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emf" ContentType="image/x-emf"/>
  <Default Extension="jpeg" ContentType="image/jpeg"/>
  <Default Extension="JPG" ContentType="image/.jpg"/>
  <Default Extension="bmp" ContentType="image/bmp"/>
  <Default Extension="wmf" ContentType="image/x-w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1DE9E72">
      <w:pPr>
        <w:spacing w:line="360" w:lineRule="auto"/>
        <w:ind w:left="-105" w:right="-105" w:firstLine="800"/>
        <w:jc w:val="center"/>
        <w:rPr>
          <w:rFonts w:ascii="Times New Roman" w:hAnsi="Times New Roman"/>
          <w:color w:val="auto"/>
          <w:sz w:val="40"/>
          <w:szCs w:val="40"/>
          <w:highlight w:val="none"/>
        </w:rPr>
      </w:pPr>
      <w:bookmarkStart w:id="0" w:name="_Toc413921610"/>
      <w:bookmarkStart w:id="1" w:name="_Toc442089497"/>
      <w:bookmarkStart w:id="2" w:name="_Toc431168752"/>
      <w:bookmarkStart w:id="3" w:name="_Toc446592419"/>
      <w:bookmarkStart w:id="4" w:name="_Toc440483507"/>
      <w:bookmarkStart w:id="5" w:name="_Toc424119955"/>
      <w:bookmarkStart w:id="6" w:name="_Toc431299613"/>
      <w:bookmarkStart w:id="7" w:name="_Toc441681879"/>
      <w:bookmarkStart w:id="8" w:name="_Toc446026905"/>
      <w:bookmarkStart w:id="9" w:name="_Toc424488089"/>
    </w:p>
    <w:p w14:paraId="6C6CC1E1">
      <w:pPr>
        <w:spacing w:line="360" w:lineRule="auto"/>
        <w:ind w:left="-105" w:right="-105" w:firstLine="800"/>
        <w:jc w:val="center"/>
        <w:rPr>
          <w:rFonts w:ascii="Times New Roman" w:hAnsi="Times New Roman"/>
          <w:color w:val="auto"/>
          <w:sz w:val="40"/>
          <w:szCs w:val="40"/>
          <w:highlight w:val="none"/>
        </w:rPr>
      </w:pPr>
    </w:p>
    <w:p w14:paraId="42D18422">
      <w:pPr>
        <w:spacing w:line="360" w:lineRule="auto"/>
        <w:ind w:left="-105" w:right="-105" w:firstLine="803"/>
        <w:jc w:val="center"/>
        <w:rPr>
          <w:rFonts w:ascii="Times New Roman" w:hAnsi="Times New Roman"/>
          <w:b/>
          <w:bCs/>
          <w:color w:val="auto"/>
          <w:sz w:val="40"/>
          <w:szCs w:val="40"/>
          <w:highlight w:val="none"/>
        </w:rPr>
      </w:pPr>
    </w:p>
    <w:p w14:paraId="48D312FC">
      <w:pPr>
        <w:spacing w:line="360" w:lineRule="auto"/>
        <w:ind w:left="-105" w:right="-105" w:firstLine="964"/>
        <w:jc w:val="center"/>
        <w:rPr>
          <w:rFonts w:ascii="Times New Roman" w:hAnsi="Times New Roman"/>
          <w:b/>
          <w:bCs/>
          <w:color w:val="auto"/>
          <w:sz w:val="48"/>
          <w:szCs w:val="48"/>
          <w:highlight w:val="none"/>
        </w:rPr>
      </w:pPr>
      <w:r>
        <w:rPr>
          <w:rFonts w:hint="eastAsia" w:ascii="Times New Roman" w:hAnsi="Times New Roman"/>
          <w:b/>
          <w:bCs/>
          <w:color w:val="auto"/>
          <w:sz w:val="48"/>
          <w:szCs w:val="48"/>
          <w:highlight w:val="none"/>
        </w:rPr>
        <w:t>化药化工（无锡）有限公司</w:t>
      </w:r>
    </w:p>
    <w:p w14:paraId="2E0ED9DE">
      <w:pPr>
        <w:spacing w:line="360" w:lineRule="auto"/>
        <w:ind w:left="-105" w:right="-105" w:firstLine="964"/>
        <w:jc w:val="center"/>
        <w:rPr>
          <w:rFonts w:ascii="Times New Roman" w:hAnsi="Times New Roman"/>
          <w:b/>
          <w:bCs/>
          <w:color w:val="auto"/>
          <w:sz w:val="48"/>
          <w:szCs w:val="48"/>
          <w:highlight w:val="none"/>
        </w:rPr>
      </w:pPr>
      <w:r>
        <w:rPr>
          <w:rFonts w:hint="eastAsia" w:ascii="Times New Roman" w:hAnsi="Times New Roman"/>
          <w:b/>
          <w:bCs/>
          <w:color w:val="auto"/>
          <w:sz w:val="48"/>
          <w:szCs w:val="48"/>
          <w:highlight w:val="none"/>
        </w:rPr>
        <w:t>年产剥离液800t项目</w:t>
      </w:r>
    </w:p>
    <w:p w14:paraId="7E036786">
      <w:pPr>
        <w:spacing w:line="360" w:lineRule="auto"/>
        <w:ind w:left="-105" w:right="-105" w:firstLine="964"/>
        <w:jc w:val="center"/>
        <w:rPr>
          <w:rFonts w:ascii="Times New Roman" w:hAnsi="Times New Roman"/>
          <w:b/>
          <w:bCs/>
          <w:color w:val="auto"/>
          <w:sz w:val="48"/>
          <w:szCs w:val="48"/>
          <w:highlight w:val="none"/>
        </w:rPr>
      </w:pPr>
      <w:r>
        <w:rPr>
          <w:rFonts w:ascii="Times New Roman" w:hAnsi="Times New Roman"/>
          <w:b/>
          <w:bCs/>
          <w:color w:val="auto"/>
          <w:sz w:val="48"/>
          <w:szCs w:val="48"/>
          <w:highlight w:val="none"/>
        </w:rPr>
        <w:t>环境影响报告书</w:t>
      </w:r>
    </w:p>
    <w:p w14:paraId="3D555179">
      <w:pPr>
        <w:spacing w:line="360" w:lineRule="auto"/>
        <w:ind w:left="-105" w:right="-105" w:firstLine="964"/>
        <w:jc w:val="center"/>
        <w:rPr>
          <w:rFonts w:ascii="Times New Roman" w:hAnsi="Times New Roman"/>
          <w:b/>
          <w:bCs/>
          <w:color w:val="auto"/>
          <w:sz w:val="48"/>
          <w:szCs w:val="48"/>
          <w:highlight w:val="none"/>
        </w:rPr>
      </w:pPr>
      <w:r>
        <w:rPr>
          <w:rFonts w:ascii="Times New Roman" w:hAnsi="Times New Roman"/>
          <w:b/>
          <w:bCs/>
          <w:color w:val="auto"/>
          <w:sz w:val="48"/>
          <w:szCs w:val="48"/>
          <w:highlight w:val="none"/>
        </w:rPr>
        <w:t>（初稿）</w:t>
      </w:r>
    </w:p>
    <w:p w14:paraId="096B1459">
      <w:pPr>
        <w:spacing w:line="360" w:lineRule="auto"/>
        <w:ind w:left="-105" w:right="-105" w:firstLine="803"/>
        <w:jc w:val="center"/>
        <w:rPr>
          <w:rFonts w:ascii="Times New Roman" w:hAnsi="Times New Roman"/>
          <w:b/>
          <w:bCs/>
          <w:color w:val="auto"/>
          <w:sz w:val="40"/>
          <w:szCs w:val="40"/>
          <w:highlight w:val="none"/>
        </w:rPr>
      </w:pPr>
    </w:p>
    <w:p w14:paraId="42733C97">
      <w:pPr>
        <w:spacing w:line="360" w:lineRule="auto"/>
        <w:ind w:left="-105" w:right="-105" w:firstLine="803"/>
        <w:jc w:val="center"/>
        <w:rPr>
          <w:rFonts w:ascii="Times New Roman" w:hAnsi="Times New Roman"/>
          <w:b/>
          <w:bCs/>
          <w:color w:val="auto"/>
          <w:sz w:val="40"/>
          <w:szCs w:val="40"/>
          <w:highlight w:val="none"/>
        </w:rPr>
      </w:pPr>
    </w:p>
    <w:p w14:paraId="3AC4E4C8">
      <w:pPr>
        <w:spacing w:line="360" w:lineRule="auto"/>
        <w:ind w:left="-105" w:right="-105" w:firstLine="803"/>
        <w:jc w:val="center"/>
        <w:rPr>
          <w:rFonts w:ascii="Times New Roman" w:hAnsi="Times New Roman"/>
          <w:b/>
          <w:bCs/>
          <w:color w:val="auto"/>
          <w:sz w:val="40"/>
          <w:szCs w:val="40"/>
          <w:highlight w:val="none"/>
        </w:rPr>
      </w:pPr>
    </w:p>
    <w:p w14:paraId="5FBC2AFF">
      <w:pPr>
        <w:spacing w:line="360" w:lineRule="auto"/>
        <w:ind w:left="-105" w:right="-105" w:firstLine="803"/>
        <w:jc w:val="center"/>
        <w:rPr>
          <w:rFonts w:ascii="Times New Roman" w:hAnsi="Times New Roman"/>
          <w:b/>
          <w:bCs/>
          <w:color w:val="auto"/>
          <w:sz w:val="40"/>
          <w:szCs w:val="40"/>
          <w:highlight w:val="none"/>
        </w:rPr>
      </w:pPr>
    </w:p>
    <w:p w14:paraId="3A68EB88">
      <w:pPr>
        <w:spacing w:line="360" w:lineRule="auto"/>
        <w:ind w:left="-105" w:right="-105" w:firstLine="803"/>
        <w:jc w:val="center"/>
        <w:rPr>
          <w:rFonts w:ascii="Times New Roman" w:hAnsi="Times New Roman"/>
          <w:b/>
          <w:bCs/>
          <w:color w:val="auto"/>
          <w:sz w:val="40"/>
          <w:szCs w:val="40"/>
          <w:highlight w:val="none"/>
        </w:rPr>
      </w:pPr>
    </w:p>
    <w:p w14:paraId="0D90C583">
      <w:pPr>
        <w:spacing w:line="360" w:lineRule="auto"/>
        <w:ind w:left="-105" w:right="-105" w:firstLine="803"/>
        <w:jc w:val="center"/>
        <w:rPr>
          <w:rFonts w:ascii="Times New Roman" w:hAnsi="Times New Roman"/>
          <w:b/>
          <w:bCs/>
          <w:color w:val="auto"/>
          <w:sz w:val="40"/>
          <w:szCs w:val="40"/>
          <w:highlight w:val="none"/>
        </w:rPr>
      </w:pPr>
    </w:p>
    <w:p w14:paraId="4C1F56D7">
      <w:pPr>
        <w:spacing w:line="360" w:lineRule="auto"/>
        <w:ind w:left="-105" w:right="-105" w:firstLine="803"/>
        <w:jc w:val="center"/>
        <w:rPr>
          <w:rFonts w:ascii="Times New Roman" w:hAnsi="Times New Roman"/>
          <w:b/>
          <w:bCs/>
          <w:color w:val="auto"/>
          <w:sz w:val="40"/>
          <w:szCs w:val="40"/>
          <w:highlight w:val="none"/>
        </w:rPr>
      </w:pPr>
    </w:p>
    <w:p w14:paraId="4A84F815">
      <w:pPr>
        <w:spacing w:line="360" w:lineRule="auto"/>
        <w:ind w:left="-105" w:right="-105" w:firstLine="803"/>
        <w:jc w:val="center"/>
        <w:rPr>
          <w:rFonts w:ascii="Times New Roman" w:hAnsi="Times New Roman"/>
          <w:b/>
          <w:bCs/>
          <w:color w:val="auto"/>
          <w:sz w:val="40"/>
          <w:szCs w:val="40"/>
          <w:highlight w:val="none"/>
        </w:rPr>
      </w:pPr>
    </w:p>
    <w:p w14:paraId="4DEE9106">
      <w:pPr>
        <w:spacing w:line="360" w:lineRule="auto"/>
        <w:ind w:left="-105" w:right="-105" w:firstLine="723"/>
        <w:jc w:val="center"/>
        <w:rPr>
          <w:b/>
          <w:bCs/>
          <w:color w:val="auto"/>
          <w:sz w:val="36"/>
          <w:szCs w:val="36"/>
          <w:highlight w:val="none"/>
        </w:rPr>
      </w:pPr>
      <w:r>
        <w:rPr>
          <w:b/>
          <w:bCs/>
          <w:color w:val="auto"/>
          <w:sz w:val="36"/>
          <w:szCs w:val="36"/>
          <w:highlight w:val="none"/>
        </w:rPr>
        <w:t>建设单位：</w:t>
      </w:r>
      <w:r>
        <w:rPr>
          <w:rFonts w:hint="eastAsia"/>
          <w:b/>
          <w:bCs/>
          <w:color w:val="auto"/>
          <w:sz w:val="36"/>
          <w:szCs w:val="36"/>
          <w:highlight w:val="none"/>
        </w:rPr>
        <w:t>化药化工（无锡）有限公司</w:t>
      </w:r>
    </w:p>
    <w:p w14:paraId="4525A0B9">
      <w:pPr>
        <w:spacing w:line="360" w:lineRule="auto"/>
        <w:ind w:left="-105" w:right="-105" w:firstLine="723"/>
        <w:jc w:val="center"/>
        <w:rPr>
          <w:b/>
          <w:bCs/>
          <w:color w:val="auto"/>
          <w:sz w:val="36"/>
          <w:szCs w:val="36"/>
          <w:highlight w:val="none"/>
        </w:rPr>
      </w:pPr>
      <w:r>
        <w:rPr>
          <w:b/>
          <w:bCs/>
          <w:color w:val="auto"/>
          <w:sz w:val="36"/>
          <w:szCs w:val="36"/>
          <w:highlight w:val="none"/>
        </w:rPr>
        <w:t>评价单位：无锡恒新环境技术有限公司</w:t>
      </w:r>
    </w:p>
    <w:p w14:paraId="57A17E84">
      <w:pPr>
        <w:spacing w:line="360" w:lineRule="auto"/>
        <w:ind w:left="-105" w:right="-105" w:firstLine="723"/>
        <w:jc w:val="center"/>
        <w:rPr>
          <w:rFonts w:ascii="Times New Roman" w:hAnsi="Times New Roman" w:cs="Times New Roman"/>
          <w:b/>
          <w:bCs/>
          <w:color w:val="auto"/>
          <w:sz w:val="30"/>
          <w:szCs w:val="30"/>
          <w:highlight w:val="none"/>
        </w:rPr>
      </w:pPr>
      <w:r>
        <w:rPr>
          <w:rFonts w:ascii="Times New Roman" w:hAnsi="Times New Roman" w:cs="Times New Roman"/>
          <w:b/>
          <w:bCs/>
          <w:color w:val="auto"/>
          <w:sz w:val="36"/>
          <w:szCs w:val="36"/>
          <w:highlight w:val="none"/>
        </w:rPr>
        <w:t>2024年5月</w:t>
      </w:r>
    </w:p>
    <w:p w14:paraId="73ABFF29">
      <w:pPr>
        <w:spacing w:line="360" w:lineRule="auto"/>
        <w:ind w:left="-105" w:right="-105" w:firstLine="482"/>
        <w:jc w:val="center"/>
        <w:rPr>
          <w:rFonts w:ascii="Times New Roman" w:hAnsi="Times New Roman"/>
          <w:b/>
          <w:color w:val="auto"/>
          <w:szCs w:val="28"/>
          <w:highlight w:val="none"/>
        </w:rPr>
      </w:pPr>
      <w:r>
        <w:rPr>
          <w:rFonts w:ascii="Times New Roman" w:hAnsi="Times New Roman"/>
          <w:b/>
          <w:color w:val="auto"/>
          <w:szCs w:val="28"/>
          <w:highlight w:val="none"/>
        </w:rPr>
        <w:br w:type="page"/>
      </w:r>
    </w:p>
    <w:p w14:paraId="341D52FD">
      <w:pPr>
        <w:spacing w:line="360" w:lineRule="auto"/>
        <w:ind w:left="-105" w:right="-105" w:firstLine="482"/>
        <w:jc w:val="center"/>
        <w:rPr>
          <w:rFonts w:ascii="Times New Roman" w:hAnsi="Times New Roman"/>
          <w:b/>
          <w:bCs/>
          <w:color w:val="auto"/>
          <w:sz w:val="28"/>
          <w:szCs w:val="32"/>
          <w:highlight w:val="none"/>
        </w:rPr>
      </w:pPr>
      <w:r>
        <w:rPr>
          <w:rFonts w:ascii="Times New Roman" w:hAnsi="Times New Roman"/>
          <w:b/>
          <w:color w:val="auto"/>
          <w:sz w:val="28"/>
          <w:szCs w:val="32"/>
          <w:highlight w:val="none"/>
        </w:rPr>
        <w:t>目  录</w:t>
      </w:r>
    </w:p>
    <w:p w14:paraId="27F44940">
      <w:pPr>
        <w:pStyle w:val="32"/>
        <w:tabs>
          <w:tab w:val="right" w:leader="dot" w:pos="8504"/>
        </w:tabs>
        <w:rPr>
          <w:color w:val="auto"/>
          <w:highlight w:val="none"/>
        </w:rPr>
      </w:pPr>
      <w:r>
        <w:rPr>
          <w:rFonts w:eastAsia="宋体"/>
          <w:b/>
          <w:color w:val="auto"/>
          <w:kern w:val="0"/>
          <w:szCs w:val="28"/>
          <w:highlight w:val="none"/>
        </w:rPr>
        <w:fldChar w:fldCharType="begin"/>
      </w:r>
      <w:r>
        <w:rPr>
          <w:rFonts w:eastAsia="宋体"/>
          <w:b/>
          <w:color w:val="auto"/>
          <w:kern w:val="0"/>
          <w:szCs w:val="28"/>
          <w:highlight w:val="none"/>
        </w:rPr>
        <w:instrText xml:space="preserve"> TOC \o "1-2" \h \z \u </w:instrText>
      </w:r>
      <w:r>
        <w:rPr>
          <w:rFonts w:eastAsia="宋体"/>
          <w:b/>
          <w:color w:val="auto"/>
          <w:kern w:val="0"/>
          <w:szCs w:val="28"/>
          <w:highlight w:val="none"/>
        </w:rPr>
        <w:fldChar w:fldCharType="separate"/>
      </w:r>
      <w:r>
        <w:rPr>
          <w:rFonts w:eastAsia="宋体"/>
          <w:color w:val="auto"/>
          <w:kern w:val="0"/>
          <w:szCs w:val="28"/>
          <w:highlight w:val="none"/>
        </w:rPr>
        <w:fldChar w:fldCharType="begin"/>
      </w:r>
      <w:r>
        <w:rPr>
          <w:rFonts w:eastAsia="宋体"/>
          <w:color w:val="auto"/>
          <w:kern w:val="0"/>
          <w:szCs w:val="28"/>
          <w:highlight w:val="none"/>
        </w:rPr>
        <w:instrText xml:space="preserve"> HYPERLINK \l _Toc14186 </w:instrText>
      </w:r>
      <w:r>
        <w:rPr>
          <w:rFonts w:eastAsia="宋体"/>
          <w:color w:val="auto"/>
          <w:kern w:val="0"/>
          <w:szCs w:val="28"/>
          <w:highlight w:val="none"/>
        </w:rPr>
        <w:fldChar w:fldCharType="separate"/>
      </w:r>
      <w:r>
        <w:rPr>
          <w:rFonts w:hint="eastAsia" w:ascii="Times New Roman" w:eastAsia="宋体"/>
          <w:color w:val="auto"/>
          <w:szCs w:val="32"/>
          <w:highlight w:val="none"/>
        </w:rPr>
        <w:t xml:space="preserve">1 </w:t>
      </w:r>
      <w:r>
        <w:rPr>
          <w:rFonts w:ascii="Times New Roman" w:eastAsia="宋体"/>
          <w:color w:val="auto"/>
          <w:szCs w:val="32"/>
          <w:highlight w:val="none"/>
        </w:rPr>
        <w:t>概述</w:t>
      </w:r>
      <w:r>
        <w:rPr>
          <w:color w:val="auto"/>
          <w:highlight w:val="none"/>
        </w:rPr>
        <w:tab/>
      </w:r>
      <w:r>
        <w:rPr>
          <w:color w:val="auto"/>
          <w:highlight w:val="none"/>
        </w:rPr>
        <w:fldChar w:fldCharType="begin"/>
      </w:r>
      <w:r>
        <w:rPr>
          <w:color w:val="auto"/>
          <w:highlight w:val="none"/>
        </w:rPr>
        <w:instrText xml:space="preserve"> PAGEREF _Toc14186 \h </w:instrText>
      </w:r>
      <w:r>
        <w:rPr>
          <w:color w:val="auto"/>
          <w:highlight w:val="none"/>
        </w:rPr>
        <w:fldChar w:fldCharType="separate"/>
      </w:r>
      <w:r>
        <w:rPr>
          <w:color w:val="auto"/>
          <w:highlight w:val="none"/>
        </w:rPr>
        <w:t>1</w:t>
      </w:r>
      <w:r>
        <w:rPr>
          <w:color w:val="auto"/>
          <w:highlight w:val="none"/>
        </w:rPr>
        <w:fldChar w:fldCharType="end"/>
      </w:r>
      <w:r>
        <w:rPr>
          <w:rFonts w:eastAsia="宋体"/>
          <w:color w:val="auto"/>
          <w:kern w:val="0"/>
          <w:szCs w:val="28"/>
          <w:highlight w:val="none"/>
        </w:rPr>
        <w:fldChar w:fldCharType="end"/>
      </w:r>
    </w:p>
    <w:p w14:paraId="4BF876B2">
      <w:pPr>
        <w:pStyle w:val="38"/>
        <w:tabs>
          <w:tab w:val="right" w:leader="dot" w:pos="8504"/>
        </w:tabs>
        <w:rPr>
          <w:color w:val="auto"/>
          <w:highlight w:val="none"/>
        </w:rPr>
      </w:pPr>
      <w:r>
        <w:rPr>
          <w:rFonts w:ascii="Times New Roman" w:hAnsi="Times New Roman"/>
          <w:color w:val="auto"/>
          <w:szCs w:val="28"/>
          <w:highlight w:val="none"/>
        </w:rPr>
        <w:fldChar w:fldCharType="begin"/>
      </w:r>
      <w:r>
        <w:rPr>
          <w:rFonts w:ascii="Times New Roman" w:hAnsi="Times New Roman"/>
          <w:color w:val="auto"/>
          <w:szCs w:val="28"/>
          <w:highlight w:val="none"/>
        </w:rPr>
        <w:instrText xml:space="preserve"> HYPERLINK \l _Toc1693 </w:instrText>
      </w:r>
      <w:r>
        <w:rPr>
          <w:rFonts w:ascii="Times New Roman" w:hAnsi="Times New Roman"/>
          <w:color w:val="auto"/>
          <w:szCs w:val="28"/>
          <w:highlight w:val="none"/>
        </w:rPr>
        <w:fldChar w:fldCharType="separate"/>
      </w:r>
      <w:r>
        <w:rPr>
          <w:rFonts w:hint="default" w:ascii="Times New Roman" w:hAnsi="Times New Roman" w:eastAsia="宋体"/>
          <w:color w:val="auto"/>
          <w:szCs w:val="28"/>
          <w:highlight w:val="none"/>
        </w:rPr>
        <w:t xml:space="preserve">1.1 </w:t>
      </w:r>
      <w:r>
        <w:rPr>
          <w:rFonts w:ascii="Times New Roman" w:eastAsia="宋体"/>
          <w:color w:val="auto"/>
          <w:szCs w:val="28"/>
          <w:highlight w:val="none"/>
        </w:rPr>
        <w:t>任务由来</w:t>
      </w:r>
      <w:r>
        <w:rPr>
          <w:color w:val="auto"/>
          <w:highlight w:val="none"/>
        </w:rPr>
        <w:tab/>
      </w:r>
      <w:r>
        <w:rPr>
          <w:color w:val="auto"/>
          <w:highlight w:val="none"/>
        </w:rPr>
        <w:fldChar w:fldCharType="begin"/>
      </w:r>
      <w:r>
        <w:rPr>
          <w:color w:val="auto"/>
          <w:highlight w:val="none"/>
        </w:rPr>
        <w:instrText xml:space="preserve"> PAGEREF _Toc1693 \h </w:instrText>
      </w:r>
      <w:r>
        <w:rPr>
          <w:color w:val="auto"/>
          <w:highlight w:val="none"/>
        </w:rPr>
        <w:fldChar w:fldCharType="separate"/>
      </w:r>
      <w:r>
        <w:rPr>
          <w:color w:val="auto"/>
          <w:highlight w:val="none"/>
        </w:rPr>
        <w:t>1</w:t>
      </w:r>
      <w:r>
        <w:rPr>
          <w:color w:val="auto"/>
          <w:highlight w:val="none"/>
        </w:rPr>
        <w:fldChar w:fldCharType="end"/>
      </w:r>
      <w:r>
        <w:rPr>
          <w:rFonts w:ascii="Times New Roman" w:hAnsi="Times New Roman"/>
          <w:color w:val="auto"/>
          <w:szCs w:val="28"/>
          <w:highlight w:val="none"/>
        </w:rPr>
        <w:fldChar w:fldCharType="end"/>
      </w:r>
    </w:p>
    <w:p w14:paraId="34F58371">
      <w:pPr>
        <w:pStyle w:val="38"/>
        <w:tabs>
          <w:tab w:val="right" w:leader="dot" w:pos="8504"/>
        </w:tabs>
        <w:rPr>
          <w:color w:val="auto"/>
          <w:highlight w:val="none"/>
        </w:rPr>
      </w:pPr>
      <w:r>
        <w:rPr>
          <w:rFonts w:ascii="Times New Roman" w:hAnsi="Times New Roman"/>
          <w:color w:val="auto"/>
          <w:szCs w:val="28"/>
          <w:highlight w:val="none"/>
        </w:rPr>
        <w:fldChar w:fldCharType="begin"/>
      </w:r>
      <w:r>
        <w:rPr>
          <w:rFonts w:ascii="Times New Roman" w:hAnsi="Times New Roman"/>
          <w:color w:val="auto"/>
          <w:szCs w:val="28"/>
          <w:highlight w:val="none"/>
        </w:rPr>
        <w:instrText xml:space="preserve"> HYPERLINK \l _Toc9651 </w:instrText>
      </w:r>
      <w:r>
        <w:rPr>
          <w:rFonts w:ascii="Times New Roman" w:hAnsi="Times New Roman"/>
          <w:color w:val="auto"/>
          <w:szCs w:val="28"/>
          <w:highlight w:val="none"/>
        </w:rPr>
        <w:fldChar w:fldCharType="separate"/>
      </w:r>
      <w:r>
        <w:rPr>
          <w:rFonts w:hint="default" w:ascii="Times New Roman" w:hAnsi="Times New Roman" w:eastAsia="宋体"/>
          <w:color w:val="auto"/>
          <w:szCs w:val="28"/>
          <w:highlight w:val="none"/>
        </w:rPr>
        <w:t xml:space="preserve">1.2 </w:t>
      </w:r>
      <w:r>
        <w:rPr>
          <w:rFonts w:ascii="Times New Roman" w:eastAsia="宋体"/>
          <w:color w:val="auto"/>
          <w:szCs w:val="28"/>
          <w:highlight w:val="none"/>
        </w:rPr>
        <w:t>项目特点</w:t>
      </w:r>
      <w:r>
        <w:rPr>
          <w:color w:val="auto"/>
          <w:highlight w:val="none"/>
        </w:rPr>
        <w:tab/>
      </w:r>
      <w:r>
        <w:rPr>
          <w:color w:val="auto"/>
          <w:highlight w:val="none"/>
        </w:rPr>
        <w:fldChar w:fldCharType="begin"/>
      </w:r>
      <w:r>
        <w:rPr>
          <w:color w:val="auto"/>
          <w:highlight w:val="none"/>
        </w:rPr>
        <w:instrText xml:space="preserve"> PAGEREF _Toc9651 \h </w:instrText>
      </w:r>
      <w:r>
        <w:rPr>
          <w:color w:val="auto"/>
          <w:highlight w:val="none"/>
        </w:rPr>
        <w:fldChar w:fldCharType="separate"/>
      </w:r>
      <w:r>
        <w:rPr>
          <w:color w:val="auto"/>
          <w:highlight w:val="none"/>
        </w:rPr>
        <w:t>2</w:t>
      </w:r>
      <w:r>
        <w:rPr>
          <w:color w:val="auto"/>
          <w:highlight w:val="none"/>
        </w:rPr>
        <w:fldChar w:fldCharType="end"/>
      </w:r>
      <w:r>
        <w:rPr>
          <w:rFonts w:ascii="Times New Roman" w:hAnsi="Times New Roman"/>
          <w:color w:val="auto"/>
          <w:szCs w:val="28"/>
          <w:highlight w:val="none"/>
        </w:rPr>
        <w:fldChar w:fldCharType="end"/>
      </w:r>
    </w:p>
    <w:p w14:paraId="3ACE787C">
      <w:pPr>
        <w:pStyle w:val="38"/>
        <w:tabs>
          <w:tab w:val="right" w:leader="dot" w:pos="8504"/>
        </w:tabs>
        <w:rPr>
          <w:color w:val="auto"/>
          <w:highlight w:val="none"/>
        </w:rPr>
      </w:pPr>
      <w:r>
        <w:rPr>
          <w:rFonts w:ascii="Times New Roman" w:hAnsi="Times New Roman"/>
          <w:color w:val="auto"/>
          <w:szCs w:val="28"/>
          <w:highlight w:val="none"/>
        </w:rPr>
        <w:fldChar w:fldCharType="begin"/>
      </w:r>
      <w:r>
        <w:rPr>
          <w:rFonts w:ascii="Times New Roman" w:hAnsi="Times New Roman"/>
          <w:color w:val="auto"/>
          <w:szCs w:val="28"/>
          <w:highlight w:val="none"/>
        </w:rPr>
        <w:instrText xml:space="preserve"> HYPERLINK \l _Toc18511 </w:instrText>
      </w:r>
      <w:r>
        <w:rPr>
          <w:rFonts w:ascii="Times New Roman" w:hAnsi="Times New Roman"/>
          <w:color w:val="auto"/>
          <w:szCs w:val="28"/>
          <w:highlight w:val="none"/>
        </w:rPr>
        <w:fldChar w:fldCharType="separate"/>
      </w:r>
      <w:r>
        <w:rPr>
          <w:rFonts w:hint="default" w:ascii="Times New Roman" w:hAnsi="Times New Roman" w:eastAsia="宋体"/>
          <w:color w:val="auto"/>
          <w:szCs w:val="28"/>
          <w:highlight w:val="none"/>
        </w:rPr>
        <w:t xml:space="preserve">1.3 </w:t>
      </w:r>
      <w:r>
        <w:rPr>
          <w:rFonts w:ascii="Times New Roman" w:eastAsia="宋体"/>
          <w:color w:val="auto"/>
          <w:szCs w:val="28"/>
          <w:highlight w:val="none"/>
        </w:rPr>
        <w:t>关注的主要环境问题</w:t>
      </w:r>
      <w:r>
        <w:rPr>
          <w:color w:val="auto"/>
          <w:highlight w:val="none"/>
        </w:rPr>
        <w:tab/>
      </w:r>
      <w:r>
        <w:rPr>
          <w:color w:val="auto"/>
          <w:highlight w:val="none"/>
        </w:rPr>
        <w:fldChar w:fldCharType="begin"/>
      </w:r>
      <w:r>
        <w:rPr>
          <w:color w:val="auto"/>
          <w:highlight w:val="none"/>
        </w:rPr>
        <w:instrText xml:space="preserve"> PAGEREF _Toc18511 \h </w:instrText>
      </w:r>
      <w:r>
        <w:rPr>
          <w:color w:val="auto"/>
          <w:highlight w:val="none"/>
        </w:rPr>
        <w:fldChar w:fldCharType="separate"/>
      </w:r>
      <w:r>
        <w:rPr>
          <w:color w:val="auto"/>
          <w:highlight w:val="none"/>
        </w:rPr>
        <w:t>3</w:t>
      </w:r>
      <w:r>
        <w:rPr>
          <w:color w:val="auto"/>
          <w:highlight w:val="none"/>
        </w:rPr>
        <w:fldChar w:fldCharType="end"/>
      </w:r>
      <w:r>
        <w:rPr>
          <w:rFonts w:ascii="Times New Roman" w:hAnsi="Times New Roman"/>
          <w:color w:val="auto"/>
          <w:szCs w:val="28"/>
          <w:highlight w:val="none"/>
        </w:rPr>
        <w:fldChar w:fldCharType="end"/>
      </w:r>
    </w:p>
    <w:p w14:paraId="3053E1AB">
      <w:pPr>
        <w:pStyle w:val="38"/>
        <w:tabs>
          <w:tab w:val="right" w:leader="dot" w:pos="8504"/>
        </w:tabs>
        <w:rPr>
          <w:color w:val="auto"/>
          <w:highlight w:val="none"/>
        </w:rPr>
      </w:pPr>
      <w:r>
        <w:rPr>
          <w:rFonts w:ascii="Times New Roman" w:hAnsi="Times New Roman"/>
          <w:color w:val="auto"/>
          <w:szCs w:val="28"/>
          <w:highlight w:val="none"/>
        </w:rPr>
        <w:fldChar w:fldCharType="begin"/>
      </w:r>
      <w:r>
        <w:rPr>
          <w:rFonts w:ascii="Times New Roman" w:hAnsi="Times New Roman"/>
          <w:color w:val="auto"/>
          <w:szCs w:val="28"/>
          <w:highlight w:val="none"/>
        </w:rPr>
        <w:instrText xml:space="preserve"> HYPERLINK \l _Toc12049 </w:instrText>
      </w:r>
      <w:r>
        <w:rPr>
          <w:rFonts w:ascii="Times New Roman" w:hAnsi="Times New Roman"/>
          <w:color w:val="auto"/>
          <w:szCs w:val="28"/>
          <w:highlight w:val="none"/>
        </w:rPr>
        <w:fldChar w:fldCharType="separate"/>
      </w:r>
      <w:r>
        <w:rPr>
          <w:rFonts w:hint="default" w:ascii="Times New Roman" w:hAnsi="Times New Roman" w:eastAsia="宋体"/>
          <w:color w:val="auto"/>
          <w:szCs w:val="28"/>
          <w:highlight w:val="none"/>
        </w:rPr>
        <w:t xml:space="preserve">1.4 </w:t>
      </w:r>
      <w:r>
        <w:rPr>
          <w:rFonts w:ascii="Times New Roman" w:eastAsia="宋体"/>
          <w:color w:val="auto"/>
          <w:szCs w:val="28"/>
          <w:highlight w:val="none"/>
        </w:rPr>
        <w:t>评价技术路线</w:t>
      </w:r>
      <w:r>
        <w:rPr>
          <w:color w:val="auto"/>
          <w:highlight w:val="none"/>
        </w:rPr>
        <w:tab/>
      </w:r>
      <w:r>
        <w:rPr>
          <w:color w:val="auto"/>
          <w:highlight w:val="none"/>
        </w:rPr>
        <w:fldChar w:fldCharType="begin"/>
      </w:r>
      <w:r>
        <w:rPr>
          <w:color w:val="auto"/>
          <w:highlight w:val="none"/>
        </w:rPr>
        <w:instrText xml:space="preserve"> PAGEREF _Toc12049 \h </w:instrText>
      </w:r>
      <w:r>
        <w:rPr>
          <w:color w:val="auto"/>
          <w:highlight w:val="none"/>
        </w:rPr>
        <w:fldChar w:fldCharType="separate"/>
      </w:r>
      <w:r>
        <w:rPr>
          <w:color w:val="auto"/>
          <w:highlight w:val="none"/>
        </w:rPr>
        <w:t>3</w:t>
      </w:r>
      <w:r>
        <w:rPr>
          <w:color w:val="auto"/>
          <w:highlight w:val="none"/>
        </w:rPr>
        <w:fldChar w:fldCharType="end"/>
      </w:r>
      <w:r>
        <w:rPr>
          <w:rFonts w:ascii="Times New Roman" w:hAnsi="Times New Roman"/>
          <w:color w:val="auto"/>
          <w:szCs w:val="28"/>
          <w:highlight w:val="none"/>
        </w:rPr>
        <w:fldChar w:fldCharType="end"/>
      </w:r>
    </w:p>
    <w:p w14:paraId="0BEE00FF">
      <w:pPr>
        <w:pStyle w:val="38"/>
        <w:tabs>
          <w:tab w:val="right" w:leader="dot" w:pos="8504"/>
        </w:tabs>
        <w:rPr>
          <w:color w:val="auto"/>
          <w:highlight w:val="none"/>
        </w:rPr>
      </w:pPr>
      <w:r>
        <w:rPr>
          <w:rFonts w:ascii="Times New Roman" w:hAnsi="Times New Roman"/>
          <w:color w:val="auto"/>
          <w:szCs w:val="28"/>
          <w:highlight w:val="none"/>
        </w:rPr>
        <w:fldChar w:fldCharType="begin"/>
      </w:r>
      <w:r>
        <w:rPr>
          <w:rFonts w:ascii="Times New Roman" w:hAnsi="Times New Roman"/>
          <w:color w:val="auto"/>
          <w:szCs w:val="28"/>
          <w:highlight w:val="none"/>
        </w:rPr>
        <w:instrText xml:space="preserve"> HYPERLINK \l _Toc25719 </w:instrText>
      </w:r>
      <w:r>
        <w:rPr>
          <w:rFonts w:ascii="Times New Roman" w:hAnsi="Times New Roman"/>
          <w:color w:val="auto"/>
          <w:szCs w:val="28"/>
          <w:highlight w:val="none"/>
        </w:rPr>
        <w:fldChar w:fldCharType="separate"/>
      </w:r>
      <w:r>
        <w:rPr>
          <w:rFonts w:hint="default" w:ascii="Times New Roman" w:hAnsi="Times New Roman" w:eastAsia="宋体"/>
          <w:color w:val="auto"/>
          <w:szCs w:val="28"/>
          <w:highlight w:val="none"/>
        </w:rPr>
        <w:t xml:space="preserve">1.5 </w:t>
      </w:r>
      <w:r>
        <w:rPr>
          <w:rFonts w:ascii="Times New Roman" w:eastAsia="宋体"/>
          <w:color w:val="auto"/>
          <w:szCs w:val="28"/>
          <w:highlight w:val="none"/>
        </w:rPr>
        <w:t>分析判定相关情况</w:t>
      </w:r>
      <w:r>
        <w:rPr>
          <w:color w:val="auto"/>
          <w:highlight w:val="none"/>
        </w:rPr>
        <w:tab/>
      </w:r>
      <w:r>
        <w:rPr>
          <w:color w:val="auto"/>
          <w:highlight w:val="none"/>
        </w:rPr>
        <w:fldChar w:fldCharType="begin"/>
      </w:r>
      <w:r>
        <w:rPr>
          <w:color w:val="auto"/>
          <w:highlight w:val="none"/>
        </w:rPr>
        <w:instrText xml:space="preserve"> PAGEREF _Toc25719 \h </w:instrText>
      </w:r>
      <w:r>
        <w:rPr>
          <w:color w:val="auto"/>
          <w:highlight w:val="none"/>
        </w:rPr>
        <w:fldChar w:fldCharType="separate"/>
      </w:r>
      <w:r>
        <w:rPr>
          <w:color w:val="auto"/>
          <w:highlight w:val="none"/>
        </w:rPr>
        <w:t>5</w:t>
      </w:r>
      <w:r>
        <w:rPr>
          <w:color w:val="auto"/>
          <w:highlight w:val="none"/>
        </w:rPr>
        <w:fldChar w:fldCharType="end"/>
      </w:r>
      <w:r>
        <w:rPr>
          <w:rFonts w:ascii="Times New Roman" w:hAnsi="Times New Roman"/>
          <w:color w:val="auto"/>
          <w:szCs w:val="28"/>
          <w:highlight w:val="none"/>
        </w:rPr>
        <w:fldChar w:fldCharType="end"/>
      </w:r>
    </w:p>
    <w:p w14:paraId="68FEF0EE">
      <w:pPr>
        <w:pStyle w:val="38"/>
        <w:tabs>
          <w:tab w:val="right" w:leader="dot" w:pos="8504"/>
        </w:tabs>
        <w:rPr>
          <w:color w:val="auto"/>
          <w:highlight w:val="none"/>
        </w:rPr>
      </w:pPr>
      <w:r>
        <w:rPr>
          <w:rFonts w:ascii="Times New Roman" w:hAnsi="Times New Roman"/>
          <w:color w:val="auto"/>
          <w:szCs w:val="28"/>
          <w:highlight w:val="none"/>
        </w:rPr>
        <w:fldChar w:fldCharType="begin"/>
      </w:r>
      <w:r>
        <w:rPr>
          <w:rFonts w:ascii="Times New Roman" w:hAnsi="Times New Roman"/>
          <w:color w:val="auto"/>
          <w:szCs w:val="28"/>
          <w:highlight w:val="none"/>
        </w:rPr>
        <w:instrText xml:space="preserve"> HYPERLINK \l _Toc18162 </w:instrText>
      </w:r>
      <w:r>
        <w:rPr>
          <w:rFonts w:ascii="Times New Roman" w:hAnsi="Times New Roman"/>
          <w:color w:val="auto"/>
          <w:szCs w:val="28"/>
          <w:highlight w:val="none"/>
        </w:rPr>
        <w:fldChar w:fldCharType="separate"/>
      </w:r>
      <w:r>
        <w:rPr>
          <w:rFonts w:hint="default" w:ascii="Times New Roman" w:hAnsi="Times New Roman" w:eastAsia="宋体"/>
          <w:color w:val="auto"/>
          <w:szCs w:val="28"/>
          <w:highlight w:val="none"/>
        </w:rPr>
        <w:t xml:space="preserve">1.6 </w:t>
      </w:r>
      <w:r>
        <w:rPr>
          <w:rFonts w:ascii="Times New Roman" w:eastAsia="宋体"/>
          <w:color w:val="auto"/>
          <w:szCs w:val="28"/>
          <w:highlight w:val="none"/>
        </w:rPr>
        <w:t>环境影响</w:t>
      </w:r>
      <w:r>
        <w:rPr>
          <w:rFonts w:hint="eastAsia" w:ascii="Times New Roman" w:eastAsia="宋体"/>
          <w:color w:val="auto"/>
          <w:szCs w:val="28"/>
          <w:highlight w:val="none"/>
        </w:rPr>
        <w:t>评价</w:t>
      </w:r>
      <w:r>
        <w:rPr>
          <w:rFonts w:ascii="Times New Roman" w:eastAsia="宋体"/>
          <w:color w:val="auto"/>
          <w:szCs w:val="28"/>
          <w:highlight w:val="none"/>
        </w:rPr>
        <w:t>主要结论</w:t>
      </w:r>
      <w:r>
        <w:rPr>
          <w:color w:val="auto"/>
          <w:highlight w:val="none"/>
        </w:rPr>
        <w:tab/>
      </w:r>
      <w:r>
        <w:rPr>
          <w:color w:val="auto"/>
          <w:highlight w:val="none"/>
        </w:rPr>
        <w:fldChar w:fldCharType="begin"/>
      </w:r>
      <w:r>
        <w:rPr>
          <w:color w:val="auto"/>
          <w:highlight w:val="none"/>
        </w:rPr>
        <w:instrText xml:space="preserve"> PAGEREF _Toc18162 \h </w:instrText>
      </w:r>
      <w:r>
        <w:rPr>
          <w:color w:val="auto"/>
          <w:highlight w:val="none"/>
        </w:rPr>
        <w:fldChar w:fldCharType="separate"/>
      </w:r>
      <w:r>
        <w:rPr>
          <w:color w:val="auto"/>
          <w:highlight w:val="none"/>
        </w:rPr>
        <w:t>9</w:t>
      </w:r>
      <w:r>
        <w:rPr>
          <w:color w:val="auto"/>
          <w:highlight w:val="none"/>
        </w:rPr>
        <w:fldChar w:fldCharType="end"/>
      </w:r>
      <w:r>
        <w:rPr>
          <w:rFonts w:ascii="Times New Roman" w:hAnsi="Times New Roman"/>
          <w:color w:val="auto"/>
          <w:szCs w:val="28"/>
          <w:highlight w:val="none"/>
        </w:rPr>
        <w:fldChar w:fldCharType="end"/>
      </w:r>
    </w:p>
    <w:p w14:paraId="6D07DC16">
      <w:pPr>
        <w:pStyle w:val="32"/>
        <w:tabs>
          <w:tab w:val="right" w:leader="dot" w:pos="8504"/>
        </w:tabs>
        <w:rPr>
          <w:color w:val="auto"/>
          <w:highlight w:val="none"/>
        </w:rPr>
      </w:pPr>
      <w:r>
        <w:rPr>
          <w:rFonts w:ascii="Times New Roman" w:hAnsi="Times New Roman"/>
          <w:color w:val="auto"/>
          <w:szCs w:val="28"/>
          <w:highlight w:val="none"/>
        </w:rPr>
        <w:fldChar w:fldCharType="begin"/>
      </w:r>
      <w:r>
        <w:rPr>
          <w:rFonts w:ascii="Times New Roman" w:hAnsi="Times New Roman"/>
          <w:color w:val="auto"/>
          <w:szCs w:val="28"/>
          <w:highlight w:val="none"/>
        </w:rPr>
        <w:instrText xml:space="preserve"> HYPERLINK \l _Toc6254 </w:instrText>
      </w:r>
      <w:r>
        <w:rPr>
          <w:rFonts w:ascii="Times New Roman" w:hAnsi="Times New Roman"/>
          <w:color w:val="auto"/>
          <w:szCs w:val="28"/>
          <w:highlight w:val="none"/>
        </w:rPr>
        <w:fldChar w:fldCharType="separate"/>
      </w:r>
      <w:r>
        <w:rPr>
          <w:rFonts w:hint="eastAsia" w:ascii="Times New Roman" w:eastAsia="宋体"/>
          <w:color w:val="auto"/>
          <w:szCs w:val="32"/>
          <w:highlight w:val="none"/>
        </w:rPr>
        <w:t xml:space="preserve">2 </w:t>
      </w:r>
      <w:r>
        <w:rPr>
          <w:rFonts w:ascii="Times New Roman" w:eastAsia="宋体"/>
          <w:color w:val="auto"/>
          <w:szCs w:val="32"/>
          <w:highlight w:val="none"/>
        </w:rPr>
        <w:t>总则</w:t>
      </w:r>
      <w:r>
        <w:rPr>
          <w:color w:val="auto"/>
          <w:highlight w:val="none"/>
        </w:rPr>
        <w:tab/>
      </w:r>
      <w:r>
        <w:rPr>
          <w:color w:val="auto"/>
          <w:highlight w:val="none"/>
        </w:rPr>
        <w:fldChar w:fldCharType="begin"/>
      </w:r>
      <w:r>
        <w:rPr>
          <w:color w:val="auto"/>
          <w:highlight w:val="none"/>
        </w:rPr>
        <w:instrText xml:space="preserve"> PAGEREF _Toc6254 \h </w:instrText>
      </w:r>
      <w:r>
        <w:rPr>
          <w:color w:val="auto"/>
          <w:highlight w:val="none"/>
        </w:rPr>
        <w:fldChar w:fldCharType="separate"/>
      </w:r>
      <w:r>
        <w:rPr>
          <w:color w:val="auto"/>
          <w:highlight w:val="none"/>
        </w:rPr>
        <w:t>10</w:t>
      </w:r>
      <w:r>
        <w:rPr>
          <w:color w:val="auto"/>
          <w:highlight w:val="none"/>
        </w:rPr>
        <w:fldChar w:fldCharType="end"/>
      </w:r>
      <w:r>
        <w:rPr>
          <w:rFonts w:ascii="Times New Roman" w:hAnsi="Times New Roman"/>
          <w:color w:val="auto"/>
          <w:szCs w:val="28"/>
          <w:highlight w:val="none"/>
        </w:rPr>
        <w:fldChar w:fldCharType="end"/>
      </w:r>
    </w:p>
    <w:p w14:paraId="1EDFF5D7">
      <w:pPr>
        <w:pStyle w:val="38"/>
        <w:tabs>
          <w:tab w:val="right" w:leader="dot" w:pos="8504"/>
        </w:tabs>
        <w:rPr>
          <w:color w:val="auto"/>
          <w:highlight w:val="none"/>
        </w:rPr>
      </w:pPr>
      <w:r>
        <w:rPr>
          <w:rFonts w:ascii="Times New Roman" w:hAnsi="Times New Roman"/>
          <w:color w:val="auto"/>
          <w:szCs w:val="28"/>
          <w:highlight w:val="none"/>
        </w:rPr>
        <w:fldChar w:fldCharType="begin"/>
      </w:r>
      <w:r>
        <w:rPr>
          <w:rFonts w:ascii="Times New Roman" w:hAnsi="Times New Roman"/>
          <w:color w:val="auto"/>
          <w:szCs w:val="28"/>
          <w:highlight w:val="none"/>
        </w:rPr>
        <w:instrText xml:space="preserve"> HYPERLINK \l _Toc30307 </w:instrText>
      </w:r>
      <w:r>
        <w:rPr>
          <w:rFonts w:ascii="Times New Roman" w:hAnsi="Times New Roman"/>
          <w:color w:val="auto"/>
          <w:szCs w:val="28"/>
          <w:highlight w:val="none"/>
        </w:rPr>
        <w:fldChar w:fldCharType="separate"/>
      </w:r>
      <w:r>
        <w:rPr>
          <w:rFonts w:hint="eastAsia" w:ascii="Times New Roman" w:eastAsia="宋体"/>
          <w:color w:val="auto"/>
          <w:szCs w:val="28"/>
          <w:highlight w:val="none"/>
        </w:rPr>
        <w:t xml:space="preserve">2.1 </w:t>
      </w:r>
      <w:r>
        <w:rPr>
          <w:rFonts w:ascii="Times New Roman" w:eastAsia="宋体"/>
          <w:color w:val="auto"/>
          <w:szCs w:val="28"/>
          <w:highlight w:val="none"/>
        </w:rPr>
        <w:t>编制依据</w:t>
      </w:r>
      <w:r>
        <w:rPr>
          <w:color w:val="auto"/>
          <w:highlight w:val="none"/>
        </w:rPr>
        <w:tab/>
      </w:r>
      <w:r>
        <w:rPr>
          <w:color w:val="auto"/>
          <w:highlight w:val="none"/>
        </w:rPr>
        <w:fldChar w:fldCharType="begin"/>
      </w:r>
      <w:r>
        <w:rPr>
          <w:color w:val="auto"/>
          <w:highlight w:val="none"/>
        </w:rPr>
        <w:instrText xml:space="preserve"> PAGEREF _Toc30307 \h </w:instrText>
      </w:r>
      <w:r>
        <w:rPr>
          <w:color w:val="auto"/>
          <w:highlight w:val="none"/>
        </w:rPr>
        <w:fldChar w:fldCharType="separate"/>
      </w:r>
      <w:r>
        <w:rPr>
          <w:color w:val="auto"/>
          <w:highlight w:val="none"/>
        </w:rPr>
        <w:t>10</w:t>
      </w:r>
      <w:r>
        <w:rPr>
          <w:color w:val="auto"/>
          <w:highlight w:val="none"/>
        </w:rPr>
        <w:fldChar w:fldCharType="end"/>
      </w:r>
      <w:r>
        <w:rPr>
          <w:rFonts w:ascii="Times New Roman" w:hAnsi="Times New Roman"/>
          <w:color w:val="auto"/>
          <w:szCs w:val="28"/>
          <w:highlight w:val="none"/>
        </w:rPr>
        <w:fldChar w:fldCharType="end"/>
      </w:r>
    </w:p>
    <w:p w14:paraId="54B252FA">
      <w:pPr>
        <w:pStyle w:val="38"/>
        <w:tabs>
          <w:tab w:val="right" w:leader="dot" w:pos="8504"/>
        </w:tabs>
        <w:rPr>
          <w:color w:val="auto"/>
          <w:highlight w:val="none"/>
        </w:rPr>
      </w:pPr>
      <w:r>
        <w:rPr>
          <w:rFonts w:ascii="Times New Roman" w:hAnsi="Times New Roman"/>
          <w:color w:val="auto"/>
          <w:szCs w:val="28"/>
          <w:highlight w:val="none"/>
        </w:rPr>
        <w:fldChar w:fldCharType="begin"/>
      </w:r>
      <w:r>
        <w:rPr>
          <w:rFonts w:ascii="Times New Roman" w:hAnsi="Times New Roman"/>
          <w:color w:val="auto"/>
          <w:szCs w:val="28"/>
          <w:highlight w:val="none"/>
        </w:rPr>
        <w:instrText xml:space="preserve"> HYPERLINK \l _Toc28093 </w:instrText>
      </w:r>
      <w:r>
        <w:rPr>
          <w:rFonts w:ascii="Times New Roman" w:hAnsi="Times New Roman"/>
          <w:color w:val="auto"/>
          <w:szCs w:val="28"/>
          <w:highlight w:val="none"/>
        </w:rPr>
        <w:fldChar w:fldCharType="separate"/>
      </w:r>
      <w:r>
        <w:rPr>
          <w:rFonts w:hint="eastAsia" w:ascii="Times New Roman" w:eastAsia="宋体"/>
          <w:color w:val="auto"/>
          <w:szCs w:val="28"/>
          <w:highlight w:val="none"/>
        </w:rPr>
        <w:t xml:space="preserve">2.2 </w:t>
      </w:r>
      <w:r>
        <w:rPr>
          <w:rFonts w:ascii="Times New Roman" w:eastAsia="宋体"/>
          <w:color w:val="auto"/>
          <w:szCs w:val="28"/>
          <w:highlight w:val="none"/>
        </w:rPr>
        <w:t>评价目的及原则</w:t>
      </w:r>
      <w:r>
        <w:rPr>
          <w:color w:val="auto"/>
          <w:highlight w:val="none"/>
        </w:rPr>
        <w:tab/>
      </w:r>
      <w:r>
        <w:rPr>
          <w:color w:val="auto"/>
          <w:highlight w:val="none"/>
        </w:rPr>
        <w:fldChar w:fldCharType="begin"/>
      </w:r>
      <w:r>
        <w:rPr>
          <w:color w:val="auto"/>
          <w:highlight w:val="none"/>
        </w:rPr>
        <w:instrText xml:space="preserve"> PAGEREF _Toc28093 \h </w:instrText>
      </w:r>
      <w:r>
        <w:rPr>
          <w:color w:val="auto"/>
          <w:highlight w:val="none"/>
        </w:rPr>
        <w:fldChar w:fldCharType="separate"/>
      </w:r>
      <w:r>
        <w:rPr>
          <w:color w:val="auto"/>
          <w:highlight w:val="none"/>
        </w:rPr>
        <w:t>16</w:t>
      </w:r>
      <w:r>
        <w:rPr>
          <w:color w:val="auto"/>
          <w:highlight w:val="none"/>
        </w:rPr>
        <w:fldChar w:fldCharType="end"/>
      </w:r>
      <w:r>
        <w:rPr>
          <w:rFonts w:ascii="Times New Roman" w:hAnsi="Times New Roman"/>
          <w:color w:val="auto"/>
          <w:szCs w:val="28"/>
          <w:highlight w:val="none"/>
        </w:rPr>
        <w:fldChar w:fldCharType="end"/>
      </w:r>
    </w:p>
    <w:p w14:paraId="6C06DF6E">
      <w:pPr>
        <w:pStyle w:val="38"/>
        <w:tabs>
          <w:tab w:val="right" w:leader="dot" w:pos="8504"/>
        </w:tabs>
        <w:rPr>
          <w:color w:val="auto"/>
          <w:highlight w:val="none"/>
        </w:rPr>
      </w:pPr>
      <w:r>
        <w:rPr>
          <w:rFonts w:ascii="Times New Roman" w:hAnsi="Times New Roman"/>
          <w:color w:val="auto"/>
          <w:szCs w:val="28"/>
          <w:highlight w:val="none"/>
        </w:rPr>
        <w:fldChar w:fldCharType="begin"/>
      </w:r>
      <w:r>
        <w:rPr>
          <w:rFonts w:ascii="Times New Roman" w:hAnsi="Times New Roman"/>
          <w:color w:val="auto"/>
          <w:szCs w:val="28"/>
          <w:highlight w:val="none"/>
        </w:rPr>
        <w:instrText xml:space="preserve"> HYPERLINK \l _Toc31409 </w:instrText>
      </w:r>
      <w:r>
        <w:rPr>
          <w:rFonts w:ascii="Times New Roman" w:hAnsi="Times New Roman"/>
          <w:color w:val="auto"/>
          <w:szCs w:val="28"/>
          <w:highlight w:val="none"/>
        </w:rPr>
        <w:fldChar w:fldCharType="separate"/>
      </w:r>
      <w:r>
        <w:rPr>
          <w:rFonts w:hint="eastAsia" w:ascii="Times New Roman" w:eastAsia="宋体"/>
          <w:color w:val="auto"/>
          <w:szCs w:val="28"/>
          <w:highlight w:val="none"/>
        </w:rPr>
        <w:t xml:space="preserve">2.3 </w:t>
      </w:r>
      <w:r>
        <w:rPr>
          <w:rFonts w:ascii="Times New Roman" w:eastAsia="宋体"/>
          <w:color w:val="auto"/>
          <w:szCs w:val="28"/>
          <w:highlight w:val="none"/>
        </w:rPr>
        <w:t>评价因子与评价标准</w:t>
      </w:r>
      <w:r>
        <w:rPr>
          <w:color w:val="auto"/>
          <w:highlight w:val="none"/>
        </w:rPr>
        <w:tab/>
      </w:r>
      <w:r>
        <w:rPr>
          <w:color w:val="auto"/>
          <w:highlight w:val="none"/>
        </w:rPr>
        <w:fldChar w:fldCharType="begin"/>
      </w:r>
      <w:r>
        <w:rPr>
          <w:color w:val="auto"/>
          <w:highlight w:val="none"/>
        </w:rPr>
        <w:instrText xml:space="preserve"> PAGEREF _Toc31409 \h </w:instrText>
      </w:r>
      <w:r>
        <w:rPr>
          <w:color w:val="auto"/>
          <w:highlight w:val="none"/>
        </w:rPr>
        <w:fldChar w:fldCharType="separate"/>
      </w:r>
      <w:r>
        <w:rPr>
          <w:color w:val="auto"/>
          <w:highlight w:val="none"/>
        </w:rPr>
        <w:t>18</w:t>
      </w:r>
      <w:r>
        <w:rPr>
          <w:color w:val="auto"/>
          <w:highlight w:val="none"/>
        </w:rPr>
        <w:fldChar w:fldCharType="end"/>
      </w:r>
      <w:r>
        <w:rPr>
          <w:rFonts w:ascii="Times New Roman" w:hAnsi="Times New Roman"/>
          <w:color w:val="auto"/>
          <w:szCs w:val="28"/>
          <w:highlight w:val="none"/>
        </w:rPr>
        <w:fldChar w:fldCharType="end"/>
      </w:r>
    </w:p>
    <w:p w14:paraId="77F7AD0B">
      <w:pPr>
        <w:pStyle w:val="38"/>
        <w:tabs>
          <w:tab w:val="right" w:leader="dot" w:pos="8504"/>
        </w:tabs>
        <w:rPr>
          <w:color w:val="auto"/>
          <w:highlight w:val="none"/>
        </w:rPr>
      </w:pPr>
      <w:r>
        <w:rPr>
          <w:rFonts w:ascii="Times New Roman" w:hAnsi="Times New Roman"/>
          <w:color w:val="auto"/>
          <w:szCs w:val="28"/>
          <w:highlight w:val="none"/>
        </w:rPr>
        <w:fldChar w:fldCharType="begin"/>
      </w:r>
      <w:r>
        <w:rPr>
          <w:rFonts w:ascii="Times New Roman" w:hAnsi="Times New Roman"/>
          <w:color w:val="auto"/>
          <w:szCs w:val="28"/>
          <w:highlight w:val="none"/>
        </w:rPr>
        <w:instrText xml:space="preserve"> HYPERLINK \l _Toc18110 </w:instrText>
      </w:r>
      <w:r>
        <w:rPr>
          <w:rFonts w:ascii="Times New Roman" w:hAnsi="Times New Roman"/>
          <w:color w:val="auto"/>
          <w:szCs w:val="28"/>
          <w:highlight w:val="none"/>
        </w:rPr>
        <w:fldChar w:fldCharType="separate"/>
      </w:r>
      <w:r>
        <w:rPr>
          <w:rFonts w:hint="eastAsia" w:ascii="Times New Roman" w:eastAsia="宋体"/>
          <w:color w:val="auto"/>
          <w:szCs w:val="28"/>
          <w:highlight w:val="none"/>
        </w:rPr>
        <w:t xml:space="preserve">2.4 </w:t>
      </w:r>
      <w:r>
        <w:rPr>
          <w:rFonts w:ascii="Times New Roman" w:eastAsia="宋体"/>
          <w:color w:val="auto"/>
          <w:szCs w:val="28"/>
          <w:highlight w:val="none"/>
        </w:rPr>
        <w:t>评价工作等级、内容及评价重点</w:t>
      </w:r>
      <w:r>
        <w:rPr>
          <w:color w:val="auto"/>
          <w:highlight w:val="none"/>
        </w:rPr>
        <w:tab/>
      </w:r>
      <w:r>
        <w:rPr>
          <w:color w:val="auto"/>
          <w:highlight w:val="none"/>
        </w:rPr>
        <w:fldChar w:fldCharType="begin"/>
      </w:r>
      <w:r>
        <w:rPr>
          <w:color w:val="auto"/>
          <w:highlight w:val="none"/>
        </w:rPr>
        <w:instrText xml:space="preserve"> PAGEREF _Toc18110 \h </w:instrText>
      </w:r>
      <w:r>
        <w:rPr>
          <w:color w:val="auto"/>
          <w:highlight w:val="none"/>
        </w:rPr>
        <w:fldChar w:fldCharType="separate"/>
      </w:r>
      <w:r>
        <w:rPr>
          <w:color w:val="auto"/>
          <w:highlight w:val="none"/>
        </w:rPr>
        <w:t>25</w:t>
      </w:r>
      <w:r>
        <w:rPr>
          <w:color w:val="auto"/>
          <w:highlight w:val="none"/>
        </w:rPr>
        <w:fldChar w:fldCharType="end"/>
      </w:r>
      <w:r>
        <w:rPr>
          <w:rFonts w:ascii="Times New Roman" w:hAnsi="Times New Roman"/>
          <w:color w:val="auto"/>
          <w:szCs w:val="28"/>
          <w:highlight w:val="none"/>
        </w:rPr>
        <w:fldChar w:fldCharType="end"/>
      </w:r>
    </w:p>
    <w:p w14:paraId="0108A23D">
      <w:pPr>
        <w:pStyle w:val="38"/>
        <w:tabs>
          <w:tab w:val="right" w:leader="dot" w:pos="8504"/>
        </w:tabs>
        <w:rPr>
          <w:color w:val="auto"/>
          <w:highlight w:val="none"/>
        </w:rPr>
      </w:pPr>
      <w:r>
        <w:rPr>
          <w:rFonts w:ascii="Times New Roman" w:hAnsi="Times New Roman"/>
          <w:color w:val="auto"/>
          <w:szCs w:val="28"/>
          <w:highlight w:val="none"/>
        </w:rPr>
        <w:fldChar w:fldCharType="begin"/>
      </w:r>
      <w:r>
        <w:rPr>
          <w:rFonts w:ascii="Times New Roman" w:hAnsi="Times New Roman"/>
          <w:color w:val="auto"/>
          <w:szCs w:val="28"/>
          <w:highlight w:val="none"/>
        </w:rPr>
        <w:instrText xml:space="preserve"> HYPERLINK \l _Toc10549 </w:instrText>
      </w:r>
      <w:r>
        <w:rPr>
          <w:rFonts w:ascii="Times New Roman" w:hAnsi="Times New Roman"/>
          <w:color w:val="auto"/>
          <w:szCs w:val="28"/>
          <w:highlight w:val="none"/>
        </w:rPr>
        <w:fldChar w:fldCharType="separate"/>
      </w:r>
      <w:r>
        <w:rPr>
          <w:rFonts w:hint="eastAsia" w:ascii="Times New Roman" w:eastAsia="宋体"/>
          <w:color w:val="auto"/>
          <w:szCs w:val="28"/>
          <w:highlight w:val="none"/>
        </w:rPr>
        <w:t xml:space="preserve">2.5 </w:t>
      </w:r>
      <w:r>
        <w:rPr>
          <w:rFonts w:ascii="Times New Roman" w:eastAsia="宋体"/>
          <w:color w:val="auto"/>
          <w:szCs w:val="28"/>
          <w:highlight w:val="none"/>
        </w:rPr>
        <w:t>评价范围和环境保护目标</w:t>
      </w:r>
      <w:r>
        <w:rPr>
          <w:color w:val="auto"/>
          <w:highlight w:val="none"/>
        </w:rPr>
        <w:tab/>
      </w:r>
      <w:r>
        <w:rPr>
          <w:color w:val="auto"/>
          <w:highlight w:val="none"/>
        </w:rPr>
        <w:fldChar w:fldCharType="begin"/>
      </w:r>
      <w:r>
        <w:rPr>
          <w:color w:val="auto"/>
          <w:highlight w:val="none"/>
        </w:rPr>
        <w:instrText xml:space="preserve"> PAGEREF _Toc10549 \h </w:instrText>
      </w:r>
      <w:r>
        <w:rPr>
          <w:color w:val="auto"/>
          <w:highlight w:val="none"/>
        </w:rPr>
        <w:fldChar w:fldCharType="separate"/>
      </w:r>
      <w:r>
        <w:rPr>
          <w:color w:val="auto"/>
          <w:highlight w:val="none"/>
        </w:rPr>
        <w:t>36</w:t>
      </w:r>
      <w:r>
        <w:rPr>
          <w:color w:val="auto"/>
          <w:highlight w:val="none"/>
        </w:rPr>
        <w:fldChar w:fldCharType="end"/>
      </w:r>
      <w:r>
        <w:rPr>
          <w:rFonts w:ascii="Times New Roman" w:hAnsi="Times New Roman"/>
          <w:color w:val="auto"/>
          <w:szCs w:val="28"/>
          <w:highlight w:val="none"/>
        </w:rPr>
        <w:fldChar w:fldCharType="end"/>
      </w:r>
    </w:p>
    <w:p w14:paraId="60FB34A8">
      <w:pPr>
        <w:pStyle w:val="38"/>
        <w:tabs>
          <w:tab w:val="right" w:leader="dot" w:pos="8504"/>
        </w:tabs>
        <w:rPr>
          <w:color w:val="auto"/>
          <w:highlight w:val="none"/>
        </w:rPr>
      </w:pPr>
      <w:r>
        <w:rPr>
          <w:rFonts w:ascii="Times New Roman" w:hAnsi="Times New Roman"/>
          <w:color w:val="auto"/>
          <w:szCs w:val="28"/>
          <w:highlight w:val="none"/>
        </w:rPr>
        <w:fldChar w:fldCharType="begin"/>
      </w:r>
      <w:r>
        <w:rPr>
          <w:rFonts w:ascii="Times New Roman" w:hAnsi="Times New Roman"/>
          <w:color w:val="auto"/>
          <w:szCs w:val="28"/>
          <w:highlight w:val="none"/>
        </w:rPr>
        <w:instrText xml:space="preserve"> HYPERLINK \l _Toc14893 </w:instrText>
      </w:r>
      <w:r>
        <w:rPr>
          <w:rFonts w:ascii="Times New Roman" w:hAnsi="Times New Roman"/>
          <w:color w:val="auto"/>
          <w:szCs w:val="28"/>
          <w:highlight w:val="none"/>
        </w:rPr>
        <w:fldChar w:fldCharType="separate"/>
      </w:r>
      <w:r>
        <w:rPr>
          <w:rFonts w:hint="eastAsia" w:ascii="Times New Roman" w:eastAsia="宋体"/>
          <w:color w:val="auto"/>
          <w:szCs w:val="28"/>
          <w:highlight w:val="none"/>
        </w:rPr>
        <w:t xml:space="preserve">2.6 </w:t>
      </w:r>
      <w:r>
        <w:rPr>
          <w:rFonts w:ascii="Times New Roman" w:eastAsia="宋体"/>
          <w:color w:val="auto"/>
          <w:szCs w:val="28"/>
          <w:highlight w:val="none"/>
        </w:rPr>
        <w:t>环境功能区划及相关规划</w:t>
      </w:r>
      <w:r>
        <w:rPr>
          <w:color w:val="auto"/>
          <w:highlight w:val="none"/>
        </w:rPr>
        <w:tab/>
      </w:r>
      <w:r>
        <w:rPr>
          <w:color w:val="auto"/>
          <w:highlight w:val="none"/>
        </w:rPr>
        <w:fldChar w:fldCharType="begin"/>
      </w:r>
      <w:r>
        <w:rPr>
          <w:color w:val="auto"/>
          <w:highlight w:val="none"/>
        </w:rPr>
        <w:instrText xml:space="preserve"> PAGEREF _Toc14893 \h </w:instrText>
      </w:r>
      <w:r>
        <w:rPr>
          <w:color w:val="auto"/>
          <w:highlight w:val="none"/>
        </w:rPr>
        <w:fldChar w:fldCharType="separate"/>
      </w:r>
      <w:r>
        <w:rPr>
          <w:color w:val="auto"/>
          <w:highlight w:val="none"/>
        </w:rPr>
        <w:t>41</w:t>
      </w:r>
      <w:r>
        <w:rPr>
          <w:color w:val="auto"/>
          <w:highlight w:val="none"/>
        </w:rPr>
        <w:fldChar w:fldCharType="end"/>
      </w:r>
      <w:r>
        <w:rPr>
          <w:rFonts w:ascii="Times New Roman" w:hAnsi="Times New Roman"/>
          <w:color w:val="auto"/>
          <w:szCs w:val="28"/>
          <w:highlight w:val="none"/>
        </w:rPr>
        <w:fldChar w:fldCharType="end"/>
      </w:r>
    </w:p>
    <w:p w14:paraId="1B4E15F0">
      <w:pPr>
        <w:pStyle w:val="32"/>
        <w:tabs>
          <w:tab w:val="right" w:leader="dot" w:pos="8504"/>
        </w:tabs>
        <w:rPr>
          <w:color w:val="auto"/>
          <w:highlight w:val="none"/>
        </w:rPr>
      </w:pPr>
      <w:r>
        <w:rPr>
          <w:rFonts w:ascii="Times New Roman" w:hAnsi="Times New Roman"/>
          <w:color w:val="auto"/>
          <w:szCs w:val="28"/>
          <w:highlight w:val="none"/>
        </w:rPr>
        <w:fldChar w:fldCharType="begin"/>
      </w:r>
      <w:r>
        <w:rPr>
          <w:rFonts w:ascii="Times New Roman" w:hAnsi="Times New Roman"/>
          <w:color w:val="auto"/>
          <w:szCs w:val="28"/>
          <w:highlight w:val="none"/>
        </w:rPr>
        <w:instrText xml:space="preserve"> HYPERLINK \l _Toc32471 </w:instrText>
      </w:r>
      <w:r>
        <w:rPr>
          <w:rFonts w:ascii="Times New Roman" w:hAnsi="Times New Roman"/>
          <w:color w:val="auto"/>
          <w:szCs w:val="28"/>
          <w:highlight w:val="none"/>
        </w:rPr>
        <w:fldChar w:fldCharType="separate"/>
      </w:r>
      <w:r>
        <w:rPr>
          <w:rFonts w:hint="eastAsia" w:ascii="Times New Roman" w:eastAsia="宋体"/>
          <w:color w:val="auto"/>
          <w:szCs w:val="32"/>
          <w:highlight w:val="none"/>
        </w:rPr>
        <w:t xml:space="preserve">3 </w:t>
      </w:r>
      <w:r>
        <w:rPr>
          <w:rFonts w:ascii="Times New Roman" w:eastAsia="宋体"/>
          <w:color w:val="auto"/>
          <w:szCs w:val="32"/>
          <w:highlight w:val="none"/>
        </w:rPr>
        <w:t>现有项目情况</w:t>
      </w:r>
      <w:r>
        <w:rPr>
          <w:color w:val="auto"/>
          <w:highlight w:val="none"/>
        </w:rPr>
        <w:tab/>
      </w:r>
      <w:r>
        <w:rPr>
          <w:color w:val="auto"/>
          <w:highlight w:val="none"/>
        </w:rPr>
        <w:fldChar w:fldCharType="begin"/>
      </w:r>
      <w:r>
        <w:rPr>
          <w:color w:val="auto"/>
          <w:highlight w:val="none"/>
        </w:rPr>
        <w:instrText xml:space="preserve"> PAGEREF _Toc32471 \h </w:instrText>
      </w:r>
      <w:r>
        <w:rPr>
          <w:color w:val="auto"/>
          <w:highlight w:val="none"/>
        </w:rPr>
        <w:fldChar w:fldCharType="separate"/>
      </w:r>
      <w:r>
        <w:rPr>
          <w:color w:val="auto"/>
          <w:highlight w:val="none"/>
        </w:rPr>
        <w:t>68</w:t>
      </w:r>
      <w:r>
        <w:rPr>
          <w:color w:val="auto"/>
          <w:highlight w:val="none"/>
        </w:rPr>
        <w:fldChar w:fldCharType="end"/>
      </w:r>
      <w:r>
        <w:rPr>
          <w:rFonts w:ascii="Times New Roman" w:hAnsi="Times New Roman"/>
          <w:color w:val="auto"/>
          <w:szCs w:val="28"/>
          <w:highlight w:val="none"/>
        </w:rPr>
        <w:fldChar w:fldCharType="end"/>
      </w:r>
    </w:p>
    <w:p w14:paraId="5CAD214D">
      <w:pPr>
        <w:pStyle w:val="38"/>
        <w:tabs>
          <w:tab w:val="right" w:leader="dot" w:pos="8504"/>
        </w:tabs>
        <w:rPr>
          <w:color w:val="auto"/>
          <w:highlight w:val="none"/>
        </w:rPr>
      </w:pPr>
      <w:r>
        <w:rPr>
          <w:rFonts w:ascii="Times New Roman" w:hAnsi="Times New Roman"/>
          <w:color w:val="auto"/>
          <w:szCs w:val="28"/>
          <w:highlight w:val="none"/>
        </w:rPr>
        <w:fldChar w:fldCharType="begin"/>
      </w:r>
      <w:r>
        <w:rPr>
          <w:rFonts w:ascii="Times New Roman" w:hAnsi="Times New Roman"/>
          <w:color w:val="auto"/>
          <w:szCs w:val="28"/>
          <w:highlight w:val="none"/>
        </w:rPr>
        <w:instrText xml:space="preserve"> HYPERLINK \l _Toc30038 </w:instrText>
      </w:r>
      <w:r>
        <w:rPr>
          <w:rFonts w:ascii="Times New Roman" w:hAnsi="Times New Roman"/>
          <w:color w:val="auto"/>
          <w:szCs w:val="28"/>
          <w:highlight w:val="none"/>
        </w:rPr>
        <w:fldChar w:fldCharType="separate"/>
      </w:r>
      <w:r>
        <w:rPr>
          <w:rFonts w:hint="eastAsia" w:ascii="Times New Roman" w:eastAsia="宋体"/>
          <w:color w:val="auto"/>
          <w:szCs w:val="28"/>
          <w:highlight w:val="none"/>
        </w:rPr>
        <w:t xml:space="preserve">3.1 </w:t>
      </w:r>
      <w:r>
        <w:rPr>
          <w:rFonts w:ascii="Times New Roman" w:eastAsia="宋体"/>
          <w:color w:val="auto"/>
          <w:szCs w:val="28"/>
          <w:highlight w:val="none"/>
        </w:rPr>
        <w:t>现有项目概况</w:t>
      </w:r>
      <w:r>
        <w:rPr>
          <w:color w:val="auto"/>
          <w:highlight w:val="none"/>
        </w:rPr>
        <w:tab/>
      </w:r>
      <w:r>
        <w:rPr>
          <w:color w:val="auto"/>
          <w:highlight w:val="none"/>
        </w:rPr>
        <w:fldChar w:fldCharType="begin"/>
      </w:r>
      <w:r>
        <w:rPr>
          <w:color w:val="auto"/>
          <w:highlight w:val="none"/>
        </w:rPr>
        <w:instrText xml:space="preserve"> PAGEREF _Toc30038 \h </w:instrText>
      </w:r>
      <w:r>
        <w:rPr>
          <w:color w:val="auto"/>
          <w:highlight w:val="none"/>
        </w:rPr>
        <w:fldChar w:fldCharType="separate"/>
      </w:r>
      <w:r>
        <w:rPr>
          <w:color w:val="auto"/>
          <w:highlight w:val="none"/>
        </w:rPr>
        <w:t>68</w:t>
      </w:r>
      <w:r>
        <w:rPr>
          <w:color w:val="auto"/>
          <w:highlight w:val="none"/>
        </w:rPr>
        <w:fldChar w:fldCharType="end"/>
      </w:r>
      <w:r>
        <w:rPr>
          <w:rFonts w:ascii="Times New Roman" w:hAnsi="Times New Roman"/>
          <w:color w:val="auto"/>
          <w:szCs w:val="28"/>
          <w:highlight w:val="none"/>
        </w:rPr>
        <w:fldChar w:fldCharType="end"/>
      </w:r>
    </w:p>
    <w:p w14:paraId="1192CCF3">
      <w:pPr>
        <w:pStyle w:val="38"/>
        <w:tabs>
          <w:tab w:val="right" w:leader="dot" w:pos="8504"/>
        </w:tabs>
        <w:rPr>
          <w:color w:val="auto"/>
          <w:highlight w:val="none"/>
        </w:rPr>
      </w:pPr>
      <w:r>
        <w:rPr>
          <w:rFonts w:ascii="Times New Roman" w:hAnsi="Times New Roman"/>
          <w:color w:val="auto"/>
          <w:szCs w:val="28"/>
          <w:highlight w:val="none"/>
        </w:rPr>
        <w:fldChar w:fldCharType="begin"/>
      </w:r>
      <w:r>
        <w:rPr>
          <w:rFonts w:ascii="Times New Roman" w:hAnsi="Times New Roman"/>
          <w:color w:val="auto"/>
          <w:szCs w:val="28"/>
          <w:highlight w:val="none"/>
        </w:rPr>
        <w:instrText xml:space="preserve"> HYPERLINK \l _Toc722 </w:instrText>
      </w:r>
      <w:r>
        <w:rPr>
          <w:rFonts w:ascii="Times New Roman" w:hAnsi="Times New Roman"/>
          <w:color w:val="auto"/>
          <w:szCs w:val="28"/>
          <w:highlight w:val="none"/>
        </w:rPr>
        <w:fldChar w:fldCharType="separate"/>
      </w:r>
      <w:r>
        <w:rPr>
          <w:rFonts w:hint="eastAsia" w:ascii="Times New Roman" w:eastAsia="宋体"/>
          <w:color w:val="auto"/>
          <w:szCs w:val="28"/>
          <w:highlight w:val="none"/>
        </w:rPr>
        <w:t xml:space="preserve">3.2 </w:t>
      </w:r>
      <w:r>
        <w:rPr>
          <w:rFonts w:ascii="Times New Roman" w:eastAsia="宋体"/>
          <w:color w:val="auto"/>
          <w:szCs w:val="28"/>
          <w:highlight w:val="none"/>
        </w:rPr>
        <w:t>现有项目生产规模及工程内容</w:t>
      </w:r>
      <w:r>
        <w:rPr>
          <w:color w:val="auto"/>
          <w:highlight w:val="none"/>
        </w:rPr>
        <w:tab/>
      </w:r>
      <w:r>
        <w:rPr>
          <w:color w:val="auto"/>
          <w:highlight w:val="none"/>
        </w:rPr>
        <w:fldChar w:fldCharType="begin"/>
      </w:r>
      <w:r>
        <w:rPr>
          <w:color w:val="auto"/>
          <w:highlight w:val="none"/>
        </w:rPr>
        <w:instrText xml:space="preserve"> PAGEREF _Toc722 \h </w:instrText>
      </w:r>
      <w:r>
        <w:rPr>
          <w:color w:val="auto"/>
          <w:highlight w:val="none"/>
        </w:rPr>
        <w:fldChar w:fldCharType="separate"/>
      </w:r>
      <w:r>
        <w:rPr>
          <w:color w:val="auto"/>
          <w:highlight w:val="none"/>
        </w:rPr>
        <w:t>69</w:t>
      </w:r>
      <w:r>
        <w:rPr>
          <w:color w:val="auto"/>
          <w:highlight w:val="none"/>
        </w:rPr>
        <w:fldChar w:fldCharType="end"/>
      </w:r>
      <w:r>
        <w:rPr>
          <w:rFonts w:ascii="Times New Roman" w:hAnsi="Times New Roman"/>
          <w:color w:val="auto"/>
          <w:szCs w:val="28"/>
          <w:highlight w:val="none"/>
        </w:rPr>
        <w:fldChar w:fldCharType="end"/>
      </w:r>
    </w:p>
    <w:p w14:paraId="5BE1D501">
      <w:pPr>
        <w:pStyle w:val="38"/>
        <w:tabs>
          <w:tab w:val="right" w:leader="dot" w:pos="8504"/>
        </w:tabs>
        <w:rPr>
          <w:color w:val="auto"/>
          <w:highlight w:val="none"/>
        </w:rPr>
      </w:pPr>
      <w:r>
        <w:rPr>
          <w:rFonts w:ascii="Times New Roman" w:hAnsi="Times New Roman"/>
          <w:color w:val="auto"/>
          <w:szCs w:val="28"/>
          <w:highlight w:val="none"/>
        </w:rPr>
        <w:fldChar w:fldCharType="begin"/>
      </w:r>
      <w:r>
        <w:rPr>
          <w:rFonts w:ascii="Times New Roman" w:hAnsi="Times New Roman"/>
          <w:color w:val="auto"/>
          <w:szCs w:val="28"/>
          <w:highlight w:val="none"/>
        </w:rPr>
        <w:instrText xml:space="preserve"> HYPERLINK \l _Toc3106 </w:instrText>
      </w:r>
      <w:r>
        <w:rPr>
          <w:rFonts w:ascii="Times New Roman" w:hAnsi="Times New Roman"/>
          <w:color w:val="auto"/>
          <w:szCs w:val="28"/>
          <w:highlight w:val="none"/>
        </w:rPr>
        <w:fldChar w:fldCharType="separate"/>
      </w:r>
      <w:r>
        <w:rPr>
          <w:rFonts w:hint="eastAsia" w:ascii="Times New Roman" w:eastAsia="宋体"/>
          <w:color w:val="auto"/>
          <w:szCs w:val="28"/>
          <w:highlight w:val="none"/>
        </w:rPr>
        <w:t xml:space="preserve">3.3 </w:t>
      </w:r>
      <w:r>
        <w:rPr>
          <w:rFonts w:ascii="Times New Roman" w:eastAsia="宋体"/>
          <w:color w:val="auto"/>
          <w:szCs w:val="28"/>
          <w:highlight w:val="none"/>
        </w:rPr>
        <w:t>现有项目工程分析</w:t>
      </w:r>
      <w:r>
        <w:rPr>
          <w:color w:val="auto"/>
          <w:highlight w:val="none"/>
        </w:rPr>
        <w:tab/>
      </w:r>
      <w:r>
        <w:rPr>
          <w:color w:val="auto"/>
          <w:highlight w:val="none"/>
        </w:rPr>
        <w:fldChar w:fldCharType="begin"/>
      </w:r>
      <w:r>
        <w:rPr>
          <w:color w:val="auto"/>
          <w:highlight w:val="none"/>
        </w:rPr>
        <w:instrText xml:space="preserve"> PAGEREF _Toc3106 \h </w:instrText>
      </w:r>
      <w:r>
        <w:rPr>
          <w:color w:val="auto"/>
          <w:highlight w:val="none"/>
        </w:rPr>
        <w:fldChar w:fldCharType="separate"/>
      </w:r>
      <w:r>
        <w:rPr>
          <w:color w:val="auto"/>
          <w:highlight w:val="none"/>
        </w:rPr>
        <w:t>73</w:t>
      </w:r>
      <w:r>
        <w:rPr>
          <w:color w:val="auto"/>
          <w:highlight w:val="none"/>
        </w:rPr>
        <w:fldChar w:fldCharType="end"/>
      </w:r>
      <w:r>
        <w:rPr>
          <w:rFonts w:ascii="Times New Roman" w:hAnsi="Times New Roman"/>
          <w:color w:val="auto"/>
          <w:szCs w:val="28"/>
          <w:highlight w:val="none"/>
        </w:rPr>
        <w:fldChar w:fldCharType="end"/>
      </w:r>
    </w:p>
    <w:p w14:paraId="69EE9FF0">
      <w:pPr>
        <w:pStyle w:val="32"/>
        <w:tabs>
          <w:tab w:val="right" w:leader="dot" w:pos="8504"/>
        </w:tabs>
        <w:rPr>
          <w:color w:val="auto"/>
          <w:highlight w:val="none"/>
        </w:rPr>
      </w:pPr>
      <w:r>
        <w:rPr>
          <w:rFonts w:ascii="Times New Roman" w:hAnsi="Times New Roman"/>
          <w:color w:val="auto"/>
          <w:szCs w:val="28"/>
          <w:highlight w:val="none"/>
        </w:rPr>
        <w:fldChar w:fldCharType="begin"/>
      </w:r>
      <w:r>
        <w:rPr>
          <w:rFonts w:ascii="Times New Roman" w:hAnsi="Times New Roman"/>
          <w:color w:val="auto"/>
          <w:szCs w:val="28"/>
          <w:highlight w:val="none"/>
        </w:rPr>
        <w:instrText xml:space="preserve"> HYPERLINK \l _Toc3286 </w:instrText>
      </w:r>
      <w:r>
        <w:rPr>
          <w:rFonts w:ascii="Times New Roman" w:hAnsi="Times New Roman"/>
          <w:color w:val="auto"/>
          <w:szCs w:val="28"/>
          <w:highlight w:val="none"/>
        </w:rPr>
        <w:fldChar w:fldCharType="separate"/>
      </w:r>
      <w:r>
        <w:rPr>
          <w:rFonts w:hint="eastAsia" w:ascii="Times New Roman" w:eastAsia="宋体"/>
          <w:color w:val="auto"/>
          <w:szCs w:val="32"/>
          <w:highlight w:val="none"/>
        </w:rPr>
        <w:t xml:space="preserve">4 </w:t>
      </w:r>
      <w:r>
        <w:rPr>
          <w:rFonts w:ascii="Times New Roman" w:eastAsia="宋体"/>
          <w:color w:val="auto"/>
          <w:szCs w:val="32"/>
          <w:highlight w:val="none"/>
        </w:rPr>
        <w:t>本项目概况与工程分析</w:t>
      </w:r>
      <w:r>
        <w:rPr>
          <w:color w:val="auto"/>
          <w:highlight w:val="none"/>
        </w:rPr>
        <w:tab/>
      </w:r>
      <w:r>
        <w:rPr>
          <w:color w:val="auto"/>
          <w:highlight w:val="none"/>
        </w:rPr>
        <w:fldChar w:fldCharType="begin"/>
      </w:r>
      <w:r>
        <w:rPr>
          <w:color w:val="auto"/>
          <w:highlight w:val="none"/>
        </w:rPr>
        <w:instrText xml:space="preserve"> PAGEREF _Toc3286 \h </w:instrText>
      </w:r>
      <w:r>
        <w:rPr>
          <w:color w:val="auto"/>
          <w:highlight w:val="none"/>
        </w:rPr>
        <w:fldChar w:fldCharType="separate"/>
      </w:r>
      <w:r>
        <w:rPr>
          <w:color w:val="auto"/>
          <w:highlight w:val="none"/>
        </w:rPr>
        <w:t>96</w:t>
      </w:r>
      <w:r>
        <w:rPr>
          <w:color w:val="auto"/>
          <w:highlight w:val="none"/>
        </w:rPr>
        <w:fldChar w:fldCharType="end"/>
      </w:r>
      <w:r>
        <w:rPr>
          <w:rFonts w:ascii="Times New Roman" w:hAnsi="Times New Roman"/>
          <w:color w:val="auto"/>
          <w:szCs w:val="28"/>
          <w:highlight w:val="none"/>
        </w:rPr>
        <w:fldChar w:fldCharType="end"/>
      </w:r>
    </w:p>
    <w:p w14:paraId="67923499">
      <w:pPr>
        <w:pStyle w:val="38"/>
        <w:tabs>
          <w:tab w:val="right" w:leader="dot" w:pos="8504"/>
        </w:tabs>
        <w:rPr>
          <w:color w:val="auto"/>
          <w:highlight w:val="none"/>
        </w:rPr>
      </w:pPr>
      <w:r>
        <w:rPr>
          <w:rFonts w:ascii="Times New Roman" w:hAnsi="Times New Roman"/>
          <w:color w:val="auto"/>
          <w:szCs w:val="28"/>
          <w:highlight w:val="none"/>
        </w:rPr>
        <w:fldChar w:fldCharType="begin"/>
      </w:r>
      <w:r>
        <w:rPr>
          <w:rFonts w:ascii="Times New Roman" w:hAnsi="Times New Roman"/>
          <w:color w:val="auto"/>
          <w:szCs w:val="28"/>
          <w:highlight w:val="none"/>
        </w:rPr>
        <w:instrText xml:space="preserve"> HYPERLINK \l _Toc24317 </w:instrText>
      </w:r>
      <w:r>
        <w:rPr>
          <w:rFonts w:ascii="Times New Roman" w:hAnsi="Times New Roman"/>
          <w:color w:val="auto"/>
          <w:szCs w:val="28"/>
          <w:highlight w:val="none"/>
        </w:rPr>
        <w:fldChar w:fldCharType="separate"/>
      </w:r>
      <w:r>
        <w:rPr>
          <w:rFonts w:hint="eastAsia" w:ascii="Times New Roman" w:eastAsia="宋体"/>
          <w:color w:val="auto"/>
          <w:szCs w:val="28"/>
          <w:highlight w:val="none"/>
        </w:rPr>
        <w:t xml:space="preserve">4.1 </w:t>
      </w:r>
      <w:r>
        <w:rPr>
          <w:rFonts w:ascii="Times New Roman" w:eastAsia="宋体"/>
          <w:color w:val="auto"/>
          <w:szCs w:val="28"/>
          <w:highlight w:val="none"/>
        </w:rPr>
        <w:t>项目概况</w:t>
      </w:r>
      <w:r>
        <w:rPr>
          <w:color w:val="auto"/>
          <w:highlight w:val="none"/>
        </w:rPr>
        <w:tab/>
      </w:r>
      <w:r>
        <w:rPr>
          <w:color w:val="auto"/>
          <w:highlight w:val="none"/>
        </w:rPr>
        <w:fldChar w:fldCharType="begin"/>
      </w:r>
      <w:r>
        <w:rPr>
          <w:color w:val="auto"/>
          <w:highlight w:val="none"/>
        </w:rPr>
        <w:instrText xml:space="preserve"> PAGEREF _Toc24317 \h </w:instrText>
      </w:r>
      <w:r>
        <w:rPr>
          <w:color w:val="auto"/>
          <w:highlight w:val="none"/>
        </w:rPr>
        <w:fldChar w:fldCharType="separate"/>
      </w:r>
      <w:r>
        <w:rPr>
          <w:color w:val="auto"/>
          <w:highlight w:val="none"/>
        </w:rPr>
        <w:t>96</w:t>
      </w:r>
      <w:r>
        <w:rPr>
          <w:color w:val="auto"/>
          <w:highlight w:val="none"/>
        </w:rPr>
        <w:fldChar w:fldCharType="end"/>
      </w:r>
      <w:r>
        <w:rPr>
          <w:rFonts w:ascii="Times New Roman" w:hAnsi="Times New Roman"/>
          <w:color w:val="auto"/>
          <w:szCs w:val="28"/>
          <w:highlight w:val="none"/>
        </w:rPr>
        <w:fldChar w:fldCharType="end"/>
      </w:r>
    </w:p>
    <w:p w14:paraId="72F5BC26">
      <w:pPr>
        <w:pStyle w:val="38"/>
        <w:tabs>
          <w:tab w:val="right" w:leader="dot" w:pos="8504"/>
        </w:tabs>
        <w:rPr>
          <w:color w:val="auto"/>
          <w:highlight w:val="none"/>
        </w:rPr>
      </w:pPr>
      <w:r>
        <w:rPr>
          <w:rFonts w:ascii="Times New Roman" w:hAnsi="Times New Roman"/>
          <w:color w:val="auto"/>
          <w:szCs w:val="28"/>
          <w:highlight w:val="none"/>
        </w:rPr>
        <w:fldChar w:fldCharType="begin"/>
      </w:r>
      <w:r>
        <w:rPr>
          <w:rFonts w:ascii="Times New Roman" w:hAnsi="Times New Roman"/>
          <w:color w:val="auto"/>
          <w:szCs w:val="28"/>
          <w:highlight w:val="none"/>
        </w:rPr>
        <w:instrText xml:space="preserve"> HYPERLINK \l _Toc11571 </w:instrText>
      </w:r>
      <w:r>
        <w:rPr>
          <w:rFonts w:ascii="Times New Roman" w:hAnsi="Times New Roman"/>
          <w:color w:val="auto"/>
          <w:szCs w:val="28"/>
          <w:highlight w:val="none"/>
        </w:rPr>
        <w:fldChar w:fldCharType="separate"/>
      </w:r>
      <w:r>
        <w:rPr>
          <w:rFonts w:hint="eastAsia" w:ascii="Times New Roman" w:eastAsia="宋体"/>
          <w:color w:val="auto"/>
          <w:szCs w:val="28"/>
          <w:highlight w:val="none"/>
        </w:rPr>
        <w:t xml:space="preserve">4.2 </w:t>
      </w:r>
      <w:r>
        <w:rPr>
          <w:rFonts w:ascii="Times New Roman" w:eastAsia="宋体"/>
          <w:color w:val="auto"/>
          <w:szCs w:val="28"/>
          <w:highlight w:val="none"/>
        </w:rPr>
        <w:t>营运期工艺流程及产污环节分析</w:t>
      </w:r>
      <w:r>
        <w:rPr>
          <w:color w:val="auto"/>
          <w:highlight w:val="none"/>
        </w:rPr>
        <w:tab/>
      </w:r>
      <w:r>
        <w:rPr>
          <w:color w:val="auto"/>
          <w:highlight w:val="none"/>
        </w:rPr>
        <w:fldChar w:fldCharType="begin"/>
      </w:r>
      <w:r>
        <w:rPr>
          <w:color w:val="auto"/>
          <w:highlight w:val="none"/>
        </w:rPr>
        <w:instrText xml:space="preserve"> PAGEREF _Toc11571 \h </w:instrText>
      </w:r>
      <w:r>
        <w:rPr>
          <w:color w:val="auto"/>
          <w:highlight w:val="none"/>
        </w:rPr>
        <w:fldChar w:fldCharType="separate"/>
      </w:r>
      <w:r>
        <w:rPr>
          <w:color w:val="auto"/>
          <w:highlight w:val="none"/>
        </w:rPr>
        <w:t>100</w:t>
      </w:r>
      <w:r>
        <w:rPr>
          <w:color w:val="auto"/>
          <w:highlight w:val="none"/>
        </w:rPr>
        <w:fldChar w:fldCharType="end"/>
      </w:r>
      <w:r>
        <w:rPr>
          <w:rFonts w:ascii="Times New Roman" w:hAnsi="Times New Roman"/>
          <w:color w:val="auto"/>
          <w:szCs w:val="28"/>
          <w:highlight w:val="none"/>
        </w:rPr>
        <w:fldChar w:fldCharType="end"/>
      </w:r>
    </w:p>
    <w:p w14:paraId="58952297">
      <w:pPr>
        <w:pStyle w:val="38"/>
        <w:tabs>
          <w:tab w:val="right" w:leader="dot" w:pos="8504"/>
        </w:tabs>
        <w:rPr>
          <w:color w:val="auto"/>
          <w:highlight w:val="none"/>
        </w:rPr>
      </w:pPr>
      <w:r>
        <w:rPr>
          <w:rFonts w:ascii="Times New Roman" w:hAnsi="Times New Roman"/>
          <w:color w:val="auto"/>
          <w:szCs w:val="28"/>
          <w:highlight w:val="none"/>
        </w:rPr>
        <w:fldChar w:fldCharType="begin"/>
      </w:r>
      <w:r>
        <w:rPr>
          <w:rFonts w:ascii="Times New Roman" w:hAnsi="Times New Roman"/>
          <w:color w:val="auto"/>
          <w:szCs w:val="28"/>
          <w:highlight w:val="none"/>
        </w:rPr>
        <w:instrText xml:space="preserve"> HYPERLINK \l _Toc28735 </w:instrText>
      </w:r>
      <w:r>
        <w:rPr>
          <w:rFonts w:ascii="Times New Roman" w:hAnsi="Times New Roman"/>
          <w:color w:val="auto"/>
          <w:szCs w:val="28"/>
          <w:highlight w:val="none"/>
        </w:rPr>
        <w:fldChar w:fldCharType="separate"/>
      </w:r>
      <w:r>
        <w:rPr>
          <w:rFonts w:hint="eastAsia" w:ascii="Times New Roman" w:eastAsia="宋体"/>
          <w:color w:val="auto"/>
          <w:szCs w:val="28"/>
          <w:highlight w:val="none"/>
        </w:rPr>
        <w:t xml:space="preserve">4.3 </w:t>
      </w:r>
      <w:r>
        <w:rPr>
          <w:rFonts w:ascii="Times New Roman" w:eastAsia="宋体"/>
          <w:color w:val="auto"/>
          <w:szCs w:val="28"/>
          <w:highlight w:val="none"/>
        </w:rPr>
        <w:t>主要原辅材料与资源能源消耗</w:t>
      </w:r>
      <w:r>
        <w:rPr>
          <w:color w:val="auto"/>
          <w:highlight w:val="none"/>
        </w:rPr>
        <w:tab/>
      </w:r>
      <w:r>
        <w:rPr>
          <w:color w:val="auto"/>
          <w:highlight w:val="none"/>
        </w:rPr>
        <w:fldChar w:fldCharType="begin"/>
      </w:r>
      <w:r>
        <w:rPr>
          <w:color w:val="auto"/>
          <w:highlight w:val="none"/>
        </w:rPr>
        <w:instrText xml:space="preserve"> PAGEREF _Toc28735 \h </w:instrText>
      </w:r>
      <w:r>
        <w:rPr>
          <w:color w:val="auto"/>
          <w:highlight w:val="none"/>
        </w:rPr>
        <w:fldChar w:fldCharType="separate"/>
      </w:r>
      <w:r>
        <w:rPr>
          <w:color w:val="auto"/>
          <w:highlight w:val="none"/>
        </w:rPr>
        <w:t>106</w:t>
      </w:r>
      <w:r>
        <w:rPr>
          <w:color w:val="auto"/>
          <w:highlight w:val="none"/>
        </w:rPr>
        <w:fldChar w:fldCharType="end"/>
      </w:r>
      <w:r>
        <w:rPr>
          <w:rFonts w:ascii="Times New Roman" w:hAnsi="Times New Roman"/>
          <w:color w:val="auto"/>
          <w:szCs w:val="28"/>
          <w:highlight w:val="none"/>
        </w:rPr>
        <w:fldChar w:fldCharType="end"/>
      </w:r>
    </w:p>
    <w:p w14:paraId="77E05912">
      <w:pPr>
        <w:pStyle w:val="38"/>
        <w:tabs>
          <w:tab w:val="right" w:leader="dot" w:pos="8504"/>
        </w:tabs>
        <w:rPr>
          <w:color w:val="auto"/>
          <w:highlight w:val="none"/>
        </w:rPr>
      </w:pPr>
      <w:r>
        <w:rPr>
          <w:rFonts w:ascii="Times New Roman" w:hAnsi="Times New Roman"/>
          <w:color w:val="auto"/>
          <w:szCs w:val="28"/>
          <w:highlight w:val="none"/>
        </w:rPr>
        <w:fldChar w:fldCharType="begin"/>
      </w:r>
      <w:r>
        <w:rPr>
          <w:rFonts w:ascii="Times New Roman" w:hAnsi="Times New Roman"/>
          <w:color w:val="auto"/>
          <w:szCs w:val="28"/>
          <w:highlight w:val="none"/>
        </w:rPr>
        <w:instrText xml:space="preserve"> HYPERLINK \l _Toc27392 </w:instrText>
      </w:r>
      <w:r>
        <w:rPr>
          <w:rFonts w:ascii="Times New Roman" w:hAnsi="Times New Roman"/>
          <w:color w:val="auto"/>
          <w:szCs w:val="28"/>
          <w:highlight w:val="none"/>
        </w:rPr>
        <w:fldChar w:fldCharType="separate"/>
      </w:r>
      <w:r>
        <w:rPr>
          <w:rFonts w:hint="eastAsia" w:ascii="Times New Roman" w:eastAsia="宋体"/>
          <w:color w:val="auto"/>
          <w:szCs w:val="28"/>
          <w:highlight w:val="none"/>
        </w:rPr>
        <w:t xml:space="preserve">4.4 </w:t>
      </w:r>
      <w:r>
        <w:rPr>
          <w:rFonts w:ascii="Times New Roman" w:eastAsia="宋体"/>
          <w:color w:val="auto"/>
          <w:szCs w:val="28"/>
          <w:highlight w:val="none"/>
        </w:rPr>
        <w:t>主要生产设备及辅助设备</w:t>
      </w:r>
      <w:r>
        <w:rPr>
          <w:color w:val="auto"/>
          <w:highlight w:val="none"/>
        </w:rPr>
        <w:tab/>
      </w:r>
      <w:r>
        <w:rPr>
          <w:color w:val="auto"/>
          <w:highlight w:val="none"/>
        </w:rPr>
        <w:fldChar w:fldCharType="begin"/>
      </w:r>
      <w:r>
        <w:rPr>
          <w:color w:val="auto"/>
          <w:highlight w:val="none"/>
        </w:rPr>
        <w:instrText xml:space="preserve"> PAGEREF _Toc27392 \h </w:instrText>
      </w:r>
      <w:r>
        <w:rPr>
          <w:color w:val="auto"/>
          <w:highlight w:val="none"/>
        </w:rPr>
        <w:fldChar w:fldCharType="separate"/>
      </w:r>
      <w:r>
        <w:rPr>
          <w:color w:val="auto"/>
          <w:highlight w:val="none"/>
        </w:rPr>
        <w:t>107</w:t>
      </w:r>
      <w:r>
        <w:rPr>
          <w:color w:val="auto"/>
          <w:highlight w:val="none"/>
        </w:rPr>
        <w:fldChar w:fldCharType="end"/>
      </w:r>
      <w:r>
        <w:rPr>
          <w:rFonts w:ascii="Times New Roman" w:hAnsi="Times New Roman"/>
          <w:color w:val="auto"/>
          <w:szCs w:val="28"/>
          <w:highlight w:val="none"/>
        </w:rPr>
        <w:fldChar w:fldCharType="end"/>
      </w:r>
    </w:p>
    <w:p w14:paraId="1D2261C7">
      <w:pPr>
        <w:pStyle w:val="38"/>
        <w:tabs>
          <w:tab w:val="right" w:leader="dot" w:pos="8504"/>
        </w:tabs>
        <w:rPr>
          <w:color w:val="auto"/>
          <w:highlight w:val="none"/>
        </w:rPr>
      </w:pPr>
      <w:r>
        <w:rPr>
          <w:rFonts w:ascii="Times New Roman" w:hAnsi="Times New Roman"/>
          <w:color w:val="auto"/>
          <w:szCs w:val="28"/>
          <w:highlight w:val="none"/>
        </w:rPr>
        <w:fldChar w:fldCharType="begin"/>
      </w:r>
      <w:r>
        <w:rPr>
          <w:rFonts w:ascii="Times New Roman" w:hAnsi="Times New Roman"/>
          <w:color w:val="auto"/>
          <w:szCs w:val="28"/>
          <w:highlight w:val="none"/>
        </w:rPr>
        <w:instrText xml:space="preserve"> HYPERLINK \l _Toc2111 </w:instrText>
      </w:r>
      <w:r>
        <w:rPr>
          <w:rFonts w:ascii="Times New Roman" w:hAnsi="Times New Roman"/>
          <w:color w:val="auto"/>
          <w:szCs w:val="28"/>
          <w:highlight w:val="none"/>
        </w:rPr>
        <w:fldChar w:fldCharType="separate"/>
      </w:r>
      <w:r>
        <w:rPr>
          <w:rFonts w:hint="eastAsia" w:ascii="Times New Roman" w:eastAsia="宋体"/>
          <w:color w:val="auto"/>
          <w:szCs w:val="28"/>
          <w:highlight w:val="none"/>
        </w:rPr>
        <w:t>4.5 物料平衡及</w:t>
      </w:r>
      <w:r>
        <w:rPr>
          <w:rFonts w:ascii="Times New Roman" w:eastAsia="宋体"/>
          <w:color w:val="auto"/>
          <w:szCs w:val="28"/>
          <w:highlight w:val="none"/>
        </w:rPr>
        <w:t>水（汽）平衡</w:t>
      </w:r>
      <w:r>
        <w:rPr>
          <w:color w:val="auto"/>
          <w:highlight w:val="none"/>
        </w:rPr>
        <w:tab/>
      </w:r>
      <w:r>
        <w:rPr>
          <w:color w:val="auto"/>
          <w:highlight w:val="none"/>
        </w:rPr>
        <w:fldChar w:fldCharType="begin"/>
      </w:r>
      <w:r>
        <w:rPr>
          <w:color w:val="auto"/>
          <w:highlight w:val="none"/>
        </w:rPr>
        <w:instrText xml:space="preserve"> PAGEREF _Toc2111 \h </w:instrText>
      </w:r>
      <w:r>
        <w:rPr>
          <w:color w:val="auto"/>
          <w:highlight w:val="none"/>
        </w:rPr>
        <w:fldChar w:fldCharType="separate"/>
      </w:r>
      <w:r>
        <w:rPr>
          <w:color w:val="auto"/>
          <w:highlight w:val="none"/>
        </w:rPr>
        <w:t>109</w:t>
      </w:r>
      <w:r>
        <w:rPr>
          <w:color w:val="auto"/>
          <w:highlight w:val="none"/>
        </w:rPr>
        <w:fldChar w:fldCharType="end"/>
      </w:r>
      <w:r>
        <w:rPr>
          <w:rFonts w:ascii="Times New Roman" w:hAnsi="Times New Roman"/>
          <w:color w:val="auto"/>
          <w:szCs w:val="28"/>
          <w:highlight w:val="none"/>
        </w:rPr>
        <w:fldChar w:fldCharType="end"/>
      </w:r>
    </w:p>
    <w:p w14:paraId="41BD2708">
      <w:pPr>
        <w:pStyle w:val="38"/>
        <w:tabs>
          <w:tab w:val="right" w:leader="dot" w:pos="8504"/>
        </w:tabs>
        <w:rPr>
          <w:color w:val="auto"/>
          <w:highlight w:val="none"/>
        </w:rPr>
      </w:pPr>
      <w:r>
        <w:rPr>
          <w:rFonts w:ascii="Times New Roman" w:hAnsi="Times New Roman"/>
          <w:color w:val="auto"/>
          <w:szCs w:val="28"/>
          <w:highlight w:val="none"/>
        </w:rPr>
        <w:fldChar w:fldCharType="begin"/>
      </w:r>
      <w:r>
        <w:rPr>
          <w:rFonts w:ascii="Times New Roman" w:hAnsi="Times New Roman"/>
          <w:color w:val="auto"/>
          <w:szCs w:val="28"/>
          <w:highlight w:val="none"/>
        </w:rPr>
        <w:instrText xml:space="preserve"> HYPERLINK \l _Toc15469 </w:instrText>
      </w:r>
      <w:r>
        <w:rPr>
          <w:rFonts w:ascii="Times New Roman" w:hAnsi="Times New Roman"/>
          <w:color w:val="auto"/>
          <w:szCs w:val="28"/>
          <w:highlight w:val="none"/>
        </w:rPr>
        <w:fldChar w:fldCharType="separate"/>
      </w:r>
      <w:r>
        <w:rPr>
          <w:rFonts w:hint="eastAsia" w:ascii="Times New Roman" w:eastAsia="宋体"/>
          <w:color w:val="auto"/>
          <w:szCs w:val="28"/>
          <w:highlight w:val="none"/>
        </w:rPr>
        <w:t xml:space="preserve">4.6 </w:t>
      </w:r>
      <w:r>
        <w:rPr>
          <w:rFonts w:ascii="Times New Roman" w:eastAsia="宋体"/>
          <w:color w:val="auto"/>
          <w:szCs w:val="28"/>
          <w:highlight w:val="none"/>
        </w:rPr>
        <w:t>项目污染物源强核算</w:t>
      </w:r>
      <w:r>
        <w:rPr>
          <w:color w:val="auto"/>
          <w:highlight w:val="none"/>
        </w:rPr>
        <w:tab/>
      </w:r>
      <w:r>
        <w:rPr>
          <w:color w:val="auto"/>
          <w:highlight w:val="none"/>
        </w:rPr>
        <w:fldChar w:fldCharType="begin"/>
      </w:r>
      <w:r>
        <w:rPr>
          <w:color w:val="auto"/>
          <w:highlight w:val="none"/>
        </w:rPr>
        <w:instrText xml:space="preserve"> PAGEREF _Toc15469 \h </w:instrText>
      </w:r>
      <w:r>
        <w:rPr>
          <w:color w:val="auto"/>
          <w:highlight w:val="none"/>
        </w:rPr>
        <w:fldChar w:fldCharType="separate"/>
      </w:r>
      <w:r>
        <w:rPr>
          <w:color w:val="auto"/>
          <w:highlight w:val="none"/>
        </w:rPr>
        <w:t>112</w:t>
      </w:r>
      <w:r>
        <w:rPr>
          <w:color w:val="auto"/>
          <w:highlight w:val="none"/>
        </w:rPr>
        <w:fldChar w:fldCharType="end"/>
      </w:r>
      <w:r>
        <w:rPr>
          <w:rFonts w:ascii="Times New Roman" w:hAnsi="Times New Roman"/>
          <w:color w:val="auto"/>
          <w:szCs w:val="28"/>
          <w:highlight w:val="none"/>
        </w:rPr>
        <w:fldChar w:fldCharType="end"/>
      </w:r>
    </w:p>
    <w:p w14:paraId="33222C92">
      <w:pPr>
        <w:pStyle w:val="38"/>
        <w:tabs>
          <w:tab w:val="right" w:leader="dot" w:pos="8504"/>
        </w:tabs>
        <w:rPr>
          <w:color w:val="auto"/>
          <w:highlight w:val="none"/>
        </w:rPr>
      </w:pPr>
      <w:r>
        <w:rPr>
          <w:rFonts w:ascii="Times New Roman" w:hAnsi="Times New Roman"/>
          <w:color w:val="auto"/>
          <w:szCs w:val="28"/>
          <w:highlight w:val="none"/>
        </w:rPr>
        <w:fldChar w:fldCharType="begin"/>
      </w:r>
      <w:r>
        <w:rPr>
          <w:rFonts w:ascii="Times New Roman" w:hAnsi="Times New Roman"/>
          <w:color w:val="auto"/>
          <w:szCs w:val="28"/>
          <w:highlight w:val="none"/>
        </w:rPr>
        <w:instrText xml:space="preserve"> HYPERLINK \l _Toc7895 </w:instrText>
      </w:r>
      <w:r>
        <w:rPr>
          <w:rFonts w:ascii="Times New Roman" w:hAnsi="Times New Roman"/>
          <w:color w:val="auto"/>
          <w:szCs w:val="28"/>
          <w:highlight w:val="none"/>
        </w:rPr>
        <w:fldChar w:fldCharType="separate"/>
      </w:r>
      <w:r>
        <w:rPr>
          <w:rFonts w:hint="eastAsia" w:ascii="Times New Roman" w:eastAsia="宋体"/>
          <w:color w:val="auto"/>
          <w:szCs w:val="28"/>
          <w:highlight w:val="none"/>
        </w:rPr>
        <w:t xml:space="preserve">4.7 </w:t>
      </w:r>
      <w:r>
        <w:rPr>
          <w:rFonts w:ascii="Times New Roman" w:eastAsia="宋体"/>
          <w:color w:val="auto"/>
          <w:szCs w:val="28"/>
          <w:highlight w:val="none"/>
        </w:rPr>
        <w:t>污染物产生及排放情况汇总</w:t>
      </w:r>
      <w:r>
        <w:rPr>
          <w:color w:val="auto"/>
          <w:highlight w:val="none"/>
        </w:rPr>
        <w:tab/>
      </w:r>
      <w:r>
        <w:rPr>
          <w:color w:val="auto"/>
          <w:highlight w:val="none"/>
        </w:rPr>
        <w:fldChar w:fldCharType="begin"/>
      </w:r>
      <w:r>
        <w:rPr>
          <w:color w:val="auto"/>
          <w:highlight w:val="none"/>
        </w:rPr>
        <w:instrText xml:space="preserve"> PAGEREF _Toc7895 \h </w:instrText>
      </w:r>
      <w:r>
        <w:rPr>
          <w:color w:val="auto"/>
          <w:highlight w:val="none"/>
        </w:rPr>
        <w:fldChar w:fldCharType="separate"/>
      </w:r>
      <w:r>
        <w:rPr>
          <w:color w:val="auto"/>
          <w:highlight w:val="none"/>
        </w:rPr>
        <w:t>122</w:t>
      </w:r>
      <w:r>
        <w:rPr>
          <w:color w:val="auto"/>
          <w:highlight w:val="none"/>
        </w:rPr>
        <w:fldChar w:fldCharType="end"/>
      </w:r>
      <w:r>
        <w:rPr>
          <w:rFonts w:ascii="Times New Roman" w:hAnsi="Times New Roman"/>
          <w:color w:val="auto"/>
          <w:szCs w:val="28"/>
          <w:highlight w:val="none"/>
        </w:rPr>
        <w:fldChar w:fldCharType="end"/>
      </w:r>
    </w:p>
    <w:p w14:paraId="0BA14E15">
      <w:pPr>
        <w:pStyle w:val="38"/>
        <w:tabs>
          <w:tab w:val="right" w:leader="dot" w:pos="8504"/>
        </w:tabs>
        <w:rPr>
          <w:color w:val="auto"/>
          <w:highlight w:val="none"/>
        </w:rPr>
      </w:pPr>
      <w:r>
        <w:rPr>
          <w:rFonts w:ascii="Times New Roman" w:hAnsi="Times New Roman"/>
          <w:color w:val="auto"/>
          <w:szCs w:val="28"/>
          <w:highlight w:val="none"/>
        </w:rPr>
        <w:fldChar w:fldCharType="begin"/>
      </w:r>
      <w:r>
        <w:rPr>
          <w:rFonts w:ascii="Times New Roman" w:hAnsi="Times New Roman"/>
          <w:color w:val="auto"/>
          <w:szCs w:val="28"/>
          <w:highlight w:val="none"/>
        </w:rPr>
        <w:instrText xml:space="preserve"> HYPERLINK \l _Toc21161 </w:instrText>
      </w:r>
      <w:r>
        <w:rPr>
          <w:rFonts w:ascii="Times New Roman" w:hAnsi="Times New Roman"/>
          <w:color w:val="auto"/>
          <w:szCs w:val="28"/>
          <w:highlight w:val="none"/>
        </w:rPr>
        <w:fldChar w:fldCharType="separate"/>
      </w:r>
      <w:r>
        <w:rPr>
          <w:rFonts w:hint="eastAsia" w:ascii="Times New Roman" w:eastAsia="宋体"/>
          <w:color w:val="auto"/>
          <w:szCs w:val="28"/>
          <w:highlight w:val="none"/>
        </w:rPr>
        <w:t xml:space="preserve">4.8 </w:t>
      </w:r>
      <w:r>
        <w:rPr>
          <w:rFonts w:ascii="Times New Roman" w:eastAsia="宋体"/>
          <w:color w:val="auto"/>
          <w:szCs w:val="28"/>
          <w:highlight w:val="none"/>
        </w:rPr>
        <w:t>环境风险识别</w:t>
      </w:r>
      <w:r>
        <w:rPr>
          <w:color w:val="auto"/>
          <w:highlight w:val="none"/>
        </w:rPr>
        <w:tab/>
      </w:r>
      <w:r>
        <w:rPr>
          <w:color w:val="auto"/>
          <w:highlight w:val="none"/>
        </w:rPr>
        <w:fldChar w:fldCharType="begin"/>
      </w:r>
      <w:r>
        <w:rPr>
          <w:color w:val="auto"/>
          <w:highlight w:val="none"/>
        </w:rPr>
        <w:instrText xml:space="preserve"> PAGEREF _Toc21161 \h </w:instrText>
      </w:r>
      <w:r>
        <w:rPr>
          <w:color w:val="auto"/>
          <w:highlight w:val="none"/>
        </w:rPr>
        <w:fldChar w:fldCharType="separate"/>
      </w:r>
      <w:r>
        <w:rPr>
          <w:color w:val="auto"/>
          <w:highlight w:val="none"/>
        </w:rPr>
        <w:t>125</w:t>
      </w:r>
      <w:r>
        <w:rPr>
          <w:color w:val="auto"/>
          <w:highlight w:val="none"/>
        </w:rPr>
        <w:fldChar w:fldCharType="end"/>
      </w:r>
      <w:r>
        <w:rPr>
          <w:rFonts w:ascii="Times New Roman" w:hAnsi="Times New Roman"/>
          <w:color w:val="auto"/>
          <w:szCs w:val="28"/>
          <w:highlight w:val="none"/>
        </w:rPr>
        <w:fldChar w:fldCharType="end"/>
      </w:r>
    </w:p>
    <w:p w14:paraId="1AF4341C">
      <w:pPr>
        <w:pStyle w:val="38"/>
        <w:tabs>
          <w:tab w:val="right" w:leader="dot" w:pos="8504"/>
        </w:tabs>
        <w:rPr>
          <w:color w:val="auto"/>
          <w:highlight w:val="none"/>
        </w:rPr>
      </w:pPr>
      <w:r>
        <w:rPr>
          <w:rFonts w:ascii="Times New Roman" w:hAnsi="Times New Roman"/>
          <w:color w:val="auto"/>
          <w:szCs w:val="28"/>
          <w:highlight w:val="none"/>
        </w:rPr>
        <w:fldChar w:fldCharType="begin"/>
      </w:r>
      <w:r>
        <w:rPr>
          <w:rFonts w:ascii="Times New Roman" w:hAnsi="Times New Roman"/>
          <w:color w:val="auto"/>
          <w:szCs w:val="28"/>
          <w:highlight w:val="none"/>
        </w:rPr>
        <w:instrText xml:space="preserve"> HYPERLINK \l _Toc24114 </w:instrText>
      </w:r>
      <w:r>
        <w:rPr>
          <w:rFonts w:ascii="Times New Roman" w:hAnsi="Times New Roman"/>
          <w:color w:val="auto"/>
          <w:szCs w:val="28"/>
          <w:highlight w:val="none"/>
        </w:rPr>
        <w:fldChar w:fldCharType="separate"/>
      </w:r>
      <w:r>
        <w:rPr>
          <w:rFonts w:hint="eastAsia" w:ascii="Times New Roman" w:eastAsia="宋体"/>
          <w:color w:val="auto"/>
          <w:szCs w:val="28"/>
          <w:highlight w:val="none"/>
        </w:rPr>
        <w:t xml:space="preserve">4.9 </w:t>
      </w:r>
      <w:r>
        <w:rPr>
          <w:rFonts w:ascii="Times New Roman" w:eastAsia="宋体"/>
          <w:color w:val="auto"/>
          <w:szCs w:val="28"/>
          <w:highlight w:val="none"/>
        </w:rPr>
        <w:t>清洁生产</w:t>
      </w:r>
      <w:r>
        <w:rPr>
          <w:rFonts w:hint="eastAsia" w:ascii="Times New Roman" w:eastAsia="宋体"/>
          <w:color w:val="auto"/>
          <w:szCs w:val="28"/>
          <w:highlight w:val="none"/>
        </w:rPr>
        <w:t>水平</w:t>
      </w:r>
      <w:r>
        <w:rPr>
          <w:rFonts w:ascii="Times New Roman" w:eastAsia="宋体"/>
          <w:color w:val="auto"/>
          <w:szCs w:val="28"/>
          <w:highlight w:val="none"/>
        </w:rPr>
        <w:t>分析</w:t>
      </w:r>
      <w:r>
        <w:rPr>
          <w:color w:val="auto"/>
          <w:highlight w:val="none"/>
        </w:rPr>
        <w:tab/>
      </w:r>
      <w:r>
        <w:rPr>
          <w:color w:val="auto"/>
          <w:highlight w:val="none"/>
        </w:rPr>
        <w:fldChar w:fldCharType="begin"/>
      </w:r>
      <w:r>
        <w:rPr>
          <w:color w:val="auto"/>
          <w:highlight w:val="none"/>
        </w:rPr>
        <w:instrText xml:space="preserve"> PAGEREF _Toc24114 \h </w:instrText>
      </w:r>
      <w:r>
        <w:rPr>
          <w:color w:val="auto"/>
          <w:highlight w:val="none"/>
        </w:rPr>
        <w:fldChar w:fldCharType="separate"/>
      </w:r>
      <w:r>
        <w:rPr>
          <w:color w:val="auto"/>
          <w:highlight w:val="none"/>
        </w:rPr>
        <w:t>137</w:t>
      </w:r>
      <w:r>
        <w:rPr>
          <w:color w:val="auto"/>
          <w:highlight w:val="none"/>
        </w:rPr>
        <w:fldChar w:fldCharType="end"/>
      </w:r>
      <w:r>
        <w:rPr>
          <w:rFonts w:ascii="Times New Roman" w:hAnsi="Times New Roman"/>
          <w:color w:val="auto"/>
          <w:szCs w:val="28"/>
          <w:highlight w:val="none"/>
        </w:rPr>
        <w:fldChar w:fldCharType="end"/>
      </w:r>
    </w:p>
    <w:p w14:paraId="41429A4C">
      <w:pPr>
        <w:pStyle w:val="32"/>
        <w:tabs>
          <w:tab w:val="right" w:leader="dot" w:pos="8504"/>
        </w:tabs>
        <w:rPr>
          <w:color w:val="auto"/>
          <w:highlight w:val="none"/>
        </w:rPr>
      </w:pPr>
      <w:r>
        <w:rPr>
          <w:rFonts w:ascii="Times New Roman" w:hAnsi="Times New Roman"/>
          <w:color w:val="auto"/>
          <w:szCs w:val="28"/>
          <w:highlight w:val="none"/>
        </w:rPr>
        <w:fldChar w:fldCharType="begin"/>
      </w:r>
      <w:r>
        <w:rPr>
          <w:rFonts w:ascii="Times New Roman" w:hAnsi="Times New Roman"/>
          <w:color w:val="auto"/>
          <w:szCs w:val="28"/>
          <w:highlight w:val="none"/>
        </w:rPr>
        <w:instrText xml:space="preserve"> HYPERLINK \l _Toc24074 </w:instrText>
      </w:r>
      <w:r>
        <w:rPr>
          <w:rFonts w:ascii="Times New Roman" w:hAnsi="Times New Roman"/>
          <w:color w:val="auto"/>
          <w:szCs w:val="28"/>
          <w:highlight w:val="none"/>
        </w:rPr>
        <w:fldChar w:fldCharType="separate"/>
      </w:r>
      <w:r>
        <w:rPr>
          <w:rFonts w:hint="eastAsia" w:ascii="Times New Roman" w:eastAsia="宋体"/>
          <w:color w:val="auto"/>
          <w:szCs w:val="32"/>
          <w:highlight w:val="none"/>
        </w:rPr>
        <w:t xml:space="preserve">5 </w:t>
      </w:r>
      <w:r>
        <w:rPr>
          <w:rFonts w:ascii="Times New Roman" w:eastAsia="宋体"/>
          <w:color w:val="auto"/>
          <w:szCs w:val="32"/>
          <w:highlight w:val="none"/>
        </w:rPr>
        <w:t>环境现状调查与评价</w:t>
      </w:r>
      <w:r>
        <w:rPr>
          <w:color w:val="auto"/>
          <w:highlight w:val="none"/>
        </w:rPr>
        <w:tab/>
      </w:r>
      <w:r>
        <w:rPr>
          <w:color w:val="auto"/>
          <w:highlight w:val="none"/>
        </w:rPr>
        <w:fldChar w:fldCharType="begin"/>
      </w:r>
      <w:r>
        <w:rPr>
          <w:color w:val="auto"/>
          <w:highlight w:val="none"/>
        </w:rPr>
        <w:instrText xml:space="preserve"> PAGEREF _Toc24074 \h </w:instrText>
      </w:r>
      <w:r>
        <w:rPr>
          <w:color w:val="auto"/>
          <w:highlight w:val="none"/>
        </w:rPr>
        <w:fldChar w:fldCharType="separate"/>
      </w:r>
      <w:r>
        <w:rPr>
          <w:color w:val="auto"/>
          <w:highlight w:val="none"/>
        </w:rPr>
        <w:t>140</w:t>
      </w:r>
      <w:r>
        <w:rPr>
          <w:color w:val="auto"/>
          <w:highlight w:val="none"/>
        </w:rPr>
        <w:fldChar w:fldCharType="end"/>
      </w:r>
      <w:r>
        <w:rPr>
          <w:rFonts w:ascii="Times New Roman" w:hAnsi="Times New Roman"/>
          <w:color w:val="auto"/>
          <w:szCs w:val="28"/>
          <w:highlight w:val="none"/>
        </w:rPr>
        <w:fldChar w:fldCharType="end"/>
      </w:r>
    </w:p>
    <w:p w14:paraId="7577D508">
      <w:pPr>
        <w:pStyle w:val="38"/>
        <w:tabs>
          <w:tab w:val="right" w:leader="dot" w:pos="8504"/>
        </w:tabs>
        <w:rPr>
          <w:color w:val="auto"/>
          <w:highlight w:val="none"/>
        </w:rPr>
      </w:pPr>
      <w:r>
        <w:rPr>
          <w:rFonts w:ascii="Times New Roman" w:hAnsi="Times New Roman"/>
          <w:color w:val="auto"/>
          <w:szCs w:val="28"/>
          <w:highlight w:val="none"/>
        </w:rPr>
        <w:fldChar w:fldCharType="begin"/>
      </w:r>
      <w:r>
        <w:rPr>
          <w:rFonts w:ascii="Times New Roman" w:hAnsi="Times New Roman"/>
          <w:color w:val="auto"/>
          <w:szCs w:val="28"/>
          <w:highlight w:val="none"/>
        </w:rPr>
        <w:instrText xml:space="preserve"> HYPERLINK \l _Toc28889 </w:instrText>
      </w:r>
      <w:r>
        <w:rPr>
          <w:rFonts w:ascii="Times New Roman" w:hAnsi="Times New Roman"/>
          <w:color w:val="auto"/>
          <w:szCs w:val="28"/>
          <w:highlight w:val="none"/>
        </w:rPr>
        <w:fldChar w:fldCharType="separate"/>
      </w:r>
      <w:r>
        <w:rPr>
          <w:rFonts w:hint="eastAsia" w:ascii="Times New Roman" w:eastAsia="宋体"/>
          <w:color w:val="auto"/>
          <w:szCs w:val="28"/>
          <w:highlight w:val="none"/>
        </w:rPr>
        <w:t xml:space="preserve">5.1 </w:t>
      </w:r>
      <w:r>
        <w:rPr>
          <w:rFonts w:ascii="Times New Roman" w:eastAsia="宋体"/>
          <w:color w:val="auto"/>
          <w:szCs w:val="28"/>
          <w:highlight w:val="none"/>
        </w:rPr>
        <w:t>自然环境概况</w:t>
      </w:r>
      <w:r>
        <w:rPr>
          <w:color w:val="auto"/>
          <w:highlight w:val="none"/>
        </w:rPr>
        <w:tab/>
      </w:r>
      <w:r>
        <w:rPr>
          <w:color w:val="auto"/>
          <w:highlight w:val="none"/>
        </w:rPr>
        <w:fldChar w:fldCharType="begin"/>
      </w:r>
      <w:r>
        <w:rPr>
          <w:color w:val="auto"/>
          <w:highlight w:val="none"/>
        </w:rPr>
        <w:instrText xml:space="preserve"> PAGEREF _Toc28889 \h </w:instrText>
      </w:r>
      <w:r>
        <w:rPr>
          <w:color w:val="auto"/>
          <w:highlight w:val="none"/>
        </w:rPr>
        <w:fldChar w:fldCharType="separate"/>
      </w:r>
      <w:r>
        <w:rPr>
          <w:color w:val="auto"/>
          <w:highlight w:val="none"/>
        </w:rPr>
        <w:t>140</w:t>
      </w:r>
      <w:r>
        <w:rPr>
          <w:color w:val="auto"/>
          <w:highlight w:val="none"/>
        </w:rPr>
        <w:fldChar w:fldCharType="end"/>
      </w:r>
      <w:r>
        <w:rPr>
          <w:rFonts w:ascii="Times New Roman" w:hAnsi="Times New Roman"/>
          <w:color w:val="auto"/>
          <w:szCs w:val="28"/>
          <w:highlight w:val="none"/>
        </w:rPr>
        <w:fldChar w:fldCharType="end"/>
      </w:r>
    </w:p>
    <w:p w14:paraId="0C328AAD">
      <w:pPr>
        <w:pStyle w:val="38"/>
        <w:tabs>
          <w:tab w:val="right" w:leader="dot" w:pos="8504"/>
        </w:tabs>
        <w:rPr>
          <w:color w:val="auto"/>
          <w:highlight w:val="none"/>
        </w:rPr>
      </w:pPr>
      <w:r>
        <w:rPr>
          <w:rFonts w:ascii="Times New Roman" w:hAnsi="Times New Roman"/>
          <w:color w:val="auto"/>
          <w:szCs w:val="28"/>
          <w:highlight w:val="none"/>
        </w:rPr>
        <w:fldChar w:fldCharType="begin"/>
      </w:r>
      <w:r>
        <w:rPr>
          <w:rFonts w:ascii="Times New Roman" w:hAnsi="Times New Roman"/>
          <w:color w:val="auto"/>
          <w:szCs w:val="28"/>
          <w:highlight w:val="none"/>
        </w:rPr>
        <w:instrText xml:space="preserve"> HYPERLINK \l _Toc21589 </w:instrText>
      </w:r>
      <w:r>
        <w:rPr>
          <w:rFonts w:ascii="Times New Roman" w:hAnsi="Times New Roman"/>
          <w:color w:val="auto"/>
          <w:szCs w:val="28"/>
          <w:highlight w:val="none"/>
        </w:rPr>
        <w:fldChar w:fldCharType="separate"/>
      </w:r>
      <w:r>
        <w:rPr>
          <w:rFonts w:hint="eastAsia" w:ascii="Times New Roman" w:eastAsia="宋体"/>
          <w:color w:val="auto"/>
          <w:szCs w:val="28"/>
          <w:highlight w:val="none"/>
        </w:rPr>
        <w:t xml:space="preserve">5.2 </w:t>
      </w:r>
      <w:r>
        <w:rPr>
          <w:rFonts w:ascii="Times New Roman" w:eastAsia="宋体"/>
          <w:color w:val="auto"/>
          <w:szCs w:val="28"/>
          <w:highlight w:val="none"/>
        </w:rPr>
        <w:t>区域污染源现状调查与评价</w:t>
      </w:r>
      <w:r>
        <w:rPr>
          <w:color w:val="auto"/>
          <w:highlight w:val="none"/>
        </w:rPr>
        <w:tab/>
      </w:r>
      <w:r>
        <w:rPr>
          <w:color w:val="auto"/>
          <w:highlight w:val="none"/>
        </w:rPr>
        <w:fldChar w:fldCharType="begin"/>
      </w:r>
      <w:r>
        <w:rPr>
          <w:color w:val="auto"/>
          <w:highlight w:val="none"/>
        </w:rPr>
        <w:instrText xml:space="preserve"> PAGEREF _Toc21589 \h </w:instrText>
      </w:r>
      <w:r>
        <w:rPr>
          <w:color w:val="auto"/>
          <w:highlight w:val="none"/>
        </w:rPr>
        <w:fldChar w:fldCharType="separate"/>
      </w:r>
      <w:r>
        <w:rPr>
          <w:color w:val="auto"/>
          <w:highlight w:val="none"/>
        </w:rPr>
        <w:t>152</w:t>
      </w:r>
      <w:r>
        <w:rPr>
          <w:color w:val="auto"/>
          <w:highlight w:val="none"/>
        </w:rPr>
        <w:fldChar w:fldCharType="end"/>
      </w:r>
      <w:r>
        <w:rPr>
          <w:rFonts w:ascii="Times New Roman" w:hAnsi="Times New Roman"/>
          <w:color w:val="auto"/>
          <w:szCs w:val="28"/>
          <w:highlight w:val="none"/>
        </w:rPr>
        <w:fldChar w:fldCharType="end"/>
      </w:r>
    </w:p>
    <w:p w14:paraId="6D95A752">
      <w:pPr>
        <w:pStyle w:val="38"/>
        <w:tabs>
          <w:tab w:val="right" w:leader="dot" w:pos="8504"/>
        </w:tabs>
        <w:rPr>
          <w:color w:val="auto"/>
          <w:highlight w:val="none"/>
        </w:rPr>
      </w:pPr>
      <w:r>
        <w:rPr>
          <w:rFonts w:ascii="Times New Roman" w:hAnsi="Times New Roman"/>
          <w:color w:val="auto"/>
          <w:szCs w:val="28"/>
          <w:highlight w:val="none"/>
        </w:rPr>
        <w:fldChar w:fldCharType="begin"/>
      </w:r>
      <w:r>
        <w:rPr>
          <w:rFonts w:ascii="Times New Roman" w:hAnsi="Times New Roman"/>
          <w:color w:val="auto"/>
          <w:szCs w:val="28"/>
          <w:highlight w:val="none"/>
        </w:rPr>
        <w:instrText xml:space="preserve"> HYPERLINK \l _Toc7514 </w:instrText>
      </w:r>
      <w:r>
        <w:rPr>
          <w:rFonts w:ascii="Times New Roman" w:hAnsi="Times New Roman"/>
          <w:color w:val="auto"/>
          <w:szCs w:val="28"/>
          <w:highlight w:val="none"/>
        </w:rPr>
        <w:fldChar w:fldCharType="separate"/>
      </w:r>
      <w:r>
        <w:rPr>
          <w:rFonts w:hint="eastAsia" w:ascii="Times New Roman" w:eastAsia="宋体"/>
          <w:color w:val="auto"/>
          <w:szCs w:val="28"/>
          <w:highlight w:val="none"/>
        </w:rPr>
        <w:t xml:space="preserve">5.3 </w:t>
      </w:r>
      <w:r>
        <w:rPr>
          <w:rFonts w:ascii="Times New Roman" w:eastAsia="宋体"/>
          <w:color w:val="auto"/>
          <w:szCs w:val="28"/>
          <w:highlight w:val="none"/>
        </w:rPr>
        <w:t>环境质量现状调查与评价</w:t>
      </w:r>
      <w:r>
        <w:rPr>
          <w:color w:val="auto"/>
          <w:highlight w:val="none"/>
        </w:rPr>
        <w:tab/>
      </w:r>
      <w:r>
        <w:rPr>
          <w:color w:val="auto"/>
          <w:highlight w:val="none"/>
        </w:rPr>
        <w:fldChar w:fldCharType="begin"/>
      </w:r>
      <w:r>
        <w:rPr>
          <w:color w:val="auto"/>
          <w:highlight w:val="none"/>
        </w:rPr>
        <w:instrText xml:space="preserve"> PAGEREF _Toc7514 \h </w:instrText>
      </w:r>
      <w:r>
        <w:rPr>
          <w:color w:val="auto"/>
          <w:highlight w:val="none"/>
        </w:rPr>
        <w:fldChar w:fldCharType="separate"/>
      </w:r>
      <w:r>
        <w:rPr>
          <w:color w:val="auto"/>
          <w:highlight w:val="none"/>
        </w:rPr>
        <w:t>153</w:t>
      </w:r>
      <w:r>
        <w:rPr>
          <w:color w:val="auto"/>
          <w:highlight w:val="none"/>
        </w:rPr>
        <w:fldChar w:fldCharType="end"/>
      </w:r>
      <w:r>
        <w:rPr>
          <w:rFonts w:ascii="Times New Roman" w:hAnsi="Times New Roman"/>
          <w:color w:val="auto"/>
          <w:szCs w:val="28"/>
          <w:highlight w:val="none"/>
        </w:rPr>
        <w:fldChar w:fldCharType="end"/>
      </w:r>
    </w:p>
    <w:p w14:paraId="72E8707E">
      <w:pPr>
        <w:pStyle w:val="32"/>
        <w:tabs>
          <w:tab w:val="right" w:leader="dot" w:pos="8504"/>
        </w:tabs>
        <w:rPr>
          <w:color w:val="auto"/>
          <w:highlight w:val="none"/>
        </w:rPr>
      </w:pPr>
      <w:r>
        <w:rPr>
          <w:rFonts w:ascii="Times New Roman" w:hAnsi="Times New Roman"/>
          <w:color w:val="auto"/>
          <w:szCs w:val="28"/>
          <w:highlight w:val="none"/>
        </w:rPr>
        <w:fldChar w:fldCharType="begin"/>
      </w:r>
      <w:r>
        <w:rPr>
          <w:rFonts w:ascii="Times New Roman" w:hAnsi="Times New Roman"/>
          <w:color w:val="auto"/>
          <w:szCs w:val="28"/>
          <w:highlight w:val="none"/>
        </w:rPr>
        <w:instrText xml:space="preserve"> HYPERLINK \l _Toc21074 </w:instrText>
      </w:r>
      <w:r>
        <w:rPr>
          <w:rFonts w:ascii="Times New Roman" w:hAnsi="Times New Roman"/>
          <w:color w:val="auto"/>
          <w:szCs w:val="28"/>
          <w:highlight w:val="none"/>
        </w:rPr>
        <w:fldChar w:fldCharType="separate"/>
      </w:r>
      <w:r>
        <w:rPr>
          <w:rFonts w:hint="eastAsia" w:ascii="Times New Roman" w:eastAsia="宋体"/>
          <w:color w:val="auto"/>
          <w:szCs w:val="32"/>
          <w:highlight w:val="none"/>
        </w:rPr>
        <w:t xml:space="preserve">6 </w:t>
      </w:r>
      <w:r>
        <w:rPr>
          <w:rFonts w:ascii="Times New Roman" w:eastAsia="宋体"/>
          <w:color w:val="auto"/>
          <w:szCs w:val="32"/>
          <w:highlight w:val="none"/>
        </w:rPr>
        <w:t>环境影响预测与评价</w:t>
      </w:r>
      <w:r>
        <w:rPr>
          <w:color w:val="auto"/>
          <w:highlight w:val="none"/>
        </w:rPr>
        <w:tab/>
      </w:r>
      <w:r>
        <w:rPr>
          <w:color w:val="auto"/>
          <w:highlight w:val="none"/>
        </w:rPr>
        <w:fldChar w:fldCharType="begin"/>
      </w:r>
      <w:r>
        <w:rPr>
          <w:color w:val="auto"/>
          <w:highlight w:val="none"/>
        </w:rPr>
        <w:instrText xml:space="preserve"> PAGEREF _Toc21074 \h </w:instrText>
      </w:r>
      <w:r>
        <w:rPr>
          <w:color w:val="auto"/>
          <w:highlight w:val="none"/>
        </w:rPr>
        <w:fldChar w:fldCharType="separate"/>
      </w:r>
      <w:r>
        <w:rPr>
          <w:color w:val="auto"/>
          <w:highlight w:val="none"/>
        </w:rPr>
        <w:t>179</w:t>
      </w:r>
      <w:r>
        <w:rPr>
          <w:color w:val="auto"/>
          <w:highlight w:val="none"/>
        </w:rPr>
        <w:fldChar w:fldCharType="end"/>
      </w:r>
      <w:r>
        <w:rPr>
          <w:rFonts w:ascii="Times New Roman" w:hAnsi="Times New Roman"/>
          <w:color w:val="auto"/>
          <w:szCs w:val="28"/>
          <w:highlight w:val="none"/>
        </w:rPr>
        <w:fldChar w:fldCharType="end"/>
      </w:r>
    </w:p>
    <w:p w14:paraId="6EFE4F61">
      <w:pPr>
        <w:pStyle w:val="38"/>
        <w:tabs>
          <w:tab w:val="right" w:leader="dot" w:pos="8504"/>
        </w:tabs>
        <w:rPr>
          <w:color w:val="auto"/>
          <w:highlight w:val="none"/>
        </w:rPr>
      </w:pPr>
      <w:r>
        <w:rPr>
          <w:rFonts w:ascii="Times New Roman" w:hAnsi="Times New Roman"/>
          <w:color w:val="auto"/>
          <w:szCs w:val="28"/>
          <w:highlight w:val="none"/>
        </w:rPr>
        <w:fldChar w:fldCharType="begin"/>
      </w:r>
      <w:r>
        <w:rPr>
          <w:rFonts w:ascii="Times New Roman" w:hAnsi="Times New Roman"/>
          <w:color w:val="auto"/>
          <w:szCs w:val="28"/>
          <w:highlight w:val="none"/>
        </w:rPr>
        <w:instrText xml:space="preserve"> HYPERLINK \l _Toc1026 </w:instrText>
      </w:r>
      <w:r>
        <w:rPr>
          <w:rFonts w:ascii="Times New Roman" w:hAnsi="Times New Roman"/>
          <w:color w:val="auto"/>
          <w:szCs w:val="28"/>
          <w:highlight w:val="none"/>
        </w:rPr>
        <w:fldChar w:fldCharType="separate"/>
      </w:r>
      <w:r>
        <w:rPr>
          <w:rFonts w:hint="eastAsia" w:ascii="Times New Roman" w:eastAsia="宋体"/>
          <w:color w:val="auto"/>
          <w:szCs w:val="28"/>
          <w:highlight w:val="none"/>
        </w:rPr>
        <w:t xml:space="preserve">6.1 </w:t>
      </w:r>
      <w:r>
        <w:rPr>
          <w:rFonts w:ascii="Times New Roman" w:eastAsia="宋体"/>
          <w:color w:val="auto"/>
          <w:szCs w:val="28"/>
          <w:highlight w:val="none"/>
        </w:rPr>
        <w:t>大气环境影响分析</w:t>
      </w:r>
      <w:r>
        <w:rPr>
          <w:color w:val="auto"/>
          <w:highlight w:val="none"/>
        </w:rPr>
        <w:tab/>
      </w:r>
      <w:r>
        <w:rPr>
          <w:color w:val="auto"/>
          <w:highlight w:val="none"/>
        </w:rPr>
        <w:fldChar w:fldCharType="begin"/>
      </w:r>
      <w:r>
        <w:rPr>
          <w:color w:val="auto"/>
          <w:highlight w:val="none"/>
        </w:rPr>
        <w:instrText xml:space="preserve"> PAGEREF _Toc1026 \h </w:instrText>
      </w:r>
      <w:r>
        <w:rPr>
          <w:color w:val="auto"/>
          <w:highlight w:val="none"/>
        </w:rPr>
        <w:fldChar w:fldCharType="separate"/>
      </w:r>
      <w:r>
        <w:rPr>
          <w:color w:val="auto"/>
          <w:highlight w:val="none"/>
        </w:rPr>
        <w:t>179</w:t>
      </w:r>
      <w:r>
        <w:rPr>
          <w:color w:val="auto"/>
          <w:highlight w:val="none"/>
        </w:rPr>
        <w:fldChar w:fldCharType="end"/>
      </w:r>
      <w:r>
        <w:rPr>
          <w:rFonts w:ascii="Times New Roman" w:hAnsi="Times New Roman"/>
          <w:color w:val="auto"/>
          <w:szCs w:val="28"/>
          <w:highlight w:val="none"/>
        </w:rPr>
        <w:fldChar w:fldCharType="end"/>
      </w:r>
    </w:p>
    <w:p w14:paraId="7F307E10">
      <w:pPr>
        <w:pStyle w:val="38"/>
        <w:tabs>
          <w:tab w:val="right" w:leader="dot" w:pos="8504"/>
        </w:tabs>
        <w:rPr>
          <w:color w:val="auto"/>
          <w:highlight w:val="none"/>
        </w:rPr>
      </w:pPr>
      <w:r>
        <w:rPr>
          <w:rFonts w:ascii="Times New Roman" w:hAnsi="Times New Roman"/>
          <w:color w:val="auto"/>
          <w:szCs w:val="28"/>
          <w:highlight w:val="none"/>
        </w:rPr>
        <w:fldChar w:fldCharType="begin"/>
      </w:r>
      <w:r>
        <w:rPr>
          <w:rFonts w:ascii="Times New Roman" w:hAnsi="Times New Roman"/>
          <w:color w:val="auto"/>
          <w:szCs w:val="28"/>
          <w:highlight w:val="none"/>
        </w:rPr>
        <w:instrText xml:space="preserve"> HYPERLINK \l _Toc15132 </w:instrText>
      </w:r>
      <w:r>
        <w:rPr>
          <w:rFonts w:ascii="Times New Roman" w:hAnsi="Times New Roman"/>
          <w:color w:val="auto"/>
          <w:szCs w:val="28"/>
          <w:highlight w:val="none"/>
        </w:rPr>
        <w:fldChar w:fldCharType="separate"/>
      </w:r>
      <w:r>
        <w:rPr>
          <w:rFonts w:hint="eastAsia" w:ascii="Times New Roman" w:eastAsia="宋体"/>
          <w:color w:val="auto"/>
          <w:szCs w:val="28"/>
          <w:highlight w:val="none"/>
        </w:rPr>
        <w:t xml:space="preserve">6.2 </w:t>
      </w:r>
      <w:r>
        <w:rPr>
          <w:rFonts w:ascii="Times New Roman" w:eastAsia="宋体"/>
          <w:color w:val="auto"/>
          <w:szCs w:val="28"/>
          <w:highlight w:val="none"/>
        </w:rPr>
        <w:t>地表水环境影响分析</w:t>
      </w:r>
      <w:r>
        <w:rPr>
          <w:color w:val="auto"/>
          <w:highlight w:val="none"/>
        </w:rPr>
        <w:tab/>
      </w:r>
      <w:r>
        <w:rPr>
          <w:color w:val="auto"/>
          <w:highlight w:val="none"/>
        </w:rPr>
        <w:fldChar w:fldCharType="begin"/>
      </w:r>
      <w:r>
        <w:rPr>
          <w:color w:val="auto"/>
          <w:highlight w:val="none"/>
        </w:rPr>
        <w:instrText xml:space="preserve"> PAGEREF _Toc15132 \h </w:instrText>
      </w:r>
      <w:r>
        <w:rPr>
          <w:color w:val="auto"/>
          <w:highlight w:val="none"/>
        </w:rPr>
        <w:fldChar w:fldCharType="separate"/>
      </w:r>
      <w:r>
        <w:rPr>
          <w:color w:val="auto"/>
          <w:highlight w:val="none"/>
        </w:rPr>
        <w:t>195</w:t>
      </w:r>
      <w:r>
        <w:rPr>
          <w:color w:val="auto"/>
          <w:highlight w:val="none"/>
        </w:rPr>
        <w:fldChar w:fldCharType="end"/>
      </w:r>
      <w:r>
        <w:rPr>
          <w:rFonts w:ascii="Times New Roman" w:hAnsi="Times New Roman"/>
          <w:color w:val="auto"/>
          <w:szCs w:val="28"/>
          <w:highlight w:val="none"/>
        </w:rPr>
        <w:fldChar w:fldCharType="end"/>
      </w:r>
    </w:p>
    <w:p w14:paraId="6A162EFF">
      <w:pPr>
        <w:pStyle w:val="38"/>
        <w:tabs>
          <w:tab w:val="right" w:leader="dot" w:pos="8504"/>
        </w:tabs>
        <w:rPr>
          <w:color w:val="auto"/>
          <w:highlight w:val="none"/>
        </w:rPr>
      </w:pPr>
      <w:r>
        <w:rPr>
          <w:rFonts w:ascii="Times New Roman" w:hAnsi="Times New Roman"/>
          <w:color w:val="auto"/>
          <w:szCs w:val="28"/>
          <w:highlight w:val="none"/>
        </w:rPr>
        <w:fldChar w:fldCharType="begin"/>
      </w:r>
      <w:r>
        <w:rPr>
          <w:rFonts w:ascii="Times New Roman" w:hAnsi="Times New Roman"/>
          <w:color w:val="auto"/>
          <w:szCs w:val="28"/>
          <w:highlight w:val="none"/>
        </w:rPr>
        <w:instrText xml:space="preserve"> HYPERLINK \l _Toc14203 </w:instrText>
      </w:r>
      <w:r>
        <w:rPr>
          <w:rFonts w:ascii="Times New Roman" w:hAnsi="Times New Roman"/>
          <w:color w:val="auto"/>
          <w:szCs w:val="28"/>
          <w:highlight w:val="none"/>
        </w:rPr>
        <w:fldChar w:fldCharType="separate"/>
      </w:r>
      <w:r>
        <w:rPr>
          <w:rFonts w:hint="eastAsia" w:ascii="Times New Roman" w:eastAsia="宋体"/>
          <w:color w:val="auto"/>
          <w:szCs w:val="28"/>
          <w:highlight w:val="none"/>
        </w:rPr>
        <w:t xml:space="preserve">6.3 </w:t>
      </w:r>
      <w:r>
        <w:rPr>
          <w:rFonts w:ascii="Times New Roman" w:eastAsia="宋体"/>
          <w:color w:val="auto"/>
          <w:szCs w:val="28"/>
          <w:highlight w:val="none"/>
        </w:rPr>
        <w:t>地下水环境影响分析</w:t>
      </w:r>
      <w:r>
        <w:rPr>
          <w:color w:val="auto"/>
          <w:highlight w:val="none"/>
        </w:rPr>
        <w:tab/>
      </w:r>
      <w:r>
        <w:rPr>
          <w:color w:val="auto"/>
          <w:highlight w:val="none"/>
        </w:rPr>
        <w:fldChar w:fldCharType="begin"/>
      </w:r>
      <w:r>
        <w:rPr>
          <w:color w:val="auto"/>
          <w:highlight w:val="none"/>
        </w:rPr>
        <w:instrText xml:space="preserve"> PAGEREF _Toc14203 \h </w:instrText>
      </w:r>
      <w:r>
        <w:rPr>
          <w:color w:val="auto"/>
          <w:highlight w:val="none"/>
        </w:rPr>
        <w:fldChar w:fldCharType="separate"/>
      </w:r>
      <w:r>
        <w:rPr>
          <w:color w:val="auto"/>
          <w:highlight w:val="none"/>
        </w:rPr>
        <w:t>195</w:t>
      </w:r>
      <w:r>
        <w:rPr>
          <w:color w:val="auto"/>
          <w:highlight w:val="none"/>
        </w:rPr>
        <w:fldChar w:fldCharType="end"/>
      </w:r>
      <w:r>
        <w:rPr>
          <w:rFonts w:ascii="Times New Roman" w:hAnsi="Times New Roman"/>
          <w:color w:val="auto"/>
          <w:szCs w:val="28"/>
          <w:highlight w:val="none"/>
        </w:rPr>
        <w:fldChar w:fldCharType="end"/>
      </w:r>
    </w:p>
    <w:p w14:paraId="7517D011">
      <w:pPr>
        <w:pStyle w:val="38"/>
        <w:tabs>
          <w:tab w:val="right" w:leader="dot" w:pos="8504"/>
        </w:tabs>
        <w:rPr>
          <w:color w:val="auto"/>
          <w:highlight w:val="none"/>
        </w:rPr>
      </w:pPr>
      <w:r>
        <w:rPr>
          <w:rFonts w:ascii="Times New Roman" w:hAnsi="Times New Roman"/>
          <w:color w:val="auto"/>
          <w:szCs w:val="28"/>
          <w:highlight w:val="none"/>
        </w:rPr>
        <w:fldChar w:fldCharType="begin"/>
      </w:r>
      <w:r>
        <w:rPr>
          <w:rFonts w:ascii="Times New Roman" w:hAnsi="Times New Roman"/>
          <w:color w:val="auto"/>
          <w:szCs w:val="28"/>
          <w:highlight w:val="none"/>
        </w:rPr>
        <w:instrText xml:space="preserve"> HYPERLINK \l _Toc2761 </w:instrText>
      </w:r>
      <w:r>
        <w:rPr>
          <w:rFonts w:ascii="Times New Roman" w:hAnsi="Times New Roman"/>
          <w:color w:val="auto"/>
          <w:szCs w:val="28"/>
          <w:highlight w:val="none"/>
        </w:rPr>
        <w:fldChar w:fldCharType="separate"/>
      </w:r>
      <w:r>
        <w:rPr>
          <w:rFonts w:hint="eastAsia" w:ascii="Times New Roman" w:eastAsia="宋体"/>
          <w:color w:val="auto"/>
          <w:szCs w:val="28"/>
          <w:highlight w:val="none"/>
        </w:rPr>
        <w:t xml:space="preserve">6.4 </w:t>
      </w:r>
      <w:r>
        <w:rPr>
          <w:rFonts w:ascii="Times New Roman" w:eastAsia="宋体"/>
          <w:color w:val="auto"/>
          <w:szCs w:val="28"/>
          <w:highlight w:val="none"/>
        </w:rPr>
        <w:t>土壤环境影响分析</w:t>
      </w:r>
      <w:r>
        <w:rPr>
          <w:color w:val="auto"/>
          <w:highlight w:val="none"/>
        </w:rPr>
        <w:tab/>
      </w:r>
      <w:r>
        <w:rPr>
          <w:color w:val="auto"/>
          <w:highlight w:val="none"/>
        </w:rPr>
        <w:fldChar w:fldCharType="begin"/>
      </w:r>
      <w:r>
        <w:rPr>
          <w:color w:val="auto"/>
          <w:highlight w:val="none"/>
        </w:rPr>
        <w:instrText xml:space="preserve"> PAGEREF _Toc2761 \h </w:instrText>
      </w:r>
      <w:r>
        <w:rPr>
          <w:color w:val="auto"/>
          <w:highlight w:val="none"/>
        </w:rPr>
        <w:fldChar w:fldCharType="separate"/>
      </w:r>
      <w:r>
        <w:rPr>
          <w:color w:val="auto"/>
          <w:highlight w:val="none"/>
        </w:rPr>
        <w:t>196</w:t>
      </w:r>
      <w:r>
        <w:rPr>
          <w:color w:val="auto"/>
          <w:highlight w:val="none"/>
        </w:rPr>
        <w:fldChar w:fldCharType="end"/>
      </w:r>
      <w:r>
        <w:rPr>
          <w:rFonts w:ascii="Times New Roman" w:hAnsi="Times New Roman"/>
          <w:color w:val="auto"/>
          <w:szCs w:val="28"/>
          <w:highlight w:val="none"/>
        </w:rPr>
        <w:fldChar w:fldCharType="end"/>
      </w:r>
    </w:p>
    <w:p w14:paraId="38EC965D">
      <w:pPr>
        <w:pStyle w:val="38"/>
        <w:tabs>
          <w:tab w:val="right" w:leader="dot" w:pos="8504"/>
        </w:tabs>
        <w:rPr>
          <w:color w:val="auto"/>
          <w:highlight w:val="none"/>
        </w:rPr>
      </w:pPr>
      <w:r>
        <w:rPr>
          <w:rFonts w:ascii="Times New Roman" w:hAnsi="Times New Roman"/>
          <w:color w:val="auto"/>
          <w:szCs w:val="28"/>
          <w:highlight w:val="none"/>
        </w:rPr>
        <w:fldChar w:fldCharType="begin"/>
      </w:r>
      <w:r>
        <w:rPr>
          <w:rFonts w:ascii="Times New Roman" w:hAnsi="Times New Roman"/>
          <w:color w:val="auto"/>
          <w:szCs w:val="28"/>
          <w:highlight w:val="none"/>
        </w:rPr>
        <w:instrText xml:space="preserve"> HYPERLINK \l _Toc28497 </w:instrText>
      </w:r>
      <w:r>
        <w:rPr>
          <w:rFonts w:ascii="Times New Roman" w:hAnsi="Times New Roman"/>
          <w:color w:val="auto"/>
          <w:szCs w:val="28"/>
          <w:highlight w:val="none"/>
        </w:rPr>
        <w:fldChar w:fldCharType="separate"/>
      </w:r>
      <w:r>
        <w:rPr>
          <w:rFonts w:hint="eastAsia" w:ascii="Times New Roman" w:eastAsia="宋体"/>
          <w:color w:val="auto"/>
          <w:szCs w:val="28"/>
          <w:highlight w:val="none"/>
        </w:rPr>
        <w:t xml:space="preserve">6.5 </w:t>
      </w:r>
      <w:r>
        <w:rPr>
          <w:rFonts w:ascii="Times New Roman" w:eastAsia="宋体"/>
          <w:color w:val="auto"/>
          <w:szCs w:val="28"/>
          <w:highlight w:val="none"/>
        </w:rPr>
        <w:t>声环境影响分析</w:t>
      </w:r>
      <w:r>
        <w:rPr>
          <w:color w:val="auto"/>
          <w:highlight w:val="none"/>
        </w:rPr>
        <w:tab/>
      </w:r>
      <w:r>
        <w:rPr>
          <w:color w:val="auto"/>
          <w:highlight w:val="none"/>
        </w:rPr>
        <w:fldChar w:fldCharType="begin"/>
      </w:r>
      <w:r>
        <w:rPr>
          <w:color w:val="auto"/>
          <w:highlight w:val="none"/>
        </w:rPr>
        <w:instrText xml:space="preserve"> PAGEREF _Toc28497 \h </w:instrText>
      </w:r>
      <w:r>
        <w:rPr>
          <w:color w:val="auto"/>
          <w:highlight w:val="none"/>
        </w:rPr>
        <w:fldChar w:fldCharType="separate"/>
      </w:r>
      <w:r>
        <w:rPr>
          <w:color w:val="auto"/>
          <w:highlight w:val="none"/>
        </w:rPr>
        <w:t>201</w:t>
      </w:r>
      <w:r>
        <w:rPr>
          <w:color w:val="auto"/>
          <w:highlight w:val="none"/>
        </w:rPr>
        <w:fldChar w:fldCharType="end"/>
      </w:r>
      <w:r>
        <w:rPr>
          <w:rFonts w:ascii="Times New Roman" w:hAnsi="Times New Roman"/>
          <w:color w:val="auto"/>
          <w:szCs w:val="28"/>
          <w:highlight w:val="none"/>
        </w:rPr>
        <w:fldChar w:fldCharType="end"/>
      </w:r>
    </w:p>
    <w:p w14:paraId="4CE77DA8">
      <w:pPr>
        <w:pStyle w:val="38"/>
        <w:tabs>
          <w:tab w:val="right" w:leader="dot" w:pos="8504"/>
        </w:tabs>
        <w:rPr>
          <w:color w:val="auto"/>
          <w:highlight w:val="none"/>
        </w:rPr>
      </w:pPr>
      <w:r>
        <w:rPr>
          <w:rFonts w:ascii="Times New Roman" w:hAnsi="Times New Roman"/>
          <w:color w:val="auto"/>
          <w:szCs w:val="28"/>
          <w:highlight w:val="none"/>
        </w:rPr>
        <w:fldChar w:fldCharType="begin"/>
      </w:r>
      <w:r>
        <w:rPr>
          <w:rFonts w:ascii="Times New Roman" w:hAnsi="Times New Roman"/>
          <w:color w:val="auto"/>
          <w:szCs w:val="28"/>
          <w:highlight w:val="none"/>
        </w:rPr>
        <w:instrText xml:space="preserve"> HYPERLINK \l _Toc16211 </w:instrText>
      </w:r>
      <w:r>
        <w:rPr>
          <w:rFonts w:ascii="Times New Roman" w:hAnsi="Times New Roman"/>
          <w:color w:val="auto"/>
          <w:szCs w:val="28"/>
          <w:highlight w:val="none"/>
        </w:rPr>
        <w:fldChar w:fldCharType="separate"/>
      </w:r>
      <w:r>
        <w:rPr>
          <w:rFonts w:hint="eastAsia" w:ascii="Times New Roman" w:eastAsia="宋体"/>
          <w:color w:val="auto"/>
          <w:szCs w:val="28"/>
          <w:highlight w:val="none"/>
        </w:rPr>
        <w:t xml:space="preserve">6.6 </w:t>
      </w:r>
      <w:r>
        <w:rPr>
          <w:rFonts w:ascii="Times New Roman" w:eastAsia="宋体"/>
          <w:color w:val="auto"/>
          <w:szCs w:val="28"/>
          <w:highlight w:val="none"/>
        </w:rPr>
        <w:t>固体废弃物环境影响分析</w:t>
      </w:r>
      <w:r>
        <w:rPr>
          <w:color w:val="auto"/>
          <w:highlight w:val="none"/>
        </w:rPr>
        <w:tab/>
      </w:r>
      <w:r>
        <w:rPr>
          <w:color w:val="auto"/>
          <w:highlight w:val="none"/>
        </w:rPr>
        <w:fldChar w:fldCharType="begin"/>
      </w:r>
      <w:r>
        <w:rPr>
          <w:color w:val="auto"/>
          <w:highlight w:val="none"/>
        </w:rPr>
        <w:instrText xml:space="preserve"> PAGEREF _Toc16211 \h </w:instrText>
      </w:r>
      <w:r>
        <w:rPr>
          <w:color w:val="auto"/>
          <w:highlight w:val="none"/>
        </w:rPr>
        <w:fldChar w:fldCharType="separate"/>
      </w:r>
      <w:r>
        <w:rPr>
          <w:color w:val="auto"/>
          <w:highlight w:val="none"/>
        </w:rPr>
        <w:t>205</w:t>
      </w:r>
      <w:r>
        <w:rPr>
          <w:color w:val="auto"/>
          <w:highlight w:val="none"/>
        </w:rPr>
        <w:fldChar w:fldCharType="end"/>
      </w:r>
      <w:r>
        <w:rPr>
          <w:rFonts w:ascii="Times New Roman" w:hAnsi="Times New Roman"/>
          <w:color w:val="auto"/>
          <w:szCs w:val="28"/>
          <w:highlight w:val="none"/>
        </w:rPr>
        <w:fldChar w:fldCharType="end"/>
      </w:r>
    </w:p>
    <w:p w14:paraId="4F79EDB7">
      <w:pPr>
        <w:pStyle w:val="38"/>
        <w:tabs>
          <w:tab w:val="right" w:leader="dot" w:pos="8504"/>
        </w:tabs>
        <w:rPr>
          <w:color w:val="auto"/>
          <w:highlight w:val="none"/>
        </w:rPr>
      </w:pPr>
      <w:r>
        <w:rPr>
          <w:rFonts w:ascii="Times New Roman" w:hAnsi="Times New Roman"/>
          <w:color w:val="auto"/>
          <w:szCs w:val="28"/>
          <w:highlight w:val="none"/>
        </w:rPr>
        <w:fldChar w:fldCharType="begin"/>
      </w:r>
      <w:r>
        <w:rPr>
          <w:rFonts w:ascii="Times New Roman" w:hAnsi="Times New Roman"/>
          <w:color w:val="auto"/>
          <w:szCs w:val="28"/>
          <w:highlight w:val="none"/>
        </w:rPr>
        <w:instrText xml:space="preserve"> HYPERLINK \l _Toc19372 </w:instrText>
      </w:r>
      <w:r>
        <w:rPr>
          <w:rFonts w:ascii="Times New Roman" w:hAnsi="Times New Roman"/>
          <w:color w:val="auto"/>
          <w:szCs w:val="28"/>
          <w:highlight w:val="none"/>
        </w:rPr>
        <w:fldChar w:fldCharType="separate"/>
      </w:r>
      <w:r>
        <w:rPr>
          <w:rFonts w:hint="eastAsia" w:ascii="Times New Roman" w:eastAsia="宋体"/>
          <w:color w:val="auto"/>
          <w:szCs w:val="28"/>
          <w:highlight w:val="none"/>
        </w:rPr>
        <w:t xml:space="preserve">6.7 </w:t>
      </w:r>
      <w:r>
        <w:rPr>
          <w:rFonts w:ascii="Times New Roman" w:eastAsia="宋体"/>
          <w:color w:val="auto"/>
          <w:szCs w:val="28"/>
          <w:highlight w:val="none"/>
        </w:rPr>
        <w:t>环境风险预测与评价</w:t>
      </w:r>
      <w:r>
        <w:rPr>
          <w:color w:val="auto"/>
          <w:highlight w:val="none"/>
        </w:rPr>
        <w:tab/>
      </w:r>
      <w:r>
        <w:rPr>
          <w:color w:val="auto"/>
          <w:highlight w:val="none"/>
        </w:rPr>
        <w:fldChar w:fldCharType="begin"/>
      </w:r>
      <w:r>
        <w:rPr>
          <w:color w:val="auto"/>
          <w:highlight w:val="none"/>
        </w:rPr>
        <w:instrText xml:space="preserve"> PAGEREF _Toc19372 \h </w:instrText>
      </w:r>
      <w:r>
        <w:rPr>
          <w:color w:val="auto"/>
          <w:highlight w:val="none"/>
        </w:rPr>
        <w:fldChar w:fldCharType="separate"/>
      </w:r>
      <w:r>
        <w:rPr>
          <w:color w:val="auto"/>
          <w:highlight w:val="none"/>
        </w:rPr>
        <w:t>209</w:t>
      </w:r>
      <w:r>
        <w:rPr>
          <w:color w:val="auto"/>
          <w:highlight w:val="none"/>
        </w:rPr>
        <w:fldChar w:fldCharType="end"/>
      </w:r>
      <w:r>
        <w:rPr>
          <w:rFonts w:ascii="Times New Roman" w:hAnsi="Times New Roman"/>
          <w:color w:val="auto"/>
          <w:szCs w:val="28"/>
          <w:highlight w:val="none"/>
        </w:rPr>
        <w:fldChar w:fldCharType="end"/>
      </w:r>
    </w:p>
    <w:p w14:paraId="1C4BF108">
      <w:pPr>
        <w:pStyle w:val="38"/>
        <w:tabs>
          <w:tab w:val="right" w:leader="dot" w:pos="8504"/>
        </w:tabs>
        <w:rPr>
          <w:color w:val="auto"/>
          <w:highlight w:val="none"/>
        </w:rPr>
      </w:pPr>
      <w:r>
        <w:rPr>
          <w:rFonts w:ascii="Times New Roman" w:hAnsi="Times New Roman"/>
          <w:color w:val="auto"/>
          <w:szCs w:val="28"/>
          <w:highlight w:val="none"/>
        </w:rPr>
        <w:fldChar w:fldCharType="begin"/>
      </w:r>
      <w:r>
        <w:rPr>
          <w:rFonts w:ascii="Times New Roman" w:hAnsi="Times New Roman"/>
          <w:color w:val="auto"/>
          <w:szCs w:val="28"/>
          <w:highlight w:val="none"/>
        </w:rPr>
        <w:instrText xml:space="preserve"> HYPERLINK \l _Toc4600 </w:instrText>
      </w:r>
      <w:r>
        <w:rPr>
          <w:rFonts w:ascii="Times New Roman" w:hAnsi="Times New Roman"/>
          <w:color w:val="auto"/>
          <w:szCs w:val="28"/>
          <w:highlight w:val="none"/>
        </w:rPr>
        <w:fldChar w:fldCharType="separate"/>
      </w:r>
      <w:r>
        <w:rPr>
          <w:rFonts w:hint="eastAsia" w:ascii="Times New Roman" w:eastAsia="宋体"/>
          <w:color w:val="auto"/>
          <w:szCs w:val="28"/>
          <w:highlight w:val="none"/>
        </w:rPr>
        <w:t xml:space="preserve">6.8 </w:t>
      </w:r>
      <w:r>
        <w:rPr>
          <w:rFonts w:ascii="Times New Roman" w:eastAsia="宋体"/>
          <w:color w:val="auto"/>
          <w:szCs w:val="28"/>
          <w:highlight w:val="none"/>
        </w:rPr>
        <w:t>生态环境影响分析与评价</w:t>
      </w:r>
      <w:r>
        <w:rPr>
          <w:color w:val="auto"/>
          <w:highlight w:val="none"/>
        </w:rPr>
        <w:tab/>
      </w:r>
      <w:r>
        <w:rPr>
          <w:color w:val="auto"/>
          <w:highlight w:val="none"/>
        </w:rPr>
        <w:fldChar w:fldCharType="begin"/>
      </w:r>
      <w:r>
        <w:rPr>
          <w:color w:val="auto"/>
          <w:highlight w:val="none"/>
        </w:rPr>
        <w:instrText xml:space="preserve"> PAGEREF _Toc4600 \h </w:instrText>
      </w:r>
      <w:r>
        <w:rPr>
          <w:color w:val="auto"/>
          <w:highlight w:val="none"/>
        </w:rPr>
        <w:fldChar w:fldCharType="separate"/>
      </w:r>
      <w:r>
        <w:rPr>
          <w:color w:val="auto"/>
          <w:highlight w:val="none"/>
        </w:rPr>
        <w:t>218</w:t>
      </w:r>
      <w:r>
        <w:rPr>
          <w:color w:val="auto"/>
          <w:highlight w:val="none"/>
        </w:rPr>
        <w:fldChar w:fldCharType="end"/>
      </w:r>
      <w:r>
        <w:rPr>
          <w:rFonts w:ascii="Times New Roman" w:hAnsi="Times New Roman"/>
          <w:color w:val="auto"/>
          <w:szCs w:val="28"/>
          <w:highlight w:val="none"/>
        </w:rPr>
        <w:fldChar w:fldCharType="end"/>
      </w:r>
    </w:p>
    <w:p w14:paraId="22930094">
      <w:pPr>
        <w:pStyle w:val="32"/>
        <w:tabs>
          <w:tab w:val="right" w:leader="dot" w:pos="8504"/>
        </w:tabs>
        <w:rPr>
          <w:color w:val="auto"/>
          <w:highlight w:val="none"/>
        </w:rPr>
      </w:pPr>
      <w:r>
        <w:rPr>
          <w:rFonts w:ascii="Times New Roman" w:hAnsi="Times New Roman"/>
          <w:color w:val="auto"/>
          <w:szCs w:val="28"/>
          <w:highlight w:val="none"/>
        </w:rPr>
        <w:fldChar w:fldCharType="begin"/>
      </w:r>
      <w:r>
        <w:rPr>
          <w:rFonts w:ascii="Times New Roman" w:hAnsi="Times New Roman"/>
          <w:color w:val="auto"/>
          <w:szCs w:val="28"/>
          <w:highlight w:val="none"/>
        </w:rPr>
        <w:instrText xml:space="preserve"> HYPERLINK \l _Toc7100 </w:instrText>
      </w:r>
      <w:r>
        <w:rPr>
          <w:rFonts w:ascii="Times New Roman" w:hAnsi="Times New Roman"/>
          <w:color w:val="auto"/>
          <w:szCs w:val="28"/>
          <w:highlight w:val="none"/>
        </w:rPr>
        <w:fldChar w:fldCharType="separate"/>
      </w:r>
      <w:r>
        <w:rPr>
          <w:rFonts w:hint="eastAsia" w:ascii="Times New Roman" w:eastAsia="宋体"/>
          <w:color w:val="auto"/>
          <w:szCs w:val="32"/>
          <w:highlight w:val="none"/>
        </w:rPr>
        <w:t xml:space="preserve">7 </w:t>
      </w:r>
      <w:r>
        <w:rPr>
          <w:rFonts w:ascii="Times New Roman" w:eastAsia="宋体"/>
          <w:color w:val="auto"/>
          <w:szCs w:val="32"/>
          <w:highlight w:val="none"/>
        </w:rPr>
        <w:t>环境保护措施及其经济、技术论证</w:t>
      </w:r>
      <w:r>
        <w:rPr>
          <w:color w:val="auto"/>
          <w:highlight w:val="none"/>
        </w:rPr>
        <w:tab/>
      </w:r>
      <w:r>
        <w:rPr>
          <w:color w:val="auto"/>
          <w:highlight w:val="none"/>
        </w:rPr>
        <w:fldChar w:fldCharType="begin"/>
      </w:r>
      <w:r>
        <w:rPr>
          <w:color w:val="auto"/>
          <w:highlight w:val="none"/>
        </w:rPr>
        <w:instrText xml:space="preserve"> PAGEREF _Toc7100 \h </w:instrText>
      </w:r>
      <w:r>
        <w:rPr>
          <w:color w:val="auto"/>
          <w:highlight w:val="none"/>
        </w:rPr>
        <w:fldChar w:fldCharType="separate"/>
      </w:r>
      <w:r>
        <w:rPr>
          <w:color w:val="auto"/>
          <w:highlight w:val="none"/>
        </w:rPr>
        <w:t>219</w:t>
      </w:r>
      <w:r>
        <w:rPr>
          <w:color w:val="auto"/>
          <w:highlight w:val="none"/>
        </w:rPr>
        <w:fldChar w:fldCharType="end"/>
      </w:r>
      <w:r>
        <w:rPr>
          <w:rFonts w:ascii="Times New Roman" w:hAnsi="Times New Roman"/>
          <w:color w:val="auto"/>
          <w:szCs w:val="28"/>
          <w:highlight w:val="none"/>
        </w:rPr>
        <w:fldChar w:fldCharType="end"/>
      </w:r>
    </w:p>
    <w:p w14:paraId="090987F4">
      <w:pPr>
        <w:pStyle w:val="38"/>
        <w:tabs>
          <w:tab w:val="right" w:leader="dot" w:pos="8504"/>
        </w:tabs>
        <w:rPr>
          <w:color w:val="auto"/>
          <w:highlight w:val="none"/>
        </w:rPr>
      </w:pPr>
      <w:r>
        <w:rPr>
          <w:rFonts w:ascii="Times New Roman" w:hAnsi="Times New Roman"/>
          <w:color w:val="auto"/>
          <w:szCs w:val="28"/>
          <w:highlight w:val="none"/>
        </w:rPr>
        <w:fldChar w:fldCharType="begin"/>
      </w:r>
      <w:r>
        <w:rPr>
          <w:rFonts w:ascii="Times New Roman" w:hAnsi="Times New Roman"/>
          <w:color w:val="auto"/>
          <w:szCs w:val="28"/>
          <w:highlight w:val="none"/>
        </w:rPr>
        <w:instrText xml:space="preserve"> HYPERLINK \l _Toc19560 </w:instrText>
      </w:r>
      <w:r>
        <w:rPr>
          <w:rFonts w:ascii="Times New Roman" w:hAnsi="Times New Roman"/>
          <w:color w:val="auto"/>
          <w:szCs w:val="28"/>
          <w:highlight w:val="none"/>
        </w:rPr>
        <w:fldChar w:fldCharType="separate"/>
      </w:r>
      <w:r>
        <w:rPr>
          <w:rFonts w:hint="eastAsia" w:ascii="Times New Roman" w:eastAsia="宋体"/>
          <w:color w:val="auto"/>
          <w:szCs w:val="28"/>
          <w:highlight w:val="none"/>
        </w:rPr>
        <w:t xml:space="preserve">7.1 </w:t>
      </w:r>
      <w:r>
        <w:rPr>
          <w:rFonts w:ascii="Times New Roman" w:eastAsia="宋体"/>
          <w:color w:val="auto"/>
          <w:szCs w:val="28"/>
          <w:highlight w:val="none"/>
        </w:rPr>
        <w:t>废气治理措施评述</w:t>
      </w:r>
      <w:r>
        <w:rPr>
          <w:color w:val="auto"/>
          <w:highlight w:val="none"/>
        </w:rPr>
        <w:tab/>
      </w:r>
      <w:r>
        <w:rPr>
          <w:color w:val="auto"/>
          <w:highlight w:val="none"/>
        </w:rPr>
        <w:fldChar w:fldCharType="begin"/>
      </w:r>
      <w:r>
        <w:rPr>
          <w:color w:val="auto"/>
          <w:highlight w:val="none"/>
        </w:rPr>
        <w:instrText xml:space="preserve"> PAGEREF _Toc19560 \h </w:instrText>
      </w:r>
      <w:r>
        <w:rPr>
          <w:color w:val="auto"/>
          <w:highlight w:val="none"/>
        </w:rPr>
        <w:fldChar w:fldCharType="separate"/>
      </w:r>
      <w:r>
        <w:rPr>
          <w:color w:val="auto"/>
          <w:highlight w:val="none"/>
        </w:rPr>
        <w:t>219</w:t>
      </w:r>
      <w:r>
        <w:rPr>
          <w:color w:val="auto"/>
          <w:highlight w:val="none"/>
        </w:rPr>
        <w:fldChar w:fldCharType="end"/>
      </w:r>
      <w:r>
        <w:rPr>
          <w:rFonts w:ascii="Times New Roman" w:hAnsi="Times New Roman"/>
          <w:color w:val="auto"/>
          <w:szCs w:val="28"/>
          <w:highlight w:val="none"/>
        </w:rPr>
        <w:fldChar w:fldCharType="end"/>
      </w:r>
    </w:p>
    <w:p w14:paraId="3AE8532D">
      <w:pPr>
        <w:pStyle w:val="38"/>
        <w:tabs>
          <w:tab w:val="right" w:leader="dot" w:pos="8504"/>
        </w:tabs>
        <w:rPr>
          <w:color w:val="auto"/>
          <w:highlight w:val="none"/>
        </w:rPr>
      </w:pPr>
      <w:r>
        <w:rPr>
          <w:rFonts w:ascii="Times New Roman" w:hAnsi="Times New Roman"/>
          <w:color w:val="auto"/>
          <w:szCs w:val="28"/>
          <w:highlight w:val="none"/>
        </w:rPr>
        <w:fldChar w:fldCharType="begin"/>
      </w:r>
      <w:r>
        <w:rPr>
          <w:rFonts w:ascii="Times New Roman" w:hAnsi="Times New Roman"/>
          <w:color w:val="auto"/>
          <w:szCs w:val="28"/>
          <w:highlight w:val="none"/>
        </w:rPr>
        <w:instrText xml:space="preserve"> HYPERLINK \l _Toc25773 </w:instrText>
      </w:r>
      <w:r>
        <w:rPr>
          <w:rFonts w:ascii="Times New Roman" w:hAnsi="Times New Roman"/>
          <w:color w:val="auto"/>
          <w:szCs w:val="28"/>
          <w:highlight w:val="none"/>
        </w:rPr>
        <w:fldChar w:fldCharType="separate"/>
      </w:r>
      <w:r>
        <w:rPr>
          <w:rFonts w:hint="eastAsia" w:ascii="Times New Roman" w:eastAsia="宋体"/>
          <w:color w:val="auto"/>
          <w:szCs w:val="28"/>
          <w:highlight w:val="none"/>
        </w:rPr>
        <w:t xml:space="preserve">7.2 </w:t>
      </w:r>
      <w:r>
        <w:rPr>
          <w:rFonts w:ascii="Times New Roman" w:eastAsia="宋体"/>
          <w:color w:val="auto"/>
          <w:szCs w:val="28"/>
          <w:highlight w:val="none"/>
        </w:rPr>
        <w:t>废水防治措施评述</w:t>
      </w:r>
      <w:r>
        <w:rPr>
          <w:color w:val="auto"/>
          <w:highlight w:val="none"/>
        </w:rPr>
        <w:tab/>
      </w:r>
      <w:r>
        <w:rPr>
          <w:color w:val="auto"/>
          <w:highlight w:val="none"/>
        </w:rPr>
        <w:fldChar w:fldCharType="begin"/>
      </w:r>
      <w:r>
        <w:rPr>
          <w:color w:val="auto"/>
          <w:highlight w:val="none"/>
        </w:rPr>
        <w:instrText xml:space="preserve"> PAGEREF _Toc25773 \h </w:instrText>
      </w:r>
      <w:r>
        <w:rPr>
          <w:color w:val="auto"/>
          <w:highlight w:val="none"/>
        </w:rPr>
        <w:fldChar w:fldCharType="separate"/>
      </w:r>
      <w:r>
        <w:rPr>
          <w:color w:val="auto"/>
          <w:highlight w:val="none"/>
        </w:rPr>
        <w:t>225</w:t>
      </w:r>
      <w:r>
        <w:rPr>
          <w:color w:val="auto"/>
          <w:highlight w:val="none"/>
        </w:rPr>
        <w:fldChar w:fldCharType="end"/>
      </w:r>
      <w:r>
        <w:rPr>
          <w:rFonts w:ascii="Times New Roman" w:hAnsi="Times New Roman"/>
          <w:color w:val="auto"/>
          <w:szCs w:val="28"/>
          <w:highlight w:val="none"/>
        </w:rPr>
        <w:fldChar w:fldCharType="end"/>
      </w:r>
    </w:p>
    <w:p w14:paraId="6A1A09DE">
      <w:pPr>
        <w:pStyle w:val="38"/>
        <w:tabs>
          <w:tab w:val="right" w:leader="dot" w:pos="8504"/>
        </w:tabs>
        <w:rPr>
          <w:color w:val="auto"/>
          <w:highlight w:val="none"/>
        </w:rPr>
      </w:pPr>
      <w:r>
        <w:rPr>
          <w:rFonts w:ascii="Times New Roman" w:hAnsi="Times New Roman"/>
          <w:color w:val="auto"/>
          <w:szCs w:val="28"/>
          <w:highlight w:val="none"/>
        </w:rPr>
        <w:fldChar w:fldCharType="begin"/>
      </w:r>
      <w:r>
        <w:rPr>
          <w:rFonts w:ascii="Times New Roman" w:hAnsi="Times New Roman"/>
          <w:color w:val="auto"/>
          <w:szCs w:val="28"/>
          <w:highlight w:val="none"/>
        </w:rPr>
        <w:instrText xml:space="preserve"> HYPERLINK \l _Toc8304 </w:instrText>
      </w:r>
      <w:r>
        <w:rPr>
          <w:rFonts w:ascii="Times New Roman" w:hAnsi="Times New Roman"/>
          <w:color w:val="auto"/>
          <w:szCs w:val="28"/>
          <w:highlight w:val="none"/>
        </w:rPr>
        <w:fldChar w:fldCharType="separate"/>
      </w:r>
      <w:r>
        <w:rPr>
          <w:rFonts w:hint="eastAsia" w:ascii="Times New Roman" w:eastAsia="宋体"/>
          <w:color w:val="auto"/>
          <w:szCs w:val="28"/>
          <w:highlight w:val="none"/>
        </w:rPr>
        <w:t xml:space="preserve">7.3 </w:t>
      </w:r>
      <w:r>
        <w:rPr>
          <w:rFonts w:ascii="Times New Roman" w:eastAsia="宋体"/>
          <w:color w:val="auto"/>
          <w:szCs w:val="28"/>
          <w:highlight w:val="none"/>
        </w:rPr>
        <w:t>噪声治理措施评述</w:t>
      </w:r>
      <w:r>
        <w:rPr>
          <w:color w:val="auto"/>
          <w:highlight w:val="none"/>
        </w:rPr>
        <w:tab/>
      </w:r>
      <w:r>
        <w:rPr>
          <w:color w:val="auto"/>
          <w:highlight w:val="none"/>
        </w:rPr>
        <w:fldChar w:fldCharType="begin"/>
      </w:r>
      <w:r>
        <w:rPr>
          <w:color w:val="auto"/>
          <w:highlight w:val="none"/>
        </w:rPr>
        <w:instrText xml:space="preserve"> PAGEREF _Toc8304 \h </w:instrText>
      </w:r>
      <w:r>
        <w:rPr>
          <w:color w:val="auto"/>
          <w:highlight w:val="none"/>
        </w:rPr>
        <w:fldChar w:fldCharType="separate"/>
      </w:r>
      <w:r>
        <w:rPr>
          <w:color w:val="auto"/>
          <w:highlight w:val="none"/>
        </w:rPr>
        <w:t>225</w:t>
      </w:r>
      <w:r>
        <w:rPr>
          <w:color w:val="auto"/>
          <w:highlight w:val="none"/>
        </w:rPr>
        <w:fldChar w:fldCharType="end"/>
      </w:r>
      <w:r>
        <w:rPr>
          <w:rFonts w:ascii="Times New Roman" w:hAnsi="Times New Roman"/>
          <w:color w:val="auto"/>
          <w:szCs w:val="28"/>
          <w:highlight w:val="none"/>
        </w:rPr>
        <w:fldChar w:fldCharType="end"/>
      </w:r>
    </w:p>
    <w:p w14:paraId="091FE181">
      <w:pPr>
        <w:pStyle w:val="38"/>
        <w:tabs>
          <w:tab w:val="right" w:leader="dot" w:pos="8504"/>
        </w:tabs>
        <w:rPr>
          <w:color w:val="auto"/>
          <w:highlight w:val="none"/>
        </w:rPr>
      </w:pPr>
      <w:r>
        <w:rPr>
          <w:rFonts w:ascii="Times New Roman" w:hAnsi="Times New Roman"/>
          <w:color w:val="auto"/>
          <w:szCs w:val="28"/>
          <w:highlight w:val="none"/>
        </w:rPr>
        <w:fldChar w:fldCharType="begin"/>
      </w:r>
      <w:r>
        <w:rPr>
          <w:rFonts w:ascii="Times New Roman" w:hAnsi="Times New Roman"/>
          <w:color w:val="auto"/>
          <w:szCs w:val="28"/>
          <w:highlight w:val="none"/>
        </w:rPr>
        <w:instrText xml:space="preserve"> HYPERLINK \l _Toc5409 </w:instrText>
      </w:r>
      <w:r>
        <w:rPr>
          <w:rFonts w:ascii="Times New Roman" w:hAnsi="Times New Roman"/>
          <w:color w:val="auto"/>
          <w:szCs w:val="28"/>
          <w:highlight w:val="none"/>
        </w:rPr>
        <w:fldChar w:fldCharType="separate"/>
      </w:r>
      <w:r>
        <w:rPr>
          <w:rFonts w:hint="eastAsia" w:ascii="Times New Roman" w:eastAsia="宋体"/>
          <w:color w:val="auto"/>
          <w:szCs w:val="28"/>
          <w:highlight w:val="none"/>
        </w:rPr>
        <w:t xml:space="preserve">7.4 </w:t>
      </w:r>
      <w:r>
        <w:rPr>
          <w:rFonts w:ascii="Times New Roman" w:eastAsia="宋体"/>
          <w:color w:val="auto"/>
          <w:szCs w:val="28"/>
          <w:highlight w:val="none"/>
        </w:rPr>
        <w:t>固体废物污染防治措施</w:t>
      </w:r>
      <w:r>
        <w:rPr>
          <w:color w:val="auto"/>
          <w:highlight w:val="none"/>
        </w:rPr>
        <w:tab/>
      </w:r>
      <w:r>
        <w:rPr>
          <w:color w:val="auto"/>
          <w:highlight w:val="none"/>
        </w:rPr>
        <w:fldChar w:fldCharType="begin"/>
      </w:r>
      <w:r>
        <w:rPr>
          <w:color w:val="auto"/>
          <w:highlight w:val="none"/>
        </w:rPr>
        <w:instrText xml:space="preserve"> PAGEREF _Toc5409 \h </w:instrText>
      </w:r>
      <w:r>
        <w:rPr>
          <w:color w:val="auto"/>
          <w:highlight w:val="none"/>
        </w:rPr>
        <w:fldChar w:fldCharType="separate"/>
      </w:r>
      <w:r>
        <w:rPr>
          <w:color w:val="auto"/>
          <w:highlight w:val="none"/>
        </w:rPr>
        <w:t>227</w:t>
      </w:r>
      <w:r>
        <w:rPr>
          <w:color w:val="auto"/>
          <w:highlight w:val="none"/>
        </w:rPr>
        <w:fldChar w:fldCharType="end"/>
      </w:r>
      <w:r>
        <w:rPr>
          <w:rFonts w:ascii="Times New Roman" w:hAnsi="Times New Roman"/>
          <w:color w:val="auto"/>
          <w:szCs w:val="28"/>
          <w:highlight w:val="none"/>
        </w:rPr>
        <w:fldChar w:fldCharType="end"/>
      </w:r>
    </w:p>
    <w:p w14:paraId="3602D923">
      <w:pPr>
        <w:pStyle w:val="38"/>
        <w:tabs>
          <w:tab w:val="right" w:leader="dot" w:pos="8504"/>
        </w:tabs>
        <w:rPr>
          <w:color w:val="auto"/>
          <w:highlight w:val="none"/>
        </w:rPr>
      </w:pPr>
      <w:r>
        <w:rPr>
          <w:rFonts w:ascii="Times New Roman" w:hAnsi="Times New Roman"/>
          <w:color w:val="auto"/>
          <w:szCs w:val="28"/>
          <w:highlight w:val="none"/>
        </w:rPr>
        <w:fldChar w:fldCharType="begin"/>
      </w:r>
      <w:r>
        <w:rPr>
          <w:rFonts w:ascii="Times New Roman" w:hAnsi="Times New Roman"/>
          <w:color w:val="auto"/>
          <w:szCs w:val="28"/>
          <w:highlight w:val="none"/>
        </w:rPr>
        <w:instrText xml:space="preserve"> HYPERLINK \l _Toc24078 </w:instrText>
      </w:r>
      <w:r>
        <w:rPr>
          <w:rFonts w:ascii="Times New Roman" w:hAnsi="Times New Roman"/>
          <w:color w:val="auto"/>
          <w:szCs w:val="28"/>
          <w:highlight w:val="none"/>
        </w:rPr>
        <w:fldChar w:fldCharType="separate"/>
      </w:r>
      <w:r>
        <w:rPr>
          <w:rFonts w:hint="eastAsia" w:ascii="Times New Roman" w:eastAsia="宋体"/>
          <w:color w:val="auto"/>
          <w:szCs w:val="28"/>
          <w:highlight w:val="none"/>
        </w:rPr>
        <w:t xml:space="preserve">7.5 </w:t>
      </w:r>
      <w:r>
        <w:rPr>
          <w:rFonts w:ascii="Times New Roman" w:eastAsia="宋体"/>
          <w:color w:val="auto"/>
          <w:szCs w:val="28"/>
          <w:highlight w:val="none"/>
        </w:rPr>
        <w:t>地下水、土壤污染防治措施</w:t>
      </w:r>
      <w:r>
        <w:rPr>
          <w:color w:val="auto"/>
          <w:highlight w:val="none"/>
        </w:rPr>
        <w:tab/>
      </w:r>
      <w:r>
        <w:rPr>
          <w:color w:val="auto"/>
          <w:highlight w:val="none"/>
        </w:rPr>
        <w:fldChar w:fldCharType="begin"/>
      </w:r>
      <w:r>
        <w:rPr>
          <w:color w:val="auto"/>
          <w:highlight w:val="none"/>
        </w:rPr>
        <w:instrText xml:space="preserve"> PAGEREF _Toc24078 \h </w:instrText>
      </w:r>
      <w:r>
        <w:rPr>
          <w:color w:val="auto"/>
          <w:highlight w:val="none"/>
        </w:rPr>
        <w:fldChar w:fldCharType="separate"/>
      </w:r>
      <w:r>
        <w:rPr>
          <w:color w:val="auto"/>
          <w:highlight w:val="none"/>
        </w:rPr>
        <w:t>232</w:t>
      </w:r>
      <w:r>
        <w:rPr>
          <w:color w:val="auto"/>
          <w:highlight w:val="none"/>
        </w:rPr>
        <w:fldChar w:fldCharType="end"/>
      </w:r>
      <w:r>
        <w:rPr>
          <w:rFonts w:ascii="Times New Roman" w:hAnsi="Times New Roman"/>
          <w:color w:val="auto"/>
          <w:szCs w:val="28"/>
          <w:highlight w:val="none"/>
        </w:rPr>
        <w:fldChar w:fldCharType="end"/>
      </w:r>
    </w:p>
    <w:p w14:paraId="30A04593">
      <w:pPr>
        <w:pStyle w:val="38"/>
        <w:tabs>
          <w:tab w:val="right" w:leader="dot" w:pos="8504"/>
        </w:tabs>
        <w:rPr>
          <w:color w:val="auto"/>
          <w:highlight w:val="none"/>
        </w:rPr>
      </w:pPr>
      <w:r>
        <w:rPr>
          <w:rFonts w:ascii="Times New Roman" w:hAnsi="Times New Roman"/>
          <w:color w:val="auto"/>
          <w:szCs w:val="28"/>
          <w:highlight w:val="none"/>
        </w:rPr>
        <w:fldChar w:fldCharType="begin"/>
      </w:r>
      <w:r>
        <w:rPr>
          <w:rFonts w:ascii="Times New Roman" w:hAnsi="Times New Roman"/>
          <w:color w:val="auto"/>
          <w:szCs w:val="28"/>
          <w:highlight w:val="none"/>
        </w:rPr>
        <w:instrText xml:space="preserve"> HYPERLINK \l _Toc29050 </w:instrText>
      </w:r>
      <w:r>
        <w:rPr>
          <w:rFonts w:ascii="Times New Roman" w:hAnsi="Times New Roman"/>
          <w:color w:val="auto"/>
          <w:szCs w:val="28"/>
          <w:highlight w:val="none"/>
        </w:rPr>
        <w:fldChar w:fldCharType="separate"/>
      </w:r>
      <w:r>
        <w:rPr>
          <w:rFonts w:hint="eastAsia" w:ascii="Times New Roman" w:eastAsia="宋体"/>
          <w:color w:val="auto"/>
          <w:szCs w:val="28"/>
          <w:highlight w:val="none"/>
        </w:rPr>
        <w:t xml:space="preserve">7.6 </w:t>
      </w:r>
      <w:r>
        <w:rPr>
          <w:rFonts w:ascii="Times New Roman" w:eastAsia="宋体"/>
          <w:color w:val="auto"/>
          <w:szCs w:val="28"/>
          <w:highlight w:val="none"/>
        </w:rPr>
        <w:t>环境风险防范措施</w:t>
      </w:r>
      <w:r>
        <w:rPr>
          <w:color w:val="auto"/>
          <w:highlight w:val="none"/>
        </w:rPr>
        <w:tab/>
      </w:r>
      <w:r>
        <w:rPr>
          <w:color w:val="auto"/>
          <w:highlight w:val="none"/>
        </w:rPr>
        <w:fldChar w:fldCharType="begin"/>
      </w:r>
      <w:r>
        <w:rPr>
          <w:color w:val="auto"/>
          <w:highlight w:val="none"/>
        </w:rPr>
        <w:instrText xml:space="preserve"> PAGEREF _Toc29050 \h </w:instrText>
      </w:r>
      <w:r>
        <w:rPr>
          <w:color w:val="auto"/>
          <w:highlight w:val="none"/>
        </w:rPr>
        <w:fldChar w:fldCharType="separate"/>
      </w:r>
      <w:r>
        <w:rPr>
          <w:color w:val="auto"/>
          <w:highlight w:val="none"/>
        </w:rPr>
        <w:t>238</w:t>
      </w:r>
      <w:r>
        <w:rPr>
          <w:color w:val="auto"/>
          <w:highlight w:val="none"/>
        </w:rPr>
        <w:fldChar w:fldCharType="end"/>
      </w:r>
      <w:r>
        <w:rPr>
          <w:rFonts w:ascii="Times New Roman" w:hAnsi="Times New Roman"/>
          <w:color w:val="auto"/>
          <w:szCs w:val="28"/>
          <w:highlight w:val="none"/>
        </w:rPr>
        <w:fldChar w:fldCharType="end"/>
      </w:r>
    </w:p>
    <w:p w14:paraId="2178A02B">
      <w:pPr>
        <w:pStyle w:val="38"/>
        <w:tabs>
          <w:tab w:val="right" w:leader="dot" w:pos="8504"/>
        </w:tabs>
        <w:rPr>
          <w:color w:val="auto"/>
          <w:highlight w:val="none"/>
        </w:rPr>
      </w:pPr>
      <w:r>
        <w:rPr>
          <w:rFonts w:ascii="Times New Roman" w:hAnsi="Times New Roman"/>
          <w:color w:val="auto"/>
          <w:szCs w:val="28"/>
          <w:highlight w:val="none"/>
        </w:rPr>
        <w:fldChar w:fldCharType="begin"/>
      </w:r>
      <w:r>
        <w:rPr>
          <w:rFonts w:ascii="Times New Roman" w:hAnsi="Times New Roman"/>
          <w:color w:val="auto"/>
          <w:szCs w:val="28"/>
          <w:highlight w:val="none"/>
        </w:rPr>
        <w:instrText xml:space="preserve"> HYPERLINK \l _Toc781 </w:instrText>
      </w:r>
      <w:r>
        <w:rPr>
          <w:rFonts w:ascii="Times New Roman" w:hAnsi="Times New Roman"/>
          <w:color w:val="auto"/>
          <w:szCs w:val="28"/>
          <w:highlight w:val="none"/>
        </w:rPr>
        <w:fldChar w:fldCharType="separate"/>
      </w:r>
      <w:r>
        <w:rPr>
          <w:rFonts w:hint="eastAsia" w:ascii="Times New Roman" w:eastAsia="宋体"/>
          <w:color w:val="auto"/>
          <w:szCs w:val="28"/>
          <w:highlight w:val="none"/>
        </w:rPr>
        <w:t>7.7 运行期环境治理与保护措施</w:t>
      </w:r>
      <w:r>
        <w:rPr>
          <w:color w:val="auto"/>
          <w:highlight w:val="none"/>
        </w:rPr>
        <w:tab/>
      </w:r>
      <w:r>
        <w:rPr>
          <w:color w:val="auto"/>
          <w:highlight w:val="none"/>
        </w:rPr>
        <w:fldChar w:fldCharType="begin"/>
      </w:r>
      <w:r>
        <w:rPr>
          <w:color w:val="auto"/>
          <w:highlight w:val="none"/>
        </w:rPr>
        <w:instrText xml:space="preserve"> PAGEREF _Toc781 \h </w:instrText>
      </w:r>
      <w:r>
        <w:rPr>
          <w:color w:val="auto"/>
          <w:highlight w:val="none"/>
        </w:rPr>
        <w:fldChar w:fldCharType="separate"/>
      </w:r>
      <w:r>
        <w:rPr>
          <w:color w:val="auto"/>
          <w:highlight w:val="none"/>
        </w:rPr>
        <w:t>259</w:t>
      </w:r>
      <w:r>
        <w:rPr>
          <w:color w:val="auto"/>
          <w:highlight w:val="none"/>
        </w:rPr>
        <w:fldChar w:fldCharType="end"/>
      </w:r>
      <w:r>
        <w:rPr>
          <w:rFonts w:ascii="Times New Roman" w:hAnsi="Times New Roman"/>
          <w:color w:val="auto"/>
          <w:szCs w:val="28"/>
          <w:highlight w:val="none"/>
        </w:rPr>
        <w:fldChar w:fldCharType="end"/>
      </w:r>
    </w:p>
    <w:p w14:paraId="175BA56A">
      <w:pPr>
        <w:pStyle w:val="38"/>
        <w:tabs>
          <w:tab w:val="right" w:leader="dot" w:pos="8504"/>
        </w:tabs>
        <w:rPr>
          <w:color w:val="auto"/>
          <w:highlight w:val="none"/>
        </w:rPr>
      </w:pPr>
      <w:r>
        <w:rPr>
          <w:rFonts w:ascii="Times New Roman" w:hAnsi="Times New Roman"/>
          <w:color w:val="auto"/>
          <w:szCs w:val="28"/>
          <w:highlight w:val="none"/>
        </w:rPr>
        <w:fldChar w:fldCharType="begin"/>
      </w:r>
      <w:r>
        <w:rPr>
          <w:rFonts w:ascii="Times New Roman" w:hAnsi="Times New Roman"/>
          <w:color w:val="auto"/>
          <w:szCs w:val="28"/>
          <w:highlight w:val="none"/>
        </w:rPr>
        <w:instrText xml:space="preserve"> HYPERLINK \l _Toc26495 </w:instrText>
      </w:r>
      <w:r>
        <w:rPr>
          <w:rFonts w:ascii="Times New Roman" w:hAnsi="Times New Roman"/>
          <w:color w:val="auto"/>
          <w:szCs w:val="28"/>
          <w:highlight w:val="none"/>
        </w:rPr>
        <w:fldChar w:fldCharType="separate"/>
      </w:r>
      <w:r>
        <w:rPr>
          <w:rFonts w:hint="eastAsia" w:ascii="Times New Roman" w:eastAsia="宋体"/>
          <w:color w:val="auto"/>
          <w:szCs w:val="28"/>
          <w:highlight w:val="none"/>
        </w:rPr>
        <w:t>7.8 “三同时”验收一览表</w:t>
      </w:r>
      <w:r>
        <w:rPr>
          <w:color w:val="auto"/>
          <w:highlight w:val="none"/>
        </w:rPr>
        <w:tab/>
      </w:r>
      <w:r>
        <w:rPr>
          <w:color w:val="auto"/>
          <w:highlight w:val="none"/>
        </w:rPr>
        <w:fldChar w:fldCharType="begin"/>
      </w:r>
      <w:r>
        <w:rPr>
          <w:color w:val="auto"/>
          <w:highlight w:val="none"/>
        </w:rPr>
        <w:instrText xml:space="preserve"> PAGEREF _Toc26495 \h </w:instrText>
      </w:r>
      <w:r>
        <w:rPr>
          <w:color w:val="auto"/>
          <w:highlight w:val="none"/>
        </w:rPr>
        <w:fldChar w:fldCharType="separate"/>
      </w:r>
      <w:r>
        <w:rPr>
          <w:color w:val="auto"/>
          <w:highlight w:val="none"/>
        </w:rPr>
        <w:t>261</w:t>
      </w:r>
      <w:r>
        <w:rPr>
          <w:color w:val="auto"/>
          <w:highlight w:val="none"/>
        </w:rPr>
        <w:fldChar w:fldCharType="end"/>
      </w:r>
      <w:r>
        <w:rPr>
          <w:rFonts w:ascii="Times New Roman" w:hAnsi="Times New Roman"/>
          <w:color w:val="auto"/>
          <w:szCs w:val="28"/>
          <w:highlight w:val="none"/>
        </w:rPr>
        <w:fldChar w:fldCharType="end"/>
      </w:r>
    </w:p>
    <w:p w14:paraId="6319BA14">
      <w:pPr>
        <w:pStyle w:val="32"/>
        <w:tabs>
          <w:tab w:val="right" w:leader="dot" w:pos="8504"/>
        </w:tabs>
        <w:rPr>
          <w:color w:val="auto"/>
          <w:highlight w:val="none"/>
        </w:rPr>
      </w:pPr>
      <w:r>
        <w:rPr>
          <w:rFonts w:ascii="Times New Roman" w:hAnsi="Times New Roman"/>
          <w:color w:val="auto"/>
          <w:szCs w:val="28"/>
          <w:highlight w:val="none"/>
        </w:rPr>
        <w:fldChar w:fldCharType="begin"/>
      </w:r>
      <w:r>
        <w:rPr>
          <w:rFonts w:ascii="Times New Roman" w:hAnsi="Times New Roman"/>
          <w:color w:val="auto"/>
          <w:szCs w:val="28"/>
          <w:highlight w:val="none"/>
        </w:rPr>
        <w:instrText xml:space="preserve"> HYPERLINK \l _Toc14490 </w:instrText>
      </w:r>
      <w:r>
        <w:rPr>
          <w:rFonts w:ascii="Times New Roman" w:hAnsi="Times New Roman"/>
          <w:color w:val="auto"/>
          <w:szCs w:val="28"/>
          <w:highlight w:val="none"/>
        </w:rPr>
        <w:fldChar w:fldCharType="separate"/>
      </w:r>
      <w:r>
        <w:rPr>
          <w:rFonts w:hint="eastAsia" w:ascii="Times New Roman" w:eastAsia="宋体"/>
          <w:color w:val="auto"/>
          <w:szCs w:val="32"/>
          <w:highlight w:val="none"/>
        </w:rPr>
        <w:t xml:space="preserve">8 </w:t>
      </w:r>
      <w:r>
        <w:rPr>
          <w:rFonts w:ascii="Times New Roman" w:eastAsia="宋体"/>
          <w:color w:val="auto"/>
          <w:szCs w:val="32"/>
          <w:highlight w:val="none"/>
        </w:rPr>
        <w:t>环境影响经济损益分析</w:t>
      </w:r>
      <w:r>
        <w:rPr>
          <w:color w:val="auto"/>
          <w:highlight w:val="none"/>
        </w:rPr>
        <w:tab/>
      </w:r>
      <w:r>
        <w:rPr>
          <w:color w:val="auto"/>
          <w:highlight w:val="none"/>
        </w:rPr>
        <w:fldChar w:fldCharType="begin"/>
      </w:r>
      <w:r>
        <w:rPr>
          <w:color w:val="auto"/>
          <w:highlight w:val="none"/>
        </w:rPr>
        <w:instrText xml:space="preserve"> PAGEREF _Toc14490 \h </w:instrText>
      </w:r>
      <w:r>
        <w:rPr>
          <w:color w:val="auto"/>
          <w:highlight w:val="none"/>
        </w:rPr>
        <w:fldChar w:fldCharType="separate"/>
      </w:r>
      <w:r>
        <w:rPr>
          <w:color w:val="auto"/>
          <w:highlight w:val="none"/>
        </w:rPr>
        <w:t>264</w:t>
      </w:r>
      <w:r>
        <w:rPr>
          <w:color w:val="auto"/>
          <w:highlight w:val="none"/>
        </w:rPr>
        <w:fldChar w:fldCharType="end"/>
      </w:r>
      <w:r>
        <w:rPr>
          <w:rFonts w:ascii="Times New Roman" w:hAnsi="Times New Roman"/>
          <w:color w:val="auto"/>
          <w:szCs w:val="28"/>
          <w:highlight w:val="none"/>
        </w:rPr>
        <w:fldChar w:fldCharType="end"/>
      </w:r>
    </w:p>
    <w:p w14:paraId="3920E493">
      <w:pPr>
        <w:pStyle w:val="38"/>
        <w:tabs>
          <w:tab w:val="right" w:leader="dot" w:pos="8504"/>
        </w:tabs>
        <w:rPr>
          <w:color w:val="auto"/>
          <w:highlight w:val="none"/>
        </w:rPr>
      </w:pPr>
      <w:r>
        <w:rPr>
          <w:rFonts w:ascii="Times New Roman" w:hAnsi="Times New Roman"/>
          <w:color w:val="auto"/>
          <w:szCs w:val="28"/>
          <w:highlight w:val="none"/>
        </w:rPr>
        <w:fldChar w:fldCharType="begin"/>
      </w:r>
      <w:r>
        <w:rPr>
          <w:rFonts w:ascii="Times New Roman" w:hAnsi="Times New Roman"/>
          <w:color w:val="auto"/>
          <w:szCs w:val="28"/>
          <w:highlight w:val="none"/>
        </w:rPr>
        <w:instrText xml:space="preserve"> HYPERLINK \l _Toc11296 </w:instrText>
      </w:r>
      <w:r>
        <w:rPr>
          <w:rFonts w:ascii="Times New Roman" w:hAnsi="Times New Roman"/>
          <w:color w:val="auto"/>
          <w:szCs w:val="28"/>
          <w:highlight w:val="none"/>
        </w:rPr>
        <w:fldChar w:fldCharType="separate"/>
      </w:r>
      <w:r>
        <w:rPr>
          <w:rFonts w:hint="eastAsia" w:ascii="Times New Roman" w:eastAsia="宋体"/>
          <w:color w:val="auto"/>
          <w:szCs w:val="28"/>
          <w:highlight w:val="none"/>
        </w:rPr>
        <w:t>8.1</w:t>
      </w:r>
      <w:r>
        <w:rPr>
          <w:rFonts w:ascii="Times New Roman" w:eastAsia="宋体"/>
          <w:color w:val="auto"/>
          <w:szCs w:val="28"/>
          <w:highlight w:val="none"/>
        </w:rPr>
        <w:t>经济效益分析</w:t>
      </w:r>
      <w:r>
        <w:rPr>
          <w:color w:val="auto"/>
          <w:highlight w:val="none"/>
        </w:rPr>
        <w:tab/>
      </w:r>
      <w:r>
        <w:rPr>
          <w:color w:val="auto"/>
          <w:highlight w:val="none"/>
        </w:rPr>
        <w:fldChar w:fldCharType="begin"/>
      </w:r>
      <w:r>
        <w:rPr>
          <w:color w:val="auto"/>
          <w:highlight w:val="none"/>
        </w:rPr>
        <w:instrText xml:space="preserve"> PAGEREF _Toc11296 \h </w:instrText>
      </w:r>
      <w:r>
        <w:rPr>
          <w:color w:val="auto"/>
          <w:highlight w:val="none"/>
        </w:rPr>
        <w:fldChar w:fldCharType="separate"/>
      </w:r>
      <w:r>
        <w:rPr>
          <w:color w:val="auto"/>
          <w:highlight w:val="none"/>
        </w:rPr>
        <w:t>264</w:t>
      </w:r>
      <w:r>
        <w:rPr>
          <w:color w:val="auto"/>
          <w:highlight w:val="none"/>
        </w:rPr>
        <w:fldChar w:fldCharType="end"/>
      </w:r>
      <w:r>
        <w:rPr>
          <w:rFonts w:ascii="Times New Roman" w:hAnsi="Times New Roman"/>
          <w:color w:val="auto"/>
          <w:szCs w:val="28"/>
          <w:highlight w:val="none"/>
        </w:rPr>
        <w:fldChar w:fldCharType="end"/>
      </w:r>
    </w:p>
    <w:p w14:paraId="295955EE">
      <w:pPr>
        <w:pStyle w:val="38"/>
        <w:tabs>
          <w:tab w:val="right" w:leader="dot" w:pos="8504"/>
        </w:tabs>
        <w:rPr>
          <w:color w:val="auto"/>
          <w:highlight w:val="none"/>
        </w:rPr>
      </w:pPr>
      <w:r>
        <w:rPr>
          <w:rFonts w:ascii="Times New Roman" w:hAnsi="Times New Roman"/>
          <w:color w:val="auto"/>
          <w:szCs w:val="28"/>
          <w:highlight w:val="none"/>
        </w:rPr>
        <w:fldChar w:fldCharType="begin"/>
      </w:r>
      <w:r>
        <w:rPr>
          <w:rFonts w:ascii="Times New Roman" w:hAnsi="Times New Roman"/>
          <w:color w:val="auto"/>
          <w:szCs w:val="28"/>
          <w:highlight w:val="none"/>
        </w:rPr>
        <w:instrText xml:space="preserve"> HYPERLINK \l _Toc13944 </w:instrText>
      </w:r>
      <w:r>
        <w:rPr>
          <w:rFonts w:ascii="Times New Roman" w:hAnsi="Times New Roman"/>
          <w:color w:val="auto"/>
          <w:szCs w:val="28"/>
          <w:highlight w:val="none"/>
        </w:rPr>
        <w:fldChar w:fldCharType="separate"/>
      </w:r>
      <w:r>
        <w:rPr>
          <w:rFonts w:hint="eastAsia" w:ascii="Times New Roman" w:eastAsia="宋体"/>
          <w:color w:val="auto"/>
          <w:szCs w:val="28"/>
          <w:highlight w:val="none"/>
        </w:rPr>
        <w:t>8.2环境效益</w:t>
      </w:r>
      <w:r>
        <w:rPr>
          <w:color w:val="auto"/>
          <w:highlight w:val="none"/>
        </w:rPr>
        <w:tab/>
      </w:r>
      <w:r>
        <w:rPr>
          <w:color w:val="auto"/>
          <w:highlight w:val="none"/>
        </w:rPr>
        <w:fldChar w:fldCharType="begin"/>
      </w:r>
      <w:r>
        <w:rPr>
          <w:color w:val="auto"/>
          <w:highlight w:val="none"/>
        </w:rPr>
        <w:instrText xml:space="preserve"> PAGEREF _Toc13944 \h </w:instrText>
      </w:r>
      <w:r>
        <w:rPr>
          <w:color w:val="auto"/>
          <w:highlight w:val="none"/>
        </w:rPr>
        <w:fldChar w:fldCharType="separate"/>
      </w:r>
      <w:r>
        <w:rPr>
          <w:color w:val="auto"/>
          <w:highlight w:val="none"/>
        </w:rPr>
        <w:t>264</w:t>
      </w:r>
      <w:r>
        <w:rPr>
          <w:color w:val="auto"/>
          <w:highlight w:val="none"/>
        </w:rPr>
        <w:fldChar w:fldCharType="end"/>
      </w:r>
      <w:r>
        <w:rPr>
          <w:rFonts w:ascii="Times New Roman" w:hAnsi="Times New Roman"/>
          <w:color w:val="auto"/>
          <w:szCs w:val="28"/>
          <w:highlight w:val="none"/>
        </w:rPr>
        <w:fldChar w:fldCharType="end"/>
      </w:r>
    </w:p>
    <w:p w14:paraId="08B1D6F3">
      <w:pPr>
        <w:pStyle w:val="38"/>
        <w:tabs>
          <w:tab w:val="right" w:leader="dot" w:pos="8504"/>
        </w:tabs>
        <w:rPr>
          <w:color w:val="auto"/>
          <w:highlight w:val="none"/>
        </w:rPr>
      </w:pPr>
      <w:r>
        <w:rPr>
          <w:rFonts w:ascii="Times New Roman" w:hAnsi="Times New Roman"/>
          <w:color w:val="auto"/>
          <w:szCs w:val="28"/>
          <w:highlight w:val="none"/>
        </w:rPr>
        <w:fldChar w:fldCharType="begin"/>
      </w:r>
      <w:r>
        <w:rPr>
          <w:rFonts w:ascii="Times New Roman" w:hAnsi="Times New Roman"/>
          <w:color w:val="auto"/>
          <w:szCs w:val="28"/>
          <w:highlight w:val="none"/>
        </w:rPr>
        <w:instrText xml:space="preserve"> HYPERLINK \l _Toc23654 </w:instrText>
      </w:r>
      <w:r>
        <w:rPr>
          <w:rFonts w:ascii="Times New Roman" w:hAnsi="Times New Roman"/>
          <w:color w:val="auto"/>
          <w:szCs w:val="28"/>
          <w:highlight w:val="none"/>
        </w:rPr>
        <w:fldChar w:fldCharType="separate"/>
      </w:r>
      <w:r>
        <w:rPr>
          <w:rFonts w:hint="eastAsia" w:ascii="Times New Roman" w:eastAsia="宋体"/>
          <w:color w:val="auto"/>
          <w:szCs w:val="28"/>
          <w:highlight w:val="none"/>
        </w:rPr>
        <w:t>8.3社会效益</w:t>
      </w:r>
      <w:r>
        <w:rPr>
          <w:color w:val="auto"/>
          <w:highlight w:val="none"/>
        </w:rPr>
        <w:tab/>
      </w:r>
      <w:r>
        <w:rPr>
          <w:color w:val="auto"/>
          <w:highlight w:val="none"/>
        </w:rPr>
        <w:fldChar w:fldCharType="begin"/>
      </w:r>
      <w:r>
        <w:rPr>
          <w:color w:val="auto"/>
          <w:highlight w:val="none"/>
        </w:rPr>
        <w:instrText xml:space="preserve"> PAGEREF _Toc23654 \h </w:instrText>
      </w:r>
      <w:r>
        <w:rPr>
          <w:color w:val="auto"/>
          <w:highlight w:val="none"/>
        </w:rPr>
        <w:fldChar w:fldCharType="separate"/>
      </w:r>
      <w:r>
        <w:rPr>
          <w:color w:val="auto"/>
          <w:highlight w:val="none"/>
        </w:rPr>
        <w:t>265</w:t>
      </w:r>
      <w:r>
        <w:rPr>
          <w:color w:val="auto"/>
          <w:highlight w:val="none"/>
        </w:rPr>
        <w:fldChar w:fldCharType="end"/>
      </w:r>
      <w:r>
        <w:rPr>
          <w:rFonts w:ascii="Times New Roman" w:hAnsi="Times New Roman"/>
          <w:color w:val="auto"/>
          <w:szCs w:val="28"/>
          <w:highlight w:val="none"/>
        </w:rPr>
        <w:fldChar w:fldCharType="end"/>
      </w:r>
    </w:p>
    <w:p w14:paraId="4C8A4D73">
      <w:pPr>
        <w:pStyle w:val="32"/>
        <w:tabs>
          <w:tab w:val="right" w:leader="dot" w:pos="8504"/>
        </w:tabs>
        <w:rPr>
          <w:color w:val="auto"/>
          <w:highlight w:val="none"/>
        </w:rPr>
      </w:pPr>
      <w:r>
        <w:rPr>
          <w:rFonts w:ascii="Times New Roman" w:hAnsi="Times New Roman"/>
          <w:color w:val="auto"/>
          <w:szCs w:val="28"/>
          <w:highlight w:val="none"/>
        </w:rPr>
        <w:fldChar w:fldCharType="begin"/>
      </w:r>
      <w:r>
        <w:rPr>
          <w:rFonts w:ascii="Times New Roman" w:hAnsi="Times New Roman"/>
          <w:color w:val="auto"/>
          <w:szCs w:val="28"/>
          <w:highlight w:val="none"/>
        </w:rPr>
        <w:instrText xml:space="preserve"> HYPERLINK \l _Toc173 </w:instrText>
      </w:r>
      <w:r>
        <w:rPr>
          <w:rFonts w:ascii="Times New Roman" w:hAnsi="Times New Roman"/>
          <w:color w:val="auto"/>
          <w:szCs w:val="28"/>
          <w:highlight w:val="none"/>
        </w:rPr>
        <w:fldChar w:fldCharType="separate"/>
      </w:r>
      <w:r>
        <w:rPr>
          <w:rFonts w:hint="eastAsia" w:ascii="Times New Roman" w:eastAsia="宋体"/>
          <w:color w:val="auto"/>
          <w:szCs w:val="32"/>
          <w:highlight w:val="none"/>
        </w:rPr>
        <w:t>9 环境管理与环境监测</w:t>
      </w:r>
      <w:r>
        <w:rPr>
          <w:color w:val="auto"/>
          <w:highlight w:val="none"/>
        </w:rPr>
        <w:tab/>
      </w:r>
      <w:r>
        <w:rPr>
          <w:color w:val="auto"/>
          <w:highlight w:val="none"/>
        </w:rPr>
        <w:fldChar w:fldCharType="begin"/>
      </w:r>
      <w:r>
        <w:rPr>
          <w:color w:val="auto"/>
          <w:highlight w:val="none"/>
        </w:rPr>
        <w:instrText xml:space="preserve"> PAGEREF _Toc173 \h </w:instrText>
      </w:r>
      <w:r>
        <w:rPr>
          <w:color w:val="auto"/>
          <w:highlight w:val="none"/>
        </w:rPr>
        <w:fldChar w:fldCharType="separate"/>
      </w:r>
      <w:r>
        <w:rPr>
          <w:color w:val="auto"/>
          <w:highlight w:val="none"/>
        </w:rPr>
        <w:t>267</w:t>
      </w:r>
      <w:r>
        <w:rPr>
          <w:color w:val="auto"/>
          <w:highlight w:val="none"/>
        </w:rPr>
        <w:fldChar w:fldCharType="end"/>
      </w:r>
      <w:r>
        <w:rPr>
          <w:rFonts w:ascii="Times New Roman" w:hAnsi="Times New Roman"/>
          <w:color w:val="auto"/>
          <w:szCs w:val="28"/>
          <w:highlight w:val="none"/>
        </w:rPr>
        <w:fldChar w:fldCharType="end"/>
      </w:r>
    </w:p>
    <w:p w14:paraId="284A7EBF">
      <w:pPr>
        <w:pStyle w:val="38"/>
        <w:tabs>
          <w:tab w:val="right" w:leader="dot" w:pos="8504"/>
        </w:tabs>
        <w:rPr>
          <w:color w:val="auto"/>
          <w:highlight w:val="none"/>
        </w:rPr>
      </w:pPr>
      <w:r>
        <w:rPr>
          <w:rFonts w:ascii="Times New Roman" w:hAnsi="Times New Roman"/>
          <w:color w:val="auto"/>
          <w:szCs w:val="28"/>
          <w:highlight w:val="none"/>
        </w:rPr>
        <w:fldChar w:fldCharType="begin"/>
      </w:r>
      <w:r>
        <w:rPr>
          <w:rFonts w:ascii="Times New Roman" w:hAnsi="Times New Roman"/>
          <w:color w:val="auto"/>
          <w:szCs w:val="28"/>
          <w:highlight w:val="none"/>
        </w:rPr>
        <w:instrText xml:space="preserve"> HYPERLINK \l _Toc25296 </w:instrText>
      </w:r>
      <w:r>
        <w:rPr>
          <w:rFonts w:ascii="Times New Roman" w:hAnsi="Times New Roman"/>
          <w:color w:val="auto"/>
          <w:szCs w:val="28"/>
          <w:highlight w:val="none"/>
        </w:rPr>
        <w:fldChar w:fldCharType="separate"/>
      </w:r>
      <w:r>
        <w:rPr>
          <w:rFonts w:hint="eastAsia" w:ascii="Times New Roman" w:eastAsia="宋体"/>
          <w:color w:val="auto"/>
          <w:szCs w:val="28"/>
          <w:highlight w:val="none"/>
        </w:rPr>
        <w:t>9.1</w:t>
      </w:r>
      <w:r>
        <w:rPr>
          <w:rFonts w:ascii="Times New Roman" w:eastAsia="宋体"/>
          <w:color w:val="auto"/>
          <w:szCs w:val="28"/>
          <w:highlight w:val="none"/>
        </w:rPr>
        <w:t>污染物排放清单及总量控制</w:t>
      </w:r>
      <w:r>
        <w:rPr>
          <w:color w:val="auto"/>
          <w:highlight w:val="none"/>
        </w:rPr>
        <w:tab/>
      </w:r>
      <w:r>
        <w:rPr>
          <w:color w:val="auto"/>
          <w:highlight w:val="none"/>
        </w:rPr>
        <w:fldChar w:fldCharType="begin"/>
      </w:r>
      <w:r>
        <w:rPr>
          <w:color w:val="auto"/>
          <w:highlight w:val="none"/>
        </w:rPr>
        <w:instrText xml:space="preserve"> PAGEREF _Toc25296 \h </w:instrText>
      </w:r>
      <w:r>
        <w:rPr>
          <w:color w:val="auto"/>
          <w:highlight w:val="none"/>
        </w:rPr>
        <w:fldChar w:fldCharType="separate"/>
      </w:r>
      <w:r>
        <w:rPr>
          <w:color w:val="auto"/>
          <w:highlight w:val="none"/>
        </w:rPr>
        <w:t>267</w:t>
      </w:r>
      <w:r>
        <w:rPr>
          <w:color w:val="auto"/>
          <w:highlight w:val="none"/>
        </w:rPr>
        <w:fldChar w:fldCharType="end"/>
      </w:r>
      <w:r>
        <w:rPr>
          <w:rFonts w:ascii="Times New Roman" w:hAnsi="Times New Roman"/>
          <w:color w:val="auto"/>
          <w:szCs w:val="28"/>
          <w:highlight w:val="none"/>
        </w:rPr>
        <w:fldChar w:fldCharType="end"/>
      </w:r>
    </w:p>
    <w:p w14:paraId="75FF86D5">
      <w:pPr>
        <w:pStyle w:val="38"/>
        <w:tabs>
          <w:tab w:val="right" w:leader="dot" w:pos="8504"/>
        </w:tabs>
        <w:rPr>
          <w:color w:val="auto"/>
          <w:highlight w:val="none"/>
        </w:rPr>
      </w:pPr>
      <w:r>
        <w:rPr>
          <w:rFonts w:ascii="Times New Roman" w:hAnsi="Times New Roman"/>
          <w:color w:val="auto"/>
          <w:szCs w:val="28"/>
          <w:highlight w:val="none"/>
        </w:rPr>
        <w:fldChar w:fldCharType="begin"/>
      </w:r>
      <w:r>
        <w:rPr>
          <w:rFonts w:ascii="Times New Roman" w:hAnsi="Times New Roman"/>
          <w:color w:val="auto"/>
          <w:szCs w:val="28"/>
          <w:highlight w:val="none"/>
        </w:rPr>
        <w:instrText xml:space="preserve"> HYPERLINK \l _Toc23535 </w:instrText>
      </w:r>
      <w:r>
        <w:rPr>
          <w:rFonts w:ascii="Times New Roman" w:hAnsi="Times New Roman"/>
          <w:color w:val="auto"/>
          <w:szCs w:val="28"/>
          <w:highlight w:val="none"/>
        </w:rPr>
        <w:fldChar w:fldCharType="separate"/>
      </w:r>
      <w:r>
        <w:rPr>
          <w:rFonts w:hint="eastAsia" w:ascii="Times New Roman" w:eastAsia="宋体"/>
          <w:color w:val="auto"/>
          <w:szCs w:val="28"/>
          <w:highlight w:val="none"/>
        </w:rPr>
        <w:t>9.2</w:t>
      </w:r>
      <w:r>
        <w:rPr>
          <w:rFonts w:ascii="Times New Roman" w:eastAsia="宋体"/>
          <w:color w:val="auto"/>
          <w:szCs w:val="28"/>
          <w:highlight w:val="none"/>
        </w:rPr>
        <w:t>环境管理</w:t>
      </w:r>
      <w:r>
        <w:rPr>
          <w:color w:val="auto"/>
          <w:highlight w:val="none"/>
        </w:rPr>
        <w:tab/>
      </w:r>
      <w:r>
        <w:rPr>
          <w:color w:val="auto"/>
          <w:highlight w:val="none"/>
        </w:rPr>
        <w:fldChar w:fldCharType="begin"/>
      </w:r>
      <w:r>
        <w:rPr>
          <w:color w:val="auto"/>
          <w:highlight w:val="none"/>
        </w:rPr>
        <w:instrText xml:space="preserve"> PAGEREF _Toc23535 \h </w:instrText>
      </w:r>
      <w:r>
        <w:rPr>
          <w:color w:val="auto"/>
          <w:highlight w:val="none"/>
        </w:rPr>
        <w:fldChar w:fldCharType="separate"/>
      </w:r>
      <w:r>
        <w:rPr>
          <w:color w:val="auto"/>
          <w:highlight w:val="none"/>
        </w:rPr>
        <w:t>270</w:t>
      </w:r>
      <w:r>
        <w:rPr>
          <w:color w:val="auto"/>
          <w:highlight w:val="none"/>
        </w:rPr>
        <w:fldChar w:fldCharType="end"/>
      </w:r>
      <w:r>
        <w:rPr>
          <w:rFonts w:ascii="Times New Roman" w:hAnsi="Times New Roman"/>
          <w:color w:val="auto"/>
          <w:szCs w:val="28"/>
          <w:highlight w:val="none"/>
        </w:rPr>
        <w:fldChar w:fldCharType="end"/>
      </w:r>
    </w:p>
    <w:p w14:paraId="0C13DD51">
      <w:pPr>
        <w:pStyle w:val="38"/>
        <w:tabs>
          <w:tab w:val="right" w:leader="dot" w:pos="8504"/>
        </w:tabs>
        <w:rPr>
          <w:color w:val="auto"/>
          <w:highlight w:val="none"/>
        </w:rPr>
      </w:pPr>
      <w:r>
        <w:rPr>
          <w:rFonts w:ascii="Times New Roman" w:hAnsi="Times New Roman"/>
          <w:color w:val="auto"/>
          <w:szCs w:val="28"/>
          <w:highlight w:val="none"/>
        </w:rPr>
        <w:fldChar w:fldCharType="begin"/>
      </w:r>
      <w:r>
        <w:rPr>
          <w:rFonts w:ascii="Times New Roman" w:hAnsi="Times New Roman"/>
          <w:color w:val="auto"/>
          <w:szCs w:val="28"/>
          <w:highlight w:val="none"/>
        </w:rPr>
        <w:instrText xml:space="preserve"> HYPERLINK \l _Toc11436 </w:instrText>
      </w:r>
      <w:r>
        <w:rPr>
          <w:rFonts w:ascii="Times New Roman" w:hAnsi="Times New Roman"/>
          <w:color w:val="auto"/>
          <w:szCs w:val="28"/>
          <w:highlight w:val="none"/>
        </w:rPr>
        <w:fldChar w:fldCharType="separate"/>
      </w:r>
      <w:r>
        <w:rPr>
          <w:rFonts w:hint="eastAsia" w:ascii="Times New Roman" w:eastAsia="宋体"/>
          <w:color w:val="auto"/>
          <w:szCs w:val="28"/>
          <w:highlight w:val="none"/>
        </w:rPr>
        <w:t>9.3</w:t>
      </w:r>
      <w:r>
        <w:rPr>
          <w:rFonts w:ascii="Times New Roman" w:eastAsia="宋体"/>
          <w:color w:val="auto"/>
          <w:szCs w:val="28"/>
          <w:highlight w:val="none"/>
        </w:rPr>
        <w:t>环境监测</w:t>
      </w:r>
      <w:r>
        <w:rPr>
          <w:color w:val="auto"/>
          <w:highlight w:val="none"/>
        </w:rPr>
        <w:tab/>
      </w:r>
      <w:r>
        <w:rPr>
          <w:color w:val="auto"/>
          <w:highlight w:val="none"/>
        </w:rPr>
        <w:fldChar w:fldCharType="begin"/>
      </w:r>
      <w:r>
        <w:rPr>
          <w:color w:val="auto"/>
          <w:highlight w:val="none"/>
        </w:rPr>
        <w:instrText xml:space="preserve"> PAGEREF _Toc11436 \h </w:instrText>
      </w:r>
      <w:r>
        <w:rPr>
          <w:color w:val="auto"/>
          <w:highlight w:val="none"/>
        </w:rPr>
        <w:fldChar w:fldCharType="separate"/>
      </w:r>
      <w:r>
        <w:rPr>
          <w:color w:val="auto"/>
          <w:highlight w:val="none"/>
        </w:rPr>
        <w:t>274</w:t>
      </w:r>
      <w:r>
        <w:rPr>
          <w:color w:val="auto"/>
          <w:highlight w:val="none"/>
        </w:rPr>
        <w:fldChar w:fldCharType="end"/>
      </w:r>
      <w:r>
        <w:rPr>
          <w:rFonts w:ascii="Times New Roman" w:hAnsi="Times New Roman"/>
          <w:color w:val="auto"/>
          <w:szCs w:val="28"/>
          <w:highlight w:val="none"/>
        </w:rPr>
        <w:fldChar w:fldCharType="end"/>
      </w:r>
    </w:p>
    <w:p w14:paraId="037E1DD4">
      <w:pPr>
        <w:pStyle w:val="38"/>
        <w:tabs>
          <w:tab w:val="right" w:leader="dot" w:pos="8504"/>
        </w:tabs>
        <w:rPr>
          <w:color w:val="auto"/>
          <w:highlight w:val="none"/>
        </w:rPr>
      </w:pPr>
      <w:r>
        <w:rPr>
          <w:rFonts w:ascii="Times New Roman" w:hAnsi="Times New Roman"/>
          <w:color w:val="auto"/>
          <w:szCs w:val="28"/>
          <w:highlight w:val="none"/>
        </w:rPr>
        <w:fldChar w:fldCharType="begin"/>
      </w:r>
      <w:r>
        <w:rPr>
          <w:rFonts w:ascii="Times New Roman" w:hAnsi="Times New Roman"/>
          <w:color w:val="auto"/>
          <w:szCs w:val="28"/>
          <w:highlight w:val="none"/>
        </w:rPr>
        <w:instrText xml:space="preserve"> HYPERLINK \l _Toc30228 </w:instrText>
      </w:r>
      <w:r>
        <w:rPr>
          <w:rFonts w:ascii="Times New Roman" w:hAnsi="Times New Roman"/>
          <w:color w:val="auto"/>
          <w:szCs w:val="28"/>
          <w:highlight w:val="none"/>
        </w:rPr>
        <w:fldChar w:fldCharType="separate"/>
      </w:r>
      <w:r>
        <w:rPr>
          <w:rFonts w:hint="eastAsia" w:ascii="Times New Roman" w:eastAsia="宋体"/>
          <w:color w:val="auto"/>
          <w:szCs w:val="28"/>
          <w:highlight w:val="none"/>
        </w:rPr>
        <w:t>9.4</w:t>
      </w:r>
      <w:r>
        <w:rPr>
          <w:rFonts w:ascii="Times New Roman" w:eastAsia="宋体"/>
          <w:color w:val="auto"/>
          <w:szCs w:val="28"/>
          <w:highlight w:val="none"/>
        </w:rPr>
        <w:t>“三同时”验收监测建议清单</w:t>
      </w:r>
      <w:r>
        <w:rPr>
          <w:color w:val="auto"/>
          <w:highlight w:val="none"/>
        </w:rPr>
        <w:tab/>
      </w:r>
      <w:r>
        <w:rPr>
          <w:color w:val="auto"/>
          <w:highlight w:val="none"/>
        </w:rPr>
        <w:fldChar w:fldCharType="begin"/>
      </w:r>
      <w:r>
        <w:rPr>
          <w:color w:val="auto"/>
          <w:highlight w:val="none"/>
        </w:rPr>
        <w:instrText xml:space="preserve"> PAGEREF _Toc30228 \h </w:instrText>
      </w:r>
      <w:r>
        <w:rPr>
          <w:color w:val="auto"/>
          <w:highlight w:val="none"/>
        </w:rPr>
        <w:fldChar w:fldCharType="separate"/>
      </w:r>
      <w:r>
        <w:rPr>
          <w:color w:val="auto"/>
          <w:highlight w:val="none"/>
        </w:rPr>
        <w:t>276</w:t>
      </w:r>
      <w:r>
        <w:rPr>
          <w:color w:val="auto"/>
          <w:highlight w:val="none"/>
        </w:rPr>
        <w:fldChar w:fldCharType="end"/>
      </w:r>
      <w:r>
        <w:rPr>
          <w:rFonts w:ascii="Times New Roman" w:hAnsi="Times New Roman"/>
          <w:color w:val="auto"/>
          <w:szCs w:val="28"/>
          <w:highlight w:val="none"/>
        </w:rPr>
        <w:fldChar w:fldCharType="end"/>
      </w:r>
    </w:p>
    <w:p w14:paraId="440B10AD">
      <w:pPr>
        <w:pStyle w:val="32"/>
        <w:tabs>
          <w:tab w:val="right" w:leader="dot" w:pos="8504"/>
        </w:tabs>
        <w:rPr>
          <w:color w:val="auto"/>
          <w:highlight w:val="none"/>
        </w:rPr>
      </w:pPr>
      <w:r>
        <w:rPr>
          <w:rFonts w:ascii="Times New Roman" w:hAnsi="Times New Roman"/>
          <w:color w:val="auto"/>
          <w:szCs w:val="28"/>
          <w:highlight w:val="none"/>
        </w:rPr>
        <w:fldChar w:fldCharType="begin"/>
      </w:r>
      <w:r>
        <w:rPr>
          <w:rFonts w:ascii="Times New Roman" w:hAnsi="Times New Roman"/>
          <w:color w:val="auto"/>
          <w:szCs w:val="28"/>
          <w:highlight w:val="none"/>
        </w:rPr>
        <w:instrText xml:space="preserve"> HYPERLINK \l _Toc27465 </w:instrText>
      </w:r>
      <w:r>
        <w:rPr>
          <w:rFonts w:ascii="Times New Roman" w:hAnsi="Times New Roman"/>
          <w:color w:val="auto"/>
          <w:szCs w:val="28"/>
          <w:highlight w:val="none"/>
        </w:rPr>
        <w:fldChar w:fldCharType="separate"/>
      </w:r>
      <w:r>
        <w:rPr>
          <w:rFonts w:hint="eastAsia" w:ascii="Times New Roman" w:eastAsia="宋体"/>
          <w:color w:val="auto"/>
          <w:szCs w:val="32"/>
          <w:highlight w:val="none"/>
        </w:rPr>
        <w:t xml:space="preserve">10 </w:t>
      </w:r>
      <w:r>
        <w:rPr>
          <w:rFonts w:ascii="Times New Roman" w:eastAsia="宋体"/>
          <w:color w:val="auto"/>
          <w:szCs w:val="32"/>
          <w:highlight w:val="none"/>
        </w:rPr>
        <w:t>评价结论和建议</w:t>
      </w:r>
      <w:r>
        <w:rPr>
          <w:color w:val="auto"/>
          <w:highlight w:val="none"/>
        </w:rPr>
        <w:tab/>
      </w:r>
      <w:r>
        <w:rPr>
          <w:color w:val="auto"/>
          <w:highlight w:val="none"/>
        </w:rPr>
        <w:fldChar w:fldCharType="begin"/>
      </w:r>
      <w:r>
        <w:rPr>
          <w:color w:val="auto"/>
          <w:highlight w:val="none"/>
        </w:rPr>
        <w:instrText xml:space="preserve"> PAGEREF _Toc27465 \h </w:instrText>
      </w:r>
      <w:r>
        <w:rPr>
          <w:color w:val="auto"/>
          <w:highlight w:val="none"/>
        </w:rPr>
        <w:fldChar w:fldCharType="separate"/>
      </w:r>
      <w:r>
        <w:rPr>
          <w:color w:val="auto"/>
          <w:highlight w:val="none"/>
        </w:rPr>
        <w:t>278</w:t>
      </w:r>
      <w:r>
        <w:rPr>
          <w:color w:val="auto"/>
          <w:highlight w:val="none"/>
        </w:rPr>
        <w:fldChar w:fldCharType="end"/>
      </w:r>
      <w:r>
        <w:rPr>
          <w:rFonts w:ascii="Times New Roman" w:hAnsi="Times New Roman"/>
          <w:color w:val="auto"/>
          <w:szCs w:val="28"/>
          <w:highlight w:val="none"/>
        </w:rPr>
        <w:fldChar w:fldCharType="end"/>
      </w:r>
    </w:p>
    <w:p w14:paraId="5CE8C1AB">
      <w:pPr>
        <w:pStyle w:val="38"/>
        <w:tabs>
          <w:tab w:val="right" w:leader="dot" w:pos="8504"/>
        </w:tabs>
        <w:rPr>
          <w:color w:val="auto"/>
          <w:highlight w:val="none"/>
        </w:rPr>
      </w:pPr>
      <w:r>
        <w:rPr>
          <w:rFonts w:ascii="Times New Roman" w:hAnsi="Times New Roman"/>
          <w:color w:val="auto"/>
          <w:szCs w:val="28"/>
          <w:highlight w:val="none"/>
        </w:rPr>
        <w:fldChar w:fldCharType="begin"/>
      </w:r>
      <w:r>
        <w:rPr>
          <w:rFonts w:ascii="Times New Roman" w:hAnsi="Times New Roman"/>
          <w:color w:val="auto"/>
          <w:szCs w:val="28"/>
          <w:highlight w:val="none"/>
        </w:rPr>
        <w:instrText xml:space="preserve"> HYPERLINK \l _Toc31330 </w:instrText>
      </w:r>
      <w:r>
        <w:rPr>
          <w:rFonts w:ascii="Times New Roman" w:hAnsi="Times New Roman"/>
          <w:color w:val="auto"/>
          <w:szCs w:val="28"/>
          <w:highlight w:val="none"/>
        </w:rPr>
        <w:fldChar w:fldCharType="separate"/>
      </w:r>
      <w:r>
        <w:rPr>
          <w:rFonts w:hint="eastAsia" w:ascii="Times New Roman" w:eastAsia="宋体"/>
          <w:color w:val="auto"/>
          <w:szCs w:val="28"/>
          <w:highlight w:val="none"/>
        </w:rPr>
        <w:t>10.1</w:t>
      </w:r>
      <w:r>
        <w:rPr>
          <w:rFonts w:ascii="Times New Roman" w:eastAsia="宋体"/>
          <w:color w:val="auto"/>
          <w:szCs w:val="28"/>
          <w:highlight w:val="none"/>
        </w:rPr>
        <w:t>项目概况</w:t>
      </w:r>
      <w:r>
        <w:rPr>
          <w:color w:val="auto"/>
          <w:highlight w:val="none"/>
        </w:rPr>
        <w:tab/>
      </w:r>
      <w:r>
        <w:rPr>
          <w:color w:val="auto"/>
          <w:highlight w:val="none"/>
        </w:rPr>
        <w:fldChar w:fldCharType="begin"/>
      </w:r>
      <w:r>
        <w:rPr>
          <w:color w:val="auto"/>
          <w:highlight w:val="none"/>
        </w:rPr>
        <w:instrText xml:space="preserve"> PAGEREF _Toc31330 \h </w:instrText>
      </w:r>
      <w:r>
        <w:rPr>
          <w:color w:val="auto"/>
          <w:highlight w:val="none"/>
        </w:rPr>
        <w:fldChar w:fldCharType="separate"/>
      </w:r>
      <w:r>
        <w:rPr>
          <w:color w:val="auto"/>
          <w:highlight w:val="none"/>
        </w:rPr>
        <w:t>278</w:t>
      </w:r>
      <w:r>
        <w:rPr>
          <w:color w:val="auto"/>
          <w:highlight w:val="none"/>
        </w:rPr>
        <w:fldChar w:fldCharType="end"/>
      </w:r>
      <w:r>
        <w:rPr>
          <w:rFonts w:ascii="Times New Roman" w:hAnsi="Times New Roman"/>
          <w:color w:val="auto"/>
          <w:szCs w:val="28"/>
          <w:highlight w:val="none"/>
        </w:rPr>
        <w:fldChar w:fldCharType="end"/>
      </w:r>
    </w:p>
    <w:p w14:paraId="7DD50C05">
      <w:pPr>
        <w:pStyle w:val="38"/>
        <w:tabs>
          <w:tab w:val="right" w:leader="dot" w:pos="8504"/>
        </w:tabs>
        <w:rPr>
          <w:color w:val="auto"/>
          <w:highlight w:val="none"/>
        </w:rPr>
      </w:pPr>
      <w:r>
        <w:rPr>
          <w:rFonts w:ascii="Times New Roman" w:hAnsi="Times New Roman"/>
          <w:color w:val="auto"/>
          <w:szCs w:val="28"/>
          <w:highlight w:val="none"/>
        </w:rPr>
        <w:fldChar w:fldCharType="begin"/>
      </w:r>
      <w:r>
        <w:rPr>
          <w:rFonts w:ascii="Times New Roman" w:hAnsi="Times New Roman"/>
          <w:color w:val="auto"/>
          <w:szCs w:val="28"/>
          <w:highlight w:val="none"/>
        </w:rPr>
        <w:instrText xml:space="preserve"> HYPERLINK \l _Toc21996 </w:instrText>
      </w:r>
      <w:r>
        <w:rPr>
          <w:rFonts w:ascii="Times New Roman" w:hAnsi="Times New Roman"/>
          <w:color w:val="auto"/>
          <w:szCs w:val="28"/>
          <w:highlight w:val="none"/>
        </w:rPr>
        <w:fldChar w:fldCharType="separate"/>
      </w:r>
      <w:r>
        <w:rPr>
          <w:rFonts w:hint="eastAsia" w:ascii="Times New Roman" w:eastAsia="宋体"/>
          <w:color w:val="auto"/>
          <w:szCs w:val="28"/>
          <w:highlight w:val="none"/>
        </w:rPr>
        <w:t>10.2</w:t>
      </w:r>
      <w:r>
        <w:rPr>
          <w:rFonts w:ascii="Times New Roman" w:eastAsia="宋体"/>
          <w:color w:val="auto"/>
          <w:szCs w:val="28"/>
          <w:highlight w:val="none"/>
        </w:rPr>
        <w:t>与产业政策、规划相符性分析</w:t>
      </w:r>
      <w:r>
        <w:rPr>
          <w:color w:val="auto"/>
          <w:highlight w:val="none"/>
        </w:rPr>
        <w:tab/>
      </w:r>
      <w:r>
        <w:rPr>
          <w:color w:val="auto"/>
          <w:highlight w:val="none"/>
        </w:rPr>
        <w:fldChar w:fldCharType="begin"/>
      </w:r>
      <w:r>
        <w:rPr>
          <w:color w:val="auto"/>
          <w:highlight w:val="none"/>
        </w:rPr>
        <w:instrText xml:space="preserve"> PAGEREF _Toc21996 \h </w:instrText>
      </w:r>
      <w:r>
        <w:rPr>
          <w:color w:val="auto"/>
          <w:highlight w:val="none"/>
        </w:rPr>
        <w:fldChar w:fldCharType="separate"/>
      </w:r>
      <w:r>
        <w:rPr>
          <w:color w:val="auto"/>
          <w:highlight w:val="none"/>
        </w:rPr>
        <w:t>278</w:t>
      </w:r>
      <w:r>
        <w:rPr>
          <w:color w:val="auto"/>
          <w:highlight w:val="none"/>
        </w:rPr>
        <w:fldChar w:fldCharType="end"/>
      </w:r>
      <w:r>
        <w:rPr>
          <w:rFonts w:ascii="Times New Roman" w:hAnsi="Times New Roman"/>
          <w:color w:val="auto"/>
          <w:szCs w:val="28"/>
          <w:highlight w:val="none"/>
        </w:rPr>
        <w:fldChar w:fldCharType="end"/>
      </w:r>
    </w:p>
    <w:p w14:paraId="19757D49">
      <w:pPr>
        <w:pStyle w:val="38"/>
        <w:tabs>
          <w:tab w:val="right" w:leader="dot" w:pos="8504"/>
        </w:tabs>
        <w:rPr>
          <w:color w:val="auto"/>
          <w:highlight w:val="none"/>
        </w:rPr>
      </w:pPr>
      <w:r>
        <w:rPr>
          <w:rFonts w:ascii="Times New Roman" w:hAnsi="Times New Roman"/>
          <w:color w:val="auto"/>
          <w:szCs w:val="28"/>
          <w:highlight w:val="none"/>
        </w:rPr>
        <w:fldChar w:fldCharType="begin"/>
      </w:r>
      <w:r>
        <w:rPr>
          <w:rFonts w:ascii="Times New Roman" w:hAnsi="Times New Roman"/>
          <w:color w:val="auto"/>
          <w:szCs w:val="28"/>
          <w:highlight w:val="none"/>
        </w:rPr>
        <w:instrText xml:space="preserve"> HYPERLINK \l _Toc10235 </w:instrText>
      </w:r>
      <w:r>
        <w:rPr>
          <w:rFonts w:ascii="Times New Roman" w:hAnsi="Times New Roman"/>
          <w:color w:val="auto"/>
          <w:szCs w:val="28"/>
          <w:highlight w:val="none"/>
        </w:rPr>
        <w:fldChar w:fldCharType="separate"/>
      </w:r>
      <w:r>
        <w:rPr>
          <w:rFonts w:hint="eastAsia" w:ascii="Times New Roman" w:eastAsia="宋体"/>
          <w:color w:val="auto"/>
          <w:szCs w:val="28"/>
          <w:highlight w:val="none"/>
        </w:rPr>
        <w:t>10.3</w:t>
      </w:r>
      <w:r>
        <w:rPr>
          <w:rFonts w:ascii="Times New Roman" w:eastAsia="宋体"/>
          <w:color w:val="auto"/>
          <w:szCs w:val="28"/>
          <w:highlight w:val="none"/>
        </w:rPr>
        <w:t>环境质量现状</w:t>
      </w:r>
      <w:r>
        <w:rPr>
          <w:color w:val="auto"/>
          <w:highlight w:val="none"/>
        </w:rPr>
        <w:tab/>
      </w:r>
      <w:r>
        <w:rPr>
          <w:color w:val="auto"/>
          <w:highlight w:val="none"/>
        </w:rPr>
        <w:fldChar w:fldCharType="begin"/>
      </w:r>
      <w:r>
        <w:rPr>
          <w:color w:val="auto"/>
          <w:highlight w:val="none"/>
        </w:rPr>
        <w:instrText xml:space="preserve"> PAGEREF _Toc10235 \h </w:instrText>
      </w:r>
      <w:r>
        <w:rPr>
          <w:color w:val="auto"/>
          <w:highlight w:val="none"/>
        </w:rPr>
        <w:fldChar w:fldCharType="separate"/>
      </w:r>
      <w:r>
        <w:rPr>
          <w:color w:val="auto"/>
          <w:highlight w:val="none"/>
        </w:rPr>
        <w:t>279</w:t>
      </w:r>
      <w:r>
        <w:rPr>
          <w:color w:val="auto"/>
          <w:highlight w:val="none"/>
        </w:rPr>
        <w:fldChar w:fldCharType="end"/>
      </w:r>
      <w:r>
        <w:rPr>
          <w:rFonts w:ascii="Times New Roman" w:hAnsi="Times New Roman"/>
          <w:color w:val="auto"/>
          <w:szCs w:val="28"/>
          <w:highlight w:val="none"/>
        </w:rPr>
        <w:fldChar w:fldCharType="end"/>
      </w:r>
    </w:p>
    <w:p w14:paraId="0B0554E1">
      <w:pPr>
        <w:pStyle w:val="38"/>
        <w:tabs>
          <w:tab w:val="right" w:leader="dot" w:pos="8504"/>
        </w:tabs>
        <w:rPr>
          <w:color w:val="auto"/>
          <w:highlight w:val="none"/>
        </w:rPr>
      </w:pPr>
      <w:r>
        <w:rPr>
          <w:rFonts w:ascii="Times New Roman" w:hAnsi="Times New Roman"/>
          <w:color w:val="auto"/>
          <w:szCs w:val="28"/>
          <w:highlight w:val="none"/>
        </w:rPr>
        <w:fldChar w:fldCharType="begin"/>
      </w:r>
      <w:r>
        <w:rPr>
          <w:rFonts w:ascii="Times New Roman" w:hAnsi="Times New Roman"/>
          <w:color w:val="auto"/>
          <w:szCs w:val="28"/>
          <w:highlight w:val="none"/>
        </w:rPr>
        <w:instrText xml:space="preserve"> HYPERLINK \l _Toc17972 </w:instrText>
      </w:r>
      <w:r>
        <w:rPr>
          <w:rFonts w:ascii="Times New Roman" w:hAnsi="Times New Roman"/>
          <w:color w:val="auto"/>
          <w:szCs w:val="28"/>
          <w:highlight w:val="none"/>
        </w:rPr>
        <w:fldChar w:fldCharType="separate"/>
      </w:r>
      <w:r>
        <w:rPr>
          <w:rFonts w:hint="eastAsia" w:ascii="Times New Roman" w:eastAsia="宋体"/>
          <w:color w:val="auto"/>
          <w:szCs w:val="28"/>
          <w:highlight w:val="none"/>
        </w:rPr>
        <w:t>10.4</w:t>
      </w:r>
      <w:r>
        <w:rPr>
          <w:rFonts w:ascii="Times New Roman" w:eastAsia="宋体"/>
          <w:color w:val="auto"/>
          <w:szCs w:val="28"/>
          <w:highlight w:val="none"/>
        </w:rPr>
        <w:t>污染物排放情况</w:t>
      </w:r>
      <w:r>
        <w:rPr>
          <w:color w:val="auto"/>
          <w:highlight w:val="none"/>
        </w:rPr>
        <w:tab/>
      </w:r>
      <w:r>
        <w:rPr>
          <w:color w:val="auto"/>
          <w:highlight w:val="none"/>
        </w:rPr>
        <w:fldChar w:fldCharType="begin"/>
      </w:r>
      <w:r>
        <w:rPr>
          <w:color w:val="auto"/>
          <w:highlight w:val="none"/>
        </w:rPr>
        <w:instrText xml:space="preserve"> PAGEREF _Toc17972 \h </w:instrText>
      </w:r>
      <w:r>
        <w:rPr>
          <w:color w:val="auto"/>
          <w:highlight w:val="none"/>
        </w:rPr>
        <w:fldChar w:fldCharType="separate"/>
      </w:r>
      <w:r>
        <w:rPr>
          <w:color w:val="auto"/>
          <w:highlight w:val="none"/>
        </w:rPr>
        <w:t>280</w:t>
      </w:r>
      <w:r>
        <w:rPr>
          <w:color w:val="auto"/>
          <w:highlight w:val="none"/>
        </w:rPr>
        <w:fldChar w:fldCharType="end"/>
      </w:r>
      <w:r>
        <w:rPr>
          <w:rFonts w:ascii="Times New Roman" w:hAnsi="Times New Roman"/>
          <w:color w:val="auto"/>
          <w:szCs w:val="28"/>
          <w:highlight w:val="none"/>
        </w:rPr>
        <w:fldChar w:fldCharType="end"/>
      </w:r>
    </w:p>
    <w:p w14:paraId="0A3611FD">
      <w:pPr>
        <w:pStyle w:val="38"/>
        <w:tabs>
          <w:tab w:val="right" w:leader="dot" w:pos="8504"/>
        </w:tabs>
        <w:rPr>
          <w:color w:val="auto"/>
          <w:highlight w:val="none"/>
        </w:rPr>
      </w:pPr>
      <w:r>
        <w:rPr>
          <w:rFonts w:ascii="Times New Roman" w:hAnsi="Times New Roman"/>
          <w:color w:val="auto"/>
          <w:szCs w:val="28"/>
          <w:highlight w:val="none"/>
        </w:rPr>
        <w:fldChar w:fldCharType="begin"/>
      </w:r>
      <w:r>
        <w:rPr>
          <w:rFonts w:ascii="Times New Roman" w:hAnsi="Times New Roman"/>
          <w:color w:val="auto"/>
          <w:szCs w:val="28"/>
          <w:highlight w:val="none"/>
        </w:rPr>
        <w:instrText xml:space="preserve"> HYPERLINK \l _Toc9990 </w:instrText>
      </w:r>
      <w:r>
        <w:rPr>
          <w:rFonts w:ascii="Times New Roman" w:hAnsi="Times New Roman"/>
          <w:color w:val="auto"/>
          <w:szCs w:val="28"/>
          <w:highlight w:val="none"/>
        </w:rPr>
        <w:fldChar w:fldCharType="separate"/>
      </w:r>
      <w:r>
        <w:rPr>
          <w:rFonts w:hint="eastAsia" w:ascii="Times New Roman" w:eastAsia="宋体"/>
          <w:color w:val="auto"/>
          <w:szCs w:val="28"/>
          <w:highlight w:val="none"/>
        </w:rPr>
        <w:t>10.5</w:t>
      </w:r>
      <w:r>
        <w:rPr>
          <w:rFonts w:ascii="Times New Roman" w:eastAsia="宋体"/>
          <w:color w:val="auto"/>
          <w:szCs w:val="28"/>
          <w:highlight w:val="none"/>
        </w:rPr>
        <w:t>主要环境影响</w:t>
      </w:r>
      <w:r>
        <w:rPr>
          <w:color w:val="auto"/>
          <w:highlight w:val="none"/>
        </w:rPr>
        <w:tab/>
      </w:r>
      <w:r>
        <w:rPr>
          <w:color w:val="auto"/>
          <w:highlight w:val="none"/>
        </w:rPr>
        <w:fldChar w:fldCharType="begin"/>
      </w:r>
      <w:r>
        <w:rPr>
          <w:color w:val="auto"/>
          <w:highlight w:val="none"/>
        </w:rPr>
        <w:instrText xml:space="preserve"> PAGEREF _Toc9990 \h </w:instrText>
      </w:r>
      <w:r>
        <w:rPr>
          <w:color w:val="auto"/>
          <w:highlight w:val="none"/>
        </w:rPr>
        <w:fldChar w:fldCharType="separate"/>
      </w:r>
      <w:r>
        <w:rPr>
          <w:color w:val="auto"/>
          <w:highlight w:val="none"/>
        </w:rPr>
        <w:t>280</w:t>
      </w:r>
      <w:r>
        <w:rPr>
          <w:color w:val="auto"/>
          <w:highlight w:val="none"/>
        </w:rPr>
        <w:fldChar w:fldCharType="end"/>
      </w:r>
      <w:r>
        <w:rPr>
          <w:rFonts w:ascii="Times New Roman" w:hAnsi="Times New Roman"/>
          <w:color w:val="auto"/>
          <w:szCs w:val="28"/>
          <w:highlight w:val="none"/>
        </w:rPr>
        <w:fldChar w:fldCharType="end"/>
      </w:r>
    </w:p>
    <w:p w14:paraId="6B366943">
      <w:pPr>
        <w:pStyle w:val="38"/>
        <w:tabs>
          <w:tab w:val="right" w:leader="dot" w:pos="8504"/>
        </w:tabs>
        <w:rPr>
          <w:color w:val="auto"/>
          <w:highlight w:val="none"/>
        </w:rPr>
      </w:pPr>
      <w:r>
        <w:rPr>
          <w:rFonts w:ascii="Times New Roman" w:hAnsi="Times New Roman"/>
          <w:color w:val="auto"/>
          <w:szCs w:val="28"/>
          <w:highlight w:val="none"/>
        </w:rPr>
        <w:fldChar w:fldCharType="begin"/>
      </w:r>
      <w:r>
        <w:rPr>
          <w:rFonts w:ascii="Times New Roman" w:hAnsi="Times New Roman"/>
          <w:color w:val="auto"/>
          <w:szCs w:val="28"/>
          <w:highlight w:val="none"/>
        </w:rPr>
        <w:instrText xml:space="preserve"> HYPERLINK \l _Toc10250 </w:instrText>
      </w:r>
      <w:r>
        <w:rPr>
          <w:rFonts w:ascii="Times New Roman" w:hAnsi="Times New Roman"/>
          <w:color w:val="auto"/>
          <w:szCs w:val="28"/>
          <w:highlight w:val="none"/>
        </w:rPr>
        <w:fldChar w:fldCharType="separate"/>
      </w:r>
      <w:r>
        <w:rPr>
          <w:rFonts w:hint="eastAsia" w:ascii="Times New Roman" w:eastAsia="宋体"/>
          <w:color w:val="auto"/>
          <w:szCs w:val="28"/>
          <w:highlight w:val="none"/>
        </w:rPr>
        <w:t>10.6</w:t>
      </w:r>
      <w:r>
        <w:rPr>
          <w:rFonts w:ascii="Times New Roman" w:eastAsia="宋体"/>
          <w:color w:val="auto"/>
          <w:szCs w:val="28"/>
          <w:highlight w:val="none"/>
        </w:rPr>
        <w:t>公众意见采纳情况</w:t>
      </w:r>
      <w:r>
        <w:rPr>
          <w:color w:val="auto"/>
          <w:highlight w:val="none"/>
        </w:rPr>
        <w:tab/>
      </w:r>
      <w:r>
        <w:rPr>
          <w:color w:val="auto"/>
          <w:highlight w:val="none"/>
        </w:rPr>
        <w:fldChar w:fldCharType="begin"/>
      </w:r>
      <w:r>
        <w:rPr>
          <w:color w:val="auto"/>
          <w:highlight w:val="none"/>
        </w:rPr>
        <w:instrText xml:space="preserve"> PAGEREF _Toc10250 \h </w:instrText>
      </w:r>
      <w:r>
        <w:rPr>
          <w:color w:val="auto"/>
          <w:highlight w:val="none"/>
        </w:rPr>
        <w:fldChar w:fldCharType="separate"/>
      </w:r>
      <w:r>
        <w:rPr>
          <w:color w:val="auto"/>
          <w:highlight w:val="none"/>
        </w:rPr>
        <w:t>282</w:t>
      </w:r>
      <w:r>
        <w:rPr>
          <w:color w:val="auto"/>
          <w:highlight w:val="none"/>
        </w:rPr>
        <w:fldChar w:fldCharType="end"/>
      </w:r>
      <w:r>
        <w:rPr>
          <w:rFonts w:ascii="Times New Roman" w:hAnsi="Times New Roman"/>
          <w:color w:val="auto"/>
          <w:szCs w:val="28"/>
          <w:highlight w:val="none"/>
        </w:rPr>
        <w:fldChar w:fldCharType="end"/>
      </w:r>
    </w:p>
    <w:p w14:paraId="32A15C1C">
      <w:pPr>
        <w:pStyle w:val="38"/>
        <w:tabs>
          <w:tab w:val="right" w:leader="dot" w:pos="8504"/>
        </w:tabs>
        <w:rPr>
          <w:color w:val="auto"/>
          <w:highlight w:val="none"/>
        </w:rPr>
      </w:pPr>
      <w:r>
        <w:rPr>
          <w:rFonts w:ascii="Times New Roman" w:hAnsi="Times New Roman"/>
          <w:color w:val="auto"/>
          <w:szCs w:val="28"/>
          <w:highlight w:val="none"/>
        </w:rPr>
        <w:fldChar w:fldCharType="begin"/>
      </w:r>
      <w:r>
        <w:rPr>
          <w:rFonts w:ascii="Times New Roman" w:hAnsi="Times New Roman"/>
          <w:color w:val="auto"/>
          <w:szCs w:val="28"/>
          <w:highlight w:val="none"/>
        </w:rPr>
        <w:instrText xml:space="preserve"> HYPERLINK \l _Toc30914 </w:instrText>
      </w:r>
      <w:r>
        <w:rPr>
          <w:rFonts w:ascii="Times New Roman" w:hAnsi="Times New Roman"/>
          <w:color w:val="auto"/>
          <w:szCs w:val="28"/>
          <w:highlight w:val="none"/>
        </w:rPr>
        <w:fldChar w:fldCharType="separate"/>
      </w:r>
      <w:r>
        <w:rPr>
          <w:rFonts w:hint="eastAsia" w:ascii="Times New Roman" w:eastAsia="宋体"/>
          <w:color w:val="auto"/>
          <w:szCs w:val="28"/>
          <w:highlight w:val="none"/>
        </w:rPr>
        <w:t>10.7</w:t>
      </w:r>
      <w:r>
        <w:rPr>
          <w:rFonts w:ascii="Times New Roman" w:eastAsia="宋体"/>
          <w:color w:val="auto"/>
          <w:szCs w:val="28"/>
          <w:highlight w:val="none"/>
        </w:rPr>
        <w:t>环境保护措施</w:t>
      </w:r>
      <w:r>
        <w:rPr>
          <w:color w:val="auto"/>
          <w:highlight w:val="none"/>
        </w:rPr>
        <w:tab/>
      </w:r>
      <w:r>
        <w:rPr>
          <w:color w:val="auto"/>
          <w:highlight w:val="none"/>
        </w:rPr>
        <w:fldChar w:fldCharType="begin"/>
      </w:r>
      <w:r>
        <w:rPr>
          <w:color w:val="auto"/>
          <w:highlight w:val="none"/>
        </w:rPr>
        <w:instrText xml:space="preserve"> PAGEREF _Toc30914 \h </w:instrText>
      </w:r>
      <w:r>
        <w:rPr>
          <w:color w:val="auto"/>
          <w:highlight w:val="none"/>
        </w:rPr>
        <w:fldChar w:fldCharType="separate"/>
      </w:r>
      <w:r>
        <w:rPr>
          <w:color w:val="auto"/>
          <w:highlight w:val="none"/>
        </w:rPr>
        <w:t>282</w:t>
      </w:r>
      <w:r>
        <w:rPr>
          <w:color w:val="auto"/>
          <w:highlight w:val="none"/>
        </w:rPr>
        <w:fldChar w:fldCharType="end"/>
      </w:r>
      <w:r>
        <w:rPr>
          <w:rFonts w:ascii="Times New Roman" w:hAnsi="Times New Roman"/>
          <w:color w:val="auto"/>
          <w:szCs w:val="28"/>
          <w:highlight w:val="none"/>
        </w:rPr>
        <w:fldChar w:fldCharType="end"/>
      </w:r>
    </w:p>
    <w:p w14:paraId="69A54651">
      <w:pPr>
        <w:pStyle w:val="38"/>
        <w:tabs>
          <w:tab w:val="right" w:leader="dot" w:pos="8504"/>
        </w:tabs>
        <w:rPr>
          <w:color w:val="auto"/>
          <w:highlight w:val="none"/>
        </w:rPr>
      </w:pPr>
      <w:r>
        <w:rPr>
          <w:rFonts w:ascii="Times New Roman" w:hAnsi="Times New Roman"/>
          <w:color w:val="auto"/>
          <w:szCs w:val="28"/>
          <w:highlight w:val="none"/>
        </w:rPr>
        <w:fldChar w:fldCharType="begin"/>
      </w:r>
      <w:r>
        <w:rPr>
          <w:rFonts w:ascii="Times New Roman" w:hAnsi="Times New Roman"/>
          <w:color w:val="auto"/>
          <w:szCs w:val="28"/>
          <w:highlight w:val="none"/>
        </w:rPr>
        <w:instrText xml:space="preserve"> HYPERLINK \l _Toc4290 </w:instrText>
      </w:r>
      <w:r>
        <w:rPr>
          <w:rFonts w:ascii="Times New Roman" w:hAnsi="Times New Roman"/>
          <w:color w:val="auto"/>
          <w:szCs w:val="28"/>
          <w:highlight w:val="none"/>
        </w:rPr>
        <w:fldChar w:fldCharType="separate"/>
      </w:r>
      <w:r>
        <w:rPr>
          <w:rFonts w:hint="eastAsia" w:ascii="Times New Roman" w:eastAsia="宋体"/>
          <w:color w:val="auto"/>
          <w:szCs w:val="28"/>
          <w:highlight w:val="none"/>
        </w:rPr>
        <w:t>10.8</w:t>
      </w:r>
      <w:r>
        <w:rPr>
          <w:rFonts w:ascii="Times New Roman" w:eastAsia="宋体"/>
          <w:color w:val="auto"/>
          <w:szCs w:val="28"/>
          <w:highlight w:val="none"/>
        </w:rPr>
        <w:t>环境影响经济损益分析</w:t>
      </w:r>
      <w:r>
        <w:rPr>
          <w:color w:val="auto"/>
          <w:highlight w:val="none"/>
        </w:rPr>
        <w:tab/>
      </w:r>
      <w:r>
        <w:rPr>
          <w:color w:val="auto"/>
          <w:highlight w:val="none"/>
        </w:rPr>
        <w:fldChar w:fldCharType="begin"/>
      </w:r>
      <w:r>
        <w:rPr>
          <w:color w:val="auto"/>
          <w:highlight w:val="none"/>
        </w:rPr>
        <w:instrText xml:space="preserve"> PAGEREF _Toc4290 \h </w:instrText>
      </w:r>
      <w:r>
        <w:rPr>
          <w:color w:val="auto"/>
          <w:highlight w:val="none"/>
        </w:rPr>
        <w:fldChar w:fldCharType="separate"/>
      </w:r>
      <w:r>
        <w:rPr>
          <w:color w:val="auto"/>
          <w:highlight w:val="none"/>
        </w:rPr>
        <w:t>283</w:t>
      </w:r>
      <w:r>
        <w:rPr>
          <w:color w:val="auto"/>
          <w:highlight w:val="none"/>
        </w:rPr>
        <w:fldChar w:fldCharType="end"/>
      </w:r>
      <w:r>
        <w:rPr>
          <w:rFonts w:ascii="Times New Roman" w:hAnsi="Times New Roman"/>
          <w:color w:val="auto"/>
          <w:szCs w:val="28"/>
          <w:highlight w:val="none"/>
        </w:rPr>
        <w:fldChar w:fldCharType="end"/>
      </w:r>
    </w:p>
    <w:p w14:paraId="6FDA2869">
      <w:pPr>
        <w:pStyle w:val="38"/>
        <w:tabs>
          <w:tab w:val="right" w:leader="dot" w:pos="8504"/>
        </w:tabs>
        <w:rPr>
          <w:color w:val="auto"/>
          <w:highlight w:val="none"/>
        </w:rPr>
      </w:pPr>
      <w:r>
        <w:rPr>
          <w:rFonts w:ascii="Times New Roman" w:hAnsi="Times New Roman"/>
          <w:color w:val="auto"/>
          <w:szCs w:val="28"/>
          <w:highlight w:val="none"/>
        </w:rPr>
        <w:fldChar w:fldCharType="begin"/>
      </w:r>
      <w:r>
        <w:rPr>
          <w:rFonts w:ascii="Times New Roman" w:hAnsi="Times New Roman"/>
          <w:color w:val="auto"/>
          <w:szCs w:val="28"/>
          <w:highlight w:val="none"/>
        </w:rPr>
        <w:instrText xml:space="preserve"> HYPERLINK \l _Toc23034 </w:instrText>
      </w:r>
      <w:r>
        <w:rPr>
          <w:rFonts w:ascii="Times New Roman" w:hAnsi="Times New Roman"/>
          <w:color w:val="auto"/>
          <w:szCs w:val="28"/>
          <w:highlight w:val="none"/>
        </w:rPr>
        <w:fldChar w:fldCharType="separate"/>
      </w:r>
      <w:r>
        <w:rPr>
          <w:rFonts w:hint="eastAsia" w:ascii="Times New Roman" w:eastAsia="宋体"/>
          <w:color w:val="auto"/>
          <w:szCs w:val="28"/>
          <w:highlight w:val="none"/>
        </w:rPr>
        <w:t>10.9</w:t>
      </w:r>
      <w:r>
        <w:rPr>
          <w:rFonts w:ascii="Times New Roman" w:eastAsia="宋体"/>
          <w:color w:val="auto"/>
          <w:szCs w:val="28"/>
          <w:highlight w:val="none"/>
        </w:rPr>
        <w:t>环境管理与监测计划</w:t>
      </w:r>
      <w:r>
        <w:rPr>
          <w:color w:val="auto"/>
          <w:highlight w:val="none"/>
        </w:rPr>
        <w:tab/>
      </w:r>
      <w:r>
        <w:rPr>
          <w:color w:val="auto"/>
          <w:highlight w:val="none"/>
        </w:rPr>
        <w:fldChar w:fldCharType="begin"/>
      </w:r>
      <w:r>
        <w:rPr>
          <w:color w:val="auto"/>
          <w:highlight w:val="none"/>
        </w:rPr>
        <w:instrText xml:space="preserve"> PAGEREF _Toc23034 \h </w:instrText>
      </w:r>
      <w:r>
        <w:rPr>
          <w:color w:val="auto"/>
          <w:highlight w:val="none"/>
        </w:rPr>
        <w:fldChar w:fldCharType="separate"/>
      </w:r>
      <w:r>
        <w:rPr>
          <w:color w:val="auto"/>
          <w:highlight w:val="none"/>
        </w:rPr>
        <w:t>283</w:t>
      </w:r>
      <w:r>
        <w:rPr>
          <w:color w:val="auto"/>
          <w:highlight w:val="none"/>
        </w:rPr>
        <w:fldChar w:fldCharType="end"/>
      </w:r>
      <w:r>
        <w:rPr>
          <w:rFonts w:ascii="Times New Roman" w:hAnsi="Times New Roman"/>
          <w:color w:val="auto"/>
          <w:szCs w:val="28"/>
          <w:highlight w:val="none"/>
        </w:rPr>
        <w:fldChar w:fldCharType="end"/>
      </w:r>
    </w:p>
    <w:p w14:paraId="6EDE6619">
      <w:pPr>
        <w:pStyle w:val="38"/>
        <w:tabs>
          <w:tab w:val="right" w:leader="dot" w:pos="8504"/>
        </w:tabs>
        <w:rPr>
          <w:color w:val="auto"/>
          <w:highlight w:val="none"/>
        </w:rPr>
      </w:pPr>
      <w:r>
        <w:rPr>
          <w:rFonts w:ascii="Times New Roman" w:hAnsi="Times New Roman"/>
          <w:color w:val="auto"/>
          <w:szCs w:val="28"/>
          <w:highlight w:val="none"/>
        </w:rPr>
        <w:fldChar w:fldCharType="begin"/>
      </w:r>
      <w:r>
        <w:rPr>
          <w:rFonts w:ascii="Times New Roman" w:hAnsi="Times New Roman"/>
          <w:color w:val="auto"/>
          <w:szCs w:val="28"/>
          <w:highlight w:val="none"/>
        </w:rPr>
        <w:instrText xml:space="preserve"> HYPERLINK \l _Toc31642 </w:instrText>
      </w:r>
      <w:r>
        <w:rPr>
          <w:rFonts w:ascii="Times New Roman" w:hAnsi="Times New Roman"/>
          <w:color w:val="auto"/>
          <w:szCs w:val="28"/>
          <w:highlight w:val="none"/>
        </w:rPr>
        <w:fldChar w:fldCharType="separate"/>
      </w:r>
      <w:r>
        <w:rPr>
          <w:rFonts w:hint="eastAsia" w:ascii="Times New Roman" w:eastAsia="宋体"/>
          <w:color w:val="auto"/>
          <w:szCs w:val="28"/>
          <w:highlight w:val="none"/>
        </w:rPr>
        <w:t>10.10</w:t>
      </w:r>
      <w:r>
        <w:rPr>
          <w:rFonts w:ascii="Times New Roman" w:eastAsia="宋体"/>
          <w:color w:val="auto"/>
          <w:szCs w:val="28"/>
          <w:highlight w:val="none"/>
        </w:rPr>
        <w:t>总结论</w:t>
      </w:r>
      <w:r>
        <w:rPr>
          <w:color w:val="auto"/>
          <w:highlight w:val="none"/>
        </w:rPr>
        <w:tab/>
      </w:r>
      <w:r>
        <w:rPr>
          <w:color w:val="auto"/>
          <w:highlight w:val="none"/>
        </w:rPr>
        <w:fldChar w:fldCharType="begin"/>
      </w:r>
      <w:r>
        <w:rPr>
          <w:color w:val="auto"/>
          <w:highlight w:val="none"/>
        </w:rPr>
        <w:instrText xml:space="preserve"> PAGEREF _Toc31642 \h </w:instrText>
      </w:r>
      <w:r>
        <w:rPr>
          <w:color w:val="auto"/>
          <w:highlight w:val="none"/>
        </w:rPr>
        <w:fldChar w:fldCharType="separate"/>
      </w:r>
      <w:r>
        <w:rPr>
          <w:color w:val="auto"/>
          <w:highlight w:val="none"/>
        </w:rPr>
        <w:t>284</w:t>
      </w:r>
      <w:r>
        <w:rPr>
          <w:color w:val="auto"/>
          <w:highlight w:val="none"/>
        </w:rPr>
        <w:fldChar w:fldCharType="end"/>
      </w:r>
      <w:r>
        <w:rPr>
          <w:rFonts w:ascii="Times New Roman" w:hAnsi="Times New Roman"/>
          <w:color w:val="auto"/>
          <w:szCs w:val="28"/>
          <w:highlight w:val="none"/>
        </w:rPr>
        <w:fldChar w:fldCharType="end"/>
      </w:r>
    </w:p>
    <w:p w14:paraId="5516E1E6">
      <w:pPr>
        <w:pStyle w:val="38"/>
        <w:tabs>
          <w:tab w:val="right" w:leader="dot" w:pos="8504"/>
        </w:tabs>
        <w:rPr>
          <w:color w:val="auto"/>
          <w:highlight w:val="none"/>
        </w:rPr>
      </w:pPr>
      <w:r>
        <w:rPr>
          <w:rFonts w:ascii="Times New Roman" w:hAnsi="Times New Roman"/>
          <w:color w:val="auto"/>
          <w:szCs w:val="28"/>
          <w:highlight w:val="none"/>
        </w:rPr>
        <w:fldChar w:fldCharType="begin"/>
      </w:r>
      <w:r>
        <w:rPr>
          <w:rFonts w:ascii="Times New Roman" w:hAnsi="Times New Roman"/>
          <w:color w:val="auto"/>
          <w:szCs w:val="28"/>
          <w:highlight w:val="none"/>
        </w:rPr>
        <w:instrText xml:space="preserve"> HYPERLINK \l _Toc19472 </w:instrText>
      </w:r>
      <w:r>
        <w:rPr>
          <w:rFonts w:ascii="Times New Roman" w:hAnsi="Times New Roman"/>
          <w:color w:val="auto"/>
          <w:szCs w:val="28"/>
          <w:highlight w:val="none"/>
        </w:rPr>
        <w:fldChar w:fldCharType="separate"/>
      </w:r>
      <w:r>
        <w:rPr>
          <w:rFonts w:hint="eastAsia" w:ascii="Times New Roman" w:eastAsia="宋体"/>
          <w:color w:val="auto"/>
          <w:szCs w:val="28"/>
          <w:highlight w:val="none"/>
        </w:rPr>
        <w:t>10.11</w:t>
      </w:r>
      <w:r>
        <w:rPr>
          <w:rFonts w:ascii="Times New Roman" w:eastAsia="宋体"/>
          <w:color w:val="auto"/>
          <w:szCs w:val="28"/>
          <w:highlight w:val="none"/>
        </w:rPr>
        <w:t>建议</w:t>
      </w:r>
      <w:r>
        <w:rPr>
          <w:color w:val="auto"/>
          <w:highlight w:val="none"/>
        </w:rPr>
        <w:tab/>
      </w:r>
      <w:r>
        <w:rPr>
          <w:color w:val="auto"/>
          <w:highlight w:val="none"/>
        </w:rPr>
        <w:fldChar w:fldCharType="begin"/>
      </w:r>
      <w:r>
        <w:rPr>
          <w:color w:val="auto"/>
          <w:highlight w:val="none"/>
        </w:rPr>
        <w:instrText xml:space="preserve"> PAGEREF _Toc19472 \h </w:instrText>
      </w:r>
      <w:r>
        <w:rPr>
          <w:color w:val="auto"/>
          <w:highlight w:val="none"/>
        </w:rPr>
        <w:fldChar w:fldCharType="separate"/>
      </w:r>
      <w:r>
        <w:rPr>
          <w:color w:val="auto"/>
          <w:highlight w:val="none"/>
        </w:rPr>
        <w:t>284</w:t>
      </w:r>
      <w:r>
        <w:rPr>
          <w:color w:val="auto"/>
          <w:highlight w:val="none"/>
        </w:rPr>
        <w:fldChar w:fldCharType="end"/>
      </w:r>
      <w:r>
        <w:rPr>
          <w:rFonts w:ascii="Times New Roman" w:hAnsi="Times New Roman"/>
          <w:color w:val="auto"/>
          <w:szCs w:val="28"/>
          <w:highlight w:val="none"/>
        </w:rPr>
        <w:fldChar w:fldCharType="end"/>
      </w:r>
    </w:p>
    <w:p w14:paraId="03FE5503">
      <w:pPr>
        <w:spacing w:line="360" w:lineRule="auto"/>
        <w:ind w:left="-105" w:right="-105"/>
        <w:rPr>
          <w:rFonts w:ascii="Times New Roman" w:hAnsi="Times New Roman"/>
          <w:b/>
          <w:color w:val="auto"/>
          <w:szCs w:val="28"/>
          <w:highlight w:val="none"/>
        </w:rPr>
      </w:pPr>
      <w:r>
        <w:rPr>
          <w:rFonts w:ascii="Times New Roman" w:hAnsi="Times New Roman"/>
          <w:color w:val="auto"/>
          <w:szCs w:val="28"/>
          <w:highlight w:val="none"/>
        </w:rPr>
        <w:fldChar w:fldCharType="end"/>
      </w:r>
    </w:p>
    <w:p w14:paraId="3A78E752">
      <w:pPr>
        <w:spacing w:line="360" w:lineRule="auto"/>
        <w:ind w:left="-105" w:right="-105" w:firstLine="482"/>
        <w:rPr>
          <w:rFonts w:ascii="Times New Roman" w:hAnsi="Times New Roman"/>
          <w:b/>
          <w:color w:val="auto"/>
          <w:szCs w:val="28"/>
          <w:highlight w:val="none"/>
        </w:rPr>
      </w:pPr>
    </w:p>
    <w:p w14:paraId="07C1E4E0">
      <w:pPr>
        <w:spacing w:line="360" w:lineRule="auto"/>
        <w:ind w:left="-105" w:right="-105" w:firstLine="482"/>
        <w:rPr>
          <w:rFonts w:ascii="Times New Roman" w:hAnsi="Times New Roman"/>
          <w:b/>
          <w:color w:val="auto"/>
          <w:szCs w:val="28"/>
          <w:highlight w:val="none"/>
        </w:rPr>
      </w:pPr>
    </w:p>
    <w:p w14:paraId="7294198F">
      <w:pPr>
        <w:spacing w:line="360" w:lineRule="auto"/>
        <w:ind w:left="-105" w:right="-105" w:firstLine="482"/>
        <w:rPr>
          <w:rFonts w:ascii="Times New Roman" w:hAnsi="Times New Roman"/>
          <w:b/>
          <w:color w:val="auto"/>
          <w:szCs w:val="28"/>
          <w:highlight w:val="none"/>
        </w:rPr>
        <w:sectPr>
          <w:pgSz w:w="11906" w:h="16838"/>
          <w:pgMar w:top="1440" w:right="1701" w:bottom="1440" w:left="1701" w:header="851" w:footer="851" w:gutter="0"/>
          <w:pgBorders>
            <w:top w:val="none" w:sz="0" w:space="0"/>
            <w:left w:val="none" w:sz="0" w:space="0"/>
            <w:bottom w:val="none" w:sz="0" w:space="0"/>
            <w:right w:val="none" w:sz="0" w:space="0"/>
          </w:pgBorders>
          <w:pgNumType w:fmt="upperRoman"/>
          <w:cols w:space="720" w:num="1"/>
          <w:docGrid w:linePitch="498" w:charSpace="-2336"/>
        </w:sectPr>
      </w:pPr>
    </w:p>
    <w:p w14:paraId="3959D495">
      <w:pPr>
        <w:spacing w:before="120" w:beforeLines="50" w:after="120" w:afterLines="50" w:line="360" w:lineRule="auto"/>
        <w:ind w:left="-105" w:right="-105" w:firstLine="643"/>
        <w:rPr>
          <w:rFonts w:ascii="Times New Roman" w:hAnsi="Times New Roman"/>
          <w:b/>
          <w:color w:val="auto"/>
          <w:sz w:val="32"/>
          <w:szCs w:val="22"/>
          <w:highlight w:val="none"/>
        </w:rPr>
      </w:pPr>
      <w:r>
        <w:rPr>
          <w:rFonts w:ascii="Times New Roman" w:hAnsi="Times New Roman"/>
          <w:b/>
          <w:color w:val="auto"/>
          <w:sz w:val="32"/>
          <w:szCs w:val="22"/>
          <w:highlight w:val="none"/>
        </w:rPr>
        <w:t>附图清单</w:t>
      </w:r>
    </w:p>
    <w:bookmarkEnd w:id="0"/>
    <w:bookmarkEnd w:id="1"/>
    <w:bookmarkEnd w:id="2"/>
    <w:bookmarkEnd w:id="3"/>
    <w:bookmarkEnd w:id="4"/>
    <w:bookmarkEnd w:id="5"/>
    <w:bookmarkEnd w:id="6"/>
    <w:bookmarkEnd w:id="7"/>
    <w:bookmarkEnd w:id="8"/>
    <w:bookmarkEnd w:id="9"/>
    <w:p w14:paraId="0CE26E0E">
      <w:pPr>
        <w:spacing w:line="360" w:lineRule="auto"/>
        <w:ind w:left="-105" w:right="-105" w:firstLine="480" w:firstLineChars="200"/>
        <w:rPr>
          <w:rFonts w:ascii="Times New Roman" w:hAnsi="Times New Roman" w:cs="Times New Roman"/>
          <w:color w:val="auto"/>
          <w:highlight w:val="none"/>
        </w:rPr>
      </w:pPr>
      <w:bookmarkStart w:id="10" w:name="_Toc408845908"/>
      <w:bookmarkStart w:id="11" w:name="_Toc403982076"/>
      <w:bookmarkStart w:id="12" w:name="_Toc1171"/>
      <w:bookmarkStart w:id="13" w:name="_Toc403031728"/>
      <w:bookmarkStart w:id="14" w:name="_Toc413742026"/>
      <w:bookmarkStart w:id="15" w:name="_Toc407817672"/>
      <w:bookmarkStart w:id="16" w:name="_Toc413921612"/>
      <w:r>
        <w:rPr>
          <w:rFonts w:ascii="Times New Roman" w:hAnsi="Times New Roman" w:cs="Times New Roman"/>
          <w:color w:val="auto"/>
          <w:highlight w:val="none"/>
        </w:rPr>
        <w:t>图1 项目地理位置图（附地表水</w:t>
      </w:r>
      <w:r>
        <w:rPr>
          <w:rFonts w:hint="eastAsia" w:ascii="Times New Roman" w:hAnsi="Times New Roman" w:cs="Times New Roman"/>
          <w:color w:val="auto"/>
          <w:highlight w:val="none"/>
        </w:rPr>
        <w:t>补充</w:t>
      </w:r>
      <w:r>
        <w:rPr>
          <w:rFonts w:ascii="Times New Roman" w:hAnsi="Times New Roman" w:cs="Times New Roman"/>
          <w:color w:val="auto"/>
          <w:highlight w:val="none"/>
        </w:rPr>
        <w:t>监测点位）；</w:t>
      </w:r>
    </w:p>
    <w:p w14:paraId="1E343061">
      <w:pPr>
        <w:spacing w:line="360" w:lineRule="auto"/>
        <w:ind w:left="-105" w:right="-105" w:firstLine="480" w:firstLineChars="200"/>
        <w:rPr>
          <w:rFonts w:ascii="Times New Roman" w:hAnsi="Times New Roman" w:cs="Times New Roman"/>
          <w:color w:val="auto"/>
          <w:szCs w:val="22"/>
          <w:highlight w:val="none"/>
        </w:rPr>
      </w:pPr>
      <w:r>
        <w:rPr>
          <w:rFonts w:ascii="Times New Roman" w:hAnsi="Times New Roman" w:cs="Times New Roman"/>
          <w:color w:val="auto"/>
          <w:szCs w:val="22"/>
          <w:highlight w:val="none"/>
        </w:rPr>
        <w:t>图</w:t>
      </w:r>
      <w:r>
        <w:rPr>
          <w:rFonts w:hint="eastAsia" w:ascii="Times New Roman" w:hAnsi="Times New Roman" w:cs="Times New Roman"/>
          <w:color w:val="auto"/>
          <w:szCs w:val="22"/>
          <w:highlight w:val="none"/>
        </w:rPr>
        <w:t>2</w:t>
      </w:r>
      <w:r>
        <w:rPr>
          <w:rFonts w:ascii="Times New Roman" w:hAnsi="Times New Roman" w:cs="Times New Roman"/>
          <w:color w:val="auto"/>
          <w:szCs w:val="22"/>
          <w:highlight w:val="none"/>
        </w:rPr>
        <w:t xml:space="preserve"> 项目监测点位图（附大气、土壤、噪声</w:t>
      </w:r>
      <w:r>
        <w:rPr>
          <w:rFonts w:hint="eastAsia" w:ascii="Times New Roman" w:hAnsi="Times New Roman" w:cs="Times New Roman"/>
          <w:color w:val="auto"/>
          <w:szCs w:val="22"/>
          <w:highlight w:val="none"/>
        </w:rPr>
        <w:t>补充</w:t>
      </w:r>
      <w:r>
        <w:rPr>
          <w:rFonts w:ascii="Times New Roman" w:hAnsi="Times New Roman" w:cs="Times New Roman"/>
          <w:color w:val="auto"/>
          <w:szCs w:val="22"/>
          <w:highlight w:val="none"/>
        </w:rPr>
        <w:t>监测点位）；</w:t>
      </w:r>
    </w:p>
    <w:p w14:paraId="0903CA52">
      <w:pPr>
        <w:spacing w:line="360" w:lineRule="auto"/>
        <w:ind w:left="-105" w:right="-105" w:firstLine="480" w:firstLineChars="200"/>
        <w:rPr>
          <w:rFonts w:ascii="Times New Roman" w:hAnsi="Times New Roman" w:cs="Times New Roman"/>
          <w:color w:val="auto"/>
          <w:highlight w:val="none"/>
        </w:rPr>
      </w:pPr>
      <w:r>
        <w:rPr>
          <w:rFonts w:ascii="Times New Roman" w:hAnsi="Times New Roman" w:cs="Times New Roman"/>
          <w:color w:val="auto"/>
          <w:highlight w:val="none"/>
        </w:rPr>
        <w:t>图</w:t>
      </w:r>
      <w:r>
        <w:rPr>
          <w:rFonts w:hint="eastAsia" w:ascii="Times New Roman" w:hAnsi="Times New Roman" w:cs="Times New Roman"/>
          <w:color w:val="auto"/>
          <w:highlight w:val="none"/>
        </w:rPr>
        <w:t>3</w:t>
      </w:r>
      <w:r>
        <w:rPr>
          <w:rFonts w:ascii="Times New Roman" w:hAnsi="Times New Roman" w:cs="Times New Roman"/>
          <w:color w:val="auto"/>
          <w:highlight w:val="none"/>
        </w:rPr>
        <w:t xml:space="preserve"> 项目周围环境图；</w:t>
      </w:r>
    </w:p>
    <w:p w14:paraId="1BF5C71E">
      <w:pPr>
        <w:spacing w:line="360" w:lineRule="auto"/>
        <w:ind w:left="-105" w:right="-105" w:firstLine="480" w:firstLineChars="200"/>
        <w:rPr>
          <w:rFonts w:ascii="Times New Roman" w:hAnsi="Times New Roman" w:cs="Times New Roman"/>
          <w:color w:val="auto"/>
          <w:szCs w:val="22"/>
          <w:highlight w:val="none"/>
        </w:rPr>
      </w:pPr>
      <w:r>
        <w:rPr>
          <w:rFonts w:ascii="Times New Roman" w:hAnsi="Times New Roman" w:cs="Times New Roman"/>
          <w:color w:val="auto"/>
          <w:szCs w:val="22"/>
          <w:highlight w:val="none"/>
        </w:rPr>
        <w:t>图</w:t>
      </w:r>
      <w:r>
        <w:rPr>
          <w:rFonts w:hint="eastAsia" w:ascii="Times New Roman" w:hAnsi="Times New Roman" w:cs="Times New Roman"/>
          <w:color w:val="auto"/>
          <w:szCs w:val="22"/>
          <w:highlight w:val="none"/>
        </w:rPr>
        <w:t>4</w:t>
      </w:r>
      <w:r>
        <w:rPr>
          <w:rFonts w:ascii="Times New Roman" w:hAnsi="Times New Roman" w:cs="Times New Roman"/>
          <w:color w:val="auto"/>
          <w:szCs w:val="22"/>
          <w:highlight w:val="none"/>
        </w:rPr>
        <w:t xml:space="preserve"> 环境风险受体分布图；</w:t>
      </w:r>
    </w:p>
    <w:p w14:paraId="540FD7D1">
      <w:pPr>
        <w:spacing w:line="360" w:lineRule="auto"/>
        <w:ind w:left="-105" w:right="-105" w:firstLine="480" w:firstLineChars="200"/>
        <w:rPr>
          <w:rFonts w:ascii="Times New Roman" w:hAnsi="Times New Roman" w:cs="Times New Roman"/>
          <w:color w:val="auto"/>
          <w:szCs w:val="22"/>
          <w:highlight w:val="none"/>
        </w:rPr>
      </w:pPr>
      <w:r>
        <w:rPr>
          <w:rFonts w:ascii="Times New Roman" w:hAnsi="Times New Roman" w:cs="Times New Roman"/>
          <w:color w:val="auto"/>
          <w:szCs w:val="22"/>
          <w:highlight w:val="none"/>
        </w:rPr>
        <w:t>图</w:t>
      </w:r>
      <w:r>
        <w:rPr>
          <w:rFonts w:hint="eastAsia" w:ascii="Times New Roman" w:hAnsi="Times New Roman" w:cs="Times New Roman"/>
          <w:color w:val="auto"/>
          <w:szCs w:val="22"/>
          <w:highlight w:val="none"/>
        </w:rPr>
        <w:t>5</w:t>
      </w:r>
      <w:r>
        <w:rPr>
          <w:rFonts w:ascii="Times New Roman" w:hAnsi="Times New Roman" w:cs="Times New Roman"/>
          <w:color w:val="auto"/>
          <w:szCs w:val="22"/>
          <w:highlight w:val="none"/>
        </w:rPr>
        <w:t xml:space="preserve"> 区域应急疏散通道、安置场所位置图；</w:t>
      </w:r>
    </w:p>
    <w:p w14:paraId="509671BF">
      <w:pPr>
        <w:spacing w:line="360" w:lineRule="auto"/>
        <w:ind w:left="-105" w:right="-105" w:firstLine="480" w:firstLineChars="200"/>
        <w:rPr>
          <w:rFonts w:ascii="Times New Roman" w:hAnsi="Times New Roman" w:cs="Times New Roman"/>
          <w:color w:val="auto"/>
          <w:szCs w:val="22"/>
          <w:highlight w:val="none"/>
        </w:rPr>
      </w:pPr>
      <w:r>
        <w:rPr>
          <w:rFonts w:ascii="Times New Roman" w:hAnsi="Times New Roman" w:cs="Times New Roman"/>
          <w:color w:val="auto"/>
          <w:szCs w:val="22"/>
          <w:highlight w:val="none"/>
        </w:rPr>
        <w:t>图</w:t>
      </w:r>
      <w:r>
        <w:rPr>
          <w:rFonts w:hint="eastAsia" w:ascii="Times New Roman" w:hAnsi="Times New Roman" w:cs="Times New Roman"/>
          <w:color w:val="auto"/>
          <w:szCs w:val="22"/>
          <w:highlight w:val="none"/>
        </w:rPr>
        <w:t>6</w:t>
      </w:r>
      <w:r>
        <w:rPr>
          <w:rFonts w:ascii="Times New Roman" w:hAnsi="Times New Roman" w:cs="Times New Roman"/>
          <w:color w:val="auto"/>
          <w:szCs w:val="22"/>
          <w:highlight w:val="none"/>
        </w:rPr>
        <w:t xml:space="preserve"> 防止事故水进入外环境的控制、封堵系统图；</w:t>
      </w:r>
    </w:p>
    <w:p w14:paraId="481D26BD">
      <w:pPr>
        <w:spacing w:line="360" w:lineRule="auto"/>
        <w:ind w:left="-105" w:right="-105" w:firstLine="480" w:firstLineChars="200"/>
        <w:rPr>
          <w:rFonts w:ascii="Times New Roman" w:hAnsi="Times New Roman" w:cs="Times New Roman"/>
          <w:color w:val="auto"/>
          <w:szCs w:val="22"/>
          <w:highlight w:val="none"/>
        </w:rPr>
      </w:pPr>
      <w:r>
        <w:rPr>
          <w:rFonts w:ascii="Times New Roman" w:hAnsi="Times New Roman" w:cs="Times New Roman"/>
          <w:color w:val="auto"/>
          <w:szCs w:val="22"/>
          <w:highlight w:val="none"/>
        </w:rPr>
        <w:t>图</w:t>
      </w:r>
      <w:r>
        <w:rPr>
          <w:rFonts w:hint="eastAsia" w:ascii="Times New Roman" w:hAnsi="Times New Roman" w:cs="Times New Roman"/>
          <w:color w:val="auto"/>
          <w:szCs w:val="22"/>
          <w:highlight w:val="none"/>
        </w:rPr>
        <w:t xml:space="preserve">7 </w:t>
      </w:r>
      <w:r>
        <w:rPr>
          <w:rFonts w:ascii="Times New Roman" w:hAnsi="Times New Roman" w:cs="Times New Roman"/>
          <w:color w:val="auto"/>
          <w:szCs w:val="22"/>
          <w:highlight w:val="none"/>
        </w:rPr>
        <w:t>危险单元分布图；</w:t>
      </w:r>
    </w:p>
    <w:p w14:paraId="0E25CC84">
      <w:pPr>
        <w:spacing w:line="360" w:lineRule="auto"/>
        <w:ind w:left="-105" w:right="-105" w:firstLine="480" w:firstLineChars="200"/>
        <w:rPr>
          <w:rFonts w:ascii="Times New Roman" w:hAnsi="Times New Roman" w:cs="Times New Roman"/>
          <w:color w:val="auto"/>
          <w:szCs w:val="22"/>
          <w:highlight w:val="none"/>
        </w:rPr>
      </w:pPr>
      <w:r>
        <w:rPr>
          <w:rFonts w:ascii="Times New Roman" w:hAnsi="Times New Roman" w:cs="Times New Roman"/>
          <w:color w:val="auto"/>
          <w:szCs w:val="22"/>
          <w:highlight w:val="none"/>
        </w:rPr>
        <w:t>图</w:t>
      </w:r>
      <w:r>
        <w:rPr>
          <w:rFonts w:hint="eastAsia" w:ascii="Times New Roman" w:hAnsi="Times New Roman" w:cs="Times New Roman"/>
          <w:color w:val="auto"/>
          <w:szCs w:val="22"/>
          <w:highlight w:val="none"/>
        </w:rPr>
        <w:t>8</w:t>
      </w:r>
      <w:r>
        <w:rPr>
          <w:rFonts w:ascii="Times New Roman" w:hAnsi="Times New Roman" w:cs="Times New Roman"/>
          <w:color w:val="auto"/>
          <w:szCs w:val="22"/>
          <w:highlight w:val="none"/>
        </w:rPr>
        <w:t xml:space="preserve"> 土壤环境保护目标图；</w:t>
      </w:r>
    </w:p>
    <w:p w14:paraId="09A57EB6">
      <w:pPr>
        <w:spacing w:line="360" w:lineRule="auto"/>
        <w:ind w:left="-105" w:right="-105" w:firstLine="480" w:firstLineChars="200"/>
        <w:rPr>
          <w:rFonts w:ascii="Times New Roman" w:hAnsi="Times New Roman" w:cs="Times New Roman"/>
          <w:color w:val="auto"/>
          <w:szCs w:val="22"/>
          <w:highlight w:val="none"/>
        </w:rPr>
      </w:pPr>
      <w:r>
        <w:rPr>
          <w:rFonts w:ascii="Times New Roman" w:hAnsi="Times New Roman" w:cs="Times New Roman"/>
          <w:color w:val="auto"/>
          <w:szCs w:val="22"/>
          <w:highlight w:val="none"/>
        </w:rPr>
        <w:t>图</w:t>
      </w:r>
      <w:r>
        <w:rPr>
          <w:rFonts w:hint="eastAsia" w:ascii="Times New Roman" w:hAnsi="Times New Roman" w:cs="Times New Roman"/>
          <w:color w:val="auto"/>
          <w:szCs w:val="22"/>
          <w:highlight w:val="none"/>
        </w:rPr>
        <w:t xml:space="preserve">9 </w:t>
      </w:r>
      <w:r>
        <w:rPr>
          <w:rFonts w:ascii="Times New Roman" w:hAnsi="Times New Roman" w:cs="Times New Roman"/>
          <w:color w:val="auto"/>
          <w:szCs w:val="22"/>
          <w:highlight w:val="none"/>
        </w:rPr>
        <w:t>厂区平面布置图；</w:t>
      </w:r>
    </w:p>
    <w:p w14:paraId="7FCAFCFE">
      <w:pPr>
        <w:spacing w:line="360" w:lineRule="auto"/>
        <w:ind w:left="-105" w:right="-105" w:firstLine="480" w:firstLineChars="200"/>
        <w:rPr>
          <w:rFonts w:ascii="Times New Roman" w:hAnsi="Times New Roman" w:cs="Times New Roman"/>
          <w:color w:val="auto"/>
          <w:szCs w:val="22"/>
          <w:highlight w:val="none"/>
        </w:rPr>
      </w:pPr>
      <w:r>
        <w:rPr>
          <w:rFonts w:ascii="Times New Roman" w:hAnsi="Times New Roman" w:cs="Times New Roman"/>
          <w:color w:val="auto"/>
          <w:szCs w:val="22"/>
          <w:highlight w:val="none"/>
        </w:rPr>
        <w:t>图</w:t>
      </w:r>
      <w:r>
        <w:rPr>
          <w:rFonts w:hint="eastAsia" w:ascii="Times New Roman" w:hAnsi="Times New Roman" w:cs="Times New Roman"/>
          <w:color w:val="auto"/>
          <w:szCs w:val="22"/>
          <w:highlight w:val="none"/>
        </w:rPr>
        <w:t>10</w:t>
      </w:r>
      <w:r>
        <w:rPr>
          <w:rFonts w:ascii="Times New Roman" w:hAnsi="Times New Roman" w:cs="Times New Roman"/>
          <w:color w:val="auto"/>
          <w:szCs w:val="22"/>
          <w:highlight w:val="none"/>
        </w:rPr>
        <w:t xml:space="preserve"> 车间平面布置图；</w:t>
      </w:r>
    </w:p>
    <w:p w14:paraId="0A10A8C9">
      <w:pPr>
        <w:spacing w:line="360" w:lineRule="auto"/>
        <w:ind w:left="-105" w:right="-105" w:firstLine="480" w:firstLineChars="200"/>
        <w:rPr>
          <w:rFonts w:ascii="Times New Roman" w:hAnsi="Times New Roman" w:cs="Times New Roman"/>
          <w:color w:val="auto"/>
          <w:szCs w:val="22"/>
          <w:highlight w:val="none"/>
        </w:rPr>
      </w:pPr>
      <w:r>
        <w:rPr>
          <w:rFonts w:ascii="Times New Roman" w:hAnsi="Times New Roman" w:cs="Times New Roman"/>
          <w:color w:val="auto"/>
          <w:szCs w:val="22"/>
          <w:highlight w:val="none"/>
        </w:rPr>
        <w:t>图</w:t>
      </w:r>
      <w:r>
        <w:rPr>
          <w:rFonts w:hint="eastAsia" w:ascii="Times New Roman" w:hAnsi="Times New Roman" w:cs="Times New Roman"/>
          <w:color w:val="auto"/>
          <w:szCs w:val="22"/>
          <w:highlight w:val="none"/>
        </w:rPr>
        <w:t>11</w:t>
      </w:r>
      <w:r>
        <w:rPr>
          <w:rFonts w:ascii="Times New Roman" w:hAnsi="Times New Roman" w:cs="Times New Roman"/>
          <w:color w:val="auto"/>
          <w:szCs w:val="22"/>
          <w:highlight w:val="none"/>
        </w:rPr>
        <w:t xml:space="preserve"> 无锡市锡山区锡北镇总体规划图；</w:t>
      </w:r>
    </w:p>
    <w:p w14:paraId="5FD05C6A">
      <w:pPr>
        <w:spacing w:line="360" w:lineRule="auto"/>
        <w:ind w:left="-105" w:right="-105" w:firstLine="480" w:firstLineChars="200"/>
        <w:rPr>
          <w:rFonts w:ascii="Times New Roman" w:hAnsi="Times New Roman" w:cs="Times New Roman"/>
          <w:color w:val="auto"/>
          <w:szCs w:val="22"/>
          <w:highlight w:val="none"/>
        </w:rPr>
      </w:pPr>
      <w:r>
        <w:rPr>
          <w:rFonts w:hint="eastAsia" w:ascii="Times New Roman" w:hAnsi="Times New Roman" w:cs="Times New Roman"/>
          <w:color w:val="auto"/>
          <w:szCs w:val="22"/>
          <w:highlight w:val="none"/>
        </w:rPr>
        <w:t>图1</w:t>
      </w:r>
      <w:r>
        <w:rPr>
          <w:rFonts w:ascii="Times New Roman" w:hAnsi="Times New Roman" w:cs="Times New Roman"/>
          <w:color w:val="auto"/>
          <w:szCs w:val="22"/>
          <w:highlight w:val="none"/>
        </w:rPr>
        <w:t xml:space="preserve">2 </w:t>
      </w:r>
      <w:r>
        <w:rPr>
          <w:rFonts w:hint="eastAsia" w:ascii="Times New Roman" w:hAnsi="Times New Roman" w:cs="Times New Roman"/>
          <w:color w:val="auto"/>
          <w:highlight w:val="none"/>
        </w:rPr>
        <w:t>八士-陆家巷、八士-八士管理单元更新后土地利用规划图；</w:t>
      </w:r>
    </w:p>
    <w:p w14:paraId="668706FE">
      <w:pPr>
        <w:spacing w:line="360" w:lineRule="auto"/>
        <w:ind w:left="-105" w:right="-105" w:firstLine="480" w:firstLineChars="200"/>
        <w:rPr>
          <w:rFonts w:ascii="Times New Roman" w:hAnsi="Times New Roman" w:cs="Times New Roman"/>
          <w:color w:val="auto"/>
          <w:szCs w:val="22"/>
          <w:highlight w:val="none"/>
        </w:rPr>
      </w:pPr>
      <w:r>
        <w:rPr>
          <w:rFonts w:hint="eastAsia" w:ascii="Times New Roman" w:hAnsi="Times New Roman" w:cs="Times New Roman"/>
          <w:color w:val="auto"/>
          <w:szCs w:val="22"/>
          <w:highlight w:val="none"/>
        </w:rPr>
        <w:t>图13 无锡市锡山区生态文明建设规划图</w:t>
      </w:r>
      <w:r>
        <w:rPr>
          <w:rFonts w:ascii="Times New Roman" w:hAnsi="Times New Roman" w:cs="Times New Roman"/>
          <w:color w:val="auto"/>
          <w:szCs w:val="22"/>
          <w:highlight w:val="none"/>
        </w:rPr>
        <w:t>；</w:t>
      </w:r>
    </w:p>
    <w:p w14:paraId="673EC48A">
      <w:pPr>
        <w:spacing w:line="360" w:lineRule="auto"/>
        <w:ind w:left="-105" w:right="-105" w:firstLine="480" w:firstLineChars="200"/>
        <w:rPr>
          <w:rFonts w:ascii="Times New Roman" w:hAnsi="Times New Roman" w:cs="Times New Roman"/>
          <w:color w:val="auto"/>
          <w:szCs w:val="22"/>
          <w:highlight w:val="none"/>
        </w:rPr>
      </w:pPr>
      <w:r>
        <w:rPr>
          <w:rFonts w:ascii="Times New Roman" w:hAnsi="Times New Roman" w:cs="Times New Roman"/>
          <w:color w:val="auto"/>
          <w:szCs w:val="22"/>
          <w:highlight w:val="none"/>
        </w:rPr>
        <w:t>图</w:t>
      </w:r>
      <w:r>
        <w:rPr>
          <w:rFonts w:hint="eastAsia" w:ascii="Times New Roman" w:hAnsi="Times New Roman" w:cs="Times New Roman"/>
          <w:color w:val="auto"/>
          <w:szCs w:val="22"/>
          <w:highlight w:val="none"/>
        </w:rPr>
        <w:t>14</w:t>
      </w:r>
      <w:r>
        <w:rPr>
          <w:rFonts w:ascii="Times New Roman" w:hAnsi="Times New Roman" w:cs="Times New Roman"/>
          <w:color w:val="auto"/>
          <w:szCs w:val="22"/>
          <w:highlight w:val="none"/>
        </w:rPr>
        <w:t xml:space="preserve"> 江苏省生态空间保护区域分布图；</w:t>
      </w:r>
    </w:p>
    <w:p w14:paraId="5130EC9E">
      <w:pPr>
        <w:spacing w:line="360" w:lineRule="auto"/>
        <w:ind w:left="-105" w:right="-105" w:firstLine="480" w:firstLineChars="200"/>
        <w:rPr>
          <w:rFonts w:ascii="Times New Roman" w:hAnsi="Times New Roman" w:cs="Times New Roman"/>
          <w:color w:val="auto"/>
          <w:szCs w:val="22"/>
          <w:highlight w:val="none"/>
        </w:rPr>
      </w:pPr>
      <w:r>
        <w:rPr>
          <w:rFonts w:ascii="Times New Roman" w:hAnsi="Times New Roman" w:cs="Times New Roman"/>
          <w:color w:val="auto"/>
          <w:szCs w:val="22"/>
          <w:highlight w:val="none"/>
        </w:rPr>
        <w:t>图</w:t>
      </w:r>
      <w:r>
        <w:rPr>
          <w:rFonts w:hint="eastAsia" w:ascii="Times New Roman" w:hAnsi="Times New Roman" w:cs="Times New Roman"/>
          <w:color w:val="auto"/>
          <w:szCs w:val="22"/>
          <w:highlight w:val="none"/>
        </w:rPr>
        <w:t>15</w:t>
      </w:r>
      <w:r>
        <w:rPr>
          <w:rFonts w:ascii="Times New Roman" w:hAnsi="Times New Roman" w:cs="Times New Roman"/>
          <w:color w:val="auto"/>
          <w:szCs w:val="22"/>
          <w:highlight w:val="none"/>
        </w:rPr>
        <w:t xml:space="preserve"> 江苏省无锡市环境管控单元图。</w:t>
      </w:r>
    </w:p>
    <w:p w14:paraId="69C14E4C">
      <w:pPr>
        <w:tabs>
          <w:tab w:val="left" w:pos="644"/>
        </w:tabs>
        <w:adjustRightInd w:val="0"/>
        <w:snapToGrid w:val="0"/>
        <w:spacing w:line="360" w:lineRule="auto"/>
        <w:ind w:left="-105" w:right="-105"/>
        <w:rPr>
          <w:rFonts w:ascii="Times New Roman" w:hAnsi="Times New Roman" w:cs="Times New Roman"/>
          <w:color w:val="auto"/>
          <w:highlight w:val="none"/>
        </w:rPr>
      </w:pPr>
    </w:p>
    <w:p w14:paraId="2D497759">
      <w:pPr>
        <w:tabs>
          <w:tab w:val="left" w:pos="644"/>
        </w:tabs>
        <w:adjustRightInd w:val="0"/>
        <w:snapToGrid w:val="0"/>
        <w:spacing w:line="360" w:lineRule="auto"/>
        <w:ind w:left="-105" w:right="-105"/>
        <w:rPr>
          <w:rFonts w:ascii="Times New Roman" w:hAnsi="Times New Roman" w:cs="Times New Roman"/>
          <w:color w:val="auto"/>
          <w:highlight w:val="none"/>
        </w:rPr>
      </w:pPr>
    </w:p>
    <w:p w14:paraId="177BF217">
      <w:pPr>
        <w:ind w:left="-105" w:right="-105"/>
        <w:rPr>
          <w:rFonts w:ascii="Times New Roman" w:hAnsi="Times New Roman" w:cs="Times New Roman"/>
          <w:color w:val="auto"/>
          <w:highlight w:val="none"/>
        </w:rPr>
      </w:pPr>
      <w:r>
        <w:rPr>
          <w:rFonts w:ascii="Times New Roman" w:hAnsi="Times New Roman" w:cs="Times New Roman"/>
          <w:color w:val="auto"/>
          <w:highlight w:val="none"/>
        </w:rPr>
        <w:br w:type="page"/>
      </w:r>
    </w:p>
    <w:p w14:paraId="3D0D9443">
      <w:pPr>
        <w:spacing w:before="120" w:beforeLines="50" w:after="120" w:afterLines="50" w:line="360" w:lineRule="auto"/>
        <w:ind w:left="-105" w:right="-105" w:firstLine="643"/>
        <w:rPr>
          <w:rFonts w:ascii="Times New Roman" w:hAnsi="Times New Roman"/>
          <w:b/>
          <w:color w:val="auto"/>
          <w:sz w:val="32"/>
          <w:szCs w:val="22"/>
          <w:highlight w:val="none"/>
        </w:rPr>
      </w:pPr>
      <w:r>
        <w:rPr>
          <w:rFonts w:ascii="Times New Roman" w:hAnsi="Times New Roman"/>
          <w:b/>
          <w:color w:val="auto"/>
          <w:sz w:val="32"/>
          <w:szCs w:val="22"/>
          <w:highlight w:val="none"/>
        </w:rPr>
        <w:t>附件清单</w:t>
      </w:r>
      <w:bookmarkEnd w:id="10"/>
      <w:bookmarkEnd w:id="11"/>
      <w:bookmarkEnd w:id="12"/>
      <w:bookmarkEnd w:id="13"/>
      <w:bookmarkEnd w:id="14"/>
      <w:bookmarkEnd w:id="15"/>
      <w:bookmarkEnd w:id="16"/>
    </w:p>
    <w:p w14:paraId="506F39EA">
      <w:pPr>
        <w:numPr>
          <w:ilvl w:val="0"/>
          <w:numId w:val="5"/>
        </w:numPr>
        <w:tabs>
          <w:tab w:val="left" w:pos="644"/>
        </w:tabs>
        <w:adjustRightInd w:val="0"/>
        <w:snapToGrid w:val="0"/>
        <w:spacing w:line="336" w:lineRule="auto"/>
        <w:ind w:left="-105" w:right="-105" w:firstLine="480"/>
        <w:rPr>
          <w:rFonts w:ascii="Times New Roman" w:hAnsi="Times New Roman" w:cs="Times New Roman"/>
          <w:color w:val="auto"/>
          <w:highlight w:val="none"/>
        </w:rPr>
      </w:pPr>
      <w:r>
        <w:rPr>
          <w:rFonts w:ascii="Times New Roman" w:hAnsi="Times New Roman" w:cs="Times New Roman"/>
          <w:color w:val="auto"/>
          <w:highlight w:val="none"/>
        </w:rPr>
        <w:t>环评审批基础信息表；</w:t>
      </w:r>
    </w:p>
    <w:p w14:paraId="23B53B63">
      <w:pPr>
        <w:numPr>
          <w:ilvl w:val="0"/>
          <w:numId w:val="5"/>
        </w:numPr>
        <w:tabs>
          <w:tab w:val="left" w:pos="644"/>
        </w:tabs>
        <w:adjustRightInd w:val="0"/>
        <w:snapToGrid w:val="0"/>
        <w:spacing w:line="336" w:lineRule="auto"/>
        <w:ind w:left="-105" w:right="-105" w:firstLine="480"/>
        <w:rPr>
          <w:rFonts w:ascii="Times New Roman" w:hAnsi="Times New Roman" w:cs="Times New Roman"/>
          <w:color w:val="auto"/>
          <w:highlight w:val="none"/>
        </w:rPr>
      </w:pPr>
      <w:r>
        <w:rPr>
          <w:rFonts w:ascii="Times New Roman" w:hAnsi="Times New Roman" w:cs="Times New Roman"/>
          <w:color w:val="auto"/>
          <w:highlight w:val="none"/>
        </w:rPr>
        <w:t>登记信息单及备案证；</w:t>
      </w:r>
    </w:p>
    <w:p w14:paraId="7F733DB1">
      <w:pPr>
        <w:numPr>
          <w:ilvl w:val="0"/>
          <w:numId w:val="5"/>
        </w:numPr>
        <w:tabs>
          <w:tab w:val="left" w:pos="644"/>
        </w:tabs>
        <w:adjustRightInd w:val="0"/>
        <w:snapToGrid w:val="0"/>
        <w:spacing w:line="336" w:lineRule="auto"/>
        <w:ind w:left="-105" w:right="-105" w:firstLine="480"/>
        <w:rPr>
          <w:rFonts w:ascii="Times New Roman" w:hAnsi="Times New Roman" w:cs="Times New Roman"/>
          <w:color w:val="auto"/>
          <w:highlight w:val="none"/>
        </w:rPr>
      </w:pPr>
      <w:r>
        <w:rPr>
          <w:rFonts w:ascii="Times New Roman" w:hAnsi="Times New Roman" w:cs="Times New Roman"/>
          <w:color w:val="auto"/>
          <w:highlight w:val="none"/>
        </w:rPr>
        <w:t>营业执照；</w:t>
      </w:r>
    </w:p>
    <w:p w14:paraId="361C4C4B">
      <w:pPr>
        <w:numPr>
          <w:ilvl w:val="0"/>
          <w:numId w:val="5"/>
        </w:numPr>
        <w:tabs>
          <w:tab w:val="left" w:pos="644"/>
        </w:tabs>
        <w:adjustRightInd w:val="0"/>
        <w:snapToGrid w:val="0"/>
        <w:spacing w:line="336" w:lineRule="auto"/>
        <w:ind w:left="-105" w:right="-105" w:firstLine="480"/>
        <w:rPr>
          <w:rFonts w:ascii="Times New Roman" w:hAnsi="Times New Roman" w:cs="Times New Roman"/>
          <w:color w:val="auto"/>
          <w:highlight w:val="none"/>
        </w:rPr>
      </w:pPr>
      <w:r>
        <w:rPr>
          <w:rFonts w:hint="eastAsia" w:ascii="Times New Roman" w:hAnsi="Times New Roman" w:cs="Times New Roman"/>
          <w:color w:val="auto"/>
          <w:highlight w:val="none"/>
        </w:rPr>
        <w:t>房产证</w:t>
      </w:r>
      <w:r>
        <w:rPr>
          <w:rFonts w:ascii="Times New Roman" w:hAnsi="Times New Roman" w:cs="Times New Roman"/>
          <w:color w:val="auto"/>
          <w:highlight w:val="none"/>
        </w:rPr>
        <w:t>；</w:t>
      </w:r>
    </w:p>
    <w:p w14:paraId="0D73879A">
      <w:pPr>
        <w:numPr>
          <w:ilvl w:val="0"/>
          <w:numId w:val="5"/>
        </w:numPr>
        <w:tabs>
          <w:tab w:val="left" w:pos="644"/>
        </w:tabs>
        <w:adjustRightInd w:val="0"/>
        <w:snapToGrid w:val="0"/>
        <w:spacing w:line="336" w:lineRule="auto"/>
        <w:ind w:left="-105" w:right="-105" w:firstLine="480"/>
        <w:rPr>
          <w:rFonts w:ascii="Times New Roman" w:hAnsi="Times New Roman" w:cs="Times New Roman"/>
          <w:color w:val="auto"/>
          <w:highlight w:val="none"/>
        </w:rPr>
      </w:pPr>
      <w:r>
        <w:rPr>
          <w:rFonts w:hint="eastAsia" w:ascii="Times New Roman" w:hAnsi="Times New Roman" w:cs="Times New Roman"/>
          <w:color w:val="auto"/>
          <w:highlight w:val="none"/>
        </w:rPr>
        <w:t>污水接管情况说明</w:t>
      </w:r>
      <w:r>
        <w:rPr>
          <w:rFonts w:ascii="Times New Roman" w:hAnsi="Times New Roman" w:cs="Times New Roman"/>
          <w:color w:val="auto"/>
          <w:highlight w:val="none"/>
        </w:rPr>
        <w:t xml:space="preserve">； </w:t>
      </w:r>
    </w:p>
    <w:p w14:paraId="36C53851">
      <w:pPr>
        <w:numPr>
          <w:ilvl w:val="0"/>
          <w:numId w:val="5"/>
        </w:numPr>
        <w:tabs>
          <w:tab w:val="left" w:pos="644"/>
        </w:tabs>
        <w:adjustRightInd w:val="0"/>
        <w:snapToGrid w:val="0"/>
        <w:spacing w:line="336" w:lineRule="auto"/>
        <w:ind w:left="-105" w:right="-105" w:firstLine="480"/>
        <w:rPr>
          <w:rFonts w:ascii="Times New Roman" w:hAnsi="Times New Roman" w:cs="Times New Roman"/>
          <w:color w:val="auto"/>
          <w:highlight w:val="none"/>
        </w:rPr>
      </w:pPr>
      <w:r>
        <w:rPr>
          <w:rFonts w:hint="eastAsia" w:ascii="Times New Roman" w:hAnsi="Times New Roman" w:cs="Times New Roman"/>
          <w:color w:val="auto"/>
          <w:highlight w:val="none"/>
        </w:rPr>
        <w:t>原环评审批意见及验收意见</w:t>
      </w:r>
      <w:r>
        <w:rPr>
          <w:rFonts w:ascii="Times New Roman" w:hAnsi="Times New Roman" w:cs="Times New Roman"/>
          <w:color w:val="auto"/>
          <w:highlight w:val="none"/>
        </w:rPr>
        <w:t>；</w:t>
      </w:r>
    </w:p>
    <w:p w14:paraId="0D773E13">
      <w:pPr>
        <w:numPr>
          <w:ilvl w:val="0"/>
          <w:numId w:val="5"/>
        </w:numPr>
        <w:tabs>
          <w:tab w:val="left" w:pos="644"/>
        </w:tabs>
        <w:adjustRightInd w:val="0"/>
        <w:snapToGrid w:val="0"/>
        <w:spacing w:line="336" w:lineRule="auto"/>
        <w:ind w:left="-105" w:right="-105" w:firstLine="480"/>
        <w:rPr>
          <w:rFonts w:ascii="Times New Roman" w:hAnsi="Times New Roman" w:cs="Times New Roman"/>
          <w:color w:val="auto"/>
          <w:highlight w:val="none"/>
        </w:rPr>
      </w:pPr>
      <w:r>
        <w:rPr>
          <w:rFonts w:hint="eastAsia" w:ascii="Times New Roman" w:hAnsi="Times New Roman" w:cs="Times New Roman"/>
          <w:color w:val="auto"/>
          <w:highlight w:val="none"/>
          <w:lang w:val="en-US" w:eastAsia="zh-CN"/>
        </w:rPr>
        <w:t>项目申请报告；</w:t>
      </w:r>
    </w:p>
    <w:p w14:paraId="3B36F6CF">
      <w:pPr>
        <w:numPr>
          <w:ilvl w:val="0"/>
          <w:numId w:val="5"/>
        </w:numPr>
        <w:tabs>
          <w:tab w:val="left" w:pos="644"/>
        </w:tabs>
        <w:adjustRightInd w:val="0"/>
        <w:snapToGrid w:val="0"/>
        <w:spacing w:line="336" w:lineRule="auto"/>
        <w:ind w:left="-105" w:right="-105" w:firstLine="480"/>
        <w:rPr>
          <w:rFonts w:ascii="Times New Roman" w:hAnsi="Times New Roman" w:cs="Times New Roman"/>
          <w:color w:val="auto"/>
          <w:highlight w:val="none"/>
        </w:rPr>
      </w:pPr>
      <w:r>
        <w:rPr>
          <w:rFonts w:hint="eastAsia" w:ascii="Times New Roman" w:hAnsi="Times New Roman" w:cs="Times New Roman"/>
          <w:color w:val="auto"/>
          <w:highlight w:val="none"/>
          <w:lang w:val="en-US" w:eastAsia="zh-CN"/>
        </w:rPr>
        <w:t>前期联系单；</w:t>
      </w:r>
    </w:p>
    <w:p w14:paraId="11AE1182">
      <w:pPr>
        <w:numPr>
          <w:ilvl w:val="0"/>
          <w:numId w:val="5"/>
        </w:numPr>
        <w:tabs>
          <w:tab w:val="left" w:pos="644"/>
        </w:tabs>
        <w:adjustRightInd w:val="0"/>
        <w:snapToGrid w:val="0"/>
        <w:spacing w:line="336" w:lineRule="auto"/>
        <w:ind w:left="-105" w:right="-105" w:firstLine="480"/>
        <w:rPr>
          <w:rFonts w:ascii="Times New Roman" w:hAnsi="Times New Roman" w:cs="Times New Roman"/>
          <w:color w:val="auto"/>
          <w:highlight w:val="none"/>
        </w:rPr>
      </w:pPr>
      <w:r>
        <w:rPr>
          <w:rFonts w:hint="eastAsia" w:ascii="Times New Roman" w:hAnsi="Times New Roman" w:cs="Times New Roman"/>
          <w:color w:val="auto"/>
          <w:highlight w:val="none"/>
          <w:lang w:val="en-US" w:eastAsia="zh-CN"/>
        </w:rPr>
        <w:t>总量申请单；</w:t>
      </w:r>
    </w:p>
    <w:p w14:paraId="36C02BAC">
      <w:pPr>
        <w:numPr>
          <w:ilvl w:val="0"/>
          <w:numId w:val="5"/>
        </w:numPr>
        <w:tabs>
          <w:tab w:val="left" w:pos="644"/>
        </w:tabs>
        <w:adjustRightInd w:val="0"/>
        <w:snapToGrid w:val="0"/>
        <w:spacing w:line="336" w:lineRule="auto"/>
        <w:ind w:left="-105" w:right="-105" w:firstLine="480"/>
        <w:rPr>
          <w:rFonts w:ascii="Times New Roman" w:hAnsi="Times New Roman" w:cs="Times New Roman"/>
          <w:color w:val="auto"/>
          <w:highlight w:val="none"/>
        </w:rPr>
      </w:pPr>
      <w:r>
        <w:rPr>
          <w:rFonts w:hint="eastAsia" w:ascii="Times New Roman" w:hAnsi="Times New Roman" w:cs="Times New Roman"/>
          <w:color w:val="auto"/>
          <w:highlight w:val="none"/>
        </w:rPr>
        <w:t>委托书</w:t>
      </w:r>
      <w:r>
        <w:rPr>
          <w:rFonts w:ascii="Times New Roman" w:hAnsi="Times New Roman" w:cs="Times New Roman"/>
          <w:color w:val="auto"/>
          <w:highlight w:val="none"/>
        </w:rPr>
        <w:t>；</w:t>
      </w:r>
    </w:p>
    <w:p w14:paraId="0C019CC7">
      <w:pPr>
        <w:numPr>
          <w:ilvl w:val="0"/>
          <w:numId w:val="5"/>
        </w:numPr>
        <w:tabs>
          <w:tab w:val="left" w:pos="644"/>
        </w:tabs>
        <w:adjustRightInd w:val="0"/>
        <w:snapToGrid w:val="0"/>
        <w:spacing w:line="336" w:lineRule="auto"/>
        <w:ind w:left="-105" w:right="-105" w:firstLine="480"/>
        <w:rPr>
          <w:rFonts w:ascii="Times New Roman" w:hAnsi="Times New Roman" w:cs="Times New Roman"/>
          <w:color w:val="auto"/>
          <w:highlight w:val="none"/>
        </w:rPr>
      </w:pPr>
      <w:r>
        <w:rPr>
          <w:rFonts w:hint="eastAsia" w:ascii="Times New Roman" w:hAnsi="Times New Roman" w:cs="Times New Roman"/>
          <w:color w:val="auto"/>
          <w:highlight w:val="none"/>
        </w:rPr>
        <w:t>环评合同</w:t>
      </w:r>
      <w:r>
        <w:rPr>
          <w:rFonts w:ascii="Times New Roman" w:hAnsi="Times New Roman" w:cs="Times New Roman"/>
          <w:color w:val="auto"/>
          <w:highlight w:val="none"/>
        </w:rPr>
        <w:t>；</w:t>
      </w:r>
    </w:p>
    <w:p w14:paraId="59F878D8">
      <w:pPr>
        <w:numPr>
          <w:ilvl w:val="0"/>
          <w:numId w:val="5"/>
        </w:numPr>
        <w:tabs>
          <w:tab w:val="left" w:pos="644"/>
        </w:tabs>
        <w:adjustRightInd w:val="0"/>
        <w:snapToGrid w:val="0"/>
        <w:spacing w:line="336" w:lineRule="auto"/>
        <w:ind w:left="-105" w:right="-105" w:firstLine="480"/>
        <w:rPr>
          <w:rFonts w:ascii="Times New Roman" w:hAnsi="Times New Roman" w:cs="Times New Roman"/>
          <w:color w:val="auto"/>
          <w:highlight w:val="none"/>
        </w:rPr>
      </w:pPr>
      <w:r>
        <w:rPr>
          <w:rFonts w:hint="eastAsia" w:ascii="Times New Roman" w:hAnsi="Times New Roman" w:cs="Times New Roman"/>
          <w:color w:val="auto"/>
          <w:highlight w:val="none"/>
        </w:rPr>
        <w:t>确认单</w:t>
      </w:r>
      <w:r>
        <w:rPr>
          <w:rFonts w:ascii="Times New Roman" w:hAnsi="Times New Roman" w:cs="Times New Roman"/>
          <w:color w:val="auto"/>
          <w:highlight w:val="none"/>
        </w:rPr>
        <w:t>；</w:t>
      </w:r>
    </w:p>
    <w:p w14:paraId="1A3AF9C1">
      <w:pPr>
        <w:numPr>
          <w:ilvl w:val="0"/>
          <w:numId w:val="5"/>
        </w:numPr>
        <w:tabs>
          <w:tab w:val="left" w:pos="644"/>
        </w:tabs>
        <w:adjustRightInd w:val="0"/>
        <w:snapToGrid w:val="0"/>
        <w:spacing w:line="336" w:lineRule="auto"/>
        <w:ind w:left="-105" w:right="-105" w:firstLine="480"/>
        <w:rPr>
          <w:rFonts w:ascii="Times New Roman" w:hAnsi="Times New Roman" w:cs="Times New Roman"/>
          <w:color w:val="auto"/>
          <w:highlight w:val="none"/>
        </w:rPr>
      </w:pPr>
      <w:r>
        <w:rPr>
          <w:rFonts w:hint="eastAsia" w:ascii="Times New Roman" w:hAnsi="Times New Roman" w:cs="Times New Roman"/>
          <w:color w:val="auto"/>
          <w:highlight w:val="none"/>
        </w:rPr>
        <w:t>环评单位承诺书</w:t>
      </w:r>
      <w:r>
        <w:rPr>
          <w:rFonts w:ascii="Times New Roman" w:hAnsi="Times New Roman" w:cs="Times New Roman"/>
          <w:color w:val="auto"/>
          <w:highlight w:val="none"/>
        </w:rPr>
        <w:t>；</w:t>
      </w:r>
    </w:p>
    <w:p w14:paraId="50D5719A">
      <w:pPr>
        <w:numPr>
          <w:ilvl w:val="0"/>
          <w:numId w:val="5"/>
        </w:numPr>
        <w:tabs>
          <w:tab w:val="left" w:pos="644"/>
        </w:tabs>
        <w:adjustRightInd w:val="0"/>
        <w:snapToGrid w:val="0"/>
        <w:spacing w:line="336" w:lineRule="auto"/>
        <w:ind w:left="-105" w:right="-105" w:firstLine="480"/>
        <w:rPr>
          <w:rFonts w:ascii="Times New Roman" w:hAnsi="Times New Roman" w:cs="Times New Roman"/>
          <w:color w:val="auto"/>
          <w:highlight w:val="none"/>
        </w:rPr>
      </w:pPr>
      <w:r>
        <w:rPr>
          <w:rFonts w:hint="eastAsia" w:ascii="Times New Roman" w:hAnsi="Times New Roman" w:cs="Times New Roman"/>
          <w:color w:val="auto"/>
          <w:highlight w:val="none"/>
        </w:rPr>
        <w:t>固废处置承诺书</w:t>
      </w:r>
      <w:r>
        <w:rPr>
          <w:rFonts w:ascii="Times New Roman" w:hAnsi="Times New Roman" w:cs="Times New Roman"/>
          <w:color w:val="auto"/>
          <w:highlight w:val="none"/>
        </w:rPr>
        <w:t>；</w:t>
      </w:r>
    </w:p>
    <w:p w14:paraId="1A0185C5">
      <w:pPr>
        <w:numPr>
          <w:ilvl w:val="0"/>
          <w:numId w:val="5"/>
        </w:numPr>
        <w:tabs>
          <w:tab w:val="left" w:pos="644"/>
        </w:tabs>
        <w:adjustRightInd w:val="0"/>
        <w:snapToGrid w:val="0"/>
        <w:spacing w:line="336" w:lineRule="auto"/>
        <w:ind w:left="-105" w:right="-105" w:firstLine="480"/>
        <w:rPr>
          <w:rFonts w:ascii="Times New Roman" w:hAnsi="Times New Roman" w:cs="Times New Roman"/>
          <w:color w:val="auto"/>
          <w:highlight w:val="none"/>
        </w:rPr>
      </w:pPr>
      <w:r>
        <w:rPr>
          <w:rFonts w:hint="eastAsia" w:ascii="Times New Roman" w:hAnsi="Times New Roman" w:cs="Times New Roman"/>
          <w:color w:val="auto"/>
          <w:highlight w:val="none"/>
          <w:lang w:val="en-US" w:eastAsia="zh-CN"/>
        </w:rPr>
        <w:t>同意环评公开说明；</w:t>
      </w:r>
    </w:p>
    <w:p w14:paraId="77E19244">
      <w:pPr>
        <w:numPr>
          <w:ilvl w:val="0"/>
          <w:numId w:val="5"/>
        </w:numPr>
        <w:tabs>
          <w:tab w:val="left" w:pos="644"/>
        </w:tabs>
        <w:adjustRightInd w:val="0"/>
        <w:snapToGrid w:val="0"/>
        <w:spacing w:line="336" w:lineRule="auto"/>
        <w:ind w:left="-105" w:right="-105" w:firstLine="480"/>
        <w:rPr>
          <w:rFonts w:ascii="Times New Roman" w:hAnsi="Times New Roman" w:cs="Times New Roman"/>
          <w:color w:val="auto"/>
          <w:highlight w:val="none"/>
        </w:rPr>
      </w:pPr>
      <w:r>
        <w:rPr>
          <w:rFonts w:hint="eastAsia" w:ascii="Times New Roman" w:hAnsi="Times New Roman" w:cs="Times New Roman"/>
          <w:color w:val="auto"/>
          <w:highlight w:val="none"/>
          <w:lang w:val="en-US" w:eastAsia="zh-CN"/>
        </w:rPr>
        <w:t>公示截图；</w:t>
      </w:r>
    </w:p>
    <w:p w14:paraId="6E0DF7CF">
      <w:pPr>
        <w:numPr>
          <w:ilvl w:val="0"/>
          <w:numId w:val="5"/>
        </w:numPr>
        <w:tabs>
          <w:tab w:val="left" w:pos="644"/>
        </w:tabs>
        <w:adjustRightInd w:val="0"/>
        <w:snapToGrid w:val="0"/>
        <w:spacing w:line="336" w:lineRule="auto"/>
        <w:ind w:left="-105" w:right="-105" w:firstLine="480"/>
        <w:rPr>
          <w:rFonts w:ascii="Times New Roman" w:hAnsi="Times New Roman" w:cs="Times New Roman"/>
          <w:color w:val="auto"/>
          <w:highlight w:val="none"/>
        </w:rPr>
      </w:pPr>
      <w:r>
        <w:rPr>
          <w:rFonts w:hint="eastAsia" w:ascii="Times New Roman" w:hAnsi="Times New Roman" w:cs="Times New Roman"/>
          <w:color w:val="auto"/>
          <w:highlight w:val="none"/>
        </w:rPr>
        <w:t>环境监测报告</w:t>
      </w:r>
      <w:r>
        <w:rPr>
          <w:rFonts w:ascii="Times New Roman" w:hAnsi="Times New Roman" w:cs="Times New Roman"/>
          <w:color w:val="auto"/>
          <w:highlight w:val="none"/>
        </w:rPr>
        <w:t>；</w:t>
      </w:r>
    </w:p>
    <w:p w14:paraId="207AA097">
      <w:pPr>
        <w:numPr>
          <w:ilvl w:val="0"/>
          <w:numId w:val="5"/>
        </w:numPr>
        <w:tabs>
          <w:tab w:val="left" w:pos="644"/>
        </w:tabs>
        <w:adjustRightInd w:val="0"/>
        <w:snapToGrid w:val="0"/>
        <w:spacing w:line="336" w:lineRule="auto"/>
        <w:ind w:left="-105" w:right="-105" w:firstLine="480"/>
        <w:rPr>
          <w:rFonts w:ascii="Times New Roman" w:hAnsi="Times New Roman" w:cs="Times New Roman"/>
          <w:color w:val="auto"/>
          <w:highlight w:val="none"/>
        </w:rPr>
      </w:pPr>
      <w:r>
        <w:rPr>
          <w:rFonts w:hint="eastAsia" w:ascii="Times New Roman" w:hAnsi="Times New Roman" w:cs="Times New Roman"/>
          <w:color w:val="auto"/>
          <w:highlight w:val="none"/>
        </w:rPr>
        <w:t>原辅料MSDS</w:t>
      </w:r>
      <w:r>
        <w:rPr>
          <w:rFonts w:ascii="Times New Roman" w:hAnsi="Times New Roman" w:cs="Times New Roman"/>
          <w:color w:val="auto"/>
          <w:highlight w:val="none"/>
        </w:rPr>
        <w:t>；</w:t>
      </w:r>
    </w:p>
    <w:p w14:paraId="3286A707">
      <w:pPr>
        <w:numPr>
          <w:ilvl w:val="0"/>
          <w:numId w:val="5"/>
        </w:numPr>
        <w:tabs>
          <w:tab w:val="left" w:pos="644"/>
        </w:tabs>
        <w:adjustRightInd w:val="0"/>
        <w:snapToGrid w:val="0"/>
        <w:spacing w:line="336" w:lineRule="auto"/>
        <w:ind w:left="-105" w:right="-105" w:firstLine="480"/>
        <w:rPr>
          <w:rFonts w:ascii="Times New Roman" w:hAnsi="Times New Roman" w:cs="Times New Roman"/>
          <w:color w:val="auto"/>
          <w:highlight w:val="none"/>
        </w:rPr>
      </w:pPr>
      <w:r>
        <w:rPr>
          <w:rFonts w:ascii="Times New Roman" w:hAnsi="Times New Roman" w:cs="Times New Roman"/>
          <w:color w:val="auto"/>
          <w:highlight w:val="none"/>
        </w:rPr>
        <w:t>专家评审会议纪要；</w:t>
      </w:r>
    </w:p>
    <w:p w14:paraId="5D763D6D">
      <w:pPr>
        <w:numPr>
          <w:ilvl w:val="0"/>
          <w:numId w:val="5"/>
        </w:numPr>
        <w:tabs>
          <w:tab w:val="left" w:pos="644"/>
        </w:tabs>
        <w:adjustRightInd w:val="0"/>
        <w:snapToGrid w:val="0"/>
        <w:spacing w:line="336" w:lineRule="auto"/>
        <w:ind w:left="-105" w:right="-105" w:firstLine="480"/>
        <w:rPr>
          <w:rFonts w:ascii="Times New Roman" w:hAnsi="Times New Roman" w:cs="Times New Roman"/>
          <w:color w:val="auto"/>
          <w:highlight w:val="none"/>
        </w:rPr>
      </w:pPr>
      <w:r>
        <w:rPr>
          <w:rFonts w:ascii="Times New Roman" w:hAnsi="Times New Roman" w:cs="Times New Roman"/>
          <w:color w:val="auto"/>
          <w:highlight w:val="none"/>
        </w:rPr>
        <w:t>修改清单；</w:t>
      </w:r>
    </w:p>
    <w:p w14:paraId="39F10088">
      <w:pPr>
        <w:numPr>
          <w:ilvl w:val="0"/>
          <w:numId w:val="5"/>
        </w:numPr>
        <w:tabs>
          <w:tab w:val="left" w:pos="644"/>
        </w:tabs>
        <w:adjustRightInd w:val="0"/>
        <w:snapToGrid w:val="0"/>
        <w:spacing w:line="336" w:lineRule="auto"/>
        <w:ind w:left="-105" w:right="-105" w:firstLine="480"/>
        <w:rPr>
          <w:rFonts w:ascii="Times New Roman" w:hAnsi="Times New Roman" w:cs="Times New Roman"/>
          <w:color w:val="auto"/>
          <w:highlight w:val="none"/>
        </w:rPr>
      </w:pPr>
      <w:r>
        <w:rPr>
          <w:rFonts w:ascii="Times New Roman" w:hAnsi="Times New Roman" w:cs="Times New Roman"/>
          <w:color w:val="auto"/>
          <w:highlight w:val="none"/>
        </w:rPr>
        <w:t>专家评审意见；</w:t>
      </w:r>
    </w:p>
    <w:p w14:paraId="11CA9E39">
      <w:pPr>
        <w:numPr>
          <w:ilvl w:val="0"/>
          <w:numId w:val="5"/>
        </w:numPr>
        <w:tabs>
          <w:tab w:val="left" w:pos="644"/>
        </w:tabs>
        <w:adjustRightInd w:val="0"/>
        <w:snapToGrid w:val="0"/>
        <w:spacing w:line="336" w:lineRule="auto"/>
        <w:ind w:left="-105" w:right="-105" w:firstLine="480"/>
        <w:rPr>
          <w:rFonts w:ascii="Times New Roman" w:hAnsi="Times New Roman" w:cs="Times New Roman"/>
          <w:color w:val="auto"/>
          <w:highlight w:val="none"/>
        </w:rPr>
      </w:pPr>
      <w:r>
        <w:rPr>
          <w:rFonts w:ascii="Times New Roman" w:hAnsi="Times New Roman" w:cs="Times New Roman"/>
          <w:color w:val="auto"/>
          <w:highlight w:val="none"/>
        </w:rPr>
        <w:t>环评主持人现场照片。</w:t>
      </w:r>
    </w:p>
    <w:p w14:paraId="4E22F067">
      <w:pPr>
        <w:tabs>
          <w:tab w:val="left" w:pos="851"/>
          <w:tab w:val="left" w:pos="1276"/>
        </w:tabs>
        <w:spacing w:line="360" w:lineRule="auto"/>
        <w:ind w:left="480" w:leftChars="200" w:right="-105"/>
        <w:rPr>
          <w:rFonts w:ascii="Times New Roman" w:hAnsi="Times New Roman"/>
          <w:color w:val="auto"/>
          <w:highlight w:val="none"/>
        </w:rPr>
      </w:pPr>
    </w:p>
    <w:p w14:paraId="725A7AB6">
      <w:pPr>
        <w:tabs>
          <w:tab w:val="left" w:pos="851"/>
          <w:tab w:val="left" w:pos="1276"/>
        </w:tabs>
        <w:spacing w:line="360" w:lineRule="auto"/>
        <w:ind w:left="-105" w:right="-105"/>
        <w:rPr>
          <w:rFonts w:ascii="Times New Roman" w:hAnsi="Times New Roman"/>
          <w:color w:val="auto"/>
          <w:highlight w:val="none"/>
        </w:rPr>
        <w:sectPr>
          <w:headerReference r:id="rId3" w:type="default"/>
          <w:headerReference r:id="rId4" w:type="even"/>
          <w:pgSz w:w="11906" w:h="16838"/>
          <w:pgMar w:top="1440" w:right="1701" w:bottom="1440" w:left="1701" w:header="851" w:footer="851" w:gutter="0"/>
          <w:pgBorders>
            <w:top w:val="none" w:sz="0" w:space="0"/>
            <w:left w:val="none" w:sz="0" w:space="0"/>
            <w:bottom w:val="none" w:sz="0" w:space="0"/>
            <w:right w:val="none" w:sz="0" w:space="0"/>
          </w:pgBorders>
          <w:pgNumType w:fmt="upperRoman"/>
          <w:cols w:space="720" w:num="1"/>
          <w:docGrid w:linePitch="498" w:charSpace="-2336"/>
        </w:sectPr>
      </w:pPr>
    </w:p>
    <w:p w14:paraId="29F18960">
      <w:pPr>
        <w:pStyle w:val="3"/>
        <w:numPr>
          <w:ilvl w:val="0"/>
          <w:numId w:val="6"/>
        </w:numPr>
        <w:spacing w:before="120" w:beforeLines="50" w:afterLines="50" w:line="360" w:lineRule="auto"/>
        <w:ind w:left="-105" w:right="-105"/>
        <w:rPr>
          <w:rFonts w:ascii="Times New Roman" w:eastAsia="宋体"/>
          <w:color w:val="auto"/>
          <w:sz w:val="32"/>
          <w:szCs w:val="32"/>
          <w:highlight w:val="none"/>
        </w:rPr>
      </w:pPr>
      <w:bookmarkStart w:id="17" w:name="_Toc60653430"/>
      <w:bookmarkStart w:id="18" w:name="_Toc14186"/>
      <w:r>
        <w:rPr>
          <w:rFonts w:ascii="Times New Roman" w:eastAsia="宋体"/>
          <w:color w:val="auto"/>
          <w:sz w:val="32"/>
          <w:szCs w:val="32"/>
          <w:highlight w:val="none"/>
        </w:rPr>
        <w:t>概述</w:t>
      </w:r>
      <w:bookmarkEnd w:id="17"/>
      <w:bookmarkEnd w:id="18"/>
    </w:p>
    <w:p w14:paraId="640464A0">
      <w:pPr>
        <w:pStyle w:val="4"/>
        <w:spacing w:line="360" w:lineRule="auto"/>
        <w:ind w:left="-105" w:right="-105" w:firstLine="0"/>
        <w:rPr>
          <w:rFonts w:ascii="Times New Roman" w:eastAsia="宋体"/>
          <w:color w:val="auto"/>
          <w:sz w:val="28"/>
          <w:szCs w:val="28"/>
          <w:highlight w:val="none"/>
        </w:rPr>
      </w:pPr>
      <w:bookmarkStart w:id="19" w:name="_Toc25710"/>
      <w:bookmarkStart w:id="20" w:name="_Toc352006397"/>
      <w:bookmarkStart w:id="21" w:name="_Toc1693"/>
      <w:bookmarkStart w:id="22" w:name="_Toc60653431"/>
      <w:bookmarkStart w:id="23" w:name="_Toc23933427"/>
      <w:bookmarkStart w:id="24" w:name="_Toc22899958"/>
      <w:bookmarkStart w:id="25" w:name="_Toc23604716"/>
      <w:bookmarkStart w:id="26" w:name="_Toc23933250"/>
      <w:bookmarkStart w:id="27" w:name="_Toc23673840"/>
      <w:bookmarkStart w:id="28" w:name="_Toc23604804"/>
      <w:bookmarkStart w:id="29" w:name="_Toc23673994"/>
      <w:bookmarkStart w:id="30" w:name="_Toc23933484"/>
      <w:bookmarkStart w:id="31" w:name="_Toc125882607"/>
      <w:bookmarkStart w:id="32" w:name="_Toc23738042"/>
      <w:r>
        <w:rPr>
          <w:rFonts w:ascii="Times New Roman" w:eastAsia="宋体"/>
          <w:color w:val="auto"/>
          <w:sz w:val="28"/>
          <w:szCs w:val="28"/>
          <w:highlight w:val="none"/>
        </w:rPr>
        <w:t>任务由来</w:t>
      </w:r>
      <w:bookmarkEnd w:id="19"/>
      <w:bookmarkEnd w:id="20"/>
      <w:bookmarkEnd w:id="21"/>
      <w:bookmarkEnd w:id="22"/>
    </w:p>
    <w:bookmarkEnd w:id="23"/>
    <w:bookmarkEnd w:id="24"/>
    <w:bookmarkEnd w:id="25"/>
    <w:bookmarkEnd w:id="26"/>
    <w:bookmarkEnd w:id="27"/>
    <w:bookmarkEnd w:id="28"/>
    <w:bookmarkEnd w:id="29"/>
    <w:bookmarkEnd w:id="30"/>
    <w:bookmarkEnd w:id="31"/>
    <w:bookmarkEnd w:id="32"/>
    <w:p w14:paraId="0161A3DE">
      <w:pPr>
        <w:spacing w:line="360" w:lineRule="auto"/>
        <w:ind w:left="-105" w:right="-105" w:firstLine="480" w:firstLineChars="200"/>
        <w:jc w:val="both"/>
        <w:rPr>
          <w:rFonts w:ascii="Times New Roman" w:hAnsi="Times New Roman"/>
          <w:color w:val="auto"/>
          <w:highlight w:val="none"/>
        </w:rPr>
      </w:pPr>
      <w:r>
        <w:rPr>
          <w:rFonts w:hint="eastAsia" w:ascii="Times New Roman" w:hAnsi="Times New Roman"/>
          <w:color w:val="auto"/>
          <w:highlight w:val="none"/>
        </w:rPr>
        <w:t>化药化工（无锡）有限公司（以下简称“化药化工”）是由日本化药株式会社（以下简称“日本化药”）100%控股的独资公司，成立于2002年，位于无锡市锡山区锡北镇新坝村。</w:t>
      </w:r>
    </w:p>
    <w:p w14:paraId="676FBC34">
      <w:pPr>
        <w:spacing w:line="360" w:lineRule="auto"/>
        <w:ind w:left="-105" w:right="-105" w:firstLine="480" w:firstLineChars="200"/>
        <w:jc w:val="both"/>
        <w:rPr>
          <w:rFonts w:ascii="Times New Roman" w:hAnsi="Times New Roman"/>
          <w:color w:val="auto"/>
          <w:highlight w:val="none"/>
        </w:rPr>
      </w:pPr>
      <w:r>
        <w:rPr>
          <w:rFonts w:hint="eastAsia" w:ascii="Times New Roman" w:hAnsi="Times New Roman"/>
          <w:color w:val="auto"/>
          <w:highlight w:val="none"/>
        </w:rPr>
        <w:t>日本化药株式会社是成立于1916年的以精细化工为主营业业务的跨国公司。下辖医药事业总部、化学品事业总部和精细化学品总部，研发、生产和销售特种环氧树脂、丙烯酸单体和丙烯酸齐聚体。在世界半导体化学材料行业中，日本化药的高端特种环氧树脂的市场占有率位居前列。化药化工从日本化药引进先进的技术和严格的质量控制系统，以日本化药的特种环氧树脂等材料为主要原料，生产高质量的信息电子产业类用环氧丙烯酸树脂产品。现有项目设计产品及规模为：年产聚氨酯丙烯酸酯5000t、丙烯酸酯组成物10000t和环氧丙烯酸树脂3100t。公司已于2020年6月8日取得了排污许可证（详见附件），证书编号913202057394398127001P，有效期为2023-02-21至2028-02-20。</w:t>
      </w:r>
    </w:p>
    <w:p w14:paraId="413E7B4D">
      <w:pPr>
        <w:spacing w:line="360" w:lineRule="auto"/>
        <w:ind w:left="-105" w:right="-105" w:firstLine="480" w:firstLineChars="200"/>
        <w:jc w:val="both"/>
        <w:rPr>
          <w:rFonts w:hint="default" w:ascii="Times New Roman" w:hAnsi="Times New Roman" w:eastAsia="宋体"/>
          <w:color w:val="auto"/>
          <w:highlight w:val="none"/>
          <w:lang w:val="en-US" w:eastAsia="zh-CN"/>
        </w:rPr>
      </w:pPr>
      <w:r>
        <w:rPr>
          <w:rFonts w:hint="eastAsia" w:ascii="Times New Roman" w:hAnsi="Times New Roman"/>
          <w:color w:val="auto"/>
          <w:highlight w:val="none"/>
        </w:rPr>
        <w:t>因我国半导体行业的快速发展，对半导体上游原材料产品的需求量日益增长，半导体湿电子化学品作为半导体产品的上游材料具有良好的发展前景。同时，2020年初，德国汉高（Henkel）将其液晶和半导体湿电子化学品产品业务出售给日本化药，日本化药获得了汉高液晶及半导体湿电子化学品的生产、销售和运营。在中国将由化药化工接管相应的生产、销售和运营。汉高拥有140多年的历史，业务遍布各国，对液晶及半导体湿电子化学品有着20年以上的市场实绩。日本化药在获取汉高在日本的业务同时，其在半导体封装所使用的光刻胶剥离液领域，有着众多的使用实绩。化药化工（无锡）有限公司依托日本化药的产品及技术优势，拟利用现有厂房建设年产剥离液800t项目，投资金额1000万元。</w:t>
      </w:r>
      <w:r>
        <w:rPr>
          <w:rFonts w:hint="eastAsia" w:ascii="Times New Roman" w:hAnsi="Times New Roman"/>
          <w:color w:val="auto"/>
          <w:highlight w:val="none"/>
          <w:lang w:val="en-US" w:eastAsia="zh-CN"/>
        </w:rPr>
        <w:t>该项目已取得江苏省投资项目备案证，备案号为：锡山行审备[2023]95号，项目代码为：2303-320205-89-05-489711。</w:t>
      </w:r>
    </w:p>
    <w:p w14:paraId="0373F93B">
      <w:pPr>
        <w:spacing w:line="360" w:lineRule="auto"/>
        <w:ind w:left="-105" w:right="-105" w:firstLine="480" w:firstLineChars="200"/>
        <w:jc w:val="both"/>
        <w:rPr>
          <w:rFonts w:ascii="Times New Roman" w:hAnsi="Times New Roman"/>
          <w:color w:val="auto"/>
          <w:highlight w:val="none"/>
        </w:rPr>
      </w:pPr>
      <w:r>
        <w:rPr>
          <w:rFonts w:hint="eastAsia" w:ascii="Times New Roman" w:hAnsi="Times New Roman"/>
          <w:color w:val="auto"/>
          <w:highlight w:val="none"/>
        </w:rPr>
        <w:t>根据《建设项目环境影响评价分类管理名录》（2021年版），本项目类别为“三十六、计算机、通信和其他电子设备制造业39 81.电子元件及电子专用材料制造398；电子化工材料制造”，本项目生产剥离液800t/a，环评类别为“报告书”。</w:t>
      </w:r>
    </w:p>
    <w:p w14:paraId="14E3C9B5">
      <w:pPr>
        <w:spacing w:line="360" w:lineRule="auto"/>
        <w:ind w:left="-105" w:right="-105" w:firstLine="480" w:firstLineChars="200"/>
        <w:jc w:val="both"/>
        <w:rPr>
          <w:rFonts w:ascii="Times New Roman" w:hAnsi="Times New Roman"/>
          <w:color w:val="auto"/>
          <w:highlight w:val="none"/>
        </w:rPr>
      </w:pPr>
      <w:r>
        <w:rPr>
          <w:rFonts w:hint="eastAsia" w:ascii="Times New Roman" w:hAnsi="Times New Roman"/>
          <w:color w:val="auto"/>
          <w:highlight w:val="none"/>
        </w:rPr>
        <w:t>化药化工（无锡）有限公司遵照国家及地方的法律、法规要求及规定，委托无锡恒新环境技术有限公司进行本项目的环境影响评价工作。环评单位在接受委托后，相关人员在进行现场调查、资料调研、环境监测、公众参与等工作的基础上，编制完成了本环境影响报告书，报请环保主管部门审批，以期为项目实施和环境管理提供管理依据。</w:t>
      </w:r>
    </w:p>
    <w:p w14:paraId="560046D4">
      <w:pPr>
        <w:pStyle w:val="4"/>
        <w:spacing w:line="360" w:lineRule="auto"/>
        <w:ind w:left="-105" w:right="-105" w:firstLine="0"/>
        <w:rPr>
          <w:rFonts w:ascii="Times New Roman" w:eastAsia="宋体"/>
          <w:color w:val="auto"/>
          <w:sz w:val="28"/>
          <w:szCs w:val="28"/>
          <w:highlight w:val="none"/>
        </w:rPr>
      </w:pPr>
      <w:bookmarkStart w:id="33" w:name="_Toc60653432"/>
      <w:bookmarkStart w:id="34" w:name="_Toc317262262"/>
      <w:bookmarkStart w:id="35" w:name="_Toc19996"/>
      <w:bookmarkStart w:id="36" w:name="_Toc352006398"/>
      <w:bookmarkStart w:id="37" w:name="_Toc9651"/>
      <w:r>
        <w:rPr>
          <w:rFonts w:ascii="Times New Roman" w:eastAsia="宋体"/>
          <w:color w:val="auto"/>
          <w:sz w:val="28"/>
          <w:szCs w:val="28"/>
          <w:highlight w:val="none"/>
        </w:rPr>
        <w:t>项目特点</w:t>
      </w:r>
      <w:bookmarkEnd w:id="33"/>
      <w:bookmarkEnd w:id="34"/>
      <w:bookmarkEnd w:id="35"/>
      <w:bookmarkEnd w:id="36"/>
      <w:bookmarkEnd w:id="37"/>
    </w:p>
    <w:p w14:paraId="44BE3342">
      <w:pPr>
        <w:spacing w:line="360" w:lineRule="auto"/>
        <w:ind w:left="-105" w:right="-105" w:firstLine="480" w:firstLineChars="200"/>
        <w:jc w:val="both"/>
        <w:rPr>
          <w:rFonts w:ascii="Times New Roman" w:hAnsi="Times New Roman"/>
          <w:color w:val="auto"/>
          <w:highlight w:val="none"/>
        </w:rPr>
      </w:pPr>
      <w:r>
        <w:rPr>
          <w:rFonts w:ascii="Times New Roman" w:hAnsi="Times New Roman"/>
          <w:color w:val="auto"/>
          <w:highlight w:val="none"/>
        </w:rPr>
        <w:t>（1）</w:t>
      </w:r>
      <w:r>
        <w:rPr>
          <w:rFonts w:hint="eastAsia" w:ascii="Times New Roman" w:hAnsi="Times New Roman"/>
          <w:color w:val="auto"/>
          <w:highlight w:val="none"/>
        </w:rPr>
        <w:t>化药化工（无锡）有限公司坐落于无锡市</w:t>
      </w:r>
      <w:r>
        <w:rPr>
          <w:rFonts w:ascii="Times New Roman" w:hAnsi="Times New Roman"/>
          <w:color w:val="auto"/>
          <w:highlight w:val="none"/>
        </w:rPr>
        <w:t>锡山区</w:t>
      </w:r>
      <w:r>
        <w:rPr>
          <w:rFonts w:hint="eastAsia" w:ascii="Times New Roman" w:hAnsi="Times New Roman"/>
          <w:color w:val="auto"/>
          <w:highlight w:val="none"/>
        </w:rPr>
        <w:t>锡北</w:t>
      </w:r>
      <w:r>
        <w:rPr>
          <w:rFonts w:ascii="Times New Roman" w:hAnsi="Times New Roman"/>
          <w:color w:val="auto"/>
          <w:highlight w:val="none"/>
        </w:rPr>
        <w:t>镇</w:t>
      </w:r>
      <w:r>
        <w:rPr>
          <w:rFonts w:hint="eastAsia" w:ascii="Times New Roman" w:hAnsi="Times New Roman"/>
          <w:color w:val="auto"/>
          <w:highlight w:val="none"/>
        </w:rPr>
        <w:t>，</w:t>
      </w:r>
      <w:r>
        <w:rPr>
          <w:rFonts w:ascii="Times New Roman" w:hAnsi="Times New Roman" w:cs="Times New Roman"/>
          <w:color w:val="auto"/>
          <w:highlight w:val="none"/>
        </w:rPr>
        <w:t>项目不在省级、国家级生态红线范围内，</w:t>
      </w:r>
      <w:r>
        <w:rPr>
          <w:rFonts w:hint="eastAsia" w:ascii="Times New Roman" w:hAnsi="Times New Roman"/>
          <w:color w:val="auto"/>
          <w:highlight w:val="none"/>
        </w:rPr>
        <w:t>本项目为扩建产能，新增剥离液生产线，在现有厂房内</w:t>
      </w:r>
      <w:r>
        <w:rPr>
          <w:rFonts w:hint="eastAsia" w:ascii="Times New Roman" w:hAnsi="Times New Roman"/>
          <w:color w:val="auto"/>
          <w:highlight w:val="none"/>
        </w:rPr>
        <w:t>建设</w:t>
      </w:r>
      <w:r>
        <w:rPr>
          <w:rFonts w:hint="eastAsia" w:ascii="Times New Roman" w:hAnsi="Times New Roman"/>
          <w:color w:val="auto"/>
          <w:highlight w:val="none"/>
        </w:rPr>
        <w:t>新增生产</w:t>
      </w:r>
      <w:r>
        <w:rPr>
          <w:rFonts w:hint="eastAsia" w:ascii="Times New Roman" w:hAnsi="Times New Roman"/>
          <w:color w:val="auto"/>
          <w:highlight w:val="none"/>
        </w:rPr>
        <w:t>线，不新增用地</w:t>
      </w:r>
      <w:r>
        <w:rPr>
          <w:rFonts w:ascii="Times New Roman" w:hAnsi="Times New Roman"/>
          <w:color w:val="auto"/>
          <w:highlight w:val="none"/>
        </w:rPr>
        <w:t>。</w:t>
      </w:r>
    </w:p>
    <w:p w14:paraId="393187A1">
      <w:pPr>
        <w:spacing w:line="360" w:lineRule="auto"/>
        <w:ind w:left="-105" w:right="-105" w:firstLine="480" w:firstLineChars="200"/>
        <w:jc w:val="both"/>
        <w:rPr>
          <w:rFonts w:ascii="Times New Roman" w:hAnsi="Times New Roman"/>
          <w:color w:val="auto"/>
          <w:highlight w:val="none"/>
        </w:rPr>
      </w:pPr>
      <w:r>
        <w:rPr>
          <w:rFonts w:ascii="Times New Roman" w:hAnsi="Times New Roman"/>
          <w:color w:val="auto"/>
          <w:highlight w:val="none"/>
        </w:rPr>
        <w:t>（2）</w:t>
      </w:r>
      <w:r>
        <w:rPr>
          <w:rFonts w:hint="eastAsia" w:ascii="Times New Roman" w:hAnsi="Times New Roman"/>
          <w:color w:val="auto"/>
          <w:highlight w:val="none"/>
        </w:rPr>
        <w:t>本项目为电子专用材料制造项目，产品为剥离液，应用于半导体行业。对照《国民经济行业分类与代码》（GB/T4754-2017）（2019年修订）及江苏省投资项目备案证，本项目剥离液属于C3985电子专用材料制造，属于《产业结构调整指导目录（2024年本）》</w:t>
      </w:r>
      <w:r>
        <w:rPr>
          <w:rFonts w:hint="eastAsia" w:ascii="Times New Roman" w:hAnsi="Times New Roman"/>
          <w:color w:val="auto"/>
          <w:highlight w:val="none"/>
        </w:rPr>
        <w:t>中鼓励类。</w:t>
      </w:r>
    </w:p>
    <w:p w14:paraId="546CA815">
      <w:pPr>
        <w:spacing w:line="360" w:lineRule="auto"/>
        <w:ind w:left="-105" w:right="-105" w:firstLine="480" w:firstLineChars="200"/>
        <w:jc w:val="both"/>
        <w:rPr>
          <w:rFonts w:ascii="Times New Roman" w:hAnsi="Times New Roman"/>
          <w:color w:val="auto"/>
          <w:highlight w:val="none"/>
        </w:rPr>
      </w:pPr>
      <w:r>
        <w:rPr>
          <w:rFonts w:hint="eastAsia" w:ascii="Times New Roman" w:hAnsi="Times New Roman"/>
          <w:color w:val="auto"/>
          <w:highlight w:val="none"/>
        </w:rPr>
        <w:t>（3））</w:t>
      </w:r>
      <w:r>
        <w:rPr>
          <w:rFonts w:hint="eastAsia" w:ascii="Times New Roman" w:hAnsi="Times New Roman"/>
          <w:color w:val="auto"/>
          <w:highlight w:val="none"/>
        </w:rPr>
        <w:t>本项目主要生产工艺为物理混合、过滤、取样分析、收缸，产品生产过程拟采用密闭化设备，采用密闭式操作</w:t>
      </w:r>
      <w:r>
        <w:rPr>
          <w:rFonts w:hint="eastAsia" w:ascii="Times New Roman" w:hAnsi="Times New Roman"/>
          <w:color w:val="auto"/>
          <w:highlight w:val="none"/>
        </w:rPr>
        <w:t>，从而避免和减少无组织废气的产生。桶装液体物料和固体物料投加、产品分装过程中，考虑到连接处（包括液体物料桶与插管连接处、包装袋与加料装置连接处、灌装口与包装连接处）无法保证全部密封，存在少量无组织废气逸散；建设项目针对投料、转料、分装处设置排风系统收集采用集气罩收集，废气收集效率按95%计。</w:t>
      </w:r>
      <w:r>
        <w:rPr>
          <w:rFonts w:hint="eastAsia" w:ascii="Times New Roman" w:hAnsi="Times New Roman"/>
          <w:color w:val="auto"/>
          <w:highlight w:val="none"/>
        </w:rPr>
        <w:t>生产工艺废气和包装桶废气拟采用“3级碱喷淋+两级活性炭吸附”处理；检测废气拟采用“两级活性炭吸附”处理，各环节废气处理后达标排放。</w:t>
      </w:r>
    </w:p>
    <w:p w14:paraId="46C6B676">
      <w:pPr>
        <w:spacing w:line="360" w:lineRule="auto"/>
        <w:ind w:left="-105" w:right="-105" w:firstLine="480" w:firstLineChars="200"/>
        <w:jc w:val="both"/>
        <w:rPr>
          <w:rFonts w:ascii="Times New Roman" w:hAnsi="Times New Roman"/>
          <w:color w:val="auto"/>
          <w:highlight w:val="none"/>
        </w:rPr>
      </w:pPr>
      <w:r>
        <w:rPr>
          <w:rFonts w:ascii="Times New Roman" w:hAnsi="Times New Roman"/>
          <w:color w:val="auto"/>
          <w:highlight w:val="none"/>
        </w:rPr>
        <w:t>（</w:t>
      </w:r>
      <w:r>
        <w:rPr>
          <w:rFonts w:hint="eastAsia" w:ascii="Times New Roman" w:hAnsi="Times New Roman"/>
          <w:color w:val="auto"/>
          <w:highlight w:val="none"/>
        </w:rPr>
        <w:t>4</w:t>
      </w:r>
      <w:r>
        <w:rPr>
          <w:rFonts w:ascii="Times New Roman" w:hAnsi="Times New Roman"/>
          <w:color w:val="auto"/>
          <w:highlight w:val="none"/>
        </w:rPr>
        <w:t>）项目位于太湖流域三级保护区内，</w:t>
      </w:r>
      <w:r>
        <w:rPr>
          <w:rFonts w:hint="eastAsia" w:ascii="Times New Roman" w:hAnsi="Times New Roman"/>
          <w:color w:val="auto"/>
          <w:highlight w:val="none"/>
        </w:rPr>
        <w:t>本项目产品生产过程不涉及水，生产废水主要来自超纯水装置浓水、超纯水装置反冲洗水等。</w:t>
      </w:r>
      <w:r>
        <w:rPr>
          <w:rFonts w:hint="eastAsia" w:ascii="Times New Roman" w:hAnsi="Times New Roman"/>
          <w:color w:val="auto"/>
          <w:highlight w:val="none"/>
        </w:rPr>
        <w:t>本项目超纯水装置浓水、超纯水装置反冲洗水不含氮磷，且水质简单，回用于冲厕，</w:t>
      </w:r>
      <w:r>
        <w:rPr>
          <w:rFonts w:hint="eastAsia" w:ascii="Times New Roman" w:hAnsi="Times New Roman"/>
          <w:color w:val="auto"/>
          <w:highlight w:val="none"/>
        </w:rPr>
        <w:t>生活污水</w:t>
      </w:r>
      <w:r>
        <w:rPr>
          <w:rFonts w:hint="eastAsia" w:ascii="Times New Roman" w:hAnsi="Times New Roman"/>
          <w:color w:val="auto"/>
          <w:highlight w:val="none"/>
        </w:rPr>
        <w:t>与初期雨水</w:t>
      </w:r>
      <w:r>
        <w:rPr>
          <w:rFonts w:ascii="Times New Roman" w:hAnsi="Times New Roman"/>
          <w:color w:val="auto"/>
          <w:highlight w:val="none"/>
        </w:rPr>
        <w:t>由企业</w:t>
      </w:r>
      <w:r>
        <w:rPr>
          <w:rFonts w:hint="eastAsia" w:ascii="Times New Roman" w:hAnsi="Times New Roman"/>
          <w:color w:val="auto"/>
          <w:highlight w:val="none"/>
        </w:rPr>
        <w:t>收集后委托无锡先进化药化工有限公司处理达标后接入无锡市锡山云林污水处理有限公司</w:t>
      </w:r>
      <w:r>
        <w:rPr>
          <w:rFonts w:ascii="Times New Roman" w:hAnsi="Times New Roman"/>
          <w:color w:val="auto"/>
          <w:highlight w:val="none"/>
        </w:rPr>
        <w:t>。</w:t>
      </w:r>
    </w:p>
    <w:p w14:paraId="5D6CCC9F">
      <w:pPr>
        <w:spacing w:line="360" w:lineRule="auto"/>
        <w:ind w:left="-105" w:right="-105" w:firstLine="480" w:firstLineChars="200"/>
        <w:jc w:val="both"/>
        <w:rPr>
          <w:rFonts w:ascii="Times New Roman" w:hAnsi="Times New Roman"/>
          <w:color w:val="auto"/>
          <w:highlight w:val="none"/>
        </w:rPr>
      </w:pPr>
      <w:r>
        <w:rPr>
          <w:rFonts w:hint="eastAsia" w:ascii="Times New Roman" w:hAnsi="Times New Roman"/>
          <w:color w:val="auto"/>
          <w:highlight w:val="none"/>
        </w:rPr>
        <w:t>（5）本项目危险废物委托有资质单位安全处置；噪声采取消声、隔声等处理措施后可以做到噪声厂界达标排放。</w:t>
      </w:r>
    </w:p>
    <w:p w14:paraId="79266079">
      <w:pPr>
        <w:pStyle w:val="4"/>
        <w:spacing w:line="360" w:lineRule="auto"/>
        <w:ind w:left="-105" w:right="-105" w:firstLine="0"/>
        <w:rPr>
          <w:rFonts w:ascii="Times New Roman" w:eastAsia="宋体"/>
          <w:color w:val="auto"/>
          <w:sz w:val="28"/>
          <w:szCs w:val="28"/>
          <w:highlight w:val="none"/>
        </w:rPr>
      </w:pPr>
      <w:bookmarkStart w:id="38" w:name="_Toc15070"/>
      <w:bookmarkStart w:id="39" w:name="_Toc18511"/>
      <w:bookmarkStart w:id="40" w:name="_Toc60653433"/>
      <w:bookmarkStart w:id="41" w:name="_Toc317262264"/>
      <w:bookmarkStart w:id="42" w:name="_Toc352006399"/>
      <w:r>
        <w:rPr>
          <w:rFonts w:ascii="Times New Roman" w:eastAsia="宋体"/>
          <w:color w:val="auto"/>
          <w:sz w:val="28"/>
          <w:szCs w:val="28"/>
          <w:highlight w:val="none"/>
        </w:rPr>
        <w:t>关注的主要环境问题</w:t>
      </w:r>
      <w:bookmarkEnd w:id="38"/>
      <w:bookmarkEnd w:id="39"/>
      <w:bookmarkEnd w:id="40"/>
      <w:bookmarkEnd w:id="41"/>
      <w:bookmarkEnd w:id="42"/>
    </w:p>
    <w:p w14:paraId="2124986D">
      <w:pPr>
        <w:spacing w:line="360" w:lineRule="auto"/>
        <w:ind w:left="-105" w:right="-105" w:firstLine="480" w:firstLineChars="200"/>
        <w:rPr>
          <w:rFonts w:ascii="Times New Roman" w:hAnsi="Times New Roman"/>
          <w:color w:val="auto"/>
          <w:highlight w:val="none"/>
        </w:rPr>
      </w:pPr>
      <w:r>
        <w:rPr>
          <w:rFonts w:ascii="Times New Roman" w:hAnsi="Times New Roman"/>
          <w:color w:val="auto"/>
          <w:highlight w:val="none"/>
        </w:rPr>
        <w:t>（1）本次</w:t>
      </w:r>
      <w:r>
        <w:rPr>
          <w:rFonts w:hint="eastAsia" w:ascii="Times New Roman" w:hAnsi="Times New Roman"/>
          <w:color w:val="auto"/>
          <w:highlight w:val="none"/>
        </w:rPr>
        <w:t>扩建</w:t>
      </w:r>
      <w:r>
        <w:rPr>
          <w:rFonts w:ascii="Times New Roman" w:hAnsi="Times New Roman"/>
          <w:color w:val="auto"/>
          <w:highlight w:val="none"/>
        </w:rPr>
        <w:t>之后，</w:t>
      </w:r>
      <w:r>
        <w:rPr>
          <w:rFonts w:ascii="Times New Roman" w:hAnsi="Times New Roman" w:cs="Times New Roman"/>
          <w:color w:val="auto"/>
          <w:highlight w:val="none"/>
        </w:rPr>
        <w:t>新增工艺的废气、废水、固废等产排污情况需要合理的核算，提出的各项污染防治措施。新增的环境影响是否会降低区域环境功能，是否对附近保护目标产生影响，需要科学分析</w:t>
      </w:r>
      <w:r>
        <w:rPr>
          <w:rFonts w:ascii="Times New Roman" w:hAnsi="Times New Roman"/>
          <w:color w:val="auto"/>
          <w:highlight w:val="none"/>
        </w:rPr>
        <w:t>。</w:t>
      </w:r>
    </w:p>
    <w:p w14:paraId="33C0A14B">
      <w:pPr>
        <w:spacing w:line="360" w:lineRule="auto"/>
        <w:ind w:left="-105" w:right="-105" w:firstLine="480" w:firstLineChars="200"/>
        <w:rPr>
          <w:rFonts w:ascii="Times New Roman" w:hAnsi="Times New Roman"/>
          <w:color w:val="auto"/>
          <w:highlight w:val="none"/>
        </w:rPr>
      </w:pPr>
      <w:r>
        <w:rPr>
          <w:rFonts w:ascii="Times New Roman" w:hAnsi="Times New Roman"/>
          <w:color w:val="auto"/>
          <w:highlight w:val="none"/>
        </w:rPr>
        <w:t>（2）本次</w:t>
      </w:r>
      <w:r>
        <w:rPr>
          <w:rFonts w:hint="eastAsia" w:ascii="Times New Roman" w:hAnsi="Times New Roman"/>
          <w:color w:val="auto"/>
          <w:highlight w:val="none"/>
        </w:rPr>
        <w:t>扩建</w:t>
      </w:r>
      <w:r>
        <w:rPr>
          <w:rFonts w:ascii="Times New Roman" w:hAnsi="Times New Roman"/>
          <w:color w:val="auto"/>
          <w:highlight w:val="none"/>
        </w:rPr>
        <w:t>中，将对</w:t>
      </w:r>
      <w:r>
        <w:rPr>
          <w:rFonts w:hint="eastAsia" w:ascii="Times New Roman" w:hAnsi="Times New Roman"/>
          <w:color w:val="auto"/>
          <w:highlight w:val="none"/>
        </w:rPr>
        <w:t>新增的</w:t>
      </w:r>
      <w:r>
        <w:rPr>
          <w:rFonts w:ascii="Times New Roman" w:hAnsi="Times New Roman"/>
          <w:color w:val="auto"/>
          <w:highlight w:val="none"/>
        </w:rPr>
        <w:t>废气、废水污染防治措施进行设计，其规模合理性需要重点关注。</w:t>
      </w:r>
    </w:p>
    <w:p w14:paraId="2B7D10E0">
      <w:pPr>
        <w:spacing w:line="360" w:lineRule="auto"/>
        <w:ind w:left="-105" w:right="-105" w:firstLine="480" w:firstLineChars="200"/>
        <w:rPr>
          <w:rFonts w:ascii="Times New Roman" w:hAnsi="Times New Roman"/>
          <w:color w:val="auto"/>
          <w:highlight w:val="none"/>
        </w:rPr>
      </w:pPr>
      <w:r>
        <w:rPr>
          <w:rFonts w:ascii="Times New Roman" w:hAnsi="Times New Roman"/>
          <w:color w:val="auto"/>
          <w:highlight w:val="none"/>
        </w:rPr>
        <w:t>（3）随着国家危废名录的更新，本项目中危废需要进行梳理，并根据本次迁建引起的变化情况，分析论证暂存、处置的合理性。</w:t>
      </w:r>
    </w:p>
    <w:p w14:paraId="43FA5963">
      <w:pPr>
        <w:spacing w:line="360" w:lineRule="auto"/>
        <w:ind w:left="-105" w:right="-105" w:firstLine="480" w:firstLineChars="200"/>
        <w:rPr>
          <w:rFonts w:ascii="Times New Roman" w:hAnsi="Times New Roman"/>
          <w:color w:val="auto"/>
          <w:highlight w:val="none"/>
        </w:rPr>
      </w:pPr>
      <w:r>
        <w:rPr>
          <w:rFonts w:ascii="Times New Roman" w:hAnsi="Times New Roman"/>
          <w:color w:val="auto"/>
          <w:highlight w:val="none"/>
        </w:rPr>
        <w:t>（4）本项目化学品使用品类较多，其贮存过程的环境风险需要重点分析。</w:t>
      </w:r>
    </w:p>
    <w:p w14:paraId="06A0135E">
      <w:pPr>
        <w:spacing w:line="360" w:lineRule="auto"/>
        <w:ind w:left="-105" w:right="-105" w:firstLine="480" w:firstLineChars="200"/>
        <w:rPr>
          <w:rFonts w:ascii="Times New Roman" w:hAnsi="Times New Roman"/>
          <w:color w:val="auto"/>
          <w:highlight w:val="none"/>
        </w:rPr>
      </w:pPr>
      <w:r>
        <w:rPr>
          <w:rFonts w:ascii="Times New Roman" w:hAnsi="Times New Roman"/>
          <w:color w:val="auto"/>
          <w:highlight w:val="none"/>
        </w:rPr>
        <w:t>（5）本项目与区域环保规划、生态红线规划、园区规划及区域负面清单等符合性分析，将是本项目重点关注问题之一。</w:t>
      </w:r>
    </w:p>
    <w:p w14:paraId="05A1CD15">
      <w:pPr>
        <w:pStyle w:val="4"/>
        <w:spacing w:line="360" w:lineRule="auto"/>
        <w:ind w:left="-105" w:right="-105" w:firstLine="0"/>
        <w:rPr>
          <w:rFonts w:ascii="Times New Roman" w:eastAsia="宋体"/>
          <w:color w:val="auto"/>
          <w:sz w:val="28"/>
          <w:szCs w:val="28"/>
          <w:highlight w:val="none"/>
        </w:rPr>
      </w:pPr>
      <w:bookmarkStart w:id="43" w:name="_Toc12049"/>
      <w:bookmarkStart w:id="44" w:name="_Toc60653434"/>
      <w:r>
        <w:rPr>
          <w:rFonts w:ascii="Times New Roman" w:eastAsia="宋体"/>
          <w:color w:val="auto"/>
          <w:sz w:val="28"/>
          <w:szCs w:val="28"/>
          <w:highlight w:val="none"/>
        </w:rPr>
        <w:t>评价技术路线</w:t>
      </w:r>
      <w:bookmarkEnd w:id="43"/>
      <w:bookmarkEnd w:id="44"/>
    </w:p>
    <w:p w14:paraId="42589C6F">
      <w:pPr>
        <w:spacing w:line="360" w:lineRule="auto"/>
        <w:ind w:left="-105" w:right="-105" w:firstLine="480" w:firstLineChars="200"/>
        <w:rPr>
          <w:rFonts w:ascii="Times New Roman" w:hAnsi="Times New Roman"/>
          <w:color w:val="auto"/>
          <w:highlight w:val="none"/>
        </w:rPr>
      </w:pPr>
      <w:r>
        <w:rPr>
          <w:rFonts w:ascii="Times New Roman" w:hAnsi="Times New Roman"/>
          <w:color w:val="auto"/>
          <w:highlight w:val="none"/>
        </w:rPr>
        <w:t>根据《环境影响评价技术导则-总纲》（HJ 2.1-2016）等相关技术规范的要求，本项目环评影响评价的工作见图1.4-1。</w:t>
      </w:r>
    </w:p>
    <w:p w14:paraId="198E67E1">
      <w:pPr>
        <w:ind w:left="-105" w:right="-105"/>
        <w:rPr>
          <w:rFonts w:ascii="Times New Roman" w:hAnsi="Times New Roman"/>
          <w:color w:val="auto"/>
          <w:highlight w:val="none"/>
        </w:rPr>
      </w:pPr>
      <w:r>
        <w:rPr>
          <w:rFonts w:ascii="Times New Roman" w:hAnsi="Times New Roman"/>
          <w:color w:val="auto"/>
          <w:highlight w:val="none"/>
        </w:rPr>
        <w:br w:type="page"/>
      </w:r>
    </w:p>
    <w:p w14:paraId="6AE1FBE9">
      <w:pPr>
        <w:spacing w:line="360" w:lineRule="auto"/>
        <w:ind w:left="-105" w:right="-105" w:firstLine="480" w:firstLineChars="200"/>
        <w:rPr>
          <w:rFonts w:ascii="Times New Roman" w:hAnsi="Times New Roman"/>
          <w:color w:val="auto"/>
          <w:highlight w:val="none"/>
        </w:rPr>
      </w:pPr>
    </w:p>
    <w:p w14:paraId="2D933035">
      <w:pPr>
        <w:spacing w:line="360" w:lineRule="auto"/>
        <w:ind w:left="-105" w:right="-105" w:firstLine="480"/>
        <w:jc w:val="center"/>
        <w:rPr>
          <w:rFonts w:ascii="Times New Roman" w:hAnsi="Times New Roman"/>
          <w:color w:val="auto"/>
          <w:highlight w:val="none"/>
        </w:rPr>
      </w:pPr>
      <w:r>
        <w:rPr>
          <w:rFonts w:ascii="Times New Roman" w:hAnsi="Times New Roman"/>
          <w:color w:val="auto"/>
          <w:szCs w:val="22"/>
          <w:highlight w:val="none"/>
        </w:rPr>
        <mc:AlternateContent>
          <mc:Choice Requires="wpc">
            <w:drawing>
              <wp:anchor distT="0" distB="0" distL="114300" distR="114300" simplePos="0" relativeHeight="251660288" behindDoc="0" locked="0" layoutInCell="1" allowOverlap="1">
                <wp:simplePos x="0" y="0"/>
                <wp:positionH relativeFrom="margin">
                  <wp:posOffset>-57150</wp:posOffset>
                </wp:positionH>
                <wp:positionV relativeFrom="paragraph">
                  <wp:posOffset>32385</wp:posOffset>
                </wp:positionV>
                <wp:extent cx="5521325" cy="7086600"/>
                <wp:effectExtent l="0" t="0" r="41275" b="19685"/>
                <wp:wrapNone/>
                <wp:docPr id="517" name="画布 739"/>
                <wp:cNvGraphicFramePr/>
                <a:graphic xmlns:a="http://schemas.openxmlformats.org/drawingml/2006/main">
                  <a:graphicData uri="http://schemas.microsoft.com/office/word/2010/wordprocessingCanvas">
                    <wpc:wpc>
                      <wpc:bg>
                        <a:noFill/>
                      </wpc:bg>
                      <wpc:whole>
                        <a:ln w="6350" cap="flat" cmpd="sng" algn="ctr">
                          <a:solidFill>
                            <a:srgbClr val="000000"/>
                          </a:solidFill>
                          <a:prstDash val="solid"/>
                          <a:miter lim="800000"/>
                          <a:headEnd type="none" w="med" len="med"/>
                          <a:tailEnd type="none" w="med" len="med"/>
                        </a:ln>
                      </wpc:whole>
                      <wps:wsp>
                        <wps:cNvPr id="899" name="文本框 744"/>
                        <wps:cNvSpPr txBox="1">
                          <a:spLocks noChangeArrowheads="1"/>
                        </wps:cNvSpPr>
                        <wps:spPr bwMode="auto">
                          <a:xfrm>
                            <a:off x="1334130" y="25313"/>
                            <a:ext cx="2772265" cy="251070"/>
                          </a:xfrm>
                          <a:prstGeom prst="rect">
                            <a:avLst/>
                          </a:prstGeom>
                          <a:solidFill>
                            <a:srgbClr val="FFFFFF"/>
                          </a:solidFill>
                          <a:ln w="6350">
                            <a:solidFill>
                              <a:srgbClr val="000000"/>
                            </a:solidFill>
                            <a:miter lim="800000"/>
                          </a:ln>
                        </wps:spPr>
                        <wps:txbx>
                          <w:txbxContent>
                            <w:p w14:paraId="68CE80A8">
                              <w:pPr>
                                <w:adjustRightInd w:val="0"/>
                                <w:snapToGrid w:val="0"/>
                                <w:jc w:val="center"/>
                                <w:rPr>
                                  <w:rFonts w:eastAsia="仿宋"/>
                                  <w:sz w:val="21"/>
                                  <w:szCs w:val="21"/>
                                </w:rPr>
                              </w:pPr>
                              <w:r>
                                <w:rPr>
                                  <w:rFonts w:eastAsia="仿宋"/>
                                  <w:sz w:val="21"/>
                                  <w:szCs w:val="21"/>
                                </w:rPr>
                                <w:t>依据相关规定确定环境影响评价文件类型</w:t>
                              </w:r>
                            </w:p>
                          </w:txbxContent>
                        </wps:txbx>
                        <wps:bodyPr rot="0" vert="horz" wrap="square" lIns="72000" tIns="36000" rIns="72000" bIns="36000" anchor="ctr" anchorCtr="0" upright="1">
                          <a:spAutoFit/>
                        </wps:bodyPr>
                      </wps:wsp>
                      <wps:wsp>
                        <wps:cNvPr id="900" name="文本框 640"/>
                        <wps:cNvSpPr txBox="1">
                          <a:spLocks noChangeArrowheads="1"/>
                        </wps:cNvSpPr>
                        <wps:spPr bwMode="auto">
                          <a:xfrm>
                            <a:off x="1407132" y="707944"/>
                            <a:ext cx="2694160" cy="597145"/>
                          </a:xfrm>
                          <a:prstGeom prst="rect">
                            <a:avLst/>
                          </a:prstGeom>
                          <a:solidFill>
                            <a:srgbClr val="FFFFFF"/>
                          </a:solidFill>
                          <a:ln w="6350">
                            <a:solidFill>
                              <a:srgbClr val="000000"/>
                            </a:solidFill>
                            <a:miter lim="800000"/>
                          </a:ln>
                        </wps:spPr>
                        <wps:txbx>
                          <w:txbxContent>
                            <w:p w14:paraId="01F633CD">
                              <w:pPr>
                                <w:adjustRightInd w:val="0"/>
                                <w:snapToGrid w:val="0"/>
                                <w:rPr>
                                  <w:rFonts w:eastAsia="仿宋"/>
                                  <w:sz w:val="21"/>
                                  <w:szCs w:val="21"/>
                                </w:rPr>
                              </w:pPr>
                              <w:r>
                                <w:rPr>
                                  <w:rFonts w:eastAsia="仿宋"/>
                                  <w:sz w:val="21"/>
                                  <w:szCs w:val="21"/>
                                </w:rPr>
                                <w:t>1研究相关技术文件和其他有关文件</w:t>
                              </w:r>
                            </w:p>
                            <w:p w14:paraId="723C780E">
                              <w:pPr>
                                <w:adjustRightInd w:val="0"/>
                                <w:snapToGrid w:val="0"/>
                                <w:rPr>
                                  <w:rFonts w:eastAsia="仿宋"/>
                                  <w:sz w:val="21"/>
                                  <w:szCs w:val="21"/>
                                </w:rPr>
                              </w:pPr>
                              <w:r>
                                <w:rPr>
                                  <w:rFonts w:eastAsia="仿宋"/>
                                  <w:sz w:val="21"/>
                                  <w:szCs w:val="21"/>
                                </w:rPr>
                                <w:t>2进行初步工程分析</w:t>
                              </w:r>
                            </w:p>
                            <w:p w14:paraId="237E52A0">
                              <w:pPr>
                                <w:adjustRightInd w:val="0"/>
                                <w:snapToGrid w:val="0"/>
                                <w:rPr>
                                  <w:rFonts w:eastAsia="仿宋"/>
                                  <w:sz w:val="21"/>
                                  <w:szCs w:val="21"/>
                                </w:rPr>
                              </w:pPr>
                              <w:r>
                                <w:rPr>
                                  <w:rFonts w:eastAsia="仿宋"/>
                                  <w:sz w:val="21"/>
                                  <w:szCs w:val="21"/>
                                </w:rPr>
                                <w:t>3开展初步的环境影响现状调查</w:t>
                              </w:r>
                            </w:p>
                          </w:txbxContent>
                        </wps:txbx>
                        <wps:bodyPr rot="0" vert="horz" wrap="square" lIns="72000" tIns="36000" rIns="72000" bIns="36000" anchor="ctr" anchorCtr="0" upright="1">
                          <a:spAutoFit/>
                        </wps:bodyPr>
                      </wps:wsp>
                      <wps:wsp>
                        <wps:cNvPr id="901" name="文本框 641"/>
                        <wps:cNvSpPr txBox="1">
                          <a:spLocks noChangeArrowheads="1"/>
                        </wps:cNvSpPr>
                        <wps:spPr bwMode="auto">
                          <a:xfrm>
                            <a:off x="1407132" y="1722487"/>
                            <a:ext cx="2616690" cy="597145"/>
                          </a:xfrm>
                          <a:prstGeom prst="rect">
                            <a:avLst/>
                          </a:prstGeom>
                          <a:solidFill>
                            <a:srgbClr val="FFFFFF"/>
                          </a:solidFill>
                          <a:ln w="6350">
                            <a:solidFill>
                              <a:srgbClr val="000000"/>
                            </a:solidFill>
                            <a:miter lim="800000"/>
                          </a:ln>
                        </wps:spPr>
                        <wps:txbx>
                          <w:txbxContent>
                            <w:p w14:paraId="07AB80FE">
                              <w:pPr>
                                <w:adjustRightInd w:val="0"/>
                                <w:snapToGrid w:val="0"/>
                                <w:jc w:val="center"/>
                                <w:rPr>
                                  <w:rFonts w:eastAsia="仿宋"/>
                                  <w:sz w:val="21"/>
                                  <w:szCs w:val="21"/>
                                </w:rPr>
                              </w:pPr>
                              <w:r>
                                <w:rPr>
                                  <w:rFonts w:eastAsia="仿宋"/>
                                  <w:sz w:val="21"/>
                                  <w:szCs w:val="21"/>
                                </w:rPr>
                                <w:t>1环境影响识别和评价因子筛选</w:t>
                              </w:r>
                            </w:p>
                            <w:p w14:paraId="0202DC8A">
                              <w:pPr>
                                <w:adjustRightInd w:val="0"/>
                                <w:snapToGrid w:val="0"/>
                                <w:jc w:val="center"/>
                                <w:rPr>
                                  <w:rFonts w:eastAsia="仿宋"/>
                                  <w:sz w:val="21"/>
                                  <w:szCs w:val="21"/>
                                </w:rPr>
                              </w:pPr>
                              <w:r>
                                <w:rPr>
                                  <w:rFonts w:eastAsia="仿宋"/>
                                  <w:sz w:val="21"/>
                                  <w:szCs w:val="21"/>
                                </w:rPr>
                                <w:t>2明确评价重点和环境保护目标</w:t>
                              </w:r>
                            </w:p>
                            <w:p w14:paraId="1B9614B3">
                              <w:pPr>
                                <w:adjustRightInd w:val="0"/>
                                <w:snapToGrid w:val="0"/>
                                <w:jc w:val="center"/>
                                <w:rPr>
                                  <w:rFonts w:eastAsia="仿宋"/>
                                  <w:sz w:val="21"/>
                                  <w:szCs w:val="21"/>
                                </w:rPr>
                              </w:pPr>
                              <w:r>
                                <w:rPr>
                                  <w:rFonts w:eastAsia="仿宋"/>
                                  <w:sz w:val="21"/>
                                  <w:szCs w:val="21"/>
                                </w:rPr>
                                <w:t>3确定工作等级、评价范围和评价标准</w:t>
                              </w:r>
                            </w:p>
                          </w:txbxContent>
                        </wps:txbx>
                        <wps:bodyPr rot="0" vert="horz" wrap="square" lIns="72000" tIns="36000" rIns="72000" bIns="36000" anchor="ctr" anchorCtr="0" upright="1">
                          <a:spAutoFit/>
                        </wps:bodyPr>
                      </wps:wsp>
                      <wps:wsp>
                        <wps:cNvPr id="902" name="文本框 644"/>
                        <wps:cNvSpPr txBox="1">
                          <a:spLocks noChangeArrowheads="1"/>
                        </wps:cNvSpPr>
                        <wps:spPr bwMode="auto">
                          <a:xfrm>
                            <a:off x="2069447" y="2734195"/>
                            <a:ext cx="1328910" cy="251070"/>
                          </a:xfrm>
                          <a:prstGeom prst="rect">
                            <a:avLst/>
                          </a:prstGeom>
                          <a:solidFill>
                            <a:srgbClr val="FFFFFF"/>
                          </a:solidFill>
                          <a:ln w="6350">
                            <a:solidFill>
                              <a:srgbClr val="000000"/>
                            </a:solidFill>
                            <a:miter lim="800000"/>
                          </a:ln>
                        </wps:spPr>
                        <wps:txbx>
                          <w:txbxContent>
                            <w:p w14:paraId="1520D657">
                              <w:pPr>
                                <w:adjustRightInd w:val="0"/>
                                <w:snapToGrid w:val="0"/>
                                <w:jc w:val="center"/>
                                <w:rPr>
                                  <w:rFonts w:eastAsia="仿宋"/>
                                  <w:sz w:val="21"/>
                                  <w:szCs w:val="21"/>
                                </w:rPr>
                              </w:pPr>
                              <w:r>
                                <w:rPr>
                                  <w:rFonts w:eastAsia="仿宋"/>
                                  <w:sz w:val="21"/>
                                  <w:szCs w:val="21"/>
                                </w:rPr>
                                <w:t>制定工作方案</w:t>
                              </w:r>
                            </w:p>
                          </w:txbxContent>
                        </wps:txbx>
                        <wps:bodyPr rot="0" vert="horz" wrap="square" lIns="72000" tIns="36000" rIns="72000" bIns="36000" anchor="ctr" anchorCtr="0" upright="1">
                          <a:spAutoFit/>
                        </wps:bodyPr>
                      </wps:wsp>
                      <wps:wsp>
                        <wps:cNvPr id="903" name="文本框 645"/>
                        <wps:cNvSpPr txBox="1">
                          <a:spLocks noChangeArrowheads="1"/>
                        </wps:cNvSpPr>
                        <wps:spPr bwMode="auto">
                          <a:xfrm>
                            <a:off x="1028723" y="3495398"/>
                            <a:ext cx="1216515" cy="424425"/>
                          </a:xfrm>
                          <a:prstGeom prst="rect">
                            <a:avLst/>
                          </a:prstGeom>
                          <a:solidFill>
                            <a:srgbClr val="FFFFFF"/>
                          </a:solidFill>
                          <a:ln w="6350">
                            <a:solidFill>
                              <a:srgbClr val="000000"/>
                            </a:solidFill>
                            <a:miter lim="800000"/>
                          </a:ln>
                        </wps:spPr>
                        <wps:txbx>
                          <w:txbxContent>
                            <w:p w14:paraId="28A66B8D">
                              <w:pPr>
                                <w:adjustRightInd w:val="0"/>
                                <w:snapToGrid w:val="0"/>
                                <w:jc w:val="center"/>
                                <w:rPr>
                                  <w:rFonts w:eastAsia="仿宋"/>
                                  <w:sz w:val="21"/>
                                  <w:szCs w:val="21"/>
                                </w:rPr>
                              </w:pPr>
                              <w:r>
                                <w:rPr>
                                  <w:rFonts w:eastAsia="仿宋"/>
                                  <w:sz w:val="21"/>
                                  <w:szCs w:val="21"/>
                                </w:rPr>
                                <w:t>环境现状调查</w:t>
                              </w:r>
                            </w:p>
                            <w:p w14:paraId="3D599DE1">
                              <w:pPr>
                                <w:adjustRightInd w:val="0"/>
                                <w:snapToGrid w:val="0"/>
                                <w:jc w:val="center"/>
                                <w:rPr>
                                  <w:rFonts w:eastAsia="仿宋"/>
                                  <w:sz w:val="21"/>
                                  <w:szCs w:val="21"/>
                                </w:rPr>
                              </w:pPr>
                              <w:r>
                                <w:rPr>
                                  <w:rFonts w:eastAsia="仿宋"/>
                                  <w:sz w:val="21"/>
                                  <w:szCs w:val="21"/>
                                </w:rPr>
                                <w:t>监测与评价</w:t>
                              </w:r>
                            </w:p>
                          </w:txbxContent>
                        </wps:txbx>
                        <wps:bodyPr rot="0" vert="horz" wrap="square" lIns="72000" tIns="36000" rIns="72000" bIns="36000" anchor="ctr" anchorCtr="0" upright="1">
                          <a:spAutoFit/>
                        </wps:bodyPr>
                      </wps:wsp>
                      <wps:wsp>
                        <wps:cNvPr id="904" name="文本框 646"/>
                        <wps:cNvSpPr txBox="1">
                          <a:spLocks noChangeArrowheads="1"/>
                        </wps:cNvSpPr>
                        <wps:spPr bwMode="auto">
                          <a:xfrm>
                            <a:off x="3500179" y="3495298"/>
                            <a:ext cx="777095" cy="424425"/>
                          </a:xfrm>
                          <a:prstGeom prst="rect">
                            <a:avLst/>
                          </a:prstGeom>
                          <a:solidFill>
                            <a:srgbClr val="FFFFFF"/>
                          </a:solidFill>
                          <a:ln w="6350">
                            <a:solidFill>
                              <a:srgbClr val="000000"/>
                            </a:solidFill>
                            <a:miter lim="800000"/>
                          </a:ln>
                        </wps:spPr>
                        <wps:txbx>
                          <w:txbxContent>
                            <w:p w14:paraId="3B0B5919">
                              <w:pPr>
                                <w:adjustRightInd w:val="0"/>
                                <w:snapToGrid w:val="0"/>
                                <w:jc w:val="center"/>
                                <w:rPr>
                                  <w:rFonts w:eastAsia="仿宋"/>
                                  <w:sz w:val="21"/>
                                  <w:szCs w:val="21"/>
                                </w:rPr>
                              </w:pPr>
                              <w:r>
                                <w:rPr>
                                  <w:rFonts w:eastAsia="仿宋"/>
                                  <w:sz w:val="21"/>
                                  <w:szCs w:val="21"/>
                                </w:rPr>
                                <w:t>建设项目工程分析</w:t>
                              </w:r>
                            </w:p>
                          </w:txbxContent>
                        </wps:txbx>
                        <wps:bodyPr rot="0" vert="horz" wrap="square" lIns="72000" tIns="36000" rIns="72000" bIns="36000" anchor="ctr" anchorCtr="0" upright="1">
                          <a:spAutoFit/>
                        </wps:bodyPr>
                      </wps:wsp>
                      <wps:wsp>
                        <wps:cNvPr id="905" name="文本框 647"/>
                        <wps:cNvSpPr txBox="1">
                          <a:spLocks noChangeArrowheads="1"/>
                        </wps:cNvSpPr>
                        <wps:spPr bwMode="auto">
                          <a:xfrm>
                            <a:off x="1623737" y="4547325"/>
                            <a:ext cx="2339830" cy="424425"/>
                          </a:xfrm>
                          <a:prstGeom prst="rect">
                            <a:avLst/>
                          </a:prstGeom>
                          <a:solidFill>
                            <a:srgbClr val="FFFFFF"/>
                          </a:solidFill>
                          <a:ln w="6350">
                            <a:solidFill>
                              <a:srgbClr val="000000"/>
                            </a:solidFill>
                            <a:miter lim="800000"/>
                          </a:ln>
                        </wps:spPr>
                        <wps:txbx>
                          <w:txbxContent>
                            <w:p w14:paraId="13AAAA88">
                              <w:pPr>
                                <w:adjustRightInd w:val="0"/>
                                <w:snapToGrid w:val="0"/>
                                <w:rPr>
                                  <w:rFonts w:eastAsia="仿宋"/>
                                  <w:sz w:val="21"/>
                                  <w:szCs w:val="21"/>
                                </w:rPr>
                              </w:pPr>
                              <w:r>
                                <w:rPr>
                                  <w:rFonts w:eastAsia="仿宋"/>
                                  <w:sz w:val="21"/>
                                  <w:szCs w:val="21"/>
                                </w:rPr>
                                <w:t>1各环境要素环境影响预测与评价</w:t>
                              </w:r>
                            </w:p>
                            <w:p w14:paraId="253FE1E5">
                              <w:pPr>
                                <w:adjustRightInd w:val="0"/>
                                <w:snapToGrid w:val="0"/>
                                <w:rPr>
                                  <w:rFonts w:eastAsia="仿宋"/>
                                  <w:sz w:val="21"/>
                                  <w:szCs w:val="21"/>
                                </w:rPr>
                              </w:pPr>
                              <w:r>
                                <w:rPr>
                                  <w:rFonts w:eastAsia="仿宋"/>
                                  <w:sz w:val="21"/>
                                  <w:szCs w:val="21"/>
                                </w:rPr>
                                <w:t>2各专项环境影响分析与评价</w:t>
                              </w:r>
                            </w:p>
                          </w:txbxContent>
                        </wps:txbx>
                        <wps:bodyPr rot="0" vert="horz" wrap="square" lIns="72000" tIns="36000" rIns="72000" bIns="36000" anchor="ctr" anchorCtr="0" upright="1">
                          <a:spAutoFit/>
                        </wps:bodyPr>
                      </wps:wsp>
                      <wps:wsp>
                        <wps:cNvPr id="906" name="文本框 648"/>
                        <wps:cNvSpPr txBox="1">
                          <a:spLocks noChangeArrowheads="1"/>
                        </wps:cNvSpPr>
                        <wps:spPr bwMode="auto">
                          <a:xfrm>
                            <a:off x="1334130" y="5391016"/>
                            <a:ext cx="2913870" cy="597145"/>
                          </a:xfrm>
                          <a:prstGeom prst="rect">
                            <a:avLst/>
                          </a:prstGeom>
                          <a:solidFill>
                            <a:srgbClr val="FFFFFF"/>
                          </a:solidFill>
                          <a:ln w="6350">
                            <a:solidFill>
                              <a:srgbClr val="000000"/>
                            </a:solidFill>
                            <a:miter lim="800000"/>
                          </a:ln>
                        </wps:spPr>
                        <wps:txbx>
                          <w:txbxContent>
                            <w:p w14:paraId="1572A4BB">
                              <w:pPr>
                                <w:adjustRightInd w:val="0"/>
                                <w:snapToGrid w:val="0"/>
                                <w:rPr>
                                  <w:rFonts w:eastAsia="仿宋"/>
                                  <w:sz w:val="21"/>
                                  <w:szCs w:val="21"/>
                                </w:rPr>
                              </w:pPr>
                              <w:r>
                                <w:rPr>
                                  <w:rFonts w:eastAsia="仿宋"/>
                                  <w:sz w:val="21"/>
                                  <w:szCs w:val="21"/>
                                </w:rPr>
                                <w:t>1提出环境保护措施，进行技术经济论证</w:t>
                              </w:r>
                            </w:p>
                            <w:p w14:paraId="7D78CDD9">
                              <w:pPr>
                                <w:adjustRightInd w:val="0"/>
                                <w:snapToGrid w:val="0"/>
                                <w:rPr>
                                  <w:rFonts w:eastAsia="仿宋"/>
                                  <w:sz w:val="21"/>
                                  <w:szCs w:val="21"/>
                                </w:rPr>
                              </w:pPr>
                              <w:r>
                                <w:rPr>
                                  <w:rFonts w:eastAsia="仿宋"/>
                                  <w:sz w:val="21"/>
                                  <w:szCs w:val="21"/>
                                </w:rPr>
                                <w:t>2给出污染物排放清单</w:t>
                              </w:r>
                            </w:p>
                            <w:p w14:paraId="70C97162">
                              <w:pPr>
                                <w:adjustRightInd w:val="0"/>
                                <w:snapToGrid w:val="0"/>
                                <w:rPr>
                                  <w:rFonts w:eastAsia="仿宋"/>
                                  <w:sz w:val="21"/>
                                  <w:szCs w:val="21"/>
                                </w:rPr>
                              </w:pPr>
                              <w:r>
                                <w:rPr>
                                  <w:rFonts w:eastAsia="仿宋"/>
                                  <w:sz w:val="21"/>
                                  <w:szCs w:val="21"/>
                                </w:rPr>
                                <w:t>3给出建设项目环境影响评价结论</w:t>
                              </w:r>
                            </w:p>
                          </w:txbxContent>
                        </wps:txbx>
                        <wps:bodyPr rot="0" vert="horz" wrap="square" lIns="72000" tIns="36000" rIns="72000" bIns="36000" anchor="ctr" anchorCtr="0" upright="1">
                          <a:spAutoFit/>
                        </wps:bodyPr>
                      </wps:wsp>
                      <wps:wsp>
                        <wps:cNvPr id="907" name="文本框 649"/>
                        <wps:cNvSpPr txBox="1">
                          <a:spLocks noChangeArrowheads="1"/>
                        </wps:cNvSpPr>
                        <wps:spPr bwMode="auto">
                          <a:xfrm>
                            <a:off x="1953944" y="6402956"/>
                            <a:ext cx="1743565" cy="251070"/>
                          </a:xfrm>
                          <a:prstGeom prst="rect">
                            <a:avLst/>
                          </a:prstGeom>
                          <a:solidFill>
                            <a:srgbClr val="FFFFFF"/>
                          </a:solidFill>
                          <a:ln w="6350">
                            <a:solidFill>
                              <a:srgbClr val="000000"/>
                            </a:solidFill>
                            <a:miter lim="800000"/>
                          </a:ln>
                        </wps:spPr>
                        <wps:txbx>
                          <w:txbxContent>
                            <w:p w14:paraId="28E71C8C">
                              <w:pPr>
                                <w:adjustRightInd w:val="0"/>
                                <w:snapToGrid w:val="0"/>
                                <w:jc w:val="center"/>
                                <w:rPr>
                                  <w:rFonts w:eastAsia="仿宋"/>
                                  <w:sz w:val="21"/>
                                  <w:szCs w:val="21"/>
                                </w:rPr>
                              </w:pPr>
                              <w:r>
                                <w:rPr>
                                  <w:rFonts w:eastAsia="仿宋"/>
                                  <w:sz w:val="21"/>
                                  <w:szCs w:val="21"/>
                                </w:rPr>
                                <w:t>编制环境影响报告书</w:t>
                              </w:r>
                            </w:p>
                          </w:txbxContent>
                        </wps:txbx>
                        <wps:bodyPr rot="0" vert="horz" wrap="square" lIns="72000" tIns="36000" rIns="72000" bIns="36000" anchor="ctr" anchorCtr="0" upright="1">
                          <a:spAutoFit/>
                        </wps:bodyPr>
                      </wps:wsp>
                      <wps:wsp>
                        <wps:cNvPr id="908" name="直接箭头连接符 746"/>
                        <wps:cNvCnPr>
                          <a:cxnSpLocks noChangeShapeType="1"/>
                        </wps:cNvCnPr>
                        <wps:spPr bwMode="auto">
                          <a:xfrm>
                            <a:off x="2737562" y="277101"/>
                            <a:ext cx="0" cy="432002"/>
                          </a:xfrm>
                          <a:prstGeom prst="straightConnector1">
                            <a:avLst/>
                          </a:prstGeom>
                          <a:noFill/>
                          <a:ln w="3175">
                            <a:solidFill>
                              <a:srgbClr val="000000"/>
                            </a:solidFill>
                            <a:miter lim="800000"/>
                            <a:tailEnd type="stealth" w="med" len="lg"/>
                          </a:ln>
                        </wps:spPr>
                        <wps:bodyPr/>
                      </wps:wsp>
                      <wps:wsp>
                        <wps:cNvPr id="909" name="直接箭头连接符 650"/>
                        <wps:cNvCnPr>
                          <a:cxnSpLocks noChangeShapeType="1"/>
                        </wps:cNvCnPr>
                        <wps:spPr bwMode="auto">
                          <a:xfrm flipH="1">
                            <a:off x="2732462" y="1305605"/>
                            <a:ext cx="100" cy="421002"/>
                          </a:xfrm>
                          <a:prstGeom prst="straightConnector1">
                            <a:avLst/>
                          </a:prstGeom>
                          <a:noFill/>
                          <a:ln w="3175">
                            <a:solidFill>
                              <a:srgbClr val="000000"/>
                            </a:solidFill>
                            <a:miter lim="800000"/>
                            <a:tailEnd type="stealth" w="med" len="lg"/>
                          </a:ln>
                        </wps:spPr>
                        <wps:bodyPr/>
                      </wps:wsp>
                      <wps:wsp>
                        <wps:cNvPr id="910" name="直接箭头连接符 652"/>
                        <wps:cNvCnPr>
                          <a:cxnSpLocks noChangeShapeType="1"/>
                        </wps:cNvCnPr>
                        <wps:spPr bwMode="auto">
                          <a:xfrm>
                            <a:off x="2730562" y="2324108"/>
                            <a:ext cx="1900" cy="415302"/>
                          </a:xfrm>
                          <a:prstGeom prst="straightConnector1">
                            <a:avLst/>
                          </a:prstGeom>
                          <a:noFill/>
                          <a:ln w="3175">
                            <a:solidFill>
                              <a:srgbClr val="000000"/>
                            </a:solidFill>
                            <a:miter lim="800000"/>
                            <a:tailEnd type="stealth" w="med" len="lg"/>
                          </a:ln>
                        </wps:spPr>
                        <wps:bodyPr/>
                      </wps:wsp>
                      <wps:wsp>
                        <wps:cNvPr id="911" name="肘形连接符 748"/>
                        <wps:cNvCnPr>
                          <a:cxnSpLocks noChangeShapeType="1"/>
                        </wps:cNvCnPr>
                        <wps:spPr bwMode="auto">
                          <a:xfrm rot="5400000" flipH="1" flipV="1">
                            <a:off x="2757863" y="2355787"/>
                            <a:ext cx="14600" cy="2282852"/>
                          </a:xfrm>
                          <a:prstGeom prst="bentConnector3">
                            <a:avLst>
                              <a:gd name="adj1" fmla="val 1662648"/>
                            </a:avLst>
                          </a:prstGeom>
                          <a:noFill/>
                          <a:ln w="6350">
                            <a:solidFill>
                              <a:srgbClr val="000000"/>
                            </a:solidFill>
                            <a:miter lim="800000"/>
                          </a:ln>
                        </wps:spPr>
                        <wps:bodyPr/>
                      </wps:wsp>
                      <wps:wsp>
                        <wps:cNvPr id="912" name="肘形连接符 749"/>
                        <wps:cNvCnPr>
                          <a:cxnSpLocks noChangeShapeType="1"/>
                        </wps:cNvCnPr>
                        <wps:spPr bwMode="auto">
                          <a:xfrm rot="5400000" flipH="1" flipV="1">
                            <a:off x="2757863" y="2773688"/>
                            <a:ext cx="14600" cy="2282852"/>
                          </a:xfrm>
                          <a:prstGeom prst="bentConnector3">
                            <a:avLst>
                              <a:gd name="adj1" fmla="val -1562648"/>
                            </a:avLst>
                          </a:prstGeom>
                          <a:noFill/>
                          <a:ln w="6350">
                            <a:solidFill>
                              <a:srgbClr val="000000"/>
                            </a:solidFill>
                            <a:miter lim="800000"/>
                          </a:ln>
                        </wps:spPr>
                        <wps:bodyPr/>
                      </wps:wsp>
                      <wps:wsp>
                        <wps:cNvPr id="913" name="直接箭头连接符 654"/>
                        <wps:cNvCnPr>
                          <a:cxnSpLocks noChangeShapeType="1"/>
                        </wps:cNvCnPr>
                        <wps:spPr bwMode="auto">
                          <a:xfrm>
                            <a:off x="2730562" y="2990811"/>
                            <a:ext cx="100" cy="269901"/>
                          </a:xfrm>
                          <a:prstGeom prst="straightConnector1">
                            <a:avLst/>
                          </a:prstGeom>
                          <a:noFill/>
                          <a:ln w="3175">
                            <a:solidFill>
                              <a:srgbClr val="000000"/>
                            </a:solidFill>
                            <a:miter lim="800000"/>
                            <a:tailEnd type="stealth" w="med" len="lg"/>
                          </a:ln>
                        </wps:spPr>
                        <wps:bodyPr/>
                      </wps:wsp>
                      <wps:wsp>
                        <wps:cNvPr id="914" name="直接箭头连接符 656"/>
                        <wps:cNvCnPr>
                          <a:cxnSpLocks noChangeShapeType="1"/>
                        </wps:cNvCnPr>
                        <wps:spPr bwMode="auto">
                          <a:xfrm>
                            <a:off x="2821364" y="4145215"/>
                            <a:ext cx="100" cy="414102"/>
                          </a:xfrm>
                          <a:prstGeom prst="straightConnector1">
                            <a:avLst/>
                          </a:prstGeom>
                          <a:noFill/>
                          <a:ln w="3175">
                            <a:solidFill>
                              <a:srgbClr val="000000"/>
                            </a:solidFill>
                            <a:miter lim="800000"/>
                            <a:tailEnd type="stealth" w="med" len="lg"/>
                          </a:ln>
                        </wps:spPr>
                        <wps:bodyPr/>
                      </wps:wsp>
                      <wps:wsp>
                        <wps:cNvPr id="915" name="直接箭头连接符 657"/>
                        <wps:cNvCnPr>
                          <a:cxnSpLocks noChangeShapeType="1"/>
                        </wps:cNvCnPr>
                        <wps:spPr bwMode="auto">
                          <a:xfrm>
                            <a:off x="2819464" y="4984118"/>
                            <a:ext cx="1900" cy="417202"/>
                          </a:xfrm>
                          <a:prstGeom prst="straightConnector1">
                            <a:avLst/>
                          </a:prstGeom>
                          <a:noFill/>
                          <a:ln w="3175">
                            <a:solidFill>
                              <a:srgbClr val="000000"/>
                            </a:solidFill>
                            <a:miter lim="800000"/>
                            <a:tailEnd type="stealth" w="med" len="lg"/>
                          </a:ln>
                        </wps:spPr>
                        <wps:bodyPr/>
                      </wps:wsp>
                      <wps:wsp>
                        <wps:cNvPr id="916" name="直接箭头连接符 658"/>
                        <wps:cNvCnPr>
                          <a:cxnSpLocks noChangeShapeType="1"/>
                        </wps:cNvCnPr>
                        <wps:spPr bwMode="auto">
                          <a:xfrm flipH="1">
                            <a:off x="2887365" y="5998822"/>
                            <a:ext cx="1900" cy="416602"/>
                          </a:xfrm>
                          <a:prstGeom prst="straightConnector1">
                            <a:avLst/>
                          </a:prstGeom>
                          <a:noFill/>
                          <a:ln w="3175">
                            <a:solidFill>
                              <a:srgbClr val="000000"/>
                            </a:solidFill>
                            <a:miter lim="800000"/>
                            <a:tailEnd type="stealth" w="med" len="lg"/>
                          </a:ln>
                        </wps:spPr>
                        <wps:bodyPr/>
                      </wps:wsp>
                      <wps:wsp>
                        <wps:cNvPr id="917" name="直接连接符 751"/>
                        <wps:cNvCnPr>
                          <a:cxnSpLocks noChangeShapeType="1"/>
                        </wps:cNvCnPr>
                        <wps:spPr bwMode="auto">
                          <a:xfrm>
                            <a:off x="11400" y="3075311"/>
                            <a:ext cx="5509925" cy="100"/>
                          </a:xfrm>
                          <a:prstGeom prst="line">
                            <a:avLst/>
                          </a:prstGeom>
                          <a:noFill/>
                          <a:ln w="6350">
                            <a:solidFill>
                              <a:srgbClr val="000000"/>
                            </a:solidFill>
                            <a:prstDash val="dash"/>
                            <a:miter lim="800000"/>
                          </a:ln>
                        </wps:spPr>
                        <wps:bodyPr/>
                      </wps:wsp>
                      <wps:wsp>
                        <wps:cNvPr id="918" name="直接连接符 660"/>
                        <wps:cNvCnPr>
                          <a:cxnSpLocks noChangeShapeType="1"/>
                        </wps:cNvCnPr>
                        <wps:spPr bwMode="auto">
                          <a:xfrm>
                            <a:off x="0" y="5132719"/>
                            <a:ext cx="5509925" cy="100"/>
                          </a:xfrm>
                          <a:prstGeom prst="line">
                            <a:avLst/>
                          </a:prstGeom>
                          <a:noFill/>
                          <a:ln w="6350">
                            <a:solidFill>
                              <a:srgbClr val="000000"/>
                            </a:solidFill>
                            <a:prstDash val="dash"/>
                            <a:miter lim="800000"/>
                          </a:ln>
                        </wps:spPr>
                        <wps:bodyPr/>
                      </wps:wsp>
                      <wps:wsp>
                        <wps:cNvPr id="736" name="文本框 662"/>
                        <wps:cNvSpPr txBox="1">
                          <a:spLocks noChangeArrowheads="1"/>
                        </wps:cNvSpPr>
                        <wps:spPr bwMode="auto">
                          <a:xfrm>
                            <a:off x="130803" y="942303"/>
                            <a:ext cx="307307" cy="1254805"/>
                          </a:xfrm>
                          <a:prstGeom prst="rect">
                            <a:avLst/>
                          </a:prstGeom>
                          <a:noFill/>
                          <a:ln>
                            <a:noFill/>
                          </a:ln>
                        </wps:spPr>
                        <wps:txbx>
                          <w:txbxContent>
                            <w:p w14:paraId="3FEA602A">
                              <w:pPr>
                                <w:adjustRightInd w:val="0"/>
                                <w:snapToGrid w:val="0"/>
                                <w:jc w:val="center"/>
                                <w:rPr>
                                  <w:rFonts w:eastAsia="仿宋"/>
                                  <w:sz w:val="21"/>
                                  <w:szCs w:val="21"/>
                                </w:rPr>
                              </w:pPr>
                              <w:r>
                                <w:rPr>
                                  <w:rFonts w:eastAsia="仿宋"/>
                                  <w:sz w:val="21"/>
                                  <w:szCs w:val="21"/>
                                </w:rPr>
                                <w:t>第一阶段</w:t>
                              </w:r>
                            </w:p>
                          </w:txbxContent>
                        </wps:txbx>
                        <wps:bodyPr rot="0" vert="eaVert" wrap="square" lIns="72000" tIns="36000" rIns="72000" bIns="36000" anchor="ctr" anchorCtr="0" upright="1">
                          <a:noAutofit/>
                        </wps:bodyPr>
                      </wps:wsp>
                      <wps:wsp>
                        <wps:cNvPr id="737" name="文本框 663"/>
                        <wps:cNvSpPr txBox="1">
                          <a:spLocks noChangeArrowheads="1"/>
                        </wps:cNvSpPr>
                        <wps:spPr bwMode="auto">
                          <a:xfrm>
                            <a:off x="130803" y="3489913"/>
                            <a:ext cx="307307" cy="1254805"/>
                          </a:xfrm>
                          <a:prstGeom prst="rect">
                            <a:avLst/>
                          </a:prstGeom>
                          <a:noFill/>
                          <a:ln>
                            <a:noFill/>
                          </a:ln>
                        </wps:spPr>
                        <wps:txbx>
                          <w:txbxContent>
                            <w:p w14:paraId="14AB3B1F">
                              <w:pPr>
                                <w:adjustRightInd w:val="0"/>
                                <w:snapToGrid w:val="0"/>
                                <w:jc w:val="center"/>
                                <w:rPr>
                                  <w:rFonts w:eastAsia="仿宋"/>
                                  <w:sz w:val="21"/>
                                  <w:szCs w:val="21"/>
                                </w:rPr>
                              </w:pPr>
                              <w:r>
                                <w:rPr>
                                  <w:rFonts w:eastAsia="仿宋"/>
                                  <w:sz w:val="21"/>
                                  <w:szCs w:val="21"/>
                                </w:rPr>
                                <w:t>第二阶段</w:t>
                              </w:r>
                            </w:p>
                          </w:txbxContent>
                        </wps:txbx>
                        <wps:bodyPr rot="0" vert="eaVert" wrap="square" lIns="72000" tIns="36000" rIns="72000" bIns="36000" anchor="ctr" anchorCtr="0" upright="1">
                          <a:noAutofit/>
                        </wps:bodyPr>
                      </wps:wsp>
                      <wps:wsp>
                        <wps:cNvPr id="738" name="文本框 664"/>
                        <wps:cNvSpPr txBox="1">
                          <a:spLocks noChangeArrowheads="1"/>
                        </wps:cNvSpPr>
                        <wps:spPr bwMode="auto">
                          <a:xfrm>
                            <a:off x="214605" y="5331419"/>
                            <a:ext cx="308007" cy="1254805"/>
                          </a:xfrm>
                          <a:prstGeom prst="rect">
                            <a:avLst/>
                          </a:prstGeom>
                          <a:noFill/>
                          <a:ln>
                            <a:noFill/>
                          </a:ln>
                        </wps:spPr>
                        <wps:txbx>
                          <w:txbxContent>
                            <w:p w14:paraId="65325BA1">
                              <w:pPr>
                                <w:adjustRightInd w:val="0"/>
                                <w:snapToGrid w:val="0"/>
                                <w:jc w:val="center"/>
                                <w:rPr>
                                  <w:rFonts w:eastAsia="仿宋"/>
                                  <w:sz w:val="21"/>
                                  <w:szCs w:val="21"/>
                                </w:rPr>
                              </w:pPr>
                              <w:r>
                                <w:rPr>
                                  <w:rFonts w:eastAsia="仿宋"/>
                                  <w:sz w:val="21"/>
                                  <w:szCs w:val="21"/>
                                </w:rPr>
                                <w:t>第三阶段</w:t>
                              </w:r>
                            </w:p>
                          </w:txbxContent>
                        </wps:txbx>
                        <wps:bodyPr rot="0" vert="eaVert" wrap="square" lIns="72000" tIns="36000" rIns="72000" bIns="36000" anchor="ctr" anchorCtr="0" upright="1">
                          <a:noAutofit/>
                        </wps:bodyPr>
                      </wps:wsp>
                    </wpc:wpc>
                  </a:graphicData>
                </a:graphic>
              </wp:anchor>
            </w:drawing>
          </mc:Choice>
          <mc:Fallback>
            <w:pict>
              <v:group id="画布 739" o:spid="_x0000_s1026" o:spt="203" style="position:absolute;left:0pt;margin-left:-4.5pt;margin-top:2.55pt;height:558pt;width:434.75pt;mso-position-horizontal-relative:margin;z-index:251660288;mso-width-relative:page;mso-height-relative:page;" coordsize="5521325,7086600" editas="canvas" o:gfxdata="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">
                <o:lock v:ext="edit" aspectratio="f"/>
                <v:shape id="画布 739" o:spid="_x0000_s1026" style="position:absolute;left:0;top:0;height:7086600;width:5521325;" filled="f" stroked="t" coordsize="21600,21600" o:gfxdata="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">
                  <v:fill on="f" focussize="0,0"/>
                  <v:stroke weight="0.5pt" color="#000000" miterlimit="8" joinstyle="miter"/>
                  <v:imagedata o:title=""/>
                  <o:lock v:ext="edit" aspectratio="f"/>
                </v:shape>
                <v:shape id="文本框 744" o:spid="_x0000_s1026" o:spt="202" type="#_x0000_t202" style="position:absolute;left:1334130;top:25313;height:251070;width:2772265;v-text-anchor:middle;" fillcolor="#FFFFFF" filled="t" stroked="t" coordsize="21600,21600" o:gfxdata="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">
                  <v:fill on="t" focussize="0,0"/>
                  <v:stroke weight="0.5pt" color="#000000" miterlimit="8" joinstyle="miter"/>
                  <v:imagedata o:title=""/>
                  <o:lock v:ext="edit" aspectratio="f"/>
                  <v:textbox inset="2mm,1mm,2mm,1mm" style="mso-fit-shape-to-text:t;">
                    <w:txbxContent>
                      <w:p w14:paraId="68CE80A8">
                        <w:pPr>
                          <w:adjustRightInd w:val="0"/>
                          <w:snapToGrid w:val="0"/>
                          <w:jc w:val="center"/>
                          <w:rPr>
                            <w:rFonts w:eastAsia="仿宋"/>
                            <w:sz w:val="21"/>
                            <w:szCs w:val="21"/>
                          </w:rPr>
                        </w:pPr>
                        <w:r>
                          <w:rPr>
                            <w:rFonts w:eastAsia="仿宋"/>
                            <w:sz w:val="21"/>
                            <w:szCs w:val="21"/>
                          </w:rPr>
                          <w:t>依据相关规定确定环境影响评价文件类型</w:t>
                        </w:r>
                      </w:p>
                    </w:txbxContent>
                  </v:textbox>
                </v:shape>
                <v:shape id="文本框 640" o:spid="_x0000_s1026" o:spt="202" type="#_x0000_t202" style="position:absolute;left:1407132;top:707944;height:597145;width:2694160;v-text-anchor:middle;" fillcolor="#FFFFFF" filled="t" stroked="t" coordsize="21600,21600" o:gfxdata="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">
                  <v:fill on="t" focussize="0,0"/>
                  <v:stroke weight="0.5pt" color="#000000" miterlimit="8" joinstyle="miter"/>
                  <v:imagedata o:title=""/>
                  <o:lock v:ext="edit" aspectratio="f"/>
                  <v:textbox inset="2mm,1mm,2mm,1mm" style="mso-fit-shape-to-text:t;">
                    <w:txbxContent>
                      <w:p w14:paraId="01F633CD">
                        <w:pPr>
                          <w:adjustRightInd w:val="0"/>
                          <w:snapToGrid w:val="0"/>
                          <w:rPr>
                            <w:rFonts w:eastAsia="仿宋"/>
                            <w:sz w:val="21"/>
                            <w:szCs w:val="21"/>
                          </w:rPr>
                        </w:pPr>
                        <w:r>
                          <w:rPr>
                            <w:rFonts w:eastAsia="仿宋"/>
                            <w:sz w:val="21"/>
                            <w:szCs w:val="21"/>
                          </w:rPr>
                          <w:t>1研究相关技术文件和其他有关文件</w:t>
                        </w:r>
                      </w:p>
                      <w:p w14:paraId="723C780E">
                        <w:pPr>
                          <w:adjustRightInd w:val="0"/>
                          <w:snapToGrid w:val="0"/>
                          <w:rPr>
                            <w:rFonts w:eastAsia="仿宋"/>
                            <w:sz w:val="21"/>
                            <w:szCs w:val="21"/>
                          </w:rPr>
                        </w:pPr>
                        <w:r>
                          <w:rPr>
                            <w:rFonts w:eastAsia="仿宋"/>
                            <w:sz w:val="21"/>
                            <w:szCs w:val="21"/>
                          </w:rPr>
                          <w:t>2进行初步工程分析</w:t>
                        </w:r>
                      </w:p>
                      <w:p w14:paraId="237E52A0">
                        <w:pPr>
                          <w:adjustRightInd w:val="0"/>
                          <w:snapToGrid w:val="0"/>
                          <w:rPr>
                            <w:rFonts w:eastAsia="仿宋"/>
                            <w:sz w:val="21"/>
                            <w:szCs w:val="21"/>
                          </w:rPr>
                        </w:pPr>
                        <w:r>
                          <w:rPr>
                            <w:rFonts w:eastAsia="仿宋"/>
                            <w:sz w:val="21"/>
                            <w:szCs w:val="21"/>
                          </w:rPr>
                          <w:t>3开展初步的环境影响现状调查</w:t>
                        </w:r>
                      </w:p>
                    </w:txbxContent>
                  </v:textbox>
                </v:shape>
                <v:shape id="文本框 641" o:spid="_x0000_s1026" o:spt="202" type="#_x0000_t202" style="position:absolute;left:1407132;top:1722487;height:597145;width:2616690;v-text-anchor:middle;" fillcolor="#FFFFFF" filled="t" stroked="t" coordsize="21600,21600" o:gfxdata="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">
                  <v:fill on="t" focussize="0,0"/>
                  <v:stroke weight="0.5pt" color="#000000" miterlimit="8" joinstyle="miter"/>
                  <v:imagedata o:title=""/>
                  <o:lock v:ext="edit" aspectratio="f"/>
                  <v:textbox inset="2mm,1mm,2mm,1mm" style="mso-fit-shape-to-text:t;">
                    <w:txbxContent>
                      <w:p w14:paraId="07AB80FE">
                        <w:pPr>
                          <w:adjustRightInd w:val="0"/>
                          <w:snapToGrid w:val="0"/>
                          <w:jc w:val="center"/>
                          <w:rPr>
                            <w:rFonts w:eastAsia="仿宋"/>
                            <w:sz w:val="21"/>
                            <w:szCs w:val="21"/>
                          </w:rPr>
                        </w:pPr>
                        <w:r>
                          <w:rPr>
                            <w:rFonts w:eastAsia="仿宋"/>
                            <w:sz w:val="21"/>
                            <w:szCs w:val="21"/>
                          </w:rPr>
                          <w:t>1环境影响识别和评价因子筛选</w:t>
                        </w:r>
                      </w:p>
                      <w:p w14:paraId="0202DC8A">
                        <w:pPr>
                          <w:adjustRightInd w:val="0"/>
                          <w:snapToGrid w:val="0"/>
                          <w:jc w:val="center"/>
                          <w:rPr>
                            <w:rFonts w:eastAsia="仿宋"/>
                            <w:sz w:val="21"/>
                            <w:szCs w:val="21"/>
                          </w:rPr>
                        </w:pPr>
                        <w:r>
                          <w:rPr>
                            <w:rFonts w:eastAsia="仿宋"/>
                            <w:sz w:val="21"/>
                            <w:szCs w:val="21"/>
                          </w:rPr>
                          <w:t>2明确评价重点和环境保护目标</w:t>
                        </w:r>
                      </w:p>
                      <w:p w14:paraId="1B9614B3">
                        <w:pPr>
                          <w:adjustRightInd w:val="0"/>
                          <w:snapToGrid w:val="0"/>
                          <w:jc w:val="center"/>
                          <w:rPr>
                            <w:rFonts w:eastAsia="仿宋"/>
                            <w:sz w:val="21"/>
                            <w:szCs w:val="21"/>
                          </w:rPr>
                        </w:pPr>
                        <w:r>
                          <w:rPr>
                            <w:rFonts w:eastAsia="仿宋"/>
                            <w:sz w:val="21"/>
                            <w:szCs w:val="21"/>
                          </w:rPr>
                          <w:t>3确定工作等级、评价范围和评价标准</w:t>
                        </w:r>
                      </w:p>
                    </w:txbxContent>
                  </v:textbox>
                </v:shape>
                <v:shape id="文本框 644" o:spid="_x0000_s1026" o:spt="202" type="#_x0000_t202" style="position:absolute;left:2069447;top:2734195;height:251070;width:1328910;v-text-anchor:middle;" fillcolor="#FFFFFF" filled="t" stroked="t" coordsize="21600,21600" o:gfxdata="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">
                  <v:fill on="t" focussize="0,0"/>
                  <v:stroke weight="0.5pt" color="#000000" miterlimit="8" joinstyle="miter"/>
                  <v:imagedata o:title=""/>
                  <o:lock v:ext="edit" aspectratio="f"/>
                  <v:textbox inset="2mm,1mm,2mm,1mm" style="mso-fit-shape-to-text:t;">
                    <w:txbxContent>
                      <w:p w14:paraId="1520D657">
                        <w:pPr>
                          <w:adjustRightInd w:val="0"/>
                          <w:snapToGrid w:val="0"/>
                          <w:jc w:val="center"/>
                          <w:rPr>
                            <w:rFonts w:eastAsia="仿宋"/>
                            <w:sz w:val="21"/>
                            <w:szCs w:val="21"/>
                          </w:rPr>
                        </w:pPr>
                        <w:r>
                          <w:rPr>
                            <w:rFonts w:eastAsia="仿宋"/>
                            <w:sz w:val="21"/>
                            <w:szCs w:val="21"/>
                          </w:rPr>
                          <w:t>制定工作方案</w:t>
                        </w:r>
                      </w:p>
                    </w:txbxContent>
                  </v:textbox>
                </v:shape>
                <v:shape id="文本框 645" o:spid="_x0000_s1026" o:spt="202" type="#_x0000_t202" style="position:absolute;left:1028723;top:3495398;height:424425;width:1216515;v-text-anchor:middle;" fillcolor="#FFFFFF" filled="t" stroked="t" coordsize="21600,21600" o:gfxdata="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">
                  <v:fill on="t" focussize="0,0"/>
                  <v:stroke weight="0.5pt" color="#000000" miterlimit="8" joinstyle="miter"/>
                  <v:imagedata o:title=""/>
                  <o:lock v:ext="edit" aspectratio="f"/>
                  <v:textbox inset="2mm,1mm,2mm,1mm" style="mso-fit-shape-to-text:t;">
                    <w:txbxContent>
                      <w:p w14:paraId="28A66B8D">
                        <w:pPr>
                          <w:adjustRightInd w:val="0"/>
                          <w:snapToGrid w:val="0"/>
                          <w:jc w:val="center"/>
                          <w:rPr>
                            <w:rFonts w:eastAsia="仿宋"/>
                            <w:sz w:val="21"/>
                            <w:szCs w:val="21"/>
                          </w:rPr>
                        </w:pPr>
                        <w:r>
                          <w:rPr>
                            <w:rFonts w:eastAsia="仿宋"/>
                            <w:sz w:val="21"/>
                            <w:szCs w:val="21"/>
                          </w:rPr>
                          <w:t>环境现状调查</w:t>
                        </w:r>
                      </w:p>
                      <w:p w14:paraId="3D599DE1">
                        <w:pPr>
                          <w:adjustRightInd w:val="0"/>
                          <w:snapToGrid w:val="0"/>
                          <w:jc w:val="center"/>
                          <w:rPr>
                            <w:rFonts w:eastAsia="仿宋"/>
                            <w:sz w:val="21"/>
                            <w:szCs w:val="21"/>
                          </w:rPr>
                        </w:pPr>
                        <w:r>
                          <w:rPr>
                            <w:rFonts w:eastAsia="仿宋"/>
                            <w:sz w:val="21"/>
                            <w:szCs w:val="21"/>
                          </w:rPr>
                          <w:t>监测与评价</w:t>
                        </w:r>
                      </w:p>
                    </w:txbxContent>
                  </v:textbox>
                </v:shape>
                <v:shape id="文本框 646" o:spid="_x0000_s1026" o:spt="202" type="#_x0000_t202" style="position:absolute;left:3500179;top:3495298;height:424425;width:777095;v-text-anchor:middle;" fillcolor="#FFFFFF" filled="t" stroked="t" coordsize="21600,21600" o:gfxdata="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">
                  <v:fill on="t" focussize="0,0"/>
                  <v:stroke weight="0.5pt" color="#000000" miterlimit="8" joinstyle="miter"/>
                  <v:imagedata o:title=""/>
                  <o:lock v:ext="edit" aspectratio="f"/>
                  <v:textbox inset="2mm,1mm,2mm,1mm" style="mso-fit-shape-to-text:t;">
                    <w:txbxContent>
                      <w:p w14:paraId="3B0B5919">
                        <w:pPr>
                          <w:adjustRightInd w:val="0"/>
                          <w:snapToGrid w:val="0"/>
                          <w:jc w:val="center"/>
                          <w:rPr>
                            <w:rFonts w:eastAsia="仿宋"/>
                            <w:sz w:val="21"/>
                            <w:szCs w:val="21"/>
                          </w:rPr>
                        </w:pPr>
                        <w:r>
                          <w:rPr>
                            <w:rFonts w:eastAsia="仿宋"/>
                            <w:sz w:val="21"/>
                            <w:szCs w:val="21"/>
                          </w:rPr>
                          <w:t>建设项目工程分析</w:t>
                        </w:r>
                      </w:p>
                    </w:txbxContent>
                  </v:textbox>
                </v:shape>
                <v:shape id="文本框 647" o:spid="_x0000_s1026" o:spt="202" type="#_x0000_t202" style="position:absolute;left:1623737;top:4547325;height:424425;width:2339830;v-text-anchor:middle;" fillcolor="#FFFFFF" filled="t" stroked="t" coordsize="21600,21600" o:gfxdata="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">
                  <v:fill on="t" focussize="0,0"/>
                  <v:stroke weight="0.5pt" color="#000000" miterlimit="8" joinstyle="miter"/>
                  <v:imagedata o:title=""/>
                  <o:lock v:ext="edit" aspectratio="f"/>
                  <v:textbox inset="2mm,1mm,2mm,1mm" style="mso-fit-shape-to-text:t;">
                    <w:txbxContent>
                      <w:p w14:paraId="13AAAA88">
                        <w:pPr>
                          <w:adjustRightInd w:val="0"/>
                          <w:snapToGrid w:val="0"/>
                          <w:rPr>
                            <w:rFonts w:eastAsia="仿宋"/>
                            <w:sz w:val="21"/>
                            <w:szCs w:val="21"/>
                          </w:rPr>
                        </w:pPr>
                        <w:r>
                          <w:rPr>
                            <w:rFonts w:eastAsia="仿宋"/>
                            <w:sz w:val="21"/>
                            <w:szCs w:val="21"/>
                          </w:rPr>
                          <w:t>1各环境要素环境影响预测与评价</w:t>
                        </w:r>
                      </w:p>
                      <w:p w14:paraId="253FE1E5">
                        <w:pPr>
                          <w:adjustRightInd w:val="0"/>
                          <w:snapToGrid w:val="0"/>
                          <w:rPr>
                            <w:rFonts w:eastAsia="仿宋"/>
                            <w:sz w:val="21"/>
                            <w:szCs w:val="21"/>
                          </w:rPr>
                        </w:pPr>
                        <w:r>
                          <w:rPr>
                            <w:rFonts w:eastAsia="仿宋"/>
                            <w:sz w:val="21"/>
                            <w:szCs w:val="21"/>
                          </w:rPr>
                          <w:t>2各专项环境影响分析与评价</w:t>
                        </w:r>
                      </w:p>
                    </w:txbxContent>
                  </v:textbox>
                </v:shape>
                <v:shape id="文本框 648" o:spid="_x0000_s1026" o:spt="202" type="#_x0000_t202" style="position:absolute;left:1334130;top:5391016;height:597145;width:2913870;v-text-anchor:middle;" fillcolor="#FFFFFF" filled="t" stroked="t" coordsize="21600,21600" o:gfxdata="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">
                  <v:fill on="t" focussize="0,0"/>
                  <v:stroke weight="0.5pt" color="#000000" miterlimit="8" joinstyle="miter"/>
                  <v:imagedata o:title=""/>
                  <o:lock v:ext="edit" aspectratio="f"/>
                  <v:textbox inset="2mm,1mm,2mm,1mm" style="mso-fit-shape-to-text:t;">
                    <w:txbxContent>
                      <w:p w14:paraId="1572A4BB">
                        <w:pPr>
                          <w:adjustRightInd w:val="0"/>
                          <w:snapToGrid w:val="0"/>
                          <w:rPr>
                            <w:rFonts w:eastAsia="仿宋"/>
                            <w:sz w:val="21"/>
                            <w:szCs w:val="21"/>
                          </w:rPr>
                        </w:pPr>
                        <w:r>
                          <w:rPr>
                            <w:rFonts w:eastAsia="仿宋"/>
                            <w:sz w:val="21"/>
                            <w:szCs w:val="21"/>
                          </w:rPr>
                          <w:t>1提出环境保护措施，进行技术经济论证</w:t>
                        </w:r>
                      </w:p>
                      <w:p w14:paraId="7D78CDD9">
                        <w:pPr>
                          <w:adjustRightInd w:val="0"/>
                          <w:snapToGrid w:val="0"/>
                          <w:rPr>
                            <w:rFonts w:eastAsia="仿宋"/>
                            <w:sz w:val="21"/>
                            <w:szCs w:val="21"/>
                          </w:rPr>
                        </w:pPr>
                        <w:r>
                          <w:rPr>
                            <w:rFonts w:eastAsia="仿宋"/>
                            <w:sz w:val="21"/>
                            <w:szCs w:val="21"/>
                          </w:rPr>
                          <w:t>2给出污染物排放清单</w:t>
                        </w:r>
                      </w:p>
                      <w:p w14:paraId="70C97162">
                        <w:pPr>
                          <w:adjustRightInd w:val="0"/>
                          <w:snapToGrid w:val="0"/>
                          <w:rPr>
                            <w:rFonts w:eastAsia="仿宋"/>
                            <w:sz w:val="21"/>
                            <w:szCs w:val="21"/>
                          </w:rPr>
                        </w:pPr>
                        <w:r>
                          <w:rPr>
                            <w:rFonts w:eastAsia="仿宋"/>
                            <w:sz w:val="21"/>
                            <w:szCs w:val="21"/>
                          </w:rPr>
                          <w:t>3给出建设项目环境影响评价结论</w:t>
                        </w:r>
                      </w:p>
                    </w:txbxContent>
                  </v:textbox>
                </v:shape>
                <v:shape id="文本框 649" o:spid="_x0000_s1026" o:spt="202" type="#_x0000_t202" style="position:absolute;left:1953944;top:6402956;height:251070;width:1743565;v-text-anchor:middle;" fillcolor="#FFFFFF" filled="t" stroked="t" coordsize="21600,21600" o:gfxdata="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">
                  <v:fill on="t" focussize="0,0"/>
                  <v:stroke weight="0.5pt" color="#000000" miterlimit="8" joinstyle="miter"/>
                  <v:imagedata o:title=""/>
                  <o:lock v:ext="edit" aspectratio="f"/>
                  <v:textbox inset="2mm,1mm,2mm,1mm" style="mso-fit-shape-to-text:t;">
                    <w:txbxContent>
                      <w:p w14:paraId="28E71C8C">
                        <w:pPr>
                          <w:adjustRightInd w:val="0"/>
                          <w:snapToGrid w:val="0"/>
                          <w:jc w:val="center"/>
                          <w:rPr>
                            <w:rFonts w:eastAsia="仿宋"/>
                            <w:sz w:val="21"/>
                            <w:szCs w:val="21"/>
                          </w:rPr>
                        </w:pPr>
                        <w:r>
                          <w:rPr>
                            <w:rFonts w:eastAsia="仿宋"/>
                            <w:sz w:val="21"/>
                            <w:szCs w:val="21"/>
                          </w:rPr>
                          <w:t>编制环境影响报告书</w:t>
                        </w:r>
                      </w:p>
                    </w:txbxContent>
                  </v:textbox>
                </v:shape>
                <v:shape id="直接箭头连接符 746" o:spid="_x0000_s1026" o:spt="32" type="#_x0000_t32" style="position:absolute;left:2737562;top:277101;height:432002;width:0;" filled="f" stroked="t" coordsize="21600,21600" o:gfxdata="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xrtS&#10;gtgAAAAJAQAADwAAAAAAAAABACAAAAAiAAAAZHJzL2Rvd25yZXYueG1sUEsBAhQAFAAAAAgAh07i&#10;QBL0FoQiAgAABQQAAA4AAAAAAAAAAQAgAAAAJwEAAGRycy9lMm9Eb2MueG1sUEsFBgAAAAAGAAYA&#10;WQEAALsFAAAAAA==&#10;">
                  <v:fill on="f" focussize="0,0"/>
                  <v:stroke weight="0.25pt" color="#000000" miterlimit="8" joinstyle="miter" endarrow="classic" endarrowlength="long"/>
                  <v:imagedata o:title=""/>
                  <o:lock v:ext="edit" aspectratio="f"/>
                </v:shape>
                <v:shape id="直接箭头连接符 650" o:spid="_x0000_s1026" o:spt="32" type="#_x0000_t32" style="position:absolute;left:2732462;top:1305605;flip:x;height:421002;width:100;" filled="f" stroked="t" coordsize="21600,21600" o:gfxdata="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BlOBajYAAAACQEAAA8AAAAAAAAAAQAgAAAAIgAAAGRycy9kb3ducmV2LnhtbFBLAQIU&#10;ABQAAAAIAIdO4kA0tybHLAIAABIEAAAOAAAAAAAAAAEAIAAAACcBAABkcnMvZTJvRG9jLnhtbFBL&#10;BQYAAAAABgAGAFkBAADFBQAAAAA=&#10;">
                  <v:fill on="f" focussize="0,0"/>
                  <v:stroke weight="0.25pt" color="#000000" miterlimit="8" joinstyle="miter" endarrow="classic" endarrowlength="long"/>
                  <v:imagedata o:title=""/>
                  <o:lock v:ext="edit" aspectratio="f"/>
                </v:shape>
                <v:shape id="直接箭头连接符 652" o:spid="_x0000_s1026" o:spt="32" type="#_x0000_t32" style="position:absolute;left:2730562;top:2324108;height:415302;width:1900;" filled="f" stroked="t" coordsize="21600,21600" o:gfxdata="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xrtSgtgAAAAJAQAADwAAAAAAAAABACAAAAAiAAAAZHJzL2Rvd25yZXYueG1sUEsBAhQAFAAA&#10;AAgAh07iQEJoF+IoAgAACQQAAA4AAAAAAAAAAQAgAAAAJwEAAGRycy9lMm9Eb2MueG1sUEsFBgAA&#10;AAAGAAYAWQEAAMEFAAAAAA==&#10;">
                  <v:fill on="f" focussize="0,0"/>
                  <v:stroke weight="0.25pt" color="#000000" miterlimit="8" joinstyle="miter" endarrow="classic" endarrowlength="long"/>
                  <v:imagedata o:title=""/>
                  <o:lock v:ext="edit" aspectratio="f"/>
                </v:shape>
                <v:shape id="肘形连接符 748" o:spid="_x0000_s1026" o:spt="34" type="#_x0000_t34" style="position:absolute;left:2757863;top:2355787;flip:x y;height:2282852;width:14600;rotation:5898240f;" filled="f" stroked="t" coordsize="21600,21600" o:gfxdata="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LmmJpXZAAAACQEAAA8AAAAAAAAAAQAgAAAAIgAAAGRycy9kb3ducmV2&#10;LnhtbFBLAQIUABQAAAAIAIdO4kCjLIhZNAIAACYEAAAOAAAAAAAAAAEAIAAAACgBAABkcnMvZTJv&#10;RG9jLnhtbFBLBQYAAAAABgAGAFkBAADOBQAAAAA=&#10;" adj="359132">
                  <v:fill on="f" focussize="0,0"/>
                  <v:stroke weight="0.5pt" color="#000000" miterlimit="8" joinstyle="miter"/>
                  <v:imagedata o:title=""/>
                  <o:lock v:ext="edit" aspectratio="f"/>
                </v:shape>
                <v:shape id="肘形连接符 749" o:spid="_x0000_s1026" o:spt="34" type="#_x0000_t34" style="position:absolute;left:2757863;top:2773688;flip:x y;height:2282852;width:14600;rotation:5898240f;" filled="f" stroked="t" coordsize="21600,21600" o:gfxdata="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3uJQJNUAAAAJAQAADwAAAAAAAAABACAAAAAiAAAAZHJzL2Rvd25yZXYu&#10;eG1sUEsBAhQAFAAAAAgAh07iQPJf9lE3AgAAJwQAAA4AAAAAAAAAAQAgAAAAJAEAAGRycy9lMm9E&#10;b2MueG1sUEsFBgAAAAAGAAYAWQEAAM0FAAAAAA==&#10;" adj="-337532">
                  <v:fill on="f" focussize="0,0"/>
                  <v:stroke weight="0.5pt" color="#000000" miterlimit="8" joinstyle="miter"/>
                  <v:imagedata o:title=""/>
                  <o:lock v:ext="edit" aspectratio="f"/>
                </v:shape>
                <v:shape id="直接箭头连接符 654" o:spid="_x0000_s1026" o:spt="32" type="#_x0000_t32" style="position:absolute;left:2730562;top:2990811;height:269901;width:100;" filled="f" stroked="t" coordsize="21600,21600" o:gfxdata="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xrtSgtgAAAAJAQAADwAAAAAAAAABACAAAAAiAAAAZHJzL2Rvd25yZXYueG1sUEsBAhQAFAAAAAgA&#10;h07iQLkkJBglAgAACAQAAA4AAAAAAAAAAQAgAAAAJwEAAGRycy9lMm9Eb2MueG1sUEsFBgAAAAAG&#10;AAYAWQEAAL4FAAAAAA==&#10;">
                  <v:fill on="f" focussize="0,0"/>
                  <v:stroke weight="0.25pt" color="#000000" miterlimit="8" joinstyle="miter" endarrow="classic" endarrowlength="long"/>
                  <v:imagedata o:title=""/>
                  <o:lock v:ext="edit" aspectratio="f"/>
                </v:shape>
                <v:shape id="直接箭头连接符 656" o:spid="_x0000_s1026" o:spt="32" type="#_x0000_t32" style="position:absolute;left:2821364;top:4145215;height:414102;width:100;" filled="f" stroked="t" coordsize="21600,21600" o:gfxdata="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DG&#10;u1KC2AAAAAkBAAAPAAAAAAAAAAEAIAAAACIAAABkcnMvZG93bnJldi54bWxQSwECFAAUAAAACACH&#10;TuJA89L3VSQCAAAIBAAADgAAAAAAAAABACAAAAAnAQAAZHJzL2Uyb0RvYy54bWxQSwUGAAAAAAYA&#10;BgBZAQAAvQUAAAAA&#10;">
                  <v:fill on="f" focussize="0,0"/>
                  <v:stroke weight="0.25pt" color="#000000" miterlimit="8" joinstyle="miter" endarrow="classic" endarrowlength="long"/>
                  <v:imagedata o:title=""/>
                  <o:lock v:ext="edit" aspectratio="f"/>
                </v:shape>
                <v:shape id="直接箭头连接符 657" o:spid="_x0000_s1026" o:spt="32" type="#_x0000_t32" style="position:absolute;left:2819464;top:4984118;height:417202;width:1900;" filled="f" stroked="t" coordsize="21600,21600" o:gfxdata="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xrtSgtgAAAAJAQAADwAAAAAAAAABACAAAAAiAAAAZHJzL2Rvd25yZXYueG1sUEsBAhQAFAAA&#10;AAgAh07iQKynEC4oAgAACQQAAA4AAAAAAAAAAQAgAAAAJwEAAGRycy9lMm9Eb2MueG1sUEsFBgAA&#10;AAAGAAYAWQEAAMEFAAAAAA==&#10;">
                  <v:fill on="f" focussize="0,0"/>
                  <v:stroke weight="0.25pt" color="#000000" miterlimit="8" joinstyle="miter" endarrow="classic" endarrowlength="long"/>
                  <v:imagedata o:title=""/>
                  <o:lock v:ext="edit" aspectratio="f"/>
                </v:shape>
                <v:shape id="直接箭头连接符 658" o:spid="_x0000_s1026" o:spt="32" type="#_x0000_t32" style="position:absolute;left:2887365;top:5998822;flip:x;height:416602;width:1900;" filled="f" stroked="t" coordsize="21600,21600" o:gfxdata="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BlOBajYAAAACQEAAA8AAAAAAAAAAQAgAAAAIgAAAGRycy9kb3ducmV2LnhtbFBL&#10;AQIUABQAAAAIAIdO4kCTK2riLwIAABMEAAAOAAAAAAAAAAEAIAAAACcBAABkcnMvZTJvRG9jLnht&#10;bFBLBQYAAAAABgAGAFkBAADIBQAAAAA=&#10;">
                  <v:fill on="f" focussize="0,0"/>
                  <v:stroke weight="0.25pt" color="#000000" miterlimit="8" joinstyle="miter" endarrow="classic" endarrowlength="long"/>
                  <v:imagedata o:title=""/>
                  <o:lock v:ext="edit" aspectratio="f"/>
                </v:shape>
                <v:line id="直接连接符 751" o:spid="_x0000_s1026" o:spt="20" style="position:absolute;left:11400;top:3075311;height:100;width:5509925;" filled="f" stroked="t" coordsize="21600,21600" o:gfxdata="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OLZjujYAAAACQEAAA8AAAAAAAAAAQAgAAAAIgAAAGRy&#10;cy9kb3ducmV2LnhtbFBLAQIUABQAAAAIAIdO4kD69ZggBQIAAN8DAAAOAAAAAAAAAAEAIAAAACcB&#10;AABkcnMvZTJvRG9jLnhtbFBLBQYAAAAABgAGAFkBAACeBQAAAAA=&#10;">
                  <v:fill on="f" focussize="0,0"/>
                  <v:stroke weight="0.5pt" color="#000000" miterlimit="8" joinstyle="miter" dashstyle="dash"/>
                  <v:imagedata o:title=""/>
                  <o:lock v:ext="edit" aspectratio="f"/>
                </v:line>
                <v:line id="直接连接符 660" o:spid="_x0000_s1026" o:spt="20" style="position:absolute;left:0;top:5132719;height:100;width:5509925;" filled="f" stroked="t" coordsize="21600,21600" o:gfxdata="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Di2Y7o2AAAAAkBAAAPAAAAAAAAAAEAIAAAACIAAABkcnMv&#10;ZG93bnJldi54bWxQSwECFAAUAAAACACHTuJAM+dILwMCAADbAwAADgAAAAAAAAABACAAAAAnAQAA&#10;ZHJzL2Uyb0RvYy54bWxQSwUGAAAAAAYABgBZAQAAnAUAAAAA&#10;">
                  <v:fill on="f" focussize="0,0"/>
                  <v:stroke weight="0.5pt" color="#000000" miterlimit="8" joinstyle="miter" dashstyle="dash"/>
                  <v:imagedata o:title=""/>
                  <o:lock v:ext="edit" aspectratio="f"/>
                </v:line>
                <v:shape id="文本框 662" o:spid="_x0000_s1026" o:spt="202" type="#_x0000_t202" style="position:absolute;left:130803;top:942303;height:1254805;width:307307;v-text-anchor:middle;" filled="f" stroked="f" coordsize="21600,21600" o:gfxdata="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MGA&#10;Fi7XAAAACQEAAA8AAAAAAAAAAQAgAAAAIgAAAGRycy9kb3ducmV2LnhtbFBLAQIUABQAAAAIAIdO&#10;4kCNn8iKJAIAACcEAAAOAAAAAAAAAAEAIAAAACYBAABkcnMvZTJvRG9jLnhtbFBLBQYAAAAABgAG&#10;AFkBAAC8BQAAAAA=&#10;">
                  <v:fill on="f" focussize="0,0"/>
                  <v:stroke on="f"/>
                  <v:imagedata o:title=""/>
                  <o:lock v:ext="edit" aspectratio="f"/>
                  <v:textbox inset="2mm,1mm,2mm,1mm" style="layout-flow:vertical-ideographic;">
                    <w:txbxContent>
                      <w:p w14:paraId="3FEA602A">
                        <w:pPr>
                          <w:adjustRightInd w:val="0"/>
                          <w:snapToGrid w:val="0"/>
                          <w:jc w:val="center"/>
                          <w:rPr>
                            <w:rFonts w:eastAsia="仿宋"/>
                            <w:sz w:val="21"/>
                            <w:szCs w:val="21"/>
                          </w:rPr>
                        </w:pPr>
                        <w:r>
                          <w:rPr>
                            <w:rFonts w:eastAsia="仿宋"/>
                            <w:sz w:val="21"/>
                            <w:szCs w:val="21"/>
                          </w:rPr>
                          <w:t>第一阶段</w:t>
                        </w:r>
                      </w:p>
                    </w:txbxContent>
                  </v:textbox>
                </v:shape>
                <v:shape id="文本框 663" o:spid="_x0000_s1026" o:spt="202" type="#_x0000_t202" style="position:absolute;left:130803;top:3489913;height:1254805;width:307307;v-text-anchor:middle;" filled="f" stroked="f" coordsize="21600,21600" o:gfxdata="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wYAWLtcAAAAJAQAADwAAAAAAAAABACAAAAAiAAAAZHJzL2Rvd25yZXYueG1sUEsBAhQAFAAAAAgA&#10;h07iQAUEMP8mAgAAKAQAAA4AAAAAAAAAAQAgAAAAJgEAAGRycy9lMm9Eb2MueG1sUEsFBgAAAAAG&#10;AAYAWQEAAL4FAAAAAA==&#10;">
                  <v:fill on="f" focussize="0,0"/>
                  <v:stroke on="f"/>
                  <v:imagedata o:title=""/>
                  <o:lock v:ext="edit" aspectratio="f"/>
                  <v:textbox inset="2mm,1mm,2mm,1mm" style="layout-flow:vertical-ideographic;">
                    <w:txbxContent>
                      <w:p w14:paraId="14AB3B1F">
                        <w:pPr>
                          <w:adjustRightInd w:val="0"/>
                          <w:snapToGrid w:val="0"/>
                          <w:jc w:val="center"/>
                          <w:rPr>
                            <w:rFonts w:eastAsia="仿宋"/>
                            <w:sz w:val="21"/>
                            <w:szCs w:val="21"/>
                          </w:rPr>
                        </w:pPr>
                        <w:r>
                          <w:rPr>
                            <w:rFonts w:eastAsia="仿宋"/>
                            <w:sz w:val="21"/>
                            <w:szCs w:val="21"/>
                          </w:rPr>
                          <w:t>第二阶段</w:t>
                        </w:r>
                      </w:p>
                    </w:txbxContent>
                  </v:textbox>
                </v:shape>
                <v:shape id="文本框 664" o:spid="_x0000_s1026" o:spt="202" type="#_x0000_t202" style="position:absolute;left:214605;top:5331419;height:1254805;width:308007;v-text-anchor:middle;" filled="f" stroked="f" coordsize="21600,21600" o:gfxdata="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wYAWLtcAAAAJAQAADwAAAAAAAAABACAAAAAiAAAAZHJzL2Rvd25yZXYueG1sUEsBAhQAFAAAAAgA&#10;h07iQIzgoqomAgAAKAQAAA4AAAAAAAAAAQAgAAAAJgEAAGRycy9lMm9Eb2MueG1sUEsFBgAAAAAG&#10;AAYAWQEAAL4FAAAAAA==&#10;">
                  <v:fill on="f" focussize="0,0"/>
                  <v:stroke on="f"/>
                  <v:imagedata o:title=""/>
                  <o:lock v:ext="edit" aspectratio="f"/>
                  <v:textbox inset="2mm,1mm,2mm,1mm" style="layout-flow:vertical-ideographic;">
                    <w:txbxContent>
                      <w:p w14:paraId="65325BA1">
                        <w:pPr>
                          <w:adjustRightInd w:val="0"/>
                          <w:snapToGrid w:val="0"/>
                          <w:jc w:val="center"/>
                          <w:rPr>
                            <w:rFonts w:eastAsia="仿宋"/>
                            <w:sz w:val="21"/>
                            <w:szCs w:val="21"/>
                          </w:rPr>
                        </w:pPr>
                        <w:r>
                          <w:rPr>
                            <w:rFonts w:eastAsia="仿宋"/>
                            <w:sz w:val="21"/>
                            <w:szCs w:val="21"/>
                          </w:rPr>
                          <w:t>第三阶段</w:t>
                        </w:r>
                      </w:p>
                    </w:txbxContent>
                  </v:textbox>
                </v:shape>
              </v:group>
            </w:pict>
          </mc:Fallback>
        </mc:AlternateContent>
      </w:r>
    </w:p>
    <w:p w14:paraId="51CFB1B3">
      <w:pPr>
        <w:spacing w:line="360" w:lineRule="auto"/>
        <w:ind w:left="-105" w:right="-105" w:firstLine="480"/>
        <w:jc w:val="center"/>
        <w:rPr>
          <w:rFonts w:ascii="Times New Roman" w:hAnsi="Times New Roman"/>
          <w:color w:val="auto"/>
          <w:highlight w:val="none"/>
        </w:rPr>
      </w:pPr>
    </w:p>
    <w:p w14:paraId="001B6ABD">
      <w:pPr>
        <w:spacing w:line="360" w:lineRule="auto"/>
        <w:ind w:left="-105" w:right="-105" w:firstLine="480"/>
        <w:jc w:val="center"/>
        <w:rPr>
          <w:rFonts w:ascii="Times New Roman" w:hAnsi="Times New Roman"/>
          <w:color w:val="auto"/>
          <w:highlight w:val="none"/>
        </w:rPr>
      </w:pPr>
    </w:p>
    <w:p w14:paraId="30D978BF">
      <w:pPr>
        <w:spacing w:line="360" w:lineRule="auto"/>
        <w:ind w:left="-105" w:right="-105" w:firstLine="480"/>
        <w:jc w:val="center"/>
        <w:rPr>
          <w:rFonts w:ascii="Times New Roman" w:hAnsi="Times New Roman"/>
          <w:color w:val="auto"/>
          <w:highlight w:val="none"/>
        </w:rPr>
      </w:pPr>
    </w:p>
    <w:p w14:paraId="24F178F9">
      <w:pPr>
        <w:spacing w:line="360" w:lineRule="auto"/>
        <w:ind w:left="-105" w:right="-105" w:firstLine="480"/>
        <w:jc w:val="center"/>
        <w:rPr>
          <w:rFonts w:ascii="Times New Roman" w:hAnsi="Times New Roman"/>
          <w:color w:val="auto"/>
          <w:highlight w:val="none"/>
        </w:rPr>
      </w:pPr>
    </w:p>
    <w:p w14:paraId="761D8B93">
      <w:pPr>
        <w:spacing w:line="360" w:lineRule="auto"/>
        <w:ind w:left="-105" w:right="-105" w:firstLine="480"/>
        <w:jc w:val="center"/>
        <w:rPr>
          <w:rFonts w:ascii="Times New Roman" w:hAnsi="Times New Roman"/>
          <w:color w:val="auto"/>
          <w:highlight w:val="none"/>
        </w:rPr>
      </w:pPr>
    </w:p>
    <w:p w14:paraId="18B00327">
      <w:pPr>
        <w:spacing w:line="360" w:lineRule="auto"/>
        <w:ind w:left="-105" w:right="-105" w:firstLine="480"/>
        <w:jc w:val="center"/>
        <w:rPr>
          <w:rFonts w:ascii="Times New Roman" w:hAnsi="Times New Roman"/>
          <w:color w:val="auto"/>
          <w:highlight w:val="none"/>
        </w:rPr>
      </w:pPr>
    </w:p>
    <w:p w14:paraId="4757FCA6">
      <w:pPr>
        <w:spacing w:line="360" w:lineRule="auto"/>
        <w:ind w:left="-105" w:right="-105" w:firstLine="480"/>
        <w:jc w:val="center"/>
        <w:rPr>
          <w:rFonts w:ascii="Times New Roman" w:hAnsi="Times New Roman"/>
          <w:color w:val="auto"/>
          <w:highlight w:val="none"/>
        </w:rPr>
      </w:pPr>
    </w:p>
    <w:p w14:paraId="229ADD89">
      <w:pPr>
        <w:spacing w:line="360" w:lineRule="auto"/>
        <w:ind w:left="-105" w:right="-105" w:firstLine="480"/>
        <w:jc w:val="center"/>
        <w:rPr>
          <w:rFonts w:ascii="Times New Roman" w:hAnsi="Times New Roman"/>
          <w:color w:val="auto"/>
          <w:highlight w:val="none"/>
        </w:rPr>
      </w:pPr>
    </w:p>
    <w:p w14:paraId="7E8D4A47">
      <w:pPr>
        <w:spacing w:line="360" w:lineRule="auto"/>
        <w:ind w:left="-105" w:right="-105" w:firstLine="480"/>
        <w:jc w:val="center"/>
        <w:rPr>
          <w:rFonts w:ascii="Times New Roman" w:hAnsi="Times New Roman"/>
          <w:color w:val="auto"/>
          <w:highlight w:val="none"/>
        </w:rPr>
      </w:pPr>
    </w:p>
    <w:p w14:paraId="7CDDD137">
      <w:pPr>
        <w:spacing w:line="360" w:lineRule="auto"/>
        <w:ind w:left="-105" w:right="-105" w:firstLine="480"/>
        <w:jc w:val="center"/>
        <w:rPr>
          <w:rFonts w:ascii="Times New Roman" w:hAnsi="Times New Roman"/>
          <w:color w:val="auto"/>
          <w:highlight w:val="none"/>
        </w:rPr>
      </w:pPr>
    </w:p>
    <w:p w14:paraId="35500D6D">
      <w:pPr>
        <w:spacing w:line="360" w:lineRule="auto"/>
        <w:ind w:left="-105" w:right="-105" w:firstLine="480"/>
        <w:jc w:val="center"/>
        <w:rPr>
          <w:rFonts w:ascii="Times New Roman" w:hAnsi="Times New Roman"/>
          <w:color w:val="auto"/>
          <w:highlight w:val="none"/>
        </w:rPr>
      </w:pPr>
    </w:p>
    <w:p w14:paraId="183FE4F8">
      <w:pPr>
        <w:spacing w:line="360" w:lineRule="auto"/>
        <w:ind w:left="-105" w:right="-105" w:firstLine="480"/>
        <w:jc w:val="center"/>
        <w:rPr>
          <w:rFonts w:ascii="Times New Roman" w:hAnsi="Times New Roman"/>
          <w:color w:val="auto"/>
          <w:highlight w:val="none"/>
        </w:rPr>
      </w:pPr>
    </w:p>
    <w:p w14:paraId="3D185D4B">
      <w:pPr>
        <w:spacing w:line="360" w:lineRule="auto"/>
        <w:ind w:left="-105" w:right="-105" w:firstLine="480"/>
        <w:jc w:val="center"/>
        <w:rPr>
          <w:rFonts w:ascii="Times New Roman" w:hAnsi="Times New Roman"/>
          <w:color w:val="auto"/>
          <w:highlight w:val="none"/>
        </w:rPr>
      </w:pPr>
    </w:p>
    <w:p w14:paraId="66DABE1C">
      <w:pPr>
        <w:spacing w:line="360" w:lineRule="auto"/>
        <w:ind w:left="-105" w:right="-105" w:firstLine="480"/>
        <w:jc w:val="center"/>
        <w:rPr>
          <w:rFonts w:ascii="Times New Roman" w:hAnsi="Times New Roman"/>
          <w:color w:val="auto"/>
          <w:highlight w:val="none"/>
        </w:rPr>
      </w:pPr>
    </w:p>
    <w:p w14:paraId="5A5DE570">
      <w:pPr>
        <w:spacing w:line="360" w:lineRule="auto"/>
        <w:ind w:left="-105" w:right="-105" w:firstLine="480"/>
        <w:jc w:val="center"/>
        <w:rPr>
          <w:rFonts w:ascii="Times New Roman" w:hAnsi="Times New Roman"/>
          <w:color w:val="auto"/>
          <w:highlight w:val="none"/>
        </w:rPr>
      </w:pPr>
    </w:p>
    <w:p w14:paraId="732E0F0E">
      <w:pPr>
        <w:spacing w:line="360" w:lineRule="auto"/>
        <w:ind w:left="-105" w:right="-105" w:firstLine="480"/>
        <w:jc w:val="center"/>
        <w:rPr>
          <w:rFonts w:ascii="Times New Roman" w:hAnsi="Times New Roman"/>
          <w:color w:val="auto"/>
          <w:highlight w:val="none"/>
        </w:rPr>
      </w:pPr>
    </w:p>
    <w:p w14:paraId="53AA2DC6">
      <w:pPr>
        <w:spacing w:line="360" w:lineRule="auto"/>
        <w:ind w:left="-105" w:right="-105" w:firstLine="480"/>
        <w:jc w:val="center"/>
        <w:rPr>
          <w:rFonts w:ascii="Times New Roman" w:hAnsi="Times New Roman"/>
          <w:color w:val="auto"/>
          <w:highlight w:val="none"/>
        </w:rPr>
      </w:pPr>
    </w:p>
    <w:p w14:paraId="64504B65">
      <w:pPr>
        <w:spacing w:line="360" w:lineRule="auto"/>
        <w:ind w:left="-105" w:right="-105" w:firstLine="480"/>
        <w:jc w:val="center"/>
        <w:rPr>
          <w:rFonts w:ascii="Times New Roman" w:hAnsi="Times New Roman"/>
          <w:color w:val="auto"/>
          <w:highlight w:val="none"/>
        </w:rPr>
      </w:pPr>
    </w:p>
    <w:p w14:paraId="2921E6EF">
      <w:pPr>
        <w:spacing w:line="360" w:lineRule="auto"/>
        <w:ind w:left="-105" w:right="-105" w:firstLine="480"/>
        <w:jc w:val="center"/>
        <w:rPr>
          <w:rFonts w:ascii="Times New Roman" w:hAnsi="Times New Roman"/>
          <w:color w:val="auto"/>
          <w:highlight w:val="none"/>
        </w:rPr>
      </w:pPr>
    </w:p>
    <w:p w14:paraId="128B6AB5">
      <w:pPr>
        <w:spacing w:line="360" w:lineRule="auto"/>
        <w:ind w:left="-105" w:right="-105" w:firstLine="480"/>
        <w:jc w:val="center"/>
        <w:rPr>
          <w:rFonts w:ascii="Times New Roman" w:hAnsi="Times New Roman"/>
          <w:color w:val="auto"/>
          <w:highlight w:val="none"/>
        </w:rPr>
      </w:pPr>
    </w:p>
    <w:p w14:paraId="2BFF3914">
      <w:pPr>
        <w:spacing w:line="360" w:lineRule="auto"/>
        <w:ind w:left="-105" w:right="-105" w:firstLine="480"/>
        <w:jc w:val="center"/>
        <w:rPr>
          <w:rFonts w:ascii="Times New Roman" w:hAnsi="Times New Roman"/>
          <w:color w:val="auto"/>
          <w:highlight w:val="none"/>
        </w:rPr>
      </w:pPr>
    </w:p>
    <w:p w14:paraId="44246FE9">
      <w:pPr>
        <w:spacing w:line="360" w:lineRule="auto"/>
        <w:ind w:left="-105" w:right="-105" w:firstLine="480"/>
        <w:jc w:val="center"/>
        <w:rPr>
          <w:rFonts w:ascii="Times New Roman" w:hAnsi="Times New Roman"/>
          <w:color w:val="auto"/>
          <w:highlight w:val="none"/>
        </w:rPr>
      </w:pPr>
    </w:p>
    <w:p w14:paraId="1F69578F">
      <w:pPr>
        <w:spacing w:line="360" w:lineRule="auto"/>
        <w:ind w:left="-105" w:right="-105" w:firstLine="480"/>
        <w:jc w:val="center"/>
        <w:rPr>
          <w:rFonts w:ascii="Times New Roman" w:hAnsi="Times New Roman"/>
          <w:color w:val="auto"/>
          <w:highlight w:val="none"/>
        </w:rPr>
      </w:pPr>
    </w:p>
    <w:p w14:paraId="50E37C74">
      <w:pPr>
        <w:tabs>
          <w:tab w:val="left" w:pos="2421"/>
          <w:tab w:val="center" w:pos="4575"/>
        </w:tabs>
        <w:spacing w:line="360" w:lineRule="auto"/>
        <w:ind w:left="-105" w:right="-105" w:firstLine="442"/>
        <w:jc w:val="center"/>
        <w:rPr>
          <w:rFonts w:ascii="Times New Roman" w:hAnsi="Times New Roman"/>
          <w:b/>
          <w:color w:val="auto"/>
          <w:sz w:val="22"/>
          <w:szCs w:val="22"/>
          <w:highlight w:val="none"/>
        </w:rPr>
      </w:pPr>
      <w:bookmarkStart w:id="45" w:name="_Ref413921579"/>
    </w:p>
    <w:p w14:paraId="1D366C0A">
      <w:pPr>
        <w:tabs>
          <w:tab w:val="left" w:pos="2421"/>
          <w:tab w:val="center" w:pos="4575"/>
        </w:tabs>
        <w:spacing w:line="360" w:lineRule="auto"/>
        <w:ind w:left="-105" w:right="-105" w:firstLine="442"/>
        <w:jc w:val="center"/>
        <w:rPr>
          <w:rFonts w:ascii="Times New Roman" w:hAnsi="Times New Roman"/>
          <w:b/>
          <w:color w:val="auto"/>
          <w:sz w:val="22"/>
          <w:szCs w:val="22"/>
          <w:highlight w:val="none"/>
        </w:rPr>
      </w:pPr>
    </w:p>
    <w:p w14:paraId="22E6A80B">
      <w:pPr>
        <w:tabs>
          <w:tab w:val="left" w:pos="2421"/>
          <w:tab w:val="center" w:pos="4575"/>
        </w:tabs>
        <w:spacing w:line="360" w:lineRule="auto"/>
        <w:ind w:left="-105" w:right="-105" w:firstLine="442"/>
        <w:jc w:val="center"/>
        <w:rPr>
          <w:rFonts w:ascii="Times New Roman" w:hAnsi="Times New Roman"/>
          <w:b/>
          <w:color w:val="auto"/>
          <w:sz w:val="22"/>
          <w:szCs w:val="22"/>
          <w:highlight w:val="none"/>
        </w:rPr>
      </w:pPr>
    </w:p>
    <w:bookmarkEnd w:id="45"/>
    <w:p w14:paraId="5307DCEF">
      <w:pPr>
        <w:pStyle w:val="15"/>
        <w:ind w:left="-105" w:right="-105" w:firstLine="482"/>
        <w:rPr>
          <w:rFonts w:eastAsia="宋体"/>
          <w:color w:val="auto"/>
          <w:sz w:val="24"/>
          <w:szCs w:val="18"/>
          <w:highlight w:val="none"/>
        </w:rPr>
      </w:pPr>
    </w:p>
    <w:p w14:paraId="2F6DE9EE">
      <w:pPr>
        <w:pStyle w:val="15"/>
        <w:ind w:left="-105" w:right="-105" w:firstLine="482"/>
        <w:rPr>
          <w:rFonts w:eastAsia="宋体"/>
          <w:color w:val="auto"/>
          <w:sz w:val="24"/>
          <w:szCs w:val="18"/>
          <w:highlight w:val="none"/>
        </w:rPr>
      </w:pPr>
      <w:r>
        <w:rPr>
          <w:rFonts w:eastAsia="宋体"/>
          <w:color w:val="auto"/>
          <w:sz w:val="24"/>
          <w:szCs w:val="18"/>
          <w:highlight w:val="none"/>
        </w:rPr>
        <w:t xml:space="preserve">图 </w:t>
      </w:r>
      <w:r>
        <w:rPr>
          <w:rFonts w:hint="eastAsia" w:eastAsia="宋体"/>
          <w:color w:val="auto"/>
          <w:sz w:val="24"/>
          <w:szCs w:val="18"/>
          <w:highlight w:val="none"/>
        </w:rPr>
        <w:t>1.</w:t>
      </w:r>
      <w:r>
        <w:rPr>
          <w:rFonts w:eastAsia="宋体"/>
          <w:color w:val="auto"/>
          <w:sz w:val="24"/>
          <w:szCs w:val="18"/>
          <w:highlight w:val="none"/>
        </w:rPr>
        <w:fldChar w:fldCharType="begin"/>
      </w:r>
      <w:r>
        <w:rPr>
          <w:rFonts w:eastAsia="宋体"/>
          <w:color w:val="auto"/>
          <w:sz w:val="24"/>
          <w:szCs w:val="18"/>
          <w:highlight w:val="none"/>
        </w:rPr>
        <w:instrText xml:space="preserve"> STYLEREF 2 \s </w:instrText>
      </w:r>
      <w:r>
        <w:rPr>
          <w:rFonts w:eastAsia="宋体"/>
          <w:color w:val="auto"/>
          <w:sz w:val="24"/>
          <w:szCs w:val="18"/>
          <w:highlight w:val="none"/>
        </w:rPr>
        <w:fldChar w:fldCharType="separate"/>
      </w:r>
      <w:r>
        <w:rPr>
          <w:rFonts w:eastAsia="宋体"/>
          <w:color w:val="auto"/>
          <w:sz w:val="24"/>
          <w:szCs w:val="18"/>
          <w:highlight w:val="none"/>
        </w:rPr>
        <w:t>4</w:t>
      </w:r>
      <w:r>
        <w:rPr>
          <w:rFonts w:eastAsia="宋体"/>
          <w:color w:val="auto"/>
          <w:sz w:val="24"/>
          <w:szCs w:val="18"/>
          <w:highlight w:val="none"/>
        </w:rPr>
        <w:fldChar w:fldCharType="end"/>
      </w:r>
      <w:r>
        <w:rPr>
          <w:rFonts w:hint="eastAsia" w:eastAsia="宋体"/>
          <w:color w:val="auto"/>
          <w:sz w:val="24"/>
          <w:szCs w:val="18"/>
          <w:highlight w:val="none"/>
        </w:rPr>
        <w:t>-</w:t>
      </w:r>
      <w:r>
        <w:rPr>
          <w:rFonts w:eastAsia="宋体"/>
          <w:color w:val="auto"/>
          <w:sz w:val="24"/>
          <w:szCs w:val="18"/>
          <w:highlight w:val="none"/>
        </w:rPr>
        <w:fldChar w:fldCharType="begin"/>
      </w:r>
      <w:r>
        <w:rPr>
          <w:rFonts w:eastAsia="宋体"/>
          <w:color w:val="auto"/>
          <w:sz w:val="24"/>
          <w:szCs w:val="18"/>
          <w:highlight w:val="none"/>
        </w:rPr>
        <w:instrText xml:space="preserve"> SEQ 图 \* ARABIC \s 2 </w:instrText>
      </w:r>
      <w:r>
        <w:rPr>
          <w:rFonts w:eastAsia="宋体"/>
          <w:color w:val="auto"/>
          <w:sz w:val="24"/>
          <w:szCs w:val="18"/>
          <w:highlight w:val="none"/>
        </w:rPr>
        <w:fldChar w:fldCharType="separate"/>
      </w:r>
      <w:r>
        <w:rPr>
          <w:rFonts w:eastAsia="宋体"/>
          <w:color w:val="auto"/>
          <w:sz w:val="24"/>
          <w:szCs w:val="18"/>
          <w:highlight w:val="none"/>
        </w:rPr>
        <w:t>1</w:t>
      </w:r>
      <w:r>
        <w:rPr>
          <w:rFonts w:eastAsia="宋体"/>
          <w:color w:val="auto"/>
          <w:sz w:val="24"/>
          <w:szCs w:val="18"/>
          <w:highlight w:val="none"/>
        </w:rPr>
        <w:fldChar w:fldCharType="end"/>
      </w:r>
      <w:r>
        <w:rPr>
          <w:rFonts w:eastAsia="宋体"/>
          <w:color w:val="auto"/>
          <w:sz w:val="24"/>
          <w:szCs w:val="18"/>
          <w:highlight w:val="none"/>
        </w:rPr>
        <w:t xml:space="preserve"> 环境影响评价工作程序图</w:t>
      </w:r>
    </w:p>
    <w:p w14:paraId="13649BEF">
      <w:pPr>
        <w:ind w:left="-105" w:right="-105"/>
        <w:rPr>
          <w:color w:val="auto"/>
          <w:szCs w:val="18"/>
          <w:highlight w:val="none"/>
        </w:rPr>
      </w:pPr>
    </w:p>
    <w:p w14:paraId="2B473CFB">
      <w:pPr>
        <w:ind w:left="-105" w:right="-105"/>
        <w:rPr>
          <w:color w:val="auto"/>
          <w:szCs w:val="18"/>
          <w:highlight w:val="none"/>
        </w:rPr>
      </w:pPr>
    </w:p>
    <w:p w14:paraId="19892F92">
      <w:pPr>
        <w:ind w:left="-105" w:right="-105"/>
        <w:rPr>
          <w:color w:val="auto"/>
          <w:szCs w:val="18"/>
          <w:highlight w:val="none"/>
        </w:rPr>
      </w:pPr>
    </w:p>
    <w:p w14:paraId="20F4543D">
      <w:pPr>
        <w:pStyle w:val="4"/>
        <w:spacing w:line="360" w:lineRule="auto"/>
        <w:ind w:left="-105" w:right="-105" w:firstLine="0"/>
        <w:rPr>
          <w:rFonts w:ascii="Times New Roman" w:eastAsia="宋体"/>
          <w:color w:val="auto"/>
          <w:sz w:val="28"/>
          <w:szCs w:val="28"/>
          <w:highlight w:val="none"/>
        </w:rPr>
      </w:pPr>
      <w:bookmarkStart w:id="46" w:name="_Toc60653435"/>
      <w:bookmarkStart w:id="47" w:name="_Toc25719"/>
      <w:r>
        <w:rPr>
          <w:rFonts w:ascii="Times New Roman" w:eastAsia="宋体"/>
          <w:color w:val="auto"/>
          <w:sz w:val="28"/>
          <w:szCs w:val="28"/>
          <w:highlight w:val="none"/>
        </w:rPr>
        <w:t>分析判定相关情况</w:t>
      </w:r>
      <w:bookmarkEnd w:id="46"/>
      <w:bookmarkEnd w:id="47"/>
    </w:p>
    <w:p w14:paraId="558343AC">
      <w:pPr>
        <w:spacing w:line="360" w:lineRule="auto"/>
        <w:ind w:left="-105" w:right="-105" w:firstLine="480" w:firstLineChars="200"/>
        <w:rPr>
          <w:rFonts w:ascii="Times New Roman" w:hAnsi="Times New Roman" w:cs="Times New Roman"/>
          <w:color w:val="auto"/>
          <w:szCs w:val="22"/>
          <w:highlight w:val="none"/>
        </w:rPr>
      </w:pPr>
      <w:r>
        <w:rPr>
          <w:rFonts w:ascii="Times New Roman" w:hAnsi="Times New Roman" w:cs="Times New Roman"/>
          <w:color w:val="auto"/>
          <w:szCs w:val="22"/>
          <w:highlight w:val="none"/>
        </w:rPr>
        <w:t>根据《建设项目环境影响评价技术导则 总纲》（HJ2.1-2016），环评单位接受委托后，通过收集、研究该项目的相关资料及其他相关文件，对建设项目进行了初步分析判定。初步分析判定结果见</w:t>
      </w:r>
      <w:r>
        <w:rPr>
          <w:rFonts w:hint="eastAsia" w:ascii="Times New Roman" w:hAnsi="Times New Roman" w:cs="Times New Roman"/>
          <w:color w:val="auto"/>
          <w:szCs w:val="22"/>
          <w:highlight w:val="none"/>
        </w:rPr>
        <w:t>下表</w:t>
      </w:r>
      <w:r>
        <w:rPr>
          <w:rFonts w:ascii="Times New Roman" w:hAnsi="Times New Roman" w:cs="Times New Roman"/>
          <w:color w:val="auto"/>
          <w:szCs w:val="22"/>
          <w:highlight w:val="none"/>
        </w:rPr>
        <w:t>。</w:t>
      </w:r>
    </w:p>
    <w:p w14:paraId="3777D757">
      <w:pPr>
        <w:pStyle w:val="15"/>
        <w:ind w:left="-105" w:right="-105" w:firstLine="482"/>
        <w:rPr>
          <w:rFonts w:eastAsia="宋体"/>
          <w:color w:val="auto"/>
          <w:sz w:val="24"/>
          <w:szCs w:val="18"/>
          <w:highlight w:val="none"/>
        </w:rPr>
      </w:pPr>
      <w:r>
        <w:rPr>
          <w:rFonts w:eastAsia="宋体"/>
          <w:color w:val="auto"/>
          <w:sz w:val="24"/>
          <w:szCs w:val="18"/>
          <w:highlight w:val="none"/>
        </w:rPr>
        <w:t>表 1.</w:t>
      </w:r>
      <w:r>
        <w:rPr>
          <w:rFonts w:eastAsia="宋体"/>
          <w:color w:val="auto"/>
          <w:sz w:val="24"/>
          <w:szCs w:val="18"/>
          <w:highlight w:val="none"/>
        </w:rPr>
        <w:fldChar w:fldCharType="begin"/>
      </w:r>
      <w:r>
        <w:rPr>
          <w:rFonts w:eastAsia="宋体"/>
          <w:color w:val="auto"/>
          <w:sz w:val="24"/>
          <w:szCs w:val="18"/>
          <w:highlight w:val="none"/>
        </w:rPr>
        <w:instrText xml:space="preserve"> STYLEREF 2 \s </w:instrText>
      </w:r>
      <w:r>
        <w:rPr>
          <w:rFonts w:eastAsia="宋体"/>
          <w:color w:val="auto"/>
          <w:sz w:val="24"/>
          <w:szCs w:val="18"/>
          <w:highlight w:val="none"/>
        </w:rPr>
        <w:fldChar w:fldCharType="separate"/>
      </w:r>
      <w:r>
        <w:rPr>
          <w:rFonts w:eastAsia="宋体"/>
          <w:color w:val="auto"/>
          <w:sz w:val="24"/>
          <w:szCs w:val="18"/>
          <w:highlight w:val="none"/>
        </w:rPr>
        <w:t>5</w:t>
      </w:r>
      <w:r>
        <w:rPr>
          <w:rFonts w:eastAsia="宋体"/>
          <w:color w:val="auto"/>
          <w:sz w:val="24"/>
          <w:szCs w:val="18"/>
          <w:highlight w:val="none"/>
        </w:rPr>
        <w:fldChar w:fldCharType="end"/>
      </w:r>
      <w:r>
        <w:rPr>
          <w:rFonts w:eastAsia="宋体"/>
          <w:color w:val="auto"/>
          <w:sz w:val="24"/>
          <w:szCs w:val="18"/>
          <w:highlight w:val="none"/>
        </w:rPr>
        <w:noBreakHyphen/>
      </w:r>
      <w:r>
        <w:rPr>
          <w:rFonts w:eastAsia="宋体"/>
          <w:color w:val="auto"/>
          <w:sz w:val="24"/>
          <w:szCs w:val="18"/>
          <w:highlight w:val="none"/>
        </w:rPr>
        <w:fldChar w:fldCharType="begin"/>
      </w:r>
      <w:r>
        <w:rPr>
          <w:rFonts w:eastAsia="宋体"/>
          <w:color w:val="auto"/>
          <w:sz w:val="24"/>
          <w:szCs w:val="18"/>
          <w:highlight w:val="none"/>
        </w:rPr>
        <w:instrText xml:space="preserve"> SEQ 表 \* ARABIC \s 2 </w:instrText>
      </w:r>
      <w:r>
        <w:rPr>
          <w:rFonts w:eastAsia="宋体"/>
          <w:color w:val="auto"/>
          <w:sz w:val="24"/>
          <w:szCs w:val="18"/>
          <w:highlight w:val="none"/>
        </w:rPr>
        <w:fldChar w:fldCharType="separate"/>
      </w:r>
      <w:r>
        <w:rPr>
          <w:rFonts w:eastAsia="宋体"/>
          <w:color w:val="auto"/>
          <w:sz w:val="24"/>
          <w:szCs w:val="18"/>
          <w:highlight w:val="none"/>
        </w:rPr>
        <w:t>1</w:t>
      </w:r>
      <w:r>
        <w:rPr>
          <w:rFonts w:eastAsia="宋体"/>
          <w:color w:val="auto"/>
          <w:sz w:val="24"/>
          <w:szCs w:val="18"/>
          <w:highlight w:val="none"/>
        </w:rPr>
        <w:fldChar w:fldCharType="end"/>
      </w:r>
      <w:r>
        <w:rPr>
          <w:rFonts w:eastAsia="宋体"/>
          <w:color w:val="auto"/>
          <w:sz w:val="24"/>
          <w:szCs w:val="18"/>
          <w:highlight w:val="none"/>
        </w:rPr>
        <w:t>初步分析判定情况</w:t>
      </w:r>
    </w:p>
    <w:tbl>
      <w:tblPr>
        <w:tblStyle w:val="45"/>
        <w:tblW w:w="0" w:type="auto"/>
        <w:tblInd w:w="0" w:type="dxa"/>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autofit"/>
        <w:tblCellMar>
          <w:top w:w="0" w:type="dxa"/>
          <w:left w:w="108" w:type="dxa"/>
          <w:bottom w:w="0" w:type="dxa"/>
          <w:right w:w="108" w:type="dxa"/>
        </w:tblCellMar>
      </w:tblPr>
      <w:tblGrid>
        <w:gridCol w:w="426"/>
        <w:gridCol w:w="426"/>
        <w:gridCol w:w="708"/>
        <w:gridCol w:w="2693"/>
        <w:gridCol w:w="3226"/>
        <w:gridCol w:w="1025"/>
      </w:tblGrid>
      <w:tr w14:paraId="52571671">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blHeader/>
        </w:trPr>
        <w:tc>
          <w:tcPr>
            <w:tcW w:w="4253" w:type="dxa"/>
            <w:gridSpan w:val="4"/>
            <w:vAlign w:val="center"/>
          </w:tcPr>
          <w:p w14:paraId="19C2DF2C">
            <w:pPr>
              <w:pStyle w:val="44"/>
              <w:adjustRightInd w:val="0"/>
              <w:snapToGrid w:val="0"/>
              <w:spacing w:after="0"/>
              <w:ind w:left="0" w:leftChars="0" w:right="-105" w:firstLine="0" w:firstLineChars="0"/>
              <w:jc w:val="center"/>
              <w:rPr>
                <w:rFonts w:eastAsia="宋体"/>
                <w:b/>
                <w:bCs/>
                <w:color w:val="auto"/>
                <w:sz w:val="21"/>
                <w:szCs w:val="21"/>
                <w:highlight w:val="none"/>
              </w:rPr>
            </w:pPr>
            <w:r>
              <w:rPr>
                <w:rFonts w:eastAsia="宋体"/>
                <w:b/>
                <w:bCs/>
                <w:color w:val="auto"/>
                <w:sz w:val="21"/>
                <w:szCs w:val="21"/>
                <w:highlight w:val="none"/>
              </w:rPr>
              <w:t>判定依据</w:t>
            </w:r>
          </w:p>
        </w:tc>
        <w:tc>
          <w:tcPr>
            <w:tcW w:w="3226" w:type="dxa"/>
            <w:vAlign w:val="center"/>
          </w:tcPr>
          <w:p w14:paraId="6DB3B667">
            <w:pPr>
              <w:pStyle w:val="44"/>
              <w:adjustRightInd w:val="0"/>
              <w:snapToGrid w:val="0"/>
              <w:spacing w:after="0"/>
              <w:ind w:left="0" w:leftChars="0" w:right="-105" w:firstLine="0" w:firstLineChars="0"/>
              <w:jc w:val="center"/>
              <w:rPr>
                <w:rFonts w:eastAsia="宋体"/>
                <w:b/>
                <w:bCs/>
                <w:color w:val="auto"/>
                <w:sz w:val="21"/>
                <w:szCs w:val="21"/>
                <w:highlight w:val="none"/>
              </w:rPr>
            </w:pPr>
            <w:r>
              <w:rPr>
                <w:rFonts w:eastAsia="宋体"/>
                <w:b/>
                <w:bCs/>
                <w:color w:val="auto"/>
                <w:sz w:val="21"/>
                <w:szCs w:val="21"/>
                <w:highlight w:val="none"/>
              </w:rPr>
              <w:t>本项目相符性</w:t>
            </w:r>
          </w:p>
        </w:tc>
        <w:tc>
          <w:tcPr>
            <w:tcW w:w="1025" w:type="dxa"/>
            <w:vAlign w:val="center"/>
          </w:tcPr>
          <w:p w14:paraId="01129E47">
            <w:pPr>
              <w:pStyle w:val="44"/>
              <w:adjustRightInd w:val="0"/>
              <w:snapToGrid w:val="0"/>
              <w:spacing w:after="0"/>
              <w:ind w:left="0" w:leftChars="0" w:right="-105" w:firstLine="0" w:firstLineChars="0"/>
              <w:jc w:val="center"/>
              <w:rPr>
                <w:rFonts w:eastAsia="宋体"/>
                <w:b/>
                <w:bCs/>
                <w:color w:val="auto"/>
                <w:sz w:val="21"/>
                <w:szCs w:val="21"/>
                <w:highlight w:val="none"/>
              </w:rPr>
            </w:pPr>
            <w:r>
              <w:rPr>
                <w:rFonts w:eastAsia="宋体"/>
                <w:b/>
                <w:bCs/>
                <w:color w:val="auto"/>
                <w:sz w:val="21"/>
                <w:szCs w:val="21"/>
                <w:highlight w:val="none"/>
              </w:rPr>
              <w:t>判定结果</w:t>
            </w:r>
          </w:p>
        </w:tc>
      </w:tr>
      <w:tr w14:paraId="0BF6AF96">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c>
          <w:tcPr>
            <w:tcW w:w="852" w:type="dxa"/>
            <w:gridSpan w:val="2"/>
            <w:vMerge w:val="restart"/>
            <w:vAlign w:val="center"/>
          </w:tcPr>
          <w:p w14:paraId="0FAD54BC">
            <w:pPr>
              <w:pStyle w:val="44"/>
              <w:adjustRightInd w:val="0"/>
              <w:snapToGrid w:val="0"/>
              <w:spacing w:after="0"/>
              <w:ind w:left="0" w:leftChars="0" w:right="-105" w:firstLine="0" w:firstLineChars="0"/>
              <w:jc w:val="center"/>
              <w:rPr>
                <w:rFonts w:eastAsia="宋体"/>
                <w:color w:val="auto"/>
                <w:sz w:val="21"/>
                <w:szCs w:val="21"/>
                <w:highlight w:val="none"/>
              </w:rPr>
            </w:pPr>
            <w:r>
              <w:rPr>
                <w:rFonts w:eastAsia="宋体"/>
                <w:color w:val="auto"/>
                <w:sz w:val="21"/>
                <w:szCs w:val="21"/>
                <w:highlight w:val="none"/>
              </w:rPr>
              <w:t>产业政策</w:t>
            </w:r>
          </w:p>
        </w:tc>
        <w:tc>
          <w:tcPr>
            <w:tcW w:w="3401" w:type="dxa"/>
            <w:gridSpan w:val="2"/>
            <w:vAlign w:val="center"/>
          </w:tcPr>
          <w:p w14:paraId="77D90C59">
            <w:pPr>
              <w:pStyle w:val="235"/>
              <w:shd w:val="clear" w:color="auto" w:fill="auto"/>
              <w:adjustRightInd w:val="0"/>
              <w:snapToGrid w:val="0"/>
              <w:spacing w:line="240" w:lineRule="auto"/>
              <w:ind w:left="-105" w:right="-105"/>
              <w:jc w:val="center"/>
              <w:rPr>
                <w:rFonts w:ascii="Times New Roman" w:hAnsi="Times New Roman" w:cs="Times New Roman"/>
                <w:color w:val="auto"/>
                <w:sz w:val="21"/>
                <w:szCs w:val="21"/>
                <w:highlight w:val="none"/>
              </w:rPr>
            </w:pPr>
            <w:r>
              <w:rPr>
                <w:rFonts w:ascii="Times New Roman" w:hAnsi="Times New Roman" w:cs="Times New Roman"/>
                <w:snapToGrid w:val="0"/>
                <w:color w:val="auto"/>
                <w:spacing w:val="0"/>
                <w:sz w:val="21"/>
                <w:szCs w:val="21"/>
                <w:highlight w:val="none"/>
              </w:rPr>
              <w:t>《产业结构调整指导目录（2024年本）》</w:t>
            </w:r>
          </w:p>
        </w:tc>
        <w:tc>
          <w:tcPr>
            <w:tcW w:w="3226" w:type="dxa"/>
            <w:vAlign w:val="center"/>
          </w:tcPr>
          <w:p w14:paraId="089F2719">
            <w:pPr>
              <w:pStyle w:val="235"/>
              <w:shd w:val="clear" w:color="auto" w:fill="auto"/>
              <w:adjustRightInd w:val="0"/>
              <w:snapToGrid w:val="0"/>
              <w:spacing w:line="240" w:lineRule="auto"/>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属于鼓励类</w:t>
            </w:r>
            <w:r>
              <w:rPr>
                <w:rFonts w:hint="eastAsia" w:ascii="Times New Roman" w:hAnsi="Times New Roman" w:cs="Times New Roman"/>
                <w:color w:val="auto"/>
                <w:sz w:val="21"/>
                <w:szCs w:val="21"/>
                <w:highlight w:val="none"/>
              </w:rPr>
              <w:t>中：“7．专用化学品：低VOCs含量胶粘剂，环保型水处理剂，新型高效、环保催化剂和助剂，功能性膜材料，超净高纯试剂、光刻胶、电子气体、新型显示和先进封装材料等电子化学品及关键原料的开发与生产”</w:t>
            </w:r>
            <w:r>
              <w:rPr>
                <w:rFonts w:ascii="Times New Roman" w:hAnsi="Times New Roman" w:cs="Times New Roman"/>
                <w:color w:val="auto"/>
                <w:sz w:val="21"/>
                <w:szCs w:val="21"/>
                <w:highlight w:val="none"/>
              </w:rPr>
              <w:t>。</w:t>
            </w:r>
          </w:p>
        </w:tc>
        <w:tc>
          <w:tcPr>
            <w:tcW w:w="1025" w:type="dxa"/>
            <w:vAlign w:val="center"/>
          </w:tcPr>
          <w:p w14:paraId="5DE4EC4E">
            <w:pPr>
              <w:pStyle w:val="44"/>
              <w:adjustRightInd w:val="0"/>
              <w:snapToGrid w:val="0"/>
              <w:spacing w:after="0"/>
              <w:ind w:left="0" w:leftChars="0" w:right="-105" w:firstLine="0" w:firstLineChars="0"/>
              <w:jc w:val="center"/>
              <w:rPr>
                <w:rFonts w:eastAsia="宋体"/>
                <w:color w:val="auto"/>
                <w:sz w:val="21"/>
                <w:szCs w:val="21"/>
                <w:highlight w:val="none"/>
              </w:rPr>
            </w:pPr>
            <w:r>
              <w:rPr>
                <w:rFonts w:eastAsia="宋体"/>
                <w:color w:val="auto"/>
                <w:sz w:val="21"/>
                <w:szCs w:val="21"/>
                <w:highlight w:val="none"/>
              </w:rPr>
              <w:t>符合</w:t>
            </w:r>
          </w:p>
        </w:tc>
      </w:tr>
      <w:tr w14:paraId="2FE87F03">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49" w:hRule="atLeast"/>
        </w:trPr>
        <w:tc>
          <w:tcPr>
            <w:tcW w:w="852" w:type="dxa"/>
            <w:gridSpan w:val="2"/>
            <w:vMerge w:val="continue"/>
            <w:vAlign w:val="center"/>
          </w:tcPr>
          <w:p w14:paraId="3EC9F971">
            <w:pPr>
              <w:pStyle w:val="44"/>
              <w:adjustRightInd w:val="0"/>
              <w:snapToGrid w:val="0"/>
              <w:spacing w:after="0"/>
              <w:ind w:left="0" w:leftChars="0" w:right="-105" w:firstLine="0" w:firstLineChars="0"/>
              <w:jc w:val="center"/>
              <w:rPr>
                <w:rFonts w:eastAsia="宋体"/>
                <w:color w:val="auto"/>
                <w:sz w:val="21"/>
                <w:szCs w:val="21"/>
                <w:highlight w:val="none"/>
              </w:rPr>
            </w:pPr>
          </w:p>
        </w:tc>
        <w:tc>
          <w:tcPr>
            <w:tcW w:w="3401" w:type="dxa"/>
            <w:gridSpan w:val="2"/>
            <w:vAlign w:val="center"/>
          </w:tcPr>
          <w:p w14:paraId="2DD901BD">
            <w:pPr>
              <w:pStyle w:val="44"/>
              <w:adjustRightInd w:val="0"/>
              <w:snapToGrid w:val="0"/>
              <w:spacing w:after="0"/>
              <w:ind w:left="0" w:leftChars="0" w:right="-105" w:firstLine="0" w:firstLineChars="0"/>
              <w:jc w:val="center"/>
              <w:rPr>
                <w:rFonts w:eastAsia="宋体"/>
                <w:color w:val="auto"/>
                <w:sz w:val="21"/>
                <w:szCs w:val="21"/>
                <w:highlight w:val="none"/>
              </w:rPr>
            </w:pPr>
            <w:r>
              <w:rPr>
                <w:rFonts w:eastAsia="宋体"/>
                <w:color w:val="auto"/>
                <w:sz w:val="21"/>
                <w:szCs w:val="21"/>
                <w:highlight w:val="none"/>
              </w:rPr>
              <w:t>《市场准入负面清单》（2022年版）</w:t>
            </w:r>
          </w:p>
        </w:tc>
        <w:tc>
          <w:tcPr>
            <w:tcW w:w="3226" w:type="dxa"/>
            <w:vAlign w:val="center"/>
          </w:tcPr>
          <w:p w14:paraId="56606AD2">
            <w:pPr>
              <w:pStyle w:val="44"/>
              <w:adjustRightInd w:val="0"/>
              <w:snapToGrid w:val="0"/>
              <w:spacing w:after="0"/>
              <w:ind w:left="0" w:leftChars="0" w:right="-105" w:firstLine="0" w:firstLineChars="0"/>
              <w:jc w:val="center"/>
              <w:rPr>
                <w:rFonts w:eastAsia="宋体"/>
                <w:color w:val="auto"/>
                <w:sz w:val="21"/>
                <w:szCs w:val="21"/>
                <w:highlight w:val="none"/>
              </w:rPr>
            </w:pPr>
            <w:r>
              <w:rPr>
                <w:rFonts w:eastAsia="宋体"/>
                <w:color w:val="auto"/>
                <w:sz w:val="21"/>
                <w:szCs w:val="21"/>
                <w:highlight w:val="none"/>
              </w:rPr>
              <w:t>不属于禁止准入类和许可准入类</w:t>
            </w:r>
          </w:p>
        </w:tc>
        <w:tc>
          <w:tcPr>
            <w:tcW w:w="1025" w:type="dxa"/>
            <w:vAlign w:val="center"/>
          </w:tcPr>
          <w:p w14:paraId="56CDADF9">
            <w:pPr>
              <w:pStyle w:val="44"/>
              <w:adjustRightInd w:val="0"/>
              <w:snapToGrid w:val="0"/>
              <w:spacing w:after="0"/>
              <w:ind w:left="0" w:leftChars="0" w:right="-105" w:firstLine="0" w:firstLineChars="0"/>
              <w:jc w:val="center"/>
              <w:rPr>
                <w:rFonts w:eastAsia="宋体"/>
                <w:color w:val="auto"/>
                <w:sz w:val="21"/>
                <w:szCs w:val="21"/>
                <w:highlight w:val="none"/>
              </w:rPr>
            </w:pPr>
            <w:r>
              <w:rPr>
                <w:rFonts w:eastAsia="宋体"/>
                <w:color w:val="auto"/>
                <w:sz w:val="21"/>
                <w:szCs w:val="21"/>
                <w:highlight w:val="none"/>
              </w:rPr>
              <w:t>符合</w:t>
            </w:r>
          </w:p>
        </w:tc>
      </w:tr>
      <w:tr w14:paraId="258DCCA3">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c>
          <w:tcPr>
            <w:tcW w:w="852" w:type="dxa"/>
            <w:gridSpan w:val="2"/>
            <w:vMerge w:val="continue"/>
            <w:vAlign w:val="center"/>
          </w:tcPr>
          <w:p w14:paraId="49424938">
            <w:pPr>
              <w:pStyle w:val="44"/>
              <w:adjustRightInd w:val="0"/>
              <w:snapToGrid w:val="0"/>
              <w:spacing w:after="0"/>
              <w:ind w:left="0" w:leftChars="0" w:right="-105" w:firstLine="0" w:firstLineChars="0"/>
              <w:jc w:val="center"/>
              <w:rPr>
                <w:rFonts w:eastAsia="宋体"/>
                <w:color w:val="auto"/>
                <w:sz w:val="21"/>
                <w:szCs w:val="21"/>
                <w:highlight w:val="none"/>
              </w:rPr>
            </w:pPr>
          </w:p>
        </w:tc>
        <w:tc>
          <w:tcPr>
            <w:tcW w:w="3401" w:type="dxa"/>
            <w:gridSpan w:val="2"/>
            <w:vAlign w:val="center"/>
          </w:tcPr>
          <w:p w14:paraId="4B2568EA">
            <w:pPr>
              <w:adjustRightInd w:val="0"/>
              <w:snapToGrid w:val="0"/>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《产业发展与转移指导目录（2018年本）》（中华人民共和国工业和信息化部公告2018年第66号）</w:t>
            </w:r>
          </w:p>
        </w:tc>
        <w:tc>
          <w:tcPr>
            <w:tcW w:w="3226" w:type="dxa"/>
            <w:vAlign w:val="center"/>
          </w:tcPr>
          <w:p w14:paraId="6CF14419">
            <w:pPr>
              <w:pStyle w:val="44"/>
              <w:adjustRightInd w:val="0"/>
              <w:snapToGrid w:val="0"/>
              <w:spacing w:after="0"/>
              <w:ind w:left="0" w:leftChars="0" w:right="-105" w:firstLine="0" w:firstLineChars="0"/>
              <w:jc w:val="center"/>
              <w:rPr>
                <w:rFonts w:eastAsia="宋体"/>
                <w:color w:val="auto"/>
                <w:sz w:val="21"/>
                <w:szCs w:val="21"/>
                <w:highlight w:val="none"/>
              </w:rPr>
            </w:pPr>
            <w:r>
              <w:rPr>
                <w:rFonts w:eastAsia="宋体"/>
                <w:color w:val="auto"/>
                <w:sz w:val="21"/>
                <w:szCs w:val="21"/>
                <w:highlight w:val="none"/>
              </w:rPr>
              <w:t>不属于该文件中江苏省</w:t>
            </w:r>
            <w:r>
              <w:rPr>
                <w:rFonts w:hint="eastAsia" w:eastAsia="宋体"/>
                <w:color w:val="auto"/>
                <w:sz w:val="21"/>
                <w:szCs w:val="21"/>
                <w:highlight w:val="none"/>
              </w:rPr>
              <w:t>“</w:t>
            </w:r>
            <w:r>
              <w:rPr>
                <w:rFonts w:eastAsia="宋体"/>
                <w:color w:val="auto"/>
                <w:sz w:val="21"/>
                <w:szCs w:val="21"/>
                <w:highlight w:val="none"/>
              </w:rPr>
              <w:t>引导逐步调整退出的产业</w:t>
            </w:r>
            <w:r>
              <w:rPr>
                <w:rFonts w:hint="eastAsia" w:eastAsia="宋体"/>
                <w:color w:val="auto"/>
                <w:sz w:val="21"/>
                <w:szCs w:val="21"/>
                <w:highlight w:val="none"/>
              </w:rPr>
              <w:t>”</w:t>
            </w:r>
            <w:r>
              <w:rPr>
                <w:rFonts w:eastAsia="宋体"/>
                <w:color w:val="auto"/>
                <w:sz w:val="21"/>
                <w:szCs w:val="21"/>
                <w:highlight w:val="none"/>
              </w:rPr>
              <w:t>和</w:t>
            </w:r>
            <w:r>
              <w:rPr>
                <w:rFonts w:hint="eastAsia" w:eastAsia="宋体"/>
                <w:color w:val="auto"/>
                <w:sz w:val="21"/>
                <w:szCs w:val="21"/>
                <w:highlight w:val="none"/>
              </w:rPr>
              <w:t>“</w:t>
            </w:r>
            <w:r>
              <w:rPr>
                <w:rFonts w:eastAsia="宋体"/>
                <w:color w:val="auto"/>
                <w:sz w:val="21"/>
                <w:szCs w:val="21"/>
                <w:highlight w:val="none"/>
              </w:rPr>
              <w:t>引导不再承接的产业</w:t>
            </w:r>
            <w:r>
              <w:rPr>
                <w:rFonts w:hint="eastAsia" w:eastAsia="宋体"/>
                <w:color w:val="auto"/>
                <w:sz w:val="21"/>
                <w:szCs w:val="21"/>
                <w:highlight w:val="none"/>
              </w:rPr>
              <w:t>”</w:t>
            </w:r>
          </w:p>
        </w:tc>
        <w:tc>
          <w:tcPr>
            <w:tcW w:w="1025" w:type="dxa"/>
            <w:vAlign w:val="center"/>
          </w:tcPr>
          <w:p w14:paraId="3480D5B1">
            <w:pPr>
              <w:pStyle w:val="44"/>
              <w:adjustRightInd w:val="0"/>
              <w:snapToGrid w:val="0"/>
              <w:spacing w:after="0"/>
              <w:ind w:left="0" w:leftChars="0" w:right="-105" w:firstLine="0" w:firstLineChars="0"/>
              <w:jc w:val="center"/>
              <w:rPr>
                <w:rFonts w:eastAsia="宋体"/>
                <w:color w:val="auto"/>
                <w:sz w:val="21"/>
                <w:szCs w:val="21"/>
                <w:highlight w:val="none"/>
              </w:rPr>
            </w:pPr>
            <w:r>
              <w:rPr>
                <w:rFonts w:eastAsia="宋体"/>
                <w:color w:val="auto"/>
                <w:sz w:val="21"/>
                <w:szCs w:val="21"/>
                <w:highlight w:val="none"/>
              </w:rPr>
              <w:t>符合</w:t>
            </w:r>
          </w:p>
        </w:tc>
      </w:tr>
      <w:tr w14:paraId="48BD1A15">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c>
          <w:tcPr>
            <w:tcW w:w="852" w:type="dxa"/>
            <w:gridSpan w:val="2"/>
            <w:vMerge w:val="continue"/>
            <w:vAlign w:val="center"/>
          </w:tcPr>
          <w:p w14:paraId="7FFE4FDF">
            <w:pPr>
              <w:pStyle w:val="44"/>
              <w:adjustRightInd w:val="0"/>
              <w:snapToGrid w:val="0"/>
              <w:spacing w:after="0"/>
              <w:ind w:left="0" w:leftChars="0" w:right="-105" w:firstLine="0" w:firstLineChars="0"/>
              <w:jc w:val="center"/>
              <w:rPr>
                <w:rFonts w:eastAsia="宋体"/>
                <w:color w:val="auto"/>
                <w:sz w:val="21"/>
                <w:szCs w:val="21"/>
                <w:highlight w:val="none"/>
              </w:rPr>
            </w:pPr>
          </w:p>
        </w:tc>
        <w:tc>
          <w:tcPr>
            <w:tcW w:w="3401" w:type="dxa"/>
            <w:gridSpan w:val="2"/>
            <w:vAlign w:val="center"/>
          </w:tcPr>
          <w:p w14:paraId="14F89917">
            <w:pPr>
              <w:pStyle w:val="44"/>
              <w:adjustRightInd w:val="0"/>
              <w:snapToGrid w:val="0"/>
              <w:spacing w:after="0"/>
              <w:ind w:left="0" w:leftChars="0" w:right="-105" w:firstLine="0" w:firstLineChars="0"/>
              <w:jc w:val="center"/>
              <w:rPr>
                <w:rFonts w:eastAsia="宋体"/>
                <w:color w:val="auto"/>
                <w:sz w:val="21"/>
                <w:szCs w:val="21"/>
                <w:highlight w:val="none"/>
              </w:rPr>
            </w:pPr>
            <w:r>
              <w:rPr>
                <w:rFonts w:eastAsia="宋体"/>
                <w:color w:val="auto"/>
                <w:sz w:val="21"/>
                <w:szCs w:val="21"/>
                <w:highlight w:val="none"/>
              </w:rPr>
              <w:t>《无锡市产业结构调整指导目录(试行)》(2008年1月)</w:t>
            </w:r>
          </w:p>
        </w:tc>
        <w:tc>
          <w:tcPr>
            <w:tcW w:w="3226" w:type="dxa"/>
            <w:vAlign w:val="center"/>
          </w:tcPr>
          <w:p w14:paraId="627CB4A6">
            <w:pPr>
              <w:pStyle w:val="44"/>
              <w:adjustRightInd w:val="0"/>
              <w:snapToGrid w:val="0"/>
              <w:spacing w:after="0"/>
              <w:ind w:left="0" w:leftChars="0" w:right="-105" w:firstLine="0" w:firstLineChars="0"/>
              <w:jc w:val="center"/>
              <w:rPr>
                <w:rFonts w:eastAsia="宋体"/>
                <w:color w:val="auto"/>
                <w:sz w:val="21"/>
                <w:szCs w:val="21"/>
                <w:highlight w:val="none"/>
              </w:rPr>
            </w:pPr>
            <w:r>
              <w:rPr>
                <w:rFonts w:eastAsia="宋体"/>
                <w:color w:val="auto"/>
                <w:sz w:val="21"/>
                <w:szCs w:val="21"/>
                <w:highlight w:val="none"/>
              </w:rPr>
              <w:t>不属于该文件中的鼓励类、禁止类及淘汰类</w:t>
            </w:r>
          </w:p>
        </w:tc>
        <w:tc>
          <w:tcPr>
            <w:tcW w:w="1025" w:type="dxa"/>
            <w:vAlign w:val="center"/>
          </w:tcPr>
          <w:p w14:paraId="4298008B">
            <w:pPr>
              <w:pStyle w:val="44"/>
              <w:adjustRightInd w:val="0"/>
              <w:snapToGrid w:val="0"/>
              <w:spacing w:after="0"/>
              <w:ind w:left="0" w:leftChars="0" w:right="-105" w:firstLine="0" w:firstLineChars="0"/>
              <w:jc w:val="center"/>
              <w:rPr>
                <w:rFonts w:eastAsia="宋体"/>
                <w:color w:val="auto"/>
                <w:sz w:val="21"/>
                <w:szCs w:val="21"/>
                <w:highlight w:val="none"/>
              </w:rPr>
            </w:pPr>
            <w:r>
              <w:rPr>
                <w:rFonts w:eastAsia="宋体"/>
                <w:color w:val="auto"/>
                <w:sz w:val="21"/>
                <w:szCs w:val="21"/>
                <w:highlight w:val="none"/>
              </w:rPr>
              <w:t>符合</w:t>
            </w:r>
          </w:p>
        </w:tc>
      </w:tr>
      <w:tr w14:paraId="43C9F043">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c>
          <w:tcPr>
            <w:tcW w:w="852" w:type="dxa"/>
            <w:gridSpan w:val="2"/>
            <w:vMerge w:val="continue"/>
            <w:vAlign w:val="center"/>
          </w:tcPr>
          <w:p w14:paraId="216F6DDB">
            <w:pPr>
              <w:pStyle w:val="44"/>
              <w:adjustRightInd w:val="0"/>
              <w:snapToGrid w:val="0"/>
              <w:spacing w:after="0"/>
              <w:ind w:left="0" w:leftChars="0" w:right="-105" w:firstLine="0" w:firstLineChars="0"/>
              <w:jc w:val="center"/>
              <w:rPr>
                <w:rFonts w:eastAsia="宋体"/>
                <w:color w:val="auto"/>
                <w:sz w:val="21"/>
                <w:szCs w:val="21"/>
                <w:highlight w:val="none"/>
              </w:rPr>
            </w:pPr>
          </w:p>
        </w:tc>
        <w:tc>
          <w:tcPr>
            <w:tcW w:w="3401" w:type="dxa"/>
            <w:gridSpan w:val="2"/>
            <w:vAlign w:val="center"/>
          </w:tcPr>
          <w:p w14:paraId="1A22C2CC">
            <w:pPr>
              <w:pStyle w:val="44"/>
              <w:adjustRightInd w:val="0"/>
              <w:snapToGrid w:val="0"/>
              <w:spacing w:after="0"/>
              <w:ind w:left="0" w:leftChars="0" w:right="-105" w:firstLine="0" w:firstLineChars="0"/>
              <w:jc w:val="center"/>
              <w:rPr>
                <w:rFonts w:eastAsia="宋体"/>
                <w:color w:val="auto"/>
                <w:sz w:val="21"/>
                <w:szCs w:val="21"/>
                <w:highlight w:val="none"/>
              </w:rPr>
            </w:pPr>
            <w:r>
              <w:rPr>
                <w:rFonts w:eastAsia="宋体"/>
                <w:color w:val="auto"/>
                <w:sz w:val="21"/>
                <w:szCs w:val="21"/>
                <w:highlight w:val="none"/>
              </w:rPr>
              <w:t>《无锡市制造业转型发展指导目录》（2012年本）</w:t>
            </w:r>
          </w:p>
        </w:tc>
        <w:tc>
          <w:tcPr>
            <w:tcW w:w="3226" w:type="dxa"/>
            <w:vAlign w:val="center"/>
          </w:tcPr>
          <w:p w14:paraId="0C2A4C38">
            <w:pPr>
              <w:pStyle w:val="44"/>
              <w:adjustRightInd w:val="0"/>
              <w:snapToGrid w:val="0"/>
              <w:spacing w:after="0"/>
              <w:ind w:left="0" w:leftChars="0" w:right="-105" w:firstLine="0" w:firstLineChars="0"/>
              <w:jc w:val="center"/>
              <w:rPr>
                <w:rFonts w:eastAsia="宋体"/>
                <w:color w:val="auto"/>
                <w:sz w:val="21"/>
                <w:szCs w:val="21"/>
                <w:highlight w:val="none"/>
              </w:rPr>
            </w:pPr>
            <w:r>
              <w:rPr>
                <w:rFonts w:eastAsia="宋体"/>
                <w:color w:val="auto"/>
                <w:sz w:val="21"/>
                <w:szCs w:val="21"/>
                <w:highlight w:val="none"/>
              </w:rPr>
              <w:t>不属于该文件中的鼓励类、限制类及淘汰类</w:t>
            </w:r>
          </w:p>
        </w:tc>
        <w:tc>
          <w:tcPr>
            <w:tcW w:w="1025" w:type="dxa"/>
            <w:vAlign w:val="center"/>
          </w:tcPr>
          <w:p w14:paraId="17B883BA">
            <w:pPr>
              <w:pStyle w:val="44"/>
              <w:adjustRightInd w:val="0"/>
              <w:snapToGrid w:val="0"/>
              <w:spacing w:after="0"/>
              <w:ind w:left="0" w:leftChars="0" w:right="-105" w:firstLine="0" w:firstLineChars="0"/>
              <w:jc w:val="center"/>
              <w:rPr>
                <w:rFonts w:eastAsia="宋体"/>
                <w:color w:val="auto"/>
                <w:sz w:val="21"/>
                <w:szCs w:val="21"/>
                <w:highlight w:val="none"/>
              </w:rPr>
            </w:pPr>
            <w:r>
              <w:rPr>
                <w:rFonts w:eastAsia="宋体"/>
                <w:color w:val="auto"/>
                <w:sz w:val="21"/>
                <w:szCs w:val="21"/>
                <w:highlight w:val="none"/>
              </w:rPr>
              <w:t>符合</w:t>
            </w:r>
          </w:p>
        </w:tc>
      </w:tr>
      <w:tr w14:paraId="7C47CB23">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c>
          <w:tcPr>
            <w:tcW w:w="852" w:type="dxa"/>
            <w:gridSpan w:val="2"/>
            <w:vMerge w:val="continue"/>
            <w:vAlign w:val="center"/>
          </w:tcPr>
          <w:p w14:paraId="6E0B58F1">
            <w:pPr>
              <w:pStyle w:val="44"/>
              <w:adjustRightInd w:val="0"/>
              <w:snapToGrid w:val="0"/>
              <w:spacing w:after="0"/>
              <w:ind w:left="0" w:leftChars="0" w:right="-105" w:firstLine="0" w:firstLineChars="0"/>
              <w:jc w:val="center"/>
              <w:rPr>
                <w:rFonts w:eastAsia="宋体"/>
                <w:color w:val="auto"/>
                <w:sz w:val="21"/>
                <w:szCs w:val="21"/>
                <w:highlight w:val="none"/>
              </w:rPr>
            </w:pPr>
          </w:p>
        </w:tc>
        <w:tc>
          <w:tcPr>
            <w:tcW w:w="3401" w:type="dxa"/>
            <w:gridSpan w:val="2"/>
            <w:vAlign w:val="center"/>
          </w:tcPr>
          <w:p w14:paraId="634BB6DE">
            <w:pPr>
              <w:pStyle w:val="235"/>
              <w:shd w:val="clear" w:color="auto" w:fill="auto"/>
              <w:adjustRightInd w:val="0"/>
              <w:snapToGrid w:val="0"/>
              <w:spacing w:line="240" w:lineRule="auto"/>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《外商投资准入特别管理措施（负面清单）（2021年版）》、《鼓励外商投资产业目录（2022年版）》</w:t>
            </w:r>
          </w:p>
        </w:tc>
        <w:tc>
          <w:tcPr>
            <w:tcW w:w="3226" w:type="dxa"/>
            <w:vAlign w:val="center"/>
          </w:tcPr>
          <w:p w14:paraId="7BA1069F">
            <w:pPr>
              <w:pStyle w:val="235"/>
              <w:shd w:val="clear" w:color="auto" w:fill="auto"/>
              <w:adjustRightInd w:val="0"/>
              <w:snapToGrid w:val="0"/>
              <w:spacing w:line="240" w:lineRule="auto"/>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不属于需实行特别管理的措施的行业类别，属于鼓励类：（二十二）计算机、通信和其他电子设备制造业341.电子专用材料开发、制造（光纤预制棒开发与制造除外）。</w:t>
            </w:r>
          </w:p>
        </w:tc>
        <w:tc>
          <w:tcPr>
            <w:tcW w:w="1025" w:type="dxa"/>
            <w:vAlign w:val="center"/>
          </w:tcPr>
          <w:p w14:paraId="529AF903">
            <w:pPr>
              <w:pStyle w:val="44"/>
              <w:adjustRightInd w:val="0"/>
              <w:snapToGrid w:val="0"/>
              <w:spacing w:after="0"/>
              <w:ind w:left="0" w:leftChars="0" w:right="-105" w:firstLine="0" w:firstLineChars="0"/>
              <w:jc w:val="center"/>
              <w:rPr>
                <w:rFonts w:eastAsia="宋体"/>
                <w:color w:val="auto"/>
                <w:sz w:val="21"/>
                <w:szCs w:val="21"/>
                <w:highlight w:val="none"/>
              </w:rPr>
            </w:pPr>
            <w:r>
              <w:rPr>
                <w:rFonts w:eastAsia="宋体"/>
                <w:color w:val="auto"/>
                <w:sz w:val="21"/>
                <w:szCs w:val="21"/>
                <w:highlight w:val="none"/>
              </w:rPr>
              <w:t>符合</w:t>
            </w:r>
          </w:p>
        </w:tc>
      </w:tr>
      <w:tr w14:paraId="4D0584C8">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c>
          <w:tcPr>
            <w:tcW w:w="852" w:type="dxa"/>
            <w:gridSpan w:val="2"/>
            <w:vMerge w:val="continue"/>
            <w:vAlign w:val="center"/>
          </w:tcPr>
          <w:p w14:paraId="64ABA7FF">
            <w:pPr>
              <w:pStyle w:val="44"/>
              <w:adjustRightInd w:val="0"/>
              <w:snapToGrid w:val="0"/>
              <w:spacing w:after="0"/>
              <w:ind w:left="0" w:leftChars="0" w:right="-105" w:firstLine="0" w:firstLineChars="0"/>
              <w:jc w:val="center"/>
              <w:rPr>
                <w:rFonts w:eastAsia="宋体"/>
                <w:color w:val="auto"/>
                <w:sz w:val="21"/>
                <w:szCs w:val="21"/>
                <w:highlight w:val="none"/>
              </w:rPr>
            </w:pPr>
          </w:p>
        </w:tc>
        <w:tc>
          <w:tcPr>
            <w:tcW w:w="3401" w:type="dxa"/>
            <w:gridSpan w:val="2"/>
            <w:vAlign w:val="center"/>
          </w:tcPr>
          <w:p w14:paraId="415C0282">
            <w:pPr>
              <w:pStyle w:val="44"/>
              <w:adjustRightInd w:val="0"/>
              <w:snapToGrid w:val="0"/>
              <w:spacing w:after="0"/>
              <w:ind w:left="0" w:leftChars="0" w:right="-105" w:firstLine="0" w:firstLineChars="0"/>
              <w:jc w:val="center"/>
              <w:rPr>
                <w:rFonts w:eastAsia="宋体"/>
                <w:color w:val="auto"/>
                <w:sz w:val="21"/>
                <w:szCs w:val="21"/>
                <w:highlight w:val="none"/>
              </w:rPr>
            </w:pPr>
            <w:r>
              <w:rPr>
                <w:rFonts w:eastAsia="宋体"/>
                <w:color w:val="auto"/>
                <w:sz w:val="21"/>
                <w:szCs w:val="21"/>
                <w:highlight w:val="none"/>
              </w:rPr>
              <w:t>《限制用地项目目录（2012年本）》、《禁止用地项目目录（2012年本）》</w:t>
            </w:r>
          </w:p>
        </w:tc>
        <w:tc>
          <w:tcPr>
            <w:tcW w:w="3226" w:type="dxa"/>
            <w:vAlign w:val="center"/>
          </w:tcPr>
          <w:p w14:paraId="1A609BA2">
            <w:pPr>
              <w:pStyle w:val="44"/>
              <w:adjustRightInd w:val="0"/>
              <w:snapToGrid w:val="0"/>
              <w:spacing w:after="0"/>
              <w:ind w:left="0" w:leftChars="0" w:right="-105" w:firstLine="0" w:firstLineChars="0"/>
              <w:jc w:val="center"/>
              <w:rPr>
                <w:rFonts w:eastAsia="宋体"/>
                <w:color w:val="auto"/>
                <w:sz w:val="21"/>
                <w:szCs w:val="21"/>
                <w:highlight w:val="none"/>
              </w:rPr>
            </w:pPr>
            <w:r>
              <w:rPr>
                <w:rFonts w:eastAsia="宋体"/>
                <w:color w:val="auto"/>
                <w:sz w:val="21"/>
                <w:szCs w:val="21"/>
                <w:highlight w:val="none"/>
              </w:rPr>
              <w:t>不属于限制类、禁止类</w:t>
            </w:r>
          </w:p>
        </w:tc>
        <w:tc>
          <w:tcPr>
            <w:tcW w:w="1025" w:type="dxa"/>
            <w:vAlign w:val="center"/>
          </w:tcPr>
          <w:p w14:paraId="5743B441">
            <w:pPr>
              <w:pStyle w:val="44"/>
              <w:adjustRightInd w:val="0"/>
              <w:snapToGrid w:val="0"/>
              <w:spacing w:after="0"/>
              <w:ind w:left="0" w:leftChars="0" w:right="-105" w:firstLine="0" w:firstLineChars="0"/>
              <w:jc w:val="center"/>
              <w:rPr>
                <w:rFonts w:eastAsia="宋体"/>
                <w:color w:val="auto"/>
                <w:sz w:val="21"/>
                <w:szCs w:val="21"/>
                <w:highlight w:val="none"/>
              </w:rPr>
            </w:pPr>
            <w:r>
              <w:rPr>
                <w:rFonts w:eastAsia="宋体"/>
                <w:color w:val="auto"/>
                <w:sz w:val="21"/>
                <w:szCs w:val="21"/>
                <w:highlight w:val="none"/>
              </w:rPr>
              <w:t>符合</w:t>
            </w:r>
          </w:p>
        </w:tc>
      </w:tr>
      <w:tr w14:paraId="1A020EB0">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c>
          <w:tcPr>
            <w:tcW w:w="852" w:type="dxa"/>
            <w:gridSpan w:val="2"/>
            <w:vMerge w:val="continue"/>
            <w:vAlign w:val="center"/>
          </w:tcPr>
          <w:p w14:paraId="6EFEE2A7">
            <w:pPr>
              <w:pStyle w:val="44"/>
              <w:adjustRightInd w:val="0"/>
              <w:snapToGrid w:val="0"/>
              <w:spacing w:after="0"/>
              <w:ind w:left="0" w:leftChars="0" w:right="-105" w:firstLine="0" w:firstLineChars="0"/>
              <w:jc w:val="center"/>
              <w:rPr>
                <w:rFonts w:eastAsia="宋体"/>
                <w:color w:val="auto"/>
                <w:sz w:val="21"/>
                <w:szCs w:val="21"/>
                <w:highlight w:val="none"/>
              </w:rPr>
            </w:pPr>
          </w:p>
        </w:tc>
        <w:tc>
          <w:tcPr>
            <w:tcW w:w="3401" w:type="dxa"/>
            <w:gridSpan w:val="2"/>
            <w:vAlign w:val="center"/>
          </w:tcPr>
          <w:p w14:paraId="4AAC457C">
            <w:pPr>
              <w:pStyle w:val="44"/>
              <w:adjustRightInd w:val="0"/>
              <w:snapToGrid w:val="0"/>
              <w:spacing w:after="0"/>
              <w:ind w:left="0" w:leftChars="0" w:right="-105" w:firstLine="0" w:firstLineChars="0"/>
              <w:jc w:val="center"/>
              <w:rPr>
                <w:rFonts w:eastAsia="宋体"/>
                <w:color w:val="auto"/>
                <w:sz w:val="21"/>
                <w:szCs w:val="21"/>
                <w:highlight w:val="none"/>
              </w:rPr>
            </w:pPr>
            <w:r>
              <w:rPr>
                <w:rFonts w:eastAsia="宋体"/>
                <w:color w:val="auto"/>
                <w:sz w:val="21"/>
                <w:szCs w:val="21"/>
                <w:highlight w:val="none"/>
              </w:rPr>
              <w:t>《江苏省限制用地项目目录(2013年本)》、《江苏省禁止用地项目目录(2013年本)》</w:t>
            </w:r>
          </w:p>
        </w:tc>
        <w:tc>
          <w:tcPr>
            <w:tcW w:w="3226" w:type="dxa"/>
            <w:vAlign w:val="center"/>
          </w:tcPr>
          <w:p w14:paraId="35BE4178">
            <w:pPr>
              <w:pStyle w:val="44"/>
              <w:adjustRightInd w:val="0"/>
              <w:snapToGrid w:val="0"/>
              <w:spacing w:after="0"/>
              <w:ind w:left="0" w:leftChars="0" w:right="-105" w:firstLine="0" w:firstLineChars="0"/>
              <w:jc w:val="center"/>
              <w:rPr>
                <w:rFonts w:eastAsia="宋体"/>
                <w:color w:val="auto"/>
                <w:sz w:val="21"/>
                <w:szCs w:val="21"/>
                <w:highlight w:val="none"/>
              </w:rPr>
            </w:pPr>
            <w:r>
              <w:rPr>
                <w:rFonts w:eastAsia="宋体"/>
                <w:color w:val="auto"/>
                <w:sz w:val="21"/>
                <w:szCs w:val="21"/>
                <w:highlight w:val="none"/>
              </w:rPr>
              <w:t>不属于限制类、禁止类</w:t>
            </w:r>
          </w:p>
        </w:tc>
        <w:tc>
          <w:tcPr>
            <w:tcW w:w="1025" w:type="dxa"/>
            <w:vAlign w:val="center"/>
          </w:tcPr>
          <w:p w14:paraId="00EF3914">
            <w:pPr>
              <w:pStyle w:val="44"/>
              <w:adjustRightInd w:val="0"/>
              <w:snapToGrid w:val="0"/>
              <w:spacing w:after="0"/>
              <w:ind w:left="0" w:leftChars="0" w:right="-105" w:firstLine="0" w:firstLineChars="0"/>
              <w:jc w:val="center"/>
              <w:rPr>
                <w:rFonts w:eastAsia="宋体"/>
                <w:color w:val="auto"/>
                <w:sz w:val="21"/>
                <w:szCs w:val="21"/>
                <w:highlight w:val="none"/>
              </w:rPr>
            </w:pPr>
            <w:r>
              <w:rPr>
                <w:rFonts w:eastAsia="宋体"/>
                <w:color w:val="auto"/>
                <w:sz w:val="21"/>
                <w:szCs w:val="21"/>
                <w:highlight w:val="none"/>
              </w:rPr>
              <w:t>符合</w:t>
            </w:r>
          </w:p>
        </w:tc>
      </w:tr>
      <w:tr w14:paraId="49CE7AF2">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c>
          <w:tcPr>
            <w:tcW w:w="852" w:type="dxa"/>
            <w:gridSpan w:val="2"/>
            <w:vMerge w:val="restart"/>
            <w:vAlign w:val="center"/>
          </w:tcPr>
          <w:p w14:paraId="1AD1E810">
            <w:pPr>
              <w:pStyle w:val="44"/>
              <w:adjustRightInd w:val="0"/>
              <w:snapToGrid w:val="0"/>
              <w:spacing w:after="0"/>
              <w:ind w:left="0" w:leftChars="0" w:right="-105" w:firstLine="0" w:firstLineChars="0"/>
              <w:jc w:val="center"/>
              <w:rPr>
                <w:rFonts w:eastAsia="宋体"/>
                <w:color w:val="auto"/>
                <w:sz w:val="21"/>
                <w:szCs w:val="21"/>
                <w:highlight w:val="none"/>
              </w:rPr>
            </w:pPr>
            <w:r>
              <w:rPr>
                <w:rFonts w:eastAsia="宋体"/>
                <w:color w:val="auto"/>
                <w:sz w:val="21"/>
                <w:szCs w:val="21"/>
                <w:highlight w:val="none"/>
              </w:rPr>
              <w:t>国家和地方有关环境保护法律法规、标准、政策、规范</w:t>
            </w:r>
          </w:p>
        </w:tc>
        <w:tc>
          <w:tcPr>
            <w:tcW w:w="3401" w:type="dxa"/>
            <w:gridSpan w:val="2"/>
            <w:vAlign w:val="center"/>
          </w:tcPr>
          <w:p w14:paraId="3B75D3AF">
            <w:pPr>
              <w:pStyle w:val="44"/>
              <w:adjustRightInd w:val="0"/>
              <w:snapToGrid w:val="0"/>
              <w:spacing w:after="0"/>
              <w:ind w:left="0" w:leftChars="0" w:right="-105" w:firstLine="0" w:firstLineChars="0"/>
              <w:jc w:val="center"/>
              <w:rPr>
                <w:rFonts w:eastAsia="宋体"/>
                <w:color w:val="auto"/>
                <w:sz w:val="21"/>
                <w:szCs w:val="21"/>
                <w:highlight w:val="none"/>
              </w:rPr>
            </w:pPr>
            <w:r>
              <w:rPr>
                <w:rFonts w:eastAsia="宋体"/>
                <w:color w:val="auto"/>
                <w:sz w:val="21"/>
                <w:szCs w:val="21"/>
                <w:highlight w:val="none"/>
              </w:rPr>
              <w:t>《无锡市水环境保护条例》（2021年5月27日）</w:t>
            </w:r>
          </w:p>
        </w:tc>
        <w:tc>
          <w:tcPr>
            <w:tcW w:w="3226" w:type="dxa"/>
            <w:vAlign w:val="center"/>
          </w:tcPr>
          <w:p w14:paraId="463B8B8F">
            <w:pPr>
              <w:pStyle w:val="44"/>
              <w:adjustRightInd w:val="0"/>
              <w:snapToGrid w:val="0"/>
              <w:spacing w:after="0"/>
              <w:ind w:left="0" w:leftChars="0" w:right="-105" w:firstLine="0" w:firstLineChars="0"/>
              <w:jc w:val="center"/>
              <w:rPr>
                <w:rFonts w:eastAsia="宋体"/>
                <w:color w:val="auto"/>
                <w:sz w:val="21"/>
                <w:szCs w:val="21"/>
                <w:highlight w:val="none"/>
              </w:rPr>
            </w:pPr>
            <w:r>
              <w:rPr>
                <w:rFonts w:eastAsia="宋体"/>
                <w:color w:val="auto"/>
                <w:sz w:val="21"/>
                <w:szCs w:val="21"/>
                <w:highlight w:val="none"/>
              </w:rPr>
              <w:t>本项目符合条例要求</w:t>
            </w:r>
          </w:p>
        </w:tc>
        <w:tc>
          <w:tcPr>
            <w:tcW w:w="1025" w:type="dxa"/>
            <w:vAlign w:val="center"/>
          </w:tcPr>
          <w:p w14:paraId="1CB1AEB3">
            <w:pPr>
              <w:pStyle w:val="44"/>
              <w:adjustRightInd w:val="0"/>
              <w:snapToGrid w:val="0"/>
              <w:spacing w:after="0"/>
              <w:ind w:left="0" w:leftChars="0" w:right="-105" w:firstLine="0" w:firstLineChars="0"/>
              <w:jc w:val="center"/>
              <w:rPr>
                <w:rFonts w:eastAsia="宋体"/>
                <w:color w:val="auto"/>
                <w:sz w:val="21"/>
                <w:szCs w:val="21"/>
                <w:highlight w:val="none"/>
              </w:rPr>
            </w:pPr>
            <w:r>
              <w:rPr>
                <w:rFonts w:eastAsia="宋体"/>
                <w:color w:val="auto"/>
                <w:sz w:val="21"/>
                <w:szCs w:val="21"/>
                <w:highlight w:val="none"/>
              </w:rPr>
              <w:t>符合</w:t>
            </w:r>
          </w:p>
        </w:tc>
      </w:tr>
      <w:tr w14:paraId="3DBFB467">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c>
          <w:tcPr>
            <w:tcW w:w="852" w:type="dxa"/>
            <w:gridSpan w:val="2"/>
            <w:vMerge w:val="continue"/>
            <w:vAlign w:val="center"/>
          </w:tcPr>
          <w:p w14:paraId="01C4CF56">
            <w:pPr>
              <w:pStyle w:val="44"/>
              <w:adjustRightInd w:val="0"/>
              <w:snapToGrid w:val="0"/>
              <w:spacing w:after="0"/>
              <w:ind w:left="0" w:leftChars="0" w:right="-105" w:firstLine="0" w:firstLineChars="0"/>
              <w:jc w:val="center"/>
              <w:rPr>
                <w:rFonts w:eastAsia="宋体"/>
                <w:color w:val="auto"/>
                <w:sz w:val="21"/>
                <w:szCs w:val="21"/>
                <w:highlight w:val="none"/>
              </w:rPr>
            </w:pPr>
          </w:p>
        </w:tc>
        <w:tc>
          <w:tcPr>
            <w:tcW w:w="3401" w:type="dxa"/>
            <w:gridSpan w:val="2"/>
            <w:vAlign w:val="center"/>
          </w:tcPr>
          <w:p w14:paraId="6F681378">
            <w:pPr>
              <w:pStyle w:val="44"/>
              <w:adjustRightInd w:val="0"/>
              <w:snapToGrid w:val="0"/>
              <w:spacing w:after="0"/>
              <w:ind w:left="0" w:leftChars="0" w:right="-105" w:firstLine="0" w:firstLineChars="0"/>
              <w:jc w:val="center"/>
              <w:rPr>
                <w:rFonts w:eastAsia="宋体"/>
                <w:color w:val="auto"/>
                <w:sz w:val="21"/>
                <w:szCs w:val="21"/>
                <w:highlight w:val="none"/>
              </w:rPr>
            </w:pPr>
            <w:r>
              <w:rPr>
                <w:rFonts w:eastAsia="宋体"/>
                <w:color w:val="auto"/>
                <w:sz w:val="21"/>
                <w:szCs w:val="21"/>
                <w:highlight w:val="none"/>
              </w:rPr>
              <w:t>《江苏省水污染防治条例》（2020年11月27日）</w:t>
            </w:r>
          </w:p>
        </w:tc>
        <w:tc>
          <w:tcPr>
            <w:tcW w:w="3226" w:type="dxa"/>
            <w:vAlign w:val="center"/>
          </w:tcPr>
          <w:p w14:paraId="7411C313">
            <w:pPr>
              <w:pStyle w:val="44"/>
              <w:adjustRightInd w:val="0"/>
              <w:snapToGrid w:val="0"/>
              <w:spacing w:after="0"/>
              <w:ind w:left="0" w:leftChars="0" w:right="-105" w:firstLine="0" w:firstLineChars="0"/>
              <w:jc w:val="center"/>
              <w:rPr>
                <w:rFonts w:eastAsia="宋体"/>
                <w:color w:val="auto"/>
                <w:sz w:val="21"/>
                <w:szCs w:val="21"/>
                <w:highlight w:val="none"/>
              </w:rPr>
            </w:pPr>
            <w:r>
              <w:rPr>
                <w:rFonts w:eastAsia="宋体"/>
                <w:color w:val="auto"/>
                <w:sz w:val="21"/>
                <w:szCs w:val="21"/>
                <w:highlight w:val="none"/>
              </w:rPr>
              <w:t>本项目符合条例要求</w:t>
            </w:r>
          </w:p>
        </w:tc>
        <w:tc>
          <w:tcPr>
            <w:tcW w:w="1025" w:type="dxa"/>
            <w:vAlign w:val="center"/>
          </w:tcPr>
          <w:p w14:paraId="1E890857">
            <w:pPr>
              <w:pStyle w:val="44"/>
              <w:adjustRightInd w:val="0"/>
              <w:snapToGrid w:val="0"/>
              <w:spacing w:after="0"/>
              <w:ind w:left="0" w:leftChars="0" w:right="-105" w:firstLine="0" w:firstLineChars="0"/>
              <w:jc w:val="center"/>
              <w:rPr>
                <w:rFonts w:eastAsia="宋体"/>
                <w:color w:val="auto"/>
                <w:sz w:val="21"/>
                <w:szCs w:val="21"/>
                <w:highlight w:val="none"/>
              </w:rPr>
            </w:pPr>
            <w:r>
              <w:rPr>
                <w:rFonts w:eastAsia="宋体"/>
                <w:color w:val="auto"/>
                <w:sz w:val="21"/>
                <w:szCs w:val="21"/>
                <w:highlight w:val="none"/>
              </w:rPr>
              <w:t>符合</w:t>
            </w:r>
          </w:p>
        </w:tc>
      </w:tr>
      <w:tr w14:paraId="7FE7040A">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c>
          <w:tcPr>
            <w:tcW w:w="852" w:type="dxa"/>
            <w:gridSpan w:val="2"/>
            <w:vMerge w:val="continue"/>
            <w:vAlign w:val="center"/>
          </w:tcPr>
          <w:p w14:paraId="37035EC5">
            <w:pPr>
              <w:pStyle w:val="44"/>
              <w:adjustRightInd w:val="0"/>
              <w:snapToGrid w:val="0"/>
              <w:spacing w:after="0"/>
              <w:ind w:left="0" w:leftChars="0" w:right="-105" w:firstLine="0" w:firstLineChars="0"/>
              <w:jc w:val="center"/>
              <w:rPr>
                <w:rFonts w:eastAsia="宋体"/>
                <w:color w:val="auto"/>
                <w:sz w:val="21"/>
                <w:szCs w:val="21"/>
                <w:highlight w:val="none"/>
              </w:rPr>
            </w:pPr>
          </w:p>
        </w:tc>
        <w:tc>
          <w:tcPr>
            <w:tcW w:w="3401" w:type="dxa"/>
            <w:gridSpan w:val="2"/>
            <w:vAlign w:val="center"/>
          </w:tcPr>
          <w:p w14:paraId="748E2A9B">
            <w:pPr>
              <w:pStyle w:val="44"/>
              <w:adjustRightInd w:val="0"/>
              <w:snapToGrid w:val="0"/>
              <w:spacing w:after="0"/>
              <w:ind w:left="0" w:leftChars="0" w:right="-105" w:firstLine="0" w:firstLineChars="0"/>
              <w:jc w:val="center"/>
              <w:rPr>
                <w:rFonts w:eastAsia="宋体"/>
                <w:color w:val="auto"/>
                <w:sz w:val="21"/>
                <w:szCs w:val="21"/>
                <w:highlight w:val="none"/>
              </w:rPr>
            </w:pPr>
            <w:r>
              <w:rPr>
                <w:rFonts w:eastAsia="宋体"/>
                <w:color w:val="auto"/>
                <w:sz w:val="21"/>
                <w:szCs w:val="21"/>
                <w:highlight w:val="none"/>
              </w:rPr>
              <w:t>《江苏省太湖水污染防治条例》(202年修订）</w:t>
            </w:r>
          </w:p>
        </w:tc>
        <w:tc>
          <w:tcPr>
            <w:tcW w:w="3226" w:type="dxa"/>
            <w:vAlign w:val="center"/>
          </w:tcPr>
          <w:p w14:paraId="77F0EF72">
            <w:pPr>
              <w:pStyle w:val="44"/>
              <w:adjustRightInd w:val="0"/>
              <w:snapToGrid w:val="0"/>
              <w:spacing w:after="0"/>
              <w:ind w:left="0" w:leftChars="0" w:right="-105" w:firstLine="0" w:firstLineChars="0"/>
              <w:jc w:val="center"/>
              <w:rPr>
                <w:rFonts w:eastAsia="宋体"/>
                <w:color w:val="auto"/>
                <w:sz w:val="21"/>
                <w:szCs w:val="21"/>
                <w:highlight w:val="none"/>
              </w:rPr>
            </w:pPr>
            <w:r>
              <w:rPr>
                <w:rFonts w:eastAsia="宋体"/>
                <w:color w:val="auto"/>
                <w:sz w:val="21"/>
                <w:szCs w:val="21"/>
                <w:highlight w:val="none"/>
              </w:rPr>
              <w:t>本项目符合条例要求</w:t>
            </w:r>
          </w:p>
        </w:tc>
        <w:tc>
          <w:tcPr>
            <w:tcW w:w="1025" w:type="dxa"/>
            <w:vAlign w:val="center"/>
          </w:tcPr>
          <w:p w14:paraId="6E37868D">
            <w:pPr>
              <w:pStyle w:val="44"/>
              <w:adjustRightInd w:val="0"/>
              <w:snapToGrid w:val="0"/>
              <w:spacing w:after="0"/>
              <w:ind w:left="0" w:leftChars="0" w:right="-105" w:firstLine="0" w:firstLineChars="0"/>
              <w:jc w:val="center"/>
              <w:rPr>
                <w:rFonts w:eastAsia="宋体"/>
                <w:color w:val="auto"/>
                <w:sz w:val="21"/>
                <w:szCs w:val="21"/>
                <w:highlight w:val="none"/>
              </w:rPr>
            </w:pPr>
            <w:r>
              <w:rPr>
                <w:rFonts w:eastAsia="宋体"/>
                <w:color w:val="auto"/>
                <w:sz w:val="21"/>
                <w:szCs w:val="21"/>
                <w:highlight w:val="none"/>
              </w:rPr>
              <w:t>符合</w:t>
            </w:r>
          </w:p>
        </w:tc>
      </w:tr>
      <w:tr w14:paraId="4E5DDBC1">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c>
          <w:tcPr>
            <w:tcW w:w="852" w:type="dxa"/>
            <w:gridSpan w:val="2"/>
            <w:vMerge w:val="continue"/>
            <w:vAlign w:val="center"/>
          </w:tcPr>
          <w:p w14:paraId="01EA0676">
            <w:pPr>
              <w:pStyle w:val="44"/>
              <w:adjustRightInd w:val="0"/>
              <w:snapToGrid w:val="0"/>
              <w:spacing w:after="0"/>
              <w:ind w:left="0" w:leftChars="0" w:right="-105" w:firstLine="0" w:firstLineChars="0"/>
              <w:jc w:val="center"/>
              <w:rPr>
                <w:rFonts w:eastAsia="宋体"/>
                <w:color w:val="auto"/>
                <w:sz w:val="21"/>
                <w:szCs w:val="21"/>
                <w:highlight w:val="none"/>
              </w:rPr>
            </w:pPr>
          </w:p>
        </w:tc>
        <w:tc>
          <w:tcPr>
            <w:tcW w:w="3401" w:type="dxa"/>
            <w:gridSpan w:val="2"/>
            <w:vAlign w:val="center"/>
          </w:tcPr>
          <w:p w14:paraId="0296213C">
            <w:pPr>
              <w:pStyle w:val="44"/>
              <w:adjustRightInd w:val="0"/>
              <w:snapToGrid w:val="0"/>
              <w:spacing w:after="0"/>
              <w:ind w:left="0" w:leftChars="0" w:right="-105" w:firstLine="0" w:firstLineChars="0"/>
              <w:jc w:val="center"/>
              <w:rPr>
                <w:rFonts w:eastAsia="宋体"/>
                <w:color w:val="auto"/>
                <w:sz w:val="21"/>
                <w:szCs w:val="21"/>
                <w:highlight w:val="none"/>
              </w:rPr>
            </w:pPr>
            <w:r>
              <w:rPr>
                <w:rFonts w:eastAsia="宋体"/>
                <w:color w:val="auto"/>
                <w:sz w:val="21"/>
                <w:szCs w:val="21"/>
                <w:highlight w:val="none"/>
              </w:rPr>
              <w:t>《太湖流域管理条例》（2011年11月1日起施行）</w:t>
            </w:r>
          </w:p>
        </w:tc>
        <w:tc>
          <w:tcPr>
            <w:tcW w:w="3226" w:type="dxa"/>
            <w:vAlign w:val="center"/>
          </w:tcPr>
          <w:p w14:paraId="2E68DBE9">
            <w:pPr>
              <w:pStyle w:val="44"/>
              <w:adjustRightInd w:val="0"/>
              <w:snapToGrid w:val="0"/>
              <w:spacing w:after="0"/>
              <w:ind w:left="0" w:leftChars="0" w:right="-105" w:firstLine="0" w:firstLineChars="0"/>
              <w:jc w:val="center"/>
              <w:rPr>
                <w:rFonts w:eastAsia="宋体"/>
                <w:color w:val="auto"/>
                <w:sz w:val="21"/>
                <w:szCs w:val="21"/>
                <w:highlight w:val="none"/>
              </w:rPr>
            </w:pPr>
            <w:r>
              <w:rPr>
                <w:rFonts w:eastAsia="宋体"/>
                <w:color w:val="auto"/>
                <w:sz w:val="21"/>
                <w:szCs w:val="21"/>
                <w:highlight w:val="none"/>
              </w:rPr>
              <w:t>本项目符合条例要求</w:t>
            </w:r>
          </w:p>
        </w:tc>
        <w:tc>
          <w:tcPr>
            <w:tcW w:w="1025" w:type="dxa"/>
            <w:vAlign w:val="center"/>
          </w:tcPr>
          <w:p w14:paraId="22D539A6">
            <w:pPr>
              <w:pStyle w:val="44"/>
              <w:adjustRightInd w:val="0"/>
              <w:snapToGrid w:val="0"/>
              <w:spacing w:after="0"/>
              <w:ind w:left="0" w:leftChars="0" w:right="-105" w:firstLine="0" w:firstLineChars="0"/>
              <w:jc w:val="center"/>
              <w:rPr>
                <w:rFonts w:eastAsia="宋体"/>
                <w:color w:val="auto"/>
                <w:sz w:val="21"/>
                <w:szCs w:val="21"/>
                <w:highlight w:val="none"/>
              </w:rPr>
            </w:pPr>
            <w:r>
              <w:rPr>
                <w:rFonts w:eastAsia="宋体"/>
                <w:color w:val="auto"/>
                <w:sz w:val="21"/>
                <w:szCs w:val="21"/>
                <w:highlight w:val="none"/>
              </w:rPr>
              <w:t>符合</w:t>
            </w:r>
          </w:p>
        </w:tc>
      </w:tr>
      <w:tr w14:paraId="72A24576">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c>
          <w:tcPr>
            <w:tcW w:w="852" w:type="dxa"/>
            <w:gridSpan w:val="2"/>
            <w:vMerge w:val="continue"/>
            <w:vAlign w:val="center"/>
          </w:tcPr>
          <w:p w14:paraId="2E7A7232">
            <w:pPr>
              <w:pStyle w:val="44"/>
              <w:adjustRightInd w:val="0"/>
              <w:snapToGrid w:val="0"/>
              <w:spacing w:after="0"/>
              <w:ind w:left="0" w:leftChars="0" w:right="-105" w:firstLine="0" w:firstLineChars="0"/>
              <w:jc w:val="center"/>
              <w:rPr>
                <w:rFonts w:eastAsia="宋体"/>
                <w:color w:val="auto"/>
                <w:sz w:val="21"/>
                <w:szCs w:val="21"/>
                <w:highlight w:val="none"/>
              </w:rPr>
            </w:pPr>
          </w:p>
        </w:tc>
        <w:tc>
          <w:tcPr>
            <w:tcW w:w="3401" w:type="dxa"/>
            <w:gridSpan w:val="2"/>
            <w:vAlign w:val="center"/>
          </w:tcPr>
          <w:p w14:paraId="58405175">
            <w:pPr>
              <w:pStyle w:val="44"/>
              <w:adjustRightInd w:val="0"/>
              <w:snapToGrid w:val="0"/>
              <w:spacing w:after="0"/>
              <w:ind w:left="0" w:leftChars="0" w:right="-105" w:firstLine="0" w:firstLineChars="0"/>
              <w:jc w:val="center"/>
              <w:rPr>
                <w:rFonts w:eastAsia="宋体"/>
                <w:color w:val="auto"/>
                <w:sz w:val="21"/>
                <w:szCs w:val="21"/>
                <w:highlight w:val="none"/>
              </w:rPr>
            </w:pPr>
            <w:r>
              <w:rPr>
                <w:rFonts w:eastAsia="宋体"/>
                <w:color w:val="auto"/>
                <w:sz w:val="21"/>
                <w:szCs w:val="21"/>
                <w:highlight w:val="none"/>
              </w:rPr>
              <w:t>《江苏省大气污染防治条例》</w:t>
            </w:r>
          </w:p>
        </w:tc>
        <w:tc>
          <w:tcPr>
            <w:tcW w:w="3226" w:type="dxa"/>
            <w:vAlign w:val="center"/>
          </w:tcPr>
          <w:p w14:paraId="7E6544E7">
            <w:pPr>
              <w:pStyle w:val="44"/>
              <w:adjustRightInd w:val="0"/>
              <w:snapToGrid w:val="0"/>
              <w:spacing w:after="0"/>
              <w:ind w:left="0" w:leftChars="0" w:right="-105" w:firstLine="0" w:firstLineChars="0"/>
              <w:jc w:val="center"/>
              <w:rPr>
                <w:rFonts w:eastAsia="宋体"/>
                <w:color w:val="auto"/>
                <w:sz w:val="21"/>
                <w:szCs w:val="21"/>
                <w:highlight w:val="none"/>
              </w:rPr>
            </w:pPr>
            <w:r>
              <w:rPr>
                <w:rFonts w:eastAsia="宋体"/>
                <w:color w:val="auto"/>
                <w:sz w:val="21"/>
                <w:szCs w:val="21"/>
                <w:highlight w:val="none"/>
              </w:rPr>
              <w:t>本项目符合条例的要求</w:t>
            </w:r>
          </w:p>
        </w:tc>
        <w:tc>
          <w:tcPr>
            <w:tcW w:w="1025" w:type="dxa"/>
            <w:vAlign w:val="center"/>
          </w:tcPr>
          <w:p w14:paraId="341E1035">
            <w:pPr>
              <w:pStyle w:val="44"/>
              <w:adjustRightInd w:val="0"/>
              <w:snapToGrid w:val="0"/>
              <w:spacing w:after="0"/>
              <w:ind w:left="0" w:leftChars="0" w:right="-105" w:firstLine="0" w:firstLineChars="0"/>
              <w:jc w:val="center"/>
              <w:rPr>
                <w:rFonts w:eastAsia="宋体"/>
                <w:color w:val="auto"/>
                <w:sz w:val="21"/>
                <w:szCs w:val="21"/>
                <w:highlight w:val="none"/>
              </w:rPr>
            </w:pPr>
            <w:r>
              <w:rPr>
                <w:rFonts w:eastAsia="宋体"/>
                <w:color w:val="auto"/>
                <w:sz w:val="21"/>
                <w:szCs w:val="21"/>
                <w:highlight w:val="none"/>
              </w:rPr>
              <w:t>符合</w:t>
            </w:r>
          </w:p>
        </w:tc>
      </w:tr>
      <w:tr w14:paraId="05F7A85B">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c>
          <w:tcPr>
            <w:tcW w:w="852" w:type="dxa"/>
            <w:gridSpan w:val="2"/>
            <w:vMerge w:val="continue"/>
            <w:vAlign w:val="center"/>
          </w:tcPr>
          <w:p w14:paraId="53E3FD4C">
            <w:pPr>
              <w:pStyle w:val="44"/>
              <w:adjustRightInd w:val="0"/>
              <w:snapToGrid w:val="0"/>
              <w:spacing w:after="0"/>
              <w:ind w:left="0" w:leftChars="0" w:right="-105" w:firstLine="0" w:firstLineChars="0"/>
              <w:jc w:val="center"/>
              <w:rPr>
                <w:rFonts w:eastAsia="宋体"/>
                <w:color w:val="auto"/>
                <w:sz w:val="21"/>
                <w:szCs w:val="21"/>
                <w:highlight w:val="none"/>
              </w:rPr>
            </w:pPr>
          </w:p>
        </w:tc>
        <w:tc>
          <w:tcPr>
            <w:tcW w:w="3401" w:type="dxa"/>
            <w:gridSpan w:val="2"/>
            <w:vAlign w:val="center"/>
          </w:tcPr>
          <w:p w14:paraId="538A15D7">
            <w:pPr>
              <w:pStyle w:val="44"/>
              <w:adjustRightInd w:val="0"/>
              <w:snapToGrid w:val="0"/>
              <w:spacing w:after="0"/>
              <w:ind w:left="0" w:leftChars="0" w:right="-105" w:firstLine="0" w:firstLineChars="0"/>
              <w:jc w:val="center"/>
              <w:rPr>
                <w:rFonts w:eastAsia="宋体"/>
                <w:color w:val="auto"/>
                <w:sz w:val="21"/>
                <w:szCs w:val="21"/>
                <w:highlight w:val="none"/>
              </w:rPr>
            </w:pPr>
            <w:r>
              <w:rPr>
                <w:rFonts w:eastAsia="宋体"/>
                <w:color w:val="auto"/>
                <w:sz w:val="21"/>
                <w:szCs w:val="21"/>
                <w:highlight w:val="none"/>
              </w:rPr>
              <w:t>《</w:t>
            </w:r>
            <w:bookmarkStart w:id="48" w:name="_Hlk112873456"/>
            <w:r>
              <w:rPr>
                <w:rFonts w:eastAsia="宋体"/>
                <w:color w:val="auto"/>
                <w:sz w:val="21"/>
                <w:szCs w:val="21"/>
                <w:highlight w:val="none"/>
              </w:rPr>
              <w:t>江苏省挥发性有机物污染防治管理办法》</w:t>
            </w:r>
            <w:bookmarkEnd w:id="48"/>
            <w:r>
              <w:rPr>
                <w:rFonts w:eastAsia="宋体"/>
                <w:color w:val="auto"/>
                <w:sz w:val="21"/>
                <w:szCs w:val="21"/>
                <w:highlight w:val="none"/>
              </w:rPr>
              <w:t>（省政府令第119号）</w:t>
            </w:r>
          </w:p>
        </w:tc>
        <w:tc>
          <w:tcPr>
            <w:tcW w:w="3226" w:type="dxa"/>
            <w:vAlign w:val="center"/>
          </w:tcPr>
          <w:p w14:paraId="7B3C2C99">
            <w:pPr>
              <w:pStyle w:val="44"/>
              <w:adjustRightInd w:val="0"/>
              <w:snapToGrid w:val="0"/>
              <w:spacing w:after="0"/>
              <w:ind w:left="0" w:leftChars="0" w:right="-105" w:firstLine="0" w:firstLineChars="0"/>
              <w:jc w:val="center"/>
              <w:rPr>
                <w:rFonts w:eastAsia="宋体"/>
                <w:color w:val="auto"/>
                <w:sz w:val="21"/>
                <w:szCs w:val="21"/>
                <w:highlight w:val="none"/>
              </w:rPr>
            </w:pPr>
            <w:r>
              <w:rPr>
                <w:rFonts w:eastAsia="宋体"/>
                <w:color w:val="auto"/>
                <w:sz w:val="21"/>
                <w:szCs w:val="21"/>
                <w:highlight w:val="none"/>
              </w:rPr>
              <w:t>本项目生产线均使用连续化、自动化技术，产生有机废气的工段均位于密闭车间中或收集效率均可达90%以上。</w:t>
            </w:r>
          </w:p>
        </w:tc>
        <w:tc>
          <w:tcPr>
            <w:tcW w:w="1025" w:type="dxa"/>
            <w:vAlign w:val="center"/>
          </w:tcPr>
          <w:p w14:paraId="603D2DE6">
            <w:pPr>
              <w:pStyle w:val="44"/>
              <w:adjustRightInd w:val="0"/>
              <w:snapToGrid w:val="0"/>
              <w:spacing w:after="0"/>
              <w:ind w:left="0" w:leftChars="0" w:right="-105" w:firstLine="0" w:firstLineChars="0"/>
              <w:jc w:val="center"/>
              <w:rPr>
                <w:rFonts w:eastAsia="宋体"/>
                <w:color w:val="auto"/>
                <w:sz w:val="21"/>
                <w:szCs w:val="21"/>
                <w:highlight w:val="none"/>
              </w:rPr>
            </w:pPr>
            <w:r>
              <w:rPr>
                <w:rFonts w:eastAsia="宋体"/>
                <w:color w:val="auto"/>
                <w:sz w:val="21"/>
                <w:szCs w:val="21"/>
                <w:highlight w:val="none"/>
              </w:rPr>
              <w:t>符合</w:t>
            </w:r>
          </w:p>
        </w:tc>
      </w:tr>
      <w:tr w14:paraId="23015C77">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c>
          <w:tcPr>
            <w:tcW w:w="852" w:type="dxa"/>
            <w:gridSpan w:val="2"/>
            <w:vMerge w:val="continue"/>
            <w:vAlign w:val="center"/>
          </w:tcPr>
          <w:p w14:paraId="524B0842">
            <w:pPr>
              <w:pStyle w:val="44"/>
              <w:adjustRightInd w:val="0"/>
              <w:snapToGrid w:val="0"/>
              <w:spacing w:after="0"/>
              <w:ind w:left="0" w:leftChars="0" w:right="-105" w:firstLine="0" w:firstLineChars="0"/>
              <w:jc w:val="center"/>
              <w:rPr>
                <w:rFonts w:eastAsia="宋体"/>
                <w:color w:val="auto"/>
                <w:sz w:val="21"/>
                <w:szCs w:val="21"/>
                <w:highlight w:val="none"/>
              </w:rPr>
            </w:pPr>
          </w:p>
        </w:tc>
        <w:tc>
          <w:tcPr>
            <w:tcW w:w="3401" w:type="dxa"/>
            <w:gridSpan w:val="2"/>
            <w:vAlign w:val="center"/>
          </w:tcPr>
          <w:p w14:paraId="4F4235CB">
            <w:pPr>
              <w:pStyle w:val="44"/>
              <w:adjustRightInd w:val="0"/>
              <w:snapToGrid w:val="0"/>
              <w:spacing w:after="0"/>
              <w:ind w:left="0" w:leftChars="0" w:right="-105" w:firstLine="0" w:firstLineChars="0"/>
              <w:jc w:val="center"/>
              <w:rPr>
                <w:rFonts w:eastAsia="宋体"/>
                <w:color w:val="auto"/>
                <w:sz w:val="21"/>
                <w:szCs w:val="21"/>
                <w:highlight w:val="none"/>
              </w:rPr>
            </w:pPr>
            <w:r>
              <w:rPr>
                <w:rFonts w:eastAsia="宋体"/>
                <w:color w:val="auto"/>
                <w:sz w:val="21"/>
                <w:szCs w:val="21"/>
                <w:highlight w:val="none"/>
              </w:rPr>
              <w:t>《关于印发江苏省重点行业挥发性有机物污染控制指南的通知》（苏环办[2014]128号）</w:t>
            </w:r>
          </w:p>
        </w:tc>
        <w:tc>
          <w:tcPr>
            <w:tcW w:w="3226" w:type="dxa"/>
            <w:vAlign w:val="center"/>
          </w:tcPr>
          <w:p w14:paraId="2D721DCC">
            <w:pPr>
              <w:pStyle w:val="44"/>
              <w:adjustRightInd w:val="0"/>
              <w:snapToGrid w:val="0"/>
              <w:spacing w:after="0"/>
              <w:ind w:left="0" w:leftChars="0" w:right="-105" w:firstLine="0" w:firstLineChars="0"/>
              <w:jc w:val="center"/>
              <w:rPr>
                <w:rFonts w:eastAsia="宋体"/>
                <w:color w:val="auto"/>
                <w:sz w:val="21"/>
                <w:szCs w:val="21"/>
                <w:highlight w:val="none"/>
              </w:rPr>
            </w:pPr>
            <w:r>
              <w:rPr>
                <w:rFonts w:eastAsia="宋体"/>
                <w:color w:val="auto"/>
                <w:sz w:val="21"/>
                <w:szCs w:val="21"/>
                <w:highlight w:val="none"/>
              </w:rPr>
              <w:t>本项目</w:t>
            </w:r>
            <w:r>
              <w:rPr>
                <w:rFonts w:hint="eastAsia" w:eastAsia="宋体"/>
                <w:color w:val="auto"/>
                <w:sz w:val="21"/>
                <w:szCs w:val="21"/>
                <w:highlight w:val="none"/>
              </w:rPr>
              <w:t>不</w:t>
            </w:r>
            <w:r>
              <w:rPr>
                <w:rFonts w:eastAsia="宋体"/>
                <w:color w:val="auto"/>
                <w:sz w:val="21"/>
                <w:szCs w:val="21"/>
                <w:highlight w:val="none"/>
              </w:rPr>
              <w:t>使用清洗剂、涂料、</w:t>
            </w:r>
            <w:r>
              <w:rPr>
                <w:rFonts w:hint="eastAsia" w:eastAsia="宋体"/>
                <w:color w:val="auto"/>
                <w:sz w:val="21"/>
                <w:szCs w:val="21"/>
                <w:highlight w:val="none"/>
              </w:rPr>
              <w:t>油墨、</w:t>
            </w:r>
            <w:r>
              <w:rPr>
                <w:rFonts w:eastAsia="宋体"/>
                <w:color w:val="auto"/>
                <w:sz w:val="21"/>
                <w:szCs w:val="21"/>
                <w:highlight w:val="none"/>
              </w:rPr>
              <w:t>胶粘剂，符合要求。</w:t>
            </w:r>
          </w:p>
        </w:tc>
        <w:tc>
          <w:tcPr>
            <w:tcW w:w="1025" w:type="dxa"/>
            <w:vAlign w:val="center"/>
          </w:tcPr>
          <w:p w14:paraId="6CC4FC3B">
            <w:pPr>
              <w:pStyle w:val="44"/>
              <w:adjustRightInd w:val="0"/>
              <w:snapToGrid w:val="0"/>
              <w:spacing w:after="0"/>
              <w:ind w:left="0" w:leftChars="0" w:right="-105" w:firstLine="0" w:firstLineChars="0"/>
              <w:jc w:val="center"/>
              <w:rPr>
                <w:rFonts w:eastAsia="宋体"/>
                <w:color w:val="auto"/>
                <w:sz w:val="21"/>
                <w:szCs w:val="21"/>
                <w:highlight w:val="none"/>
              </w:rPr>
            </w:pPr>
            <w:r>
              <w:rPr>
                <w:rFonts w:eastAsia="宋体"/>
                <w:color w:val="auto"/>
                <w:sz w:val="21"/>
                <w:szCs w:val="21"/>
                <w:highlight w:val="none"/>
              </w:rPr>
              <w:t>符合</w:t>
            </w:r>
          </w:p>
        </w:tc>
      </w:tr>
      <w:tr w14:paraId="370762F1">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c>
          <w:tcPr>
            <w:tcW w:w="852" w:type="dxa"/>
            <w:gridSpan w:val="2"/>
            <w:vMerge w:val="continue"/>
            <w:vAlign w:val="center"/>
          </w:tcPr>
          <w:p w14:paraId="7201DA16">
            <w:pPr>
              <w:pStyle w:val="44"/>
              <w:adjustRightInd w:val="0"/>
              <w:snapToGrid w:val="0"/>
              <w:spacing w:after="0"/>
              <w:ind w:left="0" w:leftChars="0" w:right="-105" w:firstLine="0" w:firstLineChars="0"/>
              <w:jc w:val="center"/>
              <w:rPr>
                <w:rFonts w:eastAsia="宋体"/>
                <w:color w:val="auto"/>
                <w:sz w:val="21"/>
                <w:szCs w:val="21"/>
                <w:highlight w:val="none"/>
              </w:rPr>
            </w:pPr>
          </w:p>
        </w:tc>
        <w:tc>
          <w:tcPr>
            <w:tcW w:w="3401" w:type="dxa"/>
            <w:gridSpan w:val="2"/>
            <w:vAlign w:val="center"/>
          </w:tcPr>
          <w:p w14:paraId="5AC4BFE0">
            <w:pPr>
              <w:pStyle w:val="44"/>
              <w:adjustRightInd w:val="0"/>
              <w:snapToGrid w:val="0"/>
              <w:spacing w:after="0"/>
              <w:ind w:left="0" w:leftChars="0" w:right="-105" w:firstLine="0" w:firstLineChars="0"/>
              <w:jc w:val="center"/>
              <w:rPr>
                <w:rFonts w:eastAsia="宋体"/>
                <w:color w:val="auto"/>
                <w:sz w:val="21"/>
                <w:szCs w:val="21"/>
                <w:highlight w:val="none"/>
              </w:rPr>
            </w:pPr>
            <w:r>
              <w:rPr>
                <w:rFonts w:eastAsia="宋体"/>
                <w:color w:val="auto"/>
                <w:sz w:val="21"/>
                <w:szCs w:val="21"/>
                <w:highlight w:val="none"/>
              </w:rPr>
              <w:t>《重点行业挥发性有机物综合治理方案》（环大气[2019]53号）</w:t>
            </w:r>
          </w:p>
        </w:tc>
        <w:tc>
          <w:tcPr>
            <w:tcW w:w="3226" w:type="dxa"/>
            <w:vAlign w:val="center"/>
          </w:tcPr>
          <w:p w14:paraId="79C20121">
            <w:pPr>
              <w:pStyle w:val="44"/>
              <w:adjustRightInd w:val="0"/>
              <w:snapToGrid w:val="0"/>
              <w:spacing w:after="0"/>
              <w:ind w:left="0" w:leftChars="0" w:right="-105" w:firstLine="0" w:firstLineChars="0"/>
              <w:jc w:val="center"/>
              <w:rPr>
                <w:rFonts w:eastAsia="宋体"/>
                <w:color w:val="auto"/>
                <w:sz w:val="21"/>
                <w:szCs w:val="21"/>
                <w:highlight w:val="none"/>
              </w:rPr>
            </w:pPr>
            <w:r>
              <w:rPr>
                <w:rFonts w:eastAsia="宋体"/>
                <w:color w:val="auto"/>
                <w:sz w:val="21"/>
                <w:szCs w:val="21"/>
                <w:highlight w:val="none"/>
              </w:rPr>
              <w:t>本项目</w:t>
            </w:r>
            <w:r>
              <w:rPr>
                <w:rFonts w:hint="eastAsia" w:eastAsia="宋体"/>
                <w:color w:val="auto"/>
                <w:sz w:val="21"/>
                <w:szCs w:val="21"/>
                <w:highlight w:val="none"/>
              </w:rPr>
              <w:t>不</w:t>
            </w:r>
            <w:r>
              <w:rPr>
                <w:rFonts w:eastAsia="宋体"/>
                <w:color w:val="auto"/>
                <w:sz w:val="21"/>
                <w:szCs w:val="21"/>
                <w:highlight w:val="none"/>
              </w:rPr>
              <w:t>使用清洗剂、涂料、</w:t>
            </w:r>
            <w:r>
              <w:rPr>
                <w:rFonts w:hint="eastAsia" w:eastAsia="宋体"/>
                <w:color w:val="auto"/>
                <w:sz w:val="21"/>
                <w:szCs w:val="21"/>
                <w:highlight w:val="none"/>
              </w:rPr>
              <w:t>油墨、</w:t>
            </w:r>
            <w:r>
              <w:rPr>
                <w:rFonts w:eastAsia="宋体"/>
                <w:color w:val="auto"/>
                <w:sz w:val="21"/>
                <w:szCs w:val="21"/>
                <w:highlight w:val="none"/>
              </w:rPr>
              <w:t>胶粘剂，符合专项行动要求。</w:t>
            </w:r>
          </w:p>
        </w:tc>
        <w:tc>
          <w:tcPr>
            <w:tcW w:w="1025" w:type="dxa"/>
            <w:vAlign w:val="center"/>
          </w:tcPr>
          <w:p w14:paraId="6D950AE6">
            <w:pPr>
              <w:pStyle w:val="44"/>
              <w:adjustRightInd w:val="0"/>
              <w:snapToGrid w:val="0"/>
              <w:spacing w:after="0"/>
              <w:ind w:left="0" w:leftChars="0" w:right="-105" w:firstLine="0" w:firstLineChars="0"/>
              <w:jc w:val="center"/>
              <w:rPr>
                <w:rFonts w:eastAsia="宋体"/>
                <w:color w:val="auto"/>
                <w:sz w:val="21"/>
                <w:szCs w:val="21"/>
                <w:highlight w:val="none"/>
              </w:rPr>
            </w:pPr>
            <w:r>
              <w:rPr>
                <w:rFonts w:eastAsia="宋体"/>
                <w:color w:val="auto"/>
                <w:sz w:val="21"/>
                <w:szCs w:val="21"/>
                <w:highlight w:val="none"/>
              </w:rPr>
              <w:t>符合</w:t>
            </w:r>
          </w:p>
        </w:tc>
      </w:tr>
      <w:tr w14:paraId="7C0020B5">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c>
          <w:tcPr>
            <w:tcW w:w="852" w:type="dxa"/>
            <w:gridSpan w:val="2"/>
            <w:vMerge w:val="continue"/>
            <w:vAlign w:val="center"/>
          </w:tcPr>
          <w:p w14:paraId="1299B27F">
            <w:pPr>
              <w:pStyle w:val="44"/>
              <w:adjustRightInd w:val="0"/>
              <w:snapToGrid w:val="0"/>
              <w:spacing w:after="0"/>
              <w:ind w:left="0" w:leftChars="0" w:right="-105" w:firstLine="0" w:firstLineChars="0"/>
              <w:jc w:val="center"/>
              <w:rPr>
                <w:rFonts w:eastAsia="宋体"/>
                <w:color w:val="auto"/>
                <w:sz w:val="21"/>
                <w:szCs w:val="21"/>
                <w:highlight w:val="none"/>
              </w:rPr>
            </w:pPr>
          </w:p>
        </w:tc>
        <w:tc>
          <w:tcPr>
            <w:tcW w:w="3401" w:type="dxa"/>
            <w:gridSpan w:val="2"/>
            <w:vAlign w:val="center"/>
          </w:tcPr>
          <w:p w14:paraId="3F0DA403">
            <w:pPr>
              <w:pStyle w:val="44"/>
              <w:adjustRightInd w:val="0"/>
              <w:snapToGrid w:val="0"/>
              <w:spacing w:after="0"/>
              <w:ind w:left="0" w:leftChars="0" w:right="-105" w:firstLine="0" w:firstLineChars="0"/>
              <w:jc w:val="center"/>
              <w:rPr>
                <w:rFonts w:eastAsia="宋体"/>
                <w:color w:val="auto"/>
                <w:sz w:val="21"/>
                <w:szCs w:val="21"/>
                <w:highlight w:val="none"/>
              </w:rPr>
            </w:pPr>
            <w:r>
              <w:rPr>
                <w:rFonts w:eastAsia="宋体"/>
                <w:color w:val="auto"/>
                <w:sz w:val="21"/>
                <w:szCs w:val="21"/>
                <w:highlight w:val="none"/>
              </w:rPr>
              <w:t>《江苏省工业废水与生活污水分质处理工作推进方案》</w:t>
            </w:r>
          </w:p>
        </w:tc>
        <w:tc>
          <w:tcPr>
            <w:tcW w:w="3226" w:type="dxa"/>
            <w:vAlign w:val="center"/>
          </w:tcPr>
          <w:p w14:paraId="384E96DF">
            <w:pPr>
              <w:pStyle w:val="44"/>
              <w:adjustRightInd w:val="0"/>
              <w:snapToGrid w:val="0"/>
              <w:spacing w:after="0"/>
              <w:ind w:left="0" w:leftChars="0" w:right="-105" w:firstLine="0" w:firstLineChars="0"/>
              <w:jc w:val="center"/>
              <w:rPr>
                <w:rFonts w:eastAsia="宋体"/>
                <w:color w:val="auto"/>
                <w:sz w:val="21"/>
                <w:szCs w:val="21"/>
                <w:highlight w:val="none"/>
              </w:rPr>
            </w:pPr>
            <w:r>
              <w:rPr>
                <w:rFonts w:hint="eastAsia" w:eastAsia="宋体"/>
                <w:color w:val="auto"/>
                <w:sz w:val="21"/>
                <w:szCs w:val="21"/>
                <w:highlight w:val="none"/>
              </w:rPr>
              <w:t>企业</w:t>
            </w:r>
            <w:r>
              <w:rPr>
                <w:rFonts w:eastAsia="宋体"/>
                <w:color w:val="auto"/>
                <w:sz w:val="21"/>
                <w:szCs w:val="21"/>
                <w:highlight w:val="none"/>
              </w:rPr>
              <w:t>生活污水</w:t>
            </w:r>
            <w:r>
              <w:rPr>
                <w:rFonts w:hint="eastAsia" w:eastAsia="宋体"/>
                <w:color w:val="auto"/>
                <w:sz w:val="21"/>
                <w:szCs w:val="21"/>
                <w:highlight w:val="none"/>
              </w:rPr>
              <w:t>和初期雨水</w:t>
            </w:r>
            <w:r>
              <w:rPr>
                <w:rFonts w:eastAsia="宋体"/>
                <w:color w:val="auto"/>
                <w:sz w:val="21"/>
                <w:szCs w:val="21"/>
                <w:highlight w:val="none"/>
              </w:rPr>
              <w:t>由企业收集后委托无锡</w:t>
            </w:r>
            <w:r>
              <w:rPr>
                <w:rFonts w:hint="eastAsia" w:eastAsia="宋体"/>
                <w:color w:val="auto"/>
                <w:sz w:val="21"/>
                <w:szCs w:val="21"/>
                <w:highlight w:val="none"/>
              </w:rPr>
              <w:t>先进化药</w:t>
            </w:r>
            <w:r>
              <w:rPr>
                <w:rFonts w:eastAsia="宋体"/>
                <w:color w:val="auto"/>
                <w:sz w:val="21"/>
                <w:szCs w:val="21"/>
                <w:highlight w:val="none"/>
              </w:rPr>
              <w:t>化工有限公司处理达标后接入无锡市锡山云林污水处理有限公司</w:t>
            </w:r>
            <w:r>
              <w:rPr>
                <w:rFonts w:hint="eastAsia" w:eastAsia="宋体"/>
                <w:color w:val="auto"/>
                <w:sz w:val="21"/>
                <w:szCs w:val="21"/>
                <w:highlight w:val="none"/>
              </w:rPr>
              <w:t>。</w:t>
            </w:r>
          </w:p>
        </w:tc>
        <w:tc>
          <w:tcPr>
            <w:tcW w:w="1025" w:type="dxa"/>
            <w:vAlign w:val="center"/>
          </w:tcPr>
          <w:p w14:paraId="3A29B3CF">
            <w:pPr>
              <w:pStyle w:val="44"/>
              <w:adjustRightInd w:val="0"/>
              <w:snapToGrid w:val="0"/>
              <w:spacing w:after="0"/>
              <w:ind w:left="0" w:leftChars="0" w:right="-105" w:firstLine="0" w:firstLineChars="0"/>
              <w:jc w:val="center"/>
              <w:rPr>
                <w:rFonts w:eastAsia="宋体"/>
                <w:color w:val="auto"/>
                <w:sz w:val="21"/>
                <w:szCs w:val="21"/>
                <w:highlight w:val="none"/>
              </w:rPr>
            </w:pPr>
            <w:r>
              <w:rPr>
                <w:rFonts w:eastAsia="宋体"/>
                <w:color w:val="auto"/>
                <w:sz w:val="21"/>
                <w:szCs w:val="21"/>
                <w:highlight w:val="none"/>
              </w:rPr>
              <w:t>符合</w:t>
            </w:r>
          </w:p>
        </w:tc>
      </w:tr>
      <w:tr w14:paraId="4C752177">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c>
          <w:tcPr>
            <w:tcW w:w="852" w:type="dxa"/>
            <w:gridSpan w:val="2"/>
            <w:vMerge w:val="continue"/>
            <w:vAlign w:val="center"/>
          </w:tcPr>
          <w:p w14:paraId="523213B2">
            <w:pPr>
              <w:pStyle w:val="44"/>
              <w:adjustRightInd w:val="0"/>
              <w:snapToGrid w:val="0"/>
              <w:spacing w:after="0"/>
              <w:ind w:left="0" w:leftChars="0" w:right="-105" w:firstLine="0" w:firstLineChars="0"/>
              <w:jc w:val="center"/>
              <w:rPr>
                <w:rFonts w:eastAsia="宋体"/>
                <w:color w:val="auto"/>
                <w:sz w:val="21"/>
                <w:szCs w:val="21"/>
                <w:highlight w:val="none"/>
              </w:rPr>
            </w:pPr>
          </w:p>
        </w:tc>
        <w:tc>
          <w:tcPr>
            <w:tcW w:w="3401" w:type="dxa"/>
            <w:gridSpan w:val="2"/>
            <w:vAlign w:val="center"/>
          </w:tcPr>
          <w:p w14:paraId="2D6CCFE3">
            <w:pPr>
              <w:pStyle w:val="44"/>
              <w:adjustRightInd w:val="0"/>
              <w:snapToGrid w:val="0"/>
              <w:spacing w:after="0"/>
              <w:ind w:left="0" w:leftChars="0" w:right="-105" w:firstLine="0" w:firstLineChars="0"/>
              <w:jc w:val="center"/>
              <w:rPr>
                <w:rFonts w:eastAsia="宋体"/>
                <w:color w:val="auto"/>
                <w:sz w:val="21"/>
                <w:szCs w:val="21"/>
                <w:highlight w:val="none"/>
              </w:rPr>
            </w:pPr>
            <w:r>
              <w:rPr>
                <w:rFonts w:eastAsia="宋体"/>
                <w:color w:val="auto"/>
                <w:sz w:val="21"/>
                <w:szCs w:val="21"/>
                <w:highlight w:val="none"/>
              </w:rPr>
              <w:t>《</w:t>
            </w:r>
            <w:r>
              <w:rPr>
                <w:rFonts w:hint="eastAsia" w:eastAsia="宋体"/>
                <w:color w:val="auto"/>
                <w:sz w:val="21"/>
                <w:szCs w:val="21"/>
                <w:highlight w:val="none"/>
              </w:rPr>
              <w:t>“</w:t>
            </w:r>
            <w:r>
              <w:rPr>
                <w:rFonts w:eastAsia="宋体"/>
                <w:color w:val="auto"/>
                <w:sz w:val="21"/>
                <w:szCs w:val="21"/>
                <w:highlight w:val="none"/>
              </w:rPr>
              <w:t>十四五</w:t>
            </w:r>
            <w:r>
              <w:rPr>
                <w:rFonts w:hint="eastAsia" w:eastAsia="宋体"/>
                <w:color w:val="auto"/>
                <w:sz w:val="21"/>
                <w:szCs w:val="21"/>
                <w:highlight w:val="none"/>
              </w:rPr>
              <w:t>”</w:t>
            </w:r>
            <w:r>
              <w:rPr>
                <w:rFonts w:eastAsia="宋体"/>
                <w:color w:val="auto"/>
                <w:sz w:val="21"/>
                <w:szCs w:val="21"/>
                <w:highlight w:val="none"/>
              </w:rPr>
              <w:t>节能减排综合工作方案》</w:t>
            </w:r>
          </w:p>
        </w:tc>
        <w:tc>
          <w:tcPr>
            <w:tcW w:w="3226" w:type="dxa"/>
            <w:vAlign w:val="center"/>
          </w:tcPr>
          <w:p w14:paraId="41CADFC1">
            <w:pPr>
              <w:pStyle w:val="44"/>
              <w:adjustRightInd w:val="0"/>
              <w:snapToGrid w:val="0"/>
              <w:spacing w:after="0"/>
              <w:ind w:left="0" w:leftChars="0" w:right="-105" w:firstLine="0" w:firstLineChars="0"/>
              <w:jc w:val="center"/>
              <w:rPr>
                <w:rFonts w:eastAsia="宋体"/>
                <w:color w:val="auto"/>
                <w:sz w:val="21"/>
                <w:szCs w:val="21"/>
                <w:highlight w:val="none"/>
              </w:rPr>
            </w:pPr>
            <w:r>
              <w:rPr>
                <w:rFonts w:eastAsia="宋体"/>
                <w:color w:val="auto"/>
                <w:sz w:val="21"/>
                <w:szCs w:val="21"/>
                <w:highlight w:val="none"/>
              </w:rPr>
              <w:t>本项目</w:t>
            </w:r>
            <w:r>
              <w:rPr>
                <w:rFonts w:hint="eastAsia" w:eastAsia="宋体"/>
                <w:color w:val="auto"/>
                <w:sz w:val="21"/>
                <w:szCs w:val="21"/>
                <w:highlight w:val="none"/>
              </w:rPr>
              <w:t>不</w:t>
            </w:r>
            <w:r>
              <w:rPr>
                <w:rFonts w:eastAsia="宋体"/>
                <w:color w:val="auto"/>
                <w:sz w:val="21"/>
                <w:szCs w:val="21"/>
                <w:highlight w:val="none"/>
              </w:rPr>
              <w:t>使用清洗剂、涂料、</w:t>
            </w:r>
            <w:r>
              <w:rPr>
                <w:rFonts w:hint="eastAsia" w:eastAsia="宋体"/>
                <w:color w:val="auto"/>
                <w:sz w:val="21"/>
                <w:szCs w:val="21"/>
                <w:highlight w:val="none"/>
              </w:rPr>
              <w:t>油墨、</w:t>
            </w:r>
            <w:r>
              <w:rPr>
                <w:rFonts w:eastAsia="宋体"/>
                <w:color w:val="auto"/>
                <w:sz w:val="21"/>
                <w:szCs w:val="21"/>
                <w:highlight w:val="none"/>
              </w:rPr>
              <w:t>胶粘剂，符合要求。</w:t>
            </w:r>
          </w:p>
        </w:tc>
        <w:tc>
          <w:tcPr>
            <w:tcW w:w="1025" w:type="dxa"/>
            <w:vAlign w:val="center"/>
          </w:tcPr>
          <w:p w14:paraId="68B45CD7">
            <w:pPr>
              <w:pStyle w:val="44"/>
              <w:adjustRightInd w:val="0"/>
              <w:snapToGrid w:val="0"/>
              <w:spacing w:after="0"/>
              <w:ind w:left="0" w:leftChars="0" w:right="-105" w:firstLine="0" w:firstLineChars="0"/>
              <w:jc w:val="center"/>
              <w:rPr>
                <w:rFonts w:eastAsia="宋体"/>
                <w:color w:val="auto"/>
                <w:sz w:val="21"/>
                <w:szCs w:val="21"/>
                <w:highlight w:val="none"/>
              </w:rPr>
            </w:pPr>
            <w:r>
              <w:rPr>
                <w:rFonts w:eastAsia="宋体"/>
                <w:color w:val="auto"/>
                <w:sz w:val="21"/>
                <w:szCs w:val="21"/>
                <w:highlight w:val="none"/>
              </w:rPr>
              <w:t>符合</w:t>
            </w:r>
          </w:p>
        </w:tc>
      </w:tr>
      <w:tr w14:paraId="6F1DEEE9">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c>
          <w:tcPr>
            <w:tcW w:w="852" w:type="dxa"/>
            <w:gridSpan w:val="2"/>
            <w:vMerge w:val="continue"/>
            <w:vAlign w:val="center"/>
          </w:tcPr>
          <w:p w14:paraId="0F55DE11">
            <w:pPr>
              <w:pStyle w:val="44"/>
              <w:adjustRightInd w:val="0"/>
              <w:snapToGrid w:val="0"/>
              <w:spacing w:after="0"/>
              <w:ind w:left="0" w:leftChars="0" w:right="-105" w:firstLine="0" w:firstLineChars="0"/>
              <w:jc w:val="center"/>
              <w:rPr>
                <w:rFonts w:eastAsia="宋体"/>
                <w:color w:val="auto"/>
                <w:sz w:val="21"/>
                <w:szCs w:val="21"/>
                <w:highlight w:val="none"/>
              </w:rPr>
            </w:pPr>
          </w:p>
        </w:tc>
        <w:tc>
          <w:tcPr>
            <w:tcW w:w="3401" w:type="dxa"/>
            <w:gridSpan w:val="2"/>
            <w:vAlign w:val="center"/>
          </w:tcPr>
          <w:p w14:paraId="06C7DFBC">
            <w:pPr>
              <w:pStyle w:val="44"/>
              <w:adjustRightInd w:val="0"/>
              <w:snapToGrid w:val="0"/>
              <w:spacing w:after="0"/>
              <w:ind w:left="0" w:leftChars="0" w:right="-105" w:firstLine="0" w:firstLineChars="0"/>
              <w:jc w:val="center"/>
              <w:rPr>
                <w:rFonts w:eastAsia="宋体"/>
                <w:color w:val="auto"/>
                <w:sz w:val="21"/>
                <w:szCs w:val="21"/>
                <w:highlight w:val="none"/>
              </w:rPr>
            </w:pPr>
            <w:r>
              <w:rPr>
                <w:rFonts w:eastAsia="宋体"/>
                <w:color w:val="auto"/>
                <w:sz w:val="21"/>
                <w:szCs w:val="21"/>
                <w:highlight w:val="none"/>
              </w:rPr>
              <w:t>《市政府关于印发无锡市土壤污染防治工作方案的通知》（锡政发[2017]15号）</w:t>
            </w:r>
          </w:p>
        </w:tc>
        <w:tc>
          <w:tcPr>
            <w:tcW w:w="3226" w:type="dxa"/>
            <w:vAlign w:val="center"/>
          </w:tcPr>
          <w:p w14:paraId="44BE06CF">
            <w:pPr>
              <w:pStyle w:val="44"/>
              <w:adjustRightInd w:val="0"/>
              <w:snapToGrid w:val="0"/>
              <w:spacing w:after="0"/>
              <w:ind w:left="0" w:leftChars="0" w:right="-105" w:firstLine="0" w:firstLineChars="0"/>
              <w:jc w:val="center"/>
              <w:rPr>
                <w:rFonts w:eastAsia="宋体"/>
                <w:color w:val="auto"/>
                <w:sz w:val="21"/>
                <w:szCs w:val="21"/>
                <w:highlight w:val="none"/>
              </w:rPr>
            </w:pPr>
            <w:r>
              <w:rPr>
                <w:rFonts w:eastAsia="宋体"/>
                <w:color w:val="auto"/>
                <w:sz w:val="21"/>
                <w:szCs w:val="21"/>
                <w:highlight w:val="none"/>
              </w:rPr>
              <w:t>不属于有色金属冶炼、焦化等行业企业，项目产生的固废经合理处置，不外排。</w:t>
            </w:r>
          </w:p>
        </w:tc>
        <w:tc>
          <w:tcPr>
            <w:tcW w:w="1025" w:type="dxa"/>
            <w:vAlign w:val="center"/>
          </w:tcPr>
          <w:p w14:paraId="25349F51">
            <w:pPr>
              <w:pStyle w:val="44"/>
              <w:adjustRightInd w:val="0"/>
              <w:snapToGrid w:val="0"/>
              <w:spacing w:after="0"/>
              <w:ind w:left="0" w:leftChars="0" w:right="-105" w:firstLine="0" w:firstLineChars="0"/>
              <w:jc w:val="center"/>
              <w:rPr>
                <w:rFonts w:eastAsia="宋体"/>
                <w:color w:val="auto"/>
                <w:sz w:val="21"/>
                <w:szCs w:val="21"/>
                <w:highlight w:val="none"/>
              </w:rPr>
            </w:pPr>
            <w:r>
              <w:rPr>
                <w:rFonts w:eastAsia="宋体"/>
                <w:color w:val="auto"/>
                <w:sz w:val="21"/>
                <w:szCs w:val="21"/>
                <w:highlight w:val="none"/>
              </w:rPr>
              <w:t>符合</w:t>
            </w:r>
          </w:p>
        </w:tc>
      </w:tr>
      <w:tr w14:paraId="5E5F24C3">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c>
          <w:tcPr>
            <w:tcW w:w="852" w:type="dxa"/>
            <w:gridSpan w:val="2"/>
            <w:vMerge w:val="continue"/>
            <w:vAlign w:val="center"/>
          </w:tcPr>
          <w:p w14:paraId="04C94B93">
            <w:pPr>
              <w:pStyle w:val="44"/>
              <w:adjustRightInd w:val="0"/>
              <w:snapToGrid w:val="0"/>
              <w:spacing w:after="0"/>
              <w:ind w:left="0" w:leftChars="0" w:right="-105" w:firstLine="0" w:firstLineChars="0"/>
              <w:jc w:val="center"/>
              <w:rPr>
                <w:rFonts w:eastAsia="宋体"/>
                <w:color w:val="auto"/>
                <w:sz w:val="21"/>
                <w:szCs w:val="21"/>
                <w:highlight w:val="none"/>
              </w:rPr>
            </w:pPr>
          </w:p>
        </w:tc>
        <w:tc>
          <w:tcPr>
            <w:tcW w:w="3401" w:type="dxa"/>
            <w:gridSpan w:val="2"/>
            <w:vAlign w:val="center"/>
          </w:tcPr>
          <w:p w14:paraId="3E1FC39D">
            <w:pPr>
              <w:pStyle w:val="44"/>
              <w:adjustRightInd w:val="0"/>
              <w:snapToGrid w:val="0"/>
              <w:spacing w:after="0"/>
              <w:ind w:left="0" w:leftChars="0" w:right="-105" w:firstLine="0" w:firstLineChars="0"/>
              <w:jc w:val="center"/>
              <w:rPr>
                <w:rFonts w:eastAsia="宋体"/>
                <w:color w:val="auto"/>
                <w:sz w:val="21"/>
                <w:szCs w:val="21"/>
                <w:highlight w:val="none"/>
              </w:rPr>
            </w:pPr>
            <w:r>
              <w:rPr>
                <w:rFonts w:eastAsia="宋体"/>
                <w:color w:val="auto"/>
                <w:sz w:val="21"/>
                <w:szCs w:val="21"/>
                <w:highlight w:val="none"/>
              </w:rPr>
              <w:t>《省生态环境厅关于进一步做好建设项目环评审批工作的通知》（苏环办[2019]36号）</w:t>
            </w:r>
          </w:p>
        </w:tc>
        <w:tc>
          <w:tcPr>
            <w:tcW w:w="3226" w:type="dxa"/>
            <w:vAlign w:val="center"/>
          </w:tcPr>
          <w:p w14:paraId="51ED8EB6">
            <w:pPr>
              <w:pStyle w:val="44"/>
              <w:adjustRightInd w:val="0"/>
              <w:snapToGrid w:val="0"/>
              <w:spacing w:after="0"/>
              <w:ind w:left="0" w:leftChars="0" w:right="-105" w:firstLine="0" w:firstLineChars="0"/>
              <w:jc w:val="center"/>
              <w:rPr>
                <w:rFonts w:eastAsia="宋体"/>
                <w:color w:val="auto"/>
                <w:sz w:val="21"/>
                <w:szCs w:val="21"/>
                <w:highlight w:val="none"/>
              </w:rPr>
            </w:pPr>
            <w:r>
              <w:rPr>
                <w:rFonts w:eastAsia="宋体"/>
                <w:color w:val="auto"/>
                <w:sz w:val="21"/>
                <w:szCs w:val="21"/>
                <w:highlight w:val="none"/>
              </w:rPr>
              <w:t>项目所在地属于工业用地并实行总量控制制度，项目所在地不位于长江干支流1km范围内</w:t>
            </w:r>
          </w:p>
        </w:tc>
        <w:tc>
          <w:tcPr>
            <w:tcW w:w="1025" w:type="dxa"/>
            <w:vAlign w:val="center"/>
          </w:tcPr>
          <w:p w14:paraId="35872C1F">
            <w:pPr>
              <w:pStyle w:val="44"/>
              <w:adjustRightInd w:val="0"/>
              <w:snapToGrid w:val="0"/>
              <w:spacing w:after="0"/>
              <w:ind w:left="0" w:leftChars="0" w:right="-105" w:firstLine="0" w:firstLineChars="0"/>
              <w:jc w:val="center"/>
              <w:rPr>
                <w:rFonts w:eastAsia="宋体"/>
                <w:color w:val="auto"/>
                <w:sz w:val="21"/>
                <w:szCs w:val="21"/>
                <w:highlight w:val="none"/>
              </w:rPr>
            </w:pPr>
            <w:r>
              <w:rPr>
                <w:rFonts w:eastAsia="宋体"/>
                <w:color w:val="auto"/>
                <w:sz w:val="21"/>
                <w:szCs w:val="21"/>
                <w:highlight w:val="none"/>
              </w:rPr>
              <w:t>符合</w:t>
            </w:r>
          </w:p>
        </w:tc>
      </w:tr>
      <w:tr w14:paraId="2B1A6558">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c>
          <w:tcPr>
            <w:tcW w:w="852" w:type="dxa"/>
            <w:gridSpan w:val="2"/>
            <w:vMerge w:val="continue"/>
            <w:vAlign w:val="center"/>
          </w:tcPr>
          <w:p w14:paraId="1AAAECD5">
            <w:pPr>
              <w:pStyle w:val="44"/>
              <w:adjustRightInd w:val="0"/>
              <w:snapToGrid w:val="0"/>
              <w:spacing w:after="0"/>
              <w:ind w:left="0" w:leftChars="0" w:right="-105" w:firstLine="0" w:firstLineChars="0"/>
              <w:jc w:val="center"/>
              <w:rPr>
                <w:rFonts w:eastAsia="宋体"/>
                <w:color w:val="auto"/>
                <w:sz w:val="21"/>
                <w:szCs w:val="21"/>
                <w:highlight w:val="none"/>
              </w:rPr>
            </w:pPr>
          </w:p>
        </w:tc>
        <w:tc>
          <w:tcPr>
            <w:tcW w:w="3401" w:type="dxa"/>
            <w:gridSpan w:val="2"/>
            <w:vAlign w:val="center"/>
          </w:tcPr>
          <w:p w14:paraId="6E0CF594">
            <w:pPr>
              <w:pStyle w:val="44"/>
              <w:adjustRightInd w:val="0"/>
              <w:snapToGrid w:val="0"/>
              <w:spacing w:after="0"/>
              <w:ind w:left="0" w:leftChars="0" w:right="-105" w:firstLine="0" w:firstLineChars="0"/>
              <w:jc w:val="center"/>
              <w:rPr>
                <w:rFonts w:eastAsia="宋体"/>
                <w:color w:val="auto"/>
                <w:sz w:val="21"/>
                <w:szCs w:val="21"/>
                <w:highlight w:val="none"/>
              </w:rPr>
            </w:pPr>
            <w:r>
              <w:rPr>
                <w:rFonts w:eastAsia="宋体"/>
                <w:color w:val="auto"/>
                <w:sz w:val="21"/>
                <w:szCs w:val="21"/>
                <w:highlight w:val="none"/>
              </w:rPr>
              <w:t>《关于在环评审批阶段开展</w:t>
            </w:r>
            <w:r>
              <w:rPr>
                <w:rFonts w:hint="eastAsia" w:eastAsia="宋体"/>
                <w:color w:val="auto"/>
                <w:sz w:val="21"/>
                <w:szCs w:val="21"/>
                <w:highlight w:val="none"/>
              </w:rPr>
              <w:t>“</w:t>
            </w:r>
            <w:r>
              <w:rPr>
                <w:rFonts w:eastAsia="宋体"/>
                <w:color w:val="auto"/>
                <w:sz w:val="21"/>
                <w:szCs w:val="21"/>
                <w:highlight w:val="none"/>
              </w:rPr>
              <w:t>源头管控行动</w:t>
            </w:r>
            <w:r>
              <w:rPr>
                <w:rFonts w:hint="eastAsia" w:eastAsia="宋体"/>
                <w:color w:val="auto"/>
                <w:sz w:val="21"/>
                <w:szCs w:val="21"/>
                <w:highlight w:val="none"/>
              </w:rPr>
              <w:t>”</w:t>
            </w:r>
            <w:r>
              <w:rPr>
                <w:rFonts w:eastAsia="宋体"/>
                <w:color w:val="auto"/>
                <w:sz w:val="21"/>
                <w:szCs w:val="21"/>
                <w:highlight w:val="none"/>
              </w:rPr>
              <w:t>的工作意见》（锡环办[2021]142号）</w:t>
            </w:r>
          </w:p>
        </w:tc>
        <w:tc>
          <w:tcPr>
            <w:tcW w:w="3226" w:type="dxa"/>
            <w:vAlign w:val="center"/>
          </w:tcPr>
          <w:p w14:paraId="0ED9AAD6">
            <w:pPr>
              <w:pStyle w:val="44"/>
              <w:adjustRightInd w:val="0"/>
              <w:snapToGrid w:val="0"/>
              <w:spacing w:after="0"/>
              <w:ind w:left="0" w:leftChars="0" w:right="-105" w:firstLine="0" w:firstLineChars="0"/>
              <w:jc w:val="center"/>
              <w:rPr>
                <w:rFonts w:eastAsia="宋体"/>
                <w:color w:val="auto"/>
                <w:sz w:val="21"/>
                <w:szCs w:val="21"/>
                <w:highlight w:val="none"/>
              </w:rPr>
            </w:pPr>
            <w:r>
              <w:rPr>
                <w:rFonts w:eastAsia="宋体"/>
                <w:color w:val="auto"/>
                <w:sz w:val="21"/>
                <w:szCs w:val="21"/>
                <w:highlight w:val="none"/>
              </w:rPr>
              <w:t>本项目</w:t>
            </w:r>
            <w:r>
              <w:rPr>
                <w:rFonts w:hint="eastAsia" w:eastAsia="宋体"/>
                <w:color w:val="auto"/>
                <w:sz w:val="21"/>
                <w:szCs w:val="21"/>
                <w:highlight w:val="none"/>
              </w:rPr>
              <w:t>不</w:t>
            </w:r>
            <w:r>
              <w:rPr>
                <w:rFonts w:eastAsia="宋体"/>
                <w:color w:val="auto"/>
                <w:sz w:val="21"/>
                <w:szCs w:val="21"/>
                <w:highlight w:val="none"/>
              </w:rPr>
              <w:t>使用清洗剂、涂料、</w:t>
            </w:r>
            <w:r>
              <w:rPr>
                <w:rFonts w:hint="eastAsia" w:eastAsia="宋体"/>
                <w:color w:val="auto"/>
                <w:sz w:val="21"/>
                <w:szCs w:val="21"/>
                <w:highlight w:val="none"/>
              </w:rPr>
              <w:t>油墨、</w:t>
            </w:r>
            <w:r>
              <w:rPr>
                <w:rFonts w:eastAsia="宋体"/>
                <w:color w:val="auto"/>
                <w:sz w:val="21"/>
                <w:szCs w:val="21"/>
                <w:highlight w:val="none"/>
              </w:rPr>
              <w:t>胶粘剂，废气产生工段均采取有效处理措施，减少无组织排放，本项目属于电子专用材料制造，不属于</w:t>
            </w:r>
            <w:r>
              <w:rPr>
                <w:rFonts w:hint="eastAsia" w:eastAsia="宋体"/>
                <w:color w:val="auto"/>
                <w:sz w:val="21"/>
                <w:szCs w:val="21"/>
                <w:highlight w:val="none"/>
              </w:rPr>
              <w:t>“</w:t>
            </w:r>
            <w:r>
              <w:rPr>
                <w:rFonts w:eastAsia="宋体"/>
                <w:color w:val="auto"/>
                <w:sz w:val="21"/>
                <w:szCs w:val="21"/>
                <w:highlight w:val="none"/>
              </w:rPr>
              <w:t>两高</w:t>
            </w:r>
            <w:r>
              <w:rPr>
                <w:rFonts w:hint="eastAsia" w:eastAsia="宋体"/>
                <w:color w:val="auto"/>
                <w:sz w:val="21"/>
                <w:szCs w:val="21"/>
                <w:highlight w:val="none"/>
              </w:rPr>
              <w:t>”</w:t>
            </w:r>
            <w:r>
              <w:rPr>
                <w:rFonts w:eastAsia="宋体"/>
                <w:color w:val="auto"/>
                <w:sz w:val="21"/>
                <w:szCs w:val="21"/>
                <w:highlight w:val="none"/>
              </w:rPr>
              <w:t>行业。项目实行总量控制制度，满足生态环境准入清单、规划环评及行业建设环境准入条件，</w:t>
            </w:r>
            <w:r>
              <w:rPr>
                <w:rFonts w:hint="eastAsia" w:eastAsia="宋体"/>
                <w:color w:val="auto"/>
                <w:sz w:val="21"/>
                <w:szCs w:val="21"/>
                <w:highlight w:val="none"/>
              </w:rPr>
              <w:t>企业</w:t>
            </w:r>
            <w:r>
              <w:rPr>
                <w:rFonts w:eastAsia="宋体"/>
                <w:color w:val="auto"/>
                <w:sz w:val="21"/>
                <w:szCs w:val="21"/>
                <w:highlight w:val="none"/>
              </w:rPr>
              <w:t>生活污水</w:t>
            </w:r>
            <w:r>
              <w:rPr>
                <w:rFonts w:hint="eastAsia" w:eastAsia="宋体"/>
                <w:color w:val="auto"/>
                <w:sz w:val="21"/>
                <w:szCs w:val="21"/>
                <w:highlight w:val="none"/>
              </w:rPr>
              <w:t>经化粪池预处理后与初期雨水收集后委托无锡先进化药化工有限公司处理达标后接入无锡市锡山云林污水处理有限公司</w:t>
            </w:r>
            <w:r>
              <w:rPr>
                <w:rFonts w:eastAsia="宋体"/>
                <w:color w:val="auto"/>
                <w:sz w:val="21"/>
                <w:szCs w:val="21"/>
                <w:highlight w:val="none"/>
              </w:rPr>
              <w:t>。产生的固废或外卖，或委外处置，或由环卫部门定期清运，治污设施满足先进水平</w:t>
            </w:r>
          </w:p>
        </w:tc>
        <w:tc>
          <w:tcPr>
            <w:tcW w:w="1025" w:type="dxa"/>
            <w:vAlign w:val="center"/>
          </w:tcPr>
          <w:p w14:paraId="1C5593B0">
            <w:pPr>
              <w:pStyle w:val="44"/>
              <w:adjustRightInd w:val="0"/>
              <w:snapToGrid w:val="0"/>
              <w:spacing w:after="0"/>
              <w:ind w:left="0" w:leftChars="0" w:right="-105" w:firstLine="0" w:firstLineChars="0"/>
              <w:jc w:val="center"/>
              <w:rPr>
                <w:rFonts w:eastAsia="宋体"/>
                <w:color w:val="auto"/>
                <w:sz w:val="21"/>
                <w:szCs w:val="21"/>
                <w:highlight w:val="none"/>
              </w:rPr>
            </w:pPr>
            <w:r>
              <w:rPr>
                <w:rFonts w:eastAsia="宋体"/>
                <w:color w:val="auto"/>
                <w:sz w:val="21"/>
                <w:szCs w:val="21"/>
                <w:highlight w:val="none"/>
              </w:rPr>
              <w:t>符合</w:t>
            </w:r>
          </w:p>
        </w:tc>
      </w:tr>
      <w:tr w14:paraId="09383664">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c>
          <w:tcPr>
            <w:tcW w:w="852" w:type="dxa"/>
            <w:gridSpan w:val="2"/>
            <w:vMerge w:val="continue"/>
            <w:vAlign w:val="center"/>
          </w:tcPr>
          <w:p w14:paraId="52763F55">
            <w:pPr>
              <w:pStyle w:val="44"/>
              <w:adjustRightInd w:val="0"/>
              <w:snapToGrid w:val="0"/>
              <w:spacing w:after="0"/>
              <w:ind w:left="0" w:leftChars="0" w:right="-105" w:firstLine="0" w:firstLineChars="0"/>
              <w:jc w:val="center"/>
              <w:rPr>
                <w:rFonts w:eastAsia="宋体"/>
                <w:color w:val="auto"/>
                <w:sz w:val="21"/>
                <w:szCs w:val="21"/>
                <w:highlight w:val="none"/>
              </w:rPr>
            </w:pPr>
          </w:p>
        </w:tc>
        <w:tc>
          <w:tcPr>
            <w:tcW w:w="3401" w:type="dxa"/>
            <w:gridSpan w:val="2"/>
            <w:vAlign w:val="center"/>
          </w:tcPr>
          <w:p w14:paraId="77FD42F1">
            <w:pPr>
              <w:pStyle w:val="44"/>
              <w:adjustRightInd w:val="0"/>
              <w:snapToGrid w:val="0"/>
              <w:spacing w:after="0"/>
              <w:ind w:left="0" w:leftChars="0" w:right="-105" w:firstLine="0" w:firstLineChars="0"/>
              <w:jc w:val="center"/>
              <w:rPr>
                <w:rFonts w:eastAsia="宋体"/>
                <w:color w:val="auto"/>
                <w:sz w:val="21"/>
                <w:szCs w:val="21"/>
                <w:highlight w:val="none"/>
              </w:rPr>
            </w:pPr>
            <w:r>
              <w:rPr>
                <w:rFonts w:eastAsia="宋体"/>
                <w:color w:val="auto"/>
                <w:sz w:val="21"/>
                <w:szCs w:val="21"/>
                <w:highlight w:val="none"/>
              </w:rPr>
              <w:t>《江苏省挥发性有机物清洁原料替代工作方案》（苏大气办[2021]2号）、《无锡市重点行业挥发性有机物清洁原料替代工作方案》（锡大气办[2021]11号）</w:t>
            </w:r>
          </w:p>
        </w:tc>
        <w:tc>
          <w:tcPr>
            <w:tcW w:w="3226" w:type="dxa"/>
            <w:vAlign w:val="center"/>
          </w:tcPr>
          <w:p w14:paraId="3292B318">
            <w:pPr>
              <w:pStyle w:val="44"/>
              <w:adjustRightInd w:val="0"/>
              <w:snapToGrid w:val="0"/>
              <w:spacing w:after="0"/>
              <w:ind w:left="0" w:leftChars="0" w:right="-105" w:firstLine="0" w:firstLineChars="0"/>
              <w:jc w:val="center"/>
              <w:rPr>
                <w:rFonts w:eastAsia="宋体"/>
                <w:color w:val="auto"/>
                <w:sz w:val="21"/>
                <w:szCs w:val="21"/>
                <w:highlight w:val="none"/>
              </w:rPr>
            </w:pPr>
            <w:r>
              <w:rPr>
                <w:rFonts w:eastAsia="宋体"/>
                <w:color w:val="auto"/>
                <w:sz w:val="21"/>
                <w:szCs w:val="21"/>
                <w:highlight w:val="none"/>
              </w:rPr>
              <w:t>本项目属于电子专用材料制造，生产过程中不使用溶剂型涂料、油墨、清洗剂等高VOCs含量的原料</w:t>
            </w:r>
          </w:p>
        </w:tc>
        <w:tc>
          <w:tcPr>
            <w:tcW w:w="1025" w:type="dxa"/>
            <w:vAlign w:val="center"/>
          </w:tcPr>
          <w:p w14:paraId="3EE7EFAB">
            <w:pPr>
              <w:pStyle w:val="44"/>
              <w:adjustRightInd w:val="0"/>
              <w:snapToGrid w:val="0"/>
              <w:spacing w:after="0"/>
              <w:ind w:left="0" w:leftChars="0" w:right="-105" w:firstLine="0" w:firstLineChars="0"/>
              <w:jc w:val="center"/>
              <w:rPr>
                <w:rFonts w:eastAsia="宋体"/>
                <w:color w:val="auto"/>
                <w:sz w:val="21"/>
                <w:szCs w:val="21"/>
                <w:highlight w:val="none"/>
              </w:rPr>
            </w:pPr>
            <w:r>
              <w:rPr>
                <w:rFonts w:eastAsia="宋体"/>
                <w:color w:val="auto"/>
                <w:sz w:val="21"/>
                <w:szCs w:val="21"/>
                <w:highlight w:val="none"/>
              </w:rPr>
              <w:t>符合</w:t>
            </w:r>
          </w:p>
        </w:tc>
      </w:tr>
      <w:tr w14:paraId="08A9E501">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c>
          <w:tcPr>
            <w:tcW w:w="852" w:type="dxa"/>
            <w:gridSpan w:val="2"/>
            <w:vMerge w:val="continue"/>
            <w:vAlign w:val="center"/>
          </w:tcPr>
          <w:p w14:paraId="02E4C7D4">
            <w:pPr>
              <w:pStyle w:val="44"/>
              <w:adjustRightInd w:val="0"/>
              <w:snapToGrid w:val="0"/>
              <w:spacing w:after="0"/>
              <w:ind w:left="0" w:leftChars="0" w:right="-105" w:firstLine="0" w:firstLineChars="0"/>
              <w:jc w:val="center"/>
              <w:rPr>
                <w:rFonts w:eastAsia="宋体"/>
                <w:color w:val="auto"/>
                <w:sz w:val="21"/>
                <w:szCs w:val="21"/>
                <w:highlight w:val="none"/>
              </w:rPr>
            </w:pPr>
          </w:p>
        </w:tc>
        <w:tc>
          <w:tcPr>
            <w:tcW w:w="3401" w:type="dxa"/>
            <w:gridSpan w:val="2"/>
            <w:vAlign w:val="center"/>
          </w:tcPr>
          <w:p w14:paraId="53FEE996">
            <w:pPr>
              <w:pStyle w:val="44"/>
              <w:adjustRightInd w:val="0"/>
              <w:snapToGrid w:val="0"/>
              <w:spacing w:after="0"/>
              <w:ind w:left="0" w:leftChars="0" w:right="-105" w:firstLine="0" w:firstLineChars="0"/>
              <w:jc w:val="center"/>
              <w:rPr>
                <w:rFonts w:eastAsia="宋体"/>
                <w:color w:val="auto"/>
                <w:sz w:val="21"/>
                <w:szCs w:val="21"/>
                <w:highlight w:val="none"/>
              </w:rPr>
            </w:pPr>
            <w:r>
              <w:rPr>
                <w:rFonts w:eastAsia="宋体"/>
                <w:color w:val="auto"/>
                <w:sz w:val="21"/>
                <w:szCs w:val="21"/>
                <w:highlight w:val="none"/>
              </w:rPr>
              <w:t>《省政府办公厅关于加快推进城市污水处理能力建设全面提升污水集中收集处理率的实施意见》（苏政办发[2022]42号）</w:t>
            </w:r>
          </w:p>
        </w:tc>
        <w:tc>
          <w:tcPr>
            <w:tcW w:w="3226" w:type="dxa"/>
            <w:vAlign w:val="center"/>
          </w:tcPr>
          <w:p w14:paraId="31B2E887">
            <w:pPr>
              <w:pStyle w:val="44"/>
              <w:adjustRightInd w:val="0"/>
              <w:snapToGrid w:val="0"/>
              <w:spacing w:after="0"/>
              <w:ind w:left="0" w:leftChars="0" w:right="-105" w:firstLine="0" w:firstLineChars="0"/>
              <w:jc w:val="center"/>
              <w:rPr>
                <w:rFonts w:eastAsia="宋体"/>
                <w:color w:val="auto"/>
                <w:sz w:val="21"/>
                <w:szCs w:val="21"/>
                <w:highlight w:val="none"/>
              </w:rPr>
            </w:pPr>
            <w:r>
              <w:rPr>
                <w:rFonts w:hint="eastAsia" w:eastAsia="宋体"/>
                <w:color w:val="auto"/>
                <w:sz w:val="21"/>
                <w:szCs w:val="21"/>
                <w:highlight w:val="none"/>
              </w:rPr>
              <w:t>企业</w:t>
            </w:r>
            <w:r>
              <w:rPr>
                <w:rFonts w:eastAsia="宋体"/>
                <w:color w:val="auto"/>
                <w:sz w:val="21"/>
                <w:szCs w:val="21"/>
                <w:highlight w:val="none"/>
              </w:rPr>
              <w:t>生活污水</w:t>
            </w:r>
            <w:r>
              <w:rPr>
                <w:rFonts w:hint="eastAsia" w:eastAsia="宋体"/>
                <w:color w:val="auto"/>
                <w:sz w:val="21"/>
                <w:szCs w:val="21"/>
                <w:highlight w:val="none"/>
              </w:rPr>
              <w:t>经化粪池预处理后与初期雨水收集后委托无锡先进化药化工有限公司处理达标后接入无锡市锡山云林污水处理有限公司</w:t>
            </w:r>
            <w:r>
              <w:rPr>
                <w:rFonts w:eastAsia="宋体"/>
                <w:color w:val="auto"/>
                <w:sz w:val="21"/>
                <w:szCs w:val="21"/>
                <w:highlight w:val="none"/>
              </w:rPr>
              <w:t>。项目建成后将依法取得排污许可证。</w:t>
            </w:r>
          </w:p>
        </w:tc>
        <w:tc>
          <w:tcPr>
            <w:tcW w:w="1025" w:type="dxa"/>
            <w:vAlign w:val="center"/>
          </w:tcPr>
          <w:p w14:paraId="3B1E2462">
            <w:pPr>
              <w:pStyle w:val="44"/>
              <w:adjustRightInd w:val="0"/>
              <w:snapToGrid w:val="0"/>
              <w:spacing w:after="0"/>
              <w:ind w:left="0" w:leftChars="0" w:right="-105" w:firstLine="0" w:firstLineChars="0"/>
              <w:jc w:val="center"/>
              <w:rPr>
                <w:rFonts w:eastAsia="宋体"/>
                <w:color w:val="auto"/>
                <w:sz w:val="21"/>
                <w:szCs w:val="21"/>
                <w:highlight w:val="none"/>
              </w:rPr>
            </w:pPr>
            <w:r>
              <w:rPr>
                <w:rFonts w:eastAsia="宋体"/>
                <w:color w:val="auto"/>
                <w:sz w:val="21"/>
                <w:szCs w:val="21"/>
                <w:highlight w:val="none"/>
              </w:rPr>
              <w:t>符合</w:t>
            </w:r>
          </w:p>
        </w:tc>
      </w:tr>
      <w:tr w14:paraId="49F4BEEA">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c>
          <w:tcPr>
            <w:tcW w:w="852" w:type="dxa"/>
            <w:gridSpan w:val="2"/>
            <w:vMerge w:val="continue"/>
            <w:vAlign w:val="center"/>
          </w:tcPr>
          <w:p w14:paraId="5643A270">
            <w:pPr>
              <w:pStyle w:val="44"/>
              <w:adjustRightInd w:val="0"/>
              <w:snapToGrid w:val="0"/>
              <w:spacing w:after="0"/>
              <w:ind w:left="0" w:leftChars="0" w:right="-105" w:firstLine="0" w:firstLineChars="0"/>
              <w:jc w:val="center"/>
              <w:rPr>
                <w:rFonts w:eastAsia="宋体"/>
                <w:color w:val="auto"/>
                <w:sz w:val="21"/>
                <w:szCs w:val="21"/>
                <w:highlight w:val="none"/>
              </w:rPr>
            </w:pPr>
          </w:p>
        </w:tc>
        <w:tc>
          <w:tcPr>
            <w:tcW w:w="3401" w:type="dxa"/>
            <w:gridSpan w:val="2"/>
            <w:vAlign w:val="center"/>
          </w:tcPr>
          <w:p w14:paraId="01B70DBF">
            <w:pPr>
              <w:pStyle w:val="44"/>
              <w:adjustRightInd w:val="0"/>
              <w:snapToGrid w:val="0"/>
              <w:spacing w:after="0"/>
              <w:ind w:left="0" w:leftChars="0" w:right="-105" w:firstLine="0" w:firstLineChars="0"/>
              <w:jc w:val="center"/>
              <w:rPr>
                <w:rFonts w:eastAsia="宋体"/>
                <w:color w:val="auto"/>
                <w:sz w:val="21"/>
                <w:szCs w:val="21"/>
                <w:highlight w:val="none"/>
              </w:rPr>
            </w:pPr>
            <w:r>
              <w:rPr>
                <w:rFonts w:eastAsia="宋体"/>
                <w:color w:val="auto"/>
                <w:sz w:val="21"/>
                <w:szCs w:val="21"/>
                <w:highlight w:val="none"/>
              </w:rPr>
              <w:t>《无锡市锡山区锡北镇总体规划（2015-2030）》、《八士-陆家巷、八士-八士管理单元更新后土地利用规划图》</w:t>
            </w:r>
          </w:p>
        </w:tc>
        <w:tc>
          <w:tcPr>
            <w:tcW w:w="3226" w:type="dxa"/>
            <w:vAlign w:val="center"/>
          </w:tcPr>
          <w:p w14:paraId="062289F2">
            <w:pPr>
              <w:pStyle w:val="44"/>
              <w:adjustRightInd w:val="0"/>
              <w:snapToGrid w:val="0"/>
              <w:spacing w:after="0"/>
              <w:ind w:left="0" w:leftChars="0" w:right="-105" w:firstLine="0" w:firstLineChars="0"/>
              <w:jc w:val="center"/>
              <w:rPr>
                <w:rFonts w:eastAsia="宋体"/>
                <w:color w:val="auto"/>
                <w:sz w:val="21"/>
                <w:szCs w:val="21"/>
                <w:highlight w:val="none"/>
              </w:rPr>
            </w:pPr>
            <w:r>
              <w:rPr>
                <w:rFonts w:eastAsia="宋体"/>
                <w:color w:val="auto"/>
                <w:sz w:val="21"/>
                <w:szCs w:val="21"/>
                <w:highlight w:val="none"/>
              </w:rPr>
              <w:t>二类工业用地</w:t>
            </w:r>
          </w:p>
        </w:tc>
        <w:tc>
          <w:tcPr>
            <w:tcW w:w="1025" w:type="dxa"/>
            <w:vAlign w:val="center"/>
          </w:tcPr>
          <w:p w14:paraId="364F497A">
            <w:pPr>
              <w:pStyle w:val="44"/>
              <w:adjustRightInd w:val="0"/>
              <w:snapToGrid w:val="0"/>
              <w:spacing w:after="0"/>
              <w:ind w:left="0" w:leftChars="0" w:right="-105" w:firstLine="0" w:firstLineChars="0"/>
              <w:jc w:val="center"/>
              <w:rPr>
                <w:rFonts w:eastAsia="宋体"/>
                <w:color w:val="auto"/>
                <w:sz w:val="21"/>
                <w:szCs w:val="21"/>
                <w:highlight w:val="none"/>
              </w:rPr>
            </w:pPr>
            <w:r>
              <w:rPr>
                <w:rFonts w:eastAsia="宋体"/>
                <w:color w:val="auto"/>
                <w:sz w:val="21"/>
                <w:szCs w:val="21"/>
                <w:highlight w:val="none"/>
              </w:rPr>
              <w:t>符合</w:t>
            </w:r>
          </w:p>
        </w:tc>
      </w:tr>
      <w:tr w14:paraId="68199C08">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c>
          <w:tcPr>
            <w:tcW w:w="426" w:type="dxa"/>
            <w:vMerge w:val="restart"/>
            <w:vAlign w:val="center"/>
          </w:tcPr>
          <w:p w14:paraId="362CA048">
            <w:pPr>
              <w:pStyle w:val="44"/>
              <w:adjustRightInd w:val="0"/>
              <w:snapToGrid w:val="0"/>
              <w:spacing w:after="0"/>
              <w:ind w:left="0" w:leftChars="0" w:right="-105" w:firstLine="0" w:firstLineChars="0"/>
              <w:jc w:val="center"/>
              <w:rPr>
                <w:rFonts w:eastAsia="宋体"/>
                <w:color w:val="auto"/>
                <w:sz w:val="21"/>
                <w:szCs w:val="21"/>
                <w:highlight w:val="none"/>
              </w:rPr>
            </w:pPr>
            <w:r>
              <w:rPr>
                <w:rFonts w:eastAsia="宋体"/>
                <w:color w:val="auto"/>
                <w:sz w:val="21"/>
                <w:szCs w:val="21"/>
                <w:highlight w:val="none"/>
              </w:rPr>
              <w:t>三线一单</w:t>
            </w:r>
          </w:p>
        </w:tc>
        <w:tc>
          <w:tcPr>
            <w:tcW w:w="426" w:type="dxa"/>
            <w:vMerge w:val="restart"/>
            <w:vAlign w:val="center"/>
          </w:tcPr>
          <w:p w14:paraId="26E0D2BF">
            <w:pPr>
              <w:pStyle w:val="44"/>
              <w:adjustRightInd w:val="0"/>
              <w:snapToGrid w:val="0"/>
              <w:spacing w:after="0"/>
              <w:ind w:left="0" w:leftChars="0" w:right="-105" w:firstLine="0" w:firstLineChars="0"/>
              <w:jc w:val="center"/>
              <w:rPr>
                <w:rFonts w:eastAsia="宋体"/>
                <w:color w:val="auto"/>
                <w:sz w:val="21"/>
                <w:szCs w:val="21"/>
                <w:highlight w:val="none"/>
              </w:rPr>
            </w:pPr>
            <w:r>
              <w:rPr>
                <w:rFonts w:eastAsia="宋体"/>
                <w:color w:val="auto"/>
                <w:sz w:val="21"/>
                <w:szCs w:val="21"/>
                <w:highlight w:val="none"/>
              </w:rPr>
              <w:t>生态保护红线</w:t>
            </w:r>
          </w:p>
        </w:tc>
        <w:tc>
          <w:tcPr>
            <w:tcW w:w="3401" w:type="dxa"/>
            <w:gridSpan w:val="2"/>
            <w:vAlign w:val="center"/>
          </w:tcPr>
          <w:p w14:paraId="59F230BC">
            <w:pPr>
              <w:pStyle w:val="44"/>
              <w:adjustRightInd w:val="0"/>
              <w:snapToGrid w:val="0"/>
              <w:spacing w:after="0"/>
              <w:ind w:left="0" w:leftChars="0" w:right="-105" w:firstLine="0" w:firstLineChars="0"/>
              <w:jc w:val="center"/>
              <w:rPr>
                <w:rFonts w:eastAsia="宋体"/>
                <w:color w:val="auto"/>
                <w:sz w:val="21"/>
                <w:szCs w:val="21"/>
                <w:highlight w:val="none"/>
              </w:rPr>
            </w:pPr>
            <w:r>
              <w:rPr>
                <w:rFonts w:eastAsia="宋体"/>
                <w:color w:val="auto"/>
                <w:sz w:val="21"/>
                <w:szCs w:val="21"/>
                <w:highlight w:val="none"/>
              </w:rPr>
              <w:t>《省政府关于印发江苏省生态空间管控区域规划的通知》（苏政发[2020]1号）</w:t>
            </w:r>
          </w:p>
        </w:tc>
        <w:tc>
          <w:tcPr>
            <w:tcW w:w="3226" w:type="dxa"/>
            <w:vMerge w:val="restart"/>
            <w:vAlign w:val="center"/>
          </w:tcPr>
          <w:p w14:paraId="0340E6C4">
            <w:pPr>
              <w:pStyle w:val="44"/>
              <w:adjustRightInd w:val="0"/>
              <w:snapToGrid w:val="0"/>
              <w:spacing w:after="0"/>
              <w:ind w:left="0" w:leftChars="0" w:right="-105" w:firstLine="0" w:firstLineChars="0"/>
              <w:jc w:val="center"/>
              <w:rPr>
                <w:rFonts w:eastAsia="宋体"/>
                <w:color w:val="auto"/>
                <w:sz w:val="21"/>
                <w:szCs w:val="21"/>
                <w:highlight w:val="none"/>
              </w:rPr>
            </w:pPr>
            <w:r>
              <w:rPr>
                <w:rFonts w:eastAsia="宋体"/>
                <w:color w:val="auto"/>
                <w:sz w:val="21"/>
                <w:szCs w:val="21"/>
                <w:highlight w:val="none"/>
              </w:rPr>
              <w:t>本项目选址不在生态保护红线规划范围内；距本项目最近的生态红线区域为</w:t>
            </w:r>
            <w:r>
              <w:rPr>
                <w:rFonts w:hint="eastAsia" w:eastAsia="宋体"/>
                <w:color w:val="auto"/>
                <w:sz w:val="21"/>
                <w:szCs w:val="21"/>
                <w:highlight w:val="none"/>
              </w:rPr>
              <w:t>京沪高铁锡山段沿线生态防护林</w:t>
            </w:r>
            <w:r>
              <w:rPr>
                <w:rFonts w:eastAsia="宋体"/>
                <w:color w:val="auto"/>
                <w:sz w:val="21"/>
                <w:szCs w:val="21"/>
                <w:highlight w:val="none"/>
              </w:rPr>
              <w:t>，位于本项目东侧厂界约</w:t>
            </w:r>
            <w:r>
              <w:rPr>
                <w:rFonts w:hint="eastAsia" w:eastAsia="宋体"/>
                <w:color w:val="auto"/>
                <w:sz w:val="21"/>
                <w:szCs w:val="21"/>
                <w:highlight w:val="none"/>
              </w:rPr>
              <w:t>733</w:t>
            </w:r>
            <w:r>
              <w:rPr>
                <w:rFonts w:eastAsia="宋体"/>
                <w:color w:val="auto"/>
                <w:sz w:val="21"/>
                <w:szCs w:val="21"/>
                <w:highlight w:val="none"/>
              </w:rPr>
              <w:t>m。</w:t>
            </w:r>
          </w:p>
        </w:tc>
        <w:tc>
          <w:tcPr>
            <w:tcW w:w="1025" w:type="dxa"/>
            <w:vAlign w:val="center"/>
          </w:tcPr>
          <w:p w14:paraId="5439158D">
            <w:pPr>
              <w:pStyle w:val="44"/>
              <w:adjustRightInd w:val="0"/>
              <w:snapToGrid w:val="0"/>
              <w:spacing w:after="0"/>
              <w:ind w:left="0" w:leftChars="0" w:right="-105" w:firstLine="0" w:firstLineChars="0"/>
              <w:jc w:val="center"/>
              <w:rPr>
                <w:rFonts w:eastAsia="宋体"/>
                <w:color w:val="auto"/>
                <w:sz w:val="21"/>
                <w:szCs w:val="21"/>
                <w:highlight w:val="none"/>
              </w:rPr>
            </w:pPr>
            <w:r>
              <w:rPr>
                <w:rFonts w:eastAsia="宋体"/>
                <w:color w:val="auto"/>
                <w:sz w:val="21"/>
                <w:szCs w:val="21"/>
                <w:highlight w:val="none"/>
              </w:rPr>
              <w:t>符合</w:t>
            </w:r>
          </w:p>
        </w:tc>
      </w:tr>
      <w:tr w14:paraId="715BF913">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c>
          <w:tcPr>
            <w:tcW w:w="426" w:type="dxa"/>
            <w:vMerge w:val="continue"/>
            <w:vAlign w:val="center"/>
          </w:tcPr>
          <w:p w14:paraId="476EB8F4">
            <w:pPr>
              <w:pStyle w:val="44"/>
              <w:adjustRightInd w:val="0"/>
              <w:snapToGrid w:val="0"/>
              <w:spacing w:after="0"/>
              <w:ind w:left="0" w:leftChars="0" w:right="-105" w:firstLine="0" w:firstLineChars="0"/>
              <w:jc w:val="center"/>
              <w:rPr>
                <w:rFonts w:eastAsia="宋体"/>
                <w:color w:val="auto"/>
                <w:sz w:val="21"/>
                <w:szCs w:val="21"/>
                <w:highlight w:val="none"/>
              </w:rPr>
            </w:pPr>
          </w:p>
        </w:tc>
        <w:tc>
          <w:tcPr>
            <w:tcW w:w="426" w:type="dxa"/>
            <w:vMerge w:val="continue"/>
            <w:vAlign w:val="center"/>
          </w:tcPr>
          <w:p w14:paraId="6B057BB3">
            <w:pPr>
              <w:pStyle w:val="44"/>
              <w:adjustRightInd w:val="0"/>
              <w:snapToGrid w:val="0"/>
              <w:spacing w:after="0"/>
              <w:ind w:left="0" w:leftChars="0" w:right="-105" w:firstLine="0" w:firstLineChars="0"/>
              <w:jc w:val="center"/>
              <w:rPr>
                <w:rFonts w:eastAsia="宋体"/>
                <w:color w:val="auto"/>
                <w:sz w:val="21"/>
                <w:szCs w:val="21"/>
                <w:highlight w:val="none"/>
              </w:rPr>
            </w:pPr>
          </w:p>
        </w:tc>
        <w:tc>
          <w:tcPr>
            <w:tcW w:w="3401" w:type="dxa"/>
            <w:gridSpan w:val="2"/>
            <w:vAlign w:val="center"/>
          </w:tcPr>
          <w:p w14:paraId="1E6C76D8">
            <w:pPr>
              <w:pStyle w:val="44"/>
              <w:adjustRightInd w:val="0"/>
              <w:snapToGrid w:val="0"/>
              <w:spacing w:after="0"/>
              <w:ind w:left="0" w:leftChars="0" w:right="-105" w:firstLine="0" w:firstLineChars="0"/>
              <w:jc w:val="center"/>
              <w:rPr>
                <w:rFonts w:eastAsia="宋体"/>
                <w:color w:val="auto"/>
                <w:sz w:val="21"/>
                <w:szCs w:val="21"/>
                <w:highlight w:val="none"/>
              </w:rPr>
            </w:pPr>
            <w:r>
              <w:rPr>
                <w:rFonts w:eastAsia="宋体"/>
                <w:color w:val="auto"/>
                <w:sz w:val="21"/>
                <w:szCs w:val="21"/>
                <w:highlight w:val="none"/>
              </w:rPr>
              <w:t>《省政府关于印发&lt;江苏省国家级生态保护红线规划&gt;的通知》（苏政发[2018]74号）</w:t>
            </w:r>
          </w:p>
        </w:tc>
        <w:tc>
          <w:tcPr>
            <w:tcW w:w="3226" w:type="dxa"/>
            <w:vMerge w:val="continue"/>
            <w:vAlign w:val="center"/>
          </w:tcPr>
          <w:p w14:paraId="35DAAEF3">
            <w:pPr>
              <w:pStyle w:val="44"/>
              <w:adjustRightInd w:val="0"/>
              <w:snapToGrid w:val="0"/>
              <w:spacing w:after="0"/>
              <w:ind w:left="0" w:leftChars="0" w:right="-105" w:firstLine="0" w:firstLineChars="0"/>
              <w:jc w:val="center"/>
              <w:rPr>
                <w:rFonts w:eastAsia="宋体"/>
                <w:color w:val="auto"/>
                <w:sz w:val="21"/>
                <w:szCs w:val="21"/>
                <w:highlight w:val="none"/>
              </w:rPr>
            </w:pPr>
          </w:p>
        </w:tc>
        <w:tc>
          <w:tcPr>
            <w:tcW w:w="1025" w:type="dxa"/>
            <w:vAlign w:val="center"/>
          </w:tcPr>
          <w:p w14:paraId="31E3462D">
            <w:pPr>
              <w:pStyle w:val="44"/>
              <w:adjustRightInd w:val="0"/>
              <w:snapToGrid w:val="0"/>
              <w:spacing w:after="0"/>
              <w:ind w:left="0" w:leftChars="0" w:right="-105" w:firstLine="0" w:firstLineChars="0"/>
              <w:jc w:val="center"/>
              <w:rPr>
                <w:rFonts w:eastAsia="宋体"/>
                <w:color w:val="auto"/>
                <w:sz w:val="21"/>
                <w:szCs w:val="21"/>
                <w:highlight w:val="none"/>
              </w:rPr>
            </w:pPr>
            <w:r>
              <w:rPr>
                <w:rFonts w:eastAsia="宋体"/>
                <w:color w:val="auto"/>
                <w:sz w:val="21"/>
                <w:szCs w:val="21"/>
                <w:highlight w:val="none"/>
              </w:rPr>
              <w:t>符合</w:t>
            </w:r>
          </w:p>
        </w:tc>
      </w:tr>
      <w:tr w14:paraId="7118FCEF">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c>
          <w:tcPr>
            <w:tcW w:w="426" w:type="dxa"/>
            <w:vMerge w:val="continue"/>
            <w:vAlign w:val="center"/>
          </w:tcPr>
          <w:p w14:paraId="7A7B04C1">
            <w:pPr>
              <w:pStyle w:val="44"/>
              <w:adjustRightInd w:val="0"/>
              <w:snapToGrid w:val="0"/>
              <w:spacing w:after="0"/>
              <w:ind w:left="0" w:leftChars="0" w:right="-105" w:firstLine="0" w:firstLineChars="0"/>
              <w:jc w:val="center"/>
              <w:rPr>
                <w:rFonts w:eastAsia="宋体"/>
                <w:color w:val="auto"/>
                <w:sz w:val="21"/>
                <w:szCs w:val="21"/>
                <w:highlight w:val="none"/>
              </w:rPr>
            </w:pPr>
          </w:p>
        </w:tc>
        <w:tc>
          <w:tcPr>
            <w:tcW w:w="426" w:type="dxa"/>
            <w:vMerge w:val="continue"/>
            <w:vAlign w:val="center"/>
          </w:tcPr>
          <w:p w14:paraId="19BE3F9F">
            <w:pPr>
              <w:pStyle w:val="44"/>
              <w:adjustRightInd w:val="0"/>
              <w:snapToGrid w:val="0"/>
              <w:spacing w:after="0"/>
              <w:ind w:left="0" w:leftChars="0" w:right="-105" w:firstLine="0" w:firstLineChars="0"/>
              <w:jc w:val="center"/>
              <w:rPr>
                <w:rFonts w:eastAsia="宋体"/>
                <w:color w:val="auto"/>
                <w:sz w:val="21"/>
                <w:szCs w:val="21"/>
                <w:highlight w:val="none"/>
              </w:rPr>
            </w:pPr>
          </w:p>
        </w:tc>
        <w:tc>
          <w:tcPr>
            <w:tcW w:w="3401" w:type="dxa"/>
            <w:gridSpan w:val="2"/>
            <w:vAlign w:val="center"/>
          </w:tcPr>
          <w:p w14:paraId="7118BE91">
            <w:pPr>
              <w:pStyle w:val="44"/>
              <w:adjustRightInd w:val="0"/>
              <w:snapToGrid w:val="0"/>
              <w:spacing w:after="0"/>
              <w:ind w:left="0" w:leftChars="0" w:right="-105" w:firstLine="0" w:firstLineChars="0"/>
              <w:jc w:val="center"/>
              <w:rPr>
                <w:rFonts w:eastAsia="宋体"/>
                <w:color w:val="auto"/>
                <w:sz w:val="21"/>
                <w:szCs w:val="21"/>
                <w:highlight w:val="none"/>
              </w:rPr>
            </w:pPr>
            <w:r>
              <w:rPr>
                <w:rFonts w:eastAsia="宋体"/>
                <w:color w:val="auto"/>
                <w:sz w:val="21"/>
                <w:szCs w:val="21"/>
                <w:highlight w:val="none"/>
              </w:rPr>
              <w:t>《无锡市锡山区生态文明建设规划》</w:t>
            </w:r>
          </w:p>
        </w:tc>
        <w:tc>
          <w:tcPr>
            <w:tcW w:w="3226" w:type="dxa"/>
            <w:vMerge w:val="continue"/>
            <w:vAlign w:val="center"/>
          </w:tcPr>
          <w:p w14:paraId="5E1C3F5A">
            <w:pPr>
              <w:pStyle w:val="44"/>
              <w:adjustRightInd w:val="0"/>
              <w:snapToGrid w:val="0"/>
              <w:spacing w:after="0"/>
              <w:ind w:left="0" w:leftChars="0" w:right="-105" w:firstLine="0" w:firstLineChars="0"/>
              <w:jc w:val="center"/>
              <w:rPr>
                <w:rFonts w:eastAsia="宋体"/>
                <w:color w:val="auto"/>
                <w:sz w:val="21"/>
                <w:szCs w:val="21"/>
                <w:highlight w:val="none"/>
              </w:rPr>
            </w:pPr>
          </w:p>
        </w:tc>
        <w:tc>
          <w:tcPr>
            <w:tcW w:w="1025" w:type="dxa"/>
            <w:vAlign w:val="center"/>
          </w:tcPr>
          <w:p w14:paraId="7DEF2B9A">
            <w:pPr>
              <w:pStyle w:val="44"/>
              <w:adjustRightInd w:val="0"/>
              <w:snapToGrid w:val="0"/>
              <w:spacing w:after="0"/>
              <w:ind w:left="0" w:leftChars="0" w:right="-105" w:firstLine="0" w:firstLineChars="0"/>
              <w:jc w:val="center"/>
              <w:rPr>
                <w:rFonts w:eastAsia="宋体"/>
                <w:color w:val="auto"/>
                <w:sz w:val="21"/>
                <w:szCs w:val="21"/>
                <w:highlight w:val="none"/>
              </w:rPr>
            </w:pPr>
            <w:r>
              <w:rPr>
                <w:rFonts w:eastAsia="宋体"/>
                <w:color w:val="auto"/>
                <w:sz w:val="21"/>
                <w:szCs w:val="21"/>
                <w:highlight w:val="none"/>
              </w:rPr>
              <w:t>符合</w:t>
            </w:r>
          </w:p>
        </w:tc>
      </w:tr>
      <w:tr w14:paraId="7C9E4456">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c>
          <w:tcPr>
            <w:tcW w:w="426" w:type="dxa"/>
            <w:vMerge w:val="continue"/>
            <w:vAlign w:val="center"/>
          </w:tcPr>
          <w:p w14:paraId="64B3F90B">
            <w:pPr>
              <w:pStyle w:val="44"/>
              <w:adjustRightInd w:val="0"/>
              <w:snapToGrid w:val="0"/>
              <w:spacing w:after="0"/>
              <w:ind w:left="0" w:leftChars="0" w:right="-105" w:firstLine="0" w:firstLineChars="0"/>
              <w:jc w:val="center"/>
              <w:rPr>
                <w:rFonts w:eastAsia="宋体"/>
                <w:color w:val="auto"/>
                <w:sz w:val="21"/>
                <w:szCs w:val="21"/>
                <w:highlight w:val="none"/>
              </w:rPr>
            </w:pPr>
          </w:p>
        </w:tc>
        <w:tc>
          <w:tcPr>
            <w:tcW w:w="426" w:type="dxa"/>
            <w:vAlign w:val="center"/>
          </w:tcPr>
          <w:p w14:paraId="240291E1">
            <w:pPr>
              <w:pStyle w:val="44"/>
              <w:adjustRightInd w:val="0"/>
              <w:snapToGrid w:val="0"/>
              <w:spacing w:after="0"/>
              <w:ind w:left="0" w:leftChars="0" w:right="-105" w:firstLine="0" w:firstLineChars="0"/>
              <w:jc w:val="center"/>
              <w:rPr>
                <w:rFonts w:eastAsia="宋体"/>
                <w:color w:val="auto"/>
                <w:sz w:val="21"/>
                <w:szCs w:val="21"/>
                <w:highlight w:val="none"/>
              </w:rPr>
            </w:pPr>
            <w:r>
              <w:rPr>
                <w:rFonts w:eastAsia="宋体"/>
                <w:color w:val="auto"/>
                <w:sz w:val="21"/>
                <w:szCs w:val="21"/>
                <w:highlight w:val="none"/>
              </w:rPr>
              <w:t>环境质量底线</w:t>
            </w:r>
          </w:p>
        </w:tc>
        <w:tc>
          <w:tcPr>
            <w:tcW w:w="3401" w:type="dxa"/>
            <w:gridSpan w:val="2"/>
            <w:vAlign w:val="center"/>
          </w:tcPr>
          <w:p w14:paraId="083EA7B7">
            <w:pPr>
              <w:pStyle w:val="44"/>
              <w:adjustRightInd w:val="0"/>
              <w:snapToGrid w:val="0"/>
              <w:spacing w:after="0"/>
              <w:ind w:left="0" w:leftChars="0" w:right="-105" w:firstLine="0" w:firstLineChars="0"/>
              <w:jc w:val="center"/>
              <w:rPr>
                <w:rFonts w:eastAsia="宋体"/>
                <w:color w:val="auto"/>
                <w:sz w:val="21"/>
                <w:szCs w:val="21"/>
                <w:highlight w:val="none"/>
              </w:rPr>
            </w:pPr>
            <w:r>
              <w:rPr>
                <w:rFonts w:eastAsia="宋体"/>
                <w:color w:val="auto"/>
                <w:sz w:val="21"/>
                <w:szCs w:val="21"/>
                <w:highlight w:val="none"/>
              </w:rPr>
              <w:t>环境空气质量二类功能区、地表水为III类功能区、声环境3类区、土壤第二类工业用地筛选值和管制值</w:t>
            </w:r>
          </w:p>
        </w:tc>
        <w:tc>
          <w:tcPr>
            <w:tcW w:w="3226" w:type="dxa"/>
            <w:vAlign w:val="center"/>
          </w:tcPr>
          <w:p w14:paraId="2365462B">
            <w:pPr>
              <w:pStyle w:val="44"/>
              <w:adjustRightInd w:val="0"/>
              <w:snapToGrid w:val="0"/>
              <w:spacing w:after="0"/>
              <w:ind w:left="0" w:leftChars="0" w:right="-105" w:firstLine="0" w:firstLineChars="0"/>
              <w:jc w:val="center"/>
              <w:rPr>
                <w:rFonts w:eastAsia="宋体"/>
                <w:color w:val="auto"/>
                <w:sz w:val="21"/>
                <w:szCs w:val="21"/>
                <w:highlight w:val="none"/>
              </w:rPr>
            </w:pPr>
            <w:r>
              <w:rPr>
                <w:rFonts w:eastAsia="宋体"/>
                <w:color w:val="auto"/>
                <w:sz w:val="21"/>
                <w:szCs w:val="21"/>
                <w:highlight w:val="none"/>
              </w:rPr>
              <w:t>项目所在地大气环境为环境空气质量功能二类地区，2022年无锡市区臭氧未达到《环境空气质量标准》（GB3095-2012）表1中二级标准要求，项目所在地属于不达标区，本项目的大气现状补充监测结果达标，根据《无锡市大气环境质量限期达标规划》，通过采取各项措施，无锡市区的环境空气质量将逐步改善；声环境质量能达到《声环境质量标准》(GB3096-2008)中的3类区域标准；地表水监测中，监测时段内，pH、化学需氧量、五日生化需氧量、氨氮</w:t>
            </w:r>
            <w:r>
              <w:rPr>
                <w:rFonts w:hint="eastAsia" w:eastAsia="宋体"/>
                <w:color w:val="auto"/>
                <w:sz w:val="21"/>
                <w:szCs w:val="21"/>
                <w:highlight w:val="none"/>
              </w:rPr>
              <w:t>、</w:t>
            </w:r>
            <w:r>
              <w:rPr>
                <w:rFonts w:eastAsia="宋体"/>
                <w:color w:val="auto"/>
                <w:sz w:val="21"/>
                <w:szCs w:val="21"/>
                <w:highlight w:val="none"/>
              </w:rPr>
              <w:t>溶解氧、总磷能满足《地表水环境质量标准》（GB 3838-2002）III类标准要求，总氮不能满足《地表水环境质量标准》（GB 3838-2002）III类标准要求，根据锡山区《区政府办公室关于印发锡山区河道环境综合整治工作方案的通知》（锡府办[2016]30 号），通过水环境综合整治工作，区域水环境质量会有所改善；根据项目所在地土壤环境质量现状监测数据，相关因子均满足《土壤环境质量建设用地土壤污染风险管控标准（试行）》（GB36600-2018）中相关标准。</w:t>
            </w:r>
          </w:p>
        </w:tc>
        <w:tc>
          <w:tcPr>
            <w:tcW w:w="1025" w:type="dxa"/>
            <w:vAlign w:val="center"/>
          </w:tcPr>
          <w:p w14:paraId="40F0F19A">
            <w:pPr>
              <w:pStyle w:val="44"/>
              <w:adjustRightInd w:val="0"/>
              <w:snapToGrid w:val="0"/>
              <w:spacing w:after="0"/>
              <w:ind w:left="0" w:leftChars="0" w:right="-105" w:firstLine="0" w:firstLineChars="0"/>
              <w:jc w:val="center"/>
              <w:rPr>
                <w:rFonts w:eastAsia="宋体"/>
                <w:color w:val="auto"/>
                <w:sz w:val="21"/>
                <w:szCs w:val="21"/>
                <w:highlight w:val="none"/>
              </w:rPr>
            </w:pPr>
            <w:r>
              <w:rPr>
                <w:rFonts w:eastAsia="宋体"/>
                <w:color w:val="auto"/>
                <w:sz w:val="21"/>
                <w:szCs w:val="21"/>
                <w:highlight w:val="none"/>
              </w:rPr>
              <w:t>符合</w:t>
            </w:r>
          </w:p>
        </w:tc>
      </w:tr>
      <w:tr w14:paraId="05F4853A">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c>
          <w:tcPr>
            <w:tcW w:w="426" w:type="dxa"/>
            <w:vMerge w:val="continue"/>
            <w:vAlign w:val="center"/>
          </w:tcPr>
          <w:p w14:paraId="523A14B0">
            <w:pPr>
              <w:pStyle w:val="44"/>
              <w:adjustRightInd w:val="0"/>
              <w:snapToGrid w:val="0"/>
              <w:spacing w:after="0"/>
              <w:ind w:left="0" w:leftChars="0" w:right="-105" w:firstLine="0" w:firstLineChars="0"/>
              <w:jc w:val="center"/>
              <w:rPr>
                <w:rFonts w:eastAsia="宋体"/>
                <w:color w:val="auto"/>
                <w:sz w:val="21"/>
                <w:szCs w:val="21"/>
                <w:highlight w:val="none"/>
              </w:rPr>
            </w:pPr>
          </w:p>
        </w:tc>
        <w:tc>
          <w:tcPr>
            <w:tcW w:w="426" w:type="dxa"/>
            <w:vAlign w:val="center"/>
          </w:tcPr>
          <w:p w14:paraId="2A8754DA">
            <w:pPr>
              <w:pStyle w:val="44"/>
              <w:adjustRightInd w:val="0"/>
              <w:snapToGrid w:val="0"/>
              <w:spacing w:after="0"/>
              <w:ind w:left="0" w:leftChars="0" w:right="-105" w:firstLine="0" w:firstLineChars="0"/>
              <w:jc w:val="center"/>
              <w:rPr>
                <w:rFonts w:eastAsia="宋体"/>
                <w:color w:val="auto"/>
                <w:sz w:val="21"/>
                <w:szCs w:val="21"/>
                <w:highlight w:val="none"/>
              </w:rPr>
            </w:pPr>
            <w:r>
              <w:rPr>
                <w:rFonts w:eastAsia="宋体"/>
                <w:color w:val="auto"/>
                <w:sz w:val="21"/>
                <w:szCs w:val="21"/>
                <w:highlight w:val="none"/>
              </w:rPr>
              <w:t>资源利用上限</w:t>
            </w:r>
          </w:p>
        </w:tc>
        <w:tc>
          <w:tcPr>
            <w:tcW w:w="3401" w:type="dxa"/>
            <w:gridSpan w:val="2"/>
            <w:vAlign w:val="center"/>
          </w:tcPr>
          <w:p w14:paraId="45B8390F">
            <w:pPr>
              <w:pStyle w:val="44"/>
              <w:adjustRightInd w:val="0"/>
              <w:snapToGrid w:val="0"/>
              <w:spacing w:after="0"/>
              <w:ind w:left="0" w:leftChars="0" w:right="-105" w:firstLine="0" w:firstLineChars="0"/>
              <w:jc w:val="center"/>
              <w:rPr>
                <w:rFonts w:eastAsia="宋体"/>
                <w:color w:val="auto"/>
                <w:sz w:val="21"/>
                <w:szCs w:val="21"/>
                <w:highlight w:val="none"/>
              </w:rPr>
            </w:pPr>
            <w:r>
              <w:rPr>
                <w:rFonts w:eastAsia="宋体"/>
                <w:color w:val="auto"/>
                <w:sz w:val="21"/>
                <w:szCs w:val="21"/>
                <w:highlight w:val="none"/>
              </w:rPr>
              <w:t>（1）依据《关于印发《无锡市节水型社会建设</w:t>
            </w:r>
            <w:r>
              <w:rPr>
                <w:rFonts w:hint="eastAsia" w:eastAsia="宋体"/>
                <w:color w:val="auto"/>
                <w:sz w:val="21"/>
                <w:szCs w:val="21"/>
                <w:highlight w:val="none"/>
              </w:rPr>
              <w:t>“</w:t>
            </w:r>
            <w:r>
              <w:rPr>
                <w:rFonts w:eastAsia="宋体"/>
                <w:color w:val="auto"/>
                <w:sz w:val="21"/>
                <w:szCs w:val="21"/>
                <w:highlight w:val="none"/>
              </w:rPr>
              <w:t>十三五</w:t>
            </w:r>
            <w:r>
              <w:rPr>
                <w:rFonts w:hint="eastAsia" w:eastAsia="宋体"/>
                <w:color w:val="auto"/>
                <w:sz w:val="21"/>
                <w:szCs w:val="21"/>
                <w:highlight w:val="none"/>
              </w:rPr>
              <w:t>”</w:t>
            </w:r>
            <w:r>
              <w:rPr>
                <w:rFonts w:eastAsia="宋体"/>
                <w:color w:val="auto"/>
                <w:sz w:val="21"/>
                <w:szCs w:val="21"/>
                <w:highlight w:val="none"/>
              </w:rPr>
              <w:t>规划纲要（规划简本）》的通知》（锡水资[2017]59号），2020年无锡市用水总量不得超过40.54亿立方米，万元工业增加值用水量较2015年降低18%，万元GDP用水量较2015年降低23%，农田灌溉水有效利用系数达到0.67。</w:t>
            </w:r>
          </w:p>
          <w:p w14:paraId="26FDBBC1">
            <w:pPr>
              <w:pStyle w:val="44"/>
              <w:adjustRightInd w:val="0"/>
              <w:snapToGrid w:val="0"/>
              <w:spacing w:after="0"/>
              <w:ind w:left="0" w:leftChars="0" w:right="-105" w:firstLine="0" w:firstLineChars="0"/>
              <w:jc w:val="center"/>
              <w:rPr>
                <w:rFonts w:eastAsia="宋体"/>
                <w:color w:val="auto"/>
                <w:sz w:val="21"/>
                <w:szCs w:val="21"/>
                <w:highlight w:val="none"/>
              </w:rPr>
            </w:pPr>
            <w:r>
              <w:rPr>
                <w:rFonts w:eastAsia="宋体"/>
                <w:color w:val="auto"/>
                <w:sz w:val="21"/>
                <w:szCs w:val="21"/>
                <w:highlight w:val="none"/>
              </w:rPr>
              <w:t>（2）依据《无锡市土地利用总体规划（2006-2020）调整方案》（苏国土资函[2017]648号），2020年无锡市耕地保有量不得低于11.08万公顷，基本农田保护面积不低于9.04万公顷。</w:t>
            </w:r>
          </w:p>
        </w:tc>
        <w:tc>
          <w:tcPr>
            <w:tcW w:w="3226" w:type="dxa"/>
            <w:vAlign w:val="center"/>
          </w:tcPr>
          <w:p w14:paraId="224641B5">
            <w:pPr>
              <w:pStyle w:val="44"/>
              <w:adjustRightInd w:val="0"/>
              <w:snapToGrid w:val="0"/>
              <w:spacing w:after="0"/>
              <w:ind w:left="0" w:leftChars="0" w:right="-105" w:firstLine="0" w:firstLineChars="0"/>
              <w:jc w:val="center"/>
              <w:rPr>
                <w:rFonts w:eastAsia="宋体"/>
                <w:color w:val="auto"/>
                <w:sz w:val="21"/>
                <w:szCs w:val="21"/>
                <w:highlight w:val="none"/>
              </w:rPr>
            </w:pPr>
            <w:r>
              <w:rPr>
                <w:rFonts w:eastAsia="宋体"/>
                <w:color w:val="auto"/>
                <w:sz w:val="21"/>
                <w:szCs w:val="21"/>
                <w:highlight w:val="none"/>
              </w:rPr>
              <w:t>本项目用水来自区域自来水管网，用电由市政电网供给，用气由华润燃气公司提供，不会达到资源利用上线；项目用地为工业用地，符合当地土地规划要求，亦不会达到资源利用上线。</w:t>
            </w:r>
          </w:p>
        </w:tc>
        <w:tc>
          <w:tcPr>
            <w:tcW w:w="1025" w:type="dxa"/>
            <w:vAlign w:val="center"/>
          </w:tcPr>
          <w:p w14:paraId="382619A5">
            <w:pPr>
              <w:pStyle w:val="44"/>
              <w:adjustRightInd w:val="0"/>
              <w:snapToGrid w:val="0"/>
              <w:spacing w:after="0"/>
              <w:ind w:left="0" w:leftChars="0" w:right="-105" w:firstLine="0" w:firstLineChars="0"/>
              <w:jc w:val="center"/>
              <w:rPr>
                <w:rFonts w:eastAsia="宋体"/>
                <w:color w:val="auto"/>
                <w:sz w:val="21"/>
                <w:szCs w:val="21"/>
                <w:highlight w:val="none"/>
              </w:rPr>
            </w:pPr>
            <w:r>
              <w:rPr>
                <w:rFonts w:eastAsia="宋体"/>
                <w:color w:val="auto"/>
                <w:sz w:val="21"/>
                <w:szCs w:val="21"/>
                <w:highlight w:val="none"/>
              </w:rPr>
              <w:t>符合</w:t>
            </w:r>
          </w:p>
        </w:tc>
      </w:tr>
      <w:tr w14:paraId="2D144A2F">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c>
          <w:tcPr>
            <w:tcW w:w="426" w:type="dxa"/>
            <w:vMerge w:val="continue"/>
            <w:vAlign w:val="center"/>
          </w:tcPr>
          <w:p w14:paraId="784EE040">
            <w:pPr>
              <w:pStyle w:val="44"/>
              <w:adjustRightInd w:val="0"/>
              <w:snapToGrid w:val="0"/>
              <w:spacing w:after="0"/>
              <w:ind w:left="0" w:leftChars="0" w:right="-105" w:firstLine="0" w:firstLineChars="0"/>
              <w:jc w:val="center"/>
              <w:rPr>
                <w:rFonts w:eastAsia="宋体"/>
                <w:color w:val="auto"/>
                <w:sz w:val="21"/>
                <w:szCs w:val="21"/>
                <w:highlight w:val="none"/>
              </w:rPr>
            </w:pPr>
          </w:p>
        </w:tc>
        <w:tc>
          <w:tcPr>
            <w:tcW w:w="426" w:type="dxa"/>
            <w:vMerge w:val="restart"/>
            <w:vAlign w:val="center"/>
          </w:tcPr>
          <w:p w14:paraId="03506D88">
            <w:pPr>
              <w:pStyle w:val="44"/>
              <w:adjustRightInd w:val="0"/>
              <w:snapToGrid w:val="0"/>
              <w:spacing w:after="0"/>
              <w:ind w:left="0" w:leftChars="0" w:right="-105" w:firstLine="0" w:firstLineChars="0"/>
              <w:jc w:val="center"/>
              <w:rPr>
                <w:rFonts w:eastAsia="宋体"/>
                <w:color w:val="auto"/>
                <w:sz w:val="21"/>
                <w:szCs w:val="21"/>
                <w:highlight w:val="none"/>
              </w:rPr>
            </w:pPr>
            <w:r>
              <w:rPr>
                <w:rFonts w:eastAsia="宋体"/>
                <w:color w:val="auto"/>
                <w:sz w:val="21"/>
                <w:szCs w:val="21"/>
                <w:highlight w:val="none"/>
              </w:rPr>
              <w:t>环境准入负面清单</w:t>
            </w:r>
          </w:p>
        </w:tc>
        <w:tc>
          <w:tcPr>
            <w:tcW w:w="708" w:type="dxa"/>
            <w:vAlign w:val="center"/>
          </w:tcPr>
          <w:p w14:paraId="7BFF42B8">
            <w:pPr>
              <w:pStyle w:val="44"/>
              <w:adjustRightInd w:val="0"/>
              <w:snapToGrid w:val="0"/>
              <w:spacing w:after="0"/>
              <w:ind w:left="0" w:leftChars="0" w:right="-105" w:firstLine="0" w:firstLineChars="0"/>
              <w:jc w:val="center"/>
              <w:rPr>
                <w:rFonts w:eastAsia="宋体"/>
                <w:color w:val="auto"/>
                <w:sz w:val="21"/>
                <w:szCs w:val="21"/>
                <w:highlight w:val="none"/>
              </w:rPr>
            </w:pPr>
            <w:r>
              <w:rPr>
                <w:rFonts w:eastAsia="宋体"/>
                <w:color w:val="auto"/>
                <w:sz w:val="21"/>
                <w:szCs w:val="21"/>
                <w:highlight w:val="none"/>
              </w:rPr>
              <w:t>空间布局约束</w:t>
            </w:r>
          </w:p>
        </w:tc>
        <w:tc>
          <w:tcPr>
            <w:tcW w:w="2693" w:type="dxa"/>
            <w:vAlign w:val="center"/>
          </w:tcPr>
          <w:p w14:paraId="52FC9D81">
            <w:pPr>
              <w:adjustRightInd w:val="0"/>
              <w:snapToGrid w:val="0"/>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（1）各类开发建设活动应符合无锡市国土空间总体规划、控制性详细规划等相关要求。</w:t>
            </w:r>
          </w:p>
          <w:p w14:paraId="4E4521B8">
            <w:pPr>
              <w:adjustRightInd w:val="0"/>
              <w:snapToGrid w:val="0"/>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（2）优化产业布局和结构，实施分区差别化的产业准入要求。</w:t>
            </w:r>
          </w:p>
          <w:p w14:paraId="0B25DB3E">
            <w:pPr>
              <w:pStyle w:val="44"/>
              <w:adjustRightInd w:val="0"/>
              <w:snapToGrid w:val="0"/>
              <w:spacing w:after="0"/>
              <w:ind w:left="0" w:leftChars="0" w:right="-105" w:firstLine="0" w:firstLineChars="0"/>
              <w:jc w:val="center"/>
              <w:rPr>
                <w:rFonts w:eastAsia="宋体"/>
                <w:color w:val="auto"/>
                <w:sz w:val="21"/>
                <w:szCs w:val="21"/>
                <w:highlight w:val="none"/>
              </w:rPr>
            </w:pPr>
            <w:r>
              <w:rPr>
                <w:rFonts w:eastAsia="宋体"/>
                <w:color w:val="auto"/>
                <w:sz w:val="21"/>
                <w:szCs w:val="21"/>
                <w:highlight w:val="none"/>
              </w:rPr>
              <w:t>（3）合理规划居住区与园区，在居住区和园区、企业之间设置防护绿地、生态绿地等隔离带。</w:t>
            </w:r>
          </w:p>
        </w:tc>
        <w:tc>
          <w:tcPr>
            <w:tcW w:w="3226" w:type="dxa"/>
            <w:vAlign w:val="center"/>
          </w:tcPr>
          <w:p w14:paraId="70C61068">
            <w:pPr>
              <w:pStyle w:val="44"/>
              <w:adjustRightInd w:val="0"/>
              <w:snapToGrid w:val="0"/>
              <w:spacing w:after="0"/>
              <w:ind w:left="0" w:leftChars="0" w:right="-105" w:firstLine="0" w:firstLineChars="0"/>
              <w:jc w:val="center"/>
              <w:rPr>
                <w:rFonts w:eastAsia="宋体"/>
                <w:color w:val="auto"/>
                <w:sz w:val="21"/>
                <w:szCs w:val="21"/>
                <w:highlight w:val="none"/>
              </w:rPr>
            </w:pPr>
            <w:r>
              <w:rPr>
                <w:rFonts w:eastAsia="宋体"/>
                <w:color w:val="auto"/>
                <w:sz w:val="21"/>
                <w:szCs w:val="21"/>
                <w:highlight w:val="none"/>
              </w:rPr>
              <w:t>本项目位于江苏省无锡市锡山区锡北镇新坝村新达路6号，根据《无锡市锡山区锡北镇总体规划（2015-2030）》，该地块为二类工业用地，该地块符合无锡市锡山区用地规划的要求。</w:t>
            </w:r>
          </w:p>
        </w:tc>
        <w:tc>
          <w:tcPr>
            <w:tcW w:w="1025" w:type="dxa"/>
            <w:vAlign w:val="center"/>
          </w:tcPr>
          <w:p w14:paraId="3B435F9E">
            <w:pPr>
              <w:pStyle w:val="44"/>
              <w:adjustRightInd w:val="0"/>
              <w:snapToGrid w:val="0"/>
              <w:spacing w:after="0"/>
              <w:ind w:left="0" w:leftChars="0" w:right="-105" w:firstLine="0" w:firstLineChars="0"/>
              <w:jc w:val="center"/>
              <w:rPr>
                <w:rFonts w:eastAsia="宋体"/>
                <w:color w:val="auto"/>
                <w:sz w:val="21"/>
                <w:szCs w:val="21"/>
                <w:highlight w:val="none"/>
              </w:rPr>
            </w:pPr>
            <w:r>
              <w:rPr>
                <w:rFonts w:eastAsia="宋体"/>
                <w:color w:val="auto"/>
                <w:sz w:val="21"/>
                <w:szCs w:val="21"/>
                <w:highlight w:val="none"/>
              </w:rPr>
              <w:t>符合</w:t>
            </w:r>
          </w:p>
        </w:tc>
      </w:tr>
      <w:tr w14:paraId="7712411F">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c>
          <w:tcPr>
            <w:tcW w:w="426" w:type="dxa"/>
            <w:vMerge w:val="continue"/>
            <w:vAlign w:val="center"/>
          </w:tcPr>
          <w:p w14:paraId="04FD4162">
            <w:pPr>
              <w:pStyle w:val="44"/>
              <w:adjustRightInd w:val="0"/>
              <w:snapToGrid w:val="0"/>
              <w:spacing w:after="0"/>
              <w:ind w:left="0" w:leftChars="0" w:right="-105" w:firstLine="0" w:firstLineChars="0"/>
              <w:jc w:val="center"/>
              <w:rPr>
                <w:rFonts w:eastAsia="宋体"/>
                <w:color w:val="auto"/>
                <w:sz w:val="21"/>
                <w:szCs w:val="21"/>
                <w:highlight w:val="none"/>
              </w:rPr>
            </w:pPr>
          </w:p>
        </w:tc>
        <w:tc>
          <w:tcPr>
            <w:tcW w:w="426" w:type="dxa"/>
            <w:vMerge w:val="continue"/>
            <w:vAlign w:val="center"/>
          </w:tcPr>
          <w:p w14:paraId="3DC8A574">
            <w:pPr>
              <w:pStyle w:val="44"/>
              <w:adjustRightInd w:val="0"/>
              <w:snapToGrid w:val="0"/>
              <w:spacing w:after="0"/>
              <w:ind w:left="0" w:leftChars="0" w:right="-105" w:firstLine="0" w:firstLineChars="0"/>
              <w:jc w:val="center"/>
              <w:rPr>
                <w:rFonts w:eastAsia="宋体"/>
                <w:color w:val="auto"/>
                <w:sz w:val="21"/>
                <w:szCs w:val="21"/>
                <w:highlight w:val="none"/>
              </w:rPr>
            </w:pPr>
          </w:p>
        </w:tc>
        <w:tc>
          <w:tcPr>
            <w:tcW w:w="708" w:type="dxa"/>
            <w:vAlign w:val="center"/>
          </w:tcPr>
          <w:p w14:paraId="060F5468">
            <w:pPr>
              <w:pStyle w:val="44"/>
              <w:adjustRightInd w:val="0"/>
              <w:snapToGrid w:val="0"/>
              <w:spacing w:after="0"/>
              <w:ind w:left="0" w:leftChars="0" w:right="-105" w:firstLine="0" w:firstLineChars="0"/>
              <w:jc w:val="center"/>
              <w:rPr>
                <w:rFonts w:eastAsia="宋体"/>
                <w:color w:val="auto"/>
                <w:sz w:val="21"/>
                <w:szCs w:val="21"/>
                <w:highlight w:val="none"/>
              </w:rPr>
            </w:pPr>
            <w:r>
              <w:rPr>
                <w:rFonts w:eastAsia="宋体"/>
                <w:bCs/>
                <w:color w:val="auto"/>
                <w:sz w:val="21"/>
                <w:szCs w:val="21"/>
                <w:highlight w:val="none"/>
              </w:rPr>
              <w:t>污染物排放管控</w:t>
            </w:r>
          </w:p>
        </w:tc>
        <w:tc>
          <w:tcPr>
            <w:tcW w:w="2693" w:type="dxa"/>
            <w:vAlign w:val="center"/>
          </w:tcPr>
          <w:p w14:paraId="7F77FC28">
            <w:pPr>
              <w:pStyle w:val="44"/>
              <w:adjustRightInd w:val="0"/>
              <w:snapToGrid w:val="0"/>
              <w:spacing w:after="0"/>
              <w:ind w:left="0" w:leftChars="0" w:right="-105" w:firstLine="0" w:firstLineChars="0"/>
              <w:jc w:val="center"/>
              <w:rPr>
                <w:rFonts w:eastAsia="宋体"/>
                <w:color w:val="auto"/>
                <w:sz w:val="21"/>
                <w:szCs w:val="21"/>
                <w:highlight w:val="none"/>
              </w:rPr>
            </w:pPr>
            <w:r>
              <w:rPr>
                <w:rFonts w:eastAsia="宋体"/>
                <w:color w:val="auto"/>
                <w:sz w:val="21"/>
                <w:szCs w:val="21"/>
                <w:highlight w:val="none"/>
              </w:rPr>
              <w:t>严格实施污染物总量控制制度，根据区域环境质量改善目标，采取有效措施减少主要污染物排放总量，确保区域环境质量持续改善。</w:t>
            </w:r>
          </w:p>
        </w:tc>
        <w:tc>
          <w:tcPr>
            <w:tcW w:w="3226" w:type="dxa"/>
            <w:vAlign w:val="center"/>
          </w:tcPr>
          <w:p w14:paraId="65150F24">
            <w:pPr>
              <w:pStyle w:val="44"/>
              <w:adjustRightInd w:val="0"/>
              <w:snapToGrid w:val="0"/>
              <w:spacing w:after="0"/>
              <w:ind w:left="0" w:leftChars="0" w:right="-105" w:firstLine="0" w:firstLineChars="0"/>
              <w:jc w:val="center"/>
              <w:rPr>
                <w:rFonts w:eastAsia="宋体"/>
                <w:color w:val="auto"/>
                <w:sz w:val="21"/>
                <w:szCs w:val="21"/>
                <w:highlight w:val="none"/>
              </w:rPr>
            </w:pPr>
            <w:r>
              <w:rPr>
                <w:rFonts w:eastAsia="宋体"/>
                <w:color w:val="auto"/>
                <w:sz w:val="21"/>
                <w:szCs w:val="21"/>
                <w:highlight w:val="none"/>
              </w:rPr>
              <w:t>本项目实施总量控制制度，产生废气经收集、处理后排放，生活污水</w:t>
            </w:r>
            <w:r>
              <w:rPr>
                <w:rFonts w:hint="eastAsia" w:eastAsia="宋体"/>
                <w:color w:val="auto"/>
                <w:sz w:val="21"/>
                <w:szCs w:val="21"/>
                <w:highlight w:val="none"/>
              </w:rPr>
              <w:t>经化粪池预处理后与初期雨水收集后委托无锡先进化药化工有限公司处理达标后接入无锡市锡山云林污水处理有限公司</w:t>
            </w:r>
            <w:r>
              <w:rPr>
                <w:rFonts w:eastAsia="宋体"/>
                <w:color w:val="auto"/>
                <w:sz w:val="21"/>
                <w:szCs w:val="21"/>
                <w:highlight w:val="none"/>
              </w:rPr>
              <w:t>，固废零排放，采取以上措施可以使区域环境质量持续改善。</w:t>
            </w:r>
          </w:p>
        </w:tc>
        <w:tc>
          <w:tcPr>
            <w:tcW w:w="1025" w:type="dxa"/>
            <w:vAlign w:val="center"/>
          </w:tcPr>
          <w:p w14:paraId="4C4FF266">
            <w:pPr>
              <w:pStyle w:val="44"/>
              <w:adjustRightInd w:val="0"/>
              <w:snapToGrid w:val="0"/>
              <w:spacing w:after="0"/>
              <w:ind w:left="0" w:leftChars="0" w:right="-105" w:firstLine="0" w:firstLineChars="0"/>
              <w:jc w:val="center"/>
              <w:rPr>
                <w:rFonts w:eastAsia="宋体"/>
                <w:color w:val="auto"/>
                <w:sz w:val="21"/>
                <w:szCs w:val="21"/>
                <w:highlight w:val="none"/>
              </w:rPr>
            </w:pPr>
            <w:r>
              <w:rPr>
                <w:rFonts w:eastAsia="宋体"/>
                <w:color w:val="auto"/>
                <w:sz w:val="21"/>
                <w:szCs w:val="21"/>
                <w:highlight w:val="none"/>
              </w:rPr>
              <w:t>符合</w:t>
            </w:r>
          </w:p>
        </w:tc>
      </w:tr>
      <w:tr w14:paraId="125CC63F">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c>
          <w:tcPr>
            <w:tcW w:w="426" w:type="dxa"/>
            <w:vMerge w:val="continue"/>
            <w:vAlign w:val="center"/>
          </w:tcPr>
          <w:p w14:paraId="347FECFE">
            <w:pPr>
              <w:pStyle w:val="44"/>
              <w:adjustRightInd w:val="0"/>
              <w:snapToGrid w:val="0"/>
              <w:spacing w:after="0"/>
              <w:ind w:left="0" w:leftChars="0" w:right="-105" w:firstLine="0" w:firstLineChars="0"/>
              <w:jc w:val="center"/>
              <w:rPr>
                <w:rFonts w:eastAsia="宋体"/>
                <w:color w:val="auto"/>
                <w:sz w:val="21"/>
                <w:szCs w:val="21"/>
                <w:highlight w:val="none"/>
              </w:rPr>
            </w:pPr>
          </w:p>
        </w:tc>
        <w:tc>
          <w:tcPr>
            <w:tcW w:w="426" w:type="dxa"/>
            <w:vMerge w:val="continue"/>
            <w:vAlign w:val="center"/>
          </w:tcPr>
          <w:p w14:paraId="7B4A7E8E">
            <w:pPr>
              <w:pStyle w:val="44"/>
              <w:adjustRightInd w:val="0"/>
              <w:snapToGrid w:val="0"/>
              <w:spacing w:after="0"/>
              <w:ind w:left="0" w:leftChars="0" w:right="-105" w:firstLine="0" w:firstLineChars="0"/>
              <w:jc w:val="center"/>
              <w:rPr>
                <w:rFonts w:eastAsia="宋体"/>
                <w:color w:val="auto"/>
                <w:sz w:val="21"/>
                <w:szCs w:val="21"/>
                <w:highlight w:val="none"/>
              </w:rPr>
            </w:pPr>
          </w:p>
        </w:tc>
        <w:tc>
          <w:tcPr>
            <w:tcW w:w="708" w:type="dxa"/>
            <w:vAlign w:val="center"/>
          </w:tcPr>
          <w:p w14:paraId="3CD9C5AF">
            <w:pPr>
              <w:pStyle w:val="44"/>
              <w:adjustRightInd w:val="0"/>
              <w:snapToGrid w:val="0"/>
              <w:spacing w:after="0"/>
              <w:ind w:left="0" w:leftChars="0" w:right="-105" w:firstLine="0" w:firstLineChars="0"/>
              <w:jc w:val="center"/>
              <w:rPr>
                <w:rFonts w:eastAsia="宋体"/>
                <w:color w:val="auto"/>
                <w:sz w:val="21"/>
                <w:szCs w:val="21"/>
                <w:highlight w:val="none"/>
              </w:rPr>
            </w:pPr>
            <w:r>
              <w:rPr>
                <w:rFonts w:eastAsia="宋体"/>
                <w:bCs/>
                <w:color w:val="auto"/>
                <w:sz w:val="21"/>
                <w:szCs w:val="21"/>
                <w:highlight w:val="none"/>
              </w:rPr>
              <w:t>环境风险防控</w:t>
            </w:r>
          </w:p>
        </w:tc>
        <w:tc>
          <w:tcPr>
            <w:tcW w:w="2693" w:type="dxa"/>
            <w:vAlign w:val="center"/>
          </w:tcPr>
          <w:p w14:paraId="4381AA59">
            <w:pPr>
              <w:adjustRightInd w:val="0"/>
              <w:snapToGrid w:val="0"/>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（1）园区建立环境应急体系，完善事故应急救援体系，加强应急物资装备储备，编制突发环境事件应急预案，定期开展演练。</w:t>
            </w:r>
          </w:p>
          <w:p w14:paraId="3B38E92F">
            <w:pPr>
              <w:adjustRightInd w:val="0"/>
              <w:snapToGrid w:val="0"/>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（2）生产、使用、储存危险化学品或其他存在环境风险的企事业单位，应当制定风险防范措施，编制完善突发环境事件应急预案，防止发生环境污染事故。</w:t>
            </w:r>
          </w:p>
          <w:p w14:paraId="42B81C6C">
            <w:pPr>
              <w:pStyle w:val="44"/>
              <w:adjustRightInd w:val="0"/>
              <w:snapToGrid w:val="0"/>
              <w:spacing w:after="0"/>
              <w:ind w:left="0" w:leftChars="0" w:right="-105" w:firstLine="0" w:firstLineChars="0"/>
              <w:jc w:val="center"/>
              <w:rPr>
                <w:rFonts w:eastAsia="宋体"/>
                <w:color w:val="auto"/>
                <w:sz w:val="21"/>
                <w:szCs w:val="21"/>
                <w:highlight w:val="none"/>
              </w:rPr>
            </w:pPr>
            <w:r>
              <w:rPr>
                <w:rFonts w:eastAsia="宋体"/>
                <w:color w:val="auto"/>
                <w:sz w:val="21"/>
                <w:szCs w:val="21"/>
                <w:highlight w:val="none"/>
              </w:rPr>
              <w:t>（3）加强环境影响跟踪监测，建立健全各环境要素监控体系，完善并落实园区日常环境监测与污染源监控计划。</w:t>
            </w:r>
          </w:p>
        </w:tc>
        <w:tc>
          <w:tcPr>
            <w:tcW w:w="3226" w:type="dxa"/>
            <w:vAlign w:val="center"/>
          </w:tcPr>
          <w:p w14:paraId="3476400E">
            <w:pPr>
              <w:pStyle w:val="44"/>
              <w:adjustRightInd w:val="0"/>
              <w:snapToGrid w:val="0"/>
              <w:spacing w:after="0"/>
              <w:ind w:left="0" w:leftChars="0" w:right="-105" w:firstLine="0" w:firstLineChars="0"/>
              <w:jc w:val="center"/>
              <w:rPr>
                <w:rFonts w:eastAsia="宋体"/>
                <w:color w:val="auto"/>
                <w:sz w:val="21"/>
                <w:szCs w:val="21"/>
                <w:highlight w:val="none"/>
              </w:rPr>
            </w:pPr>
            <w:r>
              <w:rPr>
                <w:rFonts w:eastAsia="宋体"/>
                <w:color w:val="auto"/>
                <w:sz w:val="21"/>
                <w:szCs w:val="21"/>
                <w:highlight w:val="none"/>
              </w:rPr>
              <w:t>企业投产后将编制突发环境事件应急预案并建立环境影响监控体系。</w:t>
            </w:r>
          </w:p>
        </w:tc>
        <w:tc>
          <w:tcPr>
            <w:tcW w:w="1025" w:type="dxa"/>
            <w:vAlign w:val="center"/>
          </w:tcPr>
          <w:p w14:paraId="2EC7C761">
            <w:pPr>
              <w:pStyle w:val="44"/>
              <w:adjustRightInd w:val="0"/>
              <w:snapToGrid w:val="0"/>
              <w:spacing w:after="0"/>
              <w:ind w:left="0" w:leftChars="0" w:right="-105" w:firstLine="0" w:firstLineChars="0"/>
              <w:jc w:val="center"/>
              <w:rPr>
                <w:rFonts w:eastAsia="宋体"/>
                <w:color w:val="auto"/>
                <w:sz w:val="21"/>
                <w:szCs w:val="21"/>
                <w:highlight w:val="none"/>
              </w:rPr>
            </w:pPr>
            <w:r>
              <w:rPr>
                <w:rFonts w:eastAsia="宋体"/>
                <w:color w:val="auto"/>
                <w:sz w:val="21"/>
                <w:szCs w:val="21"/>
                <w:highlight w:val="none"/>
              </w:rPr>
              <w:t>符合</w:t>
            </w:r>
          </w:p>
        </w:tc>
      </w:tr>
      <w:tr w14:paraId="7A3DB76F">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c>
          <w:tcPr>
            <w:tcW w:w="426" w:type="dxa"/>
            <w:vMerge w:val="continue"/>
            <w:vAlign w:val="center"/>
          </w:tcPr>
          <w:p w14:paraId="5FC7FE26">
            <w:pPr>
              <w:pStyle w:val="44"/>
              <w:adjustRightInd w:val="0"/>
              <w:snapToGrid w:val="0"/>
              <w:spacing w:after="0"/>
              <w:ind w:left="0" w:leftChars="0" w:right="-105" w:firstLine="0" w:firstLineChars="0"/>
              <w:jc w:val="center"/>
              <w:rPr>
                <w:rFonts w:eastAsia="宋体"/>
                <w:color w:val="auto"/>
                <w:sz w:val="21"/>
                <w:szCs w:val="21"/>
                <w:highlight w:val="none"/>
              </w:rPr>
            </w:pPr>
          </w:p>
        </w:tc>
        <w:tc>
          <w:tcPr>
            <w:tcW w:w="426" w:type="dxa"/>
            <w:vMerge w:val="continue"/>
            <w:vAlign w:val="center"/>
          </w:tcPr>
          <w:p w14:paraId="6EA807A1">
            <w:pPr>
              <w:pStyle w:val="44"/>
              <w:adjustRightInd w:val="0"/>
              <w:snapToGrid w:val="0"/>
              <w:spacing w:after="0"/>
              <w:ind w:left="0" w:leftChars="0" w:right="-105" w:firstLine="0" w:firstLineChars="0"/>
              <w:jc w:val="center"/>
              <w:rPr>
                <w:rFonts w:eastAsia="宋体"/>
                <w:color w:val="auto"/>
                <w:sz w:val="21"/>
                <w:szCs w:val="21"/>
                <w:highlight w:val="none"/>
              </w:rPr>
            </w:pPr>
          </w:p>
        </w:tc>
        <w:tc>
          <w:tcPr>
            <w:tcW w:w="708" w:type="dxa"/>
            <w:vAlign w:val="center"/>
          </w:tcPr>
          <w:p w14:paraId="48FB8C98">
            <w:pPr>
              <w:pStyle w:val="44"/>
              <w:adjustRightInd w:val="0"/>
              <w:snapToGrid w:val="0"/>
              <w:spacing w:after="0"/>
              <w:ind w:left="0" w:leftChars="0" w:right="-105" w:firstLine="0" w:firstLineChars="0"/>
              <w:jc w:val="center"/>
              <w:rPr>
                <w:rFonts w:eastAsia="宋体"/>
                <w:color w:val="auto"/>
                <w:sz w:val="21"/>
                <w:szCs w:val="21"/>
                <w:highlight w:val="none"/>
              </w:rPr>
            </w:pPr>
            <w:r>
              <w:rPr>
                <w:rFonts w:eastAsia="宋体"/>
                <w:bCs/>
                <w:color w:val="auto"/>
                <w:sz w:val="21"/>
                <w:szCs w:val="21"/>
                <w:highlight w:val="none"/>
              </w:rPr>
              <w:t>资源开发效率要求</w:t>
            </w:r>
          </w:p>
        </w:tc>
        <w:tc>
          <w:tcPr>
            <w:tcW w:w="2693" w:type="dxa"/>
            <w:vAlign w:val="center"/>
          </w:tcPr>
          <w:p w14:paraId="2F158F0A">
            <w:pPr>
              <w:pStyle w:val="44"/>
              <w:adjustRightInd w:val="0"/>
              <w:snapToGrid w:val="0"/>
              <w:spacing w:after="0"/>
              <w:ind w:left="0" w:leftChars="0" w:right="-105" w:firstLine="0" w:firstLineChars="0"/>
              <w:jc w:val="center"/>
              <w:rPr>
                <w:rFonts w:eastAsia="宋体"/>
                <w:color w:val="auto"/>
                <w:sz w:val="21"/>
                <w:szCs w:val="21"/>
                <w:highlight w:val="none"/>
              </w:rPr>
            </w:pPr>
            <w:r>
              <w:rPr>
                <w:rFonts w:eastAsia="宋体"/>
                <w:color w:val="auto"/>
                <w:sz w:val="21"/>
                <w:szCs w:val="21"/>
                <w:highlight w:val="none"/>
              </w:rPr>
              <w:t>禁止销售使用燃料为“Ⅱ类”（较严），具体包括：1、除单台出力大于等于20蒸吨/小时锅炉以外燃用的煤炭及其制品。2、石油焦、油页岩、原油、重油、渣油、煤焦油。</w:t>
            </w:r>
          </w:p>
        </w:tc>
        <w:tc>
          <w:tcPr>
            <w:tcW w:w="3226" w:type="dxa"/>
            <w:vAlign w:val="center"/>
          </w:tcPr>
          <w:p w14:paraId="7D35C70E">
            <w:pPr>
              <w:pStyle w:val="44"/>
              <w:adjustRightInd w:val="0"/>
              <w:snapToGrid w:val="0"/>
              <w:spacing w:after="0"/>
              <w:ind w:left="0" w:leftChars="0" w:right="-105" w:firstLine="0" w:firstLineChars="0"/>
              <w:jc w:val="center"/>
              <w:rPr>
                <w:rFonts w:eastAsia="宋体"/>
                <w:color w:val="auto"/>
                <w:sz w:val="21"/>
                <w:szCs w:val="21"/>
                <w:highlight w:val="none"/>
              </w:rPr>
            </w:pPr>
            <w:r>
              <w:rPr>
                <w:rFonts w:eastAsia="宋体"/>
                <w:color w:val="auto"/>
                <w:sz w:val="21"/>
                <w:szCs w:val="21"/>
                <w:highlight w:val="none"/>
              </w:rPr>
              <w:t>本项目不使用煤炭及其制品、石油焦、油页岩、原油、重油、渣油、煤焦油。</w:t>
            </w:r>
          </w:p>
        </w:tc>
        <w:tc>
          <w:tcPr>
            <w:tcW w:w="1025" w:type="dxa"/>
            <w:vAlign w:val="center"/>
          </w:tcPr>
          <w:p w14:paraId="6BE01545">
            <w:pPr>
              <w:pStyle w:val="44"/>
              <w:adjustRightInd w:val="0"/>
              <w:snapToGrid w:val="0"/>
              <w:spacing w:after="0"/>
              <w:ind w:left="0" w:leftChars="0" w:right="-105" w:firstLine="0" w:firstLineChars="0"/>
              <w:jc w:val="center"/>
              <w:rPr>
                <w:rFonts w:eastAsia="宋体"/>
                <w:color w:val="auto"/>
                <w:sz w:val="21"/>
                <w:szCs w:val="21"/>
                <w:highlight w:val="none"/>
              </w:rPr>
            </w:pPr>
            <w:r>
              <w:rPr>
                <w:rFonts w:eastAsia="宋体"/>
                <w:color w:val="auto"/>
                <w:sz w:val="21"/>
                <w:szCs w:val="21"/>
                <w:highlight w:val="none"/>
              </w:rPr>
              <w:t>符合</w:t>
            </w:r>
          </w:p>
        </w:tc>
      </w:tr>
      <w:tr w14:paraId="7ED1EAA5">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c>
          <w:tcPr>
            <w:tcW w:w="426" w:type="dxa"/>
            <w:vMerge w:val="continue"/>
            <w:vAlign w:val="center"/>
          </w:tcPr>
          <w:p w14:paraId="101A06CF">
            <w:pPr>
              <w:pStyle w:val="44"/>
              <w:adjustRightInd w:val="0"/>
              <w:snapToGrid w:val="0"/>
              <w:spacing w:after="0"/>
              <w:ind w:left="0" w:leftChars="0" w:right="-105" w:firstLine="0" w:firstLineChars="0"/>
              <w:jc w:val="center"/>
              <w:rPr>
                <w:rFonts w:eastAsia="宋体"/>
                <w:color w:val="auto"/>
                <w:sz w:val="21"/>
                <w:szCs w:val="21"/>
                <w:highlight w:val="none"/>
              </w:rPr>
            </w:pPr>
          </w:p>
        </w:tc>
        <w:tc>
          <w:tcPr>
            <w:tcW w:w="3827" w:type="dxa"/>
            <w:gridSpan w:val="3"/>
            <w:vAlign w:val="center"/>
          </w:tcPr>
          <w:p w14:paraId="08E0242D">
            <w:pPr>
              <w:pStyle w:val="44"/>
              <w:adjustRightInd w:val="0"/>
              <w:snapToGrid w:val="0"/>
              <w:spacing w:after="0"/>
              <w:ind w:left="0" w:leftChars="0" w:right="-105" w:firstLine="0" w:firstLineChars="0"/>
              <w:jc w:val="center"/>
              <w:rPr>
                <w:rFonts w:eastAsia="宋体"/>
                <w:color w:val="auto"/>
                <w:sz w:val="21"/>
                <w:szCs w:val="21"/>
                <w:highlight w:val="none"/>
              </w:rPr>
            </w:pPr>
            <w:r>
              <w:rPr>
                <w:rFonts w:eastAsia="宋体"/>
                <w:color w:val="auto"/>
                <w:sz w:val="21"/>
                <w:szCs w:val="21"/>
                <w:highlight w:val="none"/>
              </w:rPr>
              <w:t>《江苏省“三线一单”生态环境分区管控方案》（苏政发[2020]49 号）</w:t>
            </w:r>
          </w:p>
        </w:tc>
        <w:tc>
          <w:tcPr>
            <w:tcW w:w="3226" w:type="dxa"/>
            <w:vAlign w:val="center"/>
          </w:tcPr>
          <w:p w14:paraId="4660C9AA">
            <w:pPr>
              <w:pStyle w:val="44"/>
              <w:adjustRightInd w:val="0"/>
              <w:snapToGrid w:val="0"/>
              <w:spacing w:after="0"/>
              <w:ind w:left="0" w:leftChars="0" w:right="-105" w:firstLine="0" w:firstLineChars="0"/>
              <w:jc w:val="center"/>
              <w:rPr>
                <w:rFonts w:eastAsia="宋体"/>
                <w:color w:val="auto"/>
                <w:sz w:val="21"/>
                <w:szCs w:val="21"/>
                <w:highlight w:val="none"/>
              </w:rPr>
            </w:pPr>
            <w:r>
              <w:rPr>
                <w:rFonts w:eastAsia="宋体"/>
                <w:color w:val="auto"/>
                <w:sz w:val="21"/>
                <w:szCs w:val="21"/>
                <w:highlight w:val="none"/>
              </w:rPr>
              <w:t>本项目位于太湖流域三级保护区范围内，不属于化学制浆造纸、制革、酿造、染料、印染、电镀项目，本项目不排放含氮、磷生产废水，</w:t>
            </w:r>
            <w:r>
              <w:rPr>
                <w:rFonts w:hint="eastAsia" w:eastAsia="宋体"/>
                <w:color w:val="auto"/>
                <w:sz w:val="21"/>
                <w:szCs w:val="21"/>
                <w:highlight w:val="none"/>
              </w:rPr>
              <w:t>全厂</w:t>
            </w:r>
            <w:r>
              <w:rPr>
                <w:rFonts w:eastAsia="宋体"/>
                <w:color w:val="auto"/>
                <w:sz w:val="21"/>
                <w:szCs w:val="21"/>
                <w:highlight w:val="none"/>
              </w:rPr>
              <w:t>生活污水</w:t>
            </w:r>
            <w:r>
              <w:rPr>
                <w:rFonts w:hint="eastAsia" w:eastAsia="宋体"/>
                <w:color w:val="auto"/>
                <w:sz w:val="21"/>
                <w:szCs w:val="21"/>
                <w:highlight w:val="none"/>
              </w:rPr>
              <w:t>经化粪池预处理后与初期雨水收集后委托无锡先进化药化工有限公司处理达标后接入无锡市锡山云林污水处理有限公司</w:t>
            </w:r>
            <w:r>
              <w:rPr>
                <w:rFonts w:eastAsia="宋体"/>
                <w:color w:val="auto"/>
                <w:sz w:val="21"/>
                <w:szCs w:val="21"/>
                <w:highlight w:val="none"/>
              </w:rPr>
              <w:t>，不会影响水资源的配置和调度。产生的危险废物均委托资质单位处置，一般固废外卖物资回收单位，固废零排放。</w:t>
            </w:r>
          </w:p>
        </w:tc>
        <w:tc>
          <w:tcPr>
            <w:tcW w:w="1025" w:type="dxa"/>
            <w:vAlign w:val="center"/>
          </w:tcPr>
          <w:p w14:paraId="6C0111E0">
            <w:pPr>
              <w:pStyle w:val="44"/>
              <w:adjustRightInd w:val="0"/>
              <w:snapToGrid w:val="0"/>
              <w:spacing w:after="0"/>
              <w:ind w:left="0" w:leftChars="0" w:right="-105" w:firstLine="0" w:firstLineChars="0"/>
              <w:jc w:val="center"/>
              <w:rPr>
                <w:rFonts w:eastAsia="宋体"/>
                <w:color w:val="auto"/>
                <w:sz w:val="21"/>
                <w:szCs w:val="21"/>
                <w:highlight w:val="none"/>
              </w:rPr>
            </w:pPr>
            <w:r>
              <w:rPr>
                <w:rFonts w:eastAsia="宋体"/>
                <w:color w:val="auto"/>
                <w:sz w:val="21"/>
                <w:szCs w:val="21"/>
                <w:highlight w:val="none"/>
              </w:rPr>
              <w:t>符合</w:t>
            </w:r>
          </w:p>
        </w:tc>
      </w:tr>
      <w:tr w14:paraId="2C0090BD">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c>
          <w:tcPr>
            <w:tcW w:w="426" w:type="dxa"/>
            <w:vMerge w:val="continue"/>
            <w:vAlign w:val="center"/>
          </w:tcPr>
          <w:p w14:paraId="2328323E">
            <w:pPr>
              <w:pStyle w:val="44"/>
              <w:adjustRightInd w:val="0"/>
              <w:snapToGrid w:val="0"/>
              <w:spacing w:after="0"/>
              <w:ind w:left="0" w:leftChars="0" w:right="-105" w:firstLine="0" w:firstLineChars="0"/>
              <w:jc w:val="center"/>
              <w:rPr>
                <w:rFonts w:eastAsia="宋体"/>
                <w:color w:val="auto"/>
                <w:sz w:val="21"/>
                <w:szCs w:val="21"/>
                <w:highlight w:val="none"/>
              </w:rPr>
            </w:pPr>
          </w:p>
        </w:tc>
        <w:tc>
          <w:tcPr>
            <w:tcW w:w="3827" w:type="dxa"/>
            <w:gridSpan w:val="3"/>
            <w:vAlign w:val="center"/>
          </w:tcPr>
          <w:p w14:paraId="2EF1C17B">
            <w:pPr>
              <w:pStyle w:val="44"/>
              <w:adjustRightInd w:val="0"/>
              <w:snapToGrid w:val="0"/>
              <w:spacing w:after="0"/>
              <w:ind w:left="0" w:leftChars="0" w:right="-105" w:firstLine="0" w:firstLineChars="0"/>
              <w:jc w:val="center"/>
              <w:rPr>
                <w:rFonts w:eastAsia="宋体"/>
                <w:color w:val="auto"/>
                <w:sz w:val="21"/>
                <w:szCs w:val="21"/>
                <w:highlight w:val="none"/>
              </w:rPr>
            </w:pPr>
            <w:r>
              <w:rPr>
                <w:rFonts w:eastAsia="宋体"/>
                <w:color w:val="auto"/>
                <w:sz w:val="21"/>
                <w:szCs w:val="21"/>
                <w:highlight w:val="none"/>
              </w:rPr>
              <w:t>《长江经济带发展负面清单指南》（2022版）</w:t>
            </w:r>
          </w:p>
        </w:tc>
        <w:tc>
          <w:tcPr>
            <w:tcW w:w="3226" w:type="dxa"/>
            <w:vAlign w:val="center"/>
          </w:tcPr>
          <w:p w14:paraId="41F7CE52">
            <w:pPr>
              <w:pStyle w:val="44"/>
              <w:adjustRightInd w:val="0"/>
              <w:snapToGrid w:val="0"/>
              <w:spacing w:after="0"/>
              <w:ind w:left="0" w:leftChars="0" w:right="-105" w:firstLine="0" w:firstLineChars="0"/>
              <w:jc w:val="center"/>
              <w:rPr>
                <w:rFonts w:eastAsia="宋体"/>
                <w:color w:val="auto"/>
                <w:sz w:val="21"/>
                <w:szCs w:val="21"/>
                <w:highlight w:val="none"/>
              </w:rPr>
            </w:pPr>
            <w:r>
              <w:rPr>
                <w:rFonts w:eastAsia="宋体"/>
                <w:color w:val="auto"/>
                <w:sz w:val="21"/>
                <w:szCs w:val="21"/>
                <w:highlight w:val="none"/>
              </w:rPr>
              <w:t>本项目不属于钢铁、石化、化工、焦化、建材、有色、制浆造纸等高污染项目，项目所在地距离长江</w:t>
            </w:r>
            <w:r>
              <w:rPr>
                <w:rFonts w:hint="eastAsia" w:eastAsia="宋体"/>
                <w:color w:val="auto"/>
                <w:sz w:val="21"/>
                <w:szCs w:val="21"/>
                <w:highlight w:val="none"/>
              </w:rPr>
              <w:t>41.1</w:t>
            </w:r>
            <w:r>
              <w:rPr>
                <w:rFonts w:eastAsia="宋体"/>
                <w:color w:val="auto"/>
                <w:sz w:val="21"/>
                <w:szCs w:val="21"/>
                <w:highlight w:val="none"/>
              </w:rPr>
              <w:t>km，不在自然保护区范围内，不在生态保护红线和永久基本农田范围内，不属于严重产能过剩行业项目</w:t>
            </w:r>
          </w:p>
        </w:tc>
        <w:tc>
          <w:tcPr>
            <w:tcW w:w="1025" w:type="dxa"/>
            <w:vAlign w:val="center"/>
          </w:tcPr>
          <w:p w14:paraId="008A9853">
            <w:pPr>
              <w:pStyle w:val="44"/>
              <w:adjustRightInd w:val="0"/>
              <w:snapToGrid w:val="0"/>
              <w:spacing w:after="0"/>
              <w:ind w:left="0" w:leftChars="0" w:right="-105" w:firstLine="0" w:firstLineChars="0"/>
              <w:jc w:val="center"/>
              <w:rPr>
                <w:rFonts w:eastAsia="宋体"/>
                <w:color w:val="auto"/>
                <w:sz w:val="21"/>
                <w:szCs w:val="21"/>
                <w:highlight w:val="none"/>
              </w:rPr>
            </w:pPr>
            <w:r>
              <w:rPr>
                <w:rFonts w:eastAsia="宋体"/>
                <w:color w:val="auto"/>
                <w:sz w:val="21"/>
                <w:szCs w:val="21"/>
                <w:highlight w:val="none"/>
              </w:rPr>
              <w:t>符合</w:t>
            </w:r>
          </w:p>
        </w:tc>
      </w:tr>
    </w:tbl>
    <w:p w14:paraId="35C21862">
      <w:pPr>
        <w:spacing w:line="360" w:lineRule="auto"/>
        <w:ind w:left="-105" w:right="-105" w:firstLine="480" w:firstLineChars="200"/>
        <w:rPr>
          <w:rFonts w:ascii="Times New Roman" w:hAnsi="Times New Roman"/>
          <w:color w:val="auto"/>
          <w:szCs w:val="22"/>
          <w:highlight w:val="none"/>
        </w:rPr>
      </w:pPr>
      <w:r>
        <w:rPr>
          <w:rFonts w:ascii="Times New Roman" w:hAnsi="Times New Roman" w:cs="Times New Roman"/>
          <w:color w:val="auto"/>
          <w:szCs w:val="22"/>
          <w:highlight w:val="none"/>
        </w:rPr>
        <w:t>通过初步分析判定，建设项目符合国家和地方产业政策，选址符合区域总体规划、环保规划；项目满足生态保护、环境质量、资源利用及环境准入等要求。</w:t>
      </w:r>
    </w:p>
    <w:p w14:paraId="3D0AFD7D">
      <w:pPr>
        <w:pStyle w:val="4"/>
        <w:spacing w:line="360" w:lineRule="auto"/>
        <w:ind w:left="-105" w:right="-105" w:firstLine="0"/>
        <w:rPr>
          <w:rFonts w:ascii="Times New Roman" w:eastAsia="宋体"/>
          <w:color w:val="auto"/>
          <w:sz w:val="28"/>
          <w:szCs w:val="28"/>
          <w:highlight w:val="none"/>
        </w:rPr>
      </w:pPr>
      <w:bookmarkStart w:id="49" w:name="_Toc352006401"/>
      <w:bookmarkStart w:id="50" w:name="_Toc18162"/>
      <w:bookmarkStart w:id="51" w:name="_Toc13515"/>
      <w:bookmarkStart w:id="52" w:name="_Toc60653437"/>
      <w:bookmarkStart w:id="53" w:name="_Toc317262265"/>
      <w:r>
        <w:rPr>
          <w:rFonts w:ascii="Times New Roman" w:eastAsia="宋体"/>
          <w:color w:val="auto"/>
          <w:sz w:val="28"/>
          <w:szCs w:val="28"/>
          <w:highlight w:val="none"/>
        </w:rPr>
        <w:t>环境影响</w:t>
      </w:r>
      <w:r>
        <w:rPr>
          <w:rFonts w:hint="eastAsia" w:ascii="Times New Roman" w:eastAsia="宋体"/>
          <w:color w:val="auto"/>
          <w:sz w:val="28"/>
          <w:szCs w:val="28"/>
          <w:highlight w:val="none"/>
        </w:rPr>
        <w:t>评价</w:t>
      </w:r>
      <w:r>
        <w:rPr>
          <w:rFonts w:ascii="Times New Roman" w:eastAsia="宋体"/>
          <w:color w:val="auto"/>
          <w:sz w:val="28"/>
          <w:szCs w:val="28"/>
          <w:highlight w:val="none"/>
        </w:rPr>
        <w:t>主要结论</w:t>
      </w:r>
      <w:bookmarkEnd w:id="49"/>
      <w:bookmarkEnd w:id="50"/>
      <w:bookmarkEnd w:id="51"/>
      <w:bookmarkEnd w:id="52"/>
      <w:bookmarkEnd w:id="53"/>
    </w:p>
    <w:p w14:paraId="6B6FFCCA">
      <w:pPr>
        <w:spacing w:line="360" w:lineRule="auto"/>
        <w:ind w:left="-105" w:right="-105" w:firstLine="480" w:firstLineChars="200"/>
        <w:rPr>
          <w:rFonts w:ascii="Times New Roman" w:hAnsi="Times New Roman"/>
          <w:color w:val="auto"/>
          <w:highlight w:val="none"/>
        </w:rPr>
      </w:pPr>
      <w:r>
        <w:rPr>
          <w:rFonts w:ascii="Times New Roman" w:hAnsi="Times New Roman" w:cs="Times New Roman"/>
          <w:color w:val="auto"/>
          <w:highlight w:val="none"/>
        </w:rPr>
        <w:t>本项目符合国家和地方产业政策，与地方有关环境保护法律法规、标准、政策、规范相符。无锡市环境空气质量在2025年实现全面达标，符合区域规划要求，地表水通过上、下游综合整治，将符合功能目标类别，根据监测数据，项目所在地噪声、土壤、地下水环境质量均满足相关环境功能区的要求；厂区平面布置合理，采用的工艺水平先进，自动化程度高，采取的污染防治措施可行可靠，能有效实现污染物长期稳定达标排放，对环境影响较小；环境经济损益具有正面效应；采纳了公众参与过程中公众提出的合理意见；制定了完善的环境管理制度和监测计划。因此，从环保角度出发，本项目具有环境可行性。</w:t>
      </w:r>
    </w:p>
    <w:p w14:paraId="16601B63">
      <w:pPr>
        <w:spacing w:line="360" w:lineRule="auto"/>
        <w:ind w:left="-105" w:right="-105" w:firstLine="480" w:firstLineChars="200"/>
        <w:rPr>
          <w:rFonts w:ascii="Times New Roman" w:hAnsi="Times New Roman"/>
          <w:color w:val="auto"/>
          <w:highlight w:val="none"/>
        </w:rPr>
      </w:pPr>
    </w:p>
    <w:p w14:paraId="2F1A88CC">
      <w:pPr>
        <w:spacing w:line="360" w:lineRule="auto"/>
        <w:ind w:left="-105" w:right="-105" w:firstLine="480" w:firstLineChars="200"/>
        <w:rPr>
          <w:rFonts w:ascii="Times New Roman" w:hAnsi="Times New Roman"/>
          <w:color w:val="auto"/>
          <w:highlight w:val="none"/>
        </w:rPr>
      </w:pPr>
    </w:p>
    <w:p w14:paraId="2691DB40">
      <w:pPr>
        <w:tabs>
          <w:tab w:val="left" w:pos="1418"/>
        </w:tabs>
        <w:spacing w:line="360" w:lineRule="auto"/>
        <w:ind w:left="-105" w:right="-105" w:firstLine="480"/>
        <w:rPr>
          <w:rFonts w:ascii="Times New Roman" w:hAnsi="Times New Roman"/>
          <w:color w:val="auto"/>
          <w:highlight w:val="none"/>
        </w:rPr>
        <w:sectPr>
          <w:headerReference r:id="rId7" w:type="first"/>
          <w:footerReference r:id="rId10" w:type="first"/>
          <w:headerReference r:id="rId5" w:type="default"/>
          <w:footerReference r:id="rId8" w:type="default"/>
          <w:headerReference r:id="rId6" w:type="even"/>
          <w:footerReference r:id="rId9" w:type="even"/>
          <w:pgSz w:w="11906" w:h="16838"/>
          <w:pgMar w:top="1440" w:right="1701" w:bottom="1440" w:left="1701" w:header="851" w:footer="851" w:gutter="0"/>
          <w:pgBorders>
            <w:top w:val="none" w:sz="0" w:space="0"/>
            <w:left w:val="none" w:sz="0" w:space="0"/>
            <w:bottom w:val="none" w:sz="0" w:space="0"/>
            <w:right w:val="none" w:sz="0" w:space="0"/>
          </w:pgBorders>
          <w:pgNumType w:start="1"/>
          <w:cols w:space="720" w:num="1"/>
          <w:docGrid w:linePitch="498" w:charSpace="-2336"/>
        </w:sectPr>
      </w:pPr>
    </w:p>
    <w:p w14:paraId="2DB49E99">
      <w:pPr>
        <w:pStyle w:val="3"/>
        <w:numPr>
          <w:ilvl w:val="0"/>
          <w:numId w:val="6"/>
        </w:numPr>
        <w:spacing w:before="120" w:beforeLines="50" w:afterLines="50" w:line="360" w:lineRule="auto"/>
        <w:ind w:left="-105" w:right="-105"/>
        <w:rPr>
          <w:rFonts w:ascii="Times New Roman" w:eastAsia="宋体"/>
          <w:color w:val="auto"/>
          <w:sz w:val="32"/>
          <w:szCs w:val="32"/>
          <w:highlight w:val="none"/>
        </w:rPr>
      </w:pPr>
      <w:bookmarkStart w:id="54" w:name="_Ref287858245"/>
      <w:bookmarkStart w:id="55" w:name="_Toc352006402"/>
      <w:bookmarkStart w:id="56" w:name="_Toc6254"/>
      <w:bookmarkStart w:id="57" w:name="_Toc327968197"/>
      <w:bookmarkStart w:id="58" w:name="_Toc60653438"/>
      <w:bookmarkStart w:id="59" w:name="_Ref287858248"/>
      <w:bookmarkStart w:id="60" w:name="_Toc22612"/>
      <w:r>
        <w:rPr>
          <w:rFonts w:ascii="Times New Roman" w:eastAsia="宋体"/>
          <w:color w:val="auto"/>
          <w:sz w:val="32"/>
          <w:szCs w:val="32"/>
          <w:highlight w:val="none"/>
        </w:rPr>
        <w:t>总则</w:t>
      </w:r>
      <w:bookmarkEnd w:id="54"/>
      <w:bookmarkEnd w:id="55"/>
      <w:bookmarkEnd w:id="56"/>
      <w:bookmarkEnd w:id="57"/>
      <w:bookmarkEnd w:id="58"/>
      <w:bookmarkEnd w:id="59"/>
      <w:bookmarkEnd w:id="60"/>
    </w:p>
    <w:p w14:paraId="52E23B87">
      <w:pPr>
        <w:pStyle w:val="4"/>
        <w:numPr>
          <w:ilvl w:val="1"/>
          <w:numId w:val="6"/>
        </w:numPr>
        <w:tabs>
          <w:tab w:val="left" w:pos="426"/>
        </w:tabs>
        <w:spacing w:before="120" w:beforeLines="50" w:after="120" w:afterLines="50" w:line="360" w:lineRule="auto"/>
        <w:ind w:left="-105" w:right="-105"/>
        <w:rPr>
          <w:rFonts w:ascii="Times New Roman" w:eastAsia="宋体"/>
          <w:color w:val="auto"/>
          <w:sz w:val="28"/>
          <w:szCs w:val="28"/>
          <w:highlight w:val="none"/>
        </w:rPr>
      </w:pPr>
      <w:bookmarkStart w:id="61" w:name="_Toc60653439"/>
      <w:bookmarkStart w:id="62" w:name="_Toc30307"/>
      <w:bookmarkStart w:id="63" w:name="_Toc327968198"/>
      <w:bookmarkStart w:id="64" w:name="_Toc31878"/>
      <w:bookmarkStart w:id="65" w:name="_Toc352006403"/>
      <w:bookmarkStart w:id="66" w:name="_Toc23673841"/>
      <w:bookmarkStart w:id="67" w:name="_Toc125882608"/>
      <w:bookmarkStart w:id="68" w:name="_Toc23933251"/>
      <w:bookmarkStart w:id="69" w:name="_Toc23604717"/>
      <w:bookmarkStart w:id="70" w:name="_Toc23604805"/>
      <w:bookmarkStart w:id="71" w:name="_Toc23738043"/>
      <w:bookmarkStart w:id="72" w:name="_Toc23933485"/>
      <w:bookmarkStart w:id="73" w:name="_Toc23933428"/>
      <w:bookmarkStart w:id="74" w:name="_Toc22899959"/>
      <w:bookmarkStart w:id="75" w:name="_Toc23673995"/>
      <w:r>
        <w:rPr>
          <w:rFonts w:ascii="Times New Roman" w:eastAsia="宋体"/>
          <w:color w:val="auto"/>
          <w:sz w:val="28"/>
          <w:szCs w:val="28"/>
          <w:highlight w:val="none"/>
        </w:rPr>
        <w:t>编制依据</w:t>
      </w:r>
      <w:bookmarkEnd w:id="61"/>
      <w:bookmarkEnd w:id="62"/>
      <w:bookmarkEnd w:id="63"/>
      <w:bookmarkEnd w:id="64"/>
      <w:bookmarkEnd w:id="65"/>
    </w:p>
    <w:p w14:paraId="6CF47F3C">
      <w:pPr>
        <w:pStyle w:val="5"/>
        <w:keepLines w:val="0"/>
        <w:numPr>
          <w:ilvl w:val="2"/>
          <w:numId w:val="6"/>
        </w:numPr>
        <w:tabs>
          <w:tab w:val="left" w:pos="709"/>
        </w:tabs>
        <w:spacing w:before="120" w:beforeLines="50" w:after="0" w:line="360" w:lineRule="auto"/>
        <w:ind w:left="-105" w:right="-105"/>
        <w:rPr>
          <w:rFonts w:eastAsia="宋体"/>
          <w:color w:val="auto"/>
          <w:sz w:val="28"/>
          <w:szCs w:val="28"/>
          <w:highlight w:val="none"/>
        </w:rPr>
      </w:pPr>
      <w:bookmarkStart w:id="76" w:name="_Toc60653440"/>
      <w:r>
        <w:rPr>
          <w:rFonts w:eastAsia="宋体"/>
          <w:color w:val="auto"/>
          <w:sz w:val="28"/>
          <w:szCs w:val="28"/>
          <w:highlight w:val="none"/>
        </w:rPr>
        <w:t>国家法律、法规、规章及规范性文件</w:t>
      </w:r>
      <w:bookmarkEnd w:id="76"/>
    </w:p>
    <w:bookmarkEnd w:id="66"/>
    <w:bookmarkEnd w:id="67"/>
    <w:bookmarkEnd w:id="68"/>
    <w:bookmarkEnd w:id="69"/>
    <w:bookmarkEnd w:id="70"/>
    <w:bookmarkEnd w:id="71"/>
    <w:bookmarkEnd w:id="72"/>
    <w:bookmarkEnd w:id="73"/>
    <w:bookmarkEnd w:id="74"/>
    <w:bookmarkEnd w:id="75"/>
    <w:p w14:paraId="5A44F257">
      <w:pPr>
        <w:pStyle w:val="97"/>
        <w:numPr>
          <w:ilvl w:val="0"/>
          <w:numId w:val="7"/>
        </w:numPr>
        <w:spacing w:line="360" w:lineRule="auto"/>
        <w:ind w:left="-105" w:right="-105" w:firstLine="480"/>
        <w:rPr>
          <w:rFonts w:eastAsia="宋体"/>
          <w:color w:val="auto"/>
          <w:sz w:val="24"/>
          <w:highlight w:val="none"/>
        </w:rPr>
      </w:pPr>
      <w:bookmarkStart w:id="77" w:name="_Toc17880798"/>
      <w:bookmarkStart w:id="78" w:name="_Toc17618524"/>
      <w:bookmarkStart w:id="79" w:name="_Toc17881012"/>
      <w:bookmarkStart w:id="80" w:name="_Toc18141221"/>
      <w:bookmarkStart w:id="81" w:name="_Toc17531338"/>
      <w:bookmarkStart w:id="82" w:name="_Toc17531996"/>
      <w:bookmarkStart w:id="83" w:name="_Toc60545865"/>
      <w:bookmarkStart w:id="84" w:name="_Toc53372017"/>
      <w:bookmarkStart w:id="85" w:name="_Toc53737339"/>
      <w:r>
        <w:rPr>
          <w:rFonts w:eastAsia="宋体"/>
          <w:color w:val="auto"/>
          <w:sz w:val="24"/>
          <w:highlight w:val="none"/>
        </w:rPr>
        <w:t>《中华人民共和国环境保护法》(2014年4月24日第十二届全国人民代表大会常务委员会第八次会议修订通过，2015年1月1日实施)；</w:t>
      </w:r>
    </w:p>
    <w:p w14:paraId="3C4F33FA">
      <w:pPr>
        <w:pStyle w:val="97"/>
        <w:numPr>
          <w:ilvl w:val="0"/>
          <w:numId w:val="7"/>
        </w:numPr>
        <w:spacing w:line="360" w:lineRule="auto"/>
        <w:ind w:left="-105" w:right="-105" w:firstLine="480"/>
        <w:rPr>
          <w:rFonts w:eastAsia="宋体"/>
          <w:color w:val="auto"/>
          <w:sz w:val="24"/>
          <w:highlight w:val="none"/>
        </w:rPr>
      </w:pPr>
      <w:r>
        <w:rPr>
          <w:rFonts w:eastAsia="宋体"/>
          <w:color w:val="auto"/>
          <w:sz w:val="24"/>
          <w:highlight w:val="none"/>
        </w:rPr>
        <w:t>《中华人民共和国环境影响评价法》（2018年修订）；</w:t>
      </w:r>
    </w:p>
    <w:p w14:paraId="457A1FE4">
      <w:pPr>
        <w:pStyle w:val="97"/>
        <w:numPr>
          <w:ilvl w:val="0"/>
          <w:numId w:val="7"/>
        </w:numPr>
        <w:spacing w:line="360" w:lineRule="auto"/>
        <w:ind w:left="-105" w:right="-105" w:firstLine="480"/>
        <w:rPr>
          <w:rFonts w:eastAsia="宋体"/>
          <w:color w:val="auto"/>
          <w:sz w:val="24"/>
          <w:highlight w:val="none"/>
        </w:rPr>
      </w:pPr>
      <w:r>
        <w:rPr>
          <w:rFonts w:eastAsia="宋体"/>
          <w:color w:val="auto"/>
          <w:sz w:val="24"/>
          <w:highlight w:val="none"/>
        </w:rPr>
        <w:t>《中华人民共和国水污染防治法》，2017年6月27日第十二届全国人民代表大会常务委员会第二十八次会议修订通过，自2018年1月1日起施行；</w:t>
      </w:r>
    </w:p>
    <w:p w14:paraId="0A87286C">
      <w:pPr>
        <w:pStyle w:val="97"/>
        <w:numPr>
          <w:ilvl w:val="0"/>
          <w:numId w:val="7"/>
        </w:numPr>
        <w:spacing w:line="360" w:lineRule="auto"/>
        <w:ind w:left="-105" w:right="-105" w:firstLine="480"/>
        <w:rPr>
          <w:rFonts w:eastAsia="宋体"/>
          <w:color w:val="auto"/>
          <w:sz w:val="24"/>
          <w:highlight w:val="none"/>
        </w:rPr>
      </w:pPr>
      <w:r>
        <w:rPr>
          <w:rFonts w:eastAsia="宋体"/>
          <w:color w:val="auto"/>
          <w:sz w:val="24"/>
          <w:highlight w:val="none"/>
        </w:rPr>
        <w:t>《中华人民共和国大气污染防治法》(2018年10月26日修订)；</w:t>
      </w:r>
    </w:p>
    <w:p w14:paraId="559F7011">
      <w:pPr>
        <w:pStyle w:val="97"/>
        <w:numPr>
          <w:ilvl w:val="0"/>
          <w:numId w:val="7"/>
        </w:numPr>
        <w:spacing w:line="360" w:lineRule="auto"/>
        <w:ind w:left="-105" w:right="-105" w:firstLine="480"/>
        <w:rPr>
          <w:rFonts w:eastAsia="宋体"/>
          <w:color w:val="auto"/>
          <w:sz w:val="24"/>
          <w:highlight w:val="none"/>
        </w:rPr>
      </w:pPr>
      <w:r>
        <w:rPr>
          <w:rFonts w:eastAsia="宋体"/>
          <w:color w:val="auto"/>
          <w:sz w:val="24"/>
          <w:highlight w:val="none"/>
        </w:rPr>
        <w:t>《中华人民共和国固体废物污染环境防治法》(由中华人民共和国第十三届全国人民代表大会常务委员会第十七次会议于2020年4月29日修订通过，自2020年9月1日起施行)；</w:t>
      </w:r>
    </w:p>
    <w:p w14:paraId="78A0B2EA">
      <w:pPr>
        <w:pStyle w:val="97"/>
        <w:numPr>
          <w:ilvl w:val="0"/>
          <w:numId w:val="7"/>
        </w:numPr>
        <w:spacing w:line="360" w:lineRule="auto"/>
        <w:ind w:left="-105" w:right="-105" w:firstLine="480"/>
        <w:rPr>
          <w:rFonts w:eastAsia="宋体"/>
          <w:color w:val="auto"/>
          <w:sz w:val="24"/>
          <w:highlight w:val="none"/>
          <w:lang w:bidi="zh-CN"/>
        </w:rPr>
      </w:pPr>
      <w:r>
        <w:rPr>
          <w:rFonts w:eastAsia="宋体"/>
          <w:color w:val="auto"/>
          <w:sz w:val="24"/>
          <w:highlight w:val="none"/>
          <w:lang w:bidi="zh-CN"/>
        </w:rPr>
        <w:t>《中华人民共和国噪声污染防治法》，2021年12月24日；</w:t>
      </w:r>
    </w:p>
    <w:p w14:paraId="2CBD47D9">
      <w:pPr>
        <w:pStyle w:val="97"/>
        <w:numPr>
          <w:ilvl w:val="0"/>
          <w:numId w:val="7"/>
        </w:numPr>
        <w:spacing w:line="360" w:lineRule="auto"/>
        <w:ind w:left="-105" w:right="-105" w:firstLine="480"/>
        <w:rPr>
          <w:rFonts w:eastAsia="宋体"/>
          <w:color w:val="auto"/>
          <w:sz w:val="24"/>
          <w:highlight w:val="none"/>
          <w:lang w:bidi="zh-CN"/>
        </w:rPr>
      </w:pPr>
      <w:r>
        <w:rPr>
          <w:rFonts w:eastAsia="宋体"/>
          <w:color w:val="auto"/>
          <w:sz w:val="24"/>
          <w:highlight w:val="none"/>
          <w:lang w:bidi="zh-CN"/>
        </w:rPr>
        <w:t>《中华人民共和国土壤污染防治法》，2018年8月31日；</w:t>
      </w:r>
    </w:p>
    <w:p w14:paraId="6F361FFA">
      <w:pPr>
        <w:pStyle w:val="97"/>
        <w:numPr>
          <w:ilvl w:val="0"/>
          <w:numId w:val="7"/>
        </w:numPr>
        <w:spacing w:line="360" w:lineRule="auto"/>
        <w:ind w:left="-105" w:right="-105" w:firstLine="480"/>
        <w:rPr>
          <w:rFonts w:eastAsia="宋体"/>
          <w:color w:val="auto"/>
          <w:sz w:val="24"/>
          <w:highlight w:val="none"/>
          <w:lang w:bidi="zh-CN"/>
        </w:rPr>
      </w:pPr>
      <w:r>
        <w:rPr>
          <w:rFonts w:eastAsia="宋体"/>
          <w:color w:val="auto"/>
          <w:sz w:val="24"/>
          <w:highlight w:val="none"/>
          <w:lang w:bidi="zh-CN"/>
        </w:rPr>
        <w:t>《中华人民共和国节约能源法》，2018年修订版，2018年1月26日实施；</w:t>
      </w:r>
    </w:p>
    <w:p w14:paraId="38C385A5">
      <w:pPr>
        <w:pStyle w:val="97"/>
        <w:numPr>
          <w:ilvl w:val="0"/>
          <w:numId w:val="7"/>
        </w:numPr>
        <w:spacing w:line="360" w:lineRule="auto"/>
        <w:ind w:left="-105" w:right="-105" w:firstLine="480"/>
        <w:rPr>
          <w:rFonts w:eastAsia="宋体"/>
          <w:color w:val="auto"/>
          <w:sz w:val="24"/>
          <w:highlight w:val="none"/>
          <w:lang w:bidi="zh-CN"/>
        </w:rPr>
      </w:pPr>
      <w:r>
        <w:rPr>
          <w:rFonts w:eastAsia="宋体"/>
          <w:color w:val="auto"/>
          <w:sz w:val="24"/>
          <w:highlight w:val="none"/>
          <w:lang w:bidi="zh-CN"/>
        </w:rPr>
        <w:t>《中华人民共和国清洁生产促进法》(由中华人民共和国第十二届全国人民代表大会常务委员会第十六次会议于2015年8月29日修订通过，自2016年7月1日起施行)；</w:t>
      </w:r>
    </w:p>
    <w:p w14:paraId="2A30D14A">
      <w:pPr>
        <w:pStyle w:val="97"/>
        <w:numPr>
          <w:ilvl w:val="0"/>
          <w:numId w:val="7"/>
        </w:numPr>
        <w:spacing w:line="360" w:lineRule="auto"/>
        <w:ind w:left="-105" w:right="-105" w:firstLine="480"/>
        <w:rPr>
          <w:rFonts w:eastAsia="宋体"/>
          <w:color w:val="auto"/>
          <w:sz w:val="24"/>
          <w:highlight w:val="none"/>
          <w:lang w:bidi="zh-CN"/>
        </w:rPr>
      </w:pPr>
      <w:r>
        <w:rPr>
          <w:rFonts w:eastAsia="宋体"/>
          <w:color w:val="auto"/>
          <w:sz w:val="24"/>
          <w:highlight w:val="none"/>
          <w:lang w:bidi="zh-CN"/>
        </w:rPr>
        <w:t>《建设项目环境保护管理条例》，2017年6月21日国务院第177次常务会议通过，自2017年10月1日起施行；</w:t>
      </w:r>
    </w:p>
    <w:p w14:paraId="520CC266">
      <w:pPr>
        <w:pStyle w:val="97"/>
        <w:numPr>
          <w:ilvl w:val="0"/>
          <w:numId w:val="7"/>
        </w:numPr>
        <w:spacing w:line="360" w:lineRule="auto"/>
        <w:ind w:left="-105" w:right="-105" w:firstLine="480"/>
        <w:rPr>
          <w:rFonts w:eastAsia="宋体"/>
          <w:color w:val="auto"/>
          <w:sz w:val="24"/>
          <w:highlight w:val="none"/>
          <w:lang w:bidi="zh-CN"/>
        </w:rPr>
      </w:pPr>
      <w:r>
        <w:rPr>
          <w:rFonts w:eastAsia="宋体"/>
          <w:color w:val="auto"/>
          <w:sz w:val="24"/>
          <w:highlight w:val="none"/>
          <w:lang w:bidi="zh-CN"/>
        </w:rPr>
        <w:t>《建设项目环境影响评价分类管理名录》(2021年版)；</w:t>
      </w:r>
    </w:p>
    <w:p w14:paraId="13090D6E">
      <w:pPr>
        <w:pStyle w:val="97"/>
        <w:numPr>
          <w:ilvl w:val="0"/>
          <w:numId w:val="7"/>
        </w:numPr>
        <w:spacing w:line="360" w:lineRule="auto"/>
        <w:ind w:left="-105" w:right="-105" w:firstLine="480"/>
        <w:rPr>
          <w:rFonts w:eastAsia="宋体"/>
          <w:color w:val="auto"/>
          <w:sz w:val="24"/>
          <w:highlight w:val="none"/>
          <w:lang w:bidi="zh-CN"/>
        </w:rPr>
      </w:pPr>
      <w:r>
        <w:rPr>
          <w:rFonts w:eastAsia="宋体"/>
          <w:color w:val="auto"/>
          <w:sz w:val="24"/>
          <w:highlight w:val="none"/>
          <w:lang w:bidi="zh-CN"/>
        </w:rPr>
        <w:t>《建设项目环境影响评价文件分级审批规定》2008年12月11日修订，2009年3月1日起施行；</w:t>
      </w:r>
    </w:p>
    <w:p w14:paraId="3438FDDF">
      <w:pPr>
        <w:pStyle w:val="97"/>
        <w:numPr>
          <w:ilvl w:val="0"/>
          <w:numId w:val="7"/>
        </w:numPr>
        <w:spacing w:line="360" w:lineRule="auto"/>
        <w:ind w:left="-105" w:right="-105" w:firstLine="480"/>
        <w:rPr>
          <w:rFonts w:eastAsia="宋体"/>
          <w:color w:val="auto"/>
          <w:sz w:val="24"/>
          <w:highlight w:val="none"/>
          <w:lang w:bidi="zh-CN"/>
        </w:rPr>
      </w:pPr>
      <w:r>
        <w:rPr>
          <w:rFonts w:eastAsia="宋体"/>
          <w:color w:val="auto"/>
          <w:sz w:val="24"/>
          <w:highlight w:val="none"/>
          <w:lang w:bidi="zh-CN"/>
        </w:rPr>
        <w:t>《国务院关于加强环境保护重点工作的意见》，国发[2011]35号；</w:t>
      </w:r>
    </w:p>
    <w:p w14:paraId="0DAD4AA6">
      <w:pPr>
        <w:pStyle w:val="97"/>
        <w:numPr>
          <w:ilvl w:val="0"/>
          <w:numId w:val="7"/>
        </w:numPr>
        <w:spacing w:line="360" w:lineRule="auto"/>
        <w:ind w:left="-105" w:right="-105" w:firstLine="480"/>
        <w:rPr>
          <w:rFonts w:eastAsia="宋体"/>
          <w:color w:val="auto"/>
          <w:sz w:val="24"/>
          <w:highlight w:val="none"/>
          <w:lang w:bidi="zh-CN"/>
        </w:rPr>
      </w:pPr>
      <w:r>
        <w:rPr>
          <w:rFonts w:eastAsia="宋体"/>
          <w:color w:val="auto"/>
          <w:sz w:val="24"/>
          <w:highlight w:val="none"/>
          <w:lang w:bidi="zh-CN"/>
        </w:rPr>
        <w:t>《国务院关于印发大气污染防治行动计划的通知》，国发[2013]37号；</w:t>
      </w:r>
    </w:p>
    <w:p w14:paraId="338A9B35">
      <w:pPr>
        <w:pStyle w:val="97"/>
        <w:numPr>
          <w:ilvl w:val="0"/>
          <w:numId w:val="7"/>
        </w:numPr>
        <w:spacing w:line="360" w:lineRule="auto"/>
        <w:ind w:left="-105" w:right="-105" w:firstLine="480"/>
        <w:rPr>
          <w:rFonts w:eastAsia="宋体"/>
          <w:color w:val="auto"/>
          <w:sz w:val="24"/>
          <w:highlight w:val="none"/>
          <w:lang w:bidi="zh-CN"/>
        </w:rPr>
      </w:pPr>
      <w:r>
        <w:rPr>
          <w:rFonts w:eastAsia="宋体"/>
          <w:color w:val="auto"/>
          <w:sz w:val="24"/>
          <w:highlight w:val="none"/>
          <w:lang w:bidi="zh-CN"/>
        </w:rPr>
        <w:t>《国务院关于印发水污染防治行动计划的通知》，国发[2015]17号；</w:t>
      </w:r>
    </w:p>
    <w:p w14:paraId="75BF2DBC">
      <w:pPr>
        <w:pStyle w:val="97"/>
        <w:numPr>
          <w:ilvl w:val="0"/>
          <w:numId w:val="7"/>
        </w:numPr>
        <w:spacing w:line="360" w:lineRule="auto"/>
        <w:ind w:left="-105" w:right="-105" w:firstLine="480"/>
        <w:rPr>
          <w:rFonts w:eastAsia="宋体"/>
          <w:color w:val="auto"/>
          <w:sz w:val="24"/>
          <w:highlight w:val="none"/>
          <w:lang w:bidi="zh-CN"/>
        </w:rPr>
      </w:pPr>
      <w:r>
        <w:rPr>
          <w:rFonts w:eastAsia="宋体"/>
          <w:color w:val="auto"/>
          <w:sz w:val="24"/>
          <w:highlight w:val="none"/>
          <w:lang w:bidi="zh-CN"/>
        </w:rPr>
        <w:t>《国务院关于印发土壤污染防治行动计划的通知》，国发[2016]31号)；</w:t>
      </w:r>
    </w:p>
    <w:p w14:paraId="4274ACE8">
      <w:pPr>
        <w:pStyle w:val="97"/>
        <w:numPr>
          <w:ilvl w:val="0"/>
          <w:numId w:val="7"/>
        </w:numPr>
        <w:spacing w:line="360" w:lineRule="auto"/>
        <w:ind w:left="-105" w:right="-105" w:firstLine="480"/>
        <w:rPr>
          <w:rFonts w:eastAsia="宋体"/>
          <w:color w:val="auto"/>
          <w:sz w:val="24"/>
          <w:highlight w:val="none"/>
          <w:lang w:bidi="zh-CN"/>
        </w:rPr>
      </w:pPr>
      <w:r>
        <w:rPr>
          <w:rFonts w:eastAsia="宋体"/>
          <w:color w:val="auto"/>
          <w:sz w:val="24"/>
          <w:highlight w:val="none"/>
          <w:lang w:bidi="zh-CN"/>
        </w:rPr>
        <w:t>国家环保总局、国家经济贸易委员会、科学技术部关于发布《危险废物污染防治技术政策》的通知，环发[2001]199号；</w:t>
      </w:r>
    </w:p>
    <w:p w14:paraId="415A1522">
      <w:pPr>
        <w:pStyle w:val="97"/>
        <w:numPr>
          <w:ilvl w:val="0"/>
          <w:numId w:val="7"/>
        </w:numPr>
        <w:spacing w:line="360" w:lineRule="auto"/>
        <w:ind w:left="-105" w:right="-105" w:firstLine="480"/>
        <w:rPr>
          <w:rFonts w:eastAsia="宋体"/>
          <w:color w:val="auto"/>
          <w:sz w:val="24"/>
          <w:highlight w:val="none"/>
          <w:lang w:bidi="zh-CN"/>
        </w:rPr>
      </w:pPr>
      <w:r>
        <w:rPr>
          <w:rFonts w:eastAsia="宋体"/>
          <w:color w:val="auto"/>
          <w:sz w:val="24"/>
          <w:highlight w:val="none"/>
          <w:lang w:bidi="zh-CN"/>
        </w:rPr>
        <w:t>《国务院办公厅关于印发强化危险废物监管和利用处置能力改革实施方案的通知》，国办函[2021]47号；</w:t>
      </w:r>
    </w:p>
    <w:p w14:paraId="4DA76A7C">
      <w:pPr>
        <w:pStyle w:val="97"/>
        <w:numPr>
          <w:ilvl w:val="0"/>
          <w:numId w:val="7"/>
        </w:numPr>
        <w:spacing w:line="360" w:lineRule="auto"/>
        <w:ind w:left="-105" w:right="-105" w:firstLine="480"/>
        <w:rPr>
          <w:rFonts w:eastAsia="宋体"/>
          <w:color w:val="auto"/>
          <w:sz w:val="24"/>
          <w:highlight w:val="none"/>
          <w:lang w:bidi="zh-CN"/>
        </w:rPr>
      </w:pPr>
      <w:r>
        <w:rPr>
          <w:rFonts w:eastAsia="宋体"/>
          <w:color w:val="auto"/>
          <w:sz w:val="24"/>
          <w:highlight w:val="none"/>
          <w:lang w:bidi="zh-CN"/>
        </w:rPr>
        <w:t>《关于切实加强风险防范措施严格环境影响评价管理的通知》，环发[2012]98号；</w:t>
      </w:r>
    </w:p>
    <w:p w14:paraId="0BCC1CED">
      <w:pPr>
        <w:pStyle w:val="97"/>
        <w:numPr>
          <w:ilvl w:val="0"/>
          <w:numId w:val="7"/>
        </w:numPr>
        <w:spacing w:line="360" w:lineRule="auto"/>
        <w:ind w:left="-105" w:right="-105" w:firstLine="480"/>
        <w:rPr>
          <w:rFonts w:eastAsia="宋体"/>
          <w:color w:val="auto"/>
          <w:sz w:val="24"/>
          <w:highlight w:val="none"/>
          <w:lang w:bidi="zh-CN"/>
        </w:rPr>
      </w:pPr>
      <w:r>
        <w:rPr>
          <w:rFonts w:eastAsia="宋体"/>
          <w:color w:val="auto"/>
          <w:sz w:val="24"/>
          <w:highlight w:val="none"/>
          <w:lang w:bidi="zh-CN"/>
        </w:rPr>
        <w:t>《关于进一步加强环境影响评价管理防范环境风险的通知》，环发[2012]77号；</w:t>
      </w:r>
    </w:p>
    <w:p w14:paraId="65B33015">
      <w:pPr>
        <w:pStyle w:val="97"/>
        <w:numPr>
          <w:ilvl w:val="0"/>
          <w:numId w:val="7"/>
        </w:numPr>
        <w:spacing w:line="360" w:lineRule="auto"/>
        <w:ind w:left="-105" w:right="-105" w:firstLine="480"/>
        <w:rPr>
          <w:rFonts w:eastAsia="宋体"/>
          <w:color w:val="auto"/>
          <w:sz w:val="24"/>
          <w:highlight w:val="none"/>
          <w:lang w:bidi="zh-CN"/>
        </w:rPr>
      </w:pPr>
      <w:r>
        <w:rPr>
          <w:rFonts w:eastAsia="宋体"/>
          <w:color w:val="auto"/>
          <w:sz w:val="24"/>
          <w:highlight w:val="none"/>
          <w:lang w:bidi="zh-CN"/>
        </w:rPr>
        <w:t>《突发环境事件应急管理办法》，部令第34号；</w:t>
      </w:r>
    </w:p>
    <w:p w14:paraId="4130E92B">
      <w:pPr>
        <w:pStyle w:val="97"/>
        <w:numPr>
          <w:ilvl w:val="0"/>
          <w:numId w:val="7"/>
        </w:numPr>
        <w:spacing w:line="360" w:lineRule="auto"/>
        <w:ind w:left="-105" w:right="-105" w:firstLine="480"/>
        <w:rPr>
          <w:rFonts w:eastAsia="宋体"/>
          <w:color w:val="auto"/>
          <w:sz w:val="24"/>
          <w:highlight w:val="none"/>
          <w:lang w:bidi="zh-CN"/>
        </w:rPr>
      </w:pPr>
      <w:r>
        <w:rPr>
          <w:rFonts w:eastAsia="宋体"/>
          <w:color w:val="auto"/>
          <w:sz w:val="24"/>
          <w:highlight w:val="none"/>
          <w:lang w:bidi="zh-CN"/>
        </w:rPr>
        <w:t>关于印发《建设项目环境影响评价政府信息公开指南(试行)》的通知，环办[2013]103号；</w:t>
      </w:r>
    </w:p>
    <w:p w14:paraId="7CA02287">
      <w:pPr>
        <w:pStyle w:val="97"/>
        <w:numPr>
          <w:ilvl w:val="0"/>
          <w:numId w:val="7"/>
        </w:numPr>
        <w:spacing w:line="360" w:lineRule="auto"/>
        <w:ind w:left="-105" w:right="-105" w:firstLine="480"/>
        <w:rPr>
          <w:rFonts w:eastAsia="宋体"/>
          <w:color w:val="auto"/>
          <w:sz w:val="24"/>
          <w:highlight w:val="none"/>
          <w:lang w:bidi="zh-CN"/>
        </w:rPr>
      </w:pPr>
      <w:r>
        <w:rPr>
          <w:rFonts w:eastAsia="宋体"/>
          <w:color w:val="auto"/>
          <w:sz w:val="24"/>
          <w:highlight w:val="none"/>
          <w:lang w:bidi="zh-CN"/>
        </w:rPr>
        <w:t>《关于落实大气污染防治行动计划严格环境影响评价准入的通知》，环办[2014]30号；</w:t>
      </w:r>
    </w:p>
    <w:p w14:paraId="7B74C6ED">
      <w:pPr>
        <w:pStyle w:val="97"/>
        <w:numPr>
          <w:ilvl w:val="0"/>
          <w:numId w:val="7"/>
        </w:numPr>
        <w:spacing w:line="360" w:lineRule="auto"/>
        <w:ind w:left="-105" w:right="-105" w:firstLine="468"/>
        <w:rPr>
          <w:rFonts w:eastAsia="宋体"/>
          <w:color w:val="auto"/>
          <w:sz w:val="24"/>
          <w:highlight w:val="none"/>
          <w:lang w:bidi="zh-CN"/>
        </w:rPr>
      </w:pPr>
      <w:r>
        <w:rPr>
          <w:rFonts w:eastAsia="宋体"/>
          <w:color w:val="auto"/>
          <w:spacing w:val="-3"/>
          <w:sz w:val="24"/>
          <w:szCs w:val="22"/>
          <w:highlight w:val="none"/>
        </w:rPr>
        <w:t>《环保部关于印发&lt;建设项目主要污染物排放总量指标审核及管理暂行办法&gt;的通知》，环发[</w:t>
      </w:r>
      <w:r>
        <w:rPr>
          <w:rFonts w:eastAsia="宋体"/>
          <w:color w:val="auto"/>
          <w:sz w:val="24"/>
          <w:szCs w:val="22"/>
          <w:highlight w:val="none"/>
        </w:rPr>
        <w:t>2014]197</w:t>
      </w:r>
      <w:r>
        <w:rPr>
          <w:rFonts w:eastAsia="宋体"/>
          <w:color w:val="auto"/>
          <w:spacing w:val="-24"/>
          <w:sz w:val="24"/>
          <w:szCs w:val="22"/>
          <w:highlight w:val="none"/>
        </w:rPr>
        <w:t>号；</w:t>
      </w:r>
    </w:p>
    <w:p w14:paraId="684CEDE1">
      <w:pPr>
        <w:pStyle w:val="97"/>
        <w:numPr>
          <w:ilvl w:val="0"/>
          <w:numId w:val="7"/>
        </w:numPr>
        <w:spacing w:line="360" w:lineRule="auto"/>
        <w:ind w:left="-105" w:right="-105" w:firstLine="480"/>
        <w:rPr>
          <w:rFonts w:eastAsia="宋体"/>
          <w:color w:val="auto"/>
          <w:sz w:val="24"/>
          <w:highlight w:val="none"/>
          <w:lang w:bidi="zh-CN"/>
        </w:rPr>
      </w:pPr>
      <w:r>
        <w:rPr>
          <w:rFonts w:eastAsia="宋体"/>
          <w:color w:val="auto"/>
          <w:sz w:val="24"/>
          <w:highlight w:val="none"/>
          <w:lang w:bidi="zh-CN"/>
        </w:rPr>
        <w:t>《国家先进污染防治示范技术名录（水污染防治领域）》2022年；</w:t>
      </w:r>
    </w:p>
    <w:p w14:paraId="16E3089E">
      <w:pPr>
        <w:pStyle w:val="97"/>
        <w:numPr>
          <w:ilvl w:val="0"/>
          <w:numId w:val="7"/>
        </w:numPr>
        <w:spacing w:line="360" w:lineRule="auto"/>
        <w:ind w:left="-105" w:right="-105" w:firstLine="480"/>
        <w:rPr>
          <w:rFonts w:eastAsia="宋体"/>
          <w:color w:val="auto"/>
          <w:sz w:val="24"/>
          <w:highlight w:val="none"/>
          <w:lang w:bidi="zh-CN"/>
        </w:rPr>
      </w:pPr>
      <w:r>
        <w:rPr>
          <w:rFonts w:eastAsia="宋体"/>
          <w:color w:val="auto"/>
          <w:sz w:val="24"/>
          <w:highlight w:val="none"/>
          <w:lang w:bidi="zh-CN"/>
        </w:rPr>
        <w:t>《国家先进污染防治技术目录（大气污染防治、噪声与振动控制领域）》2021年；</w:t>
      </w:r>
    </w:p>
    <w:p w14:paraId="35AB7CC4">
      <w:pPr>
        <w:pStyle w:val="97"/>
        <w:numPr>
          <w:ilvl w:val="0"/>
          <w:numId w:val="7"/>
        </w:numPr>
        <w:spacing w:line="360" w:lineRule="auto"/>
        <w:ind w:left="-105" w:right="-105" w:firstLine="480"/>
        <w:rPr>
          <w:rFonts w:eastAsia="宋体"/>
          <w:color w:val="auto"/>
          <w:sz w:val="24"/>
          <w:highlight w:val="none"/>
          <w:lang w:bidi="zh-CN"/>
        </w:rPr>
      </w:pPr>
      <w:r>
        <w:rPr>
          <w:rFonts w:eastAsia="宋体"/>
          <w:color w:val="auto"/>
          <w:sz w:val="24"/>
          <w:highlight w:val="none"/>
          <w:lang w:bidi="zh-CN"/>
        </w:rPr>
        <w:t>《国家先进污染防治技术目录（固体废物和土壤污染防治领域）》的公告2021年；</w:t>
      </w:r>
    </w:p>
    <w:p w14:paraId="240C104C">
      <w:pPr>
        <w:pStyle w:val="97"/>
        <w:numPr>
          <w:ilvl w:val="0"/>
          <w:numId w:val="7"/>
        </w:numPr>
        <w:spacing w:line="360" w:lineRule="auto"/>
        <w:ind w:left="-105" w:right="-105" w:firstLine="480"/>
        <w:rPr>
          <w:rFonts w:eastAsia="宋体"/>
          <w:color w:val="auto"/>
          <w:sz w:val="24"/>
          <w:highlight w:val="none"/>
          <w:lang w:bidi="zh-CN"/>
        </w:rPr>
      </w:pPr>
      <w:r>
        <w:rPr>
          <w:rFonts w:eastAsia="宋体"/>
          <w:color w:val="auto"/>
          <w:sz w:val="24"/>
          <w:highlight w:val="none"/>
          <w:lang w:bidi="zh-CN"/>
        </w:rPr>
        <w:t>《2016 年国家先进污染防治技术目录，（VOCs 防治领域）》（公告2016年第75号）；</w:t>
      </w:r>
    </w:p>
    <w:p w14:paraId="6DC5E088">
      <w:pPr>
        <w:pStyle w:val="97"/>
        <w:numPr>
          <w:ilvl w:val="0"/>
          <w:numId w:val="7"/>
        </w:numPr>
        <w:spacing w:line="360" w:lineRule="auto"/>
        <w:ind w:left="-105" w:right="-105" w:firstLine="480"/>
        <w:rPr>
          <w:rFonts w:eastAsia="宋体"/>
          <w:color w:val="auto"/>
          <w:sz w:val="24"/>
          <w:highlight w:val="none"/>
          <w:lang w:bidi="zh-CN"/>
        </w:rPr>
      </w:pPr>
      <w:r>
        <w:rPr>
          <w:rFonts w:eastAsia="宋体"/>
          <w:color w:val="auto"/>
          <w:sz w:val="24"/>
          <w:highlight w:val="none"/>
          <w:lang w:bidi="zh-CN"/>
        </w:rPr>
        <w:t>《关于加强规划环境影响评价与建设项目环境影响评价联动工作的意见》，环发[2015]178号；</w:t>
      </w:r>
    </w:p>
    <w:p w14:paraId="7B986F27">
      <w:pPr>
        <w:pStyle w:val="97"/>
        <w:numPr>
          <w:ilvl w:val="0"/>
          <w:numId w:val="7"/>
        </w:numPr>
        <w:spacing w:line="360" w:lineRule="auto"/>
        <w:ind w:left="-105" w:right="-105" w:firstLine="480"/>
        <w:rPr>
          <w:rFonts w:eastAsia="宋体"/>
          <w:color w:val="auto"/>
          <w:sz w:val="24"/>
          <w:highlight w:val="none"/>
          <w:lang w:bidi="zh-CN"/>
        </w:rPr>
      </w:pPr>
      <w:r>
        <w:rPr>
          <w:rFonts w:eastAsia="宋体"/>
          <w:color w:val="auto"/>
          <w:sz w:val="24"/>
          <w:highlight w:val="none"/>
          <w:lang w:bidi="zh-CN"/>
        </w:rPr>
        <w:t>关于启用《建设项目环境影响报告书审批基础信息表》的通知，环办环评函[2020]711号；</w:t>
      </w:r>
    </w:p>
    <w:p w14:paraId="2AC0F925">
      <w:pPr>
        <w:pStyle w:val="97"/>
        <w:numPr>
          <w:ilvl w:val="0"/>
          <w:numId w:val="7"/>
        </w:numPr>
        <w:spacing w:line="360" w:lineRule="auto"/>
        <w:ind w:left="-105" w:right="-105" w:firstLine="480"/>
        <w:rPr>
          <w:rFonts w:eastAsia="宋体"/>
          <w:color w:val="auto"/>
          <w:sz w:val="24"/>
          <w:highlight w:val="none"/>
          <w:lang w:bidi="zh-CN"/>
        </w:rPr>
      </w:pPr>
      <w:r>
        <w:rPr>
          <w:rFonts w:eastAsia="宋体"/>
          <w:color w:val="auto"/>
          <w:sz w:val="24"/>
          <w:highlight w:val="none"/>
          <w:lang w:bidi="zh-CN"/>
        </w:rPr>
        <w:t>《环境影响评价公众参与办法》，2018.4.16审议通过，2019年1月1日实施；</w:t>
      </w:r>
    </w:p>
    <w:p w14:paraId="5D827ECD">
      <w:pPr>
        <w:pStyle w:val="97"/>
        <w:numPr>
          <w:ilvl w:val="0"/>
          <w:numId w:val="7"/>
        </w:numPr>
        <w:spacing w:line="360" w:lineRule="auto"/>
        <w:ind w:left="-105" w:right="-105" w:firstLine="480"/>
        <w:rPr>
          <w:rFonts w:eastAsia="宋体"/>
          <w:color w:val="auto"/>
          <w:sz w:val="24"/>
          <w:highlight w:val="none"/>
          <w:lang w:bidi="zh-CN"/>
        </w:rPr>
      </w:pPr>
      <w:r>
        <w:rPr>
          <w:rFonts w:eastAsia="宋体"/>
          <w:color w:val="auto"/>
          <w:sz w:val="24"/>
          <w:highlight w:val="none"/>
          <w:lang w:bidi="zh-CN"/>
        </w:rPr>
        <w:t>《环境保护综合名录(2021年版)》，环办综合函[2021]495号；</w:t>
      </w:r>
    </w:p>
    <w:p w14:paraId="32CEF501">
      <w:pPr>
        <w:pStyle w:val="97"/>
        <w:numPr>
          <w:ilvl w:val="0"/>
          <w:numId w:val="7"/>
        </w:numPr>
        <w:spacing w:line="360" w:lineRule="auto"/>
        <w:ind w:left="-105" w:right="-105" w:firstLine="468"/>
        <w:rPr>
          <w:rFonts w:eastAsia="宋体"/>
          <w:color w:val="auto"/>
          <w:sz w:val="24"/>
          <w:highlight w:val="none"/>
          <w:lang w:bidi="zh-CN"/>
        </w:rPr>
      </w:pPr>
      <w:r>
        <w:rPr>
          <w:rFonts w:eastAsia="宋体"/>
          <w:color w:val="auto"/>
          <w:spacing w:val="-3"/>
          <w:sz w:val="24"/>
          <w:szCs w:val="22"/>
          <w:highlight w:val="none"/>
        </w:rPr>
        <w:t>《太湖流域管理条例》，国务院令[</w:t>
      </w:r>
      <w:r>
        <w:rPr>
          <w:rFonts w:eastAsia="宋体"/>
          <w:color w:val="auto"/>
          <w:sz w:val="24"/>
          <w:szCs w:val="22"/>
          <w:highlight w:val="none"/>
        </w:rPr>
        <w:t>2011]604</w:t>
      </w:r>
      <w:r>
        <w:rPr>
          <w:rFonts w:eastAsia="宋体"/>
          <w:color w:val="auto"/>
          <w:spacing w:val="-18"/>
          <w:sz w:val="24"/>
          <w:szCs w:val="22"/>
          <w:highlight w:val="none"/>
        </w:rPr>
        <w:t>号；</w:t>
      </w:r>
    </w:p>
    <w:p w14:paraId="72E460A3">
      <w:pPr>
        <w:pStyle w:val="97"/>
        <w:numPr>
          <w:ilvl w:val="0"/>
          <w:numId w:val="7"/>
        </w:numPr>
        <w:spacing w:line="360" w:lineRule="auto"/>
        <w:ind w:left="-105" w:right="-105" w:firstLine="500"/>
        <w:rPr>
          <w:rFonts w:eastAsia="宋体"/>
          <w:color w:val="auto"/>
          <w:sz w:val="24"/>
          <w:highlight w:val="none"/>
          <w:lang w:bidi="zh-CN"/>
        </w:rPr>
      </w:pPr>
      <w:r>
        <w:rPr>
          <w:rFonts w:eastAsia="宋体"/>
          <w:color w:val="auto"/>
          <w:spacing w:val="5"/>
          <w:sz w:val="24"/>
          <w:szCs w:val="22"/>
          <w:highlight w:val="none"/>
        </w:rPr>
        <w:t>《太湖流域水功能区划(2010-2030)》，国务院国函[</w:t>
      </w:r>
      <w:r>
        <w:rPr>
          <w:rFonts w:eastAsia="宋体"/>
          <w:color w:val="auto"/>
          <w:sz w:val="24"/>
          <w:szCs w:val="22"/>
          <w:highlight w:val="none"/>
        </w:rPr>
        <w:t>2</w:t>
      </w:r>
      <w:r>
        <w:rPr>
          <w:rFonts w:eastAsia="宋体"/>
          <w:color w:val="auto"/>
          <w:spacing w:val="-2"/>
          <w:sz w:val="24"/>
          <w:szCs w:val="22"/>
          <w:highlight w:val="none"/>
        </w:rPr>
        <w:t>01</w:t>
      </w:r>
      <w:r>
        <w:rPr>
          <w:rFonts w:eastAsia="宋体"/>
          <w:color w:val="auto"/>
          <w:sz w:val="24"/>
          <w:szCs w:val="22"/>
          <w:highlight w:val="none"/>
        </w:rPr>
        <w:t>0</w:t>
      </w:r>
      <w:r>
        <w:rPr>
          <w:rFonts w:eastAsia="宋体"/>
          <w:color w:val="auto"/>
          <w:spacing w:val="-2"/>
          <w:sz w:val="24"/>
          <w:szCs w:val="22"/>
          <w:highlight w:val="none"/>
        </w:rPr>
        <w:t>]39号；</w:t>
      </w:r>
    </w:p>
    <w:p w14:paraId="1EC8CCED">
      <w:pPr>
        <w:pStyle w:val="97"/>
        <w:numPr>
          <w:ilvl w:val="0"/>
          <w:numId w:val="7"/>
        </w:numPr>
        <w:spacing w:line="360" w:lineRule="auto"/>
        <w:ind w:left="-105" w:right="-105" w:firstLine="480"/>
        <w:rPr>
          <w:rFonts w:eastAsia="宋体"/>
          <w:color w:val="auto"/>
          <w:sz w:val="24"/>
          <w:highlight w:val="none"/>
          <w:lang w:bidi="zh-CN"/>
        </w:rPr>
      </w:pPr>
      <w:r>
        <w:rPr>
          <w:rFonts w:eastAsia="宋体"/>
          <w:color w:val="auto"/>
          <w:sz w:val="24"/>
          <w:highlight w:val="none"/>
          <w:lang w:bidi="zh-CN"/>
        </w:rPr>
        <w:t>《太湖流域水环境综合治理总体方案》，发改地区[2022]959号；</w:t>
      </w:r>
    </w:p>
    <w:p w14:paraId="6FE974F4">
      <w:pPr>
        <w:pStyle w:val="97"/>
        <w:numPr>
          <w:ilvl w:val="0"/>
          <w:numId w:val="7"/>
        </w:numPr>
        <w:spacing w:line="360" w:lineRule="auto"/>
        <w:ind w:left="-105" w:right="-105" w:firstLine="456"/>
        <w:rPr>
          <w:rFonts w:eastAsia="宋体"/>
          <w:color w:val="auto"/>
          <w:sz w:val="24"/>
          <w:highlight w:val="none"/>
          <w:lang w:bidi="zh-CN"/>
        </w:rPr>
      </w:pPr>
      <w:r>
        <w:rPr>
          <w:rFonts w:eastAsia="宋体"/>
          <w:color w:val="auto"/>
          <w:spacing w:val="-6"/>
          <w:sz w:val="24"/>
          <w:szCs w:val="22"/>
          <w:highlight w:val="none"/>
        </w:rPr>
        <w:t>《挥发性有机物（VOCs）</w:t>
      </w:r>
      <w:r>
        <w:rPr>
          <w:rFonts w:eastAsia="宋体"/>
          <w:color w:val="auto"/>
          <w:spacing w:val="-3"/>
          <w:sz w:val="24"/>
          <w:szCs w:val="22"/>
          <w:highlight w:val="none"/>
        </w:rPr>
        <w:t>污染防治技术政策</w:t>
      </w:r>
      <w:r>
        <w:rPr>
          <w:rFonts w:eastAsia="宋体"/>
          <w:color w:val="auto"/>
          <w:spacing w:val="-171"/>
          <w:sz w:val="24"/>
          <w:szCs w:val="22"/>
          <w:highlight w:val="none"/>
        </w:rPr>
        <w:t>》</w:t>
      </w:r>
      <w:r>
        <w:rPr>
          <w:rFonts w:eastAsia="宋体"/>
          <w:color w:val="auto"/>
          <w:sz w:val="24"/>
          <w:szCs w:val="22"/>
          <w:highlight w:val="none"/>
        </w:rPr>
        <w:t>》，</w:t>
      </w:r>
      <w:r>
        <w:rPr>
          <w:rFonts w:eastAsia="宋体"/>
          <w:color w:val="auto"/>
          <w:spacing w:val="-3"/>
          <w:sz w:val="24"/>
          <w:szCs w:val="22"/>
          <w:highlight w:val="none"/>
        </w:rPr>
        <w:t>环境保护部公告[</w:t>
      </w:r>
      <w:r>
        <w:rPr>
          <w:rFonts w:eastAsia="宋体"/>
          <w:color w:val="auto"/>
          <w:spacing w:val="-2"/>
          <w:sz w:val="24"/>
          <w:szCs w:val="22"/>
          <w:highlight w:val="none"/>
        </w:rPr>
        <w:t>20</w:t>
      </w:r>
      <w:r>
        <w:rPr>
          <w:rFonts w:eastAsia="宋体"/>
          <w:color w:val="auto"/>
          <w:sz w:val="24"/>
          <w:szCs w:val="22"/>
          <w:highlight w:val="none"/>
        </w:rPr>
        <w:t>1</w:t>
      </w:r>
      <w:r>
        <w:rPr>
          <w:rFonts w:eastAsia="宋体"/>
          <w:color w:val="auto"/>
          <w:spacing w:val="-2"/>
          <w:sz w:val="24"/>
          <w:szCs w:val="22"/>
          <w:highlight w:val="none"/>
        </w:rPr>
        <w:t>3</w:t>
      </w:r>
      <w:r>
        <w:rPr>
          <w:rFonts w:eastAsia="宋体"/>
          <w:color w:val="auto"/>
          <w:spacing w:val="-1"/>
          <w:sz w:val="24"/>
          <w:szCs w:val="22"/>
          <w:highlight w:val="none"/>
        </w:rPr>
        <w:t>]</w:t>
      </w:r>
      <w:r>
        <w:rPr>
          <w:rFonts w:eastAsia="宋体"/>
          <w:color w:val="auto"/>
          <w:sz w:val="24"/>
          <w:szCs w:val="22"/>
          <w:highlight w:val="none"/>
        </w:rPr>
        <w:t>第31号</w:t>
      </w:r>
      <w:r>
        <w:rPr>
          <w:rFonts w:eastAsia="宋体"/>
          <w:color w:val="auto"/>
          <w:spacing w:val="-142"/>
          <w:sz w:val="24"/>
          <w:szCs w:val="22"/>
          <w:highlight w:val="none"/>
        </w:rPr>
        <w:t>；</w:t>
      </w:r>
    </w:p>
    <w:p w14:paraId="27B87487">
      <w:pPr>
        <w:pStyle w:val="97"/>
        <w:numPr>
          <w:ilvl w:val="0"/>
          <w:numId w:val="7"/>
        </w:numPr>
        <w:spacing w:line="360" w:lineRule="auto"/>
        <w:ind w:left="-105" w:right="-105" w:firstLine="480"/>
        <w:rPr>
          <w:rFonts w:eastAsia="宋体"/>
          <w:color w:val="auto"/>
          <w:sz w:val="24"/>
          <w:highlight w:val="none"/>
          <w:lang w:bidi="zh-CN"/>
        </w:rPr>
      </w:pPr>
      <w:r>
        <w:rPr>
          <w:rFonts w:eastAsia="宋体"/>
          <w:color w:val="auto"/>
          <w:sz w:val="24"/>
          <w:highlight w:val="none"/>
          <w:lang w:bidi="zh-CN"/>
        </w:rPr>
        <w:t>《重点行业挥发性有机物综合治理方案》，环大气[2019]53号；</w:t>
      </w:r>
    </w:p>
    <w:p w14:paraId="7602504D">
      <w:pPr>
        <w:pStyle w:val="97"/>
        <w:numPr>
          <w:ilvl w:val="0"/>
          <w:numId w:val="7"/>
        </w:numPr>
        <w:spacing w:line="360" w:lineRule="auto"/>
        <w:ind w:left="-105" w:right="-105" w:firstLine="480"/>
        <w:rPr>
          <w:rFonts w:eastAsia="宋体"/>
          <w:color w:val="auto"/>
          <w:sz w:val="24"/>
          <w:highlight w:val="none"/>
          <w:lang w:bidi="zh-CN"/>
        </w:rPr>
      </w:pPr>
      <w:r>
        <w:rPr>
          <w:rFonts w:eastAsia="宋体"/>
          <w:color w:val="auto"/>
          <w:sz w:val="24"/>
          <w:highlight w:val="none"/>
          <w:lang w:bidi="zh-CN"/>
        </w:rPr>
        <w:t>《关于做好环境影响评价制度与排污许可制衔接相关工作的通知》，环办环评[2017]84 号；</w:t>
      </w:r>
    </w:p>
    <w:p w14:paraId="581F9EEB">
      <w:pPr>
        <w:pStyle w:val="97"/>
        <w:numPr>
          <w:ilvl w:val="0"/>
          <w:numId w:val="7"/>
        </w:numPr>
        <w:spacing w:line="360" w:lineRule="auto"/>
        <w:ind w:left="-105" w:right="-105" w:firstLine="480"/>
        <w:rPr>
          <w:rFonts w:eastAsia="宋体"/>
          <w:color w:val="auto"/>
          <w:sz w:val="24"/>
          <w:highlight w:val="none"/>
          <w:lang w:bidi="zh-CN"/>
        </w:rPr>
      </w:pPr>
      <w:r>
        <w:rPr>
          <w:rFonts w:eastAsia="宋体"/>
          <w:color w:val="auto"/>
          <w:sz w:val="24"/>
          <w:highlight w:val="none"/>
          <w:lang w:bidi="zh-CN"/>
        </w:rPr>
        <w:t>《国家危险废物名录》（2021年版）；</w:t>
      </w:r>
    </w:p>
    <w:p w14:paraId="55B251FA">
      <w:pPr>
        <w:pStyle w:val="97"/>
        <w:numPr>
          <w:ilvl w:val="0"/>
          <w:numId w:val="7"/>
        </w:numPr>
        <w:spacing w:line="360" w:lineRule="auto"/>
        <w:ind w:left="-105" w:right="-105" w:firstLine="480"/>
        <w:rPr>
          <w:rFonts w:eastAsia="宋体"/>
          <w:color w:val="auto"/>
          <w:sz w:val="24"/>
          <w:highlight w:val="none"/>
          <w:lang w:bidi="zh-CN"/>
        </w:rPr>
      </w:pPr>
      <w:r>
        <w:rPr>
          <w:rFonts w:eastAsia="宋体"/>
          <w:color w:val="auto"/>
          <w:sz w:val="24"/>
          <w:highlight w:val="none"/>
          <w:lang w:bidi="zh-CN"/>
        </w:rPr>
        <w:t>《危险废物排除管理清单》（2021年版）</w:t>
      </w:r>
      <w:r>
        <w:rPr>
          <w:rFonts w:hint="eastAsia" w:eastAsia="宋体"/>
          <w:color w:val="auto"/>
          <w:sz w:val="24"/>
          <w:highlight w:val="none"/>
          <w:lang w:bidi="zh-CN"/>
        </w:rPr>
        <w:t>。</w:t>
      </w:r>
    </w:p>
    <w:p w14:paraId="6336C7B0">
      <w:pPr>
        <w:pStyle w:val="5"/>
        <w:keepLines w:val="0"/>
        <w:numPr>
          <w:ilvl w:val="2"/>
          <w:numId w:val="6"/>
        </w:numPr>
        <w:tabs>
          <w:tab w:val="left" w:pos="709"/>
        </w:tabs>
        <w:spacing w:before="120" w:beforeLines="50" w:after="0" w:line="360" w:lineRule="auto"/>
        <w:ind w:left="-105" w:right="-105"/>
        <w:rPr>
          <w:rFonts w:eastAsia="宋体"/>
          <w:color w:val="auto"/>
          <w:sz w:val="28"/>
          <w:szCs w:val="28"/>
          <w:highlight w:val="none"/>
        </w:rPr>
      </w:pPr>
      <w:bookmarkStart w:id="86" w:name="_Toc51592644"/>
      <w:bookmarkStart w:id="87" w:name="_Toc60653441"/>
      <w:r>
        <w:rPr>
          <w:rFonts w:eastAsia="宋体"/>
          <w:color w:val="auto"/>
          <w:sz w:val="28"/>
          <w:szCs w:val="28"/>
          <w:highlight w:val="none"/>
        </w:rPr>
        <w:t>地方法规、规章及规范性文件</w:t>
      </w:r>
      <w:bookmarkEnd w:id="86"/>
      <w:bookmarkEnd w:id="87"/>
    </w:p>
    <w:p w14:paraId="43F46174">
      <w:pPr>
        <w:pStyle w:val="97"/>
        <w:numPr>
          <w:ilvl w:val="0"/>
          <w:numId w:val="8"/>
        </w:numPr>
        <w:spacing w:line="360" w:lineRule="auto"/>
        <w:ind w:left="-105" w:right="-105" w:firstLine="480"/>
        <w:rPr>
          <w:rFonts w:eastAsia="宋体"/>
          <w:color w:val="auto"/>
          <w:sz w:val="24"/>
          <w:highlight w:val="none"/>
          <w:lang w:bidi="zh-CN"/>
        </w:rPr>
      </w:pPr>
      <w:r>
        <w:rPr>
          <w:rFonts w:hint="eastAsia" w:eastAsia="宋体"/>
          <w:color w:val="auto"/>
          <w:sz w:val="24"/>
          <w:highlight w:val="none"/>
          <w:lang w:bidi="zh-CN"/>
        </w:rPr>
        <w:t>《江苏省排污口设置及规范化整治管理办法》，苏环控[1997]122号；</w:t>
      </w:r>
    </w:p>
    <w:p w14:paraId="6FCDD0A8">
      <w:pPr>
        <w:pStyle w:val="97"/>
        <w:numPr>
          <w:ilvl w:val="0"/>
          <w:numId w:val="8"/>
        </w:numPr>
        <w:spacing w:line="360" w:lineRule="auto"/>
        <w:ind w:left="-105" w:right="-105" w:firstLine="480"/>
        <w:rPr>
          <w:rFonts w:eastAsia="宋体"/>
          <w:color w:val="auto"/>
          <w:sz w:val="24"/>
          <w:highlight w:val="none"/>
          <w:lang w:bidi="zh-CN"/>
        </w:rPr>
      </w:pPr>
      <w:r>
        <w:rPr>
          <w:rFonts w:hint="eastAsia" w:eastAsia="宋体"/>
          <w:color w:val="auto"/>
          <w:sz w:val="24"/>
          <w:highlight w:val="none"/>
          <w:lang w:bidi="zh-CN"/>
        </w:rPr>
        <w:t>《江苏省重点行业挥发性有机物排放量计算暂行办法》，苏环办[2016]154号；</w:t>
      </w:r>
    </w:p>
    <w:p w14:paraId="5817A09F">
      <w:pPr>
        <w:pStyle w:val="97"/>
        <w:numPr>
          <w:ilvl w:val="0"/>
          <w:numId w:val="8"/>
        </w:numPr>
        <w:spacing w:line="360" w:lineRule="auto"/>
        <w:ind w:left="-105" w:right="-105" w:firstLine="480"/>
        <w:rPr>
          <w:rFonts w:eastAsia="宋体"/>
          <w:color w:val="auto"/>
          <w:sz w:val="24"/>
          <w:highlight w:val="none"/>
          <w:lang w:bidi="zh-CN"/>
        </w:rPr>
      </w:pPr>
      <w:r>
        <w:rPr>
          <w:rFonts w:hint="eastAsia" w:eastAsia="宋体"/>
          <w:color w:val="auto"/>
          <w:sz w:val="24"/>
          <w:highlight w:val="none"/>
          <w:lang w:bidi="zh-CN"/>
        </w:rPr>
        <w:t>《江苏省大气污染防治条例》，江苏省第十二届人民代表大会第三次会议于2015年2月1日通过，自2015年3月1日起施行；</w:t>
      </w:r>
    </w:p>
    <w:p w14:paraId="46EB8624">
      <w:pPr>
        <w:pStyle w:val="97"/>
        <w:numPr>
          <w:ilvl w:val="0"/>
          <w:numId w:val="8"/>
        </w:numPr>
        <w:spacing w:line="360" w:lineRule="auto"/>
        <w:ind w:left="-105" w:right="-105" w:firstLine="480"/>
        <w:rPr>
          <w:rFonts w:eastAsia="宋体"/>
          <w:color w:val="auto"/>
          <w:sz w:val="24"/>
          <w:highlight w:val="none"/>
          <w:lang w:bidi="zh-CN"/>
        </w:rPr>
      </w:pPr>
      <w:r>
        <w:rPr>
          <w:rFonts w:hint="eastAsia" w:eastAsia="宋体"/>
          <w:color w:val="auto"/>
          <w:sz w:val="24"/>
          <w:highlight w:val="none"/>
          <w:lang w:bidi="zh-CN"/>
        </w:rPr>
        <w:t>《江苏省地表水（环境）功能区划（2021－2030年）》，苏政复[2022]13号；</w:t>
      </w:r>
    </w:p>
    <w:p w14:paraId="2A2DD8B1">
      <w:pPr>
        <w:pStyle w:val="97"/>
        <w:numPr>
          <w:ilvl w:val="0"/>
          <w:numId w:val="8"/>
        </w:numPr>
        <w:spacing w:line="360" w:lineRule="auto"/>
        <w:ind w:left="-105" w:right="-105" w:firstLine="480"/>
        <w:rPr>
          <w:rFonts w:eastAsia="宋体"/>
          <w:color w:val="auto"/>
          <w:sz w:val="24"/>
          <w:highlight w:val="none"/>
          <w:lang w:bidi="zh-CN"/>
        </w:rPr>
      </w:pPr>
      <w:r>
        <w:rPr>
          <w:rFonts w:hint="eastAsia" w:eastAsia="宋体"/>
          <w:color w:val="auto"/>
          <w:sz w:val="24"/>
          <w:highlight w:val="none"/>
          <w:lang w:bidi="zh-CN"/>
        </w:rPr>
        <w:t>《江苏省环境噪声污染防治条例》，2018年3月28日修订；</w:t>
      </w:r>
    </w:p>
    <w:p w14:paraId="758DF93D">
      <w:pPr>
        <w:pStyle w:val="97"/>
        <w:numPr>
          <w:ilvl w:val="0"/>
          <w:numId w:val="8"/>
        </w:numPr>
        <w:spacing w:line="360" w:lineRule="auto"/>
        <w:ind w:left="-105" w:right="-105" w:firstLine="480"/>
        <w:rPr>
          <w:rFonts w:eastAsia="宋体"/>
          <w:color w:val="auto"/>
          <w:sz w:val="24"/>
          <w:highlight w:val="none"/>
          <w:lang w:bidi="zh-CN"/>
        </w:rPr>
      </w:pPr>
      <w:r>
        <w:rPr>
          <w:rFonts w:hint="eastAsia" w:eastAsia="宋体"/>
          <w:color w:val="auto"/>
          <w:sz w:val="24"/>
          <w:highlight w:val="none"/>
          <w:lang w:bidi="zh-CN"/>
        </w:rPr>
        <w:t>《无锡市环境噪声防治管理办法》，2007年1月1日；</w:t>
      </w:r>
    </w:p>
    <w:p w14:paraId="03587C5E">
      <w:pPr>
        <w:pStyle w:val="97"/>
        <w:numPr>
          <w:ilvl w:val="0"/>
          <w:numId w:val="8"/>
        </w:numPr>
        <w:spacing w:line="360" w:lineRule="auto"/>
        <w:ind w:left="-105" w:right="-105" w:firstLine="480"/>
        <w:rPr>
          <w:rFonts w:eastAsia="宋体"/>
          <w:color w:val="auto"/>
          <w:sz w:val="24"/>
          <w:highlight w:val="none"/>
          <w:lang w:bidi="zh-CN"/>
        </w:rPr>
      </w:pPr>
      <w:r>
        <w:rPr>
          <w:rFonts w:hint="eastAsia" w:eastAsia="宋体"/>
          <w:color w:val="auto"/>
          <w:sz w:val="24"/>
          <w:highlight w:val="none"/>
          <w:lang w:bidi="zh-CN"/>
        </w:rPr>
        <w:t>《江苏省太湖水污染防治条例》（2018年修正），江苏省人大常委会公告第71号，于2018年1月24日修正通过，自2018年5月1日起施行；</w:t>
      </w:r>
    </w:p>
    <w:p w14:paraId="00F11881">
      <w:pPr>
        <w:pStyle w:val="97"/>
        <w:numPr>
          <w:ilvl w:val="0"/>
          <w:numId w:val="8"/>
        </w:numPr>
        <w:spacing w:line="360" w:lineRule="auto"/>
        <w:ind w:left="-105" w:right="-105" w:firstLine="480"/>
        <w:rPr>
          <w:rFonts w:eastAsia="宋体"/>
          <w:color w:val="auto"/>
          <w:sz w:val="24"/>
          <w:highlight w:val="none"/>
          <w:lang w:bidi="zh-CN"/>
        </w:rPr>
      </w:pPr>
      <w:r>
        <w:rPr>
          <w:rFonts w:hint="eastAsia" w:eastAsia="宋体"/>
          <w:color w:val="auto"/>
          <w:sz w:val="24"/>
          <w:highlight w:val="none"/>
          <w:lang w:bidi="zh-CN"/>
        </w:rPr>
        <w:t xml:space="preserve">《江苏省水污染防治条例》，2020年11月27日； </w:t>
      </w:r>
    </w:p>
    <w:p w14:paraId="5E9B6A20">
      <w:pPr>
        <w:pStyle w:val="97"/>
        <w:numPr>
          <w:ilvl w:val="0"/>
          <w:numId w:val="8"/>
        </w:numPr>
        <w:spacing w:line="360" w:lineRule="auto"/>
        <w:ind w:left="-105" w:right="-105" w:firstLine="480"/>
        <w:rPr>
          <w:rFonts w:eastAsia="宋体"/>
          <w:color w:val="auto"/>
          <w:sz w:val="24"/>
          <w:highlight w:val="none"/>
          <w:lang w:bidi="zh-CN"/>
        </w:rPr>
      </w:pPr>
      <w:r>
        <w:rPr>
          <w:rFonts w:hint="eastAsia" w:eastAsia="宋体"/>
          <w:color w:val="auto"/>
          <w:sz w:val="24"/>
          <w:highlight w:val="none"/>
          <w:lang w:bidi="zh-CN"/>
        </w:rPr>
        <w:t>《无锡市水环境保护条例》，2021年5月27日；</w:t>
      </w:r>
    </w:p>
    <w:p w14:paraId="3062BCF8">
      <w:pPr>
        <w:pStyle w:val="97"/>
        <w:numPr>
          <w:ilvl w:val="0"/>
          <w:numId w:val="8"/>
        </w:numPr>
        <w:spacing w:line="360" w:lineRule="auto"/>
        <w:ind w:left="-105" w:right="-105" w:firstLine="480"/>
        <w:rPr>
          <w:rFonts w:eastAsia="宋体"/>
          <w:color w:val="auto"/>
          <w:sz w:val="24"/>
          <w:highlight w:val="none"/>
          <w:lang w:bidi="zh-CN"/>
        </w:rPr>
      </w:pPr>
      <w:r>
        <w:rPr>
          <w:rFonts w:hint="eastAsia" w:eastAsia="宋体"/>
          <w:color w:val="auto"/>
          <w:sz w:val="24"/>
          <w:highlight w:val="none"/>
          <w:lang w:bidi="zh-CN"/>
        </w:rPr>
        <w:t>《江苏省固体废物污染环境防治条例》，2018年3月28日第二次修正；</w:t>
      </w:r>
    </w:p>
    <w:p w14:paraId="27A4AFFA">
      <w:pPr>
        <w:pStyle w:val="97"/>
        <w:numPr>
          <w:ilvl w:val="0"/>
          <w:numId w:val="8"/>
        </w:numPr>
        <w:spacing w:line="360" w:lineRule="auto"/>
        <w:ind w:left="-105" w:right="-105" w:firstLine="480"/>
        <w:rPr>
          <w:rFonts w:eastAsia="宋体"/>
          <w:color w:val="auto"/>
          <w:sz w:val="24"/>
          <w:highlight w:val="none"/>
          <w:lang w:bidi="zh-CN"/>
        </w:rPr>
      </w:pPr>
      <w:r>
        <w:rPr>
          <w:rFonts w:hint="eastAsia" w:eastAsia="宋体"/>
          <w:color w:val="auto"/>
          <w:sz w:val="24"/>
          <w:highlight w:val="none"/>
          <w:lang w:bidi="zh-CN"/>
        </w:rPr>
        <w:t>《关于进一步严格产生危险废物工业建设项目环境影响评价文件审批的通知》苏环办[2014]294 号；</w:t>
      </w:r>
    </w:p>
    <w:p w14:paraId="1BE5A63D">
      <w:pPr>
        <w:pStyle w:val="97"/>
        <w:numPr>
          <w:ilvl w:val="0"/>
          <w:numId w:val="8"/>
        </w:numPr>
        <w:spacing w:line="360" w:lineRule="auto"/>
        <w:ind w:left="-105" w:right="-105" w:firstLine="480"/>
        <w:rPr>
          <w:rFonts w:eastAsia="宋体"/>
          <w:color w:val="auto"/>
          <w:sz w:val="24"/>
          <w:highlight w:val="none"/>
          <w:lang w:bidi="zh-CN"/>
        </w:rPr>
      </w:pPr>
      <w:r>
        <w:rPr>
          <w:rFonts w:hint="eastAsia" w:eastAsia="宋体"/>
          <w:color w:val="auto"/>
          <w:sz w:val="24"/>
          <w:highlight w:val="none"/>
          <w:lang w:bidi="zh-CN"/>
        </w:rPr>
        <w:t>《省政府关于印发江苏省大气污染防治行动计划实施方案的通知》，苏政发[2014]1号；</w:t>
      </w:r>
    </w:p>
    <w:p w14:paraId="3E840547">
      <w:pPr>
        <w:pStyle w:val="97"/>
        <w:numPr>
          <w:ilvl w:val="0"/>
          <w:numId w:val="8"/>
        </w:numPr>
        <w:spacing w:line="360" w:lineRule="auto"/>
        <w:ind w:left="-105" w:right="-105" w:firstLine="480"/>
        <w:rPr>
          <w:rFonts w:eastAsia="宋体"/>
          <w:color w:val="auto"/>
          <w:sz w:val="24"/>
          <w:highlight w:val="none"/>
          <w:lang w:bidi="zh-CN"/>
        </w:rPr>
      </w:pPr>
      <w:r>
        <w:rPr>
          <w:rFonts w:hint="eastAsia" w:eastAsia="宋体"/>
          <w:color w:val="auto"/>
          <w:sz w:val="24"/>
          <w:highlight w:val="none"/>
          <w:lang w:bidi="zh-CN"/>
        </w:rPr>
        <w:t>《省政府办公厅关于公布江苏省太湖流域三级保护区范围的通知》，苏政办发[2012]221号；</w:t>
      </w:r>
    </w:p>
    <w:p w14:paraId="58163481">
      <w:pPr>
        <w:pStyle w:val="97"/>
        <w:numPr>
          <w:ilvl w:val="0"/>
          <w:numId w:val="8"/>
        </w:numPr>
        <w:spacing w:line="360" w:lineRule="auto"/>
        <w:ind w:left="-105" w:right="-105" w:firstLine="480"/>
        <w:rPr>
          <w:rFonts w:eastAsia="宋体"/>
          <w:color w:val="auto"/>
          <w:sz w:val="24"/>
          <w:highlight w:val="none"/>
          <w:lang w:bidi="zh-CN"/>
        </w:rPr>
      </w:pPr>
      <w:r>
        <w:rPr>
          <w:rFonts w:hint="eastAsia" w:eastAsia="宋体"/>
          <w:color w:val="auto"/>
          <w:sz w:val="24"/>
          <w:highlight w:val="none"/>
          <w:lang w:bidi="zh-CN"/>
        </w:rPr>
        <w:t>《省政府关于印发江苏省生态空间管控区域规划的通知》，苏政发[2020]1号；</w:t>
      </w:r>
    </w:p>
    <w:p w14:paraId="34F71925">
      <w:pPr>
        <w:pStyle w:val="97"/>
        <w:numPr>
          <w:ilvl w:val="0"/>
          <w:numId w:val="8"/>
        </w:numPr>
        <w:spacing w:line="360" w:lineRule="auto"/>
        <w:ind w:left="-105" w:right="-105" w:firstLine="480"/>
        <w:rPr>
          <w:rFonts w:eastAsia="宋体"/>
          <w:color w:val="auto"/>
          <w:sz w:val="24"/>
          <w:highlight w:val="none"/>
          <w:lang w:bidi="zh-CN"/>
        </w:rPr>
      </w:pPr>
      <w:r>
        <w:rPr>
          <w:rFonts w:hint="eastAsia" w:eastAsia="宋体"/>
          <w:color w:val="auto"/>
          <w:sz w:val="24"/>
          <w:highlight w:val="none"/>
          <w:lang w:bidi="zh-CN"/>
        </w:rPr>
        <w:t>《省政府关于印发&lt;江苏省国家级生态保护红线规划&gt;的通知，苏政发[2018]74号；</w:t>
      </w:r>
    </w:p>
    <w:p w14:paraId="44A1B7FB">
      <w:pPr>
        <w:pStyle w:val="97"/>
        <w:numPr>
          <w:ilvl w:val="0"/>
          <w:numId w:val="8"/>
        </w:numPr>
        <w:spacing w:line="360" w:lineRule="auto"/>
        <w:ind w:left="-105" w:right="-105" w:firstLine="480"/>
        <w:rPr>
          <w:rFonts w:eastAsia="宋体"/>
          <w:color w:val="auto"/>
          <w:sz w:val="24"/>
          <w:highlight w:val="none"/>
          <w:lang w:bidi="zh-CN"/>
        </w:rPr>
      </w:pPr>
      <w:r>
        <w:rPr>
          <w:rFonts w:hint="eastAsia" w:eastAsia="宋体"/>
          <w:color w:val="auto"/>
          <w:sz w:val="24"/>
          <w:highlight w:val="none"/>
          <w:lang w:bidi="zh-CN"/>
        </w:rPr>
        <w:t>《无锡市锡山区生态文明建设规划》；</w:t>
      </w:r>
    </w:p>
    <w:p w14:paraId="3EE457C6">
      <w:pPr>
        <w:pStyle w:val="97"/>
        <w:numPr>
          <w:ilvl w:val="0"/>
          <w:numId w:val="8"/>
        </w:numPr>
        <w:spacing w:line="360" w:lineRule="auto"/>
        <w:ind w:left="-105" w:right="-105" w:firstLine="480"/>
        <w:rPr>
          <w:rFonts w:eastAsia="宋体"/>
          <w:color w:val="auto"/>
          <w:sz w:val="24"/>
          <w:highlight w:val="none"/>
          <w:lang w:bidi="zh-CN"/>
        </w:rPr>
      </w:pPr>
      <w:r>
        <w:rPr>
          <w:rFonts w:hint="eastAsia" w:eastAsia="宋体"/>
          <w:color w:val="auto"/>
          <w:sz w:val="24"/>
          <w:highlight w:val="none"/>
          <w:lang w:bidi="zh-CN"/>
        </w:rPr>
        <w:t>《江苏省挥发性有机物污染防治管理办法》，省政府令第119号；</w:t>
      </w:r>
    </w:p>
    <w:p w14:paraId="40ABBA46">
      <w:pPr>
        <w:pStyle w:val="97"/>
        <w:numPr>
          <w:ilvl w:val="0"/>
          <w:numId w:val="8"/>
        </w:numPr>
        <w:spacing w:line="360" w:lineRule="auto"/>
        <w:ind w:left="-105" w:right="-105" w:firstLine="480"/>
        <w:rPr>
          <w:rFonts w:eastAsia="宋体"/>
          <w:color w:val="auto"/>
          <w:sz w:val="24"/>
          <w:highlight w:val="none"/>
          <w:lang w:bidi="zh-CN"/>
        </w:rPr>
      </w:pPr>
      <w:r>
        <w:rPr>
          <w:rFonts w:hint="eastAsia" w:eastAsia="宋体"/>
          <w:color w:val="auto"/>
          <w:sz w:val="24"/>
          <w:highlight w:val="none"/>
          <w:lang w:bidi="zh-CN"/>
        </w:rPr>
        <w:t>《江苏省颗粒物无组织排放深度整治实施方案》，苏大气办[2018]4号；</w:t>
      </w:r>
    </w:p>
    <w:p w14:paraId="702C0FA0">
      <w:pPr>
        <w:pStyle w:val="97"/>
        <w:numPr>
          <w:ilvl w:val="0"/>
          <w:numId w:val="8"/>
        </w:numPr>
        <w:spacing w:line="360" w:lineRule="auto"/>
        <w:ind w:left="-105" w:right="-105" w:firstLine="480"/>
        <w:rPr>
          <w:rFonts w:eastAsia="宋体"/>
          <w:color w:val="auto"/>
          <w:sz w:val="24"/>
          <w:highlight w:val="none"/>
          <w:lang w:bidi="zh-CN"/>
        </w:rPr>
      </w:pPr>
      <w:r>
        <w:rPr>
          <w:rFonts w:hint="eastAsia" w:eastAsia="宋体"/>
          <w:color w:val="auto"/>
          <w:sz w:val="24"/>
          <w:highlight w:val="none"/>
          <w:lang w:bidi="zh-CN"/>
        </w:rPr>
        <w:t>《关于落实省大气污染防治行动计划实施方案严格环境影响评价准入的通知》，苏环办[2014]104号；</w:t>
      </w:r>
    </w:p>
    <w:p w14:paraId="56C3B224">
      <w:pPr>
        <w:pStyle w:val="97"/>
        <w:numPr>
          <w:ilvl w:val="0"/>
          <w:numId w:val="8"/>
        </w:numPr>
        <w:spacing w:line="360" w:lineRule="auto"/>
        <w:ind w:left="-105" w:right="-105" w:firstLine="480"/>
        <w:rPr>
          <w:rFonts w:eastAsia="宋体"/>
          <w:color w:val="auto"/>
          <w:sz w:val="24"/>
          <w:highlight w:val="none"/>
          <w:lang w:bidi="zh-CN"/>
        </w:rPr>
      </w:pPr>
      <w:r>
        <w:rPr>
          <w:rFonts w:hint="eastAsia" w:eastAsia="宋体"/>
          <w:color w:val="auto"/>
          <w:sz w:val="24"/>
          <w:highlight w:val="none"/>
          <w:lang w:bidi="zh-CN"/>
        </w:rPr>
        <w:t>《关于印发江苏省重点行业挥发性有机物污染控制指南的通知》，苏环办[2014]128号；</w:t>
      </w:r>
    </w:p>
    <w:p w14:paraId="23F80A5B">
      <w:pPr>
        <w:pStyle w:val="97"/>
        <w:numPr>
          <w:ilvl w:val="0"/>
          <w:numId w:val="8"/>
        </w:numPr>
        <w:spacing w:line="360" w:lineRule="auto"/>
        <w:ind w:left="-105" w:right="-105" w:firstLine="480"/>
        <w:rPr>
          <w:rFonts w:eastAsia="宋体"/>
          <w:color w:val="auto"/>
          <w:sz w:val="24"/>
          <w:highlight w:val="none"/>
          <w:lang w:bidi="zh-CN"/>
        </w:rPr>
      </w:pPr>
      <w:r>
        <w:rPr>
          <w:rFonts w:hint="eastAsia" w:eastAsia="宋体"/>
          <w:color w:val="auto"/>
          <w:sz w:val="24"/>
          <w:highlight w:val="none"/>
          <w:lang w:bidi="zh-CN"/>
        </w:rPr>
        <w:t>《无锡市2020年挥发性有机物专项治理工作方案》，锡大气办[2020]3号；</w:t>
      </w:r>
    </w:p>
    <w:p w14:paraId="1EECCA3D">
      <w:pPr>
        <w:pStyle w:val="97"/>
        <w:numPr>
          <w:ilvl w:val="0"/>
          <w:numId w:val="8"/>
        </w:numPr>
        <w:spacing w:line="360" w:lineRule="auto"/>
        <w:ind w:left="-105" w:right="-105" w:firstLine="480"/>
        <w:rPr>
          <w:rFonts w:eastAsia="宋体"/>
          <w:color w:val="auto"/>
          <w:sz w:val="24"/>
          <w:highlight w:val="none"/>
          <w:lang w:bidi="zh-CN"/>
        </w:rPr>
      </w:pPr>
      <w:r>
        <w:rPr>
          <w:rFonts w:hint="eastAsia" w:eastAsia="宋体"/>
          <w:color w:val="auto"/>
          <w:sz w:val="24"/>
          <w:highlight w:val="none"/>
          <w:lang w:bidi="zh-CN"/>
        </w:rPr>
        <w:t>《关于印发〈江苏省重点行业挥发性有机物污染整治方案〉的通知》，苏环办[2015]19号；</w:t>
      </w:r>
    </w:p>
    <w:p w14:paraId="20AE6E4D">
      <w:pPr>
        <w:pStyle w:val="97"/>
        <w:numPr>
          <w:ilvl w:val="0"/>
          <w:numId w:val="8"/>
        </w:numPr>
        <w:spacing w:line="360" w:lineRule="auto"/>
        <w:ind w:left="-105" w:right="-105" w:firstLine="480"/>
        <w:rPr>
          <w:rFonts w:eastAsia="宋体"/>
          <w:color w:val="auto"/>
          <w:sz w:val="24"/>
          <w:highlight w:val="none"/>
          <w:lang w:bidi="zh-CN"/>
        </w:rPr>
      </w:pPr>
      <w:r>
        <w:rPr>
          <w:rFonts w:hint="eastAsia" w:eastAsia="宋体"/>
          <w:color w:val="auto"/>
          <w:sz w:val="24"/>
          <w:highlight w:val="none"/>
          <w:lang w:bidi="zh-CN"/>
        </w:rPr>
        <w:t>《“两减六治三提升”专项行动方案》，苏发[2016]47号；</w:t>
      </w:r>
    </w:p>
    <w:p w14:paraId="0CFB225F">
      <w:pPr>
        <w:pStyle w:val="97"/>
        <w:numPr>
          <w:ilvl w:val="0"/>
          <w:numId w:val="8"/>
        </w:numPr>
        <w:spacing w:line="360" w:lineRule="auto"/>
        <w:ind w:left="-105" w:right="-105" w:firstLine="480"/>
        <w:rPr>
          <w:rFonts w:eastAsia="宋体"/>
          <w:color w:val="auto"/>
          <w:sz w:val="24"/>
          <w:highlight w:val="none"/>
          <w:lang w:bidi="zh-CN"/>
        </w:rPr>
      </w:pPr>
      <w:r>
        <w:rPr>
          <w:rFonts w:hint="eastAsia" w:eastAsia="宋体"/>
          <w:color w:val="auto"/>
          <w:sz w:val="24"/>
          <w:highlight w:val="none"/>
          <w:lang w:bidi="zh-CN"/>
        </w:rPr>
        <w:t>《江苏省“两减六治三提升”专项行动实施方案》（苏政办发[2017]30号）；</w:t>
      </w:r>
    </w:p>
    <w:p w14:paraId="72298D24">
      <w:pPr>
        <w:pStyle w:val="97"/>
        <w:numPr>
          <w:ilvl w:val="0"/>
          <w:numId w:val="8"/>
        </w:numPr>
        <w:spacing w:line="360" w:lineRule="auto"/>
        <w:ind w:left="-105" w:right="-105" w:firstLine="480"/>
        <w:rPr>
          <w:rFonts w:eastAsia="宋体"/>
          <w:color w:val="auto"/>
          <w:sz w:val="24"/>
          <w:highlight w:val="none"/>
          <w:lang w:bidi="zh-CN"/>
        </w:rPr>
      </w:pPr>
      <w:r>
        <w:rPr>
          <w:rFonts w:hint="eastAsia" w:eastAsia="宋体"/>
          <w:color w:val="auto"/>
          <w:sz w:val="24"/>
          <w:highlight w:val="none"/>
          <w:lang w:bidi="zh-CN"/>
        </w:rPr>
        <w:t>《关于加强环境影响评价现状监测管理的通知》，苏环办[2016]185号；</w:t>
      </w:r>
    </w:p>
    <w:p w14:paraId="141741EB">
      <w:pPr>
        <w:pStyle w:val="97"/>
        <w:numPr>
          <w:ilvl w:val="0"/>
          <w:numId w:val="8"/>
        </w:numPr>
        <w:spacing w:line="360" w:lineRule="auto"/>
        <w:ind w:left="-105" w:right="-105" w:firstLine="480"/>
        <w:rPr>
          <w:rFonts w:eastAsia="宋体"/>
          <w:color w:val="auto"/>
          <w:sz w:val="24"/>
          <w:highlight w:val="none"/>
          <w:lang w:bidi="zh-CN"/>
        </w:rPr>
      </w:pPr>
      <w:r>
        <w:rPr>
          <w:rFonts w:hint="eastAsia" w:eastAsia="宋体"/>
          <w:color w:val="auto"/>
          <w:sz w:val="24"/>
          <w:highlight w:val="none"/>
          <w:lang w:bidi="zh-CN"/>
        </w:rPr>
        <w:t>《江苏省政府办公厅关于推进生态保护引领区和生态保护特区建设的指导意见》，苏政办发[2017]73号；</w:t>
      </w:r>
    </w:p>
    <w:p w14:paraId="1012AA89">
      <w:pPr>
        <w:pStyle w:val="97"/>
        <w:numPr>
          <w:ilvl w:val="0"/>
          <w:numId w:val="8"/>
        </w:numPr>
        <w:spacing w:line="360" w:lineRule="auto"/>
        <w:ind w:left="-105" w:right="-105" w:firstLine="480"/>
        <w:rPr>
          <w:rFonts w:eastAsia="宋体"/>
          <w:color w:val="auto"/>
          <w:sz w:val="24"/>
          <w:highlight w:val="none"/>
          <w:lang w:bidi="zh-CN"/>
        </w:rPr>
      </w:pPr>
      <w:r>
        <w:rPr>
          <w:rFonts w:hint="eastAsia" w:eastAsia="宋体"/>
          <w:color w:val="auto"/>
          <w:sz w:val="24"/>
          <w:highlight w:val="none"/>
          <w:lang w:bidi="zh-CN"/>
        </w:rPr>
        <w:t>《省生态环境厅关于进一步做好建设项目环评审批工作的通知》，苏环办[2019]36号；</w:t>
      </w:r>
    </w:p>
    <w:p w14:paraId="25E31380">
      <w:pPr>
        <w:pStyle w:val="97"/>
        <w:numPr>
          <w:ilvl w:val="0"/>
          <w:numId w:val="8"/>
        </w:numPr>
        <w:spacing w:line="360" w:lineRule="auto"/>
        <w:ind w:left="-105" w:right="-105" w:firstLine="480"/>
        <w:rPr>
          <w:rFonts w:eastAsia="宋体"/>
          <w:color w:val="auto"/>
          <w:sz w:val="24"/>
          <w:highlight w:val="none"/>
          <w:lang w:bidi="zh-CN"/>
        </w:rPr>
      </w:pPr>
      <w:r>
        <w:rPr>
          <w:rFonts w:hint="eastAsia" w:eastAsia="宋体"/>
          <w:color w:val="auto"/>
          <w:sz w:val="24"/>
          <w:highlight w:val="none"/>
          <w:lang w:bidi="zh-CN"/>
        </w:rPr>
        <w:t>《市政府关于印发无锡市土壤污染防治工作方案的通知》，锡政发[2017]15号）；</w:t>
      </w:r>
    </w:p>
    <w:p w14:paraId="749C69F4">
      <w:pPr>
        <w:pStyle w:val="97"/>
        <w:numPr>
          <w:ilvl w:val="0"/>
          <w:numId w:val="8"/>
        </w:numPr>
        <w:spacing w:line="360" w:lineRule="auto"/>
        <w:ind w:left="-105" w:right="-105" w:firstLine="480"/>
        <w:rPr>
          <w:rFonts w:eastAsia="宋体"/>
          <w:color w:val="auto"/>
          <w:sz w:val="24"/>
          <w:highlight w:val="none"/>
          <w:lang w:bidi="zh-CN"/>
        </w:rPr>
      </w:pPr>
      <w:r>
        <w:rPr>
          <w:rFonts w:hint="eastAsia" w:eastAsia="宋体"/>
          <w:color w:val="auto"/>
          <w:sz w:val="24"/>
          <w:highlight w:val="none"/>
          <w:lang w:bidi="zh-CN"/>
        </w:rPr>
        <w:t>《关于在环评审批阶段开展“源头管控行动”的工作意见》，锡环办[2021]142号）；</w:t>
      </w:r>
    </w:p>
    <w:p w14:paraId="08F8A43B">
      <w:pPr>
        <w:pStyle w:val="97"/>
        <w:numPr>
          <w:ilvl w:val="0"/>
          <w:numId w:val="8"/>
        </w:numPr>
        <w:spacing w:line="360" w:lineRule="auto"/>
        <w:ind w:left="-105" w:right="-105" w:firstLine="480"/>
        <w:rPr>
          <w:rFonts w:eastAsia="宋体"/>
          <w:color w:val="auto"/>
          <w:sz w:val="24"/>
          <w:highlight w:val="none"/>
          <w:lang w:bidi="zh-CN"/>
        </w:rPr>
      </w:pPr>
      <w:r>
        <w:rPr>
          <w:rFonts w:hint="eastAsia" w:eastAsia="宋体"/>
          <w:color w:val="auto"/>
          <w:sz w:val="24"/>
          <w:highlight w:val="none"/>
          <w:lang w:bidi="zh-CN"/>
        </w:rPr>
        <w:t>《江苏省“三线一单”生态环境分区管控方案》，苏政发[2020]49 号；</w:t>
      </w:r>
    </w:p>
    <w:p w14:paraId="1FBBD6B3">
      <w:pPr>
        <w:pStyle w:val="97"/>
        <w:numPr>
          <w:ilvl w:val="0"/>
          <w:numId w:val="8"/>
        </w:numPr>
        <w:spacing w:line="360" w:lineRule="auto"/>
        <w:ind w:left="-105" w:right="-105" w:firstLine="480"/>
        <w:rPr>
          <w:rFonts w:eastAsia="宋体"/>
          <w:color w:val="auto"/>
          <w:sz w:val="24"/>
          <w:highlight w:val="none"/>
          <w:lang w:bidi="zh-CN"/>
        </w:rPr>
      </w:pPr>
      <w:r>
        <w:rPr>
          <w:rFonts w:hint="eastAsia" w:eastAsia="宋体"/>
          <w:color w:val="auto"/>
          <w:sz w:val="24"/>
          <w:highlight w:val="none"/>
          <w:lang w:bidi="zh-CN"/>
        </w:rPr>
        <w:t>《长江经济带发展负面清单指南》（2022版）；</w:t>
      </w:r>
    </w:p>
    <w:p w14:paraId="49C311A7">
      <w:pPr>
        <w:pStyle w:val="97"/>
        <w:numPr>
          <w:ilvl w:val="0"/>
          <w:numId w:val="8"/>
        </w:numPr>
        <w:spacing w:line="360" w:lineRule="auto"/>
        <w:ind w:left="-105" w:right="-105" w:firstLine="480"/>
        <w:rPr>
          <w:rFonts w:eastAsia="宋体"/>
          <w:color w:val="auto"/>
          <w:sz w:val="24"/>
          <w:highlight w:val="none"/>
          <w:lang w:bidi="zh-CN"/>
        </w:rPr>
      </w:pPr>
      <w:r>
        <w:rPr>
          <w:rFonts w:hint="eastAsia" w:eastAsia="宋体"/>
          <w:color w:val="auto"/>
          <w:sz w:val="24"/>
          <w:highlight w:val="none"/>
          <w:lang w:bidi="zh-CN"/>
        </w:rPr>
        <w:t>《无锡市“三线一单”生态环境分区管控实施方案》，锡环委办[2020]40 号；</w:t>
      </w:r>
    </w:p>
    <w:p w14:paraId="5869A840">
      <w:pPr>
        <w:pStyle w:val="97"/>
        <w:numPr>
          <w:ilvl w:val="0"/>
          <w:numId w:val="8"/>
        </w:numPr>
        <w:spacing w:line="360" w:lineRule="auto"/>
        <w:ind w:left="-105" w:right="-105" w:firstLine="480"/>
        <w:rPr>
          <w:rFonts w:eastAsia="宋体"/>
          <w:color w:val="auto"/>
          <w:sz w:val="24"/>
          <w:highlight w:val="none"/>
          <w:lang w:bidi="zh-CN"/>
        </w:rPr>
      </w:pPr>
      <w:r>
        <w:rPr>
          <w:rFonts w:hint="eastAsia" w:eastAsia="宋体"/>
          <w:color w:val="auto"/>
          <w:sz w:val="24"/>
          <w:highlight w:val="none"/>
          <w:lang w:bidi="zh-CN"/>
        </w:rPr>
        <w:t>《省生态环境厅关于印发江苏省环境影响评价文件环境应急相关内容编制要点的通知》（苏环办[2022]338号）；</w:t>
      </w:r>
    </w:p>
    <w:p w14:paraId="1463FE9A">
      <w:pPr>
        <w:pStyle w:val="97"/>
        <w:numPr>
          <w:ilvl w:val="0"/>
          <w:numId w:val="8"/>
        </w:numPr>
        <w:spacing w:line="360" w:lineRule="auto"/>
        <w:ind w:left="-105" w:right="-105" w:firstLine="480"/>
        <w:rPr>
          <w:rFonts w:eastAsia="宋体"/>
          <w:color w:val="auto"/>
          <w:sz w:val="24"/>
          <w:highlight w:val="none"/>
          <w:lang w:bidi="zh-CN"/>
        </w:rPr>
      </w:pPr>
      <w:r>
        <w:rPr>
          <w:rFonts w:hint="eastAsia" w:eastAsia="宋体"/>
          <w:color w:val="auto"/>
          <w:sz w:val="24"/>
          <w:highlight w:val="none"/>
          <w:lang w:bidi="zh-CN"/>
        </w:rPr>
        <w:t>《江苏省重点行业工业企业雨水排放环境管理办法（试行）》（苏污防攻坚指办[2023]71号）；</w:t>
      </w:r>
    </w:p>
    <w:p w14:paraId="48B43484">
      <w:pPr>
        <w:pStyle w:val="97"/>
        <w:numPr>
          <w:ilvl w:val="0"/>
          <w:numId w:val="8"/>
        </w:numPr>
        <w:spacing w:line="360" w:lineRule="auto"/>
        <w:ind w:left="-105" w:right="-105" w:firstLine="480"/>
        <w:rPr>
          <w:rFonts w:eastAsia="宋体"/>
          <w:color w:val="auto"/>
          <w:sz w:val="24"/>
          <w:highlight w:val="none"/>
          <w:lang w:bidi="zh-CN"/>
        </w:rPr>
      </w:pPr>
      <w:r>
        <w:rPr>
          <w:rFonts w:hint="eastAsia" w:eastAsia="宋体"/>
          <w:color w:val="auto"/>
          <w:sz w:val="24"/>
          <w:highlight w:val="none"/>
          <w:lang w:bidi="zh-CN"/>
        </w:rPr>
        <w:t>《省政府办公厅关于加快推进城市污水处理能力建设全面提升污水集中收集处理率的实施意见》（苏政办发[2022]42号）；</w:t>
      </w:r>
    </w:p>
    <w:p w14:paraId="3720251D">
      <w:pPr>
        <w:pStyle w:val="97"/>
        <w:numPr>
          <w:ilvl w:val="0"/>
          <w:numId w:val="8"/>
        </w:numPr>
        <w:spacing w:line="360" w:lineRule="auto"/>
        <w:ind w:left="-105" w:right="-105" w:firstLine="480"/>
        <w:rPr>
          <w:rFonts w:eastAsia="宋体"/>
          <w:color w:val="auto"/>
          <w:sz w:val="24"/>
          <w:highlight w:val="none"/>
          <w:lang w:bidi="zh-CN"/>
        </w:rPr>
      </w:pPr>
      <w:r>
        <w:rPr>
          <w:rFonts w:hint="eastAsia" w:eastAsia="宋体"/>
          <w:color w:val="auto"/>
          <w:sz w:val="24"/>
          <w:highlight w:val="none"/>
          <w:lang w:bidi="zh-CN"/>
        </w:rPr>
        <w:t>《江苏省工业废水与生活污水分质处理工作推进方案》；</w:t>
      </w:r>
    </w:p>
    <w:p w14:paraId="3FEB58F1">
      <w:pPr>
        <w:pStyle w:val="97"/>
        <w:numPr>
          <w:ilvl w:val="0"/>
          <w:numId w:val="8"/>
        </w:numPr>
        <w:spacing w:line="360" w:lineRule="auto"/>
        <w:ind w:left="-105" w:right="-105" w:firstLine="480"/>
        <w:rPr>
          <w:rFonts w:eastAsia="宋体"/>
          <w:color w:val="auto"/>
          <w:sz w:val="24"/>
          <w:highlight w:val="none"/>
          <w:lang w:bidi="zh-CN"/>
        </w:rPr>
      </w:pPr>
      <w:r>
        <w:rPr>
          <w:rFonts w:hint="eastAsia" w:eastAsia="宋体"/>
          <w:color w:val="auto"/>
          <w:sz w:val="24"/>
          <w:highlight w:val="none"/>
          <w:lang w:bidi="zh-CN"/>
        </w:rPr>
        <w:t>《省生态环境厅关于印发江苏省危险废物贮存规范化管理专项整治行动方案的通知》，苏环办[2019]149号；</w:t>
      </w:r>
    </w:p>
    <w:p w14:paraId="03E80113">
      <w:pPr>
        <w:pStyle w:val="97"/>
        <w:numPr>
          <w:ilvl w:val="0"/>
          <w:numId w:val="8"/>
        </w:numPr>
        <w:spacing w:line="360" w:lineRule="auto"/>
        <w:ind w:left="-105" w:right="-105" w:firstLine="480"/>
        <w:rPr>
          <w:rFonts w:eastAsia="宋体"/>
          <w:color w:val="auto"/>
          <w:sz w:val="24"/>
          <w:highlight w:val="none"/>
          <w:lang w:bidi="zh-CN"/>
        </w:rPr>
      </w:pPr>
      <w:r>
        <w:rPr>
          <w:rFonts w:hint="eastAsia" w:eastAsia="宋体"/>
          <w:color w:val="auto"/>
          <w:sz w:val="24"/>
          <w:highlight w:val="none"/>
          <w:lang w:bidi="zh-CN"/>
        </w:rPr>
        <w:t>《省生态环境厅关于做好江苏省危险废物全生命周期监控系统上线运行工作的通知》，苏环办[2020]401号；</w:t>
      </w:r>
    </w:p>
    <w:p w14:paraId="281111E6">
      <w:pPr>
        <w:pStyle w:val="97"/>
        <w:numPr>
          <w:ilvl w:val="0"/>
          <w:numId w:val="8"/>
        </w:numPr>
        <w:spacing w:line="360" w:lineRule="auto"/>
        <w:ind w:left="-105" w:right="-105" w:firstLine="480"/>
        <w:rPr>
          <w:rFonts w:eastAsia="宋体"/>
          <w:color w:val="auto"/>
          <w:sz w:val="24"/>
          <w:highlight w:val="none"/>
          <w:lang w:bidi="zh-CN"/>
        </w:rPr>
      </w:pPr>
      <w:r>
        <w:rPr>
          <w:rFonts w:hint="eastAsia" w:eastAsia="宋体"/>
          <w:color w:val="auto"/>
          <w:sz w:val="24"/>
          <w:highlight w:val="none"/>
          <w:lang w:bidi="zh-CN"/>
        </w:rPr>
        <w:t>《关于加强一般工业固体废物管理的通知》（锡环办[2021]138号）；</w:t>
      </w:r>
    </w:p>
    <w:p w14:paraId="00C9D1C0">
      <w:pPr>
        <w:pStyle w:val="97"/>
        <w:numPr>
          <w:ilvl w:val="0"/>
          <w:numId w:val="8"/>
        </w:numPr>
        <w:spacing w:line="360" w:lineRule="auto"/>
        <w:ind w:left="-105" w:right="-105" w:firstLine="480"/>
        <w:rPr>
          <w:rFonts w:eastAsia="宋体"/>
          <w:color w:val="auto"/>
          <w:sz w:val="24"/>
          <w:highlight w:val="none"/>
          <w:lang w:bidi="zh-CN"/>
        </w:rPr>
      </w:pPr>
      <w:r>
        <w:rPr>
          <w:rFonts w:hint="eastAsia" w:eastAsia="宋体"/>
          <w:color w:val="auto"/>
          <w:sz w:val="24"/>
          <w:highlight w:val="none"/>
          <w:lang w:bidi="zh-CN"/>
        </w:rPr>
        <w:t>《省生态环境厅关于印发&lt;江苏省固体废物全过程环境监管工作意见&gt;的通知》苏环办〔2024〕16号</w:t>
      </w:r>
      <w:r>
        <w:rPr>
          <w:rFonts w:hint="eastAsia" w:eastAsia="宋体"/>
          <w:color w:val="auto"/>
          <w:sz w:val="24"/>
          <w:highlight w:val="none"/>
          <w:lang w:bidi="zh-CN"/>
        </w:rPr>
        <w:t>。</w:t>
      </w:r>
    </w:p>
    <w:p w14:paraId="7E407FCE">
      <w:pPr>
        <w:pStyle w:val="5"/>
        <w:keepLines w:val="0"/>
        <w:numPr>
          <w:ilvl w:val="2"/>
          <w:numId w:val="6"/>
        </w:numPr>
        <w:tabs>
          <w:tab w:val="left" w:pos="709"/>
        </w:tabs>
        <w:spacing w:before="120" w:beforeLines="50" w:after="0" w:line="360" w:lineRule="auto"/>
        <w:ind w:left="-105" w:right="-105"/>
        <w:rPr>
          <w:rFonts w:eastAsia="宋体"/>
          <w:color w:val="auto"/>
          <w:sz w:val="28"/>
          <w:szCs w:val="28"/>
          <w:highlight w:val="none"/>
        </w:rPr>
      </w:pPr>
      <w:bookmarkStart w:id="88" w:name="_Toc60653442"/>
      <w:bookmarkStart w:id="89" w:name="_Toc48030369"/>
      <w:bookmarkStart w:id="90" w:name="_Toc51592643"/>
      <w:r>
        <w:rPr>
          <w:rFonts w:eastAsia="宋体"/>
          <w:color w:val="auto"/>
          <w:sz w:val="28"/>
          <w:szCs w:val="28"/>
          <w:highlight w:val="none"/>
        </w:rPr>
        <w:t>产业政策与行业管理规定</w:t>
      </w:r>
      <w:bookmarkEnd w:id="88"/>
      <w:bookmarkEnd w:id="89"/>
      <w:bookmarkEnd w:id="90"/>
    </w:p>
    <w:p w14:paraId="6429BB43">
      <w:pPr>
        <w:pStyle w:val="97"/>
        <w:numPr>
          <w:ilvl w:val="0"/>
          <w:numId w:val="9"/>
        </w:numPr>
        <w:spacing w:line="360" w:lineRule="auto"/>
        <w:ind w:left="-105" w:right="-105" w:firstLine="480"/>
        <w:rPr>
          <w:rFonts w:eastAsia="宋体"/>
          <w:color w:val="auto"/>
          <w:sz w:val="24"/>
          <w:highlight w:val="none"/>
          <w:lang w:bidi="zh-CN"/>
        </w:rPr>
      </w:pPr>
      <w:r>
        <w:rPr>
          <w:rFonts w:hint="eastAsia" w:eastAsia="宋体"/>
          <w:color w:val="auto"/>
          <w:sz w:val="24"/>
          <w:highlight w:val="none"/>
          <w:lang w:bidi="zh-CN"/>
        </w:rPr>
        <w:t>《产业结构调整指导目录(2024年本）》，中华人民共和国国家发展和改革委员会令第7号；</w:t>
      </w:r>
    </w:p>
    <w:p w14:paraId="0CFE09EE">
      <w:pPr>
        <w:pStyle w:val="97"/>
        <w:numPr>
          <w:ilvl w:val="0"/>
          <w:numId w:val="9"/>
        </w:numPr>
        <w:spacing w:line="360" w:lineRule="auto"/>
        <w:ind w:left="-105" w:right="-105" w:firstLine="480"/>
        <w:rPr>
          <w:rFonts w:eastAsia="宋体"/>
          <w:color w:val="auto"/>
          <w:sz w:val="24"/>
          <w:highlight w:val="none"/>
          <w:lang w:bidi="zh-CN"/>
        </w:rPr>
      </w:pPr>
      <w:r>
        <w:rPr>
          <w:rFonts w:hint="eastAsia" w:eastAsia="宋体"/>
          <w:color w:val="auto"/>
          <w:sz w:val="24"/>
          <w:highlight w:val="none"/>
          <w:lang w:bidi="zh-CN"/>
        </w:rPr>
        <w:t>《外商投资准入特别管理措施（负面清单）（2021年版）》，中华人民共和国国家发展和改革委员会 中华人民共和国商务部令 第47号；</w:t>
      </w:r>
    </w:p>
    <w:p w14:paraId="1D3F5E5B">
      <w:pPr>
        <w:pStyle w:val="97"/>
        <w:numPr>
          <w:ilvl w:val="0"/>
          <w:numId w:val="9"/>
        </w:numPr>
        <w:spacing w:line="360" w:lineRule="auto"/>
        <w:ind w:left="-105" w:right="-105" w:firstLine="480"/>
        <w:rPr>
          <w:rFonts w:eastAsia="宋体"/>
          <w:color w:val="auto"/>
          <w:sz w:val="24"/>
          <w:highlight w:val="none"/>
          <w:lang w:bidi="zh-CN"/>
        </w:rPr>
      </w:pPr>
      <w:r>
        <w:rPr>
          <w:rFonts w:hint="eastAsia" w:eastAsia="宋体"/>
          <w:color w:val="auto"/>
          <w:sz w:val="24"/>
          <w:highlight w:val="none"/>
          <w:lang w:bidi="zh-CN"/>
        </w:rPr>
        <w:t>《鼓励外商投资产业目录（2022年版）》，中华人民共和国国家发展和改革委员会 中华人民共和国商务部令第52号；</w:t>
      </w:r>
    </w:p>
    <w:p w14:paraId="520D7108">
      <w:pPr>
        <w:pStyle w:val="97"/>
        <w:numPr>
          <w:ilvl w:val="0"/>
          <w:numId w:val="9"/>
        </w:numPr>
        <w:spacing w:line="360" w:lineRule="auto"/>
        <w:ind w:left="-105" w:right="-105" w:firstLine="480"/>
        <w:rPr>
          <w:rFonts w:eastAsia="宋体"/>
          <w:color w:val="auto"/>
          <w:sz w:val="24"/>
          <w:highlight w:val="none"/>
          <w:lang w:bidi="zh-CN"/>
        </w:rPr>
      </w:pPr>
      <w:r>
        <w:rPr>
          <w:rFonts w:hint="eastAsia" w:eastAsia="宋体"/>
          <w:color w:val="auto"/>
          <w:sz w:val="24"/>
          <w:highlight w:val="none"/>
          <w:lang w:bidi="zh-CN"/>
        </w:rPr>
        <w:t>《市场准入负面清单》（2022年版），发改体改规〔2022〕397号；</w:t>
      </w:r>
    </w:p>
    <w:p w14:paraId="672014D4">
      <w:pPr>
        <w:pStyle w:val="97"/>
        <w:numPr>
          <w:ilvl w:val="0"/>
          <w:numId w:val="9"/>
        </w:numPr>
        <w:spacing w:line="360" w:lineRule="auto"/>
        <w:ind w:left="-105" w:right="-105" w:firstLine="480"/>
        <w:rPr>
          <w:rFonts w:eastAsia="宋体"/>
          <w:color w:val="auto"/>
          <w:sz w:val="24"/>
          <w:highlight w:val="none"/>
          <w:lang w:bidi="zh-CN"/>
        </w:rPr>
      </w:pPr>
      <w:r>
        <w:rPr>
          <w:rFonts w:hint="eastAsia" w:eastAsia="宋体"/>
          <w:color w:val="auto"/>
          <w:sz w:val="24"/>
          <w:highlight w:val="none"/>
          <w:lang w:bidi="zh-CN"/>
        </w:rPr>
        <w:t>《产业发展与转移指导目录（2018年本）》，中华人民共和国工业和信息化部公告2018年第66号；</w:t>
      </w:r>
    </w:p>
    <w:p w14:paraId="479D985C">
      <w:pPr>
        <w:pStyle w:val="97"/>
        <w:numPr>
          <w:ilvl w:val="0"/>
          <w:numId w:val="9"/>
        </w:numPr>
        <w:spacing w:line="360" w:lineRule="auto"/>
        <w:ind w:left="-105" w:right="-105" w:firstLine="480"/>
        <w:rPr>
          <w:rFonts w:eastAsia="宋体"/>
          <w:color w:val="auto"/>
          <w:sz w:val="24"/>
          <w:highlight w:val="none"/>
          <w:lang w:bidi="zh-CN"/>
        </w:rPr>
      </w:pPr>
      <w:r>
        <w:rPr>
          <w:rFonts w:hint="eastAsia" w:eastAsia="宋体"/>
          <w:color w:val="auto"/>
          <w:sz w:val="24"/>
          <w:highlight w:val="none"/>
          <w:lang w:bidi="zh-CN"/>
        </w:rPr>
        <w:t>《限制用地项目目录（2012年本）》、《禁止用地项目目录（2012年本）》，国土资发[2012]98 号；</w:t>
      </w:r>
    </w:p>
    <w:p w14:paraId="74048D10">
      <w:pPr>
        <w:pStyle w:val="97"/>
        <w:numPr>
          <w:ilvl w:val="0"/>
          <w:numId w:val="9"/>
        </w:numPr>
        <w:spacing w:line="360" w:lineRule="auto"/>
        <w:ind w:left="-105" w:right="-105" w:firstLine="480"/>
        <w:rPr>
          <w:rFonts w:eastAsia="宋体"/>
          <w:color w:val="auto"/>
          <w:sz w:val="24"/>
          <w:highlight w:val="none"/>
          <w:lang w:bidi="zh-CN"/>
        </w:rPr>
      </w:pPr>
      <w:r>
        <w:rPr>
          <w:rFonts w:hint="eastAsia" w:eastAsia="宋体"/>
          <w:color w:val="auto"/>
          <w:sz w:val="24"/>
          <w:highlight w:val="none"/>
          <w:lang w:bidi="zh-CN"/>
        </w:rPr>
        <w:t>《江苏省限制用地项目目录（2013年本）》和《江苏省禁止用地项目目录（2013年本）》，江苏省国土资源厅、江苏省发展和改革委员会、江苏省经济和信息化委员会，2013年8月；</w:t>
      </w:r>
    </w:p>
    <w:p w14:paraId="1D6D3B6B">
      <w:pPr>
        <w:pStyle w:val="97"/>
        <w:numPr>
          <w:ilvl w:val="0"/>
          <w:numId w:val="9"/>
        </w:numPr>
        <w:spacing w:line="360" w:lineRule="auto"/>
        <w:ind w:left="-105" w:right="-105" w:firstLine="480"/>
        <w:rPr>
          <w:rFonts w:eastAsia="宋体"/>
          <w:color w:val="auto"/>
          <w:sz w:val="24"/>
          <w:highlight w:val="none"/>
          <w:lang w:bidi="zh-CN"/>
        </w:rPr>
      </w:pPr>
      <w:r>
        <w:rPr>
          <w:rFonts w:hint="eastAsia" w:eastAsia="宋体"/>
          <w:color w:val="auto"/>
          <w:sz w:val="24"/>
          <w:highlight w:val="none"/>
          <w:lang w:bidi="zh-CN"/>
        </w:rPr>
        <w:t>《无锡市制造业转型发展指导目录（2012）年本》，锡政办发[2013]54号；</w:t>
      </w:r>
    </w:p>
    <w:p w14:paraId="299F43B7">
      <w:pPr>
        <w:pStyle w:val="97"/>
        <w:numPr>
          <w:ilvl w:val="0"/>
          <w:numId w:val="9"/>
        </w:numPr>
        <w:spacing w:line="360" w:lineRule="auto"/>
        <w:ind w:left="-105" w:right="-105" w:firstLine="480"/>
        <w:rPr>
          <w:rFonts w:eastAsia="宋体"/>
          <w:color w:val="auto"/>
          <w:sz w:val="24"/>
          <w:highlight w:val="none"/>
          <w:lang w:bidi="zh-CN"/>
        </w:rPr>
      </w:pPr>
      <w:r>
        <w:rPr>
          <w:rFonts w:hint="eastAsia" w:eastAsia="宋体"/>
          <w:color w:val="auto"/>
          <w:sz w:val="24"/>
          <w:highlight w:val="none"/>
          <w:lang w:bidi="zh-CN"/>
        </w:rPr>
        <w:t>《无锡市产业结构调整指导目录(2008年本)》，锡政办发[2008]6号。</w:t>
      </w:r>
    </w:p>
    <w:p w14:paraId="5449C217">
      <w:pPr>
        <w:pStyle w:val="5"/>
        <w:keepLines w:val="0"/>
        <w:numPr>
          <w:ilvl w:val="2"/>
          <w:numId w:val="6"/>
        </w:numPr>
        <w:tabs>
          <w:tab w:val="left" w:pos="709"/>
        </w:tabs>
        <w:spacing w:before="120" w:beforeLines="50" w:after="0" w:line="360" w:lineRule="auto"/>
        <w:ind w:left="-105" w:right="-105"/>
        <w:rPr>
          <w:rFonts w:eastAsia="宋体"/>
          <w:color w:val="auto"/>
          <w:sz w:val="28"/>
          <w:szCs w:val="28"/>
          <w:highlight w:val="none"/>
        </w:rPr>
      </w:pPr>
      <w:bookmarkStart w:id="91" w:name="_Toc51592645"/>
      <w:bookmarkStart w:id="92" w:name="_Toc60653443"/>
      <w:r>
        <w:rPr>
          <w:rFonts w:eastAsia="宋体"/>
          <w:color w:val="auto"/>
          <w:sz w:val="28"/>
          <w:szCs w:val="28"/>
          <w:highlight w:val="none"/>
        </w:rPr>
        <w:t>相关导则</w:t>
      </w:r>
      <w:bookmarkEnd w:id="91"/>
      <w:r>
        <w:rPr>
          <w:rFonts w:eastAsia="宋体"/>
          <w:color w:val="auto"/>
          <w:sz w:val="28"/>
          <w:szCs w:val="28"/>
          <w:highlight w:val="none"/>
        </w:rPr>
        <w:t>及技术规范</w:t>
      </w:r>
      <w:bookmarkEnd w:id="92"/>
    </w:p>
    <w:bookmarkEnd w:id="77"/>
    <w:bookmarkEnd w:id="78"/>
    <w:bookmarkEnd w:id="79"/>
    <w:bookmarkEnd w:id="80"/>
    <w:bookmarkEnd w:id="81"/>
    <w:bookmarkEnd w:id="82"/>
    <w:bookmarkEnd w:id="83"/>
    <w:bookmarkEnd w:id="84"/>
    <w:bookmarkEnd w:id="85"/>
    <w:p w14:paraId="41AC3F58">
      <w:pPr>
        <w:pStyle w:val="97"/>
        <w:numPr>
          <w:ilvl w:val="0"/>
          <w:numId w:val="10"/>
        </w:numPr>
        <w:spacing w:line="360" w:lineRule="auto"/>
        <w:ind w:left="-105" w:right="-105" w:firstLine="480"/>
        <w:rPr>
          <w:rFonts w:eastAsia="宋体"/>
          <w:color w:val="auto"/>
          <w:sz w:val="24"/>
          <w:highlight w:val="none"/>
          <w:lang w:bidi="zh-CN"/>
        </w:rPr>
      </w:pPr>
      <w:r>
        <w:rPr>
          <w:rFonts w:hint="eastAsia" w:eastAsia="宋体"/>
          <w:color w:val="auto"/>
          <w:sz w:val="24"/>
          <w:highlight w:val="none"/>
          <w:lang w:bidi="zh-CN"/>
        </w:rPr>
        <w:t>《环境影响评价技术导则-总纲》，HJ2.1-2016；</w:t>
      </w:r>
    </w:p>
    <w:p w14:paraId="257E1759">
      <w:pPr>
        <w:pStyle w:val="97"/>
        <w:numPr>
          <w:ilvl w:val="0"/>
          <w:numId w:val="10"/>
        </w:numPr>
        <w:spacing w:line="360" w:lineRule="auto"/>
        <w:ind w:left="-105" w:right="-105" w:firstLine="480"/>
        <w:rPr>
          <w:rFonts w:eastAsia="宋体"/>
          <w:color w:val="auto"/>
          <w:sz w:val="24"/>
          <w:highlight w:val="none"/>
          <w:lang w:bidi="zh-CN"/>
        </w:rPr>
      </w:pPr>
      <w:r>
        <w:rPr>
          <w:rFonts w:hint="eastAsia" w:eastAsia="宋体"/>
          <w:color w:val="auto"/>
          <w:sz w:val="24"/>
          <w:highlight w:val="none"/>
          <w:lang w:bidi="zh-CN"/>
        </w:rPr>
        <w:t>《环境影响评价技术导则-大气环境》，HJ2.2-2018；</w:t>
      </w:r>
    </w:p>
    <w:p w14:paraId="3C39B9B9">
      <w:pPr>
        <w:pStyle w:val="97"/>
        <w:numPr>
          <w:ilvl w:val="0"/>
          <w:numId w:val="10"/>
        </w:numPr>
        <w:spacing w:line="360" w:lineRule="auto"/>
        <w:ind w:left="-105" w:right="-105" w:firstLine="480"/>
        <w:rPr>
          <w:rFonts w:eastAsia="宋体"/>
          <w:color w:val="auto"/>
          <w:sz w:val="24"/>
          <w:highlight w:val="none"/>
          <w:lang w:bidi="zh-CN"/>
        </w:rPr>
      </w:pPr>
      <w:r>
        <w:rPr>
          <w:rFonts w:hint="eastAsia" w:eastAsia="宋体"/>
          <w:color w:val="auto"/>
          <w:sz w:val="24"/>
          <w:highlight w:val="none"/>
          <w:lang w:bidi="zh-CN"/>
        </w:rPr>
        <w:t>《环境影响评价技术导则-地表水环境》，HJ 2.3-2018；</w:t>
      </w:r>
    </w:p>
    <w:p w14:paraId="5F5063A3">
      <w:pPr>
        <w:pStyle w:val="97"/>
        <w:numPr>
          <w:ilvl w:val="0"/>
          <w:numId w:val="10"/>
        </w:numPr>
        <w:spacing w:line="360" w:lineRule="auto"/>
        <w:ind w:left="-105" w:right="-105" w:firstLine="480"/>
        <w:rPr>
          <w:rFonts w:eastAsia="宋体"/>
          <w:color w:val="auto"/>
          <w:sz w:val="24"/>
          <w:highlight w:val="none"/>
          <w:lang w:bidi="zh-CN"/>
        </w:rPr>
      </w:pPr>
      <w:r>
        <w:rPr>
          <w:rFonts w:hint="eastAsia" w:eastAsia="宋体"/>
          <w:color w:val="auto"/>
          <w:sz w:val="24"/>
          <w:highlight w:val="none"/>
          <w:lang w:bidi="zh-CN"/>
        </w:rPr>
        <w:t>《环境影响评价技术导则-声环境》，HJ2.4-2021；</w:t>
      </w:r>
    </w:p>
    <w:p w14:paraId="0411F272">
      <w:pPr>
        <w:pStyle w:val="97"/>
        <w:numPr>
          <w:ilvl w:val="0"/>
          <w:numId w:val="10"/>
        </w:numPr>
        <w:spacing w:line="360" w:lineRule="auto"/>
        <w:ind w:left="-105" w:right="-105" w:firstLine="480"/>
        <w:rPr>
          <w:rFonts w:eastAsia="宋体"/>
          <w:color w:val="auto"/>
          <w:sz w:val="24"/>
          <w:highlight w:val="none"/>
          <w:lang w:bidi="zh-CN"/>
        </w:rPr>
      </w:pPr>
      <w:r>
        <w:rPr>
          <w:rFonts w:hint="eastAsia" w:eastAsia="宋体"/>
          <w:color w:val="auto"/>
          <w:sz w:val="24"/>
          <w:highlight w:val="none"/>
          <w:lang w:bidi="zh-CN"/>
        </w:rPr>
        <w:t>《环境影响评价技术导则-地下水环境》，HJ610-2016；</w:t>
      </w:r>
    </w:p>
    <w:p w14:paraId="4D86ED6C">
      <w:pPr>
        <w:pStyle w:val="97"/>
        <w:numPr>
          <w:ilvl w:val="0"/>
          <w:numId w:val="10"/>
        </w:numPr>
        <w:spacing w:line="360" w:lineRule="auto"/>
        <w:ind w:left="-105" w:right="-105" w:firstLine="480"/>
        <w:rPr>
          <w:rFonts w:eastAsia="宋体"/>
          <w:color w:val="auto"/>
          <w:sz w:val="24"/>
          <w:highlight w:val="none"/>
          <w:lang w:bidi="zh-CN"/>
        </w:rPr>
      </w:pPr>
      <w:r>
        <w:rPr>
          <w:rFonts w:hint="eastAsia" w:eastAsia="宋体"/>
          <w:color w:val="auto"/>
          <w:sz w:val="24"/>
          <w:highlight w:val="none"/>
          <w:lang w:bidi="zh-CN"/>
        </w:rPr>
        <w:t>《环境影响评价技术导则-土壤环境》（试行），HJ964-2018；</w:t>
      </w:r>
    </w:p>
    <w:p w14:paraId="5D90AF89">
      <w:pPr>
        <w:pStyle w:val="97"/>
        <w:numPr>
          <w:ilvl w:val="0"/>
          <w:numId w:val="10"/>
        </w:numPr>
        <w:spacing w:line="360" w:lineRule="auto"/>
        <w:ind w:left="-105" w:right="-105" w:firstLine="480"/>
        <w:rPr>
          <w:rFonts w:eastAsia="宋体"/>
          <w:color w:val="auto"/>
          <w:sz w:val="24"/>
          <w:highlight w:val="none"/>
          <w:lang w:bidi="zh-CN"/>
        </w:rPr>
      </w:pPr>
      <w:r>
        <w:rPr>
          <w:rFonts w:hint="eastAsia" w:eastAsia="宋体"/>
          <w:color w:val="auto"/>
          <w:sz w:val="24"/>
          <w:highlight w:val="none"/>
          <w:lang w:bidi="zh-CN"/>
        </w:rPr>
        <w:t>《环境影响评价技术导则-生态影响》，HJ19-2022；</w:t>
      </w:r>
    </w:p>
    <w:p w14:paraId="063ECF40">
      <w:pPr>
        <w:pStyle w:val="97"/>
        <w:numPr>
          <w:ilvl w:val="0"/>
          <w:numId w:val="10"/>
        </w:numPr>
        <w:spacing w:line="360" w:lineRule="auto"/>
        <w:ind w:left="-105" w:right="-105" w:firstLine="480"/>
        <w:rPr>
          <w:rFonts w:eastAsia="宋体"/>
          <w:color w:val="auto"/>
          <w:sz w:val="24"/>
          <w:highlight w:val="none"/>
          <w:lang w:bidi="zh-CN"/>
        </w:rPr>
      </w:pPr>
      <w:r>
        <w:rPr>
          <w:rFonts w:hint="eastAsia" w:eastAsia="宋体"/>
          <w:color w:val="auto"/>
          <w:sz w:val="24"/>
          <w:highlight w:val="none"/>
          <w:lang w:bidi="zh-CN"/>
        </w:rPr>
        <w:t>《建设项目环境风险评价技术导则》，HJ169-2018；</w:t>
      </w:r>
    </w:p>
    <w:p w14:paraId="2F5E0CDD">
      <w:pPr>
        <w:pStyle w:val="97"/>
        <w:numPr>
          <w:ilvl w:val="0"/>
          <w:numId w:val="10"/>
        </w:numPr>
        <w:spacing w:line="360" w:lineRule="auto"/>
        <w:ind w:left="-105" w:right="-105" w:firstLine="480"/>
        <w:rPr>
          <w:rFonts w:eastAsia="宋体"/>
          <w:color w:val="auto"/>
          <w:sz w:val="24"/>
          <w:highlight w:val="none"/>
          <w:lang w:bidi="zh-CN"/>
        </w:rPr>
      </w:pPr>
      <w:r>
        <w:rPr>
          <w:rFonts w:hint="eastAsia" w:eastAsia="宋体"/>
          <w:color w:val="auto"/>
          <w:sz w:val="24"/>
          <w:highlight w:val="none"/>
          <w:lang w:bidi="zh-CN"/>
        </w:rPr>
        <w:t>《环境空气质量功能区划分原则与技术方法》，HJ14-1996；</w:t>
      </w:r>
    </w:p>
    <w:p w14:paraId="128AAECC">
      <w:pPr>
        <w:pStyle w:val="97"/>
        <w:numPr>
          <w:ilvl w:val="0"/>
          <w:numId w:val="10"/>
        </w:numPr>
        <w:spacing w:line="360" w:lineRule="auto"/>
        <w:ind w:left="-105" w:right="-105" w:firstLine="480"/>
        <w:rPr>
          <w:rFonts w:eastAsia="宋体"/>
          <w:color w:val="auto"/>
          <w:sz w:val="24"/>
          <w:highlight w:val="none"/>
          <w:lang w:bidi="zh-CN"/>
        </w:rPr>
      </w:pPr>
      <w:r>
        <w:rPr>
          <w:rFonts w:hint="eastAsia" w:eastAsia="宋体"/>
          <w:color w:val="auto"/>
          <w:sz w:val="24"/>
          <w:highlight w:val="none"/>
          <w:lang w:bidi="zh-CN"/>
        </w:rPr>
        <w:t>《声环境功能区划分技术规范》，GB/T15190-2014;</w:t>
      </w:r>
    </w:p>
    <w:p w14:paraId="3CE5F3D4">
      <w:pPr>
        <w:pStyle w:val="97"/>
        <w:numPr>
          <w:ilvl w:val="0"/>
          <w:numId w:val="10"/>
        </w:numPr>
        <w:spacing w:line="360" w:lineRule="auto"/>
        <w:ind w:left="-105" w:right="-105" w:firstLine="480"/>
        <w:rPr>
          <w:rFonts w:eastAsia="宋体"/>
          <w:color w:val="auto"/>
          <w:sz w:val="24"/>
          <w:highlight w:val="none"/>
          <w:lang w:bidi="zh-CN"/>
        </w:rPr>
      </w:pPr>
      <w:r>
        <w:rPr>
          <w:rFonts w:hint="eastAsia" w:eastAsia="宋体"/>
          <w:color w:val="auto"/>
          <w:sz w:val="24"/>
          <w:highlight w:val="none"/>
          <w:lang w:bidi="zh-CN"/>
        </w:rPr>
        <w:t>《固体废物鉴别标准通则》，GB34330-2017；</w:t>
      </w:r>
    </w:p>
    <w:p w14:paraId="6B0EA0ED">
      <w:pPr>
        <w:pStyle w:val="97"/>
        <w:numPr>
          <w:ilvl w:val="0"/>
          <w:numId w:val="10"/>
        </w:numPr>
        <w:spacing w:line="360" w:lineRule="auto"/>
        <w:ind w:left="-105" w:right="-105" w:firstLine="480"/>
        <w:rPr>
          <w:rFonts w:eastAsia="宋体"/>
          <w:color w:val="auto"/>
          <w:sz w:val="24"/>
          <w:highlight w:val="none"/>
          <w:lang w:bidi="zh-CN"/>
        </w:rPr>
      </w:pPr>
      <w:r>
        <w:rPr>
          <w:rFonts w:hint="eastAsia" w:eastAsia="宋体"/>
          <w:color w:val="auto"/>
          <w:sz w:val="24"/>
          <w:highlight w:val="none"/>
          <w:lang w:bidi="zh-CN"/>
        </w:rPr>
        <w:t>《建设项目环境影响技术评估导则》，HJ616-2011;</w:t>
      </w:r>
    </w:p>
    <w:p w14:paraId="73F0CD86">
      <w:pPr>
        <w:pStyle w:val="97"/>
        <w:numPr>
          <w:ilvl w:val="0"/>
          <w:numId w:val="10"/>
        </w:numPr>
        <w:spacing w:line="360" w:lineRule="auto"/>
        <w:ind w:left="-105" w:right="-105" w:firstLine="480"/>
        <w:rPr>
          <w:rFonts w:eastAsia="宋体"/>
          <w:color w:val="auto"/>
          <w:sz w:val="24"/>
          <w:highlight w:val="none"/>
          <w:lang w:bidi="zh-CN"/>
        </w:rPr>
      </w:pPr>
      <w:r>
        <w:rPr>
          <w:rFonts w:hint="eastAsia" w:eastAsia="宋体"/>
          <w:color w:val="auto"/>
          <w:sz w:val="24"/>
          <w:highlight w:val="none"/>
          <w:lang w:bidi="zh-CN"/>
        </w:rPr>
        <w:t>《环境空气质量标准》，GB3095-2012；</w:t>
      </w:r>
    </w:p>
    <w:p w14:paraId="1FD53145">
      <w:pPr>
        <w:pStyle w:val="97"/>
        <w:numPr>
          <w:ilvl w:val="0"/>
          <w:numId w:val="10"/>
        </w:numPr>
        <w:spacing w:line="360" w:lineRule="auto"/>
        <w:ind w:left="-105" w:right="-105" w:firstLine="480"/>
        <w:rPr>
          <w:rFonts w:eastAsia="宋体"/>
          <w:color w:val="auto"/>
          <w:sz w:val="24"/>
          <w:highlight w:val="none"/>
          <w:lang w:bidi="zh-CN"/>
        </w:rPr>
      </w:pPr>
      <w:r>
        <w:rPr>
          <w:rFonts w:hint="eastAsia" w:eastAsia="宋体"/>
          <w:color w:val="auto"/>
          <w:sz w:val="24"/>
          <w:highlight w:val="none"/>
          <w:lang w:bidi="zh-CN"/>
        </w:rPr>
        <w:t>《地表水环境质量标准》，GB3838-2002；</w:t>
      </w:r>
    </w:p>
    <w:p w14:paraId="4A6C09E7">
      <w:pPr>
        <w:pStyle w:val="97"/>
        <w:numPr>
          <w:ilvl w:val="0"/>
          <w:numId w:val="10"/>
        </w:numPr>
        <w:spacing w:line="360" w:lineRule="auto"/>
        <w:ind w:left="-105" w:right="-105" w:firstLine="480"/>
        <w:rPr>
          <w:rFonts w:eastAsia="宋体"/>
          <w:color w:val="auto"/>
          <w:sz w:val="24"/>
          <w:highlight w:val="none"/>
          <w:lang w:bidi="zh-CN"/>
        </w:rPr>
      </w:pPr>
      <w:r>
        <w:rPr>
          <w:rFonts w:hint="eastAsia" w:eastAsia="宋体"/>
          <w:color w:val="auto"/>
          <w:sz w:val="24"/>
          <w:highlight w:val="none"/>
          <w:lang w:bidi="zh-CN"/>
        </w:rPr>
        <w:t>《声环境质量标准》，GB3096-2008；</w:t>
      </w:r>
    </w:p>
    <w:p w14:paraId="44E4F1CC">
      <w:pPr>
        <w:pStyle w:val="97"/>
        <w:numPr>
          <w:ilvl w:val="0"/>
          <w:numId w:val="10"/>
        </w:numPr>
        <w:spacing w:line="360" w:lineRule="auto"/>
        <w:ind w:left="-105" w:right="-105" w:firstLine="480"/>
        <w:rPr>
          <w:rFonts w:eastAsia="宋体"/>
          <w:color w:val="auto"/>
          <w:sz w:val="24"/>
          <w:highlight w:val="none"/>
          <w:lang w:bidi="zh-CN"/>
        </w:rPr>
      </w:pPr>
      <w:r>
        <w:rPr>
          <w:rFonts w:hint="eastAsia" w:eastAsia="宋体"/>
          <w:color w:val="auto"/>
          <w:sz w:val="24"/>
          <w:highlight w:val="none"/>
          <w:lang w:bidi="zh-CN"/>
        </w:rPr>
        <w:t>《地下水环境质量标准》，GB/T 14848-2017；</w:t>
      </w:r>
    </w:p>
    <w:p w14:paraId="0E9A00A6">
      <w:pPr>
        <w:pStyle w:val="97"/>
        <w:numPr>
          <w:ilvl w:val="0"/>
          <w:numId w:val="10"/>
        </w:numPr>
        <w:spacing w:line="360" w:lineRule="auto"/>
        <w:ind w:left="-105" w:right="-105" w:firstLine="480"/>
        <w:rPr>
          <w:rFonts w:eastAsia="宋体"/>
          <w:color w:val="auto"/>
          <w:sz w:val="24"/>
          <w:highlight w:val="none"/>
          <w:lang w:bidi="zh-CN"/>
        </w:rPr>
      </w:pPr>
      <w:r>
        <w:rPr>
          <w:rFonts w:hint="eastAsia" w:eastAsia="宋体"/>
          <w:color w:val="auto"/>
          <w:sz w:val="24"/>
          <w:highlight w:val="none"/>
          <w:lang w:bidi="zh-CN"/>
        </w:rPr>
        <w:t>《土壤环境质量标准建设用地土壤污染风险管控标准（试行）》，GB36600-2018；</w:t>
      </w:r>
    </w:p>
    <w:p w14:paraId="54306026">
      <w:pPr>
        <w:pStyle w:val="97"/>
        <w:numPr>
          <w:ilvl w:val="0"/>
          <w:numId w:val="10"/>
        </w:numPr>
        <w:spacing w:line="360" w:lineRule="auto"/>
        <w:ind w:left="-105" w:right="-105" w:firstLine="480"/>
        <w:rPr>
          <w:rFonts w:eastAsia="宋体"/>
          <w:color w:val="auto"/>
          <w:sz w:val="24"/>
          <w:highlight w:val="none"/>
          <w:lang w:bidi="zh-CN"/>
        </w:rPr>
      </w:pPr>
      <w:r>
        <w:rPr>
          <w:rFonts w:hint="eastAsia" w:eastAsia="宋体"/>
          <w:color w:val="auto"/>
          <w:sz w:val="24"/>
          <w:highlight w:val="none"/>
          <w:lang w:bidi="zh-CN"/>
        </w:rPr>
        <w:t>《污水综合排放标准》，GB8978-1996；</w:t>
      </w:r>
    </w:p>
    <w:p w14:paraId="763815FA">
      <w:pPr>
        <w:pStyle w:val="97"/>
        <w:numPr>
          <w:ilvl w:val="0"/>
          <w:numId w:val="10"/>
        </w:numPr>
        <w:spacing w:line="360" w:lineRule="auto"/>
        <w:ind w:left="-105" w:right="-105" w:firstLine="480"/>
        <w:rPr>
          <w:rFonts w:eastAsia="宋体"/>
          <w:color w:val="auto"/>
          <w:sz w:val="24"/>
          <w:highlight w:val="none"/>
          <w:lang w:bidi="zh-CN"/>
        </w:rPr>
      </w:pPr>
      <w:r>
        <w:rPr>
          <w:rFonts w:hint="eastAsia" w:eastAsia="宋体"/>
          <w:color w:val="auto"/>
          <w:sz w:val="24"/>
          <w:highlight w:val="none"/>
          <w:lang w:bidi="zh-CN"/>
        </w:rPr>
        <w:t>《污水排入城镇下水道水质标准》，GB/T31962-2015；</w:t>
      </w:r>
    </w:p>
    <w:p w14:paraId="6900766E">
      <w:pPr>
        <w:pStyle w:val="97"/>
        <w:numPr>
          <w:ilvl w:val="0"/>
          <w:numId w:val="10"/>
        </w:numPr>
        <w:spacing w:line="360" w:lineRule="auto"/>
        <w:ind w:left="-105" w:right="-105" w:firstLine="480"/>
        <w:rPr>
          <w:rFonts w:eastAsia="宋体"/>
          <w:color w:val="auto"/>
          <w:sz w:val="24"/>
          <w:highlight w:val="none"/>
          <w:lang w:bidi="zh-CN"/>
        </w:rPr>
      </w:pPr>
      <w:r>
        <w:rPr>
          <w:rFonts w:hint="eastAsia" w:eastAsia="宋体"/>
          <w:color w:val="auto"/>
          <w:sz w:val="24"/>
          <w:highlight w:val="none"/>
          <w:lang w:bidi="zh-CN"/>
        </w:rPr>
        <w:t>《城镇污水处理厂污染物排放标准》，DB32/4440-2022；</w:t>
      </w:r>
    </w:p>
    <w:p w14:paraId="425A30FC">
      <w:pPr>
        <w:pStyle w:val="97"/>
        <w:numPr>
          <w:ilvl w:val="0"/>
          <w:numId w:val="10"/>
        </w:numPr>
        <w:spacing w:line="360" w:lineRule="auto"/>
        <w:ind w:left="-105" w:right="-105" w:firstLine="480"/>
        <w:rPr>
          <w:rFonts w:eastAsia="宋体"/>
          <w:color w:val="auto"/>
          <w:sz w:val="24"/>
          <w:highlight w:val="none"/>
          <w:lang w:bidi="zh-CN"/>
        </w:rPr>
      </w:pPr>
      <w:r>
        <w:rPr>
          <w:rFonts w:hint="eastAsia" w:eastAsia="宋体"/>
          <w:color w:val="auto"/>
          <w:sz w:val="24"/>
          <w:highlight w:val="none"/>
          <w:lang w:bidi="zh-CN"/>
        </w:rPr>
        <w:t>《工业企业厂界环境噪声排放标准》，GB12348-2008；</w:t>
      </w:r>
    </w:p>
    <w:p w14:paraId="2803556F">
      <w:pPr>
        <w:pStyle w:val="97"/>
        <w:numPr>
          <w:ilvl w:val="0"/>
          <w:numId w:val="10"/>
        </w:numPr>
        <w:spacing w:line="360" w:lineRule="auto"/>
        <w:ind w:left="-105" w:right="-105" w:firstLine="480"/>
        <w:rPr>
          <w:rFonts w:eastAsia="宋体"/>
          <w:color w:val="auto"/>
          <w:sz w:val="24"/>
          <w:highlight w:val="none"/>
          <w:lang w:bidi="zh-CN"/>
        </w:rPr>
      </w:pPr>
      <w:r>
        <w:rPr>
          <w:rFonts w:hint="eastAsia" w:eastAsia="宋体"/>
          <w:color w:val="auto"/>
          <w:sz w:val="24"/>
          <w:highlight w:val="none"/>
          <w:lang w:bidi="zh-CN"/>
        </w:rPr>
        <w:t>《无锡市区声环境功能区划分调整方案》，锡政办发[2018]157号；</w:t>
      </w:r>
    </w:p>
    <w:p w14:paraId="6E470587">
      <w:pPr>
        <w:pStyle w:val="97"/>
        <w:numPr>
          <w:ilvl w:val="0"/>
          <w:numId w:val="10"/>
        </w:numPr>
        <w:spacing w:line="360" w:lineRule="auto"/>
        <w:ind w:left="-105" w:right="-105" w:firstLine="480"/>
        <w:rPr>
          <w:rFonts w:eastAsia="宋体"/>
          <w:color w:val="auto"/>
          <w:sz w:val="24"/>
          <w:highlight w:val="none"/>
          <w:lang w:bidi="zh-CN"/>
        </w:rPr>
      </w:pPr>
      <w:r>
        <w:rPr>
          <w:rFonts w:hint="eastAsia" w:eastAsia="宋体"/>
          <w:color w:val="auto"/>
          <w:sz w:val="24"/>
          <w:highlight w:val="none"/>
          <w:lang w:bidi="zh-CN"/>
        </w:rPr>
        <w:t>《危险废物贮存污染控制标准》（GB18597-2023）；</w:t>
      </w:r>
    </w:p>
    <w:p w14:paraId="17700892">
      <w:pPr>
        <w:pStyle w:val="97"/>
        <w:numPr>
          <w:ilvl w:val="0"/>
          <w:numId w:val="10"/>
        </w:numPr>
        <w:spacing w:line="360" w:lineRule="auto"/>
        <w:ind w:left="-105" w:right="-105" w:firstLine="480"/>
        <w:rPr>
          <w:rFonts w:eastAsia="宋体"/>
          <w:color w:val="auto"/>
          <w:sz w:val="24"/>
          <w:highlight w:val="none"/>
          <w:lang w:bidi="zh-CN"/>
        </w:rPr>
      </w:pPr>
      <w:r>
        <w:rPr>
          <w:rFonts w:hint="eastAsia" w:eastAsia="宋体"/>
          <w:color w:val="auto"/>
          <w:sz w:val="24"/>
          <w:highlight w:val="none"/>
          <w:lang w:bidi="zh-CN"/>
        </w:rPr>
        <w:t>《一般工业固体废物贮存和填埋污染控制标准》，GB18599-2020；</w:t>
      </w:r>
    </w:p>
    <w:p w14:paraId="1FA99EA8">
      <w:pPr>
        <w:pStyle w:val="97"/>
        <w:numPr>
          <w:ilvl w:val="0"/>
          <w:numId w:val="10"/>
        </w:numPr>
        <w:spacing w:line="360" w:lineRule="auto"/>
        <w:ind w:left="-105" w:right="-105" w:firstLine="480"/>
        <w:rPr>
          <w:rFonts w:eastAsia="宋体"/>
          <w:color w:val="auto"/>
          <w:sz w:val="24"/>
          <w:highlight w:val="none"/>
          <w:lang w:bidi="zh-CN"/>
        </w:rPr>
      </w:pPr>
      <w:r>
        <w:rPr>
          <w:rFonts w:hint="eastAsia" w:eastAsia="宋体"/>
          <w:color w:val="auto"/>
          <w:sz w:val="24"/>
          <w:highlight w:val="none"/>
          <w:lang w:bidi="zh-CN"/>
        </w:rPr>
        <w:t>《市政府关于无锡市区声环境功能区划分技术报告的批复》（锡政复[2011]97号）；</w:t>
      </w:r>
    </w:p>
    <w:p w14:paraId="4C85D2DA">
      <w:pPr>
        <w:pStyle w:val="97"/>
        <w:numPr>
          <w:ilvl w:val="0"/>
          <w:numId w:val="10"/>
        </w:numPr>
        <w:spacing w:line="360" w:lineRule="auto"/>
        <w:ind w:left="-105" w:right="-105" w:firstLine="480"/>
        <w:rPr>
          <w:rFonts w:eastAsia="宋体"/>
          <w:color w:val="auto"/>
          <w:sz w:val="24"/>
          <w:highlight w:val="none"/>
          <w:lang w:bidi="zh-CN"/>
        </w:rPr>
      </w:pPr>
      <w:r>
        <w:rPr>
          <w:rFonts w:hint="eastAsia" w:eastAsia="宋体"/>
          <w:color w:val="auto"/>
          <w:sz w:val="24"/>
          <w:highlight w:val="none"/>
          <w:lang w:bidi="zh-CN"/>
        </w:rPr>
        <w:t>《市政府办公室关于转发市环保局无锡市环境空气质量功能区划规划的通知》（锡政办发[2011]300号）；</w:t>
      </w:r>
    </w:p>
    <w:p w14:paraId="3576AF49">
      <w:pPr>
        <w:pStyle w:val="97"/>
        <w:numPr>
          <w:ilvl w:val="0"/>
          <w:numId w:val="10"/>
        </w:numPr>
        <w:spacing w:line="360" w:lineRule="auto"/>
        <w:ind w:left="-105" w:right="-105" w:firstLine="480"/>
        <w:rPr>
          <w:rFonts w:eastAsia="宋体"/>
          <w:color w:val="auto"/>
          <w:sz w:val="24"/>
          <w:highlight w:val="none"/>
          <w:lang w:bidi="zh-CN"/>
        </w:rPr>
      </w:pPr>
      <w:r>
        <w:rPr>
          <w:rFonts w:hint="eastAsia" w:eastAsia="宋体"/>
          <w:color w:val="auto"/>
          <w:sz w:val="24"/>
          <w:highlight w:val="none"/>
          <w:lang w:bidi="zh-CN"/>
        </w:rPr>
        <w:t>《建设项目危险废物环境影响评价指南》公告2017年第43号；</w:t>
      </w:r>
    </w:p>
    <w:p w14:paraId="42A5DA5A">
      <w:pPr>
        <w:pStyle w:val="97"/>
        <w:numPr>
          <w:ilvl w:val="0"/>
          <w:numId w:val="10"/>
        </w:numPr>
        <w:spacing w:line="360" w:lineRule="auto"/>
        <w:ind w:left="-105" w:right="-105" w:firstLine="480"/>
        <w:rPr>
          <w:rFonts w:eastAsia="宋体"/>
          <w:color w:val="auto"/>
          <w:sz w:val="24"/>
          <w:highlight w:val="none"/>
          <w:lang w:bidi="zh-CN"/>
        </w:rPr>
      </w:pPr>
      <w:r>
        <w:rPr>
          <w:rFonts w:hint="eastAsia" w:eastAsia="宋体"/>
          <w:color w:val="auto"/>
          <w:sz w:val="24"/>
          <w:highlight w:val="none"/>
          <w:lang w:bidi="zh-CN"/>
        </w:rPr>
        <w:t>《危险废物贮存污染控制标准》，GB18597-2023</w:t>
      </w:r>
    </w:p>
    <w:p w14:paraId="034518C2">
      <w:pPr>
        <w:pStyle w:val="97"/>
        <w:numPr>
          <w:ilvl w:val="0"/>
          <w:numId w:val="10"/>
        </w:numPr>
        <w:spacing w:line="360" w:lineRule="auto"/>
        <w:ind w:left="-105" w:right="-105" w:firstLine="480"/>
        <w:rPr>
          <w:rFonts w:eastAsia="宋体"/>
          <w:color w:val="auto"/>
          <w:sz w:val="24"/>
          <w:highlight w:val="none"/>
          <w:lang w:bidi="zh-CN"/>
        </w:rPr>
      </w:pPr>
      <w:r>
        <w:rPr>
          <w:rFonts w:hint="eastAsia" w:eastAsia="宋体"/>
          <w:color w:val="auto"/>
          <w:sz w:val="24"/>
          <w:highlight w:val="none"/>
          <w:lang w:bidi="zh-CN"/>
        </w:rPr>
        <w:t>《危险废物收集贮存运输技术规范》，HJ2025-2012；</w:t>
      </w:r>
    </w:p>
    <w:p w14:paraId="4041AD4B">
      <w:pPr>
        <w:pStyle w:val="97"/>
        <w:numPr>
          <w:ilvl w:val="0"/>
          <w:numId w:val="10"/>
        </w:numPr>
        <w:spacing w:line="360" w:lineRule="auto"/>
        <w:ind w:left="-105" w:right="-105" w:firstLine="480"/>
        <w:rPr>
          <w:rFonts w:eastAsia="宋体"/>
          <w:color w:val="auto"/>
          <w:sz w:val="24"/>
          <w:highlight w:val="none"/>
          <w:lang w:bidi="zh-CN"/>
        </w:rPr>
      </w:pPr>
      <w:r>
        <w:rPr>
          <w:rFonts w:hint="eastAsia" w:eastAsia="宋体"/>
          <w:color w:val="auto"/>
          <w:sz w:val="24"/>
          <w:highlight w:val="none"/>
          <w:lang w:bidi="zh-CN"/>
        </w:rPr>
        <w:t>《排污许可证申请与核发技术规范 总则》，HJ942-2018；</w:t>
      </w:r>
    </w:p>
    <w:p w14:paraId="1F1F53AF">
      <w:pPr>
        <w:pStyle w:val="97"/>
        <w:numPr>
          <w:ilvl w:val="0"/>
          <w:numId w:val="10"/>
        </w:numPr>
        <w:spacing w:line="360" w:lineRule="auto"/>
        <w:ind w:left="-105" w:right="-105" w:firstLine="480"/>
        <w:rPr>
          <w:rFonts w:eastAsia="宋体"/>
          <w:color w:val="auto"/>
          <w:sz w:val="24"/>
          <w:highlight w:val="none"/>
          <w:lang w:bidi="zh-CN"/>
        </w:rPr>
      </w:pPr>
      <w:r>
        <w:rPr>
          <w:rFonts w:hint="eastAsia" w:eastAsia="宋体"/>
          <w:color w:val="auto"/>
          <w:sz w:val="24"/>
          <w:highlight w:val="none"/>
          <w:lang w:bidi="zh-CN"/>
        </w:rPr>
        <w:t>《排污许可证申请与核发技术规范 电子工业》，HJ1031-2019；</w:t>
      </w:r>
    </w:p>
    <w:p w14:paraId="42CFB1F5">
      <w:pPr>
        <w:pStyle w:val="97"/>
        <w:numPr>
          <w:ilvl w:val="0"/>
          <w:numId w:val="10"/>
        </w:numPr>
        <w:spacing w:line="360" w:lineRule="auto"/>
        <w:ind w:left="-105" w:right="-105" w:firstLine="480"/>
        <w:rPr>
          <w:rFonts w:eastAsia="宋体"/>
          <w:color w:val="auto"/>
          <w:sz w:val="24"/>
          <w:highlight w:val="none"/>
          <w:lang w:bidi="zh-CN"/>
        </w:rPr>
      </w:pPr>
      <w:r>
        <w:rPr>
          <w:rFonts w:hint="eastAsia" w:eastAsia="宋体"/>
          <w:color w:val="auto"/>
          <w:sz w:val="24"/>
          <w:highlight w:val="none"/>
          <w:lang w:bidi="zh-CN"/>
        </w:rPr>
        <w:t>《排污许可证申请与核发技术规范 专用化学产品制造工业》，HJ1103-2020；</w:t>
      </w:r>
    </w:p>
    <w:p w14:paraId="766EE335">
      <w:pPr>
        <w:pStyle w:val="97"/>
        <w:numPr>
          <w:ilvl w:val="0"/>
          <w:numId w:val="10"/>
        </w:numPr>
        <w:spacing w:line="360" w:lineRule="auto"/>
        <w:ind w:left="-105" w:right="-105" w:firstLine="480"/>
        <w:rPr>
          <w:rFonts w:eastAsia="宋体"/>
          <w:color w:val="auto"/>
          <w:sz w:val="24"/>
          <w:highlight w:val="none"/>
          <w:lang w:bidi="zh-CN"/>
        </w:rPr>
      </w:pPr>
      <w:r>
        <w:rPr>
          <w:rFonts w:hint="eastAsia" w:eastAsia="宋体"/>
          <w:color w:val="auto"/>
          <w:sz w:val="24"/>
          <w:highlight w:val="none"/>
          <w:lang w:bidi="zh-CN"/>
        </w:rPr>
        <w:t>《排污单位自行监测技术指南 总则》，HJ819-2017；</w:t>
      </w:r>
    </w:p>
    <w:p w14:paraId="494B01F7">
      <w:pPr>
        <w:pStyle w:val="97"/>
        <w:numPr>
          <w:ilvl w:val="0"/>
          <w:numId w:val="10"/>
        </w:numPr>
        <w:spacing w:line="360" w:lineRule="auto"/>
        <w:ind w:left="-105" w:right="-105" w:firstLine="480"/>
        <w:rPr>
          <w:rFonts w:eastAsia="宋体"/>
          <w:color w:val="auto"/>
          <w:sz w:val="24"/>
          <w:highlight w:val="none"/>
          <w:lang w:bidi="zh-CN"/>
        </w:rPr>
      </w:pPr>
      <w:r>
        <w:rPr>
          <w:rFonts w:hint="eastAsia" w:eastAsia="宋体"/>
          <w:color w:val="auto"/>
          <w:sz w:val="24"/>
          <w:highlight w:val="none"/>
          <w:lang w:bidi="zh-CN"/>
        </w:rPr>
        <w:t>《排污单位自行监测技术指南 电子工业》，HJ1253-2022；</w:t>
      </w:r>
    </w:p>
    <w:p w14:paraId="68251C51">
      <w:pPr>
        <w:pStyle w:val="97"/>
        <w:numPr>
          <w:ilvl w:val="0"/>
          <w:numId w:val="10"/>
        </w:numPr>
        <w:spacing w:line="360" w:lineRule="auto"/>
        <w:ind w:left="-105" w:right="-105" w:firstLine="480"/>
        <w:rPr>
          <w:rFonts w:eastAsia="宋体"/>
          <w:color w:val="auto"/>
          <w:sz w:val="24"/>
          <w:highlight w:val="none"/>
          <w:lang w:bidi="zh-CN"/>
        </w:rPr>
      </w:pPr>
      <w:r>
        <w:rPr>
          <w:rFonts w:hint="eastAsia" w:eastAsia="宋体"/>
          <w:color w:val="auto"/>
          <w:sz w:val="24"/>
          <w:highlight w:val="none"/>
          <w:lang w:bidi="zh-CN"/>
        </w:rPr>
        <w:t>《排污许可证申请与核发技术规范 工业固体废物和危险废物治理》，HJ1033-2019。</w:t>
      </w:r>
    </w:p>
    <w:p w14:paraId="28C8F0FD">
      <w:pPr>
        <w:pStyle w:val="5"/>
        <w:keepLines w:val="0"/>
        <w:numPr>
          <w:ilvl w:val="2"/>
          <w:numId w:val="6"/>
        </w:numPr>
        <w:tabs>
          <w:tab w:val="left" w:pos="709"/>
        </w:tabs>
        <w:spacing w:before="120" w:beforeLines="50" w:after="0" w:line="360" w:lineRule="auto"/>
        <w:ind w:left="-105" w:right="-105"/>
        <w:rPr>
          <w:rFonts w:eastAsia="宋体"/>
          <w:color w:val="auto"/>
          <w:sz w:val="28"/>
          <w:szCs w:val="28"/>
          <w:highlight w:val="none"/>
        </w:rPr>
      </w:pPr>
      <w:bookmarkStart w:id="93" w:name="_Toc60653444"/>
      <w:r>
        <w:rPr>
          <w:rFonts w:eastAsia="宋体"/>
          <w:color w:val="auto"/>
          <w:sz w:val="28"/>
          <w:szCs w:val="28"/>
          <w:highlight w:val="none"/>
        </w:rPr>
        <w:t>有关技术文件</w:t>
      </w:r>
      <w:bookmarkEnd w:id="93"/>
    </w:p>
    <w:p w14:paraId="14E47FAE">
      <w:pPr>
        <w:pStyle w:val="97"/>
        <w:numPr>
          <w:ilvl w:val="0"/>
          <w:numId w:val="11"/>
        </w:numPr>
        <w:spacing w:line="360" w:lineRule="auto"/>
        <w:ind w:left="-105" w:right="-105" w:firstLine="480"/>
        <w:rPr>
          <w:rFonts w:eastAsia="宋体"/>
          <w:color w:val="auto"/>
          <w:sz w:val="24"/>
          <w:highlight w:val="none"/>
          <w:lang w:bidi="zh-CN"/>
        </w:rPr>
      </w:pPr>
      <w:r>
        <w:rPr>
          <w:rFonts w:hint="eastAsia" w:eastAsia="宋体"/>
          <w:color w:val="auto"/>
          <w:sz w:val="24"/>
          <w:highlight w:val="none"/>
          <w:lang w:bidi="zh-CN"/>
        </w:rPr>
        <w:t>环境影响报告书编制合同；</w:t>
      </w:r>
    </w:p>
    <w:p w14:paraId="2ED0A5BA">
      <w:pPr>
        <w:pStyle w:val="97"/>
        <w:numPr>
          <w:ilvl w:val="0"/>
          <w:numId w:val="11"/>
        </w:numPr>
        <w:spacing w:line="360" w:lineRule="auto"/>
        <w:ind w:left="-105" w:right="-105" w:firstLine="480"/>
        <w:rPr>
          <w:rFonts w:eastAsia="宋体"/>
          <w:color w:val="auto"/>
          <w:sz w:val="24"/>
          <w:highlight w:val="none"/>
          <w:lang w:bidi="zh-CN"/>
        </w:rPr>
      </w:pPr>
      <w:r>
        <w:rPr>
          <w:rFonts w:hint="eastAsia" w:eastAsia="宋体"/>
          <w:color w:val="auto"/>
          <w:sz w:val="24"/>
          <w:highlight w:val="none"/>
          <w:lang w:bidi="zh-CN"/>
        </w:rPr>
        <w:t>检测报告；</w:t>
      </w:r>
    </w:p>
    <w:p w14:paraId="768D6197">
      <w:pPr>
        <w:pStyle w:val="97"/>
        <w:numPr>
          <w:ilvl w:val="0"/>
          <w:numId w:val="11"/>
        </w:numPr>
        <w:spacing w:line="360" w:lineRule="auto"/>
        <w:ind w:left="-105" w:right="-105" w:firstLine="480"/>
        <w:rPr>
          <w:rFonts w:eastAsia="宋体"/>
          <w:color w:val="auto"/>
          <w:sz w:val="24"/>
          <w:highlight w:val="none"/>
          <w:lang w:bidi="zh-CN"/>
        </w:rPr>
      </w:pPr>
      <w:r>
        <w:rPr>
          <w:rFonts w:hint="eastAsia" w:eastAsia="宋体"/>
          <w:color w:val="auto"/>
          <w:sz w:val="24"/>
          <w:highlight w:val="none"/>
          <w:lang w:bidi="zh-CN"/>
        </w:rPr>
        <w:t>原环境影响评价文件；</w:t>
      </w:r>
    </w:p>
    <w:p w14:paraId="36D9848B">
      <w:pPr>
        <w:pStyle w:val="97"/>
        <w:numPr>
          <w:ilvl w:val="0"/>
          <w:numId w:val="11"/>
        </w:numPr>
        <w:spacing w:line="360" w:lineRule="auto"/>
        <w:ind w:left="-105" w:right="-105" w:firstLine="480"/>
        <w:rPr>
          <w:rFonts w:eastAsia="宋体"/>
          <w:color w:val="auto"/>
          <w:sz w:val="24"/>
          <w:highlight w:val="none"/>
          <w:lang w:bidi="zh-CN"/>
        </w:rPr>
      </w:pPr>
      <w:r>
        <w:rPr>
          <w:rFonts w:hint="eastAsia" w:eastAsia="宋体"/>
          <w:color w:val="auto"/>
          <w:sz w:val="24"/>
          <w:highlight w:val="none"/>
          <w:lang w:bidi="zh-CN"/>
        </w:rPr>
        <w:t>企业提供的其他技术资料；</w:t>
      </w:r>
    </w:p>
    <w:p w14:paraId="0DB33F78">
      <w:pPr>
        <w:pStyle w:val="97"/>
        <w:numPr>
          <w:ilvl w:val="0"/>
          <w:numId w:val="11"/>
        </w:numPr>
        <w:spacing w:line="360" w:lineRule="auto"/>
        <w:ind w:left="-105" w:right="-105" w:firstLine="480"/>
        <w:rPr>
          <w:rFonts w:eastAsia="宋体"/>
          <w:color w:val="auto"/>
          <w:sz w:val="24"/>
          <w:highlight w:val="none"/>
          <w:lang w:bidi="zh-CN"/>
        </w:rPr>
      </w:pPr>
      <w:r>
        <w:rPr>
          <w:rFonts w:hint="eastAsia" w:eastAsia="宋体"/>
          <w:color w:val="auto"/>
          <w:sz w:val="24"/>
          <w:highlight w:val="none"/>
          <w:lang w:bidi="zh-CN"/>
        </w:rPr>
        <w:t>企业《岩土工程勘察报告》（无锡高新工程检测有限公司2012.1.17）。</w:t>
      </w:r>
    </w:p>
    <w:p w14:paraId="68AC893A">
      <w:pPr>
        <w:pStyle w:val="4"/>
        <w:numPr>
          <w:ilvl w:val="1"/>
          <w:numId w:val="6"/>
        </w:numPr>
        <w:tabs>
          <w:tab w:val="left" w:pos="426"/>
        </w:tabs>
        <w:spacing w:before="120" w:beforeLines="50" w:after="120" w:afterLines="50" w:line="360" w:lineRule="auto"/>
        <w:ind w:left="-105" w:right="-105"/>
        <w:rPr>
          <w:rFonts w:ascii="Times New Roman" w:eastAsia="宋体"/>
          <w:color w:val="auto"/>
          <w:sz w:val="28"/>
          <w:szCs w:val="28"/>
          <w:highlight w:val="none"/>
        </w:rPr>
      </w:pPr>
      <w:bookmarkStart w:id="94" w:name="_Toc60653445"/>
      <w:bookmarkStart w:id="95" w:name="_Toc9022"/>
      <w:bookmarkStart w:id="96" w:name="_Toc352006404"/>
      <w:bookmarkStart w:id="97" w:name="_Toc139356097"/>
      <w:bookmarkStart w:id="98" w:name="_Toc327968199"/>
      <w:bookmarkStart w:id="99" w:name="_Toc28093"/>
      <w:bookmarkStart w:id="100" w:name="_Toc97409479"/>
      <w:bookmarkStart w:id="101" w:name="_Toc125882610"/>
      <w:bookmarkStart w:id="102" w:name="_Toc116115773"/>
      <w:bookmarkStart w:id="103" w:name="_Toc52622987"/>
      <w:bookmarkStart w:id="104" w:name="_Toc96756572"/>
      <w:bookmarkStart w:id="105" w:name="_Toc52622844"/>
      <w:r>
        <w:rPr>
          <w:rFonts w:ascii="Times New Roman" w:eastAsia="宋体"/>
          <w:color w:val="auto"/>
          <w:sz w:val="28"/>
          <w:szCs w:val="28"/>
          <w:highlight w:val="none"/>
        </w:rPr>
        <w:t>评价目的及原则</w:t>
      </w:r>
      <w:bookmarkEnd w:id="94"/>
      <w:bookmarkEnd w:id="95"/>
      <w:bookmarkEnd w:id="96"/>
      <w:bookmarkEnd w:id="97"/>
      <w:bookmarkEnd w:id="98"/>
      <w:bookmarkEnd w:id="99"/>
    </w:p>
    <w:bookmarkEnd w:id="100"/>
    <w:bookmarkEnd w:id="101"/>
    <w:bookmarkEnd w:id="102"/>
    <w:bookmarkEnd w:id="103"/>
    <w:bookmarkEnd w:id="104"/>
    <w:bookmarkEnd w:id="105"/>
    <w:p w14:paraId="5190E299">
      <w:pPr>
        <w:pStyle w:val="5"/>
        <w:keepLines w:val="0"/>
        <w:numPr>
          <w:ilvl w:val="2"/>
          <w:numId w:val="6"/>
        </w:numPr>
        <w:tabs>
          <w:tab w:val="left" w:pos="709"/>
        </w:tabs>
        <w:spacing w:before="120" w:beforeLines="50" w:after="0" w:line="360" w:lineRule="auto"/>
        <w:ind w:left="-105" w:right="-105"/>
        <w:rPr>
          <w:rFonts w:eastAsia="宋体"/>
          <w:color w:val="auto"/>
          <w:sz w:val="28"/>
          <w:szCs w:val="28"/>
          <w:highlight w:val="none"/>
        </w:rPr>
      </w:pPr>
      <w:bookmarkStart w:id="106" w:name="_Toc30242"/>
      <w:bookmarkStart w:id="107" w:name="_Toc327968200"/>
      <w:bookmarkStart w:id="108" w:name="_Toc60653446"/>
      <w:bookmarkStart w:id="109" w:name="_Toc352006405"/>
      <w:bookmarkStart w:id="110" w:name="_Toc125882611"/>
      <w:bookmarkStart w:id="111" w:name="_Toc23604718"/>
      <w:bookmarkStart w:id="112" w:name="_Toc23604806"/>
      <w:bookmarkStart w:id="113" w:name="_Toc23933429"/>
      <w:bookmarkStart w:id="114" w:name="_Toc23738044"/>
      <w:bookmarkStart w:id="115" w:name="_Toc23933252"/>
      <w:bookmarkStart w:id="116" w:name="_Toc23933486"/>
      <w:bookmarkStart w:id="117" w:name="_Toc23673842"/>
      <w:bookmarkStart w:id="118" w:name="_Toc23673996"/>
      <w:bookmarkStart w:id="119" w:name="_Toc22899960"/>
      <w:r>
        <w:rPr>
          <w:rFonts w:eastAsia="宋体"/>
          <w:color w:val="auto"/>
          <w:sz w:val="28"/>
          <w:szCs w:val="28"/>
          <w:highlight w:val="none"/>
        </w:rPr>
        <w:t>评价目的</w:t>
      </w:r>
    </w:p>
    <w:p w14:paraId="2AD5037C">
      <w:pPr>
        <w:spacing w:line="360" w:lineRule="auto"/>
        <w:ind w:left="-105" w:right="-105" w:firstLine="480" w:firstLineChars="200"/>
        <w:rPr>
          <w:rFonts w:ascii="Times New Roman" w:hAnsi="Times New Roman" w:cs="Times New Roman"/>
          <w:color w:val="auto"/>
          <w:highlight w:val="none"/>
        </w:rPr>
      </w:pPr>
      <w:r>
        <w:rPr>
          <w:rFonts w:ascii="Times New Roman" w:hAnsi="Times New Roman" w:cs="Times New Roman"/>
          <w:color w:val="auto"/>
          <w:highlight w:val="none"/>
        </w:rPr>
        <w:t>(1)通过对建设项目的工程分析，确定项目各生产过程中的污染源特征，主要污染因子及其发生量。</w:t>
      </w:r>
    </w:p>
    <w:p w14:paraId="4D641489">
      <w:pPr>
        <w:spacing w:line="360" w:lineRule="auto"/>
        <w:ind w:left="-105" w:right="-105" w:firstLine="480" w:firstLineChars="200"/>
        <w:rPr>
          <w:rFonts w:ascii="Times New Roman" w:hAnsi="Times New Roman" w:cs="Times New Roman"/>
          <w:color w:val="auto"/>
          <w:highlight w:val="none"/>
        </w:rPr>
      </w:pPr>
      <w:r>
        <w:rPr>
          <w:rFonts w:ascii="Times New Roman" w:hAnsi="Times New Roman" w:cs="Times New Roman"/>
          <w:color w:val="auto"/>
          <w:highlight w:val="none"/>
        </w:rPr>
        <w:t>(2)通过调查掌握拟建项目所在地自然环境及大气、水、噪声等主要环境要素的质量现状。</w:t>
      </w:r>
    </w:p>
    <w:p w14:paraId="6C7E4E3C">
      <w:pPr>
        <w:spacing w:line="360" w:lineRule="auto"/>
        <w:ind w:left="-105" w:right="-105" w:firstLine="480" w:firstLineChars="200"/>
        <w:rPr>
          <w:rFonts w:ascii="Times New Roman" w:hAnsi="Times New Roman" w:cs="Times New Roman"/>
          <w:color w:val="auto"/>
          <w:highlight w:val="none"/>
        </w:rPr>
      </w:pPr>
      <w:r>
        <w:rPr>
          <w:rFonts w:ascii="Times New Roman" w:hAnsi="Times New Roman" w:cs="Times New Roman"/>
          <w:color w:val="auto"/>
          <w:highlight w:val="none"/>
        </w:rPr>
        <w:t>(3)预测和评价该项目营运期</w:t>
      </w:r>
      <w:r>
        <w:rPr>
          <w:rFonts w:hint="eastAsia" w:ascii="Times New Roman" w:hAnsi="Times New Roman"/>
          <w:color w:val="auto"/>
          <w:highlight w:val="none"/>
        </w:rPr>
        <w:t>”</w:t>
      </w:r>
      <w:r>
        <w:rPr>
          <w:rFonts w:ascii="Times New Roman" w:hAnsi="Times New Roman" w:cs="Times New Roman"/>
          <w:color w:val="auto"/>
          <w:highlight w:val="none"/>
        </w:rPr>
        <w:t>对评价范围内大气、水、声等主要环境要素的影响范围及影响程度。</w:t>
      </w:r>
    </w:p>
    <w:p w14:paraId="7D891D39">
      <w:pPr>
        <w:spacing w:line="360" w:lineRule="auto"/>
        <w:ind w:left="-105" w:right="-105" w:firstLine="480" w:firstLineChars="200"/>
        <w:rPr>
          <w:rFonts w:ascii="Times New Roman" w:hAnsi="Times New Roman" w:cs="Times New Roman"/>
          <w:color w:val="auto"/>
          <w:highlight w:val="none"/>
        </w:rPr>
      </w:pPr>
      <w:r>
        <w:rPr>
          <w:rFonts w:ascii="Times New Roman" w:hAnsi="Times New Roman" w:cs="Times New Roman"/>
          <w:color w:val="auto"/>
          <w:highlight w:val="none"/>
        </w:rPr>
        <w:t>(4)提出控制和缓解污染影响的对策建议，对环境保护措施的可行性作出明确的结论，作为项目建设和环保管理的科学依据。</w:t>
      </w:r>
    </w:p>
    <w:p w14:paraId="490B12C8">
      <w:pPr>
        <w:pStyle w:val="5"/>
        <w:keepLines w:val="0"/>
        <w:numPr>
          <w:ilvl w:val="2"/>
          <w:numId w:val="6"/>
        </w:numPr>
        <w:tabs>
          <w:tab w:val="left" w:pos="709"/>
        </w:tabs>
        <w:spacing w:before="120" w:beforeLines="50" w:after="0" w:line="360" w:lineRule="auto"/>
        <w:ind w:left="-105" w:right="-105"/>
        <w:rPr>
          <w:rFonts w:eastAsia="宋体"/>
          <w:color w:val="auto"/>
          <w:sz w:val="28"/>
          <w:szCs w:val="28"/>
          <w:highlight w:val="none"/>
        </w:rPr>
      </w:pPr>
      <w:r>
        <w:rPr>
          <w:rFonts w:eastAsia="宋体"/>
          <w:color w:val="auto"/>
          <w:sz w:val="28"/>
          <w:szCs w:val="28"/>
          <w:highlight w:val="none"/>
        </w:rPr>
        <w:t>评价原则</w:t>
      </w:r>
    </w:p>
    <w:p w14:paraId="4CDB7EA7">
      <w:pPr>
        <w:spacing w:line="360" w:lineRule="auto"/>
        <w:ind w:left="-105" w:right="-105" w:firstLine="480" w:firstLineChars="200"/>
        <w:rPr>
          <w:rFonts w:ascii="Times New Roman" w:hAnsi="Times New Roman" w:cs="Times New Roman"/>
          <w:color w:val="auto"/>
          <w:highlight w:val="none"/>
        </w:rPr>
      </w:pPr>
      <w:r>
        <w:rPr>
          <w:rFonts w:ascii="Times New Roman" w:hAnsi="Times New Roman" w:cs="Times New Roman"/>
          <w:color w:val="auto"/>
          <w:highlight w:val="none"/>
        </w:rPr>
        <w:t>突出环境影响评价的源头预防作用，坚持保护和改善环境质量。</w:t>
      </w:r>
    </w:p>
    <w:p w14:paraId="0BF13F48">
      <w:pPr>
        <w:spacing w:line="360" w:lineRule="auto"/>
        <w:ind w:left="-105" w:right="-105" w:firstLine="480" w:firstLineChars="200"/>
        <w:rPr>
          <w:rFonts w:ascii="Times New Roman" w:hAnsi="Times New Roman" w:cs="Times New Roman"/>
          <w:color w:val="auto"/>
          <w:highlight w:val="none"/>
        </w:rPr>
      </w:pPr>
      <w:r>
        <w:rPr>
          <w:rFonts w:ascii="Times New Roman" w:hAnsi="Times New Roman" w:cs="Times New Roman"/>
          <w:color w:val="auto"/>
          <w:highlight w:val="none"/>
        </w:rPr>
        <w:t>a)依法评价</w:t>
      </w:r>
    </w:p>
    <w:p w14:paraId="7545BE55">
      <w:pPr>
        <w:spacing w:line="360" w:lineRule="auto"/>
        <w:ind w:left="-105" w:right="-105" w:firstLine="480" w:firstLineChars="200"/>
        <w:rPr>
          <w:rFonts w:ascii="Times New Roman" w:hAnsi="Times New Roman" w:cs="Times New Roman"/>
          <w:color w:val="auto"/>
          <w:highlight w:val="none"/>
        </w:rPr>
      </w:pPr>
      <w:r>
        <w:rPr>
          <w:rFonts w:ascii="Times New Roman" w:hAnsi="Times New Roman" w:cs="Times New Roman"/>
          <w:color w:val="auto"/>
          <w:highlight w:val="none"/>
        </w:rPr>
        <w:t>贯彻执行我国环境保护相关法律法规、标准、政策和规划等，优化项目建设，服务环境管理。</w:t>
      </w:r>
    </w:p>
    <w:p w14:paraId="106D4A3E">
      <w:pPr>
        <w:spacing w:line="360" w:lineRule="auto"/>
        <w:ind w:left="-105" w:right="-105" w:firstLine="480" w:firstLineChars="200"/>
        <w:rPr>
          <w:rFonts w:ascii="Times New Roman" w:hAnsi="Times New Roman" w:cs="Times New Roman"/>
          <w:color w:val="auto"/>
          <w:highlight w:val="none"/>
        </w:rPr>
      </w:pPr>
      <w:r>
        <w:rPr>
          <w:rFonts w:ascii="Times New Roman" w:hAnsi="Times New Roman" w:cs="Times New Roman"/>
          <w:color w:val="auto"/>
          <w:highlight w:val="none"/>
        </w:rPr>
        <w:t>b)科学评价</w:t>
      </w:r>
    </w:p>
    <w:p w14:paraId="1E45843E">
      <w:pPr>
        <w:spacing w:line="360" w:lineRule="auto"/>
        <w:ind w:left="-105" w:right="-105" w:firstLine="480" w:firstLineChars="200"/>
        <w:rPr>
          <w:rFonts w:ascii="Times New Roman" w:hAnsi="Times New Roman" w:cs="Times New Roman"/>
          <w:color w:val="auto"/>
          <w:highlight w:val="none"/>
        </w:rPr>
      </w:pPr>
      <w:r>
        <w:rPr>
          <w:rFonts w:ascii="Times New Roman" w:hAnsi="Times New Roman" w:cs="Times New Roman"/>
          <w:color w:val="auto"/>
          <w:highlight w:val="none"/>
        </w:rPr>
        <w:t>规范环境影响评价方法，科学分析项目建设对环境质量的影响。</w:t>
      </w:r>
    </w:p>
    <w:p w14:paraId="659D8897">
      <w:pPr>
        <w:spacing w:line="360" w:lineRule="auto"/>
        <w:ind w:left="-105" w:right="-105" w:firstLine="480" w:firstLineChars="200"/>
        <w:rPr>
          <w:rFonts w:ascii="Times New Roman" w:hAnsi="Times New Roman" w:cs="Times New Roman"/>
          <w:color w:val="auto"/>
          <w:highlight w:val="none"/>
        </w:rPr>
      </w:pPr>
      <w:r>
        <w:rPr>
          <w:rFonts w:ascii="Times New Roman" w:hAnsi="Times New Roman" w:cs="Times New Roman"/>
          <w:color w:val="auto"/>
          <w:highlight w:val="none"/>
        </w:rPr>
        <w:t>c)突出重点</w:t>
      </w:r>
    </w:p>
    <w:p w14:paraId="688D45B7">
      <w:pPr>
        <w:spacing w:line="360" w:lineRule="auto"/>
        <w:ind w:left="-105" w:right="-105" w:firstLine="480" w:firstLineChars="200"/>
        <w:rPr>
          <w:rFonts w:ascii="Times New Roman" w:hAnsi="Times New Roman" w:cs="Times New Roman"/>
          <w:color w:val="auto"/>
          <w:highlight w:val="none"/>
        </w:rPr>
      </w:pPr>
      <w:r>
        <w:rPr>
          <w:rFonts w:ascii="Times New Roman" w:hAnsi="Times New Roman" w:cs="Times New Roman"/>
          <w:color w:val="auto"/>
          <w:highlight w:val="none"/>
        </w:rPr>
        <w:t>根据建设项目的工程内容及其特点，明确与环境要素间的作用效应关系，根据规划环境影响评价结论和审查意见，充分利用符合时效的数据资料及成果，对建设项目主要环境影响予以重点分析和评价。</w:t>
      </w:r>
    </w:p>
    <w:p w14:paraId="66D97B64">
      <w:pPr>
        <w:ind w:left="-105" w:right="-105"/>
        <w:rPr>
          <w:rFonts w:ascii="Times New Roman" w:hAnsi="Times New Roman" w:cs="Times New Roman"/>
          <w:color w:val="auto"/>
          <w:highlight w:val="none"/>
        </w:rPr>
      </w:pPr>
      <w:r>
        <w:rPr>
          <w:rFonts w:ascii="Times New Roman" w:hAnsi="Times New Roman" w:cs="Times New Roman"/>
          <w:color w:val="auto"/>
          <w:highlight w:val="none"/>
        </w:rPr>
        <w:br w:type="page"/>
      </w:r>
    </w:p>
    <w:p w14:paraId="6FDD9086">
      <w:pPr>
        <w:pStyle w:val="4"/>
        <w:numPr>
          <w:ilvl w:val="1"/>
          <w:numId w:val="6"/>
        </w:numPr>
        <w:tabs>
          <w:tab w:val="left" w:pos="426"/>
        </w:tabs>
        <w:spacing w:before="120" w:beforeLines="50" w:line="360" w:lineRule="auto"/>
        <w:ind w:left="-105" w:right="-105"/>
        <w:rPr>
          <w:rFonts w:ascii="Times New Roman" w:eastAsia="宋体"/>
          <w:color w:val="auto"/>
          <w:sz w:val="28"/>
          <w:szCs w:val="28"/>
          <w:highlight w:val="none"/>
        </w:rPr>
      </w:pPr>
      <w:bookmarkStart w:id="120" w:name="_Toc31409"/>
      <w:r>
        <w:rPr>
          <w:rFonts w:ascii="Times New Roman" w:eastAsia="宋体"/>
          <w:color w:val="auto"/>
          <w:sz w:val="28"/>
          <w:szCs w:val="28"/>
          <w:highlight w:val="none"/>
        </w:rPr>
        <w:t>评价因子与评价标准</w:t>
      </w:r>
      <w:bookmarkEnd w:id="106"/>
      <w:bookmarkEnd w:id="107"/>
      <w:bookmarkEnd w:id="108"/>
      <w:bookmarkEnd w:id="109"/>
      <w:bookmarkEnd w:id="120"/>
    </w:p>
    <w:p w14:paraId="1753A632">
      <w:pPr>
        <w:pStyle w:val="5"/>
        <w:keepLines w:val="0"/>
        <w:numPr>
          <w:ilvl w:val="2"/>
          <w:numId w:val="6"/>
        </w:numPr>
        <w:tabs>
          <w:tab w:val="left" w:pos="709"/>
        </w:tabs>
        <w:spacing w:before="120" w:beforeLines="50" w:after="0" w:line="360" w:lineRule="auto"/>
        <w:ind w:left="-105" w:right="-105"/>
        <w:rPr>
          <w:rFonts w:eastAsia="宋体"/>
          <w:color w:val="auto"/>
          <w:sz w:val="28"/>
          <w:szCs w:val="28"/>
          <w:highlight w:val="none"/>
        </w:rPr>
      </w:pPr>
      <w:bookmarkStart w:id="121" w:name="_Toc60653447"/>
      <w:r>
        <w:rPr>
          <w:rFonts w:eastAsia="宋体"/>
          <w:color w:val="auto"/>
          <w:sz w:val="28"/>
          <w:szCs w:val="28"/>
          <w:highlight w:val="none"/>
        </w:rPr>
        <w:t>评价因子</w:t>
      </w:r>
      <w:bookmarkEnd w:id="121"/>
    </w:p>
    <w:p w14:paraId="574C7B40">
      <w:pPr>
        <w:pStyle w:val="6"/>
        <w:keepLines w:val="0"/>
        <w:widowControl/>
        <w:numPr>
          <w:ilvl w:val="0"/>
          <w:numId w:val="0"/>
        </w:numPr>
        <w:tabs>
          <w:tab w:val="left" w:pos="0"/>
          <w:tab w:val="left" w:pos="2550"/>
        </w:tabs>
        <w:spacing w:before="120" w:beforeLines="50" w:after="120" w:afterLines="50" w:line="360" w:lineRule="auto"/>
        <w:ind w:right="-105"/>
        <w:rPr>
          <w:rFonts w:ascii="Times New Roman" w:hAnsi="Times New Roman"/>
          <w:color w:val="auto"/>
          <w:sz w:val="24"/>
          <w:szCs w:val="24"/>
          <w:highlight w:val="none"/>
        </w:rPr>
      </w:pPr>
      <w:r>
        <w:rPr>
          <w:rFonts w:ascii="Times New Roman" w:hAnsi="Times New Roman"/>
          <w:color w:val="auto"/>
          <w:sz w:val="24"/>
          <w:szCs w:val="24"/>
          <w:highlight w:val="none"/>
        </w:rPr>
        <w:t>2.3.1.1环境影响因素识别</w:t>
      </w:r>
    </w:p>
    <w:p w14:paraId="1D3361D4">
      <w:pPr>
        <w:spacing w:line="360" w:lineRule="auto"/>
        <w:ind w:left="-105" w:right="-105" w:firstLine="480" w:firstLineChars="200"/>
        <w:rPr>
          <w:rFonts w:ascii="Times New Roman" w:hAnsi="Times New Roman"/>
          <w:color w:val="auto"/>
          <w:highlight w:val="none"/>
        </w:rPr>
      </w:pPr>
      <w:r>
        <w:rPr>
          <w:rFonts w:ascii="Times New Roman" w:hAnsi="Times New Roman"/>
          <w:color w:val="auto"/>
          <w:highlight w:val="none"/>
        </w:rPr>
        <w:t>根据《环境影响评价技术导则 总纲》（HJ 2.1-2016），本项目涉及的环境要素详见</w:t>
      </w:r>
      <w:r>
        <w:rPr>
          <w:rFonts w:hint="eastAsia" w:ascii="Times New Roman" w:hAnsi="Times New Roman"/>
          <w:color w:val="auto"/>
          <w:highlight w:val="none"/>
        </w:rPr>
        <w:t>下表</w:t>
      </w:r>
      <w:r>
        <w:rPr>
          <w:rFonts w:ascii="Times New Roman" w:hAnsi="Times New Roman"/>
          <w:color w:val="auto"/>
          <w:highlight w:val="none"/>
        </w:rPr>
        <w:t>。</w:t>
      </w:r>
    </w:p>
    <w:p w14:paraId="28C88B5B">
      <w:pPr>
        <w:pStyle w:val="15"/>
        <w:spacing w:line="360" w:lineRule="auto"/>
        <w:ind w:left="-105" w:right="-105" w:firstLine="482"/>
        <w:rPr>
          <w:rFonts w:eastAsia="宋体" w:cs="Times New Roman"/>
          <w:b w:val="0"/>
          <w:color w:val="auto"/>
          <w:sz w:val="24"/>
          <w:szCs w:val="18"/>
          <w:highlight w:val="none"/>
        </w:rPr>
      </w:pPr>
      <w:bookmarkStart w:id="122" w:name="_Ref424206132"/>
      <w:r>
        <w:rPr>
          <w:rFonts w:eastAsia="宋体" w:cs="Times New Roman"/>
          <w:color w:val="auto"/>
          <w:sz w:val="24"/>
          <w:szCs w:val="18"/>
          <w:highlight w:val="none"/>
        </w:rPr>
        <w:t>表</w:t>
      </w:r>
      <w:r>
        <w:rPr>
          <w:rFonts w:eastAsia="宋体" w:cs="Times New Roman"/>
          <w:color w:val="auto"/>
          <w:sz w:val="24"/>
          <w:szCs w:val="18"/>
          <w:highlight w:val="none"/>
        </w:rPr>
        <w:fldChar w:fldCharType="begin"/>
      </w:r>
      <w:r>
        <w:rPr>
          <w:rFonts w:eastAsia="宋体" w:cs="Times New Roman"/>
          <w:color w:val="auto"/>
          <w:sz w:val="24"/>
          <w:szCs w:val="18"/>
          <w:highlight w:val="none"/>
        </w:rPr>
        <w:instrText xml:space="preserve"> STYLEREF 2 \s </w:instrText>
      </w:r>
      <w:r>
        <w:rPr>
          <w:rFonts w:eastAsia="宋体" w:cs="Times New Roman"/>
          <w:color w:val="auto"/>
          <w:sz w:val="24"/>
          <w:szCs w:val="18"/>
          <w:highlight w:val="none"/>
        </w:rPr>
        <w:fldChar w:fldCharType="separate"/>
      </w:r>
      <w:r>
        <w:rPr>
          <w:rFonts w:eastAsia="宋体" w:cs="Times New Roman"/>
          <w:color w:val="auto"/>
          <w:sz w:val="24"/>
          <w:szCs w:val="18"/>
          <w:highlight w:val="none"/>
        </w:rPr>
        <w:t>2.3</w:t>
      </w:r>
      <w:r>
        <w:rPr>
          <w:rFonts w:eastAsia="宋体" w:cs="Times New Roman"/>
          <w:color w:val="auto"/>
          <w:sz w:val="24"/>
          <w:szCs w:val="18"/>
          <w:highlight w:val="none"/>
        </w:rPr>
        <w:fldChar w:fldCharType="end"/>
      </w:r>
      <w:r>
        <w:rPr>
          <w:rFonts w:eastAsia="宋体" w:cs="Times New Roman"/>
          <w:color w:val="auto"/>
          <w:sz w:val="24"/>
          <w:szCs w:val="18"/>
          <w:highlight w:val="none"/>
        </w:rPr>
        <w:noBreakHyphen/>
      </w:r>
      <w:r>
        <w:rPr>
          <w:rFonts w:eastAsia="宋体" w:cs="Times New Roman"/>
          <w:color w:val="auto"/>
          <w:sz w:val="24"/>
          <w:szCs w:val="18"/>
          <w:highlight w:val="none"/>
        </w:rPr>
        <w:fldChar w:fldCharType="begin"/>
      </w:r>
      <w:r>
        <w:rPr>
          <w:rFonts w:eastAsia="宋体" w:cs="Times New Roman"/>
          <w:color w:val="auto"/>
          <w:sz w:val="24"/>
          <w:szCs w:val="18"/>
          <w:highlight w:val="none"/>
        </w:rPr>
        <w:instrText xml:space="preserve"> SEQ 表 \* ARABIC \s 2 </w:instrText>
      </w:r>
      <w:r>
        <w:rPr>
          <w:rFonts w:eastAsia="宋体" w:cs="Times New Roman"/>
          <w:color w:val="auto"/>
          <w:sz w:val="24"/>
          <w:szCs w:val="18"/>
          <w:highlight w:val="none"/>
        </w:rPr>
        <w:fldChar w:fldCharType="separate"/>
      </w:r>
      <w:r>
        <w:rPr>
          <w:rFonts w:eastAsia="宋体" w:cs="Times New Roman"/>
          <w:color w:val="auto"/>
          <w:sz w:val="24"/>
          <w:szCs w:val="18"/>
          <w:highlight w:val="none"/>
        </w:rPr>
        <w:t>1</w:t>
      </w:r>
      <w:r>
        <w:rPr>
          <w:rFonts w:eastAsia="宋体" w:cs="Times New Roman"/>
          <w:color w:val="auto"/>
          <w:sz w:val="24"/>
          <w:szCs w:val="18"/>
          <w:highlight w:val="none"/>
        </w:rPr>
        <w:fldChar w:fldCharType="end"/>
      </w:r>
      <w:bookmarkEnd w:id="122"/>
      <w:r>
        <w:rPr>
          <w:rFonts w:eastAsia="宋体" w:cs="Times New Roman"/>
          <w:color w:val="auto"/>
          <w:sz w:val="24"/>
          <w:szCs w:val="18"/>
          <w:highlight w:val="none"/>
        </w:rPr>
        <w:t>本项目环境影响因子识别</w:t>
      </w:r>
    </w:p>
    <w:tbl>
      <w:tblPr>
        <w:tblStyle w:val="45"/>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0" w:type="dxa"/>
          <w:bottom w:w="0" w:type="dxa"/>
          <w:right w:w="0" w:type="dxa"/>
        </w:tblCellMar>
      </w:tblPr>
      <w:tblGrid>
        <w:gridCol w:w="459"/>
        <w:gridCol w:w="1334"/>
        <w:gridCol w:w="742"/>
        <w:gridCol w:w="742"/>
        <w:gridCol w:w="742"/>
        <w:gridCol w:w="742"/>
        <w:gridCol w:w="759"/>
        <w:gridCol w:w="680"/>
        <w:gridCol w:w="680"/>
        <w:gridCol w:w="680"/>
        <w:gridCol w:w="944"/>
      </w:tblGrid>
      <w:tr w14:paraId="08F6A89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74" w:hRule="atLeast"/>
          <w:tblHeader/>
          <w:jc w:val="center"/>
        </w:trPr>
        <w:tc>
          <w:tcPr>
            <w:tcW w:w="1054" w:type="pct"/>
            <w:gridSpan w:val="2"/>
            <w:vMerge w:val="restart"/>
            <w:tcBorders>
              <w:tl2br w:val="nil"/>
              <w:tr2bl w:val="nil"/>
            </w:tcBorders>
            <w:vAlign w:val="center"/>
            <mc:AlternateContent>
              <mc:Choice Requires="wpsCustomData">
                <wpsCustomData:diagonals>
                  <wpsCustomData:diagonal from="10000" to="30000">
                    <wpsCustomData:border w:val="single" w:color="auto" w:sz="12" w:space="0"/>
                  </wpsCustomData:diagonal>
                </wpsCustomData:diagonals>
              </mc:Choice>
            </mc:AlternateContent>
          </w:tcPr>
          <w:p w14:paraId="410AE87F">
            <w:pPr>
              <w:snapToGrid w:val="0"/>
              <w:ind w:left="-105" w:right="-105"/>
              <w:jc w:val="center"/>
              <w:rPr>
                <w:rFonts w:hint="eastAsia" w:ascii="Times New Roman" w:hAnsi="Times New Roman"/>
                <w:b/>
                <w:color w:val="auto"/>
                <w:sz w:val="21"/>
                <w:szCs w:val="21"/>
                <w:highlight w:val="none"/>
                <w:lang w:val="en-US" w:eastAsia="zh-CN"/>
              </w:rPr>
            </w:pPr>
            <w:r>
              <w:rPr>
                <w:rFonts w:hint="eastAsia" w:ascii="Times New Roman" w:hAnsi="Times New Roman"/>
                <w:b/>
                <w:color w:val="auto"/>
                <w:sz w:val="21"/>
                <w:szCs w:val="21"/>
                <w:highlight w:val="none"/>
                <w:lang w:val="en-US" w:eastAsia="zh-CN"/>
              </w:rPr>
              <w:t xml:space="preserve">      </w:t>
            </w:r>
          </w:p>
          <w:p w14:paraId="30D816BC">
            <w:pPr>
              <w:snapToGrid w:val="0"/>
              <w:ind w:left="-105" w:right="-105"/>
              <w:jc w:val="center"/>
              <mc:AlternateContent>
                <mc:Choice Requires="wpsCustomData">
                  <wpsCustomData:diagonalParaType/>
                </mc:Choice>
              </mc:AlternateContent>
              <w:rPr>
                <w:rFonts w:ascii="Times New Roman" w:hAnsi="Times New Roman"/>
                <w:b/>
                <w:color w:val="auto"/>
                <w:sz w:val="21"/>
                <w:szCs w:val="21"/>
                <w:highlight w:val="none"/>
              </w:rPr>
            </w:pPr>
            <w:r>
              <w:rPr>
                <w:rFonts w:ascii="Times New Roman" w:hAnsi="Times New Roman"/>
                <w:b/>
                <w:color w:val="auto"/>
                <w:sz w:val="21"/>
                <w:szCs w:val="21"/>
                <w:highlight w:val="none"/>
              </w:rPr>
              <w:t>影响受</w:t>
            </w:r>
            <w:r>
              <w:rPr>
                <w:rFonts w:hint="eastAsia" w:ascii="Times New Roman" w:hAnsi="Times New Roman"/>
                <w:b/>
                <w:color w:val="auto"/>
                <w:sz w:val="21"/>
                <w:szCs w:val="21"/>
                <w:highlight w:val="none"/>
              </w:rPr>
              <w:t>体</w:t>
            </w:r>
          </w:p>
          <w:p w14:paraId="53B5EAA7">
            <w:pPr>
              <w:snapToGrid w:val="0"/>
              <w:ind w:left="-105" w:right="-105"/>
              <w:jc w:val="center"/>
              <w:rPr>
                <w:rFonts w:ascii="Times New Roman" w:hAnsi="Times New Roman"/>
                <w:b/>
                <w:color w:val="auto"/>
                <w:sz w:val="21"/>
                <w:szCs w:val="21"/>
                <w:highlight w:val="none"/>
              </w:rPr>
            </w:pPr>
            <w:r>
              <w:rPr>
                <w:rFonts w:hint="eastAsia" w:ascii="Times New Roman" w:hAnsi="Times New Roman"/>
                <w:b/>
                <w:color w:val="auto"/>
                <w:sz w:val="21"/>
                <w:szCs w:val="21"/>
                <w:highlight w:val="none"/>
                <w:lang w:val="en-US" w:eastAsia="zh-CN"/>
              </w:rPr>
              <w:t xml:space="preserve">        </w:t>
            </w:r>
            <w:r>
              <w:rPr>
                <w:rFonts w:ascii="Times New Roman" w:hAnsi="Times New Roman"/>
                <w:b/>
                <w:color w:val="auto"/>
                <w:sz w:val="21"/>
                <w:szCs w:val="21"/>
                <w:highlight w:val="none"/>
              </w:rPr>
              <w:t>影响因素</w:t>
            </w:r>
          </w:p>
          <w:p w14:paraId="2E241E88">
            <w:pPr>
              <w:ind w:left="-105" w:right="-105"/>
              <w:jc w:val="center"/>
              <w:rPr>
                <w:rFonts w:ascii="Times New Roman" w:hAnsi="Times New Roman"/>
                <w:b/>
                <w:color w:val="auto"/>
                <w:sz w:val="21"/>
                <w:szCs w:val="21"/>
                <w:highlight w:val="none"/>
              </w:rPr>
            </w:pPr>
          </w:p>
        </w:tc>
        <w:tc>
          <w:tcPr>
            <w:tcW w:w="2190" w:type="pct"/>
            <w:gridSpan w:val="5"/>
            <w:tcBorders>
              <w:tl2br w:val="nil"/>
              <w:tr2bl w:val="nil"/>
            </w:tcBorders>
            <w:vAlign w:val="center"/>
          </w:tcPr>
          <w:p w14:paraId="36566009">
            <w:pPr>
              <w:ind w:left="-105" w:right="-105"/>
              <w:jc w:val="center"/>
              <w:textAlignment w:val="baseline"/>
              <w:rPr>
                <w:rFonts w:ascii="Times New Roman" w:hAnsi="Times New Roman"/>
                <w:b/>
                <w:color w:val="auto"/>
                <w:sz w:val="21"/>
                <w:szCs w:val="21"/>
                <w:highlight w:val="none"/>
              </w:rPr>
            </w:pPr>
            <w:r>
              <w:rPr>
                <w:rFonts w:ascii="Times New Roman" w:hAnsi="Times New Roman"/>
                <w:b/>
                <w:color w:val="auto"/>
                <w:sz w:val="21"/>
                <w:szCs w:val="21"/>
                <w:highlight w:val="none"/>
              </w:rPr>
              <w:t>自然环境</w:t>
            </w:r>
          </w:p>
        </w:tc>
        <w:tc>
          <w:tcPr>
            <w:tcW w:w="1755" w:type="pct"/>
            <w:gridSpan w:val="4"/>
            <w:tcBorders>
              <w:tl2br w:val="nil"/>
              <w:tr2bl w:val="nil"/>
            </w:tcBorders>
            <w:vAlign w:val="center"/>
          </w:tcPr>
          <w:p w14:paraId="493F2DB8">
            <w:pPr>
              <w:ind w:left="-105" w:right="-105"/>
              <w:jc w:val="center"/>
              <w:textAlignment w:val="baseline"/>
              <w:rPr>
                <w:rFonts w:ascii="Times New Roman" w:hAnsi="Times New Roman"/>
                <w:b/>
                <w:color w:val="auto"/>
                <w:sz w:val="21"/>
                <w:szCs w:val="21"/>
                <w:highlight w:val="none"/>
              </w:rPr>
            </w:pPr>
            <w:r>
              <w:rPr>
                <w:rFonts w:ascii="Times New Roman" w:hAnsi="Times New Roman"/>
                <w:b/>
                <w:color w:val="auto"/>
                <w:sz w:val="21"/>
                <w:szCs w:val="21"/>
                <w:highlight w:val="none"/>
              </w:rPr>
              <w:t>生态环境</w:t>
            </w:r>
          </w:p>
        </w:tc>
      </w:tr>
      <w:tr w14:paraId="1F80716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tblHeader/>
          <w:jc w:val="center"/>
        </w:trPr>
        <w:tc>
          <w:tcPr>
            <w:tcW w:w="1054" w:type="pct"/>
            <w:gridSpan w:val="2"/>
            <w:vMerge w:val="continue"/>
            <w:tcBorders>
              <w:tl2br w:val="nil"/>
              <w:tr2bl w:val="nil"/>
            </w:tcBorders>
            <w:vAlign w:val="center"/>
          </w:tcPr>
          <w:p w14:paraId="6C15B06D">
            <w:pPr>
              <w:ind w:left="-105" w:right="-105"/>
              <w:jc w:val="center"/>
              <w:rPr>
                <w:rFonts w:ascii="Times New Roman" w:hAnsi="Times New Roman"/>
                <w:b/>
                <w:color w:val="auto"/>
                <w:sz w:val="21"/>
                <w:szCs w:val="21"/>
                <w:highlight w:val="none"/>
              </w:rPr>
            </w:pPr>
          </w:p>
        </w:tc>
        <w:tc>
          <w:tcPr>
            <w:tcW w:w="436" w:type="pct"/>
            <w:tcBorders>
              <w:tl2br w:val="nil"/>
              <w:tr2bl w:val="nil"/>
            </w:tcBorders>
            <w:vAlign w:val="center"/>
          </w:tcPr>
          <w:p w14:paraId="30BA4A7C">
            <w:pPr>
              <w:keepNext w:val="0"/>
              <w:keepLines w:val="0"/>
              <w:pageBreakBefore w:val="0"/>
              <w:widowControl/>
              <w:tabs>
                <w:tab w:val="left" w:pos="576"/>
              </w:tabs>
              <w:kinsoku/>
              <w:wordWrap/>
              <w:overflowPunct/>
              <w:topLinePunct w:val="0"/>
              <w:autoSpaceDE/>
              <w:autoSpaceDN/>
              <w:bidi w:val="0"/>
              <w:adjustRightInd/>
              <w:snapToGrid/>
              <w:ind w:left="0" w:right="0"/>
              <w:jc w:val="center"/>
              <w:rPr>
                <w:rFonts w:ascii="Times New Roman" w:hAnsi="Times New Roman"/>
                <w:b/>
                <w:color w:val="auto"/>
                <w:sz w:val="21"/>
                <w:szCs w:val="21"/>
                <w:highlight w:val="none"/>
              </w:rPr>
            </w:pPr>
            <w:r>
              <w:rPr>
                <w:rFonts w:ascii="Times New Roman" w:hAnsi="Times New Roman"/>
                <w:b/>
                <w:color w:val="auto"/>
                <w:sz w:val="21"/>
                <w:szCs w:val="21"/>
                <w:highlight w:val="none"/>
              </w:rPr>
              <w:t>环境</w:t>
            </w:r>
          </w:p>
          <w:p w14:paraId="24F7C51A">
            <w:pPr>
              <w:keepNext w:val="0"/>
              <w:keepLines w:val="0"/>
              <w:pageBreakBefore w:val="0"/>
              <w:widowControl/>
              <w:kinsoku/>
              <w:wordWrap/>
              <w:overflowPunct/>
              <w:topLinePunct w:val="0"/>
              <w:autoSpaceDE/>
              <w:autoSpaceDN/>
              <w:bidi w:val="0"/>
              <w:adjustRightInd/>
              <w:snapToGrid/>
              <w:ind w:left="0" w:right="0"/>
              <w:jc w:val="center"/>
              <w:rPr>
                <w:rFonts w:ascii="Times New Roman" w:hAnsi="Times New Roman"/>
                <w:b/>
                <w:color w:val="auto"/>
                <w:sz w:val="21"/>
                <w:szCs w:val="21"/>
                <w:highlight w:val="none"/>
              </w:rPr>
            </w:pPr>
            <w:r>
              <w:rPr>
                <w:rFonts w:ascii="Times New Roman" w:hAnsi="Times New Roman"/>
                <w:b/>
                <w:color w:val="auto"/>
                <w:sz w:val="21"/>
                <w:szCs w:val="21"/>
                <w:highlight w:val="none"/>
              </w:rPr>
              <w:t>空气</w:t>
            </w:r>
          </w:p>
        </w:tc>
        <w:tc>
          <w:tcPr>
            <w:tcW w:w="436" w:type="pct"/>
            <w:tcBorders>
              <w:tl2br w:val="nil"/>
              <w:tr2bl w:val="nil"/>
            </w:tcBorders>
            <w:vAlign w:val="center"/>
          </w:tcPr>
          <w:p w14:paraId="74EC3F96">
            <w:pPr>
              <w:keepNext w:val="0"/>
              <w:keepLines w:val="0"/>
              <w:pageBreakBefore w:val="0"/>
              <w:widowControl/>
              <w:tabs>
                <w:tab w:val="left" w:pos="576"/>
              </w:tabs>
              <w:kinsoku/>
              <w:wordWrap/>
              <w:overflowPunct/>
              <w:topLinePunct w:val="0"/>
              <w:autoSpaceDE/>
              <w:autoSpaceDN/>
              <w:bidi w:val="0"/>
              <w:adjustRightInd/>
              <w:snapToGrid/>
              <w:ind w:left="0" w:right="0"/>
              <w:jc w:val="center"/>
              <w:rPr>
                <w:rFonts w:ascii="Times New Roman" w:hAnsi="Times New Roman"/>
                <w:b/>
                <w:color w:val="auto"/>
                <w:sz w:val="21"/>
                <w:szCs w:val="21"/>
                <w:highlight w:val="none"/>
              </w:rPr>
            </w:pPr>
            <w:r>
              <w:rPr>
                <w:rFonts w:ascii="Times New Roman" w:hAnsi="Times New Roman"/>
                <w:b/>
                <w:color w:val="auto"/>
                <w:sz w:val="21"/>
                <w:szCs w:val="21"/>
                <w:highlight w:val="none"/>
              </w:rPr>
              <w:t>地表水环境</w:t>
            </w:r>
          </w:p>
        </w:tc>
        <w:tc>
          <w:tcPr>
            <w:tcW w:w="436" w:type="pct"/>
            <w:tcBorders>
              <w:tl2br w:val="nil"/>
              <w:tr2bl w:val="nil"/>
            </w:tcBorders>
            <w:vAlign w:val="center"/>
          </w:tcPr>
          <w:p w14:paraId="05D7B985">
            <w:pPr>
              <w:keepNext w:val="0"/>
              <w:keepLines w:val="0"/>
              <w:pageBreakBefore w:val="0"/>
              <w:widowControl/>
              <w:tabs>
                <w:tab w:val="left" w:pos="576"/>
              </w:tabs>
              <w:kinsoku/>
              <w:wordWrap/>
              <w:overflowPunct/>
              <w:topLinePunct w:val="0"/>
              <w:autoSpaceDE/>
              <w:autoSpaceDN/>
              <w:bidi w:val="0"/>
              <w:adjustRightInd/>
              <w:snapToGrid/>
              <w:ind w:left="0" w:right="0"/>
              <w:jc w:val="center"/>
              <w:rPr>
                <w:rFonts w:ascii="Times New Roman" w:hAnsi="Times New Roman"/>
                <w:b/>
                <w:color w:val="auto"/>
                <w:sz w:val="21"/>
                <w:szCs w:val="21"/>
                <w:highlight w:val="none"/>
              </w:rPr>
            </w:pPr>
            <w:r>
              <w:rPr>
                <w:rFonts w:ascii="Times New Roman" w:hAnsi="Times New Roman"/>
                <w:b/>
                <w:color w:val="auto"/>
                <w:sz w:val="21"/>
                <w:szCs w:val="21"/>
                <w:highlight w:val="none"/>
              </w:rPr>
              <w:t>地下水环境</w:t>
            </w:r>
          </w:p>
        </w:tc>
        <w:tc>
          <w:tcPr>
            <w:tcW w:w="436" w:type="pct"/>
            <w:tcBorders>
              <w:tl2br w:val="nil"/>
              <w:tr2bl w:val="nil"/>
            </w:tcBorders>
            <w:vAlign w:val="center"/>
          </w:tcPr>
          <w:p w14:paraId="5D46958B">
            <w:pPr>
              <w:keepNext w:val="0"/>
              <w:keepLines w:val="0"/>
              <w:pageBreakBefore w:val="0"/>
              <w:widowControl/>
              <w:tabs>
                <w:tab w:val="left" w:pos="576"/>
              </w:tabs>
              <w:kinsoku/>
              <w:wordWrap/>
              <w:overflowPunct/>
              <w:topLinePunct w:val="0"/>
              <w:autoSpaceDE/>
              <w:autoSpaceDN/>
              <w:bidi w:val="0"/>
              <w:adjustRightInd/>
              <w:snapToGrid/>
              <w:ind w:left="0" w:right="0"/>
              <w:jc w:val="center"/>
              <w:rPr>
                <w:rFonts w:ascii="Times New Roman" w:hAnsi="Times New Roman"/>
                <w:b/>
                <w:color w:val="auto"/>
                <w:sz w:val="21"/>
                <w:szCs w:val="21"/>
                <w:highlight w:val="none"/>
              </w:rPr>
            </w:pPr>
            <w:r>
              <w:rPr>
                <w:rFonts w:ascii="Times New Roman" w:hAnsi="Times New Roman"/>
                <w:b/>
                <w:color w:val="auto"/>
                <w:sz w:val="21"/>
                <w:szCs w:val="21"/>
                <w:highlight w:val="none"/>
              </w:rPr>
              <w:t>土壤</w:t>
            </w:r>
          </w:p>
          <w:p w14:paraId="571DD692">
            <w:pPr>
              <w:keepNext w:val="0"/>
              <w:keepLines w:val="0"/>
              <w:pageBreakBefore w:val="0"/>
              <w:widowControl/>
              <w:kinsoku/>
              <w:wordWrap/>
              <w:overflowPunct/>
              <w:topLinePunct w:val="0"/>
              <w:autoSpaceDE/>
              <w:autoSpaceDN/>
              <w:bidi w:val="0"/>
              <w:adjustRightInd/>
              <w:snapToGrid/>
              <w:ind w:left="0" w:right="0"/>
              <w:jc w:val="center"/>
              <w:rPr>
                <w:rFonts w:ascii="Times New Roman" w:hAnsi="Times New Roman"/>
                <w:b/>
                <w:color w:val="auto"/>
                <w:sz w:val="21"/>
                <w:szCs w:val="21"/>
                <w:highlight w:val="none"/>
              </w:rPr>
            </w:pPr>
            <w:r>
              <w:rPr>
                <w:rFonts w:ascii="Times New Roman" w:hAnsi="Times New Roman"/>
                <w:b/>
                <w:color w:val="auto"/>
                <w:sz w:val="21"/>
                <w:szCs w:val="21"/>
                <w:highlight w:val="none"/>
              </w:rPr>
              <w:t>环境</w:t>
            </w:r>
          </w:p>
        </w:tc>
        <w:tc>
          <w:tcPr>
            <w:tcW w:w="445" w:type="pct"/>
            <w:tcBorders>
              <w:tl2br w:val="nil"/>
              <w:tr2bl w:val="nil"/>
            </w:tcBorders>
            <w:vAlign w:val="center"/>
          </w:tcPr>
          <w:p w14:paraId="3DB2835A">
            <w:pPr>
              <w:keepNext w:val="0"/>
              <w:keepLines w:val="0"/>
              <w:pageBreakBefore w:val="0"/>
              <w:widowControl/>
              <w:kinsoku/>
              <w:wordWrap/>
              <w:overflowPunct/>
              <w:topLinePunct w:val="0"/>
              <w:autoSpaceDE/>
              <w:autoSpaceDN/>
              <w:bidi w:val="0"/>
              <w:adjustRightInd/>
              <w:snapToGrid/>
              <w:ind w:left="0" w:right="0"/>
              <w:jc w:val="center"/>
              <w:textAlignment w:val="baseline"/>
              <w:rPr>
                <w:rFonts w:ascii="Times New Roman" w:hAnsi="Times New Roman"/>
                <w:b/>
                <w:color w:val="auto"/>
                <w:sz w:val="21"/>
                <w:szCs w:val="21"/>
                <w:highlight w:val="none"/>
              </w:rPr>
            </w:pPr>
            <w:r>
              <w:rPr>
                <w:rFonts w:ascii="Times New Roman" w:hAnsi="Times New Roman"/>
                <w:b/>
                <w:color w:val="auto"/>
                <w:sz w:val="21"/>
                <w:szCs w:val="21"/>
                <w:highlight w:val="none"/>
              </w:rPr>
              <w:t>声环</w:t>
            </w:r>
          </w:p>
          <w:p w14:paraId="627C638F">
            <w:pPr>
              <w:keepNext w:val="0"/>
              <w:keepLines w:val="0"/>
              <w:pageBreakBefore w:val="0"/>
              <w:widowControl/>
              <w:kinsoku/>
              <w:wordWrap/>
              <w:overflowPunct/>
              <w:topLinePunct w:val="0"/>
              <w:autoSpaceDE/>
              <w:autoSpaceDN/>
              <w:bidi w:val="0"/>
              <w:adjustRightInd/>
              <w:snapToGrid/>
              <w:ind w:left="0" w:right="0"/>
              <w:jc w:val="center"/>
              <w:rPr>
                <w:rFonts w:ascii="Times New Roman" w:hAnsi="Times New Roman"/>
                <w:b/>
                <w:color w:val="auto"/>
                <w:sz w:val="21"/>
                <w:szCs w:val="21"/>
                <w:highlight w:val="none"/>
              </w:rPr>
            </w:pPr>
            <w:r>
              <w:rPr>
                <w:rFonts w:ascii="Times New Roman" w:hAnsi="Times New Roman"/>
                <w:b/>
                <w:color w:val="auto"/>
                <w:sz w:val="21"/>
                <w:szCs w:val="21"/>
                <w:highlight w:val="none"/>
              </w:rPr>
              <w:t>境</w:t>
            </w:r>
          </w:p>
        </w:tc>
        <w:tc>
          <w:tcPr>
            <w:tcW w:w="400" w:type="pct"/>
            <w:tcBorders>
              <w:tl2br w:val="nil"/>
              <w:tr2bl w:val="nil"/>
            </w:tcBorders>
            <w:vAlign w:val="center"/>
          </w:tcPr>
          <w:p w14:paraId="1CFB8237">
            <w:pPr>
              <w:keepNext w:val="0"/>
              <w:keepLines w:val="0"/>
              <w:pageBreakBefore w:val="0"/>
              <w:widowControl/>
              <w:kinsoku/>
              <w:wordWrap/>
              <w:overflowPunct/>
              <w:topLinePunct w:val="0"/>
              <w:autoSpaceDE/>
              <w:autoSpaceDN/>
              <w:bidi w:val="0"/>
              <w:adjustRightInd/>
              <w:snapToGrid/>
              <w:ind w:left="0" w:right="0"/>
              <w:jc w:val="center"/>
              <w:textAlignment w:val="baseline"/>
              <w:rPr>
                <w:rFonts w:ascii="Times New Roman" w:hAnsi="Times New Roman"/>
                <w:b/>
                <w:color w:val="auto"/>
                <w:sz w:val="21"/>
                <w:szCs w:val="21"/>
                <w:highlight w:val="none"/>
              </w:rPr>
            </w:pPr>
            <w:r>
              <w:rPr>
                <w:rFonts w:ascii="Times New Roman" w:hAnsi="Times New Roman"/>
                <w:b/>
                <w:color w:val="auto"/>
                <w:sz w:val="21"/>
                <w:szCs w:val="21"/>
                <w:highlight w:val="none"/>
              </w:rPr>
              <w:t>陆域</w:t>
            </w:r>
          </w:p>
          <w:p w14:paraId="72784D2F">
            <w:pPr>
              <w:keepNext w:val="0"/>
              <w:keepLines w:val="0"/>
              <w:pageBreakBefore w:val="0"/>
              <w:widowControl/>
              <w:kinsoku/>
              <w:wordWrap/>
              <w:overflowPunct/>
              <w:topLinePunct w:val="0"/>
              <w:autoSpaceDE/>
              <w:autoSpaceDN/>
              <w:bidi w:val="0"/>
              <w:adjustRightInd/>
              <w:snapToGrid/>
              <w:ind w:left="0" w:right="0"/>
              <w:jc w:val="center"/>
              <w:rPr>
                <w:rFonts w:ascii="Times New Roman" w:hAnsi="Times New Roman"/>
                <w:b/>
                <w:color w:val="auto"/>
                <w:sz w:val="21"/>
                <w:szCs w:val="21"/>
                <w:highlight w:val="none"/>
              </w:rPr>
            </w:pPr>
            <w:r>
              <w:rPr>
                <w:rFonts w:ascii="Times New Roman" w:hAnsi="Times New Roman"/>
                <w:b/>
                <w:color w:val="auto"/>
                <w:sz w:val="21"/>
                <w:szCs w:val="21"/>
                <w:highlight w:val="none"/>
              </w:rPr>
              <w:t>环境</w:t>
            </w:r>
          </w:p>
        </w:tc>
        <w:tc>
          <w:tcPr>
            <w:tcW w:w="400" w:type="pct"/>
            <w:tcBorders>
              <w:tl2br w:val="nil"/>
              <w:tr2bl w:val="nil"/>
            </w:tcBorders>
            <w:vAlign w:val="center"/>
          </w:tcPr>
          <w:p w14:paraId="2054367F">
            <w:pPr>
              <w:keepNext w:val="0"/>
              <w:keepLines w:val="0"/>
              <w:pageBreakBefore w:val="0"/>
              <w:widowControl/>
              <w:kinsoku/>
              <w:wordWrap/>
              <w:overflowPunct/>
              <w:topLinePunct w:val="0"/>
              <w:autoSpaceDE/>
              <w:autoSpaceDN/>
              <w:bidi w:val="0"/>
              <w:adjustRightInd/>
              <w:snapToGrid/>
              <w:ind w:left="0" w:right="0"/>
              <w:jc w:val="center"/>
              <w:textAlignment w:val="baseline"/>
              <w:rPr>
                <w:rFonts w:ascii="Times New Roman" w:hAnsi="Times New Roman"/>
                <w:b/>
                <w:color w:val="auto"/>
                <w:sz w:val="21"/>
                <w:szCs w:val="21"/>
                <w:highlight w:val="none"/>
              </w:rPr>
            </w:pPr>
            <w:r>
              <w:rPr>
                <w:rFonts w:ascii="Times New Roman" w:hAnsi="Times New Roman"/>
                <w:b/>
                <w:color w:val="auto"/>
                <w:sz w:val="21"/>
                <w:szCs w:val="21"/>
                <w:highlight w:val="none"/>
              </w:rPr>
              <w:t>水生</w:t>
            </w:r>
          </w:p>
          <w:p w14:paraId="4DBB9007">
            <w:pPr>
              <w:keepNext w:val="0"/>
              <w:keepLines w:val="0"/>
              <w:pageBreakBefore w:val="0"/>
              <w:widowControl/>
              <w:kinsoku/>
              <w:wordWrap/>
              <w:overflowPunct/>
              <w:topLinePunct w:val="0"/>
              <w:autoSpaceDE/>
              <w:autoSpaceDN/>
              <w:bidi w:val="0"/>
              <w:adjustRightInd/>
              <w:snapToGrid/>
              <w:ind w:left="0" w:right="0"/>
              <w:jc w:val="center"/>
              <w:rPr>
                <w:rFonts w:ascii="Times New Roman" w:hAnsi="Times New Roman"/>
                <w:b/>
                <w:color w:val="auto"/>
                <w:sz w:val="21"/>
                <w:szCs w:val="21"/>
                <w:highlight w:val="none"/>
              </w:rPr>
            </w:pPr>
            <w:r>
              <w:rPr>
                <w:rFonts w:ascii="Times New Roman" w:hAnsi="Times New Roman"/>
                <w:b/>
                <w:color w:val="auto"/>
                <w:sz w:val="21"/>
                <w:szCs w:val="21"/>
                <w:highlight w:val="none"/>
              </w:rPr>
              <w:t>生物</w:t>
            </w:r>
          </w:p>
        </w:tc>
        <w:tc>
          <w:tcPr>
            <w:tcW w:w="400" w:type="pct"/>
            <w:tcBorders>
              <w:tl2br w:val="nil"/>
              <w:tr2bl w:val="nil"/>
            </w:tcBorders>
            <w:vAlign w:val="center"/>
          </w:tcPr>
          <w:p w14:paraId="1749DBA1">
            <w:pPr>
              <w:keepNext w:val="0"/>
              <w:keepLines w:val="0"/>
              <w:pageBreakBefore w:val="0"/>
              <w:widowControl/>
              <w:kinsoku/>
              <w:wordWrap/>
              <w:overflowPunct/>
              <w:topLinePunct w:val="0"/>
              <w:autoSpaceDE/>
              <w:autoSpaceDN/>
              <w:bidi w:val="0"/>
              <w:adjustRightInd/>
              <w:snapToGrid/>
              <w:ind w:left="0" w:right="0"/>
              <w:jc w:val="center"/>
              <w:textAlignment w:val="baseline"/>
              <w:rPr>
                <w:rFonts w:ascii="Times New Roman" w:hAnsi="Times New Roman"/>
                <w:b/>
                <w:color w:val="auto"/>
                <w:sz w:val="21"/>
                <w:szCs w:val="21"/>
                <w:highlight w:val="none"/>
              </w:rPr>
            </w:pPr>
            <w:r>
              <w:rPr>
                <w:rFonts w:ascii="Times New Roman" w:hAnsi="Times New Roman"/>
                <w:b/>
                <w:color w:val="auto"/>
                <w:sz w:val="21"/>
                <w:szCs w:val="21"/>
                <w:highlight w:val="none"/>
              </w:rPr>
              <w:t>渔业</w:t>
            </w:r>
          </w:p>
          <w:p w14:paraId="03FE05DF">
            <w:pPr>
              <w:keepNext w:val="0"/>
              <w:keepLines w:val="0"/>
              <w:pageBreakBefore w:val="0"/>
              <w:widowControl/>
              <w:kinsoku/>
              <w:wordWrap/>
              <w:overflowPunct/>
              <w:topLinePunct w:val="0"/>
              <w:autoSpaceDE/>
              <w:autoSpaceDN/>
              <w:bidi w:val="0"/>
              <w:adjustRightInd/>
              <w:snapToGrid/>
              <w:ind w:left="0" w:right="0"/>
              <w:jc w:val="center"/>
              <w:rPr>
                <w:rFonts w:ascii="Times New Roman" w:hAnsi="Times New Roman"/>
                <w:b/>
                <w:color w:val="auto"/>
                <w:sz w:val="21"/>
                <w:szCs w:val="21"/>
                <w:highlight w:val="none"/>
              </w:rPr>
            </w:pPr>
            <w:r>
              <w:rPr>
                <w:rFonts w:ascii="Times New Roman" w:hAnsi="Times New Roman"/>
                <w:b/>
                <w:color w:val="auto"/>
                <w:sz w:val="21"/>
                <w:szCs w:val="21"/>
                <w:highlight w:val="none"/>
              </w:rPr>
              <w:t>资源</w:t>
            </w:r>
          </w:p>
        </w:tc>
        <w:tc>
          <w:tcPr>
            <w:tcW w:w="553" w:type="pct"/>
            <w:tcBorders>
              <w:tl2br w:val="nil"/>
              <w:tr2bl w:val="nil"/>
            </w:tcBorders>
            <w:vAlign w:val="center"/>
          </w:tcPr>
          <w:p w14:paraId="7DA46594">
            <w:pPr>
              <w:keepNext w:val="0"/>
              <w:keepLines w:val="0"/>
              <w:pageBreakBefore w:val="0"/>
              <w:widowControl/>
              <w:kinsoku/>
              <w:wordWrap/>
              <w:overflowPunct/>
              <w:topLinePunct w:val="0"/>
              <w:autoSpaceDE/>
              <w:autoSpaceDN/>
              <w:bidi w:val="0"/>
              <w:adjustRightInd/>
              <w:snapToGrid/>
              <w:ind w:left="0" w:right="0"/>
              <w:jc w:val="center"/>
              <w:textAlignment w:val="baseline"/>
              <w:rPr>
                <w:rFonts w:ascii="Times New Roman" w:hAnsi="Times New Roman"/>
                <w:b/>
                <w:color w:val="auto"/>
                <w:sz w:val="21"/>
                <w:szCs w:val="21"/>
                <w:highlight w:val="none"/>
              </w:rPr>
            </w:pPr>
            <w:r>
              <w:rPr>
                <w:rFonts w:ascii="Times New Roman" w:hAnsi="Times New Roman"/>
                <w:b/>
                <w:color w:val="auto"/>
                <w:sz w:val="21"/>
                <w:szCs w:val="21"/>
                <w:highlight w:val="none"/>
              </w:rPr>
              <w:t>主要生态保护区域</w:t>
            </w:r>
          </w:p>
        </w:tc>
      </w:tr>
      <w:tr w14:paraId="1ED387F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270" w:type="pct"/>
            <w:vMerge w:val="restart"/>
            <w:tcBorders>
              <w:tl2br w:val="nil"/>
              <w:tr2bl w:val="nil"/>
            </w:tcBorders>
            <w:textDirection w:val="tbRlV"/>
            <w:vAlign w:val="center"/>
          </w:tcPr>
          <w:p w14:paraId="14356D86">
            <w:pPr>
              <w:tabs>
                <w:tab w:val="left" w:pos="576"/>
              </w:tabs>
              <w:ind w:left="-105" w:right="-105"/>
              <w:jc w:val="center"/>
              <w:rPr>
                <w:rFonts w:ascii="Times New Roman" w:hAnsi="Times New Roman"/>
                <w:color w:val="auto"/>
                <w:sz w:val="21"/>
                <w:szCs w:val="21"/>
                <w:highlight w:val="none"/>
              </w:rPr>
            </w:pPr>
            <w:r>
              <w:rPr>
                <w:rFonts w:ascii="Times New Roman" w:hAnsi="Times New Roman"/>
                <w:color w:val="auto"/>
                <w:sz w:val="21"/>
                <w:szCs w:val="21"/>
                <w:highlight w:val="none"/>
              </w:rPr>
              <w:t>运行期</w:t>
            </w:r>
          </w:p>
        </w:tc>
        <w:tc>
          <w:tcPr>
            <w:tcW w:w="784" w:type="pct"/>
            <w:tcBorders>
              <w:tl2br w:val="nil"/>
              <w:tr2bl w:val="nil"/>
            </w:tcBorders>
            <w:vAlign w:val="center"/>
          </w:tcPr>
          <w:p w14:paraId="617479C9">
            <w:pPr>
              <w:tabs>
                <w:tab w:val="left" w:pos="576"/>
              </w:tabs>
              <w:ind w:left="-105" w:right="-105"/>
              <w:jc w:val="center"/>
              <w:rPr>
                <w:rFonts w:ascii="Times New Roman" w:hAnsi="Times New Roman"/>
                <w:color w:val="auto"/>
                <w:sz w:val="21"/>
                <w:szCs w:val="21"/>
                <w:highlight w:val="none"/>
              </w:rPr>
            </w:pPr>
            <w:r>
              <w:rPr>
                <w:rFonts w:ascii="Times New Roman" w:hAnsi="Times New Roman"/>
                <w:color w:val="auto"/>
                <w:sz w:val="21"/>
                <w:szCs w:val="21"/>
                <w:highlight w:val="none"/>
              </w:rPr>
              <w:t>废水排放</w:t>
            </w:r>
          </w:p>
        </w:tc>
        <w:tc>
          <w:tcPr>
            <w:tcW w:w="436" w:type="pct"/>
            <w:tcBorders>
              <w:tl2br w:val="nil"/>
              <w:tr2bl w:val="nil"/>
            </w:tcBorders>
            <w:vAlign w:val="center"/>
          </w:tcPr>
          <w:p w14:paraId="224B1213">
            <w:pPr>
              <w:ind w:left="-105" w:right="-105"/>
              <w:jc w:val="center"/>
              <w:rPr>
                <w:rFonts w:ascii="Times New Roman" w:hAnsi="Times New Roman"/>
                <w:color w:val="auto"/>
                <w:sz w:val="21"/>
                <w:szCs w:val="21"/>
                <w:highlight w:val="none"/>
              </w:rPr>
            </w:pPr>
          </w:p>
        </w:tc>
        <w:tc>
          <w:tcPr>
            <w:tcW w:w="436" w:type="pct"/>
            <w:tcBorders>
              <w:tl2br w:val="nil"/>
              <w:tr2bl w:val="nil"/>
            </w:tcBorders>
            <w:vAlign w:val="center"/>
          </w:tcPr>
          <w:p w14:paraId="6E918188">
            <w:pPr>
              <w:tabs>
                <w:tab w:val="left" w:pos="576"/>
              </w:tabs>
              <w:ind w:left="-105" w:right="-105"/>
              <w:jc w:val="center"/>
              <w:rPr>
                <w:rFonts w:ascii="Times New Roman" w:hAnsi="Times New Roman"/>
                <w:color w:val="auto"/>
                <w:sz w:val="21"/>
                <w:szCs w:val="21"/>
                <w:highlight w:val="none"/>
              </w:rPr>
            </w:pPr>
            <w:r>
              <w:rPr>
                <w:rFonts w:ascii="Times New Roman" w:hAnsi="Times New Roman" w:cs="Times New Roman"/>
                <w:color w:val="auto"/>
                <w:sz w:val="21"/>
                <w:szCs w:val="21"/>
                <w:highlight w:val="none"/>
              </w:rPr>
              <w:t>-1LD</w:t>
            </w:r>
          </w:p>
        </w:tc>
        <w:tc>
          <w:tcPr>
            <w:tcW w:w="436" w:type="pct"/>
            <w:tcBorders>
              <w:tl2br w:val="nil"/>
              <w:tr2bl w:val="nil"/>
            </w:tcBorders>
            <w:vAlign w:val="center"/>
          </w:tcPr>
          <w:p w14:paraId="6D966449">
            <w:pPr>
              <w:ind w:left="-105" w:right="-105"/>
              <w:jc w:val="center"/>
              <w:rPr>
                <w:rFonts w:ascii="Times New Roman" w:hAnsi="Times New Roman"/>
                <w:color w:val="auto"/>
                <w:sz w:val="21"/>
                <w:szCs w:val="21"/>
                <w:highlight w:val="none"/>
              </w:rPr>
            </w:pPr>
          </w:p>
        </w:tc>
        <w:tc>
          <w:tcPr>
            <w:tcW w:w="436" w:type="pct"/>
            <w:tcBorders>
              <w:tl2br w:val="nil"/>
              <w:tr2bl w:val="nil"/>
            </w:tcBorders>
            <w:vAlign w:val="center"/>
          </w:tcPr>
          <w:p w14:paraId="144293DF">
            <w:pPr>
              <w:ind w:left="-105" w:right="-105"/>
              <w:jc w:val="center"/>
              <w:rPr>
                <w:rFonts w:ascii="Times New Roman" w:hAnsi="Times New Roman"/>
                <w:color w:val="auto"/>
                <w:sz w:val="21"/>
                <w:szCs w:val="21"/>
                <w:highlight w:val="none"/>
              </w:rPr>
            </w:pPr>
          </w:p>
        </w:tc>
        <w:tc>
          <w:tcPr>
            <w:tcW w:w="445" w:type="pct"/>
            <w:tcBorders>
              <w:tl2br w:val="nil"/>
              <w:tr2bl w:val="nil"/>
            </w:tcBorders>
            <w:vAlign w:val="center"/>
          </w:tcPr>
          <w:p w14:paraId="0DD3D556">
            <w:pPr>
              <w:ind w:left="-105" w:right="-105"/>
              <w:jc w:val="center"/>
              <w:rPr>
                <w:rFonts w:ascii="Times New Roman" w:hAnsi="Times New Roman"/>
                <w:color w:val="auto"/>
                <w:sz w:val="21"/>
                <w:szCs w:val="21"/>
                <w:highlight w:val="none"/>
              </w:rPr>
            </w:pPr>
          </w:p>
        </w:tc>
        <w:tc>
          <w:tcPr>
            <w:tcW w:w="400" w:type="pct"/>
            <w:tcBorders>
              <w:tl2br w:val="nil"/>
              <w:tr2bl w:val="nil"/>
            </w:tcBorders>
            <w:vAlign w:val="center"/>
          </w:tcPr>
          <w:p w14:paraId="1895C226">
            <w:pPr>
              <w:tabs>
                <w:tab w:val="left" w:pos="576"/>
              </w:tabs>
              <w:ind w:left="-105" w:right="-105"/>
              <w:jc w:val="center"/>
              <w:rPr>
                <w:rFonts w:ascii="Times New Roman" w:hAnsi="Times New Roman"/>
                <w:color w:val="auto"/>
                <w:sz w:val="21"/>
                <w:szCs w:val="21"/>
                <w:highlight w:val="none"/>
              </w:rPr>
            </w:pPr>
          </w:p>
        </w:tc>
        <w:tc>
          <w:tcPr>
            <w:tcW w:w="400" w:type="pct"/>
            <w:tcBorders>
              <w:tl2br w:val="nil"/>
              <w:tr2bl w:val="nil"/>
            </w:tcBorders>
            <w:vAlign w:val="center"/>
          </w:tcPr>
          <w:p w14:paraId="3EDAAA15">
            <w:pPr>
              <w:tabs>
                <w:tab w:val="left" w:pos="576"/>
              </w:tabs>
              <w:ind w:left="-105" w:right="-105"/>
              <w:jc w:val="center"/>
              <w:rPr>
                <w:rFonts w:ascii="Times New Roman" w:hAnsi="Times New Roman"/>
                <w:color w:val="auto"/>
                <w:sz w:val="21"/>
                <w:szCs w:val="21"/>
                <w:highlight w:val="none"/>
              </w:rPr>
            </w:pPr>
          </w:p>
        </w:tc>
        <w:tc>
          <w:tcPr>
            <w:tcW w:w="400" w:type="pct"/>
            <w:tcBorders>
              <w:tl2br w:val="nil"/>
              <w:tr2bl w:val="nil"/>
            </w:tcBorders>
            <w:vAlign w:val="center"/>
          </w:tcPr>
          <w:p w14:paraId="499690C1">
            <w:pPr>
              <w:tabs>
                <w:tab w:val="left" w:pos="576"/>
              </w:tabs>
              <w:ind w:left="-105" w:right="-105"/>
              <w:jc w:val="center"/>
              <w:rPr>
                <w:rFonts w:ascii="Times New Roman" w:hAnsi="Times New Roman"/>
                <w:color w:val="auto"/>
                <w:sz w:val="21"/>
                <w:szCs w:val="21"/>
                <w:highlight w:val="none"/>
              </w:rPr>
            </w:pPr>
          </w:p>
        </w:tc>
        <w:tc>
          <w:tcPr>
            <w:tcW w:w="553" w:type="pct"/>
            <w:tcBorders>
              <w:tl2br w:val="nil"/>
              <w:tr2bl w:val="nil"/>
            </w:tcBorders>
            <w:vAlign w:val="center"/>
          </w:tcPr>
          <w:p w14:paraId="502DB9BE">
            <w:pPr>
              <w:tabs>
                <w:tab w:val="left" w:pos="576"/>
              </w:tabs>
              <w:ind w:left="-105" w:right="-105"/>
              <w:jc w:val="center"/>
              <w:rPr>
                <w:rFonts w:ascii="Times New Roman" w:hAnsi="Times New Roman"/>
                <w:color w:val="auto"/>
                <w:sz w:val="21"/>
                <w:szCs w:val="21"/>
                <w:highlight w:val="none"/>
              </w:rPr>
            </w:pPr>
          </w:p>
        </w:tc>
      </w:tr>
      <w:tr w14:paraId="42CA345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270" w:type="pct"/>
            <w:vMerge w:val="continue"/>
            <w:tcBorders>
              <w:tl2br w:val="nil"/>
              <w:tr2bl w:val="nil"/>
            </w:tcBorders>
            <w:textDirection w:val="tbRlV"/>
            <w:vAlign w:val="center"/>
          </w:tcPr>
          <w:p w14:paraId="0BDDCBB0">
            <w:pPr>
              <w:ind w:left="-105" w:right="-105"/>
              <w:jc w:val="center"/>
              <w:rPr>
                <w:rFonts w:ascii="Times New Roman" w:hAnsi="Times New Roman"/>
                <w:color w:val="auto"/>
                <w:sz w:val="21"/>
                <w:szCs w:val="21"/>
                <w:highlight w:val="none"/>
              </w:rPr>
            </w:pPr>
          </w:p>
        </w:tc>
        <w:tc>
          <w:tcPr>
            <w:tcW w:w="784" w:type="pct"/>
            <w:tcBorders>
              <w:tl2br w:val="nil"/>
              <w:tr2bl w:val="nil"/>
            </w:tcBorders>
            <w:vAlign w:val="center"/>
          </w:tcPr>
          <w:p w14:paraId="7DAB050C">
            <w:pPr>
              <w:tabs>
                <w:tab w:val="left" w:pos="576"/>
              </w:tabs>
              <w:ind w:left="-105" w:right="-105"/>
              <w:jc w:val="center"/>
              <w:rPr>
                <w:rFonts w:ascii="Times New Roman" w:hAnsi="Times New Roman"/>
                <w:color w:val="auto"/>
                <w:sz w:val="21"/>
                <w:szCs w:val="21"/>
                <w:highlight w:val="none"/>
              </w:rPr>
            </w:pPr>
            <w:r>
              <w:rPr>
                <w:rFonts w:ascii="Times New Roman" w:hAnsi="Times New Roman"/>
                <w:color w:val="auto"/>
                <w:sz w:val="21"/>
                <w:szCs w:val="21"/>
                <w:highlight w:val="none"/>
              </w:rPr>
              <w:t>废气排放</w:t>
            </w:r>
          </w:p>
        </w:tc>
        <w:tc>
          <w:tcPr>
            <w:tcW w:w="436" w:type="pct"/>
            <w:tcBorders>
              <w:tl2br w:val="nil"/>
              <w:tr2bl w:val="nil"/>
            </w:tcBorders>
            <w:vAlign w:val="center"/>
          </w:tcPr>
          <w:p w14:paraId="7E50830D">
            <w:pPr>
              <w:tabs>
                <w:tab w:val="left" w:pos="576"/>
              </w:tabs>
              <w:ind w:left="-105" w:right="-105"/>
              <w:jc w:val="center"/>
              <w:rPr>
                <w:rFonts w:ascii="Times New Roman" w:hAnsi="Times New Roman"/>
                <w:color w:val="auto"/>
                <w:sz w:val="21"/>
                <w:szCs w:val="21"/>
                <w:highlight w:val="none"/>
              </w:rPr>
            </w:pPr>
            <w:r>
              <w:rPr>
                <w:rFonts w:ascii="Times New Roman" w:hAnsi="Times New Roman" w:cs="Times New Roman"/>
                <w:color w:val="auto"/>
                <w:sz w:val="21"/>
                <w:szCs w:val="21"/>
                <w:highlight w:val="none"/>
              </w:rPr>
              <w:t>-1LD</w:t>
            </w:r>
          </w:p>
        </w:tc>
        <w:tc>
          <w:tcPr>
            <w:tcW w:w="436" w:type="pct"/>
            <w:tcBorders>
              <w:tl2br w:val="nil"/>
              <w:tr2bl w:val="nil"/>
            </w:tcBorders>
            <w:vAlign w:val="center"/>
          </w:tcPr>
          <w:p w14:paraId="4440B5A9">
            <w:pPr>
              <w:ind w:left="-105" w:right="-105"/>
              <w:jc w:val="center"/>
              <w:rPr>
                <w:rFonts w:ascii="Times New Roman" w:hAnsi="Times New Roman"/>
                <w:color w:val="auto"/>
                <w:sz w:val="21"/>
                <w:szCs w:val="21"/>
                <w:highlight w:val="none"/>
              </w:rPr>
            </w:pPr>
          </w:p>
        </w:tc>
        <w:tc>
          <w:tcPr>
            <w:tcW w:w="436" w:type="pct"/>
            <w:tcBorders>
              <w:tl2br w:val="nil"/>
              <w:tr2bl w:val="nil"/>
            </w:tcBorders>
            <w:vAlign w:val="center"/>
          </w:tcPr>
          <w:p w14:paraId="40330258">
            <w:pPr>
              <w:ind w:left="-105" w:right="-105"/>
              <w:jc w:val="center"/>
              <w:rPr>
                <w:rFonts w:ascii="Times New Roman" w:hAnsi="Times New Roman"/>
                <w:color w:val="auto"/>
                <w:sz w:val="21"/>
                <w:szCs w:val="21"/>
                <w:highlight w:val="none"/>
              </w:rPr>
            </w:pPr>
          </w:p>
        </w:tc>
        <w:tc>
          <w:tcPr>
            <w:tcW w:w="436" w:type="pct"/>
            <w:tcBorders>
              <w:tl2br w:val="nil"/>
              <w:tr2bl w:val="nil"/>
            </w:tcBorders>
            <w:vAlign w:val="center"/>
          </w:tcPr>
          <w:p w14:paraId="2FCC0E3E">
            <w:pPr>
              <w:ind w:left="-105" w:right="-105"/>
              <w:jc w:val="center"/>
              <w:rPr>
                <w:rFonts w:ascii="Times New Roman" w:hAnsi="Times New Roman"/>
                <w:color w:val="auto"/>
                <w:sz w:val="21"/>
                <w:szCs w:val="21"/>
                <w:highlight w:val="none"/>
              </w:rPr>
            </w:pPr>
            <w:r>
              <w:rPr>
                <w:rFonts w:ascii="Times New Roman" w:hAnsi="Times New Roman" w:cs="Times New Roman"/>
                <w:color w:val="auto"/>
                <w:sz w:val="21"/>
                <w:szCs w:val="21"/>
                <w:highlight w:val="none"/>
              </w:rPr>
              <w:t>-1L</w:t>
            </w:r>
          </w:p>
        </w:tc>
        <w:tc>
          <w:tcPr>
            <w:tcW w:w="445" w:type="pct"/>
            <w:tcBorders>
              <w:tl2br w:val="nil"/>
              <w:tr2bl w:val="nil"/>
            </w:tcBorders>
            <w:vAlign w:val="center"/>
          </w:tcPr>
          <w:p w14:paraId="139DFD51">
            <w:pPr>
              <w:ind w:left="-105" w:right="-105"/>
              <w:jc w:val="center"/>
              <w:rPr>
                <w:rFonts w:ascii="Times New Roman" w:hAnsi="Times New Roman"/>
                <w:color w:val="auto"/>
                <w:sz w:val="21"/>
                <w:szCs w:val="21"/>
                <w:highlight w:val="none"/>
              </w:rPr>
            </w:pPr>
          </w:p>
        </w:tc>
        <w:tc>
          <w:tcPr>
            <w:tcW w:w="400" w:type="pct"/>
            <w:tcBorders>
              <w:tl2br w:val="nil"/>
              <w:tr2bl w:val="nil"/>
            </w:tcBorders>
            <w:vAlign w:val="center"/>
          </w:tcPr>
          <w:p w14:paraId="380D66D7">
            <w:pPr>
              <w:tabs>
                <w:tab w:val="left" w:pos="576"/>
              </w:tabs>
              <w:ind w:left="-105" w:right="-105"/>
              <w:jc w:val="center"/>
              <w:rPr>
                <w:rFonts w:ascii="Times New Roman" w:hAnsi="Times New Roman"/>
                <w:color w:val="auto"/>
                <w:sz w:val="21"/>
                <w:szCs w:val="21"/>
                <w:highlight w:val="none"/>
              </w:rPr>
            </w:pPr>
          </w:p>
        </w:tc>
        <w:tc>
          <w:tcPr>
            <w:tcW w:w="400" w:type="pct"/>
            <w:tcBorders>
              <w:tl2br w:val="nil"/>
              <w:tr2bl w:val="nil"/>
            </w:tcBorders>
            <w:vAlign w:val="center"/>
          </w:tcPr>
          <w:p w14:paraId="14050021">
            <w:pPr>
              <w:ind w:left="-105" w:right="-105"/>
              <w:jc w:val="center"/>
              <w:rPr>
                <w:rFonts w:ascii="Times New Roman" w:hAnsi="Times New Roman"/>
                <w:color w:val="auto"/>
                <w:sz w:val="21"/>
                <w:szCs w:val="21"/>
                <w:highlight w:val="none"/>
              </w:rPr>
            </w:pPr>
          </w:p>
        </w:tc>
        <w:tc>
          <w:tcPr>
            <w:tcW w:w="400" w:type="pct"/>
            <w:tcBorders>
              <w:tl2br w:val="nil"/>
              <w:tr2bl w:val="nil"/>
            </w:tcBorders>
            <w:vAlign w:val="center"/>
          </w:tcPr>
          <w:p w14:paraId="0E734D62">
            <w:pPr>
              <w:ind w:left="-105" w:right="-105"/>
              <w:jc w:val="center"/>
              <w:rPr>
                <w:rFonts w:ascii="Times New Roman" w:hAnsi="Times New Roman"/>
                <w:color w:val="auto"/>
                <w:sz w:val="21"/>
                <w:szCs w:val="21"/>
                <w:highlight w:val="none"/>
              </w:rPr>
            </w:pPr>
          </w:p>
        </w:tc>
        <w:tc>
          <w:tcPr>
            <w:tcW w:w="553" w:type="pct"/>
            <w:tcBorders>
              <w:tl2br w:val="nil"/>
              <w:tr2bl w:val="nil"/>
            </w:tcBorders>
            <w:vAlign w:val="center"/>
          </w:tcPr>
          <w:p w14:paraId="6E439310">
            <w:pPr>
              <w:tabs>
                <w:tab w:val="left" w:pos="576"/>
              </w:tabs>
              <w:ind w:left="-105" w:right="-105"/>
              <w:jc w:val="center"/>
              <w:rPr>
                <w:rFonts w:ascii="Times New Roman" w:hAnsi="Times New Roman"/>
                <w:color w:val="auto"/>
                <w:sz w:val="21"/>
                <w:szCs w:val="21"/>
                <w:highlight w:val="none"/>
              </w:rPr>
            </w:pPr>
          </w:p>
        </w:tc>
      </w:tr>
      <w:tr w14:paraId="34CBDCE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270" w:type="pct"/>
            <w:vMerge w:val="continue"/>
            <w:tcBorders>
              <w:tl2br w:val="nil"/>
              <w:tr2bl w:val="nil"/>
            </w:tcBorders>
            <w:textDirection w:val="tbRlV"/>
            <w:vAlign w:val="center"/>
          </w:tcPr>
          <w:p w14:paraId="180AFA38">
            <w:pPr>
              <w:ind w:left="-105" w:right="-105"/>
              <w:jc w:val="center"/>
              <w:rPr>
                <w:rFonts w:ascii="Times New Roman" w:hAnsi="Times New Roman"/>
                <w:color w:val="auto"/>
                <w:sz w:val="21"/>
                <w:szCs w:val="21"/>
                <w:highlight w:val="none"/>
              </w:rPr>
            </w:pPr>
          </w:p>
        </w:tc>
        <w:tc>
          <w:tcPr>
            <w:tcW w:w="784" w:type="pct"/>
            <w:tcBorders>
              <w:tl2br w:val="nil"/>
              <w:tr2bl w:val="nil"/>
            </w:tcBorders>
            <w:vAlign w:val="center"/>
          </w:tcPr>
          <w:p w14:paraId="1C33949E">
            <w:pPr>
              <w:tabs>
                <w:tab w:val="left" w:pos="576"/>
              </w:tabs>
              <w:ind w:left="-105" w:right="-105"/>
              <w:jc w:val="center"/>
              <w:rPr>
                <w:rFonts w:ascii="Times New Roman" w:hAnsi="Times New Roman"/>
                <w:color w:val="auto"/>
                <w:sz w:val="21"/>
                <w:szCs w:val="21"/>
                <w:highlight w:val="none"/>
              </w:rPr>
            </w:pPr>
            <w:r>
              <w:rPr>
                <w:rFonts w:ascii="Times New Roman" w:hAnsi="Times New Roman"/>
                <w:color w:val="auto"/>
                <w:sz w:val="21"/>
                <w:szCs w:val="21"/>
                <w:highlight w:val="none"/>
              </w:rPr>
              <w:t>噪声排放</w:t>
            </w:r>
          </w:p>
        </w:tc>
        <w:tc>
          <w:tcPr>
            <w:tcW w:w="436" w:type="pct"/>
            <w:tcBorders>
              <w:tl2br w:val="nil"/>
              <w:tr2bl w:val="nil"/>
            </w:tcBorders>
            <w:vAlign w:val="center"/>
          </w:tcPr>
          <w:p w14:paraId="6C1B56EB">
            <w:pPr>
              <w:ind w:left="-105" w:right="-105"/>
              <w:jc w:val="center"/>
              <w:rPr>
                <w:rFonts w:ascii="Times New Roman" w:hAnsi="Times New Roman"/>
                <w:color w:val="auto"/>
                <w:sz w:val="21"/>
                <w:szCs w:val="21"/>
                <w:highlight w:val="none"/>
              </w:rPr>
            </w:pPr>
          </w:p>
        </w:tc>
        <w:tc>
          <w:tcPr>
            <w:tcW w:w="436" w:type="pct"/>
            <w:tcBorders>
              <w:tl2br w:val="nil"/>
              <w:tr2bl w:val="nil"/>
            </w:tcBorders>
            <w:vAlign w:val="center"/>
          </w:tcPr>
          <w:p w14:paraId="1292BD13">
            <w:pPr>
              <w:ind w:left="-105" w:right="-105"/>
              <w:jc w:val="center"/>
              <w:rPr>
                <w:rFonts w:ascii="Times New Roman" w:hAnsi="Times New Roman"/>
                <w:color w:val="auto"/>
                <w:sz w:val="21"/>
                <w:szCs w:val="21"/>
                <w:highlight w:val="none"/>
              </w:rPr>
            </w:pPr>
          </w:p>
        </w:tc>
        <w:tc>
          <w:tcPr>
            <w:tcW w:w="436" w:type="pct"/>
            <w:tcBorders>
              <w:tl2br w:val="nil"/>
              <w:tr2bl w:val="nil"/>
            </w:tcBorders>
            <w:vAlign w:val="center"/>
          </w:tcPr>
          <w:p w14:paraId="33534A4B">
            <w:pPr>
              <w:ind w:left="-105" w:right="-105"/>
              <w:jc w:val="center"/>
              <w:rPr>
                <w:rFonts w:ascii="Times New Roman" w:hAnsi="Times New Roman"/>
                <w:color w:val="auto"/>
                <w:sz w:val="21"/>
                <w:szCs w:val="21"/>
                <w:highlight w:val="none"/>
              </w:rPr>
            </w:pPr>
          </w:p>
        </w:tc>
        <w:tc>
          <w:tcPr>
            <w:tcW w:w="436" w:type="pct"/>
            <w:tcBorders>
              <w:tl2br w:val="nil"/>
              <w:tr2bl w:val="nil"/>
            </w:tcBorders>
            <w:vAlign w:val="center"/>
          </w:tcPr>
          <w:p w14:paraId="4DE64F5A">
            <w:pPr>
              <w:ind w:left="-105" w:right="-105"/>
              <w:jc w:val="center"/>
              <w:rPr>
                <w:rFonts w:ascii="Times New Roman" w:hAnsi="Times New Roman"/>
                <w:color w:val="auto"/>
                <w:sz w:val="21"/>
                <w:szCs w:val="21"/>
                <w:highlight w:val="none"/>
              </w:rPr>
            </w:pPr>
          </w:p>
        </w:tc>
        <w:tc>
          <w:tcPr>
            <w:tcW w:w="445" w:type="pct"/>
            <w:tcBorders>
              <w:tl2br w:val="nil"/>
              <w:tr2bl w:val="nil"/>
            </w:tcBorders>
            <w:vAlign w:val="center"/>
          </w:tcPr>
          <w:p w14:paraId="24F2F10B">
            <w:pPr>
              <w:tabs>
                <w:tab w:val="left" w:pos="576"/>
              </w:tabs>
              <w:ind w:left="-105" w:right="-105"/>
              <w:jc w:val="center"/>
              <w:rPr>
                <w:rFonts w:ascii="Times New Roman" w:hAnsi="Times New Roman"/>
                <w:color w:val="auto"/>
                <w:sz w:val="21"/>
                <w:szCs w:val="21"/>
                <w:highlight w:val="none"/>
              </w:rPr>
            </w:pPr>
            <w:r>
              <w:rPr>
                <w:rFonts w:ascii="Times New Roman" w:hAnsi="Times New Roman" w:cs="Times New Roman"/>
                <w:color w:val="auto"/>
                <w:sz w:val="21"/>
                <w:szCs w:val="21"/>
                <w:highlight w:val="none"/>
              </w:rPr>
              <w:t>-1L</w:t>
            </w:r>
          </w:p>
        </w:tc>
        <w:tc>
          <w:tcPr>
            <w:tcW w:w="400" w:type="pct"/>
            <w:tcBorders>
              <w:tl2br w:val="nil"/>
              <w:tr2bl w:val="nil"/>
            </w:tcBorders>
            <w:vAlign w:val="center"/>
          </w:tcPr>
          <w:p w14:paraId="31EC7089">
            <w:pPr>
              <w:ind w:left="-105" w:right="-105"/>
              <w:jc w:val="center"/>
              <w:rPr>
                <w:rFonts w:ascii="Times New Roman" w:hAnsi="Times New Roman"/>
                <w:color w:val="auto"/>
                <w:sz w:val="21"/>
                <w:szCs w:val="21"/>
                <w:highlight w:val="none"/>
              </w:rPr>
            </w:pPr>
          </w:p>
        </w:tc>
        <w:tc>
          <w:tcPr>
            <w:tcW w:w="400" w:type="pct"/>
            <w:tcBorders>
              <w:tl2br w:val="nil"/>
              <w:tr2bl w:val="nil"/>
            </w:tcBorders>
            <w:vAlign w:val="center"/>
          </w:tcPr>
          <w:p w14:paraId="3A7A8F36">
            <w:pPr>
              <w:ind w:left="-105" w:right="-105"/>
              <w:jc w:val="center"/>
              <w:rPr>
                <w:rFonts w:ascii="Times New Roman" w:hAnsi="Times New Roman"/>
                <w:color w:val="auto"/>
                <w:sz w:val="21"/>
                <w:szCs w:val="21"/>
                <w:highlight w:val="none"/>
              </w:rPr>
            </w:pPr>
          </w:p>
        </w:tc>
        <w:tc>
          <w:tcPr>
            <w:tcW w:w="400" w:type="pct"/>
            <w:tcBorders>
              <w:tl2br w:val="nil"/>
              <w:tr2bl w:val="nil"/>
            </w:tcBorders>
            <w:vAlign w:val="center"/>
          </w:tcPr>
          <w:p w14:paraId="6FFAD248">
            <w:pPr>
              <w:ind w:left="-105" w:right="-105"/>
              <w:jc w:val="center"/>
              <w:rPr>
                <w:rFonts w:ascii="Times New Roman" w:hAnsi="Times New Roman"/>
                <w:color w:val="auto"/>
                <w:sz w:val="21"/>
                <w:szCs w:val="21"/>
                <w:highlight w:val="none"/>
              </w:rPr>
            </w:pPr>
          </w:p>
        </w:tc>
        <w:tc>
          <w:tcPr>
            <w:tcW w:w="553" w:type="pct"/>
            <w:tcBorders>
              <w:tl2br w:val="nil"/>
              <w:tr2bl w:val="nil"/>
            </w:tcBorders>
            <w:vAlign w:val="center"/>
          </w:tcPr>
          <w:p w14:paraId="6A9D33A9">
            <w:pPr>
              <w:ind w:left="-105" w:right="-105"/>
              <w:jc w:val="center"/>
              <w:rPr>
                <w:rFonts w:ascii="Times New Roman" w:hAnsi="Times New Roman"/>
                <w:color w:val="auto"/>
                <w:sz w:val="21"/>
                <w:szCs w:val="21"/>
                <w:highlight w:val="none"/>
              </w:rPr>
            </w:pPr>
          </w:p>
        </w:tc>
      </w:tr>
      <w:tr w14:paraId="4465CCF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270" w:type="pct"/>
            <w:vMerge w:val="continue"/>
            <w:tcBorders>
              <w:tl2br w:val="nil"/>
              <w:tr2bl w:val="nil"/>
            </w:tcBorders>
            <w:textDirection w:val="tbRlV"/>
            <w:vAlign w:val="center"/>
          </w:tcPr>
          <w:p w14:paraId="4BD770B8">
            <w:pPr>
              <w:ind w:left="-105" w:right="-105"/>
              <w:jc w:val="center"/>
              <w:rPr>
                <w:rFonts w:ascii="Times New Roman" w:hAnsi="Times New Roman"/>
                <w:color w:val="auto"/>
                <w:sz w:val="21"/>
                <w:szCs w:val="21"/>
                <w:highlight w:val="none"/>
              </w:rPr>
            </w:pPr>
          </w:p>
        </w:tc>
        <w:tc>
          <w:tcPr>
            <w:tcW w:w="784" w:type="pct"/>
            <w:tcBorders>
              <w:tl2br w:val="nil"/>
              <w:tr2bl w:val="nil"/>
            </w:tcBorders>
            <w:vAlign w:val="center"/>
          </w:tcPr>
          <w:p w14:paraId="1C6F363C">
            <w:pPr>
              <w:tabs>
                <w:tab w:val="left" w:pos="576"/>
              </w:tabs>
              <w:ind w:left="-105" w:right="-105"/>
              <w:jc w:val="center"/>
              <w:rPr>
                <w:rFonts w:ascii="Times New Roman" w:hAnsi="Times New Roman"/>
                <w:color w:val="auto"/>
                <w:sz w:val="21"/>
                <w:szCs w:val="21"/>
                <w:highlight w:val="none"/>
              </w:rPr>
            </w:pPr>
            <w:r>
              <w:rPr>
                <w:rFonts w:ascii="Times New Roman" w:hAnsi="Times New Roman"/>
                <w:color w:val="auto"/>
                <w:sz w:val="21"/>
                <w:szCs w:val="21"/>
                <w:highlight w:val="none"/>
              </w:rPr>
              <w:t>固体废物</w:t>
            </w:r>
          </w:p>
        </w:tc>
        <w:tc>
          <w:tcPr>
            <w:tcW w:w="436" w:type="pct"/>
            <w:tcBorders>
              <w:tl2br w:val="nil"/>
              <w:tr2bl w:val="nil"/>
            </w:tcBorders>
            <w:vAlign w:val="center"/>
          </w:tcPr>
          <w:p w14:paraId="39306004">
            <w:pPr>
              <w:ind w:left="-105" w:right="-105"/>
              <w:jc w:val="center"/>
              <w:rPr>
                <w:rFonts w:ascii="Times New Roman" w:hAnsi="Times New Roman"/>
                <w:color w:val="auto"/>
                <w:sz w:val="21"/>
                <w:szCs w:val="21"/>
                <w:highlight w:val="none"/>
              </w:rPr>
            </w:pPr>
            <w:r>
              <w:rPr>
                <w:rFonts w:ascii="Times New Roman" w:hAnsi="Times New Roman" w:cs="Times New Roman"/>
                <w:color w:val="auto"/>
                <w:sz w:val="21"/>
                <w:szCs w:val="21"/>
                <w:highlight w:val="none"/>
              </w:rPr>
              <w:t>-1SI</w:t>
            </w:r>
          </w:p>
        </w:tc>
        <w:tc>
          <w:tcPr>
            <w:tcW w:w="436" w:type="pct"/>
            <w:tcBorders>
              <w:tl2br w:val="nil"/>
              <w:tr2bl w:val="nil"/>
            </w:tcBorders>
            <w:vAlign w:val="center"/>
          </w:tcPr>
          <w:p w14:paraId="242FB1A4">
            <w:pPr>
              <w:ind w:left="-105" w:right="-105"/>
              <w:jc w:val="center"/>
              <w:rPr>
                <w:rFonts w:ascii="Times New Roman" w:hAnsi="Times New Roman"/>
                <w:color w:val="auto"/>
                <w:sz w:val="21"/>
                <w:szCs w:val="21"/>
                <w:highlight w:val="none"/>
              </w:rPr>
            </w:pPr>
            <w:r>
              <w:rPr>
                <w:rFonts w:ascii="Times New Roman" w:hAnsi="Times New Roman" w:cs="Times New Roman"/>
                <w:color w:val="auto"/>
                <w:sz w:val="21"/>
                <w:szCs w:val="21"/>
                <w:highlight w:val="none"/>
              </w:rPr>
              <w:t>-1SI</w:t>
            </w:r>
          </w:p>
        </w:tc>
        <w:tc>
          <w:tcPr>
            <w:tcW w:w="436" w:type="pct"/>
            <w:tcBorders>
              <w:tl2br w:val="nil"/>
              <w:tr2bl w:val="nil"/>
            </w:tcBorders>
            <w:vAlign w:val="center"/>
          </w:tcPr>
          <w:p w14:paraId="5BB7F3CD">
            <w:pPr>
              <w:ind w:left="-105" w:right="-105"/>
              <w:jc w:val="center"/>
              <w:rPr>
                <w:rFonts w:ascii="Times New Roman" w:hAnsi="Times New Roman"/>
                <w:color w:val="auto"/>
                <w:sz w:val="21"/>
                <w:szCs w:val="21"/>
                <w:highlight w:val="none"/>
              </w:rPr>
            </w:pPr>
            <w:r>
              <w:rPr>
                <w:rFonts w:ascii="Times New Roman" w:hAnsi="Times New Roman" w:cs="Times New Roman"/>
                <w:color w:val="auto"/>
                <w:sz w:val="21"/>
                <w:szCs w:val="21"/>
                <w:highlight w:val="none"/>
              </w:rPr>
              <w:t>-1SI</w:t>
            </w:r>
          </w:p>
        </w:tc>
        <w:tc>
          <w:tcPr>
            <w:tcW w:w="436" w:type="pct"/>
            <w:tcBorders>
              <w:tl2br w:val="nil"/>
              <w:tr2bl w:val="nil"/>
            </w:tcBorders>
            <w:vAlign w:val="center"/>
          </w:tcPr>
          <w:p w14:paraId="272C6B61">
            <w:pPr>
              <w:ind w:left="-105" w:right="-105"/>
              <w:jc w:val="center"/>
              <w:rPr>
                <w:rFonts w:ascii="Times New Roman" w:hAnsi="Times New Roman"/>
                <w:color w:val="auto"/>
                <w:sz w:val="21"/>
                <w:szCs w:val="21"/>
                <w:highlight w:val="none"/>
              </w:rPr>
            </w:pPr>
            <w:r>
              <w:rPr>
                <w:rFonts w:ascii="Times New Roman" w:hAnsi="Times New Roman" w:cs="Times New Roman"/>
                <w:color w:val="auto"/>
                <w:sz w:val="21"/>
                <w:szCs w:val="21"/>
                <w:highlight w:val="none"/>
              </w:rPr>
              <w:t>-1LD</w:t>
            </w:r>
          </w:p>
        </w:tc>
        <w:tc>
          <w:tcPr>
            <w:tcW w:w="445" w:type="pct"/>
            <w:tcBorders>
              <w:tl2br w:val="nil"/>
              <w:tr2bl w:val="nil"/>
            </w:tcBorders>
            <w:vAlign w:val="center"/>
          </w:tcPr>
          <w:p w14:paraId="7BA12637">
            <w:pPr>
              <w:ind w:left="-105" w:right="-105"/>
              <w:jc w:val="center"/>
              <w:rPr>
                <w:rFonts w:ascii="Times New Roman" w:hAnsi="Times New Roman"/>
                <w:color w:val="auto"/>
                <w:sz w:val="21"/>
                <w:szCs w:val="21"/>
                <w:highlight w:val="none"/>
              </w:rPr>
            </w:pPr>
          </w:p>
        </w:tc>
        <w:tc>
          <w:tcPr>
            <w:tcW w:w="400" w:type="pct"/>
            <w:tcBorders>
              <w:tl2br w:val="nil"/>
              <w:tr2bl w:val="nil"/>
            </w:tcBorders>
            <w:vAlign w:val="center"/>
          </w:tcPr>
          <w:p w14:paraId="59BF45D5">
            <w:pPr>
              <w:tabs>
                <w:tab w:val="left" w:pos="576"/>
              </w:tabs>
              <w:ind w:left="-105" w:right="-105"/>
              <w:jc w:val="center"/>
              <w:rPr>
                <w:rFonts w:ascii="Times New Roman" w:hAnsi="Times New Roman"/>
                <w:color w:val="auto"/>
                <w:sz w:val="21"/>
                <w:szCs w:val="21"/>
                <w:highlight w:val="none"/>
              </w:rPr>
            </w:pPr>
          </w:p>
        </w:tc>
        <w:tc>
          <w:tcPr>
            <w:tcW w:w="400" w:type="pct"/>
            <w:tcBorders>
              <w:tl2br w:val="nil"/>
              <w:tr2bl w:val="nil"/>
            </w:tcBorders>
            <w:vAlign w:val="center"/>
          </w:tcPr>
          <w:p w14:paraId="26BB58CE">
            <w:pPr>
              <w:ind w:left="-105" w:right="-105"/>
              <w:jc w:val="center"/>
              <w:rPr>
                <w:rFonts w:ascii="Times New Roman" w:hAnsi="Times New Roman"/>
                <w:color w:val="auto"/>
                <w:sz w:val="21"/>
                <w:szCs w:val="21"/>
                <w:highlight w:val="none"/>
              </w:rPr>
            </w:pPr>
          </w:p>
        </w:tc>
        <w:tc>
          <w:tcPr>
            <w:tcW w:w="400" w:type="pct"/>
            <w:tcBorders>
              <w:tl2br w:val="nil"/>
              <w:tr2bl w:val="nil"/>
            </w:tcBorders>
            <w:vAlign w:val="center"/>
          </w:tcPr>
          <w:p w14:paraId="020B492D">
            <w:pPr>
              <w:ind w:left="-105" w:right="-105"/>
              <w:jc w:val="center"/>
              <w:rPr>
                <w:rFonts w:ascii="Times New Roman" w:hAnsi="Times New Roman"/>
                <w:color w:val="auto"/>
                <w:sz w:val="21"/>
                <w:szCs w:val="21"/>
                <w:highlight w:val="none"/>
              </w:rPr>
            </w:pPr>
          </w:p>
        </w:tc>
        <w:tc>
          <w:tcPr>
            <w:tcW w:w="553" w:type="pct"/>
            <w:tcBorders>
              <w:tl2br w:val="nil"/>
              <w:tr2bl w:val="nil"/>
            </w:tcBorders>
            <w:vAlign w:val="center"/>
          </w:tcPr>
          <w:p w14:paraId="71557802">
            <w:pPr>
              <w:ind w:left="-105" w:right="-105"/>
              <w:jc w:val="center"/>
              <w:rPr>
                <w:rFonts w:ascii="Times New Roman" w:hAnsi="Times New Roman"/>
                <w:color w:val="auto"/>
                <w:sz w:val="21"/>
                <w:szCs w:val="21"/>
                <w:highlight w:val="none"/>
              </w:rPr>
            </w:pPr>
          </w:p>
        </w:tc>
      </w:tr>
      <w:tr w14:paraId="4BCE5D8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cantSplit/>
          <w:trHeight w:val="340" w:hRule="atLeast"/>
          <w:jc w:val="center"/>
        </w:trPr>
        <w:tc>
          <w:tcPr>
            <w:tcW w:w="270" w:type="pct"/>
            <w:vMerge w:val="continue"/>
            <w:tcBorders>
              <w:tl2br w:val="nil"/>
              <w:tr2bl w:val="nil"/>
            </w:tcBorders>
            <w:textDirection w:val="tbRlV"/>
            <w:vAlign w:val="center"/>
          </w:tcPr>
          <w:p w14:paraId="639F0DB8">
            <w:pPr>
              <w:ind w:left="-105" w:right="-105"/>
              <w:jc w:val="center"/>
              <w:rPr>
                <w:rFonts w:ascii="Times New Roman" w:hAnsi="Times New Roman"/>
                <w:color w:val="auto"/>
                <w:sz w:val="21"/>
                <w:szCs w:val="21"/>
                <w:highlight w:val="none"/>
              </w:rPr>
            </w:pPr>
          </w:p>
        </w:tc>
        <w:tc>
          <w:tcPr>
            <w:tcW w:w="784" w:type="pct"/>
            <w:tcBorders>
              <w:tl2br w:val="nil"/>
              <w:tr2bl w:val="nil"/>
            </w:tcBorders>
            <w:vAlign w:val="center"/>
          </w:tcPr>
          <w:p w14:paraId="00CE52B2">
            <w:pPr>
              <w:tabs>
                <w:tab w:val="left" w:pos="576"/>
              </w:tabs>
              <w:ind w:left="-105" w:right="-105"/>
              <w:jc w:val="center"/>
              <w:rPr>
                <w:rFonts w:ascii="Times New Roman" w:hAnsi="Times New Roman"/>
                <w:color w:val="auto"/>
                <w:sz w:val="21"/>
                <w:szCs w:val="21"/>
                <w:highlight w:val="none"/>
              </w:rPr>
            </w:pPr>
            <w:r>
              <w:rPr>
                <w:rFonts w:ascii="Times New Roman" w:hAnsi="Times New Roman"/>
                <w:color w:val="auto"/>
                <w:sz w:val="21"/>
                <w:szCs w:val="21"/>
                <w:highlight w:val="none"/>
              </w:rPr>
              <w:t>事故风险</w:t>
            </w:r>
          </w:p>
        </w:tc>
        <w:tc>
          <w:tcPr>
            <w:tcW w:w="436" w:type="pct"/>
            <w:tcBorders>
              <w:tl2br w:val="nil"/>
              <w:tr2bl w:val="nil"/>
            </w:tcBorders>
            <w:vAlign w:val="center"/>
          </w:tcPr>
          <w:p w14:paraId="25086414">
            <w:pPr>
              <w:tabs>
                <w:tab w:val="left" w:pos="576"/>
              </w:tabs>
              <w:ind w:left="-105" w:right="-105"/>
              <w:jc w:val="center"/>
              <w:rPr>
                <w:rFonts w:ascii="Times New Roman" w:hAnsi="Times New Roman"/>
                <w:color w:val="auto"/>
                <w:sz w:val="21"/>
                <w:szCs w:val="21"/>
                <w:highlight w:val="none"/>
              </w:rPr>
            </w:pPr>
            <w:r>
              <w:rPr>
                <w:rFonts w:ascii="Times New Roman" w:hAnsi="Times New Roman" w:cs="Times New Roman"/>
                <w:color w:val="auto"/>
                <w:sz w:val="21"/>
                <w:szCs w:val="21"/>
                <w:highlight w:val="none"/>
              </w:rPr>
              <w:t>-2S</w:t>
            </w:r>
          </w:p>
        </w:tc>
        <w:tc>
          <w:tcPr>
            <w:tcW w:w="436" w:type="pct"/>
            <w:tcBorders>
              <w:tl2br w:val="nil"/>
              <w:tr2bl w:val="nil"/>
            </w:tcBorders>
            <w:vAlign w:val="center"/>
          </w:tcPr>
          <w:p w14:paraId="385CE109">
            <w:pPr>
              <w:tabs>
                <w:tab w:val="left" w:pos="576"/>
              </w:tabs>
              <w:ind w:left="-105" w:right="-105"/>
              <w:jc w:val="center"/>
              <w:rPr>
                <w:rFonts w:ascii="Times New Roman" w:hAnsi="Times New Roman"/>
                <w:color w:val="auto"/>
                <w:sz w:val="21"/>
                <w:szCs w:val="21"/>
                <w:highlight w:val="none"/>
              </w:rPr>
            </w:pPr>
            <w:r>
              <w:rPr>
                <w:rFonts w:ascii="Times New Roman" w:hAnsi="Times New Roman" w:cs="Times New Roman"/>
                <w:color w:val="auto"/>
                <w:sz w:val="21"/>
                <w:szCs w:val="21"/>
                <w:highlight w:val="none"/>
              </w:rPr>
              <w:t>-2S</w:t>
            </w:r>
          </w:p>
        </w:tc>
        <w:tc>
          <w:tcPr>
            <w:tcW w:w="436" w:type="pct"/>
            <w:tcBorders>
              <w:tl2br w:val="nil"/>
              <w:tr2bl w:val="nil"/>
            </w:tcBorders>
            <w:vAlign w:val="center"/>
          </w:tcPr>
          <w:p w14:paraId="6A388C65">
            <w:pPr>
              <w:ind w:left="-105" w:right="-105"/>
              <w:jc w:val="center"/>
              <w:rPr>
                <w:rFonts w:ascii="Times New Roman" w:hAnsi="Times New Roman"/>
                <w:color w:val="auto"/>
                <w:sz w:val="21"/>
                <w:szCs w:val="21"/>
                <w:highlight w:val="none"/>
              </w:rPr>
            </w:pPr>
            <w:r>
              <w:rPr>
                <w:rFonts w:ascii="Times New Roman" w:hAnsi="Times New Roman" w:cs="Times New Roman"/>
                <w:color w:val="auto"/>
                <w:sz w:val="21"/>
                <w:szCs w:val="21"/>
                <w:highlight w:val="none"/>
              </w:rPr>
              <w:t>-2S</w:t>
            </w:r>
          </w:p>
        </w:tc>
        <w:tc>
          <w:tcPr>
            <w:tcW w:w="436" w:type="pct"/>
            <w:tcBorders>
              <w:tl2br w:val="nil"/>
              <w:tr2bl w:val="nil"/>
            </w:tcBorders>
            <w:vAlign w:val="center"/>
          </w:tcPr>
          <w:p w14:paraId="3F50DB11">
            <w:pPr>
              <w:ind w:left="-105" w:right="-105"/>
              <w:jc w:val="center"/>
              <w:rPr>
                <w:rFonts w:ascii="Times New Roman" w:hAnsi="Times New Roman"/>
                <w:color w:val="auto"/>
                <w:sz w:val="21"/>
                <w:szCs w:val="21"/>
                <w:highlight w:val="none"/>
              </w:rPr>
            </w:pPr>
            <w:r>
              <w:rPr>
                <w:rFonts w:ascii="Times New Roman" w:hAnsi="Times New Roman" w:cs="Times New Roman"/>
                <w:color w:val="auto"/>
                <w:sz w:val="21"/>
                <w:szCs w:val="21"/>
                <w:highlight w:val="none"/>
              </w:rPr>
              <w:t>-2S</w:t>
            </w:r>
          </w:p>
        </w:tc>
        <w:tc>
          <w:tcPr>
            <w:tcW w:w="445" w:type="pct"/>
            <w:tcBorders>
              <w:tl2br w:val="nil"/>
              <w:tr2bl w:val="nil"/>
            </w:tcBorders>
            <w:vAlign w:val="center"/>
          </w:tcPr>
          <w:p w14:paraId="2DC033DD">
            <w:pPr>
              <w:ind w:left="-105" w:right="-105"/>
              <w:jc w:val="center"/>
              <w:rPr>
                <w:rFonts w:ascii="Times New Roman" w:hAnsi="Times New Roman"/>
                <w:color w:val="auto"/>
                <w:sz w:val="21"/>
                <w:szCs w:val="21"/>
                <w:highlight w:val="none"/>
              </w:rPr>
            </w:pPr>
          </w:p>
        </w:tc>
        <w:tc>
          <w:tcPr>
            <w:tcW w:w="400" w:type="pct"/>
            <w:tcBorders>
              <w:tl2br w:val="nil"/>
              <w:tr2bl w:val="nil"/>
            </w:tcBorders>
            <w:vAlign w:val="center"/>
          </w:tcPr>
          <w:p w14:paraId="0428CFBC">
            <w:pPr>
              <w:ind w:left="-105" w:right="-105"/>
              <w:jc w:val="center"/>
              <w:rPr>
                <w:rFonts w:ascii="Times New Roman" w:hAnsi="Times New Roman"/>
                <w:color w:val="auto"/>
                <w:sz w:val="21"/>
                <w:szCs w:val="21"/>
                <w:highlight w:val="none"/>
              </w:rPr>
            </w:pPr>
            <w:r>
              <w:rPr>
                <w:rFonts w:ascii="Times New Roman" w:hAnsi="Times New Roman" w:cs="Times New Roman"/>
                <w:color w:val="auto"/>
                <w:sz w:val="21"/>
                <w:szCs w:val="21"/>
                <w:highlight w:val="none"/>
              </w:rPr>
              <w:t>-2S</w:t>
            </w:r>
          </w:p>
        </w:tc>
        <w:tc>
          <w:tcPr>
            <w:tcW w:w="400" w:type="pct"/>
            <w:tcBorders>
              <w:tl2br w:val="nil"/>
              <w:tr2bl w:val="nil"/>
            </w:tcBorders>
            <w:vAlign w:val="center"/>
          </w:tcPr>
          <w:p w14:paraId="22F667C4">
            <w:pPr>
              <w:ind w:left="-105" w:right="-105"/>
              <w:jc w:val="center"/>
              <w:rPr>
                <w:rFonts w:ascii="Times New Roman" w:hAnsi="Times New Roman"/>
                <w:color w:val="auto"/>
                <w:sz w:val="21"/>
                <w:szCs w:val="21"/>
                <w:highlight w:val="none"/>
              </w:rPr>
            </w:pPr>
            <w:r>
              <w:rPr>
                <w:rFonts w:ascii="Times New Roman" w:hAnsi="Times New Roman" w:cs="Times New Roman"/>
                <w:color w:val="auto"/>
                <w:sz w:val="21"/>
                <w:szCs w:val="21"/>
                <w:highlight w:val="none"/>
              </w:rPr>
              <w:t>-2S</w:t>
            </w:r>
          </w:p>
        </w:tc>
        <w:tc>
          <w:tcPr>
            <w:tcW w:w="400" w:type="pct"/>
            <w:tcBorders>
              <w:tl2br w:val="nil"/>
              <w:tr2bl w:val="nil"/>
            </w:tcBorders>
            <w:vAlign w:val="center"/>
          </w:tcPr>
          <w:p w14:paraId="18BA8BC5">
            <w:pPr>
              <w:ind w:left="-105" w:right="-105"/>
              <w:jc w:val="center"/>
              <w:rPr>
                <w:rFonts w:ascii="Times New Roman" w:hAnsi="Times New Roman"/>
                <w:color w:val="auto"/>
                <w:sz w:val="21"/>
                <w:szCs w:val="21"/>
                <w:highlight w:val="none"/>
              </w:rPr>
            </w:pPr>
          </w:p>
        </w:tc>
        <w:tc>
          <w:tcPr>
            <w:tcW w:w="553" w:type="pct"/>
            <w:tcBorders>
              <w:tl2br w:val="nil"/>
              <w:tr2bl w:val="nil"/>
            </w:tcBorders>
            <w:vAlign w:val="center"/>
          </w:tcPr>
          <w:p w14:paraId="0C71B46A">
            <w:pPr>
              <w:ind w:left="-105" w:right="-105"/>
              <w:jc w:val="center"/>
              <w:rPr>
                <w:rFonts w:ascii="Times New Roman" w:hAnsi="Times New Roman"/>
                <w:color w:val="auto"/>
                <w:sz w:val="21"/>
                <w:szCs w:val="21"/>
                <w:highlight w:val="none"/>
              </w:rPr>
            </w:pPr>
          </w:p>
        </w:tc>
      </w:tr>
    </w:tbl>
    <w:p w14:paraId="6040E25C">
      <w:pPr>
        <w:spacing w:line="360" w:lineRule="auto"/>
        <w:ind w:left="-105" w:right="-105" w:firstLine="402"/>
        <w:rPr>
          <w:rFonts w:ascii="Times New Roman" w:hAnsi="Times New Roman"/>
          <w:b/>
          <w:bCs/>
          <w:color w:val="auto"/>
          <w:sz w:val="20"/>
          <w:szCs w:val="20"/>
          <w:highlight w:val="none"/>
        </w:rPr>
      </w:pPr>
      <w:r>
        <w:rPr>
          <w:rFonts w:ascii="Times New Roman" w:hAnsi="Times New Roman"/>
          <w:b/>
          <w:bCs/>
          <w:color w:val="auto"/>
          <w:sz w:val="20"/>
          <w:szCs w:val="20"/>
          <w:highlight w:val="none"/>
        </w:rPr>
        <w:t>说明：“+”、“-”分别表示有利、不利影响；“L”、“S”分别表示长期、短期影响；“0”、“1”、“2”、“3”数值分别表示无影响、轻微影响、中等影响和重大影响；用“D”、“I”表示直接、间接影响。</w:t>
      </w:r>
    </w:p>
    <w:p w14:paraId="68E0CC8A">
      <w:pPr>
        <w:spacing w:line="360" w:lineRule="auto"/>
        <w:ind w:left="-105" w:right="-105" w:firstLine="480" w:firstLineChars="200"/>
        <w:rPr>
          <w:rFonts w:ascii="Times New Roman" w:hAnsi="Times New Roman"/>
          <w:color w:val="auto"/>
          <w:highlight w:val="none"/>
        </w:rPr>
      </w:pPr>
      <w:r>
        <w:rPr>
          <w:rFonts w:ascii="Times New Roman" w:hAnsi="Times New Roman"/>
          <w:color w:val="auto"/>
          <w:highlight w:val="none"/>
        </w:rPr>
        <w:t>通过上表可以看出，综合考虑本项目对环境的影响</w:t>
      </w:r>
      <w:r>
        <w:rPr>
          <w:rFonts w:hint="eastAsia" w:ascii="Times New Roman" w:hAnsi="Times New Roman"/>
          <w:color w:val="auto"/>
          <w:highlight w:val="none"/>
          <w:lang w:eastAsia="zh-CN"/>
        </w:rPr>
        <w:t>，</w:t>
      </w:r>
      <w:r>
        <w:rPr>
          <w:rFonts w:ascii="Times New Roman" w:hAnsi="Times New Roman"/>
          <w:color w:val="auto"/>
          <w:highlight w:val="none"/>
        </w:rPr>
        <w:t>在运行期的各种活动所产生的污染物对环境资源的影响是长期的，且影响程度大小有所不同。</w:t>
      </w:r>
      <w:r>
        <w:rPr>
          <w:rFonts w:ascii="Times New Roman" w:hAnsi="Times New Roman" w:cs="Times New Roman"/>
          <w:color w:val="auto"/>
          <w:highlight w:val="none"/>
        </w:rPr>
        <w:t>本项目的环境影响主要体现在对大气环境、地表水环境、地下水环境、土壤环境、声环境等方面。</w:t>
      </w:r>
      <w:r>
        <w:rPr>
          <w:rFonts w:ascii="Times New Roman" w:hAnsi="Times New Roman"/>
          <w:color w:val="auto"/>
          <w:highlight w:val="none"/>
        </w:rPr>
        <w:t>据此可以确定，本次评价时段为建设工程运营期。在评价时段内，对周围环境影响因子主要为废气、废水，其次是固体废物及噪声等。</w:t>
      </w:r>
    </w:p>
    <w:p w14:paraId="419F1C09">
      <w:pPr>
        <w:pStyle w:val="6"/>
        <w:keepLines w:val="0"/>
        <w:widowControl/>
        <w:numPr>
          <w:ilvl w:val="0"/>
          <w:numId w:val="0"/>
        </w:numPr>
        <w:tabs>
          <w:tab w:val="left" w:pos="0"/>
          <w:tab w:val="left" w:pos="2550"/>
        </w:tabs>
        <w:spacing w:before="120" w:beforeLines="50" w:after="120" w:afterLines="50" w:line="360" w:lineRule="auto"/>
        <w:ind w:right="-105"/>
        <w:rPr>
          <w:rFonts w:ascii="Times New Roman" w:hAnsi="Times New Roman"/>
          <w:color w:val="auto"/>
          <w:sz w:val="24"/>
          <w:szCs w:val="24"/>
          <w:highlight w:val="none"/>
        </w:rPr>
      </w:pPr>
      <w:r>
        <w:rPr>
          <w:rFonts w:ascii="Times New Roman" w:hAnsi="Times New Roman"/>
          <w:color w:val="auto"/>
          <w:sz w:val="24"/>
          <w:szCs w:val="24"/>
          <w:highlight w:val="none"/>
        </w:rPr>
        <w:t>2.3.1.2评价因子筛选</w:t>
      </w:r>
    </w:p>
    <w:p w14:paraId="33699B0E">
      <w:pPr>
        <w:spacing w:line="360" w:lineRule="auto"/>
        <w:ind w:left="-105" w:right="-105" w:firstLine="480" w:firstLineChars="200"/>
        <w:rPr>
          <w:rFonts w:ascii="Times New Roman" w:hAnsi="Times New Roman"/>
          <w:color w:val="auto"/>
          <w:highlight w:val="none"/>
        </w:rPr>
      </w:pPr>
      <w:r>
        <w:rPr>
          <w:rFonts w:ascii="Times New Roman" w:hAnsi="Times New Roman"/>
          <w:color w:val="auto"/>
          <w:highlight w:val="none"/>
        </w:rPr>
        <w:t>本项目评价因子筛选结果见</w:t>
      </w:r>
      <w:r>
        <w:rPr>
          <w:rFonts w:hint="eastAsia" w:ascii="Times New Roman" w:hAnsi="Times New Roman"/>
          <w:color w:val="auto"/>
          <w:highlight w:val="none"/>
        </w:rPr>
        <w:t>下表</w:t>
      </w:r>
      <w:r>
        <w:rPr>
          <w:rFonts w:ascii="Times New Roman" w:hAnsi="Times New Roman"/>
          <w:color w:val="auto"/>
          <w:highlight w:val="none"/>
        </w:rPr>
        <w:t>。</w:t>
      </w:r>
    </w:p>
    <w:p w14:paraId="22E72754">
      <w:pPr>
        <w:pStyle w:val="15"/>
        <w:spacing w:line="360" w:lineRule="auto"/>
        <w:ind w:left="-105" w:right="-105" w:firstLine="482"/>
        <w:rPr>
          <w:rFonts w:eastAsia="宋体" w:cs="Times New Roman"/>
          <w:color w:val="auto"/>
          <w:sz w:val="24"/>
          <w:szCs w:val="22"/>
          <w:highlight w:val="none"/>
        </w:rPr>
      </w:pPr>
      <w:bookmarkStart w:id="123" w:name="_Ref17710132"/>
      <w:bookmarkStart w:id="124" w:name="_Ref17461884"/>
      <w:r>
        <w:rPr>
          <w:rFonts w:eastAsia="宋体" w:cs="Times New Roman"/>
          <w:color w:val="auto"/>
          <w:sz w:val="24"/>
          <w:szCs w:val="22"/>
          <w:highlight w:val="none"/>
        </w:rPr>
        <w:t>表</w:t>
      </w:r>
      <w:r>
        <w:rPr>
          <w:rFonts w:eastAsia="宋体" w:cs="Times New Roman"/>
          <w:color w:val="auto"/>
          <w:sz w:val="24"/>
          <w:szCs w:val="22"/>
          <w:highlight w:val="none"/>
        </w:rPr>
        <w:fldChar w:fldCharType="begin"/>
      </w:r>
      <w:r>
        <w:rPr>
          <w:rFonts w:eastAsia="宋体" w:cs="Times New Roman"/>
          <w:color w:val="auto"/>
          <w:sz w:val="24"/>
          <w:szCs w:val="22"/>
          <w:highlight w:val="none"/>
        </w:rPr>
        <w:instrText xml:space="preserve"> STYLEREF 2 \s </w:instrText>
      </w:r>
      <w:r>
        <w:rPr>
          <w:rFonts w:eastAsia="宋体" w:cs="Times New Roman"/>
          <w:color w:val="auto"/>
          <w:sz w:val="24"/>
          <w:szCs w:val="22"/>
          <w:highlight w:val="none"/>
        </w:rPr>
        <w:fldChar w:fldCharType="separate"/>
      </w:r>
      <w:r>
        <w:rPr>
          <w:rFonts w:eastAsia="宋体" w:cs="Times New Roman"/>
          <w:color w:val="auto"/>
          <w:sz w:val="24"/>
          <w:szCs w:val="22"/>
          <w:highlight w:val="none"/>
        </w:rPr>
        <w:t>2.3</w:t>
      </w:r>
      <w:r>
        <w:rPr>
          <w:rFonts w:eastAsia="宋体" w:cs="Times New Roman"/>
          <w:color w:val="auto"/>
          <w:sz w:val="24"/>
          <w:szCs w:val="22"/>
          <w:highlight w:val="none"/>
        </w:rPr>
        <w:fldChar w:fldCharType="end"/>
      </w:r>
      <w:r>
        <w:rPr>
          <w:rFonts w:eastAsia="宋体" w:cs="Times New Roman"/>
          <w:color w:val="auto"/>
          <w:sz w:val="24"/>
          <w:szCs w:val="22"/>
          <w:highlight w:val="none"/>
        </w:rPr>
        <w:noBreakHyphen/>
      </w:r>
      <w:r>
        <w:rPr>
          <w:rFonts w:eastAsia="宋体" w:cs="Times New Roman"/>
          <w:color w:val="auto"/>
          <w:sz w:val="24"/>
          <w:szCs w:val="22"/>
          <w:highlight w:val="none"/>
        </w:rPr>
        <w:fldChar w:fldCharType="begin"/>
      </w:r>
      <w:r>
        <w:rPr>
          <w:rFonts w:eastAsia="宋体" w:cs="Times New Roman"/>
          <w:color w:val="auto"/>
          <w:sz w:val="24"/>
          <w:szCs w:val="22"/>
          <w:highlight w:val="none"/>
        </w:rPr>
        <w:instrText xml:space="preserve"> SEQ 表 \* ARABIC \s 2 </w:instrText>
      </w:r>
      <w:r>
        <w:rPr>
          <w:rFonts w:eastAsia="宋体" w:cs="Times New Roman"/>
          <w:color w:val="auto"/>
          <w:sz w:val="24"/>
          <w:szCs w:val="22"/>
          <w:highlight w:val="none"/>
        </w:rPr>
        <w:fldChar w:fldCharType="separate"/>
      </w:r>
      <w:r>
        <w:rPr>
          <w:rFonts w:eastAsia="宋体" w:cs="Times New Roman"/>
          <w:color w:val="auto"/>
          <w:sz w:val="24"/>
          <w:szCs w:val="22"/>
          <w:highlight w:val="none"/>
        </w:rPr>
        <w:t>2</w:t>
      </w:r>
      <w:r>
        <w:rPr>
          <w:rFonts w:eastAsia="宋体" w:cs="Times New Roman"/>
          <w:color w:val="auto"/>
          <w:sz w:val="24"/>
          <w:szCs w:val="22"/>
          <w:highlight w:val="none"/>
        </w:rPr>
        <w:fldChar w:fldCharType="end"/>
      </w:r>
      <w:bookmarkEnd w:id="123"/>
      <w:bookmarkEnd w:id="124"/>
      <w:r>
        <w:rPr>
          <w:rFonts w:eastAsia="宋体" w:cs="Times New Roman"/>
          <w:color w:val="auto"/>
          <w:sz w:val="24"/>
          <w:szCs w:val="22"/>
          <w:highlight w:val="none"/>
        </w:rPr>
        <w:t>评价因子筛选</w:t>
      </w:r>
    </w:p>
    <w:tbl>
      <w:tblPr>
        <w:tblStyle w:val="45"/>
        <w:tblW w:w="5000" w:type="pct"/>
        <w:jc w:val="center"/>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autofit"/>
        <w:tblCellMar>
          <w:top w:w="0" w:type="dxa"/>
          <w:left w:w="108" w:type="dxa"/>
          <w:bottom w:w="0" w:type="dxa"/>
          <w:right w:w="108" w:type="dxa"/>
        </w:tblCellMar>
      </w:tblPr>
      <w:tblGrid>
        <w:gridCol w:w="902"/>
        <w:gridCol w:w="3357"/>
        <w:gridCol w:w="2005"/>
        <w:gridCol w:w="2456"/>
      </w:tblGrid>
      <w:tr w14:paraId="60E1D659">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108" w:type="dxa"/>
            <w:bottom w:w="0" w:type="dxa"/>
            <w:right w:w="108" w:type="dxa"/>
          </w:tblCellMar>
        </w:tblPrEx>
        <w:trPr>
          <w:trHeight w:val="340" w:hRule="atLeast"/>
          <w:jc w:val="center"/>
        </w:trPr>
        <w:tc>
          <w:tcPr>
            <w:tcW w:w="517" w:type="pct"/>
            <w:tcBorders>
              <w:top w:val="single" w:color="auto" w:sz="12" w:space="0"/>
              <w:left w:val="nil"/>
              <w:bottom w:val="single" w:color="000000" w:sz="4" w:space="0"/>
              <w:right w:val="single" w:color="000000" w:sz="4" w:space="0"/>
            </w:tcBorders>
            <w:vAlign w:val="center"/>
          </w:tcPr>
          <w:p w14:paraId="2041BFF9">
            <w:pPr>
              <w:pStyle w:val="98"/>
              <w:ind w:left="-105" w:right="-105"/>
              <w:rPr>
                <w:rFonts w:eastAsia="宋体"/>
                <w:b/>
                <w:color w:val="auto"/>
                <w:sz w:val="21"/>
                <w:szCs w:val="21"/>
                <w:highlight w:val="none"/>
              </w:rPr>
            </w:pPr>
            <w:r>
              <w:rPr>
                <w:rFonts w:eastAsia="宋体"/>
                <w:b/>
                <w:color w:val="auto"/>
                <w:sz w:val="21"/>
                <w:szCs w:val="21"/>
                <w:highlight w:val="none"/>
              </w:rPr>
              <w:t>项目</w:t>
            </w:r>
          </w:p>
        </w:tc>
        <w:tc>
          <w:tcPr>
            <w:tcW w:w="1924" w:type="pct"/>
            <w:tcBorders>
              <w:top w:val="single" w:color="auto" w:sz="12" w:space="0"/>
              <w:left w:val="single" w:color="000000" w:sz="4" w:space="0"/>
              <w:bottom w:val="single" w:color="000000" w:sz="4" w:space="0"/>
              <w:right w:val="single" w:color="000000" w:sz="4" w:space="0"/>
            </w:tcBorders>
            <w:vAlign w:val="center"/>
          </w:tcPr>
          <w:p w14:paraId="4BD51441">
            <w:pPr>
              <w:pStyle w:val="98"/>
              <w:ind w:left="-105" w:right="-105"/>
              <w:rPr>
                <w:rFonts w:eastAsia="宋体"/>
                <w:b/>
                <w:color w:val="auto"/>
                <w:sz w:val="21"/>
                <w:szCs w:val="21"/>
                <w:highlight w:val="none"/>
              </w:rPr>
            </w:pPr>
            <w:r>
              <w:rPr>
                <w:rFonts w:eastAsia="宋体"/>
                <w:b/>
                <w:color w:val="auto"/>
                <w:sz w:val="21"/>
                <w:szCs w:val="21"/>
                <w:highlight w:val="none"/>
              </w:rPr>
              <w:t>现状评价因子</w:t>
            </w:r>
          </w:p>
        </w:tc>
        <w:tc>
          <w:tcPr>
            <w:tcW w:w="1149" w:type="pct"/>
            <w:tcBorders>
              <w:top w:val="single" w:color="auto" w:sz="12" w:space="0"/>
              <w:left w:val="single" w:color="000000" w:sz="4" w:space="0"/>
              <w:bottom w:val="single" w:color="000000" w:sz="4" w:space="0"/>
              <w:right w:val="single" w:color="000000" w:sz="4" w:space="0"/>
            </w:tcBorders>
            <w:vAlign w:val="center"/>
          </w:tcPr>
          <w:p w14:paraId="11D8256C">
            <w:pPr>
              <w:pStyle w:val="98"/>
              <w:ind w:left="-105" w:right="-105"/>
              <w:rPr>
                <w:rFonts w:eastAsia="宋体"/>
                <w:b/>
                <w:color w:val="auto"/>
                <w:sz w:val="21"/>
                <w:szCs w:val="21"/>
                <w:highlight w:val="none"/>
              </w:rPr>
            </w:pPr>
            <w:r>
              <w:rPr>
                <w:rFonts w:eastAsia="宋体"/>
                <w:b/>
                <w:color w:val="auto"/>
                <w:sz w:val="21"/>
                <w:szCs w:val="21"/>
                <w:highlight w:val="none"/>
              </w:rPr>
              <w:t>影响评价因子</w:t>
            </w:r>
          </w:p>
        </w:tc>
        <w:tc>
          <w:tcPr>
            <w:tcW w:w="1408" w:type="pct"/>
            <w:tcBorders>
              <w:top w:val="single" w:color="auto" w:sz="12" w:space="0"/>
              <w:left w:val="single" w:color="000000" w:sz="4" w:space="0"/>
              <w:bottom w:val="single" w:color="000000" w:sz="4" w:space="0"/>
              <w:right w:val="nil"/>
            </w:tcBorders>
            <w:vAlign w:val="center"/>
          </w:tcPr>
          <w:p w14:paraId="0CA076EA">
            <w:pPr>
              <w:pStyle w:val="98"/>
              <w:ind w:left="-105" w:right="-105"/>
              <w:rPr>
                <w:rFonts w:eastAsia="宋体"/>
                <w:b/>
                <w:color w:val="auto"/>
                <w:sz w:val="21"/>
                <w:szCs w:val="21"/>
                <w:highlight w:val="none"/>
              </w:rPr>
            </w:pPr>
            <w:r>
              <w:rPr>
                <w:rFonts w:eastAsia="宋体"/>
                <w:b/>
                <w:color w:val="auto"/>
                <w:sz w:val="21"/>
                <w:szCs w:val="21"/>
                <w:highlight w:val="none"/>
              </w:rPr>
              <w:t>总量控制因子</w:t>
            </w:r>
          </w:p>
        </w:tc>
      </w:tr>
      <w:tr w14:paraId="1546E08F">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108" w:type="dxa"/>
            <w:bottom w:w="0" w:type="dxa"/>
            <w:right w:w="108" w:type="dxa"/>
          </w:tblCellMar>
        </w:tblPrEx>
        <w:trPr>
          <w:trHeight w:val="340" w:hRule="atLeast"/>
          <w:jc w:val="center"/>
        </w:trPr>
        <w:tc>
          <w:tcPr>
            <w:tcW w:w="517" w:type="pct"/>
            <w:tcBorders>
              <w:top w:val="single" w:color="000000" w:sz="4" w:space="0"/>
              <w:left w:val="nil"/>
              <w:bottom w:val="single" w:color="000000" w:sz="4" w:space="0"/>
              <w:right w:val="single" w:color="000000" w:sz="4" w:space="0"/>
            </w:tcBorders>
            <w:vAlign w:val="center"/>
          </w:tcPr>
          <w:p w14:paraId="547A77BB">
            <w:pPr>
              <w:pStyle w:val="98"/>
              <w:ind w:left="-105" w:right="-105"/>
              <w:rPr>
                <w:rFonts w:eastAsia="宋体"/>
                <w:color w:val="auto"/>
                <w:sz w:val="21"/>
                <w:szCs w:val="21"/>
                <w:highlight w:val="none"/>
              </w:rPr>
            </w:pPr>
            <w:r>
              <w:rPr>
                <w:rFonts w:eastAsia="宋体"/>
                <w:color w:val="auto"/>
                <w:sz w:val="21"/>
                <w:szCs w:val="21"/>
                <w:highlight w:val="none"/>
              </w:rPr>
              <w:t>大气环境</w:t>
            </w:r>
          </w:p>
        </w:tc>
        <w:tc>
          <w:tcPr>
            <w:tcW w:w="1924" w:type="pct"/>
            <w:tcBorders>
              <w:top w:val="single" w:color="000000" w:sz="4" w:space="0"/>
              <w:left w:val="single" w:color="000000" w:sz="4" w:space="0"/>
              <w:bottom w:val="single" w:color="000000" w:sz="4" w:space="0"/>
              <w:right w:val="single" w:color="000000" w:sz="4" w:space="0"/>
            </w:tcBorders>
            <w:vAlign w:val="center"/>
          </w:tcPr>
          <w:p w14:paraId="0BDEB690">
            <w:pPr>
              <w:pStyle w:val="98"/>
              <w:ind w:left="-105" w:right="-105"/>
              <w:rPr>
                <w:rFonts w:eastAsia="宋体"/>
                <w:color w:val="auto"/>
                <w:sz w:val="21"/>
                <w:szCs w:val="21"/>
                <w:highlight w:val="none"/>
              </w:rPr>
            </w:pPr>
            <w:r>
              <w:rPr>
                <w:rFonts w:eastAsia="宋体"/>
                <w:color w:val="auto"/>
                <w:sz w:val="21"/>
                <w:szCs w:val="21"/>
                <w:highlight w:val="none"/>
              </w:rPr>
              <w:t>SO</w:t>
            </w:r>
            <w:r>
              <w:rPr>
                <w:rFonts w:eastAsia="宋体"/>
                <w:color w:val="auto"/>
                <w:sz w:val="21"/>
                <w:szCs w:val="21"/>
                <w:highlight w:val="none"/>
                <w:vertAlign w:val="subscript"/>
              </w:rPr>
              <w:t>2</w:t>
            </w:r>
            <w:r>
              <w:rPr>
                <w:rFonts w:eastAsia="宋体"/>
                <w:color w:val="auto"/>
                <w:sz w:val="21"/>
                <w:szCs w:val="21"/>
                <w:highlight w:val="none"/>
              </w:rPr>
              <w:t>、NO</w:t>
            </w:r>
            <w:r>
              <w:rPr>
                <w:rFonts w:eastAsia="宋体"/>
                <w:color w:val="auto"/>
                <w:sz w:val="21"/>
                <w:szCs w:val="21"/>
                <w:highlight w:val="none"/>
                <w:vertAlign w:val="subscript"/>
              </w:rPr>
              <w:t>2</w:t>
            </w:r>
            <w:r>
              <w:rPr>
                <w:rFonts w:eastAsia="宋体"/>
                <w:color w:val="auto"/>
                <w:sz w:val="21"/>
                <w:szCs w:val="21"/>
                <w:highlight w:val="none"/>
              </w:rPr>
              <w:t>、PM</w:t>
            </w:r>
            <w:r>
              <w:rPr>
                <w:rFonts w:eastAsia="宋体"/>
                <w:color w:val="auto"/>
                <w:sz w:val="21"/>
                <w:szCs w:val="21"/>
                <w:highlight w:val="none"/>
                <w:vertAlign w:val="subscript"/>
              </w:rPr>
              <w:t>2.5</w:t>
            </w:r>
            <w:r>
              <w:rPr>
                <w:rFonts w:eastAsia="宋体"/>
                <w:color w:val="auto"/>
                <w:sz w:val="21"/>
                <w:szCs w:val="21"/>
                <w:highlight w:val="none"/>
              </w:rPr>
              <w:t>、PM</w:t>
            </w:r>
            <w:r>
              <w:rPr>
                <w:rFonts w:eastAsia="宋体"/>
                <w:color w:val="auto"/>
                <w:sz w:val="21"/>
                <w:szCs w:val="21"/>
                <w:highlight w:val="none"/>
                <w:vertAlign w:val="subscript"/>
              </w:rPr>
              <w:t>10</w:t>
            </w:r>
            <w:r>
              <w:rPr>
                <w:rFonts w:eastAsia="宋体"/>
                <w:color w:val="auto"/>
                <w:sz w:val="21"/>
                <w:szCs w:val="21"/>
                <w:highlight w:val="none"/>
              </w:rPr>
              <w:t>、CO、O</w:t>
            </w:r>
            <w:r>
              <w:rPr>
                <w:rFonts w:eastAsia="宋体"/>
                <w:color w:val="auto"/>
                <w:sz w:val="21"/>
                <w:szCs w:val="21"/>
                <w:highlight w:val="none"/>
                <w:vertAlign w:val="subscript"/>
              </w:rPr>
              <w:t>3</w:t>
            </w:r>
            <w:r>
              <w:rPr>
                <w:rFonts w:eastAsia="宋体"/>
                <w:color w:val="auto"/>
                <w:sz w:val="21"/>
                <w:szCs w:val="21"/>
                <w:highlight w:val="none"/>
              </w:rPr>
              <w:t>、</w:t>
            </w:r>
            <w:r>
              <w:rPr>
                <w:rFonts w:hint="eastAsia" w:eastAsia="宋体"/>
                <w:color w:val="auto"/>
                <w:sz w:val="21"/>
                <w:szCs w:val="21"/>
                <w:highlight w:val="none"/>
                <w:lang w:val="en-US"/>
              </w:rPr>
              <w:t>非甲烷总烃、甲醇</w:t>
            </w:r>
            <w:r>
              <w:rPr>
                <w:rFonts w:hint="eastAsia"/>
                <w:color w:val="auto"/>
                <w:sz w:val="21"/>
                <w:szCs w:val="21"/>
                <w:highlight w:val="none"/>
                <w:lang w:val="en-US"/>
              </w:rPr>
              <w:t>、</w:t>
            </w:r>
            <w:r>
              <w:rPr>
                <w:rFonts w:eastAsia="宋体"/>
                <w:color w:val="auto"/>
                <w:sz w:val="21"/>
                <w:szCs w:val="21"/>
                <w:highlight w:val="none"/>
              </w:rPr>
              <w:t>NOx</w:t>
            </w:r>
          </w:p>
        </w:tc>
        <w:tc>
          <w:tcPr>
            <w:tcW w:w="1149" w:type="pct"/>
            <w:tcBorders>
              <w:top w:val="single" w:color="000000" w:sz="4" w:space="0"/>
              <w:left w:val="single" w:color="000000" w:sz="4" w:space="0"/>
              <w:bottom w:val="single" w:color="000000" w:sz="4" w:space="0"/>
              <w:right w:val="single" w:color="000000" w:sz="4" w:space="0"/>
            </w:tcBorders>
            <w:vAlign w:val="center"/>
          </w:tcPr>
          <w:p w14:paraId="07D940B2">
            <w:pPr>
              <w:pStyle w:val="98"/>
              <w:ind w:left="-105" w:right="-105"/>
              <w:rPr>
                <w:rFonts w:eastAsia="宋体"/>
                <w:color w:val="auto"/>
                <w:sz w:val="21"/>
                <w:szCs w:val="21"/>
                <w:highlight w:val="none"/>
              </w:rPr>
            </w:pPr>
            <w:r>
              <w:rPr>
                <w:rFonts w:hint="eastAsia" w:eastAsia="宋体"/>
                <w:color w:val="auto"/>
                <w:sz w:val="21"/>
                <w:szCs w:val="21"/>
                <w:highlight w:val="none"/>
                <w:lang w:val="en-US"/>
              </w:rPr>
              <w:t>非甲烷总烃</w:t>
            </w:r>
            <w:r>
              <w:rPr>
                <w:rFonts w:hint="eastAsia" w:eastAsia="宋体"/>
                <w:color w:val="auto"/>
                <w:sz w:val="21"/>
                <w:szCs w:val="21"/>
                <w:highlight w:val="none"/>
                <w:lang w:val="en-US"/>
              </w:rPr>
              <w:t>、甲醇、氮氧化物</w:t>
            </w:r>
          </w:p>
        </w:tc>
        <w:tc>
          <w:tcPr>
            <w:tcW w:w="1408" w:type="pct"/>
            <w:tcBorders>
              <w:top w:val="single" w:color="000000" w:sz="4" w:space="0"/>
              <w:left w:val="single" w:color="000000" w:sz="4" w:space="0"/>
              <w:bottom w:val="single" w:color="000000" w:sz="4" w:space="0"/>
              <w:right w:val="nil"/>
            </w:tcBorders>
            <w:vAlign w:val="center"/>
          </w:tcPr>
          <w:p w14:paraId="456BC302">
            <w:pPr>
              <w:pStyle w:val="98"/>
              <w:ind w:left="-105" w:right="-105"/>
              <w:rPr>
                <w:rFonts w:eastAsia="宋体"/>
                <w:color w:val="auto"/>
                <w:sz w:val="21"/>
                <w:szCs w:val="21"/>
                <w:highlight w:val="none"/>
              </w:rPr>
            </w:pPr>
            <w:r>
              <w:rPr>
                <w:rFonts w:hint="eastAsia" w:eastAsia="宋体"/>
                <w:color w:val="auto"/>
                <w:sz w:val="21"/>
                <w:szCs w:val="21"/>
                <w:highlight w:val="none"/>
                <w:lang w:val="en-US"/>
              </w:rPr>
              <w:t>非甲烷总烃</w:t>
            </w:r>
            <w:r>
              <w:rPr>
                <w:rFonts w:hint="eastAsia" w:eastAsia="宋体"/>
                <w:color w:val="auto"/>
                <w:sz w:val="21"/>
                <w:szCs w:val="21"/>
                <w:highlight w:val="none"/>
                <w:lang w:val="en-US"/>
              </w:rPr>
              <w:t>、甲醇、氮氧化物</w:t>
            </w:r>
          </w:p>
        </w:tc>
      </w:tr>
      <w:tr w14:paraId="10AB3B81">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108" w:type="dxa"/>
            <w:bottom w:w="0" w:type="dxa"/>
            <w:right w:w="108" w:type="dxa"/>
          </w:tblCellMar>
        </w:tblPrEx>
        <w:trPr>
          <w:trHeight w:val="340" w:hRule="atLeast"/>
          <w:jc w:val="center"/>
        </w:trPr>
        <w:tc>
          <w:tcPr>
            <w:tcW w:w="517" w:type="pct"/>
            <w:tcBorders>
              <w:top w:val="single" w:color="000000" w:sz="4" w:space="0"/>
              <w:left w:val="nil"/>
              <w:bottom w:val="single" w:color="000000" w:sz="4" w:space="0"/>
              <w:right w:val="single" w:color="000000" w:sz="4" w:space="0"/>
            </w:tcBorders>
            <w:vAlign w:val="center"/>
          </w:tcPr>
          <w:p w14:paraId="55553B82">
            <w:pPr>
              <w:pStyle w:val="98"/>
              <w:ind w:left="-105" w:right="-105"/>
              <w:rPr>
                <w:rFonts w:eastAsia="宋体"/>
                <w:color w:val="auto"/>
                <w:sz w:val="21"/>
                <w:szCs w:val="21"/>
                <w:highlight w:val="none"/>
              </w:rPr>
            </w:pPr>
            <w:r>
              <w:rPr>
                <w:rFonts w:eastAsia="宋体"/>
                <w:color w:val="auto"/>
                <w:sz w:val="21"/>
                <w:szCs w:val="21"/>
                <w:highlight w:val="none"/>
              </w:rPr>
              <w:t>地表水</w:t>
            </w:r>
          </w:p>
          <w:p w14:paraId="47EBFA2E">
            <w:pPr>
              <w:pStyle w:val="98"/>
              <w:ind w:left="-105" w:right="-105"/>
              <w:rPr>
                <w:rFonts w:eastAsia="宋体"/>
                <w:color w:val="auto"/>
                <w:sz w:val="21"/>
                <w:szCs w:val="21"/>
                <w:highlight w:val="none"/>
              </w:rPr>
            </w:pPr>
            <w:r>
              <w:rPr>
                <w:rFonts w:eastAsia="宋体"/>
                <w:color w:val="auto"/>
                <w:sz w:val="21"/>
                <w:szCs w:val="21"/>
                <w:highlight w:val="none"/>
              </w:rPr>
              <w:t>环境</w:t>
            </w:r>
          </w:p>
        </w:tc>
        <w:tc>
          <w:tcPr>
            <w:tcW w:w="1924" w:type="pct"/>
            <w:tcBorders>
              <w:top w:val="single" w:color="000000" w:sz="4" w:space="0"/>
              <w:left w:val="single" w:color="000000" w:sz="4" w:space="0"/>
              <w:bottom w:val="single" w:color="000000" w:sz="4" w:space="0"/>
              <w:right w:val="single" w:color="000000" w:sz="4" w:space="0"/>
            </w:tcBorders>
            <w:vAlign w:val="center"/>
          </w:tcPr>
          <w:p w14:paraId="0D626BFA">
            <w:pPr>
              <w:pStyle w:val="98"/>
              <w:ind w:left="-105" w:right="-105"/>
              <w:rPr>
                <w:rFonts w:eastAsia="宋体"/>
                <w:color w:val="auto"/>
                <w:sz w:val="21"/>
                <w:szCs w:val="21"/>
                <w:highlight w:val="none"/>
              </w:rPr>
            </w:pPr>
            <w:r>
              <w:rPr>
                <w:rFonts w:eastAsia="宋体"/>
                <w:color w:val="auto"/>
                <w:position w:val="1"/>
                <w:sz w:val="21"/>
                <w:szCs w:val="21"/>
                <w:highlight w:val="none"/>
              </w:rPr>
              <w:t>pH、CODcr、BOD</w:t>
            </w:r>
            <w:r>
              <w:rPr>
                <w:rFonts w:eastAsia="宋体"/>
                <w:color w:val="auto"/>
                <w:sz w:val="21"/>
                <w:szCs w:val="21"/>
                <w:highlight w:val="none"/>
                <w:vertAlign w:val="subscript"/>
              </w:rPr>
              <w:t>5</w:t>
            </w:r>
            <w:r>
              <w:rPr>
                <w:rFonts w:eastAsia="宋体"/>
                <w:color w:val="auto"/>
                <w:position w:val="1"/>
                <w:sz w:val="21"/>
                <w:szCs w:val="21"/>
                <w:highlight w:val="none"/>
              </w:rPr>
              <w:t>、SS、氨氮、总磷、总氮</w:t>
            </w:r>
          </w:p>
        </w:tc>
        <w:tc>
          <w:tcPr>
            <w:tcW w:w="1149" w:type="pct"/>
            <w:tcBorders>
              <w:top w:val="single" w:color="000000" w:sz="4" w:space="0"/>
              <w:left w:val="single" w:color="000000" w:sz="4" w:space="0"/>
              <w:bottom w:val="single" w:color="000000" w:sz="4" w:space="0"/>
              <w:right w:val="single" w:color="000000" w:sz="4" w:space="0"/>
            </w:tcBorders>
            <w:vAlign w:val="center"/>
          </w:tcPr>
          <w:p w14:paraId="389D1EE7">
            <w:pPr>
              <w:pStyle w:val="98"/>
              <w:ind w:left="-105" w:right="-105"/>
              <w:rPr>
                <w:rFonts w:eastAsia="宋体"/>
                <w:color w:val="auto"/>
                <w:sz w:val="21"/>
                <w:szCs w:val="21"/>
                <w:highlight w:val="none"/>
              </w:rPr>
            </w:pPr>
            <w:r>
              <w:rPr>
                <w:rFonts w:eastAsia="宋体"/>
                <w:color w:val="auto"/>
                <w:sz w:val="21"/>
                <w:szCs w:val="21"/>
                <w:highlight w:val="none"/>
              </w:rPr>
              <w:t>—</w:t>
            </w:r>
          </w:p>
        </w:tc>
        <w:tc>
          <w:tcPr>
            <w:tcW w:w="1408" w:type="pct"/>
            <w:tcBorders>
              <w:top w:val="single" w:color="000000" w:sz="4" w:space="0"/>
              <w:left w:val="single" w:color="000000" w:sz="4" w:space="0"/>
              <w:bottom w:val="single" w:color="000000" w:sz="4" w:space="0"/>
              <w:right w:val="nil"/>
            </w:tcBorders>
            <w:vAlign w:val="center"/>
          </w:tcPr>
          <w:p w14:paraId="64DC3B10">
            <w:pPr>
              <w:pStyle w:val="98"/>
              <w:ind w:left="-105" w:right="-105"/>
              <w:rPr>
                <w:rFonts w:eastAsia="宋体"/>
                <w:color w:val="auto"/>
                <w:sz w:val="21"/>
                <w:szCs w:val="21"/>
                <w:highlight w:val="none"/>
              </w:rPr>
            </w:pPr>
            <w:r>
              <w:rPr>
                <w:rFonts w:eastAsia="宋体"/>
                <w:color w:val="auto"/>
                <w:sz w:val="21"/>
                <w:szCs w:val="21"/>
                <w:highlight w:val="none"/>
              </w:rPr>
              <w:t>—</w:t>
            </w:r>
          </w:p>
        </w:tc>
      </w:tr>
      <w:tr w14:paraId="01162D03">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108" w:type="dxa"/>
            <w:bottom w:w="0" w:type="dxa"/>
            <w:right w:w="108" w:type="dxa"/>
          </w:tblCellMar>
        </w:tblPrEx>
        <w:trPr>
          <w:trHeight w:val="340" w:hRule="atLeast"/>
          <w:jc w:val="center"/>
        </w:trPr>
        <w:tc>
          <w:tcPr>
            <w:tcW w:w="517" w:type="pct"/>
            <w:tcBorders>
              <w:top w:val="single" w:color="000000" w:sz="4" w:space="0"/>
              <w:left w:val="nil"/>
              <w:bottom w:val="single" w:color="000000" w:sz="4" w:space="0"/>
              <w:right w:val="single" w:color="000000" w:sz="4" w:space="0"/>
            </w:tcBorders>
            <w:vAlign w:val="center"/>
          </w:tcPr>
          <w:p w14:paraId="367A420E">
            <w:pPr>
              <w:pStyle w:val="98"/>
              <w:ind w:left="-105" w:right="-105"/>
              <w:rPr>
                <w:rFonts w:eastAsia="宋体"/>
                <w:color w:val="auto"/>
                <w:sz w:val="21"/>
                <w:szCs w:val="21"/>
                <w:highlight w:val="none"/>
              </w:rPr>
            </w:pPr>
            <w:r>
              <w:rPr>
                <w:rFonts w:eastAsia="宋体"/>
                <w:color w:val="auto"/>
                <w:sz w:val="21"/>
                <w:szCs w:val="21"/>
                <w:highlight w:val="none"/>
              </w:rPr>
              <w:t>地下水环境</w:t>
            </w:r>
          </w:p>
        </w:tc>
        <w:tc>
          <w:tcPr>
            <w:tcW w:w="1924" w:type="pct"/>
            <w:tcBorders>
              <w:top w:val="single" w:color="000000" w:sz="4" w:space="0"/>
              <w:left w:val="single" w:color="000000" w:sz="4" w:space="0"/>
              <w:bottom w:val="single" w:color="000000" w:sz="4" w:space="0"/>
              <w:right w:val="single" w:color="000000" w:sz="4" w:space="0"/>
            </w:tcBorders>
            <w:vAlign w:val="center"/>
          </w:tcPr>
          <w:p w14:paraId="39B05DDE">
            <w:pPr>
              <w:pStyle w:val="98"/>
              <w:ind w:left="-105" w:right="-105"/>
              <w:rPr>
                <w:rFonts w:eastAsia="宋体"/>
                <w:color w:val="auto"/>
                <w:sz w:val="21"/>
                <w:szCs w:val="21"/>
                <w:highlight w:val="none"/>
              </w:rPr>
            </w:pPr>
            <w:r>
              <w:rPr>
                <w:color w:val="auto"/>
                <w:sz w:val="21"/>
                <w:szCs w:val="21"/>
                <w:highlight w:val="none"/>
              </w:rPr>
              <w:t>p</w:t>
            </w:r>
            <w:r>
              <w:rPr>
                <w:color w:val="auto"/>
                <w:sz w:val="21"/>
                <w:szCs w:val="21"/>
                <w:highlight w:val="none"/>
              </w:rPr>
              <w:t>H</w:t>
            </w:r>
            <w:r>
              <w:rPr>
                <w:rFonts w:hint="eastAsia" w:ascii="宋体" w:hAnsi="宋体" w:eastAsia="宋体" w:cs="宋体"/>
                <w:color w:val="auto"/>
                <w:sz w:val="21"/>
                <w:szCs w:val="21"/>
                <w:highlight w:val="none"/>
              </w:rPr>
              <w:t>值、</w:t>
            </w:r>
            <w:r>
              <w:rPr>
                <w:color w:val="auto"/>
                <w:sz w:val="21"/>
                <w:szCs w:val="21"/>
                <w:highlight w:val="none"/>
              </w:rPr>
              <w:t>K</w:t>
            </w:r>
            <w:r>
              <w:rPr>
                <w:color w:val="auto"/>
                <w:sz w:val="21"/>
                <w:szCs w:val="21"/>
                <w:highlight w:val="none"/>
                <w:vertAlign w:val="superscript"/>
              </w:rPr>
              <w:t>+</w:t>
            </w:r>
            <w:r>
              <w:rPr>
                <w:rFonts w:hint="eastAsia" w:ascii="宋体" w:hAnsi="宋体" w:eastAsia="宋体" w:cs="宋体"/>
                <w:color w:val="auto"/>
                <w:sz w:val="21"/>
                <w:szCs w:val="21"/>
                <w:highlight w:val="none"/>
              </w:rPr>
              <w:t>、</w:t>
            </w:r>
            <w:r>
              <w:rPr>
                <w:color w:val="auto"/>
                <w:sz w:val="21"/>
                <w:szCs w:val="21"/>
                <w:highlight w:val="none"/>
              </w:rPr>
              <w:t>Na</w:t>
            </w:r>
            <w:r>
              <w:rPr>
                <w:color w:val="auto"/>
                <w:sz w:val="21"/>
                <w:szCs w:val="21"/>
                <w:highlight w:val="none"/>
                <w:vertAlign w:val="superscript"/>
              </w:rPr>
              <w:t>+</w:t>
            </w:r>
            <w:r>
              <w:rPr>
                <w:rFonts w:hint="eastAsia" w:ascii="宋体" w:hAnsi="宋体" w:eastAsia="宋体" w:cs="宋体"/>
                <w:color w:val="auto"/>
                <w:sz w:val="21"/>
                <w:szCs w:val="21"/>
                <w:highlight w:val="none"/>
              </w:rPr>
              <w:t>、</w:t>
            </w:r>
            <w:r>
              <w:rPr>
                <w:color w:val="auto"/>
                <w:sz w:val="21"/>
                <w:szCs w:val="21"/>
                <w:highlight w:val="none"/>
              </w:rPr>
              <w:t>Ca</w:t>
            </w:r>
            <w:r>
              <w:rPr>
                <w:color w:val="auto"/>
                <w:sz w:val="21"/>
                <w:szCs w:val="21"/>
                <w:highlight w:val="none"/>
                <w:vertAlign w:val="superscript"/>
              </w:rPr>
              <w:t>2+</w:t>
            </w:r>
            <w:r>
              <w:rPr>
                <w:rFonts w:hint="eastAsia" w:ascii="宋体" w:hAnsi="宋体" w:eastAsia="宋体" w:cs="宋体"/>
                <w:color w:val="auto"/>
                <w:sz w:val="21"/>
                <w:szCs w:val="21"/>
                <w:highlight w:val="none"/>
              </w:rPr>
              <w:t>、</w:t>
            </w:r>
            <w:r>
              <w:rPr>
                <w:color w:val="auto"/>
                <w:sz w:val="21"/>
                <w:szCs w:val="21"/>
                <w:highlight w:val="none"/>
              </w:rPr>
              <w:t>Mg</w:t>
            </w:r>
            <w:r>
              <w:rPr>
                <w:color w:val="auto"/>
                <w:sz w:val="21"/>
                <w:szCs w:val="21"/>
                <w:highlight w:val="none"/>
                <w:vertAlign w:val="superscript"/>
              </w:rPr>
              <w:t>2+</w:t>
            </w:r>
            <w:r>
              <w:rPr>
                <w:rFonts w:hint="eastAsia" w:ascii="宋体" w:hAnsi="宋体" w:eastAsia="宋体" w:cs="宋体"/>
                <w:color w:val="auto"/>
                <w:sz w:val="21"/>
                <w:szCs w:val="21"/>
                <w:highlight w:val="none"/>
              </w:rPr>
              <w:t>、</w:t>
            </w:r>
            <w:r>
              <w:rPr>
                <w:color w:val="auto"/>
                <w:sz w:val="21"/>
                <w:szCs w:val="21"/>
                <w:highlight w:val="none"/>
              </w:rPr>
              <w:t>CO</w:t>
            </w:r>
            <w:r>
              <w:rPr>
                <w:color w:val="auto"/>
                <w:sz w:val="21"/>
                <w:szCs w:val="21"/>
                <w:highlight w:val="none"/>
                <w:vertAlign w:val="subscript"/>
              </w:rPr>
              <w:t>3</w:t>
            </w:r>
            <w:r>
              <w:rPr>
                <w:color w:val="auto"/>
                <w:sz w:val="21"/>
                <w:szCs w:val="21"/>
                <w:highlight w:val="none"/>
                <w:vertAlign w:val="superscript"/>
              </w:rPr>
              <w:t>2-</w:t>
            </w:r>
            <w:r>
              <w:rPr>
                <w:rFonts w:hint="eastAsia" w:ascii="宋体" w:hAnsi="宋体" w:eastAsia="宋体" w:cs="宋体"/>
                <w:color w:val="auto"/>
                <w:sz w:val="21"/>
                <w:szCs w:val="21"/>
                <w:highlight w:val="none"/>
              </w:rPr>
              <w:t>、</w:t>
            </w:r>
            <w:r>
              <w:rPr>
                <w:color w:val="auto"/>
                <w:sz w:val="21"/>
                <w:szCs w:val="21"/>
                <w:highlight w:val="none"/>
              </w:rPr>
              <w:t>HCO</w:t>
            </w:r>
            <w:r>
              <w:rPr>
                <w:color w:val="auto"/>
                <w:sz w:val="21"/>
                <w:szCs w:val="21"/>
                <w:highlight w:val="none"/>
                <w:vertAlign w:val="subscript"/>
              </w:rPr>
              <w:t>3</w:t>
            </w:r>
            <w:r>
              <w:rPr>
                <w:color w:val="auto"/>
                <w:sz w:val="21"/>
                <w:szCs w:val="21"/>
                <w:highlight w:val="none"/>
              </w:rPr>
              <w:t>-</w:t>
            </w:r>
            <w:r>
              <w:rPr>
                <w:rFonts w:hint="eastAsia" w:ascii="宋体" w:hAnsi="宋体" w:eastAsia="宋体" w:cs="宋体"/>
                <w:color w:val="auto"/>
                <w:sz w:val="21"/>
                <w:szCs w:val="21"/>
                <w:highlight w:val="none"/>
              </w:rPr>
              <w:t>、</w:t>
            </w:r>
            <w:r>
              <w:rPr>
                <w:color w:val="auto"/>
                <w:sz w:val="21"/>
                <w:szCs w:val="21"/>
                <w:highlight w:val="none"/>
              </w:rPr>
              <w:t>SO</w:t>
            </w:r>
            <w:r>
              <w:rPr>
                <w:color w:val="auto"/>
                <w:sz w:val="21"/>
                <w:szCs w:val="21"/>
                <w:highlight w:val="none"/>
                <w:vertAlign w:val="subscript"/>
              </w:rPr>
              <w:t>4</w:t>
            </w:r>
            <w:r>
              <w:rPr>
                <w:color w:val="auto"/>
                <w:sz w:val="21"/>
                <w:szCs w:val="21"/>
                <w:highlight w:val="none"/>
                <w:vertAlign w:val="superscript"/>
              </w:rPr>
              <w:t>2-</w:t>
            </w:r>
            <w:r>
              <w:rPr>
                <w:rFonts w:hint="eastAsia" w:ascii="宋体" w:hAnsi="宋体" w:eastAsia="宋体" w:cs="宋体"/>
                <w:color w:val="auto"/>
                <w:sz w:val="21"/>
                <w:szCs w:val="21"/>
                <w:highlight w:val="none"/>
              </w:rPr>
              <w:t>、</w:t>
            </w:r>
            <w:r>
              <w:rPr>
                <w:color w:val="auto"/>
                <w:sz w:val="21"/>
                <w:szCs w:val="21"/>
                <w:highlight w:val="none"/>
              </w:rPr>
              <w:t>Cl</w:t>
            </w:r>
            <w:r>
              <w:rPr>
                <w:color w:val="auto"/>
                <w:sz w:val="21"/>
                <w:szCs w:val="21"/>
                <w:highlight w:val="none"/>
                <w:vertAlign w:val="superscript"/>
              </w:rPr>
              <w:t>-</w:t>
            </w:r>
            <w:r>
              <w:rPr>
                <w:rFonts w:hint="eastAsia" w:ascii="宋体" w:hAnsi="宋体" w:eastAsia="宋体" w:cs="宋体"/>
                <w:color w:val="auto"/>
                <w:sz w:val="21"/>
                <w:szCs w:val="21"/>
                <w:highlight w:val="none"/>
              </w:rPr>
              <w:t>、氨氮、硝酸盐、亚硝酸盐、挥发性酚类、氰化物、砷、汞、六价铬、总硬度、铅、氟化物、镉、铁、锰、溶解性总固体、耗氧量、锌、镍、总铬、石油类、挥发性有机物、半挥发性有机物、地下水水位</w:t>
            </w:r>
          </w:p>
        </w:tc>
        <w:tc>
          <w:tcPr>
            <w:tcW w:w="1149" w:type="pct"/>
            <w:tcBorders>
              <w:top w:val="single" w:color="000000" w:sz="4" w:space="0"/>
              <w:left w:val="single" w:color="000000" w:sz="4" w:space="0"/>
              <w:bottom w:val="single" w:color="000000" w:sz="4" w:space="0"/>
              <w:right w:val="single" w:color="000000" w:sz="4" w:space="0"/>
            </w:tcBorders>
            <w:vAlign w:val="center"/>
          </w:tcPr>
          <w:p w14:paraId="2DA2594E">
            <w:pPr>
              <w:pStyle w:val="98"/>
              <w:ind w:left="-105" w:right="-105"/>
              <w:rPr>
                <w:rFonts w:eastAsia="宋体"/>
                <w:color w:val="auto"/>
                <w:sz w:val="21"/>
                <w:szCs w:val="21"/>
                <w:highlight w:val="none"/>
                <w:lang w:val="en-US"/>
              </w:rPr>
            </w:pPr>
            <w:r>
              <w:rPr>
                <w:rFonts w:hint="eastAsia" w:eastAsia="宋体"/>
                <w:color w:val="auto"/>
                <w:sz w:val="21"/>
                <w:szCs w:val="21"/>
                <w:highlight w:val="none"/>
                <w:lang w:val="en-US"/>
              </w:rPr>
              <w:t>pH、</w:t>
            </w:r>
            <w:r>
              <w:rPr>
                <w:rFonts w:hint="eastAsia" w:ascii="宋体" w:hAnsi="宋体" w:eastAsia="宋体" w:cs="宋体"/>
                <w:color w:val="auto"/>
                <w:sz w:val="21"/>
                <w:szCs w:val="21"/>
                <w:highlight w:val="none"/>
              </w:rPr>
              <w:t>耗氧量</w:t>
            </w:r>
            <w:r>
              <w:rPr>
                <w:rFonts w:hint="eastAsia" w:eastAsia="宋体"/>
                <w:color w:val="auto"/>
                <w:sz w:val="21"/>
                <w:szCs w:val="21"/>
                <w:highlight w:val="none"/>
                <w:lang w:val="en-US"/>
              </w:rPr>
              <w:t>、氨氮</w:t>
            </w:r>
          </w:p>
        </w:tc>
        <w:tc>
          <w:tcPr>
            <w:tcW w:w="1408" w:type="pct"/>
            <w:tcBorders>
              <w:top w:val="single" w:color="000000" w:sz="4" w:space="0"/>
              <w:left w:val="single" w:color="000000" w:sz="4" w:space="0"/>
              <w:bottom w:val="single" w:color="000000" w:sz="4" w:space="0"/>
              <w:right w:val="nil"/>
            </w:tcBorders>
            <w:vAlign w:val="center"/>
          </w:tcPr>
          <w:p w14:paraId="7ECFE803">
            <w:pPr>
              <w:pStyle w:val="98"/>
              <w:ind w:left="-105" w:right="-105"/>
              <w:rPr>
                <w:rFonts w:eastAsia="宋体"/>
                <w:color w:val="auto"/>
                <w:sz w:val="21"/>
                <w:szCs w:val="21"/>
                <w:highlight w:val="none"/>
              </w:rPr>
            </w:pPr>
            <w:r>
              <w:rPr>
                <w:rFonts w:eastAsia="宋体"/>
                <w:color w:val="auto"/>
                <w:sz w:val="21"/>
                <w:szCs w:val="21"/>
                <w:highlight w:val="none"/>
              </w:rPr>
              <w:t>—</w:t>
            </w:r>
          </w:p>
        </w:tc>
      </w:tr>
      <w:tr w14:paraId="31F84E47">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108" w:type="dxa"/>
            <w:bottom w:w="0" w:type="dxa"/>
            <w:right w:w="108" w:type="dxa"/>
          </w:tblCellMar>
        </w:tblPrEx>
        <w:trPr>
          <w:trHeight w:val="340" w:hRule="atLeast"/>
          <w:jc w:val="center"/>
        </w:trPr>
        <w:tc>
          <w:tcPr>
            <w:tcW w:w="517" w:type="pct"/>
            <w:tcBorders>
              <w:top w:val="single" w:color="000000" w:sz="4" w:space="0"/>
              <w:left w:val="nil"/>
              <w:bottom w:val="single" w:color="000000" w:sz="4" w:space="0"/>
              <w:right w:val="single" w:color="000000" w:sz="4" w:space="0"/>
            </w:tcBorders>
            <w:vAlign w:val="center"/>
          </w:tcPr>
          <w:p w14:paraId="22012ECA">
            <w:pPr>
              <w:pStyle w:val="98"/>
              <w:ind w:left="-105" w:right="-105"/>
              <w:rPr>
                <w:rFonts w:eastAsia="宋体"/>
                <w:color w:val="auto"/>
                <w:sz w:val="21"/>
                <w:szCs w:val="21"/>
                <w:highlight w:val="none"/>
              </w:rPr>
            </w:pPr>
            <w:r>
              <w:rPr>
                <w:rFonts w:eastAsia="宋体"/>
                <w:color w:val="auto"/>
                <w:sz w:val="21"/>
                <w:szCs w:val="21"/>
                <w:highlight w:val="none"/>
              </w:rPr>
              <w:t>声环境</w:t>
            </w:r>
          </w:p>
        </w:tc>
        <w:tc>
          <w:tcPr>
            <w:tcW w:w="1924" w:type="pct"/>
            <w:tcBorders>
              <w:top w:val="single" w:color="000000" w:sz="4" w:space="0"/>
              <w:left w:val="single" w:color="000000" w:sz="4" w:space="0"/>
              <w:bottom w:val="single" w:color="000000" w:sz="4" w:space="0"/>
              <w:right w:val="single" w:color="000000" w:sz="4" w:space="0"/>
            </w:tcBorders>
            <w:vAlign w:val="center"/>
          </w:tcPr>
          <w:p w14:paraId="357809BB">
            <w:pPr>
              <w:pStyle w:val="98"/>
              <w:ind w:left="-105" w:right="-105"/>
              <w:rPr>
                <w:rFonts w:eastAsia="宋体"/>
                <w:color w:val="auto"/>
                <w:sz w:val="21"/>
                <w:szCs w:val="21"/>
                <w:highlight w:val="none"/>
                <w:lang w:val="en-US"/>
              </w:rPr>
            </w:pPr>
            <w:r>
              <w:rPr>
                <w:rFonts w:hint="eastAsia" w:eastAsia="宋体"/>
                <w:color w:val="auto"/>
                <w:sz w:val="21"/>
                <w:szCs w:val="21"/>
                <w:highlight w:val="none"/>
                <w:lang w:val="en-US"/>
              </w:rPr>
              <w:t>环境噪声</w:t>
            </w:r>
          </w:p>
          <w:p w14:paraId="410F94F3">
            <w:pPr>
              <w:pStyle w:val="98"/>
              <w:ind w:left="-105" w:right="-105"/>
              <w:rPr>
                <w:rFonts w:eastAsia="宋体"/>
                <w:color w:val="auto"/>
                <w:sz w:val="21"/>
                <w:szCs w:val="21"/>
                <w:highlight w:val="none"/>
              </w:rPr>
            </w:pPr>
            <w:r>
              <w:rPr>
                <w:rFonts w:hint="eastAsia" w:eastAsia="宋体"/>
                <w:color w:val="auto"/>
                <w:sz w:val="21"/>
                <w:szCs w:val="21"/>
                <w:highlight w:val="none"/>
                <w:lang w:val="en-US"/>
              </w:rPr>
              <w:t>（</w:t>
            </w:r>
            <w:r>
              <w:rPr>
                <w:rFonts w:eastAsia="宋体"/>
                <w:color w:val="auto"/>
                <w:sz w:val="21"/>
                <w:szCs w:val="21"/>
                <w:highlight w:val="none"/>
              </w:rPr>
              <w:t>等效连续A声级</w:t>
            </w:r>
            <w:r>
              <w:rPr>
                <w:rFonts w:hint="eastAsia" w:eastAsia="宋体"/>
                <w:color w:val="auto"/>
                <w:sz w:val="21"/>
                <w:szCs w:val="21"/>
                <w:highlight w:val="none"/>
                <w:lang w:val="en-US"/>
              </w:rPr>
              <w:t>）</w:t>
            </w:r>
          </w:p>
        </w:tc>
        <w:tc>
          <w:tcPr>
            <w:tcW w:w="1149" w:type="pct"/>
            <w:tcBorders>
              <w:top w:val="single" w:color="000000" w:sz="4" w:space="0"/>
              <w:left w:val="single" w:color="000000" w:sz="4" w:space="0"/>
              <w:bottom w:val="single" w:color="000000" w:sz="4" w:space="0"/>
              <w:right w:val="single" w:color="000000" w:sz="4" w:space="0"/>
            </w:tcBorders>
            <w:vAlign w:val="center"/>
          </w:tcPr>
          <w:p w14:paraId="575C81D6">
            <w:pPr>
              <w:pStyle w:val="98"/>
              <w:ind w:left="-105" w:right="-105"/>
              <w:rPr>
                <w:rFonts w:eastAsia="宋体"/>
                <w:color w:val="auto"/>
                <w:sz w:val="21"/>
                <w:szCs w:val="21"/>
                <w:highlight w:val="none"/>
                <w:lang w:val="en-US"/>
              </w:rPr>
            </w:pPr>
            <w:r>
              <w:rPr>
                <w:rFonts w:hint="eastAsia" w:eastAsia="宋体"/>
                <w:color w:val="auto"/>
                <w:sz w:val="21"/>
                <w:szCs w:val="21"/>
                <w:highlight w:val="none"/>
                <w:lang w:val="en-US"/>
              </w:rPr>
              <w:t>厂界噪声</w:t>
            </w:r>
          </w:p>
          <w:p w14:paraId="35B21DCF">
            <w:pPr>
              <w:pStyle w:val="98"/>
              <w:ind w:left="-105" w:right="-105"/>
              <w:rPr>
                <w:rFonts w:eastAsia="宋体"/>
                <w:color w:val="auto"/>
                <w:sz w:val="21"/>
                <w:szCs w:val="21"/>
                <w:highlight w:val="none"/>
              </w:rPr>
            </w:pPr>
            <w:r>
              <w:rPr>
                <w:rFonts w:hint="eastAsia" w:eastAsia="宋体"/>
                <w:color w:val="auto"/>
                <w:sz w:val="21"/>
                <w:szCs w:val="21"/>
                <w:highlight w:val="none"/>
                <w:lang w:val="en-US"/>
              </w:rPr>
              <w:t>（</w:t>
            </w:r>
            <w:r>
              <w:rPr>
                <w:rFonts w:eastAsia="宋体"/>
                <w:color w:val="auto"/>
                <w:sz w:val="21"/>
                <w:szCs w:val="21"/>
                <w:highlight w:val="none"/>
              </w:rPr>
              <w:t>等效连续A声级</w:t>
            </w:r>
            <w:r>
              <w:rPr>
                <w:rFonts w:hint="eastAsia" w:eastAsia="宋体"/>
                <w:color w:val="auto"/>
                <w:sz w:val="21"/>
                <w:szCs w:val="21"/>
                <w:highlight w:val="none"/>
                <w:lang w:val="en-US"/>
              </w:rPr>
              <w:t>）</w:t>
            </w:r>
          </w:p>
        </w:tc>
        <w:tc>
          <w:tcPr>
            <w:tcW w:w="1408" w:type="pct"/>
            <w:tcBorders>
              <w:top w:val="single" w:color="000000" w:sz="4" w:space="0"/>
              <w:left w:val="single" w:color="000000" w:sz="4" w:space="0"/>
              <w:bottom w:val="single" w:color="000000" w:sz="4" w:space="0"/>
              <w:right w:val="nil"/>
            </w:tcBorders>
            <w:vAlign w:val="center"/>
          </w:tcPr>
          <w:p w14:paraId="4EF60518">
            <w:pPr>
              <w:pStyle w:val="98"/>
              <w:ind w:left="-105" w:right="-105"/>
              <w:rPr>
                <w:rFonts w:eastAsia="宋体"/>
                <w:color w:val="auto"/>
                <w:sz w:val="21"/>
                <w:szCs w:val="21"/>
                <w:highlight w:val="none"/>
              </w:rPr>
            </w:pPr>
            <w:r>
              <w:rPr>
                <w:rFonts w:eastAsia="宋体"/>
                <w:color w:val="auto"/>
                <w:sz w:val="21"/>
                <w:szCs w:val="21"/>
                <w:highlight w:val="none"/>
              </w:rPr>
              <w:t>—</w:t>
            </w:r>
          </w:p>
        </w:tc>
      </w:tr>
      <w:tr w14:paraId="41B5E0BD">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108" w:type="dxa"/>
            <w:bottom w:w="0" w:type="dxa"/>
            <w:right w:w="108" w:type="dxa"/>
          </w:tblCellMar>
        </w:tblPrEx>
        <w:trPr>
          <w:trHeight w:val="340" w:hRule="atLeast"/>
          <w:jc w:val="center"/>
        </w:trPr>
        <w:tc>
          <w:tcPr>
            <w:tcW w:w="517" w:type="pct"/>
            <w:tcBorders>
              <w:top w:val="single" w:color="000000" w:sz="4" w:space="0"/>
              <w:left w:val="nil"/>
              <w:bottom w:val="single" w:color="000000" w:sz="4" w:space="0"/>
              <w:right w:val="single" w:color="000000" w:sz="4" w:space="0"/>
            </w:tcBorders>
            <w:vAlign w:val="center"/>
          </w:tcPr>
          <w:p w14:paraId="1F3B4751">
            <w:pPr>
              <w:pStyle w:val="98"/>
              <w:ind w:left="-105" w:right="-105"/>
              <w:rPr>
                <w:rFonts w:eastAsia="宋体"/>
                <w:color w:val="auto"/>
                <w:sz w:val="21"/>
                <w:szCs w:val="21"/>
                <w:highlight w:val="none"/>
              </w:rPr>
            </w:pPr>
            <w:r>
              <w:rPr>
                <w:rFonts w:eastAsia="宋体"/>
                <w:color w:val="auto"/>
                <w:sz w:val="21"/>
                <w:szCs w:val="21"/>
                <w:highlight w:val="none"/>
              </w:rPr>
              <w:t>固废</w:t>
            </w:r>
          </w:p>
        </w:tc>
        <w:tc>
          <w:tcPr>
            <w:tcW w:w="1924" w:type="pct"/>
            <w:tcBorders>
              <w:top w:val="single" w:color="000000" w:sz="4" w:space="0"/>
              <w:left w:val="single" w:color="000000" w:sz="4" w:space="0"/>
              <w:bottom w:val="single" w:color="000000" w:sz="4" w:space="0"/>
              <w:right w:val="single" w:color="000000" w:sz="4" w:space="0"/>
            </w:tcBorders>
            <w:vAlign w:val="center"/>
          </w:tcPr>
          <w:p w14:paraId="7A84BCC2">
            <w:pPr>
              <w:pStyle w:val="98"/>
              <w:ind w:left="-105" w:right="-105"/>
              <w:rPr>
                <w:rFonts w:eastAsia="宋体"/>
                <w:color w:val="auto"/>
                <w:sz w:val="21"/>
                <w:szCs w:val="21"/>
                <w:highlight w:val="none"/>
              </w:rPr>
            </w:pPr>
            <w:r>
              <w:rPr>
                <w:rFonts w:eastAsia="宋体"/>
                <w:color w:val="auto"/>
                <w:sz w:val="21"/>
                <w:szCs w:val="21"/>
                <w:highlight w:val="none"/>
              </w:rPr>
              <w:t>—</w:t>
            </w:r>
          </w:p>
        </w:tc>
        <w:tc>
          <w:tcPr>
            <w:tcW w:w="1149" w:type="pct"/>
            <w:tcBorders>
              <w:top w:val="single" w:color="000000" w:sz="4" w:space="0"/>
              <w:left w:val="single" w:color="000000" w:sz="4" w:space="0"/>
              <w:bottom w:val="single" w:color="000000" w:sz="4" w:space="0"/>
              <w:right w:val="single" w:color="000000" w:sz="4" w:space="0"/>
            </w:tcBorders>
            <w:vAlign w:val="center"/>
          </w:tcPr>
          <w:p w14:paraId="5CB0AAC3">
            <w:pPr>
              <w:pStyle w:val="98"/>
              <w:ind w:left="-105" w:right="-105"/>
              <w:rPr>
                <w:rFonts w:eastAsia="宋体"/>
                <w:color w:val="auto"/>
                <w:sz w:val="21"/>
                <w:szCs w:val="21"/>
                <w:highlight w:val="none"/>
              </w:rPr>
            </w:pPr>
            <w:r>
              <w:rPr>
                <w:rFonts w:eastAsia="宋体"/>
                <w:color w:val="auto"/>
                <w:sz w:val="21"/>
                <w:szCs w:val="21"/>
                <w:highlight w:val="none"/>
              </w:rPr>
              <w:t>一般固废、危险固废</w:t>
            </w:r>
          </w:p>
        </w:tc>
        <w:tc>
          <w:tcPr>
            <w:tcW w:w="1408" w:type="pct"/>
            <w:tcBorders>
              <w:top w:val="single" w:color="000000" w:sz="4" w:space="0"/>
              <w:left w:val="single" w:color="000000" w:sz="4" w:space="0"/>
              <w:bottom w:val="single" w:color="000000" w:sz="4" w:space="0"/>
              <w:right w:val="nil"/>
            </w:tcBorders>
            <w:vAlign w:val="center"/>
          </w:tcPr>
          <w:p w14:paraId="6E22CFD3">
            <w:pPr>
              <w:pStyle w:val="98"/>
              <w:ind w:left="-105" w:right="-105"/>
              <w:rPr>
                <w:rFonts w:eastAsia="宋体"/>
                <w:color w:val="auto"/>
                <w:sz w:val="21"/>
                <w:szCs w:val="21"/>
                <w:highlight w:val="none"/>
              </w:rPr>
            </w:pPr>
            <w:r>
              <w:rPr>
                <w:rFonts w:eastAsia="宋体"/>
                <w:color w:val="auto"/>
                <w:sz w:val="21"/>
                <w:szCs w:val="21"/>
                <w:highlight w:val="none"/>
              </w:rPr>
              <w:t>一般固废、危险固废排放量</w:t>
            </w:r>
          </w:p>
        </w:tc>
      </w:tr>
      <w:tr w14:paraId="00856D42">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108" w:type="dxa"/>
            <w:bottom w:w="0" w:type="dxa"/>
            <w:right w:w="108" w:type="dxa"/>
          </w:tblCellMar>
        </w:tblPrEx>
        <w:trPr>
          <w:trHeight w:val="340" w:hRule="atLeast"/>
          <w:jc w:val="center"/>
        </w:trPr>
        <w:tc>
          <w:tcPr>
            <w:tcW w:w="517" w:type="pct"/>
            <w:tcBorders>
              <w:top w:val="single" w:color="000000" w:sz="4" w:space="0"/>
              <w:left w:val="nil"/>
              <w:bottom w:val="single" w:color="auto" w:sz="12" w:space="0"/>
              <w:right w:val="single" w:color="000000" w:sz="4" w:space="0"/>
            </w:tcBorders>
            <w:vAlign w:val="center"/>
          </w:tcPr>
          <w:p w14:paraId="6510F401">
            <w:pPr>
              <w:pStyle w:val="98"/>
              <w:ind w:left="-105" w:right="-105"/>
              <w:rPr>
                <w:rFonts w:eastAsia="宋体"/>
                <w:color w:val="auto"/>
                <w:sz w:val="21"/>
                <w:szCs w:val="21"/>
                <w:highlight w:val="none"/>
              </w:rPr>
            </w:pPr>
            <w:r>
              <w:rPr>
                <w:rFonts w:eastAsia="宋体"/>
                <w:color w:val="auto"/>
                <w:sz w:val="21"/>
                <w:szCs w:val="21"/>
                <w:highlight w:val="none"/>
              </w:rPr>
              <w:t>土壤</w:t>
            </w:r>
          </w:p>
        </w:tc>
        <w:tc>
          <w:tcPr>
            <w:tcW w:w="1924" w:type="pct"/>
            <w:tcBorders>
              <w:top w:val="single" w:color="000000" w:sz="4" w:space="0"/>
              <w:left w:val="single" w:color="000000" w:sz="4" w:space="0"/>
              <w:bottom w:val="single" w:color="auto" w:sz="12" w:space="0"/>
              <w:right w:val="single" w:color="000000" w:sz="4" w:space="0"/>
            </w:tcBorders>
            <w:vAlign w:val="center"/>
          </w:tcPr>
          <w:p w14:paraId="793696E3">
            <w:pPr>
              <w:ind w:left="-105" w:right="-105"/>
              <w:jc w:val="center"/>
              <w:rPr>
                <w:color w:val="auto"/>
                <w:sz w:val="21"/>
                <w:szCs w:val="21"/>
                <w:highlight w:val="none"/>
              </w:rPr>
            </w:pPr>
            <w:r>
              <w:rPr>
                <w:rFonts w:ascii="Times New Roman" w:hAnsi="Times New Roman" w:cs="Times New Roman"/>
                <w:color w:val="auto"/>
                <w:sz w:val="21"/>
                <w:szCs w:val="21"/>
                <w:highlight w:val="none"/>
                <w:lang w:bidi="ar"/>
              </w:rPr>
              <w:t>pH</w:t>
            </w:r>
            <w:r>
              <w:rPr>
                <w:rFonts w:hint="eastAsia"/>
                <w:color w:val="auto"/>
                <w:sz w:val="21"/>
                <w:szCs w:val="21"/>
                <w:highlight w:val="none"/>
                <w:lang w:bidi="ar"/>
              </w:rPr>
              <w:t>、砷、镉、铬（六价）、铜、铅、汞、镍、挥发性有机污染物、半挥发性有机污染物和石油烃</w:t>
            </w:r>
          </w:p>
        </w:tc>
        <w:tc>
          <w:tcPr>
            <w:tcW w:w="1149" w:type="pct"/>
            <w:tcBorders>
              <w:top w:val="single" w:color="000000" w:sz="4" w:space="0"/>
              <w:left w:val="single" w:color="000000" w:sz="4" w:space="0"/>
              <w:bottom w:val="single" w:color="auto" w:sz="12" w:space="0"/>
              <w:right w:val="single" w:color="000000" w:sz="4" w:space="0"/>
            </w:tcBorders>
            <w:vAlign w:val="center"/>
          </w:tcPr>
          <w:p w14:paraId="000033A1">
            <w:pPr>
              <w:pStyle w:val="98"/>
              <w:ind w:left="-105" w:right="-105"/>
              <w:rPr>
                <w:rFonts w:eastAsia="宋体"/>
                <w:color w:val="auto"/>
                <w:sz w:val="21"/>
                <w:szCs w:val="21"/>
                <w:highlight w:val="none"/>
              </w:rPr>
            </w:pPr>
            <w:r>
              <w:rPr>
                <w:rFonts w:hint="eastAsia" w:eastAsia="宋体"/>
                <w:color w:val="auto"/>
                <w:sz w:val="21"/>
                <w:szCs w:val="21"/>
                <w:highlight w:val="none"/>
                <w:lang w:val="en-US"/>
              </w:rPr>
              <w:t>非甲烷总烃</w:t>
            </w:r>
          </w:p>
        </w:tc>
        <w:tc>
          <w:tcPr>
            <w:tcW w:w="1408" w:type="pct"/>
            <w:tcBorders>
              <w:top w:val="single" w:color="000000" w:sz="4" w:space="0"/>
              <w:left w:val="single" w:color="000000" w:sz="4" w:space="0"/>
              <w:bottom w:val="single" w:color="auto" w:sz="12" w:space="0"/>
              <w:right w:val="nil"/>
            </w:tcBorders>
            <w:vAlign w:val="center"/>
          </w:tcPr>
          <w:p w14:paraId="3C39C48A">
            <w:pPr>
              <w:pStyle w:val="98"/>
              <w:ind w:left="-105" w:right="-105"/>
              <w:rPr>
                <w:rFonts w:eastAsia="宋体"/>
                <w:color w:val="auto"/>
                <w:sz w:val="21"/>
                <w:szCs w:val="21"/>
                <w:highlight w:val="none"/>
              </w:rPr>
            </w:pPr>
            <w:r>
              <w:rPr>
                <w:rFonts w:eastAsia="宋体"/>
                <w:color w:val="auto"/>
                <w:sz w:val="21"/>
                <w:szCs w:val="21"/>
                <w:highlight w:val="none"/>
              </w:rPr>
              <w:t>—</w:t>
            </w:r>
          </w:p>
        </w:tc>
      </w:tr>
      <w:bookmarkEnd w:id="110"/>
    </w:tbl>
    <w:p w14:paraId="6704014F">
      <w:pPr>
        <w:pStyle w:val="5"/>
        <w:keepLines w:val="0"/>
        <w:numPr>
          <w:ilvl w:val="2"/>
          <w:numId w:val="6"/>
        </w:numPr>
        <w:tabs>
          <w:tab w:val="left" w:pos="709"/>
        </w:tabs>
        <w:spacing w:before="120" w:beforeLines="50" w:after="0" w:line="360" w:lineRule="auto"/>
        <w:ind w:left="-105" w:right="-105"/>
        <w:rPr>
          <w:rFonts w:eastAsia="宋体"/>
          <w:color w:val="auto"/>
          <w:sz w:val="28"/>
          <w:szCs w:val="28"/>
          <w:highlight w:val="none"/>
        </w:rPr>
      </w:pPr>
      <w:bookmarkStart w:id="125" w:name="_Toc60653448"/>
      <w:r>
        <w:rPr>
          <w:rFonts w:eastAsia="宋体"/>
          <w:color w:val="auto"/>
          <w:sz w:val="28"/>
          <w:szCs w:val="28"/>
          <w:highlight w:val="none"/>
        </w:rPr>
        <w:t>评价标准</w:t>
      </w:r>
      <w:bookmarkEnd w:id="125"/>
    </w:p>
    <w:p w14:paraId="0E909B00">
      <w:pPr>
        <w:pStyle w:val="6"/>
        <w:keepLines w:val="0"/>
        <w:widowControl/>
        <w:numPr>
          <w:ilvl w:val="0"/>
          <w:numId w:val="0"/>
        </w:numPr>
        <w:tabs>
          <w:tab w:val="left" w:pos="0"/>
          <w:tab w:val="left" w:pos="2550"/>
        </w:tabs>
        <w:spacing w:before="120" w:beforeLines="50" w:after="120" w:afterLines="50" w:line="360" w:lineRule="auto"/>
        <w:ind w:right="-105"/>
        <w:rPr>
          <w:rFonts w:ascii="Times New Roman" w:hAnsi="Times New Roman"/>
          <w:color w:val="auto"/>
          <w:sz w:val="24"/>
          <w:szCs w:val="24"/>
          <w:highlight w:val="none"/>
        </w:rPr>
      </w:pPr>
      <w:bookmarkStart w:id="126" w:name="_Ref319483965"/>
      <w:r>
        <w:rPr>
          <w:rFonts w:ascii="Times New Roman" w:hAnsi="Times New Roman"/>
          <w:color w:val="auto"/>
          <w:sz w:val="24"/>
          <w:szCs w:val="24"/>
          <w:highlight w:val="none"/>
        </w:rPr>
        <w:t>2.3.2.1环境质量标准</w:t>
      </w:r>
      <w:bookmarkEnd w:id="126"/>
    </w:p>
    <w:p w14:paraId="2A7256FB">
      <w:pPr>
        <w:tabs>
          <w:tab w:val="left" w:pos="993"/>
          <w:tab w:val="left" w:pos="1276"/>
        </w:tabs>
        <w:spacing w:line="360" w:lineRule="auto"/>
        <w:ind w:left="-105" w:right="-105" w:firstLine="480"/>
        <w:rPr>
          <w:rFonts w:ascii="Times New Roman" w:hAnsi="Times New Roman"/>
          <w:color w:val="auto"/>
          <w:highlight w:val="none"/>
        </w:rPr>
      </w:pPr>
      <w:r>
        <w:rPr>
          <w:rFonts w:ascii="Times New Roman" w:hAnsi="Times New Roman"/>
          <w:color w:val="auto"/>
          <w:highlight w:val="none"/>
        </w:rPr>
        <w:t>（1）环境空气质量标准</w:t>
      </w:r>
    </w:p>
    <w:p w14:paraId="70DF5B18">
      <w:pPr>
        <w:tabs>
          <w:tab w:val="left" w:pos="993"/>
          <w:tab w:val="left" w:pos="1276"/>
        </w:tabs>
        <w:spacing w:line="360" w:lineRule="auto"/>
        <w:ind w:left="-105" w:right="-105" w:firstLine="480"/>
        <w:rPr>
          <w:rFonts w:ascii="Times New Roman" w:hAnsi="Times New Roman"/>
          <w:color w:val="auto"/>
          <w:highlight w:val="none"/>
        </w:rPr>
      </w:pPr>
      <w:r>
        <w:rPr>
          <w:rFonts w:ascii="Times New Roman" w:hAnsi="Times New Roman"/>
          <w:color w:val="auto"/>
          <w:highlight w:val="none"/>
        </w:rPr>
        <w:t>项目拟建地属于环境空气质量功能二类地区。SO</w:t>
      </w:r>
      <w:r>
        <w:rPr>
          <w:rFonts w:ascii="Times New Roman" w:hAnsi="Times New Roman"/>
          <w:color w:val="auto"/>
          <w:highlight w:val="none"/>
          <w:vertAlign w:val="subscript"/>
        </w:rPr>
        <w:t>2</w:t>
      </w:r>
      <w:r>
        <w:rPr>
          <w:rFonts w:ascii="Times New Roman" w:hAnsi="Times New Roman"/>
          <w:color w:val="auto"/>
          <w:highlight w:val="none"/>
        </w:rPr>
        <w:t>、NO</w:t>
      </w:r>
      <w:r>
        <w:rPr>
          <w:rFonts w:ascii="Times New Roman" w:hAnsi="Times New Roman"/>
          <w:color w:val="auto"/>
          <w:highlight w:val="none"/>
          <w:vertAlign w:val="subscript"/>
        </w:rPr>
        <w:t>2</w:t>
      </w:r>
      <w:r>
        <w:rPr>
          <w:rFonts w:ascii="Times New Roman" w:hAnsi="Times New Roman"/>
          <w:color w:val="auto"/>
          <w:highlight w:val="none"/>
        </w:rPr>
        <w:t>、PM</w:t>
      </w:r>
      <w:r>
        <w:rPr>
          <w:rFonts w:ascii="Times New Roman" w:hAnsi="Times New Roman"/>
          <w:color w:val="auto"/>
          <w:highlight w:val="none"/>
          <w:vertAlign w:val="subscript"/>
        </w:rPr>
        <w:t>2.5</w:t>
      </w:r>
      <w:r>
        <w:rPr>
          <w:rFonts w:ascii="Times New Roman" w:hAnsi="Times New Roman"/>
          <w:color w:val="auto"/>
          <w:highlight w:val="none"/>
        </w:rPr>
        <w:t>、PM</w:t>
      </w:r>
      <w:r>
        <w:rPr>
          <w:rFonts w:ascii="Times New Roman" w:hAnsi="Times New Roman"/>
          <w:color w:val="auto"/>
          <w:highlight w:val="none"/>
          <w:vertAlign w:val="subscript"/>
        </w:rPr>
        <w:t>10</w:t>
      </w:r>
      <w:r>
        <w:rPr>
          <w:rFonts w:ascii="Times New Roman" w:hAnsi="Times New Roman"/>
          <w:color w:val="auto"/>
          <w:highlight w:val="none"/>
        </w:rPr>
        <w:t>、CO、O</w:t>
      </w:r>
      <w:r>
        <w:rPr>
          <w:rFonts w:ascii="Times New Roman" w:hAnsi="Times New Roman"/>
          <w:color w:val="auto"/>
          <w:highlight w:val="none"/>
          <w:vertAlign w:val="subscript"/>
        </w:rPr>
        <w:t>3</w:t>
      </w:r>
      <w:r>
        <w:rPr>
          <w:rFonts w:ascii="Times New Roman" w:hAnsi="Times New Roman"/>
          <w:color w:val="auto"/>
          <w:highlight w:val="none"/>
        </w:rPr>
        <w:t>、NOx执行《环境空气质量标准》（GB3095-2012）中二级标准；</w:t>
      </w:r>
      <w:r>
        <w:rPr>
          <w:rFonts w:ascii="Times New Roman" w:hAnsi="Times New Roman" w:cs="Times New Roman"/>
          <w:color w:val="auto"/>
          <w:highlight w:val="none"/>
        </w:rPr>
        <w:t>非甲烷总烃参考执行《大气污染物综合排放标准详解》中的标准限值；</w:t>
      </w:r>
      <w:r>
        <w:rPr>
          <w:rFonts w:hint="eastAsia" w:ascii="Times New Roman" w:hAnsi="Times New Roman" w:cs="Times New Roman"/>
          <w:color w:val="auto"/>
          <w:highlight w:val="none"/>
        </w:rPr>
        <w:t>甲醇</w:t>
      </w:r>
      <w:r>
        <w:rPr>
          <w:rFonts w:ascii="Times New Roman" w:hAnsi="Times New Roman"/>
          <w:color w:val="auto"/>
          <w:highlight w:val="none"/>
        </w:rPr>
        <w:t>参考执行《环境影响评价技术导则 大气环境》（HJ2.2-2018）附录D中的其他污染物空气质量浓度参考限制中相应标准。具体见</w:t>
      </w:r>
      <w:r>
        <w:rPr>
          <w:rFonts w:ascii="Times New Roman" w:hAnsi="Times New Roman"/>
          <w:color w:val="auto"/>
          <w:highlight w:val="none"/>
        </w:rPr>
        <w:fldChar w:fldCharType="begin"/>
      </w:r>
      <w:r>
        <w:rPr>
          <w:rFonts w:ascii="Times New Roman" w:hAnsi="Times New Roman"/>
          <w:color w:val="auto"/>
          <w:highlight w:val="none"/>
        </w:rPr>
        <w:instrText xml:space="preserve"> REF _Ref17707823 \h  \* MERGEFORMAT </w:instrText>
      </w:r>
      <w:r>
        <w:rPr>
          <w:rFonts w:ascii="Times New Roman" w:hAnsi="Times New Roman"/>
          <w:color w:val="auto"/>
          <w:highlight w:val="none"/>
        </w:rPr>
        <w:fldChar w:fldCharType="separate"/>
      </w:r>
      <w:r>
        <w:rPr>
          <w:rFonts w:ascii="Times New Roman" w:hAnsi="Times New Roman"/>
          <w:color w:val="auto"/>
          <w:szCs w:val="22"/>
          <w:highlight w:val="none"/>
        </w:rPr>
        <w:t>表2.3</w:t>
      </w:r>
      <w:r>
        <w:rPr>
          <w:rFonts w:ascii="Times New Roman" w:hAnsi="Times New Roman"/>
          <w:color w:val="auto"/>
          <w:szCs w:val="22"/>
          <w:highlight w:val="none"/>
        </w:rPr>
        <w:noBreakHyphen/>
      </w:r>
      <w:r>
        <w:rPr>
          <w:rFonts w:ascii="Times New Roman" w:hAnsi="Times New Roman"/>
          <w:color w:val="auto"/>
          <w:szCs w:val="22"/>
          <w:highlight w:val="none"/>
        </w:rPr>
        <w:t>3</w:t>
      </w:r>
      <w:r>
        <w:rPr>
          <w:rFonts w:ascii="Times New Roman" w:hAnsi="Times New Roman"/>
          <w:color w:val="auto"/>
          <w:highlight w:val="none"/>
        </w:rPr>
        <w:fldChar w:fldCharType="end"/>
      </w:r>
      <w:r>
        <w:rPr>
          <w:rFonts w:ascii="Times New Roman" w:hAnsi="Times New Roman"/>
          <w:color w:val="auto"/>
          <w:highlight w:val="none"/>
        </w:rPr>
        <w:t>。</w:t>
      </w:r>
    </w:p>
    <w:p w14:paraId="53E47A37">
      <w:pPr>
        <w:pStyle w:val="15"/>
        <w:spacing w:line="360" w:lineRule="auto"/>
        <w:ind w:left="-105" w:right="-105" w:firstLine="482"/>
        <w:rPr>
          <w:rFonts w:eastAsia="宋体" w:cs="Times New Roman"/>
          <w:color w:val="auto"/>
          <w:sz w:val="24"/>
          <w:szCs w:val="22"/>
          <w:highlight w:val="none"/>
        </w:rPr>
      </w:pPr>
      <w:bookmarkStart w:id="127" w:name="_Ref17707823"/>
      <w:r>
        <w:rPr>
          <w:rFonts w:eastAsia="宋体" w:cs="Times New Roman"/>
          <w:color w:val="auto"/>
          <w:sz w:val="24"/>
          <w:szCs w:val="18"/>
          <w:highlight w:val="none"/>
        </w:rPr>
        <w:t>表</w:t>
      </w:r>
      <w:r>
        <w:rPr>
          <w:rFonts w:eastAsia="宋体" w:cs="Times New Roman"/>
          <w:color w:val="auto"/>
          <w:sz w:val="24"/>
          <w:szCs w:val="18"/>
          <w:highlight w:val="none"/>
        </w:rPr>
        <w:fldChar w:fldCharType="begin"/>
      </w:r>
      <w:r>
        <w:rPr>
          <w:rFonts w:eastAsia="宋体" w:cs="Times New Roman"/>
          <w:color w:val="auto"/>
          <w:sz w:val="24"/>
          <w:szCs w:val="18"/>
          <w:highlight w:val="none"/>
        </w:rPr>
        <w:instrText xml:space="preserve"> STYLEREF 2 \s </w:instrText>
      </w:r>
      <w:r>
        <w:rPr>
          <w:rFonts w:eastAsia="宋体" w:cs="Times New Roman"/>
          <w:color w:val="auto"/>
          <w:sz w:val="24"/>
          <w:szCs w:val="18"/>
          <w:highlight w:val="none"/>
        </w:rPr>
        <w:fldChar w:fldCharType="separate"/>
      </w:r>
      <w:r>
        <w:rPr>
          <w:rFonts w:eastAsia="宋体" w:cs="Times New Roman"/>
          <w:color w:val="auto"/>
          <w:sz w:val="24"/>
          <w:szCs w:val="18"/>
          <w:highlight w:val="none"/>
        </w:rPr>
        <w:t>2.3</w:t>
      </w:r>
      <w:r>
        <w:rPr>
          <w:rFonts w:eastAsia="宋体" w:cs="Times New Roman"/>
          <w:color w:val="auto"/>
          <w:sz w:val="24"/>
          <w:szCs w:val="18"/>
          <w:highlight w:val="none"/>
        </w:rPr>
        <w:fldChar w:fldCharType="end"/>
      </w:r>
      <w:r>
        <w:rPr>
          <w:rFonts w:eastAsia="宋体" w:cs="Times New Roman"/>
          <w:color w:val="auto"/>
          <w:sz w:val="24"/>
          <w:szCs w:val="18"/>
          <w:highlight w:val="none"/>
        </w:rPr>
        <w:noBreakHyphen/>
      </w:r>
      <w:r>
        <w:rPr>
          <w:rFonts w:eastAsia="宋体" w:cs="Times New Roman"/>
          <w:color w:val="auto"/>
          <w:sz w:val="24"/>
          <w:szCs w:val="18"/>
          <w:highlight w:val="none"/>
        </w:rPr>
        <w:fldChar w:fldCharType="begin"/>
      </w:r>
      <w:r>
        <w:rPr>
          <w:rFonts w:eastAsia="宋体" w:cs="Times New Roman"/>
          <w:color w:val="auto"/>
          <w:sz w:val="24"/>
          <w:szCs w:val="18"/>
          <w:highlight w:val="none"/>
        </w:rPr>
        <w:instrText xml:space="preserve"> SEQ 表 \* ARABIC \s 2 </w:instrText>
      </w:r>
      <w:r>
        <w:rPr>
          <w:rFonts w:eastAsia="宋体" w:cs="Times New Roman"/>
          <w:color w:val="auto"/>
          <w:sz w:val="24"/>
          <w:szCs w:val="18"/>
          <w:highlight w:val="none"/>
        </w:rPr>
        <w:fldChar w:fldCharType="separate"/>
      </w:r>
      <w:r>
        <w:rPr>
          <w:rFonts w:eastAsia="宋体" w:cs="Times New Roman"/>
          <w:color w:val="auto"/>
          <w:sz w:val="24"/>
          <w:szCs w:val="18"/>
          <w:highlight w:val="none"/>
        </w:rPr>
        <w:t>3</w:t>
      </w:r>
      <w:r>
        <w:rPr>
          <w:rFonts w:eastAsia="宋体" w:cs="Times New Roman"/>
          <w:color w:val="auto"/>
          <w:sz w:val="24"/>
          <w:szCs w:val="18"/>
          <w:highlight w:val="none"/>
        </w:rPr>
        <w:fldChar w:fldCharType="end"/>
      </w:r>
      <w:bookmarkEnd w:id="127"/>
      <w:r>
        <w:rPr>
          <w:rFonts w:eastAsia="宋体" w:cs="Times New Roman"/>
          <w:color w:val="auto"/>
          <w:sz w:val="24"/>
          <w:szCs w:val="22"/>
          <w:highlight w:val="none"/>
        </w:rPr>
        <w:t>环境空气</w:t>
      </w:r>
      <w:r>
        <w:rPr>
          <w:rFonts w:eastAsia="宋体" w:cs="Times New Roman"/>
          <w:color w:val="auto"/>
          <w:spacing w:val="2"/>
          <w:sz w:val="24"/>
          <w:szCs w:val="22"/>
          <w:highlight w:val="none"/>
        </w:rPr>
        <w:t>质</w:t>
      </w:r>
      <w:r>
        <w:rPr>
          <w:rFonts w:eastAsia="宋体" w:cs="Times New Roman"/>
          <w:color w:val="auto"/>
          <w:sz w:val="24"/>
          <w:szCs w:val="22"/>
          <w:highlight w:val="none"/>
        </w:rPr>
        <w:t>量标准</w:t>
      </w:r>
    </w:p>
    <w:tbl>
      <w:tblPr>
        <w:tblStyle w:val="45"/>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415"/>
        <w:gridCol w:w="2367"/>
        <w:gridCol w:w="1827"/>
        <w:gridCol w:w="3111"/>
      </w:tblGrid>
      <w:tr w14:paraId="29705A2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811" w:type="pct"/>
            <w:tcBorders>
              <w:tl2br w:val="nil"/>
              <w:tr2bl w:val="nil"/>
            </w:tcBorders>
            <w:vAlign w:val="center"/>
          </w:tcPr>
          <w:p w14:paraId="18CF4ECD">
            <w:pPr>
              <w:ind w:left="-105" w:right="-105"/>
              <w:jc w:val="center"/>
              <w:rPr>
                <w:rFonts w:ascii="Times New Roman" w:hAnsi="Times New Roman"/>
                <w:b/>
                <w:bCs/>
                <w:color w:val="auto"/>
                <w:sz w:val="21"/>
                <w:szCs w:val="21"/>
                <w:highlight w:val="none"/>
              </w:rPr>
            </w:pPr>
            <w:r>
              <w:rPr>
                <w:rFonts w:ascii="Times New Roman" w:hAnsi="Times New Roman"/>
                <w:b/>
                <w:bCs/>
                <w:color w:val="auto"/>
                <w:sz w:val="21"/>
                <w:szCs w:val="21"/>
                <w:highlight w:val="none"/>
              </w:rPr>
              <w:t>评价因子</w:t>
            </w:r>
          </w:p>
        </w:tc>
        <w:tc>
          <w:tcPr>
            <w:tcW w:w="1357" w:type="pct"/>
            <w:tcBorders>
              <w:left w:val="single" w:color="000000" w:sz="4" w:space="0"/>
              <w:tl2br w:val="nil"/>
              <w:tr2bl w:val="nil"/>
            </w:tcBorders>
            <w:vAlign w:val="center"/>
          </w:tcPr>
          <w:p w14:paraId="09DD849D">
            <w:pPr>
              <w:pStyle w:val="19"/>
              <w:spacing w:after="0"/>
              <w:ind w:left="-105" w:right="-105"/>
              <w:jc w:val="center"/>
              <w:rPr>
                <w:rFonts w:eastAsia="宋体"/>
                <w:b/>
                <w:bCs/>
                <w:color w:val="auto"/>
                <w:sz w:val="21"/>
                <w:szCs w:val="21"/>
                <w:highlight w:val="none"/>
              </w:rPr>
            </w:pPr>
            <w:r>
              <w:rPr>
                <w:rFonts w:eastAsia="宋体"/>
                <w:b/>
                <w:bCs/>
                <w:color w:val="auto"/>
                <w:sz w:val="21"/>
                <w:szCs w:val="21"/>
                <w:highlight w:val="none"/>
              </w:rPr>
              <w:t>平均时段</w:t>
            </w:r>
          </w:p>
        </w:tc>
        <w:tc>
          <w:tcPr>
            <w:tcW w:w="1047" w:type="pct"/>
            <w:tcBorders>
              <w:tl2br w:val="nil"/>
              <w:tr2bl w:val="nil"/>
            </w:tcBorders>
            <w:vAlign w:val="center"/>
          </w:tcPr>
          <w:p w14:paraId="4DB534AF">
            <w:pPr>
              <w:pStyle w:val="19"/>
              <w:spacing w:after="0"/>
              <w:ind w:left="-105" w:right="-105"/>
              <w:jc w:val="center"/>
              <w:rPr>
                <w:rFonts w:eastAsia="宋体"/>
                <w:b/>
                <w:bCs/>
                <w:color w:val="auto"/>
                <w:sz w:val="21"/>
                <w:szCs w:val="21"/>
                <w:highlight w:val="none"/>
              </w:rPr>
            </w:pPr>
            <w:r>
              <w:rPr>
                <w:rFonts w:eastAsia="宋体"/>
                <w:b/>
                <w:bCs/>
                <w:color w:val="auto"/>
                <w:sz w:val="21"/>
                <w:szCs w:val="21"/>
                <w:highlight w:val="none"/>
              </w:rPr>
              <w:t>标准值（</w:t>
            </w:r>
            <w:r>
              <w:rPr>
                <w:rFonts w:eastAsia="宋体"/>
                <w:b/>
                <w:bCs/>
                <w:snapToGrid w:val="0"/>
                <w:color w:val="auto"/>
                <w:kern w:val="0"/>
                <w:sz w:val="21"/>
                <w:szCs w:val="21"/>
                <w:highlight w:val="none"/>
              </w:rPr>
              <w:t>µg/m</w:t>
            </w:r>
            <w:r>
              <w:rPr>
                <w:rFonts w:eastAsia="宋体"/>
                <w:b/>
                <w:bCs/>
                <w:snapToGrid w:val="0"/>
                <w:color w:val="auto"/>
                <w:kern w:val="0"/>
                <w:sz w:val="21"/>
                <w:szCs w:val="21"/>
                <w:highlight w:val="none"/>
                <w:vertAlign w:val="superscript"/>
              </w:rPr>
              <w:t>3</w:t>
            </w:r>
            <w:r>
              <w:rPr>
                <w:rFonts w:eastAsia="宋体"/>
                <w:b/>
                <w:bCs/>
                <w:color w:val="auto"/>
                <w:sz w:val="21"/>
                <w:szCs w:val="21"/>
                <w:highlight w:val="none"/>
              </w:rPr>
              <w:t>）</w:t>
            </w:r>
          </w:p>
        </w:tc>
        <w:tc>
          <w:tcPr>
            <w:tcW w:w="1783" w:type="pct"/>
            <w:tcBorders>
              <w:tl2br w:val="nil"/>
              <w:tr2bl w:val="nil"/>
            </w:tcBorders>
            <w:vAlign w:val="center"/>
          </w:tcPr>
          <w:p w14:paraId="7989E947">
            <w:pPr>
              <w:ind w:left="-105" w:right="-105"/>
              <w:jc w:val="center"/>
              <w:rPr>
                <w:rFonts w:ascii="Times New Roman" w:hAnsi="Times New Roman"/>
                <w:b/>
                <w:bCs/>
                <w:color w:val="auto"/>
                <w:sz w:val="21"/>
                <w:szCs w:val="21"/>
                <w:highlight w:val="none"/>
              </w:rPr>
            </w:pPr>
            <w:r>
              <w:rPr>
                <w:rFonts w:ascii="Times New Roman" w:hAnsi="Times New Roman"/>
                <w:b/>
                <w:bCs/>
                <w:color w:val="auto"/>
                <w:sz w:val="21"/>
                <w:szCs w:val="21"/>
                <w:highlight w:val="none"/>
              </w:rPr>
              <w:t>执行标准</w:t>
            </w:r>
          </w:p>
        </w:tc>
      </w:tr>
      <w:tr w14:paraId="05E7ADA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811" w:type="pct"/>
            <w:vMerge w:val="restart"/>
            <w:tcBorders>
              <w:tl2br w:val="nil"/>
              <w:tr2bl w:val="nil"/>
            </w:tcBorders>
            <w:vAlign w:val="center"/>
          </w:tcPr>
          <w:p w14:paraId="6FACFED3">
            <w:pPr>
              <w:autoSpaceDE w:val="0"/>
              <w:autoSpaceDN w:val="0"/>
              <w:ind w:left="-105" w:right="-105"/>
              <w:jc w:val="center"/>
              <w:rPr>
                <w:rFonts w:ascii="Times New Roman" w:hAnsi="Times New Roman"/>
                <w:color w:val="auto"/>
                <w:sz w:val="21"/>
                <w:szCs w:val="21"/>
                <w:highlight w:val="none"/>
              </w:rPr>
            </w:pPr>
            <w:r>
              <w:rPr>
                <w:rFonts w:ascii="Times New Roman" w:hAnsi="Times New Roman"/>
                <w:color w:val="auto"/>
                <w:sz w:val="21"/>
                <w:szCs w:val="21"/>
                <w:highlight w:val="none"/>
              </w:rPr>
              <w:t>SO</w:t>
            </w:r>
            <w:r>
              <w:rPr>
                <w:rFonts w:ascii="Times New Roman" w:hAnsi="Times New Roman"/>
                <w:color w:val="auto"/>
                <w:sz w:val="21"/>
                <w:szCs w:val="21"/>
                <w:highlight w:val="none"/>
                <w:vertAlign w:val="subscript"/>
              </w:rPr>
              <w:t>2</w:t>
            </w:r>
          </w:p>
        </w:tc>
        <w:tc>
          <w:tcPr>
            <w:tcW w:w="1357" w:type="pct"/>
            <w:tcBorders>
              <w:tl2br w:val="nil"/>
              <w:tr2bl w:val="nil"/>
            </w:tcBorders>
            <w:vAlign w:val="center"/>
          </w:tcPr>
          <w:p w14:paraId="1D627B81">
            <w:pPr>
              <w:ind w:left="-105" w:right="-105"/>
              <w:jc w:val="center"/>
              <w:textAlignment w:val="center"/>
              <w:rPr>
                <w:rFonts w:ascii="Times New Roman" w:hAnsi="Times New Roman"/>
                <w:color w:val="auto"/>
                <w:sz w:val="21"/>
                <w:szCs w:val="21"/>
                <w:highlight w:val="none"/>
              </w:rPr>
            </w:pPr>
            <w:r>
              <w:rPr>
                <w:rFonts w:ascii="Times New Roman" w:hAnsi="Times New Roman"/>
                <w:color w:val="auto"/>
                <w:sz w:val="21"/>
                <w:szCs w:val="21"/>
                <w:highlight w:val="none"/>
                <w:lang w:bidi="ar"/>
              </w:rPr>
              <w:t>年平均浓度限值</w:t>
            </w:r>
          </w:p>
        </w:tc>
        <w:tc>
          <w:tcPr>
            <w:tcW w:w="1047" w:type="pct"/>
            <w:tcBorders>
              <w:tl2br w:val="nil"/>
              <w:tr2bl w:val="nil"/>
            </w:tcBorders>
            <w:vAlign w:val="center"/>
          </w:tcPr>
          <w:p w14:paraId="674BB184">
            <w:pPr>
              <w:ind w:left="-105" w:right="-105"/>
              <w:jc w:val="center"/>
              <w:textAlignment w:val="center"/>
              <w:rPr>
                <w:rFonts w:ascii="Times New Roman" w:hAnsi="Times New Roman"/>
                <w:snapToGrid w:val="0"/>
                <w:color w:val="auto"/>
                <w:sz w:val="21"/>
                <w:szCs w:val="21"/>
                <w:highlight w:val="none"/>
              </w:rPr>
            </w:pPr>
            <w:r>
              <w:rPr>
                <w:rFonts w:ascii="Times New Roman" w:hAnsi="Times New Roman"/>
                <w:color w:val="auto"/>
                <w:sz w:val="21"/>
                <w:szCs w:val="21"/>
                <w:highlight w:val="none"/>
                <w:lang w:bidi="ar"/>
              </w:rPr>
              <w:t>60</w:t>
            </w:r>
          </w:p>
        </w:tc>
        <w:tc>
          <w:tcPr>
            <w:tcW w:w="1783" w:type="pct"/>
            <w:vMerge w:val="restart"/>
            <w:tcBorders>
              <w:tl2br w:val="nil"/>
              <w:tr2bl w:val="nil"/>
            </w:tcBorders>
            <w:vAlign w:val="center"/>
          </w:tcPr>
          <w:p w14:paraId="133E019C">
            <w:pPr>
              <w:ind w:left="-105" w:right="-105"/>
              <w:jc w:val="center"/>
              <w:rPr>
                <w:rFonts w:ascii="Times New Roman" w:hAnsi="Times New Roman"/>
                <w:color w:val="auto"/>
                <w:sz w:val="21"/>
                <w:szCs w:val="21"/>
                <w:highlight w:val="none"/>
              </w:rPr>
            </w:pPr>
            <w:r>
              <w:rPr>
                <w:rFonts w:ascii="Times New Roman" w:hAnsi="Times New Roman"/>
                <w:color w:val="auto"/>
                <w:sz w:val="21"/>
                <w:szCs w:val="21"/>
                <w:highlight w:val="none"/>
              </w:rPr>
              <w:t>GB3095-2012《环境空气质量标准》表1中的二级标准</w:t>
            </w:r>
          </w:p>
        </w:tc>
      </w:tr>
      <w:tr w14:paraId="1C1BACD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811" w:type="pct"/>
            <w:vMerge w:val="continue"/>
            <w:tcBorders>
              <w:tl2br w:val="nil"/>
              <w:tr2bl w:val="nil"/>
            </w:tcBorders>
            <w:vAlign w:val="center"/>
          </w:tcPr>
          <w:p w14:paraId="553F07D7">
            <w:pPr>
              <w:autoSpaceDE w:val="0"/>
              <w:autoSpaceDN w:val="0"/>
              <w:ind w:left="-105" w:right="-105"/>
              <w:jc w:val="center"/>
              <w:rPr>
                <w:rFonts w:ascii="Times New Roman" w:hAnsi="Times New Roman"/>
                <w:color w:val="auto"/>
                <w:sz w:val="21"/>
                <w:szCs w:val="21"/>
                <w:highlight w:val="none"/>
              </w:rPr>
            </w:pPr>
          </w:p>
        </w:tc>
        <w:tc>
          <w:tcPr>
            <w:tcW w:w="1357" w:type="pct"/>
            <w:tcBorders>
              <w:tl2br w:val="nil"/>
              <w:tr2bl w:val="nil"/>
            </w:tcBorders>
            <w:vAlign w:val="center"/>
          </w:tcPr>
          <w:p w14:paraId="2CE822BF">
            <w:pPr>
              <w:ind w:left="-105" w:right="-105"/>
              <w:jc w:val="center"/>
              <w:textAlignment w:val="center"/>
              <w:rPr>
                <w:rFonts w:ascii="Times New Roman" w:hAnsi="Times New Roman"/>
                <w:color w:val="auto"/>
                <w:sz w:val="21"/>
                <w:szCs w:val="21"/>
                <w:highlight w:val="none"/>
              </w:rPr>
            </w:pPr>
            <w:r>
              <w:rPr>
                <w:rFonts w:ascii="Times New Roman" w:hAnsi="Times New Roman"/>
                <w:color w:val="auto"/>
                <w:sz w:val="21"/>
                <w:szCs w:val="21"/>
                <w:highlight w:val="none"/>
                <w:lang w:bidi="ar"/>
              </w:rPr>
              <w:t>日平均浓度限值</w:t>
            </w:r>
          </w:p>
        </w:tc>
        <w:tc>
          <w:tcPr>
            <w:tcW w:w="1047" w:type="pct"/>
            <w:tcBorders>
              <w:tl2br w:val="nil"/>
              <w:tr2bl w:val="nil"/>
            </w:tcBorders>
            <w:vAlign w:val="center"/>
          </w:tcPr>
          <w:p w14:paraId="396C7227">
            <w:pPr>
              <w:ind w:left="-105" w:right="-105"/>
              <w:jc w:val="center"/>
              <w:textAlignment w:val="center"/>
              <w:rPr>
                <w:rFonts w:ascii="Times New Roman" w:hAnsi="Times New Roman"/>
                <w:snapToGrid w:val="0"/>
                <w:color w:val="auto"/>
                <w:sz w:val="21"/>
                <w:szCs w:val="21"/>
                <w:highlight w:val="none"/>
              </w:rPr>
            </w:pPr>
            <w:r>
              <w:rPr>
                <w:rFonts w:ascii="Times New Roman" w:hAnsi="Times New Roman"/>
                <w:color w:val="auto"/>
                <w:sz w:val="21"/>
                <w:szCs w:val="21"/>
                <w:highlight w:val="none"/>
                <w:lang w:bidi="ar"/>
              </w:rPr>
              <w:t>150</w:t>
            </w:r>
          </w:p>
        </w:tc>
        <w:tc>
          <w:tcPr>
            <w:tcW w:w="1783" w:type="pct"/>
            <w:vMerge w:val="continue"/>
            <w:tcBorders>
              <w:tl2br w:val="nil"/>
              <w:tr2bl w:val="nil"/>
            </w:tcBorders>
            <w:vAlign w:val="center"/>
          </w:tcPr>
          <w:p w14:paraId="108E19D4">
            <w:pPr>
              <w:ind w:left="-105" w:right="-105"/>
              <w:jc w:val="center"/>
              <w:rPr>
                <w:rFonts w:ascii="Times New Roman" w:hAnsi="Times New Roman"/>
                <w:color w:val="auto"/>
                <w:sz w:val="21"/>
                <w:szCs w:val="21"/>
                <w:highlight w:val="none"/>
              </w:rPr>
            </w:pPr>
          </w:p>
        </w:tc>
      </w:tr>
      <w:tr w14:paraId="68B3021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811" w:type="pct"/>
            <w:vMerge w:val="continue"/>
            <w:tcBorders>
              <w:tl2br w:val="nil"/>
              <w:tr2bl w:val="nil"/>
            </w:tcBorders>
            <w:vAlign w:val="center"/>
          </w:tcPr>
          <w:p w14:paraId="50156832">
            <w:pPr>
              <w:autoSpaceDE w:val="0"/>
              <w:autoSpaceDN w:val="0"/>
              <w:ind w:left="-105" w:right="-105"/>
              <w:jc w:val="center"/>
              <w:rPr>
                <w:rFonts w:ascii="Times New Roman" w:hAnsi="Times New Roman"/>
                <w:color w:val="auto"/>
                <w:sz w:val="21"/>
                <w:szCs w:val="21"/>
                <w:highlight w:val="none"/>
              </w:rPr>
            </w:pPr>
          </w:p>
        </w:tc>
        <w:tc>
          <w:tcPr>
            <w:tcW w:w="1357" w:type="pct"/>
            <w:tcBorders>
              <w:tl2br w:val="nil"/>
              <w:tr2bl w:val="nil"/>
            </w:tcBorders>
            <w:vAlign w:val="center"/>
          </w:tcPr>
          <w:p w14:paraId="5C76A947">
            <w:pPr>
              <w:ind w:left="-105" w:right="-105"/>
              <w:jc w:val="center"/>
              <w:textAlignment w:val="center"/>
              <w:rPr>
                <w:rFonts w:ascii="Times New Roman" w:hAnsi="Times New Roman"/>
                <w:color w:val="auto"/>
                <w:sz w:val="21"/>
                <w:szCs w:val="21"/>
                <w:highlight w:val="none"/>
              </w:rPr>
            </w:pPr>
            <w:r>
              <w:rPr>
                <w:rFonts w:ascii="Times New Roman" w:hAnsi="Times New Roman"/>
                <w:color w:val="auto"/>
                <w:sz w:val="21"/>
                <w:szCs w:val="21"/>
                <w:highlight w:val="none"/>
                <w:lang w:bidi="ar"/>
              </w:rPr>
              <w:t>1</w:t>
            </w:r>
            <w:r>
              <w:rPr>
                <w:rStyle w:val="110"/>
                <w:rFonts w:ascii="Times New Roman" w:hAnsi="Times New Roman" w:cs="Times New Roman"/>
                <w:color w:val="auto"/>
                <w:sz w:val="21"/>
                <w:szCs w:val="21"/>
                <w:highlight w:val="none"/>
                <w:lang w:bidi="ar"/>
              </w:rPr>
              <w:t>小时平均浓度限值</w:t>
            </w:r>
          </w:p>
        </w:tc>
        <w:tc>
          <w:tcPr>
            <w:tcW w:w="1047" w:type="pct"/>
            <w:tcBorders>
              <w:tl2br w:val="nil"/>
              <w:tr2bl w:val="nil"/>
            </w:tcBorders>
            <w:vAlign w:val="center"/>
          </w:tcPr>
          <w:p w14:paraId="2A50FE5F">
            <w:pPr>
              <w:ind w:left="-105" w:right="-105"/>
              <w:jc w:val="center"/>
              <w:textAlignment w:val="center"/>
              <w:rPr>
                <w:rFonts w:ascii="Times New Roman" w:hAnsi="Times New Roman"/>
                <w:snapToGrid w:val="0"/>
                <w:color w:val="auto"/>
                <w:sz w:val="21"/>
                <w:szCs w:val="21"/>
                <w:highlight w:val="none"/>
              </w:rPr>
            </w:pPr>
            <w:r>
              <w:rPr>
                <w:rFonts w:ascii="Times New Roman" w:hAnsi="Times New Roman"/>
                <w:color w:val="auto"/>
                <w:sz w:val="21"/>
                <w:szCs w:val="21"/>
                <w:highlight w:val="none"/>
                <w:lang w:bidi="ar"/>
              </w:rPr>
              <w:t>500</w:t>
            </w:r>
          </w:p>
        </w:tc>
        <w:tc>
          <w:tcPr>
            <w:tcW w:w="1783" w:type="pct"/>
            <w:vMerge w:val="continue"/>
            <w:tcBorders>
              <w:tl2br w:val="nil"/>
              <w:tr2bl w:val="nil"/>
            </w:tcBorders>
            <w:vAlign w:val="center"/>
          </w:tcPr>
          <w:p w14:paraId="49A31521">
            <w:pPr>
              <w:ind w:left="-105" w:right="-105"/>
              <w:jc w:val="center"/>
              <w:rPr>
                <w:rFonts w:ascii="Times New Roman" w:hAnsi="Times New Roman"/>
                <w:color w:val="auto"/>
                <w:sz w:val="21"/>
                <w:szCs w:val="21"/>
                <w:highlight w:val="none"/>
              </w:rPr>
            </w:pPr>
          </w:p>
        </w:tc>
      </w:tr>
      <w:tr w14:paraId="73A8E58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811" w:type="pct"/>
            <w:vMerge w:val="restart"/>
            <w:tcBorders>
              <w:tl2br w:val="nil"/>
              <w:tr2bl w:val="nil"/>
            </w:tcBorders>
            <w:vAlign w:val="center"/>
          </w:tcPr>
          <w:p w14:paraId="6CB32AA3">
            <w:pPr>
              <w:autoSpaceDE w:val="0"/>
              <w:autoSpaceDN w:val="0"/>
              <w:ind w:left="-105" w:right="-105"/>
              <w:jc w:val="center"/>
              <w:rPr>
                <w:rFonts w:ascii="Times New Roman" w:hAnsi="Times New Roman"/>
                <w:color w:val="auto"/>
                <w:sz w:val="21"/>
                <w:szCs w:val="21"/>
                <w:highlight w:val="none"/>
              </w:rPr>
            </w:pPr>
            <w:r>
              <w:rPr>
                <w:rFonts w:ascii="Times New Roman" w:hAnsi="Times New Roman"/>
                <w:color w:val="auto"/>
                <w:sz w:val="21"/>
                <w:szCs w:val="21"/>
                <w:highlight w:val="none"/>
              </w:rPr>
              <w:t>NO</w:t>
            </w:r>
            <w:r>
              <w:rPr>
                <w:rFonts w:ascii="Times New Roman" w:hAnsi="Times New Roman"/>
                <w:color w:val="auto"/>
                <w:sz w:val="21"/>
                <w:szCs w:val="21"/>
                <w:highlight w:val="none"/>
                <w:vertAlign w:val="subscript"/>
              </w:rPr>
              <w:t>2</w:t>
            </w:r>
          </w:p>
        </w:tc>
        <w:tc>
          <w:tcPr>
            <w:tcW w:w="1357" w:type="pct"/>
            <w:tcBorders>
              <w:tl2br w:val="nil"/>
              <w:tr2bl w:val="nil"/>
            </w:tcBorders>
            <w:vAlign w:val="center"/>
          </w:tcPr>
          <w:p w14:paraId="7B0B9CF8">
            <w:pPr>
              <w:ind w:left="-105" w:right="-105"/>
              <w:jc w:val="center"/>
              <w:textAlignment w:val="center"/>
              <w:rPr>
                <w:rFonts w:ascii="Times New Roman" w:hAnsi="Times New Roman"/>
                <w:color w:val="auto"/>
                <w:sz w:val="21"/>
                <w:szCs w:val="21"/>
                <w:highlight w:val="none"/>
              </w:rPr>
            </w:pPr>
            <w:r>
              <w:rPr>
                <w:rFonts w:ascii="Times New Roman" w:hAnsi="Times New Roman"/>
                <w:color w:val="auto"/>
                <w:sz w:val="21"/>
                <w:szCs w:val="21"/>
                <w:highlight w:val="none"/>
                <w:lang w:bidi="ar"/>
              </w:rPr>
              <w:t>年平均浓度限值</w:t>
            </w:r>
          </w:p>
        </w:tc>
        <w:tc>
          <w:tcPr>
            <w:tcW w:w="1047" w:type="pct"/>
            <w:tcBorders>
              <w:tl2br w:val="nil"/>
              <w:tr2bl w:val="nil"/>
            </w:tcBorders>
            <w:vAlign w:val="center"/>
          </w:tcPr>
          <w:p w14:paraId="2FD1075C">
            <w:pPr>
              <w:ind w:left="-105" w:right="-105"/>
              <w:jc w:val="center"/>
              <w:textAlignment w:val="center"/>
              <w:rPr>
                <w:rFonts w:ascii="Times New Roman" w:hAnsi="Times New Roman"/>
                <w:snapToGrid w:val="0"/>
                <w:color w:val="auto"/>
                <w:sz w:val="21"/>
                <w:szCs w:val="21"/>
                <w:highlight w:val="none"/>
              </w:rPr>
            </w:pPr>
            <w:r>
              <w:rPr>
                <w:rFonts w:ascii="Times New Roman" w:hAnsi="Times New Roman"/>
                <w:color w:val="auto"/>
                <w:sz w:val="21"/>
                <w:szCs w:val="21"/>
                <w:highlight w:val="none"/>
                <w:lang w:bidi="ar"/>
              </w:rPr>
              <w:t>40</w:t>
            </w:r>
          </w:p>
        </w:tc>
        <w:tc>
          <w:tcPr>
            <w:tcW w:w="1783" w:type="pct"/>
            <w:vMerge w:val="continue"/>
            <w:tcBorders>
              <w:tl2br w:val="nil"/>
              <w:tr2bl w:val="nil"/>
            </w:tcBorders>
            <w:vAlign w:val="center"/>
          </w:tcPr>
          <w:p w14:paraId="3B6E9BEB">
            <w:pPr>
              <w:ind w:left="-105" w:right="-105"/>
              <w:jc w:val="center"/>
              <w:rPr>
                <w:rFonts w:ascii="Times New Roman" w:hAnsi="Times New Roman"/>
                <w:color w:val="auto"/>
                <w:sz w:val="21"/>
                <w:szCs w:val="21"/>
                <w:highlight w:val="none"/>
              </w:rPr>
            </w:pPr>
          </w:p>
        </w:tc>
      </w:tr>
      <w:tr w14:paraId="2D239BB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811" w:type="pct"/>
            <w:vMerge w:val="continue"/>
            <w:tcBorders>
              <w:tl2br w:val="nil"/>
              <w:tr2bl w:val="nil"/>
            </w:tcBorders>
            <w:vAlign w:val="center"/>
          </w:tcPr>
          <w:p w14:paraId="5186C3FA">
            <w:pPr>
              <w:autoSpaceDE w:val="0"/>
              <w:autoSpaceDN w:val="0"/>
              <w:ind w:left="-105" w:right="-105"/>
              <w:jc w:val="center"/>
              <w:rPr>
                <w:rFonts w:ascii="Times New Roman" w:hAnsi="Times New Roman"/>
                <w:color w:val="auto"/>
                <w:sz w:val="21"/>
                <w:szCs w:val="21"/>
                <w:highlight w:val="none"/>
              </w:rPr>
            </w:pPr>
          </w:p>
        </w:tc>
        <w:tc>
          <w:tcPr>
            <w:tcW w:w="1357" w:type="pct"/>
            <w:tcBorders>
              <w:tl2br w:val="nil"/>
              <w:tr2bl w:val="nil"/>
            </w:tcBorders>
            <w:vAlign w:val="center"/>
          </w:tcPr>
          <w:p w14:paraId="1B923980">
            <w:pPr>
              <w:ind w:left="-105" w:right="-105"/>
              <w:jc w:val="center"/>
              <w:textAlignment w:val="center"/>
              <w:rPr>
                <w:rFonts w:ascii="Times New Roman" w:hAnsi="Times New Roman"/>
                <w:color w:val="auto"/>
                <w:sz w:val="21"/>
                <w:szCs w:val="21"/>
                <w:highlight w:val="none"/>
              </w:rPr>
            </w:pPr>
            <w:r>
              <w:rPr>
                <w:rFonts w:ascii="Times New Roman" w:hAnsi="Times New Roman"/>
                <w:color w:val="auto"/>
                <w:sz w:val="21"/>
                <w:szCs w:val="21"/>
                <w:highlight w:val="none"/>
                <w:lang w:bidi="ar"/>
              </w:rPr>
              <w:t>日平均浓度限值</w:t>
            </w:r>
          </w:p>
        </w:tc>
        <w:tc>
          <w:tcPr>
            <w:tcW w:w="1047" w:type="pct"/>
            <w:tcBorders>
              <w:tl2br w:val="nil"/>
              <w:tr2bl w:val="nil"/>
            </w:tcBorders>
            <w:vAlign w:val="center"/>
          </w:tcPr>
          <w:p w14:paraId="143E0227">
            <w:pPr>
              <w:ind w:left="-105" w:right="-105"/>
              <w:jc w:val="center"/>
              <w:textAlignment w:val="center"/>
              <w:rPr>
                <w:rFonts w:ascii="Times New Roman" w:hAnsi="Times New Roman"/>
                <w:snapToGrid w:val="0"/>
                <w:color w:val="auto"/>
                <w:sz w:val="21"/>
                <w:szCs w:val="21"/>
                <w:highlight w:val="none"/>
              </w:rPr>
            </w:pPr>
            <w:r>
              <w:rPr>
                <w:rFonts w:ascii="Times New Roman" w:hAnsi="Times New Roman"/>
                <w:color w:val="auto"/>
                <w:sz w:val="21"/>
                <w:szCs w:val="21"/>
                <w:highlight w:val="none"/>
                <w:lang w:bidi="ar"/>
              </w:rPr>
              <w:t>80</w:t>
            </w:r>
          </w:p>
        </w:tc>
        <w:tc>
          <w:tcPr>
            <w:tcW w:w="1783" w:type="pct"/>
            <w:vMerge w:val="continue"/>
            <w:tcBorders>
              <w:tl2br w:val="nil"/>
              <w:tr2bl w:val="nil"/>
            </w:tcBorders>
            <w:vAlign w:val="center"/>
          </w:tcPr>
          <w:p w14:paraId="3D15B01F">
            <w:pPr>
              <w:ind w:left="-105" w:right="-105"/>
              <w:jc w:val="center"/>
              <w:rPr>
                <w:rFonts w:ascii="Times New Roman" w:hAnsi="Times New Roman"/>
                <w:color w:val="auto"/>
                <w:sz w:val="21"/>
                <w:szCs w:val="21"/>
                <w:highlight w:val="none"/>
              </w:rPr>
            </w:pPr>
          </w:p>
        </w:tc>
      </w:tr>
      <w:tr w14:paraId="3DAE568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811" w:type="pct"/>
            <w:vMerge w:val="continue"/>
            <w:tcBorders>
              <w:tl2br w:val="nil"/>
              <w:tr2bl w:val="nil"/>
            </w:tcBorders>
            <w:vAlign w:val="center"/>
          </w:tcPr>
          <w:p w14:paraId="77EE8360">
            <w:pPr>
              <w:autoSpaceDE w:val="0"/>
              <w:autoSpaceDN w:val="0"/>
              <w:ind w:left="-105" w:right="-105"/>
              <w:jc w:val="center"/>
              <w:rPr>
                <w:rFonts w:ascii="Times New Roman" w:hAnsi="Times New Roman"/>
                <w:color w:val="auto"/>
                <w:sz w:val="21"/>
                <w:szCs w:val="21"/>
                <w:highlight w:val="none"/>
              </w:rPr>
            </w:pPr>
          </w:p>
        </w:tc>
        <w:tc>
          <w:tcPr>
            <w:tcW w:w="1357" w:type="pct"/>
            <w:tcBorders>
              <w:tl2br w:val="nil"/>
              <w:tr2bl w:val="nil"/>
            </w:tcBorders>
            <w:vAlign w:val="center"/>
          </w:tcPr>
          <w:p w14:paraId="51D25D1D">
            <w:pPr>
              <w:ind w:left="-105" w:right="-105"/>
              <w:jc w:val="center"/>
              <w:textAlignment w:val="center"/>
              <w:rPr>
                <w:rFonts w:ascii="Times New Roman" w:hAnsi="Times New Roman"/>
                <w:color w:val="auto"/>
                <w:sz w:val="21"/>
                <w:szCs w:val="21"/>
                <w:highlight w:val="none"/>
              </w:rPr>
            </w:pPr>
            <w:r>
              <w:rPr>
                <w:rFonts w:ascii="Times New Roman" w:hAnsi="Times New Roman"/>
                <w:color w:val="auto"/>
                <w:sz w:val="21"/>
                <w:szCs w:val="21"/>
                <w:highlight w:val="none"/>
                <w:lang w:bidi="ar"/>
              </w:rPr>
              <w:t>1小时平均浓度限值</w:t>
            </w:r>
          </w:p>
        </w:tc>
        <w:tc>
          <w:tcPr>
            <w:tcW w:w="1047" w:type="pct"/>
            <w:tcBorders>
              <w:tl2br w:val="nil"/>
              <w:tr2bl w:val="nil"/>
            </w:tcBorders>
            <w:vAlign w:val="center"/>
          </w:tcPr>
          <w:p w14:paraId="7FA10A58">
            <w:pPr>
              <w:ind w:left="-105" w:right="-105"/>
              <w:jc w:val="center"/>
              <w:textAlignment w:val="center"/>
              <w:rPr>
                <w:rFonts w:ascii="Times New Roman" w:hAnsi="Times New Roman"/>
                <w:snapToGrid w:val="0"/>
                <w:color w:val="auto"/>
                <w:sz w:val="21"/>
                <w:szCs w:val="21"/>
                <w:highlight w:val="none"/>
              </w:rPr>
            </w:pPr>
            <w:r>
              <w:rPr>
                <w:rFonts w:ascii="Times New Roman" w:hAnsi="Times New Roman"/>
                <w:color w:val="auto"/>
                <w:sz w:val="21"/>
                <w:szCs w:val="21"/>
                <w:highlight w:val="none"/>
                <w:lang w:bidi="ar"/>
              </w:rPr>
              <w:t>200</w:t>
            </w:r>
          </w:p>
        </w:tc>
        <w:tc>
          <w:tcPr>
            <w:tcW w:w="1783" w:type="pct"/>
            <w:vMerge w:val="continue"/>
            <w:tcBorders>
              <w:tl2br w:val="nil"/>
              <w:tr2bl w:val="nil"/>
            </w:tcBorders>
            <w:vAlign w:val="center"/>
          </w:tcPr>
          <w:p w14:paraId="628A1F8D">
            <w:pPr>
              <w:ind w:left="-105" w:right="-105"/>
              <w:jc w:val="center"/>
              <w:rPr>
                <w:rFonts w:ascii="Times New Roman" w:hAnsi="Times New Roman"/>
                <w:color w:val="auto"/>
                <w:sz w:val="21"/>
                <w:szCs w:val="21"/>
                <w:highlight w:val="none"/>
              </w:rPr>
            </w:pPr>
          </w:p>
        </w:tc>
      </w:tr>
      <w:tr w14:paraId="56CC67C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811" w:type="pct"/>
            <w:vMerge w:val="restart"/>
            <w:tcBorders>
              <w:tl2br w:val="nil"/>
              <w:tr2bl w:val="nil"/>
            </w:tcBorders>
            <w:vAlign w:val="center"/>
          </w:tcPr>
          <w:p w14:paraId="52357713">
            <w:pPr>
              <w:autoSpaceDE w:val="0"/>
              <w:autoSpaceDN w:val="0"/>
              <w:ind w:left="-105" w:right="-105"/>
              <w:jc w:val="center"/>
              <w:rPr>
                <w:rFonts w:ascii="Times New Roman" w:hAnsi="Times New Roman"/>
                <w:color w:val="auto"/>
                <w:sz w:val="21"/>
                <w:szCs w:val="21"/>
                <w:highlight w:val="none"/>
              </w:rPr>
            </w:pPr>
            <w:r>
              <w:rPr>
                <w:rFonts w:ascii="Times New Roman" w:hAnsi="Times New Roman"/>
                <w:color w:val="auto"/>
                <w:sz w:val="21"/>
                <w:szCs w:val="21"/>
                <w:highlight w:val="none"/>
              </w:rPr>
              <w:t>CO</w:t>
            </w:r>
          </w:p>
        </w:tc>
        <w:tc>
          <w:tcPr>
            <w:tcW w:w="1357" w:type="pct"/>
            <w:tcBorders>
              <w:tl2br w:val="nil"/>
              <w:tr2bl w:val="nil"/>
            </w:tcBorders>
            <w:vAlign w:val="center"/>
          </w:tcPr>
          <w:p w14:paraId="458614EB">
            <w:pPr>
              <w:ind w:left="-105" w:right="-105"/>
              <w:jc w:val="center"/>
              <w:textAlignment w:val="center"/>
              <w:rPr>
                <w:rFonts w:ascii="Times New Roman" w:hAnsi="Times New Roman"/>
                <w:snapToGrid w:val="0"/>
                <w:color w:val="auto"/>
                <w:sz w:val="21"/>
                <w:szCs w:val="21"/>
                <w:highlight w:val="none"/>
              </w:rPr>
            </w:pPr>
            <w:r>
              <w:rPr>
                <w:rFonts w:ascii="Times New Roman" w:hAnsi="Times New Roman"/>
                <w:color w:val="auto"/>
                <w:sz w:val="21"/>
                <w:szCs w:val="21"/>
                <w:highlight w:val="none"/>
                <w:lang w:bidi="ar"/>
              </w:rPr>
              <w:t>日平均浓度限值</w:t>
            </w:r>
          </w:p>
        </w:tc>
        <w:tc>
          <w:tcPr>
            <w:tcW w:w="1047" w:type="pct"/>
            <w:tcBorders>
              <w:tl2br w:val="nil"/>
              <w:tr2bl w:val="nil"/>
            </w:tcBorders>
            <w:vAlign w:val="center"/>
          </w:tcPr>
          <w:p w14:paraId="6D5343C3">
            <w:pPr>
              <w:ind w:left="-105" w:right="-105"/>
              <w:jc w:val="center"/>
              <w:textAlignment w:val="center"/>
              <w:rPr>
                <w:rFonts w:ascii="Times New Roman" w:hAnsi="Times New Roman"/>
                <w:snapToGrid w:val="0"/>
                <w:color w:val="auto"/>
                <w:sz w:val="21"/>
                <w:szCs w:val="21"/>
                <w:highlight w:val="none"/>
              </w:rPr>
            </w:pPr>
            <w:r>
              <w:rPr>
                <w:rFonts w:ascii="Times New Roman" w:hAnsi="Times New Roman"/>
                <w:color w:val="auto"/>
                <w:sz w:val="21"/>
                <w:szCs w:val="21"/>
                <w:highlight w:val="none"/>
                <w:lang w:bidi="ar"/>
              </w:rPr>
              <w:t>4</w:t>
            </w:r>
          </w:p>
        </w:tc>
        <w:tc>
          <w:tcPr>
            <w:tcW w:w="1783" w:type="pct"/>
            <w:vMerge w:val="continue"/>
            <w:tcBorders>
              <w:tl2br w:val="nil"/>
              <w:tr2bl w:val="nil"/>
            </w:tcBorders>
            <w:vAlign w:val="center"/>
          </w:tcPr>
          <w:p w14:paraId="5124A0CC">
            <w:pPr>
              <w:ind w:left="-105" w:right="-105"/>
              <w:jc w:val="center"/>
              <w:rPr>
                <w:rFonts w:ascii="Times New Roman" w:hAnsi="Times New Roman"/>
                <w:color w:val="auto"/>
                <w:sz w:val="21"/>
                <w:szCs w:val="21"/>
                <w:highlight w:val="none"/>
              </w:rPr>
            </w:pPr>
          </w:p>
        </w:tc>
      </w:tr>
      <w:tr w14:paraId="7A2A559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811" w:type="pct"/>
            <w:vMerge w:val="continue"/>
            <w:tcBorders>
              <w:tl2br w:val="nil"/>
              <w:tr2bl w:val="nil"/>
            </w:tcBorders>
            <w:vAlign w:val="center"/>
          </w:tcPr>
          <w:p w14:paraId="261A1823">
            <w:pPr>
              <w:autoSpaceDE w:val="0"/>
              <w:autoSpaceDN w:val="0"/>
              <w:ind w:left="-105" w:right="-105"/>
              <w:jc w:val="center"/>
              <w:rPr>
                <w:rFonts w:ascii="Times New Roman" w:hAnsi="Times New Roman"/>
                <w:color w:val="auto"/>
                <w:sz w:val="21"/>
                <w:szCs w:val="21"/>
                <w:highlight w:val="none"/>
              </w:rPr>
            </w:pPr>
          </w:p>
        </w:tc>
        <w:tc>
          <w:tcPr>
            <w:tcW w:w="1357" w:type="pct"/>
            <w:tcBorders>
              <w:tl2br w:val="nil"/>
              <w:tr2bl w:val="nil"/>
            </w:tcBorders>
            <w:vAlign w:val="center"/>
          </w:tcPr>
          <w:p w14:paraId="773D2FFD">
            <w:pPr>
              <w:ind w:left="-105" w:right="-105"/>
              <w:jc w:val="center"/>
              <w:textAlignment w:val="center"/>
              <w:rPr>
                <w:rFonts w:ascii="Times New Roman" w:hAnsi="Times New Roman"/>
                <w:snapToGrid w:val="0"/>
                <w:color w:val="auto"/>
                <w:sz w:val="21"/>
                <w:szCs w:val="21"/>
                <w:highlight w:val="none"/>
              </w:rPr>
            </w:pPr>
            <w:r>
              <w:rPr>
                <w:rFonts w:ascii="Times New Roman" w:hAnsi="Times New Roman"/>
                <w:color w:val="auto"/>
                <w:sz w:val="21"/>
                <w:szCs w:val="21"/>
                <w:highlight w:val="none"/>
                <w:lang w:bidi="ar"/>
              </w:rPr>
              <w:t>1小时平均浓度限值</w:t>
            </w:r>
          </w:p>
        </w:tc>
        <w:tc>
          <w:tcPr>
            <w:tcW w:w="1047" w:type="pct"/>
            <w:tcBorders>
              <w:tl2br w:val="nil"/>
              <w:tr2bl w:val="nil"/>
            </w:tcBorders>
            <w:vAlign w:val="center"/>
          </w:tcPr>
          <w:p w14:paraId="0B7A3E48">
            <w:pPr>
              <w:ind w:left="-105" w:right="-105"/>
              <w:jc w:val="center"/>
              <w:textAlignment w:val="center"/>
              <w:rPr>
                <w:rFonts w:ascii="Times New Roman" w:hAnsi="Times New Roman"/>
                <w:snapToGrid w:val="0"/>
                <w:color w:val="auto"/>
                <w:sz w:val="21"/>
                <w:szCs w:val="21"/>
                <w:highlight w:val="none"/>
              </w:rPr>
            </w:pPr>
            <w:r>
              <w:rPr>
                <w:rFonts w:ascii="Times New Roman" w:hAnsi="Times New Roman"/>
                <w:color w:val="auto"/>
                <w:sz w:val="21"/>
                <w:szCs w:val="21"/>
                <w:highlight w:val="none"/>
                <w:lang w:bidi="ar"/>
              </w:rPr>
              <w:t>10</w:t>
            </w:r>
          </w:p>
        </w:tc>
        <w:tc>
          <w:tcPr>
            <w:tcW w:w="1783" w:type="pct"/>
            <w:vMerge w:val="continue"/>
            <w:tcBorders>
              <w:tl2br w:val="nil"/>
              <w:tr2bl w:val="nil"/>
            </w:tcBorders>
            <w:vAlign w:val="center"/>
          </w:tcPr>
          <w:p w14:paraId="2EA72498">
            <w:pPr>
              <w:ind w:left="-105" w:right="-105"/>
              <w:jc w:val="center"/>
              <w:rPr>
                <w:rFonts w:ascii="Times New Roman" w:hAnsi="Times New Roman"/>
                <w:color w:val="auto"/>
                <w:sz w:val="21"/>
                <w:szCs w:val="21"/>
                <w:highlight w:val="none"/>
              </w:rPr>
            </w:pPr>
          </w:p>
        </w:tc>
      </w:tr>
      <w:tr w14:paraId="49E45A7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811" w:type="pct"/>
            <w:vMerge w:val="restart"/>
            <w:tcBorders>
              <w:tl2br w:val="nil"/>
              <w:tr2bl w:val="nil"/>
            </w:tcBorders>
            <w:vAlign w:val="center"/>
          </w:tcPr>
          <w:p w14:paraId="45A2E6FE">
            <w:pPr>
              <w:autoSpaceDE w:val="0"/>
              <w:autoSpaceDN w:val="0"/>
              <w:ind w:left="-105" w:right="-105"/>
              <w:jc w:val="center"/>
              <w:rPr>
                <w:rFonts w:ascii="Times New Roman" w:hAnsi="Times New Roman"/>
                <w:color w:val="auto"/>
                <w:sz w:val="21"/>
                <w:szCs w:val="21"/>
                <w:highlight w:val="none"/>
              </w:rPr>
            </w:pPr>
            <w:r>
              <w:rPr>
                <w:rFonts w:ascii="Times New Roman" w:hAnsi="Times New Roman"/>
                <w:color w:val="auto"/>
                <w:sz w:val="21"/>
                <w:szCs w:val="21"/>
                <w:highlight w:val="none"/>
              </w:rPr>
              <w:t>O</w:t>
            </w:r>
            <w:r>
              <w:rPr>
                <w:rFonts w:ascii="Times New Roman" w:hAnsi="Times New Roman"/>
                <w:color w:val="auto"/>
                <w:sz w:val="21"/>
                <w:szCs w:val="21"/>
                <w:highlight w:val="none"/>
                <w:vertAlign w:val="subscript"/>
              </w:rPr>
              <w:t>3</w:t>
            </w:r>
          </w:p>
        </w:tc>
        <w:tc>
          <w:tcPr>
            <w:tcW w:w="1357" w:type="pct"/>
            <w:tcBorders>
              <w:tl2br w:val="nil"/>
              <w:tr2bl w:val="nil"/>
            </w:tcBorders>
            <w:vAlign w:val="center"/>
          </w:tcPr>
          <w:p w14:paraId="4E9AC77D">
            <w:pPr>
              <w:autoSpaceDE w:val="0"/>
              <w:autoSpaceDN w:val="0"/>
              <w:ind w:left="-105" w:right="-105"/>
              <w:jc w:val="center"/>
              <w:rPr>
                <w:rFonts w:ascii="Times New Roman" w:hAnsi="Times New Roman"/>
                <w:snapToGrid w:val="0"/>
                <w:color w:val="auto"/>
                <w:sz w:val="21"/>
                <w:szCs w:val="21"/>
                <w:highlight w:val="none"/>
              </w:rPr>
            </w:pPr>
            <w:r>
              <w:rPr>
                <w:rFonts w:ascii="Times New Roman" w:hAnsi="Times New Roman"/>
                <w:color w:val="auto"/>
                <w:sz w:val="21"/>
                <w:szCs w:val="21"/>
                <w:highlight w:val="none"/>
                <w:lang w:bidi="ar"/>
              </w:rPr>
              <w:t>日平均浓度限值</w:t>
            </w:r>
          </w:p>
        </w:tc>
        <w:tc>
          <w:tcPr>
            <w:tcW w:w="1047" w:type="pct"/>
            <w:tcBorders>
              <w:tl2br w:val="nil"/>
              <w:tr2bl w:val="nil"/>
            </w:tcBorders>
            <w:vAlign w:val="center"/>
          </w:tcPr>
          <w:p w14:paraId="7EED462C">
            <w:pPr>
              <w:ind w:left="-105" w:right="-105"/>
              <w:jc w:val="center"/>
              <w:textAlignment w:val="center"/>
              <w:rPr>
                <w:rFonts w:ascii="Times New Roman" w:hAnsi="Times New Roman"/>
                <w:snapToGrid w:val="0"/>
                <w:color w:val="auto"/>
                <w:sz w:val="21"/>
                <w:szCs w:val="21"/>
                <w:highlight w:val="none"/>
              </w:rPr>
            </w:pPr>
            <w:r>
              <w:rPr>
                <w:rFonts w:ascii="Times New Roman" w:hAnsi="Times New Roman"/>
                <w:color w:val="auto"/>
                <w:sz w:val="21"/>
                <w:szCs w:val="21"/>
                <w:highlight w:val="none"/>
                <w:lang w:bidi="ar"/>
              </w:rPr>
              <w:t>160</w:t>
            </w:r>
          </w:p>
        </w:tc>
        <w:tc>
          <w:tcPr>
            <w:tcW w:w="1783" w:type="pct"/>
            <w:vMerge w:val="continue"/>
            <w:tcBorders>
              <w:tl2br w:val="nil"/>
              <w:tr2bl w:val="nil"/>
            </w:tcBorders>
            <w:vAlign w:val="center"/>
          </w:tcPr>
          <w:p w14:paraId="2F001391">
            <w:pPr>
              <w:ind w:left="-105" w:right="-105"/>
              <w:jc w:val="center"/>
              <w:rPr>
                <w:rFonts w:ascii="Times New Roman" w:hAnsi="Times New Roman"/>
                <w:color w:val="auto"/>
                <w:sz w:val="21"/>
                <w:szCs w:val="21"/>
                <w:highlight w:val="none"/>
              </w:rPr>
            </w:pPr>
          </w:p>
        </w:tc>
      </w:tr>
      <w:tr w14:paraId="220D563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811" w:type="pct"/>
            <w:vMerge w:val="continue"/>
            <w:tcBorders>
              <w:tl2br w:val="nil"/>
              <w:tr2bl w:val="nil"/>
            </w:tcBorders>
            <w:vAlign w:val="center"/>
          </w:tcPr>
          <w:p w14:paraId="76F0BBE6">
            <w:pPr>
              <w:autoSpaceDE w:val="0"/>
              <w:autoSpaceDN w:val="0"/>
              <w:ind w:left="-105" w:right="-105"/>
              <w:jc w:val="center"/>
              <w:rPr>
                <w:rFonts w:ascii="Times New Roman" w:hAnsi="Times New Roman"/>
                <w:color w:val="auto"/>
                <w:sz w:val="21"/>
                <w:szCs w:val="21"/>
                <w:highlight w:val="none"/>
              </w:rPr>
            </w:pPr>
          </w:p>
        </w:tc>
        <w:tc>
          <w:tcPr>
            <w:tcW w:w="1357" w:type="pct"/>
            <w:tcBorders>
              <w:tl2br w:val="nil"/>
              <w:tr2bl w:val="nil"/>
            </w:tcBorders>
            <w:vAlign w:val="center"/>
          </w:tcPr>
          <w:p w14:paraId="37C8061C">
            <w:pPr>
              <w:autoSpaceDE w:val="0"/>
              <w:autoSpaceDN w:val="0"/>
              <w:ind w:left="-105" w:right="-105"/>
              <w:jc w:val="center"/>
              <w:rPr>
                <w:rFonts w:ascii="Times New Roman" w:hAnsi="Times New Roman"/>
                <w:snapToGrid w:val="0"/>
                <w:color w:val="auto"/>
                <w:sz w:val="21"/>
                <w:szCs w:val="21"/>
                <w:highlight w:val="none"/>
              </w:rPr>
            </w:pPr>
            <w:r>
              <w:rPr>
                <w:rFonts w:ascii="Times New Roman" w:hAnsi="Times New Roman"/>
                <w:snapToGrid w:val="0"/>
                <w:color w:val="auto"/>
                <w:sz w:val="21"/>
                <w:szCs w:val="21"/>
                <w:highlight w:val="none"/>
              </w:rPr>
              <w:t>日最大8小试平均值</w:t>
            </w:r>
          </w:p>
        </w:tc>
        <w:tc>
          <w:tcPr>
            <w:tcW w:w="1047" w:type="pct"/>
            <w:tcBorders>
              <w:tl2br w:val="nil"/>
              <w:tr2bl w:val="nil"/>
            </w:tcBorders>
            <w:vAlign w:val="center"/>
          </w:tcPr>
          <w:p w14:paraId="01B5C125">
            <w:pPr>
              <w:ind w:left="-105" w:right="-105"/>
              <w:jc w:val="center"/>
              <w:textAlignment w:val="center"/>
              <w:rPr>
                <w:rFonts w:ascii="Times New Roman" w:hAnsi="Times New Roman"/>
                <w:snapToGrid w:val="0"/>
                <w:color w:val="auto"/>
                <w:sz w:val="21"/>
                <w:szCs w:val="21"/>
                <w:highlight w:val="none"/>
              </w:rPr>
            </w:pPr>
            <w:r>
              <w:rPr>
                <w:rFonts w:ascii="Times New Roman" w:hAnsi="Times New Roman"/>
                <w:color w:val="auto"/>
                <w:sz w:val="21"/>
                <w:szCs w:val="21"/>
                <w:highlight w:val="none"/>
                <w:lang w:bidi="ar"/>
              </w:rPr>
              <w:t>200</w:t>
            </w:r>
          </w:p>
        </w:tc>
        <w:tc>
          <w:tcPr>
            <w:tcW w:w="1783" w:type="pct"/>
            <w:vMerge w:val="continue"/>
            <w:tcBorders>
              <w:tl2br w:val="nil"/>
              <w:tr2bl w:val="nil"/>
            </w:tcBorders>
            <w:vAlign w:val="center"/>
          </w:tcPr>
          <w:p w14:paraId="33C49589">
            <w:pPr>
              <w:ind w:left="-105" w:right="-105"/>
              <w:jc w:val="center"/>
              <w:rPr>
                <w:rFonts w:ascii="Times New Roman" w:hAnsi="Times New Roman"/>
                <w:color w:val="auto"/>
                <w:sz w:val="21"/>
                <w:szCs w:val="21"/>
                <w:highlight w:val="none"/>
              </w:rPr>
            </w:pPr>
          </w:p>
        </w:tc>
      </w:tr>
      <w:tr w14:paraId="7161223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811" w:type="pct"/>
            <w:vMerge w:val="restart"/>
            <w:tcBorders>
              <w:tl2br w:val="nil"/>
              <w:tr2bl w:val="nil"/>
            </w:tcBorders>
            <w:vAlign w:val="center"/>
          </w:tcPr>
          <w:p w14:paraId="56601AE1">
            <w:pPr>
              <w:autoSpaceDE w:val="0"/>
              <w:autoSpaceDN w:val="0"/>
              <w:ind w:left="-105" w:right="-105"/>
              <w:jc w:val="center"/>
              <w:rPr>
                <w:rFonts w:ascii="Times New Roman" w:hAnsi="Times New Roman"/>
                <w:color w:val="auto"/>
                <w:sz w:val="21"/>
                <w:szCs w:val="21"/>
                <w:highlight w:val="none"/>
              </w:rPr>
            </w:pPr>
            <w:r>
              <w:rPr>
                <w:rFonts w:ascii="Times New Roman" w:hAnsi="Times New Roman"/>
                <w:snapToGrid w:val="0"/>
                <w:color w:val="auto"/>
                <w:sz w:val="21"/>
                <w:szCs w:val="21"/>
                <w:highlight w:val="none"/>
              </w:rPr>
              <w:t>PM</w:t>
            </w:r>
            <w:r>
              <w:rPr>
                <w:rFonts w:ascii="Times New Roman" w:hAnsi="Times New Roman"/>
                <w:snapToGrid w:val="0"/>
                <w:color w:val="auto"/>
                <w:sz w:val="21"/>
                <w:szCs w:val="21"/>
                <w:highlight w:val="none"/>
                <w:vertAlign w:val="subscript"/>
              </w:rPr>
              <w:t>10</w:t>
            </w:r>
          </w:p>
        </w:tc>
        <w:tc>
          <w:tcPr>
            <w:tcW w:w="1357" w:type="pct"/>
            <w:tcBorders>
              <w:tl2br w:val="nil"/>
              <w:tr2bl w:val="nil"/>
            </w:tcBorders>
            <w:vAlign w:val="center"/>
          </w:tcPr>
          <w:p w14:paraId="1DF3400B">
            <w:pPr>
              <w:ind w:left="-105" w:right="-105"/>
              <w:jc w:val="center"/>
              <w:textAlignment w:val="center"/>
              <w:rPr>
                <w:rFonts w:ascii="Times New Roman" w:hAnsi="Times New Roman"/>
                <w:color w:val="auto"/>
                <w:sz w:val="21"/>
                <w:szCs w:val="21"/>
                <w:highlight w:val="none"/>
              </w:rPr>
            </w:pPr>
            <w:r>
              <w:rPr>
                <w:rFonts w:ascii="Times New Roman" w:hAnsi="Times New Roman"/>
                <w:color w:val="auto"/>
                <w:sz w:val="21"/>
                <w:szCs w:val="21"/>
                <w:highlight w:val="none"/>
                <w:lang w:bidi="ar"/>
              </w:rPr>
              <w:t>年平均浓度限值</w:t>
            </w:r>
          </w:p>
        </w:tc>
        <w:tc>
          <w:tcPr>
            <w:tcW w:w="1047" w:type="pct"/>
            <w:tcBorders>
              <w:tl2br w:val="nil"/>
              <w:tr2bl w:val="nil"/>
            </w:tcBorders>
            <w:vAlign w:val="center"/>
          </w:tcPr>
          <w:p w14:paraId="5AF9B44A">
            <w:pPr>
              <w:ind w:left="-105" w:right="-105"/>
              <w:jc w:val="center"/>
              <w:textAlignment w:val="center"/>
              <w:rPr>
                <w:rFonts w:ascii="Times New Roman" w:hAnsi="Times New Roman"/>
                <w:snapToGrid w:val="0"/>
                <w:color w:val="auto"/>
                <w:sz w:val="21"/>
                <w:szCs w:val="21"/>
                <w:highlight w:val="none"/>
              </w:rPr>
            </w:pPr>
            <w:r>
              <w:rPr>
                <w:rFonts w:ascii="Times New Roman" w:hAnsi="Times New Roman"/>
                <w:color w:val="auto"/>
                <w:sz w:val="21"/>
                <w:szCs w:val="21"/>
                <w:highlight w:val="none"/>
                <w:lang w:bidi="ar"/>
              </w:rPr>
              <w:t>70</w:t>
            </w:r>
          </w:p>
        </w:tc>
        <w:tc>
          <w:tcPr>
            <w:tcW w:w="1783" w:type="pct"/>
            <w:vMerge w:val="continue"/>
            <w:tcBorders>
              <w:tl2br w:val="nil"/>
              <w:tr2bl w:val="nil"/>
            </w:tcBorders>
            <w:vAlign w:val="center"/>
          </w:tcPr>
          <w:p w14:paraId="598814BA">
            <w:pPr>
              <w:ind w:left="-105" w:right="-105"/>
              <w:jc w:val="center"/>
              <w:rPr>
                <w:rFonts w:ascii="Times New Roman" w:hAnsi="Times New Roman"/>
                <w:color w:val="auto"/>
                <w:sz w:val="21"/>
                <w:szCs w:val="21"/>
                <w:highlight w:val="none"/>
              </w:rPr>
            </w:pPr>
          </w:p>
        </w:tc>
      </w:tr>
      <w:tr w14:paraId="5B2190E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811" w:type="pct"/>
            <w:vMerge w:val="continue"/>
            <w:tcBorders>
              <w:tl2br w:val="nil"/>
              <w:tr2bl w:val="nil"/>
            </w:tcBorders>
            <w:vAlign w:val="center"/>
          </w:tcPr>
          <w:p w14:paraId="2AB7394C">
            <w:pPr>
              <w:autoSpaceDE w:val="0"/>
              <w:autoSpaceDN w:val="0"/>
              <w:ind w:left="-105" w:right="-105"/>
              <w:jc w:val="center"/>
              <w:rPr>
                <w:rFonts w:ascii="Times New Roman" w:hAnsi="Times New Roman"/>
                <w:snapToGrid w:val="0"/>
                <w:color w:val="auto"/>
                <w:sz w:val="21"/>
                <w:szCs w:val="21"/>
                <w:highlight w:val="none"/>
              </w:rPr>
            </w:pPr>
          </w:p>
        </w:tc>
        <w:tc>
          <w:tcPr>
            <w:tcW w:w="1357" w:type="pct"/>
            <w:tcBorders>
              <w:tl2br w:val="nil"/>
              <w:tr2bl w:val="nil"/>
            </w:tcBorders>
            <w:vAlign w:val="center"/>
          </w:tcPr>
          <w:p w14:paraId="540074F6">
            <w:pPr>
              <w:ind w:left="-105" w:right="-105"/>
              <w:jc w:val="center"/>
              <w:textAlignment w:val="center"/>
              <w:rPr>
                <w:rFonts w:ascii="Times New Roman" w:hAnsi="Times New Roman"/>
                <w:color w:val="auto"/>
                <w:sz w:val="21"/>
                <w:szCs w:val="21"/>
                <w:highlight w:val="none"/>
              </w:rPr>
            </w:pPr>
            <w:r>
              <w:rPr>
                <w:rFonts w:ascii="Times New Roman" w:hAnsi="Times New Roman"/>
                <w:color w:val="auto"/>
                <w:sz w:val="21"/>
                <w:szCs w:val="21"/>
                <w:highlight w:val="none"/>
                <w:lang w:bidi="ar"/>
              </w:rPr>
              <w:t>日平均浓度限值</w:t>
            </w:r>
          </w:p>
        </w:tc>
        <w:tc>
          <w:tcPr>
            <w:tcW w:w="1047" w:type="pct"/>
            <w:tcBorders>
              <w:tl2br w:val="nil"/>
              <w:tr2bl w:val="nil"/>
            </w:tcBorders>
            <w:vAlign w:val="center"/>
          </w:tcPr>
          <w:p w14:paraId="73B015A4">
            <w:pPr>
              <w:ind w:left="-105" w:right="-105"/>
              <w:jc w:val="center"/>
              <w:textAlignment w:val="center"/>
              <w:rPr>
                <w:rFonts w:ascii="Times New Roman" w:hAnsi="Times New Roman"/>
                <w:snapToGrid w:val="0"/>
                <w:color w:val="auto"/>
                <w:sz w:val="21"/>
                <w:szCs w:val="21"/>
                <w:highlight w:val="none"/>
              </w:rPr>
            </w:pPr>
            <w:r>
              <w:rPr>
                <w:rFonts w:ascii="Times New Roman" w:hAnsi="Times New Roman"/>
                <w:color w:val="auto"/>
                <w:sz w:val="21"/>
                <w:szCs w:val="21"/>
                <w:highlight w:val="none"/>
                <w:lang w:bidi="ar"/>
              </w:rPr>
              <w:t>150</w:t>
            </w:r>
          </w:p>
        </w:tc>
        <w:tc>
          <w:tcPr>
            <w:tcW w:w="1783" w:type="pct"/>
            <w:vMerge w:val="continue"/>
            <w:tcBorders>
              <w:tl2br w:val="nil"/>
              <w:tr2bl w:val="nil"/>
            </w:tcBorders>
            <w:vAlign w:val="center"/>
          </w:tcPr>
          <w:p w14:paraId="4877C110">
            <w:pPr>
              <w:ind w:left="-105" w:right="-105"/>
              <w:jc w:val="center"/>
              <w:rPr>
                <w:rFonts w:ascii="Times New Roman" w:hAnsi="Times New Roman"/>
                <w:color w:val="auto"/>
                <w:sz w:val="21"/>
                <w:szCs w:val="21"/>
                <w:highlight w:val="none"/>
              </w:rPr>
            </w:pPr>
          </w:p>
        </w:tc>
      </w:tr>
      <w:tr w14:paraId="4BB7CE7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811" w:type="pct"/>
            <w:vMerge w:val="restart"/>
            <w:tcBorders>
              <w:tl2br w:val="nil"/>
              <w:tr2bl w:val="nil"/>
            </w:tcBorders>
            <w:vAlign w:val="center"/>
          </w:tcPr>
          <w:p w14:paraId="5695347D">
            <w:pPr>
              <w:autoSpaceDE w:val="0"/>
              <w:autoSpaceDN w:val="0"/>
              <w:ind w:left="-105" w:right="-105"/>
              <w:jc w:val="center"/>
              <w:rPr>
                <w:rFonts w:ascii="Times New Roman" w:hAnsi="Times New Roman"/>
                <w:color w:val="auto"/>
                <w:sz w:val="21"/>
                <w:szCs w:val="21"/>
                <w:highlight w:val="none"/>
              </w:rPr>
            </w:pPr>
            <w:r>
              <w:rPr>
                <w:rFonts w:ascii="Times New Roman" w:hAnsi="Times New Roman"/>
                <w:snapToGrid w:val="0"/>
                <w:color w:val="auto"/>
                <w:sz w:val="21"/>
                <w:szCs w:val="21"/>
                <w:highlight w:val="none"/>
              </w:rPr>
              <w:t>PM</w:t>
            </w:r>
            <w:r>
              <w:rPr>
                <w:rFonts w:ascii="Times New Roman" w:hAnsi="Times New Roman"/>
                <w:snapToGrid w:val="0"/>
                <w:color w:val="auto"/>
                <w:sz w:val="21"/>
                <w:szCs w:val="21"/>
                <w:highlight w:val="none"/>
                <w:vertAlign w:val="subscript"/>
              </w:rPr>
              <w:t>2.5</w:t>
            </w:r>
          </w:p>
        </w:tc>
        <w:tc>
          <w:tcPr>
            <w:tcW w:w="1357" w:type="pct"/>
            <w:tcBorders>
              <w:tl2br w:val="nil"/>
              <w:tr2bl w:val="nil"/>
            </w:tcBorders>
            <w:vAlign w:val="center"/>
          </w:tcPr>
          <w:p w14:paraId="4E50E187">
            <w:pPr>
              <w:ind w:left="-105" w:right="-105"/>
              <w:jc w:val="center"/>
              <w:textAlignment w:val="center"/>
              <w:rPr>
                <w:rFonts w:ascii="Times New Roman" w:hAnsi="Times New Roman"/>
                <w:color w:val="auto"/>
                <w:sz w:val="21"/>
                <w:szCs w:val="21"/>
                <w:highlight w:val="none"/>
              </w:rPr>
            </w:pPr>
            <w:r>
              <w:rPr>
                <w:rFonts w:ascii="Times New Roman" w:hAnsi="Times New Roman"/>
                <w:color w:val="auto"/>
                <w:sz w:val="21"/>
                <w:szCs w:val="21"/>
                <w:highlight w:val="none"/>
                <w:lang w:bidi="ar"/>
              </w:rPr>
              <w:t>年平均浓度限值</w:t>
            </w:r>
          </w:p>
        </w:tc>
        <w:tc>
          <w:tcPr>
            <w:tcW w:w="1047" w:type="pct"/>
            <w:tcBorders>
              <w:tl2br w:val="nil"/>
              <w:tr2bl w:val="nil"/>
            </w:tcBorders>
            <w:vAlign w:val="center"/>
          </w:tcPr>
          <w:p w14:paraId="3DA83FF1">
            <w:pPr>
              <w:ind w:left="-105" w:right="-105"/>
              <w:jc w:val="center"/>
              <w:textAlignment w:val="center"/>
              <w:rPr>
                <w:rFonts w:ascii="Times New Roman" w:hAnsi="Times New Roman"/>
                <w:snapToGrid w:val="0"/>
                <w:color w:val="auto"/>
                <w:sz w:val="21"/>
                <w:szCs w:val="21"/>
                <w:highlight w:val="none"/>
              </w:rPr>
            </w:pPr>
            <w:r>
              <w:rPr>
                <w:rFonts w:ascii="Times New Roman" w:hAnsi="Times New Roman"/>
                <w:color w:val="auto"/>
                <w:sz w:val="21"/>
                <w:szCs w:val="21"/>
                <w:highlight w:val="none"/>
                <w:lang w:bidi="ar"/>
              </w:rPr>
              <w:t>35</w:t>
            </w:r>
          </w:p>
        </w:tc>
        <w:tc>
          <w:tcPr>
            <w:tcW w:w="1783" w:type="pct"/>
            <w:vMerge w:val="continue"/>
            <w:tcBorders>
              <w:tl2br w:val="nil"/>
              <w:tr2bl w:val="nil"/>
            </w:tcBorders>
            <w:vAlign w:val="center"/>
          </w:tcPr>
          <w:p w14:paraId="05269F9A">
            <w:pPr>
              <w:ind w:left="-105" w:right="-105"/>
              <w:jc w:val="center"/>
              <w:rPr>
                <w:rFonts w:ascii="Times New Roman" w:hAnsi="Times New Roman"/>
                <w:color w:val="auto"/>
                <w:sz w:val="21"/>
                <w:szCs w:val="21"/>
                <w:highlight w:val="none"/>
              </w:rPr>
            </w:pPr>
          </w:p>
        </w:tc>
      </w:tr>
      <w:tr w14:paraId="6F00E92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811" w:type="pct"/>
            <w:vMerge w:val="continue"/>
            <w:tcBorders>
              <w:tl2br w:val="nil"/>
              <w:tr2bl w:val="nil"/>
            </w:tcBorders>
            <w:vAlign w:val="center"/>
          </w:tcPr>
          <w:p w14:paraId="01BB387B">
            <w:pPr>
              <w:autoSpaceDE w:val="0"/>
              <w:autoSpaceDN w:val="0"/>
              <w:ind w:left="-105" w:right="-105"/>
              <w:jc w:val="center"/>
              <w:rPr>
                <w:rFonts w:ascii="Times New Roman" w:hAnsi="Times New Roman"/>
                <w:snapToGrid w:val="0"/>
                <w:color w:val="auto"/>
                <w:sz w:val="21"/>
                <w:szCs w:val="21"/>
                <w:highlight w:val="none"/>
              </w:rPr>
            </w:pPr>
          </w:p>
        </w:tc>
        <w:tc>
          <w:tcPr>
            <w:tcW w:w="1357" w:type="pct"/>
            <w:tcBorders>
              <w:tl2br w:val="nil"/>
              <w:tr2bl w:val="nil"/>
            </w:tcBorders>
            <w:vAlign w:val="center"/>
          </w:tcPr>
          <w:p w14:paraId="44367D46">
            <w:pPr>
              <w:ind w:left="-105" w:right="-105"/>
              <w:jc w:val="center"/>
              <w:textAlignment w:val="center"/>
              <w:rPr>
                <w:rFonts w:ascii="Times New Roman" w:hAnsi="Times New Roman"/>
                <w:color w:val="auto"/>
                <w:sz w:val="21"/>
                <w:szCs w:val="21"/>
                <w:highlight w:val="none"/>
              </w:rPr>
            </w:pPr>
            <w:r>
              <w:rPr>
                <w:rFonts w:ascii="Times New Roman" w:hAnsi="Times New Roman"/>
                <w:color w:val="auto"/>
                <w:sz w:val="21"/>
                <w:szCs w:val="21"/>
                <w:highlight w:val="none"/>
                <w:lang w:bidi="ar"/>
              </w:rPr>
              <w:t>日平均浓度限值</w:t>
            </w:r>
          </w:p>
        </w:tc>
        <w:tc>
          <w:tcPr>
            <w:tcW w:w="1047" w:type="pct"/>
            <w:tcBorders>
              <w:tl2br w:val="nil"/>
              <w:tr2bl w:val="nil"/>
            </w:tcBorders>
            <w:vAlign w:val="center"/>
          </w:tcPr>
          <w:p w14:paraId="68F66CC6">
            <w:pPr>
              <w:ind w:left="-105" w:right="-105"/>
              <w:jc w:val="center"/>
              <w:textAlignment w:val="center"/>
              <w:rPr>
                <w:rFonts w:ascii="Times New Roman" w:hAnsi="Times New Roman"/>
                <w:snapToGrid w:val="0"/>
                <w:color w:val="auto"/>
                <w:sz w:val="21"/>
                <w:szCs w:val="21"/>
                <w:highlight w:val="none"/>
              </w:rPr>
            </w:pPr>
            <w:r>
              <w:rPr>
                <w:rFonts w:ascii="Times New Roman" w:hAnsi="Times New Roman"/>
                <w:color w:val="auto"/>
                <w:sz w:val="21"/>
                <w:szCs w:val="21"/>
                <w:highlight w:val="none"/>
                <w:lang w:bidi="ar"/>
              </w:rPr>
              <w:t>75</w:t>
            </w:r>
          </w:p>
        </w:tc>
        <w:tc>
          <w:tcPr>
            <w:tcW w:w="1783" w:type="pct"/>
            <w:vMerge w:val="continue"/>
            <w:tcBorders>
              <w:tl2br w:val="nil"/>
              <w:tr2bl w:val="nil"/>
            </w:tcBorders>
            <w:vAlign w:val="center"/>
          </w:tcPr>
          <w:p w14:paraId="5F713CEF">
            <w:pPr>
              <w:ind w:left="-105" w:right="-105"/>
              <w:jc w:val="center"/>
              <w:rPr>
                <w:rFonts w:ascii="Times New Roman" w:hAnsi="Times New Roman"/>
                <w:color w:val="auto"/>
                <w:sz w:val="21"/>
                <w:szCs w:val="21"/>
                <w:highlight w:val="none"/>
              </w:rPr>
            </w:pPr>
          </w:p>
        </w:tc>
      </w:tr>
      <w:tr w14:paraId="3B85F80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811" w:type="pct"/>
            <w:vMerge w:val="restart"/>
            <w:tcBorders>
              <w:tl2br w:val="nil"/>
              <w:tr2bl w:val="nil"/>
            </w:tcBorders>
            <w:vAlign w:val="center"/>
          </w:tcPr>
          <w:p w14:paraId="2C83B506">
            <w:pPr>
              <w:autoSpaceDE w:val="0"/>
              <w:autoSpaceDN w:val="0"/>
              <w:ind w:left="-105" w:right="-105"/>
              <w:jc w:val="center"/>
              <w:rPr>
                <w:rFonts w:ascii="Times New Roman" w:hAnsi="Times New Roman"/>
                <w:snapToGrid w:val="0"/>
                <w:color w:val="auto"/>
                <w:sz w:val="21"/>
                <w:szCs w:val="21"/>
                <w:highlight w:val="none"/>
              </w:rPr>
            </w:pPr>
            <w:r>
              <w:rPr>
                <w:rFonts w:ascii="Times New Roman" w:hAnsi="Times New Roman"/>
                <w:color w:val="auto"/>
                <w:sz w:val="21"/>
                <w:szCs w:val="21"/>
                <w:highlight w:val="none"/>
              </w:rPr>
              <w:t>NOx</w:t>
            </w:r>
          </w:p>
        </w:tc>
        <w:tc>
          <w:tcPr>
            <w:tcW w:w="1357" w:type="pct"/>
            <w:tcBorders>
              <w:tl2br w:val="nil"/>
              <w:tr2bl w:val="nil"/>
            </w:tcBorders>
            <w:vAlign w:val="center"/>
          </w:tcPr>
          <w:p w14:paraId="6E96EBFC">
            <w:pPr>
              <w:ind w:left="-105" w:right="-105"/>
              <w:jc w:val="center"/>
              <w:textAlignment w:val="center"/>
              <w:rPr>
                <w:rFonts w:ascii="Times New Roman" w:hAnsi="Times New Roman"/>
                <w:color w:val="auto"/>
                <w:sz w:val="21"/>
                <w:szCs w:val="21"/>
                <w:highlight w:val="none"/>
                <w:lang w:bidi="ar"/>
              </w:rPr>
            </w:pPr>
            <w:r>
              <w:rPr>
                <w:rFonts w:ascii="Times New Roman" w:hAnsi="Times New Roman"/>
                <w:color w:val="auto"/>
                <w:sz w:val="21"/>
                <w:szCs w:val="21"/>
                <w:highlight w:val="none"/>
                <w:lang w:bidi="ar"/>
              </w:rPr>
              <w:t>年平均浓度限值</w:t>
            </w:r>
          </w:p>
        </w:tc>
        <w:tc>
          <w:tcPr>
            <w:tcW w:w="1047" w:type="pct"/>
            <w:tcBorders>
              <w:tl2br w:val="nil"/>
              <w:tr2bl w:val="nil"/>
            </w:tcBorders>
            <w:vAlign w:val="center"/>
          </w:tcPr>
          <w:p w14:paraId="4DD5D696">
            <w:pPr>
              <w:ind w:left="-105" w:right="-105"/>
              <w:jc w:val="center"/>
              <w:textAlignment w:val="center"/>
              <w:rPr>
                <w:rFonts w:ascii="Times New Roman" w:hAnsi="Times New Roman"/>
                <w:color w:val="auto"/>
                <w:sz w:val="21"/>
                <w:szCs w:val="21"/>
                <w:highlight w:val="none"/>
                <w:lang w:bidi="ar"/>
              </w:rPr>
            </w:pPr>
            <w:r>
              <w:rPr>
                <w:rFonts w:ascii="Times New Roman" w:hAnsi="Times New Roman"/>
                <w:color w:val="auto"/>
                <w:sz w:val="21"/>
                <w:szCs w:val="21"/>
                <w:highlight w:val="none"/>
                <w:lang w:bidi="ar"/>
              </w:rPr>
              <w:t>50</w:t>
            </w:r>
          </w:p>
        </w:tc>
        <w:tc>
          <w:tcPr>
            <w:tcW w:w="1783" w:type="pct"/>
            <w:vMerge w:val="continue"/>
            <w:tcBorders>
              <w:tl2br w:val="nil"/>
              <w:tr2bl w:val="nil"/>
            </w:tcBorders>
            <w:vAlign w:val="center"/>
          </w:tcPr>
          <w:p w14:paraId="00CDD77F">
            <w:pPr>
              <w:ind w:left="-105" w:right="-105"/>
              <w:jc w:val="center"/>
              <w:rPr>
                <w:rFonts w:ascii="Times New Roman" w:hAnsi="Times New Roman"/>
                <w:color w:val="auto"/>
                <w:sz w:val="21"/>
                <w:szCs w:val="21"/>
                <w:highlight w:val="none"/>
              </w:rPr>
            </w:pPr>
          </w:p>
        </w:tc>
      </w:tr>
      <w:tr w14:paraId="7483447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96" w:hRule="atLeast"/>
          <w:jc w:val="center"/>
        </w:trPr>
        <w:tc>
          <w:tcPr>
            <w:tcW w:w="811" w:type="pct"/>
            <w:vMerge w:val="continue"/>
            <w:tcBorders>
              <w:tl2br w:val="nil"/>
              <w:tr2bl w:val="nil"/>
            </w:tcBorders>
            <w:vAlign w:val="center"/>
          </w:tcPr>
          <w:p w14:paraId="3238336A">
            <w:pPr>
              <w:autoSpaceDE w:val="0"/>
              <w:autoSpaceDN w:val="0"/>
              <w:ind w:left="-105" w:right="-105"/>
              <w:jc w:val="center"/>
              <w:rPr>
                <w:rFonts w:ascii="Times New Roman" w:hAnsi="Times New Roman"/>
                <w:color w:val="auto"/>
                <w:sz w:val="21"/>
                <w:szCs w:val="21"/>
                <w:highlight w:val="none"/>
              </w:rPr>
            </w:pPr>
          </w:p>
        </w:tc>
        <w:tc>
          <w:tcPr>
            <w:tcW w:w="1357" w:type="pct"/>
            <w:tcBorders>
              <w:tl2br w:val="nil"/>
              <w:tr2bl w:val="nil"/>
            </w:tcBorders>
            <w:vAlign w:val="center"/>
          </w:tcPr>
          <w:p w14:paraId="05721A2D">
            <w:pPr>
              <w:ind w:left="-105" w:right="-105"/>
              <w:jc w:val="center"/>
              <w:textAlignment w:val="center"/>
              <w:rPr>
                <w:rFonts w:ascii="Times New Roman" w:hAnsi="Times New Roman"/>
                <w:color w:val="auto"/>
                <w:sz w:val="21"/>
                <w:szCs w:val="21"/>
                <w:highlight w:val="none"/>
                <w:lang w:bidi="ar"/>
              </w:rPr>
            </w:pPr>
            <w:r>
              <w:rPr>
                <w:rFonts w:ascii="Times New Roman" w:hAnsi="Times New Roman"/>
                <w:color w:val="auto"/>
                <w:sz w:val="21"/>
                <w:szCs w:val="21"/>
                <w:highlight w:val="none"/>
                <w:lang w:bidi="ar"/>
              </w:rPr>
              <w:t>日平均浓度限值</w:t>
            </w:r>
          </w:p>
        </w:tc>
        <w:tc>
          <w:tcPr>
            <w:tcW w:w="1047" w:type="pct"/>
            <w:tcBorders>
              <w:tl2br w:val="nil"/>
              <w:tr2bl w:val="nil"/>
            </w:tcBorders>
            <w:vAlign w:val="center"/>
          </w:tcPr>
          <w:p w14:paraId="7FD8F391">
            <w:pPr>
              <w:ind w:left="-105" w:right="-105"/>
              <w:jc w:val="center"/>
              <w:textAlignment w:val="center"/>
              <w:rPr>
                <w:rFonts w:ascii="Times New Roman" w:hAnsi="Times New Roman"/>
                <w:color w:val="auto"/>
                <w:sz w:val="21"/>
                <w:szCs w:val="21"/>
                <w:highlight w:val="none"/>
                <w:lang w:bidi="ar"/>
              </w:rPr>
            </w:pPr>
            <w:r>
              <w:rPr>
                <w:rFonts w:ascii="Times New Roman" w:hAnsi="Times New Roman"/>
                <w:color w:val="auto"/>
                <w:sz w:val="21"/>
                <w:szCs w:val="21"/>
                <w:highlight w:val="none"/>
                <w:lang w:bidi="ar"/>
              </w:rPr>
              <w:t>100</w:t>
            </w:r>
          </w:p>
        </w:tc>
        <w:tc>
          <w:tcPr>
            <w:tcW w:w="1783" w:type="pct"/>
            <w:vMerge w:val="continue"/>
            <w:tcBorders>
              <w:tl2br w:val="nil"/>
              <w:tr2bl w:val="nil"/>
            </w:tcBorders>
            <w:vAlign w:val="center"/>
          </w:tcPr>
          <w:p w14:paraId="599032B1">
            <w:pPr>
              <w:ind w:left="-105" w:right="-105"/>
              <w:jc w:val="center"/>
              <w:rPr>
                <w:rFonts w:ascii="Times New Roman" w:hAnsi="Times New Roman"/>
                <w:color w:val="auto"/>
                <w:sz w:val="21"/>
                <w:szCs w:val="21"/>
                <w:highlight w:val="none"/>
              </w:rPr>
            </w:pPr>
          </w:p>
        </w:tc>
      </w:tr>
      <w:tr w14:paraId="275FA3D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109" w:hRule="atLeast"/>
          <w:jc w:val="center"/>
        </w:trPr>
        <w:tc>
          <w:tcPr>
            <w:tcW w:w="811" w:type="pct"/>
            <w:vMerge w:val="continue"/>
            <w:tcBorders>
              <w:tl2br w:val="nil"/>
              <w:tr2bl w:val="nil"/>
            </w:tcBorders>
            <w:vAlign w:val="center"/>
          </w:tcPr>
          <w:p w14:paraId="2DADB86C">
            <w:pPr>
              <w:autoSpaceDE w:val="0"/>
              <w:autoSpaceDN w:val="0"/>
              <w:ind w:left="-105" w:right="-105"/>
              <w:jc w:val="center"/>
              <w:rPr>
                <w:rFonts w:ascii="Times New Roman" w:hAnsi="Times New Roman"/>
                <w:color w:val="auto"/>
                <w:sz w:val="21"/>
                <w:szCs w:val="21"/>
                <w:highlight w:val="none"/>
              </w:rPr>
            </w:pPr>
          </w:p>
        </w:tc>
        <w:tc>
          <w:tcPr>
            <w:tcW w:w="1357" w:type="pct"/>
            <w:tcBorders>
              <w:tl2br w:val="nil"/>
              <w:tr2bl w:val="nil"/>
            </w:tcBorders>
            <w:vAlign w:val="center"/>
          </w:tcPr>
          <w:p w14:paraId="0567D0A2">
            <w:pPr>
              <w:ind w:left="-105" w:right="-105"/>
              <w:jc w:val="center"/>
              <w:textAlignment w:val="center"/>
              <w:rPr>
                <w:rFonts w:ascii="Times New Roman" w:hAnsi="Times New Roman"/>
                <w:color w:val="auto"/>
                <w:sz w:val="21"/>
                <w:szCs w:val="21"/>
                <w:highlight w:val="none"/>
                <w:lang w:bidi="ar"/>
              </w:rPr>
            </w:pPr>
            <w:r>
              <w:rPr>
                <w:rFonts w:ascii="Times New Roman" w:hAnsi="Times New Roman"/>
                <w:color w:val="auto"/>
                <w:sz w:val="21"/>
                <w:szCs w:val="21"/>
                <w:highlight w:val="none"/>
                <w:lang w:bidi="ar"/>
              </w:rPr>
              <w:t>1</w:t>
            </w:r>
            <w:r>
              <w:rPr>
                <w:rStyle w:val="110"/>
                <w:rFonts w:ascii="Times New Roman" w:hAnsi="Times New Roman" w:cs="Times New Roman"/>
                <w:color w:val="auto"/>
                <w:sz w:val="21"/>
                <w:szCs w:val="21"/>
                <w:highlight w:val="none"/>
                <w:lang w:bidi="ar"/>
              </w:rPr>
              <w:t>小时平均浓度限值</w:t>
            </w:r>
          </w:p>
        </w:tc>
        <w:tc>
          <w:tcPr>
            <w:tcW w:w="1047" w:type="pct"/>
            <w:tcBorders>
              <w:tl2br w:val="nil"/>
              <w:tr2bl w:val="nil"/>
            </w:tcBorders>
            <w:vAlign w:val="center"/>
          </w:tcPr>
          <w:p w14:paraId="50663D15">
            <w:pPr>
              <w:ind w:left="-105" w:right="-105"/>
              <w:jc w:val="center"/>
              <w:textAlignment w:val="center"/>
              <w:rPr>
                <w:rFonts w:ascii="Times New Roman" w:hAnsi="Times New Roman"/>
                <w:color w:val="auto"/>
                <w:sz w:val="21"/>
                <w:szCs w:val="21"/>
                <w:highlight w:val="none"/>
                <w:lang w:bidi="ar"/>
              </w:rPr>
            </w:pPr>
            <w:r>
              <w:rPr>
                <w:rFonts w:ascii="Times New Roman" w:hAnsi="Times New Roman"/>
                <w:color w:val="auto"/>
                <w:sz w:val="21"/>
                <w:szCs w:val="21"/>
                <w:highlight w:val="none"/>
                <w:lang w:bidi="ar"/>
              </w:rPr>
              <w:t>250</w:t>
            </w:r>
          </w:p>
        </w:tc>
        <w:tc>
          <w:tcPr>
            <w:tcW w:w="1783" w:type="pct"/>
            <w:vMerge w:val="continue"/>
            <w:tcBorders>
              <w:tl2br w:val="nil"/>
              <w:tr2bl w:val="nil"/>
            </w:tcBorders>
            <w:vAlign w:val="center"/>
          </w:tcPr>
          <w:p w14:paraId="2B5E9371">
            <w:pPr>
              <w:ind w:left="-105" w:right="-105"/>
              <w:jc w:val="center"/>
              <w:rPr>
                <w:rFonts w:ascii="Times New Roman" w:hAnsi="Times New Roman"/>
                <w:color w:val="auto"/>
                <w:sz w:val="21"/>
                <w:szCs w:val="21"/>
                <w:highlight w:val="none"/>
              </w:rPr>
            </w:pPr>
          </w:p>
        </w:tc>
      </w:tr>
      <w:tr w14:paraId="67204D0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811" w:type="pct"/>
            <w:tcBorders>
              <w:tl2br w:val="nil"/>
              <w:tr2bl w:val="nil"/>
            </w:tcBorders>
            <w:vAlign w:val="center"/>
          </w:tcPr>
          <w:p w14:paraId="6FB447B1">
            <w:pPr>
              <w:ind w:left="-105" w:right="-105"/>
              <w:jc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非甲烷总烃</w:t>
            </w:r>
          </w:p>
        </w:tc>
        <w:tc>
          <w:tcPr>
            <w:tcW w:w="1357" w:type="pct"/>
            <w:tcBorders>
              <w:tl2br w:val="nil"/>
              <w:tr2bl w:val="nil"/>
            </w:tcBorders>
            <w:vAlign w:val="center"/>
          </w:tcPr>
          <w:p w14:paraId="7B80738D">
            <w:pPr>
              <w:ind w:left="-105" w:right="-105"/>
              <w:jc w:val="center"/>
              <w:rPr>
                <w:rFonts w:ascii="Times New Roman" w:hAnsi="Times New Roman"/>
                <w:color w:val="auto"/>
                <w:sz w:val="21"/>
                <w:szCs w:val="21"/>
                <w:highlight w:val="none"/>
              </w:rPr>
            </w:pPr>
            <w:r>
              <w:rPr>
                <w:rFonts w:ascii="Times New Roman" w:hAnsi="Times New Roman"/>
                <w:color w:val="auto"/>
                <w:sz w:val="21"/>
                <w:szCs w:val="21"/>
                <w:highlight w:val="none"/>
                <w:lang w:bidi="ar"/>
              </w:rPr>
              <w:t>一次浓度值</w:t>
            </w:r>
          </w:p>
        </w:tc>
        <w:tc>
          <w:tcPr>
            <w:tcW w:w="1047" w:type="pct"/>
            <w:tcBorders>
              <w:tl2br w:val="nil"/>
              <w:tr2bl w:val="nil"/>
            </w:tcBorders>
            <w:vAlign w:val="center"/>
          </w:tcPr>
          <w:p w14:paraId="30C9C8D7">
            <w:pPr>
              <w:ind w:left="-105" w:right="-105"/>
              <w:jc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2000</w:t>
            </w:r>
          </w:p>
        </w:tc>
        <w:tc>
          <w:tcPr>
            <w:tcW w:w="1783" w:type="pct"/>
            <w:tcBorders>
              <w:tl2br w:val="nil"/>
              <w:tr2bl w:val="nil"/>
            </w:tcBorders>
            <w:vAlign w:val="center"/>
          </w:tcPr>
          <w:p w14:paraId="0E7FF79A">
            <w:pPr>
              <w:ind w:left="-105" w:right="-105"/>
              <w:jc w:val="center"/>
              <w:rPr>
                <w:rFonts w:ascii="Times New Roman" w:hAnsi="Times New Roman"/>
                <w:color w:val="auto"/>
                <w:sz w:val="21"/>
                <w:szCs w:val="21"/>
                <w:highlight w:val="none"/>
              </w:rPr>
            </w:pPr>
            <w:r>
              <w:rPr>
                <w:rFonts w:ascii="Times New Roman" w:hAnsi="Times New Roman" w:cs="Times New Roman"/>
                <w:color w:val="auto"/>
                <w:sz w:val="21"/>
                <w:szCs w:val="21"/>
                <w:highlight w:val="none"/>
              </w:rPr>
              <w:t>《大气污染物综合排放标准详解》</w:t>
            </w:r>
          </w:p>
        </w:tc>
      </w:tr>
      <w:tr w14:paraId="69824AB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811" w:type="pct"/>
            <w:tcBorders>
              <w:tl2br w:val="nil"/>
              <w:tr2bl w:val="nil"/>
            </w:tcBorders>
            <w:vAlign w:val="center"/>
          </w:tcPr>
          <w:p w14:paraId="06D425F6">
            <w:pPr>
              <w:ind w:left="-105" w:right="-105"/>
              <w:jc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甲醇</w:t>
            </w:r>
          </w:p>
        </w:tc>
        <w:tc>
          <w:tcPr>
            <w:tcW w:w="1357" w:type="pct"/>
            <w:tcBorders>
              <w:tl2br w:val="nil"/>
              <w:tr2bl w:val="nil"/>
            </w:tcBorders>
            <w:vAlign w:val="center"/>
          </w:tcPr>
          <w:p w14:paraId="20282DE5">
            <w:pPr>
              <w:ind w:left="-105" w:right="-105"/>
              <w:jc w:val="center"/>
              <w:rPr>
                <w:rFonts w:ascii="Times New Roman" w:hAnsi="Times New Roman"/>
                <w:color w:val="auto"/>
                <w:sz w:val="21"/>
                <w:szCs w:val="21"/>
                <w:highlight w:val="none"/>
                <w:lang w:bidi="ar"/>
              </w:rPr>
            </w:pPr>
            <w:r>
              <w:rPr>
                <w:rFonts w:hint="eastAsia" w:ascii="Times New Roman" w:hAnsi="Times New Roman"/>
                <w:color w:val="auto"/>
                <w:sz w:val="21"/>
                <w:szCs w:val="21"/>
                <w:highlight w:val="none"/>
                <w:lang w:bidi="ar"/>
              </w:rPr>
              <w:t>1</w:t>
            </w:r>
            <w:r>
              <w:rPr>
                <w:rStyle w:val="110"/>
                <w:rFonts w:ascii="Times New Roman" w:hAnsi="Times New Roman" w:cs="Times New Roman"/>
                <w:color w:val="auto"/>
                <w:sz w:val="21"/>
                <w:szCs w:val="21"/>
                <w:highlight w:val="none"/>
                <w:lang w:bidi="ar"/>
              </w:rPr>
              <w:t>小时平均浓度限值</w:t>
            </w:r>
          </w:p>
        </w:tc>
        <w:tc>
          <w:tcPr>
            <w:tcW w:w="1047" w:type="pct"/>
            <w:tcBorders>
              <w:tl2br w:val="nil"/>
              <w:tr2bl w:val="nil"/>
            </w:tcBorders>
            <w:vAlign w:val="center"/>
          </w:tcPr>
          <w:p w14:paraId="4023E66C">
            <w:pPr>
              <w:ind w:left="-105" w:right="-105"/>
              <w:jc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3000</w:t>
            </w:r>
          </w:p>
        </w:tc>
        <w:tc>
          <w:tcPr>
            <w:tcW w:w="1783" w:type="pct"/>
            <w:tcBorders>
              <w:tl2br w:val="nil"/>
              <w:tr2bl w:val="nil"/>
            </w:tcBorders>
            <w:vAlign w:val="center"/>
          </w:tcPr>
          <w:p w14:paraId="783AA56A">
            <w:pPr>
              <w:ind w:left="-105" w:right="-105"/>
              <w:jc w:val="center"/>
              <w:rPr>
                <w:rFonts w:ascii="Times New Roman" w:hAnsi="Times New Roman"/>
                <w:color w:val="auto"/>
                <w:sz w:val="21"/>
                <w:szCs w:val="21"/>
                <w:highlight w:val="none"/>
              </w:rPr>
            </w:pPr>
            <w:r>
              <w:rPr>
                <w:rFonts w:ascii="Times New Roman" w:hAnsi="Times New Roman"/>
                <w:color w:val="auto"/>
                <w:sz w:val="21"/>
                <w:szCs w:val="21"/>
                <w:highlight w:val="none"/>
              </w:rPr>
              <w:t>《环境影响评价技术导则 大气环境》（HJ2.2-2018）</w:t>
            </w:r>
          </w:p>
        </w:tc>
      </w:tr>
    </w:tbl>
    <w:p w14:paraId="7218D673">
      <w:pPr>
        <w:tabs>
          <w:tab w:val="left" w:pos="993"/>
          <w:tab w:val="left" w:pos="1276"/>
        </w:tabs>
        <w:spacing w:line="360" w:lineRule="auto"/>
        <w:ind w:left="-105" w:right="-105" w:firstLine="480"/>
        <w:rPr>
          <w:rFonts w:ascii="Times New Roman" w:hAnsi="Times New Roman"/>
          <w:color w:val="auto"/>
          <w:highlight w:val="none"/>
        </w:rPr>
      </w:pPr>
      <w:r>
        <w:rPr>
          <w:rFonts w:ascii="Times New Roman" w:hAnsi="Times New Roman"/>
          <w:color w:val="auto"/>
          <w:highlight w:val="none"/>
        </w:rPr>
        <w:t>（2）地表水质量标准</w:t>
      </w:r>
    </w:p>
    <w:p w14:paraId="7795E39E">
      <w:pPr>
        <w:tabs>
          <w:tab w:val="left" w:pos="993"/>
          <w:tab w:val="left" w:pos="1276"/>
        </w:tabs>
        <w:spacing w:line="360" w:lineRule="auto"/>
        <w:ind w:left="-105" w:right="-105" w:firstLine="480" w:firstLineChars="200"/>
        <w:jc w:val="both"/>
        <w:rPr>
          <w:rFonts w:ascii="Times New Roman" w:hAnsi="Times New Roman"/>
          <w:color w:val="auto"/>
          <w:highlight w:val="none"/>
        </w:rPr>
      </w:pPr>
      <w:r>
        <w:rPr>
          <w:rFonts w:hint="eastAsia" w:ascii="Times New Roman" w:hAnsi="Times New Roman"/>
          <w:color w:val="auto"/>
          <w:highlight w:val="none"/>
        </w:rPr>
        <w:t>根据《江苏省地表水(环境)功能区划（2021-2030年）》的要求，无锡市锡山云林污水处理有限公司</w:t>
      </w:r>
      <w:r>
        <w:rPr>
          <w:rFonts w:ascii="Times New Roman" w:hAnsi="Times New Roman" w:cs="Times New Roman"/>
          <w:color w:val="auto"/>
          <w:highlight w:val="none"/>
        </w:rPr>
        <w:t>收纳水体</w:t>
      </w:r>
      <w:r>
        <w:rPr>
          <w:rFonts w:hint="eastAsia" w:ascii="Times New Roman" w:hAnsi="Times New Roman"/>
          <w:color w:val="auto"/>
          <w:highlight w:val="none"/>
        </w:rPr>
        <w:t>北兴塘河执行《地表水环境质量标准》(GB3838-2002)中</w:t>
      </w:r>
      <w:r>
        <w:rPr>
          <w:rFonts w:ascii="Times New Roman" w:hAnsi="Times New Roman" w:cs="Times New Roman"/>
          <w:color w:val="auto"/>
          <w:highlight w:val="none"/>
        </w:rPr>
        <w:t>的Ⅲ</w:t>
      </w:r>
      <w:r>
        <w:rPr>
          <w:rFonts w:hint="eastAsia" w:ascii="Times New Roman" w:hAnsi="Times New Roman"/>
          <w:color w:val="auto"/>
          <w:highlight w:val="none"/>
        </w:rPr>
        <w:t>类标准，</w:t>
      </w:r>
      <w:r>
        <w:rPr>
          <w:rFonts w:ascii="Times New Roman" w:hAnsi="Times New Roman" w:cs="Times New Roman"/>
          <w:color w:val="auto"/>
          <w:highlight w:val="none"/>
        </w:rPr>
        <w:t>厂区雨水</w:t>
      </w:r>
      <w:r>
        <w:rPr>
          <w:rFonts w:hint="eastAsia" w:ascii="Times New Roman" w:hAnsi="Times New Roman"/>
          <w:color w:val="auto"/>
          <w:highlight w:val="none"/>
        </w:rPr>
        <w:t>收纳水体锡北运河执行《地表水环境质量标准》(GB3838-2002)中</w:t>
      </w:r>
      <w:r>
        <w:rPr>
          <w:rFonts w:ascii="Times New Roman" w:hAnsi="Times New Roman" w:cs="Times New Roman"/>
          <w:color w:val="auto"/>
          <w:highlight w:val="none"/>
        </w:rPr>
        <w:t>的Ⅲ</w:t>
      </w:r>
      <w:r>
        <w:rPr>
          <w:rFonts w:hint="eastAsia" w:ascii="Times New Roman" w:hAnsi="Times New Roman"/>
          <w:color w:val="auto"/>
          <w:highlight w:val="none"/>
        </w:rPr>
        <w:t>类标准，</w:t>
      </w:r>
      <w:r>
        <w:rPr>
          <w:rFonts w:ascii="Times New Roman" w:hAnsi="Times New Roman"/>
          <w:color w:val="auto"/>
          <w:highlight w:val="none"/>
        </w:rPr>
        <w:t>详见</w:t>
      </w:r>
      <w:r>
        <w:rPr>
          <w:rFonts w:ascii="Times New Roman" w:hAnsi="Times New Roman"/>
          <w:color w:val="auto"/>
          <w:highlight w:val="none"/>
        </w:rPr>
        <w:fldChar w:fldCharType="begin"/>
      </w:r>
      <w:r>
        <w:rPr>
          <w:rFonts w:ascii="Times New Roman" w:hAnsi="Times New Roman"/>
          <w:color w:val="auto"/>
          <w:highlight w:val="none"/>
        </w:rPr>
        <w:instrText xml:space="preserve"> REF _Ref17721183 \h  \* MERGEFORMAT </w:instrText>
      </w:r>
      <w:r>
        <w:rPr>
          <w:rFonts w:ascii="Times New Roman" w:hAnsi="Times New Roman"/>
          <w:color w:val="auto"/>
          <w:highlight w:val="none"/>
        </w:rPr>
        <w:fldChar w:fldCharType="separate"/>
      </w:r>
      <w:r>
        <w:rPr>
          <w:rFonts w:ascii="Times New Roman" w:hAnsi="Times New Roman"/>
          <w:color w:val="auto"/>
          <w:szCs w:val="22"/>
          <w:highlight w:val="none"/>
        </w:rPr>
        <w:t>表2.3</w:t>
      </w:r>
      <w:r>
        <w:rPr>
          <w:rFonts w:ascii="Times New Roman" w:hAnsi="Times New Roman"/>
          <w:color w:val="auto"/>
          <w:szCs w:val="22"/>
          <w:highlight w:val="none"/>
        </w:rPr>
        <w:noBreakHyphen/>
      </w:r>
      <w:r>
        <w:rPr>
          <w:rFonts w:ascii="Times New Roman" w:hAnsi="Times New Roman"/>
          <w:color w:val="auto"/>
          <w:szCs w:val="22"/>
          <w:highlight w:val="none"/>
        </w:rPr>
        <w:t>4</w:t>
      </w:r>
      <w:r>
        <w:rPr>
          <w:rFonts w:ascii="Times New Roman" w:hAnsi="Times New Roman"/>
          <w:color w:val="auto"/>
          <w:highlight w:val="none"/>
        </w:rPr>
        <w:fldChar w:fldCharType="end"/>
      </w:r>
      <w:r>
        <w:rPr>
          <w:rFonts w:ascii="Times New Roman" w:hAnsi="Times New Roman"/>
          <w:color w:val="auto"/>
          <w:highlight w:val="none"/>
        </w:rPr>
        <w:t>。</w:t>
      </w:r>
    </w:p>
    <w:p w14:paraId="04EF2330">
      <w:pPr>
        <w:pStyle w:val="15"/>
        <w:spacing w:line="360" w:lineRule="auto"/>
        <w:ind w:left="-105" w:right="-105" w:firstLine="482"/>
        <w:rPr>
          <w:rFonts w:eastAsia="宋体" w:cs="Times New Roman"/>
          <w:color w:val="auto"/>
          <w:sz w:val="24"/>
          <w:szCs w:val="22"/>
          <w:highlight w:val="none"/>
        </w:rPr>
      </w:pPr>
      <w:bookmarkStart w:id="128" w:name="_Ref17721183"/>
      <w:r>
        <w:rPr>
          <w:rFonts w:eastAsia="宋体" w:cs="Times New Roman"/>
          <w:color w:val="auto"/>
          <w:sz w:val="24"/>
          <w:szCs w:val="18"/>
          <w:highlight w:val="none"/>
        </w:rPr>
        <w:t>表</w:t>
      </w:r>
      <w:r>
        <w:rPr>
          <w:rFonts w:eastAsia="宋体" w:cs="Times New Roman"/>
          <w:color w:val="auto"/>
          <w:sz w:val="24"/>
          <w:szCs w:val="18"/>
          <w:highlight w:val="none"/>
        </w:rPr>
        <w:fldChar w:fldCharType="begin"/>
      </w:r>
      <w:r>
        <w:rPr>
          <w:rFonts w:eastAsia="宋体" w:cs="Times New Roman"/>
          <w:color w:val="auto"/>
          <w:sz w:val="24"/>
          <w:szCs w:val="18"/>
          <w:highlight w:val="none"/>
        </w:rPr>
        <w:instrText xml:space="preserve"> STYLEREF 2 \s </w:instrText>
      </w:r>
      <w:r>
        <w:rPr>
          <w:rFonts w:eastAsia="宋体" w:cs="Times New Roman"/>
          <w:color w:val="auto"/>
          <w:sz w:val="24"/>
          <w:szCs w:val="18"/>
          <w:highlight w:val="none"/>
        </w:rPr>
        <w:fldChar w:fldCharType="separate"/>
      </w:r>
      <w:r>
        <w:rPr>
          <w:rFonts w:eastAsia="宋体" w:cs="Times New Roman"/>
          <w:color w:val="auto"/>
          <w:sz w:val="24"/>
          <w:szCs w:val="18"/>
          <w:highlight w:val="none"/>
        </w:rPr>
        <w:t>2.3</w:t>
      </w:r>
      <w:r>
        <w:rPr>
          <w:rFonts w:eastAsia="宋体" w:cs="Times New Roman"/>
          <w:color w:val="auto"/>
          <w:sz w:val="24"/>
          <w:szCs w:val="18"/>
          <w:highlight w:val="none"/>
        </w:rPr>
        <w:fldChar w:fldCharType="end"/>
      </w:r>
      <w:r>
        <w:rPr>
          <w:rFonts w:eastAsia="宋体" w:cs="Times New Roman"/>
          <w:color w:val="auto"/>
          <w:sz w:val="24"/>
          <w:szCs w:val="18"/>
          <w:highlight w:val="none"/>
        </w:rPr>
        <w:noBreakHyphen/>
      </w:r>
      <w:r>
        <w:rPr>
          <w:rFonts w:eastAsia="宋体" w:cs="Times New Roman"/>
          <w:color w:val="auto"/>
          <w:sz w:val="24"/>
          <w:szCs w:val="18"/>
          <w:highlight w:val="none"/>
        </w:rPr>
        <w:fldChar w:fldCharType="begin"/>
      </w:r>
      <w:r>
        <w:rPr>
          <w:rFonts w:eastAsia="宋体" w:cs="Times New Roman"/>
          <w:color w:val="auto"/>
          <w:sz w:val="24"/>
          <w:szCs w:val="18"/>
          <w:highlight w:val="none"/>
        </w:rPr>
        <w:instrText xml:space="preserve"> SEQ 表 \* ARABIC \s 2 </w:instrText>
      </w:r>
      <w:r>
        <w:rPr>
          <w:rFonts w:eastAsia="宋体" w:cs="Times New Roman"/>
          <w:color w:val="auto"/>
          <w:sz w:val="24"/>
          <w:szCs w:val="18"/>
          <w:highlight w:val="none"/>
        </w:rPr>
        <w:fldChar w:fldCharType="separate"/>
      </w:r>
      <w:r>
        <w:rPr>
          <w:rFonts w:eastAsia="宋体" w:cs="Times New Roman"/>
          <w:color w:val="auto"/>
          <w:sz w:val="24"/>
          <w:szCs w:val="18"/>
          <w:highlight w:val="none"/>
        </w:rPr>
        <w:t>4</w:t>
      </w:r>
      <w:r>
        <w:rPr>
          <w:rFonts w:eastAsia="宋体" w:cs="Times New Roman"/>
          <w:color w:val="auto"/>
          <w:sz w:val="24"/>
          <w:szCs w:val="18"/>
          <w:highlight w:val="none"/>
        </w:rPr>
        <w:fldChar w:fldCharType="end"/>
      </w:r>
      <w:bookmarkEnd w:id="128"/>
      <w:r>
        <w:rPr>
          <w:rFonts w:eastAsia="宋体" w:cs="Times New Roman"/>
          <w:color w:val="auto"/>
          <w:sz w:val="24"/>
          <w:szCs w:val="22"/>
          <w:highlight w:val="none"/>
        </w:rPr>
        <w:t>地表水环境质量标准</w:t>
      </w:r>
    </w:p>
    <w:tbl>
      <w:tblPr>
        <w:tblStyle w:val="45"/>
        <w:tblW w:w="5000" w:type="pct"/>
        <w:jc w:val="center"/>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Layout w:type="autofit"/>
        <w:tblCellMar>
          <w:top w:w="0" w:type="dxa"/>
          <w:left w:w="108" w:type="dxa"/>
          <w:bottom w:w="0" w:type="dxa"/>
          <w:right w:w="108" w:type="dxa"/>
        </w:tblCellMar>
      </w:tblPr>
      <w:tblGrid>
        <w:gridCol w:w="893"/>
        <w:gridCol w:w="1978"/>
        <w:gridCol w:w="1453"/>
        <w:gridCol w:w="1420"/>
        <w:gridCol w:w="2976"/>
      </w:tblGrid>
      <w:tr w14:paraId="00A7889E">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313" w:hRule="atLeast"/>
          <w:jc w:val="center"/>
        </w:trPr>
        <w:tc>
          <w:tcPr>
            <w:tcW w:w="512" w:type="pct"/>
            <w:vAlign w:val="center"/>
          </w:tcPr>
          <w:p w14:paraId="33EF7D5E">
            <w:pPr>
              <w:pStyle w:val="98"/>
              <w:ind w:left="-105" w:right="-105"/>
              <w:rPr>
                <w:rFonts w:eastAsia="宋体"/>
                <w:b/>
                <w:color w:val="auto"/>
                <w:sz w:val="21"/>
                <w:szCs w:val="21"/>
                <w:highlight w:val="none"/>
              </w:rPr>
            </w:pPr>
            <w:r>
              <w:rPr>
                <w:rFonts w:eastAsia="宋体"/>
                <w:b/>
                <w:color w:val="auto"/>
                <w:sz w:val="21"/>
                <w:szCs w:val="21"/>
                <w:highlight w:val="none"/>
              </w:rPr>
              <w:t>序号</w:t>
            </w:r>
          </w:p>
        </w:tc>
        <w:tc>
          <w:tcPr>
            <w:tcW w:w="1134" w:type="pct"/>
            <w:vAlign w:val="center"/>
          </w:tcPr>
          <w:p w14:paraId="49F46D16">
            <w:pPr>
              <w:pStyle w:val="98"/>
              <w:ind w:left="-105" w:right="-105"/>
              <w:rPr>
                <w:rFonts w:eastAsia="宋体"/>
                <w:b/>
                <w:color w:val="auto"/>
                <w:sz w:val="21"/>
                <w:szCs w:val="21"/>
                <w:highlight w:val="none"/>
              </w:rPr>
            </w:pPr>
            <w:r>
              <w:rPr>
                <w:rFonts w:eastAsia="宋体"/>
                <w:b/>
                <w:color w:val="auto"/>
                <w:sz w:val="21"/>
                <w:szCs w:val="21"/>
                <w:highlight w:val="none"/>
              </w:rPr>
              <w:t>项目</w:t>
            </w:r>
          </w:p>
        </w:tc>
        <w:tc>
          <w:tcPr>
            <w:tcW w:w="833" w:type="pct"/>
            <w:vAlign w:val="center"/>
          </w:tcPr>
          <w:p w14:paraId="0ED4E0B1">
            <w:pPr>
              <w:pStyle w:val="98"/>
              <w:ind w:left="-105" w:right="-105"/>
              <w:rPr>
                <w:rFonts w:eastAsia="宋体"/>
                <w:b/>
                <w:color w:val="auto"/>
                <w:sz w:val="21"/>
                <w:szCs w:val="21"/>
                <w:highlight w:val="none"/>
              </w:rPr>
            </w:pPr>
            <w:r>
              <w:rPr>
                <w:rFonts w:eastAsia="宋体"/>
                <w:b/>
                <w:color w:val="auto"/>
                <w:sz w:val="21"/>
                <w:szCs w:val="21"/>
                <w:highlight w:val="none"/>
              </w:rPr>
              <w:t>单位</w:t>
            </w:r>
          </w:p>
        </w:tc>
        <w:tc>
          <w:tcPr>
            <w:tcW w:w="814" w:type="pct"/>
            <w:vAlign w:val="center"/>
          </w:tcPr>
          <w:p w14:paraId="1C42BCB6">
            <w:pPr>
              <w:pStyle w:val="98"/>
              <w:ind w:left="-105" w:right="-105"/>
              <w:rPr>
                <w:rFonts w:eastAsia="宋体"/>
                <w:b/>
                <w:color w:val="auto"/>
                <w:sz w:val="21"/>
                <w:szCs w:val="21"/>
                <w:highlight w:val="none"/>
              </w:rPr>
            </w:pPr>
            <w:r>
              <w:rPr>
                <w:rFonts w:eastAsia="宋体"/>
                <w:b/>
                <w:color w:val="auto"/>
                <w:sz w:val="21"/>
                <w:szCs w:val="21"/>
                <w:highlight w:val="none"/>
              </w:rPr>
              <w:t>Ⅲ类</w:t>
            </w:r>
          </w:p>
        </w:tc>
        <w:tc>
          <w:tcPr>
            <w:tcW w:w="1706" w:type="pct"/>
            <w:vAlign w:val="center"/>
          </w:tcPr>
          <w:p w14:paraId="3123A88E">
            <w:pPr>
              <w:pStyle w:val="98"/>
              <w:ind w:left="-105" w:right="-105"/>
              <w:rPr>
                <w:rFonts w:eastAsia="宋体"/>
                <w:b/>
                <w:color w:val="auto"/>
                <w:sz w:val="21"/>
                <w:szCs w:val="21"/>
                <w:highlight w:val="none"/>
              </w:rPr>
            </w:pPr>
            <w:r>
              <w:rPr>
                <w:rFonts w:eastAsia="宋体"/>
                <w:b/>
                <w:color w:val="auto"/>
                <w:sz w:val="21"/>
                <w:szCs w:val="21"/>
                <w:highlight w:val="none"/>
              </w:rPr>
              <w:t>备注</w:t>
            </w:r>
          </w:p>
        </w:tc>
      </w:tr>
      <w:tr w14:paraId="72FE92C9">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311" w:hRule="atLeast"/>
          <w:jc w:val="center"/>
        </w:trPr>
        <w:tc>
          <w:tcPr>
            <w:tcW w:w="512" w:type="pct"/>
            <w:vAlign w:val="center"/>
          </w:tcPr>
          <w:p w14:paraId="6FAD48DB">
            <w:pPr>
              <w:pStyle w:val="98"/>
              <w:ind w:left="-105" w:right="-105"/>
              <w:rPr>
                <w:rFonts w:eastAsia="宋体"/>
                <w:color w:val="auto"/>
                <w:sz w:val="21"/>
                <w:szCs w:val="21"/>
                <w:highlight w:val="none"/>
              </w:rPr>
            </w:pPr>
            <w:r>
              <w:rPr>
                <w:rFonts w:eastAsia="宋体"/>
                <w:color w:val="auto"/>
                <w:sz w:val="21"/>
                <w:szCs w:val="21"/>
                <w:highlight w:val="none"/>
              </w:rPr>
              <w:t>1</w:t>
            </w:r>
          </w:p>
        </w:tc>
        <w:tc>
          <w:tcPr>
            <w:tcW w:w="1134" w:type="pct"/>
            <w:vAlign w:val="center"/>
          </w:tcPr>
          <w:p w14:paraId="704BA7E8">
            <w:pPr>
              <w:pStyle w:val="98"/>
              <w:ind w:left="-105" w:right="-105"/>
              <w:rPr>
                <w:rFonts w:eastAsia="宋体"/>
                <w:color w:val="auto"/>
                <w:sz w:val="21"/>
                <w:szCs w:val="21"/>
                <w:highlight w:val="none"/>
              </w:rPr>
            </w:pPr>
            <w:r>
              <w:rPr>
                <w:rFonts w:eastAsia="宋体"/>
                <w:color w:val="auto"/>
                <w:sz w:val="21"/>
                <w:szCs w:val="21"/>
                <w:highlight w:val="none"/>
              </w:rPr>
              <w:t>pH</w:t>
            </w:r>
          </w:p>
        </w:tc>
        <w:tc>
          <w:tcPr>
            <w:tcW w:w="833" w:type="pct"/>
            <w:vAlign w:val="center"/>
          </w:tcPr>
          <w:p w14:paraId="1B294A0A">
            <w:pPr>
              <w:pStyle w:val="98"/>
              <w:ind w:left="-105" w:right="-105"/>
              <w:rPr>
                <w:rFonts w:eastAsia="宋体"/>
                <w:color w:val="auto"/>
                <w:sz w:val="21"/>
                <w:szCs w:val="21"/>
                <w:highlight w:val="none"/>
              </w:rPr>
            </w:pPr>
            <w:r>
              <w:rPr>
                <w:rFonts w:eastAsia="宋体"/>
                <w:color w:val="auto"/>
                <w:sz w:val="21"/>
                <w:szCs w:val="21"/>
                <w:highlight w:val="none"/>
              </w:rPr>
              <w:t>无量纲</w:t>
            </w:r>
          </w:p>
        </w:tc>
        <w:tc>
          <w:tcPr>
            <w:tcW w:w="814" w:type="pct"/>
            <w:vAlign w:val="center"/>
          </w:tcPr>
          <w:p w14:paraId="78EEE44F">
            <w:pPr>
              <w:pStyle w:val="98"/>
              <w:ind w:left="-105" w:right="-105"/>
              <w:rPr>
                <w:rFonts w:eastAsia="宋体"/>
                <w:color w:val="auto"/>
                <w:sz w:val="21"/>
                <w:szCs w:val="21"/>
                <w:highlight w:val="none"/>
              </w:rPr>
            </w:pPr>
            <w:r>
              <w:rPr>
                <w:rFonts w:eastAsia="宋体"/>
                <w:color w:val="auto"/>
                <w:sz w:val="21"/>
                <w:szCs w:val="21"/>
                <w:highlight w:val="none"/>
              </w:rPr>
              <w:t>6～9</w:t>
            </w:r>
          </w:p>
        </w:tc>
        <w:tc>
          <w:tcPr>
            <w:tcW w:w="1706" w:type="pct"/>
            <w:vMerge w:val="restart"/>
            <w:vAlign w:val="center"/>
          </w:tcPr>
          <w:p w14:paraId="677E7B06">
            <w:pPr>
              <w:pStyle w:val="98"/>
              <w:ind w:left="-105" w:right="-105"/>
              <w:rPr>
                <w:rFonts w:eastAsia="宋体"/>
                <w:color w:val="auto"/>
                <w:sz w:val="21"/>
                <w:szCs w:val="21"/>
                <w:highlight w:val="none"/>
              </w:rPr>
            </w:pPr>
            <w:r>
              <w:rPr>
                <w:rFonts w:eastAsia="宋体"/>
                <w:color w:val="auto"/>
                <w:sz w:val="21"/>
                <w:szCs w:val="21"/>
                <w:highlight w:val="none"/>
              </w:rPr>
              <w:t>《地表水环境质量标准》</w:t>
            </w:r>
          </w:p>
          <w:p w14:paraId="7C70209B">
            <w:pPr>
              <w:pStyle w:val="98"/>
              <w:ind w:left="-105" w:right="-105"/>
              <w:rPr>
                <w:rFonts w:eastAsia="宋体"/>
                <w:color w:val="auto"/>
                <w:sz w:val="21"/>
                <w:szCs w:val="21"/>
                <w:highlight w:val="none"/>
              </w:rPr>
            </w:pPr>
            <w:r>
              <w:rPr>
                <w:rFonts w:eastAsia="宋体"/>
                <w:color w:val="auto"/>
                <w:sz w:val="21"/>
                <w:szCs w:val="21"/>
                <w:highlight w:val="none"/>
              </w:rPr>
              <w:t>（GB3838-2002）</w:t>
            </w:r>
            <w:r>
              <w:rPr>
                <w:color w:val="auto"/>
                <w:sz w:val="21"/>
                <w:szCs w:val="21"/>
                <w:highlight w:val="none"/>
              </w:rPr>
              <w:t>Ⅲ</w:t>
            </w:r>
            <w:r>
              <w:rPr>
                <w:rFonts w:hint="eastAsia"/>
                <w:color w:val="auto"/>
                <w:sz w:val="21"/>
                <w:szCs w:val="21"/>
                <w:highlight w:val="none"/>
              </w:rPr>
              <w:t>类标准</w:t>
            </w:r>
          </w:p>
        </w:tc>
      </w:tr>
      <w:tr w14:paraId="5BBF6E4B">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267" w:hRule="atLeast"/>
          <w:jc w:val="center"/>
        </w:trPr>
        <w:tc>
          <w:tcPr>
            <w:tcW w:w="512" w:type="pct"/>
            <w:vAlign w:val="center"/>
          </w:tcPr>
          <w:p w14:paraId="66448B71">
            <w:pPr>
              <w:pStyle w:val="98"/>
              <w:ind w:left="-105" w:right="-105"/>
              <w:rPr>
                <w:rFonts w:eastAsia="宋体"/>
                <w:color w:val="auto"/>
                <w:sz w:val="21"/>
                <w:szCs w:val="21"/>
                <w:highlight w:val="none"/>
              </w:rPr>
            </w:pPr>
            <w:r>
              <w:rPr>
                <w:rFonts w:eastAsia="宋体"/>
                <w:color w:val="auto"/>
                <w:sz w:val="21"/>
                <w:szCs w:val="21"/>
                <w:highlight w:val="none"/>
              </w:rPr>
              <w:t>2</w:t>
            </w:r>
          </w:p>
        </w:tc>
        <w:tc>
          <w:tcPr>
            <w:tcW w:w="1134" w:type="pct"/>
            <w:vAlign w:val="center"/>
          </w:tcPr>
          <w:p w14:paraId="1DD6637D">
            <w:pPr>
              <w:pStyle w:val="98"/>
              <w:ind w:left="-105" w:right="-105"/>
              <w:rPr>
                <w:rFonts w:eastAsia="宋体"/>
                <w:color w:val="auto"/>
                <w:sz w:val="21"/>
                <w:szCs w:val="21"/>
                <w:highlight w:val="none"/>
              </w:rPr>
            </w:pPr>
            <w:r>
              <w:rPr>
                <w:rFonts w:eastAsia="宋体"/>
                <w:color w:val="auto"/>
                <w:sz w:val="21"/>
                <w:szCs w:val="21"/>
                <w:highlight w:val="none"/>
              </w:rPr>
              <w:t>COD</w:t>
            </w:r>
          </w:p>
        </w:tc>
        <w:tc>
          <w:tcPr>
            <w:tcW w:w="833" w:type="pct"/>
            <w:vMerge w:val="restart"/>
            <w:vAlign w:val="center"/>
          </w:tcPr>
          <w:p w14:paraId="0AB65565">
            <w:pPr>
              <w:pStyle w:val="98"/>
              <w:ind w:left="-105" w:right="-105"/>
              <w:rPr>
                <w:rFonts w:eastAsia="宋体"/>
                <w:color w:val="auto"/>
                <w:sz w:val="21"/>
                <w:szCs w:val="21"/>
                <w:highlight w:val="none"/>
              </w:rPr>
            </w:pPr>
            <w:r>
              <w:rPr>
                <w:rFonts w:eastAsia="宋体"/>
                <w:color w:val="auto"/>
                <w:sz w:val="21"/>
                <w:szCs w:val="21"/>
                <w:highlight w:val="none"/>
              </w:rPr>
              <w:t>mg/L</w:t>
            </w:r>
          </w:p>
        </w:tc>
        <w:tc>
          <w:tcPr>
            <w:tcW w:w="814" w:type="pct"/>
            <w:vAlign w:val="center"/>
          </w:tcPr>
          <w:p w14:paraId="565A031F">
            <w:pPr>
              <w:pStyle w:val="98"/>
              <w:ind w:left="-105" w:right="-105"/>
              <w:rPr>
                <w:rFonts w:eastAsia="宋体"/>
                <w:color w:val="auto"/>
                <w:sz w:val="21"/>
                <w:szCs w:val="21"/>
                <w:highlight w:val="none"/>
              </w:rPr>
            </w:pPr>
            <w:r>
              <w:rPr>
                <w:rFonts w:eastAsia="宋体"/>
                <w:color w:val="auto"/>
                <w:sz w:val="21"/>
                <w:szCs w:val="21"/>
                <w:highlight w:val="none"/>
              </w:rPr>
              <w:t>≤20</w:t>
            </w:r>
          </w:p>
        </w:tc>
        <w:tc>
          <w:tcPr>
            <w:tcW w:w="1706" w:type="pct"/>
            <w:vMerge w:val="continue"/>
            <w:vAlign w:val="center"/>
          </w:tcPr>
          <w:p w14:paraId="347F347A">
            <w:pPr>
              <w:ind w:left="-105" w:right="-105"/>
              <w:jc w:val="center"/>
              <w:rPr>
                <w:rFonts w:ascii="Times New Roman" w:hAnsi="Times New Roman" w:cs="Times New Roman"/>
                <w:color w:val="auto"/>
                <w:sz w:val="21"/>
                <w:szCs w:val="21"/>
                <w:highlight w:val="none"/>
              </w:rPr>
            </w:pPr>
          </w:p>
        </w:tc>
      </w:tr>
      <w:tr w14:paraId="53FFB3EB">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267" w:hRule="atLeast"/>
          <w:jc w:val="center"/>
        </w:trPr>
        <w:tc>
          <w:tcPr>
            <w:tcW w:w="512" w:type="pct"/>
            <w:vAlign w:val="center"/>
          </w:tcPr>
          <w:p w14:paraId="05A1C1C5">
            <w:pPr>
              <w:pStyle w:val="98"/>
              <w:ind w:left="-105" w:right="-105"/>
              <w:rPr>
                <w:rFonts w:eastAsia="宋体"/>
                <w:color w:val="auto"/>
                <w:sz w:val="21"/>
                <w:szCs w:val="21"/>
                <w:highlight w:val="none"/>
              </w:rPr>
            </w:pPr>
            <w:r>
              <w:rPr>
                <w:rFonts w:eastAsia="宋体"/>
                <w:color w:val="auto"/>
                <w:sz w:val="21"/>
                <w:szCs w:val="21"/>
                <w:highlight w:val="none"/>
              </w:rPr>
              <w:t>3</w:t>
            </w:r>
          </w:p>
        </w:tc>
        <w:tc>
          <w:tcPr>
            <w:tcW w:w="1134" w:type="pct"/>
            <w:vAlign w:val="center"/>
          </w:tcPr>
          <w:p w14:paraId="0197E250">
            <w:pPr>
              <w:pStyle w:val="98"/>
              <w:ind w:left="-105" w:right="-105"/>
              <w:rPr>
                <w:rFonts w:eastAsia="宋体"/>
                <w:color w:val="auto"/>
                <w:sz w:val="21"/>
                <w:szCs w:val="21"/>
                <w:highlight w:val="none"/>
              </w:rPr>
            </w:pPr>
            <w:r>
              <w:rPr>
                <w:rFonts w:eastAsia="宋体"/>
                <w:color w:val="auto"/>
                <w:sz w:val="21"/>
                <w:szCs w:val="21"/>
                <w:highlight w:val="none"/>
              </w:rPr>
              <w:t>DO</w:t>
            </w:r>
          </w:p>
        </w:tc>
        <w:tc>
          <w:tcPr>
            <w:tcW w:w="833" w:type="pct"/>
            <w:vMerge w:val="continue"/>
            <w:vAlign w:val="center"/>
          </w:tcPr>
          <w:p w14:paraId="5FEB052E">
            <w:pPr>
              <w:pStyle w:val="98"/>
              <w:ind w:left="-105" w:right="-105"/>
              <w:rPr>
                <w:rFonts w:eastAsia="宋体"/>
                <w:color w:val="auto"/>
                <w:sz w:val="21"/>
                <w:szCs w:val="21"/>
                <w:highlight w:val="none"/>
              </w:rPr>
            </w:pPr>
          </w:p>
        </w:tc>
        <w:tc>
          <w:tcPr>
            <w:tcW w:w="814" w:type="pct"/>
            <w:vAlign w:val="center"/>
          </w:tcPr>
          <w:p w14:paraId="399197A5">
            <w:pPr>
              <w:pStyle w:val="98"/>
              <w:ind w:left="-105" w:right="-105"/>
              <w:rPr>
                <w:rFonts w:eastAsia="宋体"/>
                <w:color w:val="auto"/>
                <w:sz w:val="21"/>
                <w:szCs w:val="21"/>
                <w:highlight w:val="none"/>
              </w:rPr>
            </w:pPr>
            <w:r>
              <w:rPr>
                <w:rFonts w:eastAsia="宋体"/>
                <w:color w:val="auto"/>
                <w:sz w:val="21"/>
                <w:szCs w:val="21"/>
                <w:highlight w:val="none"/>
              </w:rPr>
              <w:t>≥5</w:t>
            </w:r>
          </w:p>
        </w:tc>
        <w:tc>
          <w:tcPr>
            <w:tcW w:w="1706" w:type="pct"/>
            <w:vMerge w:val="continue"/>
            <w:vAlign w:val="center"/>
          </w:tcPr>
          <w:p w14:paraId="1EB65E2C">
            <w:pPr>
              <w:ind w:left="-105" w:right="-105"/>
              <w:jc w:val="center"/>
              <w:rPr>
                <w:rFonts w:ascii="Times New Roman" w:hAnsi="Times New Roman" w:cs="Times New Roman"/>
                <w:color w:val="auto"/>
                <w:sz w:val="21"/>
                <w:szCs w:val="21"/>
                <w:highlight w:val="none"/>
              </w:rPr>
            </w:pPr>
          </w:p>
        </w:tc>
      </w:tr>
      <w:tr w14:paraId="07BD6901">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260" w:hRule="atLeast"/>
          <w:jc w:val="center"/>
        </w:trPr>
        <w:tc>
          <w:tcPr>
            <w:tcW w:w="512" w:type="pct"/>
            <w:vAlign w:val="center"/>
          </w:tcPr>
          <w:p w14:paraId="1401381D">
            <w:pPr>
              <w:pStyle w:val="98"/>
              <w:ind w:left="-105" w:right="-105"/>
              <w:rPr>
                <w:rFonts w:eastAsia="宋体"/>
                <w:color w:val="auto"/>
                <w:sz w:val="21"/>
                <w:szCs w:val="21"/>
                <w:highlight w:val="none"/>
              </w:rPr>
            </w:pPr>
            <w:r>
              <w:rPr>
                <w:rFonts w:eastAsia="宋体"/>
                <w:color w:val="auto"/>
                <w:sz w:val="21"/>
                <w:szCs w:val="21"/>
                <w:highlight w:val="none"/>
              </w:rPr>
              <w:t>4</w:t>
            </w:r>
          </w:p>
        </w:tc>
        <w:tc>
          <w:tcPr>
            <w:tcW w:w="1134" w:type="pct"/>
            <w:vAlign w:val="center"/>
          </w:tcPr>
          <w:p w14:paraId="34AF64B0">
            <w:pPr>
              <w:pStyle w:val="98"/>
              <w:ind w:left="-105" w:right="-105"/>
              <w:rPr>
                <w:rFonts w:eastAsia="宋体"/>
                <w:color w:val="auto"/>
                <w:sz w:val="21"/>
                <w:szCs w:val="21"/>
                <w:highlight w:val="none"/>
              </w:rPr>
            </w:pPr>
            <w:r>
              <w:rPr>
                <w:rFonts w:eastAsia="宋体"/>
                <w:color w:val="auto"/>
                <w:sz w:val="21"/>
                <w:szCs w:val="21"/>
                <w:highlight w:val="none"/>
              </w:rPr>
              <w:t>氨氮</w:t>
            </w:r>
          </w:p>
        </w:tc>
        <w:tc>
          <w:tcPr>
            <w:tcW w:w="833" w:type="pct"/>
            <w:vMerge w:val="continue"/>
            <w:vAlign w:val="center"/>
          </w:tcPr>
          <w:p w14:paraId="70DA8FEB">
            <w:pPr>
              <w:ind w:left="-105" w:right="-105"/>
              <w:jc w:val="center"/>
              <w:rPr>
                <w:rFonts w:ascii="Times New Roman" w:hAnsi="Times New Roman" w:cs="Times New Roman"/>
                <w:color w:val="auto"/>
                <w:sz w:val="21"/>
                <w:szCs w:val="21"/>
                <w:highlight w:val="none"/>
              </w:rPr>
            </w:pPr>
          </w:p>
        </w:tc>
        <w:tc>
          <w:tcPr>
            <w:tcW w:w="814" w:type="pct"/>
            <w:vAlign w:val="center"/>
          </w:tcPr>
          <w:p w14:paraId="794621A4">
            <w:pPr>
              <w:pStyle w:val="98"/>
              <w:ind w:left="-105" w:right="-105"/>
              <w:rPr>
                <w:rFonts w:eastAsia="宋体"/>
                <w:color w:val="auto"/>
                <w:sz w:val="21"/>
                <w:szCs w:val="21"/>
                <w:highlight w:val="none"/>
              </w:rPr>
            </w:pPr>
            <w:r>
              <w:rPr>
                <w:rFonts w:eastAsia="宋体"/>
                <w:color w:val="auto"/>
                <w:sz w:val="21"/>
                <w:szCs w:val="21"/>
                <w:highlight w:val="none"/>
              </w:rPr>
              <w:t>≤</w:t>
            </w:r>
            <w:r>
              <w:rPr>
                <w:rFonts w:eastAsia="宋体"/>
                <w:color w:val="auto"/>
                <w:sz w:val="21"/>
                <w:szCs w:val="21"/>
                <w:highlight w:val="none"/>
                <w:lang w:val="en-US"/>
              </w:rPr>
              <w:t>1.0</w:t>
            </w:r>
          </w:p>
        </w:tc>
        <w:tc>
          <w:tcPr>
            <w:tcW w:w="1706" w:type="pct"/>
            <w:vMerge w:val="continue"/>
            <w:vAlign w:val="center"/>
          </w:tcPr>
          <w:p w14:paraId="6D54B251">
            <w:pPr>
              <w:ind w:left="-105" w:right="-105"/>
              <w:jc w:val="center"/>
              <w:rPr>
                <w:rFonts w:ascii="Times New Roman" w:hAnsi="Times New Roman" w:cs="Times New Roman"/>
                <w:color w:val="auto"/>
                <w:sz w:val="21"/>
                <w:szCs w:val="21"/>
                <w:highlight w:val="none"/>
              </w:rPr>
            </w:pPr>
          </w:p>
        </w:tc>
      </w:tr>
      <w:tr w14:paraId="11688DEE">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296" w:hRule="atLeast"/>
          <w:jc w:val="center"/>
        </w:trPr>
        <w:tc>
          <w:tcPr>
            <w:tcW w:w="512" w:type="pct"/>
            <w:vAlign w:val="center"/>
          </w:tcPr>
          <w:p w14:paraId="5F5E1F2C">
            <w:pPr>
              <w:pStyle w:val="98"/>
              <w:ind w:left="-105" w:right="-105"/>
              <w:rPr>
                <w:rFonts w:eastAsia="宋体"/>
                <w:color w:val="auto"/>
                <w:sz w:val="21"/>
                <w:szCs w:val="21"/>
                <w:highlight w:val="none"/>
              </w:rPr>
            </w:pPr>
            <w:r>
              <w:rPr>
                <w:rFonts w:eastAsia="宋体"/>
                <w:color w:val="auto"/>
                <w:sz w:val="21"/>
                <w:szCs w:val="21"/>
                <w:highlight w:val="none"/>
              </w:rPr>
              <w:t>5</w:t>
            </w:r>
          </w:p>
        </w:tc>
        <w:tc>
          <w:tcPr>
            <w:tcW w:w="1134" w:type="pct"/>
            <w:vAlign w:val="center"/>
          </w:tcPr>
          <w:p w14:paraId="49CD267A">
            <w:pPr>
              <w:pStyle w:val="98"/>
              <w:ind w:left="-105" w:right="-105"/>
              <w:rPr>
                <w:rFonts w:eastAsia="宋体"/>
                <w:color w:val="auto"/>
                <w:sz w:val="21"/>
                <w:szCs w:val="21"/>
                <w:highlight w:val="none"/>
              </w:rPr>
            </w:pPr>
            <w:r>
              <w:rPr>
                <w:rFonts w:eastAsia="宋体"/>
                <w:color w:val="auto"/>
                <w:position w:val="2"/>
                <w:sz w:val="21"/>
                <w:szCs w:val="21"/>
                <w:highlight w:val="none"/>
                <w:lang w:val="en-US"/>
              </w:rPr>
              <w:t>总氮</w:t>
            </w:r>
          </w:p>
        </w:tc>
        <w:tc>
          <w:tcPr>
            <w:tcW w:w="833" w:type="pct"/>
            <w:vMerge w:val="continue"/>
            <w:vAlign w:val="center"/>
          </w:tcPr>
          <w:p w14:paraId="4A0627EA">
            <w:pPr>
              <w:ind w:left="-105" w:right="-105"/>
              <w:jc w:val="center"/>
              <w:rPr>
                <w:rFonts w:ascii="Times New Roman" w:hAnsi="Times New Roman" w:cs="Times New Roman"/>
                <w:color w:val="auto"/>
                <w:sz w:val="21"/>
                <w:szCs w:val="21"/>
                <w:highlight w:val="none"/>
              </w:rPr>
            </w:pPr>
          </w:p>
        </w:tc>
        <w:tc>
          <w:tcPr>
            <w:tcW w:w="814" w:type="pct"/>
            <w:vAlign w:val="center"/>
          </w:tcPr>
          <w:p w14:paraId="06BBA505">
            <w:pPr>
              <w:pStyle w:val="98"/>
              <w:ind w:left="-105" w:right="-105"/>
              <w:rPr>
                <w:rFonts w:eastAsia="宋体"/>
                <w:color w:val="auto"/>
                <w:sz w:val="21"/>
                <w:szCs w:val="21"/>
                <w:highlight w:val="none"/>
              </w:rPr>
            </w:pPr>
            <w:r>
              <w:rPr>
                <w:rFonts w:eastAsia="宋体"/>
                <w:color w:val="auto"/>
                <w:sz w:val="21"/>
                <w:szCs w:val="21"/>
                <w:highlight w:val="none"/>
              </w:rPr>
              <w:t>≤1.0</w:t>
            </w:r>
          </w:p>
        </w:tc>
        <w:tc>
          <w:tcPr>
            <w:tcW w:w="1706" w:type="pct"/>
            <w:vMerge w:val="continue"/>
            <w:vAlign w:val="center"/>
          </w:tcPr>
          <w:p w14:paraId="6D9AA223">
            <w:pPr>
              <w:ind w:left="-105" w:right="-105"/>
              <w:jc w:val="center"/>
              <w:rPr>
                <w:rFonts w:ascii="Times New Roman" w:hAnsi="Times New Roman" w:cs="Times New Roman"/>
                <w:color w:val="auto"/>
                <w:sz w:val="21"/>
                <w:szCs w:val="21"/>
                <w:highlight w:val="none"/>
              </w:rPr>
            </w:pPr>
          </w:p>
        </w:tc>
      </w:tr>
      <w:tr w14:paraId="5B504C8E">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296" w:hRule="atLeast"/>
          <w:jc w:val="center"/>
        </w:trPr>
        <w:tc>
          <w:tcPr>
            <w:tcW w:w="512" w:type="pct"/>
            <w:vAlign w:val="center"/>
          </w:tcPr>
          <w:p w14:paraId="4DABEC5A">
            <w:pPr>
              <w:pStyle w:val="98"/>
              <w:ind w:left="-105" w:right="-105"/>
              <w:rPr>
                <w:rFonts w:eastAsia="宋体"/>
                <w:color w:val="auto"/>
                <w:sz w:val="21"/>
                <w:szCs w:val="21"/>
                <w:highlight w:val="none"/>
              </w:rPr>
            </w:pPr>
            <w:r>
              <w:rPr>
                <w:rFonts w:eastAsia="宋体"/>
                <w:color w:val="auto"/>
                <w:sz w:val="21"/>
                <w:szCs w:val="21"/>
                <w:highlight w:val="none"/>
              </w:rPr>
              <w:t>6</w:t>
            </w:r>
          </w:p>
        </w:tc>
        <w:tc>
          <w:tcPr>
            <w:tcW w:w="1134" w:type="pct"/>
            <w:vAlign w:val="center"/>
          </w:tcPr>
          <w:p w14:paraId="238E7604">
            <w:pPr>
              <w:pStyle w:val="98"/>
              <w:ind w:left="-105" w:right="-105"/>
              <w:rPr>
                <w:rFonts w:eastAsia="宋体"/>
                <w:color w:val="auto"/>
                <w:sz w:val="21"/>
                <w:szCs w:val="21"/>
                <w:highlight w:val="none"/>
              </w:rPr>
            </w:pPr>
            <w:r>
              <w:rPr>
                <w:rFonts w:eastAsia="宋体"/>
                <w:color w:val="auto"/>
                <w:sz w:val="21"/>
                <w:szCs w:val="21"/>
                <w:highlight w:val="none"/>
              </w:rPr>
              <w:t>总磷</w:t>
            </w:r>
          </w:p>
        </w:tc>
        <w:tc>
          <w:tcPr>
            <w:tcW w:w="833" w:type="pct"/>
            <w:vMerge w:val="continue"/>
            <w:vAlign w:val="center"/>
          </w:tcPr>
          <w:p w14:paraId="5B6FC133">
            <w:pPr>
              <w:ind w:left="-105" w:right="-105"/>
              <w:jc w:val="center"/>
              <w:rPr>
                <w:rFonts w:ascii="Times New Roman" w:hAnsi="Times New Roman" w:cs="Times New Roman"/>
                <w:color w:val="auto"/>
                <w:sz w:val="21"/>
                <w:szCs w:val="21"/>
                <w:highlight w:val="none"/>
              </w:rPr>
            </w:pPr>
          </w:p>
        </w:tc>
        <w:tc>
          <w:tcPr>
            <w:tcW w:w="814" w:type="pct"/>
            <w:vAlign w:val="center"/>
          </w:tcPr>
          <w:p w14:paraId="52E469FF">
            <w:pPr>
              <w:pStyle w:val="98"/>
              <w:ind w:left="-105" w:right="-105"/>
              <w:rPr>
                <w:rFonts w:eastAsia="宋体"/>
                <w:color w:val="auto"/>
                <w:sz w:val="21"/>
                <w:szCs w:val="21"/>
                <w:highlight w:val="none"/>
              </w:rPr>
            </w:pPr>
            <w:r>
              <w:rPr>
                <w:rFonts w:eastAsia="宋体"/>
                <w:color w:val="auto"/>
                <w:sz w:val="21"/>
                <w:szCs w:val="21"/>
                <w:highlight w:val="none"/>
              </w:rPr>
              <w:t>≤0.2</w:t>
            </w:r>
          </w:p>
        </w:tc>
        <w:tc>
          <w:tcPr>
            <w:tcW w:w="1706" w:type="pct"/>
            <w:vMerge w:val="continue"/>
            <w:vAlign w:val="center"/>
          </w:tcPr>
          <w:p w14:paraId="435D5B26">
            <w:pPr>
              <w:ind w:left="-105" w:right="-105"/>
              <w:jc w:val="center"/>
              <w:rPr>
                <w:rFonts w:ascii="Times New Roman" w:hAnsi="Times New Roman" w:cs="Times New Roman"/>
                <w:color w:val="auto"/>
                <w:sz w:val="21"/>
                <w:szCs w:val="21"/>
                <w:highlight w:val="none"/>
              </w:rPr>
            </w:pPr>
          </w:p>
        </w:tc>
      </w:tr>
    </w:tbl>
    <w:p w14:paraId="11E4425D">
      <w:pPr>
        <w:tabs>
          <w:tab w:val="left" w:pos="993"/>
          <w:tab w:val="left" w:pos="1276"/>
        </w:tabs>
        <w:spacing w:line="360" w:lineRule="auto"/>
        <w:ind w:left="-105" w:right="-105" w:firstLine="480"/>
        <w:rPr>
          <w:rFonts w:ascii="Times New Roman" w:hAnsi="Times New Roman"/>
          <w:color w:val="auto"/>
          <w:highlight w:val="none"/>
        </w:rPr>
      </w:pPr>
      <w:r>
        <w:rPr>
          <w:rFonts w:ascii="Times New Roman" w:hAnsi="Times New Roman"/>
          <w:color w:val="auto"/>
          <w:highlight w:val="none"/>
        </w:rPr>
        <w:t>（3）地下水质量标准</w:t>
      </w:r>
    </w:p>
    <w:p w14:paraId="132542A2">
      <w:pPr>
        <w:tabs>
          <w:tab w:val="left" w:pos="993"/>
          <w:tab w:val="left" w:pos="1276"/>
        </w:tabs>
        <w:spacing w:line="360" w:lineRule="auto"/>
        <w:ind w:left="-105" w:right="-105" w:firstLine="480"/>
        <w:rPr>
          <w:rFonts w:ascii="Times New Roman" w:hAnsi="Times New Roman" w:cs="Times New Roman"/>
          <w:color w:val="auto"/>
          <w:highlight w:val="none"/>
        </w:rPr>
      </w:pPr>
      <w:r>
        <w:rPr>
          <w:rFonts w:ascii="Times New Roman" w:hAnsi="Times New Roman"/>
          <w:color w:val="auto"/>
          <w:highlight w:val="none"/>
        </w:rPr>
        <w:t>拟建项目所在地地下水未划分环境功能，区域地下水按《地下水环境质量标准》（GB/T14848-2017）评价，主要指标见</w:t>
      </w:r>
      <w:r>
        <w:rPr>
          <w:rFonts w:ascii="Times New Roman" w:hAnsi="Times New Roman" w:cs="Times New Roman"/>
          <w:color w:val="auto"/>
          <w:highlight w:val="none"/>
        </w:rPr>
        <w:fldChar w:fldCharType="begin"/>
      </w:r>
      <w:r>
        <w:rPr>
          <w:rFonts w:ascii="Times New Roman" w:hAnsi="Times New Roman" w:cs="Times New Roman"/>
          <w:color w:val="auto"/>
          <w:highlight w:val="none"/>
        </w:rPr>
        <w:instrText xml:space="preserve"> REF _Ref17722760 \h  \* MERGEFORMAT </w:instrText>
      </w:r>
      <w:r>
        <w:rPr>
          <w:rFonts w:ascii="Times New Roman" w:hAnsi="Times New Roman" w:cs="Times New Roman"/>
          <w:color w:val="auto"/>
          <w:highlight w:val="none"/>
        </w:rPr>
        <w:fldChar w:fldCharType="separate"/>
      </w:r>
      <w:r>
        <w:rPr>
          <w:rFonts w:ascii="Times New Roman" w:hAnsi="Times New Roman" w:cs="Times New Roman"/>
          <w:color w:val="auto"/>
          <w:szCs w:val="22"/>
          <w:highlight w:val="none"/>
        </w:rPr>
        <w:t>表</w:t>
      </w:r>
      <w:r>
        <w:rPr>
          <w:rFonts w:ascii="Times New Roman" w:hAnsi="Times New Roman" w:cs="Times New Roman"/>
          <w:color w:val="auto"/>
          <w:szCs w:val="22"/>
          <w:highlight w:val="none"/>
        </w:rPr>
        <w:fldChar w:fldCharType="begin"/>
      </w:r>
      <w:r>
        <w:rPr>
          <w:rFonts w:ascii="Times New Roman" w:hAnsi="Times New Roman" w:cs="Times New Roman"/>
          <w:color w:val="auto"/>
          <w:szCs w:val="22"/>
          <w:highlight w:val="none"/>
        </w:rPr>
        <w:instrText xml:space="preserve"> STYLEREF</w:instrText>
      </w:r>
      <w:r>
        <w:rPr>
          <w:rFonts w:ascii="Times New Roman" w:hAnsi="Times New Roman" w:cs="Times New Roman"/>
          <w:color w:val="auto"/>
          <w:highlight w:val="none"/>
        </w:rPr>
        <w:instrText xml:space="preserve"> 2 \s </w:instrText>
      </w:r>
      <w:r>
        <w:rPr>
          <w:rFonts w:ascii="Times New Roman" w:hAnsi="Times New Roman" w:cs="Times New Roman"/>
          <w:color w:val="auto"/>
          <w:highlight w:val="none"/>
        </w:rPr>
        <w:fldChar w:fldCharType="separate"/>
      </w:r>
      <w:r>
        <w:rPr>
          <w:rFonts w:ascii="Times New Roman" w:hAnsi="Times New Roman" w:cs="Times New Roman"/>
          <w:color w:val="auto"/>
          <w:highlight w:val="none"/>
        </w:rPr>
        <w:t>2.3</w:t>
      </w:r>
      <w:r>
        <w:rPr>
          <w:rFonts w:ascii="Times New Roman" w:hAnsi="Times New Roman" w:cs="Times New Roman"/>
          <w:color w:val="auto"/>
          <w:highlight w:val="none"/>
        </w:rPr>
        <w:fldChar w:fldCharType="end"/>
      </w:r>
      <w:r>
        <w:rPr>
          <w:rFonts w:ascii="Times New Roman" w:hAnsi="Times New Roman" w:cs="Times New Roman"/>
          <w:color w:val="auto"/>
          <w:highlight w:val="none"/>
        </w:rPr>
        <w:noBreakHyphen/>
      </w:r>
      <w:r>
        <w:rPr>
          <w:rFonts w:ascii="Times New Roman" w:hAnsi="Times New Roman" w:cs="Times New Roman"/>
          <w:color w:val="auto"/>
          <w:highlight w:val="none"/>
        </w:rPr>
        <w:t>5</w:t>
      </w:r>
      <w:r>
        <w:rPr>
          <w:rFonts w:ascii="Times New Roman" w:hAnsi="Times New Roman" w:cs="Times New Roman"/>
          <w:color w:val="auto"/>
          <w:highlight w:val="none"/>
        </w:rPr>
        <w:fldChar w:fldCharType="end"/>
      </w:r>
      <w:r>
        <w:rPr>
          <w:rFonts w:ascii="Times New Roman" w:hAnsi="Times New Roman" w:cs="Times New Roman"/>
          <w:color w:val="auto"/>
          <w:highlight w:val="none"/>
        </w:rPr>
        <w:t>。</w:t>
      </w:r>
    </w:p>
    <w:p w14:paraId="262CE57D">
      <w:pPr>
        <w:pStyle w:val="15"/>
        <w:spacing w:line="360" w:lineRule="auto"/>
        <w:ind w:left="-105" w:right="-105" w:firstLine="482"/>
        <w:rPr>
          <w:rFonts w:eastAsia="宋体" w:cs="Times New Roman"/>
          <w:color w:val="auto"/>
          <w:sz w:val="24"/>
          <w:szCs w:val="24"/>
          <w:highlight w:val="none"/>
        </w:rPr>
      </w:pPr>
      <w:bookmarkStart w:id="129" w:name="_Ref17722760"/>
      <w:r>
        <w:rPr>
          <w:rFonts w:eastAsia="宋体" w:cs="Times New Roman"/>
          <w:color w:val="auto"/>
          <w:sz w:val="24"/>
          <w:szCs w:val="18"/>
          <w:highlight w:val="none"/>
        </w:rPr>
        <w:t>表</w:t>
      </w:r>
      <w:r>
        <w:rPr>
          <w:rFonts w:eastAsia="宋体" w:cs="Times New Roman"/>
          <w:color w:val="auto"/>
          <w:sz w:val="24"/>
          <w:szCs w:val="18"/>
          <w:highlight w:val="none"/>
        </w:rPr>
        <w:fldChar w:fldCharType="begin"/>
      </w:r>
      <w:r>
        <w:rPr>
          <w:rFonts w:eastAsia="宋体" w:cs="Times New Roman"/>
          <w:color w:val="auto"/>
          <w:sz w:val="24"/>
          <w:szCs w:val="18"/>
          <w:highlight w:val="none"/>
        </w:rPr>
        <w:instrText xml:space="preserve"> STYLEREF 2 \s </w:instrText>
      </w:r>
      <w:r>
        <w:rPr>
          <w:rFonts w:eastAsia="宋体" w:cs="Times New Roman"/>
          <w:color w:val="auto"/>
          <w:sz w:val="24"/>
          <w:szCs w:val="18"/>
          <w:highlight w:val="none"/>
        </w:rPr>
        <w:fldChar w:fldCharType="separate"/>
      </w:r>
      <w:r>
        <w:rPr>
          <w:rFonts w:eastAsia="宋体" w:cs="Times New Roman"/>
          <w:color w:val="auto"/>
          <w:sz w:val="24"/>
          <w:szCs w:val="18"/>
          <w:highlight w:val="none"/>
        </w:rPr>
        <w:t>2.3</w:t>
      </w:r>
      <w:r>
        <w:rPr>
          <w:rFonts w:eastAsia="宋体" w:cs="Times New Roman"/>
          <w:color w:val="auto"/>
          <w:sz w:val="24"/>
          <w:szCs w:val="18"/>
          <w:highlight w:val="none"/>
        </w:rPr>
        <w:fldChar w:fldCharType="end"/>
      </w:r>
      <w:r>
        <w:rPr>
          <w:rFonts w:eastAsia="宋体" w:cs="Times New Roman"/>
          <w:color w:val="auto"/>
          <w:sz w:val="24"/>
          <w:szCs w:val="18"/>
          <w:highlight w:val="none"/>
        </w:rPr>
        <w:noBreakHyphen/>
      </w:r>
      <w:r>
        <w:rPr>
          <w:rFonts w:eastAsia="宋体" w:cs="Times New Roman"/>
          <w:color w:val="auto"/>
          <w:sz w:val="24"/>
          <w:szCs w:val="18"/>
          <w:highlight w:val="none"/>
        </w:rPr>
        <w:fldChar w:fldCharType="begin"/>
      </w:r>
      <w:r>
        <w:rPr>
          <w:rFonts w:eastAsia="宋体" w:cs="Times New Roman"/>
          <w:color w:val="auto"/>
          <w:sz w:val="24"/>
          <w:szCs w:val="18"/>
          <w:highlight w:val="none"/>
        </w:rPr>
        <w:instrText xml:space="preserve"> SEQ 表 \* ARABIC \s 2 </w:instrText>
      </w:r>
      <w:r>
        <w:rPr>
          <w:rFonts w:eastAsia="宋体" w:cs="Times New Roman"/>
          <w:color w:val="auto"/>
          <w:sz w:val="24"/>
          <w:szCs w:val="18"/>
          <w:highlight w:val="none"/>
        </w:rPr>
        <w:fldChar w:fldCharType="separate"/>
      </w:r>
      <w:r>
        <w:rPr>
          <w:rFonts w:eastAsia="宋体" w:cs="Times New Roman"/>
          <w:color w:val="auto"/>
          <w:sz w:val="24"/>
          <w:szCs w:val="18"/>
          <w:highlight w:val="none"/>
        </w:rPr>
        <w:t>5</w:t>
      </w:r>
      <w:r>
        <w:rPr>
          <w:rFonts w:eastAsia="宋体" w:cs="Times New Roman"/>
          <w:color w:val="auto"/>
          <w:sz w:val="24"/>
          <w:szCs w:val="18"/>
          <w:highlight w:val="none"/>
        </w:rPr>
        <w:fldChar w:fldCharType="end"/>
      </w:r>
      <w:bookmarkEnd w:id="129"/>
      <w:r>
        <w:rPr>
          <w:rFonts w:eastAsia="宋体" w:cs="Times New Roman"/>
          <w:color w:val="auto"/>
          <w:sz w:val="24"/>
          <w:szCs w:val="21"/>
          <w:highlight w:val="none"/>
        </w:rPr>
        <w:t>地下水质</w:t>
      </w:r>
      <w:r>
        <w:rPr>
          <w:rFonts w:eastAsia="宋体" w:cs="Times New Roman"/>
          <w:color w:val="auto"/>
          <w:spacing w:val="2"/>
          <w:sz w:val="24"/>
          <w:szCs w:val="21"/>
          <w:highlight w:val="none"/>
        </w:rPr>
        <w:t>量</w:t>
      </w:r>
      <w:r>
        <w:rPr>
          <w:rFonts w:eastAsia="宋体" w:cs="Times New Roman"/>
          <w:color w:val="auto"/>
          <w:sz w:val="24"/>
          <w:szCs w:val="21"/>
          <w:highlight w:val="none"/>
        </w:rPr>
        <w:t>标准</w:t>
      </w:r>
      <w:r>
        <w:rPr>
          <w:rFonts w:eastAsia="宋体"/>
          <w:color w:val="auto"/>
          <w:sz w:val="24"/>
          <w:szCs w:val="21"/>
          <w:highlight w:val="none"/>
        </w:rPr>
        <w:t>（单位</w:t>
      </w:r>
      <w:r>
        <w:rPr>
          <w:rFonts w:eastAsia="宋体"/>
          <w:color w:val="auto"/>
          <w:sz w:val="21"/>
          <w:szCs w:val="21"/>
          <w:highlight w:val="none"/>
        </w:rPr>
        <w:t>mg/L</w:t>
      </w:r>
      <w:r>
        <w:rPr>
          <w:rFonts w:eastAsia="宋体"/>
          <w:color w:val="auto"/>
          <w:sz w:val="24"/>
          <w:szCs w:val="21"/>
          <w:highlight w:val="none"/>
        </w:rPr>
        <w:t>，pH值</w:t>
      </w:r>
      <w:r>
        <w:rPr>
          <w:rFonts w:eastAsia="宋体"/>
          <w:color w:val="auto"/>
          <w:spacing w:val="2"/>
          <w:sz w:val="24"/>
          <w:szCs w:val="21"/>
          <w:highlight w:val="none"/>
        </w:rPr>
        <w:t>除</w:t>
      </w:r>
      <w:r>
        <w:rPr>
          <w:rFonts w:eastAsia="宋体"/>
          <w:color w:val="auto"/>
          <w:sz w:val="24"/>
          <w:szCs w:val="21"/>
          <w:highlight w:val="none"/>
        </w:rPr>
        <w:t>外）</w:t>
      </w:r>
    </w:p>
    <w:tbl>
      <w:tblPr>
        <w:tblStyle w:val="45"/>
        <w:tblW w:w="8505" w:type="dxa"/>
        <w:jc w:val="center"/>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Layout w:type="fixed"/>
        <w:tblCellMar>
          <w:top w:w="0" w:type="dxa"/>
          <w:left w:w="108" w:type="dxa"/>
          <w:bottom w:w="0" w:type="dxa"/>
          <w:right w:w="108" w:type="dxa"/>
        </w:tblCellMar>
      </w:tblPr>
      <w:tblGrid>
        <w:gridCol w:w="807"/>
        <w:gridCol w:w="1704"/>
        <w:gridCol w:w="1024"/>
        <w:gridCol w:w="1024"/>
        <w:gridCol w:w="1025"/>
        <w:gridCol w:w="1622"/>
        <w:gridCol w:w="1299"/>
      </w:tblGrid>
      <w:tr w14:paraId="3766A05A">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cantSplit/>
          <w:trHeight w:val="340" w:hRule="atLeast"/>
          <w:tblHeader/>
          <w:jc w:val="center"/>
        </w:trPr>
        <w:tc>
          <w:tcPr>
            <w:tcW w:w="825" w:type="dxa"/>
            <w:vMerge w:val="restart"/>
            <w:vAlign w:val="center"/>
          </w:tcPr>
          <w:p w14:paraId="5F01E41F">
            <w:pPr>
              <w:pStyle w:val="98"/>
              <w:ind w:left="-105" w:right="-105"/>
              <w:rPr>
                <w:rFonts w:eastAsia="宋体"/>
                <w:b/>
                <w:bCs/>
                <w:color w:val="auto"/>
                <w:sz w:val="21"/>
                <w:szCs w:val="21"/>
                <w:highlight w:val="none"/>
              </w:rPr>
            </w:pPr>
            <w:bookmarkStart w:id="130" w:name="_Hlk17722772"/>
            <w:r>
              <w:rPr>
                <w:rFonts w:eastAsia="宋体"/>
                <w:b/>
                <w:bCs/>
                <w:color w:val="auto"/>
                <w:sz w:val="21"/>
                <w:szCs w:val="21"/>
                <w:highlight w:val="none"/>
              </w:rPr>
              <w:t>序号</w:t>
            </w:r>
          </w:p>
        </w:tc>
        <w:tc>
          <w:tcPr>
            <w:tcW w:w="1750" w:type="dxa"/>
            <w:vMerge w:val="restart"/>
            <w:vAlign w:val="center"/>
          </w:tcPr>
          <w:p w14:paraId="18845015">
            <w:pPr>
              <w:pStyle w:val="98"/>
              <w:ind w:left="-105" w:right="-105"/>
              <w:rPr>
                <w:rFonts w:eastAsia="宋体"/>
                <w:b/>
                <w:bCs/>
                <w:color w:val="auto"/>
                <w:sz w:val="21"/>
                <w:szCs w:val="21"/>
                <w:highlight w:val="none"/>
              </w:rPr>
            </w:pPr>
            <w:r>
              <w:rPr>
                <w:rFonts w:eastAsia="宋体"/>
                <w:b/>
                <w:bCs/>
                <w:color w:val="auto"/>
                <w:sz w:val="21"/>
                <w:szCs w:val="21"/>
                <w:highlight w:val="none"/>
              </w:rPr>
              <w:t>评价因子</w:t>
            </w:r>
          </w:p>
        </w:tc>
        <w:tc>
          <w:tcPr>
            <w:tcW w:w="6145" w:type="dxa"/>
            <w:gridSpan w:val="5"/>
            <w:vAlign w:val="center"/>
          </w:tcPr>
          <w:p w14:paraId="3E6C1CD1">
            <w:pPr>
              <w:pStyle w:val="98"/>
              <w:ind w:left="-105" w:right="-105"/>
              <w:rPr>
                <w:rFonts w:eastAsia="宋体"/>
                <w:b/>
                <w:bCs/>
                <w:color w:val="auto"/>
                <w:sz w:val="21"/>
                <w:szCs w:val="21"/>
                <w:highlight w:val="none"/>
              </w:rPr>
            </w:pPr>
            <w:r>
              <w:rPr>
                <w:rFonts w:eastAsia="宋体"/>
                <w:b/>
                <w:bCs/>
                <w:color w:val="auto"/>
                <w:sz w:val="21"/>
                <w:szCs w:val="21"/>
                <w:highlight w:val="none"/>
              </w:rPr>
              <w:t>标准值</w:t>
            </w:r>
          </w:p>
        </w:tc>
      </w:tr>
      <w:tr w14:paraId="69389F33">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cantSplit/>
          <w:trHeight w:val="340" w:hRule="atLeast"/>
          <w:tblHeader/>
          <w:jc w:val="center"/>
        </w:trPr>
        <w:tc>
          <w:tcPr>
            <w:tcW w:w="825" w:type="dxa"/>
            <w:vMerge w:val="continue"/>
            <w:vAlign w:val="center"/>
          </w:tcPr>
          <w:p w14:paraId="323EB6F2">
            <w:pPr>
              <w:ind w:left="-105" w:right="-105"/>
              <w:jc w:val="center"/>
              <w:rPr>
                <w:rFonts w:ascii="Times New Roman" w:hAnsi="Times New Roman" w:cs="Times New Roman"/>
                <w:b/>
                <w:bCs/>
                <w:color w:val="auto"/>
                <w:sz w:val="21"/>
                <w:szCs w:val="21"/>
                <w:highlight w:val="none"/>
              </w:rPr>
            </w:pPr>
          </w:p>
        </w:tc>
        <w:tc>
          <w:tcPr>
            <w:tcW w:w="1750" w:type="dxa"/>
            <w:vMerge w:val="continue"/>
            <w:vAlign w:val="center"/>
          </w:tcPr>
          <w:p w14:paraId="6F7B3A98">
            <w:pPr>
              <w:ind w:left="-105" w:right="-105"/>
              <w:jc w:val="center"/>
              <w:rPr>
                <w:rFonts w:ascii="Times New Roman" w:hAnsi="Times New Roman" w:cs="Times New Roman"/>
                <w:b/>
                <w:bCs/>
                <w:color w:val="auto"/>
                <w:sz w:val="21"/>
                <w:szCs w:val="21"/>
                <w:highlight w:val="none"/>
              </w:rPr>
            </w:pPr>
          </w:p>
        </w:tc>
        <w:tc>
          <w:tcPr>
            <w:tcW w:w="1049" w:type="dxa"/>
            <w:vAlign w:val="center"/>
          </w:tcPr>
          <w:p w14:paraId="1CC93408">
            <w:pPr>
              <w:pStyle w:val="98"/>
              <w:ind w:left="-105" w:right="-105"/>
              <w:rPr>
                <w:rFonts w:eastAsia="宋体"/>
                <w:b/>
                <w:bCs/>
                <w:color w:val="auto"/>
                <w:sz w:val="21"/>
                <w:szCs w:val="21"/>
                <w:highlight w:val="none"/>
              </w:rPr>
            </w:pPr>
            <w:r>
              <w:rPr>
                <w:rFonts w:eastAsia="宋体"/>
                <w:b/>
                <w:bCs/>
                <w:color w:val="auto"/>
                <w:sz w:val="21"/>
                <w:szCs w:val="21"/>
                <w:highlight w:val="none"/>
              </w:rPr>
              <w:t>Ⅰ类</w:t>
            </w:r>
          </w:p>
        </w:tc>
        <w:tc>
          <w:tcPr>
            <w:tcW w:w="1049" w:type="dxa"/>
            <w:vAlign w:val="center"/>
          </w:tcPr>
          <w:p w14:paraId="512B4ACB">
            <w:pPr>
              <w:pStyle w:val="98"/>
              <w:ind w:left="-105" w:right="-105"/>
              <w:rPr>
                <w:rFonts w:eastAsia="宋体"/>
                <w:b/>
                <w:bCs/>
                <w:color w:val="auto"/>
                <w:sz w:val="21"/>
                <w:szCs w:val="21"/>
                <w:highlight w:val="none"/>
              </w:rPr>
            </w:pPr>
            <w:r>
              <w:rPr>
                <w:rFonts w:eastAsia="宋体"/>
                <w:b/>
                <w:bCs/>
                <w:color w:val="auto"/>
                <w:sz w:val="21"/>
                <w:szCs w:val="21"/>
                <w:highlight w:val="none"/>
              </w:rPr>
              <w:t>Ⅱ类</w:t>
            </w:r>
          </w:p>
        </w:tc>
        <w:tc>
          <w:tcPr>
            <w:tcW w:w="1050" w:type="dxa"/>
            <w:vAlign w:val="center"/>
          </w:tcPr>
          <w:p w14:paraId="1284E608">
            <w:pPr>
              <w:pStyle w:val="98"/>
              <w:ind w:left="-105" w:right="-105"/>
              <w:rPr>
                <w:rFonts w:eastAsia="宋体"/>
                <w:b/>
                <w:bCs/>
                <w:color w:val="auto"/>
                <w:sz w:val="21"/>
                <w:szCs w:val="21"/>
                <w:highlight w:val="none"/>
              </w:rPr>
            </w:pPr>
            <w:r>
              <w:rPr>
                <w:rFonts w:eastAsia="宋体"/>
                <w:b/>
                <w:bCs/>
                <w:color w:val="auto"/>
                <w:sz w:val="21"/>
                <w:szCs w:val="21"/>
                <w:highlight w:val="none"/>
              </w:rPr>
              <w:t>Ⅲ类</w:t>
            </w:r>
          </w:p>
        </w:tc>
        <w:tc>
          <w:tcPr>
            <w:tcW w:w="1665" w:type="dxa"/>
            <w:vAlign w:val="center"/>
          </w:tcPr>
          <w:p w14:paraId="2019F8AB">
            <w:pPr>
              <w:pStyle w:val="98"/>
              <w:ind w:left="-105" w:right="-105"/>
              <w:rPr>
                <w:rFonts w:eastAsia="宋体"/>
                <w:b/>
                <w:bCs/>
                <w:color w:val="auto"/>
                <w:sz w:val="21"/>
                <w:szCs w:val="21"/>
                <w:highlight w:val="none"/>
              </w:rPr>
            </w:pPr>
            <w:r>
              <w:rPr>
                <w:rFonts w:eastAsia="宋体"/>
                <w:b/>
                <w:bCs/>
                <w:color w:val="auto"/>
                <w:sz w:val="21"/>
                <w:szCs w:val="21"/>
                <w:highlight w:val="none"/>
              </w:rPr>
              <w:t>Ⅳ类</w:t>
            </w:r>
          </w:p>
        </w:tc>
        <w:tc>
          <w:tcPr>
            <w:tcW w:w="1332" w:type="dxa"/>
            <w:vAlign w:val="center"/>
          </w:tcPr>
          <w:p w14:paraId="2DCF07A8">
            <w:pPr>
              <w:pStyle w:val="98"/>
              <w:ind w:left="-105" w:right="-105"/>
              <w:rPr>
                <w:rFonts w:eastAsia="宋体"/>
                <w:b/>
                <w:bCs/>
                <w:color w:val="auto"/>
                <w:sz w:val="21"/>
                <w:szCs w:val="21"/>
                <w:highlight w:val="none"/>
              </w:rPr>
            </w:pPr>
            <w:r>
              <w:rPr>
                <w:rFonts w:eastAsia="宋体"/>
                <w:b/>
                <w:bCs/>
                <w:color w:val="auto"/>
                <w:sz w:val="21"/>
                <w:szCs w:val="21"/>
                <w:highlight w:val="none"/>
              </w:rPr>
              <w:t>Ⅴ类</w:t>
            </w:r>
          </w:p>
        </w:tc>
      </w:tr>
      <w:tr w14:paraId="13F98B0C">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cantSplit/>
          <w:trHeight w:val="340" w:hRule="atLeast"/>
          <w:jc w:val="center"/>
        </w:trPr>
        <w:tc>
          <w:tcPr>
            <w:tcW w:w="825" w:type="dxa"/>
            <w:vAlign w:val="center"/>
          </w:tcPr>
          <w:p w14:paraId="7A0CBF77">
            <w:pPr>
              <w:pStyle w:val="98"/>
              <w:numPr>
                <w:ilvl w:val="0"/>
                <w:numId w:val="12"/>
              </w:numPr>
              <w:ind w:left="-105" w:right="-105" w:firstLine="0"/>
              <w:rPr>
                <w:rFonts w:eastAsia="宋体"/>
                <w:color w:val="auto"/>
                <w:sz w:val="21"/>
                <w:szCs w:val="21"/>
                <w:highlight w:val="none"/>
              </w:rPr>
            </w:pPr>
          </w:p>
        </w:tc>
        <w:tc>
          <w:tcPr>
            <w:tcW w:w="1750" w:type="dxa"/>
            <w:vAlign w:val="center"/>
          </w:tcPr>
          <w:p w14:paraId="76E53D5D">
            <w:pPr>
              <w:pStyle w:val="98"/>
              <w:ind w:left="-105" w:right="-105"/>
              <w:rPr>
                <w:rFonts w:eastAsia="宋体"/>
                <w:color w:val="auto"/>
                <w:sz w:val="21"/>
                <w:szCs w:val="21"/>
                <w:highlight w:val="none"/>
              </w:rPr>
            </w:pPr>
            <w:r>
              <w:rPr>
                <w:rFonts w:eastAsia="宋体"/>
                <w:color w:val="auto"/>
                <w:sz w:val="21"/>
                <w:szCs w:val="21"/>
                <w:highlight w:val="none"/>
              </w:rPr>
              <w:t>pH</w:t>
            </w:r>
          </w:p>
        </w:tc>
        <w:tc>
          <w:tcPr>
            <w:tcW w:w="3148" w:type="dxa"/>
            <w:gridSpan w:val="3"/>
            <w:vAlign w:val="center"/>
          </w:tcPr>
          <w:p w14:paraId="5CEB6A53">
            <w:pPr>
              <w:pStyle w:val="98"/>
              <w:ind w:left="-105" w:right="-105"/>
              <w:rPr>
                <w:rFonts w:eastAsia="宋体"/>
                <w:color w:val="auto"/>
                <w:sz w:val="21"/>
                <w:szCs w:val="21"/>
                <w:highlight w:val="none"/>
              </w:rPr>
            </w:pPr>
            <w:r>
              <w:rPr>
                <w:rFonts w:eastAsia="宋体"/>
                <w:color w:val="auto"/>
                <w:sz w:val="21"/>
                <w:szCs w:val="21"/>
                <w:highlight w:val="none"/>
              </w:rPr>
              <w:t>6.5≤</w:t>
            </w:r>
            <w:r>
              <w:rPr>
                <w:rFonts w:hint="eastAsia" w:eastAsia="宋体"/>
                <w:color w:val="auto"/>
                <w:sz w:val="21"/>
                <w:szCs w:val="21"/>
                <w:highlight w:val="none"/>
              </w:rPr>
              <w:t>p</w:t>
            </w:r>
            <w:r>
              <w:rPr>
                <w:rFonts w:eastAsia="宋体"/>
                <w:color w:val="auto"/>
                <w:sz w:val="21"/>
                <w:szCs w:val="21"/>
                <w:highlight w:val="none"/>
              </w:rPr>
              <w:t>H≤8.5</w:t>
            </w:r>
          </w:p>
        </w:tc>
        <w:tc>
          <w:tcPr>
            <w:tcW w:w="1665" w:type="dxa"/>
            <w:vAlign w:val="center"/>
          </w:tcPr>
          <w:p w14:paraId="439FD3FF">
            <w:pPr>
              <w:pStyle w:val="98"/>
              <w:ind w:left="-105" w:right="-105"/>
              <w:rPr>
                <w:rFonts w:eastAsia="宋体"/>
                <w:color w:val="auto"/>
                <w:sz w:val="21"/>
                <w:szCs w:val="21"/>
                <w:highlight w:val="none"/>
              </w:rPr>
            </w:pPr>
            <w:r>
              <w:rPr>
                <w:rFonts w:eastAsia="宋体"/>
                <w:color w:val="auto"/>
                <w:sz w:val="21"/>
                <w:szCs w:val="21"/>
                <w:highlight w:val="none"/>
              </w:rPr>
              <w:t>5.5≤pH＜6.5，8.5＜pH≤9.0</w:t>
            </w:r>
          </w:p>
        </w:tc>
        <w:tc>
          <w:tcPr>
            <w:tcW w:w="1332" w:type="dxa"/>
            <w:vAlign w:val="center"/>
          </w:tcPr>
          <w:p w14:paraId="3E7AC49B">
            <w:pPr>
              <w:pStyle w:val="98"/>
              <w:ind w:left="-105" w:right="-105"/>
              <w:rPr>
                <w:rFonts w:eastAsia="宋体"/>
                <w:color w:val="auto"/>
                <w:sz w:val="21"/>
                <w:szCs w:val="21"/>
                <w:highlight w:val="none"/>
              </w:rPr>
            </w:pPr>
            <w:r>
              <w:rPr>
                <w:rFonts w:eastAsia="宋体"/>
                <w:color w:val="auto"/>
                <w:sz w:val="21"/>
                <w:szCs w:val="21"/>
                <w:highlight w:val="none"/>
              </w:rPr>
              <w:t>pH＜5.5或</w:t>
            </w:r>
          </w:p>
          <w:p w14:paraId="33D8C76D">
            <w:pPr>
              <w:pStyle w:val="98"/>
              <w:ind w:left="-105" w:right="-105"/>
              <w:rPr>
                <w:rFonts w:eastAsia="宋体"/>
                <w:color w:val="auto"/>
                <w:sz w:val="21"/>
                <w:szCs w:val="21"/>
                <w:highlight w:val="none"/>
              </w:rPr>
            </w:pPr>
            <w:r>
              <w:rPr>
                <w:rFonts w:eastAsia="宋体"/>
                <w:color w:val="auto"/>
                <w:sz w:val="21"/>
                <w:szCs w:val="21"/>
                <w:highlight w:val="none"/>
              </w:rPr>
              <w:t>pH＞9.0</w:t>
            </w:r>
          </w:p>
        </w:tc>
      </w:tr>
      <w:tr w14:paraId="0D4FFCC4">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cantSplit/>
          <w:trHeight w:val="340" w:hRule="atLeast"/>
          <w:jc w:val="center"/>
        </w:trPr>
        <w:tc>
          <w:tcPr>
            <w:tcW w:w="825" w:type="dxa"/>
            <w:vAlign w:val="center"/>
          </w:tcPr>
          <w:p w14:paraId="11100B45">
            <w:pPr>
              <w:pStyle w:val="98"/>
              <w:numPr>
                <w:ilvl w:val="0"/>
                <w:numId w:val="12"/>
              </w:numPr>
              <w:ind w:left="-105" w:right="-105" w:firstLine="0"/>
              <w:rPr>
                <w:rFonts w:eastAsia="宋体"/>
                <w:color w:val="auto"/>
                <w:sz w:val="21"/>
                <w:szCs w:val="21"/>
                <w:highlight w:val="none"/>
              </w:rPr>
            </w:pPr>
          </w:p>
        </w:tc>
        <w:tc>
          <w:tcPr>
            <w:tcW w:w="1750" w:type="dxa"/>
            <w:vAlign w:val="center"/>
          </w:tcPr>
          <w:p w14:paraId="49102231">
            <w:pPr>
              <w:pStyle w:val="98"/>
              <w:ind w:left="-105" w:right="-105"/>
              <w:rPr>
                <w:rFonts w:eastAsia="宋体"/>
                <w:color w:val="auto"/>
                <w:sz w:val="21"/>
                <w:szCs w:val="21"/>
                <w:highlight w:val="none"/>
              </w:rPr>
            </w:pPr>
            <w:r>
              <w:rPr>
                <w:rFonts w:eastAsia="宋体"/>
                <w:color w:val="auto"/>
                <w:sz w:val="21"/>
                <w:szCs w:val="21"/>
                <w:highlight w:val="none"/>
              </w:rPr>
              <w:t>钠</w:t>
            </w:r>
          </w:p>
        </w:tc>
        <w:tc>
          <w:tcPr>
            <w:tcW w:w="1049" w:type="dxa"/>
            <w:vAlign w:val="center"/>
          </w:tcPr>
          <w:p w14:paraId="056E6D8B">
            <w:pPr>
              <w:pStyle w:val="98"/>
              <w:ind w:left="-105" w:right="-105"/>
              <w:rPr>
                <w:rFonts w:eastAsia="宋体"/>
                <w:color w:val="auto"/>
                <w:sz w:val="21"/>
                <w:szCs w:val="21"/>
                <w:highlight w:val="none"/>
              </w:rPr>
            </w:pPr>
            <w:r>
              <w:rPr>
                <w:rFonts w:eastAsia="宋体"/>
                <w:color w:val="auto"/>
                <w:sz w:val="21"/>
                <w:szCs w:val="21"/>
                <w:highlight w:val="none"/>
              </w:rPr>
              <w:t>≤100</w:t>
            </w:r>
          </w:p>
        </w:tc>
        <w:tc>
          <w:tcPr>
            <w:tcW w:w="1049" w:type="dxa"/>
            <w:vAlign w:val="center"/>
          </w:tcPr>
          <w:p w14:paraId="321ACC3B">
            <w:pPr>
              <w:pStyle w:val="98"/>
              <w:ind w:left="-105" w:right="-105"/>
              <w:rPr>
                <w:rFonts w:eastAsia="宋体"/>
                <w:color w:val="auto"/>
                <w:sz w:val="21"/>
                <w:szCs w:val="21"/>
                <w:highlight w:val="none"/>
              </w:rPr>
            </w:pPr>
            <w:r>
              <w:rPr>
                <w:rFonts w:eastAsia="宋体"/>
                <w:color w:val="auto"/>
                <w:sz w:val="21"/>
                <w:szCs w:val="21"/>
                <w:highlight w:val="none"/>
              </w:rPr>
              <w:t>≤150</w:t>
            </w:r>
          </w:p>
        </w:tc>
        <w:tc>
          <w:tcPr>
            <w:tcW w:w="1050" w:type="dxa"/>
            <w:vAlign w:val="center"/>
          </w:tcPr>
          <w:p w14:paraId="4E4FFA61">
            <w:pPr>
              <w:pStyle w:val="98"/>
              <w:ind w:left="-105" w:right="-105"/>
              <w:rPr>
                <w:rFonts w:eastAsia="宋体"/>
                <w:color w:val="auto"/>
                <w:sz w:val="21"/>
                <w:szCs w:val="21"/>
                <w:highlight w:val="none"/>
              </w:rPr>
            </w:pPr>
            <w:r>
              <w:rPr>
                <w:rFonts w:eastAsia="宋体"/>
                <w:color w:val="auto"/>
                <w:sz w:val="21"/>
                <w:szCs w:val="21"/>
                <w:highlight w:val="none"/>
              </w:rPr>
              <w:t>≤200</w:t>
            </w:r>
          </w:p>
        </w:tc>
        <w:tc>
          <w:tcPr>
            <w:tcW w:w="1665" w:type="dxa"/>
            <w:vAlign w:val="center"/>
          </w:tcPr>
          <w:p w14:paraId="68418EE1">
            <w:pPr>
              <w:pStyle w:val="98"/>
              <w:ind w:left="-105" w:right="-105"/>
              <w:rPr>
                <w:rFonts w:eastAsia="宋体"/>
                <w:color w:val="auto"/>
                <w:sz w:val="21"/>
                <w:szCs w:val="21"/>
                <w:highlight w:val="none"/>
              </w:rPr>
            </w:pPr>
            <w:r>
              <w:rPr>
                <w:rFonts w:eastAsia="宋体"/>
                <w:color w:val="auto"/>
                <w:sz w:val="21"/>
                <w:szCs w:val="21"/>
                <w:highlight w:val="none"/>
              </w:rPr>
              <w:t>≤400</w:t>
            </w:r>
          </w:p>
        </w:tc>
        <w:tc>
          <w:tcPr>
            <w:tcW w:w="1332" w:type="dxa"/>
            <w:vAlign w:val="center"/>
          </w:tcPr>
          <w:p w14:paraId="6DF2CC32">
            <w:pPr>
              <w:pStyle w:val="98"/>
              <w:ind w:left="-105" w:right="-105"/>
              <w:rPr>
                <w:rFonts w:eastAsia="宋体"/>
                <w:color w:val="auto"/>
                <w:sz w:val="21"/>
                <w:szCs w:val="21"/>
                <w:highlight w:val="none"/>
              </w:rPr>
            </w:pPr>
            <w:r>
              <w:rPr>
                <w:rFonts w:eastAsia="宋体"/>
                <w:color w:val="auto"/>
                <w:sz w:val="21"/>
                <w:szCs w:val="21"/>
                <w:highlight w:val="none"/>
              </w:rPr>
              <w:t>＞400</w:t>
            </w:r>
          </w:p>
        </w:tc>
      </w:tr>
      <w:tr w14:paraId="61931C97">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cantSplit/>
          <w:trHeight w:val="340" w:hRule="atLeast"/>
          <w:jc w:val="center"/>
        </w:trPr>
        <w:tc>
          <w:tcPr>
            <w:tcW w:w="825" w:type="dxa"/>
            <w:vAlign w:val="center"/>
          </w:tcPr>
          <w:p w14:paraId="1C61C8A6">
            <w:pPr>
              <w:pStyle w:val="98"/>
              <w:numPr>
                <w:ilvl w:val="0"/>
                <w:numId w:val="12"/>
              </w:numPr>
              <w:ind w:left="-105" w:right="-105" w:firstLine="0"/>
              <w:rPr>
                <w:rFonts w:eastAsia="宋体"/>
                <w:color w:val="auto"/>
                <w:sz w:val="21"/>
                <w:szCs w:val="21"/>
                <w:highlight w:val="none"/>
              </w:rPr>
            </w:pPr>
          </w:p>
        </w:tc>
        <w:tc>
          <w:tcPr>
            <w:tcW w:w="1750" w:type="dxa"/>
            <w:vAlign w:val="center"/>
          </w:tcPr>
          <w:p w14:paraId="63C595D7">
            <w:pPr>
              <w:pStyle w:val="98"/>
              <w:ind w:left="-105" w:right="-105"/>
              <w:rPr>
                <w:rFonts w:eastAsia="宋体"/>
                <w:color w:val="auto"/>
                <w:sz w:val="21"/>
                <w:szCs w:val="21"/>
                <w:highlight w:val="none"/>
              </w:rPr>
            </w:pPr>
            <w:r>
              <w:rPr>
                <w:rFonts w:eastAsia="宋体"/>
                <w:color w:val="auto"/>
                <w:sz w:val="21"/>
                <w:szCs w:val="21"/>
                <w:highlight w:val="none"/>
              </w:rPr>
              <w:t>硫酸盐</w:t>
            </w:r>
          </w:p>
        </w:tc>
        <w:tc>
          <w:tcPr>
            <w:tcW w:w="1049" w:type="dxa"/>
            <w:vAlign w:val="center"/>
          </w:tcPr>
          <w:p w14:paraId="53378183">
            <w:pPr>
              <w:pStyle w:val="98"/>
              <w:ind w:left="-105" w:right="-105"/>
              <w:rPr>
                <w:rFonts w:eastAsia="宋体"/>
                <w:color w:val="auto"/>
                <w:sz w:val="21"/>
                <w:szCs w:val="21"/>
                <w:highlight w:val="none"/>
              </w:rPr>
            </w:pPr>
            <w:r>
              <w:rPr>
                <w:rFonts w:eastAsia="宋体"/>
                <w:color w:val="auto"/>
                <w:sz w:val="21"/>
                <w:szCs w:val="21"/>
                <w:highlight w:val="none"/>
              </w:rPr>
              <w:t>≤50</w:t>
            </w:r>
          </w:p>
        </w:tc>
        <w:tc>
          <w:tcPr>
            <w:tcW w:w="1049" w:type="dxa"/>
            <w:vAlign w:val="center"/>
          </w:tcPr>
          <w:p w14:paraId="7E9AB882">
            <w:pPr>
              <w:pStyle w:val="98"/>
              <w:ind w:left="-105" w:right="-105"/>
              <w:rPr>
                <w:rFonts w:eastAsia="宋体"/>
                <w:color w:val="auto"/>
                <w:sz w:val="21"/>
                <w:szCs w:val="21"/>
                <w:highlight w:val="none"/>
              </w:rPr>
            </w:pPr>
            <w:r>
              <w:rPr>
                <w:rFonts w:eastAsia="宋体"/>
                <w:color w:val="auto"/>
                <w:sz w:val="21"/>
                <w:szCs w:val="21"/>
                <w:highlight w:val="none"/>
              </w:rPr>
              <w:t>≤150</w:t>
            </w:r>
          </w:p>
        </w:tc>
        <w:tc>
          <w:tcPr>
            <w:tcW w:w="1050" w:type="dxa"/>
            <w:vAlign w:val="center"/>
          </w:tcPr>
          <w:p w14:paraId="1148CA40">
            <w:pPr>
              <w:pStyle w:val="98"/>
              <w:ind w:left="-105" w:right="-105"/>
              <w:rPr>
                <w:rFonts w:eastAsia="宋体"/>
                <w:color w:val="auto"/>
                <w:sz w:val="21"/>
                <w:szCs w:val="21"/>
                <w:highlight w:val="none"/>
              </w:rPr>
            </w:pPr>
            <w:r>
              <w:rPr>
                <w:rFonts w:eastAsia="宋体"/>
                <w:color w:val="auto"/>
                <w:sz w:val="21"/>
                <w:szCs w:val="21"/>
                <w:highlight w:val="none"/>
              </w:rPr>
              <w:t>≤250</w:t>
            </w:r>
          </w:p>
        </w:tc>
        <w:tc>
          <w:tcPr>
            <w:tcW w:w="1665" w:type="dxa"/>
            <w:vAlign w:val="center"/>
          </w:tcPr>
          <w:p w14:paraId="49896D7F">
            <w:pPr>
              <w:pStyle w:val="98"/>
              <w:ind w:left="-105" w:right="-105"/>
              <w:rPr>
                <w:rFonts w:eastAsia="宋体"/>
                <w:color w:val="auto"/>
                <w:sz w:val="21"/>
                <w:szCs w:val="21"/>
                <w:highlight w:val="none"/>
              </w:rPr>
            </w:pPr>
            <w:r>
              <w:rPr>
                <w:rFonts w:eastAsia="宋体"/>
                <w:color w:val="auto"/>
                <w:sz w:val="21"/>
                <w:szCs w:val="21"/>
                <w:highlight w:val="none"/>
              </w:rPr>
              <w:t>≤350</w:t>
            </w:r>
          </w:p>
        </w:tc>
        <w:tc>
          <w:tcPr>
            <w:tcW w:w="1332" w:type="dxa"/>
            <w:vAlign w:val="center"/>
          </w:tcPr>
          <w:p w14:paraId="0DC8D696">
            <w:pPr>
              <w:pStyle w:val="98"/>
              <w:ind w:left="-105" w:right="-105"/>
              <w:rPr>
                <w:rFonts w:eastAsia="宋体"/>
                <w:color w:val="auto"/>
                <w:sz w:val="21"/>
                <w:szCs w:val="21"/>
                <w:highlight w:val="none"/>
              </w:rPr>
            </w:pPr>
            <w:r>
              <w:rPr>
                <w:rFonts w:eastAsia="宋体"/>
                <w:color w:val="auto"/>
                <w:sz w:val="21"/>
                <w:szCs w:val="21"/>
                <w:highlight w:val="none"/>
              </w:rPr>
              <w:t>＞350</w:t>
            </w:r>
          </w:p>
        </w:tc>
      </w:tr>
      <w:tr w14:paraId="5424F419">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cantSplit/>
          <w:trHeight w:val="340" w:hRule="atLeast"/>
          <w:jc w:val="center"/>
        </w:trPr>
        <w:tc>
          <w:tcPr>
            <w:tcW w:w="825" w:type="dxa"/>
            <w:vAlign w:val="center"/>
          </w:tcPr>
          <w:p w14:paraId="0C766DB2">
            <w:pPr>
              <w:pStyle w:val="98"/>
              <w:numPr>
                <w:ilvl w:val="0"/>
                <w:numId w:val="12"/>
              </w:numPr>
              <w:ind w:left="-105" w:right="-105" w:firstLine="0"/>
              <w:rPr>
                <w:rFonts w:eastAsia="宋体"/>
                <w:color w:val="auto"/>
                <w:sz w:val="21"/>
                <w:szCs w:val="21"/>
                <w:highlight w:val="none"/>
              </w:rPr>
            </w:pPr>
          </w:p>
        </w:tc>
        <w:tc>
          <w:tcPr>
            <w:tcW w:w="1750" w:type="dxa"/>
            <w:vAlign w:val="center"/>
          </w:tcPr>
          <w:p w14:paraId="2C25ED26">
            <w:pPr>
              <w:pStyle w:val="98"/>
              <w:ind w:left="-105" w:right="-105"/>
              <w:rPr>
                <w:rFonts w:eastAsia="宋体"/>
                <w:color w:val="auto"/>
                <w:sz w:val="21"/>
                <w:szCs w:val="21"/>
                <w:highlight w:val="none"/>
              </w:rPr>
            </w:pPr>
            <w:r>
              <w:rPr>
                <w:rFonts w:eastAsia="宋体"/>
                <w:color w:val="auto"/>
                <w:sz w:val="21"/>
                <w:szCs w:val="21"/>
                <w:highlight w:val="none"/>
              </w:rPr>
              <w:t>氯化物</w:t>
            </w:r>
          </w:p>
        </w:tc>
        <w:tc>
          <w:tcPr>
            <w:tcW w:w="1049" w:type="dxa"/>
            <w:vAlign w:val="center"/>
          </w:tcPr>
          <w:p w14:paraId="07C5DD0D">
            <w:pPr>
              <w:pStyle w:val="98"/>
              <w:ind w:left="-105" w:right="-105"/>
              <w:rPr>
                <w:rFonts w:eastAsia="宋体"/>
                <w:bCs/>
                <w:color w:val="auto"/>
                <w:sz w:val="21"/>
                <w:szCs w:val="21"/>
                <w:highlight w:val="none"/>
              </w:rPr>
            </w:pPr>
            <w:r>
              <w:rPr>
                <w:rFonts w:eastAsia="宋体"/>
                <w:color w:val="auto"/>
                <w:sz w:val="21"/>
                <w:szCs w:val="21"/>
                <w:highlight w:val="none"/>
              </w:rPr>
              <w:t>≤50</w:t>
            </w:r>
          </w:p>
        </w:tc>
        <w:tc>
          <w:tcPr>
            <w:tcW w:w="1049" w:type="dxa"/>
            <w:vAlign w:val="center"/>
          </w:tcPr>
          <w:p w14:paraId="06AAD1D1">
            <w:pPr>
              <w:pStyle w:val="98"/>
              <w:ind w:left="-105" w:right="-105"/>
              <w:rPr>
                <w:rFonts w:eastAsia="宋体"/>
                <w:bCs/>
                <w:color w:val="auto"/>
                <w:sz w:val="21"/>
                <w:szCs w:val="21"/>
                <w:highlight w:val="none"/>
              </w:rPr>
            </w:pPr>
            <w:r>
              <w:rPr>
                <w:rFonts w:eastAsia="宋体"/>
                <w:color w:val="auto"/>
                <w:sz w:val="21"/>
                <w:szCs w:val="21"/>
                <w:highlight w:val="none"/>
              </w:rPr>
              <w:t>≤150</w:t>
            </w:r>
          </w:p>
        </w:tc>
        <w:tc>
          <w:tcPr>
            <w:tcW w:w="1050" w:type="dxa"/>
            <w:vAlign w:val="center"/>
          </w:tcPr>
          <w:p w14:paraId="55F735A9">
            <w:pPr>
              <w:pStyle w:val="98"/>
              <w:ind w:left="-105" w:right="-105"/>
              <w:rPr>
                <w:rFonts w:eastAsia="宋体"/>
                <w:bCs/>
                <w:color w:val="auto"/>
                <w:sz w:val="21"/>
                <w:szCs w:val="21"/>
                <w:highlight w:val="none"/>
              </w:rPr>
            </w:pPr>
            <w:r>
              <w:rPr>
                <w:rFonts w:eastAsia="宋体"/>
                <w:color w:val="auto"/>
                <w:sz w:val="21"/>
                <w:szCs w:val="21"/>
                <w:highlight w:val="none"/>
              </w:rPr>
              <w:t>≤250</w:t>
            </w:r>
          </w:p>
        </w:tc>
        <w:tc>
          <w:tcPr>
            <w:tcW w:w="1665" w:type="dxa"/>
            <w:vAlign w:val="center"/>
          </w:tcPr>
          <w:p w14:paraId="372B9651">
            <w:pPr>
              <w:pStyle w:val="98"/>
              <w:ind w:left="-105" w:right="-105"/>
              <w:rPr>
                <w:rFonts w:eastAsia="宋体"/>
                <w:bCs/>
                <w:color w:val="auto"/>
                <w:sz w:val="21"/>
                <w:szCs w:val="21"/>
                <w:highlight w:val="none"/>
              </w:rPr>
            </w:pPr>
            <w:r>
              <w:rPr>
                <w:rFonts w:eastAsia="宋体"/>
                <w:color w:val="auto"/>
                <w:sz w:val="21"/>
                <w:szCs w:val="21"/>
                <w:highlight w:val="none"/>
              </w:rPr>
              <w:t>≤350</w:t>
            </w:r>
          </w:p>
        </w:tc>
        <w:tc>
          <w:tcPr>
            <w:tcW w:w="1332" w:type="dxa"/>
            <w:vAlign w:val="center"/>
          </w:tcPr>
          <w:p w14:paraId="02422F6C">
            <w:pPr>
              <w:pStyle w:val="98"/>
              <w:ind w:left="-105" w:right="-105"/>
              <w:rPr>
                <w:rFonts w:eastAsia="宋体"/>
                <w:bCs/>
                <w:color w:val="auto"/>
                <w:sz w:val="21"/>
                <w:szCs w:val="21"/>
                <w:highlight w:val="none"/>
              </w:rPr>
            </w:pPr>
            <w:r>
              <w:rPr>
                <w:rFonts w:eastAsia="宋体"/>
                <w:color w:val="auto"/>
                <w:sz w:val="21"/>
                <w:szCs w:val="21"/>
                <w:highlight w:val="none"/>
              </w:rPr>
              <w:t>＞350</w:t>
            </w:r>
          </w:p>
        </w:tc>
      </w:tr>
      <w:tr w14:paraId="547575C9">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cantSplit/>
          <w:trHeight w:val="340" w:hRule="atLeast"/>
          <w:jc w:val="center"/>
        </w:trPr>
        <w:tc>
          <w:tcPr>
            <w:tcW w:w="825" w:type="dxa"/>
            <w:vAlign w:val="center"/>
          </w:tcPr>
          <w:p w14:paraId="7B451ABF">
            <w:pPr>
              <w:pStyle w:val="98"/>
              <w:numPr>
                <w:ilvl w:val="0"/>
                <w:numId w:val="12"/>
              </w:numPr>
              <w:ind w:left="-105" w:right="-105" w:firstLine="0"/>
              <w:rPr>
                <w:rFonts w:eastAsia="宋体"/>
                <w:color w:val="auto"/>
                <w:sz w:val="21"/>
                <w:szCs w:val="21"/>
                <w:highlight w:val="none"/>
              </w:rPr>
            </w:pPr>
          </w:p>
        </w:tc>
        <w:tc>
          <w:tcPr>
            <w:tcW w:w="1750" w:type="dxa"/>
            <w:vAlign w:val="center"/>
          </w:tcPr>
          <w:p w14:paraId="305654A2">
            <w:pPr>
              <w:pStyle w:val="98"/>
              <w:ind w:left="-105" w:right="-105"/>
              <w:rPr>
                <w:rFonts w:eastAsia="宋体"/>
                <w:color w:val="auto"/>
                <w:sz w:val="21"/>
                <w:szCs w:val="21"/>
                <w:highlight w:val="none"/>
              </w:rPr>
            </w:pPr>
            <w:r>
              <w:rPr>
                <w:rFonts w:eastAsia="宋体"/>
                <w:color w:val="auto"/>
                <w:sz w:val="21"/>
                <w:szCs w:val="21"/>
                <w:highlight w:val="none"/>
              </w:rPr>
              <w:t>氨氮（以N计）</w:t>
            </w:r>
          </w:p>
        </w:tc>
        <w:tc>
          <w:tcPr>
            <w:tcW w:w="1049" w:type="dxa"/>
            <w:vAlign w:val="center"/>
          </w:tcPr>
          <w:p w14:paraId="211A62B1">
            <w:pPr>
              <w:pStyle w:val="98"/>
              <w:ind w:left="-105" w:right="-105"/>
              <w:rPr>
                <w:rFonts w:eastAsia="宋体"/>
                <w:color w:val="auto"/>
                <w:sz w:val="21"/>
                <w:szCs w:val="21"/>
                <w:highlight w:val="none"/>
              </w:rPr>
            </w:pPr>
            <w:r>
              <w:rPr>
                <w:rFonts w:eastAsia="宋体"/>
                <w:color w:val="auto"/>
                <w:sz w:val="21"/>
                <w:szCs w:val="21"/>
                <w:highlight w:val="none"/>
              </w:rPr>
              <w:t>≤0.02</w:t>
            </w:r>
          </w:p>
        </w:tc>
        <w:tc>
          <w:tcPr>
            <w:tcW w:w="1049" w:type="dxa"/>
            <w:vAlign w:val="center"/>
          </w:tcPr>
          <w:p w14:paraId="1AF9343A">
            <w:pPr>
              <w:pStyle w:val="98"/>
              <w:ind w:left="-105" w:right="-105"/>
              <w:rPr>
                <w:rFonts w:eastAsia="宋体"/>
                <w:color w:val="auto"/>
                <w:sz w:val="21"/>
                <w:szCs w:val="21"/>
                <w:highlight w:val="none"/>
              </w:rPr>
            </w:pPr>
            <w:r>
              <w:rPr>
                <w:rFonts w:eastAsia="宋体"/>
                <w:color w:val="auto"/>
                <w:sz w:val="21"/>
                <w:szCs w:val="21"/>
                <w:highlight w:val="none"/>
              </w:rPr>
              <w:t>≤0.1</w:t>
            </w:r>
          </w:p>
        </w:tc>
        <w:tc>
          <w:tcPr>
            <w:tcW w:w="1050" w:type="dxa"/>
            <w:vAlign w:val="center"/>
          </w:tcPr>
          <w:p w14:paraId="2033DB1E">
            <w:pPr>
              <w:pStyle w:val="98"/>
              <w:ind w:left="-105" w:right="-105"/>
              <w:rPr>
                <w:rFonts w:eastAsia="宋体"/>
                <w:color w:val="auto"/>
                <w:sz w:val="21"/>
                <w:szCs w:val="21"/>
                <w:highlight w:val="none"/>
              </w:rPr>
            </w:pPr>
            <w:r>
              <w:rPr>
                <w:rFonts w:eastAsia="宋体"/>
                <w:color w:val="auto"/>
                <w:sz w:val="21"/>
                <w:szCs w:val="21"/>
                <w:highlight w:val="none"/>
              </w:rPr>
              <w:t>≤0.5</w:t>
            </w:r>
          </w:p>
        </w:tc>
        <w:tc>
          <w:tcPr>
            <w:tcW w:w="1665" w:type="dxa"/>
            <w:vAlign w:val="center"/>
          </w:tcPr>
          <w:p w14:paraId="58180735">
            <w:pPr>
              <w:pStyle w:val="98"/>
              <w:ind w:left="-105" w:right="-105"/>
              <w:rPr>
                <w:rFonts w:eastAsia="宋体"/>
                <w:color w:val="auto"/>
                <w:sz w:val="21"/>
                <w:szCs w:val="21"/>
                <w:highlight w:val="none"/>
              </w:rPr>
            </w:pPr>
            <w:r>
              <w:rPr>
                <w:rFonts w:eastAsia="宋体"/>
                <w:color w:val="auto"/>
                <w:sz w:val="21"/>
                <w:szCs w:val="21"/>
                <w:highlight w:val="none"/>
              </w:rPr>
              <w:t>≤1.5</w:t>
            </w:r>
          </w:p>
        </w:tc>
        <w:tc>
          <w:tcPr>
            <w:tcW w:w="1332" w:type="dxa"/>
            <w:vAlign w:val="center"/>
          </w:tcPr>
          <w:p w14:paraId="1593F566">
            <w:pPr>
              <w:pStyle w:val="98"/>
              <w:ind w:left="-105" w:right="-105"/>
              <w:rPr>
                <w:rFonts w:eastAsia="宋体"/>
                <w:color w:val="auto"/>
                <w:sz w:val="21"/>
                <w:szCs w:val="21"/>
                <w:highlight w:val="none"/>
              </w:rPr>
            </w:pPr>
            <w:r>
              <w:rPr>
                <w:rFonts w:eastAsia="宋体"/>
                <w:color w:val="auto"/>
                <w:sz w:val="21"/>
                <w:szCs w:val="21"/>
                <w:highlight w:val="none"/>
              </w:rPr>
              <w:t>＞1.5</w:t>
            </w:r>
          </w:p>
        </w:tc>
      </w:tr>
      <w:tr w14:paraId="08DD383E">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cantSplit/>
          <w:trHeight w:val="340" w:hRule="atLeast"/>
          <w:jc w:val="center"/>
        </w:trPr>
        <w:tc>
          <w:tcPr>
            <w:tcW w:w="825" w:type="dxa"/>
            <w:vAlign w:val="center"/>
          </w:tcPr>
          <w:p w14:paraId="0E0178ED">
            <w:pPr>
              <w:pStyle w:val="98"/>
              <w:numPr>
                <w:ilvl w:val="0"/>
                <w:numId w:val="12"/>
              </w:numPr>
              <w:ind w:left="-105" w:right="-105" w:firstLine="0"/>
              <w:rPr>
                <w:rFonts w:eastAsia="宋体"/>
                <w:color w:val="auto"/>
                <w:sz w:val="21"/>
                <w:szCs w:val="21"/>
                <w:highlight w:val="none"/>
              </w:rPr>
            </w:pPr>
          </w:p>
        </w:tc>
        <w:tc>
          <w:tcPr>
            <w:tcW w:w="1750" w:type="dxa"/>
            <w:vAlign w:val="center"/>
          </w:tcPr>
          <w:p w14:paraId="727994E3">
            <w:pPr>
              <w:pStyle w:val="98"/>
              <w:ind w:left="-105" w:right="-105"/>
              <w:rPr>
                <w:rFonts w:eastAsia="宋体"/>
                <w:color w:val="auto"/>
                <w:sz w:val="21"/>
                <w:szCs w:val="21"/>
                <w:highlight w:val="none"/>
              </w:rPr>
            </w:pPr>
            <w:r>
              <w:rPr>
                <w:rFonts w:eastAsia="宋体"/>
                <w:color w:val="auto"/>
                <w:sz w:val="21"/>
                <w:szCs w:val="21"/>
                <w:highlight w:val="none"/>
              </w:rPr>
              <w:t>硝酸盐(以N计)</w:t>
            </w:r>
          </w:p>
        </w:tc>
        <w:tc>
          <w:tcPr>
            <w:tcW w:w="1049" w:type="dxa"/>
            <w:vAlign w:val="center"/>
          </w:tcPr>
          <w:p w14:paraId="2321572B">
            <w:pPr>
              <w:pStyle w:val="98"/>
              <w:ind w:left="-105" w:right="-105"/>
              <w:rPr>
                <w:rFonts w:eastAsia="宋体"/>
                <w:color w:val="auto"/>
                <w:sz w:val="21"/>
                <w:szCs w:val="21"/>
                <w:highlight w:val="none"/>
              </w:rPr>
            </w:pPr>
            <w:r>
              <w:rPr>
                <w:rFonts w:eastAsia="宋体"/>
                <w:color w:val="auto"/>
                <w:sz w:val="21"/>
                <w:szCs w:val="21"/>
                <w:highlight w:val="none"/>
              </w:rPr>
              <w:t>≤2.0</w:t>
            </w:r>
          </w:p>
        </w:tc>
        <w:tc>
          <w:tcPr>
            <w:tcW w:w="1049" w:type="dxa"/>
            <w:vAlign w:val="center"/>
          </w:tcPr>
          <w:p w14:paraId="01472CF5">
            <w:pPr>
              <w:pStyle w:val="98"/>
              <w:ind w:left="-105" w:right="-105"/>
              <w:rPr>
                <w:rFonts w:eastAsia="宋体"/>
                <w:color w:val="auto"/>
                <w:sz w:val="21"/>
                <w:szCs w:val="21"/>
                <w:highlight w:val="none"/>
              </w:rPr>
            </w:pPr>
            <w:r>
              <w:rPr>
                <w:rFonts w:eastAsia="宋体"/>
                <w:color w:val="auto"/>
                <w:sz w:val="21"/>
                <w:szCs w:val="21"/>
                <w:highlight w:val="none"/>
              </w:rPr>
              <w:t>≤5.0</w:t>
            </w:r>
          </w:p>
        </w:tc>
        <w:tc>
          <w:tcPr>
            <w:tcW w:w="1050" w:type="dxa"/>
            <w:vAlign w:val="center"/>
          </w:tcPr>
          <w:p w14:paraId="140701E3">
            <w:pPr>
              <w:pStyle w:val="98"/>
              <w:ind w:left="-105" w:right="-105"/>
              <w:rPr>
                <w:rFonts w:eastAsia="宋体"/>
                <w:color w:val="auto"/>
                <w:sz w:val="21"/>
                <w:szCs w:val="21"/>
                <w:highlight w:val="none"/>
              </w:rPr>
            </w:pPr>
            <w:r>
              <w:rPr>
                <w:rFonts w:eastAsia="宋体"/>
                <w:color w:val="auto"/>
                <w:sz w:val="21"/>
                <w:szCs w:val="21"/>
                <w:highlight w:val="none"/>
              </w:rPr>
              <w:t>≤20</w:t>
            </w:r>
          </w:p>
        </w:tc>
        <w:tc>
          <w:tcPr>
            <w:tcW w:w="1665" w:type="dxa"/>
            <w:vAlign w:val="center"/>
          </w:tcPr>
          <w:p w14:paraId="141B8188">
            <w:pPr>
              <w:pStyle w:val="98"/>
              <w:ind w:left="-105" w:right="-105"/>
              <w:rPr>
                <w:rFonts w:eastAsia="宋体"/>
                <w:color w:val="auto"/>
                <w:sz w:val="21"/>
                <w:szCs w:val="21"/>
                <w:highlight w:val="none"/>
              </w:rPr>
            </w:pPr>
            <w:r>
              <w:rPr>
                <w:rFonts w:eastAsia="宋体"/>
                <w:color w:val="auto"/>
                <w:sz w:val="21"/>
                <w:szCs w:val="21"/>
                <w:highlight w:val="none"/>
              </w:rPr>
              <w:t>≤30</w:t>
            </w:r>
          </w:p>
        </w:tc>
        <w:tc>
          <w:tcPr>
            <w:tcW w:w="1332" w:type="dxa"/>
            <w:vAlign w:val="center"/>
          </w:tcPr>
          <w:p w14:paraId="14359034">
            <w:pPr>
              <w:pStyle w:val="98"/>
              <w:ind w:left="-105" w:right="-105"/>
              <w:rPr>
                <w:rFonts w:eastAsia="宋体"/>
                <w:color w:val="auto"/>
                <w:sz w:val="21"/>
                <w:szCs w:val="21"/>
                <w:highlight w:val="none"/>
              </w:rPr>
            </w:pPr>
            <w:r>
              <w:rPr>
                <w:rFonts w:eastAsia="宋体"/>
                <w:color w:val="auto"/>
                <w:sz w:val="21"/>
                <w:szCs w:val="21"/>
                <w:highlight w:val="none"/>
              </w:rPr>
              <w:t>＞30</w:t>
            </w:r>
          </w:p>
        </w:tc>
      </w:tr>
      <w:tr w14:paraId="3C686F40">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cantSplit/>
          <w:trHeight w:val="340" w:hRule="atLeast"/>
          <w:jc w:val="center"/>
        </w:trPr>
        <w:tc>
          <w:tcPr>
            <w:tcW w:w="825" w:type="dxa"/>
            <w:vAlign w:val="center"/>
          </w:tcPr>
          <w:p w14:paraId="525BB5FA">
            <w:pPr>
              <w:pStyle w:val="98"/>
              <w:numPr>
                <w:ilvl w:val="0"/>
                <w:numId w:val="12"/>
              </w:numPr>
              <w:ind w:left="-105" w:right="-105" w:firstLine="0"/>
              <w:rPr>
                <w:rFonts w:eastAsia="宋体"/>
                <w:color w:val="auto"/>
                <w:sz w:val="21"/>
                <w:szCs w:val="21"/>
                <w:highlight w:val="none"/>
              </w:rPr>
            </w:pPr>
          </w:p>
        </w:tc>
        <w:tc>
          <w:tcPr>
            <w:tcW w:w="1750" w:type="dxa"/>
            <w:vAlign w:val="center"/>
          </w:tcPr>
          <w:p w14:paraId="528CD7E0">
            <w:pPr>
              <w:pStyle w:val="98"/>
              <w:ind w:left="-105" w:right="-105"/>
              <w:rPr>
                <w:rFonts w:eastAsia="宋体"/>
                <w:color w:val="auto"/>
                <w:sz w:val="21"/>
                <w:szCs w:val="21"/>
                <w:highlight w:val="none"/>
              </w:rPr>
            </w:pPr>
            <w:r>
              <w:rPr>
                <w:rFonts w:eastAsia="宋体"/>
                <w:color w:val="auto"/>
                <w:sz w:val="21"/>
                <w:szCs w:val="21"/>
                <w:highlight w:val="none"/>
              </w:rPr>
              <w:t>亚硝酸盐(以N计)</w:t>
            </w:r>
          </w:p>
        </w:tc>
        <w:tc>
          <w:tcPr>
            <w:tcW w:w="1049" w:type="dxa"/>
            <w:vAlign w:val="center"/>
          </w:tcPr>
          <w:p w14:paraId="6DCBDDAA">
            <w:pPr>
              <w:pStyle w:val="98"/>
              <w:ind w:left="-105" w:right="-105"/>
              <w:rPr>
                <w:rFonts w:eastAsia="宋体"/>
                <w:color w:val="auto"/>
                <w:sz w:val="21"/>
                <w:szCs w:val="21"/>
                <w:highlight w:val="none"/>
              </w:rPr>
            </w:pPr>
            <w:r>
              <w:rPr>
                <w:rFonts w:eastAsia="宋体"/>
                <w:color w:val="auto"/>
                <w:sz w:val="21"/>
                <w:szCs w:val="21"/>
                <w:highlight w:val="none"/>
              </w:rPr>
              <w:t>≤0.01</w:t>
            </w:r>
          </w:p>
        </w:tc>
        <w:tc>
          <w:tcPr>
            <w:tcW w:w="1049" w:type="dxa"/>
            <w:vAlign w:val="center"/>
          </w:tcPr>
          <w:p w14:paraId="33CB468C">
            <w:pPr>
              <w:pStyle w:val="98"/>
              <w:ind w:left="-105" w:right="-105"/>
              <w:rPr>
                <w:rFonts w:eastAsia="宋体"/>
                <w:color w:val="auto"/>
                <w:sz w:val="21"/>
                <w:szCs w:val="21"/>
                <w:highlight w:val="none"/>
              </w:rPr>
            </w:pPr>
            <w:r>
              <w:rPr>
                <w:rFonts w:eastAsia="宋体"/>
                <w:color w:val="auto"/>
                <w:sz w:val="21"/>
                <w:szCs w:val="21"/>
                <w:highlight w:val="none"/>
              </w:rPr>
              <w:t>≤0.1</w:t>
            </w:r>
          </w:p>
        </w:tc>
        <w:tc>
          <w:tcPr>
            <w:tcW w:w="1050" w:type="dxa"/>
            <w:vAlign w:val="center"/>
          </w:tcPr>
          <w:p w14:paraId="774623DD">
            <w:pPr>
              <w:pStyle w:val="98"/>
              <w:ind w:left="-105" w:right="-105"/>
              <w:rPr>
                <w:rFonts w:eastAsia="宋体"/>
                <w:color w:val="auto"/>
                <w:sz w:val="21"/>
                <w:szCs w:val="21"/>
                <w:highlight w:val="none"/>
              </w:rPr>
            </w:pPr>
            <w:r>
              <w:rPr>
                <w:rFonts w:eastAsia="宋体"/>
                <w:color w:val="auto"/>
                <w:sz w:val="21"/>
                <w:szCs w:val="21"/>
                <w:highlight w:val="none"/>
              </w:rPr>
              <w:t>≤1.0</w:t>
            </w:r>
          </w:p>
        </w:tc>
        <w:tc>
          <w:tcPr>
            <w:tcW w:w="1665" w:type="dxa"/>
            <w:vAlign w:val="center"/>
          </w:tcPr>
          <w:p w14:paraId="73317D44">
            <w:pPr>
              <w:pStyle w:val="98"/>
              <w:ind w:left="-105" w:right="-105"/>
              <w:rPr>
                <w:rFonts w:eastAsia="宋体"/>
                <w:color w:val="auto"/>
                <w:sz w:val="21"/>
                <w:szCs w:val="21"/>
                <w:highlight w:val="none"/>
              </w:rPr>
            </w:pPr>
            <w:r>
              <w:rPr>
                <w:rFonts w:eastAsia="宋体"/>
                <w:color w:val="auto"/>
                <w:sz w:val="21"/>
                <w:szCs w:val="21"/>
                <w:highlight w:val="none"/>
              </w:rPr>
              <w:t>≤4.8</w:t>
            </w:r>
          </w:p>
        </w:tc>
        <w:tc>
          <w:tcPr>
            <w:tcW w:w="1332" w:type="dxa"/>
            <w:vAlign w:val="center"/>
          </w:tcPr>
          <w:p w14:paraId="505F2589">
            <w:pPr>
              <w:pStyle w:val="98"/>
              <w:ind w:left="-105" w:right="-105"/>
              <w:rPr>
                <w:rFonts w:eastAsia="宋体"/>
                <w:color w:val="auto"/>
                <w:sz w:val="21"/>
                <w:szCs w:val="21"/>
                <w:highlight w:val="none"/>
              </w:rPr>
            </w:pPr>
            <w:r>
              <w:rPr>
                <w:rFonts w:eastAsia="宋体"/>
                <w:color w:val="auto"/>
                <w:sz w:val="21"/>
                <w:szCs w:val="21"/>
                <w:highlight w:val="none"/>
              </w:rPr>
              <w:t>＞4.8</w:t>
            </w:r>
          </w:p>
        </w:tc>
      </w:tr>
      <w:tr w14:paraId="53D8EC23">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cantSplit/>
          <w:trHeight w:val="340" w:hRule="atLeast"/>
          <w:jc w:val="center"/>
        </w:trPr>
        <w:tc>
          <w:tcPr>
            <w:tcW w:w="825" w:type="dxa"/>
            <w:vAlign w:val="center"/>
          </w:tcPr>
          <w:p w14:paraId="4CE9A58A">
            <w:pPr>
              <w:pStyle w:val="98"/>
              <w:numPr>
                <w:ilvl w:val="0"/>
                <w:numId w:val="12"/>
              </w:numPr>
              <w:ind w:left="-105" w:right="-105" w:firstLine="0"/>
              <w:rPr>
                <w:rFonts w:eastAsia="宋体"/>
                <w:color w:val="auto"/>
                <w:sz w:val="21"/>
                <w:szCs w:val="21"/>
                <w:highlight w:val="none"/>
              </w:rPr>
            </w:pPr>
          </w:p>
        </w:tc>
        <w:tc>
          <w:tcPr>
            <w:tcW w:w="1750" w:type="dxa"/>
            <w:vAlign w:val="center"/>
          </w:tcPr>
          <w:p w14:paraId="17385287">
            <w:pPr>
              <w:pStyle w:val="98"/>
              <w:ind w:left="-105" w:right="-105"/>
              <w:rPr>
                <w:rFonts w:eastAsia="宋体"/>
                <w:color w:val="auto"/>
                <w:sz w:val="21"/>
                <w:szCs w:val="21"/>
                <w:highlight w:val="none"/>
              </w:rPr>
            </w:pPr>
            <w:r>
              <w:rPr>
                <w:rFonts w:eastAsia="宋体"/>
                <w:color w:val="auto"/>
                <w:sz w:val="21"/>
                <w:szCs w:val="21"/>
                <w:highlight w:val="none"/>
              </w:rPr>
              <w:t>挥发性酚类</w:t>
            </w:r>
          </w:p>
          <w:p w14:paraId="1A7BE213">
            <w:pPr>
              <w:pStyle w:val="98"/>
              <w:ind w:left="-105" w:right="-105"/>
              <w:rPr>
                <w:rFonts w:eastAsia="宋体"/>
                <w:color w:val="auto"/>
                <w:sz w:val="21"/>
                <w:szCs w:val="21"/>
                <w:highlight w:val="none"/>
              </w:rPr>
            </w:pPr>
            <w:r>
              <w:rPr>
                <w:rFonts w:eastAsia="宋体"/>
                <w:color w:val="auto"/>
                <w:sz w:val="21"/>
                <w:szCs w:val="21"/>
                <w:highlight w:val="none"/>
              </w:rPr>
              <w:t>（以苯酚计）</w:t>
            </w:r>
          </w:p>
        </w:tc>
        <w:tc>
          <w:tcPr>
            <w:tcW w:w="1049" w:type="dxa"/>
            <w:vAlign w:val="center"/>
          </w:tcPr>
          <w:p w14:paraId="29C7885F">
            <w:pPr>
              <w:pStyle w:val="98"/>
              <w:ind w:left="-105" w:right="-105"/>
              <w:rPr>
                <w:rFonts w:eastAsia="宋体"/>
                <w:color w:val="auto"/>
                <w:sz w:val="21"/>
                <w:szCs w:val="21"/>
                <w:highlight w:val="none"/>
              </w:rPr>
            </w:pPr>
            <w:r>
              <w:rPr>
                <w:rFonts w:eastAsia="宋体"/>
                <w:color w:val="auto"/>
                <w:sz w:val="21"/>
                <w:szCs w:val="21"/>
                <w:highlight w:val="none"/>
              </w:rPr>
              <w:t>≤0.001</w:t>
            </w:r>
          </w:p>
        </w:tc>
        <w:tc>
          <w:tcPr>
            <w:tcW w:w="1049" w:type="dxa"/>
            <w:vAlign w:val="center"/>
          </w:tcPr>
          <w:p w14:paraId="635DADB2">
            <w:pPr>
              <w:pStyle w:val="98"/>
              <w:ind w:left="-105" w:right="-105"/>
              <w:rPr>
                <w:rFonts w:eastAsia="宋体"/>
                <w:color w:val="auto"/>
                <w:sz w:val="21"/>
                <w:szCs w:val="21"/>
                <w:highlight w:val="none"/>
              </w:rPr>
            </w:pPr>
            <w:r>
              <w:rPr>
                <w:rFonts w:eastAsia="宋体"/>
                <w:color w:val="auto"/>
                <w:sz w:val="21"/>
                <w:szCs w:val="21"/>
                <w:highlight w:val="none"/>
              </w:rPr>
              <w:t>≤0.001</w:t>
            </w:r>
          </w:p>
        </w:tc>
        <w:tc>
          <w:tcPr>
            <w:tcW w:w="1050" w:type="dxa"/>
            <w:vAlign w:val="center"/>
          </w:tcPr>
          <w:p w14:paraId="58048AEA">
            <w:pPr>
              <w:pStyle w:val="98"/>
              <w:ind w:left="-105" w:right="-105"/>
              <w:rPr>
                <w:rFonts w:eastAsia="宋体"/>
                <w:color w:val="auto"/>
                <w:sz w:val="21"/>
                <w:szCs w:val="21"/>
                <w:highlight w:val="none"/>
              </w:rPr>
            </w:pPr>
            <w:r>
              <w:rPr>
                <w:rFonts w:eastAsia="宋体"/>
                <w:color w:val="auto"/>
                <w:sz w:val="21"/>
                <w:szCs w:val="21"/>
                <w:highlight w:val="none"/>
              </w:rPr>
              <w:t>≤0.002</w:t>
            </w:r>
          </w:p>
        </w:tc>
        <w:tc>
          <w:tcPr>
            <w:tcW w:w="1665" w:type="dxa"/>
            <w:vAlign w:val="center"/>
          </w:tcPr>
          <w:p w14:paraId="6D665DA0">
            <w:pPr>
              <w:pStyle w:val="98"/>
              <w:ind w:left="-105" w:right="-105"/>
              <w:rPr>
                <w:rFonts w:eastAsia="宋体"/>
                <w:color w:val="auto"/>
                <w:sz w:val="21"/>
                <w:szCs w:val="21"/>
                <w:highlight w:val="none"/>
              </w:rPr>
            </w:pPr>
            <w:r>
              <w:rPr>
                <w:rFonts w:eastAsia="宋体"/>
                <w:color w:val="auto"/>
                <w:sz w:val="21"/>
                <w:szCs w:val="21"/>
                <w:highlight w:val="none"/>
              </w:rPr>
              <w:t>≤0.01</w:t>
            </w:r>
          </w:p>
        </w:tc>
        <w:tc>
          <w:tcPr>
            <w:tcW w:w="1332" w:type="dxa"/>
            <w:vAlign w:val="center"/>
          </w:tcPr>
          <w:p w14:paraId="78F5A783">
            <w:pPr>
              <w:pStyle w:val="98"/>
              <w:ind w:left="-105" w:right="-105"/>
              <w:rPr>
                <w:rFonts w:eastAsia="宋体"/>
                <w:color w:val="auto"/>
                <w:sz w:val="21"/>
                <w:szCs w:val="21"/>
                <w:highlight w:val="none"/>
              </w:rPr>
            </w:pPr>
            <w:r>
              <w:rPr>
                <w:rFonts w:eastAsia="宋体"/>
                <w:color w:val="auto"/>
                <w:sz w:val="21"/>
                <w:szCs w:val="21"/>
                <w:highlight w:val="none"/>
              </w:rPr>
              <w:t>＞0.01</w:t>
            </w:r>
          </w:p>
        </w:tc>
      </w:tr>
      <w:tr w14:paraId="1CF7CEB5">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cantSplit/>
          <w:trHeight w:val="340" w:hRule="atLeast"/>
          <w:jc w:val="center"/>
        </w:trPr>
        <w:tc>
          <w:tcPr>
            <w:tcW w:w="825" w:type="dxa"/>
            <w:vAlign w:val="center"/>
          </w:tcPr>
          <w:p w14:paraId="7BB237C0">
            <w:pPr>
              <w:pStyle w:val="98"/>
              <w:numPr>
                <w:ilvl w:val="0"/>
                <w:numId w:val="12"/>
              </w:numPr>
              <w:ind w:left="-105" w:right="-105" w:firstLine="0"/>
              <w:rPr>
                <w:rFonts w:eastAsia="宋体"/>
                <w:color w:val="auto"/>
                <w:sz w:val="21"/>
                <w:szCs w:val="21"/>
                <w:highlight w:val="none"/>
              </w:rPr>
            </w:pPr>
          </w:p>
        </w:tc>
        <w:tc>
          <w:tcPr>
            <w:tcW w:w="1750" w:type="dxa"/>
            <w:vAlign w:val="center"/>
          </w:tcPr>
          <w:p w14:paraId="7150FE44">
            <w:pPr>
              <w:pStyle w:val="98"/>
              <w:ind w:left="-105" w:right="-105"/>
              <w:rPr>
                <w:rFonts w:eastAsia="宋体"/>
                <w:color w:val="auto"/>
                <w:sz w:val="21"/>
                <w:szCs w:val="21"/>
                <w:highlight w:val="none"/>
              </w:rPr>
            </w:pPr>
            <w:r>
              <w:rPr>
                <w:rFonts w:eastAsia="宋体"/>
                <w:color w:val="auto"/>
                <w:sz w:val="21"/>
                <w:szCs w:val="21"/>
                <w:highlight w:val="none"/>
              </w:rPr>
              <w:t>氰化物</w:t>
            </w:r>
          </w:p>
        </w:tc>
        <w:tc>
          <w:tcPr>
            <w:tcW w:w="1049" w:type="dxa"/>
            <w:vAlign w:val="center"/>
          </w:tcPr>
          <w:p w14:paraId="7BFADC4F">
            <w:pPr>
              <w:pStyle w:val="98"/>
              <w:ind w:left="-105" w:right="-105"/>
              <w:rPr>
                <w:rFonts w:eastAsia="宋体"/>
                <w:color w:val="auto"/>
                <w:sz w:val="21"/>
                <w:szCs w:val="21"/>
                <w:highlight w:val="none"/>
              </w:rPr>
            </w:pPr>
            <w:r>
              <w:rPr>
                <w:rFonts w:eastAsia="宋体"/>
                <w:color w:val="auto"/>
                <w:sz w:val="21"/>
                <w:szCs w:val="21"/>
                <w:highlight w:val="none"/>
              </w:rPr>
              <w:t>≤0.001</w:t>
            </w:r>
          </w:p>
        </w:tc>
        <w:tc>
          <w:tcPr>
            <w:tcW w:w="1049" w:type="dxa"/>
            <w:vAlign w:val="center"/>
          </w:tcPr>
          <w:p w14:paraId="7E4FC189">
            <w:pPr>
              <w:pStyle w:val="98"/>
              <w:ind w:left="-105" w:right="-105"/>
              <w:rPr>
                <w:rFonts w:eastAsia="宋体"/>
                <w:color w:val="auto"/>
                <w:sz w:val="21"/>
                <w:szCs w:val="21"/>
                <w:highlight w:val="none"/>
              </w:rPr>
            </w:pPr>
            <w:r>
              <w:rPr>
                <w:rFonts w:eastAsia="宋体"/>
                <w:color w:val="auto"/>
                <w:sz w:val="21"/>
                <w:szCs w:val="21"/>
                <w:highlight w:val="none"/>
              </w:rPr>
              <w:t>≤0.01</w:t>
            </w:r>
          </w:p>
        </w:tc>
        <w:tc>
          <w:tcPr>
            <w:tcW w:w="1050" w:type="dxa"/>
            <w:vAlign w:val="center"/>
          </w:tcPr>
          <w:p w14:paraId="783FD0D1">
            <w:pPr>
              <w:pStyle w:val="98"/>
              <w:ind w:left="-105" w:right="-105"/>
              <w:rPr>
                <w:rFonts w:eastAsia="宋体"/>
                <w:color w:val="auto"/>
                <w:sz w:val="21"/>
                <w:szCs w:val="21"/>
                <w:highlight w:val="none"/>
              </w:rPr>
            </w:pPr>
            <w:r>
              <w:rPr>
                <w:rFonts w:eastAsia="宋体"/>
                <w:color w:val="auto"/>
                <w:sz w:val="21"/>
                <w:szCs w:val="21"/>
                <w:highlight w:val="none"/>
              </w:rPr>
              <w:t>≤0.05</w:t>
            </w:r>
          </w:p>
        </w:tc>
        <w:tc>
          <w:tcPr>
            <w:tcW w:w="1665" w:type="dxa"/>
            <w:vAlign w:val="center"/>
          </w:tcPr>
          <w:p w14:paraId="2C25D7A7">
            <w:pPr>
              <w:pStyle w:val="98"/>
              <w:ind w:left="-105" w:right="-105"/>
              <w:rPr>
                <w:rFonts w:eastAsia="宋体"/>
                <w:color w:val="auto"/>
                <w:sz w:val="21"/>
                <w:szCs w:val="21"/>
                <w:highlight w:val="none"/>
              </w:rPr>
            </w:pPr>
            <w:r>
              <w:rPr>
                <w:rFonts w:eastAsia="宋体"/>
                <w:color w:val="auto"/>
                <w:sz w:val="21"/>
                <w:szCs w:val="21"/>
                <w:highlight w:val="none"/>
              </w:rPr>
              <w:t>≤0.1</w:t>
            </w:r>
          </w:p>
        </w:tc>
        <w:tc>
          <w:tcPr>
            <w:tcW w:w="1332" w:type="dxa"/>
            <w:vAlign w:val="center"/>
          </w:tcPr>
          <w:p w14:paraId="50723ADF">
            <w:pPr>
              <w:pStyle w:val="98"/>
              <w:ind w:left="-105" w:right="-105"/>
              <w:rPr>
                <w:rFonts w:eastAsia="宋体"/>
                <w:color w:val="auto"/>
                <w:sz w:val="21"/>
                <w:szCs w:val="21"/>
                <w:highlight w:val="none"/>
              </w:rPr>
            </w:pPr>
            <w:r>
              <w:rPr>
                <w:rFonts w:eastAsia="宋体"/>
                <w:color w:val="auto"/>
                <w:sz w:val="21"/>
                <w:szCs w:val="21"/>
                <w:highlight w:val="none"/>
              </w:rPr>
              <w:t>＞0.1</w:t>
            </w:r>
          </w:p>
        </w:tc>
      </w:tr>
      <w:tr w14:paraId="0DABC561">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cantSplit/>
          <w:trHeight w:val="340" w:hRule="atLeast"/>
          <w:jc w:val="center"/>
        </w:trPr>
        <w:tc>
          <w:tcPr>
            <w:tcW w:w="825" w:type="dxa"/>
            <w:vAlign w:val="center"/>
          </w:tcPr>
          <w:p w14:paraId="6EEB2A4B">
            <w:pPr>
              <w:pStyle w:val="98"/>
              <w:numPr>
                <w:ilvl w:val="0"/>
                <w:numId w:val="12"/>
              </w:numPr>
              <w:ind w:left="-105" w:right="-105" w:firstLine="0"/>
              <w:rPr>
                <w:rFonts w:eastAsia="宋体"/>
                <w:color w:val="auto"/>
                <w:sz w:val="21"/>
                <w:szCs w:val="21"/>
                <w:highlight w:val="none"/>
              </w:rPr>
            </w:pPr>
          </w:p>
        </w:tc>
        <w:tc>
          <w:tcPr>
            <w:tcW w:w="1750" w:type="dxa"/>
            <w:vAlign w:val="center"/>
          </w:tcPr>
          <w:p w14:paraId="0BF6C647">
            <w:pPr>
              <w:pStyle w:val="98"/>
              <w:ind w:left="-105" w:right="-105"/>
              <w:rPr>
                <w:rFonts w:eastAsia="宋体"/>
                <w:color w:val="auto"/>
                <w:sz w:val="21"/>
                <w:szCs w:val="21"/>
                <w:highlight w:val="none"/>
              </w:rPr>
            </w:pPr>
            <w:r>
              <w:rPr>
                <w:rFonts w:eastAsia="宋体"/>
                <w:color w:val="auto"/>
                <w:sz w:val="21"/>
                <w:szCs w:val="21"/>
                <w:highlight w:val="none"/>
              </w:rPr>
              <w:t>砷</w:t>
            </w:r>
          </w:p>
        </w:tc>
        <w:tc>
          <w:tcPr>
            <w:tcW w:w="1049" w:type="dxa"/>
            <w:vAlign w:val="center"/>
          </w:tcPr>
          <w:p w14:paraId="12E90EE0">
            <w:pPr>
              <w:pStyle w:val="98"/>
              <w:ind w:left="-105" w:right="-105"/>
              <w:rPr>
                <w:rFonts w:eastAsia="宋体"/>
                <w:color w:val="auto"/>
                <w:sz w:val="21"/>
                <w:szCs w:val="21"/>
                <w:highlight w:val="none"/>
              </w:rPr>
            </w:pPr>
            <w:r>
              <w:rPr>
                <w:rFonts w:eastAsia="宋体"/>
                <w:color w:val="auto"/>
                <w:sz w:val="21"/>
                <w:szCs w:val="21"/>
                <w:highlight w:val="none"/>
              </w:rPr>
              <w:t>≤0.001</w:t>
            </w:r>
          </w:p>
        </w:tc>
        <w:tc>
          <w:tcPr>
            <w:tcW w:w="1049" w:type="dxa"/>
            <w:vAlign w:val="center"/>
          </w:tcPr>
          <w:p w14:paraId="743D2970">
            <w:pPr>
              <w:pStyle w:val="98"/>
              <w:ind w:left="-105" w:right="-105"/>
              <w:rPr>
                <w:rFonts w:eastAsia="宋体"/>
                <w:color w:val="auto"/>
                <w:sz w:val="21"/>
                <w:szCs w:val="21"/>
                <w:highlight w:val="none"/>
              </w:rPr>
            </w:pPr>
            <w:r>
              <w:rPr>
                <w:rFonts w:eastAsia="宋体"/>
                <w:color w:val="auto"/>
                <w:sz w:val="21"/>
                <w:szCs w:val="21"/>
                <w:highlight w:val="none"/>
              </w:rPr>
              <w:t>≤0.001</w:t>
            </w:r>
          </w:p>
        </w:tc>
        <w:tc>
          <w:tcPr>
            <w:tcW w:w="1050" w:type="dxa"/>
            <w:vAlign w:val="center"/>
          </w:tcPr>
          <w:p w14:paraId="45932A55">
            <w:pPr>
              <w:pStyle w:val="98"/>
              <w:ind w:left="-105" w:right="-105"/>
              <w:rPr>
                <w:rFonts w:eastAsia="宋体"/>
                <w:color w:val="auto"/>
                <w:sz w:val="21"/>
                <w:szCs w:val="21"/>
                <w:highlight w:val="none"/>
              </w:rPr>
            </w:pPr>
            <w:r>
              <w:rPr>
                <w:rFonts w:eastAsia="宋体"/>
                <w:color w:val="auto"/>
                <w:sz w:val="21"/>
                <w:szCs w:val="21"/>
                <w:highlight w:val="none"/>
              </w:rPr>
              <w:t>≤0.01</w:t>
            </w:r>
          </w:p>
        </w:tc>
        <w:tc>
          <w:tcPr>
            <w:tcW w:w="1665" w:type="dxa"/>
            <w:vAlign w:val="center"/>
          </w:tcPr>
          <w:p w14:paraId="470B7CA8">
            <w:pPr>
              <w:pStyle w:val="98"/>
              <w:ind w:left="-105" w:right="-105"/>
              <w:rPr>
                <w:rFonts w:eastAsia="宋体"/>
                <w:color w:val="auto"/>
                <w:sz w:val="21"/>
                <w:szCs w:val="21"/>
                <w:highlight w:val="none"/>
              </w:rPr>
            </w:pPr>
            <w:r>
              <w:rPr>
                <w:rFonts w:eastAsia="宋体"/>
                <w:color w:val="auto"/>
                <w:sz w:val="21"/>
                <w:szCs w:val="21"/>
                <w:highlight w:val="none"/>
              </w:rPr>
              <w:t>≤0.05</w:t>
            </w:r>
          </w:p>
        </w:tc>
        <w:tc>
          <w:tcPr>
            <w:tcW w:w="1332" w:type="dxa"/>
            <w:vAlign w:val="center"/>
          </w:tcPr>
          <w:p w14:paraId="07C6D341">
            <w:pPr>
              <w:pStyle w:val="98"/>
              <w:ind w:left="-105" w:right="-105"/>
              <w:rPr>
                <w:rFonts w:eastAsia="宋体"/>
                <w:color w:val="auto"/>
                <w:sz w:val="21"/>
                <w:szCs w:val="21"/>
                <w:highlight w:val="none"/>
              </w:rPr>
            </w:pPr>
            <w:r>
              <w:rPr>
                <w:rFonts w:eastAsia="宋体"/>
                <w:color w:val="auto"/>
                <w:sz w:val="21"/>
                <w:szCs w:val="21"/>
                <w:highlight w:val="none"/>
              </w:rPr>
              <w:t>＞0.05</w:t>
            </w:r>
          </w:p>
        </w:tc>
      </w:tr>
      <w:tr w14:paraId="2E581BF8">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cantSplit/>
          <w:trHeight w:val="340" w:hRule="atLeast"/>
          <w:jc w:val="center"/>
        </w:trPr>
        <w:tc>
          <w:tcPr>
            <w:tcW w:w="825" w:type="dxa"/>
            <w:vAlign w:val="center"/>
          </w:tcPr>
          <w:p w14:paraId="56355D67">
            <w:pPr>
              <w:pStyle w:val="98"/>
              <w:numPr>
                <w:ilvl w:val="0"/>
                <w:numId w:val="12"/>
              </w:numPr>
              <w:ind w:left="-105" w:right="-105" w:firstLine="0"/>
              <w:rPr>
                <w:rFonts w:eastAsia="宋体"/>
                <w:color w:val="auto"/>
                <w:sz w:val="21"/>
                <w:szCs w:val="21"/>
                <w:highlight w:val="none"/>
              </w:rPr>
            </w:pPr>
          </w:p>
        </w:tc>
        <w:tc>
          <w:tcPr>
            <w:tcW w:w="1750" w:type="dxa"/>
            <w:vAlign w:val="center"/>
          </w:tcPr>
          <w:p w14:paraId="3E74EB70">
            <w:pPr>
              <w:pStyle w:val="98"/>
              <w:ind w:left="-105" w:right="-105"/>
              <w:rPr>
                <w:rFonts w:eastAsia="宋体"/>
                <w:color w:val="auto"/>
                <w:sz w:val="21"/>
                <w:szCs w:val="21"/>
                <w:highlight w:val="none"/>
              </w:rPr>
            </w:pPr>
            <w:r>
              <w:rPr>
                <w:rFonts w:eastAsia="宋体"/>
                <w:color w:val="auto"/>
                <w:sz w:val="21"/>
                <w:szCs w:val="21"/>
                <w:highlight w:val="none"/>
              </w:rPr>
              <w:t>汞</w:t>
            </w:r>
          </w:p>
        </w:tc>
        <w:tc>
          <w:tcPr>
            <w:tcW w:w="1049" w:type="dxa"/>
            <w:vAlign w:val="center"/>
          </w:tcPr>
          <w:p w14:paraId="77CAB553">
            <w:pPr>
              <w:pStyle w:val="98"/>
              <w:ind w:left="-105" w:right="-105"/>
              <w:rPr>
                <w:rFonts w:eastAsia="宋体"/>
                <w:color w:val="auto"/>
                <w:sz w:val="21"/>
                <w:szCs w:val="21"/>
                <w:highlight w:val="none"/>
              </w:rPr>
            </w:pPr>
            <w:r>
              <w:rPr>
                <w:rFonts w:eastAsia="宋体"/>
                <w:color w:val="auto"/>
                <w:sz w:val="21"/>
                <w:szCs w:val="21"/>
                <w:highlight w:val="none"/>
              </w:rPr>
              <w:t>≤0.0001</w:t>
            </w:r>
          </w:p>
        </w:tc>
        <w:tc>
          <w:tcPr>
            <w:tcW w:w="1049" w:type="dxa"/>
            <w:vAlign w:val="center"/>
          </w:tcPr>
          <w:p w14:paraId="1004A5F9">
            <w:pPr>
              <w:pStyle w:val="98"/>
              <w:ind w:left="-105" w:right="-105"/>
              <w:rPr>
                <w:rFonts w:eastAsia="宋体"/>
                <w:color w:val="auto"/>
                <w:sz w:val="21"/>
                <w:szCs w:val="21"/>
                <w:highlight w:val="none"/>
              </w:rPr>
            </w:pPr>
            <w:r>
              <w:rPr>
                <w:rFonts w:eastAsia="宋体"/>
                <w:color w:val="auto"/>
                <w:sz w:val="21"/>
                <w:szCs w:val="21"/>
                <w:highlight w:val="none"/>
              </w:rPr>
              <w:t>≤0.0001</w:t>
            </w:r>
          </w:p>
        </w:tc>
        <w:tc>
          <w:tcPr>
            <w:tcW w:w="1050" w:type="dxa"/>
            <w:vAlign w:val="center"/>
          </w:tcPr>
          <w:p w14:paraId="620E4AE2">
            <w:pPr>
              <w:pStyle w:val="98"/>
              <w:ind w:left="-105" w:right="-105"/>
              <w:rPr>
                <w:rFonts w:eastAsia="宋体"/>
                <w:color w:val="auto"/>
                <w:sz w:val="21"/>
                <w:szCs w:val="21"/>
                <w:highlight w:val="none"/>
              </w:rPr>
            </w:pPr>
            <w:r>
              <w:rPr>
                <w:rFonts w:eastAsia="宋体"/>
                <w:color w:val="auto"/>
                <w:sz w:val="21"/>
                <w:szCs w:val="21"/>
                <w:highlight w:val="none"/>
              </w:rPr>
              <w:t>≤0.001</w:t>
            </w:r>
          </w:p>
        </w:tc>
        <w:tc>
          <w:tcPr>
            <w:tcW w:w="1665" w:type="dxa"/>
            <w:vAlign w:val="center"/>
          </w:tcPr>
          <w:p w14:paraId="663C9DE6">
            <w:pPr>
              <w:pStyle w:val="98"/>
              <w:ind w:left="-105" w:right="-105"/>
              <w:rPr>
                <w:rFonts w:eastAsia="宋体"/>
                <w:color w:val="auto"/>
                <w:sz w:val="21"/>
                <w:szCs w:val="21"/>
                <w:highlight w:val="none"/>
              </w:rPr>
            </w:pPr>
            <w:r>
              <w:rPr>
                <w:rFonts w:eastAsia="宋体"/>
                <w:color w:val="auto"/>
                <w:sz w:val="21"/>
                <w:szCs w:val="21"/>
                <w:highlight w:val="none"/>
              </w:rPr>
              <w:t>≤0.002</w:t>
            </w:r>
          </w:p>
        </w:tc>
        <w:tc>
          <w:tcPr>
            <w:tcW w:w="1332" w:type="dxa"/>
            <w:vAlign w:val="center"/>
          </w:tcPr>
          <w:p w14:paraId="3717083C">
            <w:pPr>
              <w:pStyle w:val="98"/>
              <w:ind w:left="-105" w:right="-105"/>
              <w:rPr>
                <w:rFonts w:eastAsia="宋体"/>
                <w:color w:val="auto"/>
                <w:sz w:val="21"/>
                <w:szCs w:val="21"/>
                <w:highlight w:val="none"/>
              </w:rPr>
            </w:pPr>
            <w:r>
              <w:rPr>
                <w:rFonts w:eastAsia="宋体"/>
                <w:color w:val="auto"/>
                <w:sz w:val="21"/>
                <w:szCs w:val="21"/>
                <w:highlight w:val="none"/>
              </w:rPr>
              <w:t>＞0.002</w:t>
            </w:r>
          </w:p>
        </w:tc>
      </w:tr>
      <w:tr w14:paraId="116D82CE">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cantSplit/>
          <w:trHeight w:val="340" w:hRule="atLeast"/>
          <w:jc w:val="center"/>
        </w:trPr>
        <w:tc>
          <w:tcPr>
            <w:tcW w:w="825" w:type="dxa"/>
            <w:vAlign w:val="center"/>
          </w:tcPr>
          <w:p w14:paraId="2C49CF88">
            <w:pPr>
              <w:pStyle w:val="98"/>
              <w:numPr>
                <w:ilvl w:val="0"/>
                <w:numId w:val="12"/>
              </w:numPr>
              <w:ind w:left="-105" w:right="-105" w:firstLine="0"/>
              <w:rPr>
                <w:rFonts w:eastAsia="宋体"/>
                <w:color w:val="auto"/>
                <w:sz w:val="21"/>
                <w:szCs w:val="21"/>
                <w:highlight w:val="none"/>
              </w:rPr>
            </w:pPr>
          </w:p>
        </w:tc>
        <w:tc>
          <w:tcPr>
            <w:tcW w:w="1750" w:type="dxa"/>
            <w:vAlign w:val="center"/>
          </w:tcPr>
          <w:p w14:paraId="33577280">
            <w:pPr>
              <w:pStyle w:val="98"/>
              <w:ind w:left="-105" w:right="-105"/>
              <w:rPr>
                <w:rFonts w:eastAsia="宋体"/>
                <w:color w:val="auto"/>
                <w:sz w:val="21"/>
                <w:szCs w:val="21"/>
                <w:highlight w:val="none"/>
              </w:rPr>
            </w:pPr>
            <w:r>
              <w:rPr>
                <w:rFonts w:eastAsia="宋体"/>
                <w:color w:val="auto"/>
                <w:sz w:val="21"/>
                <w:szCs w:val="21"/>
                <w:highlight w:val="none"/>
              </w:rPr>
              <w:t>铬（六价）</w:t>
            </w:r>
          </w:p>
        </w:tc>
        <w:tc>
          <w:tcPr>
            <w:tcW w:w="1049" w:type="dxa"/>
            <w:vAlign w:val="center"/>
          </w:tcPr>
          <w:p w14:paraId="6A7110D4">
            <w:pPr>
              <w:pStyle w:val="98"/>
              <w:ind w:left="-105" w:right="-105"/>
              <w:rPr>
                <w:rFonts w:eastAsia="宋体"/>
                <w:color w:val="auto"/>
                <w:sz w:val="21"/>
                <w:szCs w:val="21"/>
                <w:highlight w:val="none"/>
              </w:rPr>
            </w:pPr>
            <w:r>
              <w:rPr>
                <w:rFonts w:eastAsia="宋体"/>
                <w:color w:val="auto"/>
                <w:sz w:val="21"/>
                <w:szCs w:val="21"/>
                <w:highlight w:val="none"/>
              </w:rPr>
              <w:t>≤0.005</w:t>
            </w:r>
          </w:p>
        </w:tc>
        <w:tc>
          <w:tcPr>
            <w:tcW w:w="1049" w:type="dxa"/>
            <w:vAlign w:val="center"/>
          </w:tcPr>
          <w:p w14:paraId="27DFB5CB">
            <w:pPr>
              <w:pStyle w:val="98"/>
              <w:ind w:left="-105" w:right="-105"/>
              <w:rPr>
                <w:rFonts w:eastAsia="宋体"/>
                <w:color w:val="auto"/>
                <w:sz w:val="21"/>
                <w:szCs w:val="21"/>
                <w:highlight w:val="none"/>
              </w:rPr>
            </w:pPr>
            <w:r>
              <w:rPr>
                <w:rFonts w:eastAsia="宋体"/>
                <w:color w:val="auto"/>
                <w:sz w:val="21"/>
                <w:szCs w:val="21"/>
                <w:highlight w:val="none"/>
              </w:rPr>
              <w:t>≤0.01</w:t>
            </w:r>
          </w:p>
        </w:tc>
        <w:tc>
          <w:tcPr>
            <w:tcW w:w="1050" w:type="dxa"/>
            <w:vAlign w:val="center"/>
          </w:tcPr>
          <w:p w14:paraId="54006FA2">
            <w:pPr>
              <w:pStyle w:val="98"/>
              <w:ind w:left="-105" w:right="-105"/>
              <w:rPr>
                <w:rFonts w:eastAsia="宋体"/>
                <w:color w:val="auto"/>
                <w:sz w:val="21"/>
                <w:szCs w:val="21"/>
                <w:highlight w:val="none"/>
              </w:rPr>
            </w:pPr>
            <w:r>
              <w:rPr>
                <w:rFonts w:eastAsia="宋体"/>
                <w:color w:val="auto"/>
                <w:sz w:val="21"/>
                <w:szCs w:val="21"/>
                <w:highlight w:val="none"/>
              </w:rPr>
              <w:t>≤0.05</w:t>
            </w:r>
          </w:p>
        </w:tc>
        <w:tc>
          <w:tcPr>
            <w:tcW w:w="1665" w:type="dxa"/>
            <w:vAlign w:val="center"/>
          </w:tcPr>
          <w:p w14:paraId="45D46276">
            <w:pPr>
              <w:pStyle w:val="98"/>
              <w:ind w:left="-105" w:right="-105"/>
              <w:rPr>
                <w:rFonts w:eastAsia="宋体"/>
                <w:color w:val="auto"/>
                <w:sz w:val="21"/>
                <w:szCs w:val="21"/>
                <w:highlight w:val="none"/>
              </w:rPr>
            </w:pPr>
            <w:r>
              <w:rPr>
                <w:rFonts w:eastAsia="宋体"/>
                <w:color w:val="auto"/>
                <w:sz w:val="21"/>
                <w:szCs w:val="21"/>
                <w:highlight w:val="none"/>
              </w:rPr>
              <w:t>≤0.1</w:t>
            </w:r>
          </w:p>
        </w:tc>
        <w:tc>
          <w:tcPr>
            <w:tcW w:w="1332" w:type="dxa"/>
            <w:vAlign w:val="center"/>
          </w:tcPr>
          <w:p w14:paraId="60996E16">
            <w:pPr>
              <w:pStyle w:val="98"/>
              <w:ind w:left="-105" w:right="-105"/>
              <w:rPr>
                <w:rFonts w:eastAsia="宋体"/>
                <w:color w:val="auto"/>
                <w:sz w:val="21"/>
                <w:szCs w:val="21"/>
                <w:highlight w:val="none"/>
              </w:rPr>
            </w:pPr>
            <w:r>
              <w:rPr>
                <w:rFonts w:eastAsia="宋体"/>
                <w:color w:val="auto"/>
                <w:sz w:val="21"/>
                <w:szCs w:val="21"/>
                <w:highlight w:val="none"/>
              </w:rPr>
              <w:t>＞0.1</w:t>
            </w:r>
          </w:p>
        </w:tc>
      </w:tr>
      <w:tr w14:paraId="2D035002">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cantSplit/>
          <w:trHeight w:val="340" w:hRule="atLeast"/>
          <w:jc w:val="center"/>
        </w:trPr>
        <w:tc>
          <w:tcPr>
            <w:tcW w:w="825" w:type="dxa"/>
            <w:vAlign w:val="center"/>
          </w:tcPr>
          <w:p w14:paraId="0C067DBB">
            <w:pPr>
              <w:pStyle w:val="98"/>
              <w:numPr>
                <w:ilvl w:val="0"/>
                <w:numId w:val="12"/>
              </w:numPr>
              <w:ind w:left="-105" w:right="-105" w:firstLine="0"/>
              <w:rPr>
                <w:rFonts w:eastAsia="宋体"/>
                <w:color w:val="auto"/>
                <w:sz w:val="21"/>
                <w:szCs w:val="21"/>
                <w:highlight w:val="none"/>
              </w:rPr>
            </w:pPr>
          </w:p>
        </w:tc>
        <w:tc>
          <w:tcPr>
            <w:tcW w:w="1750" w:type="dxa"/>
            <w:vAlign w:val="center"/>
          </w:tcPr>
          <w:p w14:paraId="73A1B346">
            <w:pPr>
              <w:pStyle w:val="98"/>
              <w:ind w:left="-105" w:right="-105"/>
              <w:rPr>
                <w:rFonts w:eastAsia="宋体"/>
                <w:color w:val="auto"/>
                <w:sz w:val="21"/>
                <w:szCs w:val="21"/>
                <w:highlight w:val="none"/>
              </w:rPr>
            </w:pPr>
            <w:r>
              <w:rPr>
                <w:rFonts w:eastAsia="宋体"/>
                <w:color w:val="auto"/>
                <w:sz w:val="21"/>
                <w:szCs w:val="21"/>
                <w:highlight w:val="none"/>
              </w:rPr>
              <w:t>总硬度</w:t>
            </w:r>
          </w:p>
          <w:p w14:paraId="30566AA7">
            <w:pPr>
              <w:pStyle w:val="98"/>
              <w:ind w:left="-105" w:right="-105"/>
              <w:rPr>
                <w:rFonts w:eastAsia="宋体"/>
                <w:color w:val="auto"/>
                <w:sz w:val="21"/>
                <w:szCs w:val="21"/>
                <w:highlight w:val="none"/>
              </w:rPr>
            </w:pPr>
            <w:r>
              <w:rPr>
                <w:rFonts w:eastAsia="宋体"/>
                <w:color w:val="auto"/>
                <w:position w:val="1"/>
                <w:sz w:val="21"/>
                <w:szCs w:val="21"/>
                <w:highlight w:val="none"/>
              </w:rPr>
              <w:t>（以CaCO</w:t>
            </w:r>
            <w:r>
              <w:rPr>
                <w:rFonts w:eastAsia="宋体"/>
                <w:color w:val="auto"/>
                <w:sz w:val="21"/>
                <w:szCs w:val="21"/>
                <w:highlight w:val="none"/>
                <w:vertAlign w:val="subscript"/>
              </w:rPr>
              <w:t>3</w:t>
            </w:r>
            <w:r>
              <w:rPr>
                <w:rFonts w:eastAsia="宋体"/>
                <w:color w:val="auto"/>
                <w:position w:val="1"/>
                <w:sz w:val="21"/>
                <w:szCs w:val="21"/>
                <w:highlight w:val="none"/>
              </w:rPr>
              <w:t>计）</w:t>
            </w:r>
          </w:p>
        </w:tc>
        <w:tc>
          <w:tcPr>
            <w:tcW w:w="1049" w:type="dxa"/>
            <w:vAlign w:val="center"/>
          </w:tcPr>
          <w:p w14:paraId="3CD2FBEA">
            <w:pPr>
              <w:pStyle w:val="98"/>
              <w:ind w:left="-105" w:right="-105"/>
              <w:rPr>
                <w:rFonts w:eastAsia="宋体"/>
                <w:color w:val="auto"/>
                <w:sz w:val="21"/>
                <w:szCs w:val="21"/>
                <w:highlight w:val="none"/>
              </w:rPr>
            </w:pPr>
            <w:r>
              <w:rPr>
                <w:rFonts w:eastAsia="宋体"/>
                <w:color w:val="auto"/>
                <w:sz w:val="21"/>
                <w:szCs w:val="21"/>
                <w:highlight w:val="none"/>
              </w:rPr>
              <w:t>≤150</w:t>
            </w:r>
          </w:p>
        </w:tc>
        <w:tc>
          <w:tcPr>
            <w:tcW w:w="1049" w:type="dxa"/>
            <w:vAlign w:val="center"/>
          </w:tcPr>
          <w:p w14:paraId="1515ACE3">
            <w:pPr>
              <w:pStyle w:val="98"/>
              <w:ind w:left="-105" w:right="-105"/>
              <w:rPr>
                <w:rFonts w:eastAsia="宋体"/>
                <w:color w:val="auto"/>
                <w:sz w:val="21"/>
                <w:szCs w:val="21"/>
                <w:highlight w:val="none"/>
              </w:rPr>
            </w:pPr>
            <w:r>
              <w:rPr>
                <w:rFonts w:eastAsia="宋体"/>
                <w:color w:val="auto"/>
                <w:sz w:val="21"/>
                <w:szCs w:val="21"/>
                <w:highlight w:val="none"/>
              </w:rPr>
              <w:t>≤300</w:t>
            </w:r>
          </w:p>
        </w:tc>
        <w:tc>
          <w:tcPr>
            <w:tcW w:w="1050" w:type="dxa"/>
            <w:vAlign w:val="center"/>
          </w:tcPr>
          <w:p w14:paraId="17ED7DF0">
            <w:pPr>
              <w:pStyle w:val="98"/>
              <w:ind w:left="-105" w:right="-105"/>
              <w:rPr>
                <w:rFonts w:eastAsia="宋体"/>
                <w:color w:val="auto"/>
                <w:sz w:val="21"/>
                <w:szCs w:val="21"/>
                <w:highlight w:val="none"/>
              </w:rPr>
            </w:pPr>
            <w:r>
              <w:rPr>
                <w:rFonts w:eastAsia="宋体"/>
                <w:color w:val="auto"/>
                <w:sz w:val="21"/>
                <w:szCs w:val="21"/>
                <w:highlight w:val="none"/>
              </w:rPr>
              <w:t>≤450</w:t>
            </w:r>
          </w:p>
        </w:tc>
        <w:tc>
          <w:tcPr>
            <w:tcW w:w="1665" w:type="dxa"/>
            <w:vAlign w:val="center"/>
          </w:tcPr>
          <w:p w14:paraId="7D25D75E">
            <w:pPr>
              <w:pStyle w:val="98"/>
              <w:ind w:left="-105" w:right="-105"/>
              <w:rPr>
                <w:rFonts w:eastAsia="宋体"/>
                <w:color w:val="auto"/>
                <w:sz w:val="21"/>
                <w:szCs w:val="21"/>
                <w:highlight w:val="none"/>
              </w:rPr>
            </w:pPr>
            <w:r>
              <w:rPr>
                <w:rFonts w:eastAsia="宋体"/>
                <w:color w:val="auto"/>
                <w:sz w:val="21"/>
                <w:szCs w:val="21"/>
                <w:highlight w:val="none"/>
              </w:rPr>
              <w:t>≤650</w:t>
            </w:r>
          </w:p>
        </w:tc>
        <w:tc>
          <w:tcPr>
            <w:tcW w:w="1332" w:type="dxa"/>
            <w:vAlign w:val="center"/>
          </w:tcPr>
          <w:p w14:paraId="5260D1A2">
            <w:pPr>
              <w:pStyle w:val="98"/>
              <w:ind w:left="-105" w:right="-105"/>
              <w:rPr>
                <w:rFonts w:eastAsia="宋体"/>
                <w:color w:val="auto"/>
                <w:sz w:val="21"/>
                <w:szCs w:val="21"/>
                <w:highlight w:val="none"/>
              </w:rPr>
            </w:pPr>
            <w:r>
              <w:rPr>
                <w:rFonts w:eastAsia="宋体"/>
                <w:color w:val="auto"/>
                <w:sz w:val="21"/>
                <w:szCs w:val="21"/>
                <w:highlight w:val="none"/>
              </w:rPr>
              <w:t>＞650</w:t>
            </w:r>
          </w:p>
        </w:tc>
      </w:tr>
      <w:tr w14:paraId="4B0E2EEB">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cantSplit/>
          <w:trHeight w:val="340" w:hRule="atLeast"/>
          <w:jc w:val="center"/>
        </w:trPr>
        <w:tc>
          <w:tcPr>
            <w:tcW w:w="825" w:type="dxa"/>
            <w:vAlign w:val="center"/>
          </w:tcPr>
          <w:p w14:paraId="535103B8">
            <w:pPr>
              <w:pStyle w:val="98"/>
              <w:numPr>
                <w:ilvl w:val="0"/>
                <w:numId w:val="12"/>
              </w:numPr>
              <w:ind w:left="-105" w:right="-105" w:firstLine="0"/>
              <w:rPr>
                <w:rFonts w:eastAsia="宋体"/>
                <w:color w:val="auto"/>
                <w:sz w:val="21"/>
                <w:szCs w:val="21"/>
                <w:highlight w:val="none"/>
              </w:rPr>
            </w:pPr>
          </w:p>
        </w:tc>
        <w:tc>
          <w:tcPr>
            <w:tcW w:w="1750" w:type="dxa"/>
            <w:vAlign w:val="center"/>
          </w:tcPr>
          <w:p w14:paraId="61786D55">
            <w:pPr>
              <w:pStyle w:val="98"/>
              <w:ind w:left="-105" w:right="-105"/>
              <w:rPr>
                <w:rFonts w:eastAsia="宋体"/>
                <w:color w:val="auto"/>
                <w:sz w:val="21"/>
                <w:szCs w:val="21"/>
                <w:highlight w:val="none"/>
              </w:rPr>
            </w:pPr>
            <w:r>
              <w:rPr>
                <w:rFonts w:eastAsia="宋体"/>
                <w:color w:val="auto"/>
                <w:sz w:val="21"/>
                <w:szCs w:val="21"/>
                <w:highlight w:val="none"/>
              </w:rPr>
              <w:t>铅</w:t>
            </w:r>
          </w:p>
        </w:tc>
        <w:tc>
          <w:tcPr>
            <w:tcW w:w="1049" w:type="dxa"/>
            <w:vAlign w:val="center"/>
          </w:tcPr>
          <w:p w14:paraId="16889E49">
            <w:pPr>
              <w:pStyle w:val="98"/>
              <w:ind w:left="-105" w:right="-105"/>
              <w:rPr>
                <w:rFonts w:eastAsia="宋体"/>
                <w:color w:val="auto"/>
                <w:sz w:val="21"/>
                <w:szCs w:val="21"/>
                <w:highlight w:val="none"/>
              </w:rPr>
            </w:pPr>
            <w:r>
              <w:rPr>
                <w:rFonts w:eastAsia="宋体"/>
                <w:color w:val="auto"/>
                <w:sz w:val="21"/>
                <w:szCs w:val="21"/>
                <w:highlight w:val="none"/>
              </w:rPr>
              <w:t>≤0.005</w:t>
            </w:r>
          </w:p>
        </w:tc>
        <w:tc>
          <w:tcPr>
            <w:tcW w:w="1049" w:type="dxa"/>
            <w:vAlign w:val="center"/>
          </w:tcPr>
          <w:p w14:paraId="0BC55492">
            <w:pPr>
              <w:pStyle w:val="98"/>
              <w:ind w:left="-105" w:right="-105"/>
              <w:rPr>
                <w:rFonts w:eastAsia="宋体"/>
                <w:color w:val="auto"/>
                <w:sz w:val="21"/>
                <w:szCs w:val="21"/>
                <w:highlight w:val="none"/>
              </w:rPr>
            </w:pPr>
            <w:r>
              <w:rPr>
                <w:rFonts w:eastAsia="宋体"/>
                <w:color w:val="auto"/>
                <w:sz w:val="21"/>
                <w:szCs w:val="21"/>
                <w:highlight w:val="none"/>
              </w:rPr>
              <w:t>≤0.005</w:t>
            </w:r>
          </w:p>
        </w:tc>
        <w:tc>
          <w:tcPr>
            <w:tcW w:w="1050" w:type="dxa"/>
            <w:vAlign w:val="center"/>
          </w:tcPr>
          <w:p w14:paraId="180470C8">
            <w:pPr>
              <w:pStyle w:val="98"/>
              <w:ind w:left="-105" w:right="-105"/>
              <w:rPr>
                <w:rFonts w:eastAsia="宋体"/>
                <w:color w:val="auto"/>
                <w:sz w:val="21"/>
                <w:szCs w:val="21"/>
                <w:highlight w:val="none"/>
              </w:rPr>
            </w:pPr>
            <w:r>
              <w:rPr>
                <w:rFonts w:eastAsia="宋体"/>
                <w:color w:val="auto"/>
                <w:sz w:val="21"/>
                <w:szCs w:val="21"/>
                <w:highlight w:val="none"/>
              </w:rPr>
              <w:t>≤0.01</w:t>
            </w:r>
          </w:p>
        </w:tc>
        <w:tc>
          <w:tcPr>
            <w:tcW w:w="1665" w:type="dxa"/>
            <w:vAlign w:val="center"/>
          </w:tcPr>
          <w:p w14:paraId="6DA87F32">
            <w:pPr>
              <w:pStyle w:val="98"/>
              <w:ind w:left="-105" w:right="-105"/>
              <w:rPr>
                <w:rFonts w:eastAsia="宋体"/>
                <w:color w:val="auto"/>
                <w:sz w:val="21"/>
                <w:szCs w:val="21"/>
                <w:highlight w:val="none"/>
              </w:rPr>
            </w:pPr>
            <w:r>
              <w:rPr>
                <w:rFonts w:eastAsia="宋体"/>
                <w:color w:val="auto"/>
                <w:sz w:val="21"/>
                <w:szCs w:val="21"/>
                <w:highlight w:val="none"/>
              </w:rPr>
              <w:t>≤0.1</w:t>
            </w:r>
          </w:p>
        </w:tc>
        <w:tc>
          <w:tcPr>
            <w:tcW w:w="1332" w:type="dxa"/>
            <w:vAlign w:val="center"/>
          </w:tcPr>
          <w:p w14:paraId="2A072397">
            <w:pPr>
              <w:pStyle w:val="98"/>
              <w:ind w:left="-105" w:right="-105"/>
              <w:rPr>
                <w:rFonts w:eastAsia="宋体"/>
                <w:color w:val="auto"/>
                <w:sz w:val="21"/>
                <w:szCs w:val="21"/>
                <w:highlight w:val="none"/>
              </w:rPr>
            </w:pPr>
            <w:r>
              <w:rPr>
                <w:rFonts w:eastAsia="宋体"/>
                <w:color w:val="auto"/>
                <w:sz w:val="21"/>
                <w:szCs w:val="21"/>
                <w:highlight w:val="none"/>
              </w:rPr>
              <w:t>＞0.1</w:t>
            </w:r>
          </w:p>
        </w:tc>
      </w:tr>
      <w:tr w14:paraId="520435CE">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cantSplit/>
          <w:trHeight w:val="340" w:hRule="atLeast"/>
          <w:jc w:val="center"/>
        </w:trPr>
        <w:tc>
          <w:tcPr>
            <w:tcW w:w="825" w:type="dxa"/>
            <w:vAlign w:val="center"/>
          </w:tcPr>
          <w:p w14:paraId="51B85132">
            <w:pPr>
              <w:pStyle w:val="98"/>
              <w:numPr>
                <w:ilvl w:val="0"/>
                <w:numId w:val="12"/>
              </w:numPr>
              <w:ind w:left="-105" w:right="-105" w:firstLine="0"/>
              <w:rPr>
                <w:rFonts w:eastAsia="宋体"/>
                <w:color w:val="auto"/>
                <w:sz w:val="21"/>
                <w:szCs w:val="21"/>
                <w:highlight w:val="none"/>
              </w:rPr>
            </w:pPr>
          </w:p>
        </w:tc>
        <w:tc>
          <w:tcPr>
            <w:tcW w:w="1750" w:type="dxa"/>
            <w:vAlign w:val="center"/>
          </w:tcPr>
          <w:p w14:paraId="7739627B">
            <w:pPr>
              <w:pStyle w:val="98"/>
              <w:ind w:left="-105" w:right="-105"/>
              <w:rPr>
                <w:rFonts w:eastAsia="宋体"/>
                <w:color w:val="auto"/>
                <w:sz w:val="21"/>
                <w:szCs w:val="21"/>
                <w:highlight w:val="none"/>
              </w:rPr>
            </w:pPr>
            <w:r>
              <w:rPr>
                <w:rFonts w:eastAsia="宋体"/>
                <w:color w:val="auto"/>
                <w:sz w:val="21"/>
                <w:szCs w:val="21"/>
                <w:highlight w:val="none"/>
              </w:rPr>
              <w:t>氟化物</w:t>
            </w:r>
          </w:p>
        </w:tc>
        <w:tc>
          <w:tcPr>
            <w:tcW w:w="1049" w:type="dxa"/>
            <w:vAlign w:val="center"/>
          </w:tcPr>
          <w:p w14:paraId="40F71B57">
            <w:pPr>
              <w:pStyle w:val="98"/>
              <w:ind w:left="-105" w:right="-105"/>
              <w:rPr>
                <w:rFonts w:eastAsia="宋体"/>
                <w:color w:val="auto"/>
                <w:sz w:val="21"/>
                <w:szCs w:val="21"/>
                <w:highlight w:val="none"/>
              </w:rPr>
            </w:pPr>
            <w:r>
              <w:rPr>
                <w:rFonts w:eastAsia="宋体"/>
                <w:color w:val="auto"/>
                <w:sz w:val="21"/>
                <w:szCs w:val="21"/>
                <w:highlight w:val="none"/>
              </w:rPr>
              <w:t>≤1.0</w:t>
            </w:r>
          </w:p>
        </w:tc>
        <w:tc>
          <w:tcPr>
            <w:tcW w:w="1049" w:type="dxa"/>
            <w:vAlign w:val="center"/>
          </w:tcPr>
          <w:p w14:paraId="6B27633E">
            <w:pPr>
              <w:pStyle w:val="98"/>
              <w:ind w:left="-105" w:right="-105"/>
              <w:rPr>
                <w:rFonts w:eastAsia="宋体"/>
                <w:color w:val="auto"/>
                <w:sz w:val="21"/>
                <w:szCs w:val="21"/>
                <w:highlight w:val="none"/>
              </w:rPr>
            </w:pPr>
            <w:r>
              <w:rPr>
                <w:rFonts w:eastAsia="宋体"/>
                <w:color w:val="auto"/>
                <w:sz w:val="21"/>
                <w:szCs w:val="21"/>
                <w:highlight w:val="none"/>
              </w:rPr>
              <w:t>≤1.0</w:t>
            </w:r>
          </w:p>
        </w:tc>
        <w:tc>
          <w:tcPr>
            <w:tcW w:w="1050" w:type="dxa"/>
            <w:vAlign w:val="center"/>
          </w:tcPr>
          <w:p w14:paraId="65F65C0E">
            <w:pPr>
              <w:pStyle w:val="98"/>
              <w:ind w:left="-105" w:right="-105"/>
              <w:rPr>
                <w:rFonts w:eastAsia="宋体"/>
                <w:color w:val="auto"/>
                <w:sz w:val="21"/>
                <w:szCs w:val="21"/>
                <w:highlight w:val="none"/>
              </w:rPr>
            </w:pPr>
            <w:r>
              <w:rPr>
                <w:rFonts w:eastAsia="宋体"/>
                <w:color w:val="auto"/>
                <w:sz w:val="21"/>
                <w:szCs w:val="21"/>
                <w:highlight w:val="none"/>
              </w:rPr>
              <w:t>≤1.0</w:t>
            </w:r>
          </w:p>
        </w:tc>
        <w:tc>
          <w:tcPr>
            <w:tcW w:w="1665" w:type="dxa"/>
            <w:vAlign w:val="center"/>
          </w:tcPr>
          <w:p w14:paraId="21793148">
            <w:pPr>
              <w:pStyle w:val="98"/>
              <w:ind w:left="-105" w:right="-105"/>
              <w:rPr>
                <w:rFonts w:eastAsia="宋体"/>
                <w:color w:val="auto"/>
                <w:sz w:val="21"/>
                <w:szCs w:val="21"/>
                <w:highlight w:val="none"/>
              </w:rPr>
            </w:pPr>
            <w:r>
              <w:rPr>
                <w:rFonts w:eastAsia="宋体"/>
                <w:color w:val="auto"/>
                <w:sz w:val="21"/>
                <w:szCs w:val="21"/>
                <w:highlight w:val="none"/>
              </w:rPr>
              <w:t>≤2.0</w:t>
            </w:r>
          </w:p>
        </w:tc>
        <w:tc>
          <w:tcPr>
            <w:tcW w:w="1332" w:type="dxa"/>
            <w:vAlign w:val="center"/>
          </w:tcPr>
          <w:p w14:paraId="7CBDC51D">
            <w:pPr>
              <w:pStyle w:val="98"/>
              <w:ind w:left="-105" w:right="-105"/>
              <w:rPr>
                <w:rFonts w:eastAsia="宋体"/>
                <w:color w:val="auto"/>
                <w:sz w:val="21"/>
                <w:szCs w:val="21"/>
                <w:highlight w:val="none"/>
              </w:rPr>
            </w:pPr>
            <w:r>
              <w:rPr>
                <w:rFonts w:eastAsia="宋体"/>
                <w:color w:val="auto"/>
                <w:sz w:val="21"/>
                <w:szCs w:val="21"/>
                <w:highlight w:val="none"/>
              </w:rPr>
              <w:t>＞2.0</w:t>
            </w:r>
          </w:p>
        </w:tc>
      </w:tr>
      <w:tr w14:paraId="34A1DDBA">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cantSplit/>
          <w:trHeight w:val="340" w:hRule="atLeast"/>
          <w:jc w:val="center"/>
        </w:trPr>
        <w:tc>
          <w:tcPr>
            <w:tcW w:w="825" w:type="dxa"/>
            <w:vAlign w:val="center"/>
          </w:tcPr>
          <w:p w14:paraId="3AE6A842">
            <w:pPr>
              <w:pStyle w:val="98"/>
              <w:numPr>
                <w:ilvl w:val="0"/>
                <w:numId w:val="12"/>
              </w:numPr>
              <w:ind w:left="-105" w:right="-105" w:firstLine="0"/>
              <w:rPr>
                <w:rFonts w:eastAsia="宋体"/>
                <w:color w:val="auto"/>
                <w:sz w:val="21"/>
                <w:szCs w:val="21"/>
                <w:highlight w:val="none"/>
              </w:rPr>
            </w:pPr>
          </w:p>
        </w:tc>
        <w:tc>
          <w:tcPr>
            <w:tcW w:w="1750" w:type="dxa"/>
            <w:vAlign w:val="center"/>
          </w:tcPr>
          <w:p w14:paraId="26F9F81D">
            <w:pPr>
              <w:pStyle w:val="98"/>
              <w:ind w:left="-105" w:right="-105"/>
              <w:rPr>
                <w:rFonts w:eastAsia="宋体"/>
                <w:color w:val="auto"/>
                <w:sz w:val="21"/>
                <w:szCs w:val="21"/>
                <w:highlight w:val="none"/>
              </w:rPr>
            </w:pPr>
            <w:r>
              <w:rPr>
                <w:rFonts w:eastAsia="宋体"/>
                <w:color w:val="auto"/>
                <w:sz w:val="21"/>
                <w:szCs w:val="21"/>
                <w:highlight w:val="none"/>
              </w:rPr>
              <w:t>镉</w:t>
            </w:r>
          </w:p>
        </w:tc>
        <w:tc>
          <w:tcPr>
            <w:tcW w:w="1049" w:type="dxa"/>
            <w:vAlign w:val="center"/>
          </w:tcPr>
          <w:p w14:paraId="3252C2D5">
            <w:pPr>
              <w:pStyle w:val="98"/>
              <w:ind w:left="-105" w:right="-105"/>
              <w:rPr>
                <w:rFonts w:eastAsia="宋体"/>
                <w:color w:val="auto"/>
                <w:sz w:val="21"/>
                <w:szCs w:val="21"/>
                <w:highlight w:val="none"/>
              </w:rPr>
            </w:pPr>
            <w:r>
              <w:rPr>
                <w:rFonts w:eastAsia="宋体"/>
                <w:color w:val="auto"/>
                <w:sz w:val="21"/>
                <w:szCs w:val="21"/>
                <w:highlight w:val="none"/>
              </w:rPr>
              <w:t>≤0.0001</w:t>
            </w:r>
          </w:p>
        </w:tc>
        <w:tc>
          <w:tcPr>
            <w:tcW w:w="1049" w:type="dxa"/>
            <w:vAlign w:val="center"/>
          </w:tcPr>
          <w:p w14:paraId="2DF46551">
            <w:pPr>
              <w:pStyle w:val="98"/>
              <w:ind w:left="-105" w:right="-105"/>
              <w:rPr>
                <w:rFonts w:eastAsia="宋体"/>
                <w:color w:val="auto"/>
                <w:sz w:val="21"/>
                <w:szCs w:val="21"/>
                <w:highlight w:val="none"/>
              </w:rPr>
            </w:pPr>
            <w:r>
              <w:rPr>
                <w:rFonts w:eastAsia="宋体"/>
                <w:color w:val="auto"/>
                <w:sz w:val="21"/>
                <w:szCs w:val="21"/>
                <w:highlight w:val="none"/>
              </w:rPr>
              <w:t>≤0.001</w:t>
            </w:r>
          </w:p>
        </w:tc>
        <w:tc>
          <w:tcPr>
            <w:tcW w:w="1050" w:type="dxa"/>
            <w:vAlign w:val="center"/>
          </w:tcPr>
          <w:p w14:paraId="7E2A433B">
            <w:pPr>
              <w:pStyle w:val="98"/>
              <w:ind w:left="-105" w:right="-105"/>
              <w:rPr>
                <w:rFonts w:eastAsia="宋体"/>
                <w:color w:val="auto"/>
                <w:sz w:val="21"/>
                <w:szCs w:val="21"/>
                <w:highlight w:val="none"/>
              </w:rPr>
            </w:pPr>
            <w:r>
              <w:rPr>
                <w:rFonts w:eastAsia="宋体"/>
                <w:color w:val="auto"/>
                <w:sz w:val="21"/>
                <w:szCs w:val="21"/>
                <w:highlight w:val="none"/>
              </w:rPr>
              <w:t>≤0.005</w:t>
            </w:r>
          </w:p>
        </w:tc>
        <w:tc>
          <w:tcPr>
            <w:tcW w:w="1665" w:type="dxa"/>
            <w:vAlign w:val="center"/>
          </w:tcPr>
          <w:p w14:paraId="364CB921">
            <w:pPr>
              <w:pStyle w:val="98"/>
              <w:ind w:left="-105" w:right="-105"/>
              <w:rPr>
                <w:rFonts w:eastAsia="宋体"/>
                <w:color w:val="auto"/>
                <w:sz w:val="21"/>
                <w:szCs w:val="21"/>
                <w:highlight w:val="none"/>
              </w:rPr>
            </w:pPr>
            <w:r>
              <w:rPr>
                <w:rFonts w:eastAsia="宋体"/>
                <w:color w:val="auto"/>
                <w:sz w:val="21"/>
                <w:szCs w:val="21"/>
                <w:highlight w:val="none"/>
              </w:rPr>
              <w:t>≤0.01</w:t>
            </w:r>
          </w:p>
        </w:tc>
        <w:tc>
          <w:tcPr>
            <w:tcW w:w="1332" w:type="dxa"/>
            <w:vAlign w:val="center"/>
          </w:tcPr>
          <w:p w14:paraId="3E8303B6">
            <w:pPr>
              <w:pStyle w:val="98"/>
              <w:ind w:left="-105" w:right="-105"/>
              <w:rPr>
                <w:rFonts w:eastAsia="宋体"/>
                <w:color w:val="auto"/>
                <w:sz w:val="21"/>
                <w:szCs w:val="21"/>
                <w:highlight w:val="none"/>
              </w:rPr>
            </w:pPr>
            <w:r>
              <w:rPr>
                <w:rFonts w:eastAsia="宋体"/>
                <w:color w:val="auto"/>
                <w:sz w:val="21"/>
                <w:szCs w:val="21"/>
                <w:highlight w:val="none"/>
              </w:rPr>
              <w:t>＞0.01</w:t>
            </w:r>
          </w:p>
        </w:tc>
      </w:tr>
      <w:tr w14:paraId="1B3CD730">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cantSplit/>
          <w:trHeight w:val="340" w:hRule="atLeast"/>
          <w:jc w:val="center"/>
        </w:trPr>
        <w:tc>
          <w:tcPr>
            <w:tcW w:w="825" w:type="dxa"/>
            <w:vAlign w:val="center"/>
          </w:tcPr>
          <w:p w14:paraId="018448A7">
            <w:pPr>
              <w:pStyle w:val="98"/>
              <w:numPr>
                <w:ilvl w:val="0"/>
                <w:numId w:val="12"/>
              </w:numPr>
              <w:ind w:left="-105" w:right="-105" w:firstLine="0"/>
              <w:rPr>
                <w:rFonts w:eastAsia="宋体"/>
                <w:color w:val="auto"/>
                <w:sz w:val="21"/>
                <w:szCs w:val="21"/>
                <w:highlight w:val="none"/>
              </w:rPr>
            </w:pPr>
          </w:p>
        </w:tc>
        <w:tc>
          <w:tcPr>
            <w:tcW w:w="1750" w:type="dxa"/>
            <w:vAlign w:val="center"/>
          </w:tcPr>
          <w:p w14:paraId="4EEB5C5A">
            <w:pPr>
              <w:pStyle w:val="98"/>
              <w:ind w:left="-105" w:right="-105"/>
              <w:rPr>
                <w:rFonts w:eastAsia="宋体"/>
                <w:color w:val="auto"/>
                <w:sz w:val="21"/>
                <w:szCs w:val="21"/>
                <w:highlight w:val="none"/>
              </w:rPr>
            </w:pPr>
            <w:r>
              <w:rPr>
                <w:rFonts w:eastAsia="宋体"/>
                <w:color w:val="auto"/>
                <w:sz w:val="21"/>
                <w:szCs w:val="21"/>
                <w:highlight w:val="none"/>
              </w:rPr>
              <w:t>铁</w:t>
            </w:r>
          </w:p>
        </w:tc>
        <w:tc>
          <w:tcPr>
            <w:tcW w:w="1049" w:type="dxa"/>
            <w:vAlign w:val="center"/>
          </w:tcPr>
          <w:p w14:paraId="4A97F8B0">
            <w:pPr>
              <w:pStyle w:val="98"/>
              <w:ind w:left="-105" w:right="-105"/>
              <w:rPr>
                <w:rFonts w:eastAsia="宋体"/>
                <w:color w:val="auto"/>
                <w:sz w:val="21"/>
                <w:szCs w:val="21"/>
                <w:highlight w:val="none"/>
              </w:rPr>
            </w:pPr>
            <w:r>
              <w:rPr>
                <w:rFonts w:eastAsia="宋体"/>
                <w:color w:val="auto"/>
                <w:sz w:val="21"/>
                <w:szCs w:val="21"/>
                <w:highlight w:val="none"/>
              </w:rPr>
              <w:t>≤0.1</w:t>
            </w:r>
          </w:p>
        </w:tc>
        <w:tc>
          <w:tcPr>
            <w:tcW w:w="1049" w:type="dxa"/>
            <w:vAlign w:val="center"/>
          </w:tcPr>
          <w:p w14:paraId="5E6403C4">
            <w:pPr>
              <w:pStyle w:val="98"/>
              <w:ind w:left="-105" w:right="-105"/>
              <w:rPr>
                <w:rFonts w:eastAsia="宋体"/>
                <w:color w:val="auto"/>
                <w:sz w:val="21"/>
                <w:szCs w:val="21"/>
                <w:highlight w:val="none"/>
              </w:rPr>
            </w:pPr>
            <w:r>
              <w:rPr>
                <w:rFonts w:eastAsia="宋体"/>
                <w:color w:val="auto"/>
                <w:sz w:val="21"/>
                <w:szCs w:val="21"/>
                <w:highlight w:val="none"/>
              </w:rPr>
              <w:t>≤0.2</w:t>
            </w:r>
          </w:p>
        </w:tc>
        <w:tc>
          <w:tcPr>
            <w:tcW w:w="1050" w:type="dxa"/>
            <w:vAlign w:val="center"/>
          </w:tcPr>
          <w:p w14:paraId="46ADE83E">
            <w:pPr>
              <w:pStyle w:val="98"/>
              <w:ind w:left="-105" w:right="-105"/>
              <w:rPr>
                <w:rFonts w:eastAsia="宋体"/>
                <w:color w:val="auto"/>
                <w:sz w:val="21"/>
                <w:szCs w:val="21"/>
                <w:highlight w:val="none"/>
              </w:rPr>
            </w:pPr>
            <w:r>
              <w:rPr>
                <w:rFonts w:eastAsia="宋体"/>
                <w:color w:val="auto"/>
                <w:sz w:val="21"/>
                <w:szCs w:val="21"/>
                <w:highlight w:val="none"/>
              </w:rPr>
              <w:t>≤0.3</w:t>
            </w:r>
          </w:p>
        </w:tc>
        <w:tc>
          <w:tcPr>
            <w:tcW w:w="1665" w:type="dxa"/>
            <w:vAlign w:val="center"/>
          </w:tcPr>
          <w:p w14:paraId="273EBA05">
            <w:pPr>
              <w:pStyle w:val="98"/>
              <w:ind w:left="-105" w:right="-105"/>
              <w:rPr>
                <w:rFonts w:eastAsia="宋体"/>
                <w:color w:val="auto"/>
                <w:sz w:val="21"/>
                <w:szCs w:val="21"/>
                <w:highlight w:val="none"/>
              </w:rPr>
            </w:pPr>
            <w:r>
              <w:rPr>
                <w:rFonts w:eastAsia="宋体"/>
                <w:color w:val="auto"/>
                <w:sz w:val="21"/>
                <w:szCs w:val="21"/>
                <w:highlight w:val="none"/>
              </w:rPr>
              <w:t>≤2.0</w:t>
            </w:r>
          </w:p>
        </w:tc>
        <w:tc>
          <w:tcPr>
            <w:tcW w:w="1332" w:type="dxa"/>
            <w:vAlign w:val="center"/>
          </w:tcPr>
          <w:p w14:paraId="5B870A32">
            <w:pPr>
              <w:pStyle w:val="98"/>
              <w:ind w:left="-105" w:right="-105"/>
              <w:rPr>
                <w:rFonts w:eastAsia="宋体"/>
                <w:color w:val="auto"/>
                <w:sz w:val="21"/>
                <w:szCs w:val="21"/>
                <w:highlight w:val="none"/>
              </w:rPr>
            </w:pPr>
            <w:r>
              <w:rPr>
                <w:rFonts w:eastAsia="宋体"/>
                <w:color w:val="auto"/>
                <w:sz w:val="21"/>
                <w:szCs w:val="21"/>
                <w:highlight w:val="none"/>
              </w:rPr>
              <w:t>＞2.0</w:t>
            </w:r>
          </w:p>
        </w:tc>
      </w:tr>
      <w:tr w14:paraId="0F2F5E49">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cantSplit/>
          <w:trHeight w:val="340" w:hRule="atLeast"/>
          <w:jc w:val="center"/>
        </w:trPr>
        <w:tc>
          <w:tcPr>
            <w:tcW w:w="825" w:type="dxa"/>
            <w:vAlign w:val="center"/>
          </w:tcPr>
          <w:p w14:paraId="22A49D79">
            <w:pPr>
              <w:pStyle w:val="98"/>
              <w:numPr>
                <w:ilvl w:val="0"/>
                <w:numId w:val="12"/>
              </w:numPr>
              <w:ind w:left="-105" w:right="-105" w:firstLine="0"/>
              <w:rPr>
                <w:rFonts w:eastAsia="宋体"/>
                <w:color w:val="auto"/>
                <w:sz w:val="21"/>
                <w:szCs w:val="21"/>
                <w:highlight w:val="none"/>
              </w:rPr>
            </w:pPr>
          </w:p>
        </w:tc>
        <w:tc>
          <w:tcPr>
            <w:tcW w:w="1750" w:type="dxa"/>
            <w:vAlign w:val="center"/>
          </w:tcPr>
          <w:p w14:paraId="774AE41D">
            <w:pPr>
              <w:pStyle w:val="98"/>
              <w:ind w:left="-105" w:right="-105"/>
              <w:rPr>
                <w:rFonts w:eastAsia="宋体"/>
                <w:color w:val="auto"/>
                <w:sz w:val="21"/>
                <w:szCs w:val="21"/>
                <w:highlight w:val="none"/>
              </w:rPr>
            </w:pPr>
            <w:r>
              <w:rPr>
                <w:rFonts w:eastAsia="宋体"/>
                <w:color w:val="auto"/>
                <w:sz w:val="21"/>
                <w:szCs w:val="21"/>
                <w:highlight w:val="none"/>
              </w:rPr>
              <w:t>锰</w:t>
            </w:r>
          </w:p>
        </w:tc>
        <w:tc>
          <w:tcPr>
            <w:tcW w:w="1049" w:type="dxa"/>
            <w:vAlign w:val="center"/>
          </w:tcPr>
          <w:p w14:paraId="7096E8E7">
            <w:pPr>
              <w:pStyle w:val="98"/>
              <w:ind w:left="-105" w:right="-105"/>
              <w:rPr>
                <w:rFonts w:eastAsia="宋体"/>
                <w:color w:val="auto"/>
                <w:sz w:val="21"/>
                <w:szCs w:val="21"/>
                <w:highlight w:val="none"/>
              </w:rPr>
            </w:pPr>
            <w:r>
              <w:rPr>
                <w:rFonts w:eastAsia="宋体"/>
                <w:color w:val="auto"/>
                <w:sz w:val="21"/>
                <w:szCs w:val="21"/>
                <w:highlight w:val="none"/>
              </w:rPr>
              <w:t>≤0.05</w:t>
            </w:r>
          </w:p>
        </w:tc>
        <w:tc>
          <w:tcPr>
            <w:tcW w:w="1049" w:type="dxa"/>
            <w:vAlign w:val="center"/>
          </w:tcPr>
          <w:p w14:paraId="5F950413">
            <w:pPr>
              <w:pStyle w:val="98"/>
              <w:ind w:left="-105" w:right="-105"/>
              <w:rPr>
                <w:rFonts w:eastAsia="宋体"/>
                <w:color w:val="auto"/>
                <w:sz w:val="21"/>
                <w:szCs w:val="21"/>
                <w:highlight w:val="none"/>
              </w:rPr>
            </w:pPr>
            <w:r>
              <w:rPr>
                <w:rFonts w:eastAsia="宋体"/>
                <w:color w:val="auto"/>
                <w:sz w:val="21"/>
                <w:szCs w:val="21"/>
                <w:highlight w:val="none"/>
              </w:rPr>
              <w:t>≤0.05</w:t>
            </w:r>
          </w:p>
        </w:tc>
        <w:tc>
          <w:tcPr>
            <w:tcW w:w="1050" w:type="dxa"/>
            <w:vAlign w:val="center"/>
          </w:tcPr>
          <w:p w14:paraId="406CC589">
            <w:pPr>
              <w:pStyle w:val="98"/>
              <w:ind w:left="-105" w:right="-105"/>
              <w:rPr>
                <w:rFonts w:eastAsia="宋体"/>
                <w:color w:val="auto"/>
                <w:sz w:val="21"/>
                <w:szCs w:val="21"/>
                <w:highlight w:val="none"/>
              </w:rPr>
            </w:pPr>
            <w:r>
              <w:rPr>
                <w:rFonts w:eastAsia="宋体"/>
                <w:color w:val="auto"/>
                <w:sz w:val="21"/>
                <w:szCs w:val="21"/>
                <w:highlight w:val="none"/>
              </w:rPr>
              <w:t>≤0.1</w:t>
            </w:r>
          </w:p>
        </w:tc>
        <w:tc>
          <w:tcPr>
            <w:tcW w:w="1665" w:type="dxa"/>
            <w:vAlign w:val="center"/>
          </w:tcPr>
          <w:p w14:paraId="70DEECBE">
            <w:pPr>
              <w:pStyle w:val="98"/>
              <w:ind w:left="-105" w:right="-105"/>
              <w:rPr>
                <w:rFonts w:eastAsia="宋体"/>
                <w:color w:val="auto"/>
                <w:sz w:val="21"/>
                <w:szCs w:val="21"/>
                <w:highlight w:val="none"/>
              </w:rPr>
            </w:pPr>
            <w:r>
              <w:rPr>
                <w:rFonts w:eastAsia="宋体"/>
                <w:color w:val="auto"/>
                <w:sz w:val="21"/>
                <w:szCs w:val="21"/>
                <w:highlight w:val="none"/>
              </w:rPr>
              <w:t>≤1.5</w:t>
            </w:r>
          </w:p>
        </w:tc>
        <w:tc>
          <w:tcPr>
            <w:tcW w:w="1332" w:type="dxa"/>
            <w:vAlign w:val="center"/>
          </w:tcPr>
          <w:p w14:paraId="6B61C703">
            <w:pPr>
              <w:pStyle w:val="98"/>
              <w:ind w:left="-105" w:right="-105"/>
              <w:rPr>
                <w:rFonts w:eastAsia="宋体"/>
                <w:color w:val="auto"/>
                <w:sz w:val="21"/>
                <w:szCs w:val="21"/>
                <w:highlight w:val="none"/>
              </w:rPr>
            </w:pPr>
            <w:r>
              <w:rPr>
                <w:rFonts w:eastAsia="宋体"/>
                <w:color w:val="auto"/>
                <w:sz w:val="21"/>
                <w:szCs w:val="21"/>
                <w:highlight w:val="none"/>
              </w:rPr>
              <w:t>＞1.5</w:t>
            </w:r>
          </w:p>
        </w:tc>
      </w:tr>
      <w:tr w14:paraId="130D6444">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cantSplit/>
          <w:trHeight w:val="340" w:hRule="atLeast"/>
          <w:jc w:val="center"/>
        </w:trPr>
        <w:tc>
          <w:tcPr>
            <w:tcW w:w="825" w:type="dxa"/>
            <w:vAlign w:val="center"/>
          </w:tcPr>
          <w:p w14:paraId="726790B6">
            <w:pPr>
              <w:pStyle w:val="98"/>
              <w:numPr>
                <w:ilvl w:val="0"/>
                <w:numId w:val="12"/>
              </w:numPr>
              <w:ind w:left="-105" w:right="-105" w:firstLine="0"/>
              <w:rPr>
                <w:rFonts w:eastAsia="宋体"/>
                <w:color w:val="auto"/>
                <w:sz w:val="21"/>
                <w:szCs w:val="21"/>
                <w:highlight w:val="none"/>
              </w:rPr>
            </w:pPr>
          </w:p>
        </w:tc>
        <w:tc>
          <w:tcPr>
            <w:tcW w:w="1750" w:type="dxa"/>
            <w:vAlign w:val="center"/>
          </w:tcPr>
          <w:p w14:paraId="1C03EA61">
            <w:pPr>
              <w:pStyle w:val="98"/>
              <w:ind w:left="-105" w:right="-105"/>
              <w:rPr>
                <w:rFonts w:eastAsia="宋体"/>
                <w:color w:val="auto"/>
                <w:sz w:val="21"/>
                <w:szCs w:val="21"/>
                <w:highlight w:val="none"/>
              </w:rPr>
            </w:pPr>
            <w:r>
              <w:rPr>
                <w:rFonts w:eastAsia="宋体"/>
                <w:color w:val="auto"/>
                <w:sz w:val="21"/>
                <w:szCs w:val="21"/>
                <w:highlight w:val="none"/>
              </w:rPr>
              <w:t>溶解性总固体</w:t>
            </w:r>
          </w:p>
        </w:tc>
        <w:tc>
          <w:tcPr>
            <w:tcW w:w="1049" w:type="dxa"/>
            <w:vAlign w:val="center"/>
          </w:tcPr>
          <w:p w14:paraId="619EFFA7">
            <w:pPr>
              <w:pStyle w:val="98"/>
              <w:ind w:left="-105" w:right="-105"/>
              <w:rPr>
                <w:rFonts w:eastAsia="宋体"/>
                <w:color w:val="auto"/>
                <w:sz w:val="21"/>
                <w:szCs w:val="21"/>
                <w:highlight w:val="none"/>
              </w:rPr>
            </w:pPr>
            <w:r>
              <w:rPr>
                <w:rFonts w:eastAsia="宋体"/>
                <w:color w:val="auto"/>
                <w:sz w:val="21"/>
                <w:szCs w:val="21"/>
                <w:highlight w:val="none"/>
              </w:rPr>
              <w:t>≤300</w:t>
            </w:r>
          </w:p>
        </w:tc>
        <w:tc>
          <w:tcPr>
            <w:tcW w:w="1049" w:type="dxa"/>
            <w:vAlign w:val="center"/>
          </w:tcPr>
          <w:p w14:paraId="679CF87B">
            <w:pPr>
              <w:pStyle w:val="98"/>
              <w:ind w:left="-105" w:right="-105"/>
              <w:rPr>
                <w:rFonts w:eastAsia="宋体"/>
                <w:color w:val="auto"/>
                <w:sz w:val="21"/>
                <w:szCs w:val="21"/>
                <w:highlight w:val="none"/>
              </w:rPr>
            </w:pPr>
            <w:r>
              <w:rPr>
                <w:rFonts w:eastAsia="宋体"/>
                <w:color w:val="auto"/>
                <w:sz w:val="21"/>
                <w:szCs w:val="21"/>
                <w:highlight w:val="none"/>
              </w:rPr>
              <w:t>≤500</w:t>
            </w:r>
          </w:p>
        </w:tc>
        <w:tc>
          <w:tcPr>
            <w:tcW w:w="1050" w:type="dxa"/>
            <w:vAlign w:val="center"/>
          </w:tcPr>
          <w:p w14:paraId="15E1135C">
            <w:pPr>
              <w:pStyle w:val="98"/>
              <w:ind w:left="-105" w:right="-105"/>
              <w:rPr>
                <w:rFonts w:eastAsia="宋体"/>
                <w:color w:val="auto"/>
                <w:sz w:val="21"/>
                <w:szCs w:val="21"/>
                <w:highlight w:val="none"/>
              </w:rPr>
            </w:pPr>
            <w:r>
              <w:rPr>
                <w:rFonts w:eastAsia="宋体"/>
                <w:color w:val="auto"/>
                <w:sz w:val="21"/>
                <w:szCs w:val="21"/>
                <w:highlight w:val="none"/>
              </w:rPr>
              <w:t>≤1000</w:t>
            </w:r>
          </w:p>
        </w:tc>
        <w:tc>
          <w:tcPr>
            <w:tcW w:w="1665" w:type="dxa"/>
            <w:vAlign w:val="center"/>
          </w:tcPr>
          <w:p w14:paraId="64C5510E">
            <w:pPr>
              <w:pStyle w:val="98"/>
              <w:ind w:left="-105" w:right="-105"/>
              <w:rPr>
                <w:rFonts w:eastAsia="宋体"/>
                <w:color w:val="auto"/>
                <w:sz w:val="21"/>
                <w:szCs w:val="21"/>
                <w:highlight w:val="none"/>
              </w:rPr>
            </w:pPr>
            <w:r>
              <w:rPr>
                <w:rFonts w:eastAsia="宋体"/>
                <w:color w:val="auto"/>
                <w:sz w:val="21"/>
                <w:szCs w:val="21"/>
                <w:highlight w:val="none"/>
              </w:rPr>
              <w:t>≤2000</w:t>
            </w:r>
          </w:p>
        </w:tc>
        <w:tc>
          <w:tcPr>
            <w:tcW w:w="1332" w:type="dxa"/>
            <w:vAlign w:val="center"/>
          </w:tcPr>
          <w:p w14:paraId="5AF13F0C">
            <w:pPr>
              <w:pStyle w:val="98"/>
              <w:ind w:left="-105" w:right="-105"/>
              <w:rPr>
                <w:rFonts w:eastAsia="宋体"/>
                <w:color w:val="auto"/>
                <w:sz w:val="21"/>
                <w:szCs w:val="21"/>
                <w:highlight w:val="none"/>
              </w:rPr>
            </w:pPr>
            <w:r>
              <w:rPr>
                <w:rFonts w:eastAsia="宋体"/>
                <w:color w:val="auto"/>
                <w:sz w:val="21"/>
                <w:szCs w:val="21"/>
                <w:highlight w:val="none"/>
              </w:rPr>
              <w:t>＞2000</w:t>
            </w:r>
          </w:p>
        </w:tc>
      </w:tr>
      <w:tr w14:paraId="6FA02F35">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cantSplit/>
          <w:trHeight w:val="340" w:hRule="atLeast"/>
          <w:jc w:val="center"/>
        </w:trPr>
        <w:tc>
          <w:tcPr>
            <w:tcW w:w="825" w:type="dxa"/>
            <w:vAlign w:val="center"/>
          </w:tcPr>
          <w:p w14:paraId="6FEF07C9">
            <w:pPr>
              <w:pStyle w:val="98"/>
              <w:numPr>
                <w:ilvl w:val="0"/>
                <w:numId w:val="12"/>
              </w:numPr>
              <w:ind w:left="-105" w:right="-105" w:firstLine="0"/>
              <w:rPr>
                <w:rFonts w:eastAsia="宋体"/>
                <w:color w:val="auto"/>
                <w:sz w:val="21"/>
                <w:szCs w:val="21"/>
                <w:highlight w:val="none"/>
              </w:rPr>
            </w:pPr>
          </w:p>
        </w:tc>
        <w:tc>
          <w:tcPr>
            <w:tcW w:w="1750" w:type="dxa"/>
            <w:vAlign w:val="center"/>
          </w:tcPr>
          <w:p w14:paraId="30F65D64">
            <w:pPr>
              <w:pStyle w:val="98"/>
              <w:ind w:left="-105" w:right="-105"/>
              <w:rPr>
                <w:rFonts w:eastAsia="宋体"/>
                <w:color w:val="auto"/>
                <w:sz w:val="21"/>
                <w:szCs w:val="21"/>
                <w:highlight w:val="none"/>
              </w:rPr>
            </w:pPr>
            <w:r>
              <w:rPr>
                <w:rFonts w:eastAsia="宋体"/>
                <w:color w:val="auto"/>
                <w:sz w:val="21"/>
                <w:szCs w:val="21"/>
                <w:highlight w:val="none"/>
              </w:rPr>
              <w:t>耗氧量</w:t>
            </w:r>
          </w:p>
        </w:tc>
        <w:tc>
          <w:tcPr>
            <w:tcW w:w="1049" w:type="dxa"/>
            <w:vAlign w:val="center"/>
          </w:tcPr>
          <w:p w14:paraId="03D5000C">
            <w:pPr>
              <w:pStyle w:val="98"/>
              <w:ind w:left="-105" w:right="-105"/>
              <w:rPr>
                <w:rFonts w:eastAsia="宋体"/>
                <w:color w:val="auto"/>
                <w:sz w:val="21"/>
                <w:szCs w:val="21"/>
                <w:highlight w:val="none"/>
              </w:rPr>
            </w:pPr>
            <w:r>
              <w:rPr>
                <w:rFonts w:eastAsia="宋体"/>
                <w:bCs/>
                <w:color w:val="auto"/>
                <w:sz w:val="21"/>
                <w:szCs w:val="21"/>
                <w:highlight w:val="none"/>
              </w:rPr>
              <w:t>≤1.0</w:t>
            </w:r>
          </w:p>
        </w:tc>
        <w:tc>
          <w:tcPr>
            <w:tcW w:w="1049" w:type="dxa"/>
            <w:vAlign w:val="center"/>
          </w:tcPr>
          <w:p w14:paraId="6ECF2C19">
            <w:pPr>
              <w:pStyle w:val="98"/>
              <w:ind w:left="-105" w:right="-105"/>
              <w:rPr>
                <w:rFonts w:eastAsia="宋体"/>
                <w:color w:val="auto"/>
                <w:sz w:val="21"/>
                <w:szCs w:val="21"/>
                <w:highlight w:val="none"/>
              </w:rPr>
            </w:pPr>
            <w:r>
              <w:rPr>
                <w:rFonts w:eastAsia="宋体"/>
                <w:bCs/>
                <w:color w:val="auto"/>
                <w:sz w:val="21"/>
                <w:szCs w:val="21"/>
                <w:highlight w:val="none"/>
              </w:rPr>
              <w:t>≤2.0</w:t>
            </w:r>
          </w:p>
        </w:tc>
        <w:tc>
          <w:tcPr>
            <w:tcW w:w="1050" w:type="dxa"/>
            <w:vAlign w:val="center"/>
          </w:tcPr>
          <w:p w14:paraId="158C292E">
            <w:pPr>
              <w:pStyle w:val="98"/>
              <w:ind w:left="-105" w:right="-105"/>
              <w:rPr>
                <w:rFonts w:eastAsia="宋体"/>
                <w:color w:val="auto"/>
                <w:sz w:val="21"/>
                <w:szCs w:val="21"/>
                <w:highlight w:val="none"/>
              </w:rPr>
            </w:pPr>
            <w:r>
              <w:rPr>
                <w:rFonts w:eastAsia="宋体"/>
                <w:bCs/>
                <w:color w:val="auto"/>
                <w:sz w:val="21"/>
                <w:szCs w:val="21"/>
                <w:highlight w:val="none"/>
              </w:rPr>
              <w:t>≤3.0</w:t>
            </w:r>
          </w:p>
        </w:tc>
        <w:tc>
          <w:tcPr>
            <w:tcW w:w="1665" w:type="dxa"/>
            <w:vAlign w:val="center"/>
          </w:tcPr>
          <w:p w14:paraId="30C48CF7">
            <w:pPr>
              <w:pStyle w:val="98"/>
              <w:ind w:left="-105" w:right="-105"/>
              <w:rPr>
                <w:rFonts w:eastAsia="宋体"/>
                <w:color w:val="auto"/>
                <w:sz w:val="21"/>
                <w:szCs w:val="21"/>
                <w:highlight w:val="none"/>
              </w:rPr>
            </w:pPr>
            <w:r>
              <w:rPr>
                <w:rFonts w:eastAsia="宋体"/>
                <w:bCs/>
                <w:color w:val="auto"/>
                <w:sz w:val="21"/>
                <w:szCs w:val="21"/>
                <w:highlight w:val="none"/>
              </w:rPr>
              <w:t>≤10</w:t>
            </w:r>
          </w:p>
        </w:tc>
        <w:tc>
          <w:tcPr>
            <w:tcW w:w="1332" w:type="dxa"/>
            <w:vAlign w:val="center"/>
          </w:tcPr>
          <w:p w14:paraId="0B7A963A">
            <w:pPr>
              <w:pStyle w:val="98"/>
              <w:ind w:left="-105" w:right="-105"/>
              <w:rPr>
                <w:rFonts w:eastAsia="宋体"/>
                <w:color w:val="auto"/>
                <w:sz w:val="21"/>
                <w:szCs w:val="21"/>
                <w:highlight w:val="none"/>
              </w:rPr>
            </w:pPr>
            <w:r>
              <w:rPr>
                <w:rFonts w:eastAsia="宋体"/>
                <w:bCs/>
                <w:color w:val="auto"/>
                <w:sz w:val="21"/>
                <w:szCs w:val="21"/>
                <w:highlight w:val="none"/>
              </w:rPr>
              <w:t>＞10</w:t>
            </w:r>
          </w:p>
        </w:tc>
      </w:tr>
      <w:tr w14:paraId="40DBE89D">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cantSplit/>
          <w:trHeight w:val="340" w:hRule="atLeast"/>
          <w:jc w:val="center"/>
        </w:trPr>
        <w:tc>
          <w:tcPr>
            <w:tcW w:w="825" w:type="dxa"/>
            <w:vAlign w:val="center"/>
          </w:tcPr>
          <w:p w14:paraId="5B3D824B">
            <w:pPr>
              <w:pStyle w:val="98"/>
              <w:numPr>
                <w:ilvl w:val="0"/>
                <w:numId w:val="12"/>
              </w:numPr>
              <w:ind w:left="-105" w:right="-105" w:firstLine="0"/>
              <w:rPr>
                <w:rFonts w:eastAsia="宋体"/>
                <w:color w:val="auto"/>
                <w:sz w:val="21"/>
                <w:szCs w:val="21"/>
                <w:highlight w:val="none"/>
              </w:rPr>
            </w:pPr>
          </w:p>
        </w:tc>
        <w:tc>
          <w:tcPr>
            <w:tcW w:w="1750" w:type="dxa"/>
            <w:vAlign w:val="center"/>
          </w:tcPr>
          <w:p w14:paraId="7ECB2DAD">
            <w:pPr>
              <w:pStyle w:val="98"/>
              <w:ind w:left="-105" w:right="-105"/>
              <w:rPr>
                <w:rFonts w:eastAsia="宋体"/>
                <w:color w:val="auto"/>
                <w:sz w:val="21"/>
                <w:szCs w:val="21"/>
                <w:highlight w:val="none"/>
              </w:rPr>
            </w:pPr>
            <w:r>
              <w:rPr>
                <w:rFonts w:eastAsia="宋体"/>
                <w:color w:val="auto"/>
                <w:sz w:val="21"/>
                <w:szCs w:val="21"/>
                <w:highlight w:val="none"/>
              </w:rPr>
              <w:t>锌</w:t>
            </w:r>
          </w:p>
        </w:tc>
        <w:tc>
          <w:tcPr>
            <w:tcW w:w="1049" w:type="dxa"/>
            <w:vAlign w:val="center"/>
          </w:tcPr>
          <w:p w14:paraId="0906BF75">
            <w:pPr>
              <w:pStyle w:val="98"/>
              <w:ind w:left="-105" w:right="-105"/>
              <w:rPr>
                <w:rFonts w:eastAsia="宋体"/>
                <w:color w:val="auto"/>
                <w:sz w:val="21"/>
                <w:szCs w:val="21"/>
                <w:highlight w:val="none"/>
              </w:rPr>
            </w:pPr>
            <w:r>
              <w:rPr>
                <w:rFonts w:eastAsia="宋体"/>
                <w:color w:val="auto"/>
                <w:sz w:val="21"/>
                <w:szCs w:val="21"/>
                <w:highlight w:val="none"/>
              </w:rPr>
              <w:t>≤0.05</w:t>
            </w:r>
          </w:p>
        </w:tc>
        <w:tc>
          <w:tcPr>
            <w:tcW w:w="1049" w:type="dxa"/>
            <w:vAlign w:val="center"/>
          </w:tcPr>
          <w:p w14:paraId="593C77E2">
            <w:pPr>
              <w:pStyle w:val="98"/>
              <w:ind w:left="-105" w:right="-105"/>
              <w:rPr>
                <w:rFonts w:eastAsia="宋体"/>
                <w:color w:val="auto"/>
                <w:sz w:val="21"/>
                <w:szCs w:val="21"/>
                <w:highlight w:val="none"/>
              </w:rPr>
            </w:pPr>
            <w:r>
              <w:rPr>
                <w:rFonts w:eastAsia="宋体"/>
                <w:color w:val="auto"/>
                <w:sz w:val="21"/>
                <w:szCs w:val="21"/>
                <w:highlight w:val="none"/>
              </w:rPr>
              <w:t>≤0.5</w:t>
            </w:r>
          </w:p>
        </w:tc>
        <w:tc>
          <w:tcPr>
            <w:tcW w:w="1050" w:type="dxa"/>
            <w:vAlign w:val="center"/>
          </w:tcPr>
          <w:p w14:paraId="225C7D68">
            <w:pPr>
              <w:pStyle w:val="98"/>
              <w:ind w:left="-105" w:right="-105"/>
              <w:rPr>
                <w:rFonts w:eastAsia="宋体"/>
                <w:color w:val="auto"/>
                <w:sz w:val="21"/>
                <w:szCs w:val="21"/>
                <w:highlight w:val="none"/>
              </w:rPr>
            </w:pPr>
            <w:r>
              <w:rPr>
                <w:rFonts w:eastAsia="宋体"/>
                <w:color w:val="auto"/>
                <w:sz w:val="21"/>
                <w:szCs w:val="21"/>
                <w:highlight w:val="none"/>
              </w:rPr>
              <w:t>≤1.0</w:t>
            </w:r>
          </w:p>
        </w:tc>
        <w:tc>
          <w:tcPr>
            <w:tcW w:w="1665" w:type="dxa"/>
            <w:vAlign w:val="center"/>
          </w:tcPr>
          <w:p w14:paraId="7459DEFB">
            <w:pPr>
              <w:pStyle w:val="98"/>
              <w:ind w:left="-105" w:right="-105"/>
              <w:rPr>
                <w:rFonts w:eastAsia="宋体"/>
                <w:color w:val="auto"/>
                <w:sz w:val="21"/>
                <w:szCs w:val="21"/>
                <w:highlight w:val="none"/>
              </w:rPr>
            </w:pPr>
            <w:r>
              <w:rPr>
                <w:rFonts w:eastAsia="宋体"/>
                <w:color w:val="auto"/>
                <w:sz w:val="21"/>
                <w:szCs w:val="21"/>
                <w:highlight w:val="none"/>
              </w:rPr>
              <w:t>≤5.0</w:t>
            </w:r>
          </w:p>
        </w:tc>
        <w:tc>
          <w:tcPr>
            <w:tcW w:w="1332" w:type="dxa"/>
            <w:vAlign w:val="center"/>
          </w:tcPr>
          <w:p w14:paraId="7066D7AB">
            <w:pPr>
              <w:pStyle w:val="98"/>
              <w:ind w:left="-105" w:right="-105"/>
              <w:rPr>
                <w:rFonts w:eastAsia="宋体"/>
                <w:color w:val="auto"/>
                <w:sz w:val="21"/>
                <w:szCs w:val="21"/>
                <w:highlight w:val="none"/>
              </w:rPr>
            </w:pPr>
            <w:r>
              <w:rPr>
                <w:rFonts w:eastAsia="宋体"/>
                <w:color w:val="auto"/>
                <w:sz w:val="21"/>
                <w:szCs w:val="21"/>
                <w:highlight w:val="none"/>
              </w:rPr>
              <w:t>＞5.0</w:t>
            </w:r>
          </w:p>
        </w:tc>
      </w:tr>
      <w:tr w14:paraId="24FD7DFD">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cantSplit/>
          <w:trHeight w:val="340" w:hRule="atLeast"/>
          <w:jc w:val="center"/>
        </w:trPr>
        <w:tc>
          <w:tcPr>
            <w:tcW w:w="825" w:type="dxa"/>
            <w:vAlign w:val="center"/>
          </w:tcPr>
          <w:p w14:paraId="654D8202">
            <w:pPr>
              <w:pStyle w:val="98"/>
              <w:numPr>
                <w:ilvl w:val="0"/>
                <w:numId w:val="12"/>
              </w:numPr>
              <w:ind w:left="-105" w:right="-105" w:firstLine="0"/>
              <w:rPr>
                <w:rFonts w:eastAsia="宋体"/>
                <w:color w:val="auto"/>
                <w:sz w:val="21"/>
                <w:szCs w:val="21"/>
                <w:highlight w:val="none"/>
              </w:rPr>
            </w:pPr>
          </w:p>
        </w:tc>
        <w:tc>
          <w:tcPr>
            <w:tcW w:w="1750" w:type="dxa"/>
            <w:vAlign w:val="center"/>
          </w:tcPr>
          <w:p w14:paraId="35F5F8CA">
            <w:pPr>
              <w:pStyle w:val="98"/>
              <w:ind w:left="-105" w:right="-105"/>
              <w:rPr>
                <w:rFonts w:eastAsia="宋体"/>
                <w:color w:val="auto"/>
                <w:sz w:val="21"/>
                <w:szCs w:val="21"/>
                <w:highlight w:val="none"/>
              </w:rPr>
            </w:pPr>
            <w:r>
              <w:rPr>
                <w:rFonts w:eastAsia="宋体"/>
                <w:color w:val="auto"/>
                <w:sz w:val="21"/>
                <w:szCs w:val="21"/>
                <w:highlight w:val="none"/>
              </w:rPr>
              <w:t>镍</w:t>
            </w:r>
          </w:p>
        </w:tc>
        <w:tc>
          <w:tcPr>
            <w:tcW w:w="1049" w:type="dxa"/>
            <w:vAlign w:val="center"/>
          </w:tcPr>
          <w:p w14:paraId="4616EC63">
            <w:pPr>
              <w:pStyle w:val="98"/>
              <w:ind w:left="-105" w:right="-105"/>
              <w:rPr>
                <w:rFonts w:eastAsia="宋体"/>
                <w:color w:val="auto"/>
                <w:sz w:val="21"/>
                <w:szCs w:val="21"/>
                <w:highlight w:val="none"/>
              </w:rPr>
            </w:pPr>
            <w:r>
              <w:rPr>
                <w:rFonts w:eastAsia="宋体"/>
                <w:color w:val="auto"/>
                <w:sz w:val="21"/>
                <w:szCs w:val="21"/>
                <w:highlight w:val="none"/>
              </w:rPr>
              <w:t>≤0.002</w:t>
            </w:r>
          </w:p>
        </w:tc>
        <w:tc>
          <w:tcPr>
            <w:tcW w:w="1049" w:type="dxa"/>
            <w:vAlign w:val="center"/>
          </w:tcPr>
          <w:p w14:paraId="5AEED4C3">
            <w:pPr>
              <w:pStyle w:val="98"/>
              <w:ind w:left="-105" w:right="-105"/>
              <w:rPr>
                <w:rFonts w:eastAsia="宋体"/>
                <w:color w:val="auto"/>
                <w:sz w:val="21"/>
                <w:szCs w:val="21"/>
                <w:highlight w:val="none"/>
              </w:rPr>
            </w:pPr>
            <w:r>
              <w:rPr>
                <w:rFonts w:eastAsia="宋体"/>
                <w:color w:val="auto"/>
                <w:sz w:val="21"/>
                <w:szCs w:val="21"/>
                <w:highlight w:val="none"/>
              </w:rPr>
              <w:t>≤0.002</w:t>
            </w:r>
          </w:p>
        </w:tc>
        <w:tc>
          <w:tcPr>
            <w:tcW w:w="1050" w:type="dxa"/>
            <w:vAlign w:val="center"/>
          </w:tcPr>
          <w:p w14:paraId="54A6BE1E">
            <w:pPr>
              <w:pStyle w:val="98"/>
              <w:ind w:left="-105" w:right="-105"/>
              <w:rPr>
                <w:rFonts w:eastAsia="宋体"/>
                <w:color w:val="auto"/>
                <w:sz w:val="21"/>
                <w:szCs w:val="21"/>
                <w:highlight w:val="none"/>
              </w:rPr>
            </w:pPr>
            <w:r>
              <w:rPr>
                <w:rFonts w:eastAsia="宋体"/>
                <w:color w:val="auto"/>
                <w:sz w:val="21"/>
                <w:szCs w:val="21"/>
                <w:highlight w:val="none"/>
              </w:rPr>
              <w:t>≤0.02</w:t>
            </w:r>
          </w:p>
        </w:tc>
        <w:tc>
          <w:tcPr>
            <w:tcW w:w="1665" w:type="dxa"/>
            <w:vAlign w:val="center"/>
          </w:tcPr>
          <w:p w14:paraId="165D7366">
            <w:pPr>
              <w:pStyle w:val="98"/>
              <w:ind w:left="-105" w:right="-105"/>
              <w:rPr>
                <w:rFonts w:eastAsia="宋体"/>
                <w:color w:val="auto"/>
                <w:sz w:val="21"/>
                <w:szCs w:val="21"/>
                <w:highlight w:val="none"/>
              </w:rPr>
            </w:pPr>
            <w:r>
              <w:rPr>
                <w:rFonts w:eastAsia="宋体"/>
                <w:color w:val="auto"/>
                <w:sz w:val="21"/>
                <w:szCs w:val="21"/>
                <w:highlight w:val="none"/>
              </w:rPr>
              <w:t>≤0.1</w:t>
            </w:r>
          </w:p>
        </w:tc>
        <w:tc>
          <w:tcPr>
            <w:tcW w:w="1332" w:type="dxa"/>
            <w:vAlign w:val="center"/>
          </w:tcPr>
          <w:p w14:paraId="79C8984F">
            <w:pPr>
              <w:pStyle w:val="98"/>
              <w:ind w:left="-105" w:right="-105"/>
              <w:rPr>
                <w:rFonts w:eastAsia="宋体"/>
                <w:color w:val="auto"/>
                <w:sz w:val="21"/>
                <w:szCs w:val="21"/>
                <w:highlight w:val="none"/>
              </w:rPr>
            </w:pPr>
            <w:r>
              <w:rPr>
                <w:rFonts w:eastAsia="宋体"/>
                <w:color w:val="auto"/>
                <w:sz w:val="21"/>
                <w:szCs w:val="21"/>
                <w:highlight w:val="none"/>
              </w:rPr>
              <w:t>＞0.1</w:t>
            </w:r>
          </w:p>
        </w:tc>
      </w:tr>
      <w:tr w14:paraId="359246F8">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cantSplit/>
          <w:trHeight w:val="340" w:hRule="atLeast"/>
          <w:jc w:val="center"/>
        </w:trPr>
        <w:tc>
          <w:tcPr>
            <w:tcW w:w="825" w:type="dxa"/>
            <w:vAlign w:val="center"/>
          </w:tcPr>
          <w:p w14:paraId="5E491364">
            <w:pPr>
              <w:pStyle w:val="98"/>
              <w:numPr>
                <w:ilvl w:val="0"/>
                <w:numId w:val="12"/>
              </w:numPr>
              <w:ind w:left="-105" w:right="-105" w:firstLine="0"/>
              <w:rPr>
                <w:rFonts w:eastAsia="宋体"/>
                <w:color w:val="auto"/>
                <w:sz w:val="21"/>
                <w:szCs w:val="21"/>
                <w:highlight w:val="none"/>
              </w:rPr>
            </w:pPr>
          </w:p>
        </w:tc>
        <w:tc>
          <w:tcPr>
            <w:tcW w:w="1750" w:type="dxa"/>
            <w:vAlign w:val="center"/>
          </w:tcPr>
          <w:p w14:paraId="0216B88A">
            <w:pPr>
              <w:pStyle w:val="98"/>
              <w:ind w:left="-105" w:right="-105"/>
              <w:rPr>
                <w:rFonts w:eastAsia="宋体"/>
                <w:color w:val="auto"/>
                <w:sz w:val="21"/>
                <w:szCs w:val="21"/>
                <w:highlight w:val="none"/>
              </w:rPr>
            </w:pPr>
            <w:r>
              <w:rPr>
                <w:rFonts w:eastAsia="宋体"/>
                <w:color w:val="auto"/>
                <w:sz w:val="21"/>
                <w:szCs w:val="21"/>
                <w:highlight w:val="none"/>
              </w:rPr>
              <w:t>氯乙烯</w:t>
            </w:r>
          </w:p>
        </w:tc>
        <w:tc>
          <w:tcPr>
            <w:tcW w:w="1049" w:type="dxa"/>
            <w:vAlign w:val="center"/>
          </w:tcPr>
          <w:p w14:paraId="229435F6">
            <w:pPr>
              <w:pStyle w:val="98"/>
              <w:ind w:left="-105" w:right="-105"/>
              <w:rPr>
                <w:rFonts w:eastAsia="宋体"/>
                <w:color w:val="auto"/>
                <w:sz w:val="21"/>
                <w:szCs w:val="21"/>
                <w:highlight w:val="none"/>
              </w:rPr>
            </w:pPr>
            <w:r>
              <w:rPr>
                <w:rFonts w:eastAsia="宋体"/>
                <w:color w:val="auto"/>
                <w:sz w:val="21"/>
                <w:szCs w:val="21"/>
                <w:highlight w:val="none"/>
              </w:rPr>
              <w:t>≤0.5</w:t>
            </w:r>
          </w:p>
        </w:tc>
        <w:tc>
          <w:tcPr>
            <w:tcW w:w="1049" w:type="dxa"/>
            <w:vAlign w:val="center"/>
          </w:tcPr>
          <w:p w14:paraId="3EE598C1">
            <w:pPr>
              <w:pStyle w:val="98"/>
              <w:ind w:left="-105" w:right="-105"/>
              <w:rPr>
                <w:rFonts w:eastAsia="宋体"/>
                <w:color w:val="auto"/>
                <w:sz w:val="21"/>
                <w:szCs w:val="21"/>
                <w:highlight w:val="none"/>
              </w:rPr>
            </w:pPr>
            <w:r>
              <w:rPr>
                <w:rFonts w:eastAsia="宋体"/>
                <w:color w:val="auto"/>
                <w:sz w:val="21"/>
                <w:szCs w:val="21"/>
                <w:highlight w:val="none"/>
              </w:rPr>
              <w:t>≤0.5</w:t>
            </w:r>
          </w:p>
        </w:tc>
        <w:tc>
          <w:tcPr>
            <w:tcW w:w="1050" w:type="dxa"/>
            <w:vAlign w:val="center"/>
          </w:tcPr>
          <w:p w14:paraId="5ABAF127">
            <w:pPr>
              <w:pStyle w:val="98"/>
              <w:ind w:left="-105" w:right="-105"/>
              <w:rPr>
                <w:rFonts w:eastAsia="宋体"/>
                <w:color w:val="auto"/>
                <w:sz w:val="21"/>
                <w:szCs w:val="21"/>
                <w:highlight w:val="none"/>
              </w:rPr>
            </w:pPr>
            <w:r>
              <w:rPr>
                <w:rFonts w:eastAsia="宋体"/>
                <w:color w:val="auto"/>
                <w:sz w:val="21"/>
                <w:szCs w:val="21"/>
                <w:highlight w:val="none"/>
              </w:rPr>
              <w:t>≤5.0</w:t>
            </w:r>
          </w:p>
        </w:tc>
        <w:tc>
          <w:tcPr>
            <w:tcW w:w="1665" w:type="dxa"/>
            <w:vAlign w:val="center"/>
          </w:tcPr>
          <w:p w14:paraId="487B0295">
            <w:pPr>
              <w:pStyle w:val="98"/>
              <w:ind w:left="-105" w:right="-105"/>
              <w:rPr>
                <w:rFonts w:eastAsia="宋体"/>
                <w:color w:val="auto"/>
                <w:sz w:val="21"/>
                <w:szCs w:val="21"/>
                <w:highlight w:val="none"/>
              </w:rPr>
            </w:pPr>
            <w:r>
              <w:rPr>
                <w:rFonts w:eastAsia="宋体"/>
                <w:color w:val="auto"/>
                <w:sz w:val="21"/>
                <w:szCs w:val="21"/>
                <w:highlight w:val="none"/>
              </w:rPr>
              <w:t>≤90.0</w:t>
            </w:r>
          </w:p>
        </w:tc>
        <w:tc>
          <w:tcPr>
            <w:tcW w:w="1332" w:type="dxa"/>
            <w:vAlign w:val="center"/>
          </w:tcPr>
          <w:p w14:paraId="02715D5D">
            <w:pPr>
              <w:pStyle w:val="98"/>
              <w:ind w:left="-105" w:right="-105"/>
              <w:rPr>
                <w:rFonts w:eastAsia="宋体"/>
                <w:color w:val="auto"/>
                <w:sz w:val="21"/>
                <w:szCs w:val="21"/>
                <w:highlight w:val="none"/>
              </w:rPr>
            </w:pPr>
            <w:r>
              <w:rPr>
                <w:rFonts w:eastAsia="宋体"/>
                <w:color w:val="auto"/>
                <w:sz w:val="21"/>
                <w:szCs w:val="21"/>
                <w:highlight w:val="none"/>
              </w:rPr>
              <w:t>＞90.0</w:t>
            </w:r>
          </w:p>
        </w:tc>
      </w:tr>
      <w:tr w14:paraId="26ADEF98">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cantSplit/>
          <w:trHeight w:val="340" w:hRule="atLeast"/>
          <w:jc w:val="center"/>
        </w:trPr>
        <w:tc>
          <w:tcPr>
            <w:tcW w:w="825" w:type="dxa"/>
            <w:vAlign w:val="center"/>
          </w:tcPr>
          <w:p w14:paraId="4AD4A812">
            <w:pPr>
              <w:pStyle w:val="98"/>
              <w:numPr>
                <w:ilvl w:val="0"/>
                <w:numId w:val="12"/>
              </w:numPr>
              <w:ind w:left="-105" w:right="-105" w:firstLine="0"/>
              <w:rPr>
                <w:rFonts w:eastAsia="宋体"/>
                <w:color w:val="auto"/>
                <w:sz w:val="21"/>
                <w:szCs w:val="21"/>
                <w:highlight w:val="none"/>
              </w:rPr>
            </w:pPr>
          </w:p>
        </w:tc>
        <w:tc>
          <w:tcPr>
            <w:tcW w:w="1750" w:type="dxa"/>
            <w:vAlign w:val="center"/>
          </w:tcPr>
          <w:p w14:paraId="2FCEE84B">
            <w:pPr>
              <w:pStyle w:val="98"/>
              <w:ind w:left="-105" w:right="-105"/>
              <w:rPr>
                <w:rFonts w:eastAsia="宋体"/>
                <w:color w:val="auto"/>
                <w:sz w:val="21"/>
                <w:szCs w:val="21"/>
                <w:highlight w:val="none"/>
              </w:rPr>
            </w:pPr>
            <w:r>
              <w:rPr>
                <w:color w:val="auto"/>
                <w:sz w:val="21"/>
                <w:szCs w:val="21"/>
                <w:highlight w:val="none"/>
              </w:rPr>
              <w:t>1</w:t>
            </w:r>
            <w:r>
              <w:rPr>
                <w:rFonts w:hint="eastAsia" w:ascii="宋体" w:hAnsi="宋体" w:eastAsia="宋体" w:cs="宋体"/>
                <w:color w:val="auto"/>
                <w:sz w:val="21"/>
                <w:szCs w:val="21"/>
                <w:highlight w:val="none"/>
              </w:rPr>
              <w:t>，</w:t>
            </w:r>
            <w:r>
              <w:rPr>
                <w:color w:val="auto"/>
                <w:sz w:val="21"/>
                <w:szCs w:val="21"/>
                <w:highlight w:val="none"/>
              </w:rPr>
              <w:t>1-</w:t>
            </w:r>
            <w:r>
              <w:rPr>
                <w:rFonts w:hint="eastAsia" w:ascii="宋体" w:hAnsi="宋体" w:eastAsia="宋体" w:cs="宋体"/>
                <w:color w:val="auto"/>
                <w:sz w:val="21"/>
                <w:szCs w:val="21"/>
                <w:highlight w:val="none"/>
              </w:rPr>
              <w:t>二氯乙烯</w:t>
            </w:r>
          </w:p>
        </w:tc>
        <w:tc>
          <w:tcPr>
            <w:tcW w:w="1049" w:type="dxa"/>
            <w:vAlign w:val="center"/>
          </w:tcPr>
          <w:p w14:paraId="23ABAF87">
            <w:pPr>
              <w:pStyle w:val="98"/>
              <w:ind w:left="-105" w:right="-105"/>
              <w:rPr>
                <w:rFonts w:eastAsia="宋体"/>
                <w:color w:val="auto"/>
                <w:sz w:val="21"/>
                <w:szCs w:val="21"/>
                <w:highlight w:val="none"/>
              </w:rPr>
            </w:pPr>
            <w:r>
              <w:rPr>
                <w:rFonts w:eastAsia="宋体"/>
                <w:color w:val="auto"/>
                <w:sz w:val="21"/>
                <w:szCs w:val="21"/>
                <w:highlight w:val="none"/>
              </w:rPr>
              <w:t>≤0.5</w:t>
            </w:r>
          </w:p>
        </w:tc>
        <w:tc>
          <w:tcPr>
            <w:tcW w:w="1049" w:type="dxa"/>
            <w:vAlign w:val="center"/>
          </w:tcPr>
          <w:p w14:paraId="54BB3549">
            <w:pPr>
              <w:pStyle w:val="98"/>
              <w:ind w:left="-105" w:right="-105"/>
              <w:rPr>
                <w:rFonts w:eastAsia="宋体"/>
                <w:color w:val="auto"/>
                <w:sz w:val="21"/>
                <w:szCs w:val="21"/>
                <w:highlight w:val="none"/>
              </w:rPr>
            </w:pPr>
            <w:r>
              <w:rPr>
                <w:rFonts w:eastAsia="宋体"/>
                <w:color w:val="auto"/>
                <w:sz w:val="21"/>
                <w:szCs w:val="21"/>
                <w:highlight w:val="none"/>
              </w:rPr>
              <w:t>≤3.0</w:t>
            </w:r>
          </w:p>
        </w:tc>
        <w:tc>
          <w:tcPr>
            <w:tcW w:w="1050" w:type="dxa"/>
            <w:vAlign w:val="center"/>
          </w:tcPr>
          <w:p w14:paraId="5BF20B19">
            <w:pPr>
              <w:pStyle w:val="98"/>
              <w:ind w:left="-105" w:right="-105"/>
              <w:rPr>
                <w:rFonts w:eastAsia="宋体"/>
                <w:color w:val="auto"/>
                <w:sz w:val="21"/>
                <w:szCs w:val="21"/>
                <w:highlight w:val="none"/>
              </w:rPr>
            </w:pPr>
            <w:r>
              <w:rPr>
                <w:rFonts w:eastAsia="宋体"/>
                <w:color w:val="auto"/>
                <w:sz w:val="21"/>
                <w:szCs w:val="21"/>
                <w:highlight w:val="none"/>
              </w:rPr>
              <w:t>≤30.0</w:t>
            </w:r>
          </w:p>
        </w:tc>
        <w:tc>
          <w:tcPr>
            <w:tcW w:w="1665" w:type="dxa"/>
            <w:vAlign w:val="center"/>
          </w:tcPr>
          <w:p w14:paraId="52355B73">
            <w:pPr>
              <w:pStyle w:val="98"/>
              <w:ind w:left="-105" w:right="-105"/>
              <w:rPr>
                <w:rFonts w:eastAsia="宋体"/>
                <w:color w:val="auto"/>
                <w:sz w:val="21"/>
                <w:szCs w:val="21"/>
                <w:highlight w:val="none"/>
              </w:rPr>
            </w:pPr>
            <w:r>
              <w:rPr>
                <w:rFonts w:eastAsia="宋体"/>
                <w:color w:val="auto"/>
                <w:sz w:val="21"/>
                <w:szCs w:val="21"/>
                <w:highlight w:val="none"/>
              </w:rPr>
              <w:t>≤60.0</w:t>
            </w:r>
          </w:p>
        </w:tc>
        <w:tc>
          <w:tcPr>
            <w:tcW w:w="1332" w:type="dxa"/>
            <w:vAlign w:val="center"/>
          </w:tcPr>
          <w:p w14:paraId="59B82A1C">
            <w:pPr>
              <w:pStyle w:val="98"/>
              <w:ind w:left="-105" w:right="-105"/>
              <w:rPr>
                <w:rFonts w:eastAsia="宋体"/>
                <w:color w:val="auto"/>
                <w:sz w:val="21"/>
                <w:szCs w:val="21"/>
                <w:highlight w:val="none"/>
              </w:rPr>
            </w:pPr>
            <w:r>
              <w:rPr>
                <w:rFonts w:eastAsia="宋体"/>
                <w:color w:val="auto"/>
                <w:sz w:val="21"/>
                <w:szCs w:val="21"/>
                <w:highlight w:val="none"/>
              </w:rPr>
              <w:t>＞60.0</w:t>
            </w:r>
          </w:p>
        </w:tc>
      </w:tr>
      <w:tr w14:paraId="19EB03C2">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cantSplit/>
          <w:trHeight w:val="340" w:hRule="atLeast"/>
          <w:jc w:val="center"/>
        </w:trPr>
        <w:tc>
          <w:tcPr>
            <w:tcW w:w="825" w:type="dxa"/>
            <w:vAlign w:val="center"/>
          </w:tcPr>
          <w:p w14:paraId="0D9FE469">
            <w:pPr>
              <w:pStyle w:val="98"/>
              <w:numPr>
                <w:ilvl w:val="0"/>
                <w:numId w:val="12"/>
              </w:numPr>
              <w:ind w:left="-105" w:right="-105" w:firstLine="0"/>
              <w:rPr>
                <w:rFonts w:eastAsia="宋体"/>
                <w:color w:val="auto"/>
                <w:sz w:val="21"/>
                <w:szCs w:val="21"/>
                <w:highlight w:val="none"/>
              </w:rPr>
            </w:pPr>
          </w:p>
        </w:tc>
        <w:tc>
          <w:tcPr>
            <w:tcW w:w="1750" w:type="dxa"/>
            <w:vAlign w:val="center"/>
          </w:tcPr>
          <w:p w14:paraId="4AE8DEE5">
            <w:pPr>
              <w:pStyle w:val="98"/>
              <w:ind w:left="-105" w:right="-105"/>
              <w:rPr>
                <w:rFonts w:eastAsia="宋体"/>
                <w:color w:val="auto"/>
                <w:sz w:val="21"/>
                <w:szCs w:val="21"/>
                <w:highlight w:val="none"/>
              </w:rPr>
            </w:pPr>
            <w:r>
              <w:rPr>
                <w:rFonts w:hint="eastAsia" w:ascii="宋体" w:hAnsi="宋体" w:eastAsia="宋体" w:cs="宋体"/>
                <w:color w:val="auto"/>
                <w:sz w:val="21"/>
                <w:szCs w:val="21"/>
                <w:highlight w:val="none"/>
              </w:rPr>
              <w:t>二氯甲烷</w:t>
            </w:r>
          </w:p>
        </w:tc>
        <w:tc>
          <w:tcPr>
            <w:tcW w:w="1049" w:type="dxa"/>
            <w:vAlign w:val="center"/>
          </w:tcPr>
          <w:p w14:paraId="656AC997">
            <w:pPr>
              <w:pStyle w:val="98"/>
              <w:ind w:left="-105" w:right="-105"/>
              <w:rPr>
                <w:rFonts w:eastAsia="宋体"/>
                <w:color w:val="auto"/>
                <w:sz w:val="21"/>
                <w:szCs w:val="21"/>
                <w:highlight w:val="none"/>
              </w:rPr>
            </w:pPr>
            <w:r>
              <w:rPr>
                <w:rFonts w:eastAsia="宋体"/>
                <w:color w:val="auto"/>
                <w:sz w:val="21"/>
                <w:szCs w:val="21"/>
                <w:highlight w:val="none"/>
              </w:rPr>
              <w:t>≤1</w:t>
            </w:r>
          </w:p>
        </w:tc>
        <w:tc>
          <w:tcPr>
            <w:tcW w:w="1049" w:type="dxa"/>
            <w:vAlign w:val="center"/>
          </w:tcPr>
          <w:p w14:paraId="5F46A4FF">
            <w:pPr>
              <w:pStyle w:val="98"/>
              <w:ind w:left="-105" w:right="-105"/>
              <w:rPr>
                <w:rFonts w:eastAsia="宋体"/>
                <w:color w:val="auto"/>
                <w:sz w:val="21"/>
                <w:szCs w:val="21"/>
                <w:highlight w:val="none"/>
              </w:rPr>
            </w:pPr>
            <w:r>
              <w:rPr>
                <w:rFonts w:eastAsia="宋体"/>
                <w:color w:val="auto"/>
                <w:sz w:val="21"/>
                <w:szCs w:val="21"/>
                <w:highlight w:val="none"/>
              </w:rPr>
              <w:t>≤2</w:t>
            </w:r>
          </w:p>
        </w:tc>
        <w:tc>
          <w:tcPr>
            <w:tcW w:w="1050" w:type="dxa"/>
            <w:vAlign w:val="center"/>
          </w:tcPr>
          <w:p w14:paraId="73737AB8">
            <w:pPr>
              <w:pStyle w:val="98"/>
              <w:ind w:left="-105" w:right="-105"/>
              <w:rPr>
                <w:rFonts w:eastAsia="宋体"/>
                <w:color w:val="auto"/>
                <w:sz w:val="21"/>
                <w:szCs w:val="21"/>
                <w:highlight w:val="none"/>
              </w:rPr>
            </w:pPr>
            <w:r>
              <w:rPr>
                <w:rFonts w:eastAsia="宋体"/>
                <w:color w:val="auto"/>
                <w:sz w:val="21"/>
                <w:szCs w:val="21"/>
                <w:highlight w:val="none"/>
              </w:rPr>
              <w:t>≤20</w:t>
            </w:r>
          </w:p>
        </w:tc>
        <w:tc>
          <w:tcPr>
            <w:tcW w:w="1665" w:type="dxa"/>
            <w:vAlign w:val="center"/>
          </w:tcPr>
          <w:p w14:paraId="731836DD">
            <w:pPr>
              <w:pStyle w:val="98"/>
              <w:ind w:left="-105" w:right="-105"/>
              <w:rPr>
                <w:rFonts w:eastAsia="宋体"/>
                <w:color w:val="auto"/>
                <w:sz w:val="21"/>
                <w:szCs w:val="21"/>
                <w:highlight w:val="none"/>
              </w:rPr>
            </w:pPr>
            <w:r>
              <w:rPr>
                <w:rFonts w:eastAsia="宋体"/>
                <w:color w:val="auto"/>
                <w:sz w:val="21"/>
                <w:szCs w:val="21"/>
                <w:highlight w:val="none"/>
              </w:rPr>
              <w:t>≤500</w:t>
            </w:r>
          </w:p>
        </w:tc>
        <w:tc>
          <w:tcPr>
            <w:tcW w:w="1332" w:type="dxa"/>
            <w:vAlign w:val="center"/>
          </w:tcPr>
          <w:p w14:paraId="1FD7EC6E">
            <w:pPr>
              <w:pStyle w:val="98"/>
              <w:ind w:left="-105" w:right="-105"/>
              <w:rPr>
                <w:rFonts w:eastAsia="宋体"/>
                <w:color w:val="auto"/>
                <w:sz w:val="21"/>
                <w:szCs w:val="21"/>
                <w:highlight w:val="none"/>
              </w:rPr>
            </w:pPr>
            <w:r>
              <w:rPr>
                <w:rFonts w:eastAsia="宋体"/>
                <w:color w:val="auto"/>
                <w:sz w:val="21"/>
                <w:szCs w:val="21"/>
                <w:highlight w:val="none"/>
              </w:rPr>
              <w:t>＞500</w:t>
            </w:r>
          </w:p>
        </w:tc>
      </w:tr>
      <w:tr w14:paraId="098ED6DB">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cantSplit/>
          <w:trHeight w:val="340" w:hRule="atLeast"/>
          <w:jc w:val="center"/>
        </w:trPr>
        <w:tc>
          <w:tcPr>
            <w:tcW w:w="825" w:type="dxa"/>
            <w:vAlign w:val="center"/>
          </w:tcPr>
          <w:p w14:paraId="32C403A8">
            <w:pPr>
              <w:pStyle w:val="98"/>
              <w:numPr>
                <w:ilvl w:val="0"/>
                <w:numId w:val="12"/>
              </w:numPr>
              <w:ind w:left="-105" w:right="-105" w:firstLine="0"/>
              <w:rPr>
                <w:rFonts w:eastAsia="宋体"/>
                <w:color w:val="auto"/>
                <w:sz w:val="21"/>
                <w:szCs w:val="21"/>
                <w:highlight w:val="none"/>
              </w:rPr>
            </w:pPr>
          </w:p>
        </w:tc>
        <w:tc>
          <w:tcPr>
            <w:tcW w:w="1750" w:type="dxa"/>
            <w:vAlign w:val="center"/>
          </w:tcPr>
          <w:p w14:paraId="37BA9AE5">
            <w:pPr>
              <w:pStyle w:val="98"/>
              <w:ind w:left="-105" w:right="-105"/>
              <w:rPr>
                <w:rFonts w:eastAsia="宋体"/>
                <w:color w:val="auto"/>
                <w:sz w:val="21"/>
                <w:szCs w:val="21"/>
                <w:highlight w:val="none"/>
              </w:rPr>
            </w:pPr>
            <w:r>
              <w:rPr>
                <w:color w:val="auto"/>
                <w:sz w:val="21"/>
                <w:szCs w:val="21"/>
                <w:highlight w:val="none"/>
              </w:rPr>
              <w:t>1</w:t>
            </w:r>
            <w:r>
              <w:rPr>
                <w:rFonts w:hint="eastAsia" w:ascii="宋体" w:hAnsi="宋体" w:eastAsia="宋体" w:cs="宋体"/>
                <w:color w:val="auto"/>
                <w:sz w:val="21"/>
                <w:szCs w:val="21"/>
                <w:highlight w:val="none"/>
              </w:rPr>
              <w:t>，</w:t>
            </w:r>
            <w:r>
              <w:rPr>
                <w:color w:val="auto"/>
                <w:sz w:val="21"/>
                <w:szCs w:val="21"/>
                <w:highlight w:val="none"/>
              </w:rPr>
              <w:t>2-</w:t>
            </w:r>
            <w:r>
              <w:rPr>
                <w:rFonts w:hint="eastAsia" w:ascii="宋体" w:hAnsi="宋体" w:eastAsia="宋体" w:cs="宋体"/>
                <w:color w:val="auto"/>
                <w:sz w:val="21"/>
                <w:szCs w:val="21"/>
                <w:highlight w:val="none"/>
              </w:rPr>
              <w:t>二氯乙烯</w:t>
            </w:r>
          </w:p>
        </w:tc>
        <w:tc>
          <w:tcPr>
            <w:tcW w:w="1049" w:type="dxa"/>
            <w:vAlign w:val="center"/>
          </w:tcPr>
          <w:p w14:paraId="0D9A595F">
            <w:pPr>
              <w:pStyle w:val="98"/>
              <w:ind w:left="-105" w:right="-105"/>
              <w:rPr>
                <w:rFonts w:eastAsia="宋体"/>
                <w:color w:val="auto"/>
                <w:sz w:val="21"/>
                <w:szCs w:val="21"/>
                <w:highlight w:val="none"/>
              </w:rPr>
            </w:pPr>
            <w:r>
              <w:rPr>
                <w:rFonts w:eastAsia="宋体"/>
                <w:color w:val="auto"/>
                <w:sz w:val="21"/>
                <w:szCs w:val="21"/>
                <w:highlight w:val="none"/>
              </w:rPr>
              <w:t>≤0.5</w:t>
            </w:r>
          </w:p>
        </w:tc>
        <w:tc>
          <w:tcPr>
            <w:tcW w:w="1049" w:type="dxa"/>
            <w:vAlign w:val="center"/>
          </w:tcPr>
          <w:p w14:paraId="244B2318">
            <w:pPr>
              <w:pStyle w:val="98"/>
              <w:ind w:left="-105" w:right="-105"/>
              <w:rPr>
                <w:rFonts w:eastAsia="宋体"/>
                <w:color w:val="auto"/>
                <w:sz w:val="21"/>
                <w:szCs w:val="21"/>
                <w:highlight w:val="none"/>
              </w:rPr>
            </w:pPr>
            <w:r>
              <w:rPr>
                <w:rFonts w:eastAsia="宋体"/>
                <w:color w:val="auto"/>
                <w:sz w:val="21"/>
                <w:szCs w:val="21"/>
                <w:highlight w:val="none"/>
              </w:rPr>
              <w:t>≤5.0</w:t>
            </w:r>
          </w:p>
        </w:tc>
        <w:tc>
          <w:tcPr>
            <w:tcW w:w="1050" w:type="dxa"/>
            <w:vAlign w:val="center"/>
          </w:tcPr>
          <w:p w14:paraId="4FFB8649">
            <w:pPr>
              <w:pStyle w:val="98"/>
              <w:ind w:left="-105" w:right="-105"/>
              <w:rPr>
                <w:rFonts w:eastAsia="宋体"/>
                <w:color w:val="auto"/>
                <w:sz w:val="21"/>
                <w:szCs w:val="21"/>
                <w:highlight w:val="none"/>
              </w:rPr>
            </w:pPr>
            <w:r>
              <w:rPr>
                <w:rFonts w:eastAsia="宋体"/>
                <w:color w:val="auto"/>
                <w:sz w:val="21"/>
                <w:szCs w:val="21"/>
                <w:highlight w:val="none"/>
              </w:rPr>
              <w:t>≤50.0</w:t>
            </w:r>
          </w:p>
        </w:tc>
        <w:tc>
          <w:tcPr>
            <w:tcW w:w="1665" w:type="dxa"/>
            <w:vAlign w:val="center"/>
          </w:tcPr>
          <w:p w14:paraId="5E1B9060">
            <w:pPr>
              <w:pStyle w:val="98"/>
              <w:ind w:left="-105" w:right="-105"/>
              <w:rPr>
                <w:rFonts w:eastAsia="宋体"/>
                <w:color w:val="auto"/>
                <w:sz w:val="21"/>
                <w:szCs w:val="21"/>
                <w:highlight w:val="none"/>
              </w:rPr>
            </w:pPr>
            <w:r>
              <w:rPr>
                <w:rFonts w:eastAsia="宋体"/>
                <w:color w:val="auto"/>
                <w:sz w:val="21"/>
                <w:szCs w:val="21"/>
                <w:highlight w:val="none"/>
              </w:rPr>
              <w:t>≤60.0</w:t>
            </w:r>
          </w:p>
        </w:tc>
        <w:tc>
          <w:tcPr>
            <w:tcW w:w="1332" w:type="dxa"/>
            <w:vAlign w:val="center"/>
          </w:tcPr>
          <w:p w14:paraId="4BAD81F3">
            <w:pPr>
              <w:pStyle w:val="98"/>
              <w:ind w:left="-105" w:right="-105"/>
              <w:rPr>
                <w:rFonts w:eastAsia="宋体"/>
                <w:color w:val="auto"/>
                <w:sz w:val="21"/>
                <w:szCs w:val="21"/>
                <w:highlight w:val="none"/>
              </w:rPr>
            </w:pPr>
            <w:r>
              <w:rPr>
                <w:rFonts w:eastAsia="宋体"/>
                <w:color w:val="auto"/>
                <w:sz w:val="21"/>
                <w:szCs w:val="21"/>
                <w:highlight w:val="none"/>
              </w:rPr>
              <w:t>＞60.0</w:t>
            </w:r>
          </w:p>
        </w:tc>
      </w:tr>
      <w:tr w14:paraId="1C5546AC">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cantSplit/>
          <w:trHeight w:val="340" w:hRule="atLeast"/>
          <w:jc w:val="center"/>
        </w:trPr>
        <w:tc>
          <w:tcPr>
            <w:tcW w:w="825" w:type="dxa"/>
            <w:vAlign w:val="center"/>
          </w:tcPr>
          <w:p w14:paraId="06C7DDBE">
            <w:pPr>
              <w:pStyle w:val="98"/>
              <w:numPr>
                <w:ilvl w:val="0"/>
                <w:numId w:val="12"/>
              </w:numPr>
              <w:ind w:left="-105" w:right="-105" w:firstLine="0"/>
              <w:rPr>
                <w:rFonts w:eastAsia="宋体"/>
                <w:color w:val="auto"/>
                <w:sz w:val="21"/>
                <w:szCs w:val="21"/>
                <w:highlight w:val="none"/>
              </w:rPr>
            </w:pPr>
          </w:p>
        </w:tc>
        <w:tc>
          <w:tcPr>
            <w:tcW w:w="1750" w:type="dxa"/>
            <w:vAlign w:val="center"/>
          </w:tcPr>
          <w:p w14:paraId="6C7E0DB5">
            <w:pPr>
              <w:pStyle w:val="98"/>
              <w:ind w:left="-105" w:right="-105"/>
              <w:rPr>
                <w:rFonts w:eastAsia="宋体"/>
                <w:color w:val="auto"/>
                <w:sz w:val="21"/>
                <w:szCs w:val="21"/>
                <w:highlight w:val="none"/>
              </w:rPr>
            </w:pPr>
            <w:r>
              <w:rPr>
                <w:rFonts w:hint="eastAsia" w:ascii="宋体" w:hAnsi="宋体" w:eastAsia="宋体" w:cs="宋体"/>
                <w:color w:val="auto"/>
                <w:sz w:val="21"/>
                <w:szCs w:val="21"/>
                <w:highlight w:val="none"/>
              </w:rPr>
              <w:t>三氯甲烷</w:t>
            </w:r>
          </w:p>
        </w:tc>
        <w:tc>
          <w:tcPr>
            <w:tcW w:w="1049" w:type="dxa"/>
            <w:vAlign w:val="center"/>
          </w:tcPr>
          <w:p w14:paraId="1BC544F2">
            <w:pPr>
              <w:pStyle w:val="98"/>
              <w:ind w:left="-105" w:right="-105"/>
              <w:rPr>
                <w:rFonts w:eastAsia="宋体"/>
                <w:color w:val="auto"/>
                <w:sz w:val="21"/>
                <w:szCs w:val="21"/>
                <w:highlight w:val="none"/>
              </w:rPr>
            </w:pPr>
            <w:r>
              <w:rPr>
                <w:rFonts w:eastAsia="宋体"/>
                <w:color w:val="auto"/>
                <w:sz w:val="21"/>
                <w:szCs w:val="21"/>
                <w:highlight w:val="none"/>
              </w:rPr>
              <w:t>≤0.5</w:t>
            </w:r>
          </w:p>
        </w:tc>
        <w:tc>
          <w:tcPr>
            <w:tcW w:w="1049" w:type="dxa"/>
            <w:vAlign w:val="center"/>
          </w:tcPr>
          <w:p w14:paraId="7A50FDAF">
            <w:pPr>
              <w:pStyle w:val="98"/>
              <w:ind w:left="-105" w:right="-105"/>
              <w:rPr>
                <w:rFonts w:eastAsia="宋体"/>
                <w:color w:val="auto"/>
                <w:sz w:val="21"/>
                <w:szCs w:val="21"/>
                <w:highlight w:val="none"/>
              </w:rPr>
            </w:pPr>
            <w:r>
              <w:rPr>
                <w:rFonts w:eastAsia="宋体"/>
                <w:color w:val="auto"/>
                <w:sz w:val="21"/>
                <w:szCs w:val="21"/>
                <w:highlight w:val="none"/>
              </w:rPr>
              <w:t>≤6</w:t>
            </w:r>
          </w:p>
        </w:tc>
        <w:tc>
          <w:tcPr>
            <w:tcW w:w="1050" w:type="dxa"/>
            <w:vAlign w:val="center"/>
          </w:tcPr>
          <w:p w14:paraId="17FF2E94">
            <w:pPr>
              <w:pStyle w:val="98"/>
              <w:ind w:left="-105" w:right="-105"/>
              <w:rPr>
                <w:rFonts w:eastAsia="宋体"/>
                <w:color w:val="auto"/>
                <w:sz w:val="21"/>
                <w:szCs w:val="21"/>
                <w:highlight w:val="none"/>
              </w:rPr>
            </w:pPr>
            <w:r>
              <w:rPr>
                <w:rFonts w:eastAsia="宋体"/>
                <w:color w:val="auto"/>
                <w:sz w:val="21"/>
                <w:szCs w:val="21"/>
                <w:highlight w:val="none"/>
              </w:rPr>
              <w:t>≤60</w:t>
            </w:r>
          </w:p>
        </w:tc>
        <w:tc>
          <w:tcPr>
            <w:tcW w:w="1665" w:type="dxa"/>
            <w:vAlign w:val="center"/>
          </w:tcPr>
          <w:p w14:paraId="0D0A6738">
            <w:pPr>
              <w:pStyle w:val="98"/>
              <w:ind w:left="-105" w:right="-105"/>
              <w:rPr>
                <w:rFonts w:eastAsia="宋体"/>
                <w:color w:val="auto"/>
                <w:sz w:val="21"/>
                <w:szCs w:val="21"/>
                <w:highlight w:val="none"/>
              </w:rPr>
            </w:pPr>
            <w:r>
              <w:rPr>
                <w:rFonts w:eastAsia="宋体"/>
                <w:color w:val="auto"/>
                <w:sz w:val="21"/>
                <w:szCs w:val="21"/>
                <w:highlight w:val="none"/>
              </w:rPr>
              <w:t>≤300</w:t>
            </w:r>
          </w:p>
        </w:tc>
        <w:tc>
          <w:tcPr>
            <w:tcW w:w="1332" w:type="dxa"/>
            <w:vAlign w:val="center"/>
          </w:tcPr>
          <w:p w14:paraId="06350F79">
            <w:pPr>
              <w:pStyle w:val="98"/>
              <w:ind w:left="-105" w:right="-105"/>
              <w:rPr>
                <w:rFonts w:eastAsia="宋体"/>
                <w:color w:val="auto"/>
                <w:sz w:val="21"/>
                <w:szCs w:val="21"/>
                <w:highlight w:val="none"/>
              </w:rPr>
            </w:pPr>
            <w:r>
              <w:rPr>
                <w:rFonts w:eastAsia="宋体"/>
                <w:color w:val="auto"/>
                <w:sz w:val="21"/>
                <w:szCs w:val="21"/>
                <w:highlight w:val="none"/>
              </w:rPr>
              <w:t>＞300</w:t>
            </w:r>
          </w:p>
        </w:tc>
      </w:tr>
      <w:tr w14:paraId="09AF26C9">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cantSplit/>
          <w:trHeight w:val="340" w:hRule="atLeast"/>
          <w:jc w:val="center"/>
        </w:trPr>
        <w:tc>
          <w:tcPr>
            <w:tcW w:w="825" w:type="dxa"/>
            <w:vAlign w:val="center"/>
          </w:tcPr>
          <w:p w14:paraId="0C4CC6D5">
            <w:pPr>
              <w:pStyle w:val="98"/>
              <w:numPr>
                <w:ilvl w:val="0"/>
                <w:numId w:val="12"/>
              </w:numPr>
              <w:ind w:left="-105" w:right="-105" w:firstLine="0"/>
              <w:rPr>
                <w:rFonts w:eastAsia="宋体"/>
                <w:color w:val="auto"/>
                <w:sz w:val="21"/>
                <w:szCs w:val="21"/>
                <w:highlight w:val="none"/>
              </w:rPr>
            </w:pPr>
          </w:p>
        </w:tc>
        <w:tc>
          <w:tcPr>
            <w:tcW w:w="1750" w:type="dxa"/>
            <w:vAlign w:val="center"/>
          </w:tcPr>
          <w:p w14:paraId="46C936A1">
            <w:pPr>
              <w:pStyle w:val="98"/>
              <w:ind w:left="-105" w:right="-105"/>
              <w:rPr>
                <w:rFonts w:eastAsia="宋体"/>
                <w:color w:val="auto"/>
                <w:sz w:val="21"/>
                <w:szCs w:val="21"/>
                <w:highlight w:val="none"/>
              </w:rPr>
            </w:pPr>
            <w:r>
              <w:rPr>
                <w:color w:val="auto"/>
                <w:sz w:val="21"/>
                <w:szCs w:val="21"/>
                <w:highlight w:val="none"/>
              </w:rPr>
              <w:t>1</w:t>
            </w:r>
            <w:r>
              <w:rPr>
                <w:rFonts w:hint="eastAsia" w:ascii="宋体" w:hAnsi="宋体" w:eastAsia="宋体" w:cs="宋体"/>
                <w:color w:val="auto"/>
                <w:sz w:val="21"/>
                <w:szCs w:val="21"/>
                <w:highlight w:val="none"/>
              </w:rPr>
              <w:t>，</w:t>
            </w:r>
            <w:r>
              <w:rPr>
                <w:color w:val="auto"/>
                <w:sz w:val="21"/>
                <w:szCs w:val="21"/>
                <w:highlight w:val="none"/>
              </w:rPr>
              <w:t>1</w:t>
            </w:r>
            <w:r>
              <w:rPr>
                <w:rFonts w:hint="eastAsia" w:ascii="宋体" w:hAnsi="宋体" w:eastAsia="宋体" w:cs="宋体"/>
                <w:color w:val="auto"/>
                <w:sz w:val="21"/>
                <w:szCs w:val="21"/>
                <w:highlight w:val="none"/>
              </w:rPr>
              <w:t>，</w:t>
            </w:r>
            <w:r>
              <w:rPr>
                <w:color w:val="auto"/>
                <w:sz w:val="21"/>
                <w:szCs w:val="21"/>
                <w:highlight w:val="none"/>
              </w:rPr>
              <w:t>1-</w:t>
            </w:r>
            <w:r>
              <w:rPr>
                <w:rFonts w:hint="eastAsia" w:ascii="宋体" w:hAnsi="宋体" w:eastAsia="宋体" w:cs="宋体"/>
                <w:color w:val="auto"/>
                <w:sz w:val="21"/>
                <w:szCs w:val="21"/>
                <w:highlight w:val="none"/>
              </w:rPr>
              <w:t>三氯乙烷</w:t>
            </w:r>
          </w:p>
        </w:tc>
        <w:tc>
          <w:tcPr>
            <w:tcW w:w="1049" w:type="dxa"/>
            <w:vAlign w:val="center"/>
          </w:tcPr>
          <w:p w14:paraId="6E7D6A8E">
            <w:pPr>
              <w:pStyle w:val="98"/>
              <w:ind w:left="-105" w:right="-105"/>
              <w:rPr>
                <w:rFonts w:eastAsia="宋体"/>
                <w:color w:val="auto"/>
                <w:sz w:val="21"/>
                <w:szCs w:val="21"/>
                <w:highlight w:val="none"/>
              </w:rPr>
            </w:pPr>
            <w:r>
              <w:rPr>
                <w:rFonts w:eastAsia="宋体"/>
                <w:color w:val="auto"/>
                <w:sz w:val="21"/>
                <w:szCs w:val="21"/>
                <w:highlight w:val="none"/>
              </w:rPr>
              <w:t>≤0.5</w:t>
            </w:r>
          </w:p>
        </w:tc>
        <w:tc>
          <w:tcPr>
            <w:tcW w:w="1049" w:type="dxa"/>
            <w:vAlign w:val="center"/>
          </w:tcPr>
          <w:p w14:paraId="766671F8">
            <w:pPr>
              <w:pStyle w:val="98"/>
              <w:ind w:left="-105" w:right="-105"/>
              <w:rPr>
                <w:rFonts w:eastAsia="宋体"/>
                <w:color w:val="auto"/>
                <w:sz w:val="21"/>
                <w:szCs w:val="21"/>
                <w:highlight w:val="none"/>
              </w:rPr>
            </w:pPr>
            <w:r>
              <w:rPr>
                <w:rFonts w:eastAsia="宋体"/>
                <w:color w:val="auto"/>
                <w:sz w:val="21"/>
                <w:szCs w:val="21"/>
                <w:highlight w:val="none"/>
              </w:rPr>
              <w:t>≤400</w:t>
            </w:r>
          </w:p>
        </w:tc>
        <w:tc>
          <w:tcPr>
            <w:tcW w:w="1050" w:type="dxa"/>
            <w:vAlign w:val="center"/>
          </w:tcPr>
          <w:p w14:paraId="346EE913">
            <w:pPr>
              <w:pStyle w:val="98"/>
              <w:ind w:left="-105" w:right="-105"/>
              <w:rPr>
                <w:rFonts w:eastAsia="宋体"/>
                <w:color w:val="auto"/>
                <w:sz w:val="21"/>
                <w:szCs w:val="21"/>
                <w:highlight w:val="none"/>
              </w:rPr>
            </w:pPr>
            <w:r>
              <w:rPr>
                <w:rFonts w:eastAsia="宋体"/>
                <w:color w:val="auto"/>
                <w:sz w:val="21"/>
                <w:szCs w:val="21"/>
                <w:highlight w:val="none"/>
              </w:rPr>
              <w:t>≤2000</w:t>
            </w:r>
          </w:p>
        </w:tc>
        <w:tc>
          <w:tcPr>
            <w:tcW w:w="1665" w:type="dxa"/>
            <w:vAlign w:val="center"/>
          </w:tcPr>
          <w:p w14:paraId="66D09FCD">
            <w:pPr>
              <w:pStyle w:val="98"/>
              <w:ind w:left="-105" w:right="-105"/>
              <w:rPr>
                <w:rFonts w:eastAsia="宋体"/>
                <w:color w:val="auto"/>
                <w:sz w:val="21"/>
                <w:szCs w:val="21"/>
                <w:highlight w:val="none"/>
              </w:rPr>
            </w:pPr>
            <w:r>
              <w:rPr>
                <w:rFonts w:eastAsia="宋体"/>
                <w:color w:val="auto"/>
                <w:sz w:val="21"/>
                <w:szCs w:val="21"/>
                <w:highlight w:val="none"/>
              </w:rPr>
              <w:t>≤4000</w:t>
            </w:r>
          </w:p>
        </w:tc>
        <w:tc>
          <w:tcPr>
            <w:tcW w:w="1332" w:type="dxa"/>
            <w:vAlign w:val="center"/>
          </w:tcPr>
          <w:p w14:paraId="11212FCB">
            <w:pPr>
              <w:pStyle w:val="98"/>
              <w:ind w:left="-105" w:right="-105"/>
              <w:rPr>
                <w:rFonts w:eastAsia="宋体"/>
                <w:color w:val="auto"/>
                <w:sz w:val="21"/>
                <w:szCs w:val="21"/>
                <w:highlight w:val="none"/>
              </w:rPr>
            </w:pPr>
            <w:r>
              <w:rPr>
                <w:rFonts w:eastAsia="宋体"/>
                <w:color w:val="auto"/>
                <w:sz w:val="21"/>
                <w:szCs w:val="21"/>
                <w:highlight w:val="none"/>
              </w:rPr>
              <w:t>＞4000</w:t>
            </w:r>
          </w:p>
        </w:tc>
      </w:tr>
      <w:tr w14:paraId="20ABF7F7">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cantSplit/>
          <w:trHeight w:val="340" w:hRule="atLeast"/>
          <w:jc w:val="center"/>
        </w:trPr>
        <w:tc>
          <w:tcPr>
            <w:tcW w:w="825" w:type="dxa"/>
            <w:vAlign w:val="center"/>
          </w:tcPr>
          <w:p w14:paraId="59A2F0B0">
            <w:pPr>
              <w:pStyle w:val="98"/>
              <w:numPr>
                <w:ilvl w:val="0"/>
                <w:numId w:val="12"/>
              </w:numPr>
              <w:ind w:left="-105" w:right="-105" w:firstLine="0"/>
              <w:rPr>
                <w:rFonts w:eastAsia="宋体"/>
                <w:color w:val="auto"/>
                <w:sz w:val="21"/>
                <w:szCs w:val="21"/>
                <w:highlight w:val="none"/>
              </w:rPr>
            </w:pPr>
          </w:p>
        </w:tc>
        <w:tc>
          <w:tcPr>
            <w:tcW w:w="1750" w:type="dxa"/>
            <w:vAlign w:val="center"/>
          </w:tcPr>
          <w:p w14:paraId="78B56864">
            <w:pPr>
              <w:pStyle w:val="98"/>
              <w:ind w:left="-105" w:right="-105"/>
              <w:rPr>
                <w:rFonts w:eastAsia="宋体"/>
                <w:color w:val="auto"/>
                <w:sz w:val="21"/>
                <w:szCs w:val="21"/>
                <w:highlight w:val="none"/>
              </w:rPr>
            </w:pPr>
            <w:r>
              <w:rPr>
                <w:rFonts w:hint="eastAsia" w:ascii="宋体" w:hAnsi="宋体" w:eastAsia="宋体" w:cs="宋体"/>
                <w:color w:val="auto"/>
                <w:sz w:val="21"/>
                <w:szCs w:val="21"/>
                <w:highlight w:val="none"/>
              </w:rPr>
              <w:t>四氯化碳</w:t>
            </w:r>
          </w:p>
        </w:tc>
        <w:tc>
          <w:tcPr>
            <w:tcW w:w="1049" w:type="dxa"/>
            <w:vAlign w:val="center"/>
          </w:tcPr>
          <w:p w14:paraId="74E90CEA">
            <w:pPr>
              <w:pStyle w:val="98"/>
              <w:ind w:left="-105" w:right="-105"/>
              <w:rPr>
                <w:rFonts w:eastAsia="宋体"/>
                <w:color w:val="auto"/>
                <w:sz w:val="21"/>
                <w:szCs w:val="21"/>
                <w:highlight w:val="none"/>
              </w:rPr>
            </w:pPr>
            <w:r>
              <w:rPr>
                <w:rFonts w:eastAsia="宋体"/>
                <w:color w:val="auto"/>
                <w:sz w:val="21"/>
                <w:szCs w:val="21"/>
                <w:highlight w:val="none"/>
              </w:rPr>
              <w:t>≤0.5</w:t>
            </w:r>
          </w:p>
        </w:tc>
        <w:tc>
          <w:tcPr>
            <w:tcW w:w="1049" w:type="dxa"/>
            <w:vAlign w:val="center"/>
          </w:tcPr>
          <w:p w14:paraId="74C349FB">
            <w:pPr>
              <w:pStyle w:val="98"/>
              <w:ind w:left="-105" w:right="-105"/>
              <w:rPr>
                <w:rFonts w:eastAsia="宋体"/>
                <w:color w:val="auto"/>
                <w:sz w:val="21"/>
                <w:szCs w:val="21"/>
                <w:highlight w:val="none"/>
              </w:rPr>
            </w:pPr>
            <w:r>
              <w:rPr>
                <w:rFonts w:eastAsia="宋体"/>
                <w:color w:val="auto"/>
                <w:sz w:val="21"/>
                <w:szCs w:val="21"/>
                <w:highlight w:val="none"/>
              </w:rPr>
              <w:t>≤0.5</w:t>
            </w:r>
          </w:p>
        </w:tc>
        <w:tc>
          <w:tcPr>
            <w:tcW w:w="1050" w:type="dxa"/>
            <w:vAlign w:val="center"/>
          </w:tcPr>
          <w:p w14:paraId="4B24B3CE">
            <w:pPr>
              <w:pStyle w:val="98"/>
              <w:ind w:left="-105" w:right="-105"/>
              <w:rPr>
                <w:rFonts w:eastAsia="宋体"/>
                <w:color w:val="auto"/>
                <w:sz w:val="21"/>
                <w:szCs w:val="21"/>
                <w:highlight w:val="none"/>
              </w:rPr>
            </w:pPr>
            <w:r>
              <w:rPr>
                <w:rFonts w:eastAsia="宋体"/>
                <w:color w:val="auto"/>
                <w:sz w:val="21"/>
                <w:szCs w:val="21"/>
                <w:highlight w:val="none"/>
              </w:rPr>
              <w:t>≤2.0</w:t>
            </w:r>
          </w:p>
        </w:tc>
        <w:tc>
          <w:tcPr>
            <w:tcW w:w="1665" w:type="dxa"/>
            <w:vAlign w:val="center"/>
          </w:tcPr>
          <w:p w14:paraId="5ABF1889">
            <w:pPr>
              <w:pStyle w:val="98"/>
              <w:ind w:left="-105" w:right="-105"/>
              <w:rPr>
                <w:rFonts w:eastAsia="宋体"/>
                <w:color w:val="auto"/>
                <w:sz w:val="21"/>
                <w:szCs w:val="21"/>
                <w:highlight w:val="none"/>
              </w:rPr>
            </w:pPr>
            <w:r>
              <w:rPr>
                <w:rFonts w:eastAsia="宋体"/>
                <w:color w:val="auto"/>
                <w:sz w:val="21"/>
                <w:szCs w:val="21"/>
                <w:highlight w:val="none"/>
              </w:rPr>
              <w:t>≤50.0</w:t>
            </w:r>
          </w:p>
        </w:tc>
        <w:tc>
          <w:tcPr>
            <w:tcW w:w="1332" w:type="dxa"/>
            <w:vAlign w:val="center"/>
          </w:tcPr>
          <w:p w14:paraId="261C3AE2">
            <w:pPr>
              <w:pStyle w:val="98"/>
              <w:ind w:left="-105" w:right="-105"/>
              <w:rPr>
                <w:rFonts w:eastAsia="宋体"/>
                <w:color w:val="auto"/>
                <w:sz w:val="21"/>
                <w:szCs w:val="21"/>
                <w:highlight w:val="none"/>
              </w:rPr>
            </w:pPr>
            <w:r>
              <w:rPr>
                <w:rFonts w:eastAsia="宋体"/>
                <w:color w:val="auto"/>
                <w:sz w:val="21"/>
                <w:szCs w:val="21"/>
                <w:highlight w:val="none"/>
              </w:rPr>
              <w:t>＞50.0</w:t>
            </w:r>
          </w:p>
        </w:tc>
      </w:tr>
      <w:tr w14:paraId="30B7CF43">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cantSplit/>
          <w:trHeight w:val="340" w:hRule="atLeast"/>
          <w:jc w:val="center"/>
        </w:trPr>
        <w:tc>
          <w:tcPr>
            <w:tcW w:w="825" w:type="dxa"/>
            <w:vAlign w:val="center"/>
          </w:tcPr>
          <w:p w14:paraId="5CDF2B4D">
            <w:pPr>
              <w:pStyle w:val="98"/>
              <w:numPr>
                <w:ilvl w:val="0"/>
                <w:numId w:val="12"/>
              </w:numPr>
              <w:ind w:left="-105" w:right="-105" w:firstLine="0"/>
              <w:rPr>
                <w:rFonts w:eastAsia="宋体"/>
                <w:color w:val="auto"/>
                <w:sz w:val="21"/>
                <w:szCs w:val="21"/>
                <w:highlight w:val="none"/>
              </w:rPr>
            </w:pPr>
          </w:p>
        </w:tc>
        <w:tc>
          <w:tcPr>
            <w:tcW w:w="1750" w:type="dxa"/>
            <w:vAlign w:val="center"/>
          </w:tcPr>
          <w:p w14:paraId="76DDAE83">
            <w:pPr>
              <w:pStyle w:val="98"/>
              <w:ind w:left="-105" w:right="-105"/>
              <w:rPr>
                <w:rFonts w:eastAsia="宋体"/>
                <w:color w:val="auto"/>
                <w:sz w:val="21"/>
                <w:szCs w:val="21"/>
                <w:highlight w:val="none"/>
              </w:rPr>
            </w:pPr>
            <w:r>
              <w:rPr>
                <w:rFonts w:hint="eastAsia" w:ascii="宋体" w:hAnsi="宋体" w:eastAsia="宋体" w:cs="宋体"/>
                <w:color w:val="auto"/>
                <w:sz w:val="21"/>
                <w:szCs w:val="21"/>
                <w:highlight w:val="none"/>
              </w:rPr>
              <w:t>苯</w:t>
            </w:r>
          </w:p>
        </w:tc>
        <w:tc>
          <w:tcPr>
            <w:tcW w:w="1049" w:type="dxa"/>
            <w:vAlign w:val="center"/>
          </w:tcPr>
          <w:p w14:paraId="2D55CACA">
            <w:pPr>
              <w:pStyle w:val="98"/>
              <w:ind w:left="-105" w:right="-105"/>
              <w:rPr>
                <w:rFonts w:eastAsia="宋体"/>
                <w:color w:val="auto"/>
                <w:sz w:val="21"/>
                <w:szCs w:val="21"/>
                <w:highlight w:val="none"/>
              </w:rPr>
            </w:pPr>
            <w:r>
              <w:rPr>
                <w:rFonts w:eastAsia="宋体"/>
                <w:color w:val="auto"/>
                <w:sz w:val="21"/>
                <w:szCs w:val="21"/>
                <w:highlight w:val="none"/>
              </w:rPr>
              <w:t>≤0.5</w:t>
            </w:r>
          </w:p>
        </w:tc>
        <w:tc>
          <w:tcPr>
            <w:tcW w:w="1049" w:type="dxa"/>
            <w:vAlign w:val="center"/>
          </w:tcPr>
          <w:p w14:paraId="173C83A2">
            <w:pPr>
              <w:pStyle w:val="98"/>
              <w:ind w:left="-105" w:right="-105"/>
              <w:rPr>
                <w:rFonts w:eastAsia="宋体"/>
                <w:color w:val="auto"/>
                <w:sz w:val="21"/>
                <w:szCs w:val="21"/>
                <w:highlight w:val="none"/>
              </w:rPr>
            </w:pPr>
            <w:r>
              <w:rPr>
                <w:rFonts w:eastAsia="宋体"/>
                <w:color w:val="auto"/>
                <w:sz w:val="21"/>
                <w:szCs w:val="21"/>
                <w:highlight w:val="none"/>
              </w:rPr>
              <w:t>≤1.0</w:t>
            </w:r>
          </w:p>
        </w:tc>
        <w:tc>
          <w:tcPr>
            <w:tcW w:w="1050" w:type="dxa"/>
            <w:vAlign w:val="center"/>
          </w:tcPr>
          <w:p w14:paraId="42D98076">
            <w:pPr>
              <w:pStyle w:val="98"/>
              <w:ind w:left="-105" w:right="-105"/>
              <w:rPr>
                <w:rFonts w:eastAsia="宋体"/>
                <w:color w:val="auto"/>
                <w:sz w:val="21"/>
                <w:szCs w:val="21"/>
                <w:highlight w:val="none"/>
              </w:rPr>
            </w:pPr>
            <w:r>
              <w:rPr>
                <w:rFonts w:eastAsia="宋体"/>
                <w:color w:val="auto"/>
                <w:sz w:val="21"/>
                <w:szCs w:val="21"/>
                <w:highlight w:val="none"/>
              </w:rPr>
              <w:t>≤10.0</w:t>
            </w:r>
          </w:p>
        </w:tc>
        <w:tc>
          <w:tcPr>
            <w:tcW w:w="1665" w:type="dxa"/>
            <w:vAlign w:val="center"/>
          </w:tcPr>
          <w:p w14:paraId="69B4AB7F">
            <w:pPr>
              <w:pStyle w:val="98"/>
              <w:ind w:left="-105" w:right="-105"/>
              <w:rPr>
                <w:rFonts w:eastAsia="宋体"/>
                <w:color w:val="auto"/>
                <w:sz w:val="21"/>
                <w:szCs w:val="21"/>
                <w:highlight w:val="none"/>
              </w:rPr>
            </w:pPr>
            <w:r>
              <w:rPr>
                <w:rFonts w:eastAsia="宋体"/>
                <w:color w:val="auto"/>
                <w:sz w:val="21"/>
                <w:szCs w:val="21"/>
                <w:highlight w:val="none"/>
              </w:rPr>
              <w:t>≤120</w:t>
            </w:r>
          </w:p>
        </w:tc>
        <w:tc>
          <w:tcPr>
            <w:tcW w:w="1332" w:type="dxa"/>
            <w:vAlign w:val="center"/>
          </w:tcPr>
          <w:p w14:paraId="6ECF7C2E">
            <w:pPr>
              <w:pStyle w:val="98"/>
              <w:ind w:left="-105" w:right="-105"/>
              <w:rPr>
                <w:rFonts w:eastAsia="宋体"/>
                <w:color w:val="auto"/>
                <w:sz w:val="21"/>
                <w:szCs w:val="21"/>
                <w:highlight w:val="none"/>
              </w:rPr>
            </w:pPr>
            <w:r>
              <w:rPr>
                <w:rFonts w:eastAsia="宋体"/>
                <w:color w:val="auto"/>
                <w:sz w:val="21"/>
                <w:szCs w:val="21"/>
                <w:highlight w:val="none"/>
              </w:rPr>
              <w:t>＞120</w:t>
            </w:r>
          </w:p>
        </w:tc>
      </w:tr>
      <w:tr w14:paraId="6CF0659B">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cantSplit/>
          <w:trHeight w:val="340" w:hRule="atLeast"/>
          <w:jc w:val="center"/>
        </w:trPr>
        <w:tc>
          <w:tcPr>
            <w:tcW w:w="825" w:type="dxa"/>
            <w:vAlign w:val="center"/>
          </w:tcPr>
          <w:p w14:paraId="637199AE">
            <w:pPr>
              <w:pStyle w:val="98"/>
              <w:numPr>
                <w:ilvl w:val="0"/>
                <w:numId w:val="12"/>
              </w:numPr>
              <w:ind w:left="-105" w:right="-105" w:firstLine="0"/>
              <w:rPr>
                <w:rFonts w:eastAsia="宋体"/>
                <w:color w:val="auto"/>
                <w:sz w:val="21"/>
                <w:szCs w:val="21"/>
                <w:highlight w:val="none"/>
              </w:rPr>
            </w:pPr>
          </w:p>
        </w:tc>
        <w:tc>
          <w:tcPr>
            <w:tcW w:w="1750" w:type="dxa"/>
            <w:vAlign w:val="center"/>
          </w:tcPr>
          <w:p w14:paraId="37FC010B">
            <w:pPr>
              <w:pStyle w:val="98"/>
              <w:ind w:left="-105" w:right="-105"/>
              <w:rPr>
                <w:rFonts w:eastAsia="宋体"/>
                <w:color w:val="auto"/>
                <w:sz w:val="21"/>
                <w:szCs w:val="21"/>
                <w:highlight w:val="none"/>
              </w:rPr>
            </w:pPr>
            <w:r>
              <w:rPr>
                <w:color w:val="auto"/>
                <w:sz w:val="21"/>
                <w:szCs w:val="21"/>
                <w:highlight w:val="none"/>
              </w:rPr>
              <w:t>1</w:t>
            </w:r>
            <w:r>
              <w:rPr>
                <w:rFonts w:hint="eastAsia" w:ascii="宋体" w:hAnsi="宋体" w:eastAsia="宋体" w:cs="宋体"/>
                <w:color w:val="auto"/>
                <w:sz w:val="21"/>
                <w:szCs w:val="21"/>
                <w:highlight w:val="none"/>
              </w:rPr>
              <w:t>，</w:t>
            </w:r>
            <w:r>
              <w:rPr>
                <w:color w:val="auto"/>
                <w:sz w:val="21"/>
                <w:szCs w:val="21"/>
                <w:highlight w:val="none"/>
              </w:rPr>
              <w:t>2-</w:t>
            </w:r>
            <w:r>
              <w:rPr>
                <w:rFonts w:hint="eastAsia" w:ascii="宋体" w:hAnsi="宋体" w:eastAsia="宋体" w:cs="宋体"/>
                <w:color w:val="auto"/>
                <w:sz w:val="21"/>
                <w:szCs w:val="21"/>
                <w:highlight w:val="none"/>
              </w:rPr>
              <w:t>二氯乙烷</w:t>
            </w:r>
          </w:p>
        </w:tc>
        <w:tc>
          <w:tcPr>
            <w:tcW w:w="1049" w:type="dxa"/>
            <w:vAlign w:val="center"/>
          </w:tcPr>
          <w:p w14:paraId="6CC0BC45">
            <w:pPr>
              <w:pStyle w:val="98"/>
              <w:ind w:left="-105" w:right="-105"/>
              <w:rPr>
                <w:rFonts w:eastAsia="宋体"/>
                <w:color w:val="auto"/>
                <w:sz w:val="21"/>
                <w:szCs w:val="21"/>
                <w:highlight w:val="none"/>
              </w:rPr>
            </w:pPr>
            <w:r>
              <w:rPr>
                <w:rFonts w:eastAsia="宋体"/>
                <w:color w:val="auto"/>
                <w:sz w:val="21"/>
                <w:szCs w:val="21"/>
                <w:highlight w:val="none"/>
              </w:rPr>
              <w:t>≤0.5</w:t>
            </w:r>
          </w:p>
        </w:tc>
        <w:tc>
          <w:tcPr>
            <w:tcW w:w="1049" w:type="dxa"/>
            <w:vAlign w:val="center"/>
          </w:tcPr>
          <w:p w14:paraId="08470474">
            <w:pPr>
              <w:pStyle w:val="98"/>
              <w:ind w:left="-105" w:right="-105"/>
              <w:rPr>
                <w:rFonts w:eastAsia="宋体"/>
                <w:color w:val="auto"/>
                <w:sz w:val="21"/>
                <w:szCs w:val="21"/>
                <w:highlight w:val="none"/>
              </w:rPr>
            </w:pPr>
            <w:r>
              <w:rPr>
                <w:rFonts w:eastAsia="宋体"/>
                <w:color w:val="auto"/>
                <w:sz w:val="21"/>
                <w:szCs w:val="21"/>
                <w:highlight w:val="none"/>
              </w:rPr>
              <w:t>≤3.0</w:t>
            </w:r>
          </w:p>
        </w:tc>
        <w:tc>
          <w:tcPr>
            <w:tcW w:w="1050" w:type="dxa"/>
            <w:vAlign w:val="center"/>
          </w:tcPr>
          <w:p w14:paraId="20AD3A0E">
            <w:pPr>
              <w:pStyle w:val="98"/>
              <w:ind w:left="-105" w:right="-105"/>
              <w:rPr>
                <w:rFonts w:eastAsia="宋体"/>
                <w:color w:val="auto"/>
                <w:sz w:val="21"/>
                <w:szCs w:val="21"/>
                <w:highlight w:val="none"/>
              </w:rPr>
            </w:pPr>
            <w:r>
              <w:rPr>
                <w:rFonts w:eastAsia="宋体"/>
                <w:color w:val="auto"/>
                <w:sz w:val="21"/>
                <w:szCs w:val="21"/>
                <w:highlight w:val="none"/>
              </w:rPr>
              <w:t>≤30.0</w:t>
            </w:r>
          </w:p>
        </w:tc>
        <w:tc>
          <w:tcPr>
            <w:tcW w:w="1665" w:type="dxa"/>
            <w:vAlign w:val="center"/>
          </w:tcPr>
          <w:p w14:paraId="32D5BD0E">
            <w:pPr>
              <w:pStyle w:val="98"/>
              <w:ind w:left="-105" w:right="-105"/>
              <w:rPr>
                <w:rFonts w:eastAsia="宋体"/>
                <w:color w:val="auto"/>
                <w:sz w:val="21"/>
                <w:szCs w:val="21"/>
                <w:highlight w:val="none"/>
              </w:rPr>
            </w:pPr>
            <w:r>
              <w:rPr>
                <w:rFonts w:eastAsia="宋体"/>
                <w:color w:val="auto"/>
                <w:sz w:val="21"/>
                <w:szCs w:val="21"/>
                <w:highlight w:val="none"/>
              </w:rPr>
              <w:t>≤40.0</w:t>
            </w:r>
          </w:p>
        </w:tc>
        <w:tc>
          <w:tcPr>
            <w:tcW w:w="1332" w:type="dxa"/>
            <w:vAlign w:val="center"/>
          </w:tcPr>
          <w:p w14:paraId="5261CBE8">
            <w:pPr>
              <w:pStyle w:val="98"/>
              <w:ind w:left="-105" w:right="-105"/>
              <w:rPr>
                <w:rFonts w:eastAsia="宋体"/>
                <w:color w:val="auto"/>
                <w:sz w:val="21"/>
                <w:szCs w:val="21"/>
                <w:highlight w:val="none"/>
              </w:rPr>
            </w:pPr>
            <w:r>
              <w:rPr>
                <w:rFonts w:eastAsia="宋体"/>
                <w:color w:val="auto"/>
                <w:sz w:val="21"/>
                <w:szCs w:val="21"/>
                <w:highlight w:val="none"/>
              </w:rPr>
              <w:t>＞40.0</w:t>
            </w:r>
          </w:p>
        </w:tc>
      </w:tr>
      <w:tr w14:paraId="714859AF">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cantSplit/>
          <w:trHeight w:val="340" w:hRule="atLeast"/>
          <w:jc w:val="center"/>
        </w:trPr>
        <w:tc>
          <w:tcPr>
            <w:tcW w:w="825" w:type="dxa"/>
            <w:vAlign w:val="center"/>
          </w:tcPr>
          <w:p w14:paraId="5FFB0365">
            <w:pPr>
              <w:pStyle w:val="98"/>
              <w:numPr>
                <w:ilvl w:val="0"/>
                <w:numId w:val="12"/>
              </w:numPr>
              <w:ind w:left="-105" w:right="-105" w:firstLine="0"/>
              <w:rPr>
                <w:rFonts w:eastAsia="宋体"/>
                <w:color w:val="auto"/>
                <w:sz w:val="21"/>
                <w:szCs w:val="21"/>
                <w:highlight w:val="none"/>
              </w:rPr>
            </w:pPr>
          </w:p>
        </w:tc>
        <w:tc>
          <w:tcPr>
            <w:tcW w:w="1750" w:type="dxa"/>
            <w:vAlign w:val="center"/>
          </w:tcPr>
          <w:p w14:paraId="4BF499F0">
            <w:pPr>
              <w:pStyle w:val="98"/>
              <w:ind w:left="-105" w:right="-105"/>
              <w:rPr>
                <w:rFonts w:eastAsia="宋体"/>
                <w:color w:val="auto"/>
                <w:sz w:val="21"/>
                <w:szCs w:val="21"/>
                <w:highlight w:val="none"/>
              </w:rPr>
            </w:pPr>
            <w:r>
              <w:rPr>
                <w:rFonts w:hint="eastAsia" w:ascii="宋体" w:hAnsi="宋体" w:eastAsia="宋体" w:cs="宋体"/>
                <w:color w:val="auto"/>
                <w:sz w:val="21"/>
                <w:szCs w:val="21"/>
                <w:highlight w:val="none"/>
              </w:rPr>
              <w:t>三氯乙烯</w:t>
            </w:r>
          </w:p>
        </w:tc>
        <w:tc>
          <w:tcPr>
            <w:tcW w:w="1049" w:type="dxa"/>
            <w:vAlign w:val="center"/>
          </w:tcPr>
          <w:p w14:paraId="161754F2">
            <w:pPr>
              <w:pStyle w:val="98"/>
              <w:ind w:left="-105" w:right="-105"/>
              <w:rPr>
                <w:rFonts w:eastAsia="宋体"/>
                <w:color w:val="auto"/>
                <w:sz w:val="21"/>
                <w:szCs w:val="21"/>
                <w:highlight w:val="none"/>
              </w:rPr>
            </w:pPr>
            <w:r>
              <w:rPr>
                <w:rFonts w:eastAsia="宋体"/>
                <w:color w:val="auto"/>
                <w:sz w:val="21"/>
                <w:szCs w:val="21"/>
                <w:highlight w:val="none"/>
              </w:rPr>
              <w:t>≤0.5</w:t>
            </w:r>
          </w:p>
        </w:tc>
        <w:tc>
          <w:tcPr>
            <w:tcW w:w="1049" w:type="dxa"/>
            <w:vAlign w:val="center"/>
          </w:tcPr>
          <w:p w14:paraId="5943D336">
            <w:pPr>
              <w:pStyle w:val="98"/>
              <w:ind w:left="-105" w:right="-105"/>
              <w:rPr>
                <w:rFonts w:eastAsia="宋体"/>
                <w:color w:val="auto"/>
                <w:sz w:val="21"/>
                <w:szCs w:val="21"/>
                <w:highlight w:val="none"/>
              </w:rPr>
            </w:pPr>
            <w:r>
              <w:rPr>
                <w:rFonts w:eastAsia="宋体"/>
                <w:color w:val="auto"/>
                <w:sz w:val="21"/>
                <w:szCs w:val="21"/>
                <w:highlight w:val="none"/>
              </w:rPr>
              <w:t>≤7.0</w:t>
            </w:r>
          </w:p>
        </w:tc>
        <w:tc>
          <w:tcPr>
            <w:tcW w:w="1050" w:type="dxa"/>
            <w:vAlign w:val="center"/>
          </w:tcPr>
          <w:p w14:paraId="6FC16C01">
            <w:pPr>
              <w:pStyle w:val="98"/>
              <w:ind w:left="-105" w:right="-105"/>
              <w:rPr>
                <w:rFonts w:eastAsia="宋体"/>
                <w:color w:val="auto"/>
                <w:sz w:val="21"/>
                <w:szCs w:val="21"/>
                <w:highlight w:val="none"/>
              </w:rPr>
            </w:pPr>
            <w:r>
              <w:rPr>
                <w:rFonts w:eastAsia="宋体"/>
                <w:color w:val="auto"/>
                <w:sz w:val="21"/>
                <w:szCs w:val="21"/>
                <w:highlight w:val="none"/>
              </w:rPr>
              <w:t>≤70.0</w:t>
            </w:r>
          </w:p>
        </w:tc>
        <w:tc>
          <w:tcPr>
            <w:tcW w:w="1665" w:type="dxa"/>
            <w:vAlign w:val="center"/>
          </w:tcPr>
          <w:p w14:paraId="772DB246">
            <w:pPr>
              <w:pStyle w:val="98"/>
              <w:ind w:left="-105" w:right="-105"/>
              <w:rPr>
                <w:rFonts w:eastAsia="宋体"/>
                <w:color w:val="auto"/>
                <w:sz w:val="21"/>
                <w:szCs w:val="21"/>
                <w:highlight w:val="none"/>
              </w:rPr>
            </w:pPr>
            <w:r>
              <w:rPr>
                <w:rFonts w:eastAsia="宋体"/>
                <w:color w:val="auto"/>
                <w:sz w:val="21"/>
                <w:szCs w:val="21"/>
                <w:highlight w:val="none"/>
              </w:rPr>
              <w:t>≤210</w:t>
            </w:r>
          </w:p>
        </w:tc>
        <w:tc>
          <w:tcPr>
            <w:tcW w:w="1332" w:type="dxa"/>
            <w:vAlign w:val="center"/>
          </w:tcPr>
          <w:p w14:paraId="5BE0BF9F">
            <w:pPr>
              <w:pStyle w:val="98"/>
              <w:ind w:left="-105" w:right="-105"/>
              <w:rPr>
                <w:rFonts w:eastAsia="宋体"/>
                <w:color w:val="auto"/>
                <w:sz w:val="21"/>
                <w:szCs w:val="21"/>
                <w:highlight w:val="none"/>
              </w:rPr>
            </w:pPr>
            <w:r>
              <w:rPr>
                <w:rFonts w:eastAsia="宋体"/>
                <w:color w:val="auto"/>
                <w:sz w:val="21"/>
                <w:szCs w:val="21"/>
                <w:highlight w:val="none"/>
              </w:rPr>
              <w:t>＞210</w:t>
            </w:r>
          </w:p>
        </w:tc>
      </w:tr>
      <w:tr w14:paraId="08133A22">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cantSplit/>
          <w:trHeight w:val="340" w:hRule="atLeast"/>
          <w:jc w:val="center"/>
        </w:trPr>
        <w:tc>
          <w:tcPr>
            <w:tcW w:w="825" w:type="dxa"/>
            <w:vAlign w:val="center"/>
          </w:tcPr>
          <w:p w14:paraId="411BA21A">
            <w:pPr>
              <w:pStyle w:val="98"/>
              <w:numPr>
                <w:ilvl w:val="0"/>
                <w:numId w:val="12"/>
              </w:numPr>
              <w:ind w:left="-105" w:right="-105" w:firstLine="0"/>
              <w:rPr>
                <w:rFonts w:eastAsia="宋体"/>
                <w:color w:val="auto"/>
                <w:sz w:val="21"/>
                <w:szCs w:val="21"/>
                <w:highlight w:val="none"/>
              </w:rPr>
            </w:pPr>
          </w:p>
        </w:tc>
        <w:tc>
          <w:tcPr>
            <w:tcW w:w="1750" w:type="dxa"/>
            <w:vAlign w:val="center"/>
          </w:tcPr>
          <w:p w14:paraId="223CEA75">
            <w:pPr>
              <w:pStyle w:val="98"/>
              <w:ind w:left="-105" w:right="-105"/>
              <w:rPr>
                <w:rFonts w:eastAsia="宋体"/>
                <w:color w:val="auto"/>
                <w:sz w:val="21"/>
                <w:szCs w:val="21"/>
                <w:highlight w:val="none"/>
              </w:rPr>
            </w:pPr>
            <w:r>
              <w:rPr>
                <w:color w:val="auto"/>
                <w:sz w:val="21"/>
                <w:szCs w:val="21"/>
                <w:highlight w:val="none"/>
              </w:rPr>
              <w:t>1</w:t>
            </w:r>
            <w:r>
              <w:rPr>
                <w:rFonts w:hint="eastAsia" w:ascii="宋体" w:hAnsi="宋体" w:eastAsia="宋体" w:cs="宋体"/>
                <w:color w:val="auto"/>
                <w:sz w:val="21"/>
                <w:szCs w:val="21"/>
                <w:highlight w:val="none"/>
              </w:rPr>
              <w:t>，</w:t>
            </w:r>
            <w:r>
              <w:rPr>
                <w:color w:val="auto"/>
                <w:sz w:val="21"/>
                <w:szCs w:val="21"/>
                <w:highlight w:val="none"/>
              </w:rPr>
              <w:t>2-</w:t>
            </w:r>
            <w:r>
              <w:rPr>
                <w:rFonts w:hint="eastAsia" w:ascii="宋体" w:hAnsi="宋体" w:eastAsia="宋体" w:cs="宋体"/>
                <w:color w:val="auto"/>
                <w:sz w:val="21"/>
                <w:szCs w:val="21"/>
                <w:highlight w:val="none"/>
              </w:rPr>
              <w:t>二氯丙烷</w:t>
            </w:r>
          </w:p>
        </w:tc>
        <w:tc>
          <w:tcPr>
            <w:tcW w:w="1049" w:type="dxa"/>
            <w:vAlign w:val="center"/>
          </w:tcPr>
          <w:p w14:paraId="1161D2CC">
            <w:pPr>
              <w:pStyle w:val="98"/>
              <w:ind w:left="-105" w:right="-105"/>
              <w:rPr>
                <w:rFonts w:eastAsia="宋体"/>
                <w:color w:val="auto"/>
                <w:sz w:val="21"/>
                <w:szCs w:val="21"/>
                <w:highlight w:val="none"/>
              </w:rPr>
            </w:pPr>
            <w:r>
              <w:rPr>
                <w:rFonts w:eastAsia="宋体"/>
                <w:color w:val="auto"/>
                <w:sz w:val="21"/>
                <w:szCs w:val="21"/>
                <w:highlight w:val="none"/>
              </w:rPr>
              <w:t>≤0.5</w:t>
            </w:r>
          </w:p>
        </w:tc>
        <w:tc>
          <w:tcPr>
            <w:tcW w:w="1049" w:type="dxa"/>
            <w:vAlign w:val="center"/>
          </w:tcPr>
          <w:p w14:paraId="7175FCE0">
            <w:pPr>
              <w:pStyle w:val="98"/>
              <w:ind w:left="-105" w:right="-105"/>
              <w:rPr>
                <w:rFonts w:eastAsia="宋体"/>
                <w:color w:val="auto"/>
                <w:sz w:val="21"/>
                <w:szCs w:val="21"/>
                <w:highlight w:val="none"/>
              </w:rPr>
            </w:pPr>
            <w:r>
              <w:rPr>
                <w:rFonts w:eastAsia="宋体"/>
                <w:color w:val="auto"/>
                <w:sz w:val="21"/>
                <w:szCs w:val="21"/>
                <w:highlight w:val="none"/>
              </w:rPr>
              <w:t>≤0.5</w:t>
            </w:r>
          </w:p>
        </w:tc>
        <w:tc>
          <w:tcPr>
            <w:tcW w:w="1050" w:type="dxa"/>
            <w:vAlign w:val="center"/>
          </w:tcPr>
          <w:p w14:paraId="7C5DA6A9">
            <w:pPr>
              <w:pStyle w:val="98"/>
              <w:ind w:left="-105" w:right="-105"/>
              <w:rPr>
                <w:rFonts w:eastAsia="宋体"/>
                <w:color w:val="auto"/>
                <w:sz w:val="21"/>
                <w:szCs w:val="21"/>
                <w:highlight w:val="none"/>
              </w:rPr>
            </w:pPr>
            <w:r>
              <w:rPr>
                <w:rFonts w:eastAsia="宋体"/>
                <w:color w:val="auto"/>
                <w:sz w:val="21"/>
                <w:szCs w:val="21"/>
                <w:highlight w:val="none"/>
              </w:rPr>
              <w:t>≤5.0</w:t>
            </w:r>
          </w:p>
        </w:tc>
        <w:tc>
          <w:tcPr>
            <w:tcW w:w="1665" w:type="dxa"/>
            <w:vAlign w:val="center"/>
          </w:tcPr>
          <w:p w14:paraId="463C7525">
            <w:pPr>
              <w:pStyle w:val="98"/>
              <w:ind w:left="-105" w:right="-105"/>
              <w:rPr>
                <w:rFonts w:eastAsia="宋体"/>
                <w:color w:val="auto"/>
                <w:sz w:val="21"/>
                <w:szCs w:val="21"/>
                <w:highlight w:val="none"/>
              </w:rPr>
            </w:pPr>
            <w:r>
              <w:rPr>
                <w:rFonts w:eastAsia="宋体"/>
                <w:color w:val="auto"/>
                <w:sz w:val="21"/>
                <w:szCs w:val="21"/>
                <w:highlight w:val="none"/>
              </w:rPr>
              <w:t>≤60.0</w:t>
            </w:r>
          </w:p>
        </w:tc>
        <w:tc>
          <w:tcPr>
            <w:tcW w:w="1332" w:type="dxa"/>
            <w:vAlign w:val="center"/>
          </w:tcPr>
          <w:p w14:paraId="6A35E0D0">
            <w:pPr>
              <w:pStyle w:val="98"/>
              <w:ind w:left="-105" w:right="-105"/>
              <w:rPr>
                <w:rFonts w:eastAsia="宋体"/>
                <w:color w:val="auto"/>
                <w:sz w:val="21"/>
                <w:szCs w:val="21"/>
                <w:highlight w:val="none"/>
              </w:rPr>
            </w:pPr>
            <w:r>
              <w:rPr>
                <w:rFonts w:eastAsia="宋体"/>
                <w:color w:val="auto"/>
                <w:sz w:val="21"/>
                <w:szCs w:val="21"/>
                <w:highlight w:val="none"/>
              </w:rPr>
              <w:t>＞60.0</w:t>
            </w:r>
          </w:p>
        </w:tc>
      </w:tr>
      <w:tr w14:paraId="4892F338">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cantSplit/>
          <w:trHeight w:val="340" w:hRule="atLeast"/>
          <w:jc w:val="center"/>
        </w:trPr>
        <w:tc>
          <w:tcPr>
            <w:tcW w:w="825" w:type="dxa"/>
            <w:vAlign w:val="center"/>
          </w:tcPr>
          <w:p w14:paraId="0DA3F0DE">
            <w:pPr>
              <w:pStyle w:val="98"/>
              <w:numPr>
                <w:ilvl w:val="0"/>
                <w:numId w:val="12"/>
              </w:numPr>
              <w:ind w:left="-105" w:right="-105" w:firstLine="0"/>
              <w:rPr>
                <w:rFonts w:eastAsia="宋体"/>
                <w:color w:val="auto"/>
                <w:sz w:val="21"/>
                <w:szCs w:val="21"/>
                <w:highlight w:val="none"/>
              </w:rPr>
            </w:pPr>
          </w:p>
        </w:tc>
        <w:tc>
          <w:tcPr>
            <w:tcW w:w="1750" w:type="dxa"/>
            <w:vAlign w:val="center"/>
          </w:tcPr>
          <w:p w14:paraId="1A0BFD19">
            <w:pPr>
              <w:pStyle w:val="98"/>
              <w:ind w:left="-105" w:right="-105"/>
              <w:rPr>
                <w:rFonts w:eastAsia="宋体"/>
                <w:color w:val="auto"/>
                <w:sz w:val="21"/>
                <w:szCs w:val="21"/>
                <w:highlight w:val="none"/>
              </w:rPr>
            </w:pPr>
            <w:r>
              <w:rPr>
                <w:rFonts w:hint="eastAsia" w:ascii="宋体" w:hAnsi="宋体" w:eastAsia="宋体" w:cs="宋体"/>
                <w:color w:val="auto"/>
                <w:sz w:val="21"/>
                <w:szCs w:val="21"/>
                <w:highlight w:val="none"/>
              </w:rPr>
              <w:t>甲苯</w:t>
            </w:r>
          </w:p>
        </w:tc>
        <w:tc>
          <w:tcPr>
            <w:tcW w:w="1049" w:type="dxa"/>
            <w:vAlign w:val="center"/>
          </w:tcPr>
          <w:p w14:paraId="32F31945">
            <w:pPr>
              <w:pStyle w:val="98"/>
              <w:ind w:left="-105" w:right="-105"/>
              <w:rPr>
                <w:rFonts w:eastAsia="宋体"/>
                <w:color w:val="auto"/>
                <w:sz w:val="21"/>
                <w:szCs w:val="21"/>
                <w:highlight w:val="none"/>
              </w:rPr>
            </w:pPr>
            <w:r>
              <w:rPr>
                <w:rFonts w:eastAsia="宋体"/>
                <w:color w:val="auto"/>
                <w:sz w:val="21"/>
                <w:szCs w:val="21"/>
                <w:highlight w:val="none"/>
              </w:rPr>
              <w:t>≤0.5</w:t>
            </w:r>
          </w:p>
        </w:tc>
        <w:tc>
          <w:tcPr>
            <w:tcW w:w="1049" w:type="dxa"/>
            <w:vAlign w:val="center"/>
          </w:tcPr>
          <w:p w14:paraId="4F5D658C">
            <w:pPr>
              <w:pStyle w:val="98"/>
              <w:ind w:left="-105" w:right="-105"/>
              <w:rPr>
                <w:rFonts w:eastAsia="宋体"/>
                <w:color w:val="auto"/>
                <w:sz w:val="21"/>
                <w:szCs w:val="21"/>
                <w:highlight w:val="none"/>
              </w:rPr>
            </w:pPr>
            <w:r>
              <w:rPr>
                <w:rFonts w:eastAsia="宋体"/>
                <w:color w:val="auto"/>
                <w:sz w:val="21"/>
                <w:szCs w:val="21"/>
                <w:highlight w:val="none"/>
              </w:rPr>
              <w:t>≤140</w:t>
            </w:r>
          </w:p>
        </w:tc>
        <w:tc>
          <w:tcPr>
            <w:tcW w:w="1050" w:type="dxa"/>
            <w:vAlign w:val="center"/>
          </w:tcPr>
          <w:p w14:paraId="5E819A69">
            <w:pPr>
              <w:pStyle w:val="98"/>
              <w:ind w:left="-105" w:right="-105"/>
              <w:rPr>
                <w:rFonts w:eastAsia="宋体"/>
                <w:color w:val="auto"/>
                <w:sz w:val="21"/>
                <w:szCs w:val="21"/>
                <w:highlight w:val="none"/>
              </w:rPr>
            </w:pPr>
            <w:r>
              <w:rPr>
                <w:rFonts w:eastAsia="宋体"/>
                <w:color w:val="auto"/>
                <w:sz w:val="21"/>
                <w:szCs w:val="21"/>
                <w:highlight w:val="none"/>
              </w:rPr>
              <w:t>≤700</w:t>
            </w:r>
          </w:p>
        </w:tc>
        <w:tc>
          <w:tcPr>
            <w:tcW w:w="1665" w:type="dxa"/>
            <w:vAlign w:val="center"/>
          </w:tcPr>
          <w:p w14:paraId="31F1575F">
            <w:pPr>
              <w:pStyle w:val="98"/>
              <w:ind w:left="-105" w:right="-105"/>
              <w:rPr>
                <w:rFonts w:eastAsia="宋体"/>
                <w:color w:val="auto"/>
                <w:sz w:val="21"/>
                <w:szCs w:val="21"/>
                <w:highlight w:val="none"/>
              </w:rPr>
            </w:pPr>
            <w:r>
              <w:rPr>
                <w:rFonts w:eastAsia="宋体"/>
                <w:color w:val="auto"/>
                <w:sz w:val="21"/>
                <w:szCs w:val="21"/>
                <w:highlight w:val="none"/>
              </w:rPr>
              <w:t>≤1400</w:t>
            </w:r>
          </w:p>
        </w:tc>
        <w:tc>
          <w:tcPr>
            <w:tcW w:w="1332" w:type="dxa"/>
            <w:vAlign w:val="center"/>
          </w:tcPr>
          <w:p w14:paraId="3F131DF2">
            <w:pPr>
              <w:pStyle w:val="98"/>
              <w:ind w:left="-105" w:right="-105"/>
              <w:rPr>
                <w:rFonts w:eastAsia="宋体"/>
                <w:color w:val="auto"/>
                <w:sz w:val="21"/>
                <w:szCs w:val="21"/>
                <w:highlight w:val="none"/>
              </w:rPr>
            </w:pPr>
            <w:r>
              <w:rPr>
                <w:rFonts w:eastAsia="宋体"/>
                <w:color w:val="auto"/>
                <w:sz w:val="21"/>
                <w:szCs w:val="21"/>
                <w:highlight w:val="none"/>
              </w:rPr>
              <w:t>＞1400</w:t>
            </w:r>
          </w:p>
        </w:tc>
      </w:tr>
      <w:tr w14:paraId="4A105A41">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cantSplit/>
          <w:trHeight w:val="340" w:hRule="atLeast"/>
          <w:jc w:val="center"/>
        </w:trPr>
        <w:tc>
          <w:tcPr>
            <w:tcW w:w="825" w:type="dxa"/>
            <w:vAlign w:val="center"/>
          </w:tcPr>
          <w:p w14:paraId="08CFFD5A">
            <w:pPr>
              <w:pStyle w:val="98"/>
              <w:numPr>
                <w:ilvl w:val="0"/>
                <w:numId w:val="12"/>
              </w:numPr>
              <w:ind w:left="-105" w:right="-105" w:firstLine="0"/>
              <w:rPr>
                <w:rFonts w:eastAsia="宋体"/>
                <w:color w:val="auto"/>
                <w:sz w:val="21"/>
                <w:szCs w:val="21"/>
                <w:highlight w:val="none"/>
              </w:rPr>
            </w:pPr>
          </w:p>
        </w:tc>
        <w:tc>
          <w:tcPr>
            <w:tcW w:w="1750" w:type="dxa"/>
            <w:vAlign w:val="center"/>
          </w:tcPr>
          <w:p w14:paraId="38126D79">
            <w:pPr>
              <w:pStyle w:val="98"/>
              <w:ind w:left="-105" w:right="-105"/>
              <w:rPr>
                <w:color w:val="auto"/>
                <w:sz w:val="21"/>
                <w:szCs w:val="21"/>
                <w:highlight w:val="none"/>
              </w:rPr>
            </w:pPr>
            <w:r>
              <w:rPr>
                <w:color w:val="auto"/>
                <w:sz w:val="21"/>
                <w:szCs w:val="21"/>
                <w:highlight w:val="none"/>
              </w:rPr>
              <w:t>1</w:t>
            </w:r>
            <w:r>
              <w:rPr>
                <w:rFonts w:hint="eastAsia" w:ascii="宋体" w:hAnsi="宋体" w:eastAsia="宋体" w:cs="宋体"/>
                <w:color w:val="auto"/>
                <w:sz w:val="21"/>
                <w:szCs w:val="21"/>
                <w:highlight w:val="none"/>
              </w:rPr>
              <w:t>，</w:t>
            </w:r>
            <w:r>
              <w:rPr>
                <w:color w:val="auto"/>
                <w:sz w:val="21"/>
                <w:szCs w:val="21"/>
                <w:highlight w:val="none"/>
              </w:rPr>
              <w:t>1</w:t>
            </w:r>
            <w:r>
              <w:rPr>
                <w:rFonts w:hint="eastAsia" w:ascii="宋体" w:hAnsi="宋体" w:eastAsia="宋体" w:cs="宋体"/>
                <w:color w:val="auto"/>
                <w:sz w:val="21"/>
                <w:szCs w:val="21"/>
                <w:highlight w:val="none"/>
              </w:rPr>
              <w:t>，</w:t>
            </w:r>
            <w:r>
              <w:rPr>
                <w:color w:val="auto"/>
                <w:sz w:val="21"/>
                <w:szCs w:val="21"/>
                <w:highlight w:val="none"/>
              </w:rPr>
              <w:t>2-</w:t>
            </w:r>
            <w:r>
              <w:rPr>
                <w:rFonts w:hint="eastAsia" w:ascii="宋体" w:hAnsi="宋体" w:eastAsia="宋体" w:cs="宋体"/>
                <w:color w:val="auto"/>
                <w:sz w:val="21"/>
                <w:szCs w:val="21"/>
                <w:highlight w:val="none"/>
              </w:rPr>
              <w:t>三氯乙烷</w:t>
            </w:r>
          </w:p>
        </w:tc>
        <w:tc>
          <w:tcPr>
            <w:tcW w:w="1049" w:type="dxa"/>
            <w:vAlign w:val="center"/>
          </w:tcPr>
          <w:p w14:paraId="0C43ADD1">
            <w:pPr>
              <w:pStyle w:val="98"/>
              <w:ind w:left="-105" w:right="-105"/>
              <w:rPr>
                <w:rFonts w:eastAsia="宋体"/>
                <w:color w:val="auto"/>
                <w:sz w:val="21"/>
                <w:szCs w:val="21"/>
                <w:highlight w:val="none"/>
              </w:rPr>
            </w:pPr>
            <w:r>
              <w:rPr>
                <w:rFonts w:eastAsia="宋体"/>
                <w:color w:val="auto"/>
                <w:sz w:val="21"/>
                <w:szCs w:val="21"/>
                <w:highlight w:val="none"/>
              </w:rPr>
              <w:t>≤0.5</w:t>
            </w:r>
          </w:p>
        </w:tc>
        <w:tc>
          <w:tcPr>
            <w:tcW w:w="1049" w:type="dxa"/>
            <w:vAlign w:val="center"/>
          </w:tcPr>
          <w:p w14:paraId="4699BE21">
            <w:pPr>
              <w:pStyle w:val="98"/>
              <w:ind w:left="-105" w:right="-105"/>
              <w:rPr>
                <w:rFonts w:eastAsia="宋体"/>
                <w:color w:val="auto"/>
                <w:sz w:val="21"/>
                <w:szCs w:val="21"/>
                <w:highlight w:val="none"/>
              </w:rPr>
            </w:pPr>
            <w:r>
              <w:rPr>
                <w:rFonts w:eastAsia="宋体"/>
                <w:color w:val="auto"/>
                <w:sz w:val="21"/>
                <w:szCs w:val="21"/>
                <w:highlight w:val="none"/>
              </w:rPr>
              <w:t>≤0.5</w:t>
            </w:r>
          </w:p>
        </w:tc>
        <w:tc>
          <w:tcPr>
            <w:tcW w:w="1050" w:type="dxa"/>
            <w:vAlign w:val="center"/>
          </w:tcPr>
          <w:p w14:paraId="5BD48DA9">
            <w:pPr>
              <w:pStyle w:val="98"/>
              <w:ind w:left="-105" w:right="-105"/>
              <w:rPr>
                <w:rFonts w:eastAsia="宋体"/>
                <w:color w:val="auto"/>
                <w:sz w:val="21"/>
                <w:szCs w:val="21"/>
                <w:highlight w:val="none"/>
              </w:rPr>
            </w:pPr>
            <w:r>
              <w:rPr>
                <w:rFonts w:eastAsia="宋体"/>
                <w:color w:val="auto"/>
                <w:sz w:val="21"/>
                <w:szCs w:val="21"/>
                <w:highlight w:val="none"/>
              </w:rPr>
              <w:t>≤5.0</w:t>
            </w:r>
          </w:p>
        </w:tc>
        <w:tc>
          <w:tcPr>
            <w:tcW w:w="1665" w:type="dxa"/>
            <w:vAlign w:val="center"/>
          </w:tcPr>
          <w:p w14:paraId="30FC957F">
            <w:pPr>
              <w:pStyle w:val="98"/>
              <w:ind w:left="-105" w:right="-105"/>
              <w:rPr>
                <w:rFonts w:eastAsia="宋体"/>
                <w:color w:val="auto"/>
                <w:sz w:val="21"/>
                <w:szCs w:val="21"/>
                <w:highlight w:val="none"/>
              </w:rPr>
            </w:pPr>
            <w:r>
              <w:rPr>
                <w:rFonts w:eastAsia="宋体"/>
                <w:color w:val="auto"/>
                <w:sz w:val="21"/>
                <w:szCs w:val="21"/>
                <w:highlight w:val="none"/>
              </w:rPr>
              <w:t>≤60.0</w:t>
            </w:r>
          </w:p>
        </w:tc>
        <w:tc>
          <w:tcPr>
            <w:tcW w:w="1332" w:type="dxa"/>
            <w:vAlign w:val="center"/>
          </w:tcPr>
          <w:p w14:paraId="7F115D73">
            <w:pPr>
              <w:pStyle w:val="98"/>
              <w:ind w:left="-105" w:right="-105"/>
              <w:rPr>
                <w:rFonts w:eastAsia="宋体"/>
                <w:color w:val="auto"/>
                <w:sz w:val="21"/>
                <w:szCs w:val="21"/>
                <w:highlight w:val="none"/>
              </w:rPr>
            </w:pPr>
            <w:r>
              <w:rPr>
                <w:rFonts w:eastAsia="宋体"/>
                <w:color w:val="auto"/>
                <w:sz w:val="21"/>
                <w:szCs w:val="21"/>
                <w:highlight w:val="none"/>
              </w:rPr>
              <w:t>＞60.0</w:t>
            </w:r>
          </w:p>
        </w:tc>
      </w:tr>
      <w:tr w14:paraId="40AB5A27">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cantSplit/>
          <w:trHeight w:val="340" w:hRule="atLeast"/>
          <w:jc w:val="center"/>
        </w:trPr>
        <w:tc>
          <w:tcPr>
            <w:tcW w:w="825" w:type="dxa"/>
            <w:vAlign w:val="center"/>
          </w:tcPr>
          <w:p w14:paraId="017EB98A">
            <w:pPr>
              <w:pStyle w:val="98"/>
              <w:numPr>
                <w:ilvl w:val="0"/>
                <w:numId w:val="12"/>
              </w:numPr>
              <w:ind w:left="-105" w:right="-105" w:firstLine="0"/>
              <w:rPr>
                <w:rFonts w:eastAsia="宋体"/>
                <w:color w:val="auto"/>
                <w:sz w:val="21"/>
                <w:szCs w:val="21"/>
                <w:highlight w:val="none"/>
              </w:rPr>
            </w:pPr>
          </w:p>
        </w:tc>
        <w:tc>
          <w:tcPr>
            <w:tcW w:w="1750" w:type="dxa"/>
            <w:vAlign w:val="center"/>
          </w:tcPr>
          <w:p w14:paraId="6ED010BB">
            <w:pPr>
              <w:pStyle w:val="98"/>
              <w:ind w:left="-105" w:right="-105"/>
              <w:rPr>
                <w:color w:val="auto"/>
                <w:sz w:val="21"/>
                <w:szCs w:val="21"/>
                <w:highlight w:val="none"/>
              </w:rPr>
            </w:pPr>
            <w:r>
              <w:rPr>
                <w:rFonts w:hint="eastAsia" w:ascii="宋体" w:hAnsi="宋体" w:eastAsia="宋体" w:cs="宋体"/>
                <w:color w:val="auto"/>
                <w:sz w:val="21"/>
                <w:szCs w:val="21"/>
                <w:highlight w:val="none"/>
              </w:rPr>
              <w:t>四氯乙烯</w:t>
            </w:r>
          </w:p>
        </w:tc>
        <w:tc>
          <w:tcPr>
            <w:tcW w:w="1049" w:type="dxa"/>
            <w:vAlign w:val="center"/>
          </w:tcPr>
          <w:p w14:paraId="581BEFDB">
            <w:pPr>
              <w:pStyle w:val="98"/>
              <w:ind w:left="-105" w:right="-105"/>
              <w:rPr>
                <w:rFonts w:eastAsia="宋体"/>
                <w:color w:val="auto"/>
                <w:sz w:val="21"/>
                <w:szCs w:val="21"/>
                <w:highlight w:val="none"/>
              </w:rPr>
            </w:pPr>
            <w:r>
              <w:rPr>
                <w:rFonts w:eastAsia="宋体"/>
                <w:color w:val="auto"/>
                <w:sz w:val="21"/>
                <w:szCs w:val="21"/>
                <w:highlight w:val="none"/>
              </w:rPr>
              <w:t>≤0.5</w:t>
            </w:r>
          </w:p>
        </w:tc>
        <w:tc>
          <w:tcPr>
            <w:tcW w:w="1049" w:type="dxa"/>
            <w:vAlign w:val="center"/>
          </w:tcPr>
          <w:p w14:paraId="6F572EB3">
            <w:pPr>
              <w:pStyle w:val="98"/>
              <w:ind w:left="-105" w:right="-105"/>
              <w:rPr>
                <w:rFonts w:eastAsia="宋体"/>
                <w:color w:val="auto"/>
                <w:sz w:val="21"/>
                <w:szCs w:val="21"/>
                <w:highlight w:val="none"/>
              </w:rPr>
            </w:pPr>
            <w:r>
              <w:rPr>
                <w:rFonts w:eastAsia="宋体"/>
                <w:color w:val="auto"/>
                <w:sz w:val="21"/>
                <w:szCs w:val="21"/>
                <w:highlight w:val="none"/>
              </w:rPr>
              <w:t>≤4.0</w:t>
            </w:r>
          </w:p>
        </w:tc>
        <w:tc>
          <w:tcPr>
            <w:tcW w:w="1050" w:type="dxa"/>
            <w:vAlign w:val="center"/>
          </w:tcPr>
          <w:p w14:paraId="70719584">
            <w:pPr>
              <w:pStyle w:val="98"/>
              <w:ind w:left="-105" w:right="-105"/>
              <w:rPr>
                <w:rFonts w:eastAsia="宋体"/>
                <w:color w:val="auto"/>
                <w:sz w:val="21"/>
                <w:szCs w:val="21"/>
                <w:highlight w:val="none"/>
              </w:rPr>
            </w:pPr>
            <w:r>
              <w:rPr>
                <w:rFonts w:eastAsia="宋体"/>
                <w:color w:val="auto"/>
                <w:sz w:val="21"/>
                <w:szCs w:val="21"/>
                <w:highlight w:val="none"/>
              </w:rPr>
              <w:t>≤40.0</w:t>
            </w:r>
          </w:p>
        </w:tc>
        <w:tc>
          <w:tcPr>
            <w:tcW w:w="1665" w:type="dxa"/>
            <w:vAlign w:val="center"/>
          </w:tcPr>
          <w:p w14:paraId="78B20EBB">
            <w:pPr>
              <w:pStyle w:val="98"/>
              <w:ind w:left="-105" w:right="-105"/>
              <w:rPr>
                <w:rFonts w:eastAsia="宋体"/>
                <w:color w:val="auto"/>
                <w:sz w:val="21"/>
                <w:szCs w:val="21"/>
                <w:highlight w:val="none"/>
              </w:rPr>
            </w:pPr>
            <w:r>
              <w:rPr>
                <w:rFonts w:eastAsia="宋体"/>
                <w:color w:val="auto"/>
                <w:sz w:val="21"/>
                <w:szCs w:val="21"/>
                <w:highlight w:val="none"/>
              </w:rPr>
              <w:t>≤300</w:t>
            </w:r>
          </w:p>
        </w:tc>
        <w:tc>
          <w:tcPr>
            <w:tcW w:w="1332" w:type="dxa"/>
            <w:vAlign w:val="center"/>
          </w:tcPr>
          <w:p w14:paraId="1C40305E">
            <w:pPr>
              <w:pStyle w:val="98"/>
              <w:ind w:left="-105" w:right="-105"/>
              <w:rPr>
                <w:rFonts w:eastAsia="宋体"/>
                <w:color w:val="auto"/>
                <w:sz w:val="21"/>
                <w:szCs w:val="21"/>
                <w:highlight w:val="none"/>
              </w:rPr>
            </w:pPr>
            <w:r>
              <w:rPr>
                <w:rFonts w:eastAsia="宋体"/>
                <w:color w:val="auto"/>
                <w:sz w:val="21"/>
                <w:szCs w:val="21"/>
                <w:highlight w:val="none"/>
              </w:rPr>
              <w:t>＞300</w:t>
            </w:r>
          </w:p>
        </w:tc>
      </w:tr>
      <w:tr w14:paraId="61B59C6E">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cantSplit/>
          <w:trHeight w:val="340" w:hRule="atLeast"/>
          <w:jc w:val="center"/>
        </w:trPr>
        <w:tc>
          <w:tcPr>
            <w:tcW w:w="825" w:type="dxa"/>
            <w:vAlign w:val="center"/>
          </w:tcPr>
          <w:p w14:paraId="032E8335">
            <w:pPr>
              <w:pStyle w:val="98"/>
              <w:numPr>
                <w:ilvl w:val="0"/>
                <w:numId w:val="12"/>
              </w:numPr>
              <w:ind w:left="-105" w:right="-105" w:firstLine="0"/>
              <w:rPr>
                <w:rFonts w:eastAsia="宋体"/>
                <w:color w:val="auto"/>
                <w:sz w:val="21"/>
                <w:szCs w:val="21"/>
                <w:highlight w:val="none"/>
              </w:rPr>
            </w:pPr>
          </w:p>
        </w:tc>
        <w:tc>
          <w:tcPr>
            <w:tcW w:w="1750" w:type="dxa"/>
            <w:vAlign w:val="center"/>
          </w:tcPr>
          <w:p w14:paraId="4DABA2F2">
            <w:pPr>
              <w:pStyle w:val="98"/>
              <w:ind w:left="-105" w:right="-105"/>
              <w:rPr>
                <w:color w:val="auto"/>
                <w:sz w:val="21"/>
                <w:szCs w:val="21"/>
                <w:highlight w:val="none"/>
              </w:rPr>
            </w:pPr>
            <w:r>
              <w:rPr>
                <w:rFonts w:hint="eastAsia" w:ascii="宋体" w:hAnsi="宋体" w:eastAsia="宋体" w:cs="宋体"/>
                <w:color w:val="auto"/>
                <w:sz w:val="21"/>
                <w:szCs w:val="21"/>
                <w:highlight w:val="none"/>
              </w:rPr>
              <w:t>氯苯</w:t>
            </w:r>
          </w:p>
        </w:tc>
        <w:tc>
          <w:tcPr>
            <w:tcW w:w="1049" w:type="dxa"/>
            <w:vAlign w:val="center"/>
          </w:tcPr>
          <w:p w14:paraId="7A24540E">
            <w:pPr>
              <w:pStyle w:val="98"/>
              <w:ind w:left="-105" w:right="-105"/>
              <w:rPr>
                <w:rFonts w:eastAsia="宋体"/>
                <w:color w:val="auto"/>
                <w:sz w:val="21"/>
                <w:szCs w:val="21"/>
                <w:highlight w:val="none"/>
              </w:rPr>
            </w:pPr>
            <w:r>
              <w:rPr>
                <w:rFonts w:eastAsia="宋体"/>
                <w:color w:val="auto"/>
                <w:sz w:val="21"/>
                <w:szCs w:val="21"/>
                <w:highlight w:val="none"/>
              </w:rPr>
              <w:t>≤0.5</w:t>
            </w:r>
          </w:p>
        </w:tc>
        <w:tc>
          <w:tcPr>
            <w:tcW w:w="1049" w:type="dxa"/>
            <w:vAlign w:val="center"/>
          </w:tcPr>
          <w:p w14:paraId="79C06F46">
            <w:pPr>
              <w:pStyle w:val="98"/>
              <w:ind w:left="-105" w:right="-105"/>
              <w:rPr>
                <w:rFonts w:eastAsia="宋体"/>
                <w:color w:val="auto"/>
                <w:sz w:val="21"/>
                <w:szCs w:val="21"/>
                <w:highlight w:val="none"/>
              </w:rPr>
            </w:pPr>
            <w:r>
              <w:rPr>
                <w:rFonts w:eastAsia="宋体"/>
                <w:color w:val="auto"/>
                <w:sz w:val="21"/>
                <w:szCs w:val="21"/>
                <w:highlight w:val="none"/>
              </w:rPr>
              <w:t>≤60.0</w:t>
            </w:r>
          </w:p>
        </w:tc>
        <w:tc>
          <w:tcPr>
            <w:tcW w:w="1050" w:type="dxa"/>
            <w:vAlign w:val="center"/>
          </w:tcPr>
          <w:p w14:paraId="7075B184">
            <w:pPr>
              <w:pStyle w:val="98"/>
              <w:ind w:left="-105" w:right="-105"/>
              <w:rPr>
                <w:rFonts w:eastAsia="宋体"/>
                <w:color w:val="auto"/>
                <w:sz w:val="21"/>
                <w:szCs w:val="21"/>
                <w:highlight w:val="none"/>
              </w:rPr>
            </w:pPr>
            <w:r>
              <w:rPr>
                <w:rFonts w:eastAsia="宋体"/>
                <w:color w:val="auto"/>
                <w:sz w:val="21"/>
                <w:szCs w:val="21"/>
                <w:highlight w:val="none"/>
              </w:rPr>
              <w:t>≤300</w:t>
            </w:r>
          </w:p>
        </w:tc>
        <w:tc>
          <w:tcPr>
            <w:tcW w:w="1665" w:type="dxa"/>
            <w:vAlign w:val="center"/>
          </w:tcPr>
          <w:p w14:paraId="58372E56">
            <w:pPr>
              <w:pStyle w:val="98"/>
              <w:ind w:left="-105" w:right="-105"/>
              <w:rPr>
                <w:rFonts w:eastAsia="宋体"/>
                <w:color w:val="auto"/>
                <w:sz w:val="21"/>
                <w:szCs w:val="21"/>
                <w:highlight w:val="none"/>
              </w:rPr>
            </w:pPr>
            <w:r>
              <w:rPr>
                <w:rFonts w:eastAsia="宋体"/>
                <w:color w:val="auto"/>
                <w:sz w:val="21"/>
                <w:szCs w:val="21"/>
                <w:highlight w:val="none"/>
              </w:rPr>
              <w:t>≤600</w:t>
            </w:r>
          </w:p>
        </w:tc>
        <w:tc>
          <w:tcPr>
            <w:tcW w:w="1332" w:type="dxa"/>
            <w:vAlign w:val="center"/>
          </w:tcPr>
          <w:p w14:paraId="1C28090D">
            <w:pPr>
              <w:pStyle w:val="98"/>
              <w:ind w:left="-105" w:right="-105"/>
              <w:rPr>
                <w:rFonts w:eastAsia="宋体"/>
                <w:color w:val="auto"/>
                <w:sz w:val="21"/>
                <w:szCs w:val="21"/>
                <w:highlight w:val="none"/>
              </w:rPr>
            </w:pPr>
            <w:r>
              <w:rPr>
                <w:rFonts w:eastAsia="宋体"/>
                <w:color w:val="auto"/>
                <w:sz w:val="21"/>
                <w:szCs w:val="21"/>
                <w:highlight w:val="none"/>
              </w:rPr>
              <w:t>＞600</w:t>
            </w:r>
          </w:p>
        </w:tc>
      </w:tr>
      <w:tr w14:paraId="093385E4">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cantSplit/>
          <w:trHeight w:val="340" w:hRule="atLeast"/>
          <w:jc w:val="center"/>
        </w:trPr>
        <w:tc>
          <w:tcPr>
            <w:tcW w:w="825" w:type="dxa"/>
            <w:vAlign w:val="center"/>
          </w:tcPr>
          <w:p w14:paraId="1489E859">
            <w:pPr>
              <w:pStyle w:val="98"/>
              <w:numPr>
                <w:ilvl w:val="0"/>
                <w:numId w:val="12"/>
              </w:numPr>
              <w:ind w:left="-105" w:right="-105" w:firstLine="0"/>
              <w:rPr>
                <w:rFonts w:eastAsia="宋体"/>
                <w:color w:val="auto"/>
                <w:sz w:val="21"/>
                <w:szCs w:val="21"/>
                <w:highlight w:val="none"/>
              </w:rPr>
            </w:pPr>
          </w:p>
        </w:tc>
        <w:tc>
          <w:tcPr>
            <w:tcW w:w="1750" w:type="dxa"/>
            <w:vAlign w:val="center"/>
          </w:tcPr>
          <w:p w14:paraId="539A3C38">
            <w:pPr>
              <w:pStyle w:val="98"/>
              <w:ind w:left="-105" w:right="-105"/>
              <w:rPr>
                <w:color w:val="auto"/>
                <w:sz w:val="21"/>
                <w:szCs w:val="21"/>
                <w:highlight w:val="none"/>
              </w:rPr>
            </w:pPr>
            <w:r>
              <w:rPr>
                <w:rFonts w:hint="eastAsia" w:ascii="宋体" w:hAnsi="宋体" w:eastAsia="宋体" w:cs="宋体"/>
                <w:color w:val="auto"/>
                <w:sz w:val="21"/>
                <w:szCs w:val="21"/>
                <w:highlight w:val="none"/>
              </w:rPr>
              <w:t>乙苯</w:t>
            </w:r>
          </w:p>
        </w:tc>
        <w:tc>
          <w:tcPr>
            <w:tcW w:w="1049" w:type="dxa"/>
            <w:vAlign w:val="center"/>
          </w:tcPr>
          <w:p w14:paraId="10D602CB">
            <w:pPr>
              <w:pStyle w:val="98"/>
              <w:ind w:left="-105" w:right="-105"/>
              <w:rPr>
                <w:rFonts w:eastAsia="宋体"/>
                <w:color w:val="auto"/>
                <w:sz w:val="21"/>
                <w:szCs w:val="21"/>
                <w:highlight w:val="none"/>
              </w:rPr>
            </w:pPr>
            <w:r>
              <w:rPr>
                <w:rFonts w:eastAsia="宋体"/>
                <w:color w:val="auto"/>
                <w:sz w:val="21"/>
                <w:szCs w:val="21"/>
                <w:highlight w:val="none"/>
              </w:rPr>
              <w:t>≤0.5</w:t>
            </w:r>
          </w:p>
        </w:tc>
        <w:tc>
          <w:tcPr>
            <w:tcW w:w="1049" w:type="dxa"/>
            <w:vAlign w:val="center"/>
          </w:tcPr>
          <w:p w14:paraId="702D646F">
            <w:pPr>
              <w:pStyle w:val="98"/>
              <w:ind w:left="-105" w:right="-105"/>
              <w:rPr>
                <w:rFonts w:eastAsia="宋体"/>
                <w:color w:val="auto"/>
                <w:sz w:val="21"/>
                <w:szCs w:val="21"/>
                <w:highlight w:val="none"/>
              </w:rPr>
            </w:pPr>
            <w:r>
              <w:rPr>
                <w:rFonts w:eastAsia="宋体"/>
                <w:color w:val="auto"/>
                <w:sz w:val="21"/>
                <w:szCs w:val="21"/>
                <w:highlight w:val="none"/>
              </w:rPr>
              <w:t>≤30.0</w:t>
            </w:r>
          </w:p>
        </w:tc>
        <w:tc>
          <w:tcPr>
            <w:tcW w:w="1050" w:type="dxa"/>
            <w:vAlign w:val="center"/>
          </w:tcPr>
          <w:p w14:paraId="330E48F8">
            <w:pPr>
              <w:pStyle w:val="98"/>
              <w:ind w:left="-105" w:right="-105"/>
              <w:rPr>
                <w:rFonts w:eastAsia="宋体"/>
                <w:color w:val="auto"/>
                <w:sz w:val="21"/>
                <w:szCs w:val="21"/>
                <w:highlight w:val="none"/>
              </w:rPr>
            </w:pPr>
            <w:r>
              <w:rPr>
                <w:rFonts w:eastAsia="宋体"/>
                <w:color w:val="auto"/>
                <w:sz w:val="21"/>
                <w:szCs w:val="21"/>
                <w:highlight w:val="none"/>
              </w:rPr>
              <w:t>≤300</w:t>
            </w:r>
          </w:p>
        </w:tc>
        <w:tc>
          <w:tcPr>
            <w:tcW w:w="1665" w:type="dxa"/>
            <w:vAlign w:val="center"/>
          </w:tcPr>
          <w:p w14:paraId="46666672">
            <w:pPr>
              <w:pStyle w:val="98"/>
              <w:ind w:left="-105" w:right="-105"/>
              <w:rPr>
                <w:rFonts w:eastAsia="宋体"/>
                <w:color w:val="auto"/>
                <w:sz w:val="21"/>
                <w:szCs w:val="21"/>
                <w:highlight w:val="none"/>
              </w:rPr>
            </w:pPr>
            <w:r>
              <w:rPr>
                <w:rFonts w:eastAsia="宋体"/>
                <w:color w:val="auto"/>
                <w:sz w:val="21"/>
                <w:szCs w:val="21"/>
                <w:highlight w:val="none"/>
              </w:rPr>
              <w:t>≤600</w:t>
            </w:r>
          </w:p>
        </w:tc>
        <w:tc>
          <w:tcPr>
            <w:tcW w:w="1332" w:type="dxa"/>
            <w:vAlign w:val="center"/>
          </w:tcPr>
          <w:p w14:paraId="3E90A61E">
            <w:pPr>
              <w:pStyle w:val="98"/>
              <w:ind w:left="-105" w:right="-105"/>
              <w:rPr>
                <w:rFonts w:eastAsia="宋体"/>
                <w:color w:val="auto"/>
                <w:sz w:val="21"/>
                <w:szCs w:val="21"/>
                <w:highlight w:val="none"/>
              </w:rPr>
            </w:pPr>
            <w:r>
              <w:rPr>
                <w:rFonts w:eastAsia="宋体"/>
                <w:color w:val="auto"/>
                <w:sz w:val="21"/>
                <w:szCs w:val="21"/>
                <w:highlight w:val="none"/>
              </w:rPr>
              <w:t>＞600</w:t>
            </w:r>
          </w:p>
        </w:tc>
      </w:tr>
      <w:tr w14:paraId="358A4E4A">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cantSplit/>
          <w:trHeight w:val="340" w:hRule="atLeast"/>
          <w:jc w:val="center"/>
        </w:trPr>
        <w:tc>
          <w:tcPr>
            <w:tcW w:w="825" w:type="dxa"/>
            <w:vAlign w:val="center"/>
          </w:tcPr>
          <w:p w14:paraId="66F7C5F2">
            <w:pPr>
              <w:pStyle w:val="98"/>
              <w:numPr>
                <w:ilvl w:val="0"/>
                <w:numId w:val="12"/>
              </w:numPr>
              <w:ind w:left="-105" w:right="-105" w:firstLine="0"/>
              <w:rPr>
                <w:rFonts w:eastAsia="宋体"/>
                <w:color w:val="auto"/>
                <w:sz w:val="21"/>
                <w:szCs w:val="21"/>
                <w:highlight w:val="none"/>
              </w:rPr>
            </w:pPr>
          </w:p>
        </w:tc>
        <w:tc>
          <w:tcPr>
            <w:tcW w:w="1750" w:type="dxa"/>
            <w:vAlign w:val="center"/>
          </w:tcPr>
          <w:p w14:paraId="7435E41A">
            <w:pPr>
              <w:pStyle w:val="98"/>
              <w:ind w:left="-105" w:right="-105"/>
              <w:rPr>
                <w:color w:val="auto"/>
                <w:sz w:val="21"/>
                <w:szCs w:val="21"/>
                <w:highlight w:val="none"/>
              </w:rPr>
            </w:pPr>
            <w:r>
              <w:rPr>
                <w:rFonts w:hint="eastAsia" w:ascii="宋体" w:hAnsi="宋体" w:eastAsia="宋体" w:cs="宋体"/>
                <w:color w:val="auto"/>
                <w:sz w:val="21"/>
                <w:szCs w:val="21"/>
                <w:highlight w:val="none"/>
              </w:rPr>
              <w:t>二甲苯</w:t>
            </w:r>
          </w:p>
        </w:tc>
        <w:tc>
          <w:tcPr>
            <w:tcW w:w="1049" w:type="dxa"/>
            <w:vAlign w:val="center"/>
          </w:tcPr>
          <w:p w14:paraId="41732900">
            <w:pPr>
              <w:pStyle w:val="98"/>
              <w:ind w:left="-105" w:right="-105"/>
              <w:rPr>
                <w:rFonts w:eastAsia="宋体"/>
                <w:color w:val="auto"/>
                <w:sz w:val="21"/>
                <w:szCs w:val="21"/>
                <w:highlight w:val="none"/>
              </w:rPr>
            </w:pPr>
            <w:r>
              <w:rPr>
                <w:rFonts w:eastAsia="宋体"/>
                <w:color w:val="auto"/>
                <w:sz w:val="21"/>
                <w:szCs w:val="21"/>
                <w:highlight w:val="none"/>
              </w:rPr>
              <w:t>≤0.5</w:t>
            </w:r>
          </w:p>
        </w:tc>
        <w:tc>
          <w:tcPr>
            <w:tcW w:w="1049" w:type="dxa"/>
            <w:vAlign w:val="center"/>
          </w:tcPr>
          <w:p w14:paraId="6816EA23">
            <w:pPr>
              <w:pStyle w:val="98"/>
              <w:ind w:left="-105" w:right="-105"/>
              <w:rPr>
                <w:rFonts w:eastAsia="宋体"/>
                <w:color w:val="auto"/>
                <w:sz w:val="21"/>
                <w:szCs w:val="21"/>
                <w:highlight w:val="none"/>
              </w:rPr>
            </w:pPr>
            <w:r>
              <w:rPr>
                <w:rFonts w:eastAsia="宋体"/>
                <w:color w:val="auto"/>
                <w:sz w:val="21"/>
                <w:szCs w:val="21"/>
                <w:highlight w:val="none"/>
              </w:rPr>
              <w:t>≤100</w:t>
            </w:r>
          </w:p>
        </w:tc>
        <w:tc>
          <w:tcPr>
            <w:tcW w:w="1050" w:type="dxa"/>
            <w:vAlign w:val="center"/>
          </w:tcPr>
          <w:p w14:paraId="0F15EFE7">
            <w:pPr>
              <w:pStyle w:val="98"/>
              <w:ind w:left="-105" w:right="-105"/>
              <w:rPr>
                <w:rFonts w:eastAsia="宋体"/>
                <w:color w:val="auto"/>
                <w:sz w:val="21"/>
                <w:szCs w:val="21"/>
                <w:highlight w:val="none"/>
              </w:rPr>
            </w:pPr>
            <w:r>
              <w:rPr>
                <w:rFonts w:eastAsia="宋体"/>
                <w:color w:val="auto"/>
                <w:sz w:val="21"/>
                <w:szCs w:val="21"/>
                <w:highlight w:val="none"/>
              </w:rPr>
              <w:t>≤500</w:t>
            </w:r>
          </w:p>
        </w:tc>
        <w:tc>
          <w:tcPr>
            <w:tcW w:w="1665" w:type="dxa"/>
            <w:vAlign w:val="center"/>
          </w:tcPr>
          <w:p w14:paraId="3582C45C">
            <w:pPr>
              <w:pStyle w:val="98"/>
              <w:ind w:left="-105" w:right="-105"/>
              <w:rPr>
                <w:rFonts w:eastAsia="宋体"/>
                <w:color w:val="auto"/>
                <w:sz w:val="21"/>
                <w:szCs w:val="21"/>
                <w:highlight w:val="none"/>
              </w:rPr>
            </w:pPr>
            <w:r>
              <w:rPr>
                <w:rFonts w:eastAsia="宋体"/>
                <w:color w:val="auto"/>
                <w:sz w:val="21"/>
                <w:szCs w:val="21"/>
                <w:highlight w:val="none"/>
              </w:rPr>
              <w:t>≤1000</w:t>
            </w:r>
          </w:p>
        </w:tc>
        <w:tc>
          <w:tcPr>
            <w:tcW w:w="1332" w:type="dxa"/>
            <w:vAlign w:val="center"/>
          </w:tcPr>
          <w:p w14:paraId="62C6C775">
            <w:pPr>
              <w:pStyle w:val="98"/>
              <w:ind w:left="-105" w:right="-105"/>
              <w:rPr>
                <w:rFonts w:eastAsia="宋体"/>
                <w:b/>
                <w:bCs/>
                <w:color w:val="auto"/>
                <w:sz w:val="21"/>
                <w:szCs w:val="21"/>
                <w:highlight w:val="none"/>
              </w:rPr>
            </w:pPr>
            <w:r>
              <w:rPr>
                <w:rFonts w:eastAsia="宋体"/>
                <w:color w:val="auto"/>
                <w:sz w:val="21"/>
                <w:szCs w:val="21"/>
                <w:highlight w:val="none"/>
              </w:rPr>
              <w:t>＞1000</w:t>
            </w:r>
          </w:p>
        </w:tc>
      </w:tr>
      <w:tr w14:paraId="3787F7C7">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cantSplit/>
          <w:trHeight w:val="340" w:hRule="atLeast"/>
          <w:jc w:val="center"/>
        </w:trPr>
        <w:tc>
          <w:tcPr>
            <w:tcW w:w="825" w:type="dxa"/>
            <w:vAlign w:val="center"/>
          </w:tcPr>
          <w:p w14:paraId="184449D4">
            <w:pPr>
              <w:pStyle w:val="98"/>
              <w:numPr>
                <w:ilvl w:val="0"/>
                <w:numId w:val="12"/>
              </w:numPr>
              <w:ind w:left="-105" w:right="-105" w:firstLine="0"/>
              <w:rPr>
                <w:rFonts w:eastAsia="宋体"/>
                <w:color w:val="auto"/>
                <w:sz w:val="21"/>
                <w:szCs w:val="21"/>
                <w:highlight w:val="none"/>
              </w:rPr>
            </w:pPr>
          </w:p>
        </w:tc>
        <w:tc>
          <w:tcPr>
            <w:tcW w:w="1750" w:type="dxa"/>
            <w:vAlign w:val="center"/>
          </w:tcPr>
          <w:p w14:paraId="420A1FF3">
            <w:pPr>
              <w:pStyle w:val="98"/>
              <w:ind w:left="-105" w:right="-105"/>
              <w:rPr>
                <w:color w:val="auto"/>
                <w:sz w:val="21"/>
                <w:szCs w:val="21"/>
                <w:highlight w:val="none"/>
              </w:rPr>
            </w:pPr>
            <w:r>
              <w:rPr>
                <w:rFonts w:hint="eastAsia" w:ascii="宋体" w:hAnsi="宋体" w:eastAsia="宋体" w:cs="宋体"/>
                <w:color w:val="auto"/>
                <w:sz w:val="21"/>
                <w:szCs w:val="21"/>
                <w:highlight w:val="none"/>
              </w:rPr>
              <w:t>苯乙烯</w:t>
            </w:r>
          </w:p>
        </w:tc>
        <w:tc>
          <w:tcPr>
            <w:tcW w:w="1049" w:type="dxa"/>
            <w:vAlign w:val="center"/>
          </w:tcPr>
          <w:p w14:paraId="26AAD145">
            <w:pPr>
              <w:pStyle w:val="98"/>
              <w:ind w:left="-105" w:right="-105"/>
              <w:rPr>
                <w:rFonts w:eastAsia="宋体"/>
                <w:color w:val="auto"/>
                <w:sz w:val="21"/>
                <w:szCs w:val="21"/>
                <w:highlight w:val="none"/>
              </w:rPr>
            </w:pPr>
            <w:r>
              <w:rPr>
                <w:rFonts w:eastAsia="宋体"/>
                <w:color w:val="auto"/>
                <w:sz w:val="21"/>
                <w:szCs w:val="21"/>
                <w:highlight w:val="none"/>
              </w:rPr>
              <w:t>≤0.5</w:t>
            </w:r>
          </w:p>
        </w:tc>
        <w:tc>
          <w:tcPr>
            <w:tcW w:w="1049" w:type="dxa"/>
            <w:vAlign w:val="center"/>
          </w:tcPr>
          <w:p w14:paraId="7A13FFAA">
            <w:pPr>
              <w:pStyle w:val="98"/>
              <w:ind w:left="-105" w:right="-105"/>
              <w:rPr>
                <w:rFonts w:eastAsia="宋体"/>
                <w:color w:val="auto"/>
                <w:sz w:val="21"/>
                <w:szCs w:val="21"/>
                <w:highlight w:val="none"/>
              </w:rPr>
            </w:pPr>
            <w:r>
              <w:rPr>
                <w:rFonts w:eastAsia="宋体"/>
                <w:color w:val="auto"/>
                <w:sz w:val="21"/>
                <w:szCs w:val="21"/>
                <w:highlight w:val="none"/>
              </w:rPr>
              <w:t>≤2.0</w:t>
            </w:r>
          </w:p>
        </w:tc>
        <w:tc>
          <w:tcPr>
            <w:tcW w:w="1050" w:type="dxa"/>
            <w:vAlign w:val="center"/>
          </w:tcPr>
          <w:p w14:paraId="1F775766">
            <w:pPr>
              <w:pStyle w:val="98"/>
              <w:ind w:left="-105" w:right="-105"/>
              <w:rPr>
                <w:rFonts w:eastAsia="宋体"/>
                <w:color w:val="auto"/>
                <w:sz w:val="21"/>
                <w:szCs w:val="21"/>
                <w:highlight w:val="none"/>
              </w:rPr>
            </w:pPr>
            <w:r>
              <w:rPr>
                <w:rFonts w:eastAsia="宋体"/>
                <w:color w:val="auto"/>
                <w:sz w:val="21"/>
                <w:szCs w:val="21"/>
                <w:highlight w:val="none"/>
              </w:rPr>
              <w:t>≤20.0</w:t>
            </w:r>
          </w:p>
        </w:tc>
        <w:tc>
          <w:tcPr>
            <w:tcW w:w="1665" w:type="dxa"/>
            <w:vAlign w:val="center"/>
          </w:tcPr>
          <w:p w14:paraId="1976DD03">
            <w:pPr>
              <w:pStyle w:val="98"/>
              <w:ind w:left="-105" w:right="-105"/>
              <w:rPr>
                <w:rFonts w:eastAsia="宋体"/>
                <w:color w:val="auto"/>
                <w:sz w:val="21"/>
                <w:szCs w:val="21"/>
                <w:highlight w:val="none"/>
              </w:rPr>
            </w:pPr>
            <w:r>
              <w:rPr>
                <w:rFonts w:eastAsia="宋体"/>
                <w:color w:val="auto"/>
                <w:sz w:val="21"/>
                <w:szCs w:val="21"/>
                <w:highlight w:val="none"/>
              </w:rPr>
              <w:t>≤40.0</w:t>
            </w:r>
          </w:p>
        </w:tc>
        <w:tc>
          <w:tcPr>
            <w:tcW w:w="1332" w:type="dxa"/>
            <w:vAlign w:val="center"/>
          </w:tcPr>
          <w:p w14:paraId="18414911">
            <w:pPr>
              <w:pStyle w:val="98"/>
              <w:ind w:left="-105" w:right="-105"/>
              <w:rPr>
                <w:rFonts w:eastAsia="宋体"/>
                <w:color w:val="auto"/>
                <w:sz w:val="21"/>
                <w:szCs w:val="21"/>
                <w:highlight w:val="none"/>
              </w:rPr>
            </w:pPr>
            <w:r>
              <w:rPr>
                <w:rFonts w:eastAsia="宋体"/>
                <w:color w:val="auto"/>
                <w:sz w:val="21"/>
                <w:szCs w:val="21"/>
                <w:highlight w:val="none"/>
              </w:rPr>
              <w:t>＞40.0</w:t>
            </w:r>
          </w:p>
        </w:tc>
      </w:tr>
      <w:tr w14:paraId="39582E6E">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cantSplit/>
          <w:trHeight w:val="340" w:hRule="atLeast"/>
          <w:jc w:val="center"/>
        </w:trPr>
        <w:tc>
          <w:tcPr>
            <w:tcW w:w="825" w:type="dxa"/>
            <w:vAlign w:val="center"/>
          </w:tcPr>
          <w:p w14:paraId="5A97A700">
            <w:pPr>
              <w:pStyle w:val="98"/>
              <w:numPr>
                <w:ilvl w:val="0"/>
                <w:numId w:val="12"/>
              </w:numPr>
              <w:ind w:left="-105" w:right="-105" w:firstLine="0"/>
              <w:rPr>
                <w:rFonts w:eastAsia="宋体"/>
                <w:color w:val="auto"/>
                <w:sz w:val="21"/>
                <w:szCs w:val="21"/>
                <w:highlight w:val="none"/>
              </w:rPr>
            </w:pPr>
          </w:p>
        </w:tc>
        <w:tc>
          <w:tcPr>
            <w:tcW w:w="1750" w:type="dxa"/>
            <w:vAlign w:val="center"/>
          </w:tcPr>
          <w:p w14:paraId="01D9FB17">
            <w:pPr>
              <w:pStyle w:val="98"/>
              <w:ind w:left="-105" w:right="-105"/>
              <w:rPr>
                <w:color w:val="auto"/>
                <w:sz w:val="21"/>
                <w:szCs w:val="21"/>
                <w:highlight w:val="none"/>
              </w:rPr>
            </w:pPr>
            <w:r>
              <w:rPr>
                <w:rFonts w:hint="eastAsia" w:ascii="宋体" w:hAnsi="宋体" w:eastAsia="宋体" w:cs="宋体"/>
                <w:color w:val="auto"/>
                <w:sz w:val="21"/>
                <w:szCs w:val="21"/>
                <w:highlight w:val="none"/>
              </w:rPr>
              <w:t>对二氯苯</w:t>
            </w:r>
          </w:p>
        </w:tc>
        <w:tc>
          <w:tcPr>
            <w:tcW w:w="1049" w:type="dxa"/>
            <w:vAlign w:val="center"/>
          </w:tcPr>
          <w:p w14:paraId="10482B0B">
            <w:pPr>
              <w:pStyle w:val="98"/>
              <w:ind w:left="-105" w:right="-105"/>
              <w:rPr>
                <w:rFonts w:eastAsia="宋体"/>
                <w:color w:val="auto"/>
                <w:sz w:val="21"/>
                <w:szCs w:val="21"/>
                <w:highlight w:val="none"/>
              </w:rPr>
            </w:pPr>
            <w:r>
              <w:rPr>
                <w:rFonts w:eastAsia="宋体"/>
                <w:color w:val="auto"/>
                <w:sz w:val="21"/>
                <w:szCs w:val="21"/>
                <w:highlight w:val="none"/>
              </w:rPr>
              <w:t>≤0.5</w:t>
            </w:r>
          </w:p>
        </w:tc>
        <w:tc>
          <w:tcPr>
            <w:tcW w:w="1049" w:type="dxa"/>
            <w:vAlign w:val="center"/>
          </w:tcPr>
          <w:p w14:paraId="1B56CE8E">
            <w:pPr>
              <w:pStyle w:val="98"/>
              <w:ind w:left="-105" w:right="-105"/>
              <w:rPr>
                <w:rFonts w:eastAsia="宋体"/>
                <w:color w:val="auto"/>
                <w:sz w:val="21"/>
                <w:szCs w:val="21"/>
                <w:highlight w:val="none"/>
              </w:rPr>
            </w:pPr>
            <w:r>
              <w:rPr>
                <w:rFonts w:eastAsia="宋体"/>
                <w:color w:val="auto"/>
                <w:sz w:val="21"/>
                <w:szCs w:val="21"/>
                <w:highlight w:val="none"/>
              </w:rPr>
              <w:t>≤30.0</w:t>
            </w:r>
          </w:p>
        </w:tc>
        <w:tc>
          <w:tcPr>
            <w:tcW w:w="1050" w:type="dxa"/>
            <w:vAlign w:val="center"/>
          </w:tcPr>
          <w:p w14:paraId="61ED24F3">
            <w:pPr>
              <w:pStyle w:val="98"/>
              <w:ind w:left="-105" w:right="-105"/>
              <w:rPr>
                <w:rFonts w:eastAsia="宋体"/>
                <w:color w:val="auto"/>
                <w:sz w:val="21"/>
                <w:szCs w:val="21"/>
                <w:highlight w:val="none"/>
              </w:rPr>
            </w:pPr>
            <w:r>
              <w:rPr>
                <w:rFonts w:eastAsia="宋体"/>
                <w:color w:val="auto"/>
                <w:sz w:val="21"/>
                <w:szCs w:val="21"/>
                <w:highlight w:val="none"/>
              </w:rPr>
              <w:t>≤300</w:t>
            </w:r>
          </w:p>
        </w:tc>
        <w:tc>
          <w:tcPr>
            <w:tcW w:w="1665" w:type="dxa"/>
            <w:vAlign w:val="center"/>
          </w:tcPr>
          <w:p w14:paraId="5F5B0D93">
            <w:pPr>
              <w:pStyle w:val="98"/>
              <w:ind w:left="-105" w:right="-105"/>
              <w:rPr>
                <w:rFonts w:eastAsia="宋体"/>
                <w:color w:val="auto"/>
                <w:sz w:val="21"/>
                <w:szCs w:val="21"/>
                <w:highlight w:val="none"/>
              </w:rPr>
            </w:pPr>
            <w:r>
              <w:rPr>
                <w:rFonts w:eastAsia="宋体"/>
                <w:color w:val="auto"/>
                <w:sz w:val="21"/>
                <w:szCs w:val="21"/>
                <w:highlight w:val="none"/>
              </w:rPr>
              <w:t>≤600</w:t>
            </w:r>
          </w:p>
        </w:tc>
        <w:tc>
          <w:tcPr>
            <w:tcW w:w="1332" w:type="dxa"/>
            <w:vAlign w:val="center"/>
          </w:tcPr>
          <w:p w14:paraId="1A4D6D60">
            <w:pPr>
              <w:pStyle w:val="98"/>
              <w:ind w:left="-105" w:right="-105"/>
              <w:rPr>
                <w:rFonts w:eastAsia="宋体"/>
                <w:b/>
                <w:bCs/>
                <w:color w:val="auto"/>
                <w:sz w:val="21"/>
                <w:szCs w:val="21"/>
                <w:highlight w:val="none"/>
              </w:rPr>
            </w:pPr>
            <w:r>
              <w:rPr>
                <w:rFonts w:eastAsia="宋体"/>
                <w:color w:val="auto"/>
                <w:sz w:val="21"/>
                <w:szCs w:val="21"/>
                <w:highlight w:val="none"/>
              </w:rPr>
              <w:t>＞600</w:t>
            </w:r>
          </w:p>
        </w:tc>
      </w:tr>
      <w:tr w14:paraId="597831A0">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cantSplit/>
          <w:trHeight w:val="340" w:hRule="atLeast"/>
          <w:jc w:val="center"/>
        </w:trPr>
        <w:tc>
          <w:tcPr>
            <w:tcW w:w="825" w:type="dxa"/>
            <w:vAlign w:val="center"/>
          </w:tcPr>
          <w:p w14:paraId="3F157A5E">
            <w:pPr>
              <w:pStyle w:val="98"/>
              <w:numPr>
                <w:ilvl w:val="0"/>
                <w:numId w:val="12"/>
              </w:numPr>
              <w:ind w:left="-105" w:right="-105" w:firstLine="0"/>
              <w:rPr>
                <w:rFonts w:eastAsia="宋体"/>
                <w:color w:val="auto"/>
                <w:sz w:val="21"/>
                <w:szCs w:val="21"/>
                <w:highlight w:val="none"/>
              </w:rPr>
            </w:pPr>
          </w:p>
        </w:tc>
        <w:tc>
          <w:tcPr>
            <w:tcW w:w="1750" w:type="dxa"/>
            <w:vAlign w:val="center"/>
          </w:tcPr>
          <w:p w14:paraId="07133AED">
            <w:pPr>
              <w:pStyle w:val="98"/>
              <w:ind w:left="-105" w:right="-105"/>
              <w:rPr>
                <w:color w:val="auto"/>
                <w:sz w:val="21"/>
                <w:szCs w:val="21"/>
                <w:highlight w:val="none"/>
              </w:rPr>
            </w:pPr>
            <w:r>
              <w:rPr>
                <w:rFonts w:hint="eastAsia" w:ascii="宋体" w:hAnsi="宋体" w:eastAsia="宋体" w:cs="宋体"/>
                <w:color w:val="auto"/>
                <w:sz w:val="21"/>
                <w:szCs w:val="21"/>
                <w:highlight w:val="none"/>
              </w:rPr>
              <w:t>邻二氯苯</w:t>
            </w:r>
          </w:p>
        </w:tc>
        <w:tc>
          <w:tcPr>
            <w:tcW w:w="1049" w:type="dxa"/>
            <w:vAlign w:val="center"/>
          </w:tcPr>
          <w:p w14:paraId="05D75B07">
            <w:pPr>
              <w:pStyle w:val="98"/>
              <w:ind w:left="-105" w:right="-105"/>
              <w:rPr>
                <w:rFonts w:eastAsia="宋体"/>
                <w:color w:val="auto"/>
                <w:sz w:val="21"/>
                <w:szCs w:val="21"/>
                <w:highlight w:val="none"/>
              </w:rPr>
            </w:pPr>
            <w:r>
              <w:rPr>
                <w:rFonts w:eastAsia="宋体"/>
                <w:color w:val="auto"/>
                <w:sz w:val="21"/>
                <w:szCs w:val="21"/>
                <w:highlight w:val="none"/>
              </w:rPr>
              <w:t>≤0.5</w:t>
            </w:r>
          </w:p>
        </w:tc>
        <w:tc>
          <w:tcPr>
            <w:tcW w:w="1049" w:type="dxa"/>
            <w:vAlign w:val="center"/>
          </w:tcPr>
          <w:p w14:paraId="59E074BD">
            <w:pPr>
              <w:pStyle w:val="98"/>
              <w:ind w:left="-105" w:right="-105"/>
              <w:rPr>
                <w:rFonts w:eastAsia="宋体"/>
                <w:color w:val="auto"/>
                <w:sz w:val="21"/>
                <w:szCs w:val="21"/>
                <w:highlight w:val="none"/>
              </w:rPr>
            </w:pPr>
            <w:r>
              <w:rPr>
                <w:rFonts w:eastAsia="宋体"/>
                <w:color w:val="auto"/>
                <w:sz w:val="21"/>
                <w:szCs w:val="21"/>
                <w:highlight w:val="none"/>
              </w:rPr>
              <w:t>≤200</w:t>
            </w:r>
          </w:p>
        </w:tc>
        <w:tc>
          <w:tcPr>
            <w:tcW w:w="1050" w:type="dxa"/>
            <w:vAlign w:val="center"/>
          </w:tcPr>
          <w:p w14:paraId="03EBB116">
            <w:pPr>
              <w:pStyle w:val="98"/>
              <w:ind w:left="-105" w:right="-105"/>
              <w:rPr>
                <w:rFonts w:eastAsia="宋体"/>
                <w:color w:val="auto"/>
                <w:sz w:val="21"/>
                <w:szCs w:val="21"/>
                <w:highlight w:val="none"/>
              </w:rPr>
            </w:pPr>
            <w:r>
              <w:rPr>
                <w:rFonts w:eastAsia="宋体"/>
                <w:color w:val="auto"/>
                <w:sz w:val="21"/>
                <w:szCs w:val="21"/>
                <w:highlight w:val="none"/>
              </w:rPr>
              <w:t>≤1000</w:t>
            </w:r>
          </w:p>
        </w:tc>
        <w:tc>
          <w:tcPr>
            <w:tcW w:w="1665" w:type="dxa"/>
            <w:vAlign w:val="center"/>
          </w:tcPr>
          <w:p w14:paraId="70732A26">
            <w:pPr>
              <w:pStyle w:val="98"/>
              <w:ind w:left="-105" w:right="-105"/>
              <w:rPr>
                <w:rFonts w:eastAsia="宋体"/>
                <w:color w:val="auto"/>
                <w:sz w:val="21"/>
                <w:szCs w:val="21"/>
                <w:highlight w:val="none"/>
              </w:rPr>
            </w:pPr>
            <w:r>
              <w:rPr>
                <w:rFonts w:eastAsia="宋体"/>
                <w:color w:val="auto"/>
                <w:sz w:val="21"/>
                <w:szCs w:val="21"/>
                <w:highlight w:val="none"/>
              </w:rPr>
              <w:t>≤2000</w:t>
            </w:r>
          </w:p>
        </w:tc>
        <w:tc>
          <w:tcPr>
            <w:tcW w:w="1332" w:type="dxa"/>
            <w:vAlign w:val="center"/>
          </w:tcPr>
          <w:p w14:paraId="3C402A15">
            <w:pPr>
              <w:pStyle w:val="98"/>
              <w:ind w:left="-105" w:right="-105"/>
              <w:rPr>
                <w:rFonts w:eastAsia="宋体"/>
                <w:color w:val="auto"/>
                <w:sz w:val="21"/>
                <w:szCs w:val="21"/>
                <w:highlight w:val="none"/>
              </w:rPr>
            </w:pPr>
            <w:r>
              <w:rPr>
                <w:rFonts w:eastAsia="宋体"/>
                <w:color w:val="auto"/>
                <w:sz w:val="21"/>
                <w:szCs w:val="21"/>
                <w:highlight w:val="none"/>
              </w:rPr>
              <w:t>＞2000</w:t>
            </w:r>
          </w:p>
        </w:tc>
      </w:tr>
      <w:tr w14:paraId="00CAFCB9">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cantSplit/>
          <w:trHeight w:val="340" w:hRule="atLeast"/>
          <w:jc w:val="center"/>
        </w:trPr>
        <w:tc>
          <w:tcPr>
            <w:tcW w:w="825" w:type="dxa"/>
            <w:vAlign w:val="center"/>
          </w:tcPr>
          <w:p w14:paraId="0652171A">
            <w:pPr>
              <w:pStyle w:val="98"/>
              <w:numPr>
                <w:ilvl w:val="0"/>
                <w:numId w:val="12"/>
              </w:numPr>
              <w:ind w:left="-105" w:right="-105" w:firstLine="0"/>
              <w:rPr>
                <w:rFonts w:eastAsia="宋体"/>
                <w:color w:val="auto"/>
                <w:sz w:val="21"/>
                <w:szCs w:val="21"/>
                <w:highlight w:val="none"/>
              </w:rPr>
            </w:pPr>
          </w:p>
        </w:tc>
        <w:tc>
          <w:tcPr>
            <w:tcW w:w="1750" w:type="dxa"/>
            <w:vAlign w:val="center"/>
          </w:tcPr>
          <w:p w14:paraId="01C4F0D3">
            <w:pPr>
              <w:pStyle w:val="98"/>
              <w:ind w:left="-105" w:right="-105"/>
              <w:rPr>
                <w:color w:val="auto"/>
                <w:sz w:val="21"/>
                <w:szCs w:val="21"/>
                <w:highlight w:val="none"/>
              </w:rPr>
            </w:pPr>
            <w:r>
              <w:rPr>
                <w:rFonts w:hint="eastAsia" w:ascii="宋体" w:hAnsi="宋体" w:eastAsia="宋体" w:cs="宋体"/>
                <w:color w:val="auto"/>
                <w:sz w:val="21"/>
                <w:szCs w:val="21"/>
                <w:highlight w:val="none"/>
              </w:rPr>
              <w:t>萘</w:t>
            </w:r>
          </w:p>
        </w:tc>
        <w:tc>
          <w:tcPr>
            <w:tcW w:w="1049" w:type="dxa"/>
            <w:vAlign w:val="center"/>
          </w:tcPr>
          <w:p w14:paraId="4DE4D4AD">
            <w:pPr>
              <w:pStyle w:val="98"/>
              <w:ind w:left="-105" w:right="-105"/>
              <w:rPr>
                <w:rFonts w:eastAsia="宋体"/>
                <w:color w:val="auto"/>
                <w:sz w:val="21"/>
                <w:szCs w:val="21"/>
                <w:highlight w:val="none"/>
              </w:rPr>
            </w:pPr>
            <w:r>
              <w:rPr>
                <w:rFonts w:eastAsia="宋体"/>
                <w:color w:val="auto"/>
                <w:sz w:val="21"/>
                <w:szCs w:val="21"/>
                <w:highlight w:val="none"/>
              </w:rPr>
              <w:t>≤1</w:t>
            </w:r>
          </w:p>
        </w:tc>
        <w:tc>
          <w:tcPr>
            <w:tcW w:w="1049" w:type="dxa"/>
            <w:vAlign w:val="center"/>
          </w:tcPr>
          <w:p w14:paraId="2F62D5CE">
            <w:pPr>
              <w:pStyle w:val="98"/>
              <w:ind w:left="-105" w:right="-105"/>
              <w:rPr>
                <w:rFonts w:eastAsia="宋体"/>
                <w:color w:val="auto"/>
                <w:sz w:val="21"/>
                <w:szCs w:val="21"/>
                <w:highlight w:val="none"/>
              </w:rPr>
            </w:pPr>
            <w:r>
              <w:rPr>
                <w:rFonts w:eastAsia="宋体"/>
                <w:color w:val="auto"/>
                <w:sz w:val="21"/>
                <w:szCs w:val="21"/>
                <w:highlight w:val="none"/>
              </w:rPr>
              <w:t>≤10</w:t>
            </w:r>
          </w:p>
        </w:tc>
        <w:tc>
          <w:tcPr>
            <w:tcW w:w="1050" w:type="dxa"/>
            <w:vAlign w:val="center"/>
          </w:tcPr>
          <w:p w14:paraId="48E890E2">
            <w:pPr>
              <w:pStyle w:val="98"/>
              <w:ind w:left="-105" w:right="-105"/>
              <w:rPr>
                <w:rFonts w:eastAsia="宋体"/>
                <w:color w:val="auto"/>
                <w:sz w:val="21"/>
                <w:szCs w:val="21"/>
                <w:highlight w:val="none"/>
              </w:rPr>
            </w:pPr>
            <w:r>
              <w:rPr>
                <w:rFonts w:eastAsia="宋体"/>
                <w:color w:val="auto"/>
                <w:sz w:val="21"/>
                <w:szCs w:val="21"/>
                <w:highlight w:val="none"/>
              </w:rPr>
              <w:t>≤100</w:t>
            </w:r>
          </w:p>
        </w:tc>
        <w:tc>
          <w:tcPr>
            <w:tcW w:w="1665" w:type="dxa"/>
            <w:vAlign w:val="center"/>
          </w:tcPr>
          <w:p w14:paraId="20047B36">
            <w:pPr>
              <w:pStyle w:val="98"/>
              <w:ind w:left="-105" w:right="-105"/>
              <w:rPr>
                <w:rFonts w:eastAsia="宋体"/>
                <w:color w:val="auto"/>
                <w:sz w:val="21"/>
                <w:szCs w:val="21"/>
                <w:highlight w:val="none"/>
              </w:rPr>
            </w:pPr>
            <w:r>
              <w:rPr>
                <w:rFonts w:eastAsia="宋体"/>
                <w:color w:val="auto"/>
                <w:sz w:val="21"/>
                <w:szCs w:val="21"/>
                <w:highlight w:val="none"/>
              </w:rPr>
              <w:t>≤600</w:t>
            </w:r>
          </w:p>
        </w:tc>
        <w:tc>
          <w:tcPr>
            <w:tcW w:w="1332" w:type="dxa"/>
            <w:vAlign w:val="center"/>
          </w:tcPr>
          <w:p w14:paraId="06DE7B22">
            <w:pPr>
              <w:pStyle w:val="98"/>
              <w:ind w:left="-105" w:right="-105"/>
              <w:rPr>
                <w:rFonts w:eastAsia="宋体"/>
                <w:color w:val="auto"/>
                <w:sz w:val="21"/>
                <w:szCs w:val="21"/>
                <w:highlight w:val="none"/>
              </w:rPr>
            </w:pPr>
            <w:r>
              <w:rPr>
                <w:rFonts w:eastAsia="宋体"/>
                <w:color w:val="auto"/>
                <w:sz w:val="21"/>
                <w:szCs w:val="21"/>
                <w:highlight w:val="none"/>
              </w:rPr>
              <w:t>＞600</w:t>
            </w:r>
          </w:p>
        </w:tc>
      </w:tr>
      <w:tr w14:paraId="1648A710">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cantSplit/>
          <w:trHeight w:val="340" w:hRule="atLeast"/>
          <w:jc w:val="center"/>
        </w:trPr>
        <w:tc>
          <w:tcPr>
            <w:tcW w:w="825" w:type="dxa"/>
            <w:vAlign w:val="center"/>
          </w:tcPr>
          <w:p w14:paraId="16E8EBAA">
            <w:pPr>
              <w:pStyle w:val="98"/>
              <w:numPr>
                <w:ilvl w:val="0"/>
                <w:numId w:val="12"/>
              </w:numPr>
              <w:ind w:left="-105" w:right="-105" w:firstLine="0"/>
              <w:rPr>
                <w:rFonts w:eastAsia="宋体"/>
                <w:color w:val="auto"/>
                <w:sz w:val="21"/>
                <w:szCs w:val="21"/>
                <w:highlight w:val="none"/>
              </w:rPr>
            </w:pPr>
          </w:p>
        </w:tc>
        <w:tc>
          <w:tcPr>
            <w:tcW w:w="1750" w:type="dxa"/>
            <w:vAlign w:val="center"/>
          </w:tcPr>
          <w:p w14:paraId="4C01E632">
            <w:pPr>
              <w:pStyle w:val="98"/>
              <w:ind w:left="-105" w:right="-105"/>
              <w:rPr>
                <w:color w:val="auto"/>
                <w:sz w:val="21"/>
                <w:szCs w:val="21"/>
                <w:highlight w:val="none"/>
              </w:rPr>
            </w:pPr>
            <w:r>
              <w:rPr>
                <w:rFonts w:hint="eastAsia" w:ascii="宋体" w:hAnsi="宋体" w:eastAsia="宋体" w:cs="宋体"/>
                <w:color w:val="auto"/>
                <w:sz w:val="21"/>
                <w:szCs w:val="21"/>
                <w:highlight w:val="none"/>
              </w:rPr>
              <w:t>苯并</w:t>
            </w:r>
            <w:r>
              <w:rPr>
                <w:color w:val="auto"/>
                <w:sz w:val="21"/>
                <w:szCs w:val="21"/>
                <w:highlight w:val="none"/>
              </w:rPr>
              <w:t>(b)</w:t>
            </w:r>
            <w:r>
              <w:rPr>
                <w:rFonts w:hint="eastAsia" w:ascii="宋体" w:hAnsi="宋体" w:eastAsia="宋体" w:cs="宋体"/>
                <w:color w:val="auto"/>
                <w:sz w:val="21"/>
                <w:szCs w:val="21"/>
                <w:highlight w:val="none"/>
              </w:rPr>
              <w:t>荧蒽</w:t>
            </w:r>
          </w:p>
        </w:tc>
        <w:tc>
          <w:tcPr>
            <w:tcW w:w="1049" w:type="dxa"/>
            <w:vAlign w:val="center"/>
          </w:tcPr>
          <w:p w14:paraId="5CF3412B">
            <w:pPr>
              <w:pStyle w:val="98"/>
              <w:ind w:left="-105" w:right="-105"/>
              <w:rPr>
                <w:rFonts w:eastAsia="宋体"/>
                <w:color w:val="auto"/>
                <w:sz w:val="21"/>
                <w:szCs w:val="21"/>
                <w:highlight w:val="none"/>
              </w:rPr>
            </w:pPr>
            <w:r>
              <w:rPr>
                <w:rFonts w:eastAsia="宋体"/>
                <w:color w:val="auto"/>
                <w:sz w:val="21"/>
                <w:szCs w:val="21"/>
                <w:highlight w:val="none"/>
              </w:rPr>
              <w:t>≤0.1</w:t>
            </w:r>
          </w:p>
        </w:tc>
        <w:tc>
          <w:tcPr>
            <w:tcW w:w="1049" w:type="dxa"/>
            <w:vAlign w:val="center"/>
          </w:tcPr>
          <w:p w14:paraId="126F1528">
            <w:pPr>
              <w:pStyle w:val="98"/>
              <w:ind w:left="-105" w:right="-105"/>
              <w:rPr>
                <w:rFonts w:eastAsia="宋体"/>
                <w:color w:val="auto"/>
                <w:sz w:val="21"/>
                <w:szCs w:val="21"/>
                <w:highlight w:val="none"/>
              </w:rPr>
            </w:pPr>
            <w:r>
              <w:rPr>
                <w:rFonts w:eastAsia="宋体"/>
                <w:color w:val="auto"/>
                <w:sz w:val="21"/>
                <w:szCs w:val="21"/>
                <w:highlight w:val="none"/>
              </w:rPr>
              <w:t>≤0.4</w:t>
            </w:r>
          </w:p>
        </w:tc>
        <w:tc>
          <w:tcPr>
            <w:tcW w:w="1050" w:type="dxa"/>
            <w:vAlign w:val="center"/>
          </w:tcPr>
          <w:p w14:paraId="5A920A81">
            <w:pPr>
              <w:pStyle w:val="98"/>
              <w:ind w:left="-105" w:right="-105"/>
              <w:rPr>
                <w:rFonts w:eastAsia="宋体"/>
                <w:color w:val="auto"/>
                <w:sz w:val="21"/>
                <w:szCs w:val="21"/>
                <w:highlight w:val="none"/>
              </w:rPr>
            </w:pPr>
            <w:r>
              <w:rPr>
                <w:rFonts w:eastAsia="宋体"/>
                <w:color w:val="auto"/>
                <w:sz w:val="21"/>
                <w:szCs w:val="21"/>
                <w:highlight w:val="none"/>
              </w:rPr>
              <w:t>≤4.0</w:t>
            </w:r>
          </w:p>
        </w:tc>
        <w:tc>
          <w:tcPr>
            <w:tcW w:w="1665" w:type="dxa"/>
            <w:vAlign w:val="center"/>
          </w:tcPr>
          <w:p w14:paraId="0E6534AF">
            <w:pPr>
              <w:pStyle w:val="98"/>
              <w:ind w:left="-105" w:right="-105"/>
              <w:rPr>
                <w:rFonts w:eastAsia="宋体"/>
                <w:color w:val="auto"/>
                <w:sz w:val="21"/>
                <w:szCs w:val="21"/>
                <w:highlight w:val="none"/>
              </w:rPr>
            </w:pPr>
            <w:r>
              <w:rPr>
                <w:rFonts w:eastAsia="宋体"/>
                <w:color w:val="auto"/>
                <w:sz w:val="21"/>
                <w:szCs w:val="21"/>
                <w:highlight w:val="none"/>
              </w:rPr>
              <w:t>≤8.0</w:t>
            </w:r>
          </w:p>
        </w:tc>
        <w:tc>
          <w:tcPr>
            <w:tcW w:w="1332" w:type="dxa"/>
            <w:vAlign w:val="center"/>
          </w:tcPr>
          <w:p w14:paraId="77A2D76E">
            <w:pPr>
              <w:pStyle w:val="98"/>
              <w:ind w:left="-105" w:right="-105"/>
              <w:rPr>
                <w:rFonts w:eastAsia="宋体"/>
                <w:color w:val="auto"/>
                <w:sz w:val="21"/>
                <w:szCs w:val="21"/>
                <w:highlight w:val="none"/>
              </w:rPr>
            </w:pPr>
            <w:r>
              <w:rPr>
                <w:rFonts w:eastAsia="宋体"/>
                <w:color w:val="auto"/>
                <w:sz w:val="21"/>
                <w:szCs w:val="21"/>
                <w:highlight w:val="none"/>
              </w:rPr>
              <w:t>＞8.0</w:t>
            </w:r>
          </w:p>
        </w:tc>
      </w:tr>
      <w:tr w14:paraId="37835D8D">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cantSplit/>
          <w:trHeight w:val="340" w:hRule="atLeast"/>
          <w:jc w:val="center"/>
        </w:trPr>
        <w:tc>
          <w:tcPr>
            <w:tcW w:w="825" w:type="dxa"/>
            <w:vAlign w:val="center"/>
          </w:tcPr>
          <w:p w14:paraId="26783E28">
            <w:pPr>
              <w:pStyle w:val="98"/>
              <w:numPr>
                <w:ilvl w:val="0"/>
                <w:numId w:val="12"/>
              </w:numPr>
              <w:ind w:left="-105" w:right="-105" w:firstLine="0"/>
              <w:rPr>
                <w:rFonts w:eastAsia="宋体"/>
                <w:color w:val="auto"/>
                <w:sz w:val="21"/>
                <w:szCs w:val="21"/>
                <w:highlight w:val="none"/>
              </w:rPr>
            </w:pPr>
          </w:p>
        </w:tc>
        <w:tc>
          <w:tcPr>
            <w:tcW w:w="1750" w:type="dxa"/>
            <w:vAlign w:val="center"/>
          </w:tcPr>
          <w:p w14:paraId="2E87F462">
            <w:pPr>
              <w:pStyle w:val="98"/>
              <w:ind w:left="-105" w:right="-105"/>
              <w:rPr>
                <w:color w:val="auto"/>
                <w:sz w:val="21"/>
                <w:szCs w:val="21"/>
                <w:highlight w:val="none"/>
              </w:rPr>
            </w:pPr>
            <w:r>
              <w:rPr>
                <w:rFonts w:hint="eastAsia" w:ascii="宋体" w:hAnsi="宋体" w:eastAsia="宋体" w:cs="宋体"/>
                <w:color w:val="auto"/>
                <w:sz w:val="21"/>
                <w:szCs w:val="21"/>
                <w:highlight w:val="none"/>
              </w:rPr>
              <w:t>苯并</w:t>
            </w:r>
            <w:r>
              <w:rPr>
                <w:color w:val="auto"/>
                <w:sz w:val="21"/>
                <w:szCs w:val="21"/>
                <w:highlight w:val="none"/>
              </w:rPr>
              <w:t>(a)</w:t>
            </w:r>
            <w:r>
              <w:rPr>
                <w:rFonts w:hint="eastAsia" w:ascii="宋体" w:hAnsi="宋体" w:eastAsia="宋体" w:cs="宋体"/>
                <w:color w:val="auto"/>
                <w:sz w:val="21"/>
                <w:szCs w:val="21"/>
                <w:highlight w:val="none"/>
              </w:rPr>
              <w:t>芘</w:t>
            </w:r>
          </w:p>
        </w:tc>
        <w:tc>
          <w:tcPr>
            <w:tcW w:w="1049" w:type="dxa"/>
            <w:vAlign w:val="center"/>
          </w:tcPr>
          <w:p w14:paraId="6B28C7D3">
            <w:pPr>
              <w:pStyle w:val="98"/>
              <w:ind w:left="-105" w:right="-105"/>
              <w:rPr>
                <w:rFonts w:eastAsia="宋体"/>
                <w:color w:val="auto"/>
                <w:sz w:val="21"/>
                <w:szCs w:val="21"/>
                <w:highlight w:val="none"/>
              </w:rPr>
            </w:pPr>
            <w:r>
              <w:rPr>
                <w:rFonts w:eastAsia="宋体"/>
                <w:color w:val="auto"/>
                <w:sz w:val="21"/>
                <w:szCs w:val="21"/>
                <w:highlight w:val="none"/>
              </w:rPr>
              <w:t>≤0.002</w:t>
            </w:r>
          </w:p>
        </w:tc>
        <w:tc>
          <w:tcPr>
            <w:tcW w:w="1049" w:type="dxa"/>
            <w:vAlign w:val="center"/>
          </w:tcPr>
          <w:p w14:paraId="1EDE3B2D">
            <w:pPr>
              <w:pStyle w:val="98"/>
              <w:ind w:left="-105" w:right="-105"/>
              <w:rPr>
                <w:rFonts w:eastAsia="宋体"/>
                <w:color w:val="auto"/>
                <w:sz w:val="21"/>
                <w:szCs w:val="21"/>
                <w:highlight w:val="none"/>
              </w:rPr>
            </w:pPr>
            <w:r>
              <w:rPr>
                <w:rFonts w:eastAsia="宋体"/>
                <w:color w:val="auto"/>
                <w:sz w:val="21"/>
                <w:szCs w:val="21"/>
                <w:highlight w:val="none"/>
              </w:rPr>
              <w:t>≤0.002</w:t>
            </w:r>
          </w:p>
        </w:tc>
        <w:tc>
          <w:tcPr>
            <w:tcW w:w="1050" w:type="dxa"/>
            <w:vAlign w:val="center"/>
          </w:tcPr>
          <w:p w14:paraId="0F426596">
            <w:pPr>
              <w:pStyle w:val="98"/>
              <w:ind w:left="-105" w:right="-105"/>
              <w:rPr>
                <w:rFonts w:eastAsia="宋体"/>
                <w:color w:val="auto"/>
                <w:sz w:val="21"/>
                <w:szCs w:val="21"/>
                <w:highlight w:val="none"/>
              </w:rPr>
            </w:pPr>
            <w:r>
              <w:rPr>
                <w:rFonts w:eastAsia="宋体"/>
                <w:color w:val="auto"/>
                <w:sz w:val="21"/>
                <w:szCs w:val="21"/>
                <w:highlight w:val="none"/>
              </w:rPr>
              <w:t>≤0.01</w:t>
            </w:r>
          </w:p>
        </w:tc>
        <w:tc>
          <w:tcPr>
            <w:tcW w:w="1665" w:type="dxa"/>
            <w:vAlign w:val="center"/>
          </w:tcPr>
          <w:p w14:paraId="147F9D98">
            <w:pPr>
              <w:pStyle w:val="98"/>
              <w:ind w:left="-105" w:right="-105"/>
              <w:rPr>
                <w:rFonts w:eastAsia="宋体"/>
                <w:color w:val="auto"/>
                <w:sz w:val="21"/>
                <w:szCs w:val="21"/>
                <w:highlight w:val="none"/>
              </w:rPr>
            </w:pPr>
            <w:r>
              <w:rPr>
                <w:rFonts w:eastAsia="宋体"/>
                <w:color w:val="auto"/>
                <w:sz w:val="21"/>
                <w:szCs w:val="21"/>
                <w:highlight w:val="none"/>
              </w:rPr>
              <w:t>≤0.50</w:t>
            </w:r>
          </w:p>
        </w:tc>
        <w:tc>
          <w:tcPr>
            <w:tcW w:w="1332" w:type="dxa"/>
            <w:vAlign w:val="center"/>
          </w:tcPr>
          <w:p w14:paraId="019E11B6">
            <w:pPr>
              <w:pStyle w:val="98"/>
              <w:ind w:left="-105" w:right="-105"/>
              <w:rPr>
                <w:rFonts w:eastAsia="宋体"/>
                <w:color w:val="auto"/>
                <w:sz w:val="21"/>
                <w:szCs w:val="21"/>
                <w:highlight w:val="none"/>
              </w:rPr>
            </w:pPr>
            <w:r>
              <w:rPr>
                <w:rFonts w:eastAsia="宋体"/>
                <w:color w:val="auto"/>
                <w:sz w:val="21"/>
                <w:szCs w:val="21"/>
                <w:highlight w:val="none"/>
              </w:rPr>
              <w:t>＞0.50</w:t>
            </w:r>
          </w:p>
        </w:tc>
      </w:tr>
      <w:tr w14:paraId="25943FDD">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cantSplit/>
          <w:trHeight w:val="340" w:hRule="atLeast"/>
          <w:jc w:val="center"/>
        </w:trPr>
        <w:tc>
          <w:tcPr>
            <w:tcW w:w="825" w:type="dxa"/>
            <w:vAlign w:val="center"/>
          </w:tcPr>
          <w:p w14:paraId="3ADE4BD6">
            <w:pPr>
              <w:pStyle w:val="98"/>
              <w:numPr>
                <w:ilvl w:val="0"/>
                <w:numId w:val="12"/>
              </w:numPr>
              <w:ind w:left="-105" w:right="-105" w:firstLine="0"/>
              <w:rPr>
                <w:rFonts w:eastAsia="宋体"/>
                <w:color w:val="auto"/>
                <w:sz w:val="21"/>
                <w:szCs w:val="21"/>
                <w:highlight w:val="none"/>
              </w:rPr>
            </w:pPr>
          </w:p>
        </w:tc>
        <w:tc>
          <w:tcPr>
            <w:tcW w:w="1750" w:type="dxa"/>
            <w:vAlign w:val="center"/>
          </w:tcPr>
          <w:p w14:paraId="6A401C96">
            <w:pPr>
              <w:pStyle w:val="98"/>
              <w:ind w:left="-105" w:right="-105"/>
              <w:rPr>
                <w:color w:val="auto"/>
                <w:sz w:val="21"/>
                <w:szCs w:val="21"/>
                <w:highlight w:val="none"/>
              </w:rPr>
            </w:pPr>
            <w:r>
              <w:rPr>
                <w:color w:val="auto"/>
                <w:sz w:val="21"/>
                <w:szCs w:val="21"/>
                <w:highlight w:val="none"/>
              </w:rPr>
              <w:t>K</w:t>
            </w:r>
            <w:r>
              <w:rPr>
                <w:color w:val="auto"/>
                <w:sz w:val="21"/>
                <w:szCs w:val="21"/>
                <w:highlight w:val="none"/>
                <w:vertAlign w:val="superscript"/>
              </w:rPr>
              <w:t>+</w:t>
            </w:r>
          </w:p>
        </w:tc>
        <w:tc>
          <w:tcPr>
            <w:tcW w:w="1049" w:type="dxa"/>
            <w:vAlign w:val="center"/>
          </w:tcPr>
          <w:p w14:paraId="09A6F20C">
            <w:pPr>
              <w:pStyle w:val="98"/>
              <w:ind w:left="-105" w:right="-105"/>
              <w:rPr>
                <w:rFonts w:eastAsia="宋体"/>
                <w:color w:val="auto"/>
                <w:sz w:val="21"/>
                <w:szCs w:val="21"/>
                <w:highlight w:val="none"/>
              </w:rPr>
            </w:pPr>
            <w:r>
              <w:rPr>
                <w:rFonts w:eastAsia="宋体"/>
                <w:color w:val="auto"/>
                <w:sz w:val="21"/>
                <w:szCs w:val="21"/>
                <w:highlight w:val="none"/>
              </w:rPr>
              <w:t>/</w:t>
            </w:r>
          </w:p>
        </w:tc>
        <w:tc>
          <w:tcPr>
            <w:tcW w:w="1049" w:type="dxa"/>
            <w:vAlign w:val="center"/>
          </w:tcPr>
          <w:p w14:paraId="462FF6D8">
            <w:pPr>
              <w:pStyle w:val="98"/>
              <w:ind w:left="-105" w:right="-105"/>
              <w:rPr>
                <w:rFonts w:eastAsia="宋体"/>
                <w:color w:val="auto"/>
                <w:sz w:val="21"/>
                <w:szCs w:val="21"/>
                <w:highlight w:val="none"/>
              </w:rPr>
            </w:pPr>
            <w:r>
              <w:rPr>
                <w:rFonts w:eastAsia="宋体"/>
                <w:color w:val="auto"/>
                <w:sz w:val="21"/>
                <w:szCs w:val="21"/>
                <w:highlight w:val="none"/>
              </w:rPr>
              <w:t>/</w:t>
            </w:r>
          </w:p>
        </w:tc>
        <w:tc>
          <w:tcPr>
            <w:tcW w:w="1050" w:type="dxa"/>
            <w:vAlign w:val="center"/>
          </w:tcPr>
          <w:p w14:paraId="493B0411">
            <w:pPr>
              <w:pStyle w:val="98"/>
              <w:ind w:left="-105" w:right="-105"/>
              <w:rPr>
                <w:rFonts w:eastAsia="宋体"/>
                <w:color w:val="auto"/>
                <w:sz w:val="21"/>
                <w:szCs w:val="21"/>
                <w:highlight w:val="none"/>
              </w:rPr>
            </w:pPr>
            <w:r>
              <w:rPr>
                <w:rFonts w:eastAsia="宋体"/>
                <w:color w:val="auto"/>
                <w:sz w:val="21"/>
                <w:szCs w:val="21"/>
                <w:highlight w:val="none"/>
              </w:rPr>
              <w:t>/</w:t>
            </w:r>
          </w:p>
        </w:tc>
        <w:tc>
          <w:tcPr>
            <w:tcW w:w="1665" w:type="dxa"/>
            <w:vAlign w:val="center"/>
          </w:tcPr>
          <w:p w14:paraId="48ADFCF5">
            <w:pPr>
              <w:pStyle w:val="98"/>
              <w:ind w:left="-105" w:right="-105"/>
              <w:rPr>
                <w:rFonts w:eastAsia="宋体"/>
                <w:color w:val="auto"/>
                <w:sz w:val="21"/>
                <w:szCs w:val="21"/>
                <w:highlight w:val="none"/>
              </w:rPr>
            </w:pPr>
            <w:r>
              <w:rPr>
                <w:rFonts w:eastAsia="宋体"/>
                <w:color w:val="auto"/>
                <w:sz w:val="21"/>
                <w:szCs w:val="21"/>
                <w:highlight w:val="none"/>
              </w:rPr>
              <w:t>/</w:t>
            </w:r>
          </w:p>
        </w:tc>
        <w:tc>
          <w:tcPr>
            <w:tcW w:w="1332" w:type="dxa"/>
            <w:vAlign w:val="center"/>
          </w:tcPr>
          <w:p w14:paraId="4A5B2EF2">
            <w:pPr>
              <w:pStyle w:val="98"/>
              <w:ind w:left="-105" w:right="-105"/>
              <w:rPr>
                <w:rFonts w:eastAsia="宋体"/>
                <w:color w:val="auto"/>
                <w:sz w:val="21"/>
                <w:szCs w:val="21"/>
                <w:highlight w:val="none"/>
              </w:rPr>
            </w:pPr>
            <w:r>
              <w:rPr>
                <w:rFonts w:eastAsia="宋体"/>
                <w:color w:val="auto"/>
                <w:sz w:val="21"/>
                <w:szCs w:val="21"/>
                <w:highlight w:val="none"/>
              </w:rPr>
              <w:t>/</w:t>
            </w:r>
          </w:p>
        </w:tc>
      </w:tr>
      <w:tr w14:paraId="2B29B1C4">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cantSplit/>
          <w:trHeight w:val="340" w:hRule="atLeast"/>
          <w:jc w:val="center"/>
        </w:trPr>
        <w:tc>
          <w:tcPr>
            <w:tcW w:w="825" w:type="dxa"/>
            <w:vAlign w:val="center"/>
          </w:tcPr>
          <w:p w14:paraId="40E18C9B">
            <w:pPr>
              <w:pStyle w:val="98"/>
              <w:numPr>
                <w:ilvl w:val="0"/>
                <w:numId w:val="12"/>
              </w:numPr>
              <w:ind w:left="-105" w:right="-105" w:firstLine="0"/>
              <w:rPr>
                <w:rFonts w:eastAsia="宋体"/>
                <w:color w:val="auto"/>
                <w:sz w:val="21"/>
                <w:szCs w:val="21"/>
                <w:highlight w:val="none"/>
              </w:rPr>
            </w:pPr>
          </w:p>
        </w:tc>
        <w:tc>
          <w:tcPr>
            <w:tcW w:w="1750" w:type="dxa"/>
            <w:vAlign w:val="center"/>
          </w:tcPr>
          <w:p w14:paraId="70FEDCFF">
            <w:pPr>
              <w:pStyle w:val="98"/>
              <w:ind w:left="-105" w:right="-105"/>
              <w:rPr>
                <w:color w:val="auto"/>
                <w:sz w:val="21"/>
                <w:szCs w:val="21"/>
                <w:highlight w:val="none"/>
              </w:rPr>
            </w:pPr>
            <w:r>
              <w:rPr>
                <w:color w:val="auto"/>
                <w:sz w:val="21"/>
                <w:szCs w:val="21"/>
                <w:highlight w:val="none"/>
              </w:rPr>
              <w:t>Ca</w:t>
            </w:r>
            <w:r>
              <w:rPr>
                <w:color w:val="auto"/>
                <w:sz w:val="21"/>
                <w:szCs w:val="21"/>
                <w:highlight w:val="none"/>
                <w:vertAlign w:val="superscript"/>
              </w:rPr>
              <w:t>2+</w:t>
            </w:r>
          </w:p>
        </w:tc>
        <w:tc>
          <w:tcPr>
            <w:tcW w:w="1049" w:type="dxa"/>
            <w:vAlign w:val="center"/>
          </w:tcPr>
          <w:p w14:paraId="26C7CC32">
            <w:pPr>
              <w:pStyle w:val="98"/>
              <w:ind w:left="-105" w:right="-105"/>
              <w:rPr>
                <w:rFonts w:eastAsia="宋体"/>
                <w:color w:val="auto"/>
                <w:sz w:val="21"/>
                <w:szCs w:val="21"/>
                <w:highlight w:val="none"/>
              </w:rPr>
            </w:pPr>
            <w:r>
              <w:rPr>
                <w:rFonts w:eastAsia="宋体"/>
                <w:color w:val="auto"/>
                <w:sz w:val="21"/>
                <w:szCs w:val="21"/>
                <w:highlight w:val="none"/>
              </w:rPr>
              <w:t>/</w:t>
            </w:r>
          </w:p>
        </w:tc>
        <w:tc>
          <w:tcPr>
            <w:tcW w:w="1049" w:type="dxa"/>
            <w:vAlign w:val="center"/>
          </w:tcPr>
          <w:p w14:paraId="7A4EA798">
            <w:pPr>
              <w:pStyle w:val="98"/>
              <w:ind w:left="-105" w:right="-105"/>
              <w:rPr>
                <w:rFonts w:eastAsia="宋体"/>
                <w:color w:val="auto"/>
                <w:sz w:val="21"/>
                <w:szCs w:val="21"/>
                <w:highlight w:val="none"/>
              </w:rPr>
            </w:pPr>
            <w:r>
              <w:rPr>
                <w:rFonts w:eastAsia="宋体"/>
                <w:color w:val="auto"/>
                <w:sz w:val="21"/>
                <w:szCs w:val="21"/>
                <w:highlight w:val="none"/>
              </w:rPr>
              <w:t>/</w:t>
            </w:r>
          </w:p>
        </w:tc>
        <w:tc>
          <w:tcPr>
            <w:tcW w:w="1050" w:type="dxa"/>
            <w:vAlign w:val="center"/>
          </w:tcPr>
          <w:p w14:paraId="4B51F0D1">
            <w:pPr>
              <w:pStyle w:val="98"/>
              <w:ind w:left="-105" w:right="-105"/>
              <w:rPr>
                <w:rFonts w:eastAsia="宋体"/>
                <w:color w:val="auto"/>
                <w:sz w:val="21"/>
                <w:szCs w:val="21"/>
                <w:highlight w:val="none"/>
              </w:rPr>
            </w:pPr>
            <w:r>
              <w:rPr>
                <w:rFonts w:eastAsia="宋体"/>
                <w:color w:val="auto"/>
                <w:sz w:val="21"/>
                <w:szCs w:val="21"/>
                <w:highlight w:val="none"/>
              </w:rPr>
              <w:t>/</w:t>
            </w:r>
          </w:p>
        </w:tc>
        <w:tc>
          <w:tcPr>
            <w:tcW w:w="1665" w:type="dxa"/>
            <w:vAlign w:val="center"/>
          </w:tcPr>
          <w:p w14:paraId="5E96721F">
            <w:pPr>
              <w:pStyle w:val="98"/>
              <w:ind w:left="-105" w:right="-105"/>
              <w:rPr>
                <w:rFonts w:eastAsia="宋体"/>
                <w:color w:val="auto"/>
                <w:sz w:val="21"/>
                <w:szCs w:val="21"/>
                <w:highlight w:val="none"/>
              </w:rPr>
            </w:pPr>
            <w:r>
              <w:rPr>
                <w:rFonts w:eastAsia="宋体"/>
                <w:color w:val="auto"/>
                <w:sz w:val="21"/>
                <w:szCs w:val="21"/>
                <w:highlight w:val="none"/>
              </w:rPr>
              <w:t>/</w:t>
            </w:r>
          </w:p>
        </w:tc>
        <w:tc>
          <w:tcPr>
            <w:tcW w:w="1332" w:type="dxa"/>
            <w:vAlign w:val="center"/>
          </w:tcPr>
          <w:p w14:paraId="6285FD7F">
            <w:pPr>
              <w:pStyle w:val="98"/>
              <w:ind w:left="-105" w:right="-105"/>
              <w:rPr>
                <w:rFonts w:eastAsia="宋体"/>
                <w:color w:val="auto"/>
                <w:sz w:val="21"/>
                <w:szCs w:val="21"/>
                <w:highlight w:val="none"/>
              </w:rPr>
            </w:pPr>
            <w:r>
              <w:rPr>
                <w:rFonts w:eastAsia="宋体"/>
                <w:color w:val="auto"/>
                <w:sz w:val="21"/>
                <w:szCs w:val="21"/>
                <w:highlight w:val="none"/>
              </w:rPr>
              <w:t>/</w:t>
            </w:r>
          </w:p>
        </w:tc>
      </w:tr>
      <w:tr w14:paraId="2B3D8185">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cantSplit/>
          <w:trHeight w:val="340" w:hRule="atLeast"/>
          <w:jc w:val="center"/>
        </w:trPr>
        <w:tc>
          <w:tcPr>
            <w:tcW w:w="825" w:type="dxa"/>
            <w:vAlign w:val="center"/>
          </w:tcPr>
          <w:p w14:paraId="7E4D10B0">
            <w:pPr>
              <w:pStyle w:val="98"/>
              <w:numPr>
                <w:ilvl w:val="0"/>
                <w:numId w:val="12"/>
              </w:numPr>
              <w:ind w:left="-105" w:right="-105" w:firstLine="0"/>
              <w:rPr>
                <w:rFonts w:eastAsia="宋体"/>
                <w:color w:val="auto"/>
                <w:sz w:val="21"/>
                <w:szCs w:val="21"/>
                <w:highlight w:val="none"/>
              </w:rPr>
            </w:pPr>
          </w:p>
        </w:tc>
        <w:tc>
          <w:tcPr>
            <w:tcW w:w="1750" w:type="dxa"/>
            <w:vAlign w:val="center"/>
          </w:tcPr>
          <w:p w14:paraId="437A7E5D">
            <w:pPr>
              <w:pStyle w:val="98"/>
              <w:ind w:left="-105" w:right="-105"/>
              <w:rPr>
                <w:color w:val="auto"/>
                <w:sz w:val="21"/>
                <w:szCs w:val="21"/>
                <w:highlight w:val="none"/>
              </w:rPr>
            </w:pPr>
            <w:r>
              <w:rPr>
                <w:color w:val="auto"/>
                <w:sz w:val="21"/>
                <w:szCs w:val="21"/>
                <w:highlight w:val="none"/>
              </w:rPr>
              <w:t>Mg</w:t>
            </w:r>
            <w:r>
              <w:rPr>
                <w:color w:val="auto"/>
                <w:sz w:val="21"/>
                <w:szCs w:val="21"/>
                <w:highlight w:val="none"/>
                <w:vertAlign w:val="superscript"/>
              </w:rPr>
              <w:t>2+</w:t>
            </w:r>
          </w:p>
        </w:tc>
        <w:tc>
          <w:tcPr>
            <w:tcW w:w="1049" w:type="dxa"/>
            <w:vAlign w:val="center"/>
          </w:tcPr>
          <w:p w14:paraId="4478B075">
            <w:pPr>
              <w:pStyle w:val="98"/>
              <w:ind w:left="-105" w:right="-105"/>
              <w:rPr>
                <w:rFonts w:eastAsia="宋体"/>
                <w:color w:val="auto"/>
                <w:sz w:val="21"/>
                <w:szCs w:val="21"/>
                <w:highlight w:val="none"/>
              </w:rPr>
            </w:pPr>
            <w:r>
              <w:rPr>
                <w:rFonts w:eastAsia="宋体"/>
                <w:color w:val="auto"/>
                <w:sz w:val="21"/>
                <w:szCs w:val="21"/>
                <w:highlight w:val="none"/>
              </w:rPr>
              <w:t>/</w:t>
            </w:r>
          </w:p>
        </w:tc>
        <w:tc>
          <w:tcPr>
            <w:tcW w:w="1049" w:type="dxa"/>
            <w:vAlign w:val="center"/>
          </w:tcPr>
          <w:p w14:paraId="748C7853">
            <w:pPr>
              <w:pStyle w:val="98"/>
              <w:ind w:left="-105" w:right="-105"/>
              <w:rPr>
                <w:rFonts w:eastAsia="宋体"/>
                <w:color w:val="auto"/>
                <w:sz w:val="21"/>
                <w:szCs w:val="21"/>
                <w:highlight w:val="none"/>
              </w:rPr>
            </w:pPr>
            <w:r>
              <w:rPr>
                <w:rFonts w:eastAsia="宋体"/>
                <w:color w:val="auto"/>
                <w:sz w:val="21"/>
                <w:szCs w:val="21"/>
                <w:highlight w:val="none"/>
              </w:rPr>
              <w:t>/</w:t>
            </w:r>
          </w:p>
        </w:tc>
        <w:tc>
          <w:tcPr>
            <w:tcW w:w="1050" w:type="dxa"/>
            <w:vAlign w:val="center"/>
          </w:tcPr>
          <w:p w14:paraId="46B0D703">
            <w:pPr>
              <w:pStyle w:val="98"/>
              <w:ind w:left="-105" w:right="-105"/>
              <w:rPr>
                <w:rFonts w:eastAsia="宋体"/>
                <w:color w:val="auto"/>
                <w:sz w:val="21"/>
                <w:szCs w:val="21"/>
                <w:highlight w:val="none"/>
              </w:rPr>
            </w:pPr>
            <w:r>
              <w:rPr>
                <w:rFonts w:eastAsia="宋体"/>
                <w:color w:val="auto"/>
                <w:sz w:val="21"/>
                <w:szCs w:val="21"/>
                <w:highlight w:val="none"/>
              </w:rPr>
              <w:t>/</w:t>
            </w:r>
          </w:p>
        </w:tc>
        <w:tc>
          <w:tcPr>
            <w:tcW w:w="1665" w:type="dxa"/>
            <w:vAlign w:val="center"/>
          </w:tcPr>
          <w:p w14:paraId="67718DD7">
            <w:pPr>
              <w:pStyle w:val="98"/>
              <w:ind w:left="-105" w:right="-105"/>
              <w:rPr>
                <w:rFonts w:eastAsia="宋体"/>
                <w:color w:val="auto"/>
                <w:sz w:val="21"/>
                <w:szCs w:val="21"/>
                <w:highlight w:val="none"/>
              </w:rPr>
            </w:pPr>
            <w:r>
              <w:rPr>
                <w:rFonts w:eastAsia="宋体"/>
                <w:color w:val="auto"/>
                <w:sz w:val="21"/>
                <w:szCs w:val="21"/>
                <w:highlight w:val="none"/>
              </w:rPr>
              <w:t>/</w:t>
            </w:r>
          </w:p>
        </w:tc>
        <w:tc>
          <w:tcPr>
            <w:tcW w:w="1332" w:type="dxa"/>
            <w:vAlign w:val="center"/>
          </w:tcPr>
          <w:p w14:paraId="6DD2460A">
            <w:pPr>
              <w:pStyle w:val="98"/>
              <w:ind w:left="-105" w:right="-105"/>
              <w:rPr>
                <w:rFonts w:eastAsia="宋体"/>
                <w:color w:val="auto"/>
                <w:sz w:val="21"/>
                <w:szCs w:val="21"/>
                <w:highlight w:val="none"/>
              </w:rPr>
            </w:pPr>
            <w:r>
              <w:rPr>
                <w:rFonts w:eastAsia="宋体"/>
                <w:color w:val="auto"/>
                <w:sz w:val="21"/>
                <w:szCs w:val="21"/>
                <w:highlight w:val="none"/>
              </w:rPr>
              <w:t>/</w:t>
            </w:r>
          </w:p>
        </w:tc>
      </w:tr>
      <w:tr w14:paraId="39D95BAF">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cantSplit/>
          <w:trHeight w:val="340" w:hRule="atLeast"/>
          <w:jc w:val="center"/>
        </w:trPr>
        <w:tc>
          <w:tcPr>
            <w:tcW w:w="825" w:type="dxa"/>
            <w:vAlign w:val="center"/>
          </w:tcPr>
          <w:p w14:paraId="3B4D97DB">
            <w:pPr>
              <w:pStyle w:val="98"/>
              <w:numPr>
                <w:ilvl w:val="0"/>
                <w:numId w:val="12"/>
              </w:numPr>
              <w:ind w:left="-105" w:right="-105" w:firstLine="0"/>
              <w:rPr>
                <w:rFonts w:eastAsia="宋体"/>
                <w:color w:val="auto"/>
                <w:sz w:val="21"/>
                <w:szCs w:val="21"/>
                <w:highlight w:val="none"/>
              </w:rPr>
            </w:pPr>
          </w:p>
        </w:tc>
        <w:tc>
          <w:tcPr>
            <w:tcW w:w="1750" w:type="dxa"/>
            <w:vAlign w:val="center"/>
          </w:tcPr>
          <w:p w14:paraId="6F1C81E8">
            <w:pPr>
              <w:pStyle w:val="98"/>
              <w:ind w:left="-105" w:right="-105"/>
              <w:rPr>
                <w:color w:val="auto"/>
                <w:sz w:val="21"/>
                <w:szCs w:val="21"/>
                <w:highlight w:val="none"/>
              </w:rPr>
            </w:pPr>
            <w:r>
              <w:rPr>
                <w:color w:val="auto"/>
                <w:sz w:val="21"/>
                <w:szCs w:val="21"/>
                <w:highlight w:val="none"/>
              </w:rPr>
              <w:t>CO</w:t>
            </w:r>
            <w:r>
              <w:rPr>
                <w:color w:val="auto"/>
                <w:sz w:val="21"/>
                <w:szCs w:val="21"/>
                <w:highlight w:val="none"/>
                <w:vertAlign w:val="subscript"/>
              </w:rPr>
              <w:t>3</w:t>
            </w:r>
            <w:r>
              <w:rPr>
                <w:color w:val="auto"/>
                <w:sz w:val="21"/>
                <w:szCs w:val="21"/>
                <w:highlight w:val="none"/>
                <w:vertAlign w:val="superscript"/>
              </w:rPr>
              <w:t>2-</w:t>
            </w:r>
          </w:p>
        </w:tc>
        <w:tc>
          <w:tcPr>
            <w:tcW w:w="1049" w:type="dxa"/>
            <w:vAlign w:val="center"/>
          </w:tcPr>
          <w:p w14:paraId="5956419B">
            <w:pPr>
              <w:pStyle w:val="98"/>
              <w:ind w:left="-105" w:right="-105"/>
              <w:rPr>
                <w:rFonts w:eastAsia="宋体"/>
                <w:color w:val="auto"/>
                <w:sz w:val="21"/>
                <w:szCs w:val="21"/>
                <w:highlight w:val="none"/>
              </w:rPr>
            </w:pPr>
            <w:r>
              <w:rPr>
                <w:rFonts w:eastAsia="宋体"/>
                <w:color w:val="auto"/>
                <w:sz w:val="21"/>
                <w:szCs w:val="21"/>
                <w:highlight w:val="none"/>
              </w:rPr>
              <w:t>/</w:t>
            </w:r>
          </w:p>
        </w:tc>
        <w:tc>
          <w:tcPr>
            <w:tcW w:w="1049" w:type="dxa"/>
            <w:vAlign w:val="center"/>
          </w:tcPr>
          <w:p w14:paraId="64C4726F">
            <w:pPr>
              <w:pStyle w:val="98"/>
              <w:ind w:left="-105" w:right="-105"/>
              <w:rPr>
                <w:rFonts w:eastAsia="宋体"/>
                <w:color w:val="auto"/>
                <w:sz w:val="21"/>
                <w:szCs w:val="21"/>
                <w:highlight w:val="none"/>
              </w:rPr>
            </w:pPr>
            <w:r>
              <w:rPr>
                <w:rFonts w:eastAsia="宋体"/>
                <w:color w:val="auto"/>
                <w:sz w:val="21"/>
                <w:szCs w:val="21"/>
                <w:highlight w:val="none"/>
              </w:rPr>
              <w:t>/</w:t>
            </w:r>
          </w:p>
        </w:tc>
        <w:tc>
          <w:tcPr>
            <w:tcW w:w="1050" w:type="dxa"/>
            <w:vAlign w:val="center"/>
          </w:tcPr>
          <w:p w14:paraId="77C323DB">
            <w:pPr>
              <w:pStyle w:val="98"/>
              <w:ind w:left="-105" w:right="-105"/>
              <w:rPr>
                <w:rFonts w:eastAsia="宋体"/>
                <w:color w:val="auto"/>
                <w:sz w:val="21"/>
                <w:szCs w:val="21"/>
                <w:highlight w:val="none"/>
              </w:rPr>
            </w:pPr>
            <w:r>
              <w:rPr>
                <w:rFonts w:eastAsia="宋体"/>
                <w:color w:val="auto"/>
                <w:sz w:val="21"/>
                <w:szCs w:val="21"/>
                <w:highlight w:val="none"/>
              </w:rPr>
              <w:t>/</w:t>
            </w:r>
          </w:p>
        </w:tc>
        <w:tc>
          <w:tcPr>
            <w:tcW w:w="1665" w:type="dxa"/>
            <w:vAlign w:val="center"/>
          </w:tcPr>
          <w:p w14:paraId="0F6BA43F">
            <w:pPr>
              <w:pStyle w:val="98"/>
              <w:ind w:left="-105" w:right="-105"/>
              <w:rPr>
                <w:rFonts w:eastAsia="宋体"/>
                <w:color w:val="auto"/>
                <w:sz w:val="21"/>
                <w:szCs w:val="21"/>
                <w:highlight w:val="none"/>
              </w:rPr>
            </w:pPr>
            <w:r>
              <w:rPr>
                <w:rFonts w:eastAsia="宋体"/>
                <w:color w:val="auto"/>
                <w:sz w:val="21"/>
                <w:szCs w:val="21"/>
                <w:highlight w:val="none"/>
              </w:rPr>
              <w:t>/</w:t>
            </w:r>
          </w:p>
        </w:tc>
        <w:tc>
          <w:tcPr>
            <w:tcW w:w="1332" w:type="dxa"/>
            <w:vAlign w:val="center"/>
          </w:tcPr>
          <w:p w14:paraId="3A26E4C5">
            <w:pPr>
              <w:pStyle w:val="98"/>
              <w:ind w:left="-105" w:right="-105"/>
              <w:rPr>
                <w:rFonts w:eastAsia="宋体"/>
                <w:color w:val="auto"/>
                <w:sz w:val="21"/>
                <w:szCs w:val="21"/>
                <w:highlight w:val="none"/>
              </w:rPr>
            </w:pPr>
            <w:r>
              <w:rPr>
                <w:rFonts w:eastAsia="宋体"/>
                <w:color w:val="auto"/>
                <w:sz w:val="21"/>
                <w:szCs w:val="21"/>
                <w:highlight w:val="none"/>
              </w:rPr>
              <w:t>/</w:t>
            </w:r>
          </w:p>
        </w:tc>
      </w:tr>
      <w:tr w14:paraId="7ED0329F">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cantSplit/>
          <w:trHeight w:val="340" w:hRule="atLeast"/>
          <w:jc w:val="center"/>
        </w:trPr>
        <w:tc>
          <w:tcPr>
            <w:tcW w:w="825" w:type="dxa"/>
            <w:vAlign w:val="center"/>
          </w:tcPr>
          <w:p w14:paraId="55239E7F">
            <w:pPr>
              <w:pStyle w:val="98"/>
              <w:numPr>
                <w:ilvl w:val="0"/>
                <w:numId w:val="12"/>
              </w:numPr>
              <w:ind w:left="-105" w:right="-105" w:firstLine="0"/>
              <w:rPr>
                <w:rFonts w:eastAsia="宋体"/>
                <w:color w:val="auto"/>
                <w:sz w:val="21"/>
                <w:szCs w:val="21"/>
                <w:highlight w:val="none"/>
              </w:rPr>
            </w:pPr>
          </w:p>
        </w:tc>
        <w:tc>
          <w:tcPr>
            <w:tcW w:w="1750" w:type="dxa"/>
            <w:vAlign w:val="center"/>
          </w:tcPr>
          <w:p w14:paraId="0750309A">
            <w:pPr>
              <w:pStyle w:val="98"/>
              <w:ind w:left="-105" w:right="-105"/>
              <w:rPr>
                <w:color w:val="auto"/>
                <w:sz w:val="21"/>
                <w:szCs w:val="21"/>
                <w:highlight w:val="none"/>
              </w:rPr>
            </w:pPr>
            <w:r>
              <w:rPr>
                <w:color w:val="auto"/>
                <w:sz w:val="21"/>
                <w:szCs w:val="21"/>
                <w:highlight w:val="none"/>
              </w:rPr>
              <w:t>HCO</w:t>
            </w:r>
            <w:r>
              <w:rPr>
                <w:color w:val="auto"/>
                <w:sz w:val="21"/>
                <w:szCs w:val="21"/>
                <w:highlight w:val="none"/>
                <w:vertAlign w:val="subscript"/>
              </w:rPr>
              <w:t>3</w:t>
            </w:r>
            <w:r>
              <w:rPr>
                <w:color w:val="auto"/>
                <w:sz w:val="21"/>
                <w:szCs w:val="21"/>
                <w:highlight w:val="none"/>
                <w:vertAlign w:val="superscript"/>
              </w:rPr>
              <w:t>-</w:t>
            </w:r>
          </w:p>
        </w:tc>
        <w:tc>
          <w:tcPr>
            <w:tcW w:w="1049" w:type="dxa"/>
            <w:vAlign w:val="center"/>
          </w:tcPr>
          <w:p w14:paraId="58C2506E">
            <w:pPr>
              <w:pStyle w:val="98"/>
              <w:ind w:left="-105" w:right="-105"/>
              <w:rPr>
                <w:rFonts w:eastAsia="宋体"/>
                <w:color w:val="auto"/>
                <w:sz w:val="21"/>
                <w:szCs w:val="21"/>
                <w:highlight w:val="none"/>
              </w:rPr>
            </w:pPr>
            <w:r>
              <w:rPr>
                <w:rFonts w:eastAsia="宋体"/>
                <w:color w:val="auto"/>
                <w:sz w:val="21"/>
                <w:szCs w:val="21"/>
                <w:highlight w:val="none"/>
              </w:rPr>
              <w:t>/</w:t>
            </w:r>
          </w:p>
        </w:tc>
        <w:tc>
          <w:tcPr>
            <w:tcW w:w="1049" w:type="dxa"/>
            <w:vAlign w:val="center"/>
          </w:tcPr>
          <w:p w14:paraId="18375CDE">
            <w:pPr>
              <w:pStyle w:val="98"/>
              <w:ind w:left="-105" w:right="-105"/>
              <w:rPr>
                <w:rFonts w:eastAsia="宋体"/>
                <w:color w:val="auto"/>
                <w:sz w:val="21"/>
                <w:szCs w:val="21"/>
                <w:highlight w:val="none"/>
              </w:rPr>
            </w:pPr>
            <w:r>
              <w:rPr>
                <w:rFonts w:eastAsia="宋体"/>
                <w:color w:val="auto"/>
                <w:sz w:val="21"/>
                <w:szCs w:val="21"/>
                <w:highlight w:val="none"/>
              </w:rPr>
              <w:t>/</w:t>
            </w:r>
          </w:p>
        </w:tc>
        <w:tc>
          <w:tcPr>
            <w:tcW w:w="1050" w:type="dxa"/>
            <w:vAlign w:val="center"/>
          </w:tcPr>
          <w:p w14:paraId="306233DD">
            <w:pPr>
              <w:pStyle w:val="98"/>
              <w:ind w:left="-105" w:right="-105"/>
              <w:rPr>
                <w:rFonts w:eastAsia="宋体"/>
                <w:color w:val="auto"/>
                <w:sz w:val="21"/>
                <w:szCs w:val="21"/>
                <w:highlight w:val="none"/>
              </w:rPr>
            </w:pPr>
            <w:r>
              <w:rPr>
                <w:rFonts w:eastAsia="宋体"/>
                <w:color w:val="auto"/>
                <w:sz w:val="21"/>
                <w:szCs w:val="21"/>
                <w:highlight w:val="none"/>
              </w:rPr>
              <w:t>/</w:t>
            </w:r>
          </w:p>
        </w:tc>
        <w:tc>
          <w:tcPr>
            <w:tcW w:w="1665" w:type="dxa"/>
            <w:vAlign w:val="center"/>
          </w:tcPr>
          <w:p w14:paraId="681E1DE0">
            <w:pPr>
              <w:pStyle w:val="98"/>
              <w:ind w:left="-105" w:right="-105"/>
              <w:rPr>
                <w:rFonts w:eastAsia="宋体"/>
                <w:color w:val="auto"/>
                <w:sz w:val="21"/>
                <w:szCs w:val="21"/>
                <w:highlight w:val="none"/>
              </w:rPr>
            </w:pPr>
            <w:r>
              <w:rPr>
                <w:rFonts w:eastAsia="宋体"/>
                <w:color w:val="auto"/>
                <w:sz w:val="21"/>
                <w:szCs w:val="21"/>
                <w:highlight w:val="none"/>
              </w:rPr>
              <w:t>/</w:t>
            </w:r>
          </w:p>
        </w:tc>
        <w:tc>
          <w:tcPr>
            <w:tcW w:w="1332" w:type="dxa"/>
            <w:vAlign w:val="center"/>
          </w:tcPr>
          <w:p w14:paraId="1E51FA95">
            <w:pPr>
              <w:pStyle w:val="98"/>
              <w:ind w:left="-105" w:right="-105"/>
              <w:rPr>
                <w:rFonts w:eastAsia="宋体"/>
                <w:color w:val="auto"/>
                <w:sz w:val="21"/>
                <w:szCs w:val="21"/>
                <w:highlight w:val="none"/>
              </w:rPr>
            </w:pPr>
            <w:r>
              <w:rPr>
                <w:rFonts w:eastAsia="宋体"/>
                <w:color w:val="auto"/>
                <w:sz w:val="21"/>
                <w:szCs w:val="21"/>
                <w:highlight w:val="none"/>
              </w:rPr>
              <w:t>/</w:t>
            </w:r>
          </w:p>
        </w:tc>
      </w:tr>
      <w:tr w14:paraId="0C8CBEDA">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cantSplit/>
          <w:trHeight w:val="340" w:hRule="atLeast"/>
          <w:jc w:val="center"/>
        </w:trPr>
        <w:tc>
          <w:tcPr>
            <w:tcW w:w="825" w:type="dxa"/>
            <w:vAlign w:val="center"/>
          </w:tcPr>
          <w:p w14:paraId="2193C6A5">
            <w:pPr>
              <w:pStyle w:val="98"/>
              <w:numPr>
                <w:ilvl w:val="0"/>
                <w:numId w:val="12"/>
              </w:numPr>
              <w:ind w:left="-105" w:right="-105" w:firstLine="0"/>
              <w:rPr>
                <w:rFonts w:eastAsia="宋体"/>
                <w:color w:val="auto"/>
                <w:sz w:val="21"/>
                <w:szCs w:val="21"/>
                <w:highlight w:val="none"/>
              </w:rPr>
            </w:pPr>
          </w:p>
        </w:tc>
        <w:tc>
          <w:tcPr>
            <w:tcW w:w="1750" w:type="dxa"/>
            <w:vAlign w:val="center"/>
          </w:tcPr>
          <w:p w14:paraId="47325A1D">
            <w:pPr>
              <w:pStyle w:val="98"/>
              <w:ind w:left="-105" w:right="-105"/>
              <w:rPr>
                <w:color w:val="auto"/>
                <w:sz w:val="21"/>
                <w:szCs w:val="21"/>
                <w:highlight w:val="none"/>
              </w:rPr>
            </w:pPr>
            <w:r>
              <w:rPr>
                <w:rFonts w:hint="eastAsia" w:ascii="宋体" w:hAnsi="宋体" w:eastAsia="宋体" w:cs="宋体"/>
                <w:color w:val="auto"/>
                <w:sz w:val="21"/>
                <w:szCs w:val="21"/>
                <w:highlight w:val="none"/>
              </w:rPr>
              <w:t>石油类</w:t>
            </w:r>
          </w:p>
        </w:tc>
        <w:tc>
          <w:tcPr>
            <w:tcW w:w="1049" w:type="dxa"/>
            <w:vAlign w:val="center"/>
          </w:tcPr>
          <w:p w14:paraId="63B54508">
            <w:pPr>
              <w:pStyle w:val="98"/>
              <w:ind w:left="-105" w:right="-105"/>
              <w:rPr>
                <w:rFonts w:eastAsia="宋体"/>
                <w:color w:val="auto"/>
                <w:sz w:val="21"/>
                <w:szCs w:val="21"/>
                <w:highlight w:val="none"/>
              </w:rPr>
            </w:pPr>
            <w:r>
              <w:rPr>
                <w:rFonts w:eastAsia="宋体"/>
                <w:color w:val="auto"/>
                <w:sz w:val="21"/>
                <w:szCs w:val="21"/>
                <w:highlight w:val="none"/>
              </w:rPr>
              <w:t>/</w:t>
            </w:r>
          </w:p>
        </w:tc>
        <w:tc>
          <w:tcPr>
            <w:tcW w:w="1049" w:type="dxa"/>
            <w:vAlign w:val="center"/>
          </w:tcPr>
          <w:p w14:paraId="6C8F3825">
            <w:pPr>
              <w:pStyle w:val="98"/>
              <w:ind w:left="-105" w:right="-105"/>
              <w:rPr>
                <w:rFonts w:eastAsia="宋体"/>
                <w:color w:val="auto"/>
                <w:sz w:val="21"/>
                <w:szCs w:val="21"/>
                <w:highlight w:val="none"/>
              </w:rPr>
            </w:pPr>
            <w:r>
              <w:rPr>
                <w:rFonts w:eastAsia="宋体"/>
                <w:color w:val="auto"/>
                <w:sz w:val="21"/>
                <w:szCs w:val="21"/>
                <w:highlight w:val="none"/>
              </w:rPr>
              <w:t>/</w:t>
            </w:r>
          </w:p>
        </w:tc>
        <w:tc>
          <w:tcPr>
            <w:tcW w:w="1050" w:type="dxa"/>
            <w:vAlign w:val="center"/>
          </w:tcPr>
          <w:p w14:paraId="790CED3E">
            <w:pPr>
              <w:pStyle w:val="98"/>
              <w:ind w:left="-105" w:right="-105"/>
              <w:rPr>
                <w:rFonts w:eastAsia="宋体"/>
                <w:color w:val="auto"/>
                <w:sz w:val="21"/>
                <w:szCs w:val="21"/>
                <w:highlight w:val="none"/>
              </w:rPr>
            </w:pPr>
            <w:r>
              <w:rPr>
                <w:rFonts w:eastAsia="宋体"/>
                <w:color w:val="auto"/>
                <w:sz w:val="21"/>
                <w:szCs w:val="21"/>
                <w:highlight w:val="none"/>
              </w:rPr>
              <w:t>/</w:t>
            </w:r>
          </w:p>
        </w:tc>
        <w:tc>
          <w:tcPr>
            <w:tcW w:w="1665" w:type="dxa"/>
            <w:vAlign w:val="center"/>
          </w:tcPr>
          <w:p w14:paraId="4F0C9FE7">
            <w:pPr>
              <w:pStyle w:val="98"/>
              <w:ind w:left="-105" w:right="-105"/>
              <w:rPr>
                <w:rFonts w:eastAsia="宋体"/>
                <w:color w:val="auto"/>
                <w:sz w:val="21"/>
                <w:szCs w:val="21"/>
                <w:highlight w:val="none"/>
              </w:rPr>
            </w:pPr>
            <w:r>
              <w:rPr>
                <w:rFonts w:eastAsia="宋体"/>
                <w:color w:val="auto"/>
                <w:sz w:val="21"/>
                <w:szCs w:val="21"/>
                <w:highlight w:val="none"/>
              </w:rPr>
              <w:t>/</w:t>
            </w:r>
          </w:p>
        </w:tc>
        <w:tc>
          <w:tcPr>
            <w:tcW w:w="1332" w:type="dxa"/>
            <w:vAlign w:val="center"/>
          </w:tcPr>
          <w:p w14:paraId="0ACE9773">
            <w:pPr>
              <w:pStyle w:val="98"/>
              <w:ind w:left="-105" w:right="-105"/>
              <w:rPr>
                <w:rFonts w:eastAsia="宋体"/>
                <w:color w:val="auto"/>
                <w:sz w:val="21"/>
                <w:szCs w:val="21"/>
                <w:highlight w:val="none"/>
              </w:rPr>
            </w:pPr>
            <w:r>
              <w:rPr>
                <w:rFonts w:eastAsia="宋体"/>
                <w:color w:val="auto"/>
                <w:sz w:val="21"/>
                <w:szCs w:val="21"/>
                <w:highlight w:val="none"/>
              </w:rPr>
              <w:t>/</w:t>
            </w:r>
          </w:p>
        </w:tc>
      </w:tr>
      <w:tr w14:paraId="37474655">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cantSplit/>
          <w:trHeight w:val="340" w:hRule="atLeast"/>
          <w:jc w:val="center"/>
        </w:trPr>
        <w:tc>
          <w:tcPr>
            <w:tcW w:w="825" w:type="dxa"/>
            <w:vAlign w:val="center"/>
          </w:tcPr>
          <w:p w14:paraId="1BB01D76">
            <w:pPr>
              <w:pStyle w:val="98"/>
              <w:numPr>
                <w:ilvl w:val="0"/>
                <w:numId w:val="12"/>
              </w:numPr>
              <w:ind w:left="-105" w:right="-105" w:firstLine="0"/>
              <w:rPr>
                <w:rFonts w:eastAsia="宋体"/>
                <w:color w:val="auto"/>
                <w:sz w:val="21"/>
                <w:szCs w:val="21"/>
                <w:highlight w:val="none"/>
              </w:rPr>
            </w:pPr>
          </w:p>
        </w:tc>
        <w:tc>
          <w:tcPr>
            <w:tcW w:w="1750" w:type="dxa"/>
            <w:vAlign w:val="center"/>
          </w:tcPr>
          <w:p w14:paraId="1415F875">
            <w:pPr>
              <w:pStyle w:val="98"/>
              <w:ind w:left="-105" w:right="-105"/>
              <w:rPr>
                <w:color w:val="auto"/>
                <w:sz w:val="21"/>
                <w:szCs w:val="21"/>
                <w:highlight w:val="none"/>
              </w:rPr>
            </w:pPr>
            <w:r>
              <w:rPr>
                <w:rFonts w:hint="eastAsia" w:ascii="宋体" w:hAnsi="宋体" w:eastAsia="宋体" w:cs="宋体"/>
                <w:color w:val="auto"/>
                <w:sz w:val="21"/>
                <w:szCs w:val="21"/>
                <w:highlight w:val="none"/>
              </w:rPr>
              <w:t>总铬</w:t>
            </w:r>
          </w:p>
        </w:tc>
        <w:tc>
          <w:tcPr>
            <w:tcW w:w="1049" w:type="dxa"/>
            <w:vAlign w:val="center"/>
          </w:tcPr>
          <w:p w14:paraId="69C2AC77">
            <w:pPr>
              <w:pStyle w:val="98"/>
              <w:ind w:left="-105" w:right="-105"/>
              <w:rPr>
                <w:rFonts w:eastAsia="宋体"/>
                <w:color w:val="auto"/>
                <w:sz w:val="21"/>
                <w:szCs w:val="21"/>
                <w:highlight w:val="none"/>
              </w:rPr>
            </w:pPr>
            <w:r>
              <w:rPr>
                <w:rFonts w:eastAsia="宋体"/>
                <w:color w:val="auto"/>
                <w:sz w:val="21"/>
                <w:szCs w:val="21"/>
                <w:highlight w:val="none"/>
              </w:rPr>
              <w:t>/</w:t>
            </w:r>
          </w:p>
        </w:tc>
        <w:tc>
          <w:tcPr>
            <w:tcW w:w="1049" w:type="dxa"/>
            <w:vAlign w:val="center"/>
          </w:tcPr>
          <w:p w14:paraId="7558A04D">
            <w:pPr>
              <w:pStyle w:val="98"/>
              <w:ind w:left="-105" w:right="-105"/>
              <w:rPr>
                <w:rFonts w:eastAsia="宋体"/>
                <w:color w:val="auto"/>
                <w:sz w:val="21"/>
                <w:szCs w:val="21"/>
                <w:highlight w:val="none"/>
              </w:rPr>
            </w:pPr>
            <w:r>
              <w:rPr>
                <w:rFonts w:eastAsia="宋体"/>
                <w:color w:val="auto"/>
                <w:sz w:val="21"/>
                <w:szCs w:val="21"/>
                <w:highlight w:val="none"/>
              </w:rPr>
              <w:t>/</w:t>
            </w:r>
          </w:p>
        </w:tc>
        <w:tc>
          <w:tcPr>
            <w:tcW w:w="1050" w:type="dxa"/>
            <w:vAlign w:val="center"/>
          </w:tcPr>
          <w:p w14:paraId="69D05E6C">
            <w:pPr>
              <w:pStyle w:val="98"/>
              <w:ind w:left="-105" w:right="-105"/>
              <w:rPr>
                <w:rFonts w:eastAsia="宋体"/>
                <w:color w:val="auto"/>
                <w:sz w:val="21"/>
                <w:szCs w:val="21"/>
                <w:highlight w:val="none"/>
              </w:rPr>
            </w:pPr>
            <w:r>
              <w:rPr>
                <w:rFonts w:eastAsia="宋体"/>
                <w:color w:val="auto"/>
                <w:sz w:val="21"/>
                <w:szCs w:val="21"/>
                <w:highlight w:val="none"/>
              </w:rPr>
              <w:t>/</w:t>
            </w:r>
          </w:p>
        </w:tc>
        <w:tc>
          <w:tcPr>
            <w:tcW w:w="1665" w:type="dxa"/>
            <w:vAlign w:val="center"/>
          </w:tcPr>
          <w:p w14:paraId="54B26473">
            <w:pPr>
              <w:pStyle w:val="98"/>
              <w:ind w:left="-105" w:right="-105"/>
              <w:rPr>
                <w:rFonts w:eastAsia="宋体"/>
                <w:color w:val="auto"/>
                <w:sz w:val="21"/>
                <w:szCs w:val="21"/>
                <w:highlight w:val="none"/>
              </w:rPr>
            </w:pPr>
            <w:r>
              <w:rPr>
                <w:rFonts w:eastAsia="宋体"/>
                <w:color w:val="auto"/>
                <w:sz w:val="21"/>
                <w:szCs w:val="21"/>
                <w:highlight w:val="none"/>
              </w:rPr>
              <w:t>/</w:t>
            </w:r>
          </w:p>
        </w:tc>
        <w:tc>
          <w:tcPr>
            <w:tcW w:w="1332" w:type="dxa"/>
            <w:vAlign w:val="center"/>
          </w:tcPr>
          <w:p w14:paraId="71007B26">
            <w:pPr>
              <w:pStyle w:val="98"/>
              <w:ind w:left="-105" w:right="-105"/>
              <w:rPr>
                <w:rFonts w:eastAsia="宋体"/>
                <w:color w:val="auto"/>
                <w:sz w:val="21"/>
                <w:szCs w:val="21"/>
                <w:highlight w:val="none"/>
              </w:rPr>
            </w:pPr>
            <w:r>
              <w:rPr>
                <w:rFonts w:eastAsia="宋体"/>
                <w:color w:val="auto"/>
                <w:sz w:val="21"/>
                <w:szCs w:val="21"/>
                <w:highlight w:val="none"/>
              </w:rPr>
              <w:t>/</w:t>
            </w:r>
          </w:p>
        </w:tc>
      </w:tr>
      <w:tr w14:paraId="3BEC4A90">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cantSplit/>
          <w:trHeight w:val="340" w:hRule="atLeast"/>
          <w:jc w:val="center"/>
        </w:trPr>
        <w:tc>
          <w:tcPr>
            <w:tcW w:w="825" w:type="dxa"/>
            <w:vAlign w:val="center"/>
          </w:tcPr>
          <w:p w14:paraId="368C4B9E">
            <w:pPr>
              <w:pStyle w:val="98"/>
              <w:numPr>
                <w:ilvl w:val="0"/>
                <w:numId w:val="12"/>
              </w:numPr>
              <w:ind w:left="-105" w:right="-105" w:firstLine="0"/>
              <w:rPr>
                <w:rFonts w:eastAsia="宋体"/>
                <w:color w:val="auto"/>
                <w:sz w:val="21"/>
                <w:szCs w:val="21"/>
                <w:highlight w:val="none"/>
              </w:rPr>
            </w:pPr>
          </w:p>
        </w:tc>
        <w:tc>
          <w:tcPr>
            <w:tcW w:w="1750" w:type="dxa"/>
            <w:vAlign w:val="center"/>
          </w:tcPr>
          <w:p w14:paraId="4A91188C">
            <w:pPr>
              <w:pStyle w:val="98"/>
              <w:ind w:left="-105" w:right="-105"/>
              <w:rPr>
                <w:color w:val="auto"/>
                <w:sz w:val="21"/>
                <w:szCs w:val="21"/>
                <w:highlight w:val="none"/>
              </w:rPr>
            </w:pPr>
            <w:r>
              <w:rPr>
                <w:color w:val="auto"/>
                <w:sz w:val="21"/>
                <w:szCs w:val="21"/>
                <w:highlight w:val="none"/>
              </w:rPr>
              <w:t>1</w:t>
            </w:r>
            <w:r>
              <w:rPr>
                <w:rFonts w:hint="eastAsia" w:ascii="宋体" w:hAnsi="宋体" w:eastAsia="宋体" w:cs="宋体"/>
                <w:color w:val="auto"/>
                <w:sz w:val="21"/>
                <w:szCs w:val="21"/>
                <w:highlight w:val="none"/>
              </w:rPr>
              <w:t>，</w:t>
            </w:r>
            <w:r>
              <w:rPr>
                <w:color w:val="auto"/>
                <w:sz w:val="21"/>
                <w:szCs w:val="21"/>
                <w:highlight w:val="none"/>
              </w:rPr>
              <w:t>1-</w:t>
            </w:r>
            <w:r>
              <w:rPr>
                <w:rFonts w:hint="eastAsia" w:ascii="宋体" w:hAnsi="宋体" w:eastAsia="宋体" w:cs="宋体"/>
                <w:color w:val="auto"/>
                <w:sz w:val="21"/>
                <w:szCs w:val="21"/>
                <w:highlight w:val="none"/>
              </w:rPr>
              <w:t>二氯乙烷</w:t>
            </w:r>
          </w:p>
        </w:tc>
        <w:tc>
          <w:tcPr>
            <w:tcW w:w="1049" w:type="dxa"/>
            <w:vAlign w:val="center"/>
          </w:tcPr>
          <w:p w14:paraId="2D094EE0">
            <w:pPr>
              <w:pStyle w:val="98"/>
              <w:ind w:left="-105" w:right="-105"/>
              <w:rPr>
                <w:rFonts w:eastAsia="宋体"/>
                <w:color w:val="auto"/>
                <w:sz w:val="21"/>
                <w:szCs w:val="21"/>
                <w:highlight w:val="none"/>
              </w:rPr>
            </w:pPr>
            <w:r>
              <w:rPr>
                <w:rFonts w:eastAsia="宋体"/>
                <w:color w:val="auto"/>
                <w:sz w:val="21"/>
                <w:szCs w:val="21"/>
                <w:highlight w:val="none"/>
              </w:rPr>
              <w:t>/</w:t>
            </w:r>
          </w:p>
        </w:tc>
        <w:tc>
          <w:tcPr>
            <w:tcW w:w="1049" w:type="dxa"/>
            <w:vAlign w:val="center"/>
          </w:tcPr>
          <w:p w14:paraId="54157660">
            <w:pPr>
              <w:pStyle w:val="98"/>
              <w:ind w:left="-105" w:right="-105"/>
              <w:rPr>
                <w:rFonts w:eastAsia="宋体"/>
                <w:color w:val="auto"/>
                <w:sz w:val="21"/>
                <w:szCs w:val="21"/>
                <w:highlight w:val="none"/>
              </w:rPr>
            </w:pPr>
            <w:r>
              <w:rPr>
                <w:rFonts w:eastAsia="宋体"/>
                <w:color w:val="auto"/>
                <w:sz w:val="21"/>
                <w:szCs w:val="21"/>
                <w:highlight w:val="none"/>
              </w:rPr>
              <w:t>/</w:t>
            </w:r>
          </w:p>
        </w:tc>
        <w:tc>
          <w:tcPr>
            <w:tcW w:w="1050" w:type="dxa"/>
            <w:vAlign w:val="center"/>
          </w:tcPr>
          <w:p w14:paraId="1D615625">
            <w:pPr>
              <w:pStyle w:val="98"/>
              <w:ind w:left="-105" w:right="-105"/>
              <w:rPr>
                <w:rFonts w:eastAsia="宋体"/>
                <w:color w:val="auto"/>
                <w:sz w:val="21"/>
                <w:szCs w:val="21"/>
                <w:highlight w:val="none"/>
              </w:rPr>
            </w:pPr>
            <w:r>
              <w:rPr>
                <w:rFonts w:eastAsia="宋体"/>
                <w:color w:val="auto"/>
                <w:sz w:val="21"/>
                <w:szCs w:val="21"/>
                <w:highlight w:val="none"/>
              </w:rPr>
              <w:t>/</w:t>
            </w:r>
          </w:p>
        </w:tc>
        <w:tc>
          <w:tcPr>
            <w:tcW w:w="1665" w:type="dxa"/>
            <w:vAlign w:val="center"/>
          </w:tcPr>
          <w:p w14:paraId="1E46A54A">
            <w:pPr>
              <w:pStyle w:val="98"/>
              <w:ind w:left="-105" w:right="-105"/>
              <w:rPr>
                <w:rFonts w:eastAsia="宋体"/>
                <w:color w:val="auto"/>
                <w:sz w:val="21"/>
                <w:szCs w:val="21"/>
                <w:highlight w:val="none"/>
              </w:rPr>
            </w:pPr>
            <w:r>
              <w:rPr>
                <w:rFonts w:eastAsia="宋体"/>
                <w:color w:val="auto"/>
                <w:sz w:val="21"/>
                <w:szCs w:val="21"/>
                <w:highlight w:val="none"/>
              </w:rPr>
              <w:t>/</w:t>
            </w:r>
          </w:p>
        </w:tc>
        <w:tc>
          <w:tcPr>
            <w:tcW w:w="1332" w:type="dxa"/>
            <w:vAlign w:val="center"/>
          </w:tcPr>
          <w:p w14:paraId="556D574F">
            <w:pPr>
              <w:pStyle w:val="98"/>
              <w:ind w:left="-105" w:right="-105"/>
              <w:rPr>
                <w:rFonts w:eastAsia="宋体"/>
                <w:color w:val="auto"/>
                <w:sz w:val="21"/>
                <w:szCs w:val="21"/>
                <w:highlight w:val="none"/>
              </w:rPr>
            </w:pPr>
            <w:r>
              <w:rPr>
                <w:rFonts w:eastAsia="宋体"/>
                <w:color w:val="auto"/>
                <w:sz w:val="21"/>
                <w:szCs w:val="21"/>
                <w:highlight w:val="none"/>
              </w:rPr>
              <w:t>/</w:t>
            </w:r>
          </w:p>
        </w:tc>
      </w:tr>
      <w:tr w14:paraId="3A3A94D2">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cantSplit/>
          <w:trHeight w:val="340" w:hRule="atLeast"/>
          <w:jc w:val="center"/>
        </w:trPr>
        <w:tc>
          <w:tcPr>
            <w:tcW w:w="825" w:type="dxa"/>
            <w:vAlign w:val="center"/>
          </w:tcPr>
          <w:p w14:paraId="38815E4E">
            <w:pPr>
              <w:pStyle w:val="98"/>
              <w:numPr>
                <w:ilvl w:val="0"/>
                <w:numId w:val="12"/>
              </w:numPr>
              <w:ind w:left="-105" w:right="-105" w:firstLine="0"/>
              <w:rPr>
                <w:rFonts w:eastAsia="宋体"/>
                <w:color w:val="auto"/>
                <w:sz w:val="21"/>
                <w:szCs w:val="21"/>
                <w:highlight w:val="none"/>
              </w:rPr>
            </w:pPr>
          </w:p>
        </w:tc>
        <w:tc>
          <w:tcPr>
            <w:tcW w:w="1750" w:type="dxa"/>
            <w:vAlign w:val="center"/>
          </w:tcPr>
          <w:p w14:paraId="2BDAE03B">
            <w:pPr>
              <w:pStyle w:val="98"/>
              <w:ind w:left="-105" w:right="-105"/>
              <w:rPr>
                <w:color w:val="auto"/>
                <w:sz w:val="21"/>
                <w:szCs w:val="21"/>
                <w:highlight w:val="none"/>
              </w:rPr>
            </w:pPr>
            <w:r>
              <w:rPr>
                <w:color w:val="auto"/>
                <w:sz w:val="21"/>
                <w:szCs w:val="21"/>
                <w:highlight w:val="none"/>
              </w:rPr>
              <w:t>1</w:t>
            </w:r>
            <w:r>
              <w:rPr>
                <w:rFonts w:hint="eastAsia" w:ascii="宋体" w:hAnsi="宋体" w:eastAsia="宋体" w:cs="宋体"/>
                <w:color w:val="auto"/>
                <w:sz w:val="21"/>
                <w:szCs w:val="21"/>
                <w:highlight w:val="none"/>
              </w:rPr>
              <w:t>，</w:t>
            </w:r>
            <w:r>
              <w:rPr>
                <w:color w:val="auto"/>
                <w:sz w:val="21"/>
                <w:szCs w:val="21"/>
                <w:highlight w:val="none"/>
              </w:rPr>
              <w:t>1</w:t>
            </w:r>
            <w:r>
              <w:rPr>
                <w:rFonts w:hint="eastAsia" w:ascii="宋体" w:hAnsi="宋体" w:eastAsia="宋体" w:cs="宋体"/>
                <w:color w:val="auto"/>
                <w:sz w:val="21"/>
                <w:szCs w:val="21"/>
                <w:highlight w:val="none"/>
              </w:rPr>
              <w:t>，</w:t>
            </w:r>
            <w:r>
              <w:rPr>
                <w:color w:val="auto"/>
                <w:sz w:val="21"/>
                <w:szCs w:val="21"/>
                <w:highlight w:val="none"/>
              </w:rPr>
              <w:t>1</w:t>
            </w:r>
            <w:r>
              <w:rPr>
                <w:rFonts w:hint="eastAsia" w:ascii="宋体" w:hAnsi="宋体" w:eastAsia="宋体" w:cs="宋体"/>
                <w:color w:val="auto"/>
                <w:sz w:val="21"/>
                <w:szCs w:val="21"/>
                <w:highlight w:val="none"/>
              </w:rPr>
              <w:t>，</w:t>
            </w:r>
            <w:r>
              <w:rPr>
                <w:color w:val="auto"/>
                <w:sz w:val="21"/>
                <w:szCs w:val="21"/>
                <w:highlight w:val="none"/>
              </w:rPr>
              <w:t>2-</w:t>
            </w:r>
            <w:r>
              <w:rPr>
                <w:rFonts w:hint="eastAsia" w:ascii="宋体" w:hAnsi="宋体" w:eastAsia="宋体" w:cs="宋体"/>
                <w:color w:val="auto"/>
                <w:sz w:val="21"/>
                <w:szCs w:val="21"/>
                <w:highlight w:val="none"/>
              </w:rPr>
              <w:t>四氯乙烷</w:t>
            </w:r>
          </w:p>
        </w:tc>
        <w:tc>
          <w:tcPr>
            <w:tcW w:w="1049" w:type="dxa"/>
            <w:vAlign w:val="center"/>
          </w:tcPr>
          <w:p w14:paraId="2CC4A82F">
            <w:pPr>
              <w:pStyle w:val="98"/>
              <w:ind w:left="-105" w:right="-105"/>
              <w:rPr>
                <w:rFonts w:eastAsia="宋体"/>
                <w:color w:val="auto"/>
                <w:sz w:val="21"/>
                <w:szCs w:val="21"/>
                <w:highlight w:val="none"/>
              </w:rPr>
            </w:pPr>
            <w:r>
              <w:rPr>
                <w:rFonts w:eastAsia="宋体"/>
                <w:color w:val="auto"/>
                <w:sz w:val="21"/>
                <w:szCs w:val="21"/>
                <w:highlight w:val="none"/>
              </w:rPr>
              <w:t>/</w:t>
            </w:r>
          </w:p>
        </w:tc>
        <w:tc>
          <w:tcPr>
            <w:tcW w:w="1049" w:type="dxa"/>
            <w:vAlign w:val="center"/>
          </w:tcPr>
          <w:p w14:paraId="021AF85F">
            <w:pPr>
              <w:pStyle w:val="98"/>
              <w:ind w:left="-105" w:right="-105"/>
              <w:rPr>
                <w:rFonts w:eastAsia="宋体"/>
                <w:color w:val="auto"/>
                <w:sz w:val="21"/>
                <w:szCs w:val="21"/>
                <w:highlight w:val="none"/>
              </w:rPr>
            </w:pPr>
            <w:r>
              <w:rPr>
                <w:rFonts w:eastAsia="宋体"/>
                <w:color w:val="auto"/>
                <w:sz w:val="21"/>
                <w:szCs w:val="21"/>
                <w:highlight w:val="none"/>
              </w:rPr>
              <w:t>/</w:t>
            </w:r>
          </w:p>
        </w:tc>
        <w:tc>
          <w:tcPr>
            <w:tcW w:w="1050" w:type="dxa"/>
            <w:vAlign w:val="center"/>
          </w:tcPr>
          <w:p w14:paraId="43A42354">
            <w:pPr>
              <w:pStyle w:val="98"/>
              <w:ind w:left="-105" w:right="-105"/>
              <w:rPr>
                <w:rFonts w:eastAsia="宋体"/>
                <w:color w:val="auto"/>
                <w:sz w:val="21"/>
                <w:szCs w:val="21"/>
                <w:highlight w:val="none"/>
              </w:rPr>
            </w:pPr>
            <w:r>
              <w:rPr>
                <w:rFonts w:eastAsia="宋体"/>
                <w:color w:val="auto"/>
                <w:sz w:val="21"/>
                <w:szCs w:val="21"/>
                <w:highlight w:val="none"/>
              </w:rPr>
              <w:t>/</w:t>
            </w:r>
          </w:p>
        </w:tc>
        <w:tc>
          <w:tcPr>
            <w:tcW w:w="1665" w:type="dxa"/>
            <w:vAlign w:val="center"/>
          </w:tcPr>
          <w:p w14:paraId="61D130D2">
            <w:pPr>
              <w:pStyle w:val="98"/>
              <w:ind w:left="-105" w:right="-105"/>
              <w:rPr>
                <w:rFonts w:eastAsia="宋体"/>
                <w:color w:val="auto"/>
                <w:sz w:val="21"/>
                <w:szCs w:val="21"/>
                <w:highlight w:val="none"/>
              </w:rPr>
            </w:pPr>
            <w:r>
              <w:rPr>
                <w:rFonts w:eastAsia="宋体"/>
                <w:color w:val="auto"/>
                <w:sz w:val="21"/>
                <w:szCs w:val="21"/>
                <w:highlight w:val="none"/>
              </w:rPr>
              <w:t>/</w:t>
            </w:r>
          </w:p>
        </w:tc>
        <w:tc>
          <w:tcPr>
            <w:tcW w:w="1332" w:type="dxa"/>
            <w:vAlign w:val="center"/>
          </w:tcPr>
          <w:p w14:paraId="73EA33B0">
            <w:pPr>
              <w:pStyle w:val="98"/>
              <w:ind w:left="-105" w:right="-105"/>
              <w:rPr>
                <w:rFonts w:eastAsia="宋体"/>
                <w:color w:val="auto"/>
                <w:sz w:val="21"/>
                <w:szCs w:val="21"/>
                <w:highlight w:val="none"/>
              </w:rPr>
            </w:pPr>
            <w:r>
              <w:rPr>
                <w:rFonts w:eastAsia="宋体"/>
                <w:color w:val="auto"/>
                <w:sz w:val="21"/>
                <w:szCs w:val="21"/>
                <w:highlight w:val="none"/>
              </w:rPr>
              <w:t>/</w:t>
            </w:r>
          </w:p>
        </w:tc>
      </w:tr>
      <w:tr w14:paraId="1CBEEC71">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cantSplit/>
          <w:trHeight w:val="340" w:hRule="atLeast"/>
          <w:jc w:val="center"/>
        </w:trPr>
        <w:tc>
          <w:tcPr>
            <w:tcW w:w="825" w:type="dxa"/>
            <w:vAlign w:val="center"/>
          </w:tcPr>
          <w:p w14:paraId="2BCF9E6D">
            <w:pPr>
              <w:pStyle w:val="98"/>
              <w:numPr>
                <w:ilvl w:val="0"/>
                <w:numId w:val="12"/>
              </w:numPr>
              <w:ind w:left="-105" w:right="-105" w:firstLine="0"/>
              <w:rPr>
                <w:rFonts w:eastAsia="宋体"/>
                <w:color w:val="auto"/>
                <w:sz w:val="21"/>
                <w:szCs w:val="21"/>
                <w:highlight w:val="none"/>
              </w:rPr>
            </w:pPr>
          </w:p>
        </w:tc>
        <w:tc>
          <w:tcPr>
            <w:tcW w:w="1750" w:type="dxa"/>
            <w:vAlign w:val="center"/>
          </w:tcPr>
          <w:p w14:paraId="745D52E1">
            <w:pPr>
              <w:pStyle w:val="98"/>
              <w:ind w:left="-105" w:right="-105"/>
              <w:rPr>
                <w:color w:val="auto"/>
                <w:sz w:val="21"/>
                <w:szCs w:val="21"/>
                <w:highlight w:val="none"/>
              </w:rPr>
            </w:pPr>
            <w:r>
              <w:rPr>
                <w:color w:val="auto"/>
                <w:sz w:val="21"/>
                <w:szCs w:val="21"/>
                <w:highlight w:val="none"/>
              </w:rPr>
              <w:t>1</w:t>
            </w:r>
            <w:r>
              <w:rPr>
                <w:rFonts w:hint="eastAsia" w:ascii="宋体" w:hAnsi="宋体" w:eastAsia="宋体" w:cs="宋体"/>
                <w:color w:val="auto"/>
                <w:sz w:val="21"/>
                <w:szCs w:val="21"/>
                <w:highlight w:val="none"/>
              </w:rPr>
              <w:t>，</w:t>
            </w:r>
            <w:r>
              <w:rPr>
                <w:color w:val="auto"/>
                <w:sz w:val="21"/>
                <w:szCs w:val="21"/>
                <w:highlight w:val="none"/>
              </w:rPr>
              <w:t>1</w:t>
            </w:r>
            <w:r>
              <w:rPr>
                <w:rFonts w:hint="eastAsia" w:ascii="宋体" w:hAnsi="宋体" w:eastAsia="宋体" w:cs="宋体"/>
                <w:color w:val="auto"/>
                <w:sz w:val="21"/>
                <w:szCs w:val="21"/>
                <w:highlight w:val="none"/>
              </w:rPr>
              <w:t>，</w:t>
            </w:r>
            <w:r>
              <w:rPr>
                <w:color w:val="auto"/>
                <w:sz w:val="21"/>
                <w:szCs w:val="21"/>
                <w:highlight w:val="none"/>
              </w:rPr>
              <w:t>2</w:t>
            </w:r>
            <w:r>
              <w:rPr>
                <w:rFonts w:hint="eastAsia" w:ascii="宋体" w:hAnsi="宋体" w:eastAsia="宋体" w:cs="宋体"/>
                <w:color w:val="auto"/>
                <w:sz w:val="21"/>
                <w:szCs w:val="21"/>
                <w:highlight w:val="none"/>
              </w:rPr>
              <w:t>，</w:t>
            </w:r>
            <w:r>
              <w:rPr>
                <w:color w:val="auto"/>
                <w:sz w:val="21"/>
                <w:szCs w:val="21"/>
                <w:highlight w:val="none"/>
              </w:rPr>
              <w:t>2-</w:t>
            </w:r>
            <w:r>
              <w:rPr>
                <w:rFonts w:hint="eastAsia" w:ascii="宋体" w:hAnsi="宋体" w:eastAsia="宋体" w:cs="宋体"/>
                <w:color w:val="auto"/>
                <w:sz w:val="21"/>
                <w:szCs w:val="21"/>
                <w:highlight w:val="none"/>
              </w:rPr>
              <w:t>四氯乙烷</w:t>
            </w:r>
          </w:p>
        </w:tc>
        <w:tc>
          <w:tcPr>
            <w:tcW w:w="1049" w:type="dxa"/>
            <w:vAlign w:val="center"/>
          </w:tcPr>
          <w:p w14:paraId="4BDB3E49">
            <w:pPr>
              <w:pStyle w:val="98"/>
              <w:ind w:left="-105" w:right="-105"/>
              <w:rPr>
                <w:rFonts w:eastAsia="宋体"/>
                <w:color w:val="auto"/>
                <w:sz w:val="21"/>
                <w:szCs w:val="21"/>
                <w:highlight w:val="none"/>
              </w:rPr>
            </w:pPr>
            <w:r>
              <w:rPr>
                <w:rFonts w:eastAsia="宋体"/>
                <w:color w:val="auto"/>
                <w:sz w:val="21"/>
                <w:szCs w:val="21"/>
                <w:highlight w:val="none"/>
              </w:rPr>
              <w:t>/</w:t>
            </w:r>
          </w:p>
        </w:tc>
        <w:tc>
          <w:tcPr>
            <w:tcW w:w="1049" w:type="dxa"/>
            <w:vAlign w:val="center"/>
          </w:tcPr>
          <w:p w14:paraId="0974D2CA">
            <w:pPr>
              <w:pStyle w:val="98"/>
              <w:ind w:left="-105" w:right="-105"/>
              <w:rPr>
                <w:rFonts w:eastAsia="宋体"/>
                <w:color w:val="auto"/>
                <w:sz w:val="21"/>
                <w:szCs w:val="21"/>
                <w:highlight w:val="none"/>
              </w:rPr>
            </w:pPr>
            <w:r>
              <w:rPr>
                <w:rFonts w:eastAsia="宋体"/>
                <w:color w:val="auto"/>
                <w:sz w:val="21"/>
                <w:szCs w:val="21"/>
                <w:highlight w:val="none"/>
              </w:rPr>
              <w:t>/</w:t>
            </w:r>
          </w:p>
        </w:tc>
        <w:tc>
          <w:tcPr>
            <w:tcW w:w="1050" w:type="dxa"/>
            <w:vAlign w:val="center"/>
          </w:tcPr>
          <w:p w14:paraId="3907601D">
            <w:pPr>
              <w:pStyle w:val="98"/>
              <w:ind w:left="-105" w:right="-105"/>
              <w:rPr>
                <w:rFonts w:eastAsia="宋体"/>
                <w:color w:val="auto"/>
                <w:sz w:val="21"/>
                <w:szCs w:val="21"/>
                <w:highlight w:val="none"/>
              </w:rPr>
            </w:pPr>
            <w:r>
              <w:rPr>
                <w:rFonts w:eastAsia="宋体"/>
                <w:color w:val="auto"/>
                <w:sz w:val="21"/>
                <w:szCs w:val="21"/>
                <w:highlight w:val="none"/>
              </w:rPr>
              <w:t>/</w:t>
            </w:r>
          </w:p>
        </w:tc>
        <w:tc>
          <w:tcPr>
            <w:tcW w:w="1665" w:type="dxa"/>
            <w:vAlign w:val="center"/>
          </w:tcPr>
          <w:p w14:paraId="15643465">
            <w:pPr>
              <w:pStyle w:val="98"/>
              <w:ind w:left="-105" w:right="-105"/>
              <w:rPr>
                <w:rFonts w:eastAsia="宋体"/>
                <w:color w:val="auto"/>
                <w:sz w:val="21"/>
                <w:szCs w:val="21"/>
                <w:highlight w:val="none"/>
              </w:rPr>
            </w:pPr>
            <w:r>
              <w:rPr>
                <w:rFonts w:eastAsia="宋体"/>
                <w:color w:val="auto"/>
                <w:sz w:val="21"/>
                <w:szCs w:val="21"/>
                <w:highlight w:val="none"/>
              </w:rPr>
              <w:t>/</w:t>
            </w:r>
          </w:p>
        </w:tc>
        <w:tc>
          <w:tcPr>
            <w:tcW w:w="1332" w:type="dxa"/>
            <w:vAlign w:val="center"/>
          </w:tcPr>
          <w:p w14:paraId="343EEB5D">
            <w:pPr>
              <w:pStyle w:val="98"/>
              <w:ind w:left="-105" w:right="-105"/>
              <w:rPr>
                <w:rFonts w:eastAsia="宋体"/>
                <w:color w:val="auto"/>
                <w:sz w:val="21"/>
                <w:szCs w:val="21"/>
                <w:highlight w:val="none"/>
              </w:rPr>
            </w:pPr>
            <w:r>
              <w:rPr>
                <w:rFonts w:eastAsia="宋体"/>
                <w:color w:val="auto"/>
                <w:sz w:val="21"/>
                <w:szCs w:val="21"/>
                <w:highlight w:val="none"/>
              </w:rPr>
              <w:t>/</w:t>
            </w:r>
          </w:p>
        </w:tc>
      </w:tr>
      <w:tr w14:paraId="4B188613">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cantSplit/>
          <w:trHeight w:val="340" w:hRule="atLeast"/>
          <w:jc w:val="center"/>
        </w:trPr>
        <w:tc>
          <w:tcPr>
            <w:tcW w:w="825" w:type="dxa"/>
            <w:vAlign w:val="center"/>
          </w:tcPr>
          <w:p w14:paraId="7488326D">
            <w:pPr>
              <w:pStyle w:val="98"/>
              <w:numPr>
                <w:ilvl w:val="0"/>
                <w:numId w:val="12"/>
              </w:numPr>
              <w:ind w:left="-105" w:right="-105" w:firstLine="0"/>
              <w:rPr>
                <w:rFonts w:eastAsia="宋体"/>
                <w:color w:val="auto"/>
                <w:sz w:val="21"/>
                <w:szCs w:val="21"/>
                <w:highlight w:val="none"/>
              </w:rPr>
            </w:pPr>
          </w:p>
        </w:tc>
        <w:tc>
          <w:tcPr>
            <w:tcW w:w="1750" w:type="dxa"/>
            <w:vAlign w:val="center"/>
          </w:tcPr>
          <w:p w14:paraId="06D00CF7">
            <w:pPr>
              <w:pStyle w:val="98"/>
              <w:ind w:left="-105" w:right="-105"/>
              <w:rPr>
                <w:color w:val="auto"/>
                <w:sz w:val="21"/>
                <w:szCs w:val="21"/>
                <w:highlight w:val="none"/>
              </w:rPr>
            </w:pPr>
            <w:r>
              <w:rPr>
                <w:color w:val="auto"/>
                <w:sz w:val="21"/>
                <w:szCs w:val="21"/>
                <w:highlight w:val="none"/>
              </w:rPr>
              <w:t>1</w:t>
            </w:r>
            <w:r>
              <w:rPr>
                <w:rFonts w:hint="eastAsia" w:ascii="宋体" w:hAnsi="宋体" w:eastAsia="宋体" w:cs="宋体"/>
                <w:color w:val="auto"/>
                <w:sz w:val="21"/>
                <w:szCs w:val="21"/>
                <w:highlight w:val="none"/>
              </w:rPr>
              <w:t>，</w:t>
            </w:r>
            <w:r>
              <w:rPr>
                <w:color w:val="auto"/>
                <w:sz w:val="21"/>
                <w:szCs w:val="21"/>
                <w:highlight w:val="none"/>
              </w:rPr>
              <w:t>2</w:t>
            </w:r>
            <w:r>
              <w:rPr>
                <w:rFonts w:hint="eastAsia" w:ascii="宋体" w:hAnsi="宋体" w:eastAsia="宋体" w:cs="宋体"/>
                <w:color w:val="auto"/>
                <w:sz w:val="21"/>
                <w:szCs w:val="21"/>
                <w:highlight w:val="none"/>
              </w:rPr>
              <w:t>，</w:t>
            </w:r>
            <w:r>
              <w:rPr>
                <w:color w:val="auto"/>
                <w:sz w:val="21"/>
                <w:szCs w:val="21"/>
                <w:highlight w:val="none"/>
              </w:rPr>
              <w:t>3-</w:t>
            </w:r>
            <w:r>
              <w:rPr>
                <w:rFonts w:hint="eastAsia" w:ascii="宋体" w:hAnsi="宋体" w:eastAsia="宋体" w:cs="宋体"/>
                <w:color w:val="auto"/>
                <w:sz w:val="21"/>
                <w:szCs w:val="21"/>
                <w:highlight w:val="none"/>
              </w:rPr>
              <w:t>三氯丙烷</w:t>
            </w:r>
          </w:p>
        </w:tc>
        <w:tc>
          <w:tcPr>
            <w:tcW w:w="1049" w:type="dxa"/>
            <w:vAlign w:val="center"/>
          </w:tcPr>
          <w:p w14:paraId="2CC74719">
            <w:pPr>
              <w:pStyle w:val="98"/>
              <w:ind w:left="-105" w:right="-105"/>
              <w:rPr>
                <w:rFonts w:eastAsia="宋体"/>
                <w:color w:val="auto"/>
                <w:sz w:val="21"/>
                <w:szCs w:val="21"/>
                <w:highlight w:val="none"/>
              </w:rPr>
            </w:pPr>
            <w:r>
              <w:rPr>
                <w:rFonts w:eastAsia="宋体"/>
                <w:color w:val="auto"/>
                <w:sz w:val="21"/>
                <w:szCs w:val="21"/>
                <w:highlight w:val="none"/>
              </w:rPr>
              <w:t>/</w:t>
            </w:r>
          </w:p>
        </w:tc>
        <w:tc>
          <w:tcPr>
            <w:tcW w:w="1049" w:type="dxa"/>
            <w:vAlign w:val="center"/>
          </w:tcPr>
          <w:p w14:paraId="1335943E">
            <w:pPr>
              <w:pStyle w:val="98"/>
              <w:ind w:left="-105" w:right="-105"/>
              <w:rPr>
                <w:rFonts w:eastAsia="宋体"/>
                <w:color w:val="auto"/>
                <w:sz w:val="21"/>
                <w:szCs w:val="21"/>
                <w:highlight w:val="none"/>
              </w:rPr>
            </w:pPr>
            <w:r>
              <w:rPr>
                <w:rFonts w:eastAsia="宋体"/>
                <w:color w:val="auto"/>
                <w:sz w:val="21"/>
                <w:szCs w:val="21"/>
                <w:highlight w:val="none"/>
              </w:rPr>
              <w:t>/</w:t>
            </w:r>
          </w:p>
        </w:tc>
        <w:tc>
          <w:tcPr>
            <w:tcW w:w="1050" w:type="dxa"/>
            <w:vAlign w:val="center"/>
          </w:tcPr>
          <w:p w14:paraId="084EA87E">
            <w:pPr>
              <w:pStyle w:val="98"/>
              <w:ind w:left="-105" w:right="-105"/>
              <w:rPr>
                <w:rFonts w:eastAsia="宋体"/>
                <w:color w:val="auto"/>
                <w:sz w:val="21"/>
                <w:szCs w:val="21"/>
                <w:highlight w:val="none"/>
              </w:rPr>
            </w:pPr>
            <w:r>
              <w:rPr>
                <w:rFonts w:eastAsia="宋体"/>
                <w:color w:val="auto"/>
                <w:sz w:val="21"/>
                <w:szCs w:val="21"/>
                <w:highlight w:val="none"/>
              </w:rPr>
              <w:t>/</w:t>
            </w:r>
          </w:p>
        </w:tc>
        <w:tc>
          <w:tcPr>
            <w:tcW w:w="1665" w:type="dxa"/>
            <w:vAlign w:val="center"/>
          </w:tcPr>
          <w:p w14:paraId="6C4930F9">
            <w:pPr>
              <w:pStyle w:val="98"/>
              <w:ind w:left="-105" w:right="-105"/>
              <w:rPr>
                <w:rFonts w:eastAsia="宋体"/>
                <w:color w:val="auto"/>
                <w:sz w:val="21"/>
                <w:szCs w:val="21"/>
                <w:highlight w:val="none"/>
              </w:rPr>
            </w:pPr>
            <w:r>
              <w:rPr>
                <w:rFonts w:eastAsia="宋体"/>
                <w:color w:val="auto"/>
                <w:sz w:val="21"/>
                <w:szCs w:val="21"/>
                <w:highlight w:val="none"/>
              </w:rPr>
              <w:t>/</w:t>
            </w:r>
          </w:p>
        </w:tc>
        <w:tc>
          <w:tcPr>
            <w:tcW w:w="1332" w:type="dxa"/>
            <w:vAlign w:val="center"/>
          </w:tcPr>
          <w:p w14:paraId="5E72D24F">
            <w:pPr>
              <w:pStyle w:val="98"/>
              <w:ind w:left="-105" w:right="-105"/>
              <w:rPr>
                <w:rFonts w:eastAsia="宋体"/>
                <w:color w:val="auto"/>
                <w:sz w:val="21"/>
                <w:szCs w:val="21"/>
                <w:highlight w:val="none"/>
              </w:rPr>
            </w:pPr>
            <w:r>
              <w:rPr>
                <w:rFonts w:eastAsia="宋体"/>
                <w:color w:val="auto"/>
                <w:sz w:val="21"/>
                <w:szCs w:val="21"/>
                <w:highlight w:val="none"/>
              </w:rPr>
              <w:t>/</w:t>
            </w:r>
          </w:p>
        </w:tc>
      </w:tr>
      <w:tr w14:paraId="19F7862C">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cantSplit/>
          <w:trHeight w:val="340" w:hRule="atLeast"/>
          <w:jc w:val="center"/>
        </w:trPr>
        <w:tc>
          <w:tcPr>
            <w:tcW w:w="825" w:type="dxa"/>
            <w:vAlign w:val="center"/>
          </w:tcPr>
          <w:p w14:paraId="7A410715">
            <w:pPr>
              <w:pStyle w:val="98"/>
              <w:numPr>
                <w:ilvl w:val="0"/>
                <w:numId w:val="12"/>
              </w:numPr>
              <w:ind w:left="-105" w:right="-105" w:firstLine="0"/>
              <w:rPr>
                <w:rFonts w:eastAsia="宋体"/>
                <w:color w:val="auto"/>
                <w:sz w:val="21"/>
                <w:szCs w:val="21"/>
                <w:highlight w:val="none"/>
              </w:rPr>
            </w:pPr>
          </w:p>
        </w:tc>
        <w:tc>
          <w:tcPr>
            <w:tcW w:w="1750" w:type="dxa"/>
            <w:vAlign w:val="center"/>
          </w:tcPr>
          <w:p w14:paraId="1ADCD07E">
            <w:pPr>
              <w:pStyle w:val="98"/>
              <w:ind w:left="-105" w:right="-105"/>
              <w:rPr>
                <w:color w:val="auto"/>
                <w:sz w:val="21"/>
                <w:szCs w:val="21"/>
                <w:highlight w:val="none"/>
              </w:rPr>
            </w:pPr>
            <w:r>
              <w:rPr>
                <w:rFonts w:hint="eastAsia" w:ascii="宋体" w:hAnsi="宋体" w:eastAsia="宋体" w:cs="宋体"/>
                <w:color w:val="auto"/>
                <w:sz w:val="21"/>
                <w:szCs w:val="21"/>
                <w:highlight w:val="none"/>
              </w:rPr>
              <w:t>氯甲烷</w:t>
            </w:r>
          </w:p>
        </w:tc>
        <w:tc>
          <w:tcPr>
            <w:tcW w:w="1049" w:type="dxa"/>
            <w:vAlign w:val="center"/>
          </w:tcPr>
          <w:p w14:paraId="75223432">
            <w:pPr>
              <w:pStyle w:val="98"/>
              <w:ind w:left="-105" w:right="-105"/>
              <w:rPr>
                <w:rFonts w:eastAsia="宋体"/>
                <w:color w:val="auto"/>
                <w:sz w:val="21"/>
                <w:szCs w:val="21"/>
                <w:highlight w:val="none"/>
              </w:rPr>
            </w:pPr>
            <w:r>
              <w:rPr>
                <w:rFonts w:eastAsia="宋体"/>
                <w:color w:val="auto"/>
                <w:sz w:val="21"/>
                <w:szCs w:val="21"/>
                <w:highlight w:val="none"/>
              </w:rPr>
              <w:t>/</w:t>
            </w:r>
          </w:p>
        </w:tc>
        <w:tc>
          <w:tcPr>
            <w:tcW w:w="1049" w:type="dxa"/>
            <w:vAlign w:val="center"/>
          </w:tcPr>
          <w:p w14:paraId="6CCFA632">
            <w:pPr>
              <w:pStyle w:val="98"/>
              <w:ind w:left="-105" w:right="-105"/>
              <w:rPr>
                <w:rFonts w:eastAsia="宋体"/>
                <w:color w:val="auto"/>
                <w:sz w:val="21"/>
                <w:szCs w:val="21"/>
                <w:highlight w:val="none"/>
              </w:rPr>
            </w:pPr>
            <w:r>
              <w:rPr>
                <w:rFonts w:eastAsia="宋体"/>
                <w:color w:val="auto"/>
                <w:sz w:val="21"/>
                <w:szCs w:val="21"/>
                <w:highlight w:val="none"/>
              </w:rPr>
              <w:t>/</w:t>
            </w:r>
          </w:p>
        </w:tc>
        <w:tc>
          <w:tcPr>
            <w:tcW w:w="1050" w:type="dxa"/>
            <w:vAlign w:val="center"/>
          </w:tcPr>
          <w:p w14:paraId="0AE77769">
            <w:pPr>
              <w:pStyle w:val="98"/>
              <w:ind w:left="-105" w:right="-105"/>
              <w:rPr>
                <w:rFonts w:eastAsia="宋体"/>
                <w:color w:val="auto"/>
                <w:sz w:val="21"/>
                <w:szCs w:val="21"/>
                <w:highlight w:val="none"/>
              </w:rPr>
            </w:pPr>
            <w:r>
              <w:rPr>
                <w:rFonts w:eastAsia="宋体"/>
                <w:color w:val="auto"/>
                <w:sz w:val="21"/>
                <w:szCs w:val="21"/>
                <w:highlight w:val="none"/>
              </w:rPr>
              <w:t>/</w:t>
            </w:r>
          </w:p>
        </w:tc>
        <w:tc>
          <w:tcPr>
            <w:tcW w:w="1665" w:type="dxa"/>
            <w:vAlign w:val="center"/>
          </w:tcPr>
          <w:p w14:paraId="2AEFE093">
            <w:pPr>
              <w:pStyle w:val="98"/>
              <w:ind w:left="-105" w:right="-105"/>
              <w:rPr>
                <w:rFonts w:eastAsia="宋体"/>
                <w:color w:val="auto"/>
                <w:sz w:val="21"/>
                <w:szCs w:val="21"/>
                <w:highlight w:val="none"/>
              </w:rPr>
            </w:pPr>
            <w:r>
              <w:rPr>
                <w:rFonts w:eastAsia="宋体"/>
                <w:color w:val="auto"/>
                <w:sz w:val="21"/>
                <w:szCs w:val="21"/>
                <w:highlight w:val="none"/>
              </w:rPr>
              <w:t>/</w:t>
            </w:r>
          </w:p>
        </w:tc>
        <w:tc>
          <w:tcPr>
            <w:tcW w:w="1332" w:type="dxa"/>
            <w:vAlign w:val="center"/>
          </w:tcPr>
          <w:p w14:paraId="77BCD1E9">
            <w:pPr>
              <w:pStyle w:val="98"/>
              <w:ind w:left="-105" w:right="-105"/>
              <w:rPr>
                <w:rFonts w:eastAsia="宋体"/>
                <w:color w:val="auto"/>
                <w:sz w:val="21"/>
                <w:szCs w:val="21"/>
                <w:highlight w:val="none"/>
              </w:rPr>
            </w:pPr>
            <w:r>
              <w:rPr>
                <w:rFonts w:eastAsia="宋体"/>
                <w:color w:val="auto"/>
                <w:sz w:val="21"/>
                <w:szCs w:val="21"/>
                <w:highlight w:val="none"/>
              </w:rPr>
              <w:t>/</w:t>
            </w:r>
          </w:p>
        </w:tc>
      </w:tr>
      <w:tr w14:paraId="53FD50AC">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cantSplit/>
          <w:trHeight w:val="340" w:hRule="atLeast"/>
          <w:jc w:val="center"/>
        </w:trPr>
        <w:tc>
          <w:tcPr>
            <w:tcW w:w="825" w:type="dxa"/>
            <w:vAlign w:val="center"/>
          </w:tcPr>
          <w:p w14:paraId="0698AA83">
            <w:pPr>
              <w:pStyle w:val="98"/>
              <w:numPr>
                <w:ilvl w:val="0"/>
                <w:numId w:val="12"/>
              </w:numPr>
              <w:ind w:left="-105" w:right="-105" w:firstLine="0"/>
              <w:rPr>
                <w:rFonts w:eastAsia="宋体"/>
                <w:color w:val="auto"/>
                <w:sz w:val="21"/>
                <w:szCs w:val="21"/>
                <w:highlight w:val="none"/>
              </w:rPr>
            </w:pPr>
          </w:p>
        </w:tc>
        <w:tc>
          <w:tcPr>
            <w:tcW w:w="1750" w:type="dxa"/>
            <w:vAlign w:val="center"/>
          </w:tcPr>
          <w:p w14:paraId="00ABA125">
            <w:pPr>
              <w:pStyle w:val="98"/>
              <w:ind w:left="-105" w:right="-105"/>
              <w:rPr>
                <w:color w:val="auto"/>
                <w:sz w:val="21"/>
                <w:szCs w:val="21"/>
                <w:highlight w:val="none"/>
              </w:rPr>
            </w:pPr>
            <w:r>
              <w:rPr>
                <w:color w:val="auto"/>
                <w:sz w:val="21"/>
                <w:szCs w:val="21"/>
                <w:highlight w:val="none"/>
              </w:rPr>
              <w:t>2-</w:t>
            </w:r>
            <w:r>
              <w:rPr>
                <w:rFonts w:hint="eastAsia" w:ascii="宋体" w:hAnsi="宋体" w:eastAsia="宋体" w:cs="宋体"/>
                <w:color w:val="auto"/>
                <w:sz w:val="21"/>
                <w:szCs w:val="21"/>
                <w:highlight w:val="none"/>
              </w:rPr>
              <w:t>氯酚</w:t>
            </w:r>
          </w:p>
        </w:tc>
        <w:tc>
          <w:tcPr>
            <w:tcW w:w="1049" w:type="dxa"/>
            <w:vAlign w:val="center"/>
          </w:tcPr>
          <w:p w14:paraId="49963A66">
            <w:pPr>
              <w:pStyle w:val="98"/>
              <w:ind w:left="-105" w:right="-105"/>
              <w:rPr>
                <w:rFonts w:eastAsia="宋体"/>
                <w:color w:val="auto"/>
                <w:sz w:val="21"/>
                <w:szCs w:val="21"/>
                <w:highlight w:val="none"/>
              </w:rPr>
            </w:pPr>
            <w:r>
              <w:rPr>
                <w:rFonts w:eastAsia="宋体"/>
                <w:color w:val="auto"/>
                <w:sz w:val="21"/>
                <w:szCs w:val="21"/>
                <w:highlight w:val="none"/>
              </w:rPr>
              <w:t>/</w:t>
            </w:r>
          </w:p>
        </w:tc>
        <w:tc>
          <w:tcPr>
            <w:tcW w:w="1049" w:type="dxa"/>
            <w:vAlign w:val="center"/>
          </w:tcPr>
          <w:p w14:paraId="0600AFFD">
            <w:pPr>
              <w:pStyle w:val="98"/>
              <w:ind w:left="-105" w:right="-105"/>
              <w:rPr>
                <w:rFonts w:eastAsia="宋体"/>
                <w:color w:val="auto"/>
                <w:sz w:val="21"/>
                <w:szCs w:val="21"/>
                <w:highlight w:val="none"/>
              </w:rPr>
            </w:pPr>
            <w:r>
              <w:rPr>
                <w:rFonts w:eastAsia="宋体"/>
                <w:color w:val="auto"/>
                <w:sz w:val="21"/>
                <w:szCs w:val="21"/>
                <w:highlight w:val="none"/>
              </w:rPr>
              <w:t>/</w:t>
            </w:r>
          </w:p>
        </w:tc>
        <w:tc>
          <w:tcPr>
            <w:tcW w:w="1050" w:type="dxa"/>
            <w:vAlign w:val="center"/>
          </w:tcPr>
          <w:p w14:paraId="1F4177D5">
            <w:pPr>
              <w:pStyle w:val="98"/>
              <w:ind w:left="-105" w:right="-105"/>
              <w:rPr>
                <w:rFonts w:eastAsia="宋体"/>
                <w:color w:val="auto"/>
                <w:sz w:val="21"/>
                <w:szCs w:val="21"/>
                <w:highlight w:val="none"/>
              </w:rPr>
            </w:pPr>
            <w:r>
              <w:rPr>
                <w:rFonts w:eastAsia="宋体"/>
                <w:color w:val="auto"/>
                <w:sz w:val="21"/>
                <w:szCs w:val="21"/>
                <w:highlight w:val="none"/>
              </w:rPr>
              <w:t>/</w:t>
            </w:r>
          </w:p>
        </w:tc>
        <w:tc>
          <w:tcPr>
            <w:tcW w:w="1665" w:type="dxa"/>
            <w:vAlign w:val="center"/>
          </w:tcPr>
          <w:p w14:paraId="411E0F78">
            <w:pPr>
              <w:pStyle w:val="98"/>
              <w:ind w:left="-105" w:right="-105"/>
              <w:rPr>
                <w:rFonts w:eastAsia="宋体"/>
                <w:color w:val="auto"/>
                <w:sz w:val="21"/>
                <w:szCs w:val="21"/>
                <w:highlight w:val="none"/>
              </w:rPr>
            </w:pPr>
            <w:r>
              <w:rPr>
                <w:rFonts w:eastAsia="宋体"/>
                <w:color w:val="auto"/>
                <w:sz w:val="21"/>
                <w:szCs w:val="21"/>
                <w:highlight w:val="none"/>
              </w:rPr>
              <w:t>/</w:t>
            </w:r>
          </w:p>
        </w:tc>
        <w:tc>
          <w:tcPr>
            <w:tcW w:w="1332" w:type="dxa"/>
            <w:vAlign w:val="center"/>
          </w:tcPr>
          <w:p w14:paraId="0C18AB17">
            <w:pPr>
              <w:pStyle w:val="98"/>
              <w:ind w:left="-105" w:right="-105"/>
              <w:rPr>
                <w:rFonts w:eastAsia="宋体"/>
                <w:color w:val="auto"/>
                <w:sz w:val="21"/>
                <w:szCs w:val="21"/>
                <w:highlight w:val="none"/>
              </w:rPr>
            </w:pPr>
            <w:r>
              <w:rPr>
                <w:rFonts w:eastAsia="宋体"/>
                <w:color w:val="auto"/>
                <w:sz w:val="21"/>
                <w:szCs w:val="21"/>
                <w:highlight w:val="none"/>
              </w:rPr>
              <w:t>/</w:t>
            </w:r>
          </w:p>
        </w:tc>
      </w:tr>
      <w:tr w14:paraId="0F587A6F">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cantSplit/>
          <w:trHeight w:val="340" w:hRule="atLeast"/>
          <w:jc w:val="center"/>
        </w:trPr>
        <w:tc>
          <w:tcPr>
            <w:tcW w:w="825" w:type="dxa"/>
            <w:vAlign w:val="center"/>
          </w:tcPr>
          <w:p w14:paraId="288977E4">
            <w:pPr>
              <w:pStyle w:val="98"/>
              <w:numPr>
                <w:ilvl w:val="0"/>
                <w:numId w:val="12"/>
              </w:numPr>
              <w:ind w:left="-105" w:right="-105" w:firstLine="0"/>
              <w:rPr>
                <w:rFonts w:eastAsia="宋体"/>
                <w:color w:val="auto"/>
                <w:sz w:val="21"/>
                <w:szCs w:val="21"/>
                <w:highlight w:val="none"/>
              </w:rPr>
            </w:pPr>
          </w:p>
        </w:tc>
        <w:tc>
          <w:tcPr>
            <w:tcW w:w="1750" w:type="dxa"/>
            <w:vAlign w:val="center"/>
          </w:tcPr>
          <w:p w14:paraId="7DD306EE">
            <w:pPr>
              <w:pStyle w:val="98"/>
              <w:ind w:left="-105" w:right="-105"/>
              <w:rPr>
                <w:color w:val="auto"/>
                <w:sz w:val="21"/>
                <w:szCs w:val="21"/>
                <w:highlight w:val="none"/>
              </w:rPr>
            </w:pPr>
            <w:r>
              <w:rPr>
                <w:rFonts w:hint="eastAsia" w:ascii="宋体" w:hAnsi="宋体" w:eastAsia="宋体" w:cs="宋体"/>
                <w:color w:val="auto"/>
                <w:sz w:val="21"/>
                <w:szCs w:val="21"/>
                <w:highlight w:val="none"/>
              </w:rPr>
              <w:t>硝基苯</w:t>
            </w:r>
          </w:p>
        </w:tc>
        <w:tc>
          <w:tcPr>
            <w:tcW w:w="1049" w:type="dxa"/>
            <w:vAlign w:val="center"/>
          </w:tcPr>
          <w:p w14:paraId="461B3E81">
            <w:pPr>
              <w:pStyle w:val="98"/>
              <w:ind w:left="-105" w:right="-105"/>
              <w:rPr>
                <w:rFonts w:eastAsia="宋体"/>
                <w:color w:val="auto"/>
                <w:sz w:val="21"/>
                <w:szCs w:val="21"/>
                <w:highlight w:val="none"/>
              </w:rPr>
            </w:pPr>
            <w:r>
              <w:rPr>
                <w:rFonts w:eastAsia="宋体"/>
                <w:color w:val="auto"/>
                <w:sz w:val="21"/>
                <w:szCs w:val="21"/>
                <w:highlight w:val="none"/>
              </w:rPr>
              <w:t>/</w:t>
            </w:r>
          </w:p>
        </w:tc>
        <w:tc>
          <w:tcPr>
            <w:tcW w:w="1049" w:type="dxa"/>
            <w:vAlign w:val="center"/>
          </w:tcPr>
          <w:p w14:paraId="1E91D962">
            <w:pPr>
              <w:pStyle w:val="98"/>
              <w:ind w:left="-105" w:right="-105"/>
              <w:rPr>
                <w:rFonts w:eastAsia="宋体"/>
                <w:color w:val="auto"/>
                <w:sz w:val="21"/>
                <w:szCs w:val="21"/>
                <w:highlight w:val="none"/>
              </w:rPr>
            </w:pPr>
            <w:r>
              <w:rPr>
                <w:rFonts w:eastAsia="宋体"/>
                <w:color w:val="auto"/>
                <w:sz w:val="21"/>
                <w:szCs w:val="21"/>
                <w:highlight w:val="none"/>
              </w:rPr>
              <w:t>/</w:t>
            </w:r>
          </w:p>
        </w:tc>
        <w:tc>
          <w:tcPr>
            <w:tcW w:w="1050" w:type="dxa"/>
            <w:vAlign w:val="center"/>
          </w:tcPr>
          <w:p w14:paraId="22CE162F">
            <w:pPr>
              <w:pStyle w:val="98"/>
              <w:ind w:left="-105" w:right="-105"/>
              <w:rPr>
                <w:rFonts w:eastAsia="宋体"/>
                <w:color w:val="auto"/>
                <w:sz w:val="21"/>
                <w:szCs w:val="21"/>
                <w:highlight w:val="none"/>
              </w:rPr>
            </w:pPr>
            <w:r>
              <w:rPr>
                <w:rFonts w:eastAsia="宋体"/>
                <w:color w:val="auto"/>
                <w:sz w:val="21"/>
                <w:szCs w:val="21"/>
                <w:highlight w:val="none"/>
              </w:rPr>
              <w:t>/</w:t>
            </w:r>
          </w:p>
        </w:tc>
        <w:tc>
          <w:tcPr>
            <w:tcW w:w="1665" w:type="dxa"/>
            <w:vAlign w:val="center"/>
          </w:tcPr>
          <w:p w14:paraId="36899E6B">
            <w:pPr>
              <w:pStyle w:val="98"/>
              <w:ind w:left="-105" w:right="-105"/>
              <w:rPr>
                <w:rFonts w:eastAsia="宋体"/>
                <w:color w:val="auto"/>
                <w:sz w:val="21"/>
                <w:szCs w:val="21"/>
                <w:highlight w:val="none"/>
              </w:rPr>
            </w:pPr>
            <w:r>
              <w:rPr>
                <w:rFonts w:eastAsia="宋体"/>
                <w:color w:val="auto"/>
                <w:sz w:val="21"/>
                <w:szCs w:val="21"/>
                <w:highlight w:val="none"/>
              </w:rPr>
              <w:t>/</w:t>
            </w:r>
          </w:p>
        </w:tc>
        <w:tc>
          <w:tcPr>
            <w:tcW w:w="1332" w:type="dxa"/>
            <w:vAlign w:val="center"/>
          </w:tcPr>
          <w:p w14:paraId="519E08F4">
            <w:pPr>
              <w:pStyle w:val="98"/>
              <w:ind w:left="-105" w:right="-105"/>
              <w:rPr>
                <w:rFonts w:eastAsia="宋体"/>
                <w:color w:val="auto"/>
                <w:sz w:val="21"/>
                <w:szCs w:val="21"/>
                <w:highlight w:val="none"/>
              </w:rPr>
            </w:pPr>
            <w:r>
              <w:rPr>
                <w:rFonts w:eastAsia="宋体"/>
                <w:color w:val="auto"/>
                <w:sz w:val="21"/>
                <w:szCs w:val="21"/>
                <w:highlight w:val="none"/>
              </w:rPr>
              <w:t>/</w:t>
            </w:r>
          </w:p>
        </w:tc>
      </w:tr>
      <w:tr w14:paraId="116EFC41">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cantSplit/>
          <w:trHeight w:val="340" w:hRule="atLeast"/>
          <w:jc w:val="center"/>
        </w:trPr>
        <w:tc>
          <w:tcPr>
            <w:tcW w:w="825" w:type="dxa"/>
            <w:vAlign w:val="center"/>
          </w:tcPr>
          <w:p w14:paraId="2D189D5D">
            <w:pPr>
              <w:pStyle w:val="98"/>
              <w:numPr>
                <w:ilvl w:val="0"/>
                <w:numId w:val="12"/>
              </w:numPr>
              <w:ind w:left="-105" w:right="-105" w:firstLine="0"/>
              <w:rPr>
                <w:rFonts w:eastAsia="宋体"/>
                <w:color w:val="auto"/>
                <w:sz w:val="21"/>
                <w:szCs w:val="21"/>
                <w:highlight w:val="none"/>
              </w:rPr>
            </w:pPr>
          </w:p>
        </w:tc>
        <w:tc>
          <w:tcPr>
            <w:tcW w:w="1750" w:type="dxa"/>
            <w:vAlign w:val="center"/>
          </w:tcPr>
          <w:p w14:paraId="1E5985EB">
            <w:pPr>
              <w:pStyle w:val="98"/>
              <w:ind w:left="-105" w:right="-105"/>
              <w:rPr>
                <w:color w:val="auto"/>
                <w:sz w:val="21"/>
                <w:szCs w:val="21"/>
                <w:highlight w:val="none"/>
              </w:rPr>
            </w:pPr>
            <w:r>
              <w:rPr>
                <w:rFonts w:hint="eastAsia" w:ascii="宋体" w:hAnsi="宋体" w:eastAsia="宋体" w:cs="宋体"/>
                <w:color w:val="auto"/>
                <w:sz w:val="21"/>
                <w:szCs w:val="21"/>
                <w:highlight w:val="none"/>
              </w:rPr>
              <w:t>苯胺</w:t>
            </w:r>
          </w:p>
        </w:tc>
        <w:tc>
          <w:tcPr>
            <w:tcW w:w="1049" w:type="dxa"/>
            <w:vAlign w:val="center"/>
          </w:tcPr>
          <w:p w14:paraId="638523B8">
            <w:pPr>
              <w:pStyle w:val="98"/>
              <w:ind w:left="-105" w:right="-105"/>
              <w:rPr>
                <w:rFonts w:eastAsia="宋体"/>
                <w:color w:val="auto"/>
                <w:sz w:val="21"/>
                <w:szCs w:val="21"/>
                <w:highlight w:val="none"/>
              </w:rPr>
            </w:pPr>
            <w:r>
              <w:rPr>
                <w:rFonts w:eastAsia="宋体"/>
                <w:color w:val="auto"/>
                <w:sz w:val="21"/>
                <w:szCs w:val="21"/>
                <w:highlight w:val="none"/>
              </w:rPr>
              <w:t>/</w:t>
            </w:r>
          </w:p>
        </w:tc>
        <w:tc>
          <w:tcPr>
            <w:tcW w:w="1049" w:type="dxa"/>
            <w:vAlign w:val="center"/>
          </w:tcPr>
          <w:p w14:paraId="4779F6FE">
            <w:pPr>
              <w:pStyle w:val="98"/>
              <w:ind w:left="-105" w:right="-105"/>
              <w:rPr>
                <w:rFonts w:eastAsia="宋体"/>
                <w:color w:val="auto"/>
                <w:sz w:val="21"/>
                <w:szCs w:val="21"/>
                <w:highlight w:val="none"/>
              </w:rPr>
            </w:pPr>
            <w:r>
              <w:rPr>
                <w:rFonts w:eastAsia="宋体"/>
                <w:color w:val="auto"/>
                <w:sz w:val="21"/>
                <w:szCs w:val="21"/>
                <w:highlight w:val="none"/>
              </w:rPr>
              <w:t>/</w:t>
            </w:r>
          </w:p>
        </w:tc>
        <w:tc>
          <w:tcPr>
            <w:tcW w:w="1050" w:type="dxa"/>
            <w:vAlign w:val="center"/>
          </w:tcPr>
          <w:p w14:paraId="550CC477">
            <w:pPr>
              <w:pStyle w:val="98"/>
              <w:ind w:left="-105" w:right="-105"/>
              <w:rPr>
                <w:rFonts w:eastAsia="宋体"/>
                <w:color w:val="auto"/>
                <w:sz w:val="21"/>
                <w:szCs w:val="21"/>
                <w:highlight w:val="none"/>
              </w:rPr>
            </w:pPr>
            <w:r>
              <w:rPr>
                <w:rFonts w:eastAsia="宋体"/>
                <w:color w:val="auto"/>
                <w:sz w:val="21"/>
                <w:szCs w:val="21"/>
                <w:highlight w:val="none"/>
              </w:rPr>
              <w:t>/</w:t>
            </w:r>
          </w:p>
        </w:tc>
        <w:tc>
          <w:tcPr>
            <w:tcW w:w="1665" w:type="dxa"/>
            <w:vAlign w:val="center"/>
          </w:tcPr>
          <w:p w14:paraId="447AFB16">
            <w:pPr>
              <w:pStyle w:val="98"/>
              <w:ind w:left="-105" w:right="-105"/>
              <w:rPr>
                <w:rFonts w:eastAsia="宋体"/>
                <w:color w:val="auto"/>
                <w:sz w:val="21"/>
                <w:szCs w:val="21"/>
                <w:highlight w:val="none"/>
              </w:rPr>
            </w:pPr>
            <w:r>
              <w:rPr>
                <w:rFonts w:eastAsia="宋体"/>
                <w:color w:val="auto"/>
                <w:sz w:val="21"/>
                <w:szCs w:val="21"/>
                <w:highlight w:val="none"/>
              </w:rPr>
              <w:t>/</w:t>
            </w:r>
          </w:p>
        </w:tc>
        <w:tc>
          <w:tcPr>
            <w:tcW w:w="1332" w:type="dxa"/>
            <w:vAlign w:val="center"/>
          </w:tcPr>
          <w:p w14:paraId="1DD75E7F">
            <w:pPr>
              <w:pStyle w:val="98"/>
              <w:ind w:left="-105" w:right="-105"/>
              <w:rPr>
                <w:rFonts w:eastAsia="宋体"/>
                <w:color w:val="auto"/>
                <w:sz w:val="21"/>
                <w:szCs w:val="21"/>
                <w:highlight w:val="none"/>
              </w:rPr>
            </w:pPr>
            <w:r>
              <w:rPr>
                <w:rFonts w:eastAsia="宋体"/>
                <w:color w:val="auto"/>
                <w:sz w:val="21"/>
                <w:szCs w:val="21"/>
                <w:highlight w:val="none"/>
              </w:rPr>
              <w:t>/</w:t>
            </w:r>
          </w:p>
        </w:tc>
      </w:tr>
      <w:tr w14:paraId="771F3DE6">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cantSplit/>
          <w:trHeight w:val="340" w:hRule="atLeast"/>
          <w:jc w:val="center"/>
        </w:trPr>
        <w:tc>
          <w:tcPr>
            <w:tcW w:w="825" w:type="dxa"/>
            <w:vAlign w:val="center"/>
          </w:tcPr>
          <w:p w14:paraId="25635741">
            <w:pPr>
              <w:pStyle w:val="98"/>
              <w:numPr>
                <w:ilvl w:val="0"/>
                <w:numId w:val="12"/>
              </w:numPr>
              <w:ind w:left="-105" w:right="-105" w:firstLine="0"/>
              <w:rPr>
                <w:rFonts w:eastAsia="宋体"/>
                <w:color w:val="auto"/>
                <w:sz w:val="21"/>
                <w:szCs w:val="21"/>
                <w:highlight w:val="none"/>
              </w:rPr>
            </w:pPr>
          </w:p>
        </w:tc>
        <w:tc>
          <w:tcPr>
            <w:tcW w:w="1750" w:type="dxa"/>
            <w:vAlign w:val="center"/>
          </w:tcPr>
          <w:p w14:paraId="00B8BBD4">
            <w:pPr>
              <w:pStyle w:val="98"/>
              <w:ind w:left="-105" w:right="-105"/>
              <w:rPr>
                <w:color w:val="auto"/>
                <w:sz w:val="21"/>
                <w:szCs w:val="21"/>
                <w:highlight w:val="none"/>
              </w:rPr>
            </w:pPr>
            <w:r>
              <w:rPr>
                <w:rFonts w:hint="eastAsia" w:ascii="宋体" w:hAnsi="宋体" w:eastAsia="宋体" w:cs="宋体"/>
                <w:color w:val="auto"/>
                <w:sz w:val="21"/>
                <w:szCs w:val="21"/>
                <w:highlight w:val="none"/>
              </w:rPr>
              <w:t>苯并</w:t>
            </w:r>
            <w:r>
              <w:rPr>
                <w:color w:val="auto"/>
                <w:sz w:val="21"/>
                <w:szCs w:val="21"/>
                <w:highlight w:val="none"/>
              </w:rPr>
              <w:t>(a)</w:t>
            </w:r>
            <w:r>
              <w:rPr>
                <w:rFonts w:hint="eastAsia" w:ascii="宋体" w:hAnsi="宋体" w:eastAsia="宋体" w:cs="宋体"/>
                <w:color w:val="auto"/>
                <w:sz w:val="21"/>
                <w:szCs w:val="21"/>
                <w:highlight w:val="none"/>
              </w:rPr>
              <w:t>蒽</w:t>
            </w:r>
          </w:p>
        </w:tc>
        <w:tc>
          <w:tcPr>
            <w:tcW w:w="1049" w:type="dxa"/>
            <w:vAlign w:val="center"/>
          </w:tcPr>
          <w:p w14:paraId="70C68072">
            <w:pPr>
              <w:pStyle w:val="98"/>
              <w:ind w:left="-105" w:right="-105"/>
              <w:rPr>
                <w:rFonts w:eastAsia="宋体"/>
                <w:color w:val="auto"/>
                <w:sz w:val="21"/>
                <w:szCs w:val="21"/>
                <w:highlight w:val="none"/>
              </w:rPr>
            </w:pPr>
            <w:r>
              <w:rPr>
                <w:rFonts w:eastAsia="宋体"/>
                <w:color w:val="auto"/>
                <w:sz w:val="21"/>
                <w:szCs w:val="21"/>
                <w:highlight w:val="none"/>
              </w:rPr>
              <w:t>/</w:t>
            </w:r>
          </w:p>
        </w:tc>
        <w:tc>
          <w:tcPr>
            <w:tcW w:w="1049" w:type="dxa"/>
            <w:vAlign w:val="center"/>
          </w:tcPr>
          <w:p w14:paraId="5290503D">
            <w:pPr>
              <w:pStyle w:val="98"/>
              <w:ind w:left="-105" w:right="-105"/>
              <w:rPr>
                <w:rFonts w:eastAsia="宋体"/>
                <w:color w:val="auto"/>
                <w:sz w:val="21"/>
                <w:szCs w:val="21"/>
                <w:highlight w:val="none"/>
              </w:rPr>
            </w:pPr>
            <w:r>
              <w:rPr>
                <w:rFonts w:eastAsia="宋体"/>
                <w:color w:val="auto"/>
                <w:sz w:val="21"/>
                <w:szCs w:val="21"/>
                <w:highlight w:val="none"/>
              </w:rPr>
              <w:t>/</w:t>
            </w:r>
          </w:p>
        </w:tc>
        <w:tc>
          <w:tcPr>
            <w:tcW w:w="1050" w:type="dxa"/>
            <w:vAlign w:val="center"/>
          </w:tcPr>
          <w:p w14:paraId="47439AC6">
            <w:pPr>
              <w:pStyle w:val="98"/>
              <w:ind w:left="-105" w:right="-105"/>
              <w:rPr>
                <w:rFonts w:eastAsia="宋体"/>
                <w:color w:val="auto"/>
                <w:sz w:val="21"/>
                <w:szCs w:val="21"/>
                <w:highlight w:val="none"/>
              </w:rPr>
            </w:pPr>
            <w:r>
              <w:rPr>
                <w:rFonts w:eastAsia="宋体"/>
                <w:color w:val="auto"/>
                <w:sz w:val="21"/>
                <w:szCs w:val="21"/>
                <w:highlight w:val="none"/>
              </w:rPr>
              <w:t>/</w:t>
            </w:r>
          </w:p>
        </w:tc>
        <w:tc>
          <w:tcPr>
            <w:tcW w:w="1665" w:type="dxa"/>
            <w:vAlign w:val="center"/>
          </w:tcPr>
          <w:p w14:paraId="710F3B9C">
            <w:pPr>
              <w:pStyle w:val="98"/>
              <w:ind w:left="-105" w:right="-105"/>
              <w:rPr>
                <w:rFonts w:eastAsia="宋体"/>
                <w:color w:val="auto"/>
                <w:sz w:val="21"/>
                <w:szCs w:val="21"/>
                <w:highlight w:val="none"/>
              </w:rPr>
            </w:pPr>
            <w:r>
              <w:rPr>
                <w:rFonts w:eastAsia="宋体"/>
                <w:color w:val="auto"/>
                <w:sz w:val="21"/>
                <w:szCs w:val="21"/>
                <w:highlight w:val="none"/>
              </w:rPr>
              <w:t>/</w:t>
            </w:r>
          </w:p>
        </w:tc>
        <w:tc>
          <w:tcPr>
            <w:tcW w:w="1332" w:type="dxa"/>
            <w:vAlign w:val="center"/>
          </w:tcPr>
          <w:p w14:paraId="74B48282">
            <w:pPr>
              <w:pStyle w:val="98"/>
              <w:ind w:left="-105" w:right="-105"/>
              <w:rPr>
                <w:rFonts w:eastAsia="宋体"/>
                <w:color w:val="auto"/>
                <w:sz w:val="21"/>
                <w:szCs w:val="21"/>
                <w:highlight w:val="none"/>
              </w:rPr>
            </w:pPr>
            <w:r>
              <w:rPr>
                <w:rFonts w:eastAsia="宋体"/>
                <w:color w:val="auto"/>
                <w:sz w:val="21"/>
                <w:szCs w:val="21"/>
                <w:highlight w:val="none"/>
              </w:rPr>
              <w:t>/</w:t>
            </w:r>
          </w:p>
        </w:tc>
      </w:tr>
      <w:tr w14:paraId="5ED03D81">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cantSplit/>
          <w:trHeight w:val="340" w:hRule="atLeast"/>
          <w:jc w:val="center"/>
        </w:trPr>
        <w:tc>
          <w:tcPr>
            <w:tcW w:w="825" w:type="dxa"/>
            <w:vAlign w:val="center"/>
          </w:tcPr>
          <w:p w14:paraId="4868991F">
            <w:pPr>
              <w:pStyle w:val="98"/>
              <w:numPr>
                <w:ilvl w:val="0"/>
                <w:numId w:val="12"/>
              </w:numPr>
              <w:ind w:left="-105" w:right="-105" w:firstLine="0"/>
              <w:rPr>
                <w:rFonts w:eastAsia="宋体"/>
                <w:color w:val="auto"/>
                <w:sz w:val="21"/>
                <w:szCs w:val="21"/>
                <w:highlight w:val="none"/>
              </w:rPr>
            </w:pPr>
          </w:p>
        </w:tc>
        <w:tc>
          <w:tcPr>
            <w:tcW w:w="1750" w:type="dxa"/>
            <w:vAlign w:val="center"/>
          </w:tcPr>
          <w:p w14:paraId="00801BF8">
            <w:pPr>
              <w:pStyle w:val="98"/>
              <w:ind w:left="-105" w:right="-105"/>
              <w:rPr>
                <w:color w:val="auto"/>
                <w:sz w:val="21"/>
                <w:szCs w:val="21"/>
                <w:highlight w:val="none"/>
              </w:rPr>
            </w:pPr>
            <w:r>
              <w:rPr>
                <w:rFonts w:hint="eastAsia" w:ascii="宋体" w:hAnsi="宋体" w:eastAsia="宋体" w:cs="宋体"/>
                <w:color w:val="auto"/>
                <w:sz w:val="21"/>
                <w:szCs w:val="21"/>
                <w:highlight w:val="none"/>
              </w:rPr>
              <w:t>䓛</w:t>
            </w:r>
          </w:p>
        </w:tc>
        <w:tc>
          <w:tcPr>
            <w:tcW w:w="1049" w:type="dxa"/>
            <w:vAlign w:val="center"/>
          </w:tcPr>
          <w:p w14:paraId="55DFBC2B">
            <w:pPr>
              <w:pStyle w:val="98"/>
              <w:ind w:left="-105" w:right="-105"/>
              <w:rPr>
                <w:rFonts w:eastAsia="宋体"/>
                <w:color w:val="auto"/>
                <w:sz w:val="21"/>
                <w:szCs w:val="21"/>
                <w:highlight w:val="none"/>
              </w:rPr>
            </w:pPr>
            <w:r>
              <w:rPr>
                <w:rFonts w:eastAsia="宋体"/>
                <w:color w:val="auto"/>
                <w:sz w:val="21"/>
                <w:szCs w:val="21"/>
                <w:highlight w:val="none"/>
              </w:rPr>
              <w:t>/</w:t>
            </w:r>
          </w:p>
        </w:tc>
        <w:tc>
          <w:tcPr>
            <w:tcW w:w="1049" w:type="dxa"/>
            <w:vAlign w:val="center"/>
          </w:tcPr>
          <w:p w14:paraId="00958133">
            <w:pPr>
              <w:pStyle w:val="98"/>
              <w:ind w:left="-105" w:right="-105"/>
              <w:rPr>
                <w:rFonts w:eastAsia="宋体"/>
                <w:color w:val="auto"/>
                <w:sz w:val="21"/>
                <w:szCs w:val="21"/>
                <w:highlight w:val="none"/>
              </w:rPr>
            </w:pPr>
            <w:r>
              <w:rPr>
                <w:rFonts w:eastAsia="宋体"/>
                <w:color w:val="auto"/>
                <w:sz w:val="21"/>
                <w:szCs w:val="21"/>
                <w:highlight w:val="none"/>
              </w:rPr>
              <w:t>/</w:t>
            </w:r>
          </w:p>
        </w:tc>
        <w:tc>
          <w:tcPr>
            <w:tcW w:w="1050" w:type="dxa"/>
            <w:vAlign w:val="center"/>
          </w:tcPr>
          <w:p w14:paraId="037FD8DD">
            <w:pPr>
              <w:pStyle w:val="98"/>
              <w:ind w:left="-105" w:right="-105"/>
              <w:rPr>
                <w:rFonts w:eastAsia="宋体"/>
                <w:color w:val="auto"/>
                <w:sz w:val="21"/>
                <w:szCs w:val="21"/>
                <w:highlight w:val="none"/>
              </w:rPr>
            </w:pPr>
            <w:r>
              <w:rPr>
                <w:rFonts w:eastAsia="宋体"/>
                <w:color w:val="auto"/>
                <w:sz w:val="21"/>
                <w:szCs w:val="21"/>
                <w:highlight w:val="none"/>
              </w:rPr>
              <w:t>/</w:t>
            </w:r>
          </w:p>
        </w:tc>
        <w:tc>
          <w:tcPr>
            <w:tcW w:w="1665" w:type="dxa"/>
            <w:vAlign w:val="center"/>
          </w:tcPr>
          <w:p w14:paraId="62A670F0">
            <w:pPr>
              <w:pStyle w:val="98"/>
              <w:ind w:left="-105" w:right="-105"/>
              <w:rPr>
                <w:rFonts w:eastAsia="宋体"/>
                <w:color w:val="auto"/>
                <w:sz w:val="21"/>
                <w:szCs w:val="21"/>
                <w:highlight w:val="none"/>
              </w:rPr>
            </w:pPr>
            <w:r>
              <w:rPr>
                <w:rFonts w:eastAsia="宋体"/>
                <w:color w:val="auto"/>
                <w:sz w:val="21"/>
                <w:szCs w:val="21"/>
                <w:highlight w:val="none"/>
              </w:rPr>
              <w:t>/</w:t>
            </w:r>
          </w:p>
        </w:tc>
        <w:tc>
          <w:tcPr>
            <w:tcW w:w="1332" w:type="dxa"/>
            <w:vAlign w:val="center"/>
          </w:tcPr>
          <w:p w14:paraId="3FC5BFF4">
            <w:pPr>
              <w:pStyle w:val="98"/>
              <w:ind w:left="-105" w:right="-105"/>
              <w:rPr>
                <w:rFonts w:eastAsia="宋体"/>
                <w:color w:val="auto"/>
                <w:sz w:val="21"/>
                <w:szCs w:val="21"/>
                <w:highlight w:val="none"/>
              </w:rPr>
            </w:pPr>
            <w:r>
              <w:rPr>
                <w:rFonts w:eastAsia="宋体"/>
                <w:color w:val="auto"/>
                <w:sz w:val="21"/>
                <w:szCs w:val="21"/>
                <w:highlight w:val="none"/>
              </w:rPr>
              <w:t>/</w:t>
            </w:r>
          </w:p>
        </w:tc>
      </w:tr>
      <w:tr w14:paraId="13E0C84A">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cantSplit/>
          <w:trHeight w:val="340" w:hRule="atLeast"/>
          <w:jc w:val="center"/>
        </w:trPr>
        <w:tc>
          <w:tcPr>
            <w:tcW w:w="825" w:type="dxa"/>
            <w:vAlign w:val="center"/>
          </w:tcPr>
          <w:p w14:paraId="14C2E7D0">
            <w:pPr>
              <w:pStyle w:val="98"/>
              <w:numPr>
                <w:ilvl w:val="0"/>
                <w:numId w:val="12"/>
              </w:numPr>
              <w:ind w:left="-105" w:right="-105" w:firstLine="0"/>
              <w:rPr>
                <w:rFonts w:eastAsia="宋体"/>
                <w:color w:val="auto"/>
                <w:sz w:val="21"/>
                <w:szCs w:val="21"/>
                <w:highlight w:val="none"/>
              </w:rPr>
            </w:pPr>
          </w:p>
        </w:tc>
        <w:tc>
          <w:tcPr>
            <w:tcW w:w="1750" w:type="dxa"/>
            <w:vAlign w:val="center"/>
          </w:tcPr>
          <w:p w14:paraId="61370778">
            <w:pPr>
              <w:pStyle w:val="98"/>
              <w:ind w:left="-105" w:right="-105"/>
              <w:rPr>
                <w:color w:val="auto"/>
                <w:sz w:val="21"/>
                <w:szCs w:val="21"/>
                <w:highlight w:val="none"/>
              </w:rPr>
            </w:pPr>
            <w:r>
              <w:rPr>
                <w:rFonts w:hint="eastAsia" w:ascii="宋体" w:hAnsi="宋体" w:eastAsia="宋体" w:cs="宋体"/>
                <w:color w:val="auto"/>
                <w:sz w:val="21"/>
                <w:szCs w:val="21"/>
                <w:highlight w:val="none"/>
              </w:rPr>
              <w:t>苯并</w:t>
            </w:r>
            <w:r>
              <w:rPr>
                <w:color w:val="auto"/>
                <w:sz w:val="21"/>
                <w:szCs w:val="21"/>
                <w:highlight w:val="none"/>
              </w:rPr>
              <w:t>(k)</w:t>
            </w:r>
            <w:r>
              <w:rPr>
                <w:rFonts w:hint="eastAsia" w:ascii="宋体" w:hAnsi="宋体" w:eastAsia="宋体" w:cs="宋体"/>
                <w:color w:val="auto"/>
                <w:sz w:val="21"/>
                <w:szCs w:val="21"/>
                <w:highlight w:val="none"/>
              </w:rPr>
              <w:t>荧蒽</w:t>
            </w:r>
          </w:p>
        </w:tc>
        <w:tc>
          <w:tcPr>
            <w:tcW w:w="1049" w:type="dxa"/>
            <w:vAlign w:val="center"/>
          </w:tcPr>
          <w:p w14:paraId="68525F9D">
            <w:pPr>
              <w:pStyle w:val="98"/>
              <w:ind w:left="-105" w:right="-105"/>
              <w:rPr>
                <w:rFonts w:eastAsia="宋体"/>
                <w:color w:val="auto"/>
                <w:sz w:val="21"/>
                <w:szCs w:val="21"/>
                <w:highlight w:val="none"/>
              </w:rPr>
            </w:pPr>
            <w:r>
              <w:rPr>
                <w:rFonts w:eastAsia="宋体"/>
                <w:color w:val="auto"/>
                <w:sz w:val="21"/>
                <w:szCs w:val="21"/>
                <w:highlight w:val="none"/>
              </w:rPr>
              <w:t>/</w:t>
            </w:r>
          </w:p>
        </w:tc>
        <w:tc>
          <w:tcPr>
            <w:tcW w:w="1049" w:type="dxa"/>
            <w:vAlign w:val="center"/>
          </w:tcPr>
          <w:p w14:paraId="24CCED65">
            <w:pPr>
              <w:pStyle w:val="98"/>
              <w:ind w:left="-105" w:right="-105"/>
              <w:rPr>
                <w:rFonts w:eastAsia="宋体"/>
                <w:color w:val="auto"/>
                <w:sz w:val="21"/>
                <w:szCs w:val="21"/>
                <w:highlight w:val="none"/>
              </w:rPr>
            </w:pPr>
            <w:r>
              <w:rPr>
                <w:rFonts w:eastAsia="宋体"/>
                <w:color w:val="auto"/>
                <w:sz w:val="21"/>
                <w:szCs w:val="21"/>
                <w:highlight w:val="none"/>
              </w:rPr>
              <w:t>/</w:t>
            </w:r>
          </w:p>
        </w:tc>
        <w:tc>
          <w:tcPr>
            <w:tcW w:w="1050" w:type="dxa"/>
            <w:vAlign w:val="center"/>
          </w:tcPr>
          <w:p w14:paraId="247C5BEB">
            <w:pPr>
              <w:pStyle w:val="98"/>
              <w:ind w:left="-105" w:right="-105"/>
              <w:rPr>
                <w:rFonts w:eastAsia="宋体"/>
                <w:color w:val="auto"/>
                <w:sz w:val="21"/>
                <w:szCs w:val="21"/>
                <w:highlight w:val="none"/>
              </w:rPr>
            </w:pPr>
            <w:r>
              <w:rPr>
                <w:rFonts w:eastAsia="宋体"/>
                <w:color w:val="auto"/>
                <w:sz w:val="21"/>
                <w:szCs w:val="21"/>
                <w:highlight w:val="none"/>
              </w:rPr>
              <w:t>/</w:t>
            </w:r>
          </w:p>
        </w:tc>
        <w:tc>
          <w:tcPr>
            <w:tcW w:w="1665" w:type="dxa"/>
            <w:vAlign w:val="center"/>
          </w:tcPr>
          <w:p w14:paraId="4F36DEE9">
            <w:pPr>
              <w:pStyle w:val="98"/>
              <w:ind w:left="-105" w:right="-105"/>
              <w:rPr>
                <w:rFonts w:eastAsia="宋体"/>
                <w:color w:val="auto"/>
                <w:sz w:val="21"/>
                <w:szCs w:val="21"/>
                <w:highlight w:val="none"/>
              </w:rPr>
            </w:pPr>
            <w:r>
              <w:rPr>
                <w:rFonts w:eastAsia="宋体"/>
                <w:color w:val="auto"/>
                <w:sz w:val="21"/>
                <w:szCs w:val="21"/>
                <w:highlight w:val="none"/>
              </w:rPr>
              <w:t>/</w:t>
            </w:r>
          </w:p>
        </w:tc>
        <w:tc>
          <w:tcPr>
            <w:tcW w:w="1332" w:type="dxa"/>
            <w:vAlign w:val="center"/>
          </w:tcPr>
          <w:p w14:paraId="37F7F21F">
            <w:pPr>
              <w:pStyle w:val="98"/>
              <w:ind w:left="-105" w:right="-105"/>
              <w:rPr>
                <w:rFonts w:eastAsia="宋体"/>
                <w:color w:val="auto"/>
                <w:sz w:val="21"/>
                <w:szCs w:val="21"/>
                <w:highlight w:val="none"/>
              </w:rPr>
            </w:pPr>
            <w:r>
              <w:rPr>
                <w:rFonts w:eastAsia="宋体"/>
                <w:color w:val="auto"/>
                <w:sz w:val="21"/>
                <w:szCs w:val="21"/>
                <w:highlight w:val="none"/>
              </w:rPr>
              <w:t>/</w:t>
            </w:r>
          </w:p>
        </w:tc>
      </w:tr>
      <w:tr w14:paraId="28A94B09">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cantSplit/>
          <w:trHeight w:val="340" w:hRule="atLeast"/>
          <w:jc w:val="center"/>
        </w:trPr>
        <w:tc>
          <w:tcPr>
            <w:tcW w:w="825" w:type="dxa"/>
            <w:vAlign w:val="center"/>
          </w:tcPr>
          <w:p w14:paraId="0385BCFD">
            <w:pPr>
              <w:pStyle w:val="98"/>
              <w:numPr>
                <w:ilvl w:val="0"/>
                <w:numId w:val="12"/>
              </w:numPr>
              <w:ind w:left="-105" w:right="-105" w:firstLine="0"/>
              <w:rPr>
                <w:rFonts w:eastAsia="宋体"/>
                <w:color w:val="auto"/>
                <w:sz w:val="21"/>
                <w:szCs w:val="21"/>
                <w:highlight w:val="none"/>
              </w:rPr>
            </w:pPr>
          </w:p>
        </w:tc>
        <w:tc>
          <w:tcPr>
            <w:tcW w:w="1750" w:type="dxa"/>
            <w:vAlign w:val="center"/>
          </w:tcPr>
          <w:p w14:paraId="4C1F4F49">
            <w:pPr>
              <w:pStyle w:val="98"/>
              <w:ind w:left="-105" w:right="-105"/>
              <w:rPr>
                <w:color w:val="auto"/>
                <w:sz w:val="21"/>
                <w:szCs w:val="21"/>
                <w:highlight w:val="none"/>
              </w:rPr>
            </w:pPr>
            <w:r>
              <w:rPr>
                <w:rFonts w:hint="eastAsia" w:ascii="宋体" w:hAnsi="宋体" w:eastAsia="宋体" w:cs="宋体"/>
                <w:color w:val="auto"/>
                <w:sz w:val="21"/>
                <w:szCs w:val="21"/>
                <w:highlight w:val="none"/>
              </w:rPr>
              <w:t>茚并</w:t>
            </w:r>
            <w:r>
              <w:rPr>
                <w:color w:val="auto"/>
                <w:sz w:val="21"/>
                <w:szCs w:val="21"/>
                <w:highlight w:val="none"/>
              </w:rPr>
              <w:t>(1</w:t>
            </w:r>
            <w:r>
              <w:rPr>
                <w:rFonts w:hint="eastAsia" w:ascii="宋体" w:hAnsi="宋体" w:eastAsia="宋体" w:cs="宋体"/>
                <w:color w:val="auto"/>
                <w:sz w:val="21"/>
                <w:szCs w:val="21"/>
                <w:highlight w:val="none"/>
              </w:rPr>
              <w:t>，</w:t>
            </w:r>
            <w:r>
              <w:rPr>
                <w:color w:val="auto"/>
                <w:sz w:val="21"/>
                <w:szCs w:val="21"/>
                <w:highlight w:val="none"/>
              </w:rPr>
              <w:t>2</w:t>
            </w:r>
            <w:r>
              <w:rPr>
                <w:rFonts w:hint="eastAsia" w:ascii="宋体" w:hAnsi="宋体" w:eastAsia="宋体" w:cs="宋体"/>
                <w:color w:val="auto"/>
                <w:sz w:val="21"/>
                <w:szCs w:val="21"/>
                <w:highlight w:val="none"/>
              </w:rPr>
              <w:t>，</w:t>
            </w:r>
            <w:r>
              <w:rPr>
                <w:color w:val="auto"/>
                <w:sz w:val="21"/>
                <w:szCs w:val="21"/>
                <w:highlight w:val="none"/>
              </w:rPr>
              <w:t>3-c</w:t>
            </w:r>
            <w:r>
              <w:rPr>
                <w:rFonts w:hint="eastAsia" w:ascii="宋体" w:hAnsi="宋体" w:eastAsia="宋体" w:cs="宋体"/>
                <w:color w:val="auto"/>
                <w:sz w:val="21"/>
                <w:szCs w:val="21"/>
                <w:highlight w:val="none"/>
              </w:rPr>
              <w:t>，</w:t>
            </w:r>
            <w:r>
              <w:rPr>
                <w:color w:val="auto"/>
                <w:sz w:val="21"/>
                <w:szCs w:val="21"/>
                <w:highlight w:val="none"/>
              </w:rPr>
              <w:t>d)</w:t>
            </w:r>
            <w:r>
              <w:rPr>
                <w:rFonts w:hint="eastAsia" w:ascii="宋体" w:hAnsi="宋体" w:eastAsia="宋体" w:cs="宋体"/>
                <w:color w:val="auto"/>
                <w:sz w:val="21"/>
                <w:szCs w:val="21"/>
                <w:highlight w:val="none"/>
              </w:rPr>
              <w:t>芘</w:t>
            </w:r>
          </w:p>
        </w:tc>
        <w:tc>
          <w:tcPr>
            <w:tcW w:w="1049" w:type="dxa"/>
            <w:vAlign w:val="center"/>
          </w:tcPr>
          <w:p w14:paraId="767E841D">
            <w:pPr>
              <w:pStyle w:val="98"/>
              <w:ind w:left="-105" w:right="-105"/>
              <w:rPr>
                <w:rFonts w:eastAsia="宋体"/>
                <w:color w:val="auto"/>
                <w:sz w:val="21"/>
                <w:szCs w:val="21"/>
                <w:highlight w:val="none"/>
              </w:rPr>
            </w:pPr>
            <w:r>
              <w:rPr>
                <w:rFonts w:eastAsia="宋体"/>
                <w:color w:val="auto"/>
                <w:sz w:val="21"/>
                <w:szCs w:val="21"/>
                <w:highlight w:val="none"/>
              </w:rPr>
              <w:t>/</w:t>
            </w:r>
          </w:p>
        </w:tc>
        <w:tc>
          <w:tcPr>
            <w:tcW w:w="1049" w:type="dxa"/>
            <w:vAlign w:val="center"/>
          </w:tcPr>
          <w:p w14:paraId="603A9753">
            <w:pPr>
              <w:pStyle w:val="98"/>
              <w:ind w:left="-105" w:right="-105"/>
              <w:rPr>
                <w:rFonts w:eastAsia="宋体"/>
                <w:color w:val="auto"/>
                <w:sz w:val="21"/>
                <w:szCs w:val="21"/>
                <w:highlight w:val="none"/>
              </w:rPr>
            </w:pPr>
            <w:r>
              <w:rPr>
                <w:rFonts w:eastAsia="宋体"/>
                <w:color w:val="auto"/>
                <w:sz w:val="21"/>
                <w:szCs w:val="21"/>
                <w:highlight w:val="none"/>
              </w:rPr>
              <w:t>/</w:t>
            </w:r>
          </w:p>
        </w:tc>
        <w:tc>
          <w:tcPr>
            <w:tcW w:w="1050" w:type="dxa"/>
            <w:vAlign w:val="center"/>
          </w:tcPr>
          <w:p w14:paraId="27414974">
            <w:pPr>
              <w:pStyle w:val="98"/>
              <w:ind w:left="-105" w:right="-105"/>
              <w:rPr>
                <w:rFonts w:eastAsia="宋体"/>
                <w:color w:val="auto"/>
                <w:sz w:val="21"/>
                <w:szCs w:val="21"/>
                <w:highlight w:val="none"/>
              </w:rPr>
            </w:pPr>
            <w:r>
              <w:rPr>
                <w:rFonts w:eastAsia="宋体"/>
                <w:color w:val="auto"/>
                <w:sz w:val="21"/>
                <w:szCs w:val="21"/>
                <w:highlight w:val="none"/>
              </w:rPr>
              <w:t>/</w:t>
            </w:r>
          </w:p>
        </w:tc>
        <w:tc>
          <w:tcPr>
            <w:tcW w:w="1665" w:type="dxa"/>
            <w:vAlign w:val="center"/>
          </w:tcPr>
          <w:p w14:paraId="624DD328">
            <w:pPr>
              <w:pStyle w:val="98"/>
              <w:ind w:left="-105" w:right="-105"/>
              <w:rPr>
                <w:rFonts w:eastAsia="宋体"/>
                <w:color w:val="auto"/>
                <w:sz w:val="21"/>
                <w:szCs w:val="21"/>
                <w:highlight w:val="none"/>
              </w:rPr>
            </w:pPr>
            <w:r>
              <w:rPr>
                <w:rFonts w:eastAsia="宋体"/>
                <w:color w:val="auto"/>
                <w:sz w:val="21"/>
                <w:szCs w:val="21"/>
                <w:highlight w:val="none"/>
              </w:rPr>
              <w:t>/</w:t>
            </w:r>
          </w:p>
        </w:tc>
        <w:tc>
          <w:tcPr>
            <w:tcW w:w="1332" w:type="dxa"/>
            <w:vAlign w:val="center"/>
          </w:tcPr>
          <w:p w14:paraId="336ED8FE">
            <w:pPr>
              <w:pStyle w:val="98"/>
              <w:ind w:left="-105" w:right="-105"/>
              <w:rPr>
                <w:rFonts w:eastAsia="宋体"/>
                <w:color w:val="auto"/>
                <w:sz w:val="21"/>
                <w:szCs w:val="21"/>
                <w:highlight w:val="none"/>
              </w:rPr>
            </w:pPr>
            <w:r>
              <w:rPr>
                <w:rFonts w:eastAsia="宋体"/>
                <w:color w:val="auto"/>
                <w:sz w:val="21"/>
                <w:szCs w:val="21"/>
                <w:highlight w:val="none"/>
              </w:rPr>
              <w:t>/</w:t>
            </w:r>
          </w:p>
        </w:tc>
      </w:tr>
      <w:tr w14:paraId="5DFC603A">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cantSplit/>
          <w:trHeight w:val="340" w:hRule="atLeast"/>
          <w:jc w:val="center"/>
        </w:trPr>
        <w:tc>
          <w:tcPr>
            <w:tcW w:w="825" w:type="dxa"/>
            <w:vAlign w:val="center"/>
          </w:tcPr>
          <w:p w14:paraId="1055164F">
            <w:pPr>
              <w:pStyle w:val="98"/>
              <w:numPr>
                <w:ilvl w:val="0"/>
                <w:numId w:val="12"/>
              </w:numPr>
              <w:ind w:left="-105" w:right="-105" w:firstLine="0"/>
              <w:rPr>
                <w:rFonts w:eastAsia="宋体"/>
                <w:color w:val="auto"/>
                <w:sz w:val="21"/>
                <w:szCs w:val="21"/>
                <w:highlight w:val="none"/>
              </w:rPr>
            </w:pPr>
          </w:p>
        </w:tc>
        <w:tc>
          <w:tcPr>
            <w:tcW w:w="1750" w:type="dxa"/>
            <w:vAlign w:val="center"/>
          </w:tcPr>
          <w:p w14:paraId="02383800">
            <w:pPr>
              <w:pStyle w:val="98"/>
              <w:ind w:left="-105" w:right="-105"/>
              <w:rPr>
                <w:color w:val="auto"/>
                <w:sz w:val="21"/>
                <w:szCs w:val="21"/>
                <w:highlight w:val="none"/>
              </w:rPr>
            </w:pPr>
            <w:r>
              <w:rPr>
                <w:rFonts w:hint="eastAsia" w:ascii="宋体" w:hAnsi="宋体" w:eastAsia="宋体" w:cs="宋体"/>
                <w:color w:val="auto"/>
                <w:sz w:val="21"/>
                <w:szCs w:val="21"/>
                <w:highlight w:val="none"/>
              </w:rPr>
              <w:t>二苯并</w:t>
            </w:r>
            <w:r>
              <w:rPr>
                <w:color w:val="auto"/>
                <w:sz w:val="21"/>
                <w:szCs w:val="21"/>
                <w:highlight w:val="none"/>
              </w:rPr>
              <w:t>(a</w:t>
            </w:r>
            <w:r>
              <w:rPr>
                <w:rFonts w:hint="eastAsia" w:ascii="宋体" w:hAnsi="宋体" w:eastAsia="宋体" w:cs="宋体"/>
                <w:color w:val="auto"/>
                <w:sz w:val="21"/>
                <w:szCs w:val="21"/>
                <w:highlight w:val="none"/>
              </w:rPr>
              <w:t>，</w:t>
            </w:r>
            <w:r>
              <w:rPr>
                <w:color w:val="auto"/>
                <w:sz w:val="21"/>
                <w:szCs w:val="21"/>
                <w:highlight w:val="none"/>
              </w:rPr>
              <w:t>h)</w:t>
            </w:r>
            <w:r>
              <w:rPr>
                <w:rFonts w:hint="eastAsia" w:ascii="宋体" w:hAnsi="宋体" w:eastAsia="宋体" w:cs="宋体"/>
                <w:color w:val="auto"/>
                <w:sz w:val="21"/>
                <w:szCs w:val="21"/>
                <w:highlight w:val="none"/>
              </w:rPr>
              <w:t>蒽</w:t>
            </w:r>
          </w:p>
        </w:tc>
        <w:tc>
          <w:tcPr>
            <w:tcW w:w="1049" w:type="dxa"/>
            <w:vAlign w:val="center"/>
          </w:tcPr>
          <w:p w14:paraId="38537108">
            <w:pPr>
              <w:pStyle w:val="98"/>
              <w:ind w:left="-105" w:right="-105"/>
              <w:rPr>
                <w:rFonts w:eastAsia="宋体"/>
                <w:color w:val="auto"/>
                <w:sz w:val="21"/>
                <w:szCs w:val="21"/>
                <w:highlight w:val="none"/>
              </w:rPr>
            </w:pPr>
            <w:r>
              <w:rPr>
                <w:rFonts w:eastAsia="宋体"/>
                <w:color w:val="auto"/>
                <w:sz w:val="21"/>
                <w:szCs w:val="21"/>
                <w:highlight w:val="none"/>
              </w:rPr>
              <w:t>/</w:t>
            </w:r>
          </w:p>
        </w:tc>
        <w:tc>
          <w:tcPr>
            <w:tcW w:w="1049" w:type="dxa"/>
            <w:vAlign w:val="center"/>
          </w:tcPr>
          <w:p w14:paraId="7F86B48F">
            <w:pPr>
              <w:pStyle w:val="98"/>
              <w:ind w:left="-105" w:right="-105"/>
              <w:rPr>
                <w:rFonts w:eastAsia="宋体"/>
                <w:color w:val="auto"/>
                <w:sz w:val="21"/>
                <w:szCs w:val="21"/>
                <w:highlight w:val="none"/>
              </w:rPr>
            </w:pPr>
            <w:r>
              <w:rPr>
                <w:rFonts w:eastAsia="宋体"/>
                <w:color w:val="auto"/>
                <w:sz w:val="21"/>
                <w:szCs w:val="21"/>
                <w:highlight w:val="none"/>
              </w:rPr>
              <w:t>/</w:t>
            </w:r>
          </w:p>
        </w:tc>
        <w:tc>
          <w:tcPr>
            <w:tcW w:w="1050" w:type="dxa"/>
            <w:vAlign w:val="center"/>
          </w:tcPr>
          <w:p w14:paraId="6A9A47CE">
            <w:pPr>
              <w:pStyle w:val="98"/>
              <w:ind w:left="-105" w:right="-105"/>
              <w:rPr>
                <w:rFonts w:eastAsia="宋体"/>
                <w:color w:val="auto"/>
                <w:sz w:val="21"/>
                <w:szCs w:val="21"/>
                <w:highlight w:val="none"/>
              </w:rPr>
            </w:pPr>
            <w:r>
              <w:rPr>
                <w:rFonts w:eastAsia="宋体"/>
                <w:color w:val="auto"/>
                <w:sz w:val="21"/>
                <w:szCs w:val="21"/>
                <w:highlight w:val="none"/>
              </w:rPr>
              <w:t>/</w:t>
            </w:r>
          </w:p>
        </w:tc>
        <w:tc>
          <w:tcPr>
            <w:tcW w:w="1665" w:type="dxa"/>
            <w:vAlign w:val="center"/>
          </w:tcPr>
          <w:p w14:paraId="25E4F0CB">
            <w:pPr>
              <w:pStyle w:val="98"/>
              <w:ind w:left="-105" w:right="-105"/>
              <w:rPr>
                <w:rFonts w:eastAsia="宋体"/>
                <w:color w:val="auto"/>
                <w:sz w:val="21"/>
                <w:szCs w:val="21"/>
                <w:highlight w:val="none"/>
              </w:rPr>
            </w:pPr>
            <w:r>
              <w:rPr>
                <w:rFonts w:eastAsia="宋体"/>
                <w:color w:val="auto"/>
                <w:sz w:val="21"/>
                <w:szCs w:val="21"/>
                <w:highlight w:val="none"/>
              </w:rPr>
              <w:t>/</w:t>
            </w:r>
          </w:p>
        </w:tc>
        <w:tc>
          <w:tcPr>
            <w:tcW w:w="1332" w:type="dxa"/>
            <w:vAlign w:val="center"/>
          </w:tcPr>
          <w:p w14:paraId="5F532213">
            <w:pPr>
              <w:pStyle w:val="98"/>
              <w:ind w:left="-105" w:right="-105"/>
              <w:rPr>
                <w:rFonts w:eastAsia="宋体"/>
                <w:color w:val="auto"/>
                <w:sz w:val="21"/>
                <w:szCs w:val="21"/>
                <w:highlight w:val="none"/>
              </w:rPr>
            </w:pPr>
            <w:r>
              <w:rPr>
                <w:rFonts w:eastAsia="宋体"/>
                <w:color w:val="auto"/>
                <w:sz w:val="21"/>
                <w:szCs w:val="21"/>
                <w:highlight w:val="none"/>
              </w:rPr>
              <w:t>/</w:t>
            </w:r>
          </w:p>
        </w:tc>
      </w:tr>
      <w:bookmarkEnd w:id="130"/>
    </w:tbl>
    <w:p w14:paraId="1939BC3D">
      <w:pPr>
        <w:tabs>
          <w:tab w:val="left" w:pos="993"/>
          <w:tab w:val="left" w:pos="1276"/>
        </w:tabs>
        <w:spacing w:line="360" w:lineRule="auto"/>
        <w:ind w:left="-105" w:right="-105" w:firstLine="480"/>
        <w:rPr>
          <w:rFonts w:ascii="Times New Roman" w:hAnsi="Times New Roman"/>
          <w:color w:val="auto"/>
          <w:highlight w:val="none"/>
        </w:rPr>
      </w:pPr>
      <w:r>
        <w:rPr>
          <w:rFonts w:ascii="Times New Roman" w:hAnsi="Times New Roman"/>
          <w:color w:val="auto"/>
          <w:highlight w:val="none"/>
        </w:rPr>
        <w:t>（4）环境噪声</w:t>
      </w:r>
    </w:p>
    <w:p w14:paraId="3F960C5B">
      <w:pPr>
        <w:tabs>
          <w:tab w:val="left" w:pos="993"/>
          <w:tab w:val="left" w:pos="1276"/>
        </w:tabs>
        <w:spacing w:line="360" w:lineRule="auto"/>
        <w:ind w:left="-105" w:right="-105" w:firstLine="480"/>
        <w:rPr>
          <w:rFonts w:ascii="Times New Roman" w:hAnsi="Times New Roman"/>
          <w:color w:val="auto"/>
          <w:highlight w:val="none"/>
        </w:rPr>
      </w:pPr>
      <w:r>
        <w:rPr>
          <w:rFonts w:ascii="Times New Roman" w:hAnsi="Times New Roman" w:cs="Times New Roman"/>
          <w:color w:val="auto"/>
          <w:highlight w:val="none"/>
        </w:rPr>
        <w:t>根据《无锡市区声环境功能区划分调整方案》（锡政办发[2018]157号），建设项目所在地为3类声环境功能区，执行《声环境质量标准》(GB3096-2008)中的3类标准</w:t>
      </w:r>
      <w:r>
        <w:rPr>
          <w:rFonts w:hint="eastAsia" w:ascii="Times New Roman" w:hAnsi="Times New Roman" w:cs="Times New Roman"/>
          <w:color w:val="auto"/>
          <w:highlight w:val="none"/>
        </w:rPr>
        <w:t>；</w:t>
      </w:r>
      <w:r>
        <w:rPr>
          <w:rFonts w:hint="eastAsia" w:ascii="Times New Roman" w:hAnsi="Times New Roman" w:cs="Times New Roman"/>
          <w:color w:val="auto"/>
          <w:highlight w:val="none"/>
        </w:rPr>
        <w:t>敏感目标处执行</w:t>
      </w:r>
      <w:r>
        <w:rPr>
          <w:rFonts w:ascii="Times New Roman" w:hAnsi="Times New Roman" w:cs="Times New Roman"/>
          <w:color w:val="auto"/>
          <w:highlight w:val="none"/>
        </w:rPr>
        <w:t>《声环境质量标准》(GB3096-2008)中的</w:t>
      </w:r>
      <w:r>
        <w:rPr>
          <w:rFonts w:hint="eastAsia" w:ascii="Times New Roman" w:hAnsi="Times New Roman" w:cs="Times New Roman"/>
          <w:color w:val="auto"/>
          <w:highlight w:val="none"/>
        </w:rPr>
        <w:t>2</w:t>
      </w:r>
      <w:r>
        <w:rPr>
          <w:rFonts w:ascii="Times New Roman" w:hAnsi="Times New Roman" w:cs="Times New Roman"/>
          <w:color w:val="auto"/>
          <w:highlight w:val="none"/>
        </w:rPr>
        <w:t>类标准</w:t>
      </w:r>
      <w:r>
        <w:rPr>
          <w:rFonts w:ascii="Times New Roman" w:hAnsi="Times New Roman" w:cs="Times New Roman"/>
          <w:color w:val="auto"/>
          <w:highlight w:val="none"/>
        </w:rPr>
        <w:t>。</w:t>
      </w:r>
      <w:r>
        <w:rPr>
          <w:rFonts w:ascii="Times New Roman" w:hAnsi="Times New Roman"/>
          <w:color w:val="auto"/>
          <w:highlight w:val="none"/>
        </w:rPr>
        <w:t>具体标准见</w:t>
      </w:r>
      <w:r>
        <w:rPr>
          <w:rFonts w:ascii="Times New Roman" w:hAnsi="Times New Roman"/>
          <w:color w:val="auto"/>
          <w:highlight w:val="none"/>
        </w:rPr>
        <w:fldChar w:fldCharType="begin"/>
      </w:r>
      <w:r>
        <w:rPr>
          <w:rFonts w:ascii="Times New Roman" w:hAnsi="Times New Roman"/>
          <w:color w:val="auto"/>
          <w:highlight w:val="none"/>
        </w:rPr>
        <w:instrText xml:space="preserve"> REF _Ref17727032 \h  \* MERGEFORMAT </w:instrText>
      </w:r>
      <w:r>
        <w:rPr>
          <w:rFonts w:ascii="Times New Roman" w:hAnsi="Times New Roman"/>
          <w:color w:val="auto"/>
          <w:highlight w:val="none"/>
        </w:rPr>
        <w:fldChar w:fldCharType="separate"/>
      </w:r>
      <w:r>
        <w:rPr>
          <w:rFonts w:ascii="Times New Roman" w:hAnsi="Times New Roman"/>
          <w:color w:val="auto"/>
          <w:szCs w:val="22"/>
          <w:highlight w:val="none"/>
        </w:rPr>
        <w:t>表2.3</w:t>
      </w:r>
      <w:r>
        <w:rPr>
          <w:rFonts w:ascii="Times New Roman" w:hAnsi="Times New Roman"/>
          <w:color w:val="auto"/>
          <w:szCs w:val="22"/>
          <w:highlight w:val="none"/>
        </w:rPr>
        <w:noBreakHyphen/>
      </w:r>
      <w:r>
        <w:rPr>
          <w:rFonts w:ascii="Times New Roman" w:hAnsi="Times New Roman"/>
          <w:color w:val="auto"/>
          <w:szCs w:val="22"/>
          <w:highlight w:val="none"/>
        </w:rPr>
        <w:t>6</w:t>
      </w:r>
      <w:r>
        <w:rPr>
          <w:rFonts w:ascii="Times New Roman" w:hAnsi="Times New Roman"/>
          <w:color w:val="auto"/>
          <w:highlight w:val="none"/>
        </w:rPr>
        <w:fldChar w:fldCharType="end"/>
      </w:r>
      <w:r>
        <w:rPr>
          <w:rFonts w:ascii="Times New Roman" w:hAnsi="Times New Roman"/>
          <w:color w:val="auto"/>
          <w:highlight w:val="none"/>
        </w:rPr>
        <w:t>。</w:t>
      </w:r>
    </w:p>
    <w:p w14:paraId="14C77807">
      <w:pPr>
        <w:pStyle w:val="15"/>
        <w:spacing w:line="360" w:lineRule="auto"/>
        <w:ind w:left="-105" w:right="-105" w:firstLine="482"/>
        <w:rPr>
          <w:rFonts w:eastAsia="宋体" w:cs="Times New Roman"/>
          <w:color w:val="auto"/>
          <w:sz w:val="24"/>
          <w:szCs w:val="24"/>
          <w:highlight w:val="none"/>
        </w:rPr>
      </w:pPr>
      <w:bookmarkStart w:id="131" w:name="_Ref17727032"/>
      <w:r>
        <w:rPr>
          <w:rFonts w:eastAsia="宋体" w:cs="Times New Roman"/>
          <w:color w:val="auto"/>
          <w:sz w:val="24"/>
          <w:szCs w:val="18"/>
          <w:highlight w:val="none"/>
        </w:rPr>
        <w:t>表</w:t>
      </w:r>
      <w:r>
        <w:rPr>
          <w:rFonts w:eastAsia="宋体" w:cs="Times New Roman"/>
          <w:color w:val="auto"/>
          <w:sz w:val="24"/>
          <w:szCs w:val="18"/>
          <w:highlight w:val="none"/>
        </w:rPr>
        <w:fldChar w:fldCharType="begin"/>
      </w:r>
      <w:r>
        <w:rPr>
          <w:rFonts w:eastAsia="宋体" w:cs="Times New Roman"/>
          <w:color w:val="auto"/>
          <w:sz w:val="24"/>
          <w:szCs w:val="18"/>
          <w:highlight w:val="none"/>
        </w:rPr>
        <w:instrText xml:space="preserve"> STYLEREF 2 \s </w:instrText>
      </w:r>
      <w:r>
        <w:rPr>
          <w:rFonts w:eastAsia="宋体" w:cs="Times New Roman"/>
          <w:color w:val="auto"/>
          <w:sz w:val="24"/>
          <w:szCs w:val="18"/>
          <w:highlight w:val="none"/>
        </w:rPr>
        <w:fldChar w:fldCharType="separate"/>
      </w:r>
      <w:r>
        <w:rPr>
          <w:rFonts w:eastAsia="宋体" w:cs="Times New Roman"/>
          <w:color w:val="auto"/>
          <w:sz w:val="24"/>
          <w:szCs w:val="18"/>
          <w:highlight w:val="none"/>
        </w:rPr>
        <w:t>2.3</w:t>
      </w:r>
      <w:r>
        <w:rPr>
          <w:rFonts w:eastAsia="宋体" w:cs="Times New Roman"/>
          <w:color w:val="auto"/>
          <w:sz w:val="24"/>
          <w:szCs w:val="18"/>
          <w:highlight w:val="none"/>
        </w:rPr>
        <w:fldChar w:fldCharType="end"/>
      </w:r>
      <w:r>
        <w:rPr>
          <w:rFonts w:eastAsia="宋体" w:cs="Times New Roman"/>
          <w:color w:val="auto"/>
          <w:sz w:val="24"/>
          <w:szCs w:val="18"/>
          <w:highlight w:val="none"/>
        </w:rPr>
        <w:noBreakHyphen/>
      </w:r>
      <w:r>
        <w:rPr>
          <w:rFonts w:eastAsia="宋体" w:cs="Times New Roman"/>
          <w:color w:val="auto"/>
          <w:sz w:val="24"/>
          <w:szCs w:val="18"/>
          <w:highlight w:val="none"/>
        </w:rPr>
        <w:fldChar w:fldCharType="begin"/>
      </w:r>
      <w:r>
        <w:rPr>
          <w:rFonts w:eastAsia="宋体" w:cs="Times New Roman"/>
          <w:color w:val="auto"/>
          <w:sz w:val="24"/>
          <w:szCs w:val="18"/>
          <w:highlight w:val="none"/>
        </w:rPr>
        <w:instrText xml:space="preserve"> SEQ 表 \* ARABIC \s 2 </w:instrText>
      </w:r>
      <w:r>
        <w:rPr>
          <w:rFonts w:eastAsia="宋体" w:cs="Times New Roman"/>
          <w:color w:val="auto"/>
          <w:sz w:val="24"/>
          <w:szCs w:val="18"/>
          <w:highlight w:val="none"/>
        </w:rPr>
        <w:fldChar w:fldCharType="separate"/>
      </w:r>
      <w:r>
        <w:rPr>
          <w:rFonts w:eastAsia="宋体" w:cs="Times New Roman"/>
          <w:color w:val="auto"/>
          <w:sz w:val="24"/>
          <w:szCs w:val="18"/>
          <w:highlight w:val="none"/>
        </w:rPr>
        <w:t>6</w:t>
      </w:r>
      <w:r>
        <w:rPr>
          <w:rFonts w:eastAsia="宋体" w:cs="Times New Roman"/>
          <w:color w:val="auto"/>
          <w:sz w:val="24"/>
          <w:szCs w:val="18"/>
          <w:highlight w:val="none"/>
        </w:rPr>
        <w:fldChar w:fldCharType="end"/>
      </w:r>
      <w:bookmarkEnd w:id="131"/>
      <w:r>
        <w:rPr>
          <w:rFonts w:eastAsia="宋体" w:cs="Times New Roman"/>
          <w:color w:val="auto"/>
          <w:sz w:val="24"/>
          <w:szCs w:val="22"/>
          <w:highlight w:val="none"/>
        </w:rPr>
        <w:t>声环境质量标准</w:t>
      </w:r>
      <w:r>
        <w:rPr>
          <w:rFonts w:eastAsia="宋体" w:cs="Times New Roman"/>
          <w:color w:val="auto"/>
          <w:sz w:val="24"/>
          <w:szCs w:val="22"/>
          <w:highlight w:val="none"/>
        </w:rPr>
        <w:tab/>
      </w:r>
      <w:r>
        <w:rPr>
          <w:rFonts w:eastAsia="宋体" w:cs="Times New Roman"/>
          <w:color w:val="auto"/>
          <w:sz w:val="24"/>
          <w:szCs w:val="22"/>
          <w:highlight w:val="none"/>
        </w:rPr>
        <w:t>单位：LeqdB（A）</w:t>
      </w:r>
    </w:p>
    <w:tbl>
      <w:tblPr>
        <w:tblStyle w:val="45"/>
        <w:tblW w:w="9076" w:type="dxa"/>
        <w:jc w:val="center"/>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
      <w:tblGrid>
        <w:gridCol w:w="3034"/>
        <w:gridCol w:w="3022"/>
        <w:gridCol w:w="3020"/>
      </w:tblGrid>
      <w:tr w14:paraId="076FFE8A">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39" w:hRule="atLeast"/>
          <w:jc w:val="center"/>
        </w:trPr>
        <w:tc>
          <w:tcPr>
            <w:tcW w:w="3034" w:type="dxa"/>
            <w:vMerge w:val="restart"/>
            <w:tcBorders>
              <w:tl2br w:val="nil"/>
              <w:tr2bl w:val="nil"/>
            </w:tcBorders>
            <w:vAlign w:val="center"/>
          </w:tcPr>
          <w:p w14:paraId="565CFB52">
            <w:pPr>
              <w:pStyle w:val="98"/>
              <w:ind w:left="-105" w:right="-105" w:firstLine="422"/>
              <w:rPr>
                <w:rFonts w:eastAsia="宋体"/>
                <w:b/>
                <w:color w:val="auto"/>
                <w:sz w:val="21"/>
                <w:szCs w:val="21"/>
                <w:highlight w:val="none"/>
              </w:rPr>
            </w:pPr>
            <w:r>
              <w:rPr>
                <w:rFonts w:eastAsia="宋体"/>
                <w:b/>
                <w:color w:val="auto"/>
                <w:sz w:val="21"/>
                <w:szCs w:val="21"/>
                <w:highlight w:val="none"/>
              </w:rPr>
              <w:t>声环境功能区类别</w:t>
            </w:r>
          </w:p>
        </w:tc>
        <w:tc>
          <w:tcPr>
            <w:tcW w:w="6042" w:type="dxa"/>
            <w:gridSpan w:val="2"/>
            <w:tcBorders>
              <w:tl2br w:val="nil"/>
              <w:tr2bl w:val="nil"/>
            </w:tcBorders>
            <w:vAlign w:val="center"/>
          </w:tcPr>
          <w:p w14:paraId="5708D6BD">
            <w:pPr>
              <w:pStyle w:val="98"/>
              <w:ind w:left="-105" w:right="-105" w:firstLine="422"/>
              <w:rPr>
                <w:rFonts w:eastAsia="宋体"/>
                <w:b/>
                <w:bCs/>
                <w:color w:val="auto"/>
                <w:sz w:val="21"/>
                <w:szCs w:val="21"/>
                <w:highlight w:val="none"/>
              </w:rPr>
            </w:pPr>
            <w:r>
              <w:rPr>
                <w:rFonts w:eastAsia="宋体"/>
                <w:b/>
                <w:bCs/>
                <w:color w:val="auto"/>
                <w:sz w:val="21"/>
                <w:szCs w:val="21"/>
                <w:highlight w:val="none"/>
              </w:rPr>
              <w:t>时段</w:t>
            </w:r>
          </w:p>
        </w:tc>
      </w:tr>
      <w:tr w14:paraId="55A41BE9">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39" w:hRule="atLeast"/>
          <w:jc w:val="center"/>
        </w:trPr>
        <w:tc>
          <w:tcPr>
            <w:tcW w:w="3034" w:type="dxa"/>
            <w:vMerge w:val="continue"/>
            <w:tcBorders>
              <w:tl2br w:val="nil"/>
              <w:tr2bl w:val="nil"/>
            </w:tcBorders>
            <w:vAlign w:val="center"/>
          </w:tcPr>
          <w:p w14:paraId="2D7EA4B1">
            <w:pPr>
              <w:ind w:left="-105" w:right="-105" w:firstLine="420"/>
              <w:jc w:val="center"/>
              <w:rPr>
                <w:rFonts w:ascii="Times New Roman" w:hAnsi="Times New Roman"/>
                <w:color w:val="auto"/>
                <w:sz w:val="21"/>
                <w:szCs w:val="21"/>
                <w:highlight w:val="none"/>
              </w:rPr>
            </w:pPr>
          </w:p>
        </w:tc>
        <w:tc>
          <w:tcPr>
            <w:tcW w:w="3022" w:type="dxa"/>
            <w:tcBorders>
              <w:tl2br w:val="nil"/>
              <w:tr2bl w:val="nil"/>
            </w:tcBorders>
            <w:vAlign w:val="center"/>
          </w:tcPr>
          <w:p w14:paraId="5D67FFF1">
            <w:pPr>
              <w:pStyle w:val="98"/>
              <w:ind w:left="-105" w:right="-105" w:firstLine="422"/>
              <w:rPr>
                <w:rFonts w:eastAsia="宋体"/>
                <w:b/>
                <w:bCs/>
                <w:color w:val="auto"/>
                <w:sz w:val="21"/>
                <w:szCs w:val="21"/>
                <w:highlight w:val="none"/>
              </w:rPr>
            </w:pPr>
            <w:r>
              <w:rPr>
                <w:rFonts w:eastAsia="宋体"/>
                <w:b/>
                <w:bCs/>
                <w:color w:val="auto"/>
                <w:sz w:val="21"/>
                <w:szCs w:val="21"/>
                <w:highlight w:val="none"/>
              </w:rPr>
              <w:t>昼间（6:00~22:00）</w:t>
            </w:r>
          </w:p>
        </w:tc>
        <w:tc>
          <w:tcPr>
            <w:tcW w:w="3020" w:type="dxa"/>
            <w:tcBorders>
              <w:tl2br w:val="nil"/>
              <w:tr2bl w:val="nil"/>
            </w:tcBorders>
            <w:vAlign w:val="center"/>
          </w:tcPr>
          <w:p w14:paraId="13849C25">
            <w:pPr>
              <w:pStyle w:val="98"/>
              <w:ind w:left="-105" w:right="-105" w:firstLine="422"/>
              <w:rPr>
                <w:rFonts w:eastAsia="宋体"/>
                <w:b/>
                <w:bCs/>
                <w:color w:val="auto"/>
                <w:sz w:val="21"/>
                <w:szCs w:val="21"/>
                <w:highlight w:val="none"/>
              </w:rPr>
            </w:pPr>
            <w:r>
              <w:rPr>
                <w:rFonts w:eastAsia="宋体"/>
                <w:b/>
                <w:bCs/>
                <w:color w:val="auto"/>
                <w:sz w:val="21"/>
                <w:szCs w:val="21"/>
                <w:highlight w:val="none"/>
              </w:rPr>
              <w:t>夜间（22:00~6:00）</w:t>
            </w:r>
          </w:p>
        </w:tc>
      </w:tr>
      <w:tr w14:paraId="6C1E8221">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41" w:hRule="atLeast"/>
          <w:jc w:val="center"/>
        </w:trPr>
        <w:tc>
          <w:tcPr>
            <w:tcW w:w="3034" w:type="dxa"/>
            <w:tcBorders>
              <w:tl2br w:val="nil"/>
              <w:tr2bl w:val="nil"/>
            </w:tcBorders>
            <w:vAlign w:val="center"/>
          </w:tcPr>
          <w:p w14:paraId="48E5009F">
            <w:pPr>
              <w:pStyle w:val="98"/>
              <w:ind w:left="-105" w:right="-105" w:firstLine="420"/>
              <w:rPr>
                <w:rFonts w:eastAsia="宋体"/>
                <w:color w:val="auto"/>
                <w:sz w:val="21"/>
                <w:szCs w:val="21"/>
                <w:highlight w:val="none"/>
                <w:lang w:val="en-US"/>
              </w:rPr>
            </w:pPr>
            <w:r>
              <w:rPr>
                <w:rFonts w:hint="eastAsia" w:eastAsia="宋体"/>
                <w:color w:val="auto"/>
                <w:sz w:val="21"/>
                <w:szCs w:val="21"/>
                <w:highlight w:val="none"/>
                <w:lang w:val="en-US"/>
              </w:rPr>
              <w:t>2类</w:t>
            </w:r>
          </w:p>
        </w:tc>
        <w:tc>
          <w:tcPr>
            <w:tcW w:w="3022" w:type="dxa"/>
            <w:tcBorders>
              <w:tl2br w:val="nil"/>
              <w:tr2bl w:val="nil"/>
            </w:tcBorders>
            <w:vAlign w:val="center"/>
          </w:tcPr>
          <w:p w14:paraId="70B8953A">
            <w:pPr>
              <w:pStyle w:val="98"/>
              <w:ind w:left="-105" w:right="-105" w:firstLine="420"/>
              <w:rPr>
                <w:rFonts w:eastAsia="宋体"/>
                <w:color w:val="auto"/>
                <w:sz w:val="21"/>
                <w:szCs w:val="21"/>
                <w:highlight w:val="none"/>
                <w:lang w:val="en-US"/>
              </w:rPr>
            </w:pPr>
            <w:r>
              <w:rPr>
                <w:rFonts w:hint="eastAsia" w:eastAsia="宋体"/>
                <w:color w:val="auto"/>
                <w:sz w:val="21"/>
                <w:szCs w:val="21"/>
                <w:highlight w:val="none"/>
                <w:lang w:val="en-US"/>
              </w:rPr>
              <w:t>60</w:t>
            </w:r>
          </w:p>
        </w:tc>
        <w:tc>
          <w:tcPr>
            <w:tcW w:w="3020" w:type="dxa"/>
            <w:tcBorders>
              <w:tl2br w:val="nil"/>
              <w:tr2bl w:val="nil"/>
            </w:tcBorders>
            <w:vAlign w:val="center"/>
          </w:tcPr>
          <w:p w14:paraId="3C799B0A">
            <w:pPr>
              <w:pStyle w:val="98"/>
              <w:ind w:left="-105" w:right="-105" w:firstLine="420"/>
              <w:rPr>
                <w:rFonts w:eastAsia="宋体"/>
                <w:color w:val="auto"/>
                <w:sz w:val="21"/>
                <w:szCs w:val="21"/>
                <w:highlight w:val="none"/>
                <w:lang w:val="en-US"/>
              </w:rPr>
            </w:pPr>
            <w:r>
              <w:rPr>
                <w:rFonts w:hint="eastAsia" w:eastAsia="宋体"/>
                <w:color w:val="auto"/>
                <w:sz w:val="21"/>
                <w:szCs w:val="21"/>
                <w:highlight w:val="none"/>
                <w:lang w:val="en-US"/>
              </w:rPr>
              <w:t>50</w:t>
            </w:r>
          </w:p>
        </w:tc>
      </w:tr>
      <w:tr w14:paraId="008FFE57">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41" w:hRule="atLeast"/>
          <w:jc w:val="center"/>
        </w:trPr>
        <w:tc>
          <w:tcPr>
            <w:tcW w:w="3034" w:type="dxa"/>
            <w:tcBorders>
              <w:tl2br w:val="nil"/>
              <w:tr2bl w:val="nil"/>
            </w:tcBorders>
            <w:vAlign w:val="center"/>
          </w:tcPr>
          <w:p w14:paraId="712E2688">
            <w:pPr>
              <w:pStyle w:val="98"/>
              <w:ind w:left="-105" w:right="-105" w:firstLine="420"/>
              <w:rPr>
                <w:rFonts w:eastAsia="宋体"/>
                <w:color w:val="auto"/>
                <w:sz w:val="21"/>
                <w:szCs w:val="21"/>
                <w:highlight w:val="none"/>
              </w:rPr>
            </w:pPr>
            <w:r>
              <w:rPr>
                <w:rFonts w:eastAsia="宋体"/>
                <w:color w:val="auto"/>
                <w:sz w:val="21"/>
                <w:szCs w:val="21"/>
                <w:highlight w:val="none"/>
              </w:rPr>
              <w:t>3类</w:t>
            </w:r>
          </w:p>
        </w:tc>
        <w:tc>
          <w:tcPr>
            <w:tcW w:w="3022" w:type="dxa"/>
            <w:tcBorders>
              <w:tl2br w:val="nil"/>
              <w:tr2bl w:val="nil"/>
            </w:tcBorders>
            <w:vAlign w:val="center"/>
          </w:tcPr>
          <w:p w14:paraId="6F51E63D">
            <w:pPr>
              <w:pStyle w:val="98"/>
              <w:ind w:left="-105" w:right="-105" w:firstLine="420"/>
              <w:rPr>
                <w:rFonts w:eastAsia="宋体"/>
                <w:color w:val="auto"/>
                <w:sz w:val="21"/>
                <w:szCs w:val="21"/>
                <w:highlight w:val="none"/>
              </w:rPr>
            </w:pPr>
            <w:r>
              <w:rPr>
                <w:rFonts w:eastAsia="宋体"/>
                <w:color w:val="auto"/>
                <w:sz w:val="21"/>
                <w:szCs w:val="21"/>
                <w:highlight w:val="none"/>
              </w:rPr>
              <w:t>65</w:t>
            </w:r>
          </w:p>
        </w:tc>
        <w:tc>
          <w:tcPr>
            <w:tcW w:w="3020" w:type="dxa"/>
            <w:tcBorders>
              <w:tl2br w:val="nil"/>
              <w:tr2bl w:val="nil"/>
            </w:tcBorders>
            <w:vAlign w:val="center"/>
          </w:tcPr>
          <w:p w14:paraId="2E874AF3">
            <w:pPr>
              <w:pStyle w:val="98"/>
              <w:ind w:left="-105" w:right="-105" w:firstLine="420"/>
              <w:rPr>
                <w:rFonts w:eastAsia="宋体"/>
                <w:color w:val="auto"/>
                <w:sz w:val="21"/>
                <w:szCs w:val="21"/>
                <w:highlight w:val="none"/>
              </w:rPr>
            </w:pPr>
            <w:r>
              <w:rPr>
                <w:rFonts w:eastAsia="宋体"/>
                <w:color w:val="auto"/>
                <w:sz w:val="21"/>
                <w:szCs w:val="21"/>
                <w:highlight w:val="none"/>
              </w:rPr>
              <w:t>55</w:t>
            </w:r>
          </w:p>
        </w:tc>
      </w:tr>
    </w:tbl>
    <w:p w14:paraId="27383A77">
      <w:pPr>
        <w:tabs>
          <w:tab w:val="left" w:pos="993"/>
          <w:tab w:val="left" w:pos="1276"/>
        </w:tabs>
        <w:spacing w:line="360" w:lineRule="auto"/>
        <w:ind w:left="-105" w:right="-105" w:firstLine="480"/>
        <w:rPr>
          <w:rFonts w:ascii="Times New Roman" w:hAnsi="Times New Roman"/>
          <w:color w:val="auto"/>
          <w:highlight w:val="none"/>
        </w:rPr>
      </w:pPr>
      <w:r>
        <w:rPr>
          <w:rFonts w:ascii="Times New Roman" w:hAnsi="Times New Roman"/>
          <w:color w:val="auto"/>
          <w:highlight w:val="none"/>
        </w:rPr>
        <w:t>（5）土壤环境</w:t>
      </w:r>
    </w:p>
    <w:p w14:paraId="0EED7B77">
      <w:pPr>
        <w:tabs>
          <w:tab w:val="left" w:pos="993"/>
          <w:tab w:val="left" w:pos="1276"/>
        </w:tabs>
        <w:spacing w:line="360" w:lineRule="auto"/>
        <w:ind w:left="-105" w:right="-105" w:firstLine="480"/>
        <w:rPr>
          <w:rFonts w:ascii="Times New Roman" w:hAnsi="Times New Roman"/>
          <w:color w:val="auto"/>
          <w:highlight w:val="none"/>
        </w:rPr>
      </w:pPr>
      <w:r>
        <w:rPr>
          <w:rFonts w:ascii="Times New Roman" w:hAnsi="Times New Roman" w:cs="Times New Roman"/>
          <w:color w:val="auto"/>
          <w:highlight w:val="none"/>
        </w:rPr>
        <w:t>本项目所在地为工业用地，土壤质量按《土壤环境质量建设用地土壤污染风险管控标准》（GB36600-2018）中的表1、表2中第二类用地标准进行评价</w:t>
      </w:r>
      <w:r>
        <w:rPr>
          <w:rFonts w:ascii="Times New Roman" w:hAnsi="Times New Roman"/>
          <w:color w:val="auto"/>
          <w:highlight w:val="none"/>
        </w:rPr>
        <w:t>，具体限值见</w:t>
      </w:r>
      <w:r>
        <w:rPr>
          <w:rFonts w:ascii="Times New Roman" w:hAnsi="Times New Roman"/>
          <w:color w:val="auto"/>
          <w:highlight w:val="none"/>
        </w:rPr>
        <w:fldChar w:fldCharType="begin"/>
      </w:r>
      <w:r>
        <w:rPr>
          <w:rFonts w:ascii="Times New Roman" w:hAnsi="Times New Roman"/>
          <w:color w:val="auto"/>
          <w:highlight w:val="none"/>
        </w:rPr>
        <w:instrText xml:space="preserve"> REF _Ref17794528 \h  \* MERGEFORMAT </w:instrText>
      </w:r>
      <w:r>
        <w:rPr>
          <w:rFonts w:ascii="Times New Roman" w:hAnsi="Times New Roman"/>
          <w:color w:val="auto"/>
          <w:highlight w:val="none"/>
        </w:rPr>
        <w:fldChar w:fldCharType="separate"/>
      </w:r>
      <w:r>
        <w:rPr>
          <w:rFonts w:ascii="Times New Roman" w:hAnsi="Times New Roman"/>
          <w:color w:val="auto"/>
          <w:szCs w:val="22"/>
          <w:highlight w:val="none"/>
        </w:rPr>
        <w:t>表2.3</w:t>
      </w:r>
      <w:r>
        <w:rPr>
          <w:rFonts w:ascii="Times New Roman" w:hAnsi="Times New Roman"/>
          <w:color w:val="auto"/>
          <w:szCs w:val="22"/>
          <w:highlight w:val="none"/>
        </w:rPr>
        <w:noBreakHyphen/>
      </w:r>
      <w:r>
        <w:rPr>
          <w:rFonts w:ascii="Times New Roman" w:hAnsi="Times New Roman"/>
          <w:color w:val="auto"/>
          <w:szCs w:val="22"/>
          <w:highlight w:val="none"/>
        </w:rPr>
        <w:t>7</w:t>
      </w:r>
      <w:r>
        <w:rPr>
          <w:rFonts w:ascii="Times New Roman" w:hAnsi="Times New Roman"/>
          <w:color w:val="auto"/>
          <w:highlight w:val="none"/>
        </w:rPr>
        <w:fldChar w:fldCharType="end"/>
      </w:r>
      <w:r>
        <w:rPr>
          <w:rFonts w:ascii="Times New Roman" w:hAnsi="Times New Roman"/>
          <w:color w:val="auto"/>
          <w:highlight w:val="none"/>
        </w:rPr>
        <w:t>。</w:t>
      </w:r>
    </w:p>
    <w:p w14:paraId="215883BA">
      <w:pPr>
        <w:pStyle w:val="15"/>
        <w:spacing w:line="360" w:lineRule="auto"/>
        <w:ind w:left="-105" w:right="-105" w:firstLine="482"/>
        <w:rPr>
          <w:rFonts w:eastAsia="宋体" w:cs="Times New Roman"/>
          <w:color w:val="auto"/>
          <w:sz w:val="24"/>
          <w:szCs w:val="24"/>
          <w:highlight w:val="none"/>
        </w:rPr>
      </w:pPr>
      <w:bookmarkStart w:id="132" w:name="_Ref17794528"/>
      <w:r>
        <w:rPr>
          <w:rFonts w:eastAsia="宋体" w:cs="Times New Roman"/>
          <w:color w:val="auto"/>
          <w:sz w:val="24"/>
          <w:szCs w:val="18"/>
          <w:highlight w:val="none"/>
        </w:rPr>
        <w:t>表</w:t>
      </w:r>
      <w:r>
        <w:rPr>
          <w:rFonts w:eastAsia="宋体" w:cs="Times New Roman"/>
          <w:color w:val="auto"/>
          <w:sz w:val="24"/>
          <w:szCs w:val="18"/>
          <w:highlight w:val="none"/>
        </w:rPr>
        <w:fldChar w:fldCharType="begin"/>
      </w:r>
      <w:r>
        <w:rPr>
          <w:rFonts w:eastAsia="宋体" w:cs="Times New Roman"/>
          <w:color w:val="auto"/>
          <w:sz w:val="24"/>
          <w:szCs w:val="18"/>
          <w:highlight w:val="none"/>
        </w:rPr>
        <w:instrText xml:space="preserve"> STYLEREF 2 \s </w:instrText>
      </w:r>
      <w:r>
        <w:rPr>
          <w:rFonts w:eastAsia="宋体" w:cs="Times New Roman"/>
          <w:color w:val="auto"/>
          <w:sz w:val="24"/>
          <w:szCs w:val="18"/>
          <w:highlight w:val="none"/>
        </w:rPr>
        <w:fldChar w:fldCharType="separate"/>
      </w:r>
      <w:r>
        <w:rPr>
          <w:rFonts w:eastAsia="宋体" w:cs="Times New Roman"/>
          <w:color w:val="auto"/>
          <w:sz w:val="24"/>
          <w:szCs w:val="18"/>
          <w:highlight w:val="none"/>
        </w:rPr>
        <w:t>2.3</w:t>
      </w:r>
      <w:r>
        <w:rPr>
          <w:rFonts w:eastAsia="宋体" w:cs="Times New Roman"/>
          <w:color w:val="auto"/>
          <w:sz w:val="24"/>
          <w:szCs w:val="18"/>
          <w:highlight w:val="none"/>
        </w:rPr>
        <w:fldChar w:fldCharType="end"/>
      </w:r>
      <w:r>
        <w:rPr>
          <w:rFonts w:eastAsia="宋体" w:cs="Times New Roman"/>
          <w:color w:val="auto"/>
          <w:sz w:val="24"/>
          <w:szCs w:val="18"/>
          <w:highlight w:val="none"/>
        </w:rPr>
        <w:noBreakHyphen/>
      </w:r>
      <w:r>
        <w:rPr>
          <w:rFonts w:eastAsia="宋体" w:cs="Times New Roman"/>
          <w:color w:val="auto"/>
          <w:sz w:val="24"/>
          <w:szCs w:val="18"/>
          <w:highlight w:val="none"/>
        </w:rPr>
        <w:fldChar w:fldCharType="begin"/>
      </w:r>
      <w:r>
        <w:rPr>
          <w:rFonts w:eastAsia="宋体" w:cs="Times New Roman"/>
          <w:color w:val="auto"/>
          <w:sz w:val="24"/>
          <w:szCs w:val="18"/>
          <w:highlight w:val="none"/>
        </w:rPr>
        <w:instrText xml:space="preserve"> SEQ 表 \* ARABIC \s 2 </w:instrText>
      </w:r>
      <w:r>
        <w:rPr>
          <w:rFonts w:eastAsia="宋体" w:cs="Times New Roman"/>
          <w:color w:val="auto"/>
          <w:sz w:val="24"/>
          <w:szCs w:val="18"/>
          <w:highlight w:val="none"/>
        </w:rPr>
        <w:fldChar w:fldCharType="separate"/>
      </w:r>
      <w:r>
        <w:rPr>
          <w:rFonts w:eastAsia="宋体" w:cs="Times New Roman"/>
          <w:color w:val="auto"/>
          <w:sz w:val="24"/>
          <w:szCs w:val="18"/>
          <w:highlight w:val="none"/>
        </w:rPr>
        <w:t>7</w:t>
      </w:r>
      <w:r>
        <w:rPr>
          <w:rFonts w:eastAsia="宋体" w:cs="Times New Roman"/>
          <w:color w:val="auto"/>
          <w:sz w:val="24"/>
          <w:szCs w:val="18"/>
          <w:highlight w:val="none"/>
        </w:rPr>
        <w:fldChar w:fldCharType="end"/>
      </w:r>
      <w:bookmarkEnd w:id="132"/>
      <w:r>
        <w:rPr>
          <w:rFonts w:eastAsia="宋体" w:cs="Times New Roman"/>
          <w:color w:val="auto"/>
          <w:sz w:val="24"/>
          <w:szCs w:val="24"/>
          <w:highlight w:val="none"/>
        </w:rPr>
        <w:t>建设用地土壤污染风险筛选值和管制值</w:t>
      </w:r>
      <w:r>
        <w:rPr>
          <w:rFonts w:eastAsia="宋体" w:cs="Times New Roman"/>
          <w:color w:val="auto"/>
          <w:sz w:val="24"/>
          <w:szCs w:val="24"/>
          <w:highlight w:val="none"/>
        </w:rPr>
        <w:tab/>
      </w:r>
      <w:r>
        <w:rPr>
          <w:rFonts w:eastAsia="宋体" w:cs="Times New Roman"/>
          <w:color w:val="auto"/>
          <w:sz w:val="24"/>
          <w:szCs w:val="24"/>
          <w:highlight w:val="none"/>
        </w:rPr>
        <w:t>单位：mg/kg</w:t>
      </w:r>
    </w:p>
    <w:tbl>
      <w:tblPr>
        <w:tblStyle w:val="45"/>
        <w:tblW w:w="9065"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60"/>
        <w:gridCol w:w="1933"/>
        <w:gridCol w:w="1323"/>
        <w:gridCol w:w="1283"/>
        <w:gridCol w:w="1292"/>
        <w:gridCol w:w="1285"/>
        <w:gridCol w:w="1289"/>
      </w:tblGrid>
      <w:tr w14:paraId="6BFB0D3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660" w:type="dxa"/>
            <w:vMerge w:val="restart"/>
            <w:tcBorders>
              <w:tl2br w:val="nil"/>
              <w:tr2bl w:val="nil"/>
            </w:tcBorders>
            <w:vAlign w:val="center"/>
          </w:tcPr>
          <w:p w14:paraId="1151F406">
            <w:pPr>
              <w:pStyle w:val="98"/>
              <w:ind w:left="-105" w:right="-105"/>
              <w:rPr>
                <w:rFonts w:eastAsia="宋体"/>
                <w:b/>
                <w:bCs/>
                <w:color w:val="auto"/>
                <w:sz w:val="21"/>
                <w:szCs w:val="21"/>
                <w:highlight w:val="none"/>
              </w:rPr>
            </w:pPr>
            <w:r>
              <w:rPr>
                <w:rFonts w:eastAsia="宋体"/>
                <w:b/>
                <w:bCs/>
                <w:color w:val="auto"/>
                <w:sz w:val="21"/>
                <w:szCs w:val="21"/>
                <w:highlight w:val="none"/>
              </w:rPr>
              <w:t>序号</w:t>
            </w:r>
          </w:p>
        </w:tc>
        <w:tc>
          <w:tcPr>
            <w:tcW w:w="1933" w:type="dxa"/>
            <w:vMerge w:val="restart"/>
            <w:tcBorders>
              <w:tl2br w:val="nil"/>
              <w:tr2bl w:val="nil"/>
            </w:tcBorders>
            <w:vAlign w:val="center"/>
          </w:tcPr>
          <w:p w14:paraId="7774EAA4">
            <w:pPr>
              <w:pStyle w:val="98"/>
              <w:ind w:left="-105" w:right="-105"/>
              <w:rPr>
                <w:rFonts w:eastAsia="宋体"/>
                <w:b/>
                <w:bCs/>
                <w:color w:val="auto"/>
                <w:sz w:val="21"/>
                <w:szCs w:val="21"/>
                <w:highlight w:val="none"/>
              </w:rPr>
            </w:pPr>
            <w:r>
              <w:rPr>
                <w:rFonts w:eastAsia="宋体"/>
                <w:b/>
                <w:bCs/>
                <w:color w:val="auto"/>
                <w:sz w:val="21"/>
                <w:szCs w:val="21"/>
                <w:highlight w:val="none"/>
              </w:rPr>
              <w:t>污染物项目</w:t>
            </w:r>
          </w:p>
        </w:tc>
        <w:tc>
          <w:tcPr>
            <w:tcW w:w="1323" w:type="dxa"/>
            <w:vMerge w:val="restart"/>
            <w:tcBorders>
              <w:tl2br w:val="nil"/>
              <w:tr2bl w:val="nil"/>
            </w:tcBorders>
            <w:vAlign w:val="center"/>
          </w:tcPr>
          <w:p w14:paraId="0B9FCFE3">
            <w:pPr>
              <w:pStyle w:val="98"/>
              <w:ind w:left="-105" w:right="-105"/>
              <w:rPr>
                <w:rFonts w:eastAsia="宋体"/>
                <w:b/>
                <w:bCs/>
                <w:color w:val="auto"/>
                <w:sz w:val="21"/>
                <w:szCs w:val="21"/>
                <w:highlight w:val="none"/>
              </w:rPr>
            </w:pPr>
            <w:r>
              <w:rPr>
                <w:rFonts w:eastAsia="宋体"/>
                <w:b/>
                <w:bCs/>
                <w:color w:val="auto"/>
                <w:sz w:val="21"/>
                <w:szCs w:val="21"/>
                <w:highlight w:val="none"/>
              </w:rPr>
              <w:t>CAS 编号</w:t>
            </w:r>
          </w:p>
        </w:tc>
        <w:tc>
          <w:tcPr>
            <w:tcW w:w="2575" w:type="dxa"/>
            <w:gridSpan w:val="2"/>
            <w:tcBorders>
              <w:tl2br w:val="nil"/>
              <w:tr2bl w:val="nil"/>
            </w:tcBorders>
            <w:vAlign w:val="center"/>
          </w:tcPr>
          <w:p w14:paraId="3D0D2D3C">
            <w:pPr>
              <w:pStyle w:val="98"/>
              <w:ind w:left="-105" w:right="-105"/>
              <w:rPr>
                <w:rFonts w:eastAsia="宋体"/>
                <w:b/>
                <w:bCs/>
                <w:color w:val="auto"/>
                <w:sz w:val="21"/>
                <w:szCs w:val="21"/>
                <w:highlight w:val="none"/>
              </w:rPr>
            </w:pPr>
            <w:r>
              <w:rPr>
                <w:rFonts w:eastAsia="宋体"/>
                <w:b/>
                <w:bCs/>
                <w:color w:val="auto"/>
                <w:sz w:val="21"/>
                <w:szCs w:val="21"/>
                <w:highlight w:val="none"/>
              </w:rPr>
              <w:t>筛选值</w:t>
            </w:r>
          </w:p>
        </w:tc>
        <w:tc>
          <w:tcPr>
            <w:tcW w:w="2574" w:type="dxa"/>
            <w:gridSpan w:val="2"/>
            <w:tcBorders>
              <w:tl2br w:val="nil"/>
              <w:tr2bl w:val="nil"/>
            </w:tcBorders>
            <w:vAlign w:val="center"/>
          </w:tcPr>
          <w:p w14:paraId="5A7C847C">
            <w:pPr>
              <w:pStyle w:val="98"/>
              <w:ind w:left="-105" w:right="-105"/>
              <w:rPr>
                <w:rFonts w:eastAsia="宋体"/>
                <w:b/>
                <w:bCs/>
                <w:color w:val="auto"/>
                <w:sz w:val="21"/>
                <w:szCs w:val="21"/>
                <w:highlight w:val="none"/>
              </w:rPr>
            </w:pPr>
            <w:r>
              <w:rPr>
                <w:rFonts w:eastAsia="宋体"/>
                <w:b/>
                <w:bCs/>
                <w:color w:val="auto"/>
                <w:sz w:val="21"/>
                <w:szCs w:val="21"/>
                <w:highlight w:val="none"/>
              </w:rPr>
              <w:t>管制值</w:t>
            </w:r>
          </w:p>
        </w:tc>
      </w:tr>
      <w:tr w14:paraId="70EDEFB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660" w:type="dxa"/>
            <w:vMerge w:val="continue"/>
            <w:tcBorders>
              <w:tl2br w:val="nil"/>
              <w:tr2bl w:val="nil"/>
            </w:tcBorders>
            <w:vAlign w:val="center"/>
          </w:tcPr>
          <w:p w14:paraId="74016A34">
            <w:pPr>
              <w:ind w:left="-105" w:right="-105"/>
              <w:jc w:val="center"/>
              <w:rPr>
                <w:rFonts w:ascii="Times New Roman" w:hAnsi="Times New Roman"/>
                <w:b/>
                <w:bCs/>
                <w:color w:val="auto"/>
                <w:sz w:val="21"/>
                <w:szCs w:val="21"/>
                <w:highlight w:val="none"/>
              </w:rPr>
            </w:pPr>
          </w:p>
        </w:tc>
        <w:tc>
          <w:tcPr>
            <w:tcW w:w="1933" w:type="dxa"/>
            <w:vMerge w:val="continue"/>
            <w:tcBorders>
              <w:tl2br w:val="nil"/>
              <w:tr2bl w:val="nil"/>
            </w:tcBorders>
            <w:vAlign w:val="center"/>
          </w:tcPr>
          <w:p w14:paraId="072C2DBE">
            <w:pPr>
              <w:ind w:left="-105" w:right="-105"/>
              <w:jc w:val="center"/>
              <w:rPr>
                <w:rFonts w:ascii="Times New Roman" w:hAnsi="Times New Roman"/>
                <w:b/>
                <w:bCs/>
                <w:color w:val="auto"/>
                <w:sz w:val="21"/>
                <w:szCs w:val="21"/>
                <w:highlight w:val="none"/>
              </w:rPr>
            </w:pPr>
          </w:p>
        </w:tc>
        <w:tc>
          <w:tcPr>
            <w:tcW w:w="1323" w:type="dxa"/>
            <w:vMerge w:val="continue"/>
            <w:tcBorders>
              <w:tl2br w:val="nil"/>
              <w:tr2bl w:val="nil"/>
            </w:tcBorders>
            <w:vAlign w:val="center"/>
          </w:tcPr>
          <w:p w14:paraId="078ADD19">
            <w:pPr>
              <w:ind w:left="-105" w:right="-105"/>
              <w:jc w:val="center"/>
              <w:rPr>
                <w:rFonts w:ascii="Times New Roman" w:hAnsi="Times New Roman"/>
                <w:b/>
                <w:bCs/>
                <w:color w:val="auto"/>
                <w:sz w:val="21"/>
                <w:szCs w:val="21"/>
                <w:highlight w:val="none"/>
              </w:rPr>
            </w:pPr>
          </w:p>
        </w:tc>
        <w:tc>
          <w:tcPr>
            <w:tcW w:w="1283" w:type="dxa"/>
            <w:tcBorders>
              <w:tl2br w:val="nil"/>
              <w:tr2bl w:val="nil"/>
            </w:tcBorders>
            <w:vAlign w:val="center"/>
          </w:tcPr>
          <w:p w14:paraId="0EAFCC17">
            <w:pPr>
              <w:pStyle w:val="98"/>
              <w:ind w:left="-105" w:right="-105"/>
              <w:rPr>
                <w:rFonts w:eastAsia="宋体"/>
                <w:b/>
                <w:bCs/>
                <w:color w:val="auto"/>
                <w:sz w:val="21"/>
                <w:szCs w:val="21"/>
                <w:highlight w:val="none"/>
              </w:rPr>
            </w:pPr>
            <w:r>
              <w:rPr>
                <w:rFonts w:eastAsia="宋体"/>
                <w:b/>
                <w:bCs/>
                <w:color w:val="auto"/>
                <w:sz w:val="21"/>
                <w:szCs w:val="21"/>
                <w:highlight w:val="none"/>
              </w:rPr>
              <w:t>第一类用地</w:t>
            </w:r>
          </w:p>
        </w:tc>
        <w:tc>
          <w:tcPr>
            <w:tcW w:w="1292" w:type="dxa"/>
            <w:tcBorders>
              <w:tl2br w:val="nil"/>
              <w:tr2bl w:val="nil"/>
            </w:tcBorders>
            <w:vAlign w:val="center"/>
          </w:tcPr>
          <w:p w14:paraId="4993C35B">
            <w:pPr>
              <w:pStyle w:val="98"/>
              <w:ind w:left="-105" w:right="-105"/>
              <w:rPr>
                <w:rFonts w:eastAsia="宋体"/>
                <w:b/>
                <w:bCs/>
                <w:color w:val="auto"/>
                <w:sz w:val="21"/>
                <w:szCs w:val="21"/>
                <w:highlight w:val="none"/>
              </w:rPr>
            </w:pPr>
            <w:r>
              <w:rPr>
                <w:rFonts w:eastAsia="宋体"/>
                <w:b/>
                <w:bCs/>
                <w:color w:val="auto"/>
                <w:sz w:val="21"/>
                <w:szCs w:val="21"/>
                <w:highlight w:val="none"/>
              </w:rPr>
              <w:t>第二类用地</w:t>
            </w:r>
          </w:p>
        </w:tc>
        <w:tc>
          <w:tcPr>
            <w:tcW w:w="1285" w:type="dxa"/>
            <w:tcBorders>
              <w:tl2br w:val="nil"/>
              <w:tr2bl w:val="nil"/>
            </w:tcBorders>
            <w:vAlign w:val="center"/>
          </w:tcPr>
          <w:p w14:paraId="54CD8712">
            <w:pPr>
              <w:pStyle w:val="98"/>
              <w:ind w:left="-105" w:right="-105"/>
              <w:rPr>
                <w:rFonts w:eastAsia="宋体"/>
                <w:b/>
                <w:bCs/>
                <w:color w:val="auto"/>
                <w:sz w:val="21"/>
                <w:szCs w:val="21"/>
                <w:highlight w:val="none"/>
              </w:rPr>
            </w:pPr>
            <w:r>
              <w:rPr>
                <w:rFonts w:eastAsia="宋体"/>
                <w:b/>
                <w:bCs/>
                <w:color w:val="auto"/>
                <w:sz w:val="21"/>
                <w:szCs w:val="21"/>
                <w:highlight w:val="none"/>
              </w:rPr>
              <w:t>第一类用地</w:t>
            </w:r>
          </w:p>
        </w:tc>
        <w:tc>
          <w:tcPr>
            <w:tcW w:w="1289" w:type="dxa"/>
            <w:tcBorders>
              <w:tl2br w:val="nil"/>
              <w:tr2bl w:val="nil"/>
            </w:tcBorders>
            <w:vAlign w:val="center"/>
          </w:tcPr>
          <w:p w14:paraId="76C3A138">
            <w:pPr>
              <w:pStyle w:val="98"/>
              <w:ind w:left="-105" w:right="-105"/>
              <w:rPr>
                <w:rFonts w:eastAsia="宋体"/>
                <w:b/>
                <w:bCs/>
                <w:color w:val="auto"/>
                <w:sz w:val="21"/>
                <w:szCs w:val="21"/>
                <w:highlight w:val="none"/>
              </w:rPr>
            </w:pPr>
            <w:r>
              <w:rPr>
                <w:rFonts w:eastAsia="宋体"/>
                <w:b/>
                <w:bCs/>
                <w:color w:val="auto"/>
                <w:sz w:val="21"/>
                <w:szCs w:val="21"/>
                <w:highlight w:val="none"/>
              </w:rPr>
              <w:t>第二类用地</w:t>
            </w:r>
          </w:p>
        </w:tc>
      </w:tr>
      <w:tr w14:paraId="4F1D7FE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9065" w:type="dxa"/>
            <w:gridSpan w:val="7"/>
            <w:tcBorders>
              <w:tl2br w:val="nil"/>
              <w:tr2bl w:val="nil"/>
            </w:tcBorders>
            <w:vAlign w:val="center"/>
          </w:tcPr>
          <w:p w14:paraId="572D796B">
            <w:pPr>
              <w:pStyle w:val="98"/>
              <w:ind w:left="-105" w:right="-105"/>
              <w:rPr>
                <w:rFonts w:eastAsia="宋体"/>
                <w:b/>
                <w:bCs/>
                <w:color w:val="auto"/>
                <w:sz w:val="21"/>
                <w:szCs w:val="21"/>
                <w:highlight w:val="none"/>
              </w:rPr>
            </w:pPr>
            <w:r>
              <w:rPr>
                <w:rFonts w:eastAsia="宋体"/>
                <w:b/>
                <w:bCs/>
                <w:color w:val="auto"/>
                <w:sz w:val="21"/>
                <w:szCs w:val="21"/>
                <w:highlight w:val="none"/>
              </w:rPr>
              <w:t>重金属和无机物</w:t>
            </w:r>
          </w:p>
        </w:tc>
      </w:tr>
      <w:tr w14:paraId="3B2AA2D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660" w:type="dxa"/>
            <w:tcBorders>
              <w:tl2br w:val="nil"/>
              <w:tr2bl w:val="nil"/>
            </w:tcBorders>
            <w:vAlign w:val="center"/>
          </w:tcPr>
          <w:p w14:paraId="7AF8FEB8">
            <w:pPr>
              <w:pStyle w:val="98"/>
              <w:ind w:left="-105" w:right="-105"/>
              <w:rPr>
                <w:rFonts w:eastAsia="宋体"/>
                <w:color w:val="auto"/>
                <w:sz w:val="21"/>
                <w:szCs w:val="21"/>
                <w:highlight w:val="none"/>
              </w:rPr>
            </w:pPr>
            <w:r>
              <w:rPr>
                <w:rFonts w:eastAsia="宋体"/>
                <w:color w:val="auto"/>
                <w:sz w:val="21"/>
                <w:szCs w:val="21"/>
                <w:highlight w:val="none"/>
              </w:rPr>
              <w:t>1</w:t>
            </w:r>
          </w:p>
        </w:tc>
        <w:tc>
          <w:tcPr>
            <w:tcW w:w="1933" w:type="dxa"/>
            <w:tcBorders>
              <w:tl2br w:val="nil"/>
              <w:tr2bl w:val="nil"/>
            </w:tcBorders>
            <w:vAlign w:val="center"/>
          </w:tcPr>
          <w:p w14:paraId="3C68DE9B">
            <w:pPr>
              <w:pStyle w:val="98"/>
              <w:ind w:left="-105" w:right="-105"/>
              <w:rPr>
                <w:rFonts w:eastAsia="宋体"/>
                <w:color w:val="auto"/>
                <w:sz w:val="21"/>
                <w:szCs w:val="21"/>
                <w:highlight w:val="none"/>
              </w:rPr>
            </w:pPr>
            <w:r>
              <w:rPr>
                <w:rFonts w:eastAsia="宋体"/>
                <w:color w:val="auto"/>
                <w:sz w:val="21"/>
                <w:szCs w:val="21"/>
                <w:highlight w:val="none"/>
              </w:rPr>
              <w:t>砷</w:t>
            </w:r>
          </w:p>
        </w:tc>
        <w:tc>
          <w:tcPr>
            <w:tcW w:w="1323" w:type="dxa"/>
            <w:tcBorders>
              <w:tl2br w:val="nil"/>
              <w:tr2bl w:val="nil"/>
            </w:tcBorders>
            <w:vAlign w:val="center"/>
          </w:tcPr>
          <w:p w14:paraId="00CA5B6A">
            <w:pPr>
              <w:pStyle w:val="98"/>
              <w:ind w:left="-105" w:right="-105"/>
              <w:rPr>
                <w:rFonts w:eastAsia="宋体"/>
                <w:color w:val="auto"/>
                <w:sz w:val="21"/>
                <w:szCs w:val="21"/>
                <w:highlight w:val="none"/>
              </w:rPr>
            </w:pPr>
            <w:r>
              <w:rPr>
                <w:rFonts w:eastAsia="宋体"/>
                <w:color w:val="auto"/>
                <w:sz w:val="21"/>
                <w:szCs w:val="21"/>
                <w:highlight w:val="none"/>
              </w:rPr>
              <w:t>7440-38-2</w:t>
            </w:r>
          </w:p>
        </w:tc>
        <w:tc>
          <w:tcPr>
            <w:tcW w:w="1283" w:type="dxa"/>
            <w:tcBorders>
              <w:tl2br w:val="nil"/>
              <w:tr2bl w:val="nil"/>
            </w:tcBorders>
            <w:vAlign w:val="center"/>
          </w:tcPr>
          <w:p w14:paraId="7FBE260C">
            <w:pPr>
              <w:pStyle w:val="98"/>
              <w:ind w:left="-105" w:right="-105"/>
              <w:rPr>
                <w:rFonts w:eastAsia="宋体"/>
                <w:color w:val="auto"/>
                <w:sz w:val="21"/>
                <w:szCs w:val="21"/>
                <w:highlight w:val="none"/>
              </w:rPr>
            </w:pPr>
            <w:r>
              <w:rPr>
                <w:rFonts w:eastAsia="宋体"/>
                <w:color w:val="auto"/>
                <w:sz w:val="21"/>
                <w:szCs w:val="21"/>
                <w:highlight w:val="none"/>
              </w:rPr>
              <w:t>20</w:t>
            </w:r>
            <w:r>
              <w:rPr>
                <w:rFonts w:hint="eastAsia" w:eastAsia="宋体" w:cs="宋体"/>
                <w:color w:val="auto"/>
                <w:position w:val="11"/>
                <w:sz w:val="21"/>
                <w:szCs w:val="21"/>
                <w:highlight w:val="none"/>
              </w:rPr>
              <w:t>①</w:t>
            </w:r>
          </w:p>
        </w:tc>
        <w:tc>
          <w:tcPr>
            <w:tcW w:w="1292" w:type="dxa"/>
            <w:tcBorders>
              <w:tl2br w:val="nil"/>
              <w:tr2bl w:val="nil"/>
            </w:tcBorders>
            <w:vAlign w:val="center"/>
          </w:tcPr>
          <w:p w14:paraId="44AF7B33">
            <w:pPr>
              <w:pStyle w:val="98"/>
              <w:ind w:left="-105" w:right="-105"/>
              <w:rPr>
                <w:rFonts w:eastAsia="宋体"/>
                <w:color w:val="auto"/>
                <w:sz w:val="21"/>
                <w:szCs w:val="21"/>
                <w:highlight w:val="none"/>
              </w:rPr>
            </w:pPr>
            <w:r>
              <w:rPr>
                <w:rFonts w:eastAsia="宋体"/>
                <w:color w:val="auto"/>
                <w:sz w:val="21"/>
                <w:szCs w:val="21"/>
                <w:highlight w:val="none"/>
              </w:rPr>
              <w:t>60</w:t>
            </w:r>
            <w:r>
              <w:rPr>
                <w:rFonts w:hint="eastAsia" w:eastAsia="宋体" w:cs="宋体"/>
                <w:color w:val="auto"/>
                <w:position w:val="11"/>
                <w:sz w:val="21"/>
                <w:szCs w:val="21"/>
                <w:highlight w:val="none"/>
              </w:rPr>
              <w:t>①</w:t>
            </w:r>
          </w:p>
        </w:tc>
        <w:tc>
          <w:tcPr>
            <w:tcW w:w="1285" w:type="dxa"/>
            <w:tcBorders>
              <w:tl2br w:val="nil"/>
              <w:tr2bl w:val="nil"/>
            </w:tcBorders>
            <w:vAlign w:val="center"/>
          </w:tcPr>
          <w:p w14:paraId="0D10BD52">
            <w:pPr>
              <w:pStyle w:val="98"/>
              <w:ind w:left="-105" w:right="-105"/>
              <w:rPr>
                <w:rFonts w:eastAsia="宋体"/>
                <w:color w:val="auto"/>
                <w:sz w:val="21"/>
                <w:szCs w:val="21"/>
                <w:highlight w:val="none"/>
              </w:rPr>
            </w:pPr>
            <w:r>
              <w:rPr>
                <w:rFonts w:eastAsia="宋体"/>
                <w:color w:val="auto"/>
                <w:sz w:val="21"/>
                <w:szCs w:val="21"/>
                <w:highlight w:val="none"/>
              </w:rPr>
              <w:t>120</w:t>
            </w:r>
          </w:p>
        </w:tc>
        <w:tc>
          <w:tcPr>
            <w:tcW w:w="1289" w:type="dxa"/>
            <w:tcBorders>
              <w:tl2br w:val="nil"/>
              <w:tr2bl w:val="nil"/>
            </w:tcBorders>
            <w:vAlign w:val="center"/>
          </w:tcPr>
          <w:p w14:paraId="5C3D2AB5">
            <w:pPr>
              <w:pStyle w:val="98"/>
              <w:ind w:left="-105" w:right="-105"/>
              <w:rPr>
                <w:rFonts w:eastAsia="宋体"/>
                <w:color w:val="auto"/>
                <w:sz w:val="21"/>
                <w:szCs w:val="21"/>
                <w:highlight w:val="none"/>
              </w:rPr>
            </w:pPr>
            <w:r>
              <w:rPr>
                <w:rFonts w:eastAsia="宋体"/>
                <w:color w:val="auto"/>
                <w:sz w:val="21"/>
                <w:szCs w:val="21"/>
                <w:highlight w:val="none"/>
              </w:rPr>
              <w:t>140</w:t>
            </w:r>
          </w:p>
        </w:tc>
      </w:tr>
      <w:tr w14:paraId="7DEAF65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660" w:type="dxa"/>
            <w:tcBorders>
              <w:tl2br w:val="nil"/>
              <w:tr2bl w:val="nil"/>
            </w:tcBorders>
            <w:vAlign w:val="center"/>
          </w:tcPr>
          <w:p w14:paraId="41E5C5AA">
            <w:pPr>
              <w:pStyle w:val="98"/>
              <w:ind w:left="-105" w:right="-105"/>
              <w:rPr>
                <w:rFonts w:eastAsia="宋体"/>
                <w:color w:val="auto"/>
                <w:sz w:val="21"/>
                <w:szCs w:val="21"/>
                <w:highlight w:val="none"/>
              </w:rPr>
            </w:pPr>
            <w:r>
              <w:rPr>
                <w:rFonts w:eastAsia="宋体"/>
                <w:color w:val="auto"/>
                <w:sz w:val="21"/>
                <w:szCs w:val="21"/>
                <w:highlight w:val="none"/>
              </w:rPr>
              <w:t>2</w:t>
            </w:r>
          </w:p>
        </w:tc>
        <w:tc>
          <w:tcPr>
            <w:tcW w:w="1933" w:type="dxa"/>
            <w:tcBorders>
              <w:tl2br w:val="nil"/>
              <w:tr2bl w:val="nil"/>
            </w:tcBorders>
            <w:vAlign w:val="center"/>
          </w:tcPr>
          <w:p w14:paraId="674D5B7E">
            <w:pPr>
              <w:pStyle w:val="98"/>
              <w:ind w:left="-105" w:right="-105"/>
              <w:rPr>
                <w:rFonts w:eastAsia="宋体"/>
                <w:color w:val="auto"/>
                <w:sz w:val="21"/>
                <w:szCs w:val="21"/>
                <w:highlight w:val="none"/>
              </w:rPr>
            </w:pPr>
            <w:r>
              <w:rPr>
                <w:rFonts w:eastAsia="宋体"/>
                <w:color w:val="auto"/>
                <w:sz w:val="21"/>
                <w:szCs w:val="21"/>
                <w:highlight w:val="none"/>
              </w:rPr>
              <w:t>镉</w:t>
            </w:r>
          </w:p>
        </w:tc>
        <w:tc>
          <w:tcPr>
            <w:tcW w:w="1323" w:type="dxa"/>
            <w:tcBorders>
              <w:tl2br w:val="nil"/>
              <w:tr2bl w:val="nil"/>
            </w:tcBorders>
            <w:vAlign w:val="center"/>
          </w:tcPr>
          <w:p w14:paraId="3DB16117">
            <w:pPr>
              <w:pStyle w:val="98"/>
              <w:ind w:left="-105" w:right="-105"/>
              <w:rPr>
                <w:rFonts w:eastAsia="宋体"/>
                <w:color w:val="auto"/>
                <w:sz w:val="21"/>
                <w:szCs w:val="21"/>
                <w:highlight w:val="none"/>
              </w:rPr>
            </w:pPr>
            <w:r>
              <w:rPr>
                <w:rFonts w:eastAsia="宋体"/>
                <w:color w:val="auto"/>
                <w:sz w:val="21"/>
                <w:szCs w:val="21"/>
                <w:highlight w:val="none"/>
              </w:rPr>
              <w:t>7440-43-9</w:t>
            </w:r>
          </w:p>
        </w:tc>
        <w:tc>
          <w:tcPr>
            <w:tcW w:w="1283" w:type="dxa"/>
            <w:tcBorders>
              <w:tl2br w:val="nil"/>
              <w:tr2bl w:val="nil"/>
            </w:tcBorders>
            <w:vAlign w:val="center"/>
          </w:tcPr>
          <w:p w14:paraId="47F34664">
            <w:pPr>
              <w:pStyle w:val="98"/>
              <w:ind w:left="-105" w:right="-105"/>
              <w:rPr>
                <w:rFonts w:eastAsia="宋体"/>
                <w:color w:val="auto"/>
                <w:sz w:val="21"/>
                <w:szCs w:val="21"/>
                <w:highlight w:val="none"/>
              </w:rPr>
            </w:pPr>
            <w:r>
              <w:rPr>
                <w:rFonts w:eastAsia="宋体"/>
                <w:color w:val="auto"/>
                <w:sz w:val="21"/>
                <w:szCs w:val="21"/>
                <w:highlight w:val="none"/>
              </w:rPr>
              <w:t>20</w:t>
            </w:r>
          </w:p>
        </w:tc>
        <w:tc>
          <w:tcPr>
            <w:tcW w:w="1292" w:type="dxa"/>
            <w:tcBorders>
              <w:tl2br w:val="nil"/>
              <w:tr2bl w:val="nil"/>
            </w:tcBorders>
            <w:vAlign w:val="center"/>
          </w:tcPr>
          <w:p w14:paraId="37763988">
            <w:pPr>
              <w:pStyle w:val="98"/>
              <w:ind w:left="-105" w:right="-105"/>
              <w:rPr>
                <w:rFonts w:eastAsia="宋体"/>
                <w:color w:val="auto"/>
                <w:sz w:val="21"/>
                <w:szCs w:val="21"/>
                <w:highlight w:val="none"/>
              </w:rPr>
            </w:pPr>
            <w:r>
              <w:rPr>
                <w:rFonts w:eastAsia="宋体"/>
                <w:color w:val="auto"/>
                <w:sz w:val="21"/>
                <w:szCs w:val="21"/>
                <w:highlight w:val="none"/>
              </w:rPr>
              <w:t>65</w:t>
            </w:r>
          </w:p>
        </w:tc>
        <w:tc>
          <w:tcPr>
            <w:tcW w:w="1285" w:type="dxa"/>
            <w:tcBorders>
              <w:tl2br w:val="nil"/>
              <w:tr2bl w:val="nil"/>
            </w:tcBorders>
            <w:vAlign w:val="center"/>
          </w:tcPr>
          <w:p w14:paraId="377E3EAF">
            <w:pPr>
              <w:pStyle w:val="98"/>
              <w:ind w:left="-105" w:right="-105"/>
              <w:rPr>
                <w:rFonts w:eastAsia="宋体"/>
                <w:color w:val="auto"/>
                <w:sz w:val="21"/>
                <w:szCs w:val="21"/>
                <w:highlight w:val="none"/>
              </w:rPr>
            </w:pPr>
            <w:r>
              <w:rPr>
                <w:rFonts w:eastAsia="宋体"/>
                <w:color w:val="auto"/>
                <w:sz w:val="21"/>
                <w:szCs w:val="21"/>
                <w:highlight w:val="none"/>
              </w:rPr>
              <w:t>47</w:t>
            </w:r>
          </w:p>
        </w:tc>
        <w:tc>
          <w:tcPr>
            <w:tcW w:w="1289" w:type="dxa"/>
            <w:tcBorders>
              <w:tl2br w:val="nil"/>
              <w:tr2bl w:val="nil"/>
            </w:tcBorders>
            <w:vAlign w:val="center"/>
          </w:tcPr>
          <w:p w14:paraId="4DB41BAE">
            <w:pPr>
              <w:pStyle w:val="98"/>
              <w:ind w:left="-105" w:right="-105"/>
              <w:rPr>
                <w:rFonts w:eastAsia="宋体"/>
                <w:color w:val="auto"/>
                <w:sz w:val="21"/>
                <w:szCs w:val="21"/>
                <w:highlight w:val="none"/>
              </w:rPr>
            </w:pPr>
            <w:r>
              <w:rPr>
                <w:rFonts w:eastAsia="宋体"/>
                <w:color w:val="auto"/>
                <w:sz w:val="21"/>
                <w:szCs w:val="21"/>
                <w:highlight w:val="none"/>
              </w:rPr>
              <w:t>172</w:t>
            </w:r>
          </w:p>
        </w:tc>
      </w:tr>
      <w:tr w14:paraId="0A6C25B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660" w:type="dxa"/>
            <w:tcBorders>
              <w:tl2br w:val="nil"/>
              <w:tr2bl w:val="nil"/>
            </w:tcBorders>
            <w:vAlign w:val="center"/>
          </w:tcPr>
          <w:p w14:paraId="7F98044A">
            <w:pPr>
              <w:pStyle w:val="98"/>
              <w:ind w:left="-105" w:right="-105"/>
              <w:rPr>
                <w:rFonts w:eastAsia="宋体"/>
                <w:color w:val="auto"/>
                <w:sz w:val="21"/>
                <w:szCs w:val="21"/>
                <w:highlight w:val="none"/>
              </w:rPr>
            </w:pPr>
            <w:r>
              <w:rPr>
                <w:rFonts w:eastAsia="宋体"/>
                <w:color w:val="auto"/>
                <w:sz w:val="21"/>
                <w:szCs w:val="21"/>
                <w:highlight w:val="none"/>
              </w:rPr>
              <w:t>3</w:t>
            </w:r>
          </w:p>
        </w:tc>
        <w:tc>
          <w:tcPr>
            <w:tcW w:w="1933" w:type="dxa"/>
            <w:tcBorders>
              <w:tl2br w:val="nil"/>
              <w:tr2bl w:val="nil"/>
            </w:tcBorders>
            <w:vAlign w:val="center"/>
          </w:tcPr>
          <w:p w14:paraId="76D87308">
            <w:pPr>
              <w:pStyle w:val="98"/>
              <w:ind w:left="-105" w:right="-105"/>
              <w:rPr>
                <w:rFonts w:eastAsia="宋体"/>
                <w:color w:val="auto"/>
                <w:sz w:val="21"/>
                <w:szCs w:val="21"/>
                <w:highlight w:val="none"/>
              </w:rPr>
            </w:pPr>
            <w:r>
              <w:rPr>
                <w:rFonts w:eastAsia="宋体"/>
                <w:color w:val="auto"/>
                <w:sz w:val="21"/>
                <w:szCs w:val="21"/>
                <w:highlight w:val="none"/>
              </w:rPr>
              <w:t>铬（六价）</w:t>
            </w:r>
          </w:p>
        </w:tc>
        <w:tc>
          <w:tcPr>
            <w:tcW w:w="1323" w:type="dxa"/>
            <w:tcBorders>
              <w:tl2br w:val="nil"/>
              <w:tr2bl w:val="nil"/>
            </w:tcBorders>
            <w:vAlign w:val="center"/>
          </w:tcPr>
          <w:p w14:paraId="02379A93">
            <w:pPr>
              <w:pStyle w:val="98"/>
              <w:ind w:left="-105" w:right="-105"/>
              <w:rPr>
                <w:rFonts w:eastAsia="宋体"/>
                <w:color w:val="auto"/>
                <w:sz w:val="21"/>
                <w:szCs w:val="21"/>
                <w:highlight w:val="none"/>
              </w:rPr>
            </w:pPr>
            <w:r>
              <w:rPr>
                <w:rFonts w:eastAsia="宋体"/>
                <w:color w:val="auto"/>
                <w:sz w:val="21"/>
                <w:szCs w:val="21"/>
                <w:highlight w:val="none"/>
              </w:rPr>
              <w:t>18540-29-9</w:t>
            </w:r>
          </w:p>
        </w:tc>
        <w:tc>
          <w:tcPr>
            <w:tcW w:w="1283" w:type="dxa"/>
            <w:tcBorders>
              <w:tl2br w:val="nil"/>
              <w:tr2bl w:val="nil"/>
            </w:tcBorders>
            <w:vAlign w:val="center"/>
          </w:tcPr>
          <w:p w14:paraId="61837657">
            <w:pPr>
              <w:pStyle w:val="98"/>
              <w:ind w:left="-105" w:right="-105"/>
              <w:rPr>
                <w:rFonts w:eastAsia="宋体"/>
                <w:color w:val="auto"/>
                <w:sz w:val="21"/>
                <w:szCs w:val="21"/>
                <w:highlight w:val="none"/>
              </w:rPr>
            </w:pPr>
            <w:r>
              <w:rPr>
                <w:rFonts w:eastAsia="宋体"/>
                <w:color w:val="auto"/>
                <w:sz w:val="21"/>
                <w:szCs w:val="21"/>
                <w:highlight w:val="none"/>
              </w:rPr>
              <w:t>3.0</w:t>
            </w:r>
          </w:p>
        </w:tc>
        <w:tc>
          <w:tcPr>
            <w:tcW w:w="1292" w:type="dxa"/>
            <w:tcBorders>
              <w:tl2br w:val="nil"/>
              <w:tr2bl w:val="nil"/>
            </w:tcBorders>
            <w:vAlign w:val="center"/>
          </w:tcPr>
          <w:p w14:paraId="70AA39FF">
            <w:pPr>
              <w:pStyle w:val="98"/>
              <w:ind w:left="-105" w:right="-105"/>
              <w:rPr>
                <w:rFonts w:eastAsia="宋体"/>
                <w:color w:val="auto"/>
                <w:sz w:val="21"/>
                <w:szCs w:val="21"/>
                <w:highlight w:val="none"/>
              </w:rPr>
            </w:pPr>
            <w:r>
              <w:rPr>
                <w:rFonts w:eastAsia="宋体"/>
                <w:color w:val="auto"/>
                <w:sz w:val="21"/>
                <w:szCs w:val="21"/>
                <w:highlight w:val="none"/>
              </w:rPr>
              <w:t>5.7</w:t>
            </w:r>
          </w:p>
        </w:tc>
        <w:tc>
          <w:tcPr>
            <w:tcW w:w="1285" w:type="dxa"/>
            <w:tcBorders>
              <w:tl2br w:val="nil"/>
              <w:tr2bl w:val="nil"/>
            </w:tcBorders>
            <w:vAlign w:val="center"/>
          </w:tcPr>
          <w:p w14:paraId="3BB7B4AF">
            <w:pPr>
              <w:pStyle w:val="98"/>
              <w:ind w:left="-105" w:right="-105"/>
              <w:rPr>
                <w:rFonts w:eastAsia="宋体"/>
                <w:color w:val="auto"/>
                <w:sz w:val="21"/>
                <w:szCs w:val="21"/>
                <w:highlight w:val="none"/>
              </w:rPr>
            </w:pPr>
            <w:r>
              <w:rPr>
                <w:rFonts w:eastAsia="宋体"/>
                <w:color w:val="auto"/>
                <w:sz w:val="21"/>
                <w:szCs w:val="21"/>
                <w:highlight w:val="none"/>
              </w:rPr>
              <w:t>30</w:t>
            </w:r>
          </w:p>
        </w:tc>
        <w:tc>
          <w:tcPr>
            <w:tcW w:w="1289" w:type="dxa"/>
            <w:tcBorders>
              <w:tl2br w:val="nil"/>
              <w:tr2bl w:val="nil"/>
            </w:tcBorders>
            <w:vAlign w:val="center"/>
          </w:tcPr>
          <w:p w14:paraId="39328ECF">
            <w:pPr>
              <w:pStyle w:val="98"/>
              <w:ind w:left="-105" w:right="-105"/>
              <w:rPr>
                <w:rFonts w:eastAsia="宋体"/>
                <w:color w:val="auto"/>
                <w:sz w:val="21"/>
                <w:szCs w:val="21"/>
                <w:highlight w:val="none"/>
              </w:rPr>
            </w:pPr>
            <w:r>
              <w:rPr>
                <w:rFonts w:eastAsia="宋体"/>
                <w:color w:val="auto"/>
                <w:sz w:val="21"/>
                <w:szCs w:val="21"/>
                <w:highlight w:val="none"/>
              </w:rPr>
              <w:t>78</w:t>
            </w:r>
          </w:p>
        </w:tc>
      </w:tr>
      <w:tr w14:paraId="5F02EA3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660" w:type="dxa"/>
            <w:tcBorders>
              <w:tl2br w:val="nil"/>
              <w:tr2bl w:val="nil"/>
            </w:tcBorders>
            <w:vAlign w:val="center"/>
          </w:tcPr>
          <w:p w14:paraId="3D139EC8">
            <w:pPr>
              <w:pStyle w:val="98"/>
              <w:ind w:left="-105" w:right="-105"/>
              <w:rPr>
                <w:rFonts w:eastAsia="宋体"/>
                <w:color w:val="auto"/>
                <w:sz w:val="21"/>
                <w:szCs w:val="21"/>
                <w:highlight w:val="none"/>
              </w:rPr>
            </w:pPr>
            <w:r>
              <w:rPr>
                <w:rFonts w:eastAsia="宋体"/>
                <w:color w:val="auto"/>
                <w:sz w:val="21"/>
                <w:szCs w:val="21"/>
                <w:highlight w:val="none"/>
              </w:rPr>
              <w:t>4</w:t>
            </w:r>
          </w:p>
        </w:tc>
        <w:tc>
          <w:tcPr>
            <w:tcW w:w="1933" w:type="dxa"/>
            <w:tcBorders>
              <w:tl2br w:val="nil"/>
              <w:tr2bl w:val="nil"/>
            </w:tcBorders>
            <w:vAlign w:val="center"/>
          </w:tcPr>
          <w:p w14:paraId="6746B4DC">
            <w:pPr>
              <w:pStyle w:val="98"/>
              <w:ind w:left="-105" w:right="-105"/>
              <w:rPr>
                <w:rFonts w:eastAsia="宋体"/>
                <w:color w:val="auto"/>
                <w:sz w:val="21"/>
                <w:szCs w:val="21"/>
                <w:highlight w:val="none"/>
              </w:rPr>
            </w:pPr>
            <w:r>
              <w:rPr>
                <w:rFonts w:eastAsia="宋体"/>
                <w:color w:val="auto"/>
                <w:sz w:val="21"/>
                <w:szCs w:val="21"/>
                <w:highlight w:val="none"/>
              </w:rPr>
              <w:t>铜</w:t>
            </w:r>
          </w:p>
        </w:tc>
        <w:tc>
          <w:tcPr>
            <w:tcW w:w="1323" w:type="dxa"/>
            <w:tcBorders>
              <w:tl2br w:val="nil"/>
              <w:tr2bl w:val="nil"/>
            </w:tcBorders>
            <w:vAlign w:val="center"/>
          </w:tcPr>
          <w:p w14:paraId="7BE0FC02">
            <w:pPr>
              <w:pStyle w:val="98"/>
              <w:ind w:left="-105" w:right="-105"/>
              <w:rPr>
                <w:rFonts w:eastAsia="宋体"/>
                <w:color w:val="auto"/>
                <w:sz w:val="21"/>
                <w:szCs w:val="21"/>
                <w:highlight w:val="none"/>
              </w:rPr>
            </w:pPr>
            <w:r>
              <w:rPr>
                <w:rFonts w:eastAsia="宋体"/>
                <w:color w:val="auto"/>
                <w:sz w:val="21"/>
                <w:szCs w:val="21"/>
                <w:highlight w:val="none"/>
              </w:rPr>
              <w:t>7440-50-8</w:t>
            </w:r>
          </w:p>
        </w:tc>
        <w:tc>
          <w:tcPr>
            <w:tcW w:w="1283" w:type="dxa"/>
            <w:tcBorders>
              <w:tl2br w:val="nil"/>
              <w:tr2bl w:val="nil"/>
            </w:tcBorders>
            <w:vAlign w:val="center"/>
          </w:tcPr>
          <w:p w14:paraId="5BD1236F">
            <w:pPr>
              <w:pStyle w:val="98"/>
              <w:ind w:left="-105" w:right="-105"/>
              <w:rPr>
                <w:rFonts w:eastAsia="宋体"/>
                <w:color w:val="auto"/>
                <w:sz w:val="21"/>
                <w:szCs w:val="21"/>
                <w:highlight w:val="none"/>
              </w:rPr>
            </w:pPr>
            <w:r>
              <w:rPr>
                <w:rFonts w:eastAsia="宋体"/>
                <w:color w:val="auto"/>
                <w:sz w:val="21"/>
                <w:szCs w:val="21"/>
                <w:highlight w:val="none"/>
              </w:rPr>
              <w:t>2000</w:t>
            </w:r>
          </w:p>
        </w:tc>
        <w:tc>
          <w:tcPr>
            <w:tcW w:w="1292" w:type="dxa"/>
            <w:tcBorders>
              <w:tl2br w:val="nil"/>
              <w:tr2bl w:val="nil"/>
            </w:tcBorders>
            <w:vAlign w:val="center"/>
          </w:tcPr>
          <w:p w14:paraId="621694AA">
            <w:pPr>
              <w:pStyle w:val="98"/>
              <w:ind w:left="-105" w:right="-105"/>
              <w:rPr>
                <w:rFonts w:eastAsia="宋体"/>
                <w:color w:val="auto"/>
                <w:sz w:val="21"/>
                <w:szCs w:val="21"/>
                <w:highlight w:val="none"/>
              </w:rPr>
            </w:pPr>
            <w:r>
              <w:rPr>
                <w:rFonts w:eastAsia="宋体"/>
                <w:color w:val="auto"/>
                <w:sz w:val="21"/>
                <w:szCs w:val="21"/>
                <w:highlight w:val="none"/>
              </w:rPr>
              <w:t>18000</w:t>
            </w:r>
          </w:p>
        </w:tc>
        <w:tc>
          <w:tcPr>
            <w:tcW w:w="1285" w:type="dxa"/>
            <w:tcBorders>
              <w:tl2br w:val="nil"/>
              <w:tr2bl w:val="nil"/>
            </w:tcBorders>
            <w:vAlign w:val="center"/>
          </w:tcPr>
          <w:p w14:paraId="4E2FCDDE">
            <w:pPr>
              <w:pStyle w:val="98"/>
              <w:ind w:left="-105" w:right="-105"/>
              <w:rPr>
                <w:rFonts w:eastAsia="宋体"/>
                <w:color w:val="auto"/>
                <w:sz w:val="21"/>
                <w:szCs w:val="21"/>
                <w:highlight w:val="none"/>
              </w:rPr>
            </w:pPr>
            <w:r>
              <w:rPr>
                <w:rFonts w:eastAsia="宋体"/>
                <w:color w:val="auto"/>
                <w:sz w:val="21"/>
                <w:szCs w:val="21"/>
                <w:highlight w:val="none"/>
              </w:rPr>
              <w:t>8000</w:t>
            </w:r>
          </w:p>
        </w:tc>
        <w:tc>
          <w:tcPr>
            <w:tcW w:w="1289" w:type="dxa"/>
            <w:tcBorders>
              <w:tl2br w:val="nil"/>
              <w:tr2bl w:val="nil"/>
            </w:tcBorders>
            <w:vAlign w:val="center"/>
          </w:tcPr>
          <w:p w14:paraId="3FC09A3E">
            <w:pPr>
              <w:pStyle w:val="98"/>
              <w:ind w:left="-105" w:right="-105"/>
              <w:rPr>
                <w:rFonts w:eastAsia="宋体"/>
                <w:color w:val="auto"/>
                <w:sz w:val="21"/>
                <w:szCs w:val="21"/>
                <w:highlight w:val="none"/>
              </w:rPr>
            </w:pPr>
            <w:r>
              <w:rPr>
                <w:rFonts w:eastAsia="宋体"/>
                <w:color w:val="auto"/>
                <w:sz w:val="21"/>
                <w:szCs w:val="21"/>
                <w:highlight w:val="none"/>
              </w:rPr>
              <w:t>36000</w:t>
            </w:r>
          </w:p>
        </w:tc>
      </w:tr>
      <w:tr w14:paraId="3481C07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660" w:type="dxa"/>
            <w:tcBorders>
              <w:tl2br w:val="nil"/>
              <w:tr2bl w:val="nil"/>
            </w:tcBorders>
            <w:vAlign w:val="center"/>
          </w:tcPr>
          <w:p w14:paraId="0780F62D">
            <w:pPr>
              <w:pStyle w:val="98"/>
              <w:ind w:left="-105" w:right="-105"/>
              <w:rPr>
                <w:rFonts w:eastAsia="宋体"/>
                <w:color w:val="auto"/>
                <w:sz w:val="21"/>
                <w:szCs w:val="21"/>
                <w:highlight w:val="none"/>
              </w:rPr>
            </w:pPr>
            <w:r>
              <w:rPr>
                <w:rFonts w:eastAsia="宋体"/>
                <w:color w:val="auto"/>
                <w:sz w:val="21"/>
                <w:szCs w:val="21"/>
                <w:highlight w:val="none"/>
              </w:rPr>
              <w:t>5</w:t>
            </w:r>
          </w:p>
        </w:tc>
        <w:tc>
          <w:tcPr>
            <w:tcW w:w="1933" w:type="dxa"/>
            <w:tcBorders>
              <w:tl2br w:val="nil"/>
              <w:tr2bl w:val="nil"/>
            </w:tcBorders>
            <w:vAlign w:val="center"/>
          </w:tcPr>
          <w:p w14:paraId="67AEDDE4">
            <w:pPr>
              <w:pStyle w:val="98"/>
              <w:ind w:left="-105" w:right="-105"/>
              <w:rPr>
                <w:rFonts w:eastAsia="宋体"/>
                <w:color w:val="auto"/>
                <w:sz w:val="21"/>
                <w:szCs w:val="21"/>
                <w:highlight w:val="none"/>
              </w:rPr>
            </w:pPr>
            <w:r>
              <w:rPr>
                <w:rFonts w:eastAsia="宋体"/>
                <w:color w:val="auto"/>
                <w:sz w:val="21"/>
                <w:szCs w:val="21"/>
                <w:highlight w:val="none"/>
              </w:rPr>
              <w:t>铅</w:t>
            </w:r>
          </w:p>
        </w:tc>
        <w:tc>
          <w:tcPr>
            <w:tcW w:w="1323" w:type="dxa"/>
            <w:tcBorders>
              <w:tl2br w:val="nil"/>
              <w:tr2bl w:val="nil"/>
            </w:tcBorders>
            <w:vAlign w:val="center"/>
          </w:tcPr>
          <w:p w14:paraId="5BAC8184">
            <w:pPr>
              <w:pStyle w:val="98"/>
              <w:ind w:left="-105" w:right="-105"/>
              <w:rPr>
                <w:rFonts w:eastAsia="宋体"/>
                <w:color w:val="auto"/>
                <w:sz w:val="21"/>
                <w:szCs w:val="21"/>
                <w:highlight w:val="none"/>
              </w:rPr>
            </w:pPr>
            <w:r>
              <w:rPr>
                <w:rFonts w:eastAsia="宋体"/>
                <w:color w:val="auto"/>
                <w:sz w:val="21"/>
                <w:szCs w:val="21"/>
                <w:highlight w:val="none"/>
              </w:rPr>
              <w:t>7439-92-1</w:t>
            </w:r>
          </w:p>
        </w:tc>
        <w:tc>
          <w:tcPr>
            <w:tcW w:w="1283" w:type="dxa"/>
            <w:tcBorders>
              <w:tl2br w:val="nil"/>
              <w:tr2bl w:val="nil"/>
            </w:tcBorders>
            <w:vAlign w:val="center"/>
          </w:tcPr>
          <w:p w14:paraId="50D55139">
            <w:pPr>
              <w:pStyle w:val="98"/>
              <w:ind w:left="-105" w:right="-105"/>
              <w:rPr>
                <w:rFonts w:eastAsia="宋体"/>
                <w:color w:val="auto"/>
                <w:sz w:val="21"/>
                <w:szCs w:val="21"/>
                <w:highlight w:val="none"/>
              </w:rPr>
            </w:pPr>
            <w:r>
              <w:rPr>
                <w:rFonts w:eastAsia="宋体"/>
                <w:color w:val="auto"/>
                <w:sz w:val="21"/>
                <w:szCs w:val="21"/>
                <w:highlight w:val="none"/>
              </w:rPr>
              <w:t>400</w:t>
            </w:r>
          </w:p>
        </w:tc>
        <w:tc>
          <w:tcPr>
            <w:tcW w:w="1292" w:type="dxa"/>
            <w:tcBorders>
              <w:tl2br w:val="nil"/>
              <w:tr2bl w:val="nil"/>
            </w:tcBorders>
            <w:vAlign w:val="center"/>
          </w:tcPr>
          <w:p w14:paraId="10474EC2">
            <w:pPr>
              <w:pStyle w:val="98"/>
              <w:ind w:left="-105" w:right="-105"/>
              <w:rPr>
                <w:rFonts w:eastAsia="宋体"/>
                <w:color w:val="auto"/>
                <w:sz w:val="21"/>
                <w:szCs w:val="21"/>
                <w:highlight w:val="none"/>
              </w:rPr>
            </w:pPr>
            <w:r>
              <w:rPr>
                <w:rFonts w:eastAsia="宋体"/>
                <w:color w:val="auto"/>
                <w:sz w:val="21"/>
                <w:szCs w:val="21"/>
                <w:highlight w:val="none"/>
              </w:rPr>
              <w:t>800</w:t>
            </w:r>
          </w:p>
        </w:tc>
        <w:tc>
          <w:tcPr>
            <w:tcW w:w="1285" w:type="dxa"/>
            <w:tcBorders>
              <w:tl2br w:val="nil"/>
              <w:tr2bl w:val="nil"/>
            </w:tcBorders>
            <w:vAlign w:val="center"/>
          </w:tcPr>
          <w:p w14:paraId="53826F76">
            <w:pPr>
              <w:pStyle w:val="98"/>
              <w:ind w:left="-105" w:right="-105"/>
              <w:rPr>
                <w:rFonts w:eastAsia="宋体"/>
                <w:color w:val="auto"/>
                <w:sz w:val="21"/>
                <w:szCs w:val="21"/>
                <w:highlight w:val="none"/>
              </w:rPr>
            </w:pPr>
            <w:r>
              <w:rPr>
                <w:rFonts w:eastAsia="宋体"/>
                <w:color w:val="auto"/>
                <w:sz w:val="21"/>
                <w:szCs w:val="21"/>
                <w:highlight w:val="none"/>
              </w:rPr>
              <w:t>800</w:t>
            </w:r>
          </w:p>
        </w:tc>
        <w:tc>
          <w:tcPr>
            <w:tcW w:w="1289" w:type="dxa"/>
            <w:tcBorders>
              <w:tl2br w:val="nil"/>
              <w:tr2bl w:val="nil"/>
            </w:tcBorders>
            <w:vAlign w:val="center"/>
          </w:tcPr>
          <w:p w14:paraId="3335A27F">
            <w:pPr>
              <w:pStyle w:val="98"/>
              <w:ind w:left="-105" w:right="-105"/>
              <w:rPr>
                <w:rFonts w:eastAsia="宋体"/>
                <w:color w:val="auto"/>
                <w:sz w:val="21"/>
                <w:szCs w:val="21"/>
                <w:highlight w:val="none"/>
              </w:rPr>
            </w:pPr>
            <w:r>
              <w:rPr>
                <w:rFonts w:eastAsia="宋体"/>
                <w:color w:val="auto"/>
                <w:sz w:val="21"/>
                <w:szCs w:val="21"/>
                <w:highlight w:val="none"/>
              </w:rPr>
              <w:t>2500</w:t>
            </w:r>
          </w:p>
        </w:tc>
      </w:tr>
      <w:tr w14:paraId="0292D0A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660" w:type="dxa"/>
            <w:tcBorders>
              <w:tl2br w:val="nil"/>
              <w:tr2bl w:val="nil"/>
            </w:tcBorders>
            <w:vAlign w:val="center"/>
          </w:tcPr>
          <w:p w14:paraId="7CC41285">
            <w:pPr>
              <w:pStyle w:val="98"/>
              <w:ind w:left="-105" w:right="-105"/>
              <w:rPr>
                <w:rFonts w:eastAsia="宋体"/>
                <w:color w:val="auto"/>
                <w:sz w:val="21"/>
                <w:szCs w:val="21"/>
                <w:highlight w:val="none"/>
              </w:rPr>
            </w:pPr>
            <w:r>
              <w:rPr>
                <w:rFonts w:eastAsia="宋体"/>
                <w:color w:val="auto"/>
                <w:sz w:val="21"/>
                <w:szCs w:val="21"/>
                <w:highlight w:val="none"/>
              </w:rPr>
              <w:t>6</w:t>
            </w:r>
          </w:p>
        </w:tc>
        <w:tc>
          <w:tcPr>
            <w:tcW w:w="1933" w:type="dxa"/>
            <w:tcBorders>
              <w:tl2br w:val="nil"/>
              <w:tr2bl w:val="nil"/>
            </w:tcBorders>
            <w:vAlign w:val="center"/>
          </w:tcPr>
          <w:p w14:paraId="3F70C411">
            <w:pPr>
              <w:pStyle w:val="98"/>
              <w:ind w:left="-105" w:right="-105"/>
              <w:rPr>
                <w:rFonts w:eastAsia="宋体"/>
                <w:color w:val="auto"/>
                <w:sz w:val="21"/>
                <w:szCs w:val="21"/>
                <w:highlight w:val="none"/>
              </w:rPr>
            </w:pPr>
            <w:r>
              <w:rPr>
                <w:rFonts w:eastAsia="宋体"/>
                <w:color w:val="auto"/>
                <w:sz w:val="21"/>
                <w:szCs w:val="21"/>
                <w:highlight w:val="none"/>
              </w:rPr>
              <w:t>汞</w:t>
            </w:r>
          </w:p>
        </w:tc>
        <w:tc>
          <w:tcPr>
            <w:tcW w:w="1323" w:type="dxa"/>
            <w:tcBorders>
              <w:tl2br w:val="nil"/>
              <w:tr2bl w:val="nil"/>
            </w:tcBorders>
            <w:vAlign w:val="center"/>
          </w:tcPr>
          <w:p w14:paraId="02A93F04">
            <w:pPr>
              <w:pStyle w:val="98"/>
              <w:ind w:left="-105" w:right="-105"/>
              <w:rPr>
                <w:rFonts w:eastAsia="宋体"/>
                <w:color w:val="auto"/>
                <w:sz w:val="21"/>
                <w:szCs w:val="21"/>
                <w:highlight w:val="none"/>
              </w:rPr>
            </w:pPr>
            <w:r>
              <w:rPr>
                <w:rFonts w:eastAsia="宋体"/>
                <w:color w:val="auto"/>
                <w:sz w:val="21"/>
                <w:szCs w:val="21"/>
                <w:highlight w:val="none"/>
              </w:rPr>
              <w:t>7439-97-6</w:t>
            </w:r>
          </w:p>
        </w:tc>
        <w:tc>
          <w:tcPr>
            <w:tcW w:w="1283" w:type="dxa"/>
            <w:tcBorders>
              <w:tl2br w:val="nil"/>
              <w:tr2bl w:val="nil"/>
            </w:tcBorders>
            <w:vAlign w:val="center"/>
          </w:tcPr>
          <w:p w14:paraId="6C71F139">
            <w:pPr>
              <w:pStyle w:val="98"/>
              <w:ind w:left="-105" w:right="-105"/>
              <w:rPr>
                <w:rFonts w:eastAsia="宋体"/>
                <w:color w:val="auto"/>
                <w:sz w:val="21"/>
                <w:szCs w:val="21"/>
                <w:highlight w:val="none"/>
              </w:rPr>
            </w:pPr>
            <w:r>
              <w:rPr>
                <w:rFonts w:eastAsia="宋体"/>
                <w:color w:val="auto"/>
                <w:sz w:val="21"/>
                <w:szCs w:val="21"/>
                <w:highlight w:val="none"/>
              </w:rPr>
              <w:t>8</w:t>
            </w:r>
          </w:p>
        </w:tc>
        <w:tc>
          <w:tcPr>
            <w:tcW w:w="1292" w:type="dxa"/>
            <w:tcBorders>
              <w:tl2br w:val="nil"/>
              <w:tr2bl w:val="nil"/>
            </w:tcBorders>
            <w:vAlign w:val="center"/>
          </w:tcPr>
          <w:p w14:paraId="0EF5A6C1">
            <w:pPr>
              <w:pStyle w:val="98"/>
              <w:ind w:left="-105" w:right="-105"/>
              <w:rPr>
                <w:rFonts w:eastAsia="宋体"/>
                <w:color w:val="auto"/>
                <w:sz w:val="21"/>
                <w:szCs w:val="21"/>
                <w:highlight w:val="none"/>
              </w:rPr>
            </w:pPr>
            <w:r>
              <w:rPr>
                <w:rFonts w:eastAsia="宋体"/>
                <w:color w:val="auto"/>
                <w:sz w:val="21"/>
                <w:szCs w:val="21"/>
                <w:highlight w:val="none"/>
              </w:rPr>
              <w:t>38</w:t>
            </w:r>
          </w:p>
        </w:tc>
        <w:tc>
          <w:tcPr>
            <w:tcW w:w="1285" w:type="dxa"/>
            <w:tcBorders>
              <w:tl2br w:val="nil"/>
              <w:tr2bl w:val="nil"/>
            </w:tcBorders>
            <w:vAlign w:val="center"/>
          </w:tcPr>
          <w:p w14:paraId="006F347E">
            <w:pPr>
              <w:pStyle w:val="98"/>
              <w:ind w:left="-105" w:right="-105"/>
              <w:rPr>
                <w:rFonts w:eastAsia="宋体"/>
                <w:color w:val="auto"/>
                <w:sz w:val="21"/>
                <w:szCs w:val="21"/>
                <w:highlight w:val="none"/>
              </w:rPr>
            </w:pPr>
            <w:r>
              <w:rPr>
                <w:rFonts w:eastAsia="宋体"/>
                <w:color w:val="auto"/>
                <w:sz w:val="21"/>
                <w:szCs w:val="21"/>
                <w:highlight w:val="none"/>
              </w:rPr>
              <w:t>33</w:t>
            </w:r>
          </w:p>
        </w:tc>
        <w:tc>
          <w:tcPr>
            <w:tcW w:w="1289" w:type="dxa"/>
            <w:tcBorders>
              <w:tl2br w:val="nil"/>
              <w:tr2bl w:val="nil"/>
            </w:tcBorders>
            <w:vAlign w:val="center"/>
          </w:tcPr>
          <w:p w14:paraId="1E1C0885">
            <w:pPr>
              <w:pStyle w:val="98"/>
              <w:ind w:left="-105" w:right="-105"/>
              <w:rPr>
                <w:rFonts w:eastAsia="宋体"/>
                <w:color w:val="auto"/>
                <w:sz w:val="21"/>
                <w:szCs w:val="21"/>
                <w:highlight w:val="none"/>
              </w:rPr>
            </w:pPr>
            <w:r>
              <w:rPr>
                <w:rFonts w:eastAsia="宋体"/>
                <w:color w:val="auto"/>
                <w:sz w:val="21"/>
                <w:szCs w:val="21"/>
                <w:highlight w:val="none"/>
              </w:rPr>
              <w:t>82</w:t>
            </w:r>
          </w:p>
        </w:tc>
      </w:tr>
      <w:tr w14:paraId="0D72176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660" w:type="dxa"/>
            <w:tcBorders>
              <w:tl2br w:val="nil"/>
              <w:tr2bl w:val="nil"/>
            </w:tcBorders>
            <w:vAlign w:val="center"/>
          </w:tcPr>
          <w:p w14:paraId="7046BE61">
            <w:pPr>
              <w:pStyle w:val="98"/>
              <w:ind w:left="-105" w:right="-105"/>
              <w:rPr>
                <w:rFonts w:eastAsia="宋体"/>
                <w:color w:val="auto"/>
                <w:sz w:val="21"/>
                <w:szCs w:val="21"/>
                <w:highlight w:val="none"/>
              </w:rPr>
            </w:pPr>
            <w:r>
              <w:rPr>
                <w:rFonts w:eastAsia="宋体"/>
                <w:color w:val="auto"/>
                <w:sz w:val="21"/>
                <w:szCs w:val="21"/>
                <w:highlight w:val="none"/>
              </w:rPr>
              <w:t>7</w:t>
            </w:r>
          </w:p>
        </w:tc>
        <w:tc>
          <w:tcPr>
            <w:tcW w:w="1933" w:type="dxa"/>
            <w:tcBorders>
              <w:tl2br w:val="nil"/>
              <w:tr2bl w:val="nil"/>
            </w:tcBorders>
            <w:vAlign w:val="center"/>
          </w:tcPr>
          <w:p w14:paraId="295070A6">
            <w:pPr>
              <w:pStyle w:val="98"/>
              <w:ind w:left="-105" w:right="-105"/>
              <w:rPr>
                <w:rFonts w:eastAsia="宋体"/>
                <w:color w:val="auto"/>
                <w:sz w:val="21"/>
                <w:szCs w:val="21"/>
                <w:highlight w:val="none"/>
              </w:rPr>
            </w:pPr>
            <w:r>
              <w:rPr>
                <w:rFonts w:eastAsia="宋体"/>
                <w:color w:val="auto"/>
                <w:sz w:val="21"/>
                <w:szCs w:val="21"/>
                <w:highlight w:val="none"/>
              </w:rPr>
              <w:t>镍</w:t>
            </w:r>
          </w:p>
        </w:tc>
        <w:tc>
          <w:tcPr>
            <w:tcW w:w="1323" w:type="dxa"/>
            <w:tcBorders>
              <w:tl2br w:val="nil"/>
              <w:tr2bl w:val="nil"/>
            </w:tcBorders>
            <w:vAlign w:val="center"/>
          </w:tcPr>
          <w:p w14:paraId="774EDCEB">
            <w:pPr>
              <w:pStyle w:val="98"/>
              <w:ind w:left="-105" w:right="-105"/>
              <w:rPr>
                <w:rFonts w:eastAsia="宋体"/>
                <w:color w:val="auto"/>
                <w:sz w:val="21"/>
                <w:szCs w:val="21"/>
                <w:highlight w:val="none"/>
              </w:rPr>
            </w:pPr>
            <w:r>
              <w:rPr>
                <w:rFonts w:eastAsia="宋体"/>
                <w:color w:val="auto"/>
                <w:sz w:val="21"/>
                <w:szCs w:val="21"/>
                <w:highlight w:val="none"/>
              </w:rPr>
              <w:t>7440-02-0</w:t>
            </w:r>
          </w:p>
        </w:tc>
        <w:tc>
          <w:tcPr>
            <w:tcW w:w="1283" w:type="dxa"/>
            <w:tcBorders>
              <w:tl2br w:val="nil"/>
              <w:tr2bl w:val="nil"/>
            </w:tcBorders>
            <w:vAlign w:val="center"/>
          </w:tcPr>
          <w:p w14:paraId="3333B2CF">
            <w:pPr>
              <w:pStyle w:val="98"/>
              <w:ind w:left="-105" w:right="-105"/>
              <w:rPr>
                <w:rFonts w:eastAsia="宋体"/>
                <w:color w:val="auto"/>
                <w:sz w:val="21"/>
                <w:szCs w:val="21"/>
                <w:highlight w:val="none"/>
              </w:rPr>
            </w:pPr>
            <w:r>
              <w:rPr>
                <w:rFonts w:eastAsia="宋体"/>
                <w:color w:val="auto"/>
                <w:sz w:val="21"/>
                <w:szCs w:val="21"/>
                <w:highlight w:val="none"/>
              </w:rPr>
              <w:t>150</w:t>
            </w:r>
          </w:p>
        </w:tc>
        <w:tc>
          <w:tcPr>
            <w:tcW w:w="1292" w:type="dxa"/>
            <w:tcBorders>
              <w:tl2br w:val="nil"/>
              <w:tr2bl w:val="nil"/>
            </w:tcBorders>
            <w:vAlign w:val="center"/>
          </w:tcPr>
          <w:p w14:paraId="02FEE6C3">
            <w:pPr>
              <w:pStyle w:val="98"/>
              <w:ind w:left="-105" w:right="-105"/>
              <w:rPr>
                <w:rFonts w:eastAsia="宋体"/>
                <w:color w:val="auto"/>
                <w:sz w:val="21"/>
                <w:szCs w:val="21"/>
                <w:highlight w:val="none"/>
              </w:rPr>
            </w:pPr>
            <w:r>
              <w:rPr>
                <w:rFonts w:eastAsia="宋体"/>
                <w:color w:val="auto"/>
                <w:sz w:val="21"/>
                <w:szCs w:val="21"/>
                <w:highlight w:val="none"/>
              </w:rPr>
              <w:t>900</w:t>
            </w:r>
          </w:p>
        </w:tc>
        <w:tc>
          <w:tcPr>
            <w:tcW w:w="1285" w:type="dxa"/>
            <w:tcBorders>
              <w:tl2br w:val="nil"/>
              <w:tr2bl w:val="nil"/>
            </w:tcBorders>
            <w:vAlign w:val="center"/>
          </w:tcPr>
          <w:p w14:paraId="4F861E0E">
            <w:pPr>
              <w:pStyle w:val="98"/>
              <w:ind w:left="-105" w:right="-105"/>
              <w:rPr>
                <w:rFonts w:eastAsia="宋体"/>
                <w:color w:val="auto"/>
                <w:sz w:val="21"/>
                <w:szCs w:val="21"/>
                <w:highlight w:val="none"/>
              </w:rPr>
            </w:pPr>
            <w:r>
              <w:rPr>
                <w:rFonts w:eastAsia="宋体"/>
                <w:color w:val="auto"/>
                <w:sz w:val="21"/>
                <w:szCs w:val="21"/>
                <w:highlight w:val="none"/>
              </w:rPr>
              <w:t>600</w:t>
            </w:r>
          </w:p>
        </w:tc>
        <w:tc>
          <w:tcPr>
            <w:tcW w:w="1289" w:type="dxa"/>
            <w:tcBorders>
              <w:tl2br w:val="nil"/>
              <w:tr2bl w:val="nil"/>
            </w:tcBorders>
            <w:vAlign w:val="center"/>
          </w:tcPr>
          <w:p w14:paraId="7A06A740">
            <w:pPr>
              <w:pStyle w:val="98"/>
              <w:ind w:left="-105" w:right="-105"/>
              <w:rPr>
                <w:rFonts w:eastAsia="宋体"/>
                <w:color w:val="auto"/>
                <w:sz w:val="21"/>
                <w:szCs w:val="21"/>
                <w:highlight w:val="none"/>
              </w:rPr>
            </w:pPr>
            <w:r>
              <w:rPr>
                <w:rFonts w:eastAsia="宋体"/>
                <w:color w:val="auto"/>
                <w:sz w:val="21"/>
                <w:szCs w:val="21"/>
                <w:highlight w:val="none"/>
              </w:rPr>
              <w:t>2000</w:t>
            </w:r>
          </w:p>
        </w:tc>
      </w:tr>
      <w:tr w14:paraId="628CA65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9065" w:type="dxa"/>
            <w:gridSpan w:val="7"/>
            <w:tcBorders>
              <w:tl2br w:val="nil"/>
              <w:tr2bl w:val="nil"/>
            </w:tcBorders>
            <w:vAlign w:val="center"/>
          </w:tcPr>
          <w:p w14:paraId="745760FC">
            <w:pPr>
              <w:pStyle w:val="98"/>
              <w:ind w:left="-105" w:right="-105"/>
              <w:rPr>
                <w:rFonts w:eastAsia="宋体"/>
                <w:b/>
                <w:bCs/>
                <w:color w:val="auto"/>
                <w:sz w:val="21"/>
                <w:szCs w:val="21"/>
                <w:highlight w:val="none"/>
              </w:rPr>
            </w:pPr>
            <w:r>
              <w:rPr>
                <w:rFonts w:eastAsia="宋体"/>
                <w:b/>
                <w:bCs/>
                <w:color w:val="auto"/>
                <w:sz w:val="21"/>
                <w:szCs w:val="21"/>
                <w:highlight w:val="none"/>
              </w:rPr>
              <w:t>挥发性有机物</w:t>
            </w:r>
          </w:p>
        </w:tc>
      </w:tr>
      <w:tr w14:paraId="11FB711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660" w:type="dxa"/>
            <w:tcBorders>
              <w:tl2br w:val="nil"/>
              <w:tr2bl w:val="nil"/>
            </w:tcBorders>
            <w:vAlign w:val="center"/>
          </w:tcPr>
          <w:p w14:paraId="4DEC7076">
            <w:pPr>
              <w:pStyle w:val="98"/>
              <w:ind w:left="-105" w:right="-105"/>
              <w:rPr>
                <w:rFonts w:eastAsia="宋体"/>
                <w:color w:val="auto"/>
                <w:sz w:val="21"/>
                <w:szCs w:val="21"/>
                <w:highlight w:val="none"/>
              </w:rPr>
            </w:pPr>
            <w:r>
              <w:rPr>
                <w:rFonts w:eastAsia="宋体"/>
                <w:color w:val="auto"/>
                <w:sz w:val="21"/>
                <w:szCs w:val="21"/>
                <w:highlight w:val="none"/>
              </w:rPr>
              <w:t>8</w:t>
            </w:r>
          </w:p>
        </w:tc>
        <w:tc>
          <w:tcPr>
            <w:tcW w:w="1933" w:type="dxa"/>
            <w:tcBorders>
              <w:tl2br w:val="nil"/>
              <w:tr2bl w:val="nil"/>
            </w:tcBorders>
            <w:vAlign w:val="center"/>
          </w:tcPr>
          <w:p w14:paraId="7E5075EB">
            <w:pPr>
              <w:pStyle w:val="98"/>
              <w:ind w:left="-105" w:right="-105"/>
              <w:rPr>
                <w:rFonts w:eastAsia="宋体"/>
                <w:color w:val="auto"/>
                <w:sz w:val="21"/>
                <w:szCs w:val="21"/>
                <w:highlight w:val="none"/>
              </w:rPr>
            </w:pPr>
            <w:r>
              <w:rPr>
                <w:rFonts w:eastAsia="宋体"/>
                <w:color w:val="auto"/>
                <w:sz w:val="21"/>
                <w:szCs w:val="21"/>
                <w:highlight w:val="none"/>
              </w:rPr>
              <w:t>四氯化碳</w:t>
            </w:r>
          </w:p>
        </w:tc>
        <w:tc>
          <w:tcPr>
            <w:tcW w:w="1323" w:type="dxa"/>
            <w:tcBorders>
              <w:tl2br w:val="nil"/>
              <w:tr2bl w:val="nil"/>
            </w:tcBorders>
            <w:vAlign w:val="center"/>
          </w:tcPr>
          <w:p w14:paraId="33EACA12">
            <w:pPr>
              <w:pStyle w:val="98"/>
              <w:ind w:left="-105" w:right="-105"/>
              <w:rPr>
                <w:rFonts w:eastAsia="宋体"/>
                <w:color w:val="auto"/>
                <w:sz w:val="21"/>
                <w:szCs w:val="21"/>
                <w:highlight w:val="none"/>
              </w:rPr>
            </w:pPr>
            <w:r>
              <w:rPr>
                <w:rFonts w:eastAsia="宋体"/>
                <w:color w:val="auto"/>
                <w:sz w:val="21"/>
                <w:szCs w:val="21"/>
                <w:highlight w:val="none"/>
              </w:rPr>
              <w:t>56-23-5</w:t>
            </w:r>
          </w:p>
        </w:tc>
        <w:tc>
          <w:tcPr>
            <w:tcW w:w="1283" w:type="dxa"/>
            <w:tcBorders>
              <w:tl2br w:val="nil"/>
              <w:tr2bl w:val="nil"/>
            </w:tcBorders>
            <w:vAlign w:val="center"/>
          </w:tcPr>
          <w:p w14:paraId="18A38DF2">
            <w:pPr>
              <w:pStyle w:val="98"/>
              <w:ind w:left="-105" w:right="-105"/>
              <w:rPr>
                <w:rFonts w:eastAsia="宋体"/>
                <w:color w:val="auto"/>
                <w:sz w:val="21"/>
                <w:szCs w:val="21"/>
                <w:highlight w:val="none"/>
              </w:rPr>
            </w:pPr>
            <w:r>
              <w:rPr>
                <w:rFonts w:eastAsia="宋体"/>
                <w:color w:val="auto"/>
                <w:sz w:val="21"/>
                <w:szCs w:val="21"/>
                <w:highlight w:val="none"/>
              </w:rPr>
              <w:t>0.9</w:t>
            </w:r>
          </w:p>
        </w:tc>
        <w:tc>
          <w:tcPr>
            <w:tcW w:w="1292" w:type="dxa"/>
            <w:tcBorders>
              <w:tl2br w:val="nil"/>
              <w:tr2bl w:val="nil"/>
            </w:tcBorders>
            <w:vAlign w:val="center"/>
          </w:tcPr>
          <w:p w14:paraId="29E15DD9">
            <w:pPr>
              <w:pStyle w:val="98"/>
              <w:ind w:left="-105" w:right="-105"/>
              <w:rPr>
                <w:rFonts w:eastAsia="宋体"/>
                <w:color w:val="auto"/>
                <w:sz w:val="21"/>
                <w:szCs w:val="21"/>
                <w:highlight w:val="none"/>
              </w:rPr>
            </w:pPr>
            <w:r>
              <w:rPr>
                <w:rFonts w:eastAsia="宋体"/>
                <w:color w:val="auto"/>
                <w:sz w:val="21"/>
                <w:szCs w:val="21"/>
                <w:highlight w:val="none"/>
              </w:rPr>
              <w:t>2.8</w:t>
            </w:r>
          </w:p>
        </w:tc>
        <w:tc>
          <w:tcPr>
            <w:tcW w:w="1285" w:type="dxa"/>
            <w:tcBorders>
              <w:tl2br w:val="nil"/>
              <w:tr2bl w:val="nil"/>
            </w:tcBorders>
            <w:vAlign w:val="center"/>
          </w:tcPr>
          <w:p w14:paraId="23494211">
            <w:pPr>
              <w:pStyle w:val="98"/>
              <w:ind w:left="-105" w:right="-105"/>
              <w:rPr>
                <w:rFonts w:eastAsia="宋体"/>
                <w:color w:val="auto"/>
                <w:sz w:val="21"/>
                <w:szCs w:val="21"/>
                <w:highlight w:val="none"/>
              </w:rPr>
            </w:pPr>
            <w:r>
              <w:rPr>
                <w:rFonts w:eastAsia="宋体"/>
                <w:color w:val="auto"/>
                <w:sz w:val="21"/>
                <w:szCs w:val="21"/>
                <w:highlight w:val="none"/>
              </w:rPr>
              <w:t>9</w:t>
            </w:r>
          </w:p>
        </w:tc>
        <w:tc>
          <w:tcPr>
            <w:tcW w:w="1289" w:type="dxa"/>
            <w:tcBorders>
              <w:tl2br w:val="nil"/>
              <w:tr2bl w:val="nil"/>
            </w:tcBorders>
            <w:vAlign w:val="center"/>
          </w:tcPr>
          <w:p w14:paraId="1A6E7C3D">
            <w:pPr>
              <w:pStyle w:val="98"/>
              <w:ind w:left="-105" w:right="-105"/>
              <w:rPr>
                <w:rFonts w:eastAsia="宋体"/>
                <w:color w:val="auto"/>
                <w:sz w:val="21"/>
                <w:szCs w:val="21"/>
                <w:highlight w:val="none"/>
              </w:rPr>
            </w:pPr>
            <w:r>
              <w:rPr>
                <w:rFonts w:eastAsia="宋体"/>
                <w:color w:val="auto"/>
                <w:sz w:val="21"/>
                <w:szCs w:val="21"/>
                <w:highlight w:val="none"/>
              </w:rPr>
              <w:t>36</w:t>
            </w:r>
          </w:p>
        </w:tc>
      </w:tr>
      <w:tr w14:paraId="21E3306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660" w:type="dxa"/>
            <w:tcBorders>
              <w:tl2br w:val="nil"/>
              <w:tr2bl w:val="nil"/>
            </w:tcBorders>
            <w:vAlign w:val="center"/>
          </w:tcPr>
          <w:p w14:paraId="645DDC99">
            <w:pPr>
              <w:pStyle w:val="98"/>
              <w:ind w:left="-105" w:right="-105"/>
              <w:rPr>
                <w:rFonts w:eastAsia="宋体"/>
                <w:color w:val="auto"/>
                <w:sz w:val="21"/>
                <w:szCs w:val="21"/>
                <w:highlight w:val="none"/>
              </w:rPr>
            </w:pPr>
            <w:r>
              <w:rPr>
                <w:rFonts w:eastAsia="宋体"/>
                <w:color w:val="auto"/>
                <w:sz w:val="21"/>
                <w:szCs w:val="21"/>
                <w:highlight w:val="none"/>
              </w:rPr>
              <w:t>9</w:t>
            </w:r>
          </w:p>
        </w:tc>
        <w:tc>
          <w:tcPr>
            <w:tcW w:w="1933" w:type="dxa"/>
            <w:tcBorders>
              <w:tl2br w:val="nil"/>
              <w:tr2bl w:val="nil"/>
            </w:tcBorders>
            <w:vAlign w:val="center"/>
          </w:tcPr>
          <w:p w14:paraId="3FF38860">
            <w:pPr>
              <w:pStyle w:val="98"/>
              <w:ind w:left="-105" w:right="-105"/>
              <w:rPr>
                <w:rFonts w:eastAsia="宋体"/>
                <w:color w:val="auto"/>
                <w:sz w:val="21"/>
                <w:szCs w:val="21"/>
                <w:highlight w:val="none"/>
              </w:rPr>
            </w:pPr>
            <w:r>
              <w:rPr>
                <w:rFonts w:eastAsia="宋体"/>
                <w:color w:val="auto"/>
                <w:sz w:val="21"/>
                <w:szCs w:val="21"/>
                <w:highlight w:val="none"/>
              </w:rPr>
              <w:t>氯仿</w:t>
            </w:r>
          </w:p>
        </w:tc>
        <w:tc>
          <w:tcPr>
            <w:tcW w:w="1323" w:type="dxa"/>
            <w:tcBorders>
              <w:tl2br w:val="nil"/>
              <w:tr2bl w:val="nil"/>
            </w:tcBorders>
            <w:vAlign w:val="center"/>
          </w:tcPr>
          <w:p w14:paraId="13E81D9C">
            <w:pPr>
              <w:pStyle w:val="98"/>
              <w:ind w:left="-105" w:right="-105"/>
              <w:rPr>
                <w:rFonts w:eastAsia="宋体"/>
                <w:color w:val="auto"/>
                <w:sz w:val="21"/>
                <w:szCs w:val="21"/>
                <w:highlight w:val="none"/>
              </w:rPr>
            </w:pPr>
            <w:r>
              <w:rPr>
                <w:rFonts w:eastAsia="宋体"/>
                <w:color w:val="auto"/>
                <w:sz w:val="21"/>
                <w:szCs w:val="21"/>
                <w:highlight w:val="none"/>
              </w:rPr>
              <w:t>67-66-3</w:t>
            </w:r>
          </w:p>
        </w:tc>
        <w:tc>
          <w:tcPr>
            <w:tcW w:w="1283" w:type="dxa"/>
            <w:tcBorders>
              <w:tl2br w:val="nil"/>
              <w:tr2bl w:val="nil"/>
            </w:tcBorders>
            <w:vAlign w:val="center"/>
          </w:tcPr>
          <w:p w14:paraId="744AE6DC">
            <w:pPr>
              <w:pStyle w:val="98"/>
              <w:ind w:left="-105" w:right="-105"/>
              <w:rPr>
                <w:rFonts w:eastAsia="宋体"/>
                <w:color w:val="auto"/>
                <w:sz w:val="21"/>
                <w:szCs w:val="21"/>
                <w:highlight w:val="none"/>
              </w:rPr>
            </w:pPr>
            <w:r>
              <w:rPr>
                <w:rFonts w:eastAsia="宋体"/>
                <w:color w:val="auto"/>
                <w:sz w:val="21"/>
                <w:szCs w:val="21"/>
                <w:highlight w:val="none"/>
              </w:rPr>
              <w:t>0.3</w:t>
            </w:r>
          </w:p>
        </w:tc>
        <w:tc>
          <w:tcPr>
            <w:tcW w:w="1292" w:type="dxa"/>
            <w:tcBorders>
              <w:tl2br w:val="nil"/>
              <w:tr2bl w:val="nil"/>
            </w:tcBorders>
            <w:vAlign w:val="center"/>
          </w:tcPr>
          <w:p w14:paraId="739262A9">
            <w:pPr>
              <w:pStyle w:val="98"/>
              <w:ind w:left="-105" w:right="-105"/>
              <w:rPr>
                <w:rFonts w:eastAsia="宋体"/>
                <w:color w:val="auto"/>
                <w:sz w:val="21"/>
                <w:szCs w:val="21"/>
                <w:highlight w:val="none"/>
              </w:rPr>
            </w:pPr>
            <w:r>
              <w:rPr>
                <w:rFonts w:eastAsia="宋体"/>
                <w:color w:val="auto"/>
                <w:sz w:val="21"/>
                <w:szCs w:val="21"/>
                <w:highlight w:val="none"/>
              </w:rPr>
              <w:t>0.9</w:t>
            </w:r>
          </w:p>
        </w:tc>
        <w:tc>
          <w:tcPr>
            <w:tcW w:w="1285" w:type="dxa"/>
            <w:tcBorders>
              <w:tl2br w:val="nil"/>
              <w:tr2bl w:val="nil"/>
            </w:tcBorders>
            <w:vAlign w:val="center"/>
          </w:tcPr>
          <w:p w14:paraId="20686308">
            <w:pPr>
              <w:pStyle w:val="98"/>
              <w:ind w:left="-105" w:right="-105"/>
              <w:rPr>
                <w:rFonts w:eastAsia="宋体"/>
                <w:color w:val="auto"/>
                <w:sz w:val="21"/>
                <w:szCs w:val="21"/>
                <w:highlight w:val="none"/>
              </w:rPr>
            </w:pPr>
            <w:r>
              <w:rPr>
                <w:rFonts w:eastAsia="宋体"/>
                <w:color w:val="auto"/>
                <w:sz w:val="21"/>
                <w:szCs w:val="21"/>
                <w:highlight w:val="none"/>
              </w:rPr>
              <w:t>5</w:t>
            </w:r>
          </w:p>
        </w:tc>
        <w:tc>
          <w:tcPr>
            <w:tcW w:w="1289" w:type="dxa"/>
            <w:tcBorders>
              <w:tl2br w:val="nil"/>
              <w:tr2bl w:val="nil"/>
            </w:tcBorders>
            <w:vAlign w:val="center"/>
          </w:tcPr>
          <w:p w14:paraId="48311A98">
            <w:pPr>
              <w:pStyle w:val="98"/>
              <w:ind w:left="-105" w:right="-105"/>
              <w:rPr>
                <w:rFonts w:eastAsia="宋体"/>
                <w:color w:val="auto"/>
                <w:sz w:val="21"/>
                <w:szCs w:val="21"/>
                <w:highlight w:val="none"/>
              </w:rPr>
            </w:pPr>
            <w:r>
              <w:rPr>
                <w:rFonts w:eastAsia="宋体"/>
                <w:color w:val="auto"/>
                <w:sz w:val="21"/>
                <w:szCs w:val="21"/>
                <w:highlight w:val="none"/>
              </w:rPr>
              <w:t>10</w:t>
            </w:r>
          </w:p>
        </w:tc>
      </w:tr>
      <w:tr w14:paraId="7D0B859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660" w:type="dxa"/>
            <w:tcBorders>
              <w:tl2br w:val="nil"/>
              <w:tr2bl w:val="nil"/>
            </w:tcBorders>
            <w:vAlign w:val="center"/>
          </w:tcPr>
          <w:p w14:paraId="2E822546">
            <w:pPr>
              <w:pStyle w:val="98"/>
              <w:ind w:left="-105" w:right="-105"/>
              <w:rPr>
                <w:rFonts w:eastAsia="宋体"/>
                <w:color w:val="auto"/>
                <w:sz w:val="21"/>
                <w:szCs w:val="21"/>
                <w:highlight w:val="none"/>
              </w:rPr>
            </w:pPr>
            <w:r>
              <w:rPr>
                <w:rFonts w:eastAsia="宋体"/>
                <w:color w:val="auto"/>
                <w:sz w:val="21"/>
                <w:szCs w:val="21"/>
                <w:highlight w:val="none"/>
              </w:rPr>
              <w:t>10</w:t>
            </w:r>
          </w:p>
        </w:tc>
        <w:tc>
          <w:tcPr>
            <w:tcW w:w="1933" w:type="dxa"/>
            <w:tcBorders>
              <w:tl2br w:val="nil"/>
              <w:tr2bl w:val="nil"/>
            </w:tcBorders>
            <w:vAlign w:val="center"/>
          </w:tcPr>
          <w:p w14:paraId="72C381A3">
            <w:pPr>
              <w:pStyle w:val="98"/>
              <w:ind w:left="-105" w:right="-105"/>
              <w:rPr>
                <w:rFonts w:eastAsia="宋体"/>
                <w:color w:val="auto"/>
                <w:sz w:val="21"/>
                <w:szCs w:val="21"/>
                <w:highlight w:val="none"/>
              </w:rPr>
            </w:pPr>
            <w:r>
              <w:rPr>
                <w:rFonts w:eastAsia="宋体"/>
                <w:color w:val="auto"/>
                <w:sz w:val="21"/>
                <w:szCs w:val="21"/>
                <w:highlight w:val="none"/>
              </w:rPr>
              <w:t>氯甲烷</w:t>
            </w:r>
          </w:p>
        </w:tc>
        <w:tc>
          <w:tcPr>
            <w:tcW w:w="1323" w:type="dxa"/>
            <w:tcBorders>
              <w:tl2br w:val="nil"/>
              <w:tr2bl w:val="nil"/>
            </w:tcBorders>
            <w:vAlign w:val="center"/>
          </w:tcPr>
          <w:p w14:paraId="4304F880">
            <w:pPr>
              <w:pStyle w:val="98"/>
              <w:ind w:left="-105" w:right="-105"/>
              <w:rPr>
                <w:rFonts w:eastAsia="宋体"/>
                <w:color w:val="auto"/>
                <w:sz w:val="21"/>
                <w:szCs w:val="21"/>
                <w:highlight w:val="none"/>
              </w:rPr>
            </w:pPr>
            <w:r>
              <w:rPr>
                <w:rFonts w:eastAsia="宋体"/>
                <w:color w:val="auto"/>
                <w:sz w:val="21"/>
                <w:szCs w:val="21"/>
                <w:highlight w:val="none"/>
              </w:rPr>
              <w:t>74-87-3</w:t>
            </w:r>
          </w:p>
        </w:tc>
        <w:tc>
          <w:tcPr>
            <w:tcW w:w="1283" w:type="dxa"/>
            <w:tcBorders>
              <w:tl2br w:val="nil"/>
              <w:tr2bl w:val="nil"/>
            </w:tcBorders>
            <w:vAlign w:val="center"/>
          </w:tcPr>
          <w:p w14:paraId="46A0A76C">
            <w:pPr>
              <w:pStyle w:val="98"/>
              <w:ind w:left="-105" w:right="-105"/>
              <w:rPr>
                <w:rFonts w:eastAsia="宋体"/>
                <w:color w:val="auto"/>
                <w:sz w:val="21"/>
                <w:szCs w:val="21"/>
                <w:highlight w:val="none"/>
              </w:rPr>
            </w:pPr>
            <w:r>
              <w:rPr>
                <w:rFonts w:eastAsia="宋体"/>
                <w:color w:val="auto"/>
                <w:sz w:val="21"/>
                <w:szCs w:val="21"/>
                <w:highlight w:val="none"/>
              </w:rPr>
              <w:t>12</w:t>
            </w:r>
          </w:p>
        </w:tc>
        <w:tc>
          <w:tcPr>
            <w:tcW w:w="1292" w:type="dxa"/>
            <w:tcBorders>
              <w:tl2br w:val="nil"/>
              <w:tr2bl w:val="nil"/>
            </w:tcBorders>
            <w:vAlign w:val="center"/>
          </w:tcPr>
          <w:p w14:paraId="4D7485DD">
            <w:pPr>
              <w:pStyle w:val="98"/>
              <w:ind w:left="-105" w:right="-105"/>
              <w:rPr>
                <w:rFonts w:eastAsia="宋体"/>
                <w:color w:val="auto"/>
                <w:sz w:val="21"/>
                <w:szCs w:val="21"/>
                <w:highlight w:val="none"/>
              </w:rPr>
            </w:pPr>
            <w:r>
              <w:rPr>
                <w:rFonts w:eastAsia="宋体"/>
                <w:color w:val="auto"/>
                <w:sz w:val="21"/>
                <w:szCs w:val="21"/>
                <w:highlight w:val="none"/>
              </w:rPr>
              <w:t>37</w:t>
            </w:r>
          </w:p>
        </w:tc>
        <w:tc>
          <w:tcPr>
            <w:tcW w:w="1285" w:type="dxa"/>
            <w:tcBorders>
              <w:tl2br w:val="nil"/>
              <w:tr2bl w:val="nil"/>
            </w:tcBorders>
            <w:vAlign w:val="center"/>
          </w:tcPr>
          <w:p w14:paraId="47174253">
            <w:pPr>
              <w:pStyle w:val="98"/>
              <w:ind w:left="-105" w:right="-105"/>
              <w:rPr>
                <w:rFonts w:eastAsia="宋体"/>
                <w:color w:val="auto"/>
                <w:sz w:val="21"/>
                <w:szCs w:val="21"/>
                <w:highlight w:val="none"/>
              </w:rPr>
            </w:pPr>
            <w:r>
              <w:rPr>
                <w:rFonts w:eastAsia="宋体"/>
                <w:color w:val="auto"/>
                <w:sz w:val="21"/>
                <w:szCs w:val="21"/>
                <w:highlight w:val="none"/>
              </w:rPr>
              <w:t>21</w:t>
            </w:r>
          </w:p>
        </w:tc>
        <w:tc>
          <w:tcPr>
            <w:tcW w:w="1289" w:type="dxa"/>
            <w:tcBorders>
              <w:tl2br w:val="nil"/>
              <w:tr2bl w:val="nil"/>
            </w:tcBorders>
            <w:vAlign w:val="center"/>
          </w:tcPr>
          <w:p w14:paraId="17443940">
            <w:pPr>
              <w:pStyle w:val="98"/>
              <w:ind w:left="-105" w:right="-105"/>
              <w:rPr>
                <w:rFonts w:eastAsia="宋体"/>
                <w:color w:val="auto"/>
                <w:sz w:val="21"/>
                <w:szCs w:val="21"/>
                <w:highlight w:val="none"/>
              </w:rPr>
            </w:pPr>
            <w:r>
              <w:rPr>
                <w:rFonts w:eastAsia="宋体"/>
                <w:color w:val="auto"/>
                <w:sz w:val="21"/>
                <w:szCs w:val="21"/>
                <w:highlight w:val="none"/>
              </w:rPr>
              <w:t>120</w:t>
            </w:r>
          </w:p>
        </w:tc>
      </w:tr>
      <w:tr w14:paraId="0CBB8BC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660" w:type="dxa"/>
            <w:tcBorders>
              <w:tl2br w:val="nil"/>
              <w:tr2bl w:val="nil"/>
            </w:tcBorders>
            <w:vAlign w:val="center"/>
          </w:tcPr>
          <w:p w14:paraId="1493BF96">
            <w:pPr>
              <w:pStyle w:val="98"/>
              <w:ind w:left="-105" w:right="-105"/>
              <w:rPr>
                <w:rFonts w:eastAsia="宋体"/>
                <w:color w:val="auto"/>
                <w:sz w:val="21"/>
                <w:szCs w:val="21"/>
                <w:highlight w:val="none"/>
              </w:rPr>
            </w:pPr>
            <w:r>
              <w:rPr>
                <w:rFonts w:eastAsia="宋体"/>
                <w:color w:val="auto"/>
                <w:sz w:val="21"/>
                <w:szCs w:val="21"/>
                <w:highlight w:val="none"/>
              </w:rPr>
              <w:t>11</w:t>
            </w:r>
          </w:p>
        </w:tc>
        <w:tc>
          <w:tcPr>
            <w:tcW w:w="1933" w:type="dxa"/>
            <w:tcBorders>
              <w:tl2br w:val="nil"/>
              <w:tr2bl w:val="nil"/>
            </w:tcBorders>
            <w:vAlign w:val="center"/>
          </w:tcPr>
          <w:p w14:paraId="686EE676">
            <w:pPr>
              <w:pStyle w:val="98"/>
              <w:ind w:left="-105" w:right="-105"/>
              <w:rPr>
                <w:rFonts w:eastAsia="宋体"/>
                <w:color w:val="auto"/>
                <w:sz w:val="21"/>
                <w:szCs w:val="21"/>
                <w:highlight w:val="none"/>
              </w:rPr>
            </w:pPr>
            <w:r>
              <w:rPr>
                <w:rFonts w:eastAsia="宋体"/>
                <w:color w:val="auto"/>
                <w:sz w:val="21"/>
                <w:szCs w:val="21"/>
                <w:highlight w:val="none"/>
              </w:rPr>
              <w:t>1，1-二氯乙烷</w:t>
            </w:r>
          </w:p>
        </w:tc>
        <w:tc>
          <w:tcPr>
            <w:tcW w:w="1323" w:type="dxa"/>
            <w:tcBorders>
              <w:tl2br w:val="nil"/>
              <w:tr2bl w:val="nil"/>
            </w:tcBorders>
            <w:vAlign w:val="center"/>
          </w:tcPr>
          <w:p w14:paraId="3927CBFC">
            <w:pPr>
              <w:pStyle w:val="98"/>
              <w:ind w:left="-105" w:right="-105"/>
              <w:rPr>
                <w:rFonts w:eastAsia="宋体"/>
                <w:color w:val="auto"/>
                <w:sz w:val="21"/>
                <w:szCs w:val="21"/>
                <w:highlight w:val="none"/>
              </w:rPr>
            </w:pPr>
            <w:r>
              <w:rPr>
                <w:rFonts w:eastAsia="宋体"/>
                <w:color w:val="auto"/>
                <w:sz w:val="21"/>
                <w:szCs w:val="21"/>
                <w:highlight w:val="none"/>
              </w:rPr>
              <w:t>75-34-3</w:t>
            </w:r>
          </w:p>
        </w:tc>
        <w:tc>
          <w:tcPr>
            <w:tcW w:w="1283" w:type="dxa"/>
            <w:tcBorders>
              <w:tl2br w:val="nil"/>
              <w:tr2bl w:val="nil"/>
            </w:tcBorders>
            <w:vAlign w:val="center"/>
          </w:tcPr>
          <w:p w14:paraId="5C9BA0FA">
            <w:pPr>
              <w:pStyle w:val="98"/>
              <w:ind w:left="-105" w:right="-105"/>
              <w:rPr>
                <w:rFonts w:eastAsia="宋体"/>
                <w:color w:val="auto"/>
                <w:sz w:val="21"/>
                <w:szCs w:val="21"/>
                <w:highlight w:val="none"/>
              </w:rPr>
            </w:pPr>
            <w:r>
              <w:rPr>
                <w:rFonts w:eastAsia="宋体"/>
                <w:color w:val="auto"/>
                <w:sz w:val="21"/>
                <w:szCs w:val="21"/>
                <w:highlight w:val="none"/>
              </w:rPr>
              <w:t>3</w:t>
            </w:r>
          </w:p>
        </w:tc>
        <w:tc>
          <w:tcPr>
            <w:tcW w:w="1292" w:type="dxa"/>
            <w:tcBorders>
              <w:tl2br w:val="nil"/>
              <w:tr2bl w:val="nil"/>
            </w:tcBorders>
            <w:vAlign w:val="center"/>
          </w:tcPr>
          <w:p w14:paraId="2C7E04B9">
            <w:pPr>
              <w:pStyle w:val="98"/>
              <w:ind w:left="-105" w:right="-105"/>
              <w:rPr>
                <w:rFonts w:eastAsia="宋体"/>
                <w:color w:val="auto"/>
                <w:sz w:val="21"/>
                <w:szCs w:val="21"/>
                <w:highlight w:val="none"/>
              </w:rPr>
            </w:pPr>
            <w:r>
              <w:rPr>
                <w:rFonts w:eastAsia="宋体"/>
                <w:color w:val="auto"/>
                <w:sz w:val="21"/>
                <w:szCs w:val="21"/>
                <w:highlight w:val="none"/>
              </w:rPr>
              <w:t>9</w:t>
            </w:r>
          </w:p>
        </w:tc>
        <w:tc>
          <w:tcPr>
            <w:tcW w:w="1285" w:type="dxa"/>
            <w:tcBorders>
              <w:tl2br w:val="nil"/>
              <w:tr2bl w:val="nil"/>
            </w:tcBorders>
            <w:vAlign w:val="center"/>
          </w:tcPr>
          <w:p w14:paraId="7EC3B2AF">
            <w:pPr>
              <w:pStyle w:val="98"/>
              <w:ind w:left="-105" w:right="-105"/>
              <w:rPr>
                <w:rFonts w:eastAsia="宋体"/>
                <w:color w:val="auto"/>
                <w:sz w:val="21"/>
                <w:szCs w:val="21"/>
                <w:highlight w:val="none"/>
              </w:rPr>
            </w:pPr>
            <w:r>
              <w:rPr>
                <w:rFonts w:eastAsia="宋体"/>
                <w:color w:val="auto"/>
                <w:sz w:val="21"/>
                <w:szCs w:val="21"/>
                <w:highlight w:val="none"/>
              </w:rPr>
              <w:t>20</w:t>
            </w:r>
          </w:p>
        </w:tc>
        <w:tc>
          <w:tcPr>
            <w:tcW w:w="1289" w:type="dxa"/>
            <w:tcBorders>
              <w:tl2br w:val="nil"/>
              <w:tr2bl w:val="nil"/>
            </w:tcBorders>
            <w:vAlign w:val="center"/>
          </w:tcPr>
          <w:p w14:paraId="25F9FF4D">
            <w:pPr>
              <w:pStyle w:val="98"/>
              <w:ind w:left="-105" w:right="-105"/>
              <w:rPr>
                <w:rFonts w:eastAsia="宋体"/>
                <w:color w:val="auto"/>
                <w:sz w:val="21"/>
                <w:szCs w:val="21"/>
                <w:highlight w:val="none"/>
              </w:rPr>
            </w:pPr>
            <w:r>
              <w:rPr>
                <w:rFonts w:eastAsia="宋体"/>
                <w:color w:val="auto"/>
                <w:sz w:val="21"/>
                <w:szCs w:val="21"/>
                <w:highlight w:val="none"/>
              </w:rPr>
              <w:t>100</w:t>
            </w:r>
          </w:p>
        </w:tc>
      </w:tr>
      <w:tr w14:paraId="648B08C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660" w:type="dxa"/>
            <w:tcBorders>
              <w:tl2br w:val="nil"/>
              <w:tr2bl w:val="nil"/>
            </w:tcBorders>
            <w:vAlign w:val="center"/>
          </w:tcPr>
          <w:p w14:paraId="5DB2086F">
            <w:pPr>
              <w:pStyle w:val="98"/>
              <w:ind w:left="-105" w:right="-105"/>
              <w:rPr>
                <w:rFonts w:eastAsia="宋体"/>
                <w:color w:val="auto"/>
                <w:sz w:val="21"/>
                <w:szCs w:val="21"/>
                <w:highlight w:val="none"/>
              </w:rPr>
            </w:pPr>
            <w:r>
              <w:rPr>
                <w:rFonts w:eastAsia="宋体"/>
                <w:color w:val="auto"/>
                <w:sz w:val="21"/>
                <w:szCs w:val="21"/>
                <w:highlight w:val="none"/>
              </w:rPr>
              <w:t>12</w:t>
            </w:r>
          </w:p>
        </w:tc>
        <w:tc>
          <w:tcPr>
            <w:tcW w:w="1933" w:type="dxa"/>
            <w:tcBorders>
              <w:tl2br w:val="nil"/>
              <w:tr2bl w:val="nil"/>
            </w:tcBorders>
            <w:vAlign w:val="center"/>
          </w:tcPr>
          <w:p w14:paraId="3B3CFBC8">
            <w:pPr>
              <w:pStyle w:val="98"/>
              <w:ind w:left="-105" w:right="-105"/>
              <w:rPr>
                <w:rFonts w:eastAsia="宋体"/>
                <w:color w:val="auto"/>
                <w:sz w:val="21"/>
                <w:szCs w:val="21"/>
                <w:highlight w:val="none"/>
              </w:rPr>
            </w:pPr>
            <w:r>
              <w:rPr>
                <w:rFonts w:eastAsia="宋体"/>
                <w:color w:val="auto"/>
                <w:sz w:val="21"/>
                <w:szCs w:val="21"/>
                <w:highlight w:val="none"/>
              </w:rPr>
              <w:t>1，2-二氯乙烷</w:t>
            </w:r>
          </w:p>
        </w:tc>
        <w:tc>
          <w:tcPr>
            <w:tcW w:w="1323" w:type="dxa"/>
            <w:tcBorders>
              <w:tl2br w:val="nil"/>
              <w:tr2bl w:val="nil"/>
            </w:tcBorders>
            <w:vAlign w:val="center"/>
          </w:tcPr>
          <w:p w14:paraId="5C8F91E6">
            <w:pPr>
              <w:pStyle w:val="98"/>
              <w:ind w:left="-105" w:right="-105"/>
              <w:rPr>
                <w:rFonts w:eastAsia="宋体"/>
                <w:color w:val="auto"/>
                <w:sz w:val="21"/>
                <w:szCs w:val="21"/>
                <w:highlight w:val="none"/>
              </w:rPr>
            </w:pPr>
            <w:r>
              <w:rPr>
                <w:rFonts w:eastAsia="宋体"/>
                <w:color w:val="auto"/>
                <w:sz w:val="21"/>
                <w:szCs w:val="21"/>
                <w:highlight w:val="none"/>
              </w:rPr>
              <w:t>107-06-2</w:t>
            </w:r>
          </w:p>
        </w:tc>
        <w:tc>
          <w:tcPr>
            <w:tcW w:w="1283" w:type="dxa"/>
            <w:tcBorders>
              <w:tl2br w:val="nil"/>
              <w:tr2bl w:val="nil"/>
            </w:tcBorders>
            <w:vAlign w:val="center"/>
          </w:tcPr>
          <w:p w14:paraId="6A5F8DE7">
            <w:pPr>
              <w:pStyle w:val="98"/>
              <w:ind w:left="-105" w:right="-105"/>
              <w:rPr>
                <w:rFonts w:eastAsia="宋体"/>
                <w:color w:val="auto"/>
                <w:sz w:val="21"/>
                <w:szCs w:val="21"/>
                <w:highlight w:val="none"/>
              </w:rPr>
            </w:pPr>
            <w:r>
              <w:rPr>
                <w:rFonts w:eastAsia="宋体"/>
                <w:color w:val="auto"/>
                <w:sz w:val="21"/>
                <w:szCs w:val="21"/>
                <w:highlight w:val="none"/>
              </w:rPr>
              <w:t>0.52</w:t>
            </w:r>
          </w:p>
        </w:tc>
        <w:tc>
          <w:tcPr>
            <w:tcW w:w="1292" w:type="dxa"/>
            <w:tcBorders>
              <w:tl2br w:val="nil"/>
              <w:tr2bl w:val="nil"/>
            </w:tcBorders>
            <w:vAlign w:val="center"/>
          </w:tcPr>
          <w:p w14:paraId="4F2D593F">
            <w:pPr>
              <w:pStyle w:val="98"/>
              <w:ind w:left="-105" w:right="-105"/>
              <w:rPr>
                <w:rFonts w:eastAsia="宋体"/>
                <w:color w:val="auto"/>
                <w:sz w:val="21"/>
                <w:szCs w:val="21"/>
                <w:highlight w:val="none"/>
              </w:rPr>
            </w:pPr>
            <w:r>
              <w:rPr>
                <w:rFonts w:eastAsia="宋体"/>
                <w:color w:val="auto"/>
                <w:sz w:val="21"/>
                <w:szCs w:val="21"/>
                <w:highlight w:val="none"/>
              </w:rPr>
              <w:t>5</w:t>
            </w:r>
          </w:p>
        </w:tc>
        <w:tc>
          <w:tcPr>
            <w:tcW w:w="1285" w:type="dxa"/>
            <w:tcBorders>
              <w:tl2br w:val="nil"/>
              <w:tr2bl w:val="nil"/>
            </w:tcBorders>
            <w:vAlign w:val="center"/>
          </w:tcPr>
          <w:p w14:paraId="489CA5A5">
            <w:pPr>
              <w:pStyle w:val="98"/>
              <w:ind w:left="-105" w:right="-105"/>
              <w:rPr>
                <w:rFonts w:eastAsia="宋体"/>
                <w:color w:val="auto"/>
                <w:sz w:val="21"/>
                <w:szCs w:val="21"/>
                <w:highlight w:val="none"/>
              </w:rPr>
            </w:pPr>
            <w:r>
              <w:rPr>
                <w:rFonts w:eastAsia="宋体"/>
                <w:color w:val="auto"/>
                <w:sz w:val="21"/>
                <w:szCs w:val="21"/>
                <w:highlight w:val="none"/>
              </w:rPr>
              <w:t>6</w:t>
            </w:r>
          </w:p>
        </w:tc>
        <w:tc>
          <w:tcPr>
            <w:tcW w:w="1289" w:type="dxa"/>
            <w:tcBorders>
              <w:tl2br w:val="nil"/>
              <w:tr2bl w:val="nil"/>
            </w:tcBorders>
            <w:vAlign w:val="center"/>
          </w:tcPr>
          <w:p w14:paraId="35B15233">
            <w:pPr>
              <w:pStyle w:val="98"/>
              <w:ind w:left="-105" w:right="-105"/>
              <w:rPr>
                <w:rFonts w:eastAsia="宋体"/>
                <w:color w:val="auto"/>
                <w:sz w:val="21"/>
                <w:szCs w:val="21"/>
                <w:highlight w:val="none"/>
              </w:rPr>
            </w:pPr>
            <w:r>
              <w:rPr>
                <w:rFonts w:eastAsia="宋体"/>
                <w:color w:val="auto"/>
                <w:sz w:val="21"/>
                <w:szCs w:val="21"/>
                <w:highlight w:val="none"/>
              </w:rPr>
              <w:t>21</w:t>
            </w:r>
          </w:p>
        </w:tc>
      </w:tr>
      <w:tr w14:paraId="1544765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660" w:type="dxa"/>
            <w:tcBorders>
              <w:tl2br w:val="nil"/>
              <w:tr2bl w:val="nil"/>
            </w:tcBorders>
            <w:vAlign w:val="center"/>
          </w:tcPr>
          <w:p w14:paraId="4F3EFACB">
            <w:pPr>
              <w:pStyle w:val="98"/>
              <w:ind w:left="-105" w:right="-105"/>
              <w:rPr>
                <w:rFonts w:eastAsia="宋体"/>
                <w:color w:val="auto"/>
                <w:sz w:val="21"/>
                <w:szCs w:val="21"/>
                <w:highlight w:val="none"/>
              </w:rPr>
            </w:pPr>
            <w:r>
              <w:rPr>
                <w:rFonts w:eastAsia="宋体"/>
                <w:color w:val="auto"/>
                <w:sz w:val="21"/>
                <w:szCs w:val="21"/>
                <w:highlight w:val="none"/>
              </w:rPr>
              <w:t>13</w:t>
            </w:r>
          </w:p>
        </w:tc>
        <w:tc>
          <w:tcPr>
            <w:tcW w:w="1933" w:type="dxa"/>
            <w:tcBorders>
              <w:tl2br w:val="nil"/>
              <w:tr2bl w:val="nil"/>
            </w:tcBorders>
            <w:vAlign w:val="center"/>
          </w:tcPr>
          <w:p w14:paraId="29E0AFB8">
            <w:pPr>
              <w:pStyle w:val="98"/>
              <w:ind w:left="-105" w:right="-105"/>
              <w:rPr>
                <w:rFonts w:eastAsia="宋体"/>
                <w:color w:val="auto"/>
                <w:sz w:val="21"/>
                <w:szCs w:val="21"/>
                <w:highlight w:val="none"/>
              </w:rPr>
            </w:pPr>
            <w:r>
              <w:rPr>
                <w:rFonts w:eastAsia="宋体"/>
                <w:color w:val="auto"/>
                <w:sz w:val="21"/>
                <w:szCs w:val="21"/>
                <w:highlight w:val="none"/>
              </w:rPr>
              <w:t>1,1-二氯乙烯</w:t>
            </w:r>
          </w:p>
        </w:tc>
        <w:tc>
          <w:tcPr>
            <w:tcW w:w="1323" w:type="dxa"/>
            <w:tcBorders>
              <w:tl2br w:val="nil"/>
              <w:tr2bl w:val="nil"/>
            </w:tcBorders>
            <w:vAlign w:val="center"/>
          </w:tcPr>
          <w:p w14:paraId="299973D8">
            <w:pPr>
              <w:pStyle w:val="98"/>
              <w:ind w:left="-105" w:right="-105"/>
              <w:rPr>
                <w:rFonts w:eastAsia="宋体"/>
                <w:color w:val="auto"/>
                <w:sz w:val="21"/>
                <w:szCs w:val="21"/>
                <w:highlight w:val="none"/>
              </w:rPr>
            </w:pPr>
            <w:r>
              <w:rPr>
                <w:rFonts w:eastAsia="宋体"/>
                <w:color w:val="auto"/>
                <w:sz w:val="21"/>
                <w:szCs w:val="21"/>
                <w:highlight w:val="none"/>
              </w:rPr>
              <w:t>75-35-4</w:t>
            </w:r>
          </w:p>
        </w:tc>
        <w:tc>
          <w:tcPr>
            <w:tcW w:w="1283" w:type="dxa"/>
            <w:tcBorders>
              <w:tl2br w:val="nil"/>
              <w:tr2bl w:val="nil"/>
            </w:tcBorders>
            <w:vAlign w:val="center"/>
          </w:tcPr>
          <w:p w14:paraId="091C7105">
            <w:pPr>
              <w:pStyle w:val="98"/>
              <w:ind w:left="-105" w:right="-105"/>
              <w:rPr>
                <w:rFonts w:eastAsia="宋体"/>
                <w:color w:val="auto"/>
                <w:sz w:val="21"/>
                <w:szCs w:val="21"/>
                <w:highlight w:val="none"/>
              </w:rPr>
            </w:pPr>
            <w:r>
              <w:rPr>
                <w:rFonts w:eastAsia="宋体"/>
                <w:color w:val="auto"/>
                <w:sz w:val="21"/>
                <w:szCs w:val="21"/>
                <w:highlight w:val="none"/>
              </w:rPr>
              <w:t>12</w:t>
            </w:r>
          </w:p>
        </w:tc>
        <w:tc>
          <w:tcPr>
            <w:tcW w:w="1292" w:type="dxa"/>
            <w:tcBorders>
              <w:tl2br w:val="nil"/>
              <w:tr2bl w:val="nil"/>
            </w:tcBorders>
            <w:vAlign w:val="center"/>
          </w:tcPr>
          <w:p w14:paraId="64608B3B">
            <w:pPr>
              <w:pStyle w:val="98"/>
              <w:ind w:left="-105" w:right="-105"/>
              <w:rPr>
                <w:rFonts w:eastAsia="宋体"/>
                <w:color w:val="auto"/>
                <w:sz w:val="21"/>
                <w:szCs w:val="21"/>
                <w:highlight w:val="none"/>
              </w:rPr>
            </w:pPr>
            <w:r>
              <w:rPr>
                <w:rFonts w:eastAsia="宋体"/>
                <w:color w:val="auto"/>
                <w:sz w:val="21"/>
                <w:szCs w:val="21"/>
                <w:highlight w:val="none"/>
              </w:rPr>
              <w:t>66</w:t>
            </w:r>
          </w:p>
        </w:tc>
        <w:tc>
          <w:tcPr>
            <w:tcW w:w="1285" w:type="dxa"/>
            <w:tcBorders>
              <w:tl2br w:val="nil"/>
              <w:tr2bl w:val="nil"/>
            </w:tcBorders>
            <w:vAlign w:val="center"/>
          </w:tcPr>
          <w:p w14:paraId="1D00D21C">
            <w:pPr>
              <w:pStyle w:val="98"/>
              <w:ind w:left="-105" w:right="-105"/>
              <w:rPr>
                <w:rFonts w:eastAsia="宋体"/>
                <w:color w:val="auto"/>
                <w:sz w:val="21"/>
                <w:szCs w:val="21"/>
                <w:highlight w:val="none"/>
              </w:rPr>
            </w:pPr>
            <w:r>
              <w:rPr>
                <w:rFonts w:eastAsia="宋体"/>
                <w:color w:val="auto"/>
                <w:sz w:val="21"/>
                <w:szCs w:val="21"/>
                <w:highlight w:val="none"/>
              </w:rPr>
              <w:t>40</w:t>
            </w:r>
          </w:p>
        </w:tc>
        <w:tc>
          <w:tcPr>
            <w:tcW w:w="1289" w:type="dxa"/>
            <w:tcBorders>
              <w:tl2br w:val="nil"/>
              <w:tr2bl w:val="nil"/>
            </w:tcBorders>
            <w:vAlign w:val="center"/>
          </w:tcPr>
          <w:p w14:paraId="5F80DBBD">
            <w:pPr>
              <w:pStyle w:val="98"/>
              <w:ind w:left="-105" w:right="-105"/>
              <w:rPr>
                <w:rFonts w:eastAsia="宋体"/>
                <w:color w:val="auto"/>
                <w:sz w:val="21"/>
                <w:szCs w:val="21"/>
                <w:highlight w:val="none"/>
              </w:rPr>
            </w:pPr>
            <w:r>
              <w:rPr>
                <w:rFonts w:eastAsia="宋体"/>
                <w:color w:val="auto"/>
                <w:sz w:val="21"/>
                <w:szCs w:val="21"/>
                <w:highlight w:val="none"/>
              </w:rPr>
              <w:t>200</w:t>
            </w:r>
          </w:p>
        </w:tc>
      </w:tr>
      <w:tr w14:paraId="5A0F9D8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660" w:type="dxa"/>
            <w:tcBorders>
              <w:tl2br w:val="nil"/>
              <w:tr2bl w:val="nil"/>
            </w:tcBorders>
            <w:vAlign w:val="center"/>
          </w:tcPr>
          <w:p w14:paraId="3236E0DA">
            <w:pPr>
              <w:pStyle w:val="98"/>
              <w:ind w:left="-105" w:right="-105"/>
              <w:rPr>
                <w:rFonts w:eastAsia="宋体"/>
                <w:color w:val="auto"/>
                <w:sz w:val="21"/>
                <w:szCs w:val="21"/>
                <w:highlight w:val="none"/>
              </w:rPr>
            </w:pPr>
            <w:r>
              <w:rPr>
                <w:rFonts w:eastAsia="宋体"/>
                <w:color w:val="auto"/>
                <w:sz w:val="21"/>
                <w:szCs w:val="21"/>
                <w:highlight w:val="none"/>
              </w:rPr>
              <w:t>14</w:t>
            </w:r>
          </w:p>
        </w:tc>
        <w:tc>
          <w:tcPr>
            <w:tcW w:w="1933" w:type="dxa"/>
            <w:tcBorders>
              <w:tl2br w:val="nil"/>
              <w:tr2bl w:val="nil"/>
            </w:tcBorders>
            <w:vAlign w:val="center"/>
          </w:tcPr>
          <w:p w14:paraId="131C28C0">
            <w:pPr>
              <w:pStyle w:val="98"/>
              <w:ind w:left="-105" w:right="-105"/>
              <w:rPr>
                <w:rFonts w:eastAsia="宋体"/>
                <w:color w:val="auto"/>
                <w:sz w:val="21"/>
                <w:szCs w:val="21"/>
                <w:highlight w:val="none"/>
              </w:rPr>
            </w:pPr>
            <w:r>
              <w:rPr>
                <w:rFonts w:eastAsia="宋体"/>
                <w:color w:val="auto"/>
                <w:sz w:val="21"/>
                <w:szCs w:val="21"/>
                <w:highlight w:val="none"/>
              </w:rPr>
              <w:t>顺-1,2-二氯乙烯</w:t>
            </w:r>
          </w:p>
        </w:tc>
        <w:tc>
          <w:tcPr>
            <w:tcW w:w="1323" w:type="dxa"/>
            <w:tcBorders>
              <w:tl2br w:val="nil"/>
              <w:tr2bl w:val="nil"/>
            </w:tcBorders>
            <w:vAlign w:val="center"/>
          </w:tcPr>
          <w:p w14:paraId="3C675938">
            <w:pPr>
              <w:pStyle w:val="98"/>
              <w:ind w:left="-105" w:right="-105"/>
              <w:rPr>
                <w:rFonts w:eastAsia="宋体"/>
                <w:color w:val="auto"/>
                <w:sz w:val="21"/>
                <w:szCs w:val="21"/>
                <w:highlight w:val="none"/>
              </w:rPr>
            </w:pPr>
            <w:r>
              <w:rPr>
                <w:rFonts w:eastAsia="宋体"/>
                <w:color w:val="auto"/>
                <w:sz w:val="21"/>
                <w:szCs w:val="21"/>
                <w:highlight w:val="none"/>
              </w:rPr>
              <w:t>156-59-2</w:t>
            </w:r>
          </w:p>
        </w:tc>
        <w:tc>
          <w:tcPr>
            <w:tcW w:w="1283" w:type="dxa"/>
            <w:tcBorders>
              <w:tl2br w:val="nil"/>
              <w:tr2bl w:val="nil"/>
            </w:tcBorders>
            <w:vAlign w:val="center"/>
          </w:tcPr>
          <w:p w14:paraId="57D12AE2">
            <w:pPr>
              <w:pStyle w:val="98"/>
              <w:ind w:left="-105" w:right="-105"/>
              <w:rPr>
                <w:rFonts w:eastAsia="宋体"/>
                <w:color w:val="auto"/>
                <w:sz w:val="21"/>
                <w:szCs w:val="21"/>
                <w:highlight w:val="none"/>
              </w:rPr>
            </w:pPr>
            <w:r>
              <w:rPr>
                <w:rFonts w:eastAsia="宋体"/>
                <w:color w:val="auto"/>
                <w:sz w:val="21"/>
                <w:szCs w:val="21"/>
                <w:highlight w:val="none"/>
              </w:rPr>
              <w:t>66</w:t>
            </w:r>
          </w:p>
        </w:tc>
        <w:tc>
          <w:tcPr>
            <w:tcW w:w="1292" w:type="dxa"/>
            <w:tcBorders>
              <w:tl2br w:val="nil"/>
              <w:tr2bl w:val="nil"/>
            </w:tcBorders>
            <w:vAlign w:val="center"/>
          </w:tcPr>
          <w:p w14:paraId="632EAA56">
            <w:pPr>
              <w:pStyle w:val="98"/>
              <w:ind w:left="-105" w:right="-105"/>
              <w:rPr>
                <w:rFonts w:eastAsia="宋体"/>
                <w:color w:val="auto"/>
                <w:sz w:val="21"/>
                <w:szCs w:val="21"/>
                <w:highlight w:val="none"/>
              </w:rPr>
            </w:pPr>
            <w:r>
              <w:rPr>
                <w:rFonts w:eastAsia="宋体"/>
                <w:color w:val="auto"/>
                <w:sz w:val="21"/>
                <w:szCs w:val="21"/>
                <w:highlight w:val="none"/>
              </w:rPr>
              <w:t>596</w:t>
            </w:r>
          </w:p>
        </w:tc>
        <w:tc>
          <w:tcPr>
            <w:tcW w:w="1285" w:type="dxa"/>
            <w:tcBorders>
              <w:tl2br w:val="nil"/>
              <w:tr2bl w:val="nil"/>
            </w:tcBorders>
            <w:vAlign w:val="center"/>
          </w:tcPr>
          <w:p w14:paraId="26EDB88F">
            <w:pPr>
              <w:pStyle w:val="98"/>
              <w:ind w:left="-105" w:right="-105"/>
              <w:rPr>
                <w:rFonts w:eastAsia="宋体"/>
                <w:color w:val="auto"/>
                <w:sz w:val="21"/>
                <w:szCs w:val="21"/>
                <w:highlight w:val="none"/>
              </w:rPr>
            </w:pPr>
            <w:r>
              <w:rPr>
                <w:rFonts w:eastAsia="宋体"/>
                <w:color w:val="auto"/>
                <w:sz w:val="21"/>
                <w:szCs w:val="21"/>
                <w:highlight w:val="none"/>
              </w:rPr>
              <w:t>200</w:t>
            </w:r>
          </w:p>
        </w:tc>
        <w:tc>
          <w:tcPr>
            <w:tcW w:w="1289" w:type="dxa"/>
            <w:tcBorders>
              <w:tl2br w:val="nil"/>
              <w:tr2bl w:val="nil"/>
            </w:tcBorders>
            <w:vAlign w:val="center"/>
          </w:tcPr>
          <w:p w14:paraId="1167AE9F">
            <w:pPr>
              <w:pStyle w:val="98"/>
              <w:ind w:left="-105" w:right="-105"/>
              <w:rPr>
                <w:rFonts w:eastAsia="宋体"/>
                <w:color w:val="auto"/>
                <w:sz w:val="21"/>
                <w:szCs w:val="21"/>
                <w:highlight w:val="none"/>
              </w:rPr>
            </w:pPr>
            <w:r>
              <w:rPr>
                <w:rFonts w:eastAsia="宋体"/>
                <w:color w:val="auto"/>
                <w:sz w:val="21"/>
                <w:szCs w:val="21"/>
                <w:highlight w:val="none"/>
              </w:rPr>
              <w:t>2000</w:t>
            </w:r>
          </w:p>
        </w:tc>
      </w:tr>
      <w:tr w14:paraId="2BCF8CD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660" w:type="dxa"/>
            <w:tcBorders>
              <w:tl2br w:val="nil"/>
              <w:tr2bl w:val="nil"/>
            </w:tcBorders>
            <w:vAlign w:val="center"/>
          </w:tcPr>
          <w:p w14:paraId="335A7134">
            <w:pPr>
              <w:pStyle w:val="98"/>
              <w:ind w:left="-105" w:right="-105"/>
              <w:rPr>
                <w:rFonts w:eastAsia="宋体"/>
                <w:color w:val="auto"/>
                <w:sz w:val="21"/>
                <w:szCs w:val="21"/>
                <w:highlight w:val="none"/>
              </w:rPr>
            </w:pPr>
            <w:r>
              <w:rPr>
                <w:rFonts w:eastAsia="宋体"/>
                <w:color w:val="auto"/>
                <w:sz w:val="21"/>
                <w:szCs w:val="21"/>
                <w:highlight w:val="none"/>
              </w:rPr>
              <w:t>15</w:t>
            </w:r>
          </w:p>
        </w:tc>
        <w:tc>
          <w:tcPr>
            <w:tcW w:w="1933" w:type="dxa"/>
            <w:tcBorders>
              <w:tl2br w:val="nil"/>
              <w:tr2bl w:val="nil"/>
            </w:tcBorders>
            <w:vAlign w:val="center"/>
          </w:tcPr>
          <w:p w14:paraId="5C0CB9B5">
            <w:pPr>
              <w:pStyle w:val="98"/>
              <w:ind w:left="-105" w:right="-105"/>
              <w:rPr>
                <w:rFonts w:eastAsia="宋体"/>
                <w:color w:val="auto"/>
                <w:sz w:val="21"/>
                <w:szCs w:val="21"/>
                <w:highlight w:val="none"/>
              </w:rPr>
            </w:pPr>
            <w:r>
              <w:rPr>
                <w:rFonts w:eastAsia="宋体"/>
                <w:color w:val="auto"/>
                <w:sz w:val="21"/>
                <w:szCs w:val="21"/>
                <w:highlight w:val="none"/>
              </w:rPr>
              <w:t>反-1,2-二氯乙烯</w:t>
            </w:r>
          </w:p>
        </w:tc>
        <w:tc>
          <w:tcPr>
            <w:tcW w:w="1323" w:type="dxa"/>
            <w:tcBorders>
              <w:tl2br w:val="nil"/>
              <w:tr2bl w:val="nil"/>
            </w:tcBorders>
            <w:vAlign w:val="center"/>
          </w:tcPr>
          <w:p w14:paraId="229B5CD0">
            <w:pPr>
              <w:pStyle w:val="98"/>
              <w:ind w:left="-105" w:right="-105"/>
              <w:rPr>
                <w:rFonts w:eastAsia="宋体"/>
                <w:color w:val="auto"/>
                <w:sz w:val="21"/>
                <w:szCs w:val="21"/>
                <w:highlight w:val="none"/>
              </w:rPr>
            </w:pPr>
            <w:r>
              <w:rPr>
                <w:rFonts w:eastAsia="宋体"/>
                <w:color w:val="auto"/>
                <w:sz w:val="21"/>
                <w:szCs w:val="21"/>
                <w:highlight w:val="none"/>
              </w:rPr>
              <w:t>156-60-5</w:t>
            </w:r>
          </w:p>
        </w:tc>
        <w:tc>
          <w:tcPr>
            <w:tcW w:w="1283" w:type="dxa"/>
            <w:tcBorders>
              <w:tl2br w:val="nil"/>
              <w:tr2bl w:val="nil"/>
            </w:tcBorders>
            <w:vAlign w:val="center"/>
          </w:tcPr>
          <w:p w14:paraId="3C9C5E12">
            <w:pPr>
              <w:pStyle w:val="98"/>
              <w:ind w:left="-105" w:right="-105"/>
              <w:rPr>
                <w:rFonts w:eastAsia="宋体"/>
                <w:color w:val="auto"/>
                <w:sz w:val="21"/>
                <w:szCs w:val="21"/>
                <w:highlight w:val="none"/>
              </w:rPr>
            </w:pPr>
            <w:r>
              <w:rPr>
                <w:rFonts w:eastAsia="宋体"/>
                <w:color w:val="auto"/>
                <w:sz w:val="21"/>
                <w:szCs w:val="21"/>
                <w:highlight w:val="none"/>
              </w:rPr>
              <w:t>10</w:t>
            </w:r>
          </w:p>
        </w:tc>
        <w:tc>
          <w:tcPr>
            <w:tcW w:w="1292" w:type="dxa"/>
            <w:tcBorders>
              <w:tl2br w:val="nil"/>
              <w:tr2bl w:val="nil"/>
            </w:tcBorders>
            <w:vAlign w:val="center"/>
          </w:tcPr>
          <w:p w14:paraId="55352E07">
            <w:pPr>
              <w:pStyle w:val="98"/>
              <w:ind w:left="-105" w:right="-105"/>
              <w:rPr>
                <w:rFonts w:eastAsia="宋体"/>
                <w:color w:val="auto"/>
                <w:sz w:val="21"/>
                <w:szCs w:val="21"/>
                <w:highlight w:val="none"/>
              </w:rPr>
            </w:pPr>
            <w:r>
              <w:rPr>
                <w:rFonts w:eastAsia="宋体"/>
                <w:color w:val="auto"/>
                <w:sz w:val="21"/>
                <w:szCs w:val="21"/>
                <w:highlight w:val="none"/>
              </w:rPr>
              <w:t>54</w:t>
            </w:r>
          </w:p>
        </w:tc>
        <w:tc>
          <w:tcPr>
            <w:tcW w:w="1285" w:type="dxa"/>
            <w:tcBorders>
              <w:tl2br w:val="nil"/>
              <w:tr2bl w:val="nil"/>
            </w:tcBorders>
            <w:vAlign w:val="center"/>
          </w:tcPr>
          <w:p w14:paraId="19715135">
            <w:pPr>
              <w:pStyle w:val="98"/>
              <w:ind w:left="-105" w:right="-105"/>
              <w:rPr>
                <w:rFonts w:eastAsia="宋体"/>
                <w:color w:val="auto"/>
                <w:sz w:val="21"/>
                <w:szCs w:val="21"/>
                <w:highlight w:val="none"/>
              </w:rPr>
            </w:pPr>
            <w:r>
              <w:rPr>
                <w:rFonts w:eastAsia="宋体"/>
                <w:color w:val="auto"/>
                <w:sz w:val="21"/>
                <w:szCs w:val="21"/>
                <w:highlight w:val="none"/>
              </w:rPr>
              <w:t>31</w:t>
            </w:r>
          </w:p>
        </w:tc>
        <w:tc>
          <w:tcPr>
            <w:tcW w:w="1289" w:type="dxa"/>
            <w:tcBorders>
              <w:tl2br w:val="nil"/>
              <w:tr2bl w:val="nil"/>
            </w:tcBorders>
            <w:vAlign w:val="center"/>
          </w:tcPr>
          <w:p w14:paraId="16F74789">
            <w:pPr>
              <w:pStyle w:val="98"/>
              <w:ind w:left="-105" w:right="-105"/>
              <w:rPr>
                <w:rFonts w:eastAsia="宋体"/>
                <w:color w:val="auto"/>
                <w:sz w:val="21"/>
                <w:szCs w:val="21"/>
                <w:highlight w:val="none"/>
              </w:rPr>
            </w:pPr>
            <w:r>
              <w:rPr>
                <w:rFonts w:eastAsia="宋体"/>
                <w:color w:val="auto"/>
                <w:sz w:val="21"/>
                <w:szCs w:val="21"/>
                <w:highlight w:val="none"/>
              </w:rPr>
              <w:t>163</w:t>
            </w:r>
          </w:p>
        </w:tc>
      </w:tr>
      <w:tr w14:paraId="23CF618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660" w:type="dxa"/>
            <w:tcBorders>
              <w:tl2br w:val="nil"/>
              <w:tr2bl w:val="nil"/>
            </w:tcBorders>
            <w:vAlign w:val="center"/>
          </w:tcPr>
          <w:p w14:paraId="7396C9DF">
            <w:pPr>
              <w:pStyle w:val="98"/>
              <w:ind w:left="-105" w:right="-105"/>
              <w:rPr>
                <w:rFonts w:eastAsia="宋体"/>
                <w:color w:val="auto"/>
                <w:sz w:val="21"/>
                <w:szCs w:val="21"/>
                <w:highlight w:val="none"/>
              </w:rPr>
            </w:pPr>
            <w:r>
              <w:rPr>
                <w:rFonts w:eastAsia="宋体"/>
                <w:color w:val="auto"/>
                <w:sz w:val="21"/>
                <w:szCs w:val="21"/>
                <w:highlight w:val="none"/>
              </w:rPr>
              <w:t>16</w:t>
            </w:r>
          </w:p>
        </w:tc>
        <w:tc>
          <w:tcPr>
            <w:tcW w:w="1933" w:type="dxa"/>
            <w:tcBorders>
              <w:tl2br w:val="nil"/>
              <w:tr2bl w:val="nil"/>
            </w:tcBorders>
            <w:vAlign w:val="center"/>
          </w:tcPr>
          <w:p w14:paraId="2C3F21BB">
            <w:pPr>
              <w:pStyle w:val="98"/>
              <w:ind w:left="-105" w:right="-105"/>
              <w:rPr>
                <w:rFonts w:eastAsia="宋体"/>
                <w:color w:val="auto"/>
                <w:sz w:val="21"/>
                <w:szCs w:val="21"/>
                <w:highlight w:val="none"/>
              </w:rPr>
            </w:pPr>
            <w:r>
              <w:rPr>
                <w:rFonts w:eastAsia="宋体"/>
                <w:color w:val="auto"/>
                <w:sz w:val="21"/>
                <w:szCs w:val="21"/>
                <w:highlight w:val="none"/>
              </w:rPr>
              <w:t>二氯甲烷</w:t>
            </w:r>
          </w:p>
        </w:tc>
        <w:tc>
          <w:tcPr>
            <w:tcW w:w="1323" w:type="dxa"/>
            <w:tcBorders>
              <w:tl2br w:val="nil"/>
              <w:tr2bl w:val="nil"/>
            </w:tcBorders>
            <w:vAlign w:val="center"/>
          </w:tcPr>
          <w:p w14:paraId="034802CD">
            <w:pPr>
              <w:pStyle w:val="98"/>
              <w:ind w:left="-105" w:right="-105"/>
              <w:rPr>
                <w:rFonts w:eastAsia="宋体"/>
                <w:color w:val="auto"/>
                <w:sz w:val="21"/>
                <w:szCs w:val="21"/>
                <w:highlight w:val="none"/>
              </w:rPr>
            </w:pPr>
            <w:r>
              <w:rPr>
                <w:rFonts w:eastAsia="宋体"/>
                <w:color w:val="auto"/>
                <w:sz w:val="21"/>
                <w:szCs w:val="21"/>
                <w:highlight w:val="none"/>
              </w:rPr>
              <w:t>75-09-2</w:t>
            </w:r>
          </w:p>
        </w:tc>
        <w:tc>
          <w:tcPr>
            <w:tcW w:w="1283" w:type="dxa"/>
            <w:tcBorders>
              <w:tl2br w:val="nil"/>
              <w:tr2bl w:val="nil"/>
            </w:tcBorders>
            <w:vAlign w:val="center"/>
          </w:tcPr>
          <w:p w14:paraId="37F9B064">
            <w:pPr>
              <w:pStyle w:val="98"/>
              <w:ind w:left="-105" w:right="-105"/>
              <w:rPr>
                <w:rFonts w:eastAsia="宋体"/>
                <w:color w:val="auto"/>
                <w:sz w:val="21"/>
                <w:szCs w:val="21"/>
                <w:highlight w:val="none"/>
              </w:rPr>
            </w:pPr>
            <w:r>
              <w:rPr>
                <w:rFonts w:eastAsia="宋体"/>
                <w:color w:val="auto"/>
                <w:sz w:val="21"/>
                <w:szCs w:val="21"/>
                <w:highlight w:val="none"/>
              </w:rPr>
              <w:t>9 4</w:t>
            </w:r>
          </w:p>
        </w:tc>
        <w:tc>
          <w:tcPr>
            <w:tcW w:w="1292" w:type="dxa"/>
            <w:tcBorders>
              <w:tl2br w:val="nil"/>
              <w:tr2bl w:val="nil"/>
            </w:tcBorders>
            <w:vAlign w:val="center"/>
          </w:tcPr>
          <w:p w14:paraId="64AC7645">
            <w:pPr>
              <w:pStyle w:val="98"/>
              <w:ind w:left="-105" w:right="-105"/>
              <w:rPr>
                <w:rFonts w:eastAsia="宋体"/>
                <w:color w:val="auto"/>
                <w:sz w:val="21"/>
                <w:szCs w:val="21"/>
                <w:highlight w:val="none"/>
              </w:rPr>
            </w:pPr>
            <w:r>
              <w:rPr>
                <w:rFonts w:eastAsia="宋体"/>
                <w:color w:val="auto"/>
                <w:sz w:val="21"/>
                <w:szCs w:val="21"/>
                <w:highlight w:val="none"/>
              </w:rPr>
              <w:t>616</w:t>
            </w:r>
          </w:p>
        </w:tc>
        <w:tc>
          <w:tcPr>
            <w:tcW w:w="1285" w:type="dxa"/>
            <w:tcBorders>
              <w:tl2br w:val="nil"/>
              <w:tr2bl w:val="nil"/>
            </w:tcBorders>
            <w:vAlign w:val="center"/>
          </w:tcPr>
          <w:p w14:paraId="1CF4707E">
            <w:pPr>
              <w:pStyle w:val="98"/>
              <w:ind w:left="-105" w:right="-105"/>
              <w:rPr>
                <w:rFonts w:eastAsia="宋体"/>
                <w:color w:val="auto"/>
                <w:sz w:val="21"/>
                <w:szCs w:val="21"/>
                <w:highlight w:val="none"/>
              </w:rPr>
            </w:pPr>
            <w:r>
              <w:rPr>
                <w:rFonts w:eastAsia="宋体"/>
                <w:color w:val="auto"/>
                <w:sz w:val="21"/>
                <w:szCs w:val="21"/>
                <w:highlight w:val="none"/>
              </w:rPr>
              <w:t>300</w:t>
            </w:r>
          </w:p>
        </w:tc>
        <w:tc>
          <w:tcPr>
            <w:tcW w:w="1289" w:type="dxa"/>
            <w:tcBorders>
              <w:tl2br w:val="nil"/>
              <w:tr2bl w:val="nil"/>
            </w:tcBorders>
            <w:vAlign w:val="center"/>
          </w:tcPr>
          <w:p w14:paraId="15A38200">
            <w:pPr>
              <w:pStyle w:val="98"/>
              <w:ind w:left="-105" w:right="-105"/>
              <w:rPr>
                <w:rFonts w:eastAsia="宋体"/>
                <w:color w:val="auto"/>
                <w:sz w:val="21"/>
                <w:szCs w:val="21"/>
                <w:highlight w:val="none"/>
              </w:rPr>
            </w:pPr>
            <w:r>
              <w:rPr>
                <w:rFonts w:eastAsia="宋体"/>
                <w:color w:val="auto"/>
                <w:sz w:val="21"/>
                <w:szCs w:val="21"/>
                <w:highlight w:val="none"/>
              </w:rPr>
              <w:t>2000</w:t>
            </w:r>
          </w:p>
        </w:tc>
      </w:tr>
      <w:tr w14:paraId="265759F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660" w:type="dxa"/>
            <w:tcBorders>
              <w:tl2br w:val="nil"/>
              <w:tr2bl w:val="nil"/>
            </w:tcBorders>
            <w:vAlign w:val="center"/>
          </w:tcPr>
          <w:p w14:paraId="46F4B3CE">
            <w:pPr>
              <w:pStyle w:val="98"/>
              <w:ind w:left="-105" w:right="-105"/>
              <w:rPr>
                <w:rFonts w:eastAsia="宋体"/>
                <w:color w:val="auto"/>
                <w:sz w:val="21"/>
                <w:szCs w:val="21"/>
                <w:highlight w:val="none"/>
              </w:rPr>
            </w:pPr>
            <w:r>
              <w:rPr>
                <w:rFonts w:eastAsia="宋体"/>
                <w:color w:val="auto"/>
                <w:sz w:val="21"/>
                <w:szCs w:val="21"/>
                <w:highlight w:val="none"/>
              </w:rPr>
              <w:t>17</w:t>
            </w:r>
          </w:p>
        </w:tc>
        <w:tc>
          <w:tcPr>
            <w:tcW w:w="1933" w:type="dxa"/>
            <w:tcBorders>
              <w:tl2br w:val="nil"/>
              <w:tr2bl w:val="nil"/>
            </w:tcBorders>
            <w:vAlign w:val="center"/>
          </w:tcPr>
          <w:p w14:paraId="0E53AB55">
            <w:pPr>
              <w:pStyle w:val="98"/>
              <w:ind w:left="-105" w:right="-105"/>
              <w:rPr>
                <w:rFonts w:eastAsia="宋体"/>
                <w:color w:val="auto"/>
                <w:sz w:val="21"/>
                <w:szCs w:val="21"/>
                <w:highlight w:val="none"/>
              </w:rPr>
            </w:pPr>
            <w:r>
              <w:rPr>
                <w:rFonts w:eastAsia="宋体"/>
                <w:color w:val="auto"/>
                <w:sz w:val="21"/>
                <w:szCs w:val="21"/>
                <w:highlight w:val="none"/>
              </w:rPr>
              <w:t>1,2-二氯丙烷</w:t>
            </w:r>
          </w:p>
        </w:tc>
        <w:tc>
          <w:tcPr>
            <w:tcW w:w="1323" w:type="dxa"/>
            <w:tcBorders>
              <w:tl2br w:val="nil"/>
              <w:tr2bl w:val="nil"/>
            </w:tcBorders>
            <w:vAlign w:val="center"/>
          </w:tcPr>
          <w:p w14:paraId="637D1391">
            <w:pPr>
              <w:pStyle w:val="98"/>
              <w:ind w:left="-105" w:right="-105"/>
              <w:rPr>
                <w:rFonts w:eastAsia="宋体"/>
                <w:color w:val="auto"/>
                <w:sz w:val="21"/>
                <w:szCs w:val="21"/>
                <w:highlight w:val="none"/>
              </w:rPr>
            </w:pPr>
            <w:r>
              <w:rPr>
                <w:rFonts w:eastAsia="宋体"/>
                <w:color w:val="auto"/>
                <w:sz w:val="21"/>
                <w:szCs w:val="21"/>
                <w:highlight w:val="none"/>
              </w:rPr>
              <w:t>78-87-5</w:t>
            </w:r>
          </w:p>
        </w:tc>
        <w:tc>
          <w:tcPr>
            <w:tcW w:w="1283" w:type="dxa"/>
            <w:tcBorders>
              <w:tl2br w:val="nil"/>
              <w:tr2bl w:val="nil"/>
            </w:tcBorders>
            <w:vAlign w:val="center"/>
          </w:tcPr>
          <w:p w14:paraId="18E77899">
            <w:pPr>
              <w:pStyle w:val="98"/>
              <w:ind w:left="-105" w:right="-105"/>
              <w:rPr>
                <w:rFonts w:eastAsia="宋体"/>
                <w:color w:val="auto"/>
                <w:sz w:val="21"/>
                <w:szCs w:val="21"/>
                <w:highlight w:val="none"/>
              </w:rPr>
            </w:pPr>
            <w:r>
              <w:rPr>
                <w:rFonts w:eastAsia="宋体"/>
                <w:color w:val="auto"/>
                <w:sz w:val="21"/>
                <w:szCs w:val="21"/>
                <w:highlight w:val="none"/>
              </w:rPr>
              <w:t>1</w:t>
            </w:r>
          </w:p>
        </w:tc>
        <w:tc>
          <w:tcPr>
            <w:tcW w:w="1292" w:type="dxa"/>
            <w:tcBorders>
              <w:tl2br w:val="nil"/>
              <w:tr2bl w:val="nil"/>
            </w:tcBorders>
            <w:vAlign w:val="center"/>
          </w:tcPr>
          <w:p w14:paraId="6AB4EC79">
            <w:pPr>
              <w:pStyle w:val="98"/>
              <w:ind w:left="-105" w:right="-105"/>
              <w:rPr>
                <w:rFonts w:eastAsia="宋体"/>
                <w:color w:val="auto"/>
                <w:sz w:val="21"/>
                <w:szCs w:val="21"/>
                <w:highlight w:val="none"/>
              </w:rPr>
            </w:pPr>
            <w:r>
              <w:rPr>
                <w:rFonts w:eastAsia="宋体"/>
                <w:color w:val="auto"/>
                <w:sz w:val="21"/>
                <w:szCs w:val="21"/>
                <w:highlight w:val="none"/>
              </w:rPr>
              <w:t>5</w:t>
            </w:r>
          </w:p>
        </w:tc>
        <w:tc>
          <w:tcPr>
            <w:tcW w:w="1285" w:type="dxa"/>
            <w:tcBorders>
              <w:tl2br w:val="nil"/>
              <w:tr2bl w:val="nil"/>
            </w:tcBorders>
            <w:vAlign w:val="center"/>
          </w:tcPr>
          <w:p w14:paraId="305DAB1C">
            <w:pPr>
              <w:pStyle w:val="98"/>
              <w:ind w:left="-105" w:right="-105"/>
              <w:rPr>
                <w:rFonts w:eastAsia="宋体"/>
                <w:color w:val="auto"/>
                <w:sz w:val="21"/>
                <w:szCs w:val="21"/>
                <w:highlight w:val="none"/>
              </w:rPr>
            </w:pPr>
            <w:r>
              <w:rPr>
                <w:rFonts w:eastAsia="宋体"/>
                <w:color w:val="auto"/>
                <w:sz w:val="21"/>
                <w:szCs w:val="21"/>
                <w:highlight w:val="none"/>
              </w:rPr>
              <w:t>5</w:t>
            </w:r>
          </w:p>
        </w:tc>
        <w:tc>
          <w:tcPr>
            <w:tcW w:w="1289" w:type="dxa"/>
            <w:tcBorders>
              <w:tl2br w:val="nil"/>
              <w:tr2bl w:val="nil"/>
            </w:tcBorders>
            <w:vAlign w:val="center"/>
          </w:tcPr>
          <w:p w14:paraId="0490AEAB">
            <w:pPr>
              <w:pStyle w:val="98"/>
              <w:ind w:left="-105" w:right="-105"/>
              <w:rPr>
                <w:rFonts w:eastAsia="宋体"/>
                <w:color w:val="auto"/>
                <w:sz w:val="21"/>
                <w:szCs w:val="21"/>
                <w:highlight w:val="none"/>
              </w:rPr>
            </w:pPr>
            <w:r>
              <w:rPr>
                <w:rFonts w:eastAsia="宋体"/>
                <w:color w:val="auto"/>
                <w:sz w:val="21"/>
                <w:szCs w:val="21"/>
                <w:highlight w:val="none"/>
              </w:rPr>
              <w:t>47</w:t>
            </w:r>
          </w:p>
        </w:tc>
      </w:tr>
      <w:tr w14:paraId="5F7CA45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660" w:type="dxa"/>
            <w:tcBorders>
              <w:tl2br w:val="nil"/>
              <w:tr2bl w:val="nil"/>
            </w:tcBorders>
            <w:vAlign w:val="center"/>
          </w:tcPr>
          <w:p w14:paraId="38C5BCBA">
            <w:pPr>
              <w:pStyle w:val="98"/>
              <w:ind w:left="-105" w:right="-105"/>
              <w:rPr>
                <w:rFonts w:eastAsia="宋体"/>
                <w:color w:val="auto"/>
                <w:sz w:val="21"/>
                <w:szCs w:val="21"/>
                <w:highlight w:val="none"/>
              </w:rPr>
            </w:pPr>
            <w:r>
              <w:rPr>
                <w:rFonts w:eastAsia="宋体"/>
                <w:color w:val="auto"/>
                <w:sz w:val="21"/>
                <w:szCs w:val="21"/>
                <w:highlight w:val="none"/>
              </w:rPr>
              <w:t>18</w:t>
            </w:r>
          </w:p>
        </w:tc>
        <w:tc>
          <w:tcPr>
            <w:tcW w:w="1933" w:type="dxa"/>
            <w:tcBorders>
              <w:tl2br w:val="nil"/>
              <w:tr2bl w:val="nil"/>
            </w:tcBorders>
            <w:vAlign w:val="center"/>
          </w:tcPr>
          <w:p w14:paraId="7D9E3626">
            <w:pPr>
              <w:pStyle w:val="98"/>
              <w:ind w:left="-105" w:right="-105"/>
              <w:rPr>
                <w:rFonts w:eastAsia="宋体"/>
                <w:color w:val="auto"/>
                <w:sz w:val="21"/>
                <w:szCs w:val="21"/>
                <w:highlight w:val="none"/>
              </w:rPr>
            </w:pPr>
            <w:r>
              <w:rPr>
                <w:rFonts w:eastAsia="宋体"/>
                <w:color w:val="auto"/>
                <w:sz w:val="21"/>
                <w:szCs w:val="21"/>
                <w:highlight w:val="none"/>
              </w:rPr>
              <w:t>1,1,1,2-四氯乙烷</w:t>
            </w:r>
          </w:p>
        </w:tc>
        <w:tc>
          <w:tcPr>
            <w:tcW w:w="1323" w:type="dxa"/>
            <w:tcBorders>
              <w:tl2br w:val="nil"/>
              <w:tr2bl w:val="nil"/>
            </w:tcBorders>
            <w:vAlign w:val="center"/>
          </w:tcPr>
          <w:p w14:paraId="740886B3">
            <w:pPr>
              <w:pStyle w:val="98"/>
              <w:ind w:left="-105" w:right="-105"/>
              <w:rPr>
                <w:rFonts w:eastAsia="宋体"/>
                <w:color w:val="auto"/>
                <w:sz w:val="21"/>
                <w:szCs w:val="21"/>
                <w:highlight w:val="none"/>
              </w:rPr>
            </w:pPr>
            <w:r>
              <w:rPr>
                <w:rFonts w:eastAsia="宋体"/>
                <w:color w:val="auto"/>
                <w:sz w:val="21"/>
                <w:szCs w:val="21"/>
                <w:highlight w:val="none"/>
              </w:rPr>
              <w:t>630-20-6</w:t>
            </w:r>
          </w:p>
        </w:tc>
        <w:tc>
          <w:tcPr>
            <w:tcW w:w="1283" w:type="dxa"/>
            <w:tcBorders>
              <w:tl2br w:val="nil"/>
              <w:tr2bl w:val="nil"/>
            </w:tcBorders>
            <w:vAlign w:val="center"/>
          </w:tcPr>
          <w:p w14:paraId="140FB20C">
            <w:pPr>
              <w:pStyle w:val="98"/>
              <w:ind w:left="-105" w:right="-105"/>
              <w:rPr>
                <w:rFonts w:eastAsia="宋体"/>
                <w:color w:val="auto"/>
                <w:sz w:val="21"/>
                <w:szCs w:val="21"/>
                <w:highlight w:val="none"/>
              </w:rPr>
            </w:pPr>
            <w:r>
              <w:rPr>
                <w:rFonts w:eastAsia="宋体"/>
                <w:color w:val="auto"/>
                <w:sz w:val="21"/>
                <w:szCs w:val="21"/>
                <w:highlight w:val="none"/>
              </w:rPr>
              <w:t>2.6</w:t>
            </w:r>
          </w:p>
        </w:tc>
        <w:tc>
          <w:tcPr>
            <w:tcW w:w="1292" w:type="dxa"/>
            <w:tcBorders>
              <w:tl2br w:val="nil"/>
              <w:tr2bl w:val="nil"/>
            </w:tcBorders>
            <w:vAlign w:val="center"/>
          </w:tcPr>
          <w:p w14:paraId="73695D7C">
            <w:pPr>
              <w:pStyle w:val="98"/>
              <w:ind w:left="-105" w:right="-105"/>
              <w:rPr>
                <w:rFonts w:eastAsia="宋体"/>
                <w:color w:val="auto"/>
                <w:sz w:val="21"/>
                <w:szCs w:val="21"/>
                <w:highlight w:val="none"/>
              </w:rPr>
            </w:pPr>
            <w:r>
              <w:rPr>
                <w:rFonts w:eastAsia="宋体"/>
                <w:color w:val="auto"/>
                <w:sz w:val="21"/>
                <w:szCs w:val="21"/>
                <w:highlight w:val="none"/>
              </w:rPr>
              <w:t>10</w:t>
            </w:r>
          </w:p>
        </w:tc>
        <w:tc>
          <w:tcPr>
            <w:tcW w:w="1285" w:type="dxa"/>
            <w:tcBorders>
              <w:tl2br w:val="nil"/>
              <w:tr2bl w:val="nil"/>
            </w:tcBorders>
            <w:vAlign w:val="center"/>
          </w:tcPr>
          <w:p w14:paraId="065DB3E1">
            <w:pPr>
              <w:pStyle w:val="98"/>
              <w:ind w:left="-105" w:right="-105"/>
              <w:rPr>
                <w:rFonts w:eastAsia="宋体"/>
                <w:color w:val="auto"/>
                <w:sz w:val="21"/>
                <w:szCs w:val="21"/>
                <w:highlight w:val="none"/>
              </w:rPr>
            </w:pPr>
            <w:r>
              <w:rPr>
                <w:rFonts w:eastAsia="宋体"/>
                <w:color w:val="auto"/>
                <w:sz w:val="21"/>
                <w:szCs w:val="21"/>
                <w:highlight w:val="none"/>
              </w:rPr>
              <w:t>26</w:t>
            </w:r>
          </w:p>
        </w:tc>
        <w:tc>
          <w:tcPr>
            <w:tcW w:w="1289" w:type="dxa"/>
            <w:tcBorders>
              <w:tl2br w:val="nil"/>
              <w:tr2bl w:val="nil"/>
            </w:tcBorders>
            <w:vAlign w:val="center"/>
          </w:tcPr>
          <w:p w14:paraId="6F7E1AE6">
            <w:pPr>
              <w:pStyle w:val="98"/>
              <w:ind w:left="-105" w:right="-105"/>
              <w:rPr>
                <w:rFonts w:eastAsia="宋体"/>
                <w:color w:val="auto"/>
                <w:sz w:val="21"/>
                <w:szCs w:val="21"/>
                <w:highlight w:val="none"/>
              </w:rPr>
            </w:pPr>
            <w:r>
              <w:rPr>
                <w:rFonts w:eastAsia="宋体"/>
                <w:color w:val="auto"/>
                <w:sz w:val="21"/>
                <w:szCs w:val="21"/>
                <w:highlight w:val="none"/>
              </w:rPr>
              <w:t>100</w:t>
            </w:r>
          </w:p>
        </w:tc>
      </w:tr>
      <w:tr w14:paraId="7E548B8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660" w:type="dxa"/>
            <w:tcBorders>
              <w:tl2br w:val="nil"/>
              <w:tr2bl w:val="nil"/>
            </w:tcBorders>
            <w:vAlign w:val="center"/>
          </w:tcPr>
          <w:p w14:paraId="590F5E0A">
            <w:pPr>
              <w:pStyle w:val="98"/>
              <w:ind w:left="-105" w:right="-105"/>
              <w:rPr>
                <w:rFonts w:eastAsia="宋体"/>
                <w:color w:val="auto"/>
                <w:sz w:val="21"/>
                <w:szCs w:val="21"/>
                <w:highlight w:val="none"/>
              </w:rPr>
            </w:pPr>
            <w:r>
              <w:rPr>
                <w:rFonts w:eastAsia="宋体"/>
                <w:color w:val="auto"/>
                <w:sz w:val="21"/>
                <w:szCs w:val="21"/>
                <w:highlight w:val="none"/>
              </w:rPr>
              <w:t>19</w:t>
            </w:r>
          </w:p>
        </w:tc>
        <w:tc>
          <w:tcPr>
            <w:tcW w:w="1933" w:type="dxa"/>
            <w:tcBorders>
              <w:tl2br w:val="nil"/>
              <w:tr2bl w:val="nil"/>
            </w:tcBorders>
            <w:vAlign w:val="center"/>
          </w:tcPr>
          <w:p w14:paraId="00B44845">
            <w:pPr>
              <w:pStyle w:val="98"/>
              <w:ind w:left="-105" w:right="-105"/>
              <w:rPr>
                <w:rFonts w:eastAsia="宋体"/>
                <w:color w:val="auto"/>
                <w:sz w:val="21"/>
                <w:szCs w:val="21"/>
                <w:highlight w:val="none"/>
              </w:rPr>
            </w:pPr>
            <w:r>
              <w:rPr>
                <w:rFonts w:eastAsia="宋体"/>
                <w:color w:val="auto"/>
                <w:sz w:val="21"/>
                <w:szCs w:val="21"/>
                <w:highlight w:val="none"/>
              </w:rPr>
              <w:t>1,1,2,2-四氯乙烷</w:t>
            </w:r>
          </w:p>
        </w:tc>
        <w:tc>
          <w:tcPr>
            <w:tcW w:w="1323" w:type="dxa"/>
            <w:tcBorders>
              <w:tl2br w:val="nil"/>
              <w:tr2bl w:val="nil"/>
            </w:tcBorders>
            <w:vAlign w:val="center"/>
          </w:tcPr>
          <w:p w14:paraId="6CBEFA47">
            <w:pPr>
              <w:pStyle w:val="98"/>
              <w:ind w:left="-105" w:right="-105"/>
              <w:rPr>
                <w:rFonts w:eastAsia="宋体"/>
                <w:color w:val="auto"/>
                <w:sz w:val="21"/>
                <w:szCs w:val="21"/>
                <w:highlight w:val="none"/>
              </w:rPr>
            </w:pPr>
            <w:r>
              <w:rPr>
                <w:rFonts w:eastAsia="宋体"/>
                <w:color w:val="auto"/>
                <w:sz w:val="21"/>
                <w:szCs w:val="21"/>
                <w:highlight w:val="none"/>
              </w:rPr>
              <w:t>79-34-5</w:t>
            </w:r>
          </w:p>
        </w:tc>
        <w:tc>
          <w:tcPr>
            <w:tcW w:w="1283" w:type="dxa"/>
            <w:tcBorders>
              <w:tl2br w:val="nil"/>
              <w:tr2bl w:val="nil"/>
            </w:tcBorders>
            <w:vAlign w:val="center"/>
          </w:tcPr>
          <w:p w14:paraId="1AB1E1F3">
            <w:pPr>
              <w:pStyle w:val="98"/>
              <w:ind w:left="-105" w:right="-105"/>
              <w:rPr>
                <w:rFonts w:eastAsia="宋体"/>
                <w:color w:val="auto"/>
                <w:sz w:val="21"/>
                <w:szCs w:val="21"/>
                <w:highlight w:val="none"/>
              </w:rPr>
            </w:pPr>
            <w:r>
              <w:rPr>
                <w:rFonts w:eastAsia="宋体"/>
                <w:color w:val="auto"/>
                <w:sz w:val="21"/>
                <w:szCs w:val="21"/>
                <w:highlight w:val="none"/>
              </w:rPr>
              <w:t>1.6</w:t>
            </w:r>
          </w:p>
        </w:tc>
        <w:tc>
          <w:tcPr>
            <w:tcW w:w="1292" w:type="dxa"/>
            <w:tcBorders>
              <w:tl2br w:val="nil"/>
              <w:tr2bl w:val="nil"/>
            </w:tcBorders>
            <w:vAlign w:val="center"/>
          </w:tcPr>
          <w:p w14:paraId="77659A5B">
            <w:pPr>
              <w:pStyle w:val="98"/>
              <w:ind w:left="-105" w:right="-105"/>
              <w:rPr>
                <w:rFonts w:eastAsia="宋体"/>
                <w:color w:val="auto"/>
                <w:sz w:val="21"/>
                <w:szCs w:val="21"/>
                <w:highlight w:val="none"/>
              </w:rPr>
            </w:pPr>
            <w:r>
              <w:rPr>
                <w:rFonts w:eastAsia="宋体"/>
                <w:color w:val="auto"/>
                <w:sz w:val="21"/>
                <w:szCs w:val="21"/>
                <w:highlight w:val="none"/>
              </w:rPr>
              <w:t>6.8</w:t>
            </w:r>
          </w:p>
        </w:tc>
        <w:tc>
          <w:tcPr>
            <w:tcW w:w="1285" w:type="dxa"/>
            <w:tcBorders>
              <w:tl2br w:val="nil"/>
              <w:tr2bl w:val="nil"/>
            </w:tcBorders>
            <w:vAlign w:val="center"/>
          </w:tcPr>
          <w:p w14:paraId="1634A183">
            <w:pPr>
              <w:pStyle w:val="98"/>
              <w:ind w:left="-105" w:right="-105"/>
              <w:rPr>
                <w:rFonts w:eastAsia="宋体"/>
                <w:color w:val="auto"/>
                <w:sz w:val="21"/>
                <w:szCs w:val="21"/>
                <w:highlight w:val="none"/>
              </w:rPr>
            </w:pPr>
            <w:r>
              <w:rPr>
                <w:rFonts w:eastAsia="宋体"/>
                <w:color w:val="auto"/>
                <w:sz w:val="21"/>
                <w:szCs w:val="21"/>
                <w:highlight w:val="none"/>
              </w:rPr>
              <w:t>14</w:t>
            </w:r>
          </w:p>
        </w:tc>
        <w:tc>
          <w:tcPr>
            <w:tcW w:w="1289" w:type="dxa"/>
            <w:tcBorders>
              <w:tl2br w:val="nil"/>
              <w:tr2bl w:val="nil"/>
            </w:tcBorders>
            <w:vAlign w:val="center"/>
          </w:tcPr>
          <w:p w14:paraId="66D9799E">
            <w:pPr>
              <w:pStyle w:val="98"/>
              <w:ind w:left="-105" w:right="-105"/>
              <w:rPr>
                <w:rFonts w:eastAsia="宋体"/>
                <w:color w:val="auto"/>
                <w:sz w:val="21"/>
                <w:szCs w:val="21"/>
                <w:highlight w:val="none"/>
              </w:rPr>
            </w:pPr>
            <w:r>
              <w:rPr>
                <w:rFonts w:eastAsia="宋体"/>
                <w:color w:val="auto"/>
                <w:sz w:val="21"/>
                <w:szCs w:val="21"/>
                <w:highlight w:val="none"/>
              </w:rPr>
              <w:t>50</w:t>
            </w:r>
          </w:p>
        </w:tc>
      </w:tr>
      <w:tr w14:paraId="267CB18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60" w:type="dxa"/>
            <w:tcBorders>
              <w:tl2br w:val="nil"/>
              <w:tr2bl w:val="nil"/>
            </w:tcBorders>
            <w:vAlign w:val="center"/>
          </w:tcPr>
          <w:p w14:paraId="6643179D">
            <w:pPr>
              <w:pStyle w:val="98"/>
              <w:ind w:left="-105" w:right="-105"/>
              <w:rPr>
                <w:rFonts w:eastAsia="宋体"/>
                <w:color w:val="auto"/>
                <w:sz w:val="21"/>
                <w:szCs w:val="21"/>
                <w:highlight w:val="none"/>
              </w:rPr>
            </w:pPr>
            <w:r>
              <w:rPr>
                <w:rFonts w:eastAsia="宋体"/>
                <w:color w:val="auto"/>
                <w:sz w:val="21"/>
                <w:szCs w:val="21"/>
                <w:highlight w:val="none"/>
              </w:rPr>
              <w:t>20</w:t>
            </w:r>
          </w:p>
        </w:tc>
        <w:tc>
          <w:tcPr>
            <w:tcW w:w="1933" w:type="dxa"/>
            <w:tcBorders>
              <w:tl2br w:val="nil"/>
              <w:tr2bl w:val="nil"/>
            </w:tcBorders>
            <w:vAlign w:val="center"/>
          </w:tcPr>
          <w:p w14:paraId="437EDDB4">
            <w:pPr>
              <w:pStyle w:val="98"/>
              <w:ind w:left="-105" w:right="-105"/>
              <w:rPr>
                <w:rFonts w:eastAsia="宋体"/>
                <w:color w:val="auto"/>
                <w:sz w:val="21"/>
                <w:szCs w:val="21"/>
                <w:highlight w:val="none"/>
              </w:rPr>
            </w:pPr>
            <w:r>
              <w:rPr>
                <w:rFonts w:eastAsia="宋体"/>
                <w:color w:val="auto"/>
                <w:sz w:val="21"/>
                <w:szCs w:val="21"/>
                <w:highlight w:val="none"/>
              </w:rPr>
              <w:t>四氯乙烯</w:t>
            </w:r>
          </w:p>
        </w:tc>
        <w:tc>
          <w:tcPr>
            <w:tcW w:w="1323" w:type="dxa"/>
            <w:tcBorders>
              <w:tl2br w:val="nil"/>
              <w:tr2bl w:val="nil"/>
            </w:tcBorders>
            <w:vAlign w:val="center"/>
          </w:tcPr>
          <w:p w14:paraId="648DC38E">
            <w:pPr>
              <w:pStyle w:val="98"/>
              <w:ind w:left="-105" w:right="-105"/>
              <w:rPr>
                <w:rFonts w:eastAsia="宋体"/>
                <w:color w:val="auto"/>
                <w:sz w:val="21"/>
                <w:szCs w:val="21"/>
                <w:highlight w:val="none"/>
              </w:rPr>
            </w:pPr>
            <w:r>
              <w:rPr>
                <w:rFonts w:eastAsia="宋体"/>
                <w:color w:val="auto"/>
                <w:sz w:val="21"/>
                <w:szCs w:val="21"/>
                <w:highlight w:val="none"/>
              </w:rPr>
              <w:t>127-18-4</w:t>
            </w:r>
          </w:p>
        </w:tc>
        <w:tc>
          <w:tcPr>
            <w:tcW w:w="1283" w:type="dxa"/>
            <w:tcBorders>
              <w:tl2br w:val="nil"/>
              <w:tr2bl w:val="nil"/>
            </w:tcBorders>
            <w:vAlign w:val="center"/>
          </w:tcPr>
          <w:p w14:paraId="0E68965E">
            <w:pPr>
              <w:pStyle w:val="98"/>
              <w:ind w:left="-105" w:right="-105"/>
              <w:rPr>
                <w:rFonts w:eastAsia="宋体"/>
                <w:color w:val="auto"/>
                <w:sz w:val="21"/>
                <w:szCs w:val="21"/>
                <w:highlight w:val="none"/>
              </w:rPr>
            </w:pPr>
            <w:r>
              <w:rPr>
                <w:rFonts w:eastAsia="宋体"/>
                <w:color w:val="auto"/>
                <w:sz w:val="21"/>
                <w:szCs w:val="21"/>
                <w:highlight w:val="none"/>
              </w:rPr>
              <w:t>11</w:t>
            </w:r>
          </w:p>
        </w:tc>
        <w:tc>
          <w:tcPr>
            <w:tcW w:w="1292" w:type="dxa"/>
            <w:tcBorders>
              <w:tl2br w:val="nil"/>
              <w:tr2bl w:val="nil"/>
            </w:tcBorders>
            <w:vAlign w:val="center"/>
          </w:tcPr>
          <w:p w14:paraId="125AA8D9">
            <w:pPr>
              <w:pStyle w:val="98"/>
              <w:ind w:left="-105" w:right="-105"/>
              <w:rPr>
                <w:rFonts w:eastAsia="宋体"/>
                <w:color w:val="auto"/>
                <w:sz w:val="21"/>
                <w:szCs w:val="21"/>
                <w:highlight w:val="none"/>
              </w:rPr>
            </w:pPr>
            <w:r>
              <w:rPr>
                <w:rFonts w:eastAsia="宋体"/>
                <w:color w:val="auto"/>
                <w:sz w:val="21"/>
                <w:szCs w:val="21"/>
                <w:highlight w:val="none"/>
              </w:rPr>
              <w:t>53</w:t>
            </w:r>
          </w:p>
        </w:tc>
        <w:tc>
          <w:tcPr>
            <w:tcW w:w="1285" w:type="dxa"/>
            <w:tcBorders>
              <w:tl2br w:val="nil"/>
              <w:tr2bl w:val="nil"/>
            </w:tcBorders>
            <w:vAlign w:val="center"/>
          </w:tcPr>
          <w:p w14:paraId="36D0B632">
            <w:pPr>
              <w:pStyle w:val="98"/>
              <w:ind w:left="-105" w:right="-105"/>
              <w:rPr>
                <w:rFonts w:eastAsia="宋体"/>
                <w:color w:val="auto"/>
                <w:sz w:val="21"/>
                <w:szCs w:val="21"/>
                <w:highlight w:val="none"/>
              </w:rPr>
            </w:pPr>
            <w:r>
              <w:rPr>
                <w:rFonts w:eastAsia="宋体"/>
                <w:color w:val="auto"/>
                <w:sz w:val="21"/>
                <w:szCs w:val="21"/>
                <w:highlight w:val="none"/>
              </w:rPr>
              <w:t>34</w:t>
            </w:r>
          </w:p>
        </w:tc>
        <w:tc>
          <w:tcPr>
            <w:tcW w:w="1289" w:type="dxa"/>
            <w:tcBorders>
              <w:tl2br w:val="nil"/>
              <w:tr2bl w:val="nil"/>
            </w:tcBorders>
            <w:vAlign w:val="center"/>
          </w:tcPr>
          <w:p w14:paraId="5A28777B">
            <w:pPr>
              <w:pStyle w:val="98"/>
              <w:ind w:left="-105" w:right="-105"/>
              <w:rPr>
                <w:rFonts w:eastAsia="宋体"/>
                <w:color w:val="auto"/>
                <w:sz w:val="21"/>
                <w:szCs w:val="21"/>
                <w:highlight w:val="none"/>
              </w:rPr>
            </w:pPr>
            <w:r>
              <w:rPr>
                <w:rFonts w:eastAsia="宋体"/>
                <w:color w:val="auto"/>
                <w:sz w:val="21"/>
                <w:szCs w:val="21"/>
                <w:highlight w:val="none"/>
              </w:rPr>
              <w:t>183</w:t>
            </w:r>
          </w:p>
        </w:tc>
      </w:tr>
      <w:tr w14:paraId="3CA54F3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660" w:type="dxa"/>
            <w:tcBorders>
              <w:tl2br w:val="nil"/>
              <w:tr2bl w:val="nil"/>
            </w:tcBorders>
            <w:vAlign w:val="center"/>
          </w:tcPr>
          <w:p w14:paraId="3AABAF3C">
            <w:pPr>
              <w:pStyle w:val="98"/>
              <w:ind w:left="-105" w:right="-105"/>
              <w:rPr>
                <w:rFonts w:eastAsia="宋体"/>
                <w:color w:val="auto"/>
                <w:sz w:val="21"/>
                <w:szCs w:val="21"/>
                <w:highlight w:val="none"/>
              </w:rPr>
            </w:pPr>
            <w:r>
              <w:rPr>
                <w:rFonts w:eastAsia="宋体"/>
                <w:color w:val="auto"/>
                <w:sz w:val="21"/>
                <w:szCs w:val="21"/>
                <w:highlight w:val="none"/>
              </w:rPr>
              <w:t>21</w:t>
            </w:r>
          </w:p>
        </w:tc>
        <w:tc>
          <w:tcPr>
            <w:tcW w:w="1933" w:type="dxa"/>
            <w:tcBorders>
              <w:tl2br w:val="nil"/>
              <w:tr2bl w:val="nil"/>
            </w:tcBorders>
            <w:vAlign w:val="center"/>
          </w:tcPr>
          <w:p w14:paraId="20CE21BA">
            <w:pPr>
              <w:pStyle w:val="98"/>
              <w:ind w:left="-105" w:right="-105"/>
              <w:rPr>
                <w:rFonts w:eastAsia="宋体"/>
                <w:color w:val="auto"/>
                <w:sz w:val="21"/>
                <w:szCs w:val="21"/>
                <w:highlight w:val="none"/>
              </w:rPr>
            </w:pPr>
            <w:r>
              <w:rPr>
                <w:rFonts w:eastAsia="宋体"/>
                <w:color w:val="auto"/>
                <w:sz w:val="21"/>
                <w:szCs w:val="21"/>
                <w:highlight w:val="none"/>
              </w:rPr>
              <w:t>1,1,1-三氯乙烷</w:t>
            </w:r>
          </w:p>
        </w:tc>
        <w:tc>
          <w:tcPr>
            <w:tcW w:w="1323" w:type="dxa"/>
            <w:tcBorders>
              <w:tl2br w:val="nil"/>
              <w:tr2bl w:val="nil"/>
            </w:tcBorders>
            <w:vAlign w:val="center"/>
          </w:tcPr>
          <w:p w14:paraId="7BDCF519">
            <w:pPr>
              <w:pStyle w:val="98"/>
              <w:ind w:left="-105" w:right="-105"/>
              <w:rPr>
                <w:rFonts w:eastAsia="宋体"/>
                <w:color w:val="auto"/>
                <w:sz w:val="21"/>
                <w:szCs w:val="21"/>
                <w:highlight w:val="none"/>
              </w:rPr>
            </w:pPr>
            <w:r>
              <w:rPr>
                <w:rFonts w:eastAsia="宋体"/>
                <w:color w:val="auto"/>
                <w:sz w:val="21"/>
                <w:szCs w:val="21"/>
                <w:highlight w:val="none"/>
              </w:rPr>
              <w:t>71-55-6</w:t>
            </w:r>
          </w:p>
        </w:tc>
        <w:tc>
          <w:tcPr>
            <w:tcW w:w="1283" w:type="dxa"/>
            <w:tcBorders>
              <w:tl2br w:val="nil"/>
              <w:tr2bl w:val="nil"/>
            </w:tcBorders>
            <w:vAlign w:val="center"/>
          </w:tcPr>
          <w:p w14:paraId="79C0F822">
            <w:pPr>
              <w:pStyle w:val="98"/>
              <w:ind w:left="-105" w:right="-105"/>
              <w:rPr>
                <w:rFonts w:eastAsia="宋体"/>
                <w:color w:val="auto"/>
                <w:sz w:val="21"/>
                <w:szCs w:val="21"/>
                <w:highlight w:val="none"/>
              </w:rPr>
            </w:pPr>
            <w:r>
              <w:rPr>
                <w:rFonts w:eastAsia="宋体"/>
                <w:color w:val="auto"/>
                <w:sz w:val="21"/>
                <w:szCs w:val="21"/>
                <w:highlight w:val="none"/>
              </w:rPr>
              <w:t>701</w:t>
            </w:r>
          </w:p>
        </w:tc>
        <w:tc>
          <w:tcPr>
            <w:tcW w:w="1292" w:type="dxa"/>
            <w:tcBorders>
              <w:tl2br w:val="nil"/>
              <w:tr2bl w:val="nil"/>
            </w:tcBorders>
            <w:vAlign w:val="center"/>
          </w:tcPr>
          <w:p w14:paraId="24F49169">
            <w:pPr>
              <w:pStyle w:val="98"/>
              <w:ind w:left="-105" w:right="-105"/>
              <w:rPr>
                <w:rFonts w:eastAsia="宋体"/>
                <w:color w:val="auto"/>
                <w:sz w:val="21"/>
                <w:szCs w:val="21"/>
                <w:highlight w:val="none"/>
              </w:rPr>
            </w:pPr>
            <w:r>
              <w:rPr>
                <w:rFonts w:eastAsia="宋体"/>
                <w:color w:val="auto"/>
                <w:sz w:val="21"/>
                <w:szCs w:val="21"/>
                <w:highlight w:val="none"/>
              </w:rPr>
              <w:t>840</w:t>
            </w:r>
          </w:p>
        </w:tc>
        <w:tc>
          <w:tcPr>
            <w:tcW w:w="1285" w:type="dxa"/>
            <w:tcBorders>
              <w:tl2br w:val="nil"/>
              <w:tr2bl w:val="nil"/>
            </w:tcBorders>
            <w:vAlign w:val="center"/>
          </w:tcPr>
          <w:p w14:paraId="4B600DF5">
            <w:pPr>
              <w:pStyle w:val="98"/>
              <w:ind w:left="-105" w:right="-105"/>
              <w:rPr>
                <w:rFonts w:eastAsia="宋体"/>
                <w:color w:val="auto"/>
                <w:sz w:val="21"/>
                <w:szCs w:val="21"/>
                <w:highlight w:val="none"/>
              </w:rPr>
            </w:pPr>
            <w:r>
              <w:rPr>
                <w:rFonts w:eastAsia="宋体"/>
                <w:color w:val="auto"/>
                <w:sz w:val="21"/>
                <w:szCs w:val="21"/>
                <w:highlight w:val="none"/>
              </w:rPr>
              <w:t>840</w:t>
            </w:r>
          </w:p>
        </w:tc>
        <w:tc>
          <w:tcPr>
            <w:tcW w:w="1289" w:type="dxa"/>
            <w:tcBorders>
              <w:tl2br w:val="nil"/>
              <w:tr2bl w:val="nil"/>
            </w:tcBorders>
            <w:vAlign w:val="center"/>
          </w:tcPr>
          <w:p w14:paraId="1E6B5573">
            <w:pPr>
              <w:pStyle w:val="98"/>
              <w:ind w:left="-105" w:right="-105"/>
              <w:rPr>
                <w:rFonts w:eastAsia="宋体"/>
                <w:color w:val="auto"/>
                <w:sz w:val="21"/>
                <w:szCs w:val="21"/>
                <w:highlight w:val="none"/>
              </w:rPr>
            </w:pPr>
            <w:r>
              <w:rPr>
                <w:rFonts w:eastAsia="宋体"/>
                <w:color w:val="auto"/>
                <w:sz w:val="21"/>
                <w:szCs w:val="21"/>
                <w:highlight w:val="none"/>
              </w:rPr>
              <w:t>840</w:t>
            </w:r>
          </w:p>
        </w:tc>
      </w:tr>
      <w:tr w14:paraId="426918A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660" w:type="dxa"/>
            <w:tcBorders>
              <w:tl2br w:val="nil"/>
              <w:tr2bl w:val="nil"/>
            </w:tcBorders>
            <w:vAlign w:val="center"/>
          </w:tcPr>
          <w:p w14:paraId="52C26D7E">
            <w:pPr>
              <w:pStyle w:val="98"/>
              <w:ind w:left="-105" w:right="-105"/>
              <w:rPr>
                <w:rFonts w:eastAsia="宋体"/>
                <w:color w:val="auto"/>
                <w:sz w:val="21"/>
                <w:szCs w:val="21"/>
                <w:highlight w:val="none"/>
              </w:rPr>
            </w:pPr>
            <w:r>
              <w:rPr>
                <w:rFonts w:eastAsia="宋体"/>
                <w:color w:val="auto"/>
                <w:sz w:val="21"/>
                <w:szCs w:val="21"/>
                <w:highlight w:val="none"/>
              </w:rPr>
              <w:t>22</w:t>
            </w:r>
          </w:p>
        </w:tc>
        <w:tc>
          <w:tcPr>
            <w:tcW w:w="1933" w:type="dxa"/>
            <w:tcBorders>
              <w:tl2br w:val="nil"/>
              <w:tr2bl w:val="nil"/>
            </w:tcBorders>
            <w:vAlign w:val="center"/>
          </w:tcPr>
          <w:p w14:paraId="3E5A2DC6">
            <w:pPr>
              <w:pStyle w:val="98"/>
              <w:ind w:left="-105" w:right="-105"/>
              <w:rPr>
                <w:rFonts w:eastAsia="宋体"/>
                <w:color w:val="auto"/>
                <w:sz w:val="21"/>
                <w:szCs w:val="21"/>
                <w:highlight w:val="none"/>
              </w:rPr>
            </w:pPr>
            <w:r>
              <w:rPr>
                <w:rFonts w:eastAsia="宋体"/>
                <w:color w:val="auto"/>
                <w:sz w:val="21"/>
                <w:szCs w:val="21"/>
                <w:highlight w:val="none"/>
              </w:rPr>
              <w:t>1,1,2-三氯乙烷</w:t>
            </w:r>
          </w:p>
        </w:tc>
        <w:tc>
          <w:tcPr>
            <w:tcW w:w="1323" w:type="dxa"/>
            <w:tcBorders>
              <w:tl2br w:val="nil"/>
              <w:tr2bl w:val="nil"/>
            </w:tcBorders>
            <w:vAlign w:val="center"/>
          </w:tcPr>
          <w:p w14:paraId="784CA39E">
            <w:pPr>
              <w:pStyle w:val="98"/>
              <w:ind w:left="-105" w:right="-105"/>
              <w:rPr>
                <w:rFonts w:eastAsia="宋体"/>
                <w:color w:val="auto"/>
                <w:sz w:val="21"/>
                <w:szCs w:val="21"/>
                <w:highlight w:val="none"/>
              </w:rPr>
            </w:pPr>
            <w:r>
              <w:rPr>
                <w:rFonts w:eastAsia="宋体"/>
                <w:color w:val="auto"/>
                <w:sz w:val="21"/>
                <w:szCs w:val="21"/>
                <w:highlight w:val="none"/>
              </w:rPr>
              <w:t>79-00-5</w:t>
            </w:r>
          </w:p>
        </w:tc>
        <w:tc>
          <w:tcPr>
            <w:tcW w:w="1283" w:type="dxa"/>
            <w:tcBorders>
              <w:tl2br w:val="nil"/>
              <w:tr2bl w:val="nil"/>
            </w:tcBorders>
            <w:vAlign w:val="center"/>
          </w:tcPr>
          <w:p w14:paraId="35546ABE">
            <w:pPr>
              <w:pStyle w:val="98"/>
              <w:ind w:left="-105" w:right="-105"/>
              <w:rPr>
                <w:rFonts w:eastAsia="宋体"/>
                <w:color w:val="auto"/>
                <w:sz w:val="21"/>
                <w:szCs w:val="21"/>
                <w:highlight w:val="none"/>
              </w:rPr>
            </w:pPr>
            <w:r>
              <w:rPr>
                <w:rFonts w:eastAsia="宋体"/>
                <w:color w:val="auto"/>
                <w:sz w:val="21"/>
                <w:szCs w:val="21"/>
                <w:highlight w:val="none"/>
              </w:rPr>
              <w:t>0.6</w:t>
            </w:r>
          </w:p>
        </w:tc>
        <w:tc>
          <w:tcPr>
            <w:tcW w:w="1292" w:type="dxa"/>
            <w:tcBorders>
              <w:tl2br w:val="nil"/>
              <w:tr2bl w:val="nil"/>
            </w:tcBorders>
            <w:vAlign w:val="center"/>
          </w:tcPr>
          <w:p w14:paraId="3DC3C278">
            <w:pPr>
              <w:pStyle w:val="98"/>
              <w:ind w:left="-105" w:right="-105"/>
              <w:rPr>
                <w:rFonts w:eastAsia="宋体"/>
                <w:color w:val="auto"/>
                <w:sz w:val="21"/>
                <w:szCs w:val="21"/>
                <w:highlight w:val="none"/>
              </w:rPr>
            </w:pPr>
            <w:r>
              <w:rPr>
                <w:rFonts w:eastAsia="宋体"/>
                <w:color w:val="auto"/>
                <w:sz w:val="21"/>
                <w:szCs w:val="21"/>
                <w:highlight w:val="none"/>
              </w:rPr>
              <w:t>2.8</w:t>
            </w:r>
          </w:p>
        </w:tc>
        <w:tc>
          <w:tcPr>
            <w:tcW w:w="1285" w:type="dxa"/>
            <w:tcBorders>
              <w:tl2br w:val="nil"/>
              <w:tr2bl w:val="nil"/>
            </w:tcBorders>
            <w:vAlign w:val="center"/>
          </w:tcPr>
          <w:p w14:paraId="1FBA6480">
            <w:pPr>
              <w:pStyle w:val="98"/>
              <w:ind w:left="-105" w:right="-105"/>
              <w:rPr>
                <w:rFonts w:eastAsia="宋体"/>
                <w:color w:val="auto"/>
                <w:sz w:val="21"/>
                <w:szCs w:val="21"/>
                <w:highlight w:val="none"/>
              </w:rPr>
            </w:pPr>
            <w:r>
              <w:rPr>
                <w:rFonts w:eastAsia="宋体"/>
                <w:color w:val="auto"/>
                <w:sz w:val="21"/>
                <w:szCs w:val="21"/>
                <w:highlight w:val="none"/>
              </w:rPr>
              <w:t>5</w:t>
            </w:r>
          </w:p>
        </w:tc>
        <w:tc>
          <w:tcPr>
            <w:tcW w:w="1289" w:type="dxa"/>
            <w:tcBorders>
              <w:tl2br w:val="nil"/>
              <w:tr2bl w:val="nil"/>
            </w:tcBorders>
            <w:vAlign w:val="center"/>
          </w:tcPr>
          <w:p w14:paraId="641996CF">
            <w:pPr>
              <w:pStyle w:val="98"/>
              <w:ind w:left="-105" w:right="-105"/>
              <w:rPr>
                <w:rFonts w:eastAsia="宋体"/>
                <w:color w:val="auto"/>
                <w:sz w:val="21"/>
                <w:szCs w:val="21"/>
                <w:highlight w:val="none"/>
              </w:rPr>
            </w:pPr>
            <w:r>
              <w:rPr>
                <w:rFonts w:eastAsia="宋体"/>
                <w:color w:val="auto"/>
                <w:sz w:val="21"/>
                <w:szCs w:val="21"/>
                <w:highlight w:val="none"/>
              </w:rPr>
              <w:t>15</w:t>
            </w:r>
          </w:p>
        </w:tc>
      </w:tr>
      <w:tr w14:paraId="4C5F48C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660" w:type="dxa"/>
            <w:tcBorders>
              <w:tl2br w:val="nil"/>
              <w:tr2bl w:val="nil"/>
            </w:tcBorders>
            <w:vAlign w:val="center"/>
          </w:tcPr>
          <w:p w14:paraId="4CC321D5">
            <w:pPr>
              <w:pStyle w:val="98"/>
              <w:ind w:left="-105" w:right="-105"/>
              <w:rPr>
                <w:rFonts w:eastAsia="宋体"/>
                <w:color w:val="auto"/>
                <w:sz w:val="21"/>
                <w:szCs w:val="21"/>
                <w:highlight w:val="none"/>
              </w:rPr>
            </w:pPr>
            <w:r>
              <w:rPr>
                <w:rFonts w:eastAsia="宋体"/>
                <w:color w:val="auto"/>
                <w:sz w:val="21"/>
                <w:szCs w:val="21"/>
                <w:highlight w:val="none"/>
              </w:rPr>
              <w:t>23</w:t>
            </w:r>
          </w:p>
        </w:tc>
        <w:tc>
          <w:tcPr>
            <w:tcW w:w="1933" w:type="dxa"/>
            <w:tcBorders>
              <w:tl2br w:val="nil"/>
              <w:tr2bl w:val="nil"/>
            </w:tcBorders>
            <w:vAlign w:val="center"/>
          </w:tcPr>
          <w:p w14:paraId="302D419B">
            <w:pPr>
              <w:pStyle w:val="98"/>
              <w:ind w:left="-105" w:right="-105"/>
              <w:rPr>
                <w:rFonts w:eastAsia="宋体"/>
                <w:color w:val="auto"/>
                <w:sz w:val="21"/>
                <w:szCs w:val="21"/>
                <w:highlight w:val="none"/>
              </w:rPr>
            </w:pPr>
            <w:r>
              <w:rPr>
                <w:rFonts w:eastAsia="宋体"/>
                <w:color w:val="auto"/>
                <w:sz w:val="21"/>
                <w:szCs w:val="21"/>
                <w:highlight w:val="none"/>
              </w:rPr>
              <w:t>三氯乙烯</w:t>
            </w:r>
          </w:p>
        </w:tc>
        <w:tc>
          <w:tcPr>
            <w:tcW w:w="1323" w:type="dxa"/>
            <w:tcBorders>
              <w:tl2br w:val="nil"/>
              <w:tr2bl w:val="nil"/>
            </w:tcBorders>
            <w:vAlign w:val="center"/>
          </w:tcPr>
          <w:p w14:paraId="0971F6A0">
            <w:pPr>
              <w:pStyle w:val="98"/>
              <w:ind w:left="-105" w:right="-105"/>
              <w:rPr>
                <w:rFonts w:eastAsia="宋体"/>
                <w:color w:val="auto"/>
                <w:sz w:val="21"/>
                <w:szCs w:val="21"/>
                <w:highlight w:val="none"/>
              </w:rPr>
            </w:pPr>
            <w:r>
              <w:rPr>
                <w:rFonts w:eastAsia="宋体"/>
                <w:color w:val="auto"/>
                <w:sz w:val="21"/>
                <w:szCs w:val="21"/>
                <w:highlight w:val="none"/>
              </w:rPr>
              <w:t>79-01-6</w:t>
            </w:r>
          </w:p>
        </w:tc>
        <w:tc>
          <w:tcPr>
            <w:tcW w:w="1283" w:type="dxa"/>
            <w:tcBorders>
              <w:tl2br w:val="nil"/>
              <w:tr2bl w:val="nil"/>
            </w:tcBorders>
            <w:vAlign w:val="center"/>
          </w:tcPr>
          <w:p w14:paraId="078B8E6E">
            <w:pPr>
              <w:pStyle w:val="98"/>
              <w:ind w:left="-105" w:right="-105"/>
              <w:rPr>
                <w:rFonts w:eastAsia="宋体"/>
                <w:color w:val="auto"/>
                <w:sz w:val="21"/>
                <w:szCs w:val="21"/>
                <w:highlight w:val="none"/>
              </w:rPr>
            </w:pPr>
            <w:r>
              <w:rPr>
                <w:rFonts w:eastAsia="宋体"/>
                <w:color w:val="auto"/>
                <w:sz w:val="21"/>
                <w:szCs w:val="21"/>
                <w:highlight w:val="none"/>
              </w:rPr>
              <w:t>0.7</w:t>
            </w:r>
          </w:p>
        </w:tc>
        <w:tc>
          <w:tcPr>
            <w:tcW w:w="1292" w:type="dxa"/>
            <w:tcBorders>
              <w:tl2br w:val="nil"/>
              <w:tr2bl w:val="nil"/>
            </w:tcBorders>
            <w:vAlign w:val="center"/>
          </w:tcPr>
          <w:p w14:paraId="67AF8C42">
            <w:pPr>
              <w:pStyle w:val="98"/>
              <w:ind w:left="-105" w:right="-105"/>
              <w:rPr>
                <w:rFonts w:eastAsia="宋体"/>
                <w:color w:val="auto"/>
                <w:sz w:val="21"/>
                <w:szCs w:val="21"/>
                <w:highlight w:val="none"/>
              </w:rPr>
            </w:pPr>
            <w:r>
              <w:rPr>
                <w:rFonts w:eastAsia="宋体"/>
                <w:color w:val="auto"/>
                <w:sz w:val="21"/>
                <w:szCs w:val="21"/>
                <w:highlight w:val="none"/>
              </w:rPr>
              <w:t>2.8</w:t>
            </w:r>
          </w:p>
        </w:tc>
        <w:tc>
          <w:tcPr>
            <w:tcW w:w="1285" w:type="dxa"/>
            <w:tcBorders>
              <w:tl2br w:val="nil"/>
              <w:tr2bl w:val="nil"/>
            </w:tcBorders>
            <w:vAlign w:val="center"/>
          </w:tcPr>
          <w:p w14:paraId="6A81486D">
            <w:pPr>
              <w:pStyle w:val="98"/>
              <w:ind w:left="-105" w:right="-105"/>
              <w:rPr>
                <w:rFonts w:eastAsia="宋体"/>
                <w:color w:val="auto"/>
                <w:sz w:val="21"/>
                <w:szCs w:val="21"/>
                <w:highlight w:val="none"/>
              </w:rPr>
            </w:pPr>
            <w:r>
              <w:rPr>
                <w:rFonts w:eastAsia="宋体"/>
                <w:color w:val="auto"/>
                <w:sz w:val="21"/>
                <w:szCs w:val="21"/>
                <w:highlight w:val="none"/>
              </w:rPr>
              <w:t>7</w:t>
            </w:r>
          </w:p>
        </w:tc>
        <w:tc>
          <w:tcPr>
            <w:tcW w:w="1289" w:type="dxa"/>
            <w:tcBorders>
              <w:tl2br w:val="nil"/>
              <w:tr2bl w:val="nil"/>
            </w:tcBorders>
            <w:vAlign w:val="center"/>
          </w:tcPr>
          <w:p w14:paraId="5384602D">
            <w:pPr>
              <w:pStyle w:val="98"/>
              <w:ind w:left="-105" w:right="-105"/>
              <w:rPr>
                <w:rFonts w:eastAsia="宋体"/>
                <w:color w:val="auto"/>
                <w:sz w:val="21"/>
                <w:szCs w:val="21"/>
                <w:highlight w:val="none"/>
              </w:rPr>
            </w:pPr>
            <w:r>
              <w:rPr>
                <w:rFonts w:eastAsia="宋体"/>
                <w:color w:val="auto"/>
                <w:sz w:val="21"/>
                <w:szCs w:val="21"/>
                <w:highlight w:val="none"/>
              </w:rPr>
              <w:t>20</w:t>
            </w:r>
          </w:p>
        </w:tc>
      </w:tr>
      <w:tr w14:paraId="659F951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660" w:type="dxa"/>
            <w:tcBorders>
              <w:tl2br w:val="nil"/>
              <w:tr2bl w:val="nil"/>
            </w:tcBorders>
            <w:vAlign w:val="center"/>
          </w:tcPr>
          <w:p w14:paraId="2300E5CD">
            <w:pPr>
              <w:pStyle w:val="98"/>
              <w:ind w:left="-105" w:right="-105"/>
              <w:rPr>
                <w:rFonts w:eastAsia="宋体"/>
                <w:color w:val="auto"/>
                <w:sz w:val="21"/>
                <w:szCs w:val="21"/>
                <w:highlight w:val="none"/>
              </w:rPr>
            </w:pPr>
            <w:r>
              <w:rPr>
                <w:rFonts w:eastAsia="宋体"/>
                <w:color w:val="auto"/>
                <w:sz w:val="21"/>
                <w:szCs w:val="21"/>
                <w:highlight w:val="none"/>
              </w:rPr>
              <w:t>24</w:t>
            </w:r>
          </w:p>
        </w:tc>
        <w:tc>
          <w:tcPr>
            <w:tcW w:w="1933" w:type="dxa"/>
            <w:tcBorders>
              <w:tl2br w:val="nil"/>
              <w:tr2bl w:val="nil"/>
            </w:tcBorders>
            <w:vAlign w:val="center"/>
          </w:tcPr>
          <w:p w14:paraId="42FBB547">
            <w:pPr>
              <w:pStyle w:val="98"/>
              <w:ind w:left="-105" w:right="-105"/>
              <w:rPr>
                <w:rFonts w:eastAsia="宋体"/>
                <w:color w:val="auto"/>
                <w:sz w:val="21"/>
                <w:szCs w:val="21"/>
                <w:highlight w:val="none"/>
              </w:rPr>
            </w:pPr>
            <w:r>
              <w:rPr>
                <w:rFonts w:eastAsia="宋体"/>
                <w:color w:val="auto"/>
                <w:sz w:val="21"/>
                <w:szCs w:val="21"/>
                <w:highlight w:val="none"/>
              </w:rPr>
              <w:t>1,2,3-三氯丙烷</w:t>
            </w:r>
          </w:p>
        </w:tc>
        <w:tc>
          <w:tcPr>
            <w:tcW w:w="1323" w:type="dxa"/>
            <w:tcBorders>
              <w:tl2br w:val="nil"/>
              <w:tr2bl w:val="nil"/>
            </w:tcBorders>
            <w:vAlign w:val="center"/>
          </w:tcPr>
          <w:p w14:paraId="6E7839FD">
            <w:pPr>
              <w:pStyle w:val="98"/>
              <w:ind w:left="-105" w:right="-105"/>
              <w:rPr>
                <w:rFonts w:eastAsia="宋体"/>
                <w:color w:val="auto"/>
                <w:sz w:val="21"/>
                <w:szCs w:val="21"/>
                <w:highlight w:val="none"/>
              </w:rPr>
            </w:pPr>
            <w:r>
              <w:rPr>
                <w:rFonts w:eastAsia="宋体"/>
                <w:color w:val="auto"/>
                <w:sz w:val="21"/>
                <w:szCs w:val="21"/>
                <w:highlight w:val="none"/>
              </w:rPr>
              <w:t>96-18-4</w:t>
            </w:r>
          </w:p>
        </w:tc>
        <w:tc>
          <w:tcPr>
            <w:tcW w:w="1283" w:type="dxa"/>
            <w:tcBorders>
              <w:tl2br w:val="nil"/>
              <w:tr2bl w:val="nil"/>
            </w:tcBorders>
            <w:vAlign w:val="center"/>
          </w:tcPr>
          <w:p w14:paraId="61A84E69">
            <w:pPr>
              <w:pStyle w:val="98"/>
              <w:ind w:left="-105" w:right="-105"/>
              <w:rPr>
                <w:rFonts w:eastAsia="宋体"/>
                <w:color w:val="auto"/>
                <w:sz w:val="21"/>
                <w:szCs w:val="21"/>
                <w:highlight w:val="none"/>
              </w:rPr>
            </w:pPr>
            <w:r>
              <w:rPr>
                <w:rFonts w:eastAsia="宋体"/>
                <w:color w:val="auto"/>
                <w:sz w:val="21"/>
                <w:szCs w:val="21"/>
                <w:highlight w:val="none"/>
              </w:rPr>
              <w:t>0.05</w:t>
            </w:r>
          </w:p>
        </w:tc>
        <w:tc>
          <w:tcPr>
            <w:tcW w:w="1292" w:type="dxa"/>
            <w:tcBorders>
              <w:tl2br w:val="nil"/>
              <w:tr2bl w:val="nil"/>
            </w:tcBorders>
            <w:vAlign w:val="center"/>
          </w:tcPr>
          <w:p w14:paraId="143229AD">
            <w:pPr>
              <w:pStyle w:val="98"/>
              <w:ind w:left="-105" w:right="-105"/>
              <w:rPr>
                <w:rFonts w:eastAsia="宋体"/>
                <w:color w:val="auto"/>
                <w:sz w:val="21"/>
                <w:szCs w:val="21"/>
                <w:highlight w:val="none"/>
              </w:rPr>
            </w:pPr>
            <w:r>
              <w:rPr>
                <w:rFonts w:eastAsia="宋体"/>
                <w:color w:val="auto"/>
                <w:sz w:val="21"/>
                <w:szCs w:val="21"/>
                <w:highlight w:val="none"/>
              </w:rPr>
              <w:t>0.5</w:t>
            </w:r>
          </w:p>
        </w:tc>
        <w:tc>
          <w:tcPr>
            <w:tcW w:w="1285" w:type="dxa"/>
            <w:tcBorders>
              <w:tl2br w:val="nil"/>
              <w:tr2bl w:val="nil"/>
            </w:tcBorders>
            <w:vAlign w:val="center"/>
          </w:tcPr>
          <w:p w14:paraId="1A0057FE">
            <w:pPr>
              <w:pStyle w:val="98"/>
              <w:ind w:left="-105" w:right="-105"/>
              <w:rPr>
                <w:rFonts w:eastAsia="宋体"/>
                <w:color w:val="auto"/>
                <w:sz w:val="21"/>
                <w:szCs w:val="21"/>
                <w:highlight w:val="none"/>
              </w:rPr>
            </w:pPr>
            <w:r>
              <w:rPr>
                <w:rFonts w:eastAsia="宋体"/>
                <w:color w:val="auto"/>
                <w:sz w:val="21"/>
                <w:szCs w:val="21"/>
                <w:highlight w:val="none"/>
              </w:rPr>
              <w:t>0.5</w:t>
            </w:r>
          </w:p>
        </w:tc>
        <w:tc>
          <w:tcPr>
            <w:tcW w:w="1289" w:type="dxa"/>
            <w:tcBorders>
              <w:tl2br w:val="nil"/>
              <w:tr2bl w:val="nil"/>
            </w:tcBorders>
            <w:vAlign w:val="center"/>
          </w:tcPr>
          <w:p w14:paraId="31AF8435">
            <w:pPr>
              <w:pStyle w:val="98"/>
              <w:ind w:left="-105" w:right="-105"/>
              <w:rPr>
                <w:rFonts w:eastAsia="宋体"/>
                <w:color w:val="auto"/>
                <w:sz w:val="21"/>
                <w:szCs w:val="21"/>
                <w:highlight w:val="none"/>
              </w:rPr>
            </w:pPr>
            <w:r>
              <w:rPr>
                <w:rFonts w:eastAsia="宋体"/>
                <w:color w:val="auto"/>
                <w:sz w:val="21"/>
                <w:szCs w:val="21"/>
                <w:highlight w:val="none"/>
              </w:rPr>
              <w:t>5</w:t>
            </w:r>
          </w:p>
        </w:tc>
      </w:tr>
      <w:tr w14:paraId="1035A0C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660" w:type="dxa"/>
            <w:tcBorders>
              <w:tl2br w:val="nil"/>
              <w:tr2bl w:val="nil"/>
            </w:tcBorders>
            <w:vAlign w:val="center"/>
          </w:tcPr>
          <w:p w14:paraId="55037D86">
            <w:pPr>
              <w:pStyle w:val="98"/>
              <w:ind w:left="-105" w:right="-105"/>
              <w:rPr>
                <w:rFonts w:eastAsia="宋体"/>
                <w:color w:val="auto"/>
                <w:sz w:val="21"/>
                <w:szCs w:val="21"/>
                <w:highlight w:val="none"/>
              </w:rPr>
            </w:pPr>
            <w:r>
              <w:rPr>
                <w:rFonts w:eastAsia="宋体"/>
                <w:color w:val="auto"/>
                <w:sz w:val="21"/>
                <w:szCs w:val="21"/>
                <w:highlight w:val="none"/>
              </w:rPr>
              <w:t>25</w:t>
            </w:r>
          </w:p>
        </w:tc>
        <w:tc>
          <w:tcPr>
            <w:tcW w:w="1933" w:type="dxa"/>
            <w:tcBorders>
              <w:tl2br w:val="nil"/>
              <w:tr2bl w:val="nil"/>
            </w:tcBorders>
            <w:vAlign w:val="center"/>
          </w:tcPr>
          <w:p w14:paraId="0207ABD3">
            <w:pPr>
              <w:pStyle w:val="98"/>
              <w:ind w:left="-105" w:right="-105"/>
              <w:rPr>
                <w:rFonts w:eastAsia="宋体"/>
                <w:color w:val="auto"/>
                <w:sz w:val="21"/>
                <w:szCs w:val="21"/>
                <w:highlight w:val="none"/>
              </w:rPr>
            </w:pPr>
            <w:r>
              <w:rPr>
                <w:rFonts w:eastAsia="宋体"/>
                <w:color w:val="auto"/>
                <w:sz w:val="21"/>
                <w:szCs w:val="21"/>
                <w:highlight w:val="none"/>
              </w:rPr>
              <w:t>氯乙烯</w:t>
            </w:r>
          </w:p>
        </w:tc>
        <w:tc>
          <w:tcPr>
            <w:tcW w:w="1323" w:type="dxa"/>
            <w:tcBorders>
              <w:tl2br w:val="nil"/>
              <w:tr2bl w:val="nil"/>
            </w:tcBorders>
            <w:vAlign w:val="center"/>
          </w:tcPr>
          <w:p w14:paraId="5A73B20A">
            <w:pPr>
              <w:pStyle w:val="98"/>
              <w:ind w:left="-105" w:right="-105"/>
              <w:rPr>
                <w:rFonts w:eastAsia="宋体"/>
                <w:color w:val="auto"/>
                <w:sz w:val="21"/>
                <w:szCs w:val="21"/>
                <w:highlight w:val="none"/>
              </w:rPr>
            </w:pPr>
            <w:r>
              <w:rPr>
                <w:rFonts w:eastAsia="宋体"/>
                <w:color w:val="auto"/>
                <w:sz w:val="21"/>
                <w:szCs w:val="21"/>
                <w:highlight w:val="none"/>
              </w:rPr>
              <w:t>75-01-4</w:t>
            </w:r>
          </w:p>
        </w:tc>
        <w:tc>
          <w:tcPr>
            <w:tcW w:w="1283" w:type="dxa"/>
            <w:tcBorders>
              <w:tl2br w:val="nil"/>
              <w:tr2bl w:val="nil"/>
            </w:tcBorders>
            <w:vAlign w:val="center"/>
          </w:tcPr>
          <w:p w14:paraId="6CD566D6">
            <w:pPr>
              <w:pStyle w:val="98"/>
              <w:ind w:left="-105" w:right="-105"/>
              <w:rPr>
                <w:rFonts w:eastAsia="宋体"/>
                <w:color w:val="auto"/>
                <w:sz w:val="21"/>
                <w:szCs w:val="21"/>
                <w:highlight w:val="none"/>
              </w:rPr>
            </w:pPr>
            <w:r>
              <w:rPr>
                <w:rFonts w:eastAsia="宋体"/>
                <w:color w:val="auto"/>
                <w:sz w:val="21"/>
                <w:szCs w:val="21"/>
                <w:highlight w:val="none"/>
              </w:rPr>
              <w:t>0.12</w:t>
            </w:r>
          </w:p>
        </w:tc>
        <w:tc>
          <w:tcPr>
            <w:tcW w:w="1292" w:type="dxa"/>
            <w:tcBorders>
              <w:tl2br w:val="nil"/>
              <w:tr2bl w:val="nil"/>
            </w:tcBorders>
            <w:vAlign w:val="center"/>
          </w:tcPr>
          <w:p w14:paraId="2A1C7ACA">
            <w:pPr>
              <w:pStyle w:val="98"/>
              <w:ind w:left="-105" w:right="-105"/>
              <w:rPr>
                <w:rFonts w:eastAsia="宋体"/>
                <w:color w:val="auto"/>
                <w:sz w:val="21"/>
                <w:szCs w:val="21"/>
                <w:highlight w:val="none"/>
              </w:rPr>
            </w:pPr>
            <w:r>
              <w:rPr>
                <w:rFonts w:eastAsia="宋体"/>
                <w:color w:val="auto"/>
                <w:sz w:val="21"/>
                <w:szCs w:val="21"/>
                <w:highlight w:val="none"/>
              </w:rPr>
              <w:t>0.43</w:t>
            </w:r>
          </w:p>
        </w:tc>
        <w:tc>
          <w:tcPr>
            <w:tcW w:w="1285" w:type="dxa"/>
            <w:tcBorders>
              <w:tl2br w:val="nil"/>
              <w:tr2bl w:val="nil"/>
            </w:tcBorders>
            <w:vAlign w:val="center"/>
          </w:tcPr>
          <w:p w14:paraId="1706D909">
            <w:pPr>
              <w:pStyle w:val="98"/>
              <w:ind w:left="-105" w:right="-105"/>
              <w:rPr>
                <w:rFonts w:eastAsia="宋体"/>
                <w:color w:val="auto"/>
                <w:sz w:val="21"/>
                <w:szCs w:val="21"/>
                <w:highlight w:val="none"/>
              </w:rPr>
            </w:pPr>
            <w:r>
              <w:rPr>
                <w:rFonts w:eastAsia="宋体"/>
                <w:color w:val="auto"/>
                <w:sz w:val="21"/>
                <w:szCs w:val="21"/>
                <w:highlight w:val="none"/>
              </w:rPr>
              <w:t>1.2</w:t>
            </w:r>
          </w:p>
        </w:tc>
        <w:tc>
          <w:tcPr>
            <w:tcW w:w="1289" w:type="dxa"/>
            <w:tcBorders>
              <w:tl2br w:val="nil"/>
              <w:tr2bl w:val="nil"/>
            </w:tcBorders>
            <w:vAlign w:val="center"/>
          </w:tcPr>
          <w:p w14:paraId="69CB4490">
            <w:pPr>
              <w:pStyle w:val="98"/>
              <w:ind w:left="-105" w:right="-105"/>
              <w:rPr>
                <w:rFonts w:eastAsia="宋体"/>
                <w:color w:val="auto"/>
                <w:sz w:val="21"/>
                <w:szCs w:val="21"/>
                <w:highlight w:val="none"/>
              </w:rPr>
            </w:pPr>
            <w:r>
              <w:rPr>
                <w:rFonts w:eastAsia="宋体"/>
                <w:color w:val="auto"/>
                <w:sz w:val="21"/>
                <w:szCs w:val="21"/>
                <w:highlight w:val="none"/>
              </w:rPr>
              <w:t>4.3</w:t>
            </w:r>
          </w:p>
        </w:tc>
      </w:tr>
      <w:tr w14:paraId="72D7531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660" w:type="dxa"/>
            <w:tcBorders>
              <w:tl2br w:val="nil"/>
              <w:tr2bl w:val="nil"/>
            </w:tcBorders>
            <w:vAlign w:val="center"/>
          </w:tcPr>
          <w:p w14:paraId="6887C827">
            <w:pPr>
              <w:pStyle w:val="98"/>
              <w:ind w:left="-105" w:right="-105"/>
              <w:rPr>
                <w:rFonts w:eastAsia="宋体"/>
                <w:color w:val="auto"/>
                <w:sz w:val="21"/>
                <w:szCs w:val="21"/>
                <w:highlight w:val="none"/>
              </w:rPr>
            </w:pPr>
            <w:r>
              <w:rPr>
                <w:rFonts w:eastAsia="宋体"/>
                <w:color w:val="auto"/>
                <w:sz w:val="21"/>
                <w:szCs w:val="21"/>
                <w:highlight w:val="none"/>
              </w:rPr>
              <w:t>26</w:t>
            </w:r>
          </w:p>
        </w:tc>
        <w:tc>
          <w:tcPr>
            <w:tcW w:w="1933" w:type="dxa"/>
            <w:tcBorders>
              <w:tl2br w:val="nil"/>
              <w:tr2bl w:val="nil"/>
            </w:tcBorders>
            <w:vAlign w:val="center"/>
          </w:tcPr>
          <w:p w14:paraId="09EBF73C">
            <w:pPr>
              <w:pStyle w:val="98"/>
              <w:ind w:left="-105" w:right="-105"/>
              <w:rPr>
                <w:rFonts w:eastAsia="宋体"/>
                <w:color w:val="auto"/>
                <w:sz w:val="21"/>
                <w:szCs w:val="21"/>
                <w:highlight w:val="none"/>
              </w:rPr>
            </w:pPr>
            <w:r>
              <w:rPr>
                <w:rFonts w:eastAsia="宋体"/>
                <w:color w:val="auto"/>
                <w:sz w:val="21"/>
                <w:szCs w:val="21"/>
                <w:highlight w:val="none"/>
              </w:rPr>
              <w:t>苯</w:t>
            </w:r>
          </w:p>
        </w:tc>
        <w:tc>
          <w:tcPr>
            <w:tcW w:w="1323" w:type="dxa"/>
            <w:tcBorders>
              <w:tl2br w:val="nil"/>
              <w:tr2bl w:val="nil"/>
            </w:tcBorders>
            <w:vAlign w:val="center"/>
          </w:tcPr>
          <w:p w14:paraId="66402159">
            <w:pPr>
              <w:pStyle w:val="98"/>
              <w:ind w:left="-105" w:right="-105"/>
              <w:rPr>
                <w:rFonts w:eastAsia="宋体"/>
                <w:color w:val="auto"/>
                <w:sz w:val="21"/>
                <w:szCs w:val="21"/>
                <w:highlight w:val="none"/>
              </w:rPr>
            </w:pPr>
            <w:r>
              <w:rPr>
                <w:rFonts w:eastAsia="宋体"/>
                <w:color w:val="auto"/>
                <w:sz w:val="21"/>
                <w:szCs w:val="21"/>
                <w:highlight w:val="none"/>
              </w:rPr>
              <w:t>71-43-2</w:t>
            </w:r>
          </w:p>
        </w:tc>
        <w:tc>
          <w:tcPr>
            <w:tcW w:w="1283" w:type="dxa"/>
            <w:tcBorders>
              <w:tl2br w:val="nil"/>
              <w:tr2bl w:val="nil"/>
            </w:tcBorders>
            <w:vAlign w:val="center"/>
          </w:tcPr>
          <w:p w14:paraId="6EC8E412">
            <w:pPr>
              <w:pStyle w:val="98"/>
              <w:ind w:left="-105" w:right="-105"/>
              <w:rPr>
                <w:rFonts w:eastAsia="宋体"/>
                <w:color w:val="auto"/>
                <w:sz w:val="21"/>
                <w:szCs w:val="21"/>
                <w:highlight w:val="none"/>
              </w:rPr>
            </w:pPr>
            <w:r>
              <w:rPr>
                <w:rFonts w:eastAsia="宋体"/>
                <w:color w:val="auto"/>
                <w:sz w:val="21"/>
                <w:szCs w:val="21"/>
                <w:highlight w:val="none"/>
              </w:rPr>
              <w:t>1</w:t>
            </w:r>
          </w:p>
        </w:tc>
        <w:tc>
          <w:tcPr>
            <w:tcW w:w="1292" w:type="dxa"/>
            <w:tcBorders>
              <w:tl2br w:val="nil"/>
              <w:tr2bl w:val="nil"/>
            </w:tcBorders>
            <w:vAlign w:val="center"/>
          </w:tcPr>
          <w:p w14:paraId="6617786E">
            <w:pPr>
              <w:pStyle w:val="98"/>
              <w:ind w:left="-105" w:right="-105"/>
              <w:rPr>
                <w:rFonts w:eastAsia="宋体"/>
                <w:color w:val="auto"/>
                <w:sz w:val="21"/>
                <w:szCs w:val="21"/>
                <w:highlight w:val="none"/>
              </w:rPr>
            </w:pPr>
            <w:r>
              <w:rPr>
                <w:rFonts w:eastAsia="宋体"/>
                <w:color w:val="auto"/>
                <w:sz w:val="21"/>
                <w:szCs w:val="21"/>
                <w:highlight w:val="none"/>
              </w:rPr>
              <w:t>4</w:t>
            </w:r>
          </w:p>
        </w:tc>
        <w:tc>
          <w:tcPr>
            <w:tcW w:w="1285" w:type="dxa"/>
            <w:tcBorders>
              <w:tl2br w:val="nil"/>
              <w:tr2bl w:val="nil"/>
            </w:tcBorders>
            <w:vAlign w:val="center"/>
          </w:tcPr>
          <w:p w14:paraId="72472117">
            <w:pPr>
              <w:pStyle w:val="98"/>
              <w:ind w:left="-105" w:right="-105"/>
              <w:rPr>
                <w:rFonts w:eastAsia="宋体"/>
                <w:color w:val="auto"/>
                <w:sz w:val="21"/>
                <w:szCs w:val="21"/>
                <w:highlight w:val="none"/>
              </w:rPr>
            </w:pPr>
            <w:r>
              <w:rPr>
                <w:rFonts w:eastAsia="宋体"/>
                <w:color w:val="auto"/>
                <w:sz w:val="21"/>
                <w:szCs w:val="21"/>
                <w:highlight w:val="none"/>
              </w:rPr>
              <w:t>10</w:t>
            </w:r>
          </w:p>
        </w:tc>
        <w:tc>
          <w:tcPr>
            <w:tcW w:w="1289" w:type="dxa"/>
            <w:tcBorders>
              <w:tl2br w:val="nil"/>
              <w:tr2bl w:val="nil"/>
            </w:tcBorders>
            <w:vAlign w:val="center"/>
          </w:tcPr>
          <w:p w14:paraId="585C248C">
            <w:pPr>
              <w:pStyle w:val="98"/>
              <w:ind w:left="-105" w:right="-105"/>
              <w:rPr>
                <w:rFonts w:eastAsia="宋体"/>
                <w:color w:val="auto"/>
                <w:sz w:val="21"/>
                <w:szCs w:val="21"/>
                <w:highlight w:val="none"/>
              </w:rPr>
            </w:pPr>
            <w:r>
              <w:rPr>
                <w:rFonts w:eastAsia="宋体"/>
                <w:color w:val="auto"/>
                <w:sz w:val="21"/>
                <w:szCs w:val="21"/>
                <w:highlight w:val="none"/>
              </w:rPr>
              <w:t>40</w:t>
            </w:r>
          </w:p>
        </w:tc>
      </w:tr>
      <w:tr w14:paraId="46598BD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660" w:type="dxa"/>
            <w:tcBorders>
              <w:tl2br w:val="nil"/>
              <w:tr2bl w:val="nil"/>
            </w:tcBorders>
            <w:vAlign w:val="center"/>
          </w:tcPr>
          <w:p w14:paraId="42E2BB8E">
            <w:pPr>
              <w:pStyle w:val="98"/>
              <w:ind w:left="-105" w:right="-105"/>
              <w:rPr>
                <w:rFonts w:eastAsia="宋体"/>
                <w:color w:val="auto"/>
                <w:sz w:val="21"/>
                <w:szCs w:val="21"/>
                <w:highlight w:val="none"/>
              </w:rPr>
            </w:pPr>
            <w:r>
              <w:rPr>
                <w:rFonts w:eastAsia="宋体"/>
                <w:color w:val="auto"/>
                <w:sz w:val="21"/>
                <w:szCs w:val="21"/>
                <w:highlight w:val="none"/>
              </w:rPr>
              <w:t>27</w:t>
            </w:r>
          </w:p>
        </w:tc>
        <w:tc>
          <w:tcPr>
            <w:tcW w:w="1933" w:type="dxa"/>
            <w:tcBorders>
              <w:tl2br w:val="nil"/>
              <w:tr2bl w:val="nil"/>
            </w:tcBorders>
            <w:vAlign w:val="center"/>
          </w:tcPr>
          <w:p w14:paraId="110C1291">
            <w:pPr>
              <w:pStyle w:val="98"/>
              <w:ind w:left="-105" w:right="-105"/>
              <w:rPr>
                <w:rFonts w:eastAsia="宋体"/>
                <w:color w:val="auto"/>
                <w:sz w:val="21"/>
                <w:szCs w:val="21"/>
                <w:highlight w:val="none"/>
              </w:rPr>
            </w:pPr>
            <w:r>
              <w:rPr>
                <w:rFonts w:eastAsia="宋体"/>
                <w:color w:val="auto"/>
                <w:sz w:val="21"/>
                <w:szCs w:val="21"/>
                <w:highlight w:val="none"/>
              </w:rPr>
              <w:t>氯苯</w:t>
            </w:r>
          </w:p>
        </w:tc>
        <w:tc>
          <w:tcPr>
            <w:tcW w:w="1323" w:type="dxa"/>
            <w:tcBorders>
              <w:tl2br w:val="nil"/>
              <w:tr2bl w:val="nil"/>
            </w:tcBorders>
            <w:vAlign w:val="center"/>
          </w:tcPr>
          <w:p w14:paraId="17D0EB97">
            <w:pPr>
              <w:pStyle w:val="98"/>
              <w:ind w:left="-105" w:right="-105"/>
              <w:rPr>
                <w:rFonts w:eastAsia="宋体"/>
                <w:color w:val="auto"/>
                <w:sz w:val="21"/>
                <w:szCs w:val="21"/>
                <w:highlight w:val="none"/>
              </w:rPr>
            </w:pPr>
            <w:r>
              <w:rPr>
                <w:rFonts w:eastAsia="宋体"/>
                <w:color w:val="auto"/>
                <w:sz w:val="21"/>
                <w:szCs w:val="21"/>
                <w:highlight w:val="none"/>
              </w:rPr>
              <w:t>108-70-7</w:t>
            </w:r>
          </w:p>
        </w:tc>
        <w:tc>
          <w:tcPr>
            <w:tcW w:w="1283" w:type="dxa"/>
            <w:tcBorders>
              <w:tl2br w:val="nil"/>
              <w:tr2bl w:val="nil"/>
            </w:tcBorders>
            <w:vAlign w:val="center"/>
          </w:tcPr>
          <w:p w14:paraId="7622A4B0">
            <w:pPr>
              <w:pStyle w:val="98"/>
              <w:ind w:left="-105" w:right="-105"/>
              <w:rPr>
                <w:rFonts w:eastAsia="宋体"/>
                <w:color w:val="auto"/>
                <w:sz w:val="21"/>
                <w:szCs w:val="21"/>
                <w:highlight w:val="none"/>
              </w:rPr>
            </w:pPr>
            <w:r>
              <w:rPr>
                <w:rFonts w:eastAsia="宋体"/>
                <w:color w:val="auto"/>
                <w:sz w:val="21"/>
                <w:szCs w:val="21"/>
                <w:highlight w:val="none"/>
              </w:rPr>
              <w:t>68</w:t>
            </w:r>
          </w:p>
        </w:tc>
        <w:tc>
          <w:tcPr>
            <w:tcW w:w="1292" w:type="dxa"/>
            <w:tcBorders>
              <w:tl2br w:val="nil"/>
              <w:tr2bl w:val="nil"/>
            </w:tcBorders>
            <w:vAlign w:val="center"/>
          </w:tcPr>
          <w:p w14:paraId="23B24AB5">
            <w:pPr>
              <w:pStyle w:val="98"/>
              <w:ind w:left="-105" w:right="-105"/>
              <w:rPr>
                <w:rFonts w:eastAsia="宋体"/>
                <w:color w:val="auto"/>
                <w:sz w:val="21"/>
                <w:szCs w:val="21"/>
                <w:highlight w:val="none"/>
              </w:rPr>
            </w:pPr>
            <w:r>
              <w:rPr>
                <w:rFonts w:eastAsia="宋体"/>
                <w:color w:val="auto"/>
                <w:sz w:val="21"/>
                <w:szCs w:val="21"/>
                <w:highlight w:val="none"/>
              </w:rPr>
              <w:t>270</w:t>
            </w:r>
          </w:p>
        </w:tc>
        <w:tc>
          <w:tcPr>
            <w:tcW w:w="1285" w:type="dxa"/>
            <w:tcBorders>
              <w:tl2br w:val="nil"/>
              <w:tr2bl w:val="nil"/>
            </w:tcBorders>
            <w:vAlign w:val="center"/>
          </w:tcPr>
          <w:p w14:paraId="7002AAE7">
            <w:pPr>
              <w:pStyle w:val="98"/>
              <w:ind w:left="-105" w:right="-105"/>
              <w:rPr>
                <w:rFonts w:eastAsia="宋体"/>
                <w:color w:val="auto"/>
                <w:sz w:val="21"/>
                <w:szCs w:val="21"/>
                <w:highlight w:val="none"/>
              </w:rPr>
            </w:pPr>
            <w:r>
              <w:rPr>
                <w:rFonts w:eastAsia="宋体"/>
                <w:color w:val="auto"/>
                <w:sz w:val="21"/>
                <w:szCs w:val="21"/>
                <w:highlight w:val="none"/>
              </w:rPr>
              <w:t>200</w:t>
            </w:r>
          </w:p>
        </w:tc>
        <w:tc>
          <w:tcPr>
            <w:tcW w:w="1289" w:type="dxa"/>
            <w:tcBorders>
              <w:tl2br w:val="nil"/>
              <w:tr2bl w:val="nil"/>
            </w:tcBorders>
            <w:vAlign w:val="center"/>
          </w:tcPr>
          <w:p w14:paraId="57E34EA4">
            <w:pPr>
              <w:pStyle w:val="98"/>
              <w:ind w:left="-105" w:right="-105"/>
              <w:rPr>
                <w:rFonts w:eastAsia="宋体"/>
                <w:color w:val="auto"/>
                <w:sz w:val="21"/>
                <w:szCs w:val="21"/>
                <w:highlight w:val="none"/>
              </w:rPr>
            </w:pPr>
            <w:r>
              <w:rPr>
                <w:rFonts w:eastAsia="宋体"/>
                <w:color w:val="auto"/>
                <w:sz w:val="21"/>
                <w:szCs w:val="21"/>
                <w:highlight w:val="none"/>
              </w:rPr>
              <w:t>1000</w:t>
            </w:r>
          </w:p>
        </w:tc>
      </w:tr>
      <w:tr w14:paraId="4BB50DD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660" w:type="dxa"/>
            <w:tcBorders>
              <w:tl2br w:val="nil"/>
              <w:tr2bl w:val="nil"/>
            </w:tcBorders>
            <w:vAlign w:val="center"/>
          </w:tcPr>
          <w:p w14:paraId="0261677F">
            <w:pPr>
              <w:pStyle w:val="98"/>
              <w:ind w:left="-105" w:right="-105"/>
              <w:rPr>
                <w:rFonts w:eastAsia="宋体"/>
                <w:color w:val="auto"/>
                <w:sz w:val="21"/>
                <w:szCs w:val="21"/>
                <w:highlight w:val="none"/>
              </w:rPr>
            </w:pPr>
            <w:r>
              <w:rPr>
                <w:rFonts w:eastAsia="宋体"/>
                <w:color w:val="auto"/>
                <w:sz w:val="21"/>
                <w:szCs w:val="21"/>
                <w:highlight w:val="none"/>
              </w:rPr>
              <w:t>28</w:t>
            </w:r>
          </w:p>
        </w:tc>
        <w:tc>
          <w:tcPr>
            <w:tcW w:w="1933" w:type="dxa"/>
            <w:tcBorders>
              <w:tl2br w:val="nil"/>
              <w:tr2bl w:val="nil"/>
            </w:tcBorders>
            <w:vAlign w:val="center"/>
          </w:tcPr>
          <w:p w14:paraId="48470785">
            <w:pPr>
              <w:pStyle w:val="98"/>
              <w:ind w:left="-105" w:right="-105"/>
              <w:rPr>
                <w:rFonts w:eastAsia="宋体"/>
                <w:color w:val="auto"/>
                <w:sz w:val="21"/>
                <w:szCs w:val="21"/>
                <w:highlight w:val="none"/>
              </w:rPr>
            </w:pPr>
            <w:r>
              <w:rPr>
                <w:rFonts w:eastAsia="宋体"/>
                <w:color w:val="auto"/>
                <w:sz w:val="21"/>
                <w:szCs w:val="21"/>
                <w:highlight w:val="none"/>
              </w:rPr>
              <w:t>1,2-二氯苯</w:t>
            </w:r>
          </w:p>
        </w:tc>
        <w:tc>
          <w:tcPr>
            <w:tcW w:w="1323" w:type="dxa"/>
            <w:tcBorders>
              <w:tl2br w:val="nil"/>
              <w:tr2bl w:val="nil"/>
            </w:tcBorders>
            <w:vAlign w:val="center"/>
          </w:tcPr>
          <w:p w14:paraId="093EB175">
            <w:pPr>
              <w:pStyle w:val="98"/>
              <w:ind w:left="-105" w:right="-105"/>
              <w:rPr>
                <w:rFonts w:eastAsia="宋体"/>
                <w:color w:val="auto"/>
                <w:sz w:val="21"/>
                <w:szCs w:val="21"/>
                <w:highlight w:val="none"/>
              </w:rPr>
            </w:pPr>
            <w:r>
              <w:rPr>
                <w:rFonts w:eastAsia="宋体"/>
                <w:color w:val="auto"/>
                <w:sz w:val="21"/>
                <w:szCs w:val="21"/>
                <w:highlight w:val="none"/>
              </w:rPr>
              <w:t>95-50-1</w:t>
            </w:r>
          </w:p>
        </w:tc>
        <w:tc>
          <w:tcPr>
            <w:tcW w:w="1283" w:type="dxa"/>
            <w:tcBorders>
              <w:tl2br w:val="nil"/>
              <w:tr2bl w:val="nil"/>
            </w:tcBorders>
            <w:vAlign w:val="center"/>
          </w:tcPr>
          <w:p w14:paraId="7880853F">
            <w:pPr>
              <w:pStyle w:val="98"/>
              <w:ind w:left="-105" w:right="-105"/>
              <w:rPr>
                <w:rFonts w:eastAsia="宋体"/>
                <w:color w:val="auto"/>
                <w:sz w:val="21"/>
                <w:szCs w:val="21"/>
                <w:highlight w:val="none"/>
              </w:rPr>
            </w:pPr>
            <w:r>
              <w:rPr>
                <w:rFonts w:eastAsia="宋体"/>
                <w:color w:val="auto"/>
                <w:sz w:val="21"/>
                <w:szCs w:val="21"/>
                <w:highlight w:val="none"/>
              </w:rPr>
              <w:t>560</w:t>
            </w:r>
          </w:p>
        </w:tc>
        <w:tc>
          <w:tcPr>
            <w:tcW w:w="1292" w:type="dxa"/>
            <w:tcBorders>
              <w:tl2br w:val="nil"/>
              <w:tr2bl w:val="nil"/>
            </w:tcBorders>
            <w:vAlign w:val="center"/>
          </w:tcPr>
          <w:p w14:paraId="126B956A">
            <w:pPr>
              <w:pStyle w:val="98"/>
              <w:ind w:left="-105" w:right="-105"/>
              <w:rPr>
                <w:rFonts w:eastAsia="宋体"/>
                <w:color w:val="auto"/>
                <w:sz w:val="21"/>
                <w:szCs w:val="21"/>
                <w:highlight w:val="none"/>
              </w:rPr>
            </w:pPr>
            <w:r>
              <w:rPr>
                <w:rFonts w:eastAsia="宋体"/>
                <w:color w:val="auto"/>
                <w:sz w:val="21"/>
                <w:szCs w:val="21"/>
                <w:highlight w:val="none"/>
              </w:rPr>
              <w:t>560</w:t>
            </w:r>
          </w:p>
        </w:tc>
        <w:tc>
          <w:tcPr>
            <w:tcW w:w="1285" w:type="dxa"/>
            <w:tcBorders>
              <w:tl2br w:val="nil"/>
              <w:tr2bl w:val="nil"/>
            </w:tcBorders>
            <w:vAlign w:val="center"/>
          </w:tcPr>
          <w:p w14:paraId="7D132C51">
            <w:pPr>
              <w:pStyle w:val="98"/>
              <w:ind w:left="-105" w:right="-105"/>
              <w:rPr>
                <w:rFonts w:eastAsia="宋体"/>
                <w:color w:val="auto"/>
                <w:sz w:val="21"/>
                <w:szCs w:val="21"/>
                <w:highlight w:val="none"/>
              </w:rPr>
            </w:pPr>
            <w:r>
              <w:rPr>
                <w:rFonts w:eastAsia="宋体"/>
                <w:color w:val="auto"/>
                <w:sz w:val="21"/>
                <w:szCs w:val="21"/>
                <w:highlight w:val="none"/>
              </w:rPr>
              <w:t>560</w:t>
            </w:r>
          </w:p>
        </w:tc>
        <w:tc>
          <w:tcPr>
            <w:tcW w:w="1289" w:type="dxa"/>
            <w:tcBorders>
              <w:tl2br w:val="nil"/>
              <w:tr2bl w:val="nil"/>
            </w:tcBorders>
            <w:vAlign w:val="center"/>
          </w:tcPr>
          <w:p w14:paraId="63CD340A">
            <w:pPr>
              <w:pStyle w:val="98"/>
              <w:ind w:left="-105" w:right="-105"/>
              <w:rPr>
                <w:rFonts w:eastAsia="宋体"/>
                <w:color w:val="auto"/>
                <w:sz w:val="21"/>
                <w:szCs w:val="21"/>
                <w:highlight w:val="none"/>
              </w:rPr>
            </w:pPr>
            <w:r>
              <w:rPr>
                <w:rFonts w:eastAsia="宋体"/>
                <w:color w:val="auto"/>
                <w:sz w:val="21"/>
                <w:szCs w:val="21"/>
                <w:highlight w:val="none"/>
              </w:rPr>
              <w:t>560</w:t>
            </w:r>
          </w:p>
        </w:tc>
      </w:tr>
      <w:tr w14:paraId="1FC67D8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660" w:type="dxa"/>
            <w:tcBorders>
              <w:tl2br w:val="nil"/>
              <w:tr2bl w:val="nil"/>
            </w:tcBorders>
            <w:vAlign w:val="center"/>
          </w:tcPr>
          <w:p w14:paraId="000F8B74">
            <w:pPr>
              <w:pStyle w:val="98"/>
              <w:ind w:left="-105" w:right="-105"/>
              <w:rPr>
                <w:rFonts w:eastAsia="宋体"/>
                <w:color w:val="auto"/>
                <w:sz w:val="21"/>
                <w:szCs w:val="21"/>
                <w:highlight w:val="none"/>
              </w:rPr>
            </w:pPr>
            <w:r>
              <w:rPr>
                <w:rFonts w:eastAsia="宋体"/>
                <w:color w:val="auto"/>
                <w:sz w:val="21"/>
                <w:szCs w:val="21"/>
                <w:highlight w:val="none"/>
              </w:rPr>
              <w:t>29</w:t>
            </w:r>
          </w:p>
        </w:tc>
        <w:tc>
          <w:tcPr>
            <w:tcW w:w="1933" w:type="dxa"/>
            <w:tcBorders>
              <w:tl2br w:val="nil"/>
              <w:tr2bl w:val="nil"/>
            </w:tcBorders>
            <w:vAlign w:val="center"/>
          </w:tcPr>
          <w:p w14:paraId="2F29B695">
            <w:pPr>
              <w:pStyle w:val="98"/>
              <w:ind w:left="-105" w:right="-105"/>
              <w:rPr>
                <w:rFonts w:eastAsia="宋体"/>
                <w:color w:val="auto"/>
                <w:sz w:val="21"/>
                <w:szCs w:val="21"/>
                <w:highlight w:val="none"/>
              </w:rPr>
            </w:pPr>
            <w:r>
              <w:rPr>
                <w:rFonts w:eastAsia="宋体"/>
                <w:color w:val="auto"/>
                <w:sz w:val="21"/>
                <w:szCs w:val="21"/>
                <w:highlight w:val="none"/>
              </w:rPr>
              <w:t>1,4-二氯苯</w:t>
            </w:r>
          </w:p>
        </w:tc>
        <w:tc>
          <w:tcPr>
            <w:tcW w:w="1323" w:type="dxa"/>
            <w:tcBorders>
              <w:tl2br w:val="nil"/>
              <w:tr2bl w:val="nil"/>
            </w:tcBorders>
            <w:vAlign w:val="center"/>
          </w:tcPr>
          <w:p w14:paraId="0FB69A38">
            <w:pPr>
              <w:pStyle w:val="98"/>
              <w:ind w:left="-105" w:right="-105"/>
              <w:rPr>
                <w:rFonts w:eastAsia="宋体"/>
                <w:color w:val="auto"/>
                <w:sz w:val="21"/>
                <w:szCs w:val="21"/>
                <w:highlight w:val="none"/>
              </w:rPr>
            </w:pPr>
            <w:r>
              <w:rPr>
                <w:rFonts w:eastAsia="宋体"/>
                <w:color w:val="auto"/>
                <w:sz w:val="21"/>
                <w:szCs w:val="21"/>
                <w:highlight w:val="none"/>
              </w:rPr>
              <w:t>106-46-7</w:t>
            </w:r>
          </w:p>
        </w:tc>
        <w:tc>
          <w:tcPr>
            <w:tcW w:w="1283" w:type="dxa"/>
            <w:tcBorders>
              <w:tl2br w:val="nil"/>
              <w:tr2bl w:val="nil"/>
            </w:tcBorders>
            <w:vAlign w:val="center"/>
          </w:tcPr>
          <w:p w14:paraId="304BC9CD">
            <w:pPr>
              <w:pStyle w:val="98"/>
              <w:ind w:left="-105" w:right="-105"/>
              <w:rPr>
                <w:rFonts w:eastAsia="宋体"/>
                <w:color w:val="auto"/>
                <w:sz w:val="21"/>
                <w:szCs w:val="21"/>
                <w:highlight w:val="none"/>
              </w:rPr>
            </w:pPr>
            <w:r>
              <w:rPr>
                <w:rFonts w:eastAsia="宋体"/>
                <w:color w:val="auto"/>
                <w:sz w:val="21"/>
                <w:szCs w:val="21"/>
                <w:highlight w:val="none"/>
              </w:rPr>
              <w:t>5.6</w:t>
            </w:r>
          </w:p>
        </w:tc>
        <w:tc>
          <w:tcPr>
            <w:tcW w:w="1292" w:type="dxa"/>
            <w:tcBorders>
              <w:tl2br w:val="nil"/>
              <w:tr2bl w:val="nil"/>
            </w:tcBorders>
            <w:vAlign w:val="center"/>
          </w:tcPr>
          <w:p w14:paraId="3E8B1786">
            <w:pPr>
              <w:pStyle w:val="98"/>
              <w:ind w:left="-105" w:right="-105"/>
              <w:rPr>
                <w:rFonts w:eastAsia="宋体"/>
                <w:color w:val="auto"/>
                <w:sz w:val="21"/>
                <w:szCs w:val="21"/>
                <w:highlight w:val="none"/>
              </w:rPr>
            </w:pPr>
            <w:r>
              <w:rPr>
                <w:rFonts w:eastAsia="宋体"/>
                <w:color w:val="auto"/>
                <w:sz w:val="21"/>
                <w:szCs w:val="21"/>
                <w:highlight w:val="none"/>
              </w:rPr>
              <w:t>20</w:t>
            </w:r>
          </w:p>
        </w:tc>
        <w:tc>
          <w:tcPr>
            <w:tcW w:w="1285" w:type="dxa"/>
            <w:tcBorders>
              <w:tl2br w:val="nil"/>
              <w:tr2bl w:val="nil"/>
            </w:tcBorders>
            <w:vAlign w:val="center"/>
          </w:tcPr>
          <w:p w14:paraId="1B952F33">
            <w:pPr>
              <w:pStyle w:val="98"/>
              <w:ind w:left="-105" w:right="-105"/>
              <w:rPr>
                <w:rFonts w:eastAsia="宋体"/>
                <w:color w:val="auto"/>
                <w:sz w:val="21"/>
                <w:szCs w:val="21"/>
                <w:highlight w:val="none"/>
              </w:rPr>
            </w:pPr>
            <w:r>
              <w:rPr>
                <w:rFonts w:eastAsia="宋体"/>
                <w:color w:val="auto"/>
                <w:sz w:val="21"/>
                <w:szCs w:val="21"/>
                <w:highlight w:val="none"/>
              </w:rPr>
              <w:t>56</w:t>
            </w:r>
          </w:p>
        </w:tc>
        <w:tc>
          <w:tcPr>
            <w:tcW w:w="1289" w:type="dxa"/>
            <w:tcBorders>
              <w:tl2br w:val="nil"/>
              <w:tr2bl w:val="nil"/>
            </w:tcBorders>
            <w:vAlign w:val="center"/>
          </w:tcPr>
          <w:p w14:paraId="19921B2E">
            <w:pPr>
              <w:pStyle w:val="98"/>
              <w:ind w:left="-105" w:right="-105"/>
              <w:rPr>
                <w:rFonts w:eastAsia="宋体"/>
                <w:color w:val="auto"/>
                <w:sz w:val="21"/>
                <w:szCs w:val="21"/>
                <w:highlight w:val="none"/>
              </w:rPr>
            </w:pPr>
            <w:r>
              <w:rPr>
                <w:rFonts w:eastAsia="宋体"/>
                <w:color w:val="auto"/>
                <w:sz w:val="21"/>
                <w:szCs w:val="21"/>
                <w:highlight w:val="none"/>
              </w:rPr>
              <w:t>200</w:t>
            </w:r>
          </w:p>
        </w:tc>
      </w:tr>
      <w:tr w14:paraId="01BCD0A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660" w:type="dxa"/>
            <w:tcBorders>
              <w:tl2br w:val="nil"/>
              <w:tr2bl w:val="nil"/>
            </w:tcBorders>
            <w:vAlign w:val="center"/>
          </w:tcPr>
          <w:p w14:paraId="131B1D35">
            <w:pPr>
              <w:pStyle w:val="98"/>
              <w:ind w:left="-105" w:right="-105"/>
              <w:rPr>
                <w:rFonts w:eastAsia="宋体"/>
                <w:color w:val="auto"/>
                <w:sz w:val="21"/>
                <w:szCs w:val="21"/>
                <w:highlight w:val="none"/>
              </w:rPr>
            </w:pPr>
            <w:r>
              <w:rPr>
                <w:rFonts w:eastAsia="宋体"/>
                <w:color w:val="auto"/>
                <w:sz w:val="21"/>
                <w:szCs w:val="21"/>
                <w:highlight w:val="none"/>
              </w:rPr>
              <w:t>30</w:t>
            </w:r>
          </w:p>
        </w:tc>
        <w:tc>
          <w:tcPr>
            <w:tcW w:w="1933" w:type="dxa"/>
            <w:tcBorders>
              <w:tl2br w:val="nil"/>
              <w:tr2bl w:val="nil"/>
            </w:tcBorders>
            <w:vAlign w:val="center"/>
          </w:tcPr>
          <w:p w14:paraId="230CBE97">
            <w:pPr>
              <w:pStyle w:val="98"/>
              <w:ind w:left="-105" w:right="-105"/>
              <w:rPr>
                <w:rFonts w:eastAsia="宋体"/>
                <w:color w:val="auto"/>
                <w:sz w:val="21"/>
                <w:szCs w:val="21"/>
                <w:highlight w:val="none"/>
              </w:rPr>
            </w:pPr>
            <w:r>
              <w:rPr>
                <w:rFonts w:eastAsia="宋体"/>
                <w:color w:val="auto"/>
                <w:sz w:val="21"/>
                <w:szCs w:val="21"/>
                <w:highlight w:val="none"/>
              </w:rPr>
              <w:t>乙苯</w:t>
            </w:r>
          </w:p>
        </w:tc>
        <w:tc>
          <w:tcPr>
            <w:tcW w:w="1323" w:type="dxa"/>
            <w:tcBorders>
              <w:tl2br w:val="nil"/>
              <w:tr2bl w:val="nil"/>
            </w:tcBorders>
            <w:vAlign w:val="center"/>
          </w:tcPr>
          <w:p w14:paraId="46DF0711">
            <w:pPr>
              <w:pStyle w:val="98"/>
              <w:ind w:left="-105" w:right="-105"/>
              <w:rPr>
                <w:rFonts w:eastAsia="宋体"/>
                <w:color w:val="auto"/>
                <w:sz w:val="21"/>
                <w:szCs w:val="21"/>
                <w:highlight w:val="none"/>
              </w:rPr>
            </w:pPr>
            <w:r>
              <w:rPr>
                <w:rFonts w:eastAsia="宋体"/>
                <w:color w:val="auto"/>
                <w:sz w:val="21"/>
                <w:szCs w:val="21"/>
                <w:highlight w:val="none"/>
              </w:rPr>
              <w:t>100-41-4</w:t>
            </w:r>
          </w:p>
        </w:tc>
        <w:tc>
          <w:tcPr>
            <w:tcW w:w="1283" w:type="dxa"/>
            <w:tcBorders>
              <w:tl2br w:val="nil"/>
              <w:tr2bl w:val="nil"/>
            </w:tcBorders>
            <w:vAlign w:val="center"/>
          </w:tcPr>
          <w:p w14:paraId="0EC3CF3A">
            <w:pPr>
              <w:pStyle w:val="98"/>
              <w:ind w:left="-105" w:right="-105"/>
              <w:rPr>
                <w:rFonts w:eastAsia="宋体"/>
                <w:color w:val="auto"/>
                <w:sz w:val="21"/>
                <w:szCs w:val="21"/>
                <w:highlight w:val="none"/>
              </w:rPr>
            </w:pPr>
            <w:r>
              <w:rPr>
                <w:rFonts w:eastAsia="宋体"/>
                <w:color w:val="auto"/>
                <w:sz w:val="21"/>
                <w:szCs w:val="21"/>
                <w:highlight w:val="none"/>
              </w:rPr>
              <w:t>7.2</w:t>
            </w:r>
          </w:p>
        </w:tc>
        <w:tc>
          <w:tcPr>
            <w:tcW w:w="1292" w:type="dxa"/>
            <w:tcBorders>
              <w:tl2br w:val="nil"/>
              <w:tr2bl w:val="nil"/>
            </w:tcBorders>
            <w:vAlign w:val="center"/>
          </w:tcPr>
          <w:p w14:paraId="7ED6A2B4">
            <w:pPr>
              <w:pStyle w:val="98"/>
              <w:ind w:left="-105" w:right="-105"/>
              <w:rPr>
                <w:rFonts w:eastAsia="宋体"/>
                <w:color w:val="auto"/>
                <w:sz w:val="21"/>
                <w:szCs w:val="21"/>
                <w:highlight w:val="none"/>
              </w:rPr>
            </w:pPr>
            <w:r>
              <w:rPr>
                <w:rFonts w:eastAsia="宋体"/>
                <w:color w:val="auto"/>
                <w:sz w:val="21"/>
                <w:szCs w:val="21"/>
                <w:highlight w:val="none"/>
              </w:rPr>
              <w:t>28</w:t>
            </w:r>
          </w:p>
        </w:tc>
        <w:tc>
          <w:tcPr>
            <w:tcW w:w="1285" w:type="dxa"/>
            <w:tcBorders>
              <w:tl2br w:val="nil"/>
              <w:tr2bl w:val="nil"/>
            </w:tcBorders>
            <w:vAlign w:val="center"/>
          </w:tcPr>
          <w:p w14:paraId="662E55AE">
            <w:pPr>
              <w:pStyle w:val="98"/>
              <w:ind w:left="-105" w:right="-105"/>
              <w:rPr>
                <w:rFonts w:eastAsia="宋体"/>
                <w:color w:val="auto"/>
                <w:sz w:val="21"/>
                <w:szCs w:val="21"/>
                <w:highlight w:val="none"/>
              </w:rPr>
            </w:pPr>
            <w:r>
              <w:rPr>
                <w:rFonts w:eastAsia="宋体"/>
                <w:color w:val="auto"/>
                <w:sz w:val="21"/>
                <w:szCs w:val="21"/>
                <w:highlight w:val="none"/>
              </w:rPr>
              <w:t>72</w:t>
            </w:r>
          </w:p>
        </w:tc>
        <w:tc>
          <w:tcPr>
            <w:tcW w:w="1289" w:type="dxa"/>
            <w:tcBorders>
              <w:tl2br w:val="nil"/>
              <w:tr2bl w:val="nil"/>
            </w:tcBorders>
            <w:vAlign w:val="center"/>
          </w:tcPr>
          <w:p w14:paraId="59CEAF26">
            <w:pPr>
              <w:pStyle w:val="98"/>
              <w:ind w:left="-105" w:right="-105"/>
              <w:rPr>
                <w:rFonts w:eastAsia="宋体"/>
                <w:color w:val="auto"/>
                <w:sz w:val="21"/>
                <w:szCs w:val="21"/>
                <w:highlight w:val="none"/>
              </w:rPr>
            </w:pPr>
            <w:r>
              <w:rPr>
                <w:rFonts w:eastAsia="宋体"/>
                <w:color w:val="auto"/>
                <w:sz w:val="21"/>
                <w:szCs w:val="21"/>
                <w:highlight w:val="none"/>
              </w:rPr>
              <w:t>280</w:t>
            </w:r>
          </w:p>
        </w:tc>
      </w:tr>
      <w:tr w14:paraId="323D995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660" w:type="dxa"/>
            <w:tcBorders>
              <w:tl2br w:val="nil"/>
              <w:tr2bl w:val="nil"/>
            </w:tcBorders>
            <w:vAlign w:val="center"/>
          </w:tcPr>
          <w:p w14:paraId="5299A189">
            <w:pPr>
              <w:pStyle w:val="98"/>
              <w:ind w:left="-105" w:right="-105"/>
              <w:rPr>
                <w:rFonts w:eastAsia="宋体"/>
                <w:color w:val="auto"/>
                <w:sz w:val="21"/>
                <w:szCs w:val="21"/>
                <w:highlight w:val="none"/>
              </w:rPr>
            </w:pPr>
            <w:r>
              <w:rPr>
                <w:rFonts w:eastAsia="宋体"/>
                <w:color w:val="auto"/>
                <w:sz w:val="21"/>
                <w:szCs w:val="21"/>
                <w:highlight w:val="none"/>
              </w:rPr>
              <w:t>31</w:t>
            </w:r>
          </w:p>
        </w:tc>
        <w:tc>
          <w:tcPr>
            <w:tcW w:w="1933" w:type="dxa"/>
            <w:tcBorders>
              <w:tl2br w:val="nil"/>
              <w:tr2bl w:val="nil"/>
            </w:tcBorders>
            <w:vAlign w:val="center"/>
          </w:tcPr>
          <w:p w14:paraId="3BABD63B">
            <w:pPr>
              <w:pStyle w:val="98"/>
              <w:ind w:left="-105" w:right="-105"/>
              <w:rPr>
                <w:rFonts w:eastAsia="宋体"/>
                <w:color w:val="auto"/>
                <w:sz w:val="21"/>
                <w:szCs w:val="21"/>
                <w:highlight w:val="none"/>
              </w:rPr>
            </w:pPr>
            <w:r>
              <w:rPr>
                <w:rFonts w:eastAsia="宋体"/>
                <w:color w:val="auto"/>
                <w:sz w:val="21"/>
                <w:szCs w:val="21"/>
                <w:highlight w:val="none"/>
              </w:rPr>
              <w:t>苯乙烯</w:t>
            </w:r>
          </w:p>
        </w:tc>
        <w:tc>
          <w:tcPr>
            <w:tcW w:w="1323" w:type="dxa"/>
            <w:tcBorders>
              <w:tl2br w:val="nil"/>
              <w:tr2bl w:val="nil"/>
            </w:tcBorders>
            <w:vAlign w:val="center"/>
          </w:tcPr>
          <w:p w14:paraId="1A01A6B6">
            <w:pPr>
              <w:pStyle w:val="98"/>
              <w:ind w:left="-105" w:right="-105"/>
              <w:rPr>
                <w:rFonts w:eastAsia="宋体"/>
                <w:color w:val="auto"/>
                <w:sz w:val="21"/>
                <w:szCs w:val="21"/>
                <w:highlight w:val="none"/>
              </w:rPr>
            </w:pPr>
            <w:r>
              <w:rPr>
                <w:rFonts w:eastAsia="宋体"/>
                <w:color w:val="auto"/>
                <w:sz w:val="21"/>
                <w:szCs w:val="21"/>
                <w:highlight w:val="none"/>
              </w:rPr>
              <w:t>100-42-5</w:t>
            </w:r>
          </w:p>
        </w:tc>
        <w:tc>
          <w:tcPr>
            <w:tcW w:w="1283" w:type="dxa"/>
            <w:tcBorders>
              <w:tl2br w:val="nil"/>
              <w:tr2bl w:val="nil"/>
            </w:tcBorders>
            <w:vAlign w:val="center"/>
          </w:tcPr>
          <w:p w14:paraId="5E51E44D">
            <w:pPr>
              <w:pStyle w:val="98"/>
              <w:ind w:left="-105" w:right="-105"/>
              <w:rPr>
                <w:rFonts w:eastAsia="宋体"/>
                <w:color w:val="auto"/>
                <w:sz w:val="21"/>
                <w:szCs w:val="21"/>
                <w:highlight w:val="none"/>
              </w:rPr>
            </w:pPr>
            <w:r>
              <w:rPr>
                <w:rFonts w:eastAsia="宋体"/>
                <w:color w:val="auto"/>
                <w:sz w:val="21"/>
                <w:szCs w:val="21"/>
                <w:highlight w:val="none"/>
              </w:rPr>
              <w:t>1290</w:t>
            </w:r>
          </w:p>
        </w:tc>
        <w:tc>
          <w:tcPr>
            <w:tcW w:w="1292" w:type="dxa"/>
            <w:tcBorders>
              <w:tl2br w:val="nil"/>
              <w:tr2bl w:val="nil"/>
            </w:tcBorders>
            <w:vAlign w:val="center"/>
          </w:tcPr>
          <w:p w14:paraId="7996B667">
            <w:pPr>
              <w:pStyle w:val="98"/>
              <w:ind w:left="-105" w:right="-105"/>
              <w:rPr>
                <w:rFonts w:eastAsia="宋体"/>
                <w:color w:val="auto"/>
                <w:sz w:val="21"/>
                <w:szCs w:val="21"/>
                <w:highlight w:val="none"/>
              </w:rPr>
            </w:pPr>
            <w:r>
              <w:rPr>
                <w:rFonts w:eastAsia="宋体"/>
                <w:color w:val="auto"/>
                <w:sz w:val="21"/>
                <w:szCs w:val="21"/>
                <w:highlight w:val="none"/>
              </w:rPr>
              <w:t>1290</w:t>
            </w:r>
          </w:p>
        </w:tc>
        <w:tc>
          <w:tcPr>
            <w:tcW w:w="1285" w:type="dxa"/>
            <w:tcBorders>
              <w:tl2br w:val="nil"/>
              <w:tr2bl w:val="nil"/>
            </w:tcBorders>
            <w:vAlign w:val="center"/>
          </w:tcPr>
          <w:p w14:paraId="5676C9E1">
            <w:pPr>
              <w:pStyle w:val="98"/>
              <w:ind w:left="-105" w:right="-105"/>
              <w:rPr>
                <w:rFonts w:eastAsia="宋体"/>
                <w:color w:val="auto"/>
                <w:sz w:val="21"/>
                <w:szCs w:val="21"/>
                <w:highlight w:val="none"/>
              </w:rPr>
            </w:pPr>
            <w:r>
              <w:rPr>
                <w:rFonts w:eastAsia="宋体"/>
                <w:color w:val="auto"/>
                <w:sz w:val="21"/>
                <w:szCs w:val="21"/>
                <w:highlight w:val="none"/>
              </w:rPr>
              <w:t>1290</w:t>
            </w:r>
          </w:p>
        </w:tc>
        <w:tc>
          <w:tcPr>
            <w:tcW w:w="1289" w:type="dxa"/>
            <w:tcBorders>
              <w:tl2br w:val="nil"/>
              <w:tr2bl w:val="nil"/>
            </w:tcBorders>
            <w:vAlign w:val="center"/>
          </w:tcPr>
          <w:p w14:paraId="00698705">
            <w:pPr>
              <w:pStyle w:val="98"/>
              <w:ind w:left="-105" w:right="-105"/>
              <w:rPr>
                <w:rFonts w:eastAsia="宋体"/>
                <w:color w:val="auto"/>
                <w:sz w:val="21"/>
                <w:szCs w:val="21"/>
                <w:highlight w:val="none"/>
              </w:rPr>
            </w:pPr>
            <w:r>
              <w:rPr>
                <w:rFonts w:eastAsia="宋体"/>
                <w:color w:val="auto"/>
                <w:sz w:val="21"/>
                <w:szCs w:val="21"/>
                <w:highlight w:val="none"/>
              </w:rPr>
              <w:t>1290</w:t>
            </w:r>
          </w:p>
        </w:tc>
      </w:tr>
      <w:tr w14:paraId="00718BD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660" w:type="dxa"/>
            <w:tcBorders>
              <w:tl2br w:val="nil"/>
              <w:tr2bl w:val="nil"/>
            </w:tcBorders>
            <w:vAlign w:val="center"/>
          </w:tcPr>
          <w:p w14:paraId="3F6169D1">
            <w:pPr>
              <w:pStyle w:val="98"/>
              <w:ind w:left="-105" w:right="-105"/>
              <w:rPr>
                <w:rFonts w:eastAsia="宋体"/>
                <w:color w:val="auto"/>
                <w:sz w:val="21"/>
                <w:szCs w:val="21"/>
                <w:highlight w:val="none"/>
              </w:rPr>
            </w:pPr>
            <w:r>
              <w:rPr>
                <w:rFonts w:eastAsia="宋体"/>
                <w:color w:val="auto"/>
                <w:sz w:val="21"/>
                <w:szCs w:val="21"/>
                <w:highlight w:val="none"/>
              </w:rPr>
              <w:t>32</w:t>
            </w:r>
          </w:p>
        </w:tc>
        <w:tc>
          <w:tcPr>
            <w:tcW w:w="1933" w:type="dxa"/>
            <w:tcBorders>
              <w:tl2br w:val="nil"/>
              <w:tr2bl w:val="nil"/>
            </w:tcBorders>
            <w:vAlign w:val="center"/>
          </w:tcPr>
          <w:p w14:paraId="3F620734">
            <w:pPr>
              <w:pStyle w:val="98"/>
              <w:ind w:left="-105" w:right="-105"/>
              <w:rPr>
                <w:rFonts w:eastAsia="宋体"/>
                <w:color w:val="auto"/>
                <w:sz w:val="21"/>
                <w:szCs w:val="21"/>
                <w:highlight w:val="none"/>
              </w:rPr>
            </w:pPr>
            <w:r>
              <w:rPr>
                <w:rFonts w:eastAsia="宋体"/>
                <w:color w:val="auto"/>
                <w:sz w:val="21"/>
                <w:szCs w:val="21"/>
                <w:highlight w:val="none"/>
              </w:rPr>
              <w:t>甲苯</w:t>
            </w:r>
          </w:p>
        </w:tc>
        <w:tc>
          <w:tcPr>
            <w:tcW w:w="1323" w:type="dxa"/>
            <w:tcBorders>
              <w:tl2br w:val="nil"/>
              <w:tr2bl w:val="nil"/>
            </w:tcBorders>
            <w:vAlign w:val="center"/>
          </w:tcPr>
          <w:p w14:paraId="4E9488DC">
            <w:pPr>
              <w:pStyle w:val="98"/>
              <w:ind w:left="-105" w:right="-105"/>
              <w:rPr>
                <w:rFonts w:eastAsia="宋体"/>
                <w:color w:val="auto"/>
                <w:sz w:val="21"/>
                <w:szCs w:val="21"/>
                <w:highlight w:val="none"/>
              </w:rPr>
            </w:pPr>
            <w:r>
              <w:rPr>
                <w:rFonts w:eastAsia="宋体"/>
                <w:color w:val="auto"/>
                <w:sz w:val="21"/>
                <w:szCs w:val="21"/>
                <w:highlight w:val="none"/>
              </w:rPr>
              <w:t>108-88-3</w:t>
            </w:r>
          </w:p>
        </w:tc>
        <w:tc>
          <w:tcPr>
            <w:tcW w:w="1283" w:type="dxa"/>
            <w:tcBorders>
              <w:tl2br w:val="nil"/>
              <w:tr2bl w:val="nil"/>
            </w:tcBorders>
            <w:vAlign w:val="center"/>
          </w:tcPr>
          <w:p w14:paraId="7402053E">
            <w:pPr>
              <w:pStyle w:val="98"/>
              <w:ind w:left="-105" w:right="-105"/>
              <w:rPr>
                <w:rFonts w:eastAsia="宋体"/>
                <w:color w:val="auto"/>
                <w:sz w:val="21"/>
                <w:szCs w:val="21"/>
                <w:highlight w:val="none"/>
              </w:rPr>
            </w:pPr>
            <w:r>
              <w:rPr>
                <w:rFonts w:eastAsia="宋体"/>
                <w:color w:val="auto"/>
                <w:sz w:val="21"/>
                <w:szCs w:val="21"/>
                <w:highlight w:val="none"/>
              </w:rPr>
              <w:t>1200</w:t>
            </w:r>
          </w:p>
        </w:tc>
        <w:tc>
          <w:tcPr>
            <w:tcW w:w="1292" w:type="dxa"/>
            <w:tcBorders>
              <w:tl2br w:val="nil"/>
              <w:tr2bl w:val="nil"/>
            </w:tcBorders>
            <w:vAlign w:val="center"/>
          </w:tcPr>
          <w:p w14:paraId="57C8612C">
            <w:pPr>
              <w:pStyle w:val="98"/>
              <w:ind w:left="-105" w:right="-105"/>
              <w:rPr>
                <w:rFonts w:eastAsia="宋体"/>
                <w:color w:val="auto"/>
                <w:sz w:val="21"/>
                <w:szCs w:val="21"/>
                <w:highlight w:val="none"/>
              </w:rPr>
            </w:pPr>
            <w:r>
              <w:rPr>
                <w:rFonts w:eastAsia="宋体"/>
                <w:color w:val="auto"/>
                <w:sz w:val="21"/>
                <w:szCs w:val="21"/>
                <w:highlight w:val="none"/>
              </w:rPr>
              <w:t>1200</w:t>
            </w:r>
          </w:p>
        </w:tc>
        <w:tc>
          <w:tcPr>
            <w:tcW w:w="1285" w:type="dxa"/>
            <w:tcBorders>
              <w:tl2br w:val="nil"/>
              <w:tr2bl w:val="nil"/>
            </w:tcBorders>
            <w:vAlign w:val="center"/>
          </w:tcPr>
          <w:p w14:paraId="08B451D7">
            <w:pPr>
              <w:pStyle w:val="98"/>
              <w:ind w:left="-105" w:right="-105"/>
              <w:rPr>
                <w:rFonts w:eastAsia="宋体"/>
                <w:color w:val="auto"/>
                <w:sz w:val="21"/>
                <w:szCs w:val="21"/>
                <w:highlight w:val="none"/>
              </w:rPr>
            </w:pPr>
            <w:r>
              <w:rPr>
                <w:rFonts w:eastAsia="宋体"/>
                <w:color w:val="auto"/>
                <w:sz w:val="21"/>
                <w:szCs w:val="21"/>
                <w:highlight w:val="none"/>
              </w:rPr>
              <w:t>1200</w:t>
            </w:r>
          </w:p>
        </w:tc>
        <w:tc>
          <w:tcPr>
            <w:tcW w:w="1289" w:type="dxa"/>
            <w:tcBorders>
              <w:tl2br w:val="nil"/>
              <w:tr2bl w:val="nil"/>
            </w:tcBorders>
            <w:vAlign w:val="center"/>
          </w:tcPr>
          <w:p w14:paraId="2047E792">
            <w:pPr>
              <w:pStyle w:val="98"/>
              <w:ind w:left="-105" w:right="-105"/>
              <w:rPr>
                <w:rFonts w:eastAsia="宋体"/>
                <w:color w:val="auto"/>
                <w:sz w:val="21"/>
                <w:szCs w:val="21"/>
                <w:highlight w:val="none"/>
              </w:rPr>
            </w:pPr>
            <w:r>
              <w:rPr>
                <w:rFonts w:eastAsia="宋体"/>
                <w:color w:val="auto"/>
                <w:sz w:val="21"/>
                <w:szCs w:val="21"/>
                <w:highlight w:val="none"/>
              </w:rPr>
              <w:t>1200</w:t>
            </w:r>
          </w:p>
        </w:tc>
      </w:tr>
      <w:tr w14:paraId="5165183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660" w:type="dxa"/>
            <w:tcBorders>
              <w:tl2br w:val="nil"/>
              <w:tr2bl w:val="nil"/>
            </w:tcBorders>
            <w:vAlign w:val="center"/>
          </w:tcPr>
          <w:p w14:paraId="0AB77526">
            <w:pPr>
              <w:pStyle w:val="98"/>
              <w:ind w:left="-105" w:right="-105"/>
              <w:rPr>
                <w:rFonts w:eastAsia="宋体"/>
                <w:color w:val="auto"/>
                <w:sz w:val="21"/>
                <w:szCs w:val="21"/>
                <w:highlight w:val="none"/>
              </w:rPr>
            </w:pPr>
            <w:r>
              <w:rPr>
                <w:rFonts w:eastAsia="宋体"/>
                <w:color w:val="auto"/>
                <w:sz w:val="21"/>
                <w:szCs w:val="21"/>
                <w:highlight w:val="none"/>
              </w:rPr>
              <w:t>33</w:t>
            </w:r>
          </w:p>
        </w:tc>
        <w:tc>
          <w:tcPr>
            <w:tcW w:w="1933" w:type="dxa"/>
            <w:tcBorders>
              <w:tl2br w:val="nil"/>
              <w:tr2bl w:val="nil"/>
            </w:tcBorders>
            <w:vAlign w:val="center"/>
          </w:tcPr>
          <w:p w14:paraId="7DB150F5">
            <w:pPr>
              <w:pStyle w:val="98"/>
              <w:ind w:left="-105" w:right="-105"/>
              <w:rPr>
                <w:rFonts w:eastAsia="宋体"/>
                <w:color w:val="auto"/>
                <w:sz w:val="21"/>
                <w:szCs w:val="21"/>
                <w:highlight w:val="none"/>
              </w:rPr>
            </w:pPr>
            <w:r>
              <w:rPr>
                <w:rFonts w:eastAsia="宋体"/>
                <w:color w:val="auto"/>
                <w:sz w:val="21"/>
                <w:szCs w:val="21"/>
                <w:highlight w:val="none"/>
              </w:rPr>
              <w:t>间二甲苯+对二甲苯</w:t>
            </w:r>
          </w:p>
        </w:tc>
        <w:tc>
          <w:tcPr>
            <w:tcW w:w="1323" w:type="dxa"/>
            <w:tcBorders>
              <w:tl2br w:val="nil"/>
              <w:tr2bl w:val="nil"/>
            </w:tcBorders>
            <w:vAlign w:val="center"/>
          </w:tcPr>
          <w:p w14:paraId="37B33AD9">
            <w:pPr>
              <w:pStyle w:val="98"/>
              <w:ind w:left="-105" w:right="-105"/>
              <w:rPr>
                <w:rFonts w:eastAsia="宋体"/>
                <w:color w:val="auto"/>
                <w:sz w:val="21"/>
                <w:szCs w:val="21"/>
                <w:highlight w:val="none"/>
              </w:rPr>
            </w:pPr>
            <w:r>
              <w:rPr>
                <w:rFonts w:eastAsia="宋体"/>
                <w:color w:val="auto"/>
                <w:sz w:val="21"/>
                <w:szCs w:val="21"/>
                <w:highlight w:val="none"/>
              </w:rPr>
              <w:t>108-38-3</w:t>
            </w:r>
          </w:p>
          <w:p w14:paraId="1695B6F6">
            <w:pPr>
              <w:pStyle w:val="98"/>
              <w:ind w:left="-105" w:right="-105"/>
              <w:rPr>
                <w:rFonts w:eastAsia="宋体"/>
                <w:color w:val="auto"/>
                <w:sz w:val="21"/>
                <w:szCs w:val="21"/>
                <w:highlight w:val="none"/>
              </w:rPr>
            </w:pPr>
            <w:r>
              <w:rPr>
                <w:rFonts w:eastAsia="宋体"/>
                <w:color w:val="auto"/>
                <w:sz w:val="21"/>
                <w:szCs w:val="21"/>
                <w:highlight w:val="none"/>
              </w:rPr>
              <w:t>106-42-3</w:t>
            </w:r>
          </w:p>
        </w:tc>
        <w:tc>
          <w:tcPr>
            <w:tcW w:w="1283" w:type="dxa"/>
            <w:tcBorders>
              <w:tl2br w:val="nil"/>
              <w:tr2bl w:val="nil"/>
            </w:tcBorders>
            <w:vAlign w:val="center"/>
          </w:tcPr>
          <w:p w14:paraId="5FA67106">
            <w:pPr>
              <w:pStyle w:val="98"/>
              <w:ind w:left="-105" w:right="-105"/>
              <w:rPr>
                <w:rFonts w:eastAsia="宋体"/>
                <w:color w:val="auto"/>
                <w:sz w:val="21"/>
                <w:szCs w:val="21"/>
                <w:highlight w:val="none"/>
              </w:rPr>
            </w:pPr>
            <w:r>
              <w:rPr>
                <w:rFonts w:eastAsia="宋体"/>
                <w:color w:val="auto"/>
                <w:sz w:val="21"/>
                <w:szCs w:val="21"/>
                <w:highlight w:val="none"/>
              </w:rPr>
              <w:t>163</w:t>
            </w:r>
          </w:p>
        </w:tc>
        <w:tc>
          <w:tcPr>
            <w:tcW w:w="1292" w:type="dxa"/>
            <w:tcBorders>
              <w:tl2br w:val="nil"/>
              <w:tr2bl w:val="nil"/>
            </w:tcBorders>
            <w:vAlign w:val="center"/>
          </w:tcPr>
          <w:p w14:paraId="55A5F453">
            <w:pPr>
              <w:pStyle w:val="98"/>
              <w:ind w:left="-105" w:right="-105"/>
              <w:rPr>
                <w:rFonts w:eastAsia="宋体"/>
                <w:color w:val="auto"/>
                <w:sz w:val="21"/>
                <w:szCs w:val="21"/>
                <w:highlight w:val="none"/>
              </w:rPr>
            </w:pPr>
            <w:r>
              <w:rPr>
                <w:rFonts w:eastAsia="宋体"/>
                <w:color w:val="auto"/>
                <w:sz w:val="21"/>
                <w:szCs w:val="21"/>
                <w:highlight w:val="none"/>
              </w:rPr>
              <w:t>570</w:t>
            </w:r>
          </w:p>
        </w:tc>
        <w:tc>
          <w:tcPr>
            <w:tcW w:w="1285" w:type="dxa"/>
            <w:tcBorders>
              <w:tl2br w:val="nil"/>
              <w:tr2bl w:val="nil"/>
            </w:tcBorders>
            <w:vAlign w:val="center"/>
          </w:tcPr>
          <w:p w14:paraId="49BB79BD">
            <w:pPr>
              <w:pStyle w:val="98"/>
              <w:ind w:left="-105" w:right="-105"/>
              <w:rPr>
                <w:rFonts w:eastAsia="宋体"/>
                <w:color w:val="auto"/>
                <w:sz w:val="21"/>
                <w:szCs w:val="21"/>
                <w:highlight w:val="none"/>
              </w:rPr>
            </w:pPr>
            <w:r>
              <w:rPr>
                <w:rFonts w:eastAsia="宋体"/>
                <w:color w:val="auto"/>
                <w:sz w:val="21"/>
                <w:szCs w:val="21"/>
                <w:highlight w:val="none"/>
              </w:rPr>
              <w:t>500</w:t>
            </w:r>
          </w:p>
        </w:tc>
        <w:tc>
          <w:tcPr>
            <w:tcW w:w="1289" w:type="dxa"/>
            <w:tcBorders>
              <w:tl2br w:val="nil"/>
              <w:tr2bl w:val="nil"/>
            </w:tcBorders>
            <w:vAlign w:val="center"/>
          </w:tcPr>
          <w:p w14:paraId="68ACBD57">
            <w:pPr>
              <w:pStyle w:val="98"/>
              <w:ind w:left="-105" w:right="-105"/>
              <w:rPr>
                <w:rFonts w:eastAsia="宋体"/>
                <w:color w:val="auto"/>
                <w:sz w:val="21"/>
                <w:szCs w:val="21"/>
                <w:highlight w:val="none"/>
              </w:rPr>
            </w:pPr>
            <w:r>
              <w:rPr>
                <w:rFonts w:eastAsia="宋体"/>
                <w:color w:val="auto"/>
                <w:sz w:val="21"/>
                <w:szCs w:val="21"/>
                <w:highlight w:val="none"/>
              </w:rPr>
              <w:t>570</w:t>
            </w:r>
          </w:p>
        </w:tc>
      </w:tr>
      <w:tr w14:paraId="63C3340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660" w:type="dxa"/>
            <w:tcBorders>
              <w:tl2br w:val="nil"/>
              <w:tr2bl w:val="nil"/>
            </w:tcBorders>
            <w:vAlign w:val="center"/>
          </w:tcPr>
          <w:p w14:paraId="71E0B77E">
            <w:pPr>
              <w:pStyle w:val="98"/>
              <w:ind w:left="-105" w:right="-105"/>
              <w:rPr>
                <w:rFonts w:eastAsia="宋体"/>
                <w:color w:val="auto"/>
                <w:sz w:val="21"/>
                <w:szCs w:val="21"/>
                <w:highlight w:val="none"/>
              </w:rPr>
            </w:pPr>
            <w:r>
              <w:rPr>
                <w:rFonts w:eastAsia="宋体"/>
                <w:color w:val="auto"/>
                <w:sz w:val="21"/>
                <w:szCs w:val="21"/>
                <w:highlight w:val="none"/>
              </w:rPr>
              <w:t>34</w:t>
            </w:r>
          </w:p>
        </w:tc>
        <w:tc>
          <w:tcPr>
            <w:tcW w:w="1933" w:type="dxa"/>
            <w:tcBorders>
              <w:tl2br w:val="nil"/>
              <w:tr2bl w:val="nil"/>
            </w:tcBorders>
            <w:vAlign w:val="center"/>
          </w:tcPr>
          <w:p w14:paraId="1C5C7524">
            <w:pPr>
              <w:pStyle w:val="98"/>
              <w:ind w:left="-105" w:right="-105"/>
              <w:rPr>
                <w:rFonts w:eastAsia="宋体"/>
                <w:color w:val="auto"/>
                <w:sz w:val="21"/>
                <w:szCs w:val="21"/>
                <w:highlight w:val="none"/>
              </w:rPr>
            </w:pPr>
            <w:r>
              <w:rPr>
                <w:rFonts w:eastAsia="宋体"/>
                <w:color w:val="auto"/>
                <w:sz w:val="21"/>
                <w:szCs w:val="21"/>
                <w:highlight w:val="none"/>
              </w:rPr>
              <w:t>邻二甲苯</w:t>
            </w:r>
          </w:p>
        </w:tc>
        <w:tc>
          <w:tcPr>
            <w:tcW w:w="1323" w:type="dxa"/>
            <w:tcBorders>
              <w:tl2br w:val="nil"/>
              <w:tr2bl w:val="nil"/>
            </w:tcBorders>
            <w:vAlign w:val="center"/>
          </w:tcPr>
          <w:p w14:paraId="7D020050">
            <w:pPr>
              <w:pStyle w:val="98"/>
              <w:ind w:left="-105" w:right="-105"/>
              <w:rPr>
                <w:rFonts w:eastAsia="宋体"/>
                <w:color w:val="auto"/>
                <w:sz w:val="21"/>
                <w:szCs w:val="21"/>
                <w:highlight w:val="none"/>
              </w:rPr>
            </w:pPr>
            <w:r>
              <w:rPr>
                <w:rFonts w:eastAsia="宋体"/>
                <w:color w:val="auto"/>
                <w:sz w:val="21"/>
                <w:szCs w:val="21"/>
                <w:highlight w:val="none"/>
              </w:rPr>
              <w:t>95-47-6</w:t>
            </w:r>
          </w:p>
        </w:tc>
        <w:tc>
          <w:tcPr>
            <w:tcW w:w="1283" w:type="dxa"/>
            <w:tcBorders>
              <w:tl2br w:val="nil"/>
              <w:tr2bl w:val="nil"/>
            </w:tcBorders>
            <w:vAlign w:val="center"/>
          </w:tcPr>
          <w:p w14:paraId="42EB755A">
            <w:pPr>
              <w:pStyle w:val="98"/>
              <w:ind w:left="-105" w:right="-105"/>
              <w:rPr>
                <w:rFonts w:eastAsia="宋体"/>
                <w:color w:val="auto"/>
                <w:sz w:val="21"/>
                <w:szCs w:val="21"/>
                <w:highlight w:val="none"/>
              </w:rPr>
            </w:pPr>
            <w:r>
              <w:rPr>
                <w:rFonts w:eastAsia="宋体"/>
                <w:color w:val="auto"/>
                <w:sz w:val="21"/>
                <w:szCs w:val="21"/>
                <w:highlight w:val="none"/>
              </w:rPr>
              <w:t>222</w:t>
            </w:r>
          </w:p>
        </w:tc>
        <w:tc>
          <w:tcPr>
            <w:tcW w:w="1292" w:type="dxa"/>
            <w:tcBorders>
              <w:tl2br w:val="nil"/>
              <w:tr2bl w:val="nil"/>
            </w:tcBorders>
            <w:vAlign w:val="center"/>
          </w:tcPr>
          <w:p w14:paraId="6EF4382F">
            <w:pPr>
              <w:pStyle w:val="98"/>
              <w:ind w:left="-105" w:right="-105"/>
              <w:rPr>
                <w:rFonts w:eastAsia="宋体"/>
                <w:color w:val="auto"/>
                <w:sz w:val="21"/>
                <w:szCs w:val="21"/>
                <w:highlight w:val="none"/>
              </w:rPr>
            </w:pPr>
            <w:r>
              <w:rPr>
                <w:rFonts w:eastAsia="宋体"/>
                <w:color w:val="auto"/>
                <w:sz w:val="21"/>
                <w:szCs w:val="21"/>
                <w:highlight w:val="none"/>
              </w:rPr>
              <w:t>640</w:t>
            </w:r>
          </w:p>
        </w:tc>
        <w:tc>
          <w:tcPr>
            <w:tcW w:w="1285" w:type="dxa"/>
            <w:tcBorders>
              <w:tl2br w:val="nil"/>
              <w:tr2bl w:val="nil"/>
            </w:tcBorders>
            <w:vAlign w:val="center"/>
          </w:tcPr>
          <w:p w14:paraId="6E3C0C36">
            <w:pPr>
              <w:pStyle w:val="98"/>
              <w:ind w:left="-105" w:right="-105"/>
              <w:rPr>
                <w:rFonts w:eastAsia="宋体"/>
                <w:color w:val="auto"/>
                <w:sz w:val="21"/>
                <w:szCs w:val="21"/>
                <w:highlight w:val="none"/>
              </w:rPr>
            </w:pPr>
            <w:r>
              <w:rPr>
                <w:rFonts w:eastAsia="宋体"/>
                <w:color w:val="auto"/>
                <w:sz w:val="21"/>
                <w:szCs w:val="21"/>
                <w:highlight w:val="none"/>
              </w:rPr>
              <w:t>640</w:t>
            </w:r>
          </w:p>
        </w:tc>
        <w:tc>
          <w:tcPr>
            <w:tcW w:w="1289" w:type="dxa"/>
            <w:tcBorders>
              <w:tl2br w:val="nil"/>
              <w:tr2bl w:val="nil"/>
            </w:tcBorders>
            <w:vAlign w:val="center"/>
          </w:tcPr>
          <w:p w14:paraId="790A605C">
            <w:pPr>
              <w:pStyle w:val="98"/>
              <w:ind w:left="-105" w:right="-105"/>
              <w:rPr>
                <w:rFonts w:eastAsia="宋体"/>
                <w:color w:val="auto"/>
                <w:sz w:val="21"/>
                <w:szCs w:val="21"/>
                <w:highlight w:val="none"/>
              </w:rPr>
            </w:pPr>
            <w:r>
              <w:rPr>
                <w:rFonts w:eastAsia="宋体"/>
                <w:color w:val="auto"/>
                <w:sz w:val="21"/>
                <w:szCs w:val="21"/>
                <w:highlight w:val="none"/>
              </w:rPr>
              <w:t>640</w:t>
            </w:r>
          </w:p>
        </w:tc>
      </w:tr>
      <w:tr w14:paraId="6BC3A97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9065" w:type="dxa"/>
            <w:gridSpan w:val="7"/>
            <w:tcBorders>
              <w:tl2br w:val="nil"/>
              <w:tr2bl w:val="nil"/>
            </w:tcBorders>
            <w:vAlign w:val="center"/>
          </w:tcPr>
          <w:p w14:paraId="4826F358">
            <w:pPr>
              <w:pStyle w:val="98"/>
              <w:ind w:left="-105" w:right="-105"/>
              <w:rPr>
                <w:rFonts w:eastAsia="宋体"/>
                <w:b/>
                <w:bCs/>
                <w:color w:val="auto"/>
                <w:sz w:val="21"/>
                <w:szCs w:val="21"/>
                <w:highlight w:val="none"/>
              </w:rPr>
            </w:pPr>
            <w:r>
              <w:rPr>
                <w:rFonts w:eastAsia="宋体"/>
                <w:b/>
                <w:bCs/>
                <w:color w:val="auto"/>
                <w:sz w:val="21"/>
                <w:szCs w:val="21"/>
                <w:highlight w:val="none"/>
              </w:rPr>
              <w:t>半挥发性有机物</w:t>
            </w:r>
          </w:p>
        </w:tc>
      </w:tr>
      <w:tr w14:paraId="69AD143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660" w:type="dxa"/>
            <w:tcBorders>
              <w:tl2br w:val="nil"/>
              <w:tr2bl w:val="nil"/>
            </w:tcBorders>
            <w:vAlign w:val="center"/>
          </w:tcPr>
          <w:p w14:paraId="15914CB6">
            <w:pPr>
              <w:pStyle w:val="98"/>
              <w:ind w:left="-105" w:right="-105"/>
              <w:rPr>
                <w:rFonts w:eastAsia="宋体"/>
                <w:color w:val="auto"/>
                <w:sz w:val="21"/>
                <w:szCs w:val="21"/>
                <w:highlight w:val="none"/>
              </w:rPr>
            </w:pPr>
            <w:r>
              <w:rPr>
                <w:rFonts w:eastAsia="宋体"/>
                <w:color w:val="auto"/>
                <w:sz w:val="21"/>
                <w:szCs w:val="21"/>
                <w:highlight w:val="none"/>
              </w:rPr>
              <w:t>35</w:t>
            </w:r>
          </w:p>
        </w:tc>
        <w:tc>
          <w:tcPr>
            <w:tcW w:w="1933" w:type="dxa"/>
            <w:tcBorders>
              <w:tl2br w:val="nil"/>
              <w:tr2bl w:val="nil"/>
            </w:tcBorders>
            <w:vAlign w:val="center"/>
          </w:tcPr>
          <w:p w14:paraId="4359D14F">
            <w:pPr>
              <w:pStyle w:val="98"/>
              <w:ind w:left="-105" w:right="-105"/>
              <w:rPr>
                <w:rFonts w:eastAsia="宋体"/>
                <w:color w:val="auto"/>
                <w:sz w:val="21"/>
                <w:szCs w:val="21"/>
                <w:highlight w:val="none"/>
              </w:rPr>
            </w:pPr>
            <w:r>
              <w:rPr>
                <w:rFonts w:eastAsia="宋体"/>
                <w:color w:val="auto"/>
                <w:sz w:val="21"/>
                <w:szCs w:val="21"/>
                <w:highlight w:val="none"/>
              </w:rPr>
              <w:t>硝基苯</w:t>
            </w:r>
          </w:p>
        </w:tc>
        <w:tc>
          <w:tcPr>
            <w:tcW w:w="1323" w:type="dxa"/>
            <w:tcBorders>
              <w:tl2br w:val="nil"/>
              <w:tr2bl w:val="nil"/>
            </w:tcBorders>
            <w:vAlign w:val="center"/>
          </w:tcPr>
          <w:p w14:paraId="7EC1D9A9">
            <w:pPr>
              <w:pStyle w:val="98"/>
              <w:ind w:left="-105" w:right="-105"/>
              <w:rPr>
                <w:rFonts w:eastAsia="宋体"/>
                <w:color w:val="auto"/>
                <w:sz w:val="21"/>
                <w:szCs w:val="21"/>
                <w:highlight w:val="none"/>
              </w:rPr>
            </w:pPr>
            <w:r>
              <w:rPr>
                <w:rFonts w:eastAsia="宋体"/>
                <w:color w:val="auto"/>
                <w:sz w:val="21"/>
                <w:szCs w:val="21"/>
                <w:highlight w:val="none"/>
              </w:rPr>
              <w:t>98-95-3</w:t>
            </w:r>
          </w:p>
        </w:tc>
        <w:tc>
          <w:tcPr>
            <w:tcW w:w="1283" w:type="dxa"/>
            <w:tcBorders>
              <w:tl2br w:val="nil"/>
              <w:tr2bl w:val="nil"/>
            </w:tcBorders>
            <w:vAlign w:val="center"/>
          </w:tcPr>
          <w:p w14:paraId="3AC17FF0">
            <w:pPr>
              <w:pStyle w:val="98"/>
              <w:ind w:left="-105" w:right="-105"/>
              <w:rPr>
                <w:rFonts w:eastAsia="宋体"/>
                <w:color w:val="auto"/>
                <w:sz w:val="21"/>
                <w:szCs w:val="21"/>
                <w:highlight w:val="none"/>
              </w:rPr>
            </w:pPr>
            <w:r>
              <w:rPr>
                <w:rFonts w:eastAsia="宋体"/>
                <w:color w:val="auto"/>
                <w:sz w:val="21"/>
                <w:szCs w:val="21"/>
                <w:highlight w:val="none"/>
              </w:rPr>
              <w:t>34</w:t>
            </w:r>
          </w:p>
        </w:tc>
        <w:tc>
          <w:tcPr>
            <w:tcW w:w="1292" w:type="dxa"/>
            <w:tcBorders>
              <w:tl2br w:val="nil"/>
              <w:tr2bl w:val="nil"/>
            </w:tcBorders>
            <w:vAlign w:val="center"/>
          </w:tcPr>
          <w:p w14:paraId="52687497">
            <w:pPr>
              <w:pStyle w:val="98"/>
              <w:ind w:left="-105" w:right="-105"/>
              <w:rPr>
                <w:rFonts w:eastAsia="宋体"/>
                <w:color w:val="auto"/>
                <w:sz w:val="21"/>
                <w:szCs w:val="21"/>
                <w:highlight w:val="none"/>
              </w:rPr>
            </w:pPr>
            <w:r>
              <w:rPr>
                <w:rFonts w:eastAsia="宋体"/>
                <w:color w:val="auto"/>
                <w:sz w:val="21"/>
                <w:szCs w:val="21"/>
                <w:highlight w:val="none"/>
              </w:rPr>
              <w:t>76</w:t>
            </w:r>
          </w:p>
        </w:tc>
        <w:tc>
          <w:tcPr>
            <w:tcW w:w="1285" w:type="dxa"/>
            <w:tcBorders>
              <w:tl2br w:val="nil"/>
              <w:tr2bl w:val="nil"/>
            </w:tcBorders>
            <w:vAlign w:val="center"/>
          </w:tcPr>
          <w:p w14:paraId="2353AD41">
            <w:pPr>
              <w:pStyle w:val="98"/>
              <w:ind w:left="-105" w:right="-105"/>
              <w:rPr>
                <w:rFonts w:eastAsia="宋体"/>
                <w:color w:val="auto"/>
                <w:sz w:val="21"/>
                <w:szCs w:val="21"/>
                <w:highlight w:val="none"/>
              </w:rPr>
            </w:pPr>
            <w:r>
              <w:rPr>
                <w:rFonts w:eastAsia="宋体"/>
                <w:color w:val="auto"/>
                <w:sz w:val="21"/>
                <w:szCs w:val="21"/>
                <w:highlight w:val="none"/>
              </w:rPr>
              <w:t>190</w:t>
            </w:r>
          </w:p>
        </w:tc>
        <w:tc>
          <w:tcPr>
            <w:tcW w:w="1289" w:type="dxa"/>
            <w:tcBorders>
              <w:tl2br w:val="nil"/>
              <w:tr2bl w:val="nil"/>
            </w:tcBorders>
            <w:vAlign w:val="center"/>
          </w:tcPr>
          <w:p w14:paraId="29F3F316">
            <w:pPr>
              <w:pStyle w:val="98"/>
              <w:ind w:left="-105" w:right="-105"/>
              <w:rPr>
                <w:rFonts w:eastAsia="宋体"/>
                <w:color w:val="auto"/>
                <w:sz w:val="21"/>
                <w:szCs w:val="21"/>
                <w:highlight w:val="none"/>
              </w:rPr>
            </w:pPr>
            <w:r>
              <w:rPr>
                <w:rFonts w:eastAsia="宋体"/>
                <w:color w:val="auto"/>
                <w:sz w:val="21"/>
                <w:szCs w:val="21"/>
                <w:highlight w:val="none"/>
              </w:rPr>
              <w:t>760</w:t>
            </w:r>
          </w:p>
        </w:tc>
      </w:tr>
      <w:tr w14:paraId="3C53852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660" w:type="dxa"/>
            <w:tcBorders>
              <w:tl2br w:val="nil"/>
              <w:tr2bl w:val="nil"/>
            </w:tcBorders>
            <w:vAlign w:val="center"/>
          </w:tcPr>
          <w:p w14:paraId="316F7DC9">
            <w:pPr>
              <w:pStyle w:val="98"/>
              <w:ind w:left="-105" w:right="-105"/>
              <w:rPr>
                <w:rFonts w:eastAsia="宋体"/>
                <w:color w:val="auto"/>
                <w:sz w:val="21"/>
                <w:szCs w:val="21"/>
                <w:highlight w:val="none"/>
              </w:rPr>
            </w:pPr>
            <w:r>
              <w:rPr>
                <w:rFonts w:eastAsia="宋体"/>
                <w:color w:val="auto"/>
                <w:sz w:val="21"/>
                <w:szCs w:val="21"/>
                <w:highlight w:val="none"/>
              </w:rPr>
              <w:t>36</w:t>
            </w:r>
          </w:p>
        </w:tc>
        <w:tc>
          <w:tcPr>
            <w:tcW w:w="1933" w:type="dxa"/>
            <w:tcBorders>
              <w:tl2br w:val="nil"/>
              <w:tr2bl w:val="nil"/>
            </w:tcBorders>
            <w:vAlign w:val="center"/>
          </w:tcPr>
          <w:p w14:paraId="0CE924A8">
            <w:pPr>
              <w:pStyle w:val="98"/>
              <w:ind w:left="-105" w:right="-105"/>
              <w:rPr>
                <w:rFonts w:eastAsia="宋体"/>
                <w:color w:val="auto"/>
                <w:sz w:val="21"/>
                <w:szCs w:val="21"/>
                <w:highlight w:val="none"/>
              </w:rPr>
            </w:pPr>
            <w:r>
              <w:rPr>
                <w:rFonts w:eastAsia="宋体"/>
                <w:color w:val="auto"/>
                <w:sz w:val="21"/>
                <w:szCs w:val="21"/>
                <w:highlight w:val="none"/>
              </w:rPr>
              <w:t>苯胺</w:t>
            </w:r>
          </w:p>
        </w:tc>
        <w:tc>
          <w:tcPr>
            <w:tcW w:w="1323" w:type="dxa"/>
            <w:tcBorders>
              <w:tl2br w:val="nil"/>
              <w:tr2bl w:val="nil"/>
            </w:tcBorders>
            <w:vAlign w:val="center"/>
          </w:tcPr>
          <w:p w14:paraId="2A9CBAC7">
            <w:pPr>
              <w:pStyle w:val="98"/>
              <w:ind w:left="-105" w:right="-105"/>
              <w:rPr>
                <w:rFonts w:eastAsia="宋体"/>
                <w:color w:val="auto"/>
                <w:sz w:val="21"/>
                <w:szCs w:val="21"/>
                <w:highlight w:val="none"/>
              </w:rPr>
            </w:pPr>
            <w:r>
              <w:rPr>
                <w:rFonts w:eastAsia="宋体"/>
                <w:color w:val="auto"/>
                <w:sz w:val="21"/>
                <w:szCs w:val="21"/>
                <w:highlight w:val="none"/>
              </w:rPr>
              <w:t>62-53-3</w:t>
            </w:r>
          </w:p>
        </w:tc>
        <w:tc>
          <w:tcPr>
            <w:tcW w:w="1283" w:type="dxa"/>
            <w:tcBorders>
              <w:tl2br w:val="nil"/>
              <w:tr2bl w:val="nil"/>
            </w:tcBorders>
            <w:vAlign w:val="center"/>
          </w:tcPr>
          <w:p w14:paraId="43E44341">
            <w:pPr>
              <w:pStyle w:val="98"/>
              <w:ind w:left="-105" w:right="-105"/>
              <w:rPr>
                <w:rFonts w:eastAsia="宋体"/>
                <w:color w:val="auto"/>
                <w:sz w:val="21"/>
                <w:szCs w:val="21"/>
                <w:highlight w:val="none"/>
              </w:rPr>
            </w:pPr>
            <w:r>
              <w:rPr>
                <w:rFonts w:eastAsia="宋体"/>
                <w:color w:val="auto"/>
                <w:sz w:val="21"/>
                <w:szCs w:val="21"/>
                <w:highlight w:val="none"/>
              </w:rPr>
              <w:t>92</w:t>
            </w:r>
          </w:p>
        </w:tc>
        <w:tc>
          <w:tcPr>
            <w:tcW w:w="1292" w:type="dxa"/>
            <w:tcBorders>
              <w:tl2br w:val="nil"/>
              <w:tr2bl w:val="nil"/>
            </w:tcBorders>
            <w:vAlign w:val="center"/>
          </w:tcPr>
          <w:p w14:paraId="2A33E69A">
            <w:pPr>
              <w:pStyle w:val="98"/>
              <w:ind w:left="-105" w:right="-105"/>
              <w:rPr>
                <w:rFonts w:eastAsia="宋体"/>
                <w:color w:val="auto"/>
                <w:sz w:val="21"/>
                <w:szCs w:val="21"/>
                <w:highlight w:val="none"/>
              </w:rPr>
            </w:pPr>
            <w:r>
              <w:rPr>
                <w:rFonts w:eastAsia="宋体"/>
                <w:color w:val="auto"/>
                <w:sz w:val="21"/>
                <w:szCs w:val="21"/>
                <w:highlight w:val="none"/>
              </w:rPr>
              <w:t>260</w:t>
            </w:r>
          </w:p>
        </w:tc>
        <w:tc>
          <w:tcPr>
            <w:tcW w:w="1285" w:type="dxa"/>
            <w:tcBorders>
              <w:tl2br w:val="nil"/>
              <w:tr2bl w:val="nil"/>
            </w:tcBorders>
            <w:vAlign w:val="center"/>
          </w:tcPr>
          <w:p w14:paraId="08779A25">
            <w:pPr>
              <w:pStyle w:val="98"/>
              <w:ind w:left="-105" w:right="-105"/>
              <w:rPr>
                <w:rFonts w:eastAsia="宋体"/>
                <w:color w:val="auto"/>
                <w:sz w:val="21"/>
                <w:szCs w:val="21"/>
                <w:highlight w:val="none"/>
              </w:rPr>
            </w:pPr>
            <w:r>
              <w:rPr>
                <w:rFonts w:eastAsia="宋体"/>
                <w:color w:val="auto"/>
                <w:sz w:val="21"/>
                <w:szCs w:val="21"/>
                <w:highlight w:val="none"/>
              </w:rPr>
              <w:t>211</w:t>
            </w:r>
          </w:p>
        </w:tc>
        <w:tc>
          <w:tcPr>
            <w:tcW w:w="1289" w:type="dxa"/>
            <w:tcBorders>
              <w:tl2br w:val="nil"/>
              <w:tr2bl w:val="nil"/>
            </w:tcBorders>
            <w:vAlign w:val="center"/>
          </w:tcPr>
          <w:p w14:paraId="611A30A4">
            <w:pPr>
              <w:pStyle w:val="98"/>
              <w:ind w:left="-105" w:right="-105"/>
              <w:rPr>
                <w:rFonts w:eastAsia="宋体"/>
                <w:color w:val="auto"/>
                <w:sz w:val="21"/>
                <w:szCs w:val="21"/>
                <w:highlight w:val="none"/>
              </w:rPr>
            </w:pPr>
            <w:r>
              <w:rPr>
                <w:rFonts w:eastAsia="宋体"/>
                <w:color w:val="auto"/>
                <w:sz w:val="21"/>
                <w:szCs w:val="21"/>
                <w:highlight w:val="none"/>
              </w:rPr>
              <w:t>663</w:t>
            </w:r>
          </w:p>
        </w:tc>
      </w:tr>
      <w:tr w14:paraId="47E090C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660" w:type="dxa"/>
            <w:tcBorders>
              <w:tl2br w:val="nil"/>
              <w:tr2bl w:val="nil"/>
            </w:tcBorders>
            <w:vAlign w:val="center"/>
          </w:tcPr>
          <w:p w14:paraId="6A1F92EE">
            <w:pPr>
              <w:pStyle w:val="98"/>
              <w:ind w:left="-105" w:right="-105"/>
              <w:rPr>
                <w:rFonts w:eastAsia="宋体"/>
                <w:color w:val="auto"/>
                <w:sz w:val="21"/>
                <w:szCs w:val="21"/>
                <w:highlight w:val="none"/>
              </w:rPr>
            </w:pPr>
            <w:r>
              <w:rPr>
                <w:rFonts w:eastAsia="宋体"/>
                <w:color w:val="auto"/>
                <w:sz w:val="21"/>
                <w:szCs w:val="21"/>
                <w:highlight w:val="none"/>
              </w:rPr>
              <w:t>37</w:t>
            </w:r>
          </w:p>
        </w:tc>
        <w:tc>
          <w:tcPr>
            <w:tcW w:w="1933" w:type="dxa"/>
            <w:tcBorders>
              <w:tl2br w:val="nil"/>
              <w:tr2bl w:val="nil"/>
            </w:tcBorders>
            <w:vAlign w:val="center"/>
          </w:tcPr>
          <w:p w14:paraId="73D5EEB6">
            <w:pPr>
              <w:pStyle w:val="98"/>
              <w:ind w:left="-105" w:right="-105"/>
              <w:rPr>
                <w:rFonts w:eastAsia="宋体"/>
                <w:color w:val="auto"/>
                <w:sz w:val="21"/>
                <w:szCs w:val="21"/>
                <w:highlight w:val="none"/>
              </w:rPr>
            </w:pPr>
            <w:r>
              <w:rPr>
                <w:rFonts w:eastAsia="宋体"/>
                <w:color w:val="auto"/>
                <w:sz w:val="21"/>
                <w:szCs w:val="21"/>
                <w:highlight w:val="none"/>
              </w:rPr>
              <w:t>2-氯酚</w:t>
            </w:r>
          </w:p>
        </w:tc>
        <w:tc>
          <w:tcPr>
            <w:tcW w:w="1323" w:type="dxa"/>
            <w:tcBorders>
              <w:tl2br w:val="nil"/>
              <w:tr2bl w:val="nil"/>
            </w:tcBorders>
            <w:vAlign w:val="center"/>
          </w:tcPr>
          <w:p w14:paraId="6D860485">
            <w:pPr>
              <w:pStyle w:val="98"/>
              <w:ind w:left="-105" w:right="-105"/>
              <w:rPr>
                <w:rFonts w:eastAsia="宋体"/>
                <w:color w:val="auto"/>
                <w:sz w:val="21"/>
                <w:szCs w:val="21"/>
                <w:highlight w:val="none"/>
              </w:rPr>
            </w:pPr>
            <w:r>
              <w:rPr>
                <w:rFonts w:eastAsia="宋体"/>
                <w:color w:val="auto"/>
                <w:sz w:val="21"/>
                <w:szCs w:val="21"/>
                <w:highlight w:val="none"/>
              </w:rPr>
              <w:t>95-57-8</w:t>
            </w:r>
          </w:p>
        </w:tc>
        <w:tc>
          <w:tcPr>
            <w:tcW w:w="1283" w:type="dxa"/>
            <w:tcBorders>
              <w:tl2br w:val="nil"/>
              <w:tr2bl w:val="nil"/>
            </w:tcBorders>
            <w:vAlign w:val="center"/>
          </w:tcPr>
          <w:p w14:paraId="281E87F7">
            <w:pPr>
              <w:pStyle w:val="98"/>
              <w:ind w:left="-105" w:right="-105"/>
              <w:rPr>
                <w:rFonts w:eastAsia="宋体"/>
                <w:color w:val="auto"/>
                <w:sz w:val="21"/>
                <w:szCs w:val="21"/>
                <w:highlight w:val="none"/>
              </w:rPr>
            </w:pPr>
            <w:r>
              <w:rPr>
                <w:rFonts w:eastAsia="宋体"/>
                <w:color w:val="auto"/>
                <w:sz w:val="21"/>
                <w:szCs w:val="21"/>
                <w:highlight w:val="none"/>
              </w:rPr>
              <w:t>250</w:t>
            </w:r>
          </w:p>
        </w:tc>
        <w:tc>
          <w:tcPr>
            <w:tcW w:w="1292" w:type="dxa"/>
            <w:tcBorders>
              <w:tl2br w:val="nil"/>
              <w:tr2bl w:val="nil"/>
            </w:tcBorders>
            <w:vAlign w:val="center"/>
          </w:tcPr>
          <w:p w14:paraId="2488AFFD">
            <w:pPr>
              <w:pStyle w:val="98"/>
              <w:ind w:left="-105" w:right="-105"/>
              <w:rPr>
                <w:rFonts w:eastAsia="宋体"/>
                <w:color w:val="auto"/>
                <w:sz w:val="21"/>
                <w:szCs w:val="21"/>
                <w:highlight w:val="none"/>
              </w:rPr>
            </w:pPr>
            <w:r>
              <w:rPr>
                <w:rFonts w:eastAsia="宋体"/>
                <w:color w:val="auto"/>
                <w:sz w:val="21"/>
                <w:szCs w:val="21"/>
                <w:highlight w:val="none"/>
              </w:rPr>
              <w:t>2256</w:t>
            </w:r>
          </w:p>
        </w:tc>
        <w:tc>
          <w:tcPr>
            <w:tcW w:w="1285" w:type="dxa"/>
            <w:tcBorders>
              <w:tl2br w:val="nil"/>
              <w:tr2bl w:val="nil"/>
            </w:tcBorders>
            <w:vAlign w:val="center"/>
          </w:tcPr>
          <w:p w14:paraId="5B620923">
            <w:pPr>
              <w:pStyle w:val="98"/>
              <w:ind w:left="-105" w:right="-105"/>
              <w:rPr>
                <w:rFonts w:eastAsia="宋体"/>
                <w:color w:val="auto"/>
                <w:sz w:val="21"/>
                <w:szCs w:val="21"/>
                <w:highlight w:val="none"/>
              </w:rPr>
            </w:pPr>
            <w:r>
              <w:rPr>
                <w:rFonts w:eastAsia="宋体"/>
                <w:color w:val="auto"/>
                <w:sz w:val="21"/>
                <w:szCs w:val="21"/>
                <w:highlight w:val="none"/>
              </w:rPr>
              <w:t>500</w:t>
            </w:r>
          </w:p>
        </w:tc>
        <w:tc>
          <w:tcPr>
            <w:tcW w:w="1289" w:type="dxa"/>
            <w:tcBorders>
              <w:tl2br w:val="nil"/>
              <w:tr2bl w:val="nil"/>
            </w:tcBorders>
            <w:vAlign w:val="center"/>
          </w:tcPr>
          <w:p w14:paraId="2AD9A8F4">
            <w:pPr>
              <w:pStyle w:val="98"/>
              <w:ind w:left="-105" w:right="-105"/>
              <w:rPr>
                <w:rFonts w:eastAsia="宋体"/>
                <w:color w:val="auto"/>
                <w:sz w:val="21"/>
                <w:szCs w:val="21"/>
                <w:highlight w:val="none"/>
              </w:rPr>
            </w:pPr>
            <w:r>
              <w:rPr>
                <w:rFonts w:eastAsia="宋体"/>
                <w:color w:val="auto"/>
                <w:sz w:val="21"/>
                <w:szCs w:val="21"/>
                <w:highlight w:val="none"/>
              </w:rPr>
              <w:t>4500</w:t>
            </w:r>
          </w:p>
        </w:tc>
      </w:tr>
      <w:tr w14:paraId="519CD2B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660" w:type="dxa"/>
            <w:tcBorders>
              <w:tl2br w:val="nil"/>
              <w:tr2bl w:val="nil"/>
            </w:tcBorders>
            <w:vAlign w:val="center"/>
          </w:tcPr>
          <w:p w14:paraId="3A0236EE">
            <w:pPr>
              <w:pStyle w:val="98"/>
              <w:ind w:left="-105" w:right="-105"/>
              <w:rPr>
                <w:rFonts w:eastAsia="宋体"/>
                <w:color w:val="auto"/>
                <w:sz w:val="21"/>
                <w:szCs w:val="21"/>
                <w:highlight w:val="none"/>
              </w:rPr>
            </w:pPr>
            <w:r>
              <w:rPr>
                <w:rFonts w:eastAsia="宋体"/>
                <w:color w:val="auto"/>
                <w:sz w:val="21"/>
                <w:szCs w:val="21"/>
                <w:highlight w:val="none"/>
              </w:rPr>
              <w:t>38</w:t>
            </w:r>
          </w:p>
        </w:tc>
        <w:tc>
          <w:tcPr>
            <w:tcW w:w="1933" w:type="dxa"/>
            <w:tcBorders>
              <w:tl2br w:val="nil"/>
              <w:tr2bl w:val="nil"/>
            </w:tcBorders>
            <w:vAlign w:val="center"/>
          </w:tcPr>
          <w:p w14:paraId="61CE6D20">
            <w:pPr>
              <w:pStyle w:val="98"/>
              <w:ind w:left="-105" w:right="-105"/>
              <w:rPr>
                <w:rFonts w:eastAsia="宋体"/>
                <w:color w:val="auto"/>
                <w:sz w:val="21"/>
                <w:szCs w:val="21"/>
                <w:highlight w:val="none"/>
              </w:rPr>
            </w:pPr>
            <w:r>
              <w:rPr>
                <w:rFonts w:eastAsia="宋体"/>
                <w:color w:val="auto"/>
                <w:sz w:val="21"/>
                <w:szCs w:val="21"/>
                <w:highlight w:val="none"/>
              </w:rPr>
              <w:t>苯并［a］蒽</w:t>
            </w:r>
          </w:p>
        </w:tc>
        <w:tc>
          <w:tcPr>
            <w:tcW w:w="1323" w:type="dxa"/>
            <w:tcBorders>
              <w:tl2br w:val="nil"/>
              <w:tr2bl w:val="nil"/>
            </w:tcBorders>
            <w:vAlign w:val="center"/>
          </w:tcPr>
          <w:p w14:paraId="3EC56CB2">
            <w:pPr>
              <w:pStyle w:val="98"/>
              <w:ind w:left="-105" w:right="-105"/>
              <w:rPr>
                <w:rFonts w:eastAsia="宋体"/>
                <w:color w:val="auto"/>
                <w:sz w:val="21"/>
                <w:szCs w:val="21"/>
                <w:highlight w:val="none"/>
              </w:rPr>
            </w:pPr>
            <w:r>
              <w:rPr>
                <w:rFonts w:eastAsia="宋体"/>
                <w:color w:val="auto"/>
                <w:sz w:val="21"/>
                <w:szCs w:val="21"/>
                <w:highlight w:val="none"/>
              </w:rPr>
              <w:t>56-55-3</w:t>
            </w:r>
          </w:p>
        </w:tc>
        <w:tc>
          <w:tcPr>
            <w:tcW w:w="1283" w:type="dxa"/>
            <w:tcBorders>
              <w:tl2br w:val="nil"/>
              <w:tr2bl w:val="nil"/>
            </w:tcBorders>
            <w:vAlign w:val="center"/>
          </w:tcPr>
          <w:p w14:paraId="388D5B7C">
            <w:pPr>
              <w:pStyle w:val="98"/>
              <w:ind w:left="-105" w:right="-105"/>
              <w:rPr>
                <w:rFonts w:eastAsia="宋体"/>
                <w:color w:val="auto"/>
                <w:sz w:val="21"/>
                <w:szCs w:val="21"/>
                <w:highlight w:val="none"/>
              </w:rPr>
            </w:pPr>
            <w:r>
              <w:rPr>
                <w:rFonts w:eastAsia="宋体"/>
                <w:color w:val="auto"/>
                <w:sz w:val="21"/>
                <w:szCs w:val="21"/>
                <w:highlight w:val="none"/>
              </w:rPr>
              <w:t>5.5</w:t>
            </w:r>
          </w:p>
        </w:tc>
        <w:tc>
          <w:tcPr>
            <w:tcW w:w="1292" w:type="dxa"/>
            <w:tcBorders>
              <w:tl2br w:val="nil"/>
              <w:tr2bl w:val="nil"/>
            </w:tcBorders>
            <w:vAlign w:val="center"/>
          </w:tcPr>
          <w:p w14:paraId="5D272A2F">
            <w:pPr>
              <w:pStyle w:val="98"/>
              <w:ind w:left="-105" w:right="-105"/>
              <w:rPr>
                <w:rFonts w:eastAsia="宋体"/>
                <w:color w:val="auto"/>
                <w:sz w:val="21"/>
                <w:szCs w:val="21"/>
                <w:highlight w:val="none"/>
              </w:rPr>
            </w:pPr>
            <w:r>
              <w:rPr>
                <w:rFonts w:eastAsia="宋体"/>
                <w:color w:val="auto"/>
                <w:sz w:val="21"/>
                <w:szCs w:val="21"/>
                <w:highlight w:val="none"/>
              </w:rPr>
              <w:t>15</w:t>
            </w:r>
          </w:p>
        </w:tc>
        <w:tc>
          <w:tcPr>
            <w:tcW w:w="1285" w:type="dxa"/>
            <w:tcBorders>
              <w:tl2br w:val="nil"/>
              <w:tr2bl w:val="nil"/>
            </w:tcBorders>
            <w:vAlign w:val="center"/>
          </w:tcPr>
          <w:p w14:paraId="7B03D854">
            <w:pPr>
              <w:pStyle w:val="98"/>
              <w:ind w:left="-105" w:right="-105"/>
              <w:rPr>
                <w:rFonts w:eastAsia="宋体"/>
                <w:color w:val="auto"/>
                <w:sz w:val="21"/>
                <w:szCs w:val="21"/>
                <w:highlight w:val="none"/>
              </w:rPr>
            </w:pPr>
            <w:r>
              <w:rPr>
                <w:rFonts w:eastAsia="宋体"/>
                <w:color w:val="auto"/>
                <w:sz w:val="21"/>
                <w:szCs w:val="21"/>
                <w:highlight w:val="none"/>
              </w:rPr>
              <w:t>55</w:t>
            </w:r>
          </w:p>
        </w:tc>
        <w:tc>
          <w:tcPr>
            <w:tcW w:w="1289" w:type="dxa"/>
            <w:tcBorders>
              <w:tl2br w:val="nil"/>
              <w:tr2bl w:val="nil"/>
            </w:tcBorders>
            <w:vAlign w:val="center"/>
          </w:tcPr>
          <w:p w14:paraId="2D4C8E1F">
            <w:pPr>
              <w:pStyle w:val="98"/>
              <w:ind w:left="-105" w:right="-105"/>
              <w:rPr>
                <w:rFonts w:eastAsia="宋体"/>
                <w:color w:val="auto"/>
                <w:sz w:val="21"/>
                <w:szCs w:val="21"/>
                <w:highlight w:val="none"/>
              </w:rPr>
            </w:pPr>
            <w:r>
              <w:rPr>
                <w:rFonts w:eastAsia="宋体"/>
                <w:color w:val="auto"/>
                <w:sz w:val="21"/>
                <w:szCs w:val="21"/>
                <w:highlight w:val="none"/>
              </w:rPr>
              <w:t>151</w:t>
            </w:r>
          </w:p>
        </w:tc>
      </w:tr>
      <w:tr w14:paraId="64E255B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660" w:type="dxa"/>
            <w:tcBorders>
              <w:tl2br w:val="nil"/>
              <w:tr2bl w:val="nil"/>
            </w:tcBorders>
            <w:vAlign w:val="center"/>
          </w:tcPr>
          <w:p w14:paraId="538F3354">
            <w:pPr>
              <w:pStyle w:val="98"/>
              <w:ind w:left="-105" w:right="-105"/>
              <w:rPr>
                <w:rFonts w:eastAsia="宋体"/>
                <w:color w:val="auto"/>
                <w:sz w:val="21"/>
                <w:szCs w:val="21"/>
                <w:highlight w:val="none"/>
              </w:rPr>
            </w:pPr>
            <w:r>
              <w:rPr>
                <w:rFonts w:eastAsia="宋体"/>
                <w:color w:val="auto"/>
                <w:sz w:val="21"/>
                <w:szCs w:val="21"/>
                <w:highlight w:val="none"/>
              </w:rPr>
              <w:t>39</w:t>
            </w:r>
          </w:p>
        </w:tc>
        <w:tc>
          <w:tcPr>
            <w:tcW w:w="1933" w:type="dxa"/>
            <w:tcBorders>
              <w:tl2br w:val="nil"/>
              <w:tr2bl w:val="nil"/>
            </w:tcBorders>
            <w:vAlign w:val="center"/>
          </w:tcPr>
          <w:p w14:paraId="5BD29040">
            <w:pPr>
              <w:pStyle w:val="98"/>
              <w:ind w:left="-105" w:right="-105"/>
              <w:rPr>
                <w:rFonts w:eastAsia="宋体"/>
                <w:color w:val="auto"/>
                <w:sz w:val="21"/>
                <w:szCs w:val="21"/>
                <w:highlight w:val="none"/>
              </w:rPr>
            </w:pPr>
            <w:r>
              <w:rPr>
                <w:rFonts w:eastAsia="宋体"/>
                <w:color w:val="auto"/>
                <w:sz w:val="21"/>
                <w:szCs w:val="21"/>
                <w:highlight w:val="none"/>
              </w:rPr>
              <w:t>苯并［a］芘</w:t>
            </w:r>
          </w:p>
        </w:tc>
        <w:tc>
          <w:tcPr>
            <w:tcW w:w="1323" w:type="dxa"/>
            <w:tcBorders>
              <w:tl2br w:val="nil"/>
              <w:tr2bl w:val="nil"/>
            </w:tcBorders>
            <w:vAlign w:val="center"/>
          </w:tcPr>
          <w:p w14:paraId="0C9FC6B3">
            <w:pPr>
              <w:pStyle w:val="98"/>
              <w:ind w:left="-105" w:right="-105"/>
              <w:rPr>
                <w:rFonts w:eastAsia="宋体"/>
                <w:color w:val="auto"/>
                <w:sz w:val="21"/>
                <w:szCs w:val="21"/>
                <w:highlight w:val="none"/>
              </w:rPr>
            </w:pPr>
            <w:r>
              <w:rPr>
                <w:rFonts w:eastAsia="宋体"/>
                <w:color w:val="auto"/>
                <w:sz w:val="21"/>
                <w:szCs w:val="21"/>
                <w:highlight w:val="none"/>
              </w:rPr>
              <w:t>50-32-8</w:t>
            </w:r>
          </w:p>
        </w:tc>
        <w:tc>
          <w:tcPr>
            <w:tcW w:w="1283" w:type="dxa"/>
            <w:tcBorders>
              <w:tl2br w:val="nil"/>
              <w:tr2bl w:val="nil"/>
            </w:tcBorders>
            <w:vAlign w:val="center"/>
          </w:tcPr>
          <w:p w14:paraId="749DDC27">
            <w:pPr>
              <w:pStyle w:val="98"/>
              <w:ind w:left="-105" w:right="-105"/>
              <w:rPr>
                <w:rFonts w:eastAsia="宋体"/>
                <w:color w:val="auto"/>
                <w:sz w:val="21"/>
                <w:szCs w:val="21"/>
                <w:highlight w:val="none"/>
              </w:rPr>
            </w:pPr>
            <w:r>
              <w:rPr>
                <w:rFonts w:eastAsia="宋体"/>
                <w:color w:val="auto"/>
                <w:sz w:val="21"/>
                <w:szCs w:val="21"/>
                <w:highlight w:val="none"/>
              </w:rPr>
              <w:t>0.55</w:t>
            </w:r>
          </w:p>
        </w:tc>
        <w:tc>
          <w:tcPr>
            <w:tcW w:w="1292" w:type="dxa"/>
            <w:tcBorders>
              <w:tl2br w:val="nil"/>
              <w:tr2bl w:val="nil"/>
            </w:tcBorders>
            <w:vAlign w:val="center"/>
          </w:tcPr>
          <w:p w14:paraId="128B17A3">
            <w:pPr>
              <w:pStyle w:val="98"/>
              <w:ind w:left="-105" w:right="-105"/>
              <w:rPr>
                <w:rFonts w:eastAsia="宋体"/>
                <w:color w:val="auto"/>
                <w:sz w:val="21"/>
                <w:szCs w:val="21"/>
                <w:highlight w:val="none"/>
              </w:rPr>
            </w:pPr>
            <w:r>
              <w:rPr>
                <w:rFonts w:eastAsia="宋体"/>
                <w:color w:val="auto"/>
                <w:sz w:val="21"/>
                <w:szCs w:val="21"/>
                <w:highlight w:val="none"/>
              </w:rPr>
              <w:t>1.5</w:t>
            </w:r>
          </w:p>
        </w:tc>
        <w:tc>
          <w:tcPr>
            <w:tcW w:w="1285" w:type="dxa"/>
            <w:tcBorders>
              <w:tl2br w:val="nil"/>
              <w:tr2bl w:val="nil"/>
            </w:tcBorders>
            <w:vAlign w:val="center"/>
          </w:tcPr>
          <w:p w14:paraId="7F8F97D9">
            <w:pPr>
              <w:pStyle w:val="98"/>
              <w:ind w:left="-105" w:right="-105"/>
              <w:rPr>
                <w:rFonts w:eastAsia="宋体"/>
                <w:color w:val="auto"/>
                <w:sz w:val="21"/>
                <w:szCs w:val="21"/>
                <w:highlight w:val="none"/>
              </w:rPr>
            </w:pPr>
            <w:r>
              <w:rPr>
                <w:rFonts w:eastAsia="宋体"/>
                <w:color w:val="auto"/>
                <w:sz w:val="21"/>
                <w:szCs w:val="21"/>
                <w:highlight w:val="none"/>
              </w:rPr>
              <w:t>5.5</w:t>
            </w:r>
          </w:p>
        </w:tc>
        <w:tc>
          <w:tcPr>
            <w:tcW w:w="1289" w:type="dxa"/>
            <w:tcBorders>
              <w:tl2br w:val="nil"/>
              <w:tr2bl w:val="nil"/>
            </w:tcBorders>
            <w:vAlign w:val="center"/>
          </w:tcPr>
          <w:p w14:paraId="34D1507A">
            <w:pPr>
              <w:pStyle w:val="98"/>
              <w:ind w:left="-105" w:right="-105"/>
              <w:rPr>
                <w:rFonts w:eastAsia="宋体"/>
                <w:color w:val="auto"/>
                <w:sz w:val="21"/>
                <w:szCs w:val="21"/>
                <w:highlight w:val="none"/>
              </w:rPr>
            </w:pPr>
            <w:r>
              <w:rPr>
                <w:rFonts w:eastAsia="宋体"/>
                <w:color w:val="auto"/>
                <w:sz w:val="21"/>
                <w:szCs w:val="21"/>
                <w:highlight w:val="none"/>
              </w:rPr>
              <w:t>15</w:t>
            </w:r>
          </w:p>
        </w:tc>
      </w:tr>
      <w:tr w14:paraId="656DB17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660" w:type="dxa"/>
            <w:tcBorders>
              <w:tl2br w:val="nil"/>
              <w:tr2bl w:val="nil"/>
            </w:tcBorders>
            <w:vAlign w:val="center"/>
          </w:tcPr>
          <w:p w14:paraId="1B1C9CD0">
            <w:pPr>
              <w:pStyle w:val="98"/>
              <w:ind w:left="-105" w:right="-105"/>
              <w:rPr>
                <w:rFonts w:eastAsia="宋体"/>
                <w:color w:val="auto"/>
                <w:sz w:val="21"/>
                <w:szCs w:val="21"/>
                <w:highlight w:val="none"/>
              </w:rPr>
            </w:pPr>
            <w:r>
              <w:rPr>
                <w:rFonts w:eastAsia="宋体"/>
                <w:color w:val="auto"/>
                <w:sz w:val="21"/>
                <w:szCs w:val="21"/>
                <w:highlight w:val="none"/>
              </w:rPr>
              <w:t>40</w:t>
            </w:r>
          </w:p>
        </w:tc>
        <w:tc>
          <w:tcPr>
            <w:tcW w:w="1933" w:type="dxa"/>
            <w:tcBorders>
              <w:tl2br w:val="nil"/>
              <w:tr2bl w:val="nil"/>
            </w:tcBorders>
            <w:vAlign w:val="center"/>
          </w:tcPr>
          <w:p w14:paraId="12415B79">
            <w:pPr>
              <w:pStyle w:val="98"/>
              <w:ind w:left="-105" w:right="-105"/>
              <w:rPr>
                <w:rFonts w:eastAsia="宋体"/>
                <w:color w:val="auto"/>
                <w:sz w:val="21"/>
                <w:szCs w:val="21"/>
                <w:highlight w:val="none"/>
              </w:rPr>
            </w:pPr>
            <w:r>
              <w:rPr>
                <w:rFonts w:eastAsia="宋体"/>
                <w:color w:val="auto"/>
                <w:sz w:val="21"/>
                <w:szCs w:val="21"/>
                <w:highlight w:val="none"/>
              </w:rPr>
              <w:t>苯并[b]荧蒽</w:t>
            </w:r>
          </w:p>
        </w:tc>
        <w:tc>
          <w:tcPr>
            <w:tcW w:w="1323" w:type="dxa"/>
            <w:tcBorders>
              <w:tl2br w:val="nil"/>
              <w:tr2bl w:val="nil"/>
            </w:tcBorders>
            <w:vAlign w:val="center"/>
          </w:tcPr>
          <w:p w14:paraId="50F0FCB5">
            <w:pPr>
              <w:pStyle w:val="98"/>
              <w:ind w:left="-105" w:right="-105"/>
              <w:rPr>
                <w:rFonts w:eastAsia="宋体"/>
                <w:color w:val="auto"/>
                <w:sz w:val="21"/>
                <w:szCs w:val="21"/>
                <w:highlight w:val="none"/>
              </w:rPr>
            </w:pPr>
            <w:r>
              <w:rPr>
                <w:rFonts w:eastAsia="宋体"/>
                <w:color w:val="auto"/>
                <w:sz w:val="21"/>
                <w:szCs w:val="21"/>
                <w:highlight w:val="none"/>
              </w:rPr>
              <w:t>205-99-2</w:t>
            </w:r>
          </w:p>
        </w:tc>
        <w:tc>
          <w:tcPr>
            <w:tcW w:w="1283" w:type="dxa"/>
            <w:tcBorders>
              <w:tl2br w:val="nil"/>
              <w:tr2bl w:val="nil"/>
            </w:tcBorders>
            <w:vAlign w:val="center"/>
          </w:tcPr>
          <w:p w14:paraId="0366BE5D">
            <w:pPr>
              <w:pStyle w:val="98"/>
              <w:ind w:left="-105" w:right="-105"/>
              <w:rPr>
                <w:rFonts w:eastAsia="宋体"/>
                <w:color w:val="auto"/>
                <w:sz w:val="21"/>
                <w:szCs w:val="21"/>
                <w:highlight w:val="none"/>
              </w:rPr>
            </w:pPr>
            <w:r>
              <w:rPr>
                <w:rFonts w:eastAsia="宋体"/>
                <w:color w:val="auto"/>
                <w:sz w:val="21"/>
                <w:szCs w:val="21"/>
                <w:highlight w:val="none"/>
              </w:rPr>
              <w:t>5.5</w:t>
            </w:r>
          </w:p>
        </w:tc>
        <w:tc>
          <w:tcPr>
            <w:tcW w:w="1292" w:type="dxa"/>
            <w:tcBorders>
              <w:tl2br w:val="nil"/>
              <w:tr2bl w:val="nil"/>
            </w:tcBorders>
            <w:vAlign w:val="center"/>
          </w:tcPr>
          <w:p w14:paraId="6F24FE2D">
            <w:pPr>
              <w:pStyle w:val="98"/>
              <w:ind w:left="-105" w:right="-105"/>
              <w:rPr>
                <w:rFonts w:eastAsia="宋体"/>
                <w:color w:val="auto"/>
                <w:sz w:val="21"/>
                <w:szCs w:val="21"/>
                <w:highlight w:val="none"/>
              </w:rPr>
            </w:pPr>
            <w:r>
              <w:rPr>
                <w:rFonts w:eastAsia="宋体"/>
                <w:color w:val="auto"/>
                <w:sz w:val="21"/>
                <w:szCs w:val="21"/>
                <w:highlight w:val="none"/>
              </w:rPr>
              <w:t>15</w:t>
            </w:r>
          </w:p>
        </w:tc>
        <w:tc>
          <w:tcPr>
            <w:tcW w:w="1285" w:type="dxa"/>
            <w:tcBorders>
              <w:tl2br w:val="nil"/>
              <w:tr2bl w:val="nil"/>
            </w:tcBorders>
            <w:vAlign w:val="center"/>
          </w:tcPr>
          <w:p w14:paraId="551B0A78">
            <w:pPr>
              <w:pStyle w:val="98"/>
              <w:ind w:left="-105" w:right="-105"/>
              <w:rPr>
                <w:rFonts w:eastAsia="宋体"/>
                <w:color w:val="auto"/>
                <w:sz w:val="21"/>
                <w:szCs w:val="21"/>
                <w:highlight w:val="none"/>
              </w:rPr>
            </w:pPr>
            <w:r>
              <w:rPr>
                <w:rFonts w:eastAsia="宋体"/>
                <w:color w:val="auto"/>
                <w:sz w:val="21"/>
                <w:szCs w:val="21"/>
                <w:highlight w:val="none"/>
              </w:rPr>
              <w:t>55</w:t>
            </w:r>
          </w:p>
        </w:tc>
        <w:tc>
          <w:tcPr>
            <w:tcW w:w="1289" w:type="dxa"/>
            <w:tcBorders>
              <w:tl2br w:val="nil"/>
              <w:tr2bl w:val="nil"/>
            </w:tcBorders>
            <w:vAlign w:val="center"/>
          </w:tcPr>
          <w:p w14:paraId="3C352CA0">
            <w:pPr>
              <w:pStyle w:val="98"/>
              <w:ind w:left="-105" w:right="-105"/>
              <w:rPr>
                <w:rFonts w:eastAsia="宋体"/>
                <w:color w:val="auto"/>
                <w:sz w:val="21"/>
                <w:szCs w:val="21"/>
                <w:highlight w:val="none"/>
              </w:rPr>
            </w:pPr>
            <w:r>
              <w:rPr>
                <w:rFonts w:eastAsia="宋体"/>
                <w:color w:val="auto"/>
                <w:sz w:val="21"/>
                <w:szCs w:val="21"/>
                <w:highlight w:val="none"/>
              </w:rPr>
              <w:t>151</w:t>
            </w:r>
          </w:p>
        </w:tc>
      </w:tr>
      <w:tr w14:paraId="0523742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660" w:type="dxa"/>
            <w:tcBorders>
              <w:tl2br w:val="nil"/>
              <w:tr2bl w:val="nil"/>
            </w:tcBorders>
            <w:vAlign w:val="center"/>
          </w:tcPr>
          <w:p w14:paraId="7E7DC12E">
            <w:pPr>
              <w:pStyle w:val="98"/>
              <w:ind w:left="-105" w:right="-105"/>
              <w:rPr>
                <w:rFonts w:eastAsia="宋体"/>
                <w:color w:val="auto"/>
                <w:sz w:val="21"/>
                <w:szCs w:val="21"/>
                <w:highlight w:val="none"/>
              </w:rPr>
            </w:pPr>
            <w:r>
              <w:rPr>
                <w:rFonts w:eastAsia="宋体"/>
                <w:color w:val="auto"/>
                <w:sz w:val="21"/>
                <w:szCs w:val="21"/>
                <w:highlight w:val="none"/>
              </w:rPr>
              <w:t>41</w:t>
            </w:r>
          </w:p>
        </w:tc>
        <w:tc>
          <w:tcPr>
            <w:tcW w:w="1933" w:type="dxa"/>
            <w:tcBorders>
              <w:tl2br w:val="nil"/>
              <w:tr2bl w:val="nil"/>
            </w:tcBorders>
            <w:vAlign w:val="center"/>
          </w:tcPr>
          <w:p w14:paraId="7129F26B">
            <w:pPr>
              <w:pStyle w:val="98"/>
              <w:ind w:left="-105" w:right="-105"/>
              <w:rPr>
                <w:rFonts w:eastAsia="宋体"/>
                <w:color w:val="auto"/>
                <w:sz w:val="21"/>
                <w:szCs w:val="21"/>
                <w:highlight w:val="none"/>
              </w:rPr>
            </w:pPr>
            <w:r>
              <w:rPr>
                <w:rFonts w:eastAsia="宋体"/>
                <w:color w:val="auto"/>
                <w:sz w:val="21"/>
                <w:szCs w:val="21"/>
                <w:highlight w:val="none"/>
              </w:rPr>
              <w:t>苯并[k]荧蒽</w:t>
            </w:r>
          </w:p>
        </w:tc>
        <w:tc>
          <w:tcPr>
            <w:tcW w:w="1323" w:type="dxa"/>
            <w:tcBorders>
              <w:tl2br w:val="nil"/>
              <w:tr2bl w:val="nil"/>
            </w:tcBorders>
            <w:vAlign w:val="center"/>
          </w:tcPr>
          <w:p w14:paraId="715F5EC3">
            <w:pPr>
              <w:pStyle w:val="98"/>
              <w:ind w:left="-105" w:right="-105"/>
              <w:rPr>
                <w:rFonts w:eastAsia="宋体"/>
                <w:color w:val="auto"/>
                <w:sz w:val="21"/>
                <w:szCs w:val="21"/>
                <w:highlight w:val="none"/>
              </w:rPr>
            </w:pPr>
            <w:r>
              <w:rPr>
                <w:rFonts w:eastAsia="宋体"/>
                <w:color w:val="auto"/>
                <w:sz w:val="21"/>
                <w:szCs w:val="21"/>
                <w:highlight w:val="none"/>
              </w:rPr>
              <w:t>207-08-9</w:t>
            </w:r>
          </w:p>
        </w:tc>
        <w:tc>
          <w:tcPr>
            <w:tcW w:w="1283" w:type="dxa"/>
            <w:tcBorders>
              <w:tl2br w:val="nil"/>
              <w:tr2bl w:val="nil"/>
            </w:tcBorders>
            <w:vAlign w:val="center"/>
          </w:tcPr>
          <w:p w14:paraId="07E87E56">
            <w:pPr>
              <w:pStyle w:val="98"/>
              <w:ind w:left="-105" w:right="-105"/>
              <w:rPr>
                <w:rFonts w:eastAsia="宋体"/>
                <w:color w:val="auto"/>
                <w:sz w:val="21"/>
                <w:szCs w:val="21"/>
                <w:highlight w:val="none"/>
              </w:rPr>
            </w:pPr>
            <w:r>
              <w:rPr>
                <w:rFonts w:eastAsia="宋体"/>
                <w:color w:val="auto"/>
                <w:sz w:val="21"/>
                <w:szCs w:val="21"/>
                <w:highlight w:val="none"/>
              </w:rPr>
              <w:t>55</w:t>
            </w:r>
          </w:p>
        </w:tc>
        <w:tc>
          <w:tcPr>
            <w:tcW w:w="1292" w:type="dxa"/>
            <w:tcBorders>
              <w:tl2br w:val="nil"/>
              <w:tr2bl w:val="nil"/>
            </w:tcBorders>
            <w:vAlign w:val="center"/>
          </w:tcPr>
          <w:p w14:paraId="08D7DDB1">
            <w:pPr>
              <w:pStyle w:val="98"/>
              <w:ind w:left="-105" w:right="-105"/>
              <w:rPr>
                <w:rFonts w:eastAsia="宋体"/>
                <w:color w:val="auto"/>
                <w:sz w:val="21"/>
                <w:szCs w:val="21"/>
                <w:highlight w:val="none"/>
              </w:rPr>
            </w:pPr>
            <w:r>
              <w:rPr>
                <w:rFonts w:eastAsia="宋体"/>
                <w:color w:val="auto"/>
                <w:sz w:val="21"/>
                <w:szCs w:val="21"/>
                <w:highlight w:val="none"/>
              </w:rPr>
              <w:t>151</w:t>
            </w:r>
          </w:p>
        </w:tc>
        <w:tc>
          <w:tcPr>
            <w:tcW w:w="1285" w:type="dxa"/>
            <w:tcBorders>
              <w:tl2br w:val="nil"/>
              <w:tr2bl w:val="nil"/>
            </w:tcBorders>
            <w:vAlign w:val="center"/>
          </w:tcPr>
          <w:p w14:paraId="29AFA951">
            <w:pPr>
              <w:pStyle w:val="98"/>
              <w:ind w:left="-105" w:right="-105"/>
              <w:rPr>
                <w:rFonts w:eastAsia="宋体"/>
                <w:color w:val="auto"/>
                <w:sz w:val="21"/>
                <w:szCs w:val="21"/>
                <w:highlight w:val="none"/>
              </w:rPr>
            </w:pPr>
            <w:r>
              <w:rPr>
                <w:rFonts w:eastAsia="宋体"/>
                <w:color w:val="auto"/>
                <w:sz w:val="21"/>
                <w:szCs w:val="21"/>
                <w:highlight w:val="none"/>
              </w:rPr>
              <w:t>550</w:t>
            </w:r>
          </w:p>
        </w:tc>
        <w:tc>
          <w:tcPr>
            <w:tcW w:w="1289" w:type="dxa"/>
            <w:tcBorders>
              <w:tl2br w:val="nil"/>
              <w:tr2bl w:val="nil"/>
            </w:tcBorders>
            <w:vAlign w:val="center"/>
          </w:tcPr>
          <w:p w14:paraId="17141D34">
            <w:pPr>
              <w:pStyle w:val="98"/>
              <w:ind w:left="-105" w:right="-105"/>
              <w:rPr>
                <w:rFonts w:eastAsia="宋体"/>
                <w:color w:val="auto"/>
                <w:sz w:val="21"/>
                <w:szCs w:val="21"/>
                <w:highlight w:val="none"/>
              </w:rPr>
            </w:pPr>
            <w:r>
              <w:rPr>
                <w:rFonts w:eastAsia="宋体"/>
                <w:color w:val="auto"/>
                <w:sz w:val="21"/>
                <w:szCs w:val="21"/>
                <w:highlight w:val="none"/>
              </w:rPr>
              <w:t>1500</w:t>
            </w:r>
          </w:p>
        </w:tc>
      </w:tr>
      <w:tr w14:paraId="3B90461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660" w:type="dxa"/>
            <w:tcBorders>
              <w:tl2br w:val="nil"/>
              <w:tr2bl w:val="nil"/>
            </w:tcBorders>
            <w:vAlign w:val="center"/>
          </w:tcPr>
          <w:p w14:paraId="091D092F">
            <w:pPr>
              <w:pStyle w:val="98"/>
              <w:ind w:left="-105" w:right="-105"/>
              <w:rPr>
                <w:rFonts w:eastAsia="宋体"/>
                <w:color w:val="auto"/>
                <w:sz w:val="21"/>
                <w:szCs w:val="21"/>
                <w:highlight w:val="none"/>
              </w:rPr>
            </w:pPr>
            <w:r>
              <w:rPr>
                <w:rFonts w:eastAsia="宋体"/>
                <w:color w:val="auto"/>
                <w:sz w:val="21"/>
                <w:szCs w:val="21"/>
                <w:highlight w:val="none"/>
              </w:rPr>
              <w:t>42</w:t>
            </w:r>
          </w:p>
        </w:tc>
        <w:tc>
          <w:tcPr>
            <w:tcW w:w="1933" w:type="dxa"/>
            <w:tcBorders>
              <w:tl2br w:val="nil"/>
              <w:tr2bl w:val="nil"/>
            </w:tcBorders>
            <w:vAlign w:val="center"/>
          </w:tcPr>
          <w:p w14:paraId="5198C890">
            <w:pPr>
              <w:pStyle w:val="98"/>
              <w:ind w:left="-105" w:right="-105"/>
              <w:rPr>
                <w:rFonts w:eastAsia="宋体"/>
                <w:color w:val="auto"/>
                <w:sz w:val="21"/>
                <w:szCs w:val="21"/>
                <w:highlight w:val="none"/>
              </w:rPr>
            </w:pPr>
            <w:r>
              <w:rPr>
                <w:rFonts w:eastAsia="宋体"/>
                <w:color w:val="auto"/>
                <w:sz w:val="21"/>
                <w:szCs w:val="21"/>
                <w:highlight w:val="none"/>
              </w:rPr>
              <w:t>䓛</w:t>
            </w:r>
          </w:p>
        </w:tc>
        <w:tc>
          <w:tcPr>
            <w:tcW w:w="1323" w:type="dxa"/>
            <w:tcBorders>
              <w:tl2br w:val="nil"/>
              <w:tr2bl w:val="nil"/>
            </w:tcBorders>
            <w:vAlign w:val="center"/>
          </w:tcPr>
          <w:p w14:paraId="70C00257">
            <w:pPr>
              <w:pStyle w:val="98"/>
              <w:ind w:left="-105" w:right="-105"/>
              <w:rPr>
                <w:rFonts w:eastAsia="宋体"/>
                <w:color w:val="auto"/>
                <w:sz w:val="21"/>
                <w:szCs w:val="21"/>
                <w:highlight w:val="none"/>
              </w:rPr>
            </w:pPr>
            <w:r>
              <w:rPr>
                <w:rFonts w:eastAsia="宋体"/>
                <w:color w:val="auto"/>
                <w:sz w:val="21"/>
                <w:szCs w:val="21"/>
                <w:highlight w:val="none"/>
              </w:rPr>
              <w:t>218-01-9</w:t>
            </w:r>
          </w:p>
        </w:tc>
        <w:tc>
          <w:tcPr>
            <w:tcW w:w="1283" w:type="dxa"/>
            <w:tcBorders>
              <w:tl2br w:val="nil"/>
              <w:tr2bl w:val="nil"/>
            </w:tcBorders>
            <w:vAlign w:val="center"/>
          </w:tcPr>
          <w:p w14:paraId="402A2060">
            <w:pPr>
              <w:pStyle w:val="98"/>
              <w:ind w:left="-105" w:right="-105"/>
              <w:rPr>
                <w:rFonts w:eastAsia="宋体"/>
                <w:color w:val="auto"/>
                <w:sz w:val="21"/>
                <w:szCs w:val="21"/>
                <w:highlight w:val="none"/>
              </w:rPr>
            </w:pPr>
            <w:r>
              <w:rPr>
                <w:rFonts w:eastAsia="宋体"/>
                <w:color w:val="auto"/>
                <w:sz w:val="21"/>
                <w:szCs w:val="21"/>
                <w:highlight w:val="none"/>
              </w:rPr>
              <w:t>490</w:t>
            </w:r>
          </w:p>
        </w:tc>
        <w:tc>
          <w:tcPr>
            <w:tcW w:w="1292" w:type="dxa"/>
            <w:tcBorders>
              <w:tl2br w:val="nil"/>
              <w:tr2bl w:val="nil"/>
            </w:tcBorders>
            <w:vAlign w:val="center"/>
          </w:tcPr>
          <w:p w14:paraId="4D0E412D">
            <w:pPr>
              <w:pStyle w:val="98"/>
              <w:ind w:left="-105" w:right="-105"/>
              <w:rPr>
                <w:rFonts w:eastAsia="宋体"/>
                <w:color w:val="auto"/>
                <w:sz w:val="21"/>
                <w:szCs w:val="21"/>
                <w:highlight w:val="none"/>
              </w:rPr>
            </w:pPr>
            <w:r>
              <w:rPr>
                <w:rFonts w:eastAsia="宋体"/>
                <w:color w:val="auto"/>
                <w:sz w:val="21"/>
                <w:szCs w:val="21"/>
                <w:highlight w:val="none"/>
              </w:rPr>
              <w:t>1293</w:t>
            </w:r>
          </w:p>
        </w:tc>
        <w:tc>
          <w:tcPr>
            <w:tcW w:w="1285" w:type="dxa"/>
            <w:tcBorders>
              <w:tl2br w:val="nil"/>
              <w:tr2bl w:val="nil"/>
            </w:tcBorders>
            <w:vAlign w:val="center"/>
          </w:tcPr>
          <w:p w14:paraId="3DC312D7">
            <w:pPr>
              <w:pStyle w:val="98"/>
              <w:ind w:left="-105" w:right="-105"/>
              <w:rPr>
                <w:rFonts w:eastAsia="宋体"/>
                <w:color w:val="auto"/>
                <w:sz w:val="21"/>
                <w:szCs w:val="21"/>
                <w:highlight w:val="none"/>
              </w:rPr>
            </w:pPr>
            <w:r>
              <w:rPr>
                <w:rFonts w:eastAsia="宋体"/>
                <w:color w:val="auto"/>
                <w:sz w:val="21"/>
                <w:szCs w:val="21"/>
                <w:highlight w:val="none"/>
              </w:rPr>
              <w:t>4900</w:t>
            </w:r>
          </w:p>
        </w:tc>
        <w:tc>
          <w:tcPr>
            <w:tcW w:w="1289" w:type="dxa"/>
            <w:tcBorders>
              <w:tl2br w:val="nil"/>
              <w:tr2bl w:val="nil"/>
            </w:tcBorders>
            <w:vAlign w:val="center"/>
          </w:tcPr>
          <w:p w14:paraId="2D770D5D">
            <w:pPr>
              <w:pStyle w:val="98"/>
              <w:ind w:left="-105" w:right="-105"/>
              <w:rPr>
                <w:rFonts w:eastAsia="宋体"/>
                <w:color w:val="auto"/>
                <w:sz w:val="21"/>
                <w:szCs w:val="21"/>
                <w:highlight w:val="none"/>
              </w:rPr>
            </w:pPr>
            <w:r>
              <w:rPr>
                <w:rFonts w:eastAsia="宋体"/>
                <w:color w:val="auto"/>
                <w:sz w:val="21"/>
                <w:szCs w:val="21"/>
                <w:highlight w:val="none"/>
              </w:rPr>
              <w:t>12900</w:t>
            </w:r>
          </w:p>
        </w:tc>
      </w:tr>
      <w:tr w14:paraId="6903FAA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660" w:type="dxa"/>
            <w:tcBorders>
              <w:tl2br w:val="nil"/>
              <w:tr2bl w:val="nil"/>
            </w:tcBorders>
            <w:vAlign w:val="center"/>
          </w:tcPr>
          <w:p w14:paraId="2919C2AE">
            <w:pPr>
              <w:pStyle w:val="98"/>
              <w:ind w:left="-105" w:right="-105"/>
              <w:rPr>
                <w:rFonts w:eastAsia="宋体"/>
                <w:color w:val="auto"/>
                <w:sz w:val="21"/>
                <w:szCs w:val="21"/>
                <w:highlight w:val="none"/>
              </w:rPr>
            </w:pPr>
            <w:r>
              <w:rPr>
                <w:rFonts w:eastAsia="宋体"/>
                <w:color w:val="auto"/>
                <w:sz w:val="21"/>
                <w:szCs w:val="21"/>
                <w:highlight w:val="none"/>
              </w:rPr>
              <w:t>43</w:t>
            </w:r>
          </w:p>
        </w:tc>
        <w:tc>
          <w:tcPr>
            <w:tcW w:w="1933" w:type="dxa"/>
            <w:tcBorders>
              <w:tl2br w:val="nil"/>
              <w:tr2bl w:val="nil"/>
            </w:tcBorders>
            <w:vAlign w:val="center"/>
          </w:tcPr>
          <w:p w14:paraId="516175F5">
            <w:pPr>
              <w:pStyle w:val="98"/>
              <w:ind w:left="-105" w:right="-105"/>
              <w:rPr>
                <w:rFonts w:eastAsia="宋体"/>
                <w:color w:val="auto"/>
                <w:sz w:val="21"/>
                <w:szCs w:val="21"/>
                <w:highlight w:val="none"/>
              </w:rPr>
            </w:pPr>
            <w:r>
              <w:rPr>
                <w:rFonts w:eastAsia="宋体"/>
                <w:color w:val="auto"/>
                <w:sz w:val="21"/>
                <w:szCs w:val="21"/>
                <w:highlight w:val="none"/>
              </w:rPr>
              <w:t>二苯并[a,h]蒽</w:t>
            </w:r>
          </w:p>
        </w:tc>
        <w:tc>
          <w:tcPr>
            <w:tcW w:w="1323" w:type="dxa"/>
            <w:tcBorders>
              <w:tl2br w:val="nil"/>
              <w:tr2bl w:val="nil"/>
            </w:tcBorders>
            <w:vAlign w:val="center"/>
          </w:tcPr>
          <w:p w14:paraId="13014529">
            <w:pPr>
              <w:pStyle w:val="98"/>
              <w:ind w:left="-105" w:right="-105"/>
              <w:rPr>
                <w:rFonts w:eastAsia="宋体"/>
                <w:color w:val="auto"/>
                <w:sz w:val="21"/>
                <w:szCs w:val="21"/>
                <w:highlight w:val="none"/>
              </w:rPr>
            </w:pPr>
            <w:r>
              <w:rPr>
                <w:rFonts w:eastAsia="宋体"/>
                <w:color w:val="auto"/>
                <w:sz w:val="21"/>
                <w:szCs w:val="21"/>
                <w:highlight w:val="none"/>
              </w:rPr>
              <w:t>53-70-3</w:t>
            </w:r>
          </w:p>
        </w:tc>
        <w:tc>
          <w:tcPr>
            <w:tcW w:w="1283" w:type="dxa"/>
            <w:tcBorders>
              <w:tl2br w:val="nil"/>
              <w:tr2bl w:val="nil"/>
            </w:tcBorders>
            <w:vAlign w:val="center"/>
          </w:tcPr>
          <w:p w14:paraId="59EA2B15">
            <w:pPr>
              <w:pStyle w:val="98"/>
              <w:ind w:left="-105" w:right="-105"/>
              <w:rPr>
                <w:rFonts w:eastAsia="宋体"/>
                <w:color w:val="auto"/>
                <w:sz w:val="21"/>
                <w:szCs w:val="21"/>
                <w:highlight w:val="none"/>
              </w:rPr>
            </w:pPr>
            <w:r>
              <w:rPr>
                <w:rFonts w:eastAsia="宋体"/>
                <w:color w:val="auto"/>
                <w:sz w:val="21"/>
                <w:szCs w:val="21"/>
                <w:highlight w:val="none"/>
              </w:rPr>
              <w:t>0.55</w:t>
            </w:r>
          </w:p>
        </w:tc>
        <w:tc>
          <w:tcPr>
            <w:tcW w:w="1292" w:type="dxa"/>
            <w:tcBorders>
              <w:tl2br w:val="nil"/>
              <w:tr2bl w:val="nil"/>
            </w:tcBorders>
            <w:vAlign w:val="center"/>
          </w:tcPr>
          <w:p w14:paraId="3382FAEE">
            <w:pPr>
              <w:pStyle w:val="98"/>
              <w:ind w:left="-105" w:right="-105"/>
              <w:rPr>
                <w:rFonts w:eastAsia="宋体"/>
                <w:color w:val="auto"/>
                <w:sz w:val="21"/>
                <w:szCs w:val="21"/>
                <w:highlight w:val="none"/>
              </w:rPr>
            </w:pPr>
            <w:r>
              <w:rPr>
                <w:rFonts w:eastAsia="宋体"/>
                <w:color w:val="auto"/>
                <w:sz w:val="21"/>
                <w:szCs w:val="21"/>
                <w:highlight w:val="none"/>
              </w:rPr>
              <w:t>1.5</w:t>
            </w:r>
          </w:p>
        </w:tc>
        <w:tc>
          <w:tcPr>
            <w:tcW w:w="1285" w:type="dxa"/>
            <w:tcBorders>
              <w:tl2br w:val="nil"/>
              <w:tr2bl w:val="nil"/>
            </w:tcBorders>
            <w:vAlign w:val="center"/>
          </w:tcPr>
          <w:p w14:paraId="08FC4CAC">
            <w:pPr>
              <w:pStyle w:val="98"/>
              <w:ind w:left="-105" w:right="-105"/>
              <w:rPr>
                <w:rFonts w:eastAsia="宋体"/>
                <w:color w:val="auto"/>
                <w:sz w:val="21"/>
                <w:szCs w:val="21"/>
                <w:highlight w:val="none"/>
              </w:rPr>
            </w:pPr>
            <w:r>
              <w:rPr>
                <w:rFonts w:eastAsia="宋体"/>
                <w:color w:val="auto"/>
                <w:sz w:val="21"/>
                <w:szCs w:val="21"/>
                <w:highlight w:val="none"/>
              </w:rPr>
              <w:t>5.5</w:t>
            </w:r>
          </w:p>
        </w:tc>
        <w:tc>
          <w:tcPr>
            <w:tcW w:w="1289" w:type="dxa"/>
            <w:tcBorders>
              <w:tl2br w:val="nil"/>
              <w:tr2bl w:val="nil"/>
            </w:tcBorders>
            <w:vAlign w:val="center"/>
          </w:tcPr>
          <w:p w14:paraId="6B77195A">
            <w:pPr>
              <w:pStyle w:val="98"/>
              <w:ind w:left="-105" w:right="-105"/>
              <w:rPr>
                <w:rFonts w:eastAsia="宋体"/>
                <w:color w:val="auto"/>
                <w:sz w:val="21"/>
                <w:szCs w:val="21"/>
                <w:highlight w:val="none"/>
              </w:rPr>
            </w:pPr>
            <w:r>
              <w:rPr>
                <w:rFonts w:eastAsia="宋体"/>
                <w:color w:val="auto"/>
                <w:sz w:val="21"/>
                <w:szCs w:val="21"/>
                <w:highlight w:val="none"/>
              </w:rPr>
              <w:t>15</w:t>
            </w:r>
          </w:p>
        </w:tc>
      </w:tr>
      <w:tr w14:paraId="7D29957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660" w:type="dxa"/>
            <w:tcBorders>
              <w:tl2br w:val="nil"/>
              <w:tr2bl w:val="nil"/>
            </w:tcBorders>
            <w:vAlign w:val="center"/>
          </w:tcPr>
          <w:p w14:paraId="568D32CD">
            <w:pPr>
              <w:pStyle w:val="98"/>
              <w:ind w:left="-105" w:right="-105"/>
              <w:rPr>
                <w:rFonts w:eastAsia="宋体"/>
                <w:color w:val="auto"/>
                <w:sz w:val="21"/>
                <w:szCs w:val="21"/>
                <w:highlight w:val="none"/>
              </w:rPr>
            </w:pPr>
            <w:r>
              <w:rPr>
                <w:rFonts w:eastAsia="宋体"/>
                <w:color w:val="auto"/>
                <w:sz w:val="21"/>
                <w:szCs w:val="21"/>
                <w:highlight w:val="none"/>
              </w:rPr>
              <w:t>44</w:t>
            </w:r>
          </w:p>
        </w:tc>
        <w:tc>
          <w:tcPr>
            <w:tcW w:w="1933" w:type="dxa"/>
            <w:tcBorders>
              <w:tl2br w:val="nil"/>
              <w:tr2bl w:val="nil"/>
            </w:tcBorders>
            <w:vAlign w:val="center"/>
          </w:tcPr>
          <w:p w14:paraId="1A88C879">
            <w:pPr>
              <w:pStyle w:val="98"/>
              <w:ind w:left="-105" w:right="-105"/>
              <w:rPr>
                <w:rFonts w:eastAsia="宋体"/>
                <w:color w:val="auto"/>
                <w:sz w:val="21"/>
                <w:szCs w:val="21"/>
                <w:highlight w:val="none"/>
              </w:rPr>
            </w:pPr>
            <w:r>
              <w:rPr>
                <w:rFonts w:eastAsia="宋体"/>
                <w:color w:val="auto"/>
                <w:sz w:val="21"/>
                <w:szCs w:val="21"/>
                <w:highlight w:val="none"/>
              </w:rPr>
              <w:t>茚并(1,2,3-cd)芘</w:t>
            </w:r>
          </w:p>
        </w:tc>
        <w:tc>
          <w:tcPr>
            <w:tcW w:w="1323" w:type="dxa"/>
            <w:tcBorders>
              <w:tl2br w:val="nil"/>
              <w:tr2bl w:val="nil"/>
            </w:tcBorders>
            <w:vAlign w:val="center"/>
          </w:tcPr>
          <w:p w14:paraId="0A48BC74">
            <w:pPr>
              <w:pStyle w:val="98"/>
              <w:ind w:left="-105" w:right="-105"/>
              <w:rPr>
                <w:rFonts w:eastAsia="宋体"/>
                <w:color w:val="auto"/>
                <w:sz w:val="21"/>
                <w:szCs w:val="21"/>
                <w:highlight w:val="none"/>
              </w:rPr>
            </w:pPr>
            <w:r>
              <w:rPr>
                <w:rFonts w:eastAsia="宋体"/>
                <w:color w:val="auto"/>
                <w:sz w:val="21"/>
                <w:szCs w:val="21"/>
                <w:highlight w:val="none"/>
              </w:rPr>
              <w:t>193-39-5</w:t>
            </w:r>
          </w:p>
        </w:tc>
        <w:tc>
          <w:tcPr>
            <w:tcW w:w="1283" w:type="dxa"/>
            <w:tcBorders>
              <w:tl2br w:val="nil"/>
              <w:tr2bl w:val="nil"/>
            </w:tcBorders>
            <w:vAlign w:val="center"/>
          </w:tcPr>
          <w:p w14:paraId="42DC2F7C">
            <w:pPr>
              <w:pStyle w:val="98"/>
              <w:ind w:left="-105" w:right="-105"/>
              <w:rPr>
                <w:rFonts w:eastAsia="宋体"/>
                <w:color w:val="auto"/>
                <w:sz w:val="21"/>
                <w:szCs w:val="21"/>
                <w:highlight w:val="none"/>
              </w:rPr>
            </w:pPr>
            <w:r>
              <w:rPr>
                <w:rFonts w:eastAsia="宋体"/>
                <w:color w:val="auto"/>
                <w:sz w:val="21"/>
                <w:szCs w:val="21"/>
                <w:highlight w:val="none"/>
              </w:rPr>
              <w:t>5.5</w:t>
            </w:r>
          </w:p>
        </w:tc>
        <w:tc>
          <w:tcPr>
            <w:tcW w:w="1292" w:type="dxa"/>
            <w:tcBorders>
              <w:tl2br w:val="nil"/>
              <w:tr2bl w:val="nil"/>
            </w:tcBorders>
            <w:vAlign w:val="center"/>
          </w:tcPr>
          <w:p w14:paraId="578E1C2C">
            <w:pPr>
              <w:pStyle w:val="98"/>
              <w:ind w:left="-105" w:right="-105"/>
              <w:rPr>
                <w:rFonts w:eastAsia="宋体"/>
                <w:color w:val="auto"/>
                <w:sz w:val="21"/>
                <w:szCs w:val="21"/>
                <w:highlight w:val="none"/>
              </w:rPr>
            </w:pPr>
            <w:r>
              <w:rPr>
                <w:rFonts w:eastAsia="宋体"/>
                <w:color w:val="auto"/>
                <w:sz w:val="21"/>
                <w:szCs w:val="21"/>
                <w:highlight w:val="none"/>
              </w:rPr>
              <w:t>15</w:t>
            </w:r>
          </w:p>
        </w:tc>
        <w:tc>
          <w:tcPr>
            <w:tcW w:w="1285" w:type="dxa"/>
            <w:tcBorders>
              <w:tl2br w:val="nil"/>
              <w:tr2bl w:val="nil"/>
            </w:tcBorders>
            <w:vAlign w:val="center"/>
          </w:tcPr>
          <w:p w14:paraId="380F1E88">
            <w:pPr>
              <w:pStyle w:val="98"/>
              <w:ind w:left="-105" w:right="-105"/>
              <w:rPr>
                <w:rFonts w:eastAsia="宋体"/>
                <w:color w:val="auto"/>
                <w:sz w:val="21"/>
                <w:szCs w:val="21"/>
                <w:highlight w:val="none"/>
              </w:rPr>
            </w:pPr>
            <w:r>
              <w:rPr>
                <w:rFonts w:eastAsia="宋体"/>
                <w:color w:val="auto"/>
                <w:sz w:val="21"/>
                <w:szCs w:val="21"/>
                <w:highlight w:val="none"/>
              </w:rPr>
              <w:t>55</w:t>
            </w:r>
          </w:p>
        </w:tc>
        <w:tc>
          <w:tcPr>
            <w:tcW w:w="1289" w:type="dxa"/>
            <w:tcBorders>
              <w:tl2br w:val="nil"/>
              <w:tr2bl w:val="nil"/>
            </w:tcBorders>
            <w:vAlign w:val="center"/>
          </w:tcPr>
          <w:p w14:paraId="28759840">
            <w:pPr>
              <w:pStyle w:val="98"/>
              <w:ind w:left="-105" w:right="-105"/>
              <w:rPr>
                <w:rFonts w:eastAsia="宋体"/>
                <w:color w:val="auto"/>
                <w:sz w:val="21"/>
                <w:szCs w:val="21"/>
                <w:highlight w:val="none"/>
              </w:rPr>
            </w:pPr>
            <w:r>
              <w:rPr>
                <w:rFonts w:eastAsia="宋体"/>
                <w:color w:val="auto"/>
                <w:sz w:val="21"/>
                <w:szCs w:val="21"/>
                <w:highlight w:val="none"/>
              </w:rPr>
              <w:t>151</w:t>
            </w:r>
          </w:p>
        </w:tc>
      </w:tr>
      <w:tr w14:paraId="1B3D23C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660" w:type="dxa"/>
            <w:tcBorders>
              <w:tl2br w:val="nil"/>
              <w:tr2bl w:val="nil"/>
            </w:tcBorders>
            <w:vAlign w:val="center"/>
          </w:tcPr>
          <w:p w14:paraId="1BBB328C">
            <w:pPr>
              <w:pStyle w:val="98"/>
              <w:ind w:left="-105" w:right="-105"/>
              <w:rPr>
                <w:rFonts w:eastAsia="宋体"/>
                <w:color w:val="auto"/>
                <w:sz w:val="21"/>
                <w:szCs w:val="21"/>
                <w:highlight w:val="none"/>
              </w:rPr>
            </w:pPr>
            <w:r>
              <w:rPr>
                <w:rFonts w:eastAsia="宋体"/>
                <w:color w:val="auto"/>
                <w:sz w:val="21"/>
                <w:szCs w:val="21"/>
                <w:highlight w:val="none"/>
              </w:rPr>
              <w:t>45</w:t>
            </w:r>
          </w:p>
        </w:tc>
        <w:tc>
          <w:tcPr>
            <w:tcW w:w="1933" w:type="dxa"/>
            <w:tcBorders>
              <w:tl2br w:val="nil"/>
              <w:tr2bl w:val="nil"/>
            </w:tcBorders>
            <w:vAlign w:val="center"/>
          </w:tcPr>
          <w:p w14:paraId="0A45EB36">
            <w:pPr>
              <w:pStyle w:val="98"/>
              <w:ind w:left="-105" w:right="-105"/>
              <w:rPr>
                <w:rFonts w:eastAsia="宋体"/>
                <w:color w:val="auto"/>
                <w:sz w:val="21"/>
                <w:szCs w:val="21"/>
                <w:highlight w:val="none"/>
              </w:rPr>
            </w:pPr>
            <w:r>
              <w:rPr>
                <w:rFonts w:eastAsia="宋体"/>
                <w:color w:val="auto"/>
                <w:sz w:val="21"/>
                <w:szCs w:val="21"/>
                <w:highlight w:val="none"/>
              </w:rPr>
              <w:t>萘</w:t>
            </w:r>
          </w:p>
        </w:tc>
        <w:tc>
          <w:tcPr>
            <w:tcW w:w="1323" w:type="dxa"/>
            <w:tcBorders>
              <w:tl2br w:val="nil"/>
              <w:tr2bl w:val="nil"/>
            </w:tcBorders>
            <w:vAlign w:val="center"/>
          </w:tcPr>
          <w:p w14:paraId="5F78CCDF">
            <w:pPr>
              <w:pStyle w:val="98"/>
              <w:ind w:left="-105" w:right="-105"/>
              <w:rPr>
                <w:rFonts w:eastAsia="宋体"/>
                <w:color w:val="auto"/>
                <w:sz w:val="21"/>
                <w:szCs w:val="21"/>
                <w:highlight w:val="none"/>
              </w:rPr>
            </w:pPr>
            <w:r>
              <w:rPr>
                <w:rFonts w:eastAsia="宋体"/>
                <w:color w:val="auto"/>
                <w:sz w:val="21"/>
                <w:szCs w:val="21"/>
                <w:highlight w:val="none"/>
              </w:rPr>
              <w:t>91-20-3</w:t>
            </w:r>
          </w:p>
        </w:tc>
        <w:tc>
          <w:tcPr>
            <w:tcW w:w="1283" w:type="dxa"/>
            <w:tcBorders>
              <w:tl2br w:val="nil"/>
              <w:tr2bl w:val="nil"/>
            </w:tcBorders>
            <w:vAlign w:val="center"/>
          </w:tcPr>
          <w:p w14:paraId="2D1DE73E">
            <w:pPr>
              <w:pStyle w:val="98"/>
              <w:ind w:left="-105" w:right="-105"/>
              <w:rPr>
                <w:rFonts w:eastAsia="宋体"/>
                <w:color w:val="auto"/>
                <w:sz w:val="21"/>
                <w:szCs w:val="21"/>
                <w:highlight w:val="none"/>
              </w:rPr>
            </w:pPr>
            <w:r>
              <w:rPr>
                <w:rFonts w:eastAsia="宋体"/>
                <w:color w:val="auto"/>
                <w:sz w:val="21"/>
                <w:szCs w:val="21"/>
                <w:highlight w:val="none"/>
              </w:rPr>
              <w:t>25</w:t>
            </w:r>
          </w:p>
        </w:tc>
        <w:tc>
          <w:tcPr>
            <w:tcW w:w="1292" w:type="dxa"/>
            <w:tcBorders>
              <w:tl2br w:val="nil"/>
              <w:tr2bl w:val="nil"/>
            </w:tcBorders>
            <w:vAlign w:val="center"/>
          </w:tcPr>
          <w:p w14:paraId="712D4180">
            <w:pPr>
              <w:pStyle w:val="98"/>
              <w:ind w:left="-105" w:right="-105"/>
              <w:rPr>
                <w:rFonts w:eastAsia="宋体"/>
                <w:color w:val="auto"/>
                <w:sz w:val="21"/>
                <w:szCs w:val="21"/>
                <w:highlight w:val="none"/>
              </w:rPr>
            </w:pPr>
            <w:r>
              <w:rPr>
                <w:rFonts w:eastAsia="宋体"/>
                <w:color w:val="auto"/>
                <w:sz w:val="21"/>
                <w:szCs w:val="21"/>
                <w:highlight w:val="none"/>
              </w:rPr>
              <w:t>70</w:t>
            </w:r>
          </w:p>
        </w:tc>
        <w:tc>
          <w:tcPr>
            <w:tcW w:w="1285" w:type="dxa"/>
            <w:tcBorders>
              <w:tl2br w:val="nil"/>
              <w:tr2bl w:val="nil"/>
            </w:tcBorders>
            <w:vAlign w:val="center"/>
          </w:tcPr>
          <w:p w14:paraId="275128C3">
            <w:pPr>
              <w:pStyle w:val="98"/>
              <w:ind w:left="-105" w:right="-105"/>
              <w:rPr>
                <w:rFonts w:eastAsia="宋体"/>
                <w:color w:val="auto"/>
                <w:sz w:val="21"/>
                <w:szCs w:val="21"/>
                <w:highlight w:val="none"/>
              </w:rPr>
            </w:pPr>
            <w:r>
              <w:rPr>
                <w:rFonts w:eastAsia="宋体"/>
                <w:color w:val="auto"/>
                <w:sz w:val="21"/>
                <w:szCs w:val="21"/>
                <w:highlight w:val="none"/>
              </w:rPr>
              <w:t>255</w:t>
            </w:r>
          </w:p>
        </w:tc>
        <w:tc>
          <w:tcPr>
            <w:tcW w:w="1289" w:type="dxa"/>
            <w:tcBorders>
              <w:tl2br w:val="nil"/>
              <w:tr2bl w:val="nil"/>
            </w:tcBorders>
            <w:vAlign w:val="center"/>
          </w:tcPr>
          <w:p w14:paraId="4FF51E79">
            <w:pPr>
              <w:pStyle w:val="98"/>
              <w:ind w:left="-105" w:right="-105"/>
              <w:rPr>
                <w:rFonts w:eastAsia="宋体"/>
                <w:color w:val="auto"/>
                <w:sz w:val="21"/>
                <w:szCs w:val="21"/>
                <w:highlight w:val="none"/>
              </w:rPr>
            </w:pPr>
            <w:r>
              <w:rPr>
                <w:rFonts w:eastAsia="宋体"/>
                <w:color w:val="auto"/>
                <w:sz w:val="21"/>
                <w:szCs w:val="21"/>
                <w:highlight w:val="none"/>
              </w:rPr>
              <w:t>700</w:t>
            </w:r>
          </w:p>
        </w:tc>
      </w:tr>
      <w:tr w14:paraId="07E645A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9065" w:type="dxa"/>
            <w:gridSpan w:val="7"/>
            <w:tcBorders>
              <w:tl2br w:val="nil"/>
              <w:tr2bl w:val="nil"/>
            </w:tcBorders>
            <w:vAlign w:val="center"/>
          </w:tcPr>
          <w:p w14:paraId="61D96384">
            <w:pPr>
              <w:pStyle w:val="98"/>
              <w:ind w:left="-105" w:right="-105"/>
              <w:rPr>
                <w:rFonts w:eastAsia="宋体"/>
                <w:color w:val="auto"/>
                <w:sz w:val="21"/>
                <w:szCs w:val="21"/>
                <w:highlight w:val="none"/>
                <w:lang w:val="en-US"/>
              </w:rPr>
            </w:pPr>
            <w:r>
              <w:rPr>
                <w:rFonts w:hint="eastAsia" w:eastAsia="宋体"/>
                <w:b/>
                <w:bCs/>
                <w:color w:val="auto"/>
                <w:sz w:val="21"/>
                <w:szCs w:val="21"/>
                <w:highlight w:val="none"/>
                <w:lang w:val="en-US"/>
              </w:rPr>
              <w:t>石油烃类</w:t>
            </w:r>
          </w:p>
        </w:tc>
      </w:tr>
      <w:tr w14:paraId="46BA8DC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660" w:type="dxa"/>
            <w:tcBorders>
              <w:tl2br w:val="nil"/>
              <w:tr2bl w:val="nil"/>
            </w:tcBorders>
            <w:vAlign w:val="center"/>
          </w:tcPr>
          <w:p w14:paraId="5A63D98A">
            <w:pPr>
              <w:pStyle w:val="98"/>
              <w:ind w:left="-105" w:right="-105"/>
              <w:rPr>
                <w:rFonts w:eastAsia="宋体"/>
                <w:color w:val="auto"/>
                <w:sz w:val="21"/>
                <w:szCs w:val="21"/>
                <w:highlight w:val="none"/>
                <w:lang w:val="en-US"/>
              </w:rPr>
            </w:pPr>
            <w:r>
              <w:rPr>
                <w:rFonts w:hint="eastAsia" w:eastAsia="宋体"/>
                <w:color w:val="auto"/>
                <w:sz w:val="21"/>
                <w:szCs w:val="21"/>
                <w:highlight w:val="none"/>
                <w:lang w:val="en-US"/>
              </w:rPr>
              <w:t>46</w:t>
            </w:r>
          </w:p>
        </w:tc>
        <w:tc>
          <w:tcPr>
            <w:tcW w:w="1933" w:type="dxa"/>
            <w:tcBorders>
              <w:tl2br w:val="nil"/>
              <w:tr2bl w:val="nil"/>
            </w:tcBorders>
            <w:vAlign w:val="center"/>
          </w:tcPr>
          <w:p w14:paraId="16D4DEFA">
            <w:pPr>
              <w:pStyle w:val="98"/>
              <w:ind w:left="-105" w:right="-105"/>
              <w:rPr>
                <w:rFonts w:eastAsia="宋体"/>
                <w:color w:val="auto"/>
                <w:sz w:val="21"/>
                <w:szCs w:val="21"/>
                <w:highlight w:val="none"/>
                <w:lang w:val="en-US"/>
              </w:rPr>
            </w:pPr>
            <w:r>
              <w:rPr>
                <w:rFonts w:hint="eastAsia" w:eastAsia="宋体"/>
                <w:color w:val="auto"/>
                <w:sz w:val="21"/>
                <w:szCs w:val="21"/>
                <w:highlight w:val="none"/>
                <w:lang w:val="en-US"/>
              </w:rPr>
              <w:t>石油烃（C</w:t>
            </w:r>
            <w:r>
              <w:rPr>
                <w:rFonts w:hint="eastAsia" w:eastAsia="宋体"/>
                <w:color w:val="auto"/>
                <w:sz w:val="21"/>
                <w:szCs w:val="21"/>
                <w:highlight w:val="none"/>
                <w:vertAlign w:val="subscript"/>
                <w:lang w:val="en-US"/>
              </w:rPr>
              <w:t>10</w:t>
            </w:r>
            <w:r>
              <w:rPr>
                <w:rFonts w:hint="eastAsia" w:eastAsia="宋体"/>
                <w:color w:val="auto"/>
                <w:sz w:val="21"/>
                <w:szCs w:val="21"/>
                <w:highlight w:val="none"/>
                <w:lang w:val="en-US"/>
              </w:rPr>
              <w:t>~C</w:t>
            </w:r>
            <w:r>
              <w:rPr>
                <w:rFonts w:hint="eastAsia" w:eastAsia="宋体"/>
                <w:color w:val="auto"/>
                <w:sz w:val="21"/>
                <w:szCs w:val="21"/>
                <w:highlight w:val="none"/>
                <w:vertAlign w:val="subscript"/>
                <w:lang w:val="en-US"/>
              </w:rPr>
              <w:t>40</w:t>
            </w:r>
            <w:r>
              <w:rPr>
                <w:rFonts w:hint="eastAsia" w:eastAsia="宋体"/>
                <w:color w:val="auto"/>
                <w:sz w:val="21"/>
                <w:szCs w:val="21"/>
                <w:highlight w:val="none"/>
                <w:lang w:val="en-US"/>
              </w:rPr>
              <w:t>）</w:t>
            </w:r>
          </w:p>
        </w:tc>
        <w:tc>
          <w:tcPr>
            <w:tcW w:w="1323" w:type="dxa"/>
            <w:tcBorders>
              <w:tl2br w:val="nil"/>
              <w:tr2bl w:val="nil"/>
            </w:tcBorders>
            <w:vAlign w:val="center"/>
          </w:tcPr>
          <w:p w14:paraId="02AE26BD">
            <w:pPr>
              <w:pStyle w:val="98"/>
              <w:ind w:left="-105" w:right="-105"/>
              <w:rPr>
                <w:rFonts w:eastAsia="宋体"/>
                <w:color w:val="auto"/>
                <w:sz w:val="21"/>
                <w:szCs w:val="21"/>
                <w:highlight w:val="none"/>
                <w:lang w:val="en-US"/>
              </w:rPr>
            </w:pPr>
            <w:r>
              <w:rPr>
                <w:rFonts w:hint="eastAsia" w:eastAsia="宋体"/>
                <w:color w:val="auto"/>
                <w:sz w:val="21"/>
                <w:szCs w:val="21"/>
                <w:highlight w:val="none"/>
                <w:lang w:val="en-US"/>
              </w:rPr>
              <w:t>—</w:t>
            </w:r>
          </w:p>
        </w:tc>
        <w:tc>
          <w:tcPr>
            <w:tcW w:w="1283" w:type="dxa"/>
            <w:tcBorders>
              <w:tl2br w:val="nil"/>
              <w:tr2bl w:val="nil"/>
            </w:tcBorders>
            <w:vAlign w:val="center"/>
          </w:tcPr>
          <w:p w14:paraId="5FF0F0BF">
            <w:pPr>
              <w:pStyle w:val="98"/>
              <w:ind w:left="-105" w:right="-105"/>
              <w:rPr>
                <w:rFonts w:eastAsia="宋体"/>
                <w:color w:val="auto"/>
                <w:sz w:val="21"/>
                <w:szCs w:val="21"/>
                <w:highlight w:val="none"/>
                <w:lang w:val="en-US"/>
              </w:rPr>
            </w:pPr>
            <w:r>
              <w:rPr>
                <w:rFonts w:hint="eastAsia" w:eastAsia="宋体"/>
                <w:color w:val="auto"/>
                <w:sz w:val="21"/>
                <w:szCs w:val="21"/>
                <w:highlight w:val="none"/>
                <w:lang w:val="en-US"/>
              </w:rPr>
              <w:t>826</w:t>
            </w:r>
          </w:p>
        </w:tc>
        <w:tc>
          <w:tcPr>
            <w:tcW w:w="1292" w:type="dxa"/>
            <w:tcBorders>
              <w:tl2br w:val="nil"/>
              <w:tr2bl w:val="nil"/>
            </w:tcBorders>
            <w:vAlign w:val="center"/>
          </w:tcPr>
          <w:p w14:paraId="7678FE19">
            <w:pPr>
              <w:pStyle w:val="98"/>
              <w:ind w:left="-105" w:right="-105"/>
              <w:rPr>
                <w:rFonts w:eastAsia="宋体"/>
                <w:color w:val="auto"/>
                <w:sz w:val="21"/>
                <w:szCs w:val="21"/>
                <w:highlight w:val="none"/>
                <w:lang w:val="en-US"/>
              </w:rPr>
            </w:pPr>
            <w:r>
              <w:rPr>
                <w:rFonts w:hint="eastAsia" w:eastAsia="宋体"/>
                <w:color w:val="auto"/>
                <w:sz w:val="21"/>
                <w:szCs w:val="21"/>
                <w:highlight w:val="none"/>
                <w:lang w:val="en-US"/>
              </w:rPr>
              <w:t>4500</w:t>
            </w:r>
          </w:p>
        </w:tc>
        <w:tc>
          <w:tcPr>
            <w:tcW w:w="1285" w:type="dxa"/>
            <w:tcBorders>
              <w:tl2br w:val="nil"/>
              <w:tr2bl w:val="nil"/>
            </w:tcBorders>
            <w:vAlign w:val="center"/>
          </w:tcPr>
          <w:p w14:paraId="0E5185C3">
            <w:pPr>
              <w:pStyle w:val="98"/>
              <w:ind w:left="-105" w:right="-105"/>
              <w:rPr>
                <w:rFonts w:eastAsia="宋体"/>
                <w:color w:val="auto"/>
                <w:sz w:val="21"/>
                <w:szCs w:val="21"/>
                <w:highlight w:val="none"/>
                <w:lang w:val="en-US"/>
              </w:rPr>
            </w:pPr>
            <w:r>
              <w:rPr>
                <w:rFonts w:hint="eastAsia" w:eastAsia="宋体"/>
                <w:color w:val="auto"/>
                <w:sz w:val="21"/>
                <w:szCs w:val="21"/>
                <w:highlight w:val="none"/>
                <w:lang w:val="en-US"/>
              </w:rPr>
              <w:t>5000</w:t>
            </w:r>
          </w:p>
        </w:tc>
        <w:tc>
          <w:tcPr>
            <w:tcW w:w="1289" w:type="dxa"/>
            <w:tcBorders>
              <w:tl2br w:val="nil"/>
              <w:tr2bl w:val="nil"/>
            </w:tcBorders>
            <w:vAlign w:val="center"/>
          </w:tcPr>
          <w:p w14:paraId="3D124912">
            <w:pPr>
              <w:pStyle w:val="98"/>
              <w:ind w:left="-105" w:right="-105"/>
              <w:rPr>
                <w:rFonts w:eastAsia="宋体"/>
                <w:color w:val="auto"/>
                <w:sz w:val="21"/>
                <w:szCs w:val="21"/>
                <w:highlight w:val="none"/>
                <w:lang w:val="en-US"/>
              </w:rPr>
            </w:pPr>
            <w:r>
              <w:rPr>
                <w:rFonts w:hint="eastAsia" w:eastAsia="宋体"/>
                <w:color w:val="auto"/>
                <w:sz w:val="21"/>
                <w:szCs w:val="21"/>
                <w:highlight w:val="none"/>
                <w:lang w:val="en-US"/>
              </w:rPr>
              <w:t>9000</w:t>
            </w:r>
          </w:p>
        </w:tc>
      </w:tr>
      <w:tr w14:paraId="6653793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9065" w:type="dxa"/>
            <w:gridSpan w:val="7"/>
            <w:tcBorders>
              <w:tl2br w:val="nil"/>
              <w:tr2bl w:val="nil"/>
            </w:tcBorders>
            <w:vAlign w:val="center"/>
          </w:tcPr>
          <w:p w14:paraId="124EA9E3">
            <w:pPr>
              <w:pStyle w:val="98"/>
              <w:ind w:left="-105" w:right="-105"/>
              <w:rPr>
                <w:rFonts w:eastAsia="宋体"/>
                <w:color w:val="auto"/>
                <w:sz w:val="21"/>
                <w:szCs w:val="21"/>
                <w:highlight w:val="none"/>
              </w:rPr>
            </w:pPr>
            <w:r>
              <w:rPr>
                <w:rFonts w:eastAsia="宋体"/>
                <w:color w:val="auto"/>
                <w:sz w:val="21"/>
                <w:szCs w:val="21"/>
                <w:highlight w:val="none"/>
              </w:rPr>
              <w:t>注：</w:t>
            </w:r>
            <w:r>
              <w:rPr>
                <w:rFonts w:hint="eastAsia" w:eastAsia="宋体" w:cs="宋体"/>
                <w:color w:val="auto"/>
                <w:sz w:val="21"/>
                <w:szCs w:val="21"/>
                <w:highlight w:val="none"/>
              </w:rPr>
              <w:t>①</w:t>
            </w:r>
            <w:r>
              <w:rPr>
                <w:rFonts w:eastAsia="宋体"/>
                <w:color w:val="auto"/>
                <w:sz w:val="21"/>
                <w:szCs w:val="21"/>
                <w:highlight w:val="none"/>
              </w:rPr>
              <w:t>具体地块土壤中污染物检测含量超过筛选值，但等于或低于土壤环境背景值（见 3.6）水平的，不纳入污染地块管理。土壤环境背景值可参见附录A。</w:t>
            </w:r>
          </w:p>
        </w:tc>
      </w:tr>
    </w:tbl>
    <w:p w14:paraId="6FA9E20D">
      <w:pPr>
        <w:pStyle w:val="6"/>
        <w:keepLines w:val="0"/>
        <w:widowControl/>
        <w:numPr>
          <w:ilvl w:val="0"/>
          <w:numId w:val="0"/>
        </w:numPr>
        <w:tabs>
          <w:tab w:val="left" w:pos="0"/>
          <w:tab w:val="left" w:pos="2550"/>
        </w:tabs>
        <w:spacing w:before="120" w:beforeLines="50" w:after="120" w:afterLines="50" w:line="360" w:lineRule="auto"/>
        <w:ind w:right="-105"/>
        <w:rPr>
          <w:rFonts w:ascii="Times New Roman" w:hAnsi="Times New Roman"/>
          <w:color w:val="auto"/>
          <w:sz w:val="24"/>
          <w:szCs w:val="24"/>
          <w:highlight w:val="none"/>
        </w:rPr>
      </w:pPr>
      <w:r>
        <w:rPr>
          <w:rFonts w:ascii="Times New Roman" w:hAnsi="Times New Roman"/>
          <w:color w:val="auto"/>
          <w:sz w:val="24"/>
          <w:szCs w:val="24"/>
          <w:highlight w:val="none"/>
        </w:rPr>
        <w:t>2.3.2.2污染物排放标准</w:t>
      </w:r>
    </w:p>
    <w:p w14:paraId="4C545C74">
      <w:pPr>
        <w:tabs>
          <w:tab w:val="left" w:pos="993"/>
          <w:tab w:val="left" w:pos="1276"/>
        </w:tabs>
        <w:spacing w:line="360" w:lineRule="auto"/>
        <w:ind w:left="-105" w:right="-105" w:firstLine="480"/>
        <w:rPr>
          <w:rFonts w:ascii="Times New Roman" w:hAnsi="Times New Roman"/>
          <w:color w:val="auto"/>
          <w:highlight w:val="none"/>
        </w:rPr>
      </w:pPr>
      <w:r>
        <w:rPr>
          <w:rFonts w:ascii="Times New Roman" w:hAnsi="Times New Roman"/>
          <w:color w:val="auto"/>
          <w:highlight w:val="none"/>
        </w:rPr>
        <w:t>（1）废气</w:t>
      </w:r>
    </w:p>
    <w:p w14:paraId="77771174">
      <w:pPr>
        <w:spacing w:line="360" w:lineRule="auto"/>
        <w:ind w:left="-105" w:right="-105" w:firstLine="480" w:firstLineChars="200"/>
        <w:rPr>
          <w:rFonts w:ascii="Times New Roman" w:hAnsi="Times New Roman"/>
          <w:color w:val="auto"/>
          <w:highlight w:val="none"/>
        </w:rPr>
      </w:pPr>
      <w:r>
        <w:rPr>
          <w:rFonts w:ascii="Times New Roman" w:hAnsi="Times New Roman"/>
          <w:color w:val="auto"/>
          <w:highlight w:val="none"/>
        </w:rPr>
        <w:t>本项目</w:t>
      </w:r>
      <w:r>
        <w:rPr>
          <w:rFonts w:hint="eastAsia" w:ascii="Times New Roman" w:hAnsi="Times New Roman"/>
          <w:color w:val="auto"/>
          <w:highlight w:val="none"/>
        </w:rPr>
        <w:t>生产过程产生的氮氧化物、非甲烷总烃、甲醇</w:t>
      </w:r>
      <w:r>
        <w:rPr>
          <w:rFonts w:ascii="Times New Roman" w:hAnsi="Times New Roman"/>
          <w:color w:val="auto"/>
          <w:highlight w:val="none"/>
        </w:rPr>
        <w:t>排放执行</w:t>
      </w:r>
      <w:r>
        <w:rPr>
          <w:rFonts w:hint="eastAsia" w:ascii="Times New Roman" w:hAnsi="Times New Roman"/>
          <w:color w:val="auto"/>
          <w:highlight w:val="none"/>
        </w:rPr>
        <w:t>《大气污染物综合排放标准》（DB32/4041-2021）表1、表3标准限值</w:t>
      </w:r>
      <w:r>
        <w:rPr>
          <w:rFonts w:ascii="Times New Roman" w:hAnsi="Times New Roman"/>
          <w:color w:val="auto"/>
          <w:highlight w:val="none"/>
        </w:rPr>
        <w:t>。</w:t>
      </w:r>
    </w:p>
    <w:p w14:paraId="53F2FAF9">
      <w:pPr>
        <w:pStyle w:val="15"/>
        <w:spacing w:line="360" w:lineRule="auto"/>
        <w:ind w:left="-105" w:right="-105" w:firstLine="482"/>
        <w:rPr>
          <w:rFonts w:eastAsia="宋体" w:cs="Times New Roman"/>
          <w:color w:val="auto"/>
          <w:sz w:val="24"/>
          <w:szCs w:val="24"/>
          <w:highlight w:val="none"/>
        </w:rPr>
      </w:pPr>
      <w:r>
        <w:rPr>
          <w:rFonts w:eastAsia="宋体" w:cs="Times New Roman"/>
          <w:color w:val="auto"/>
          <w:sz w:val="24"/>
          <w:szCs w:val="24"/>
          <w:highlight w:val="none"/>
        </w:rPr>
        <w:t>表</w:t>
      </w:r>
      <w:r>
        <w:rPr>
          <w:rFonts w:eastAsia="宋体" w:cs="Times New Roman"/>
          <w:color w:val="auto"/>
          <w:sz w:val="24"/>
          <w:szCs w:val="24"/>
          <w:highlight w:val="none"/>
        </w:rPr>
        <w:fldChar w:fldCharType="begin"/>
      </w:r>
      <w:r>
        <w:rPr>
          <w:rFonts w:eastAsia="宋体" w:cs="Times New Roman"/>
          <w:color w:val="auto"/>
          <w:sz w:val="24"/>
          <w:szCs w:val="24"/>
          <w:highlight w:val="none"/>
        </w:rPr>
        <w:instrText xml:space="preserve"> STYLEREF 2 \s </w:instrText>
      </w:r>
      <w:r>
        <w:rPr>
          <w:rFonts w:eastAsia="宋体" w:cs="Times New Roman"/>
          <w:color w:val="auto"/>
          <w:sz w:val="24"/>
          <w:szCs w:val="24"/>
          <w:highlight w:val="none"/>
        </w:rPr>
        <w:fldChar w:fldCharType="separate"/>
      </w:r>
      <w:r>
        <w:rPr>
          <w:rFonts w:eastAsia="宋体" w:cs="Times New Roman"/>
          <w:color w:val="auto"/>
          <w:sz w:val="24"/>
          <w:szCs w:val="24"/>
          <w:highlight w:val="none"/>
        </w:rPr>
        <w:t>2.3</w:t>
      </w:r>
      <w:r>
        <w:rPr>
          <w:rFonts w:eastAsia="宋体" w:cs="Times New Roman"/>
          <w:color w:val="auto"/>
          <w:sz w:val="24"/>
          <w:szCs w:val="24"/>
          <w:highlight w:val="none"/>
        </w:rPr>
        <w:fldChar w:fldCharType="end"/>
      </w:r>
      <w:r>
        <w:rPr>
          <w:rFonts w:eastAsia="宋体" w:cs="Times New Roman"/>
          <w:color w:val="auto"/>
          <w:sz w:val="24"/>
          <w:szCs w:val="24"/>
          <w:highlight w:val="none"/>
        </w:rPr>
        <w:noBreakHyphen/>
      </w:r>
      <w:r>
        <w:rPr>
          <w:rFonts w:eastAsia="宋体" w:cs="Times New Roman"/>
          <w:color w:val="auto"/>
          <w:sz w:val="24"/>
          <w:szCs w:val="24"/>
          <w:highlight w:val="none"/>
        </w:rPr>
        <w:fldChar w:fldCharType="begin"/>
      </w:r>
      <w:r>
        <w:rPr>
          <w:rFonts w:eastAsia="宋体" w:cs="Times New Roman"/>
          <w:color w:val="auto"/>
          <w:sz w:val="24"/>
          <w:szCs w:val="24"/>
          <w:highlight w:val="none"/>
        </w:rPr>
        <w:instrText xml:space="preserve"> SEQ 表 \* ARABIC \s 2 </w:instrText>
      </w:r>
      <w:r>
        <w:rPr>
          <w:rFonts w:eastAsia="宋体" w:cs="Times New Roman"/>
          <w:color w:val="auto"/>
          <w:sz w:val="24"/>
          <w:szCs w:val="24"/>
          <w:highlight w:val="none"/>
        </w:rPr>
        <w:fldChar w:fldCharType="separate"/>
      </w:r>
      <w:r>
        <w:rPr>
          <w:rFonts w:eastAsia="宋体" w:cs="Times New Roman"/>
          <w:color w:val="auto"/>
          <w:sz w:val="24"/>
          <w:szCs w:val="24"/>
          <w:highlight w:val="none"/>
        </w:rPr>
        <w:t>8</w:t>
      </w:r>
      <w:r>
        <w:rPr>
          <w:rFonts w:eastAsia="宋体" w:cs="Times New Roman"/>
          <w:color w:val="auto"/>
          <w:sz w:val="24"/>
          <w:szCs w:val="24"/>
          <w:highlight w:val="none"/>
        </w:rPr>
        <w:fldChar w:fldCharType="end"/>
      </w:r>
      <w:r>
        <w:rPr>
          <w:rFonts w:eastAsia="宋体" w:cs="Times New Roman"/>
          <w:color w:val="auto"/>
          <w:sz w:val="24"/>
          <w:szCs w:val="24"/>
          <w:highlight w:val="none"/>
        </w:rPr>
        <w:t>大气污染物排放标准</w:t>
      </w:r>
    </w:p>
    <w:tbl>
      <w:tblPr>
        <w:tblStyle w:val="45"/>
        <w:tblW w:w="8628"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142"/>
        <w:gridCol w:w="1126"/>
        <w:gridCol w:w="899"/>
        <w:gridCol w:w="948"/>
        <w:gridCol w:w="1043"/>
        <w:gridCol w:w="1380"/>
        <w:gridCol w:w="2090"/>
      </w:tblGrid>
      <w:tr w14:paraId="1430CED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340" w:hRule="atLeast"/>
          <w:jc w:val="center"/>
        </w:trPr>
        <w:tc>
          <w:tcPr>
            <w:tcW w:w="1142" w:type="dxa"/>
            <w:vMerge w:val="restart"/>
            <w:tcBorders>
              <w:top w:val="single" w:color="auto" w:sz="12" w:space="0"/>
            </w:tcBorders>
            <w:vAlign w:val="center"/>
          </w:tcPr>
          <w:p w14:paraId="5F1DB606">
            <w:pPr>
              <w:ind w:left="-105" w:right="-105"/>
              <w:jc w:val="center"/>
              <w:rPr>
                <w:rFonts w:ascii="Times New Roman" w:hAnsi="Times New Roman"/>
                <w:b/>
                <w:bCs/>
                <w:color w:val="auto"/>
                <w:sz w:val="21"/>
                <w:szCs w:val="21"/>
                <w:highlight w:val="none"/>
              </w:rPr>
            </w:pPr>
            <w:r>
              <w:rPr>
                <w:rFonts w:ascii="Times New Roman" w:hAnsi="Times New Roman"/>
                <w:b/>
                <w:bCs/>
                <w:color w:val="auto"/>
                <w:sz w:val="21"/>
                <w:szCs w:val="21"/>
                <w:highlight w:val="none"/>
              </w:rPr>
              <w:t>污染物</w:t>
            </w:r>
          </w:p>
          <w:p w14:paraId="6093AB3E">
            <w:pPr>
              <w:ind w:left="-105" w:right="-105"/>
              <w:jc w:val="center"/>
              <w:rPr>
                <w:rFonts w:ascii="Times New Roman" w:hAnsi="Times New Roman"/>
                <w:b/>
                <w:bCs/>
                <w:color w:val="auto"/>
                <w:sz w:val="21"/>
                <w:szCs w:val="21"/>
                <w:highlight w:val="none"/>
              </w:rPr>
            </w:pPr>
            <w:r>
              <w:rPr>
                <w:rFonts w:ascii="Times New Roman" w:hAnsi="Times New Roman"/>
                <w:b/>
                <w:bCs/>
                <w:color w:val="auto"/>
                <w:sz w:val="21"/>
                <w:szCs w:val="21"/>
                <w:highlight w:val="none"/>
              </w:rPr>
              <w:t>名称</w:t>
            </w:r>
          </w:p>
        </w:tc>
        <w:tc>
          <w:tcPr>
            <w:tcW w:w="1126" w:type="dxa"/>
            <w:vMerge w:val="restart"/>
            <w:tcBorders>
              <w:top w:val="single" w:color="auto" w:sz="12" w:space="0"/>
            </w:tcBorders>
            <w:vAlign w:val="center"/>
          </w:tcPr>
          <w:p w14:paraId="6235EAA6">
            <w:pPr>
              <w:ind w:left="-105" w:right="-105"/>
              <w:jc w:val="center"/>
              <w:rPr>
                <w:rFonts w:ascii="Times New Roman" w:hAnsi="Times New Roman"/>
                <w:b/>
                <w:bCs/>
                <w:color w:val="auto"/>
                <w:sz w:val="21"/>
                <w:szCs w:val="21"/>
                <w:highlight w:val="none"/>
              </w:rPr>
            </w:pPr>
            <w:r>
              <w:rPr>
                <w:rFonts w:ascii="Times New Roman" w:hAnsi="Times New Roman"/>
                <w:b/>
                <w:bCs/>
                <w:color w:val="auto"/>
                <w:sz w:val="21"/>
                <w:szCs w:val="21"/>
                <w:highlight w:val="none"/>
              </w:rPr>
              <w:t>最高允许</w:t>
            </w:r>
          </w:p>
          <w:p w14:paraId="79ADFCC1">
            <w:pPr>
              <w:ind w:left="-105" w:right="-105"/>
              <w:jc w:val="center"/>
              <w:rPr>
                <w:rFonts w:ascii="Times New Roman" w:hAnsi="Times New Roman"/>
                <w:b/>
                <w:bCs/>
                <w:color w:val="auto"/>
                <w:sz w:val="21"/>
                <w:szCs w:val="21"/>
                <w:highlight w:val="none"/>
              </w:rPr>
            </w:pPr>
            <w:r>
              <w:rPr>
                <w:rFonts w:ascii="Times New Roman" w:hAnsi="Times New Roman"/>
                <w:b/>
                <w:bCs/>
                <w:color w:val="auto"/>
                <w:sz w:val="21"/>
                <w:szCs w:val="21"/>
                <w:highlight w:val="none"/>
              </w:rPr>
              <w:t>排放浓度</w:t>
            </w:r>
          </w:p>
          <w:p w14:paraId="4EE49921">
            <w:pPr>
              <w:ind w:left="-105" w:right="-105"/>
              <w:jc w:val="center"/>
              <w:rPr>
                <w:rFonts w:ascii="Times New Roman" w:hAnsi="Times New Roman"/>
                <w:b/>
                <w:bCs/>
                <w:color w:val="auto"/>
                <w:sz w:val="21"/>
                <w:szCs w:val="21"/>
                <w:highlight w:val="none"/>
              </w:rPr>
            </w:pPr>
            <w:r>
              <w:rPr>
                <w:rFonts w:ascii="Times New Roman" w:hAnsi="Times New Roman"/>
                <w:b/>
                <w:bCs/>
                <w:color w:val="auto"/>
                <w:sz w:val="21"/>
                <w:szCs w:val="21"/>
                <w:highlight w:val="none"/>
              </w:rPr>
              <w:t>(mg/m</w:t>
            </w:r>
            <w:r>
              <w:rPr>
                <w:rFonts w:ascii="Times New Roman" w:hAnsi="Times New Roman"/>
                <w:b/>
                <w:bCs/>
                <w:color w:val="auto"/>
                <w:sz w:val="21"/>
                <w:szCs w:val="21"/>
                <w:highlight w:val="none"/>
                <w:vertAlign w:val="superscript"/>
              </w:rPr>
              <w:t>3</w:t>
            </w:r>
            <w:r>
              <w:rPr>
                <w:rFonts w:ascii="Times New Roman" w:hAnsi="Times New Roman"/>
                <w:b/>
                <w:bCs/>
                <w:color w:val="auto"/>
                <w:sz w:val="21"/>
                <w:szCs w:val="21"/>
                <w:highlight w:val="none"/>
              </w:rPr>
              <w:t>)</w:t>
            </w:r>
          </w:p>
        </w:tc>
        <w:tc>
          <w:tcPr>
            <w:tcW w:w="899" w:type="dxa"/>
            <w:vMerge w:val="restart"/>
            <w:tcBorders>
              <w:top w:val="single" w:color="auto" w:sz="12" w:space="0"/>
            </w:tcBorders>
            <w:vAlign w:val="center"/>
          </w:tcPr>
          <w:p w14:paraId="1D069EA9">
            <w:pPr>
              <w:ind w:left="-105" w:right="-105"/>
              <w:jc w:val="center"/>
              <w:rPr>
                <w:rFonts w:ascii="Times New Roman" w:hAnsi="Times New Roman"/>
                <w:b/>
                <w:bCs/>
                <w:color w:val="auto"/>
                <w:sz w:val="21"/>
                <w:szCs w:val="21"/>
                <w:highlight w:val="none"/>
              </w:rPr>
            </w:pPr>
            <w:r>
              <w:rPr>
                <w:rFonts w:ascii="Times New Roman" w:hAnsi="Times New Roman"/>
                <w:b/>
                <w:color w:val="auto"/>
                <w:sz w:val="21"/>
                <w:szCs w:val="21"/>
                <w:highlight w:val="none"/>
              </w:rPr>
              <w:t>排气筒高度（m）</w:t>
            </w:r>
          </w:p>
        </w:tc>
        <w:tc>
          <w:tcPr>
            <w:tcW w:w="948" w:type="dxa"/>
            <w:vMerge w:val="restart"/>
            <w:tcBorders>
              <w:top w:val="single" w:color="auto" w:sz="12" w:space="0"/>
            </w:tcBorders>
            <w:vAlign w:val="center"/>
          </w:tcPr>
          <w:p w14:paraId="56F271F8">
            <w:pPr>
              <w:ind w:left="-105" w:right="-105"/>
              <w:jc w:val="center"/>
              <w:rPr>
                <w:rFonts w:ascii="Times New Roman" w:hAnsi="Times New Roman"/>
                <w:b/>
                <w:color w:val="auto"/>
                <w:sz w:val="21"/>
                <w:szCs w:val="21"/>
                <w:highlight w:val="none"/>
              </w:rPr>
            </w:pPr>
            <w:r>
              <w:rPr>
                <w:rFonts w:hint="eastAsia" w:ascii="Times New Roman" w:hAnsi="Times New Roman"/>
                <w:b/>
                <w:color w:val="auto"/>
                <w:sz w:val="21"/>
                <w:szCs w:val="21"/>
                <w:highlight w:val="none"/>
              </w:rPr>
              <w:t>最高</w:t>
            </w:r>
            <w:r>
              <w:rPr>
                <w:rFonts w:ascii="Times New Roman" w:hAnsi="Times New Roman"/>
                <w:b/>
                <w:color w:val="auto"/>
                <w:sz w:val="21"/>
                <w:szCs w:val="21"/>
                <w:highlight w:val="none"/>
              </w:rPr>
              <w:t>允许排放速率</w:t>
            </w:r>
          </w:p>
          <w:p w14:paraId="1A0571F7">
            <w:pPr>
              <w:ind w:left="-105" w:right="-105"/>
              <w:jc w:val="center"/>
              <w:rPr>
                <w:rFonts w:ascii="Times New Roman" w:hAnsi="Times New Roman"/>
                <w:b/>
                <w:bCs/>
                <w:color w:val="auto"/>
                <w:sz w:val="21"/>
                <w:szCs w:val="21"/>
                <w:highlight w:val="none"/>
              </w:rPr>
            </w:pPr>
            <w:r>
              <w:rPr>
                <w:rFonts w:ascii="Times New Roman" w:hAnsi="Times New Roman"/>
                <w:b/>
                <w:color w:val="auto"/>
                <w:sz w:val="21"/>
                <w:szCs w:val="21"/>
                <w:highlight w:val="none"/>
              </w:rPr>
              <w:t>（kg/h）</w:t>
            </w:r>
          </w:p>
        </w:tc>
        <w:tc>
          <w:tcPr>
            <w:tcW w:w="2423" w:type="dxa"/>
            <w:gridSpan w:val="2"/>
            <w:tcBorders>
              <w:top w:val="single" w:color="auto" w:sz="12" w:space="0"/>
            </w:tcBorders>
            <w:vAlign w:val="center"/>
          </w:tcPr>
          <w:p w14:paraId="60B300DC">
            <w:pPr>
              <w:ind w:left="-105" w:right="-105"/>
              <w:jc w:val="center"/>
              <w:rPr>
                <w:rFonts w:ascii="Times New Roman" w:hAnsi="Times New Roman"/>
                <w:b/>
                <w:bCs/>
                <w:color w:val="auto"/>
                <w:sz w:val="21"/>
                <w:szCs w:val="21"/>
                <w:highlight w:val="none"/>
              </w:rPr>
            </w:pPr>
            <w:r>
              <w:rPr>
                <w:rFonts w:ascii="Times New Roman" w:hAnsi="Times New Roman"/>
                <w:b/>
                <w:color w:val="auto"/>
                <w:sz w:val="21"/>
                <w:szCs w:val="21"/>
                <w:highlight w:val="none"/>
              </w:rPr>
              <w:t>无组织排放监控浓度限值</w:t>
            </w:r>
          </w:p>
        </w:tc>
        <w:tc>
          <w:tcPr>
            <w:tcW w:w="2090" w:type="dxa"/>
            <w:vMerge w:val="restart"/>
            <w:tcBorders>
              <w:top w:val="single" w:color="auto" w:sz="12" w:space="0"/>
            </w:tcBorders>
            <w:vAlign w:val="center"/>
          </w:tcPr>
          <w:p w14:paraId="370F1DBB">
            <w:pPr>
              <w:ind w:left="-105" w:right="-105"/>
              <w:jc w:val="center"/>
              <w:rPr>
                <w:rFonts w:ascii="Times New Roman" w:hAnsi="Times New Roman"/>
                <w:b/>
                <w:bCs/>
                <w:color w:val="auto"/>
                <w:sz w:val="21"/>
                <w:szCs w:val="21"/>
                <w:highlight w:val="none"/>
              </w:rPr>
            </w:pPr>
            <w:r>
              <w:rPr>
                <w:rFonts w:ascii="Times New Roman" w:hAnsi="Times New Roman"/>
                <w:b/>
                <w:bCs/>
                <w:color w:val="auto"/>
                <w:sz w:val="21"/>
                <w:szCs w:val="21"/>
                <w:highlight w:val="none"/>
              </w:rPr>
              <w:t>标准来源</w:t>
            </w:r>
          </w:p>
        </w:tc>
      </w:tr>
      <w:tr w14:paraId="51F7114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42" w:type="dxa"/>
            <w:vMerge w:val="continue"/>
            <w:vAlign w:val="center"/>
          </w:tcPr>
          <w:p w14:paraId="47D0030C">
            <w:pPr>
              <w:ind w:left="-105" w:right="-105"/>
              <w:jc w:val="center"/>
              <w:rPr>
                <w:rFonts w:ascii="Times New Roman" w:hAnsi="Times New Roman"/>
                <w:b/>
                <w:bCs/>
                <w:color w:val="auto"/>
                <w:sz w:val="21"/>
                <w:szCs w:val="21"/>
                <w:highlight w:val="none"/>
              </w:rPr>
            </w:pPr>
          </w:p>
        </w:tc>
        <w:tc>
          <w:tcPr>
            <w:tcW w:w="1126" w:type="dxa"/>
            <w:vMerge w:val="continue"/>
            <w:vAlign w:val="center"/>
          </w:tcPr>
          <w:p w14:paraId="321AE9AC">
            <w:pPr>
              <w:ind w:left="-105" w:right="-105"/>
              <w:jc w:val="center"/>
              <w:rPr>
                <w:rFonts w:ascii="Times New Roman" w:hAnsi="Times New Roman"/>
                <w:b/>
                <w:bCs/>
                <w:color w:val="auto"/>
                <w:sz w:val="21"/>
                <w:szCs w:val="21"/>
                <w:highlight w:val="none"/>
              </w:rPr>
            </w:pPr>
          </w:p>
        </w:tc>
        <w:tc>
          <w:tcPr>
            <w:tcW w:w="899" w:type="dxa"/>
            <w:vMerge w:val="continue"/>
            <w:vAlign w:val="center"/>
          </w:tcPr>
          <w:p w14:paraId="43C5FFB9">
            <w:pPr>
              <w:ind w:left="-105" w:right="-105"/>
              <w:jc w:val="center"/>
              <w:rPr>
                <w:rFonts w:ascii="Times New Roman" w:hAnsi="Times New Roman"/>
                <w:b/>
                <w:bCs/>
                <w:color w:val="auto"/>
                <w:sz w:val="21"/>
                <w:szCs w:val="21"/>
                <w:highlight w:val="none"/>
              </w:rPr>
            </w:pPr>
          </w:p>
        </w:tc>
        <w:tc>
          <w:tcPr>
            <w:tcW w:w="948" w:type="dxa"/>
            <w:vMerge w:val="continue"/>
            <w:vAlign w:val="center"/>
          </w:tcPr>
          <w:p w14:paraId="04450078">
            <w:pPr>
              <w:ind w:left="-105" w:right="-105"/>
              <w:jc w:val="center"/>
              <w:rPr>
                <w:rFonts w:ascii="Times New Roman" w:hAnsi="Times New Roman"/>
                <w:b/>
                <w:bCs/>
                <w:color w:val="auto"/>
                <w:sz w:val="21"/>
                <w:szCs w:val="21"/>
                <w:highlight w:val="none"/>
              </w:rPr>
            </w:pPr>
          </w:p>
        </w:tc>
        <w:tc>
          <w:tcPr>
            <w:tcW w:w="1043" w:type="dxa"/>
            <w:vAlign w:val="center"/>
          </w:tcPr>
          <w:p w14:paraId="7B2B8271">
            <w:pPr>
              <w:ind w:left="-105" w:right="-105"/>
              <w:jc w:val="center"/>
              <w:rPr>
                <w:rFonts w:ascii="Times New Roman" w:hAnsi="Times New Roman"/>
                <w:b/>
                <w:color w:val="auto"/>
                <w:sz w:val="21"/>
                <w:szCs w:val="21"/>
                <w:highlight w:val="none"/>
              </w:rPr>
            </w:pPr>
            <w:r>
              <w:rPr>
                <w:rFonts w:ascii="Times New Roman" w:hAnsi="Times New Roman"/>
                <w:b/>
                <w:color w:val="auto"/>
                <w:sz w:val="21"/>
                <w:szCs w:val="21"/>
                <w:highlight w:val="none"/>
              </w:rPr>
              <w:t>监控点</w:t>
            </w:r>
          </w:p>
        </w:tc>
        <w:tc>
          <w:tcPr>
            <w:tcW w:w="1380" w:type="dxa"/>
            <w:vAlign w:val="center"/>
          </w:tcPr>
          <w:p w14:paraId="4DAE62A5">
            <w:pPr>
              <w:ind w:left="-105" w:right="-105"/>
              <w:jc w:val="center"/>
              <w:rPr>
                <w:rFonts w:ascii="Times New Roman" w:hAnsi="Times New Roman"/>
                <w:b/>
                <w:color w:val="auto"/>
                <w:sz w:val="21"/>
                <w:szCs w:val="21"/>
                <w:highlight w:val="none"/>
              </w:rPr>
            </w:pPr>
            <w:r>
              <w:rPr>
                <w:rFonts w:ascii="Times New Roman" w:hAnsi="Times New Roman"/>
                <w:b/>
                <w:color w:val="auto"/>
                <w:sz w:val="21"/>
                <w:szCs w:val="21"/>
                <w:highlight w:val="none"/>
              </w:rPr>
              <w:t>浓度</w:t>
            </w:r>
          </w:p>
          <w:p w14:paraId="1EB6BD03">
            <w:pPr>
              <w:ind w:left="-105" w:right="-105"/>
              <w:jc w:val="center"/>
              <w:rPr>
                <w:rFonts w:ascii="Times New Roman" w:hAnsi="Times New Roman"/>
                <w:b/>
                <w:bCs/>
                <w:color w:val="auto"/>
                <w:sz w:val="21"/>
                <w:szCs w:val="21"/>
                <w:highlight w:val="none"/>
              </w:rPr>
            </w:pPr>
            <w:r>
              <w:rPr>
                <w:rFonts w:ascii="Times New Roman" w:hAnsi="Times New Roman"/>
                <w:b/>
                <w:color w:val="auto"/>
                <w:sz w:val="21"/>
                <w:szCs w:val="21"/>
                <w:highlight w:val="none"/>
              </w:rPr>
              <w:t>(mg/m</w:t>
            </w:r>
            <w:r>
              <w:rPr>
                <w:rFonts w:ascii="Times New Roman" w:hAnsi="Times New Roman"/>
                <w:b/>
                <w:color w:val="auto"/>
                <w:sz w:val="21"/>
                <w:szCs w:val="21"/>
                <w:highlight w:val="none"/>
                <w:vertAlign w:val="superscript"/>
              </w:rPr>
              <w:t>3</w:t>
            </w:r>
            <w:r>
              <w:rPr>
                <w:rFonts w:ascii="Times New Roman" w:hAnsi="Times New Roman"/>
                <w:b/>
                <w:color w:val="auto"/>
                <w:sz w:val="21"/>
                <w:szCs w:val="21"/>
                <w:highlight w:val="none"/>
              </w:rPr>
              <w:t>)</w:t>
            </w:r>
          </w:p>
        </w:tc>
        <w:tc>
          <w:tcPr>
            <w:tcW w:w="2090" w:type="dxa"/>
            <w:vMerge w:val="continue"/>
            <w:vAlign w:val="center"/>
          </w:tcPr>
          <w:p w14:paraId="54B51AB5">
            <w:pPr>
              <w:ind w:left="-105" w:right="-105"/>
              <w:jc w:val="center"/>
              <w:rPr>
                <w:rFonts w:ascii="Times New Roman" w:hAnsi="Times New Roman"/>
                <w:b/>
                <w:bCs/>
                <w:color w:val="auto"/>
                <w:sz w:val="21"/>
                <w:szCs w:val="21"/>
                <w:highlight w:val="none"/>
              </w:rPr>
            </w:pPr>
          </w:p>
        </w:tc>
      </w:tr>
      <w:tr w14:paraId="3F149D2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42" w:type="dxa"/>
            <w:vAlign w:val="center"/>
          </w:tcPr>
          <w:p w14:paraId="58448962">
            <w:pPr>
              <w:ind w:left="-105" w:right="-105"/>
              <w:jc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氮氧化物（其它）</w:t>
            </w:r>
          </w:p>
        </w:tc>
        <w:tc>
          <w:tcPr>
            <w:tcW w:w="1126" w:type="dxa"/>
            <w:vAlign w:val="center"/>
          </w:tcPr>
          <w:p w14:paraId="7B98F37B">
            <w:pPr>
              <w:ind w:left="-105" w:right="-105"/>
              <w:jc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100</w:t>
            </w:r>
          </w:p>
        </w:tc>
        <w:tc>
          <w:tcPr>
            <w:tcW w:w="899" w:type="dxa"/>
            <w:vAlign w:val="center"/>
          </w:tcPr>
          <w:p w14:paraId="6CEF2B70">
            <w:pPr>
              <w:ind w:left="-105" w:right="-105"/>
              <w:jc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20</w:t>
            </w:r>
          </w:p>
        </w:tc>
        <w:tc>
          <w:tcPr>
            <w:tcW w:w="948" w:type="dxa"/>
            <w:vAlign w:val="center"/>
          </w:tcPr>
          <w:p w14:paraId="2176AF48">
            <w:pPr>
              <w:ind w:left="-105" w:right="-105"/>
              <w:jc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0.47</w:t>
            </w:r>
          </w:p>
        </w:tc>
        <w:tc>
          <w:tcPr>
            <w:tcW w:w="1043" w:type="dxa"/>
            <w:vMerge w:val="restart"/>
            <w:vAlign w:val="center"/>
          </w:tcPr>
          <w:p w14:paraId="6C21BF7C">
            <w:pPr>
              <w:ind w:left="-105" w:right="-105"/>
              <w:jc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边界</w:t>
            </w:r>
            <w:r>
              <w:rPr>
                <w:rFonts w:ascii="Times New Roman" w:hAnsi="Times New Roman"/>
                <w:color w:val="auto"/>
                <w:sz w:val="21"/>
                <w:szCs w:val="21"/>
                <w:highlight w:val="none"/>
              </w:rPr>
              <w:t>外浓度最高点</w:t>
            </w:r>
          </w:p>
        </w:tc>
        <w:tc>
          <w:tcPr>
            <w:tcW w:w="1380" w:type="dxa"/>
            <w:vAlign w:val="center"/>
          </w:tcPr>
          <w:p w14:paraId="488C6B52">
            <w:pPr>
              <w:ind w:left="-105" w:right="-105"/>
              <w:jc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0.12</w:t>
            </w:r>
          </w:p>
        </w:tc>
        <w:tc>
          <w:tcPr>
            <w:tcW w:w="2090" w:type="dxa"/>
            <w:vMerge w:val="restart"/>
            <w:vAlign w:val="center"/>
          </w:tcPr>
          <w:p w14:paraId="06D458BE">
            <w:pPr>
              <w:ind w:left="-105" w:right="-105"/>
              <w:jc w:val="center"/>
              <w:rPr>
                <w:rFonts w:ascii="Times New Roman" w:hAnsi="Times New Roman"/>
                <w:color w:val="auto"/>
                <w:sz w:val="21"/>
                <w:szCs w:val="21"/>
                <w:highlight w:val="none"/>
              </w:rPr>
            </w:pPr>
            <w:r>
              <w:rPr>
                <w:rFonts w:ascii="Times New Roman" w:hAnsi="Times New Roman"/>
                <w:color w:val="auto"/>
                <w:sz w:val="21"/>
                <w:szCs w:val="21"/>
                <w:highlight w:val="none"/>
              </w:rPr>
              <w:t>《大气污染物综合排放标准》(</w:t>
            </w:r>
            <w:r>
              <w:rPr>
                <w:rFonts w:hint="eastAsia" w:ascii="Times New Roman" w:hAnsi="Times New Roman"/>
                <w:color w:val="auto"/>
                <w:sz w:val="21"/>
                <w:szCs w:val="21"/>
                <w:highlight w:val="none"/>
              </w:rPr>
              <w:t>DB32/4041-2021</w:t>
            </w:r>
            <w:r>
              <w:rPr>
                <w:rFonts w:ascii="Times New Roman" w:hAnsi="Times New Roman"/>
                <w:color w:val="auto"/>
                <w:sz w:val="21"/>
                <w:szCs w:val="21"/>
                <w:highlight w:val="none"/>
              </w:rPr>
              <w:t>)</w:t>
            </w:r>
          </w:p>
        </w:tc>
      </w:tr>
      <w:tr w14:paraId="1F670BE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42" w:type="dxa"/>
            <w:vAlign w:val="center"/>
          </w:tcPr>
          <w:p w14:paraId="5E89B9D0">
            <w:pPr>
              <w:ind w:left="-105" w:right="-105"/>
              <w:jc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非甲烷总烃（其它）</w:t>
            </w:r>
          </w:p>
        </w:tc>
        <w:tc>
          <w:tcPr>
            <w:tcW w:w="1126" w:type="dxa"/>
            <w:vAlign w:val="center"/>
          </w:tcPr>
          <w:p w14:paraId="221A2E33">
            <w:pPr>
              <w:ind w:left="-105" w:right="-105"/>
              <w:jc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60</w:t>
            </w:r>
          </w:p>
        </w:tc>
        <w:tc>
          <w:tcPr>
            <w:tcW w:w="899" w:type="dxa"/>
            <w:vAlign w:val="center"/>
          </w:tcPr>
          <w:p w14:paraId="0F078119">
            <w:pPr>
              <w:ind w:left="-105" w:right="-105"/>
              <w:jc w:val="center"/>
              <w:rPr>
                <w:rStyle w:val="111"/>
                <w:rFonts w:ascii="Times New Roman" w:hAnsi="Times New Roman"/>
                <w:color w:val="auto"/>
                <w:sz w:val="21"/>
                <w:szCs w:val="21"/>
                <w:highlight w:val="none"/>
              </w:rPr>
            </w:pPr>
            <w:r>
              <w:rPr>
                <w:rStyle w:val="111"/>
                <w:rFonts w:hint="eastAsia" w:ascii="Times New Roman" w:hAnsi="Times New Roman"/>
                <w:color w:val="auto"/>
                <w:sz w:val="21"/>
                <w:szCs w:val="21"/>
                <w:highlight w:val="none"/>
              </w:rPr>
              <w:t>20</w:t>
            </w:r>
          </w:p>
        </w:tc>
        <w:tc>
          <w:tcPr>
            <w:tcW w:w="948" w:type="dxa"/>
            <w:vAlign w:val="center"/>
          </w:tcPr>
          <w:p w14:paraId="7327A879">
            <w:pPr>
              <w:ind w:left="-105" w:right="-105"/>
              <w:jc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3</w:t>
            </w:r>
          </w:p>
        </w:tc>
        <w:tc>
          <w:tcPr>
            <w:tcW w:w="1043" w:type="dxa"/>
            <w:vMerge w:val="continue"/>
            <w:vAlign w:val="center"/>
          </w:tcPr>
          <w:p w14:paraId="6065DD4C">
            <w:pPr>
              <w:ind w:left="-105" w:right="-105"/>
              <w:jc w:val="center"/>
              <w:rPr>
                <w:rFonts w:ascii="Times New Roman" w:hAnsi="Times New Roman"/>
                <w:color w:val="auto"/>
                <w:sz w:val="21"/>
                <w:szCs w:val="21"/>
                <w:highlight w:val="none"/>
              </w:rPr>
            </w:pPr>
          </w:p>
        </w:tc>
        <w:tc>
          <w:tcPr>
            <w:tcW w:w="1380" w:type="dxa"/>
            <w:vAlign w:val="center"/>
          </w:tcPr>
          <w:p w14:paraId="3FFCD046">
            <w:pPr>
              <w:ind w:left="-105" w:right="-105"/>
              <w:jc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4</w:t>
            </w:r>
          </w:p>
        </w:tc>
        <w:tc>
          <w:tcPr>
            <w:tcW w:w="2090" w:type="dxa"/>
            <w:vMerge w:val="continue"/>
            <w:vAlign w:val="center"/>
          </w:tcPr>
          <w:p w14:paraId="1DC6F982">
            <w:pPr>
              <w:ind w:left="-105" w:right="-105"/>
              <w:jc w:val="center"/>
              <w:rPr>
                <w:rFonts w:ascii="Times New Roman" w:hAnsi="Times New Roman"/>
                <w:color w:val="auto"/>
                <w:sz w:val="21"/>
                <w:szCs w:val="21"/>
                <w:highlight w:val="none"/>
              </w:rPr>
            </w:pPr>
          </w:p>
        </w:tc>
      </w:tr>
      <w:tr w14:paraId="3050C74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42" w:type="dxa"/>
            <w:vAlign w:val="center"/>
          </w:tcPr>
          <w:p w14:paraId="07DC3BF4">
            <w:pPr>
              <w:ind w:left="-105" w:right="-105"/>
              <w:jc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甲醇</w:t>
            </w:r>
          </w:p>
        </w:tc>
        <w:tc>
          <w:tcPr>
            <w:tcW w:w="1126" w:type="dxa"/>
            <w:vAlign w:val="center"/>
          </w:tcPr>
          <w:p w14:paraId="0631187D">
            <w:pPr>
              <w:ind w:left="-105" w:right="-105"/>
              <w:jc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50</w:t>
            </w:r>
          </w:p>
        </w:tc>
        <w:tc>
          <w:tcPr>
            <w:tcW w:w="899" w:type="dxa"/>
            <w:vAlign w:val="center"/>
          </w:tcPr>
          <w:p w14:paraId="139EC1B3">
            <w:pPr>
              <w:ind w:left="-105" w:right="-105"/>
              <w:jc w:val="center"/>
              <w:rPr>
                <w:rStyle w:val="111"/>
                <w:rFonts w:ascii="Times New Roman" w:hAnsi="Times New Roman"/>
                <w:color w:val="auto"/>
                <w:sz w:val="21"/>
                <w:szCs w:val="21"/>
                <w:highlight w:val="none"/>
              </w:rPr>
            </w:pPr>
            <w:r>
              <w:rPr>
                <w:rStyle w:val="111"/>
                <w:rFonts w:hint="eastAsia" w:ascii="Times New Roman" w:hAnsi="Times New Roman"/>
                <w:color w:val="auto"/>
                <w:sz w:val="21"/>
                <w:szCs w:val="21"/>
                <w:highlight w:val="none"/>
              </w:rPr>
              <w:t>20</w:t>
            </w:r>
          </w:p>
        </w:tc>
        <w:tc>
          <w:tcPr>
            <w:tcW w:w="948" w:type="dxa"/>
            <w:vAlign w:val="center"/>
          </w:tcPr>
          <w:p w14:paraId="5D7246B8">
            <w:pPr>
              <w:ind w:left="-105" w:right="-105"/>
              <w:jc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1.8</w:t>
            </w:r>
          </w:p>
        </w:tc>
        <w:tc>
          <w:tcPr>
            <w:tcW w:w="1043" w:type="dxa"/>
            <w:vMerge w:val="continue"/>
            <w:vAlign w:val="center"/>
          </w:tcPr>
          <w:p w14:paraId="2BC612A9">
            <w:pPr>
              <w:ind w:left="-105" w:right="-105"/>
              <w:jc w:val="center"/>
              <w:rPr>
                <w:rFonts w:ascii="Times New Roman" w:hAnsi="Times New Roman"/>
                <w:color w:val="auto"/>
                <w:sz w:val="21"/>
                <w:szCs w:val="21"/>
                <w:highlight w:val="none"/>
              </w:rPr>
            </w:pPr>
          </w:p>
        </w:tc>
        <w:tc>
          <w:tcPr>
            <w:tcW w:w="1380" w:type="dxa"/>
            <w:vAlign w:val="center"/>
          </w:tcPr>
          <w:p w14:paraId="0F54D273">
            <w:pPr>
              <w:ind w:left="-105" w:right="-105"/>
              <w:jc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1</w:t>
            </w:r>
          </w:p>
        </w:tc>
        <w:tc>
          <w:tcPr>
            <w:tcW w:w="2090" w:type="dxa"/>
            <w:vMerge w:val="continue"/>
            <w:vAlign w:val="center"/>
          </w:tcPr>
          <w:p w14:paraId="12C154A3">
            <w:pPr>
              <w:ind w:left="-105" w:right="-105"/>
              <w:jc w:val="center"/>
              <w:rPr>
                <w:rFonts w:ascii="Times New Roman" w:hAnsi="Times New Roman"/>
                <w:color w:val="auto"/>
                <w:sz w:val="21"/>
                <w:szCs w:val="21"/>
                <w:highlight w:val="none"/>
              </w:rPr>
            </w:pPr>
          </w:p>
        </w:tc>
      </w:tr>
    </w:tbl>
    <w:p w14:paraId="712BC89A">
      <w:pPr>
        <w:tabs>
          <w:tab w:val="left" w:pos="993"/>
          <w:tab w:val="left" w:pos="1276"/>
        </w:tabs>
        <w:spacing w:line="360" w:lineRule="auto"/>
        <w:ind w:left="-105" w:right="-105" w:firstLine="480"/>
        <w:rPr>
          <w:rFonts w:ascii="Times New Roman" w:hAnsi="Times New Roman" w:cs="Times New Roman"/>
          <w:color w:val="auto"/>
          <w:highlight w:val="none"/>
        </w:rPr>
      </w:pPr>
      <w:r>
        <w:rPr>
          <w:rFonts w:ascii="Times New Roman" w:hAnsi="Times New Roman" w:cs="Times New Roman"/>
          <w:color w:val="auto"/>
          <w:highlight w:val="none"/>
        </w:rPr>
        <w:t>厂区内挥发性有机物执行《</w:t>
      </w:r>
      <w:r>
        <w:rPr>
          <w:rFonts w:ascii="Times New Roman" w:hAnsi="Times New Roman" w:cs="Times New Roman"/>
          <w:color w:val="auto"/>
          <w:highlight w:val="none"/>
          <w:lang w:val="zh-TW"/>
        </w:rPr>
        <w:t>大气污染物综合排放标准》</w:t>
      </w:r>
      <w:r>
        <w:rPr>
          <w:rFonts w:ascii="Times New Roman" w:hAnsi="Times New Roman" w:cs="Times New Roman"/>
          <w:color w:val="auto"/>
          <w:highlight w:val="none"/>
        </w:rPr>
        <w:t>（DB32/4041-2021)</w:t>
      </w:r>
      <w:r>
        <w:rPr>
          <w:rFonts w:ascii="Times New Roman" w:hAnsi="Times New Roman" w:cs="Times New Roman"/>
          <w:color w:val="auto"/>
          <w:highlight w:val="none"/>
          <w:lang w:val="zh-TW"/>
        </w:rPr>
        <w:t>表</w:t>
      </w:r>
      <w:r>
        <w:rPr>
          <w:rFonts w:ascii="Times New Roman" w:hAnsi="Times New Roman" w:cs="Times New Roman"/>
          <w:color w:val="auto"/>
          <w:highlight w:val="none"/>
        </w:rPr>
        <w:t>2中标准限值要求</w:t>
      </w:r>
      <w:r>
        <w:rPr>
          <w:rFonts w:hint="eastAsia" w:ascii="Times New Roman" w:hAnsi="Times New Roman" w:cs="Times New Roman"/>
          <w:color w:val="auto"/>
          <w:highlight w:val="none"/>
        </w:rPr>
        <w:t>。</w:t>
      </w:r>
    </w:p>
    <w:p w14:paraId="24D528AB">
      <w:pPr>
        <w:pStyle w:val="15"/>
        <w:spacing w:line="360" w:lineRule="auto"/>
        <w:ind w:left="-105" w:right="-105" w:firstLine="482"/>
        <w:rPr>
          <w:rFonts w:eastAsia="宋体"/>
          <w:color w:val="auto"/>
          <w:highlight w:val="none"/>
        </w:rPr>
      </w:pPr>
      <w:r>
        <w:rPr>
          <w:rFonts w:eastAsia="宋体"/>
          <w:color w:val="auto"/>
          <w:sz w:val="24"/>
          <w:szCs w:val="24"/>
          <w:highlight w:val="none"/>
        </w:rPr>
        <w:t>表</w:t>
      </w:r>
      <w:r>
        <w:rPr>
          <w:rFonts w:eastAsia="宋体"/>
          <w:color w:val="auto"/>
          <w:sz w:val="24"/>
          <w:szCs w:val="24"/>
          <w:highlight w:val="none"/>
        </w:rPr>
        <w:fldChar w:fldCharType="begin"/>
      </w:r>
      <w:r>
        <w:rPr>
          <w:rFonts w:eastAsia="宋体"/>
          <w:color w:val="auto"/>
          <w:sz w:val="24"/>
          <w:szCs w:val="24"/>
          <w:highlight w:val="none"/>
        </w:rPr>
        <w:instrText xml:space="preserve"> STYLEREF 2 \s </w:instrText>
      </w:r>
      <w:r>
        <w:rPr>
          <w:rFonts w:eastAsia="宋体"/>
          <w:color w:val="auto"/>
          <w:sz w:val="24"/>
          <w:szCs w:val="24"/>
          <w:highlight w:val="none"/>
        </w:rPr>
        <w:fldChar w:fldCharType="separate"/>
      </w:r>
      <w:r>
        <w:rPr>
          <w:rFonts w:eastAsia="宋体"/>
          <w:color w:val="auto"/>
          <w:sz w:val="24"/>
          <w:szCs w:val="24"/>
          <w:highlight w:val="none"/>
        </w:rPr>
        <w:t>2.3</w:t>
      </w:r>
      <w:r>
        <w:rPr>
          <w:rFonts w:eastAsia="宋体"/>
          <w:color w:val="auto"/>
          <w:sz w:val="24"/>
          <w:szCs w:val="24"/>
          <w:highlight w:val="none"/>
        </w:rPr>
        <w:fldChar w:fldCharType="end"/>
      </w:r>
      <w:r>
        <w:rPr>
          <w:rFonts w:eastAsia="宋体"/>
          <w:color w:val="auto"/>
          <w:sz w:val="24"/>
          <w:szCs w:val="24"/>
          <w:highlight w:val="none"/>
        </w:rPr>
        <w:noBreakHyphen/>
      </w:r>
      <w:r>
        <w:rPr>
          <w:rFonts w:eastAsia="宋体"/>
          <w:color w:val="auto"/>
          <w:sz w:val="24"/>
          <w:szCs w:val="24"/>
          <w:highlight w:val="none"/>
        </w:rPr>
        <w:fldChar w:fldCharType="begin"/>
      </w:r>
      <w:r>
        <w:rPr>
          <w:rFonts w:eastAsia="宋体"/>
          <w:color w:val="auto"/>
          <w:sz w:val="24"/>
          <w:szCs w:val="24"/>
          <w:highlight w:val="none"/>
        </w:rPr>
        <w:instrText xml:space="preserve"> SEQ 表 \* ARABIC \s 2 </w:instrText>
      </w:r>
      <w:r>
        <w:rPr>
          <w:rFonts w:eastAsia="宋体"/>
          <w:color w:val="auto"/>
          <w:sz w:val="24"/>
          <w:szCs w:val="24"/>
          <w:highlight w:val="none"/>
        </w:rPr>
        <w:fldChar w:fldCharType="separate"/>
      </w:r>
      <w:r>
        <w:rPr>
          <w:rFonts w:eastAsia="宋体"/>
          <w:color w:val="auto"/>
          <w:sz w:val="24"/>
          <w:szCs w:val="24"/>
          <w:highlight w:val="none"/>
        </w:rPr>
        <w:t>9</w:t>
      </w:r>
      <w:r>
        <w:rPr>
          <w:rFonts w:eastAsia="宋体"/>
          <w:color w:val="auto"/>
          <w:sz w:val="24"/>
          <w:szCs w:val="24"/>
          <w:highlight w:val="none"/>
        </w:rPr>
        <w:fldChar w:fldCharType="end"/>
      </w:r>
      <w:r>
        <w:rPr>
          <w:rFonts w:eastAsia="宋体"/>
          <w:color w:val="auto"/>
          <w:sz w:val="24"/>
          <w:szCs w:val="24"/>
          <w:highlight w:val="none"/>
        </w:rPr>
        <w:t>厂区内挥发性有机物无组织排放限值</w:t>
      </w:r>
    </w:p>
    <w:tbl>
      <w:tblPr>
        <w:tblStyle w:val="45"/>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309"/>
        <w:gridCol w:w="1471"/>
        <w:gridCol w:w="2532"/>
        <w:gridCol w:w="1286"/>
        <w:gridCol w:w="2122"/>
      </w:tblGrid>
      <w:tr w14:paraId="5554637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08" w:type="dxa"/>
            <w:tcBorders>
              <w:top w:val="single" w:color="auto" w:sz="12" w:space="0"/>
              <w:left w:val="nil"/>
              <w:bottom w:val="single" w:color="auto" w:sz="4" w:space="0"/>
              <w:right w:val="single" w:color="auto" w:sz="4" w:space="0"/>
            </w:tcBorders>
            <w:vAlign w:val="center"/>
          </w:tcPr>
          <w:p w14:paraId="4D230566">
            <w:pPr>
              <w:ind w:left="-105" w:right="-105"/>
              <w:jc w:val="center"/>
              <w:rPr>
                <w:rFonts w:ascii="Times New Roman" w:hAnsi="Times New Roman" w:cs="Times New Roman"/>
                <w:b/>
                <w:color w:val="auto"/>
                <w:sz w:val="21"/>
                <w:szCs w:val="21"/>
                <w:highlight w:val="none"/>
              </w:rPr>
            </w:pPr>
            <w:r>
              <w:rPr>
                <w:rFonts w:ascii="Times New Roman" w:hAnsi="Times New Roman" w:cs="Times New Roman"/>
                <w:b/>
                <w:color w:val="auto"/>
                <w:sz w:val="21"/>
                <w:szCs w:val="21"/>
                <w:highlight w:val="none"/>
              </w:rPr>
              <w:t>污染物项目</w:t>
            </w:r>
          </w:p>
        </w:tc>
        <w:tc>
          <w:tcPr>
            <w:tcW w:w="1471" w:type="dxa"/>
            <w:tcBorders>
              <w:top w:val="single" w:color="auto" w:sz="12" w:space="0"/>
              <w:left w:val="single" w:color="auto" w:sz="4" w:space="0"/>
              <w:bottom w:val="single" w:color="auto" w:sz="4" w:space="0"/>
              <w:right w:val="single" w:color="auto" w:sz="4" w:space="0"/>
            </w:tcBorders>
            <w:vAlign w:val="center"/>
          </w:tcPr>
          <w:p w14:paraId="7125193E">
            <w:pPr>
              <w:ind w:left="-105" w:right="-105"/>
              <w:jc w:val="center"/>
              <w:rPr>
                <w:rFonts w:ascii="Times New Roman" w:hAnsi="Times New Roman" w:cs="Times New Roman"/>
                <w:b/>
                <w:color w:val="auto"/>
                <w:sz w:val="21"/>
                <w:szCs w:val="21"/>
                <w:highlight w:val="none"/>
              </w:rPr>
            </w:pPr>
            <w:r>
              <w:rPr>
                <w:rFonts w:ascii="Times New Roman" w:hAnsi="Times New Roman" w:cs="Times New Roman"/>
                <w:b/>
                <w:color w:val="auto"/>
                <w:sz w:val="21"/>
                <w:szCs w:val="21"/>
                <w:highlight w:val="none"/>
              </w:rPr>
              <w:t>特别排放限值</w:t>
            </w:r>
            <w:r>
              <w:rPr>
                <w:rFonts w:ascii="Times New Roman" w:hAnsi="Times New Roman" w:cs="Times New Roman"/>
                <w:b/>
                <w:bCs/>
                <w:color w:val="auto"/>
                <w:sz w:val="21"/>
                <w:szCs w:val="21"/>
                <w:highlight w:val="none"/>
              </w:rPr>
              <w:t>（mg/m</w:t>
            </w:r>
            <w:r>
              <w:rPr>
                <w:rFonts w:ascii="Times New Roman" w:hAnsi="Times New Roman" w:cs="Times New Roman"/>
                <w:b/>
                <w:bCs/>
                <w:color w:val="auto"/>
                <w:sz w:val="21"/>
                <w:szCs w:val="21"/>
                <w:highlight w:val="none"/>
                <w:vertAlign w:val="superscript"/>
              </w:rPr>
              <w:t>3</w:t>
            </w:r>
            <w:r>
              <w:rPr>
                <w:rFonts w:ascii="Times New Roman" w:hAnsi="Times New Roman" w:cs="Times New Roman"/>
                <w:b/>
                <w:bCs/>
                <w:color w:val="auto"/>
                <w:sz w:val="21"/>
                <w:szCs w:val="21"/>
                <w:highlight w:val="none"/>
              </w:rPr>
              <w:t>）</w:t>
            </w:r>
          </w:p>
        </w:tc>
        <w:tc>
          <w:tcPr>
            <w:tcW w:w="2535" w:type="dxa"/>
            <w:tcBorders>
              <w:top w:val="single" w:color="auto" w:sz="12" w:space="0"/>
              <w:left w:val="single" w:color="auto" w:sz="4" w:space="0"/>
              <w:bottom w:val="single" w:color="auto" w:sz="4" w:space="0"/>
              <w:right w:val="single" w:color="auto" w:sz="4" w:space="0"/>
            </w:tcBorders>
            <w:vAlign w:val="center"/>
          </w:tcPr>
          <w:p w14:paraId="398B12D4">
            <w:pPr>
              <w:ind w:left="-105" w:right="-105"/>
              <w:jc w:val="center"/>
              <w:rPr>
                <w:rFonts w:ascii="Times New Roman" w:hAnsi="Times New Roman" w:cs="Times New Roman"/>
                <w:b/>
                <w:color w:val="auto"/>
                <w:sz w:val="21"/>
                <w:szCs w:val="21"/>
                <w:highlight w:val="none"/>
              </w:rPr>
            </w:pPr>
            <w:r>
              <w:rPr>
                <w:rFonts w:ascii="Times New Roman" w:hAnsi="Times New Roman" w:cs="Times New Roman"/>
                <w:b/>
                <w:color w:val="auto"/>
                <w:sz w:val="21"/>
                <w:szCs w:val="21"/>
                <w:highlight w:val="none"/>
              </w:rPr>
              <w:t>限值含义</w:t>
            </w:r>
          </w:p>
        </w:tc>
        <w:tc>
          <w:tcPr>
            <w:tcW w:w="1284" w:type="dxa"/>
            <w:tcBorders>
              <w:top w:val="single" w:color="auto" w:sz="12" w:space="0"/>
              <w:left w:val="single" w:color="auto" w:sz="4" w:space="0"/>
              <w:bottom w:val="single" w:color="auto" w:sz="4" w:space="0"/>
              <w:right w:val="single" w:color="auto" w:sz="4" w:space="0"/>
            </w:tcBorders>
            <w:vAlign w:val="center"/>
          </w:tcPr>
          <w:p w14:paraId="3EF4CFAC">
            <w:pPr>
              <w:ind w:left="-105" w:right="-105"/>
              <w:jc w:val="center"/>
              <w:rPr>
                <w:rFonts w:ascii="Times New Roman" w:hAnsi="Times New Roman" w:cs="Times New Roman"/>
                <w:b/>
                <w:color w:val="auto"/>
                <w:sz w:val="21"/>
                <w:szCs w:val="21"/>
                <w:highlight w:val="none"/>
              </w:rPr>
            </w:pPr>
            <w:r>
              <w:rPr>
                <w:rFonts w:ascii="Times New Roman" w:hAnsi="Times New Roman" w:cs="Times New Roman"/>
                <w:b/>
                <w:color w:val="auto"/>
                <w:sz w:val="21"/>
                <w:szCs w:val="21"/>
                <w:highlight w:val="none"/>
              </w:rPr>
              <w:t>无组织排放监控位置</w:t>
            </w:r>
          </w:p>
        </w:tc>
        <w:tc>
          <w:tcPr>
            <w:tcW w:w="2123" w:type="dxa"/>
            <w:tcBorders>
              <w:top w:val="single" w:color="auto" w:sz="12" w:space="0"/>
              <w:left w:val="single" w:color="auto" w:sz="4" w:space="0"/>
              <w:bottom w:val="single" w:color="auto" w:sz="4" w:space="0"/>
              <w:right w:val="nil"/>
            </w:tcBorders>
            <w:vAlign w:val="center"/>
          </w:tcPr>
          <w:p w14:paraId="151C5CC5">
            <w:pPr>
              <w:ind w:left="-105" w:right="-105"/>
              <w:jc w:val="center"/>
              <w:rPr>
                <w:rFonts w:ascii="Times New Roman" w:hAnsi="Times New Roman" w:cs="Times New Roman"/>
                <w:b/>
                <w:color w:val="auto"/>
                <w:sz w:val="21"/>
                <w:szCs w:val="21"/>
                <w:highlight w:val="none"/>
              </w:rPr>
            </w:pPr>
            <w:r>
              <w:rPr>
                <w:rFonts w:ascii="Times New Roman" w:hAnsi="Times New Roman" w:cs="Times New Roman"/>
                <w:b/>
                <w:bCs/>
                <w:color w:val="auto"/>
                <w:sz w:val="21"/>
                <w:szCs w:val="21"/>
                <w:highlight w:val="none"/>
              </w:rPr>
              <w:t>标准来源</w:t>
            </w:r>
          </w:p>
        </w:tc>
      </w:tr>
      <w:tr w14:paraId="6973764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08" w:type="dxa"/>
            <w:tcBorders>
              <w:top w:val="single" w:color="auto" w:sz="4" w:space="0"/>
              <w:left w:val="nil"/>
              <w:bottom w:val="single" w:color="auto" w:sz="4" w:space="0"/>
              <w:right w:val="single" w:color="auto" w:sz="4" w:space="0"/>
            </w:tcBorders>
            <w:vAlign w:val="center"/>
          </w:tcPr>
          <w:p w14:paraId="1B0395A3">
            <w:pPr>
              <w:ind w:left="-105" w:right="-105"/>
              <w:jc w:val="center"/>
              <w:rPr>
                <w:rFonts w:ascii="Times New Roman" w:hAnsi="Times New Roman" w:cs="Times New Roman"/>
                <w:bCs/>
                <w:color w:val="auto"/>
                <w:sz w:val="21"/>
                <w:szCs w:val="21"/>
                <w:highlight w:val="none"/>
              </w:rPr>
            </w:pPr>
            <w:r>
              <w:rPr>
                <w:rFonts w:ascii="Times New Roman" w:hAnsi="Times New Roman" w:cs="Times New Roman"/>
                <w:bCs/>
                <w:color w:val="auto"/>
                <w:sz w:val="21"/>
                <w:szCs w:val="21"/>
                <w:highlight w:val="none"/>
              </w:rPr>
              <w:t>NMHC</w:t>
            </w:r>
          </w:p>
        </w:tc>
        <w:tc>
          <w:tcPr>
            <w:tcW w:w="1471" w:type="dxa"/>
            <w:tcBorders>
              <w:top w:val="single" w:color="auto" w:sz="4" w:space="0"/>
              <w:left w:val="single" w:color="auto" w:sz="4" w:space="0"/>
              <w:bottom w:val="single" w:color="auto" w:sz="4" w:space="0"/>
              <w:right w:val="single" w:color="auto" w:sz="4" w:space="0"/>
            </w:tcBorders>
            <w:vAlign w:val="center"/>
          </w:tcPr>
          <w:p w14:paraId="6D4AC132">
            <w:pPr>
              <w:ind w:left="-105" w:right="-105"/>
              <w:jc w:val="center"/>
              <w:rPr>
                <w:rFonts w:ascii="Times New Roman" w:hAnsi="Times New Roman" w:cs="Times New Roman"/>
                <w:bCs/>
                <w:color w:val="auto"/>
                <w:sz w:val="21"/>
                <w:szCs w:val="21"/>
                <w:highlight w:val="none"/>
              </w:rPr>
            </w:pPr>
            <w:r>
              <w:rPr>
                <w:rFonts w:ascii="Times New Roman" w:hAnsi="Times New Roman" w:cs="Times New Roman"/>
                <w:bCs/>
                <w:color w:val="auto"/>
                <w:sz w:val="21"/>
                <w:szCs w:val="21"/>
                <w:highlight w:val="none"/>
              </w:rPr>
              <w:t>6</w:t>
            </w:r>
          </w:p>
        </w:tc>
        <w:tc>
          <w:tcPr>
            <w:tcW w:w="2535" w:type="dxa"/>
            <w:tcBorders>
              <w:top w:val="single" w:color="auto" w:sz="4" w:space="0"/>
              <w:left w:val="single" w:color="auto" w:sz="4" w:space="0"/>
              <w:bottom w:val="single" w:color="auto" w:sz="4" w:space="0"/>
              <w:right w:val="single" w:color="auto" w:sz="4" w:space="0"/>
            </w:tcBorders>
            <w:vAlign w:val="center"/>
          </w:tcPr>
          <w:p w14:paraId="24AA44AE">
            <w:pPr>
              <w:ind w:left="-105" w:right="-105"/>
              <w:jc w:val="center"/>
              <w:rPr>
                <w:rFonts w:ascii="Times New Roman" w:hAnsi="Times New Roman" w:cs="Times New Roman"/>
                <w:bCs/>
                <w:color w:val="auto"/>
                <w:sz w:val="21"/>
                <w:szCs w:val="21"/>
                <w:highlight w:val="none"/>
              </w:rPr>
            </w:pPr>
            <w:r>
              <w:rPr>
                <w:rFonts w:ascii="Times New Roman" w:hAnsi="Times New Roman" w:cs="Times New Roman"/>
                <w:bCs/>
                <w:color w:val="auto"/>
                <w:sz w:val="21"/>
                <w:szCs w:val="21"/>
                <w:highlight w:val="none"/>
              </w:rPr>
              <w:t>监控点处1h平均浓度值</w:t>
            </w:r>
          </w:p>
        </w:tc>
        <w:tc>
          <w:tcPr>
            <w:tcW w:w="1284" w:type="dxa"/>
            <w:vMerge w:val="restart"/>
            <w:tcBorders>
              <w:top w:val="single" w:color="auto" w:sz="4" w:space="0"/>
              <w:left w:val="single" w:color="auto" w:sz="4" w:space="0"/>
              <w:right w:val="single" w:color="auto" w:sz="4" w:space="0"/>
            </w:tcBorders>
            <w:vAlign w:val="center"/>
          </w:tcPr>
          <w:p w14:paraId="63F6B5BB">
            <w:pPr>
              <w:ind w:left="-105" w:right="-105"/>
              <w:jc w:val="center"/>
              <w:rPr>
                <w:rFonts w:ascii="Times New Roman" w:hAnsi="Times New Roman" w:cs="Times New Roman"/>
                <w:b/>
                <w:color w:val="auto"/>
                <w:sz w:val="21"/>
                <w:szCs w:val="21"/>
                <w:highlight w:val="none"/>
              </w:rPr>
            </w:pPr>
            <w:r>
              <w:rPr>
                <w:rFonts w:ascii="Times New Roman" w:hAnsi="Times New Roman" w:cs="Times New Roman"/>
                <w:bCs/>
                <w:color w:val="auto"/>
                <w:sz w:val="21"/>
                <w:szCs w:val="21"/>
                <w:highlight w:val="none"/>
              </w:rPr>
              <w:t>在厂房外设置监控点</w:t>
            </w:r>
          </w:p>
        </w:tc>
        <w:tc>
          <w:tcPr>
            <w:tcW w:w="2123" w:type="dxa"/>
            <w:vMerge w:val="restart"/>
            <w:tcBorders>
              <w:top w:val="single" w:color="auto" w:sz="4" w:space="0"/>
              <w:left w:val="single" w:color="auto" w:sz="4" w:space="0"/>
              <w:bottom w:val="single" w:color="auto" w:sz="12" w:space="0"/>
              <w:right w:val="nil"/>
            </w:tcBorders>
            <w:vAlign w:val="center"/>
          </w:tcPr>
          <w:p w14:paraId="20751E0B">
            <w:pPr>
              <w:ind w:left="-105" w:right="-105"/>
              <w:jc w:val="center"/>
              <w:rPr>
                <w:rFonts w:ascii="Times New Roman" w:hAnsi="Times New Roman" w:cs="Times New Roman"/>
                <w:bCs/>
                <w:color w:val="auto"/>
                <w:sz w:val="21"/>
                <w:szCs w:val="21"/>
                <w:highlight w:val="none"/>
              </w:rPr>
            </w:pPr>
            <w:r>
              <w:rPr>
                <w:rFonts w:ascii="Times New Roman" w:hAnsi="Times New Roman" w:cs="Times New Roman"/>
                <w:bCs/>
                <w:color w:val="auto"/>
                <w:sz w:val="21"/>
                <w:szCs w:val="21"/>
                <w:highlight w:val="none"/>
              </w:rPr>
              <w:t>《大气污染物综合排放标准》（DB32/4041-2021)</w:t>
            </w:r>
          </w:p>
        </w:tc>
      </w:tr>
      <w:tr w14:paraId="07C2CA3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08" w:type="dxa"/>
            <w:tcBorders>
              <w:top w:val="single" w:color="auto" w:sz="4" w:space="0"/>
              <w:left w:val="nil"/>
              <w:bottom w:val="single" w:color="auto" w:sz="12" w:space="0"/>
              <w:right w:val="single" w:color="auto" w:sz="4" w:space="0"/>
            </w:tcBorders>
            <w:vAlign w:val="center"/>
          </w:tcPr>
          <w:p w14:paraId="71DE8116">
            <w:pPr>
              <w:ind w:left="-105" w:right="-105"/>
              <w:jc w:val="center"/>
              <w:rPr>
                <w:rFonts w:ascii="Times New Roman" w:hAnsi="Times New Roman" w:cs="Times New Roman"/>
                <w:bCs/>
                <w:color w:val="auto"/>
                <w:sz w:val="21"/>
                <w:szCs w:val="21"/>
                <w:highlight w:val="none"/>
              </w:rPr>
            </w:pPr>
            <w:r>
              <w:rPr>
                <w:rFonts w:ascii="Times New Roman" w:hAnsi="Times New Roman" w:cs="Times New Roman"/>
                <w:bCs/>
                <w:color w:val="auto"/>
                <w:sz w:val="21"/>
                <w:szCs w:val="21"/>
                <w:highlight w:val="none"/>
              </w:rPr>
              <w:t>NMHC</w:t>
            </w:r>
          </w:p>
        </w:tc>
        <w:tc>
          <w:tcPr>
            <w:tcW w:w="1471" w:type="dxa"/>
            <w:tcBorders>
              <w:top w:val="single" w:color="auto" w:sz="4" w:space="0"/>
              <w:left w:val="single" w:color="auto" w:sz="4" w:space="0"/>
              <w:bottom w:val="single" w:color="auto" w:sz="12" w:space="0"/>
              <w:right w:val="single" w:color="auto" w:sz="4" w:space="0"/>
            </w:tcBorders>
            <w:vAlign w:val="center"/>
          </w:tcPr>
          <w:p w14:paraId="74DA7A47">
            <w:pPr>
              <w:ind w:left="-105" w:right="-105"/>
              <w:jc w:val="center"/>
              <w:rPr>
                <w:rFonts w:ascii="Times New Roman" w:hAnsi="Times New Roman" w:cs="Times New Roman"/>
                <w:bCs/>
                <w:color w:val="auto"/>
                <w:sz w:val="21"/>
                <w:szCs w:val="21"/>
                <w:highlight w:val="none"/>
              </w:rPr>
            </w:pPr>
            <w:r>
              <w:rPr>
                <w:rFonts w:ascii="Times New Roman" w:hAnsi="Times New Roman" w:cs="Times New Roman"/>
                <w:bCs/>
                <w:color w:val="auto"/>
                <w:sz w:val="21"/>
                <w:szCs w:val="21"/>
                <w:highlight w:val="none"/>
              </w:rPr>
              <w:t>20</w:t>
            </w:r>
          </w:p>
        </w:tc>
        <w:tc>
          <w:tcPr>
            <w:tcW w:w="2535" w:type="dxa"/>
            <w:tcBorders>
              <w:top w:val="single" w:color="auto" w:sz="4" w:space="0"/>
              <w:left w:val="single" w:color="auto" w:sz="4" w:space="0"/>
              <w:bottom w:val="single" w:color="auto" w:sz="12" w:space="0"/>
              <w:right w:val="single" w:color="auto" w:sz="4" w:space="0"/>
            </w:tcBorders>
            <w:vAlign w:val="center"/>
          </w:tcPr>
          <w:p w14:paraId="1DE7D30F">
            <w:pPr>
              <w:ind w:left="-105" w:right="-105"/>
              <w:jc w:val="center"/>
              <w:rPr>
                <w:rFonts w:ascii="Times New Roman" w:hAnsi="Times New Roman" w:cs="Times New Roman"/>
                <w:bCs/>
                <w:color w:val="auto"/>
                <w:sz w:val="21"/>
                <w:szCs w:val="21"/>
                <w:highlight w:val="none"/>
              </w:rPr>
            </w:pPr>
            <w:r>
              <w:rPr>
                <w:rFonts w:ascii="Times New Roman" w:hAnsi="Times New Roman" w:cs="Times New Roman"/>
                <w:bCs/>
                <w:color w:val="auto"/>
                <w:sz w:val="21"/>
                <w:szCs w:val="21"/>
                <w:highlight w:val="none"/>
              </w:rPr>
              <w:t>监控点处任意一次浓度值</w:t>
            </w:r>
          </w:p>
        </w:tc>
        <w:tc>
          <w:tcPr>
            <w:tcW w:w="1284" w:type="dxa"/>
            <w:vMerge w:val="continue"/>
            <w:tcBorders>
              <w:top w:val="single" w:color="auto" w:sz="4" w:space="0"/>
              <w:left w:val="single" w:color="auto" w:sz="4" w:space="0"/>
              <w:bottom w:val="single" w:color="auto" w:sz="12" w:space="0"/>
              <w:right w:val="single" w:color="auto" w:sz="4" w:space="0"/>
            </w:tcBorders>
            <w:vAlign w:val="center"/>
          </w:tcPr>
          <w:p w14:paraId="2FCF3E43">
            <w:pPr>
              <w:ind w:left="-105" w:right="-105"/>
              <w:jc w:val="center"/>
              <w:rPr>
                <w:rFonts w:ascii="Times New Roman" w:hAnsi="Times New Roman" w:cs="Times New Roman"/>
                <w:b/>
                <w:color w:val="auto"/>
                <w:sz w:val="21"/>
                <w:szCs w:val="21"/>
                <w:highlight w:val="none"/>
              </w:rPr>
            </w:pPr>
          </w:p>
        </w:tc>
        <w:tc>
          <w:tcPr>
            <w:tcW w:w="2123" w:type="dxa"/>
            <w:vMerge w:val="continue"/>
            <w:tcBorders>
              <w:top w:val="single" w:color="auto" w:sz="4" w:space="0"/>
              <w:left w:val="single" w:color="auto" w:sz="4" w:space="0"/>
              <w:bottom w:val="single" w:color="auto" w:sz="12" w:space="0"/>
              <w:right w:val="nil"/>
            </w:tcBorders>
            <w:vAlign w:val="center"/>
          </w:tcPr>
          <w:p w14:paraId="29DD3443">
            <w:pPr>
              <w:ind w:left="-105" w:right="-105"/>
              <w:jc w:val="center"/>
              <w:rPr>
                <w:rFonts w:ascii="Times New Roman" w:hAnsi="Times New Roman" w:cs="Times New Roman"/>
                <w:bCs/>
                <w:color w:val="auto"/>
                <w:sz w:val="21"/>
                <w:szCs w:val="21"/>
                <w:highlight w:val="none"/>
              </w:rPr>
            </w:pPr>
          </w:p>
        </w:tc>
      </w:tr>
    </w:tbl>
    <w:p w14:paraId="06B9223B">
      <w:pPr>
        <w:tabs>
          <w:tab w:val="left" w:pos="993"/>
          <w:tab w:val="left" w:pos="1276"/>
        </w:tabs>
        <w:spacing w:line="360" w:lineRule="auto"/>
        <w:ind w:left="-105" w:right="-105" w:firstLine="480"/>
        <w:rPr>
          <w:rFonts w:ascii="Times New Roman" w:hAnsi="Times New Roman"/>
          <w:color w:val="auto"/>
          <w:highlight w:val="none"/>
        </w:rPr>
      </w:pPr>
      <w:r>
        <w:rPr>
          <w:rFonts w:ascii="Times New Roman" w:hAnsi="Times New Roman"/>
          <w:color w:val="auto"/>
          <w:highlight w:val="none"/>
        </w:rPr>
        <w:t>（2）废水</w:t>
      </w:r>
    </w:p>
    <w:p w14:paraId="45C1A452">
      <w:pPr>
        <w:tabs>
          <w:tab w:val="left" w:pos="993"/>
          <w:tab w:val="left" w:pos="1276"/>
        </w:tabs>
        <w:spacing w:line="360" w:lineRule="auto"/>
        <w:ind w:left="-105" w:right="-105" w:firstLine="480"/>
        <w:jc w:val="both"/>
        <w:rPr>
          <w:rFonts w:ascii="Times New Roman" w:hAnsi="Times New Roman"/>
          <w:color w:val="auto"/>
          <w:highlight w:val="none"/>
        </w:rPr>
      </w:pPr>
      <w:r>
        <w:rPr>
          <w:rFonts w:ascii="Times New Roman" w:hAnsi="Times New Roman"/>
          <w:color w:val="auto"/>
          <w:highlight w:val="none"/>
        </w:rPr>
        <w:t>本项目</w:t>
      </w:r>
      <w:r>
        <w:rPr>
          <w:rFonts w:hint="eastAsia" w:ascii="Times New Roman" w:hAnsi="Times New Roman"/>
          <w:color w:val="auto"/>
          <w:highlight w:val="none"/>
        </w:rPr>
        <w:t>不涉及</w:t>
      </w:r>
      <w:r>
        <w:rPr>
          <w:rFonts w:ascii="Times New Roman" w:hAnsi="Times New Roman"/>
          <w:color w:val="auto"/>
          <w:highlight w:val="none"/>
        </w:rPr>
        <w:t>生活污水</w:t>
      </w:r>
      <w:r>
        <w:rPr>
          <w:rFonts w:hint="eastAsia" w:ascii="Times New Roman" w:hAnsi="Times New Roman"/>
          <w:color w:val="auto"/>
          <w:highlight w:val="none"/>
        </w:rPr>
        <w:t>变动，全厂仅有</w:t>
      </w:r>
      <w:r>
        <w:rPr>
          <w:rFonts w:ascii="Times New Roman" w:hAnsi="Times New Roman" w:cs="Times New Roman"/>
          <w:color w:val="auto"/>
          <w:highlight w:val="none"/>
        </w:rPr>
        <w:t>生活污水经化粪池处理</w:t>
      </w:r>
      <w:r>
        <w:rPr>
          <w:rFonts w:hint="eastAsia" w:ascii="Times New Roman" w:hAnsi="Times New Roman" w:cs="Times New Roman"/>
          <w:color w:val="auto"/>
          <w:highlight w:val="none"/>
        </w:rPr>
        <w:t>后与15分钟初期雨水一并通过污水管网接入无锡先进化药化工有限公司污水处理厂处理后接管排入无锡市锡山云林污水处理有限公司处理。</w:t>
      </w:r>
      <w:r>
        <w:rPr>
          <w:rFonts w:hint="eastAsia" w:ascii="Times New Roman" w:hAnsi="Times New Roman" w:cs="Times New Roman"/>
          <w:color w:val="auto"/>
          <w:highlight w:val="none"/>
        </w:rPr>
        <w:t>由于本项目属于</w:t>
      </w:r>
      <w:r>
        <w:rPr>
          <w:rFonts w:hint="eastAsia" w:ascii="Times New Roman" w:hAnsi="Times New Roman"/>
          <w:color w:val="auto"/>
          <w:szCs w:val="18"/>
          <w:highlight w:val="none"/>
        </w:rPr>
        <w:t>电子专用材料制造</w:t>
      </w:r>
      <w:r>
        <w:rPr>
          <w:rFonts w:hint="eastAsia" w:ascii="Times New Roman" w:hAnsi="Times New Roman"/>
          <w:color w:val="auto"/>
          <w:szCs w:val="18"/>
          <w:highlight w:val="none"/>
        </w:rPr>
        <w:t>，</w:t>
      </w:r>
      <w:r>
        <w:rPr>
          <w:rFonts w:hint="eastAsia" w:ascii="Times New Roman" w:hAnsi="Times New Roman"/>
          <w:color w:val="auto"/>
          <w:szCs w:val="18"/>
          <w:highlight w:val="none"/>
        </w:rPr>
        <w:t>现有项目属于合成树脂行业，故全厂废水</w:t>
      </w:r>
      <w:r>
        <w:rPr>
          <w:rFonts w:hint="eastAsia" w:ascii="Times New Roman" w:hAnsi="Times New Roman" w:cs="Times New Roman"/>
          <w:color w:val="auto"/>
          <w:highlight w:val="none"/>
        </w:rPr>
        <w:t>污染物从严</w:t>
      </w:r>
      <w:r>
        <w:rPr>
          <w:rFonts w:hint="eastAsia" w:ascii="Times New Roman" w:hAnsi="Times New Roman"/>
          <w:color w:val="auto"/>
          <w:highlight w:val="none"/>
        </w:rPr>
        <w:t>执行《合成树脂工业污染物排放标准》（GB31572-2015）表2中标准。</w:t>
      </w:r>
    </w:p>
    <w:p w14:paraId="4A30D21E">
      <w:pPr>
        <w:tabs>
          <w:tab w:val="left" w:pos="993"/>
          <w:tab w:val="left" w:pos="1276"/>
        </w:tabs>
        <w:spacing w:line="360" w:lineRule="auto"/>
        <w:ind w:left="-105" w:right="-105" w:firstLine="480"/>
        <w:jc w:val="both"/>
        <w:rPr>
          <w:rFonts w:ascii="Times New Roman" w:hAnsi="Times New Roman"/>
          <w:color w:val="auto"/>
          <w:highlight w:val="none"/>
        </w:rPr>
      </w:pPr>
      <w:r>
        <w:rPr>
          <w:rFonts w:hint="eastAsia" w:ascii="Times New Roman" w:hAnsi="Times New Roman" w:cs="Times New Roman"/>
          <w:color w:val="auto"/>
          <w:highlight w:val="none"/>
        </w:rPr>
        <w:t>无锡市锡山云林污水处理有限公司</w:t>
      </w:r>
      <w:r>
        <w:rPr>
          <w:rFonts w:ascii="Times New Roman" w:hAnsi="Times New Roman" w:cs="Times New Roman"/>
          <w:color w:val="auto"/>
          <w:highlight w:val="none"/>
        </w:rPr>
        <w:t>排放尾水中COD、SS、NH</w:t>
      </w:r>
      <w:r>
        <w:rPr>
          <w:rFonts w:ascii="Times New Roman" w:hAnsi="Times New Roman" w:cs="Times New Roman"/>
          <w:color w:val="auto"/>
          <w:highlight w:val="none"/>
          <w:vertAlign w:val="subscript"/>
        </w:rPr>
        <w:t>3</w:t>
      </w:r>
      <w:r>
        <w:rPr>
          <w:rFonts w:ascii="Times New Roman" w:hAnsi="Times New Roman" w:cs="Times New Roman"/>
          <w:color w:val="auto"/>
          <w:highlight w:val="none"/>
        </w:rPr>
        <w:t>-N、TN、TP排放标准执行《</w:t>
      </w:r>
      <w:r>
        <w:rPr>
          <w:rFonts w:hint="eastAsia" w:ascii="Times New Roman" w:hAnsi="Times New Roman" w:cs="Times New Roman"/>
          <w:color w:val="auto"/>
          <w:highlight w:val="none"/>
        </w:rPr>
        <w:t>城镇污水处理厂污 染物排放标准</w:t>
      </w:r>
      <w:r>
        <w:rPr>
          <w:rFonts w:ascii="Times New Roman" w:hAnsi="Times New Roman" w:cs="Times New Roman"/>
          <w:color w:val="auto"/>
          <w:highlight w:val="none"/>
        </w:rPr>
        <w:t>》（DB32/4440-2022）表1</w:t>
      </w:r>
      <w:r>
        <w:rPr>
          <w:rFonts w:hint="eastAsia" w:ascii="Times New Roman" w:hAnsi="Times New Roman" w:cs="Times New Roman"/>
          <w:color w:val="auto"/>
          <w:highlight w:val="none"/>
        </w:rPr>
        <w:t>中C级</w:t>
      </w:r>
      <w:r>
        <w:rPr>
          <w:rFonts w:ascii="Times New Roman" w:hAnsi="Times New Roman" w:cs="Times New Roman"/>
          <w:color w:val="auto"/>
          <w:highlight w:val="none"/>
        </w:rPr>
        <w:t>标准</w:t>
      </w:r>
      <w:r>
        <w:rPr>
          <w:rFonts w:ascii="Times New Roman" w:hAnsi="Times New Roman"/>
          <w:color w:val="auto"/>
          <w:highlight w:val="none"/>
        </w:rPr>
        <w:t>。详见下</w:t>
      </w:r>
      <w:r>
        <w:rPr>
          <w:rFonts w:ascii="Times New Roman" w:hAnsi="Times New Roman"/>
          <w:color w:val="auto"/>
          <w:highlight w:val="none"/>
        </w:rPr>
        <w:fldChar w:fldCharType="begin"/>
      </w:r>
      <w:r>
        <w:rPr>
          <w:rFonts w:ascii="Times New Roman" w:hAnsi="Times New Roman"/>
          <w:color w:val="auto"/>
          <w:highlight w:val="none"/>
        </w:rPr>
        <w:instrText xml:space="preserve"> REF _Ref17795758 \h  \* MERGEFORMAT </w:instrText>
      </w:r>
      <w:r>
        <w:rPr>
          <w:rFonts w:ascii="Times New Roman" w:hAnsi="Times New Roman"/>
          <w:color w:val="auto"/>
          <w:highlight w:val="none"/>
        </w:rPr>
        <w:fldChar w:fldCharType="separate"/>
      </w:r>
      <w:r>
        <w:rPr>
          <w:rFonts w:ascii="Times New Roman" w:hAnsi="Times New Roman"/>
          <w:color w:val="auto"/>
          <w:szCs w:val="22"/>
          <w:highlight w:val="none"/>
        </w:rPr>
        <w:t>表</w:t>
      </w:r>
      <w:r>
        <w:rPr>
          <w:rFonts w:ascii="Times New Roman" w:hAnsi="Times New Roman"/>
          <w:color w:val="auto"/>
          <w:highlight w:val="none"/>
        </w:rPr>
        <w:fldChar w:fldCharType="end"/>
      </w:r>
      <w:r>
        <w:rPr>
          <w:rFonts w:ascii="Times New Roman" w:hAnsi="Times New Roman"/>
          <w:color w:val="auto"/>
          <w:highlight w:val="none"/>
        </w:rPr>
        <w:t>。</w:t>
      </w:r>
    </w:p>
    <w:p w14:paraId="61BD1CDE">
      <w:pPr>
        <w:pStyle w:val="15"/>
        <w:spacing w:line="360" w:lineRule="auto"/>
        <w:ind w:left="-105" w:right="-105" w:firstLine="482"/>
        <w:rPr>
          <w:rFonts w:eastAsia="宋体" w:cs="Times New Roman"/>
          <w:color w:val="auto"/>
          <w:sz w:val="24"/>
          <w:szCs w:val="24"/>
          <w:highlight w:val="none"/>
        </w:rPr>
      </w:pPr>
      <w:bookmarkStart w:id="133" w:name="_Ref17795758"/>
      <w:r>
        <w:rPr>
          <w:rFonts w:eastAsia="宋体" w:cs="Times New Roman"/>
          <w:color w:val="auto"/>
          <w:sz w:val="24"/>
          <w:szCs w:val="18"/>
          <w:highlight w:val="none"/>
        </w:rPr>
        <w:t>表</w:t>
      </w:r>
      <w:r>
        <w:rPr>
          <w:rFonts w:eastAsia="宋体" w:cs="Times New Roman"/>
          <w:color w:val="auto"/>
          <w:sz w:val="24"/>
          <w:szCs w:val="18"/>
          <w:highlight w:val="none"/>
        </w:rPr>
        <w:fldChar w:fldCharType="begin"/>
      </w:r>
      <w:r>
        <w:rPr>
          <w:rFonts w:eastAsia="宋体" w:cs="Times New Roman"/>
          <w:color w:val="auto"/>
          <w:sz w:val="24"/>
          <w:szCs w:val="18"/>
          <w:highlight w:val="none"/>
        </w:rPr>
        <w:instrText xml:space="preserve"> STYLEREF 2 \s </w:instrText>
      </w:r>
      <w:r>
        <w:rPr>
          <w:rFonts w:eastAsia="宋体" w:cs="Times New Roman"/>
          <w:color w:val="auto"/>
          <w:sz w:val="24"/>
          <w:szCs w:val="18"/>
          <w:highlight w:val="none"/>
        </w:rPr>
        <w:fldChar w:fldCharType="separate"/>
      </w:r>
      <w:r>
        <w:rPr>
          <w:rFonts w:eastAsia="宋体" w:cs="Times New Roman"/>
          <w:color w:val="auto"/>
          <w:sz w:val="24"/>
          <w:szCs w:val="18"/>
          <w:highlight w:val="none"/>
        </w:rPr>
        <w:t>2.3</w:t>
      </w:r>
      <w:r>
        <w:rPr>
          <w:rFonts w:eastAsia="宋体" w:cs="Times New Roman"/>
          <w:color w:val="auto"/>
          <w:sz w:val="24"/>
          <w:szCs w:val="18"/>
          <w:highlight w:val="none"/>
        </w:rPr>
        <w:fldChar w:fldCharType="end"/>
      </w:r>
      <w:r>
        <w:rPr>
          <w:rFonts w:eastAsia="宋体" w:cs="Times New Roman"/>
          <w:color w:val="auto"/>
          <w:sz w:val="24"/>
          <w:szCs w:val="18"/>
          <w:highlight w:val="none"/>
        </w:rPr>
        <w:noBreakHyphen/>
      </w:r>
      <w:r>
        <w:rPr>
          <w:rFonts w:eastAsia="宋体" w:cs="Times New Roman"/>
          <w:color w:val="auto"/>
          <w:sz w:val="24"/>
          <w:szCs w:val="18"/>
          <w:highlight w:val="none"/>
        </w:rPr>
        <w:fldChar w:fldCharType="begin"/>
      </w:r>
      <w:r>
        <w:rPr>
          <w:rFonts w:eastAsia="宋体" w:cs="Times New Roman"/>
          <w:color w:val="auto"/>
          <w:sz w:val="24"/>
          <w:szCs w:val="18"/>
          <w:highlight w:val="none"/>
        </w:rPr>
        <w:instrText xml:space="preserve"> SEQ 表 \* ARABIC \s 2 </w:instrText>
      </w:r>
      <w:r>
        <w:rPr>
          <w:rFonts w:eastAsia="宋体" w:cs="Times New Roman"/>
          <w:color w:val="auto"/>
          <w:sz w:val="24"/>
          <w:szCs w:val="18"/>
          <w:highlight w:val="none"/>
        </w:rPr>
        <w:fldChar w:fldCharType="separate"/>
      </w:r>
      <w:r>
        <w:rPr>
          <w:rFonts w:eastAsia="宋体" w:cs="Times New Roman"/>
          <w:color w:val="auto"/>
          <w:sz w:val="24"/>
          <w:szCs w:val="18"/>
          <w:highlight w:val="none"/>
        </w:rPr>
        <w:t>10</w:t>
      </w:r>
      <w:r>
        <w:rPr>
          <w:rFonts w:eastAsia="宋体" w:cs="Times New Roman"/>
          <w:color w:val="auto"/>
          <w:sz w:val="24"/>
          <w:szCs w:val="18"/>
          <w:highlight w:val="none"/>
        </w:rPr>
        <w:fldChar w:fldCharType="end"/>
      </w:r>
      <w:bookmarkEnd w:id="133"/>
      <w:r>
        <w:rPr>
          <w:rFonts w:eastAsia="宋体" w:cs="Times New Roman"/>
          <w:color w:val="auto"/>
          <w:sz w:val="24"/>
          <w:szCs w:val="24"/>
          <w:highlight w:val="none"/>
        </w:rPr>
        <w:t>水污染物接管及排放标准</w:t>
      </w:r>
      <w:r>
        <w:rPr>
          <w:rFonts w:eastAsia="宋体" w:cs="Times New Roman"/>
          <w:color w:val="auto"/>
          <w:sz w:val="24"/>
          <w:szCs w:val="24"/>
          <w:highlight w:val="none"/>
        </w:rPr>
        <w:tab/>
      </w:r>
      <w:r>
        <w:rPr>
          <w:rFonts w:eastAsia="宋体" w:cs="Times New Roman"/>
          <w:color w:val="auto"/>
          <w:sz w:val="24"/>
          <w:szCs w:val="24"/>
          <w:highlight w:val="none"/>
        </w:rPr>
        <w:t>单位：mg/L</w:t>
      </w:r>
    </w:p>
    <w:tbl>
      <w:tblPr>
        <w:tblStyle w:val="45"/>
        <w:tblW w:w="9073" w:type="dxa"/>
        <w:jc w:val="center"/>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
      <w:tblGrid>
        <w:gridCol w:w="1946"/>
        <w:gridCol w:w="888"/>
        <w:gridCol w:w="1375"/>
        <w:gridCol w:w="1603"/>
        <w:gridCol w:w="1483"/>
        <w:gridCol w:w="1778"/>
      </w:tblGrid>
      <w:tr w14:paraId="66B4C9EE">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817" w:hRule="atLeast"/>
          <w:jc w:val="center"/>
        </w:trPr>
        <w:tc>
          <w:tcPr>
            <w:tcW w:w="1946" w:type="dxa"/>
            <w:tcBorders>
              <w:tl2br w:val="nil"/>
              <w:tr2bl w:val="nil"/>
            </w:tcBorders>
            <w:vAlign w:val="center"/>
          </w:tcPr>
          <w:p w14:paraId="543D94B0">
            <w:pPr>
              <w:pStyle w:val="98"/>
              <w:ind w:left="-105" w:right="-105"/>
              <w:rPr>
                <w:rFonts w:eastAsia="宋体"/>
                <w:b/>
                <w:color w:val="auto"/>
                <w:sz w:val="21"/>
                <w:szCs w:val="21"/>
                <w:highlight w:val="none"/>
              </w:rPr>
            </w:pPr>
            <w:r>
              <w:rPr>
                <w:rFonts w:eastAsia="宋体"/>
                <w:b/>
                <w:color w:val="auto"/>
                <w:sz w:val="21"/>
                <w:szCs w:val="21"/>
                <w:highlight w:val="none"/>
              </w:rPr>
              <w:t>污染物</w:t>
            </w:r>
          </w:p>
        </w:tc>
        <w:tc>
          <w:tcPr>
            <w:tcW w:w="888" w:type="dxa"/>
            <w:tcBorders>
              <w:tl2br w:val="nil"/>
              <w:tr2bl w:val="nil"/>
            </w:tcBorders>
            <w:vAlign w:val="center"/>
          </w:tcPr>
          <w:p w14:paraId="77731E4D">
            <w:pPr>
              <w:pStyle w:val="98"/>
              <w:ind w:left="-105" w:right="-105"/>
              <w:rPr>
                <w:rFonts w:eastAsia="宋体"/>
                <w:b/>
                <w:color w:val="auto"/>
                <w:sz w:val="21"/>
                <w:szCs w:val="21"/>
                <w:highlight w:val="none"/>
              </w:rPr>
            </w:pPr>
            <w:r>
              <w:rPr>
                <w:rFonts w:eastAsia="宋体"/>
                <w:b/>
                <w:color w:val="auto"/>
                <w:sz w:val="21"/>
                <w:szCs w:val="21"/>
                <w:highlight w:val="none"/>
              </w:rPr>
              <w:t>单位</w:t>
            </w:r>
          </w:p>
        </w:tc>
        <w:tc>
          <w:tcPr>
            <w:tcW w:w="1375" w:type="dxa"/>
            <w:tcBorders>
              <w:tl2br w:val="nil"/>
              <w:tr2bl w:val="nil"/>
            </w:tcBorders>
            <w:vAlign w:val="center"/>
          </w:tcPr>
          <w:p w14:paraId="0874DCBC">
            <w:pPr>
              <w:pStyle w:val="98"/>
              <w:ind w:left="-105" w:right="-105"/>
              <w:rPr>
                <w:rFonts w:eastAsia="宋体"/>
                <w:b/>
                <w:color w:val="auto"/>
                <w:sz w:val="21"/>
                <w:szCs w:val="21"/>
                <w:highlight w:val="none"/>
              </w:rPr>
            </w:pPr>
            <w:r>
              <w:rPr>
                <w:rFonts w:eastAsia="宋体"/>
                <w:b/>
                <w:color w:val="auto"/>
                <w:sz w:val="21"/>
                <w:szCs w:val="21"/>
                <w:highlight w:val="none"/>
              </w:rPr>
              <w:t>污水处理厂接管浓度</w:t>
            </w:r>
          </w:p>
        </w:tc>
        <w:tc>
          <w:tcPr>
            <w:tcW w:w="1603" w:type="dxa"/>
            <w:tcBorders>
              <w:tl2br w:val="nil"/>
              <w:tr2bl w:val="nil"/>
            </w:tcBorders>
            <w:vAlign w:val="center"/>
          </w:tcPr>
          <w:p w14:paraId="43DACF8A">
            <w:pPr>
              <w:pStyle w:val="98"/>
              <w:ind w:left="-105" w:right="-105"/>
              <w:rPr>
                <w:rFonts w:eastAsia="宋体"/>
                <w:b/>
                <w:color w:val="auto"/>
                <w:sz w:val="21"/>
                <w:szCs w:val="21"/>
                <w:highlight w:val="none"/>
              </w:rPr>
            </w:pPr>
            <w:r>
              <w:rPr>
                <w:rFonts w:eastAsia="宋体"/>
                <w:b/>
                <w:color w:val="auto"/>
                <w:sz w:val="21"/>
                <w:szCs w:val="21"/>
                <w:highlight w:val="none"/>
              </w:rPr>
              <w:t>采用标准</w:t>
            </w:r>
          </w:p>
        </w:tc>
        <w:tc>
          <w:tcPr>
            <w:tcW w:w="1483" w:type="dxa"/>
            <w:tcBorders>
              <w:tl2br w:val="nil"/>
              <w:tr2bl w:val="nil"/>
            </w:tcBorders>
            <w:vAlign w:val="center"/>
          </w:tcPr>
          <w:p w14:paraId="313B635C">
            <w:pPr>
              <w:pStyle w:val="98"/>
              <w:ind w:left="-105" w:right="-105"/>
              <w:rPr>
                <w:rFonts w:eastAsia="宋体"/>
                <w:b/>
                <w:color w:val="auto"/>
                <w:sz w:val="21"/>
                <w:szCs w:val="21"/>
                <w:highlight w:val="none"/>
              </w:rPr>
            </w:pPr>
            <w:r>
              <w:rPr>
                <w:rFonts w:eastAsia="宋体"/>
                <w:b/>
                <w:color w:val="auto"/>
                <w:sz w:val="21"/>
                <w:szCs w:val="21"/>
                <w:highlight w:val="none"/>
              </w:rPr>
              <w:t>污水处理厂尾水排放浓度</w:t>
            </w:r>
          </w:p>
        </w:tc>
        <w:tc>
          <w:tcPr>
            <w:tcW w:w="1778" w:type="dxa"/>
            <w:tcBorders>
              <w:tl2br w:val="nil"/>
              <w:tr2bl w:val="nil"/>
            </w:tcBorders>
            <w:vAlign w:val="center"/>
          </w:tcPr>
          <w:p w14:paraId="78E1AD6F">
            <w:pPr>
              <w:pStyle w:val="98"/>
              <w:ind w:left="-105" w:right="-105"/>
              <w:rPr>
                <w:rFonts w:eastAsia="宋体"/>
                <w:b/>
                <w:color w:val="auto"/>
                <w:sz w:val="21"/>
                <w:szCs w:val="21"/>
                <w:highlight w:val="none"/>
              </w:rPr>
            </w:pPr>
            <w:r>
              <w:rPr>
                <w:rFonts w:eastAsia="宋体"/>
                <w:b/>
                <w:color w:val="auto"/>
                <w:sz w:val="21"/>
                <w:szCs w:val="21"/>
                <w:highlight w:val="none"/>
              </w:rPr>
              <w:t>采用标准</w:t>
            </w:r>
          </w:p>
        </w:tc>
      </w:tr>
      <w:tr w14:paraId="27BC6F0E">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70" w:hRule="atLeast"/>
          <w:jc w:val="center"/>
        </w:trPr>
        <w:tc>
          <w:tcPr>
            <w:tcW w:w="1946" w:type="dxa"/>
            <w:tcBorders>
              <w:tl2br w:val="nil"/>
              <w:tr2bl w:val="nil"/>
            </w:tcBorders>
            <w:vAlign w:val="center"/>
          </w:tcPr>
          <w:p w14:paraId="09E29D62">
            <w:pPr>
              <w:pStyle w:val="98"/>
              <w:ind w:left="-105" w:right="-105"/>
              <w:rPr>
                <w:rFonts w:eastAsia="宋体"/>
                <w:color w:val="auto"/>
                <w:sz w:val="21"/>
                <w:szCs w:val="21"/>
                <w:highlight w:val="none"/>
              </w:rPr>
            </w:pPr>
            <w:r>
              <w:rPr>
                <w:rFonts w:eastAsia="宋体"/>
                <w:color w:val="auto"/>
                <w:sz w:val="21"/>
                <w:szCs w:val="21"/>
                <w:highlight w:val="none"/>
              </w:rPr>
              <w:t>pH</w:t>
            </w:r>
          </w:p>
        </w:tc>
        <w:tc>
          <w:tcPr>
            <w:tcW w:w="888" w:type="dxa"/>
            <w:tcBorders>
              <w:tl2br w:val="nil"/>
              <w:tr2bl w:val="nil"/>
            </w:tcBorders>
            <w:vAlign w:val="center"/>
          </w:tcPr>
          <w:p w14:paraId="39EA4DA8">
            <w:pPr>
              <w:pStyle w:val="98"/>
              <w:ind w:left="-105" w:right="-105"/>
              <w:rPr>
                <w:rFonts w:eastAsia="宋体"/>
                <w:color w:val="auto"/>
                <w:sz w:val="21"/>
                <w:szCs w:val="21"/>
                <w:highlight w:val="none"/>
              </w:rPr>
            </w:pPr>
            <w:r>
              <w:rPr>
                <w:rFonts w:eastAsia="宋体"/>
                <w:color w:val="auto"/>
                <w:sz w:val="21"/>
                <w:szCs w:val="21"/>
                <w:highlight w:val="none"/>
              </w:rPr>
              <w:t>—</w:t>
            </w:r>
          </w:p>
        </w:tc>
        <w:tc>
          <w:tcPr>
            <w:tcW w:w="1375" w:type="dxa"/>
            <w:tcBorders>
              <w:tl2br w:val="nil"/>
              <w:tr2bl w:val="nil"/>
            </w:tcBorders>
            <w:vAlign w:val="center"/>
          </w:tcPr>
          <w:p w14:paraId="79E7D981">
            <w:pPr>
              <w:pStyle w:val="98"/>
              <w:ind w:left="-105" w:right="-105"/>
              <w:rPr>
                <w:rFonts w:eastAsia="宋体"/>
                <w:color w:val="auto"/>
                <w:sz w:val="21"/>
                <w:szCs w:val="21"/>
                <w:highlight w:val="none"/>
              </w:rPr>
            </w:pPr>
            <w:r>
              <w:rPr>
                <w:rFonts w:eastAsia="宋体"/>
                <w:color w:val="auto"/>
                <w:sz w:val="21"/>
                <w:szCs w:val="21"/>
                <w:highlight w:val="none"/>
              </w:rPr>
              <w:t>6～9</w:t>
            </w:r>
          </w:p>
        </w:tc>
        <w:tc>
          <w:tcPr>
            <w:tcW w:w="1603" w:type="dxa"/>
            <w:vMerge w:val="restart"/>
            <w:tcBorders>
              <w:tl2br w:val="nil"/>
              <w:tr2bl w:val="nil"/>
            </w:tcBorders>
            <w:vAlign w:val="center"/>
          </w:tcPr>
          <w:p w14:paraId="74AAE54B">
            <w:pPr>
              <w:pStyle w:val="98"/>
              <w:ind w:left="-105" w:right="-105"/>
              <w:rPr>
                <w:rFonts w:eastAsia="宋体"/>
                <w:color w:val="auto"/>
                <w:sz w:val="21"/>
                <w:szCs w:val="21"/>
                <w:highlight w:val="none"/>
              </w:rPr>
            </w:pPr>
            <w:r>
              <w:rPr>
                <w:rFonts w:hint="eastAsia" w:eastAsia="宋体"/>
                <w:color w:val="auto"/>
                <w:sz w:val="21"/>
                <w:szCs w:val="21"/>
                <w:highlight w:val="none"/>
              </w:rPr>
              <w:t>GB31572-2015表2中标准</w:t>
            </w:r>
          </w:p>
        </w:tc>
        <w:tc>
          <w:tcPr>
            <w:tcW w:w="1483" w:type="dxa"/>
            <w:tcBorders>
              <w:tl2br w:val="nil"/>
              <w:tr2bl w:val="nil"/>
            </w:tcBorders>
            <w:vAlign w:val="center"/>
          </w:tcPr>
          <w:p w14:paraId="51586840">
            <w:pPr>
              <w:pStyle w:val="98"/>
              <w:ind w:left="-105" w:right="-105"/>
              <w:rPr>
                <w:rFonts w:eastAsia="宋体"/>
                <w:color w:val="auto"/>
                <w:sz w:val="21"/>
                <w:szCs w:val="21"/>
                <w:highlight w:val="none"/>
              </w:rPr>
            </w:pPr>
            <w:r>
              <w:rPr>
                <w:rFonts w:eastAsia="宋体"/>
                <w:color w:val="auto"/>
                <w:sz w:val="21"/>
                <w:szCs w:val="21"/>
                <w:highlight w:val="none"/>
              </w:rPr>
              <w:t>6～9</w:t>
            </w:r>
          </w:p>
        </w:tc>
        <w:tc>
          <w:tcPr>
            <w:tcW w:w="1778" w:type="dxa"/>
            <w:vMerge w:val="restart"/>
            <w:tcBorders>
              <w:tl2br w:val="nil"/>
              <w:tr2bl w:val="nil"/>
            </w:tcBorders>
            <w:vAlign w:val="center"/>
          </w:tcPr>
          <w:p w14:paraId="549F9000">
            <w:pPr>
              <w:pStyle w:val="98"/>
              <w:ind w:left="-105" w:right="-105"/>
              <w:rPr>
                <w:rFonts w:eastAsia="宋体"/>
                <w:color w:val="auto"/>
                <w:sz w:val="21"/>
                <w:szCs w:val="21"/>
                <w:highlight w:val="none"/>
                <w:lang w:val="en-US"/>
              </w:rPr>
            </w:pPr>
            <w:r>
              <w:rPr>
                <w:rFonts w:hint="eastAsia" w:eastAsia="宋体"/>
                <w:color w:val="auto"/>
                <w:sz w:val="21"/>
                <w:szCs w:val="21"/>
                <w:highlight w:val="none"/>
              </w:rPr>
              <w:t>DB32/4440-2022表1中C级标准</w:t>
            </w:r>
            <w:r>
              <w:rPr>
                <w:rFonts w:hint="eastAsia" w:eastAsia="宋体"/>
                <w:color w:val="auto"/>
                <w:sz w:val="21"/>
                <w:szCs w:val="21"/>
                <w:highlight w:val="none"/>
                <w:lang w:val="en-US"/>
              </w:rPr>
              <w:t>*</w:t>
            </w:r>
          </w:p>
        </w:tc>
      </w:tr>
      <w:tr w14:paraId="228E8070">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63" w:hRule="atLeast"/>
          <w:jc w:val="center"/>
        </w:trPr>
        <w:tc>
          <w:tcPr>
            <w:tcW w:w="1946" w:type="dxa"/>
            <w:tcBorders>
              <w:tl2br w:val="nil"/>
              <w:tr2bl w:val="nil"/>
            </w:tcBorders>
            <w:vAlign w:val="center"/>
          </w:tcPr>
          <w:p w14:paraId="30109A5B">
            <w:pPr>
              <w:pStyle w:val="98"/>
              <w:ind w:left="-105" w:right="-105"/>
              <w:rPr>
                <w:rFonts w:eastAsia="宋体"/>
                <w:color w:val="auto"/>
                <w:sz w:val="21"/>
                <w:szCs w:val="21"/>
                <w:highlight w:val="none"/>
              </w:rPr>
            </w:pPr>
            <w:r>
              <w:rPr>
                <w:rFonts w:eastAsia="宋体"/>
                <w:color w:val="auto"/>
                <w:sz w:val="21"/>
                <w:szCs w:val="21"/>
                <w:highlight w:val="none"/>
              </w:rPr>
              <w:t>SS</w:t>
            </w:r>
          </w:p>
        </w:tc>
        <w:tc>
          <w:tcPr>
            <w:tcW w:w="888" w:type="dxa"/>
            <w:vMerge w:val="restart"/>
            <w:tcBorders>
              <w:tl2br w:val="nil"/>
              <w:tr2bl w:val="nil"/>
            </w:tcBorders>
            <w:vAlign w:val="center"/>
          </w:tcPr>
          <w:p w14:paraId="6F0076C7">
            <w:pPr>
              <w:pStyle w:val="98"/>
              <w:ind w:left="-105" w:right="-105"/>
              <w:rPr>
                <w:rFonts w:eastAsia="宋体"/>
                <w:color w:val="auto"/>
                <w:sz w:val="21"/>
                <w:szCs w:val="21"/>
                <w:highlight w:val="none"/>
              </w:rPr>
            </w:pPr>
            <w:r>
              <w:rPr>
                <w:rFonts w:eastAsia="宋体"/>
                <w:color w:val="auto"/>
                <w:sz w:val="21"/>
                <w:szCs w:val="21"/>
                <w:highlight w:val="none"/>
              </w:rPr>
              <w:t>mg/L</w:t>
            </w:r>
          </w:p>
        </w:tc>
        <w:tc>
          <w:tcPr>
            <w:tcW w:w="1375" w:type="dxa"/>
            <w:tcBorders>
              <w:tl2br w:val="nil"/>
              <w:tr2bl w:val="nil"/>
            </w:tcBorders>
            <w:vAlign w:val="center"/>
          </w:tcPr>
          <w:p w14:paraId="5701C0FD">
            <w:pPr>
              <w:pStyle w:val="98"/>
              <w:ind w:left="-105" w:right="-105"/>
              <w:rPr>
                <w:rFonts w:eastAsia="宋体"/>
                <w:color w:val="auto"/>
                <w:sz w:val="21"/>
                <w:szCs w:val="21"/>
                <w:highlight w:val="none"/>
                <w:lang w:val="en-US"/>
              </w:rPr>
            </w:pPr>
            <w:r>
              <w:rPr>
                <w:rFonts w:hint="eastAsia" w:eastAsia="宋体"/>
                <w:color w:val="auto"/>
                <w:sz w:val="21"/>
                <w:szCs w:val="21"/>
                <w:highlight w:val="none"/>
                <w:lang w:val="en-US"/>
              </w:rPr>
              <w:t>20</w:t>
            </w:r>
          </w:p>
        </w:tc>
        <w:tc>
          <w:tcPr>
            <w:tcW w:w="1603" w:type="dxa"/>
            <w:vMerge w:val="continue"/>
            <w:tcBorders>
              <w:tl2br w:val="nil"/>
              <w:tr2bl w:val="nil"/>
            </w:tcBorders>
            <w:vAlign w:val="center"/>
          </w:tcPr>
          <w:p w14:paraId="75EE5602">
            <w:pPr>
              <w:ind w:left="-105" w:right="-105"/>
              <w:jc w:val="center"/>
              <w:rPr>
                <w:rFonts w:ascii="Times New Roman" w:hAnsi="Times New Roman"/>
                <w:color w:val="auto"/>
                <w:sz w:val="21"/>
                <w:szCs w:val="21"/>
                <w:highlight w:val="none"/>
              </w:rPr>
            </w:pPr>
          </w:p>
        </w:tc>
        <w:tc>
          <w:tcPr>
            <w:tcW w:w="1483" w:type="dxa"/>
            <w:tcBorders>
              <w:tl2br w:val="nil"/>
              <w:tr2bl w:val="nil"/>
            </w:tcBorders>
            <w:vAlign w:val="center"/>
          </w:tcPr>
          <w:p w14:paraId="23362FFB">
            <w:pPr>
              <w:pStyle w:val="98"/>
              <w:ind w:left="-105" w:right="-105"/>
              <w:rPr>
                <w:rFonts w:eastAsia="宋体"/>
                <w:color w:val="auto"/>
                <w:sz w:val="21"/>
                <w:szCs w:val="21"/>
                <w:highlight w:val="none"/>
              </w:rPr>
            </w:pPr>
            <w:r>
              <w:rPr>
                <w:rFonts w:eastAsia="宋体"/>
                <w:color w:val="auto"/>
                <w:sz w:val="21"/>
                <w:szCs w:val="21"/>
                <w:highlight w:val="none"/>
              </w:rPr>
              <w:t>10</w:t>
            </w:r>
          </w:p>
        </w:tc>
        <w:tc>
          <w:tcPr>
            <w:tcW w:w="1778" w:type="dxa"/>
            <w:vMerge w:val="continue"/>
            <w:tcBorders>
              <w:tl2br w:val="nil"/>
              <w:tr2bl w:val="nil"/>
            </w:tcBorders>
            <w:vAlign w:val="center"/>
          </w:tcPr>
          <w:p w14:paraId="528B5FDB">
            <w:pPr>
              <w:ind w:left="-105" w:right="-105"/>
              <w:jc w:val="center"/>
              <w:rPr>
                <w:rFonts w:ascii="Times New Roman" w:hAnsi="Times New Roman"/>
                <w:color w:val="auto"/>
                <w:sz w:val="21"/>
                <w:szCs w:val="21"/>
                <w:highlight w:val="none"/>
              </w:rPr>
            </w:pPr>
          </w:p>
        </w:tc>
      </w:tr>
      <w:tr w14:paraId="240DCC59">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53" w:hRule="atLeast"/>
          <w:jc w:val="center"/>
        </w:trPr>
        <w:tc>
          <w:tcPr>
            <w:tcW w:w="1946" w:type="dxa"/>
            <w:tcBorders>
              <w:tl2br w:val="nil"/>
              <w:tr2bl w:val="nil"/>
            </w:tcBorders>
            <w:vAlign w:val="center"/>
          </w:tcPr>
          <w:p w14:paraId="5CD56E8B">
            <w:pPr>
              <w:pStyle w:val="98"/>
              <w:ind w:left="-105" w:right="-105"/>
              <w:rPr>
                <w:rFonts w:eastAsia="宋体"/>
                <w:color w:val="auto"/>
                <w:sz w:val="21"/>
                <w:szCs w:val="21"/>
                <w:highlight w:val="none"/>
              </w:rPr>
            </w:pPr>
            <w:r>
              <w:rPr>
                <w:rFonts w:eastAsia="宋体"/>
                <w:color w:val="auto"/>
                <w:sz w:val="21"/>
                <w:szCs w:val="21"/>
                <w:highlight w:val="none"/>
              </w:rPr>
              <w:t>COD</w:t>
            </w:r>
          </w:p>
        </w:tc>
        <w:tc>
          <w:tcPr>
            <w:tcW w:w="888" w:type="dxa"/>
            <w:vMerge w:val="continue"/>
            <w:tcBorders>
              <w:tl2br w:val="nil"/>
              <w:tr2bl w:val="nil"/>
            </w:tcBorders>
            <w:vAlign w:val="center"/>
          </w:tcPr>
          <w:p w14:paraId="4F8A16A1">
            <w:pPr>
              <w:ind w:left="-105" w:right="-105"/>
              <w:jc w:val="center"/>
              <w:rPr>
                <w:rFonts w:ascii="Times New Roman" w:hAnsi="Times New Roman"/>
                <w:color w:val="auto"/>
                <w:sz w:val="21"/>
                <w:szCs w:val="21"/>
                <w:highlight w:val="none"/>
              </w:rPr>
            </w:pPr>
          </w:p>
        </w:tc>
        <w:tc>
          <w:tcPr>
            <w:tcW w:w="1375" w:type="dxa"/>
            <w:tcBorders>
              <w:tl2br w:val="nil"/>
              <w:tr2bl w:val="nil"/>
            </w:tcBorders>
            <w:vAlign w:val="center"/>
          </w:tcPr>
          <w:p w14:paraId="0442522A">
            <w:pPr>
              <w:pStyle w:val="98"/>
              <w:ind w:left="-105" w:right="-105"/>
              <w:rPr>
                <w:rFonts w:eastAsia="宋体"/>
                <w:color w:val="auto"/>
                <w:sz w:val="21"/>
                <w:szCs w:val="21"/>
                <w:highlight w:val="none"/>
                <w:lang w:val="en-US"/>
              </w:rPr>
            </w:pPr>
            <w:r>
              <w:rPr>
                <w:rFonts w:hint="eastAsia" w:eastAsia="宋体"/>
                <w:color w:val="auto"/>
                <w:sz w:val="21"/>
                <w:szCs w:val="21"/>
                <w:highlight w:val="none"/>
                <w:lang w:val="en-US"/>
              </w:rPr>
              <w:t>50</w:t>
            </w:r>
          </w:p>
        </w:tc>
        <w:tc>
          <w:tcPr>
            <w:tcW w:w="1603" w:type="dxa"/>
            <w:vMerge w:val="continue"/>
            <w:tcBorders>
              <w:tl2br w:val="nil"/>
              <w:tr2bl w:val="nil"/>
            </w:tcBorders>
            <w:vAlign w:val="center"/>
          </w:tcPr>
          <w:p w14:paraId="0D594623">
            <w:pPr>
              <w:ind w:left="-105" w:right="-105"/>
              <w:jc w:val="center"/>
              <w:rPr>
                <w:rFonts w:ascii="Times New Roman" w:hAnsi="Times New Roman"/>
                <w:color w:val="auto"/>
                <w:sz w:val="21"/>
                <w:szCs w:val="21"/>
                <w:highlight w:val="none"/>
              </w:rPr>
            </w:pPr>
          </w:p>
        </w:tc>
        <w:tc>
          <w:tcPr>
            <w:tcW w:w="1483" w:type="dxa"/>
            <w:tcBorders>
              <w:tl2br w:val="nil"/>
              <w:tr2bl w:val="nil"/>
            </w:tcBorders>
            <w:vAlign w:val="center"/>
          </w:tcPr>
          <w:p w14:paraId="2837B407">
            <w:pPr>
              <w:pStyle w:val="98"/>
              <w:ind w:left="-105" w:right="-105"/>
              <w:rPr>
                <w:rFonts w:eastAsia="宋体"/>
                <w:color w:val="auto"/>
                <w:sz w:val="21"/>
                <w:szCs w:val="21"/>
                <w:highlight w:val="none"/>
              </w:rPr>
            </w:pPr>
            <w:r>
              <w:rPr>
                <w:rFonts w:eastAsia="宋体"/>
                <w:color w:val="auto"/>
                <w:sz w:val="21"/>
                <w:szCs w:val="21"/>
                <w:highlight w:val="none"/>
              </w:rPr>
              <w:t>50</w:t>
            </w:r>
          </w:p>
        </w:tc>
        <w:tc>
          <w:tcPr>
            <w:tcW w:w="1778" w:type="dxa"/>
            <w:vMerge w:val="continue"/>
            <w:tcBorders>
              <w:tl2br w:val="nil"/>
              <w:tr2bl w:val="nil"/>
            </w:tcBorders>
            <w:vAlign w:val="center"/>
          </w:tcPr>
          <w:p w14:paraId="03A12029">
            <w:pPr>
              <w:pStyle w:val="98"/>
              <w:ind w:left="-105" w:right="-105"/>
              <w:rPr>
                <w:rFonts w:eastAsia="宋体"/>
                <w:color w:val="auto"/>
                <w:sz w:val="21"/>
                <w:szCs w:val="21"/>
                <w:highlight w:val="none"/>
              </w:rPr>
            </w:pPr>
          </w:p>
        </w:tc>
      </w:tr>
      <w:tr w14:paraId="0687622C">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50" w:hRule="atLeast"/>
          <w:jc w:val="center"/>
        </w:trPr>
        <w:tc>
          <w:tcPr>
            <w:tcW w:w="1946" w:type="dxa"/>
            <w:tcBorders>
              <w:tl2br w:val="nil"/>
              <w:tr2bl w:val="nil"/>
            </w:tcBorders>
            <w:vAlign w:val="center"/>
          </w:tcPr>
          <w:p w14:paraId="2BAA06CC">
            <w:pPr>
              <w:pStyle w:val="98"/>
              <w:ind w:left="-105" w:right="-105"/>
              <w:rPr>
                <w:rFonts w:eastAsia="宋体"/>
                <w:color w:val="auto"/>
                <w:sz w:val="21"/>
                <w:szCs w:val="21"/>
                <w:highlight w:val="none"/>
              </w:rPr>
            </w:pPr>
            <w:r>
              <w:rPr>
                <w:rFonts w:eastAsia="宋体"/>
                <w:color w:val="auto"/>
                <w:sz w:val="21"/>
                <w:szCs w:val="21"/>
                <w:highlight w:val="none"/>
              </w:rPr>
              <w:t>氨氮(以N计)</w:t>
            </w:r>
          </w:p>
        </w:tc>
        <w:tc>
          <w:tcPr>
            <w:tcW w:w="888" w:type="dxa"/>
            <w:vMerge w:val="continue"/>
            <w:tcBorders>
              <w:tl2br w:val="nil"/>
              <w:tr2bl w:val="nil"/>
            </w:tcBorders>
            <w:vAlign w:val="center"/>
          </w:tcPr>
          <w:p w14:paraId="48E4D7B3">
            <w:pPr>
              <w:ind w:left="-105" w:right="-105"/>
              <w:jc w:val="center"/>
              <w:rPr>
                <w:rFonts w:ascii="Times New Roman" w:hAnsi="Times New Roman"/>
                <w:color w:val="auto"/>
                <w:sz w:val="21"/>
                <w:szCs w:val="21"/>
                <w:highlight w:val="none"/>
              </w:rPr>
            </w:pPr>
          </w:p>
        </w:tc>
        <w:tc>
          <w:tcPr>
            <w:tcW w:w="1375" w:type="dxa"/>
            <w:tcBorders>
              <w:tl2br w:val="nil"/>
              <w:tr2bl w:val="nil"/>
            </w:tcBorders>
            <w:vAlign w:val="center"/>
          </w:tcPr>
          <w:p w14:paraId="1F01EA32">
            <w:pPr>
              <w:pStyle w:val="98"/>
              <w:ind w:left="-105" w:right="-105"/>
              <w:rPr>
                <w:rFonts w:eastAsia="宋体"/>
                <w:color w:val="auto"/>
                <w:sz w:val="21"/>
                <w:szCs w:val="21"/>
                <w:highlight w:val="none"/>
              </w:rPr>
            </w:pPr>
            <w:r>
              <w:rPr>
                <w:rFonts w:hint="eastAsia" w:eastAsia="宋体"/>
                <w:color w:val="auto"/>
                <w:sz w:val="21"/>
                <w:szCs w:val="21"/>
                <w:highlight w:val="none"/>
                <w:lang w:val="en-US"/>
              </w:rPr>
              <w:t>5</w:t>
            </w:r>
          </w:p>
        </w:tc>
        <w:tc>
          <w:tcPr>
            <w:tcW w:w="1603" w:type="dxa"/>
            <w:vMerge w:val="continue"/>
            <w:tcBorders>
              <w:tl2br w:val="nil"/>
              <w:tr2bl w:val="nil"/>
            </w:tcBorders>
            <w:vAlign w:val="center"/>
          </w:tcPr>
          <w:p w14:paraId="076F4362">
            <w:pPr>
              <w:pStyle w:val="98"/>
              <w:ind w:left="-105" w:right="-105"/>
              <w:rPr>
                <w:rFonts w:eastAsia="宋体"/>
                <w:color w:val="auto"/>
                <w:sz w:val="21"/>
                <w:szCs w:val="21"/>
                <w:highlight w:val="none"/>
              </w:rPr>
            </w:pPr>
          </w:p>
        </w:tc>
        <w:tc>
          <w:tcPr>
            <w:tcW w:w="1483" w:type="dxa"/>
            <w:tcBorders>
              <w:tl2br w:val="nil"/>
              <w:tr2bl w:val="nil"/>
            </w:tcBorders>
            <w:vAlign w:val="center"/>
          </w:tcPr>
          <w:p w14:paraId="6E91A873">
            <w:pPr>
              <w:pStyle w:val="98"/>
              <w:ind w:left="-105" w:right="-105"/>
              <w:rPr>
                <w:rFonts w:eastAsia="宋体"/>
                <w:color w:val="auto"/>
                <w:sz w:val="21"/>
                <w:szCs w:val="21"/>
                <w:highlight w:val="none"/>
              </w:rPr>
            </w:pPr>
            <w:r>
              <w:rPr>
                <w:rFonts w:hint="eastAsia" w:eastAsia="宋体"/>
                <w:color w:val="auto"/>
                <w:sz w:val="21"/>
                <w:szCs w:val="21"/>
                <w:highlight w:val="none"/>
              </w:rPr>
              <w:t>4（6）*</w:t>
            </w:r>
          </w:p>
        </w:tc>
        <w:tc>
          <w:tcPr>
            <w:tcW w:w="1778" w:type="dxa"/>
            <w:vMerge w:val="continue"/>
            <w:tcBorders>
              <w:tl2br w:val="nil"/>
              <w:tr2bl w:val="nil"/>
            </w:tcBorders>
            <w:vAlign w:val="center"/>
          </w:tcPr>
          <w:p w14:paraId="44F315C1">
            <w:pPr>
              <w:ind w:left="-105" w:right="-105"/>
              <w:jc w:val="center"/>
              <w:rPr>
                <w:rFonts w:ascii="Times New Roman" w:hAnsi="Times New Roman"/>
                <w:color w:val="auto"/>
                <w:sz w:val="21"/>
                <w:szCs w:val="21"/>
                <w:highlight w:val="none"/>
              </w:rPr>
            </w:pPr>
          </w:p>
        </w:tc>
      </w:tr>
      <w:tr w14:paraId="6A52BC4B">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53" w:hRule="atLeast"/>
          <w:jc w:val="center"/>
        </w:trPr>
        <w:tc>
          <w:tcPr>
            <w:tcW w:w="1946" w:type="dxa"/>
            <w:tcBorders>
              <w:tl2br w:val="nil"/>
              <w:tr2bl w:val="nil"/>
            </w:tcBorders>
            <w:vAlign w:val="center"/>
          </w:tcPr>
          <w:p w14:paraId="371F9ACF">
            <w:pPr>
              <w:pStyle w:val="98"/>
              <w:ind w:left="-105" w:right="-105"/>
              <w:rPr>
                <w:rFonts w:eastAsia="宋体"/>
                <w:color w:val="auto"/>
                <w:sz w:val="21"/>
                <w:szCs w:val="21"/>
                <w:highlight w:val="none"/>
              </w:rPr>
            </w:pPr>
            <w:r>
              <w:rPr>
                <w:rFonts w:eastAsia="宋体"/>
                <w:color w:val="auto"/>
                <w:sz w:val="21"/>
                <w:szCs w:val="21"/>
                <w:highlight w:val="none"/>
              </w:rPr>
              <w:t>总氮(以N计)</w:t>
            </w:r>
          </w:p>
        </w:tc>
        <w:tc>
          <w:tcPr>
            <w:tcW w:w="888" w:type="dxa"/>
            <w:vMerge w:val="continue"/>
            <w:tcBorders>
              <w:tl2br w:val="nil"/>
              <w:tr2bl w:val="nil"/>
            </w:tcBorders>
            <w:vAlign w:val="center"/>
          </w:tcPr>
          <w:p w14:paraId="6C59B471">
            <w:pPr>
              <w:ind w:left="-105" w:right="-105"/>
              <w:jc w:val="center"/>
              <w:rPr>
                <w:rFonts w:ascii="Times New Roman" w:hAnsi="Times New Roman"/>
                <w:color w:val="auto"/>
                <w:sz w:val="21"/>
                <w:szCs w:val="21"/>
                <w:highlight w:val="none"/>
              </w:rPr>
            </w:pPr>
          </w:p>
        </w:tc>
        <w:tc>
          <w:tcPr>
            <w:tcW w:w="1375" w:type="dxa"/>
            <w:tcBorders>
              <w:tl2br w:val="nil"/>
              <w:tr2bl w:val="nil"/>
            </w:tcBorders>
            <w:vAlign w:val="center"/>
          </w:tcPr>
          <w:p w14:paraId="6AB2599D">
            <w:pPr>
              <w:pStyle w:val="98"/>
              <w:ind w:left="-105" w:right="-105"/>
              <w:rPr>
                <w:rFonts w:eastAsia="宋体"/>
                <w:color w:val="auto"/>
                <w:sz w:val="21"/>
                <w:szCs w:val="21"/>
                <w:highlight w:val="none"/>
                <w:lang w:val="en-US"/>
              </w:rPr>
            </w:pPr>
            <w:r>
              <w:rPr>
                <w:rFonts w:hint="eastAsia" w:eastAsia="宋体"/>
                <w:color w:val="auto"/>
                <w:sz w:val="21"/>
                <w:szCs w:val="21"/>
                <w:highlight w:val="none"/>
                <w:lang w:val="en-US"/>
              </w:rPr>
              <w:t>15</w:t>
            </w:r>
          </w:p>
        </w:tc>
        <w:tc>
          <w:tcPr>
            <w:tcW w:w="1603" w:type="dxa"/>
            <w:vMerge w:val="continue"/>
            <w:tcBorders>
              <w:tl2br w:val="nil"/>
              <w:tr2bl w:val="nil"/>
            </w:tcBorders>
            <w:vAlign w:val="center"/>
          </w:tcPr>
          <w:p w14:paraId="7A7B8D08">
            <w:pPr>
              <w:ind w:left="-105" w:right="-105"/>
              <w:jc w:val="center"/>
              <w:rPr>
                <w:rFonts w:ascii="Times New Roman" w:hAnsi="Times New Roman"/>
                <w:color w:val="auto"/>
                <w:sz w:val="21"/>
                <w:szCs w:val="21"/>
                <w:highlight w:val="none"/>
              </w:rPr>
            </w:pPr>
          </w:p>
        </w:tc>
        <w:tc>
          <w:tcPr>
            <w:tcW w:w="1483" w:type="dxa"/>
            <w:tcBorders>
              <w:tl2br w:val="nil"/>
              <w:tr2bl w:val="nil"/>
            </w:tcBorders>
            <w:vAlign w:val="center"/>
          </w:tcPr>
          <w:p w14:paraId="54FA5550">
            <w:pPr>
              <w:pStyle w:val="98"/>
              <w:ind w:left="-105" w:right="-105"/>
              <w:rPr>
                <w:rFonts w:eastAsia="宋体"/>
                <w:color w:val="auto"/>
                <w:sz w:val="21"/>
                <w:szCs w:val="21"/>
                <w:highlight w:val="none"/>
              </w:rPr>
            </w:pPr>
            <w:r>
              <w:rPr>
                <w:rFonts w:hint="eastAsia" w:eastAsia="宋体"/>
                <w:color w:val="auto"/>
                <w:sz w:val="21"/>
                <w:szCs w:val="21"/>
                <w:highlight w:val="none"/>
              </w:rPr>
              <w:t>12（15）*</w:t>
            </w:r>
          </w:p>
        </w:tc>
        <w:tc>
          <w:tcPr>
            <w:tcW w:w="1778" w:type="dxa"/>
            <w:vMerge w:val="continue"/>
            <w:tcBorders>
              <w:tl2br w:val="nil"/>
              <w:tr2bl w:val="nil"/>
            </w:tcBorders>
            <w:vAlign w:val="center"/>
          </w:tcPr>
          <w:p w14:paraId="6D6DEB4E">
            <w:pPr>
              <w:ind w:left="-105" w:right="-105"/>
              <w:jc w:val="center"/>
              <w:rPr>
                <w:rFonts w:ascii="Times New Roman" w:hAnsi="Times New Roman"/>
                <w:color w:val="auto"/>
                <w:sz w:val="21"/>
                <w:szCs w:val="21"/>
                <w:highlight w:val="none"/>
              </w:rPr>
            </w:pPr>
          </w:p>
        </w:tc>
      </w:tr>
      <w:tr w14:paraId="3101F030">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62" w:hRule="atLeast"/>
          <w:jc w:val="center"/>
        </w:trPr>
        <w:tc>
          <w:tcPr>
            <w:tcW w:w="1946" w:type="dxa"/>
            <w:tcBorders>
              <w:tl2br w:val="nil"/>
              <w:tr2bl w:val="nil"/>
            </w:tcBorders>
            <w:vAlign w:val="center"/>
          </w:tcPr>
          <w:p w14:paraId="7E55B235">
            <w:pPr>
              <w:pStyle w:val="98"/>
              <w:ind w:left="-105" w:right="-105"/>
              <w:rPr>
                <w:rFonts w:eastAsia="宋体"/>
                <w:color w:val="auto"/>
                <w:sz w:val="21"/>
                <w:szCs w:val="21"/>
                <w:highlight w:val="none"/>
              </w:rPr>
            </w:pPr>
            <w:r>
              <w:rPr>
                <w:rFonts w:eastAsia="宋体"/>
                <w:color w:val="auto"/>
                <w:sz w:val="21"/>
                <w:szCs w:val="21"/>
                <w:highlight w:val="none"/>
              </w:rPr>
              <w:t>总磷(以P计)</w:t>
            </w:r>
          </w:p>
        </w:tc>
        <w:tc>
          <w:tcPr>
            <w:tcW w:w="888" w:type="dxa"/>
            <w:vMerge w:val="continue"/>
            <w:tcBorders>
              <w:tl2br w:val="nil"/>
              <w:tr2bl w:val="nil"/>
            </w:tcBorders>
            <w:vAlign w:val="center"/>
          </w:tcPr>
          <w:p w14:paraId="469F0017">
            <w:pPr>
              <w:ind w:left="-105" w:right="-105"/>
              <w:jc w:val="center"/>
              <w:rPr>
                <w:rFonts w:ascii="Times New Roman" w:hAnsi="Times New Roman"/>
                <w:color w:val="auto"/>
                <w:sz w:val="21"/>
                <w:szCs w:val="21"/>
                <w:highlight w:val="none"/>
              </w:rPr>
            </w:pPr>
          </w:p>
        </w:tc>
        <w:tc>
          <w:tcPr>
            <w:tcW w:w="1375" w:type="dxa"/>
            <w:tcBorders>
              <w:tl2br w:val="nil"/>
              <w:tr2bl w:val="nil"/>
            </w:tcBorders>
            <w:vAlign w:val="center"/>
          </w:tcPr>
          <w:p w14:paraId="11B5B7FC">
            <w:pPr>
              <w:pStyle w:val="98"/>
              <w:ind w:left="-105" w:right="-105"/>
              <w:rPr>
                <w:rFonts w:eastAsia="宋体"/>
                <w:color w:val="auto"/>
                <w:sz w:val="21"/>
                <w:szCs w:val="21"/>
                <w:highlight w:val="none"/>
                <w:lang w:val="en-US"/>
              </w:rPr>
            </w:pPr>
            <w:r>
              <w:rPr>
                <w:rFonts w:hint="eastAsia" w:eastAsia="宋体"/>
                <w:color w:val="auto"/>
                <w:sz w:val="21"/>
                <w:szCs w:val="21"/>
                <w:highlight w:val="none"/>
                <w:lang w:val="en-US"/>
              </w:rPr>
              <w:t>0.5</w:t>
            </w:r>
          </w:p>
        </w:tc>
        <w:tc>
          <w:tcPr>
            <w:tcW w:w="1603" w:type="dxa"/>
            <w:vMerge w:val="continue"/>
            <w:tcBorders>
              <w:tl2br w:val="nil"/>
              <w:tr2bl w:val="nil"/>
            </w:tcBorders>
            <w:vAlign w:val="center"/>
          </w:tcPr>
          <w:p w14:paraId="77ECEF76">
            <w:pPr>
              <w:ind w:left="-105" w:right="-105"/>
              <w:jc w:val="center"/>
              <w:rPr>
                <w:rFonts w:ascii="Times New Roman" w:hAnsi="Times New Roman"/>
                <w:color w:val="auto"/>
                <w:sz w:val="21"/>
                <w:szCs w:val="21"/>
                <w:highlight w:val="none"/>
              </w:rPr>
            </w:pPr>
          </w:p>
        </w:tc>
        <w:tc>
          <w:tcPr>
            <w:tcW w:w="1483" w:type="dxa"/>
            <w:tcBorders>
              <w:tl2br w:val="nil"/>
              <w:tr2bl w:val="nil"/>
            </w:tcBorders>
            <w:vAlign w:val="center"/>
          </w:tcPr>
          <w:p w14:paraId="4AB1A62D">
            <w:pPr>
              <w:pStyle w:val="98"/>
              <w:ind w:left="-105" w:right="-105"/>
              <w:rPr>
                <w:rFonts w:eastAsia="宋体"/>
                <w:color w:val="auto"/>
                <w:sz w:val="21"/>
                <w:szCs w:val="21"/>
                <w:highlight w:val="none"/>
              </w:rPr>
            </w:pPr>
            <w:r>
              <w:rPr>
                <w:rFonts w:eastAsia="宋体"/>
                <w:color w:val="auto"/>
                <w:sz w:val="21"/>
                <w:szCs w:val="21"/>
                <w:highlight w:val="none"/>
              </w:rPr>
              <w:t>0.5</w:t>
            </w:r>
          </w:p>
        </w:tc>
        <w:tc>
          <w:tcPr>
            <w:tcW w:w="1778" w:type="dxa"/>
            <w:vMerge w:val="continue"/>
            <w:tcBorders>
              <w:tl2br w:val="nil"/>
              <w:tr2bl w:val="nil"/>
            </w:tcBorders>
            <w:vAlign w:val="center"/>
          </w:tcPr>
          <w:p w14:paraId="0AAB5EA3">
            <w:pPr>
              <w:ind w:left="-105" w:right="-105"/>
              <w:jc w:val="center"/>
              <w:rPr>
                <w:rFonts w:ascii="Times New Roman" w:hAnsi="Times New Roman"/>
                <w:color w:val="auto"/>
                <w:sz w:val="21"/>
                <w:szCs w:val="21"/>
                <w:highlight w:val="none"/>
              </w:rPr>
            </w:pPr>
          </w:p>
        </w:tc>
      </w:tr>
    </w:tbl>
    <w:p w14:paraId="3898F3D6">
      <w:pPr>
        <w:tabs>
          <w:tab w:val="left" w:pos="993"/>
          <w:tab w:val="left" w:pos="1276"/>
        </w:tabs>
        <w:spacing w:line="360" w:lineRule="auto"/>
        <w:ind w:left="-105" w:right="-105" w:firstLine="442"/>
        <w:rPr>
          <w:rFonts w:ascii="Times New Roman" w:hAnsi="Times New Roman"/>
          <w:b/>
          <w:bCs/>
          <w:color w:val="auto"/>
          <w:sz w:val="22"/>
          <w:szCs w:val="22"/>
          <w:highlight w:val="none"/>
        </w:rPr>
      </w:pPr>
      <w:r>
        <w:rPr>
          <w:rFonts w:ascii="Times New Roman" w:hAnsi="Times New Roman"/>
          <w:b/>
          <w:bCs/>
          <w:color w:val="auto"/>
          <w:sz w:val="22"/>
          <w:szCs w:val="22"/>
          <w:highlight w:val="none"/>
        </w:rPr>
        <w:t>注：*括号外数值为水温＞12℃时的控制指标，括号内数值为水温&lt;12℃时的控制指标</w:t>
      </w:r>
      <w:r>
        <w:rPr>
          <w:rFonts w:hint="eastAsia" w:ascii="Times New Roman" w:hAnsi="Times New Roman"/>
          <w:b/>
          <w:bCs/>
          <w:color w:val="auto"/>
          <w:sz w:val="22"/>
          <w:szCs w:val="22"/>
          <w:highlight w:val="none"/>
        </w:rPr>
        <w:t>；DB32/4440-2022标准于2026年开始执行</w:t>
      </w:r>
      <w:r>
        <w:rPr>
          <w:rFonts w:ascii="Times New Roman" w:hAnsi="Times New Roman"/>
          <w:b/>
          <w:bCs/>
          <w:color w:val="auto"/>
          <w:sz w:val="22"/>
          <w:szCs w:val="22"/>
          <w:highlight w:val="none"/>
        </w:rPr>
        <w:t>。</w:t>
      </w:r>
    </w:p>
    <w:p w14:paraId="5F858D8C">
      <w:pPr>
        <w:autoSpaceDE w:val="0"/>
        <w:autoSpaceDN w:val="0"/>
        <w:spacing w:line="360" w:lineRule="auto"/>
        <w:ind w:left="-105" w:right="-105" w:firstLine="480" w:firstLineChars="200"/>
        <w:rPr>
          <w:rFonts w:ascii="Times New Roman" w:hAnsi="Times New Roman"/>
          <w:color w:val="auto"/>
          <w:highlight w:val="none"/>
        </w:rPr>
      </w:pPr>
      <w:r>
        <w:rPr>
          <w:rFonts w:ascii="Times New Roman" w:hAnsi="Times New Roman"/>
          <w:color w:val="auto"/>
          <w:highlight w:val="none"/>
        </w:rPr>
        <w:t>（3）噪声</w:t>
      </w:r>
    </w:p>
    <w:p w14:paraId="7E6266E5">
      <w:pPr>
        <w:pStyle w:val="20"/>
        <w:spacing w:line="360" w:lineRule="auto"/>
        <w:ind w:left="-105" w:right="-105" w:firstLine="480" w:firstLineChars="200"/>
        <w:jc w:val="both"/>
        <w:rPr>
          <w:rFonts w:ascii="Times New Roman" w:hAnsi="Times New Roman" w:cs="Times New Roman"/>
          <w:color w:val="auto"/>
          <w:sz w:val="24"/>
          <w:szCs w:val="24"/>
          <w:highlight w:val="none"/>
        </w:rPr>
      </w:pPr>
      <w:r>
        <w:rPr>
          <w:rFonts w:hint="eastAsia" w:ascii="Times New Roman" w:hAnsi="Times New Roman" w:cs="Times New Roman"/>
          <w:color w:val="auto"/>
          <w:sz w:val="24"/>
          <w:szCs w:val="24"/>
          <w:highlight w:val="none"/>
          <w:lang w:val="en-US"/>
        </w:rPr>
        <w:t>根据《无锡市区声环境功能区划分调整方案》（锡政办发[2018]157号），项目所在地声环境功能类别为3类区，</w:t>
      </w:r>
      <w:r>
        <w:rPr>
          <w:rFonts w:ascii="Times New Roman" w:hAnsi="Times New Roman" w:cs="Times New Roman"/>
          <w:color w:val="auto"/>
          <w:sz w:val="24"/>
          <w:szCs w:val="24"/>
          <w:highlight w:val="none"/>
        </w:rPr>
        <w:t>本项目厂界环境噪声执行《工业企业厂界环境噪声排放标准》（GB12348-2008）3类标准要求</w:t>
      </w:r>
      <w:r>
        <w:rPr>
          <w:rFonts w:hint="eastAsia" w:ascii="Times New Roman" w:hAnsi="Times New Roman" w:cs="Times New Roman"/>
          <w:color w:val="auto"/>
          <w:sz w:val="24"/>
          <w:szCs w:val="24"/>
          <w:highlight w:val="none"/>
        </w:rPr>
        <w:t>，</w:t>
      </w:r>
      <w:r>
        <w:rPr>
          <w:rFonts w:hint="eastAsia" w:ascii="Times New Roman" w:hAnsi="Times New Roman" w:cs="Times New Roman"/>
          <w:color w:val="auto"/>
          <w:sz w:val="24"/>
          <w:szCs w:val="24"/>
          <w:highlight w:val="none"/>
        </w:rPr>
        <w:t>敏感目标处执行</w:t>
      </w:r>
      <w:r>
        <w:rPr>
          <w:rFonts w:ascii="Times New Roman" w:hAnsi="Times New Roman" w:cs="Times New Roman"/>
          <w:color w:val="auto"/>
          <w:sz w:val="24"/>
          <w:szCs w:val="24"/>
          <w:highlight w:val="none"/>
        </w:rPr>
        <w:t>《工业企业厂界环境噪声排放标准》（GB12348-2008）</w:t>
      </w:r>
      <w:r>
        <w:rPr>
          <w:rFonts w:hint="eastAsia" w:ascii="Times New Roman" w:hAnsi="Times New Roman" w:cs="Times New Roman"/>
          <w:color w:val="auto"/>
          <w:sz w:val="24"/>
          <w:szCs w:val="24"/>
          <w:highlight w:val="none"/>
          <w:lang w:val="en-US"/>
        </w:rPr>
        <w:t>2</w:t>
      </w:r>
      <w:r>
        <w:rPr>
          <w:rFonts w:ascii="Times New Roman" w:hAnsi="Times New Roman" w:cs="Times New Roman"/>
          <w:color w:val="auto"/>
          <w:sz w:val="24"/>
          <w:szCs w:val="24"/>
          <w:highlight w:val="none"/>
        </w:rPr>
        <w:t>类标准要求</w:t>
      </w:r>
      <w:r>
        <w:rPr>
          <w:rFonts w:ascii="Times New Roman" w:hAnsi="Times New Roman" w:cs="Times New Roman"/>
          <w:color w:val="auto"/>
          <w:sz w:val="24"/>
          <w:szCs w:val="24"/>
          <w:highlight w:val="none"/>
        </w:rPr>
        <w:t>。见</w:t>
      </w:r>
      <w:r>
        <w:rPr>
          <w:rFonts w:hint="eastAsia" w:ascii="Times New Roman" w:hAnsi="Times New Roman" w:cs="Times New Roman"/>
          <w:color w:val="auto"/>
          <w:sz w:val="24"/>
          <w:szCs w:val="24"/>
          <w:highlight w:val="none"/>
          <w:lang w:val="en-US"/>
        </w:rPr>
        <w:t>下表</w:t>
      </w:r>
      <w:r>
        <w:rPr>
          <w:rFonts w:ascii="Times New Roman" w:hAnsi="Times New Roman" w:cs="Times New Roman"/>
          <w:color w:val="auto"/>
          <w:sz w:val="24"/>
          <w:szCs w:val="24"/>
          <w:highlight w:val="none"/>
        </w:rPr>
        <w:t>。</w:t>
      </w:r>
    </w:p>
    <w:p w14:paraId="1624716A">
      <w:pPr>
        <w:pStyle w:val="15"/>
        <w:spacing w:line="360" w:lineRule="auto"/>
        <w:ind w:left="-105" w:right="-105" w:firstLine="482"/>
        <w:rPr>
          <w:rFonts w:eastAsia="宋体" w:cs="Times New Roman"/>
          <w:color w:val="auto"/>
          <w:sz w:val="24"/>
          <w:szCs w:val="18"/>
          <w:highlight w:val="none"/>
        </w:rPr>
      </w:pPr>
      <w:bookmarkStart w:id="134" w:name="_Ref17795125"/>
      <w:r>
        <w:rPr>
          <w:rFonts w:eastAsia="宋体" w:cs="Times New Roman"/>
          <w:color w:val="auto"/>
          <w:sz w:val="24"/>
          <w:szCs w:val="18"/>
          <w:highlight w:val="none"/>
        </w:rPr>
        <w:t>表</w:t>
      </w:r>
      <w:r>
        <w:rPr>
          <w:rFonts w:eastAsia="宋体" w:cs="Times New Roman"/>
          <w:color w:val="auto"/>
          <w:sz w:val="24"/>
          <w:szCs w:val="18"/>
          <w:highlight w:val="none"/>
        </w:rPr>
        <w:fldChar w:fldCharType="begin"/>
      </w:r>
      <w:r>
        <w:rPr>
          <w:rFonts w:eastAsia="宋体" w:cs="Times New Roman"/>
          <w:color w:val="auto"/>
          <w:sz w:val="24"/>
          <w:szCs w:val="18"/>
          <w:highlight w:val="none"/>
        </w:rPr>
        <w:instrText xml:space="preserve"> STYLEREF 2 \s </w:instrText>
      </w:r>
      <w:r>
        <w:rPr>
          <w:rFonts w:eastAsia="宋体" w:cs="Times New Roman"/>
          <w:color w:val="auto"/>
          <w:sz w:val="24"/>
          <w:szCs w:val="18"/>
          <w:highlight w:val="none"/>
        </w:rPr>
        <w:fldChar w:fldCharType="separate"/>
      </w:r>
      <w:r>
        <w:rPr>
          <w:rFonts w:eastAsia="宋体" w:cs="Times New Roman"/>
          <w:color w:val="auto"/>
          <w:sz w:val="24"/>
          <w:szCs w:val="18"/>
          <w:highlight w:val="none"/>
        </w:rPr>
        <w:t>2.3</w:t>
      </w:r>
      <w:r>
        <w:rPr>
          <w:rFonts w:eastAsia="宋体" w:cs="Times New Roman"/>
          <w:color w:val="auto"/>
          <w:sz w:val="24"/>
          <w:szCs w:val="18"/>
          <w:highlight w:val="none"/>
        </w:rPr>
        <w:fldChar w:fldCharType="end"/>
      </w:r>
      <w:r>
        <w:rPr>
          <w:rFonts w:eastAsia="宋体" w:cs="Times New Roman"/>
          <w:color w:val="auto"/>
          <w:sz w:val="24"/>
          <w:szCs w:val="18"/>
          <w:highlight w:val="none"/>
        </w:rPr>
        <w:noBreakHyphen/>
      </w:r>
      <w:r>
        <w:rPr>
          <w:rFonts w:eastAsia="宋体" w:cs="Times New Roman"/>
          <w:color w:val="auto"/>
          <w:sz w:val="24"/>
          <w:szCs w:val="18"/>
          <w:highlight w:val="none"/>
        </w:rPr>
        <w:fldChar w:fldCharType="begin"/>
      </w:r>
      <w:r>
        <w:rPr>
          <w:rFonts w:eastAsia="宋体" w:cs="Times New Roman"/>
          <w:color w:val="auto"/>
          <w:sz w:val="24"/>
          <w:szCs w:val="18"/>
          <w:highlight w:val="none"/>
        </w:rPr>
        <w:instrText xml:space="preserve"> SEQ 表 \* ARABIC \s 2 </w:instrText>
      </w:r>
      <w:r>
        <w:rPr>
          <w:rFonts w:eastAsia="宋体" w:cs="Times New Roman"/>
          <w:color w:val="auto"/>
          <w:sz w:val="24"/>
          <w:szCs w:val="18"/>
          <w:highlight w:val="none"/>
        </w:rPr>
        <w:fldChar w:fldCharType="separate"/>
      </w:r>
      <w:r>
        <w:rPr>
          <w:rFonts w:eastAsia="宋体" w:cs="Times New Roman"/>
          <w:color w:val="auto"/>
          <w:sz w:val="24"/>
          <w:szCs w:val="18"/>
          <w:highlight w:val="none"/>
        </w:rPr>
        <w:t>11</w:t>
      </w:r>
      <w:r>
        <w:rPr>
          <w:rFonts w:eastAsia="宋体" w:cs="Times New Roman"/>
          <w:color w:val="auto"/>
          <w:sz w:val="24"/>
          <w:szCs w:val="18"/>
          <w:highlight w:val="none"/>
        </w:rPr>
        <w:fldChar w:fldCharType="end"/>
      </w:r>
      <w:bookmarkEnd w:id="134"/>
      <w:r>
        <w:rPr>
          <w:rFonts w:eastAsia="宋体" w:cs="Times New Roman"/>
          <w:color w:val="auto"/>
          <w:sz w:val="24"/>
          <w:szCs w:val="16"/>
          <w:highlight w:val="none"/>
        </w:rPr>
        <w:t>工业企业</w:t>
      </w:r>
      <w:r>
        <w:rPr>
          <w:rFonts w:eastAsia="宋体" w:cs="Times New Roman"/>
          <w:color w:val="auto"/>
          <w:spacing w:val="2"/>
          <w:sz w:val="24"/>
          <w:szCs w:val="16"/>
          <w:highlight w:val="none"/>
        </w:rPr>
        <w:t>厂</w:t>
      </w:r>
      <w:r>
        <w:rPr>
          <w:rFonts w:eastAsia="宋体" w:cs="Times New Roman"/>
          <w:color w:val="auto"/>
          <w:sz w:val="24"/>
          <w:szCs w:val="16"/>
          <w:highlight w:val="none"/>
        </w:rPr>
        <w:t>界环境噪声排放</w:t>
      </w:r>
      <w:r>
        <w:rPr>
          <w:rFonts w:eastAsia="宋体" w:cs="Times New Roman"/>
          <w:color w:val="auto"/>
          <w:spacing w:val="2"/>
          <w:sz w:val="24"/>
          <w:szCs w:val="16"/>
          <w:highlight w:val="none"/>
        </w:rPr>
        <w:t>标</w:t>
      </w:r>
      <w:r>
        <w:rPr>
          <w:rFonts w:eastAsia="宋体" w:cs="Times New Roman"/>
          <w:color w:val="auto"/>
          <w:sz w:val="24"/>
          <w:szCs w:val="16"/>
          <w:highlight w:val="none"/>
        </w:rPr>
        <w:t>准</w:t>
      </w:r>
      <w:r>
        <w:rPr>
          <w:rFonts w:eastAsia="宋体" w:cs="Times New Roman"/>
          <w:color w:val="auto"/>
          <w:sz w:val="24"/>
          <w:szCs w:val="18"/>
          <w:highlight w:val="none"/>
        </w:rPr>
        <w:tab/>
      </w:r>
      <w:r>
        <w:rPr>
          <w:rFonts w:eastAsia="宋体" w:cs="Times New Roman"/>
          <w:color w:val="auto"/>
          <w:sz w:val="24"/>
          <w:szCs w:val="18"/>
          <w:highlight w:val="none"/>
        </w:rPr>
        <w:t>单位：</w:t>
      </w:r>
      <w:r>
        <w:rPr>
          <w:rFonts w:eastAsia="宋体" w:cs="Times New Roman"/>
          <w:color w:val="auto"/>
          <w:spacing w:val="-3"/>
          <w:sz w:val="24"/>
          <w:szCs w:val="18"/>
          <w:highlight w:val="none"/>
        </w:rPr>
        <w:t>d</w:t>
      </w:r>
      <w:r>
        <w:rPr>
          <w:rFonts w:eastAsia="宋体" w:cs="Times New Roman"/>
          <w:color w:val="auto"/>
          <w:sz w:val="24"/>
          <w:szCs w:val="18"/>
          <w:highlight w:val="none"/>
        </w:rPr>
        <w:t>B（A）</w:t>
      </w:r>
    </w:p>
    <w:tbl>
      <w:tblPr>
        <w:tblStyle w:val="45"/>
        <w:tblW w:w="5000" w:type="pct"/>
        <w:jc w:val="center"/>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
      <w:tblGrid>
        <w:gridCol w:w="3166"/>
        <w:gridCol w:w="2778"/>
        <w:gridCol w:w="2776"/>
      </w:tblGrid>
      <w:tr w14:paraId="14847D05">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72" w:hRule="atLeast"/>
          <w:jc w:val="center"/>
        </w:trPr>
        <w:tc>
          <w:tcPr>
            <w:tcW w:w="3298" w:type="dxa"/>
            <w:vMerge w:val="restart"/>
            <w:tcBorders>
              <w:tl2br w:val="nil"/>
              <w:tr2bl w:val="nil"/>
            </w:tcBorders>
            <w:vAlign w:val="center"/>
          </w:tcPr>
          <w:p w14:paraId="1C3A02FC">
            <w:pPr>
              <w:pStyle w:val="98"/>
              <w:ind w:left="-105" w:right="-105"/>
              <w:rPr>
                <w:rFonts w:eastAsia="宋体"/>
                <w:b/>
                <w:color w:val="auto"/>
                <w:sz w:val="21"/>
                <w:szCs w:val="21"/>
                <w:highlight w:val="none"/>
              </w:rPr>
            </w:pPr>
            <w:r>
              <w:rPr>
                <w:rFonts w:eastAsia="宋体"/>
                <w:b/>
                <w:color w:val="auto"/>
                <w:sz w:val="21"/>
                <w:szCs w:val="21"/>
                <w:highlight w:val="none"/>
              </w:rPr>
              <w:t>厂界外声环境功能区类别</w:t>
            </w:r>
          </w:p>
        </w:tc>
        <w:tc>
          <w:tcPr>
            <w:tcW w:w="5778" w:type="dxa"/>
            <w:gridSpan w:val="2"/>
            <w:tcBorders>
              <w:tl2br w:val="nil"/>
              <w:tr2bl w:val="nil"/>
            </w:tcBorders>
            <w:vAlign w:val="center"/>
          </w:tcPr>
          <w:p w14:paraId="116D17C8">
            <w:pPr>
              <w:pStyle w:val="98"/>
              <w:ind w:left="-105" w:right="-105"/>
              <w:rPr>
                <w:rFonts w:eastAsia="宋体"/>
                <w:b/>
                <w:color w:val="auto"/>
                <w:sz w:val="21"/>
                <w:szCs w:val="21"/>
                <w:highlight w:val="none"/>
              </w:rPr>
            </w:pPr>
            <w:r>
              <w:rPr>
                <w:rFonts w:eastAsia="宋体"/>
                <w:b/>
                <w:bCs/>
                <w:color w:val="auto"/>
                <w:sz w:val="21"/>
                <w:szCs w:val="21"/>
                <w:highlight w:val="none"/>
              </w:rPr>
              <w:t>时段</w:t>
            </w:r>
          </w:p>
        </w:tc>
      </w:tr>
      <w:tr w14:paraId="3F0B6D01">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5" w:hRule="atLeast"/>
          <w:jc w:val="center"/>
        </w:trPr>
        <w:tc>
          <w:tcPr>
            <w:tcW w:w="3298" w:type="dxa"/>
            <w:vMerge w:val="continue"/>
            <w:tcBorders>
              <w:tl2br w:val="nil"/>
              <w:tr2bl w:val="nil"/>
            </w:tcBorders>
            <w:vAlign w:val="center"/>
          </w:tcPr>
          <w:p w14:paraId="38CC11C6">
            <w:pPr>
              <w:ind w:left="-105" w:right="-105"/>
              <w:jc w:val="center"/>
              <w:rPr>
                <w:rFonts w:ascii="Times New Roman" w:hAnsi="Times New Roman"/>
                <w:color w:val="auto"/>
                <w:sz w:val="21"/>
                <w:szCs w:val="21"/>
                <w:highlight w:val="none"/>
              </w:rPr>
            </w:pPr>
          </w:p>
        </w:tc>
        <w:tc>
          <w:tcPr>
            <w:tcW w:w="2890" w:type="dxa"/>
            <w:tcBorders>
              <w:tl2br w:val="nil"/>
              <w:tr2bl w:val="nil"/>
            </w:tcBorders>
            <w:vAlign w:val="center"/>
          </w:tcPr>
          <w:p w14:paraId="2760329F">
            <w:pPr>
              <w:pStyle w:val="98"/>
              <w:ind w:left="-105" w:right="-105"/>
              <w:rPr>
                <w:rFonts w:eastAsia="宋体"/>
                <w:b/>
                <w:color w:val="auto"/>
                <w:sz w:val="21"/>
                <w:szCs w:val="21"/>
                <w:highlight w:val="none"/>
              </w:rPr>
            </w:pPr>
            <w:r>
              <w:rPr>
                <w:rFonts w:eastAsia="宋体"/>
                <w:b/>
                <w:bCs/>
                <w:color w:val="auto"/>
                <w:sz w:val="21"/>
                <w:szCs w:val="21"/>
                <w:highlight w:val="none"/>
              </w:rPr>
              <w:t>昼间（6:00~22:00）</w:t>
            </w:r>
          </w:p>
        </w:tc>
        <w:tc>
          <w:tcPr>
            <w:tcW w:w="2888" w:type="dxa"/>
            <w:tcBorders>
              <w:tl2br w:val="nil"/>
              <w:tr2bl w:val="nil"/>
            </w:tcBorders>
            <w:vAlign w:val="center"/>
          </w:tcPr>
          <w:p w14:paraId="1D7F4907">
            <w:pPr>
              <w:pStyle w:val="98"/>
              <w:ind w:left="-105" w:right="-105"/>
              <w:rPr>
                <w:rFonts w:eastAsia="宋体"/>
                <w:b/>
                <w:color w:val="auto"/>
                <w:sz w:val="21"/>
                <w:szCs w:val="21"/>
                <w:highlight w:val="none"/>
              </w:rPr>
            </w:pPr>
            <w:r>
              <w:rPr>
                <w:rFonts w:eastAsia="宋体"/>
                <w:b/>
                <w:bCs/>
                <w:color w:val="auto"/>
                <w:sz w:val="21"/>
                <w:szCs w:val="21"/>
                <w:highlight w:val="none"/>
              </w:rPr>
              <w:t>昼间（6:00~22:00）</w:t>
            </w:r>
          </w:p>
        </w:tc>
      </w:tr>
      <w:tr w14:paraId="55BC1AD7">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72" w:hRule="atLeast"/>
          <w:jc w:val="center"/>
        </w:trPr>
        <w:tc>
          <w:tcPr>
            <w:tcW w:w="3298" w:type="dxa"/>
            <w:tcBorders>
              <w:tl2br w:val="nil"/>
              <w:tr2bl w:val="nil"/>
            </w:tcBorders>
            <w:vAlign w:val="center"/>
          </w:tcPr>
          <w:p w14:paraId="2FE0EAE4">
            <w:pPr>
              <w:pStyle w:val="98"/>
              <w:ind w:left="-105" w:right="-105"/>
              <w:rPr>
                <w:rFonts w:eastAsia="宋体"/>
                <w:color w:val="auto"/>
                <w:sz w:val="21"/>
                <w:szCs w:val="21"/>
                <w:highlight w:val="none"/>
                <w:lang w:val="en-US"/>
              </w:rPr>
            </w:pPr>
            <w:r>
              <w:rPr>
                <w:rFonts w:hint="eastAsia" w:eastAsia="宋体"/>
                <w:color w:val="auto"/>
                <w:sz w:val="21"/>
                <w:szCs w:val="21"/>
                <w:highlight w:val="none"/>
                <w:lang w:val="en-US"/>
              </w:rPr>
              <w:t>2</w:t>
            </w:r>
          </w:p>
        </w:tc>
        <w:tc>
          <w:tcPr>
            <w:tcW w:w="2890" w:type="dxa"/>
            <w:tcBorders>
              <w:tl2br w:val="nil"/>
              <w:tr2bl w:val="nil"/>
            </w:tcBorders>
            <w:vAlign w:val="center"/>
          </w:tcPr>
          <w:p w14:paraId="1A553D3E">
            <w:pPr>
              <w:pStyle w:val="98"/>
              <w:ind w:left="-105" w:right="-105"/>
              <w:rPr>
                <w:rFonts w:eastAsia="宋体"/>
                <w:color w:val="auto"/>
                <w:sz w:val="21"/>
                <w:szCs w:val="21"/>
                <w:highlight w:val="none"/>
                <w:lang w:val="en-US"/>
              </w:rPr>
            </w:pPr>
            <w:r>
              <w:rPr>
                <w:rFonts w:hint="eastAsia" w:eastAsia="宋体"/>
                <w:color w:val="auto"/>
                <w:sz w:val="21"/>
                <w:szCs w:val="21"/>
                <w:highlight w:val="none"/>
                <w:lang w:val="en-US"/>
              </w:rPr>
              <w:t>60</w:t>
            </w:r>
          </w:p>
        </w:tc>
        <w:tc>
          <w:tcPr>
            <w:tcW w:w="2888" w:type="dxa"/>
            <w:tcBorders>
              <w:tl2br w:val="nil"/>
              <w:tr2bl w:val="nil"/>
            </w:tcBorders>
            <w:vAlign w:val="center"/>
          </w:tcPr>
          <w:p w14:paraId="3D19C467">
            <w:pPr>
              <w:pStyle w:val="98"/>
              <w:ind w:left="-105" w:right="-105"/>
              <w:rPr>
                <w:rFonts w:eastAsia="宋体"/>
                <w:color w:val="auto"/>
                <w:sz w:val="21"/>
                <w:szCs w:val="21"/>
                <w:highlight w:val="none"/>
                <w:lang w:val="en-US"/>
              </w:rPr>
            </w:pPr>
            <w:r>
              <w:rPr>
                <w:rFonts w:hint="eastAsia" w:eastAsia="宋体"/>
                <w:color w:val="auto"/>
                <w:sz w:val="21"/>
                <w:szCs w:val="21"/>
                <w:highlight w:val="none"/>
                <w:lang w:val="en-US"/>
              </w:rPr>
              <w:t>50</w:t>
            </w:r>
          </w:p>
        </w:tc>
      </w:tr>
      <w:tr w14:paraId="411A8A59">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72" w:hRule="atLeast"/>
          <w:jc w:val="center"/>
        </w:trPr>
        <w:tc>
          <w:tcPr>
            <w:tcW w:w="3298" w:type="dxa"/>
            <w:tcBorders>
              <w:tl2br w:val="nil"/>
              <w:tr2bl w:val="nil"/>
            </w:tcBorders>
            <w:vAlign w:val="center"/>
          </w:tcPr>
          <w:p w14:paraId="42B262E8">
            <w:pPr>
              <w:pStyle w:val="98"/>
              <w:ind w:left="-105" w:right="-105"/>
              <w:rPr>
                <w:rFonts w:eastAsia="宋体"/>
                <w:color w:val="auto"/>
                <w:sz w:val="21"/>
                <w:szCs w:val="21"/>
                <w:highlight w:val="none"/>
              </w:rPr>
            </w:pPr>
            <w:r>
              <w:rPr>
                <w:rFonts w:eastAsia="宋体"/>
                <w:color w:val="auto"/>
                <w:sz w:val="21"/>
                <w:szCs w:val="21"/>
                <w:highlight w:val="none"/>
              </w:rPr>
              <w:t>3</w:t>
            </w:r>
          </w:p>
        </w:tc>
        <w:tc>
          <w:tcPr>
            <w:tcW w:w="2890" w:type="dxa"/>
            <w:tcBorders>
              <w:tl2br w:val="nil"/>
              <w:tr2bl w:val="nil"/>
            </w:tcBorders>
            <w:vAlign w:val="center"/>
          </w:tcPr>
          <w:p w14:paraId="61022FB4">
            <w:pPr>
              <w:pStyle w:val="98"/>
              <w:ind w:left="-105" w:right="-105"/>
              <w:rPr>
                <w:rFonts w:eastAsia="宋体"/>
                <w:color w:val="auto"/>
                <w:sz w:val="21"/>
                <w:szCs w:val="21"/>
                <w:highlight w:val="none"/>
              </w:rPr>
            </w:pPr>
            <w:r>
              <w:rPr>
                <w:rFonts w:eastAsia="宋体"/>
                <w:color w:val="auto"/>
                <w:sz w:val="21"/>
                <w:szCs w:val="21"/>
                <w:highlight w:val="none"/>
              </w:rPr>
              <w:t>65</w:t>
            </w:r>
          </w:p>
        </w:tc>
        <w:tc>
          <w:tcPr>
            <w:tcW w:w="2888" w:type="dxa"/>
            <w:tcBorders>
              <w:tl2br w:val="nil"/>
              <w:tr2bl w:val="nil"/>
            </w:tcBorders>
            <w:vAlign w:val="center"/>
          </w:tcPr>
          <w:p w14:paraId="4B1786F1">
            <w:pPr>
              <w:pStyle w:val="98"/>
              <w:ind w:left="-105" w:right="-105"/>
              <w:rPr>
                <w:rFonts w:eastAsia="宋体"/>
                <w:color w:val="auto"/>
                <w:sz w:val="21"/>
                <w:szCs w:val="21"/>
                <w:highlight w:val="none"/>
              </w:rPr>
            </w:pPr>
            <w:r>
              <w:rPr>
                <w:rFonts w:eastAsia="宋体"/>
                <w:color w:val="auto"/>
                <w:sz w:val="21"/>
                <w:szCs w:val="21"/>
                <w:highlight w:val="none"/>
              </w:rPr>
              <w:t>55</w:t>
            </w:r>
          </w:p>
        </w:tc>
      </w:tr>
    </w:tbl>
    <w:p w14:paraId="71350CAD">
      <w:pPr>
        <w:autoSpaceDE w:val="0"/>
        <w:autoSpaceDN w:val="0"/>
        <w:spacing w:line="360" w:lineRule="auto"/>
        <w:ind w:left="-105" w:right="-105" w:firstLine="480" w:firstLineChars="200"/>
        <w:rPr>
          <w:rFonts w:ascii="Times New Roman" w:hAnsi="Times New Roman"/>
          <w:color w:val="auto"/>
          <w:highlight w:val="none"/>
        </w:rPr>
      </w:pPr>
      <w:r>
        <w:rPr>
          <w:rFonts w:ascii="Times New Roman" w:hAnsi="Times New Roman"/>
          <w:color w:val="auto"/>
          <w:highlight w:val="none"/>
        </w:rPr>
        <w:t>（4）固体废物控制标准</w:t>
      </w:r>
    </w:p>
    <w:p w14:paraId="63C65361">
      <w:pPr>
        <w:autoSpaceDE w:val="0"/>
        <w:autoSpaceDN w:val="0"/>
        <w:spacing w:line="360" w:lineRule="auto"/>
        <w:ind w:left="-105" w:right="-105" w:firstLine="480" w:firstLineChars="200"/>
        <w:jc w:val="both"/>
        <w:rPr>
          <w:rFonts w:ascii="Times New Roman" w:hAnsi="Times New Roman"/>
          <w:color w:val="auto"/>
          <w:highlight w:val="none"/>
        </w:rPr>
      </w:pPr>
      <w:r>
        <w:rPr>
          <w:rFonts w:ascii="Times New Roman" w:hAnsi="Times New Roman"/>
          <w:color w:val="auto"/>
          <w:highlight w:val="none"/>
        </w:rPr>
        <w:t>本项目</w:t>
      </w:r>
      <w:r>
        <w:rPr>
          <w:rFonts w:hint="eastAsia" w:ascii="Times New Roman" w:hAnsi="Times New Roman"/>
          <w:color w:val="auto"/>
          <w:highlight w:val="none"/>
        </w:rPr>
        <w:t>危险固废的暂存场所执行《危险废物贮存污染控制标准》（GB18597-2023）、《省生态环境厅关于印发江苏省危险废物贮存规范化管理专项整治行动方案的通知》（苏环办[2019]149号）和《关于印发&lt;江苏省固体废物全过程环境监管工作意见&gt;》（苏环办〔2024〕16号）；一般固废的暂存执行《一般工业固体废物贮存和填埋污染控制标准》(GB18599-2020)和《关于加强一般工业固体废物管理的通知》（锡环办[2021]138号）</w:t>
      </w:r>
      <w:r>
        <w:rPr>
          <w:rFonts w:ascii="Times New Roman" w:hAnsi="Times New Roman"/>
          <w:color w:val="auto"/>
          <w:highlight w:val="none"/>
        </w:rPr>
        <w:t>。</w:t>
      </w:r>
    </w:p>
    <w:p w14:paraId="0F6203C0">
      <w:pPr>
        <w:pStyle w:val="4"/>
        <w:numPr>
          <w:ilvl w:val="1"/>
          <w:numId w:val="6"/>
        </w:numPr>
        <w:tabs>
          <w:tab w:val="left" w:pos="426"/>
        </w:tabs>
        <w:spacing w:before="120" w:beforeLines="50" w:line="360" w:lineRule="auto"/>
        <w:ind w:left="-105" w:right="-105"/>
        <w:rPr>
          <w:rFonts w:ascii="Times New Roman" w:eastAsia="宋体"/>
          <w:color w:val="auto"/>
          <w:sz w:val="28"/>
          <w:szCs w:val="28"/>
          <w:highlight w:val="none"/>
        </w:rPr>
      </w:pPr>
      <w:bookmarkStart w:id="135" w:name="_Toc60653449"/>
      <w:bookmarkStart w:id="136" w:name="_Toc352006406"/>
      <w:bookmarkStart w:id="137" w:name="_Toc327968201"/>
      <w:bookmarkStart w:id="138" w:name="_Toc25981"/>
      <w:bookmarkStart w:id="139" w:name="_Toc18110"/>
      <w:bookmarkStart w:id="140" w:name="_Toc125882613"/>
      <w:r>
        <w:rPr>
          <w:rFonts w:ascii="Times New Roman" w:eastAsia="宋体"/>
          <w:color w:val="auto"/>
          <w:sz w:val="28"/>
          <w:szCs w:val="28"/>
          <w:highlight w:val="none"/>
        </w:rPr>
        <w:t>评价工作等级、内容及评价重点</w:t>
      </w:r>
      <w:bookmarkEnd w:id="135"/>
      <w:bookmarkEnd w:id="136"/>
      <w:bookmarkEnd w:id="137"/>
      <w:bookmarkEnd w:id="138"/>
      <w:bookmarkEnd w:id="139"/>
    </w:p>
    <w:bookmarkEnd w:id="140"/>
    <w:p w14:paraId="1CA561AE">
      <w:pPr>
        <w:pStyle w:val="5"/>
        <w:keepLines w:val="0"/>
        <w:numPr>
          <w:ilvl w:val="2"/>
          <w:numId w:val="6"/>
        </w:numPr>
        <w:tabs>
          <w:tab w:val="left" w:pos="709"/>
        </w:tabs>
        <w:spacing w:before="120" w:beforeLines="50" w:after="0" w:line="360" w:lineRule="auto"/>
        <w:ind w:left="-105" w:right="-105"/>
        <w:rPr>
          <w:rFonts w:eastAsia="宋体"/>
          <w:color w:val="auto"/>
          <w:sz w:val="28"/>
          <w:szCs w:val="28"/>
          <w:highlight w:val="none"/>
        </w:rPr>
      </w:pPr>
      <w:bookmarkStart w:id="141" w:name="_Toc60653450"/>
      <w:r>
        <w:rPr>
          <w:rFonts w:eastAsia="宋体"/>
          <w:color w:val="auto"/>
          <w:sz w:val="28"/>
          <w:szCs w:val="28"/>
          <w:highlight w:val="none"/>
        </w:rPr>
        <w:t>评价工作等级</w:t>
      </w:r>
      <w:bookmarkEnd w:id="141"/>
    </w:p>
    <w:p w14:paraId="45F19A10">
      <w:pPr>
        <w:pStyle w:val="6"/>
        <w:keepLines w:val="0"/>
        <w:widowControl/>
        <w:numPr>
          <w:ilvl w:val="0"/>
          <w:numId w:val="0"/>
        </w:numPr>
        <w:tabs>
          <w:tab w:val="left" w:pos="0"/>
          <w:tab w:val="left" w:pos="2550"/>
        </w:tabs>
        <w:spacing w:before="120" w:beforeLines="50" w:after="120" w:afterLines="50" w:line="360" w:lineRule="auto"/>
        <w:ind w:right="-105"/>
        <w:rPr>
          <w:rFonts w:ascii="Times New Roman" w:hAnsi="Times New Roman"/>
          <w:color w:val="auto"/>
          <w:sz w:val="24"/>
          <w:szCs w:val="24"/>
          <w:highlight w:val="none"/>
        </w:rPr>
      </w:pPr>
      <w:r>
        <w:rPr>
          <w:rFonts w:ascii="Times New Roman" w:hAnsi="Times New Roman"/>
          <w:color w:val="auto"/>
          <w:sz w:val="24"/>
          <w:szCs w:val="24"/>
          <w:highlight w:val="none"/>
        </w:rPr>
        <w:t>2.4.1.1大气环境影响评价等级</w:t>
      </w:r>
    </w:p>
    <w:p w14:paraId="7CDB2BCB">
      <w:pPr>
        <w:spacing w:line="360" w:lineRule="auto"/>
        <w:ind w:left="-105" w:right="-105" w:firstLine="480" w:firstLineChars="200"/>
        <w:rPr>
          <w:rFonts w:ascii="Times New Roman" w:hAnsi="Times New Roman"/>
          <w:color w:val="auto"/>
          <w:highlight w:val="none"/>
        </w:rPr>
      </w:pPr>
      <w:r>
        <w:rPr>
          <w:rFonts w:ascii="Times New Roman" w:hAnsi="Times New Roman"/>
          <w:color w:val="auto"/>
          <w:highlight w:val="none"/>
        </w:rPr>
        <w:t>根据该项目污染物排放特征、所在地区的地形特点和环境区划功能，按照《环境影响评价技术导则》所规定的方法，确定本次评价工作等级。</w:t>
      </w:r>
    </w:p>
    <w:p w14:paraId="710F3EBA">
      <w:pPr>
        <w:spacing w:line="360" w:lineRule="auto"/>
        <w:ind w:left="-105" w:right="-105" w:firstLine="480" w:firstLineChars="200"/>
        <w:rPr>
          <w:rFonts w:ascii="Times New Roman" w:hAnsi="Times New Roman"/>
          <w:color w:val="auto"/>
          <w:highlight w:val="none"/>
        </w:rPr>
      </w:pPr>
      <w:r>
        <w:rPr>
          <w:rFonts w:ascii="Times New Roman" w:hAnsi="Times New Roman"/>
          <w:color w:val="auto"/>
          <w:highlight w:val="none"/>
        </w:rPr>
        <w:t>（1）环境空气评价工作等级</w:t>
      </w:r>
    </w:p>
    <w:p w14:paraId="22170F1F">
      <w:pPr>
        <w:spacing w:line="360" w:lineRule="auto"/>
        <w:ind w:left="-105" w:right="-105" w:firstLine="480" w:firstLineChars="200"/>
        <w:rPr>
          <w:rFonts w:ascii="Times New Roman" w:hAnsi="Times New Roman"/>
          <w:color w:val="auto"/>
          <w:highlight w:val="none"/>
        </w:rPr>
      </w:pPr>
      <w:r>
        <w:rPr>
          <w:rFonts w:hint="eastAsia" w:ascii="Times New Roman" w:hAnsi="Times New Roman"/>
          <w:color w:val="auto"/>
          <w:highlight w:val="none"/>
        </w:rPr>
        <w:t>①</w:t>
      </w:r>
      <w:r>
        <w:rPr>
          <w:rFonts w:ascii="Times New Roman" w:hAnsi="Times New Roman"/>
          <w:color w:val="auto"/>
          <w:highlight w:val="none"/>
        </w:rPr>
        <w:t xml:space="preserve">评价因子和评价标准筛选 </w:t>
      </w:r>
    </w:p>
    <w:p w14:paraId="33550268">
      <w:pPr>
        <w:spacing w:line="360" w:lineRule="auto"/>
        <w:ind w:left="-105" w:right="-105" w:firstLine="480" w:firstLineChars="200"/>
        <w:rPr>
          <w:rFonts w:ascii="Times New Roman" w:hAnsi="Times New Roman"/>
          <w:color w:val="auto"/>
          <w:highlight w:val="none"/>
        </w:rPr>
      </w:pPr>
      <w:r>
        <w:rPr>
          <w:rFonts w:ascii="Times New Roman" w:hAnsi="Times New Roman"/>
          <w:color w:val="auto"/>
          <w:highlight w:val="none"/>
        </w:rPr>
        <w:t>评价因子和评价标准见下表。</w:t>
      </w:r>
    </w:p>
    <w:p w14:paraId="3724A042">
      <w:pPr>
        <w:pStyle w:val="15"/>
        <w:spacing w:line="360" w:lineRule="auto"/>
        <w:ind w:left="-105" w:right="-105" w:firstLine="482"/>
        <w:rPr>
          <w:rFonts w:eastAsia="宋体" w:cs="Times New Roman"/>
          <w:color w:val="auto"/>
          <w:sz w:val="24"/>
          <w:szCs w:val="24"/>
          <w:highlight w:val="none"/>
        </w:rPr>
      </w:pPr>
      <w:bookmarkStart w:id="142" w:name="_Ref17804357"/>
      <w:r>
        <w:rPr>
          <w:rFonts w:eastAsia="宋体" w:cs="Times New Roman"/>
          <w:color w:val="auto"/>
          <w:sz w:val="24"/>
          <w:szCs w:val="18"/>
          <w:highlight w:val="none"/>
        </w:rPr>
        <w:t xml:space="preserve">表 </w:t>
      </w:r>
      <w:r>
        <w:rPr>
          <w:rFonts w:eastAsia="宋体" w:cs="Times New Roman"/>
          <w:color w:val="auto"/>
          <w:sz w:val="24"/>
          <w:szCs w:val="18"/>
          <w:highlight w:val="none"/>
        </w:rPr>
        <w:fldChar w:fldCharType="begin"/>
      </w:r>
      <w:r>
        <w:rPr>
          <w:rFonts w:eastAsia="宋体" w:cs="Times New Roman"/>
          <w:color w:val="auto"/>
          <w:sz w:val="24"/>
          <w:szCs w:val="18"/>
          <w:highlight w:val="none"/>
        </w:rPr>
        <w:instrText xml:space="preserve"> STYLEREF 2 \s </w:instrText>
      </w:r>
      <w:r>
        <w:rPr>
          <w:rFonts w:eastAsia="宋体" w:cs="Times New Roman"/>
          <w:color w:val="auto"/>
          <w:sz w:val="24"/>
          <w:szCs w:val="18"/>
          <w:highlight w:val="none"/>
        </w:rPr>
        <w:fldChar w:fldCharType="separate"/>
      </w:r>
      <w:r>
        <w:rPr>
          <w:rFonts w:eastAsia="宋体" w:cs="Times New Roman"/>
          <w:color w:val="auto"/>
          <w:sz w:val="24"/>
          <w:szCs w:val="18"/>
          <w:highlight w:val="none"/>
        </w:rPr>
        <w:t>2.4</w:t>
      </w:r>
      <w:r>
        <w:rPr>
          <w:rFonts w:eastAsia="宋体" w:cs="Times New Roman"/>
          <w:color w:val="auto"/>
          <w:sz w:val="24"/>
          <w:szCs w:val="18"/>
          <w:highlight w:val="none"/>
        </w:rPr>
        <w:fldChar w:fldCharType="end"/>
      </w:r>
      <w:r>
        <w:rPr>
          <w:rFonts w:eastAsia="宋体" w:cs="Times New Roman"/>
          <w:color w:val="auto"/>
          <w:sz w:val="24"/>
          <w:szCs w:val="18"/>
          <w:highlight w:val="none"/>
        </w:rPr>
        <w:noBreakHyphen/>
      </w:r>
      <w:r>
        <w:rPr>
          <w:rFonts w:eastAsia="宋体" w:cs="Times New Roman"/>
          <w:color w:val="auto"/>
          <w:sz w:val="24"/>
          <w:szCs w:val="18"/>
          <w:highlight w:val="none"/>
        </w:rPr>
        <w:fldChar w:fldCharType="begin"/>
      </w:r>
      <w:r>
        <w:rPr>
          <w:rFonts w:eastAsia="宋体" w:cs="Times New Roman"/>
          <w:color w:val="auto"/>
          <w:sz w:val="24"/>
          <w:szCs w:val="18"/>
          <w:highlight w:val="none"/>
        </w:rPr>
        <w:instrText xml:space="preserve"> SEQ 表 \* ARABIC \s 2 </w:instrText>
      </w:r>
      <w:r>
        <w:rPr>
          <w:rFonts w:eastAsia="宋体" w:cs="Times New Roman"/>
          <w:color w:val="auto"/>
          <w:sz w:val="24"/>
          <w:szCs w:val="18"/>
          <w:highlight w:val="none"/>
        </w:rPr>
        <w:fldChar w:fldCharType="separate"/>
      </w:r>
      <w:r>
        <w:rPr>
          <w:rFonts w:eastAsia="宋体" w:cs="Times New Roman"/>
          <w:color w:val="auto"/>
          <w:sz w:val="24"/>
          <w:szCs w:val="18"/>
          <w:highlight w:val="none"/>
        </w:rPr>
        <w:t>1</w:t>
      </w:r>
      <w:r>
        <w:rPr>
          <w:rFonts w:eastAsia="宋体" w:cs="Times New Roman"/>
          <w:color w:val="auto"/>
          <w:sz w:val="24"/>
          <w:szCs w:val="18"/>
          <w:highlight w:val="none"/>
        </w:rPr>
        <w:fldChar w:fldCharType="end"/>
      </w:r>
      <w:bookmarkEnd w:id="142"/>
      <w:r>
        <w:rPr>
          <w:rFonts w:eastAsia="宋体" w:cs="Times New Roman"/>
          <w:color w:val="auto"/>
          <w:sz w:val="24"/>
          <w:szCs w:val="24"/>
          <w:highlight w:val="none"/>
        </w:rPr>
        <w:t>评价因子和评价标准表</w:t>
      </w:r>
    </w:p>
    <w:tbl>
      <w:tblPr>
        <w:tblStyle w:val="45"/>
        <w:tblW w:w="9072" w:type="dxa"/>
        <w:jc w:val="center"/>
        <w:tblBorders>
          <w:top w:val="single" w:color="000000" w:sz="12" w:space="0"/>
          <w:left w:val="none" w:color="auto" w:sz="0" w:space="0"/>
          <w:bottom w:val="single" w:color="000000" w:sz="12" w:space="0"/>
          <w:right w:val="none" w:color="auto" w:sz="0" w:space="0"/>
          <w:insideH w:val="single" w:color="000000" w:sz="2" w:space="0"/>
          <w:insideV w:val="single" w:color="000000" w:sz="4" w:space="0"/>
        </w:tblBorders>
        <w:tblLayout w:type="fixed"/>
        <w:tblCellMar>
          <w:top w:w="0" w:type="dxa"/>
          <w:left w:w="108" w:type="dxa"/>
          <w:bottom w:w="0" w:type="dxa"/>
          <w:right w:w="108" w:type="dxa"/>
        </w:tblCellMar>
      </w:tblPr>
      <w:tblGrid>
        <w:gridCol w:w="1704"/>
        <w:gridCol w:w="2040"/>
        <w:gridCol w:w="1920"/>
        <w:gridCol w:w="3408"/>
      </w:tblGrid>
      <w:tr w14:paraId="4F51565D">
        <w:tblPrEx>
          <w:tblBorders>
            <w:top w:val="single" w:color="000000" w:sz="12" w:space="0"/>
            <w:left w:val="none" w:color="auto" w:sz="0" w:space="0"/>
            <w:bottom w:val="single" w:color="000000" w:sz="12" w:space="0"/>
            <w:right w:val="none" w:color="auto" w:sz="0" w:space="0"/>
            <w:insideH w:val="single" w:color="000000" w:sz="2" w:space="0"/>
            <w:insideV w:val="single" w:color="000000" w:sz="4" w:space="0"/>
          </w:tblBorders>
          <w:tblCellMar>
            <w:top w:w="0" w:type="dxa"/>
            <w:left w:w="108" w:type="dxa"/>
            <w:bottom w:w="0" w:type="dxa"/>
            <w:right w:w="108" w:type="dxa"/>
          </w:tblCellMar>
        </w:tblPrEx>
        <w:trPr>
          <w:trHeight w:val="339" w:hRule="atLeast"/>
          <w:jc w:val="center"/>
        </w:trPr>
        <w:tc>
          <w:tcPr>
            <w:tcW w:w="1704" w:type="dxa"/>
            <w:tcBorders>
              <w:tl2br w:val="nil"/>
              <w:tr2bl w:val="nil"/>
            </w:tcBorders>
            <w:vAlign w:val="center"/>
          </w:tcPr>
          <w:p w14:paraId="6F3F19F5">
            <w:pPr>
              <w:pStyle w:val="98"/>
              <w:ind w:left="-105" w:right="-105"/>
              <w:rPr>
                <w:rFonts w:eastAsia="宋体"/>
                <w:b/>
                <w:color w:val="auto"/>
                <w:sz w:val="21"/>
                <w:szCs w:val="21"/>
                <w:highlight w:val="none"/>
              </w:rPr>
            </w:pPr>
            <w:r>
              <w:rPr>
                <w:rFonts w:eastAsia="宋体"/>
                <w:b/>
                <w:color w:val="auto"/>
                <w:sz w:val="21"/>
                <w:szCs w:val="21"/>
                <w:highlight w:val="none"/>
              </w:rPr>
              <w:t>评价因子</w:t>
            </w:r>
          </w:p>
        </w:tc>
        <w:tc>
          <w:tcPr>
            <w:tcW w:w="2040" w:type="dxa"/>
            <w:tcBorders>
              <w:tl2br w:val="nil"/>
              <w:tr2bl w:val="nil"/>
            </w:tcBorders>
            <w:vAlign w:val="center"/>
          </w:tcPr>
          <w:p w14:paraId="0BC6529B">
            <w:pPr>
              <w:pStyle w:val="98"/>
              <w:ind w:left="-105" w:right="-105"/>
              <w:rPr>
                <w:rFonts w:eastAsia="宋体"/>
                <w:b/>
                <w:color w:val="auto"/>
                <w:sz w:val="21"/>
                <w:szCs w:val="21"/>
                <w:highlight w:val="none"/>
              </w:rPr>
            </w:pPr>
            <w:r>
              <w:rPr>
                <w:rFonts w:eastAsia="宋体"/>
                <w:b/>
                <w:color w:val="auto"/>
                <w:sz w:val="21"/>
                <w:szCs w:val="21"/>
                <w:highlight w:val="none"/>
              </w:rPr>
              <w:t>平均时段</w:t>
            </w:r>
          </w:p>
        </w:tc>
        <w:tc>
          <w:tcPr>
            <w:tcW w:w="1920" w:type="dxa"/>
            <w:tcBorders>
              <w:tl2br w:val="nil"/>
              <w:tr2bl w:val="nil"/>
            </w:tcBorders>
            <w:vAlign w:val="center"/>
          </w:tcPr>
          <w:p w14:paraId="5FE0F737">
            <w:pPr>
              <w:pStyle w:val="98"/>
              <w:ind w:left="-105" w:right="-105"/>
              <w:rPr>
                <w:rFonts w:eastAsia="宋体"/>
                <w:b/>
                <w:color w:val="auto"/>
                <w:sz w:val="21"/>
                <w:szCs w:val="21"/>
                <w:highlight w:val="none"/>
              </w:rPr>
            </w:pPr>
            <w:r>
              <w:rPr>
                <w:rFonts w:eastAsia="宋体"/>
                <w:b/>
                <w:color w:val="auto"/>
                <w:sz w:val="21"/>
                <w:szCs w:val="21"/>
                <w:highlight w:val="none"/>
              </w:rPr>
              <w:t>标准值</w:t>
            </w:r>
            <w:r>
              <w:rPr>
                <w:rFonts w:eastAsia="宋体"/>
                <w:color w:val="auto"/>
                <w:sz w:val="21"/>
                <w:szCs w:val="21"/>
                <w:highlight w:val="none"/>
              </w:rPr>
              <w:t>μg/m</w:t>
            </w:r>
            <w:r>
              <w:rPr>
                <w:rFonts w:eastAsia="宋体"/>
                <w:color w:val="auto"/>
                <w:sz w:val="21"/>
                <w:szCs w:val="21"/>
                <w:highlight w:val="none"/>
                <w:vertAlign w:val="superscript"/>
              </w:rPr>
              <w:t>3</w:t>
            </w:r>
          </w:p>
        </w:tc>
        <w:tc>
          <w:tcPr>
            <w:tcW w:w="3408" w:type="dxa"/>
            <w:tcBorders>
              <w:tl2br w:val="nil"/>
              <w:tr2bl w:val="nil"/>
            </w:tcBorders>
            <w:vAlign w:val="center"/>
          </w:tcPr>
          <w:p w14:paraId="5C278F9F">
            <w:pPr>
              <w:pStyle w:val="98"/>
              <w:ind w:left="-105" w:right="-105"/>
              <w:rPr>
                <w:rFonts w:eastAsia="宋体"/>
                <w:b/>
                <w:color w:val="auto"/>
                <w:sz w:val="21"/>
                <w:szCs w:val="21"/>
                <w:highlight w:val="none"/>
              </w:rPr>
            </w:pPr>
            <w:r>
              <w:rPr>
                <w:rFonts w:eastAsia="宋体"/>
                <w:b/>
                <w:color w:val="auto"/>
                <w:sz w:val="21"/>
                <w:szCs w:val="21"/>
                <w:highlight w:val="none"/>
              </w:rPr>
              <w:t>标准来源</w:t>
            </w:r>
          </w:p>
        </w:tc>
      </w:tr>
      <w:tr w14:paraId="0802DC95">
        <w:tblPrEx>
          <w:tblBorders>
            <w:top w:val="single" w:color="000000" w:sz="12" w:space="0"/>
            <w:left w:val="none" w:color="auto" w:sz="0" w:space="0"/>
            <w:bottom w:val="single" w:color="000000" w:sz="12" w:space="0"/>
            <w:right w:val="none" w:color="auto" w:sz="0" w:space="0"/>
            <w:insideH w:val="single" w:color="000000" w:sz="2" w:space="0"/>
            <w:insideV w:val="single" w:color="000000" w:sz="4" w:space="0"/>
          </w:tblBorders>
          <w:tblCellMar>
            <w:top w:w="0" w:type="dxa"/>
            <w:left w:w="108" w:type="dxa"/>
            <w:bottom w:w="0" w:type="dxa"/>
            <w:right w:w="108" w:type="dxa"/>
          </w:tblCellMar>
        </w:tblPrEx>
        <w:trPr>
          <w:trHeight w:val="340" w:hRule="atLeast"/>
          <w:jc w:val="center"/>
        </w:trPr>
        <w:tc>
          <w:tcPr>
            <w:tcW w:w="1704" w:type="dxa"/>
            <w:tcBorders>
              <w:tl2br w:val="nil"/>
              <w:tr2bl w:val="nil"/>
            </w:tcBorders>
            <w:vAlign w:val="center"/>
          </w:tcPr>
          <w:p w14:paraId="00A60101">
            <w:pPr>
              <w:pStyle w:val="98"/>
              <w:ind w:left="-105" w:right="-105"/>
              <w:rPr>
                <w:rFonts w:eastAsia="宋体"/>
                <w:color w:val="auto"/>
                <w:sz w:val="21"/>
                <w:szCs w:val="21"/>
                <w:highlight w:val="none"/>
                <w:lang w:val="en-US"/>
              </w:rPr>
            </w:pPr>
            <w:r>
              <w:rPr>
                <w:rFonts w:hint="eastAsia" w:eastAsia="宋体"/>
                <w:color w:val="auto"/>
                <w:sz w:val="21"/>
                <w:szCs w:val="21"/>
                <w:highlight w:val="none"/>
                <w:lang w:val="en-US"/>
              </w:rPr>
              <w:t>非甲烷总烃</w:t>
            </w:r>
          </w:p>
        </w:tc>
        <w:tc>
          <w:tcPr>
            <w:tcW w:w="2040" w:type="dxa"/>
            <w:tcBorders>
              <w:tl2br w:val="nil"/>
              <w:tr2bl w:val="nil"/>
            </w:tcBorders>
            <w:vAlign w:val="center"/>
          </w:tcPr>
          <w:p w14:paraId="3A3FEC0C">
            <w:pPr>
              <w:ind w:left="-105" w:right="-105"/>
              <w:jc w:val="center"/>
              <w:rPr>
                <w:color w:val="auto"/>
                <w:sz w:val="21"/>
                <w:szCs w:val="21"/>
                <w:highlight w:val="none"/>
              </w:rPr>
            </w:pPr>
            <w:r>
              <w:rPr>
                <w:rFonts w:ascii="Times New Roman" w:hAnsi="Times New Roman"/>
                <w:color w:val="auto"/>
                <w:sz w:val="21"/>
                <w:szCs w:val="21"/>
                <w:highlight w:val="none"/>
                <w:lang w:bidi="ar"/>
              </w:rPr>
              <w:t>一次浓度值</w:t>
            </w:r>
          </w:p>
        </w:tc>
        <w:tc>
          <w:tcPr>
            <w:tcW w:w="1920" w:type="dxa"/>
            <w:tcBorders>
              <w:tl2br w:val="nil"/>
              <w:tr2bl w:val="nil"/>
            </w:tcBorders>
            <w:vAlign w:val="center"/>
          </w:tcPr>
          <w:p w14:paraId="077C35F5">
            <w:pPr>
              <w:ind w:left="-105" w:right="-105"/>
              <w:jc w:val="center"/>
              <w:rPr>
                <w:color w:val="auto"/>
                <w:sz w:val="21"/>
                <w:szCs w:val="21"/>
                <w:highlight w:val="none"/>
              </w:rPr>
            </w:pPr>
            <w:r>
              <w:rPr>
                <w:rFonts w:hint="eastAsia" w:ascii="Times New Roman" w:hAnsi="Times New Roman"/>
                <w:color w:val="auto"/>
                <w:sz w:val="21"/>
                <w:szCs w:val="21"/>
                <w:highlight w:val="none"/>
              </w:rPr>
              <w:t>2000</w:t>
            </w:r>
          </w:p>
        </w:tc>
        <w:tc>
          <w:tcPr>
            <w:tcW w:w="3408" w:type="dxa"/>
            <w:tcBorders>
              <w:tl2br w:val="nil"/>
              <w:tr2bl w:val="nil"/>
            </w:tcBorders>
            <w:vAlign w:val="center"/>
          </w:tcPr>
          <w:p w14:paraId="35641D2D">
            <w:pPr>
              <w:ind w:left="-105" w:right="-105"/>
              <w:jc w:val="center"/>
              <w:rPr>
                <w:rFonts w:ascii="Times New Roman" w:hAnsi="Times New Roman"/>
                <w:color w:val="auto"/>
                <w:sz w:val="21"/>
                <w:szCs w:val="21"/>
                <w:highlight w:val="none"/>
              </w:rPr>
            </w:pPr>
            <w:r>
              <w:rPr>
                <w:rFonts w:ascii="Times New Roman" w:hAnsi="Times New Roman" w:cs="Times New Roman"/>
                <w:color w:val="auto"/>
                <w:sz w:val="21"/>
                <w:szCs w:val="21"/>
                <w:highlight w:val="none"/>
              </w:rPr>
              <w:t>《大气污染物综合排放标准详解》</w:t>
            </w:r>
          </w:p>
        </w:tc>
      </w:tr>
    </w:tbl>
    <w:p w14:paraId="4A4DB20C">
      <w:pPr>
        <w:spacing w:line="360" w:lineRule="auto"/>
        <w:ind w:left="-105" w:right="-105" w:firstLine="480" w:firstLineChars="200"/>
        <w:rPr>
          <w:rFonts w:ascii="Times New Roman" w:hAnsi="Times New Roman"/>
          <w:color w:val="auto"/>
          <w:highlight w:val="none"/>
        </w:rPr>
      </w:pPr>
      <w:r>
        <w:rPr>
          <w:rFonts w:hint="eastAsia" w:ascii="Times New Roman" w:hAnsi="Times New Roman"/>
          <w:color w:val="auto"/>
          <w:highlight w:val="none"/>
        </w:rPr>
        <w:t>②</w:t>
      </w:r>
      <w:r>
        <w:rPr>
          <w:rFonts w:ascii="Times New Roman" w:hAnsi="Times New Roman"/>
          <w:color w:val="auto"/>
          <w:highlight w:val="none"/>
        </w:rPr>
        <w:t>估算模型参数表</w:t>
      </w:r>
    </w:p>
    <w:p w14:paraId="4638673F">
      <w:pPr>
        <w:spacing w:line="360" w:lineRule="auto"/>
        <w:ind w:left="-105" w:right="-105" w:firstLine="480" w:firstLineChars="200"/>
        <w:rPr>
          <w:rFonts w:ascii="Times New Roman" w:hAnsi="Times New Roman"/>
          <w:color w:val="auto"/>
          <w:highlight w:val="none"/>
        </w:rPr>
      </w:pPr>
      <w:r>
        <w:rPr>
          <w:rFonts w:ascii="Times New Roman" w:hAnsi="Times New Roman"/>
          <w:color w:val="auto"/>
          <w:highlight w:val="none"/>
        </w:rPr>
        <w:t>估算模型参数表见下表。</w:t>
      </w:r>
    </w:p>
    <w:p w14:paraId="6DF04702">
      <w:pPr>
        <w:pStyle w:val="15"/>
        <w:spacing w:line="360" w:lineRule="auto"/>
        <w:ind w:left="-105" w:right="-105" w:firstLine="482"/>
        <w:rPr>
          <w:rFonts w:eastAsia="宋体" w:cs="Times New Roman"/>
          <w:color w:val="auto"/>
          <w:sz w:val="24"/>
          <w:szCs w:val="24"/>
          <w:highlight w:val="none"/>
        </w:rPr>
      </w:pPr>
      <w:bookmarkStart w:id="143" w:name="_Ref17804348"/>
      <w:r>
        <w:rPr>
          <w:rFonts w:eastAsia="宋体" w:cs="Times New Roman"/>
          <w:color w:val="auto"/>
          <w:sz w:val="24"/>
          <w:szCs w:val="18"/>
          <w:highlight w:val="none"/>
        </w:rPr>
        <w:t>表</w:t>
      </w:r>
      <w:r>
        <w:rPr>
          <w:rFonts w:eastAsia="宋体" w:cs="Times New Roman"/>
          <w:color w:val="auto"/>
          <w:sz w:val="24"/>
          <w:szCs w:val="18"/>
          <w:highlight w:val="none"/>
        </w:rPr>
        <w:fldChar w:fldCharType="begin"/>
      </w:r>
      <w:r>
        <w:rPr>
          <w:rFonts w:eastAsia="宋体" w:cs="Times New Roman"/>
          <w:color w:val="auto"/>
          <w:sz w:val="24"/>
          <w:szCs w:val="18"/>
          <w:highlight w:val="none"/>
        </w:rPr>
        <w:instrText xml:space="preserve"> STYLEREF 2 \s </w:instrText>
      </w:r>
      <w:r>
        <w:rPr>
          <w:rFonts w:eastAsia="宋体" w:cs="Times New Roman"/>
          <w:color w:val="auto"/>
          <w:sz w:val="24"/>
          <w:szCs w:val="18"/>
          <w:highlight w:val="none"/>
        </w:rPr>
        <w:fldChar w:fldCharType="separate"/>
      </w:r>
      <w:r>
        <w:rPr>
          <w:rFonts w:eastAsia="宋体" w:cs="Times New Roman"/>
          <w:color w:val="auto"/>
          <w:sz w:val="24"/>
          <w:szCs w:val="18"/>
          <w:highlight w:val="none"/>
        </w:rPr>
        <w:t>2.4</w:t>
      </w:r>
      <w:r>
        <w:rPr>
          <w:rFonts w:eastAsia="宋体" w:cs="Times New Roman"/>
          <w:color w:val="auto"/>
          <w:sz w:val="24"/>
          <w:szCs w:val="18"/>
          <w:highlight w:val="none"/>
        </w:rPr>
        <w:fldChar w:fldCharType="end"/>
      </w:r>
      <w:r>
        <w:rPr>
          <w:rFonts w:eastAsia="宋体" w:cs="Times New Roman"/>
          <w:color w:val="auto"/>
          <w:sz w:val="24"/>
          <w:szCs w:val="18"/>
          <w:highlight w:val="none"/>
        </w:rPr>
        <w:noBreakHyphen/>
      </w:r>
      <w:r>
        <w:rPr>
          <w:rFonts w:eastAsia="宋体" w:cs="Times New Roman"/>
          <w:color w:val="auto"/>
          <w:sz w:val="24"/>
          <w:szCs w:val="18"/>
          <w:highlight w:val="none"/>
        </w:rPr>
        <w:fldChar w:fldCharType="begin"/>
      </w:r>
      <w:r>
        <w:rPr>
          <w:rFonts w:eastAsia="宋体" w:cs="Times New Roman"/>
          <w:color w:val="auto"/>
          <w:sz w:val="24"/>
          <w:szCs w:val="18"/>
          <w:highlight w:val="none"/>
        </w:rPr>
        <w:instrText xml:space="preserve"> SEQ 表 \* ARABIC \s 2 </w:instrText>
      </w:r>
      <w:r>
        <w:rPr>
          <w:rFonts w:eastAsia="宋体" w:cs="Times New Roman"/>
          <w:color w:val="auto"/>
          <w:sz w:val="24"/>
          <w:szCs w:val="18"/>
          <w:highlight w:val="none"/>
        </w:rPr>
        <w:fldChar w:fldCharType="separate"/>
      </w:r>
      <w:r>
        <w:rPr>
          <w:rFonts w:eastAsia="宋体" w:cs="Times New Roman"/>
          <w:color w:val="auto"/>
          <w:sz w:val="24"/>
          <w:szCs w:val="18"/>
          <w:highlight w:val="none"/>
        </w:rPr>
        <w:t>2</w:t>
      </w:r>
      <w:r>
        <w:rPr>
          <w:rFonts w:eastAsia="宋体" w:cs="Times New Roman"/>
          <w:color w:val="auto"/>
          <w:sz w:val="24"/>
          <w:szCs w:val="18"/>
          <w:highlight w:val="none"/>
        </w:rPr>
        <w:fldChar w:fldCharType="end"/>
      </w:r>
      <w:bookmarkEnd w:id="143"/>
      <w:r>
        <w:rPr>
          <w:rFonts w:eastAsia="宋体" w:cs="Times New Roman"/>
          <w:color w:val="auto"/>
          <w:sz w:val="24"/>
          <w:szCs w:val="24"/>
          <w:highlight w:val="none"/>
        </w:rPr>
        <w:t>估算模型参数表</w:t>
      </w:r>
    </w:p>
    <w:tbl>
      <w:tblPr>
        <w:tblStyle w:val="45"/>
        <w:tblW w:w="9072" w:type="dxa"/>
        <w:jc w:val="center"/>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fixed"/>
        <w:tblCellMar>
          <w:top w:w="0" w:type="dxa"/>
          <w:left w:w="108" w:type="dxa"/>
          <w:bottom w:w="0" w:type="dxa"/>
          <w:right w:w="108" w:type="dxa"/>
        </w:tblCellMar>
      </w:tblPr>
      <w:tblGrid>
        <w:gridCol w:w="3024"/>
        <w:gridCol w:w="3024"/>
        <w:gridCol w:w="3024"/>
      </w:tblGrid>
      <w:tr w14:paraId="4E4AB058">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108" w:type="dxa"/>
            <w:bottom w:w="0" w:type="dxa"/>
            <w:right w:w="108" w:type="dxa"/>
          </w:tblCellMar>
        </w:tblPrEx>
        <w:trPr>
          <w:trHeight w:val="90" w:hRule="atLeast"/>
          <w:jc w:val="center"/>
        </w:trPr>
        <w:tc>
          <w:tcPr>
            <w:tcW w:w="6048" w:type="dxa"/>
            <w:gridSpan w:val="2"/>
            <w:tcBorders>
              <w:left w:val="nil"/>
              <w:bottom w:val="single" w:color="000000" w:sz="4" w:space="0"/>
              <w:right w:val="single" w:color="000000" w:sz="4" w:space="0"/>
            </w:tcBorders>
            <w:vAlign w:val="center"/>
          </w:tcPr>
          <w:p w14:paraId="3F5F440C">
            <w:pPr>
              <w:pStyle w:val="98"/>
              <w:ind w:left="-105" w:right="-105"/>
              <w:rPr>
                <w:rFonts w:eastAsia="宋体"/>
                <w:b/>
                <w:color w:val="auto"/>
                <w:sz w:val="21"/>
                <w:szCs w:val="21"/>
                <w:highlight w:val="none"/>
              </w:rPr>
            </w:pPr>
            <w:r>
              <w:rPr>
                <w:rFonts w:eastAsia="宋体"/>
                <w:b/>
                <w:color w:val="auto"/>
                <w:sz w:val="21"/>
                <w:szCs w:val="21"/>
                <w:highlight w:val="none"/>
              </w:rPr>
              <w:t>参数</w:t>
            </w:r>
          </w:p>
        </w:tc>
        <w:tc>
          <w:tcPr>
            <w:tcW w:w="3024" w:type="dxa"/>
            <w:tcBorders>
              <w:left w:val="single" w:color="000000" w:sz="4" w:space="0"/>
              <w:bottom w:val="single" w:color="000000" w:sz="4" w:space="0"/>
              <w:right w:val="nil"/>
            </w:tcBorders>
            <w:vAlign w:val="center"/>
          </w:tcPr>
          <w:p w14:paraId="146682B0">
            <w:pPr>
              <w:pStyle w:val="98"/>
              <w:ind w:left="-105" w:right="-105"/>
              <w:rPr>
                <w:rFonts w:eastAsia="宋体"/>
                <w:b/>
                <w:color w:val="auto"/>
                <w:sz w:val="21"/>
                <w:szCs w:val="21"/>
                <w:highlight w:val="none"/>
              </w:rPr>
            </w:pPr>
            <w:r>
              <w:rPr>
                <w:rFonts w:eastAsia="宋体"/>
                <w:b/>
                <w:color w:val="auto"/>
                <w:sz w:val="21"/>
                <w:szCs w:val="21"/>
                <w:highlight w:val="none"/>
              </w:rPr>
              <w:t>取值</w:t>
            </w:r>
          </w:p>
        </w:tc>
      </w:tr>
      <w:tr w14:paraId="1FA56D53">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108" w:type="dxa"/>
            <w:bottom w:w="0" w:type="dxa"/>
            <w:right w:w="108" w:type="dxa"/>
          </w:tblCellMar>
        </w:tblPrEx>
        <w:trPr>
          <w:trHeight w:val="340" w:hRule="atLeast"/>
          <w:jc w:val="center"/>
        </w:trPr>
        <w:tc>
          <w:tcPr>
            <w:tcW w:w="3024" w:type="dxa"/>
            <w:vMerge w:val="restart"/>
            <w:tcBorders>
              <w:top w:val="single" w:color="000000" w:sz="4" w:space="0"/>
              <w:left w:val="nil"/>
              <w:bottom w:val="single" w:color="000000" w:sz="4" w:space="0"/>
              <w:right w:val="single" w:color="000000" w:sz="4" w:space="0"/>
            </w:tcBorders>
            <w:vAlign w:val="center"/>
          </w:tcPr>
          <w:p w14:paraId="67300902">
            <w:pPr>
              <w:pStyle w:val="98"/>
              <w:ind w:left="-105" w:right="-105"/>
              <w:rPr>
                <w:rFonts w:eastAsia="宋体"/>
                <w:color w:val="auto"/>
                <w:sz w:val="21"/>
                <w:szCs w:val="21"/>
                <w:highlight w:val="none"/>
              </w:rPr>
            </w:pPr>
            <w:r>
              <w:rPr>
                <w:rFonts w:eastAsia="宋体"/>
                <w:color w:val="auto"/>
                <w:sz w:val="21"/>
                <w:szCs w:val="21"/>
                <w:highlight w:val="none"/>
              </w:rPr>
              <w:t>城市/农村选项</w:t>
            </w:r>
          </w:p>
        </w:tc>
        <w:tc>
          <w:tcPr>
            <w:tcW w:w="3024" w:type="dxa"/>
            <w:tcBorders>
              <w:top w:val="single" w:color="000000" w:sz="4" w:space="0"/>
              <w:left w:val="single" w:color="000000" w:sz="4" w:space="0"/>
              <w:bottom w:val="single" w:color="000000" w:sz="4" w:space="0"/>
              <w:right w:val="single" w:color="000000" w:sz="4" w:space="0"/>
            </w:tcBorders>
            <w:vAlign w:val="center"/>
          </w:tcPr>
          <w:p w14:paraId="1BC502C0">
            <w:pPr>
              <w:pStyle w:val="98"/>
              <w:ind w:left="-105" w:right="-105"/>
              <w:rPr>
                <w:rFonts w:eastAsia="宋体"/>
                <w:color w:val="auto"/>
                <w:sz w:val="21"/>
                <w:szCs w:val="21"/>
                <w:highlight w:val="none"/>
              </w:rPr>
            </w:pPr>
            <w:r>
              <w:rPr>
                <w:rFonts w:eastAsia="宋体"/>
                <w:color w:val="auto"/>
                <w:sz w:val="21"/>
                <w:szCs w:val="21"/>
                <w:highlight w:val="none"/>
              </w:rPr>
              <w:t>城市/农村</w:t>
            </w:r>
          </w:p>
        </w:tc>
        <w:tc>
          <w:tcPr>
            <w:tcW w:w="3024" w:type="dxa"/>
            <w:tcBorders>
              <w:top w:val="single" w:color="000000" w:sz="4" w:space="0"/>
              <w:left w:val="single" w:color="000000" w:sz="4" w:space="0"/>
              <w:bottom w:val="single" w:color="000000" w:sz="4" w:space="0"/>
              <w:right w:val="nil"/>
            </w:tcBorders>
            <w:vAlign w:val="center"/>
          </w:tcPr>
          <w:p w14:paraId="09496BB4">
            <w:pPr>
              <w:pStyle w:val="98"/>
              <w:ind w:left="-105" w:right="-105"/>
              <w:rPr>
                <w:rFonts w:eastAsia="宋体"/>
                <w:color w:val="auto"/>
                <w:sz w:val="21"/>
                <w:szCs w:val="21"/>
                <w:highlight w:val="none"/>
              </w:rPr>
            </w:pPr>
            <w:r>
              <w:rPr>
                <w:rFonts w:hint="eastAsia" w:eastAsia="宋体"/>
                <w:color w:val="auto"/>
                <w:sz w:val="21"/>
                <w:szCs w:val="21"/>
                <w:highlight w:val="none"/>
                <w:lang w:val="en-US"/>
              </w:rPr>
              <w:t>农村</w:t>
            </w:r>
          </w:p>
        </w:tc>
      </w:tr>
      <w:tr w14:paraId="057D70E0">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108" w:type="dxa"/>
            <w:bottom w:w="0" w:type="dxa"/>
            <w:right w:w="108" w:type="dxa"/>
          </w:tblCellMar>
        </w:tblPrEx>
        <w:trPr>
          <w:trHeight w:val="340" w:hRule="atLeast"/>
          <w:jc w:val="center"/>
        </w:trPr>
        <w:tc>
          <w:tcPr>
            <w:tcW w:w="3024" w:type="dxa"/>
            <w:vMerge w:val="continue"/>
            <w:tcBorders>
              <w:top w:val="nil"/>
              <w:left w:val="nil"/>
              <w:bottom w:val="single" w:color="000000" w:sz="4" w:space="0"/>
              <w:right w:val="single" w:color="000000" w:sz="4" w:space="0"/>
            </w:tcBorders>
            <w:vAlign w:val="center"/>
          </w:tcPr>
          <w:p w14:paraId="6B0F475B">
            <w:pPr>
              <w:ind w:left="-105" w:right="-105"/>
              <w:jc w:val="center"/>
              <w:rPr>
                <w:rFonts w:ascii="Times New Roman" w:hAnsi="Times New Roman"/>
                <w:color w:val="auto"/>
                <w:sz w:val="21"/>
                <w:szCs w:val="21"/>
                <w:highlight w:val="none"/>
              </w:rPr>
            </w:pPr>
          </w:p>
        </w:tc>
        <w:tc>
          <w:tcPr>
            <w:tcW w:w="3024" w:type="dxa"/>
            <w:tcBorders>
              <w:top w:val="single" w:color="000000" w:sz="4" w:space="0"/>
              <w:left w:val="single" w:color="000000" w:sz="4" w:space="0"/>
              <w:bottom w:val="single" w:color="000000" w:sz="4" w:space="0"/>
              <w:right w:val="single" w:color="000000" w:sz="4" w:space="0"/>
            </w:tcBorders>
            <w:vAlign w:val="center"/>
          </w:tcPr>
          <w:p w14:paraId="30A1E8D5">
            <w:pPr>
              <w:pStyle w:val="98"/>
              <w:ind w:left="-105" w:right="-105"/>
              <w:rPr>
                <w:rFonts w:eastAsia="宋体"/>
                <w:color w:val="auto"/>
                <w:sz w:val="21"/>
                <w:szCs w:val="21"/>
                <w:highlight w:val="none"/>
              </w:rPr>
            </w:pPr>
            <w:r>
              <w:rPr>
                <w:rFonts w:eastAsia="宋体"/>
                <w:color w:val="auto"/>
                <w:sz w:val="21"/>
                <w:szCs w:val="21"/>
                <w:highlight w:val="none"/>
              </w:rPr>
              <w:t>人口数（城市选项）</w:t>
            </w:r>
          </w:p>
        </w:tc>
        <w:tc>
          <w:tcPr>
            <w:tcW w:w="3024" w:type="dxa"/>
            <w:tcBorders>
              <w:top w:val="single" w:color="000000" w:sz="4" w:space="0"/>
              <w:left w:val="single" w:color="000000" w:sz="4" w:space="0"/>
              <w:bottom w:val="single" w:color="000000" w:sz="4" w:space="0"/>
              <w:right w:val="nil"/>
            </w:tcBorders>
            <w:vAlign w:val="center"/>
          </w:tcPr>
          <w:p w14:paraId="6095A1ED">
            <w:pPr>
              <w:pStyle w:val="98"/>
              <w:ind w:left="-105" w:right="-105"/>
              <w:rPr>
                <w:rFonts w:eastAsia="宋体"/>
                <w:color w:val="auto"/>
                <w:sz w:val="21"/>
                <w:szCs w:val="21"/>
                <w:highlight w:val="none"/>
              </w:rPr>
            </w:pPr>
            <w:r>
              <w:rPr>
                <w:rFonts w:hint="eastAsia" w:eastAsia="宋体"/>
                <w:color w:val="auto"/>
                <w:sz w:val="21"/>
                <w:szCs w:val="21"/>
                <w:highlight w:val="none"/>
                <w:lang w:val="en-US"/>
              </w:rPr>
              <w:t>/</w:t>
            </w:r>
          </w:p>
        </w:tc>
      </w:tr>
      <w:tr w14:paraId="459E5C6B">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108" w:type="dxa"/>
            <w:bottom w:w="0" w:type="dxa"/>
            <w:right w:w="108" w:type="dxa"/>
          </w:tblCellMar>
        </w:tblPrEx>
        <w:trPr>
          <w:trHeight w:val="339" w:hRule="atLeast"/>
          <w:jc w:val="center"/>
        </w:trPr>
        <w:tc>
          <w:tcPr>
            <w:tcW w:w="6048" w:type="dxa"/>
            <w:gridSpan w:val="2"/>
            <w:tcBorders>
              <w:top w:val="single" w:color="000000" w:sz="4" w:space="0"/>
              <w:left w:val="nil"/>
              <w:bottom w:val="single" w:color="000000" w:sz="4" w:space="0"/>
              <w:right w:val="single" w:color="000000" w:sz="4" w:space="0"/>
            </w:tcBorders>
            <w:vAlign w:val="center"/>
          </w:tcPr>
          <w:p w14:paraId="077D9E76">
            <w:pPr>
              <w:pStyle w:val="98"/>
              <w:ind w:left="-105" w:right="-105"/>
              <w:rPr>
                <w:rFonts w:eastAsia="宋体"/>
                <w:color w:val="auto"/>
                <w:sz w:val="21"/>
                <w:szCs w:val="21"/>
                <w:highlight w:val="none"/>
              </w:rPr>
            </w:pPr>
            <w:r>
              <w:rPr>
                <w:rFonts w:eastAsia="宋体"/>
                <w:color w:val="auto"/>
                <w:sz w:val="21"/>
                <w:szCs w:val="21"/>
                <w:highlight w:val="none"/>
              </w:rPr>
              <w:t>最高环境温度/℃</w:t>
            </w:r>
          </w:p>
        </w:tc>
        <w:tc>
          <w:tcPr>
            <w:tcW w:w="3024" w:type="dxa"/>
            <w:tcBorders>
              <w:top w:val="single" w:color="000000" w:sz="4" w:space="0"/>
              <w:left w:val="single" w:color="000000" w:sz="4" w:space="0"/>
              <w:bottom w:val="single" w:color="000000" w:sz="4" w:space="0"/>
              <w:right w:val="nil"/>
            </w:tcBorders>
            <w:vAlign w:val="center"/>
          </w:tcPr>
          <w:p w14:paraId="73ADAC0A">
            <w:pPr>
              <w:pStyle w:val="98"/>
              <w:ind w:left="-105" w:right="-105"/>
              <w:rPr>
                <w:rFonts w:eastAsia="宋体"/>
                <w:color w:val="auto"/>
                <w:sz w:val="21"/>
                <w:szCs w:val="21"/>
                <w:highlight w:val="none"/>
                <w:lang w:val="en-US"/>
              </w:rPr>
            </w:pPr>
            <w:r>
              <w:rPr>
                <w:rFonts w:hint="eastAsia" w:eastAsia="宋体"/>
                <w:color w:val="auto"/>
                <w:sz w:val="21"/>
                <w:szCs w:val="21"/>
                <w:highlight w:val="none"/>
                <w:lang w:val="en-US"/>
              </w:rPr>
              <w:t>39.9</w:t>
            </w:r>
          </w:p>
        </w:tc>
      </w:tr>
      <w:tr w14:paraId="3903B612">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108" w:type="dxa"/>
            <w:bottom w:w="0" w:type="dxa"/>
            <w:right w:w="108" w:type="dxa"/>
          </w:tblCellMar>
        </w:tblPrEx>
        <w:trPr>
          <w:trHeight w:val="340" w:hRule="atLeast"/>
          <w:jc w:val="center"/>
        </w:trPr>
        <w:tc>
          <w:tcPr>
            <w:tcW w:w="6048" w:type="dxa"/>
            <w:gridSpan w:val="2"/>
            <w:tcBorders>
              <w:top w:val="single" w:color="000000" w:sz="4" w:space="0"/>
              <w:left w:val="nil"/>
              <w:bottom w:val="single" w:color="000000" w:sz="4" w:space="0"/>
              <w:right w:val="single" w:color="000000" w:sz="4" w:space="0"/>
            </w:tcBorders>
            <w:vAlign w:val="center"/>
          </w:tcPr>
          <w:p w14:paraId="3AC96424">
            <w:pPr>
              <w:pStyle w:val="98"/>
              <w:ind w:left="-105" w:right="-105"/>
              <w:rPr>
                <w:rFonts w:eastAsia="宋体"/>
                <w:color w:val="auto"/>
                <w:sz w:val="21"/>
                <w:szCs w:val="21"/>
                <w:highlight w:val="none"/>
              </w:rPr>
            </w:pPr>
            <w:r>
              <w:rPr>
                <w:rFonts w:eastAsia="宋体"/>
                <w:color w:val="auto"/>
                <w:sz w:val="21"/>
                <w:szCs w:val="21"/>
                <w:highlight w:val="none"/>
              </w:rPr>
              <w:t>最低环境温度/℃</w:t>
            </w:r>
          </w:p>
        </w:tc>
        <w:tc>
          <w:tcPr>
            <w:tcW w:w="3024" w:type="dxa"/>
            <w:tcBorders>
              <w:top w:val="single" w:color="000000" w:sz="4" w:space="0"/>
              <w:left w:val="single" w:color="000000" w:sz="4" w:space="0"/>
              <w:bottom w:val="single" w:color="000000" w:sz="4" w:space="0"/>
              <w:right w:val="nil"/>
            </w:tcBorders>
            <w:vAlign w:val="center"/>
          </w:tcPr>
          <w:p w14:paraId="4DCF51D0">
            <w:pPr>
              <w:pStyle w:val="98"/>
              <w:ind w:left="-105" w:right="-105"/>
              <w:rPr>
                <w:rFonts w:eastAsia="宋体"/>
                <w:color w:val="auto"/>
                <w:sz w:val="21"/>
                <w:szCs w:val="21"/>
                <w:highlight w:val="none"/>
                <w:lang w:val="en-US"/>
              </w:rPr>
            </w:pPr>
            <w:r>
              <w:rPr>
                <w:rFonts w:eastAsia="宋体"/>
                <w:color w:val="auto"/>
                <w:sz w:val="21"/>
                <w:szCs w:val="21"/>
                <w:highlight w:val="none"/>
              </w:rPr>
              <w:t>-1</w:t>
            </w:r>
            <w:r>
              <w:rPr>
                <w:rFonts w:hint="eastAsia" w:eastAsia="宋体"/>
                <w:color w:val="auto"/>
                <w:sz w:val="21"/>
                <w:szCs w:val="21"/>
                <w:highlight w:val="none"/>
                <w:lang w:val="en-US"/>
              </w:rPr>
              <w:t>2.5</w:t>
            </w:r>
          </w:p>
        </w:tc>
      </w:tr>
      <w:tr w14:paraId="5DCA88FD">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108" w:type="dxa"/>
            <w:bottom w:w="0" w:type="dxa"/>
            <w:right w:w="108" w:type="dxa"/>
          </w:tblCellMar>
        </w:tblPrEx>
        <w:trPr>
          <w:trHeight w:val="340" w:hRule="atLeast"/>
          <w:jc w:val="center"/>
        </w:trPr>
        <w:tc>
          <w:tcPr>
            <w:tcW w:w="6048" w:type="dxa"/>
            <w:gridSpan w:val="2"/>
            <w:tcBorders>
              <w:top w:val="single" w:color="000000" w:sz="4" w:space="0"/>
              <w:left w:val="nil"/>
              <w:bottom w:val="single" w:color="000000" w:sz="4" w:space="0"/>
              <w:right w:val="single" w:color="000000" w:sz="4" w:space="0"/>
            </w:tcBorders>
            <w:vAlign w:val="center"/>
          </w:tcPr>
          <w:p w14:paraId="4443DE7C">
            <w:pPr>
              <w:pStyle w:val="98"/>
              <w:ind w:left="-105" w:right="-105"/>
              <w:rPr>
                <w:rFonts w:eastAsia="宋体"/>
                <w:color w:val="auto"/>
                <w:sz w:val="21"/>
                <w:szCs w:val="21"/>
                <w:highlight w:val="none"/>
              </w:rPr>
            </w:pPr>
            <w:r>
              <w:rPr>
                <w:rFonts w:eastAsia="宋体"/>
                <w:color w:val="auto"/>
                <w:sz w:val="21"/>
                <w:szCs w:val="21"/>
                <w:highlight w:val="none"/>
              </w:rPr>
              <w:t>土地利用类型</w:t>
            </w:r>
          </w:p>
        </w:tc>
        <w:tc>
          <w:tcPr>
            <w:tcW w:w="3024" w:type="dxa"/>
            <w:tcBorders>
              <w:top w:val="single" w:color="000000" w:sz="4" w:space="0"/>
              <w:left w:val="single" w:color="000000" w:sz="4" w:space="0"/>
              <w:bottom w:val="single" w:color="000000" w:sz="4" w:space="0"/>
              <w:right w:val="nil"/>
            </w:tcBorders>
            <w:vAlign w:val="center"/>
          </w:tcPr>
          <w:p w14:paraId="19D66462">
            <w:pPr>
              <w:pStyle w:val="98"/>
              <w:ind w:left="-105" w:right="-105"/>
              <w:rPr>
                <w:rFonts w:eastAsia="宋体"/>
                <w:color w:val="auto"/>
                <w:sz w:val="21"/>
                <w:szCs w:val="21"/>
                <w:highlight w:val="none"/>
              </w:rPr>
            </w:pPr>
            <w:r>
              <w:rPr>
                <w:rFonts w:eastAsia="宋体"/>
                <w:color w:val="auto"/>
                <w:sz w:val="21"/>
                <w:szCs w:val="21"/>
                <w:highlight w:val="none"/>
              </w:rPr>
              <w:t>城市</w:t>
            </w:r>
          </w:p>
        </w:tc>
      </w:tr>
      <w:tr w14:paraId="0A750383">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108" w:type="dxa"/>
            <w:bottom w:w="0" w:type="dxa"/>
            <w:right w:w="108" w:type="dxa"/>
          </w:tblCellMar>
        </w:tblPrEx>
        <w:trPr>
          <w:trHeight w:val="339" w:hRule="atLeast"/>
          <w:jc w:val="center"/>
        </w:trPr>
        <w:tc>
          <w:tcPr>
            <w:tcW w:w="6048" w:type="dxa"/>
            <w:gridSpan w:val="2"/>
            <w:tcBorders>
              <w:top w:val="single" w:color="000000" w:sz="4" w:space="0"/>
              <w:left w:val="nil"/>
              <w:bottom w:val="single" w:color="000000" w:sz="4" w:space="0"/>
              <w:right w:val="single" w:color="000000" w:sz="4" w:space="0"/>
            </w:tcBorders>
            <w:vAlign w:val="center"/>
          </w:tcPr>
          <w:p w14:paraId="27DF3CBE">
            <w:pPr>
              <w:pStyle w:val="98"/>
              <w:ind w:left="-105" w:right="-105"/>
              <w:rPr>
                <w:rFonts w:eastAsia="宋体"/>
                <w:color w:val="auto"/>
                <w:sz w:val="21"/>
                <w:szCs w:val="21"/>
                <w:highlight w:val="none"/>
              </w:rPr>
            </w:pPr>
            <w:r>
              <w:rPr>
                <w:rFonts w:eastAsia="宋体"/>
                <w:color w:val="auto"/>
                <w:sz w:val="21"/>
                <w:szCs w:val="21"/>
                <w:highlight w:val="none"/>
              </w:rPr>
              <w:t>区域湿度条件</w:t>
            </w:r>
          </w:p>
        </w:tc>
        <w:tc>
          <w:tcPr>
            <w:tcW w:w="3024" w:type="dxa"/>
            <w:tcBorders>
              <w:top w:val="single" w:color="000000" w:sz="4" w:space="0"/>
              <w:left w:val="single" w:color="000000" w:sz="4" w:space="0"/>
              <w:bottom w:val="single" w:color="000000" w:sz="4" w:space="0"/>
              <w:right w:val="nil"/>
            </w:tcBorders>
            <w:vAlign w:val="center"/>
          </w:tcPr>
          <w:p w14:paraId="128E662C">
            <w:pPr>
              <w:pStyle w:val="98"/>
              <w:ind w:left="-105" w:right="-105"/>
              <w:rPr>
                <w:rFonts w:eastAsia="宋体"/>
                <w:color w:val="auto"/>
                <w:sz w:val="21"/>
                <w:szCs w:val="21"/>
                <w:highlight w:val="none"/>
              </w:rPr>
            </w:pPr>
            <w:r>
              <w:rPr>
                <w:rFonts w:eastAsia="宋体"/>
                <w:color w:val="auto"/>
                <w:sz w:val="21"/>
                <w:szCs w:val="21"/>
                <w:highlight w:val="none"/>
              </w:rPr>
              <w:t>湿润区</w:t>
            </w:r>
          </w:p>
        </w:tc>
      </w:tr>
      <w:tr w14:paraId="3C28D0CC">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108" w:type="dxa"/>
            <w:bottom w:w="0" w:type="dxa"/>
            <w:right w:w="108" w:type="dxa"/>
          </w:tblCellMar>
        </w:tblPrEx>
        <w:trPr>
          <w:trHeight w:val="340" w:hRule="atLeast"/>
          <w:jc w:val="center"/>
        </w:trPr>
        <w:tc>
          <w:tcPr>
            <w:tcW w:w="3024" w:type="dxa"/>
            <w:vMerge w:val="restart"/>
            <w:tcBorders>
              <w:top w:val="single" w:color="000000" w:sz="4" w:space="0"/>
              <w:left w:val="nil"/>
              <w:bottom w:val="single" w:color="000000" w:sz="4" w:space="0"/>
              <w:right w:val="single" w:color="000000" w:sz="4" w:space="0"/>
            </w:tcBorders>
            <w:vAlign w:val="center"/>
          </w:tcPr>
          <w:p w14:paraId="0B839184">
            <w:pPr>
              <w:pStyle w:val="98"/>
              <w:ind w:left="-105" w:right="-105"/>
              <w:rPr>
                <w:rFonts w:eastAsia="宋体"/>
                <w:color w:val="auto"/>
                <w:sz w:val="21"/>
                <w:szCs w:val="21"/>
                <w:highlight w:val="none"/>
              </w:rPr>
            </w:pPr>
            <w:r>
              <w:rPr>
                <w:rFonts w:eastAsia="宋体"/>
                <w:color w:val="auto"/>
                <w:sz w:val="21"/>
                <w:szCs w:val="21"/>
                <w:highlight w:val="none"/>
              </w:rPr>
              <w:t>是否考虑地形</w:t>
            </w:r>
          </w:p>
        </w:tc>
        <w:tc>
          <w:tcPr>
            <w:tcW w:w="3024" w:type="dxa"/>
            <w:tcBorders>
              <w:top w:val="single" w:color="000000" w:sz="4" w:space="0"/>
              <w:left w:val="single" w:color="000000" w:sz="4" w:space="0"/>
              <w:bottom w:val="single" w:color="000000" w:sz="4" w:space="0"/>
              <w:right w:val="single" w:color="000000" w:sz="4" w:space="0"/>
            </w:tcBorders>
            <w:vAlign w:val="center"/>
          </w:tcPr>
          <w:p w14:paraId="23027F13">
            <w:pPr>
              <w:pStyle w:val="98"/>
              <w:ind w:left="-105" w:right="-105"/>
              <w:rPr>
                <w:rFonts w:eastAsia="宋体"/>
                <w:color w:val="auto"/>
                <w:sz w:val="21"/>
                <w:szCs w:val="21"/>
                <w:highlight w:val="none"/>
              </w:rPr>
            </w:pPr>
            <w:r>
              <w:rPr>
                <w:rFonts w:eastAsia="宋体"/>
                <w:color w:val="auto"/>
                <w:sz w:val="21"/>
                <w:szCs w:val="21"/>
                <w:highlight w:val="none"/>
              </w:rPr>
              <w:t>考虑地形</w:t>
            </w:r>
          </w:p>
        </w:tc>
        <w:tc>
          <w:tcPr>
            <w:tcW w:w="3024" w:type="dxa"/>
            <w:tcBorders>
              <w:top w:val="single" w:color="000000" w:sz="4" w:space="0"/>
              <w:left w:val="single" w:color="000000" w:sz="4" w:space="0"/>
              <w:bottom w:val="single" w:color="000000" w:sz="4" w:space="0"/>
              <w:right w:val="nil"/>
            </w:tcBorders>
            <w:vAlign w:val="center"/>
          </w:tcPr>
          <w:p w14:paraId="34E03356">
            <w:pPr>
              <w:pStyle w:val="98"/>
              <w:tabs>
                <w:tab w:val="left" w:pos="726"/>
              </w:tabs>
              <w:ind w:left="-105" w:right="-105"/>
              <w:rPr>
                <w:rFonts w:eastAsia="宋体"/>
                <w:color w:val="auto"/>
                <w:sz w:val="21"/>
                <w:szCs w:val="21"/>
                <w:highlight w:val="none"/>
              </w:rPr>
            </w:pPr>
            <w:r>
              <w:rPr>
                <w:rFonts w:eastAsia="宋体"/>
                <w:color w:val="auto"/>
                <w:sz w:val="21"/>
                <w:szCs w:val="21"/>
                <w:highlight w:val="none"/>
              </w:rPr>
              <w:t>是</w:t>
            </w:r>
            <w:sdt>
              <w:sdtPr>
                <w:rPr>
                  <w:rFonts w:eastAsia="宋体"/>
                  <w:color w:val="auto"/>
                  <w:sz w:val="21"/>
                  <w:szCs w:val="21"/>
                  <w:highlight w:val="none"/>
                </w:rPr>
                <w:id w:val="745457553"/>
                <w14:checkbox>
                  <w14:checked w14:val="1"/>
                  <w14:checkedState w14:val="0052" w14:font="新宋体"/>
                  <w14:uncheckedState w14:val="2610" w14:font="MS Gothic"/>
                </w14:checkbox>
              </w:sdtPr>
              <w:sdtEndPr>
                <w:rPr>
                  <w:rFonts w:eastAsia="宋体"/>
                  <w:color w:val="auto"/>
                  <w:sz w:val="21"/>
                  <w:szCs w:val="21"/>
                  <w:highlight w:val="none"/>
                </w:rPr>
              </w:sdtEndPr>
              <w:sdtContent>
                <w:r>
                  <w:rPr>
                    <w:rFonts w:eastAsia="宋体"/>
                    <w:color w:val="auto"/>
                    <w:sz w:val="21"/>
                    <w:szCs w:val="21"/>
                    <w:highlight w:val="none"/>
                  </w:rPr>
                  <w:sym w:font="Wingdings 2" w:char="F052"/>
                </w:r>
              </w:sdtContent>
            </w:sdt>
            <w:r>
              <w:rPr>
                <w:rFonts w:hint="eastAsia" w:eastAsia="宋体"/>
                <w:color w:val="auto"/>
                <w:sz w:val="21"/>
                <w:szCs w:val="21"/>
                <w:highlight w:val="none"/>
                <w:lang w:val="en-US"/>
              </w:rPr>
              <w:t xml:space="preserve">  </w:t>
            </w:r>
            <w:r>
              <w:rPr>
                <w:rFonts w:eastAsia="宋体"/>
                <w:color w:val="auto"/>
                <w:sz w:val="21"/>
                <w:szCs w:val="21"/>
                <w:highlight w:val="none"/>
              </w:rPr>
              <w:t>否</w:t>
            </w:r>
            <w:sdt>
              <w:sdtPr>
                <w:rPr>
                  <w:rFonts w:eastAsia="宋体"/>
                  <w:color w:val="auto"/>
                  <w:sz w:val="21"/>
                  <w:szCs w:val="21"/>
                  <w:highlight w:val="none"/>
                </w:rPr>
                <w:id w:val="507872320"/>
                <w14:checkbox>
                  <w14:checked w14:val="0"/>
                  <w14:checkedState w14:val="0052" w14:font="新宋体"/>
                  <w14:uncheckedState w14:val="2610" w14:font="MS Gothic"/>
                </w14:checkbox>
              </w:sdtPr>
              <w:sdtEndPr>
                <w:rPr>
                  <w:rFonts w:eastAsia="宋体"/>
                  <w:color w:val="auto"/>
                  <w:sz w:val="21"/>
                  <w:szCs w:val="21"/>
                  <w:highlight w:val="none"/>
                </w:rPr>
              </w:sdtEndPr>
              <w:sdtContent>
                <w:r>
                  <w:rPr>
                    <w:rFonts w:ascii="MS Gothic" w:hAnsi="MS Gothic" w:eastAsia="宋体"/>
                    <w:color w:val="auto"/>
                    <w:sz w:val="21"/>
                    <w:szCs w:val="21"/>
                    <w:highlight w:val="none"/>
                  </w:rPr>
                  <w:t>☐</w:t>
                </w:r>
              </w:sdtContent>
            </w:sdt>
          </w:p>
        </w:tc>
      </w:tr>
      <w:tr w14:paraId="553296D5">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108" w:type="dxa"/>
            <w:bottom w:w="0" w:type="dxa"/>
            <w:right w:w="108" w:type="dxa"/>
          </w:tblCellMar>
        </w:tblPrEx>
        <w:trPr>
          <w:trHeight w:val="340" w:hRule="atLeast"/>
          <w:jc w:val="center"/>
        </w:trPr>
        <w:tc>
          <w:tcPr>
            <w:tcW w:w="3024" w:type="dxa"/>
            <w:vMerge w:val="continue"/>
            <w:tcBorders>
              <w:top w:val="nil"/>
              <w:left w:val="nil"/>
              <w:bottom w:val="single" w:color="000000" w:sz="4" w:space="0"/>
              <w:right w:val="single" w:color="000000" w:sz="4" w:space="0"/>
            </w:tcBorders>
            <w:vAlign w:val="center"/>
          </w:tcPr>
          <w:p w14:paraId="2284A747">
            <w:pPr>
              <w:ind w:left="-105" w:right="-105"/>
              <w:jc w:val="center"/>
              <w:rPr>
                <w:rFonts w:ascii="Times New Roman" w:hAnsi="Times New Roman"/>
                <w:color w:val="auto"/>
                <w:sz w:val="21"/>
                <w:szCs w:val="21"/>
                <w:highlight w:val="none"/>
              </w:rPr>
            </w:pPr>
          </w:p>
        </w:tc>
        <w:tc>
          <w:tcPr>
            <w:tcW w:w="3024" w:type="dxa"/>
            <w:tcBorders>
              <w:top w:val="single" w:color="000000" w:sz="4" w:space="0"/>
              <w:left w:val="single" w:color="000000" w:sz="4" w:space="0"/>
              <w:bottom w:val="single" w:color="000000" w:sz="4" w:space="0"/>
              <w:right w:val="single" w:color="000000" w:sz="4" w:space="0"/>
            </w:tcBorders>
            <w:vAlign w:val="center"/>
          </w:tcPr>
          <w:p w14:paraId="18A98BA9">
            <w:pPr>
              <w:pStyle w:val="98"/>
              <w:ind w:left="-105" w:right="-105"/>
              <w:rPr>
                <w:rFonts w:eastAsia="宋体"/>
                <w:color w:val="auto"/>
                <w:sz w:val="21"/>
                <w:szCs w:val="21"/>
                <w:highlight w:val="none"/>
              </w:rPr>
            </w:pPr>
            <w:r>
              <w:rPr>
                <w:rFonts w:eastAsia="宋体"/>
                <w:color w:val="auto"/>
                <w:sz w:val="21"/>
                <w:szCs w:val="21"/>
                <w:highlight w:val="none"/>
              </w:rPr>
              <w:t>地形数据分辨率/m</w:t>
            </w:r>
          </w:p>
        </w:tc>
        <w:tc>
          <w:tcPr>
            <w:tcW w:w="3024" w:type="dxa"/>
            <w:tcBorders>
              <w:top w:val="single" w:color="000000" w:sz="4" w:space="0"/>
              <w:left w:val="single" w:color="000000" w:sz="4" w:space="0"/>
              <w:bottom w:val="single" w:color="000000" w:sz="4" w:space="0"/>
              <w:right w:val="nil"/>
            </w:tcBorders>
            <w:vAlign w:val="center"/>
          </w:tcPr>
          <w:p w14:paraId="71BD5D69">
            <w:pPr>
              <w:pStyle w:val="98"/>
              <w:ind w:left="-105" w:right="-105"/>
              <w:rPr>
                <w:rFonts w:eastAsia="宋体"/>
                <w:color w:val="auto"/>
                <w:sz w:val="21"/>
                <w:szCs w:val="21"/>
                <w:highlight w:val="none"/>
              </w:rPr>
            </w:pPr>
            <w:r>
              <w:rPr>
                <w:rFonts w:eastAsia="宋体"/>
                <w:color w:val="auto"/>
                <w:sz w:val="21"/>
                <w:szCs w:val="21"/>
                <w:highlight w:val="none"/>
              </w:rPr>
              <w:t>90</w:t>
            </w:r>
          </w:p>
        </w:tc>
      </w:tr>
      <w:tr w14:paraId="6C7CA5EC">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108" w:type="dxa"/>
            <w:bottom w:w="0" w:type="dxa"/>
            <w:right w:w="108" w:type="dxa"/>
          </w:tblCellMar>
        </w:tblPrEx>
        <w:trPr>
          <w:trHeight w:val="329" w:hRule="atLeast"/>
          <w:jc w:val="center"/>
        </w:trPr>
        <w:tc>
          <w:tcPr>
            <w:tcW w:w="3024" w:type="dxa"/>
            <w:vMerge w:val="restart"/>
            <w:tcBorders>
              <w:top w:val="single" w:color="000000" w:sz="4" w:space="0"/>
              <w:left w:val="nil"/>
              <w:right w:val="single" w:color="000000" w:sz="4" w:space="0"/>
            </w:tcBorders>
            <w:vAlign w:val="center"/>
          </w:tcPr>
          <w:p w14:paraId="7A0103AC">
            <w:pPr>
              <w:pStyle w:val="98"/>
              <w:ind w:left="-105" w:right="-105"/>
              <w:rPr>
                <w:rFonts w:eastAsia="宋体"/>
                <w:color w:val="auto"/>
                <w:sz w:val="21"/>
                <w:szCs w:val="21"/>
                <w:highlight w:val="none"/>
              </w:rPr>
            </w:pPr>
            <w:r>
              <w:rPr>
                <w:rFonts w:eastAsia="宋体"/>
                <w:color w:val="auto"/>
                <w:sz w:val="21"/>
                <w:szCs w:val="21"/>
                <w:highlight w:val="none"/>
              </w:rPr>
              <w:t>是否考虑岸线熏烟</w:t>
            </w:r>
          </w:p>
        </w:tc>
        <w:tc>
          <w:tcPr>
            <w:tcW w:w="3024" w:type="dxa"/>
            <w:tcBorders>
              <w:top w:val="single" w:color="000000" w:sz="4" w:space="0"/>
              <w:left w:val="single" w:color="000000" w:sz="4" w:space="0"/>
              <w:bottom w:val="single" w:color="000000" w:sz="4" w:space="0"/>
              <w:right w:val="single" w:color="000000" w:sz="4" w:space="0"/>
            </w:tcBorders>
            <w:vAlign w:val="center"/>
          </w:tcPr>
          <w:p w14:paraId="3C140393">
            <w:pPr>
              <w:pStyle w:val="98"/>
              <w:ind w:left="-105" w:right="-105"/>
              <w:rPr>
                <w:rFonts w:eastAsia="宋体"/>
                <w:color w:val="auto"/>
                <w:sz w:val="21"/>
                <w:szCs w:val="21"/>
                <w:highlight w:val="none"/>
              </w:rPr>
            </w:pPr>
            <w:r>
              <w:rPr>
                <w:rFonts w:eastAsia="宋体"/>
                <w:color w:val="auto"/>
                <w:sz w:val="21"/>
                <w:szCs w:val="21"/>
                <w:highlight w:val="none"/>
              </w:rPr>
              <w:t>考虑岸线熏烟</w:t>
            </w:r>
          </w:p>
        </w:tc>
        <w:tc>
          <w:tcPr>
            <w:tcW w:w="3024" w:type="dxa"/>
            <w:tcBorders>
              <w:top w:val="single" w:color="000000" w:sz="4" w:space="0"/>
              <w:left w:val="single" w:color="000000" w:sz="4" w:space="0"/>
              <w:bottom w:val="single" w:color="000000" w:sz="4" w:space="0"/>
              <w:right w:val="nil"/>
            </w:tcBorders>
            <w:vAlign w:val="center"/>
          </w:tcPr>
          <w:p w14:paraId="41518B0C">
            <w:pPr>
              <w:pStyle w:val="98"/>
              <w:ind w:left="-105" w:right="-105"/>
              <w:rPr>
                <w:rFonts w:eastAsia="宋体"/>
                <w:color w:val="auto"/>
                <w:sz w:val="21"/>
                <w:szCs w:val="21"/>
                <w:highlight w:val="none"/>
              </w:rPr>
            </w:pPr>
            <w:r>
              <w:rPr>
                <w:rFonts w:eastAsia="宋体"/>
                <w:color w:val="auto"/>
                <w:sz w:val="21"/>
                <w:szCs w:val="21"/>
                <w:highlight w:val="none"/>
              </w:rPr>
              <w:t>是</w:t>
            </w:r>
            <w:sdt>
              <w:sdtPr>
                <w:rPr>
                  <w:rFonts w:eastAsia="宋体"/>
                  <w:color w:val="auto"/>
                  <w:sz w:val="21"/>
                  <w:szCs w:val="21"/>
                  <w:highlight w:val="none"/>
                </w:rPr>
                <w:id w:val="1939950461"/>
                <w14:checkbox>
                  <w14:checked w14:val="0"/>
                  <w14:checkedState w14:val="0052" w14:font="新宋体"/>
                  <w14:uncheckedState w14:val="2610" w14:font="MS Gothic"/>
                </w14:checkbox>
              </w:sdtPr>
              <w:sdtEndPr>
                <w:rPr>
                  <w:rFonts w:eastAsia="宋体"/>
                  <w:color w:val="auto"/>
                  <w:sz w:val="21"/>
                  <w:szCs w:val="21"/>
                  <w:highlight w:val="none"/>
                </w:rPr>
              </w:sdtEndPr>
              <w:sdtContent>
                <w:r>
                  <w:rPr>
                    <w:rFonts w:ascii="Segoe UI Symbol" w:hAnsi="Segoe UI Symbol" w:eastAsia="宋体" w:cs="Segoe UI Symbol"/>
                    <w:color w:val="auto"/>
                    <w:sz w:val="21"/>
                    <w:szCs w:val="21"/>
                    <w:highlight w:val="none"/>
                  </w:rPr>
                  <w:t>☐</w:t>
                </w:r>
              </w:sdtContent>
            </w:sdt>
            <w:r>
              <w:rPr>
                <w:rFonts w:eastAsia="宋体"/>
                <w:color w:val="auto"/>
                <w:sz w:val="21"/>
                <w:szCs w:val="21"/>
                <w:highlight w:val="none"/>
              </w:rPr>
              <w:t xml:space="preserve">  否</w:t>
            </w:r>
            <w:sdt>
              <w:sdtPr>
                <w:rPr>
                  <w:rFonts w:eastAsia="宋体"/>
                  <w:color w:val="auto"/>
                  <w:sz w:val="21"/>
                  <w:szCs w:val="21"/>
                  <w:highlight w:val="none"/>
                </w:rPr>
                <w:id w:val="1918433642"/>
                <w14:checkbox>
                  <w14:checked w14:val="1"/>
                  <w14:checkedState w14:val="0052" w14:font="新宋体"/>
                  <w14:uncheckedState w14:val="2610" w14:font="MS Gothic"/>
                </w14:checkbox>
              </w:sdtPr>
              <w:sdtEndPr>
                <w:rPr>
                  <w:rFonts w:eastAsia="宋体"/>
                  <w:color w:val="auto"/>
                  <w:sz w:val="21"/>
                  <w:szCs w:val="21"/>
                  <w:highlight w:val="none"/>
                </w:rPr>
              </w:sdtEndPr>
              <w:sdtContent>
                <w:r>
                  <w:rPr>
                    <w:rFonts w:eastAsia="宋体"/>
                    <w:color w:val="auto"/>
                    <w:sz w:val="21"/>
                    <w:szCs w:val="21"/>
                    <w:highlight w:val="none"/>
                  </w:rPr>
                  <w:sym w:font="Wingdings 2" w:char="F052"/>
                </w:r>
              </w:sdtContent>
            </w:sdt>
          </w:p>
        </w:tc>
      </w:tr>
      <w:tr w14:paraId="2C20D9BC">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108" w:type="dxa"/>
            <w:bottom w:w="0" w:type="dxa"/>
            <w:right w:w="108" w:type="dxa"/>
          </w:tblCellMar>
        </w:tblPrEx>
        <w:trPr>
          <w:trHeight w:val="320" w:hRule="atLeast"/>
          <w:jc w:val="center"/>
        </w:trPr>
        <w:tc>
          <w:tcPr>
            <w:tcW w:w="3024" w:type="dxa"/>
            <w:vMerge w:val="continue"/>
            <w:tcBorders>
              <w:top w:val="nil"/>
              <w:left w:val="nil"/>
              <w:right w:val="single" w:color="000000" w:sz="4" w:space="0"/>
            </w:tcBorders>
            <w:vAlign w:val="center"/>
          </w:tcPr>
          <w:p w14:paraId="6FC3B616">
            <w:pPr>
              <w:ind w:left="-105" w:right="-105"/>
              <w:jc w:val="center"/>
              <w:rPr>
                <w:rFonts w:ascii="Times New Roman" w:hAnsi="Times New Roman"/>
                <w:color w:val="auto"/>
                <w:sz w:val="21"/>
                <w:szCs w:val="21"/>
                <w:highlight w:val="none"/>
              </w:rPr>
            </w:pPr>
          </w:p>
        </w:tc>
        <w:tc>
          <w:tcPr>
            <w:tcW w:w="3024" w:type="dxa"/>
            <w:tcBorders>
              <w:top w:val="single" w:color="000000" w:sz="4" w:space="0"/>
              <w:left w:val="single" w:color="000000" w:sz="4" w:space="0"/>
              <w:bottom w:val="single" w:color="000000" w:sz="4" w:space="0"/>
              <w:right w:val="single" w:color="000000" w:sz="4" w:space="0"/>
            </w:tcBorders>
            <w:vAlign w:val="center"/>
          </w:tcPr>
          <w:p w14:paraId="54EA32A4">
            <w:pPr>
              <w:pStyle w:val="98"/>
              <w:ind w:left="-105" w:right="-105"/>
              <w:rPr>
                <w:rFonts w:eastAsia="宋体"/>
                <w:color w:val="auto"/>
                <w:sz w:val="21"/>
                <w:szCs w:val="21"/>
                <w:highlight w:val="none"/>
              </w:rPr>
            </w:pPr>
            <w:r>
              <w:rPr>
                <w:rFonts w:eastAsia="宋体"/>
                <w:color w:val="auto"/>
                <w:sz w:val="21"/>
                <w:szCs w:val="21"/>
                <w:highlight w:val="none"/>
              </w:rPr>
              <w:t>岸线距离/km</w:t>
            </w:r>
          </w:p>
        </w:tc>
        <w:tc>
          <w:tcPr>
            <w:tcW w:w="3024" w:type="dxa"/>
            <w:tcBorders>
              <w:top w:val="single" w:color="000000" w:sz="4" w:space="0"/>
              <w:left w:val="single" w:color="000000" w:sz="4" w:space="0"/>
              <w:bottom w:val="single" w:color="000000" w:sz="4" w:space="0"/>
              <w:right w:val="nil"/>
            </w:tcBorders>
            <w:vAlign w:val="center"/>
          </w:tcPr>
          <w:p w14:paraId="7F867B0C">
            <w:pPr>
              <w:pStyle w:val="98"/>
              <w:ind w:left="-105" w:right="-105"/>
              <w:rPr>
                <w:rFonts w:eastAsia="宋体"/>
                <w:color w:val="auto"/>
                <w:sz w:val="21"/>
                <w:szCs w:val="21"/>
                <w:highlight w:val="none"/>
              </w:rPr>
            </w:pPr>
            <w:r>
              <w:rPr>
                <w:rFonts w:eastAsia="宋体"/>
                <w:color w:val="auto"/>
                <w:sz w:val="21"/>
                <w:szCs w:val="21"/>
                <w:highlight w:val="none"/>
              </w:rPr>
              <w:t>—</w:t>
            </w:r>
          </w:p>
        </w:tc>
      </w:tr>
      <w:tr w14:paraId="31D96949">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108" w:type="dxa"/>
            <w:bottom w:w="0" w:type="dxa"/>
            <w:right w:w="108" w:type="dxa"/>
          </w:tblCellMar>
        </w:tblPrEx>
        <w:trPr>
          <w:trHeight w:val="330" w:hRule="atLeast"/>
          <w:jc w:val="center"/>
        </w:trPr>
        <w:tc>
          <w:tcPr>
            <w:tcW w:w="3024" w:type="dxa"/>
            <w:vMerge w:val="continue"/>
            <w:tcBorders>
              <w:top w:val="nil"/>
              <w:left w:val="nil"/>
              <w:right w:val="single" w:color="000000" w:sz="4" w:space="0"/>
            </w:tcBorders>
            <w:vAlign w:val="center"/>
          </w:tcPr>
          <w:p w14:paraId="61BDF3CF">
            <w:pPr>
              <w:ind w:left="-105" w:right="-105"/>
              <w:jc w:val="center"/>
              <w:rPr>
                <w:rFonts w:ascii="Times New Roman" w:hAnsi="Times New Roman"/>
                <w:color w:val="auto"/>
                <w:sz w:val="21"/>
                <w:szCs w:val="21"/>
                <w:highlight w:val="none"/>
              </w:rPr>
            </w:pPr>
          </w:p>
        </w:tc>
        <w:tc>
          <w:tcPr>
            <w:tcW w:w="3024" w:type="dxa"/>
            <w:tcBorders>
              <w:top w:val="single" w:color="000000" w:sz="4" w:space="0"/>
              <w:left w:val="single" w:color="000000" w:sz="4" w:space="0"/>
              <w:right w:val="single" w:color="000000" w:sz="4" w:space="0"/>
            </w:tcBorders>
            <w:vAlign w:val="center"/>
          </w:tcPr>
          <w:p w14:paraId="48BD1AB4">
            <w:pPr>
              <w:pStyle w:val="98"/>
              <w:ind w:left="-105" w:right="-105"/>
              <w:rPr>
                <w:rFonts w:eastAsia="宋体"/>
                <w:color w:val="auto"/>
                <w:sz w:val="21"/>
                <w:szCs w:val="21"/>
                <w:highlight w:val="none"/>
              </w:rPr>
            </w:pPr>
            <w:r>
              <w:rPr>
                <w:rFonts w:eastAsia="宋体"/>
                <w:color w:val="auto"/>
                <w:sz w:val="21"/>
                <w:szCs w:val="21"/>
                <w:highlight w:val="none"/>
              </w:rPr>
              <w:t>岸线方向/°</w:t>
            </w:r>
          </w:p>
        </w:tc>
        <w:tc>
          <w:tcPr>
            <w:tcW w:w="3024" w:type="dxa"/>
            <w:tcBorders>
              <w:top w:val="single" w:color="000000" w:sz="4" w:space="0"/>
              <w:left w:val="single" w:color="000000" w:sz="4" w:space="0"/>
              <w:right w:val="nil"/>
            </w:tcBorders>
            <w:vAlign w:val="center"/>
          </w:tcPr>
          <w:p w14:paraId="126EAD6B">
            <w:pPr>
              <w:pStyle w:val="98"/>
              <w:ind w:left="-105" w:right="-105"/>
              <w:rPr>
                <w:rFonts w:eastAsia="宋体"/>
                <w:color w:val="auto"/>
                <w:sz w:val="21"/>
                <w:szCs w:val="21"/>
                <w:highlight w:val="none"/>
              </w:rPr>
            </w:pPr>
            <w:r>
              <w:rPr>
                <w:rFonts w:eastAsia="宋体"/>
                <w:color w:val="auto"/>
                <w:sz w:val="21"/>
                <w:szCs w:val="21"/>
                <w:highlight w:val="none"/>
              </w:rPr>
              <w:t>—</w:t>
            </w:r>
          </w:p>
        </w:tc>
      </w:tr>
    </w:tbl>
    <w:p w14:paraId="5BAF2B94">
      <w:pPr>
        <w:pStyle w:val="20"/>
        <w:spacing w:line="360" w:lineRule="auto"/>
        <w:ind w:left="-105" w:right="-105" w:firstLine="480" w:firstLineChars="200"/>
        <w:jc w:val="both"/>
        <w:rPr>
          <w:rFonts w:ascii="Times New Roman" w:hAnsi="Times New Roman" w:cs="Times New Roman"/>
          <w:color w:val="auto"/>
          <w:sz w:val="24"/>
          <w:szCs w:val="24"/>
          <w:highlight w:val="none"/>
        </w:rPr>
      </w:pPr>
      <w:r>
        <w:rPr>
          <w:rFonts w:hint="eastAsia" w:ascii="Times New Roman" w:hAnsi="Times New Roman"/>
          <w:color w:val="auto"/>
          <w:sz w:val="24"/>
          <w:szCs w:val="24"/>
          <w:highlight w:val="none"/>
        </w:rPr>
        <w:t>③</w:t>
      </w:r>
      <w:r>
        <w:rPr>
          <w:rFonts w:ascii="Times New Roman" w:hAnsi="Times New Roman" w:cs="Times New Roman"/>
          <w:color w:val="auto"/>
          <w:sz w:val="24"/>
          <w:szCs w:val="24"/>
          <w:highlight w:val="none"/>
        </w:rPr>
        <w:t>评价等级判定</w:t>
      </w:r>
    </w:p>
    <w:p w14:paraId="732B947C">
      <w:pPr>
        <w:pStyle w:val="20"/>
        <w:spacing w:line="360" w:lineRule="auto"/>
        <w:ind w:left="-105" w:right="-105" w:firstLine="480" w:firstLineChars="200"/>
        <w:jc w:val="both"/>
        <w:rPr>
          <w:rFonts w:ascii="Times New Roman" w:hAnsi="Times New Roman" w:cs="Times New Roman"/>
          <w:color w:val="auto"/>
          <w:sz w:val="24"/>
          <w:szCs w:val="24"/>
          <w:highlight w:val="none"/>
        </w:rPr>
      </w:pPr>
      <w:r>
        <w:rPr>
          <w:rFonts w:ascii="Times New Roman" w:hAnsi="Times New Roman" w:cs="Times New Roman"/>
          <w:color w:val="auto"/>
          <w:sz w:val="24"/>
          <w:szCs w:val="24"/>
          <w:highlight w:val="none"/>
        </w:rPr>
        <w:t>根据《环境影响评价技术导则大气环境》（HJ2.2-2018），采用推荐模式中的估算模型 AERSCREEN 对污染物的最大地面占标率Pi（第 i个污染物）及第i个污染物的地面浓度达标准限值10%时所对应的最远距离D10%进行计算。其中Pi定义如下：</w:t>
      </w:r>
    </w:p>
    <w:p w14:paraId="31FFA42E">
      <w:pPr>
        <w:spacing w:before="5" w:line="360" w:lineRule="auto"/>
        <w:ind w:left="-105" w:right="-105"/>
        <w:jc w:val="center"/>
        <w:rPr>
          <w:rFonts w:ascii="Times New Roman" w:hAnsi="Times New Roman"/>
          <w:color w:val="auto"/>
          <w:szCs w:val="22"/>
          <w:highlight w:val="none"/>
        </w:rPr>
      </w:pPr>
      <w:r>
        <w:rPr>
          <w:rFonts w:ascii="Times New Roman" w:hAnsi="Times New Roman"/>
          <w:color w:val="auto"/>
          <w:szCs w:val="22"/>
          <w:highlight w:val="none"/>
        </w:rPr>
        <mc:AlternateContent>
          <mc:Choice Requires="wps">
            <w:drawing>
              <wp:anchor distT="0" distB="0" distL="114300" distR="114300" simplePos="0" relativeHeight="251661312" behindDoc="1" locked="0" layoutInCell="1" allowOverlap="1">
                <wp:simplePos x="0" y="0"/>
                <wp:positionH relativeFrom="page">
                  <wp:posOffset>3587750</wp:posOffset>
                </wp:positionH>
                <wp:positionV relativeFrom="paragraph">
                  <wp:posOffset>204470</wp:posOffset>
                </wp:positionV>
                <wp:extent cx="184785" cy="0"/>
                <wp:effectExtent l="6350" t="13970" r="8890" b="5080"/>
                <wp:wrapNone/>
                <wp:docPr id="2" name="直接连接符 2"/>
                <wp:cNvGraphicFramePr/>
                <a:graphic xmlns:a="http://schemas.openxmlformats.org/drawingml/2006/main">
                  <a:graphicData uri="http://schemas.microsoft.com/office/word/2010/wordprocessingShape">
                    <wps:wsp>
                      <wps:cNvCnPr>
                        <a:cxnSpLocks noChangeShapeType="1"/>
                      </wps:cNvCnPr>
                      <wps:spPr bwMode="auto">
                        <a:xfrm>
                          <a:off x="0" y="0"/>
                          <a:ext cx="184785" cy="0"/>
                        </a:xfrm>
                        <a:prstGeom prst="line">
                          <a:avLst/>
                        </a:prstGeom>
                        <a:noFill/>
                        <a:ln w="7687">
                          <a:solidFill>
                            <a:srgbClr val="000000"/>
                          </a:solidFill>
                          <a:round/>
                        </a:ln>
                      </wps:spPr>
                      <wps:bodyPr/>
                    </wps:wsp>
                  </a:graphicData>
                </a:graphic>
              </wp:anchor>
            </w:drawing>
          </mc:Choice>
          <mc:Fallback>
            <w:pict>
              <v:line id="_x0000_s1026" o:spid="_x0000_s1026" o:spt="20" style="position:absolute;left:0pt;margin-left:282.5pt;margin-top:16.1pt;height:0pt;width:14.55pt;mso-position-horizontal-relative:page;z-index:-251655168;mso-width-relative:page;mso-height-relative:page;" filled="f" stroked="t" coordsize="21600,21600" o:gfxdata="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M+7H7PZAAAA&#10;CQEAAA8AAAAAAAAAAQAgAAAAIgAAAGRycy9kb3ducmV2LnhtbFBLAQIUABQAAAAIAIdO4kBfLEbI&#10;4wEAAKkDAAAOAAAAAAAAAAEAIAAAACgBAABkcnMvZTJvRG9jLnhtbFBLBQYAAAAABgAGAFkBAAB9&#10;BQAAAAA=&#10;">
                <v:fill on="f" focussize="0,0"/>
                <v:stroke weight="0.605275590551181pt" color="#000000" joinstyle="round"/>
                <v:imagedata o:title=""/>
                <o:lock v:ext="edit" aspectratio="f"/>
              </v:line>
            </w:pict>
          </mc:Fallback>
        </mc:AlternateContent>
      </w:r>
      <w:bookmarkStart w:id="144" w:name="_Hlk17802883"/>
      <w:r>
        <w:rPr>
          <w:rFonts w:ascii="Times New Roman" w:hAnsi="Times New Roman"/>
          <w:color w:val="auto"/>
          <w:position w:val="1"/>
          <w:sz w:val="22"/>
          <w:szCs w:val="22"/>
          <w:highlight w:val="none"/>
        </w:rPr>
        <w:t>P</w:t>
      </w:r>
      <w:r>
        <w:rPr>
          <w:rFonts w:ascii="Times New Roman" w:hAnsi="Times New Roman"/>
          <w:color w:val="auto"/>
          <w:position w:val="1"/>
          <w:sz w:val="13"/>
          <w:szCs w:val="22"/>
          <w:highlight w:val="none"/>
        </w:rPr>
        <w:t>i</w:t>
      </w:r>
      <w:r>
        <w:rPr>
          <w:rFonts w:ascii="Times New Roman" w:hAnsi="Times New Roman"/>
          <w:color w:val="auto"/>
          <w:position w:val="1"/>
          <w:sz w:val="22"/>
          <w:szCs w:val="22"/>
          <w:highlight w:val="none"/>
        </w:rPr>
        <w:t>＝</w:t>
      </w:r>
      <w:r>
        <w:rPr>
          <w:rFonts w:ascii="Times New Roman" w:hAnsi="Times New Roman"/>
          <w:color w:val="auto"/>
          <w:position w:val="16"/>
          <w:sz w:val="22"/>
          <w:szCs w:val="22"/>
          <w:highlight w:val="none"/>
        </w:rPr>
        <w:t>C</w:t>
      </w:r>
      <w:r>
        <w:rPr>
          <w:rFonts w:ascii="Times New Roman" w:hAnsi="Times New Roman"/>
          <w:color w:val="auto"/>
          <w:position w:val="16"/>
          <w:sz w:val="13"/>
          <w:szCs w:val="22"/>
          <w:highlight w:val="none"/>
        </w:rPr>
        <w:t xml:space="preserve">i </w:t>
      </w:r>
      <w:r>
        <w:rPr>
          <w:rFonts w:ascii="Times New Roman" w:hAnsi="Times New Roman"/>
          <w:color w:val="auto"/>
          <w:szCs w:val="22"/>
          <w:highlight w:val="none"/>
        </w:rPr>
        <w:t>×100%</w:t>
      </w:r>
      <w:bookmarkEnd w:id="144"/>
    </w:p>
    <w:p w14:paraId="270D25BC">
      <w:pPr>
        <w:spacing w:line="360" w:lineRule="auto"/>
        <w:ind w:left="-105" w:right="-105" w:firstLine="440"/>
        <w:jc w:val="center"/>
        <w:rPr>
          <w:rFonts w:ascii="Times New Roman" w:hAnsi="Times New Roman"/>
          <w:color w:val="auto"/>
          <w:sz w:val="13"/>
          <w:szCs w:val="22"/>
          <w:highlight w:val="none"/>
        </w:rPr>
      </w:pPr>
      <w:r>
        <w:rPr>
          <w:rFonts w:ascii="Times New Roman" w:hAnsi="Times New Roman"/>
          <w:color w:val="auto"/>
          <w:sz w:val="22"/>
          <w:szCs w:val="22"/>
          <w:highlight w:val="none"/>
        </w:rPr>
        <w:t>C</w:t>
      </w:r>
      <w:r>
        <w:rPr>
          <w:rFonts w:ascii="Times New Roman" w:hAnsi="Times New Roman"/>
          <w:color w:val="auto"/>
          <w:sz w:val="13"/>
          <w:szCs w:val="22"/>
          <w:highlight w:val="none"/>
        </w:rPr>
        <w:t>0i</w:t>
      </w:r>
    </w:p>
    <w:p w14:paraId="018760D5">
      <w:pPr>
        <w:pStyle w:val="20"/>
        <w:spacing w:line="360" w:lineRule="auto"/>
        <w:ind w:left="-105" w:right="-105" w:firstLine="480" w:firstLineChars="200"/>
        <w:jc w:val="both"/>
        <w:rPr>
          <w:rFonts w:ascii="Times New Roman" w:hAnsi="Times New Roman" w:cs="Times New Roman"/>
          <w:color w:val="auto"/>
          <w:sz w:val="24"/>
          <w:szCs w:val="24"/>
          <w:highlight w:val="none"/>
          <w:lang w:val="en-US"/>
        </w:rPr>
      </w:pPr>
      <w:r>
        <w:rPr>
          <w:rFonts w:ascii="Times New Roman" w:hAnsi="Times New Roman" w:cs="Times New Roman"/>
          <w:color w:val="auto"/>
          <w:sz w:val="24"/>
          <w:szCs w:val="24"/>
          <w:highlight w:val="none"/>
          <w:lang w:val="en-US"/>
        </w:rPr>
        <w:t>P</w:t>
      </w:r>
      <w:r>
        <w:rPr>
          <w:rFonts w:ascii="Times New Roman" w:hAnsi="Times New Roman" w:cs="Times New Roman"/>
          <w:color w:val="auto"/>
          <w:sz w:val="24"/>
          <w:szCs w:val="24"/>
          <w:highlight w:val="none"/>
          <w:vertAlign w:val="subscript"/>
          <w:lang w:val="en-US"/>
        </w:rPr>
        <w:t>i</w:t>
      </w:r>
      <w:r>
        <w:rPr>
          <w:rFonts w:ascii="Times New Roman" w:hAnsi="Times New Roman" w:cs="Times New Roman"/>
          <w:color w:val="auto"/>
          <w:sz w:val="24"/>
          <w:szCs w:val="24"/>
          <w:highlight w:val="none"/>
          <w:lang w:val="en-US"/>
        </w:rPr>
        <w:t>—</w:t>
      </w:r>
      <w:r>
        <w:rPr>
          <w:rFonts w:ascii="Times New Roman" w:hAnsi="Times New Roman" w:cs="Times New Roman"/>
          <w:color w:val="auto"/>
          <w:sz w:val="24"/>
          <w:szCs w:val="24"/>
          <w:highlight w:val="none"/>
        </w:rPr>
        <w:t>第</w:t>
      </w:r>
      <w:r>
        <w:rPr>
          <w:rFonts w:ascii="Times New Roman" w:hAnsi="Times New Roman" w:cs="Times New Roman"/>
          <w:color w:val="auto"/>
          <w:sz w:val="24"/>
          <w:szCs w:val="24"/>
          <w:highlight w:val="none"/>
          <w:lang w:val="en-US"/>
        </w:rPr>
        <w:t>i</w:t>
      </w:r>
      <w:r>
        <w:rPr>
          <w:rFonts w:ascii="Times New Roman" w:hAnsi="Times New Roman" w:cs="Times New Roman"/>
          <w:color w:val="auto"/>
          <w:sz w:val="24"/>
          <w:szCs w:val="24"/>
          <w:highlight w:val="none"/>
        </w:rPr>
        <w:t>个污染物的最大地面空气质量浓度占标率</w:t>
      </w:r>
      <w:r>
        <w:rPr>
          <w:rFonts w:ascii="Times New Roman" w:hAnsi="Times New Roman" w:cs="Times New Roman"/>
          <w:color w:val="auto"/>
          <w:sz w:val="24"/>
          <w:szCs w:val="24"/>
          <w:highlight w:val="none"/>
          <w:lang w:val="en-US"/>
        </w:rPr>
        <w:t>，%；</w:t>
      </w:r>
    </w:p>
    <w:p w14:paraId="4D4456BF">
      <w:pPr>
        <w:pStyle w:val="20"/>
        <w:spacing w:line="360" w:lineRule="auto"/>
        <w:ind w:left="-105" w:right="-105" w:firstLine="480" w:firstLineChars="200"/>
        <w:jc w:val="both"/>
        <w:rPr>
          <w:rFonts w:ascii="Times New Roman" w:hAnsi="Times New Roman" w:cs="Times New Roman"/>
          <w:color w:val="auto"/>
          <w:sz w:val="24"/>
          <w:szCs w:val="24"/>
          <w:highlight w:val="none"/>
        </w:rPr>
      </w:pPr>
      <w:r>
        <w:rPr>
          <w:rFonts w:ascii="Times New Roman" w:hAnsi="Times New Roman" w:cs="Times New Roman"/>
          <w:color w:val="auto"/>
          <w:sz w:val="24"/>
          <w:szCs w:val="24"/>
          <w:highlight w:val="none"/>
        </w:rPr>
        <w:t>C</w:t>
      </w:r>
      <w:r>
        <w:rPr>
          <w:rFonts w:ascii="Times New Roman" w:hAnsi="Times New Roman" w:cs="Times New Roman"/>
          <w:color w:val="auto"/>
          <w:sz w:val="24"/>
          <w:szCs w:val="24"/>
          <w:highlight w:val="none"/>
          <w:vertAlign w:val="subscript"/>
        </w:rPr>
        <w:t>i</w:t>
      </w:r>
      <w:r>
        <w:rPr>
          <w:rFonts w:ascii="Times New Roman" w:hAnsi="Times New Roman" w:cs="Times New Roman"/>
          <w:color w:val="auto"/>
          <w:sz w:val="24"/>
          <w:szCs w:val="24"/>
          <w:highlight w:val="none"/>
        </w:rPr>
        <w:t>—采用估算模式计算出的第i个污染物的最大1h地面空气质量浓度，μg/m</w:t>
      </w:r>
      <w:r>
        <w:rPr>
          <w:rFonts w:ascii="Times New Roman" w:hAnsi="Times New Roman" w:cs="Times New Roman"/>
          <w:color w:val="auto"/>
          <w:sz w:val="24"/>
          <w:szCs w:val="24"/>
          <w:highlight w:val="none"/>
          <w:vertAlign w:val="superscript"/>
        </w:rPr>
        <w:t>3</w:t>
      </w:r>
      <w:r>
        <w:rPr>
          <w:rFonts w:ascii="Times New Roman" w:hAnsi="Times New Roman" w:cs="Times New Roman"/>
          <w:color w:val="auto"/>
          <w:sz w:val="24"/>
          <w:szCs w:val="24"/>
          <w:highlight w:val="none"/>
        </w:rPr>
        <w:t>；</w:t>
      </w:r>
    </w:p>
    <w:p w14:paraId="202B3A4A">
      <w:pPr>
        <w:spacing w:line="360" w:lineRule="auto"/>
        <w:ind w:left="-105" w:right="-105" w:firstLine="480" w:firstLineChars="200"/>
        <w:rPr>
          <w:rFonts w:ascii="Times New Roman" w:hAnsi="Times New Roman"/>
          <w:color w:val="auto"/>
          <w:highlight w:val="none"/>
          <w:lang w:val="zh-CN" w:bidi="zh-CN"/>
        </w:rPr>
      </w:pPr>
      <w:r>
        <w:rPr>
          <w:rFonts w:ascii="Times New Roman" w:hAnsi="Times New Roman"/>
          <w:color w:val="auto"/>
          <w:szCs w:val="22"/>
          <w:highlight w:val="none"/>
        </w:rPr>
        <w:t>C</w:t>
      </w:r>
      <w:r>
        <w:rPr>
          <w:rFonts w:ascii="Times New Roman" w:hAnsi="Times New Roman"/>
          <w:color w:val="auto"/>
          <w:szCs w:val="22"/>
          <w:highlight w:val="none"/>
          <w:vertAlign w:val="subscript"/>
        </w:rPr>
        <w:t>0i</w:t>
      </w:r>
      <w:r>
        <w:rPr>
          <w:rFonts w:ascii="Times New Roman" w:hAnsi="Times New Roman"/>
          <w:color w:val="auto"/>
          <w:szCs w:val="22"/>
          <w:highlight w:val="none"/>
        </w:rPr>
        <w:t>—</w:t>
      </w:r>
      <w:r>
        <w:rPr>
          <w:rFonts w:ascii="Times New Roman" w:hAnsi="Times New Roman"/>
          <w:color w:val="auto"/>
          <w:highlight w:val="none"/>
          <w:lang w:val="zh-CN" w:bidi="zh-CN"/>
        </w:rPr>
        <w:t>第i个污染物的环境空气质量浓度标准，μg/m</w:t>
      </w:r>
      <w:r>
        <w:rPr>
          <w:rFonts w:ascii="Times New Roman" w:hAnsi="Times New Roman"/>
          <w:color w:val="auto"/>
          <w:highlight w:val="none"/>
          <w:vertAlign w:val="superscript"/>
          <w:lang w:val="zh-CN" w:bidi="zh-CN"/>
        </w:rPr>
        <w:t>3</w:t>
      </w:r>
      <w:r>
        <w:rPr>
          <w:rFonts w:ascii="Times New Roman" w:hAnsi="Times New Roman"/>
          <w:color w:val="auto"/>
          <w:highlight w:val="none"/>
          <w:lang w:val="zh-CN" w:bidi="zh-CN"/>
        </w:rPr>
        <w:t>。</w:t>
      </w:r>
    </w:p>
    <w:p w14:paraId="51A7F750">
      <w:pPr>
        <w:pStyle w:val="15"/>
        <w:spacing w:line="360" w:lineRule="auto"/>
        <w:ind w:left="-105" w:right="-105" w:firstLine="482"/>
        <w:rPr>
          <w:rFonts w:eastAsia="宋体" w:cs="Times New Roman"/>
          <w:color w:val="auto"/>
          <w:sz w:val="24"/>
          <w:szCs w:val="24"/>
          <w:highlight w:val="none"/>
        </w:rPr>
      </w:pPr>
      <w:bookmarkStart w:id="145" w:name="_Ref17804380"/>
      <w:r>
        <w:rPr>
          <w:rFonts w:eastAsia="宋体" w:cs="Times New Roman"/>
          <w:color w:val="auto"/>
          <w:sz w:val="24"/>
          <w:szCs w:val="18"/>
          <w:highlight w:val="none"/>
        </w:rPr>
        <w:t>表</w:t>
      </w:r>
      <w:r>
        <w:rPr>
          <w:rFonts w:eastAsia="宋体" w:cs="Times New Roman"/>
          <w:color w:val="auto"/>
          <w:sz w:val="24"/>
          <w:szCs w:val="18"/>
          <w:highlight w:val="none"/>
        </w:rPr>
        <w:fldChar w:fldCharType="begin"/>
      </w:r>
      <w:r>
        <w:rPr>
          <w:rFonts w:eastAsia="宋体" w:cs="Times New Roman"/>
          <w:color w:val="auto"/>
          <w:sz w:val="24"/>
          <w:szCs w:val="18"/>
          <w:highlight w:val="none"/>
        </w:rPr>
        <w:instrText xml:space="preserve"> STYLEREF 2 \s </w:instrText>
      </w:r>
      <w:r>
        <w:rPr>
          <w:rFonts w:eastAsia="宋体" w:cs="Times New Roman"/>
          <w:color w:val="auto"/>
          <w:sz w:val="24"/>
          <w:szCs w:val="18"/>
          <w:highlight w:val="none"/>
        </w:rPr>
        <w:fldChar w:fldCharType="separate"/>
      </w:r>
      <w:r>
        <w:rPr>
          <w:rFonts w:eastAsia="宋体" w:cs="Times New Roman"/>
          <w:color w:val="auto"/>
          <w:sz w:val="24"/>
          <w:szCs w:val="18"/>
          <w:highlight w:val="none"/>
        </w:rPr>
        <w:t>2.4</w:t>
      </w:r>
      <w:r>
        <w:rPr>
          <w:rFonts w:eastAsia="宋体" w:cs="Times New Roman"/>
          <w:color w:val="auto"/>
          <w:sz w:val="24"/>
          <w:szCs w:val="18"/>
          <w:highlight w:val="none"/>
        </w:rPr>
        <w:fldChar w:fldCharType="end"/>
      </w:r>
      <w:r>
        <w:rPr>
          <w:rFonts w:eastAsia="宋体" w:cs="Times New Roman"/>
          <w:color w:val="auto"/>
          <w:sz w:val="24"/>
          <w:szCs w:val="18"/>
          <w:highlight w:val="none"/>
        </w:rPr>
        <w:noBreakHyphen/>
      </w:r>
      <w:r>
        <w:rPr>
          <w:rFonts w:eastAsia="宋体" w:cs="Times New Roman"/>
          <w:color w:val="auto"/>
          <w:sz w:val="24"/>
          <w:szCs w:val="18"/>
          <w:highlight w:val="none"/>
        </w:rPr>
        <w:fldChar w:fldCharType="begin"/>
      </w:r>
      <w:r>
        <w:rPr>
          <w:rFonts w:eastAsia="宋体" w:cs="Times New Roman"/>
          <w:color w:val="auto"/>
          <w:sz w:val="24"/>
          <w:szCs w:val="18"/>
          <w:highlight w:val="none"/>
        </w:rPr>
        <w:instrText xml:space="preserve"> SEQ 表 \* ARABIC \s 2 </w:instrText>
      </w:r>
      <w:r>
        <w:rPr>
          <w:rFonts w:eastAsia="宋体" w:cs="Times New Roman"/>
          <w:color w:val="auto"/>
          <w:sz w:val="24"/>
          <w:szCs w:val="18"/>
          <w:highlight w:val="none"/>
        </w:rPr>
        <w:fldChar w:fldCharType="separate"/>
      </w:r>
      <w:r>
        <w:rPr>
          <w:rFonts w:eastAsia="宋体" w:cs="Times New Roman"/>
          <w:color w:val="auto"/>
          <w:sz w:val="24"/>
          <w:szCs w:val="18"/>
          <w:highlight w:val="none"/>
        </w:rPr>
        <w:t>3</w:t>
      </w:r>
      <w:r>
        <w:rPr>
          <w:rFonts w:eastAsia="宋体" w:cs="Times New Roman"/>
          <w:color w:val="auto"/>
          <w:sz w:val="24"/>
          <w:szCs w:val="18"/>
          <w:highlight w:val="none"/>
        </w:rPr>
        <w:fldChar w:fldCharType="end"/>
      </w:r>
      <w:bookmarkEnd w:id="145"/>
      <w:r>
        <w:rPr>
          <w:rFonts w:eastAsia="宋体" w:cs="Times New Roman"/>
          <w:color w:val="auto"/>
          <w:sz w:val="24"/>
          <w:szCs w:val="24"/>
          <w:highlight w:val="none"/>
        </w:rPr>
        <w:t>大气环境评价工作等级分级判据</w:t>
      </w:r>
    </w:p>
    <w:tbl>
      <w:tblPr>
        <w:tblStyle w:val="45"/>
        <w:tblW w:w="5000" w:type="pct"/>
        <w:jc w:val="center"/>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fixed"/>
        <w:tblCellMar>
          <w:top w:w="0" w:type="dxa"/>
          <w:left w:w="108" w:type="dxa"/>
          <w:bottom w:w="0" w:type="dxa"/>
          <w:right w:w="108" w:type="dxa"/>
        </w:tblCellMar>
      </w:tblPr>
      <w:tblGrid>
        <w:gridCol w:w="2217"/>
        <w:gridCol w:w="6503"/>
      </w:tblGrid>
      <w:tr w14:paraId="2BAC6D36">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108" w:type="dxa"/>
            <w:bottom w:w="0" w:type="dxa"/>
            <w:right w:w="108" w:type="dxa"/>
          </w:tblCellMar>
        </w:tblPrEx>
        <w:trPr>
          <w:trHeight w:val="340" w:hRule="atLeast"/>
          <w:jc w:val="center"/>
        </w:trPr>
        <w:tc>
          <w:tcPr>
            <w:tcW w:w="2261" w:type="dxa"/>
            <w:tcBorders>
              <w:left w:val="nil"/>
              <w:bottom w:val="single" w:color="000000" w:sz="4" w:space="0"/>
              <w:right w:val="single" w:color="000000" w:sz="4" w:space="0"/>
            </w:tcBorders>
          </w:tcPr>
          <w:p w14:paraId="125C72CF">
            <w:pPr>
              <w:pStyle w:val="98"/>
              <w:ind w:left="-105" w:right="-105"/>
              <w:rPr>
                <w:rFonts w:eastAsia="宋体"/>
                <w:b/>
                <w:color w:val="auto"/>
                <w:sz w:val="21"/>
                <w:szCs w:val="21"/>
                <w:highlight w:val="none"/>
              </w:rPr>
            </w:pPr>
            <w:r>
              <w:rPr>
                <w:rFonts w:eastAsia="宋体"/>
                <w:b/>
                <w:color w:val="auto"/>
                <w:sz w:val="21"/>
                <w:szCs w:val="21"/>
                <w:highlight w:val="none"/>
              </w:rPr>
              <w:t>评价工作等级</w:t>
            </w:r>
          </w:p>
        </w:tc>
        <w:tc>
          <w:tcPr>
            <w:tcW w:w="6656" w:type="dxa"/>
            <w:tcBorders>
              <w:left w:val="single" w:color="000000" w:sz="4" w:space="0"/>
              <w:bottom w:val="single" w:color="000000" w:sz="4" w:space="0"/>
              <w:right w:val="nil"/>
            </w:tcBorders>
          </w:tcPr>
          <w:p w14:paraId="564B775B">
            <w:pPr>
              <w:pStyle w:val="98"/>
              <w:ind w:left="-105" w:right="-105"/>
              <w:rPr>
                <w:rFonts w:eastAsia="宋体"/>
                <w:b/>
                <w:color w:val="auto"/>
                <w:sz w:val="21"/>
                <w:szCs w:val="21"/>
                <w:highlight w:val="none"/>
              </w:rPr>
            </w:pPr>
            <w:r>
              <w:rPr>
                <w:rFonts w:eastAsia="宋体"/>
                <w:b/>
                <w:color w:val="auto"/>
                <w:sz w:val="21"/>
                <w:szCs w:val="21"/>
                <w:highlight w:val="none"/>
              </w:rPr>
              <w:t>评价工作分级判据</w:t>
            </w:r>
          </w:p>
        </w:tc>
      </w:tr>
      <w:tr w14:paraId="00E2CF43">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108" w:type="dxa"/>
            <w:bottom w:w="0" w:type="dxa"/>
            <w:right w:w="108" w:type="dxa"/>
          </w:tblCellMar>
        </w:tblPrEx>
        <w:trPr>
          <w:trHeight w:val="340" w:hRule="atLeast"/>
          <w:jc w:val="center"/>
        </w:trPr>
        <w:tc>
          <w:tcPr>
            <w:tcW w:w="2261" w:type="dxa"/>
            <w:tcBorders>
              <w:top w:val="single" w:color="000000" w:sz="4" w:space="0"/>
              <w:left w:val="nil"/>
              <w:bottom w:val="single" w:color="000000" w:sz="4" w:space="0"/>
              <w:right w:val="single" w:color="000000" w:sz="4" w:space="0"/>
            </w:tcBorders>
          </w:tcPr>
          <w:p w14:paraId="7B70018C">
            <w:pPr>
              <w:pStyle w:val="98"/>
              <w:ind w:left="-105" w:right="-105"/>
              <w:rPr>
                <w:rFonts w:eastAsia="宋体"/>
                <w:color w:val="auto"/>
                <w:sz w:val="21"/>
                <w:szCs w:val="21"/>
                <w:highlight w:val="none"/>
              </w:rPr>
            </w:pPr>
            <w:r>
              <w:rPr>
                <w:rFonts w:eastAsia="宋体"/>
                <w:color w:val="auto"/>
                <w:sz w:val="21"/>
                <w:szCs w:val="21"/>
                <w:highlight w:val="none"/>
              </w:rPr>
              <w:t>一级</w:t>
            </w:r>
          </w:p>
        </w:tc>
        <w:tc>
          <w:tcPr>
            <w:tcW w:w="6656" w:type="dxa"/>
            <w:tcBorders>
              <w:top w:val="single" w:color="000000" w:sz="4" w:space="0"/>
              <w:left w:val="single" w:color="000000" w:sz="4" w:space="0"/>
              <w:bottom w:val="single" w:color="000000" w:sz="4" w:space="0"/>
              <w:right w:val="nil"/>
            </w:tcBorders>
          </w:tcPr>
          <w:p w14:paraId="052B9437">
            <w:pPr>
              <w:pStyle w:val="98"/>
              <w:ind w:left="-105" w:right="-105"/>
              <w:rPr>
                <w:rFonts w:eastAsia="宋体"/>
                <w:color w:val="auto"/>
                <w:sz w:val="21"/>
                <w:szCs w:val="21"/>
                <w:highlight w:val="none"/>
              </w:rPr>
            </w:pPr>
            <w:r>
              <w:rPr>
                <w:rFonts w:eastAsia="宋体"/>
                <w:color w:val="auto"/>
                <w:position w:val="1"/>
                <w:sz w:val="21"/>
                <w:szCs w:val="21"/>
                <w:highlight w:val="none"/>
              </w:rPr>
              <w:t>P</w:t>
            </w:r>
            <w:r>
              <w:rPr>
                <w:rFonts w:eastAsia="宋体"/>
                <w:color w:val="auto"/>
                <w:sz w:val="21"/>
                <w:szCs w:val="21"/>
                <w:highlight w:val="none"/>
              </w:rPr>
              <w:t>max</w:t>
            </w:r>
            <w:r>
              <w:rPr>
                <w:rFonts w:eastAsia="宋体"/>
                <w:color w:val="auto"/>
                <w:position w:val="1"/>
                <w:sz w:val="21"/>
                <w:szCs w:val="21"/>
                <w:highlight w:val="none"/>
              </w:rPr>
              <w:t>≥10%</w:t>
            </w:r>
          </w:p>
        </w:tc>
      </w:tr>
      <w:tr w14:paraId="34306D01">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108" w:type="dxa"/>
            <w:bottom w:w="0" w:type="dxa"/>
            <w:right w:w="108" w:type="dxa"/>
          </w:tblCellMar>
        </w:tblPrEx>
        <w:trPr>
          <w:trHeight w:val="340" w:hRule="atLeast"/>
          <w:jc w:val="center"/>
        </w:trPr>
        <w:tc>
          <w:tcPr>
            <w:tcW w:w="2261" w:type="dxa"/>
            <w:tcBorders>
              <w:top w:val="single" w:color="000000" w:sz="4" w:space="0"/>
              <w:left w:val="nil"/>
              <w:bottom w:val="single" w:color="000000" w:sz="4" w:space="0"/>
              <w:right w:val="single" w:color="000000" w:sz="4" w:space="0"/>
            </w:tcBorders>
          </w:tcPr>
          <w:p w14:paraId="090D0F60">
            <w:pPr>
              <w:pStyle w:val="98"/>
              <w:ind w:left="-105" w:right="-105"/>
              <w:rPr>
                <w:rFonts w:eastAsia="宋体"/>
                <w:color w:val="auto"/>
                <w:sz w:val="21"/>
                <w:szCs w:val="21"/>
                <w:highlight w:val="none"/>
              </w:rPr>
            </w:pPr>
            <w:r>
              <w:rPr>
                <w:rFonts w:eastAsia="宋体"/>
                <w:color w:val="auto"/>
                <w:sz w:val="21"/>
                <w:szCs w:val="21"/>
                <w:highlight w:val="none"/>
              </w:rPr>
              <w:t>二级</w:t>
            </w:r>
          </w:p>
        </w:tc>
        <w:tc>
          <w:tcPr>
            <w:tcW w:w="6656" w:type="dxa"/>
            <w:tcBorders>
              <w:top w:val="single" w:color="000000" w:sz="4" w:space="0"/>
              <w:left w:val="single" w:color="000000" w:sz="4" w:space="0"/>
              <w:bottom w:val="single" w:color="000000" w:sz="4" w:space="0"/>
              <w:right w:val="nil"/>
            </w:tcBorders>
          </w:tcPr>
          <w:p w14:paraId="60EE8DF7">
            <w:pPr>
              <w:pStyle w:val="98"/>
              <w:ind w:left="-105" w:right="-105"/>
              <w:rPr>
                <w:rFonts w:eastAsia="宋体"/>
                <w:color w:val="auto"/>
                <w:sz w:val="21"/>
                <w:szCs w:val="21"/>
                <w:highlight w:val="none"/>
              </w:rPr>
            </w:pPr>
            <w:r>
              <w:rPr>
                <w:rFonts w:eastAsia="宋体"/>
                <w:color w:val="auto"/>
                <w:position w:val="1"/>
                <w:sz w:val="21"/>
                <w:szCs w:val="21"/>
                <w:highlight w:val="none"/>
              </w:rPr>
              <w:t>1%≤P</w:t>
            </w:r>
            <w:r>
              <w:rPr>
                <w:rFonts w:eastAsia="宋体"/>
                <w:color w:val="auto"/>
                <w:sz w:val="21"/>
                <w:szCs w:val="21"/>
                <w:highlight w:val="none"/>
              </w:rPr>
              <w:t>max</w:t>
            </w:r>
            <w:r>
              <w:rPr>
                <w:rFonts w:eastAsia="宋体"/>
                <w:color w:val="auto"/>
                <w:position w:val="1"/>
                <w:sz w:val="21"/>
                <w:szCs w:val="21"/>
                <w:highlight w:val="none"/>
              </w:rPr>
              <w:t>＜10%</w:t>
            </w:r>
          </w:p>
        </w:tc>
      </w:tr>
      <w:tr w14:paraId="62A1C599">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108" w:type="dxa"/>
            <w:bottom w:w="0" w:type="dxa"/>
            <w:right w:w="108" w:type="dxa"/>
          </w:tblCellMar>
        </w:tblPrEx>
        <w:trPr>
          <w:trHeight w:val="340" w:hRule="atLeast"/>
          <w:jc w:val="center"/>
        </w:trPr>
        <w:tc>
          <w:tcPr>
            <w:tcW w:w="2261" w:type="dxa"/>
            <w:tcBorders>
              <w:top w:val="single" w:color="000000" w:sz="4" w:space="0"/>
              <w:left w:val="nil"/>
              <w:right w:val="single" w:color="000000" w:sz="4" w:space="0"/>
            </w:tcBorders>
          </w:tcPr>
          <w:p w14:paraId="3A98E2D4">
            <w:pPr>
              <w:pStyle w:val="98"/>
              <w:ind w:left="-105" w:right="-105"/>
              <w:rPr>
                <w:rFonts w:eastAsia="宋体"/>
                <w:color w:val="auto"/>
                <w:sz w:val="21"/>
                <w:szCs w:val="21"/>
                <w:highlight w:val="none"/>
              </w:rPr>
            </w:pPr>
            <w:r>
              <w:rPr>
                <w:rFonts w:eastAsia="宋体"/>
                <w:color w:val="auto"/>
                <w:sz w:val="21"/>
                <w:szCs w:val="21"/>
                <w:highlight w:val="none"/>
              </w:rPr>
              <w:t>三级</w:t>
            </w:r>
          </w:p>
        </w:tc>
        <w:tc>
          <w:tcPr>
            <w:tcW w:w="6656" w:type="dxa"/>
            <w:tcBorders>
              <w:top w:val="single" w:color="000000" w:sz="4" w:space="0"/>
              <w:left w:val="single" w:color="000000" w:sz="4" w:space="0"/>
              <w:right w:val="nil"/>
            </w:tcBorders>
          </w:tcPr>
          <w:p w14:paraId="418A9999">
            <w:pPr>
              <w:pStyle w:val="98"/>
              <w:ind w:left="-105" w:right="-105"/>
              <w:rPr>
                <w:rFonts w:eastAsia="宋体"/>
                <w:color w:val="auto"/>
                <w:sz w:val="21"/>
                <w:szCs w:val="21"/>
                <w:highlight w:val="none"/>
              </w:rPr>
            </w:pPr>
            <w:r>
              <w:rPr>
                <w:rFonts w:eastAsia="宋体"/>
                <w:color w:val="auto"/>
                <w:position w:val="1"/>
                <w:sz w:val="21"/>
                <w:szCs w:val="21"/>
                <w:highlight w:val="none"/>
              </w:rPr>
              <w:t>P</w:t>
            </w:r>
            <w:r>
              <w:rPr>
                <w:rFonts w:eastAsia="宋体"/>
                <w:color w:val="auto"/>
                <w:sz w:val="21"/>
                <w:szCs w:val="21"/>
                <w:highlight w:val="none"/>
              </w:rPr>
              <w:t>max</w:t>
            </w:r>
            <w:r>
              <w:rPr>
                <w:rFonts w:eastAsia="宋体"/>
                <w:color w:val="auto"/>
                <w:position w:val="1"/>
                <w:sz w:val="21"/>
                <w:szCs w:val="21"/>
                <w:highlight w:val="none"/>
              </w:rPr>
              <w:t>＜1%</w:t>
            </w:r>
          </w:p>
        </w:tc>
      </w:tr>
    </w:tbl>
    <w:p w14:paraId="2EAF5947">
      <w:pPr>
        <w:pStyle w:val="15"/>
        <w:spacing w:line="360" w:lineRule="auto"/>
        <w:ind w:left="-105" w:right="-105" w:firstLine="482"/>
        <w:rPr>
          <w:rFonts w:eastAsia="宋体" w:cs="Times New Roman"/>
          <w:color w:val="auto"/>
          <w:sz w:val="24"/>
          <w:szCs w:val="18"/>
          <w:highlight w:val="none"/>
        </w:rPr>
      </w:pPr>
      <w:bookmarkStart w:id="146" w:name="_Ref17804387"/>
    </w:p>
    <w:p w14:paraId="775E03BE">
      <w:pPr>
        <w:pStyle w:val="15"/>
        <w:spacing w:line="360" w:lineRule="auto"/>
        <w:ind w:left="-105" w:right="-105" w:firstLine="482"/>
        <w:rPr>
          <w:rFonts w:eastAsia="宋体" w:cs="Times New Roman"/>
          <w:color w:val="auto"/>
          <w:sz w:val="24"/>
          <w:szCs w:val="18"/>
          <w:highlight w:val="none"/>
        </w:rPr>
      </w:pPr>
    </w:p>
    <w:p w14:paraId="7DF6207F">
      <w:pPr>
        <w:pStyle w:val="15"/>
        <w:spacing w:line="360" w:lineRule="auto"/>
        <w:ind w:left="-105" w:right="-105" w:firstLine="482"/>
        <w:rPr>
          <w:rFonts w:eastAsia="宋体" w:cs="Times New Roman"/>
          <w:color w:val="auto"/>
          <w:sz w:val="24"/>
          <w:szCs w:val="24"/>
          <w:highlight w:val="none"/>
        </w:rPr>
      </w:pPr>
      <w:r>
        <w:rPr>
          <w:rFonts w:eastAsia="宋体" w:cs="Times New Roman"/>
          <w:color w:val="auto"/>
          <w:sz w:val="24"/>
          <w:szCs w:val="18"/>
          <w:highlight w:val="none"/>
        </w:rPr>
        <w:t>表</w:t>
      </w:r>
      <w:r>
        <w:rPr>
          <w:rFonts w:eastAsia="宋体" w:cs="Times New Roman"/>
          <w:color w:val="auto"/>
          <w:sz w:val="24"/>
          <w:szCs w:val="18"/>
          <w:highlight w:val="none"/>
        </w:rPr>
        <w:fldChar w:fldCharType="begin"/>
      </w:r>
      <w:r>
        <w:rPr>
          <w:rFonts w:eastAsia="宋体" w:cs="Times New Roman"/>
          <w:color w:val="auto"/>
          <w:sz w:val="24"/>
          <w:szCs w:val="18"/>
          <w:highlight w:val="none"/>
        </w:rPr>
        <w:instrText xml:space="preserve"> STYLEREF 2 \s </w:instrText>
      </w:r>
      <w:r>
        <w:rPr>
          <w:rFonts w:eastAsia="宋体" w:cs="Times New Roman"/>
          <w:color w:val="auto"/>
          <w:sz w:val="24"/>
          <w:szCs w:val="18"/>
          <w:highlight w:val="none"/>
        </w:rPr>
        <w:fldChar w:fldCharType="separate"/>
      </w:r>
      <w:r>
        <w:rPr>
          <w:rFonts w:eastAsia="宋体" w:cs="Times New Roman"/>
          <w:color w:val="auto"/>
          <w:sz w:val="24"/>
          <w:szCs w:val="18"/>
          <w:highlight w:val="none"/>
        </w:rPr>
        <w:t>2.4</w:t>
      </w:r>
      <w:r>
        <w:rPr>
          <w:rFonts w:eastAsia="宋体" w:cs="Times New Roman"/>
          <w:color w:val="auto"/>
          <w:sz w:val="24"/>
          <w:szCs w:val="18"/>
          <w:highlight w:val="none"/>
        </w:rPr>
        <w:fldChar w:fldCharType="end"/>
      </w:r>
      <w:r>
        <w:rPr>
          <w:rFonts w:eastAsia="宋体" w:cs="Times New Roman"/>
          <w:color w:val="auto"/>
          <w:sz w:val="24"/>
          <w:szCs w:val="18"/>
          <w:highlight w:val="none"/>
        </w:rPr>
        <w:noBreakHyphen/>
      </w:r>
      <w:r>
        <w:rPr>
          <w:rFonts w:eastAsia="宋体" w:cs="Times New Roman"/>
          <w:color w:val="auto"/>
          <w:sz w:val="24"/>
          <w:szCs w:val="18"/>
          <w:highlight w:val="none"/>
        </w:rPr>
        <w:fldChar w:fldCharType="begin"/>
      </w:r>
      <w:r>
        <w:rPr>
          <w:rFonts w:eastAsia="宋体" w:cs="Times New Roman"/>
          <w:color w:val="auto"/>
          <w:sz w:val="24"/>
          <w:szCs w:val="18"/>
          <w:highlight w:val="none"/>
        </w:rPr>
        <w:instrText xml:space="preserve"> SEQ 表 \* ARABIC \s 2 </w:instrText>
      </w:r>
      <w:r>
        <w:rPr>
          <w:rFonts w:eastAsia="宋体" w:cs="Times New Roman"/>
          <w:color w:val="auto"/>
          <w:sz w:val="24"/>
          <w:szCs w:val="18"/>
          <w:highlight w:val="none"/>
        </w:rPr>
        <w:fldChar w:fldCharType="separate"/>
      </w:r>
      <w:r>
        <w:rPr>
          <w:rFonts w:eastAsia="宋体" w:cs="Times New Roman"/>
          <w:color w:val="auto"/>
          <w:sz w:val="24"/>
          <w:szCs w:val="18"/>
          <w:highlight w:val="none"/>
        </w:rPr>
        <w:t>4</w:t>
      </w:r>
      <w:r>
        <w:rPr>
          <w:rFonts w:eastAsia="宋体" w:cs="Times New Roman"/>
          <w:color w:val="auto"/>
          <w:sz w:val="24"/>
          <w:szCs w:val="18"/>
          <w:highlight w:val="none"/>
        </w:rPr>
        <w:fldChar w:fldCharType="end"/>
      </w:r>
      <w:bookmarkEnd w:id="146"/>
      <w:r>
        <w:rPr>
          <w:rFonts w:eastAsia="宋体" w:cs="Times New Roman"/>
          <w:color w:val="auto"/>
          <w:sz w:val="24"/>
          <w:szCs w:val="24"/>
          <w:highlight w:val="none"/>
        </w:rPr>
        <w:t>估算模式计算结果统计</w:t>
      </w:r>
    </w:p>
    <w:tbl>
      <w:tblPr>
        <w:tblStyle w:val="45"/>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28" w:type="dxa"/>
          <w:bottom w:w="0" w:type="dxa"/>
          <w:right w:w="28" w:type="dxa"/>
        </w:tblCellMar>
      </w:tblPr>
      <w:tblGrid>
        <w:gridCol w:w="587"/>
        <w:gridCol w:w="941"/>
        <w:gridCol w:w="1345"/>
        <w:gridCol w:w="1419"/>
        <w:gridCol w:w="1419"/>
        <w:gridCol w:w="1420"/>
        <w:gridCol w:w="1429"/>
      </w:tblGrid>
      <w:tr w14:paraId="0692862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cantSplit/>
          <w:trHeight w:val="351" w:hRule="atLeast"/>
          <w:jc w:val="center"/>
        </w:trPr>
        <w:tc>
          <w:tcPr>
            <w:tcW w:w="1528" w:type="dxa"/>
            <w:gridSpan w:val="2"/>
            <w:vMerge w:val="restart"/>
            <w:shd w:val="clear" w:color="auto" w:fill="auto"/>
            <w:vAlign w:val="center"/>
          </w:tcPr>
          <w:p w14:paraId="017B2AD4">
            <w:pPr>
              <w:pStyle w:val="118"/>
              <w:keepNext w:val="0"/>
              <w:keepLines w:val="0"/>
              <w:pageBreakBefore w:val="0"/>
              <w:kinsoku/>
              <w:wordWrap/>
              <w:overflowPunct/>
              <w:topLinePunct w:val="0"/>
              <w:autoSpaceDE/>
              <w:autoSpaceDN/>
              <w:bidi w:val="0"/>
              <w:adjustRightInd/>
              <w:snapToGrid/>
              <w:ind w:left="0" w:right="0"/>
              <w:rPr>
                <w:rFonts w:ascii="Times New Roman" w:hAnsi="Times New Roman" w:eastAsia="宋体"/>
                <w:b/>
                <w:bCs/>
                <w:color w:val="auto"/>
                <w:sz w:val="21"/>
                <w:szCs w:val="21"/>
                <w:highlight w:val="none"/>
              </w:rPr>
            </w:pPr>
            <w:r>
              <w:rPr>
                <w:rFonts w:ascii="Times New Roman" w:hAnsi="Times New Roman" w:eastAsia="宋体"/>
                <w:b/>
                <w:bCs/>
                <w:color w:val="auto"/>
                <w:sz w:val="21"/>
                <w:szCs w:val="21"/>
                <w:highlight w:val="none"/>
              </w:rPr>
              <w:t>污染源</w:t>
            </w:r>
          </w:p>
        </w:tc>
        <w:tc>
          <w:tcPr>
            <w:tcW w:w="1345" w:type="dxa"/>
            <w:vMerge w:val="restart"/>
            <w:shd w:val="clear" w:color="auto" w:fill="auto"/>
            <w:vAlign w:val="center"/>
          </w:tcPr>
          <w:p w14:paraId="598F2BD5">
            <w:pPr>
              <w:pStyle w:val="118"/>
              <w:keepNext w:val="0"/>
              <w:keepLines w:val="0"/>
              <w:pageBreakBefore w:val="0"/>
              <w:kinsoku/>
              <w:wordWrap/>
              <w:overflowPunct/>
              <w:topLinePunct w:val="0"/>
              <w:autoSpaceDE/>
              <w:autoSpaceDN/>
              <w:bidi w:val="0"/>
              <w:adjustRightInd/>
              <w:snapToGrid/>
              <w:ind w:left="0" w:right="0"/>
              <w:rPr>
                <w:rFonts w:ascii="Times New Roman" w:hAnsi="Times New Roman" w:eastAsia="宋体"/>
                <w:b/>
                <w:bCs/>
                <w:color w:val="auto"/>
                <w:sz w:val="21"/>
                <w:szCs w:val="21"/>
                <w:highlight w:val="none"/>
              </w:rPr>
            </w:pPr>
            <w:r>
              <w:rPr>
                <w:rFonts w:ascii="Times New Roman" w:hAnsi="Times New Roman" w:eastAsia="宋体"/>
                <w:b/>
                <w:bCs/>
                <w:color w:val="auto"/>
                <w:sz w:val="21"/>
                <w:szCs w:val="21"/>
                <w:highlight w:val="none"/>
              </w:rPr>
              <w:t>污染物</w:t>
            </w:r>
          </w:p>
        </w:tc>
        <w:tc>
          <w:tcPr>
            <w:tcW w:w="5687" w:type="dxa"/>
            <w:gridSpan w:val="4"/>
          </w:tcPr>
          <w:p w14:paraId="438F29BB">
            <w:pPr>
              <w:pStyle w:val="118"/>
              <w:keepNext w:val="0"/>
              <w:keepLines w:val="0"/>
              <w:pageBreakBefore w:val="0"/>
              <w:kinsoku/>
              <w:wordWrap/>
              <w:overflowPunct/>
              <w:topLinePunct w:val="0"/>
              <w:autoSpaceDE/>
              <w:autoSpaceDN/>
              <w:bidi w:val="0"/>
              <w:adjustRightInd/>
              <w:snapToGrid/>
              <w:ind w:left="0" w:right="0"/>
              <w:rPr>
                <w:rFonts w:ascii="Times New Roman" w:hAnsi="Times New Roman" w:eastAsia="宋体"/>
                <w:b/>
                <w:bCs/>
                <w:color w:val="auto"/>
                <w:sz w:val="21"/>
                <w:szCs w:val="21"/>
                <w:highlight w:val="none"/>
              </w:rPr>
            </w:pPr>
            <w:r>
              <w:rPr>
                <w:rFonts w:ascii="Times New Roman" w:hAnsi="Times New Roman" w:eastAsia="宋体"/>
                <w:b/>
                <w:bCs/>
                <w:color w:val="auto"/>
                <w:sz w:val="21"/>
                <w:szCs w:val="21"/>
                <w:highlight w:val="none"/>
              </w:rPr>
              <w:t>计算结果</w:t>
            </w:r>
          </w:p>
        </w:tc>
      </w:tr>
      <w:tr w14:paraId="17C365D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cantSplit/>
          <w:trHeight w:val="554" w:hRule="atLeast"/>
          <w:jc w:val="center"/>
        </w:trPr>
        <w:tc>
          <w:tcPr>
            <w:tcW w:w="1528" w:type="dxa"/>
            <w:gridSpan w:val="2"/>
            <w:vMerge w:val="continue"/>
            <w:tcBorders>
              <w:bottom w:val="single" w:color="auto" w:sz="4" w:space="0"/>
            </w:tcBorders>
            <w:shd w:val="clear" w:color="auto" w:fill="auto"/>
            <w:vAlign w:val="center"/>
          </w:tcPr>
          <w:p w14:paraId="35423E95">
            <w:pPr>
              <w:pStyle w:val="118"/>
              <w:keepNext w:val="0"/>
              <w:keepLines w:val="0"/>
              <w:pageBreakBefore w:val="0"/>
              <w:kinsoku/>
              <w:wordWrap/>
              <w:overflowPunct/>
              <w:topLinePunct w:val="0"/>
              <w:autoSpaceDE/>
              <w:autoSpaceDN/>
              <w:bidi w:val="0"/>
              <w:adjustRightInd/>
              <w:snapToGrid/>
              <w:ind w:left="0" w:right="0"/>
              <w:rPr>
                <w:rFonts w:ascii="Times New Roman" w:hAnsi="Times New Roman" w:eastAsia="宋体"/>
                <w:b/>
                <w:bCs/>
                <w:color w:val="auto"/>
                <w:sz w:val="21"/>
                <w:szCs w:val="21"/>
                <w:highlight w:val="none"/>
              </w:rPr>
            </w:pPr>
          </w:p>
        </w:tc>
        <w:tc>
          <w:tcPr>
            <w:tcW w:w="1345" w:type="dxa"/>
            <w:vMerge w:val="continue"/>
            <w:shd w:val="clear" w:color="auto" w:fill="auto"/>
            <w:vAlign w:val="center"/>
          </w:tcPr>
          <w:p w14:paraId="600D5D8D">
            <w:pPr>
              <w:pStyle w:val="118"/>
              <w:keepNext w:val="0"/>
              <w:keepLines w:val="0"/>
              <w:pageBreakBefore w:val="0"/>
              <w:kinsoku/>
              <w:wordWrap/>
              <w:overflowPunct/>
              <w:topLinePunct w:val="0"/>
              <w:autoSpaceDE/>
              <w:autoSpaceDN/>
              <w:bidi w:val="0"/>
              <w:adjustRightInd/>
              <w:snapToGrid/>
              <w:ind w:left="0" w:right="0"/>
              <w:rPr>
                <w:rFonts w:ascii="Times New Roman" w:hAnsi="Times New Roman" w:eastAsia="宋体"/>
                <w:b/>
                <w:bCs/>
                <w:color w:val="auto"/>
                <w:sz w:val="21"/>
                <w:szCs w:val="21"/>
                <w:highlight w:val="none"/>
              </w:rPr>
            </w:pPr>
          </w:p>
        </w:tc>
        <w:tc>
          <w:tcPr>
            <w:tcW w:w="1419" w:type="dxa"/>
            <w:shd w:val="clear" w:color="auto" w:fill="auto"/>
            <w:vAlign w:val="center"/>
          </w:tcPr>
          <w:p w14:paraId="7A969C36">
            <w:pPr>
              <w:pStyle w:val="118"/>
              <w:keepNext w:val="0"/>
              <w:keepLines w:val="0"/>
              <w:pageBreakBefore w:val="0"/>
              <w:kinsoku/>
              <w:wordWrap/>
              <w:overflowPunct/>
              <w:topLinePunct w:val="0"/>
              <w:autoSpaceDE/>
              <w:autoSpaceDN/>
              <w:bidi w:val="0"/>
              <w:adjustRightInd/>
              <w:snapToGrid/>
              <w:ind w:left="0" w:right="0"/>
              <w:rPr>
                <w:rFonts w:ascii="Times New Roman" w:hAnsi="Times New Roman" w:eastAsia="宋体"/>
                <w:b/>
                <w:bCs/>
                <w:color w:val="auto"/>
                <w:sz w:val="21"/>
                <w:szCs w:val="21"/>
                <w:highlight w:val="none"/>
              </w:rPr>
            </w:pPr>
            <w:r>
              <w:rPr>
                <w:rFonts w:ascii="Times New Roman" w:hAnsi="Times New Roman" w:eastAsia="宋体"/>
                <w:b/>
                <w:bCs/>
                <w:color w:val="auto"/>
                <w:sz w:val="21"/>
                <w:szCs w:val="21"/>
                <w:highlight w:val="none"/>
              </w:rPr>
              <w:t>最大落地浓度距离/m</w:t>
            </w:r>
          </w:p>
        </w:tc>
        <w:tc>
          <w:tcPr>
            <w:tcW w:w="1419" w:type="dxa"/>
            <w:shd w:val="clear" w:color="auto" w:fill="auto"/>
            <w:vAlign w:val="center"/>
          </w:tcPr>
          <w:p w14:paraId="00DC1793">
            <w:pPr>
              <w:pStyle w:val="118"/>
              <w:keepNext w:val="0"/>
              <w:keepLines w:val="0"/>
              <w:pageBreakBefore w:val="0"/>
              <w:kinsoku/>
              <w:wordWrap/>
              <w:overflowPunct/>
              <w:topLinePunct w:val="0"/>
              <w:autoSpaceDE/>
              <w:autoSpaceDN/>
              <w:bidi w:val="0"/>
              <w:adjustRightInd/>
              <w:snapToGrid/>
              <w:ind w:left="0" w:right="0"/>
              <w:rPr>
                <w:rFonts w:ascii="Times New Roman" w:hAnsi="Times New Roman" w:eastAsia="宋体"/>
                <w:b/>
                <w:bCs/>
                <w:color w:val="auto"/>
                <w:sz w:val="21"/>
                <w:szCs w:val="21"/>
                <w:highlight w:val="none"/>
              </w:rPr>
            </w:pPr>
            <w:r>
              <w:rPr>
                <w:rFonts w:ascii="Times New Roman" w:hAnsi="Times New Roman" w:eastAsia="宋体"/>
                <w:b/>
                <w:bCs/>
                <w:color w:val="auto"/>
                <w:sz w:val="21"/>
                <w:szCs w:val="21"/>
                <w:highlight w:val="none"/>
              </w:rPr>
              <w:t>1h最大落地浓度/（</w:t>
            </w:r>
            <w:r>
              <w:rPr>
                <w:rFonts w:ascii="Times New Roman" w:hAnsi="Times New Roman" w:eastAsia="宋体"/>
                <w:b/>
                <w:color w:val="auto"/>
                <w:sz w:val="21"/>
                <w:szCs w:val="21"/>
                <w:highlight w:val="none"/>
              </w:rPr>
              <w:t>μg/m</w:t>
            </w:r>
            <w:r>
              <w:rPr>
                <w:rFonts w:ascii="Times New Roman" w:hAnsi="Times New Roman" w:eastAsia="宋体"/>
                <w:b/>
                <w:color w:val="auto"/>
                <w:sz w:val="21"/>
                <w:szCs w:val="21"/>
                <w:highlight w:val="none"/>
                <w:vertAlign w:val="superscript"/>
              </w:rPr>
              <w:t>3</w:t>
            </w:r>
            <w:r>
              <w:rPr>
                <w:rFonts w:ascii="Times New Roman" w:hAnsi="Times New Roman" w:eastAsia="宋体"/>
                <w:b/>
                <w:bCs/>
                <w:color w:val="auto"/>
                <w:sz w:val="21"/>
                <w:szCs w:val="21"/>
                <w:highlight w:val="none"/>
              </w:rPr>
              <w:t>）</w:t>
            </w:r>
          </w:p>
        </w:tc>
        <w:tc>
          <w:tcPr>
            <w:tcW w:w="1420" w:type="dxa"/>
            <w:vAlign w:val="center"/>
          </w:tcPr>
          <w:p w14:paraId="45F0F0DA">
            <w:pPr>
              <w:pStyle w:val="118"/>
              <w:keepNext w:val="0"/>
              <w:keepLines w:val="0"/>
              <w:pageBreakBefore w:val="0"/>
              <w:kinsoku/>
              <w:wordWrap/>
              <w:overflowPunct/>
              <w:topLinePunct w:val="0"/>
              <w:autoSpaceDE/>
              <w:autoSpaceDN/>
              <w:bidi w:val="0"/>
              <w:adjustRightInd/>
              <w:snapToGrid/>
              <w:ind w:left="0" w:right="0"/>
              <w:rPr>
                <w:rFonts w:ascii="Times New Roman" w:hAnsi="Times New Roman" w:eastAsia="宋体"/>
                <w:b/>
                <w:bCs/>
                <w:color w:val="auto"/>
                <w:sz w:val="21"/>
                <w:szCs w:val="21"/>
                <w:highlight w:val="none"/>
              </w:rPr>
            </w:pPr>
            <w:r>
              <w:rPr>
                <w:rFonts w:ascii="Times New Roman" w:hAnsi="Times New Roman" w:eastAsia="宋体"/>
                <w:b/>
                <w:bCs/>
                <w:color w:val="auto"/>
                <w:sz w:val="21"/>
                <w:szCs w:val="21"/>
                <w:highlight w:val="none"/>
              </w:rPr>
              <w:t>最大占标率/%</w:t>
            </w:r>
          </w:p>
        </w:tc>
        <w:tc>
          <w:tcPr>
            <w:tcW w:w="1429" w:type="dxa"/>
            <w:shd w:val="clear" w:color="auto" w:fill="auto"/>
            <w:vAlign w:val="center"/>
          </w:tcPr>
          <w:p w14:paraId="554A96CB">
            <w:pPr>
              <w:pStyle w:val="118"/>
              <w:keepNext w:val="0"/>
              <w:keepLines w:val="0"/>
              <w:pageBreakBefore w:val="0"/>
              <w:kinsoku/>
              <w:wordWrap/>
              <w:overflowPunct/>
              <w:topLinePunct w:val="0"/>
              <w:autoSpaceDE/>
              <w:autoSpaceDN/>
              <w:bidi w:val="0"/>
              <w:adjustRightInd/>
              <w:snapToGrid/>
              <w:ind w:left="0" w:right="0"/>
              <w:rPr>
                <w:rFonts w:ascii="Times New Roman" w:hAnsi="Times New Roman" w:eastAsia="宋体"/>
                <w:b/>
                <w:bCs/>
                <w:color w:val="auto"/>
                <w:sz w:val="21"/>
                <w:szCs w:val="21"/>
                <w:highlight w:val="none"/>
              </w:rPr>
            </w:pPr>
            <w:r>
              <w:rPr>
                <w:rFonts w:ascii="Times New Roman" w:hAnsi="Times New Roman" w:eastAsia="宋体"/>
                <w:b/>
                <w:bCs/>
                <w:color w:val="auto"/>
                <w:sz w:val="21"/>
                <w:szCs w:val="21"/>
                <w:highlight w:val="none"/>
              </w:rPr>
              <w:t>评价等级</w:t>
            </w:r>
          </w:p>
        </w:tc>
      </w:tr>
      <w:tr w14:paraId="1B1044F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cantSplit/>
          <w:trHeight w:val="330" w:hRule="atLeast"/>
          <w:jc w:val="center"/>
        </w:trPr>
        <w:tc>
          <w:tcPr>
            <w:tcW w:w="587" w:type="dxa"/>
            <w:vMerge w:val="restart"/>
            <w:tcBorders>
              <w:top w:val="single" w:color="auto" w:sz="4" w:space="0"/>
            </w:tcBorders>
            <w:vAlign w:val="center"/>
          </w:tcPr>
          <w:p w14:paraId="265245B2">
            <w:pPr>
              <w:pStyle w:val="118"/>
              <w:keepNext w:val="0"/>
              <w:keepLines w:val="0"/>
              <w:pageBreakBefore w:val="0"/>
              <w:kinsoku/>
              <w:wordWrap/>
              <w:overflowPunct/>
              <w:topLinePunct w:val="0"/>
              <w:autoSpaceDE/>
              <w:autoSpaceDN/>
              <w:bidi w:val="0"/>
              <w:adjustRightInd/>
              <w:snapToGrid/>
              <w:ind w:left="0" w:right="0"/>
              <w:rPr>
                <w:rFonts w:ascii="Times New Roman" w:hAnsi="Times New Roman" w:eastAsia="宋体"/>
                <w:color w:val="auto"/>
                <w:sz w:val="21"/>
                <w:szCs w:val="21"/>
                <w:highlight w:val="none"/>
              </w:rPr>
            </w:pPr>
            <w:r>
              <w:rPr>
                <w:rFonts w:ascii="Times New Roman" w:hAnsi="Times New Roman" w:eastAsia="宋体"/>
                <w:color w:val="auto"/>
                <w:sz w:val="21"/>
                <w:szCs w:val="21"/>
                <w:highlight w:val="none"/>
              </w:rPr>
              <w:t>点源</w:t>
            </w:r>
          </w:p>
        </w:tc>
        <w:tc>
          <w:tcPr>
            <w:tcW w:w="941" w:type="dxa"/>
            <w:tcBorders>
              <w:top w:val="single" w:color="auto" w:sz="4" w:space="0"/>
            </w:tcBorders>
            <w:vAlign w:val="center"/>
          </w:tcPr>
          <w:p w14:paraId="4B2D7969">
            <w:pPr>
              <w:pStyle w:val="118"/>
              <w:keepNext w:val="0"/>
              <w:keepLines w:val="0"/>
              <w:pageBreakBefore w:val="0"/>
              <w:kinsoku/>
              <w:wordWrap/>
              <w:overflowPunct/>
              <w:topLinePunct w:val="0"/>
              <w:autoSpaceDE/>
              <w:autoSpaceDN/>
              <w:bidi w:val="0"/>
              <w:adjustRightInd/>
              <w:snapToGrid/>
              <w:ind w:left="0" w:right="0"/>
              <w:rPr>
                <w:rFonts w:ascii="Times New Roman" w:hAnsi="Times New Roman" w:eastAsia="宋体"/>
                <w:color w:val="auto"/>
                <w:sz w:val="21"/>
                <w:szCs w:val="21"/>
                <w:highlight w:val="none"/>
              </w:rPr>
            </w:pPr>
            <w:r>
              <w:rPr>
                <w:rFonts w:hint="eastAsia" w:ascii="Times New Roman" w:hAnsi="Times New Roman" w:eastAsia="宋体"/>
                <w:color w:val="auto"/>
                <w:sz w:val="21"/>
                <w:szCs w:val="21"/>
                <w:highlight w:val="none"/>
              </w:rPr>
              <w:t>DA005</w:t>
            </w:r>
          </w:p>
        </w:tc>
        <w:tc>
          <w:tcPr>
            <w:tcW w:w="1345" w:type="dxa"/>
            <w:vAlign w:val="center"/>
          </w:tcPr>
          <w:p w14:paraId="7C554B48">
            <w:pPr>
              <w:keepNext w:val="0"/>
              <w:keepLines w:val="0"/>
              <w:pageBreakBefore w:val="0"/>
              <w:kinsoku/>
              <w:wordWrap/>
              <w:overflowPunct/>
              <w:topLinePunct w:val="0"/>
              <w:autoSpaceDE/>
              <w:autoSpaceDN/>
              <w:bidi w:val="0"/>
              <w:adjustRightInd/>
              <w:snapToGrid/>
              <w:ind w:left="0" w:right="0"/>
              <w:jc w:val="center"/>
              <w:rPr>
                <w:rFonts w:ascii="Times New Roman" w:hAnsi="Times New Roman"/>
                <w:color w:val="auto"/>
                <w:sz w:val="21"/>
                <w:szCs w:val="21"/>
                <w:highlight w:val="none"/>
              </w:rPr>
            </w:pPr>
            <w:r>
              <w:rPr>
                <w:rFonts w:hint="eastAsia" w:ascii="Times New Roman" w:hAnsi="Times New Roman" w:cs="Times New Roman"/>
                <w:color w:val="auto"/>
                <w:sz w:val="21"/>
                <w:szCs w:val="21"/>
                <w:highlight w:val="none"/>
              </w:rPr>
              <w:t>非甲烷总烃</w:t>
            </w:r>
          </w:p>
        </w:tc>
        <w:tc>
          <w:tcPr>
            <w:tcW w:w="1419" w:type="dxa"/>
            <w:vAlign w:val="center"/>
          </w:tcPr>
          <w:p w14:paraId="04A65B72">
            <w:pPr>
              <w:keepNext w:val="0"/>
              <w:keepLines w:val="0"/>
              <w:pageBreakBefore w:val="0"/>
              <w:kinsoku/>
              <w:wordWrap/>
              <w:overflowPunct/>
              <w:topLinePunct w:val="0"/>
              <w:autoSpaceDE/>
              <w:autoSpaceDN/>
              <w:bidi w:val="0"/>
              <w:adjustRightInd/>
              <w:snapToGrid/>
              <w:ind w:left="0" w:right="0"/>
              <w:jc w:val="center"/>
              <w:textAlignment w:val="center"/>
              <w:rPr>
                <w:rFonts w:hint="default" w:ascii="Times New Roman" w:hAnsi="Times New Roman" w:cs="Times New Roman"/>
                <w:color w:val="auto"/>
                <w:position w:val="1"/>
                <w:sz w:val="21"/>
                <w:szCs w:val="21"/>
                <w:highlight w:val="none"/>
                <w:lang w:val="en-US" w:bidi="zh-CN"/>
              </w:rPr>
            </w:pPr>
            <w:r>
              <w:rPr>
                <w:rFonts w:hint="eastAsia" w:ascii="Times New Roman" w:hAnsi="Times New Roman" w:cs="Times New Roman"/>
                <w:color w:val="auto"/>
                <w:position w:val="1"/>
                <w:sz w:val="21"/>
                <w:szCs w:val="21"/>
                <w:highlight w:val="none"/>
                <w:lang w:val="en-US" w:bidi="zh-CN"/>
              </w:rPr>
              <w:t>113</w:t>
            </w:r>
          </w:p>
        </w:tc>
        <w:tc>
          <w:tcPr>
            <w:tcW w:w="1419" w:type="dxa"/>
            <w:vAlign w:val="center"/>
          </w:tcPr>
          <w:p w14:paraId="1FC20A15">
            <w:pPr>
              <w:keepNext w:val="0"/>
              <w:keepLines w:val="0"/>
              <w:pageBreakBefore w:val="0"/>
              <w:kinsoku/>
              <w:wordWrap/>
              <w:overflowPunct/>
              <w:topLinePunct w:val="0"/>
              <w:autoSpaceDE/>
              <w:autoSpaceDN/>
              <w:bidi w:val="0"/>
              <w:adjustRightInd/>
              <w:snapToGrid/>
              <w:ind w:left="0" w:right="0"/>
              <w:jc w:val="center"/>
              <w:textAlignment w:val="center"/>
              <w:rPr>
                <w:rFonts w:hint="default" w:ascii="Times New Roman" w:hAnsi="Times New Roman" w:cs="Times New Roman"/>
                <w:color w:val="auto"/>
                <w:position w:val="1"/>
                <w:sz w:val="21"/>
                <w:szCs w:val="21"/>
                <w:highlight w:val="none"/>
                <w:lang w:val="en-US" w:bidi="zh-CN"/>
              </w:rPr>
            </w:pPr>
            <w:r>
              <w:rPr>
                <w:rFonts w:hint="eastAsia" w:ascii="Times New Roman" w:hAnsi="Times New Roman" w:cs="Times New Roman"/>
                <w:color w:val="auto"/>
                <w:position w:val="1"/>
                <w:sz w:val="21"/>
                <w:szCs w:val="21"/>
                <w:highlight w:val="none"/>
                <w:lang w:val="en-US" w:bidi="zh-CN"/>
              </w:rPr>
              <w:t>3.6573</w:t>
            </w:r>
          </w:p>
        </w:tc>
        <w:tc>
          <w:tcPr>
            <w:tcW w:w="1420" w:type="dxa"/>
            <w:vAlign w:val="center"/>
          </w:tcPr>
          <w:p w14:paraId="5E10616E">
            <w:pPr>
              <w:keepNext w:val="0"/>
              <w:keepLines w:val="0"/>
              <w:pageBreakBefore w:val="0"/>
              <w:kinsoku/>
              <w:wordWrap/>
              <w:overflowPunct/>
              <w:topLinePunct w:val="0"/>
              <w:autoSpaceDE/>
              <w:autoSpaceDN/>
              <w:bidi w:val="0"/>
              <w:adjustRightInd/>
              <w:snapToGrid/>
              <w:ind w:left="0" w:right="0"/>
              <w:jc w:val="center"/>
              <w:textAlignment w:val="center"/>
              <w:rPr>
                <w:rFonts w:hint="default" w:ascii="Times New Roman" w:hAnsi="Times New Roman" w:cs="Times New Roman"/>
                <w:color w:val="auto"/>
                <w:position w:val="1"/>
                <w:sz w:val="21"/>
                <w:szCs w:val="21"/>
                <w:highlight w:val="none"/>
                <w:lang w:val="en-US" w:bidi="zh-CN"/>
              </w:rPr>
            </w:pPr>
            <w:r>
              <w:rPr>
                <w:rFonts w:hint="eastAsia" w:ascii="Times New Roman" w:hAnsi="Times New Roman" w:cs="Times New Roman"/>
                <w:color w:val="auto"/>
                <w:position w:val="1"/>
                <w:sz w:val="21"/>
                <w:szCs w:val="21"/>
                <w:highlight w:val="none"/>
                <w:lang w:val="en-US" w:bidi="zh-CN"/>
              </w:rPr>
              <w:t>0.18</w:t>
            </w:r>
          </w:p>
        </w:tc>
        <w:tc>
          <w:tcPr>
            <w:tcW w:w="1429" w:type="dxa"/>
            <w:vAlign w:val="center"/>
          </w:tcPr>
          <w:p w14:paraId="005A6B10">
            <w:pPr>
              <w:keepNext w:val="0"/>
              <w:keepLines w:val="0"/>
              <w:pageBreakBefore w:val="0"/>
              <w:kinsoku/>
              <w:wordWrap/>
              <w:overflowPunct/>
              <w:topLinePunct w:val="0"/>
              <w:autoSpaceDE/>
              <w:autoSpaceDN/>
              <w:bidi w:val="0"/>
              <w:adjustRightInd/>
              <w:snapToGrid/>
              <w:ind w:left="0" w:right="0"/>
              <w:jc w:val="center"/>
              <w:textAlignment w:val="center"/>
              <w:rPr>
                <w:rFonts w:ascii="Times New Roman" w:hAnsi="Times New Roman" w:cs="Times New Roman"/>
                <w:color w:val="auto"/>
                <w:position w:val="1"/>
                <w:sz w:val="21"/>
                <w:szCs w:val="21"/>
                <w:highlight w:val="none"/>
                <w:lang w:val="zh-CN" w:bidi="zh-CN"/>
              </w:rPr>
            </w:pPr>
            <w:r>
              <w:rPr>
                <w:rFonts w:hint="eastAsia" w:ascii="Times New Roman" w:hAnsi="Times New Roman" w:cs="Times New Roman"/>
                <w:color w:val="auto"/>
                <w:position w:val="1"/>
                <w:sz w:val="21"/>
                <w:szCs w:val="21"/>
                <w:highlight w:val="none"/>
                <w:lang w:bidi="zh-CN"/>
              </w:rPr>
              <w:t>III</w:t>
            </w:r>
          </w:p>
        </w:tc>
      </w:tr>
      <w:tr w14:paraId="10097AC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cantSplit/>
          <w:trHeight w:val="369" w:hRule="atLeast"/>
          <w:jc w:val="center"/>
        </w:trPr>
        <w:tc>
          <w:tcPr>
            <w:tcW w:w="587" w:type="dxa"/>
            <w:vMerge w:val="continue"/>
            <w:vAlign w:val="center"/>
          </w:tcPr>
          <w:p w14:paraId="1AE49599">
            <w:pPr>
              <w:pStyle w:val="118"/>
              <w:keepNext w:val="0"/>
              <w:keepLines w:val="0"/>
              <w:pageBreakBefore w:val="0"/>
              <w:kinsoku/>
              <w:wordWrap/>
              <w:overflowPunct/>
              <w:topLinePunct w:val="0"/>
              <w:autoSpaceDE/>
              <w:autoSpaceDN/>
              <w:bidi w:val="0"/>
              <w:adjustRightInd/>
              <w:snapToGrid/>
              <w:ind w:left="0" w:right="0"/>
              <w:rPr>
                <w:rFonts w:ascii="Times New Roman" w:hAnsi="Times New Roman" w:eastAsia="宋体"/>
                <w:color w:val="auto"/>
                <w:sz w:val="21"/>
                <w:szCs w:val="21"/>
                <w:highlight w:val="none"/>
              </w:rPr>
            </w:pPr>
          </w:p>
        </w:tc>
        <w:tc>
          <w:tcPr>
            <w:tcW w:w="941" w:type="dxa"/>
            <w:vMerge w:val="restart"/>
            <w:vAlign w:val="center"/>
          </w:tcPr>
          <w:p w14:paraId="0D08FFAF">
            <w:pPr>
              <w:pStyle w:val="118"/>
              <w:keepNext w:val="0"/>
              <w:keepLines w:val="0"/>
              <w:pageBreakBefore w:val="0"/>
              <w:kinsoku/>
              <w:wordWrap/>
              <w:overflowPunct/>
              <w:topLinePunct w:val="0"/>
              <w:autoSpaceDE/>
              <w:autoSpaceDN/>
              <w:bidi w:val="0"/>
              <w:adjustRightInd/>
              <w:snapToGrid/>
              <w:ind w:left="0" w:right="0"/>
              <w:rPr>
                <w:rFonts w:ascii="Times New Roman" w:hAnsi="Times New Roman" w:eastAsia="宋体"/>
                <w:color w:val="auto"/>
                <w:sz w:val="21"/>
                <w:szCs w:val="21"/>
                <w:highlight w:val="none"/>
              </w:rPr>
            </w:pPr>
            <w:r>
              <w:rPr>
                <w:rFonts w:hint="eastAsia" w:ascii="Times New Roman" w:hAnsi="Times New Roman" w:eastAsia="宋体"/>
                <w:color w:val="auto"/>
                <w:sz w:val="21"/>
                <w:szCs w:val="21"/>
                <w:highlight w:val="none"/>
              </w:rPr>
              <w:t>DA006</w:t>
            </w:r>
          </w:p>
        </w:tc>
        <w:tc>
          <w:tcPr>
            <w:tcW w:w="1345" w:type="dxa"/>
            <w:vAlign w:val="center"/>
          </w:tcPr>
          <w:p w14:paraId="135FCB51">
            <w:pPr>
              <w:keepNext w:val="0"/>
              <w:keepLines w:val="0"/>
              <w:pageBreakBefore w:val="0"/>
              <w:kinsoku/>
              <w:wordWrap/>
              <w:overflowPunct/>
              <w:topLinePunct w:val="0"/>
              <w:autoSpaceDE/>
              <w:autoSpaceDN/>
              <w:bidi w:val="0"/>
              <w:adjustRightInd/>
              <w:snapToGrid/>
              <w:ind w:left="0" w:right="0"/>
              <w:jc w:val="center"/>
              <w:rPr>
                <w:rFonts w:ascii="Times New Roman" w:hAnsi="Times New Roman"/>
                <w:color w:val="auto"/>
                <w:sz w:val="21"/>
                <w:szCs w:val="21"/>
                <w:highlight w:val="none"/>
              </w:rPr>
            </w:pPr>
            <w:r>
              <w:rPr>
                <w:rFonts w:hint="eastAsia" w:ascii="Times New Roman" w:hAnsi="Times New Roman" w:cs="Times New Roman"/>
                <w:color w:val="auto"/>
                <w:sz w:val="21"/>
                <w:szCs w:val="21"/>
                <w:highlight w:val="none"/>
              </w:rPr>
              <w:t>非甲烷总烃</w:t>
            </w:r>
          </w:p>
        </w:tc>
        <w:tc>
          <w:tcPr>
            <w:tcW w:w="1419" w:type="dxa"/>
            <w:vAlign w:val="center"/>
          </w:tcPr>
          <w:p w14:paraId="0AB81263">
            <w:pPr>
              <w:keepNext w:val="0"/>
              <w:keepLines w:val="0"/>
              <w:pageBreakBefore w:val="0"/>
              <w:kinsoku/>
              <w:wordWrap/>
              <w:overflowPunct/>
              <w:topLinePunct w:val="0"/>
              <w:autoSpaceDE/>
              <w:autoSpaceDN/>
              <w:bidi w:val="0"/>
              <w:adjustRightInd/>
              <w:snapToGrid/>
              <w:ind w:left="0" w:right="0"/>
              <w:jc w:val="center"/>
              <w:textAlignment w:val="center"/>
              <w:rPr>
                <w:rFonts w:hint="default" w:ascii="Times New Roman" w:hAnsi="Times New Roman" w:cs="Times New Roman"/>
                <w:color w:val="auto"/>
                <w:position w:val="1"/>
                <w:sz w:val="21"/>
                <w:szCs w:val="21"/>
                <w:highlight w:val="none"/>
                <w:lang w:val="en-US" w:bidi="zh-CN"/>
              </w:rPr>
            </w:pPr>
            <w:r>
              <w:rPr>
                <w:rFonts w:hint="eastAsia" w:ascii="Times New Roman" w:hAnsi="Times New Roman" w:cs="Times New Roman"/>
                <w:color w:val="auto"/>
                <w:position w:val="1"/>
                <w:sz w:val="21"/>
                <w:szCs w:val="21"/>
                <w:highlight w:val="none"/>
                <w:lang w:val="en-US" w:bidi="zh-CN"/>
              </w:rPr>
              <w:t>70</w:t>
            </w:r>
          </w:p>
        </w:tc>
        <w:tc>
          <w:tcPr>
            <w:tcW w:w="1419" w:type="dxa"/>
            <w:vAlign w:val="center"/>
          </w:tcPr>
          <w:p w14:paraId="483CEB20">
            <w:pPr>
              <w:keepNext w:val="0"/>
              <w:keepLines w:val="0"/>
              <w:pageBreakBefore w:val="0"/>
              <w:kinsoku/>
              <w:wordWrap/>
              <w:overflowPunct/>
              <w:topLinePunct w:val="0"/>
              <w:autoSpaceDE/>
              <w:autoSpaceDN/>
              <w:bidi w:val="0"/>
              <w:adjustRightInd/>
              <w:snapToGrid/>
              <w:ind w:left="0" w:right="0"/>
              <w:jc w:val="center"/>
              <w:textAlignment w:val="center"/>
              <w:rPr>
                <w:rFonts w:hint="default" w:ascii="Times New Roman" w:hAnsi="Times New Roman" w:cs="Times New Roman"/>
                <w:color w:val="auto"/>
                <w:position w:val="1"/>
                <w:sz w:val="21"/>
                <w:szCs w:val="21"/>
                <w:highlight w:val="none"/>
                <w:lang w:val="en-US" w:bidi="zh-CN"/>
              </w:rPr>
            </w:pPr>
            <w:r>
              <w:rPr>
                <w:rFonts w:hint="eastAsia" w:ascii="Times New Roman" w:hAnsi="Times New Roman" w:cs="Times New Roman"/>
                <w:color w:val="auto"/>
                <w:position w:val="1"/>
                <w:sz w:val="21"/>
                <w:szCs w:val="21"/>
                <w:highlight w:val="none"/>
                <w:lang w:val="en-US" w:bidi="zh-CN"/>
              </w:rPr>
              <w:t>0.14741</w:t>
            </w:r>
          </w:p>
        </w:tc>
        <w:tc>
          <w:tcPr>
            <w:tcW w:w="1420" w:type="dxa"/>
            <w:vAlign w:val="center"/>
          </w:tcPr>
          <w:p w14:paraId="2CBF8E8B">
            <w:pPr>
              <w:keepNext w:val="0"/>
              <w:keepLines w:val="0"/>
              <w:pageBreakBefore w:val="0"/>
              <w:kinsoku/>
              <w:wordWrap/>
              <w:overflowPunct/>
              <w:topLinePunct w:val="0"/>
              <w:autoSpaceDE/>
              <w:autoSpaceDN/>
              <w:bidi w:val="0"/>
              <w:adjustRightInd/>
              <w:snapToGrid/>
              <w:ind w:left="0" w:right="0"/>
              <w:jc w:val="center"/>
              <w:textAlignment w:val="center"/>
              <w:rPr>
                <w:rFonts w:hint="default" w:ascii="Times New Roman" w:hAnsi="Times New Roman" w:cs="Times New Roman"/>
                <w:color w:val="auto"/>
                <w:position w:val="1"/>
                <w:sz w:val="21"/>
                <w:szCs w:val="21"/>
                <w:highlight w:val="none"/>
                <w:lang w:val="en-US" w:bidi="zh-CN"/>
              </w:rPr>
            </w:pPr>
            <w:r>
              <w:rPr>
                <w:rFonts w:hint="eastAsia" w:ascii="Times New Roman" w:hAnsi="Times New Roman" w:cs="Times New Roman"/>
                <w:color w:val="auto"/>
                <w:position w:val="1"/>
                <w:sz w:val="21"/>
                <w:szCs w:val="21"/>
                <w:highlight w:val="none"/>
                <w:lang w:val="en-US" w:bidi="zh-CN"/>
              </w:rPr>
              <w:t>0.01</w:t>
            </w:r>
          </w:p>
        </w:tc>
        <w:tc>
          <w:tcPr>
            <w:tcW w:w="1429" w:type="dxa"/>
            <w:vAlign w:val="center"/>
          </w:tcPr>
          <w:p w14:paraId="03466DB1">
            <w:pPr>
              <w:keepNext w:val="0"/>
              <w:keepLines w:val="0"/>
              <w:pageBreakBefore w:val="0"/>
              <w:kinsoku/>
              <w:wordWrap/>
              <w:overflowPunct/>
              <w:topLinePunct w:val="0"/>
              <w:autoSpaceDE/>
              <w:autoSpaceDN/>
              <w:bidi w:val="0"/>
              <w:adjustRightInd/>
              <w:snapToGrid/>
              <w:ind w:left="0" w:right="0"/>
              <w:jc w:val="center"/>
              <w:textAlignment w:val="center"/>
              <w:rPr>
                <w:rFonts w:ascii="Times New Roman" w:hAnsi="Times New Roman" w:cs="Times New Roman"/>
                <w:color w:val="auto"/>
                <w:position w:val="1"/>
                <w:sz w:val="21"/>
                <w:szCs w:val="21"/>
                <w:highlight w:val="none"/>
                <w:lang w:val="zh-CN" w:bidi="zh-CN"/>
              </w:rPr>
            </w:pPr>
            <w:r>
              <w:rPr>
                <w:rFonts w:hint="eastAsia" w:ascii="Times New Roman" w:hAnsi="Times New Roman" w:cs="Times New Roman"/>
                <w:color w:val="auto"/>
                <w:position w:val="1"/>
                <w:sz w:val="21"/>
                <w:szCs w:val="21"/>
                <w:highlight w:val="none"/>
                <w:lang w:bidi="zh-CN"/>
              </w:rPr>
              <w:t>III</w:t>
            </w:r>
          </w:p>
        </w:tc>
      </w:tr>
      <w:tr w14:paraId="6A68380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cantSplit/>
          <w:trHeight w:val="369" w:hRule="atLeast"/>
          <w:jc w:val="center"/>
        </w:trPr>
        <w:tc>
          <w:tcPr>
            <w:tcW w:w="587" w:type="dxa"/>
            <w:vMerge w:val="continue"/>
            <w:vAlign w:val="center"/>
          </w:tcPr>
          <w:p w14:paraId="0312F1FA">
            <w:pPr>
              <w:pStyle w:val="118"/>
              <w:keepNext w:val="0"/>
              <w:keepLines w:val="0"/>
              <w:pageBreakBefore w:val="0"/>
              <w:kinsoku/>
              <w:wordWrap/>
              <w:overflowPunct/>
              <w:topLinePunct w:val="0"/>
              <w:autoSpaceDE/>
              <w:autoSpaceDN/>
              <w:bidi w:val="0"/>
              <w:adjustRightInd/>
              <w:snapToGrid/>
              <w:ind w:left="0" w:right="0"/>
              <w:rPr>
                <w:rFonts w:ascii="Times New Roman" w:hAnsi="Times New Roman" w:eastAsia="宋体"/>
                <w:color w:val="auto"/>
                <w:sz w:val="21"/>
                <w:szCs w:val="21"/>
                <w:highlight w:val="none"/>
              </w:rPr>
            </w:pPr>
          </w:p>
        </w:tc>
        <w:tc>
          <w:tcPr>
            <w:tcW w:w="941" w:type="dxa"/>
            <w:vMerge w:val="continue"/>
            <w:vAlign w:val="center"/>
          </w:tcPr>
          <w:p w14:paraId="62AD95C8">
            <w:pPr>
              <w:pStyle w:val="118"/>
              <w:keepNext w:val="0"/>
              <w:keepLines w:val="0"/>
              <w:pageBreakBefore w:val="0"/>
              <w:kinsoku/>
              <w:wordWrap/>
              <w:overflowPunct/>
              <w:topLinePunct w:val="0"/>
              <w:autoSpaceDE/>
              <w:autoSpaceDN/>
              <w:bidi w:val="0"/>
              <w:adjustRightInd/>
              <w:snapToGrid/>
              <w:ind w:left="0" w:right="0"/>
              <w:rPr>
                <w:rFonts w:hint="eastAsia" w:ascii="Times New Roman" w:hAnsi="Times New Roman" w:eastAsia="宋体"/>
                <w:color w:val="auto"/>
                <w:sz w:val="21"/>
                <w:szCs w:val="21"/>
                <w:highlight w:val="none"/>
              </w:rPr>
            </w:pPr>
          </w:p>
        </w:tc>
        <w:tc>
          <w:tcPr>
            <w:tcW w:w="1345" w:type="dxa"/>
            <w:vAlign w:val="center"/>
          </w:tcPr>
          <w:p w14:paraId="24FCBBC6">
            <w:pPr>
              <w:keepNext w:val="0"/>
              <w:keepLines w:val="0"/>
              <w:pageBreakBefore w:val="0"/>
              <w:kinsoku/>
              <w:wordWrap/>
              <w:overflowPunct/>
              <w:topLinePunct w:val="0"/>
              <w:autoSpaceDE/>
              <w:autoSpaceDN/>
              <w:bidi w:val="0"/>
              <w:adjustRightInd/>
              <w:snapToGrid/>
              <w:ind w:left="0" w:right="0"/>
              <w:jc w:val="center"/>
              <w:rPr>
                <w:rFonts w:hint="eastAsia" w:ascii="Times New Roman" w:hAnsi="Times New Roman" w:eastAsia="宋体"/>
                <w:color w:val="auto"/>
                <w:sz w:val="21"/>
                <w:szCs w:val="21"/>
                <w:highlight w:val="none"/>
                <w:lang w:val="en-US" w:eastAsia="zh-CN"/>
              </w:rPr>
            </w:pPr>
            <w:r>
              <w:rPr>
                <w:rFonts w:hint="eastAsia" w:ascii="Times New Roman" w:hAnsi="Times New Roman"/>
                <w:color w:val="auto"/>
                <w:sz w:val="21"/>
                <w:szCs w:val="21"/>
                <w:highlight w:val="none"/>
                <w:lang w:val="en-US" w:eastAsia="zh-CN"/>
              </w:rPr>
              <w:t>氮氧化物</w:t>
            </w:r>
          </w:p>
        </w:tc>
        <w:tc>
          <w:tcPr>
            <w:tcW w:w="1419" w:type="dxa"/>
            <w:vAlign w:val="center"/>
          </w:tcPr>
          <w:p w14:paraId="6AC45023">
            <w:pPr>
              <w:keepNext w:val="0"/>
              <w:keepLines w:val="0"/>
              <w:pageBreakBefore w:val="0"/>
              <w:kinsoku/>
              <w:wordWrap/>
              <w:overflowPunct/>
              <w:topLinePunct w:val="0"/>
              <w:autoSpaceDE/>
              <w:autoSpaceDN/>
              <w:bidi w:val="0"/>
              <w:adjustRightInd/>
              <w:snapToGrid/>
              <w:ind w:left="0" w:right="0"/>
              <w:jc w:val="center"/>
              <w:textAlignment w:val="center"/>
              <w:rPr>
                <w:rFonts w:hint="default" w:ascii="Times New Roman" w:hAnsi="Times New Roman" w:cs="Times New Roman"/>
                <w:color w:val="auto"/>
                <w:position w:val="1"/>
                <w:sz w:val="21"/>
                <w:szCs w:val="21"/>
                <w:highlight w:val="none"/>
                <w:lang w:val="en-US" w:bidi="zh-CN"/>
              </w:rPr>
            </w:pPr>
            <w:r>
              <w:rPr>
                <w:rFonts w:hint="eastAsia" w:ascii="Times New Roman" w:hAnsi="Times New Roman" w:cs="Times New Roman"/>
                <w:color w:val="auto"/>
                <w:position w:val="1"/>
                <w:sz w:val="21"/>
                <w:szCs w:val="21"/>
                <w:highlight w:val="none"/>
                <w:lang w:val="en-US" w:bidi="zh-CN"/>
              </w:rPr>
              <w:t>70</w:t>
            </w:r>
          </w:p>
        </w:tc>
        <w:tc>
          <w:tcPr>
            <w:tcW w:w="1419" w:type="dxa"/>
            <w:vAlign w:val="center"/>
          </w:tcPr>
          <w:p w14:paraId="19139A23">
            <w:pPr>
              <w:keepNext w:val="0"/>
              <w:keepLines w:val="0"/>
              <w:pageBreakBefore w:val="0"/>
              <w:kinsoku/>
              <w:wordWrap/>
              <w:overflowPunct/>
              <w:topLinePunct w:val="0"/>
              <w:autoSpaceDE/>
              <w:autoSpaceDN/>
              <w:bidi w:val="0"/>
              <w:adjustRightInd/>
              <w:snapToGrid/>
              <w:ind w:left="0" w:right="0"/>
              <w:jc w:val="center"/>
              <w:textAlignment w:val="center"/>
              <w:rPr>
                <w:rFonts w:hint="default" w:ascii="Times New Roman" w:hAnsi="Times New Roman" w:cs="Times New Roman"/>
                <w:color w:val="auto"/>
                <w:position w:val="1"/>
                <w:sz w:val="21"/>
                <w:szCs w:val="21"/>
                <w:highlight w:val="none"/>
                <w:lang w:val="en-US" w:bidi="zh-CN"/>
              </w:rPr>
            </w:pPr>
            <w:r>
              <w:rPr>
                <w:rFonts w:hint="eastAsia" w:ascii="Times New Roman" w:hAnsi="Times New Roman" w:cs="Times New Roman"/>
                <w:color w:val="auto"/>
                <w:position w:val="1"/>
                <w:sz w:val="21"/>
                <w:szCs w:val="21"/>
                <w:highlight w:val="none"/>
                <w:lang w:val="en-US" w:bidi="zh-CN"/>
              </w:rPr>
              <w:t>0.0709367</w:t>
            </w:r>
          </w:p>
        </w:tc>
        <w:tc>
          <w:tcPr>
            <w:tcW w:w="1420" w:type="dxa"/>
            <w:vAlign w:val="center"/>
          </w:tcPr>
          <w:p w14:paraId="5A25D45A">
            <w:pPr>
              <w:keepNext w:val="0"/>
              <w:keepLines w:val="0"/>
              <w:pageBreakBefore w:val="0"/>
              <w:kinsoku/>
              <w:wordWrap/>
              <w:overflowPunct/>
              <w:topLinePunct w:val="0"/>
              <w:autoSpaceDE/>
              <w:autoSpaceDN/>
              <w:bidi w:val="0"/>
              <w:adjustRightInd/>
              <w:snapToGrid/>
              <w:ind w:left="0" w:right="0"/>
              <w:jc w:val="center"/>
              <w:textAlignment w:val="center"/>
              <w:rPr>
                <w:rFonts w:hint="default" w:ascii="Times New Roman" w:hAnsi="Times New Roman" w:cs="Times New Roman"/>
                <w:color w:val="auto"/>
                <w:position w:val="1"/>
                <w:sz w:val="21"/>
                <w:szCs w:val="21"/>
                <w:highlight w:val="none"/>
                <w:lang w:val="en-US" w:bidi="zh-CN"/>
              </w:rPr>
            </w:pPr>
            <w:r>
              <w:rPr>
                <w:rFonts w:hint="eastAsia" w:ascii="Times New Roman" w:hAnsi="Times New Roman" w:cs="Times New Roman"/>
                <w:color w:val="auto"/>
                <w:position w:val="1"/>
                <w:sz w:val="21"/>
                <w:szCs w:val="21"/>
                <w:highlight w:val="none"/>
                <w:lang w:val="en-US" w:bidi="zh-CN"/>
              </w:rPr>
              <w:t>0.03</w:t>
            </w:r>
          </w:p>
        </w:tc>
        <w:tc>
          <w:tcPr>
            <w:tcW w:w="1429" w:type="dxa"/>
            <w:vAlign w:val="center"/>
          </w:tcPr>
          <w:p w14:paraId="133F7460">
            <w:pPr>
              <w:keepNext w:val="0"/>
              <w:keepLines w:val="0"/>
              <w:pageBreakBefore w:val="0"/>
              <w:kinsoku/>
              <w:wordWrap/>
              <w:overflowPunct/>
              <w:topLinePunct w:val="0"/>
              <w:autoSpaceDE/>
              <w:autoSpaceDN/>
              <w:bidi w:val="0"/>
              <w:adjustRightInd/>
              <w:snapToGrid/>
              <w:ind w:left="0" w:right="0"/>
              <w:jc w:val="center"/>
              <w:textAlignment w:val="center"/>
              <w:rPr>
                <w:rFonts w:hint="eastAsia" w:ascii="Times New Roman" w:hAnsi="Times New Roman" w:cs="Times New Roman"/>
                <w:color w:val="auto"/>
                <w:position w:val="1"/>
                <w:sz w:val="21"/>
                <w:szCs w:val="21"/>
                <w:highlight w:val="none"/>
                <w:lang w:bidi="zh-CN"/>
              </w:rPr>
            </w:pPr>
            <w:r>
              <w:rPr>
                <w:rFonts w:hint="eastAsia" w:ascii="Times New Roman" w:hAnsi="Times New Roman" w:cs="Times New Roman"/>
                <w:color w:val="auto"/>
                <w:position w:val="1"/>
                <w:sz w:val="21"/>
                <w:szCs w:val="21"/>
                <w:highlight w:val="none"/>
                <w:lang w:bidi="zh-CN"/>
              </w:rPr>
              <w:t>III</w:t>
            </w:r>
          </w:p>
        </w:tc>
      </w:tr>
      <w:tr w14:paraId="3F9D4CF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cantSplit/>
          <w:trHeight w:val="330" w:hRule="atLeast"/>
          <w:jc w:val="center"/>
        </w:trPr>
        <w:tc>
          <w:tcPr>
            <w:tcW w:w="587" w:type="dxa"/>
            <w:vMerge w:val="restart"/>
            <w:vAlign w:val="center"/>
          </w:tcPr>
          <w:p w14:paraId="65ECFA07">
            <w:pPr>
              <w:pStyle w:val="118"/>
              <w:keepNext w:val="0"/>
              <w:keepLines w:val="0"/>
              <w:pageBreakBefore w:val="0"/>
              <w:kinsoku/>
              <w:wordWrap/>
              <w:overflowPunct/>
              <w:topLinePunct w:val="0"/>
              <w:autoSpaceDE/>
              <w:autoSpaceDN/>
              <w:bidi w:val="0"/>
              <w:adjustRightInd/>
              <w:snapToGrid/>
              <w:ind w:left="0" w:right="0"/>
              <w:rPr>
                <w:rFonts w:ascii="Times New Roman" w:hAnsi="Times New Roman" w:eastAsia="宋体"/>
                <w:color w:val="auto"/>
                <w:sz w:val="21"/>
                <w:szCs w:val="21"/>
                <w:highlight w:val="none"/>
              </w:rPr>
            </w:pPr>
            <w:r>
              <w:rPr>
                <w:rFonts w:ascii="Times New Roman" w:hAnsi="Times New Roman" w:eastAsia="宋体"/>
                <w:color w:val="auto"/>
                <w:sz w:val="21"/>
                <w:szCs w:val="21"/>
                <w:highlight w:val="none"/>
              </w:rPr>
              <w:t>面源</w:t>
            </w:r>
          </w:p>
        </w:tc>
        <w:tc>
          <w:tcPr>
            <w:tcW w:w="941" w:type="dxa"/>
            <w:vAlign w:val="center"/>
          </w:tcPr>
          <w:p w14:paraId="15F46F54">
            <w:pPr>
              <w:pStyle w:val="118"/>
              <w:keepNext w:val="0"/>
              <w:keepLines w:val="0"/>
              <w:pageBreakBefore w:val="0"/>
              <w:kinsoku/>
              <w:wordWrap/>
              <w:overflowPunct/>
              <w:topLinePunct w:val="0"/>
              <w:autoSpaceDE/>
              <w:autoSpaceDN/>
              <w:bidi w:val="0"/>
              <w:adjustRightInd/>
              <w:snapToGrid/>
              <w:ind w:left="0" w:right="0"/>
              <w:rPr>
                <w:rFonts w:ascii="Times New Roman" w:hAnsi="Times New Roman" w:eastAsia="宋体"/>
                <w:color w:val="auto"/>
                <w:sz w:val="21"/>
                <w:szCs w:val="21"/>
                <w:highlight w:val="none"/>
              </w:rPr>
            </w:pPr>
            <w:r>
              <w:rPr>
                <w:rFonts w:hint="eastAsia" w:ascii="Times New Roman" w:hAnsi="Times New Roman" w:eastAsia="宋体"/>
                <w:color w:val="auto"/>
                <w:sz w:val="21"/>
                <w:szCs w:val="21"/>
                <w:highlight w:val="none"/>
              </w:rPr>
              <w:t>二工场</w:t>
            </w:r>
          </w:p>
        </w:tc>
        <w:tc>
          <w:tcPr>
            <w:tcW w:w="1345" w:type="dxa"/>
            <w:vAlign w:val="center"/>
          </w:tcPr>
          <w:p w14:paraId="26ABA9DA">
            <w:pPr>
              <w:keepNext w:val="0"/>
              <w:keepLines w:val="0"/>
              <w:pageBreakBefore w:val="0"/>
              <w:kinsoku/>
              <w:wordWrap/>
              <w:overflowPunct/>
              <w:topLinePunct w:val="0"/>
              <w:autoSpaceDE/>
              <w:autoSpaceDN/>
              <w:bidi w:val="0"/>
              <w:adjustRightInd/>
              <w:snapToGrid/>
              <w:ind w:left="0" w:right="0"/>
              <w:jc w:val="center"/>
              <w:rPr>
                <w:rFonts w:ascii="Times New Roman" w:hAnsi="Times New Roman"/>
                <w:color w:val="auto"/>
                <w:sz w:val="21"/>
                <w:szCs w:val="21"/>
                <w:highlight w:val="none"/>
              </w:rPr>
            </w:pPr>
            <w:r>
              <w:rPr>
                <w:rFonts w:hint="eastAsia" w:ascii="Times New Roman" w:hAnsi="Times New Roman" w:cs="Times New Roman"/>
                <w:color w:val="auto"/>
                <w:sz w:val="21"/>
                <w:szCs w:val="21"/>
                <w:highlight w:val="none"/>
              </w:rPr>
              <w:t>非甲烷总烃</w:t>
            </w:r>
          </w:p>
        </w:tc>
        <w:tc>
          <w:tcPr>
            <w:tcW w:w="1419" w:type="dxa"/>
            <w:vAlign w:val="center"/>
          </w:tcPr>
          <w:p w14:paraId="0BB08CD4">
            <w:pPr>
              <w:keepNext w:val="0"/>
              <w:keepLines w:val="0"/>
              <w:pageBreakBefore w:val="0"/>
              <w:kinsoku/>
              <w:wordWrap/>
              <w:overflowPunct/>
              <w:topLinePunct w:val="0"/>
              <w:autoSpaceDE/>
              <w:autoSpaceDN/>
              <w:bidi w:val="0"/>
              <w:adjustRightInd/>
              <w:snapToGrid/>
              <w:ind w:left="0" w:right="0"/>
              <w:jc w:val="center"/>
              <w:textAlignment w:val="center"/>
              <w:rPr>
                <w:rFonts w:hint="default" w:ascii="Times New Roman" w:hAnsi="Times New Roman" w:cs="Times New Roman"/>
                <w:color w:val="auto"/>
                <w:position w:val="1"/>
                <w:sz w:val="21"/>
                <w:szCs w:val="21"/>
                <w:highlight w:val="none"/>
                <w:lang w:val="en-US" w:bidi="zh-CN"/>
              </w:rPr>
            </w:pPr>
            <w:r>
              <w:rPr>
                <w:rFonts w:hint="eastAsia" w:ascii="Times New Roman" w:hAnsi="Times New Roman" w:cs="Times New Roman"/>
                <w:color w:val="auto"/>
                <w:position w:val="1"/>
                <w:sz w:val="21"/>
                <w:szCs w:val="21"/>
                <w:highlight w:val="none"/>
                <w:lang w:val="en-US" w:bidi="zh-CN"/>
              </w:rPr>
              <w:t>34</w:t>
            </w:r>
          </w:p>
        </w:tc>
        <w:tc>
          <w:tcPr>
            <w:tcW w:w="1419" w:type="dxa"/>
            <w:vAlign w:val="center"/>
          </w:tcPr>
          <w:p w14:paraId="0C0AFBD3">
            <w:pPr>
              <w:keepNext w:val="0"/>
              <w:keepLines w:val="0"/>
              <w:pageBreakBefore w:val="0"/>
              <w:kinsoku/>
              <w:wordWrap/>
              <w:overflowPunct/>
              <w:topLinePunct w:val="0"/>
              <w:autoSpaceDE/>
              <w:autoSpaceDN/>
              <w:bidi w:val="0"/>
              <w:adjustRightInd/>
              <w:snapToGrid/>
              <w:ind w:left="0" w:right="0"/>
              <w:jc w:val="center"/>
              <w:textAlignment w:val="center"/>
              <w:rPr>
                <w:rFonts w:hint="default" w:ascii="Times New Roman" w:hAnsi="Times New Roman" w:cs="Times New Roman"/>
                <w:color w:val="auto"/>
                <w:position w:val="1"/>
                <w:sz w:val="21"/>
                <w:szCs w:val="21"/>
                <w:highlight w:val="none"/>
                <w:lang w:val="en-US" w:bidi="zh-CN"/>
              </w:rPr>
            </w:pPr>
            <w:r>
              <w:rPr>
                <w:rFonts w:hint="eastAsia" w:ascii="Times New Roman" w:hAnsi="Times New Roman" w:cs="Times New Roman"/>
                <w:color w:val="auto"/>
                <w:position w:val="1"/>
                <w:sz w:val="21"/>
                <w:szCs w:val="21"/>
                <w:highlight w:val="none"/>
                <w:lang w:val="en-US" w:bidi="zh-CN"/>
              </w:rPr>
              <w:t>15.455</w:t>
            </w:r>
          </w:p>
        </w:tc>
        <w:tc>
          <w:tcPr>
            <w:tcW w:w="1420" w:type="dxa"/>
            <w:vAlign w:val="center"/>
          </w:tcPr>
          <w:p w14:paraId="542E3677">
            <w:pPr>
              <w:keepNext w:val="0"/>
              <w:keepLines w:val="0"/>
              <w:pageBreakBefore w:val="0"/>
              <w:kinsoku/>
              <w:wordWrap/>
              <w:overflowPunct/>
              <w:topLinePunct w:val="0"/>
              <w:autoSpaceDE/>
              <w:autoSpaceDN/>
              <w:bidi w:val="0"/>
              <w:adjustRightInd/>
              <w:snapToGrid/>
              <w:ind w:left="0" w:right="0"/>
              <w:jc w:val="center"/>
              <w:textAlignment w:val="center"/>
              <w:rPr>
                <w:rFonts w:hint="default" w:ascii="Times New Roman" w:hAnsi="Times New Roman" w:cs="Times New Roman"/>
                <w:color w:val="auto"/>
                <w:position w:val="1"/>
                <w:sz w:val="21"/>
                <w:szCs w:val="21"/>
                <w:highlight w:val="none"/>
                <w:lang w:val="en-US" w:bidi="zh-CN"/>
              </w:rPr>
            </w:pPr>
            <w:r>
              <w:rPr>
                <w:rFonts w:hint="eastAsia" w:ascii="Times New Roman" w:hAnsi="Times New Roman" w:cs="Times New Roman"/>
                <w:color w:val="auto"/>
                <w:position w:val="1"/>
                <w:sz w:val="21"/>
                <w:szCs w:val="21"/>
                <w:highlight w:val="none"/>
                <w:lang w:val="en-US" w:bidi="zh-CN"/>
              </w:rPr>
              <w:t>0.77</w:t>
            </w:r>
          </w:p>
        </w:tc>
        <w:tc>
          <w:tcPr>
            <w:tcW w:w="1429" w:type="dxa"/>
            <w:vAlign w:val="center"/>
          </w:tcPr>
          <w:p w14:paraId="7E7170D9">
            <w:pPr>
              <w:keepNext w:val="0"/>
              <w:keepLines w:val="0"/>
              <w:pageBreakBefore w:val="0"/>
              <w:kinsoku/>
              <w:wordWrap/>
              <w:overflowPunct/>
              <w:topLinePunct w:val="0"/>
              <w:autoSpaceDE/>
              <w:autoSpaceDN/>
              <w:bidi w:val="0"/>
              <w:adjustRightInd/>
              <w:snapToGrid/>
              <w:ind w:left="0" w:right="0"/>
              <w:jc w:val="center"/>
              <w:textAlignment w:val="center"/>
              <w:rPr>
                <w:rFonts w:ascii="Times New Roman" w:hAnsi="Times New Roman" w:cs="Times New Roman"/>
                <w:color w:val="auto"/>
                <w:position w:val="1"/>
                <w:sz w:val="21"/>
                <w:szCs w:val="21"/>
                <w:highlight w:val="none"/>
                <w:lang w:val="zh-CN" w:bidi="zh-CN"/>
              </w:rPr>
            </w:pPr>
            <w:r>
              <w:rPr>
                <w:rFonts w:hint="eastAsia" w:ascii="Times New Roman" w:hAnsi="Times New Roman" w:cs="Times New Roman"/>
                <w:color w:val="auto"/>
                <w:position w:val="1"/>
                <w:sz w:val="21"/>
                <w:szCs w:val="21"/>
                <w:highlight w:val="none"/>
                <w:lang w:bidi="zh-CN"/>
              </w:rPr>
              <w:t>III</w:t>
            </w:r>
          </w:p>
        </w:tc>
      </w:tr>
      <w:tr w14:paraId="18435D6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cantSplit/>
          <w:trHeight w:val="330" w:hRule="atLeast"/>
          <w:jc w:val="center"/>
        </w:trPr>
        <w:tc>
          <w:tcPr>
            <w:tcW w:w="587" w:type="dxa"/>
            <w:vMerge w:val="continue"/>
            <w:vAlign w:val="center"/>
          </w:tcPr>
          <w:p w14:paraId="45112894">
            <w:pPr>
              <w:pStyle w:val="118"/>
              <w:keepNext w:val="0"/>
              <w:keepLines w:val="0"/>
              <w:pageBreakBefore w:val="0"/>
              <w:kinsoku/>
              <w:wordWrap/>
              <w:overflowPunct/>
              <w:topLinePunct w:val="0"/>
              <w:autoSpaceDE/>
              <w:autoSpaceDN/>
              <w:bidi w:val="0"/>
              <w:adjustRightInd/>
              <w:snapToGrid/>
              <w:ind w:left="0" w:right="0"/>
              <w:rPr>
                <w:rFonts w:ascii="Times New Roman" w:hAnsi="Times New Roman" w:eastAsia="宋体"/>
                <w:color w:val="auto"/>
                <w:sz w:val="21"/>
                <w:szCs w:val="21"/>
                <w:highlight w:val="none"/>
              </w:rPr>
            </w:pPr>
          </w:p>
        </w:tc>
        <w:tc>
          <w:tcPr>
            <w:tcW w:w="941" w:type="dxa"/>
            <w:vMerge w:val="restart"/>
            <w:vAlign w:val="center"/>
          </w:tcPr>
          <w:p w14:paraId="62CB42DD">
            <w:pPr>
              <w:pStyle w:val="118"/>
              <w:keepNext w:val="0"/>
              <w:keepLines w:val="0"/>
              <w:pageBreakBefore w:val="0"/>
              <w:kinsoku/>
              <w:wordWrap/>
              <w:overflowPunct/>
              <w:topLinePunct w:val="0"/>
              <w:autoSpaceDE/>
              <w:autoSpaceDN/>
              <w:bidi w:val="0"/>
              <w:adjustRightInd/>
              <w:snapToGrid/>
              <w:ind w:left="0" w:right="0"/>
              <w:rPr>
                <w:rFonts w:ascii="Times New Roman" w:hAnsi="Times New Roman" w:eastAsia="宋体"/>
                <w:color w:val="auto"/>
                <w:sz w:val="21"/>
                <w:szCs w:val="21"/>
                <w:highlight w:val="none"/>
              </w:rPr>
            </w:pPr>
            <w:r>
              <w:rPr>
                <w:rFonts w:hint="eastAsia" w:ascii="Times New Roman" w:hAnsi="Times New Roman" w:eastAsia="宋体"/>
                <w:color w:val="auto"/>
                <w:sz w:val="21"/>
                <w:szCs w:val="21"/>
                <w:highlight w:val="none"/>
              </w:rPr>
              <w:t>实验楼</w:t>
            </w:r>
          </w:p>
        </w:tc>
        <w:tc>
          <w:tcPr>
            <w:tcW w:w="1345" w:type="dxa"/>
            <w:vAlign w:val="center"/>
          </w:tcPr>
          <w:p w14:paraId="7D2EC646">
            <w:pPr>
              <w:keepNext w:val="0"/>
              <w:keepLines w:val="0"/>
              <w:pageBreakBefore w:val="0"/>
              <w:kinsoku/>
              <w:wordWrap/>
              <w:overflowPunct/>
              <w:topLinePunct w:val="0"/>
              <w:autoSpaceDE/>
              <w:autoSpaceDN/>
              <w:bidi w:val="0"/>
              <w:adjustRightInd/>
              <w:snapToGrid/>
              <w:ind w:left="0" w:right="0"/>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非甲烷总烃</w:t>
            </w:r>
          </w:p>
          <w:p w14:paraId="78E23D50">
            <w:pPr>
              <w:keepNext w:val="0"/>
              <w:keepLines w:val="0"/>
              <w:pageBreakBefore w:val="0"/>
              <w:kinsoku/>
              <w:wordWrap/>
              <w:overflowPunct/>
              <w:topLinePunct w:val="0"/>
              <w:autoSpaceDE/>
              <w:autoSpaceDN/>
              <w:bidi w:val="0"/>
              <w:adjustRightInd/>
              <w:snapToGrid/>
              <w:ind w:left="0" w:right="0"/>
              <w:jc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（含甲醇）</w:t>
            </w:r>
          </w:p>
        </w:tc>
        <w:tc>
          <w:tcPr>
            <w:tcW w:w="1419" w:type="dxa"/>
            <w:vAlign w:val="center"/>
          </w:tcPr>
          <w:p w14:paraId="5C244531">
            <w:pPr>
              <w:keepNext w:val="0"/>
              <w:keepLines w:val="0"/>
              <w:pageBreakBefore w:val="0"/>
              <w:kinsoku/>
              <w:wordWrap/>
              <w:overflowPunct/>
              <w:topLinePunct w:val="0"/>
              <w:autoSpaceDE/>
              <w:autoSpaceDN/>
              <w:bidi w:val="0"/>
              <w:adjustRightInd/>
              <w:snapToGrid/>
              <w:ind w:left="0" w:right="0"/>
              <w:jc w:val="center"/>
              <w:textAlignment w:val="center"/>
              <w:rPr>
                <w:rFonts w:hint="default" w:ascii="Times New Roman" w:hAnsi="Times New Roman" w:cs="Times New Roman"/>
                <w:color w:val="auto"/>
                <w:position w:val="1"/>
                <w:sz w:val="21"/>
                <w:szCs w:val="21"/>
                <w:highlight w:val="none"/>
                <w:lang w:val="en-US" w:bidi="zh-CN"/>
              </w:rPr>
            </w:pPr>
            <w:r>
              <w:rPr>
                <w:rFonts w:hint="eastAsia" w:ascii="Times New Roman" w:hAnsi="Times New Roman" w:cs="Times New Roman"/>
                <w:color w:val="auto"/>
                <w:position w:val="1"/>
                <w:sz w:val="21"/>
                <w:szCs w:val="21"/>
                <w:highlight w:val="none"/>
                <w:lang w:val="en-US" w:bidi="zh-CN"/>
              </w:rPr>
              <w:t>23</w:t>
            </w:r>
          </w:p>
        </w:tc>
        <w:tc>
          <w:tcPr>
            <w:tcW w:w="1419" w:type="dxa"/>
            <w:vAlign w:val="center"/>
          </w:tcPr>
          <w:p w14:paraId="09CE5A32">
            <w:pPr>
              <w:keepNext w:val="0"/>
              <w:keepLines w:val="0"/>
              <w:pageBreakBefore w:val="0"/>
              <w:kinsoku/>
              <w:wordWrap/>
              <w:overflowPunct/>
              <w:topLinePunct w:val="0"/>
              <w:autoSpaceDE/>
              <w:autoSpaceDN/>
              <w:bidi w:val="0"/>
              <w:adjustRightInd/>
              <w:snapToGrid/>
              <w:ind w:left="0" w:right="0"/>
              <w:jc w:val="center"/>
              <w:textAlignment w:val="center"/>
              <w:rPr>
                <w:rFonts w:hint="default" w:ascii="Times New Roman" w:hAnsi="Times New Roman" w:cs="Times New Roman"/>
                <w:color w:val="auto"/>
                <w:position w:val="1"/>
                <w:sz w:val="21"/>
                <w:szCs w:val="21"/>
                <w:highlight w:val="none"/>
                <w:lang w:val="en-US" w:bidi="zh-CN"/>
              </w:rPr>
            </w:pPr>
            <w:r>
              <w:rPr>
                <w:rFonts w:hint="eastAsia" w:ascii="Times New Roman" w:hAnsi="Times New Roman" w:cs="Times New Roman"/>
                <w:color w:val="auto"/>
                <w:position w:val="1"/>
                <w:sz w:val="21"/>
                <w:szCs w:val="21"/>
                <w:highlight w:val="none"/>
                <w:lang w:val="en-US" w:bidi="zh-CN"/>
              </w:rPr>
              <w:t>1.5714</w:t>
            </w:r>
          </w:p>
        </w:tc>
        <w:tc>
          <w:tcPr>
            <w:tcW w:w="1420" w:type="dxa"/>
            <w:vAlign w:val="center"/>
          </w:tcPr>
          <w:p w14:paraId="3093A322">
            <w:pPr>
              <w:keepNext w:val="0"/>
              <w:keepLines w:val="0"/>
              <w:pageBreakBefore w:val="0"/>
              <w:kinsoku/>
              <w:wordWrap/>
              <w:overflowPunct/>
              <w:topLinePunct w:val="0"/>
              <w:autoSpaceDE/>
              <w:autoSpaceDN/>
              <w:bidi w:val="0"/>
              <w:adjustRightInd/>
              <w:snapToGrid/>
              <w:ind w:left="0" w:right="0"/>
              <w:jc w:val="center"/>
              <w:textAlignment w:val="center"/>
              <w:rPr>
                <w:rFonts w:hint="default" w:ascii="Times New Roman" w:hAnsi="Times New Roman" w:cs="Times New Roman"/>
                <w:color w:val="auto"/>
                <w:position w:val="1"/>
                <w:sz w:val="21"/>
                <w:szCs w:val="21"/>
                <w:highlight w:val="none"/>
                <w:lang w:val="en-US" w:bidi="zh-CN"/>
              </w:rPr>
            </w:pPr>
            <w:r>
              <w:rPr>
                <w:rFonts w:hint="eastAsia" w:ascii="Times New Roman" w:hAnsi="Times New Roman" w:cs="Times New Roman"/>
                <w:color w:val="auto"/>
                <w:position w:val="1"/>
                <w:sz w:val="21"/>
                <w:szCs w:val="21"/>
                <w:highlight w:val="none"/>
                <w:lang w:val="en-US" w:bidi="zh-CN"/>
              </w:rPr>
              <w:t>0.08</w:t>
            </w:r>
          </w:p>
        </w:tc>
        <w:tc>
          <w:tcPr>
            <w:tcW w:w="1429" w:type="dxa"/>
            <w:vAlign w:val="center"/>
          </w:tcPr>
          <w:p w14:paraId="7374A860">
            <w:pPr>
              <w:keepNext w:val="0"/>
              <w:keepLines w:val="0"/>
              <w:pageBreakBefore w:val="0"/>
              <w:kinsoku/>
              <w:wordWrap/>
              <w:overflowPunct/>
              <w:topLinePunct w:val="0"/>
              <w:autoSpaceDE/>
              <w:autoSpaceDN/>
              <w:bidi w:val="0"/>
              <w:adjustRightInd/>
              <w:snapToGrid/>
              <w:ind w:left="0" w:right="0"/>
              <w:jc w:val="center"/>
              <w:textAlignment w:val="center"/>
              <w:rPr>
                <w:rFonts w:ascii="Times New Roman" w:hAnsi="Times New Roman" w:cs="Times New Roman"/>
                <w:color w:val="auto"/>
                <w:position w:val="1"/>
                <w:sz w:val="21"/>
                <w:szCs w:val="21"/>
                <w:highlight w:val="none"/>
                <w:lang w:val="zh-CN" w:bidi="zh-CN"/>
              </w:rPr>
            </w:pPr>
            <w:r>
              <w:rPr>
                <w:rFonts w:hint="eastAsia" w:ascii="Times New Roman" w:hAnsi="Times New Roman" w:cs="Times New Roman"/>
                <w:color w:val="auto"/>
                <w:position w:val="1"/>
                <w:sz w:val="21"/>
                <w:szCs w:val="21"/>
                <w:highlight w:val="none"/>
                <w:lang w:bidi="zh-CN"/>
              </w:rPr>
              <w:t>III</w:t>
            </w:r>
          </w:p>
        </w:tc>
      </w:tr>
      <w:tr w14:paraId="4EC56D9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cantSplit/>
          <w:trHeight w:val="330" w:hRule="atLeast"/>
          <w:jc w:val="center"/>
        </w:trPr>
        <w:tc>
          <w:tcPr>
            <w:tcW w:w="587" w:type="dxa"/>
            <w:vMerge w:val="continue"/>
            <w:vAlign w:val="center"/>
          </w:tcPr>
          <w:p w14:paraId="6DEEB0D5">
            <w:pPr>
              <w:pStyle w:val="118"/>
              <w:keepNext w:val="0"/>
              <w:keepLines w:val="0"/>
              <w:pageBreakBefore w:val="0"/>
              <w:kinsoku/>
              <w:wordWrap/>
              <w:overflowPunct/>
              <w:topLinePunct w:val="0"/>
              <w:autoSpaceDE/>
              <w:autoSpaceDN/>
              <w:bidi w:val="0"/>
              <w:adjustRightInd/>
              <w:snapToGrid/>
              <w:ind w:left="0" w:right="0"/>
              <w:rPr>
                <w:rFonts w:ascii="Times New Roman" w:hAnsi="Times New Roman" w:eastAsia="宋体"/>
                <w:color w:val="auto"/>
                <w:sz w:val="21"/>
                <w:szCs w:val="21"/>
                <w:highlight w:val="none"/>
              </w:rPr>
            </w:pPr>
          </w:p>
        </w:tc>
        <w:tc>
          <w:tcPr>
            <w:tcW w:w="941" w:type="dxa"/>
            <w:vMerge w:val="continue"/>
            <w:vAlign w:val="center"/>
          </w:tcPr>
          <w:p w14:paraId="40812483">
            <w:pPr>
              <w:pStyle w:val="118"/>
              <w:keepNext w:val="0"/>
              <w:keepLines w:val="0"/>
              <w:pageBreakBefore w:val="0"/>
              <w:kinsoku/>
              <w:wordWrap/>
              <w:overflowPunct/>
              <w:topLinePunct w:val="0"/>
              <w:autoSpaceDE/>
              <w:autoSpaceDN/>
              <w:bidi w:val="0"/>
              <w:adjustRightInd/>
              <w:snapToGrid/>
              <w:ind w:left="0" w:right="0"/>
              <w:rPr>
                <w:rFonts w:hint="eastAsia" w:ascii="Times New Roman" w:hAnsi="Times New Roman" w:eastAsia="宋体"/>
                <w:color w:val="auto"/>
                <w:sz w:val="21"/>
                <w:szCs w:val="21"/>
                <w:highlight w:val="none"/>
              </w:rPr>
            </w:pPr>
          </w:p>
        </w:tc>
        <w:tc>
          <w:tcPr>
            <w:tcW w:w="1345" w:type="dxa"/>
            <w:vAlign w:val="center"/>
          </w:tcPr>
          <w:p w14:paraId="2F1BBBDE">
            <w:pPr>
              <w:keepNext w:val="0"/>
              <w:keepLines w:val="0"/>
              <w:pageBreakBefore w:val="0"/>
              <w:kinsoku/>
              <w:wordWrap/>
              <w:overflowPunct/>
              <w:topLinePunct w:val="0"/>
              <w:autoSpaceDE/>
              <w:autoSpaceDN/>
              <w:bidi w:val="0"/>
              <w:adjustRightInd/>
              <w:snapToGrid/>
              <w:ind w:left="0" w:right="0"/>
              <w:jc w:val="center"/>
              <w:rPr>
                <w:rFonts w:hint="eastAsia" w:ascii="Times New Roman" w:hAnsi="Times New Roman" w:eastAsia="宋体"/>
                <w:color w:val="auto"/>
                <w:sz w:val="21"/>
                <w:szCs w:val="21"/>
                <w:highlight w:val="none"/>
                <w:lang w:val="en-US" w:eastAsia="zh-CN"/>
              </w:rPr>
            </w:pPr>
            <w:r>
              <w:rPr>
                <w:rFonts w:hint="eastAsia" w:ascii="Times New Roman" w:hAnsi="Times New Roman"/>
                <w:color w:val="auto"/>
                <w:sz w:val="21"/>
                <w:szCs w:val="21"/>
                <w:highlight w:val="none"/>
                <w:lang w:val="en-US" w:eastAsia="zh-CN"/>
              </w:rPr>
              <w:t>氮氧化物</w:t>
            </w:r>
          </w:p>
        </w:tc>
        <w:tc>
          <w:tcPr>
            <w:tcW w:w="1419" w:type="dxa"/>
            <w:vAlign w:val="center"/>
          </w:tcPr>
          <w:p w14:paraId="426F6C18">
            <w:pPr>
              <w:keepNext w:val="0"/>
              <w:keepLines w:val="0"/>
              <w:pageBreakBefore w:val="0"/>
              <w:kinsoku/>
              <w:wordWrap/>
              <w:overflowPunct/>
              <w:topLinePunct w:val="0"/>
              <w:autoSpaceDE/>
              <w:autoSpaceDN/>
              <w:bidi w:val="0"/>
              <w:adjustRightInd/>
              <w:snapToGrid/>
              <w:ind w:left="0" w:right="0"/>
              <w:jc w:val="center"/>
              <w:textAlignment w:val="center"/>
              <w:rPr>
                <w:rFonts w:hint="default" w:ascii="Times New Roman" w:hAnsi="Times New Roman" w:cs="Times New Roman"/>
                <w:color w:val="auto"/>
                <w:position w:val="1"/>
                <w:sz w:val="21"/>
                <w:szCs w:val="21"/>
                <w:highlight w:val="none"/>
                <w:lang w:val="en-US" w:bidi="zh-CN"/>
              </w:rPr>
            </w:pPr>
            <w:r>
              <w:rPr>
                <w:rFonts w:hint="eastAsia" w:ascii="Times New Roman" w:hAnsi="Times New Roman" w:cs="Times New Roman"/>
                <w:color w:val="auto"/>
                <w:position w:val="1"/>
                <w:sz w:val="21"/>
                <w:szCs w:val="21"/>
                <w:highlight w:val="none"/>
                <w:lang w:val="en-US" w:bidi="zh-CN"/>
              </w:rPr>
              <w:t>23</w:t>
            </w:r>
          </w:p>
        </w:tc>
        <w:tc>
          <w:tcPr>
            <w:tcW w:w="1419" w:type="dxa"/>
            <w:vAlign w:val="center"/>
          </w:tcPr>
          <w:p w14:paraId="20643CD1">
            <w:pPr>
              <w:keepNext w:val="0"/>
              <w:keepLines w:val="0"/>
              <w:pageBreakBefore w:val="0"/>
              <w:kinsoku/>
              <w:wordWrap/>
              <w:overflowPunct/>
              <w:topLinePunct w:val="0"/>
              <w:autoSpaceDE/>
              <w:autoSpaceDN/>
              <w:bidi w:val="0"/>
              <w:adjustRightInd/>
              <w:snapToGrid/>
              <w:ind w:left="0" w:right="0"/>
              <w:jc w:val="center"/>
              <w:textAlignment w:val="center"/>
              <w:rPr>
                <w:rFonts w:hint="default" w:ascii="Times New Roman" w:hAnsi="Times New Roman" w:cs="Times New Roman"/>
                <w:color w:val="auto"/>
                <w:position w:val="1"/>
                <w:sz w:val="21"/>
                <w:szCs w:val="21"/>
                <w:highlight w:val="none"/>
                <w:lang w:val="en-US" w:bidi="zh-CN"/>
              </w:rPr>
            </w:pPr>
            <w:r>
              <w:rPr>
                <w:rFonts w:hint="eastAsia" w:ascii="Times New Roman" w:hAnsi="Times New Roman" w:cs="Times New Roman"/>
                <w:color w:val="auto"/>
                <w:position w:val="1"/>
                <w:sz w:val="21"/>
                <w:szCs w:val="21"/>
                <w:highlight w:val="none"/>
                <w:lang w:val="en-US" w:bidi="zh-CN"/>
              </w:rPr>
              <w:t>0.0957745</w:t>
            </w:r>
          </w:p>
        </w:tc>
        <w:tc>
          <w:tcPr>
            <w:tcW w:w="1420" w:type="dxa"/>
            <w:vAlign w:val="center"/>
          </w:tcPr>
          <w:p w14:paraId="0EB14495">
            <w:pPr>
              <w:keepNext w:val="0"/>
              <w:keepLines w:val="0"/>
              <w:pageBreakBefore w:val="0"/>
              <w:kinsoku/>
              <w:wordWrap/>
              <w:overflowPunct/>
              <w:topLinePunct w:val="0"/>
              <w:autoSpaceDE/>
              <w:autoSpaceDN/>
              <w:bidi w:val="0"/>
              <w:adjustRightInd/>
              <w:snapToGrid/>
              <w:ind w:left="0" w:right="0"/>
              <w:jc w:val="center"/>
              <w:textAlignment w:val="center"/>
              <w:rPr>
                <w:rFonts w:hint="default" w:ascii="Times New Roman" w:hAnsi="Times New Roman" w:cs="Times New Roman"/>
                <w:color w:val="auto"/>
                <w:position w:val="1"/>
                <w:sz w:val="21"/>
                <w:szCs w:val="21"/>
                <w:highlight w:val="none"/>
                <w:lang w:val="en-US" w:bidi="zh-CN"/>
              </w:rPr>
            </w:pPr>
            <w:r>
              <w:rPr>
                <w:rFonts w:hint="eastAsia" w:ascii="Times New Roman" w:hAnsi="Times New Roman" w:cs="Times New Roman"/>
                <w:color w:val="auto"/>
                <w:position w:val="1"/>
                <w:sz w:val="21"/>
                <w:szCs w:val="21"/>
                <w:highlight w:val="none"/>
                <w:lang w:val="en-US" w:bidi="zh-CN"/>
              </w:rPr>
              <w:t>0.04</w:t>
            </w:r>
          </w:p>
        </w:tc>
        <w:tc>
          <w:tcPr>
            <w:tcW w:w="1429" w:type="dxa"/>
            <w:vAlign w:val="center"/>
          </w:tcPr>
          <w:p w14:paraId="2890859F">
            <w:pPr>
              <w:keepNext w:val="0"/>
              <w:keepLines w:val="0"/>
              <w:pageBreakBefore w:val="0"/>
              <w:kinsoku/>
              <w:wordWrap/>
              <w:overflowPunct/>
              <w:topLinePunct w:val="0"/>
              <w:autoSpaceDE/>
              <w:autoSpaceDN/>
              <w:bidi w:val="0"/>
              <w:adjustRightInd/>
              <w:snapToGrid/>
              <w:ind w:left="0" w:right="0"/>
              <w:jc w:val="center"/>
              <w:textAlignment w:val="center"/>
              <w:rPr>
                <w:rFonts w:hint="eastAsia" w:ascii="Times New Roman" w:hAnsi="Times New Roman" w:cs="Times New Roman"/>
                <w:color w:val="auto"/>
                <w:position w:val="1"/>
                <w:sz w:val="21"/>
                <w:szCs w:val="21"/>
                <w:highlight w:val="none"/>
                <w:lang w:bidi="zh-CN"/>
              </w:rPr>
            </w:pPr>
            <w:r>
              <w:rPr>
                <w:rFonts w:hint="eastAsia" w:ascii="Times New Roman" w:hAnsi="Times New Roman" w:cs="Times New Roman"/>
                <w:color w:val="auto"/>
                <w:position w:val="1"/>
                <w:sz w:val="21"/>
                <w:szCs w:val="21"/>
                <w:highlight w:val="none"/>
                <w:lang w:bidi="zh-CN"/>
              </w:rPr>
              <w:t>III</w:t>
            </w:r>
          </w:p>
        </w:tc>
      </w:tr>
      <w:tr w14:paraId="5A01EA1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cantSplit/>
          <w:trHeight w:val="330" w:hRule="atLeast"/>
          <w:jc w:val="center"/>
        </w:trPr>
        <w:tc>
          <w:tcPr>
            <w:tcW w:w="587" w:type="dxa"/>
            <w:vMerge w:val="continue"/>
            <w:vAlign w:val="center"/>
          </w:tcPr>
          <w:p w14:paraId="2C1EDA19">
            <w:pPr>
              <w:pStyle w:val="118"/>
              <w:keepNext w:val="0"/>
              <w:keepLines w:val="0"/>
              <w:pageBreakBefore w:val="0"/>
              <w:kinsoku/>
              <w:wordWrap/>
              <w:overflowPunct/>
              <w:topLinePunct w:val="0"/>
              <w:autoSpaceDE/>
              <w:autoSpaceDN/>
              <w:bidi w:val="0"/>
              <w:adjustRightInd/>
              <w:snapToGrid/>
              <w:ind w:left="0" w:right="0"/>
              <w:rPr>
                <w:rFonts w:ascii="Times New Roman" w:hAnsi="Times New Roman" w:eastAsia="宋体"/>
                <w:color w:val="auto"/>
                <w:sz w:val="21"/>
                <w:szCs w:val="21"/>
                <w:highlight w:val="none"/>
              </w:rPr>
            </w:pPr>
          </w:p>
        </w:tc>
        <w:tc>
          <w:tcPr>
            <w:tcW w:w="941" w:type="dxa"/>
            <w:vMerge w:val="continue"/>
            <w:vAlign w:val="center"/>
          </w:tcPr>
          <w:p w14:paraId="767F7B2C">
            <w:pPr>
              <w:pStyle w:val="118"/>
              <w:keepNext w:val="0"/>
              <w:keepLines w:val="0"/>
              <w:pageBreakBefore w:val="0"/>
              <w:kinsoku/>
              <w:wordWrap/>
              <w:overflowPunct/>
              <w:topLinePunct w:val="0"/>
              <w:autoSpaceDE/>
              <w:autoSpaceDN/>
              <w:bidi w:val="0"/>
              <w:adjustRightInd/>
              <w:snapToGrid/>
              <w:ind w:left="0" w:right="0"/>
              <w:rPr>
                <w:rFonts w:hint="eastAsia" w:ascii="Times New Roman" w:hAnsi="Times New Roman" w:eastAsia="宋体"/>
                <w:color w:val="auto"/>
                <w:sz w:val="21"/>
                <w:szCs w:val="21"/>
                <w:highlight w:val="none"/>
              </w:rPr>
            </w:pPr>
          </w:p>
        </w:tc>
        <w:tc>
          <w:tcPr>
            <w:tcW w:w="1345" w:type="dxa"/>
            <w:vAlign w:val="center"/>
          </w:tcPr>
          <w:p w14:paraId="604F5CC1">
            <w:pPr>
              <w:keepNext w:val="0"/>
              <w:keepLines w:val="0"/>
              <w:pageBreakBefore w:val="0"/>
              <w:kinsoku/>
              <w:wordWrap/>
              <w:overflowPunct/>
              <w:topLinePunct w:val="0"/>
              <w:autoSpaceDE/>
              <w:autoSpaceDN/>
              <w:bidi w:val="0"/>
              <w:adjustRightInd/>
              <w:snapToGrid/>
              <w:ind w:left="0" w:right="0"/>
              <w:jc w:val="center"/>
              <w:rPr>
                <w:rFonts w:hint="eastAsia" w:ascii="Times New Roman" w:hAnsi="Times New Roman" w:eastAsia="宋体"/>
                <w:color w:val="auto"/>
                <w:sz w:val="21"/>
                <w:szCs w:val="21"/>
                <w:highlight w:val="none"/>
                <w:lang w:val="en-US" w:eastAsia="zh-CN"/>
              </w:rPr>
            </w:pPr>
            <w:r>
              <w:rPr>
                <w:rFonts w:hint="eastAsia" w:ascii="Times New Roman" w:hAnsi="Times New Roman"/>
                <w:color w:val="auto"/>
                <w:sz w:val="21"/>
                <w:szCs w:val="21"/>
                <w:highlight w:val="none"/>
                <w:lang w:val="en-US" w:eastAsia="zh-CN"/>
              </w:rPr>
              <w:t>甲醇</w:t>
            </w:r>
          </w:p>
        </w:tc>
        <w:tc>
          <w:tcPr>
            <w:tcW w:w="1419" w:type="dxa"/>
            <w:vAlign w:val="center"/>
          </w:tcPr>
          <w:p w14:paraId="17E7E0C4">
            <w:pPr>
              <w:keepNext w:val="0"/>
              <w:keepLines w:val="0"/>
              <w:pageBreakBefore w:val="0"/>
              <w:kinsoku/>
              <w:wordWrap/>
              <w:overflowPunct/>
              <w:topLinePunct w:val="0"/>
              <w:autoSpaceDE/>
              <w:autoSpaceDN/>
              <w:bidi w:val="0"/>
              <w:adjustRightInd/>
              <w:snapToGrid/>
              <w:ind w:left="0" w:right="0"/>
              <w:jc w:val="center"/>
              <w:textAlignment w:val="center"/>
              <w:rPr>
                <w:rFonts w:hint="default" w:ascii="Times New Roman" w:hAnsi="Times New Roman" w:cs="Times New Roman"/>
                <w:color w:val="auto"/>
                <w:position w:val="1"/>
                <w:sz w:val="21"/>
                <w:szCs w:val="21"/>
                <w:highlight w:val="none"/>
                <w:lang w:val="en-US" w:bidi="zh-CN"/>
              </w:rPr>
            </w:pPr>
            <w:r>
              <w:rPr>
                <w:rFonts w:hint="eastAsia" w:ascii="Times New Roman" w:hAnsi="Times New Roman" w:cs="Times New Roman"/>
                <w:color w:val="auto"/>
                <w:position w:val="1"/>
                <w:sz w:val="21"/>
                <w:szCs w:val="21"/>
                <w:highlight w:val="none"/>
                <w:lang w:val="en-US" w:bidi="zh-CN"/>
              </w:rPr>
              <w:t>23</w:t>
            </w:r>
          </w:p>
        </w:tc>
        <w:tc>
          <w:tcPr>
            <w:tcW w:w="1419" w:type="dxa"/>
            <w:vAlign w:val="center"/>
          </w:tcPr>
          <w:p w14:paraId="00275114">
            <w:pPr>
              <w:keepNext w:val="0"/>
              <w:keepLines w:val="0"/>
              <w:pageBreakBefore w:val="0"/>
              <w:kinsoku/>
              <w:wordWrap/>
              <w:overflowPunct/>
              <w:topLinePunct w:val="0"/>
              <w:autoSpaceDE/>
              <w:autoSpaceDN/>
              <w:bidi w:val="0"/>
              <w:adjustRightInd/>
              <w:snapToGrid/>
              <w:ind w:left="0" w:right="0"/>
              <w:jc w:val="center"/>
              <w:textAlignment w:val="center"/>
              <w:rPr>
                <w:rFonts w:hint="default" w:ascii="Times New Roman" w:hAnsi="Times New Roman" w:cs="Times New Roman"/>
                <w:color w:val="auto"/>
                <w:position w:val="1"/>
                <w:sz w:val="21"/>
                <w:szCs w:val="21"/>
                <w:highlight w:val="none"/>
                <w:lang w:val="en-US" w:bidi="zh-CN"/>
              </w:rPr>
            </w:pPr>
            <w:r>
              <w:rPr>
                <w:rFonts w:hint="eastAsia" w:ascii="Times New Roman" w:hAnsi="Times New Roman" w:cs="Times New Roman"/>
                <w:color w:val="auto"/>
                <w:position w:val="1"/>
                <w:sz w:val="21"/>
                <w:szCs w:val="21"/>
                <w:highlight w:val="none"/>
                <w:lang w:val="en-US" w:bidi="zh-CN"/>
              </w:rPr>
              <w:t>2.55406</w:t>
            </w:r>
          </w:p>
        </w:tc>
        <w:tc>
          <w:tcPr>
            <w:tcW w:w="1420" w:type="dxa"/>
            <w:vAlign w:val="center"/>
          </w:tcPr>
          <w:p w14:paraId="0BCAB448">
            <w:pPr>
              <w:keepNext w:val="0"/>
              <w:keepLines w:val="0"/>
              <w:pageBreakBefore w:val="0"/>
              <w:kinsoku/>
              <w:wordWrap/>
              <w:overflowPunct/>
              <w:topLinePunct w:val="0"/>
              <w:autoSpaceDE/>
              <w:autoSpaceDN/>
              <w:bidi w:val="0"/>
              <w:adjustRightInd/>
              <w:snapToGrid/>
              <w:ind w:left="0" w:right="0"/>
              <w:jc w:val="center"/>
              <w:textAlignment w:val="center"/>
              <w:rPr>
                <w:rFonts w:hint="default" w:ascii="Times New Roman" w:hAnsi="Times New Roman" w:cs="Times New Roman"/>
                <w:color w:val="auto"/>
                <w:position w:val="1"/>
                <w:sz w:val="21"/>
                <w:szCs w:val="21"/>
                <w:highlight w:val="none"/>
                <w:lang w:val="en-US" w:bidi="zh-CN"/>
              </w:rPr>
            </w:pPr>
            <w:r>
              <w:rPr>
                <w:rFonts w:hint="eastAsia" w:ascii="Times New Roman" w:hAnsi="Times New Roman" w:cs="Times New Roman"/>
                <w:color w:val="auto"/>
                <w:position w:val="1"/>
                <w:sz w:val="21"/>
                <w:szCs w:val="21"/>
                <w:highlight w:val="none"/>
                <w:lang w:val="en-US" w:bidi="zh-CN"/>
              </w:rPr>
              <w:t>0.09</w:t>
            </w:r>
          </w:p>
        </w:tc>
        <w:tc>
          <w:tcPr>
            <w:tcW w:w="1429" w:type="dxa"/>
            <w:vAlign w:val="center"/>
          </w:tcPr>
          <w:p w14:paraId="088851E8">
            <w:pPr>
              <w:keepNext w:val="0"/>
              <w:keepLines w:val="0"/>
              <w:pageBreakBefore w:val="0"/>
              <w:kinsoku/>
              <w:wordWrap/>
              <w:overflowPunct/>
              <w:topLinePunct w:val="0"/>
              <w:autoSpaceDE/>
              <w:autoSpaceDN/>
              <w:bidi w:val="0"/>
              <w:adjustRightInd/>
              <w:snapToGrid/>
              <w:ind w:left="0" w:right="0"/>
              <w:jc w:val="center"/>
              <w:textAlignment w:val="center"/>
              <w:rPr>
                <w:rFonts w:hint="eastAsia" w:ascii="Times New Roman" w:hAnsi="Times New Roman" w:cs="Times New Roman"/>
                <w:color w:val="auto"/>
                <w:position w:val="1"/>
                <w:sz w:val="21"/>
                <w:szCs w:val="21"/>
                <w:highlight w:val="none"/>
                <w:lang w:bidi="zh-CN"/>
              </w:rPr>
            </w:pPr>
            <w:r>
              <w:rPr>
                <w:rFonts w:hint="eastAsia" w:ascii="Times New Roman" w:hAnsi="Times New Roman" w:cs="Times New Roman"/>
                <w:color w:val="auto"/>
                <w:position w:val="1"/>
                <w:sz w:val="21"/>
                <w:szCs w:val="21"/>
                <w:highlight w:val="none"/>
                <w:lang w:bidi="zh-CN"/>
              </w:rPr>
              <w:t>III</w:t>
            </w:r>
          </w:p>
        </w:tc>
      </w:tr>
    </w:tbl>
    <w:p w14:paraId="36A78C20">
      <w:pPr>
        <w:spacing w:line="360" w:lineRule="auto"/>
        <w:ind w:left="-105" w:right="-105" w:firstLine="480" w:firstLineChars="200"/>
        <w:jc w:val="both"/>
        <w:rPr>
          <w:rFonts w:ascii="Times New Roman" w:hAnsi="Times New Roman"/>
          <w:color w:val="auto"/>
          <w:highlight w:val="none"/>
        </w:rPr>
      </w:pPr>
      <w:r>
        <w:rPr>
          <w:rFonts w:ascii="Times New Roman" w:hAnsi="Times New Roman"/>
          <w:color w:val="auto"/>
          <w:highlight w:val="none"/>
        </w:rPr>
        <w:t>根据《环境影响评价技术导则 大气环境》（HJ2.2-2018）中评价判据（见</w:t>
      </w:r>
      <w:r>
        <w:rPr>
          <w:rFonts w:ascii="Times New Roman" w:hAnsi="Times New Roman"/>
          <w:color w:val="auto"/>
          <w:highlight w:val="none"/>
        </w:rPr>
        <w:fldChar w:fldCharType="begin"/>
      </w:r>
      <w:r>
        <w:rPr>
          <w:rFonts w:ascii="Times New Roman" w:hAnsi="Times New Roman"/>
          <w:color w:val="auto"/>
          <w:highlight w:val="none"/>
        </w:rPr>
        <w:instrText xml:space="preserve"> REF _Ref17804380 \h  \* MERGEFORMAT </w:instrText>
      </w:r>
      <w:r>
        <w:rPr>
          <w:rFonts w:ascii="Times New Roman" w:hAnsi="Times New Roman"/>
          <w:color w:val="auto"/>
          <w:highlight w:val="none"/>
        </w:rPr>
        <w:fldChar w:fldCharType="separate"/>
      </w:r>
      <w:r>
        <w:rPr>
          <w:rFonts w:ascii="Times New Roman" w:hAnsi="Times New Roman"/>
          <w:color w:val="auto"/>
          <w:szCs w:val="22"/>
          <w:highlight w:val="none"/>
        </w:rPr>
        <w:t>表2.4</w:t>
      </w:r>
      <w:r>
        <w:rPr>
          <w:rFonts w:ascii="Times New Roman" w:hAnsi="Times New Roman"/>
          <w:color w:val="auto"/>
          <w:szCs w:val="22"/>
          <w:highlight w:val="none"/>
        </w:rPr>
        <w:noBreakHyphen/>
      </w:r>
      <w:r>
        <w:rPr>
          <w:rFonts w:ascii="Times New Roman" w:hAnsi="Times New Roman"/>
          <w:color w:val="auto"/>
          <w:szCs w:val="22"/>
          <w:highlight w:val="none"/>
        </w:rPr>
        <w:t>3</w:t>
      </w:r>
      <w:r>
        <w:rPr>
          <w:rFonts w:ascii="Times New Roman" w:hAnsi="Times New Roman"/>
          <w:color w:val="auto"/>
          <w:highlight w:val="none"/>
        </w:rPr>
        <w:fldChar w:fldCharType="end"/>
      </w:r>
      <w:r>
        <w:rPr>
          <w:rFonts w:ascii="Times New Roman" w:hAnsi="Times New Roman"/>
          <w:color w:val="auto"/>
          <w:highlight w:val="none"/>
        </w:rPr>
        <w:t>）。本项目各污染因子Pmax均小于1%，同时</w:t>
      </w:r>
      <w:r>
        <w:rPr>
          <w:bCs/>
          <w:color w:val="auto"/>
          <w:highlight w:val="none"/>
        </w:rPr>
        <w:t>项目不属于电力、钢铁、水泥、石化、化工、平板玻璃、有色等高能耗行业</w:t>
      </w:r>
      <w:r>
        <w:rPr>
          <w:rFonts w:ascii="Times New Roman" w:hAnsi="Times New Roman"/>
          <w:color w:val="auto"/>
          <w:highlight w:val="none"/>
        </w:rPr>
        <w:t>，项目所在地不属于环境空气敏感区；根据</w:t>
      </w:r>
      <w:r>
        <w:rPr>
          <w:rFonts w:ascii="Times New Roman" w:hAnsi="Times New Roman"/>
          <w:color w:val="auto"/>
          <w:highlight w:val="none"/>
        </w:rPr>
        <w:fldChar w:fldCharType="begin"/>
      </w:r>
      <w:r>
        <w:rPr>
          <w:rFonts w:ascii="Times New Roman" w:hAnsi="Times New Roman"/>
          <w:color w:val="auto"/>
          <w:highlight w:val="none"/>
        </w:rPr>
        <w:instrText xml:space="preserve"> REF _Ref17804387 \h  \* MERGEFORMAT </w:instrText>
      </w:r>
      <w:r>
        <w:rPr>
          <w:rFonts w:ascii="Times New Roman" w:hAnsi="Times New Roman"/>
          <w:color w:val="auto"/>
          <w:highlight w:val="none"/>
        </w:rPr>
        <w:fldChar w:fldCharType="separate"/>
      </w:r>
      <w:r>
        <w:rPr>
          <w:rFonts w:ascii="Times New Roman" w:hAnsi="Times New Roman"/>
          <w:color w:val="auto"/>
          <w:szCs w:val="22"/>
          <w:highlight w:val="none"/>
        </w:rPr>
        <w:t>表2.4</w:t>
      </w:r>
      <w:r>
        <w:rPr>
          <w:rFonts w:ascii="Times New Roman" w:hAnsi="Times New Roman"/>
          <w:color w:val="auto"/>
          <w:szCs w:val="22"/>
          <w:highlight w:val="none"/>
        </w:rPr>
        <w:noBreakHyphen/>
      </w:r>
      <w:r>
        <w:rPr>
          <w:rFonts w:ascii="Times New Roman" w:hAnsi="Times New Roman"/>
          <w:color w:val="auto"/>
          <w:szCs w:val="22"/>
          <w:highlight w:val="none"/>
        </w:rPr>
        <w:t>4</w:t>
      </w:r>
      <w:r>
        <w:rPr>
          <w:rFonts w:ascii="Times New Roman" w:hAnsi="Times New Roman"/>
          <w:color w:val="auto"/>
          <w:highlight w:val="none"/>
        </w:rPr>
        <w:fldChar w:fldCharType="end"/>
      </w:r>
      <w:r>
        <w:rPr>
          <w:rFonts w:ascii="Times New Roman" w:hAnsi="Times New Roman"/>
          <w:color w:val="auto"/>
          <w:highlight w:val="none"/>
        </w:rPr>
        <w:t>的大气环境影响评价等级判别依据，</w:t>
      </w:r>
      <w:r>
        <w:rPr>
          <w:rFonts w:ascii="Times New Roman" w:hAnsi="Times New Roman"/>
          <w:b/>
          <w:bCs/>
          <w:color w:val="auto"/>
          <w:highlight w:val="none"/>
        </w:rPr>
        <w:t>确定大气环境影响评价等级为</w:t>
      </w:r>
      <w:r>
        <w:rPr>
          <w:rFonts w:hint="eastAsia" w:ascii="Times New Roman" w:hAnsi="Times New Roman"/>
          <w:b/>
          <w:bCs/>
          <w:color w:val="auto"/>
          <w:highlight w:val="none"/>
        </w:rPr>
        <w:t>三</w:t>
      </w:r>
      <w:r>
        <w:rPr>
          <w:rFonts w:ascii="Times New Roman" w:hAnsi="Times New Roman"/>
          <w:b/>
          <w:bCs/>
          <w:color w:val="auto"/>
          <w:highlight w:val="none"/>
        </w:rPr>
        <w:t>级</w:t>
      </w:r>
      <w:r>
        <w:rPr>
          <w:rFonts w:ascii="Times New Roman" w:hAnsi="Times New Roman"/>
          <w:color w:val="auto"/>
          <w:highlight w:val="none"/>
        </w:rPr>
        <w:t>。</w:t>
      </w:r>
    </w:p>
    <w:p w14:paraId="67E0911C">
      <w:pPr>
        <w:pStyle w:val="6"/>
        <w:keepLines w:val="0"/>
        <w:widowControl/>
        <w:numPr>
          <w:ilvl w:val="0"/>
          <w:numId w:val="0"/>
        </w:numPr>
        <w:tabs>
          <w:tab w:val="left" w:pos="0"/>
          <w:tab w:val="left" w:pos="2550"/>
        </w:tabs>
        <w:spacing w:before="120" w:beforeLines="50" w:after="120" w:afterLines="50" w:line="360" w:lineRule="auto"/>
        <w:ind w:right="-105"/>
        <w:rPr>
          <w:rFonts w:ascii="Times New Roman" w:hAnsi="Times New Roman"/>
          <w:color w:val="auto"/>
          <w:sz w:val="24"/>
          <w:szCs w:val="24"/>
          <w:highlight w:val="none"/>
        </w:rPr>
      </w:pPr>
      <w:r>
        <w:rPr>
          <w:rFonts w:ascii="Times New Roman" w:hAnsi="Times New Roman"/>
          <w:color w:val="auto"/>
          <w:sz w:val="24"/>
          <w:szCs w:val="24"/>
          <w:highlight w:val="none"/>
        </w:rPr>
        <w:t>2.4.1.2地表水环境影响评价等级</w:t>
      </w:r>
    </w:p>
    <w:p w14:paraId="0F26A7A2">
      <w:pPr>
        <w:spacing w:line="360" w:lineRule="auto"/>
        <w:ind w:left="-105" w:right="-105" w:firstLine="480" w:firstLineChars="200"/>
        <w:rPr>
          <w:rFonts w:ascii="Times New Roman" w:hAnsi="Times New Roman"/>
          <w:color w:val="auto"/>
          <w:highlight w:val="none"/>
        </w:rPr>
      </w:pPr>
      <w:r>
        <w:rPr>
          <w:rFonts w:hint="eastAsia" w:ascii="Times New Roman" w:hAnsi="Times New Roman"/>
          <w:color w:val="auto"/>
          <w:highlight w:val="none"/>
        </w:rPr>
        <w:t>本项目不涉及新增废水排放，全厂产生的生活污水和初期雨水经无锡先进化药化工有限公司处理达标后接入</w:t>
      </w:r>
      <w:r>
        <w:rPr>
          <w:rFonts w:hint="eastAsia" w:ascii="Times New Roman" w:hAnsi="Times New Roman" w:cs="Times New Roman"/>
          <w:color w:val="auto"/>
          <w:highlight w:val="none"/>
        </w:rPr>
        <w:t>无锡市锡山云林污水处理有限公司</w:t>
      </w:r>
      <w:r>
        <w:rPr>
          <w:rFonts w:hint="eastAsia" w:ascii="Times New Roman" w:hAnsi="Times New Roman"/>
          <w:color w:val="auto"/>
          <w:highlight w:val="none"/>
        </w:rPr>
        <w:t>，属于间接排放。根据《环境影响评价技术导则 地表水环境》HJ2.3-2018，本项目为间接排放建设项目评价等级为三级 B。</w:t>
      </w:r>
    </w:p>
    <w:p w14:paraId="4E413DD3">
      <w:pPr>
        <w:pStyle w:val="6"/>
        <w:keepLines w:val="0"/>
        <w:widowControl/>
        <w:numPr>
          <w:ilvl w:val="0"/>
          <w:numId w:val="0"/>
        </w:numPr>
        <w:tabs>
          <w:tab w:val="left" w:pos="0"/>
          <w:tab w:val="left" w:pos="2550"/>
        </w:tabs>
        <w:spacing w:before="120" w:beforeLines="50" w:after="120" w:afterLines="50" w:line="360" w:lineRule="auto"/>
        <w:ind w:right="-105"/>
        <w:rPr>
          <w:rFonts w:ascii="Times New Roman" w:hAnsi="Times New Roman"/>
          <w:color w:val="auto"/>
          <w:sz w:val="24"/>
          <w:szCs w:val="24"/>
          <w:highlight w:val="none"/>
        </w:rPr>
      </w:pPr>
      <w:r>
        <w:rPr>
          <w:rFonts w:ascii="Times New Roman" w:hAnsi="Times New Roman"/>
          <w:color w:val="auto"/>
          <w:sz w:val="24"/>
          <w:szCs w:val="24"/>
          <w:highlight w:val="none"/>
        </w:rPr>
        <w:t>2.4.1.3地下水环境影响评价等级</w:t>
      </w:r>
    </w:p>
    <w:p w14:paraId="6EBD7396">
      <w:pPr>
        <w:spacing w:line="360" w:lineRule="auto"/>
        <w:ind w:left="-105" w:right="-105" w:firstLine="480" w:firstLineChars="200"/>
        <w:rPr>
          <w:rFonts w:ascii="Times New Roman" w:hAnsi="Times New Roman"/>
          <w:color w:val="auto"/>
          <w:highlight w:val="none"/>
        </w:rPr>
      </w:pPr>
      <w:r>
        <w:rPr>
          <w:rFonts w:ascii="Times New Roman" w:hAnsi="Times New Roman"/>
          <w:color w:val="auto"/>
          <w:highlight w:val="none"/>
        </w:rPr>
        <w:t>根据《环境影响评价技术导则-地下水环境》（HJ610-2016）</w:t>
      </w:r>
      <w:r>
        <w:rPr>
          <w:rFonts w:hint="eastAsia" w:ascii="Times New Roman" w:hAnsi="Times New Roman"/>
          <w:color w:val="auto"/>
          <w:highlight w:val="none"/>
        </w:rPr>
        <w:t>“</w:t>
      </w:r>
      <w:r>
        <w:rPr>
          <w:rFonts w:ascii="Times New Roman" w:hAnsi="Times New Roman"/>
          <w:color w:val="auto"/>
          <w:highlight w:val="none"/>
        </w:rPr>
        <w:t>附录A</w:t>
      </w:r>
      <w:r>
        <w:rPr>
          <w:rFonts w:hint="eastAsia" w:ascii="Times New Roman" w:hAnsi="Times New Roman"/>
          <w:color w:val="auto"/>
          <w:highlight w:val="none"/>
        </w:rPr>
        <w:t>”</w:t>
      </w:r>
      <w:r>
        <w:rPr>
          <w:rFonts w:ascii="Times New Roman" w:hAnsi="Times New Roman"/>
          <w:color w:val="auto"/>
          <w:highlight w:val="none"/>
        </w:rPr>
        <w:t>中的建设项目分类，本项目属于</w:t>
      </w:r>
      <w:r>
        <w:rPr>
          <w:rFonts w:hint="eastAsia" w:ascii="Times New Roman" w:hAnsi="Times New Roman"/>
          <w:color w:val="auto"/>
          <w:highlight w:val="none"/>
        </w:rPr>
        <w:t>“K机械、电子82、半导体材料、电子陶瓷、有机薄膜、荧光粉、贵金属粉等</w:t>
      </w:r>
      <w:r>
        <w:rPr>
          <w:rFonts w:hint="eastAsia" w:ascii="Times New Roman" w:hAnsi="Times New Roman"/>
          <w:color w:val="auto"/>
          <w:highlight w:val="none"/>
        </w:rPr>
        <w:t>电子专用材料”，</w:t>
      </w:r>
      <w:r>
        <w:rPr>
          <w:rFonts w:ascii="Times New Roman" w:hAnsi="Times New Roman"/>
          <w:color w:val="auto"/>
          <w:highlight w:val="none"/>
        </w:rPr>
        <w:t>属于</w:t>
      </w:r>
      <w:r>
        <w:rPr>
          <w:rFonts w:ascii="Times New Roman" w:hAnsi="Times New Roman" w:cs="Times New Roman"/>
          <w:color w:val="auto"/>
          <w:highlight w:val="none"/>
        </w:rPr>
        <w:t>Ⅳ</w:t>
      </w:r>
      <w:r>
        <w:rPr>
          <w:rFonts w:ascii="Times New Roman" w:hAnsi="Times New Roman"/>
          <w:color w:val="auto"/>
          <w:highlight w:val="none"/>
        </w:rPr>
        <w:t>类建设项目</w:t>
      </w:r>
      <w:r>
        <w:rPr>
          <w:rFonts w:hint="eastAsia" w:ascii="Times New Roman" w:hAnsi="Times New Roman"/>
          <w:color w:val="auto"/>
          <w:highlight w:val="none"/>
        </w:rPr>
        <w:t>，建设项目不开展地下水环境影响评价</w:t>
      </w:r>
      <w:r>
        <w:rPr>
          <w:rFonts w:ascii="Times New Roman" w:hAnsi="Times New Roman"/>
          <w:color w:val="auto"/>
          <w:highlight w:val="none"/>
        </w:rPr>
        <w:t>。</w:t>
      </w:r>
    </w:p>
    <w:p w14:paraId="6CBF2720">
      <w:pPr>
        <w:pStyle w:val="6"/>
        <w:keepLines w:val="0"/>
        <w:widowControl/>
        <w:numPr>
          <w:ilvl w:val="0"/>
          <w:numId w:val="0"/>
        </w:numPr>
        <w:tabs>
          <w:tab w:val="left" w:pos="0"/>
          <w:tab w:val="left" w:pos="2550"/>
        </w:tabs>
        <w:spacing w:before="120" w:beforeLines="50" w:after="120" w:afterLines="50" w:line="360" w:lineRule="auto"/>
        <w:ind w:right="-105"/>
        <w:rPr>
          <w:rFonts w:ascii="Times New Roman" w:hAnsi="Times New Roman"/>
          <w:color w:val="auto"/>
          <w:sz w:val="24"/>
          <w:szCs w:val="24"/>
          <w:highlight w:val="none"/>
        </w:rPr>
      </w:pPr>
      <w:r>
        <w:rPr>
          <w:rFonts w:ascii="Times New Roman" w:hAnsi="Times New Roman"/>
          <w:color w:val="auto"/>
          <w:sz w:val="24"/>
          <w:szCs w:val="24"/>
          <w:highlight w:val="none"/>
        </w:rPr>
        <w:t>2.4.1.4声环境影响评价等级</w:t>
      </w:r>
    </w:p>
    <w:p w14:paraId="4533C194">
      <w:pPr>
        <w:spacing w:line="360" w:lineRule="auto"/>
        <w:ind w:left="-105" w:right="-105" w:firstLine="480" w:firstLineChars="200"/>
        <w:jc w:val="both"/>
        <w:rPr>
          <w:rFonts w:ascii="Times New Roman" w:hAnsi="Times New Roman"/>
          <w:color w:val="auto"/>
          <w:highlight w:val="none"/>
        </w:rPr>
      </w:pPr>
      <w:r>
        <w:rPr>
          <w:rFonts w:ascii="Times New Roman" w:hAnsi="Times New Roman"/>
          <w:color w:val="auto"/>
          <w:highlight w:val="none"/>
        </w:rPr>
        <w:t>本项目所在区域声环境执行《声环境质量标准》（GB3096-2008）3类标准，根据《环境影响评价技术导则 声环境》（HJ2.4-20</w:t>
      </w:r>
      <w:r>
        <w:rPr>
          <w:rFonts w:hint="eastAsia" w:ascii="Times New Roman" w:hAnsi="Times New Roman"/>
          <w:color w:val="auto"/>
          <w:highlight w:val="none"/>
        </w:rPr>
        <w:t>21</w:t>
      </w:r>
      <w:r>
        <w:rPr>
          <w:rFonts w:ascii="Times New Roman" w:hAnsi="Times New Roman"/>
          <w:color w:val="auto"/>
          <w:highlight w:val="none"/>
        </w:rPr>
        <w:t>），项目所处的声环境功能区为GB3096规定的3类区域，建设前后评价范围内敏感目标噪声级增高量在3dB（A）以下，且受噪声影响人口数量变化</w:t>
      </w:r>
      <w:r>
        <w:rPr>
          <w:rFonts w:ascii="Times New Roman" w:hAnsi="Times New Roman"/>
          <w:color w:val="auto"/>
          <w:highlight w:val="none"/>
        </w:rPr>
        <w:t>不大，</w:t>
      </w:r>
      <w:r>
        <w:rPr>
          <w:rFonts w:ascii="Times New Roman" w:hAnsi="Times New Roman"/>
          <w:b/>
          <w:bCs/>
          <w:color w:val="auto"/>
          <w:highlight w:val="none"/>
        </w:rPr>
        <w:t>确定本次声环境评价工作等级为三级。</w:t>
      </w:r>
    </w:p>
    <w:p w14:paraId="13D73F22">
      <w:pPr>
        <w:pStyle w:val="6"/>
        <w:keepLines w:val="0"/>
        <w:widowControl/>
        <w:numPr>
          <w:ilvl w:val="0"/>
          <w:numId w:val="0"/>
        </w:numPr>
        <w:tabs>
          <w:tab w:val="left" w:pos="0"/>
          <w:tab w:val="left" w:pos="2550"/>
        </w:tabs>
        <w:spacing w:before="120" w:beforeLines="50" w:after="120" w:afterLines="50" w:line="360" w:lineRule="auto"/>
        <w:ind w:right="-105"/>
        <w:rPr>
          <w:rFonts w:ascii="Times New Roman" w:hAnsi="Times New Roman"/>
          <w:color w:val="auto"/>
          <w:sz w:val="24"/>
          <w:szCs w:val="24"/>
          <w:highlight w:val="none"/>
        </w:rPr>
      </w:pPr>
      <w:r>
        <w:rPr>
          <w:rFonts w:ascii="Times New Roman" w:hAnsi="Times New Roman"/>
          <w:color w:val="auto"/>
          <w:sz w:val="24"/>
          <w:szCs w:val="24"/>
          <w:highlight w:val="none"/>
        </w:rPr>
        <w:t>2.4.1.5土壤环境影响评价等级</w:t>
      </w:r>
    </w:p>
    <w:p w14:paraId="1983E269">
      <w:pPr>
        <w:spacing w:line="360" w:lineRule="auto"/>
        <w:ind w:left="-105" w:right="-105" w:firstLine="480" w:firstLineChars="200"/>
        <w:rPr>
          <w:rFonts w:ascii="Times New Roman" w:hAnsi="Times New Roman"/>
          <w:color w:val="auto"/>
          <w:highlight w:val="none"/>
        </w:rPr>
      </w:pPr>
      <w:r>
        <w:rPr>
          <w:rFonts w:ascii="Times New Roman" w:hAnsi="Times New Roman"/>
          <w:color w:val="auto"/>
          <w:highlight w:val="none"/>
        </w:rPr>
        <w:t>根据《环境影响评价技术导则-土壤环境》（HJ964-2018）</w:t>
      </w:r>
      <w:r>
        <w:rPr>
          <w:rFonts w:hint="eastAsia" w:ascii="Times New Roman" w:hAnsi="Times New Roman"/>
          <w:color w:val="auto"/>
          <w:highlight w:val="none"/>
        </w:rPr>
        <w:t>“</w:t>
      </w:r>
      <w:r>
        <w:rPr>
          <w:rFonts w:ascii="Times New Roman" w:hAnsi="Times New Roman"/>
          <w:color w:val="auto"/>
          <w:highlight w:val="none"/>
        </w:rPr>
        <w:t>附录 A</w:t>
      </w:r>
      <w:r>
        <w:rPr>
          <w:rFonts w:hint="eastAsia" w:ascii="Times New Roman" w:hAnsi="Times New Roman"/>
          <w:color w:val="auto"/>
          <w:highlight w:val="none"/>
        </w:rPr>
        <w:t>”</w:t>
      </w:r>
      <w:r>
        <w:rPr>
          <w:rFonts w:ascii="Times New Roman" w:hAnsi="Times New Roman"/>
          <w:color w:val="auto"/>
          <w:highlight w:val="none"/>
        </w:rPr>
        <w:t>中的建设项目分类，本项目属于</w:t>
      </w:r>
      <w:r>
        <w:rPr>
          <w:rFonts w:hint="eastAsia" w:ascii="Times New Roman" w:hAnsi="Times New Roman"/>
          <w:color w:val="auto"/>
          <w:highlight w:val="none"/>
        </w:rPr>
        <w:t>“石油、化工”中“半导体材料制造”</w:t>
      </w:r>
      <w:r>
        <w:rPr>
          <w:rFonts w:ascii="Times New Roman" w:hAnsi="Times New Roman"/>
          <w:color w:val="auto"/>
          <w:highlight w:val="none"/>
        </w:rPr>
        <w:t>，属于</w:t>
      </w:r>
      <w:r>
        <w:rPr>
          <w:rFonts w:ascii="Times New Roman" w:hAnsi="Times New Roman" w:cs="Times New Roman"/>
          <w:color w:val="auto"/>
          <w:highlight w:val="none"/>
        </w:rPr>
        <w:t>Ⅱ</w:t>
      </w:r>
      <w:r>
        <w:rPr>
          <w:rFonts w:ascii="Times New Roman" w:hAnsi="Times New Roman"/>
          <w:color w:val="auto"/>
          <w:highlight w:val="none"/>
        </w:rPr>
        <w:t>类建设项目。</w:t>
      </w:r>
      <w:r>
        <w:rPr>
          <w:rFonts w:hint="eastAsia" w:ascii="Times New Roman" w:hAnsi="Times New Roman"/>
          <w:color w:val="auto"/>
          <w:highlight w:val="none"/>
        </w:rPr>
        <w:t>本项目建设项目占地面积约5353.28m</w:t>
      </w:r>
      <w:r>
        <w:rPr>
          <w:rFonts w:hint="eastAsia" w:ascii="Times New Roman" w:hAnsi="Times New Roman"/>
          <w:color w:val="auto"/>
          <w:highlight w:val="none"/>
          <w:vertAlign w:val="superscript"/>
        </w:rPr>
        <w:t>2</w:t>
      </w:r>
      <w:r>
        <w:rPr>
          <w:rFonts w:hint="eastAsia" w:ascii="Times New Roman" w:hAnsi="Times New Roman"/>
          <w:color w:val="auto"/>
          <w:highlight w:val="none"/>
        </w:rPr>
        <w:t>，占地规模为小型（≤5hm</w:t>
      </w:r>
      <w:r>
        <w:rPr>
          <w:rFonts w:hint="eastAsia" w:ascii="Times New Roman" w:hAnsi="Times New Roman"/>
          <w:color w:val="auto"/>
          <w:highlight w:val="none"/>
          <w:vertAlign w:val="superscript"/>
        </w:rPr>
        <w:t>2</w:t>
      </w:r>
      <w:r>
        <w:rPr>
          <w:rFonts w:hint="eastAsia" w:ascii="Times New Roman" w:hAnsi="Times New Roman"/>
          <w:color w:val="auto"/>
          <w:highlight w:val="none"/>
        </w:rPr>
        <w:t>），建设项目位于无锡市锡山区锡北镇新坝村新达路6号，因周边邻近居民区等敏感点，故判定周边土壤环境敏感程度为“敏感”。</w:t>
      </w:r>
      <w:r>
        <w:rPr>
          <w:rFonts w:ascii="Times New Roman" w:hAnsi="Times New Roman"/>
          <w:color w:val="auto"/>
          <w:highlight w:val="none"/>
        </w:rPr>
        <w:t>根据土壤评价导则中的工作等级划分和本项目性质，本次土壤环境评价等级定为二级，具体见</w:t>
      </w:r>
      <w:r>
        <w:rPr>
          <w:rFonts w:ascii="Times New Roman" w:hAnsi="Times New Roman" w:cs="Times New Roman"/>
          <w:color w:val="auto"/>
          <w:highlight w:val="none"/>
        </w:rPr>
        <w:fldChar w:fldCharType="begin"/>
      </w:r>
      <w:r>
        <w:rPr>
          <w:rFonts w:ascii="Times New Roman" w:hAnsi="Times New Roman" w:cs="Times New Roman"/>
          <w:color w:val="auto"/>
          <w:highlight w:val="none"/>
        </w:rPr>
        <w:instrText xml:space="preserve"> REF _Ref17891287 \h </w:instrText>
      </w:r>
      <w:r>
        <w:rPr>
          <w:rFonts w:ascii="Times New Roman" w:hAnsi="Times New Roman" w:cs="Times New Roman"/>
          <w:color w:val="auto"/>
          <w:highlight w:val="none"/>
        </w:rPr>
        <w:fldChar w:fldCharType="separate"/>
      </w:r>
      <w:r>
        <w:rPr>
          <w:rFonts w:ascii="Times New Roman" w:hAnsi="Times New Roman" w:cs="Times New Roman"/>
          <w:color w:val="auto"/>
          <w:szCs w:val="18"/>
          <w:highlight w:val="none"/>
        </w:rPr>
        <w:t>表</w:t>
      </w:r>
      <w:r>
        <w:rPr>
          <w:rFonts w:ascii="Times New Roman" w:hAnsi="Times New Roman" w:cs="Times New Roman"/>
          <w:color w:val="auto"/>
          <w:szCs w:val="18"/>
          <w:highlight w:val="none"/>
        </w:rPr>
        <w:fldChar w:fldCharType="begin"/>
      </w:r>
      <w:r>
        <w:rPr>
          <w:rFonts w:ascii="Times New Roman" w:hAnsi="Times New Roman" w:cs="Times New Roman"/>
          <w:color w:val="auto"/>
          <w:szCs w:val="18"/>
          <w:highlight w:val="none"/>
        </w:rPr>
        <w:instrText xml:space="preserve"> STYLEREF 2 \s </w:instrText>
      </w:r>
      <w:r>
        <w:rPr>
          <w:rFonts w:ascii="Times New Roman" w:hAnsi="Times New Roman" w:cs="Times New Roman"/>
          <w:color w:val="auto"/>
          <w:szCs w:val="18"/>
          <w:highlight w:val="none"/>
        </w:rPr>
        <w:fldChar w:fldCharType="separate"/>
      </w:r>
      <w:r>
        <w:rPr>
          <w:rFonts w:ascii="Times New Roman" w:hAnsi="Times New Roman" w:cs="Times New Roman"/>
          <w:color w:val="auto"/>
          <w:szCs w:val="18"/>
          <w:highlight w:val="none"/>
        </w:rPr>
        <w:t>2.4</w:t>
      </w:r>
      <w:r>
        <w:rPr>
          <w:rFonts w:ascii="Times New Roman" w:hAnsi="Times New Roman" w:cs="Times New Roman"/>
          <w:color w:val="auto"/>
          <w:szCs w:val="18"/>
          <w:highlight w:val="none"/>
        </w:rPr>
        <w:fldChar w:fldCharType="end"/>
      </w:r>
      <w:r>
        <w:rPr>
          <w:rFonts w:ascii="Times New Roman" w:hAnsi="Times New Roman" w:cs="Times New Roman"/>
          <w:color w:val="auto"/>
          <w:szCs w:val="18"/>
          <w:highlight w:val="none"/>
        </w:rPr>
        <w:noBreakHyphen/>
      </w:r>
      <w:r>
        <w:rPr>
          <w:rFonts w:ascii="Times New Roman" w:hAnsi="Times New Roman" w:cs="Times New Roman"/>
          <w:color w:val="auto"/>
          <w:szCs w:val="18"/>
          <w:highlight w:val="none"/>
        </w:rPr>
        <w:t>6</w:t>
      </w:r>
      <w:r>
        <w:rPr>
          <w:rFonts w:ascii="Times New Roman" w:hAnsi="Times New Roman" w:cs="Times New Roman"/>
          <w:color w:val="auto"/>
          <w:highlight w:val="none"/>
        </w:rPr>
        <w:fldChar w:fldCharType="end"/>
      </w:r>
      <w:r>
        <w:rPr>
          <w:rFonts w:ascii="Times New Roman" w:hAnsi="Times New Roman"/>
          <w:color w:val="auto"/>
          <w:highlight w:val="none"/>
        </w:rPr>
        <w:t>。</w:t>
      </w:r>
    </w:p>
    <w:p w14:paraId="72C8FB06">
      <w:pPr>
        <w:pStyle w:val="15"/>
        <w:spacing w:line="360" w:lineRule="auto"/>
        <w:ind w:left="-105" w:right="-105" w:firstLine="482"/>
        <w:rPr>
          <w:rFonts w:eastAsia="宋体" w:cs="Times New Roman"/>
          <w:color w:val="auto"/>
          <w:sz w:val="24"/>
          <w:szCs w:val="24"/>
          <w:highlight w:val="none"/>
        </w:rPr>
      </w:pPr>
      <w:bookmarkStart w:id="147" w:name="_Ref17891195"/>
      <w:r>
        <w:rPr>
          <w:rFonts w:eastAsia="宋体" w:cs="Times New Roman"/>
          <w:color w:val="auto"/>
          <w:sz w:val="24"/>
          <w:szCs w:val="18"/>
          <w:highlight w:val="none"/>
        </w:rPr>
        <w:t>表</w:t>
      </w:r>
      <w:r>
        <w:rPr>
          <w:rFonts w:eastAsia="宋体" w:cs="Times New Roman"/>
          <w:color w:val="auto"/>
          <w:sz w:val="24"/>
          <w:szCs w:val="18"/>
          <w:highlight w:val="none"/>
        </w:rPr>
        <w:fldChar w:fldCharType="begin"/>
      </w:r>
      <w:r>
        <w:rPr>
          <w:rFonts w:eastAsia="宋体" w:cs="Times New Roman"/>
          <w:color w:val="auto"/>
          <w:sz w:val="24"/>
          <w:szCs w:val="18"/>
          <w:highlight w:val="none"/>
        </w:rPr>
        <w:instrText xml:space="preserve"> STYLEREF 2 \s </w:instrText>
      </w:r>
      <w:r>
        <w:rPr>
          <w:rFonts w:eastAsia="宋体" w:cs="Times New Roman"/>
          <w:color w:val="auto"/>
          <w:sz w:val="24"/>
          <w:szCs w:val="18"/>
          <w:highlight w:val="none"/>
        </w:rPr>
        <w:fldChar w:fldCharType="separate"/>
      </w:r>
      <w:r>
        <w:rPr>
          <w:rFonts w:eastAsia="宋体" w:cs="Times New Roman"/>
          <w:color w:val="auto"/>
          <w:sz w:val="24"/>
          <w:szCs w:val="18"/>
          <w:highlight w:val="none"/>
        </w:rPr>
        <w:t>2.4</w:t>
      </w:r>
      <w:r>
        <w:rPr>
          <w:rFonts w:eastAsia="宋体" w:cs="Times New Roman"/>
          <w:color w:val="auto"/>
          <w:sz w:val="24"/>
          <w:szCs w:val="18"/>
          <w:highlight w:val="none"/>
        </w:rPr>
        <w:fldChar w:fldCharType="end"/>
      </w:r>
      <w:r>
        <w:rPr>
          <w:rFonts w:eastAsia="宋体" w:cs="Times New Roman"/>
          <w:color w:val="auto"/>
          <w:sz w:val="24"/>
          <w:szCs w:val="18"/>
          <w:highlight w:val="none"/>
        </w:rPr>
        <w:noBreakHyphen/>
      </w:r>
      <w:r>
        <w:rPr>
          <w:rFonts w:eastAsia="宋体" w:cs="Times New Roman"/>
          <w:color w:val="auto"/>
          <w:sz w:val="24"/>
          <w:szCs w:val="18"/>
          <w:highlight w:val="none"/>
        </w:rPr>
        <w:fldChar w:fldCharType="begin"/>
      </w:r>
      <w:r>
        <w:rPr>
          <w:rFonts w:eastAsia="宋体" w:cs="Times New Roman"/>
          <w:color w:val="auto"/>
          <w:sz w:val="24"/>
          <w:szCs w:val="18"/>
          <w:highlight w:val="none"/>
        </w:rPr>
        <w:instrText xml:space="preserve"> SEQ 表 \* ARABIC \s 2 </w:instrText>
      </w:r>
      <w:r>
        <w:rPr>
          <w:rFonts w:eastAsia="宋体" w:cs="Times New Roman"/>
          <w:color w:val="auto"/>
          <w:sz w:val="24"/>
          <w:szCs w:val="18"/>
          <w:highlight w:val="none"/>
        </w:rPr>
        <w:fldChar w:fldCharType="separate"/>
      </w:r>
      <w:r>
        <w:rPr>
          <w:rFonts w:eastAsia="宋体" w:cs="Times New Roman"/>
          <w:color w:val="auto"/>
          <w:sz w:val="24"/>
          <w:szCs w:val="18"/>
          <w:highlight w:val="none"/>
        </w:rPr>
        <w:t>5</w:t>
      </w:r>
      <w:r>
        <w:rPr>
          <w:rFonts w:eastAsia="宋体" w:cs="Times New Roman"/>
          <w:color w:val="auto"/>
          <w:sz w:val="24"/>
          <w:szCs w:val="18"/>
          <w:highlight w:val="none"/>
        </w:rPr>
        <w:fldChar w:fldCharType="end"/>
      </w:r>
      <w:bookmarkEnd w:id="147"/>
      <w:r>
        <w:rPr>
          <w:rFonts w:eastAsia="宋体" w:cs="Times New Roman"/>
          <w:color w:val="auto"/>
          <w:sz w:val="24"/>
          <w:szCs w:val="24"/>
          <w:highlight w:val="none"/>
        </w:rPr>
        <w:t>土壤环境敏感程度分级</w:t>
      </w:r>
    </w:p>
    <w:tbl>
      <w:tblPr>
        <w:tblStyle w:val="45"/>
        <w:tblW w:w="5000" w:type="pct"/>
        <w:tblInd w:w="0" w:type="dxa"/>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Layout w:type="autofit"/>
        <w:tblCellMar>
          <w:top w:w="0" w:type="dxa"/>
          <w:left w:w="108" w:type="dxa"/>
          <w:bottom w:w="0" w:type="dxa"/>
          <w:right w:w="108" w:type="dxa"/>
        </w:tblCellMar>
      </w:tblPr>
      <w:tblGrid>
        <w:gridCol w:w="1484"/>
        <w:gridCol w:w="7236"/>
      </w:tblGrid>
      <w:tr w14:paraId="495E611D">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c>
          <w:tcPr>
            <w:tcW w:w="1413" w:type="dxa"/>
            <w:vAlign w:val="center"/>
          </w:tcPr>
          <w:p w14:paraId="2B9CF9B7">
            <w:pPr>
              <w:ind w:left="-105" w:right="-105"/>
              <w:jc w:val="center"/>
              <w:rPr>
                <w:rFonts w:ascii="Times New Roman" w:hAnsi="Times New Roman"/>
                <w:b/>
                <w:bCs/>
                <w:color w:val="auto"/>
                <w:sz w:val="21"/>
                <w:szCs w:val="21"/>
                <w:highlight w:val="none"/>
              </w:rPr>
            </w:pPr>
            <w:r>
              <w:rPr>
                <w:rFonts w:ascii="Times New Roman" w:hAnsi="Times New Roman"/>
                <w:b/>
                <w:bCs/>
                <w:color w:val="auto"/>
                <w:sz w:val="21"/>
                <w:szCs w:val="21"/>
                <w:highlight w:val="none"/>
              </w:rPr>
              <w:t>敏感程度</w:t>
            </w:r>
          </w:p>
        </w:tc>
        <w:tc>
          <w:tcPr>
            <w:tcW w:w="6889" w:type="dxa"/>
            <w:vAlign w:val="center"/>
          </w:tcPr>
          <w:p w14:paraId="055F3144">
            <w:pPr>
              <w:ind w:left="-105" w:right="-105"/>
              <w:jc w:val="center"/>
              <w:rPr>
                <w:rFonts w:ascii="Times New Roman" w:hAnsi="Times New Roman"/>
                <w:b/>
                <w:bCs/>
                <w:color w:val="auto"/>
                <w:sz w:val="21"/>
                <w:szCs w:val="21"/>
                <w:highlight w:val="none"/>
              </w:rPr>
            </w:pPr>
            <w:r>
              <w:rPr>
                <w:rFonts w:ascii="Times New Roman" w:hAnsi="Times New Roman"/>
                <w:b/>
                <w:bCs/>
                <w:color w:val="auto"/>
                <w:sz w:val="21"/>
                <w:szCs w:val="21"/>
                <w:highlight w:val="none"/>
              </w:rPr>
              <w:t>判别依据</w:t>
            </w:r>
          </w:p>
        </w:tc>
      </w:tr>
      <w:tr w14:paraId="566CEC79">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c>
          <w:tcPr>
            <w:tcW w:w="1413" w:type="dxa"/>
            <w:shd w:val="clear" w:color="auto" w:fill="BEBEBE" w:themeFill="background1" w:themeFillShade="BF"/>
            <w:vAlign w:val="center"/>
          </w:tcPr>
          <w:p w14:paraId="5B0A11C0">
            <w:pPr>
              <w:ind w:left="-105" w:right="-105"/>
              <w:jc w:val="center"/>
              <w:rPr>
                <w:rFonts w:ascii="Times New Roman" w:hAnsi="Times New Roman"/>
                <w:color w:val="auto"/>
                <w:sz w:val="21"/>
                <w:szCs w:val="21"/>
                <w:highlight w:val="none"/>
              </w:rPr>
            </w:pPr>
            <w:r>
              <w:rPr>
                <w:rFonts w:ascii="Times New Roman" w:hAnsi="Times New Roman"/>
                <w:color w:val="auto"/>
                <w:sz w:val="21"/>
                <w:szCs w:val="21"/>
                <w:highlight w:val="none"/>
              </w:rPr>
              <w:t>敏感</w:t>
            </w:r>
          </w:p>
        </w:tc>
        <w:tc>
          <w:tcPr>
            <w:tcW w:w="6889" w:type="dxa"/>
            <w:shd w:val="clear" w:color="auto" w:fill="BEBEBE" w:themeFill="background1" w:themeFillShade="BF"/>
            <w:vAlign w:val="center"/>
          </w:tcPr>
          <w:p w14:paraId="458788CE">
            <w:pPr>
              <w:ind w:left="-105" w:right="-105"/>
              <w:jc w:val="center"/>
              <w:rPr>
                <w:rFonts w:ascii="Times New Roman" w:hAnsi="Times New Roman"/>
                <w:color w:val="auto"/>
                <w:sz w:val="21"/>
                <w:szCs w:val="21"/>
                <w:highlight w:val="none"/>
              </w:rPr>
            </w:pPr>
            <w:r>
              <w:rPr>
                <w:rFonts w:ascii="Times New Roman" w:hAnsi="Times New Roman"/>
                <w:color w:val="auto"/>
                <w:sz w:val="21"/>
                <w:szCs w:val="21"/>
                <w:highlight w:val="none"/>
              </w:rPr>
              <w:t>建设项目周边存在耕地、园地、牧草地、饮用水水源地或居民区、学校、医院、疗养院、养老院等土壤环境敏感目标的</w:t>
            </w:r>
          </w:p>
        </w:tc>
      </w:tr>
      <w:tr w14:paraId="2D8E99A2">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c>
          <w:tcPr>
            <w:tcW w:w="1413" w:type="dxa"/>
            <w:vAlign w:val="center"/>
          </w:tcPr>
          <w:p w14:paraId="326595A2">
            <w:pPr>
              <w:ind w:left="-105" w:right="-105"/>
              <w:jc w:val="center"/>
              <w:rPr>
                <w:rFonts w:ascii="Times New Roman" w:hAnsi="Times New Roman"/>
                <w:color w:val="auto"/>
                <w:sz w:val="21"/>
                <w:szCs w:val="21"/>
                <w:highlight w:val="none"/>
              </w:rPr>
            </w:pPr>
            <w:r>
              <w:rPr>
                <w:rFonts w:ascii="Times New Roman" w:hAnsi="Times New Roman"/>
                <w:color w:val="auto"/>
                <w:sz w:val="21"/>
                <w:szCs w:val="21"/>
                <w:highlight w:val="none"/>
              </w:rPr>
              <w:t>较敏感</w:t>
            </w:r>
          </w:p>
        </w:tc>
        <w:tc>
          <w:tcPr>
            <w:tcW w:w="6889" w:type="dxa"/>
            <w:vAlign w:val="center"/>
          </w:tcPr>
          <w:p w14:paraId="00F952FE">
            <w:pPr>
              <w:ind w:left="-105" w:right="-105"/>
              <w:jc w:val="center"/>
              <w:rPr>
                <w:rFonts w:ascii="Times New Roman" w:hAnsi="Times New Roman"/>
                <w:color w:val="auto"/>
                <w:sz w:val="21"/>
                <w:szCs w:val="21"/>
                <w:highlight w:val="none"/>
              </w:rPr>
            </w:pPr>
            <w:r>
              <w:rPr>
                <w:rFonts w:ascii="Times New Roman" w:hAnsi="Times New Roman"/>
                <w:color w:val="auto"/>
                <w:sz w:val="21"/>
                <w:szCs w:val="21"/>
                <w:highlight w:val="none"/>
              </w:rPr>
              <w:t>建设项目周边存在其他土壤环境敏感目标的</w:t>
            </w:r>
          </w:p>
        </w:tc>
      </w:tr>
      <w:tr w14:paraId="65093868">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c>
          <w:tcPr>
            <w:tcW w:w="1413" w:type="dxa"/>
            <w:vAlign w:val="center"/>
          </w:tcPr>
          <w:p w14:paraId="2D484548">
            <w:pPr>
              <w:ind w:left="-105" w:right="-105"/>
              <w:jc w:val="center"/>
              <w:rPr>
                <w:rFonts w:ascii="Times New Roman" w:hAnsi="Times New Roman"/>
                <w:color w:val="auto"/>
                <w:sz w:val="21"/>
                <w:szCs w:val="21"/>
                <w:highlight w:val="none"/>
              </w:rPr>
            </w:pPr>
            <w:r>
              <w:rPr>
                <w:rFonts w:ascii="Times New Roman" w:hAnsi="Times New Roman"/>
                <w:color w:val="auto"/>
                <w:sz w:val="21"/>
                <w:szCs w:val="21"/>
                <w:highlight w:val="none"/>
              </w:rPr>
              <w:t>不敏感</w:t>
            </w:r>
          </w:p>
        </w:tc>
        <w:tc>
          <w:tcPr>
            <w:tcW w:w="6889" w:type="dxa"/>
            <w:vAlign w:val="center"/>
          </w:tcPr>
          <w:p w14:paraId="5BC6CB04">
            <w:pPr>
              <w:ind w:left="-105" w:right="-105"/>
              <w:jc w:val="center"/>
              <w:rPr>
                <w:rFonts w:ascii="Times New Roman" w:hAnsi="Times New Roman"/>
                <w:color w:val="auto"/>
                <w:sz w:val="21"/>
                <w:szCs w:val="21"/>
                <w:highlight w:val="none"/>
              </w:rPr>
            </w:pPr>
            <w:r>
              <w:rPr>
                <w:rFonts w:ascii="Times New Roman" w:hAnsi="Times New Roman"/>
                <w:color w:val="auto"/>
                <w:sz w:val="21"/>
                <w:szCs w:val="21"/>
                <w:highlight w:val="none"/>
              </w:rPr>
              <w:t>其他情况</w:t>
            </w:r>
          </w:p>
        </w:tc>
      </w:tr>
    </w:tbl>
    <w:p w14:paraId="12D6BFD7">
      <w:pPr>
        <w:pStyle w:val="15"/>
        <w:spacing w:line="360" w:lineRule="auto"/>
        <w:ind w:left="-105" w:right="-105" w:firstLine="482"/>
        <w:rPr>
          <w:rFonts w:eastAsia="宋体" w:cs="Times New Roman"/>
          <w:color w:val="auto"/>
          <w:sz w:val="24"/>
          <w:szCs w:val="24"/>
          <w:highlight w:val="none"/>
        </w:rPr>
      </w:pPr>
      <w:bookmarkStart w:id="148" w:name="_Ref17891287"/>
      <w:r>
        <w:rPr>
          <w:rFonts w:eastAsia="宋体" w:cs="Times New Roman"/>
          <w:color w:val="auto"/>
          <w:sz w:val="24"/>
          <w:szCs w:val="18"/>
          <w:highlight w:val="none"/>
        </w:rPr>
        <w:t>表</w:t>
      </w:r>
      <w:r>
        <w:rPr>
          <w:rFonts w:eastAsia="宋体" w:cs="Times New Roman"/>
          <w:color w:val="auto"/>
          <w:sz w:val="24"/>
          <w:szCs w:val="18"/>
          <w:highlight w:val="none"/>
        </w:rPr>
        <w:fldChar w:fldCharType="begin"/>
      </w:r>
      <w:r>
        <w:rPr>
          <w:rFonts w:eastAsia="宋体" w:cs="Times New Roman"/>
          <w:color w:val="auto"/>
          <w:sz w:val="24"/>
          <w:szCs w:val="18"/>
          <w:highlight w:val="none"/>
        </w:rPr>
        <w:instrText xml:space="preserve"> STYLEREF 2 \s </w:instrText>
      </w:r>
      <w:r>
        <w:rPr>
          <w:rFonts w:eastAsia="宋体" w:cs="Times New Roman"/>
          <w:color w:val="auto"/>
          <w:sz w:val="24"/>
          <w:szCs w:val="18"/>
          <w:highlight w:val="none"/>
        </w:rPr>
        <w:fldChar w:fldCharType="separate"/>
      </w:r>
      <w:r>
        <w:rPr>
          <w:rFonts w:eastAsia="宋体" w:cs="Times New Roman"/>
          <w:color w:val="auto"/>
          <w:sz w:val="24"/>
          <w:szCs w:val="18"/>
          <w:highlight w:val="none"/>
        </w:rPr>
        <w:t>2.4</w:t>
      </w:r>
      <w:r>
        <w:rPr>
          <w:rFonts w:eastAsia="宋体" w:cs="Times New Roman"/>
          <w:color w:val="auto"/>
          <w:sz w:val="24"/>
          <w:szCs w:val="18"/>
          <w:highlight w:val="none"/>
        </w:rPr>
        <w:fldChar w:fldCharType="end"/>
      </w:r>
      <w:r>
        <w:rPr>
          <w:rFonts w:eastAsia="宋体" w:cs="Times New Roman"/>
          <w:color w:val="auto"/>
          <w:sz w:val="24"/>
          <w:szCs w:val="18"/>
          <w:highlight w:val="none"/>
        </w:rPr>
        <w:noBreakHyphen/>
      </w:r>
      <w:r>
        <w:rPr>
          <w:rFonts w:eastAsia="宋体" w:cs="Times New Roman"/>
          <w:color w:val="auto"/>
          <w:sz w:val="24"/>
          <w:szCs w:val="18"/>
          <w:highlight w:val="none"/>
        </w:rPr>
        <w:fldChar w:fldCharType="begin"/>
      </w:r>
      <w:r>
        <w:rPr>
          <w:rFonts w:eastAsia="宋体" w:cs="Times New Roman"/>
          <w:color w:val="auto"/>
          <w:sz w:val="24"/>
          <w:szCs w:val="18"/>
          <w:highlight w:val="none"/>
        </w:rPr>
        <w:instrText xml:space="preserve"> SEQ 表 \* ARABIC \s 2 </w:instrText>
      </w:r>
      <w:r>
        <w:rPr>
          <w:rFonts w:eastAsia="宋体" w:cs="Times New Roman"/>
          <w:color w:val="auto"/>
          <w:sz w:val="24"/>
          <w:szCs w:val="18"/>
          <w:highlight w:val="none"/>
        </w:rPr>
        <w:fldChar w:fldCharType="separate"/>
      </w:r>
      <w:r>
        <w:rPr>
          <w:rFonts w:eastAsia="宋体" w:cs="Times New Roman"/>
          <w:color w:val="auto"/>
          <w:sz w:val="24"/>
          <w:szCs w:val="18"/>
          <w:highlight w:val="none"/>
        </w:rPr>
        <w:t>6</w:t>
      </w:r>
      <w:r>
        <w:rPr>
          <w:rFonts w:eastAsia="宋体" w:cs="Times New Roman"/>
          <w:color w:val="auto"/>
          <w:sz w:val="24"/>
          <w:szCs w:val="18"/>
          <w:highlight w:val="none"/>
        </w:rPr>
        <w:fldChar w:fldCharType="end"/>
      </w:r>
      <w:bookmarkEnd w:id="148"/>
      <w:r>
        <w:rPr>
          <w:rFonts w:eastAsia="宋体" w:cs="Times New Roman"/>
          <w:color w:val="auto"/>
          <w:sz w:val="24"/>
          <w:szCs w:val="24"/>
          <w:highlight w:val="none"/>
        </w:rPr>
        <w:t>土壤环境评价工作等级分级表</w:t>
      </w:r>
    </w:p>
    <w:tbl>
      <w:tblPr>
        <w:tblStyle w:val="45"/>
        <w:tblW w:w="5000" w:type="pct"/>
        <w:tblInd w:w="0" w:type="dxa"/>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Layout w:type="autofit"/>
        <w:tblCellMar>
          <w:top w:w="0" w:type="dxa"/>
          <w:left w:w="108" w:type="dxa"/>
          <w:bottom w:w="0" w:type="dxa"/>
          <w:right w:w="108" w:type="dxa"/>
        </w:tblCellMar>
      </w:tblPr>
      <w:tblGrid>
        <w:gridCol w:w="1786"/>
        <w:gridCol w:w="770"/>
        <w:gridCol w:w="770"/>
        <w:gridCol w:w="771"/>
        <w:gridCol w:w="770"/>
        <w:gridCol w:w="771"/>
        <w:gridCol w:w="770"/>
        <w:gridCol w:w="771"/>
        <w:gridCol w:w="770"/>
        <w:gridCol w:w="771"/>
      </w:tblGrid>
      <w:tr w14:paraId="3CCED8FA">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CellMar>
            <w:top w:w="0" w:type="dxa"/>
            <w:left w:w="108" w:type="dxa"/>
            <w:bottom w:w="0" w:type="dxa"/>
            <w:right w:w="108" w:type="dxa"/>
          </w:tblCellMar>
        </w:tblPrEx>
        <w:trPr>
          <w:trHeight w:val="540" w:hRule="atLeast"/>
        </w:trPr>
        <w:tc>
          <w:tcPr>
            <w:tcW w:w="1701" w:type="dxa"/>
            <w:vMerge w:val="restart"/>
            <w:tcBorders>
              <w:tl2br w:val="nil"/>
              <w:tr2bl w:val="nil"/>
            </w:tcBorders>
            <w:vAlign w:val="center"/>
          </w:tcPr>
          <w:p w14:paraId="71F6EA77">
            <w:pPr>
              <w:ind w:left="-105" w:right="-105"/>
              <w:jc w:val="center"/>
              <w:rPr>
                <w:rFonts w:ascii="Times New Roman" w:hAnsi="Times New Roman"/>
                <w:b/>
                <w:bCs/>
                <w:color w:val="auto"/>
                <w:sz w:val="21"/>
                <w:szCs w:val="21"/>
                <w:highlight w:val="none"/>
              </w:rPr>
            </w:pPr>
            <w:r>
              <w:rPr>
                <w:rFonts w:cs="Times New Roman"/>
                <w:color w:val="auto"/>
                <w:szCs w:val="18"/>
                <w:highlight w:val="none"/>
              </w:rPr>
              <mc:AlternateContent>
                <mc:Choice Requires="wps">
                  <w:drawing>
                    <wp:anchor distT="0" distB="0" distL="114300" distR="114300" simplePos="0" relativeHeight="251662336" behindDoc="0" locked="0" layoutInCell="1" allowOverlap="1">
                      <wp:simplePos x="0" y="0"/>
                      <wp:positionH relativeFrom="column">
                        <wp:posOffset>402590</wp:posOffset>
                      </wp:positionH>
                      <wp:positionV relativeFrom="paragraph">
                        <wp:posOffset>-8890</wp:posOffset>
                      </wp:positionV>
                      <wp:extent cx="619125" cy="630555"/>
                      <wp:effectExtent l="0" t="0" r="28575" b="36830"/>
                      <wp:wrapNone/>
                      <wp:docPr id="1" name="直接连接符 1"/>
                      <wp:cNvGraphicFramePr/>
                      <a:graphic xmlns:a="http://schemas.openxmlformats.org/drawingml/2006/main">
                        <a:graphicData uri="http://schemas.microsoft.com/office/word/2010/wordprocessingShape">
                          <wps:wsp>
                            <wps:cNvCnPr/>
                            <wps:spPr>
                              <a:xfrm>
                                <a:off x="0" y="0"/>
                                <a:ext cx="619237" cy="630546"/>
                              </a:xfrm>
                              <a:prstGeom prst="line">
                                <a:avLst/>
                              </a:prstGeom>
                              <a:ln w="63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31.7pt;margin-top:-0.7pt;height:49.65pt;width:48.75pt;z-index:251662336;mso-width-relative:page;mso-height-relative:page;" filled="f" stroked="t" coordsize="21600,21600" o:gfxdata="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Cv7/NT1wAA&#10;AAgBAAAPAAAAAAAAAAEAIAAAACIAAABkcnMvZG93bnJldi54bWxQSwECFAAUAAAACACHTuJAh5cu&#10;aeYBAAC1AwAADgAAAAAAAAABACAAAAAmAQAAZHJzL2Uyb0RvYy54bWxQSwUGAAAAAAYABgBZAQAA&#10;fgUAAAAA&#10;">
                      <v:fill on="f" focussize="0,0"/>
                      <v:stroke weight="0.5pt" color="#000000 [3213]" miterlimit="8" joinstyle="miter"/>
                      <v:imagedata o:title=""/>
                      <o:lock v:ext="edit" aspectratio="f"/>
                    </v:line>
                  </w:pict>
                </mc:Fallback>
              </mc:AlternateContent>
            </w:r>
            <w:r>
              <w:rPr>
                <w:rFonts w:ascii="Times New Roman" w:hAnsi="Times New Roman"/>
                <w:b/>
                <w:bCs/>
                <w:color w:val="auto"/>
                <w:sz w:val="21"/>
                <w:szCs w:val="21"/>
                <w:highlight w:val="none"/>
              </w:rPr>
              <mc:AlternateContent>
                <mc:Choice Requires="wps">
                  <w:drawing>
                    <wp:anchor distT="0" distB="0" distL="114300" distR="114300" simplePos="0" relativeHeight="251666432" behindDoc="0" locked="0" layoutInCell="1" allowOverlap="1">
                      <wp:simplePos x="0" y="0"/>
                      <wp:positionH relativeFrom="column">
                        <wp:posOffset>487045</wp:posOffset>
                      </wp:positionH>
                      <wp:positionV relativeFrom="paragraph">
                        <wp:posOffset>-19685</wp:posOffset>
                      </wp:positionV>
                      <wp:extent cx="864235" cy="253365"/>
                      <wp:effectExtent l="0" t="0" r="0" b="0"/>
                      <wp:wrapNone/>
                      <wp:docPr id="6" name="文本框 6"/>
                      <wp:cNvGraphicFramePr/>
                      <a:graphic xmlns:a="http://schemas.openxmlformats.org/drawingml/2006/main">
                        <a:graphicData uri="http://schemas.microsoft.com/office/word/2010/wordprocessingShape">
                          <wps:wsp>
                            <wps:cNvSpPr txBox="1"/>
                            <wps:spPr>
                              <a:xfrm>
                                <a:off x="0" y="0"/>
                                <a:ext cx="864235" cy="253365"/>
                              </a:xfrm>
                              <a:prstGeom prst="rect">
                                <a:avLst/>
                              </a:prstGeom>
                              <a:noFill/>
                              <a:ln w="6350">
                                <a:noFill/>
                              </a:ln>
                            </wps:spPr>
                            <wps:txbx>
                              <w:txbxContent>
                                <w:p w14:paraId="385D1FA7">
                                  <w:pPr>
                                    <w:spacing w:line="240" w:lineRule="atLeast"/>
                                    <w:rPr>
                                      <w:b/>
                                      <w:bCs/>
                                      <w:sz w:val="16"/>
                                      <w:szCs w:val="16"/>
                                    </w:rPr>
                                  </w:pPr>
                                  <w:r>
                                    <w:rPr>
                                      <w:rFonts w:hint="eastAsia"/>
                                      <w:b/>
                                      <w:bCs/>
                                      <w:sz w:val="16"/>
                                      <w:szCs w:val="16"/>
                                    </w:rPr>
                                    <w:t>占地规模</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8.35pt;margin-top:-1.55pt;height:19.95pt;width:68.05pt;z-index:251666432;mso-width-relative:page;mso-height-relative:page;" filled="f" stroked="f" coordsize="21600,21600" o:gfxdata="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">
                      <v:fill on="f" focussize="0,0"/>
                      <v:stroke on="f" weight="0.5pt"/>
                      <v:imagedata o:title=""/>
                      <o:lock v:ext="edit" aspectratio="f"/>
                      <v:textbox>
                        <w:txbxContent>
                          <w:p w14:paraId="385D1FA7">
                            <w:pPr>
                              <w:spacing w:line="240" w:lineRule="atLeast"/>
                              <w:rPr>
                                <w:b/>
                                <w:bCs/>
                                <w:sz w:val="16"/>
                                <w:szCs w:val="16"/>
                              </w:rPr>
                            </w:pPr>
                            <w:r>
                              <w:rPr>
                                <w:rFonts w:hint="eastAsia"/>
                                <w:b/>
                                <w:bCs/>
                                <w:sz w:val="16"/>
                                <w:szCs w:val="16"/>
                              </w:rPr>
                              <w:t>占地规模</w:t>
                            </w:r>
                          </w:p>
                        </w:txbxContent>
                      </v:textbox>
                    </v:shape>
                  </w:pict>
                </mc:Fallback>
              </mc:AlternateContent>
            </w:r>
            <w:r>
              <w:rPr>
                <w:rFonts w:ascii="Times New Roman" w:hAnsi="Times New Roman"/>
                <w:b/>
                <w:bCs/>
                <w:color w:val="auto"/>
                <w:sz w:val="21"/>
                <w:szCs w:val="21"/>
                <w:highlight w:val="none"/>
              </w:rPr>
              <mc:AlternateContent>
                <mc:Choice Requires="wps">
                  <w:drawing>
                    <wp:anchor distT="0" distB="0" distL="114300" distR="114300" simplePos="0" relativeHeight="251665408" behindDoc="0" locked="0" layoutInCell="1" allowOverlap="1">
                      <wp:simplePos x="0" y="0"/>
                      <wp:positionH relativeFrom="column">
                        <wp:posOffset>-151765</wp:posOffset>
                      </wp:positionH>
                      <wp:positionV relativeFrom="paragraph">
                        <wp:posOffset>376555</wp:posOffset>
                      </wp:positionV>
                      <wp:extent cx="864235" cy="253365"/>
                      <wp:effectExtent l="0" t="0" r="0" b="0"/>
                      <wp:wrapNone/>
                      <wp:docPr id="5" name="文本框 5"/>
                      <wp:cNvGraphicFramePr/>
                      <a:graphic xmlns:a="http://schemas.openxmlformats.org/drawingml/2006/main">
                        <a:graphicData uri="http://schemas.microsoft.com/office/word/2010/wordprocessingShape">
                          <wps:wsp>
                            <wps:cNvSpPr txBox="1"/>
                            <wps:spPr>
                              <a:xfrm>
                                <a:off x="0" y="0"/>
                                <a:ext cx="864235" cy="253365"/>
                              </a:xfrm>
                              <a:prstGeom prst="rect">
                                <a:avLst/>
                              </a:prstGeom>
                              <a:noFill/>
                              <a:ln w="6350">
                                <a:noFill/>
                              </a:ln>
                            </wps:spPr>
                            <wps:txbx>
                              <w:txbxContent>
                                <w:p w14:paraId="0046A75F">
                                  <w:pPr>
                                    <w:spacing w:line="240" w:lineRule="atLeast"/>
                                    <w:rPr>
                                      <w:b/>
                                      <w:bCs/>
                                      <w:sz w:val="16"/>
                                      <w:szCs w:val="16"/>
                                    </w:rPr>
                                  </w:pPr>
                                  <w:r>
                                    <w:rPr>
                                      <w:rFonts w:hint="eastAsia"/>
                                      <w:b/>
                                      <w:bCs/>
                                      <w:sz w:val="16"/>
                                      <w:szCs w:val="16"/>
                                    </w:rPr>
                                    <w:t>敏感程度</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1.95pt;margin-top:29.65pt;height:19.95pt;width:68.05pt;z-index:251665408;mso-width-relative:page;mso-height-relative:page;" filled="f" stroked="f" coordsize="21600,21600" o:gfxdata="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">
                      <v:fill on="f" focussize="0,0"/>
                      <v:stroke on="f" weight="0.5pt"/>
                      <v:imagedata o:title=""/>
                      <o:lock v:ext="edit" aspectratio="f"/>
                      <v:textbox>
                        <w:txbxContent>
                          <w:p w14:paraId="0046A75F">
                            <w:pPr>
                              <w:spacing w:line="240" w:lineRule="atLeast"/>
                              <w:rPr>
                                <w:b/>
                                <w:bCs/>
                                <w:sz w:val="16"/>
                                <w:szCs w:val="16"/>
                              </w:rPr>
                            </w:pPr>
                            <w:r>
                              <w:rPr>
                                <w:rFonts w:hint="eastAsia"/>
                                <w:b/>
                                <w:bCs/>
                                <w:sz w:val="16"/>
                                <w:szCs w:val="16"/>
                              </w:rPr>
                              <w:t>敏感程度</w:t>
                            </w:r>
                          </w:p>
                        </w:txbxContent>
                      </v:textbox>
                    </v:shape>
                  </w:pict>
                </mc:Fallback>
              </mc:AlternateContent>
            </w:r>
            <w:r>
              <w:rPr>
                <w:rFonts w:ascii="Times New Roman" w:hAnsi="Times New Roman"/>
                <w:b/>
                <w:bCs/>
                <w:color w:val="auto"/>
                <w:sz w:val="21"/>
                <w:szCs w:val="21"/>
                <w:highlight w:val="none"/>
              </w:rPr>
              <mc:AlternateContent>
                <mc:Choice Requires="wps">
                  <w:drawing>
                    <wp:anchor distT="0" distB="0" distL="114300" distR="114300" simplePos="0" relativeHeight="251664384" behindDoc="0" locked="0" layoutInCell="1" allowOverlap="1">
                      <wp:simplePos x="0" y="0"/>
                      <wp:positionH relativeFrom="column">
                        <wp:posOffset>-156845</wp:posOffset>
                      </wp:positionH>
                      <wp:positionV relativeFrom="paragraph">
                        <wp:posOffset>62230</wp:posOffset>
                      </wp:positionV>
                      <wp:extent cx="864235" cy="253365"/>
                      <wp:effectExtent l="0" t="0" r="0" b="0"/>
                      <wp:wrapNone/>
                      <wp:docPr id="7" name="文本框 7"/>
                      <wp:cNvGraphicFramePr/>
                      <a:graphic xmlns:a="http://schemas.openxmlformats.org/drawingml/2006/main">
                        <a:graphicData uri="http://schemas.microsoft.com/office/word/2010/wordprocessingShape">
                          <wps:wsp>
                            <wps:cNvSpPr txBox="1"/>
                            <wps:spPr>
                              <a:xfrm>
                                <a:off x="0" y="0"/>
                                <a:ext cx="864235" cy="253365"/>
                              </a:xfrm>
                              <a:prstGeom prst="rect">
                                <a:avLst/>
                              </a:prstGeom>
                              <a:noFill/>
                              <a:ln w="6350">
                                <a:noFill/>
                              </a:ln>
                            </wps:spPr>
                            <wps:txbx>
                              <w:txbxContent>
                                <w:p w14:paraId="08F626D8">
                                  <w:pPr>
                                    <w:spacing w:line="240" w:lineRule="atLeast"/>
                                    <w:rPr>
                                      <w:b/>
                                      <w:bCs/>
                                      <w:sz w:val="16"/>
                                      <w:szCs w:val="16"/>
                                    </w:rPr>
                                  </w:pPr>
                                  <w:r>
                                    <w:rPr>
                                      <w:rFonts w:hint="eastAsia"/>
                                      <w:b/>
                                      <w:bCs/>
                                      <w:sz w:val="16"/>
                                      <w:szCs w:val="16"/>
                                    </w:rPr>
                                    <w:t>评价工作等级</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2.35pt;margin-top:4.9pt;height:19.95pt;width:68.05pt;z-index:251664384;mso-width-relative:page;mso-height-relative:page;" filled="f" stroked="f" coordsize="21600,21600" o:gfxdata="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&#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">
                      <v:fill on="f" focussize="0,0"/>
                      <v:stroke on="f" weight="0.5pt"/>
                      <v:imagedata o:title=""/>
                      <o:lock v:ext="edit" aspectratio="f"/>
                      <v:textbox>
                        <w:txbxContent>
                          <w:p w14:paraId="08F626D8">
                            <w:pPr>
                              <w:spacing w:line="240" w:lineRule="atLeast"/>
                              <w:rPr>
                                <w:b/>
                                <w:bCs/>
                                <w:sz w:val="16"/>
                                <w:szCs w:val="16"/>
                              </w:rPr>
                            </w:pPr>
                            <w:r>
                              <w:rPr>
                                <w:rFonts w:hint="eastAsia"/>
                                <w:b/>
                                <w:bCs/>
                                <w:sz w:val="16"/>
                                <w:szCs w:val="16"/>
                              </w:rPr>
                              <w:t>评价工作等级</w:t>
                            </w:r>
                          </w:p>
                        </w:txbxContent>
                      </v:textbox>
                    </v:shape>
                  </w:pict>
                </mc:Fallback>
              </mc:AlternateContent>
            </w:r>
            <w:r>
              <w:rPr>
                <w:rFonts w:ascii="Times New Roman" w:hAnsi="Times New Roman"/>
                <w:b/>
                <w:bCs/>
                <w:color w:val="auto"/>
                <w:sz w:val="21"/>
                <w:szCs w:val="21"/>
                <w:highlight w:val="none"/>
              </w:rPr>
              <mc:AlternateContent>
                <mc:Choice Requires="wps">
                  <w:drawing>
                    <wp:anchor distT="0" distB="0" distL="114300" distR="114300" simplePos="0" relativeHeight="251663360" behindDoc="0" locked="0" layoutInCell="1" allowOverlap="1">
                      <wp:simplePos x="0" y="0"/>
                      <wp:positionH relativeFrom="column">
                        <wp:posOffset>-69215</wp:posOffset>
                      </wp:positionH>
                      <wp:positionV relativeFrom="paragraph">
                        <wp:posOffset>234950</wp:posOffset>
                      </wp:positionV>
                      <wp:extent cx="1080770" cy="376555"/>
                      <wp:effectExtent l="0" t="0" r="24130" b="23495"/>
                      <wp:wrapNone/>
                      <wp:docPr id="8" name="直接连接符 8"/>
                      <wp:cNvGraphicFramePr/>
                      <a:graphic xmlns:a="http://schemas.openxmlformats.org/drawingml/2006/main">
                        <a:graphicData uri="http://schemas.microsoft.com/office/word/2010/wordprocessingShape">
                          <wps:wsp>
                            <wps:cNvCnPr/>
                            <wps:spPr>
                              <a:xfrm>
                                <a:off x="0" y="0"/>
                                <a:ext cx="1080770" cy="376555"/>
                              </a:xfrm>
                              <a:prstGeom prst="line">
                                <a:avLst/>
                              </a:prstGeom>
                              <a:ln w="63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5.45pt;margin-top:18.5pt;height:29.65pt;width:85.1pt;z-index:251663360;mso-width-relative:page;mso-height-relative:page;" filled="f" stroked="t" coordsize="21600,21600" o:gfxdata="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AAAAAGRycy9QSwECFAAUAAAACACHTuJAPssd2dgA&#10;AAAJAQAADwAAAAAAAAABACAAAAAiAAAAZHJzL2Rvd25yZXYueG1sUEsBAhQAFAAAAAgAh07iQJDl&#10;SqfmAQAAtgMAAA4AAAAAAAAAAQAgAAAAJwEAAGRycy9lMm9Eb2MueG1sUEsFBgAAAAAGAAYAWQEA&#10;AH8FAAAAAA==&#10;">
                      <v:fill on="f" focussize="0,0"/>
                      <v:stroke weight="0.5pt" color="#000000 [3213]" miterlimit="8" joinstyle="miter"/>
                      <v:imagedata o:title=""/>
                      <o:lock v:ext="edit" aspectratio="f"/>
                    </v:line>
                  </w:pict>
                </mc:Fallback>
              </mc:AlternateContent>
            </w:r>
            <w:r>
              <w:rPr>
                <w:rFonts w:ascii="Times New Roman" w:hAnsi="Times New Roman"/>
                <w:b/>
                <w:bCs/>
                <w:color w:val="auto"/>
                <w:sz w:val="21"/>
                <w:szCs w:val="21"/>
                <w:highlight w:val="none"/>
              </w:rPr>
              <w:t xml:space="preserve"> </w:t>
            </w:r>
          </w:p>
        </w:tc>
        <w:tc>
          <w:tcPr>
            <w:tcW w:w="2200" w:type="dxa"/>
            <w:gridSpan w:val="3"/>
            <w:tcBorders>
              <w:tl2br w:val="nil"/>
              <w:tr2bl w:val="nil"/>
            </w:tcBorders>
            <w:vAlign w:val="center"/>
          </w:tcPr>
          <w:p w14:paraId="1BB95272">
            <w:pPr>
              <w:ind w:left="-105" w:right="-105"/>
              <w:jc w:val="center"/>
              <w:rPr>
                <w:rFonts w:ascii="Times New Roman" w:hAnsi="Times New Roman"/>
                <w:b/>
                <w:bCs/>
                <w:color w:val="auto"/>
                <w:sz w:val="21"/>
                <w:szCs w:val="21"/>
                <w:highlight w:val="none"/>
              </w:rPr>
            </w:pPr>
            <w:r>
              <w:rPr>
                <w:rFonts w:ascii="Times New Roman" w:hAnsi="Times New Roman"/>
                <w:b/>
                <w:bCs/>
                <w:color w:val="auto"/>
                <w:sz w:val="21"/>
                <w:szCs w:val="21"/>
                <w:highlight w:val="none"/>
              </w:rPr>
              <w:t>Ⅰ类</w:t>
            </w:r>
          </w:p>
        </w:tc>
        <w:tc>
          <w:tcPr>
            <w:tcW w:w="2200" w:type="dxa"/>
            <w:gridSpan w:val="3"/>
            <w:tcBorders>
              <w:tl2br w:val="nil"/>
              <w:tr2bl w:val="nil"/>
            </w:tcBorders>
            <w:vAlign w:val="center"/>
          </w:tcPr>
          <w:p w14:paraId="545E81AD">
            <w:pPr>
              <w:ind w:left="-105" w:right="-105"/>
              <w:jc w:val="center"/>
              <w:rPr>
                <w:rFonts w:ascii="Times New Roman" w:hAnsi="Times New Roman"/>
                <w:b/>
                <w:bCs/>
                <w:color w:val="auto"/>
                <w:sz w:val="21"/>
                <w:szCs w:val="21"/>
                <w:highlight w:val="none"/>
              </w:rPr>
            </w:pPr>
            <w:r>
              <w:rPr>
                <w:rFonts w:ascii="Times New Roman" w:hAnsi="Times New Roman"/>
                <w:b/>
                <w:bCs/>
                <w:color w:val="auto"/>
                <w:sz w:val="21"/>
                <w:szCs w:val="21"/>
                <w:highlight w:val="none"/>
              </w:rPr>
              <w:t>Ⅱ类</w:t>
            </w:r>
          </w:p>
        </w:tc>
        <w:tc>
          <w:tcPr>
            <w:tcW w:w="2201" w:type="dxa"/>
            <w:gridSpan w:val="3"/>
            <w:tcBorders>
              <w:tl2br w:val="nil"/>
              <w:tr2bl w:val="nil"/>
            </w:tcBorders>
            <w:vAlign w:val="center"/>
          </w:tcPr>
          <w:p w14:paraId="1730E919">
            <w:pPr>
              <w:ind w:left="-105" w:right="-105"/>
              <w:jc w:val="center"/>
              <w:rPr>
                <w:rFonts w:ascii="Times New Roman" w:hAnsi="Times New Roman"/>
                <w:b/>
                <w:bCs/>
                <w:color w:val="auto"/>
                <w:sz w:val="21"/>
                <w:szCs w:val="21"/>
                <w:highlight w:val="none"/>
              </w:rPr>
            </w:pPr>
            <w:r>
              <w:rPr>
                <w:rFonts w:ascii="Times New Roman" w:hAnsi="Times New Roman"/>
                <w:b/>
                <w:bCs/>
                <w:color w:val="auto"/>
                <w:sz w:val="21"/>
                <w:szCs w:val="21"/>
                <w:highlight w:val="none"/>
              </w:rPr>
              <w:t>Ⅲ类</w:t>
            </w:r>
          </w:p>
        </w:tc>
      </w:tr>
      <w:tr w14:paraId="3ED03831">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CellMar>
            <w:top w:w="0" w:type="dxa"/>
            <w:left w:w="108" w:type="dxa"/>
            <w:bottom w:w="0" w:type="dxa"/>
            <w:right w:w="108" w:type="dxa"/>
          </w:tblCellMar>
        </w:tblPrEx>
        <w:trPr>
          <w:trHeight w:val="413" w:hRule="atLeast"/>
        </w:trPr>
        <w:tc>
          <w:tcPr>
            <w:tcW w:w="1701" w:type="dxa"/>
            <w:vMerge w:val="continue"/>
            <w:tcBorders>
              <w:tl2br w:val="nil"/>
              <w:tr2bl w:val="nil"/>
            </w:tcBorders>
            <w:vAlign w:val="center"/>
          </w:tcPr>
          <w:p w14:paraId="20A38C70">
            <w:pPr>
              <w:ind w:left="-105" w:right="-105"/>
              <w:jc w:val="center"/>
              <w:rPr>
                <w:rFonts w:ascii="Times New Roman" w:hAnsi="Times New Roman"/>
                <w:b/>
                <w:bCs/>
                <w:color w:val="auto"/>
                <w:sz w:val="21"/>
                <w:szCs w:val="21"/>
                <w:highlight w:val="none"/>
              </w:rPr>
            </w:pPr>
          </w:p>
        </w:tc>
        <w:tc>
          <w:tcPr>
            <w:tcW w:w="733" w:type="dxa"/>
            <w:tcBorders>
              <w:tl2br w:val="nil"/>
              <w:tr2bl w:val="nil"/>
            </w:tcBorders>
            <w:vAlign w:val="center"/>
          </w:tcPr>
          <w:p w14:paraId="3C7D999D">
            <w:pPr>
              <w:ind w:left="-105" w:right="-105"/>
              <w:jc w:val="center"/>
              <w:rPr>
                <w:rFonts w:ascii="Times New Roman" w:hAnsi="Times New Roman"/>
                <w:b/>
                <w:bCs/>
                <w:color w:val="auto"/>
                <w:sz w:val="21"/>
                <w:szCs w:val="21"/>
                <w:highlight w:val="none"/>
              </w:rPr>
            </w:pPr>
            <w:r>
              <w:rPr>
                <w:rFonts w:ascii="Times New Roman" w:hAnsi="Times New Roman"/>
                <w:b/>
                <w:bCs/>
                <w:color w:val="auto"/>
                <w:sz w:val="21"/>
                <w:szCs w:val="21"/>
                <w:highlight w:val="none"/>
              </w:rPr>
              <w:t>大</w:t>
            </w:r>
          </w:p>
        </w:tc>
        <w:tc>
          <w:tcPr>
            <w:tcW w:w="733" w:type="dxa"/>
            <w:tcBorders>
              <w:tl2br w:val="nil"/>
              <w:tr2bl w:val="nil"/>
            </w:tcBorders>
            <w:vAlign w:val="center"/>
          </w:tcPr>
          <w:p w14:paraId="76261BD3">
            <w:pPr>
              <w:ind w:left="-105" w:right="-105"/>
              <w:jc w:val="center"/>
              <w:rPr>
                <w:rFonts w:ascii="Times New Roman" w:hAnsi="Times New Roman"/>
                <w:b/>
                <w:bCs/>
                <w:color w:val="auto"/>
                <w:sz w:val="21"/>
                <w:szCs w:val="21"/>
                <w:highlight w:val="none"/>
              </w:rPr>
            </w:pPr>
            <w:r>
              <w:rPr>
                <w:rFonts w:ascii="Times New Roman" w:hAnsi="Times New Roman"/>
                <w:b/>
                <w:bCs/>
                <w:color w:val="auto"/>
                <w:sz w:val="21"/>
                <w:szCs w:val="21"/>
                <w:highlight w:val="none"/>
              </w:rPr>
              <w:t>中</w:t>
            </w:r>
          </w:p>
        </w:tc>
        <w:tc>
          <w:tcPr>
            <w:tcW w:w="734" w:type="dxa"/>
            <w:tcBorders>
              <w:tl2br w:val="nil"/>
              <w:tr2bl w:val="nil"/>
            </w:tcBorders>
            <w:vAlign w:val="center"/>
          </w:tcPr>
          <w:p w14:paraId="13B29FC5">
            <w:pPr>
              <w:ind w:left="-105" w:right="-105"/>
              <w:jc w:val="center"/>
              <w:rPr>
                <w:rFonts w:ascii="Times New Roman" w:hAnsi="Times New Roman"/>
                <w:b/>
                <w:bCs/>
                <w:color w:val="auto"/>
                <w:sz w:val="21"/>
                <w:szCs w:val="21"/>
                <w:highlight w:val="none"/>
              </w:rPr>
            </w:pPr>
            <w:r>
              <w:rPr>
                <w:rFonts w:ascii="Times New Roman" w:hAnsi="Times New Roman"/>
                <w:b/>
                <w:bCs/>
                <w:color w:val="auto"/>
                <w:sz w:val="21"/>
                <w:szCs w:val="21"/>
                <w:highlight w:val="none"/>
              </w:rPr>
              <w:t>小</w:t>
            </w:r>
          </w:p>
        </w:tc>
        <w:tc>
          <w:tcPr>
            <w:tcW w:w="733" w:type="dxa"/>
            <w:tcBorders>
              <w:tl2br w:val="nil"/>
              <w:tr2bl w:val="nil"/>
            </w:tcBorders>
            <w:vAlign w:val="center"/>
          </w:tcPr>
          <w:p w14:paraId="1CD083AF">
            <w:pPr>
              <w:ind w:left="-105" w:right="-105"/>
              <w:jc w:val="center"/>
              <w:rPr>
                <w:rFonts w:ascii="Times New Roman" w:hAnsi="Times New Roman"/>
                <w:b/>
                <w:bCs/>
                <w:color w:val="auto"/>
                <w:sz w:val="21"/>
                <w:szCs w:val="21"/>
                <w:highlight w:val="none"/>
              </w:rPr>
            </w:pPr>
            <w:r>
              <w:rPr>
                <w:rFonts w:ascii="Times New Roman" w:hAnsi="Times New Roman"/>
                <w:b/>
                <w:bCs/>
                <w:color w:val="auto"/>
                <w:sz w:val="21"/>
                <w:szCs w:val="21"/>
                <w:highlight w:val="none"/>
              </w:rPr>
              <w:t>大</w:t>
            </w:r>
          </w:p>
        </w:tc>
        <w:tc>
          <w:tcPr>
            <w:tcW w:w="734" w:type="dxa"/>
            <w:tcBorders>
              <w:tl2br w:val="nil"/>
              <w:tr2bl w:val="nil"/>
            </w:tcBorders>
            <w:vAlign w:val="center"/>
          </w:tcPr>
          <w:p w14:paraId="5C4CA360">
            <w:pPr>
              <w:ind w:left="-105" w:right="-105"/>
              <w:jc w:val="center"/>
              <w:rPr>
                <w:rFonts w:ascii="Times New Roman" w:hAnsi="Times New Roman"/>
                <w:b/>
                <w:bCs/>
                <w:color w:val="auto"/>
                <w:sz w:val="21"/>
                <w:szCs w:val="21"/>
                <w:highlight w:val="none"/>
              </w:rPr>
            </w:pPr>
            <w:r>
              <w:rPr>
                <w:rFonts w:ascii="Times New Roman" w:hAnsi="Times New Roman"/>
                <w:b/>
                <w:bCs/>
                <w:color w:val="auto"/>
                <w:sz w:val="21"/>
                <w:szCs w:val="21"/>
                <w:highlight w:val="none"/>
              </w:rPr>
              <w:t>中</w:t>
            </w:r>
          </w:p>
        </w:tc>
        <w:tc>
          <w:tcPr>
            <w:tcW w:w="733" w:type="dxa"/>
            <w:tcBorders>
              <w:tl2br w:val="nil"/>
              <w:tr2bl w:val="nil"/>
            </w:tcBorders>
            <w:vAlign w:val="center"/>
          </w:tcPr>
          <w:p w14:paraId="15804947">
            <w:pPr>
              <w:ind w:left="-105" w:right="-105"/>
              <w:jc w:val="center"/>
              <w:rPr>
                <w:rFonts w:ascii="Times New Roman" w:hAnsi="Times New Roman"/>
                <w:b/>
                <w:bCs/>
                <w:color w:val="auto"/>
                <w:sz w:val="21"/>
                <w:szCs w:val="21"/>
                <w:highlight w:val="none"/>
              </w:rPr>
            </w:pPr>
            <w:r>
              <w:rPr>
                <w:rFonts w:ascii="Times New Roman" w:hAnsi="Times New Roman"/>
                <w:b/>
                <w:bCs/>
                <w:color w:val="auto"/>
                <w:sz w:val="21"/>
                <w:szCs w:val="21"/>
                <w:highlight w:val="none"/>
              </w:rPr>
              <w:t>小</w:t>
            </w:r>
          </w:p>
        </w:tc>
        <w:tc>
          <w:tcPr>
            <w:tcW w:w="734" w:type="dxa"/>
            <w:tcBorders>
              <w:tl2br w:val="nil"/>
              <w:tr2bl w:val="nil"/>
            </w:tcBorders>
            <w:vAlign w:val="center"/>
          </w:tcPr>
          <w:p w14:paraId="4FCD5880">
            <w:pPr>
              <w:ind w:left="-105" w:right="-105"/>
              <w:jc w:val="center"/>
              <w:rPr>
                <w:rFonts w:ascii="Times New Roman" w:hAnsi="Times New Roman"/>
                <w:b/>
                <w:bCs/>
                <w:color w:val="auto"/>
                <w:sz w:val="21"/>
                <w:szCs w:val="21"/>
                <w:highlight w:val="none"/>
              </w:rPr>
            </w:pPr>
            <w:r>
              <w:rPr>
                <w:rFonts w:ascii="Times New Roman" w:hAnsi="Times New Roman"/>
                <w:b/>
                <w:bCs/>
                <w:color w:val="auto"/>
                <w:sz w:val="21"/>
                <w:szCs w:val="21"/>
                <w:highlight w:val="none"/>
              </w:rPr>
              <w:t>大</w:t>
            </w:r>
          </w:p>
        </w:tc>
        <w:tc>
          <w:tcPr>
            <w:tcW w:w="733" w:type="dxa"/>
            <w:tcBorders>
              <w:tl2br w:val="nil"/>
              <w:tr2bl w:val="nil"/>
            </w:tcBorders>
            <w:vAlign w:val="center"/>
          </w:tcPr>
          <w:p w14:paraId="2533E905">
            <w:pPr>
              <w:ind w:left="-105" w:right="-105"/>
              <w:jc w:val="center"/>
              <w:rPr>
                <w:rFonts w:ascii="Times New Roman" w:hAnsi="Times New Roman"/>
                <w:b/>
                <w:bCs/>
                <w:color w:val="auto"/>
                <w:sz w:val="21"/>
                <w:szCs w:val="21"/>
                <w:highlight w:val="none"/>
              </w:rPr>
            </w:pPr>
            <w:r>
              <w:rPr>
                <w:rFonts w:ascii="Times New Roman" w:hAnsi="Times New Roman"/>
                <w:b/>
                <w:bCs/>
                <w:color w:val="auto"/>
                <w:sz w:val="21"/>
                <w:szCs w:val="21"/>
                <w:highlight w:val="none"/>
              </w:rPr>
              <w:t>中</w:t>
            </w:r>
          </w:p>
        </w:tc>
        <w:tc>
          <w:tcPr>
            <w:tcW w:w="734" w:type="dxa"/>
            <w:tcBorders>
              <w:tl2br w:val="nil"/>
              <w:tr2bl w:val="nil"/>
            </w:tcBorders>
            <w:vAlign w:val="center"/>
          </w:tcPr>
          <w:p w14:paraId="29BCEBDC">
            <w:pPr>
              <w:ind w:left="-105" w:right="-105"/>
              <w:jc w:val="center"/>
              <w:rPr>
                <w:rFonts w:ascii="Times New Roman" w:hAnsi="Times New Roman"/>
                <w:b/>
                <w:bCs/>
                <w:color w:val="auto"/>
                <w:sz w:val="21"/>
                <w:szCs w:val="21"/>
                <w:highlight w:val="none"/>
              </w:rPr>
            </w:pPr>
            <w:r>
              <w:rPr>
                <w:rFonts w:ascii="Times New Roman" w:hAnsi="Times New Roman"/>
                <w:b/>
                <w:bCs/>
                <w:color w:val="auto"/>
                <w:sz w:val="21"/>
                <w:szCs w:val="21"/>
                <w:highlight w:val="none"/>
              </w:rPr>
              <w:t>小</w:t>
            </w:r>
          </w:p>
        </w:tc>
      </w:tr>
      <w:tr w14:paraId="3946A493">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CellMar>
            <w:top w:w="0" w:type="dxa"/>
            <w:left w:w="108" w:type="dxa"/>
            <w:bottom w:w="0" w:type="dxa"/>
            <w:right w:w="108" w:type="dxa"/>
          </w:tblCellMar>
        </w:tblPrEx>
        <w:tc>
          <w:tcPr>
            <w:tcW w:w="1701" w:type="dxa"/>
            <w:tcBorders>
              <w:tl2br w:val="nil"/>
              <w:tr2bl w:val="nil"/>
            </w:tcBorders>
            <w:vAlign w:val="center"/>
          </w:tcPr>
          <w:p w14:paraId="3B29E34F">
            <w:pPr>
              <w:ind w:left="-105" w:right="-105"/>
              <w:jc w:val="center"/>
              <w:rPr>
                <w:rFonts w:ascii="Times New Roman" w:hAnsi="Times New Roman"/>
                <w:color w:val="auto"/>
                <w:sz w:val="21"/>
                <w:szCs w:val="21"/>
                <w:highlight w:val="none"/>
              </w:rPr>
            </w:pPr>
            <w:r>
              <w:rPr>
                <w:rFonts w:ascii="Times New Roman" w:hAnsi="Times New Roman"/>
                <w:color w:val="auto"/>
                <w:sz w:val="21"/>
                <w:szCs w:val="21"/>
                <w:highlight w:val="none"/>
              </w:rPr>
              <w:t>敏感</w:t>
            </w:r>
          </w:p>
        </w:tc>
        <w:tc>
          <w:tcPr>
            <w:tcW w:w="733" w:type="dxa"/>
            <w:tcBorders>
              <w:tl2br w:val="nil"/>
              <w:tr2bl w:val="nil"/>
            </w:tcBorders>
            <w:vAlign w:val="center"/>
          </w:tcPr>
          <w:p w14:paraId="66A356DE">
            <w:pPr>
              <w:ind w:left="-105" w:right="-105"/>
              <w:jc w:val="center"/>
              <w:rPr>
                <w:rFonts w:ascii="Times New Roman" w:hAnsi="Times New Roman"/>
                <w:color w:val="auto"/>
                <w:sz w:val="21"/>
                <w:szCs w:val="21"/>
                <w:highlight w:val="none"/>
              </w:rPr>
            </w:pPr>
            <w:r>
              <w:rPr>
                <w:rFonts w:ascii="Times New Roman" w:hAnsi="Times New Roman"/>
                <w:color w:val="auto"/>
                <w:sz w:val="21"/>
                <w:szCs w:val="21"/>
                <w:highlight w:val="none"/>
              </w:rPr>
              <w:t>一级</w:t>
            </w:r>
          </w:p>
        </w:tc>
        <w:tc>
          <w:tcPr>
            <w:tcW w:w="733" w:type="dxa"/>
            <w:tcBorders>
              <w:tl2br w:val="nil"/>
              <w:tr2bl w:val="nil"/>
            </w:tcBorders>
          </w:tcPr>
          <w:p w14:paraId="013F65AF">
            <w:pPr>
              <w:ind w:left="-105" w:right="-105"/>
              <w:jc w:val="center"/>
              <w:rPr>
                <w:rFonts w:ascii="Times New Roman" w:hAnsi="Times New Roman"/>
                <w:color w:val="auto"/>
                <w:sz w:val="21"/>
                <w:szCs w:val="21"/>
                <w:highlight w:val="none"/>
              </w:rPr>
            </w:pPr>
            <w:r>
              <w:rPr>
                <w:rFonts w:ascii="Times New Roman" w:hAnsi="Times New Roman"/>
                <w:color w:val="auto"/>
                <w:sz w:val="21"/>
                <w:szCs w:val="21"/>
                <w:highlight w:val="none"/>
              </w:rPr>
              <w:t>一级</w:t>
            </w:r>
          </w:p>
        </w:tc>
        <w:tc>
          <w:tcPr>
            <w:tcW w:w="734" w:type="dxa"/>
            <w:tcBorders>
              <w:tl2br w:val="nil"/>
              <w:tr2bl w:val="nil"/>
            </w:tcBorders>
            <w:vAlign w:val="center"/>
          </w:tcPr>
          <w:p w14:paraId="54A01368">
            <w:pPr>
              <w:ind w:left="-105" w:right="-105"/>
              <w:jc w:val="center"/>
              <w:rPr>
                <w:rFonts w:ascii="Times New Roman" w:hAnsi="Times New Roman"/>
                <w:color w:val="auto"/>
                <w:sz w:val="21"/>
                <w:szCs w:val="21"/>
                <w:highlight w:val="none"/>
              </w:rPr>
            </w:pPr>
            <w:r>
              <w:rPr>
                <w:rFonts w:ascii="Times New Roman" w:hAnsi="Times New Roman"/>
                <w:color w:val="auto"/>
                <w:sz w:val="21"/>
                <w:szCs w:val="21"/>
                <w:highlight w:val="none"/>
              </w:rPr>
              <w:t>一级</w:t>
            </w:r>
          </w:p>
        </w:tc>
        <w:tc>
          <w:tcPr>
            <w:tcW w:w="733" w:type="dxa"/>
            <w:tcBorders>
              <w:tl2br w:val="nil"/>
              <w:tr2bl w:val="nil"/>
            </w:tcBorders>
            <w:vAlign w:val="center"/>
          </w:tcPr>
          <w:p w14:paraId="0DFDE1A2">
            <w:pPr>
              <w:ind w:left="-105" w:right="-105"/>
              <w:jc w:val="center"/>
              <w:rPr>
                <w:rFonts w:ascii="Times New Roman" w:hAnsi="Times New Roman"/>
                <w:color w:val="auto"/>
                <w:sz w:val="21"/>
                <w:szCs w:val="21"/>
                <w:highlight w:val="none"/>
              </w:rPr>
            </w:pPr>
            <w:r>
              <w:rPr>
                <w:rFonts w:ascii="Times New Roman" w:hAnsi="Times New Roman"/>
                <w:color w:val="auto"/>
                <w:sz w:val="21"/>
                <w:szCs w:val="21"/>
                <w:highlight w:val="none"/>
              </w:rPr>
              <w:t>二级</w:t>
            </w:r>
          </w:p>
        </w:tc>
        <w:tc>
          <w:tcPr>
            <w:tcW w:w="734" w:type="dxa"/>
            <w:tcBorders>
              <w:tl2br w:val="nil"/>
              <w:tr2bl w:val="nil"/>
            </w:tcBorders>
            <w:vAlign w:val="center"/>
          </w:tcPr>
          <w:p w14:paraId="17666D65">
            <w:pPr>
              <w:ind w:left="-105" w:right="-105"/>
              <w:jc w:val="center"/>
              <w:rPr>
                <w:rFonts w:ascii="Times New Roman" w:hAnsi="Times New Roman"/>
                <w:color w:val="auto"/>
                <w:sz w:val="21"/>
                <w:szCs w:val="21"/>
                <w:highlight w:val="none"/>
              </w:rPr>
            </w:pPr>
            <w:r>
              <w:rPr>
                <w:rFonts w:ascii="Times New Roman" w:hAnsi="Times New Roman"/>
                <w:color w:val="auto"/>
                <w:sz w:val="21"/>
                <w:szCs w:val="21"/>
                <w:highlight w:val="none"/>
              </w:rPr>
              <w:t>二级</w:t>
            </w:r>
          </w:p>
        </w:tc>
        <w:tc>
          <w:tcPr>
            <w:tcW w:w="733" w:type="dxa"/>
            <w:tcBorders>
              <w:tl2br w:val="nil"/>
              <w:tr2bl w:val="nil"/>
            </w:tcBorders>
            <w:shd w:val="clear" w:color="auto" w:fill="A4A4A4" w:themeFill="background1" w:themeFillShade="A5"/>
            <w:vAlign w:val="center"/>
          </w:tcPr>
          <w:p w14:paraId="759E0549">
            <w:pPr>
              <w:ind w:left="-105" w:right="-105"/>
              <w:jc w:val="center"/>
              <w:rPr>
                <w:rFonts w:ascii="Times New Roman" w:hAnsi="Times New Roman"/>
                <w:color w:val="auto"/>
                <w:sz w:val="21"/>
                <w:szCs w:val="21"/>
                <w:highlight w:val="none"/>
              </w:rPr>
            </w:pPr>
            <w:r>
              <w:rPr>
                <w:rFonts w:ascii="Times New Roman" w:hAnsi="Times New Roman"/>
                <w:color w:val="auto"/>
                <w:sz w:val="21"/>
                <w:szCs w:val="21"/>
                <w:highlight w:val="none"/>
                <w:shd w:val="clear" w:color="auto" w:fill="A4A4A4" w:themeFill="background1" w:themeFillShade="A5"/>
              </w:rPr>
              <w:t>二级</w:t>
            </w:r>
          </w:p>
        </w:tc>
        <w:tc>
          <w:tcPr>
            <w:tcW w:w="734" w:type="dxa"/>
            <w:tcBorders>
              <w:tl2br w:val="nil"/>
              <w:tr2bl w:val="nil"/>
            </w:tcBorders>
          </w:tcPr>
          <w:p w14:paraId="5014DFCA">
            <w:pPr>
              <w:ind w:left="-105" w:right="-105"/>
              <w:jc w:val="center"/>
              <w:rPr>
                <w:rFonts w:ascii="Times New Roman" w:hAnsi="Times New Roman"/>
                <w:color w:val="auto"/>
                <w:sz w:val="21"/>
                <w:szCs w:val="21"/>
                <w:highlight w:val="none"/>
              </w:rPr>
            </w:pPr>
            <w:r>
              <w:rPr>
                <w:rFonts w:ascii="Times New Roman" w:hAnsi="Times New Roman"/>
                <w:color w:val="auto"/>
                <w:sz w:val="21"/>
                <w:szCs w:val="21"/>
                <w:highlight w:val="none"/>
              </w:rPr>
              <w:t>三级</w:t>
            </w:r>
          </w:p>
        </w:tc>
        <w:tc>
          <w:tcPr>
            <w:tcW w:w="733" w:type="dxa"/>
            <w:tcBorders>
              <w:tl2br w:val="nil"/>
              <w:tr2bl w:val="nil"/>
            </w:tcBorders>
          </w:tcPr>
          <w:p w14:paraId="77E79BB3">
            <w:pPr>
              <w:ind w:left="-105" w:right="-105"/>
              <w:jc w:val="center"/>
              <w:rPr>
                <w:rFonts w:ascii="Times New Roman" w:hAnsi="Times New Roman"/>
                <w:color w:val="auto"/>
                <w:sz w:val="21"/>
                <w:szCs w:val="21"/>
                <w:highlight w:val="none"/>
              </w:rPr>
            </w:pPr>
            <w:r>
              <w:rPr>
                <w:rFonts w:ascii="Times New Roman" w:hAnsi="Times New Roman"/>
                <w:color w:val="auto"/>
                <w:sz w:val="21"/>
                <w:szCs w:val="21"/>
                <w:highlight w:val="none"/>
              </w:rPr>
              <w:t>三级</w:t>
            </w:r>
          </w:p>
        </w:tc>
        <w:tc>
          <w:tcPr>
            <w:tcW w:w="734" w:type="dxa"/>
            <w:tcBorders>
              <w:tl2br w:val="nil"/>
              <w:tr2bl w:val="nil"/>
            </w:tcBorders>
            <w:vAlign w:val="center"/>
          </w:tcPr>
          <w:p w14:paraId="6A043F5A">
            <w:pPr>
              <w:ind w:left="-105" w:right="-105"/>
              <w:jc w:val="center"/>
              <w:rPr>
                <w:rFonts w:ascii="Times New Roman" w:hAnsi="Times New Roman"/>
                <w:color w:val="auto"/>
                <w:sz w:val="21"/>
                <w:szCs w:val="21"/>
                <w:highlight w:val="none"/>
              </w:rPr>
            </w:pPr>
            <w:r>
              <w:rPr>
                <w:rFonts w:ascii="Times New Roman" w:hAnsi="Times New Roman"/>
                <w:color w:val="auto"/>
                <w:sz w:val="21"/>
                <w:szCs w:val="21"/>
                <w:highlight w:val="none"/>
              </w:rPr>
              <w:t>三级</w:t>
            </w:r>
          </w:p>
        </w:tc>
      </w:tr>
      <w:tr w14:paraId="3F9935B5">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CellMar>
            <w:top w:w="0" w:type="dxa"/>
            <w:left w:w="108" w:type="dxa"/>
            <w:bottom w:w="0" w:type="dxa"/>
            <w:right w:w="108" w:type="dxa"/>
          </w:tblCellMar>
        </w:tblPrEx>
        <w:tc>
          <w:tcPr>
            <w:tcW w:w="1701" w:type="dxa"/>
            <w:tcBorders>
              <w:tl2br w:val="nil"/>
              <w:tr2bl w:val="nil"/>
            </w:tcBorders>
            <w:vAlign w:val="center"/>
          </w:tcPr>
          <w:p w14:paraId="6C15F19A">
            <w:pPr>
              <w:ind w:left="-105" w:right="-105"/>
              <w:jc w:val="center"/>
              <w:rPr>
                <w:rFonts w:ascii="Times New Roman" w:hAnsi="Times New Roman"/>
                <w:color w:val="auto"/>
                <w:sz w:val="21"/>
                <w:szCs w:val="21"/>
                <w:highlight w:val="none"/>
              </w:rPr>
            </w:pPr>
            <w:r>
              <w:rPr>
                <w:rFonts w:ascii="Times New Roman" w:hAnsi="Times New Roman"/>
                <w:color w:val="auto"/>
                <w:sz w:val="21"/>
                <w:szCs w:val="21"/>
                <w:highlight w:val="none"/>
              </w:rPr>
              <w:t>较敏感</w:t>
            </w:r>
          </w:p>
        </w:tc>
        <w:tc>
          <w:tcPr>
            <w:tcW w:w="733" w:type="dxa"/>
            <w:tcBorders>
              <w:tl2br w:val="nil"/>
              <w:tr2bl w:val="nil"/>
            </w:tcBorders>
          </w:tcPr>
          <w:p w14:paraId="4E3DF432">
            <w:pPr>
              <w:ind w:left="-105" w:right="-105"/>
              <w:jc w:val="center"/>
              <w:rPr>
                <w:rFonts w:ascii="Times New Roman" w:hAnsi="Times New Roman"/>
                <w:color w:val="auto"/>
                <w:sz w:val="21"/>
                <w:szCs w:val="21"/>
                <w:highlight w:val="none"/>
              </w:rPr>
            </w:pPr>
            <w:r>
              <w:rPr>
                <w:rFonts w:ascii="Times New Roman" w:hAnsi="Times New Roman"/>
                <w:color w:val="auto"/>
                <w:sz w:val="21"/>
                <w:szCs w:val="21"/>
                <w:highlight w:val="none"/>
              </w:rPr>
              <w:t>一级</w:t>
            </w:r>
          </w:p>
        </w:tc>
        <w:tc>
          <w:tcPr>
            <w:tcW w:w="733" w:type="dxa"/>
            <w:tcBorders>
              <w:tl2br w:val="nil"/>
              <w:tr2bl w:val="nil"/>
            </w:tcBorders>
          </w:tcPr>
          <w:p w14:paraId="10D80991">
            <w:pPr>
              <w:ind w:left="-105" w:right="-105"/>
              <w:jc w:val="center"/>
              <w:rPr>
                <w:rFonts w:ascii="Times New Roman" w:hAnsi="Times New Roman"/>
                <w:color w:val="auto"/>
                <w:sz w:val="21"/>
                <w:szCs w:val="21"/>
                <w:highlight w:val="none"/>
              </w:rPr>
            </w:pPr>
            <w:r>
              <w:rPr>
                <w:rFonts w:ascii="Times New Roman" w:hAnsi="Times New Roman"/>
                <w:color w:val="auto"/>
                <w:sz w:val="21"/>
                <w:szCs w:val="21"/>
                <w:highlight w:val="none"/>
              </w:rPr>
              <w:t>一级</w:t>
            </w:r>
          </w:p>
        </w:tc>
        <w:tc>
          <w:tcPr>
            <w:tcW w:w="734" w:type="dxa"/>
            <w:tcBorders>
              <w:tl2br w:val="nil"/>
              <w:tr2bl w:val="nil"/>
            </w:tcBorders>
            <w:vAlign w:val="center"/>
          </w:tcPr>
          <w:p w14:paraId="46AE5AB9">
            <w:pPr>
              <w:ind w:left="-105" w:right="-105"/>
              <w:jc w:val="center"/>
              <w:rPr>
                <w:rFonts w:ascii="Times New Roman" w:hAnsi="Times New Roman"/>
                <w:color w:val="auto"/>
                <w:sz w:val="21"/>
                <w:szCs w:val="21"/>
                <w:highlight w:val="none"/>
              </w:rPr>
            </w:pPr>
            <w:r>
              <w:rPr>
                <w:rFonts w:ascii="Times New Roman" w:hAnsi="Times New Roman"/>
                <w:color w:val="auto"/>
                <w:sz w:val="21"/>
                <w:szCs w:val="21"/>
                <w:highlight w:val="none"/>
              </w:rPr>
              <w:t>二级</w:t>
            </w:r>
          </w:p>
        </w:tc>
        <w:tc>
          <w:tcPr>
            <w:tcW w:w="733" w:type="dxa"/>
            <w:tcBorders>
              <w:tl2br w:val="nil"/>
              <w:tr2bl w:val="nil"/>
            </w:tcBorders>
            <w:vAlign w:val="center"/>
          </w:tcPr>
          <w:p w14:paraId="0BEEDCBF">
            <w:pPr>
              <w:ind w:left="-105" w:right="-105"/>
              <w:jc w:val="center"/>
              <w:rPr>
                <w:rFonts w:ascii="Times New Roman" w:hAnsi="Times New Roman"/>
                <w:color w:val="auto"/>
                <w:sz w:val="21"/>
                <w:szCs w:val="21"/>
                <w:highlight w:val="none"/>
              </w:rPr>
            </w:pPr>
            <w:r>
              <w:rPr>
                <w:rFonts w:ascii="Times New Roman" w:hAnsi="Times New Roman"/>
                <w:color w:val="auto"/>
                <w:sz w:val="21"/>
                <w:szCs w:val="21"/>
                <w:highlight w:val="none"/>
              </w:rPr>
              <w:t>二级</w:t>
            </w:r>
          </w:p>
        </w:tc>
        <w:tc>
          <w:tcPr>
            <w:tcW w:w="734" w:type="dxa"/>
            <w:tcBorders>
              <w:tl2br w:val="nil"/>
              <w:tr2bl w:val="nil"/>
            </w:tcBorders>
            <w:vAlign w:val="center"/>
          </w:tcPr>
          <w:p w14:paraId="049ABA6D">
            <w:pPr>
              <w:ind w:left="-105" w:right="-105"/>
              <w:jc w:val="center"/>
              <w:rPr>
                <w:rFonts w:ascii="Times New Roman" w:hAnsi="Times New Roman"/>
                <w:color w:val="auto"/>
                <w:sz w:val="21"/>
                <w:szCs w:val="21"/>
                <w:highlight w:val="none"/>
              </w:rPr>
            </w:pPr>
            <w:r>
              <w:rPr>
                <w:rFonts w:ascii="Times New Roman" w:hAnsi="Times New Roman"/>
                <w:color w:val="auto"/>
                <w:sz w:val="21"/>
                <w:szCs w:val="21"/>
                <w:highlight w:val="none"/>
              </w:rPr>
              <w:t>二级</w:t>
            </w:r>
          </w:p>
        </w:tc>
        <w:tc>
          <w:tcPr>
            <w:tcW w:w="733" w:type="dxa"/>
            <w:tcBorders>
              <w:tl2br w:val="nil"/>
              <w:tr2bl w:val="nil"/>
            </w:tcBorders>
          </w:tcPr>
          <w:p w14:paraId="757E7867">
            <w:pPr>
              <w:ind w:left="-105" w:right="-105"/>
              <w:jc w:val="center"/>
              <w:rPr>
                <w:rFonts w:ascii="Times New Roman" w:hAnsi="Times New Roman"/>
                <w:color w:val="auto"/>
                <w:sz w:val="21"/>
                <w:szCs w:val="21"/>
                <w:highlight w:val="none"/>
              </w:rPr>
            </w:pPr>
            <w:r>
              <w:rPr>
                <w:rFonts w:ascii="Times New Roman" w:hAnsi="Times New Roman"/>
                <w:color w:val="auto"/>
                <w:sz w:val="21"/>
                <w:szCs w:val="21"/>
                <w:highlight w:val="none"/>
              </w:rPr>
              <w:t>三级</w:t>
            </w:r>
          </w:p>
        </w:tc>
        <w:tc>
          <w:tcPr>
            <w:tcW w:w="734" w:type="dxa"/>
            <w:tcBorders>
              <w:tl2br w:val="nil"/>
              <w:tr2bl w:val="nil"/>
            </w:tcBorders>
          </w:tcPr>
          <w:p w14:paraId="613140CD">
            <w:pPr>
              <w:ind w:left="-105" w:right="-105"/>
              <w:jc w:val="center"/>
              <w:rPr>
                <w:rFonts w:ascii="Times New Roman" w:hAnsi="Times New Roman"/>
                <w:color w:val="auto"/>
                <w:sz w:val="21"/>
                <w:szCs w:val="21"/>
                <w:highlight w:val="none"/>
              </w:rPr>
            </w:pPr>
            <w:r>
              <w:rPr>
                <w:rFonts w:ascii="Times New Roman" w:hAnsi="Times New Roman"/>
                <w:color w:val="auto"/>
                <w:sz w:val="21"/>
                <w:szCs w:val="21"/>
                <w:highlight w:val="none"/>
              </w:rPr>
              <w:t>三级</w:t>
            </w:r>
          </w:p>
        </w:tc>
        <w:tc>
          <w:tcPr>
            <w:tcW w:w="733" w:type="dxa"/>
            <w:tcBorders>
              <w:tl2br w:val="nil"/>
              <w:tr2bl w:val="nil"/>
            </w:tcBorders>
          </w:tcPr>
          <w:p w14:paraId="63245420">
            <w:pPr>
              <w:ind w:left="-105" w:right="-105"/>
              <w:jc w:val="center"/>
              <w:rPr>
                <w:rFonts w:ascii="Times New Roman" w:hAnsi="Times New Roman"/>
                <w:color w:val="auto"/>
                <w:sz w:val="21"/>
                <w:szCs w:val="21"/>
                <w:highlight w:val="none"/>
              </w:rPr>
            </w:pPr>
            <w:r>
              <w:rPr>
                <w:rFonts w:ascii="Times New Roman" w:hAnsi="Times New Roman"/>
                <w:color w:val="auto"/>
                <w:sz w:val="21"/>
                <w:szCs w:val="21"/>
                <w:highlight w:val="none"/>
              </w:rPr>
              <w:t>三级</w:t>
            </w:r>
          </w:p>
        </w:tc>
        <w:tc>
          <w:tcPr>
            <w:tcW w:w="734" w:type="dxa"/>
            <w:tcBorders>
              <w:tl2br w:val="nil"/>
              <w:tr2bl w:val="nil"/>
            </w:tcBorders>
            <w:vAlign w:val="center"/>
          </w:tcPr>
          <w:p w14:paraId="1AF6C26A">
            <w:pPr>
              <w:ind w:left="-105" w:right="-105"/>
              <w:jc w:val="center"/>
              <w:rPr>
                <w:rFonts w:ascii="Times New Roman" w:hAnsi="Times New Roman"/>
                <w:color w:val="auto"/>
                <w:sz w:val="21"/>
                <w:szCs w:val="21"/>
                <w:highlight w:val="none"/>
              </w:rPr>
            </w:pPr>
            <w:r>
              <w:rPr>
                <w:rFonts w:ascii="Times New Roman" w:hAnsi="Times New Roman"/>
                <w:color w:val="auto"/>
                <w:sz w:val="21"/>
                <w:szCs w:val="21"/>
                <w:highlight w:val="none"/>
              </w:rPr>
              <w:t>-</w:t>
            </w:r>
          </w:p>
        </w:tc>
      </w:tr>
      <w:tr w14:paraId="70111983">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CellMar>
            <w:top w:w="0" w:type="dxa"/>
            <w:left w:w="108" w:type="dxa"/>
            <w:bottom w:w="0" w:type="dxa"/>
            <w:right w:w="108" w:type="dxa"/>
          </w:tblCellMar>
        </w:tblPrEx>
        <w:tc>
          <w:tcPr>
            <w:tcW w:w="1701" w:type="dxa"/>
            <w:tcBorders>
              <w:tl2br w:val="nil"/>
              <w:tr2bl w:val="nil"/>
            </w:tcBorders>
            <w:vAlign w:val="center"/>
          </w:tcPr>
          <w:p w14:paraId="51220101">
            <w:pPr>
              <w:ind w:left="-105" w:right="-105"/>
              <w:jc w:val="center"/>
              <w:rPr>
                <w:rFonts w:ascii="Times New Roman" w:hAnsi="Times New Roman"/>
                <w:color w:val="auto"/>
                <w:sz w:val="21"/>
                <w:szCs w:val="21"/>
                <w:highlight w:val="none"/>
              </w:rPr>
            </w:pPr>
            <w:r>
              <w:rPr>
                <w:rFonts w:ascii="Times New Roman" w:hAnsi="Times New Roman"/>
                <w:color w:val="auto"/>
                <w:sz w:val="21"/>
                <w:szCs w:val="21"/>
                <w:highlight w:val="none"/>
              </w:rPr>
              <w:t>不敏感</w:t>
            </w:r>
          </w:p>
        </w:tc>
        <w:tc>
          <w:tcPr>
            <w:tcW w:w="733" w:type="dxa"/>
            <w:tcBorders>
              <w:tl2br w:val="nil"/>
              <w:tr2bl w:val="nil"/>
            </w:tcBorders>
          </w:tcPr>
          <w:p w14:paraId="43765F11">
            <w:pPr>
              <w:ind w:left="-105" w:right="-105"/>
              <w:jc w:val="center"/>
              <w:rPr>
                <w:rFonts w:ascii="Times New Roman" w:hAnsi="Times New Roman"/>
                <w:color w:val="auto"/>
                <w:sz w:val="21"/>
                <w:szCs w:val="21"/>
                <w:highlight w:val="none"/>
              </w:rPr>
            </w:pPr>
            <w:r>
              <w:rPr>
                <w:rFonts w:ascii="Times New Roman" w:hAnsi="Times New Roman"/>
                <w:color w:val="auto"/>
                <w:sz w:val="21"/>
                <w:szCs w:val="21"/>
                <w:highlight w:val="none"/>
              </w:rPr>
              <w:t>一级</w:t>
            </w:r>
          </w:p>
        </w:tc>
        <w:tc>
          <w:tcPr>
            <w:tcW w:w="733" w:type="dxa"/>
            <w:tcBorders>
              <w:tl2br w:val="nil"/>
              <w:tr2bl w:val="nil"/>
            </w:tcBorders>
            <w:vAlign w:val="center"/>
          </w:tcPr>
          <w:p w14:paraId="14F231E6">
            <w:pPr>
              <w:ind w:left="-105" w:right="-105"/>
              <w:jc w:val="center"/>
              <w:rPr>
                <w:rFonts w:ascii="Times New Roman" w:hAnsi="Times New Roman"/>
                <w:color w:val="auto"/>
                <w:sz w:val="21"/>
                <w:szCs w:val="21"/>
                <w:highlight w:val="none"/>
              </w:rPr>
            </w:pPr>
            <w:r>
              <w:rPr>
                <w:rFonts w:ascii="Times New Roman" w:hAnsi="Times New Roman"/>
                <w:color w:val="auto"/>
                <w:sz w:val="21"/>
                <w:szCs w:val="21"/>
                <w:highlight w:val="none"/>
              </w:rPr>
              <w:t>二级</w:t>
            </w:r>
          </w:p>
        </w:tc>
        <w:tc>
          <w:tcPr>
            <w:tcW w:w="734" w:type="dxa"/>
            <w:tcBorders>
              <w:tl2br w:val="nil"/>
              <w:tr2bl w:val="nil"/>
            </w:tcBorders>
            <w:shd w:val="clear" w:color="auto" w:fill="auto"/>
            <w:vAlign w:val="center"/>
          </w:tcPr>
          <w:p w14:paraId="15762E92">
            <w:pPr>
              <w:ind w:left="-105" w:right="-105"/>
              <w:jc w:val="center"/>
              <w:rPr>
                <w:rFonts w:ascii="Times New Roman" w:hAnsi="Times New Roman"/>
                <w:color w:val="auto"/>
                <w:sz w:val="21"/>
                <w:szCs w:val="21"/>
                <w:highlight w:val="none"/>
              </w:rPr>
            </w:pPr>
            <w:r>
              <w:rPr>
                <w:rFonts w:ascii="Times New Roman" w:hAnsi="Times New Roman"/>
                <w:color w:val="auto"/>
                <w:sz w:val="21"/>
                <w:szCs w:val="21"/>
                <w:highlight w:val="none"/>
              </w:rPr>
              <w:t>二级</w:t>
            </w:r>
          </w:p>
        </w:tc>
        <w:tc>
          <w:tcPr>
            <w:tcW w:w="733" w:type="dxa"/>
            <w:tcBorders>
              <w:tl2br w:val="nil"/>
              <w:tr2bl w:val="nil"/>
            </w:tcBorders>
            <w:vAlign w:val="center"/>
          </w:tcPr>
          <w:p w14:paraId="54D174D1">
            <w:pPr>
              <w:ind w:left="-105" w:right="-105"/>
              <w:jc w:val="center"/>
              <w:rPr>
                <w:rFonts w:ascii="Times New Roman" w:hAnsi="Times New Roman"/>
                <w:color w:val="auto"/>
                <w:sz w:val="21"/>
                <w:szCs w:val="21"/>
                <w:highlight w:val="none"/>
              </w:rPr>
            </w:pPr>
            <w:r>
              <w:rPr>
                <w:rFonts w:ascii="Times New Roman" w:hAnsi="Times New Roman"/>
                <w:color w:val="auto"/>
                <w:sz w:val="21"/>
                <w:szCs w:val="21"/>
                <w:highlight w:val="none"/>
              </w:rPr>
              <w:t>二级</w:t>
            </w:r>
          </w:p>
        </w:tc>
        <w:tc>
          <w:tcPr>
            <w:tcW w:w="734" w:type="dxa"/>
            <w:tcBorders>
              <w:tl2br w:val="nil"/>
              <w:tr2bl w:val="nil"/>
            </w:tcBorders>
            <w:vAlign w:val="center"/>
          </w:tcPr>
          <w:p w14:paraId="6DF91340">
            <w:pPr>
              <w:ind w:left="-105" w:right="-105"/>
              <w:jc w:val="center"/>
              <w:rPr>
                <w:rFonts w:ascii="Times New Roman" w:hAnsi="Times New Roman"/>
                <w:color w:val="auto"/>
                <w:sz w:val="21"/>
                <w:szCs w:val="21"/>
                <w:highlight w:val="none"/>
              </w:rPr>
            </w:pPr>
            <w:r>
              <w:rPr>
                <w:rFonts w:ascii="Times New Roman" w:hAnsi="Times New Roman"/>
                <w:color w:val="auto"/>
                <w:sz w:val="21"/>
                <w:szCs w:val="21"/>
                <w:highlight w:val="none"/>
              </w:rPr>
              <w:t>三级</w:t>
            </w:r>
          </w:p>
        </w:tc>
        <w:tc>
          <w:tcPr>
            <w:tcW w:w="733" w:type="dxa"/>
            <w:tcBorders>
              <w:tl2br w:val="nil"/>
              <w:tr2bl w:val="nil"/>
            </w:tcBorders>
          </w:tcPr>
          <w:p w14:paraId="36E110C5">
            <w:pPr>
              <w:ind w:left="-105" w:right="-105"/>
              <w:jc w:val="center"/>
              <w:rPr>
                <w:rFonts w:ascii="Times New Roman" w:hAnsi="Times New Roman"/>
                <w:color w:val="auto"/>
                <w:sz w:val="21"/>
                <w:szCs w:val="21"/>
                <w:highlight w:val="none"/>
              </w:rPr>
            </w:pPr>
            <w:r>
              <w:rPr>
                <w:rFonts w:ascii="Times New Roman" w:hAnsi="Times New Roman"/>
                <w:color w:val="auto"/>
                <w:sz w:val="21"/>
                <w:szCs w:val="21"/>
                <w:highlight w:val="none"/>
              </w:rPr>
              <w:t>三级</w:t>
            </w:r>
          </w:p>
        </w:tc>
        <w:tc>
          <w:tcPr>
            <w:tcW w:w="734" w:type="dxa"/>
            <w:tcBorders>
              <w:tl2br w:val="nil"/>
              <w:tr2bl w:val="nil"/>
            </w:tcBorders>
          </w:tcPr>
          <w:p w14:paraId="57CDE40F">
            <w:pPr>
              <w:ind w:left="-105" w:right="-105"/>
              <w:jc w:val="center"/>
              <w:rPr>
                <w:rFonts w:ascii="Times New Roman" w:hAnsi="Times New Roman"/>
                <w:color w:val="auto"/>
                <w:sz w:val="21"/>
                <w:szCs w:val="21"/>
                <w:highlight w:val="none"/>
              </w:rPr>
            </w:pPr>
            <w:r>
              <w:rPr>
                <w:rFonts w:ascii="Times New Roman" w:hAnsi="Times New Roman"/>
                <w:color w:val="auto"/>
                <w:sz w:val="21"/>
                <w:szCs w:val="21"/>
                <w:highlight w:val="none"/>
              </w:rPr>
              <w:t>三级</w:t>
            </w:r>
          </w:p>
        </w:tc>
        <w:tc>
          <w:tcPr>
            <w:tcW w:w="733" w:type="dxa"/>
            <w:tcBorders>
              <w:tl2br w:val="nil"/>
              <w:tr2bl w:val="nil"/>
            </w:tcBorders>
            <w:vAlign w:val="center"/>
          </w:tcPr>
          <w:p w14:paraId="0F7E6E87">
            <w:pPr>
              <w:ind w:left="-105" w:right="-105"/>
              <w:jc w:val="center"/>
              <w:rPr>
                <w:rFonts w:ascii="Times New Roman" w:hAnsi="Times New Roman"/>
                <w:color w:val="auto"/>
                <w:sz w:val="21"/>
                <w:szCs w:val="21"/>
                <w:highlight w:val="none"/>
              </w:rPr>
            </w:pPr>
            <w:r>
              <w:rPr>
                <w:rFonts w:ascii="Times New Roman" w:hAnsi="Times New Roman"/>
                <w:color w:val="auto"/>
                <w:sz w:val="21"/>
                <w:szCs w:val="21"/>
                <w:highlight w:val="none"/>
              </w:rPr>
              <w:t>-</w:t>
            </w:r>
          </w:p>
        </w:tc>
        <w:tc>
          <w:tcPr>
            <w:tcW w:w="734" w:type="dxa"/>
            <w:tcBorders>
              <w:tl2br w:val="nil"/>
              <w:tr2bl w:val="nil"/>
            </w:tcBorders>
            <w:vAlign w:val="center"/>
          </w:tcPr>
          <w:p w14:paraId="28E2B8E6">
            <w:pPr>
              <w:ind w:left="-105" w:right="-105"/>
              <w:jc w:val="center"/>
              <w:rPr>
                <w:rFonts w:ascii="Times New Roman" w:hAnsi="Times New Roman"/>
                <w:color w:val="auto"/>
                <w:sz w:val="21"/>
                <w:szCs w:val="21"/>
                <w:highlight w:val="none"/>
              </w:rPr>
            </w:pPr>
            <w:r>
              <w:rPr>
                <w:rFonts w:ascii="Times New Roman" w:hAnsi="Times New Roman"/>
                <w:color w:val="auto"/>
                <w:sz w:val="21"/>
                <w:szCs w:val="21"/>
                <w:highlight w:val="none"/>
              </w:rPr>
              <w:t>-</w:t>
            </w:r>
          </w:p>
        </w:tc>
      </w:tr>
      <w:tr w14:paraId="2CBFC544">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CellMar>
            <w:top w:w="0" w:type="dxa"/>
            <w:left w:w="108" w:type="dxa"/>
            <w:bottom w:w="0" w:type="dxa"/>
            <w:right w:w="108" w:type="dxa"/>
          </w:tblCellMar>
        </w:tblPrEx>
        <w:tc>
          <w:tcPr>
            <w:tcW w:w="8302" w:type="dxa"/>
            <w:gridSpan w:val="10"/>
            <w:tcBorders>
              <w:tl2br w:val="nil"/>
              <w:tr2bl w:val="nil"/>
            </w:tcBorders>
            <w:vAlign w:val="center"/>
          </w:tcPr>
          <w:p w14:paraId="5EB2C8D5">
            <w:pPr>
              <w:ind w:left="-105" w:right="-105"/>
              <w:jc w:val="center"/>
              <w:rPr>
                <w:rFonts w:ascii="Times New Roman" w:hAnsi="Times New Roman"/>
                <w:color w:val="auto"/>
                <w:sz w:val="21"/>
                <w:szCs w:val="21"/>
                <w:highlight w:val="none"/>
              </w:rPr>
            </w:pPr>
            <w:r>
              <w:rPr>
                <w:rFonts w:ascii="Times New Roman" w:hAnsi="Times New Roman"/>
                <w:color w:val="auto"/>
                <w:sz w:val="21"/>
                <w:szCs w:val="21"/>
                <w:highlight w:val="none"/>
              </w:rPr>
              <w:t>注：“-”表示可不开展土壤环境影响评价工作。</w:t>
            </w:r>
          </w:p>
        </w:tc>
      </w:tr>
    </w:tbl>
    <w:p w14:paraId="69344468">
      <w:pPr>
        <w:spacing w:line="360" w:lineRule="auto"/>
        <w:ind w:left="-105" w:right="-105" w:firstLine="480" w:firstLineChars="200"/>
        <w:rPr>
          <w:rFonts w:ascii="Times New Roman" w:hAnsi="Times New Roman"/>
          <w:color w:val="auto"/>
          <w:highlight w:val="none"/>
        </w:rPr>
      </w:pPr>
      <w:r>
        <w:rPr>
          <w:rFonts w:ascii="Times New Roman" w:hAnsi="Times New Roman"/>
          <w:color w:val="auto"/>
          <w:highlight w:val="none"/>
        </w:rPr>
        <w:t>综上，</w:t>
      </w:r>
      <w:r>
        <w:rPr>
          <w:rFonts w:ascii="Times New Roman" w:hAnsi="Times New Roman"/>
          <w:b/>
          <w:bCs/>
          <w:color w:val="auto"/>
          <w:highlight w:val="none"/>
        </w:rPr>
        <w:t>本项目土壤评价等级判定为二级评价</w:t>
      </w:r>
      <w:r>
        <w:rPr>
          <w:rFonts w:ascii="Times New Roman" w:hAnsi="Times New Roman"/>
          <w:color w:val="auto"/>
          <w:highlight w:val="none"/>
        </w:rPr>
        <w:t>。</w:t>
      </w:r>
    </w:p>
    <w:p w14:paraId="3D636749">
      <w:pPr>
        <w:pStyle w:val="6"/>
        <w:keepLines w:val="0"/>
        <w:widowControl/>
        <w:numPr>
          <w:ilvl w:val="0"/>
          <w:numId w:val="0"/>
        </w:numPr>
        <w:tabs>
          <w:tab w:val="left" w:pos="0"/>
          <w:tab w:val="left" w:pos="2550"/>
        </w:tabs>
        <w:spacing w:before="120" w:beforeLines="50" w:after="120" w:afterLines="50" w:line="360" w:lineRule="auto"/>
        <w:ind w:right="-105"/>
        <w:rPr>
          <w:rFonts w:ascii="Times New Roman" w:hAnsi="Times New Roman"/>
          <w:color w:val="auto"/>
          <w:sz w:val="24"/>
          <w:szCs w:val="24"/>
          <w:highlight w:val="none"/>
        </w:rPr>
      </w:pPr>
      <w:r>
        <w:rPr>
          <w:rFonts w:ascii="Times New Roman" w:hAnsi="Times New Roman"/>
          <w:color w:val="auto"/>
          <w:sz w:val="24"/>
          <w:szCs w:val="24"/>
          <w:highlight w:val="none"/>
        </w:rPr>
        <w:t>2.4.1.</w:t>
      </w:r>
      <w:r>
        <w:rPr>
          <w:rFonts w:hint="eastAsia" w:ascii="Times New Roman" w:hAnsi="Times New Roman"/>
          <w:color w:val="auto"/>
          <w:sz w:val="24"/>
          <w:szCs w:val="24"/>
          <w:highlight w:val="none"/>
        </w:rPr>
        <w:t>6</w:t>
      </w:r>
      <w:r>
        <w:rPr>
          <w:rFonts w:ascii="Times New Roman" w:hAnsi="Times New Roman"/>
          <w:color w:val="auto"/>
          <w:sz w:val="24"/>
          <w:szCs w:val="24"/>
          <w:highlight w:val="none"/>
        </w:rPr>
        <w:t>环境风险评价等级</w:t>
      </w:r>
    </w:p>
    <w:p w14:paraId="36D5C5A0">
      <w:pPr>
        <w:autoSpaceDE w:val="0"/>
        <w:autoSpaceDN w:val="0"/>
        <w:adjustRightInd w:val="0"/>
        <w:snapToGrid w:val="0"/>
        <w:spacing w:line="360" w:lineRule="auto"/>
        <w:ind w:left="-105" w:right="-105" w:firstLine="480" w:firstLineChars="200"/>
        <w:rPr>
          <w:rFonts w:ascii="Times New Roman" w:hAnsi="Times New Roman" w:cs="Times New Roman"/>
          <w:color w:val="auto"/>
          <w:highlight w:val="none"/>
        </w:rPr>
      </w:pPr>
      <w:r>
        <w:rPr>
          <w:rFonts w:ascii="Times New Roman" w:hAnsi="Times New Roman" w:cs="Times New Roman"/>
          <w:color w:val="auto"/>
          <w:highlight w:val="none"/>
        </w:rPr>
        <w:t>1、环境风险潜势划分</w:t>
      </w:r>
    </w:p>
    <w:p w14:paraId="13E5FCA1">
      <w:pPr>
        <w:autoSpaceDE w:val="0"/>
        <w:autoSpaceDN w:val="0"/>
        <w:adjustRightInd w:val="0"/>
        <w:snapToGrid w:val="0"/>
        <w:spacing w:line="360" w:lineRule="auto"/>
        <w:ind w:left="-105" w:right="-105" w:firstLine="480" w:firstLineChars="200"/>
        <w:rPr>
          <w:rFonts w:ascii="Times New Roman" w:hAnsi="Times New Roman" w:cs="Times New Roman"/>
          <w:color w:val="auto"/>
          <w:highlight w:val="none"/>
        </w:rPr>
      </w:pPr>
      <w:r>
        <w:rPr>
          <w:rFonts w:ascii="Times New Roman" w:hAnsi="Times New Roman" w:cs="Times New Roman"/>
          <w:color w:val="auto"/>
          <w:highlight w:val="none"/>
        </w:rPr>
        <w:t>建设项目环境风险潜势划分为Ⅰ、Ⅱ、Ⅲ、Ⅳ/Ⅳ</w:t>
      </w:r>
      <w:r>
        <w:rPr>
          <w:rFonts w:ascii="Times New Roman" w:hAnsi="Times New Roman" w:cs="Times New Roman"/>
          <w:color w:val="auto"/>
          <w:highlight w:val="none"/>
          <w:vertAlign w:val="superscript"/>
        </w:rPr>
        <w:t>+</w:t>
      </w:r>
      <w:r>
        <w:rPr>
          <w:rFonts w:ascii="Times New Roman" w:hAnsi="Times New Roman" w:cs="Times New Roman"/>
          <w:color w:val="auto"/>
          <w:highlight w:val="none"/>
        </w:rPr>
        <w:t>级。</w:t>
      </w:r>
    </w:p>
    <w:p w14:paraId="2BC29438">
      <w:pPr>
        <w:autoSpaceDE w:val="0"/>
        <w:autoSpaceDN w:val="0"/>
        <w:adjustRightInd w:val="0"/>
        <w:snapToGrid w:val="0"/>
        <w:spacing w:line="360" w:lineRule="auto"/>
        <w:ind w:left="-105" w:right="-105" w:firstLine="480" w:firstLineChars="200"/>
        <w:rPr>
          <w:rFonts w:ascii="Times New Roman" w:hAnsi="Times New Roman" w:cs="Times New Roman"/>
          <w:color w:val="auto"/>
          <w:highlight w:val="none"/>
        </w:rPr>
      </w:pPr>
      <w:r>
        <w:rPr>
          <w:rFonts w:ascii="Times New Roman" w:hAnsi="Times New Roman" w:cs="Times New Roman"/>
          <w:color w:val="auto"/>
          <w:highlight w:val="none"/>
        </w:rPr>
        <w:t>根据建设项目涉及的物质和工艺系统的危险性及其所在地的环境敏感程度，结合事故情形下环境影响途径，对建设项目潜在环境危害程度进行概化分析，按照下表确定环境风险潜势。</w:t>
      </w:r>
    </w:p>
    <w:p w14:paraId="7473F902">
      <w:pPr>
        <w:pStyle w:val="15"/>
        <w:ind w:left="-105" w:right="-105" w:firstLine="482"/>
        <w:rPr>
          <w:rFonts w:eastAsia="宋体"/>
          <w:b w:val="0"/>
          <w:color w:val="auto"/>
          <w:sz w:val="24"/>
          <w:szCs w:val="24"/>
          <w:highlight w:val="none"/>
        </w:rPr>
      </w:pPr>
      <w:r>
        <w:rPr>
          <w:rFonts w:eastAsia="宋体"/>
          <w:color w:val="auto"/>
          <w:sz w:val="24"/>
          <w:szCs w:val="24"/>
          <w:highlight w:val="none"/>
        </w:rPr>
        <w:t xml:space="preserve">表 </w:t>
      </w:r>
      <w:r>
        <w:rPr>
          <w:rFonts w:eastAsia="宋体"/>
          <w:color w:val="auto"/>
          <w:sz w:val="24"/>
          <w:szCs w:val="24"/>
          <w:highlight w:val="none"/>
        </w:rPr>
        <w:fldChar w:fldCharType="begin"/>
      </w:r>
      <w:r>
        <w:rPr>
          <w:rFonts w:eastAsia="宋体"/>
          <w:color w:val="auto"/>
          <w:sz w:val="24"/>
          <w:szCs w:val="24"/>
          <w:highlight w:val="none"/>
        </w:rPr>
        <w:instrText xml:space="preserve"> STYLEREF 2 \s </w:instrText>
      </w:r>
      <w:r>
        <w:rPr>
          <w:rFonts w:eastAsia="宋体"/>
          <w:color w:val="auto"/>
          <w:sz w:val="24"/>
          <w:szCs w:val="24"/>
          <w:highlight w:val="none"/>
        </w:rPr>
        <w:fldChar w:fldCharType="separate"/>
      </w:r>
      <w:r>
        <w:rPr>
          <w:rFonts w:eastAsia="宋体"/>
          <w:color w:val="auto"/>
          <w:sz w:val="24"/>
          <w:szCs w:val="24"/>
          <w:highlight w:val="none"/>
        </w:rPr>
        <w:t>2.4</w:t>
      </w:r>
      <w:r>
        <w:rPr>
          <w:rFonts w:eastAsia="宋体"/>
          <w:color w:val="auto"/>
          <w:sz w:val="24"/>
          <w:szCs w:val="24"/>
          <w:highlight w:val="none"/>
        </w:rPr>
        <w:fldChar w:fldCharType="end"/>
      </w:r>
      <w:r>
        <w:rPr>
          <w:rFonts w:eastAsia="宋体"/>
          <w:color w:val="auto"/>
          <w:sz w:val="24"/>
          <w:szCs w:val="24"/>
          <w:highlight w:val="none"/>
        </w:rPr>
        <w:noBreakHyphen/>
      </w:r>
      <w:r>
        <w:rPr>
          <w:rFonts w:eastAsia="宋体"/>
          <w:color w:val="auto"/>
          <w:sz w:val="24"/>
          <w:szCs w:val="24"/>
          <w:highlight w:val="none"/>
        </w:rPr>
        <w:fldChar w:fldCharType="begin"/>
      </w:r>
      <w:r>
        <w:rPr>
          <w:rFonts w:eastAsia="宋体"/>
          <w:color w:val="auto"/>
          <w:sz w:val="24"/>
          <w:szCs w:val="24"/>
          <w:highlight w:val="none"/>
        </w:rPr>
        <w:instrText xml:space="preserve"> SEQ 表 \* ARABIC \s 2 </w:instrText>
      </w:r>
      <w:r>
        <w:rPr>
          <w:rFonts w:eastAsia="宋体"/>
          <w:color w:val="auto"/>
          <w:sz w:val="24"/>
          <w:szCs w:val="24"/>
          <w:highlight w:val="none"/>
        </w:rPr>
        <w:fldChar w:fldCharType="separate"/>
      </w:r>
      <w:r>
        <w:rPr>
          <w:rFonts w:eastAsia="宋体"/>
          <w:color w:val="auto"/>
          <w:sz w:val="24"/>
          <w:szCs w:val="24"/>
          <w:highlight w:val="none"/>
        </w:rPr>
        <w:t>7</w:t>
      </w:r>
      <w:r>
        <w:rPr>
          <w:rFonts w:eastAsia="宋体"/>
          <w:color w:val="auto"/>
          <w:sz w:val="24"/>
          <w:szCs w:val="24"/>
          <w:highlight w:val="none"/>
        </w:rPr>
        <w:fldChar w:fldCharType="end"/>
      </w:r>
      <w:r>
        <w:rPr>
          <w:rFonts w:eastAsia="宋体"/>
          <w:color w:val="auto"/>
          <w:sz w:val="24"/>
          <w:szCs w:val="24"/>
          <w:highlight w:val="none"/>
        </w:rPr>
        <w:t>建设项目环境风险潜势划分</w:t>
      </w:r>
    </w:p>
    <w:tbl>
      <w:tblPr>
        <w:tblStyle w:val="45"/>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2268"/>
        <w:gridCol w:w="1559"/>
        <w:gridCol w:w="1559"/>
        <w:gridCol w:w="1559"/>
        <w:gridCol w:w="1559"/>
      </w:tblGrid>
      <w:tr w14:paraId="6AF4A90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2268" w:type="dxa"/>
            <w:vMerge w:val="restart"/>
            <w:vAlign w:val="center"/>
          </w:tcPr>
          <w:p w14:paraId="261110B7">
            <w:pPr>
              <w:autoSpaceDE w:val="0"/>
              <w:autoSpaceDN w:val="0"/>
              <w:adjustRightInd w:val="0"/>
              <w:snapToGrid w:val="0"/>
              <w:ind w:left="-105" w:right="-105"/>
              <w:jc w:val="center"/>
              <w:rPr>
                <w:rFonts w:ascii="Times New Roman" w:hAnsi="Times New Roman" w:cs="Times New Roman"/>
                <w:b/>
                <w:color w:val="auto"/>
                <w:sz w:val="21"/>
                <w:szCs w:val="21"/>
                <w:highlight w:val="none"/>
              </w:rPr>
            </w:pPr>
            <w:r>
              <w:rPr>
                <w:rFonts w:ascii="Times New Roman" w:hAnsi="Times New Roman" w:cs="Times New Roman"/>
                <w:b/>
                <w:color w:val="auto"/>
                <w:sz w:val="21"/>
                <w:szCs w:val="21"/>
                <w:highlight w:val="none"/>
              </w:rPr>
              <w:t>环境敏感程度（E）</w:t>
            </w:r>
          </w:p>
        </w:tc>
        <w:tc>
          <w:tcPr>
            <w:tcW w:w="6236" w:type="dxa"/>
            <w:gridSpan w:val="4"/>
            <w:vAlign w:val="center"/>
          </w:tcPr>
          <w:p w14:paraId="31B58808">
            <w:pPr>
              <w:autoSpaceDE w:val="0"/>
              <w:autoSpaceDN w:val="0"/>
              <w:adjustRightInd w:val="0"/>
              <w:snapToGrid w:val="0"/>
              <w:ind w:left="-105" w:right="-105"/>
              <w:jc w:val="center"/>
              <w:rPr>
                <w:rFonts w:ascii="Times New Roman" w:hAnsi="Times New Roman" w:cs="Times New Roman"/>
                <w:b/>
                <w:color w:val="auto"/>
                <w:sz w:val="21"/>
                <w:szCs w:val="21"/>
                <w:highlight w:val="none"/>
              </w:rPr>
            </w:pPr>
            <w:r>
              <w:rPr>
                <w:rFonts w:ascii="Times New Roman" w:hAnsi="Times New Roman" w:cs="Times New Roman"/>
                <w:b/>
                <w:color w:val="auto"/>
                <w:sz w:val="21"/>
                <w:szCs w:val="21"/>
                <w:highlight w:val="none"/>
              </w:rPr>
              <w:t>危险物质及工艺系统危险性（P）</w:t>
            </w:r>
          </w:p>
        </w:tc>
      </w:tr>
      <w:tr w14:paraId="1B23D13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2268" w:type="dxa"/>
            <w:vMerge w:val="continue"/>
            <w:vAlign w:val="center"/>
          </w:tcPr>
          <w:p w14:paraId="01533871">
            <w:pPr>
              <w:autoSpaceDE w:val="0"/>
              <w:autoSpaceDN w:val="0"/>
              <w:adjustRightInd w:val="0"/>
              <w:snapToGrid w:val="0"/>
              <w:ind w:left="-105" w:right="-105"/>
              <w:jc w:val="center"/>
              <w:rPr>
                <w:rFonts w:ascii="Times New Roman" w:hAnsi="Times New Roman" w:cs="Times New Roman"/>
                <w:b/>
                <w:color w:val="auto"/>
                <w:sz w:val="21"/>
                <w:szCs w:val="21"/>
                <w:highlight w:val="none"/>
              </w:rPr>
            </w:pPr>
          </w:p>
        </w:tc>
        <w:tc>
          <w:tcPr>
            <w:tcW w:w="1559" w:type="dxa"/>
            <w:vAlign w:val="center"/>
          </w:tcPr>
          <w:p w14:paraId="533D800E">
            <w:pPr>
              <w:adjustRightInd w:val="0"/>
              <w:snapToGrid w:val="0"/>
              <w:ind w:left="-105" w:right="-105"/>
              <w:jc w:val="center"/>
              <w:rPr>
                <w:rFonts w:ascii="Times New Roman" w:hAnsi="Times New Roman" w:cs="Times New Roman"/>
                <w:b/>
                <w:color w:val="auto"/>
                <w:sz w:val="21"/>
                <w:szCs w:val="21"/>
                <w:highlight w:val="none"/>
              </w:rPr>
            </w:pPr>
            <w:r>
              <w:rPr>
                <w:rFonts w:ascii="Times New Roman" w:hAnsi="Times New Roman" w:cs="Times New Roman"/>
                <w:b/>
                <w:color w:val="auto"/>
                <w:sz w:val="21"/>
                <w:szCs w:val="21"/>
                <w:highlight w:val="none"/>
              </w:rPr>
              <w:t>极高危害（</w:t>
            </w:r>
            <w:r>
              <w:rPr>
                <w:rStyle w:val="110"/>
                <w:rFonts w:ascii="Times New Roman" w:hAnsi="Times New Roman" w:cs="Times New Roman"/>
                <w:b/>
                <w:color w:val="auto"/>
                <w:sz w:val="21"/>
                <w:szCs w:val="21"/>
                <w:highlight w:val="none"/>
              </w:rPr>
              <w:t>P1</w:t>
            </w:r>
            <w:r>
              <w:rPr>
                <w:rStyle w:val="166"/>
                <w:b w:val="0"/>
                <w:color w:val="auto"/>
                <w:sz w:val="21"/>
                <w:szCs w:val="21"/>
                <w:highlight w:val="none"/>
              </w:rPr>
              <w:t>）</w:t>
            </w:r>
          </w:p>
        </w:tc>
        <w:tc>
          <w:tcPr>
            <w:tcW w:w="1559" w:type="dxa"/>
            <w:vAlign w:val="center"/>
          </w:tcPr>
          <w:p w14:paraId="38A34F1C">
            <w:pPr>
              <w:adjustRightInd w:val="0"/>
              <w:snapToGrid w:val="0"/>
              <w:ind w:left="-105" w:right="-105"/>
              <w:jc w:val="center"/>
              <w:rPr>
                <w:rFonts w:ascii="Times New Roman" w:hAnsi="Times New Roman" w:cs="Times New Roman"/>
                <w:b/>
                <w:color w:val="auto"/>
                <w:sz w:val="21"/>
                <w:szCs w:val="21"/>
                <w:highlight w:val="none"/>
              </w:rPr>
            </w:pPr>
            <w:r>
              <w:rPr>
                <w:rFonts w:ascii="Times New Roman" w:hAnsi="Times New Roman" w:cs="Times New Roman"/>
                <w:b/>
                <w:color w:val="auto"/>
                <w:sz w:val="21"/>
                <w:szCs w:val="21"/>
                <w:highlight w:val="none"/>
              </w:rPr>
              <w:t>高度危害（</w:t>
            </w:r>
            <w:r>
              <w:rPr>
                <w:rStyle w:val="110"/>
                <w:rFonts w:ascii="Times New Roman" w:hAnsi="Times New Roman" w:cs="Times New Roman"/>
                <w:b/>
                <w:color w:val="auto"/>
                <w:sz w:val="21"/>
                <w:szCs w:val="21"/>
                <w:highlight w:val="none"/>
              </w:rPr>
              <w:t>P2</w:t>
            </w:r>
            <w:r>
              <w:rPr>
                <w:rStyle w:val="166"/>
                <w:b w:val="0"/>
                <w:color w:val="auto"/>
                <w:sz w:val="21"/>
                <w:szCs w:val="21"/>
                <w:highlight w:val="none"/>
              </w:rPr>
              <w:t>）</w:t>
            </w:r>
          </w:p>
        </w:tc>
        <w:tc>
          <w:tcPr>
            <w:tcW w:w="1559" w:type="dxa"/>
            <w:vAlign w:val="center"/>
          </w:tcPr>
          <w:p w14:paraId="01A3512D">
            <w:pPr>
              <w:adjustRightInd w:val="0"/>
              <w:snapToGrid w:val="0"/>
              <w:ind w:left="-105" w:right="-105"/>
              <w:jc w:val="center"/>
              <w:rPr>
                <w:rFonts w:ascii="Times New Roman" w:hAnsi="Times New Roman" w:cs="Times New Roman"/>
                <w:b/>
                <w:color w:val="auto"/>
                <w:sz w:val="21"/>
                <w:szCs w:val="21"/>
                <w:highlight w:val="none"/>
              </w:rPr>
            </w:pPr>
            <w:r>
              <w:rPr>
                <w:rFonts w:ascii="Times New Roman" w:hAnsi="Times New Roman" w:cs="Times New Roman"/>
                <w:b/>
                <w:color w:val="auto"/>
                <w:sz w:val="21"/>
                <w:szCs w:val="21"/>
                <w:highlight w:val="none"/>
              </w:rPr>
              <w:t>中度危害（</w:t>
            </w:r>
            <w:r>
              <w:rPr>
                <w:rStyle w:val="110"/>
                <w:rFonts w:ascii="Times New Roman" w:hAnsi="Times New Roman" w:cs="Times New Roman"/>
                <w:b/>
                <w:color w:val="auto"/>
                <w:sz w:val="21"/>
                <w:szCs w:val="21"/>
                <w:highlight w:val="none"/>
              </w:rPr>
              <w:t>P3</w:t>
            </w:r>
            <w:r>
              <w:rPr>
                <w:rStyle w:val="166"/>
                <w:b w:val="0"/>
                <w:color w:val="auto"/>
                <w:sz w:val="21"/>
                <w:szCs w:val="21"/>
                <w:highlight w:val="none"/>
              </w:rPr>
              <w:t>）</w:t>
            </w:r>
          </w:p>
        </w:tc>
        <w:tc>
          <w:tcPr>
            <w:tcW w:w="1559" w:type="dxa"/>
            <w:vAlign w:val="center"/>
          </w:tcPr>
          <w:p w14:paraId="0CB69718">
            <w:pPr>
              <w:adjustRightInd w:val="0"/>
              <w:snapToGrid w:val="0"/>
              <w:ind w:left="-105" w:right="-105"/>
              <w:jc w:val="center"/>
              <w:rPr>
                <w:rFonts w:ascii="Times New Roman" w:hAnsi="Times New Roman" w:cs="Times New Roman"/>
                <w:b/>
                <w:color w:val="auto"/>
                <w:sz w:val="21"/>
                <w:szCs w:val="21"/>
                <w:highlight w:val="none"/>
              </w:rPr>
            </w:pPr>
            <w:r>
              <w:rPr>
                <w:rFonts w:ascii="Times New Roman" w:hAnsi="Times New Roman" w:cs="Times New Roman"/>
                <w:b/>
                <w:color w:val="auto"/>
                <w:sz w:val="21"/>
                <w:szCs w:val="21"/>
                <w:highlight w:val="none"/>
              </w:rPr>
              <w:t>轻度危害（</w:t>
            </w:r>
            <w:r>
              <w:rPr>
                <w:rStyle w:val="110"/>
                <w:rFonts w:ascii="Times New Roman" w:hAnsi="Times New Roman" w:cs="Times New Roman"/>
                <w:b/>
                <w:color w:val="auto"/>
                <w:sz w:val="21"/>
                <w:szCs w:val="21"/>
                <w:highlight w:val="none"/>
              </w:rPr>
              <w:t>P4</w:t>
            </w:r>
            <w:r>
              <w:rPr>
                <w:rStyle w:val="166"/>
                <w:b w:val="0"/>
                <w:color w:val="auto"/>
                <w:sz w:val="21"/>
                <w:szCs w:val="21"/>
                <w:highlight w:val="none"/>
              </w:rPr>
              <w:t>）</w:t>
            </w:r>
          </w:p>
        </w:tc>
      </w:tr>
      <w:tr w14:paraId="2D2AC87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2268" w:type="dxa"/>
            <w:vAlign w:val="center"/>
          </w:tcPr>
          <w:p w14:paraId="6C397C27">
            <w:pPr>
              <w:adjustRightInd w:val="0"/>
              <w:snapToGrid w:val="0"/>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环境高度敏感区（</w:t>
            </w:r>
            <w:r>
              <w:rPr>
                <w:rStyle w:val="166"/>
                <w:b w:val="0"/>
                <w:color w:val="auto"/>
                <w:sz w:val="21"/>
                <w:szCs w:val="21"/>
                <w:highlight w:val="none"/>
              </w:rPr>
              <w:t>E1</w:t>
            </w:r>
            <w:r>
              <w:rPr>
                <w:rStyle w:val="133"/>
                <w:rFonts w:hint="default" w:ascii="Times New Roman" w:hAnsi="Times New Roman" w:eastAsia="宋体" w:cs="Times New Roman"/>
                <w:color w:val="auto"/>
                <w:sz w:val="21"/>
                <w:szCs w:val="21"/>
                <w:highlight w:val="none"/>
              </w:rPr>
              <w:t>）</w:t>
            </w:r>
          </w:p>
        </w:tc>
        <w:tc>
          <w:tcPr>
            <w:tcW w:w="1559" w:type="dxa"/>
            <w:vAlign w:val="center"/>
          </w:tcPr>
          <w:p w14:paraId="3A907DED">
            <w:pPr>
              <w:adjustRightInd w:val="0"/>
              <w:snapToGrid w:val="0"/>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Ⅳ</w:t>
            </w:r>
            <w:r>
              <w:rPr>
                <w:rStyle w:val="110"/>
                <w:rFonts w:ascii="Times New Roman" w:hAnsi="Times New Roman" w:cs="Times New Roman"/>
                <w:color w:val="auto"/>
                <w:sz w:val="21"/>
                <w:szCs w:val="21"/>
                <w:highlight w:val="none"/>
                <w:vertAlign w:val="superscript"/>
              </w:rPr>
              <w:t>+</w:t>
            </w:r>
          </w:p>
        </w:tc>
        <w:tc>
          <w:tcPr>
            <w:tcW w:w="1559" w:type="dxa"/>
            <w:vAlign w:val="center"/>
          </w:tcPr>
          <w:p w14:paraId="67161504">
            <w:pPr>
              <w:adjustRightInd w:val="0"/>
              <w:snapToGrid w:val="0"/>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Ⅳ</w:t>
            </w:r>
          </w:p>
        </w:tc>
        <w:tc>
          <w:tcPr>
            <w:tcW w:w="1559" w:type="dxa"/>
            <w:vAlign w:val="center"/>
          </w:tcPr>
          <w:p w14:paraId="12A9218A">
            <w:pPr>
              <w:adjustRightInd w:val="0"/>
              <w:snapToGrid w:val="0"/>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Ⅲ</w:t>
            </w:r>
          </w:p>
        </w:tc>
        <w:tc>
          <w:tcPr>
            <w:tcW w:w="1559" w:type="dxa"/>
            <w:vAlign w:val="center"/>
          </w:tcPr>
          <w:p w14:paraId="1A955F8F">
            <w:pPr>
              <w:adjustRightInd w:val="0"/>
              <w:snapToGrid w:val="0"/>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Ⅲ</w:t>
            </w:r>
          </w:p>
        </w:tc>
      </w:tr>
      <w:tr w14:paraId="363DFA8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2268" w:type="dxa"/>
            <w:vAlign w:val="center"/>
          </w:tcPr>
          <w:p w14:paraId="3B747F2A">
            <w:pPr>
              <w:adjustRightInd w:val="0"/>
              <w:snapToGrid w:val="0"/>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环境中度敏感区（</w:t>
            </w:r>
            <w:r>
              <w:rPr>
                <w:rStyle w:val="166"/>
                <w:b w:val="0"/>
                <w:color w:val="auto"/>
                <w:sz w:val="21"/>
                <w:szCs w:val="21"/>
                <w:highlight w:val="none"/>
              </w:rPr>
              <w:t>E2</w:t>
            </w:r>
            <w:r>
              <w:rPr>
                <w:rStyle w:val="133"/>
                <w:rFonts w:hint="default" w:ascii="Times New Roman" w:hAnsi="Times New Roman" w:eastAsia="宋体" w:cs="Times New Roman"/>
                <w:color w:val="auto"/>
                <w:sz w:val="21"/>
                <w:szCs w:val="21"/>
                <w:highlight w:val="none"/>
              </w:rPr>
              <w:t>）</w:t>
            </w:r>
          </w:p>
        </w:tc>
        <w:tc>
          <w:tcPr>
            <w:tcW w:w="1559" w:type="dxa"/>
            <w:vAlign w:val="center"/>
          </w:tcPr>
          <w:p w14:paraId="31F987E9">
            <w:pPr>
              <w:adjustRightInd w:val="0"/>
              <w:snapToGrid w:val="0"/>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Ⅳ</w:t>
            </w:r>
          </w:p>
        </w:tc>
        <w:tc>
          <w:tcPr>
            <w:tcW w:w="1559" w:type="dxa"/>
            <w:vAlign w:val="center"/>
          </w:tcPr>
          <w:p w14:paraId="6475AE68">
            <w:pPr>
              <w:adjustRightInd w:val="0"/>
              <w:snapToGrid w:val="0"/>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Ⅲ</w:t>
            </w:r>
          </w:p>
        </w:tc>
        <w:tc>
          <w:tcPr>
            <w:tcW w:w="1559" w:type="dxa"/>
            <w:vAlign w:val="center"/>
          </w:tcPr>
          <w:p w14:paraId="7549A288">
            <w:pPr>
              <w:adjustRightInd w:val="0"/>
              <w:snapToGrid w:val="0"/>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Ⅲ</w:t>
            </w:r>
          </w:p>
        </w:tc>
        <w:tc>
          <w:tcPr>
            <w:tcW w:w="1559" w:type="dxa"/>
            <w:vAlign w:val="center"/>
          </w:tcPr>
          <w:p w14:paraId="2AF3676B">
            <w:pPr>
              <w:adjustRightInd w:val="0"/>
              <w:snapToGrid w:val="0"/>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Ⅱ</w:t>
            </w:r>
          </w:p>
        </w:tc>
      </w:tr>
      <w:tr w14:paraId="5E175FD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2268" w:type="dxa"/>
            <w:vAlign w:val="center"/>
          </w:tcPr>
          <w:p w14:paraId="0D4F6E41">
            <w:pPr>
              <w:adjustRightInd w:val="0"/>
              <w:snapToGrid w:val="0"/>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环境低度敏感区（</w:t>
            </w:r>
            <w:r>
              <w:rPr>
                <w:rStyle w:val="166"/>
                <w:b w:val="0"/>
                <w:color w:val="auto"/>
                <w:sz w:val="21"/>
                <w:szCs w:val="21"/>
                <w:highlight w:val="none"/>
              </w:rPr>
              <w:t>E3</w:t>
            </w:r>
            <w:r>
              <w:rPr>
                <w:rStyle w:val="133"/>
                <w:rFonts w:hint="default" w:ascii="Times New Roman" w:hAnsi="Times New Roman" w:eastAsia="宋体" w:cs="Times New Roman"/>
                <w:color w:val="auto"/>
                <w:sz w:val="21"/>
                <w:szCs w:val="21"/>
                <w:highlight w:val="none"/>
              </w:rPr>
              <w:t>）</w:t>
            </w:r>
          </w:p>
        </w:tc>
        <w:tc>
          <w:tcPr>
            <w:tcW w:w="1559" w:type="dxa"/>
            <w:vAlign w:val="center"/>
          </w:tcPr>
          <w:p w14:paraId="1550F410">
            <w:pPr>
              <w:adjustRightInd w:val="0"/>
              <w:snapToGrid w:val="0"/>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Ⅲ</w:t>
            </w:r>
          </w:p>
        </w:tc>
        <w:tc>
          <w:tcPr>
            <w:tcW w:w="1559" w:type="dxa"/>
            <w:vAlign w:val="center"/>
          </w:tcPr>
          <w:p w14:paraId="797FC359">
            <w:pPr>
              <w:adjustRightInd w:val="0"/>
              <w:snapToGrid w:val="0"/>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Ⅲ</w:t>
            </w:r>
          </w:p>
        </w:tc>
        <w:tc>
          <w:tcPr>
            <w:tcW w:w="1559" w:type="dxa"/>
            <w:vAlign w:val="center"/>
          </w:tcPr>
          <w:p w14:paraId="0967114E">
            <w:pPr>
              <w:adjustRightInd w:val="0"/>
              <w:snapToGrid w:val="0"/>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Ⅱ</w:t>
            </w:r>
          </w:p>
        </w:tc>
        <w:tc>
          <w:tcPr>
            <w:tcW w:w="1559" w:type="dxa"/>
            <w:vAlign w:val="center"/>
          </w:tcPr>
          <w:p w14:paraId="70AAC9BE">
            <w:pPr>
              <w:adjustRightInd w:val="0"/>
              <w:snapToGrid w:val="0"/>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Ⅰ</w:t>
            </w:r>
          </w:p>
        </w:tc>
      </w:tr>
      <w:tr w14:paraId="46925F3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8504" w:type="dxa"/>
            <w:gridSpan w:val="5"/>
            <w:vAlign w:val="center"/>
          </w:tcPr>
          <w:p w14:paraId="3E372198">
            <w:pPr>
              <w:autoSpaceDE w:val="0"/>
              <w:autoSpaceDN w:val="0"/>
              <w:adjustRightInd w:val="0"/>
              <w:snapToGrid w:val="0"/>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注：Ⅳ</w:t>
            </w:r>
            <w:r>
              <w:rPr>
                <w:rFonts w:ascii="Times New Roman" w:hAnsi="Times New Roman" w:cs="Times New Roman"/>
                <w:color w:val="auto"/>
                <w:sz w:val="21"/>
                <w:szCs w:val="21"/>
                <w:highlight w:val="none"/>
                <w:vertAlign w:val="superscript"/>
              </w:rPr>
              <w:t>+</w:t>
            </w:r>
            <w:r>
              <w:rPr>
                <w:rFonts w:ascii="Times New Roman" w:hAnsi="Times New Roman" w:cs="Times New Roman"/>
                <w:color w:val="auto"/>
                <w:sz w:val="21"/>
                <w:szCs w:val="21"/>
                <w:highlight w:val="none"/>
              </w:rPr>
              <w:t>为极高环境风险</w:t>
            </w:r>
          </w:p>
        </w:tc>
      </w:tr>
    </w:tbl>
    <w:p w14:paraId="0F3724E0">
      <w:pPr>
        <w:adjustRightInd w:val="0"/>
        <w:snapToGrid w:val="0"/>
        <w:spacing w:line="360" w:lineRule="auto"/>
        <w:ind w:left="-105" w:right="-105" w:firstLine="480" w:firstLineChars="200"/>
        <w:rPr>
          <w:rFonts w:ascii="Times New Roman" w:hAnsi="Times New Roman" w:cs="Times New Roman"/>
          <w:color w:val="auto"/>
          <w:kern w:val="24"/>
          <w:highlight w:val="none"/>
        </w:rPr>
      </w:pPr>
      <w:r>
        <w:rPr>
          <w:rFonts w:ascii="Times New Roman" w:hAnsi="Times New Roman" w:cs="Times New Roman"/>
          <w:color w:val="auto"/>
          <w:kern w:val="24"/>
          <w:highlight w:val="none"/>
        </w:rPr>
        <w:t>2、P的分级确定</w:t>
      </w:r>
    </w:p>
    <w:p w14:paraId="1E705855">
      <w:pPr>
        <w:adjustRightInd w:val="0"/>
        <w:snapToGrid w:val="0"/>
        <w:spacing w:line="360" w:lineRule="auto"/>
        <w:ind w:left="-105" w:right="-105" w:firstLine="480"/>
        <w:rPr>
          <w:rFonts w:ascii="Times New Roman" w:hAnsi="Times New Roman" w:cs="Times New Roman"/>
          <w:color w:val="auto"/>
          <w:highlight w:val="none"/>
        </w:rPr>
      </w:pPr>
      <w:r>
        <w:rPr>
          <w:rFonts w:ascii="Times New Roman" w:hAnsi="Times New Roman" w:cs="Times New Roman"/>
          <w:color w:val="auto"/>
          <w:highlight w:val="none"/>
        </w:rPr>
        <w:t>分析建设项目生产、使用、储存过程中涉及的有毒有害、易燃易爆物质，参见附录B确定危险物质的临界量。定量分析危险物质数量与临界量的比值（Q）和所属行业及生产工艺特点（M），按附录C对危险物质及工艺系统危险性（P）等级进行判断。</w:t>
      </w:r>
    </w:p>
    <w:p w14:paraId="770C4E4B">
      <w:pPr>
        <w:adjustRightInd w:val="0"/>
        <w:snapToGrid w:val="0"/>
        <w:spacing w:line="360" w:lineRule="auto"/>
        <w:ind w:left="-105" w:right="-105" w:firstLine="480"/>
        <w:rPr>
          <w:rFonts w:ascii="Times New Roman" w:hAnsi="Times New Roman" w:cs="Times New Roman"/>
          <w:color w:val="auto"/>
          <w:highlight w:val="none"/>
        </w:rPr>
      </w:pPr>
      <w:r>
        <w:rPr>
          <w:rFonts w:ascii="Times New Roman" w:hAnsi="Times New Roman" w:cs="Times New Roman"/>
          <w:color w:val="auto"/>
          <w:highlight w:val="none"/>
        </w:rPr>
        <w:t>（1）危险物质数量与临界量的比值（Q）</w:t>
      </w:r>
    </w:p>
    <w:p w14:paraId="16F369D3">
      <w:pPr>
        <w:adjustRightInd w:val="0"/>
        <w:snapToGrid w:val="0"/>
        <w:spacing w:line="360" w:lineRule="auto"/>
        <w:ind w:left="-105" w:right="-105" w:firstLine="480"/>
        <w:rPr>
          <w:rFonts w:ascii="Times New Roman" w:hAnsi="Times New Roman" w:cs="Times New Roman"/>
          <w:color w:val="auto"/>
          <w:highlight w:val="none"/>
        </w:rPr>
      </w:pPr>
      <w:r>
        <w:rPr>
          <w:rFonts w:ascii="Times New Roman" w:hAnsi="Times New Roman" w:cs="Times New Roman"/>
          <w:color w:val="auto"/>
          <w:highlight w:val="none"/>
        </w:rPr>
        <w:t>计算所涉及的每种危险物质在厂界内的最大存在总量与其在附录B 中对应临界量的比值Q。在不同厂区的同一种物质，按其在厂界内的最大存在总量计算。对于长输管线项目，按照两个截断阀室之间管段危险物质最大存在总量计算。</w:t>
      </w:r>
    </w:p>
    <w:p w14:paraId="4C0CB341">
      <w:pPr>
        <w:adjustRightInd w:val="0"/>
        <w:snapToGrid w:val="0"/>
        <w:spacing w:line="360" w:lineRule="auto"/>
        <w:ind w:left="-105" w:right="-105" w:firstLine="480"/>
        <w:rPr>
          <w:rFonts w:ascii="Times New Roman" w:hAnsi="Times New Roman" w:cs="Times New Roman"/>
          <w:color w:val="auto"/>
          <w:highlight w:val="none"/>
        </w:rPr>
      </w:pPr>
      <w:r>
        <w:rPr>
          <w:rFonts w:ascii="Times New Roman" w:hAnsi="Times New Roman" w:cs="Times New Roman"/>
          <w:color w:val="auto"/>
          <w:highlight w:val="none"/>
        </w:rPr>
        <w:t>当只涉及一种危险物质时，计算该物质的总量与其临界量比值，即为Q；</w:t>
      </w:r>
    </w:p>
    <w:p w14:paraId="68F5C309">
      <w:pPr>
        <w:adjustRightInd w:val="0"/>
        <w:snapToGrid w:val="0"/>
        <w:spacing w:line="360" w:lineRule="auto"/>
        <w:ind w:left="-105" w:right="-105" w:firstLine="480"/>
        <w:rPr>
          <w:rFonts w:ascii="Times New Roman" w:hAnsi="Times New Roman" w:cs="Times New Roman"/>
          <w:color w:val="auto"/>
          <w:highlight w:val="none"/>
        </w:rPr>
      </w:pPr>
      <w:r>
        <w:rPr>
          <w:rFonts w:ascii="Times New Roman" w:hAnsi="Times New Roman" w:cs="Times New Roman"/>
          <w:color w:val="auto"/>
          <w:highlight w:val="none"/>
        </w:rPr>
        <w:t>当存在多种危险物质时，则按式（C.1）计算物质总量与其临界量比值（Q）：</w:t>
      </w:r>
    </w:p>
    <w:p w14:paraId="432B85FE">
      <w:pPr>
        <w:adjustRightInd w:val="0"/>
        <w:snapToGrid w:val="0"/>
        <w:spacing w:line="360" w:lineRule="auto"/>
        <w:ind w:left="-105" w:right="-105" w:firstLine="480"/>
        <w:rPr>
          <w:rFonts w:ascii="Times New Roman" w:hAnsi="Times New Roman" w:cs="Times New Roman"/>
          <w:color w:val="auto"/>
          <w:highlight w:val="none"/>
        </w:rPr>
      </w:pPr>
      <w:r>
        <w:rPr>
          <w:rFonts w:ascii="Times New Roman" w:hAnsi="Times New Roman" w:cs="Times New Roman"/>
          <w:color w:val="auto"/>
          <w:highlight w:val="none"/>
        </w:rPr>
        <w:drawing>
          <wp:inline distT="0" distB="0" distL="0" distR="0">
            <wp:extent cx="1534795" cy="429895"/>
            <wp:effectExtent l="0" t="0" r="8255" b="8255"/>
            <wp:docPr id="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3"/>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a:xfrm>
                      <a:off x="0" y="0"/>
                      <a:ext cx="1534795" cy="429895"/>
                    </a:xfrm>
                    <a:prstGeom prst="rect">
                      <a:avLst/>
                    </a:prstGeom>
                    <a:noFill/>
                    <a:ln>
                      <a:noFill/>
                    </a:ln>
                  </pic:spPr>
                </pic:pic>
              </a:graphicData>
            </a:graphic>
          </wp:inline>
        </w:drawing>
      </w:r>
    </w:p>
    <w:p w14:paraId="7903BFC7">
      <w:pPr>
        <w:adjustRightInd w:val="0"/>
        <w:snapToGrid w:val="0"/>
        <w:spacing w:line="360" w:lineRule="auto"/>
        <w:ind w:left="-105" w:right="-105" w:firstLine="480"/>
        <w:rPr>
          <w:rFonts w:ascii="Times New Roman" w:hAnsi="Times New Roman" w:cs="Times New Roman"/>
          <w:color w:val="auto"/>
          <w:highlight w:val="none"/>
        </w:rPr>
      </w:pPr>
      <w:r>
        <w:rPr>
          <w:rFonts w:ascii="Times New Roman" w:hAnsi="Times New Roman" w:cs="Times New Roman"/>
          <w:color w:val="auto"/>
          <w:highlight w:val="none"/>
        </w:rPr>
        <w:t>式中：q1，q2，...，qn——每种危险物质的最大存在总量，t；</w:t>
      </w:r>
    </w:p>
    <w:p w14:paraId="622E86DD">
      <w:pPr>
        <w:adjustRightInd w:val="0"/>
        <w:snapToGrid w:val="0"/>
        <w:spacing w:line="360" w:lineRule="auto"/>
        <w:ind w:left="-105" w:right="-105" w:firstLine="480"/>
        <w:rPr>
          <w:rFonts w:ascii="Times New Roman" w:hAnsi="Times New Roman" w:cs="Times New Roman"/>
          <w:color w:val="auto"/>
          <w:highlight w:val="none"/>
        </w:rPr>
      </w:pPr>
      <w:r>
        <w:rPr>
          <w:rFonts w:ascii="Times New Roman" w:hAnsi="Times New Roman" w:cs="Times New Roman"/>
          <w:color w:val="auto"/>
          <w:highlight w:val="none"/>
        </w:rPr>
        <w:t>Q1， Q2，...，Qn——每种危险物质的临界量，t。</w:t>
      </w:r>
    </w:p>
    <w:p w14:paraId="2E43DB4C">
      <w:pPr>
        <w:adjustRightInd w:val="0"/>
        <w:snapToGrid w:val="0"/>
        <w:spacing w:line="360" w:lineRule="auto"/>
        <w:ind w:left="-105" w:right="-105" w:firstLine="480"/>
        <w:rPr>
          <w:rFonts w:ascii="Times New Roman" w:hAnsi="Times New Roman" w:cs="Times New Roman"/>
          <w:color w:val="auto"/>
          <w:highlight w:val="none"/>
        </w:rPr>
      </w:pPr>
      <w:r>
        <w:rPr>
          <w:rFonts w:ascii="Times New Roman" w:hAnsi="Times New Roman" w:cs="Times New Roman"/>
          <w:color w:val="auto"/>
          <w:highlight w:val="none"/>
        </w:rPr>
        <w:t>当Q＜1时，该项目环境风险潜势为Ⅰ。</w:t>
      </w:r>
    </w:p>
    <w:p w14:paraId="78A150C1">
      <w:pPr>
        <w:adjustRightInd w:val="0"/>
        <w:snapToGrid w:val="0"/>
        <w:spacing w:line="360" w:lineRule="auto"/>
        <w:ind w:left="-105" w:right="-105" w:firstLine="480"/>
        <w:rPr>
          <w:rFonts w:ascii="Times New Roman" w:hAnsi="Times New Roman" w:cs="Times New Roman"/>
          <w:color w:val="auto"/>
          <w:highlight w:val="none"/>
        </w:rPr>
      </w:pPr>
      <w:r>
        <w:rPr>
          <w:rFonts w:ascii="Times New Roman" w:hAnsi="Times New Roman" w:cs="Times New Roman"/>
          <w:color w:val="auto"/>
          <w:highlight w:val="none"/>
        </w:rPr>
        <w:t>当Q≥1时，将Q值划分为：（1）1≤Q＜10；（2）10≤Q＜100；（3）Q≥100。</w:t>
      </w:r>
    </w:p>
    <w:p w14:paraId="0713205C">
      <w:pPr>
        <w:pStyle w:val="15"/>
        <w:ind w:left="-105" w:right="-105" w:firstLine="482"/>
        <w:rPr>
          <w:rFonts w:eastAsia="宋体"/>
          <w:bCs/>
          <w:color w:val="auto"/>
          <w:sz w:val="24"/>
          <w:szCs w:val="24"/>
          <w:highlight w:val="none"/>
        </w:rPr>
      </w:pPr>
      <w:r>
        <w:rPr>
          <w:rFonts w:eastAsia="宋体"/>
          <w:color w:val="auto"/>
          <w:sz w:val="24"/>
          <w:szCs w:val="18"/>
          <w:highlight w:val="none"/>
        </w:rPr>
        <w:t xml:space="preserve">表 </w:t>
      </w:r>
      <w:r>
        <w:rPr>
          <w:rFonts w:eastAsia="宋体"/>
          <w:color w:val="auto"/>
          <w:sz w:val="24"/>
          <w:szCs w:val="18"/>
          <w:highlight w:val="none"/>
        </w:rPr>
        <w:fldChar w:fldCharType="begin"/>
      </w:r>
      <w:r>
        <w:rPr>
          <w:rFonts w:eastAsia="宋体"/>
          <w:color w:val="auto"/>
          <w:sz w:val="24"/>
          <w:szCs w:val="18"/>
          <w:highlight w:val="none"/>
        </w:rPr>
        <w:instrText xml:space="preserve"> STYLEREF 2 \s </w:instrText>
      </w:r>
      <w:r>
        <w:rPr>
          <w:rFonts w:eastAsia="宋体"/>
          <w:color w:val="auto"/>
          <w:sz w:val="24"/>
          <w:szCs w:val="18"/>
          <w:highlight w:val="none"/>
        </w:rPr>
        <w:fldChar w:fldCharType="separate"/>
      </w:r>
      <w:r>
        <w:rPr>
          <w:rFonts w:eastAsia="宋体"/>
          <w:color w:val="auto"/>
          <w:sz w:val="24"/>
          <w:szCs w:val="18"/>
          <w:highlight w:val="none"/>
        </w:rPr>
        <w:t>2.4</w:t>
      </w:r>
      <w:r>
        <w:rPr>
          <w:rFonts w:eastAsia="宋体"/>
          <w:color w:val="auto"/>
          <w:sz w:val="24"/>
          <w:szCs w:val="18"/>
          <w:highlight w:val="none"/>
        </w:rPr>
        <w:fldChar w:fldCharType="end"/>
      </w:r>
      <w:r>
        <w:rPr>
          <w:rFonts w:eastAsia="宋体"/>
          <w:color w:val="auto"/>
          <w:sz w:val="24"/>
          <w:szCs w:val="18"/>
          <w:highlight w:val="none"/>
        </w:rPr>
        <w:noBreakHyphen/>
      </w:r>
      <w:r>
        <w:rPr>
          <w:rFonts w:eastAsia="宋体"/>
          <w:color w:val="auto"/>
          <w:sz w:val="24"/>
          <w:szCs w:val="18"/>
          <w:highlight w:val="none"/>
        </w:rPr>
        <w:fldChar w:fldCharType="begin"/>
      </w:r>
      <w:r>
        <w:rPr>
          <w:rFonts w:eastAsia="宋体"/>
          <w:color w:val="auto"/>
          <w:sz w:val="24"/>
          <w:szCs w:val="18"/>
          <w:highlight w:val="none"/>
        </w:rPr>
        <w:instrText xml:space="preserve"> SEQ 表 \* ARABIC \s 2 </w:instrText>
      </w:r>
      <w:r>
        <w:rPr>
          <w:rFonts w:eastAsia="宋体"/>
          <w:color w:val="auto"/>
          <w:sz w:val="24"/>
          <w:szCs w:val="18"/>
          <w:highlight w:val="none"/>
        </w:rPr>
        <w:fldChar w:fldCharType="separate"/>
      </w:r>
      <w:r>
        <w:rPr>
          <w:rFonts w:eastAsia="宋体"/>
          <w:color w:val="auto"/>
          <w:sz w:val="24"/>
          <w:szCs w:val="18"/>
          <w:highlight w:val="none"/>
        </w:rPr>
        <w:t>8</w:t>
      </w:r>
      <w:r>
        <w:rPr>
          <w:rFonts w:eastAsia="宋体"/>
          <w:color w:val="auto"/>
          <w:sz w:val="24"/>
          <w:szCs w:val="18"/>
          <w:highlight w:val="none"/>
        </w:rPr>
        <w:fldChar w:fldCharType="end"/>
      </w:r>
      <w:r>
        <w:rPr>
          <w:rFonts w:eastAsia="宋体"/>
          <w:bCs/>
          <w:color w:val="auto"/>
          <w:sz w:val="24"/>
          <w:szCs w:val="24"/>
          <w:highlight w:val="none"/>
        </w:rPr>
        <w:t>危险物质数量与临界量的比值表</w:t>
      </w:r>
    </w:p>
    <w:tbl>
      <w:tblPr>
        <w:tblStyle w:val="99"/>
        <w:tblW w:w="5000" w:type="pct"/>
        <w:tblInd w:w="0" w:type="dxa"/>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0" w:type="dxa"/>
          <w:bottom w:w="0" w:type="dxa"/>
          <w:right w:w="0" w:type="dxa"/>
        </w:tblCellMar>
      </w:tblPr>
      <w:tblGrid>
        <w:gridCol w:w="691"/>
        <w:gridCol w:w="734"/>
        <w:gridCol w:w="1948"/>
        <w:gridCol w:w="966"/>
        <w:gridCol w:w="1198"/>
        <w:gridCol w:w="1588"/>
        <w:gridCol w:w="1379"/>
      </w:tblGrid>
      <w:tr w14:paraId="7DB5FE39">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691" w:type="dxa"/>
            <w:tcBorders>
              <w:tl2br w:val="nil"/>
              <w:tr2bl w:val="nil"/>
            </w:tcBorders>
            <w:vAlign w:val="center"/>
          </w:tcPr>
          <w:p w14:paraId="4BECFA1F">
            <w:pPr>
              <w:pStyle w:val="236"/>
              <w:keepNext w:val="0"/>
              <w:keepLines w:val="0"/>
              <w:pageBreakBefore w:val="0"/>
              <w:widowControl/>
              <w:kinsoku/>
              <w:wordWrap/>
              <w:overflowPunct/>
              <w:topLinePunct w:val="0"/>
              <w:autoSpaceDE/>
              <w:autoSpaceDN/>
              <w:bidi w:val="0"/>
              <w:ind w:left="0" w:right="0"/>
              <w:jc w:val="center"/>
              <w:rPr>
                <w:rFonts w:ascii="Times New Roman" w:hAnsi="Times New Roman" w:eastAsia="宋体" w:cs="Times New Roman"/>
                <w:color w:val="auto"/>
                <w:sz w:val="21"/>
                <w:szCs w:val="21"/>
                <w:highlight w:val="none"/>
              </w:rPr>
            </w:pPr>
            <w:r>
              <w:rPr>
                <w:rFonts w:ascii="Times New Roman" w:hAnsi="Times New Roman" w:eastAsia="宋体" w:cs="Times New Roman"/>
                <w:b/>
                <w:bCs/>
                <w:color w:val="auto"/>
                <w:spacing w:val="3"/>
                <w:sz w:val="21"/>
                <w:szCs w:val="21"/>
                <w:highlight w:val="none"/>
              </w:rPr>
              <w:t>类别</w:t>
            </w:r>
          </w:p>
        </w:tc>
        <w:tc>
          <w:tcPr>
            <w:tcW w:w="2682" w:type="dxa"/>
            <w:gridSpan w:val="2"/>
            <w:tcBorders>
              <w:tl2br w:val="nil"/>
              <w:tr2bl w:val="nil"/>
            </w:tcBorders>
            <w:vAlign w:val="center"/>
          </w:tcPr>
          <w:p w14:paraId="77452516">
            <w:pPr>
              <w:pStyle w:val="236"/>
              <w:keepNext w:val="0"/>
              <w:keepLines w:val="0"/>
              <w:pageBreakBefore w:val="0"/>
              <w:widowControl/>
              <w:kinsoku/>
              <w:wordWrap/>
              <w:overflowPunct/>
              <w:topLinePunct w:val="0"/>
              <w:autoSpaceDE/>
              <w:autoSpaceDN/>
              <w:bidi w:val="0"/>
              <w:ind w:left="0" w:right="0"/>
              <w:jc w:val="center"/>
              <w:rPr>
                <w:rFonts w:ascii="Times New Roman" w:hAnsi="Times New Roman" w:eastAsia="宋体" w:cs="Times New Roman"/>
                <w:color w:val="auto"/>
                <w:sz w:val="21"/>
                <w:szCs w:val="21"/>
                <w:highlight w:val="none"/>
              </w:rPr>
            </w:pPr>
            <w:r>
              <w:rPr>
                <w:rFonts w:ascii="Times New Roman" w:hAnsi="Times New Roman" w:eastAsia="宋体" w:cs="Times New Roman"/>
                <w:b/>
                <w:bCs/>
                <w:color w:val="auto"/>
                <w:spacing w:val="2"/>
                <w:sz w:val="21"/>
                <w:szCs w:val="21"/>
                <w:highlight w:val="none"/>
              </w:rPr>
              <w:t>名称</w:t>
            </w:r>
          </w:p>
        </w:tc>
        <w:tc>
          <w:tcPr>
            <w:tcW w:w="966" w:type="dxa"/>
            <w:tcBorders>
              <w:tl2br w:val="nil"/>
              <w:tr2bl w:val="nil"/>
            </w:tcBorders>
            <w:vAlign w:val="center"/>
          </w:tcPr>
          <w:p w14:paraId="7413157F">
            <w:pPr>
              <w:pStyle w:val="236"/>
              <w:keepNext w:val="0"/>
              <w:keepLines w:val="0"/>
              <w:pageBreakBefore w:val="0"/>
              <w:widowControl/>
              <w:kinsoku/>
              <w:wordWrap/>
              <w:overflowPunct/>
              <w:topLinePunct w:val="0"/>
              <w:autoSpaceDE/>
              <w:autoSpaceDN/>
              <w:bidi w:val="0"/>
              <w:ind w:left="0" w:right="0"/>
              <w:jc w:val="center"/>
              <w:rPr>
                <w:rFonts w:ascii="Times New Roman" w:hAnsi="Times New Roman" w:eastAsia="宋体" w:cs="Times New Roman"/>
                <w:color w:val="auto"/>
                <w:sz w:val="21"/>
                <w:szCs w:val="21"/>
                <w:highlight w:val="none"/>
              </w:rPr>
            </w:pPr>
            <w:r>
              <w:rPr>
                <w:rFonts w:ascii="Times New Roman" w:hAnsi="Times New Roman" w:eastAsia="宋体" w:cs="Times New Roman"/>
                <w:b/>
                <w:bCs/>
                <w:color w:val="auto"/>
                <w:spacing w:val="3"/>
                <w:sz w:val="21"/>
                <w:szCs w:val="21"/>
                <w:highlight w:val="none"/>
              </w:rPr>
              <w:t>状态</w:t>
            </w:r>
          </w:p>
        </w:tc>
        <w:tc>
          <w:tcPr>
            <w:tcW w:w="1198" w:type="dxa"/>
            <w:tcBorders>
              <w:tl2br w:val="nil"/>
              <w:tr2bl w:val="nil"/>
            </w:tcBorders>
            <w:vAlign w:val="center"/>
          </w:tcPr>
          <w:p w14:paraId="7E46E82F">
            <w:pPr>
              <w:pStyle w:val="236"/>
              <w:keepNext w:val="0"/>
              <w:keepLines w:val="0"/>
              <w:pageBreakBefore w:val="0"/>
              <w:widowControl/>
              <w:kinsoku/>
              <w:wordWrap/>
              <w:overflowPunct/>
              <w:topLinePunct w:val="0"/>
              <w:autoSpaceDE/>
              <w:autoSpaceDN/>
              <w:bidi w:val="0"/>
              <w:ind w:left="0" w:right="0"/>
              <w:jc w:val="center"/>
              <w:rPr>
                <w:rFonts w:ascii="Times New Roman" w:hAnsi="Times New Roman" w:eastAsia="宋体" w:cs="Times New Roman"/>
                <w:color w:val="auto"/>
                <w:sz w:val="21"/>
                <w:szCs w:val="21"/>
                <w:highlight w:val="none"/>
              </w:rPr>
            </w:pPr>
            <w:r>
              <w:rPr>
                <w:rFonts w:ascii="Times New Roman" w:hAnsi="Times New Roman" w:eastAsia="宋体" w:cs="Times New Roman"/>
                <w:b/>
                <w:bCs/>
                <w:color w:val="auto"/>
                <w:spacing w:val="4"/>
                <w:sz w:val="21"/>
                <w:szCs w:val="21"/>
                <w:highlight w:val="none"/>
              </w:rPr>
              <w:t>存在量(t)</w:t>
            </w:r>
          </w:p>
        </w:tc>
        <w:tc>
          <w:tcPr>
            <w:tcW w:w="1588" w:type="dxa"/>
            <w:tcBorders>
              <w:tl2br w:val="nil"/>
              <w:tr2bl w:val="nil"/>
            </w:tcBorders>
            <w:vAlign w:val="center"/>
          </w:tcPr>
          <w:p w14:paraId="476B1FF8">
            <w:pPr>
              <w:pStyle w:val="236"/>
              <w:keepNext w:val="0"/>
              <w:keepLines w:val="0"/>
              <w:pageBreakBefore w:val="0"/>
              <w:widowControl/>
              <w:kinsoku/>
              <w:wordWrap/>
              <w:overflowPunct/>
              <w:topLinePunct w:val="0"/>
              <w:autoSpaceDE/>
              <w:autoSpaceDN/>
              <w:bidi w:val="0"/>
              <w:ind w:left="0" w:right="0"/>
              <w:jc w:val="center"/>
              <w:rPr>
                <w:rFonts w:ascii="Times New Roman" w:hAnsi="Times New Roman" w:eastAsia="宋体" w:cs="Times New Roman"/>
                <w:color w:val="auto"/>
                <w:sz w:val="21"/>
                <w:szCs w:val="21"/>
                <w:highlight w:val="none"/>
              </w:rPr>
            </w:pPr>
            <w:r>
              <w:rPr>
                <w:rFonts w:ascii="Times New Roman" w:hAnsi="Times New Roman" w:eastAsia="宋体" w:cs="Times New Roman"/>
                <w:b/>
                <w:bCs/>
                <w:color w:val="auto"/>
                <w:spacing w:val="2"/>
                <w:sz w:val="21"/>
                <w:szCs w:val="21"/>
                <w:highlight w:val="none"/>
              </w:rPr>
              <w:t>临界量(t)</w:t>
            </w:r>
          </w:p>
        </w:tc>
        <w:tc>
          <w:tcPr>
            <w:tcW w:w="1379" w:type="dxa"/>
            <w:tcBorders>
              <w:tl2br w:val="nil"/>
              <w:tr2bl w:val="nil"/>
            </w:tcBorders>
            <w:vAlign w:val="center"/>
          </w:tcPr>
          <w:p w14:paraId="213D06E1">
            <w:pPr>
              <w:keepNext w:val="0"/>
              <w:keepLines w:val="0"/>
              <w:pageBreakBefore w:val="0"/>
              <w:widowControl/>
              <w:kinsoku/>
              <w:wordWrap/>
              <w:overflowPunct/>
              <w:topLinePunct w:val="0"/>
              <w:autoSpaceDE/>
              <w:autoSpaceDN/>
              <w:bidi w:val="0"/>
              <w:ind w:left="0" w:right="0"/>
              <w:jc w:val="center"/>
              <w:rPr>
                <w:rFonts w:ascii="Times New Roman" w:hAnsi="Times New Roman" w:cs="Times New Roman"/>
                <w:color w:val="auto"/>
                <w:sz w:val="21"/>
                <w:szCs w:val="21"/>
                <w:highlight w:val="none"/>
                <w:lang w:eastAsia="en-US"/>
              </w:rPr>
            </w:pPr>
            <w:r>
              <w:rPr>
                <w:rFonts w:ascii="Times New Roman" w:hAnsi="Times New Roman" w:cs="Times New Roman"/>
                <w:b/>
                <w:bCs/>
                <w:color w:val="auto"/>
                <w:spacing w:val="5"/>
                <w:sz w:val="21"/>
                <w:szCs w:val="21"/>
                <w:highlight w:val="none"/>
                <w:lang w:eastAsia="en-US"/>
              </w:rPr>
              <w:t>w</w:t>
            </w:r>
            <w:r>
              <w:rPr>
                <w:rFonts w:ascii="Times New Roman" w:hAnsi="Times New Roman" w:cs="Times New Roman"/>
                <w:b/>
                <w:bCs/>
                <w:color w:val="auto"/>
                <w:spacing w:val="5"/>
                <w:position w:val="-1"/>
                <w:sz w:val="21"/>
                <w:szCs w:val="21"/>
                <w:highlight w:val="none"/>
                <w:lang w:eastAsia="en-US"/>
              </w:rPr>
              <w:t>n</w:t>
            </w:r>
            <w:r>
              <w:rPr>
                <w:rFonts w:ascii="Times New Roman" w:hAnsi="Times New Roman" w:cs="Times New Roman"/>
                <w:b/>
                <w:bCs/>
                <w:color w:val="auto"/>
                <w:spacing w:val="5"/>
                <w:sz w:val="21"/>
                <w:szCs w:val="21"/>
                <w:highlight w:val="none"/>
                <w:lang w:eastAsia="en-US"/>
              </w:rPr>
              <w:t>/W</w:t>
            </w:r>
            <w:r>
              <w:rPr>
                <w:rFonts w:ascii="Times New Roman" w:hAnsi="Times New Roman" w:cs="Times New Roman"/>
                <w:b/>
                <w:bCs/>
                <w:color w:val="auto"/>
                <w:spacing w:val="5"/>
                <w:position w:val="-1"/>
                <w:sz w:val="21"/>
                <w:szCs w:val="21"/>
                <w:highlight w:val="none"/>
                <w:lang w:eastAsia="en-US"/>
              </w:rPr>
              <w:t>n</w:t>
            </w:r>
          </w:p>
        </w:tc>
      </w:tr>
      <w:tr w14:paraId="50DC59AB">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691" w:type="dxa"/>
            <w:vMerge w:val="restart"/>
            <w:tcBorders>
              <w:tl2br w:val="nil"/>
              <w:tr2bl w:val="nil"/>
            </w:tcBorders>
            <w:vAlign w:val="center"/>
          </w:tcPr>
          <w:p w14:paraId="0A0E7286">
            <w:pPr>
              <w:pStyle w:val="236"/>
              <w:keepNext w:val="0"/>
              <w:keepLines w:val="0"/>
              <w:pageBreakBefore w:val="0"/>
              <w:widowControl/>
              <w:kinsoku/>
              <w:wordWrap/>
              <w:overflowPunct/>
              <w:topLinePunct w:val="0"/>
              <w:autoSpaceDE/>
              <w:autoSpaceDN/>
              <w:bidi w:val="0"/>
              <w:ind w:left="0" w:right="0"/>
              <w:jc w:val="center"/>
              <w:rPr>
                <w:rFonts w:ascii="Times New Roman" w:hAnsi="Times New Roman" w:eastAsia="宋体" w:cs="Times New Roman"/>
                <w:color w:val="auto"/>
                <w:sz w:val="21"/>
                <w:szCs w:val="21"/>
                <w:highlight w:val="none"/>
              </w:rPr>
            </w:pPr>
            <w:r>
              <w:rPr>
                <w:rFonts w:ascii="Times New Roman" w:hAnsi="Times New Roman" w:eastAsia="宋体" w:cs="Times New Roman"/>
                <w:color w:val="auto"/>
                <w:spacing w:val="2"/>
                <w:sz w:val="21"/>
                <w:szCs w:val="21"/>
                <w:highlight w:val="none"/>
              </w:rPr>
              <w:t>原辅</w:t>
            </w:r>
            <w:r>
              <w:rPr>
                <w:rFonts w:ascii="Times New Roman" w:hAnsi="Times New Roman" w:eastAsia="宋体" w:cs="Times New Roman"/>
                <w:color w:val="auto"/>
                <w:spacing w:val="4"/>
                <w:sz w:val="21"/>
                <w:szCs w:val="21"/>
                <w:highlight w:val="none"/>
              </w:rPr>
              <w:t>材料</w:t>
            </w:r>
          </w:p>
        </w:tc>
        <w:tc>
          <w:tcPr>
            <w:tcW w:w="734" w:type="dxa"/>
            <w:vMerge w:val="restart"/>
            <w:tcBorders>
              <w:tl2br w:val="nil"/>
              <w:tr2bl w:val="nil"/>
            </w:tcBorders>
            <w:vAlign w:val="center"/>
          </w:tcPr>
          <w:p w14:paraId="0101B972">
            <w:pPr>
              <w:pStyle w:val="236"/>
              <w:keepNext w:val="0"/>
              <w:keepLines w:val="0"/>
              <w:pageBreakBefore w:val="0"/>
              <w:widowControl/>
              <w:kinsoku/>
              <w:wordWrap/>
              <w:overflowPunct/>
              <w:topLinePunct w:val="0"/>
              <w:autoSpaceDE/>
              <w:autoSpaceDN/>
              <w:bidi w:val="0"/>
              <w:ind w:left="0" w:right="0"/>
              <w:jc w:val="center"/>
              <w:rPr>
                <w:rFonts w:ascii="Times New Roman" w:hAnsi="Times New Roman" w:eastAsia="宋体" w:cs="Times New Roman"/>
                <w:color w:val="auto"/>
                <w:sz w:val="21"/>
                <w:szCs w:val="21"/>
                <w:highlight w:val="none"/>
              </w:rPr>
            </w:pPr>
            <w:r>
              <w:rPr>
                <w:rFonts w:ascii="Times New Roman" w:hAnsi="Times New Roman" w:eastAsia="宋体" w:cs="Times New Roman"/>
                <w:color w:val="auto"/>
                <w:sz w:val="21"/>
                <w:szCs w:val="21"/>
                <w:highlight w:val="none"/>
              </w:rPr>
              <w:t>聚氨</w:t>
            </w:r>
            <w:r>
              <w:rPr>
                <w:rFonts w:ascii="Times New Roman" w:hAnsi="Times New Roman" w:eastAsia="宋体" w:cs="Times New Roman"/>
                <w:color w:val="auto"/>
                <w:spacing w:val="3"/>
                <w:sz w:val="21"/>
                <w:szCs w:val="21"/>
                <w:highlight w:val="none"/>
              </w:rPr>
              <w:t>酯丙</w:t>
            </w:r>
            <w:r>
              <w:rPr>
                <w:rFonts w:ascii="Times New Roman" w:hAnsi="Times New Roman" w:eastAsia="宋体" w:cs="Times New Roman"/>
                <w:color w:val="auto"/>
                <w:spacing w:val="5"/>
                <w:sz w:val="21"/>
                <w:szCs w:val="21"/>
                <w:highlight w:val="none"/>
              </w:rPr>
              <w:t>烯酸</w:t>
            </w:r>
            <w:r>
              <w:rPr>
                <w:rFonts w:ascii="Times New Roman" w:hAnsi="Times New Roman" w:eastAsia="宋体" w:cs="Times New Roman"/>
                <w:color w:val="auto"/>
                <w:sz w:val="21"/>
                <w:szCs w:val="21"/>
                <w:highlight w:val="none"/>
              </w:rPr>
              <w:t>酯</w:t>
            </w:r>
          </w:p>
        </w:tc>
        <w:tc>
          <w:tcPr>
            <w:tcW w:w="1948" w:type="dxa"/>
            <w:tcBorders>
              <w:tl2br w:val="nil"/>
              <w:tr2bl w:val="nil"/>
            </w:tcBorders>
            <w:vAlign w:val="center"/>
          </w:tcPr>
          <w:p w14:paraId="64E86AF4">
            <w:pPr>
              <w:pStyle w:val="236"/>
              <w:keepNext w:val="0"/>
              <w:keepLines w:val="0"/>
              <w:pageBreakBefore w:val="0"/>
              <w:widowControl/>
              <w:kinsoku/>
              <w:wordWrap/>
              <w:overflowPunct/>
              <w:topLinePunct w:val="0"/>
              <w:autoSpaceDE/>
              <w:autoSpaceDN/>
              <w:bidi w:val="0"/>
              <w:ind w:left="0" w:right="0"/>
              <w:jc w:val="center"/>
              <w:rPr>
                <w:rFonts w:ascii="Times New Roman" w:hAnsi="Times New Roman" w:eastAsia="宋体" w:cs="Times New Roman"/>
                <w:color w:val="auto"/>
                <w:sz w:val="21"/>
                <w:szCs w:val="21"/>
                <w:highlight w:val="none"/>
                <w:lang w:eastAsia="zh-CN"/>
              </w:rPr>
            </w:pPr>
            <w:r>
              <w:rPr>
                <w:rFonts w:hint="eastAsia" w:ascii="Times New Roman" w:hAnsi="Times New Roman" w:eastAsia="宋体" w:cs="Times New Roman"/>
                <w:color w:val="auto"/>
                <w:sz w:val="21"/>
                <w:szCs w:val="21"/>
                <w:highlight w:val="none"/>
                <w:lang w:eastAsia="zh-CN"/>
              </w:rPr>
              <w:t>丙烯酸酯树脂</w:t>
            </w:r>
          </w:p>
        </w:tc>
        <w:tc>
          <w:tcPr>
            <w:tcW w:w="966" w:type="dxa"/>
            <w:tcBorders>
              <w:tl2br w:val="nil"/>
              <w:tr2bl w:val="nil"/>
            </w:tcBorders>
            <w:vAlign w:val="center"/>
          </w:tcPr>
          <w:p w14:paraId="42810CB1">
            <w:pPr>
              <w:pStyle w:val="236"/>
              <w:keepNext w:val="0"/>
              <w:keepLines w:val="0"/>
              <w:pageBreakBefore w:val="0"/>
              <w:widowControl/>
              <w:kinsoku/>
              <w:wordWrap/>
              <w:overflowPunct/>
              <w:topLinePunct w:val="0"/>
              <w:autoSpaceDE/>
              <w:autoSpaceDN/>
              <w:bidi w:val="0"/>
              <w:ind w:left="0" w:right="0"/>
              <w:jc w:val="center"/>
              <w:rPr>
                <w:rFonts w:ascii="Times New Roman" w:hAnsi="Times New Roman" w:eastAsia="宋体" w:cs="Times New Roman"/>
                <w:color w:val="auto"/>
                <w:sz w:val="21"/>
                <w:szCs w:val="21"/>
                <w:highlight w:val="none"/>
                <w:lang w:eastAsia="zh-CN"/>
              </w:rPr>
            </w:pPr>
            <w:r>
              <w:rPr>
                <w:rFonts w:hint="eastAsia" w:ascii="Times New Roman" w:hAnsi="Times New Roman" w:eastAsia="宋体" w:cs="Times New Roman"/>
                <w:color w:val="auto"/>
                <w:sz w:val="21"/>
                <w:szCs w:val="21"/>
                <w:highlight w:val="none"/>
                <w:lang w:eastAsia="zh-CN"/>
              </w:rPr>
              <w:t>液体</w:t>
            </w:r>
          </w:p>
        </w:tc>
        <w:tc>
          <w:tcPr>
            <w:tcW w:w="1198" w:type="dxa"/>
            <w:tcBorders>
              <w:tl2br w:val="nil"/>
              <w:tr2bl w:val="nil"/>
            </w:tcBorders>
            <w:vAlign w:val="center"/>
          </w:tcPr>
          <w:p w14:paraId="7FC6C6F0">
            <w:pPr>
              <w:keepNext w:val="0"/>
              <w:keepLines w:val="0"/>
              <w:widowControl/>
              <w:suppressLineNumbers w:val="0"/>
              <w:autoSpaceDE w:val="0"/>
              <w:autoSpaceDN w:val="0"/>
              <w:jc w:val="center"/>
              <w:textAlignment w:val="center"/>
              <w:rPr>
                <w:rFonts w:ascii="Times New Roman" w:hAnsi="Times New Roman" w:cs="Times New Roman"/>
                <w:color w:val="auto"/>
                <w:sz w:val="21"/>
                <w:szCs w:val="21"/>
                <w:highlight w:val="none"/>
                <w:lang w:eastAsia="en-US"/>
              </w:rPr>
            </w:pPr>
            <w:r>
              <w:rPr>
                <w:rFonts w:hint="default" w:ascii="Times New Roman" w:hAnsi="Times New Roman" w:eastAsia="等线" w:cs="Times New Roman"/>
                <w:i w:val="0"/>
                <w:iCs w:val="0"/>
                <w:color w:val="auto"/>
                <w:kern w:val="0"/>
                <w:sz w:val="21"/>
                <w:szCs w:val="21"/>
                <w:highlight w:val="none"/>
                <w:u w:val="none"/>
                <w:lang w:val="en-US" w:eastAsia="zh-CN" w:bidi="ar"/>
              </w:rPr>
              <w:t>36.34</w:t>
            </w:r>
          </w:p>
        </w:tc>
        <w:tc>
          <w:tcPr>
            <w:tcW w:w="1588" w:type="dxa"/>
            <w:tcBorders>
              <w:tl2br w:val="nil"/>
              <w:tr2bl w:val="nil"/>
            </w:tcBorders>
            <w:vAlign w:val="center"/>
          </w:tcPr>
          <w:p w14:paraId="391771DE">
            <w:pPr>
              <w:pStyle w:val="236"/>
              <w:keepNext w:val="0"/>
              <w:keepLines w:val="0"/>
              <w:pageBreakBefore w:val="0"/>
              <w:widowControl/>
              <w:kinsoku/>
              <w:wordWrap/>
              <w:overflowPunct/>
              <w:topLinePunct w:val="0"/>
              <w:autoSpaceDE/>
              <w:autoSpaceDN/>
              <w:bidi w:val="0"/>
              <w:ind w:left="0" w:right="0"/>
              <w:jc w:val="center"/>
              <w:rPr>
                <w:rFonts w:ascii="Times New Roman" w:hAnsi="Times New Roman" w:eastAsia="宋体" w:cs="Times New Roman"/>
                <w:color w:val="auto"/>
                <w:sz w:val="21"/>
                <w:szCs w:val="21"/>
                <w:highlight w:val="none"/>
                <w:lang w:eastAsia="zh-CN"/>
              </w:rPr>
            </w:pPr>
            <w:r>
              <w:rPr>
                <w:rFonts w:ascii="Times New Roman" w:hAnsi="Times New Roman" w:eastAsia="宋体" w:cs="Times New Roman"/>
                <w:color w:val="auto"/>
                <w:spacing w:val="1"/>
                <w:sz w:val="21"/>
                <w:szCs w:val="21"/>
                <w:highlight w:val="none"/>
              </w:rPr>
              <w:t>50</w:t>
            </w:r>
            <w:r>
              <w:rPr>
                <w:rFonts w:hint="eastAsia" w:ascii="Times New Roman" w:hAnsi="Times New Roman" w:eastAsia="宋体" w:cs="Times New Roman"/>
                <w:color w:val="auto"/>
                <w:spacing w:val="1"/>
                <w:sz w:val="21"/>
                <w:szCs w:val="21"/>
                <w:highlight w:val="none"/>
                <w:lang w:eastAsia="zh-CN"/>
              </w:rPr>
              <w:t>**</w:t>
            </w:r>
          </w:p>
        </w:tc>
        <w:tc>
          <w:tcPr>
            <w:tcW w:w="1379" w:type="dxa"/>
            <w:tcBorders>
              <w:tl2br w:val="nil"/>
              <w:tr2bl w:val="nil"/>
            </w:tcBorders>
            <w:vAlign w:val="center"/>
          </w:tcPr>
          <w:p w14:paraId="36546373">
            <w:pPr>
              <w:keepNext w:val="0"/>
              <w:keepLines w:val="0"/>
              <w:widowControl/>
              <w:suppressLineNumbers w:val="0"/>
              <w:autoSpaceDE w:val="0"/>
              <w:autoSpaceDN w:val="0"/>
              <w:jc w:val="center"/>
              <w:textAlignment w:val="center"/>
              <w:rPr>
                <w:rFonts w:ascii="Times New Roman" w:hAnsi="Times New Roman" w:cs="Times New Roman"/>
                <w:color w:val="auto"/>
                <w:sz w:val="21"/>
                <w:szCs w:val="21"/>
                <w:highlight w:val="none"/>
                <w:lang w:eastAsia="en-US"/>
              </w:rPr>
            </w:pPr>
            <w:r>
              <w:rPr>
                <w:rFonts w:hint="default" w:ascii="Times New Roman" w:hAnsi="Times New Roman" w:eastAsia="等线" w:cs="Times New Roman"/>
                <w:i w:val="0"/>
                <w:iCs w:val="0"/>
                <w:color w:val="auto"/>
                <w:kern w:val="0"/>
                <w:sz w:val="21"/>
                <w:szCs w:val="21"/>
                <w:highlight w:val="none"/>
                <w:u w:val="none"/>
                <w:lang w:val="en-US" w:eastAsia="zh-CN" w:bidi="ar"/>
              </w:rPr>
              <w:t>0.7268</w:t>
            </w:r>
          </w:p>
        </w:tc>
      </w:tr>
      <w:tr w14:paraId="353183F8">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691" w:type="dxa"/>
            <w:vMerge w:val="continue"/>
            <w:tcBorders>
              <w:tl2br w:val="nil"/>
              <w:tr2bl w:val="nil"/>
            </w:tcBorders>
            <w:vAlign w:val="center"/>
          </w:tcPr>
          <w:p w14:paraId="6BB38C70">
            <w:pPr>
              <w:keepNext w:val="0"/>
              <w:keepLines w:val="0"/>
              <w:pageBreakBefore w:val="0"/>
              <w:widowControl/>
              <w:kinsoku/>
              <w:wordWrap/>
              <w:overflowPunct/>
              <w:topLinePunct w:val="0"/>
              <w:autoSpaceDE/>
              <w:autoSpaceDN/>
              <w:bidi w:val="0"/>
              <w:ind w:left="0" w:right="0"/>
              <w:jc w:val="center"/>
              <w:rPr>
                <w:rFonts w:ascii="Times New Roman" w:hAnsi="Times New Roman" w:cs="Times New Roman"/>
                <w:color w:val="auto"/>
                <w:sz w:val="21"/>
                <w:szCs w:val="21"/>
                <w:highlight w:val="none"/>
                <w:lang w:eastAsia="en-US"/>
              </w:rPr>
            </w:pPr>
          </w:p>
        </w:tc>
        <w:tc>
          <w:tcPr>
            <w:tcW w:w="734" w:type="dxa"/>
            <w:vMerge w:val="continue"/>
            <w:tcBorders>
              <w:tl2br w:val="nil"/>
              <w:tr2bl w:val="nil"/>
            </w:tcBorders>
            <w:vAlign w:val="center"/>
          </w:tcPr>
          <w:p w14:paraId="5648F60A">
            <w:pPr>
              <w:keepNext w:val="0"/>
              <w:keepLines w:val="0"/>
              <w:pageBreakBefore w:val="0"/>
              <w:widowControl/>
              <w:kinsoku/>
              <w:wordWrap/>
              <w:overflowPunct/>
              <w:topLinePunct w:val="0"/>
              <w:autoSpaceDE/>
              <w:autoSpaceDN/>
              <w:bidi w:val="0"/>
              <w:ind w:left="0" w:right="0"/>
              <w:jc w:val="center"/>
              <w:rPr>
                <w:rFonts w:ascii="Times New Roman" w:hAnsi="Times New Roman" w:cs="Times New Roman"/>
                <w:color w:val="auto"/>
                <w:sz w:val="21"/>
                <w:szCs w:val="21"/>
                <w:highlight w:val="none"/>
                <w:lang w:eastAsia="en-US"/>
              </w:rPr>
            </w:pPr>
          </w:p>
        </w:tc>
        <w:tc>
          <w:tcPr>
            <w:tcW w:w="1948" w:type="dxa"/>
            <w:tcBorders>
              <w:tl2br w:val="nil"/>
              <w:tr2bl w:val="nil"/>
            </w:tcBorders>
            <w:vAlign w:val="center"/>
          </w:tcPr>
          <w:p w14:paraId="3E775999">
            <w:pPr>
              <w:pStyle w:val="236"/>
              <w:keepNext w:val="0"/>
              <w:keepLines w:val="0"/>
              <w:pageBreakBefore w:val="0"/>
              <w:widowControl/>
              <w:kinsoku/>
              <w:wordWrap/>
              <w:overflowPunct/>
              <w:topLinePunct w:val="0"/>
              <w:autoSpaceDE/>
              <w:autoSpaceDN/>
              <w:bidi w:val="0"/>
              <w:ind w:left="0" w:right="0"/>
              <w:jc w:val="center"/>
              <w:rPr>
                <w:rFonts w:ascii="Times New Roman" w:hAnsi="Times New Roman" w:eastAsia="宋体" w:cs="Times New Roman"/>
                <w:color w:val="auto"/>
                <w:sz w:val="21"/>
                <w:szCs w:val="21"/>
                <w:highlight w:val="none"/>
                <w:lang w:eastAsia="zh-CN"/>
              </w:rPr>
            </w:pPr>
            <w:r>
              <w:rPr>
                <w:rFonts w:ascii="Times New Roman" w:hAnsi="Times New Roman" w:eastAsia="宋体" w:cs="Times New Roman"/>
                <w:color w:val="auto"/>
                <w:spacing w:val="8"/>
                <w:sz w:val="21"/>
                <w:szCs w:val="21"/>
                <w:highlight w:val="none"/>
                <w:lang w:eastAsia="zh-CN"/>
              </w:rPr>
              <w:t>异氰酸酯（六亚</w:t>
            </w:r>
            <w:r>
              <w:rPr>
                <w:rFonts w:ascii="Times New Roman" w:hAnsi="Times New Roman" w:eastAsia="宋体" w:cs="Times New Roman"/>
                <w:color w:val="auto"/>
                <w:spacing w:val="3"/>
                <w:sz w:val="21"/>
                <w:szCs w:val="21"/>
                <w:highlight w:val="none"/>
                <w:lang w:eastAsia="zh-CN"/>
              </w:rPr>
              <w:t>甲基-1,6-二异氰酸</w:t>
            </w:r>
            <w:r>
              <w:rPr>
                <w:rFonts w:ascii="Times New Roman" w:hAnsi="Times New Roman" w:eastAsia="宋体" w:cs="Times New Roman"/>
                <w:color w:val="auto"/>
                <w:spacing w:val="-1"/>
                <w:sz w:val="21"/>
                <w:szCs w:val="21"/>
                <w:highlight w:val="none"/>
                <w:lang w:eastAsia="zh-CN"/>
              </w:rPr>
              <w:t>酯）</w:t>
            </w:r>
          </w:p>
        </w:tc>
        <w:tc>
          <w:tcPr>
            <w:tcW w:w="966" w:type="dxa"/>
            <w:tcBorders>
              <w:tl2br w:val="nil"/>
              <w:tr2bl w:val="nil"/>
            </w:tcBorders>
            <w:vAlign w:val="center"/>
          </w:tcPr>
          <w:p w14:paraId="7C7156DA">
            <w:pPr>
              <w:pStyle w:val="236"/>
              <w:keepNext w:val="0"/>
              <w:keepLines w:val="0"/>
              <w:pageBreakBefore w:val="0"/>
              <w:widowControl/>
              <w:kinsoku/>
              <w:wordWrap/>
              <w:overflowPunct/>
              <w:topLinePunct w:val="0"/>
              <w:autoSpaceDE/>
              <w:autoSpaceDN/>
              <w:bidi w:val="0"/>
              <w:ind w:left="0" w:right="0"/>
              <w:jc w:val="center"/>
              <w:rPr>
                <w:rFonts w:ascii="Times New Roman" w:hAnsi="Times New Roman" w:eastAsia="宋体" w:cs="Times New Roman"/>
                <w:color w:val="auto"/>
                <w:sz w:val="21"/>
                <w:szCs w:val="21"/>
                <w:highlight w:val="none"/>
              </w:rPr>
            </w:pPr>
            <w:r>
              <w:rPr>
                <w:rFonts w:ascii="Times New Roman" w:hAnsi="Times New Roman" w:eastAsia="宋体" w:cs="Times New Roman"/>
                <w:color w:val="auto"/>
                <w:spacing w:val="3"/>
                <w:sz w:val="21"/>
                <w:szCs w:val="21"/>
                <w:highlight w:val="none"/>
              </w:rPr>
              <w:t>液体</w:t>
            </w:r>
          </w:p>
        </w:tc>
        <w:tc>
          <w:tcPr>
            <w:tcW w:w="1198" w:type="dxa"/>
            <w:tcBorders>
              <w:tl2br w:val="nil"/>
              <w:tr2bl w:val="nil"/>
            </w:tcBorders>
            <w:vAlign w:val="center"/>
          </w:tcPr>
          <w:p w14:paraId="137089F1">
            <w:pPr>
              <w:keepNext w:val="0"/>
              <w:keepLines w:val="0"/>
              <w:widowControl/>
              <w:suppressLineNumbers w:val="0"/>
              <w:autoSpaceDE w:val="0"/>
              <w:autoSpaceDN w:val="0"/>
              <w:jc w:val="center"/>
              <w:textAlignment w:val="center"/>
              <w:rPr>
                <w:rFonts w:ascii="Times New Roman" w:hAnsi="Times New Roman" w:cs="Times New Roman"/>
                <w:color w:val="auto"/>
                <w:sz w:val="21"/>
                <w:szCs w:val="21"/>
                <w:highlight w:val="none"/>
                <w:lang w:eastAsia="en-US"/>
              </w:rPr>
            </w:pPr>
            <w:r>
              <w:rPr>
                <w:rFonts w:hint="default" w:ascii="Times New Roman" w:hAnsi="Times New Roman" w:eastAsia="等线" w:cs="Times New Roman"/>
                <w:i w:val="0"/>
                <w:iCs w:val="0"/>
                <w:color w:val="auto"/>
                <w:kern w:val="0"/>
                <w:sz w:val="21"/>
                <w:szCs w:val="21"/>
                <w:highlight w:val="none"/>
                <w:u w:val="none"/>
                <w:lang w:val="en-US" w:eastAsia="zh-CN" w:bidi="ar"/>
              </w:rPr>
              <w:t>15.68</w:t>
            </w:r>
          </w:p>
        </w:tc>
        <w:tc>
          <w:tcPr>
            <w:tcW w:w="1588" w:type="dxa"/>
            <w:tcBorders>
              <w:tl2br w:val="nil"/>
              <w:tr2bl w:val="nil"/>
            </w:tcBorders>
            <w:vAlign w:val="center"/>
          </w:tcPr>
          <w:p w14:paraId="3B0DBF0A">
            <w:pPr>
              <w:pStyle w:val="236"/>
              <w:keepNext w:val="0"/>
              <w:keepLines w:val="0"/>
              <w:pageBreakBefore w:val="0"/>
              <w:widowControl/>
              <w:kinsoku/>
              <w:wordWrap/>
              <w:overflowPunct/>
              <w:topLinePunct w:val="0"/>
              <w:autoSpaceDE/>
              <w:autoSpaceDN/>
              <w:bidi w:val="0"/>
              <w:ind w:left="0" w:right="0"/>
              <w:jc w:val="center"/>
              <w:rPr>
                <w:rFonts w:ascii="Times New Roman" w:hAnsi="Times New Roman" w:eastAsia="宋体" w:cs="Times New Roman"/>
                <w:color w:val="auto"/>
                <w:sz w:val="21"/>
                <w:szCs w:val="21"/>
                <w:highlight w:val="none"/>
                <w:lang w:eastAsia="zh-CN"/>
              </w:rPr>
            </w:pPr>
            <w:r>
              <w:rPr>
                <w:rFonts w:ascii="Times New Roman" w:hAnsi="Times New Roman" w:eastAsia="宋体" w:cs="Times New Roman"/>
                <w:color w:val="auto"/>
                <w:spacing w:val="1"/>
                <w:sz w:val="21"/>
                <w:szCs w:val="21"/>
                <w:highlight w:val="none"/>
              </w:rPr>
              <w:t>50</w:t>
            </w:r>
            <w:r>
              <w:rPr>
                <w:rFonts w:hint="eastAsia" w:ascii="Times New Roman" w:hAnsi="Times New Roman" w:eastAsia="宋体" w:cs="Times New Roman"/>
                <w:color w:val="auto"/>
                <w:spacing w:val="1"/>
                <w:sz w:val="21"/>
                <w:szCs w:val="21"/>
                <w:highlight w:val="none"/>
                <w:lang w:eastAsia="zh-CN"/>
              </w:rPr>
              <w:t>**</w:t>
            </w:r>
          </w:p>
        </w:tc>
        <w:tc>
          <w:tcPr>
            <w:tcW w:w="1379" w:type="dxa"/>
            <w:tcBorders>
              <w:tl2br w:val="nil"/>
              <w:tr2bl w:val="nil"/>
            </w:tcBorders>
            <w:vAlign w:val="center"/>
          </w:tcPr>
          <w:p w14:paraId="2A9C2116">
            <w:pPr>
              <w:keepNext w:val="0"/>
              <w:keepLines w:val="0"/>
              <w:widowControl/>
              <w:suppressLineNumbers w:val="0"/>
              <w:autoSpaceDE w:val="0"/>
              <w:autoSpaceDN w:val="0"/>
              <w:jc w:val="center"/>
              <w:textAlignment w:val="center"/>
              <w:rPr>
                <w:rFonts w:ascii="Times New Roman" w:hAnsi="Times New Roman" w:cs="Times New Roman"/>
                <w:color w:val="auto"/>
                <w:sz w:val="21"/>
                <w:szCs w:val="21"/>
                <w:highlight w:val="none"/>
                <w:lang w:eastAsia="en-US"/>
              </w:rPr>
            </w:pPr>
            <w:r>
              <w:rPr>
                <w:rFonts w:hint="default" w:ascii="Times New Roman" w:hAnsi="Times New Roman" w:eastAsia="等线" w:cs="Times New Roman"/>
                <w:i w:val="0"/>
                <w:iCs w:val="0"/>
                <w:color w:val="auto"/>
                <w:kern w:val="0"/>
                <w:sz w:val="21"/>
                <w:szCs w:val="21"/>
                <w:highlight w:val="none"/>
                <w:u w:val="none"/>
                <w:lang w:val="en-US" w:eastAsia="zh-CN" w:bidi="ar"/>
              </w:rPr>
              <w:t>0.3136</w:t>
            </w:r>
          </w:p>
        </w:tc>
      </w:tr>
      <w:tr w14:paraId="0B99CB74">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691" w:type="dxa"/>
            <w:vMerge w:val="continue"/>
            <w:tcBorders>
              <w:tl2br w:val="nil"/>
              <w:tr2bl w:val="nil"/>
            </w:tcBorders>
            <w:vAlign w:val="center"/>
          </w:tcPr>
          <w:p w14:paraId="2B9343E2">
            <w:pPr>
              <w:keepNext w:val="0"/>
              <w:keepLines w:val="0"/>
              <w:pageBreakBefore w:val="0"/>
              <w:widowControl/>
              <w:kinsoku/>
              <w:wordWrap/>
              <w:overflowPunct/>
              <w:topLinePunct w:val="0"/>
              <w:autoSpaceDE/>
              <w:autoSpaceDN/>
              <w:bidi w:val="0"/>
              <w:ind w:left="0" w:right="0"/>
              <w:jc w:val="center"/>
              <w:rPr>
                <w:rFonts w:ascii="Times New Roman" w:hAnsi="Times New Roman" w:cs="Times New Roman"/>
                <w:color w:val="auto"/>
                <w:sz w:val="21"/>
                <w:szCs w:val="21"/>
                <w:highlight w:val="none"/>
                <w:lang w:eastAsia="en-US"/>
              </w:rPr>
            </w:pPr>
          </w:p>
        </w:tc>
        <w:tc>
          <w:tcPr>
            <w:tcW w:w="734" w:type="dxa"/>
            <w:vMerge w:val="restart"/>
            <w:tcBorders>
              <w:tl2br w:val="nil"/>
              <w:tr2bl w:val="nil"/>
            </w:tcBorders>
            <w:vAlign w:val="center"/>
          </w:tcPr>
          <w:p w14:paraId="6CD7AC43">
            <w:pPr>
              <w:pStyle w:val="236"/>
              <w:keepNext w:val="0"/>
              <w:keepLines w:val="0"/>
              <w:pageBreakBefore w:val="0"/>
              <w:widowControl/>
              <w:kinsoku/>
              <w:wordWrap/>
              <w:overflowPunct/>
              <w:topLinePunct w:val="0"/>
              <w:autoSpaceDE/>
              <w:autoSpaceDN/>
              <w:bidi w:val="0"/>
              <w:ind w:left="0" w:right="0"/>
              <w:jc w:val="center"/>
              <w:rPr>
                <w:rFonts w:ascii="Times New Roman" w:hAnsi="Times New Roman" w:eastAsia="宋体" w:cs="Times New Roman"/>
                <w:color w:val="auto"/>
                <w:sz w:val="21"/>
                <w:szCs w:val="21"/>
                <w:highlight w:val="none"/>
                <w:lang w:eastAsia="zh-CN"/>
              </w:rPr>
            </w:pPr>
            <w:r>
              <w:rPr>
                <w:rFonts w:ascii="Times New Roman" w:hAnsi="Times New Roman" w:eastAsia="宋体" w:cs="Times New Roman"/>
                <w:color w:val="auto"/>
                <w:spacing w:val="2"/>
                <w:sz w:val="21"/>
                <w:szCs w:val="21"/>
                <w:highlight w:val="none"/>
              </w:rPr>
              <w:t>丙烯</w:t>
            </w:r>
            <w:r>
              <w:rPr>
                <w:rFonts w:ascii="Times New Roman" w:hAnsi="Times New Roman" w:eastAsia="宋体" w:cs="Times New Roman"/>
                <w:color w:val="auto"/>
                <w:spacing w:val="4"/>
                <w:sz w:val="21"/>
                <w:szCs w:val="21"/>
                <w:highlight w:val="none"/>
              </w:rPr>
              <w:t>酸酯</w:t>
            </w:r>
            <w:r>
              <w:rPr>
                <w:rFonts w:hint="eastAsia" w:ascii="Times New Roman" w:hAnsi="Times New Roman" w:eastAsia="宋体" w:cs="Times New Roman"/>
                <w:color w:val="auto"/>
                <w:spacing w:val="4"/>
                <w:sz w:val="21"/>
                <w:szCs w:val="21"/>
                <w:highlight w:val="none"/>
                <w:lang w:eastAsia="zh-CN"/>
              </w:rPr>
              <w:t>组成物</w:t>
            </w:r>
          </w:p>
        </w:tc>
        <w:tc>
          <w:tcPr>
            <w:tcW w:w="1948" w:type="dxa"/>
            <w:tcBorders>
              <w:tl2br w:val="nil"/>
              <w:tr2bl w:val="nil"/>
            </w:tcBorders>
            <w:vAlign w:val="center"/>
          </w:tcPr>
          <w:p w14:paraId="5E5AEABB">
            <w:pPr>
              <w:pStyle w:val="236"/>
              <w:keepNext w:val="0"/>
              <w:keepLines w:val="0"/>
              <w:pageBreakBefore w:val="0"/>
              <w:widowControl/>
              <w:kinsoku/>
              <w:wordWrap/>
              <w:overflowPunct/>
              <w:topLinePunct w:val="0"/>
              <w:autoSpaceDE/>
              <w:autoSpaceDN/>
              <w:bidi w:val="0"/>
              <w:ind w:left="0" w:right="0"/>
              <w:jc w:val="center"/>
              <w:rPr>
                <w:rFonts w:ascii="Times New Roman" w:hAnsi="Times New Roman" w:eastAsia="宋体" w:cs="Times New Roman"/>
                <w:color w:val="auto"/>
                <w:sz w:val="21"/>
                <w:szCs w:val="21"/>
                <w:highlight w:val="none"/>
              </w:rPr>
            </w:pPr>
            <w:r>
              <w:rPr>
                <w:rFonts w:ascii="Times New Roman" w:hAnsi="Times New Roman" w:eastAsia="宋体" w:cs="Times New Roman"/>
                <w:color w:val="auto"/>
                <w:spacing w:val="7"/>
                <w:sz w:val="21"/>
                <w:szCs w:val="21"/>
                <w:highlight w:val="none"/>
              </w:rPr>
              <w:t>聚氨酯丙烯酸酯</w:t>
            </w:r>
          </w:p>
        </w:tc>
        <w:tc>
          <w:tcPr>
            <w:tcW w:w="966" w:type="dxa"/>
            <w:tcBorders>
              <w:tl2br w:val="nil"/>
              <w:tr2bl w:val="nil"/>
            </w:tcBorders>
            <w:vAlign w:val="center"/>
          </w:tcPr>
          <w:p w14:paraId="40F53E71">
            <w:pPr>
              <w:pStyle w:val="236"/>
              <w:keepNext w:val="0"/>
              <w:keepLines w:val="0"/>
              <w:pageBreakBefore w:val="0"/>
              <w:widowControl/>
              <w:kinsoku/>
              <w:wordWrap/>
              <w:overflowPunct/>
              <w:topLinePunct w:val="0"/>
              <w:autoSpaceDE/>
              <w:autoSpaceDN/>
              <w:bidi w:val="0"/>
              <w:ind w:left="0" w:right="0"/>
              <w:jc w:val="center"/>
              <w:rPr>
                <w:rFonts w:ascii="Times New Roman" w:hAnsi="Times New Roman" w:eastAsia="宋体" w:cs="Times New Roman"/>
                <w:color w:val="auto"/>
                <w:sz w:val="21"/>
                <w:szCs w:val="21"/>
                <w:highlight w:val="none"/>
              </w:rPr>
            </w:pPr>
            <w:r>
              <w:rPr>
                <w:rFonts w:ascii="Times New Roman" w:hAnsi="Times New Roman" w:eastAsia="宋体" w:cs="Times New Roman"/>
                <w:color w:val="auto"/>
                <w:spacing w:val="3"/>
                <w:sz w:val="21"/>
                <w:szCs w:val="21"/>
                <w:highlight w:val="none"/>
              </w:rPr>
              <w:t>液体</w:t>
            </w:r>
          </w:p>
        </w:tc>
        <w:tc>
          <w:tcPr>
            <w:tcW w:w="1198" w:type="dxa"/>
            <w:tcBorders>
              <w:tl2br w:val="nil"/>
              <w:tr2bl w:val="nil"/>
            </w:tcBorders>
            <w:vAlign w:val="center"/>
          </w:tcPr>
          <w:p w14:paraId="717BE7B6">
            <w:pPr>
              <w:keepNext w:val="0"/>
              <w:keepLines w:val="0"/>
              <w:widowControl/>
              <w:suppressLineNumbers w:val="0"/>
              <w:autoSpaceDE w:val="0"/>
              <w:autoSpaceDN w:val="0"/>
              <w:jc w:val="center"/>
              <w:textAlignment w:val="center"/>
              <w:rPr>
                <w:rFonts w:ascii="Times New Roman" w:hAnsi="Times New Roman" w:cs="Times New Roman"/>
                <w:color w:val="auto"/>
                <w:sz w:val="21"/>
                <w:szCs w:val="21"/>
                <w:highlight w:val="none"/>
                <w:lang w:eastAsia="en-US"/>
              </w:rPr>
            </w:pPr>
            <w:r>
              <w:rPr>
                <w:rFonts w:hint="default" w:ascii="Times New Roman" w:hAnsi="Times New Roman" w:eastAsia="等线" w:cs="Times New Roman"/>
                <w:i w:val="0"/>
                <w:iCs w:val="0"/>
                <w:color w:val="auto"/>
                <w:kern w:val="0"/>
                <w:sz w:val="21"/>
                <w:szCs w:val="21"/>
                <w:highlight w:val="none"/>
                <w:u w:val="none"/>
                <w:lang w:val="en-US" w:eastAsia="zh-CN" w:bidi="ar"/>
              </w:rPr>
              <w:t>12.58</w:t>
            </w:r>
          </w:p>
        </w:tc>
        <w:tc>
          <w:tcPr>
            <w:tcW w:w="1588" w:type="dxa"/>
            <w:tcBorders>
              <w:tl2br w:val="nil"/>
              <w:tr2bl w:val="nil"/>
            </w:tcBorders>
            <w:vAlign w:val="center"/>
          </w:tcPr>
          <w:p w14:paraId="087B7C7B">
            <w:pPr>
              <w:pStyle w:val="236"/>
              <w:keepNext w:val="0"/>
              <w:keepLines w:val="0"/>
              <w:pageBreakBefore w:val="0"/>
              <w:widowControl/>
              <w:kinsoku/>
              <w:wordWrap/>
              <w:overflowPunct/>
              <w:topLinePunct w:val="0"/>
              <w:autoSpaceDE/>
              <w:autoSpaceDN/>
              <w:bidi w:val="0"/>
              <w:ind w:left="0" w:right="0"/>
              <w:jc w:val="center"/>
              <w:rPr>
                <w:rFonts w:ascii="Times New Roman" w:hAnsi="Times New Roman" w:eastAsia="宋体" w:cs="Times New Roman"/>
                <w:color w:val="auto"/>
                <w:sz w:val="21"/>
                <w:szCs w:val="21"/>
                <w:highlight w:val="none"/>
                <w:lang w:eastAsia="zh-CN"/>
              </w:rPr>
            </w:pPr>
            <w:r>
              <w:rPr>
                <w:rFonts w:hint="eastAsia" w:ascii="Times New Roman" w:hAnsi="Times New Roman" w:eastAsia="宋体" w:cs="Times New Roman"/>
                <w:color w:val="auto"/>
                <w:spacing w:val="7"/>
                <w:sz w:val="21"/>
                <w:szCs w:val="21"/>
                <w:highlight w:val="none"/>
                <w:lang w:eastAsia="zh-CN"/>
              </w:rPr>
              <w:t>1</w:t>
            </w:r>
            <w:r>
              <w:rPr>
                <w:rFonts w:ascii="Times New Roman" w:hAnsi="Times New Roman" w:eastAsia="宋体" w:cs="Times New Roman"/>
                <w:color w:val="auto"/>
                <w:spacing w:val="7"/>
                <w:sz w:val="21"/>
                <w:szCs w:val="21"/>
                <w:highlight w:val="none"/>
              </w:rPr>
              <w:t>00</w:t>
            </w:r>
            <w:r>
              <w:rPr>
                <w:rFonts w:hint="eastAsia" w:ascii="Times New Roman" w:hAnsi="Times New Roman" w:eastAsia="宋体" w:cs="Times New Roman"/>
                <w:color w:val="auto"/>
                <w:spacing w:val="7"/>
                <w:sz w:val="21"/>
                <w:szCs w:val="21"/>
                <w:highlight w:val="none"/>
                <w:lang w:eastAsia="zh-CN"/>
              </w:rPr>
              <w:t>*</w:t>
            </w:r>
          </w:p>
        </w:tc>
        <w:tc>
          <w:tcPr>
            <w:tcW w:w="1379" w:type="dxa"/>
            <w:tcBorders>
              <w:tl2br w:val="nil"/>
              <w:tr2bl w:val="nil"/>
            </w:tcBorders>
            <w:vAlign w:val="center"/>
          </w:tcPr>
          <w:p w14:paraId="5C2E45E4">
            <w:pPr>
              <w:keepNext w:val="0"/>
              <w:keepLines w:val="0"/>
              <w:widowControl/>
              <w:suppressLineNumbers w:val="0"/>
              <w:autoSpaceDE w:val="0"/>
              <w:autoSpaceDN w:val="0"/>
              <w:jc w:val="center"/>
              <w:textAlignment w:val="center"/>
              <w:rPr>
                <w:rFonts w:ascii="Times New Roman" w:hAnsi="Times New Roman" w:cs="Times New Roman"/>
                <w:color w:val="auto"/>
                <w:sz w:val="21"/>
                <w:szCs w:val="21"/>
                <w:highlight w:val="none"/>
                <w:lang w:eastAsia="en-US"/>
              </w:rPr>
            </w:pPr>
            <w:r>
              <w:rPr>
                <w:rFonts w:hint="default" w:ascii="Times New Roman" w:hAnsi="Times New Roman" w:eastAsia="等线" w:cs="Times New Roman"/>
                <w:i w:val="0"/>
                <w:iCs w:val="0"/>
                <w:color w:val="auto"/>
                <w:kern w:val="0"/>
                <w:sz w:val="21"/>
                <w:szCs w:val="21"/>
                <w:highlight w:val="none"/>
                <w:u w:val="none"/>
                <w:lang w:val="en-US" w:eastAsia="zh-CN" w:bidi="ar"/>
              </w:rPr>
              <w:t>0.1258</w:t>
            </w:r>
          </w:p>
        </w:tc>
      </w:tr>
      <w:tr w14:paraId="3C0C14E7">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691" w:type="dxa"/>
            <w:vMerge w:val="continue"/>
            <w:tcBorders>
              <w:tl2br w:val="nil"/>
              <w:tr2bl w:val="nil"/>
            </w:tcBorders>
            <w:vAlign w:val="center"/>
          </w:tcPr>
          <w:p w14:paraId="3F80DAAE">
            <w:pPr>
              <w:keepNext w:val="0"/>
              <w:keepLines w:val="0"/>
              <w:pageBreakBefore w:val="0"/>
              <w:widowControl/>
              <w:kinsoku/>
              <w:wordWrap/>
              <w:overflowPunct/>
              <w:topLinePunct w:val="0"/>
              <w:autoSpaceDE/>
              <w:autoSpaceDN/>
              <w:bidi w:val="0"/>
              <w:ind w:left="0" w:right="0"/>
              <w:jc w:val="center"/>
              <w:rPr>
                <w:rFonts w:ascii="Times New Roman" w:hAnsi="Times New Roman" w:cs="Times New Roman"/>
                <w:color w:val="auto"/>
                <w:sz w:val="21"/>
                <w:szCs w:val="21"/>
                <w:highlight w:val="none"/>
                <w:lang w:eastAsia="en-US"/>
              </w:rPr>
            </w:pPr>
          </w:p>
        </w:tc>
        <w:tc>
          <w:tcPr>
            <w:tcW w:w="734" w:type="dxa"/>
            <w:vMerge w:val="continue"/>
            <w:tcBorders>
              <w:tl2br w:val="nil"/>
              <w:tr2bl w:val="nil"/>
            </w:tcBorders>
            <w:vAlign w:val="center"/>
          </w:tcPr>
          <w:p w14:paraId="7C47FFA3">
            <w:pPr>
              <w:keepNext w:val="0"/>
              <w:keepLines w:val="0"/>
              <w:pageBreakBefore w:val="0"/>
              <w:widowControl/>
              <w:kinsoku/>
              <w:wordWrap/>
              <w:overflowPunct/>
              <w:topLinePunct w:val="0"/>
              <w:autoSpaceDE/>
              <w:autoSpaceDN/>
              <w:bidi w:val="0"/>
              <w:ind w:left="0" w:right="0"/>
              <w:jc w:val="center"/>
              <w:rPr>
                <w:rFonts w:ascii="Times New Roman" w:hAnsi="Times New Roman" w:cs="Times New Roman"/>
                <w:color w:val="auto"/>
                <w:sz w:val="21"/>
                <w:szCs w:val="21"/>
                <w:highlight w:val="none"/>
                <w:lang w:eastAsia="en-US"/>
              </w:rPr>
            </w:pPr>
          </w:p>
        </w:tc>
        <w:tc>
          <w:tcPr>
            <w:tcW w:w="1948" w:type="dxa"/>
            <w:tcBorders>
              <w:tl2br w:val="nil"/>
              <w:tr2bl w:val="nil"/>
            </w:tcBorders>
            <w:vAlign w:val="center"/>
          </w:tcPr>
          <w:p w14:paraId="4F8D6BC3">
            <w:pPr>
              <w:pStyle w:val="236"/>
              <w:keepNext w:val="0"/>
              <w:keepLines w:val="0"/>
              <w:pageBreakBefore w:val="0"/>
              <w:widowControl/>
              <w:kinsoku/>
              <w:wordWrap/>
              <w:overflowPunct/>
              <w:topLinePunct w:val="0"/>
              <w:autoSpaceDE/>
              <w:autoSpaceDN/>
              <w:bidi w:val="0"/>
              <w:ind w:left="0" w:right="0"/>
              <w:jc w:val="center"/>
              <w:rPr>
                <w:rFonts w:ascii="Times New Roman" w:hAnsi="Times New Roman" w:eastAsia="宋体" w:cs="Times New Roman"/>
                <w:color w:val="auto"/>
                <w:sz w:val="21"/>
                <w:szCs w:val="21"/>
                <w:highlight w:val="none"/>
              </w:rPr>
            </w:pPr>
            <w:r>
              <w:rPr>
                <w:rFonts w:ascii="Times New Roman" w:hAnsi="Times New Roman" w:eastAsia="宋体" w:cs="Times New Roman"/>
                <w:color w:val="auto"/>
                <w:spacing w:val="8"/>
                <w:sz w:val="21"/>
                <w:szCs w:val="21"/>
                <w:highlight w:val="none"/>
              </w:rPr>
              <w:t>环氧丙烯酸树脂</w:t>
            </w:r>
          </w:p>
        </w:tc>
        <w:tc>
          <w:tcPr>
            <w:tcW w:w="966" w:type="dxa"/>
            <w:tcBorders>
              <w:tl2br w:val="nil"/>
              <w:tr2bl w:val="nil"/>
            </w:tcBorders>
            <w:vAlign w:val="center"/>
          </w:tcPr>
          <w:p w14:paraId="1DF21492">
            <w:pPr>
              <w:pStyle w:val="236"/>
              <w:keepNext w:val="0"/>
              <w:keepLines w:val="0"/>
              <w:pageBreakBefore w:val="0"/>
              <w:widowControl/>
              <w:kinsoku/>
              <w:wordWrap/>
              <w:overflowPunct/>
              <w:topLinePunct w:val="0"/>
              <w:autoSpaceDE/>
              <w:autoSpaceDN/>
              <w:bidi w:val="0"/>
              <w:ind w:left="0" w:right="0"/>
              <w:jc w:val="center"/>
              <w:rPr>
                <w:rFonts w:ascii="Times New Roman" w:hAnsi="Times New Roman" w:eastAsia="宋体" w:cs="Times New Roman"/>
                <w:color w:val="auto"/>
                <w:sz w:val="21"/>
                <w:szCs w:val="21"/>
                <w:highlight w:val="none"/>
              </w:rPr>
            </w:pPr>
            <w:r>
              <w:rPr>
                <w:rFonts w:ascii="Times New Roman" w:hAnsi="Times New Roman" w:eastAsia="宋体" w:cs="Times New Roman"/>
                <w:color w:val="auto"/>
                <w:spacing w:val="3"/>
                <w:sz w:val="21"/>
                <w:szCs w:val="21"/>
                <w:highlight w:val="none"/>
              </w:rPr>
              <w:t>液体</w:t>
            </w:r>
          </w:p>
        </w:tc>
        <w:tc>
          <w:tcPr>
            <w:tcW w:w="1198" w:type="dxa"/>
            <w:tcBorders>
              <w:tl2br w:val="nil"/>
              <w:tr2bl w:val="nil"/>
            </w:tcBorders>
            <w:vAlign w:val="center"/>
          </w:tcPr>
          <w:p w14:paraId="097FB477">
            <w:pPr>
              <w:keepNext w:val="0"/>
              <w:keepLines w:val="0"/>
              <w:widowControl/>
              <w:suppressLineNumbers w:val="0"/>
              <w:autoSpaceDE w:val="0"/>
              <w:autoSpaceDN w:val="0"/>
              <w:jc w:val="center"/>
              <w:textAlignment w:val="center"/>
              <w:rPr>
                <w:rFonts w:ascii="Times New Roman" w:hAnsi="Times New Roman" w:cs="Times New Roman"/>
                <w:color w:val="auto"/>
                <w:sz w:val="21"/>
                <w:szCs w:val="21"/>
                <w:highlight w:val="none"/>
                <w:lang w:eastAsia="en-US"/>
              </w:rPr>
            </w:pPr>
            <w:r>
              <w:rPr>
                <w:rFonts w:hint="default" w:ascii="Times New Roman" w:hAnsi="Times New Roman" w:eastAsia="等线" w:cs="Times New Roman"/>
                <w:i w:val="0"/>
                <w:iCs w:val="0"/>
                <w:color w:val="auto"/>
                <w:kern w:val="0"/>
                <w:sz w:val="21"/>
                <w:szCs w:val="21"/>
                <w:highlight w:val="none"/>
                <w:u w:val="none"/>
                <w:lang w:val="en-US" w:eastAsia="zh-CN" w:bidi="ar"/>
              </w:rPr>
              <w:t>23.42</w:t>
            </w:r>
          </w:p>
        </w:tc>
        <w:tc>
          <w:tcPr>
            <w:tcW w:w="1588" w:type="dxa"/>
            <w:tcBorders>
              <w:tl2br w:val="nil"/>
              <w:tr2bl w:val="nil"/>
            </w:tcBorders>
            <w:vAlign w:val="center"/>
          </w:tcPr>
          <w:p w14:paraId="1720CDC7">
            <w:pPr>
              <w:pStyle w:val="236"/>
              <w:keepNext w:val="0"/>
              <w:keepLines w:val="0"/>
              <w:pageBreakBefore w:val="0"/>
              <w:widowControl/>
              <w:kinsoku/>
              <w:wordWrap/>
              <w:overflowPunct/>
              <w:topLinePunct w:val="0"/>
              <w:autoSpaceDE/>
              <w:autoSpaceDN/>
              <w:bidi w:val="0"/>
              <w:ind w:left="0" w:right="0"/>
              <w:jc w:val="center"/>
              <w:rPr>
                <w:rFonts w:ascii="Times New Roman" w:hAnsi="Times New Roman" w:eastAsia="宋体" w:cs="Times New Roman"/>
                <w:color w:val="auto"/>
                <w:sz w:val="21"/>
                <w:szCs w:val="21"/>
                <w:highlight w:val="none"/>
              </w:rPr>
            </w:pPr>
            <w:r>
              <w:rPr>
                <w:rFonts w:hint="eastAsia" w:ascii="Times New Roman" w:hAnsi="Times New Roman" w:eastAsia="宋体" w:cs="Times New Roman"/>
                <w:color w:val="auto"/>
                <w:spacing w:val="7"/>
                <w:sz w:val="21"/>
                <w:szCs w:val="21"/>
                <w:highlight w:val="none"/>
                <w:lang w:eastAsia="zh-CN"/>
              </w:rPr>
              <w:t>1</w:t>
            </w:r>
            <w:r>
              <w:rPr>
                <w:rFonts w:ascii="Times New Roman" w:hAnsi="Times New Roman" w:eastAsia="宋体" w:cs="Times New Roman"/>
                <w:color w:val="auto"/>
                <w:spacing w:val="7"/>
                <w:sz w:val="21"/>
                <w:szCs w:val="21"/>
                <w:highlight w:val="none"/>
              </w:rPr>
              <w:t>00</w:t>
            </w:r>
            <w:r>
              <w:rPr>
                <w:rFonts w:hint="eastAsia" w:ascii="Times New Roman" w:hAnsi="Times New Roman" w:eastAsia="宋体" w:cs="Times New Roman"/>
                <w:color w:val="auto"/>
                <w:spacing w:val="7"/>
                <w:sz w:val="21"/>
                <w:szCs w:val="21"/>
                <w:highlight w:val="none"/>
                <w:lang w:eastAsia="zh-CN"/>
              </w:rPr>
              <w:t>*</w:t>
            </w:r>
          </w:p>
        </w:tc>
        <w:tc>
          <w:tcPr>
            <w:tcW w:w="1379" w:type="dxa"/>
            <w:tcBorders>
              <w:tl2br w:val="nil"/>
              <w:tr2bl w:val="nil"/>
            </w:tcBorders>
            <w:vAlign w:val="center"/>
          </w:tcPr>
          <w:p w14:paraId="179F7F5E">
            <w:pPr>
              <w:keepNext w:val="0"/>
              <w:keepLines w:val="0"/>
              <w:widowControl/>
              <w:suppressLineNumbers w:val="0"/>
              <w:autoSpaceDE w:val="0"/>
              <w:autoSpaceDN w:val="0"/>
              <w:jc w:val="center"/>
              <w:textAlignment w:val="center"/>
              <w:rPr>
                <w:rFonts w:ascii="Times New Roman" w:hAnsi="Times New Roman" w:cs="Times New Roman"/>
                <w:color w:val="auto"/>
                <w:sz w:val="21"/>
                <w:szCs w:val="21"/>
                <w:highlight w:val="none"/>
                <w:lang w:eastAsia="en-US"/>
              </w:rPr>
            </w:pPr>
            <w:r>
              <w:rPr>
                <w:rFonts w:hint="default" w:ascii="Times New Roman" w:hAnsi="Times New Roman" w:eastAsia="等线" w:cs="Times New Roman"/>
                <w:i w:val="0"/>
                <w:iCs w:val="0"/>
                <w:color w:val="auto"/>
                <w:kern w:val="0"/>
                <w:sz w:val="21"/>
                <w:szCs w:val="21"/>
                <w:highlight w:val="none"/>
                <w:u w:val="none"/>
                <w:lang w:val="en-US" w:eastAsia="zh-CN" w:bidi="ar"/>
              </w:rPr>
              <w:t>0.2342</w:t>
            </w:r>
          </w:p>
        </w:tc>
      </w:tr>
      <w:tr w14:paraId="57AA9232">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691" w:type="dxa"/>
            <w:vMerge w:val="continue"/>
            <w:tcBorders>
              <w:tl2br w:val="nil"/>
              <w:tr2bl w:val="nil"/>
            </w:tcBorders>
            <w:vAlign w:val="center"/>
          </w:tcPr>
          <w:p w14:paraId="38962EAB">
            <w:pPr>
              <w:keepNext w:val="0"/>
              <w:keepLines w:val="0"/>
              <w:pageBreakBefore w:val="0"/>
              <w:widowControl/>
              <w:kinsoku/>
              <w:wordWrap/>
              <w:overflowPunct/>
              <w:topLinePunct w:val="0"/>
              <w:autoSpaceDE/>
              <w:autoSpaceDN/>
              <w:bidi w:val="0"/>
              <w:ind w:left="0" w:right="0"/>
              <w:jc w:val="center"/>
              <w:rPr>
                <w:rFonts w:ascii="Times New Roman" w:hAnsi="Times New Roman" w:cs="Times New Roman"/>
                <w:color w:val="auto"/>
                <w:sz w:val="21"/>
                <w:szCs w:val="21"/>
                <w:highlight w:val="none"/>
                <w:lang w:eastAsia="en-US"/>
              </w:rPr>
            </w:pPr>
          </w:p>
        </w:tc>
        <w:tc>
          <w:tcPr>
            <w:tcW w:w="734" w:type="dxa"/>
            <w:vMerge w:val="continue"/>
            <w:tcBorders>
              <w:tl2br w:val="nil"/>
              <w:tr2bl w:val="nil"/>
            </w:tcBorders>
            <w:vAlign w:val="center"/>
          </w:tcPr>
          <w:p w14:paraId="64321D9C">
            <w:pPr>
              <w:keepNext w:val="0"/>
              <w:keepLines w:val="0"/>
              <w:pageBreakBefore w:val="0"/>
              <w:widowControl/>
              <w:kinsoku/>
              <w:wordWrap/>
              <w:overflowPunct/>
              <w:topLinePunct w:val="0"/>
              <w:autoSpaceDE/>
              <w:autoSpaceDN/>
              <w:bidi w:val="0"/>
              <w:ind w:left="0" w:right="0"/>
              <w:jc w:val="center"/>
              <w:rPr>
                <w:rFonts w:ascii="Times New Roman" w:hAnsi="Times New Roman" w:cs="Times New Roman"/>
                <w:color w:val="auto"/>
                <w:sz w:val="21"/>
                <w:szCs w:val="21"/>
                <w:highlight w:val="none"/>
                <w:lang w:eastAsia="en-US"/>
              </w:rPr>
            </w:pPr>
          </w:p>
        </w:tc>
        <w:tc>
          <w:tcPr>
            <w:tcW w:w="1948" w:type="dxa"/>
            <w:tcBorders>
              <w:tl2br w:val="nil"/>
              <w:tr2bl w:val="nil"/>
            </w:tcBorders>
            <w:vAlign w:val="center"/>
          </w:tcPr>
          <w:p w14:paraId="40069729">
            <w:pPr>
              <w:pStyle w:val="236"/>
              <w:keepNext w:val="0"/>
              <w:keepLines w:val="0"/>
              <w:pageBreakBefore w:val="0"/>
              <w:widowControl/>
              <w:kinsoku/>
              <w:wordWrap/>
              <w:overflowPunct/>
              <w:topLinePunct w:val="0"/>
              <w:autoSpaceDE/>
              <w:autoSpaceDN/>
              <w:bidi w:val="0"/>
              <w:ind w:left="0" w:right="0"/>
              <w:jc w:val="center"/>
              <w:rPr>
                <w:rFonts w:ascii="Times New Roman" w:hAnsi="Times New Roman" w:eastAsia="宋体" w:cs="Times New Roman"/>
                <w:color w:val="auto"/>
                <w:spacing w:val="8"/>
                <w:sz w:val="21"/>
                <w:szCs w:val="21"/>
                <w:highlight w:val="none"/>
                <w:lang w:eastAsia="zh-CN"/>
              </w:rPr>
            </w:pPr>
            <w:r>
              <w:rPr>
                <w:rFonts w:hint="eastAsia" w:ascii="Times New Roman" w:hAnsi="Times New Roman" w:eastAsia="宋体" w:cs="Times New Roman"/>
                <w:color w:val="auto"/>
                <w:spacing w:val="8"/>
                <w:sz w:val="21"/>
                <w:szCs w:val="21"/>
                <w:highlight w:val="none"/>
                <w:lang w:eastAsia="zh-CN"/>
              </w:rPr>
              <w:t>单体（二缩三丙二醇二丙烯酸酯）</w:t>
            </w:r>
          </w:p>
        </w:tc>
        <w:tc>
          <w:tcPr>
            <w:tcW w:w="966" w:type="dxa"/>
            <w:tcBorders>
              <w:tl2br w:val="nil"/>
              <w:tr2bl w:val="nil"/>
            </w:tcBorders>
            <w:vAlign w:val="center"/>
          </w:tcPr>
          <w:p w14:paraId="69F31F09">
            <w:pPr>
              <w:pStyle w:val="236"/>
              <w:keepNext w:val="0"/>
              <w:keepLines w:val="0"/>
              <w:pageBreakBefore w:val="0"/>
              <w:widowControl/>
              <w:kinsoku/>
              <w:wordWrap/>
              <w:overflowPunct/>
              <w:topLinePunct w:val="0"/>
              <w:autoSpaceDE/>
              <w:autoSpaceDN/>
              <w:bidi w:val="0"/>
              <w:ind w:left="0" w:right="0"/>
              <w:jc w:val="center"/>
              <w:rPr>
                <w:rFonts w:ascii="Times New Roman" w:hAnsi="Times New Roman" w:eastAsia="宋体" w:cs="Times New Roman"/>
                <w:color w:val="auto"/>
                <w:spacing w:val="3"/>
                <w:sz w:val="21"/>
                <w:szCs w:val="21"/>
                <w:highlight w:val="none"/>
                <w:lang w:eastAsia="zh-CN"/>
              </w:rPr>
            </w:pPr>
            <w:r>
              <w:rPr>
                <w:rFonts w:hint="eastAsia" w:ascii="Times New Roman" w:hAnsi="Times New Roman" w:eastAsia="宋体" w:cs="Times New Roman"/>
                <w:color w:val="auto"/>
                <w:spacing w:val="3"/>
                <w:sz w:val="21"/>
                <w:szCs w:val="21"/>
                <w:highlight w:val="none"/>
                <w:lang w:eastAsia="zh-CN"/>
              </w:rPr>
              <w:t>液体</w:t>
            </w:r>
          </w:p>
        </w:tc>
        <w:tc>
          <w:tcPr>
            <w:tcW w:w="1198" w:type="dxa"/>
            <w:tcBorders>
              <w:tl2br w:val="nil"/>
              <w:tr2bl w:val="nil"/>
            </w:tcBorders>
            <w:vAlign w:val="center"/>
          </w:tcPr>
          <w:p w14:paraId="7B865CF8">
            <w:pPr>
              <w:keepNext w:val="0"/>
              <w:keepLines w:val="0"/>
              <w:widowControl/>
              <w:suppressLineNumbers w:val="0"/>
              <w:autoSpaceDE w:val="0"/>
              <w:autoSpaceDN w:val="0"/>
              <w:jc w:val="center"/>
              <w:textAlignment w:val="center"/>
              <w:rPr>
                <w:rFonts w:ascii="Times New Roman" w:hAnsi="Times New Roman" w:cs="Times New Roman"/>
                <w:color w:val="auto"/>
                <w:spacing w:val="3"/>
                <w:sz w:val="21"/>
                <w:szCs w:val="21"/>
                <w:highlight w:val="none"/>
                <w:lang w:eastAsia="en-US"/>
              </w:rPr>
            </w:pPr>
            <w:r>
              <w:rPr>
                <w:rFonts w:hint="default" w:ascii="Times New Roman" w:hAnsi="Times New Roman" w:eastAsia="等线" w:cs="Times New Roman"/>
                <w:i w:val="0"/>
                <w:iCs w:val="0"/>
                <w:color w:val="auto"/>
                <w:kern w:val="0"/>
                <w:sz w:val="21"/>
                <w:szCs w:val="21"/>
                <w:highlight w:val="none"/>
                <w:u w:val="none"/>
                <w:lang w:val="en-US" w:eastAsia="zh-CN" w:bidi="ar"/>
              </w:rPr>
              <w:t>24.41</w:t>
            </w:r>
          </w:p>
        </w:tc>
        <w:tc>
          <w:tcPr>
            <w:tcW w:w="1588" w:type="dxa"/>
            <w:tcBorders>
              <w:tl2br w:val="nil"/>
              <w:tr2bl w:val="nil"/>
            </w:tcBorders>
            <w:vAlign w:val="center"/>
          </w:tcPr>
          <w:p w14:paraId="0666FDF6">
            <w:pPr>
              <w:pStyle w:val="236"/>
              <w:keepNext w:val="0"/>
              <w:keepLines w:val="0"/>
              <w:pageBreakBefore w:val="0"/>
              <w:widowControl/>
              <w:kinsoku/>
              <w:wordWrap/>
              <w:overflowPunct/>
              <w:topLinePunct w:val="0"/>
              <w:autoSpaceDE/>
              <w:autoSpaceDN/>
              <w:bidi w:val="0"/>
              <w:ind w:left="0" w:right="0"/>
              <w:jc w:val="center"/>
              <w:rPr>
                <w:rFonts w:ascii="Times New Roman" w:hAnsi="Times New Roman" w:eastAsia="宋体" w:cs="Times New Roman"/>
                <w:color w:val="auto"/>
                <w:spacing w:val="7"/>
                <w:sz w:val="21"/>
                <w:szCs w:val="21"/>
                <w:highlight w:val="none"/>
              </w:rPr>
            </w:pPr>
            <w:r>
              <w:rPr>
                <w:rFonts w:hint="eastAsia" w:ascii="Times New Roman" w:hAnsi="Times New Roman" w:eastAsia="宋体" w:cs="Times New Roman"/>
                <w:color w:val="auto"/>
                <w:spacing w:val="7"/>
                <w:sz w:val="21"/>
                <w:szCs w:val="21"/>
                <w:highlight w:val="none"/>
                <w:lang w:eastAsia="zh-CN"/>
              </w:rPr>
              <w:t>1</w:t>
            </w:r>
            <w:r>
              <w:rPr>
                <w:rFonts w:ascii="Times New Roman" w:hAnsi="Times New Roman" w:eastAsia="宋体" w:cs="Times New Roman"/>
                <w:color w:val="auto"/>
                <w:spacing w:val="7"/>
                <w:sz w:val="21"/>
                <w:szCs w:val="21"/>
                <w:highlight w:val="none"/>
              </w:rPr>
              <w:t>00</w:t>
            </w:r>
            <w:r>
              <w:rPr>
                <w:rFonts w:hint="eastAsia" w:ascii="Times New Roman" w:hAnsi="Times New Roman" w:eastAsia="宋体" w:cs="Times New Roman"/>
                <w:color w:val="auto"/>
                <w:spacing w:val="7"/>
                <w:sz w:val="21"/>
                <w:szCs w:val="21"/>
                <w:highlight w:val="none"/>
                <w:lang w:eastAsia="zh-CN"/>
              </w:rPr>
              <w:t>*</w:t>
            </w:r>
          </w:p>
        </w:tc>
        <w:tc>
          <w:tcPr>
            <w:tcW w:w="1379" w:type="dxa"/>
            <w:tcBorders>
              <w:tl2br w:val="nil"/>
              <w:tr2bl w:val="nil"/>
            </w:tcBorders>
            <w:vAlign w:val="center"/>
          </w:tcPr>
          <w:p w14:paraId="75586716">
            <w:pPr>
              <w:keepNext w:val="0"/>
              <w:keepLines w:val="0"/>
              <w:widowControl/>
              <w:suppressLineNumbers w:val="0"/>
              <w:autoSpaceDE w:val="0"/>
              <w:autoSpaceDN w:val="0"/>
              <w:jc w:val="center"/>
              <w:textAlignment w:val="center"/>
              <w:rPr>
                <w:rFonts w:ascii="Times New Roman" w:hAnsi="Times New Roman" w:cs="Times New Roman"/>
                <w:color w:val="auto"/>
                <w:sz w:val="21"/>
                <w:szCs w:val="21"/>
                <w:highlight w:val="none"/>
                <w:lang w:eastAsia="en-US"/>
              </w:rPr>
            </w:pPr>
            <w:r>
              <w:rPr>
                <w:rFonts w:hint="default" w:ascii="Times New Roman" w:hAnsi="Times New Roman" w:eastAsia="等线" w:cs="Times New Roman"/>
                <w:i w:val="0"/>
                <w:iCs w:val="0"/>
                <w:color w:val="auto"/>
                <w:kern w:val="0"/>
                <w:sz w:val="21"/>
                <w:szCs w:val="21"/>
                <w:highlight w:val="none"/>
                <w:u w:val="none"/>
                <w:lang w:val="en-US" w:eastAsia="zh-CN" w:bidi="ar"/>
              </w:rPr>
              <w:t>0.2441</w:t>
            </w:r>
          </w:p>
        </w:tc>
      </w:tr>
      <w:tr w14:paraId="0FCFD0E4">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691" w:type="dxa"/>
            <w:vMerge w:val="continue"/>
            <w:tcBorders>
              <w:tl2br w:val="nil"/>
              <w:tr2bl w:val="nil"/>
            </w:tcBorders>
            <w:vAlign w:val="center"/>
          </w:tcPr>
          <w:p w14:paraId="51D91015">
            <w:pPr>
              <w:keepNext w:val="0"/>
              <w:keepLines w:val="0"/>
              <w:pageBreakBefore w:val="0"/>
              <w:widowControl/>
              <w:kinsoku/>
              <w:wordWrap/>
              <w:overflowPunct/>
              <w:topLinePunct w:val="0"/>
              <w:autoSpaceDE/>
              <w:autoSpaceDN/>
              <w:bidi w:val="0"/>
              <w:ind w:left="0" w:right="0"/>
              <w:jc w:val="center"/>
              <w:rPr>
                <w:rFonts w:ascii="Times New Roman" w:hAnsi="Times New Roman" w:cs="Times New Roman"/>
                <w:color w:val="auto"/>
                <w:sz w:val="21"/>
                <w:szCs w:val="21"/>
                <w:highlight w:val="none"/>
                <w:lang w:eastAsia="en-US"/>
              </w:rPr>
            </w:pPr>
          </w:p>
        </w:tc>
        <w:tc>
          <w:tcPr>
            <w:tcW w:w="734" w:type="dxa"/>
            <w:vMerge w:val="continue"/>
            <w:tcBorders>
              <w:tl2br w:val="nil"/>
              <w:tr2bl w:val="nil"/>
            </w:tcBorders>
            <w:vAlign w:val="center"/>
          </w:tcPr>
          <w:p w14:paraId="4702BC38">
            <w:pPr>
              <w:keepNext w:val="0"/>
              <w:keepLines w:val="0"/>
              <w:pageBreakBefore w:val="0"/>
              <w:widowControl/>
              <w:kinsoku/>
              <w:wordWrap/>
              <w:overflowPunct/>
              <w:topLinePunct w:val="0"/>
              <w:autoSpaceDE/>
              <w:autoSpaceDN/>
              <w:bidi w:val="0"/>
              <w:ind w:left="0" w:right="0"/>
              <w:jc w:val="center"/>
              <w:rPr>
                <w:rFonts w:ascii="Times New Roman" w:hAnsi="Times New Roman" w:cs="Times New Roman"/>
                <w:color w:val="auto"/>
                <w:sz w:val="21"/>
                <w:szCs w:val="21"/>
                <w:highlight w:val="none"/>
                <w:lang w:eastAsia="en-US"/>
              </w:rPr>
            </w:pPr>
          </w:p>
        </w:tc>
        <w:tc>
          <w:tcPr>
            <w:tcW w:w="1948" w:type="dxa"/>
            <w:tcBorders>
              <w:tl2br w:val="nil"/>
              <w:tr2bl w:val="nil"/>
            </w:tcBorders>
            <w:vAlign w:val="center"/>
          </w:tcPr>
          <w:p w14:paraId="46E8F83A">
            <w:pPr>
              <w:pStyle w:val="236"/>
              <w:keepNext w:val="0"/>
              <w:keepLines w:val="0"/>
              <w:pageBreakBefore w:val="0"/>
              <w:widowControl/>
              <w:kinsoku/>
              <w:wordWrap/>
              <w:overflowPunct/>
              <w:topLinePunct w:val="0"/>
              <w:autoSpaceDE/>
              <w:autoSpaceDN/>
              <w:bidi w:val="0"/>
              <w:ind w:left="0" w:right="0"/>
              <w:jc w:val="center"/>
              <w:rPr>
                <w:rFonts w:ascii="Times New Roman" w:hAnsi="Times New Roman" w:eastAsia="宋体" w:cs="Times New Roman"/>
                <w:color w:val="auto"/>
                <w:spacing w:val="8"/>
                <w:sz w:val="21"/>
                <w:szCs w:val="21"/>
                <w:highlight w:val="none"/>
                <w:lang w:eastAsia="zh-CN"/>
              </w:rPr>
            </w:pPr>
            <w:r>
              <w:rPr>
                <w:rFonts w:hint="eastAsia" w:ascii="Times New Roman" w:hAnsi="Times New Roman" w:eastAsia="宋体" w:cs="Times New Roman"/>
                <w:color w:val="auto"/>
                <w:spacing w:val="8"/>
                <w:sz w:val="21"/>
                <w:szCs w:val="21"/>
                <w:highlight w:val="none"/>
                <w:lang w:eastAsia="zh-CN"/>
              </w:rPr>
              <w:t>光敏剂（1-羟环己基苯酮）</w:t>
            </w:r>
          </w:p>
        </w:tc>
        <w:tc>
          <w:tcPr>
            <w:tcW w:w="966" w:type="dxa"/>
            <w:tcBorders>
              <w:tl2br w:val="nil"/>
              <w:tr2bl w:val="nil"/>
            </w:tcBorders>
            <w:vAlign w:val="center"/>
          </w:tcPr>
          <w:p w14:paraId="613C6905">
            <w:pPr>
              <w:pStyle w:val="236"/>
              <w:keepNext w:val="0"/>
              <w:keepLines w:val="0"/>
              <w:pageBreakBefore w:val="0"/>
              <w:widowControl/>
              <w:kinsoku/>
              <w:wordWrap/>
              <w:overflowPunct/>
              <w:topLinePunct w:val="0"/>
              <w:autoSpaceDE/>
              <w:autoSpaceDN/>
              <w:bidi w:val="0"/>
              <w:ind w:left="0" w:right="0"/>
              <w:jc w:val="center"/>
              <w:rPr>
                <w:rFonts w:ascii="Times New Roman" w:hAnsi="Times New Roman" w:eastAsia="宋体" w:cs="Times New Roman"/>
                <w:color w:val="auto"/>
                <w:spacing w:val="3"/>
                <w:sz w:val="21"/>
                <w:szCs w:val="21"/>
                <w:highlight w:val="none"/>
                <w:lang w:eastAsia="zh-CN"/>
              </w:rPr>
            </w:pPr>
            <w:r>
              <w:rPr>
                <w:rFonts w:hint="eastAsia" w:ascii="Times New Roman" w:hAnsi="Times New Roman" w:eastAsia="宋体" w:cs="Times New Roman"/>
                <w:color w:val="auto"/>
                <w:spacing w:val="3"/>
                <w:sz w:val="21"/>
                <w:szCs w:val="21"/>
                <w:highlight w:val="none"/>
                <w:lang w:eastAsia="zh-CN"/>
              </w:rPr>
              <w:t>固体</w:t>
            </w:r>
          </w:p>
        </w:tc>
        <w:tc>
          <w:tcPr>
            <w:tcW w:w="1198" w:type="dxa"/>
            <w:tcBorders>
              <w:tl2br w:val="nil"/>
              <w:tr2bl w:val="nil"/>
            </w:tcBorders>
            <w:vAlign w:val="center"/>
          </w:tcPr>
          <w:p w14:paraId="38D5DCE0">
            <w:pPr>
              <w:keepNext w:val="0"/>
              <w:keepLines w:val="0"/>
              <w:widowControl/>
              <w:suppressLineNumbers w:val="0"/>
              <w:autoSpaceDE w:val="0"/>
              <w:autoSpaceDN w:val="0"/>
              <w:jc w:val="center"/>
              <w:textAlignment w:val="center"/>
              <w:rPr>
                <w:rFonts w:ascii="Times New Roman" w:hAnsi="Times New Roman" w:cs="Times New Roman"/>
                <w:color w:val="auto"/>
                <w:spacing w:val="3"/>
                <w:sz w:val="21"/>
                <w:szCs w:val="21"/>
                <w:highlight w:val="none"/>
                <w:lang w:eastAsia="en-US"/>
              </w:rPr>
            </w:pPr>
            <w:r>
              <w:rPr>
                <w:rFonts w:hint="default" w:ascii="Times New Roman" w:hAnsi="Times New Roman" w:eastAsia="等线" w:cs="Times New Roman"/>
                <w:i w:val="0"/>
                <w:iCs w:val="0"/>
                <w:color w:val="auto"/>
                <w:kern w:val="0"/>
                <w:sz w:val="21"/>
                <w:szCs w:val="21"/>
                <w:highlight w:val="none"/>
                <w:u w:val="none"/>
                <w:lang w:val="en-US" w:eastAsia="zh-CN" w:bidi="ar"/>
              </w:rPr>
              <w:t>11.61</w:t>
            </w:r>
          </w:p>
        </w:tc>
        <w:tc>
          <w:tcPr>
            <w:tcW w:w="1588" w:type="dxa"/>
            <w:tcBorders>
              <w:tl2br w:val="nil"/>
              <w:tr2bl w:val="nil"/>
            </w:tcBorders>
            <w:vAlign w:val="center"/>
          </w:tcPr>
          <w:p w14:paraId="5ECB9555">
            <w:pPr>
              <w:pStyle w:val="236"/>
              <w:keepNext w:val="0"/>
              <w:keepLines w:val="0"/>
              <w:pageBreakBefore w:val="0"/>
              <w:widowControl/>
              <w:kinsoku/>
              <w:wordWrap/>
              <w:overflowPunct/>
              <w:topLinePunct w:val="0"/>
              <w:autoSpaceDE/>
              <w:autoSpaceDN/>
              <w:bidi w:val="0"/>
              <w:ind w:left="0" w:right="0"/>
              <w:jc w:val="center"/>
              <w:rPr>
                <w:rFonts w:ascii="Times New Roman" w:hAnsi="Times New Roman" w:eastAsia="宋体" w:cs="Times New Roman"/>
                <w:color w:val="auto"/>
                <w:spacing w:val="7"/>
                <w:sz w:val="21"/>
                <w:szCs w:val="21"/>
                <w:highlight w:val="none"/>
              </w:rPr>
            </w:pPr>
            <w:r>
              <w:rPr>
                <w:rFonts w:hint="eastAsia" w:ascii="Times New Roman" w:hAnsi="Times New Roman" w:eastAsia="宋体" w:cs="Times New Roman"/>
                <w:color w:val="auto"/>
                <w:spacing w:val="7"/>
                <w:sz w:val="21"/>
                <w:szCs w:val="21"/>
                <w:highlight w:val="none"/>
                <w:lang w:eastAsia="zh-CN"/>
              </w:rPr>
              <w:t>1</w:t>
            </w:r>
            <w:r>
              <w:rPr>
                <w:rFonts w:ascii="Times New Roman" w:hAnsi="Times New Roman" w:eastAsia="宋体" w:cs="Times New Roman"/>
                <w:color w:val="auto"/>
                <w:spacing w:val="7"/>
                <w:sz w:val="21"/>
                <w:szCs w:val="21"/>
                <w:highlight w:val="none"/>
              </w:rPr>
              <w:t>00</w:t>
            </w:r>
            <w:r>
              <w:rPr>
                <w:rFonts w:hint="eastAsia" w:ascii="Times New Roman" w:hAnsi="Times New Roman" w:eastAsia="宋体" w:cs="Times New Roman"/>
                <w:color w:val="auto"/>
                <w:spacing w:val="7"/>
                <w:sz w:val="21"/>
                <w:szCs w:val="21"/>
                <w:highlight w:val="none"/>
                <w:lang w:eastAsia="zh-CN"/>
              </w:rPr>
              <w:t>*</w:t>
            </w:r>
          </w:p>
        </w:tc>
        <w:tc>
          <w:tcPr>
            <w:tcW w:w="1379" w:type="dxa"/>
            <w:tcBorders>
              <w:tl2br w:val="nil"/>
              <w:tr2bl w:val="nil"/>
            </w:tcBorders>
            <w:vAlign w:val="center"/>
          </w:tcPr>
          <w:p w14:paraId="4B8D226A">
            <w:pPr>
              <w:keepNext w:val="0"/>
              <w:keepLines w:val="0"/>
              <w:widowControl/>
              <w:suppressLineNumbers w:val="0"/>
              <w:autoSpaceDE w:val="0"/>
              <w:autoSpaceDN w:val="0"/>
              <w:jc w:val="center"/>
              <w:textAlignment w:val="center"/>
              <w:rPr>
                <w:rFonts w:ascii="Times New Roman" w:hAnsi="Times New Roman" w:cs="Times New Roman"/>
                <w:color w:val="auto"/>
                <w:sz w:val="21"/>
                <w:szCs w:val="21"/>
                <w:highlight w:val="none"/>
                <w:lang w:eastAsia="en-US"/>
              </w:rPr>
            </w:pPr>
            <w:r>
              <w:rPr>
                <w:rFonts w:hint="default" w:ascii="Times New Roman" w:hAnsi="Times New Roman" w:eastAsia="等线" w:cs="Times New Roman"/>
                <w:i w:val="0"/>
                <w:iCs w:val="0"/>
                <w:color w:val="auto"/>
                <w:kern w:val="0"/>
                <w:sz w:val="21"/>
                <w:szCs w:val="21"/>
                <w:highlight w:val="none"/>
                <w:u w:val="none"/>
                <w:lang w:val="en-US" w:eastAsia="zh-CN" w:bidi="ar"/>
              </w:rPr>
              <w:t>0.1161</w:t>
            </w:r>
          </w:p>
        </w:tc>
      </w:tr>
      <w:tr w14:paraId="16B218C2">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691" w:type="dxa"/>
            <w:vMerge w:val="continue"/>
            <w:tcBorders>
              <w:tl2br w:val="nil"/>
              <w:tr2bl w:val="nil"/>
            </w:tcBorders>
            <w:vAlign w:val="center"/>
          </w:tcPr>
          <w:p w14:paraId="48046FD6">
            <w:pPr>
              <w:keepNext w:val="0"/>
              <w:keepLines w:val="0"/>
              <w:pageBreakBefore w:val="0"/>
              <w:widowControl/>
              <w:kinsoku/>
              <w:wordWrap/>
              <w:overflowPunct/>
              <w:topLinePunct w:val="0"/>
              <w:autoSpaceDE/>
              <w:autoSpaceDN/>
              <w:bidi w:val="0"/>
              <w:ind w:left="0" w:right="0"/>
              <w:jc w:val="center"/>
              <w:rPr>
                <w:rFonts w:ascii="Times New Roman" w:hAnsi="Times New Roman" w:cs="Times New Roman"/>
                <w:color w:val="auto"/>
                <w:sz w:val="21"/>
                <w:szCs w:val="21"/>
                <w:highlight w:val="none"/>
                <w:lang w:eastAsia="en-US"/>
              </w:rPr>
            </w:pPr>
          </w:p>
        </w:tc>
        <w:tc>
          <w:tcPr>
            <w:tcW w:w="734" w:type="dxa"/>
            <w:vMerge w:val="restart"/>
            <w:tcBorders>
              <w:tl2br w:val="nil"/>
              <w:tr2bl w:val="nil"/>
            </w:tcBorders>
            <w:vAlign w:val="center"/>
          </w:tcPr>
          <w:p w14:paraId="147B18F7">
            <w:pPr>
              <w:pStyle w:val="236"/>
              <w:keepNext w:val="0"/>
              <w:keepLines w:val="0"/>
              <w:pageBreakBefore w:val="0"/>
              <w:widowControl/>
              <w:kinsoku/>
              <w:wordWrap/>
              <w:overflowPunct/>
              <w:topLinePunct w:val="0"/>
              <w:autoSpaceDE/>
              <w:autoSpaceDN/>
              <w:bidi w:val="0"/>
              <w:ind w:left="0" w:right="0"/>
              <w:jc w:val="center"/>
              <w:rPr>
                <w:rFonts w:ascii="Times New Roman" w:hAnsi="Times New Roman" w:eastAsia="宋体" w:cs="Times New Roman"/>
                <w:color w:val="auto"/>
                <w:sz w:val="21"/>
                <w:szCs w:val="21"/>
                <w:highlight w:val="none"/>
                <w:lang w:eastAsia="zh-CN"/>
              </w:rPr>
            </w:pPr>
            <w:r>
              <w:rPr>
                <w:rFonts w:ascii="Times New Roman" w:hAnsi="Times New Roman" w:eastAsia="宋体" w:cs="Times New Roman"/>
                <w:color w:val="auto"/>
                <w:spacing w:val="4"/>
                <w:sz w:val="21"/>
                <w:szCs w:val="21"/>
                <w:highlight w:val="none"/>
              </w:rPr>
              <w:t>环氧</w:t>
            </w:r>
            <w:r>
              <w:rPr>
                <w:rFonts w:ascii="Times New Roman" w:hAnsi="Times New Roman" w:eastAsia="宋体" w:cs="Times New Roman"/>
                <w:color w:val="auto"/>
                <w:spacing w:val="2"/>
                <w:sz w:val="21"/>
                <w:szCs w:val="21"/>
                <w:highlight w:val="none"/>
              </w:rPr>
              <w:t>丙烯</w:t>
            </w:r>
            <w:r>
              <w:rPr>
                <w:rFonts w:ascii="Times New Roman" w:hAnsi="Times New Roman" w:eastAsia="宋体" w:cs="Times New Roman"/>
                <w:color w:val="auto"/>
                <w:spacing w:val="4"/>
                <w:sz w:val="21"/>
                <w:szCs w:val="21"/>
                <w:highlight w:val="none"/>
              </w:rPr>
              <w:t>酸</w:t>
            </w:r>
            <w:r>
              <w:rPr>
                <w:rFonts w:hint="eastAsia" w:ascii="Times New Roman" w:hAnsi="Times New Roman" w:eastAsia="宋体" w:cs="Times New Roman"/>
                <w:color w:val="auto"/>
                <w:spacing w:val="4"/>
                <w:sz w:val="21"/>
                <w:szCs w:val="21"/>
                <w:highlight w:val="none"/>
                <w:lang w:eastAsia="zh-CN"/>
              </w:rPr>
              <w:t>树脂</w:t>
            </w:r>
          </w:p>
        </w:tc>
        <w:tc>
          <w:tcPr>
            <w:tcW w:w="1948" w:type="dxa"/>
            <w:tcBorders>
              <w:tl2br w:val="nil"/>
              <w:tr2bl w:val="nil"/>
            </w:tcBorders>
            <w:vAlign w:val="center"/>
          </w:tcPr>
          <w:p w14:paraId="1DD7DE95">
            <w:pPr>
              <w:pStyle w:val="236"/>
              <w:keepNext w:val="0"/>
              <w:keepLines w:val="0"/>
              <w:pageBreakBefore w:val="0"/>
              <w:widowControl/>
              <w:kinsoku/>
              <w:wordWrap/>
              <w:overflowPunct/>
              <w:topLinePunct w:val="0"/>
              <w:autoSpaceDE/>
              <w:autoSpaceDN/>
              <w:bidi w:val="0"/>
              <w:ind w:left="0" w:right="0"/>
              <w:jc w:val="center"/>
              <w:rPr>
                <w:rFonts w:ascii="Times New Roman" w:hAnsi="Times New Roman" w:eastAsia="宋体" w:cs="Times New Roman"/>
                <w:color w:val="auto"/>
                <w:sz w:val="21"/>
                <w:szCs w:val="21"/>
                <w:highlight w:val="none"/>
              </w:rPr>
            </w:pPr>
            <w:r>
              <w:rPr>
                <w:rFonts w:ascii="Times New Roman" w:hAnsi="Times New Roman" w:eastAsia="宋体" w:cs="Times New Roman"/>
                <w:color w:val="auto"/>
                <w:spacing w:val="8"/>
                <w:sz w:val="21"/>
                <w:szCs w:val="21"/>
                <w:highlight w:val="none"/>
              </w:rPr>
              <w:t>酚醛环氧树脂</w:t>
            </w:r>
          </w:p>
        </w:tc>
        <w:tc>
          <w:tcPr>
            <w:tcW w:w="966" w:type="dxa"/>
            <w:tcBorders>
              <w:tl2br w:val="nil"/>
              <w:tr2bl w:val="nil"/>
            </w:tcBorders>
            <w:vAlign w:val="center"/>
          </w:tcPr>
          <w:p w14:paraId="3DEBDCE0">
            <w:pPr>
              <w:pStyle w:val="236"/>
              <w:keepNext w:val="0"/>
              <w:keepLines w:val="0"/>
              <w:pageBreakBefore w:val="0"/>
              <w:widowControl/>
              <w:kinsoku/>
              <w:wordWrap/>
              <w:overflowPunct/>
              <w:topLinePunct w:val="0"/>
              <w:autoSpaceDE/>
              <w:autoSpaceDN/>
              <w:bidi w:val="0"/>
              <w:ind w:left="0" w:right="0"/>
              <w:jc w:val="center"/>
              <w:rPr>
                <w:rFonts w:ascii="Times New Roman" w:hAnsi="Times New Roman" w:eastAsia="宋体" w:cs="Times New Roman"/>
                <w:color w:val="auto"/>
                <w:sz w:val="21"/>
                <w:szCs w:val="21"/>
                <w:highlight w:val="none"/>
              </w:rPr>
            </w:pPr>
            <w:r>
              <w:rPr>
                <w:rFonts w:ascii="Times New Roman" w:hAnsi="Times New Roman" w:eastAsia="宋体" w:cs="Times New Roman"/>
                <w:color w:val="auto"/>
                <w:spacing w:val="-5"/>
                <w:sz w:val="21"/>
                <w:szCs w:val="21"/>
                <w:highlight w:val="none"/>
              </w:rPr>
              <w:t>固体</w:t>
            </w:r>
          </w:p>
        </w:tc>
        <w:tc>
          <w:tcPr>
            <w:tcW w:w="1198" w:type="dxa"/>
            <w:tcBorders>
              <w:tl2br w:val="nil"/>
              <w:tr2bl w:val="nil"/>
            </w:tcBorders>
            <w:vAlign w:val="center"/>
          </w:tcPr>
          <w:p w14:paraId="145BCC0E">
            <w:pPr>
              <w:keepNext w:val="0"/>
              <w:keepLines w:val="0"/>
              <w:widowControl/>
              <w:suppressLineNumbers w:val="0"/>
              <w:autoSpaceDE w:val="0"/>
              <w:autoSpaceDN w:val="0"/>
              <w:jc w:val="center"/>
              <w:textAlignment w:val="center"/>
              <w:rPr>
                <w:rFonts w:ascii="Times New Roman" w:hAnsi="Times New Roman" w:cs="Times New Roman"/>
                <w:color w:val="auto"/>
                <w:sz w:val="21"/>
                <w:szCs w:val="21"/>
                <w:highlight w:val="none"/>
                <w:lang w:eastAsia="en-US"/>
              </w:rPr>
            </w:pPr>
            <w:r>
              <w:rPr>
                <w:rFonts w:hint="default" w:ascii="Times New Roman" w:hAnsi="Times New Roman" w:eastAsia="等线" w:cs="Times New Roman"/>
                <w:i w:val="0"/>
                <w:iCs w:val="0"/>
                <w:color w:val="auto"/>
                <w:kern w:val="0"/>
                <w:sz w:val="21"/>
                <w:szCs w:val="21"/>
                <w:highlight w:val="none"/>
                <w:u w:val="none"/>
                <w:lang w:val="en-US" w:eastAsia="zh-CN" w:bidi="ar"/>
              </w:rPr>
              <w:t>13.43</w:t>
            </w:r>
          </w:p>
        </w:tc>
        <w:tc>
          <w:tcPr>
            <w:tcW w:w="1588" w:type="dxa"/>
            <w:tcBorders>
              <w:tl2br w:val="nil"/>
              <w:tr2bl w:val="nil"/>
            </w:tcBorders>
            <w:vAlign w:val="center"/>
          </w:tcPr>
          <w:p w14:paraId="4AF2178E">
            <w:pPr>
              <w:pStyle w:val="236"/>
              <w:keepNext w:val="0"/>
              <w:keepLines w:val="0"/>
              <w:pageBreakBefore w:val="0"/>
              <w:widowControl/>
              <w:kinsoku/>
              <w:wordWrap/>
              <w:overflowPunct/>
              <w:topLinePunct w:val="0"/>
              <w:autoSpaceDE/>
              <w:autoSpaceDN/>
              <w:bidi w:val="0"/>
              <w:ind w:left="0" w:right="0"/>
              <w:jc w:val="center"/>
              <w:rPr>
                <w:rFonts w:ascii="Times New Roman" w:hAnsi="Times New Roman" w:eastAsia="宋体" w:cs="Times New Roman"/>
                <w:color w:val="auto"/>
                <w:sz w:val="21"/>
                <w:szCs w:val="21"/>
                <w:highlight w:val="none"/>
              </w:rPr>
            </w:pPr>
            <w:r>
              <w:rPr>
                <w:rFonts w:hint="eastAsia" w:ascii="Times New Roman" w:hAnsi="Times New Roman" w:eastAsia="宋体" w:cs="Times New Roman"/>
                <w:color w:val="auto"/>
                <w:spacing w:val="7"/>
                <w:sz w:val="21"/>
                <w:szCs w:val="21"/>
                <w:highlight w:val="none"/>
                <w:lang w:eastAsia="zh-CN"/>
              </w:rPr>
              <w:t>1</w:t>
            </w:r>
            <w:r>
              <w:rPr>
                <w:rFonts w:ascii="Times New Roman" w:hAnsi="Times New Roman" w:eastAsia="宋体" w:cs="Times New Roman"/>
                <w:color w:val="auto"/>
                <w:spacing w:val="7"/>
                <w:sz w:val="21"/>
                <w:szCs w:val="21"/>
                <w:highlight w:val="none"/>
              </w:rPr>
              <w:t>00</w:t>
            </w:r>
            <w:r>
              <w:rPr>
                <w:rFonts w:hint="eastAsia" w:ascii="Times New Roman" w:hAnsi="Times New Roman" w:eastAsia="宋体" w:cs="Times New Roman"/>
                <w:color w:val="auto"/>
                <w:spacing w:val="7"/>
                <w:sz w:val="21"/>
                <w:szCs w:val="21"/>
                <w:highlight w:val="none"/>
                <w:lang w:eastAsia="zh-CN"/>
              </w:rPr>
              <w:t>*</w:t>
            </w:r>
          </w:p>
        </w:tc>
        <w:tc>
          <w:tcPr>
            <w:tcW w:w="1379" w:type="dxa"/>
            <w:tcBorders>
              <w:tl2br w:val="nil"/>
              <w:tr2bl w:val="nil"/>
            </w:tcBorders>
            <w:vAlign w:val="center"/>
          </w:tcPr>
          <w:p w14:paraId="6F7210C7">
            <w:pPr>
              <w:keepNext w:val="0"/>
              <w:keepLines w:val="0"/>
              <w:widowControl/>
              <w:suppressLineNumbers w:val="0"/>
              <w:autoSpaceDE w:val="0"/>
              <w:autoSpaceDN w:val="0"/>
              <w:jc w:val="center"/>
              <w:textAlignment w:val="center"/>
              <w:rPr>
                <w:rFonts w:ascii="Times New Roman" w:hAnsi="Times New Roman" w:cs="Times New Roman"/>
                <w:color w:val="auto"/>
                <w:sz w:val="21"/>
                <w:szCs w:val="21"/>
                <w:highlight w:val="none"/>
                <w:lang w:eastAsia="en-US"/>
              </w:rPr>
            </w:pPr>
            <w:r>
              <w:rPr>
                <w:rFonts w:hint="default" w:ascii="Times New Roman" w:hAnsi="Times New Roman" w:eastAsia="等线" w:cs="Times New Roman"/>
                <w:i w:val="0"/>
                <w:iCs w:val="0"/>
                <w:color w:val="auto"/>
                <w:kern w:val="0"/>
                <w:sz w:val="21"/>
                <w:szCs w:val="21"/>
                <w:highlight w:val="none"/>
                <w:u w:val="none"/>
                <w:lang w:val="en-US" w:eastAsia="zh-CN" w:bidi="ar"/>
              </w:rPr>
              <w:t>0.1343</w:t>
            </w:r>
          </w:p>
        </w:tc>
      </w:tr>
      <w:tr w14:paraId="244E354D">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691" w:type="dxa"/>
            <w:vMerge w:val="continue"/>
            <w:tcBorders>
              <w:tl2br w:val="nil"/>
              <w:tr2bl w:val="nil"/>
            </w:tcBorders>
            <w:vAlign w:val="center"/>
          </w:tcPr>
          <w:p w14:paraId="4193D87D">
            <w:pPr>
              <w:keepNext w:val="0"/>
              <w:keepLines w:val="0"/>
              <w:pageBreakBefore w:val="0"/>
              <w:widowControl/>
              <w:kinsoku/>
              <w:wordWrap/>
              <w:overflowPunct/>
              <w:topLinePunct w:val="0"/>
              <w:autoSpaceDE/>
              <w:autoSpaceDN/>
              <w:bidi w:val="0"/>
              <w:ind w:left="0" w:right="0"/>
              <w:jc w:val="center"/>
              <w:rPr>
                <w:rFonts w:ascii="Times New Roman" w:hAnsi="Times New Roman" w:cs="Times New Roman"/>
                <w:color w:val="auto"/>
                <w:sz w:val="21"/>
                <w:szCs w:val="21"/>
                <w:highlight w:val="none"/>
                <w:lang w:eastAsia="en-US"/>
              </w:rPr>
            </w:pPr>
          </w:p>
        </w:tc>
        <w:tc>
          <w:tcPr>
            <w:tcW w:w="734" w:type="dxa"/>
            <w:vMerge w:val="continue"/>
            <w:tcBorders>
              <w:tl2br w:val="nil"/>
              <w:tr2bl w:val="nil"/>
            </w:tcBorders>
            <w:vAlign w:val="center"/>
          </w:tcPr>
          <w:p w14:paraId="6E475BA3">
            <w:pPr>
              <w:pStyle w:val="236"/>
              <w:keepNext w:val="0"/>
              <w:keepLines w:val="0"/>
              <w:pageBreakBefore w:val="0"/>
              <w:widowControl/>
              <w:kinsoku/>
              <w:wordWrap/>
              <w:overflowPunct/>
              <w:topLinePunct w:val="0"/>
              <w:autoSpaceDE/>
              <w:autoSpaceDN/>
              <w:bidi w:val="0"/>
              <w:ind w:left="0" w:right="0"/>
              <w:jc w:val="center"/>
              <w:rPr>
                <w:rFonts w:ascii="Times New Roman" w:hAnsi="Times New Roman" w:eastAsia="宋体" w:cs="Times New Roman"/>
                <w:color w:val="auto"/>
                <w:sz w:val="21"/>
                <w:szCs w:val="21"/>
                <w:highlight w:val="none"/>
              </w:rPr>
            </w:pPr>
          </w:p>
        </w:tc>
        <w:tc>
          <w:tcPr>
            <w:tcW w:w="1948" w:type="dxa"/>
            <w:tcBorders>
              <w:tl2br w:val="nil"/>
              <w:tr2bl w:val="nil"/>
            </w:tcBorders>
            <w:vAlign w:val="center"/>
          </w:tcPr>
          <w:p w14:paraId="412228B2">
            <w:pPr>
              <w:pStyle w:val="236"/>
              <w:keepNext w:val="0"/>
              <w:keepLines w:val="0"/>
              <w:pageBreakBefore w:val="0"/>
              <w:widowControl/>
              <w:kinsoku/>
              <w:wordWrap/>
              <w:overflowPunct/>
              <w:topLinePunct w:val="0"/>
              <w:autoSpaceDE/>
              <w:autoSpaceDN/>
              <w:bidi w:val="0"/>
              <w:ind w:left="0" w:right="0"/>
              <w:jc w:val="center"/>
              <w:rPr>
                <w:rFonts w:ascii="Times New Roman" w:hAnsi="Times New Roman" w:eastAsia="宋体" w:cs="Times New Roman"/>
                <w:color w:val="auto"/>
                <w:sz w:val="21"/>
                <w:szCs w:val="21"/>
                <w:highlight w:val="none"/>
              </w:rPr>
            </w:pPr>
            <w:r>
              <w:rPr>
                <w:rFonts w:ascii="Times New Roman" w:hAnsi="Times New Roman" w:eastAsia="宋体" w:cs="Times New Roman"/>
                <w:color w:val="auto"/>
                <w:spacing w:val="5"/>
                <w:sz w:val="21"/>
                <w:szCs w:val="21"/>
                <w:highlight w:val="none"/>
              </w:rPr>
              <w:t>丙烯酸</w:t>
            </w:r>
          </w:p>
        </w:tc>
        <w:tc>
          <w:tcPr>
            <w:tcW w:w="966" w:type="dxa"/>
            <w:tcBorders>
              <w:tl2br w:val="nil"/>
              <w:tr2bl w:val="nil"/>
            </w:tcBorders>
            <w:vAlign w:val="center"/>
          </w:tcPr>
          <w:p w14:paraId="52A9A115">
            <w:pPr>
              <w:pStyle w:val="236"/>
              <w:keepNext w:val="0"/>
              <w:keepLines w:val="0"/>
              <w:pageBreakBefore w:val="0"/>
              <w:widowControl/>
              <w:kinsoku/>
              <w:wordWrap/>
              <w:overflowPunct/>
              <w:topLinePunct w:val="0"/>
              <w:autoSpaceDE/>
              <w:autoSpaceDN/>
              <w:bidi w:val="0"/>
              <w:ind w:left="0" w:right="0"/>
              <w:jc w:val="center"/>
              <w:rPr>
                <w:rFonts w:ascii="Times New Roman" w:hAnsi="Times New Roman" w:eastAsia="宋体" w:cs="Times New Roman"/>
                <w:color w:val="auto"/>
                <w:sz w:val="21"/>
                <w:szCs w:val="21"/>
                <w:highlight w:val="none"/>
              </w:rPr>
            </w:pPr>
            <w:r>
              <w:rPr>
                <w:rFonts w:ascii="Times New Roman" w:hAnsi="Times New Roman" w:eastAsia="宋体" w:cs="Times New Roman"/>
                <w:color w:val="auto"/>
                <w:spacing w:val="3"/>
                <w:sz w:val="21"/>
                <w:szCs w:val="21"/>
                <w:highlight w:val="none"/>
              </w:rPr>
              <w:t>液体</w:t>
            </w:r>
          </w:p>
        </w:tc>
        <w:tc>
          <w:tcPr>
            <w:tcW w:w="1198" w:type="dxa"/>
            <w:tcBorders>
              <w:tl2br w:val="nil"/>
              <w:tr2bl w:val="nil"/>
            </w:tcBorders>
            <w:vAlign w:val="center"/>
          </w:tcPr>
          <w:p w14:paraId="17FF1F53">
            <w:pPr>
              <w:keepNext w:val="0"/>
              <w:keepLines w:val="0"/>
              <w:widowControl/>
              <w:suppressLineNumbers w:val="0"/>
              <w:autoSpaceDE w:val="0"/>
              <w:autoSpaceDN w:val="0"/>
              <w:jc w:val="center"/>
              <w:textAlignment w:val="center"/>
              <w:rPr>
                <w:rFonts w:ascii="Times New Roman" w:hAnsi="Times New Roman" w:cs="Times New Roman"/>
                <w:color w:val="auto"/>
                <w:sz w:val="21"/>
                <w:szCs w:val="21"/>
                <w:highlight w:val="none"/>
                <w:lang w:eastAsia="en-US"/>
              </w:rPr>
            </w:pPr>
            <w:r>
              <w:rPr>
                <w:rFonts w:hint="default" w:ascii="Times New Roman" w:hAnsi="Times New Roman" w:eastAsia="等线" w:cs="Times New Roman"/>
                <w:i w:val="0"/>
                <w:iCs w:val="0"/>
                <w:color w:val="auto"/>
                <w:kern w:val="0"/>
                <w:sz w:val="21"/>
                <w:szCs w:val="21"/>
                <w:highlight w:val="none"/>
                <w:u w:val="none"/>
                <w:lang w:val="en-US" w:eastAsia="zh-CN" w:bidi="ar"/>
              </w:rPr>
              <w:t>16.82</w:t>
            </w:r>
          </w:p>
        </w:tc>
        <w:tc>
          <w:tcPr>
            <w:tcW w:w="1588" w:type="dxa"/>
            <w:tcBorders>
              <w:tl2br w:val="nil"/>
              <w:tr2bl w:val="nil"/>
            </w:tcBorders>
            <w:vAlign w:val="center"/>
          </w:tcPr>
          <w:p w14:paraId="35B4C67E">
            <w:pPr>
              <w:pStyle w:val="236"/>
              <w:keepNext w:val="0"/>
              <w:keepLines w:val="0"/>
              <w:pageBreakBefore w:val="0"/>
              <w:widowControl/>
              <w:kinsoku/>
              <w:wordWrap/>
              <w:overflowPunct/>
              <w:topLinePunct w:val="0"/>
              <w:autoSpaceDE/>
              <w:autoSpaceDN/>
              <w:bidi w:val="0"/>
              <w:ind w:left="0" w:right="0"/>
              <w:jc w:val="center"/>
              <w:rPr>
                <w:rFonts w:ascii="Times New Roman" w:hAnsi="Times New Roman" w:eastAsia="宋体" w:cs="Times New Roman"/>
                <w:color w:val="auto"/>
                <w:sz w:val="21"/>
                <w:szCs w:val="21"/>
                <w:highlight w:val="none"/>
              </w:rPr>
            </w:pPr>
            <w:r>
              <w:rPr>
                <w:rFonts w:hint="eastAsia" w:ascii="Times New Roman" w:hAnsi="Times New Roman" w:eastAsia="宋体" w:cs="Times New Roman"/>
                <w:color w:val="auto"/>
                <w:spacing w:val="7"/>
                <w:sz w:val="21"/>
                <w:szCs w:val="21"/>
                <w:highlight w:val="none"/>
                <w:lang w:eastAsia="zh-CN"/>
              </w:rPr>
              <w:t>1</w:t>
            </w:r>
            <w:r>
              <w:rPr>
                <w:rFonts w:ascii="Times New Roman" w:hAnsi="Times New Roman" w:eastAsia="宋体" w:cs="Times New Roman"/>
                <w:color w:val="auto"/>
                <w:spacing w:val="7"/>
                <w:sz w:val="21"/>
                <w:szCs w:val="21"/>
                <w:highlight w:val="none"/>
              </w:rPr>
              <w:t>00</w:t>
            </w:r>
            <w:r>
              <w:rPr>
                <w:rFonts w:hint="eastAsia" w:ascii="Times New Roman" w:hAnsi="Times New Roman" w:eastAsia="宋体" w:cs="Times New Roman"/>
                <w:color w:val="auto"/>
                <w:spacing w:val="7"/>
                <w:sz w:val="21"/>
                <w:szCs w:val="21"/>
                <w:highlight w:val="none"/>
                <w:lang w:eastAsia="zh-CN"/>
              </w:rPr>
              <w:t>*</w:t>
            </w:r>
          </w:p>
        </w:tc>
        <w:tc>
          <w:tcPr>
            <w:tcW w:w="1379" w:type="dxa"/>
            <w:tcBorders>
              <w:tl2br w:val="nil"/>
              <w:tr2bl w:val="nil"/>
            </w:tcBorders>
            <w:vAlign w:val="center"/>
          </w:tcPr>
          <w:p w14:paraId="087E21C1">
            <w:pPr>
              <w:keepNext w:val="0"/>
              <w:keepLines w:val="0"/>
              <w:widowControl/>
              <w:suppressLineNumbers w:val="0"/>
              <w:autoSpaceDE w:val="0"/>
              <w:autoSpaceDN w:val="0"/>
              <w:jc w:val="center"/>
              <w:textAlignment w:val="center"/>
              <w:rPr>
                <w:rFonts w:ascii="Times New Roman" w:hAnsi="Times New Roman" w:cs="Times New Roman"/>
                <w:color w:val="auto"/>
                <w:sz w:val="21"/>
                <w:szCs w:val="21"/>
                <w:highlight w:val="none"/>
                <w:lang w:eastAsia="en-US"/>
              </w:rPr>
            </w:pPr>
            <w:r>
              <w:rPr>
                <w:rFonts w:hint="default" w:ascii="Times New Roman" w:hAnsi="Times New Roman" w:eastAsia="等线" w:cs="Times New Roman"/>
                <w:i w:val="0"/>
                <w:iCs w:val="0"/>
                <w:color w:val="auto"/>
                <w:kern w:val="0"/>
                <w:sz w:val="21"/>
                <w:szCs w:val="21"/>
                <w:highlight w:val="none"/>
                <w:u w:val="none"/>
                <w:lang w:val="en-US" w:eastAsia="zh-CN" w:bidi="ar"/>
              </w:rPr>
              <w:t>0.1682</w:t>
            </w:r>
          </w:p>
        </w:tc>
      </w:tr>
      <w:tr w14:paraId="3917F7AA">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691" w:type="dxa"/>
            <w:vMerge w:val="continue"/>
            <w:tcBorders>
              <w:tl2br w:val="nil"/>
              <w:tr2bl w:val="nil"/>
            </w:tcBorders>
            <w:vAlign w:val="center"/>
          </w:tcPr>
          <w:p w14:paraId="4D0C35BC">
            <w:pPr>
              <w:keepNext w:val="0"/>
              <w:keepLines w:val="0"/>
              <w:pageBreakBefore w:val="0"/>
              <w:widowControl/>
              <w:kinsoku/>
              <w:wordWrap/>
              <w:overflowPunct/>
              <w:topLinePunct w:val="0"/>
              <w:autoSpaceDE/>
              <w:autoSpaceDN/>
              <w:bidi w:val="0"/>
              <w:ind w:left="0" w:right="0"/>
              <w:jc w:val="center"/>
              <w:rPr>
                <w:rFonts w:ascii="Times New Roman" w:hAnsi="Times New Roman" w:cs="Times New Roman"/>
                <w:color w:val="auto"/>
                <w:sz w:val="21"/>
                <w:szCs w:val="21"/>
                <w:highlight w:val="none"/>
                <w:lang w:eastAsia="en-US"/>
              </w:rPr>
            </w:pPr>
          </w:p>
        </w:tc>
        <w:tc>
          <w:tcPr>
            <w:tcW w:w="734" w:type="dxa"/>
            <w:vMerge w:val="continue"/>
            <w:tcBorders>
              <w:tl2br w:val="nil"/>
              <w:tr2bl w:val="nil"/>
            </w:tcBorders>
            <w:vAlign w:val="center"/>
          </w:tcPr>
          <w:p w14:paraId="06CBAF3E">
            <w:pPr>
              <w:pStyle w:val="236"/>
              <w:keepNext w:val="0"/>
              <w:keepLines w:val="0"/>
              <w:pageBreakBefore w:val="0"/>
              <w:widowControl/>
              <w:kinsoku/>
              <w:wordWrap/>
              <w:overflowPunct/>
              <w:topLinePunct w:val="0"/>
              <w:autoSpaceDE/>
              <w:autoSpaceDN/>
              <w:bidi w:val="0"/>
              <w:ind w:left="0" w:right="0"/>
              <w:jc w:val="center"/>
              <w:rPr>
                <w:rFonts w:ascii="Times New Roman" w:hAnsi="Times New Roman" w:eastAsia="宋体" w:cs="Times New Roman"/>
                <w:color w:val="auto"/>
                <w:sz w:val="21"/>
                <w:szCs w:val="21"/>
                <w:highlight w:val="none"/>
              </w:rPr>
            </w:pPr>
          </w:p>
        </w:tc>
        <w:tc>
          <w:tcPr>
            <w:tcW w:w="1948" w:type="dxa"/>
            <w:tcBorders>
              <w:tl2br w:val="nil"/>
              <w:tr2bl w:val="nil"/>
            </w:tcBorders>
            <w:vAlign w:val="center"/>
          </w:tcPr>
          <w:p w14:paraId="5C211998">
            <w:pPr>
              <w:pStyle w:val="236"/>
              <w:keepNext w:val="0"/>
              <w:keepLines w:val="0"/>
              <w:pageBreakBefore w:val="0"/>
              <w:widowControl/>
              <w:kinsoku/>
              <w:wordWrap/>
              <w:overflowPunct/>
              <w:topLinePunct w:val="0"/>
              <w:autoSpaceDE/>
              <w:autoSpaceDN/>
              <w:bidi w:val="0"/>
              <w:ind w:left="0" w:right="0"/>
              <w:jc w:val="center"/>
              <w:rPr>
                <w:rFonts w:ascii="Times New Roman" w:hAnsi="Times New Roman" w:eastAsia="宋体" w:cs="Times New Roman"/>
                <w:color w:val="auto"/>
                <w:spacing w:val="5"/>
                <w:sz w:val="21"/>
                <w:szCs w:val="21"/>
                <w:highlight w:val="none"/>
                <w:lang w:eastAsia="zh-CN"/>
              </w:rPr>
            </w:pPr>
            <w:r>
              <w:rPr>
                <w:rFonts w:ascii="Times New Roman" w:hAnsi="Times New Roman" w:eastAsia="宋体" w:cs="Times New Roman"/>
                <w:color w:val="auto"/>
                <w:sz w:val="21"/>
                <w:szCs w:val="21"/>
                <w:highlight w:val="none"/>
                <w:lang w:eastAsia="zh-CN"/>
              </w:rPr>
              <w:t>2-乙二醇单乙醚醋 酸酯（溶剂）</w:t>
            </w:r>
          </w:p>
        </w:tc>
        <w:tc>
          <w:tcPr>
            <w:tcW w:w="966" w:type="dxa"/>
            <w:tcBorders>
              <w:tl2br w:val="nil"/>
              <w:tr2bl w:val="nil"/>
            </w:tcBorders>
            <w:vAlign w:val="center"/>
          </w:tcPr>
          <w:p w14:paraId="5840B7AC">
            <w:pPr>
              <w:pStyle w:val="236"/>
              <w:keepNext w:val="0"/>
              <w:keepLines w:val="0"/>
              <w:pageBreakBefore w:val="0"/>
              <w:widowControl/>
              <w:kinsoku/>
              <w:wordWrap/>
              <w:overflowPunct/>
              <w:topLinePunct w:val="0"/>
              <w:autoSpaceDE/>
              <w:autoSpaceDN/>
              <w:bidi w:val="0"/>
              <w:ind w:left="0" w:right="0"/>
              <w:jc w:val="center"/>
              <w:rPr>
                <w:rFonts w:ascii="Times New Roman" w:hAnsi="Times New Roman" w:eastAsia="宋体" w:cs="Times New Roman"/>
                <w:color w:val="auto"/>
                <w:spacing w:val="3"/>
                <w:sz w:val="21"/>
                <w:szCs w:val="21"/>
                <w:highlight w:val="none"/>
                <w:lang w:eastAsia="zh-CN"/>
              </w:rPr>
            </w:pPr>
            <w:r>
              <w:rPr>
                <w:rFonts w:hint="eastAsia" w:ascii="Times New Roman" w:hAnsi="Times New Roman" w:eastAsia="宋体" w:cs="Times New Roman"/>
                <w:color w:val="auto"/>
                <w:spacing w:val="3"/>
                <w:sz w:val="21"/>
                <w:szCs w:val="21"/>
                <w:highlight w:val="none"/>
                <w:lang w:eastAsia="zh-CN"/>
              </w:rPr>
              <w:t>液体</w:t>
            </w:r>
          </w:p>
        </w:tc>
        <w:tc>
          <w:tcPr>
            <w:tcW w:w="1198" w:type="dxa"/>
            <w:tcBorders>
              <w:tl2br w:val="nil"/>
              <w:tr2bl w:val="nil"/>
            </w:tcBorders>
            <w:vAlign w:val="center"/>
          </w:tcPr>
          <w:p w14:paraId="534B536D">
            <w:pPr>
              <w:keepNext w:val="0"/>
              <w:keepLines w:val="0"/>
              <w:widowControl/>
              <w:suppressLineNumbers w:val="0"/>
              <w:autoSpaceDE w:val="0"/>
              <w:autoSpaceDN w:val="0"/>
              <w:jc w:val="center"/>
              <w:textAlignment w:val="center"/>
              <w:rPr>
                <w:rFonts w:ascii="Times New Roman" w:hAnsi="Times New Roman" w:cs="Times New Roman"/>
                <w:color w:val="auto"/>
                <w:spacing w:val="-1"/>
                <w:sz w:val="21"/>
                <w:szCs w:val="21"/>
                <w:highlight w:val="none"/>
                <w:lang w:eastAsia="en-US"/>
              </w:rPr>
            </w:pPr>
            <w:r>
              <w:rPr>
                <w:rFonts w:hint="default" w:ascii="Times New Roman" w:hAnsi="Times New Roman" w:eastAsia="等线" w:cs="Times New Roman"/>
                <w:i w:val="0"/>
                <w:iCs w:val="0"/>
                <w:color w:val="auto"/>
                <w:kern w:val="0"/>
                <w:sz w:val="21"/>
                <w:szCs w:val="21"/>
                <w:highlight w:val="none"/>
                <w:u w:val="none"/>
                <w:lang w:val="en-US" w:eastAsia="zh-CN" w:bidi="ar"/>
              </w:rPr>
              <w:t>23.12</w:t>
            </w:r>
          </w:p>
        </w:tc>
        <w:tc>
          <w:tcPr>
            <w:tcW w:w="1588" w:type="dxa"/>
            <w:tcBorders>
              <w:tl2br w:val="nil"/>
              <w:tr2bl w:val="nil"/>
            </w:tcBorders>
            <w:vAlign w:val="center"/>
          </w:tcPr>
          <w:p w14:paraId="2EB11589">
            <w:pPr>
              <w:pStyle w:val="236"/>
              <w:keepNext w:val="0"/>
              <w:keepLines w:val="0"/>
              <w:pageBreakBefore w:val="0"/>
              <w:widowControl/>
              <w:kinsoku/>
              <w:wordWrap/>
              <w:overflowPunct/>
              <w:topLinePunct w:val="0"/>
              <w:autoSpaceDE/>
              <w:autoSpaceDN/>
              <w:bidi w:val="0"/>
              <w:ind w:left="0" w:right="0"/>
              <w:jc w:val="center"/>
              <w:rPr>
                <w:rFonts w:ascii="Times New Roman" w:hAnsi="Times New Roman" w:eastAsia="宋体" w:cs="Times New Roman"/>
                <w:color w:val="auto"/>
                <w:spacing w:val="7"/>
                <w:sz w:val="21"/>
                <w:szCs w:val="21"/>
                <w:highlight w:val="none"/>
                <w:lang w:eastAsia="zh-CN"/>
              </w:rPr>
            </w:pPr>
            <w:r>
              <w:rPr>
                <w:rFonts w:hint="eastAsia" w:ascii="Times New Roman" w:hAnsi="Times New Roman" w:eastAsia="宋体" w:cs="Times New Roman"/>
                <w:color w:val="auto"/>
                <w:spacing w:val="7"/>
                <w:sz w:val="21"/>
                <w:szCs w:val="21"/>
                <w:highlight w:val="none"/>
                <w:lang w:eastAsia="zh-CN"/>
              </w:rPr>
              <w:t>1</w:t>
            </w:r>
            <w:r>
              <w:rPr>
                <w:rFonts w:ascii="Times New Roman" w:hAnsi="Times New Roman" w:eastAsia="宋体" w:cs="Times New Roman"/>
                <w:color w:val="auto"/>
                <w:spacing w:val="7"/>
                <w:sz w:val="21"/>
                <w:szCs w:val="21"/>
                <w:highlight w:val="none"/>
              </w:rPr>
              <w:t>00</w:t>
            </w:r>
            <w:r>
              <w:rPr>
                <w:rFonts w:hint="eastAsia" w:ascii="Times New Roman" w:hAnsi="Times New Roman" w:eastAsia="宋体" w:cs="Times New Roman"/>
                <w:color w:val="auto"/>
                <w:spacing w:val="7"/>
                <w:sz w:val="21"/>
                <w:szCs w:val="21"/>
                <w:highlight w:val="none"/>
                <w:lang w:eastAsia="zh-CN"/>
              </w:rPr>
              <w:t>*</w:t>
            </w:r>
          </w:p>
        </w:tc>
        <w:tc>
          <w:tcPr>
            <w:tcW w:w="1379" w:type="dxa"/>
            <w:tcBorders>
              <w:tl2br w:val="nil"/>
              <w:tr2bl w:val="nil"/>
            </w:tcBorders>
            <w:vAlign w:val="center"/>
          </w:tcPr>
          <w:p w14:paraId="78841978">
            <w:pPr>
              <w:keepNext w:val="0"/>
              <w:keepLines w:val="0"/>
              <w:widowControl/>
              <w:suppressLineNumbers w:val="0"/>
              <w:autoSpaceDE w:val="0"/>
              <w:autoSpaceDN w:val="0"/>
              <w:jc w:val="center"/>
              <w:textAlignment w:val="center"/>
              <w:rPr>
                <w:rFonts w:ascii="Times New Roman" w:hAnsi="Times New Roman" w:cs="Times New Roman"/>
                <w:color w:val="auto"/>
                <w:sz w:val="21"/>
                <w:szCs w:val="21"/>
                <w:highlight w:val="none"/>
                <w:lang w:eastAsia="en-US"/>
              </w:rPr>
            </w:pPr>
            <w:r>
              <w:rPr>
                <w:rFonts w:hint="default" w:ascii="Times New Roman" w:hAnsi="Times New Roman" w:eastAsia="等线" w:cs="Times New Roman"/>
                <w:i w:val="0"/>
                <w:iCs w:val="0"/>
                <w:color w:val="auto"/>
                <w:kern w:val="0"/>
                <w:sz w:val="21"/>
                <w:szCs w:val="21"/>
                <w:highlight w:val="none"/>
                <w:u w:val="none"/>
                <w:lang w:val="en-US" w:eastAsia="zh-CN" w:bidi="ar"/>
              </w:rPr>
              <w:t>0.2312</w:t>
            </w:r>
          </w:p>
        </w:tc>
      </w:tr>
      <w:tr w14:paraId="21289CF4">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691" w:type="dxa"/>
            <w:vMerge w:val="continue"/>
            <w:tcBorders>
              <w:tl2br w:val="nil"/>
              <w:tr2bl w:val="nil"/>
            </w:tcBorders>
            <w:vAlign w:val="center"/>
          </w:tcPr>
          <w:p w14:paraId="7A45FE35">
            <w:pPr>
              <w:keepNext w:val="0"/>
              <w:keepLines w:val="0"/>
              <w:pageBreakBefore w:val="0"/>
              <w:widowControl/>
              <w:kinsoku/>
              <w:wordWrap/>
              <w:overflowPunct/>
              <w:topLinePunct w:val="0"/>
              <w:autoSpaceDE/>
              <w:autoSpaceDN/>
              <w:bidi w:val="0"/>
              <w:ind w:left="0" w:right="0"/>
              <w:jc w:val="center"/>
              <w:rPr>
                <w:rFonts w:ascii="Times New Roman" w:hAnsi="Times New Roman" w:cs="Times New Roman"/>
                <w:color w:val="auto"/>
                <w:sz w:val="21"/>
                <w:szCs w:val="21"/>
                <w:highlight w:val="none"/>
                <w:lang w:eastAsia="en-US"/>
              </w:rPr>
            </w:pPr>
          </w:p>
        </w:tc>
        <w:tc>
          <w:tcPr>
            <w:tcW w:w="734" w:type="dxa"/>
            <w:vMerge w:val="continue"/>
            <w:tcBorders>
              <w:tl2br w:val="nil"/>
              <w:tr2bl w:val="nil"/>
            </w:tcBorders>
            <w:vAlign w:val="center"/>
          </w:tcPr>
          <w:p w14:paraId="27B0BF87">
            <w:pPr>
              <w:keepNext w:val="0"/>
              <w:keepLines w:val="0"/>
              <w:pageBreakBefore w:val="0"/>
              <w:widowControl/>
              <w:kinsoku/>
              <w:wordWrap/>
              <w:overflowPunct/>
              <w:topLinePunct w:val="0"/>
              <w:autoSpaceDE/>
              <w:autoSpaceDN/>
              <w:bidi w:val="0"/>
              <w:ind w:left="0" w:right="0"/>
              <w:jc w:val="center"/>
              <w:rPr>
                <w:rFonts w:ascii="Times New Roman" w:hAnsi="Times New Roman" w:cs="Times New Roman"/>
                <w:color w:val="auto"/>
                <w:sz w:val="21"/>
                <w:szCs w:val="21"/>
                <w:highlight w:val="none"/>
                <w:lang w:eastAsia="en-US"/>
              </w:rPr>
            </w:pPr>
          </w:p>
        </w:tc>
        <w:tc>
          <w:tcPr>
            <w:tcW w:w="1948" w:type="dxa"/>
            <w:tcBorders>
              <w:tl2br w:val="nil"/>
              <w:tr2bl w:val="nil"/>
            </w:tcBorders>
            <w:vAlign w:val="center"/>
          </w:tcPr>
          <w:p w14:paraId="64175CA3">
            <w:pPr>
              <w:pStyle w:val="236"/>
              <w:keepNext w:val="0"/>
              <w:keepLines w:val="0"/>
              <w:pageBreakBefore w:val="0"/>
              <w:widowControl/>
              <w:kinsoku/>
              <w:wordWrap/>
              <w:overflowPunct/>
              <w:topLinePunct w:val="0"/>
              <w:autoSpaceDE/>
              <w:autoSpaceDN/>
              <w:bidi w:val="0"/>
              <w:ind w:left="0" w:right="0"/>
              <w:jc w:val="center"/>
              <w:rPr>
                <w:rFonts w:ascii="Times New Roman" w:hAnsi="Times New Roman" w:eastAsia="宋体" w:cs="Times New Roman"/>
                <w:color w:val="auto"/>
                <w:sz w:val="21"/>
                <w:szCs w:val="21"/>
                <w:highlight w:val="none"/>
              </w:rPr>
            </w:pPr>
            <w:r>
              <w:rPr>
                <w:rFonts w:ascii="Times New Roman" w:hAnsi="Times New Roman" w:eastAsia="宋体" w:cs="Times New Roman"/>
                <w:color w:val="auto"/>
                <w:spacing w:val="7"/>
                <w:sz w:val="21"/>
                <w:szCs w:val="21"/>
                <w:highlight w:val="none"/>
              </w:rPr>
              <w:t>重溶剂油（溶剂）</w:t>
            </w:r>
          </w:p>
        </w:tc>
        <w:tc>
          <w:tcPr>
            <w:tcW w:w="966" w:type="dxa"/>
            <w:tcBorders>
              <w:tl2br w:val="nil"/>
              <w:tr2bl w:val="nil"/>
            </w:tcBorders>
            <w:vAlign w:val="center"/>
          </w:tcPr>
          <w:p w14:paraId="7B29077F">
            <w:pPr>
              <w:pStyle w:val="236"/>
              <w:keepNext w:val="0"/>
              <w:keepLines w:val="0"/>
              <w:pageBreakBefore w:val="0"/>
              <w:widowControl/>
              <w:kinsoku/>
              <w:wordWrap/>
              <w:overflowPunct/>
              <w:topLinePunct w:val="0"/>
              <w:autoSpaceDE/>
              <w:autoSpaceDN/>
              <w:bidi w:val="0"/>
              <w:ind w:left="0" w:right="0"/>
              <w:jc w:val="center"/>
              <w:rPr>
                <w:rFonts w:ascii="Times New Roman" w:hAnsi="Times New Roman" w:eastAsia="宋体" w:cs="Times New Roman"/>
                <w:color w:val="auto"/>
                <w:sz w:val="21"/>
                <w:szCs w:val="21"/>
                <w:highlight w:val="none"/>
              </w:rPr>
            </w:pPr>
            <w:r>
              <w:rPr>
                <w:rFonts w:ascii="Times New Roman" w:hAnsi="Times New Roman" w:eastAsia="宋体" w:cs="Times New Roman"/>
                <w:color w:val="auto"/>
                <w:spacing w:val="3"/>
                <w:sz w:val="21"/>
                <w:szCs w:val="21"/>
                <w:highlight w:val="none"/>
              </w:rPr>
              <w:t>液体</w:t>
            </w:r>
          </w:p>
        </w:tc>
        <w:tc>
          <w:tcPr>
            <w:tcW w:w="1198" w:type="dxa"/>
            <w:tcBorders>
              <w:tl2br w:val="nil"/>
              <w:tr2bl w:val="nil"/>
            </w:tcBorders>
            <w:vAlign w:val="center"/>
          </w:tcPr>
          <w:p w14:paraId="469B6813">
            <w:pPr>
              <w:keepNext w:val="0"/>
              <w:keepLines w:val="0"/>
              <w:widowControl/>
              <w:suppressLineNumbers w:val="0"/>
              <w:autoSpaceDE w:val="0"/>
              <w:autoSpaceDN w:val="0"/>
              <w:jc w:val="center"/>
              <w:textAlignment w:val="center"/>
              <w:rPr>
                <w:rFonts w:ascii="Times New Roman" w:hAnsi="Times New Roman" w:cs="Times New Roman"/>
                <w:color w:val="auto"/>
                <w:sz w:val="21"/>
                <w:szCs w:val="21"/>
                <w:highlight w:val="none"/>
                <w:lang w:eastAsia="en-US"/>
              </w:rPr>
            </w:pPr>
            <w:r>
              <w:rPr>
                <w:rFonts w:hint="default" w:ascii="Times New Roman" w:hAnsi="Times New Roman" w:eastAsia="等线" w:cs="Times New Roman"/>
                <w:i w:val="0"/>
                <w:iCs w:val="0"/>
                <w:color w:val="auto"/>
                <w:kern w:val="0"/>
                <w:sz w:val="21"/>
                <w:szCs w:val="21"/>
                <w:highlight w:val="none"/>
                <w:u w:val="none"/>
                <w:lang w:val="en-US" w:eastAsia="zh-CN" w:bidi="ar"/>
              </w:rPr>
              <w:t>11.5</w:t>
            </w:r>
          </w:p>
        </w:tc>
        <w:tc>
          <w:tcPr>
            <w:tcW w:w="1588" w:type="dxa"/>
            <w:tcBorders>
              <w:tl2br w:val="nil"/>
              <w:tr2bl w:val="nil"/>
            </w:tcBorders>
            <w:vAlign w:val="center"/>
          </w:tcPr>
          <w:p w14:paraId="701D3045">
            <w:pPr>
              <w:pStyle w:val="236"/>
              <w:keepNext w:val="0"/>
              <w:keepLines w:val="0"/>
              <w:pageBreakBefore w:val="0"/>
              <w:widowControl/>
              <w:kinsoku/>
              <w:wordWrap/>
              <w:overflowPunct/>
              <w:topLinePunct w:val="0"/>
              <w:autoSpaceDE/>
              <w:autoSpaceDN/>
              <w:bidi w:val="0"/>
              <w:ind w:left="0" w:right="0"/>
              <w:jc w:val="center"/>
              <w:rPr>
                <w:rFonts w:ascii="Times New Roman" w:hAnsi="Times New Roman" w:eastAsia="宋体" w:cs="Times New Roman"/>
                <w:color w:val="auto"/>
                <w:sz w:val="21"/>
                <w:szCs w:val="21"/>
                <w:highlight w:val="none"/>
              </w:rPr>
            </w:pPr>
            <w:r>
              <w:rPr>
                <w:rFonts w:ascii="Times New Roman" w:hAnsi="Times New Roman" w:eastAsia="宋体" w:cs="Times New Roman"/>
                <w:color w:val="auto"/>
                <w:spacing w:val="1"/>
                <w:sz w:val="21"/>
                <w:szCs w:val="21"/>
                <w:highlight w:val="none"/>
              </w:rPr>
              <w:t>2500</w:t>
            </w:r>
            <w:r>
              <w:rPr>
                <w:rFonts w:hint="eastAsia" w:ascii="Times New Roman" w:hAnsi="Times New Roman" w:eastAsia="宋体" w:cs="Times New Roman"/>
                <w:color w:val="auto"/>
                <w:spacing w:val="1"/>
                <w:sz w:val="21"/>
                <w:szCs w:val="21"/>
                <w:highlight w:val="none"/>
                <w:lang w:eastAsia="zh-CN"/>
              </w:rPr>
              <w:t>***</w:t>
            </w:r>
          </w:p>
        </w:tc>
        <w:tc>
          <w:tcPr>
            <w:tcW w:w="1379" w:type="dxa"/>
            <w:tcBorders>
              <w:tl2br w:val="nil"/>
              <w:tr2bl w:val="nil"/>
            </w:tcBorders>
            <w:vAlign w:val="center"/>
          </w:tcPr>
          <w:p w14:paraId="36B7A796">
            <w:pPr>
              <w:keepNext w:val="0"/>
              <w:keepLines w:val="0"/>
              <w:widowControl/>
              <w:suppressLineNumbers w:val="0"/>
              <w:autoSpaceDE w:val="0"/>
              <w:autoSpaceDN w:val="0"/>
              <w:jc w:val="center"/>
              <w:textAlignment w:val="center"/>
              <w:rPr>
                <w:rFonts w:ascii="Times New Roman" w:hAnsi="Times New Roman" w:cs="Times New Roman"/>
                <w:color w:val="auto"/>
                <w:sz w:val="21"/>
                <w:szCs w:val="21"/>
                <w:highlight w:val="none"/>
                <w:lang w:eastAsia="en-US"/>
              </w:rPr>
            </w:pPr>
            <w:r>
              <w:rPr>
                <w:rFonts w:hint="default" w:ascii="Times New Roman" w:hAnsi="Times New Roman" w:eastAsia="等线" w:cs="Times New Roman"/>
                <w:i w:val="0"/>
                <w:iCs w:val="0"/>
                <w:color w:val="auto"/>
                <w:kern w:val="0"/>
                <w:sz w:val="21"/>
                <w:szCs w:val="21"/>
                <w:highlight w:val="none"/>
                <w:u w:val="none"/>
                <w:lang w:val="en-US" w:eastAsia="zh-CN" w:bidi="ar"/>
              </w:rPr>
              <w:t>0.0046</w:t>
            </w:r>
          </w:p>
        </w:tc>
      </w:tr>
      <w:tr w14:paraId="52C130A3">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691" w:type="dxa"/>
            <w:vMerge w:val="continue"/>
            <w:tcBorders>
              <w:tl2br w:val="nil"/>
              <w:tr2bl w:val="nil"/>
            </w:tcBorders>
            <w:vAlign w:val="center"/>
          </w:tcPr>
          <w:p w14:paraId="1129DADE">
            <w:pPr>
              <w:keepNext w:val="0"/>
              <w:keepLines w:val="0"/>
              <w:pageBreakBefore w:val="0"/>
              <w:widowControl/>
              <w:kinsoku/>
              <w:wordWrap/>
              <w:overflowPunct/>
              <w:topLinePunct w:val="0"/>
              <w:autoSpaceDE/>
              <w:autoSpaceDN/>
              <w:bidi w:val="0"/>
              <w:ind w:left="0" w:right="0"/>
              <w:jc w:val="center"/>
              <w:rPr>
                <w:rFonts w:ascii="Times New Roman" w:hAnsi="Times New Roman" w:cs="Times New Roman"/>
                <w:color w:val="auto"/>
                <w:sz w:val="21"/>
                <w:szCs w:val="21"/>
                <w:highlight w:val="none"/>
                <w:lang w:eastAsia="en-US"/>
              </w:rPr>
            </w:pPr>
          </w:p>
        </w:tc>
        <w:tc>
          <w:tcPr>
            <w:tcW w:w="734" w:type="dxa"/>
            <w:vMerge w:val="continue"/>
            <w:tcBorders>
              <w:tl2br w:val="nil"/>
              <w:tr2bl w:val="nil"/>
            </w:tcBorders>
            <w:vAlign w:val="center"/>
          </w:tcPr>
          <w:p w14:paraId="0FB21305">
            <w:pPr>
              <w:keepNext w:val="0"/>
              <w:keepLines w:val="0"/>
              <w:pageBreakBefore w:val="0"/>
              <w:widowControl/>
              <w:kinsoku/>
              <w:wordWrap/>
              <w:overflowPunct/>
              <w:topLinePunct w:val="0"/>
              <w:autoSpaceDE/>
              <w:autoSpaceDN/>
              <w:bidi w:val="0"/>
              <w:ind w:left="0" w:right="0"/>
              <w:jc w:val="center"/>
              <w:rPr>
                <w:rFonts w:ascii="Times New Roman" w:hAnsi="Times New Roman" w:cs="Times New Roman"/>
                <w:color w:val="auto"/>
                <w:sz w:val="21"/>
                <w:szCs w:val="21"/>
                <w:highlight w:val="none"/>
                <w:lang w:eastAsia="en-US"/>
              </w:rPr>
            </w:pPr>
          </w:p>
        </w:tc>
        <w:tc>
          <w:tcPr>
            <w:tcW w:w="1948" w:type="dxa"/>
            <w:tcBorders>
              <w:tl2br w:val="nil"/>
              <w:tr2bl w:val="nil"/>
            </w:tcBorders>
            <w:vAlign w:val="center"/>
          </w:tcPr>
          <w:p w14:paraId="08D0DCA1">
            <w:pPr>
              <w:pStyle w:val="236"/>
              <w:keepNext w:val="0"/>
              <w:keepLines w:val="0"/>
              <w:pageBreakBefore w:val="0"/>
              <w:widowControl/>
              <w:kinsoku/>
              <w:wordWrap/>
              <w:overflowPunct/>
              <w:topLinePunct w:val="0"/>
              <w:autoSpaceDE/>
              <w:autoSpaceDN/>
              <w:bidi w:val="0"/>
              <w:ind w:left="0" w:right="0"/>
              <w:jc w:val="center"/>
              <w:rPr>
                <w:rFonts w:ascii="Times New Roman" w:hAnsi="Times New Roman" w:eastAsia="宋体" w:cs="Times New Roman"/>
                <w:color w:val="auto"/>
                <w:sz w:val="21"/>
                <w:szCs w:val="21"/>
                <w:highlight w:val="none"/>
                <w:lang w:eastAsia="zh-CN"/>
              </w:rPr>
            </w:pPr>
            <w:r>
              <w:rPr>
                <w:rFonts w:ascii="Times New Roman" w:hAnsi="Times New Roman" w:eastAsia="宋体" w:cs="Times New Roman"/>
                <w:color w:val="auto"/>
                <w:spacing w:val="7"/>
                <w:sz w:val="21"/>
                <w:szCs w:val="21"/>
                <w:highlight w:val="none"/>
                <w:lang w:eastAsia="zh-CN"/>
              </w:rPr>
              <w:t>2-甲基对苯二酚</w:t>
            </w:r>
            <w:r>
              <w:rPr>
                <w:rFonts w:ascii="Times New Roman" w:hAnsi="Times New Roman" w:eastAsia="宋体" w:cs="Times New Roman"/>
                <w:color w:val="auto"/>
                <w:spacing w:val="4"/>
                <w:sz w:val="21"/>
                <w:szCs w:val="21"/>
                <w:highlight w:val="none"/>
                <w:lang w:eastAsia="zh-CN"/>
              </w:rPr>
              <w:t>（聚合阻止剂）</w:t>
            </w:r>
          </w:p>
        </w:tc>
        <w:tc>
          <w:tcPr>
            <w:tcW w:w="966" w:type="dxa"/>
            <w:tcBorders>
              <w:tl2br w:val="nil"/>
              <w:tr2bl w:val="nil"/>
            </w:tcBorders>
            <w:vAlign w:val="center"/>
          </w:tcPr>
          <w:p w14:paraId="0886E3F6">
            <w:pPr>
              <w:pStyle w:val="236"/>
              <w:keepNext w:val="0"/>
              <w:keepLines w:val="0"/>
              <w:pageBreakBefore w:val="0"/>
              <w:widowControl/>
              <w:kinsoku/>
              <w:wordWrap/>
              <w:overflowPunct/>
              <w:topLinePunct w:val="0"/>
              <w:autoSpaceDE/>
              <w:autoSpaceDN/>
              <w:bidi w:val="0"/>
              <w:ind w:left="0" w:right="0"/>
              <w:jc w:val="center"/>
              <w:rPr>
                <w:rFonts w:ascii="Times New Roman" w:hAnsi="Times New Roman" w:eastAsia="宋体" w:cs="Times New Roman"/>
                <w:color w:val="auto"/>
                <w:sz w:val="21"/>
                <w:szCs w:val="21"/>
                <w:highlight w:val="none"/>
              </w:rPr>
            </w:pPr>
            <w:r>
              <w:rPr>
                <w:rFonts w:ascii="Times New Roman" w:hAnsi="Times New Roman" w:eastAsia="宋体" w:cs="Times New Roman"/>
                <w:color w:val="auto"/>
                <w:spacing w:val="-5"/>
                <w:sz w:val="21"/>
                <w:szCs w:val="21"/>
                <w:highlight w:val="none"/>
              </w:rPr>
              <w:t>固体</w:t>
            </w:r>
          </w:p>
        </w:tc>
        <w:tc>
          <w:tcPr>
            <w:tcW w:w="1198" w:type="dxa"/>
            <w:tcBorders>
              <w:tl2br w:val="nil"/>
              <w:tr2bl w:val="nil"/>
            </w:tcBorders>
            <w:vAlign w:val="center"/>
          </w:tcPr>
          <w:p w14:paraId="257190D5">
            <w:pPr>
              <w:keepNext w:val="0"/>
              <w:keepLines w:val="0"/>
              <w:widowControl/>
              <w:suppressLineNumbers w:val="0"/>
              <w:autoSpaceDE w:val="0"/>
              <w:autoSpaceDN w:val="0"/>
              <w:jc w:val="center"/>
              <w:textAlignment w:val="center"/>
              <w:rPr>
                <w:rFonts w:ascii="Times New Roman" w:hAnsi="Times New Roman" w:cs="Times New Roman"/>
                <w:color w:val="auto"/>
                <w:sz w:val="21"/>
                <w:szCs w:val="21"/>
                <w:highlight w:val="none"/>
                <w:lang w:eastAsia="en-US"/>
              </w:rPr>
            </w:pPr>
            <w:r>
              <w:rPr>
                <w:rFonts w:hint="default" w:ascii="Times New Roman" w:hAnsi="Times New Roman" w:eastAsia="等线" w:cs="Times New Roman"/>
                <w:i w:val="0"/>
                <w:iCs w:val="0"/>
                <w:color w:val="auto"/>
                <w:kern w:val="0"/>
                <w:sz w:val="21"/>
                <w:szCs w:val="21"/>
                <w:highlight w:val="none"/>
                <w:u w:val="none"/>
                <w:lang w:val="en-US" w:eastAsia="zh-CN" w:bidi="ar"/>
              </w:rPr>
              <w:t>1.0101</w:t>
            </w:r>
          </w:p>
        </w:tc>
        <w:tc>
          <w:tcPr>
            <w:tcW w:w="1588" w:type="dxa"/>
            <w:tcBorders>
              <w:tl2br w:val="nil"/>
              <w:tr2bl w:val="nil"/>
            </w:tcBorders>
            <w:vAlign w:val="center"/>
          </w:tcPr>
          <w:p w14:paraId="3514D2FC">
            <w:pPr>
              <w:keepNext w:val="0"/>
              <w:keepLines w:val="0"/>
              <w:pageBreakBefore w:val="0"/>
              <w:widowControl/>
              <w:kinsoku/>
              <w:wordWrap/>
              <w:overflowPunct/>
              <w:topLinePunct w:val="0"/>
              <w:autoSpaceDE/>
              <w:autoSpaceDN/>
              <w:bidi w:val="0"/>
              <w:ind w:left="0" w:right="0"/>
              <w:jc w:val="center"/>
              <w:rPr>
                <w:rFonts w:ascii="Times New Roman" w:hAnsi="Times New Roman" w:cs="Times New Roman"/>
                <w:color w:val="auto"/>
                <w:sz w:val="21"/>
                <w:szCs w:val="21"/>
                <w:highlight w:val="none"/>
                <w:lang w:eastAsia="en-US"/>
              </w:rPr>
            </w:pPr>
            <w:r>
              <w:rPr>
                <w:rFonts w:hint="eastAsia" w:ascii="Times New Roman" w:hAnsi="Times New Roman" w:cs="Times New Roman"/>
                <w:color w:val="auto"/>
                <w:spacing w:val="7"/>
                <w:sz w:val="21"/>
                <w:szCs w:val="21"/>
                <w:highlight w:val="none"/>
                <w:lang w:eastAsia="en-US"/>
              </w:rPr>
              <w:t>1</w:t>
            </w:r>
            <w:r>
              <w:rPr>
                <w:rFonts w:ascii="Times New Roman" w:hAnsi="Times New Roman" w:cs="Times New Roman"/>
                <w:color w:val="auto"/>
                <w:spacing w:val="7"/>
                <w:sz w:val="21"/>
                <w:szCs w:val="21"/>
                <w:highlight w:val="none"/>
                <w:lang w:eastAsia="en-US"/>
              </w:rPr>
              <w:t>00</w:t>
            </w:r>
            <w:r>
              <w:rPr>
                <w:rFonts w:hint="eastAsia" w:ascii="Times New Roman" w:hAnsi="Times New Roman" w:cs="Times New Roman"/>
                <w:color w:val="auto"/>
                <w:spacing w:val="7"/>
                <w:sz w:val="21"/>
                <w:szCs w:val="21"/>
                <w:highlight w:val="none"/>
                <w:lang w:eastAsia="en-US"/>
              </w:rPr>
              <w:t>*</w:t>
            </w:r>
          </w:p>
        </w:tc>
        <w:tc>
          <w:tcPr>
            <w:tcW w:w="1379" w:type="dxa"/>
            <w:tcBorders>
              <w:tl2br w:val="nil"/>
              <w:tr2bl w:val="nil"/>
            </w:tcBorders>
            <w:vAlign w:val="center"/>
          </w:tcPr>
          <w:p w14:paraId="1CA509E4">
            <w:pPr>
              <w:keepNext w:val="0"/>
              <w:keepLines w:val="0"/>
              <w:widowControl/>
              <w:suppressLineNumbers w:val="0"/>
              <w:autoSpaceDE w:val="0"/>
              <w:autoSpaceDN w:val="0"/>
              <w:jc w:val="center"/>
              <w:textAlignment w:val="center"/>
              <w:rPr>
                <w:rFonts w:ascii="Times New Roman" w:hAnsi="Times New Roman" w:cs="Times New Roman"/>
                <w:color w:val="auto"/>
                <w:sz w:val="21"/>
                <w:szCs w:val="21"/>
                <w:highlight w:val="none"/>
                <w:lang w:eastAsia="en-US"/>
              </w:rPr>
            </w:pPr>
            <w:r>
              <w:rPr>
                <w:rFonts w:hint="default" w:ascii="Times New Roman" w:hAnsi="Times New Roman" w:eastAsia="等线" w:cs="Times New Roman"/>
                <w:i w:val="0"/>
                <w:iCs w:val="0"/>
                <w:color w:val="auto"/>
                <w:kern w:val="0"/>
                <w:sz w:val="21"/>
                <w:szCs w:val="21"/>
                <w:highlight w:val="none"/>
                <w:u w:val="none"/>
                <w:lang w:val="en-US" w:eastAsia="zh-CN" w:bidi="ar"/>
              </w:rPr>
              <w:t>0.010101</w:t>
            </w:r>
          </w:p>
        </w:tc>
      </w:tr>
      <w:tr w14:paraId="73171205">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691" w:type="dxa"/>
            <w:vMerge w:val="continue"/>
            <w:tcBorders>
              <w:tl2br w:val="nil"/>
              <w:tr2bl w:val="nil"/>
            </w:tcBorders>
            <w:vAlign w:val="center"/>
          </w:tcPr>
          <w:p w14:paraId="6321F2F7">
            <w:pPr>
              <w:keepNext w:val="0"/>
              <w:keepLines w:val="0"/>
              <w:pageBreakBefore w:val="0"/>
              <w:widowControl/>
              <w:kinsoku/>
              <w:wordWrap/>
              <w:overflowPunct/>
              <w:topLinePunct w:val="0"/>
              <w:autoSpaceDE/>
              <w:autoSpaceDN/>
              <w:bidi w:val="0"/>
              <w:ind w:left="0" w:right="0"/>
              <w:jc w:val="center"/>
              <w:rPr>
                <w:rFonts w:ascii="Times New Roman" w:hAnsi="Times New Roman" w:cs="Times New Roman"/>
                <w:color w:val="auto"/>
                <w:sz w:val="21"/>
                <w:szCs w:val="21"/>
                <w:highlight w:val="none"/>
                <w:lang w:eastAsia="en-US"/>
              </w:rPr>
            </w:pPr>
          </w:p>
        </w:tc>
        <w:tc>
          <w:tcPr>
            <w:tcW w:w="734" w:type="dxa"/>
            <w:vMerge w:val="continue"/>
            <w:tcBorders>
              <w:tl2br w:val="nil"/>
              <w:tr2bl w:val="nil"/>
            </w:tcBorders>
            <w:vAlign w:val="center"/>
          </w:tcPr>
          <w:p w14:paraId="272300BC">
            <w:pPr>
              <w:keepNext w:val="0"/>
              <w:keepLines w:val="0"/>
              <w:pageBreakBefore w:val="0"/>
              <w:widowControl/>
              <w:kinsoku/>
              <w:wordWrap/>
              <w:overflowPunct/>
              <w:topLinePunct w:val="0"/>
              <w:autoSpaceDE/>
              <w:autoSpaceDN/>
              <w:bidi w:val="0"/>
              <w:ind w:left="0" w:right="0"/>
              <w:jc w:val="center"/>
              <w:rPr>
                <w:rFonts w:ascii="Times New Roman" w:hAnsi="Times New Roman" w:cs="Times New Roman"/>
                <w:color w:val="auto"/>
                <w:sz w:val="21"/>
                <w:szCs w:val="21"/>
                <w:highlight w:val="none"/>
                <w:lang w:eastAsia="en-US"/>
              </w:rPr>
            </w:pPr>
          </w:p>
        </w:tc>
        <w:tc>
          <w:tcPr>
            <w:tcW w:w="1948" w:type="dxa"/>
            <w:tcBorders>
              <w:tl2br w:val="nil"/>
              <w:tr2bl w:val="nil"/>
            </w:tcBorders>
            <w:vAlign w:val="center"/>
          </w:tcPr>
          <w:p w14:paraId="58E7564F">
            <w:pPr>
              <w:pStyle w:val="236"/>
              <w:keepNext w:val="0"/>
              <w:keepLines w:val="0"/>
              <w:pageBreakBefore w:val="0"/>
              <w:widowControl/>
              <w:kinsoku/>
              <w:wordWrap/>
              <w:overflowPunct/>
              <w:topLinePunct w:val="0"/>
              <w:autoSpaceDE/>
              <w:autoSpaceDN/>
              <w:bidi w:val="0"/>
              <w:ind w:left="0" w:right="0"/>
              <w:jc w:val="center"/>
              <w:rPr>
                <w:rFonts w:ascii="Times New Roman" w:hAnsi="Times New Roman" w:eastAsia="宋体" w:cs="Times New Roman"/>
                <w:color w:val="auto"/>
                <w:sz w:val="21"/>
                <w:szCs w:val="21"/>
                <w:highlight w:val="none"/>
              </w:rPr>
            </w:pPr>
            <w:r>
              <w:rPr>
                <w:rFonts w:ascii="Times New Roman" w:hAnsi="Times New Roman" w:eastAsia="宋体" w:cs="Times New Roman"/>
                <w:color w:val="auto"/>
                <w:spacing w:val="8"/>
                <w:sz w:val="21"/>
                <w:szCs w:val="21"/>
                <w:highlight w:val="none"/>
              </w:rPr>
              <w:t>三苯基膦（催化</w:t>
            </w:r>
            <w:r>
              <w:rPr>
                <w:rFonts w:ascii="Times New Roman" w:hAnsi="Times New Roman" w:eastAsia="宋体" w:cs="Times New Roman"/>
                <w:color w:val="auto"/>
                <w:sz w:val="21"/>
                <w:szCs w:val="21"/>
                <w:highlight w:val="none"/>
              </w:rPr>
              <w:t>剂）</w:t>
            </w:r>
          </w:p>
        </w:tc>
        <w:tc>
          <w:tcPr>
            <w:tcW w:w="966" w:type="dxa"/>
            <w:tcBorders>
              <w:tl2br w:val="nil"/>
              <w:tr2bl w:val="nil"/>
            </w:tcBorders>
            <w:vAlign w:val="center"/>
          </w:tcPr>
          <w:p w14:paraId="106C4DFA">
            <w:pPr>
              <w:pStyle w:val="236"/>
              <w:keepNext w:val="0"/>
              <w:keepLines w:val="0"/>
              <w:pageBreakBefore w:val="0"/>
              <w:widowControl/>
              <w:kinsoku/>
              <w:wordWrap/>
              <w:overflowPunct/>
              <w:topLinePunct w:val="0"/>
              <w:autoSpaceDE/>
              <w:autoSpaceDN/>
              <w:bidi w:val="0"/>
              <w:ind w:left="0" w:right="0"/>
              <w:jc w:val="center"/>
              <w:rPr>
                <w:rFonts w:ascii="Times New Roman" w:hAnsi="Times New Roman" w:eastAsia="宋体" w:cs="Times New Roman"/>
                <w:color w:val="auto"/>
                <w:sz w:val="21"/>
                <w:szCs w:val="21"/>
                <w:highlight w:val="none"/>
              </w:rPr>
            </w:pPr>
            <w:r>
              <w:rPr>
                <w:rFonts w:ascii="Times New Roman" w:hAnsi="Times New Roman" w:eastAsia="宋体" w:cs="Times New Roman"/>
                <w:color w:val="auto"/>
                <w:spacing w:val="-5"/>
                <w:sz w:val="21"/>
                <w:szCs w:val="21"/>
                <w:highlight w:val="none"/>
              </w:rPr>
              <w:t>固体</w:t>
            </w:r>
          </w:p>
        </w:tc>
        <w:tc>
          <w:tcPr>
            <w:tcW w:w="1198" w:type="dxa"/>
            <w:tcBorders>
              <w:tl2br w:val="nil"/>
              <w:tr2bl w:val="nil"/>
            </w:tcBorders>
            <w:vAlign w:val="center"/>
          </w:tcPr>
          <w:p w14:paraId="01A4D521">
            <w:pPr>
              <w:keepNext w:val="0"/>
              <w:keepLines w:val="0"/>
              <w:widowControl/>
              <w:suppressLineNumbers w:val="0"/>
              <w:autoSpaceDE w:val="0"/>
              <w:autoSpaceDN w:val="0"/>
              <w:jc w:val="center"/>
              <w:textAlignment w:val="center"/>
              <w:rPr>
                <w:rFonts w:ascii="Times New Roman" w:hAnsi="Times New Roman" w:cs="Times New Roman"/>
                <w:color w:val="auto"/>
                <w:sz w:val="21"/>
                <w:szCs w:val="21"/>
                <w:highlight w:val="none"/>
                <w:lang w:eastAsia="en-US"/>
              </w:rPr>
            </w:pPr>
            <w:r>
              <w:rPr>
                <w:rFonts w:hint="default" w:ascii="Times New Roman" w:hAnsi="Times New Roman" w:eastAsia="等线" w:cs="Times New Roman"/>
                <w:i w:val="0"/>
                <w:iCs w:val="0"/>
                <w:color w:val="auto"/>
                <w:kern w:val="0"/>
                <w:sz w:val="21"/>
                <w:szCs w:val="21"/>
                <w:highlight w:val="none"/>
                <w:u w:val="none"/>
                <w:lang w:val="en-US" w:eastAsia="zh-CN" w:bidi="ar"/>
              </w:rPr>
              <w:t>2.01</w:t>
            </w:r>
          </w:p>
        </w:tc>
        <w:tc>
          <w:tcPr>
            <w:tcW w:w="1588" w:type="dxa"/>
            <w:tcBorders>
              <w:tl2br w:val="nil"/>
              <w:tr2bl w:val="nil"/>
            </w:tcBorders>
            <w:vAlign w:val="center"/>
          </w:tcPr>
          <w:p w14:paraId="70D58729">
            <w:pPr>
              <w:keepNext w:val="0"/>
              <w:keepLines w:val="0"/>
              <w:pageBreakBefore w:val="0"/>
              <w:widowControl/>
              <w:kinsoku/>
              <w:wordWrap/>
              <w:overflowPunct/>
              <w:topLinePunct w:val="0"/>
              <w:autoSpaceDE/>
              <w:autoSpaceDN/>
              <w:bidi w:val="0"/>
              <w:ind w:left="0" w:right="0"/>
              <w:jc w:val="center"/>
              <w:rPr>
                <w:rFonts w:ascii="Times New Roman" w:hAnsi="Times New Roman" w:cs="Times New Roman"/>
                <w:color w:val="auto"/>
                <w:sz w:val="21"/>
                <w:szCs w:val="21"/>
                <w:highlight w:val="none"/>
                <w:lang w:eastAsia="en-US"/>
              </w:rPr>
            </w:pPr>
            <w:r>
              <w:rPr>
                <w:rFonts w:hint="eastAsia" w:ascii="Times New Roman" w:hAnsi="Times New Roman" w:cs="Times New Roman"/>
                <w:color w:val="auto"/>
                <w:spacing w:val="7"/>
                <w:sz w:val="21"/>
                <w:szCs w:val="21"/>
                <w:highlight w:val="none"/>
                <w:lang w:eastAsia="en-US"/>
              </w:rPr>
              <w:t>1</w:t>
            </w:r>
            <w:r>
              <w:rPr>
                <w:rFonts w:ascii="Times New Roman" w:hAnsi="Times New Roman" w:cs="Times New Roman"/>
                <w:color w:val="auto"/>
                <w:spacing w:val="7"/>
                <w:sz w:val="21"/>
                <w:szCs w:val="21"/>
                <w:highlight w:val="none"/>
                <w:lang w:eastAsia="en-US"/>
              </w:rPr>
              <w:t>00</w:t>
            </w:r>
            <w:r>
              <w:rPr>
                <w:rFonts w:hint="eastAsia" w:ascii="Times New Roman" w:hAnsi="Times New Roman" w:cs="Times New Roman"/>
                <w:color w:val="auto"/>
                <w:spacing w:val="7"/>
                <w:sz w:val="21"/>
                <w:szCs w:val="21"/>
                <w:highlight w:val="none"/>
                <w:lang w:eastAsia="en-US"/>
              </w:rPr>
              <w:t>*</w:t>
            </w:r>
          </w:p>
        </w:tc>
        <w:tc>
          <w:tcPr>
            <w:tcW w:w="1379" w:type="dxa"/>
            <w:tcBorders>
              <w:tl2br w:val="nil"/>
              <w:tr2bl w:val="nil"/>
            </w:tcBorders>
            <w:vAlign w:val="center"/>
          </w:tcPr>
          <w:p w14:paraId="5DE5E278">
            <w:pPr>
              <w:keepNext w:val="0"/>
              <w:keepLines w:val="0"/>
              <w:widowControl/>
              <w:suppressLineNumbers w:val="0"/>
              <w:autoSpaceDE w:val="0"/>
              <w:autoSpaceDN w:val="0"/>
              <w:jc w:val="center"/>
              <w:textAlignment w:val="center"/>
              <w:rPr>
                <w:rFonts w:ascii="Times New Roman" w:hAnsi="Times New Roman" w:cs="Times New Roman"/>
                <w:color w:val="auto"/>
                <w:sz w:val="21"/>
                <w:szCs w:val="21"/>
                <w:highlight w:val="none"/>
                <w:lang w:eastAsia="en-US"/>
              </w:rPr>
            </w:pPr>
            <w:r>
              <w:rPr>
                <w:rFonts w:hint="default" w:ascii="Times New Roman" w:hAnsi="Times New Roman" w:eastAsia="等线" w:cs="Times New Roman"/>
                <w:i w:val="0"/>
                <w:iCs w:val="0"/>
                <w:color w:val="auto"/>
                <w:kern w:val="0"/>
                <w:sz w:val="21"/>
                <w:szCs w:val="21"/>
                <w:highlight w:val="none"/>
                <w:u w:val="none"/>
                <w:lang w:val="en-US" w:eastAsia="zh-CN" w:bidi="ar"/>
              </w:rPr>
              <w:t>0.0201</w:t>
            </w:r>
          </w:p>
        </w:tc>
      </w:tr>
      <w:tr w14:paraId="57734928">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691" w:type="dxa"/>
            <w:vMerge w:val="continue"/>
            <w:tcBorders>
              <w:tl2br w:val="nil"/>
              <w:tr2bl w:val="nil"/>
            </w:tcBorders>
            <w:vAlign w:val="center"/>
          </w:tcPr>
          <w:p w14:paraId="035B02F6">
            <w:pPr>
              <w:keepNext w:val="0"/>
              <w:keepLines w:val="0"/>
              <w:pageBreakBefore w:val="0"/>
              <w:widowControl/>
              <w:kinsoku/>
              <w:wordWrap/>
              <w:overflowPunct/>
              <w:topLinePunct w:val="0"/>
              <w:autoSpaceDE/>
              <w:autoSpaceDN/>
              <w:bidi w:val="0"/>
              <w:ind w:left="0" w:right="0"/>
              <w:jc w:val="center"/>
              <w:rPr>
                <w:rFonts w:ascii="Times New Roman" w:hAnsi="Times New Roman" w:cs="Times New Roman"/>
                <w:color w:val="auto"/>
                <w:sz w:val="21"/>
                <w:szCs w:val="21"/>
                <w:highlight w:val="none"/>
                <w:lang w:eastAsia="en-US"/>
              </w:rPr>
            </w:pPr>
          </w:p>
        </w:tc>
        <w:tc>
          <w:tcPr>
            <w:tcW w:w="734" w:type="dxa"/>
            <w:vMerge w:val="continue"/>
            <w:tcBorders>
              <w:tl2br w:val="nil"/>
              <w:tr2bl w:val="nil"/>
            </w:tcBorders>
            <w:vAlign w:val="center"/>
          </w:tcPr>
          <w:p w14:paraId="32F39CD6">
            <w:pPr>
              <w:keepNext w:val="0"/>
              <w:keepLines w:val="0"/>
              <w:pageBreakBefore w:val="0"/>
              <w:widowControl/>
              <w:kinsoku/>
              <w:wordWrap/>
              <w:overflowPunct/>
              <w:topLinePunct w:val="0"/>
              <w:autoSpaceDE/>
              <w:autoSpaceDN/>
              <w:bidi w:val="0"/>
              <w:ind w:left="0" w:right="0"/>
              <w:jc w:val="center"/>
              <w:rPr>
                <w:rFonts w:ascii="Times New Roman" w:hAnsi="Times New Roman" w:cs="Times New Roman"/>
                <w:color w:val="auto"/>
                <w:sz w:val="21"/>
                <w:szCs w:val="21"/>
                <w:highlight w:val="none"/>
                <w:lang w:eastAsia="en-US"/>
              </w:rPr>
            </w:pPr>
          </w:p>
        </w:tc>
        <w:tc>
          <w:tcPr>
            <w:tcW w:w="1948" w:type="dxa"/>
            <w:tcBorders>
              <w:tl2br w:val="nil"/>
              <w:tr2bl w:val="nil"/>
            </w:tcBorders>
            <w:vAlign w:val="center"/>
          </w:tcPr>
          <w:p w14:paraId="799004AD">
            <w:pPr>
              <w:pStyle w:val="236"/>
              <w:keepNext w:val="0"/>
              <w:keepLines w:val="0"/>
              <w:pageBreakBefore w:val="0"/>
              <w:widowControl/>
              <w:kinsoku/>
              <w:wordWrap/>
              <w:overflowPunct/>
              <w:topLinePunct w:val="0"/>
              <w:autoSpaceDE/>
              <w:autoSpaceDN/>
              <w:bidi w:val="0"/>
              <w:ind w:left="0" w:right="0"/>
              <w:jc w:val="center"/>
              <w:rPr>
                <w:rFonts w:ascii="Times New Roman" w:hAnsi="Times New Roman" w:eastAsia="宋体" w:cs="Times New Roman"/>
                <w:color w:val="auto"/>
                <w:sz w:val="21"/>
                <w:szCs w:val="21"/>
                <w:highlight w:val="none"/>
                <w:lang w:eastAsia="zh-CN"/>
              </w:rPr>
            </w:pPr>
            <w:r>
              <w:rPr>
                <w:rFonts w:ascii="Times New Roman" w:hAnsi="Times New Roman" w:eastAsia="宋体" w:cs="Times New Roman"/>
                <w:color w:val="auto"/>
                <w:sz w:val="21"/>
                <w:szCs w:val="21"/>
                <w:highlight w:val="none"/>
                <w:lang w:eastAsia="zh-CN"/>
              </w:rPr>
              <w:t>2、6-二叔丁基对甲</w:t>
            </w:r>
            <w:r>
              <w:rPr>
                <w:rFonts w:ascii="Times New Roman" w:hAnsi="Times New Roman" w:eastAsia="宋体" w:cs="Times New Roman"/>
                <w:color w:val="auto"/>
                <w:spacing w:val="8"/>
                <w:sz w:val="21"/>
                <w:szCs w:val="21"/>
                <w:highlight w:val="none"/>
                <w:lang w:eastAsia="zh-CN"/>
              </w:rPr>
              <w:t>基苯酚（聚合阻止</w:t>
            </w:r>
            <w:r>
              <w:rPr>
                <w:rFonts w:ascii="Times New Roman" w:hAnsi="Times New Roman" w:eastAsia="宋体" w:cs="Times New Roman"/>
                <w:color w:val="auto"/>
                <w:sz w:val="21"/>
                <w:szCs w:val="21"/>
                <w:highlight w:val="none"/>
                <w:lang w:eastAsia="zh-CN"/>
              </w:rPr>
              <w:t>剂）</w:t>
            </w:r>
          </w:p>
        </w:tc>
        <w:tc>
          <w:tcPr>
            <w:tcW w:w="966" w:type="dxa"/>
            <w:tcBorders>
              <w:tl2br w:val="nil"/>
              <w:tr2bl w:val="nil"/>
            </w:tcBorders>
            <w:vAlign w:val="center"/>
          </w:tcPr>
          <w:p w14:paraId="1C47EEDE">
            <w:pPr>
              <w:pStyle w:val="236"/>
              <w:keepNext w:val="0"/>
              <w:keepLines w:val="0"/>
              <w:pageBreakBefore w:val="0"/>
              <w:widowControl/>
              <w:kinsoku/>
              <w:wordWrap/>
              <w:overflowPunct/>
              <w:topLinePunct w:val="0"/>
              <w:autoSpaceDE/>
              <w:autoSpaceDN/>
              <w:bidi w:val="0"/>
              <w:ind w:left="0" w:right="0"/>
              <w:jc w:val="center"/>
              <w:rPr>
                <w:rFonts w:ascii="Times New Roman" w:hAnsi="Times New Roman" w:eastAsia="宋体" w:cs="Times New Roman"/>
                <w:color w:val="auto"/>
                <w:sz w:val="21"/>
                <w:szCs w:val="21"/>
                <w:highlight w:val="none"/>
              </w:rPr>
            </w:pPr>
            <w:r>
              <w:rPr>
                <w:rFonts w:ascii="Times New Roman" w:hAnsi="Times New Roman" w:eastAsia="宋体" w:cs="Times New Roman"/>
                <w:color w:val="auto"/>
                <w:spacing w:val="-5"/>
                <w:sz w:val="21"/>
                <w:szCs w:val="21"/>
                <w:highlight w:val="none"/>
              </w:rPr>
              <w:t>固体</w:t>
            </w:r>
          </w:p>
        </w:tc>
        <w:tc>
          <w:tcPr>
            <w:tcW w:w="1198" w:type="dxa"/>
            <w:tcBorders>
              <w:tl2br w:val="nil"/>
              <w:tr2bl w:val="nil"/>
            </w:tcBorders>
            <w:vAlign w:val="center"/>
          </w:tcPr>
          <w:p w14:paraId="278AC03D">
            <w:pPr>
              <w:keepNext w:val="0"/>
              <w:keepLines w:val="0"/>
              <w:widowControl/>
              <w:suppressLineNumbers w:val="0"/>
              <w:autoSpaceDE w:val="0"/>
              <w:autoSpaceDN w:val="0"/>
              <w:jc w:val="center"/>
              <w:textAlignment w:val="center"/>
              <w:rPr>
                <w:rFonts w:ascii="Times New Roman" w:hAnsi="Times New Roman" w:cs="Times New Roman"/>
                <w:color w:val="auto"/>
                <w:sz w:val="21"/>
                <w:szCs w:val="21"/>
                <w:highlight w:val="none"/>
                <w:lang w:eastAsia="en-US"/>
              </w:rPr>
            </w:pPr>
            <w:r>
              <w:rPr>
                <w:rFonts w:hint="default" w:ascii="Times New Roman" w:hAnsi="Times New Roman" w:eastAsia="等线" w:cs="Times New Roman"/>
                <w:i w:val="0"/>
                <w:iCs w:val="0"/>
                <w:color w:val="auto"/>
                <w:kern w:val="0"/>
                <w:sz w:val="21"/>
                <w:szCs w:val="21"/>
                <w:highlight w:val="none"/>
                <w:u w:val="none"/>
                <w:lang w:val="en-US" w:eastAsia="zh-CN" w:bidi="ar"/>
              </w:rPr>
              <w:t>2.01</w:t>
            </w:r>
          </w:p>
        </w:tc>
        <w:tc>
          <w:tcPr>
            <w:tcW w:w="1588" w:type="dxa"/>
            <w:tcBorders>
              <w:tl2br w:val="nil"/>
              <w:tr2bl w:val="nil"/>
            </w:tcBorders>
            <w:vAlign w:val="center"/>
          </w:tcPr>
          <w:p w14:paraId="13AE0571">
            <w:pPr>
              <w:keepNext w:val="0"/>
              <w:keepLines w:val="0"/>
              <w:pageBreakBefore w:val="0"/>
              <w:widowControl/>
              <w:kinsoku/>
              <w:wordWrap/>
              <w:overflowPunct/>
              <w:topLinePunct w:val="0"/>
              <w:autoSpaceDE/>
              <w:autoSpaceDN/>
              <w:bidi w:val="0"/>
              <w:ind w:left="0" w:right="0"/>
              <w:jc w:val="center"/>
              <w:rPr>
                <w:rFonts w:ascii="Times New Roman" w:hAnsi="Times New Roman" w:cs="Times New Roman"/>
                <w:color w:val="auto"/>
                <w:sz w:val="21"/>
                <w:szCs w:val="21"/>
                <w:highlight w:val="none"/>
                <w:lang w:eastAsia="en-US"/>
              </w:rPr>
            </w:pPr>
            <w:r>
              <w:rPr>
                <w:rFonts w:hint="eastAsia" w:ascii="Times New Roman" w:hAnsi="Times New Roman" w:cs="Times New Roman"/>
                <w:color w:val="auto"/>
                <w:spacing w:val="7"/>
                <w:sz w:val="21"/>
                <w:szCs w:val="21"/>
                <w:highlight w:val="none"/>
                <w:lang w:eastAsia="en-US"/>
              </w:rPr>
              <w:t>1</w:t>
            </w:r>
            <w:r>
              <w:rPr>
                <w:rFonts w:ascii="Times New Roman" w:hAnsi="Times New Roman" w:cs="Times New Roman"/>
                <w:color w:val="auto"/>
                <w:spacing w:val="7"/>
                <w:sz w:val="21"/>
                <w:szCs w:val="21"/>
                <w:highlight w:val="none"/>
                <w:lang w:eastAsia="en-US"/>
              </w:rPr>
              <w:t>00</w:t>
            </w:r>
            <w:r>
              <w:rPr>
                <w:rFonts w:hint="eastAsia" w:ascii="Times New Roman" w:hAnsi="Times New Roman" w:cs="Times New Roman"/>
                <w:color w:val="auto"/>
                <w:spacing w:val="7"/>
                <w:sz w:val="21"/>
                <w:szCs w:val="21"/>
                <w:highlight w:val="none"/>
                <w:lang w:eastAsia="en-US"/>
              </w:rPr>
              <w:t>*</w:t>
            </w:r>
          </w:p>
        </w:tc>
        <w:tc>
          <w:tcPr>
            <w:tcW w:w="1379" w:type="dxa"/>
            <w:tcBorders>
              <w:tl2br w:val="nil"/>
              <w:tr2bl w:val="nil"/>
            </w:tcBorders>
            <w:vAlign w:val="center"/>
          </w:tcPr>
          <w:p w14:paraId="35D00103">
            <w:pPr>
              <w:keepNext w:val="0"/>
              <w:keepLines w:val="0"/>
              <w:widowControl/>
              <w:suppressLineNumbers w:val="0"/>
              <w:autoSpaceDE w:val="0"/>
              <w:autoSpaceDN w:val="0"/>
              <w:jc w:val="center"/>
              <w:textAlignment w:val="center"/>
              <w:rPr>
                <w:rFonts w:ascii="Times New Roman" w:hAnsi="Times New Roman" w:cs="Times New Roman"/>
                <w:color w:val="auto"/>
                <w:sz w:val="21"/>
                <w:szCs w:val="21"/>
                <w:highlight w:val="none"/>
                <w:lang w:eastAsia="en-US"/>
              </w:rPr>
            </w:pPr>
            <w:r>
              <w:rPr>
                <w:rFonts w:hint="default" w:ascii="Times New Roman" w:hAnsi="Times New Roman" w:eastAsia="等线" w:cs="Times New Roman"/>
                <w:i w:val="0"/>
                <w:iCs w:val="0"/>
                <w:color w:val="auto"/>
                <w:kern w:val="0"/>
                <w:sz w:val="21"/>
                <w:szCs w:val="21"/>
                <w:highlight w:val="none"/>
                <w:u w:val="none"/>
                <w:lang w:val="en-US" w:eastAsia="zh-CN" w:bidi="ar"/>
              </w:rPr>
              <w:t>0.0201</w:t>
            </w:r>
          </w:p>
        </w:tc>
      </w:tr>
      <w:tr w14:paraId="1CB02577">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691" w:type="dxa"/>
            <w:vMerge w:val="continue"/>
            <w:tcBorders>
              <w:tl2br w:val="nil"/>
              <w:tr2bl w:val="nil"/>
            </w:tcBorders>
            <w:vAlign w:val="center"/>
          </w:tcPr>
          <w:p w14:paraId="51A35F62">
            <w:pPr>
              <w:keepNext w:val="0"/>
              <w:keepLines w:val="0"/>
              <w:pageBreakBefore w:val="0"/>
              <w:widowControl/>
              <w:kinsoku/>
              <w:wordWrap/>
              <w:overflowPunct/>
              <w:topLinePunct w:val="0"/>
              <w:autoSpaceDE/>
              <w:autoSpaceDN/>
              <w:bidi w:val="0"/>
              <w:ind w:left="0" w:right="0"/>
              <w:jc w:val="center"/>
              <w:rPr>
                <w:rFonts w:ascii="Times New Roman" w:hAnsi="Times New Roman" w:cs="Times New Roman"/>
                <w:color w:val="auto"/>
                <w:sz w:val="21"/>
                <w:szCs w:val="21"/>
                <w:highlight w:val="none"/>
                <w:lang w:eastAsia="en-US"/>
              </w:rPr>
            </w:pPr>
          </w:p>
        </w:tc>
        <w:tc>
          <w:tcPr>
            <w:tcW w:w="734" w:type="dxa"/>
            <w:vMerge w:val="continue"/>
            <w:tcBorders>
              <w:tl2br w:val="nil"/>
              <w:tr2bl w:val="nil"/>
            </w:tcBorders>
            <w:vAlign w:val="center"/>
          </w:tcPr>
          <w:p w14:paraId="20BCF677">
            <w:pPr>
              <w:keepNext w:val="0"/>
              <w:keepLines w:val="0"/>
              <w:pageBreakBefore w:val="0"/>
              <w:widowControl/>
              <w:kinsoku/>
              <w:wordWrap/>
              <w:overflowPunct/>
              <w:topLinePunct w:val="0"/>
              <w:autoSpaceDE/>
              <w:autoSpaceDN/>
              <w:bidi w:val="0"/>
              <w:ind w:left="0" w:right="0"/>
              <w:jc w:val="center"/>
              <w:rPr>
                <w:rFonts w:ascii="Times New Roman" w:hAnsi="Times New Roman" w:cs="Times New Roman"/>
                <w:color w:val="auto"/>
                <w:sz w:val="21"/>
                <w:szCs w:val="21"/>
                <w:highlight w:val="none"/>
                <w:lang w:eastAsia="en-US"/>
              </w:rPr>
            </w:pPr>
          </w:p>
        </w:tc>
        <w:tc>
          <w:tcPr>
            <w:tcW w:w="1948" w:type="dxa"/>
            <w:tcBorders>
              <w:tl2br w:val="nil"/>
              <w:tr2bl w:val="nil"/>
            </w:tcBorders>
            <w:vAlign w:val="center"/>
          </w:tcPr>
          <w:p w14:paraId="777E6FE9">
            <w:pPr>
              <w:pStyle w:val="236"/>
              <w:keepNext w:val="0"/>
              <w:keepLines w:val="0"/>
              <w:pageBreakBefore w:val="0"/>
              <w:widowControl/>
              <w:kinsoku/>
              <w:wordWrap/>
              <w:overflowPunct/>
              <w:topLinePunct w:val="0"/>
              <w:autoSpaceDE/>
              <w:autoSpaceDN/>
              <w:bidi w:val="0"/>
              <w:ind w:left="0" w:right="0"/>
              <w:jc w:val="center"/>
              <w:rPr>
                <w:rFonts w:ascii="Times New Roman" w:hAnsi="Times New Roman" w:eastAsia="宋体" w:cs="Times New Roman"/>
                <w:color w:val="auto"/>
                <w:sz w:val="21"/>
                <w:szCs w:val="21"/>
                <w:highlight w:val="none"/>
              </w:rPr>
            </w:pPr>
            <w:r>
              <w:rPr>
                <w:rFonts w:ascii="Times New Roman" w:hAnsi="Times New Roman" w:eastAsia="宋体" w:cs="Times New Roman"/>
                <w:color w:val="auto"/>
                <w:spacing w:val="5"/>
                <w:sz w:val="21"/>
                <w:szCs w:val="21"/>
                <w:highlight w:val="none"/>
              </w:rPr>
              <w:t>四氢化邻苯二甲</w:t>
            </w:r>
            <w:r>
              <w:rPr>
                <w:rFonts w:ascii="Times New Roman" w:hAnsi="Times New Roman" w:eastAsia="宋体" w:cs="Times New Roman"/>
                <w:color w:val="auto"/>
                <w:spacing w:val="4"/>
                <w:sz w:val="21"/>
                <w:szCs w:val="21"/>
                <w:highlight w:val="none"/>
              </w:rPr>
              <w:t>酸酐</w:t>
            </w:r>
          </w:p>
        </w:tc>
        <w:tc>
          <w:tcPr>
            <w:tcW w:w="966" w:type="dxa"/>
            <w:tcBorders>
              <w:tl2br w:val="nil"/>
              <w:tr2bl w:val="nil"/>
            </w:tcBorders>
            <w:vAlign w:val="center"/>
          </w:tcPr>
          <w:p w14:paraId="7B50897A">
            <w:pPr>
              <w:pStyle w:val="236"/>
              <w:keepNext w:val="0"/>
              <w:keepLines w:val="0"/>
              <w:pageBreakBefore w:val="0"/>
              <w:widowControl/>
              <w:kinsoku/>
              <w:wordWrap/>
              <w:overflowPunct/>
              <w:topLinePunct w:val="0"/>
              <w:autoSpaceDE/>
              <w:autoSpaceDN/>
              <w:bidi w:val="0"/>
              <w:ind w:left="0" w:right="0"/>
              <w:jc w:val="center"/>
              <w:rPr>
                <w:rFonts w:ascii="Times New Roman" w:hAnsi="Times New Roman" w:eastAsia="宋体" w:cs="Times New Roman"/>
                <w:color w:val="auto"/>
                <w:sz w:val="21"/>
                <w:szCs w:val="21"/>
                <w:highlight w:val="none"/>
              </w:rPr>
            </w:pPr>
            <w:r>
              <w:rPr>
                <w:rFonts w:ascii="Times New Roman" w:hAnsi="Times New Roman" w:eastAsia="宋体" w:cs="Times New Roman"/>
                <w:color w:val="auto"/>
                <w:spacing w:val="-5"/>
                <w:sz w:val="21"/>
                <w:szCs w:val="21"/>
                <w:highlight w:val="none"/>
              </w:rPr>
              <w:t>固体</w:t>
            </w:r>
          </w:p>
        </w:tc>
        <w:tc>
          <w:tcPr>
            <w:tcW w:w="1198" w:type="dxa"/>
            <w:tcBorders>
              <w:tl2br w:val="nil"/>
              <w:tr2bl w:val="nil"/>
            </w:tcBorders>
            <w:vAlign w:val="center"/>
          </w:tcPr>
          <w:p w14:paraId="2FAD616F">
            <w:pPr>
              <w:keepNext w:val="0"/>
              <w:keepLines w:val="0"/>
              <w:widowControl/>
              <w:suppressLineNumbers w:val="0"/>
              <w:autoSpaceDE w:val="0"/>
              <w:autoSpaceDN w:val="0"/>
              <w:jc w:val="center"/>
              <w:textAlignment w:val="center"/>
              <w:rPr>
                <w:rFonts w:ascii="Times New Roman" w:hAnsi="Times New Roman" w:cs="Times New Roman"/>
                <w:color w:val="auto"/>
                <w:sz w:val="21"/>
                <w:szCs w:val="21"/>
                <w:highlight w:val="none"/>
                <w:lang w:eastAsia="en-US"/>
              </w:rPr>
            </w:pPr>
            <w:r>
              <w:rPr>
                <w:rFonts w:hint="default" w:ascii="Times New Roman" w:hAnsi="Times New Roman" w:eastAsia="等线" w:cs="Times New Roman"/>
                <w:i w:val="0"/>
                <w:iCs w:val="0"/>
                <w:color w:val="auto"/>
                <w:kern w:val="0"/>
                <w:sz w:val="21"/>
                <w:szCs w:val="21"/>
                <w:highlight w:val="none"/>
                <w:u w:val="none"/>
                <w:lang w:val="en-US" w:eastAsia="zh-CN" w:bidi="ar"/>
              </w:rPr>
              <w:t>12.12</w:t>
            </w:r>
          </w:p>
        </w:tc>
        <w:tc>
          <w:tcPr>
            <w:tcW w:w="1588" w:type="dxa"/>
            <w:tcBorders>
              <w:tl2br w:val="nil"/>
              <w:tr2bl w:val="nil"/>
            </w:tcBorders>
            <w:vAlign w:val="center"/>
          </w:tcPr>
          <w:p w14:paraId="6373264B">
            <w:pPr>
              <w:keepNext w:val="0"/>
              <w:keepLines w:val="0"/>
              <w:pageBreakBefore w:val="0"/>
              <w:widowControl/>
              <w:kinsoku/>
              <w:wordWrap/>
              <w:overflowPunct/>
              <w:topLinePunct w:val="0"/>
              <w:autoSpaceDE/>
              <w:autoSpaceDN/>
              <w:bidi w:val="0"/>
              <w:ind w:left="0" w:right="0"/>
              <w:jc w:val="center"/>
              <w:rPr>
                <w:rFonts w:ascii="Times New Roman" w:hAnsi="Times New Roman" w:cs="Times New Roman"/>
                <w:color w:val="auto"/>
                <w:sz w:val="21"/>
                <w:szCs w:val="21"/>
                <w:highlight w:val="none"/>
                <w:lang w:eastAsia="en-US"/>
              </w:rPr>
            </w:pPr>
            <w:r>
              <w:rPr>
                <w:rFonts w:hint="eastAsia" w:ascii="Times New Roman" w:hAnsi="Times New Roman" w:cs="Times New Roman"/>
                <w:color w:val="auto"/>
                <w:spacing w:val="7"/>
                <w:sz w:val="21"/>
                <w:szCs w:val="21"/>
                <w:highlight w:val="none"/>
                <w:lang w:eastAsia="en-US"/>
              </w:rPr>
              <w:t>1</w:t>
            </w:r>
            <w:r>
              <w:rPr>
                <w:rFonts w:ascii="Times New Roman" w:hAnsi="Times New Roman" w:cs="Times New Roman"/>
                <w:color w:val="auto"/>
                <w:spacing w:val="7"/>
                <w:sz w:val="21"/>
                <w:szCs w:val="21"/>
                <w:highlight w:val="none"/>
                <w:lang w:eastAsia="en-US"/>
              </w:rPr>
              <w:t>00</w:t>
            </w:r>
            <w:r>
              <w:rPr>
                <w:rFonts w:hint="eastAsia" w:ascii="Times New Roman" w:hAnsi="Times New Roman" w:cs="Times New Roman"/>
                <w:color w:val="auto"/>
                <w:spacing w:val="7"/>
                <w:sz w:val="21"/>
                <w:szCs w:val="21"/>
                <w:highlight w:val="none"/>
                <w:lang w:eastAsia="en-US"/>
              </w:rPr>
              <w:t>*</w:t>
            </w:r>
          </w:p>
        </w:tc>
        <w:tc>
          <w:tcPr>
            <w:tcW w:w="1379" w:type="dxa"/>
            <w:tcBorders>
              <w:tl2br w:val="nil"/>
              <w:tr2bl w:val="nil"/>
            </w:tcBorders>
            <w:vAlign w:val="center"/>
          </w:tcPr>
          <w:p w14:paraId="07A59C67">
            <w:pPr>
              <w:keepNext w:val="0"/>
              <w:keepLines w:val="0"/>
              <w:widowControl/>
              <w:suppressLineNumbers w:val="0"/>
              <w:autoSpaceDE w:val="0"/>
              <w:autoSpaceDN w:val="0"/>
              <w:jc w:val="center"/>
              <w:textAlignment w:val="center"/>
              <w:rPr>
                <w:rFonts w:ascii="Times New Roman" w:hAnsi="Times New Roman" w:cs="Times New Roman"/>
                <w:color w:val="auto"/>
                <w:sz w:val="21"/>
                <w:szCs w:val="21"/>
                <w:highlight w:val="none"/>
                <w:lang w:eastAsia="en-US"/>
              </w:rPr>
            </w:pPr>
            <w:r>
              <w:rPr>
                <w:rFonts w:hint="default" w:ascii="Times New Roman" w:hAnsi="Times New Roman" w:eastAsia="等线" w:cs="Times New Roman"/>
                <w:i w:val="0"/>
                <w:iCs w:val="0"/>
                <w:color w:val="auto"/>
                <w:kern w:val="0"/>
                <w:sz w:val="21"/>
                <w:szCs w:val="21"/>
                <w:highlight w:val="none"/>
                <w:u w:val="none"/>
                <w:lang w:val="en-US" w:eastAsia="zh-CN" w:bidi="ar"/>
              </w:rPr>
              <w:t>0.1212</w:t>
            </w:r>
          </w:p>
        </w:tc>
      </w:tr>
      <w:tr w14:paraId="65BCFB11">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691" w:type="dxa"/>
            <w:vMerge w:val="continue"/>
            <w:tcBorders>
              <w:tl2br w:val="nil"/>
              <w:tr2bl w:val="nil"/>
            </w:tcBorders>
            <w:vAlign w:val="center"/>
          </w:tcPr>
          <w:p w14:paraId="442E4B26">
            <w:pPr>
              <w:keepNext w:val="0"/>
              <w:keepLines w:val="0"/>
              <w:pageBreakBefore w:val="0"/>
              <w:widowControl/>
              <w:kinsoku/>
              <w:wordWrap/>
              <w:overflowPunct/>
              <w:topLinePunct w:val="0"/>
              <w:autoSpaceDE/>
              <w:autoSpaceDN/>
              <w:bidi w:val="0"/>
              <w:ind w:left="0" w:right="0"/>
              <w:jc w:val="center"/>
              <w:rPr>
                <w:rFonts w:ascii="Times New Roman" w:hAnsi="Times New Roman" w:cs="Times New Roman"/>
                <w:color w:val="auto"/>
                <w:sz w:val="21"/>
                <w:szCs w:val="21"/>
                <w:highlight w:val="none"/>
                <w:lang w:eastAsia="en-US"/>
              </w:rPr>
            </w:pPr>
          </w:p>
        </w:tc>
        <w:tc>
          <w:tcPr>
            <w:tcW w:w="734" w:type="dxa"/>
            <w:vMerge w:val="restart"/>
            <w:tcBorders>
              <w:right w:val="single" w:color="auto" w:sz="4" w:space="0"/>
              <w:tl2br w:val="nil"/>
              <w:tr2bl w:val="nil"/>
            </w:tcBorders>
            <w:vAlign w:val="center"/>
          </w:tcPr>
          <w:p w14:paraId="504FDF9A">
            <w:pPr>
              <w:keepNext w:val="0"/>
              <w:keepLines w:val="0"/>
              <w:pageBreakBefore w:val="0"/>
              <w:widowControl/>
              <w:kinsoku/>
              <w:wordWrap/>
              <w:overflowPunct/>
              <w:topLinePunct w:val="0"/>
              <w:autoSpaceDE/>
              <w:autoSpaceDN/>
              <w:bidi w:val="0"/>
              <w:ind w:left="0" w:right="0"/>
              <w:jc w:val="center"/>
              <w:rPr>
                <w:rFonts w:ascii="Times New Roman" w:hAnsi="Times New Roman" w:cs="Times New Roman"/>
                <w:color w:val="auto"/>
                <w:sz w:val="21"/>
                <w:szCs w:val="21"/>
                <w:highlight w:val="none"/>
                <w:lang w:eastAsia="en-US"/>
              </w:rPr>
            </w:pPr>
            <w:r>
              <w:rPr>
                <w:rFonts w:hint="eastAsia" w:ascii="Times New Roman" w:hAnsi="Times New Roman" w:cs="Times New Roman"/>
                <w:color w:val="auto"/>
                <w:sz w:val="21"/>
                <w:szCs w:val="21"/>
                <w:highlight w:val="none"/>
                <w:lang w:eastAsia="en-US"/>
              </w:rPr>
              <w:t>剥离液</w:t>
            </w:r>
          </w:p>
        </w:tc>
        <w:tc>
          <w:tcPr>
            <w:tcW w:w="1948" w:type="dxa"/>
            <w:tcBorders>
              <w:left w:val="single" w:color="auto" w:sz="4" w:space="0"/>
              <w:tl2br w:val="nil"/>
              <w:tr2bl w:val="nil"/>
            </w:tcBorders>
            <w:vAlign w:val="center"/>
          </w:tcPr>
          <w:p w14:paraId="62BC2C7B">
            <w:pPr>
              <w:keepNext w:val="0"/>
              <w:keepLines w:val="0"/>
              <w:pageBreakBefore w:val="0"/>
              <w:widowControl/>
              <w:kinsoku/>
              <w:wordWrap/>
              <w:overflowPunct/>
              <w:topLinePunct w:val="0"/>
              <w:autoSpaceDE w:val="0"/>
              <w:autoSpaceDN w:val="0"/>
              <w:bidi w:val="0"/>
              <w:ind w:left="0" w:right="0"/>
              <w:jc w:val="center"/>
              <w:textAlignment w:val="center"/>
              <w:rPr>
                <w:rFonts w:ascii="Times New Roman" w:hAnsi="Times New Roman" w:cs="Times New Roman"/>
                <w:color w:val="auto"/>
                <w:spacing w:val="5"/>
                <w:sz w:val="21"/>
                <w:szCs w:val="21"/>
                <w:highlight w:val="none"/>
                <w:lang w:eastAsia="en-US"/>
              </w:rPr>
            </w:pPr>
            <w:r>
              <w:rPr>
                <w:rFonts w:hint="eastAsia" w:ascii="Times New Roman" w:hAnsi="Times New Roman" w:cs="Times New Roman"/>
                <w:bCs/>
                <w:color w:val="auto"/>
                <w:kern w:val="2"/>
                <w:sz w:val="21"/>
                <w:szCs w:val="21"/>
                <w:highlight w:val="none"/>
                <w:lang w:eastAsia="en-US"/>
              </w:rPr>
              <w:t>二甲基亚砜</w:t>
            </w:r>
          </w:p>
        </w:tc>
        <w:tc>
          <w:tcPr>
            <w:tcW w:w="966" w:type="dxa"/>
            <w:tcBorders>
              <w:tl2br w:val="nil"/>
              <w:tr2bl w:val="nil"/>
            </w:tcBorders>
            <w:vAlign w:val="center"/>
          </w:tcPr>
          <w:p w14:paraId="42E342BF">
            <w:pPr>
              <w:keepNext w:val="0"/>
              <w:keepLines w:val="0"/>
              <w:pageBreakBefore w:val="0"/>
              <w:widowControl/>
              <w:kinsoku/>
              <w:wordWrap/>
              <w:overflowPunct/>
              <w:topLinePunct w:val="0"/>
              <w:autoSpaceDE/>
              <w:autoSpaceDN/>
              <w:bidi w:val="0"/>
              <w:ind w:left="0" w:right="0"/>
              <w:jc w:val="center"/>
              <w:rPr>
                <w:rFonts w:ascii="Times New Roman" w:hAnsi="Times New Roman" w:cs="Times New Roman"/>
                <w:color w:val="auto"/>
                <w:spacing w:val="-5"/>
                <w:sz w:val="21"/>
                <w:szCs w:val="21"/>
                <w:highlight w:val="none"/>
                <w:lang w:eastAsia="en-US"/>
              </w:rPr>
            </w:pPr>
            <w:r>
              <w:rPr>
                <w:rFonts w:hint="eastAsia" w:ascii="Times New Roman" w:hAnsi="Times New Roman" w:cs="Times New Roman"/>
                <w:color w:val="auto"/>
                <w:spacing w:val="3"/>
                <w:sz w:val="21"/>
                <w:szCs w:val="21"/>
                <w:highlight w:val="none"/>
                <w:lang w:eastAsia="en-US"/>
              </w:rPr>
              <w:t>液体</w:t>
            </w:r>
          </w:p>
        </w:tc>
        <w:tc>
          <w:tcPr>
            <w:tcW w:w="1198" w:type="dxa"/>
            <w:tcBorders>
              <w:tl2br w:val="nil"/>
              <w:tr2bl w:val="nil"/>
            </w:tcBorders>
            <w:vAlign w:val="center"/>
          </w:tcPr>
          <w:p w14:paraId="65E95A0C">
            <w:pPr>
              <w:keepNext w:val="0"/>
              <w:keepLines w:val="0"/>
              <w:widowControl/>
              <w:suppressLineNumbers w:val="0"/>
              <w:autoSpaceDE w:val="0"/>
              <w:autoSpaceDN w:val="0"/>
              <w:jc w:val="center"/>
              <w:textAlignment w:val="center"/>
              <w:rPr>
                <w:rFonts w:ascii="Times New Roman" w:hAnsi="Times New Roman" w:cs="Times New Roman"/>
                <w:color w:val="auto"/>
                <w:spacing w:val="-2"/>
                <w:sz w:val="21"/>
                <w:szCs w:val="21"/>
                <w:highlight w:val="none"/>
                <w:lang w:eastAsia="en-US"/>
              </w:rPr>
            </w:pPr>
            <w:r>
              <w:rPr>
                <w:rFonts w:hint="default" w:ascii="Times New Roman" w:hAnsi="Times New Roman" w:eastAsia="等线" w:cs="Times New Roman"/>
                <w:i w:val="0"/>
                <w:iCs w:val="0"/>
                <w:color w:val="auto"/>
                <w:kern w:val="0"/>
                <w:sz w:val="21"/>
                <w:szCs w:val="21"/>
                <w:highlight w:val="none"/>
                <w:u w:val="none"/>
                <w:lang w:val="en-US" w:eastAsia="zh-CN" w:bidi="ar"/>
              </w:rPr>
              <w:t>34.08</w:t>
            </w:r>
          </w:p>
        </w:tc>
        <w:tc>
          <w:tcPr>
            <w:tcW w:w="1588" w:type="dxa"/>
            <w:tcBorders>
              <w:tl2br w:val="nil"/>
              <w:tr2bl w:val="nil"/>
            </w:tcBorders>
            <w:vAlign w:val="center"/>
          </w:tcPr>
          <w:p w14:paraId="219BD90A">
            <w:pPr>
              <w:keepNext w:val="0"/>
              <w:keepLines w:val="0"/>
              <w:pageBreakBefore w:val="0"/>
              <w:widowControl/>
              <w:kinsoku/>
              <w:wordWrap/>
              <w:overflowPunct/>
              <w:topLinePunct w:val="0"/>
              <w:autoSpaceDE/>
              <w:autoSpaceDN/>
              <w:bidi w:val="0"/>
              <w:ind w:left="0" w:right="0"/>
              <w:jc w:val="center"/>
              <w:rPr>
                <w:rFonts w:ascii="Times New Roman" w:hAnsi="Times New Roman" w:cs="Times New Roman"/>
                <w:color w:val="auto"/>
                <w:spacing w:val="7"/>
                <w:sz w:val="21"/>
                <w:szCs w:val="21"/>
                <w:highlight w:val="none"/>
                <w:lang w:eastAsia="en-US"/>
              </w:rPr>
            </w:pPr>
            <w:r>
              <w:rPr>
                <w:rFonts w:hint="eastAsia" w:ascii="Times New Roman" w:hAnsi="Times New Roman" w:cs="Times New Roman"/>
                <w:color w:val="auto"/>
                <w:spacing w:val="7"/>
                <w:sz w:val="21"/>
                <w:szCs w:val="21"/>
                <w:highlight w:val="none"/>
                <w:lang w:eastAsia="en-US"/>
              </w:rPr>
              <w:t>1</w:t>
            </w:r>
            <w:r>
              <w:rPr>
                <w:rFonts w:ascii="Times New Roman" w:hAnsi="Times New Roman" w:cs="Times New Roman"/>
                <w:color w:val="auto"/>
                <w:spacing w:val="7"/>
                <w:sz w:val="21"/>
                <w:szCs w:val="21"/>
                <w:highlight w:val="none"/>
                <w:lang w:eastAsia="en-US"/>
              </w:rPr>
              <w:t>00</w:t>
            </w:r>
            <w:r>
              <w:rPr>
                <w:rFonts w:hint="eastAsia" w:ascii="Times New Roman" w:hAnsi="Times New Roman" w:cs="Times New Roman"/>
                <w:color w:val="auto"/>
                <w:spacing w:val="7"/>
                <w:sz w:val="21"/>
                <w:szCs w:val="21"/>
                <w:highlight w:val="none"/>
                <w:lang w:eastAsia="en-US"/>
              </w:rPr>
              <w:t>*</w:t>
            </w:r>
          </w:p>
        </w:tc>
        <w:tc>
          <w:tcPr>
            <w:tcW w:w="1379" w:type="dxa"/>
            <w:tcBorders>
              <w:tl2br w:val="nil"/>
              <w:tr2bl w:val="nil"/>
            </w:tcBorders>
            <w:vAlign w:val="center"/>
          </w:tcPr>
          <w:p w14:paraId="7273272A">
            <w:pPr>
              <w:keepNext w:val="0"/>
              <w:keepLines w:val="0"/>
              <w:widowControl/>
              <w:suppressLineNumbers w:val="0"/>
              <w:autoSpaceDE w:val="0"/>
              <w:autoSpaceDN w:val="0"/>
              <w:jc w:val="center"/>
              <w:textAlignment w:val="center"/>
              <w:rPr>
                <w:rFonts w:ascii="Times New Roman" w:hAnsi="Times New Roman" w:cs="Times New Roman"/>
                <w:color w:val="auto"/>
                <w:sz w:val="21"/>
                <w:szCs w:val="21"/>
                <w:highlight w:val="none"/>
                <w:lang w:eastAsia="en-US"/>
              </w:rPr>
            </w:pPr>
            <w:r>
              <w:rPr>
                <w:rFonts w:hint="default" w:ascii="Times New Roman" w:hAnsi="Times New Roman" w:eastAsia="等线" w:cs="Times New Roman"/>
                <w:i w:val="0"/>
                <w:iCs w:val="0"/>
                <w:color w:val="auto"/>
                <w:kern w:val="0"/>
                <w:sz w:val="21"/>
                <w:szCs w:val="21"/>
                <w:highlight w:val="none"/>
                <w:u w:val="none"/>
                <w:lang w:val="en-US" w:eastAsia="zh-CN" w:bidi="ar"/>
              </w:rPr>
              <w:t>0.3408</w:t>
            </w:r>
          </w:p>
        </w:tc>
      </w:tr>
      <w:tr w14:paraId="2F93892E">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691" w:type="dxa"/>
            <w:vMerge w:val="continue"/>
            <w:tcBorders>
              <w:tl2br w:val="nil"/>
              <w:tr2bl w:val="nil"/>
            </w:tcBorders>
            <w:vAlign w:val="center"/>
          </w:tcPr>
          <w:p w14:paraId="79875656">
            <w:pPr>
              <w:keepNext w:val="0"/>
              <w:keepLines w:val="0"/>
              <w:pageBreakBefore w:val="0"/>
              <w:widowControl/>
              <w:kinsoku/>
              <w:wordWrap/>
              <w:overflowPunct/>
              <w:topLinePunct w:val="0"/>
              <w:autoSpaceDE/>
              <w:autoSpaceDN/>
              <w:bidi w:val="0"/>
              <w:ind w:left="0" w:right="0"/>
              <w:jc w:val="center"/>
              <w:rPr>
                <w:rFonts w:ascii="Times New Roman" w:hAnsi="Times New Roman" w:cs="Times New Roman"/>
                <w:color w:val="auto"/>
                <w:sz w:val="21"/>
                <w:szCs w:val="21"/>
                <w:highlight w:val="none"/>
                <w:lang w:eastAsia="en-US"/>
              </w:rPr>
            </w:pPr>
          </w:p>
        </w:tc>
        <w:tc>
          <w:tcPr>
            <w:tcW w:w="734" w:type="dxa"/>
            <w:vMerge w:val="continue"/>
            <w:tcBorders>
              <w:right w:val="single" w:color="auto" w:sz="4" w:space="0"/>
              <w:tl2br w:val="nil"/>
              <w:tr2bl w:val="nil"/>
            </w:tcBorders>
            <w:vAlign w:val="center"/>
          </w:tcPr>
          <w:p w14:paraId="09CD2B7A">
            <w:pPr>
              <w:keepNext w:val="0"/>
              <w:keepLines w:val="0"/>
              <w:pageBreakBefore w:val="0"/>
              <w:widowControl/>
              <w:kinsoku/>
              <w:wordWrap/>
              <w:overflowPunct/>
              <w:topLinePunct w:val="0"/>
              <w:autoSpaceDE/>
              <w:autoSpaceDN/>
              <w:bidi w:val="0"/>
              <w:ind w:left="0" w:right="0"/>
              <w:jc w:val="center"/>
              <w:rPr>
                <w:rFonts w:ascii="Times New Roman" w:hAnsi="Times New Roman" w:cs="Times New Roman"/>
                <w:color w:val="auto"/>
                <w:sz w:val="21"/>
                <w:szCs w:val="21"/>
                <w:highlight w:val="none"/>
                <w:lang w:eastAsia="en-US"/>
              </w:rPr>
            </w:pPr>
          </w:p>
        </w:tc>
        <w:tc>
          <w:tcPr>
            <w:tcW w:w="1948" w:type="dxa"/>
            <w:tcBorders>
              <w:left w:val="single" w:color="auto" w:sz="4" w:space="0"/>
              <w:tl2br w:val="nil"/>
              <w:tr2bl w:val="nil"/>
            </w:tcBorders>
            <w:vAlign w:val="center"/>
          </w:tcPr>
          <w:p w14:paraId="2626D4B5">
            <w:pPr>
              <w:keepNext w:val="0"/>
              <w:keepLines w:val="0"/>
              <w:pageBreakBefore w:val="0"/>
              <w:widowControl/>
              <w:kinsoku/>
              <w:wordWrap/>
              <w:overflowPunct/>
              <w:topLinePunct w:val="0"/>
              <w:autoSpaceDE w:val="0"/>
              <w:autoSpaceDN w:val="0"/>
              <w:bidi w:val="0"/>
              <w:ind w:left="0" w:right="0"/>
              <w:jc w:val="center"/>
              <w:textAlignment w:val="center"/>
              <w:rPr>
                <w:rFonts w:ascii="Times New Roman" w:hAnsi="Times New Roman" w:cs="Times New Roman"/>
                <w:color w:val="auto"/>
                <w:spacing w:val="5"/>
                <w:sz w:val="21"/>
                <w:szCs w:val="21"/>
                <w:highlight w:val="none"/>
                <w:lang w:eastAsia="en-US"/>
              </w:rPr>
            </w:pPr>
            <w:r>
              <w:rPr>
                <w:rFonts w:hint="eastAsia" w:ascii="Times New Roman" w:hAnsi="Times New Roman" w:cs="Times New Roman"/>
                <w:bCs/>
                <w:color w:val="auto"/>
                <w:kern w:val="2"/>
                <w:sz w:val="21"/>
                <w:szCs w:val="21"/>
                <w:highlight w:val="none"/>
                <w:lang w:eastAsia="en-US"/>
              </w:rPr>
              <w:t>N-甲基吡咯烷酮</w:t>
            </w:r>
          </w:p>
        </w:tc>
        <w:tc>
          <w:tcPr>
            <w:tcW w:w="966" w:type="dxa"/>
            <w:tcBorders>
              <w:tl2br w:val="nil"/>
              <w:tr2bl w:val="nil"/>
            </w:tcBorders>
            <w:vAlign w:val="center"/>
          </w:tcPr>
          <w:p w14:paraId="63EFCFF3">
            <w:pPr>
              <w:keepNext w:val="0"/>
              <w:keepLines w:val="0"/>
              <w:pageBreakBefore w:val="0"/>
              <w:widowControl/>
              <w:kinsoku/>
              <w:wordWrap/>
              <w:overflowPunct/>
              <w:topLinePunct w:val="0"/>
              <w:autoSpaceDE/>
              <w:autoSpaceDN/>
              <w:bidi w:val="0"/>
              <w:ind w:left="0" w:right="0"/>
              <w:jc w:val="center"/>
              <w:rPr>
                <w:rFonts w:ascii="Times New Roman" w:hAnsi="Times New Roman" w:cs="Times New Roman"/>
                <w:color w:val="auto"/>
                <w:spacing w:val="-5"/>
                <w:sz w:val="21"/>
                <w:szCs w:val="21"/>
                <w:highlight w:val="none"/>
                <w:lang w:eastAsia="en-US"/>
              </w:rPr>
            </w:pPr>
            <w:r>
              <w:rPr>
                <w:rFonts w:hint="eastAsia" w:ascii="Times New Roman" w:hAnsi="Times New Roman" w:cs="Times New Roman"/>
                <w:color w:val="auto"/>
                <w:spacing w:val="3"/>
                <w:sz w:val="21"/>
                <w:szCs w:val="21"/>
                <w:highlight w:val="none"/>
                <w:lang w:eastAsia="en-US"/>
              </w:rPr>
              <w:t>液体</w:t>
            </w:r>
          </w:p>
        </w:tc>
        <w:tc>
          <w:tcPr>
            <w:tcW w:w="1198" w:type="dxa"/>
            <w:tcBorders>
              <w:tl2br w:val="nil"/>
              <w:tr2bl w:val="nil"/>
            </w:tcBorders>
            <w:vAlign w:val="center"/>
          </w:tcPr>
          <w:p w14:paraId="1963B5B6">
            <w:pPr>
              <w:keepNext w:val="0"/>
              <w:keepLines w:val="0"/>
              <w:widowControl/>
              <w:suppressLineNumbers w:val="0"/>
              <w:autoSpaceDE w:val="0"/>
              <w:autoSpaceDN w:val="0"/>
              <w:jc w:val="center"/>
              <w:textAlignment w:val="center"/>
              <w:rPr>
                <w:rFonts w:ascii="Times New Roman" w:hAnsi="Times New Roman" w:cs="Times New Roman"/>
                <w:color w:val="auto"/>
                <w:spacing w:val="-2"/>
                <w:sz w:val="21"/>
                <w:szCs w:val="21"/>
                <w:highlight w:val="none"/>
                <w:lang w:eastAsia="en-US"/>
              </w:rPr>
            </w:pPr>
            <w:r>
              <w:rPr>
                <w:rFonts w:hint="default" w:ascii="Times New Roman" w:hAnsi="Times New Roman" w:eastAsia="等线" w:cs="Times New Roman"/>
                <w:i w:val="0"/>
                <w:iCs w:val="0"/>
                <w:color w:val="auto"/>
                <w:kern w:val="0"/>
                <w:sz w:val="21"/>
                <w:szCs w:val="21"/>
                <w:highlight w:val="none"/>
                <w:u w:val="none"/>
                <w:lang w:val="en-US" w:eastAsia="zh-CN" w:bidi="ar"/>
              </w:rPr>
              <w:t>24.36</w:t>
            </w:r>
          </w:p>
        </w:tc>
        <w:tc>
          <w:tcPr>
            <w:tcW w:w="1588" w:type="dxa"/>
            <w:tcBorders>
              <w:tl2br w:val="nil"/>
              <w:tr2bl w:val="nil"/>
            </w:tcBorders>
            <w:vAlign w:val="center"/>
          </w:tcPr>
          <w:p w14:paraId="44271EC6">
            <w:pPr>
              <w:keepNext w:val="0"/>
              <w:keepLines w:val="0"/>
              <w:pageBreakBefore w:val="0"/>
              <w:widowControl/>
              <w:kinsoku/>
              <w:wordWrap/>
              <w:overflowPunct/>
              <w:topLinePunct w:val="0"/>
              <w:autoSpaceDE/>
              <w:autoSpaceDN/>
              <w:bidi w:val="0"/>
              <w:ind w:left="0" w:right="0"/>
              <w:jc w:val="center"/>
              <w:rPr>
                <w:rFonts w:ascii="Times New Roman" w:hAnsi="Times New Roman" w:cs="Times New Roman"/>
                <w:color w:val="auto"/>
                <w:spacing w:val="7"/>
                <w:sz w:val="21"/>
                <w:szCs w:val="21"/>
                <w:highlight w:val="none"/>
                <w:lang w:eastAsia="en-US"/>
              </w:rPr>
            </w:pPr>
            <w:r>
              <w:rPr>
                <w:rFonts w:hint="eastAsia" w:ascii="Times New Roman" w:hAnsi="Times New Roman" w:cs="Times New Roman"/>
                <w:color w:val="auto"/>
                <w:spacing w:val="7"/>
                <w:sz w:val="21"/>
                <w:szCs w:val="21"/>
                <w:highlight w:val="none"/>
                <w:lang w:eastAsia="en-US"/>
              </w:rPr>
              <w:t>1</w:t>
            </w:r>
            <w:r>
              <w:rPr>
                <w:rFonts w:ascii="Times New Roman" w:hAnsi="Times New Roman" w:cs="Times New Roman"/>
                <w:color w:val="auto"/>
                <w:spacing w:val="7"/>
                <w:sz w:val="21"/>
                <w:szCs w:val="21"/>
                <w:highlight w:val="none"/>
                <w:lang w:eastAsia="en-US"/>
              </w:rPr>
              <w:t>00</w:t>
            </w:r>
            <w:r>
              <w:rPr>
                <w:rFonts w:hint="eastAsia" w:ascii="Times New Roman" w:hAnsi="Times New Roman" w:cs="Times New Roman"/>
                <w:color w:val="auto"/>
                <w:spacing w:val="7"/>
                <w:sz w:val="21"/>
                <w:szCs w:val="21"/>
                <w:highlight w:val="none"/>
                <w:lang w:eastAsia="en-US"/>
              </w:rPr>
              <w:t>*</w:t>
            </w:r>
          </w:p>
        </w:tc>
        <w:tc>
          <w:tcPr>
            <w:tcW w:w="1379" w:type="dxa"/>
            <w:tcBorders>
              <w:tl2br w:val="nil"/>
              <w:tr2bl w:val="nil"/>
            </w:tcBorders>
            <w:vAlign w:val="center"/>
          </w:tcPr>
          <w:p w14:paraId="65DC13D6">
            <w:pPr>
              <w:keepNext w:val="0"/>
              <w:keepLines w:val="0"/>
              <w:widowControl/>
              <w:suppressLineNumbers w:val="0"/>
              <w:autoSpaceDE w:val="0"/>
              <w:autoSpaceDN w:val="0"/>
              <w:jc w:val="center"/>
              <w:textAlignment w:val="center"/>
              <w:rPr>
                <w:rFonts w:ascii="Times New Roman" w:hAnsi="Times New Roman" w:cs="Times New Roman"/>
                <w:color w:val="auto"/>
                <w:sz w:val="21"/>
                <w:szCs w:val="21"/>
                <w:highlight w:val="none"/>
                <w:lang w:eastAsia="en-US"/>
              </w:rPr>
            </w:pPr>
            <w:r>
              <w:rPr>
                <w:rFonts w:hint="default" w:ascii="Times New Roman" w:hAnsi="Times New Roman" w:eastAsia="等线" w:cs="Times New Roman"/>
                <w:i w:val="0"/>
                <w:iCs w:val="0"/>
                <w:color w:val="auto"/>
                <w:kern w:val="0"/>
                <w:sz w:val="21"/>
                <w:szCs w:val="21"/>
                <w:highlight w:val="none"/>
                <w:u w:val="none"/>
                <w:lang w:val="en-US" w:eastAsia="zh-CN" w:bidi="ar"/>
              </w:rPr>
              <w:t>0.2436</w:t>
            </w:r>
          </w:p>
        </w:tc>
      </w:tr>
      <w:tr w14:paraId="6F6B38B3">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691" w:type="dxa"/>
            <w:vMerge w:val="continue"/>
            <w:tcBorders>
              <w:tl2br w:val="nil"/>
              <w:tr2bl w:val="nil"/>
            </w:tcBorders>
            <w:vAlign w:val="center"/>
          </w:tcPr>
          <w:p w14:paraId="27FB43DE">
            <w:pPr>
              <w:keepNext w:val="0"/>
              <w:keepLines w:val="0"/>
              <w:pageBreakBefore w:val="0"/>
              <w:widowControl/>
              <w:kinsoku/>
              <w:wordWrap/>
              <w:overflowPunct/>
              <w:topLinePunct w:val="0"/>
              <w:autoSpaceDE/>
              <w:autoSpaceDN/>
              <w:bidi w:val="0"/>
              <w:ind w:left="0" w:right="0"/>
              <w:jc w:val="center"/>
              <w:rPr>
                <w:rFonts w:ascii="Times New Roman" w:hAnsi="Times New Roman" w:cs="Times New Roman"/>
                <w:color w:val="auto"/>
                <w:sz w:val="21"/>
                <w:szCs w:val="21"/>
                <w:highlight w:val="none"/>
                <w:lang w:eastAsia="en-US"/>
              </w:rPr>
            </w:pPr>
          </w:p>
        </w:tc>
        <w:tc>
          <w:tcPr>
            <w:tcW w:w="734" w:type="dxa"/>
            <w:vMerge w:val="continue"/>
            <w:tcBorders>
              <w:right w:val="single" w:color="auto" w:sz="4" w:space="0"/>
              <w:tl2br w:val="nil"/>
              <w:tr2bl w:val="nil"/>
            </w:tcBorders>
            <w:vAlign w:val="center"/>
          </w:tcPr>
          <w:p w14:paraId="17AD438E">
            <w:pPr>
              <w:keepNext w:val="0"/>
              <w:keepLines w:val="0"/>
              <w:pageBreakBefore w:val="0"/>
              <w:widowControl/>
              <w:kinsoku/>
              <w:wordWrap/>
              <w:overflowPunct/>
              <w:topLinePunct w:val="0"/>
              <w:autoSpaceDE/>
              <w:autoSpaceDN/>
              <w:bidi w:val="0"/>
              <w:ind w:left="0" w:right="0"/>
              <w:jc w:val="center"/>
              <w:rPr>
                <w:rFonts w:ascii="Times New Roman" w:hAnsi="Times New Roman" w:cs="Times New Roman"/>
                <w:color w:val="auto"/>
                <w:sz w:val="21"/>
                <w:szCs w:val="21"/>
                <w:highlight w:val="none"/>
                <w:lang w:eastAsia="en-US"/>
              </w:rPr>
            </w:pPr>
          </w:p>
        </w:tc>
        <w:tc>
          <w:tcPr>
            <w:tcW w:w="1948" w:type="dxa"/>
            <w:tcBorders>
              <w:left w:val="single" w:color="auto" w:sz="4" w:space="0"/>
              <w:tl2br w:val="nil"/>
              <w:tr2bl w:val="nil"/>
            </w:tcBorders>
            <w:vAlign w:val="center"/>
          </w:tcPr>
          <w:p w14:paraId="3A3684FE">
            <w:pPr>
              <w:keepNext w:val="0"/>
              <w:keepLines w:val="0"/>
              <w:pageBreakBefore w:val="0"/>
              <w:widowControl/>
              <w:kinsoku/>
              <w:wordWrap/>
              <w:overflowPunct/>
              <w:topLinePunct w:val="0"/>
              <w:autoSpaceDE w:val="0"/>
              <w:autoSpaceDN w:val="0"/>
              <w:bidi w:val="0"/>
              <w:ind w:left="0" w:right="0"/>
              <w:jc w:val="center"/>
              <w:textAlignment w:val="center"/>
              <w:rPr>
                <w:rFonts w:ascii="Times New Roman" w:hAnsi="Times New Roman" w:cs="Times New Roman"/>
                <w:color w:val="auto"/>
                <w:spacing w:val="5"/>
                <w:sz w:val="21"/>
                <w:szCs w:val="21"/>
                <w:highlight w:val="none"/>
                <w:lang w:eastAsia="en-US"/>
              </w:rPr>
            </w:pPr>
            <w:r>
              <w:rPr>
                <w:rFonts w:hint="eastAsia" w:ascii="Times New Roman" w:hAnsi="Times New Roman" w:cs="Times New Roman"/>
                <w:bCs/>
                <w:color w:val="auto"/>
                <w:kern w:val="2"/>
                <w:sz w:val="21"/>
                <w:szCs w:val="21"/>
                <w:highlight w:val="none"/>
                <w:lang w:eastAsia="en-US"/>
              </w:rPr>
              <w:t>四甲基氢氧化铵</w:t>
            </w:r>
          </w:p>
        </w:tc>
        <w:tc>
          <w:tcPr>
            <w:tcW w:w="966" w:type="dxa"/>
            <w:tcBorders>
              <w:tl2br w:val="nil"/>
              <w:tr2bl w:val="nil"/>
            </w:tcBorders>
            <w:vAlign w:val="center"/>
          </w:tcPr>
          <w:p w14:paraId="6A3A3DAC">
            <w:pPr>
              <w:keepNext w:val="0"/>
              <w:keepLines w:val="0"/>
              <w:pageBreakBefore w:val="0"/>
              <w:widowControl/>
              <w:kinsoku/>
              <w:wordWrap/>
              <w:overflowPunct/>
              <w:topLinePunct w:val="0"/>
              <w:autoSpaceDE/>
              <w:autoSpaceDN/>
              <w:bidi w:val="0"/>
              <w:ind w:left="0" w:right="0"/>
              <w:jc w:val="center"/>
              <w:rPr>
                <w:rFonts w:ascii="Times New Roman" w:hAnsi="Times New Roman" w:cs="Times New Roman"/>
                <w:color w:val="auto"/>
                <w:spacing w:val="-5"/>
                <w:sz w:val="21"/>
                <w:szCs w:val="21"/>
                <w:highlight w:val="none"/>
                <w:lang w:eastAsia="en-US"/>
              </w:rPr>
            </w:pPr>
            <w:r>
              <w:rPr>
                <w:rFonts w:hint="eastAsia" w:ascii="Times New Roman" w:hAnsi="Times New Roman" w:cs="Times New Roman"/>
                <w:color w:val="auto"/>
                <w:spacing w:val="3"/>
                <w:sz w:val="21"/>
                <w:szCs w:val="21"/>
                <w:highlight w:val="none"/>
                <w:lang w:eastAsia="en-US"/>
              </w:rPr>
              <w:t>液体</w:t>
            </w:r>
          </w:p>
        </w:tc>
        <w:tc>
          <w:tcPr>
            <w:tcW w:w="1198" w:type="dxa"/>
            <w:tcBorders>
              <w:tl2br w:val="nil"/>
              <w:tr2bl w:val="nil"/>
            </w:tcBorders>
            <w:vAlign w:val="center"/>
          </w:tcPr>
          <w:p w14:paraId="4C48C45D">
            <w:pPr>
              <w:keepNext w:val="0"/>
              <w:keepLines w:val="0"/>
              <w:widowControl/>
              <w:suppressLineNumbers w:val="0"/>
              <w:autoSpaceDE w:val="0"/>
              <w:autoSpaceDN w:val="0"/>
              <w:jc w:val="center"/>
              <w:textAlignment w:val="center"/>
              <w:rPr>
                <w:rFonts w:ascii="Times New Roman" w:hAnsi="Times New Roman" w:cs="Times New Roman"/>
                <w:color w:val="auto"/>
                <w:spacing w:val="-2"/>
                <w:sz w:val="21"/>
                <w:szCs w:val="21"/>
                <w:highlight w:val="none"/>
                <w:lang w:eastAsia="en-US"/>
              </w:rPr>
            </w:pPr>
            <w:r>
              <w:rPr>
                <w:rFonts w:hint="default" w:ascii="Times New Roman" w:hAnsi="Times New Roman" w:eastAsia="等线" w:cs="Times New Roman"/>
                <w:i w:val="0"/>
                <w:iCs w:val="0"/>
                <w:color w:val="auto"/>
                <w:kern w:val="0"/>
                <w:sz w:val="21"/>
                <w:szCs w:val="21"/>
                <w:highlight w:val="none"/>
                <w:u w:val="none"/>
                <w:lang w:val="en-US" w:eastAsia="zh-CN" w:bidi="ar"/>
              </w:rPr>
              <w:t>1.039</w:t>
            </w:r>
          </w:p>
        </w:tc>
        <w:tc>
          <w:tcPr>
            <w:tcW w:w="1588" w:type="dxa"/>
            <w:tcBorders>
              <w:tl2br w:val="nil"/>
              <w:tr2bl w:val="nil"/>
            </w:tcBorders>
            <w:vAlign w:val="center"/>
          </w:tcPr>
          <w:p w14:paraId="21D4BC4B">
            <w:pPr>
              <w:keepNext w:val="0"/>
              <w:keepLines w:val="0"/>
              <w:pageBreakBefore w:val="0"/>
              <w:widowControl/>
              <w:kinsoku/>
              <w:wordWrap/>
              <w:overflowPunct/>
              <w:topLinePunct w:val="0"/>
              <w:autoSpaceDE/>
              <w:autoSpaceDN/>
              <w:bidi w:val="0"/>
              <w:ind w:left="0" w:right="0"/>
              <w:jc w:val="center"/>
              <w:rPr>
                <w:rFonts w:ascii="Times New Roman" w:hAnsi="Times New Roman" w:cs="Times New Roman"/>
                <w:color w:val="auto"/>
                <w:spacing w:val="7"/>
                <w:sz w:val="21"/>
                <w:szCs w:val="21"/>
                <w:highlight w:val="none"/>
                <w:lang w:eastAsia="en-US"/>
              </w:rPr>
            </w:pPr>
            <w:r>
              <w:rPr>
                <w:rFonts w:hint="eastAsia" w:ascii="Times New Roman" w:hAnsi="Times New Roman" w:cs="Times New Roman"/>
                <w:color w:val="auto"/>
                <w:spacing w:val="7"/>
                <w:sz w:val="21"/>
                <w:szCs w:val="21"/>
                <w:highlight w:val="none"/>
                <w:lang w:eastAsia="en-US"/>
              </w:rPr>
              <w:t>1</w:t>
            </w:r>
            <w:r>
              <w:rPr>
                <w:rFonts w:ascii="Times New Roman" w:hAnsi="Times New Roman" w:cs="Times New Roman"/>
                <w:color w:val="auto"/>
                <w:spacing w:val="7"/>
                <w:sz w:val="21"/>
                <w:szCs w:val="21"/>
                <w:highlight w:val="none"/>
                <w:lang w:eastAsia="en-US"/>
              </w:rPr>
              <w:t>00</w:t>
            </w:r>
            <w:r>
              <w:rPr>
                <w:rFonts w:hint="eastAsia" w:ascii="Times New Roman" w:hAnsi="Times New Roman" w:cs="Times New Roman"/>
                <w:color w:val="auto"/>
                <w:spacing w:val="7"/>
                <w:sz w:val="21"/>
                <w:szCs w:val="21"/>
                <w:highlight w:val="none"/>
                <w:lang w:eastAsia="en-US"/>
              </w:rPr>
              <w:t>*</w:t>
            </w:r>
          </w:p>
        </w:tc>
        <w:tc>
          <w:tcPr>
            <w:tcW w:w="1379" w:type="dxa"/>
            <w:tcBorders>
              <w:tl2br w:val="nil"/>
              <w:tr2bl w:val="nil"/>
            </w:tcBorders>
            <w:vAlign w:val="center"/>
          </w:tcPr>
          <w:p w14:paraId="698DD1B2">
            <w:pPr>
              <w:keepNext w:val="0"/>
              <w:keepLines w:val="0"/>
              <w:widowControl/>
              <w:suppressLineNumbers w:val="0"/>
              <w:autoSpaceDE w:val="0"/>
              <w:autoSpaceDN w:val="0"/>
              <w:jc w:val="center"/>
              <w:textAlignment w:val="center"/>
              <w:rPr>
                <w:rFonts w:ascii="Times New Roman" w:hAnsi="Times New Roman" w:cs="Times New Roman"/>
                <w:color w:val="auto"/>
                <w:sz w:val="21"/>
                <w:szCs w:val="21"/>
                <w:highlight w:val="none"/>
                <w:lang w:eastAsia="en-US"/>
              </w:rPr>
            </w:pPr>
            <w:r>
              <w:rPr>
                <w:rFonts w:hint="default" w:ascii="Times New Roman" w:hAnsi="Times New Roman" w:eastAsia="等线" w:cs="Times New Roman"/>
                <w:i w:val="0"/>
                <w:iCs w:val="0"/>
                <w:color w:val="auto"/>
                <w:kern w:val="0"/>
                <w:sz w:val="21"/>
                <w:szCs w:val="21"/>
                <w:highlight w:val="none"/>
                <w:u w:val="none"/>
                <w:lang w:val="en-US" w:eastAsia="zh-CN" w:bidi="ar"/>
              </w:rPr>
              <w:t>0.01039</w:t>
            </w:r>
          </w:p>
        </w:tc>
      </w:tr>
      <w:tr w14:paraId="08B69C30">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691" w:type="dxa"/>
            <w:vMerge w:val="continue"/>
            <w:tcBorders>
              <w:tl2br w:val="nil"/>
              <w:tr2bl w:val="nil"/>
            </w:tcBorders>
            <w:vAlign w:val="center"/>
          </w:tcPr>
          <w:p w14:paraId="053DAC27">
            <w:pPr>
              <w:keepNext w:val="0"/>
              <w:keepLines w:val="0"/>
              <w:pageBreakBefore w:val="0"/>
              <w:widowControl/>
              <w:kinsoku/>
              <w:wordWrap/>
              <w:overflowPunct/>
              <w:topLinePunct w:val="0"/>
              <w:autoSpaceDE/>
              <w:autoSpaceDN/>
              <w:bidi w:val="0"/>
              <w:ind w:left="0" w:right="0"/>
              <w:jc w:val="center"/>
              <w:rPr>
                <w:rFonts w:ascii="Times New Roman" w:hAnsi="Times New Roman" w:cs="Times New Roman"/>
                <w:color w:val="auto"/>
                <w:sz w:val="21"/>
                <w:szCs w:val="21"/>
                <w:highlight w:val="none"/>
                <w:lang w:eastAsia="en-US"/>
              </w:rPr>
            </w:pPr>
          </w:p>
        </w:tc>
        <w:tc>
          <w:tcPr>
            <w:tcW w:w="734" w:type="dxa"/>
            <w:vMerge w:val="continue"/>
            <w:tcBorders>
              <w:right w:val="single" w:color="auto" w:sz="4" w:space="0"/>
              <w:tl2br w:val="nil"/>
              <w:tr2bl w:val="nil"/>
            </w:tcBorders>
            <w:vAlign w:val="center"/>
          </w:tcPr>
          <w:p w14:paraId="080154A2">
            <w:pPr>
              <w:keepNext w:val="0"/>
              <w:keepLines w:val="0"/>
              <w:pageBreakBefore w:val="0"/>
              <w:widowControl/>
              <w:kinsoku/>
              <w:wordWrap/>
              <w:overflowPunct/>
              <w:topLinePunct w:val="0"/>
              <w:autoSpaceDE/>
              <w:autoSpaceDN/>
              <w:bidi w:val="0"/>
              <w:ind w:left="0" w:right="0"/>
              <w:jc w:val="center"/>
              <w:rPr>
                <w:rFonts w:ascii="Times New Roman" w:hAnsi="Times New Roman" w:cs="Times New Roman"/>
                <w:color w:val="auto"/>
                <w:sz w:val="21"/>
                <w:szCs w:val="21"/>
                <w:highlight w:val="none"/>
                <w:lang w:eastAsia="en-US"/>
              </w:rPr>
            </w:pPr>
          </w:p>
        </w:tc>
        <w:tc>
          <w:tcPr>
            <w:tcW w:w="1948" w:type="dxa"/>
            <w:tcBorders>
              <w:left w:val="single" w:color="auto" w:sz="4" w:space="0"/>
              <w:tl2br w:val="nil"/>
              <w:tr2bl w:val="nil"/>
            </w:tcBorders>
            <w:vAlign w:val="center"/>
          </w:tcPr>
          <w:p w14:paraId="688E0291">
            <w:pPr>
              <w:keepNext w:val="0"/>
              <w:keepLines w:val="0"/>
              <w:pageBreakBefore w:val="0"/>
              <w:widowControl/>
              <w:kinsoku/>
              <w:wordWrap/>
              <w:overflowPunct/>
              <w:topLinePunct w:val="0"/>
              <w:autoSpaceDE w:val="0"/>
              <w:autoSpaceDN w:val="0"/>
              <w:bidi w:val="0"/>
              <w:ind w:left="0" w:right="0"/>
              <w:jc w:val="center"/>
              <w:textAlignment w:val="center"/>
              <w:rPr>
                <w:rFonts w:ascii="Times New Roman" w:hAnsi="Times New Roman" w:cs="Times New Roman"/>
                <w:color w:val="auto"/>
                <w:spacing w:val="5"/>
                <w:sz w:val="21"/>
                <w:szCs w:val="21"/>
                <w:highlight w:val="none"/>
                <w:lang w:eastAsia="en-US"/>
              </w:rPr>
            </w:pPr>
            <w:r>
              <w:rPr>
                <w:rFonts w:hint="eastAsia" w:ascii="Times New Roman" w:hAnsi="Times New Roman" w:cs="Times New Roman"/>
                <w:bCs/>
                <w:color w:val="auto"/>
                <w:kern w:val="2"/>
                <w:sz w:val="21"/>
                <w:szCs w:val="21"/>
                <w:highlight w:val="none"/>
                <w:lang w:eastAsia="en-US"/>
              </w:rPr>
              <w:t>2-甲氨基乙醇</w:t>
            </w:r>
          </w:p>
        </w:tc>
        <w:tc>
          <w:tcPr>
            <w:tcW w:w="966" w:type="dxa"/>
            <w:tcBorders>
              <w:tl2br w:val="nil"/>
              <w:tr2bl w:val="nil"/>
            </w:tcBorders>
            <w:vAlign w:val="center"/>
          </w:tcPr>
          <w:p w14:paraId="7CD9212D">
            <w:pPr>
              <w:keepNext w:val="0"/>
              <w:keepLines w:val="0"/>
              <w:pageBreakBefore w:val="0"/>
              <w:widowControl/>
              <w:kinsoku/>
              <w:wordWrap/>
              <w:overflowPunct/>
              <w:topLinePunct w:val="0"/>
              <w:autoSpaceDE/>
              <w:autoSpaceDN/>
              <w:bidi w:val="0"/>
              <w:ind w:left="0" w:right="0"/>
              <w:jc w:val="center"/>
              <w:rPr>
                <w:rFonts w:ascii="Times New Roman" w:hAnsi="Times New Roman" w:cs="Times New Roman"/>
                <w:color w:val="auto"/>
                <w:spacing w:val="-5"/>
                <w:sz w:val="21"/>
                <w:szCs w:val="21"/>
                <w:highlight w:val="none"/>
                <w:lang w:eastAsia="en-US"/>
              </w:rPr>
            </w:pPr>
            <w:r>
              <w:rPr>
                <w:rFonts w:hint="eastAsia" w:ascii="Times New Roman" w:hAnsi="Times New Roman" w:cs="Times New Roman"/>
                <w:color w:val="auto"/>
                <w:spacing w:val="3"/>
                <w:sz w:val="21"/>
                <w:szCs w:val="21"/>
                <w:highlight w:val="none"/>
                <w:lang w:eastAsia="en-US"/>
              </w:rPr>
              <w:t>液体</w:t>
            </w:r>
          </w:p>
        </w:tc>
        <w:tc>
          <w:tcPr>
            <w:tcW w:w="1198" w:type="dxa"/>
            <w:tcBorders>
              <w:tl2br w:val="nil"/>
              <w:tr2bl w:val="nil"/>
            </w:tcBorders>
            <w:vAlign w:val="center"/>
          </w:tcPr>
          <w:p w14:paraId="0A40E185">
            <w:pPr>
              <w:keepNext w:val="0"/>
              <w:keepLines w:val="0"/>
              <w:widowControl/>
              <w:suppressLineNumbers w:val="0"/>
              <w:autoSpaceDE w:val="0"/>
              <w:autoSpaceDN w:val="0"/>
              <w:jc w:val="center"/>
              <w:textAlignment w:val="center"/>
              <w:rPr>
                <w:rFonts w:ascii="Times New Roman" w:hAnsi="Times New Roman" w:cs="Times New Roman"/>
                <w:color w:val="auto"/>
                <w:spacing w:val="-2"/>
                <w:sz w:val="21"/>
                <w:szCs w:val="21"/>
                <w:highlight w:val="none"/>
                <w:lang w:eastAsia="en-US"/>
              </w:rPr>
            </w:pPr>
            <w:r>
              <w:rPr>
                <w:rFonts w:hint="default" w:ascii="Times New Roman" w:hAnsi="Times New Roman" w:eastAsia="等线" w:cs="Times New Roman"/>
                <w:i w:val="0"/>
                <w:iCs w:val="0"/>
                <w:color w:val="auto"/>
                <w:kern w:val="0"/>
                <w:sz w:val="21"/>
                <w:szCs w:val="21"/>
                <w:highlight w:val="none"/>
                <w:u w:val="none"/>
                <w:lang w:val="en-US" w:eastAsia="zh-CN" w:bidi="ar"/>
              </w:rPr>
              <w:t>2.031</w:t>
            </w:r>
          </w:p>
        </w:tc>
        <w:tc>
          <w:tcPr>
            <w:tcW w:w="1588" w:type="dxa"/>
            <w:tcBorders>
              <w:tl2br w:val="nil"/>
              <w:tr2bl w:val="nil"/>
            </w:tcBorders>
            <w:vAlign w:val="center"/>
          </w:tcPr>
          <w:p w14:paraId="3E7142CA">
            <w:pPr>
              <w:keepNext w:val="0"/>
              <w:keepLines w:val="0"/>
              <w:pageBreakBefore w:val="0"/>
              <w:widowControl/>
              <w:kinsoku/>
              <w:wordWrap/>
              <w:overflowPunct/>
              <w:topLinePunct w:val="0"/>
              <w:autoSpaceDE/>
              <w:autoSpaceDN/>
              <w:bidi w:val="0"/>
              <w:ind w:left="0" w:right="0"/>
              <w:jc w:val="center"/>
              <w:rPr>
                <w:rFonts w:ascii="Times New Roman" w:hAnsi="Times New Roman" w:cs="Times New Roman"/>
                <w:color w:val="auto"/>
                <w:spacing w:val="7"/>
                <w:sz w:val="21"/>
                <w:szCs w:val="21"/>
                <w:highlight w:val="none"/>
                <w:lang w:eastAsia="en-US"/>
              </w:rPr>
            </w:pPr>
            <w:r>
              <w:rPr>
                <w:rFonts w:hint="eastAsia" w:ascii="Times New Roman" w:hAnsi="Times New Roman" w:cs="Times New Roman"/>
                <w:color w:val="auto"/>
                <w:spacing w:val="7"/>
                <w:sz w:val="21"/>
                <w:szCs w:val="21"/>
                <w:highlight w:val="none"/>
                <w:lang w:eastAsia="en-US"/>
              </w:rPr>
              <w:t>1</w:t>
            </w:r>
            <w:r>
              <w:rPr>
                <w:rFonts w:ascii="Times New Roman" w:hAnsi="Times New Roman" w:cs="Times New Roman"/>
                <w:color w:val="auto"/>
                <w:spacing w:val="7"/>
                <w:sz w:val="21"/>
                <w:szCs w:val="21"/>
                <w:highlight w:val="none"/>
                <w:lang w:eastAsia="en-US"/>
              </w:rPr>
              <w:t>00</w:t>
            </w:r>
            <w:r>
              <w:rPr>
                <w:rFonts w:hint="eastAsia" w:ascii="Times New Roman" w:hAnsi="Times New Roman" w:cs="Times New Roman"/>
                <w:color w:val="auto"/>
                <w:spacing w:val="7"/>
                <w:sz w:val="21"/>
                <w:szCs w:val="21"/>
                <w:highlight w:val="none"/>
                <w:lang w:eastAsia="en-US"/>
              </w:rPr>
              <w:t>*</w:t>
            </w:r>
          </w:p>
        </w:tc>
        <w:tc>
          <w:tcPr>
            <w:tcW w:w="1379" w:type="dxa"/>
            <w:tcBorders>
              <w:tl2br w:val="nil"/>
              <w:tr2bl w:val="nil"/>
            </w:tcBorders>
            <w:vAlign w:val="center"/>
          </w:tcPr>
          <w:p w14:paraId="1E338F86">
            <w:pPr>
              <w:keepNext w:val="0"/>
              <w:keepLines w:val="0"/>
              <w:widowControl/>
              <w:suppressLineNumbers w:val="0"/>
              <w:autoSpaceDE w:val="0"/>
              <w:autoSpaceDN w:val="0"/>
              <w:jc w:val="center"/>
              <w:textAlignment w:val="center"/>
              <w:rPr>
                <w:rFonts w:ascii="Times New Roman" w:hAnsi="Times New Roman" w:cs="Times New Roman"/>
                <w:color w:val="auto"/>
                <w:sz w:val="21"/>
                <w:szCs w:val="21"/>
                <w:highlight w:val="none"/>
                <w:lang w:eastAsia="en-US"/>
              </w:rPr>
            </w:pPr>
            <w:r>
              <w:rPr>
                <w:rFonts w:hint="default" w:ascii="Times New Roman" w:hAnsi="Times New Roman" w:eastAsia="等线" w:cs="Times New Roman"/>
                <w:i w:val="0"/>
                <w:iCs w:val="0"/>
                <w:color w:val="auto"/>
                <w:kern w:val="0"/>
                <w:sz w:val="21"/>
                <w:szCs w:val="21"/>
                <w:highlight w:val="none"/>
                <w:u w:val="none"/>
                <w:lang w:val="en-US" w:eastAsia="zh-CN" w:bidi="ar"/>
              </w:rPr>
              <w:t>0.02031</w:t>
            </w:r>
          </w:p>
        </w:tc>
      </w:tr>
      <w:tr w14:paraId="43D719B9">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691" w:type="dxa"/>
            <w:vMerge w:val="continue"/>
            <w:tcBorders>
              <w:tl2br w:val="nil"/>
              <w:tr2bl w:val="nil"/>
            </w:tcBorders>
            <w:vAlign w:val="center"/>
          </w:tcPr>
          <w:p w14:paraId="22A26DD5">
            <w:pPr>
              <w:keepNext w:val="0"/>
              <w:keepLines w:val="0"/>
              <w:pageBreakBefore w:val="0"/>
              <w:widowControl/>
              <w:kinsoku/>
              <w:wordWrap/>
              <w:overflowPunct/>
              <w:topLinePunct w:val="0"/>
              <w:autoSpaceDE/>
              <w:autoSpaceDN/>
              <w:bidi w:val="0"/>
              <w:ind w:left="0" w:right="0"/>
              <w:jc w:val="center"/>
              <w:rPr>
                <w:rFonts w:ascii="Times New Roman" w:hAnsi="Times New Roman" w:cs="Times New Roman"/>
                <w:color w:val="auto"/>
                <w:sz w:val="21"/>
                <w:szCs w:val="21"/>
                <w:highlight w:val="none"/>
                <w:lang w:eastAsia="en-US"/>
              </w:rPr>
            </w:pPr>
          </w:p>
        </w:tc>
        <w:tc>
          <w:tcPr>
            <w:tcW w:w="734" w:type="dxa"/>
            <w:vMerge w:val="continue"/>
            <w:tcBorders>
              <w:right w:val="single" w:color="auto" w:sz="4" w:space="0"/>
              <w:tl2br w:val="nil"/>
              <w:tr2bl w:val="nil"/>
            </w:tcBorders>
            <w:vAlign w:val="center"/>
          </w:tcPr>
          <w:p w14:paraId="31791412">
            <w:pPr>
              <w:keepNext w:val="0"/>
              <w:keepLines w:val="0"/>
              <w:pageBreakBefore w:val="0"/>
              <w:widowControl/>
              <w:kinsoku/>
              <w:wordWrap/>
              <w:overflowPunct/>
              <w:topLinePunct w:val="0"/>
              <w:autoSpaceDE/>
              <w:autoSpaceDN/>
              <w:bidi w:val="0"/>
              <w:ind w:left="0" w:right="0"/>
              <w:jc w:val="center"/>
              <w:rPr>
                <w:rFonts w:ascii="Times New Roman" w:hAnsi="Times New Roman" w:cs="Times New Roman"/>
                <w:color w:val="auto"/>
                <w:sz w:val="21"/>
                <w:szCs w:val="21"/>
                <w:highlight w:val="none"/>
                <w:lang w:eastAsia="en-US"/>
              </w:rPr>
            </w:pPr>
          </w:p>
        </w:tc>
        <w:tc>
          <w:tcPr>
            <w:tcW w:w="1948" w:type="dxa"/>
            <w:tcBorders>
              <w:left w:val="single" w:color="auto" w:sz="4" w:space="0"/>
              <w:tl2br w:val="nil"/>
              <w:tr2bl w:val="nil"/>
            </w:tcBorders>
            <w:vAlign w:val="center"/>
          </w:tcPr>
          <w:p w14:paraId="686A9111">
            <w:pPr>
              <w:keepNext w:val="0"/>
              <w:keepLines w:val="0"/>
              <w:pageBreakBefore w:val="0"/>
              <w:widowControl w:val="0"/>
              <w:kinsoku/>
              <w:wordWrap/>
              <w:overflowPunct/>
              <w:topLinePunct w:val="0"/>
              <w:autoSpaceDE w:val="0"/>
              <w:autoSpaceDN w:val="0"/>
              <w:bidi w:val="0"/>
              <w:ind w:left="0" w:right="0"/>
              <w:jc w:val="center"/>
              <w:rPr>
                <w:rFonts w:ascii="Times New Roman" w:hAnsi="Times New Roman" w:cs="Times New Roman"/>
                <w:color w:val="auto"/>
                <w:spacing w:val="5"/>
                <w:sz w:val="21"/>
                <w:szCs w:val="21"/>
                <w:highlight w:val="none"/>
                <w:lang w:eastAsia="en-US"/>
              </w:rPr>
            </w:pPr>
            <w:r>
              <w:rPr>
                <w:rFonts w:hint="eastAsia" w:ascii="Times New Roman" w:hAnsi="Times New Roman" w:cs="Times New Roman"/>
                <w:bCs/>
                <w:color w:val="auto"/>
                <w:kern w:val="2"/>
                <w:sz w:val="21"/>
                <w:szCs w:val="21"/>
                <w:highlight w:val="none"/>
                <w:lang w:eastAsia="en-US"/>
              </w:rPr>
              <w:t>邻苯二酚</w:t>
            </w:r>
          </w:p>
        </w:tc>
        <w:tc>
          <w:tcPr>
            <w:tcW w:w="966" w:type="dxa"/>
            <w:tcBorders>
              <w:tl2br w:val="nil"/>
              <w:tr2bl w:val="nil"/>
            </w:tcBorders>
            <w:vAlign w:val="center"/>
          </w:tcPr>
          <w:p w14:paraId="76787BB1">
            <w:pPr>
              <w:keepNext w:val="0"/>
              <w:keepLines w:val="0"/>
              <w:pageBreakBefore w:val="0"/>
              <w:widowControl/>
              <w:kinsoku/>
              <w:wordWrap/>
              <w:overflowPunct/>
              <w:topLinePunct w:val="0"/>
              <w:autoSpaceDE/>
              <w:autoSpaceDN/>
              <w:bidi w:val="0"/>
              <w:ind w:left="0" w:right="0"/>
              <w:jc w:val="center"/>
              <w:rPr>
                <w:rFonts w:ascii="Times New Roman" w:hAnsi="Times New Roman" w:cs="Times New Roman"/>
                <w:color w:val="auto"/>
                <w:spacing w:val="-5"/>
                <w:sz w:val="21"/>
                <w:szCs w:val="21"/>
                <w:highlight w:val="none"/>
                <w:lang w:eastAsia="en-US"/>
              </w:rPr>
            </w:pPr>
            <w:r>
              <w:rPr>
                <w:rFonts w:hint="eastAsia" w:ascii="Times New Roman" w:hAnsi="Times New Roman" w:cs="Times New Roman"/>
                <w:color w:val="auto"/>
                <w:spacing w:val="3"/>
                <w:sz w:val="21"/>
                <w:szCs w:val="21"/>
                <w:highlight w:val="none"/>
                <w:lang w:eastAsia="en-US"/>
              </w:rPr>
              <w:t>固体</w:t>
            </w:r>
          </w:p>
        </w:tc>
        <w:tc>
          <w:tcPr>
            <w:tcW w:w="1198" w:type="dxa"/>
            <w:tcBorders>
              <w:tl2br w:val="nil"/>
              <w:tr2bl w:val="nil"/>
            </w:tcBorders>
            <w:vAlign w:val="center"/>
          </w:tcPr>
          <w:p w14:paraId="07378C68">
            <w:pPr>
              <w:keepNext w:val="0"/>
              <w:keepLines w:val="0"/>
              <w:widowControl/>
              <w:suppressLineNumbers w:val="0"/>
              <w:autoSpaceDE w:val="0"/>
              <w:autoSpaceDN w:val="0"/>
              <w:jc w:val="center"/>
              <w:textAlignment w:val="center"/>
              <w:rPr>
                <w:rFonts w:ascii="Times New Roman" w:hAnsi="Times New Roman" w:cs="Times New Roman"/>
                <w:color w:val="auto"/>
                <w:spacing w:val="-2"/>
                <w:sz w:val="21"/>
                <w:szCs w:val="21"/>
                <w:highlight w:val="none"/>
                <w:lang w:eastAsia="en-US"/>
              </w:rPr>
            </w:pPr>
            <w:r>
              <w:rPr>
                <w:rFonts w:hint="default" w:ascii="Times New Roman" w:hAnsi="Times New Roman" w:eastAsia="等线" w:cs="Times New Roman"/>
                <w:i w:val="0"/>
                <w:iCs w:val="0"/>
                <w:color w:val="auto"/>
                <w:kern w:val="0"/>
                <w:sz w:val="21"/>
                <w:szCs w:val="21"/>
                <w:highlight w:val="none"/>
                <w:u w:val="none"/>
                <w:lang w:val="en-US" w:eastAsia="zh-CN" w:bidi="ar"/>
              </w:rPr>
              <w:t>0.506</w:t>
            </w:r>
          </w:p>
        </w:tc>
        <w:tc>
          <w:tcPr>
            <w:tcW w:w="1588" w:type="dxa"/>
            <w:tcBorders>
              <w:tl2br w:val="nil"/>
              <w:tr2bl w:val="nil"/>
            </w:tcBorders>
            <w:vAlign w:val="center"/>
          </w:tcPr>
          <w:p w14:paraId="16B8A725">
            <w:pPr>
              <w:keepNext w:val="0"/>
              <w:keepLines w:val="0"/>
              <w:pageBreakBefore w:val="0"/>
              <w:widowControl/>
              <w:kinsoku/>
              <w:wordWrap/>
              <w:overflowPunct/>
              <w:topLinePunct w:val="0"/>
              <w:autoSpaceDE/>
              <w:autoSpaceDN/>
              <w:bidi w:val="0"/>
              <w:ind w:left="0" w:right="0"/>
              <w:jc w:val="center"/>
              <w:rPr>
                <w:rFonts w:ascii="Times New Roman" w:hAnsi="Times New Roman" w:cs="Times New Roman"/>
                <w:color w:val="auto"/>
                <w:spacing w:val="7"/>
                <w:sz w:val="21"/>
                <w:szCs w:val="21"/>
                <w:highlight w:val="none"/>
                <w:lang w:eastAsia="en-US"/>
              </w:rPr>
            </w:pPr>
            <w:r>
              <w:rPr>
                <w:rFonts w:ascii="Times New Roman" w:hAnsi="Times New Roman" w:cs="Times New Roman"/>
                <w:color w:val="auto"/>
                <w:spacing w:val="1"/>
                <w:sz w:val="21"/>
                <w:szCs w:val="21"/>
                <w:highlight w:val="none"/>
                <w:lang w:eastAsia="en-US"/>
              </w:rPr>
              <w:t>50</w:t>
            </w:r>
            <w:r>
              <w:rPr>
                <w:rFonts w:hint="eastAsia" w:ascii="Times New Roman" w:hAnsi="Times New Roman" w:cs="Times New Roman"/>
                <w:color w:val="auto"/>
                <w:spacing w:val="1"/>
                <w:sz w:val="21"/>
                <w:szCs w:val="21"/>
                <w:highlight w:val="none"/>
                <w:lang w:eastAsia="en-US"/>
              </w:rPr>
              <w:t>**</w:t>
            </w:r>
          </w:p>
        </w:tc>
        <w:tc>
          <w:tcPr>
            <w:tcW w:w="1379" w:type="dxa"/>
            <w:tcBorders>
              <w:tl2br w:val="nil"/>
              <w:tr2bl w:val="nil"/>
            </w:tcBorders>
            <w:vAlign w:val="center"/>
          </w:tcPr>
          <w:p w14:paraId="71712C4E">
            <w:pPr>
              <w:keepNext w:val="0"/>
              <w:keepLines w:val="0"/>
              <w:widowControl/>
              <w:suppressLineNumbers w:val="0"/>
              <w:autoSpaceDE w:val="0"/>
              <w:autoSpaceDN w:val="0"/>
              <w:jc w:val="center"/>
              <w:textAlignment w:val="center"/>
              <w:rPr>
                <w:rFonts w:ascii="Times New Roman" w:hAnsi="Times New Roman" w:cs="Times New Roman"/>
                <w:color w:val="auto"/>
                <w:sz w:val="21"/>
                <w:szCs w:val="21"/>
                <w:highlight w:val="none"/>
                <w:lang w:eastAsia="en-US"/>
              </w:rPr>
            </w:pPr>
            <w:r>
              <w:rPr>
                <w:rFonts w:hint="default" w:ascii="Times New Roman" w:hAnsi="Times New Roman" w:eastAsia="等线" w:cs="Times New Roman"/>
                <w:i w:val="0"/>
                <w:iCs w:val="0"/>
                <w:color w:val="auto"/>
                <w:kern w:val="0"/>
                <w:sz w:val="21"/>
                <w:szCs w:val="21"/>
                <w:highlight w:val="none"/>
                <w:u w:val="none"/>
                <w:lang w:val="en-US" w:eastAsia="zh-CN" w:bidi="ar"/>
              </w:rPr>
              <w:t>0.01012</w:t>
            </w:r>
          </w:p>
        </w:tc>
      </w:tr>
      <w:tr w14:paraId="3379C8D4">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691" w:type="dxa"/>
            <w:vMerge w:val="continue"/>
            <w:tcBorders>
              <w:tl2br w:val="nil"/>
              <w:tr2bl w:val="nil"/>
            </w:tcBorders>
            <w:vAlign w:val="center"/>
          </w:tcPr>
          <w:p w14:paraId="6BD67939">
            <w:pPr>
              <w:keepNext w:val="0"/>
              <w:keepLines w:val="0"/>
              <w:pageBreakBefore w:val="0"/>
              <w:widowControl/>
              <w:kinsoku/>
              <w:wordWrap/>
              <w:overflowPunct/>
              <w:topLinePunct w:val="0"/>
              <w:autoSpaceDE/>
              <w:autoSpaceDN/>
              <w:bidi w:val="0"/>
              <w:ind w:left="0" w:right="0"/>
              <w:jc w:val="center"/>
              <w:rPr>
                <w:rFonts w:ascii="Times New Roman" w:hAnsi="Times New Roman" w:cs="Times New Roman"/>
                <w:color w:val="auto"/>
                <w:sz w:val="21"/>
                <w:szCs w:val="21"/>
                <w:highlight w:val="none"/>
                <w:lang w:eastAsia="en-US"/>
              </w:rPr>
            </w:pPr>
          </w:p>
        </w:tc>
        <w:tc>
          <w:tcPr>
            <w:tcW w:w="734" w:type="dxa"/>
            <w:vMerge w:val="continue"/>
            <w:tcBorders>
              <w:right w:val="single" w:color="auto" w:sz="4" w:space="0"/>
              <w:tl2br w:val="nil"/>
              <w:tr2bl w:val="nil"/>
            </w:tcBorders>
            <w:vAlign w:val="center"/>
          </w:tcPr>
          <w:p w14:paraId="50ECC9F9">
            <w:pPr>
              <w:keepNext w:val="0"/>
              <w:keepLines w:val="0"/>
              <w:pageBreakBefore w:val="0"/>
              <w:widowControl/>
              <w:kinsoku/>
              <w:wordWrap/>
              <w:overflowPunct/>
              <w:topLinePunct w:val="0"/>
              <w:autoSpaceDE/>
              <w:autoSpaceDN/>
              <w:bidi w:val="0"/>
              <w:ind w:left="0" w:right="0"/>
              <w:jc w:val="center"/>
              <w:rPr>
                <w:rFonts w:ascii="Times New Roman" w:hAnsi="Times New Roman" w:cs="Times New Roman"/>
                <w:color w:val="auto"/>
                <w:sz w:val="21"/>
                <w:szCs w:val="21"/>
                <w:highlight w:val="none"/>
                <w:lang w:eastAsia="en-US"/>
              </w:rPr>
            </w:pPr>
          </w:p>
        </w:tc>
        <w:tc>
          <w:tcPr>
            <w:tcW w:w="1948" w:type="dxa"/>
            <w:tcBorders>
              <w:left w:val="single" w:color="auto" w:sz="4" w:space="0"/>
              <w:tl2br w:val="nil"/>
              <w:tr2bl w:val="nil"/>
            </w:tcBorders>
            <w:vAlign w:val="center"/>
          </w:tcPr>
          <w:p w14:paraId="64D19653">
            <w:pPr>
              <w:keepNext w:val="0"/>
              <w:keepLines w:val="0"/>
              <w:pageBreakBefore w:val="0"/>
              <w:widowControl w:val="0"/>
              <w:kinsoku/>
              <w:wordWrap/>
              <w:overflowPunct/>
              <w:topLinePunct w:val="0"/>
              <w:autoSpaceDE w:val="0"/>
              <w:autoSpaceDN w:val="0"/>
              <w:bidi w:val="0"/>
              <w:ind w:left="0" w:leftChars="0" w:right="0" w:rightChars="0"/>
              <w:jc w:val="center"/>
              <w:rPr>
                <w:rFonts w:hint="eastAsia" w:ascii="Times New Roman" w:hAnsi="Times New Roman" w:eastAsia="宋体" w:cs="Times New Roman"/>
                <w:color w:val="auto"/>
                <w:spacing w:val="5"/>
                <w:sz w:val="21"/>
                <w:szCs w:val="21"/>
                <w:highlight w:val="none"/>
                <w:lang w:val="en-US" w:eastAsia="en-US" w:bidi="ar-SA"/>
              </w:rPr>
            </w:pPr>
            <w:r>
              <w:rPr>
                <w:rFonts w:hint="eastAsia" w:ascii="Times New Roman" w:hAnsi="Times New Roman" w:cs="Times New Roman"/>
                <w:bCs/>
                <w:color w:val="auto"/>
                <w:kern w:val="2"/>
                <w:sz w:val="21"/>
                <w:szCs w:val="21"/>
                <w:highlight w:val="none"/>
                <w:lang w:eastAsia="en-US"/>
              </w:rPr>
              <w:t>乙醇胺</w:t>
            </w:r>
          </w:p>
        </w:tc>
        <w:tc>
          <w:tcPr>
            <w:tcW w:w="966" w:type="dxa"/>
            <w:tcBorders>
              <w:tl2br w:val="nil"/>
              <w:tr2bl w:val="nil"/>
            </w:tcBorders>
            <w:vAlign w:val="center"/>
          </w:tcPr>
          <w:p w14:paraId="33EB8037">
            <w:pPr>
              <w:keepNext w:val="0"/>
              <w:keepLines w:val="0"/>
              <w:pageBreakBefore w:val="0"/>
              <w:widowControl/>
              <w:kinsoku/>
              <w:wordWrap/>
              <w:overflowPunct/>
              <w:topLinePunct w:val="0"/>
              <w:autoSpaceDE/>
              <w:autoSpaceDN/>
              <w:bidi w:val="0"/>
              <w:ind w:left="0" w:leftChars="0" w:right="0" w:rightChars="0"/>
              <w:jc w:val="center"/>
              <w:rPr>
                <w:rFonts w:hint="eastAsia" w:ascii="Times New Roman" w:hAnsi="Times New Roman" w:eastAsia="宋体" w:cs="Times New Roman"/>
                <w:color w:val="auto"/>
                <w:spacing w:val="-5"/>
                <w:sz w:val="21"/>
                <w:szCs w:val="21"/>
                <w:highlight w:val="none"/>
                <w:lang w:val="en-US" w:eastAsia="en-US" w:bidi="ar-SA"/>
              </w:rPr>
            </w:pPr>
            <w:r>
              <w:rPr>
                <w:rFonts w:hint="eastAsia" w:ascii="Times New Roman" w:hAnsi="Times New Roman" w:cs="Times New Roman"/>
                <w:color w:val="auto"/>
                <w:spacing w:val="3"/>
                <w:sz w:val="21"/>
                <w:szCs w:val="21"/>
                <w:highlight w:val="none"/>
                <w:lang w:eastAsia="en-US"/>
              </w:rPr>
              <w:t>液体</w:t>
            </w:r>
          </w:p>
        </w:tc>
        <w:tc>
          <w:tcPr>
            <w:tcW w:w="1198" w:type="dxa"/>
            <w:tcBorders>
              <w:tl2br w:val="nil"/>
              <w:tr2bl w:val="nil"/>
            </w:tcBorders>
            <w:vAlign w:val="center"/>
          </w:tcPr>
          <w:p w14:paraId="46B742A5">
            <w:pPr>
              <w:keepNext w:val="0"/>
              <w:keepLines w:val="0"/>
              <w:widowControl/>
              <w:suppressLineNumbers w:val="0"/>
              <w:autoSpaceDE w:val="0"/>
              <w:autoSpaceDN w:val="0"/>
              <w:jc w:val="center"/>
              <w:textAlignment w:val="center"/>
              <w:rPr>
                <w:rFonts w:hint="eastAsia" w:ascii="Times New Roman" w:hAnsi="Times New Roman" w:eastAsia="宋体" w:cs="Times New Roman"/>
                <w:color w:val="auto"/>
                <w:spacing w:val="-2"/>
                <w:sz w:val="21"/>
                <w:szCs w:val="21"/>
                <w:highlight w:val="none"/>
                <w:lang w:val="en-US" w:eastAsia="en-US" w:bidi="ar-SA"/>
              </w:rPr>
            </w:pPr>
            <w:r>
              <w:rPr>
                <w:rFonts w:hint="default" w:ascii="Times New Roman" w:hAnsi="Times New Roman" w:eastAsia="等线" w:cs="Times New Roman"/>
                <w:i w:val="0"/>
                <w:iCs w:val="0"/>
                <w:color w:val="auto"/>
                <w:kern w:val="0"/>
                <w:sz w:val="21"/>
                <w:szCs w:val="21"/>
                <w:highlight w:val="none"/>
                <w:u w:val="none"/>
                <w:lang w:val="en-US" w:eastAsia="zh-CN" w:bidi="ar"/>
              </w:rPr>
              <w:t>4.06</w:t>
            </w:r>
          </w:p>
        </w:tc>
        <w:tc>
          <w:tcPr>
            <w:tcW w:w="1588" w:type="dxa"/>
            <w:tcBorders>
              <w:tl2br w:val="nil"/>
              <w:tr2bl w:val="nil"/>
            </w:tcBorders>
            <w:vAlign w:val="center"/>
          </w:tcPr>
          <w:p w14:paraId="1A63A5E4">
            <w:pPr>
              <w:keepNext w:val="0"/>
              <w:keepLines w:val="0"/>
              <w:pageBreakBefore w:val="0"/>
              <w:widowControl/>
              <w:kinsoku/>
              <w:wordWrap/>
              <w:overflowPunct/>
              <w:topLinePunct w:val="0"/>
              <w:autoSpaceDE/>
              <w:autoSpaceDN/>
              <w:bidi w:val="0"/>
              <w:ind w:left="0" w:leftChars="0" w:right="0" w:rightChars="0"/>
              <w:jc w:val="center"/>
              <w:rPr>
                <w:rFonts w:ascii="Times New Roman" w:hAnsi="Times New Roman" w:eastAsia="宋体" w:cs="Times New Roman"/>
                <w:color w:val="auto"/>
                <w:spacing w:val="7"/>
                <w:sz w:val="21"/>
                <w:szCs w:val="21"/>
                <w:highlight w:val="none"/>
                <w:lang w:val="en-US" w:eastAsia="en-US" w:bidi="ar-SA"/>
              </w:rPr>
            </w:pPr>
            <w:r>
              <w:rPr>
                <w:rFonts w:ascii="Times New Roman" w:hAnsi="Times New Roman" w:cs="Times New Roman"/>
                <w:color w:val="auto"/>
                <w:spacing w:val="1"/>
                <w:sz w:val="21"/>
                <w:szCs w:val="21"/>
                <w:highlight w:val="none"/>
                <w:lang w:eastAsia="en-US"/>
              </w:rPr>
              <w:t>50</w:t>
            </w:r>
            <w:r>
              <w:rPr>
                <w:rFonts w:hint="eastAsia" w:ascii="Times New Roman" w:hAnsi="Times New Roman" w:cs="Times New Roman"/>
                <w:color w:val="auto"/>
                <w:spacing w:val="1"/>
                <w:sz w:val="21"/>
                <w:szCs w:val="21"/>
                <w:highlight w:val="none"/>
                <w:lang w:eastAsia="en-US"/>
              </w:rPr>
              <w:t>**</w:t>
            </w:r>
          </w:p>
        </w:tc>
        <w:tc>
          <w:tcPr>
            <w:tcW w:w="1379" w:type="dxa"/>
            <w:tcBorders>
              <w:tl2br w:val="nil"/>
              <w:tr2bl w:val="nil"/>
            </w:tcBorders>
            <w:vAlign w:val="center"/>
          </w:tcPr>
          <w:p w14:paraId="235D49E3">
            <w:pPr>
              <w:keepNext w:val="0"/>
              <w:keepLines w:val="0"/>
              <w:widowControl/>
              <w:suppressLineNumbers w:val="0"/>
              <w:autoSpaceDE w:val="0"/>
              <w:autoSpaceDN w:val="0"/>
              <w:jc w:val="center"/>
              <w:textAlignment w:val="center"/>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等线" w:cs="Times New Roman"/>
                <w:i w:val="0"/>
                <w:iCs w:val="0"/>
                <w:color w:val="auto"/>
                <w:kern w:val="0"/>
                <w:sz w:val="21"/>
                <w:szCs w:val="21"/>
                <w:highlight w:val="none"/>
                <w:u w:val="none"/>
                <w:lang w:val="en-US" w:eastAsia="zh-CN" w:bidi="ar"/>
              </w:rPr>
              <w:t>0.0812</w:t>
            </w:r>
          </w:p>
        </w:tc>
      </w:tr>
      <w:tr w14:paraId="454264C0">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691" w:type="dxa"/>
            <w:vMerge w:val="continue"/>
            <w:tcBorders>
              <w:tl2br w:val="nil"/>
              <w:tr2bl w:val="nil"/>
            </w:tcBorders>
            <w:vAlign w:val="center"/>
          </w:tcPr>
          <w:p w14:paraId="7AD5EA7B">
            <w:pPr>
              <w:keepNext w:val="0"/>
              <w:keepLines w:val="0"/>
              <w:pageBreakBefore w:val="0"/>
              <w:widowControl/>
              <w:kinsoku/>
              <w:wordWrap/>
              <w:overflowPunct/>
              <w:topLinePunct w:val="0"/>
              <w:autoSpaceDE/>
              <w:autoSpaceDN/>
              <w:bidi w:val="0"/>
              <w:ind w:left="0" w:right="0"/>
              <w:jc w:val="center"/>
              <w:rPr>
                <w:rFonts w:ascii="Times New Roman" w:hAnsi="Times New Roman" w:cs="Times New Roman"/>
                <w:color w:val="auto"/>
                <w:sz w:val="21"/>
                <w:szCs w:val="21"/>
                <w:highlight w:val="none"/>
                <w:lang w:eastAsia="en-US"/>
              </w:rPr>
            </w:pPr>
          </w:p>
        </w:tc>
        <w:tc>
          <w:tcPr>
            <w:tcW w:w="734" w:type="dxa"/>
            <w:vMerge w:val="continue"/>
            <w:tcBorders>
              <w:right w:val="single" w:color="auto" w:sz="4" w:space="0"/>
              <w:tl2br w:val="nil"/>
              <w:tr2bl w:val="nil"/>
            </w:tcBorders>
            <w:vAlign w:val="center"/>
          </w:tcPr>
          <w:p w14:paraId="2151384C">
            <w:pPr>
              <w:keepNext w:val="0"/>
              <w:keepLines w:val="0"/>
              <w:pageBreakBefore w:val="0"/>
              <w:widowControl/>
              <w:kinsoku/>
              <w:wordWrap/>
              <w:overflowPunct/>
              <w:topLinePunct w:val="0"/>
              <w:autoSpaceDE/>
              <w:autoSpaceDN/>
              <w:bidi w:val="0"/>
              <w:ind w:left="0" w:right="0"/>
              <w:jc w:val="center"/>
              <w:rPr>
                <w:rFonts w:ascii="Times New Roman" w:hAnsi="Times New Roman" w:cs="Times New Roman"/>
                <w:color w:val="auto"/>
                <w:sz w:val="21"/>
                <w:szCs w:val="21"/>
                <w:highlight w:val="none"/>
                <w:lang w:eastAsia="en-US"/>
              </w:rPr>
            </w:pPr>
          </w:p>
        </w:tc>
        <w:tc>
          <w:tcPr>
            <w:tcW w:w="1948" w:type="dxa"/>
            <w:tcBorders>
              <w:left w:val="single" w:color="auto" w:sz="4" w:space="0"/>
              <w:tl2br w:val="nil"/>
              <w:tr2bl w:val="nil"/>
            </w:tcBorders>
            <w:vAlign w:val="center"/>
          </w:tcPr>
          <w:p w14:paraId="1ED285E5">
            <w:pPr>
              <w:keepNext w:val="0"/>
              <w:keepLines w:val="0"/>
              <w:pageBreakBefore w:val="0"/>
              <w:widowControl w:val="0"/>
              <w:kinsoku/>
              <w:wordWrap/>
              <w:overflowPunct/>
              <w:topLinePunct w:val="0"/>
              <w:autoSpaceDE w:val="0"/>
              <w:autoSpaceDN w:val="0"/>
              <w:bidi w:val="0"/>
              <w:ind w:left="0" w:right="0"/>
              <w:jc w:val="center"/>
              <w:rPr>
                <w:rFonts w:hint="eastAsia" w:ascii="Times New Roman" w:hAnsi="Times New Roman" w:eastAsia="宋体" w:cs="Times New Roman"/>
                <w:color w:val="auto"/>
                <w:spacing w:val="5"/>
                <w:sz w:val="21"/>
                <w:szCs w:val="21"/>
                <w:highlight w:val="none"/>
                <w:lang w:val="en-US" w:eastAsia="zh-CN"/>
              </w:rPr>
            </w:pPr>
            <w:r>
              <w:rPr>
                <w:rFonts w:hint="eastAsia" w:ascii="Times New Roman" w:hAnsi="Times New Roman" w:cs="Times New Roman"/>
                <w:color w:val="auto"/>
                <w:spacing w:val="5"/>
                <w:sz w:val="21"/>
                <w:szCs w:val="21"/>
                <w:highlight w:val="none"/>
                <w:lang w:val="en-US" w:eastAsia="zh-CN"/>
              </w:rPr>
              <w:t>丁酮</w:t>
            </w:r>
          </w:p>
        </w:tc>
        <w:tc>
          <w:tcPr>
            <w:tcW w:w="966" w:type="dxa"/>
            <w:tcBorders>
              <w:tl2br w:val="nil"/>
              <w:tr2bl w:val="nil"/>
            </w:tcBorders>
            <w:vAlign w:val="center"/>
          </w:tcPr>
          <w:p w14:paraId="4542F259">
            <w:pPr>
              <w:keepNext w:val="0"/>
              <w:keepLines w:val="0"/>
              <w:pageBreakBefore w:val="0"/>
              <w:widowControl/>
              <w:kinsoku/>
              <w:wordWrap/>
              <w:overflowPunct/>
              <w:topLinePunct w:val="0"/>
              <w:autoSpaceDE/>
              <w:autoSpaceDN/>
              <w:bidi w:val="0"/>
              <w:ind w:left="0" w:right="0"/>
              <w:jc w:val="center"/>
              <w:rPr>
                <w:rFonts w:hint="eastAsia" w:ascii="Times New Roman" w:hAnsi="Times New Roman" w:eastAsia="宋体" w:cs="Times New Roman"/>
                <w:color w:val="auto"/>
                <w:spacing w:val="-5"/>
                <w:sz w:val="21"/>
                <w:szCs w:val="21"/>
                <w:highlight w:val="none"/>
                <w:lang w:val="en-US" w:eastAsia="zh-CN"/>
              </w:rPr>
            </w:pPr>
            <w:r>
              <w:rPr>
                <w:rFonts w:hint="eastAsia" w:ascii="Times New Roman" w:hAnsi="Times New Roman" w:cs="Times New Roman"/>
                <w:color w:val="auto"/>
                <w:spacing w:val="-5"/>
                <w:sz w:val="21"/>
                <w:szCs w:val="21"/>
                <w:highlight w:val="none"/>
                <w:lang w:val="en-US" w:eastAsia="zh-CN"/>
              </w:rPr>
              <w:t>液体</w:t>
            </w:r>
          </w:p>
        </w:tc>
        <w:tc>
          <w:tcPr>
            <w:tcW w:w="1198" w:type="dxa"/>
            <w:tcBorders>
              <w:tl2br w:val="nil"/>
              <w:tr2bl w:val="nil"/>
            </w:tcBorders>
            <w:vAlign w:val="center"/>
          </w:tcPr>
          <w:p w14:paraId="615AC989">
            <w:pPr>
              <w:keepNext w:val="0"/>
              <w:keepLines w:val="0"/>
              <w:widowControl/>
              <w:suppressLineNumbers w:val="0"/>
              <w:autoSpaceDE w:val="0"/>
              <w:autoSpaceDN w:val="0"/>
              <w:jc w:val="center"/>
              <w:textAlignment w:val="center"/>
              <w:rPr>
                <w:rFonts w:hint="default" w:ascii="Times New Roman" w:hAnsi="Times New Roman" w:eastAsia="宋体" w:cs="Times New Roman"/>
                <w:color w:val="auto"/>
                <w:spacing w:val="-2"/>
                <w:sz w:val="21"/>
                <w:szCs w:val="21"/>
                <w:highlight w:val="none"/>
                <w:lang w:val="en-US" w:eastAsia="zh-CN"/>
              </w:rPr>
            </w:pPr>
            <w:r>
              <w:rPr>
                <w:rFonts w:hint="default" w:ascii="Times New Roman" w:hAnsi="Times New Roman" w:eastAsia="等线" w:cs="Times New Roman"/>
                <w:i w:val="0"/>
                <w:iCs w:val="0"/>
                <w:color w:val="auto"/>
                <w:kern w:val="0"/>
                <w:sz w:val="21"/>
                <w:szCs w:val="21"/>
                <w:highlight w:val="none"/>
                <w:u w:val="none"/>
                <w:lang w:val="en-US" w:eastAsia="zh-CN" w:bidi="ar"/>
              </w:rPr>
              <w:t>0.5</w:t>
            </w:r>
          </w:p>
        </w:tc>
        <w:tc>
          <w:tcPr>
            <w:tcW w:w="1588" w:type="dxa"/>
            <w:tcBorders>
              <w:tl2br w:val="nil"/>
              <w:tr2bl w:val="nil"/>
            </w:tcBorders>
            <w:vAlign w:val="center"/>
          </w:tcPr>
          <w:p w14:paraId="7EC002EB">
            <w:pPr>
              <w:keepNext w:val="0"/>
              <w:keepLines w:val="0"/>
              <w:pageBreakBefore w:val="0"/>
              <w:widowControl/>
              <w:kinsoku/>
              <w:wordWrap/>
              <w:overflowPunct/>
              <w:topLinePunct w:val="0"/>
              <w:autoSpaceDE/>
              <w:autoSpaceDN/>
              <w:bidi w:val="0"/>
              <w:ind w:left="0" w:right="0"/>
              <w:jc w:val="center"/>
              <w:rPr>
                <w:rFonts w:hint="default" w:ascii="Times New Roman" w:hAnsi="Times New Roman" w:eastAsia="宋体" w:cs="Times New Roman"/>
                <w:color w:val="auto"/>
                <w:spacing w:val="7"/>
                <w:sz w:val="21"/>
                <w:szCs w:val="21"/>
                <w:highlight w:val="none"/>
                <w:lang w:val="en-US" w:eastAsia="zh-CN"/>
              </w:rPr>
            </w:pPr>
            <w:r>
              <w:rPr>
                <w:rFonts w:hint="eastAsia" w:ascii="Times New Roman" w:hAnsi="Times New Roman" w:cs="Times New Roman"/>
                <w:color w:val="auto"/>
                <w:spacing w:val="7"/>
                <w:sz w:val="21"/>
                <w:szCs w:val="21"/>
                <w:highlight w:val="none"/>
                <w:lang w:val="en-US" w:eastAsia="zh-CN"/>
              </w:rPr>
              <w:t>10</w:t>
            </w:r>
          </w:p>
        </w:tc>
        <w:tc>
          <w:tcPr>
            <w:tcW w:w="1379" w:type="dxa"/>
            <w:tcBorders>
              <w:tl2br w:val="nil"/>
              <w:tr2bl w:val="nil"/>
            </w:tcBorders>
            <w:vAlign w:val="center"/>
          </w:tcPr>
          <w:p w14:paraId="7987BEDE">
            <w:pPr>
              <w:keepNext w:val="0"/>
              <w:keepLines w:val="0"/>
              <w:widowControl/>
              <w:suppressLineNumbers w:val="0"/>
              <w:autoSpaceDE w:val="0"/>
              <w:autoSpaceDN w:val="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等线" w:cs="Times New Roman"/>
                <w:i w:val="0"/>
                <w:iCs w:val="0"/>
                <w:color w:val="auto"/>
                <w:kern w:val="0"/>
                <w:sz w:val="21"/>
                <w:szCs w:val="21"/>
                <w:highlight w:val="none"/>
                <w:u w:val="none"/>
                <w:lang w:val="en-US" w:eastAsia="zh-CN" w:bidi="ar"/>
              </w:rPr>
              <w:t>0.05</w:t>
            </w:r>
          </w:p>
        </w:tc>
      </w:tr>
      <w:tr w14:paraId="0B443793">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691" w:type="dxa"/>
            <w:vMerge w:val="restart"/>
            <w:tcBorders>
              <w:top w:val="single" w:color="auto" w:sz="4" w:space="0"/>
              <w:tl2br w:val="nil"/>
              <w:tr2bl w:val="nil"/>
            </w:tcBorders>
            <w:vAlign w:val="center"/>
          </w:tcPr>
          <w:p w14:paraId="29F21893">
            <w:pPr>
              <w:keepNext w:val="0"/>
              <w:keepLines w:val="0"/>
              <w:pageBreakBefore w:val="0"/>
              <w:widowControl/>
              <w:kinsoku/>
              <w:wordWrap/>
              <w:overflowPunct/>
              <w:topLinePunct w:val="0"/>
              <w:autoSpaceDE/>
              <w:autoSpaceDN/>
              <w:bidi w:val="0"/>
              <w:ind w:left="0" w:right="0"/>
              <w:jc w:val="center"/>
              <w:rPr>
                <w:rFonts w:ascii="Times New Roman" w:hAnsi="Times New Roman" w:cs="Times New Roman"/>
                <w:color w:val="auto"/>
                <w:sz w:val="21"/>
                <w:szCs w:val="21"/>
                <w:highlight w:val="none"/>
                <w:lang w:eastAsia="en-US"/>
              </w:rPr>
            </w:pPr>
            <w:r>
              <w:rPr>
                <w:rFonts w:hint="eastAsia" w:ascii="Times New Roman" w:hAnsi="Times New Roman" w:cs="Times New Roman"/>
                <w:color w:val="auto"/>
                <w:sz w:val="21"/>
                <w:szCs w:val="21"/>
                <w:highlight w:val="none"/>
                <w:lang w:eastAsia="en-US"/>
              </w:rPr>
              <w:t>实验室</w:t>
            </w:r>
          </w:p>
        </w:tc>
        <w:tc>
          <w:tcPr>
            <w:tcW w:w="734" w:type="dxa"/>
            <w:vMerge w:val="restart"/>
            <w:tcBorders>
              <w:top w:val="single" w:color="auto" w:sz="4" w:space="0"/>
              <w:bottom w:val="single" w:color="auto" w:sz="4" w:space="0"/>
              <w:right w:val="single" w:color="auto" w:sz="4" w:space="0"/>
              <w:tl2br w:val="nil"/>
              <w:tr2bl w:val="nil"/>
            </w:tcBorders>
            <w:vAlign w:val="center"/>
          </w:tcPr>
          <w:p w14:paraId="024DEE14">
            <w:pPr>
              <w:keepNext w:val="0"/>
              <w:keepLines w:val="0"/>
              <w:pageBreakBefore w:val="0"/>
              <w:widowControl w:val="0"/>
              <w:kinsoku/>
              <w:wordWrap/>
              <w:overflowPunct/>
              <w:topLinePunct w:val="0"/>
              <w:autoSpaceDE w:val="0"/>
              <w:autoSpaceDN w:val="0"/>
              <w:bidi w:val="0"/>
              <w:ind w:left="0" w:right="0"/>
              <w:jc w:val="center"/>
              <w:rPr>
                <w:rFonts w:ascii="Times New Roman" w:hAnsi="Times New Roman" w:cs="Times New Roman"/>
                <w:bCs/>
                <w:color w:val="auto"/>
                <w:kern w:val="2"/>
                <w:sz w:val="21"/>
                <w:szCs w:val="21"/>
                <w:highlight w:val="none"/>
                <w:lang w:eastAsia="en-US"/>
              </w:rPr>
            </w:pPr>
            <w:r>
              <w:rPr>
                <w:rFonts w:hint="eastAsia" w:ascii="Times New Roman" w:hAnsi="Times New Roman" w:cs="Times New Roman"/>
                <w:color w:val="auto"/>
                <w:sz w:val="21"/>
                <w:szCs w:val="21"/>
                <w:highlight w:val="none"/>
                <w:lang w:eastAsia="en-US"/>
              </w:rPr>
              <w:t>剥离液测试</w:t>
            </w:r>
          </w:p>
        </w:tc>
        <w:tc>
          <w:tcPr>
            <w:tcW w:w="1948" w:type="dxa"/>
            <w:tcBorders>
              <w:left w:val="single" w:color="auto" w:sz="4" w:space="0"/>
              <w:tl2br w:val="nil"/>
              <w:tr2bl w:val="nil"/>
            </w:tcBorders>
            <w:vAlign w:val="center"/>
          </w:tcPr>
          <w:p w14:paraId="750AA91C">
            <w:pPr>
              <w:keepNext w:val="0"/>
              <w:keepLines w:val="0"/>
              <w:pageBreakBefore w:val="0"/>
              <w:widowControl w:val="0"/>
              <w:kinsoku/>
              <w:wordWrap/>
              <w:overflowPunct/>
              <w:topLinePunct w:val="0"/>
              <w:autoSpaceDE w:val="0"/>
              <w:autoSpaceDN w:val="0"/>
              <w:bidi w:val="0"/>
              <w:ind w:left="0" w:right="0"/>
              <w:jc w:val="center"/>
              <w:rPr>
                <w:rFonts w:ascii="Times New Roman" w:hAnsi="Times New Roman" w:cs="Times New Roman"/>
                <w:color w:val="auto"/>
                <w:sz w:val="21"/>
                <w:szCs w:val="21"/>
                <w:highlight w:val="none"/>
                <w:lang w:eastAsia="en-US"/>
              </w:rPr>
            </w:pPr>
            <w:r>
              <w:rPr>
                <w:rFonts w:ascii="Times New Roman" w:hAnsi="Times New Roman" w:cs="Times New Roman"/>
                <w:color w:val="auto"/>
                <w:sz w:val="21"/>
                <w:szCs w:val="21"/>
                <w:highlight w:val="none"/>
                <w:lang w:eastAsia="en-US"/>
              </w:rPr>
              <w:t>甲醇</w:t>
            </w:r>
          </w:p>
        </w:tc>
        <w:tc>
          <w:tcPr>
            <w:tcW w:w="966" w:type="dxa"/>
            <w:tcBorders>
              <w:tl2br w:val="nil"/>
              <w:tr2bl w:val="nil"/>
            </w:tcBorders>
            <w:vAlign w:val="center"/>
          </w:tcPr>
          <w:p w14:paraId="15842E04">
            <w:pPr>
              <w:keepNext w:val="0"/>
              <w:keepLines w:val="0"/>
              <w:pageBreakBefore w:val="0"/>
              <w:widowControl/>
              <w:kinsoku/>
              <w:wordWrap/>
              <w:overflowPunct/>
              <w:topLinePunct w:val="0"/>
              <w:autoSpaceDE/>
              <w:autoSpaceDN/>
              <w:bidi w:val="0"/>
              <w:ind w:left="0" w:right="0"/>
              <w:jc w:val="center"/>
              <w:rPr>
                <w:rFonts w:ascii="Times New Roman" w:hAnsi="Times New Roman" w:cs="Times New Roman"/>
                <w:color w:val="auto"/>
                <w:spacing w:val="3"/>
                <w:sz w:val="21"/>
                <w:szCs w:val="21"/>
                <w:highlight w:val="none"/>
                <w:lang w:eastAsia="en-US"/>
              </w:rPr>
            </w:pPr>
            <w:r>
              <w:rPr>
                <w:rFonts w:hint="eastAsia" w:ascii="Times New Roman" w:hAnsi="Times New Roman" w:cs="Times New Roman"/>
                <w:color w:val="auto"/>
                <w:spacing w:val="3"/>
                <w:sz w:val="21"/>
                <w:szCs w:val="21"/>
                <w:highlight w:val="none"/>
                <w:lang w:eastAsia="en-US"/>
              </w:rPr>
              <w:t>液体</w:t>
            </w:r>
          </w:p>
        </w:tc>
        <w:tc>
          <w:tcPr>
            <w:tcW w:w="1198" w:type="dxa"/>
            <w:tcBorders>
              <w:tl2br w:val="nil"/>
              <w:tr2bl w:val="nil"/>
            </w:tcBorders>
            <w:vAlign w:val="center"/>
          </w:tcPr>
          <w:p w14:paraId="086C0CA3">
            <w:pPr>
              <w:keepNext w:val="0"/>
              <w:keepLines w:val="0"/>
              <w:widowControl/>
              <w:suppressLineNumbers w:val="0"/>
              <w:autoSpaceDE w:val="0"/>
              <w:autoSpaceDN w:val="0"/>
              <w:jc w:val="center"/>
              <w:textAlignment w:val="center"/>
              <w:rPr>
                <w:rFonts w:ascii="Times New Roman" w:hAnsi="Times New Roman" w:cs="Times New Roman"/>
                <w:color w:val="auto"/>
                <w:sz w:val="21"/>
                <w:szCs w:val="21"/>
                <w:highlight w:val="none"/>
                <w:lang w:eastAsia="en-US"/>
              </w:rPr>
            </w:pPr>
            <w:r>
              <w:rPr>
                <w:rFonts w:hint="default" w:ascii="Times New Roman" w:hAnsi="Times New Roman" w:eastAsia="等线" w:cs="Times New Roman"/>
                <w:i w:val="0"/>
                <w:iCs w:val="0"/>
                <w:color w:val="auto"/>
                <w:kern w:val="0"/>
                <w:sz w:val="21"/>
                <w:szCs w:val="21"/>
                <w:highlight w:val="none"/>
                <w:u w:val="none"/>
                <w:lang w:val="en-US" w:eastAsia="zh-CN" w:bidi="ar"/>
              </w:rPr>
              <w:t>0.001</w:t>
            </w:r>
          </w:p>
        </w:tc>
        <w:tc>
          <w:tcPr>
            <w:tcW w:w="1588" w:type="dxa"/>
            <w:tcBorders>
              <w:tl2br w:val="nil"/>
              <w:tr2bl w:val="nil"/>
            </w:tcBorders>
            <w:vAlign w:val="center"/>
          </w:tcPr>
          <w:p w14:paraId="5FB2BDC7">
            <w:pPr>
              <w:pStyle w:val="106"/>
              <w:keepNext w:val="0"/>
              <w:keepLines w:val="0"/>
              <w:pageBreakBefore w:val="0"/>
              <w:widowControl w:val="0"/>
              <w:kinsoku/>
              <w:wordWrap/>
              <w:overflowPunct/>
              <w:topLinePunct w:val="0"/>
              <w:autoSpaceDE w:val="0"/>
              <w:autoSpaceDN w:val="0"/>
              <w:bidi w:val="0"/>
              <w:ind w:left="0" w:right="0"/>
              <w:rPr>
                <w:color w:val="auto"/>
                <w:spacing w:val="1"/>
                <w:sz w:val="21"/>
                <w:szCs w:val="21"/>
                <w:highlight w:val="none"/>
                <w:lang w:eastAsia="en-US"/>
              </w:rPr>
            </w:pPr>
            <w:r>
              <w:rPr>
                <w:rFonts w:hint="eastAsia"/>
                <w:color w:val="auto"/>
                <w:sz w:val="21"/>
                <w:szCs w:val="21"/>
                <w:highlight w:val="none"/>
                <w:lang w:eastAsia="en-US"/>
              </w:rPr>
              <w:t>10</w:t>
            </w:r>
          </w:p>
        </w:tc>
        <w:tc>
          <w:tcPr>
            <w:tcW w:w="1379" w:type="dxa"/>
            <w:tcBorders>
              <w:tl2br w:val="nil"/>
              <w:tr2bl w:val="nil"/>
            </w:tcBorders>
            <w:vAlign w:val="center"/>
          </w:tcPr>
          <w:p w14:paraId="0D3EF4FF">
            <w:pPr>
              <w:keepNext w:val="0"/>
              <w:keepLines w:val="0"/>
              <w:widowControl/>
              <w:suppressLineNumbers w:val="0"/>
              <w:autoSpaceDE w:val="0"/>
              <w:autoSpaceDN w:val="0"/>
              <w:jc w:val="center"/>
              <w:textAlignment w:val="center"/>
              <w:rPr>
                <w:rFonts w:ascii="Times New Roman" w:hAnsi="Times New Roman" w:cs="Times New Roman"/>
                <w:color w:val="auto"/>
                <w:sz w:val="21"/>
                <w:szCs w:val="21"/>
                <w:highlight w:val="none"/>
                <w:lang w:eastAsia="en-US"/>
              </w:rPr>
            </w:pPr>
            <w:r>
              <w:rPr>
                <w:rFonts w:hint="default" w:ascii="Times New Roman" w:hAnsi="Times New Roman" w:eastAsia="等线" w:cs="Times New Roman"/>
                <w:i w:val="0"/>
                <w:iCs w:val="0"/>
                <w:color w:val="auto"/>
                <w:kern w:val="0"/>
                <w:sz w:val="21"/>
                <w:szCs w:val="21"/>
                <w:highlight w:val="none"/>
                <w:u w:val="none"/>
                <w:lang w:val="en-US" w:eastAsia="zh-CN" w:bidi="ar"/>
              </w:rPr>
              <w:t>0.0001</w:t>
            </w:r>
          </w:p>
        </w:tc>
      </w:tr>
      <w:tr w14:paraId="1D6B30FA">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691" w:type="dxa"/>
            <w:vMerge w:val="continue"/>
            <w:tcBorders>
              <w:top w:val="single" w:color="auto" w:sz="4" w:space="0"/>
              <w:bottom w:val="single" w:color="auto" w:sz="4" w:space="0"/>
              <w:tl2br w:val="nil"/>
              <w:tr2bl w:val="nil"/>
            </w:tcBorders>
            <w:vAlign w:val="center"/>
          </w:tcPr>
          <w:p w14:paraId="4436F687">
            <w:pPr>
              <w:keepNext w:val="0"/>
              <w:keepLines w:val="0"/>
              <w:pageBreakBefore w:val="0"/>
              <w:widowControl/>
              <w:kinsoku/>
              <w:wordWrap/>
              <w:overflowPunct/>
              <w:topLinePunct w:val="0"/>
              <w:autoSpaceDE/>
              <w:autoSpaceDN/>
              <w:bidi w:val="0"/>
              <w:ind w:left="0" w:right="0"/>
              <w:jc w:val="center"/>
              <w:rPr>
                <w:rFonts w:ascii="Times New Roman" w:hAnsi="Times New Roman" w:cs="Times New Roman"/>
                <w:color w:val="auto"/>
                <w:sz w:val="21"/>
                <w:szCs w:val="21"/>
                <w:highlight w:val="none"/>
                <w:lang w:eastAsia="en-US"/>
              </w:rPr>
            </w:pPr>
          </w:p>
        </w:tc>
        <w:tc>
          <w:tcPr>
            <w:tcW w:w="734" w:type="dxa"/>
            <w:vMerge w:val="continue"/>
            <w:tcBorders>
              <w:top w:val="single" w:color="auto" w:sz="4" w:space="0"/>
              <w:bottom w:val="single" w:color="auto" w:sz="4" w:space="0"/>
              <w:right w:val="single" w:color="auto" w:sz="4" w:space="0"/>
              <w:tl2br w:val="nil"/>
              <w:tr2bl w:val="nil"/>
            </w:tcBorders>
            <w:vAlign w:val="center"/>
          </w:tcPr>
          <w:p w14:paraId="2746E293">
            <w:pPr>
              <w:keepNext w:val="0"/>
              <w:keepLines w:val="0"/>
              <w:pageBreakBefore w:val="0"/>
              <w:widowControl w:val="0"/>
              <w:kinsoku/>
              <w:wordWrap/>
              <w:overflowPunct/>
              <w:topLinePunct w:val="0"/>
              <w:autoSpaceDE w:val="0"/>
              <w:autoSpaceDN w:val="0"/>
              <w:bidi w:val="0"/>
              <w:ind w:left="0" w:right="0"/>
              <w:jc w:val="center"/>
              <w:rPr>
                <w:rFonts w:ascii="Times New Roman" w:hAnsi="Times New Roman" w:cs="Times New Roman"/>
                <w:bCs/>
                <w:color w:val="auto"/>
                <w:kern w:val="2"/>
                <w:sz w:val="21"/>
                <w:szCs w:val="21"/>
                <w:highlight w:val="none"/>
                <w:lang w:eastAsia="en-US"/>
              </w:rPr>
            </w:pPr>
          </w:p>
        </w:tc>
        <w:tc>
          <w:tcPr>
            <w:tcW w:w="1948" w:type="dxa"/>
            <w:tcBorders>
              <w:left w:val="single" w:color="auto" w:sz="4" w:space="0"/>
              <w:tl2br w:val="nil"/>
              <w:tr2bl w:val="nil"/>
            </w:tcBorders>
            <w:vAlign w:val="center"/>
          </w:tcPr>
          <w:p w14:paraId="2DB9CA03">
            <w:pPr>
              <w:keepNext w:val="0"/>
              <w:keepLines w:val="0"/>
              <w:pageBreakBefore w:val="0"/>
              <w:widowControl w:val="0"/>
              <w:kinsoku/>
              <w:wordWrap/>
              <w:overflowPunct/>
              <w:topLinePunct w:val="0"/>
              <w:autoSpaceDE w:val="0"/>
              <w:autoSpaceDN w:val="0"/>
              <w:bidi w:val="0"/>
              <w:ind w:left="0" w:right="0"/>
              <w:jc w:val="center"/>
              <w:rPr>
                <w:rFonts w:ascii="Times New Roman" w:hAnsi="Times New Roman" w:cs="Times New Roman"/>
                <w:color w:val="auto"/>
                <w:sz w:val="21"/>
                <w:szCs w:val="21"/>
                <w:highlight w:val="none"/>
                <w:lang w:eastAsia="en-US"/>
              </w:rPr>
            </w:pPr>
            <w:r>
              <w:rPr>
                <w:rFonts w:ascii="Times New Roman" w:hAnsi="Times New Roman" w:cs="Times New Roman"/>
                <w:color w:val="auto"/>
                <w:sz w:val="21"/>
                <w:szCs w:val="21"/>
                <w:highlight w:val="none"/>
                <w:lang w:eastAsia="en-US"/>
              </w:rPr>
              <w:t>硝酸</w:t>
            </w:r>
            <w:r>
              <w:rPr>
                <w:rFonts w:hint="eastAsia" w:ascii="Times New Roman" w:hAnsi="Times New Roman" w:cs="Times New Roman"/>
                <w:color w:val="auto"/>
                <w:sz w:val="21"/>
                <w:szCs w:val="21"/>
                <w:highlight w:val="none"/>
                <w:lang w:eastAsia="en-US"/>
              </w:rPr>
              <w:t>（55%）</w:t>
            </w:r>
          </w:p>
        </w:tc>
        <w:tc>
          <w:tcPr>
            <w:tcW w:w="966" w:type="dxa"/>
            <w:tcBorders>
              <w:tl2br w:val="nil"/>
              <w:tr2bl w:val="nil"/>
            </w:tcBorders>
            <w:vAlign w:val="center"/>
          </w:tcPr>
          <w:p w14:paraId="350E1B46">
            <w:pPr>
              <w:keepNext w:val="0"/>
              <w:keepLines w:val="0"/>
              <w:pageBreakBefore w:val="0"/>
              <w:widowControl/>
              <w:kinsoku/>
              <w:wordWrap/>
              <w:overflowPunct/>
              <w:topLinePunct w:val="0"/>
              <w:autoSpaceDE/>
              <w:autoSpaceDN/>
              <w:bidi w:val="0"/>
              <w:ind w:left="0" w:right="0"/>
              <w:jc w:val="center"/>
              <w:rPr>
                <w:rFonts w:ascii="Times New Roman" w:hAnsi="Times New Roman" w:cs="Times New Roman"/>
                <w:color w:val="auto"/>
                <w:spacing w:val="3"/>
                <w:sz w:val="21"/>
                <w:szCs w:val="21"/>
                <w:highlight w:val="none"/>
                <w:lang w:eastAsia="en-US"/>
              </w:rPr>
            </w:pPr>
            <w:r>
              <w:rPr>
                <w:rFonts w:hint="eastAsia" w:ascii="Times New Roman" w:hAnsi="Times New Roman" w:cs="Times New Roman"/>
                <w:color w:val="auto"/>
                <w:spacing w:val="3"/>
                <w:sz w:val="21"/>
                <w:szCs w:val="21"/>
                <w:highlight w:val="none"/>
                <w:lang w:eastAsia="en-US"/>
              </w:rPr>
              <w:t>液体</w:t>
            </w:r>
          </w:p>
        </w:tc>
        <w:tc>
          <w:tcPr>
            <w:tcW w:w="1198" w:type="dxa"/>
            <w:tcBorders>
              <w:tl2br w:val="nil"/>
              <w:tr2bl w:val="nil"/>
            </w:tcBorders>
            <w:vAlign w:val="center"/>
          </w:tcPr>
          <w:p w14:paraId="4CAFBAC1">
            <w:pPr>
              <w:keepNext w:val="0"/>
              <w:keepLines w:val="0"/>
              <w:widowControl/>
              <w:suppressLineNumbers w:val="0"/>
              <w:autoSpaceDE w:val="0"/>
              <w:autoSpaceDN w:val="0"/>
              <w:jc w:val="center"/>
              <w:textAlignment w:val="center"/>
              <w:rPr>
                <w:rFonts w:ascii="Times New Roman" w:hAnsi="Times New Roman" w:cs="Times New Roman"/>
                <w:color w:val="auto"/>
                <w:sz w:val="21"/>
                <w:szCs w:val="21"/>
                <w:highlight w:val="none"/>
                <w:lang w:eastAsia="en-US"/>
              </w:rPr>
            </w:pPr>
            <w:r>
              <w:rPr>
                <w:rFonts w:hint="default" w:ascii="Times New Roman" w:hAnsi="Times New Roman" w:eastAsia="等线" w:cs="Times New Roman"/>
                <w:i w:val="0"/>
                <w:iCs w:val="0"/>
                <w:color w:val="auto"/>
                <w:kern w:val="0"/>
                <w:sz w:val="21"/>
                <w:szCs w:val="21"/>
                <w:highlight w:val="none"/>
                <w:u w:val="none"/>
                <w:lang w:val="en-US" w:eastAsia="zh-CN" w:bidi="ar"/>
              </w:rPr>
              <w:t>0.003</w:t>
            </w:r>
          </w:p>
        </w:tc>
        <w:tc>
          <w:tcPr>
            <w:tcW w:w="1588" w:type="dxa"/>
            <w:tcBorders>
              <w:tl2br w:val="nil"/>
              <w:tr2bl w:val="nil"/>
            </w:tcBorders>
            <w:vAlign w:val="center"/>
          </w:tcPr>
          <w:p w14:paraId="04467038">
            <w:pPr>
              <w:pStyle w:val="106"/>
              <w:keepNext w:val="0"/>
              <w:keepLines w:val="0"/>
              <w:pageBreakBefore w:val="0"/>
              <w:widowControl w:val="0"/>
              <w:kinsoku/>
              <w:wordWrap/>
              <w:overflowPunct/>
              <w:topLinePunct w:val="0"/>
              <w:autoSpaceDE w:val="0"/>
              <w:autoSpaceDN w:val="0"/>
              <w:bidi w:val="0"/>
              <w:ind w:left="0" w:right="0"/>
              <w:rPr>
                <w:color w:val="auto"/>
                <w:spacing w:val="1"/>
                <w:sz w:val="21"/>
                <w:szCs w:val="21"/>
                <w:highlight w:val="none"/>
                <w:lang w:eastAsia="en-US"/>
              </w:rPr>
            </w:pPr>
            <w:r>
              <w:rPr>
                <w:rFonts w:hint="eastAsia"/>
                <w:color w:val="auto"/>
                <w:sz w:val="21"/>
                <w:szCs w:val="21"/>
                <w:highlight w:val="none"/>
                <w:lang w:eastAsia="en-US"/>
              </w:rPr>
              <w:t>7.5</w:t>
            </w:r>
          </w:p>
        </w:tc>
        <w:tc>
          <w:tcPr>
            <w:tcW w:w="1379" w:type="dxa"/>
            <w:tcBorders>
              <w:tl2br w:val="nil"/>
              <w:tr2bl w:val="nil"/>
            </w:tcBorders>
            <w:vAlign w:val="center"/>
          </w:tcPr>
          <w:p w14:paraId="134B1361">
            <w:pPr>
              <w:keepNext w:val="0"/>
              <w:keepLines w:val="0"/>
              <w:widowControl/>
              <w:suppressLineNumbers w:val="0"/>
              <w:autoSpaceDE w:val="0"/>
              <w:autoSpaceDN w:val="0"/>
              <w:jc w:val="center"/>
              <w:textAlignment w:val="center"/>
              <w:rPr>
                <w:rFonts w:ascii="Times New Roman" w:hAnsi="Times New Roman" w:cs="Times New Roman"/>
                <w:color w:val="auto"/>
                <w:sz w:val="21"/>
                <w:szCs w:val="21"/>
                <w:highlight w:val="none"/>
                <w:lang w:eastAsia="en-US"/>
              </w:rPr>
            </w:pPr>
            <w:r>
              <w:rPr>
                <w:rFonts w:hint="default" w:ascii="Times New Roman" w:hAnsi="Times New Roman" w:eastAsia="等线" w:cs="Times New Roman"/>
                <w:i w:val="0"/>
                <w:iCs w:val="0"/>
                <w:color w:val="auto"/>
                <w:kern w:val="0"/>
                <w:sz w:val="21"/>
                <w:szCs w:val="21"/>
                <w:highlight w:val="none"/>
                <w:u w:val="none"/>
                <w:lang w:val="en-US" w:eastAsia="zh-CN" w:bidi="ar"/>
              </w:rPr>
              <w:t>0.0004</w:t>
            </w:r>
          </w:p>
        </w:tc>
      </w:tr>
      <w:tr w14:paraId="5F6AAEFF">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691" w:type="dxa"/>
            <w:vMerge w:val="continue"/>
            <w:tcBorders>
              <w:top w:val="single" w:color="auto" w:sz="4" w:space="0"/>
              <w:bottom w:val="single" w:color="auto" w:sz="4" w:space="0"/>
              <w:tl2br w:val="nil"/>
              <w:tr2bl w:val="nil"/>
            </w:tcBorders>
            <w:vAlign w:val="center"/>
          </w:tcPr>
          <w:p w14:paraId="10E0DD92">
            <w:pPr>
              <w:keepNext w:val="0"/>
              <w:keepLines w:val="0"/>
              <w:pageBreakBefore w:val="0"/>
              <w:widowControl/>
              <w:kinsoku/>
              <w:wordWrap/>
              <w:overflowPunct/>
              <w:topLinePunct w:val="0"/>
              <w:autoSpaceDE/>
              <w:autoSpaceDN/>
              <w:bidi w:val="0"/>
              <w:ind w:left="0" w:right="0"/>
              <w:jc w:val="center"/>
              <w:rPr>
                <w:rFonts w:ascii="Times New Roman" w:hAnsi="Times New Roman" w:cs="Times New Roman"/>
                <w:color w:val="auto"/>
                <w:sz w:val="21"/>
                <w:szCs w:val="21"/>
                <w:highlight w:val="none"/>
                <w:lang w:eastAsia="en-US"/>
              </w:rPr>
            </w:pPr>
          </w:p>
        </w:tc>
        <w:tc>
          <w:tcPr>
            <w:tcW w:w="734" w:type="dxa"/>
            <w:vMerge w:val="continue"/>
            <w:tcBorders>
              <w:top w:val="single" w:color="auto" w:sz="4" w:space="0"/>
              <w:bottom w:val="single" w:color="auto" w:sz="4" w:space="0"/>
              <w:right w:val="single" w:color="auto" w:sz="4" w:space="0"/>
              <w:tl2br w:val="nil"/>
              <w:tr2bl w:val="nil"/>
            </w:tcBorders>
            <w:vAlign w:val="center"/>
          </w:tcPr>
          <w:p w14:paraId="6860758B">
            <w:pPr>
              <w:keepNext w:val="0"/>
              <w:keepLines w:val="0"/>
              <w:pageBreakBefore w:val="0"/>
              <w:widowControl w:val="0"/>
              <w:kinsoku/>
              <w:wordWrap/>
              <w:overflowPunct/>
              <w:topLinePunct w:val="0"/>
              <w:autoSpaceDE w:val="0"/>
              <w:autoSpaceDN w:val="0"/>
              <w:bidi w:val="0"/>
              <w:ind w:left="0" w:right="0"/>
              <w:jc w:val="center"/>
              <w:rPr>
                <w:rFonts w:ascii="Times New Roman" w:hAnsi="Times New Roman" w:cs="Times New Roman"/>
                <w:bCs/>
                <w:color w:val="auto"/>
                <w:kern w:val="2"/>
                <w:sz w:val="21"/>
                <w:szCs w:val="21"/>
                <w:highlight w:val="none"/>
                <w:lang w:eastAsia="en-US"/>
              </w:rPr>
            </w:pPr>
          </w:p>
        </w:tc>
        <w:tc>
          <w:tcPr>
            <w:tcW w:w="1948" w:type="dxa"/>
            <w:tcBorders>
              <w:left w:val="single" w:color="auto" w:sz="4" w:space="0"/>
              <w:tl2br w:val="nil"/>
              <w:tr2bl w:val="nil"/>
            </w:tcBorders>
            <w:vAlign w:val="center"/>
          </w:tcPr>
          <w:p w14:paraId="0E3392F7">
            <w:pPr>
              <w:keepNext w:val="0"/>
              <w:keepLines w:val="0"/>
              <w:pageBreakBefore w:val="0"/>
              <w:widowControl w:val="0"/>
              <w:kinsoku/>
              <w:wordWrap/>
              <w:overflowPunct/>
              <w:topLinePunct w:val="0"/>
              <w:autoSpaceDE w:val="0"/>
              <w:autoSpaceDN w:val="0"/>
              <w:bidi w:val="0"/>
              <w:ind w:left="0" w:right="0"/>
              <w:jc w:val="center"/>
              <w:rPr>
                <w:rFonts w:ascii="Times New Roman" w:hAnsi="Times New Roman" w:cs="Times New Roman"/>
                <w:color w:val="auto"/>
                <w:sz w:val="21"/>
                <w:szCs w:val="21"/>
                <w:highlight w:val="none"/>
                <w:lang w:eastAsia="en-US"/>
              </w:rPr>
            </w:pPr>
            <w:r>
              <w:rPr>
                <w:rFonts w:ascii="Times New Roman" w:hAnsi="Times New Roman" w:cs="Times New Roman"/>
                <w:color w:val="auto"/>
                <w:sz w:val="21"/>
                <w:szCs w:val="21"/>
                <w:highlight w:val="none"/>
                <w:lang w:eastAsia="en-US"/>
              </w:rPr>
              <w:t>卡尔费休试剂</w:t>
            </w:r>
          </w:p>
        </w:tc>
        <w:tc>
          <w:tcPr>
            <w:tcW w:w="966" w:type="dxa"/>
            <w:tcBorders>
              <w:tl2br w:val="nil"/>
              <w:tr2bl w:val="nil"/>
            </w:tcBorders>
            <w:vAlign w:val="center"/>
          </w:tcPr>
          <w:p w14:paraId="67C42F39">
            <w:pPr>
              <w:keepNext w:val="0"/>
              <w:keepLines w:val="0"/>
              <w:pageBreakBefore w:val="0"/>
              <w:widowControl/>
              <w:kinsoku/>
              <w:wordWrap/>
              <w:overflowPunct/>
              <w:topLinePunct w:val="0"/>
              <w:autoSpaceDE/>
              <w:autoSpaceDN/>
              <w:bidi w:val="0"/>
              <w:ind w:left="0" w:right="0"/>
              <w:jc w:val="center"/>
              <w:rPr>
                <w:rFonts w:ascii="Times New Roman" w:hAnsi="Times New Roman" w:cs="Times New Roman"/>
                <w:color w:val="auto"/>
                <w:spacing w:val="3"/>
                <w:sz w:val="21"/>
                <w:szCs w:val="21"/>
                <w:highlight w:val="none"/>
                <w:lang w:eastAsia="en-US"/>
              </w:rPr>
            </w:pPr>
            <w:r>
              <w:rPr>
                <w:rFonts w:hint="eastAsia" w:ascii="Times New Roman" w:hAnsi="Times New Roman" w:cs="Times New Roman"/>
                <w:color w:val="auto"/>
                <w:spacing w:val="3"/>
                <w:sz w:val="21"/>
                <w:szCs w:val="21"/>
                <w:highlight w:val="none"/>
                <w:lang w:eastAsia="en-US"/>
              </w:rPr>
              <w:t>液体</w:t>
            </w:r>
          </w:p>
        </w:tc>
        <w:tc>
          <w:tcPr>
            <w:tcW w:w="1198" w:type="dxa"/>
            <w:tcBorders>
              <w:tl2br w:val="nil"/>
              <w:tr2bl w:val="nil"/>
            </w:tcBorders>
            <w:vAlign w:val="center"/>
          </w:tcPr>
          <w:p w14:paraId="29051F51">
            <w:pPr>
              <w:keepNext w:val="0"/>
              <w:keepLines w:val="0"/>
              <w:widowControl/>
              <w:suppressLineNumbers w:val="0"/>
              <w:autoSpaceDE w:val="0"/>
              <w:autoSpaceDN w:val="0"/>
              <w:jc w:val="center"/>
              <w:textAlignment w:val="center"/>
              <w:rPr>
                <w:rFonts w:ascii="Times New Roman" w:hAnsi="Times New Roman" w:cs="Times New Roman"/>
                <w:color w:val="auto"/>
                <w:sz w:val="21"/>
                <w:szCs w:val="21"/>
                <w:highlight w:val="none"/>
                <w:lang w:eastAsia="en-US"/>
              </w:rPr>
            </w:pPr>
            <w:r>
              <w:rPr>
                <w:rFonts w:hint="default" w:ascii="Times New Roman" w:hAnsi="Times New Roman" w:eastAsia="等线" w:cs="Times New Roman"/>
                <w:i w:val="0"/>
                <w:iCs w:val="0"/>
                <w:color w:val="auto"/>
                <w:kern w:val="0"/>
                <w:sz w:val="21"/>
                <w:szCs w:val="21"/>
                <w:highlight w:val="none"/>
                <w:u w:val="none"/>
                <w:lang w:val="en-US" w:eastAsia="zh-CN" w:bidi="ar"/>
              </w:rPr>
              <w:t>0.0005</w:t>
            </w:r>
          </w:p>
        </w:tc>
        <w:tc>
          <w:tcPr>
            <w:tcW w:w="1588" w:type="dxa"/>
            <w:tcBorders>
              <w:tl2br w:val="nil"/>
              <w:tr2bl w:val="nil"/>
            </w:tcBorders>
            <w:vAlign w:val="center"/>
          </w:tcPr>
          <w:p w14:paraId="5420FF35">
            <w:pPr>
              <w:pStyle w:val="106"/>
              <w:keepNext w:val="0"/>
              <w:keepLines w:val="0"/>
              <w:pageBreakBefore w:val="0"/>
              <w:widowControl w:val="0"/>
              <w:kinsoku/>
              <w:wordWrap/>
              <w:overflowPunct/>
              <w:topLinePunct w:val="0"/>
              <w:autoSpaceDE w:val="0"/>
              <w:autoSpaceDN w:val="0"/>
              <w:bidi w:val="0"/>
              <w:ind w:left="0" w:right="0"/>
              <w:rPr>
                <w:color w:val="auto"/>
                <w:spacing w:val="1"/>
                <w:sz w:val="21"/>
                <w:szCs w:val="21"/>
                <w:highlight w:val="none"/>
                <w:lang w:eastAsia="en-US"/>
              </w:rPr>
            </w:pPr>
            <w:r>
              <w:rPr>
                <w:rFonts w:hint="eastAsia"/>
                <w:color w:val="auto"/>
                <w:sz w:val="21"/>
                <w:szCs w:val="21"/>
                <w:highlight w:val="none"/>
                <w:lang w:eastAsia="en-US"/>
              </w:rPr>
              <w:t>100*</w:t>
            </w:r>
          </w:p>
        </w:tc>
        <w:tc>
          <w:tcPr>
            <w:tcW w:w="1379" w:type="dxa"/>
            <w:tcBorders>
              <w:tl2br w:val="nil"/>
              <w:tr2bl w:val="nil"/>
            </w:tcBorders>
            <w:vAlign w:val="center"/>
          </w:tcPr>
          <w:p w14:paraId="11A2590A">
            <w:pPr>
              <w:keepNext w:val="0"/>
              <w:keepLines w:val="0"/>
              <w:widowControl/>
              <w:suppressLineNumbers w:val="0"/>
              <w:autoSpaceDE w:val="0"/>
              <w:autoSpaceDN w:val="0"/>
              <w:jc w:val="center"/>
              <w:textAlignment w:val="center"/>
              <w:rPr>
                <w:rFonts w:ascii="Times New Roman" w:hAnsi="Times New Roman" w:cs="Times New Roman"/>
                <w:color w:val="auto"/>
                <w:sz w:val="21"/>
                <w:szCs w:val="21"/>
                <w:highlight w:val="none"/>
                <w:lang w:eastAsia="en-US"/>
              </w:rPr>
            </w:pPr>
            <w:r>
              <w:rPr>
                <w:rFonts w:hint="default" w:ascii="Times New Roman" w:hAnsi="Times New Roman" w:eastAsia="等线" w:cs="Times New Roman"/>
                <w:i w:val="0"/>
                <w:iCs w:val="0"/>
                <w:color w:val="auto"/>
                <w:kern w:val="0"/>
                <w:sz w:val="21"/>
                <w:szCs w:val="21"/>
                <w:highlight w:val="none"/>
                <w:u w:val="none"/>
                <w:lang w:val="en-US" w:eastAsia="zh-CN" w:bidi="ar"/>
              </w:rPr>
              <w:t>0.000005</w:t>
            </w:r>
          </w:p>
        </w:tc>
      </w:tr>
      <w:tr w14:paraId="025BD674">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691" w:type="dxa"/>
            <w:vMerge w:val="continue"/>
            <w:tcBorders>
              <w:top w:val="single" w:color="auto" w:sz="4" w:space="0"/>
              <w:bottom w:val="single" w:color="auto" w:sz="4" w:space="0"/>
              <w:tl2br w:val="nil"/>
              <w:tr2bl w:val="nil"/>
            </w:tcBorders>
            <w:vAlign w:val="center"/>
          </w:tcPr>
          <w:p w14:paraId="382A6E4F">
            <w:pPr>
              <w:keepNext w:val="0"/>
              <w:keepLines w:val="0"/>
              <w:pageBreakBefore w:val="0"/>
              <w:widowControl/>
              <w:kinsoku/>
              <w:wordWrap/>
              <w:overflowPunct/>
              <w:topLinePunct w:val="0"/>
              <w:autoSpaceDE/>
              <w:autoSpaceDN/>
              <w:bidi w:val="0"/>
              <w:ind w:left="0" w:right="0"/>
              <w:jc w:val="center"/>
              <w:rPr>
                <w:rFonts w:ascii="Times New Roman" w:hAnsi="Times New Roman" w:cs="Times New Roman"/>
                <w:color w:val="auto"/>
                <w:sz w:val="21"/>
                <w:szCs w:val="21"/>
                <w:highlight w:val="none"/>
                <w:lang w:eastAsia="en-US"/>
              </w:rPr>
            </w:pPr>
          </w:p>
        </w:tc>
        <w:tc>
          <w:tcPr>
            <w:tcW w:w="734" w:type="dxa"/>
            <w:vMerge w:val="continue"/>
            <w:tcBorders>
              <w:top w:val="single" w:color="auto" w:sz="4" w:space="0"/>
              <w:bottom w:val="single" w:color="auto" w:sz="4" w:space="0"/>
              <w:right w:val="single" w:color="auto" w:sz="4" w:space="0"/>
              <w:tl2br w:val="nil"/>
              <w:tr2bl w:val="nil"/>
            </w:tcBorders>
            <w:vAlign w:val="center"/>
          </w:tcPr>
          <w:p w14:paraId="59B4D857">
            <w:pPr>
              <w:keepNext w:val="0"/>
              <w:keepLines w:val="0"/>
              <w:pageBreakBefore w:val="0"/>
              <w:widowControl w:val="0"/>
              <w:kinsoku/>
              <w:wordWrap/>
              <w:overflowPunct/>
              <w:topLinePunct w:val="0"/>
              <w:autoSpaceDE w:val="0"/>
              <w:autoSpaceDN w:val="0"/>
              <w:bidi w:val="0"/>
              <w:ind w:left="0" w:right="0"/>
              <w:jc w:val="center"/>
              <w:rPr>
                <w:rFonts w:ascii="Times New Roman" w:hAnsi="Times New Roman" w:cs="Times New Roman"/>
                <w:bCs/>
                <w:color w:val="auto"/>
                <w:kern w:val="2"/>
                <w:sz w:val="21"/>
                <w:szCs w:val="21"/>
                <w:highlight w:val="none"/>
                <w:lang w:eastAsia="en-US"/>
              </w:rPr>
            </w:pPr>
          </w:p>
        </w:tc>
        <w:tc>
          <w:tcPr>
            <w:tcW w:w="1948" w:type="dxa"/>
            <w:tcBorders>
              <w:left w:val="single" w:color="auto" w:sz="4" w:space="0"/>
              <w:tl2br w:val="nil"/>
              <w:tr2bl w:val="nil"/>
            </w:tcBorders>
            <w:vAlign w:val="center"/>
          </w:tcPr>
          <w:p w14:paraId="693FE918">
            <w:pPr>
              <w:keepNext w:val="0"/>
              <w:keepLines w:val="0"/>
              <w:pageBreakBefore w:val="0"/>
              <w:widowControl w:val="0"/>
              <w:kinsoku/>
              <w:wordWrap/>
              <w:overflowPunct/>
              <w:topLinePunct w:val="0"/>
              <w:autoSpaceDE w:val="0"/>
              <w:autoSpaceDN w:val="0"/>
              <w:bidi w:val="0"/>
              <w:ind w:left="0" w:right="0"/>
              <w:jc w:val="center"/>
              <w:rPr>
                <w:rFonts w:ascii="Times New Roman" w:hAnsi="Times New Roman" w:cs="Times New Roman"/>
                <w:color w:val="auto"/>
                <w:sz w:val="21"/>
                <w:szCs w:val="21"/>
                <w:highlight w:val="none"/>
                <w:lang w:eastAsia="en-US"/>
              </w:rPr>
            </w:pPr>
            <w:r>
              <w:rPr>
                <w:rFonts w:ascii="Times New Roman" w:hAnsi="Times New Roman" w:cs="Times New Roman"/>
                <w:color w:val="auto"/>
                <w:sz w:val="21"/>
                <w:szCs w:val="21"/>
                <w:highlight w:val="none"/>
                <w:lang w:eastAsia="en-US"/>
              </w:rPr>
              <w:t>异丙醇</w:t>
            </w:r>
          </w:p>
        </w:tc>
        <w:tc>
          <w:tcPr>
            <w:tcW w:w="966" w:type="dxa"/>
            <w:tcBorders>
              <w:tl2br w:val="nil"/>
              <w:tr2bl w:val="nil"/>
            </w:tcBorders>
            <w:vAlign w:val="center"/>
          </w:tcPr>
          <w:p w14:paraId="1AEBFFB2">
            <w:pPr>
              <w:keepNext w:val="0"/>
              <w:keepLines w:val="0"/>
              <w:pageBreakBefore w:val="0"/>
              <w:widowControl/>
              <w:kinsoku/>
              <w:wordWrap/>
              <w:overflowPunct/>
              <w:topLinePunct w:val="0"/>
              <w:autoSpaceDE/>
              <w:autoSpaceDN/>
              <w:bidi w:val="0"/>
              <w:ind w:left="0" w:right="0"/>
              <w:jc w:val="center"/>
              <w:rPr>
                <w:rFonts w:ascii="Times New Roman" w:hAnsi="Times New Roman" w:cs="Times New Roman"/>
                <w:color w:val="auto"/>
                <w:spacing w:val="3"/>
                <w:sz w:val="21"/>
                <w:szCs w:val="21"/>
                <w:highlight w:val="none"/>
                <w:lang w:eastAsia="en-US"/>
              </w:rPr>
            </w:pPr>
            <w:r>
              <w:rPr>
                <w:rFonts w:hint="eastAsia" w:ascii="Times New Roman" w:hAnsi="Times New Roman" w:cs="Times New Roman"/>
                <w:color w:val="auto"/>
                <w:spacing w:val="3"/>
                <w:sz w:val="21"/>
                <w:szCs w:val="21"/>
                <w:highlight w:val="none"/>
                <w:lang w:eastAsia="en-US"/>
              </w:rPr>
              <w:t>液体</w:t>
            </w:r>
          </w:p>
        </w:tc>
        <w:tc>
          <w:tcPr>
            <w:tcW w:w="1198" w:type="dxa"/>
            <w:tcBorders>
              <w:tl2br w:val="nil"/>
              <w:tr2bl w:val="nil"/>
            </w:tcBorders>
            <w:vAlign w:val="center"/>
          </w:tcPr>
          <w:p w14:paraId="79827ECF">
            <w:pPr>
              <w:keepNext w:val="0"/>
              <w:keepLines w:val="0"/>
              <w:widowControl/>
              <w:suppressLineNumbers w:val="0"/>
              <w:autoSpaceDE w:val="0"/>
              <w:autoSpaceDN w:val="0"/>
              <w:jc w:val="center"/>
              <w:textAlignment w:val="center"/>
              <w:rPr>
                <w:rFonts w:ascii="Times New Roman" w:hAnsi="Times New Roman" w:cs="Times New Roman"/>
                <w:color w:val="auto"/>
                <w:sz w:val="21"/>
                <w:szCs w:val="21"/>
                <w:highlight w:val="none"/>
                <w:lang w:eastAsia="en-US"/>
              </w:rPr>
            </w:pPr>
            <w:r>
              <w:rPr>
                <w:rFonts w:hint="default" w:ascii="Times New Roman" w:hAnsi="Times New Roman" w:eastAsia="等线" w:cs="Times New Roman"/>
                <w:i w:val="0"/>
                <w:iCs w:val="0"/>
                <w:color w:val="auto"/>
                <w:kern w:val="0"/>
                <w:sz w:val="21"/>
                <w:szCs w:val="21"/>
                <w:highlight w:val="none"/>
                <w:u w:val="none"/>
                <w:lang w:val="en-US" w:eastAsia="zh-CN" w:bidi="ar"/>
              </w:rPr>
              <w:t>0.001</w:t>
            </w:r>
          </w:p>
        </w:tc>
        <w:tc>
          <w:tcPr>
            <w:tcW w:w="1588" w:type="dxa"/>
            <w:tcBorders>
              <w:tl2br w:val="nil"/>
              <w:tr2bl w:val="nil"/>
            </w:tcBorders>
            <w:vAlign w:val="center"/>
          </w:tcPr>
          <w:p w14:paraId="6EA1A918">
            <w:pPr>
              <w:pStyle w:val="106"/>
              <w:keepNext w:val="0"/>
              <w:keepLines w:val="0"/>
              <w:pageBreakBefore w:val="0"/>
              <w:widowControl w:val="0"/>
              <w:kinsoku/>
              <w:wordWrap/>
              <w:overflowPunct/>
              <w:topLinePunct w:val="0"/>
              <w:autoSpaceDE w:val="0"/>
              <w:autoSpaceDN w:val="0"/>
              <w:bidi w:val="0"/>
              <w:ind w:left="0" w:right="0"/>
              <w:rPr>
                <w:color w:val="auto"/>
                <w:spacing w:val="1"/>
                <w:sz w:val="21"/>
                <w:szCs w:val="21"/>
                <w:highlight w:val="none"/>
                <w:lang w:eastAsia="en-US"/>
              </w:rPr>
            </w:pPr>
            <w:r>
              <w:rPr>
                <w:rFonts w:hint="eastAsia"/>
                <w:color w:val="auto"/>
                <w:sz w:val="21"/>
                <w:szCs w:val="21"/>
                <w:highlight w:val="none"/>
                <w:lang w:eastAsia="en-US"/>
              </w:rPr>
              <w:t>10</w:t>
            </w:r>
          </w:p>
        </w:tc>
        <w:tc>
          <w:tcPr>
            <w:tcW w:w="1379" w:type="dxa"/>
            <w:tcBorders>
              <w:tl2br w:val="nil"/>
              <w:tr2bl w:val="nil"/>
            </w:tcBorders>
            <w:vAlign w:val="center"/>
          </w:tcPr>
          <w:p w14:paraId="2151980F">
            <w:pPr>
              <w:keepNext w:val="0"/>
              <w:keepLines w:val="0"/>
              <w:widowControl/>
              <w:suppressLineNumbers w:val="0"/>
              <w:autoSpaceDE w:val="0"/>
              <w:autoSpaceDN w:val="0"/>
              <w:jc w:val="center"/>
              <w:textAlignment w:val="center"/>
              <w:rPr>
                <w:rFonts w:ascii="Times New Roman" w:hAnsi="Times New Roman" w:cs="Times New Roman"/>
                <w:color w:val="auto"/>
                <w:sz w:val="21"/>
                <w:szCs w:val="21"/>
                <w:highlight w:val="none"/>
                <w:lang w:eastAsia="en-US"/>
              </w:rPr>
            </w:pPr>
            <w:r>
              <w:rPr>
                <w:rFonts w:hint="default" w:ascii="Times New Roman" w:hAnsi="Times New Roman" w:eastAsia="等线" w:cs="Times New Roman"/>
                <w:i w:val="0"/>
                <w:iCs w:val="0"/>
                <w:color w:val="auto"/>
                <w:kern w:val="0"/>
                <w:sz w:val="21"/>
                <w:szCs w:val="21"/>
                <w:highlight w:val="none"/>
                <w:u w:val="none"/>
                <w:lang w:val="en-US" w:eastAsia="zh-CN" w:bidi="ar"/>
              </w:rPr>
              <w:t>0.0001</w:t>
            </w:r>
          </w:p>
        </w:tc>
      </w:tr>
      <w:tr w14:paraId="5038303C">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691" w:type="dxa"/>
            <w:vMerge w:val="restart"/>
            <w:tcBorders>
              <w:tl2br w:val="nil"/>
              <w:tr2bl w:val="nil"/>
            </w:tcBorders>
            <w:vAlign w:val="center"/>
          </w:tcPr>
          <w:p w14:paraId="53E19ABF">
            <w:pPr>
              <w:pStyle w:val="236"/>
              <w:keepNext w:val="0"/>
              <w:keepLines w:val="0"/>
              <w:pageBreakBefore w:val="0"/>
              <w:widowControl/>
              <w:kinsoku/>
              <w:wordWrap/>
              <w:overflowPunct/>
              <w:topLinePunct w:val="0"/>
              <w:autoSpaceDE/>
              <w:autoSpaceDN/>
              <w:bidi w:val="0"/>
              <w:ind w:left="0" w:right="0"/>
              <w:jc w:val="center"/>
              <w:rPr>
                <w:rFonts w:ascii="Times New Roman" w:hAnsi="Times New Roman" w:eastAsia="宋体" w:cs="Times New Roman"/>
                <w:color w:val="auto"/>
                <w:sz w:val="21"/>
                <w:szCs w:val="21"/>
                <w:highlight w:val="none"/>
              </w:rPr>
            </w:pPr>
            <w:r>
              <w:rPr>
                <w:rFonts w:ascii="Times New Roman" w:hAnsi="Times New Roman" w:eastAsia="宋体" w:cs="Times New Roman"/>
                <w:color w:val="auto"/>
                <w:spacing w:val="4"/>
                <w:sz w:val="21"/>
                <w:szCs w:val="21"/>
                <w:highlight w:val="none"/>
              </w:rPr>
              <w:t>产品</w:t>
            </w:r>
          </w:p>
        </w:tc>
        <w:tc>
          <w:tcPr>
            <w:tcW w:w="2682" w:type="dxa"/>
            <w:gridSpan w:val="2"/>
            <w:tcBorders>
              <w:tl2br w:val="nil"/>
              <w:tr2bl w:val="nil"/>
            </w:tcBorders>
            <w:vAlign w:val="center"/>
          </w:tcPr>
          <w:p w14:paraId="64409945">
            <w:pPr>
              <w:pStyle w:val="236"/>
              <w:keepNext w:val="0"/>
              <w:keepLines w:val="0"/>
              <w:pageBreakBefore w:val="0"/>
              <w:widowControl/>
              <w:kinsoku/>
              <w:wordWrap/>
              <w:overflowPunct/>
              <w:topLinePunct w:val="0"/>
              <w:autoSpaceDE/>
              <w:autoSpaceDN/>
              <w:bidi w:val="0"/>
              <w:ind w:left="0" w:right="0"/>
              <w:jc w:val="center"/>
              <w:rPr>
                <w:rFonts w:ascii="Times New Roman" w:hAnsi="Times New Roman" w:eastAsia="宋体" w:cs="Times New Roman"/>
                <w:color w:val="auto"/>
                <w:sz w:val="21"/>
                <w:szCs w:val="21"/>
                <w:highlight w:val="none"/>
              </w:rPr>
            </w:pPr>
            <w:r>
              <w:rPr>
                <w:rFonts w:ascii="Times New Roman" w:hAnsi="Times New Roman" w:eastAsia="宋体" w:cs="Times New Roman"/>
                <w:color w:val="auto"/>
                <w:spacing w:val="7"/>
                <w:sz w:val="21"/>
                <w:szCs w:val="21"/>
                <w:highlight w:val="none"/>
              </w:rPr>
              <w:t>聚氨酯丙烯酸酯</w:t>
            </w:r>
          </w:p>
        </w:tc>
        <w:tc>
          <w:tcPr>
            <w:tcW w:w="966" w:type="dxa"/>
            <w:tcBorders>
              <w:tl2br w:val="nil"/>
              <w:tr2bl w:val="nil"/>
            </w:tcBorders>
            <w:vAlign w:val="center"/>
          </w:tcPr>
          <w:p w14:paraId="1E355E60">
            <w:pPr>
              <w:pStyle w:val="236"/>
              <w:keepNext w:val="0"/>
              <w:keepLines w:val="0"/>
              <w:pageBreakBefore w:val="0"/>
              <w:widowControl/>
              <w:kinsoku/>
              <w:wordWrap/>
              <w:overflowPunct/>
              <w:topLinePunct w:val="0"/>
              <w:autoSpaceDE/>
              <w:autoSpaceDN/>
              <w:bidi w:val="0"/>
              <w:ind w:left="0" w:right="0"/>
              <w:jc w:val="center"/>
              <w:rPr>
                <w:rFonts w:ascii="Times New Roman" w:hAnsi="Times New Roman" w:eastAsia="宋体" w:cs="Times New Roman"/>
                <w:color w:val="auto"/>
                <w:sz w:val="21"/>
                <w:szCs w:val="21"/>
                <w:highlight w:val="none"/>
              </w:rPr>
            </w:pPr>
            <w:r>
              <w:rPr>
                <w:rFonts w:ascii="Times New Roman" w:hAnsi="Times New Roman" w:eastAsia="宋体" w:cs="Times New Roman"/>
                <w:color w:val="auto"/>
                <w:spacing w:val="3"/>
                <w:sz w:val="21"/>
                <w:szCs w:val="21"/>
                <w:highlight w:val="none"/>
              </w:rPr>
              <w:t>液体</w:t>
            </w:r>
          </w:p>
        </w:tc>
        <w:tc>
          <w:tcPr>
            <w:tcW w:w="1198" w:type="dxa"/>
            <w:tcBorders>
              <w:tl2br w:val="nil"/>
              <w:tr2bl w:val="nil"/>
            </w:tcBorders>
            <w:vAlign w:val="center"/>
          </w:tcPr>
          <w:p w14:paraId="53149BDF">
            <w:pPr>
              <w:keepNext w:val="0"/>
              <w:keepLines w:val="0"/>
              <w:widowControl/>
              <w:suppressLineNumbers w:val="0"/>
              <w:autoSpaceDE w:val="0"/>
              <w:autoSpaceDN w:val="0"/>
              <w:jc w:val="center"/>
              <w:textAlignment w:val="center"/>
              <w:rPr>
                <w:rFonts w:ascii="Times New Roman" w:hAnsi="Times New Roman" w:cs="Times New Roman"/>
                <w:color w:val="auto"/>
                <w:sz w:val="21"/>
                <w:szCs w:val="21"/>
                <w:highlight w:val="none"/>
                <w:lang w:eastAsia="en-US"/>
              </w:rPr>
            </w:pPr>
            <w:r>
              <w:rPr>
                <w:rFonts w:hint="default" w:ascii="Times New Roman" w:hAnsi="Times New Roman" w:eastAsia="等线" w:cs="Times New Roman"/>
                <w:i w:val="0"/>
                <w:iCs w:val="0"/>
                <w:color w:val="auto"/>
                <w:kern w:val="0"/>
                <w:sz w:val="21"/>
                <w:szCs w:val="21"/>
                <w:highlight w:val="none"/>
                <w:u w:val="none"/>
                <w:lang w:val="en-US" w:eastAsia="zh-CN" w:bidi="ar"/>
              </w:rPr>
              <w:t>72</w:t>
            </w:r>
          </w:p>
        </w:tc>
        <w:tc>
          <w:tcPr>
            <w:tcW w:w="1588" w:type="dxa"/>
            <w:tcBorders>
              <w:tl2br w:val="nil"/>
              <w:tr2bl w:val="nil"/>
            </w:tcBorders>
            <w:vAlign w:val="center"/>
          </w:tcPr>
          <w:p w14:paraId="5359DAB2">
            <w:pPr>
              <w:keepNext w:val="0"/>
              <w:keepLines w:val="0"/>
              <w:pageBreakBefore w:val="0"/>
              <w:widowControl/>
              <w:kinsoku/>
              <w:wordWrap/>
              <w:overflowPunct/>
              <w:topLinePunct w:val="0"/>
              <w:autoSpaceDE/>
              <w:autoSpaceDN/>
              <w:bidi w:val="0"/>
              <w:ind w:left="0" w:right="0"/>
              <w:jc w:val="center"/>
              <w:rPr>
                <w:rFonts w:ascii="Times New Roman" w:hAnsi="Times New Roman" w:cs="Times New Roman"/>
                <w:color w:val="auto"/>
                <w:sz w:val="21"/>
                <w:szCs w:val="21"/>
                <w:highlight w:val="none"/>
                <w:lang w:eastAsia="en-US"/>
              </w:rPr>
            </w:pPr>
            <w:r>
              <w:rPr>
                <w:rFonts w:hint="eastAsia" w:ascii="Times New Roman" w:hAnsi="Times New Roman" w:cs="Times New Roman"/>
                <w:color w:val="auto"/>
                <w:spacing w:val="7"/>
                <w:sz w:val="21"/>
                <w:szCs w:val="21"/>
                <w:highlight w:val="none"/>
                <w:lang w:eastAsia="en-US"/>
              </w:rPr>
              <w:t>1</w:t>
            </w:r>
            <w:r>
              <w:rPr>
                <w:rFonts w:ascii="Times New Roman" w:hAnsi="Times New Roman" w:cs="Times New Roman"/>
                <w:color w:val="auto"/>
                <w:spacing w:val="7"/>
                <w:sz w:val="21"/>
                <w:szCs w:val="21"/>
                <w:highlight w:val="none"/>
                <w:lang w:eastAsia="en-US"/>
              </w:rPr>
              <w:t>00</w:t>
            </w:r>
            <w:r>
              <w:rPr>
                <w:rFonts w:hint="eastAsia" w:ascii="Times New Roman" w:hAnsi="Times New Roman" w:cs="Times New Roman"/>
                <w:color w:val="auto"/>
                <w:spacing w:val="7"/>
                <w:sz w:val="21"/>
                <w:szCs w:val="21"/>
                <w:highlight w:val="none"/>
                <w:lang w:eastAsia="en-US"/>
              </w:rPr>
              <w:t>*</w:t>
            </w:r>
          </w:p>
        </w:tc>
        <w:tc>
          <w:tcPr>
            <w:tcW w:w="1379" w:type="dxa"/>
            <w:tcBorders>
              <w:tl2br w:val="nil"/>
              <w:tr2bl w:val="nil"/>
            </w:tcBorders>
            <w:vAlign w:val="center"/>
          </w:tcPr>
          <w:p w14:paraId="0AFEA3CF">
            <w:pPr>
              <w:keepNext w:val="0"/>
              <w:keepLines w:val="0"/>
              <w:widowControl/>
              <w:suppressLineNumbers w:val="0"/>
              <w:autoSpaceDE w:val="0"/>
              <w:autoSpaceDN w:val="0"/>
              <w:jc w:val="center"/>
              <w:textAlignment w:val="center"/>
              <w:rPr>
                <w:rFonts w:ascii="Times New Roman" w:hAnsi="Times New Roman" w:cs="Times New Roman"/>
                <w:color w:val="auto"/>
                <w:sz w:val="21"/>
                <w:szCs w:val="21"/>
                <w:highlight w:val="none"/>
                <w:lang w:eastAsia="en-US"/>
              </w:rPr>
            </w:pPr>
            <w:r>
              <w:rPr>
                <w:rFonts w:hint="default" w:ascii="Times New Roman" w:hAnsi="Times New Roman" w:eastAsia="等线" w:cs="Times New Roman"/>
                <w:i w:val="0"/>
                <w:iCs w:val="0"/>
                <w:color w:val="auto"/>
                <w:kern w:val="0"/>
                <w:sz w:val="21"/>
                <w:szCs w:val="21"/>
                <w:highlight w:val="none"/>
                <w:u w:val="none"/>
                <w:lang w:val="en-US" w:eastAsia="zh-CN" w:bidi="ar"/>
              </w:rPr>
              <w:t>0.72</w:t>
            </w:r>
          </w:p>
        </w:tc>
      </w:tr>
      <w:tr w14:paraId="6F95DF91">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691" w:type="dxa"/>
            <w:vMerge w:val="continue"/>
            <w:tcBorders>
              <w:tl2br w:val="nil"/>
              <w:tr2bl w:val="nil"/>
            </w:tcBorders>
            <w:vAlign w:val="center"/>
          </w:tcPr>
          <w:p w14:paraId="2C07D7BD">
            <w:pPr>
              <w:keepNext w:val="0"/>
              <w:keepLines w:val="0"/>
              <w:pageBreakBefore w:val="0"/>
              <w:widowControl/>
              <w:kinsoku/>
              <w:wordWrap/>
              <w:overflowPunct/>
              <w:topLinePunct w:val="0"/>
              <w:autoSpaceDE/>
              <w:autoSpaceDN/>
              <w:bidi w:val="0"/>
              <w:ind w:left="0" w:right="0"/>
              <w:jc w:val="center"/>
              <w:rPr>
                <w:rFonts w:ascii="Times New Roman" w:hAnsi="Times New Roman" w:cs="Times New Roman"/>
                <w:color w:val="auto"/>
                <w:sz w:val="21"/>
                <w:szCs w:val="21"/>
                <w:highlight w:val="none"/>
                <w:lang w:eastAsia="en-US"/>
              </w:rPr>
            </w:pPr>
          </w:p>
        </w:tc>
        <w:tc>
          <w:tcPr>
            <w:tcW w:w="2682" w:type="dxa"/>
            <w:gridSpan w:val="2"/>
            <w:tcBorders>
              <w:tl2br w:val="nil"/>
              <w:tr2bl w:val="nil"/>
            </w:tcBorders>
            <w:vAlign w:val="center"/>
          </w:tcPr>
          <w:p w14:paraId="7D6E7A6D">
            <w:pPr>
              <w:pStyle w:val="236"/>
              <w:keepNext w:val="0"/>
              <w:keepLines w:val="0"/>
              <w:pageBreakBefore w:val="0"/>
              <w:widowControl/>
              <w:kinsoku/>
              <w:wordWrap/>
              <w:overflowPunct/>
              <w:topLinePunct w:val="0"/>
              <w:autoSpaceDE/>
              <w:autoSpaceDN/>
              <w:bidi w:val="0"/>
              <w:ind w:left="0" w:right="0"/>
              <w:jc w:val="center"/>
              <w:rPr>
                <w:rFonts w:ascii="Times New Roman" w:hAnsi="Times New Roman" w:eastAsia="宋体" w:cs="Times New Roman"/>
                <w:color w:val="auto"/>
                <w:sz w:val="21"/>
                <w:szCs w:val="21"/>
                <w:highlight w:val="none"/>
              </w:rPr>
            </w:pPr>
            <w:r>
              <w:rPr>
                <w:rFonts w:ascii="Times New Roman" w:hAnsi="Times New Roman" w:eastAsia="宋体" w:cs="Times New Roman"/>
                <w:color w:val="auto"/>
                <w:spacing w:val="8"/>
                <w:sz w:val="21"/>
                <w:szCs w:val="21"/>
                <w:highlight w:val="none"/>
              </w:rPr>
              <w:t>丙烯酸酯组成物</w:t>
            </w:r>
          </w:p>
        </w:tc>
        <w:tc>
          <w:tcPr>
            <w:tcW w:w="966" w:type="dxa"/>
            <w:tcBorders>
              <w:tl2br w:val="nil"/>
              <w:tr2bl w:val="nil"/>
            </w:tcBorders>
            <w:vAlign w:val="center"/>
          </w:tcPr>
          <w:p w14:paraId="4A5048AA">
            <w:pPr>
              <w:pStyle w:val="236"/>
              <w:keepNext w:val="0"/>
              <w:keepLines w:val="0"/>
              <w:pageBreakBefore w:val="0"/>
              <w:widowControl/>
              <w:kinsoku/>
              <w:wordWrap/>
              <w:overflowPunct/>
              <w:topLinePunct w:val="0"/>
              <w:autoSpaceDE/>
              <w:autoSpaceDN/>
              <w:bidi w:val="0"/>
              <w:ind w:left="0" w:right="0"/>
              <w:jc w:val="center"/>
              <w:rPr>
                <w:rFonts w:ascii="Times New Roman" w:hAnsi="Times New Roman" w:eastAsia="宋体" w:cs="Times New Roman"/>
                <w:color w:val="auto"/>
                <w:sz w:val="21"/>
                <w:szCs w:val="21"/>
                <w:highlight w:val="none"/>
              </w:rPr>
            </w:pPr>
            <w:r>
              <w:rPr>
                <w:rFonts w:ascii="Times New Roman" w:hAnsi="Times New Roman" w:eastAsia="宋体" w:cs="Times New Roman"/>
                <w:color w:val="auto"/>
                <w:spacing w:val="3"/>
                <w:sz w:val="21"/>
                <w:szCs w:val="21"/>
                <w:highlight w:val="none"/>
              </w:rPr>
              <w:t>液体</w:t>
            </w:r>
          </w:p>
        </w:tc>
        <w:tc>
          <w:tcPr>
            <w:tcW w:w="1198" w:type="dxa"/>
            <w:tcBorders>
              <w:tl2br w:val="nil"/>
              <w:tr2bl w:val="nil"/>
            </w:tcBorders>
            <w:vAlign w:val="center"/>
          </w:tcPr>
          <w:p w14:paraId="3406C58F">
            <w:pPr>
              <w:keepNext w:val="0"/>
              <w:keepLines w:val="0"/>
              <w:widowControl/>
              <w:suppressLineNumbers w:val="0"/>
              <w:autoSpaceDE w:val="0"/>
              <w:autoSpaceDN w:val="0"/>
              <w:jc w:val="center"/>
              <w:textAlignment w:val="center"/>
              <w:rPr>
                <w:rFonts w:ascii="Times New Roman" w:hAnsi="Times New Roman" w:cs="Times New Roman"/>
                <w:color w:val="auto"/>
                <w:sz w:val="21"/>
                <w:szCs w:val="21"/>
                <w:highlight w:val="none"/>
                <w:lang w:eastAsia="en-US"/>
              </w:rPr>
            </w:pPr>
            <w:r>
              <w:rPr>
                <w:rFonts w:hint="default" w:ascii="Times New Roman" w:hAnsi="Times New Roman" w:eastAsia="等线" w:cs="Times New Roman"/>
                <w:i w:val="0"/>
                <w:iCs w:val="0"/>
                <w:color w:val="auto"/>
                <w:kern w:val="0"/>
                <w:sz w:val="21"/>
                <w:szCs w:val="21"/>
                <w:highlight w:val="none"/>
                <w:u w:val="none"/>
                <w:lang w:val="en-US" w:eastAsia="zh-CN" w:bidi="ar"/>
              </w:rPr>
              <w:t>144</w:t>
            </w:r>
          </w:p>
        </w:tc>
        <w:tc>
          <w:tcPr>
            <w:tcW w:w="1588" w:type="dxa"/>
            <w:tcBorders>
              <w:tl2br w:val="nil"/>
              <w:tr2bl w:val="nil"/>
            </w:tcBorders>
            <w:vAlign w:val="center"/>
          </w:tcPr>
          <w:p w14:paraId="2E2385D1">
            <w:pPr>
              <w:keepNext w:val="0"/>
              <w:keepLines w:val="0"/>
              <w:pageBreakBefore w:val="0"/>
              <w:widowControl/>
              <w:kinsoku/>
              <w:wordWrap/>
              <w:overflowPunct/>
              <w:topLinePunct w:val="0"/>
              <w:autoSpaceDE/>
              <w:autoSpaceDN/>
              <w:bidi w:val="0"/>
              <w:ind w:left="0" w:right="0"/>
              <w:jc w:val="center"/>
              <w:rPr>
                <w:rFonts w:ascii="Times New Roman" w:hAnsi="Times New Roman" w:cs="Times New Roman"/>
                <w:color w:val="auto"/>
                <w:sz w:val="21"/>
                <w:szCs w:val="21"/>
                <w:highlight w:val="none"/>
                <w:lang w:eastAsia="en-US"/>
              </w:rPr>
            </w:pPr>
            <w:r>
              <w:rPr>
                <w:rFonts w:hint="eastAsia" w:ascii="Times New Roman" w:hAnsi="Times New Roman" w:cs="Times New Roman"/>
                <w:color w:val="auto"/>
                <w:spacing w:val="7"/>
                <w:sz w:val="21"/>
                <w:szCs w:val="21"/>
                <w:highlight w:val="none"/>
                <w:lang w:eastAsia="en-US"/>
              </w:rPr>
              <w:t>1</w:t>
            </w:r>
            <w:r>
              <w:rPr>
                <w:rFonts w:ascii="Times New Roman" w:hAnsi="Times New Roman" w:cs="Times New Roman"/>
                <w:color w:val="auto"/>
                <w:spacing w:val="7"/>
                <w:sz w:val="21"/>
                <w:szCs w:val="21"/>
                <w:highlight w:val="none"/>
                <w:lang w:eastAsia="en-US"/>
              </w:rPr>
              <w:t>00</w:t>
            </w:r>
            <w:r>
              <w:rPr>
                <w:rFonts w:hint="eastAsia" w:ascii="Times New Roman" w:hAnsi="Times New Roman" w:cs="Times New Roman"/>
                <w:color w:val="auto"/>
                <w:spacing w:val="7"/>
                <w:sz w:val="21"/>
                <w:szCs w:val="21"/>
                <w:highlight w:val="none"/>
                <w:lang w:eastAsia="en-US"/>
              </w:rPr>
              <w:t>*</w:t>
            </w:r>
          </w:p>
        </w:tc>
        <w:tc>
          <w:tcPr>
            <w:tcW w:w="1379" w:type="dxa"/>
            <w:tcBorders>
              <w:tl2br w:val="nil"/>
              <w:tr2bl w:val="nil"/>
            </w:tcBorders>
            <w:vAlign w:val="center"/>
          </w:tcPr>
          <w:p w14:paraId="64B179A2">
            <w:pPr>
              <w:keepNext w:val="0"/>
              <w:keepLines w:val="0"/>
              <w:widowControl/>
              <w:suppressLineNumbers w:val="0"/>
              <w:autoSpaceDE w:val="0"/>
              <w:autoSpaceDN w:val="0"/>
              <w:jc w:val="center"/>
              <w:textAlignment w:val="center"/>
              <w:rPr>
                <w:rFonts w:ascii="Times New Roman" w:hAnsi="Times New Roman" w:cs="Times New Roman"/>
                <w:color w:val="auto"/>
                <w:sz w:val="21"/>
                <w:szCs w:val="21"/>
                <w:highlight w:val="none"/>
                <w:lang w:eastAsia="en-US"/>
              </w:rPr>
            </w:pPr>
            <w:r>
              <w:rPr>
                <w:rFonts w:hint="default" w:ascii="Times New Roman" w:hAnsi="Times New Roman" w:eastAsia="等线" w:cs="Times New Roman"/>
                <w:i w:val="0"/>
                <w:iCs w:val="0"/>
                <w:color w:val="auto"/>
                <w:kern w:val="0"/>
                <w:sz w:val="21"/>
                <w:szCs w:val="21"/>
                <w:highlight w:val="none"/>
                <w:u w:val="none"/>
                <w:lang w:val="en-US" w:eastAsia="zh-CN" w:bidi="ar"/>
              </w:rPr>
              <w:t>1.44</w:t>
            </w:r>
          </w:p>
        </w:tc>
      </w:tr>
      <w:tr w14:paraId="6167BE00">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691" w:type="dxa"/>
            <w:vMerge w:val="continue"/>
            <w:tcBorders>
              <w:tl2br w:val="nil"/>
              <w:tr2bl w:val="nil"/>
            </w:tcBorders>
            <w:vAlign w:val="center"/>
          </w:tcPr>
          <w:p w14:paraId="25A67B39">
            <w:pPr>
              <w:keepNext w:val="0"/>
              <w:keepLines w:val="0"/>
              <w:pageBreakBefore w:val="0"/>
              <w:widowControl/>
              <w:kinsoku/>
              <w:wordWrap/>
              <w:overflowPunct/>
              <w:topLinePunct w:val="0"/>
              <w:autoSpaceDE/>
              <w:autoSpaceDN/>
              <w:bidi w:val="0"/>
              <w:ind w:left="0" w:right="0"/>
              <w:jc w:val="center"/>
              <w:rPr>
                <w:rFonts w:ascii="Times New Roman" w:hAnsi="Times New Roman" w:cs="Times New Roman"/>
                <w:color w:val="auto"/>
                <w:sz w:val="21"/>
                <w:szCs w:val="21"/>
                <w:highlight w:val="none"/>
                <w:lang w:eastAsia="en-US"/>
              </w:rPr>
            </w:pPr>
          </w:p>
        </w:tc>
        <w:tc>
          <w:tcPr>
            <w:tcW w:w="2682" w:type="dxa"/>
            <w:gridSpan w:val="2"/>
            <w:tcBorders>
              <w:tl2br w:val="nil"/>
              <w:tr2bl w:val="nil"/>
            </w:tcBorders>
            <w:vAlign w:val="center"/>
          </w:tcPr>
          <w:p w14:paraId="6A1C7F88">
            <w:pPr>
              <w:pStyle w:val="236"/>
              <w:keepNext w:val="0"/>
              <w:keepLines w:val="0"/>
              <w:pageBreakBefore w:val="0"/>
              <w:widowControl/>
              <w:kinsoku/>
              <w:wordWrap/>
              <w:overflowPunct/>
              <w:topLinePunct w:val="0"/>
              <w:autoSpaceDE/>
              <w:autoSpaceDN/>
              <w:bidi w:val="0"/>
              <w:ind w:left="0" w:right="0"/>
              <w:jc w:val="center"/>
              <w:rPr>
                <w:rFonts w:ascii="Times New Roman" w:hAnsi="Times New Roman" w:eastAsia="宋体" w:cs="Times New Roman"/>
                <w:color w:val="auto"/>
                <w:sz w:val="21"/>
                <w:szCs w:val="21"/>
                <w:highlight w:val="none"/>
              </w:rPr>
            </w:pPr>
            <w:r>
              <w:rPr>
                <w:rFonts w:ascii="Times New Roman" w:hAnsi="Times New Roman" w:eastAsia="宋体" w:cs="Times New Roman"/>
                <w:color w:val="auto"/>
                <w:spacing w:val="8"/>
                <w:sz w:val="21"/>
                <w:szCs w:val="21"/>
                <w:highlight w:val="none"/>
              </w:rPr>
              <w:t>环氧丙烯酸树脂</w:t>
            </w:r>
          </w:p>
        </w:tc>
        <w:tc>
          <w:tcPr>
            <w:tcW w:w="966" w:type="dxa"/>
            <w:tcBorders>
              <w:tl2br w:val="nil"/>
              <w:tr2bl w:val="nil"/>
            </w:tcBorders>
            <w:vAlign w:val="center"/>
          </w:tcPr>
          <w:p w14:paraId="3FFB6912">
            <w:pPr>
              <w:pStyle w:val="236"/>
              <w:keepNext w:val="0"/>
              <w:keepLines w:val="0"/>
              <w:pageBreakBefore w:val="0"/>
              <w:widowControl/>
              <w:kinsoku/>
              <w:wordWrap/>
              <w:overflowPunct/>
              <w:topLinePunct w:val="0"/>
              <w:autoSpaceDE/>
              <w:autoSpaceDN/>
              <w:bidi w:val="0"/>
              <w:ind w:left="0" w:right="0"/>
              <w:jc w:val="center"/>
              <w:rPr>
                <w:rFonts w:ascii="Times New Roman" w:hAnsi="Times New Roman" w:eastAsia="宋体" w:cs="Times New Roman"/>
                <w:color w:val="auto"/>
                <w:sz w:val="21"/>
                <w:szCs w:val="21"/>
                <w:highlight w:val="none"/>
              </w:rPr>
            </w:pPr>
            <w:r>
              <w:rPr>
                <w:rFonts w:ascii="Times New Roman" w:hAnsi="Times New Roman" w:eastAsia="宋体" w:cs="Times New Roman"/>
                <w:color w:val="auto"/>
                <w:spacing w:val="3"/>
                <w:sz w:val="21"/>
                <w:szCs w:val="21"/>
                <w:highlight w:val="none"/>
              </w:rPr>
              <w:t>液体</w:t>
            </w:r>
          </w:p>
        </w:tc>
        <w:tc>
          <w:tcPr>
            <w:tcW w:w="1198" w:type="dxa"/>
            <w:tcBorders>
              <w:tl2br w:val="nil"/>
              <w:tr2bl w:val="nil"/>
            </w:tcBorders>
            <w:vAlign w:val="center"/>
          </w:tcPr>
          <w:p w14:paraId="0C8A37AE">
            <w:pPr>
              <w:keepNext w:val="0"/>
              <w:keepLines w:val="0"/>
              <w:widowControl/>
              <w:suppressLineNumbers w:val="0"/>
              <w:autoSpaceDE w:val="0"/>
              <w:autoSpaceDN w:val="0"/>
              <w:jc w:val="center"/>
              <w:textAlignment w:val="center"/>
              <w:rPr>
                <w:rFonts w:ascii="Times New Roman" w:hAnsi="Times New Roman" w:cs="Times New Roman"/>
                <w:color w:val="auto"/>
                <w:sz w:val="21"/>
                <w:szCs w:val="21"/>
                <w:highlight w:val="none"/>
                <w:lang w:eastAsia="en-US"/>
              </w:rPr>
            </w:pPr>
            <w:r>
              <w:rPr>
                <w:rFonts w:hint="default" w:ascii="Times New Roman" w:hAnsi="Times New Roman" w:eastAsia="等线" w:cs="Times New Roman"/>
                <w:i w:val="0"/>
                <w:iCs w:val="0"/>
                <w:color w:val="auto"/>
                <w:kern w:val="0"/>
                <w:sz w:val="21"/>
                <w:szCs w:val="21"/>
                <w:highlight w:val="none"/>
                <w:u w:val="none"/>
                <w:lang w:val="en-US" w:eastAsia="zh-CN" w:bidi="ar"/>
              </w:rPr>
              <w:t>45</w:t>
            </w:r>
          </w:p>
        </w:tc>
        <w:tc>
          <w:tcPr>
            <w:tcW w:w="1588" w:type="dxa"/>
            <w:tcBorders>
              <w:tl2br w:val="nil"/>
              <w:tr2bl w:val="nil"/>
            </w:tcBorders>
            <w:vAlign w:val="center"/>
          </w:tcPr>
          <w:p w14:paraId="6E82BCD1">
            <w:pPr>
              <w:keepNext w:val="0"/>
              <w:keepLines w:val="0"/>
              <w:pageBreakBefore w:val="0"/>
              <w:widowControl/>
              <w:kinsoku/>
              <w:wordWrap/>
              <w:overflowPunct/>
              <w:topLinePunct w:val="0"/>
              <w:autoSpaceDE/>
              <w:autoSpaceDN/>
              <w:bidi w:val="0"/>
              <w:ind w:left="0" w:right="0"/>
              <w:jc w:val="center"/>
              <w:rPr>
                <w:rFonts w:ascii="Times New Roman" w:hAnsi="Times New Roman" w:cs="Times New Roman"/>
                <w:color w:val="auto"/>
                <w:sz w:val="21"/>
                <w:szCs w:val="21"/>
                <w:highlight w:val="none"/>
                <w:lang w:eastAsia="en-US"/>
              </w:rPr>
            </w:pPr>
            <w:r>
              <w:rPr>
                <w:rFonts w:hint="eastAsia" w:ascii="Times New Roman" w:hAnsi="Times New Roman" w:cs="Times New Roman"/>
                <w:color w:val="auto"/>
                <w:spacing w:val="7"/>
                <w:sz w:val="21"/>
                <w:szCs w:val="21"/>
                <w:highlight w:val="none"/>
                <w:lang w:eastAsia="en-US"/>
              </w:rPr>
              <w:t>1</w:t>
            </w:r>
            <w:r>
              <w:rPr>
                <w:rFonts w:ascii="Times New Roman" w:hAnsi="Times New Roman" w:cs="Times New Roman"/>
                <w:color w:val="auto"/>
                <w:spacing w:val="7"/>
                <w:sz w:val="21"/>
                <w:szCs w:val="21"/>
                <w:highlight w:val="none"/>
                <w:lang w:eastAsia="en-US"/>
              </w:rPr>
              <w:t>00</w:t>
            </w:r>
            <w:r>
              <w:rPr>
                <w:rFonts w:hint="eastAsia" w:ascii="Times New Roman" w:hAnsi="Times New Roman" w:cs="Times New Roman"/>
                <w:color w:val="auto"/>
                <w:spacing w:val="7"/>
                <w:sz w:val="21"/>
                <w:szCs w:val="21"/>
                <w:highlight w:val="none"/>
                <w:lang w:eastAsia="en-US"/>
              </w:rPr>
              <w:t>*</w:t>
            </w:r>
          </w:p>
        </w:tc>
        <w:tc>
          <w:tcPr>
            <w:tcW w:w="1379" w:type="dxa"/>
            <w:tcBorders>
              <w:tl2br w:val="nil"/>
              <w:tr2bl w:val="nil"/>
            </w:tcBorders>
            <w:vAlign w:val="center"/>
          </w:tcPr>
          <w:p w14:paraId="4E7A962F">
            <w:pPr>
              <w:keepNext w:val="0"/>
              <w:keepLines w:val="0"/>
              <w:widowControl/>
              <w:suppressLineNumbers w:val="0"/>
              <w:autoSpaceDE w:val="0"/>
              <w:autoSpaceDN w:val="0"/>
              <w:jc w:val="center"/>
              <w:textAlignment w:val="center"/>
              <w:rPr>
                <w:rFonts w:ascii="Times New Roman" w:hAnsi="Times New Roman" w:cs="Times New Roman"/>
                <w:color w:val="auto"/>
                <w:sz w:val="21"/>
                <w:szCs w:val="21"/>
                <w:highlight w:val="none"/>
                <w:lang w:eastAsia="en-US"/>
              </w:rPr>
            </w:pPr>
            <w:r>
              <w:rPr>
                <w:rFonts w:hint="default" w:ascii="Times New Roman" w:hAnsi="Times New Roman" w:eastAsia="等线" w:cs="Times New Roman"/>
                <w:i w:val="0"/>
                <w:iCs w:val="0"/>
                <w:color w:val="auto"/>
                <w:kern w:val="0"/>
                <w:sz w:val="21"/>
                <w:szCs w:val="21"/>
                <w:highlight w:val="none"/>
                <w:u w:val="none"/>
                <w:lang w:val="en-US" w:eastAsia="zh-CN" w:bidi="ar"/>
              </w:rPr>
              <w:t>0.45</w:t>
            </w:r>
          </w:p>
        </w:tc>
      </w:tr>
      <w:tr w14:paraId="656087A9">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691" w:type="dxa"/>
            <w:vMerge w:val="continue"/>
            <w:tcBorders>
              <w:tl2br w:val="nil"/>
              <w:tr2bl w:val="nil"/>
            </w:tcBorders>
            <w:vAlign w:val="center"/>
          </w:tcPr>
          <w:p w14:paraId="51571F83">
            <w:pPr>
              <w:keepNext w:val="0"/>
              <w:keepLines w:val="0"/>
              <w:pageBreakBefore w:val="0"/>
              <w:widowControl/>
              <w:kinsoku/>
              <w:wordWrap/>
              <w:overflowPunct/>
              <w:topLinePunct w:val="0"/>
              <w:autoSpaceDE/>
              <w:autoSpaceDN/>
              <w:bidi w:val="0"/>
              <w:ind w:left="0" w:right="0"/>
              <w:jc w:val="center"/>
              <w:rPr>
                <w:rFonts w:ascii="Times New Roman" w:hAnsi="Times New Roman" w:cs="Times New Roman"/>
                <w:color w:val="auto"/>
                <w:sz w:val="21"/>
                <w:szCs w:val="21"/>
                <w:highlight w:val="none"/>
                <w:lang w:eastAsia="en-US"/>
              </w:rPr>
            </w:pPr>
          </w:p>
        </w:tc>
        <w:tc>
          <w:tcPr>
            <w:tcW w:w="2682" w:type="dxa"/>
            <w:gridSpan w:val="2"/>
            <w:tcBorders>
              <w:tl2br w:val="nil"/>
              <w:tr2bl w:val="nil"/>
            </w:tcBorders>
            <w:vAlign w:val="center"/>
          </w:tcPr>
          <w:p w14:paraId="30DCEC3F">
            <w:pPr>
              <w:pStyle w:val="236"/>
              <w:keepNext w:val="0"/>
              <w:keepLines w:val="0"/>
              <w:pageBreakBefore w:val="0"/>
              <w:widowControl/>
              <w:kinsoku/>
              <w:wordWrap/>
              <w:overflowPunct/>
              <w:topLinePunct w:val="0"/>
              <w:autoSpaceDE/>
              <w:autoSpaceDN/>
              <w:bidi w:val="0"/>
              <w:ind w:left="0" w:right="0"/>
              <w:jc w:val="center"/>
              <w:rPr>
                <w:rFonts w:ascii="Times New Roman" w:hAnsi="Times New Roman" w:eastAsia="宋体" w:cs="Times New Roman"/>
                <w:color w:val="auto"/>
                <w:spacing w:val="8"/>
                <w:sz w:val="21"/>
                <w:szCs w:val="21"/>
                <w:highlight w:val="none"/>
                <w:lang w:eastAsia="zh-CN"/>
              </w:rPr>
            </w:pPr>
            <w:r>
              <w:rPr>
                <w:rFonts w:hint="eastAsia" w:ascii="Times New Roman" w:hAnsi="Times New Roman" w:eastAsia="宋体" w:cs="Times New Roman"/>
                <w:color w:val="auto"/>
                <w:spacing w:val="8"/>
                <w:sz w:val="21"/>
                <w:szCs w:val="21"/>
                <w:highlight w:val="none"/>
                <w:lang w:eastAsia="zh-CN"/>
              </w:rPr>
              <w:t>剥离液</w:t>
            </w:r>
          </w:p>
        </w:tc>
        <w:tc>
          <w:tcPr>
            <w:tcW w:w="966" w:type="dxa"/>
            <w:tcBorders>
              <w:tl2br w:val="nil"/>
              <w:tr2bl w:val="nil"/>
            </w:tcBorders>
            <w:vAlign w:val="center"/>
          </w:tcPr>
          <w:p w14:paraId="730D9C2E">
            <w:pPr>
              <w:pStyle w:val="236"/>
              <w:keepNext w:val="0"/>
              <w:keepLines w:val="0"/>
              <w:pageBreakBefore w:val="0"/>
              <w:widowControl/>
              <w:kinsoku/>
              <w:wordWrap/>
              <w:overflowPunct/>
              <w:topLinePunct w:val="0"/>
              <w:autoSpaceDE/>
              <w:autoSpaceDN/>
              <w:bidi w:val="0"/>
              <w:ind w:left="0" w:right="0"/>
              <w:jc w:val="center"/>
              <w:rPr>
                <w:rFonts w:ascii="Times New Roman" w:hAnsi="Times New Roman" w:eastAsia="宋体" w:cs="Times New Roman"/>
                <w:color w:val="auto"/>
                <w:spacing w:val="3"/>
                <w:sz w:val="21"/>
                <w:szCs w:val="21"/>
                <w:highlight w:val="none"/>
                <w:lang w:eastAsia="zh-CN"/>
              </w:rPr>
            </w:pPr>
            <w:r>
              <w:rPr>
                <w:rFonts w:hint="eastAsia" w:ascii="Times New Roman" w:hAnsi="Times New Roman" w:eastAsia="宋体" w:cs="Times New Roman"/>
                <w:color w:val="auto"/>
                <w:spacing w:val="3"/>
                <w:sz w:val="21"/>
                <w:szCs w:val="21"/>
                <w:highlight w:val="none"/>
                <w:lang w:eastAsia="zh-CN"/>
              </w:rPr>
              <w:t>液体</w:t>
            </w:r>
          </w:p>
        </w:tc>
        <w:tc>
          <w:tcPr>
            <w:tcW w:w="1198" w:type="dxa"/>
            <w:tcBorders>
              <w:tl2br w:val="nil"/>
              <w:tr2bl w:val="nil"/>
            </w:tcBorders>
            <w:vAlign w:val="center"/>
          </w:tcPr>
          <w:p w14:paraId="19C63C7E">
            <w:pPr>
              <w:keepNext w:val="0"/>
              <w:keepLines w:val="0"/>
              <w:widowControl/>
              <w:suppressLineNumbers w:val="0"/>
              <w:autoSpaceDE w:val="0"/>
              <w:autoSpaceDN w:val="0"/>
              <w:jc w:val="center"/>
              <w:textAlignment w:val="center"/>
              <w:rPr>
                <w:rFonts w:ascii="Times New Roman" w:hAnsi="Times New Roman" w:cs="Times New Roman"/>
                <w:color w:val="auto"/>
                <w:spacing w:val="3"/>
                <w:sz w:val="21"/>
                <w:szCs w:val="21"/>
                <w:highlight w:val="none"/>
                <w:lang w:eastAsia="en-US"/>
              </w:rPr>
            </w:pPr>
            <w:r>
              <w:rPr>
                <w:rFonts w:hint="default" w:ascii="Times New Roman" w:hAnsi="Times New Roman" w:eastAsia="等线" w:cs="Times New Roman"/>
                <w:i w:val="0"/>
                <w:iCs w:val="0"/>
                <w:color w:val="auto"/>
                <w:kern w:val="0"/>
                <w:sz w:val="21"/>
                <w:szCs w:val="21"/>
                <w:highlight w:val="none"/>
                <w:u w:val="none"/>
                <w:lang w:val="en-US" w:eastAsia="zh-CN" w:bidi="ar"/>
              </w:rPr>
              <w:t>50</w:t>
            </w:r>
          </w:p>
        </w:tc>
        <w:tc>
          <w:tcPr>
            <w:tcW w:w="1588" w:type="dxa"/>
            <w:tcBorders>
              <w:tl2br w:val="nil"/>
              <w:tr2bl w:val="nil"/>
            </w:tcBorders>
            <w:vAlign w:val="center"/>
          </w:tcPr>
          <w:p w14:paraId="748F5EB9">
            <w:pPr>
              <w:keepNext w:val="0"/>
              <w:keepLines w:val="0"/>
              <w:pageBreakBefore w:val="0"/>
              <w:widowControl/>
              <w:kinsoku/>
              <w:wordWrap/>
              <w:overflowPunct/>
              <w:topLinePunct w:val="0"/>
              <w:autoSpaceDE/>
              <w:autoSpaceDN/>
              <w:bidi w:val="0"/>
              <w:ind w:left="0" w:right="0"/>
              <w:jc w:val="center"/>
              <w:rPr>
                <w:rFonts w:ascii="Times New Roman" w:hAnsi="Times New Roman" w:cs="Times New Roman"/>
                <w:color w:val="auto"/>
                <w:spacing w:val="7"/>
                <w:sz w:val="21"/>
                <w:szCs w:val="21"/>
                <w:highlight w:val="none"/>
                <w:lang w:eastAsia="en-US"/>
              </w:rPr>
            </w:pPr>
            <w:r>
              <w:rPr>
                <w:rFonts w:hint="eastAsia" w:ascii="Times New Roman" w:hAnsi="Times New Roman" w:cs="Times New Roman"/>
                <w:color w:val="auto"/>
                <w:spacing w:val="7"/>
                <w:sz w:val="21"/>
                <w:szCs w:val="21"/>
                <w:highlight w:val="none"/>
                <w:lang w:eastAsia="en-US"/>
              </w:rPr>
              <w:t>1</w:t>
            </w:r>
            <w:r>
              <w:rPr>
                <w:rFonts w:ascii="Times New Roman" w:hAnsi="Times New Roman" w:cs="Times New Roman"/>
                <w:color w:val="auto"/>
                <w:spacing w:val="7"/>
                <w:sz w:val="21"/>
                <w:szCs w:val="21"/>
                <w:highlight w:val="none"/>
                <w:lang w:eastAsia="en-US"/>
              </w:rPr>
              <w:t>00</w:t>
            </w:r>
            <w:r>
              <w:rPr>
                <w:rFonts w:hint="eastAsia" w:ascii="Times New Roman" w:hAnsi="Times New Roman" w:cs="Times New Roman"/>
                <w:color w:val="auto"/>
                <w:spacing w:val="7"/>
                <w:sz w:val="21"/>
                <w:szCs w:val="21"/>
                <w:highlight w:val="none"/>
                <w:lang w:eastAsia="en-US"/>
              </w:rPr>
              <w:t>*</w:t>
            </w:r>
          </w:p>
        </w:tc>
        <w:tc>
          <w:tcPr>
            <w:tcW w:w="1379" w:type="dxa"/>
            <w:tcBorders>
              <w:tl2br w:val="nil"/>
              <w:tr2bl w:val="nil"/>
            </w:tcBorders>
            <w:vAlign w:val="center"/>
          </w:tcPr>
          <w:p w14:paraId="277FD3FA">
            <w:pPr>
              <w:keepNext w:val="0"/>
              <w:keepLines w:val="0"/>
              <w:widowControl/>
              <w:suppressLineNumbers w:val="0"/>
              <w:autoSpaceDE w:val="0"/>
              <w:autoSpaceDN w:val="0"/>
              <w:jc w:val="center"/>
              <w:textAlignment w:val="center"/>
              <w:rPr>
                <w:rFonts w:ascii="Times New Roman" w:hAnsi="Times New Roman" w:cs="Times New Roman"/>
                <w:color w:val="auto"/>
                <w:sz w:val="21"/>
                <w:szCs w:val="21"/>
                <w:highlight w:val="none"/>
                <w:lang w:eastAsia="en-US"/>
              </w:rPr>
            </w:pPr>
            <w:r>
              <w:rPr>
                <w:rFonts w:hint="default" w:ascii="Times New Roman" w:hAnsi="Times New Roman" w:eastAsia="等线" w:cs="Times New Roman"/>
                <w:i w:val="0"/>
                <w:iCs w:val="0"/>
                <w:color w:val="auto"/>
                <w:kern w:val="0"/>
                <w:sz w:val="21"/>
                <w:szCs w:val="21"/>
                <w:highlight w:val="none"/>
                <w:u w:val="none"/>
                <w:lang w:val="en-US" w:eastAsia="zh-CN" w:bidi="ar"/>
              </w:rPr>
              <w:t>0.5</w:t>
            </w:r>
          </w:p>
        </w:tc>
      </w:tr>
      <w:tr w14:paraId="227EAFEA">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691" w:type="dxa"/>
            <w:tcBorders>
              <w:tl2br w:val="nil"/>
              <w:tr2bl w:val="nil"/>
            </w:tcBorders>
            <w:vAlign w:val="center"/>
          </w:tcPr>
          <w:p w14:paraId="11C50455">
            <w:pPr>
              <w:pStyle w:val="236"/>
              <w:keepNext w:val="0"/>
              <w:keepLines w:val="0"/>
              <w:pageBreakBefore w:val="0"/>
              <w:widowControl/>
              <w:kinsoku/>
              <w:wordWrap/>
              <w:overflowPunct/>
              <w:topLinePunct w:val="0"/>
              <w:autoSpaceDE/>
              <w:autoSpaceDN/>
              <w:bidi w:val="0"/>
              <w:ind w:left="0" w:right="0"/>
              <w:jc w:val="center"/>
              <w:rPr>
                <w:rFonts w:ascii="Times New Roman" w:hAnsi="Times New Roman" w:eastAsia="宋体" w:cs="Times New Roman"/>
                <w:color w:val="auto"/>
                <w:sz w:val="21"/>
                <w:szCs w:val="21"/>
                <w:highlight w:val="none"/>
              </w:rPr>
            </w:pPr>
            <w:r>
              <w:rPr>
                <w:rFonts w:ascii="Times New Roman" w:hAnsi="Times New Roman" w:eastAsia="宋体" w:cs="Times New Roman"/>
                <w:color w:val="auto"/>
                <w:spacing w:val="3"/>
                <w:sz w:val="21"/>
                <w:szCs w:val="21"/>
                <w:highlight w:val="none"/>
              </w:rPr>
              <w:t>辅助生产原料</w:t>
            </w:r>
          </w:p>
        </w:tc>
        <w:tc>
          <w:tcPr>
            <w:tcW w:w="734" w:type="dxa"/>
            <w:tcBorders>
              <w:tl2br w:val="nil"/>
              <w:tr2bl w:val="nil"/>
            </w:tcBorders>
            <w:vAlign w:val="center"/>
          </w:tcPr>
          <w:p w14:paraId="566A08D1">
            <w:pPr>
              <w:pStyle w:val="236"/>
              <w:keepNext w:val="0"/>
              <w:keepLines w:val="0"/>
              <w:pageBreakBefore w:val="0"/>
              <w:widowControl/>
              <w:kinsoku/>
              <w:wordWrap/>
              <w:overflowPunct/>
              <w:topLinePunct w:val="0"/>
              <w:autoSpaceDE/>
              <w:autoSpaceDN/>
              <w:bidi w:val="0"/>
              <w:ind w:left="0" w:right="0"/>
              <w:jc w:val="center"/>
              <w:rPr>
                <w:rFonts w:ascii="Times New Roman" w:hAnsi="Times New Roman" w:eastAsia="宋体" w:cs="Times New Roman"/>
                <w:color w:val="auto"/>
                <w:sz w:val="21"/>
                <w:szCs w:val="21"/>
                <w:highlight w:val="none"/>
                <w:lang w:eastAsia="zh-CN"/>
              </w:rPr>
            </w:pPr>
            <w:r>
              <w:rPr>
                <w:rFonts w:hint="eastAsia" w:ascii="Times New Roman" w:hAnsi="Times New Roman" w:eastAsia="宋体" w:cs="Times New Roman"/>
                <w:color w:val="auto"/>
                <w:spacing w:val="4"/>
                <w:sz w:val="21"/>
                <w:szCs w:val="21"/>
                <w:highlight w:val="none"/>
                <w:lang w:eastAsia="zh-CN"/>
              </w:rPr>
              <w:t>铲车</w:t>
            </w:r>
          </w:p>
        </w:tc>
        <w:tc>
          <w:tcPr>
            <w:tcW w:w="1948" w:type="dxa"/>
            <w:tcBorders>
              <w:tl2br w:val="nil"/>
              <w:tr2bl w:val="nil"/>
            </w:tcBorders>
            <w:vAlign w:val="center"/>
          </w:tcPr>
          <w:p w14:paraId="67DBD97C">
            <w:pPr>
              <w:pStyle w:val="236"/>
              <w:keepNext w:val="0"/>
              <w:keepLines w:val="0"/>
              <w:pageBreakBefore w:val="0"/>
              <w:widowControl/>
              <w:kinsoku/>
              <w:wordWrap/>
              <w:overflowPunct/>
              <w:topLinePunct w:val="0"/>
              <w:autoSpaceDE/>
              <w:autoSpaceDN/>
              <w:bidi w:val="0"/>
              <w:ind w:left="0" w:right="0"/>
              <w:jc w:val="center"/>
              <w:rPr>
                <w:rFonts w:ascii="Times New Roman" w:hAnsi="Times New Roman" w:eastAsia="宋体" w:cs="Times New Roman"/>
                <w:color w:val="auto"/>
                <w:sz w:val="21"/>
                <w:szCs w:val="21"/>
                <w:highlight w:val="none"/>
              </w:rPr>
            </w:pPr>
            <w:r>
              <w:rPr>
                <w:rFonts w:ascii="Times New Roman" w:hAnsi="Times New Roman" w:eastAsia="宋体" w:cs="Times New Roman"/>
                <w:color w:val="auto"/>
                <w:spacing w:val="4"/>
                <w:sz w:val="21"/>
                <w:szCs w:val="21"/>
                <w:highlight w:val="none"/>
              </w:rPr>
              <w:t>柴油</w:t>
            </w:r>
          </w:p>
        </w:tc>
        <w:tc>
          <w:tcPr>
            <w:tcW w:w="966" w:type="dxa"/>
            <w:tcBorders>
              <w:tl2br w:val="nil"/>
              <w:tr2bl w:val="nil"/>
            </w:tcBorders>
            <w:vAlign w:val="center"/>
          </w:tcPr>
          <w:p w14:paraId="7472A49B">
            <w:pPr>
              <w:pStyle w:val="236"/>
              <w:keepNext w:val="0"/>
              <w:keepLines w:val="0"/>
              <w:pageBreakBefore w:val="0"/>
              <w:widowControl/>
              <w:kinsoku/>
              <w:wordWrap/>
              <w:overflowPunct/>
              <w:topLinePunct w:val="0"/>
              <w:autoSpaceDE/>
              <w:autoSpaceDN/>
              <w:bidi w:val="0"/>
              <w:ind w:left="0" w:right="0"/>
              <w:jc w:val="center"/>
              <w:rPr>
                <w:rFonts w:ascii="Times New Roman" w:hAnsi="Times New Roman" w:eastAsia="宋体" w:cs="Times New Roman"/>
                <w:color w:val="auto"/>
                <w:sz w:val="21"/>
                <w:szCs w:val="21"/>
                <w:highlight w:val="none"/>
              </w:rPr>
            </w:pPr>
            <w:r>
              <w:rPr>
                <w:rFonts w:ascii="Times New Roman" w:hAnsi="Times New Roman" w:eastAsia="宋体" w:cs="Times New Roman"/>
                <w:color w:val="auto"/>
                <w:spacing w:val="3"/>
                <w:sz w:val="21"/>
                <w:szCs w:val="21"/>
                <w:highlight w:val="none"/>
              </w:rPr>
              <w:t>液体</w:t>
            </w:r>
          </w:p>
        </w:tc>
        <w:tc>
          <w:tcPr>
            <w:tcW w:w="1198" w:type="dxa"/>
            <w:tcBorders>
              <w:tl2br w:val="nil"/>
              <w:tr2bl w:val="nil"/>
            </w:tcBorders>
            <w:vAlign w:val="center"/>
          </w:tcPr>
          <w:p w14:paraId="1DCBCC8E">
            <w:pPr>
              <w:keepNext w:val="0"/>
              <w:keepLines w:val="0"/>
              <w:widowControl/>
              <w:suppressLineNumbers w:val="0"/>
              <w:autoSpaceDE w:val="0"/>
              <w:autoSpaceDN w:val="0"/>
              <w:jc w:val="center"/>
              <w:textAlignment w:val="center"/>
              <w:rPr>
                <w:rFonts w:ascii="Times New Roman" w:hAnsi="Times New Roman" w:cs="Times New Roman"/>
                <w:color w:val="auto"/>
                <w:sz w:val="21"/>
                <w:szCs w:val="21"/>
                <w:highlight w:val="none"/>
                <w:lang w:eastAsia="en-US"/>
              </w:rPr>
            </w:pPr>
            <w:r>
              <w:rPr>
                <w:rFonts w:hint="default" w:ascii="Times New Roman" w:hAnsi="Times New Roman" w:eastAsia="等线" w:cs="Times New Roman"/>
                <w:i w:val="0"/>
                <w:iCs w:val="0"/>
                <w:color w:val="auto"/>
                <w:kern w:val="0"/>
                <w:sz w:val="21"/>
                <w:szCs w:val="21"/>
                <w:highlight w:val="none"/>
                <w:u w:val="none"/>
                <w:lang w:val="en-US" w:eastAsia="zh-CN" w:bidi="ar"/>
              </w:rPr>
              <w:t>10.65</w:t>
            </w:r>
          </w:p>
        </w:tc>
        <w:tc>
          <w:tcPr>
            <w:tcW w:w="1588" w:type="dxa"/>
            <w:tcBorders>
              <w:tl2br w:val="nil"/>
              <w:tr2bl w:val="nil"/>
            </w:tcBorders>
            <w:vAlign w:val="center"/>
          </w:tcPr>
          <w:p w14:paraId="356D1847">
            <w:pPr>
              <w:pStyle w:val="236"/>
              <w:keepNext w:val="0"/>
              <w:keepLines w:val="0"/>
              <w:pageBreakBefore w:val="0"/>
              <w:widowControl/>
              <w:kinsoku/>
              <w:wordWrap/>
              <w:overflowPunct/>
              <w:topLinePunct w:val="0"/>
              <w:autoSpaceDE/>
              <w:autoSpaceDN/>
              <w:bidi w:val="0"/>
              <w:ind w:left="0" w:right="0"/>
              <w:jc w:val="center"/>
              <w:rPr>
                <w:rFonts w:ascii="Times New Roman" w:hAnsi="Times New Roman" w:eastAsia="宋体" w:cs="Times New Roman"/>
                <w:color w:val="auto"/>
                <w:sz w:val="21"/>
                <w:szCs w:val="21"/>
                <w:highlight w:val="none"/>
              </w:rPr>
            </w:pPr>
            <w:r>
              <w:rPr>
                <w:rFonts w:ascii="Times New Roman" w:hAnsi="Times New Roman" w:eastAsia="宋体" w:cs="Times New Roman"/>
                <w:color w:val="auto"/>
                <w:spacing w:val="6"/>
                <w:sz w:val="21"/>
                <w:szCs w:val="21"/>
                <w:highlight w:val="none"/>
              </w:rPr>
              <w:t>2500</w:t>
            </w:r>
            <w:r>
              <w:rPr>
                <w:rFonts w:hint="eastAsia" w:ascii="Times New Roman" w:hAnsi="Times New Roman" w:eastAsia="宋体" w:cs="Times New Roman"/>
                <w:color w:val="auto"/>
                <w:spacing w:val="6"/>
                <w:sz w:val="21"/>
                <w:szCs w:val="21"/>
                <w:highlight w:val="none"/>
                <w:lang w:eastAsia="zh-CN"/>
              </w:rPr>
              <w:t>***</w:t>
            </w:r>
          </w:p>
        </w:tc>
        <w:tc>
          <w:tcPr>
            <w:tcW w:w="1379" w:type="dxa"/>
            <w:tcBorders>
              <w:tl2br w:val="nil"/>
              <w:tr2bl w:val="nil"/>
            </w:tcBorders>
            <w:vAlign w:val="center"/>
          </w:tcPr>
          <w:p w14:paraId="220C34EE">
            <w:pPr>
              <w:keepNext w:val="0"/>
              <w:keepLines w:val="0"/>
              <w:widowControl/>
              <w:suppressLineNumbers w:val="0"/>
              <w:autoSpaceDE w:val="0"/>
              <w:autoSpaceDN w:val="0"/>
              <w:jc w:val="center"/>
              <w:textAlignment w:val="center"/>
              <w:rPr>
                <w:rFonts w:ascii="Times New Roman" w:hAnsi="Times New Roman" w:cs="Times New Roman"/>
                <w:color w:val="auto"/>
                <w:sz w:val="21"/>
                <w:szCs w:val="21"/>
                <w:highlight w:val="none"/>
                <w:lang w:eastAsia="en-US"/>
              </w:rPr>
            </w:pPr>
            <w:r>
              <w:rPr>
                <w:rFonts w:hint="default" w:ascii="Times New Roman" w:hAnsi="Times New Roman" w:eastAsia="等线" w:cs="Times New Roman"/>
                <w:i w:val="0"/>
                <w:iCs w:val="0"/>
                <w:color w:val="auto"/>
                <w:kern w:val="0"/>
                <w:sz w:val="21"/>
                <w:szCs w:val="21"/>
                <w:highlight w:val="none"/>
                <w:u w:val="none"/>
                <w:lang w:val="en-US" w:eastAsia="zh-CN" w:bidi="ar"/>
              </w:rPr>
              <w:t>0.00426</w:t>
            </w:r>
          </w:p>
        </w:tc>
      </w:tr>
      <w:tr w14:paraId="108936AB">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691" w:type="dxa"/>
            <w:vMerge w:val="restart"/>
            <w:tcBorders>
              <w:tl2br w:val="nil"/>
              <w:tr2bl w:val="nil"/>
            </w:tcBorders>
            <w:vAlign w:val="center"/>
          </w:tcPr>
          <w:p w14:paraId="2E787869">
            <w:pPr>
              <w:pStyle w:val="236"/>
              <w:keepNext w:val="0"/>
              <w:keepLines w:val="0"/>
              <w:pageBreakBefore w:val="0"/>
              <w:widowControl/>
              <w:kinsoku/>
              <w:wordWrap/>
              <w:overflowPunct/>
              <w:topLinePunct w:val="0"/>
              <w:autoSpaceDE/>
              <w:autoSpaceDN/>
              <w:bidi w:val="0"/>
              <w:ind w:left="0" w:right="0"/>
              <w:jc w:val="center"/>
              <w:rPr>
                <w:rFonts w:ascii="Times New Roman" w:hAnsi="Times New Roman" w:eastAsia="宋体" w:cs="Times New Roman"/>
                <w:color w:val="auto"/>
                <w:sz w:val="21"/>
                <w:szCs w:val="21"/>
                <w:highlight w:val="none"/>
              </w:rPr>
            </w:pPr>
            <w:r>
              <w:rPr>
                <w:rFonts w:ascii="Times New Roman" w:hAnsi="Times New Roman" w:eastAsia="宋体" w:cs="Times New Roman"/>
                <w:color w:val="auto"/>
                <w:spacing w:val="5"/>
                <w:sz w:val="21"/>
                <w:szCs w:val="21"/>
                <w:highlight w:val="none"/>
              </w:rPr>
              <w:t>废气</w:t>
            </w:r>
          </w:p>
        </w:tc>
        <w:tc>
          <w:tcPr>
            <w:tcW w:w="2682" w:type="dxa"/>
            <w:gridSpan w:val="2"/>
            <w:tcBorders>
              <w:tl2br w:val="nil"/>
              <w:tr2bl w:val="nil"/>
            </w:tcBorders>
            <w:vAlign w:val="center"/>
          </w:tcPr>
          <w:p w14:paraId="22469B9E">
            <w:pPr>
              <w:pStyle w:val="236"/>
              <w:keepNext w:val="0"/>
              <w:keepLines w:val="0"/>
              <w:pageBreakBefore w:val="0"/>
              <w:widowControl/>
              <w:kinsoku/>
              <w:wordWrap/>
              <w:overflowPunct/>
              <w:topLinePunct w:val="0"/>
              <w:autoSpaceDE/>
              <w:autoSpaceDN/>
              <w:bidi w:val="0"/>
              <w:ind w:left="0" w:right="0"/>
              <w:jc w:val="center"/>
              <w:rPr>
                <w:rFonts w:ascii="Times New Roman" w:hAnsi="Times New Roman" w:eastAsia="宋体" w:cs="Times New Roman"/>
                <w:color w:val="auto"/>
                <w:sz w:val="21"/>
                <w:szCs w:val="21"/>
                <w:highlight w:val="none"/>
                <w:lang w:eastAsia="zh-CN"/>
              </w:rPr>
            </w:pPr>
            <w:r>
              <w:rPr>
                <w:rFonts w:hint="eastAsia" w:ascii="Times New Roman" w:hAnsi="Times New Roman" w:eastAsia="宋体" w:cs="Times New Roman"/>
                <w:color w:val="auto"/>
                <w:sz w:val="21"/>
                <w:szCs w:val="21"/>
                <w:highlight w:val="none"/>
                <w:lang w:eastAsia="zh-CN"/>
              </w:rPr>
              <w:t>2-乙二醇单乙醚醋酸酯</w:t>
            </w:r>
          </w:p>
        </w:tc>
        <w:tc>
          <w:tcPr>
            <w:tcW w:w="966" w:type="dxa"/>
            <w:tcBorders>
              <w:tl2br w:val="nil"/>
              <w:tr2bl w:val="nil"/>
            </w:tcBorders>
            <w:vAlign w:val="center"/>
          </w:tcPr>
          <w:p w14:paraId="12BEAC8A">
            <w:pPr>
              <w:pStyle w:val="236"/>
              <w:keepNext w:val="0"/>
              <w:keepLines w:val="0"/>
              <w:pageBreakBefore w:val="0"/>
              <w:widowControl/>
              <w:kinsoku/>
              <w:wordWrap/>
              <w:overflowPunct/>
              <w:topLinePunct w:val="0"/>
              <w:autoSpaceDE/>
              <w:autoSpaceDN/>
              <w:bidi w:val="0"/>
              <w:ind w:left="0" w:right="0"/>
              <w:jc w:val="center"/>
              <w:rPr>
                <w:rFonts w:ascii="Times New Roman" w:hAnsi="Times New Roman" w:eastAsia="宋体" w:cs="Times New Roman"/>
                <w:color w:val="auto"/>
                <w:sz w:val="21"/>
                <w:szCs w:val="21"/>
                <w:highlight w:val="none"/>
              </w:rPr>
            </w:pPr>
            <w:r>
              <w:rPr>
                <w:rFonts w:ascii="Times New Roman" w:hAnsi="Times New Roman" w:eastAsia="宋体" w:cs="Times New Roman"/>
                <w:color w:val="auto"/>
                <w:spacing w:val="4"/>
                <w:sz w:val="21"/>
                <w:szCs w:val="21"/>
                <w:highlight w:val="none"/>
              </w:rPr>
              <w:t>气态</w:t>
            </w:r>
          </w:p>
        </w:tc>
        <w:tc>
          <w:tcPr>
            <w:tcW w:w="1198" w:type="dxa"/>
            <w:tcBorders>
              <w:tl2br w:val="nil"/>
              <w:tr2bl w:val="nil"/>
            </w:tcBorders>
            <w:vAlign w:val="center"/>
          </w:tcPr>
          <w:p w14:paraId="143D054D">
            <w:pPr>
              <w:keepNext w:val="0"/>
              <w:keepLines w:val="0"/>
              <w:widowControl/>
              <w:suppressLineNumbers w:val="0"/>
              <w:autoSpaceDE w:val="0"/>
              <w:autoSpaceDN w:val="0"/>
              <w:jc w:val="center"/>
              <w:textAlignment w:val="center"/>
              <w:rPr>
                <w:rFonts w:ascii="Times New Roman" w:hAnsi="Times New Roman" w:cs="Times New Roman"/>
                <w:color w:val="auto"/>
                <w:sz w:val="21"/>
                <w:szCs w:val="21"/>
                <w:highlight w:val="none"/>
                <w:lang w:eastAsia="en-US"/>
              </w:rPr>
            </w:pPr>
            <w:r>
              <w:rPr>
                <w:rFonts w:hint="default" w:ascii="Times New Roman" w:hAnsi="Times New Roman" w:eastAsia="等线" w:cs="Times New Roman"/>
                <w:i w:val="0"/>
                <w:iCs w:val="0"/>
                <w:color w:val="auto"/>
                <w:kern w:val="0"/>
                <w:sz w:val="21"/>
                <w:szCs w:val="21"/>
                <w:highlight w:val="none"/>
                <w:u w:val="none"/>
                <w:lang w:val="en-US" w:eastAsia="zh-CN" w:bidi="ar"/>
              </w:rPr>
              <w:t>/</w:t>
            </w:r>
          </w:p>
        </w:tc>
        <w:tc>
          <w:tcPr>
            <w:tcW w:w="1588" w:type="dxa"/>
            <w:tcBorders>
              <w:tl2br w:val="nil"/>
              <w:tr2bl w:val="nil"/>
            </w:tcBorders>
            <w:vAlign w:val="center"/>
          </w:tcPr>
          <w:p w14:paraId="6698C58B">
            <w:pPr>
              <w:keepNext w:val="0"/>
              <w:keepLines w:val="0"/>
              <w:pageBreakBefore w:val="0"/>
              <w:widowControl/>
              <w:kinsoku/>
              <w:wordWrap/>
              <w:overflowPunct/>
              <w:topLinePunct w:val="0"/>
              <w:autoSpaceDE/>
              <w:autoSpaceDN/>
              <w:bidi w:val="0"/>
              <w:ind w:left="0" w:right="0"/>
              <w:jc w:val="center"/>
              <w:rPr>
                <w:rFonts w:ascii="Times New Roman" w:hAnsi="Times New Roman" w:cs="Times New Roman"/>
                <w:color w:val="auto"/>
                <w:sz w:val="21"/>
                <w:szCs w:val="21"/>
                <w:highlight w:val="none"/>
                <w:lang w:eastAsia="en-US"/>
              </w:rPr>
            </w:pPr>
            <w:r>
              <w:rPr>
                <w:rFonts w:hint="eastAsia" w:ascii="Times New Roman" w:hAnsi="Times New Roman" w:cs="Times New Roman"/>
                <w:color w:val="auto"/>
                <w:sz w:val="21"/>
                <w:szCs w:val="21"/>
                <w:highlight w:val="none"/>
                <w:lang w:eastAsia="en-US"/>
              </w:rPr>
              <w:t>/</w:t>
            </w:r>
          </w:p>
        </w:tc>
        <w:tc>
          <w:tcPr>
            <w:tcW w:w="1379" w:type="dxa"/>
            <w:tcBorders>
              <w:tl2br w:val="nil"/>
              <w:tr2bl w:val="nil"/>
            </w:tcBorders>
            <w:vAlign w:val="center"/>
          </w:tcPr>
          <w:p w14:paraId="5F26BA7A">
            <w:pPr>
              <w:keepNext w:val="0"/>
              <w:keepLines w:val="0"/>
              <w:widowControl/>
              <w:suppressLineNumbers w:val="0"/>
              <w:autoSpaceDE w:val="0"/>
              <w:autoSpaceDN w:val="0"/>
              <w:jc w:val="center"/>
              <w:textAlignment w:val="center"/>
              <w:rPr>
                <w:rFonts w:ascii="Times New Roman" w:hAnsi="Times New Roman" w:cs="Times New Roman"/>
                <w:color w:val="auto"/>
                <w:sz w:val="21"/>
                <w:szCs w:val="21"/>
                <w:highlight w:val="none"/>
                <w:lang w:eastAsia="en-US"/>
              </w:rPr>
            </w:pPr>
            <w:r>
              <w:rPr>
                <w:rFonts w:hint="default" w:ascii="Times New Roman" w:hAnsi="Times New Roman" w:eastAsia="等线" w:cs="Times New Roman"/>
                <w:i w:val="0"/>
                <w:iCs w:val="0"/>
                <w:color w:val="auto"/>
                <w:kern w:val="0"/>
                <w:sz w:val="21"/>
                <w:szCs w:val="21"/>
                <w:highlight w:val="none"/>
                <w:u w:val="none"/>
                <w:lang w:val="en-US" w:eastAsia="zh-CN" w:bidi="ar"/>
              </w:rPr>
              <w:t>/</w:t>
            </w:r>
          </w:p>
        </w:tc>
      </w:tr>
      <w:tr w14:paraId="30C45474">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691" w:type="dxa"/>
            <w:vMerge w:val="continue"/>
            <w:tcBorders>
              <w:tl2br w:val="nil"/>
              <w:tr2bl w:val="nil"/>
            </w:tcBorders>
            <w:vAlign w:val="center"/>
          </w:tcPr>
          <w:p w14:paraId="476A2E04">
            <w:pPr>
              <w:pStyle w:val="236"/>
              <w:keepNext w:val="0"/>
              <w:keepLines w:val="0"/>
              <w:pageBreakBefore w:val="0"/>
              <w:widowControl/>
              <w:kinsoku/>
              <w:wordWrap/>
              <w:overflowPunct/>
              <w:topLinePunct w:val="0"/>
              <w:autoSpaceDE/>
              <w:autoSpaceDN/>
              <w:bidi w:val="0"/>
              <w:ind w:left="0" w:right="0"/>
              <w:jc w:val="center"/>
              <w:rPr>
                <w:rFonts w:ascii="Times New Roman" w:hAnsi="Times New Roman" w:eastAsia="宋体" w:cs="Times New Roman"/>
                <w:color w:val="auto"/>
                <w:spacing w:val="5"/>
                <w:sz w:val="21"/>
                <w:szCs w:val="21"/>
                <w:highlight w:val="none"/>
              </w:rPr>
            </w:pPr>
          </w:p>
        </w:tc>
        <w:tc>
          <w:tcPr>
            <w:tcW w:w="2682" w:type="dxa"/>
            <w:gridSpan w:val="2"/>
            <w:tcBorders>
              <w:tl2br w:val="nil"/>
              <w:tr2bl w:val="nil"/>
            </w:tcBorders>
            <w:vAlign w:val="center"/>
          </w:tcPr>
          <w:p w14:paraId="3BC53D34">
            <w:pPr>
              <w:pStyle w:val="236"/>
              <w:keepNext w:val="0"/>
              <w:keepLines w:val="0"/>
              <w:pageBreakBefore w:val="0"/>
              <w:widowControl/>
              <w:kinsoku/>
              <w:wordWrap/>
              <w:overflowPunct/>
              <w:topLinePunct w:val="0"/>
              <w:autoSpaceDE/>
              <w:autoSpaceDN/>
              <w:bidi w:val="0"/>
              <w:ind w:left="0" w:right="0"/>
              <w:jc w:val="center"/>
              <w:rPr>
                <w:rFonts w:ascii="Times New Roman" w:hAnsi="Times New Roman" w:eastAsia="宋体" w:cs="Times New Roman"/>
                <w:color w:val="auto"/>
                <w:sz w:val="21"/>
                <w:szCs w:val="21"/>
                <w:highlight w:val="none"/>
              </w:rPr>
            </w:pPr>
            <w:r>
              <w:rPr>
                <w:rFonts w:ascii="Times New Roman" w:hAnsi="Times New Roman" w:eastAsia="宋体" w:cs="Times New Roman"/>
                <w:color w:val="auto"/>
                <w:spacing w:val="3"/>
                <w:sz w:val="21"/>
                <w:szCs w:val="21"/>
                <w:highlight w:val="none"/>
              </w:rPr>
              <w:t>丁酮</w:t>
            </w:r>
          </w:p>
        </w:tc>
        <w:tc>
          <w:tcPr>
            <w:tcW w:w="966" w:type="dxa"/>
            <w:tcBorders>
              <w:tl2br w:val="nil"/>
              <w:tr2bl w:val="nil"/>
            </w:tcBorders>
            <w:vAlign w:val="center"/>
          </w:tcPr>
          <w:p w14:paraId="3A2388DF">
            <w:pPr>
              <w:pStyle w:val="236"/>
              <w:keepNext w:val="0"/>
              <w:keepLines w:val="0"/>
              <w:pageBreakBefore w:val="0"/>
              <w:widowControl/>
              <w:kinsoku/>
              <w:wordWrap/>
              <w:overflowPunct/>
              <w:topLinePunct w:val="0"/>
              <w:autoSpaceDE/>
              <w:autoSpaceDN/>
              <w:bidi w:val="0"/>
              <w:ind w:left="0" w:right="0"/>
              <w:jc w:val="center"/>
              <w:rPr>
                <w:rFonts w:ascii="Times New Roman" w:hAnsi="Times New Roman" w:eastAsia="宋体" w:cs="Times New Roman"/>
                <w:color w:val="auto"/>
                <w:sz w:val="21"/>
                <w:szCs w:val="21"/>
                <w:highlight w:val="none"/>
              </w:rPr>
            </w:pPr>
            <w:r>
              <w:rPr>
                <w:rFonts w:ascii="Times New Roman" w:hAnsi="Times New Roman" w:eastAsia="宋体" w:cs="Times New Roman"/>
                <w:color w:val="auto"/>
                <w:spacing w:val="4"/>
                <w:sz w:val="21"/>
                <w:szCs w:val="21"/>
                <w:highlight w:val="none"/>
              </w:rPr>
              <w:t>气态</w:t>
            </w:r>
          </w:p>
        </w:tc>
        <w:tc>
          <w:tcPr>
            <w:tcW w:w="1198" w:type="dxa"/>
            <w:tcBorders>
              <w:tl2br w:val="nil"/>
              <w:tr2bl w:val="nil"/>
            </w:tcBorders>
            <w:vAlign w:val="center"/>
          </w:tcPr>
          <w:p w14:paraId="25EC1697">
            <w:pPr>
              <w:keepNext w:val="0"/>
              <w:keepLines w:val="0"/>
              <w:widowControl/>
              <w:suppressLineNumbers w:val="0"/>
              <w:autoSpaceDE w:val="0"/>
              <w:autoSpaceDN w:val="0"/>
              <w:jc w:val="center"/>
              <w:textAlignment w:val="center"/>
              <w:rPr>
                <w:rFonts w:ascii="Times New Roman" w:hAnsi="Times New Roman" w:cs="Times New Roman"/>
                <w:color w:val="auto"/>
                <w:sz w:val="21"/>
                <w:szCs w:val="21"/>
                <w:highlight w:val="none"/>
                <w:lang w:eastAsia="en-US"/>
              </w:rPr>
            </w:pPr>
            <w:r>
              <w:rPr>
                <w:rFonts w:hint="default" w:ascii="Times New Roman" w:hAnsi="Times New Roman" w:eastAsia="等线" w:cs="Times New Roman"/>
                <w:i w:val="0"/>
                <w:iCs w:val="0"/>
                <w:color w:val="auto"/>
                <w:kern w:val="0"/>
                <w:sz w:val="21"/>
                <w:szCs w:val="21"/>
                <w:highlight w:val="none"/>
                <w:u w:val="none"/>
                <w:lang w:val="en-US" w:eastAsia="zh-CN" w:bidi="ar"/>
              </w:rPr>
              <w:t>/</w:t>
            </w:r>
          </w:p>
        </w:tc>
        <w:tc>
          <w:tcPr>
            <w:tcW w:w="1588" w:type="dxa"/>
            <w:tcBorders>
              <w:tl2br w:val="nil"/>
              <w:tr2bl w:val="nil"/>
            </w:tcBorders>
            <w:vAlign w:val="center"/>
          </w:tcPr>
          <w:p w14:paraId="0719B2EB">
            <w:pPr>
              <w:keepNext w:val="0"/>
              <w:keepLines w:val="0"/>
              <w:pageBreakBefore w:val="0"/>
              <w:widowControl/>
              <w:kinsoku/>
              <w:wordWrap/>
              <w:overflowPunct/>
              <w:topLinePunct w:val="0"/>
              <w:autoSpaceDE/>
              <w:autoSpaceDN/>
              <w:bidi w:val="0"/>
              <w:ind w:left="0" w:right="0"/>
              <w:jc w:val="center"/>
              <w:rPr>
                <w:rFonts w:ascii="Times New Roman" w:hAnsi="Times New Roman" w:cs="Times New Roman"/>
                <w:color w:val="auto"/>
                <w:sz w:val="21"/>
                <w:szCs w:val="21"/>
                <w:highlight w:val="none"/>
                <w:lang w:eastAsia="en-US"/>
              </w:rPr>
            </w:pPr>
            <w:r>
              <w:rPr>
                <w:rFonts w:hint="eastAsia" w:ascii="Times New Roman" w:hAnsi="Times New Roman" w:cs="Times New Roman"/>
                <w:color w:val="auto"/>
                <w:sz w:val="21"/>
                <w:szCs w:val="21"/>
                <w:highlight w:val="none"/>
                <w:lang w:eastAsia="en-US"/>
              </w:rPr>
              <w:t>/</w:t>
            </w:r>
          </w:p>
        </w:tc>
        <w:tc>
          <w:tcPr>
            <w:tcW w:w="1379" w:type="dxa"/>
            <w:tcBorders>
              <w:tl2br w:val="nil"/>
              <w:tr2bl w:val="nil"/>
            </w:tcBorders>
            <w:vAlign w:val="center"/>
          </w:tcPr>
          <w:p w14:paraId="40EC6DA5">
            <w:pPr>
              <w:keepNext w:val="0"/>
              <w:keepLines w:val="0"/>
              <w:widowControl/>
              <w:suppressLineNumbers w:val="0"/>
              <w:autoSpaceDE w:val="0"/>
              <w:autoSpaceDN w:val="0"/>
              <w:jc w:val="center"/>
              <w:textAlignment w:val="center"/>
              <w:rPr>
                <w:rFonts w:ascii="Times New Roman" w:hAnsi="Times New Roman" w:cs="Times New Roman"/>
                <w:color w:val="auto"/>
                <w:sz w:val="21"/>
                <w:szCs w:val="21"/>
                <w:highlight w:val="none"/>
                <w:lang w:eastAsia="en-US"/>
              </w:rPr>
            </w:pPr>
            <w:r>
              <w:rPr>
                <w:rFonts w:hint="default" w:ascii="Times New Roman" w:hAnsi="Times New Roman" w:eastAsia="等线" w:cs="Times New Roman"/>
                <w:i w:val="0"/>
                <w:iCs w:val="0"/>
                <w:color w:val="auto"/>
                <w:kern w:val="0"/>
                <w:sz w:val="21"/>
                <w:szCs w:val="21"/>
                <w:highlight w:val="none"/>
                <w:u w:val="none"/>
                <w:lang w:val="en-US" w:eastAsia="zh-CN" w:bidi="ar"/>
              </w:rPr>
              <w:t>/</w:t>
            </w:r>
          </w:p>
        </w:tc>
      </w:tr>
      <w:tr w14:paraId="58838D85">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691" w:type="dxa"/>
            <w:vMerge w:val="continue"/>
            <w:tcBorders>
              <w:tl2br w:val="nil"/>
              <w:tr2bl w:val="nil"/>
            </w:tcBorders>
            <w:vAlign w:val="center"/>
          </w:tcPr>
          <w:p w14:paraId="4D190A32">
            <w:pPr>
              <w:keepNext w:val="0"/>
              <w:keepLines w:val="0"/>
              <w:pageBreakBefore w:val="0"/>
              <w:widowControl/>
              <w:kinsoku/>
              <w:wordWrap/>
              <w:overflowPunct/>
              <w:topLinePunct w:val="0"/>
              <w:autoSpaceDE/>
              <w:autoSpaceDN/>
              <w:bidi w:val="0"/>
              <w:ind w:left="0" w:right="0"/>
              <w:jc w:val="center"/>
              <w:rPr>
                <w:rFonts w:ascii="Times New Roman" w:hAnsi="Times New Roman" w:cs="Times New Roman"/>
                <w:color w:val="auto"/>
                <w:sz w:val="21"/>
                <w:szCs w:val="21"/>
                <w:highlight w:val="none"/>
                <w:lang w:eastAsia="en-US"/>
              </w:rPr>
            </w:pPr>
          </w:p>
        </w:tc>
        <w:tc>
          <w:tcPr>
            <w:tcW w:w="2682" w:type="dxa"/>
            <w:gridSpan w:val="2"/>
            <w:tcBorders>
              <w:tl2br w:val="nil"/>
              <w:tr2bl w:val="nil"/>
            </w:tcBorders>
            <w:vAlign w:val="center"/>
          </w:tcPr>
          <w:p w14:paraId="1EDC8F86">
            <w:pPr>
              <w:pStyle w:val="236"/>
              <w:keepNext w:val="0"/>
              <w:keepLines w:val="0"/>
              <w:pageBreakBefore w:val="0"/>
              <w:widowControl/>
              <w:kinsoku/>
              <w:wordWrap/>
              <w:overflowPunct/>
              <w:topLinePunct w:val="0"/>
              <w:autoSpaceDE/>
              <w:autoSpaceDN/>
              <w:bidi w:val="0"/>
              <w:ind w:left="0" w:right="0"/>
              <w:jc w:val="center"/>
              <w:rPr>
                <w:rFonts w:ascii="Times New Roman" w:hAnsi="Times New Roman" w:eastAsia="宋体" w:cs="Times New Roman"/>
                <w:color w:val="auto"/>
                <w:sz w:val="21"/>
                <w:szCs w:val="21"/>
                <w:highlight w:val="none"/>
              </w:rPr>
            </w:pPr>
            <w:r>
              <w:rPr>
                <w:rFonts w:ascii="Times New Roman" w:hAnsi="Times New Roman" w:eastAsia="宋体" w:cs="Times New Roman"/>
                <w:color w:val="auto"/>
                <w:spacing w:val="6"/>
                <w:sz w:val="21"/>
                <w:szCs w:val="21"/>
                <w:highlight w:val="none"/>
              </w:rPr>
              <w:t>异氰酸酯</w:t>
            </w:r>
          </w:p>
        </w:tc>
        <w:tc>
          <w:tcPr>
            <w:tcW w:w="966" w:type="dxa"/>
            <w:tcBorders>
              <w:tl2br w:val="nil"/>
              <w:tr2bl w:val="nil"/>
            </w:tcBorders>
            <w:vAlign w:val="center"/>
          </w:tcPr>
          <w:p w14:paraId="1F8458BD">
            <w:pPr>
              <w:pStyle w:val="236"/>
              <w:keepNext w:val="0"/>
              <w:keepLines w:val="0"/>
              <w:pageBreakBefore w:val="0"/>
              <w:widowControl/>
              <w:kinsoku/>
              <w:wordWrap/>
              <w:overflowPunct/>
              <w:topLinePunct w:val="0"/>
              <w:autoSpaceDE/>
              <w:autoSpaceDN/>
              <w:bidi w:val="0"/>
              <w:ind w:left="0" w:right="0"/>
              <w:jc w:val="center"/>
              <w:rPr>
                <w:rFonts w:ascii="Times New Roman" w:hAnsi="Times New Roman" w:eastAsia="宋体" w:cs="Times New Roman"/>
                <w:color w:val="auto"/>
                <w:sz w:val="21"/>
                <w:szCs w:val="21"/>
                <w:highlight w:val="none"/>
              </w:rPr>
            </w:pPr>
            <w:r>
              <w:rPr>
                <w:rFonts w:ascii="Times New Roman" w:hAnsi="Times New Roman" w:eastAsia="宋体" w:cs="Times New Roman"/>
                <w:color w:val="auto"/>
                <w:spacing w:val="4"/>
                <w:sz w:val="21"/>
                <w:szCs w:val="21"/>
                <w:highlight w:val="none"/>
              </w:rPr>
              <w:t>气态</w:t>
            </w:r>
          </w:p>
        </w:tc>
        <w:tc>
          <w:tcPr>
            <w:tcW w:w="1198" w:type="dxa"/>
            <w:tcBorders>
              <w:tl2br w:val="nil"/>
              <w:tr2bl w:val="nil"/>
            </w:tcBorders>
            <w:vAlign w:val="center"/>
          </w:tcPr>
          <w:p w14:paraId="70216F46">
            <w:pPr>
              <w:keepNext w:val="0"/>
              <w:keepLines w:val="0"/>
              <w:widowControl/>
              <w:suppressLineNumbers w:val="0"/>
              <w:autoSpaceDE w:val="0"/>
              <w:autoSpaceDN w:val="0"/>
              <w:jc w:val="center"/>
              <w:textAlignment w:val="center"/>
              <w:rPr>
                <w:rFonts w:ascii="Times New Roman" w:hAnsi="Times New Roman" w:cs="Times New Roman"/>
                <w:color w:val="auto"/>
                <w:sz w:val="21"/>
                <w:szCs w:val="21"/>
                <w:highlight w:val="none"/>
                <w:lang w:eastAsia="en-US"/>
              </w:rPr>
            </w:pPr>
            <w:r>
              <w:rPr>
                <w:rFonts w:hint="default" w:ascii="Times New Roman" w:hAnsi="Times New Roman" w:eastAsia="等线" w:cs="Times New Roman"/>
                <w:i w:val="0"/>
                <w:iCs w:val="0"/>
                <w:color w:val="auto"/>
                <w:kern w:val="0"/>
                <w:sz w:val="21"/>
                <w:szCs w:val="21"/>
                <w:highlight w:val="none"/>
                <w:u w:val="none"/>
                <w:lang w:val="en-US" w:eastAsia="zh-CN" w:bidi="ar"/>
              </w:rPr>
              <w:t>/</w:t>
            </w:r>
          </w:p>
        </w:tc>
        <w:tc>
          <w:tcPr>
            <w:tcW w:w="1588" w:type="dxa"/>
            <w:tcBorders>
              <w:tl2br w:val="nil"/>
              <w:tr2bl w:val="nil"/>
            </w:tcBorders>
            <w:vAlign w:val="center"/>
          </w:tcPr>
          <w:p w14:paraId="0EB3AB22">
            <w:pPr>
              <w:keepNext w:val="0"/>
              <w:keepLines w:val="0"/>
              <w:pageBreakBefore w:val="0"/>
              <w:widowControl/>
              <w:kinsoku/>
              <w:wordWrap/>
              <w:overflowPunct/>
              <w:topLinePunct w:val="0"/>
              <w:autoSpaceDE/>
              <w:autoSpaceDN/>
              <w:bidi w:val="0"/>
              <w:ind w:left="0" w:right="0"/>
              <w:jc w:val="center"/>
              <w:rPr>
                <w:rFonts w:ascii="Times New Roman" w:hAnsi="Times New Roman" w:cs="Times New Roman"/>
                <w:color w:val="auto"/>
                <w:sz w:val="21"/>
                <w:szCs w:val="21"/>
                <w:highlight w:val="none"/>
                <w:lang w:eastAsia="en-US"/>
              </w:rPr>
            </w:pPr>
            <w:r>
              <w:rPr>
                <w:rFonts w:hint="eastAsia" w:ascii="Times New Roman" w:hAnsi="Times New Roman" w:cs="Times New Roman"/>
                <w:color w:val="auto"/>
                <w:sz w:val="21"/>
                <w:szCs w:val="21"/>
                <w:highlight w:val="none"/>
                <w:lang w:eastAsia="en-US"/>
              </w:rPr>
              <w:t>/</w:t>
            </w:r>
          </w:p>
        </w:tc>
        <w:tc>
          <w:tcPr>
            <w:tcW w:w="1379" w:type="dxa"/>
            <w:tcBorders>
              <w:tl2br w:val="nil"/>
              <w:tr2bl w:val="nil"/>
            </w:tcBorders>
            <w:vAlign w:val="center"/>
          </w:tcPr>
          <w:p w14:paraId="07853471">
            <w:pPr>
              <w:keepNext w:val="0"/>
              <w:keepLines w:val="0"/>
              <w:widowControl/>
              <w:suppressLineNumbers w:val="0"/>
              <w:autoSpaceDE w:val="0"/>
              <w:autoSpaceDN w:val="0"/>
              <w:jc w:val="center"/>
              <w:textAlignment w:val="center"/>
              <w:rPr>
                <w:rFonts w:ascii="Times New Roman" w:hAnsi="Times New Roman" w:cs="Times New Roman"/>
                <w:color w:val="auto"/>
                <w:sz w:val="21"/>
                <w:szCs w:val="21"/>
                <w:highlight w:val="none"/>
                <w:lang w:eastAsia="en-US"/>
              </w:rPr>
            </w:pPr>
            <w:r>
              <w:rPr>
                <w:rFonts w:hint="default" w:ascii="Times New Roman" w:hAnsi="Times New Roman" w:eastAsia="等线" w:cs="Times New Roman"/>
                <w:i w:val="0"/>
                <w:iCs w:val="0"/>
                <w:color w:val="auto"/>
                <w:kern w:val="0"/>
                <w:sz w:val="21"/>
                <w:szCs w:val="21"/>
                <w:highlight w:val="none"/>
                <w:u w:val="none"/>
                <w:lang w:val="en-US" w:eastAsia="zh-CN" w:bidi="ar"/>
              </w:rPr>
              <w:t>/</w:t>
            </w:r>
          </w:p>
        </w:tc>
      </w:tr>
      <w:tr w14:paraId="720AF668">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691" w:type="dxa"/>
            <w:vMerge w:val="continue"/>
            <w:tcBorders>
              <w:tl2br w:val="nil"/>
              <w:tr2bl w:val="nil"/>
            </w:tcBorders>
            <w:vAlign w:val="center"/>
          </w:tcPr>
          <w:p w14:paraId="2BEF458A">
            <w:pPr>
              <w:keepNext w:val="0"/>
              <w:keepLines w:val="0"/>
              <w:pageBreakBefore w:val="0"/>
              <w:widowControl/>
              <w:kinsoku/>
              <w:wordWrap/>
              <w:overflowPunct/>
              <w:topLinePunct w:val="0"/>
              <w:autoSpaceDE/>
              <w:autoSpaceDN/>
              <w:bidi w:val="0"/>
              <w:ind w:left="0" w:right="0"/>
              <w:jc w:val="center"/>
              <w:rPr>
                <w:rFonts w:ascii="Times New Roman" w:hAnsi="Times New Roman" w:cs="Times New Roman"/>
                <w:color w:val="auto"/>
                <w:sz w:val="21"/>
                <w:szCs w:val="21"/>
                <w:highlight w:val="none"/>
                <w:lang w:eastAsia="en-US"/>
              </w:rPr>
            </w:pPr>
          </w:p>
        </w:tc>
        <w:tc>
          <w:tcPr>
            <w:tcW w:w="2682" w:type="dxa"/>
            <w:gridSpan w:val="2"/>
            <w:tcBorders>
              <w:tl2br w:val="nil"/>
              <w:tr2bl w:val="nil"/>
            </w:tcBorders>
            <w:vAlign w:val="center"/>
          </w:tcPr>
          <w:p w14:paraId="7B50023F">
            <w:pPr>
              <w:pStyle w:val="236"/>
              <w:keepNext w:val="0"/>
              <w:keepLines w:val="0"/>
              <w:pageBreakBefore w:val="0"/>
              <w:widowControl/>
              <w:kinsoku/>
              <w:wordWrap/>
              <w:overflowPunct/>
              <w:topLinePunct w:val="0"/>
              <w:autoSpaceDE/>
              <w:autoSpaceDN/>
              <w:bidi w:val="0"/>
              <w:ind w:left="0" w:right="0"/>
              <w:jc w:val="center"/>
              <w:rPr>
                <w:rFonts w:ascii="Times New Roman" w:hAnsi="Times New Roman" w:eastAsia="宋体" w:cs="Times New Roman"/>
                <w:color w:val="auto"/>
                <w:sz w:val="21"/>
                <w:szCs w:val="21"/>
                <w:highlight w:val="none"/>
              </w:rPr>
            </w:pPr>
            <w:r>
              <w:rPr>
                <w:rFonts w:ascii="Times New Roman" w:hAnsi="Times New Roman" w:eastAsia="宋体" w:cs="Times New Roman"/>
                <w:color w:val="auto"/>
                <w:spacing w:val="5"/>
                <w:sz w:val="21"/>
                <w:szCs w:val="21"/>
                <w:highlight w:val="none"/>
              </w:rPr>
              <w:t>丙烯酸</w:t>
            </w:r>
          </w:p>
        </w:tc>
        <w:tc>
          <w:tcPr>
            <w:tcW w:w="966" w:type="dxa"/>
            <w:tcBorders>
              <w:tl2br w:val="nil"/>
              <w:tr2bl w:val="nil"/>
            </w:tcBorders>
            <w:vAlign w:val="center"/>
          </w:tcPr>
          <w:p w14:paraId="5DE4FA12">
            <w:pPr>
              <w:pStyle w:val="236"/>
              <w:keepNext w:val="0"/>
              <w:keepLines w:val="0"/>
              <w:pageBreakBefore w:val="0"/>
              <w:widowControl/>
              <w:kinsoku/>
              <w:wordWrap/>
              <w:overflowPunct/>
              <w:topLinePunct w:val="0"/>
              <w:autoSpaceDE/>
              <w:autoSpaceDN/>
              <w:bidi w:val="0"/>
              <w:ind w:left="0" w:right="0"/>
              <w:jc w:val="center"/>
              <w:rPr>
                <w:rFonts w:ascii="Times New Roman" w:hAnsi="Times New Roman" w:eastAsia="宋体" w:cs="Times New Roman"/>
                <w:color w:val="auto"/>
                <w:sz w:val="21"/>
                <w:szCs w:val="21"/>
                <w:highlight w:val="none"/>
              </w:rPr>
            </w:pPr>
            <w:r>
              <w:rPr>
                <w:rFonts w:ascii="Times New Roman" w:hAnsi="Times New Roman" w:eastAsia="宋体" w:cs="Times New Roman"/>
                <w:color w:val="auto"/>
                <w:spacing w:val="4"/>
                <w:sz w:val="21"/>
                <w:szCs w:val="21"/>
                <w:highlight w:val="none"/>
              </w:rPr>
              <w:t>气态</w:t>
            </w:r>
          </w:p>
        </w:tc>
        <w:tc>
          <w:tcPr>
            <w:tcW w:w="1198" w:type="dxa"/>
            <w:tcBorders>
              <w:tl2br w:val="nil"/>
              <w:tr2bl w:val="nil"/>
            </w:tcBorders>
            <w:vAlign w:val="center"/>
          </w:tcPr>
          <w:p w14:paraId="49E3C333">
            <w:pPr>
              <w:keepNext w:val="0"/>
              <w:keepLines w:val="0"/>
              <w:widowControl/>
              <w:suppressLineNumbers w:val="0"/>
              <w:autoSpaceDE w:val="0"/>
              <w:autoSpaceDN w:val="0"/>
              <w:jc w:val="center"/>
              <w:textAlignment w:val="center"/>
              <w:rPr>
                <w:rFonts w:ascii="Times New Roman" w:hAnsi="Times New Roman" w:cs="Times New Roman"/>
                <w:color w:val="auto"/>
                <w:sz w:val="21"/>
                <w:szCs w:val="21"/>
                <w:highlight w:val="none"/>
                <w:lang w:eastAsia="en-US"/>
              </w:rPr>
            </w:pPr>
            <w:r>
              <w:rPr>
                <w:rFonts w:hint="default" w:ascii="Times New Roman" w:hAnsi="Times New Roman" w:eastAsia="等线" w:cs="Times New Roman"/>
                <w:i w:val="0"/>
                <w:iCs w:val="0"/>
                <w:color w:val="auto"/>
                <w:kern w:val="0"/>
                <w:sz w:val="21"/>
                <w:szCs w:val="21"/>
                <w:highlight w:val="none"/>
                <w:u w:val="none"/>
                <w:lang w:val="en-US" w:eastAsia="zh-CN" w:bidi="ar"/>
              </w:rPr>
              <w:t>/</w:t>
            </w:r>
          </w:p>
        </w:tc>
        <w:tc>
          <w:tcPr>
            <w:tcW w:w="1588" w:type="dxa"/>
            <w:tcBorders>
              <w:tl2br w:val="nil"/>
              <w:tr2bl w:val="nil"/>
            </w:tcBorders>
            <w:vAlign w:val="center"/>
          </w:tcPr>
          <w:p w14:paraId="3FAEE2B8">
            <w:pPr>
              <w:keepNext w:val="0"/>
              <w:keepLines w:val="0"/>
              <w:pageBreakBefore w:val="0"/>
              <w:widowControl/>
              <w:kinsoku/>
              <w:wordWrap/>
              <w:overflowPunct/>
              <w:topLinePunct w:val="0"/>
              <w:autoSpaceDE/>
              <w:autoSpaceDN/>
              <w:bidi w:val="0"/>
              <w:ind w:left="0" w:right="0"/>
              <w:jc w:val="center"/>
              <w:rPr>
                <w:rFonts w:ascii="Times New Roman" w:hAnsi="Times New Roman" w:cs="Times New Roman"/>
                <w:color w:val="auto"/>
                <w:sz w:val="21"/>
                <w:szCs w:val="21"/>
                <w:highlight w:val="none"/>
                <w:lang w:eastAsia="en-US"/>
              </w:rPr>
            </w:pPr>
            <w:r>
              <w:rPr>
                <w:rFonts w:hint="eastAsia" w:ascii="Times New Roman" w:hAnsi="Times New Roman" w:cs="Times New Roman"/>
                <w:color w:val="auto"/>
                <w:sz w:val="21"/>
                <w:szCs w:val="21"/>
                <w:highlight w:val="none"/>
                <w:lang w:eastAsia="en-US"/>
              </w:rPr>
              <w:t>/</w:t>
            </w:r>
          </w:p>
        </w:tc>
        <w:tc>
          <w:tcPr>
            <w:tcW w:w="1379" w:type="dxa"/>
            <w:tcBorders>
              <w:tl2br w:val="nil"/>
              <w:tr2bl w:val="nil"/>
            </w:tcBorders>
            <w:vAlign w:val="center"/>
          </w:tcPr>
          <w:p w14:paraId="4A204972">
            <w:pPr>
              <w:keepNext w:val="0"/>
              <w:keepLines w:val="0"/>
              <w:widowControl/>
              <w:suppressLineNumbers w:val="0"/>
              <w:autoSpaceDE w:val="0"/>
              <w:autoSpaceDN w:val="0"/>
              <w:jc w:val="center"/>
              <w:textAlignment w:val="center"/>
              <w:rPr>
                <w:rFonts w:ascii="Times New Roman" w:hAnsi="Times New Roman" w:cs="Times New Roman"/>
                <w:color w:val="auto"/>
                <w:sz w:val="21"/>
                <w:szCs w:val="21"/>
                <w:highlight w:val="none"/>
                <w:lang w:eastAsia="en-US"/>
              </w:rPr>
            </w:pPr>
            <w:r>
              <w:rPr>
                <w:rFonts w:hint="default" w:ascii="Times New Roman" w:hAnsi="Times New Roman" w:eastAsia="等线" w:cs="Times New Roman"/>
                <w:i w:val="0"/>
                <w:iCs w:val="0"/>
                <w:color w:val="auto"/>
                <w:kern w:val="0"/>
                <w:sz w:val="21"/>
                <w:szCs w:val="21"/>
                <w:highlight w:val="none"/>
                <w:u w:val="none"/>
                <w:lang w:val="en-US" w:eastAsia="zh-CN" w:bidi="ar"/>
              </w:rPr>
              <w:t>/</w:t>
            </w:r>
          </w:p>
        </w:tc>
      </w:tr>
      <w:tr w14:paraId="1237F0D9">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691" w:type="dxa"/>
            <w:vMerge w:val="continue"/>
            <w:tcBorders>
              <w:tl2br w:val="nil"/>
              <w:tr2bl w:val="nil"/>
            </w:tcBorders>
            <w:vAlign w:val="center"/>
          </w:tcPr>
          <w:p w14:paraId="30EF9ED7">
            <w:pPr>
              <w:keepNext w:val="0"/>
              <w:keepLines w:val="0"/>
              <w:pageBreakBefore w:val="0"/>
              <w:widowControl/>
              <w:kinsoku/>
              <w:wordWrap/>
              <w:overflowPunct/>
              <w:topLinePunct w:val="0"/>
              <w:autoSpaceDE/>
              <w:autoSpaceDN/>
              <w:bidi w:val="0"/>
              <w:ind w:left="0" w:right="0"/>
              <w:jc w:val="center"/>
              <w:rPr>
                <w:rFonts w:ascii="Times New Roman" w:hAnsi="Times New Roman" w:cs="Times New Roman"/>
                <w:color w:val="auto"/>
                <w:sz w:val="21"/>
                <w:szCs w:val="21"/>
                <w:highlight w:val="none"/>
                <w:lang w:eastAsia="en-US"/>
              </w:rPr>
            </w:pPr>
          </w:p>
        </w:tc>
        <w:tc>
          <w:tcPr>
            <w:tcW w:w="2682" w:type="dxa"/>
            <w:gridSpan w:val="2"/>
            <w:tcBorders>
              <w:tl2br w:val="nil"/>
              <w:tr2bl w:val="nil"/>
            </w:tcBorders>
            <w:vAlign w:val="center"/>
          </w:tcPr>
          <w:p w14:paraId="740829A9">
            <w:pPr>
              <w:pStyle w:val="236"/>
              <w:keepNext w:val="0"/>
              <w:keepLines w:val="0"/>
              <w:pageBreakBefore w:val="0"/>
              <w:widowControl/>
              <w:kinsoku/>
              <w:wordWrap/>
              <w:overflowPunct/>
              <w:topLinePunct w:val="0"/>
              <w:autoSpaceDE/>
              <w:autoSpaceDN/>
              <w:bidi w:val="0"/>
              <w:ind w:left="0" w:right="0"/>
              <w:jc w:val="center"/>
              <w:rPr>
                <w:rFonts w:ascii="Times New Roman" w:hAnsi="Times New Roman" w:eastAsia="宋体" w:cs="Times New Roman"/>
                <w:color w:val="auto"/>
                <w:spacing w:val="5"/>
                <w:sz w:val="21"/>
                <w:szCs w:val="21"/>
                <w:highlight w:val="none"/>
                <w:lang w:eastAsia="zh-CN"/>
              </w:rPr>
            </w:pPr>
            <w:r>
              <w:rPr>
                <w:rFonts w:hint="eastAsia" w:ascii="Times New Roman" w:hAnsi="Times New Roman" w:eastAsia="宋体" w:cs="Times New Roman"/>
                <w:color w:val="auto"/>
                <w:spacing w:val="5"/>
                <w:sz w:val="21"/>
                <w:szCs w:val="21"/>
                <w:highlight w:val="none"/>
                <w:lang w:eastAsia="zh-CN"/>
              </w:rPr>
              <w:t>非甲烷总烃</w:t>
            </w:r>
          </w:p>
        </w:tc>
        <w:tc>
          <w:tcPr>
            <w:tcW w:w="966" w:type="dxa"/>
            <w:tcBorders>
              <w:tl2br w:val="nil"/>
              <w:tr2bl w:val="nil"/>
            </w:tcBorders>
            <w:vAlign w:val="center"/>
          </w:tcPr>
          <w:p w14:paraId="308EE74D">
            <w:pPr>
              <w:pStyle w:val="236"/>
              <w:keepNext w:val="0"/>
              <w:keepLines w:val="0"/>
              <w:pageBreakBefore w:val="0"/>
              <w:widowControl/>
              <w:kinsoku/>
              <w:wordWrap/>
              <w:overflowPunct/>
              <w:topLinePunct w:val="0"/>
              <w:autoSpaceDE/>
              <w:autoSpaceDN/>
              <w:bidi w:val="0"/>
              <w:ind w:left="0" w:right="0"/>
              <w:jc w:val="center"/>
              <w:rPr>
                <w:rFonts w:ascii="Times New Roman" w:hAnsi="Times New Roman" w:eastAsia="宋体" w:cs="Times New Roman"/>
                <w:color w:val="auto"/>
                <w:spacing w:val="4"/>
                <w:sz w:val="21"/>
                <w:szCs w:val="21"/>
                <w:highlight w:val="none"/>
                <w:lang w:eastAsia="zh-CN"/>
              </w:rPr>
            </w:pPr>
            <w:r>
              <w:rPr>
                <w:rFonts w:hint="eastAsia" w:ascii="Times New Roman" w:hAnsi="Times New Roman" w:eastAsia="宋体" w:cs="Times New Roman"/>
                <w:color w:val="auto"/>
                <w:spacing w:val="4"/>
                <w:sz w:val="21"/>
                <w:szCs w:val="21"/>
                <w:highlight w:val="none"/>
                <w:lang w:eastAsia="zh-CN"/>
              </w:rPr>
              <w:t>气态</w:t>
            </w:r>
          </w:p>
        </w:tc>
        <w:tc>
          <w:tcPr>
            <w:tcW w:w="1198" w:type="dxa"/>
            <w:tcBorders>
              <w:tl2br w:val="nil"/>
              <w:tr2bl w:val="nil"/>
            </w:tcBorders>
            <w:vAlign w:val="center"/>
          </w:tcPr>
          <w:p w14:paraId="6F33EF4C">
            <w:pPr>
              <w:keepNext w:val="0"/>
              <w:keepLines w:val="0"/>
              <w:widowControl/>
              <w:suppressLineNumbers w:val="0"/>
              <w:autoSpaceDE w:val="0"/>
              <w:autoSpaceDN w:val="0"/>
              <w:jc w:val="center"/>
              <w:textAlignment w:val="center"/>
              <w:rPr>
                <w:rFonts w:ascii="Times New Roman" w:hAnsi="Times New Roman" w:cs="Times New Roman"/>
                <w:color w:val="auto"/>
                <w:spacing w:val="2"/>
                <w:position w:val="1"/>
                <w:sz w:val="21"/>
                <w:szCs w:val="21"/>
                <w:highlight w:val="none"/>
                <w:lang w:eastAsia="en-US"/>
              </w:rPr>
            </w:pPr>
            <w:r>
              <w:rPr>
                <w:rFonts w:hint="default" w:ascii="Times New Roman" w:hAnsi="Times New Roman" w:eastAsia="等线" w:cs="Times New Roman"/>
                <w:i w:val="0"/>
                <w:iCs w:val="0"/>
                <w:color w:val="auto"/>
                <w:kern w:val="0"/>
                <w:sz w:val="21"/>
                <w:szCs w:val="21"/>
                <w:highlight w:val="none"/>
                <w:u w:val="none"/>
                <w:lang w:val="en-US" w:eastAsia="zh-CN" w:bidi="ar"/>
              </w:rPr>
              <w:t>/</w:t>
            </w:r>
          </w:p>
        </w:tc>
        <w:tc>
          <w:tcPr>
            <w:tcW w:w="1588" w:type="dxa"/>
            <w:tcBorders>
              <w:tl2br w:val="nil"/>
              <w:tr2bl w:val="nil"/>
            </w:tcBorders>
            <w:vAlign w:val="center"/>
          </w:tcPr>
          <w:p w14:paraId="0A427527">
            <w:pPr>
              <w:keepNext w:val="0"/>
              <w:keepLines w:val="0"/>
              <w:pageBreakBefore w:val="0"/>
              <w:widowControl/>
              <w:kinsoku/>
              <w:wordWrap/>
              <w:overflowPunct/>
              <w:topLinePunct w:val="0"/>
              <w:autoSpaceDE/>
              <w:autoSpaceDN/>
              <w:bidi w:val="0"/>
              <w:ind w:left="0" w:right="0"/>
              <w:jc w:val="center"/>
              <w:rPr>
                <w:rFonts w:ascii="Times New Roman" w:hAnsi="Times New Roman" w:cs="Times New Roman"/>
                <w:color w:val="auto"/>
                <w:sz w:val="21"/>
                <w:szCs w:val="21"/>
                <w:highlight w:val="none"/>
                <w:lang w:eastAsia="en-US"/>
              </w:rPr>
            </w:pPr>
            <w:r>
              <w:rPr>
                <w:rFonts w:hint="eastAsia" w:ascii="Times New Roman" w:hAnsi="Times New Roman" w:cs="Times New Roman"/>
                <w:color w:val="auto"/>
                <w:sz w:val="21"/>
                <w:szCs w:val="21"/>
                <w:highlight w:val="none"/>
                <w:lang w:eastAsia="en-US"/>
              </w:rPr>
              <w:t>/</w:t>
            </w:r>
          </w:p>
        </w:tc>
        <w:tc>
          <w:tcPr>
            <w:tcW w:w="1379" w:type="dxa"/>
            <w:tcBorders>
              <w:tl2br w:val="nil"/>
              <w:tr2bl w:val="nil"/>
            </w:tcBorders>
            <w:vAlign w:val="center"/>
          </w:tcPr>
          <w:p w14:paraId="1CDF5D25">
            <w:pPr>
              <w:keepNext w:val="0"/>
              <w:keepLines w:val="0"/>
              <w:widowControl/>
              <w:suppressLineNumbers w:val="0"/>
              <w:autoSpaceDE w:val="0"/>
              <w:autoSpaceDN w:val="0"/>
              <w:jc w:val="center"/>
              <w:textAlignment w:val="center"/>
              <w:rPr>
                <w:rFonts w:ascii="Times New Roman" w:hAnsi="Times New Roman" w:cs="Times New Roman"/>
                <w:color w:val="auto"/>
                <w:spacing w:val="2"/>
                <w:position w:val="1"/>
                <w:sz w:val="21"/>
                <w:szCs w:val="21"/>
                <w:highlight w:val="none"/>
                <w:lang w:eastAsia="en-US"/>
              </w:rPr>
            </w:pPr>
            <w:r>
              <w:rPr>
                <w:rFonts w:hint="default" w:ascii="Times New Roman" w:hAnsi="Times New Roman" w:eastAsia="等线" w:cs="Times New Roman"/>
                <w:i w:val="0"/>
                <w:iCs w:val="0"/>
                <w:color w:val="auto"/>
                <w:kern w:val="0"/>
                <w:sz w:val="21"/>
                <w:szCs w:val="21"/>
                <w:highlight w:val="none"/>
                <w:u w:val="none"/>
                <w:lang w:val="en-US" w:eastAsia="zh-CN" w:bidi="ar"/>
              </w:rPr>
              <w:t>/</w:t>
            </w:r>
          </w:p>
        </w:tc>
      </w:tr>
      <w:tr w14:paraId="538ED36B">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691" w:type="dxa"/>
            <w:vMerge w:val="continue"/>
            <w:tcBorders>
              <w:tl2br w:val="nil"/>
              <w:tr2bl w:val="nil"/>
            </w:tcBorders>
            <w:vAlign w:val="center"/>
          </w:tcPr>
          <w:p w14:paraId="47F8A439">
            <w:pPr>
              <w:keepNext w:val="0"/>
              <w:keepLines w:val="0"/>
              <w:pageBreakBefore w:val="0"/>
              <w:widowControl/>
              <w:kinsoku/>
              <w:wordWrap/>
              <w:overflowPunct/>
              <w:topLinePunct w:val="0"/>
              <w:autoSpaceDE/>
              <w:autoSpaceDN/>
              <w:bidi w:val="0"/>
              <w:ind w:left="0" w:right="0"/>
              <w:jc w:val="center"/>
              <w:rPr>
                <w:rFonts w:ascii="Times New Roman" w:hAnsi="Times New Roman" w:cs="Times New Roman"/>
                <w:color w:val="auto"/>
                <w:sz w:val="21"/>
                <w:szCs w:val="21"/>
                <w:highlight w:val="none"/>
                <w:lang w:eastAsia="en-US"/>
              </w:rPr>
            </w:pPr>
          </w:p>
        </w:tc>
        <w:tc>
          <w:tcPr>
            <w:tcW w:w="2682" w:type="dxa"/>
            <w:gridSpan w:val="2"/>
            <w:tcBorders>
              <w:tl2br w:val="nil"/>
              <w:tr2bl w:val="nil"/>
            </w:tcBorders>
            <w:vAlign w:val="center"/>
          </w:tcPr>
          <w:p w14:paraId="736D86BF">
            <w:pPr>
              <w:pStyle w:val="236"/>
              <w:keepNext w:val="0"/>
              <w:keepLines w:val="0"/>
              <w:pageBreakBefore w:val="0"/>
              <w:widowControl/>
              <w:kinsoku/>
              <w:wordWrap/>
              <w:overflowPunct/>
              <w:topLinePunct w:val="0"/>
              <w:autoSpaceDE/>
              <w:autoSpaceDN/>
              <w:bidi w:val="0"/>
              <w:ind w:left="0" w:right="0"/>
              <w:jc w:val="center"/>
              <w:rPr>
                <w:rFonts w:hint="default" w:ascii="Times New Roman" w:hAnsi="Times New Roman" w:eastAsia="宋体" w:cs="Times New Roman"/>
                <w:color w:val="auto"/>
                <w:spacing w:val="5"/>
                <w:sz w:val="21"/>
                <w:szCs w:val="21"/>
                <w:highlight w:val="none"/>
                <w:lang w:val="en-US" w:eastAsia="zh-CN"/>
              </w:rPr>
            </w:pPr>
            <w:r>
              <w:rPr>
                <w:rFonts w:hint="eastAsia" w:ascii="Times New Roman" w:hAnsi="Times New Roman" w:eastAsia="宋体" w:cs="Times New Roman"/>
                <w:color w:val="auto"/>
                <w:spacing w:val="5"/>
                <w:sz w:val="21"/>
                <w:szCs w:val="21"/>
                <w:highlight w:val="none"/>
                <w:lang w:val="en-US" w:eastAsia="zh-CN"/>
              </w:rPr>
              <w:t>甲醇</w:t>
            </w:r>
          </w:p>
        </w:tc>
        <w:tc>
          <w:tcPr>
            <w:tcW w:w="966" w:type="dxa"/>
            <w:tcBorders>
              <w:tl2br w:val="nil"/>
              <w:tr2bl w:val="nil"/>
            </w:tcBorders>
            <w:vAlign w:val="center"/>
          </w:tcPr>
          <w:p w14:paraId="0E795CD7">
            <w:pPr>
              <w:pStyle w:val="236"/>
              <w:keepNext w:val="0"/>
              <w:keepLines w:val="0"/>
              <w:pageBreakBefore w:val="0"/>
              <w:widowControl/>
              <w:kinsoku/>
              <w:wordWrap/>
              <w:overflowPunct/>
              <w:topLinePunct w:val="0"/>
              <w:autoSpaceDE/>
              <w:autoSpaceDN/>
              <w:bidi w:val="0"/>
              <w:ind w:left="0" w:leftChars="0" w:right="0" w:rightChars="0"/>
              <w:jc w:val="center"/>
              <w:rPr>
                <w:rFonts w:hint="eastAsia" w:ascii="Times New Roman" w:hAnsi="Times New Roman" w:eastAsia="宋体" w:cs="Times New Roman"/>
                <w:color w:val="auto"/>
                <w:spacing w:val="4"/>
                <w:sz w:val="21"/>
                <w:szCs w:val="21"/>
                <w:highlight w:val="none"/>
                <w:lang w:eastAsia="zh-CN"/>
              </w:rPr>
            </w:pPr>
            <w:r>
              <w:rPr>
                <w:rFonts w:hint="eastAsia" w:ascii="Times New Roman" w:hAnsi="Times New Roman" w:eastAsia="宋体" w:cs="Times New Roman"/>
                <w:color w:val="auto"/>
                <w:spacing w:val="4"/>
                <w:sz w:val="21"/>
                <w:szCs w:val="21"/>
                <w:highlight w:val="none"/>
                <w:lang w:eastAsia="zh-CN"/>
              </w:rPr>
              <w:t>气态</w:t>
            </w:r>
          </w:p>
        </w:tc>
        <w:tc>
          <w:tcPr>
            <w:tcW w:w="1198" w:type="dxa"/>
            <w:tcBorders>
              <w:tl2br w:val="nil"/>
              <w:tr2bl w:val="nil"/>
            </w:tcBorders>
            <w:vAlign w:val="center"/>
          </w:tcPr>
          <w:p w14:paraId="44478744">
            <w:pPr>
              <w:keepNext w:val="0"/>
              <w:keepLines w:val="0"/>
              <w:widowControl/>
              <w:suppressLineNumbers w:val="0"/>
              <w:autoSpaceDE w:val="0"/>
              <w:autoSpaceDN w:val="0"/>
              <w:jc w:val="center"/>
              <w:textAlignment w:val="center"/>
              <w:rPr>
                <w:rFonts w:hint="eastAsia" w:ascii="Times New Roman" w:hAnsi="Times New Roman" w:cs="Times New Roman"/>
                <w:color w:val="auto"/>
                <w:spacing w:val="2"/>
                <w:position w:val="1"/>
                <w:sz w:val="21"/>
                <w:szCs w:val="21"/>
                <w:highlight w:val="none"/>
                <w:lang w:eastAsia="en-US"/>
              </w:rPr>
            </w:pPr>
            <w:r>
              <w:rPr>
                <w:rFonts w:hint="default" w:ascii="Times New Roman" w:hAnsi="Times New Roman" w:eastAsia="等线" w:cs="Times New Roman"/>
                <w:i w:val="0"/>
                <w:iCs w:val="0"/>
                <w:color w:val="auto"/>
                <w:kern w:val="0"/>
                <w:sz w:val="21"/>
                <w:szCs w:val="21"/>
                <w:highlight w:val="none"/>
                <w:u w:val="none"/>
                <w:lang w:val="en-US" w:eastAsia="zh-CN" w:bidi="ar"/>
              </w:rPr>
              <w:t>/</w:t>
            </w:r>
          </w:p>
        </w:tc>
        <w:tc>
          <w:tcPr>
            <w:tcW w:w="1588" w:type="dxa"/>
            <w:tcBorders>
              <w:tl2br w:val="nil"/>
              <w:tr2bl w:val="nil"/>
            </w:tcBorders>
            <w:vAlign w:val="center"/>
          </w:tcPr>
          <w:p w14:paraId="4672AA58">
            <w:pPr>
              <w:keepNext w:val="0"/>
              <w:keepLines w:val="0"/>
              <w:pageBreakBefore w:val="0"/>
              <w:widowControl/>
              <w:kinsoku/>
              <w:wordWrap/>
              <w:overflowPunct/>
              <w:topLinePunct w:val="0"/>
              <w:autoSpaceDE/>
              <w:autoSpaceDN/>
              <w:bidi w:val="0"/>
              <w:ind w:left="0" w:leftChars="0" w:right="0" w:rightChars="0"/>
              <w:jc w:val="center"/>
              <w:rPr>
                <w:rFonts w:hint="eastAsia" w:ascii="Times New Roman" w:hAnsi="Times New Roman" w:cs="Times New Roman"/>
                <w:color w:val="auto"/>
                <w:sz w:val="21"/>
                <w:szCs w:val="21"/>
                <w:highlight w:val="none"/>
                <w:lang w:eastAsia="en-US"/>
              </w:rPr>
            </w:pPr>
            <w:r>
              <w:rPr>
                <w:rFonts w:hint="eastAsia" w:ascii="Times New Roman" w:hAnsi="Times New Roman" w:cs="Times New Roman"/>
                <w:color w:val="auto"/>
                <w:sz w:val="21"/>
                <w:szCs w:val="21"/>
                <w:highlight w:val="none"/>
                <w:lang w:eastAsia="en-US"/>
              </w:rPr>
              <w:t>/</w:t>
            </w:r>
          </w:p>
        </w:tc>
        <w:tc>
          <w:tcPr>
            <w:tcW w:w="1379" w:type="dxa"/>
            <w:tcBorders>
              <w:tl2br w:val="nil"/>
              <w:tr2bl w:val="nil"/>
            </w:tcBorders>
            <w:vAlign w:val="center"/>
          </w:tcPr>
          <w:p w14:paraId="2C0D9243">
            <w:pPr>
              <w:keepNext w:val="0"/>
              <w:keepLines w:val="0"/>
              <w:widowControl/>
              <w:suppressLineNumbers w:val="0"/>
              <w:autoSpaceDE w:val="0"/>
              <w:autoSpaceDN w:val="0"/>
              <w:jc w:val="center"/>
              <w:textAlignment w:val="center"/>
              <w:rPr>
                <w:rFonts w:ascii="Times New Roman" w:hAnsi="Times New Roman" w:eastAsia="等线" w:cs="Times New Roman"/>
                <w:color w:val="auto"/>
                <w:sz w:val="21"/>
                <w:szCs w:val="21"/>
                <w:highlight w:val="none"/>
                <w:lang w:eastAsia="en-US" w:bidi="ar"/>
              </w:rPr>
            </w:pPr>
            <w:r>
              <w:rPr>
                <w:rFonts w:hint="default" w:ascii="Times New Roman" w:hAnsi="Times New Roman" w:eastAsia="等线" w:cs="Times New Roman"/>
                <w:i w:val="0"/>
                <w:iCs w:val="0"/>
                <w:color w:val="auto"/>
                <w:kern w:val="0"/>
                <w:sz w:val="21"/>
                <w:szCs w:val="21"/>
                <w:highlight w:val="none"/>
                <w:u w:val="none"/>
                <w:lang w:val="en-US" w:eastAsia="zh-CN" w:bidi="ar"/>
              </w:rPr>
              <w:t>/</w:t>
            </w:r>
          </w:p>
        </w:tc>
      </w:tr>
      <w:tr w14:paraId="3E88A304">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691" w:type="dxa"/>
            <w:vMerge w:val="continue"/>
            <w:tcBorders>
              <w:tl2br w:val="nil"/>
              <w:tr2bl w:val="nil"/>
            </w:tcBorders>
            <w:vAlign w:val="center"/>
          </w:tcPr>
          <w:p w14:paraId="177DA268">
            <w:pPr>
              <w:keepNext w:val="0"/>
              <w:keepLines w:val="0"/>
              <w:pageBreakBefore w:val="0"/>
              <w:widowControl/>
              <w:kinsoku/>
              <w:wordWrap/>
              <w:overflowPunct/>
              <w:topLinePunct w:val="0"/>
              <w:autoSpaceDE/>
              <w:autoSpaceDN/>
              <w:bidi w:val="0"/>
              <w:ind w:left="0" w:right="0"/>
              <w:jc w:val="center"/>
              <w:rPr>
                <w:rFonts w:ascii="Times New Roman" w:hAnsi="Times New Roman" w:cs="Times New Roman"/>
                <w:color w:val="auto"/>
                <w:sz w:val="21"/>
                <w:szCs w:val="21"/>
                <w:highlight w:val="none"/>
                <w:lang w:eastAsia="en-US"/>
              </w:rPr>
            </w:pPr>
          </w:p>
        </w:tc>
        <w:tc>
          <w:tcPr>
            <w:tcW w:w="2682" w:type="dxa"/>
            <w:gridSpan w:val="2"/>
            <w:tcBorders>
              <w:tl2br w:val="nil"/>
              <w:tr2bl w:val="nil"/>
            </w:tcBorders>
            <w:vAlign w:val="center"/>
          </w:tcPr>
          <w:p w14:paraId="285F926C">
            <w:pPr>
              <w:pStyle w:val="236"/>
              <w:keepNext w:val="0"/>
              <w:keepLines w:val="0"/>
              <w:pageBreakBefore w:val="0"/>
              <w:widowControl/>
              <w:kinsoku/>
              <w:wordWrap/>
              <w:overflowPunct/>
              <w:topLinePunct w:val="0"/>
              <w:autoSpaceDE/>
              <w:autoSpaceDN/>
              <w:bidi w:val="0"/>
              <w:ind w:left="0" w:right="0"/>
              <w:jc w:val="center"/>
              <w:rPr>
                <w:rFonts w:hint="default" w:ascii="Times New Roman" w:hAnsi="Times New Roman" w:eastAsia="宋体" w:cs="Times New Roman"/>
                <w:color w:val="auto"/>
                <w:spacing w:val="5"/>
                <w:sz w:val="21"/>
                <w:szCs w:val="21"/>
                <w:highlight w:val="none"/>
                <w:lang w:val="en-US" w:eastAsia="zh-CN"/>
              </w:rPr>
            </w:pPr>
            <w:r>
              <w:rPr>
                <w:rFonts w:hint="eastAsia" w:ascii="Times New Roman" w:hAnsi="Times New Roman" w:eastAsia="宋体" w:cs="Times New Roman"/>
                <w:color w:val="auto"/>
                <w:spacing w:val="5"/>
                <w:sz w:val="21"/>
                <w:szCs w:val="21"/>
                <w:highlight w:val="none"/>
                <w:lang w:val="en-US" w:eastAsia="zh-CN"/>
              </w:rPr>
              <w:t>氮氧化物</w:t>
            </w:r>
          </w:p>
        </w:tc>
        <w:tc>
          <w:tcPr>
            <w:tcW w:w="966" w:type="dxa"/>
            <w:tcBorders>
              <w:tl2br w:val="nil"/>
              <w:tr2bl w:val="nil"/>
            </w:tcBorders>
            <w:vAlign w:val="center"/>
          </w:tcPr>
          <w:p w14:paraId="1DE8D33F">
            <w:pPr>
              <w:pStyle w:val="236"/>
              <w:keepNext w:val="0"/>
              <w:keepLines w:val="0"/>
              <w:pageBreakBefore w:val="0"/>
              <w:widowControl/>
              <w:kinsoku/>
              <w:wordWrap/>
              <w:overflowPunct/>
              <w:topLinePunct w:val="0"/>
              <w:autoSpaceDE/>
              <w:autoSpaceDN/>
              <w:bidi w:val="0"/>
              <w:ind w:left="0" w:leftChars="0" w:right="0" w:rightChars="0"/>
              <w:jc w:val="center"/>
              <w:rPr>
                <w:rFonts w:hint="eastAsia" w:ascii="Times New Roman" w:hAnsi="Times New Roman" w:eastAsia="宋体" w:cs="Times New Roman"/>
                <w:color w:val="auto"/>
                <w:spacing w:val="4"/>
                <w:sz w:val="21"/>
                <w:szCs w:val="21"/>
                <w:highlight w:val="none"/>
                <w:lang w:eastAsia="zh-CN"/>
              </w:rPr>
            </w:pPr>
            <w:r>
              <w:rPr>
                <w:rFonts w:hint="eastAsia" w:ascii="Times New Roman" w:hAnsi="Times New Roman" w:eastAsia="宋体" w:cs="Times New Roman"/>
                <w:color w:val="auto"/>
                <w:spacing w:val="4"/>
                <w:sz w:val="21"/>
                <w:szCs w:val="21"/>
                <w:highlight w:val="none"/>
                <w:lang w:eastAsia="zh-CN"/>
              </w:rPr>
              <w:t>气态</w:t>
            </w:r>
          </w:p>
        </w:tc>
        <w:tc>
          <w:tcPr>
            <w:tcW w:w="1198" w:type="dxa"/>
            <w:tcBorders>
              <w:tl2br w:val="nil"/>
              <w:tr2bl w:val="nil"/>
            </w:tcBorders>
            <w:vAlign w:val="center"/>
          </w:tcPr>
          <w:p w14:paraId="5D81D7E2">
            <w:pPr>
              <w:keepNext w:val="0"/>
              <w:keepLines w:val="0"/>
              <w:widowControl/>
              <w:suppressLineNumbers w:val="0"/>
              <w:autoSpaceDE w:val="0"/>
              <w:autoSpaceDN w:val="0"/>
              <w:jc w:val="center"/>
              <w:textAlignment w:val="center"/>
              <w:rPr>
                <w:rFonts w:hint="eastAsia" w:ascii="Times New Roman" w:hAnsi="Times New Roman" w:cs="Times New Roman"/>
                <w:color w:val="auto"/>
                <w:spacing w:val="2"/>
                <w:position w:val="1"/>
                <w:sz w:val="21"/>
                <w:szCs w:val="21"/>
                <w:highlight w:val="none"/>
                <w:lang w:eastAsia="en-US"/>
              </w:rPr>
            </w:pPr>
            <w:r>
              <w:rPr>
                <w:rFonts w:hint="default" w:ascii="Times New Roman" w:hAnsi="Times New Roman" w:eastAsia="等线" w:cs="Times New Roman"/>
                <w:i w:val="0"/>
                <w:iCs w:val="0"/>
                <w:color w:val="auto"/>
                <w:kern w:val="0"/>
                <w:sz w:val="21"/>
                <w:szCs w:val="21"/>
                <w:highlight w:val="none"/>
                <w:u w:val="none"/>
                <w:lang w:val="en-US" w:eastAsia="zh-CN" w:bidi="ar"/>
              </w:rPr>
              <w:t>/</w:t>
            </w:r>
          </w:p>
        </w:tc>
        <w:tc>
          <w:tcPr>
            <w:tcW w:w="1588" w:type="dxa"/>
            <w:tcBorders>
              <w:tl2br w:val="nil"/>
              <w:tr2bl w:val="nil"/>
            </w:tcBorders>
            <w:vAlign w:val="center"/>
          </w:tcPr>
          <w:p w14:paraId="223CCC80">
            <w:pPr>
              <w:keepNext w:val="0"/>
              <w:keepLines w:val="0"/>
              <w:pageBreakBefore w:val="0"/>
              <w:widowControl/>
              <w:kinsoku/>
              <w:wordWrap/>
              <w:overflowPunct/>
              <w:topLinePunct w:val="0"/>
              <w:autoSpaceDE/>
              <w:autoSpaceDN/>
              <w:bidi w:val="0"/>
              <w:ind w:left="0" w:leftChars="0" w:right="0" w:rightChars="0"/>
              <w:jc w:val="center"/>
              <w:rPr>
                <w:rFonts w:hint="eastAsia" w:ascii="Times New Roman" w:hAnsi="Times New Roman" w:cs="Times New Roman"/>
                <w:color w:val="auto"/>
                <w:sz w:val="21"/>
                <w:szCs w:val="21"/>
                <w:highlight w:val="none"/>
                <w:lang w:eastAsia="en-US"/>
              </w:rPr>
            </w:pPr>
            <w:r>
              <w:rPr>
                <w:rFonts w:hint="eastAsia" w:ascii="Times New Roman" w:hAnsi="Times New Roman" w:cs="Times New Roman"/>
                <w:color w:val="auto"/>
                <w:sz w:val="21"/>
                <w:szCs w:val="21"/>
                <w:highlight w:val="none"/>
                <w:lang w:eastAsia="en-US"/>
              </w:rPr>
              <w:t>/</w:t>
            </w:r>
          </w:p>
        </w:tc>
        <w:tc>
          <w:tcPr>
            <w:tcW w:w="1379" w:type="dxa"/>
            <w:tcBorders>
              <w:tl2br w:val="nil"/>
              <w:tr2bl w:val="nil"/>
            </w:tcBorders>
            <w:vAlign w:val="center"/>
          </w:tcPr>
          <w:p w14:paraId="35167B6E">
            <w:pPr>
              <w:keepNext w:val="0"/>
              <w:keepLines w:val="0"/>
              <w:widowControl/>
              <w:suppressLineNumbers w:val="0"/>
              <w:autoSpaceDE w:val="0"/>
              <w:autoSpaceDN w:val="0"/>
              <w:jc w:val="center"/>
              <w:textAlignment w:val="center"/>
              <w:rPr>
                <w:rFonts w:ascii="Times New Roman" w:hAnsi="Times New Roman" w:eastAsia="等线" w:cs="Times New Roman"/>
                <w:color w:val="auto"/>
                <w:sz w:val="21"/>
                <w:szCs w:val="21"/>
                <w:highlight w:val="none"/>
                <w:lang w:eastAsia="en-US" w:bidi="ar"/>
              </w:rPr>
            </w:pPr>
            <w:r>
              <w:rPr>
                <w:rFonts w:hint="default" w:ascii="Times New Roman" w:hAnsi="Times New Roman" w:eastAsia="等线" w:cs="Times New Roman"/>
                <w:i w:val="0"/>
                <w:iCs w:val="0"/>
                <w:color w:val="auto"/>
                <w:kern w:val="0"/>
                <w:sz w:val="21"/>
                <w:szCs w:val="21"/>
                <w:highlight w:val="none"/>
                <w:u w:val="none"/>
                <w:lang w:val="en-US" w:eastAsia="zh-CN" w:bidi="ar"/>
              </w:rPr>
              <w:t>/</w:t>
            </w:r>
          </w:p>
        </w:tc>
      </w:tr>
      <w:tr w14:paraId="7EB8D8AE">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691" w:type="dxa"/>
            <w:vMerge w:val="restart"/>
            <w:tcBorders>
              <w:tl2br w:val="nil"/>
              <w:tr2bl w:val="nil"/>
            </w:tcBorders>
            <w:vAlign w:val="center"/>
          </w:tcPr>
          <w:p w14:paraId="7D614B11">
            <w:pPr>
              <w:pStyle w:val="236"/>
              <w:keepNext w:val="0"/>
              <w:keepLines w:val="0"/>
              <w:pageBreakBefore w:val="0"/>
              <w:widowControl/>
              <w:kinsoku/>
              <w:wordWrap/>
              <w:overflowPunct/>
              <w:topLinePunct w:val="0"/>
              <w:autoSpaceDE/>
              <w:autoSpaceDN/>
              <w:bidi w:val="0"/>
              <w:ind w:left="0" w:right="0"/>
              <w:jc w:val="center"/>
              <w:rPr>
                <w:rFonts w:ascii="Times New Roman" w:hAnsi="Times New Roman" w:eastAsia="宋体" w:cs="Times New Roman"/>
                <w:color w:val="auto"/>
                <w:sz w:val="21"/>
                <w:szCs w:val="21"/>
                <w:highlight w:val="none"/>
              </w:rPr>
            </w:pPr>
            <w:r>
              <w:rPr>
                <w:rFonts w:ascii="Times New Roman" w:hAnsi="Times New Roman" w:eastAsia="宋体" w:cs="Times New Roman"/>
                <w:color w:val="auto"/>
                <w:spacing w:val="3"/>
                <w:sz w:val="21"/>
                <w:szCs w:val="21"/>
                <w:highlight w:val="none"/>
              </w:rPr>
              <w:t>危废</w:t>
            </w:r>
          </w:p>
        </w:tc>
        <w:tc>
          <w:tcPr>
            <w:tcW w:w="2682" w:type="dxa"/>
            <w:gridSpan w:val="2"/>
            <w:tcBorders>
              <w:tl2br w:val="nil"/>
              <w:tr2bl w:val="nil"/>
            </w:tcBorders>
            <w:vAlign w:val="center"/>
          </w:tcPr>
          <w:p w14:paraId="5AF8F9D8">
            <w:pPr>
              <w:pStyle w:val="236"/>
              <w:keepNext w:val="0"/>
              <w:keepLines w:val="0"/>
              <w:pageBreakBefore w:val="0"/>
              <w:widowControl/>
              <w:kinsoku/>
              <w:wordWrap/>
              <w:overflowPunct/>
              <w:topLinePunct w:val="0"/>
              <w:autoSpaceDE/>
              <w:autoSpaceDN/>
              <w:bidi w:val="0"/>
              <w:ind w:left="0" w:right="0"/>
              <w:jc w:val="center"/>
              <w:rPr>
                <w:rFonts w:ascii="Times New Roman" w:hAnsi="Times New Roman" w:eastAsia="宋体" w:cs="Times New Roman"/>
                <w:color w:val="auto"/>
                <w:sz w:val="21"/>
                <w:szCs w:val="21"/>
                <w:highlight w:val="none"/>
              </w:rPr>
            </w:pPr>
            <w:r>
              <w:rPr>
                <w:rFonts w:ascii="Times New Roman" w:hAnsi="Times New Roman" w:eastAsia="宋体" w:cs="Times New Roman"/>
                <w:color w:val="auto"/>
                <w:spacing w:val="8"/>
                <w:sz w:val="21"/>
                <w:szCs w:val="21"/>
                <w:highlight w:val="none"/>
              </w:rPr>
              <w:t>过滤残渣、浸润废料</w:t>
            </w:r>
          </w:p>
        </w:tc>
        <w:tc>
          <w:tcPr>
            <w:tcW w:w="966" w:type="dxa"/>
            <w:tcBorders>
              <w:tl2br w:val="nil"/>
              <w:tr2bl w:val="nil"/>
            </w:tcBorders>
            <w:vAlign w:val="center"/>
          </w:tcPr>
          <w:p w14:paraId="4F396BE3">
            <w:pPr>
              <w:pStyle w:val="236"/>
              <w:keepNext w:val="0"/>
              <w:keepLines w:val="0"/>
              <w:pageBreakBefore w:val="0"/>
              <w:widowControl/>
              <w:kinsoku/>
              <w:wordWrap/>
              <w:overflowPunct/>
              <w:topLinePunct w:val="0"/>
              <w:autoSpaceDE/>
              <w:autoSpaceDN/>
              <w:bidi w:val="0"/>
              <w:ind w:left="0" w:right="0"/>
              <w:jc w:val="center"/>
              <w:rPr>
                <w:rFonts w:ascii="Times New Roman" w:hAnsi="Times New Roman" w:eastAsia="宋体" w:cs="Times New Roman"/>
                <w:color w:val="auto"/>
                <w:sz w:val="21"/>
                <w:szCs w:val="21"/>
                <w:highlight w:val="none"/>
              </w:rPr>
            </w:pPr>
            <w:r>
              <w:rPr>
                <w:rFonts w:ascii="Times New Roman" w:hAnsi="Times New Roman" w:eastAsia="宋体" w:cs="Times New Roman"/>
                <w:color w:val="auto"/>
                <w:spacing w:val="-5"/>
                <w:sz w:val="21"/>
                <w:szCs w:val="21"/>
                <w:highlight w:val="none"/>
              </w:rPr>
              <w:t>固体</w:t>
            </w:r>
          </w:p>
        </w:tc>
        <w:tc>
          <w:tcPr>
            <w:tcW w:w="1198" w:type="dxa"/>
            <w:tcBorders>
              <w:tl2br w:val="nil"/>
              <w:tr2bl w:val="nil"/>
            </w:tcBorders>
            <w:vAlign w:val="center"/>
          </w:tcPr>
          <w:p w14:paraId="5B7807C4">
            <w:pPr>
              <w:keepNext w:val="0"/>
              <w:keepLines w:val="0"/>
              <w:widowControl/>
              <w:suppressLineNumbers w:val="0"/>
              <w:autoSpaceDE w:val="0"/>
              <w:autoSpaceDN w:val="0"/>
              <w:jc w:val="center"/>
              <w:textAlignment w:val="center"/>
              <w:rPr>
                <w:rFonts w:ascii="Times New Roman" w:hAnsi="Times New Roman" w:cs="Times New Roman"/>
                <w:color w:val="auto"/>
                <w:sz w:val="21"/>
                <w:szCs w:val="21"/>
                <w:highlight w:val="none"/>
                <w:lang w:eastAsia="en-US"/>
              </w:rPr>
            </w:pPr>
            <w:r>
              <w:rPr>
                <w:rFonts w:hint="default" w:ascii="Times New Roman" w:hAnsi="Times New Roman" w:eastAsia="等线" w:cs="Times New Roman"/>
                <w:i w:val="0"/>
                <w:iCs w:val="0"/>
                <w:color w:val="auto"/>
                <w:kern w:val="0"/>
                <w:sz w:val="21"/>
                <w:szCs w:val="21"/>
                <w:highlight w:val="none"/>
                <w:u w:val="none"/>
                <w:lang w:val="en-US" w:eastAsia="zh-CN" w:bidi="ar"/>
              </w:rPr>
              <w:t>3.4</w:t>
            </w:r>
          </w:p>
        </w:tc>
        <w:tc>
          <w:tcPr>
            <w:tcW w:w="1588" w:type="dxa"/>
            <w:tcBorders>
              <w:tl2br w:val="nil"/>
              <w:tr2bl w:val="nil"/>
            </w:tcBorders>
            <w:vAlign w:val="center"/>
          </w:tcPr>
          <w:p w14:paraId="07C84DEB">
            <w:pPr>
              <w:keepNext w:val="0"/>
              <w:keepLines w:val="0"/>
              <w:pageBreakBefore w:val="0"/>
              <w:widowControl/>
              <w:kinsoku/>
              <w:wordWrap/>
              <w:overflowPunct/>
              <w:topLinePunct w:val="0"/>
              <w:autoSpaceDE/>
              <w:autoSpaceDN/>
              <w:bidi w:val="0"/>
              <w:ind w:left="0" w:right="0"/>
              <w:jc w:val="center"/>
              <w:rPr>
                <w:rFonts w:ascii="Times New Roman" w:hAnsi="Times New Roman" w:cs="Times New Roman"/>
                <w:color w:val="auto"/>
                <w:sz w:val="21"/>
                <w:szCs w:val="21"/>
                <w:highlight w:val="none"/>
                <w:lang w:eastAsia="en-US"/>
              </w:rPr>
            </w:pPr>
            <w:r>
              <w:rPr>
                <w:rFonts w:hint="eastAsia" w:ascii="Times New Roman" w:hAnsi="Times New Roman" w:cs="Times New Roman"/>
                <w:color w:val="auto"/>
                <w:spacing w:val="7"/>
                <w:sz w:val="21"/>
                <w:szCs w:val="21"/>
                <w:highlight w:val="none"/>
                <w:lang w:eastAsia="en-US"/>
              </w:rPr>
              <w:t>1</w:t>
            </w:r>
            <w:r>
              <w:rPr>
                <w:rFonts w:ascii="Times New Roman" w:hAnsi="Times New Roman" w:cs="Times New Roman"/>
                <w:color w:val="auto"/>
                <w:spacing w:val="7"/>
                <w:sz w:val="21"/>
                <w:szCs w:val="21"/>
                <w:highlight w:val="none"/>
                <w:lang w:eastAsia="en-US"/>
              </w:rPr>
              <w:t>00</w:t>
            </w:r>
            <w:r>
              <w:rPr>
                <w:rFonts w:hint="eastAsia" w:ascii="Times New Roman" w:hAnsi="Times New Roman" w:cs="Times New Roman"/>
                <w:color w:val="auto"/>
                <w:spacing w:val="7"/>
                <w:sz w:val="21"/>
                <w:szCs w:val="21"/>
                <w:highlight w:val="none"/>
                <w:lang w:eastAsia="en-US"/>
              </w:rPr>
              <w:t>*</w:t>
            </w:r>
          </w:p>
        </w:tc>
        <w:tc>
          <w:tcPr>
            <w:tcW w:w="1379" w:type="dxa"/>
            <w:tcBorders>
              <w:tl2br w:val="nil"/>
              <w:tr2bl w:val="nil"/>
            </w:tcBorders>
            <w:vAlign w:val="center"/>
          </w:tcPr>
          <w:p w14:paraId="207FFC74">
            <w:pPr>
              <w:keepNext w:val="0"/>
              <w:keepLines w:val="0"/>
              <w:widowControl/>
              <w:suppressLineNumbers w:val="0"/>
              <w:autoSpaceDE w:val="0"/>
              <w:autoSpaceDN w:val="0"/>
              <w:jc w:val="center"/>
              <w:textAlignment w:val="center"/>
              <w:rPr>
                <w:rFonts w:ascii="Times New Roman" w:hAnsi="Times New Roman" w:cs="Times New Roman"/>
                <w:color w:val="auto"/>
                <w:sz w:val="21"/>
                <w:szCs w:val="21"/>
                <w:highlight w:val="none"/>
                <w:lang w:eastAsia="en-US"/>
              </w:rPr>
            </w:pPr>
            <w:r>
              <w:rPr>
                <w:rFonts w:hint="default" w:ascii="Times New Roman" w:hAnsi="Times New Roman" w:eastAsia="等线" w:cs="Times New Roman"/>
                <w:i w:val="0"/>
                <w:iCs w:val="0"/>
                <w:color w:val="auto"/>
                <w:kern w:val="0"/>
                <w:sz w:val="21"/>
                <w:szCs w:val="21"/>
                <w:highlight w:val="none"/>
                <w:u w:val="none"/>
                <w:lang w:val="en-US" w:eastAsia="zh-CN" w:bidi="ar"/>
              </w:rPr>
              <w:t>0.034</w:t>
            </w:r>
          </w:p>
        </w:tc>
      </w:tr>
      <w:tr w14:paraId="3A20FC2B">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691" w:type="dxa"/>
            <w:vMerge w:val="continue"/>
            <w:tcBorders>
              <w:tl2br w:val="nil"/>
              <w:tr2bl w:val="nil"/>
            </w:tcBorders>
            <w:vAlign w:val="center"/>
          </w:tcPr>
          <w:p w14:paraId="6EEA098F">
            <w:pPr>
              <w:keepNext w:val="0"/>
              <w:keepLines w:val="0"/>
              <w:pageBreakBefore w:val="0"/>
              <w:widowControl/>
              <w:kinsoku/>
              <w:wordWrap/>
              <w:overflowPunct/>
              <w:topLinePunct w:val="0"/>
              <w:autoSpaceDE/>
              <w:autoSpaceDN/>
              <w:bidi w:val="0"/>
              <w:ind w:left="0" w:right="0"/>
              <w:jc w:val="center"/>
              <w:rPr>
                <w:rFonts w:ascii="Times New Roman" w:hAnsi="Times New Roman" w:cs="Times New Roman"/>
                <w:color w:val="auto"/>
                <w:sz w:val="21"/>
                <w:szCs w:val="21"/>
                <w:highlight w:val="none"/>
                <w:lang w:eastAsia="en-US"/>
              </w:rPr>
            </w:pPr>
          </w:p>
        </w:tc>
        <w:tc>
          <w:tcPr>
            <w:tcW w:w="2682" w:type="dxa"/>
            <w:gridSpan w:val="2"/>
            <w:tcBorders>
              <w:tl2br w:val="nil"/>
              <w:tr2bl w:val="nil"/>
            </w:tcBorders>
            <w:vAlign w:val="center"/>
          </w:tcPr>
          <w:p w14:paraId="05AC8AD7">
            <w:pPr>
              <w:pStyle w:val="236"/>
              <w:keepNext w:val="0"/>
              <w:keepLines w:val="0"/>
              <w:pageBreakBefore w:val="0"/>
              <w:widowControl/>
              <w:kinsoku/>
              <w:wordWrap/>
              <w:overflowPunct/>
              <w:topLinePunct w:val="0"/>
              <w:autoSpaceDE/>
              <w:autoSpaceDN/>
              <w:bidi w:val="0"/>
              <w:ind w:left="0" w:right="0"/>
              <w:jc w:val="center"/>
              <w:rPr>
                <w:rFonts w:ascii="Times New Roman" w:hAnsi="Times New Roman" w:eastAsia="宋体" w:cs="Times New Roman"/>
                <w:color w:val="auto"/>
                <w:sz w:val="21"/>
                <w:szCs w:val="21"/>
                <w:highlight w:val="none"/>
              </w:rPr>
            </w:pPr>
            <w:r>
              <w:rPr>
                <w:rFonts w:ascii="Times New Roman" w:hAnsi="Times New Roman" w:eastAsia="宋体" w:cs="Times New Roman"/>
                <w:color w:val="auto"/>
                <w:spacing w:val="7"/>
                <w:sz w:val="21"/>
                <w:szCs w:val="21"/>
                <w:highlight w:val="none"/>
              </w:rPr>
              <w:t>废滤芯</w:t>
            </w:r>
          </w:p>
        </w:tc>
        <w:tc>
          <w:tcPr>
            <w:tcW w:w="966" w:type="dxa"/>
            <w:tcBorders>
              <w:tl2br w:val="nil"/>
              <w:tr2bl w:val="nil"/>
            </w:tcBorders>
            <w:vAlign w:val="center"/>
          </w:tcPr>
          <w:p w14:paraId="6AEA2A38">
            <w:pPr>
              <w:pStyle w:val="236"/>
              <w:keepNext w:val="0"/>
              <w:keepLines w:val="0"/>
              <w:pageBreakBefore w:val="0"/>
              <w:widowControl/>
              <w:kinsoku/>
              <w:wordWrap/>
              <w:overflowPunct/>
              <w:topLinePunct w:val="0"/>
              <w:autoSpaceDE/>
              <w:autoSpaceDN/>
              <w:bidi w:val="0"/>
              <w:ind w:left="0" w:right="0"/>
              <w:jc w:val="center"/>
              <w:rPr>
                <w:rFonts w:ascii="Times New Roman" w:hAnsi="Times New Roman" w:eastAsia="宋体" w:cs="Times New Roman"/>
                <w:color w:val="auto"/>
                <w:sz w:val="21"/>
                <w:szCs w:val="21"/>
                <w:highlight w:val="none"/>
              </w:rPr>
            </w:pPr>
            <w:r>
              <w:rPr>
                <w:rFonts w:ascii="Times New Roman" w:hAnsi="Times New Roman" w:eastAsia="宋体" w:cs="Times New Roman"/>
                <w:color w:val="auto"/>
                <w:spacing w:val="-5"/>
                <w:sz w:val="21"/>
                <w:szCs w:val="21"/>
                <w:highlight w:val="none"/>
              </w:rPr>
              <w:t>固体</w:t>
            </w:r>
          </w:p>
        </w:tc>
        <w:tc>
          <w:tcPr>
            <w:tcW w:w="1198" w:type="dxa"/>
            <w:tcBorders>
              <w:tl2br w:val="nil"/>
              <w:tr2bl w:val="nil"/>
            </w:tcBorders>
            <w:vAlign w:val="center"/>
          </w:tcPr>
          <w:p w14:paraId="4A393D43">
            <w:pPr>
              <w:keepNext w:val="0"/>
              <w:keepLines w:val="0"/>
              <w:widowControl/>
              <w:suppressLineNumbers w:val="0"/>
              <w:autoSpaceDE w:val="0"/>
              <w:autoSpaceDN w:val="0"/>
              <w:jc w:val="center"/>
              <w:textAlignment w:val="center"/>
              <w:rPr>
                <w:rFonts w:ascii="Times New Roman" w:hAnsi="Times New Roman" w:cs="Times New Roman"/>
                <w:color w:val="auto"/>
                <w:sz w:val="21"/>
                <w:szCs w:val="21"/>
                <w:highlight w:val="none"/>
                <w:lang w:eastAsia="en-US"/>
              </w:rPr>
            </w:pPr>
            <w:r>
              <w:rPr>
                <w:rFonts w:hint="default" w:ascii="Times New Roman" w:hAnsi="Times New Roman" w:eastAsia="等线" w:cs="Times New Roman"/>
                <w:i w:val="0"/>
                <w:iCs w:val="0"/>
                <w:color w:val="auto"/>
                <w:kern w:val="0"/>
                <w:sz w:val="21"/>
                <w:szCs w:val="21"/>
                <w:highlight w:val="none"/>
                <w:u w:val="none"/>
                <w:lang w:val="en-US" w:eastAsia="zh-CN" w:bidi="ar"/>
              </w:rPr>
              <w:t>1.25</w:t>
            </w:r>
          </w:p>
        </w:tc>
        <w:tc>
          <w:tcPr>
            <w:tcW w:w="1588" w:type="dxa"/>
            <w:tcBorders>
              <w:tl2br w:val="nil"/>
              <w:tr2bl w:val="nil"/>
            </w:tcBorders>
            <w:vAlign w:val="center"/>
          </w:tcPr>
          <w:p w14:paraId="61D2AC18">
            <w:pPr>
              <w:keepNext w:val="0"/>
              <w:keepLines w:val="0"/>
              <w:pageBreakBefore w:val="0"/>
              <w:widowControl/>
              <w:kinsoku/>
              <w:wordWrap/>
              <w:overflowPunct/>
              <w:topLinePunct w:val="0"/>
              <w:autoSpaceDE/>
              <w:autoSpaceDN/>
              <w:bidi w:val="0"/>
              <w:ind w:left="0" w:right="0"/>
              <w:jc w:val="center"/>
              <w:rPr>
                <w:rFonts w:ascii="Times New Roman" w:hAnsi="Times New Roman" w:cs="Times New Roman"/>
                <w:color w:val="auto"/>
                <w:sz w:val="21"/>
                <w:szCs w:val="21"/>
                <w:highlight w:val="none"/>
                <w:lang w:eastAsia="en-US"/>
              </w:rPr>
            </w:pPr>
            <w:r>
              <w:rPr>
                <w:rFonts w:hint="eastAsia" w:ascii="Times New Roman" w:hAnsi="Times New Roman" w:cs="Times New Roman"/>
                <w:color w:val="auto"/>
                <w:spacing w:val="7"/>
                <w:sz w:val="21"/>
                <w:szCs w:val="21"/>
                <w:highlight w:val="none"/>
                <w:lang w:eastAsia="en-US"/>
              </w:rPr>
              <w:t>1</w:t>
            </w:r>
            <w:r>
              <w:rPr>
                <w:rFonts w:ascii="Times New Roman" w:hAnsi="Times New Roman" w:cs="Times New Roman"/>
                <w:color w:val="auto"/>
                <w:spacing w:val="7"/>
                <w:sz w:val="21"/>
                <w:szCs w:val="21"/>
                <w:highlight w:val="none"/>
                <w:lang w:eastAsia="en-US"/>
              </w:rPr>
              <w:t>00</w:t>
            </w:r>
            <w:r>
              <w:rPr>
                <w:rFonts w:hint="eastAsia" w:ascii="Times New Roman" w:hAnsi="Times New Roman" w:cs="Times New Roman"/>
                <w:color w:val="auto"/>
                <w:spacing w:val="7"/>
                <w:sz w:val="21"/>
                <w:szCs w:val="21"/>
                <w:highlight w:val="none"/>
                <w:lang w:eastAsia="en-US"/>
              </w:rPr>
              <w:t>*</w:t>
            </w:r>
          </w:p>
        </w:tc>
        <w:tc>
          <w:tcPr>
            <w:tcW w:w="1379" w:type="dxa"/>
            <w:tcBorders>
              <w:tl2br w:val="nil"/>
              <w:tr2bl w:val="nil"/>
            </w:tcBorders>
            <w:vAlign w:val="center"/>
          </w:tcPr>
          <w:p w14:paraId="43A28DBC">
            <w:pPr>
              <w:keepNext w:val="0"/>
              <w:keepLines w:val="0"/>
              <w:widowControl/>
              <w:suppressLineNumbers w:val="0"/>
              <w:autoSpaceDE w:val="0"/>
              <w:autoSpaceDN w:val="0"/>
              <w:jc w:val="center"/>
              <w:textAlignment w:val="center"/>
              <w:rPr>
                <w:rFonts w:ascii="Times New Roman" w:hAnsi="Times New Roman" w:cs="Times New Roman"/>
                <w:color w:val="auto"/>
                <w:sz w:val="21"/>
                <w:szCs w:val="21"/>
                <w:highlight w:val="none"/>
                <w:lang w:eastAsia="en-US"/>
              </w:rPr>
            </w:pPr>
            <w:r>
              <w:rPr>
                <w:rFonts w:hint="default" w:ascii="Times New Roman" w:hAnsi="Times New Roman" w:eastAsia="等线" w:cs="Times New Roman"/>
                <w:i w:val="0"/>
                <w:iCs w:val="0"/>
                <w:color w:val="auto"/>
                <w:kern w:val="0"/>
                <w:sz w:val="21"/>
                <w:szCs w:val="21"/>
                <w:highlight w:val="none"/>
                <w:u w:val="none"/>
                <w:lang w:val="en-US" w:eastAsia="zh-CN" w:bidi="ar"/>
              </w:rPr>
              <w:t>0.0125</w:t>
            </w:r>
          </w:p>
        </w:tc>
      </w:tr>
      <w:tr w14:paraId="0D718D74">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691" w:type="dxa"/>
            <w:vMerge w:val="continue"/>
            <w:tcBorders>
              <w:tl2br w:val="nil"/>
              <w:tr2bl w:val="nil"/>
            </w:tcBorders>
            <w:vAlign w:val="center"/>
          </w:tcPr>
          <w:p w14:paraId="3B4AE908">
            <w:pPr>
              <w:keepNext w:val="0"/>
              <w:keepLines w:val="0"/>
              <w:pageBreakBefore w:val="0"/>
              <w:widowControl/>
              <w:kinsoku/>
              <w:wordWrap/>
              <w:overflowPunct/>
              <w:topLinePunct w:val="0"/>
              <w:autoSpaceDE/>
              <w:autoSpaceDN/>
              <w:bidi w:val="0"/>
              <w:ind w:left="0" w:right="0"/>
              <w:jc w:val="center"/>
              <w:rPr>
                <w:rFonts w:ascii="Times New Roman" w:hAnsi="Times New Roman" w:cs="Times New Roman"/>
                <w:color w:val="auto"/>
                <w:sz w:val="21"/>
                <w:szCs w:val="21"/>
                <w:highlight w:val="none"/>
                <w:lang w:eastAsia="en-US"/>
              </w:rPr>
            </w:pPr>
          </w:p>
        </w:tc>
        <w:tc>
          <w:tcPr>
            <w:tcW w:w="2682" w:type="dxa"/>
            <w:gridSpan w:val="2"/>
            <w:tcBorders>
              <w:tl2br w:val="nil"/>
              <w:tr2bl w:val="nil"/>
            </w:tcBorders>
            <w:vAlign w:val="center"/>
          </w:tcPr>
          <w:p w14:paraId="15F196CE">
            <w:pPr>
              <w:pStyle w:val="236"/>
              <w:keepNext w:val="0"/>
              <w:keepLines w:val="0"/>
              <w:pageBreakBefore w:val="0"/>
              <w:widowControl/>
              <w:kinsoku/>
              <w:wordWrap/>
              <w:overflowPunct/>
              <w:topLinePunct w:val="0"/>
              <w:autoSpaceDE/>
              <w:autoSpaceDN/>
              <w:bidi w:val="0"/>
              <w:ind w:left="0" w:right="0"/>
              <w:jc w:val="center"/>
              <w:rPr>
                <w:rFonts w:ascii="Times New Roman" w:hAnsi="Times New Roman" w:eastAsia="宋体" w:cs="Times New Roman"/>
                <w:color w:val="auto"/>
                <w:sz w:val="21"/>
                <w:szCs w:val="21"/>
                <w:highlight w:val="none"/>
              </w:rPr>
            </w:pPr>
            <w:r>
              <w:rPr>
                <w:rFonts w:ascii="Times New Roman" w:hAnsi="Times New Roman" w:eastAsia="宋体" w:cs="Times New Roman"/>
                <w:color w:val="auto"/>
                <w:spacing w:val="7"/>
                <w:sz w:val="21"/>
                <w:szCs w:val="21"/>
                <w:highlight w:val="none"/>
              </w:rPr>
              <w:t>废丁酮</w:t>
            </w:r>
          </w:p>
        </w:tc>
        <w:tc>
          <w:tcPr>
            <w:tcW w:w="966" w:type="dxa"/>
            <w:tcBorders>
              <w:tl2br w:val="nil"/>
              <w:tr2bl w:val="nil"/>
            </w:tcBorders>
            <w:vAlign w:val="center"/>
          </w:tcPr>
          <w:p w14:paraId="31BCC46C">
            <w:pPr>
              <w:pStyle w:val="236"/>
              <w:keepNext w:val="0"/>
              <w:keepLines w:val="0"/>
              <w:pageBreakBefore w:val="0"/>
              <w:widowControl/>
              <w:kinsoku/>
              <w:wordWrap/>
              <w:overflowPunct/>
              <w:topLinePunct w:val="0"/>
              <w:autoSpaceDE/>
              <w:autoSpaceDN/>
              <w:bidi w:val="0"/>
              <w:ind w:left="0" w:right="0"/>
              <w:jc w:val="center"/>
              <w:rPr>
                <w:rFonts w:ascii="Times New Roman" w:hAnsi="Times New Roman" w:eastAsia="宋体" w:cs="Times New Roman"/>
                <w:color w:val="auto"/>
                <w:sz w:val="21"/>
                <w:szCs w:val="21"/>
                <w:highlight w:val="none"/>
              </w:rPr>
            </w:pPr>
            <w:r>
              <w:rPr>
                <w:rFonts w:ascii="Times New Roman" w:hAnsi="Times New Roman" w:eastAsia="宋体" w:cs="Times New Roman"/>
                <w:color w:val="auto"/>
                <w:spacing w:val="3"/>
                <w:sz w:val="21"/>
                <w:szCs w:val="21"/>
                <w:highlight w:val="none"/>
              </w:rPr>
              <w:t>液体</w:t>
            </w:r>
          </w:p>
        </w:tc>
        <w:tc>
          <w:tcPr>
            <w:tcW w:w="1198" w:type="dxa"/>
            <w:tcBorders>
              <w:tl2br w:val="nil"/>
              <w:tr2bl w:val="nil"/>
            </w:tcBorders>
            <w:vAlign w:val="center"/>
          </w:tcPr>
          <w:p w14:paraId="654B58BB">
            <w:pPr>
              <w:keepNext w:val="0"/>
              <w:keepLines w:val="0"/>
              <w:widowControl/>
              <w:suppressLineNumbers w:val="0"/>
              <w:autoSpaceDE w:val="0"/>
              <w:autoSpaceDN w:val="0"/>
              <w:jc w:val="center"/>
              <w:textAlignment w:val="center"/>
              <w:rPr>
                <w:rFonts w:ascii="Times New Roman" w:hAnsi="Times New Roman" w:cs="Times New Roman"/>
                <w:color w:val="auto"/>
                <w:sz w:val="21"/>
                <w:szCs w:val="21"/>
                <w:highlight w:val="none"/>
                <w:lang w:eastAsia="en-US"/>
              </w:rPr>
            </w:pPr>
            <w:r>
              <w:rPr>
                <w:rFonts w:hint="default" w:ascii="Times New Roman" w:hAnsi="Times New Roman" w:eastAsia="等线" w:cs="Times New Roman"/>
                <w:i w:val="0"/>
                <w:iCs w:val="0"/>
                <w:color w:val="auto"/>
                <w:kern w:val="0"/>
                <w:sz w:val="21"/>
                <w:szCs w:val="21"/>
                <w:highlight w:val="none"/>
                <w:u w:val="none"/>
                <w:lang w:val="en-US" w:eastAsia="zh-CN" w:bidi="ar"/>
              </w:rPr>
              <w:t>5</w:t>
            </w:r>
          </w:p>
        </w:tc>
        <w:tc>
          <w:tcPr>
            <w:tcW w:w="1588" w:type="dxa"/>
            <w:tcBorders>
              <w:tl2br w:val="nil"/>
              <w:tr2bl w:val="nil"/>
            </w:tcBorders>
            <w:vAlign w:val="center"/>
          </w:tcPr>
          <w:p w14:paraId="4B7E03EB">
            <w:pPr>
              <w:keepNext w:val="0"/>
              <w:keepLines w:val="0"/>
              <w:pageBreakBefore w:val="0"/>
              <w:widowControl/>
              <w:kinsoku/>
              <w:wordWrap/>
              <w:overflowPunct/>
              <w:topLinePunct w:val="0"/>
              <w:autoSpaceDE/>
              <w:autoSpaceDN/>
              <w:bidi w:val="0"/>
              <w:ind w:left="0" w:right="0"/>
              <w:jc w:val="center"/>
              <w:rPr>
                <w:rFonts w:ascii="Times New Roman" w:hAnsi="Times New Roman" w:cs="Times New Roman"/>
                <w:color w:val="auto"/>
                <w:sz w:val="21"/>
                <w:szCs w:val="21"/>
                <w:highlight w:val="none"/>
                <w:lang w:eastAsia="en-US"/>
              </w:rPr>
            </w:pPr>
            <w:r>
              <w:rPr>
                <w:rFonts w:ascii="Times New Roman" w:hAnsi="Times New Roman" w:cs="Times New Roman"/>
                <w:color w:val="auto"/>
                <w:spacing w:val="-8"/>
                <w:sz w:val="21"/>
                <w:szCs w:val="21"/>
                <w:highlight w:val="none"/>
                <w:lang w:eastAsia="en-US"/>
              </w:rPr>
              <w:t>10</w:t>
            </w:r>
          </w:p>
        </w:tc>
        <w:tc>
          <w:tcPr>
            <w:tcW w:w="1379" w:type="dxa"/>
            <w:tcBorders>
              <w:tl2br w:val="nil"/>
              <w:tr2bl w:val="nil"/>
            </w:tcBorders>
            <w:vAlign w:val="center"/>
          </w:tcPr>
          <w:p w14:paraId="5B4204F8">
            <w:pPr>
              <w:keepNext w:val="0"/>
              <w:keepLines w:val="0"/>
              <w:widowControl/>
              <w:suppressLineNumbers w:val="0"/>
              <w:autoSpaceDE w:val="0"/>
              <w:autoSpaceDN w:val="0"/>
              <w:jc w:val="center"/>
              <w:textAlignment w:val="center"/>
              <w:rPr>
                <w:rFonts w:ascii="Times New Roman" w:hAnsi="Times New Roman" w:cs="Times New Roman"/>
                <w:color w:val="auto"/>
                <w:sz w:val="21"/>
                <w:szCs w:val="21"/>
                <w:highlight w:val="none"/>
                <w:lang w:eastAsia="en-US"/>
              </w:rPr>
            </w:pPr>
            <w:r>
              <w:rPr>
                <w:rFonts w:hint="default" w:ascii="Times New Roman" w:hAnsi="Times New Roman" w:eastAsia="等线" w:cs="Times New Roman"/>
                <w:i w:val="0"/>
                <w:iCs w:val="0"/>
                <w:color w:val="auto"/>
                <w:kern w:val="0"/>
                <w:sz w:val="21"/>
                <w:szCs w:val="21"/>
                <w:highlight w:val="none"/>
                <w:u w:val="none"/>
                <w:lang w:val="en-US" w:eastAsia="zh-CN" w:bidi="ar"/>
              </w:rPr>
              <w:t>0.5</w:t>
            </w:r>
          </w:p>
        </w:tc>
      </w:tr>
      <w:tr w14:paraId="1EA468F6">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691" w:type="dxa"/>
            <w:vMerge w:val="continue"/>
            <w:tcBorders>
              <w:tl2br w:val="nil"/>
              <w:tr2bl w:val="nil"/>
            </w:tcBorders>
            <w:vAlign w:val="center"/>
          </w:tcPr>
          <w:p w14:paraId="23481CA9">
            <w:pPr>
              <w:keepNext w:val="0"/>
              <w:keepLines w:val="0"/>
              <w:pageBreakBefore w:val="0"/>
              <w:widowControl/>
              <w:kinsoku/>
              <w:wordWrap/>
              <w:overflowPunct/>
              <w:topLinePunct w:val="0"/>
              <w:autoSpaceDE/>
              <w:autoSpaceDN/>
              <w:bidi w:val="0"/>
              <w:ind w:left="0" w:right="0"/>
              <w:jc w:val="center"/>
              <w:rPr>
                <w:rFonts w:ascii="Times New Roman" w:hAnsi="Times New Roman" w:cs="Times New Roman"/>
                <w:color w:val="auto"/>
                <w:sz w:val="21"/>
                <w:szCs w:val="21"/>
                <w:highlight w:val="none"/>
                <w:lang w:eastAsia="en-US"/>
              </w:rPr>
            </w:pPr>
          </w:p>
        </w:tc>
        <w:tc>
          <w:tcPr>
            <w:tcW w:w="2682" w:type="dxa"/>
            <w:gridSpan w:val="2"/>
            <w:tcBorders>
              <w:tl2br w:val="nil"/>
              <w:tr2bl w:val="nil"/>
            </w:tcBorders>
            <w:vAlign w:val="center"/>
          </w:tcPr>
          <w:p w14:paraId="01DC9989">
            <w:pPr>
              <w:pStyle w:val="236"/>
              <w:keepNext w:val="0"/>
              <w:keepLines w:val="0"/>
              <w:pageBreakBefore w:val="0"/>
              <w:widowControl/>
              <w:kinsoku/>
              <w:wordWrap/>
              <w:overflowPunct/>
              <w:topLinePunct w:val="0"/>
              <w:autoSpaceDE/>
              <w:autoSpaceDN/>
              <w:bidi w:val="0"/>
              <w:ind w:left="0" w:right="0"/>
              <w:jc w:val="center"/>
              <w:rPr>
                <w:rFonts w:ascii="Times New Roman" w:hAnsi="Times New Roman" w:eastAsia="宋体" w:cs="Times New Roman"/>
                <w:color w:val="auto"/>
                <w:sz w:val="21"/>
                <w:szCs w:val="21"/>
                <w:highlight w:val="none"/>
              </w:rPr>
            </w:pPr>
            <w:r>
              <w:rPr>
                <w:rFonts w:ascii="Times New Roman" w:hAnsi="Times New Roman" w:eastAsia="宋体" w:cs="Times New Roman"/>
                <w:color w:val="auto"/>
                <w:spacing w:val="7"/>
                <w:sz w:val="21"/>
                <w:szCs w:val="21"/>
                <w:highlight w:val="none"/>
              </w:rPr>
              <w:t>废活性炭</w:t>
            </w:r>
          </w:p>
        </w:tc>
        <w:tc>
          <w:tcPr>
            <w:tcW w:w="966" w:type="dxa"/>
            <w:tcBorders>
              <w:tl2br w:val="nil"/>
              <w:tr2bl w:val="nil"/>
            </w:tcBorders>
            <w:vAlign w:val="center"/>
          </w:tcPr>
          <w:p w14:paraId="61C395CC">
            <w:pPr>
              <w:pStyle w:val="236"/>
              <w:keepNext w:val="0"/>
              <w:keepLines w:val="0"/>
              <w:pageBreakBefore w:val="0"/>
              <w:widowControl/>
              <w:kinsoku/>
              <w:wordWrap/>
              <w:overflowPunct/>
              <w:topLinePunct w:val="0"/>
              <w:autoSpaceDE/>
              <w:autoSpaceDN/>
              <w:bidi w:val="0"/>
              <w:ind w:left="0" w:right="0"/>
              <w:jc w:val="center"/>
              <w:rPr>
                <w:rFonts w:ascii="Times New Roman" w:hAnsi="Times New Roman" w:eastAsia="宋体" w:cs="Times New Roman"/>
                <w:color w:val="auto"/>
                <w:sz w:val="21"/>
                <w:szCs w:val="21"/>
                <w:highlight w:val="none"/>
              </w:rPr>
            </w:pPr>
            <w:r>
              <w:rPr>
                <w:rFonts w:ascii="Times New Roman" w:hAnsi="Times New Roman" w:eastAsia="宋体" w:cs="Times New Roman"/>
                <w:color w:val="auto"/>
                <w:spacing w:val="-5"/>
                <w:sz w:val="21"/>
                <w:szCs w:val="21"/>
                <w:highlight w:val="none"/>
              </w:rPr>
              <w:t>固体</w:t>
            </w:r>
          </w:p>
        </w:tc>
        <w:tc>
          <w:tcPr>
            <w:tcW w:w="1198" w:type="dxa"/>
            <w:tcBorders>
              <w:tl2br w:val="nil"/>
              <w:tr2bl w:val="nil"/>
            </w:tcBorders>
            <w:vAlign w:val="center"/>
          </w:tcPr>
          <w:p w14:paraId="726C652D">
            <w:pPr>
              <w:keepNext w:val="0"/>
              <w:keepLines w:val="0"/>
              <w:widowControl/>
              <w:suppressLineNumbers w:val="0"/>
              <w:autoSpaceDE w:val="0"/>
              <w:autoSpaceDN w:val="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等线" w:cs="Times New Roman"/>
                <w:i w:val="0"/>
                <w:iCs w:val="0"/>
                <w:color w:val="auto"/>
                <w:kern w:val="0"/>
                <w:sz w:val="21"/>
                <w:szCs w:val="21"/>
                <w:highlight w:val="none"/>
                <w:u w:val="none"/>
                <w:lang w:val="en-US" w:eastAsia="zh-CN" w:bidi="ar"/>
              </w:rPr>
              <w:t>18.4089</w:t>
            </w:r>
          </w:p>
        </w:tc>
        <w:tc>
          <w:tcPr>
            <w:tcW w:w="1588" w:type="dxa"/>
            <w:tcBorders>
              <w:tl2br w:val="nil"/>
              <w:tr2bl w:val="nil"/>
            </w:tcBorders>
            <w:vAlign w:val="center"/>
          </w:tcPr>
          <w:p w14:paraId="5582492A">
            <w:pPr>
              <w:keepNext w:val="0"/>
              <w:keepLines w:val="0"/>
              <w:pageBreakBefore w:val="0"/>
              <w:widowControl/>
              <w:kinsoku/>
              <w:wordWrap/>
              <w:overflowPunct/>
              <w:topLinePunct w:val="0"/>
              <w:autoSpaceDE/>
              <w:autoSpaceDN/>
              <w:bidi w:val="0"/>
              <w:ind w:left="0" w:right="0"/>
              <w:jc w:val="center"/>
              <w:rPr>
                <w:rFonts w:ascii="Times New Roman" w:hAnsi="Times New Roman" w:cs="Times New Roman"/>
                <w:color w:val="auto"/>
                <w:sz w:val="21"/>
                <w:szCs w:val="21"/>
                <w:highlight w:val="none"/>
                <w:lang w:eastAsia="en-US"/>
              </w:rPr>
            </w:pPr>
            <w:r>
              <w:rPr>
                <w:rFonts w:hint="eastAsia" w:ascii="Times New Roman" w:hAnsi="Times New Roman" w:cs="Times New Roman"/>
                <w:color w:val="auto"/>
                <w:spacing w:val="7"/>
                <w:sz w:val="21"/>
                <w:szCs w:val="21"/>
                <w:highlight w:val="none"/>
                <w:lang w:eastAsia="en-US"/>
              </w:rPr>
              <w:t>1</w:t>
            </w:r>
            <w:r>
              <w:rPr>
                <w:rFonts w:ascii="Times New Roman" w:hAnsi="Times New Roman" w:cs="Times New Roman"/>
                <w:color w:val="auto"/>
                <w:spacing w:val="7"/>
                <w:sz w:val="21"/>
                <w:szCs w:val="21"/>
                <w:highlight w:val="none"/>
                <w:lang w:eastAsia="en-US"/>
              </w:rPr>
              <w:t>00</w:t>
            </w:r>
            <w:r>
              <w:rPr>
                <w:rFonts w:hint="eastAsia" w:ascii="Times New Roman" w:hAnsi="Times New Roman" w:cs="Times New Roman"/>
                <w:color w:val="auto"/>
                <w:spacing w:val="7"/>
                <w:sz w:val="21"/>
                <w:szCs w:val="21"/>
                <w:highlight w:val="none"/>
                <w:lang w:eastAsia="en-US"/>
              </w:rPr>
              <w:t>*</w:t>
            </w:r>
          </w:p>
        </w:tc>
        <w:tc>
          <w:tcPr>
            <w:tcW w:w="1379" w:type="dxa"/>
            <w:tcBorders>
              <w:tl2br w:val="nil"/>
              <w:tr2bl w:val="nil"/>
            </w:tcBorders>
            <w:vAlign w:val="center"/>
          </w:tcPr>
          <w:p w14:paraId="30056ED2">
            <w:pPr>
              <w:keepNext w:val="0"/>
              <w:keepLines w:val="0"/>
              <w:widowControl/>
              <w:suppressLineNumbers w:val="0"/>
              <w:autoSpaceDE w:val="0"/>
              <w:autoSpaceDN w:val="0"/>
              <w:jc w:val="center"/>
              <w:textAlignment w:val="center"/>
              <w:rPr>
                <w:rFonts w:ascii="Times New Roman" w:hAnsi="Times New Roman" w:cs="Times New Roman"/>
                <w:color w:val="auto"/>
                <w:sz w:val="21"/>
                <w:szCs w:val="21"/>
                <w:highlight w:val="none"/>
                <w:lang w:eastAsia="en-US"/>
              </w:rPr>
            </w:pPr>
            <w:r>
              <w:rPr>
                <w:rFonts w:hint="default" w:ascii="Times New Roman" w:hAnsi="Times New Roman" w:eastAsia="等线" w:cs="Times New Roman"/>
                <w:i w:val="0"/>
                <w:iCs w:val="0"/>
                <w:color w:val="auto"/>
                <w:kern w:val="0"/>
                <w:sz w:val="21"/>
                <w:szCs w:val="21"/>
                <w:highlight w:val="none"/>
                <w:u w:val="none"/>
                <w:lang w:val="en-US" w:eastAsia="zh-CN" w:bidi="ar"/>
              </w:rPr>
              <w:t>0.184089</w:t>
            </w:r>
          </w:p>
        </w:tc>
      </w:tr>
      <w:tr w14:paraId="430D9B0A">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691" w:type="dxa"/>
            <w:vMerge w:val="continue"/>
            <w:tcBorders>
              <w:tl2br w:val="nil"/>
              <w:tr2bl w:val="nil"/>
            </w:tcBorders>
            <w:vAlign w:val="center"/>
          </w:tcPr>
          <w:p w14:paraId="23ED3B62">
            <w:pPr>
              <w:keepNext w:val="0"/>
              <w:keepLines w:val="0"/>
              <w:pageBreakBefore w:val="0"/>
              <w:widowControl/>
              <w:kinsoku/>
              <w:wordWrap/>
              <w:overflowPunct/>
              <w:topLinePunct w:val="0"/>
              <w:autoSpaceDE/>
              <w:autoSpaceDN/>
              <w:bidi w:val="0"/>
              <w:ind w:left="0" w:right="0"/>
              <w:jc w:val="center"/>
              <w:rPr>
                <w:rFonts w:ascii="Times New Roman" w:hAnsi="Times New Roman" w:cs="Times New Roman"/>
                <w:color w:val="auto"/>
                <w:sz w:val="21"/>
                <w:szCs w:val="21"/>
                <w:highlight w:val="none"/>
                <w:lang w:eastAsia="en-US"/>
              </w:rPr>
            </w:pPr>
          </w:p>
        </w:tc>
        <w:tc>
          <w:tcPr>
            <w:tcW w:w="2682" w:type="dxa"/>
            <w:gridSpan w:val="2"/>
            <w:tcBorders>
              <w:tl2br w:val="nil"/>
              <w:tr2bl w:val="nil"/>
            </w:tcBorders>
            <w:vAlign w:val="center"/>
          </w:tcPr>
          <w:p w14:paraId="7C7FC42F">
            <w:pPr>
              <w:pStyle w:val="236"/>
              <w:keepNext w:val="0"/>
              <w:keepLines w:val="0"/>
              <w:pageBreakBefore w:val="0"/>
              <w:widowControl/>
              <w:kinsoku/>
              <w:wordWrap/>
              <w:overflowPunct/>
              <w:topLinePunct w:val="0"/>
              <w:autoSpaceDE/>
              <w:autoSpaceDN/>
              <w:bidi w:val="0"/>
              <w:ind w:left="0" w:right="0"/>
              <w:jc w:val="center"/>
              <w:rPr>
                <w:rFonts w:ascii="Times New Roman" w:hAnsi="Times New Roman" w:eastAsia="宋体" w:cs="Times New Roman"/>
                <w:color w:val="auto"/>
                <w:spacing w:val="7"/>
                <w:sz w:val="21"/>
                <w:szCs w:val="21"/>
                <w:highlight w:val="none"/>
                <w:lang w:eastAsia="zh-CN"/>
              </w:rPr>
            </w:pPr>
            <w:r>
              <w:rPr>
                <w:rFonts w:hint="eastAsia" w:ascii="Times New Roman" w:hAnsi="Times New Roman" w:eastAsia="宋体" w:cs="Times New Roman"/>
                <w:color w:val="auto"/>
                <w:spacing w:val="7"/>
                <w:sz w:val="21"/>
                <w:szCs w:val="21"/>
                <w:highlight w:val="none"/>
                <w:lang w:eastAsia="zh-CN"/>
              </w:rPr>
              <w:t>废包装桶（</w:t>
            </w:r>
            <w:r>
              <w:rPr>
                <w:rFonts w:hint="eastAsia" w:ascii="Times New Roman" w:hAnsi="Times New Roman" w:eastAsia="宋体" w:cs="Times New Roman"/>
                <w:color w:val="auto"/>
                <w:spacing w:val="7"/>
                <w:sz w:val="21"/>
                <w:szCs w:val="21"/>
                <w:highlight w:val="none"/>
                <w:lang w:val="en-US" w:eastAsia="zh-CN"/>
              </w:rPr>
              <w:t>瓶</w:t>
            </w:r>
            <w:r>
              <w:rPr>
                <w:rFonts w:hint="eastAsia" w:ascii="Times New Roman" w:hAnsi="Times New Roman" w:eastAsia="宋体" w:cs="Times New Roman"/>
                <w:color w:val="auto"/>
                <w:spacing w:val="7"/>
                <w:sz w:val="21"/>
                <w:szCs w:val="21"/>
                <w:highlight w:val="none"/>
                <w:lang w:eastAsia="zh-CN"/>
              </w:rPr>
              <w:t>）</w:t>
            </w:r>
          </w:p>
        </w:tc>
        <w:tc>
          <w:tcPr>
            <w:tcW w:w="966" w:type="dxa"/>
            <w:tcBorders>
              <w:tl2br w:val="nil"/>
              <w:tr2bl w:val="nil"/>
            </w:tcBorders>
            <w:vAlign w:val="center"/>
          </w:tcPr>
          <w:p w14:paraId="347EDC18">
            <w:pPr>
              <w:pStyle w:val="236"/>
              <w:keepNext w:val="0"/>
              <w:keepLines w:val="0"/>
              <w:pageBreakBefore w:val="0"/>
              <w:widowControl/>
              <w:kinsoku/>
              <w:wordWrap/>
              <w:overflowPunct/>
              <w:topLinePunct w:val="0"/>
              <w:autoSpaceDE/>
              <w:autoSpaceDN/>
              <w:bidi w:val="0"/>
              <w:ind w:left="0" w:right="0"/>
              <w:jc w:val="center"/>
              <w:rPr>
                <w:rFonts w:ascii="Times New Roman" w:hAnsi="Times New Roman" w:eastAsia="宋体" w:cs="Times New Roman"/>
                <w:color w:val="auto"/>
                <w:spacing w:val="-5"/>
                <w:sz w:val="21"/>
                <w:szCs w:val="21"/>
                <w:highlight w:val="none"/>
                <w:lang w:eastAsia="zh-CN"/>
              </w:rPr>
            </w:pPr>
            <w:r>
              <w:rPr>
                <w:rFonts w:hint="eastAsia" w:ascii="Times New Roman" w:hAnsi="Times New Roman" w:eastAsia="宋体" w:cs="Times New Roman"/>
                <w:color w:val="auto"/>
                <w:spacing w:val="-5"/>
                <w:sz w:val="21"/>
                <w:szCs w:val="21"/>
                <w:highlight w:val="none"/>
                <w:lang w:eastAsia="zh-CN"/>
              </w:rPr>
              <w:t>固体</w:t>
            </w:r>
          </w:p>
        </w:tc>
        <w:tc>
          <w:tcPr>
            <w:tcW w:w="1198" w:type="dxa"/>
            <w:tcBorders>
              <w:tl2br w:val="nil"/>
              <w:tr2bl w:val="nil"/>
            </w:tcBorders>
            <w:vAlign w:val="center"/>
          </w:tcPr>
          <w:p w14:paraId="4D9BA4FD">
            <w:pPr>
              <w:keepNext w:val="0"/>
              <w:keepLines w:val="0"/>
              <w:widowControl/>
              <w:suppressLineNumbers w:val="0"/>
              <w:autoSpaceDE w:val="0"/>
              <w:autoSpaceDN w:val="0"/>
              <w:jc w:val="center"/>
              <w:textAlignment w:val="center"/>
              <w:rPr>
                <w:rFonts w:ascii="Times New Roman" w:hAnsi="Times New Roman" w:cs="Times New Roman"/>
                <w:color w:val="auto"/>
                <w:spacing w:val="2"/>
                <w:sz w:val="21"/>
                <w:szCs w:val="21"/>
                <w:highlight w:val="none"/>
                <w:lang w:eastAsia="en-US"/>
              </w:rPr>
            </w:pPr>
            <w:r>
              <w:rPr>
                <w:rFonts w:hint="default" w:ascii="Times New Roman" w:hAnsi="Times New Roman" w:eastAsia="等线" w:cs="Times New Roman"/>
                <w:i w:val="0"/>
                <w:iCs w:val="0"/>
                <w:color w:val="auto"/>
                <w:kern w:val="0"/>
                <w:sz w:val="21"/>
                <w:szCs w:val="21"/>
                <w:highlight w:val="none"/>
                <w:u w:val="none"/>
                <w:lang w:val="en-US" w:eastAsia="zh-CN" w:bidi="ar"/>
              </w:rPr>
              <w:t>15.35</w:t>
            </w:r>
          </w:p>
        </w:tc>
        <w:tc>
          <w:tcPr>
            <w:tcW w:w="1588" w:type="dxa"/>
            <w:tcBorders>
              <w:tl2br w:val="nil"/>
              <w:tr2bl w:val="nil"/>
            </w:tcBorders>
            <w:vAlign w:val="center"/>
          </w:tcPr>
          <w:p w14:paraId="47B5D3DA">
            <w:pPr>
              <w:keepNext w:val="0"/>
              <w:keepLines w:val="0"/>
              <w:pageBreakBefore w:val="0"/>
              <w:widowControl/>
              <w:kinsoku/>
              <w:wordWrap/>
              <w:overflowPunct/>
              <w:topLinePunct w:val="0"/>
              <w:autoSpaceDE/>
              <w:autoSpaceDN/>
              <w:bidi w:val="0"/>
              <w:ind w:left="0" w:right="0"/>
              <w:jc w:val="center"/>
              <w:rPr>
                <w:rFonts w:ascii="Times New Roman" w:hAnsi="Times New Roman" w:cs="Times New Roman"/>
                <w:color w:val="auto"/>
                <w:spacing w:val="7"/>
                <w:sz w:val="21"/>
                <w:szCs w:val="21"/>
                <w:highlight w:val="none"/>
                <w:lang w:eastAsia="en-US"/>
              </w:rPr>
            </w:pPr>
            <w:r>
              <w:rPr>
                <w:rFonts w:hint="eastAsia" w:ascii="Times New Roman" w:hAnsi="Times New Roman" w:cs="Times New Roman"/>
                <w:color w:val="auto"/>
                <w:spacing w:val="7"/>
                <w:sz w:val="21"/>
                <w:szCs w:val="21"/>
                <w:highlight w:val="none"/>
                <w:lang w:eastAsia="en-US"/>
              </w:rPr>
              <w:t>1</w:t>
            </w:r>
            <w:r>
              <w:rPr>
                <w:rFonts w:ascii="Times New Roman" w:hAnsi="Times New Roman" w:cs="Times New Roman"/>
                <w:color w:val="auto"/>
                <w:spacing w:val="7"/>
                <w:sz w:val="21"/>
                <w:szCs w:val="21"/>
                <w:highlight w:val="none"/>
                <w:lang w:eastAsia="en-US"/>
              </w:rPr>
              <w:t>00</w:t>
            </w:r>
            <w:r>
              <w:rPr>
                <w:rFonts w:hint="eastAsia" w:ascii="Times New Roman" w:hAnsi="Times New Roman" w:cs="Times New Roman"/>
                <w:color w:val="auto"/>
                <w:spacing w:val="7"/>
                <w:sz w:val="21"/>
                <w:szCs w:val="21"/>
                <w:highlight w:val="none"/>
                <w:lang w:eastAsia="en-US"/>
              </w:rPr>
              <w:t>*</w:t>
            </w:r>
          </w:p>
        </w:tc>
        <w:tc>
          <w:tcPr>
            <w:tcW w:w="1379" w:type="dxa"/>
            <w:tcBorders>
              <w:tl2br w:val="nil"/>
              <w:tr2bl w:val="nil"/>
            </w:tcBorders>
            <w:vAlign w:val="center"/>
          </w:tcPr>
          <w:p w14:paraId="3D37F9E2">
            <w:pPr>
              <w:keepNext w:val="0"/>
              <w:keepLines w:val="0"/>
              <w:widowControl/>
              <w:suppressLineNumbers w:val="0"/>
              <w:autoSpaceDE w:val="0"/>
              <w:autoSpaceDN w:val="0"/>
              <w:jc w:val="center"/>
              <w:textAlignment w:val="center"/>
              <w:rPr>
                <w:rFonts w:ascii="Times New Roman" w:hAnsi="Times New Roman" w:cs="Times New Roman"/>
                <w:color w:val="auto"/>
                <w:sz w:val="21"/>
                <w:szCs w:val="21"/>
                <w:highlight w:val="none"/>
                <w:lang w:eastAsia="en-US"/>
              </w:rPr>
            </w:pPr>
            <w:r>
              <w:rPr>
                <w:rFonts w:hint="default" w:ascii="Times New Roman" w:hAnsi="Times New Roman" w:eastAsia="等线" w:cs="Times New Roman"/>
                <w:i w:val="0"/>
                <w:iCs w:val="0"/>
                <w:color w:val="auto"/>
                <w:kern w:val="0"/>
                <w:sz w:val="21"/>
                <w:szCs w:val="21"/>
                <w:highlight w:val="none"/>
                <w:u w:val="none"/>
                <w:lang w:val="en-US" w:eastAsia="zh-CN" w:bidi="ar"/>
              </w:rPr>
              <w:t>0.1535</w:t>
            </w:r>
          </w:p>
        </w:tc>
      </w:tr>
      <w:tr w14:paraId="4F6D9332">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691" w:type="dxa"/>
            <w:vMerge w:val="continue"/>
            <w:tcBorders>
              <w:tl2br w:val="nil"/>
              <w:tr2bl w:val="nil"/>
            </w:tcBorders>
            <w:vAlign w:val="center"/>
          </w:tcPr>
          <w:p w14:paraId="13013ABB">
            <w:pPr>
              <w:keepNext w:val="0"/>
              <w:keepLines w:val="0"/>
              <w:pageBreakBefore w:val="0"/>
              <w:widowControl/>
              <w:kinsoku/>
              <w:wordWrap/>
              <w:overflowPunct/>
              <w:topLinePunct w:val="0"/>
              <w:autoSpaceDE/>
              <w:autoSpaceDN/>
              <w:bidi w:val="0"/>
              <w:ind w:left="0" w:right="0"/>
              <w:jc w:val="center"/>
              <w:rPr>
                <w:rFonts w:ascii="Times New Roman" w:hAnsi="Times New Roman" w:cs="Times New Roman"/>
                <w:color w:val="auto"/>
                <w:sz w:val="21"/>
                <w:szCs w:val="21"/>
                <w:highlight w:val="none"/>
                <w:lang w:eastAsia="en-US"/>
              </w:rPr>
            </w:pPr>
          </w:p>
        </w:tc>
        <w:tc>
          <w:tcPr>
            <w:tcW w:w="2682" w:type="dxa"/>
            <w:gridSpan w:val="2"/>
            <w:tcBorders>
              <w:tl2br w:val="nil"/>
              <w:tr2bl w:val="nil"/>
            </w:tcBorders>
            <w:vAlign w:val="center"/>
          </w:tcPr>
          <w:p w14:paraId="5BC6ECE8">
            <w:pPr>
              <w:pStyle w:val="236"/>
              <w:keepNext w:val="0"/>
              <w:keepLines w:val="0"/>
              <w:pageBreakBefore w:val="0"/>
              <w:widowControl/>
              <w:kinsoku/>
              <w:wordWrap/>
              <w:overflowPunct/>
              <w:topLinePunct w:val="0"/>
              <w:autoSpaceDE/>
              <w:autoSpaceDN/>
              <w:bidi w:val="0"/>
              <w:ind w:left="0" w:right="0"/>
              <w:jc w:val="center"/>
              <w:rPr>
                <w:rFonts w:ascii="Times New Roman" w:hAnsi="Times New Roman" w:eastAsia="宋体" w:cs="Times New Roman"/>
                <w:color w:val="auto"/>
                <w:sz w:val="21"/>
                <w:szCs w:val="21"/>
                <w:highlight w:val="none"/>
              </w:rPr>
            </w:pPr>
            <w:r>
              <w:rPr>
                <w:rFonts w:ascii="Times New Roman" w:hAnsi="Times New Roman" w:eastAsia="宋体" w:cs="Times New Roman"/>
                <w:color w:val="auto"/>
                <w:spacing w:val="5"/>
                <w:sz w:val="21"/>
                <w:szCs w:val="21"/>
                <w:highlight w:val="none"/>
              </w:rPr>
              <w:t>喷淋废液</w:t>
            </w:r>
          </w:p>
        </w:tc>
        <w:tc>
          <w:tcPr>
            <w:tcW w:w="966" w:type="dxa"/>
            <w:tcBorders>
              <w:tl2br w:val="nil"/>
              <w:tr2bl w:val="nil"/>
            </w:tcBorders>
            <w:vAlign w:val="center"/>
          </w:tcPr>
          <w:p w14:paraId="1284BF7C">
            <w:pPr>
              <w:pStyle w:val="236"/>
              <w:keepNext w:val="0"/>
              <w:keepLines w:val="0"/>
              <w:pageBreakBefore w:val="0"/>
              <w:widowControl/>
              <w:kinsoku/>
              <w:wordWrap/>
              <w:overflowPunct/>
              <w:topLinePunct w:val="0"/>
              <w:autoSpaceDE/>
              <w:autoSpaceDN/>
              <w:bidi w:val="0"/>
              <w:ind w:left="0" w:right="0"/>
              <w:jc w:val="center"/>
              <w:rPr>
                <w:rFonts w:ascii="Times New Roman" w:hAnsi="Times New Roman" w:eastAsia="宋体" w:cs="Times New Roman"/>
                <w:color w:val="auto"/>
                <w:sz w:val="21"/>
                <w:szCs w:val="21"/>
                <w:highlight w:val="none"/>
              </w:rPr>
            </w:pPr>
            <w:r>
              <w:rPr>
                <w:rFonts w:ascii="Times New Roman" w:hAnsi="Times New Roman" w:eastAsia="宋体" w:cs="Times New Roman"/>
                <w:color w:val="auto"/>
                <w:spacing w:val="3"/>
                <w:sz w:val="21"/>
                <w:szCs w:val="21"/>
                <w:highlight w:val="none"/>
              </w:rPr>
              <w:t>液体</w:t>
            </w:r>
          </w:p>
        </w:tc>
        <w:tc>
          <w:tcPr>
            <w:tcW w:w="1198" w:type="dxa"/>
            <w:tcBorders>
              <w:tl2br w:val="nil"/>
              <w:tr2bl w:val="nil"/>
            </w:tcBorders>
            <w:vAlign w:val="center"/>
          </w:tcPr>
          <w:p w14:paraId="65D6C5A0">
            <w:pPr>
              <w:keepNext w:val="0"/>
              <w:keepLines w:val="0"/>
              <w:widowControl/>
              <w:suppressLineNumbers w:val="0"/>
              <w:autoSpaceDE w:val="0"/>
              <w:autoSpaceDN w:val="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等线" w:cs="Times New Roman"/>
                <w:i w:val="0"/>
                <w:iCs w:val="0"/>
                <w:color w:val="auto"/>
                <w:kern w:val="0"/>
                <w:sz w:val="21"/>
                <w:szCs w:val="21"/>
                <w:highlight w:val="none"/>
                <w:u w:val="none"/>
                <w:lang w:val="en-US" w:eastAsia="zh-CN" w:bidi="ar"/>
              </w:rPr>
              <w:t>55</w:t>
            </w:r>
          </w:p>
        </w:tc>
        <w:tc>
          <w:tcPr>
            <w:tcW w:w="1588" w:type="dxa"/>
            <w:tcBorders>
              <w:tl2br w:val="nil"/>
              <w:tr2bl w:val="nil"/>
            </w:tcBorders>
            <w:vAlign w:val="center"/>
          </w:tcPr>
          <w:p w14:paraId="2EA3EEF5">
            <w:pPr>
              <w:keepNext w:val="0"/>
              <w:keepLines w:val="0"/>
              <w:pageBreakBefore w:val="0"/>
              <w:widowControl/>
              <w:kinsoku/>
              <w:wordWrap/>
              <w:overflowPunct/>
              <w:topLinePunct w:val="0"/>
              <w:autoSpaceDE/>
              <w:autoSpaceDN/>
              <w:bidi w:val="0"/>
              <w:ind w:left="0" w:right="0"/>
              <w:jc w:val="center"/>
              <w:rPr>
                <w:rFonts w:ascii="Times New Roman" w:hAnsi="Times New Roman" w:cs="Times New Roman"/>
                <w:color w:val="auto"/>
                <w:sz w:val="21"/>
                <w:szCs w:val="21"/>
                <w:highlight w:val="none"/>
                <w:lang w:eastAsia="en-US"/>
              </w:rPr>
            </w:pPr>
            <w:r>
              <w:rPr>
                <w:rFonts w:hint="eastAsia" w:ascii="Times New Roman" w:hAnsi="Times New Roman" w:cs="Times New Roman"/>
                <w:color w:val="auto"/>
                <w:spacing w:val="7"/>
                <w:sz w:val="21"/>
                <w:szCs w:val="21"/>
                <w:highlight w:val="none"/>
                <w:lang w:eastAsia="en-US"/>
              </w:rPr>
              <w:t>1</w:t>
            </w:r>
            <w:r>
              <w:rPr>
                <w:rFonts w:ascii="Times New Roman" w:hAnsi="Times New Roman" w:cs="Times New Roman"/>
                <w:color w:val="auto"/>
                <w:spacing w:val="7"/>
                <w:sz w:val="21"/>
                <w:szCs w:val="21"/>
                <w:highlight w:val="none"/>
                <w:lang w:eastAsia="en-US"/>
              </w:rPr>
              <w:t>00</w:t>
            </w:r>
            <w:r>
              <w:rPr>
                <w:rFonts w:hint="eastAsia" w:ascii="Times New Roman" w:hAnsi="Times New Roman" w:cs="Times New Roman"/>
                <w:color w:val="auto"/>
                <w:spacing w:val="7"/>
                <w:sz w:val="21"/>
                <w:szCs w:val="21"/>
                <w:highlight w:val="none"/>
                <w:lang w:eastAsia="en-US"/>
              </w:rPr>
              <w:t>*</w:t>
            </w:r>
          </w:p>
        </w:tc>
        <w:tc>
          <w:tcPr>
            <w:tcW w:w="1379" w:type="dxa"/>
            <w:tcBorders>
              <w:tl2br w:val="nil"/>
              <w:tr2bl w:val="nil"/>
            </w:tcBorders>
            <w:vAlign w:val="center"/>
          </w:tcPr>
          <w:p w14:paraId="09E738E2">
            <w:pPr>
              <w:keepNext w:val="0"/>
              <w:keepLines w:val="0"/>
              <w:widowControl/>
              <w:suppressLineNumbers w:val="0"/>
              <w:autoSpaceDE w:val="0"/>
              <w:autoSpaceDN w:val="0"/>
              <w:jc w:val="center"/>
              <w:textAlignment w:val="center"/>
              <w:rPr>
                <w:rFonts w:ascii="Times New Roman" w:hAnsi="Times New Roman" w:cs="Times New Roman"/>
                <w:color w:val="auto"/>
                <w:sz w:val="21"/>
                <w:szCs w:val="21"/>
                <w:highlight w:val="none"/>
                <w:lang w:eastAsia="en-US"/>
              </w:rPr>
            </w:pPr>
            <w:r>
              <w:rPr>
                <w:rFonts w:hint="default" w:ascii="Times New Roman" w:hAnsi="Times New Roman" w:eastAsia="等线" w:cs="Times New Roman"/>
                <w:i w:val="0"/>
                <w:iCs w:val="0"/>
                <w:color w:val="auto"/>
                <w:kern w:val="0"/>
                <w:sz w:val="21"/>
                <w:szCs w:val="21"/>
                <w:highlight w:val="none"/>
                <w:u w:val="none"/>
                <w:lang w:val="en-US" w:eastAsia="zh-CN" w:bidi="ar"/>
              </w:rPr>
              <w:t>0.55</w:t>
            </w:r>
          </w:p>
        </w:tc>
      </w:tr>
      <w:tr w14:paraId="578420E3">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691" w:type="dxa"/>
            <w:vMerge w:val="continue"/>
            <w:tcBorders>
              <w:tl2br w:val="nil"/>
              <w:tr2bl w:val="nil"/>
            </w:tcBorders>
            <w:vAlign w:val="center"/>
          </w:tcPr>
          <w:p w14:paraId="6577425C">
            <w:pPr>
              <w:keepNext w:val="0"/>
              <w:keepLines w:val="0"/>
              <w:pageBreakBefore w:val="0"/>
              <w:widowControl/>
              <w:kinsoku/>
              <w:wordWrap/>
              <w:overflowPunct/>
              <w:topLinePunct w:val="0"/>
              <w:autoSpaceDE/>
              <w:autoSpaceDN/>
              <w:bidi w:val="0"/>
              <w:ind w:left="0" w:right="0"/>
              <w:jc w:val="center"/>
              <w:rPr>
                <w:rFonts w:ascii="Times New Roman" w:hAnsi="Times New Roman" w:cs="Times New Roman"/>
                <w:color w:val="auto"/>
                <w:sz w:val="21"/>
                <w:szCs w:val="21"/>
                <w:highlight w:val="none"/>
                <w:lang w:eastAsia="en-US"/>
              </w:rPr>
            </w:pPr>
          </w:p>
        </w:tc>
        <w:tc>
          <w:tcPr>
            <w:tcW w:w="2682" w:type="dxa"/>
            <w:gridSpan w:val="2"/>
            <w:tcBorders>
              <w:tl2br w:val="nil"/>
              <w:tr2bl w:val="nil"/>
            </w:tcBorders>
            <w:vAlign w:val="center"/>
          </w:tcPr>
          <w:p w14:paraId="009051AB">
            <w:pPr>
              <w:pStyle w:val="106"/>
              <w:keepNext w:val="0"/>
              <w:keepLines w:val="0"/>
              <w:pageBreakBefore w:val="0"/>
              <w:widowControl w:val="0"/>
              <w:kinsoku/>
              <w:wordWrap/>
              <w:overflowPunct/>
              <w:topLinePunct w:val="0"/>
              <w:autoSpaceDE w:val="0"/>
              <w:autoSpaceDN w:val="0"/>
              <w:bidi w:val="0"/>
              <w:ind w:left="0" w:right="0"/>
              <w:rPr>
                <w:color w:val="auto"/>
                <w:spacing w:val="5"/>
                <w:sz w:val="21"/>
                <w:szCs w:val="21"/>
                <w:highlight w:val="none"/>
                <w:lang w:eastAsia="en-US"/>
              </w:rPr>
            </w:pPr>
            <w:r>
              <w:rPr>
                <w:rFonts w:hint="eastAsia"/>
                <w:color w:val="auto"/>
                <w:sz w:val="21"/>
                <w:szCs w:val="21"/>
                <w:highlight w:val="none"/>
                <w:lang w:eastAsia="en-US"/>
              </w:rPr>
              <w:t>废包装袋</w:t>
            </w:r>
          </w:p>
        </w:tc>
        <w:tc>
          <w:tcPr>
            <w:tcW w:w="966" w:type="dxa"/>
            <w:tcBorders>
              <w:tl2br w:val="nil"/>
              <w:tr2bl w:val="nil"/>
            </w:tcBorders>
            <w:vAlign w:val="center"/>
          </w:tcPr>
          <w:p w14:paraId="165235BC">
            <w:pPr>
              <w:keepNext w:val="0"/>
              <w:keepLines w:val="0"/>
              <w:pageBreakBefore w:val="0"/>
              <w:widowControl/>
              <w:kinsoku/>
              <w:wordWrap/>
              <w:overflowPunct/>
              <w:topLinePunct w:val="0"/>
              <w:autoSpaceDE/>
              <w:autoSpaceDN/>
              <w:bidi w:val="0"/>
              <w:ind w:left="0" w:right="0"/>
              <w:jc w:val="center"/>
              <w:rPr>
                <w:rFonts w:ascii="Times New Roman" w:hAnsi="Times New Roman" w:cs="Times New Roman"/>
                <w:color w:val="auto"/>
                <w:spacing w:val="3"/>
                <w:sz w:val="21"/>
                <w:szCs w:val="21"/>
                <w:highlight w:val="none"/>
                <w:lang w:eastAsia="en-US"/>
              </w:rPr>
            </w:pPr>
            <w:r>
              <w:rPr>
                <w:rFonts w:hint="eastAsia" w:ascii="Times New Roman" w:hAnsi="Times New Roman" w:cs="Times New Roman"/>
                <w:color w:val="auto"/>
                <w:spacing w:val="-5"/>
                <w:sz w:val="21"/>
                <w:szCs w:val="21"/>
                <w:highlight w:val="none"/>
                <w:lang w:eastAsia="en-US"/>
              </w:rPr>
              <w:t>固体</w:t>
            </w:r>
          </w:p>
        </w:tc>
        <w:tc>
          <w:tcPr>
            <w:tcW w:w="1198" w:type="dxa"/>
            <w:tcBorders>
              <w:tl2br w:val="nil"/>
              <w:tr2bl w:val="nil"/>
            </w:tcBorders>
            <w:vAlign w:val="center"/>
          </w:tcPr>
          <w:p w14:paraId="3064468E">
            <w:pPr>
              <w:keepNext w:val="0"/>
              <w:keepLines w:val="0"/>
              <w:widowControl/>
              <w:suppressLineNumbers w:val="0"/>
              <w:autoSpaceDE w:val="0"/>
              <w:autoSpaceDN w:val="0"/>
              <w:jc w:val="center"/>
              <w:textAlignment w:val="center"/>
              <w:rPr>
                <w:color w:val="auto"/>
                <w:sz w:val="21"/>
                <w:szCs w:val="21"/>
                <w:highlight w:val="none"/>
                <w:lang w:eastAsia="en-US"/>
              </w:rPr>
            </w:pPr>
            <w:r>
              <w:rPr>
                <w:rFonts w:hint="default" w:ascii="Times New Roman" w:hAnsi="Times New Roman" w:eastAsia="等线" w:cs="Times New Roman"/>
                <w:i w:val="0"/>
                <w:iCs w:val="0"/>
                <w:color w:val="auto"/>
                <w:kern w:val="0"/>
                <w:sz w:val="21"/>
                <w:szCs w:val="21"/>
                <w:highlight w:val="none"/>
                <w:u w:val="none"/>
                <w:lang w:val="en-US" w:eastAsia="zh-CN" w:bidi="ar"/>
              </w:rPr>
              <w:t>0.02</w:t>
            </w:r>
          </w:p>
        </w:tc>
        <w:tc>
          <w:tcPr>
            <w:tcW w:w="1588" w:type="dxa"/>
            <w:tcBorders>
              <w:tl2br w:val="nil"/>
              <w:tr2bl w:val="nil"/>
            </w:tcBorders>
            <w:vAlign w:val="center"/>
          </w:tcPr>
          <w:p w14:paraId="3CB7500D">
            <w:pPr>
              <w:keepNext w:val="0"/>
              <w:keepLines w:val="0"/>
              <w:pageBreakBefore w:val="0"/>
              <w:widowControl/>
              <w:kinsoku/>
              <w:wordWrap/>
              <w:overflowPunct/>
              <w:topLinePunct w:val="0"/>
              <w:autoSpaceDE/>
              <w:autoSpaceDN/>
              <w:bidi w:val="0"/>
              <w:ind w:left="0" w:right="0"/>
              <w:jc w:val="center"/>
              <w:rPr>
                <w:rFonts w:ascii="Times New Roman" w:hAnsi="Times New Roman" w:cs="Times New Roman"/>
                <w:color w:val="auto"/>
                <w:spacing w:val="7"/>
                <w:sz w:val="21"/>
                <w:szCs w:val="21"/>
                <w:highlight w:val="none"/>
                <w:lang w:eastAsia="en-US"/>
              </w:rPr>
            </w:pPr>
            <w:r>
              <w:rPr>
                <w:rFonts w:hint="eastAsia" w:ascii="Times New Roman" w:hAnsi="Times New Roman" w:cs="Times New Roman"/>
                <w:color w:val="auto"/>
                <w:spacing w:val="7"/>
                <w:sz w:val="21"/>
                <w:szCs w:val="21"/>
                <w:highlight w:val="none"/>
                <w:lang w:eastAsia="en-US"/>
              </w:rPr>
              <w:t>1</w:t>
            </w:r>
            <w:r>
              <w:rPr>
                <w:rFonts w:ascii="Times New Roman" w:hAnsi="Times New Roman" w:cs="Times New Roman"/>
                <w:color w:val="auto"/>
                <w:spacing w:val="7"/>
                <w:sz w:val="21"/>
                <w:szCs w:val="21"/>
                <w:highlight w:val="none"/>
                <w:lang w:eastAsia="en-US"/>
              </w:rPr>
              <w:t>00</w:t>
            </w:r>
            <w:r>
              <w:rPr>
                <w:rFonts w:hint="eastAsia" w:ascii="Times New Roman" w:hAnsi="Times New Roman" w:cs="Times New Roman"/>
                <w:color w:val="auto"/>
                <w:spacing w:val="7"/>
                <w:sz w:val="21"/>
                <w:szCs w:val="21"/>
                <w:highlight w:val="none"/>
                <w:lang w:eastAsia="en-US"/>
              </w:rPr>
              <w:t>*</w:t>
            </w:r>
          </w:p>
        </w:tc>
        <w:tc>
          <w:tcPr>
            <w:tcW w:w="1379" w:type="dxa"/>
            <w:tcBorders>
              <w:tl2br w:val="nil"/>
              <w:tr2bl w:val="nil"/>
            </w:tcBorders>
            <w:vAlign w:val="center"/>
          </w:tcPr>
          <w:p w14:paraId="7C6579F1">
            <w:pPr>
              <w:keepNext w:val="0"/>
              <w:keepLines w:val="0"/>
              <w:widowControl/>
              <w:suppressLineNumbers w:val="0"/>
              <w:autoSpaceDE w:val="0"/>
              <w:autoSpaceDN w:val="0"/>
              <w:jc w:val="center"/>
              <w:textAlignment w:val="center"/>
              <w:rPr>
                <w:rFonts w:ascii="Times New Roman" w:hAnsi="Times New Roman" w:cs="Times New Roman"/>
                <w:color w:val="auto"/>
                <w:sz w:val="21"/>
                <w:szCs w:val="21"/>
                <w:highlight w:val="none"/>
                <w:lang w:eastAsia="en-US"/>
              </w:rPr>
            </w:pPr>
            <w:r>
              <w:rPr>
                <w:rFonts w:hint="default" w:ascii="Times New Roman" w:hAnsi="Times New Roman" w:eastAsia="等线" w:cs="Times New Roman"/>
                <w:i w:val="0"/>
                <w:iCs w:val="0"/>
                <w:color w:val="auto"/>
                <w:kern w:val="0"/>
                <w:sz w:val="21"/>
                <w:szCs w:val="21"/>
                <w:highlight w:val="none"/>
                <w:u w:val="none"/>
                <w:lang w:val="en-US" w:eastAsia="zh-CN" w:bidi="ar"/>
              </w:rPr>
              <w:t>0.0002</w:t>
            </w:r>
          </w:p>
        </w:tc>
      </w:tr>
      <w:tr w14:paraId="748F6B29">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691" w:type="dxa"/>
            <w:vMerge w:val="continue"/>
            <w:tcBorders>
              <w:tl2br w:val="nil"/>
              <w:tr2bl w:val="nil"/>
            </w:tcBorders>
            <w:vAlign w:val="center"/>
          </w:tcPr>
          <w:p w14:paraId="7611156C">
            <w:pPr>
              <w:keepNext w:val="0"/>
              <w:keepLines w:val="0"/>
              <w:pageBreakBefore w:val="0"/>
              <w:widowControl/>
              <w:kinsoku/>
              <w:wordWrap/>
              <w:overflowPunct/>
              <w:topLinePunct w:val="0"/>
              <w:autoSpaceDE/>
              <w:autoSpaceDN/>
              <w:bidi w:val="0"/>
              <w:ind w:left="0" w:right="0"/>
              <w:jc w:val="center"/>
              <w:rPr>
                <w:rFonts w:ascii="Times New Roman" w:hAnsi="Times New Roman" w:cs="Times New Roman"/>
                <w:color w:val="auto"/>
                <w:sz w:val="21"/>
                <w:szCs w:val="21"/>
                <w:highlight w:val="none"/>
                <w:lang w:eastAsia="en-US"/>
              </w:rPr>
            </w:pPr>
          </w:p>
        </w:tc>
        <w:tc>
          <w:tcPr>
            <w:tcW w:w="2682" w:type="dxa"/>
            <w:gridSpan w:val="2"/>
            <w:tcBorders>
              <w:tl2br w:val="nil"/>
              <w:tr2bl w:val="nil"/>
            </w:tcBorders>
            <w:vAlign w:val="center"/>
          </w:tcPr>
          <w:p w14:paraId="218811FB">
            <w:pPr>
              <w:pStyle w:val="106"/>
              <w:keepNext w:val="0"/>
              <w:keepLines w:val="0"/>
              <w:pageBreakBefore w:val="0"/>
              <w:widowControl w:val="0"/>
              <w:kinsoku/>
              <w:wordWrap/>
              <w:overflowPunct/>
              <w:topLinePunct w:val="0"/>
              <w:autoSpaceDE w:val="0"/>
              <w:autoSpaceDN w:val="0"/>
              <w:bidi w:val="0"/>
              <w:ind w:left="0" w:leftChars="0" w:right="0" w:rightChars="0"/>
              <w:rPr>
                <w:rFonts w:ascii="Times New Roman" w:hAnsi="Times New Roman" w:eastAsia="宋体" w:cs="Times New Roman"/>
                <w:color w:val="auto"/>
                <w:spacing w:val="5"/>
                <w:sz w:val="21"/>
                <w:szCs w:val="21"/>
                <w:highlight w:val="none"/>
                <w:lang w:val="en-US" w:eastAsia="en-US" w:bidi="ar-SA"/>
              </w:rPr>
            </w:pPr>
            <w:r>
              <w:rPr>
                <w:rFonts w:hint="eastAsia"/>
                <w:color w:val="auto"/>
                <w:sz w:val="21"/>
                <w:szCs w:val="21"/>
                <w:highlight w:val="none"/>
                <w:lang w:eastAsia="en-US"/>
              </w:rPr>
              <w:t>实验废液</w:t>
            </w:r>
          </w:p>
        </w:tc>
        <w:tc>
          <w:tcPr>
            <w:tcW w:w="966" w:type="dxa"/>
            <w:tcBorders>
              <w:tl2br w:val="nil"/>
              <w:tr2bl w:val="nil"/>
            </w:tcBorders>
            <w:vAlign w:val="center"/>
          </w:tcPr>
          <w:p w14:paraId="1066D9F1">
            <w:pPr>
              <w:keepNext w:val="0"/>
              <w:keepLines w:val="0"/>
              <w:pageBreakBefore w:val="0"/>
              <w:widowControl/>
              <w:kinsoku/>
              <w:wordWrap/>
              <w:overflowPunct/>
              <w:topLinePunct w:val="0"/>
              <w:autoSpaceDE/>
              <w:autoSpaceDN/>
              <w:bidi w:val="0"/>
              <w:ind w:left="0" w:leftChars="0" w:right="0" w:rightChars="0"/>
              <w:jc w:val="center"/>
              <w:rPr>
                <w:rFonts w:ascii="Times New Roman" w:hAnsi="Times New Roman" w:eastAsia="宋体" w:cs="Times New Roman"/>
                <w:color w:val="auto"/>
                <w:spacing w:val="3"/>
                <w:sz w:val="21"/>
                <w:szCs w:val="21"/>
                <w:highlight w:val="none"/>
                <w:lang w:val="en-US" w:eastAsia="en-US" w:bidi="ar-SA"/>
              </w:rPr>
            </w:pPr>
            <w:r>
              <w:rPr>
                <w:rFonts w:ascii="Times New Roman" w:hAnsi="Times New Roman" w:cs="Times New Roman"/>
                <w:color w:val="auto"/>
                <w:spacing w:val="3"/>
                <w:sz w:val="21"/>
                <w:szCs w:val="21"/>
                <w:highlight w:val="none"/>
                <w:lang w:eastAsia="en-US"/>
              </w:rPr>
              <w:t>液体</w:t>
            </w:r>
          </w:p>
        </w:tc>
        <w:tc>
          <w:tcPr>
            <w:tcW w:w="1198" w:type="dxa"/>
            <w:tcBorders>
              <w:tl2br w:val="nil"/>
              <w:tr2bl w:val="nil"/>
            </w:tcBorders>
            <w:vAlign w:val="center"/>
          </w:tcPr>
          <w:p w14:paraId="79CD1872">
            <w:pPr>
              <w:keepNext w:val="0"/>
              <w:keepLines w:val="0"/>
              <w:widowControl/>
              <w:suppressLineNumbers w:val="0"/>
              <w:autoSpaceDE w:val="0"/>
              <w:autoSpaceDN w:val="0"/>
              <w:jc w:val="center"/>
              <w:textAlignment w:val="center"/>
              <w:rPr>
                <w:rFonts w:hint="default" w:ascii="Times New Roman" w:hAnsi="Times New Roman" w:eastAsia="宋体" w:cs="Times New Roman"/>
                <w:color w:val="auto"/>
                <w:sz w:val="21"/>
                <w:szCs w:val="21"/>
                <w:highlight w:val="none"/>
                <w:lang w:val="en-US" w:eastAsia="en-US" w:bidi="ar-SA"/>
              </w:rPr>
            </w:pPr>
            <w:r>
              <w:rPr>
                <w:rFonts w:hint="eastAsia" w:ascii="Times New Roman" w:hAnsi="Times New Roman" w:eastAsia="等线" w:cs="Times New Roman"/>
                <w:i w:val="0"/>
                <w:iCs w:val="0"/>
                <w:color w:val="auto"/>
                <w:kern w:val="0"/>
                <w:sz w:val="21"/>
                <w:szCs w:val="21"/>
                <w:highlight w:val="none"/>
                <w:u w:val="none"/>
                <w:lang w:val="en-US" w:eastAsia="zh-CN" w:bidi="ar"/>
              </w:rPr>
              <w:t>0.02</w:t>
            </w:r>
          </w:p>
        </w:tc>
        <w:tc>
          <w:tcPr>
            <w:tcW w:w="1588" w:type="dxa"/>
            <w:tcBorders>
              <w:tl2br w:val="nil"/>
              <w:tr2bl w:val="nil"/>
            </w:tcBorders>
            <w:vAlign w:val="center"/>
          </w:tcPr>
          <w:p w14:paraId="4A99CD87">
            <w:pPr>
              <w:keepNext w:val="0"/>
              <w:keepLines w:val="0"/>
              <w:pageBreakBefore w:val="0"/>
              <w:widowControl/>
              <w:kinsoku/>
              <w:wordWrap/>
              <w:overflowPunct/>
              <w:topLinePunct w:val="0"/>
              <w:autoSpaceDE/>
              <w:autoSpaceDN/>
              <w:bidi w:val="0"/>
              <w:ind w:left="0" w:leftChars="0" w:right="0" w:rightChars="0"/>
              <w:jc w:val="center"/>
              <w:rPr>
                <w:rFonts w:ascii="Times New Roman" w:hAnsi="Times New Roman" w:eastAsia="宋体" w:cs="Times New Roman"/>
                <w:color w:val="auto"/>
                <w:spacing w:val="7"/>
                <w:sz w:val="21"/>
                <w:szCs w:val="21"/>
                <w:highlight w:val="none"/>
                <w:lang w:val="en-US" w:eastAsia="en-US" w:bidi="ar-SA"/>
              </w:rPr>
            </w:pPr>
            <w:r>
              <w:rPr>
                <w:rFonts w:hint="eastAsia" w:ascii="Times New Roman" w:hAnsi="Times New Roman" w:cs="Times New Roman"/>
                <w:color w:val="auto"/>
                <w:spacing w:val="7"/>
                <w:sz w:val="21"/>
                <w:szCs w:val="21"/>
                <w:highlight w:val="none"/>
                <w:lang w:eastAsia="en-US"/>
              </w:rPr>
              <w:t>1</w:t>
            </w:r>
            <w:r>
              <w:rPr>
                <w:rFonts w:ascii="Times New Roman" w:hAnsi="Times New Roman" w:cs="Times New Roman"/>
                <w:color w:val="auto"/>
                <w:spacing w:val="7"/>
                <w:sz w:val="21"/>
                <w:szCs w:val="21"/>
                <w:highlight w:val="none"/>
                <w:lang w:eastAsia="en-US"/>
              </w:rPr>
              <w:t>00</w:t>
            </w:r>
            <w:r>
              <w:rPr>
                <w:rFonts w:hint="eastAsia" w:ascii="Times New Roman" w:hAnsi="Times New Roman" w:cs="Times New Roman"/>
                <w:color w:val="auto"/>
                <w:spacing w:val="7"/>
                <w:sz w:val="21"/>
                <w:szCs w:val="21"/>
                <w:highlight w:val="none"/>
                <w:lang w:eastAsia="en-US"/>
              </w:rPr>
              <w:t>*</w:t>
            </w:r>
          </w:p>
        </w:tc>
        <w:tc>
          <w:tcPr>
            <w:tcW w:w="1379" w:type="dxa"/>
            <w:tcBorders>
              <w:tl2br w:val="nil"/>
              <w:tr2bl w:val="nil"/>
            </w:tcBorders>
            <w:vAlign w:val="center"/>
          </w:tcPr>
          <w:p w14:paraId="41EEEE5F">
            <w:pPr>
              <w:keepNext w:val="0"/>
              <w:keepLines w:val="0"/>
              <w:widowControl/>
              <w:suppressLineNumbers w:val="0"/>
              <w:autoSpaceDE w:val="0"/>
              <w:autoSpaceDN w:val="0"/>
              <w:jc w:val="center"/>
              <w:textAlignment w:val="center"/>
              <w:rPr>
                <w:rFonts w:hint="default" w:ascii="Times New Roman" w:hAnsi="Times New Roman" w:eastAsia="宋体" w:cs="Times New Roman"/>
                <w:color w:val="auto"/>
                <w:sz w:val="21"/>
                <w:szCs w:val="21"/>
                <w:highlight w:val="none"/>
                <w:lang w:val="en-US" w:eastAsia="en-US" w:bidi="ar-SA"/>
              </w:rPr>
            </w:pPr>
            <w:r>
              <w:rPr>
                <w:rFonts w:hint="default" w:ascii="Times New Roman" w:hAnsi="Times New Roman" w:eastAsia="等线" w:cs="Times New Roman"/>
                <w:i w:val="0"/>
                <w:iCs w:val="0"/>
                <w:color w:val="auto"/>
                <w:kern w:val="0"/>
                <w:sz w:val="21"/>
                <w:szCs w:val="21"/>
                <w:highlight w:val="none"/>
                <w:u w:val="none"/>
                <w:lang w:val="en-US" w:eastAsia="zh-CN" w:bidi="ar"/>
              </w:rPr>
              <w:t>0.00</w:t>
            </w:r>
            <w:r>
              <w:rPr>
                <w:rFonts w:hint="eastAsia" w:ascii="Times New Roman" w:hAnsi="Times New Roman" w:eastAsia="等线" w:cs="Times New Roman"/>
                <w:i w:val="0"/>
                <w:iCs w:val="0"/>
                <w:color w:val="auto"/>
                <w:kern w:val="0"/>
                <w:sz w:val="21"/>
                <w:szCs w:val="21"/>
                <w:highlight w:val="none"/>
                <w:u w:val="none"/>
                <w:lang w:val="en-US" w:eastAsia="zh-CN" w:bidi="ar"/>
              </w:rPr>
              <w:t>02</w:t>
            </w:r>
          </w:p>
        </w:tc>
      </w:tr>
      <w:tr w14:paraId="1D1589A8">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691" w:type="dxa"/>
            <w:vMerge w:val="continue"/>
            <w:tcBorders>
              <w:tl2br w:val="nil"/>
              <w:tr2bl w:val="nil"/>
            </w:tcBorders>
            <w:vAlign w:val="center"/>
          </w:tcPr>
          <w:p w14:paraId="741C62AC">
            <w:pPr>
              <w:keepNext w:val="0"/>
              <w:keepLines w:val="0"/>
              <w:pageBreakBefore w:val="0"/>
              <w:widowControl/>
              <w:kinsoku/>
              <w:wordWrap/>
              <w:overflowPunct/>
              <w:topLinePunct w:val="0"/>
              <w:autoSpaceDE/>
              <w:autoSpaceDN/>
              <w:bidi w:val="0"/>
              <w:ind w:left="0" w:right="0"/>
              <w:jc w:val="center"/>
              <w:rPr>
                <w:rFonts w:ascii="Times New Roman" w:hAnsi="Times New Roman" w:cs="Times New Roman"/>
                <w:color w:val="auto"/>
                <w:sz w:val="21"/>
                <w:szCs w:val="21"/>
                <w:highlight w:val="none"/>
                <w:lang w:eastAsia="en-US"/>
              </w:rPr>
            </w:pPr>
          </w:p>
        </w:tc>
        <w:tc>
          <w:tcPr>
            <w:tcW w:w="2682" w:type="dxa"/>
            <w:gridSpan w:val="2"/>
            <w:tcBorders>
              <w:tl2br w:val="nil"/>
              <w:tr2bl w:val="nil"/>
            </w:tcBorders>
            <w:vAlign w:val="center"/>
          </w:tcPr>
          <w:p w14:paraId="18173349">
            <w:pPr>
              <w:pStyle w:val="106"/>
              <w:keepNext w:val="0"/>
              <w:keepLines w:val="0"/>
              <w:pageBreakBefore w:val="0"/>
              <w:widowControl w:val="0"/>
              <w:kinsoku/>
              <w:wordWrap/>
              <w:overflowPunct/>
              <w:topLinePunct w:val="0"/>
              <w:autoSpaceDE w:val="0"/>
              <w:autoSpaceDN w:val="0"/>
              <w:bidi w:val="0"/>
              <w:ind w:left="0" w:leftChars="0" w:right="0" w:rightChars="0"/>
              <w:rPr>
                <w:rFonts w:hint="eastAsia" w:ascii="Times New Roman" w:hAnsi="Times New Roman" w:eastAsia="宋体" w:cs="Times New Roman"/>
                <w:color w:val="auto"/>
                <w:spacing w:val="5"/>
                <w:sz w:val="21"/>
                <w:szCs w:val="21"/>
                <w:highlight w:val="none"/>
                <w:lang w:val="en-US" w:eastAsia="en-US" w:bidi="ar-SA"/>
              </w:rPr>
            </w:pPr>
            <w:r>
              <w:rPr>
                <w:rFonts w:hint="eastAsia"/>
                <w:color w:val="auto"/>
                <w:sz w:val="21"/>
                <w:szCs w:val="21"/>
                <w:highlight w:val="none"/>
                <w:lang w:eastAsia="en-US"/>
              </w:rPr>
              <w:t>废实验耗材</w:t>
            </w:r>
          </w:p>
        </w:tc>
        <w:tc>
          <w:tcPr>
            <w:tcW w:w="966" w:type="dxa"/>
            <w:tcBorders>
              <w:tl2br w:val="nil"/>
              <w:tr2bl w:val="nil"/>
            </w:tcBorders>
            <w:vAlign w:val="center"/>
          </w:tcPr>
          <w:p w14:paraId="3374DD54">
            <w:pPr>
              <w:pStyle w:val="236"/>
              <w:keepNext w:val="0"/>
              <w:keepLines w:val="0"/>
              <w:pageBreakBefore w:val="0"/>
              <w:widowControl/>
              <w:kinsoku/>
              <w:wordWrap/>
              <w:overflowPunct/>
              <w:topLinePunct w:val="0"/>
              <w:autoSpaceDE/>
              <w:autoSpaceDN/>
              <w:bidi w:val="0"/>
              <w:ind w:left="0" w:leftChars="0" w:right="0" w:rightChars="0"/>
              <w:jc w:val="center"/>
              <w:rPr>
                <w:rFonts w:ascii="Times New Roman" w:hAnsi="Times New Roman" w:eastAsia="宋体" w:cs="Times New Roman"/>
                <w:color w:val="auto"/>
                <w:spacing w:val="3"/>
                <w:sz w:val="21"/>
                <w:szCs w:val="21"/>
                <w:highlight w:val="none"/>
                <w:lang w:val="en-US" w:eastAsia="en-US" w:bidi="ar-SA"/>
              </w:rPr>
            </w:pPr>
            <w:r>
              <w:rPr>
                <w:rFonts w:hint="eastAsia" w:ascii="Times New Roman" w:hAnsi="Times New Roman" w:eastAsia="宋体" w:cs="Times New Roman"/>
                <w:color w:val="auto"/>
                <w:spacing w:val="-5"/>
                <w:sz w:val="21"/>
                <w:szCs w:val="21"/>
                <w:highlight w:val="none"/>
                <w:lang w:eastAsia="zh-CN"/>
              </w:rPr>
              <w:t>固体</w:t>
            </w:r>
          </w:p>
        </w:tc>
        <w:tc>
          <w:tcPr>
            <w:tcW w:w="1198" w:type="dxa"/>
            <w:tcBorders>
              <w:tl2br w:val="nil"/>
              <w:tr2bl w:val="nil"/>
            </w:tcBorders>
            <w:vAlign w:val="center"/>
          </w:tcPr>
          <w:p w14:paraId="4097F12D">
            <w:pPr>
              <w:keepNext w:val="0"/>
              <w:keepLines w:val="0"/>
              <w:widowControl/>
              <w:suppressLineNumbers w:val="0"/>
              <w:autoSpaceDE w:val="0"/>
              <w:autoSpaceDN w:val="0"/>
              <w:jc w:val="center"/>
              <w:textAlignment w:val="center"/>
              <w:rPr>
                <w:rFonts w:hint="eastAsia" w:ascii="Times New Roman" w:hAnsi="Times New Roman" w:eastAsia="宋体" w:cs="Times New Roman"/>
                <w:color w:val="auto"/>
                <w:sz w:val="21"/>
                <w:szCs w:val="21"/>
                <w:highlight w:val="none"/>
                <w:lang w:val="en-US" w:eastAsia="en-US" w:bidi="ar-SA"/>
              </w:rPr>
            </w:pPr>
            <w:r>
              <w:rPr>
                <w:rFonts w:hint="default" w:ascii="Times New Roman" w:hAnsi="Times New Roman" w:eastAsia="等线" w:cs="Times New Roman"/>
                <w:i w:val="0"/>
                <w:iCs w:val="0"/>
                <w:color w:val="auto"/>
                <w:kern w:val="0"/>
                <w:sz w:val="21"/>
                <w:szCs w:val="21"/>
                <w:highlight w:val="none"/>
                <w:u w:val="none"/>
                <w:lang w:val="en-US" w:eastAsia="zh-CN" w:bidi="ar"/>
              </w:rPr>
              <w:t>0.5</w:t>
            </w:r>
          </w:p>
        </w:tc>
        <w:tc>
          <w:tcPr>
            <w:tcW w:w="1588" w:type="dxa"/>
            <w:tcBorders>
              <w:tl2br w:val="nil"/>
              <w:tr2bl w:val="nil"/>
            </w:tcBorders>
            <w:vAlign w:val="center"/>
          </w:tcPr>
          <w:p w14:paraId="3D30B88D">
            <w:pPr>
              <w:keepNext w:val="0"/>
              <w:keepLines w:val="0"/>
              <w:pageBreakBefore w:val="0"/>
              <w:widowControl/>
              <w:kinsoku/>
              <w:wordWrap/>
              <w:overflowPunct/>
              <w:topLinePunct w:val="0"/>
              <w:autoSpaceDE/>
              <w:autoSpaceDN/>
              <w:bidi w:val="0"/>
              <w:ind w:left="0" w:leftChars="0" w:right="0" w:rightChars="0"/>
              <w:jc w:val="center"/>
              <w:rPr>
                <w:rFonts w:hint="eastAsia" w:ascii="Times New Roman" w:hAnsi="Times New Roman" w:eastAsia="宋体" w:cs="Times New Roman"/>
                <w:color w:val="auto"/>
                <w:spacing w:val="7"/>
                <w:sz w:val="21"/>
                <w:szCs w:val="21"/>
                <w:highlight w:val="none"/>
                <w:lang w:val="en-US" w:eastAsia="en-US" w:bidi="ar-SA"/>
              </w:rPr>
            </w:pPr>
            <w:r>
              <w:rPr>
                <w:rFonts w:hint="eastAsia" w:ascii="Times New Roman" w:hAnsi="Times New Roman" w:cs="Times New Roman"/>
                <w:color w:val="auto"/>
                <w:spacing w:val="7"/>
                <w:sz w:val="21"/>
                <w:szCs w:val="21"/>
                <w:highlight w:val="none"/>
                <w:lang w:eastAsia="en-US"/>
              </w:rPr>
              <w:t>1</w:t>
            </w:r>
            <w:r>
              <w:rPr>
                <w:rFonts w:ascii="Times New Roman" w:hAnsi="Times New Roman" w:cs="Times New Roman"/>
                <w:color w:val="auto"/>
                <w:spacing w:val="7"/>
                <w:sz w:val="21"/>
                <w:szCs w:val="21"/>
                <w:highlight w:val="none"/>
                <w:lang w:eastAsia="en-US"/>
              </w:rPr>
              <w:t>00</w:t>
            </w:r>
            <w:r>
              <w:rPr>
                <w:rFonts w:hint="eastAsia" w:ascii="Times New Roman" w:hAnsi="Times New Roman" w:cs="Times New Roman"/>
                <w:color w:val="auto"/>
                <w:spacing w:val="7"/>
                <w:sz w:val="21"/>
                <w:szCs w:val="21"/>
                <w:highlight w:val="none"/>
                <w:lang w:eastAsia="en-US"/>
              </w:rPr>
              <w:t>*</w:t>
            </w:r>
          </w:p>
        </w:tc>
        <w:tc>
          <w:tcPr>
            <w:tcW w:w="1379" w:type="dxa"/>
            <w:tcBorders>
              <w:tl2br w:val="nil"/>
              <w:tr2bl w:val="nil"/>
            </w:tcBorders>
            <w:vAlign w:val="center"/>
          </w:tcPr>
          <w:p w14:paraId="28986FB3">
            <w:pPr>
              <w:keepNext w:val="0"/>
              <w:keepLines w:val="0"/>
              <w:widowControl/>
              <w:suppressLineNumbers w:val="0"/>
              <w:autoSpaceDE w:val="0"/>
              <w:autoSpaceDN w:val="0"/>
              <w:jc w:val="center"/>
              <w:textAlignment w:val="center"/>
              <w:rPr>
                <w:rFonts w:ascii="Times New Roman" w:hAnsi="Times New Roman" w:eastAsia="宋体" w:cs="Times New Roman"/>
                <w:color w:val="auto"/>
                <w:sz w:val="21"/>
                <w:szCs w:val="21"/>
                <w:highlight w:val="none"/>
                <w:lang w:val="en-US" w:eastAsia="en-US" w:bidi="ar-SA"/>
              </w:rPr>
            </w:pPr>
            <w:r>
              <w:rPr>
                <w:rFonts w:hint="default" w:ascii="Times New Roman" w:hAnsi="Times New Roman" w:eastAsia="等线" w:cs="Times New Roman"/>
                <w:i w:val="0"/>
                <w:iCs w:val="0"/>
                <w:color w:val="auto"/>
                <w:kern w:val="0"/>
                <w:sz w:val="21"/>
                <w:szCs w:val="21"/>
                <w:highlight w:val="none"/>
                <w:u w:val="none"/>
                <w:lang w:val="en-US" w:eastAsia="zh-CN" w:bidi="ar"/>
              </w:rPr>
              <w:t>0.005</w:t>
            </w:r>
          </w:p>
        </w:tc>
      </w:tr>
      <w:tr w14:paraId="1C042F5B">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691" w:type="dxa"/>
            <w:vMerge w:val="continue"/>
            <w:tcBorders>
              <w:tl2br w:val="nil"/>
              <w:tr2bl w:val="nil"/>
            </w:tcBorders>
            <w:vAlign w:val="center"/>
          </w:tcPr>
          <w:p w14:paraId="2999BAF8">
            <w:pPr>
              <w:keepNext w:val="0"/>
              <w:keepLines w:val="0"/>
              <w:pageBreakBefore w:val="0"/>
              <w:widowControl/>
              <w:kinsoku/>
              <w:wordWrap/>
              <w:overflowPunct/>
              <w:topLinePunct w:val="0"/>
              <w:autoSpaceDE/>
              <w:autoSpaceDN/>
              <w:bidi w:val="0"/>
              <w:ind w:left="0" w:right="0"/>
              <w:jc w:val="center"/>
              <w:rPr>
                <w:rFonts w:ascii="Times New Roman" w:hAnsi="Times New Roman" w:cs="Times New Roman"/>
                <w:color w:val="auto"/>
                <w:sz w:val="21"/>
                <w:szCs w:val="21"/>
                <w:highlight w:val="none"/>
                <w:lang w:eastAsia="en-US"/>
              </w:rPr>
            </w:pPr>
          </w:p>
        </w:tc>
        <w:tc>
          <w:tcPr>
            <w:tcW w:w="2682" w:type="dxa"/>
            <w:gridSpan w:val="2"/>
            <w:tcBorders>
              <w:tl2br w:val="nil"/>
              <w:tr2bl w:val="nil"/>
            </w:tcBorders>
            <w:vAlign w:val="center"/>
          </w:tcPr>
          <w:p w14:paraId="26F5BB14">
            <w:pPr>
              <w:pStyle w:val="106"/>
              <w:keepNext w:val="0"/>
              <w:keepLines w:val="0"/>
              <w:pageBreakBefore w:val="0"/>
              <w:widowControl w:val="0"/>
              <w:kinsoku/>
              <w:wordWrap/>
              <w:overflowPunct/>
              <w:topLinePunct w:val="0"/>
              <w:autoSpaceDE w:val="0"/>
              <w:autoSpaceDN w:val="0"/>
              <w:bidi w:val="0"/>
              <w:ind w:left="0" w:leftChars="0" w:right="0" w:rightChars="0"/>
              <w:rPr>
                <w:rFonts w:hint="eastAsia" w:ascii="Times New Roman" w:hAnsi="Times New Roman" w:eastAsia="宋体" w:cs="Times New Roman"/>
                <w:color w:val="auto"/>
                <w:spacing w:val="5"/>
                <w:sz w:val="21"/>
                <w:szCs w:val="21"/>
                <w:highlight w:val="none"/>
                <w:lang w:val="en-US" w:eastAsia="en-US" w:bidi="ar-SA"/>
              </w:rPr>
            </w:pPr>
            <w:r>
              <w:rPr>
                <w:rFonts w:hint="eastAsia" w:ascii="Times New Roman" w:hAnsi="Times New Roman" w:cs="Times New Roman"/>
                <w:color w:val="auto"/>
                <w:sz w:val="21"/>
                <w:szCs w:val="21"/>
                <w:highlight w:val="none"/>
                <w:lang w:val="en-US" w:eastAsia="zh-CN"/>
              </w:rPr>
              <w:t>实验清洗废水</w:t>
            </w:r>
          </w:p>
        </w:tc>
        <w:tc>
          <w:tcPr>
            <w:tcW w:w="966" w:type="dxa"/>
            <w:tcBorders>
              <w:tl2br w:val="nil"/>
              <w:tr2bl w:val="nil"/>
            </w:tcBorders>
            <w:vAlign w:val="center"/>
          </w:tcPr>
          <w:p w14:paraId="2986443D">
            <w:pPr>
              <w:pStyle w:val="236"/>
              <w:keepNext w:val="0"/>
              <w:keepLines w:val="0"/>
              <w:pageBreakBefore w:val="0"/>
              <w:widowControl/>
              <w:kinsoku/>
              <w:wordWrap/>
              <w:overflowPunct/>
              <w:topLinePunct w:val="0"/>
              <w:autoSpaceDE/>
              <w:autoSpaceDN/>
              <w:bidi w:val="0"/>
              <w:ind w:left="0" w:leftChars="0" w:right="0" w:rightChars="0"/>
              <w:jc w:val="center"/>
              <w:rPr>
                <w:rFonts w:ascii="Times New Roman" w:hAnsi="Times New Roman" w:eastAsia="宋体" w:cs="Times New Roman"/>
                <w:color w:val="auto"/>
                <w:spacing w:val="3"/>
                <w:sz w:val="21"/>
                <w:szCs w:val="21"/>
                <w:highlight w:val="none"/>
                <w:lang w:val="en-US" w:eastAsia="en-US" w:bidi="ar-SA"/>
              </w:rPr>
            </w:pPr>
            <w:r>
              <w:rPr>
                <w:rFonts w:hint="eastAsia" w:ascii="Times New Roman" w:hAnsi="Times New Roman" w:eastAsia="宋体" w:cs="Times New Roman"/>
                <w:color w:val="auto"/>
                <w:spacing w:val="3"/>
                <w:sz w:val="21"/>
                <w:szCs w:val="21"/>
                <w:highlight w:val="none"/>
                <w:lang w:val="en-US" w:eastAsia="en-US" w:bidi="ar-SA"/>
              </w:rPr>
              <w:t>液体</w:t>
            </w:r>
          </w:p>
        </w:tc>
        <w:tc>
          <w:tcPr>
            <w:tcW w:w="1198" w:type="dxa"/>
            <w:tcBorders>
              <w:tl2br w:val="nil"/>
              <w:tr2bl w:val="nil"/>
            </w:tcBorders>
            <w:vAlign w:val="center"/>
          </w:tcPr>
          <w:p w14:paraId="5B414ADF">
            <w:pPr>
              <w:keepNext w:val="0"/>
              <w:keepLines w:val="0"/>
              <w:widowControl/>
              <w:suppressLineNumbers w:val="0"/>
              <w:autoSpaceDE w:val="0"/>
              <w:autoSpaceDN w:val="0"/>
              <w:jc w:val="center"/>
              <w:textAlignment w:val="center"/>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等线" w:cs="Times New Roman"/>
                <w:i w:val="0"/>
                <w:iCs w:val="0"/>
                <w:color w:val="auto"/>
                <w:kern w:val="0"/>
                <w:sz w:val="21"/>
                <w:szCs w:val="21"/>
                <w:highlight w:val="none"/>
                <w:u w:val="none"/>
                <w:lang w:val="en-US" w:eastAsia="zh-CN" w:bidi="ar"/>
              </w:rPr>
              <w:t>0.1</w:t>
            </w:r>
          </w:p>
        </w:tc>
        <w:tc>
          <w:tcPr>
            <w:tcW w:w="1588" w:type="dxa"/>
            <w:tcBorders>
              <w:tl2br w:val="nil"/>
              <w:tr2bl w:val="nil"/>
            </w:tcBorders>
            <w:vAlign w:val="center"/>
          </w:tcPr>
          <w:p w14:paraId="65F640C2">
            <w:pPr>
              <w:keepNext w:val="0"/>
              <w:keepLines w:val="0"/>
              <w:pageBreakBefore w:val="0"/>
              <w:widowControl/>
              <w:kinsoku/>
              <w:wordWrap/>
              <w:overflowPunct/>
              <w:topLinePunct w:val="0"/>
              <w:autoSpaceDE/>
              <w:autoSpaceDN/>
              <w:bidi w:val="0"/>
              <w:ind w:left="0" w:leftChars="0" w:right="0" w:rightChars="0"/>
              <w:jc w:val="center"/>
              <w:rPr>
                <w:rFonts w:hint="eastAsia" w:ascii="Times New Roman" w:hAnsi="Times New Roman" w:eastAsia="宋体" w:cs="Times New Roman"/>
                <w:color w:val="auto"/>
                <w:spacing w:val="7"/>
                <w:sz w:val="21"/>
                <w:szCs w:val="21"/>
                <w:highlight w:val="none"/>
                <w:lang w:val="en-US" w:eastAsia="en-US" w:bidi="ar-SA"/>
              </w:rPr>
            </w:pPr>
            <w:r>
              <w:rPr>
                <w:rFonts w:hint="eastAsia" w:ascii="Times New Roman" w:hAnsi="Times New Roman" w:cs="Times New Roman"/>
                <w:color w:val="auto"/>
                <w:spacing w:val="7"/>
                <w:sz w:val="21"/>
                <w:szCs w:val="21"/>
                <w:highlight w:val="none"/>
                <w:lang w:eastAsia="en-US"/>
              </w:rPr>
              <w:t>1</w:t>
            </w:r>
            <w:r>
              <w:rPr>
                <w:rFonts w:ascii="Times New Roman" w:hAnsi="Times New Roman" w:cs="Times New Roman"/>
                <w:color w:val="auto"/>
                <w:spacing w:val="7"/>
                <w:sz w:val="21"/>
                <w:szCs w:val="21"/>
                <w:highlight w:val="none"/>
                <w:lang w:eastAsia="en-US"/>
              </w:rPr>
              <w:t>00</w:t>
            </w:r>
            <w:r>
              <w:rPr>
                <w:rFonts w:hint="eastAsia" w:ascii="Times New Roman" w:hAnsi="Times New Roman" w:cs="Times New Roman"/>
                <w:color w:val="auto"/>
                <w:spacing w:val="7"/>
                <w:sz w:val="21"/>
                <w:szCs w:val="21"/>
                <w:highlight w:val="none"/>
                <w:lang w:eastAsia="en-US"/>
              </w:rPr>
              <w:t>*</w:t>
            </w:r>
          </w:p>
        </w:tc>
        <w:tc>
          <w:tcPr>
            <w:tcW w:w="1379" w:type="dxa"/>
            <w:tcBorders>
              <w:tl2br w:val="nil"/>
              <w:tr2bl w:val="nil"/>
            </w:tcBorders>
            <w:vAlign w:val="center"/>
          </w:tcPr>
          <w:p w14:paraId="57F1C450">
            <w:pPr>
              <w:keepNext w:val="0"/>
              <w:keepLines w:val="0"/>
              <w:widowControl/>
              <w:suppressLineNumbers w:val="0"/>
              <w:autoSpaceDE w:val="0"/>
              <w:autoSpaceDN w:val="0"/>
              <w:jc w:val="center"/>
              <w:textAlignment w:val="center"/>
              <w:rPr>
                <w:rFonts w:ascii="Times New Roman" w:hAnsi="Times New Roman" w:eastAsia="宋体" w:cs="Times New Roman"/>
                <w:color w:val="auto"/>
                <w:sz w:val="21"/>
                <w:szCs w:val="21"/>
                <w:highlight w:val="none"/>
                <w:lang w:val="en-US" w:eastAsia="en-US" w:bidi="ar-SA"/>
              </w:rPr>
            </w:pPr>
            <w:r>
              <w:rPr>
                <w:rFonts w:hint="default" w:ascii="Times New Roman" w:hAnsi="Times New Roman" w:eastAsia="等线" w:cs="Times New Roman"/>
                <w:i w:val="0"/>
                <w:iCs w:val="0"/>
                <w:color w:val="auto"/>
                <w:kern w:val="0"/>
                <w:sz w:val="21"/>
                <w:szCs w:val="21"/>
                <w:highlight w:val="none"/>
                <w:u w:val="none"/>
                <w:lang w:val="en-US" w:eastAsia="zh-CN" w:bidi="ar"/>
              </w:rPr>
              <w:t>0.001</w:t>
            </w:r>
          </w:p>
        </w:tc>
      </w:tr>
      <w:tr w14:paraId="333E42FD">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7125" w:type="dxa"/>
            <w:gridSpan w:val="6"/>
            <w:tcBorders>
              <w:tl2br w:val="nil"/>
              <w:tr2bl w:val="nil"/>
            </w:tcBorders>
            <w:vAlign w:val="center"/>
          </w:tcPr>
          <w:p w14:paraId="18FC76C1">
            <w:pPr>
              <w:keepNext w:val="0"/>
              <w:keepLines w:val="0"/>
              <w:pageBreakBefore w:val="0"/>
              <w:widowControl/>
              <w:kinsoku/>
              <w:wordWrap/>
              <w:overflowPunct/>
              <w:topLinePunct w:val="0"/>
              <w:autoSpaceDE/>
              <w:autoSpaceDN/>
              <w:bidi w:val="0"/>
              <w:ind w:left="0" w:right="0"/>
              <w:jc w:val="center"/>
              <w:rPr>
                <w:rFonts w:ascii="Times New Roman" w:hAnsi="Times New Roman" w:cs="Times New Roman"/>
                <w:color w:val="auto"/>
                <w:sz w:val="21"/>
                <w:szCs w:val="21"/>
                <w:highlight w:val="none"/>
                <w:lang w:eastAsia="en-US"/>
              </w:rPr>
            </w:pPr>
            <w:r>
              <w:rPr>
                <w:rFonts w:ascii="Times New Roman" w:hAnsi="Times New Roman" w:cs="Times New Roman"/>
                <w:color w:val="auto"/>
                <w:sz w:val="21"/>
                <w:szCs w:val="21"/>
                <w:highlight w:val="none"/>
                <w:lang w:eastAsia="en-US"/>
              </w:rPr>
              <w:t>Q</w:t>
            </w:r>
          </w:p>
        </w:tc>
        <w:tc>
          <w:tcPr>
            <w:tcW w:w="1379" w:type="dxa"/>
            <w:tcBorders>
              <w:tl2br w:val="nil"/>
              <w:tr2bl w:val="nil"/>
            </w:tcBorders>
            <w:vAlign w:val="center"/>
          </w:tcPr>
          <w:p w14:paraId="34085441">
            <w:pPr>
              <w:keepNext w:val="0"/>
              <w:keepLines w:val="0"/>
              <w:widowControl/>
              <w:suppressLineNumbers w:val="0"/>
              <w:autoSpaceDE w:val="0"/>
              <w:autoSpaceDN w:val="0"/>
              <w:jc w:val="center"/>
              <w:textAlignment w:val="center"/>
              <w:rPr>
                <w:rFonts w:ascii="Times New Roman" w:hAnsi="Times New Roman" w:cs="Times New Roman"/>
                <w:color w:val="auto"/>
                <w:sz w:val="21"/>
                <w:szCs w:val="21"/>
                <w:highlight w:val="none"/>
                <w:lang w:eastAsia="en-US"/>
              </w:rPr>
            </w:pPr>
            <w:r>
              <w:rPr>
                <w:rFonts w:hint="default" w:ascii="Times New Roman" w:hAnsi="Times New Roman" w:eastAsia="等线" w:cs="Times New Roman"/>
                <w:i w:val="0"/>
                <w:iCs w:val="0"/>
                <w:color w:val="auto"/>
                <w:kern w:val="0"/>
                <w:sz w:val="21"/>
                <w:szCs w:val="21"/>
                <w:highlight w:val="none"/>
                <w:u w:val="none"/>
                <w:lang w:val="en-US" w:eastAsia="zh-CN" w:bidi="ar"/>
              </w:rPr>
              <w:t>7.78</w:t>
            </w:r>
            <w:r>
              <w:rPr>
                <w:rFonts w:hint="eastAsia" w:ascii="Times New Roman" w:hAnsi="Times New Roman" w:eastAsia="等线" w:cs="Times New Roman"/>
                <w:i w:val="0"/>
                <w:iCs w:val="0"/>
                <w:color w:val="auto"/>
                <w:kern w:val="0"/>
                <w:sz w:val="21"/>
                <w:szCs w:val="21"/>
                <w:highlight w:val="none"/>
                <w:u w:val="none"/>
                <w:lang w:val="en-US" w:eastAsia="zh-CN" w:bidi="ar"/>
              </w:rPr>
              <w:t>21</w:t>
            </w:r>
            <w:r>
              <w:rPr>
                <w:rFonts w:hint="default" w:ascii="Times New Roman" w:hAnsi="Times New Roman" w:eastAsia="等线" w:cs="Times New Roman"/>
                <w:i w:val="0"/>
                <w:iCs w:val="0"/>
                <w:color w:val="auto"/>
                <w:kern w:val="0"/>
                <w:sz w:val="21"/>
                <w:szCs w:val="21"/>
                <w:highlight w:val="none"/>
                <w:u w:val="none"/>
                <w:lang w:val="en-US" w:eastAsia="zh-CN" w:bidi="ar"/>
              </w:rPr>
              <w:t>75</w:t>
            </w:r>
          </w:p>
        </w:tc>
      </w:tr>
    </w:tbl>
    <w:p w14:paraId="4B12B739">
      <w:pPr>
        <w:autoSpaceDE w:val="0"/>
        <w:autoSpaceDN w:val="0"/>
        <w:adjustRightInd w:val="0"/>
        <w:snapToGrid w:val="0"/>
        <w:spacing w:line="360" w:lineRule="auto"/>
        <w:ind w:left="-105" w:right="-105" w:firstLine="422"/>
        <w:rPr>
          <w:rFonts w:ascii="Times New Roman" w:hAnsi="Times New Roman" w:cs="Times New Roman"/>
          <w:b/>
          <w:bCs/>
          <w:color w:val="auto"/>
          <w:sz w:val="21"/>
          <w:szCs w:val="21"/>
          <w:highlight w:val="none"/>
        </w:rPr>
      </w:pPr>
      <w:r>
        <w:rPr>
          <w:rFonts w:hint="eastAsia" w:ascii="Times New Roman" w:hAnsi="Times New Roman" w:cs="Times New Roman"/>
          <w:b/>
          <w:bCs/>
          <w:color w:val="auto"/>
          <w:sz w:val="21"/>
          <w:szCs w:val="21"/>
          <w:highlight w:val="none"/>
        </w:rPr>
        <w:t>注：</w:t>
      </w:r>
      <w:r>
        <w:rPr>
          <w:rFonts w:ascii="Times New Roman" w:hAnsi="Times New Roman" w:cs="Times New Roman"/>
          <w:b/>
          <w:bCs/>
          <w:color w:val="auto"/>
          <w:sz w:val="21"/>
          <w:szCs w:val="21"/>
          <w:highlight w:val="none"/>
        </w:rPr>
        <w:t>* 参照执行危害水环境物质（急性毒性类别1）</w:t>
      </w:r>
    </w:p>
    <w:p w14:paraId="0858606B">
      <w:pPr>
        <w:autoSpaceDE w:val="0"/>
        <w:autoSpaceDN w:val="0"/>
        <w:adjustRightInd w:val="0"/>
        <w:snapToGrid w:val="0"/>
        <w:spacing w:line="360" w:lineRule="auto"/>
        <w:ind w:left="-105" w:right="-105" w:firstLine="422" w:firstLineChars="200"/>
        <w:rPr>
          <w:rFonts w:ascii="Times New Roman" w:hAnsi="Times New Roman" w:cs="Times New Roman"/>
          <w:b/>
          <w:bCs/>
          <w:color w:val="auto"/>
          <w:sz w:val="21"/>
          <w:szCs w:val="21"/>
          <w:highlight w:val="none"/>
        </w:rPr>
      </w:pPr>
      <w:r>
        <w:rPr>
          <w:rFonts w:ascii="Times New Roman" w:hAnsi="Times New Roman" w:cs="Times New Roman"/>
          <w:b/>
          <w:bCs/>
          <w:color w:val="auto"/>
          <w:sz w:val="21"/>
          <w:szCs w:val="21"/>
          <w:highlight w:val="none"/>
        </w:rPr>
        <w:t>**参照执行健康危险急性毒性物质（类别2，类别3）</w:t>
      </w:r>
    </w:p>
    <w:p w14:paraId="296557BA">
      <w:pPr>
        <w:autoSpaceDE w:val="0"/>
        <w:autoSpaceDN w:val="0"/>
        <w:adjustRightInd w:val="0"/>
        <w:snapToGrid w:val="0"/>
        <w:spacing w:line="360" w:lineRule="auto"/>
        <w:ind w:left="-105" w:right="-105" w:firstLine="422" w:firstLineChars="200"/>
        <w:rPr>
          <w:rFonts w:ascii="Times New Roman" w:hAnsi="Times New Roman" w:cs="Times New Roman"/>
          <w:b/>
          <w:bCs/>
          <w:color w:val="auto"/>
          <w:sz w:val="21"/>
          <w:szCs w:val="21"/>
          <w:highlight w:val="none"/>
        </w:rPr>
      </w:pPr>
      <w:r>
        <w:rPr>
          <w:rFonts w:ascii="Times New Roman" w:hAnsi="Times New Roman" w:cs="Times New Roman"/>
          <w:b/>
          <w:bCs/>
          <w:color w:val="auto"/>
          <w:sz w:val="21"/>
          <w:szCs w:val="21"/>
          <w:highlight w:val="none"/>
        </w:rPr>
        <w:t>***参照执行</w:t>
      </w:r>
      <w:r>
        <w:rPr>
          <w:rFonts w:hint="eastAsia" w:ascii="Times New Roman" w:hAnsi="Times New Roman" w:cs="Times New Roman"/>
          <w:b/>
          <w:bCs/>
          <w:color w:val="auto"/>
          <w:sz w:val="21"/>
          <w:szCs w:val="21"/>
          <w:highlight w:val="none"/>
        </w:rPr>
        <w:t>参照油类物质</w:t>
      </w:r>
    </w:p>
    <w:p w14:paraId="6E1BC41F">
      <w:pPr>
        <w:autoSpaceDE w:val="0"/>
        <w:autoSpaceDN w:val="0"/>
        <w:adjustRightInd w:val="0"/>
        <w:snapToGrid w:val="0"/>
        <w:spacing w:line="360" w:lineRule="auto"/>
        <w:ind w:left="-105" w:right="-105" w:firstLine="480" w:firstLineChars="200"/>
        <w:rPr>
          <w:rFonts w:ascii="Times New Roman" w:hAnsi="Times New Roman" w:cs="Times New Roman"/>
          <w:color w:val="auto"/>
          <w:highlight w:val="none"/>
        </w:rPr>
      </w:pPr>
      <w:r>
        <w:rPr>
          <w:rFonts w:ascii="Times New Roman" w:hAnsi="Times New Roman" w:cs="Times New Roman"/>
          <w:color w:val="auto"/>
          <w:highlight w:val="none"/>
        </w:rPr>
        <w:t>由上表计算结果可知，本项目</w:t>
      </w:r>
      <w:r>
        <w:rPr>
          <w:rFonts w:ascii="Times New Roman" w:hAnsi="Times New Roman" w:cs="Times New Roman"/>
          <w:color w:val="auto"/>
          <w:highlight w:val="none"/>
        </w:rPr>
        <w:t>1≤Q</w:t>
      </w:r>
      <w:r>
        <w:rPr>
          <w:rFonts w:hint="eastAsia" w:ascii="Times New Roman" w:hAnsi="Times New Roman" w:cs="Times New Roman"/>
          <w:color w:val="auto"/>
          <w:highlight w:val="none"/>
        </w:rPr>
        <w:t>=7.</w:t>
      </w:r>
      <w:r>
        <w:rPr>
          <w:rFonts w:hint="eastAsia" w:ascii="Times New Roman" w:hAnsi="Times New Roman" w:cs="Times New Roman"/>
          <w:color w:val="auto"/>
          <w:highlight w:val="none"/>
          <w:lang w:val="en-US" w:eastAsia="zh-CN"/>
        </w:rPr>
        <w:t>782175</w:t>
      </w:r>
      <w:r>
        <w:rPr>
          <w:rFonts w:ascii="Times New Roman" w:hAnsi="Times New Roman" w:cs="Times New Roman"/>
          <w:color w:val="auto"/>
          <w:highlight w:val="none"/>
        </w:rPr>
        <w:t>＜1</w:t>
      </w:r>
      <w:r>
        <w:rPr>
          <w:rFonts w:hint="eastAsia" w:ascii="Times New Roman" w:hAnsi="Times New Roman" w:cs="Times New Roman"/>
          <w:color w:val="auto"/>
          <w:highlight w:val="none"/>
        </w:rPr>
        <w:t>0</w:t>
      </w:r>
      <w:r>
        <w:rPr>
          <w:rFonts w:ascii="Times New Roman" w:hAnsi="Times New Roman" w:cs="Times New Roman"/>
          <w:color w:val="auto"/>
          <w:highlight w:val="none"/>
        </w:rPr>
        <w:t>。</w:t>
      </w:r>
    </w:p>
    <w:p w14:paraId="51FF3CFD">
      <w:pPr>
        <w:autoSpaceDE w:val="0"/>
        <w:autoSpaceDN w:val="0"/>
        <w:adjustRightInd w:val="0"/>
        <w:snapToGrid w:val="0"/>
        <w:spacing w:line="360" w:lineRule="auto"/>
        <w:ind w:left="-105" w:right="-105" w:firstLine="480" w:firstLineChars="200"/>
        <w:rPr>
          <w:rFonts w:ascii="Times New Roman" w:hAnsi="Times New Roman" w:cs="Times New Roman"/>
          <w:color w:val="auto"/>
          <w:highlight w:val="none"/>
        </w:rPr>
      </w:pPr>
      <w:r>
        <w:rPr>
          <w:rFonts w:ascii="Times New Roman" w:hAnsi="Times New Roman" w:cs="Times New Roman"/>
          <w:color w:val="auto"/>
          <w:highlight w:val="none"/>
        </w:rPr>
        <w:t>（2）行业及生产工艺（M）</w:t>
      </w:r>
    </w:p>
    <w:p w14:paraId="6D01B3D6">
      <w:pPr>
        <w:autoSpaceDE w:val="0"/>
        <w:autoSpaceDN w:val="0"/>
        <w:adjustRightInd w:val="0"/>
        <w:snapToGrid w:val="0"/>
        <w:spacing w:line="360" w:lineRule="auto"/>
        <w:ind w:left="-105" w:right="-105" w:firstLine="480" w:firstLineChars="200"/>
        <w:rPr>
          <w:rFonts w:ascii="Times New Roman" w:hAnsi="Times New Roman" w:cs="Times New Roman"/>
          <w:color w:val="auto"/>
          <w:highlight w:val="none"/>
        </w:rPr>
      </w:pPr>
      <w:r>
        <w:rPr>
          <w:rFonts w:ascii="Times New Roman" w:hAnsi="Times New Roman" w:cs="Times New Roman"/>
          <w:color w:val="auto"/>
          <w:highlight w:val="none"/>
        </w:rPr>
        <w:t>分析项目所属行业及生产工艺特点，按照表C.1评估生产工艺情况。具有多套工艺单元的项目，对每套生产工艺分别评分并求和。将M划分为（1）M＞20；（2）10＜M≤20；（3）5＜M≤10；（4）M=5，分别以M1、M2、M3和M4表示。</w:t>
      </w:r>
    </w:p>
    <w:p w14:paraId="424666F1">
      <w:pPr>
        <w:pStyle w:val="15"/>
        <w:ind w:left="-105" w:right="-105" w:firstLine="482"/>
        <w:rPr>
          <w:rFonts w:eastAsia="宋体"/>
          <w:b w:val="0"/>
          <w:bCs/>
          <w:color w:val="auto"/>
          <w:sz w:val="24"/>
          <w:szCs w:val="18"/>
          <w:highlight w:val="none"/>
        </w:rPr>
      </w:pPr>
      <w:r>
        <w:rPr>
          <w:rFonts w:eastAsia="宋体"/>
          <w:color w:val="auto"/>
          <w:sz w:val="24"/>
          <w:szCs w:val="18"/>
          <w:highlight w:val="none"/>
        </w:rPr>
        <w:t xml:space="preserve">表 </w:t>
      </w:r>
      <w:r>
        <w:rPr>
          <w:rFonts w:eastAsia="宋体"/>
          <w:color w:val="auto"/>
          <w:sz w:val="24"/>
          <w:szCs w:val="18"/>
          <w:highlight w:val="none"/>
        </w:rPr>
        <w:fldChar w:fldCharType="begin"/>
      </w:r>
      <w:r>
        <w:rPr>
          <w:rFonts w:eastAsia="宋体"/>
          <w:color w:val="auto"/>
          <w:sz w:val="24"/>
          <w:szCs w:val="18"/>
          <w:highlight w:val="none"/>
        </w:rPr>
        <w:instrText xml:space="preserve"> STYLEREF 2 \s </w:instrText>
      </w:r>
      <w:r>
        <w:rPr>
          <w:rFonts w:eastAsia="宋体"/>
          <w:color w:val="auto"/>
          <w:sz w:val="24"/>
          <w:szCs w:val="18"/>
          <w:highlight w:val="none"/>
        </w:rPr>
        <w:fldChar w:fldCharType="separate"/>
      </w:r>
      <w:r>
        <w:rPr>
          <w:rFonts w:eastAsia="宋体"/>
          <w:color w:val="auto"/>
          <w:sz w:val="24"/>
          <w:szCs w:val="18"/>
          <w:highlight w:val="none"/>
        </w:rPr>
        <w:t>2.4</w:t>
      </w:r>
      <w:r>
        <w:rPr>
          <w:rFonts w:eastAsia="宋体"/>
          <w:color w:val="auto"/>
          <w:sz w:val="24"/>
          <w:szCs w:val="18"/>
          <w:highlight w:val="none"/>
        </w:rPr>
        <w:fldChar w:fldCharType="end"/>
      </w:r>
      <w:r>
        <w:rPr>
          <w:rFonts w:eastAsia="宋体"/>
          <w:color w:val="auto"/>
          <w:sz w:val="24"/>
          <w:szCs w:val="18"/>
          <w:highlight w:val="none"/>
        </w:rPr>
        <w:noBreakHyphen/>
      </w:r>
      <w:r>
        <w:rPr>
          <w:rFonts w:eastAsia="宋体"/>
          <w:color w:val="auto"/>
          <w:sz w:val="24"/>
          <w:szCs w:val="18"/>
          <w:highlight w:val="none"/>
        </w:rPr>
        <w:fldChar w:fldCharType="begin"/>
      </w:r>
      <w:r>
        <w:rPr>
          <w:rFonts w:eastAsia="宋体"/>
          <w:color w:val="auto"/>
          <w:sz w:val="24"/>
          <w:szCs w:val="18"/>
          <w:highlight w:val="none"/>
        </w:rPr>
        <w:instrText xml:space="preserve"> SEQ 表 \* ARABIC \s 2 </w:instrText>
      </w:r>
      <w:r>
        <w:rPr>
          <w:rFonts w:eastAsia="宋体"/>
          <w:color w:val="auto"/>
          <w:sz w:val="24"/>
          <w:szCs w:val="18"/>
          <w:highlight w:val="none"/>
        </w:rPr>
        <w:fldChar w:fldCharType="separate"/>
      </w:r>
      <w:r>
        <w:rPr>
          <w:rFonts w:eastAsia="宋体"/>
          <w:color w:val="auto"/>
          <w:sz w:val="24"/>
          <w:szCs w:val="18"/>
          <w:highlight w:val="none"/>
        </w:rPr>
        <w:t>9</w:t>
      </w:r>
      <w:r>
        <w:rPr>
          <w:rFonts w:eastAsia="宋体"/>
          <w:color w:val="auto"/>
          <w:sz w:val="24"/>
          <w:szCs w:val="18"/>
          <w:highlight w:val="none"/>
        </w:rPr>
        <w:fldChar w:fldCharType="end"/>
      </w:r>
      <w:r>
        <w:rPr>
          <w:rFonts w:eastAsia="宋体"/>
          <w:bCs/>
          <w:color w:val="auto"/>
          <w:sz w:val="24"/>
          <w:szCs w:val="18"/>
          <w:highlight w:val="none"/>
        </w:rPr>
        <w:t>行业及生产工艺（M）</w:t>
      </w:r>
    </w:p>
    <w:tbl>
      <w:tblPr>
        <w:tblStyle w:val="45"/>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992"/>
        <w:gridCol w:w="5435"/>
        <w:gridCol w:w="992"/>
        <w:gridCol w:w="1085"/>
      </w:tblGrid>
      <w:tr w14:paraId="38B7B92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284" w:hRule="atLeast"/>
          <w:tblHeader/>
          <w:jc w:val="center"/>
        </w:trPr>
        <w:tc>
          <w:tcPr>
            <w:tcW w:w="992" w:type="dxa"/>
            <w:vAlign w:val="center"/>
          </w:tcPr>
          <w:p w14:paraId="7EE3253B">
            <w:pPr>
              <w:keepNext w:val="0"/>
              <w:keepLines w:val="0"/>
              <w:pageBreakBefore w:val="0"/>
              <w:widowControl/>
              <w:kinsoku/>
              <w:wordWrap/>
              <w:overflowPunct/>
              <w:topLinePunct w:val="0"/>
              <w:autoSpaceDE w:val="0"/>
              <w:autoSpaceDN w:val="0"/>
              <w:bidi w:val="0"/>
              <w:adjustRightInd w:val="0"/>
              <w:snapToGrid w:val="0"/>
              <w:ind w:left="0" w:right="0"/>
              <w:jc w:val="center"/>
              <w:textAlignment w:val="auto"/>
              <w:rPr>
                <w:rFonts w:ascii="Times New Roman" w:hAnsi="Times New Roman" w:cs="Times New Roman"/>
                <w:b/>
                <w:color w:val="auto"/>
                <w:sz w:val="21"/>
                <w:szCs w:val="21"/>
                <w:highlight w:val="none"/>
              </w:rPr>
            </w:pPr>
            <w:r>
              <w:rPr>
                <w:rFonts w:ascii="Times New Roman" w:hAnsi="Times New Roman" w:cs="Times New Roman"/>
                <w:b/>
                <w:color w:val="auto"/>
                <w:sz w:val="21"/>
                <w:szCs w:val="21"/>
                <w:highlight w:val="none"/>
              </w:rPr>
              <w:t>行业</w:t>
            </w:r>
          </w:p>
        </w:tc>
        <w:tc>
          <w:tcPr>
            <w:tcW w:w="5435" w:type="dxa"/>
            <w:vAlign w:val="center"/>
          </w:tcPr>
          <w:p w14:paraId="3F6A69EE">
            <w:pPr>
              <w:keepNext w:val="0"/>
              <w:keepLines w:val="0"/>
              <w:pageBreakBefore w:val="0"/>
              <w:widowControl/>
              <w:kinsoku/>
              <w:wordWrap/>
              <w:overflowPunct/>
              <w:topLinePunct w:val="0"/>
              <w:autoSpaceDE w:val="0"/>
              <w:autoSpaceDN w:val="0"/>
              <w:bidi w:val="0"/>
              <w:adjustRightInd w:val="0"/>
              <w:snapToGrid w:val="0"/>
              <w:ind w:left="0" w:right="0"/>
              <w:jc w:val="center"/>
              <w:textAlignment w:val="auto"/>
              <w:rPr>
                <w:rFonts w:ascii="Times New Roman" w:hAnsi="Times New Roman" w:cs="Times New Roman"/>
                <w:b/>
                <w:color w:val="auto"/>
                <w:sz w:val="21"/>
                <w:szCs w:val="21"/>
                <w:highlight w:val="none"/>
              </w:rPr>
            </w:pPr>
            <w:r>
              <w:rPr>
                <w:rFonts w:ascii="Times New Roman" w:hAnsi="Times New Roman" w:cs="Times New Roman"/>
                <w:b/>
                <w:color w:val="auto"/>
                <w:sz w:val="21"/>
                <w:szCs w:val="21"/>
                <w:highlight w:val="none"/>
              </w:rPr>
              <w:t>评估依据</w:t>
            </w:r>
          </w:p>
        </w:tc>
        <w:tc>
          <w:tcPr>
            <w:tcW w:w="992" w:type="dxa"/>
            <w:vAlign w:val="center"/>
          </w:tcPr>
          <w:p w14:paraId="63147A91">
            <w:pPr>
              <w:keepNext w:val="0"/>
              <w:keepLines w:val="0"/>
              <w:pageBreakBefore w:val="0"/>
              <w:widowControl/>
              <w:kinsoku/>
              <w:wordWrap/>
              <w:overflowPunct/>
              <w:topLinePunct w:val="0"/>
              <w:autoSpaceDE w:val="0"/>
              <w:autoSpaceDN w:val="0"/>
              <w:bidi w:val="0"/>
              <w:adjustRightInd w:val="0"/>
              <w:snapToGrid w:val="0"/>
              <w:ind w:left="0" w:right="0"/>
              <w:jc w:val="center"/>
              <w:textAlignment w:val="auto"/>
              <w:rPr>
                <w:rFonts w:ascii="Times New Roman" w:hAnsi="Times New Roman" w:cs="Times New Roman"/>
                <w:b/>
                <w:color w:val="auto"/>
                <w:sz w:val="21"/>
                <w:szCs w:val="21"/>
                <w:highlight w:val="none"/>
              </w:rPr>
            </w:pPr>
            <w:r>
              <w:rPr>
                <w:rFonts w:ascii="Times New Roman" w:hAnsi="Times New Roman" w:cs="Times New Roman"/>
                <w:b/>
                <w:color w:val="auto"/>
                <w:sz w:val="21"/>
                <w:szCs w:val="21"/>
                <w:highlight w:val="none"/>
              </w:rPr>
              <w:t>分值</w:t>
            </w:r>
          </w:p>
        </w:tc>
        <w:tc>
          <w:tcPr>
            <w:tcW w:w="1085" w:type="dxa"/>
            <w:vAlign w:val="center"/>
          </w:tcPr>
          <w:p w14:paraId="6438224E">
            <w:pPr>
              <w:keepNext w:val="0"/>
              <w:keepLines w:val="0"/>
              <w:pageBreakBefore w:val="0"/>
              <w:widowControl/>
              <w:kinsoku/>
              <w:wordWrap/>
              <w:overflowPunct/>
              <w:topLinePunct w:val="0"/>
              <w:autoSpaceDE w:val="0"/>
              <w:autoSpaceDN w:val="0"/>
              <w:bidi w:val="0"/>
              <w:adjustRightInd w:val="0"/>
              <w:snapToGrid w:val="0"/>
              <w:ind w:left="0" w:right="0"/>
              <w:jc w:val="center"/>
              <w:textAlignment w:val="auto"/>
              <w:rPr>
                <w:rFonts w:ascii="Times New Roman" w:hAnsi="Times New Roman" w:cs="Times New Roman"/>
                <w:b/>
                <w:color w:val="auto"/>
                <w:sz w:val="21"/>
                <w:szCs w:val="21"/>
                <w:highlight w:val="none"/>
              </w:rPr>
            </w:pPr>
            <w:r>
              <w:rPr>
                <w:rFonts w:ascii="Times New Roman" w:hAnsi="Times New Roman" w:cs="Times New Roman"/>
                <w:b/>
                <w:color w:val="auto"/>
                <w:sz w:val="21"/>
                <w:szCs w:val="21"/>
                <w:highlight w:val="none"/>
              </w:rPr>
              <w:t>本项目分值</w:t>
            </w:r>
          </w:p>
        </w:tc>
      </w:tr>
      <w:tr w14:paraId="783799B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90" w:hRule="atLeast"/>
          <w:jc w:val="center"/>
        </w:trPr>
        <w:tc>
          <w:tcPr>
            <w:tcW w:w="992" w:type="dxa"/>
            <w:vMerge w:val="restart"/>
            <w:vAlign w:val="center"/>
          </w:tcPr>
          <w:p w14:paraId="54ECC113">
            <w:pPr>
              <w:keepNext w:val="0"/>
              <w:keepLines w:val="0"/>
              <w:pageBreakBefore w:val="0"/>
              <w:widowControl/>
              <w:kinsoku/>
              <w:wordWrap/>
              <w:overflowPunct/>
              <w:topLinePunct w:val="0"/>
              <w:autoSpaceDE w:val="0"/>
              <w:autoSpaceDN w:val="0"/>
              <w:bidi w:val="0"/>
              <w:adjustRightInd w:val="0"/>
              <w:snapToGrid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石化、化工、医药、轻工、化纤、有色冶炼等</w:t>
            </w:r>
          </w:p>
        </w:tc>
        <w:tc>
          <w:tcPr>
            <w:tcW w:w="5435" w:type="dxa"/>
            <w:vAlign w:val="center"/>
          </w:tcPr>
          <w:p w14:paraId="7C87F814">
            <w:pPr>
              <w:keepNext w:val="0"/>
              <w:keepLines w:val="0"/>
              <w:pageBreakBefore w:val="0"/>
              <w:widowControl/>
              <w:kinsoku/>
              <w:wordWrap/>
              <w:overflowPunct/>
              <w:topLinePunct w:val="0"/>
              <w:autoSpaceDE w:val="0"/>
              <w:autoSpaceDN w:val="0"/>
              <w:bidi w:val="0"/>
              <w:adjustRightInd w:val="0"/>
              <w:snapToGrid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涉及光气及光气化工艺、电解工艺（氯碱）、氯化工艺、硝化工艺、合成氨工艺、裂解（裂化）工艺、氟化工艺、加氢工艺、重氮化工艺、氧化工艺、过氧化工艺、胺基化工艺、磺化工艺、聚合工艺、烷基化工艺、新型煤化工工艺、电石生产工艺、偶氮化工艺</w:t>
            </w:r>
          </w:p>
        </w:tc>
        <w:tc>
          <w:tcPr>
            <w:tcW w:w="992" w:type="dxa"/>
            <w:vAlign w:val="center"/>
          </w:tcPr>
          <w:p w14:paraId="0EC38586">
            <w:pPr>
              <w:keepNext w:val="0"/>
              <w:keepLines w:val="0"/>
              <w:pageBreakBefore w:val="0"/>
              <w:widowControl/>
              <w:kinsoku/>
              <w:wordWrap/>
              <w:overflowPunct/>
              <w:topLinePunct w:val="0"/>
              <w:autoSpaceDE w:val="0"/>
              <w:autoSpaceDN w:val="0"/>
              <w:bidi w:val="0"/>
              <w:adjustRightInd w:val="0"/>
              <w:snapToGrid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10/每套</w:t>
            </w:r>
          </w:p>
        </w:tc>
        <w:tc>
          <w:tcPr>
            <w:tcW w:w="1085" w:type="dxa"/>
            <w:vAlign w:val="center"/>
          </w:tcPr>
          <w:p w14:paraId="62FB01F0">
            <w:pPr>
              <w:keepNext w:val="0"/>
              <w:keepLines w:val="0"/>
              <w:pageBreakBefore w:val="0"/>
              <w:widowControl/>
              <w:kinsoku/>
              <w:wordWrap/>
              <w:overflowPunct/>
              <w:topLinePunct w:val="0"/>
              <w:autoSpaceDE w:val="0"/>
              <w:autoSpaceDN w:val="0"/>
              <w:bidi w:val="0"/>
              <w:adjustRightInd w:val="0"/>
              <w:snapToGrid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不涉及</w:t>
            </w:r>
          </w:p>
        </w:tc>
      </w:tr>
      <w:tr w14:paraId="0CF39EC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284" w:hRule="atLeast"/>
          <w:jc w:val="center"/>
        </w:trPr>
        <w:tc>
          <w:tcPr>
            <w:tcW w:w="992" w:type="dxa"/>
            <w:vMerge w:val="continue"/>
            <w:vAlign w:val="center"/>
          </w:tcPr>
          <w:p w14:paraId="59C27E3B">
            <w:pPr>
              <w:keepNext w:val="0"/>
              <w:keepLines w:val="0"/>
              <w:pageBreakBefore w:val="0"/>
              <w:widowControl/>
              <w:kinsoku/>
              <w:wordWrap/>
              <w:overflowPunct/>
              <w:topLinePunct w:val="0"/>
              <w:autoSpaceDE w:val="0"/>
              <w:autoSpaceDN w:val="0"/>
              <w:bidi w:val="0"/>
              <w:adjustRightInd w:val="0"/>
              <w:snapToGrid w:val="0"/>
              <w:ind w:left="0" w:right="0"/>
              <w:jc w:val="center"/>
              <w:textAlignment w:val="auto"/>
              <w:rPr>
                <w:rFonts w:ascii="Times New Roman" w:hAnsi="Times New Roman" w:cs="Times New Roman"/>
                <w:color w:val="auto"/>
                <w:sz w:val="21"/>
                <w:szCs w:val="21"/>
                <w:highlight w:val="none"/>
              </w:rPr>
            </w:pPr>
          </w:p>
        </w:tc>
        <w:tc>
          <w:tcPr>
            <w:tcW w:w="5435" w:type="dxa"/>
            <w:vAlign w:val="center"/>
          </w:tcPr>
          <w:p w14:paraId="0B3231F6">
            <w:pPr>
              <w:keepNext w:val="0"/>
              <w:keepLines w:val="0"/>
              <w:pageBreakBefore w:val="0"/>
              <w:widowControl/>
              <w:kinsoku/>
              <w:wordWrap/>
              <w:overflowPunct/>
              <w:topLinePunct w:val="0"/>
              <w:autoSpaceDE w:val="0"/>
              <w:autoSpaceDN w:val="0"/>
              <w:bidi w:val="0"/>
              <w:adjustRightInd w:val="0"/>
              <w:snapToGrid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无机酸制酸工艺、焦化工艺</w:t>
            </w:r>
          </w:p>
        </w:tc>
        <w:tc>
          <w:tcPr>
            <w:tcW w:w="992" w:type="dxa"/>
            <w:vAlign w:val="center"/>
          </w:tcPr>
          <w:p w14:paraId="5CA5B93B">
            <w:pPr>
              <w:keepNext w:val="0"/>
              <w:keepLines w:val="0"/>
              <w:pageBreakBefore w:val="0"/>
              <w:widowControl/>
              <w:kinsoku/>
              <w:wordWrap/>
              <w:overflowPunct/>
              <w:topLinePunct w:val="0"/>
              <w:autoSpaceDE w:val="0"/>
              <w:autoSpaceDN w:val="0"/>
              <w:bidi w:val="0"/>
              <w:adjustRightInd w:val="0"/>
              <w:snapToGrid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5/每套</w:t>
            </w:r>
          </w:p>
        </w:tc>
        <w:tc>
          <w:tcPr>
            <w:tcW w:w="1085" w:type="dxa"/>
            <w:vAlign w:val="center"/>
          </w:tcPr>
          <w:p w14:paraId="6FD22ED0">
            <w:pPr>
              <w:keepNext w:val="0"/>
              <w:keepLines w:val="0"/>
              <w:pageBreakBefore w:val="0"/>
              <w:widowControl/>
              <w:kinsoku/>
              <w:wordWrap/>
              <w:overflowPunct/>
              <w:topLinePunct w:val="0"/>
              <w:autoSpaceDE w:val="0"/>
              <w:autoSpaceDN w:val="0"/>
              <w:bidi w:val="0"/>
              <w:adjustRightInd w:val="0"/>
              <w:snapToGrid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不涉及</w:t>
            </w:r>
          </w:p>
        </w:tc>
      </w:tr>
      <w:tr w14:paraId="3A55F26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284" w:hRule="atLeast"/>
          <w:jc w:val="center"/>
        </w:trPr>
        <w:tc>
          <w:tcPr>
            <w:tcW w:w="992" w:type="dxa"/>
            <w:vMerge w:val="continue"/>
            <w:vAlign w:val="center"/>
          </w:tcPr>
          <w:p w14:paraId="7E82EBE8">
            <w:pPr>
              <w:keepNext w:val="0"/>
              <w:keepLines w:val="0"/>
              <w:pageBreakBefore w:val="0"/>
              <w:widowControl/>
              <w:kinsoku/>
              <w:wordWrap/>
              <w:overflowPunct/>
              <w:topLinePunct w:val="0"/>
              <w:autoSpaceDE w:val="0"/>
              <w:autoSpaceDN w:val="0"/>
              <w:bidi w:val="0"/>
              <w:adjustRightInd w:val="0"/>
              <w:snapToGrid w:val="0"/>
              <w:ind w:left="0" w:right="0"/>
              <w:jc w:val="center"/>
              <w:textAlignment w:val="auto"/>
              <w:rPr>
                <w:rFonts w:ascii="Times New Roman" w:hAnsi="Times New Roman" w:cs="Times New Roman"/>
                <w:color w:val="auto"/>
                <w:sz w:val="21"/>
                <w:szCs w:val="21"/>
                <w:highlight w:val="none"/>
              </w:rPr>
            </w:pPr>
          </w:p>
        </w:tc>
        <w:tc>
          <w:tcPr>
            <w:tcW w:w="5435" w:type="dxa"/>
            <w:vAlign w:val="center"/>
          </w:tcPr>
          <w:p w14:paraId="52BC4D3E">
            <w:pPr>
              <w:keepNext w:val="0"/>
              <w:keepLines w:val="0"/>
              <w:pageBreakBefore w:val="0"/>
              <w:widowControl/>
              <w:kinsoku/>
              <w:wordWrap/>
              <w:overflowPunct/>
              <w:topLinePunct w:val="0"/>
              <w:autoSpaceDE w:val="0"/>
              <w:autoSpaceDN w:val="0"/>
              <w:bidi w:val="0"/>
              <w:adjustRightInd w:val="0"/>
              <w:snapToGrid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其他高温或高压，且涉及危险物质的工艺过程</w:t>
            </w:r>
            <w:r>
              <w:rPr>
                <w:rFonts w:ascii="Times New Roman" w:hAnsi="Times New Roman" w:cs="Times New Roman"/>
                <w:color w:val="auto"/>
                <w:sz w:val="21"/>
                <w:szCs w:val="21"/>
                <w:highlight w:val="none"/>
                <w:vertAlign w:val="superscript"/>
              </w:rPr>
              <w:t>a</w:t>
            </w:r>
            <w:r>
              <w:rPr>
                <w:rFonts w:ascii="Times New Roman" w:hAnsi="Times New Roman" w:cs="Times New Roman"/>
                <w:color w:val="auto"/>
                <w:sz w:val="21"/>
                <w:szCs w:val="21"/>
                <w:highlight w:val="none"/>
              </w:rPr>
              <w:t>、危险物质贮存罐区</w:t>
            </w:r>
          </w:p>
        </w:tc>
        <w:tc>
          <w:tcPr>
            <w:tcW w:w="992" w:type="dxa"/>
            <w:vAlign w:val="center"/>
          </w:tcPr>
          <w:p w14:paraId="5CB67395">
            <w:pPr>
              <w:keepNext w:val="0"/>
              <w:keepLines w:val="0"/>
              <w:pageBreakBefore w:val="0"/>
              <w:widowControl/>
              <w:kinsoku/>
              <w:wordWrap/>
              <w:overflowPunct/>
              <w:topLinePunct w:val="0"/>
              <w:autoSpaceDE w:val="0"/>
              <w:autoSpaceDN w:val="0"/>
              <w:bidi w:val="0"/>
              <w:adjustRightInd w:val="0"/>
              <w:snapToGrid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5/套(罐区)</w:t>
            </w:r>
          </w:p>
        </w:tc>
        <w:tc>
          <w:tcPr>
            <w:tcW w:w="1085" w:type="dxa"/>
            <w:vAlign w:val="center"/>
          </w:tcPr>
          <w:p w14:paraId="7593C563">
            <w:pPr>
              <w:keepNext w:val="0"/>
              <w:keepLines w:val="0"/>
              <w:pageBreakBefore w:val="0"/>
              <w:widowControl/>
              <w:kinsoku/>
              <w:wordWrap/>
              <w:overflowPunct/>
              <w:topLinePunct w:val="0"/>
              <w:autoSpaceDE w:val="0"/>
              <w:autoSpaceDN w:val="0"/>
              <w:bidi w:val="0"/>
              <w:adjustRightInd w:val="0"/>
              <w:snapToGrid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不涉及</w:t>
            </w:r>
          </w:p>
        </w:tc>
      </w:tr>
      <w:tr w14:paraId="5DB2991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284" w:hRule="atLeast"/>
          <w:jc w:val="center"/>
        </w:trPr>
        <w:tc>
          <w:tcPr>
            <w:tcW w:w="992" w:type="dxa"/>
            <w:vAlign w:val="center"/>
          </w:tcPr>
          <w:p w14:paraId="6953266D">
            <w:pPr>
              <w:keepNext w:val="0"/>
              <w:keepLines w:val="0"/>
              <w:pageBreakBefore w:val="0"/>
              <w:widowControl/>
              <w:kinsoku/>
              <w:wordWrap/>
              <w:overflowPunct/>
              <w:topLinePunct w:val="0"/>
              <w:bidi w:val="0"/>
              <w:adjustRightInd w:val="0"/>
              <w:snapToGrid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管道、港口</w:t>
            </w:r>
            <w:r>
              <w:rPr>
                <w:rStyle w:val="110"/>
                <w:rFonts w:ascii="Times New Roman" w:hAnsi="Times New Roman" w:cs="Times New Roman"/>
                <w:color w:val="auto"/>
                <w:sz w:val="21"/>
                <w:szCs w:val="21"/>
                <w:highlight w:val="none"/>
              </w:rPr>
              <w:t>/</w:t>
            </w:r>
            <w:r>
              <w:rPr>
                <w:rStyle w:val="166"/>
                <w:b w:val="0"/>
                <w:color w:val="auto"/>
                <w:sz w:val="21"/>
                <w:szCs w:val="21"/>
                <w:highlight w:val="none"/>
              </w:rPr>
              <w:t>码头等</w:t>
            </w:r>
          </w:p>
        </w:tc>
        <w:tc>
          <w:tcPr>
            <w:tcW w:w="5435" w:type="dxa"/>
            <w:vAlign w:val="center"/>
          </w:tcPr>
          <w:p w14:paraId="5D39A1D8">
            <w:pPr>
              <w:keepNext w:val="0"/>
              <w:keepLines w:val="0"/>
              <w:pageBreakBefore w:val="0"/>
              <w:widowControl/>
              <w:kinsoku/>
              <w:wordWrap/>
              <w:overflowPunct/>
              <w:topLinePunct w:val="0"/>
              <w:bidi w:val="0"/>
              <w:adjustRightInd w:val="0"/>
              <w:snapToGrid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涉及危险物质管道运输项目、港口</w:t>
            </w:r>
            <w:r>
              <w:rPr>
                <w:rStyle w:val="110"/>
                <w:rFonts w:ascii="Times New Roman" w:hAnsi="Times New Roman" w:cs="Times New Roman"/>
                <w:color w:val="auto"/>
                <w:sz w:val="21"/>
                <w:szCs w:val="21"/>
                <w:highlight w:val="none"/>
              </w:rPr>
              <w:t>/</w:t>
            </w:r>
            <w:r>
              <w:rPr>
                <w:rStyle w:val="166"/>
                <w:b w:val="0"/>
                <w:color w:val="auto"/>
                <w:sz w:val="21"/>
                <w:szCs w:val="21"/>
                <w:highlight w:val="none"/>
              </w:rPr>
              <w:t>码头等</w:t>
            </w:r>
          </w:p>
        </w:tc>
        <w:tc>
          <w:tcPr>
            <w:tcW w:w="992" w:type="dxa"/>
            <w:vAlign w:val="center"/>
          </w:tcPr>
          <w:p w14:paraId="066813A0">
            <w:pPr>
              <w:keepNext w:val="0"/>
              <w:keepLines w:val="0"/>
              <w:pageBreakBefore w:val="0"/>
              <w:widowControl/>
              <w:kinsoku/>
              <w:wordWrap/>
              <w:overflowPunct/>
              <w:topLinePunct w:val="0"/>
              <w:bidi w:val="0"/>
              <w:adjustRightInd w:val="0"/>
              <w:snapToGrid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10</w:t>
            </w:r>
          </w:p>
        </w:tc>
        <w:tc>
          <w:tcPr>
            <w:tcW w:w="1085" w:type="dxa"/>
            <w:vAlign w:val="center"/>
          </w:tcPr>
          <w:p w14:paraId="48C19647">
            <w:pPr>
              <w:keepNext w:val="0"/>
              <w:keepLines w:val="0"/>
              <w:pageBreakBefore w:val="0"/>
              <w:widowControl/>
              <w:kinsoku/>
              <w:wordWrap/>
              <w:overflowPunct/>
              <w:topLinePunct w:val="0"/>
              <w:autoSpaceDE w:val="0"/>
              <w:autoSpaceDN w:val="0"/>
              <w:bidi w:val="0"/>
              <w:adjustRightInd w:val="0"/>
              <w:snapToGrid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不涉及</w:t>
            </w:r>
          </w:p>
        </w:tc>
      </w:tr>
      <w:tr w14:paraId="2728671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284" w:hRule="atLeast"/>
          <w:jc w:val="center"/>
        </w:trPr>
        <w:tc>
          <w:tcPr>
            <w:tcW w:w="992" w:type="dxa"/>
            <w:vAlign w:val="center"/>
          </w:tcPr>
          <w:p w14:paraId="1F4DED6F">
            <w:pPr>
              <w:keepNext w:val="0"/>
              <w:keepLines w:val="0"/>
              <w:pageBreakBefore w:val="0"/>
              <w:widowControl/>
              <w:kinsoku/>
              <w:wordWrap/>
              <w:overflowPunct/>
              <w:topLinePunct w:val="0"/>
              <w:bidi w:val="0"/>
              <w:adjustRightInd w:val="0"/>
              <w:snapToGrid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石油天然气</w:t>
            </w:r>
          </w:p>
        </w:tc>
        <w:tc>
          <w:tcPr>
            <w:tcW w:w="5435" w:type="dxa"/>
            <w:vAlign w:val="center"/>
          </w:tcPr>
          <w:p w14:paraId="36D60B96">
            <w:pPr>
              <w:keepNext w:val="0"/>
              <w:keepLines w:val="0"/>
              <w:pageBreakBefore w:val="0"/>
              <w:widowControl/>
              <w:kinsoku/>
              <w:wordWrap/>
              <w:overflowPunct/>
              <w:topLinePunct w:val="0"/>
              <w:bidi w:val="0"/>
              <w:adjustRightInd w:val="0"/>
              <w:snapToGrid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石油、天然气、页岩气开采（含净化），气库（不含加气站的气库），油</w:t>
            </w:r>
            <w:r>
              <w:rPr>
                <w:rStyle w:val="133"/>
                <w:rFonts w:hint="default" w:ascii="Times New Roman" w:hAnsi="Times New Roman" w:eastAsia="宋体" w:cs="Times New Roman"/>
                <w:color w:val="auto"/>
                <w:sz w:val="21"/>
                <w:szCs w:val="21"/>
                <w:highlight w:val="none"/>
              </w:rPr>
              <w:t>库（不含加气站的油库）、油气管线</w:t>
            </w:r>
            <w:r>
              <w:rPr>
                <w:rStyle w:val="110"/>
                <w:rFonts w:ascii="Times New Roman" w:hAnsi="Times New Roman" w:cs="Times New Roman"/>
                <w:color w:val="auto"/>
                <w:sz w:val="21"/>
                <w:szCs w:val="21"/>
                <w:highlight w:val="none"/>
              </w:rPr>
              <w:t>b</w:t>
            </w:r>
            <w:r>
              <w:rPr>
                <w:rStyle w:val="133"/>
                <w:rFonts w:hint="default" w:ascii="Times New Roman" w:hAnsi="Times New Roman" w:eastAsia="宋体" w:cs="Times New Roman"/>
                <w:color w:val="auto"/>
                <w:sz w:val="21"/>
                <w:szCs w:val="21"/>
                <w:highlight w:val="none"/>
              </w:rPr>
              <w:t>（不含城镇燃气管线）</w:t>
            </w:r>
          </w:p>
        </w:tc>
        <w:tc>
          <w:tcPr>
            <w:tcW w:w="992" w:type="dxa"/>
            <w:vAlign w:val="center"/>
          </w:tcPr>
          <w:p w14:paraId="16B8CA03">
            <w:pPr>
              <w:keepNext w:val="0"/>
              <w:keepLines w:val="0"/>
              <w:pageBreakBefore w:val="0"/>
              <w:widowControl/>
              <w:kinsoku/>
              <w:wordWrap/>
              <w:overflowPunct/>
              <w:topLinePunct w:val="0"/>
              <w:bidi w:val="0"/>
              <w:adjustRightInd w:val="0"/>
              <w:snapToGrid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10</w:t>
            </w:r>
          </w:p>
        </w:tc>
        <w:tc>
          <w:tcPr>
            <w:tcW w:w="1085" w:type="dxa"/>
            <w:vAlign w:val="center"/>
          </w:tcPr>
          <w:p w14:paraId="7EB44413">
            <w:pPr>
              <w:keepNext w:val="0"/>
              <w:keepLines w:val="0"/>
              <w:pageBreakBefore w:val="0"/>
              <w:widowControl/>
              <w:kinsoku/>
              <w:wordWrap/>
              <w:overflowPunct/>
              <w:topLinePunct w:val="0"/>
              <w:autoSpaceDE w:val="0"/>
              <w:autoSpaceDN w:val="0"/>
              <w:bidi w:val="0"/>
              <w:adjustRightInd w:val="0"/>
              <w:snapToGrid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不涉及</w:t>
            </w:r>
          </w:p>
        </w:tc>
      </w:tr>
      <w:tr w14:paraId="3747A1B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284" w:hRule="atLeast"/>
          <w:jc w:val="center"/>
        </w:trPr>
        <w:tc>
          <w:tcPr>
            <w:tcW w:w="992" w:type="dxa"/>
            <w:vAlign w:val="center"/>
          </w:tcPr>
          <w:p w14:paraId="017F6420">
            <w:pPr>
              <w:keepNext w:val="0"/>
              <w:keepLines w:val="0"/>
              <w:pageBreakBefore w:val="0"/>
              <w:widowControl/>
              <w:kinsoku/>
              <w:wordWrap/>
              <w:overflowPunct/>
              <w:topLinePunct w:val="0"/>
              <w:bidi w:val="0"/>
              <w:adjustRightInd w:val="0"/>
              <w:snapToGrid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其他</w:t>
            </w:r>
          </w:p>
        </w:tc>
        <w:tc>
          <w:tcPr>
            <w:tcW w:w="5435" w:type="dxa"/>
            <w:vAlign w:val="center"/>
          </w:tcPr>
          <w:p w14:paraId="23EB101F">
            <w:pPr>
              <w:keepNext w:val="0"/>
              <w:keepLines w:val="0"/>
              <w:pageBreakBefore w:val="0"/>
              <w:widowControl/>
              <w:kinsoku/>
              <w:wordWrap/>
              <w:overflowPunct/>
              <w:topLinePunct w:val="0"/>
              <w:bidi w:val="0"/>
              <w:adjustRightInd w:val="0"/>
              <w:snapToGrid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涉及危险物质使用、贮存的项目</w:t>
            </w:r>
          </w:p>
        </w:tc>
        <w:tc>
          <w:tcPr>
            <w:tcW w:w="992" w:type="dxa"/>
            <w:vAlign w:val="center"/>
          </w:tcPr>
          <w:p w14:paraId="6550611A">
            <w:pPr>
              <w:keepNext w:val="0"/>
              <w:keepLines w:val="0"/>
              <w:pageBreakBefore w:val="0"/>
              <w:widowControl/>
              <w:kinsoku/>
              <w:wordWrap/>
              <w:overflowPunct/>
              <w:topLinePunct w:val="0"/>
              <w:bidi w:val="0"/>
              <w:adjustRightInd w:val="0"/>
              <w:snapToGrid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5</w:t>
            </w:r>
          </w:p>
        </w:tc>
        <w:tc>
          <w:tcPr>
            <w:tcW w:w="1085" w:type="dxa"/>
            <w:vAlign w:val="center"/>
          </w:tcPr>
          <w:p w14:paraId="2D5C1F07">
            <w:pPr>
              <w:keepNext w:val="0"/>
              <w:keepLines w:val="0"/>
              <w:pageBreakBefore w:val="0"/>
              <w:widowControl/>
              <w:kinsoku/>
              <w:wordWrap/>
              <w:overflowPunct/>
              <w:topLinePunct w:val="0"/>
              <w:autoSpaceDE w:val="0"/>
              <w:autoSpaceDN w:val="0"/>
              <w:bidi w:val="0"/>
              <w:adjustRightInd w:val="0"/>
              <w:snapToGrid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5</w:t>
            </w:r>
          </w:p>
        </w:tc>
      </w:tr>
      <w:tr w14:paraId="1E67AAE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284" w:hRule="atLeast"/>
          <w:jc w:val="center"/>
        </w:trPr>
        <w:tc>
          <w:tcPr>
            <w:tcW w:w="7419" w:type="dxa"/>
            <w:gridSpan w:val="3"/>
            <w:vAlign w:val="center"/>
          </w:tcPr>
          <w:p w14:paraId="37260060">
            <w:pPr>
              <w:keepNext w:val="0"/>
              <w:keepLines w:val="0"/>
              <w:pageBreakBefore w:val="0"/>
              <w:widowControl/>
              <w:kinsoku/>
              <w:wordWrap/>
              <w:overflowPunct/>
              <w:topLinePunct w:val="0"/>
              <w:autoSpaceDE w:val="0"/>
              <w:autoSpaceDN w:val="0"/>
              <w:bidi w:val="0"/>
              <w:adjustRightInd w:val="0"/>
              <w:snapToGrid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总得分</w:t>
            </w:r>
          </w:p>
        </w:tc>
        <w:tc>
          <w:tcPr>
            <w:tcW w:w="1085" w:type="dxa"/>
            <w:vAlign w:val="center"/>
          </w:tcPr>
          <w:p w14:paraId="218791FE">
            <w:pPr>
              <w:keepNext w:val="0"/>
              <w:keepLines w:val="0"/>
              <w:pageBreakBefore w:val="0"/>
              <w:widowControl/>
              <w:kinsoku/>
              <w:wordWrap/>
              <w:overflowPunct/>
              <w:topLinePunct w:val="0"/>
              <w:autoSpaceDE w:val="0"/>
              <w:autoSpaceDN w:val="0"/>
              <w:bidi w:val="0"/>
              <w:adjustRightInd w:val="0"/>
              <w:snapToGrid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5（M4）</w:t>
            </w:r>
          </w:p>
        </w:tc>
      </w:tr>
      <w:tr w14:paraId="328E5E8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284" w:hRule="atLeast"/>
          <w:jc w:val="center"/>
        </w:trPr>
        <w:tc>
          <w:tcPr>
            <w:tcW w:w="992" w:type="dxa"/>
            <w:vAlign w:val="center"/>
          </w:tcPr>
          <w:p w14:paraId="1B02BC98">
            <w:pPr>
              <w:keepNext w:val="0"/>
              <w:keepLines w:val="0"/>
              <w:pageBreakBefore w:val="0"/>
              <w:widowControl/>
              <w:kinsoku/>
              <w:wordWrap/>
              <w:overflowPunct/>
              <w:topLinePunct w:val="0"/>
              <w:autoSpaceDE w:val="0"/>
              <w:autoSpaceDN w:val="0"/>
              <w:bidi w:val="0"/>
              <w:adjustRightInd w:val="0"/>
              <w:snapToGrid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备注</w:t>
            </w:r>
          </w:p>
        </w:tc>
        <w:tc>
          <w:tcPr>
            <w:tcW w:w="7512" w:type="dxa"/>
            <w:gridSpan w:val="3"/>
            <w:vAlign w:val="center"/>
          </w:tcPr>
          <w:p w14:paraId="3A9A3063">
            <w:pPr>
              <w:keepNext w:val="0"/>
              <w:keepLines w:val="0"/>
              <w:pageBreakBefore w:val="0"/>
              <w:widowControl/>
              <w:kinsoku/>
              <w:wordWrap/>
              <w:overflowPunct/>
              <w:topLinePunct w:val="0"/>
              <w:autoSpaceDE w:val="0"/>
              <w:autoSpaceDN w:val="0"/>
              <w:bidi w:val="0"/>
              <w:adjustRightInd w:val="0"/>
              <w:snapToGrid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a 高温指工艺温度≥300℃，高压指压力容器的设计压力（P）≥10.0 MPa；</w:t>
            </w:r>
          </w:p>
          <w:p w14:paraId="148EE515">
            <w:pPr>
              <w:keepNext w:val="0"/>
              <w:keepLines w:val="0"/>
              <w:pageBreakBefore w:val="0"/>
              <w:widowControl/>
              <w:kinsoku/>
              <w:wordWrap/>
              <w:overflowPunct/>
              <w:topLinePunct w:val="0"/>
              <w:autoSpaceDE w:val="0"/>
              <w:autoSpaceDN w:val="0"/>
              <w:bidi w:val="0"/>
              <w:adjustRightInd w:val="0"/>
              <w:snapToGrid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b 长输管道运输项目应按站场、管线分段进行评价</w:t>
            </w:r>
          </w:p>
        </w:tc>
      </w:tr>
    </w:tbl>
    <w:p w14:paraId="21298220">
      <w:pPr>
        <w:autoSpaceDE w:val="0"/>
        <w:autoSpaceDN w:val="0"/>
        <w:adjustRightInd w:val="0"/>
        <w:snapToGrid w:val="0"/>
        <w:spacing w:line="360" w:lineRule="auto"/>
        <w:ind w:left="-105" w:right="-105" w:firstLine="480" w:firstLineChars="200"/>
        <w:rPr>
          <w:rFonts w:ascii="Times New Roman" w:hAnsi="Times New Roman" w:cs="Times New Roman"/>
          <w:color w:val="auto"/>
          <w:highlight w:val="none"/>
        </w:rPr>
      </w:pPr>
      <w:r>
        <w:rPr>
          <w:rFonts w:ascii="Times New Roman" w:hAnsi="Times New Roman" w:cs="Times New Roman"/>
          <w:color w:val="auto"/>
          <w:highlight w:val="none"/>
        </w:rPr>
        <w:t>本项目行业类别为</w:t>
      </w:r>
      <w:r>
        <w:rPr>
          <w:rFonts w:hint="eastAsia" w:ascii="Times New Roman" w:hAnsi="Times New Roman" w:cs="Times New Roman"/>
          <w:color w:val="auto"/>
          <w:highlight w:val="none"/>
        </w:rPr>
        <w:t>电子专用材料制造</w:t>
      </w:r>
      <w:r>
        <w:rPr>
          <w:rFonts w:ascii="Times New Roman" w:hAnsi="Times New Roman" w:cs="Times New Roman"/>
          <w:color w:val="auto"/>
          <w:highlight w:val="none"/>
        </w:rPr>
        <w:t>，不属于石化、化工、医药、轻工、化纤、有色冶炼、管道、港口/码头、石油天然气等行业，为其他行业，本项目涉及危险物质使用、贮存，因此，企业得分为5分，为M4。</w:t>
      </w:r>
    </w:p>
    <w:p w14:paraId="4BCD3207">
      <w:pPr>
        <w:autoSpaceDE w:val="0"/>
        <w:autoSpaceDN w:val="0"/>
        <w:adjustRightInd w:val="0"/>
        <w:snapToGrid w:val="0"/>
        <w:spacing w:line="360" w:lineRule="auto"/>
        <w:ind w:left="-105" w:right="-105" w:firstLine="480" w:firstLineChars="200"/>
        <w:rPr>
          <w:rFonts w:ascii="Times New Roman" w:hAnsi="Times New Roman" w:cs="Times New Roman"/>
          <w:color w:val="auto"/>
          <w:highlight w:val="none"/>
        </w:rPr>
      </w:pPr>
      <w:r>
        <w:rPr>
          <w:rFonts w:ascii="Times New Roman" w:hAnsi="Times New Roman" w:cs="Times New Roman"/>
          <w:color w:val="auto"/>
          <w:highlight w:val="none"/>
        </w:rPr>
        <w:t>（3）危险物质及工艺系统危险性（P）分级</w:t>
      </w:r>
    </w:p>
    <w:p w14:paraId="32627C88">
      <w:pPr>
        <w:autoSpaceDE w:val="0"/>
        <w:autoSpaceDN w:val="0"/>
        <w:adjustRightInd w:val="0"/>
        <w:snapToGrid w:val="0"/>
        <w:spacing w:line="360" w:lineRule="auto"/>
        <w:ind w:left="-105" w:right="-105" w:firstLine="480" w:firstLineChars="200"/>
        <w:rPr>
          <w:rFonts w:ascii="Times New Roman" w:hAnsi="Times New Roman" w:cs="Times New Roman"/>
          <w:color w:val="auto"/>
          <w:highlight w:val="none"/>
        </w:rPr>
      </w:pPr>
      <w:r>
        <w:rPr>
          <w:rFonts w:ascii="Times New Roman" w:hAnsi="Times New Roman" w:cs="Times New Roman"/>
          <w:color w:val="auto"/>
          <w:highlight w:val="none"/>
        </w:rPr>
        <w:t>根据危险物质数量与临界量比值（Q）和行业及生产工艺（M），按照表C.2确定危险物质及工艺系统危险性等级（P），分别以P1、P2、P3、P4表示。</w:t>
      </w:r>
    </w:p>
    <w:p w14:paraId="02931098">
      <w:pPr>
        <w:pStyle w:val="15"/>
        <w:ind w:left="-105" w:right="-105" w:firstLine="482"/>
        <w:rPr>
          <w:rFonts w:eastAsia="宋体"/>
          <w:b w:val="0"/>
          <w:bCs/>
          <w:color w:val="auto"/>
          <w:sz w:val="24"/>
          <w:szCs w:val="18"/>
          <w:highlight w:val="none"/>
        </w:rPr>
      </w:pPr>
      <w:r>
        <w:rPr>
          <w:rFonts w:eastAsia="宋体"/>
          <w:color w:val="auto"/>
          <w:sz w:val="24"/>
          <w:szCs w:val="18"/>
          <w:highlight w:val="none"/>
        </w:rPr>
        <w:t xml:space="preserve">表 </w:t>
      </w:r>
      <w:r>
        <w:rPr>
          <w:rFonts w:eastAsia="宋体"/>
          <w:color w:val="auto"/>
          <w:sz w:val="24"/>
          <w:szCs w:val="18"/>
          <w:highlight w:val="none"/>
        </w:rPr>
        <w:fldChar w:fldCharType="begin"/>
      </w:r>
      <w:r>
        <w:rPr>
          <w:rFonts w:eastAsia="宋体"/>
          <w:color w:val="auto"/>
          <w:sz w:val="24"/>
          <w:szCs w:val="18"/>
          <w:highlight w:val="none"/>
        </w:rPr>
        <w:instrText xml:space="preserve"> STYLEREF 2 \s </w:instrText>
      </w:r>
      <w:r>
        <w:rPr>
          <w:rFonts w:eastAsia="宋体"/>
          <w:color w:val="auto"/>
          <w:sz w:val="24"/>
          <w:szCs w:val="18"/>
          <w:highlight w:val="none"/>
        </w:rPr>
        <w:fldChar w:fldCharType="separate"/>
      </w:r>
      <w:r>
        <w:rPr>
          <w:rFonts w:eastAsia="宋体"/>
          <w:color w:val="auto"/>
          <w:sz w:val="24"/>
          <w:szCs w:val="18"/>
          <w:highlight w:val="none"/>
        </w:rPr>
        <w:t>2.4</w:t>
      </w:r>
      <w:r>
        <w:rPr>
          <w:rFonts w:eastAsia="宋体"/>
          <w:color w:val="auto"/>
          <w:sz w:val="24"/>
          <w:szCs w:val="18"/>
          <w:highlight w:val="none"/>
        </w:rPr>
        <w:fldChar w:fldCharType="end"/>
      </w:r>
      <w:r>
        <w:rPr>
          <w:rFonts w:eastAsia="宋体"/>
          <w:color w:val="auto"/>
          <w:sz w:val="24"/>
          <w:szCs w:val="18"/>
          <w:highlight w:val="none"/>
        </w:rPr>
        <w:noBreakHyphen/>
      </w:r>
      <w:r>
        <w:rPr>
          <w:rFonts w:eastAsia="宋体"/>
          <w:color w:val="auto"/>
          <w:sz w:val="24"/>
          <w:szCs w:val="18"/>
          <w:highlight w:val="none"/>
        </w:rPr>
        <w:fldChar w:fldCharType="begin"/>
      </w:r>
      <w:r>
        <w:rPr>
          <w:rFonts w:eastAsia="宋体"/>
          <w:color w:val="auto"/>
          <w:sz w:val="24"/>
          <w:szCs w:val="18"/>
          <w:highlight w:val="none"/>
        </w:rPr>
        <w:instrText xml:space="preserve"> SEQ 表 \* ARABIC \s 2 </w:instrText>
      </w:r>
      <w:r>
        <w:rPr>
          <w:rFonts w:eastAsia="宋体"/>
          <w:color w:val="auto"/>
          <w:sz w:val="24"/>
          <w:szCs w:val="18"/>
          <w:highlight w:val="none"/>
        </w:rPr>
        <w:fldChar w:fldCharType="separate"/>
      </w:r>
      <w:r>
        <w:rPr>
          <w:rFonts w:eastAsia="宋体"/>
          <w:color w:val="auto"/>
          <w:sz w:val="24"/>
          <w:szCs w:val="18"/>
          <w:highlight w:val="none"/>
        </w:rPr>
        <w:t>10</w:t>
      </w:r>
      <w:r>
        <w:rPr>
          <w:rFonts w:eastAsia="宋体"/>
          <w:color w:val="auto"/>
          <w:sz w:val="24"/>
          <w:szCs w:val="18"/>
          <w:highlight w:val="none"/>
        </w:rPr>
        <w:fldChar w:fldCharType="end"/>
      </w:r>
      <w:r>
        <w:rPr>
          <w:rFonts w:eastAsia="宋体"/>
          <w:bCs/>
          <w:color w:val="auto"/>
          <w:sz w:val="24"/>
          <w:szCs w:val="18"/>
          <w:highlight w:val="none"/>
        </w:rPr>
        <w:t>危险物质及工艺系统危险性等级判断（P）</w:t>
      </w:r>
    </w:p>
    <w:tbl>
      <w:tblPr>
        <w:tblStyle w:val="45"/>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1595"/>
        <w:gridCol w:w="1807"/>
        <w:gridCol w:w="1701"/>
        <w:gridCol w:w="1701"/>
        <w:gridCol w:w="1700"/>
      </w:tblGrid>
      <w:tr w14:paraId="01D7B7C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1595" w:type="dxa"/>
            <w:vMerge w:val="restart"/>
            <w:vAlign w:val="center"/>
          </w:tcPr>
          <w:p w14:paraId="38EDB432">
            <w:pPr>
              <w:keepNext w:val="0"/>
              <w:keepLines w:val="0"/>
              <w:pageBreakBefore w:val="0"/>
              <w:widowControl/>
              <w:kinsoku/>
              <w:wordWrap/>
              <w:overflowPunct/>
              <w:topLinePunct w:val="0"/>
              <w:autoSpaceDE w:val="0"/>
              <w:autoSpaceDN w:val="0"/>
              <w:bidi w:val="0"/>
              <w:adjustRightInd w:val="0"/>
              <w:snapToGrid w:val="0"/>
              <w:ind w:left="0" w:right="0"/>
              <w:jc w:val="center"/>
              <w:textAlignment w:val="auto"/>
              <w:rPr>
                <w:rFonts w:ascii="Times New Roman" w:hAnsi="Times New Roman" w:cs="Times New Roman"/>
                <w:b/>
                <w:bCs/>
                <w:color w:val="auto"/>
                <w:sz w:val="21"/>
                <w:szCs w:val="21"/>
                <w:highlight w:val="none"/>
              </w:rPr>
            </w:pPr>
            <w:r>
              <w:rPr>
                <w:rFonts w:ascii="Times New Roman" w:hAnsi="Times New Roman" w:cs="Times New Roman"/>
                <w:b/>
                <w:bCs/>
                <w:color w:val="auto"/>
                <w:sz w:val="21"/>
                <w:szCs w:val="21"/>
                <w:highlight w:val="none"/>
              </w:rPr>
              <w:t>危险物质数量与临界量比值（Q）</w:t>
            </w:r>
          </w:p>
        </w:tc>
        <w:tc>
          <w:tcPr>
            <w:tcW w:w="6909" w:type="dxa"/>
            <w:gridSpan w:val="4"/>
            <w:vAlign w:val="center"/>
          </w:tcPr>
          <w:p w14:paraId="3D2772BF">
            <w:pPr>
              <w:keepNext w:val="0"/>
              <w:keepLines w:val="0"/>
              <w:pageBreakBefore w:val="0"/>
              <w:widowControl/>
              <w:kinsoku/>
              <w:wordWrap/>
              <w:overflowPunct/>
              <w:topLinePunct w:val="0"/>
              <w:autoSpaceDE w:val="0"/>
              <w:autoSpaceDN w:val="0"/>
              <w:bidi w:val="0"/>
              <w:adjustRightInd w:val="0"/>
              <w:snapToGrid w:val="0"/>
              <w:ind w:left="0" w:right="0"/>
              <w:jc w:val="center"/>
              <w:textAlignment w:val="auto"/>
              <w:rPr>
                <w:rFonts w:ascii="Times New Roman" w:hAnsi="Times New Roman" w:cs="Times New Roman"/>
                <w:b/>
                <w:bCs/>
                <w:color w:val="auto"/>
                <w:sz w:val="21"/>
                <w:szCs w:val="21"/>
                <w:highlight w:val="none"/>
              </w:rPr>
            </w:pPr>
            <w:r>
              <w:rPr>
                <w:rFonts w:ascii="Times New Roman" w:hAnsi="Times New Roman" w:cs="Times New Roman"/>
                <w:b/>
                <w:bCs/>
                <w:color w:val="auto"/>
                <w:sz w:val="21"/>
                <w:szCs w:val="21"/>
                <w:highlight w:val="none"/>
              </w:rPr>
              <w:t>行业及生产工艺（M）</w:t>
            </w:r>
          </w:p>
        </w:tc>
      </w:tr>
      <w:tr w14:paraId="3DC7B27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1595" w:type="dxa"/>
            <w:vMerge w:val="continue"/>
            <w:vAlign w:val="center"/>
          </w:tcPr>
          <w:p w14:paraId="261DE52C">
            <w:pPr>
              <w:keepNext w:val="0"/>
              <w:keepLines w:val="0"/>
              <w:pageBreakBefore w:val="0"/>
              <w:widowControl/>
              <w:kinsoku/>
              <w:wordWrap/>
              <w:overflowPunct/>
              <w:topLinePunct w:val="0"/>
              <w:autoSpaceDE w:val="0"/>
              <w:autoSpaceDN w:val="0"/>
              <w:bidi w:val="0"/>
              <w:adjustRightInd w:val="0"/>
              <w:snapToGrid w:val="0"/>
              <w:ind w:left="0" w:right="0"/>
              <w:jc w:val="center"/>
              <w:textAlignment w:val="auto"/>
              <w:rPr>
                <w:rFonts w:ascii="Times New Roman" w:hAnsi="Times New Roman" w:cs="Times New Roman"/>
                <w:color w:val="auto"/>
                <w:sz w:val="21"/>
                <w:szCs w:val="21"/>
                <w:highlight w:val="none"/>
              </w:rPr>
            </w:pPr>
          </w:p>
        </w:tc>
        <w:tc>
          <w:tcPr>
            <w:tcW w:w="1807" w:type="dxa"/>
            <w:vAlign w:val="center"/>
          </w:tcPr>
          <w:p w14:paraId="41D08F6F">
            <w:pPr>
              <w:keepNext w:val="0"/>
              <w:keepLines w:val="0"/>
              <w:pageBreakBefore w:val="0"/>
              <w:widowControl/>
              <w:kinsoku/>
              <w:wordWrap/>
              <w:overflowPunct/>
              <w:topLinePunct w:val="0"/>
              <w:autoSpaceDE w:val="0"/>
              <w:autoSpaceDN w:val="0"/>
              <w:bidi w:val="0"/>
              <w:adjustRightInd w:val="0"/>
              <w:snapToGrid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M1</w:t>
            </w:r>
          </w:p>
        </w:tc>
        <w:tc>
          <w:tcPr>
            <w:tcW w:w="1701" w:type="dxa"/>
            <w:vAlign w:val="center"/>
          </w:tcPr>
          <w:p w14:paraId="2BC76A7E">
            <w:pPr>
              <w:keepNext w:val="0"/>
              <w:keepLines w:val="0"/>
              <w:pageBreakBefore w:val="0"/>
              <w:widowControl/>
              <w:kinsoku/>
              <w:wordWrap/>
              <w:overflowPunct/>
              <w:topLinePunct w:val="0"/>
              <w:autoSpaceDE w:val="0"/>
              <w:autoSpaceDN w:val="0"/>
              <w:bidi w:val="0"/>
              <w:adjustRightInd w:val="0"/>
              <w:snapToGrid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M2</w:t>
            </w:r>
          </w:p>
        </w:tc>
        <w:tc>
          <w:tcPr>
            <w:tcW w:w="1701" w:type="dxa"/>
            <w:vAlign w:val="center"/>
          </w:tcPr>
          <w:p w14:paraId="292FCA3A">
            <w:pPr>
              <w:keepNext w:val="0"/>
              <w:keepLines w:val="0"/>
              <w:pageBreakBefore w:val="0"/>
              <w:widowControl/>
              <w:kinsoku/>
              <w:wordWrap/>
              <w:overflowPunct/>
              <w:topLinePunct w:val="0"/>
              <w:autoSpaceDE w:val="0"/>
              <w:autoSpaceDN w:val="0"/>
              <w:bidi w:val="0"/>
              <w:adjustRightInd w:val="0"/>
              <w:snapToGrid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M3</w:t>
            </w:r>
          </w:p>
        </w:tc>
        <w:tc>
          <w:tcPr>
            <w:tcW w:w="1700" w:type="dxa"/>
            <w:vAlign w:val="center"/>
          </w:tcPr>
          <w:p w14:paraId="79C84430">
            <w:pPr>
              <w:keepNext w:val="0"/>
              <w:keepLines w:val="0"/>
              <w:pageBreakBefore w:val="0"/>
              <w:widowControl/>
              <w:kinsoku/>
              <w:wordWrap/>
              <w:overflowPunct/>
              <w:topLinePunct w:val="0"/>
              <w:autoSpaceDE w:val="0"/>
              <w:autoSpaceDN w:val="0"/>
              <w:bidi w:val="0"/>
              <w:adjustRightInd w:val="0"/>
              <w:snapToGrid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M4</w:t>
            </w:r>
          </w:p>
        </w:tc>
      </w:tr>
      <w:tr w14:paraId="70AF9B8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1595" w:type="dxa"/>
            <w:vAlign w:val="center"/>
          </w:tcPr>
          <w:p w14:paraId="53B13545">
            <w:pPr>
              <w:keepNext w:val="0"/>
              <w:keepLines w:val="0"/>
              <w:pageBreakBefore w:val="0"/>
              <w:widowControl/>
              <w:kinsoku/>
              <w:wordWrap/>
              <w:overflowPunct/>
              <w:topLinePunct w:val="0"/>
              <w:autoSpaceDE w:val="0"/>
              <w:autoSpaceDN w:val="0"/>
              <w:bidi w:val="0"/>
              <w:adjustRightInd w:val="0"/>
              <w:snapToGrid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Q≥100</w:t>
            </w:r>
          </w:p>
        </w:tc>
        <w:tc>
          <w:tcPr>
            <w:tcW w:w="1807" w:type="dxa"/>
            <w:vAlign w:val="center"/>
          </w:tcPr>
          <w:p w14:paraId="1636A87B">
            <w:pPr>
              <w:keepNext w:val="0"/>
              <w:keepLines w:val="0"/>
              <w:pageBreakBefore w:val="0"/>
              <w:widowControl/>
              <w:kinsoku/>
              <w:wordWrap/>
              <w:overflowPunct/>
              <w:topLinePunct w:val="0"/>
              <w:bidi w:val="0"/>
              <w:adjustRightInd w:val="0"/>
              <w:snapToGrid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P1</w:t>
            </w:r>
          </w:p>
        </w:tc>
        <w:tc>
          <w:tcPr>
            <w:tcW w:w="1701" w:type="dxa"/>
            <w:vAlign w:val="center"/>
          </w:tcPr>
          <w:p w14:paraId="4D2D78EC">
            <w:pPr>
              <w:keepNext w:val="0"/>
              <w:keepLines w:val="0"/>
              <w:pageBreakBefore w:val="0"/>
              <w:widowControl/>
              <w:kinsoku/>
              <w:wordWrap/>
              <w:overflowPunct/>
              <w:topLinePunct w:val="0"/>
              <w:bidi w:val="0"/>
              <w:adjustRightInd w:val="0"/>
              <w:snapToGrid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P1</w:t>
            </w:r>
          </w:p>
        </w:tc>
        <w:tc>
          <w:tcPr>
            <w:tcW w:w="1701" w:type="dxa"/>
            <w:vAlign w:val="center"/>
          </w:tcPr>
          <w:p w14:paraId="54EADC68">
            <w:pPr>
              <w:keepNext w:val="0"/>
              <w:keepLines w:val="0"/>
              <w:pageBreakBefore w:val="0"/>
              <w:widowControl/>
              <w:kinsoku/>
              <w:wordWrap/>
              <w:overflowPunct/>
              <w:topLinePunct w:val="0"/>
              <w:bidi w:val="0"/>
              <w:adjustRightInd w:val="0"/>
              <w:snapToGrid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P2</w:t>
            </w:r>
          </w:p>
        </w:tc>
        <w:tc>
          <w:tcPr>
            <w:tcW w:w="1700" w:type="dxa"/>
            <w:tcBorders>
              <w:bottom w:val="single" w:color="auto" w:sz="4" w:space="0"/>
            </w:tcBorders>
            <w:vAlign w:val="center"/>
          </w:tcPr>
          <w:p w14:paraId="5236EE47">
            <w:pPr>
              <w:keepNext w:val="0"/>
              <w:keepLines w:val="0"/>
              <w:pageBreakBefore w:val="0"/>
              <w:widowControl/>
              <w:kinsoku/>
              <w:wordWrap/>
              <w:overflowPunct/>
              <w:topLinePunct w:val="0"/>
              <w:bidi w:val="0"/>
              <w:adjustRightInd w:val="0"/>
              <w:snapToGrid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P3</w:t>
            </w:r>
          </w:p>
        </w:tc>
      </w:tr>
      <w:tr w14:paraId="67D12CB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1595" w:type="dxa"/>
            <w:shd w:val="clear" w:color="auto" w:fill="auto"/>
            <w:vAlign w:val="center"/>
          </w:tcPr>
          <w:p w14:paraId="34618DAE">
            <w:pPr>
              <w:keepNext w:val="0"/>
              <w:keepLines w:val="0"/>
              <w:pageBreakBefore w:val="0"/>
              <w:widowControl/>
              <w:kinsoku/>
              <w:wordWrap/>
              <w:overflowPunct/>
              <w:topLinePunct w:val="0"/>
              <w:autoSpaceDE w:val="0"/>
              <w:autoSpaceDN w:val="0"/>
              <w:bidi w:val="0"/>
              <w:adjustRightInd w:val="0"/>
              <w:snapToGrid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10≤Q＜100</w:t>
            </w:r>
          </w:p>
        </w:tc>
        <w:tc>
          <w:tcPr>
            <w:tcW w:w="1807" w:type="dxa"/>
            <w:shd w:val="clear" w:color="auto" w:fill="auto"/>
            <w:vAlign w:val="center"/>
          </w:tcPr>
          <w:p w14:paraId="728C0128">
            <w:pPr>
              <w:keepNext w:val="0"/>
              <w:keepLines w:val="0"/>
              <w:pageBreakBefore w:val="0"/>
              <w:widowControl/>
              <w:kinsoku/>
              <w:wordWrap/>
              <w:overflowPunct/>
              <w:topLinePunct w:val="0"/>
              <w:bidi w:val="0"/>
              <w:adjustRightInd w:val="0"/>
              <w:snapToGrid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P1</w:t>
            </w:r>
          </w:p>
        </w:tc>
        <w:tc>
          <w:tcPr>
            <w:tcW w:w="1701" w:type="dxa"/>
            <w:shd w:val="clear" w:color="auto" w:fill="auto"/>
            <w:vAlign w:val="center"/>
          </w:tcPr>
          <w:p w14:paraId="6CBB379C">
            <w:pPr>
              <w:keepNext w:val="0"/>
              <w:keepLines w:val="0"/>
              <w:pageBreakBefore w:val="0"/>
              <w:widowControl/>
              <w:kinsoku/>
              <w:wordWrap/>
              <w:overflowPunct/>
              <w:topLinePunct w:val="0"/>
              <w:bidi w:val="0"/>
              <w:adjustRightInd w:val="0"/>
              <w:snapToGrid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P2</w:t>
            </w:r>
          </w:p>
        </w:tc>
        <w:tc>
          <w:tcPr>
            <w:tcW w:w="1701" w:type="dxa"/>
            <w:shd w:val="clear" w:color="auto" w:fill="auto"/>
            <w:vAlign w:val="center"/>
          </w:tcPr>
          <w:p w14:paraId="3331E346">
            <w:pPr>
              <w:keepNext w:val="0"/>
              <w:keepLines w:val="0"/>
              <w:pageBreakBefore w:val="0"/>
              <w:widowControl/>
              <w:kinsoku/>
              <w:wordWrap/>
              <w:overflowPunct/>
              <w:topLinePunct w:val="0"/>
              <w:bidi w:val="0"/>
              <w:adjustRightInd w:val="0"/>
              <w:snapToGrid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P3</w:t>
            </w:r>
          </w:p>
        </w:tc>
        <w:tc>
          <w:tcPr>
            <w:tcW w:w="1700" w:type="dxa"/>
            <w:tcBorders>
              <w:top w:val="single" w:color="auto" w:sz="4" w:space="0"/>
              <w:bottom w:val="single" w:color="auto" w:sz="4" w:space="0"/>
            </w:tcBorders>
            <w:shd w:val="clear" w:color="auto" w:fill="auto"/>
            <w:vAlign w:val="center"/>
          </w:tcPr>
          <w:p w14:paraId="4AAA7AAA">
            <w:pPr>
              <w:keepNext w:val="0"/>
              <w:keepLines w:val="0"/>
              <w:pageBreakBefore w:val="0"/>
              <w:widowControl/>
              <w:kinsoku/>
              <w:wordWrap/>
              <w:overflowPunct/>
              <w:topLinePunct w:val="0"/>
              <w:bidi w:val="0"/>
              <w:adjustRightInd w:val="0"/>
              <w:snapToGrid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P4</w:t>
            </w:r>
          </w:p>
        </w:tc>
      </w:tr>
      <w:tr w14:paraId="05AA0FB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1595" w:type="dxa"/>
            <w:vAlign w:val="center"/>
          </w:tcPr>
          <w:p w14:paraId="6849E060">
            <w:pPr>
              <w:keepNext w:val="0"/>
              <w:keepLines w:val="0"/>
              <w:pageBreakBefore w:val="0"/>
              <w:widowControl/>
              <w:kinsoku/>
              <w:wordWrap/>
              <w:overflowPunct/>
              <w:topLinePunct w:val="0"/>
              <w:autoSpaceDE w:val="0"/>
              <w:autoSpaceDN w:val="0"/>
              <w:bidi w:val="0"/>
              <w:adjustRightInd w:val="0"/>
              <w:snapToGrid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1≤Q＜10</w:t>
            </w:r>
          </w:p>
        </w:tc>
        <w:tc>
          <w:tcPr>
            <w:tcW w:w="1807" w:type="dxa"/>
            <w:vAlign w:val="center"/>
          </w:tcPr>
          <w:p w14:paraId="227723FF">
            <w:pPr>
              <w:keepNext w:val="0"/>
              <w:keepLines w:val="0"/>
              <w:pageBreakBefore w:val="0"/>
              <w:widowControl/>
              <w:kinsoku/>
              <w:wordWrap/>
              <w:overflowPunct/>
              <w:topLinePunct w:val="0"/>
              <w:bidi w:val="0"/>
              <w:adjustRightInd w:val="0"/>
              <w:snapToGrid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P2</w:t>
            </w:r>
          </w:p>
        </w:tc>
        <w:tc>
          <w:tcPr>
            <w:tcW w:w="1701" w:type="dxa"/>
            <w:vAlign w:val="center"/>
          </w:tcPr>
          <w:p w14:paraId="78FF5266">
            <w:pPr>
              <w:keepNext w:val="0"/>
              <w:keepLines w:val="0"/>
              <w:pageBreakBefore w:val="0"/>
              <w:widowControl/>
              <w:kinsoku/>
              <w:wordWrap/>
              <w:overflowPunct/>
              <w:topLinePunct w:val="0"/>
              <w:bidi w:val="0"/>
              <w:adjustRightInd w:val="0"/>
              <w:snapToGrid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P3</w:t>
            </w:r>
          </w:p>
        </w:tc>
        <w:tc>
          <w:tcPr>
            <w:tcW w:w="1701" w:type="dxa"/>
            <w:vAlign w:val="center"/>
          </w:tcPr>
          <w:p w14:paraId="3BBD79FB">
            <w:pPr>
              <w:keepNext w:val="0"/>
              <w:keepLines w:val="0"/>
              <w:pageBreakBefore w:val="0"/>
              <w:widowControl/>
              <w:kinsoku/>
              <w:wordWrap/>
              <w:overflowPunct/>
              <w:topLinePunct w:val="0"/>
              <w:bidi w:val="0"/>
              <w:adjustRightInd w:val="0"/>
              <w:snapToGrid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P4</w:t>
            </w:r>
          </w:p>
        </w:tc>
        <w:tc>
          <w:tcPr>
            <w:tcW w:w="1700" w:type="dxa"/>
            <w:tcBorders>
              <w:top w:val="single" w:color="auto" w:sz="4" w:space="0"/>
              <w:bottom w:val="single" w:color="auto" w:sz="12" w:space="0"/>
            </w:tcBorders>
            <w:shd w:val="clear" w:color="auto" w:fill="D7D7D7" w:themeFill="background1" w:themeFillShade="D8"/>
            <w:vAlign w:val="center"/>
          </w:tcPr>
          <w:p w14:paraId="3BE565AF">
            <w:pPr>
              <w:keepNext w:val="0"/>
              <w:keepLines w:val="0"/>
              <w:pageBreakBefore w:val="0"/>
              <w:widowControl/>
              <w:shd w:val="clear" w:color="auto" w:fill="D7D7D7" w:themeFill="background1" w:themeFillShade="D8"/>
              <w:kinsoku/>
              <w:wordWrap/>
              <w:overflowPunct/>
              <w:topLinePunct w:val="0"/>
              <w:bidi w:val="0"/>
              <w:adjustRightInd w:val="0"/>
              <w:snapToGrid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P4</w:t>
            </w:r>
          </w:p>
        </w:tc>
      </w:tr>
    </w:tbl>
    <w:p w14:paraId="6214DB79">
      <w:pPr>
        <w:autoSpaceDE w:val="0"/>
        <w:autoSpaceDN w:val="0"/>
        <w:adjustRightInd w:val="0"/>
        <w:snapToGrid w:val="0"/>
        <w:spacing w:line="360" w:lineRule="auto"/>
        <w:ind w:left="-105" w:right="-105" w:firstLine="480" w:firstLineChars="200"/>
        <w:rPr>
          <w:rFonts w:ascii="Times New Roman" w:hAnsi="Times New Roman" w:cs="Times New Roman"/>
          <w:color w:val="auto"/>
          <w:highlight w:val="none"/>
        </w:rPr>
      </w:pPr>
      <w:r>
        <w:rPr>
          <w:rFonts w:ascii="Times New Roman" w:hAnsi="Times New Roman" w:cs="Times New Roman"/>
          <w:color w:val="auto"/>
          <w:highlight w:val="none"/>
        </w:rPr>
        <w:t>由上表可知，本项目危险物质及工艺系统危险性分级为P4级。</w:t>
      </w:r>
    </w:p>
    <w:p w14:paraId="737B4E11">
      <w:pPr>
        <w:adjustRightInd w:val="0"/>
        <w:snapToGrid w:val="0"/>
        <w:spacing w:line="360" w:lineRule="auto"/>
        <w:ind w:left="-105" w:right="-105" w:firstLine="480" w:firstLineChars="200"/>
        <w:rPr>
          <w:rFonts w:ascii="Times New Roman" w:hAnsi="Times New Roman" w:cs="Times New Roman"/>
          <w:color w:val="auto"/>
          <w:kern w:val="24"/>
          <w:highlight w:val="none"/>
        </w:rPr>
      </w:pPr>
      <w:r>
        <w:rPr>
          <w:rFonts w:ascii="Times New Roman" w:hAnsi="Times New Roman" w:cs="Times New Roman"/>
          <w:color w:val="auto"/>
          <w:kern w:val="24"/>
          <w:highlight w:val="none"/>
        </w:rPr>
        <w:t>3、E的分级确定</w:t>
      </w:r>
    </w:p>
    <w:p w14:paraId="709A9CE2">
      <w:pPr>
        <w:autoSpaceDE w:val="0"/>
        <w:autoSpaceDN w:val="0"/>
        <w:adjustRightInd w:val="0"/>
        <w:snapToGrid w:val="0"/>
        <w:spacing w:line="360" w:lineRule="auto"/>
        <w:ind w:left="-105" w:right="-105" w:firstLine="480" w:firstLineChars="200"/>
        <w:rPr>
          <w:rFonts w:ascii="Times New Roman" w:hAnsi="Times New Roman" w:cs="Times New Roman"/>
          <w:color w:val="auto"/>
          <w:highlight w:val="none"/>
        </w:rPr>
      </w:pPr>
      <w:r>
        <w:rPr>
          <w:rFonts w:ascii="Times New Roman" w:hAnsi="Times New Roman" w:cs="Times New Roman"/>
          <w:color w:val="auto"/>
          <w:highlight w:val="none"/>
        </w:rPr>
        <w:t>分析危险物质在事故情形下的环境影响途径，如大气、地表水、地下水等，按照附录D对建设项目各要素环境敏感程度（E）等级进行判断。</w:t>
      </w:r>
    </w:p>
    <w:p w14:paraId="18837C94">
      <w:pPr>
        <w:autoSpaceDE w:val="0"/>
        <w:autoSpaceDN w:val="0"/>
        <w:adjustRightInd w:val="0"/>
        <w:snapToGrid w:val="0"/>
        <w:spacing w:line="360" w:lineRule="auto"/>
        <w:ind w:left="-105" w:right="-105" w:firstLine="480" w:firstLineChars="200"/>
        <w:rPr>
          <w:rFonts w:ascii="Times New Roman" w:hAnsi="Times New Roman" w:cs="Times New Roman"/>
          <w:color w:val="auto"/>
          <w:highlight w:val="none"/>
        </w:rPr>
      </w:pPr>
      <w:r>
        <w:rPr>
          <w:rFonts w:ascii="Times New Roman" w:hAnsi="Times New Roman" w:cs="Times New Roman"/>
          <w:color w:val="auto"/>
          <w:highlight w:val="none"/>
        </w:rPr>
        <w:t>（1）大气环境</w:t>
      </w:r>
    </w:p>
    <w:p w14:paraId="481AF1D4">
      <w:pPr>
        <w:autoSpaceDE w:val="0"/>
        <w:autoSpaceDN w:val="0"/>
        <w:adjustRightInd w:val="0"/>
        <w:snapToGrid w:val="0"/>
        <w:spacing w:line="360" w:lineRule="auto"/>
        <w:ind w:left="-105" w:right="-105" w:firstLine="480" w:firstLineChars="200"/>
        <w:rPr>
          <w:rFonts w:ascii="Times New Roman" w:hAnsi="Times New Roman" w:cs="Times New Roman"/>
          <w:color w:val="auto"/>
          <w:highlight w:val="none"/>
        </w:rPr>
      </w:pPr>
      <w:r>
        <w:rPr>
          <w:rFonts w:ascii="Times New Roman" w:hAnsi="Times New Roman" w:cs="Times New Roman"/>
          <w:color w:val="auto"/>
          <w:highlight w:val="none"/>
        </w:rPr>
        <w:t>依据环境敏感目标环境敏感性及人口密度划分环境风险受体的敏感性，共分为三种类型，E1为环境高度敏感区，E2为环境中度敏感区，E3为环境低度敏感区，分级原则见</w:t>
      </w:r>
      <w:r>
        <w:rPr>
          <w:rFonts w:hint="eastAsia" w:ascii="Times New Roman" w:hAnsi="Times New Roman" w:cs="Times New Roman"/>
          <w:color w:val="auto"/>
          <w:highlight w:val="none"/>
        </w:rPr>
        <w:t>下表</w:t>
      </w:r>
      <w:r>
        <w:rPr>
          <w:rFonts w:ascii="Times New Roman" w:hAnsi="Times New Roman" w:cs="Times New Roman"/>
          <w:color w:val="auto"/>
          <w:highlight w:val="none"/>
        </w:rPr>
        <w:t>。</w:t>
      </w:r>
    </w:p>
    <w:p w14:paraId="482F17F0">
      <w:pPr>
        <w:pStyle w:val="15"/>
        <w:ind w:left="-105" w:right="-105" w:firstLine="482"/>
        <w:rPr>
          <w:rFonts w:eastAsia="宋体"/>
          <w:b w:val="0"/>
          <w:bCs/>
          <w:color w:val="auto"/>
          <w:sz w:val="24"/>
          <w:szCs w:val="18"/>
          <w:highlight w:val="none"/>
        </w:rPr>
      </w:pPr>
      <w:bookmarkStart w:id="149" w:name="_Ref98330319"/>
      <w:r>
        <w:rPr>
          <w:rFonts w:eastAsia="宋体"/>
          <w:color w:val="auto"/>
          <w:sz w:val="24"/>
          <w:szCs w:val="18"/>
          <w:highlight w:val="none"/>
        </w:rPr>
        <w:t xml:space="preserve">表 </w:t>
      </w:r>
      <w:r>
        <w:rPr>
          <w:rFonts w:eastAsia="宋体"/>
          <w:color w:val="auto"/>
          <w:sz w:val="24"/>
          <w:szCs w:val="18"/>
          <w:highlight w:val="none"/>
        </w:rPr>
        <w:fldChar w:fldCharType="begin"/>
      </w:r>
      <w:r>
        <w:rPr>
          <w:rFonts w:eastAsia="宋体"/>
          <w:color w:val="auto"/>
          <w:sz w:val="24"/>
          <w:szCs w:val="18"/>
          <w:highlight w:val="none"/>
        </w:rPr>
        <w:instrText xml:space="preserve"> STYLEREF 2 \s </w:instrText>
      </w:r>
      <w:r>
        <w:rPr>
          <w:rFonts w:eastAsia="宋体"/>
          <w:color w:val="auto"/>
          <w:sz w:val="24"/>
          <w:szCs w:val="18"/>
          <w:highlight w:val="none"/>
        </w:rPr>
        <w:fldChar w:fldCharType="separate"/>
      </w:r>
      <w:r>
        <w:rPr>
          <w:rFonts w:eastAsia="宋体"/>
          <w:color w:val="auto"/>
          <w:sz w:val="24"/>
          <w:szCs w:val="18"/>
          <w:highlight w:val="none"/>
        </w:rPr>
        <w:t>2.4</w:t>
      </w:r>
      <w:r>
        <w:rPr>
          <w:rFonts w:eastAsia="宋体"/>
          <w:color w:val="auto"/>
          <w:sz w:val="24"/>
          <w:szCs w:val="18"/>
          <w:highlight w:val="none"/>
        </w:rPr>
        <w:fldChar w:fldCharType="end"/>
      </w:r>
      <w:r>
        <w:rPr>
          <w:rFonts w:eastAsia="宋体"/>
          <w:color w:val="auto"/>
          <w:sz w:val="24"/>
          <w:szCs w:val="18"/>
          <w:highlight w:val="none"/>
        </w:rPr>
        <w:noBreakHyphen/>
      </w:r>
      <w:r>
        <w:rPr>
          <w:rFonts w:eastAsia="宋体"/>
          <w:color w:val="auto"/>
          <w:sz w:val="24"/>
          <w:szCs w:val="18"/>
          <w:highlight w:val="none"/>
        </w:rPr>
        <w:fldChar w:fldCharType="begin"/>
      </w:r>
      <w:r>
        <w:rPr>
          <w:rFonts w:eastAsia="宋体"/>
          <w:color w:val="auto"/>
          <w:sz w:val="24"/>
          <w:szCs w:val="18"/>
          <w:highlight w:val="none"/>
        </w:rPr>
        <w:instrText xml:space="preserve"> SEQ 表 \* ARABIC \s 2 </w:instrText>
      </w:r>
      <w:r>
        <w:rPr>
          <w:rFonts w:eastAsia="宋体"/>
          <w:color w:val="auto"/>
          <w:sz w:val="24"/>
          <w:szCs w:val="18"/>
          <w:highlight w:val="none"/>
        </w:rPr>
        <w:fldChar w:fldCharType="separate"/>
      </w:r>
      <w:r>
        <w:rPr>
          <w:rFonts w:eastAsia="宋体"/>
          <w:color w:val="auto"/>
          <w:sz w:val="24"/>
          <w:szCs w:val="18"/>
          <w:highlight w:val="none"/>
        </w:rPr>
        <w:t>11</w:t>
      </w:r>
      <w:r>
        <w:rPr>
          <w:rFonts w:eastAsia="宋体"/>
          <w:color w:val="auto"/>
          <w:sz w:val="24"/>
          <w:szCs w:val="18"/>
          <w:highlight w:val="none"/>
        </w:rPr>
        <w:fldChar w:fldCharType="end"/>
      </w:r>
      <w:bookmarkEnd w:id="149"/>
      <w:r>
        <w:rPr>
          <w:rFonts w:eastAsia="宋体"/>
          <w:bCs/>
          <w:color w:val="auto"/>
          <w:sz w:val="24"/>
          <w:szCs w:val="18"/>
          <w:highlight w:val="none"/>
        </w:rPr>
        <w:t>大气环境敏感程度分级</w:t>
      </w:r>
    </w:p>
    <w:tbl>
      <w:tblPr>
        <w:tblStyle w:val="45"/>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851"/>
        <w:gridCol w:w="7653"/>
      </w:tblGrid>
      <w:tr w14:paraId="567A1B3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cantSplit/>
          <w:trHeight w:val="50" w:hRule="atLeast"/>
          <w:jc w:val="center"/>
        </w:trPr>
        <w:tc>
          <w:tcPr>
            <w:tcW w:w="851" w:type="dxa"/>
            <w:tcBorders>
              <w:bottom w:val="single" w:color="auto" w:sz="4" w:space="0"/>
            </w:tcBorders>
            <w:vAlign w:val="center"/>
          </w:tcPr>
          <w:p w14:paraId="63E1DF1A">
            <w:pPr>
              <w:keepNext w:val="0"/>
              <w:keepLines w:val="0"/>
              <w:pageBreakBefore w:val="0"/>
              <w:widowControl/>
              <w:kinsoku/>
              <w:wordWrap/>
              <w:overflowPunct/>
              <w:topLinePunct w:val="0"/>
              <w:autoSpaceDE/>
              <w:autoSpaceDN/>
              <w:bidi w:val="0"/>
              <w:adjustRightInd w:val="0"/>
              <w:snapToGrid w:val="0"/>
              <w:ind w:left="0" w:right="0"/>
              <w:jc w:val="center"/>
              <w:textAlignment w:val="auto"/>
              <w:rPr>
                <w:rFonts w:ascii="Times New Roman" w:hAnsi="Times New Roman" w:cs="Times New Roman"/>
                <w:b/>
                <w:color w:val="auto"/>
                <w:sz w:val="21"/>
                <w:szCs w:val="21"/>
                <w:highlight w:val="none"/>
              </w:rPr>
            </w:pPr>
            <w:r>
              <w:rPr>
                <w:rFonts w:ascii="Times New Roman" w:hAnsi="Times New Roman" w:cs="Times New Roman"/>
                <w:b/>
                <w:color w:val="auto"/>
                <w:sz w:val="21"/>
                <w:szCs w:val="21"/>
                <w:highlight w:val="none"/>
              </w:rPr>
              <w:t>分级</w:t>
            </w:r>
          </w:p>
        </w:tc>
        <w:tc>
          <w:tcPr>
            <w:tcW w:w="7653" w:type="dxa"/>
            <w:tcBorders>
              <w:bottom w:val="single" w:color="auto" w:sz="4" w:space="0"/>
            </w:tcBorders>
            <w:vAlign w:val="center"/>
          </w:tcPr>
          <w:p w14:paraId="2E4ED6B7">
            <w:pPr>
              <w:keepNext w:val="0"/>
              <w:keepLines w:val="0"/>
              <w:pageBreakBefore w:val="0"/>
              <w:widowControl/>
              <w:kinsoku/>
              <w:wordWrap/>
              <w:overflowPunct/>
              <w:topLinePunct w:val="0"/>
              <w:autoSpaceDE/>
              <w:autoSpaceDN/>
              <w:bidi w:val="0"/>
              <w:adjustRightInd w:val="0"/>
              <w:snapToGrid w:val="0"/>
              <w:ind w:left="0" w:right="0"/>
              <w:jc w:val="center"/>
              <w:textAlignment w:val="auto"/>
              <w:rPr>
                <w:rFonts w:ascii="Times New Roman" w:hAnsi="Times New Roman" w:cs="Times New Roman"/>
                <w:b/>
                <w:color w:val="auto"/>
                <w:sz w:val="21"/>
                <w:szCs w:val="21"/>
                <w:highlight w:val="none"/>
              </w:rPr>
            </w:pPr>
            <w:r>
              <w:rPr>
                <w:rFonts w:ascii="Times New Roman" w:hAnsi="Times New Roman" w:cs="Times New Roman"/>
                <w:b/>
                <w:color w:val="auto"/>
                <w:sz w:val="21"/>
                <w:szCs w:val="21"/>
                <w:highlight w:val="none"/>
              </w:rPr>
              <w:t>大气环境敏感性</w:t>
            </w:r>
          </w:p>
        </w:tc>
      </w:tr>
      <w:tr w14:paraId="7C6DAF5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cantSplit/>
          <w:trHeight w:val="70" w:hRule="atLeast"/>
          <w:jc w:val="center"/>
        </w:trPr>
        <w:tc>
          <w:tcPr>
            <w:tcW w:w="851" w:type="dxa"/>
            <w:tcBorders>
              <w:top w:val="single" w:color="auto" w:sz="4" w:space="0"/>
              <w:bottom w:val="single" w:color="auto" w:sz="4" w:space="0"/>
            </w:tcBorders>
            <w:shd w:val="clear" w:color="auto" w:fill="D9D9D9"/>
            <w:vAlign w:val="center"/>
          </w:tcPr>
          <w:p w14:paraId="16DA63D1">
            <w:pPr>
              <w:keepNext w:val="0"/>
              <w:keepLines w:val="0"/>
              <w:pageBreakBefore w:val="0"/>
              <w:widowControl/>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E1</w:t>
            </w:r>
          </w:p>
        </w:tc>
        <w:tc>
          <w:tcPr>
            <w:tcW w:w="7653" w:type="dxa"/>
            <w:tcBorders>
              <w:top w:val="single" w:color="auto" w:sz="4" w:space="0"/>
              <w:bottom w:val="single" w:color="auto" w:sz="4" w:space="0"/>
            </w:tcBorders>
            <w:shd w:val="clear" w:color="auto" w:fill="D9D9D9"/>
            <w:vAlign w:val="center"/>
          </w:tcPr>
          <w:p w14:paraId="121A1D64">
            <w:pPr>
              <w:keepNext w:val="0"/>
              <w:keepLines w:val="0"/>
              <w:pageBreakBefore w:val="0"/>
              <w:widowControl/>
              <w:kinsoku/>
              <w:wordWrap/>
              <w:overflowPunct/>
              <w:topLinePunct w:val="0"/>
              <w:autoSpaceDE/>
              <w:autoSpaceDN/>
              <w:bidi w:val="0"/>
              <w:adjustRightInd w:val="0"/>
              <w:snapToGrid w:val="0"/>
              <w:ind w:left="0" w:right="0"/>
              <w:textAlignment w:val="auto"/>
              <w:rPr>
                <w:rFonts w:ascii="Times New Roman" w:hAnsi="Times New Roman" w:cs="Times New Roman"/>
                <w:bCs/>
                <w:color w:val="auto"/>
                <w:sz w:val="21"/>
                <w:szCs w:val="21"/>
                <w:highlight w:val="none"/>
              </w:rPr>
            </w:pPr>
            <w:r>
              <w:rPr>
                <w:rFonts w:ascii="Times New Roman" w:hAnsi="Times New Roman" w:cs="Times New Roman"/>
                <w:bCs/>
                <w:color w:val="auto"/>
                <w:sz w:val="21"/>
                <w:szCs w:val="21"/>
                <w:highlight w:val="none"/>
              </w:rPr>
              <w:t>周边</w:t>
            </w:r>
            <w:r>
              <w:rPr>
                <w:rStyle w:val="110"/>
                <w:rFonts w:ascii="Times New Roman" w:hAnsi="Times New Roman" w:cs="Times New Roman"/>
                <w:bCs/>
                <w:color w:val="auto"/>
                <w:sz w:val="21"/>
                <w:szCs w:val="21"/>
                <w:highlight w:val="none"/>
              </w:rPr>
              <w:t>5 km</w:t>
            </w:r>
            <w:r>
              <w:rPr>
                <w:rStyle w:val="166"/>
                <w:b w:val="0"/>
                <w:bCs/>
                <w:color w:val="auto"/>
                <w:sz w:val="21"/>
                <w:szCs w:val="21"/>
                <w:highlight w:val="none"/>
              </w:rPr>
              <w:t>范围内居住区、医疗卫生、文化教育、科研、行政办公等机构人口总数大于5万人，或其他需要特殊保护区域；或周边</w:t>
            </w:r>
            <w:r>
              <w:rPr>
                <w:rStyle w:val="110"/>
                <w:rFonts w:ascii="Times New Roman" w:hAnsi="Times New Roman" w:cs="Times New Roman"/>
                <w:bCs/>
                <w:color w:val="auto"/>
                <w:sz w:val="21"/>
                <w:szCs w:val="21"/>
                <w:highlight w:val="none"/>
              </w:rPr>
              <w:t>500 m</w:t>
            </w:r>
            <w:r>
              <w:rPr>
                <w:rStyle w:val="166"/>
                <w:b w:val="0"/>
                <w:bCs/>
                <w:color w:val="auto"/>
                <w:sz w:val="21"/>
                <w:szCs w:val="21"/>
                <w:highlight w:val="none"/>
              </w:rPr>
              <w:t>范围内人口总数大于</w:t>
            </w:r>
            <w:r>
              <w:rPr>
                <w:rStyle w:val="110"/>
                <w:rFonts w:ascii="Times New Roman" w:hAnsi="Times New Roman" w:cs="Times New Roman"/>
                <w:bCs/>
                <w:color w:val="auto"/>
                <w:sz w:val="21"/>
                <w:szCs w:val="21"/>
                <w:highlight w:val="none"/>
              </w:rPr>
              <w:t>1000</w:t>
            </w:r>
            <w:r>
              <w:rPr>
                <w:rStyle w:val="166"/>
                <w:b w:val="0"/>
                <w:bCs/>
                <w:color w:val="auto"/>
                <w:sz w:val="21"/>
                <w:szCs w:val="21"/>
                <w:highlight w:val="none"/>
              </w:rPr>
              <w:t>人；油气、化学品输送管线管段周边</w:t>
            </w:r>
            <w:r>
              <w:rPr>
                <w:rStyle w:val="110"/>
                <w:rFonts w:ascii="Times New Roman" w:hAnsi="Times New Roman" w:cs="Times New Roman"/>
                <w:bCs/>
                <w:color w:val="auto"/>
                <w:sz w:val="21"/>
                <w:szCs w:val="21"/>
                <w:highlight w:val="none"/>
              </w:rPr>
              <w:t>200 m</w:t>
            </w:r>
            <w:r>
              <w:rPr>
                <w:rStyle w:val="166"/>
                <w:b w:val="0"/>
                <w:bCs/>
                <w:color w:val="auto"/>
                <w:sz w:val="21"/>
                <w:szCs w:val="21"/>
                <w:highlight w:val="none"/>
              </w:rPr>
              <w:t>范围内，每千米管段人口数大于</w:t>
            </w:r>
            <w:r>
              <w:rPr>
                <w:rStyle w:val="110"/>
                <w:rFonts w:ascii="Times New Roman" w:hAnsi="Times New Roman" w:cs="Times New Roman"/>
                <w:bCs/>
                <w:color w:val="auto"/>
                <w:sz w:val="21"/>
                <w:szCs w:val="21"/>
                <w:highlight w:val="none"/>
              </w:rPr>
              <w:t>200</w:t>
            </w:r>
            <w:r>
              <w:rPr>
                <w:rStyle w:val="166"/>
                <w:b w:val="0"/>
                <w:bCs/>
                <w:color w:val="auto"/>
                <w:sz w:val="21"/>
                <w:szCs w:val="21"/>
                <w:highlight w:val="none"/>
              </w:rPr>
              <w:t>人</w:t>
            </w:r>
          </w:p>
        </w:tc>
      </w:tr>
      <w:tr w14:paraId="488BCEB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851" w:type="dxa"/>
            <w:tcBorders>
              <w:top w:val="single" w:color="auto" w:sz="4" w:space="0"/>
              <w:bottom w:val="single" w:color="auto" w:sz="4" w:space="0"/>
            </w:tcBorders>
            <w:vAlign w:val="center"/>
          </w:tcPr>
          <w:p w14:paraId="307F3FA7">
            <w:pPr>
              <w:keepNext w:val="0"/>
              <w:keepLines w:val="0"/>
              <w:pageBreakBefore w:val="0"/>
              <w:widowControl/>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E2</w:t>
            </w:r>
          </w:p>
        </w:tc>
        <w:tc>
          <w:tcPr>
            <w:tcW w:w="7653" w:type="dxa"/>
            <w:tcBorders>
              <w:top w:val="single" w:color="auto" w:sz="4" w:space="0"/>
              <w:bottom w:val="single" w:color="auto" w:sz="4" w:space="0"/>
            </w:tcBorders>
            <w:vAlign w:val="center"/>
          </w:tcPr>
          <w:p w14:paraId="4E23D7C5">
            <w:pPr>
              <w:keepNext w:val="0"/>
              <w:keepLines w:val="0"/>
              <w:pageBreakBefore w:val="0"/>
              <w:widowControl/>
              <w:kinsoku/>
              <w:wordWrap/>
              <w:overflowPunct/>
              <w:topLinePunct w:val="0"/>
              <w:autoSpaceDE/>
              <w:autoSpaceDN/>
              <w:bidi w:val="0"/>
              <w:adjustRightInd w:val="0"/>
              <w:snapToGrid w:val="0"/>
              <w:ind w:left="0" w:right="0"/>
              <w:textAlignment w:val="auto"/>
              <w:rPr>
                <w:rFonts w:ascii="Times New Roman" w:hAnsi="Times New Roman" w:cs="Times New Roman"/>
                <w:bCs/>
                <w:color w:val="auto"/>
                <w:sz w:val="21"/>
                <w:szCs w:val="21"/>
                <w:highlight w:val="none"/>
              </w:rPr>
            </w:pPr>
            <w:r>
              <w:rPr>
                <w:rFonts w:ascii="Times New Roman" w:hAnsi="Times New Roman" w:cs="Times New Roman"/>
                <w:bCs/>
                <w:color w:val="auto"/>
                <w:sz w:val="21"/>
                <w:szCs w:val="21"/>
                <w:highlight w:val="none"/>
              </w:rPr>
              <w:t>周边</w:t>
            </w:r>
            <w:r>
              <w:rPr>
                <w:rStyle w:val="110"/>
                <w:rFonts w:ascii="Times New Roman" w:hAnsi="Times New Roman" w:cs="Times New Roman"/>
                <w:bCs/>
                <w:color w:val="auto"/>
                <w:sz w:val="21"/>
                <w:szCs w:val="21"/>
                <w:highlight w:val="none"/>
              </w:rPr>
              <w:t>5 km</w:t>
            </w:r>
            <w:r>
              <w:rPr>
                <w:rStyle w:val="166"/>
                <w:b w:val="0"/>
                <w:bCs/>
                <w:color w:val="auto"/>
                <w:sz w:val="21"/>
                <w:szCs w:val="21"/>
                <w:highlight w:val="none"/>
              </w:rPr>
              <w:t>范围内居住区、医疗卫生、文化教育、科研、行政办公等机构人口总数大于1万人，小于5万人；或周边</w:t>
            </w:r>
            <w:r>
              <w:rPr>
                <w:rStyle w:val="110"/>
                <w:rFonts w:ascii="Times New Roman" w:hAnsi="Times New Roman" w:cs="Times New Roman"/>
                <w:bCs/>
                <w:color w:val="auto"/>
                <w:sz w:val="21"/>
                <w:szCs w:val="21"/>
                <w:highlight w:val="none"/>
              </w:rPr>
              <w:t>500 m</w:t>
            </w:r>
            <w:r>
              <w:rPr>
                <w:rStyle w:val="166"/>
                <w:b w:val="0"/>
                <w:bCs/>
                <w:color w:val="auto"/>
                <w:sz w:val="21"/>
                <w:szCs w:val="21"/>
                <w:highlight w:val="none"/>
              </w:rPr>
              <w:t>范围内人口总数大于</w:t>
            </w:r>
            <w:r>
              <w:rPr>
                <w:rStyle w:val="110"/>
                <w:rFonts w:ascii="Times New Roman" w:hAnsi="Times New Roman" w:cs="Times New Roman"/>
                <w:bCs/>
                <w:color w:val="auto"/>
                <w:sz w:val="21"/>
                <w:szCs w:val="21"/>
                <w:highlight w:val="none"/>
              </w:rPr>
              <w:t>500</w:t>
            </w:r>
            <w:r>
              <w:rPr>
                <w:rStyle w:val="166"/>
                <w:b w:val="0"/>
                <w:bCs/>
                <w:color w:val="auto"/>
                <w:sz w:val="21"/>
                <w:szCs w:val="21"/>
                <w:highlight w:val="none"/>
              </w:rPr>
              <w:t>人，小于</w:t>
            </w:r>
            <w:r>
              <w:rPr>
                <w:rStyle w:val="110"/>
                <w:rFonts w:ascii="Times New Roman" w:hAnsi="Times New Roman" w:cs="Times New Roman"/>
                <w:bCs/>
                <w:color w:val="auto"/>
                <w:sz w:val="21"/>
                <w:szCs w:val="21"/>
                <w:highlight w:val="none"/>
              </w:rPr>
              <w:t>1000</w:t>
            </w:r>
            <w:r>
              <w:rPr>
                <w:rStyle w:val="166"/>
                <w:b w:val="0"/>
                <w:bCs/>
                <w:color w:val="auto"/>
                <w:sz w:val="21"/>
                <w:szCs w:val="21"/>
                <w:highlight w:val="none"/>
              </w:rPr>
              <w:t>人；油气、化学品输送管线管段周边</w:t>
            </w:r>
            <w:r>
              <w:rPr>
                <w:rStyle w:val="110"/>
                <w:rFonts w:ascii="Times New Roman" w:hAnsi="Times New Roman" w:cs="Times New Roman"/>
                <w:bCs/>
                <w:color w:val="auto"/>
                <w:sz w:val="21"/>
                <w:szCs w:val="21"/>
                <w:highlight w:val="none"/>
              </w:rPr>
              <w:t>200 m</w:t>
            </w:r>
            <w:r>
              <w:rPr>
                <w:rStyle w:val="166"/>
                <w:b w:val="0"/>
                <w:bCs/>
                <w:color w:val="auto"/>
                <w:sz w:val="21"/>
                <w:szCs w:val="21"/>
                <w:highlight w:val="none"/>
              </w:rPr>
              <w:t>范围内，每千米管段人口数大于</w:t>
            </w:r>
            <w:r>
              <w:rPr>
                <w:rStyle w:val="110"/>
                <w:rFonts w:ascii="Times New Roman" w:hAnsi="Times New Roman" w:cs="Times New Roman"/>
                <w:bCs/>
                <w:color w:val="auto"/>
                <w:sz w:val="21"/>
                <w:szCs w:val="21"/>
                <w:highlight w:val="none"/>
              </w:rPr>
              <w:t>100</w:t>
            </w:r>
            <w:r>
              <w:rPr>
                <w:rStyle w:val="166"/>
                <w:b w:val="0"/>
                <w:bCs/>
                <w:color w:val="auto"/>
                <w:sz w:val="21"/>
                <w:szCs w:val="21"/>
                <w:highlight w:val="none"/>
              </w:rPr>
              <w:t>人，小于</w:t>
            </w:r>
            <w:r>
              <w:rPr>
                <w:rStyle w:val="110"/>
                <w:rFonts w:ascii="Times New Roman" w:hAnsi="Times New Roman" w:cs="Times New Roman"/>
                <w:bCs/>
                <w:color w:val="auto"/>
                <w:sz w:val="21"/>
                <w:szCs w:val="21"/>
                <w:highlight w:val="none"/>
              </w:rPr>
              <w:t>200</w:t>
            </w:r>
            <w:r>
              <w:rPr>
                <w:rStyle w:val="166"/>
                <w:b w:val="0"/>
                <w:bCs/>
                <w:color w:val="auto"/>
                <w:sz w:val="21"/>
                <w:szCs w:val="21"/>
                <w:highlight w:val="none"/>
              </w:rPr>
              <w:t>人</w:t>
            </w:r>
          </w:p>
        </w:tc>
      </w:tr>
      <w:tr w14:paraId="779EB40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851" w:type="dxa"/>
            <w:tcBorders>
              <w:top w:val="single" w:color="auto" w:sz="4" w:space="0"/>
              <w:bottom w:val="single" w:color="auto" w:sz="12" w:space="0"/>
            </w:tcBorders>
            <w:vAlign w:val="center"/>
          </w:tcPr>
          <w:p w14:paraId="0FD408F7">
            <w:pPr>
              <w:keepNext w:val="0"/>
              <w:keepLines w:val="0"/>
              <w:pageBreakBefore w:val="0"/>
              <w:widowControl/>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E3</w:t>
            </w:r>
          </w:p>
        </w:tc>
        <w:tc>
          <w:tcPr>
            <w:tcW w:w="7653" w:type="dxa"/>
            <w:tcBorders>
              <w:top w:val="single" w:color="auto" w:sz="4" w:space="0"/>
              <w:bottom w:val="single" w:color="auto" w:sz="12" w:space="0"/>
            </w:tcBorders>
            <w:vAlign w:val="center"/>
          </w:tcPr>
          <w:p w14:paraId="5090E946">
            <w:pPr>
              <w:keepNext w:val="0"/>
              <w:keepLines w:val="0"/>
              <w:pageBreakBefore w:val="0"/>
              <w:widowControl/>
              <w:kinsoku/>
              <w:wordWrap/>
              <w:overflowPunct/>
              <w:topLinePunct w:val="0"/>
              <w:autoSpaceDE/>
              <w:autoSpaceDN/>
              <w:bidi w:val="0"/>
              <w:adjustRightInd w:val="0"/>
              <w:snapToGrid w:val="0"/>
              <w:ind w:left="0" w:right="0"/>
              <w:textAlignment w:val="auto"/>
              <w:rPr>
                <w:rFonts w:ascii="Times New Roman" w:hAnsi="Times New Roman" w:cs="Times New Roman"/>
                <w:bCs/>
                <w:color w:val="auto"/>
                <w:sz w:val="21"/>
                <w:szCs w:val="21"/>
                <w:highlight w:val="none"/>
              </w:rPr>
            </w:pPr>
            <w:r>
              <w:rPr>
                <w:rFonts w:ascii="Times New Roman" w:hAnsi="Times New Roman" w:cs="Times New Roman"/>
                <w:bCs/>
                <w:color w:val="auto"/>
                <w:sz w:val="21"/>
                <w:szCs w:val="21"/>
                <w:highlight w:val="none"/>
              </w:rPr>
              <w:t>周边</w:t>
            </w:r>
            <w:r>
              <w:rPr>
                <w:rStyle w:val="110"/>
                <w:rFonts w:ascii="Times New Roman" w:hAnsi="Times New Roman" w:cs="Times New Roman"/>
                <w:bCs/>
                <w:color w:val="auto"/>
                <w:sz w:val="21"/>
                <w:szCs w:val="21"/>
                <w:highlight w:val="none"/>
              </w:rPr>
              <w:t>5 km</w:t>
            </w:r>
            <w:r>
              <w:rPr>
                <w:rStyle w:val="166"/>
                <w:b w:val="0"/>
                <w:bCs/>
                <w:color w:val="auto"/>
                <w:sz w:val="21"/>
                <w:szCs w:val="21"/>
                <w:highlight w:val="none"/>
              </w:rPr>
              <w:t>范围内居住区、医疗卫生、文化教育、科研、行政办公等机构人口总数小于</w:t>
            </w:r>
            <w:r>
              <w:rPr>
                <w:rStyle w:val="110"/>
                <w:rFonts w:ascii="Times New Roman" w:hAnsi="Times New Roman" w:cs="Times New Roman"/>
                <w:bCs/>
                <w:color w:val="auto"/>
                <w:sz w:val="21"/>
                <w:szCs w:val="21"/>
                <w:highlight w:val="none"/>
              </w:rPr>
              <w:t>1</w:t>
            </w:r>
            <w:r>
              <w:rPr>
                <w:rStyle w:val="166"/>
                <w:b w:val="0"/>
                <w:bCs/>
                <w:color w:val="auto"/>
                <w:sz w:val="21"/>
                <w:szCs w:val="21"/>
                <w:highlight w:val="none"/>
              </w:rPr>
              <w:t>万人；或周边</w:t>
            </w:r>
            <w:r>
              <w:rPr>
                <w:rStyle w:val="110"/>
                <w:rFonts w:ascii="Times New Roman" w:hAnsi="Times New Roman" w:cs="Times New Roman"/>
                <w:bCs/>
                <w:color w:val="auto"/>
                <w:sz w:val="21"/>
                <w:szCs w:val="21"/>
                <w:highlight w:val="none"/>
              </w:rPr>
              <w:t>500 m</w:t>
            </w:r>
            <w:r>
              <w:rPr>
                <w:rStyle w:val="166"/>
                <w:b w:val="0"/>
                <w:bCs/>
                <w:color w:val="auto"/>
                <w:sz w:val="21"/>
                <w:szCs w:val="21"/>
                <w:highlight w:val="none"/>
              </w:rPr>
              <w:t>范围内人口总数小于</w:t>
            </w:r>
            <w:r>
              <w:rPr>
                <w:rStyle w:val="110"/>
                <w:rFonts w:ascii="Times New Roman" w:hAnsi="Times New Roman" w:cs="Times New Roman"/>
                <w:bCs/>
                <w:color w:val="auto"/>
                <w:sz w:val="21"/>
                <w:szCs w:val="21"/>
                <w:highlight w:val="none"/>
              </w:rPr>
              <w:t>500</w:t>
            </w:r>
            <w:r>
              <w:rPr>
                <w:rStyle w:val="166"/>
                <w:b w:val="0"/>
                <w:bCs/>
                <w:color w:val="auto"/>
                <w:sz w:val="21"/>
                <w:szCs w:val="21"/>
                <w:highlight w:val="none"/>
              </w:rPr>
              <w:t>人；油气、化学品输送管线管段周边</w:t>
            </w:r>
            <w:r>
              <w:rPr>
                <w:rStyle w:val="110"/>
                <w:rFonts w:ascii="Times New Roman" w:hAnsi="Times New Roman" w:cs="Times New Roman"/>
                <w:bCs/>
                <w:color w:val="auto"/>
                <w:sz w:val="21"/>
                <w:szCs w:val="21"/>
                <w:highlight w:val="none"/>
              </w:rPr>
              <w:t>200 m</w:t>
            </w:r>
            <w:r>
              <w:rPr>
                <w:rStyle w:val="166"/>
                <w:b w:val="0"/>
                <w:bCs/>
                <w:color w:val="auto"/>
                <w:sz w:val="21"/>
                <w:szCs w:val="21"/>
                <w:highlight w:val="none"/>
              </w:rPr>
              <w:t>范围内，每千米管段人口数小于</w:t>
            </w:r>
            <w:r>
              <w:rPr>
                <w:rStyle w:val="110"/>
                <w:rFonts w:ascii="Times New Roman" w:hAnsi="Times New Roman" w:cs="Times New Roman"/>
                <w:bCs/>
                <w:color w:val="auto"/>
                <w:sz w:val="21"/>
                <w:szCs w:val="21"/>
                <w:highlight w:val="none"/>
              </w:rPr>
              <w:t>100</w:t>
            </w:r>
            <w:r>
              <w:rPr>
                <w:rStyle w:val="166"/>
                <w:b w:val="0"/>
                <w:bCs/>
                <w:color w:val="auto"/>
                <w:sz w:val="21"/>
                <w:szCs w:val="21"/>
                <w:highlight w:val="none"/>
              </w:rPr>
              <w:t>人</w:t>
            </w:r>
          </w:p>
        </w:tc>
      </w:tr>
    </w:tbl>
    <w:p w14:paraId="4AE01BA1">
      <w:pPr>
        <w:autoSpaceDE w:val="0"/>
        <w:autoSpaceDN w:val="0"/>
        <w:adjustRightInd w:val="0"/>
        <w:snapToGrid w:val="0"/>
        <w:spacing w:line="360" w:lineRule="auto"/>
        <w:ind w:left="-105" w:right="-105" w:firstLine="480" w:firstLineChars="200"/>
        <w:rPr>
          <w:rFonts w:ascii="Times New Roman" w:hAnsi="Times New Roman" w:cs="Times New Roman"/>
          <w:color w:val="auto"/>
          <w:highlight w:val="none"/>
        </w:rPr>
      </w:pPr>
      <w:r>
        <w:rPr>
          <w:rFonts w:ascii="Times New Roman" w:hAnsi="Times New Roman" w:cs="Times New Roman"/>
          <w:color w:val="auto"/>
          <w:highlight w:val="none"/>
        </w:rPr>
        <w:t>本项目位于</w:t>
      </w:r>
      <w:r>
        <w:rPr>
          <w:rFonts w:hint="eastAsia" w:ascii="Times New Roman" w:hAnsi="Times New Roman" w:cs="Times New Roman"/>
          <w:color w:val="auto"/>
          <w:highlight w:val="none"/>
        </w:rPr>
        <w:t>无锡市锡山区锡北镇新坝村新达路6号</w:t>
      </w:r>
      <w:r>
        <w:rPr>
          <w:rFonts w:ascii="Times New Roman" w:hAnsi="Times New Roman" w:cs="Times New Roman"/>
          <w:color w:val="auto"/>
          <w:highlight w:val="none"/>
        </w:rPr>
        <w:t>，周边5km范围内人口总数大于5万人，故大气环境敏感程度分级为E1。</w:t>
      </w:r>
    </w:p>
    <w:p w14:paraId="1BBF63B6">
      <w:pPr>
        <w:autoSpaceDE w:val="0"/>
        <w:autoSpaceDN w:val="0"/>
        <w:adjustRightInd w:val="0"/>
        <w:snapToGrid w:val="0"/>
        <w:spacing w:line="360" w:lineRule="auto"/>
        <w:ind w:left="-105" w:right="-105" w:firstLine="480" w:firstLineChars="200"/>
        <w:rPr>
          <w:rFonts w:ascii="Times New Roman" w:hAnsi="Times New Roman" w:cs="Times New Roman"/>
          <w:color w:val="auto"/>
          <w:highlight w:val="none"/>
        </w:rPr>
      </w:pPr>
      <w:r>
        <w:rPr>
          <w:rFonts w:ascii="Times New Roman" w:hAnsi="Times New Roman" w:cs="Times New Roman"/>
          <w:color w:val="auto"/>
          <w:highlight w:val="none"/>
        </w:rPr>
        <w:t>（2）地表水环境</w:t>
      </w:r>
    </w:p>
    <w:p w14:paraId="3EA6DB7F">
      <w:pPr>
        <w:spacing w:line="360" w:lineRule="auto"/>
        <w:ind w:left="-105" w:right="-105" w:firstLine="480" w:firstLineChars="200"/>
        <w:rPr>
          <w:rFonts w:ascii="Times New Roman" w:hAnsi="Times New Roman" w:cs="Times New Roman"/>
          <w:color w:val="auto"/>
          <w:szCs w:val="22"/>
          <w:highlight w:val="none"/>
        </w:rPr>
      </w:pPr>
      <w:r>
        <w:rPr>
          <w:rFonts w:ascii="Times New Roman" w:hAnsi="Times New Roman" w:cs="Times New Roman"/>
          <w:color w:val="auto"/>
          <w:szCs w:val="22"/>
          <w:highlight w:val="none"/>
        </w:rPr>
        <w:t>根据《建设项目环境风险评价技术导则HJ 169—2018》附录D，地表水环境敏感程度（E）分级原则如下：</w:t>
      </w:r>
    </w:p>
    <w:p w14:paraId="7E1198E8">
      <w:pPr>
        <w:pStyle w:val="15"/>
        <w:spacing w:line="360" w:lineRule="auto"/>
        <w:ind w:left="-105" w:right="-105" w:firstLine="482"/>
        <w:rPr>
          <w:rFonts w:eastAsia="宋体"/>
          <w:color w:val="auto"/>
          <w:sz w:val="24"/>
          <w:szCs w:val="24"/>
          <w:highlight w:val="none"/>
        </w:rPr>
      </w:pPr>
      <w:bookmarkStart w:id="150" w:name="_Ref98330399"/>
      <w:r>
        <w:rPr>
          <w:rFonts w:eastAsia="宋体"/>
          <w:color w:val="auto"/>
          <w:sz w:val="24"/>
          <w:szCs w:val="18"/>
          <w:highlight w:val="none"/>
        </w:rPr>
        <w:t xml:space="preserve">表 </w:t>
      </w:r>
      <w:r>
        <w:rPr>
          <w:rFonts w:eastAsia="宋体"/>
          <w:color w:val="auto"/>
          <w:sz w:val="24"/>
          <w:szCs w:val="18"/>
          <w:highlight w:val="none"/>
        </w:rPr>
        <w:fldChar w:fldCharType="begin"/>
      </w:r>
      <w:r>
        <w:rPr>
          <w:rFonts w:eastAsia="宋体"/>
          <w:color w:val="auto"/>
          <w:sz w:val="24"/>
          <w:szCs w:val="18"/>
          <w:highlight w:val="none"/>
        </w:rPr>
        <w:instrText xml:space="preserve"> STYLEREF 2 \s </w:instrText>
      </w:r>
      <w:r>
        <w:rPr>
          <w:rFonts w:eastAsia="宋体"/>
          <w:color w:val="auto"/>
          <w:sz w:val="24"/>
          <w:szCs w:val="18"/>
          <w:highlight w:val="none"/>
        </w:rPr>
        <w:fldChar w:fldCharType="separate"/>
      </w:r>
      <w:r>
        <w:rPr>
          <w:rFonts w:eastAsia="宋体"/>
          <w:color w:val="auto"/>
          <w:sz w:val="24"/>
          <w:szCs w:val="18"/>
          <w:highlight w:val="none"/>
        </w:rPr>
        <w:t>2.4</w:t>
      </w:r>
      <w:r>
        <w:rPr>
          <w:rFonts w:eastAsia="宋体"/>
          <w:color w:val="auto"/>
          <w:sz w:val="24"/>
          <w:szCs w:val="18"/>
          <w:highlight w:val="none"/>
        </w:rPr>
        <w:fldChar w:fldCharType="end"/>
      </w:r>
      <w:r>
        <w:rPr>
          <w:rFonts w:eastAsia="宋体"/>
          <w:color w:val="auto"/>
          <w:sz w:val="24"/>
          <w:szCs w:val="18"/>
          <w:highlight w:val="none"/>
        </w:rPr>
        <w:noBreakHyphen/>
      </w:r>
      <w:r>
        <w:rPr>
          <w:rFonts w:eastAsia="宋体"/>
          <w:color w:val="auto"/>
          <w:sz w:val="24"/>
          <w:szCs w:val="18"/>
          <w:highlight w:val="none"/>
        </w:rPr>
        <w:fldChar w:fldCharType="begin"/>
      </w:r>
      <w:r>
        <w:rPr>
          <w:rFonts w:eastAsia="宋体"/>
          <w:color w:val="auto"/>
          <w:sz w:val="24"/>
          <w:szCs w:val="18"/>
          <w:highlight w:val="none"/>
        </w:rPr>
        <w:instrText xml:space="preserve"> SEQ 表 \* ARABIC \s 2 </w:instrText>
      </w:r>
      <w:r>
        <w:rPr>
          <w:rFonts w:eastAsia="宋体"/>
          <w:color w:val="auto"/>
          <w:sz w:val="24"/>
          <w:szCs w:val="18"/>
          <w:highlight w:val="none"/>
        </w:rPr>
        <w:fldChar w:fldCharType="separate"/>
      </w:r>
      <w:r>
        <w:rPr>
          <w:rFonts w:eastAsia="宋体"/>
          <w:color w:val="auto"/>
          <w:sz w:val="24"/>
          <w:szCs w:val="18"/>
          <w:highlight w:val="none"/>
        </w:rPr>
        <w:t>12</w:t>
      </w:r>
      <w:r>
        <w:rPr>
          <w:rFonts w:eastAsia="宋体"/>
          <w:color w:val="auto"/>
          <w:sz w:val="24"/>
          <w:szCs w:val="18"/>
          <w:highlight w:val="none"/>
        </w:rPr>
        <w:fldChar w:fldCharType="end"/>
      </w:r>
      <w:bookmarkEnd w:id="150"/>
      <w:r>
        <w:rPr>
          <w:rFonts w:eastAsia="宋体"/>
          <w:color w:val="auto"/>
          <w:sz w:val="24"/>
          <w:szCs w:val="24"/>
          <w:highlight w:val="none"/>
        </w:rPr>
        <w:t>地表水功能敏感性分区</w:t>
      </w:r>
    </w:p>
    <w:tbl>
      <w:tblPr>
        <w:tblStyle w:val="45"/>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993"/>
        <w:gridCol w:w="7511"/>
      </w:tblGrid>
      <w:tr w14:paraId="2884E1C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tblHeader/>
          <w:jc w:val="center"/>
        </w:trPr>
        <w:tc>
          <w:tcPr>
            <w:tcW w:w="993" w:type="dxa"/>
            <w:tcBorders>
              <w:top w:val="single" w:color="auto" w:sz="12" w:space="0"/>
              <w:left w:val="nil"/>
              <w:bottom w:val="single" w:color="auto" w:sz="4" w:space="0"/>
              <w:right w:val="single" w:color="auto" w:sz="4" w:space="0"/>
            </w:tcBorders>
            <w:vAlign w:val="center"/>
          </w:tcPr>
          <w:p w14:paraId="3BA1E9B8">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b/>
                <w:bCs/>
                <w:snapToGrid w:val="0"/>
                <w:color w:val="auto"/>
                <w:sz w:val="21"/>
                <w:szCs w:val="21"/>
                <w:highlight w:val="none"/>
              </w:rPr>
            </w:pPr>
            <w:r>
              <w:rPr>
                <w:rFonts w:ascii="Times New Roman" w:hAnsi="Times New Roman" w:cs="Times New Roman"/>
                <w:b/>
                <w:bCs/>
                <w:snapToGrid w:val="0"/>
                <w:color w:val="auto"/>
                <w:sz w:val="21"/>
                <w:szCs w:val="21"/>
                <w:highlight w:val="none"/>
              </w:rPr>
              <w:t>敏感性</w:t>
            </w:r>
          </w:p>
        </w:tc>
        <w:tc>
          <w:tcPr>
            <w:tcW w:w="7511" w:type="dxa"/>
            <w:tcBorders>
              <w:top w:val="single" w:color="auto" w:sz="12" w:space="0"/>
              <w:left w:val="single" w:color="auto" w:sz="4" w:space="0"/>
              <w:bottom w:val="single" w:color="auto" w:sz="4" w:space="0"/>
              <w:right w:val="nil"/>
            </w:tcBorders>
            <w:vAlign w:val="center"/>
          </w:tcPr>
          <w:p w14:paraId="35420783">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b/>
                <w:bCs/>
                <w:snapToGrid w:val="0"/>
                <w:color w:val="auto"/>
                <w:sz w:val="21"/>
                <w:szCs w:val="21"/>
                <w:highlight w:val="none"/>
              </w:rPr>
            </w:pPr>
            <w:r>
              <w:rPr>
                <w:rFonts w:ascii="Times New Roman" w:hAnsi="Times New Roman" w:cs="Times New Roman"/>
                <w:b/>
                <w:bCs/>
                <w:snapToGrid w:val="0"/>
                <w:color w:val="auto"/>
                <w:sz w:val="21"/>
                <w:szCs w:val="21"/>
                <w:highlight w:val="none"/>
              </w:rPr>
              <w:t>地表水环境敏感特征</w:t>
            </w:r>
          </w:p>
        </w:tc>
      </w:tr>
      <w:tr w14:paraId="4303B53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993" w:type="dxa"/>
            <w:tcBorders>
              <w:top w:val="single" w:color="auto" w:sz="4" w:space="0"/>
              <w:left w:val="nil"/>
              <w:bottom w:val="single" w:color="auto" w:sz="4" w:space="0"/>
              <w:right w:val="single" w:color="auto" w:sz="4" w:space="0"/>
            </w:tcBorders>
            <w:vAlign w:val="center"/>
          </w:tcPr>
          <w:p w14:paraId="6C6EDF61">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snapToGrid w:val="0"/>
                <w:color w:val="auto"/>
                <w:sz w:val="21"/>
                <w:szCs w:val="21"/>
                <w:highlight w:val="none"/>
              </w:rPr>
            </w:pPr>
            <w:r>
              <w:rPr>
                <w:rFonts w:ascii="Times New Roman" w:hAnsi="Times New Roman" w:cs="Times New Roman"/>
                <w:snapToGrid w:val="0"/>
                <w:color w:val="auto"/>
                <w:sz w:val="21"/>
                <w:szCs w:val="21"/>
                <w:highlight w:val="none"/>
              </w:rPr>
              <w:t>敏感</w:t>
            </w:r>
            <w:r>
              <w:rPr>
                <w:rFonts w:ascii="Times New Roman" w:hAnsi="Times New Roman" w:cs="Times New Roman"/>
                <w:snapToGrid w:val="0"/>
                <w:color w:val="auto"/>
                <w:sz w:val="21"/>
                <w:szCs w:val="21"/>
                <w:highlight w:val="none"/>
                <w:lang w:eastAsia="en-US"/>
              </w:rPr>
              <w:t>F1</w:t>
            </w:r>
          </w:p>
        </w:tc>
        <w:tc>
          <w:tcPr>
            <w:tcW w:w="7511" w:type="dxa"/>
            <w:tcBorders>
              <w:top w:val="single" w:color="auto" w:sz="4" w:space="0"/>
              <w:left w:val="single" w:color="auto" w:sz="4" w:space="0"/>
              <w:bottom w:val="single" w:color="auto" w:sz="4" w:space="0"/>
              <w:right w:val="nil"/>
            </w:tcBorders>
            <w:vAlign w:val="center"/>
          </w:tcPr>
          <w:p w14:paraId="3DE55DB0">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snapToGrid w:val="0"/>
                <w:color w:val="auto"/>
                <w:sz w:val="21"/>
                <w:szCs w:val="21"/>
                <w:highlight w:val="none"/>
              </w:rPr>
            </w:pPr>
            <w:r>
              <w:rPr>
                <w:rFonts w:ascii="Times New Roman" w:hAnsi="Times New Roman" w:cs="Times New Roman"/>
                <w:snapToGrid w:val="0"/>
                <w:color w:val="auto"/>
                <w:sz w:val="21"/>
                <w:szCs w:val="21"/>
                <w:highlight w:val="none"/>
              </w:rPr>
              <w:t>排放点进入地表水水域环境功能为Ⅱ类及以上，或海水水质分类第一类；</w:t>
            </w:r>
          </w:p>
          <w:p w14:paraId="58D35721">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snapToGrid w:val="0"/>
                <w:color w:val="auto"/>
                <w:sz w:val="21"/>
                <w:szCs w:val="21"/>
                <w:highlight w:val="none"/>
              </w:rPr>
            </w:pPr>
            <w:r>
              <w:rPr>
                <w:rFonts w:ascii="Times New Roman" w:hAnsi="Times New Roman" w:cs="Times New Roman"/>
                <w:snapToGrid w:val="0"/>
                <w:color w:val="auto"/>
                <w:sz w:val="21"/>
                <w:szCs w:val="21"/>
                <w:highlight w:val="none"/>
              </w:rPr>
              <w:t>或以发生事故时，危险物质泄漏到水体的排放点算起，排放进入受纳河流最大流速时，24 h流经范围内涉跨国界的</w:t>
            </w:r>
          </w:p>
        </w:tc>
      </w:tr>
      <w:tr w14:paraId="48BA683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993" w:type="dxa"/>
            <w:tcBorders>
              <w:top w:val="single" w:color="auto" w:sz="4" w:space="0"/>
              <w:left w:val="nil"/>
              <w:bottom w:val="single" w:color="auto" w:sz="4" w:space="0"/>
              <w:right w:val="single" w:color="auto" w:sz="4" w:space="0"/>
            </w:tcBorders>
            <w:shd w:val="clear" w:color="auto" w:fill="D9D9D9"/>
            <w:vAlign w:val="center"/>
          </w:tcPr>
          <w:p w14:paraId="4112A4A8">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snapToGrid w:val="0"/>
                <w:color w:val="auto"/>
                <w:sz w:val="21"/>
                <w:szCs w:val="21"/>
                <w:highlight w:val="none"/>
              </w:rPr>
            </w:pPr>
            <w:r>
              <w:rPr>
                <w:rFonts w:ascii="Times New Roman" w:hAnsi="Times New Roman" w:cs="Times New Roman"/>
                <w:snapToGrid w:val="0"/>
                <w:color w:val="auto"/>
                <w:sz w:val="21"/>
                <w:szCs w:val="21"/>
                <w:highlight w:val="none"/>
              </w:rPr>
              <w:t>较敏感</w:t>
            </w:r>
            <w:r>
              <w:rPr>
                <w:rFonts w:ascii="Times New Roman" w:hAnsi="Times New Roman" w:cs="Times New Roman"/>
                <w:snapToGrid w:val="0"/>
                <w:color w:val="auto"/>
                <w:sz w:val="21"/>
                <w:szCs w:val="21"/>
                <w:highlight w:val="none"/>
                <w:lang w:eastAsia="en-US"/>
              </w:rPr>
              <w:t>F2</w:t>
            </w:r>
          </w:p>
        </w:tc>
        <w:tc>
          <w:tcPr>
            <w:tcW w:w="7511" w:type="dxa"/>
            <w:tcBorders>
              <w:top w:val="single" w:color="auto" w:sz="4" w:space="0"/>
              <w:left w:val="single" w:color="auto" w:sz="4" w:space="0"/>
              <w:bottom w:val="single" w:color="auto" w:sz="4" w:space="0"/>
              <w:right w:val="nil"/>
            </w:tcBorders>
            <w:shd w:val="clear" w:color="auto" w:fill="D9D9D9"/>
            <w:vAlign w:val="center"/>
          </w:tcPr>
          <w:p w14:paraId="41FCF7C9">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snapToGrid w:val="0"/>
                <w:color w:val="auto"/>
                <w:sz w:val="21"/>
                <w:szCs w:val="21"/>
                <w:highlight w:val="none"/>
              </w:rPr>
            </w:pPr>
            <w:r>
              <w:rPr>
                <w:rFonts w:ascii="Times New Roman" w:hAnsi="Times New Roman" w:cs="Times New Roman"/>
                <w:snapToGrid w:val="0"/>
                <w:color w:val="auto"/>
                <w:sz w:val="21"/>
                <w:szCs w:val="21"/>
                <w:highlight w:val="none"/>
              </w:rPr>
              <w:t>排放点进入地表水水域环境功能为Ⅲ类，或海水水质分类第二类；</w:t>
            </w:r>
          </w:p>
          <w:p w14:paraId="0CCF9B99">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snapToGrid w:val="0"/>
                <w:color w:val="auto"/>
                <w:sz w:val="21"/>
                <w:szCs w:val="21"/>
                <w:highlight w:val="none"/>
              </w:rPr>
            </w:pPr>
            <w:r>
              <w:rPr>
                <w:rFonts w:ascii="Times New Roman" w:hAnsi="Times New Roman" w:cs="Times New Roman"/>
                <w:snapToGrid w:val="0"/>
                <w:color w:val="auto"/>
                <w:sz w:val="21"/>
                <w:szCs w:val="21"/>
                <w:highlight w:val="none"/>
              </w:rPr>
              <w:t>或以发生事故时，危险物质泄漏到水体的排放点算起，排放进入受纳河流最大流速时，24h流经范围内涉跨省界的</w:t>
            </w:r>
          </w:p>
        </w:tc>
      </w:tr>
      <w:tr w14:paraId="5CA00CF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993" w:type="dxa"/>
            <w:tcBorders>
              <w:top w:val="single" w:color="auto" w:sz="4" w:space="0"/>
              <w:left w:val="nil"/>
              <w:bottom w:val="single" w:color="auto" w:sz="12" w:space="0"/>
              <w:right w:val="single" w:color="auto" w:sz="4" w:space="0"/>
            </w:tcBorders>
            <w:vAlign w:val="center"/>
          </w:tcPr>
          <w:p w14:paraId="66E1F636">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snapToGrid w:val="0"/>
                <w:color w:val="auto"/>
                <w:sz w:val="21"/>
                <w:szCs w:val="21"/>
                <w:highlight w:val="none"/>
              </w:rPr>
            </w:pPr>
            <w:r>
              <w:rPr>
                <w:rFonts w:ascii="Times New Roman" w:hAnsi="Times New Roman" w:cs="Times New Roman"/>
                <w:snapToGrid w:val="0"/>
                <w:color w:val="auto"/>
                <w:sz w:val="21"/>
                <w:szCs w:val="21"/>
                <w:highlight w:val="none"/>
              </w:rPr>
              <w:t>低敏感</w:t>
            </w:r>
            <w:r>
              <w:rPr>
                <w:rFonts w:ascii="Times New Roman" w:hAnsi="Times New Roman" w:cs="Times New Roman"/>
                <w:snapToGrid w:val="0"/>
                <w:color w:val="auto"/>
                <w:sz w:val="21"/>
                <w:szCs w:val="21"/>
                <w:highlight w:val="none"/>
                <w:lang w:eastAsia="en-US"/>
              </w:rPr>
              <w:t>F3</w:t>
            </w:r>
          </w:p>
        </w:tc>
        <w:tc>
          <w:tcPr>
            <w:tcW w:w="7511" w:type="dxa"/>
            <w:tcBorders>
              <w:top w:val="single" w:color="auto" w:sz="4" w:space="0"/>
              <w:left w:val="single" w:color="auto" w:sz="4" w:space="0"/>
              <w:bottom w:val="single" w:color="auto" w:sz="12" w:space="0"/>
              <w:right w:val="nil"/>
            </w:tcBorders>
            <w:vAlign w:val="center"/>
          </w:tcPr>
          <w:p w14:paraId="0BDD898E">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snapToGrid w:val="0"/>
                <w:color w:val="auto"/>
                <w:sz w:val="21"/>
                <w:szCs w:val="21"/>
                <w:highlight w:val="none"/>
              </w:rPr>
            </w:pPr>
            <w:r>
              <w:rPr>
                <w:rFonts w:ascii="Times New Roman" w:hAnsi="Times New Roman" w:cs="Times New Roman"/>
                <w:snapToGrid w:val="0"/>
                <w:color w:val="auto"/>
                <w:sz w:val="21"/>
                <w:szCs w:val="21"/>
                <w:highlight w:val="none"/>
              </w:rPr>
              <w:t>上述地区之外的其他地区</w:t>
            </w:r>
          </w:p>
        </w:tc>
      </w:tr>
    </w:tbl>
    <w:p w14:paraId="4BEAAC72">
      <w:pPr>
        <w:spacing w:line="360" w:lineRule="auto"/>
        <w:ind w:left="-105" w:right="-105" w:firstLine="480" w:firstLineChars="200"/>
        <w:rPr>
          <w:rFonts w:ascii="Times New Roman" w:hAnsi="Times New Roman" w:cs="Times New Roman"/>
          <w:color w:val="auto"/>
          <w:highlight w:val="none"/>
        </w:rPr>
      </w:pPr>
      <w:r>
        <w:rPr>
          <w:rFonts w:ascii="Times New Roman" w:hAnsi="Times New Roman" w:cs="Times New Roman"/>
          <w:color w:val="auto"/>
          <w:highlight w:val="none"/>
        </w:rPr>
        <w:t>本项目事故废水通过雨水管网排入</w:t>
      </w:r>
      <w:r>
        <w:rPr>
          <w:rFonts w:hint="eastAsia" w:ascii="Times New Roman" w:hAnsi="Times New Roman" w:cs="Times New Roman"/>
          <w:color w:val="auto"/>
          <w:highlight w:val="none"/>
        </w:rPr>
        <w:t>锡北运</w:t>
      </w:r>
      <w:r>
        <w:rPr>
          <w:rFonts w:ascii="Times New Roman" w:hAnsi="Times New Roman" w:cs="Times New Roman"/>
          <w:color w:val="auto"/>
          <w:highlight w:val="none"/>
        </w:rPr>
        <w:t>河，根据调查结果，</w:t>
      </w:r>
      <w:r>
        <w:rPr>
          <w:rFonts w:hint="eastAsia" w:ascii="Times New Roman" w:hAnsi="Times New Roman" w:cs="Times New Roman"/>
          <w:color w:val="auto"/>
          <w:highlight w:val="none"/>
        </w:rPr>
        <w:t>锡北运河</w:t>
      </w:r>
      <w:r>
        <w:rPr>
          <w:rFonts w:ascii="Times New Roman" w:hAnsi="Times New Roman" w:cs="Times New Roman"/>
          <w:color w:val="auto"/>
          <w:highlight w:val="none"/>
        </w:rPr>
        <w:t>为Ⅲ类水，24h流经范围不跨省界，故本项目地表水环境敏感性为较敏感F2。</w:t>
      </w:r>
    </w:p>
    <w:p w14:paraId="0A96617F">
      <w:pPr>
        <w:pStyle w:val="15"/>
        <w:ind w:left="-105" w:right="-105" w:firstLine="482"/>
        <w:rPr>
          <w:rFonts w:eastAsia="宋体"/>
          <w:b w:val="0"/>
          <w:color w:val="auto"/>
          <w:sz w:val="24"/>
          <w:szCs w:val="24"/>
          <w:highlight w:val="none"/>
        </w:rPr>
      </w:pPr>
      <w:bookmarkStart w:id="151" w:name="_Ref98330432"/>
      <w:r>
        <w:rPr>
          <w:rFonts w:eastAsia="宋体"/>
          <w:color w:val="auto"/>
          <w:sz w:val="24"/>
          <w:szCs w:val="18"/>
          <w:highlight w:val="none"/>
        </w:rPr>
        <w:t xml:space="preserve">表 </w:t>
      </w:r>
      <w:r>
        <w:rPr>
          <w:rFonts w:eastAsia="宋体"/>
          <w:color w:val="auto"/>
          <w:sz w:val="24"/>
          <w:szCs w:val="18"/>
          <w:highlight w:val="none"/>
        </w:rPr>
        <w:fldChar w:fldCharType="begin"/>
      </w:r>
      <w:r>
        <w:rPr>
          <w:rFonts w:eastAsia="宋体"/>
          <w:color w:val="auto"/>
          <w:sz w:val="24"/>
          <w:szCs w:val="18"/>
          <w:highlight w:val="none"/>
        </w:rPr>
        <w:instrText xml:space="preserve"> STYLEREF 2 \s </w:instrText>
      </w:r>
      <w:r>
        <w:rPr>
          <w:rFonts w:eastAsia="宋体"/>
          <w:color w:val="auto"/>
          <w:sz w:val="24"/>
          <w:szCs w:val="18"/>
          <w:highlight w:val="none"/>
        </w:rPr>
        <w:fldChar w:fldCharType="separate"/>
      </w:r>
      <w:r>
        <w:rPr>
          <w:rFonts w:eastAsia="宋体"/>
          <w:color w:val="auto"/>
          <w:sz w:val="24"/>
          <w:szCs w:val="18"/>
          <w:highlight w:val="none"/>
        </w:rPr>
        <w:t>2.4</w:t>
      </w:r>
      <w:r>
        <w:rPr>
          <w:rFonts w:eastAsia="宋体"/>
          <w:color w:val="auto"/>
          <w:sz w:val="24"/>
          <w:szCs w:val="18"/>
          <w:highlight w:val="none"/>
        </w:rPr>
        <w:fldChar w:fldCharType="end"/>
      </w:r>
      <w:r>
        <w:rPr>
          <w:rFonts w:eastAsia="宋体"/>
          <w:color w:val="auto"/>
          <w:sz w:val="24"/>
          <w:szCs w:val="18"/>
          <w:highlight w:val="none"/>
        </w:rPr>
        <w:noBreakHyphen/>
      </w:r>
      <w:r>
        <w:rPr>
          <w:rFonts w:eastAsia="宋体"/>
          <w:color w:val="auto"/>
          <w:sz w:val="24"/>
          <w:szCs w:val="18"/>
          <w:highlight w:val="none"/>
        </w:rPr>
        <w:fldChar w:fldCharType="begin"/>
      </w:r>
      <w:r>
        <w:rPr>
          <w:rFonts w:eastAsia="宋体"/>
          <w:color w:val="auto"/>
          <w:sz w:val="24"/>
          <w:szCs w:val="18"/>
          <w:highlight w:val="none"/>
        </w:rPr>
        <w:instrText xml:space="preserve"> SEQ 表 \* ARABIC \s 2 </w:instrText>
      </w:r>
      <w:r>
        <w:rPr>
          <w:rFonts w:eastAsia="宋体"/>
          <w:color w:val="auto"/>
          <w:sz w:val="24"/>
          <w:szCs w:val="18"/>
          <w:highlight w:val="none"/>
        </w:rPr>
        <w:fldChar w:fldCharType="separate"/>
      </w:r>
      <w:r>
        <w:rPr>
          <w:rFonts w:eastAsia="宋体"/>
          <w:color w:val="auto"/>
          <w:sz w:val="24"/>
          <w:szCs w:val="18"/>
          <w:highlight w:val="none"/>
        </w:rPr>
        <w:t>13</w:t>
      </w:r>
      <w:r>
        <w:rPr>
          <w:rFonts w:eastAsia="宋体"/>
          <w:color w:val="auto"/>
          <w:sz w:val="24"/>
          <w:szCs w:val="18"/>
          <w:highlight w:val="none"/>
        </w:rPr>
        <w:fldChar w:fldCharType="end"/>
      </w:r>
      <w:bookmarkEnd w:id="151"/>
      <w:r>
        <w:rPr>
          <w:rFonts w:eastAsia="宋体"/>
          <w:bCs/>
          <w:color w:val="auto"/>
          <w:sz w:val="24"/>
          <w:szCs w:val="24"/>
          <w:highlight w:val="none"/>
        </w:rPr>
        <w:t>环境敏感目标分级</w:t>
      </w:r>
    </w:p>
    <w:tbl>
      <w:tblPr>
        <w:tblStyle w:val="45"/>
        <w:tblW w:w="5000" w:type="pct"/>
        <w:jc w:val="center"/>
        <w:tblLayout w:type="fixed"/>
        <w:tblCellMar>
          <w:top w:w="0" w:type="dxa"/>
          <w:left w:w="0" w:type="dxa"/>
          <w:bottom w:w="0" w:type="dxa"/>
          <w:right w:w="0" w:type="dxa"/>
        </w:tblCellMar>
      </w:tblPr>
      <w:tblGrid>
        <w:gridCol w:w="799"/>
        <w:gridCol w:w="7705"/>
      </w:tblGrid>
      <w:tr w14:paraId="3C145EAF">
        <w:tblPrEx>
          <w:tblCellMar>
            <w:top w:w="0" w:type="dxa"/>
            <w:left w:w="0" w:type="dxa"/>
            <w:bottom w:w="0" w:type="dxa"/>
            <w:right w:w="0" w:type="dxa"/>
          </w:tblCellMar>
        </w:tblPrEx>
        <w:trPr>
          <w:trHeight w:val="340" w:hRule="atLeast"/>
          <w:jc w:val="center"/>
        </w:trPr>
        <w:tc>
          <w:tcPr>
            <w:tcW w:w="851" w:type="dxa"/>
            <w:tcBorders>
              <w:top w:val="single" w:color="auto" w:sz="12" w:space="0"/>
              <w:left w:val="nil"/>
              <w:bottom w:val="single" w:color="auto" w:sz="4" w:space="0"/>
              <w:right w:val="nil"/>
            </w:tcBorders>
            <w:vAlign w:val="center"/>
          </w:tcPr>
          <w:p w14:paraId="145F3CC1">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b/>
                <w:bCs/>
                <w:snapToGrid w:val="0"/>
                <w:color w:val="auto"/>
                <w:sz w:val="21"/>
                <w:szCs w:val="21"/>
                <w:highlight w:val="none"/>
              </w:rPr>
            </w:pPr>
            <w:r>
              <w:rPr>
                <w:rFonts w:ascii="Times New Roman" w:hAnsi="Times New Roman" w:cs="Times New Roman"/>
                <w:b/>
                <w:bCs/>
                <w:snapToGrid w:val="0"/>
                <w:color w:val="auto"/>
                <w:sz w:val="21"/>
                <w:szCs w:val="21"/>
                <w:highlight w:val="none"/>
              </w:rPr>
              <w:t>分级</w:t>
            </w:r>
          </w:p>
        </w:tc>
        <w:tc>
          <w:tcPr>
            <w:tcW w:w="8220" w:type="dxa"/>
            <w:tcBorders>
              <w:top w:val="single" w:color="auto" w:sz="12" w:space="0"/>
              <w:left w:val="single" w:color="auto" w:sz="4" w:space="0"/>
              <w:bottom w:val="single" w:color="auto" w:sz="4" w:space="0"/>
              <w:right w:val="nil"/>
            </w:tcBorders>
            <w:vAlign w:val="center"/>
          </w:tcPr>
          <w:p w14:paraId="57E04815">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b/>
                <w:bCs/>
                <w:snapToGrid w:val="0"/>
                <w:color w:val="auto"/>
                <w:sz w:val="21"/>
                <w:szCs w:val="21"/>
                <w:highlight w:val="none"/>
              </w:rPr>
            </w:pPr>
            <w:r>
              <w:rPr>
                <w:rFonts w:ascii="Times New Roman" w:hAnsi="Times New Roman" w:cs="Times New Roman"/>
                <w:b/>
                <w:bCs/>
                <w:snapToGrid w:val="0"/>
                <w:color w:val="auto"/>
                <w:sz w:val="21"/>
                <w:szCs w:val="21"/>
                <w:highlight w:val="none"/>
              </w:rPr>
              <w:t>环境敏感目标</w:t>
            </w:r>
          </w:p>
        </w:tc>
      </w:tr>
      <w:tr w14:paraId="522F8536">
        <w:tblPrEx>
          <w:tblCellMar>
            <w:top w:w="0" w:type="dxa"/>
            <w:left w:w="0" w:type="dxa"/>
            <w:bottom w:w="0" w:type="dxa"/>
            <w:right w:w="0" w:type="dxa"/>
          </w:tblCellMar>
        </w:tblPrEx>
        <w:trPr>
          <w:trHeight w:val="340" w:hRule="atLeast"/>
          <w:jc w:val="center"/>
        </w:trPr>
        <w:tc>
          <w:tcPr>
            <w:tcW w:w="851" w:type="dxa"/>
            <w:tcBorders>
              <w:top w:val="single" w:color="auto" w:sz="4" w:space="0"/>
              <w:left w:val="nil"/>
              <w:bottom w:val="single" w:color="auto" w:sz="4" w:space="0"/>
              <w:right w:val="nil"/>
            </w:tcBorders>
            <w:shd w:val="clear" w:color="auto" w:fill="D7D7D7" w:themeFill="background1" w:themeFillShade="D8"/>
            <w:vAlign w:val="center"/>
          </w:tcPr>
          <w:p w14:paraId="318F8EA5">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snapToGrid w:val="0"/>
                <w:color w:val="auto"/>
                <w:sz w:val="21"/>
                <w:szCs w:val="21"/>
                <w:highlight w:val="none"/>
              </w:rPr>
            </w:pPr>
            <w:r>
              <w:rPr>
                <w:rFonts w:ascii="Times New Roman" w:hAnsi="Times New Roman" w:cs="Times New Roman"/>
                <w:snapToGrid w:val="0"/>
                <w:color w:val="auto"/>
                <w:sz w:val="21"/>
                <w:szCs w:val="21"/>
                <w:highlight w:val="none"/>
                <w:lang w:eastAsia="en-US"/>
              </w:rPr>
              <w:t>S1</w:t>
            </w:r>
          </w:p>
        </w:tc>
        <w:tc>
          <w:tcPr>
            <w:tcW w:w="8220" w:type="dxa"/>
            <w:tcBorders>
              <w:top w:val="single" w:color="auto" w:sz="4" w:space="0"/>
              <w:left w:val="single" w:color="auto" w:sz="4" w:space="0"/>
              <w:bottom w:val="single" w:color="auto" w:sz="4" w:space="0"/>
              <w:right w:val="nil"/>
            </w:tcBorders>
            <w:shd w:val="clear" w:color="auto" w:fill="D7D7D7" w:themeFill="background1" w:themeFillShade="D8"/>
            <w:vAlign w:val="center"/>
          </w:tcPr>
          <w:p w14:paraId="74C01817">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snapToGrid w:val="0"/>
                <w:color w:val="auto"/>
                <w:sz w:val="21"/>
                <w:szCs w:val="21"/>
                <w:highlight w:val="none"/>
              </w:rPr>
            </w:pPr>
            <w:r>
              <w:rPr>
                <w:rFonts w:ascii="Times New Roman" w:hAnsi="Times New Roman" w:cs="Times New Roman"/>
                <w:snapToGrid w:val="0"/>
                <w:color w:val="auto"/>
                <w:sz w:val="21"/>
                <w:szCs w:val="21"/>
                <w:highlight w:val="none"/>
              </w:rPr>
              <w:t>发生事故时，危险物质泄漏到内陆水体的排放点下游（顺水流向）10km范围内、近岸海域一个潮周期水质点可能达到的最大水平距离的两倍范围内，有如下一类或多类环境风险受体：集中式地表水饮用水水源保护区（包括一级保护区、二级保护区及准保护区）；农村及分散式饮用水水源保护区；自然保护区；重要湿地；珍稀濒危野生动植物天然集中分布区；重要水生生物的自然产卵场及索饵场、越冬场和洄游通道；世界文化和自然遗产地；红树林、珊瑚礁等滨海湿地生态系统；珍稀、濒危海洋生物的天然集中分布区；海洋特别保护区；海上自然保护区；盐场保护区；海水浴场；海洋自然历史遗迹：风景名胜区；或其他特殊重要保区域</w:t>
            </w:r>
          </w:p>
        </w:tc>
      </w:tr>
      <w:tr w14:paraId="31CA4557">
        <w:tblPrEx>
          <w:tblCellMar>
            <w:top w:w="0" w:type="dxa"/>
            <w:left w:w="0" w:type="dxa"/>
            <w:bottom w:w="0" w:type="dxa"/>
            <w:right w:w="0" w:type="dxa"/>
          </w:tblCellMar>
        </w:tblPrEx>
        <w:trPr>
          <w:trHeight w:val="340" w:hRule="atLeast"/>
          <w:jc w:val="center"/>
        </w:trPr>
        <w:tc>
          <w:tcPr>
            <w:tcW w:w="851" w:type="dxa"/>
            <w:tcBorders>
              <w:top w:val="single" w:color="auto" w:sz="4" w:space="0"/>
              <w:left w:val="nil"/>
              <w:bottom w:val="single" w:color="auto" w:sz="4" w:space="0"/>
              <w:right w:val="nil"/>
            </w:tcBorders>
            <w:vAlign w:val="center"/>
          </w:tcPr>
          <w:p w14:paraId="4215589A">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snapToGrid w:val="0"/>
                <w:color w:val="auto"/>
                <w:sz w:val="21"/>
                <w:szCs w:val="21"/>
                <w:highlight w:val="none"/>
              </w:rPr>
            </w:pPr>
            <w:r>
              <w:rPr>
                <w:rFonts w:ascii="Times New Roman" w:hAnsi="Times New Roman" w:cs="Times New Roman"/>
                <w:snapToGrid w:val="0"/>
                <w:color w:val="auto"/>
                <w:sz w:val="21"/>
                <w:szCs w:val="21"/>
                <w:highlight w:val="none"/>
                <w:lang w:eastAsia="en-US"/>
              </w:rPr>
              <w:t>S2</w:t>
            </w:r>
          </w:p>
        </w:tc>
        <w:tc>
          <w:tcPr>
            <w:tcW w:w="8220" w:type="dxa"/>
            <w:tcBorders>
              <w:top w:val="single" w:color="auto" w:sz="4" w:space="0"/>
              <w:left w:val="single" w:color="auto" w:sz="4" w:space="0"/>
              <w:bottom w:val="single" w:color="auto" w:sz="4" w:space="0"/>
              <w:right w:val="nil"/>
            </w:tcBorders>
            <w:vAlign w:val="center"/>
          </w:tcPr>
          <w:p w14:paraId="0985DA91">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snapToGrid w:val="0"/>
                <w:color w:val="auto"/>
                <w:sz w:val="21"/>
                <w:szCs w:val="21"/>
                <w:highlight w:val="none"/>
              </w:rPr>
            </w:pPr>
            <w:r>
              <w:rPr>
                <w:rFonts w:ascii="Times New Roman" w:hAnsi="Times New Roman" w:cs="Times New Roman"/>
                <w:snapToGrid w:val="0"/>
                <w:color w:val="auto"/>
                <w:sz w:val="21"/>
                <w:szCs w:val="21"/>
                <w:highlight w:val="none"/>
              </w:rPr>
              <w:t>发生事故时，危险物质泄漏到内陆水体的排放点下游（顺水流向）10km范围内、近岸海域一个潮周期水质点可能达到的最大水平距离的两倍范围内，有如下一类或多类环境风险受体的：水产养殖区；天然渔场；森林公园：地质公园；海滨风景游览具有重要经济价值的海洋生物生存区域</w:t>
            </w:r>
          </w:p>
        </w:tc>
      </w:tr>
      <w:tr w14:paraId="1B143020">
        <w:tblPrEx>
          <w:tblCellMar>
            <w:top w:w="0" w:type="dxa"/>
            <w:left w:w="0" w:type="dxa"/>
            <w:bottom w:w="0" w:type="dxa"/>
            <w:right w:w="0" w:type="dxa"/>
          </w:tblCellMar>
        </w:tblPrEx>
        <w:trPr>
          <w:trHeight w:val="340" w:hRule="atLeast"/>
          <w:jc w:val="center"/>
        </w:trPr>
        <w:tc>
          <w:tcPr>
            <w:tcW w:w="851" w:type="dxa"/>
            <w:tcBorders>
              <w:top w:val="single" w:color="auto" w:sz="4" w:space="0"/>
              <w:left w:val="nil"/>
              <w:bottom w:val="single" w:color="auto" w:sz="12" w:space="0"/>
              <w:right w:val="nil"/>
            </w:tcBorders>
            <w:shd w:val="clear" w:color="auto" w:fill="auto"/>
            <w:vAlign w:val="center"/>
          </w:tcPr>
          <w:p w14:paraId="196ED11B">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snapToGrid w:val="0"/>
                <w:color w:val="auto"/>
                <w:sz w:val="21"/>
                <w:szCs w:val="21"/>
                <w:highlight w:val="none"/>
                <w:lang w:eastAsia="en-US"/>
              </w:rPr>
            </w:pPr>
            <w:r>
              <w:rPr>
                <w:rFonts w:ascii="Times New Roman" w:hAnsi="Times New Roman" w:cs="Times New Roman"/>
                <w:snapToGrid w:val="0"/>
                <w:color w:val="auto"/>
                <w:sz w:val="21"/>
                <w:szCs w:val="21"/>
                <w:highlight w:val="none"/>
                <w:lang w:eastAsia="en-US"/>
              </w:rPr>
              <w:t>S3</w:t>
            </w:r>
          </w:p>
        </w:tc>
        <w:tc>
          <w:tcPr>
            <w:tcW w:w="8220" w:type="dxa"/>
            <w:tcBorders>
              <w:top w:val="single" w:color="auto" w:sz="4" w:space="0"/>
              <w:left w:val="single" w:color="auto" w:sz="4" w:space="0"/>
              <w:bottom w:val="single" w:color="auto" w:sz="12" w:space="0"/>
              <w:right w:val="nil"/>
            </w:tcBorders>
            <w:shd w:val="clear" w:color="auto" w:fill="auto"/>
            <w:vAlign w:val="center"/>
          </w:tcPr>
          <w:p w14:paraId="33286E1F">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snapToGrid w:val="0"/>
                <w:color w:val="auto"/>
                <w:sz w:val="21"/>
                <w:szCs w:val="21"/>
                <w:highlight w:val="none"/>
              </w:rPr>
            </w:pPr>
            <w:r>
              <w:rPr>
                <w:rFonts w:ascii="Times New Roman" w:hAnsi="Times New Roman" w:cs="Times New Roman"/>
                <w:snapToGrid w:val="0"/>
                <w:color w:val="auto"/>
                <w:sz w:val="21"/>
                <w:szCs w:val="21"/>
                <w:highlight w:val="none"/>
              </w:rPr>
              <w:t>排放点下游（顺水流向）10km范围、近岸海域一个潮周期水质点可能达到的最大水平距离的两倍范围内无上述类型1和类型2包括的敏感保护目标</w:t>
            </w:r>
          </w:p>
        </w:tc>
      </w:tr>
    </w:tbl>
    <w:p w14:paraId="25A1A891">
      <w:pPr>
        <w:spacing w:line="360" w:lineRule="auto"/>
        <w:ind w:left="-105" w:right="-105" w:firstLine="480" w:firstLineChars="200"/>
        <w:rPr>
          <w:rFonts w:ascii="Times New Roman" w:hAnsi="Times New Roman" w:cs="Times New Roman"/>
          <w:color w:val="auto"/>
          <w:highlight w:val="none"/>
        </w:rPr>
      </w:pPr>
      <w:r>
        <w:rPr>
          <w:rFonts w:ascii="Times New Roman" w:hAnsi="Times New Roman" w:cs="Times New Roman"/>
          <w:color w:val="auto"/>
          <w:highlight w:val="none"/>
        </w:rPr>
        <w:t>本项目事故废水排入</w:t>
      </w:r>
      <w:r>
        <w:rPr>
          <w:rFonts w:hint="eastAsia" w:ascii="Times New Roman" w:hAnsi="Times New Roman" w:cs="Times New Roman"/>
          <w:color w:val="auto"/>
          <w:highlight w:val="none"/>
        </w:rPr>
        <w:t>北兴塘河</w:t>
      </w:r>
      <w:r>
        <w:rPr>
          <w:rFonts w:ascii="Times New Roman" w:hAnsi="Times New Roman" w:cs="Times New Roman"/>
          <w:color w:val="auto"/>
          <w:highlight w:val="none"/>
        </w:rPr>
        <w:t>，根据调查结果，排放口下游10km范围内</w:t>
      </w:r>
      <w:r>
        <w:rPr>
          <w:rFonts w:hint="eastAsia" w:ascii="Times New Roman" w:hAnsi="Times New Roman" w:cs="Times New Roman"/>
          <w:color w:val="auto"/>
          <w:highlight w:val="none"/>
        </w:rPr>
        <w:t>涉及北兴塘湿地保护区等</w:t>
      </w:r>
      <w:r>
        <w:rPr>
          <w:rFonts w:ascii="Times New Roman" w:hAnsi="Times New Roman" w:cs="Times New Roman"/>
          <w:color w:val="auto"/>
          <w:highlight w:val="none"/>
        </w:rPr>
        <w:t>，故本项目地表水环境敏感目标为S1。</w:t>
      </w:r>
    </w:p>
    <w:p w14:paraId="74B6D14B">
      <w:pPr>
        <w:pStyle w:val="15"/>
        <w:ind w:left="-105" w:right="-105" w:firstLine="482"/>
        <w:rPr>
          <w:rFonts w:eastAsia="宋体"/>
          <w:b w:val="0"/>
          <w:color w:val="auto"/>
          <w:sz w:val="24"/>
          <w:szCs w:val="24"/>
          <w:highlight w:val="none"/>
        </w:rPr>
      </w:pPr>
      <w:r>
        <w:rPr>
          <w:rFonts w:eastAsia="宋体"/>
          <w:color w:val="auto"/>
          <w:sz w:val="24"/>
          <w:szCs w:val="18"/>
          <w:highlight w:val="none"/>
        </w:rPr>
        <w:t xml:space="preserve">表 </w:t>
      </w:r>
      <w:r>
        <w:rPr>
          <w:rFonts w:eastAsia="宋体"/>
          <w:color w:val="auto"/>
          <w:sz w:val="24"/>
          <w:szCs w:val="18"/>
          <w:highlight w:val="none"/>
        </w:rPr>
        <w:fldChar w:fldCharType="begin"/>
      </w:r>
      <w:r>
        <w:rPr>
          <w:rFonts w:eastAsia="宋体"/>
          <w:color w:val="auto"/>
          <w:sz w:val="24"/>
          <w:szCs w:val="18"/>
          <w:highlight w:val="none"/>
        </w:rPr>
        <w:instrText xml:space="preserve"> STYLEREF 2 \s </w:instrText>
      </w:r>
      <w:r>
        <w:rPr>
          <w:rFonts w:eastAsia="宋体"/>
          <w:color w:val="auto"/>
          <w:sz w:val="24"/>
          <w:szCs w:val="18"/>
          <w:highlight w:val="none"/>
        </w:rPr>
        <w:fldChar w:fldCharType="separate"/>
      </w:r>
      <w:r>
        <w:rPr>
          <w:rFonts w:eastAsia="宋体"/>
          <w:color w:val="auto"/>
          <w:sz w:val="24"/>
          <w:szCs w:val="18"/>
          <w:highlight w:val="none"/>
        </w:rPr>
        <w:t>2.4</w:t>
      </w:r>
      <w:r>
        <w:rPr>
          <w:rFonts w:eastAsia="宋体"/>
          <w:color w:val="auto"/>
          <w:sz w:val="24"/>
          <w:szCs w:val="18"/>
          <w:highlight w:val="none"/>
        </w:rPr>
        <w:fldChar w:fldCharType="end"/>
      </w:r>
      <w:r>
        <w:rPr>
          <w:rFonts w:eastAsia="宋体"/>
          <w:color w:val="auto"/>
          <w:sz w:val="24"/>
          <w:szCs w:val="18"/>
          <w:highlight w:val="none"/>
        </w:rPr>
        <w:noBreakHyphen/>
      </w:r>
      <w:r>
        <w:rPr>
          <w:rFonts w:eastAsia="宋体"/>
          <w:color w:val="auto"/>
          <w:sz w:val="24"/>
          <w:szCs w:val="18"/>
          <w:highlight w:val="none"/>
        </w:rPr>
        <w:fldChar w:fldCharType="begin"/>
      </w:r>
      <w:r>
        <w:rPr>
          <w:rFonts w:eastAsia="宋体"/>
          <w:color w:val="auto"/>
          <w:sz w:val="24"/>
          <w:szCs w:val="18"/>
          <w:highlight w:val="none"/>
        </w:rPr>
        <w:instrText xml:space="preserve"> SEQ 表 \* ARABIC \s 2 </w:instrText>
      </w:r>
      <w:r>
        <w:rPr>
          <w:rFonts w:eastAsia="宋体"/>
          <w:color w:val="auto"/>
          <w:sz w:val="24"/>
          <w:szCs w:val="18"/>
          <w:highlight w:val="none"/>
        </w:rPr>
        <w:fldChar w:fldCharType="separate"/>
      </w:r>
      <w:r>
        <w:rPr>
          <w:rFonts w:eastAsia="宋体"/>
          <w:color w:val="auto"/>
          <w:sz w:val="24"/>
          <w:szCs w:val="18"/>
          <w:highlight w:val="none"/>
        </w:rPr>
        <w:t>14</w:t>
      </w:r>
      <w:r>
        <w:rPr>
          <w:rFonts w:eastAsia="宋体"/>
          <w:color w:val="auto"/>
          <w:sz w:val="24"/>
          <w:szCs w:val="18"/>
          <w:highlight w:val="none"/>
        </w:rPr>
        <w:fldChar w:fldCharType="end"/>
      </w:r>
      <w:r>
        <w:rPr>
          <w:rFonts w:eastAsia="宋体"/>
          <w:bCs/>
          <w:color w:val="auto"/>
          <w:sz w:val="24"/>
          <w:szCs w:val="24"/>
          <w:highlight w:val="none"/>
        </w:rPr>
        <w:t>地表水环境敏感程度分级</w:t>
      </w:r>
    </w:p>
    <w:tbl>
      <w:tblPr>
        <w:tblStyle w:val="45"/>
        <w:tblW w:w="5000" w:type="pct"/>
        <w:jc w:val="center"/>
        <w:tblLayout w:type="fixed"/>
        <w:tblCellMar>
          <w:top w:w="0" w:type="dxa"/>
          <w:left w:w="0" w:type="dxa"/>
          <w:bottom w:w="0" w:type="dxa"/>
          <w:right w:w="0" w:type="dxa"/>
        </w:tblCellMar>
      </w:tblPr>
      <w:tblGrid>
        <w:gridCol w:w="2518"/>
        <w:gridCol w:w="1908"/>
        <w:gridCol w:w="2100"/>
        <w:gridCol w:w="1978"/>
      </w:tblGrid>
      <w:tr w14:paraId="5F175568">
        <w:tblPrEx>
          <w:tblCellMar>
            <w:top w:w="0" w:type="dxa"/>
            <w:left w:w="0" w:type="dxa"/>
            <w:bottom w:w="0" w:type="dxa"/>
            <w:right w:w="0" w:type="dxa"/>
          </w:tblCellMar>
        </w:tblPrEx>
        <w:trPr>
          <w:trHeight w:val="340" w:hRule="atLeast"/>
          <w:jc w:val="center"/>
        </w:trPr>
        <w:tc>
          <w:tcPr>
            <w:tcW w:w="2686" w:type="dxa"/>
            <w:vMerge w:val="restart"/>
            <w:tcBorders>
              <w:top w:val="single" w:color="auto" w:sz="12" w:space="0"/>
              <w:left w:val="nil"/>
              <w:bottom w:val="single" w:color="auto" w:sz="4" w:space="0"/>
              <w:right w:val="nil"/>
            </w:tcBorders>
            <w:shd w:val="clear" w:color="auto" w:fill="auto"/>
            <w:vAlign w:val="center"/>
          </w:tcPr>
          <w:p w14:paraId="0E4D3B4F">
            <w:pPr>
              <w:ind w:left="-105" w:right="-105"/>
              <w:jc w:val="center"/>
              <w:rPr>
                <w:rFonts w:ascii="Times New Roman" w:hAnsi="Times New Roman" w:cs="Times New Roman"/>
                <w:b/>
                <w:bCs/>
                <w:snapToGrid w:val="0"/>
                <w:color w:val="auto"/>
                <w:sz w:val="21"/>
                <w:szCs w:val="21"/>
                <w:highlight w:val="none"/>
              </w:rPr>
            </w:pPr>
            <w:r>
              <w:rPr>
                <w:rFonts w:ascii="Times New Roman" w:hAnsi="Times New Roman" w:cs="Times New Roman"/>
                <w:b/>
                <w:bCs/>
                <w:snapToGrid w:val="0"/>
                <w:color w:val="auto"/>
                <w:sz w:val="21"/>
                <w:szCs w:val="21"/>
                <w:highlight w:val="none"/>
              </w:rPr>
              <w:t>环境敏感目标</w:t>
            </w:r>
          </w:p>
        </w:tc>
        <w:tc>
          <w:tcPr>
            <w:tcW w:w="6385" w:type="dxa"/>
            <w:gridSpan w:val="3"/>
            <w:tcBorders>
              <w:top w:val="single" w:color="auto" w:sz="12" w:space="0"/>
              <w:left w:val="single" w:color="auto" w:sz="4" w:space="0"/>
              <w:bottom w:val="single" w:color="auto" w:sz="4" w:space="0"/>
              <w:right w:val="nil"/>
            </w:tcBorders>
            <w:shd w:val="clear" w:color="auto" w:fill="auto"/>
            <w:vAlign w:val="center"/>
          </w:tcPr>
          <w:p w14:paraId="2E2FE1CD">
            <w:pPr>
              <w:ind w:left="-105" w:right="-105"/>
              <w:jc w:val="center"/>
              <w:rPr>
                <w:rFonts w:ascii="Times New Roman" w:hAnsi="Times New Roman" w:cs="Times New Roman"/>
                <w:b/>
                <w:bCs/>
                <w:snapToGrid w:val="0"/>
                <w:color w:val="auto"/>
                <w:sz w:val="21"/>
                <w:szCs w:val="21"/>
                <w:highlight w:val="none"/>
              </w:rPr>
            </w:pPr>
            <w:r>
              <w:rPr>
                <w:rFonts w:ascii="Times New Roman" w:hAnsi="Times New Roman" w:cs="Times New Roman"/>
                <w:b/>
                <w:bCs/>
                <w:snapToGrid w:val="0"/>
                <w:color w:val="auto"/>
                <w:sz w:val="21"/>
                <w:szCs w:val="21"/>
                <w:highlight w:val="none"/>
              </w:rPr>
              <w:t>地表水功能敏感性</w:t>
            </w:r>
          </w:p>
        </w:tc>
      </w:tr>
      <w:tr w14:paraId="5863D35D">
        <w:tblPrEx>
          <w:tblCellMar>
            <w:top w:w="0" w:type="dxa"/>
            <w:left w:w="0" w:type="dxa"/>
            <w:bottom w:w="0" w:type="dxa"/>
            <w:right w:w="0" w:type="dxa"/>
          </w:tblCellMar>
        </w:tblPrEx>
        <w:trPr>
          <w:trHeight w:val="289" w:hRule="atLeast"/>
          <w:jc w:val="center"/>
        </w:trPr>
        <w:tc>
          <w:tcPr>
            <w:tcW w:w="2686" w:type="dxa"/>
            <w:vMerge w:val="continue"/>
            <w:tcBorders>
              <w:top w:val="single" w:color="auto" w:sz="12" w:space="0"/>
              <w:left w:val="nil"/>
              <w:bottom w:val="single" w:color="auto" w:sz="4" w:space="0"/>
              <w:right w:val="nil"/>
            </w:tcBorders>
            <w:shd w:val="clear" w:color="auto" w:fill="auto"/>
            <w:vAlign w:val="center"/>
          </w:tcPr>
          <w:p w14:paraId="1D864BB0">
            <w:pPr>
              <w:ind w:left="-105" w:right="-105"/>
              <w:rPr>
                <w:rFonts w:ascii="Times New Roman" w:hAnsi="Times New Roman" w:cs="Times New Roman"/>
                <w:b/>
                <w:bCs/>
                <w:snapToGrid w:val="0"/>
                <w:color w:val="auto"/>
                <w:sz w:val="21"/>
                <w:szCs w:val="21"/>
                <w:highlight w:val="none"/>
              </w:rPr>
            </w:pPr>
          </w:p>
        </w:tc>
        <w:tc>
          <w:tcPr>
            <w:tcW w:w="2035" w:type="dxa"/>
            <w:tcBorders>
              <w:top w:val="single" w:color="auto" w:sz="4" w:space="0"/>
              <w:left w:val="single" w:color="auto" w:sz="4" w:space="0"/>
              <w:bottom w:val="single" w:color="auto" w:sz="4" w:space="0"/>
              <w:right w:val="nil"/>
            </w:tcBorders>
            <w:shd w:val="clear" w:color="auto" w:fill="auto"/>
            <w:vAlign w:val="center"/>
          </w:tcPr>
          <w:p w14:paraId="684ECFCD">
            <w:pPr>
              <w:ind w:left="-105" w:right="-105"/>
              <w:jc w:val="center"/>
              <w:rPr>
                <w:rFonts w:ascii="Times New Roman" w:hAnsi="Times New Roman" w:cs="Times New Roman"/>
                <w:snapToGrid w:val="0"/>
                <w:color w:val="auto"/>
                <w:sz w:val="21"/>
                <w:szCs w:val="21"/>
                <w:highlight w:val="none"/>
              </w:rPr>
            </w:pPr>
            <w:r>
              <w:rPr>
                <w:rFonts w:ascii="Times New Roman" w:hAnsi="Times New Roman" w:cs="Times New Roman"/>
                <w:snapToGrid w:val="0"/>
                <w:color w:val="auto"/>
                <w:sz w:val="21"/>
                <w:szCs w:val="21"/>
                <w:highlight w:val="none"/>
                <w:lang w:eastAsia="en-US"/>
              </w:rPr>
              <w:t>F1</w:t>
            </w:r>
          </w:p>
        </w:tc>
        <w:tc>
          <w:tcPr>
            <w:tcW w:w="2240" w:type="dxa"/>
            <w:tcBorders>
              <w:top w:val="single" w:color="auto" w:sz="4" w:space="0"/>
              <w:left w:val="single" w:color="auto" w:sz="4" w:space="0"/>
              <w:bottom w:val="single" w:color="auto" w:sz="4" w:space="0"/>
              <w:right w:val="nil"/>
            </w:tcBorders>
            <w:shd w:val="clear" w:color="auto" w:fill="auto"/>
            <w:vAlign w:val="center"/>
          </w:tcPr>
          <w:p w14:paraId="203E6785">
            <w:pPr>
              <w:ind w:left="-105" w:right="-105"/>
              <w:jc w:val="center"/>
              <w:rPr>
                <w:rFonts w:ascii="Times New Roman" w:hAnsi="Times New Roman" w:cs="Times New Roman"/>
                <w:snapToGrid w:val="0"/>
                <w:color w:val="auto"/>
                <w:sz w:val="21"/>
                <w:szCs w:val="21"/>
                <w:highlight w:val="none"/>
              </w:rPr>
            </w:pPr>
            <w:r>
              <w:rPr>
                <w:rFonts w:ascii="Times New Roman" w:hAnsi="Times New Roman" w:cs="Times New Roman"/>
                <w:snapToGrid w:val="0"/>
                <w:color w:val="auto"/>
                <w:sz w:val="21"/>
                <w:szCs w:val="21"/>
                <w:highlight w:val="none"/>
                <w:lang w:eastAsia="en-US"/>
              </w:rPr>
              <w:t>F2</w:t>
            </w:r>
          </w:p>
        </w:tc>
        <w:tc>
          <w:tcPr>
            <w:tcW w:w="2110" w:type="dxa"/>
            <w:tcBorders>
              <w:top w:val="single" w:color="auto" w:sz="4" w:space="0"/>
              <w:left w:val="single" w:color="auto" w:sz="4" w:space="0"/>
              <w:bottom w:val="single" w:color="auto" w:sz="4" w:space="0"/>
              <w:right w:val="nil"/>
            </w:tcBorders>
            <w:shd w:val="clear" w:color="auto" w:fill="auto"/>
            <w:vAlign w:val="center"/>
          </w:tcPr>
          <w:p w14:paraId="136604E7">
            <w:pPr>
              <w:ind w:left="-105" w:right="-105"/>
              <w:jc w:val="center"/>
              <w:rPr>
                <w:rFonts w:ascii="Times New Roman" w:hAnsi="Times New Roman" w:cs="Times New Roman"/>
                <w:snapToGrid w:val="0"/>
                <w:color w:val="auto"/>
                <w:sz w:val="21"/>
                <w:szCs w:val="21"/>
                <w:highlight w:val="none"/>
              </w:rPr>
            </w:pPr>
            <w:r>
              <w:rPr>
                <w:rFonts w:ascii="Times New Roman" w:hAnsi="Times New Roman" w:cs="Times New Roman"/>
                <w:snapToGrid w:val="0"/>
                <w:color w:val="auto"/>
                <w:sz w:val="21"/>
                <w:szCs w:val="21"/>
                <w:highlight w:val="none"/>
                <w:lang w:eastAsia="en-US"/>
              </w:rPr>
              <w:t>F3</w:t>
            </w:r>
          </w:p>
        </w:tc>
      </w:tr>
      <w:tr w14:paraId="18D648BA">
        <w:tblPrEx>
          <w:tblCellMar>
            <w:top w:w="0" w:type="dxa"/>
            <w:left w:w="0" w:type="dxa"/>
            <w:bottom w:w="0" w:type="dxa"/>
            <w:right w:w="0" w:type="dxa"/>
          </w:tblCellMar>
        </w:tblPrEx>
        <w:trPr>
          <w:trHeight w:val="340" w:hRule="atLeast"/>
          <w:jc w:val="center"/>
        </w:trPr>
        <w:tc>
          <w:tcPr>
            <w:tcW w:w="2686" w:type="dxa"/>
            <w:tcBorders>
              <w:top w:val="single" w:color="auto" w:sz="4" w:space="0"/>
              <w:left w:val="nil"/>
              <w:bottom w:val="single" w:color="auto" w:sz="4" w:space="0"/>
              <w:right w:val="nil"/>
            </w:tcBorders>
            <w:shd w:val="clear" w:color="auto" w:fill="auto"/>
            <w:vAlign w:val="center"/>
          </w:tcPr>
          <w:p w14:paraId="4C2BD34C">
            <w:pPr>
              <w:ind w:left="-105" w:right="-105"/>
              <w:jc w:val="center"/>
              <w:rPr>
                <w:rFonts w:ascii="Times New Roman" w:hAnsi="Times New Roman" w:cs="Times New Roman"/>
                <w:snapToGrid w:val="0"/>
                <w:color w:val="auto"/>
                <w:sz w:val="21"/>
                <w:szCs w:val="21"/>
                <w:highlight w:val="none"/>
              </w:rPr>
            </w:pPr>
            <w:r>
              <w:rPr>
                <w:rFonts w:ascii="Times New Roman" w:hAnsi="Times New Roman" w:cs="Times New Roman"/>
                <w:snapToGrid w:val="0"/>
                <w:color w:val="auto"/>
                <w:sz w:val="21"/>
                <w:szCs w:val="21"/>
                <w:highlight w:val="none"/>
                <w:lang w:eastAsia="en-US"/>
              </w:rPr>
              <w:t>S1</w:t>
            </w:r>
          </w:p>
        </w:tc>
        <w:tc>
          <w:tcPr>
            <w:tcW w:w="2035" w:type="dxa"/>
            <w:tcBorders>
              <w:top w:val="single" w:color="auto" w:sz="4" w:space="0"/>
              <w:left w:val="single" w:color="auto" w:sz="4" w:space="0"/>
              <w:bottom w:val="single" w:color="auto" w:sz="4" w:space="0"/>
              <w:right w:val="nil"/>
            </w:tcBorders>
            <w:shd w:val="clear" w:color="auto" w:fill="auto"/>
            <w:vAlign w:val="center"/>
          </w:tcPr>
          <w:p w14:paraId="671FA62F">
            <w:pPr>
              <w:ind w:left="-105" w:right="-105"/>
              <w:jc w:val="center"/>
              <w:rPr>
                <w:rFonts w:ascii="Times New Roman" w:hAnsi="Times New Roman" w:cs="Times New Roman"/>
                <w:snapToGrid w:val="0"/>
                <w:color w:val="auto"/>
                <w:sz w:val="21"/>
                <w:szCs w:val="21"/>
                <w:highlight w:val="none"/>
              </w:rPr>
            </w:pPr>
            <w:r>
              <w:rPr>
                <w:rFonts w:ascii="Times New Roman" w:hAnsi="Times New Roman" w:cs="Times New Roman"/>
                <w:snapToGrid w:val="0"/>
                <w:color w:val="auto"/>
                <w:sz w:val="21"/>
                <w:szCs w:val="21"/>
                <w:highlight w:val="none"/>
                <w:lang w:eastAsia="en-US"/>
              </w:rPr>
              <w:t>E1</w:t>
            </w:r>
          </w:p>
        </w:tc>
        <w:tc>
          <w:tcPr>
            <w:tcW w:w="2240" w:type="dxa"/>
            <w:tcBorders>
              <w:top w:val="single" w:color="auto" w:sz="4" w:space="0"/>
              <w:left w:val="single" w:color="auto" w:sz="4" w:space="0"/>
              <w:bottom w:val="single" w:color="auto" w:sz="4" w:space="0"/>
              <w:right w:val="nil"/>
            </w:tcBorders>
            <w:shd w:val="clear" w:color="auto" w:fill="D8D8D8" w:themeFill="background1" w:themeFillShade="D9"/>
            <w:vAlign w:val="center"/>
          </w:tcPr>
          <w:p w14:paraId="07F2D1C0">
            <w:pPr>
              <w:ind w:left="-105" w:right="-105"/>
              <w:jc w:val="center"/>
              <w:rPr>
                <w:rFonts w:ascii="Times New Roman" w:hAnsi="Times New Roman" w:cs="Times New Roman"/>
                <w:snapToGrid w:val="0"/>
                <w:color w:val="auto"/>
                <w:sz w:val="21"/>
                <w:szCs w:val="21"/>
                <w:highlight w:val="none"/>
              </w:rPr>
            </w:pPr>
            <w:r>
              <w:rPr>
                <w:rFonts w:ascii="Times New Roman" w:hAnsi="Times New Roman" w:cs="Times New Roman"/>
                <w:snapToGrid w:val="0"/>
                <w:color w:val="auto"/>
                <w:sz w:val="21"/>
                <w:szCs w:val="21"/>
                <w:highlight w:val="none"/>
                <w:lang w:eastAsia="en-US"/>
              </w:rPr>
              <w:t>E1</w:t>
            </w:r>
          </w:p>
        </w:tc>
        <w:tc>
          <w:tcPr>
            <w:tcW w:w="2110" w:type="dxa"/>
            <w:tcBorders>
              <w:top w:val="single" w:color="auto" w:sz="4" w:space="0"/>
              <w:left w:val="single" w:color="auto" w:sz="4" w:space="0"/>
              <w:bottom w:val="single" w:color="auto" w:sz="4" w:space="0"/>
              <w:right w:val="nil"/>
            </w:tcBorders>
            <w:shd w:val="clear" w:color="auto" w:fill="auto"/>
            <w:vAlign w:val="center"/>
          </w:tcPr>
          <w:p w14:paraId="0E7FA3EB">
            <w:pPr>
              <w:ind w:left="-105" w:right="-105"/>
              <w:jc w:val="center"/>
              <w:rPr>
                <w:rFonts w:ascii="Times New Roman" w:hAnsi="Times New Roman" w:cs="Times New Roman"/>
                <w:snapToGrid w:val="0"/>
                <w:color w:val="auto"/>
                <w:sz w:val="21"/>
                <w:szCs w:val="21"/>
                <w:highlight w:val="none"/>
              </w:rPr>
            </w:pPr>
            <w:r>
              <w:rPr>
                <w:rFonts w:ascii="Times New Roman" w:hAnsi="Times New Roman" w:cs="Times New Roman"/>
                <w:snapToGrid w:val="0"/>
                <w:color w:val="auto"/>
                <w:sz w:val="21"/>
                <w:szCs w:val="21"/>
                <w:highlight w:val="none"/>
                <w:lang w:eastAsia="en-US"/>
              </w:rPr>
              <w:t>E2</w:t>
            </w:r>
          </w:p>
        </w:tc>
      </w:tr>
      <w:tr w14:paraId="090D4128">
        <w:tblPrEx>
          <w:tblCellMar>
            <w:top w:w="0" w:type="dxa"/>
            <w:left w:w="0" w:type="dxa"/>
            <w:bottom w:w="0" w:type="dxa"/>
            <w:right w:w="0" w:type="dxa"/>
          </w:tblCellMar>
        </w:tblPrEx>
        <w:trPr>
          <w:trHeight w:val="340" w:hRule="atLeast"/>
          <w:jc w:val="center"/>
        </w:trPr>
        <w:tc>
          <w:tcPr>
            <w:tcW w:w="2686" w:type="dxa"/>
            <w:tcBorders>
              <w:top w:val="single" w:color="auto" w:sz="4" w:space="0"/>
              <w:left w:val="nil"/>
              <w:bottom w:val="single" w:color="auto" w:sz="4" w:space="0"/>
              <w:right w:val="nil"/>
            </w:tcBorders>
            <w:shd w:val="clear" w:color="auto" w:fill="auto"/>
            <w:vAlign w:val="center"/>
          </w:tcPr>
          <w:p w14:paraId="0B87C95C">
            <w:pPr>
              <w:ind w:left="-105" w:right="-105"/>
              <w:jc w:val="center"/>
              <w:rPr>
                <w:rFonts w:ascii="Times New Roman" w:hAnsi="Times New Roman" w:cs="Times New Roman"/>
                <w:snapToGrid w:val="0"/>
                <w:color w:val="auto"/>
                <w:sz w:val="21"/>
                <w:szCs w:val="21"/>
                <w:highlight w:val="none"/>
              </w:rPr>
            </w:pPr>
            <w:r>
              <w:rPr>
                <w:rFonts w:ascii="Times New Roman" w:hAnsi="Times New Roman" w:cs="Times New Roman"/>
                <w:snapToGrid w:val="0"/>
                <w:color w:val="auto"/>
                <w:sz w:val="21"/>
                <w:szCs w:val="21"/>
                <w:highlight w:val="none"/>
                <w:lang w:eastAsia="en-US"/>
              </w:rPr>
              <w:t>S2</w:t>
            </w:r>
          </w:p>
        </w:tc>
        <w:tc>
          <w:tcPr>
            <w:tcW w:w="2035" w:type="dxa"/>
            <w:tcBorders>
              <w:top w:val="single" w:color="auto" w:sz="4" w:space="0"/>
              <w:left w:val="single" w:color="auto" w:sz="4" w:space="0"/>
              <w:bottom w:val="single" w:color="auto" w:sz="4" w:space="0"/>
              <w:right w:val="nil"/>
            </w:tcBorders>
            <w:shd w:val="clear" w:color="auto" w:fill="auto"/>
            <w:vAlign w:val="center"/>
          </w:tcPr>
          <w:p w14:paraId="65F2E34B">
            <w:pPr>
              <w:ind w:left="-105" w:right="-105"/>
              <w:jc w:val="center"/>
              <w:rPr>
                <w:rFonts w:ascii="Times New Roman" w:hAnsi="Times New Roman" w:cs="Times New Roman"/>
                <w:snapToGrid w:val="0"/>
                <w:color w:val="auto"/>
                <w:sz w:val="21"/>
                <w:szCs w:val="21"/>
                <w:highlight w:val="none"/>
              </w:rPr>
            </w:pPr>
            <w:r>
              <w:rPr>
                <w:rFonts w:ascii="Times New Roman" w:hAnsi="Times New Roman" w:cs="Times New Roman"/>
                <w:snapToGrid w:val="0"/>
                <w:color w:val="auto"/>
                <w:sz w:val="21"/>
                <w:szCs w:val="21"/>
                <w:highlight w:val="none"/>
                <w:lang w:eastAsia="en-US"/>
              </w:rPr>
              <w:t>E1</w:t>
            </w:r>
          </w:p>
        </w:tc>
        <w:tc>
          <w:tcPr>
            <w:tcW w:w="2240" w:type="dxa"/>
            <w:tcBorders>
              <w:top w:val="single" w:color="auto" w:sz="4" w:space="0"/>
              <w:left w:val="single" w:color="auto" w:sz="4" w:space="0"/>
              <w:bottom w:val="single" w:color="auto" w:sz="4" w:space="0"/>
              <w:right w:val="nil"/>
            </w:tcBorders>
            <w:shd w:val="clear" w:color="auto" w:fill="auto"/>
            <w:vAlign w:val="center"/>
          </w:tcPr>
          <w:p w14:paraId="45AB365E">
            <w:pPr>
              <w:ind w:left="-105" w:right="-105"/>
              <w:jc w:val="center"/>
              <w:rPr>
                <w:rFonts w:ascii="Times New Roman" w:hAnsi="Times New Roman" w:cs="Times New Roman"/>
                <w:snapToGrid w:val="0"/>
                <w:color w:val="auto"/>
                <w:sz w:val="21"/>
                <w:szCs w:val="21"/>
                <w:highlight w:val="none"/>
              </w:rPr>
            </w:pPr>
            <w:r>
              <w:rPr>
                <w:rFonts w:ascii="Times New Roman" w:hAnsi="Times New Roman" w:cs="Times New Roman"/>
                <w:snapToGrid w:val="0"/>
                <w:color w:val="auto"/>
                <w:sz w:val="21"/>
                <w:szCs w:val="21"/>
                <w:highlight w:val="none"/>
                <w:lang w:eastAsia="en-US"/>
              </w:rPr>
              <w:t>E2</w:t>
            </w:r>
          </w:p>
        </w:tc>
        <w:tc>
          <w:tcPr>
            <w:tcW w:w="2110" w:type="dxa"/>
            <w:tcBorders>
              <w:top w:val="single" w:color="auto" w:sz="4" w:space="0"/>
              <w:left w:val="single" w:color="auto" w:sz="4" w:space="0"/>
              <w:bottom w:val="single" w:color="auto" w:sz="4" w:space="0"/>
              <w:right w:val="nil"/>
            </w:tcBorders>
            <w:shd w:val="clear" w:color="auto" w:fill="auto"/>
            <w:vAlign w:val="center"/>
          </w:tcPr>
          <w:p w14:paraId="7F8A9491">
            <w:pPr>
              <w:ind w:left="-105" w:right="-105"/>
              <w:jc w:val="center"/>
              <w:rPr>
                <w:rFonts w:ascii="Times New Roman" w:hAnsi="Times New Roman" w:cs="Times New Roman"/>
                <w:snapToGrid w:val="0"/>
                <w:color w:val="auto"/>
                <w:sz w:val="21"/>
                <w:szCs w:val="21"/>
                <w:highlight w:val="none"/>
              </w:rPr>
            </w:pPr>
            <w:r>
              <w:rPr>
                <w:rFonts w:ascii="Times New Roman" w:hAnsi="Times New Roman" w:cs="Times New Roman"/>
                <w:snapToGrid w:val="0"/>
                <w:color w:val="auto"/>
                <w:sz w:val="21"/>
                <w:szCs w:val="21"/>
                <w:highlight w:val="none"/>
                <w:lang w:eastAsia="en-US"/>
              </w:rPr>
              <w:t>E3</w:t>
            </w:r>
          </w:p>
        </w:tc>
      </w:tr>
      <w:tr w14:paraId="0B41CEFF">
        <w:tblPrEx>
          <w:tblCellMar>
            <w:top w:w="0" w:type="dxa"/>
            <w:left w:w="0" w:type="dxa"/>
            <w:bottom w:w="0" w:type="dxa"/>
            <w:right w:w="0" w:type="dxa"/>
          </w:tblCellMar>
        </w:tblPrEx>
        <w:trPr>
          <w:trHeight w:val="340" w:hRule="atLeast"/>
          <w:jc w:val="center"/>
        </w:trPr>
        <w:tc>
          <w:tcPr>
            <w:tcW w:w="2686" w:type="dxa"/>
            <w:tcBorders>
              <w:top w:val="single" w:color="auto" w:sz="4" w:space="0"/>
              <w:left w:val="nil"/>
              <w:bottom w:val="single" w:color="auto" w:sz="12" w:space="0"/>
              <w:right w:val="nil"/>
            </w:tcBorders>
            <w:shd w:val="clear" w:color="auto" w:fill="auto"/>
            <w:vAlign w:val="center"/>
          </w:tcPr>
          <w:p w14:paraId="79C20226">
            <w:pPr>
              <w:ind w:left="-105" w:right="-105"/>
              <w:jc w:val="center"/>
              <w:rPr>
                <w:rFonts w:ascii="Times New Roman" w:hAnsi="Times New Roman" w:cs="Times New Roman"/>
                <w:snapToGrid w:val="0"/>
                <w:color w:val="auto"/>
                <w:sz w:val="21"/>
                <w:szCs w:val="21"/>
                <w:highlight w:val="none"/>
              </w:rPr>
            </w:pPr>
            <w:r>
              <w:rPr>
                <w:rFonts w:ascii="Times New Roman" w:hAnsi="Times New Roman" w:cs="Times New Roman"/>
                <w:snapToGrid w:val="0"/>
                <w:color w:val="auto"/>
                <w:sz w:val="21"/>
                <w:szCs w:val="21"/>
                <w:highlight w:val="none"/>
                <w:lang w:eastAsia="en-US"/>
              </w:rPr>
              <w:t>S3</w:t>
            </w:r>
          </w:p>
        </w:tc>
        <w:tc>
          <w:tcPr>
            <w:tcW w:w="2035" w:type="dxa"/>
            <w:tcBorders>
              <w:top w:val="single" w:color="auto" w:sz="4" w:space="0"/>
              <w:left w:val="single" w:color="auto" w:sz="4" w:space="0"/>
              <w:bottom w:val="single" w:color="auto" w:sz="12" w:space="0"/>
              <w:right w:val="nil"/>
            </w:tcBorders>
            <w:shd w:val="clear" w:color="auto" w:fill="auto"/>
            <w:vAlign w:val="center"/>
          </w:tcPr>
          <w:p w14:paraId="5D7661AD">
            <w:pPr>
              <w:ind w:left="-105" w:right="-105"/>
              <w:jc w:val="center"/>
              <w:rPr>
                <w:rFonts w:ascii="Times New Roman" w:hAnsi="Times New Roman" w:cs="Times New Roman"/>
                <w:snapToGrid w:val="0"/>
                <w:color w:val="auto"/>
                <w:sz w:val="21"/>
                <w:szCs w:val="21"/>
                <w:highlight w:val="none"/>
              </w:rPr>
            </w:pPr>
            <w:r>
              <w:rPr>
                <w:rFonts w:ascii="Times New Roman" w:hAnsi="Times New Roman" w:cs="Times New Roman"/>
                <w:snapToGrid w:val="0"/>
                <w:color w:val="auto"/>
                <w:sz w:val="21"/>
                <w:szCs w:val="21"/>
                <w:highlight w:val="none"/>
                <w:lang w:eastAsia="en-US"/>
              </w:rPr>
              <w:t>E1</w:t>
            </w:r>
          </w:p>
        </w:tc>
        <w:tc>
          <w:tcPr>
            <w:tcW w:w="2240" w:type="dxa"/>
            <w:tcBorders>
              <w:top w:val="single" w:color="auto" w:sz="4" w:space="0"/>
              <w:left w:val="single" w:color="auto" w:sz="4" w:space="0"/>
              <w:bottom w:val="single" w:color="auto" w:sz="12" w:space="0"/>
              <w:right w:val="nil"/>
            </w:tcBorders>
            <w:shd w:val="clear" w:color="auto" w:fill="auto"/>
            <w:vAlign w:val="center"/>
          </w:tcPr>
          <w:p w14:paraId="1B647E16">
            <w:pPr>
              <w:ind w:left="-105" w:right="-105"/>
              <w:jc w:val="center"/>
              <w:rPr>
                <w:rFonts w:ascii="Times New Roman" w:hAnsi="Times New Roman" w:cs="Times New Roman"/>
                <w:snapToGrid w:val="0"/>
                <w:color w:val="auto"/>
                <w:sz w:val="21"/>
                <w:szCs w:val="21"/>
                <w:highlight w:val="none"/>
              </w:rPr>
            </w:pPr>
            <w:r>
              <w:rPr>
                <w:rFonts w:ascii="Times New Roman" w:hAnsi="Times New Roman" w:cs="Times New Roman"/>
                <w:snapToGrid w:val="0"/>
                <w:color w:val="auto"/>
                <w:sz w:val="21"/>
                <w:szCs w:val="21"/>
                <w:highlight w:val="none"/>
                <w:lang w:eastAsia="en-US"/>
              </w:rPr>
              <w:t>E2</w:t>
            </w:r>
          </w:p>
        </w:tc>
        <w:tc>
          <w:tcPr>
            <w:tcW w:w="2110" w:type="dxa"/>
            <w:tcBorders>
              <w:top w:val="single" w:color="auto" w:sz="4" w:space="0"/>
              <w:left w:val="single" w:color="auto" w:sz="4" w:space="0"/>
              <w:bottom w:val="single" w:color="auto" w:sz="12" w:space="0"/>
              <w:right w:val="nil"/>
            </w:tcBorders>
            <w:shd w:val="clear" w:color="auto" w:fill="auto"/>
            <w:vAlign w:val="center"/>
          </w:tcPr>
          <w:p w14:paraId="0F1805BA">
            <w:pPr>
              <w:ind w:left="-105" w:right="-105"/>
              <w:jc w:val="center"/>
              <w:rPr>
                <w:rFonts w:ascii="Times New Roman" w:hAnsi="Times New Roman" w:cs="Times New Roman"/>
                <w:snapToGrid w:val="0"/>
                <w:color w:val="auto"/>
                <w:sz w:val="21"/>
                <w:szCs w:val="21"/>
                <w:highlight w:val="none"/>
              </w:rPr>
            </w:pPr>
            <w:r>
              <w:rPr>
                <w:rFonts w:ascii="Times New Roman" w:hAnsi="Times New Roman" w:cs="Times New Roman"/>
                <w:snapToGrid w:val="0"/>
                <w:color w:val="auto"/>
                <w:sz w:val="21"/>
                <w:szCs w:val="21"/>
                <w:highlight w:val="none"/>
                <w:lang w:eastAsia="en-US"/>
              </w:rPr>
              <w:t>E3</w:t>
            </w:r>
          </w:p>
        </w:tc>
      </w:tr>
    </w:tbl>
    <w:p w14:paraId="59881235">
      <w:pPr>
        <w:pStyle w:val="20"/>
        <w:adjustRightInd w:val="0"/>
        <w:snapToGrid w:val="0"/>
        <w:spacing w:line="360" w:lineRule="auto"/>
        <w:ind w:left="-105" w:right="-105" w:firstLine="480" w:firstLineChars="200"/>
        <w:rPr>
          <w:rFonts w:ascii="Times New Roman" w:hAnsi="Times New Roman" w:cs="Times New Roman"/>
          <w:color w:val="auto"/>
          <w:sz w:val="22"/>
          <w:szCs w:val="22"/>
          <w:highlight w:val="none"/>
        </w:rPr>
      </w:pPr>
      <w:r>
        <w:rPr>
          <w:rFonts w:ascii="Times New Roman" w:hAnsi="Times New Roman" w:cs="Times New Roman"/>
          <w:color w:val="auto"/>
          <w:sz w:val="24"/>
          <w:szCs w:val="24"/>
          <w:highlight w:val="none"/>
        </w:rPr>
        <w:t>根据上表判断，本项目地表水环境敏感程度为E1，环境</w:t>
      </w:r>
      <w:r>
        <w:rPr>
          <w:rFonts w:hint="eastAsia" w:ascii="Times New Roman" w:hAnsi="Times New Roman" w:cs="Times New Roman"/>
          <w:color w:val="auto"/>
          <w:sz w:val="24"/>
          <w:szCs w:val="24"/>
          <w:highlight w:val="none"/>
        </w:rPr>
        <w:t>高</w:t>
      </w:r>
      <w:r>
        <w:rPr>
          <w:rFonts w:ascii="Times New Roman" w:hAnsi="Times New Roman" w:cs="Times New Roman"/>
          <w:color w:val="auto"/>
          <w:sz w:val="24"/>
          <w:szCs w:val="24"/>
          <w:highlight w:val="none"/>
        </w:rPr>
        <w:t>度敏感区。</w:t>
      </w:r>
    </w:p>
    <w:p w14:paraId="77F6238B">
      <w:pPr>
        <w:autoSpaceDE w:val="0"/>
        <w:autoSpaceDN w:val="0"/>
        <w:adjustRightInd w:val="0"/>
        <w:snapToGrid w:val="0"/>
        <w:spacing w:line="360" w:lineRule="auto"/>
        <w:ind w:left="-105" w:right="-105" w:firstLine="480" w:firstLineChars="200"/>
        <w:rPr>
          <w:rFonts w:ascii="Times New Roman" w:hAnsi="Times New Roman" w:cs="Times New Roman"/>
          <w:color w:val="auto"/>
          <w:highlight w:val="none"/>
        </w:rPr>
      </w:pPr>
      <w:r>
        <w:rPr>
          <w:rFonts w:ascii="Times New Roman" w:hAnsi="Times New Roman" w:cs="Times New Roman"/>
          <w:color w:val="auto"/>
          <w:highlight w:val="none"/>
        </w:rPr>
        <w:t>（3）地下水环境</w:t>
      </w:r>
    </w:p>
    <w:p w14:paraId="7513A760">
      <w:pPr>
        <w:autoSpaceDE w:val="0"/>
        <w:autoSpaceDN w:val="0"/>
        <w:adjustRightInd w:val="0"/>
        <w:snapToGrid w:val="0"/>
        <w:spacing w:line="360" w:lineRule="auto"/>
        <w:ind w:left="-105" w:right="-105" w:firstLine="480" w:firstLineChars="200"/>
        <w:rPr>
          <w:rFonts w:ascii="Times New Roman" w:hAnsi="Times New Roman" w:cs="Times New Roman"/>
          <w:color w:val="auto"/>
          <w:highlight w:val="none"/>
        </w:rPr>
      </w:pPr>
      <w:r>
        <w:rPr>
          <w:rFonts w:ascii="Times New Roman" w:hAnsi="Times New Roman" w:cs="Times New Roman"/>
          <w:color w:val="auto"/>
          <w:highlight w:val="none"/>
        </w:rPr>
        <w:t>依据地下水功能敏感性与包气带防污性能，共分为三种类型，E1为环境高度敏感区，E2为环境中度敏感区，E3为环境低度敏感区，分级原则见</w:t>
      </w:r>
      <w:r>
        <w:rPr>
          <w:rFonts w:ascii="Times New Roman" w:hAnsi="Times New Roman" w:cs="Times New Roman"/>
          <w:color w:val="auto"/>
          <w:highlight w:val="none"/>
        </w:rPr>
        <w:fldChar w:fldCharType="begin"/>
      </w:r>
      <w:r>
        <w:rPr>
          <w:rFonts w:ascii="Times New Roman" w:hAnsi="Times New Roman" w:cs="Times New Roman"/>
          <w:color w:val="auto"/>
          <w:highlight w:val="none"/>
        </w:rPr>
        <w:instrText xml:space="preserve"> REF _Ref98330462 \h  \* MERGEFORMAT </w:instrText>
      </w:r>
      <w:r>
        <w:rPr>
          <w:rFonts w:ascii="Times New Roman" w:hAnsi="Times New Roman" w:cs="Times New Roman"/>
          <w:color w:val="auto"/>
          <w:highlight w:val="none"/>
        </w:rPr>
        <w:fldChar w:fldCharType="separate"/>
      </w:r>
      <w:r>
        <w:rPr>
          <w:rFonts w:ascii="Times New Roman" w:hAnsi="Times New Roman" w:cs="Times New Roman"/>
          <w:color w:val="auto"/>
          <w:szCs w:val="18"/>
          <w:highlight w:val="none"/>
        </w:rPr>
        <w:t xml:space="preserve">表 </w:t>
      </w:r>
      <w:r>
        <w:rPr>
          <w:rFonts w:ascii="Times New Roman" w:hAnsi="Times New Roman" w:cs="Times New Roman"/>
          <w:color w:val="auto"/>
          <w:szCs w:val="18"/>
          <w:highlight w:val="none"/>
        </w:rPr>
        <w:fldChar w:fldCharType="begin"/>
      </w:r>
      <w:r>
        <w:rPr>
          <w:rFonts w:ascii="Times New Roman" w:hAnsi="Times New Roman" w:cs="Times New Roman"/>
          <w:color w:val="auto"/>
          <w:szCs w:val="18"/>
          <w:highlight w:val="none"/>
        </w:rPr>
        <w:instrText xml:space="preserve"> STYLEREF</w:instrText>
      </w:r>
      <w:r>
        <w:rPr>
          <w:rFonts w:ascii="Times New Roman" w:hAnsi="Times New Roman" w:cs="Times New Roman"/>
          <w:color w:val="auto"/>
          <w:highlight w:val="none"/>
        </w:rPr>
        <w:instrText xml:space="preserve"> 2 \s </w:instrText>
      </w:r>
      <w:r>
        <w:rPr>
          <w:rFonts w:ascii="Times New Roman" w:hAnsi="Times New Roman" w:cs="Times New Roman"/>
          <w:color w:val="auto"/>
          <w:highlight w:val="none"/>
        </w:rPr>
        <w:fldChar w:fldCharType="separate"/>
      </w:r>
      <w:r>
        <w:rPr>
          <w:rFonts w:ascii="Times New Roman" w:hAnsi="Times New Roman" w:cs="Times New Roman"/>
          <w:color w:val="auto"/>
          <w:highlight w:val="none"/>
        </w:rPr>
        <w:t>2.4</w:t>
      </w:r>
      <w:r>
        <w:rPr>
          <w:rFonts w:ascii="Times New Roman" w:hAnsi="Times New Roman" w:cs="Times New Roman"/>
          <w:color w:val="auto"/>
          <w:highlight w:val="none"/>
        </w:rPr>
        <w:fldChar w:fldCharType="end"/>
      </w:r>
      <w:r>
        <w:rPr>
          <w:rFonts w:ascii="Times New Roman" w:hAnsi="Times New Roman" w:cs="Times New Roman"/>
          <w:color w:val="auto"/>
          <w:highlight w:val="none"/>
        </w:rPr>
        <w:noBreakHyphen/>
      </w:r>
      <w:r>
        <w:rPr>
          <w:rFonts w:ascii="Times New Roman" w:hAnsi="Times New Roman" w:cs="Times New Roman"/>
          <w:color w:val="auto"/>
          <w:highlight w:val="none"/>
        </w:rPr>
        <w:t>15</w:t>
      </w:r>
      <w:r>
        <w:rPr>
          <w:rFonts w:ascii="Times New Roman" w:hAnsi="Times New Roman" w:cs="Times New Roman"/>
          <w:color w:val="auto"/>
          <w:highlight w:val="none"/>
        </w:rPr>
        <w:fldChar w:fldCharType="end"/>
      </w:r>
      <w:r>
        <w:rPr>
          <w:rFonts w:ascii="Times New Roman" w:hAnsi="Times New Roman" w:cs="Times New Roman"/>
          <w:color w:val="auto"/>
          <w:highlight w:val="none"/>
        </w:rPr>
        <w:t>。地下水功能敏感性分区和包气带防污性能分级分别见</w:t>
      </w:r>
      <w:r>
        <w:rPr>
          <w:rFonts w:ascii="Times New Roman" w:hAnsi="Times New Roman" w:cs="Times New Roman"/>
          <w:color w:val="auto"/>
          <w:highlight w:val="none"/>
        </w:rPr>
        <w:fldChar w:fldCharType="begin"/>
      </w:r>
      <w:r>
        <w:rPr>
          <w:rFonts w:ascii="Times New Roman" w:hAnsi="Times New Roman" w:cs="Times New Roman"/>
          <w:color w:val="auto"/>
          <w:highlight w:val="none"/>
        </w:rPr>
        <w:instrText xml:space="preserve"> REF _Ref98330531 \h  \* MERGEFORMAT </w:instrText>
      </w:r>
      <w:r>
        <w:rPr>
          <w:rFonts w:ascii="Times New Roman" w:hAnsi="Times New Roman" w:cs="Times New Roman"/>
          <w:color w:val="auto"/>
          <w:highlight w:val="none"/>
        </w:rPr>
        <w:fldChar w:fldCharType="separate"/>
      </w:r>
      <w:r>
        <w:rPr>
          <w:rFonts w:ascii="Times New Roman" w:hAnsi="Times New Roman" w:cs="Times New Roman"/>
          <w:color w:val="auto"/>
          <w:szCs w:val="18"/>
          <w:highlight w:val="none"/>
        </w:rPr>
        <w:t xml:space="preserve">表 </w:t>
      </w:r>
      <w:r>
        <w:rPr>
          <w:rFonts w:ascii="Times New Roman" w:hAnsi="Times New Roman" w:cs="Times New Roman"/>
          <w:color w:val="auto"/>
          <w:szCs w:val="18"/>
          <w:highlight w:val="none"/>
        </w:rPr>
        <w:fldChar w:fldCharType="begin"/>
      </w:r>
      <w:r>
        <w:rPr>
          <w:rFonts w:ascii="Times New Roman" w:hAnsi="Times New Roman" w:cs="Times New Roman"/>
          <w:color w:val="auto"/>
          <w:szCs w:val="18"/>
          <w:highlight w:val="none"/>
        </w:rPr>
        <w:instrText xml:space="preserve"> STYLEREF</w:instrText>
      </w:r>
      <w:r>
        <w:rPr>
          <w:rFonts w:ascii="Times New Roman" w:hAnsi="Times New Roman" w:cs="Times New Roman"/>
          <w:color w:val="auto"/>
          <w:highlight w:val="none"/>
        </w:rPr>
        <w:instrText xml:space="preserve"> 2 \s </w:instrText>
      </w:r>
      <w:r>
        <w:rPr>
          <w:rFonts w:ascii="Times New Roman" w:hAnsi="Times New Roman" w:cs="Times New Roman"/>
          <w:color w:val="auto"/>
          <w:highlight w:val="none"/>
        </w:rPr>
        <w:fldChar w:fldCharType="separate"/>
      </w:r>
      <w:r>
        <w:rPr>
          <w:rFonts w:ascii="Times New Roman" w:hAnsi="Times New Roman" w:cs="Times New Roman"/>
          <w:color w:val="auto"/>
          <w:highlight w:val="none"/>
        </w:rPr>
        <w:t>2.4</w:t>
      </w:r>
      <w:r>
        <w:rPr>
          <w:rFonts w:ascii="Times New Roman" w:hAnsi="Times New Roman" w:cs="Times New Roman"/>
          <w:color w:val="auto"/>
          <w:highlight w:val="none"/>
        </w:rPr>
        <w:fldChar w:fldCharType="end"/>
      </w:r>
      <w:r>
        <w:rPr>
          <w:rFonts w:ascii="Times New Roman" w:hAnsi="Times New Roman" w:cs="Times New Roman"/>
          <w:color w:val="auto"/>
          <w:highlight w:val="none"/>
        </w:rPr>
        <w:noBreakHyphen/>
      </w:r>
      <w:r>
        <w:rPr>
          <w:rFonts w:ascii="Times New Roman" w:hAnsi="Times New Roman" w:cs="Times New Roman"/>
          <w:color w:val="auto"/>
          <w:highlight w:val="none"/>
        </w:rPr>
        <w:t>16</w:t>
      </w:r>
      <w:r>
        <w:rPr>
          <w:rFonts w:ascii="Times New Roman" w:hAnsi="Times New Roman" w:cs="Times New Roman"/>
          <w:color w:val="auto"/>
          <w:highlight w:val="none"/>
        </w:rPr>
        <w:fldChar w:fldCharType="end"/>
      </w:r>
      <w:r>
        <w:rPr>
          <w:rFonts w:ascii="Times New Roman" w:hAnsi="Times New Roman" w:cs="Times New Roman"/>
          <w:color w:val="auto"/>
          <w:highlight w:val="none"/>
        </w:rPr>
        <w:t>。当同一建设项目涉及两个G分区或D分级及以上时，取相对高值。</w:t>
      </w:r>
    </w:p>
    <w:p w14:paraId="4BC0B028">
      <w:pPr>
        <w:pStyle w:val="15"/>
        <w:ind w:left="-105" w:right="-105" w:firstLine="482"/>
        <w:rPr>
          <w:rFonts w:eastAsia="宋体"/>
          <w:b w:val="0"/>
          <w:bCs/>
          <w:color w:val="auto"/>
          <w:sz w:val="22"/>
          <w:szCs w:val="18"/>
          <w:highlight w:val="none"/>
        </w:rPr>
      </w:pPr>
      <w:bookmarkStart w:id="152" w:name="_Ref98330462"/>
      <w:r>
        <w:rPr>
          <w:rFonts w:eastAsia="宋体"/>
          <w:color w:val="auto"/>
          <w:sz w:val="24"/>
          <w:szCs w:val="18"/>
          <w:highlight w:val="none"/>
        </w:rPr>
        <w:t xml:space="preserve">表 </w:t>
      </w:r>
      <w:r>
        <w:rPr>
          <w:rFonts w:eastAsia="宋体"/>
          <w:color w:val="auto"/>
          <w:sz w:val="24"/>
          <w:szCs w:val="18"/>
          <w:highlight w:val="none"/>
        </w:rPr>
        <w:fldChar w:fldCharType="begin"/>
      </w:r>
      <w:r>
        <w:rPr>
          <w:rFonts w:eastAsia="宋体"/>
          <w:color w:val="auto"/>
          <w:sz w:val="24"/>
          <w:szCs w:val="18"/>
          <w:highlight w:val="none"/>
        </w:rPr>
        <w:instrText xml:space="preserve"> STYLEREF 2 \s </w:instrText>
      </w:r>
      <w:r>
        <w:rPr>
          <w:rFonts w:eastAsia="宋体"/>
          <w:color w:val="auto"/>
          <w:sz w:val="24"/>
          <w:szCs w:val="18"/>
          <w:highlight w:val="none"/>
        </w:rPr>
        <w:fldChar w:fldCharType="separate"/>
      </w:r>
      <w:r>
        <w:rPr>
          <w:rFonts w:eastAsia="宋体"/>
          <w:color w:val="auto"/>
          <w:sz w:val="24"/>
          <w:szCs w:val="18"/>
          <w:highlight w:val="none"/>
        </w:rPr>
        <w:t>2.4</w:t>
      </w:r>
      <w:r>
        <w:rPr>
          <w:rFonts w:eastAsia="宋体"/>
          <w:color w:val="auto"/>
          <w:sz w:val="24"/>
          <w:szCs w:val="18"/>
          <w:highlight w:val="none"/>
        </w:rPr>
        <w:fldChar w:fldCharType="end"/>
      </w:r>
      <w:r>
        <w:rPr>
          <w:rFonts w:eastAsia="宋体"/>
          <w:color w:val="auto"/>
          <w:sz w:val="24"/>
          <w:szCs w:val="18"/>
          <w:highlight w:val="none"/>
        </w:rPr>
        <w:noBreakHyphen/>
      </w:r>
      <w:r>
        <w:rPr>
          <w:rFonts w:eastAsia="宋体"/>
          <w:color w:val="auto"/>
          <w:sz w:val="24"/>
          <w:szCs w:val="18"/>
          <w:highlight w:val="none"/>
        </w:rPr>
        <w:fldChar w:fldCharType="begin"/>
      </w:r>
      <w:r>
        <w:rPr>
          <w:rFonts w:eastAsia="宋体"/>
          <w:color w:val="auto"/>
          <w:sz w:val="24"/>
          <w:szCs w:val="18"/>
          <w:highlight w:val="none"/>
        </w:rPr>
        <w:instrText xml:space="preserve"> SEQ 表 \* ARABIC \s 2 </w:instrText>
      </w:r>
      <w:r>
        <w:rPr>
          <w:rFonts w:eastAsia="宋体"/>
          <w:color w:val="auto"/>
          <w:sz w:val="24"/>
          <w:szCs w:val="18"/>
          <w:highlight w:val="none"/>
        </w:rPr>
        <w:fldChar w:fldCharType="separate"/>
      </w:r>
      <w:r>
        <w:rPr>
          <w:rFonts w:eastAsia="宋体"/>
          <w:color w:val="auto"/>
          <w:sz w:val="24"/>
          <w:szCs w:val="18"/>
          <w:highlight w:val="none"/>
        </w:rPr>
        <w:t>15</w:t>
      </w:r>
      <w:r>
        <w:rPr>
          <w:rFonts w:eastAsia="宋体"/>
          <w:color w:val="auto"/>
          <w:sz w:val="24"/>
          <w:szCs w:val="18"/>
          <w:highlight w:val="none"/>
        </w:rPr>
        <w:fldChar w:fldCharType="end"/>
      </w:r>
      <w:bookmarkEnd w:id="152"/>
      <w:r>
        <w:rPr>
          <w:rFonts w:eastAsia="宋体"/>
          <w:bCs/>
          <w:color w:val="auto"/>
          <w:sz w:val="24"/>
          <w:szCs w:val="24"/>
          <w:highlight w:val="none"/>
        </w:rPr>
        <w:t>地下水功能敏感性分区</w:t>
      </w:r>
    </w:p>
    <w:tbl>
      <w:tblPr>
        <w:tblStyle w:val="45"/>
        <w:tblW w:w="5000" w:type="pct"/>
        <w:jc w:val="center"/>
        <w:tblLayout w:type="fixed"/>
        <w:tblCellMar>
          <w:top w:w="0" w:type="dxa"/>
          <w:left w:w="0" w:type="dxa"/>
          <w:bottom w:w="0" w:type="dxa"/>
          <w:right w:w="0" w:type="dxa"/>
        </w:tblCellMar>
      </w:tblPr>
      <w:tblGrid>
        <w:gridCol w:w="953"/>
        <w:gridCol w:w="7551"/>
      </w:tblGrid>
      <w:tr w14:paraId="031A54B3">
        <w:tblPrEx>
          <w:tblCellMar>
            <w:top w:w="0" w:type="dxa"/>
            <w:left w:w="0" w:type="dxa"/>
            <w:bottom w:w="0" w:type="dxa"/>
            <w:right w:w="0" w:type="dxa"/>
          </w:tblCellMar>
        </w:tblPrEx>
        <w:trPr>
          <w:trHeight w:val="340" w:hRule="atLeast"/>
          <w:jc w:val="center"/>
        </w:trPr>
        <w:tc>
          <w:tcPr>
            <w:tcW w:w="1015" w:type="dxa"/>
            <w:tcBorders>
              <w:top w:val="single" w:color="auto" w:sz="12" w:space="0"/>
              <w:left w:val="nil"/>
              <w:bottom w:val="single" w:color="auto" w:sz="4" w:space="0"/>
              <w:right w:val="single" w:color="auto" w:sz="4" w:space="0"/>
            </w:tcBorders>
            <w:vAlign w:val="center"/>
          </w:tcPr>
          <w:p w14:paraId="14FCF318">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b/>
                <w:bCs/>
                <w:snapToGrid w:val="0"/>
                <w:color w:val="auto"/>
                <w:sz w:val="21"/>
                <w:szCs w:val="21"/>
                <w:highlight w:val="none"/>
                <w:lang w:eastAsia="en-US"/>
              </w:rPr>
            </w:pPr>
            <w:r>
              <w:rPr>
                <w:rFonts w:ascii="Times New Roman" w:hAnsi="Times New Roman" w:cs="Times New Roman"/>
                <w:b/>
                <w:bCs/>
                <w:snapToGrid w:val="0"/>
                <w:color w:val="auto"/>
                <w:sz w:val="21"/>
                <w:szCs w:val="21"/>
                <w:highlight w:val="none"/>
                <w:lang w:eastAsia="en-US"/>
              </w:rPr>
              <w:t>敏感性</w:t>
            </w:r>
          </w:p>
        </w:tc>
        <w:tc>
          <w:tcPr>
            <w:tcW w:w="8056" w:type="dxa"/>
            <w:tcBorders>
              <w:top w:val="single" w:color="auto" w:sz="12" w:space="0"/>
              <w:left w:val="single" w:color="auto" w:sz="4" w:space="0"/>
              <w:bottom w:val="single" w:color="auto" w:sz="4" w:space="0"/>
              <w:right w:val="nil"/>
            </w:tcBorders>
            <w:vAlign w:val="center"/>
          </w:tcPr>
          <w:p w14:paraId="794AAB79">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b/>
                <w:bCs/>
                <w:snapToGrid w:val="0"/>
                <w:color w:val="auto"/>
                <w:sz w:val="21"/>
                <w:szCs w:val="21"/>
                <w:highlight w:val="none"/>
                <w:lang w:eastAsia="en-US"/>
              </w:rPr>
            </w:pPr>
            <w:r>
              <w:rPr>
                <w:rFonts w:ascii="Times New Roman" w:hAnsi="Times New Roman" w:cs="Times New Roman"/>
                <w:b/>
                <w:bCs/>
                <w:snapToGrid w:val="0"/>
                <w:color w:val="auto"/>
                <w:sz w:val="21"/>
                <w:szCs w:val="21"/>
                <w:highlight w:val="none"/>
                <w:lang w:eastAsia="en-US"/>
              </w:rPr>
              <w:t>地</w:t>
            </w:r>
            <w:r>
              <w:rPr>
                <w:rFonts w:ascii="Times New Roman" w:hAnsi="Times New Roman" w:cs="Times New Roman"/>
                <w:b/>
                <w:bCs/>
                <w:snapToGrid w:val="0"/>
                <w:color w:val="auto"/>
                <w:sz w:val="21"/>
                <w:szCs w:val="21"/>
                <w:highlight w:val="none"/>
              </w:rPr>
              <w:t>下</w:t>
            </w:r>
            <w:r>
              <w:rPr>
                <w:rFonts w:ascii="Times New Roman" w:hAnsi="Times New Roman" w:cs="Times New Roman"/>
                <w:b/>
                <w:bCs/>
                <w:snapToGrid w:val="0"/>
                <w:color w:val="auto"/>
                <w:sz w:val="21"/>
                <w:szCs w:val="21"/>
                <w:highlight w:val="none"/>
                <w:lang w:eastAsia="en-US"/>
              </w:rPr>
              <w:t>水环境敏感特征</w:t>
            </w:r>
          </w:p>
        </w:tc>
      </w:tr>
      <w:tr w14:paraId="0CA76508">
        <w:tblPrEx>
          <w:tblCellMar>
            <w:top w:w="0" w:type="dxa"/>
            <w:left w:w="0" w:type="dxa"/>
            <w:bottom w:w="0" w:type="dxa"/>
            <w:right w:w="0" w:type="dxa"/>
          </w:tblCellMar>
        </w:tblPrEx>
        <w:trPr>
          <w:trHeight w:val="340" w:hRule="atLeast"/>
          <w:jc w:val="center"/>
        </w:trPr>
        <w:tc>
          <w:tcPr>
            <w:tcW w:w="1015" w:type="dxa"/>
            <w:tcBorders>
              <w:top w:val="single" w:color="auto" w:sz="4" w:space="0"/>
              <w:left w:val="nil"/>
              <w:bottom w:val="single" w:color="auto" w:sz="4" w:space="0"/>
              <w:right w:val="single" w:color="auto" w:sz="4" w:space="0"/>
            </w:tcBorders>
            <w:vAlign w:val="center"/>
          </w:tcPr>
          <w:p w14:paraId="35F7050B">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snapToGrid w:val="0"/>
                <w:color w:val="auto"/>
                <w:sz w:val="21"/>
                <w:szCs w:val="21"/>
                <w:highlight w:val="none"/>
                <w:lang w:eastAsia="en-US"/>
              </w:rPr>
            </w:pPr>
            <w:r>
              <w:rPr>
                <w:rFonts w:ascii="Times New Roman" w:hAnsi="Times New Roman" w:cs="Times New Roman"/>
                <w:snapToGrid w:val="0"/>
                <w:color w:val="auto"/>
                <w:sz w:val="21"/>
                <w:szCs w:val="21"/>
                <w:highlight w:val="none"/>
                <w:lang w:eastAsia="en-US"/>
              </w:rPr>
              <w:t>敏感G1</w:t>
            </w:r>
          </w:p>
        </w:tc>
        <w:tc>
          <w:tcPr>
            <w:tcW w:w="8056" w:type="dxa"/>
            <w:tcBorders>
              <w:top w:val="single" w:color="auto" w:sz="4" w:space="0"/>
              <w:left w:val="single" w:color="auto" w:sz="4" w:space="0"/>
              <w:bottom w:val="single" w:color="auto" w:sz="4" w:space="0"/>
              <w:right w:val="nil"/>
            </w:tcBorders>
            <w:vAlign w:val="center"/>
          </w:tcPr>
          <w:p w14:paraId="13DC8CE6">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snapToGrid w:val="0"/>
                <w:color w:val="auto"/>
                <w:sz w:val="21"/>
                <w:szCs w:val="21"/>
                <w:highlight w:val="none"/>
              </w:rPr>
            </w:pPr>
            <w:r>
              <w:rPr>
                <w:rFonts w:ascii="Times New Roman" w:hAnsi="Times New Roman" w:cs="Times New Roman"/>
                <w:snapToGrid w:val="0"/>
                <w:color w:val="auto"/>
                <w:sz w:val="21"/>
                <w:szCs w:val="21"/>
                <w:highlight w:val="none"/>
              </w:rPr>
              <w:t>集中式饮用水水源（包括己建成的在用、备用、应急水源，在建和规划的饮用水水源）准保护区：除集中式饮用水水源以外的田家或地方政府设定的与地下水环境相关的其他保护区，如热水、矿泉水、温泉等特殊地卜水资源保护区</w:t>
            </w:r>
          </w:p>
        </w:tc>
      </w:tr>
      <w:tr w14:paraId="731F95BB">
        <w:tblPrEx>
          <w:tblCellMar>
            <w:top w:w="0" w:type="dxa"/>
            <w:left w:w="0" w:type="dxa"/>
            <w:bottom w:w="0" w:type="dxa"/>
            <w:right w:w="0" w:type="dxa"/>
          </w:tblCellMar>
        </w:tblPrEx>
        <w:trPr>
          <w:trHeight w:val="340" w:hRule="atLeast"/>
          <w:jc w:val="center"/>
        </w:trPr>
        <w:tc>
          <w:tcPr>
            <w:tcW w:w="1015" w:type="dxa"/>
            <w:tcBorders>
              <w:top w:val="single" w:color="auto" w:sz="4" w:space="0"/>
              <w:left w:val="nil"/>
              <w:bottom w:val="single" w:color="auto" w:sz="4" w:space="0"/>
              <w:right w:val="single" w:color="auto" w:sz="4" w:space="0"/>
            </w:tcBorders>
            <w:vAlign w:val="center"/>
          </w:tcPr>
          <w:p w14:paraId="467AEE2E">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snapToGrid w:val="0"/>
                <w:color w:val="auto"/>
                <w:sz w:val="21"/>
                <w:szCs w:val="21"/>
                <w:highlight w:val="none"/>
                <w:lang w:eastAsia="en-US"/>
              </w:rPr>
            </w:pPr>
            <w:r>
              <w:rPr>
                <w:rFonts w:ascii="Times New Roman" w:hAnsi="Times New Roman" w:cs="Times New Roman"/>
                <w:snapToGrid w:val="0"/>
                <w:color w:val="auto"/>
                <w:sz w:val="21"/>
                <w:szCs w:val="21"/>
                <w:highlight w:val="none"/>
                <w:lang w:eastAsia="en-US"/>
              </w:rPr>
              <w:t>较敏感G2</w:t>
            </w:r>
          </w:p>
        </w:tc>
        <w:tc>
          <w:tcPr>
            <w:tcW w:w="8056" w:type="dxa"/>
            <w:tcBorders>
              <w:top w:val="single" w:color="auto" w:sz="4" w:space="0"/>
              <w:left w:val="single" w:color="auto" w:sz="4" w:space="0"/>
              <w:bottom w:val="single" w:color="auto" w:sz="4" w:space="0"/>
              <w:right w:val="nil"/>
            </w:tcBorders>
            <w:vAlign w:val="center"/>
          </w:tcPr>
          <w:p w14:paraId="3626A449">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snapToGrid w:val="0"/>
                <w:color w:val="auto"/>
                <w:sz w:val="21"/>
                <w:szCs w:val="21"/>
                <w:highlight w:val="none"/>
              </w:rPr>
            </w:pPr>
            <w:r>
              <w:rPr>
                <w:rFonts w:ascii="Times New Roman" w:hAnsi="Times New Roman" w:cs="Times New Roman"/>
                <w:snapToGrid w:val="0"/>
                <w:color w:val="auto"/>
                <w:sz w:val="21"/>
                <w:szCs w:val="21"/>
                <w:highlight w:val="none"/>
              </w:rPr>
              <w:t>集中式饮用水水源（包括己建成的在用、备用、应急水源，在建和规划的饮用水水源）准保护区以外的补给径流区：未划定准保护区的集中式饮用水水源，其保护区以外的补给径流区：分散式饮用水水源地：特殊地卜水资源（如热水、矿泉水、温泉等）保护区以外的分布区等其他未列入上述敏感分级的环境敏感区</w:t>
            </w:r>
            <w:r>
              <w:rPr>
                <w:rFonts w:ascii="Times New Roman" w:hAnsi="Times New Roman" w:cs="Times New Roman"/>
                <w:snapToGrid w:val="0"/>
                <w:color w:val="auto"/>
                <w:sz w:val="21"/>
                <w:szCs w:val="21"/>
                <w:highlight w:val="none"/>
                <w:vertAlign w:val="superscript"/>
              </w:rPr>
              <w:t>a</w:t>
            </w:r>
          </w:p>
        </w:tc>
      </w:tr>
      <w:tr w14:paraId="4323776E">
        <w:tblPrEx>
          <w:tblCellMar>
            <w:top w:w="0" w:type="dxa"/>
            <w:left w:w="0" w:type="dxa"/>
            <w:bottom w:w="0" w:type="dxa"/>
            <w:right w:w="0" w:type="dxa"/>
          </w:tblCellMar>
        </w:tblPrEx>
        <w:trPr>
          <w:trHeight w:val="340" w:hRule="atLeast"/>
          <w:jc w:val="center"/>
        </w:trPr>
        <w:tc>
          <w:tcPr>
            <w:tcW w:w="1015" w:type="dxa"/>
            <w:tcBorders>
              <w:top w:val="single" w:color="auto" w:sz="4" w:space="0"/>
              <w:left w:val="nil"/>
              <w:bottom w:val="single" w:color="auto" w:sz="4" w:space="0"/>
              <w:right w:val="single" w:color="auto" w:sz="4" w:space="0"/>
            </w:tcBorders>
            <w:shd w:val="clear" w:color="auto" w:fill="D9D9D9"/>
            <w:vAlign w:val="center"/>
          </w:tcPr>
          <w:p w14:paraId="2ECC6B35">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snapToGrid w:val="0"/>
                <w:color w:val="auto"/>
                <w:sz w:val="21"/>
                <w:szCs w:val="21"/>
                <w:highlight w:val="none"/>
                <w:lang w:eastAsia="en-US"/>
              </w:rPr>
            </w:pPr>
            <w:r>
              <w:rPr>
                <w:rFonts w:ascii="Times New Roman" w:hAnsi="Times New Roman" w:cs="Times New Roman"/>
                <w:snapToGrid w:val="0"/>
                <w:color w:val="auto"/>
                <w:sz w:val="21"/>
                <w:szCs w:val="21"/>
                <w:highlight w:val="none"/>
                <w:lang w:eastAsia="en-US"/>
              </w:rPr>
              <w:t>不敏感G3</w:t>
            </w:r>
          </w:p>
        </w:tc>
        <w:tc>
          <w:tcPr>
            <w:tcW w:w="8056" w:type="dxa"/>
            <w:tcBorders>
              <w:top w:val="single" w:color="auto" w:sz="4" w:space="0"/>
              <w:left w:val="single" w:color="auto" w:sz="4" w:space="0"/>
              <w:bottom w:val="single" w:color="auto" w:sz="4" w:space="0"/>
              <w:right w:val="nil"/>
            </w:tcBorders>
            <w:shd w:val="clear" w:color="auto" w:fill="D9D9D9"/>
            <w:vAlign w:val="center"/>
          </w:tcPr>
          <w:p w14:paraId="6101C8A6">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snapToGrid w:val="0"/>
                <w:color w:val="auto"/>
                <w:sz w:val="21"/>
                <w:szCs w:val="21"/>
                <w:highlight w:val="none"/>
              </w:rPr>
            </w:pPr>
            <w:r>
              <w:rPr>
                <w:rFonts w:ascii="Times New Roman" w:hAnsi="Times New Roman" w:cs="Times New Roman"/>
                <w:snapToGrid w:val="0"/>
                <w:color w:val="auto"/>
                <w:sz w:val="21"/>
                <w:szCs w:val="21"/>
                <w:highlight w:val="none"/>
              </w:rPr>
              <w:t>上述地区之外的其他地区</w:t>
            </w:r>
          </w:p>
        </w:tc>
      </w:tr>
      <w:tr w14:paraId="06BFFC86">
        <w:tblPrEx>
          <w:tblCellMar>
            <w:top w:w="0" w:type="dxa"/>
            <w:left w:w="0" w:type="dxa"/>
            <w:bottom w:w="0" w:type="dxa"/>
            <w:right w:w="0" w:type="dxa"/>
          </w:tblCellMar>
        </w:tblPrEx>
        <w:trPr>
          <w:trHeight w:val="340" w:hRule="atLeast"/>
          <w:jc w:val="center"/>
        </w:trPr>
        <w:tc>
          <w:tcPr>
            <w:tcW w:w="9071" w:type="dxa"/>
            <w:gridSpan w:val="2"/>
            <w:tcBorders>
              <w:top w:val="single" w:color="auto" w:sz="4" w:space="0"/>
              <w:left w:val="nil"/>
              <w:bottom w:val="single" w:color="auto" w:sz="12" w:space="0"/>
              <w:right w:val="nil"/>
            </w:tcBorders>
            <w:vAlign w:val="center"/>
          </w:tcPr>
          <w:p w14:paraId="069FBDEF">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snapToGrid w:val="0"/>
                <w:color w:val="auto"/>
                <w:sz w:val="21"/>
                <w:szCs w:val="21"/>
                <w:highlight w:val="none"/>
              </w:rPr>
            </w:pPr>
            <w:r>
              <w:rPr>
                <w:rFonts w:ascii="Times New Roman" w:hAnsi="Times New Roman" w:cs="Times New Roman"/>
                <w:snapToGrid w:val="0"/>
                <w:color w:val="auto"/>
                <w:sz w:val="21"/>
                <w:szCs w:val="21"/>
                <w:highlight w:val="none"/>
              </w:rPr>
              <w:t>a“环境敏感区”是指(建设项目环境影响评价分类管理名录》中所界定的涉及地下水的环境敏感区</w:t>
            </w:r>
          </w:p>
        </w:tc>
      </w:tr>
    </w:tbl>
    <w:p w14:paraId="3A43671D">
      <w:pPr>
        <w:spacing w:line="360" w:lineRule="auto"/>
        <w:ind w:left="-105" w:right="-105" w:firstLine="480" w:firstLineChars="200"/>
        <w:rPr>
          <w:rFonts w:ascii="Times New Roman" w:hAnsi="Times New Roman" w:cs="Times New Roman"/>
          <w:color w:val="auto"/>
          <w:highlight w:val="none"/>
        </w:rPr>
      </w:pPr>
      <w:r>
        <w:rPr>
          <w:rFonts w:ascii="Times New Roman" w:hAnsi="Times New Roman" w:cs="Times New Roman"/>
          <w:color w:val="auto"/>
          <w:highlight w:val="none"/>
        </w:rPr>
        <w:t>项目所在地为锡山区锡北镇工业集聚区工业用地，地下水环境属于不敏感G3。</w:t>
      </w:r>
    </w:p>
    <w:p w14:paraId="1052F309">
      <w:pPr>
        <w:pStyle w:val="15"/>
        <w:spacing w:line="360" w:lineRule="auto"/>
        <w:ind w:left="-105" w:right="-105" w:firstLine="482"/>
        <w:rPr>
          <w:rFonts w:eastAsia="宋体"/>
          <w:bCs/>
          <w:color w:val="auto"/>
          <w:sz w:val="24"/>
          <w:szCs w:val="24"/>
          <w:highlight w:val="none"/>
        </w:rPr>
      </w:pPr>
      <w:bookmarkStart w:id="153" w:name="_Ref98330531"/>
      <w:r>
        <w:rPr>
          <w:rFonts w:eastAsia="宋体"/>
          <w:color w:val="auto"/>
          <w:sz w:val="24"/>
          <w:szCs w:val="18"/>
          <w:highlight w:val="none"/>
        </w:rPr>
        <w:t xml:space="preserve">表 </w:t>
      </w:r>
      <w:r>
        <w:rPr>
          <w:rFonts w:eastAsia="宋体"/>
          <w:color w:val="auto"/>
          <w:sz w:val="24"/>
          <w:szCs w:val="18"/>
          <w:highlight w:val="none"/>
        </w:rPr>
        <w:fldChar w:fldCharType="begin"/>
      </w:r>
      <w:r>
        <w:rPr>
          <w:rFonts w:eastAsia="宋体"/>
          <w:color w:val="auto"/>
          <w:sz w:val="24"/>
          <w:szCs w:val="18"/>
          <w:highlight w:val="none"/>
        </w:rPr>
        <w:instrText xml:space="preserve"> STYLEREF 2 \s </w:instrText>
      </w:r>
      <w:r>
        <w:rPr>
          <w:rFonts w:eastAsia="宋体"/>
          <w:color w:val="auto"/>
          <w:sz w:val="24"/>
          <w:szCs w:val="18"/>
          <w:highlight w:val="none"/>
        </w:rPr>
        <w:fldChar w:fldCharType="separate"/>
      </w:r>
      <w:r>
        <w:rPr>
          <w:rFonts w:eastAsia="宋体"/>
          <w:color w:val="auto"/>
          <w:sz w:val="24"/>
          <w:szCs w:val="18"/>
          <w:highlight w:val="none"/>
        </w:rPr>
        <w:t>2.4</w:t>
      </w:r>
      <w:r>
        <w:rPr>
          <w:rFonts w:eastAsia="宋体"/>
          <w:color w:val="auto"/>
          <w:sz w:val="24"/>
          <w:szCs w:val="18"/>
          <w:highlight w:val="none"/>
        </w:rPr>
        <w:fldChar w:fldCharType="end"/>
      </w:r>
      <w:r>
        <w:rPr>
          <w:rFonts w:eastAsia="宋体"/>
          <w:color w:val="auto"/>
          <w:sz w:val="24"/>
          <w:szCs w:val="18"/>
          <w:highlight w:val="none"/>
        </w:rPr>
        <w:noBreakHyphen/>
      </w:r>
      <w:r>
        <w:rPr>
          <w:rFonts w:eastAsia="宋体"/>
          <w:color w:val="auto"/>
          <w:sz w:val="24"/>
          <w:szCs w:val="18"/>
          <w:highlight w:val="none"/>
        </w:rPr>
        <w:fldChar w:fldCharType="begin"/>
      </w:r>
      <w:r>
        <w:rPr>
          <w:rFonts w:eastAsia="宋体"/>
          <w:color w:val="auto"/>
          <w:sz w:val="24"/>
          <w:szCs w:val="18"/>
          <w:highlight w:val="none"/>
        </w:rPr>
        <w:instrText xml:space="preserve"> SEQ 表 \* ARABIC \s 2 </w:instrText>
      </w:r>
      <w:r>
        <w:rPr>
          <w:rFonts w:eastAsia="宋体"/>
          <w:color w:val="auto"/>
          <w:sz w:val="24"/>
          <w:szCs w:val="18"/>
          <w:highlight w:val="none"/>
        </w:rPr>
        <w:fldChar w:fldCharType="separate"/>
      </w:r>
      <w:r>
        <w:rPr>
          <w:rFonts w:eastAsia="宋体"/>
          <w:color w:val="auto"/>
          <w:sz w:val="24"/>
          <w:szCs w:val="18"/>
          <w:highlight w:val="none"/>
        </w:rPr>
        <w:t>16</w:t>
      </w:r>
      <w:r>
        <w:rPr>
          <w:rFonts w:eastAsia="宋体"/>
          <w:color w:val="auto"/>
          <w:sz w:val="24"/>
          <w:szCs w:val="18"/>
          <w:highlight w:val="none"/>
        </w:rPr>
        <w:fldChar w:fldCharType="end"/>
      </w:r>
      <w:bookmarkEnd w:id="153"/>
      <w:r>
        <w:rPr>
          <w:rFonts w:eastAsia="宋体"/>
          <w:bCs/>
          <w:color w:val="auto"/>
          <w:sz w:val="24"/>
          <w:szCs w:val="24"/>
          <w:highlight w:val="none"/>
        </w:rPr>
        <w:t>包气带防污性能分级</w:t>
      </w:r>
    </w:p>
    <w:tbl>
      <w:tblPr>
        <w:tblStyle w:val="45"/>
        <w:tblW w:w="5000" w:type="pct"/>
        <w:jc w:val="center"/>
        <w:tblLayout w:type="fixed"/>
        <w:tblCellMar>
          <w:top w:w="0" w:type="dxa"/>
          <w:left w:w="0" w:type="dxa"/>
          <w:bottom w:w="0" w:type="dxa"/>
          <w:right w:w="0" w:type="dxa"/>
        </w:tblCellMar>
      </w:tblPr>
      <w:tblGrid>
        <w:gridCol w:w="1120"/>
        <w:gridCol w:w="7384"/>
      </w:tblGrid>
      <w:tr w14:paraId="2D7570D8">
        <w:tblPrEx>
          <w:tblCellMar>
            <w:top w:w="0" w:type="dxa"/>
            <w:left w:w="0" w:type="dxa"/>
            <w:bottom w:w="0" w:type="dxa"/>
            <w:right w:w="0" w:type="dxa"/>
          </w:tblCellMar>
        </w:tblPrEx>
        <w:trPr>
          <w:trHeight w:val="340" w:hRule="atLeast"/>
          <w:jc w:val="center"/>
        </w:trPr>
        <w:tc>
          <w:tcPr>
            <w:tcW w:w="1120" w:type="dxa"/>
            <w:tcBorders>
              <w:top w:val="single" w:color="auto" w:sz="12" w:space="0"/>
              <w:left w:val="nil"/>
              <w:bottom w:val="single" w:color="auto" w:sz="4" w:space="0"/>
              <w:right w:val="single" w:color="auto" w:sz="4" w:space="0"/>
            </w:tcBorders>
            <w:vAlign w:val="center"/>
          </w:tcPr>
          <w:p w14:paraId="291483FA">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snapToGrid w:val="0"/>
                <w:color w:val="auto"/>
                <w:sz w:val="21"/>
                <w:szCs w:val="21"/>
                <w:highlight w:val="none"/>
                <w:lang w:eastAsia="en-US"/>
              </w:rPr>
            </w:pPr>
            <w:r>
              <w:rPr>
                <w:rFonts w:ascii="Times New Roman" w:hAnsi="Times New Roman" w:cs="Times New Roman"/>
                <w:snapToGrid w:val="0"/>
                <w:color w:val="auto"/>
                <w:sz w:val="21"/>
                <w:szCs w:val="21"/>
                <w:highlight w:val="none"/>
                <w:lang w:eastAsia="en-US"/>
              </w:rPr>
              <w:t>分级</w:t>
            </w:r>
          </w:p>
        </w:tc>
        <w:tc>
          <w:tcPr>
            <w:tcW w:w="7384" w:type="dxa"/>
            <w:tcBorders>
              <w:top w:val="single" w:color="auto" w:sz="12" w:space="0"/>
              <w:left w:val="single" w:color="auto" w:sz="4" w:space="0"/>
              <w:bottom w:val="single" w:color="auto" w:sz="4" w:space="0"/>
              <w:right w:val="nil"/>
            </w:tcBorders>
            <w:vAlign w:val="center"/>
          </w:tcPr>
          <w:p w14:paraId="276E654A">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snapToGrid w:val="0"/>
                <w:color w:val="auto"/>
                <w:sz w:val="21"/>
                <w:szCs w:val="21"/>
                <w:highlight w:val="none"/>
              </w:rPr>
            </w:pPr>
            <w:r>
              <w:rPr>
                <w:rFonts w:ascii="Times New Roman" w:hAnsi="Times New Roman" w:cs="Times New Roman"/>
                <w:snapToGrid w:val="0"/>
                <w:color w:val="auto"/>
                <w:sz w:val="21"/>
                <w:szCs w:val="21"/>
                <w:highlight w:val="none"/>
              </w:rPr>
              <w:t>包气带岩土的渗透性能</w:t>
            </w:r>
          </w:p>
        </w:tc>
      </w:tr>
      <w:tr w14:paraId="54BEAEFA">
        <w:tblPrEx>
          <w:tblCellMar>
            <w:top w:w="0" w:type="dxa"/>
            <w:left w:w="0" w:type="dxa"/>
            <w:bottom w:w="0" w:type="dxa"/>
            <w:right w:w="0" w:type="dxa"/>
          </w:tblCellMar>
        </w:tblPrEx>
        <w:trPr>
          <w:trHeight w:val="340" w:hRule="atLeast"/>
          <w:jc w:val="center"/>
        </w:trPr>
        <w:tc>
          <w:tcPr>
            <w:tcW w:w="1120" w:type="dxa"/>
            <w:tcBorders>
              <w:top w:val="single" w:color="auto" w:sz="4" w:space="0"/>
              <w:left w:val="nil"/>
              <w:bottom w:val="single" w:color="auto" w:sz="4" w:space="0"/>
              <w:right w:val="single" w:color="auto" w:sz="4" w:space="0"/>
            </w:tcBorders>
            <w:vAlign w:val="center"/>
          </w:tcPr>
          <w:p w14:paraId="0913EA32">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snapToGrid w:val="0"/>
                <w:color w:val="auto"/>
                <w:sz w:val="21"/>
                <w:szCs w:val="21"/>
                <w:highlight w:val="none"/>
                <w:lang w:eastAsia="en-US"/>
              </w:rPr>
            </w:pPr>
            <w:r>
              <w:rPr>
                <w:rFonts w:ascii="Times New Roman" w:hAnsi="Times New Roman" w:cs="Times New Roman"/>
                <w:snapToGrid w:val="0"/>
                <w:color w:val="auto"/>
                <w:sz w:val="21"/>
                <w:szCs w:val="21"/>
                <w:highlight w:val="none"/>
                <w:lang w:eastAsia="en-US"/>
              </w:rPr>
              <w:t>D3</w:t>
            </w:r>
          </w:p>
        </w:tc>
        <w:tc>
          <w:tcPr>
            <w:tcW w:w="7384" w:type="dxa"/>
            <w:tcBorders>
              <w:top w:val="single" w:color="auto" w:sz="4" w:space="0"/>
              <w:left w:val="single" w:color="auto" w:sz="4" w:space="0"/>
              <w:bottom w:val="single" w:color="auto" w:sz="4" w:space="0"/>
              <w:right w:val="nil"/>
            </w:tcBorders>
            <w:vAlign w:val="center"/>
          </w:tcPr>
          <w:p w14:paraId="542A3B68">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snapToGrid w:val="0"/>
                <w:color w:val="auto"/>
                <w:sz w:val="21"/>
                <w:szCs w:val="21"/>
                <w:highlight w:val="none"/>
              </w:rPr>
            </w:pPr>
            <w:r>
              <w:rPr>
                <w:rFonts w:ascii="Times New Roman" w:hAnsi="Times New Roman" w:cs="Times New Roman"/>
                <w:snapToGrid w:val="0"/>
                <w:color w:val="auto"/>
                <w:sz w:val="21"/>
                <w:szCs w:val="21"/>
                <w:highlight w:val="none"/>
              </w:rPr>
              <w:t>Mb≥1.0m，K≤1.0×10</w:t>
            </w:r>
            <w:r>
              <w:rPr>
                <w:rFonts w:ascii="Times New Roman" w:hAnsi="Times New Roman" w:cs="Times New Roman"/>
                <w:snapToGrid w:val="0"/>
                <w:color w:val="auto"/>
                <w:sz w:val="21"/>
                <w:szCs w:val="21"/>
                <w:highlight w:val="none"/>
                <w:vertAlign w:val="superscript"/>
              </w:rPr>
              <w:t>-6</w:t>
            </w:r>
            <w:r>
              <w:rPr>
                <w:rFonts w:ascii="Times New Roman" w:hAnsi="Times New Roman" w:cs="Times New Roman"/>
                <w:snapToGrid w:val="0"/>
                <w:color w:val="auto"/>
                <w:sz w:val="21"/>
                <w:szCs w:val="21"/>
                <w:highlight w:val="none"/>
              </w:rPr>
              <w:t>cm/s，且分布连续、稳定</w:t>
            </w:r>
          </w:p>
        </w:tc>
      </w:tr>
      <w:tr w14:paraId="783A3DB7">
        <w:tblPrEx>
          <w:tblCellMar>
            <w:top w:w="0" w:type="dxa"/>
            <w:left w:w="0" w:type="dxa"/>
            <w:bottom w:w="0" w:type="dxa"/>
            <w:right w:w="0" w:type="dxa"/>
          </w:tblCellMar>
        </w:tblPrEx>
        <w:trPr>
          <w:trHeight w:val="340" w:hRule="atLeast"/>
          <w:jc w:val="center"/>
        </w:trPr>
        <w:tc>
          <w:tcPr>
            <w:tcW w:w="1120" w:type="dxa"/>
            <w:tcBorders>
              <w:top w:val="single" w:color="auto" w:sz="4" w:space="0"/>
              <w:left w:val="nil"/>
              <w:bottom w:val="single" w:color="auto" w:sz="4" w:space="0"/>
              <w:right w:val="single" w:color="auto" w:sz="4" w:space="0"/>
            </w:tcBorders>
            <w:shd w:val="clear" w:color="auto" w:fill="D9D9D9"/>
            <w:vAlign w:val="center"/>
          </w:tcPr>
          <w:p w14:paraId="0C54605E">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snapToGrid w:val="0"/>
                <w:color w:val="auto"/>
                <w:sz w:val="21"/>
                <w:szCs w:val="21"/>
                <w:highlight w:val="none"/>
                <w:lang w:eastAsia="en-US"/>
              </w:rPr>
            </w:pPr>
            <w:r>
              <w:rPr>
                <w:rFonts w:ascii="Times New Roman" w:hAnsi="Times New Roman" w:cs="Times New Roman"/>
                <w:snapToGrid w:val="0"/>
                <w:color w:val="auto"/>
                <w:sz w:val="21"/>
                <w:szCs w:val="21"/>
                <w:highlight w:val="none"/>
                <w:lang w:eastAsia="en-US"/>
              </w:rPr>
              <w:t>D2</w:t>
            </w:r>
          </w:p>
        </w:tc>
        <w:tc>
          <w:tcPr>
            <w:tcW w:w="7384" w:type="dxa"/>
            <w:tcBorders>
              <w:top w:val="single" w:color="auto" w:sz="4" w:space="0"/>
              <w:left w:val="single" w:color="auto" w:sz="4" w:space="0"/>
              <w:bottom w:val="single" w:color="auto" w:sz="4" w:space="0"/>
              <w:right w:val="nil"/>
            </w:tcBorders>
            <w:shd w:val="clear" w:color="auto" w:fill="D9D9D9"/>
            <w:vAlign w:val="center"/>
          </w:tcPr>
          <w:p w14:paraId="46F41859">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snapToGrid w:val="0"/>
                <w:color w:val="auto"/>
                <w:sz w:val="21"/>
                <w:szCs w:val="21"/>
                <w:highlight w:val="none"/>
              </w:rPr>
            </w:pPr>
            <w:r>
              <w:rPr>
                <w:rFonts w:ascii="Times New Roman" w:hAnsi="Times New Roman" w:cs="Times New Roman"/>
                <w:snapToGrid w:val="0"/>
                <w:color w:val="auto"/>
                <w:sz w:val="21"/>
                <w:szCs w:val="21"/>
                <w:highlight w:val="none"/>
              </w:rPr>
              <w:t>0.5m≤Mb&lt;1.0m，K≤1.0×10</w:t>
            </w:r>
            <w:r>
              <w:rPr>
                <w:rFonts w:ascii="Times New Roman" w:hAnsi="Times New Roman" w:cs="Times New Roman"/>
                <w:snapToGrid w:val="0"/>
                <w:color w:val="auto"/>
                <w:sz w:val="21"/>
                <w:szCs w:val="21"/>
                <w:highlight w:val="none"/>
                <w:vertAlign w:val="superscript"/>
              </w:rPr>
              <w:t>-6</w:t>
            </w:r>
            <w:r>
              <w:rPr>
                <w:rFonts w:ascii="Times New Roman" w:hAnsi="Times New Roman" w:cs="Times New Roman"/>
                <w:snapToGrid w:val="0"/>
                <w:color w:val="auto"/>
                <w:sz w:val="21"/>
                <w:szCs w:val="21"/>
                <w:highlight w:val="none"/>
              </w:rPr>
              <w:t>cm/s，且分布连续、稳定</w:t>
            </w:r>
          </w:p>
          <w:p w14:paraId="14B93168">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snapToGrid w:val="0"/>
                <w:color w:val="auto"/>
                <w:sz w:val="21"/>
                <w:szCs w:val="21"/>
                <w:highlight w:val="none"/>
              </w:rPr>
            </w:pPr>
            <w:r>
              <w:rPr>
                <w:rFonts w:ascii="Times New Roman" w:hAnsi="Times New Roman" w:cs="Times New Roman"/>
                <w:snapToGrid w:val="0"/>
                <w:color w:val="auto"/>
                <w:sz w:val="21"/>
                <w:szCs w:val="21"/>
                <w:highlight w:val="none"/>
              </w:rPr>
              <w:t>Mb≥1.0m，1.0×10</w:t>
            </w:r>
            <w:r>
              <w:rPr>
                <w:rFonts w:ascii="Times New Roman" w:hAnsi="Times New Roman" w:cs="Times New Roman"/>
                <w:snapToGrid w:val="0"/>
                <w:color w:val="auto"/>
                <w:sz w:val="21"/>
                <w:szCs w:val="21"/>
                <w:highlight w:val="none"/>
                <w:vertAlign w:val="superscript"/>
              </w:rPr>
              <w:t>-6</w:t>
            </w:r>
            <w:r>
              <w:rPr>
                <w:rFonts w:ascii="Times New Roman" w:hAnsi="Times New Roman" w:cs="Times New Roman"/>
                <w:snapToGrid w:val="0"/>
                <w:color w:val="auto"/>
                <w:sz w:val="21"/>
                <w:szCs w:val="21"/>
                <w:highlight w:val="none"/>
              </w:rPr>
              <w:t>cm/s≤K≤1.0×10</w:t>
            </w:r>
            <w:r>
              <w:rPr>
                <w:rFonts w:ascii="Times New Roman" w:hAnsi="Times New Roman" w:cs="Times New Roman"/>
                <w:snapToGrid w:val="0"/>
                <w:color w:val="auto"/>
                <w:sz w:val="21"/>
                <w:szCs w:val="21"/>
                <w:highlight w:val="none"/>
                <w:vertAlign w:val="superscript"/>
              </w:rPr>
              <w:t>-4</w:t>
            </w:r>
            <w:r>
              <w:rPr>
                <w:rFonts w:ascii="Times New Roman" w:hAnsi="Times New Roman" w:cs="Times New Roman"/>
                <w:snapToGrid w:val="0"/>
                <w:color w:val="auto"/>
                <w:sz w:val="21"/>
                <w:szCs w:val="21"/>
                <w:highlight w:val="none"/>
              </w:rPr>
              <w:t>cm/s，且分布连续、稳定</w:t>
            </w:r>
          </w:p>
        </w:tc>
      </w:tr>
      <w:tr w14:paraId="7E9752FD">
        <w:tblPrEx>
          <w:tblCellMar>
            <w:top w:w="0" w:type="dxa"/>
            <w:left w:w="0" w:type="dxa"/>
            <w:bottom w:w="0" w:type="dxa"/>
            <w:right w:w="0" w:type="dxa"/>
          </w:tblCellMar>
        </w:tblPrEx>
        <w:trPr>
          <w:trHeight w:val="340" w:hRule="atLeast"/>
          <w:jc w:val="center"/>
        </w:trPr>
        <w:tc>
          <w:tcPr>
            <w:tcW w:w="1120" w:type="dxa"/>
            <w:tcBorders>
              <w:top w:val="single" w:color="auto" w:sz="4" w:space="0"/>
              <w:left w:val="nil"/>
              <w:bottom w:val="single" w:color="auto" w:sz="4" w:space="0"/>
              <w:right w:val="single" w:color="auto" w:sz="4" w:space="0"/>
            </w:tcBorders>
            <w:vAlign w:val="center"/>
          </w:tcPr>
          <w:p w14:paraId="587F2C8F">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snapToGrid w:val="0"/>
                <w:color w:val="auto"/>
                <w:sz w:val="21"/>
                <w:szCs w:val="21"/>
                <w:highlight w:val="none"/>
                <w:lang w:eastAsia="en-US"/>
              </w:rPr>
            </w:pPr>
            <w:r>
              <w:rPr>
                <w:rFonts w:ascii="Times New Roman" w:hAnsi="Times New Roman" w:cs="Times New Roman"/>
                <w:snapToGrid w:val="0"/>
                <w:color w:val="auto"/>
                <w:sz w:val="21"/>
                <w:szCs w:val="21"/>
                <w:highlight w:val="none"/>
                <w:lang w:eastAsia="en-US"/>
              </w:rPr>
              <w:t>D1</w:t>
            </w:r>
          </w:p>
        </w:tc>
        <w:tc>
          <w:tcPr>
            <w:tcW w:w="7384" w:type="dxa"/>
            <w:tcBorders>
              <w:top w:val="single" w:color="auto" w:sz="4" w:space="0"/>
              <w:left w:val="single" w:color="auto" w:sz="4" w:space="0"/>
              <w:bottom w:val="single" w:color="auto" w:sz="4" w:space="0"/>
              <w:right w:val="nil"/>
            </w:tcBorders>
            <w:vAlign w:val="center"/>
          </w:tcPr>
          <w:p w14:paraId="3CF08005">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snapToGrid w:val="0"/>
                <w:color w:val="auto"/>
                <w:sz w:val="21"/>
                <w:szCs w:val="21"/>
                <w:highlight w:val="none"/>
              </w:rPr>
            </w:pPr>
            <w:r>
              <w:rPr>
                <w:rFonts w:ascii="Times New Roman" w:hAnsi="Times New Roman" w:cs="Times New Roman"/>
                <w:snapToGrid w:val="0"/>
                <w:color w:val="auto"/>
                <w:sz w:val="21"/>
                <w:szCs w:val="21"/>
                <w:highlight w:val="none"/>
              </w:rPr>
              <w:t>岩（土）层不满足上述D2和D3条件</w:t>
            </w:r>
          </w:p>
        </w:tc>
      </w:tr>
      <w:tr w14:paraId="02CE07D1">
        <w:tblPrEx>
          <w:tblCellMar>
            <w:top w:w="0" w:type="dxa"/>
            <w:left w:w="0" w:type="dxa"/>
            <w:bottom w:w="0" w:type="dxa"/>
            <w:right w:w="0" w:type="dxa"/>
          </w:tblCellMar>
        </w:tblPrEx>
        <w:trPr>
          <w:trHeight w:val="340" w:hRule="atLeast"/>
          <w:jc w:val="center"/>
        </w:trPr>
        <w:tc>
          <w:tcPr>
            <w:tcW w:w="8504" w:type="dxa"/>
            <w:gridSpan w:val="2"/>
            <w:tcBorders>
              <w:top w:val="single" w:color="auto" w:sz="4" w:space="0"/>
              <w:left w:val="nil"/>
              <w:bottom w:val="single" w:color="auto" w:sz="12" w:space="0"/>
              <w:right w:val="nil"/>
            </w:tcBorders>
            <w:vAlign w:val="center"/>
          </w:tcPr>
          <w:p w14:paraId="77777804">
            <w:pPr>
              <w:keepNext w:val="0"/>
              <w:keepLines w:val="0"/>
              <w:pageBreakBefore w:val="0"/>
              <w:widowControl/>
              <w:kinsoku/>
              <w:wordWrap/>
              <w:overflowPunct/>
              <w:topLinePunct w:val="0"/>
              <w:autoSpaceDE/>
              <w:autoSpaceDN/>
              <w:bidi w:val="0"/>
              <w:adjustRightInd/>
              <w:snapToGrid/>
              <w:ind w:left="0" w:right="0"/>
              <w:textAlignment w:val="auto"/>
              <w:rPr>
                <w:rFonts w:ascii="Times New Roman" w:hAnsi="Times New Roman" w:cs="Times New Roman"/>
                <w:snapToGrid w:val="0"/>
                <w:color w:val="auto"/>
                <w:sz w:val="21"/>
                <w:szCs w:val="21"/>
                <w:highlight w:val="none"/>
              </w:rPr>
            </w:pPr>
            <w:r>
              <w:rPr>
                <w:rFonts w:ascii="Times New Roman" w:hAnsi="Times New Roman" w:cs="Times New Roman"/>
                <w:snapToGrid w:val="0"/>
                <w:color w:val="auto"/>
                <w:sz w:val="21"/>
                <w:szCs w:val="21"/>
                <w:highlight w:val="none"/>
              </w:rPr>
              <w:t>Mb：岩土层单层厚度。</w:t>
            </w:r>
          </w:p>
          <w:p w14:paraId="2E38435B">
            <w:pPr>
              <w:keepNext w:val="0"/>
              <w:keepLines w:val="0"/>
              <w:pageBreakBefore w:val="0"/>
              <w:widowControl/>
              <w:kinsoku/>
              <w:wordWrap/>
              <w:overflowPunct/>
              <w:topLinePunct w:val="0"/>
              <w:autoSpaceDE/>
              <w:autoSpaceDN/>
              <w:bidi w:val="0"/>
              <w:adjustRightInd/>
              <w:snapToGrid/>
              <w:ind w:left="0" w:right="0"/>
              <w:textAlignment w:val="auto"/>
              <w:rPr>
                <w:rFonts w:ascii="Times New Roman" w:hAnsi="Times New Roman" w:cs="Times New Roman"/>
                <w:snapToGrid w:val="0"/>
                <w:color w:val="auto"/>
                <w:sz w:val="21"/>
                <w:szCs w:val="21"/>
                <w:highlight w:val="none"/>
                <w:lang w:eastAsia="en-US"/>
              </w:rPr>
            </w:pPr>
            <w:r>
              <w:rPr>
                <w:rFonts w:ascii="Times New Roman" w:hAnsi="Times New Roman" w:cs="Times New Roman"/>
                <w:snapToGrid w:val="0"/>
                <w:color w:val="auto"/>
                <w:sz w:val="21"/>
                <w:szCs w:val="21"/>
                <w:highlight w:val="none"/>
                <w:lang w:eastAsia="en-US"/>
              </w:rPr>
              <w:t>K：渗透系数。</w:t>
            </w:r>
          </w:p>
        </w:tc>
      </w:tr>
    </w:tbl>
    <w:p w14:paraId="6B4DE061">
      <w:pPr>
        <w:spacing w:line="360" w:lineRule="auto"/>
        <w:ind w:left="-105" w:right="-105" w:firstLine="480" w:firstLineChars="200"/>
        <w:rPr>
          <w:rFonts w:ascii="Times New Roman" w:hAnsi="Times New Roman" w:cs="Times New Roman"/>
          <w:color w:val="auto"/>
          <w:highlight w:val="none"/>
        </w:rPr>
      </w:pPr>
      <w:r>
        <w:rPr>
          <w:rFonts w:ascii="Times New Roman" w:hAnsi="Times New Roman" w:cs="Times New Roman"/>
          <w:color w:val="auto"/>
          <w:highlight w:val="none"/>
        </w:rPr>
        <w:t>根据企业提供的《岩土工程</w:t>
      </w:r>
      <w:r>
        <w:rPr>
          <w:rFonts w:hint="eastAsia" w:ascii="Times New Roman" w:hAnsi="Times New Roman" w:cs="Times New Roman"/>
          <w:color w:val="auto"/>
          <w:highlight w:val="none"/>
        </w:rPr>
        <w:t>勘察</w:t>
      </w:r>
      <w:r>
        <w:rPr>
          <w:rFonts w:ascii="Times New Roman" w:hAnsi="Times New Roman" w:cs="Times New Roman"/>
          <w:color w:val="auto"/>
          <w:highlight w:val="none"/>
        </w:rPr>
        <w:t>报告》</w:t>
      </w:r>
      <w:r>
        <w:rPr>
          <w:rFonts w:hint="eastAsia" w:ascii="Times New Roman" w:hAnsi="Times New Roman" w:cs="Times New Roman"/>
          <w:color w:val="auto"/>
          <w:highlight w:val="none"/>
        </w:rPr>
        <w:t>及土壤现状监测结果。本项目所在地土壤渗透性在0.42~0.477mm/min</w:t>
      </w:r>
      <w:r>
        <w:rPr>
          <w:rFonts w:ascii="Times New Roman" w:hAnsi="Times New Roman" w:cs="Times New Roman"/>
          <w:color w:val="auto"/>
          <w:highlight w:val="none"/>
        </w:rPr>
        <w:t>，本项目所在地范围内岩（土）层满足上述D2中</w:t>
      </w:r>
      <w:r>
        <w:rPr>
          <w:rFonts w:hint="eastAsia" w:ascii="Times New Roman" w:hAnsi="Times New Roman" w:cs="Times New Roman"/>
          <w:color w:val="auto"/>
          <w:highlight w:val="none"/>
        </w:rPr>
        <w:t>“</w:t>
      </w:r>
      <w:r>
        <w:rPr>
          <w:rFonts w:ascii="Times New Roman" w:hAnsi="Times New Roman" w:cs="Times New Roman"/>
          <w:snapToGrid w:val="0"/>
          <w:color w:val="auto"/>
          <w:highlight w:val="none"/>
        </w:rPr>
        <w:t>Mb≥1.0m，1.0×10</w:t>
      </w:r>
      <w:r>
        <w:rPr>
          <w:rFonts w:ascii="Times New Roman" w:hAnsi="Times New Roman" w:cs="Times New Roman"/>
          <w:snapToGrid w:val="0"/>
          <w:color w:val="auto"/>
          <w:highlight w:val="none"/>
          <w:vertAlign w:val="superscript"/>
        </w:rPr>
        <w:t>-6</w:t>
      </w:r>
      <w:r>
        <w:rPr>
          <w:rFonts w:ascii="Times New Roman" w:hAnsi="Times New Roman" w:cs="Times New Roman"/>
          <w:snapToGrid w:val="0"/>
          <w:color w:val="auto"/>
          <w:highlight w:val="none"/>
        </w:rPr>
        <w:t>cm/s≤K≤1.0×10</w:t>
      </w:r>
      <w:r>
        <w:rPr>
          <w:rFonts w:ascii="Times New Roman" w:hAnsi="Times New Roman" w:cs="Times New Roman"/>
          <w:snapToGrid w:val="0"/>
          <w:color w:val="auto"/>
          <w:highlight w:val="none"/>
          <w:vertAlign w:val="superscript"/>
        </w:rPr>
        <w:t>-4</w:t>
      </w:r>
      <w:r>
        <w:rPr>
          <w:rFonts w:ascii="Times New Roman" w:hAnsi="Times New Roman" w:cs="Times New Roman"/>
          <w:snapToGrid w:val="0"/>
          <w:color w:val="auto"/>
          <w:highlight w:val="none"/>
        </w:rPr>
        <w:t>cm/s，且分布连续、稳定</w:t>
      </w:r>
      <w:r>
        <w:rPr>
          <w:rFonts w:hint="eastAsia" w:ascii="Times New Roman" w:hAnsi="Times New Roman" w:cs="Times New Roman"/>
          <w:color w:val="auto"/>
          <w:highlight w:val="none"/>
        </w:rPr>
        <w:t>”</w:t>
      </w:r>
      <w:r>
        <w:rPr>
          <w:rFonts w:ascii="Times New Roman" w:hAnsi="Times New Roman" w:cs="Times New Roman"/>
          <w:color w:val="auto"/>
          <w:highlight w:val="none"/>
        </w:rPr>
        <w:t>要求，以D2表示。</w:t>
      </w:r>
    </w:p>
    <w:p w14:paraId="3577DD89">
      <w:pPr>
        <w:pStyle w:val="15"/>
        <w:spacing w:line="360" w:lineRule="auto"/>
        <w:ind w:left="-105" w:right="-105" w:firstLine="482"/>
        <w:rPr>
          <w:rFonts w:eastAsia="宋体"/>
          <w:bCs/>
          <w:color w:val="auto"/>
          <w:sz w:val="24"/>
          <w:szCs w:val="24"/>
          <w:highlight w:val="none"/>
        </w:rPr>
      </w:pPr>
      <w:bookmarkStart w:id="154" w:name="_Ref98330710"/>
      <w:r>
        <w:rPr>
          <w:rFonts w:eastAsia="宋体"/>
          <w:color w:val="auto"/>
          <w:sz w:val="24"/>
          <w:szCs w:val="18"/>
          <w:highlight w:val="none"/>
        </w:rPr>
        <w:t xml:space="preserve">表 </w:t>
      </w:r>
      <w:r>
        <w:rPr>
          <w:rFonts w:eastAsia="宋体"/>
          <w:color w:val="auto"/>
          <w:sz w:val="24"/>
          <w:szCs w:val="18"/>
          <w:highlight w:val="none"/>
        </w:rPr>
        <w:fldChar w:fldCharType="begin"/>
      </w:r>
      <w:r>
        <w:rPr>
          <w:rFonts w:eastAsia="宋体"/>
          <w:color w:val="auto"/>
          <w:sz w:val="24"/>
          <w:szCs w:val="18"/>
          <w:highlight w:val="none"/>
        </w:rPr>
        <w:instrText xml:space="preserve"> STYLEREF 2 \s </w:instrText>
      </w:r>
      <w:r>
        <w:rPr>
          <w:rFonts w:eastAsia="宋体"/>
          <w:color w:val="auto"/>
          <w:sz w:val="24"/>
          <w:szCs w:val="18"/>
          <w:highlight w:val="none"/>
        </w:rPr>
        <w:fldChar w:fldCharType="separate"/>
      </w:r>
      <w:r>
        <w:rPr>
          <w:rFonts w:eastAsia="宋体"/>
          <w:color w:val="auto"/>
          <w:sz w:val="24"/>
          <w:szCs w:val="18"/>
          <w:highlight w:val="none"/>
        </w:rPr>
        <w:t>2.4</w:t>
      </w:r>
      <w:r>
        <w:rPr>
          <w:rFonts w:eastAsia="宋体"/>
          <w:color w:val="auto"/>
          <w:sz w:val="24"/>
          <w:szCs w:val="18"/>
          <w:highlight w:val="none"/>
        </w:rPr>
        <w:fldChar w:fldCharType="end"/>
      </w:r>
      <w:r>
        <w:rPr>
          <w:rFonts w:eastAsia="宋体"/>
          <w:color w:val="auto"/>
          <w:sz w:val="24"/>
          <w:szCs w:val="18"/>
          <w:highlight w:val="none"/>
        </w:rPr>
        <w:noBreakHyphen/>
      </w:r>
      <w:r>
        <w:rPr>
          <w:rFonts w:eastAsia="宋体"/>
          <w:color w:val="auto"/>
          <w:sz w:val="24"/>
          <w:szCs w:val="18"/>
          <w:highlight w:val="none"/>
        </w:rPr>
        <w:fldChar w:fldCharType="begin"/>
      </w:r>
      <w:r>
        <w:rPr>
          <w:rFonts w:eastAsia="宋体"/>
          <w:color w:val="auto"/>
          <w:sz w:val="24"/>
          <w:szCs w:val="18"/>
          <w:highlight w:val="none"/>
        </w:rPr>
        <w:instrText xml:space="preserve"> SEQ 表 \* ARABIC \s 2 </w:instrText>
      </w:r>
      <w:r>
        <w:rPr>
          <w:rFonts w:eastAsia="宋体"/>
          <w:color w:val="auto"/>
          <w:sz w:val="24"/>
          <w:szCs w:val="18"/>
          <w:highlight w:val="none"/>
        </w:rPr>
        <w:fldChar w:fldCharType="separate"/>
      </w:r>
      <w:r>
        <w:rPr>
          <w:rFonts w:eastAsia="宋体"/>
          <w:color w:val="auto"/>
          <w:sz w:val="24"/>
          <w:szCs w:val="18"/>
          <w:highlight w:val="none"/>
        </w:rPr>
        <w:t>17</w:t>
      </w:r>
      <w:r>
        <w:rPr>
          <w:rFonts w:eastAsia="宋体"/>
          <w:color w:val="auto"/>
          <w:sz w:val="24"/>
          <w:szCs w:val="18"/>
          <w:highlight w:val="none"/>
        </w:rPr>
        <w:fldChar w:fldCharType="end"/>
      </w:r>
      <w:bookmarkEnd w:id="154"/>
      <w:r>
        <w:rPr>
          <w:rFonts w:eastAsia="宋体"/>
          <w:bCs/>
          <w:color w:val="auto"/>
          <w:sz w:val="24"/>
          <w:szCs w:val="24"/>
          <w:highlight w:val="none"/>
        </w:rPr>
        <w:t>地下水环境敏感程度分级</w:t>
      </w:r>
    </w:p>
    <w:tbl>
      <w:tblPr>
        <w:tblStyle w:val="45"/>
        <w:tblW w:w="5000" w:type="pct"/>
        <w:jc w:val="center"/>
        <w:tblLayout w:type="fixed"/>
        <w:tblCellMar>
          <w:top w:w="0" w:type="dxa"/>
          <w:left w:w="0" w:type="dxa"/>
          <w:bottom w:w="0" w:type="dxa"/>
          <w:right w:w="0" w:type="dxa"/>
        </w:tblCellMar>
      </w:tblPr>
      <w:tblGrid>
        <w:gridCol w:w="2727"/>
        <w:gridCol w:w="1516"/>
        <w:gridCol w:w="2125"/>
        <w:gridCol w:w="2136"/>
      </w:tblGrid>
      <w:tr w14:paraId="4CD95145">
        <w:tblPrEx>
          <w:tblCellMar>
            <w:top w:w="0" w:type="dxa"/>
            <w:left w:w="0" w:type="dxa"/>
            <w:bottom w:w="0" w:type="dxa"/>
            <w:right w:w="0" w:type="dxa"/>
          </w:tblCellMar>
        </w:tblPrEx>
        <w:trPr>
          <w:trHeight w:val="340" w:hRule="atLeast"/>
          <w:jc w:val="center"/>
        </w:trPr>
        <w:tc>
          <w:tcPr>
            <w:tcW w:w="2909" w:type="dxa"/>
            <w:vMerge w:val="restart"/>
            <w:tcBorders>
              <w:top w:val="single" w:color="auto" w:sz="12" w:space="0"/>
              <w:left w:val="nil"/>
              <w:bottom w:val="single" w:color="auto" w:sz="4" w:space="0"/>
              <w:right w:val="single" w:color="auto" w:sz="4" w:space="0"/>
            </w:tcBorders>
            <w:vAlign w:val="center"/>
          </w:tcPr>
          <w:p w14:paraId="68AB66E7">
            <w:pPr>
              <w:ind w:left="-105" w:right="-105"/>
              <w:jc w:val="center"/>
              <w:rPr>
                <w:rFonts w:ascii="Times New Roman" w:hAnsi="Times New Roman" w:cs="Times New Roman"/>
                <w:b/>
                <w:bCs/>
                <w:snapToGrid w:val="0"/>
                <w:color w:val="auto"/>
                <w:sz w:val="21"/>
                <w:szCs w:val="21"/>
                <w:highlight w:val="none"/>
                <w:lang w:eastAsia="en-US"/>
              </w:rPr>
            </w:pPr>
            <w:r>
              <w:rPr>
                <w:rFonts w:ascii="Times New Roman" w:hAnsi="Times New Roman" w:cs="Times New Roman"/>
                <w:b/>
                <w:bCs/>
                <w:snapToGrid w:val="0"/>
                <w:color w:val="auto"/>
                <w:sz w:val="21"/>
                <w:szCs w:val="21"/>
                <w:highlight w:val="none"/>
                <w:lang w:eastAsia="en-US"/>
              </w:rPr>
              <w:t>包气带防污性能</w:t>
            </w:r>
          </w:p>
        </w:tc>
        <w:tc>
          <w:tcPr>
            <w:tcW w:w="6162" w:type="dxa"/>
            <w:gridSpan w:val="3"/>
            <w:tcBorders>
              <w:top w:val="single" w:color="auto" w:sz="12" w:space="0"/>
              <w:left w:val="single" w:color="auto" w:sz="4" w:space="0"/>
              <w:bottom w:val="single" w:color="auto" w:sz="4" w:space="0"/>
              <w:right w:val="nil"/>
            </w:tcBorders>
            <w:vAlign w:val="center"/>
          </w:tcPr>
          <w:p w14:paraId="6EC4393D">
            <w:pPr>
              <w:ind w:left="-105" w:right="-105"/>
              <w:jc w:val="center"/>
              <w:rPr>
                <w:rFonts w:ascii="Times New Roman" w:hAnsi="Times New Roman" w:cs="Times New Roman"/>
                <w:b/>
                <w:bCs/>
                <w:snapToGrid w:val="0"/>
                <w:color w:val="auto"/>
                <w:sz w:val="21"/>
                <w:szCs w:val="21"/>
                <w:highlight w:val="none"/>
                <w:lang w:eastAsia="en-US"/>
              </w:rPr>
            </w:pPr>
            <w:r>
              <w:rPr>
                <w:rFonts w:ascii="Times New Roman" w:hAnsi="Times New Roman" w:cs="Times New Roman"/>
                <w:b/>
                <w:bCs/>
                <w:snapToGrid w:val="0"/>
                <w:color w:val="auto"/>
                <w:sz w:val="21"/>
                <w:szCs w:val="21"/>
                <w:highlight w:val="none"/>
                <w:lang w:eastAsia="en-US"/>
              </w:rPr>
              <w:t>地</w:t>
            </w:r>
            <w:r>
              <w:rPr>
                <w:rFonts w:hint="eastAsia" w:ascii="Times New Roman" w:hAnsi="Times New Roman" w:cs="Times New Roman"/>
                <w:b/>
                <w:bCs/>
                <w:snapToGrid w:val="0"/>
                <w:color w:val="auto"/>
                <w:sz w:val="21"/>
                <w:szCs w:val="21"/>
                <w:highlight w:val="none"/>
              </w:rPr>
              <w:t>下</w:t>
            </w:r>
            <w:r>
              <w:rPr>
                <w:rFonts w:ascii="Times New Roman" w:hAnsi="Times New Roman" w:cs="Times New Roman"/>
                <w:b/>
                <w:bCs/>
                <w:snapToGrid w:val="0"/>
                <w:color w:val="auto"/>
                <w:sz w:val="21"/>
                <w:szCs w:val="21"/>
                <w:highlight w:val="none"/>
                <w:lang w:eastAsia="en-US"/>
              </w:rPr>
              <w:t>水功能敏感性</w:t>
            </w:r>
          </w:p>
        </w:tc>
      </w:tr>
      <w:tr w14:paraId="75F6DB7B">
        <w:tblPrEx>
          <w:tblCellMar>
            <w:top w:w="0" w:type="dxa"/>
            <w:left w:w="0" w:type="dxa"/>
            <w:bottom w:w="0" w:type="dxa"/>
            <w:right w:w="0" w:type="dxa"/>
          </w:tblCellMar>
        </w:tblPrEx>
        <w:trPr>
          <w:trHeight w:val="340" w:hRule="atLeast"/>
          <w:jc w:val="center"/>
        </w:trPr>
        <w:tc>
          <w:tcPr>
            <w:tcW w:w="2909" w:type="dxa"/>
            <w:vMerge w:val="continue"/>
            <w:tcBorders>
              <w:top w:val="single" w:color="auto" w:sz="12" w:space="0"/>
              <w:left w:val="nil"/>
              <w:bottom w:val="single" w:color="auto" w:sz="4" w:space="0"/>
              <w:right w:val="single" w:color="auto" w:sz="4" w:space="0"/>
            </w:tcBorders>
            <w:vAlign w:val="center"/>
          </w:tcPr>
          <w:p w14:paraId="74D01E07">
            <w:pPr>
              <w:ind w:left="-105" w:right="-105"/>
              <w:rPr>
                <w:rFonts w:ascii="Times New Roman" w:hAnsi="Times New Roman" w:cs="Times New Roman"/>
                <w:b/>
                <w:bCs/>
                <w:snapToGrid w:val="0"/>
                <w:color w:val="auto"/>
                <w:sz w:val="21"/>
                <w:szCs w:val="21"/>
                <w:highlight w:val="none"/>
                <w:lang w:eastAsia="en-US"/>
              </w:rPr>
            </w:pPr>
          </w:p>
        </w:tc>
        <w:tc>
          <w:tcPr>
            <w:tcW w:w="1616" w:type="dxa"/>
            <w:tcBorders>
              <w:top w:val="single" w:color="auto" w:sz="4" w:space="0"/>
              <w:left w:val="single" w:color="auto" w:sz="4" w:space="0"/>
              <w:bottom w:val="single" w:color="auto" w:sz="4" w:space="0"/>
              <w:right w:val="single" w:color="auto" w:sz="4" w:space="0"/>
            </w:tcBorders>
            <w:vAlign w:val="center"/>
          </w:tcPr>
          <w:p w14:paraId="650D02B8">
            <w:pPr>
              <w:ind w:left="-105" w:right="-105"/>
              <w:jc w:val="center"/>
              <w:rPr>
                <w:rFonts w:ascii="Times New Roman" w:hAnsi="Times New Roman" w:cs="Times New Roman"/>
                <w:snapToGrid w:val="0"/>
                <w:color w:val="auto"/>
                <w:sz w:val="21"/>
                <w:szCs w:val="21"/>
                <w:highlight w:val="none"/>
                <w:lang w:eastAsia="en-US"/>
              </w:rPr>
            </w:pPr>
            <w:r>
              <w:rPr>
                <w:rFonts w:ascii="Times New Roman" w:hAnsi="Times New Roman" w:cs="Times New Roman"/>
                <w:snapToGrid w:val="0"/>
                <w:color w:val="auto"/>
                <w:sz w:val="21"/>
                <w:szCs w:val="21"/>
                <w:highlight w:val="none"/>
                <w:lang w:eastAsia="en-US"/>
              </w:rPr>
              <w:t>G1</w:t>
            </w:r>
          </w:p>
        </w:tc>
        <w:tc>
          <w:tcPr>
            <w:tcW w:w="2267" w:type="dxa"/>
            <w:tcBorders>
              <w:top w:val="single" w:color="auto" w:sz="4" w:space="0"/>
              <w:left w:val="single" w:color="auto" w:sz="4" w:space="0"/>
              <w:bottom w:val="single" w:color="auto" w:sz="4" w:space="0"/>
              <w:right w:val="single" w:color="auto" w:sz="4" w:space="0"/>
            </w:tcBorders>
            <w:vAlign w:val="center"/>
          </w:tcPr>
          <w:p w14:paraId="3DDD5800">
            <w:pPr>
              <w:ind w:left="-105" w:right="-105"/>
              <w:jc w:val="center"/>
              <w:rPr>
                <w:rFonts w:ascii="Times New Roman" w:hAnsi="Times New Roman" w:cs="Times New Roman"/>
                <w:snapToGrid w:val="0"/>
                <w:color w:val="auto"/>
                <w:sz w:val="21"/>
                <w:szCs w:val="21"/>
                <w:highlight w:val="none"/>
                <w:lang w:eastAsia="en-US"/>
              </w:rPr>
            </w:pPr>
            <w:r>
              <w:rPr>
                <w:rFonts w:ascii="Times New Roman" w:hAnsi="Times New Roman" w:cs="Times New Roman"/>
                <w:snapToGrid w:val="0"/>
                <w:color w:val="auto"/>
                <w:sz w:val="21"/>
                <w:szCs w:val="21"/>
                <w:highlight w:val="none"/>
                <w:lang w:eastAsia="en-US"/>
              </w:rPr>
              <w:t>G2</w:t>
            </w:r>
          </w:p>
        </w:tc>
        <w:tc>
          <w:tcPr>
            <w:tcW w:w="2279" w:type="dxa"/>
            <w:tcBorders>
              <w:top w:val="single" w:color="auto" w:sz="4" w:space="0"/>
              <w:left w:val="single" w:color="auto" w:sz="4" w:space="0"/>
              <w:bottom w:val="single" w:color="auto" w:sz="4" w:space="0"/>
              <w:right w:val="nil"/>
            </w:tcBorders>
            <w:vAlign w:val="center"/>
          </w:tcPr>
          <w:p w14:paraId="42F4679C">
            <w:pPr>
              <w:ind w:left="-105" w:right="-105"/>
              <w:jc w:val="center"/>
              <w:rPr>
                <w:rFonts w:ascii="Times New Roman" w:hAnsi="Times New Roman" w:cs="Times New Roman"/>
                <w:snapToGrid w:val="0"/>
                <w:color w:val="auto"/>
                <w:sz w:val="21"/>
                <w:szCs w:val="21"/>
                <w:highlight w:val="none"/>
                <w:lang w:eastAsia="en-US"/>
              </w:rPr>
            </w:pPr>
            <w:r>
              <w:rPr>
                <w:rFonts w:ascii="Times New Roman" w:hAnsi="Times New Roman" w:cs="Times New Roman"/>
                <w:snapToGrid w:val="0"/>
                <w:color w:val="auto"/>
                <w:sz w:val="21"/>
                <w:szCs w:val="21"/>
                <w:highlight w:val="none"/>
                <w:lang w:eastAsia="en-US"/>
              </w:rPr>
              <w:t>G3</w:t>
            </w:r>
          </w:p>
        </w:tc>
      </w:tr>
      <w:tr w14:paraId="2D1D2399">
        <w:tblPrEx>
          <w:tblCellMar>
            <w:top w:w="0" w:type="dxa"/>
            <w:left w:w="0" w:type="dxa"/>
            <w:bottom w:w="0" w:type="dxa"/>
            <w:right w:w="0" w:type="dxa"/>
          </w:tblCellMar>
        </w:tblPrEx>
        <w:trPr>
          <w:trHeight w:val="340" w:hRule="atLeast"/>
          <w:jc w:val="center"/>
        </w:trPr>
        <w:tc>
          <w:tcPr>
            <w:tcW w:w="2909" w:type="dxa"/>
            <w:tcBorders>
              <w:top w:val="single" w:color="auto" w:sz="4" w:space="0"/>
              <w:left w:val="nil"/>
              <w:bottom w:val="single" w:color="auto" w:sz="4" w:space="0"/>
              <w:right w:val="single" w:color="auto" w:sz="4" w:space="0"/>
            </w:tcBorders>
            <w:vAlign w:val="center"/>
          </w:tcPr>
          <w:p w14:paraId="77E91B44">
            <w:pPr>
              <w:ind w:left="-105" w:right="-105"/>
              <w:jc w:val="center"/>
              <w:rPr>
                <w:rFonts w:ascii="Times New Roman" w:hAnsi="Times New Roman" w:cs="Times New Roman"/>
                <w:snapToGrid w:val="0"/>
                <w:color w:val="auto"/>
                <w:sz w:val="21"/>
                <w:szCs w:val="21"/>
                <w:highlight w:val="none"/>
                <w:lang w:eastAsia="en-US"/>
              </w:rPr>
            </w:pPr>
            <w:r>
              <w:rPr>
                <w:rFonts w:ascii="Times New Roman" w:hAnsi="Times New Roman" w:cs="Times New Roman"/>
                <w:snapToGrid w:val="0"/>
                <w:color w:val="auto"/>
                <w:sz w:val="21"/>
                <w:szCs w:val="21"/>
                <w:highlight w:val="none"/>
                <w:lang w:eastAsia="en-US"/>
              </w:rPr>
              <w:t>D1</w:t>
            </w:r>
          </w:p>
        </w:tc>
        <w:tc>
          <w:tcPr>
            <w:tcW w:w="1616" w:type="dxa"/>
            <w:tcBorders>
              <w:top w:val="single" w:color="auto" w:sz="4" w:space="0"/>
              <w:left w:val="single" w:color="auto" w:sz="4" w:space="0"/>
              <w:bottom w:val="single" w:color="auto" w:sz="4" w:space="0"/>
              <w:right w:val="single" w:color="auto" w:sz="4" w:space="0"/>
            </w:tcBorders>
            <w:vAlign w:val="center"/>
          </w:tcPr>
          <w:p w14:paraId="36697D0C">
            <w:pPr>
              <w:ind w:left="-105" w:right="-105"/>
              <w:jc w:val="center"/>
              <w:rPr>
                <w:rFonts w:ascii="Times New Roman" w:hAnsi="Times New Roman" w:cs="Times New Roman"/>
                <w:snapToGrid w:val="0"/>
                <w:color w:val="auto"/>
                <w:sz w:val="21"/>
                <w:szCs w:val="21"/>
                <w:highlight w:val="none"/>
                <w:lang w:eastAsia="en-US"/>
              </w:rPr>
            </w:pPr>
            <w:r>
              <w:rPr>
                <w:rFonts w:ascii="Times New Roman" w:hAnsi="Times New Roman" w:cs="Times New Roman"/>
                <w:snapToGrid w:val="0"/>
                <w:color w:val="auto"/>
                <w:sz w:val="21"/>
                <w:szCs w:val="21"/>
                <w:highlight w:val="none"/>
                <w:lang w:eastAsia="en-US"/>
              </w:rPr>
              <w:t>E1</w:t>
            </w:r>
          </w:p>
        </w:tc>
        <w:tc>
          <w:tcPr>
            <w:tcW w:w="2267" w:type="dxa"/>
            <w:tcBorders>
              <w:top w:val="single" w:color="auto" w:sz="4" w:space="0"/>
              <w:left w:val="single" w:color="auto" w:sz="4" w:space="0"/>
              <w:bottom w:val="single" w:color="auto" w:sz="4" w:space="0"/>
              <w:right w:val="single" w:color="auto" w:sz="4" w:space="0"/>
            </w:tcBorders>
            <w:vAlign w:val="center"/>
          </w:tcPr>
          <w:p w14:paraId="7810AB91">
            <w:pPr>
              <w:ind w:left="-105" w:right="-105"/>
              <w:jc w:val="center"/>
              <w:rPr>
                <w:rFonts w:ascii="Times New Roman" w:hAnsi="Times New Roman" w:cs="Times New Roman"/>
                <w:snapToGrid w:val="0"/>
                <w:color w:val="auto"/>
                <w:sz w:val="21"/>
                <w:szCs w:val="21"/>
                <w:highlight w:val="none"/>
                <w:lang w:eastAsia="en-US"/>
              </w:rPr>
            </w:pPr>
            <w:r>
              <w:rPr>
                <w:rFonts w:ascii="Times New Roman" w:hAnsi="Times New Roman" w:cs="Times New Roman"/>
                <w:snapToGrid w:val="0"/>
                <w:color w:val="auto"/>
                <w:sz w:val="21"/>
                <w:szCs w:val="21"/>
                <w:highlight w:val="none"/>
                <w:lang w:eastAsia="en-US"/>
              </w:rPr>
              <w:t>E1</w:t>
            </w:r>
          </w:p>
        </w:tc>
        <w:tc>
          <w:tcPr>
            <w:tcW w:w="2279" w:type="dxa"/>
            <w:tcBorders>
              <w:top w:val="single" w:color="auto" w:sz="4" w:space="0"/>
              <w:left w:val="single" w:color="auto" w:sz="4" w:space="0"/>
              <w:bottom w:val="single" w:color="auto" w:sz="4" w:space="0"/>
              <w:right w:val="nil"/>
            </w:tcBorders>
            <w:vAlign w:val="center"/>
          </w:tcPr>
          <w:p w14:paraId="222E2004">
            <w:pPr>
              <w:ind w:left="-105" w:right="-105"/>
              <w:jc w:val="center"/>
              <w:rPr>
                <w:rFonts w:ascii="Times New Roman" w:hAnsi="Times New Roman" w:cs="Times New Roman"/>
                <w:snapToGrid w:val="0"/>
                <w:color w:val="auto"/>
                <w:sz w:val="21"/>
                <w:szCs w:val="21"/>
                <w:highlight w:val="none"/>
                <w:lang w:eastAsia="en-US"/>
              </w:rPr>
            </w:pPr>
            <w:r>
              <w:rPr>
                <w:rFonts w:ascii="Times New Roman" w:hAnsi="Times New Roman" w:cs="Times New Roman"/>
                <w:snapToGrid w:val="0"/>
                <w:color w:val="auto"/>
                <w:sz w:val="21"/>
                <w:szCs w:val="21"/>
                <w:highlight w:val="none"/>
                <w:lang w:eastAsia="en-US"/>
              </w:rPr>
              <w:t>E2</w:t>
            </w:r>
          </w:p>
        </w:tc>
      </w:tr>
      <w:tr w14:paraId="0AAF49F8">
        <w:tblPrEx>
          <w:tblCellMar>
            <w:top w:w="0" w:type="dxa"/>
            <w:left w:w="0" w:type="dxa"/>
            <w:bottom w:w="0" w:type="dxa"/>
            <w:right w:w="0" w:type="dxa"/>
          </w:tblCellMar>
        </w:tblPrEx>
        <w:trPr>
          <w:trHeight w:val="340" w:hRule="atLeast"/>
          <w:jc w:val="center"/>
        </w:trPr>
        <w:tc>
          <w:tcPr>
            <w:tcW w:w="2909" w:type="dxa"/>
            <w:tcBorders>
              <w:top w:val="single" w:color="auto" w:sz="4" w:space="0"/>
              <w:left w:val="nil"/>
              <w:bottom w:val="single" w:color="auto" w:sz="4" w:space="0"/>
              <w:right w:val="single" w:color="auto" w:sz="4" w:space="0"/>
            </w:tcBorders>
            <w:shd w:val="clear" w:color="auto" w:fill="auto"/>
            <w:vAlign w:val="center"/>
          </w:tcPr>
          <w:p w14:paraId="7972C91D">
            <w:pPr>
              <w:ind w:left="-105" w:right="-105"/>
              <w:jc w:val="center"/>
              <w:rPr>
                <w:rFonts w:ascii="Times New Roman" w:hAnsi="Times New Roman" w:cs="Times New Roman"/>
                <w:snapToGrid w:val="0"/>
                <w:color w:val="auto"/>
                <w:sz w:val="21"/>
                <w:szCs w:val="21"/>
                <w:highlight w:val="none"/>
                <w:lang w:eastAsia="en-US"/>
              </w:rPr>
            </w:pPr>
            <w:r>
              <w:rPr>
                <w:rFonts w:ascii="Times New Roman" w:hAnsi="Times New Roman" w:cs="Times New Roman"/>
                <w:snapToGrid w:val="0"/>
                <w:color w:val="auto"/>
                <w:sz w:val="21"/>
                <w:szCs w:val="21"/>
                <w:highlight w:val="none"/>
                <w:lang w:eastAsia="en-US"/>
              </w:rPr>
              <w:t>D2</w:t>
            </w:r>
          </w:p>
        </w:tc>
        <w:tc>
          <w:tcPr>
            <w:tcW w:w="1616" w:type="dxa"/>
            <w:tcBorders>
              <w:top w:val="single" w:color="auto" w:sz="4" w:space="0"/>
              <w:left w:val="single" w:color="auto" w:sz="4" w:space="0"/>
              <w:bottom w:val="single" w:color="auto" w:sz="4" w:space="0"/>
              <w:right w:val="single" w:color="auto" w:sz="4" w:space="0"/>
            </w:tcBorders>
            <w:shd w:val="clear" w:color="auto" w:fill="auto"/>
            <w:vAlign w:val="center"/>
          </w:tcPr>
          <w:p w14:paraId="4CDB908E">
            <w:pPr>
              <w:ind w:left="-105" w:right="-105"/>
              <w:jc w:val="center"/>
              <w:rPr>
                <w:rFonts w:ascii="Times New Roman" w:hAnsi="Times New Roman" w:cs="Times New Roman"/>
                <w:snapToGrid w:val="0"/>
                <w:color w:val="auto"/>
                <w:sz w:val="21"/>
                <w:szCs w:val="21"/>
                <w:highlight w:val="none"/>
                <w:lang w:eastAsia="en-US"/>
              </w:rPr>
            </w:pPr>
            <w:r>
              <w:rPr>
                <w:rFonts w:ascii="Times New Roman" w:hAnsi="Times New Roman" w:cs="Times New Roman"/>
                <w:snapToGrid w:val="0"/>
                <w:color w:val="auto"/>
                <w:sz w:val="21"/>
                <w:szCs w:val="21"/>
                <w:highlight w:val="none"/>
                <w:lang w:eastAsia="en-US"/>
              </w:rPr>
              <w:t>E1</w:t>
            </w:r>
          </w:p>
        </w:tc>
        <w:tc>
          <w:tcPr>
            <w:tcW w:w="2267" w:type="dxa"/>
            <w:tcBorders>
              <w:top w:val="single" w:color="auto" w:sz="4" w:space="0"/>
              <w:left w:val="single" w:color="auto" w:sz="4" w:space="0"/>
              <w:bottom w:val="single" w:color="auto" w:sz="4" w:space="0"/>
              <w:right w:val="single" w:color="auto" w:sz="4" w:space="0"/>
            </w:tcBorders>
            <w:shd w:val="clear" w:color="auto" w:fill="auto"/>
            <w:vAlign w:val="center"/>
          </w:tcPr>
          <w:p w14:paraId="26A67360">
            <w:pPr>
              <w:ind w:left="-105" w:right="-105"/>
              <w:jc w:val="center"/>
              <w:rPr>
                <w:rFonts w:ascii="Times New Roman" w:hAnsi="Times New Roman" w:cs="Times New Roman"/>
                <w:snapToGrid w:val="0"/>
                <w:color w:val="auto"/>
                <w:sz w:val="21"/>
                <w:szCs w:val="21"/>
                <w:highlight w:val="none"/>
                <w:lang w:eastAsia="en-US"/>
              </w:rPr>
            </w:pPr>
            <w:r>
              <w:rPr>
                <w:rFonts w:ascii="Times New Roman" w:hAnsi="Times New Roman" w:cs="Times New Roman"/>
                <w:snapToGrid w:val="0"/>
                <w:color w:val="auto"/>
                <w:sz w:val="21"/>
                <w:szCs w:val="21"/>
                <w:highlight w:val="none"/>
                <w:lang w:eastAsia="en-US"/>
              </w:rPr>
              <w:t>E2</w:t>
            </w:r>
          </w:p>
        </w:tc>
        <w:tc>
          <w:tcPr>
            <w:tcW w:w="2279" w:type="dxa"/>
            <w:tcBorders>
              <w:top w:val="single" w:color="auto" w:sz="4" w:space="0"/>
              <w:left w:val="single" w:color="auto" w:sz="4" w:space="0"/>
              <w:bottom w:val="single" w:color="auto" w:sz="4" w:space="0"/>
              <w:right w:val="nil"/>
            </w:tcBorders>
            <w:shd w:val="clear" w:color="auto" w:fill="D8D8D8"/>
            <w:vAlign w:val="center"/>
          </w:tcPr>
          <w:p w14:paraId="43C23206">
            <w:pPr>
              <w:ind w:left="-105" w:right="-105"/>
              <w:jc w:val="center"/>
              <w:rPr>
                <w:rFonts w:ascii="Times New Roman" w:hAnsi="Times New Roman" w:cs="Times New Roman"/>
                <w:snapToGrid w:val="0"/>
                <w:color w:val="auto"/>
                <w:sz w:val="21"/>
                <w:szCs w:val="21"/>
                <w:highlight w:val="none"/>
                <w:lang w:eastAsia="en-US"/>
              </w:rPr>
            </w:pPr>
            <w:r>
              <w:rPr>
                <w:rFonts w:ascii="Times New Roman" w:hAnsi="Times New Roman" w:cs="Times New Roman"/>
                <w:snapToGrid w:val="0"/>
                <w:color w:val="auto"/>
                <w:sz w:val="21"/>
                <w:szCs w:val="21"/>
                <w:highlight w:val="none"/>
                <w:lang w:eastAsia="en-US"/>
              </w:rPr>
              <w:t>E3</w:t>
            </w:r>
          </w:p>
        </w:tc>
      </w:tr>
      <w:tr w14:paraId="65FD1FD0">
        <w:tblPrEx>
          <w:tblCellMar>
            <w:top w:w="0" w:type="dxa"/>
            <w:left w:w="0" w:type="dxa"/>
            <w:bottom w:w="0" w:type="dxa"/>
            <w:right w:w="0" w:type="dxa"/>
          </w:tblCellMar>
        </w:tblPrEx>
        <w:trPr>
          <w:trHeight w:val="340" w:hRule="atLeast"/>
          <w:jc w:val="center"/>
        </w:trPr>
        <w:tc>
          <w:tcPr>
            <w:tcW w:w="2909" w:type="dxa"/>
            <w:tcBorders>
              <w:top w:val="single" w:color="auto" w:sz="4" w:space="0"/>
              <w:left w:val="nil"/>
              <w:bottom w:val="single" w:color="auto" w:sz="12" w:space="0"/>
              <w:right w:val="single" w:color="auto" w:sz="4" w:space="0"/>
            </w:tcBorders>
            <w:vAlign w:val="center"/>
          </w:tcPr>
          <w:p w14:paraId="6301E236">
            <w:pPr>
              <w:ind w:left="-105" w:right="-105"/>
              <w:jc w:val="center"/>
              <w:rPr>
                <w:rFonts w:ascii="Times New Roman" w:hAnsi="Times New Roman" w:cs="Times New Roman"/>
                <w:snapToGrid w:val="0"/>
                <w:color w:val="auto"/>
                <w:sz w:val="21"/>
                <w:szCs w:val="21"/>
                <w:highlight w:val="none"/>
                <w:lang w:eastAsia="en-US"/>
              </w:rPr>
            </w:pPr>
            <w:r>
              <w:rPr>
                <w:rFonts w:ascii="Times New Roman" w:hAnsi="Times New Roman" w:cs="Times New Roman"/>
                <w:snapToGrid w:val="0"/>
                <w:color w:val="auto"/>
                <w:sz w:val="21"/>
                <w:szCs w:val="21"/>
                <w:highlight w:val="none"/>
                <w:lang w:eastAsia="en-US"/>
              </w:rPr>
              <w:t>D3</w:t>
            </w:r>
          </w:p>
        </w:tc>
        <w:tc>
          <w:tcPr>
            <w:tcW w:w="1616" w:type="dxa"/>
            <w:tcBorders>
              <w:top w:val="single" w:color="auto" w:sz="4" w:space="0"/>
              <w:left w:val="single" w:color="auto" w:sz="4" w:space="0"/>
              <w:bottom w:val="single" w:color="auto" w:sz="12" w:space="0"/>
              <w:right w:val="single" w:color="auto" w:sz="4" w:space="0"/>
            </w:tcBorders>
            <w:vAlign w:val="center"/>
          </w:tcPr>
          <w:p w14:paraId="4DA8618E">
            <w:pPr>
              <w:ind w:left="-105" w:right="-105"/>
              <w:jc w:val="center"/>
              <w:rPr>
                <w:rFonts w:ascii="Times New Roman" w:hAnsi="Times New Roman" w:cs="Times New Roman"/>
                <w:snapToGrid w:val="0"/>
                <w:color w:val="auto"/>
                <w:sz w:val="21"/>
                <w:szCs w:val="21"/>
                <w:highlight w:val="none"/>
                <w:lang w:eastAsia="en-US"/>
              </w:rPr>
            </w:pPr>
            <w:r>
              <w:rPr>
                <w:rFonts w:ascii="Times New Roman" w:hAnsi="Times New Roman" w:cs="Times New Roman"/>
                <w:snapToGrid w:val="0"/>
                <w:color w:val="auto"/>
                <w:sz w:val="21"/>
                <w:szCs w:val="21"/>
                <w:highlight w:val="none"/>
                <w:lang w:eastAsia="en-US"/>
              </w:rPr>
              <w:t>E2</w:t>
            </w:r>
          </w:p>
        </w:tc>
        <w:tc>
          <w:tcPr>
            <w:tcW w:w="2267" w:type="dxa"/>
            <w:tcBorders>
              <w:top w:val="single" w:color="auto" w:sz="4" w:space="0"/>
              <w:left w:val="single" w:color="auto" w:sz="4" w:space="0"/>
              <w:bottom w:val="single" w:color="auto" w:sz="12" w:space="0"/>
              <w:right w:val="single" w:color="auto" w:sz="4" w:space="0"/>
            </w:tcBorders>
            <w:vAlign w:val="center"/>
          </w:tcPr>
          <w:p w14:paraId="731CA126">
            <w:pPr>
              <w:ind w:left="-105" w:right="-105"/>
              <w:jc w:val="center"/>
              <w:rPr>
                <w:rFonts w:ascii="Times New Roman" w:hAnsi="Times New Roman" w:cs="Times New Roman"/>
                <w:snapToGrid w:val="0"/>
                <w:color w:val="auto"/>
                <w:sz w:val="21"/>
                <w:szCs w:val="21"/>
                <w:highlight w:val="none"/>
                <w:lang w:eastAsia="en-US"/>
              </w:rPr>
            </w:pPr>
            <w:r>
              <w:rPr>
                <w:rFonts w:ascii="Times New Roman" w:hAnsi="Times New Roman" w:cs="Times New Roman"/>
                <w:snapToGrid w:val="0"/>
                <w:color w:val="auto"/>
                <w:sz w:val="21"/>
                <w:szCs w:val="21"/>
                <w:highlight w:val="none"/>
                <w:lang w:eastAsia="en-US"/>
              </w:rPr>
              <w:t>E3</w:t>
            </w:r>
          </w:p>
        </w:tc>
        <w:tc>
          <w:tcPr>
            <w:tcW w:w="2279" w:type="dxa"/>
            <w:tcBorders>
              <w:top w:val="single" w:color="auto" w:sz="4" w:space="0"/>
              <w:left w:val="single" w:color="auto" w:sz="4" w:space="0"/>
              <w:bottom w:val="single" w:color="auto" w:sz="12" w:space="0"/>
              <w:right w:val="nil"/>
            </w:tcBorders>
            <w:vAlign w:val="center"/>
          </w:tcPr>
          <w:p w14:paraId="0632DD98">
            <w:pPr>
              <w:ind w:left="-105" w:right="-105"/>
              <w:jc w:val="center"/>
              <w:rPr>
                <w:rFonts w:ascii="Times New Roman" w:hAnsi="Times New Roman" w:cs="Times New Roman"/>
                <w:snapToGrid w:val="0"/>
                <w:color w:val="auto"/>
                <w:sz w:val="21"/>
                <w:szCs w:val="21"/>
                <w:highlight w:val="none"/>
                <w:lang w:eastAsia="en-US"/>
              </w:rPr>
            </w:pPr>
            <w:r>
              <w:rPr>
                <w:rFonts w:ascii="Times New Roman" w:hAnsi="Times New Roman" w:cs="Times New Roman"/>
                <w:snapToGrid w:val="0"/>
                <w:color w:val="auto"/>
                <w:sz w:val="21"/>
                <w:szCs w:val="21"/>
                <w:highlight w:val="none"/>
                <w:lang w:eastAsia="en-US"/>
              </w:rPr>
              <w:t>E3</w:t>
            </w:r>
          </w:p>
        </w:tc>
      </w:tr>
    </w:tbl>
    <w:p w14:paraId="65E91397">
      <w:pPr>
        <w:pStyle w:val="20"/>
        <w:adjustRightInd w:val="0"/>
        <w:snapToGrid w:val="0"/>
        <w:spacing w:line="360" w:lineRule="auto"/>
        <w:ind w:left="-105" w:right="-105" w:firstLine="480" w:firstLineChars="200"/>
        <w:rPr>
          <w:rFonts w:ascii="Times New Roman" w:hAnsi="Times New Roman" w:cs="Times New Roman"/>
          <w:color w:val="auto"/>
          <w:sz w:val="24"/>
          <w:szCs w:val="24"/>
          <w:highlight w:val="none"/>
        </w:rPr>
      </w:pPr>
      <w:r>
        <w:rPr>
          <w:rFonts w:ascii="Times New Roman" w:hAnsi="Times New Roman" w:cs="Times New Roman"/>
          <w:color w:val="auto"/>
          <w:sz w:val="24"/>
          <w:szCs w:val="24"/>
          <w:highlight w:val="none"/>
        </w:rPr>
        <w:t>根据上表判断，本项目地下水环境敏感程度为E3，环境低度敏感区。</w:t>
      </w:r>
    </w:p>
    <w:p w14:paraId="7E0B7096">
      <w:pPr>
        <w:autoSpaceDE w:val="0"/>
        <w:autoSpaceDN w:val="0"/>
        <w:adjustRightInd w:val="0"/>
        <w:snapToGrid w:val="0"/>
        <w:spacing w:line="360" w:lineRule="auto"/>
        <w:ind w:left="-105" w:right="-105" w:firstLine="480" w:firstLineChars="200"/>
        <w:rPr>
          <w:rFonts w:ascii="Times New Roman" w:hAnsi="Times New Roman" w:cs="Times New Roman"/>
          <w:color w:val="auto"/>
          <w:highlight w:val="none"/>
        </w:rPr>
      </w:pPr>
      <w:r>
        <w:rPr>
          <w:rFonts w:ascii="Times New Roman" w:hAnsi="Times New Roman" w:cs="Times New Roman"/>
          <w:color w:val="auto"/>
          <w:highlight w:val="none"/>
        </w:rPr>
        <w:t>4、环境风险潜势判断</w:t>
      </w:r>
    </w:p>
    <w:p w14:paraId="462CCB97">
      <w:pPr>
        <w:autoSpaceDE w:val="0"/>
        <w:autoSpaceDN w:val="0"/>
        <w:adjustRightInd w:val="0"/>
        <w:snapToGrid w:val="0"/>
        <w:spacing w:line="360" w:lineRule="auto"/>
        <w:ind w:left="-105" w:right="-105" w:firstLine="480" w:firstLineChars="200"/>
        <w:rPr>
          <w:rFonts w:ascii="Times New Roman" w:hAnsi="Times New Roman" w:cs="Times New Roman"/>
          <w:color w:val="auto"/>
          <w:highlight w:val="none"/>
        </w:rPr>
      </w:pPr>
      <w:r>
        <w:rPr>
          <w:rFonts w:ascii="Times New Roman" w:hAnsi="Times New Roman" w:cs="Times New Roman"/>
          <w:color w:val="auto"/>
          <w:highlight w:val="none"/>
        </w:rPr>
        <w:t>本项目环境风险潜势判断结果见下表。</w:t>
      </w:r>
    </w:p>
    <w:p w14:paraId="0A9D2BE1">
      <w:pPr>
        <w:pStyle w:val="15"/>
        <w:ind w:left="-105" w:right="-105" w:firstLine="482"/>
        <w:rPr>
          <w:rFonts w:eastAsia="宋体"/>
          <w:b w:val="0"/>
          <w:bCs/>
          <w:color w:val="auto"/>
          <w:sz w:val="24"/>
          <w:szCs w:val="18"/>
          <w:highlight w:val="none"/>
        </w:rPr>
      </w:pPr>
      <w:r>
        <w:rPr>
          <w:rFonts w:eastAsia="宋体"/>
          <w:color w:val="auto"/>
          <w:sz w:val="24"/>
          <w:szCs w:val="18"/>
          <w:highlight w:val="none"/>
        </w:rPr>
        <w:t xml:space="preserve">表 </w:t>
      </w:r>
      <w:r>
        <w:rPr>
          <w:rFonts w:eastAsia="宋体"/>
          <w:color w:val="auto"/>
          <w:sz w:val="24"/>
          <w:szCs w:val="18"/>
          <w:highlight w:val="none"/>
        </w:rPr>
        <w:fldChar w:fldCharType="begin"/>
      </w:r>
      <w:r>
        <w:rPr>
          <w:rFonts w:eastAsia="宋体"/>
          <w:color w:val="auto"/>
          <w:sz w:val="24"/>
          <w:szCs w:val="18"/>
          <w:highlight w:val="none"/>
        </w:rPr>
        <w:instrText xml:space="preserve"> STYLEREF 2 \s </w:instrText>
      </w:r>
      <w:r>
        <w:rPr>
          <w:rFonts w:eastAsia="宋体"/>
          <w:color w:val="auto"/>
          <w:sz w:val="24"/>
          <w:szCs w:val="18"/>
          <w:highlight w:val="none"/>
        </w:rPr>
        <w:fldChar w:fldCharType="separate"/>
      </w:r>
      <w:r>
        <w:rPr>
          <w:rFonts w:eastAsia="宋体"/>
          <w:color w:val="auto"/>
          <w:sz w:val="24"/>
          <w:szCs w:val="18"/>
          <w:highlight w:val="none"/>
        </w:rPr>
        <w:t>2.4</w:t>
      </w:r>
      <w:r>
        <w:rPr>
          <w:rFonts w:eastAsia="宋体"/>
          <w:color w:val="auto"/>
          <w:sz w:val="24"/>
          <w:szCs w:val="18"/>
          <w:highlight w:val="none"/>
        </w:rPr>
        <w:fldChar w:fldCharType="end"/>
      </w:r>
      <w:r>
        <w:rPr>
          <w:rFonts w:eastAsia="宋体"/>
          <w:color w:val="auto"/>
          <w:sz w:val="24"/>
          <w:szCs w:val="18"/>
          <w:highlight w:val="none"/>
        </w:rPr>
        <w:noBreakHyphen/>
      </w:r>
      <w:r>
        <w:rPr>
          <w:rFonts w:eastAsia="宋体"/>
          <w:color w:val="auto"/>
          <w:sz w:val="24"/>
          <w:szCs w:val="18"/>
          <w:highlight w:val="none"/>
        </w:rPr>
        <w:fldChar w:fldCharType="begin"/>
      </w:r>
      <w:r>
        <w:rPr>
          <w:rFonts w:eastAsia="宋体"/>
          <w:color w:val="auto"/>
          <w:sz w:val="24"/>
          <w:szCs w:val="18"/>
          <w:highlight w:val="none"/>
        </w:rPr>
        <w:instrText xml:space="preserve"> SEQ 表 \* ARABIC \s 2 </w:instrText>
      </w:r>
      <w:r>
        <w:rPr>
          <w:rFonts w:eastAsia="宋体"/>
          <w:color w:val="auto"/>
          <w:sz w:val="24"/>
          <w:szCs w:val="18"/>
          <w:highlight w:val="none"/>
        </w:rPr>
        <w:fldChar w:fldCharType="separate"/>
      </w:r>
      <w:r>
        <w:rPr>
          <w:rFonts w:eastAsia="宋体"/>
          <w:color w:val="auto"/>
          <w:sz w:val="24"/>
          <w:szCs w:val="18"/>
          <w:highlight w:val="none"/>
        </w:rPr>
        <w:t>18</w:t>
      </w:r>
      <w:r>
        <w:rPr>
          <w:rFonts w:eastAsia="宋体"/>
          <w:color w:val="auto"/>
          <w:sz w:val="24"/>
          <w:szCs w:val="18"/>
          <w:highlight w:val="none"/>
        </w:rPr>
        <w:fldChar w:fldCharType="end"/>
      </w:r>
      <w:r>
        <w:rPr>
          <w:rFonts w:eastAsia="宋体"/>
          <w:bCs/>
          <w:color w:val="auto"/>
          <w:sz w:val="24"/>
          <w:szCs w:val="18"/>
          <w:highlight w:val="none"/>
        </w:rPr>
        <w:t>环境风险潜势判断表</w:t>
      </w:r>
    </w:p>
    <w:tbl>
      <w:tblPr>
        <w:tblStyle w:val="45"/>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2127"/>
        <w:gridCol w:w="1710"/>
        <w:gridCol w:w="1671"/>
        <w:gridCol w:w="2996"/>
      </w:tblGrid>
      <w:tr w14:paraId="455D606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2437" w:type="dxa"/>
            <w:vMerge w:val="restart"/>
            <w:vAlign w:val="center"/>
          </w:tcPr>
          <w:p w14:paraId="3DD32ED2">
            <w:pPr>
              <w:adjustRightInd w:val="0"/>
              <w:snapToGrid w:val="0"/>
              <w:ind w:left="-105" w:right="-105"/>
              <w:jc w:val="center"/>
              <w:rPr>
                <w:rFonts w:ascii="Times New Roman" w:hAnsi="Times New Roman" w:cs="Times New Roman"/>
                <w:b/>
                <w:bCs/>
                <w:color w:val="auto"/>
                <w:sz w:val="21"/>
                <w:szCs w:val="21"/>
                <w:highlight w:val="none"/>
              </w:rPr>
            </w:pPr>
            <w:r>
              <w:rPr>
                <w:rFonts w:ascii="Times New Roman" w:hAnsi="Times New Roman" w:cs="Times New Roman"/>
                <w:b/>
                <w:bCs/>
                <w:color w:val="auto"/>
                <w:sz w:val="21"/>
                <w:szCs w:val="21"/>
                <w:highlight w:val="none"/>
              </w:rPr>
              <w:t>环境要素</w:t>
            </w:r>
          </w:p>
        </w:tc>
        <w:tc>
          <w:tcPr>
            <w:tcW w:w="3873" w:type="dxa"/>
            <w:gridSpan w:val="2"/>
            <w:vAlign w:val="center"/>
          </w:tcPr>
          <w:p w14:paraId="373978D1">
            <w:pPr>
              <w:adjustRightInd w:val="0"/>
              <w:snapToGrid w:val="0"/>
              <w:ind w:left="-105" w:right="-105"/>
              <w:jc w:val="center"/>
              <w:rPr>
                <w:rFonts w:ascii="Times New Roman" w:hAnsi="Times New Roman" w:cs="Times New Roman"/>
                <w:b/>
                <w:bCs/>
                <w:color w:val="auto"/>
                <w:sz w:val="21"/>
                <w:szCs w:val="21"/>
                <w:highlight w:val="none"/>
              </w:rPr>
            </w:pPr>
            <w:r>
              <w:rPr>
                <w:rFonts w:ascii="Times New Roman" w:hAnsi="Times New Roman" w:cs="Times New Roman"/>
                <w:b/>
                <w:color w:val="auto"/>
                <w:sz w:val="21"/>
                <w:szCs w:val="21"/>
                <w:highlight w:val="none"/>
              </w:rPr>
              <w:t>环境风险潜势初判</w:t>
            </w:r>
          </w:p>
        </w:tc>
        <w:tc>
          <w:tcPr>
            <w:tcW w:w="3436" w:type="dxa"/>
            <w:vMerge w:val="restart"/>
            <w:vAlign w:val="center"/>
          </w:tcPr>
          <w:p w14:paraId="5586CE9E">
            <w:pPr>
              <w:adjustRightInd w:val="0"/>
              <w:snapToGrid w:val="0"/>
              <w:ind w:left="-105" w:right="-105"/>
              <w:jc w:val="center"/>
              <w:rPr>
                <w:rFonts w:ascii="Times New Roman" w:hAnsi="Times New Roman" w:cs="Times New Roman"/>
                <w:b/>
                <w:bCs/>
                <w:color w:val="auto"/>
                <w:sz w:val="21"/>
                <w:szCs w:val="21"/>
                <w:highlight w:val="none"/>
              </w:rPr>
            </w:pPr>
            <w:r>
              <w:rPr>
                <w:rFonts w:ascii="Times New Roman" w:hAnsi="Times New Roman" w:cs="Times New Roman"/>
                <w:b/>
                <w:color w:val="auto"/>
                <w:sz w:val="21"/>
                <w:szCs w:val="21"/>
                <w:highlight w:val="none"/>
              </w:rPr>
              <w:t>环境风险潜势判断</w:t>
            </w:r>
          </w:p>
        </w:tc>
      </w:tr>
      <w:tr w14:paraId="097B8EB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2437" w:type="dxa"/>
            <w:vMerge w:val="continue"/>
            <w:vAlign w:val="center"/>
          </w:tcPr>
          <w:p w14:paraId="55207AD4">
            <w:pPr>
              <w:adjustRightInd w:val="0"/>
              <w:snapToGrid w:val="0"/>
              <w:ind w:left="-105" w:right="-105"/>
              <w:jc w:val="center"/>
              <w:rPr>
                <w:rFonts w:ascii="Times New Roman" w:hAnsi="Times New Roman" w:cs="Times New Roman"/>
                <w:b/>
                <w:bCs/>
                <w:color w:val="auto"/>
                <w:sz w:val="21"/>
                <w:szCs w:val="21"/>
                <w:highlight w:val="none"/>
              </w:rPr>
            </w:pPr>
          </w:p>
        </w:tc>
        <w:tc>
          <w:tcPr>
            <w:tcW w:w="1959" w:type="dxa"/>
            <w:vAlign w:val="center"/>
          </w:tcPr>
          <w:p w14:paraId="2B436743">
            <w:pPr>
              <w:adjustRightInd w:val="0"/>
              <w:snapToGrid w:val="0"/>
              <w:ind w:left="-105" w:right="-105"/>
              <w:jc w:val="center"/>
              <w:rPr>
                <w:rFonts w:ascii="Times New Roman" w:hAnsi="Times New Roman" w:cs="Times New Roman"/>
                <w:b/>
                <w:bCs/>
                <w:color w:val="auto"/>
                <w:sz w:val="21"/>
                <w:szCs w:val="21"/>
                <w:highlight w:val="none"/>
              </w:rPr>
            </w:pPr>
            <w:r>
              <w:rPr>
                <w:rFonts w:ascii="Times New Roman" w:hAnsi="Times New Roman" w:cs="Times New Roman"/>
                <w:b/>
                <w:bCs/>
                <w:color w:val="auto"/>
                <w:sz w:val="21"/>
                <w:szCs w:val="21"/>
                <w:highlight w:val="none"/>
              </w:rPr>
              <w:t>P</w:t>
            </w:r>
          </w:p>
        </w:tc>
        <w:tc>
          <w:tcPr>
            <w:tcW w:w="1914" w:type="dxa"/>
            <w:vAlign w:val="center"/>
          </w:tcPr>
          <w:p w14:paraId="1888D0C6">
            <w:pPr>
              <w:adjustRightInd w:val="0"/>
              <w:snapToGrid w:val="0"/>
              <w:ind w:left="-105" w:right="-105"/>
              <w:jc w:val="center"/>
              <w:rPr>
                <w:rFonts w:ascii="Times New Roman" w:hAnsi="Times New Roman" w:cs="Times New Roman"/>
                <w:b/>
                <w:bCs/>
                <w:color w:val="auto"/>
                <w:sz w:val="21"/>
                <w:szCs w:val="21"/>
                <w:highlight w:val="none"/>
              </w:rPr>
            </w:pPr>
            <w:r>
              <w:rPr>
                <w:rFonts w:ascii="Times New Roman" w:hAnsi="Times New Roman" w:cs="Times New Roman"/>
                <w:b/>
                <w:bCs/>
                <w:color w:val="auto"/>
                <w:sz w:val="21"/>
                <w:szCs w:val="21"/>
                <w:highlight w:val="none"/>
              </w:rPr>
              <w:t>E</w:t>
            </w:r>
          </w:p>
        </w:tc>
        <w:tc>
          <w:tcPr>
            <w:tcW w:w="3436" w:type="dxa"/>
            <w:vMerge w:val="continue"/>
            <w:vAlign w:val="center"/>
          </w:tcPr>
          <w:p w14:paraId="5F7CA271">
            <w:pPr>
              <w:adjustRightInd w:val="0"/>
              <w:snapToGrid w:val="0"/>
              <w:ind w:left="-105" w:right="-105"/>
              <w:jc w:val="center"/>
              <w:rPr>
                <w:rFonts w:ascii="Times New Roman" w:hAnsi="Times New Roman" w:cs="Times New Roman"/>
                <w:b/>
                <w:bCs/>
                <w:color w:val="auto"/>
                <w:sz w:val="21"/>
                <w:szCs w:val="21"/>
                <w:highlight w:val="none"/>
              </w:rPr>
            </w:pPr>
          </w:p>
        </w:tc>
      </w:tr>
      <w:tr w14:paraId="75C3076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2437" w:type="dxa"/>
            <w:vAlign w:val="center"/>
          </w:tcPr>
          <w:p w14:paraId="0713ADA9">
            <w:pPr>
              <w:adjustRightInd w:val="0"/>
              <w:snapToGrid w:val="0"/>
              <w:ind w:left="-105" w:right="-105"/>
              <w:jc w:val="center"/>
              <w:rPr>
                <w:rFonts w:ascii="Times New Roman" w:hAnsi="Times New Roman" w:cs="Times New Roman"/>
                <w:bCs/>
                <w:color w:val="auto"/>
                <w:sz w:val="21"/>
                <w:szCs w:val="21"/>
                <w:highlight w:val="none"/>
              </w:rPr>
            </w:pPr>
            <w:r>
              <w:rPr>
                <w:rFonts w:ascii="Times New Roman" w:hAnsi="Times New Roman" w:cs="Times New Roman"/>
                <w:bCs/>
                <w:color w:val="auto"/>
                <w:sz w:val="21"/>
                <w:szCs w:val="21"/>
                <w:highlight w:val="none"/>
              </w:rPr>
              <w:t>大气</w:t>
            </w:r>
          </w:p>
        </w:tc>
        <w:tc>
          <w:tcPr>
            <w:tcW w:w="1959" w:type="dxa"/>
            <w:vAlign w:val="center"/>
          </w:tcPr>
          <w:p w14:paraId="5051223B">
            <w:pPr>
              <w:adjustRightInd w:val="0"/>
              <w:snapToGrid w:val="0"/>
              <w:ind w:left="-105" w:right="-105"/>
              <w:jc w:val="center"/>
              <w:rPr>
                <w:rFonts w:ascii="Times New Roman" w:hAnsi="Times New Roman" w:cs="Times New Roman"/>
                <w:bCs/>
                <w:color w:val="auto"/>
                <w:sz w:val="21"/>
                <w:szCs w:val="21"/>
                <w:highlight w:val="none"/>
              </w:rPr>
            </w:pPr>
            <w:r>
              <w:rPr>
                <w:rFonts w:ascii="Times New Roman" w:hAnsi="Times New Roman" w:cs="Times New Roman"/>
                <w:bCs/>
                <w:color w:val="auto"/>
                <w:sz w:val="21"/>
                <w:szCs w:val="21"/>
                <w:highlight w:val="none"/>
              </w:rPr>
              <w:t>P4</w:t>
            </w:r>
          </w:p>
        </w:tc>
        <w:tc>
          <w:tcPr>
            <w:tcW w:w="1914" w:type="dxa"/>
            <w:vAlign w:val="center"/>
          </w:tcPr>
          <w:p w14:paraId="64B7D3E5">
            <w:pPr>
              <w:adjustRightInd w:val="0"/>
              <w:snapToGrid w:val="0"/>
              <w:ind w:left="-105" w:right="-105"/>
              <w:jc w:val="center"/>
              <w:rPr>
                <w:rFonts w:ascii="Times New Roman" w:hAnsi="Times New Roman" w:cs="Times New Roman"/>
                <w:bCs/>
                <w:color w:val="auto"/>
                <w:sz w:val="21"/>
                <w:szCs w:val="21"/>
                <w:highlight w:val="none"/>
              </w:rPr>
            </w:pPr>
            <w:r>
              <w:rPr>
                <w:rFonts w:ascii="Times New Roman" w:hAnsi="Times New Roman" w:cs="Times New Roman"/>
                <w:bCs/>
                <w:color w:val="auto"/>
                <w:sz w:val="21"/>
                <w:szCs w:val="21"/>
                <w:highlight w:val="none"/>
              </w:rPr>
              <w:t>E1</w:t>
            </w:r>
          </w:p>
        </w:tc>
        <w:tc>
          <w:tcPr>
            <w:tcW w:w="3436" w:type="dxa"/>
            <w:vAlign w:val="center"/>
          </w:tcPr>
          <w:p w14:paraId="0533353C">
            <w:pPr>
              <w:adjustRightInd w:val="0"/>
              <w:snapToGrid w:val="0"/>
              <w:ind w:left="-105" w:right="-105"/>
              <w:jc w:val="center"/>
              <w:rPr>
                <w:rFonts w:ascii="Times New Roman" w:hAnsi="Times New Roman" w:cs="Times New Roman"/>
                <w:bCs/>
                <w:color w:val="auto"/>
                <w:sz w:val="21"/>
                <w:szCs w:val="21"/>
                <w:highlight w:val="none"/>
              </w:rPr>
            </w:pPr>
            <w:r>
              <w:rPr>
                <w:rFonts w:ascii="Times New Roman" w:hAnsi="Times New Roman" w:cs="Times New Roman"/>
                <w:snapToGrid w:val="0"/>
                <w:color w:val="auto"/>
                <w:sz w:val="21"/>
                <w:szCs w:val="21"/>
                <w:highlight w:val="none"/>
                <w:lang w:eastAsia="en-US"/>
              </w:rPr>
              <w:t>III</w:t>
            </w:r>
          </w:p>
        </w:tc>
      </w:tr>
      <w:tr w14:paraId="12BA2EC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2437" w:type="dxa"/>
            <w:vAlign w:val="center"/>
          </w:tcPr>
          <w:p w14:paraId="7B22881E">
            <w:pPr>
              <w:adjustRightInd w:val="0"/>
              <w:snapToGrid w:val="0"/>
              <w:ind w:left="-105" w:right="-105"/>
              <w:jc w:val="center"/>
              <w:rPr>
                <w:rFonts w:ascii="Times New Roman" w:hAnsi="Times New Roman" w:cs="Times New Roman"/>
                <w:bCs/>
                <w:color w:val="auto"/>
                <w:sz w:val="21"/>
                <w:szCs w:val="21"/>
                <w:highlight w:val="none"/>
              </w:rPr>
            </w:pPr>
            <w:r>
              <w:rPr>
                <w:rFonts w:ascii="Times New Roman" w:hAnsi="Times New Roman" w:cs="Times New Roman"/>
                <w:bCs/>
                <w:color w:val="auto"/>
                <w:sz w:val="21"/>
                <w:szCs w:val="21"/>
                <w:highlight w:val="none"/>
              </w:rPr>
              <w:t>地表水</w:t>
            </w:r>
          </w:p>
        </w:tc>
        <w:tc>
          <w:tcPr>
            <w:tcW w:w="1959" w:type="dxa"/>
            <w:vAlign w:val="center"/>
          </w:tcPr>
          <w:p w14:paraId="47A8E244">
            <w:pPr>
              <w:adjustRightInd w:val="0"/>
              <w:snapToGrid w:val="0"/>
              <w:ind w:left="-105" w:right="-105"/>
              <w:jc w:val="center"/>
              <w:rPr>
                <w:rFonts w:ascii="Times New Roman" w:hAnsi="Times New Roman" w:cs="Times New Roman"/>
                <w:bCs/>
                <w:color w:val="auto"/>
                <w:sz w:val="21"/>
                <w:szCs w:val="21"/>
                <w:highlight w:val="none"/>
              </w:rPr>
            </w:pPr>
            <w:r>
              <w:rPr>
                <w:rFonts w:ascii="Times New Roman" w:hAnsi="Times New Roman" w:cs="Times New Roman"/>
                <w:bCs/>
                <w:color w:val="auto"/>
                <w:sz w:val="21"/>
                <w:szCs w:val="21"/>
                <w:highlight w:val="none"/>
              </w:rPr>
              <w:t>P4</w:t>
            </w:r>
          </w:p>
        </w:tc>
        <w:tc>
          <w:tcPr>
            <w:tcW w:w="1914" w:type="dxa"/>
            <w:vAlign w:val="center"/>
          </w:tcPr>
          <w:p w14:paraId="3F269851">
            <w:pPr>
              <w:adjustRightInd w:val="0"/>
              <w:snapToGrid w:val="0"/>
              <w:ind w:left="-105" w:right="-105"/>
              <w:jc w:val="center"/>
              <w:rPr>
                <w:rFonts w:ascii="Times New Roman" w:hAnsi="Times New Roman" w:cs="Times New Roman"/>
                <w:bCs/>
                <w:color w:val="auto"/>
                <w:sz w:val="21"/>
                <w:szCs w:val="21"/>
                <w:highlight w:val="none"/>
              </w:rPr>
            </w:pPr>
            <w:r>
              <w:rPr>
                <w:rFonts w:ascii="Times New Roman" w:hAnsi="Times New Roman" w:cs="Times New Roman"/>
                <w:bCs/>
                <w:color w:val="auto"/>
                <w:sz w:val="21"/>
                <w:szCs w:val="21"/>
                <w:highlight w:val="none"/>
              </w:rPr>
              <w:t>E1</w:t>
            </w:r>
          </w:p>
        </w:tc>
        <w:tc>
          <w:tcPr>
            <w:tcW w:w="3436" w:type="dxa"/>
            <w:vAlign w:val="center"/>
          </w:tcPr>
          <w:p w14:paraId="1D8D8754">
            <w:pPr>
              <w:adjustRightInd w:val="0"/>
              <w:snapToGrid w:val="0"/>
              <w:ind w:left="-105" w:right="-105"/>
              <w:jc w:val="center"/>
              <w:rPr>
                <w:rFonts w:ascii="Times New Roman" w:hAnsi="Times New Roman" w:cs="Times New Roman"/>
                <w:bCs/>
                <w:color w:val="auto"/>
                <w:sz w:val="21"/>
                <w:szCs w:val="21"/>
                <w:highlight w:val="none"/>
              </w:rPr>
            </w:pPr>
            <w:r>
              <w:rPr>
                <w:rFonts w:ascii="Times New Roman" w:hAnsi="Times New Roman" w:cs="Times New Roman"/>
                <w:snapToGrid w:val="0"/>
                <w:color w:val="auto"/>
                <w:sz w:val="21"/>
                <w:szCs w:val="21"/>
                <w:highlight w:val="none"/>
                <w:lang w:eastAsia="en-US"/>
              </w:rPr>
              <w:t>III</w:t>
            </w:r>
          </w:p>
        </w:tc>
      </w:tr>
      <w:tr w14:paraId="3755C39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2437" w:type="dxa"/>
            <w:vAlign w:val="center"/>
          </w:tcPr>
          <w:p w14:paraId="264AE63C">
            <w:pPr>
              <w:adjustRightInd w:val="0"/>
              <w:snapToGrid w:val="0"/>
              <w:ind w:left="-105" w:right="-105"/>
              <w:jc w:val="center"/>
              <w:rPr>
                <w:rFonts w:ascii="Times New Roman" w:hAnsi="Times New Roman" w:cs="Times New Roman"/>
                <w:bCs/>
                <w:color w:val="auto"/>
                <w:sz w:val="21"/>
                <w:szCs w:val="21"/>
                <w:highlight w:val="none"/>
              </w:rPr>
            </w:pPr>
            <w:r>
              <w:rPr>
                <w:rFonts w:ascii="Times New Roman" w:hAnsi="Times New Roman" w:cs="Times New Roman"/>
                <w:bCs/>
                <w:color w:val="auto"/>
                <w:sz w:val="21"/>
                <w:szCs w:val="21"/>
                <w:highlight w:val="none"/>
              </w:rPr>
              <w:t>地下水</w:t>
            </w:r>
          </w:p>
        </w:tc>
        <w:tc>
          <w:tcPr>
            <w:tcW w:w="1959" w:type="dxa"/>
            <w:vAlign w:val="center"/>
          </w:tcPr>
          <w:p w14:paraId="1D70778F">
            <w:pPr>
              <w:adjustRightInd w:val="0"/>
              <w:snapToGrid w:val="0"/>
              <w:ind w:left="-105" w:right="-105"/>
              <w:jc w:val="center"/>
              <w:rPr>
                <w:rFonts w:ascii="Times New Roman" w:hAnsi="Times New Roman" w:cs="Times New Roman"/>
                <w:bCs/>
                <w:color w:val="auto"/>
                <w:sz w:val="21"/>
                <w:szCs w:val="21"/>
                <w:highlight w:val="none"/>
              </w:rPr>
            </w:pPr>
            <w:r>
              <w:rPr>
                <w:rFonts w:ascii="Times New Roman" w:hAnsi="Times New Roman" w:cs="Times New Roman"/>
                <w:bCs/>
                <w:color w:val="auto"/>
                <w:sz w:val="21"/>
                <w:szCs w:val="21"/>
                <w:highlight w:val="none"/>
              </w:rPr>
              <w:t>P4</w:t>
            </w:r>
          </w:p>
        </w:tc>
        <w:tc>
          <w:tcPr>
            <w:tcW w:w="1914" w:type="dxa"/>
            <w:vAlign w:val="center"/>
          </w:tcPr>
          <w:p w14:paraId="73863473">
            <w:pPr>
              <w:adjustRightInd w:val="0"/>
              <w:snapToGrid w:val="0"/>
              <w:ind w:left="-105" w:right="-105"/>
              <w:jc w:val="center"/>
              <w:rPr>
                <w:rFonts w:ascii="Times New Roman" w:hAnsi="Times New Roman" w:cs="Times New Roman"/>
                <w:bCs/>
                <w:color w:val="auto"/>
                <w:sz w:val="21"/>
                <w:szCs w:val="21"/>
                <w:highlight w:val="none"/>
              </w:rPr>
            </w:pPr>
            <w:r>
              <w:rPr>
                <w:rFonts w:ascii="Times New Roman" w:hAnsi="Times New Roman" w:cs="Times New Roman"/>
                <w:bCs/>
                <w:color w:val="auto"/>
                <w:sz w:val="21"/>
                <w:szCs w:val="21"/>
                <w:highlight w:val="none"/>
              </w:rPr>
              <w:t>E3</w:t>
            </w:r>
          </w:p>
        </w:tc>
        <w:tc>
          <w:tcPr>
            <w:tcW w:w="3436" w:type="dxa"/>
            <w:vAlign w:val="center"/>
          </w:tcPr>
          <w:p w14:paraId="4E38C95D">
            <w:pPr>
              <w:adjustRightInd w:val="0"/>
              <w:snapToGrid w:val="0"/>
              <w:ind w:left="-105" w:right="-105"/>
              <w:jc w:val="center"/>
              <w:rPr>
                <w:rFonts w:ascii="Times New Roman" w:hAnsi="Times New Roman" w:cs="Times New Roman"/>
                <w:bCs/>
                <w:color w:val="auto"/>
                <w:sz w:val="21"/>
                <w:szCs w:val="21"/>
                <w:highlight w:val="none"/>
              </w:rPr>
            </w:pPr>
            <w:r>
              <w:rPr>
                <w:rFonts w:ascii="Times New Roman" w:hAnsi="Times New Roman" w:cs="Times New Roman"/>
                <w:snapToGrid w:val="0"/>
                <w:color w:val="auto"/>
                <w:sz w:val="21"/>
                <w:szCs w:val="21"/>
                <w:highlight w:val="none"/>
                <w:lang w:eastAsia="en-US"/>
              </w:rPr>
              <w:t>I</w:t>
            </w:r>
          </w:p>
        </w:tc>
      </w:tr>
      <w:tr w14:paraId="4712B57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2437" w:type="dxa"/>
            <w:vAlign w:val="center"/>
          </w:tcPr>
          <w:p w14:paraId="776908D4">
            <w:pPr>
              <w:adjustRightInd w:val="0"/>
              <w:snapToGrid w:val="0"/>
              <w:ind w:left="-105" w:right="-105"/>
              <w:jc w:val="center"/>
              <w:rPr>
                <w:rFonts w:ascii="Times New Roman" w:hAnsi="Times New Roman" w:cs="Times New Roman"/>
                <w:bCs/>
                <w:color w:val="auto"/>
                <w:sz w:val="21"/>
                <w:szCs w:val="21"/>
                <w:highlight w:val="none"/>
              </w:rPr>
            </w:pPr>
            <w:r>
              <w:rPr>
                <w:rFonts w:ascii="Times New Roman" w:hAnsi="Times New Roman" w:cs="Times New Roman"/>
                <w:bCs/>
                <w:color w:val="auto"/>
                <w:sz w:val="21"/>
                <w:szCs w:val="21"/>
                <w:highlight w:val="none"/>
              </w:rPr>
              <w:t>综合</w:t>
            </w:r>
          </w:p>
        </w:tc>
        <w:tc>
          <w:tcPr>
            <w:tcW w:w="1959" w:type="dxa"/>
            <w:vAlign w:val="center"/>
          </w:tcPr>
          <w:p w14:paraId="2052CA83">
            <w:pPr>
              <w:adjustRightInd w:val="0"/>
              <w:snapToGrid w:val="0"/>
              <w:ind w:left="-105" w:right="-105"/>
              <w:jc w:val="center"/>
              <w:rPr>
                <w:rFonts w:ascii="Times New Roman" w:hAnsi="Times New Roman" w:cs="Times New Roman"/>
                <w:bCs/>
                <w:color w:val="auto"/>
                <w:sz w:val="21"/>
                <w:szCs w:val="21"/>
                <w:highlight w:val="none"/>
              </w:rPr>
            </w:pPr>
            <w:r>
              <w:rPr>
                <w:rFonts w:ascii="Times New Roman" w:hAnsi="Times New Roman" w:cs="Times New Roman"/>
                <w:bCs/>
                <w:color w:val="auto"/>
                <w:sz w:val="21"/>
                <w:szCs w:val="21"/>
                <w:highlight w:val="none"/>
              </w:rPr>
              <w:t>P4</w:t>
            </w:r>
          </w:p>
        </w:tc>
        <w:tc>
          <w:tcPr>
            <w:tcW w:w="1914" w:type="dxa"/>
            <w:vAlign w:val="center"/>
          </w:tcPr>
          <w:p w14:paraId="4ECDD860">
            <w:pPr>
              <w:adjustRightInd w:val="0"/>
              <w:snapToGrid w:val="0"/>
              <w:ind w:left="-105" w:right="-105"/>
              <w:jc w:val="center"/>
              <w:rPr>
                <w:rFonts w:ascii="Times New Roman" w:hAnsi="Times New Roman" w:cs="Times New Roman"/>
                <w:bCs/>
                <w:color w:val="auto"/>
                <w:sz w:val="21"/>
                <w:szCs w:val="21"/>
                <w:highlight w:val="none"/>
              </w:rPr>
            </w:pPr>
            <w:r>
              <w:rPr>
                <w:rFonts w:ascii="Times New Roman" w:hAnsi="Times New Roman" w:cs="Times New Roman"/>
                <w:bCs/>
                <w:color w:val="auto"/>
                <w:sz w:val="21"/>
                <w:szCs w:val="21"/>
                <w:highlight w:val="none"/>
              </w:rPr>
              <w:t>E1</w:t>
            </w:r>
          </w:p>
        </w:tc>
        <w:tc>
          <w:tcPr>
            <w:tcW w:w="3436" w:type="dxa"/>
            <w:vAlign w:val="center"/>
          </w:tcPr>
          <w:p w14:paraId="2BCC29CC">
            <w:pPr>
              <w:adjustRightInd w:val="0"/>
              <w:snapToGrid w:val="0"/>
              <w:ind w:left="-105" w:right="-105"/>
              <w:jc w:val="center"/>
              <w:rPr>
                <w:rFonts w:ascii="Times New Roman" w:hAnsi="Times New Roman" w:cs="Times New Roman"/>
                <w:bCs/>
                <w:color w:val="auto"/>
                <w:sz w:val="21"/>
                <w:szCs w:val="21"/>
                <w:highlight w:val="none"/>
              </w:rPr>
            </w:pPr>
            <w:r>
              <w:rPr>
                <w:rFonts w:ascii="Times New Roman" w:hAnsi="Times New Roman" w:cs="Times New Roman"/>
                <w:snapToGrid w:val="0"/>
                <w:color w:val="auto"/>
                <w:sz w:val="21"/>
                <w:szCs w:val="21"/>
                <w:highlight w:val="none"/>
                <w:lang w:eastAsia="en-US"/>
              </w:rPr>
              <w:t>III</w:t>
            </w:r>
          </w:p>
        </w:tc>
      </w:tr>
    </w:tbl>
    <w:p w14:paraId="51D0A8FB">
      <w:pPr>
        <w:adjustRightInd w:val="0"/>
        <w:snapToGrid w:val="0"/>
        <w:spacing w:line="360" w:lineRule="auto"/>
        <w:ind w:left="-105" w:right="-105" w:firstLine="480" w:firstLineChars="200"/>
        <w:rPr>
          <w:rFonts w:ascii="Times New Roman" w:hAnsi="Times New Roman" w:cs="Times New Roman"/>
          <w:color w:val="auto"/>
          <w:kern w:val="24"/>
          <w:highlight w:val="none"/>
        </w:rPr>
      </w:pPr>
      <w:r>
        <w:rPr>
          <w:rFonts w:ascii="Times New Roman" w:hAnsi="Times New Roman" w:cs="Times New Roman"/>
          <w:color w:val="auto"/>
          <w:kern w:val="24"/>
          <w:highlight w:val="none"/>
        </w:rPr>
        <w:t>5、评价工作等级判定</w:t>
      </w:r>
    </w:p>
    <w:p w14:paraId="4FA2B07C">
      <w:pPr>
        <w:autoSpaceDE w:val="0"/>
        <w:autoSpaceDN w:val="0"/>
        <w:adjustRightInd w:val="0"/>
        <w:snapToGrid w:val="0"/>
        <w:spacing w:line="360" w:lineRule="auto"/>
        <w:ind w:left="-105" w:right="-105" w:firstLine="480" w:firstLineChars="200"/>
        <w:rPr>
          <w:rFonts w:ascii="Times New Roman" w:hAnsi="Times New Roman" w:cs="Times New Roman"/>
          <w:color w:val="auto"/>
          <w:highlight w:val="none"/>
        </w:rPr>
      </w:pPr>
      <w:r>
        <w:rPr>
          <w:rFonts w:ascii="Times New Roman" w:hAnsi="Times New Roman" w:cs="Times New Roman"/>
          <w:color w:val="auto"/>
          <w:highlight w:val="none"/>
        </w:rPr>
        <w:t>根据《建设项目环境风险评价技术导则HJ 169—2018》规定，环境风险潜势综合等级取各要素等级的相对高值，故本项目环境风险潜势综合等级为Ⅲ。</w:t>
      </w:r>
    </w:p>
    <w:p w14:paraId="0BEC5EE5">
      <w:pPr>
        <w:spacing w:line="360" w:lineRule="auto"/>
        <w:ind w:left="-105" w:right="-105" w:firstLine="480" w:firstLineChars="200"/>
        <w:rPr>
          <w:rFonts w:ascii="Times New Roman" w:hAnsi="Times New Roman" w:cs="Times New Roman"/>
          <w:color w:val="auto"/>
          <w:highlight w:val="none"/>
        </w:rPr>
      </w:pPr>
      <w:r>
        <w:rPr>
          <w:rFonts w:ascii="Times New Roman" w:hAnsi="Times New Roman" w:cs="Times New Roman"/>
          <w:color w:val="auto"/>
          <w:highlight w:val="none"/>
        </w:rPr>
        <w:t>根据下表确定本项目的风险等级：</w:t>
      </w:r>
    </w:p>
    <w:p w14:paraId="6EF0C3E5">
      <w:pPr>
        <w:pStyle w:val="15"/>
        <w:ind w:left="-105" w:right="-105" w:firstLine="482"/>
        <w:rPr>
          <w:rFonts w:eastAsia="宋体"/>
          <w:b w:val="0"/>
          <w:color w:val="auto"/>
          <w:sz w:val="24"/>
          <w:szCs w:val="18"/>
          <w:highlight w:val="none"/>
        </w:rPr>
      </w:pPr>
      <w:r>
        <w:rPr>
          <w:rFonts w:eastAsia="宋体"/>
          <w:color w:val="auto"/>
          <w:sz w:val="24"/>
          <w:szCs w:val="18"/>
          <w:highlight w:val="none"/>
        </w:rPr>
        <w:t xml:space="preserve">表 </w:t>
      </w:r>
      <w:r>
        <w:rPr>
          <w:rFonts w:eastAsia="宋体"/>
          <w:color w:val="auto"/>
          <w:sz w:val="24"/>
          <w:szCs w:val="18"/>
          <w:highlight w:val="none"/>
        </w:rPr>
        <w:fldChar w:fldCharType="begin"/>
      </w:r>
      <w:r>
        <w:rPr>
          <w:rFonts w:eastAsia="宋体"/>
          <w:color w:val="auto"/>
          <w:sz w:val="24"/>
          <w:szCs w:val="18"/>
          <w:highlight w:val="none"/>
        </w:rPr>
        <w:instrText xml:space="preserve"> STYLEREF 2 \s </w:instrText>
      </w:r>
      <w:r>
        <w:rPr>
          <w:rFonts w:eastAsia="宋体"/>
          <w:color w:val="auto"/>
          <w:sz w:val="24"/>
          <w:szCs w:val="18"/>
          <w:highlight w:val="none"/>
        </w:rPr>
        <w:fldChar w:fldCharType="separate"/>
      </w:r>
      <w:r>
        <w:rPr>
          <w:rFonts w:eastAsia="宋体"/>
          <w:color w:val="auto"/>
          <w:sz w:val="24"/>
          <w:szCs w:val="18"/>
          <w:highlight w:val="none"/>
        </w:rPr>
        <w:t>2.4</w:t>
      </w:r>
      <w:r>
        <w:rPr>
          <w:rFonts w:eastAsia="宋体"/>
          <w:color w:val="auto"/>
          <w:sz w:val="24"/>
          <w:szCs w:val="18"/>
          <w:highlight w:val="none"/>
        </w:rPr>
        <w:fldChar w:fldCharType="end"/>
      </w:r>
      <w:r>
        <w:rPr>
          <w:rFonts w:eastAsia="宋体"/>
          <w:color w:val="auto"/>
          <w:sz w:val="24"/>
          <w:szCs w:val="18"/>
          <w:highlight w:val="none"/>
        </w:rPr>
        <w:noBreakHyphen/>
      </w:r>
      <w:r>
        <w:rPr>
          <w:rFonts w:eastAsia="宋体"/>
          <w:color w:val="auto"/>
          <w:sz w:val="24"/>
          <w:szCs w:val="18"/>
          <w:highlight w:val="none"/>
        </w:rPr>
        <w:fldChar w:fldCharType="begin"/>
      </w:r>
      <w:r>
        <w:rPr>
          <w:rFonts w:eastAsia="宋体"/>
          <w:color w:val="auto"/>
          <w:sz w:val="24"/>
          <w:szCs w:val="18"/>
          <w:highlight w:val="none"/>
        </w:rPr>
        <w:instrText xml:space="preserve"> SEQ 表 \* ARABIC \s 2 </w:instrText>
      </w:r>
      <w:r>
        <w:rPr>
          <w:rFonts w:eastAsia="宋体"/>
          <w:color w:val="auto"/>
          <w:sz w:val="24"/>
          <w:szCs w:val="18"/>
          <w:highlight w:val="none"/>
        </w:rPr>
        <w:fldChar w:fldCharType="separate"/>
      </w:r>
      <w:r>
        <w:rPr>
          <w:rFonts w:eastAsia="宋体"/>
          <w:color w:val="auto"/>
          <w:sz w:val="24"/>
          <w:szCs w:val="18"/>
          <w:highlight w:val="none"/>
        </w:rPr>
        <w:t>19</w:t>
      </w:r>
      <w:r>
        <w:rPr>
          <w:rFonts w:eastAsia="宋体"/>
          <w:color w:val="auto"/>
          <w:sz w:val="24"/>
          <w:szCs w:val="18"/>
          <w:highlight w:val="none"/>
        </w:rPr>
        <w:fldChar w:fldCharType="end"/>
      </w:r>
      <w:r>
        <w:rPr>
          <w:rFonts w:eastAsia="宋体"/>
          <w:color w:val="auto"/>
          <w:sz w:val="24"/>
          <w:szCs w:val="18"/>
          <w:highlight w:val="none"/>
        </w:rPr>
        <w:t>评价工作等级划分</w:t>
      </w:r>
    </w:p>
    <w:tbl>
      <w:tblPr>
        <w:tblStyle w:val="45"/>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1701"/>
        <w:gridCol w:w="1701"/>
        <w:gridCol w:w="1701"/>
        <w:gridCol w:w="1701"/>
        <w:gridCol w:w="1700"/>
      </w:tblGrid>
      <w:tr w14:paraId="2DD8094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1701" w:type="dxa"/>
            <w:vAlign w:val="center"/>
          </w:tcPr>
          <w:p w14:paraId="3A05645D">
            <w:pPr>
              <w:adjustRightInd w:val="0"/>
              <w:snapToGrid w:val="0"/>
              <w:ind w:left="-105" w:right="-105"/>
              <w:jc w:val="center"/>
              <w:rPr>
                <w:rFonts w:ascii="Times New Roman" w:hAnsi="Times New Roman" w:cs="Times New Roman"/>
                <w:b/>
                <w:color w:val="auto"/>
                <w:sz w:val="21"/>
                <w:szCs w:val="21"/>
                <w:highlight w:val="none"/>
              </w:rPr>
            </w:pPr>
            <w:r>
              <w:rPr>
                <w:rFonts w:ascii="Times New Roman" w:hAnsi="Times New Roman" w:cs="Times New Roman"/>
                <w:b/>
                <w:color w:val="auto"/>
                <w:sz w:val="21"/>
                <w:szCs w:val="21"/>
                <w:highlight w:val="none"/>
              </w:rPr>
              <w:t>环境风险潜势</w:t>
            </w:r>
          </w:p>
        </w:tc>
        <w:tc>
          <w:tcPr>
            <w:tcW w:w="1701" w:type="dxa"/>
            <w:vAlign w:val="center"/>
          </w:tcPr>
          <w:p w14:paraId="6ED29037">
            <w:pPr>
              <w:adjustRightInd w:val="0"/>
              <w:snapToGrid w:val="0"/>
              <w:ind w:left="-105" w:right="-105"/>
              <w:jc w:val="center"/>
              <w:rPr>
                <w:rFonts w:ascii="Times New Roman" w:hAnsi="Times New Roman" w:cs="Times New Roman"/>
                <w:b/>
                <w:color w:val="auto"/>
                <w:sz w:val="21"/>
                <w:szCs w:val="21"/>
                <w:highlight w:val="none"/>
              </w:rPr>
            </w:pPr>
            <w:r>
              <w:rPr>
                <w:rFonts w:ascii="Times New Roman" w:hAnsi="Times New Roman" w:cs="Times New Roman"/>
                <w:b/>
                <w:color w:val="auto"/>
                <w:sz w:val="21"/>
                <w:szCs w:val="21"/>
                <w:highlight w:val="none"/>
              </w:rPr>
              <w:t>Ⅳ、Ⅳ</w:t>
            </w:r>
            <w:r>
              <w:rPr>
                <w:rFonts w:ascii="Times New Roman" w:hAnsi="Times New Roman" w:cs="Times New Roman"/>
                <w:b/>
                <w:color w:val="auto"/>
                <w:sz w:val="21"/>
                <w:szCs w:val="21"/>
                <w:highlight w:val="none"/>
                <w:vertAlign w:val="superscript"/>
              </w:rPr>
              <w:t>+</w:t>
            </w:r>
          </w:p>
        </w:tc>
        <w:tc>
          <w:tcPr>
            <w:tcW w:w="1701" w:type="dxa"/>
            <w:vAlign w:val="center"/>
          </w:tcPr>
          <w:p w14:paraId="7D5E27DF">
            <w:pPr>
              <w:adjustRightInd w:val="0"/>
              <w:snapToGrid w:val="0"/>
              <w:ind w:left="-105" w:right="-105"/>
              <w:jc w:val="center"/>
              <w:rPr>
                <w:rFonts w:ascii="Times New Roman" w:hAnsi="Times New Roman" w:cs="Times New Roman"/>
                <w:b/>
                <w:color w:val="auto"/>
                <w:sz w:val="21"/>
                <w:szCs w:val="21"/>
                <w:highlight w:val="none"/>
              </w:rPr>
            </w:pPr>
            <w:r>
              <w:rPr>
                <w:rFonts w:ascii="Times New Roman" w:hAnsi="Times New Roman" w:cs="Times New Roman"/>
                <w:b/>
                <w:color w:val="auto"/>
                <w:sz w:val="21"/>
                <w:szCs w:val="21"/>
                <w:highlight w:val="none"/>
              </w:rPr>
              <w:t>Ⅲ</w:t>
            </w:r>
          </w:p>
        </w:tc>
        <w:tc>
          <w:tcPr>
            <w:tcW w:w="1701" w:type="dxa"/>
            <w:vAlign w:val="center"/>
          </w:tcPr>
          <w:p w14:paraId="1786C244">
            <w:pPr>
              <w:adjustRightInd w:val="0"/>
              <w:snapToGrid w:val="0"/>
              <w:ind w:left="-105" w:right="-105"/>
              <w:jc w:val="center"/>
              <w:rPr>
                <w:rFonts w:ascii="Times New Roman" w:hAnsi="Times New Roman" w:cs="Times New Roman"/>
                <w:b/>
                <w:color w:val="auto"/>
                <w:sz w:val="21"/>
                <w:szCs w:val="21"/>
                <w:highlight w:val="none"/>
              </w:rPr>
            </w:pPr>
            <w:r>
              <w:rPr>
                <w:rFonts w:ascii="Times New Roman" w:hAnsi="Times New Roman" w:cs="Times New Roman"/>
                <w:b/>
                <w:color w:val="auto"/>
                <w:sz w:val="21"/>
                <w:szCs w:val="21"/>
                <w:highlight w:val="none"/>
              </w:rPr>
              <w:t>Ⅱ</w:t>
            </w:r>
          </w:p>
        </w:tc>
        <w:tc>
          <w:tcPr>
            <w:tcW w:w="1700" w:type="dxa"/>
            <w:vAlign w:val="center"/>
          </w:tcPr>
          <w:p w14:paraId="3FC28C99">
            <w:pPr>
              <w:adjustRightInd w:val="0"/>
              <w:snapToGrid w:val="0"/>
              <w:ind w:left="-105" w:right="-105"/>
              <w:jc w:val="center"/>
              <w:rPr>
                <w:rFonts w:ascii="Times New Roman" w:hAnsi="Times New Roman" w:cs="Times New Roman"/>
                <w:b/>
                <w:color w:val="auto"/>
                <w:sz w:val="21"/>
                <w:szCs w:val="21"/>
                <w:highlight w:val="none"/>
              </w:rPr>
            </w:pPr>
            <w:r>
              <w:rPr>
                <w:rFonts w:ascii="Times New Roman" w:hAnsi="Times New Roman" w:cs="Times New Roman"/>
                <w:b/>
                <w:color w:val="auto"/>
                <w:sz w:val="21"/>
                <w:szCs w:val="21"/>
                <w:highlight w:val="none"/>
              </w:rPr>
              <w:t>Ⅰ</w:t>
            </w:r>
          </w:p>
        </w:tc>
      </w:tr>
      <w:tr w14:paraId="761C007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1701" w:type="dxa"/>
            <w:vAlign w:val="center"/>
          </w:tcPr>
          <w:p w14:paraId="05CBFBE8">
            <w:pPr>
              <w:adjustRightInd w:val="0"/>
              <w:snapToGrid w:val="0"/>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评价工作等级</w:t>
            </w:r>
          </w:p>
        </w:tc>
        <w:tc>
          <w:tcPr>
            <w:tcW w:w="1701" w:type="dxa"/>
            <w:vAlign w:val="center"/>
          </w:tcPr>
          <w:p w14:paraId="04D8C6A8">
            <w:pPr>
              <w:adjustRightInd w:val="0"/>
              <w:snapToGrid w:val="0"/>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一</w:t>
            </w:r>
          </w:p>
        </w:tc>
        <w:tc>
          <w:tcPr>
            <w:tcW w:w="1701" w:type="dxa"/>
            <w:vAlign w:val="center"/>
          </w:tcPr>
          <w:p w14:paraId="7FB06741">
            <w:pPr>
              <w:adjustRightInd w:val="0"/>
              <w:snapToGrid w:val="0"/>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二</w:t>
            </w:r>
          </w:p>
        </w:tc>
        <w:tc>
          <w:tcPr>
            <w:tcW w:w="1701" w:type="dxa"/>
            <w:vAlign w:val="center"/>
          </w:tcPr>
          <w:p w14:paraId="44AB1FA9">
            <w:pPr>
              <w:adjustRightInd w:val="0"/>
              <w:snapToGrid w:val="0"/>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三</w:t>
            </w:r>
          </w:p>
        </w:tc>
        <w:tc>
          <w:tcPr>
            <w:tcW w:w="1700" w:type="dxa"/>
            <w:vAlign w:val="center"/>
          </w:tcPr>
          <w:p w14:paraId="6EBDAFDE">
            <w:pPr>
              <w:adjustRightInd w:val="0"/>
              <w:snapToGrid w:val="0"/>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简单分析</w:t>
            </w:r>
          </w:p>
        </w:tc>
      </w:tr>
    </w:tbl>
    <w:p w14:paraId="75ED7F90">
      <w:pPr>
        <w:spacing w:line="360" w:lineRule="auto"/>
        <w:ind w:left="-105" w:right="-105" w:firstLine="480" w:firstLineChars="200"/>
        <w:rPr>
          <w:rFonts w:ascii="Times New Roman" w:hAnsi="Times New Roman"/>
          <w:color w:val="auto"/>
          <w:highlight w:val="none"/>
        </w:rPr>
      </w:pPr>
      <w:r>
        <w:rPr>
          <w:rFonts w:ascii="Times New Roman" w:hAnsi="Times New Roman" w:cs="Times New Roman"/>
          <w:color w:val="auto"/>
          <w:highlight w:val="none"/>
        </w:rPr>
        <w:t>由上表可见，</w:t>
      </w:r>
      <w:r>
        <w:rPr>
          <w:rFonts w:ascii="Times New Roman" w:hAnsi="Times New Roman" w:cs="Times New Roman"/>
          <w:b/>
          <w:bCs/>
          <w:color w:val="auto"/>
          <w:highlight w:val="none"/>
        </w:rPr>
        <w:t>本项目环境风险评价工作等级为二级</w:t>
      </w:r>
      <w:r>
        <w:rPr>
          <w:rFonts w:hint="eastAsia" w:ascii="Times New Roman" w:hAnsi="Times New Roman" w:cs="Times New Roman"/>
          <w:b/>
          <w:bCs/>
          <w:color w:val="auto"/>
          <w:highlight w:val="none"/>
        </w:rPr>
        <w:t>，</w:t>
      </w:r>
      <w:r>
        <w:rPr>
          <w:rFonts w:hint="eastAsia" w:ascii="Times New Roman" w:hAnsi="Times New Roman" w:cs="Times New Roman"/>
          <w:color w:val="auto"/>
          <w:highlight w:val="none"/>
        </w:rPr>
        <w:t>其中大气环境风险评价等级为二级，地表水环境风险评价等级为二级，地下水环境风险评价等级为简单分析</w:t>
      </w:r>
      <w:r>
        <w:rPr>
          <w:rFonts w:ascii="Times New Roman" w:hAnsi="Times New Roman" w:cs="Times New Roman"/>
          <w:color w:val="auto"/>
          <w:highlight w:val="none"/>
        </w:rPr>
        <w:t>。</w:t>
      </w:r>
    </w:p>
    <w:p w14:paraId="7F870293">
      <w:pPr>
        <w:pStyle w:val="6"/>
        <w:keepLines w:val="0"/>
        <w:widowControl/>
        <w:numPr>
          <w:ilvl w:val="0"/>
          <w:numId w:val="0"/>
        </w:numPr>
        <w:tabs>
          <w:tab w:val="left" w:pos="0"/>
          <w:tab w:val="left" w:pos="2550"/>
        </w:tabs>
        <w:spacing w:before="120" w:beforeLines="50" w:after="120" w:afterLines="50" w:line="360" w:lineRule="auto"/>
        <w:ind w:right="-105"/>
        <w:rPr>
          <w:rFonts w:ascii="Times New Roman" w:hAnsi="Times New Roman"/>
          <w:color w:val="auto"/>
          <w:sz w:val="24"/>
          <w:szCs w:val="24"/>
          <w:highlight w:val="none"/>
        </w:rPr>
      </w:pPr>
      <w:r>
        <w:rPr>
          <w:rFonts w:ascii="Times New Roman" w:hAnsi="Times New Roman"/>
          <w:color w:val="auto"/>
          <w:sz w:val="24"/>
          <w:szCs w:val="24"/>
          <w:highlight w:val="none"/>
        </w:rPr>
        <w:t>2.4.1.</w:t>
      </w:r>
      <w:r>
        <w:rPr>
          <w:rFonts w:hint="eastAsia" w:ascii="Times New Roman" w:hAnsi="Times New Roman"/>
          <w:color w:val="auto"/>
          <w:sz w:val="24"/>
          <w:szCs w:val="24"/>
          <w:highlight w:val="none"/>
        </w:rPr>
        <w:t>7</w:t>
      </w:r>
      <w:r>
        <w:rPr>
          <w:rFonts w:ascii="Times New Roman" w:hAnsi="Times New Roman"/>
          <w:color w:val="auto"/>
          <w:sz w:val="24"/>
          <w:szCs w:val="24"/>
          <w:highlight w:val="none"/>
        </w:rPr>
        <w:t>生态影响评价等级</w:t>
      </w:r>
    </w:p>
    <w:p w14:paraId="7DC10D44">
      <w:pPr>
        <w:spacing w:line="360" w:lineRule="auto"/>
        <w:ind w:left="-105" w:right="-105" w:firstLine="480" w:firstLineChars="200"/>
        <w:rPr>
          <w:rFonts w:ascii="Times New Roman" w:hAnsi="Times New Roman"/>
          <w:color w:val="auto"/>
          <w:highlight w:val="none"/>
        </w:rPr>
      </w:pPr>
      <w:r>
        <w:rPr>
          <w:rFonts w:hint="eastAsia" w:ascii="Times New Roman" w:hAnsi="Times New Roman"/>
          <w:color w:val="auto"/>
          <w:highlight w:val="none"/>
        </w:rPr>
        <w:t>根据《环境影响评价技术导则 生态影响》（HJ19-2022）中：“6.1.8符合生态环境分区管控要求且位于原厂界（或永久用地）范围内的污染影响类改扩建项目，位于已批准规划环评的产业园区内且符合规划环评要求、不涉及生态敏感区的污染影响类建设项目，可不确定评价等级，直接进行生态影响简单分析。”，本项目可不确定评价等级，直接进行生态影响简单分析。</w:t>
      </w:r>
    </w:p>
    <w:p w14:paraId="5141EEA0">
      <w:pPr>
        <w:pStyle w:val="5"/>
        <w:keepLines w:val="0"/>
        <w:numPr>
          <w:ilvl w:val="2"/>
          <w:numId w:val="6"/>
        </w:numPr>
        <w:tabs>
          <w:tab w:val="left" w:pos="709"/>
        </w:tabs>
        <w:spacing w:before="120" w:beforeLines="50" w:after="0" w:line="360" w:lineRule="auto"/>
        <w:ind w:left="-105" w:right="-105"/>
        <w:rPr>
          <w:rFonts w:eastAsia="宋体"/>
          <w:color w:val="auto"/>
          <w:sz w:val="28"/>
          <w:szCs w:val="28"/>
          <w:highlight w:val="none"/>
        </w:rPr>
      </w:pPr>
      <w:bookmarkStart w:id="155" w:name="_Toc60653451"/>
      <w:r>
        <w:rPr>
          <w:rFonts w:eastAsia="宋体"/>
          <w:color w:val="auto"/>
          <w:sz w:val="28"/>
          <w:szCs w:val="28"/>
          <w:highlight w:val="none"/>
        </w:rPr>
        <w:t>评价工作内容及重点</w:t>
      </w:r>
      <w:bookmarkEnd w:id="155"/>
    </w:p>
    <w:p w14:paraId="482B0881">
      <w:pPr>
        <w:spacing w:line="360" w:lineRule="auto"/>
        <w:ind w:left="-105" w:right="-105" w:firstLine="480" w:firstLineChars="200"/>
        <w:rPr>
          <w:rFonts w:ascii="Times New Roman" w:hAnsi="Times New Roman"/>
          <w:color w:val="auto"/>
          <w:highlight w:val="none"/>
        </w:rPr>
      </w:pPr>
      <w:r>
        <w:rPr>
          <w:rFonts w:hint="eastAsia" w:ascii="Times New Roman" w:hAnsi="Times New Roman"/>
          <w:color w:val="auto"/>
          <w:highlight w:val="none"/>
        </w:rPr>
        <w:t>根据项目地区环境状况以及项目污染特征，本项目评价重点为：</w:t>
      </w:r>
    </w:p>
    <w:p w14:paraId="049F106D">
      <w:pPr>
        <w:spacing w:line="360" w:lineRule="auto"/>
        <w:ind w:left="-105" w:right="-105" w:firstLine="480" w:firstLineChars="200"/>
        <w:rPr>
          <w:rFonts w:ascii="Times New Roman" w:hAnsi="Times New Roman"/>
          <w:color w:val="auto"/>
          <w:highlight w:val="none"/>
        </w:rPr>
      </w:pPr>
      <w:r>
        <w:rPr>
          <w:rFonts w:hint="eastAsia" w:ascii="Times New Roman" w:hAnsi="Times New Roman"/>
          <w:color w:val="auto"/>
          <w:highlight w:val="none"/>
        </w:rPr>
        <w:t>（1）工程分析</w:t>
      </w:r>
    </w:p>
    <w:p w14:paraId="7B57F8BD">
      <w:pPr>
        <w:spacing w:line="360" w:lineRule="auto"/>
        <w:ind w:left="-105" w:right="-105" w:firstLine="480" w:firstLineChars="200"/>
        <w:rPr>
          <w:rFonts w:ascii="Times New Roman" w:hAnsi="Times New Roman"/>
          <w:color w:val="auto"/>
          <w:highlight w:val="none"/>
        </w:rPr>
      </w:pPr>
      <w:r>
        <w:rPr>
          <w:rFonts w:hint="eastAsia" w:ascii="Times New Roman" w:hAnsi="Times New Roman"/>
          <w:color w:val="auto"/>
          <w:highlight w:val="none"/>
        </w:rPr>
        <w:t>（2）污染防治措施评述</w:t>
      </w:r>
    </w:p>
    <w:p w14:paraId="53604196">
      <w:pPr>
        <w:spacing w:line="360" w:lineRule="auto"/>
        <w:ind w:left="-105" w:right="-105" w:firstLine="480" w:firstLineChars="200"/>
        <w:rPr>
          <w:rFonts w:ascii="Times New Roman" w:hAnsi="Times New Roman"/>
          <w:color w:val="auto"/>
          <w:highlight w:val="none"/>
        </w:rPr>
      </w:pPr>
      <w:r>
        <w:rPr>
          <w:rFonts w:hint="eastAsia" w:ascii="Times New Roman" w:hAnsi="Times New Roman"/>
          <w:color w:val="auto"/>
          <w:highlight w:val="none"/>
        </w:rPr>
        <w:t>（3）运营期环境影响预测与评价</w:t>
      </w:r>
    </w:p>
    <w:p w14:paraId="4BDFA663">
      <w:pPr>
        <w:spacing w:line="360" w:lineRule="auto"/>
        <w:ind w:left="-105" w:right="-105" w:firstLine="480" w:firstLineChars="200"/>
        <w:rPr>
          <w:rFonts w:ascii="Times New Roman" w:hAnsi="Times New Roman"/>
          <w:color w:val="auto"/>
          <w:highlight w:val="none"/>
        </w:rPr>
      </w:pPr>
      <w:r>
        <w:rPr>
          <w:rFonts w:hint="eastAsia" w:ascii="Times New Roman" w:hAnsi="Times New Roman"/>
          <w:color w:val="auto"/>
          <w:highlight w:val="none"/>
        </w:rPr>
        <w:t>（4）总量控制分析</w:t>
      </w:r>
    </w:p>
    <w:p w14:paraId="3E5831A4">
      <w:pPr>
        <w:spacing w:line="360" w:lineRule="auto"/>
        <w:ind w:left="-105" w:right="-105" w:firstLine="480" w:firstLineChars="200"/>
        <w:rPr>
          <w:rFonts w:ascii="Times New Roman" w:hAnsi="Times New Roman"/>
          <w:color w:val="auto"/>
          <w:highlight w:val="none"/>
        </w:rPr>
      </w:pPr>
      <w:r>
        <w:rPr>
          <w:rFonts w:hint="eastAsia" w:ascii="Times New Roman" w:hAnsi="Times New Roman"/>
          <w:color w:val="auto"/>
          <w:highlight w:val="none"/>
        </w:rPr>
        <w:t>（5）环境风险评价</w:t>
      </w:r>
      <w:r>
        <w:rPr>
          <w:rFonts w:ascii="Times New Roman" w:hAnsi="Times New Roman"/>
          <w:color w:val="auto"/>
          <w:highlight w:val="none"/>
        </w:rPr>
        <w:t>。</w:t>
      </w:r>
    </w:p>
    <w:p w14:paraId="568BDF4F">
      <w:pPr>
        <w:pStyle w:val="4"/>
        <w:numPr>
          <w:ilvl w:val="1"/>
          <w:numId w:val="6"/>
        </w:numPr>
        <w:tabs>
          <w:tab w:val="left" w:pos="426"/>
        </w:tabs>
        <w:spacing w:before="120" w:beforeLines="50" w:line="360" w:lineRule="auto"/>
        <w:ind w:left="-105" w:right="-105" w:firstLine="562"/>
        <w:rPr>
          <w:rFonts w:ascii="Times New Roman" w:eastAsia="宋体"/>
          <w:color w:val="auto"/>
          <w:sz w:val="28"/>
          <w:szCs w:val="28"/>
          <w:highlight w:val="none"/>
        </w:rPr>
        <w:sectPr>
          <w:headerReference r:id="rId11" w:type="default"/>
          <w:headerReference r:id="rId12" w:type="even"/>
          <w:pgSz w:w="11906" w:h="16838"/>
          <w:pgMar w:top="1440" w:right="1701" w:bottom="1440" w:left="1701" w:header="851" w:footer="992" w:gutter="0"/>
          <w:pgBorders>
            <w:top w:val="none" w:sz="0" w:space="0"/>
            <w:left w:val="none" w:sz="0" w:space="0"/>
            <w:bottom w:val="none" w:sz="0" w:space="0"/>
            <w:right w:val="none" w:sz="0" w:space="0"/>
          </w:pgBorders>
          <w:cols w:space="425" w:num="1"/>
          <w:docGrid w:linePitch="312" w:charSpace="0"/>
        </w:sectPr>
      </w:pPr>
      <w:bookmarkStart w:id="156" w:name="_Toc26567"/>
      <w:bookmarkStart w:id="157" w:name="_Toc327968202"/>
      <w:bookmarkStart w:id="158" w:name="_Toc352006407"/>
      <w:bookmarkStart w:id="159" w:name="_Toc125882614"/>
    </w:p>
    <w:p w14:paraId="118C72A1">
      <w:pPr>
        <w:pStyle w:val="4"/>
        <w:numPr>
          <w:ilvl w:val="1"/>
          <w:numId w:val="6"/>
        </w:numPr>
        <w:tabs>
          <w:tab w:val="left" w:pos="426"/>
        </w:tabs>
        <w:spacing w:before="120" w:beforeLines="50" w:line="360" w:lineRule="auto"/>
        <w:ind w:left="-105" w:right="-105"/>
        <w:rPr>
          <w:rFonts w:ascii="Times New Roman" w:eastAsia="宋体"/>
          <w:color w:val="auto"/>
          <w:sz w:val="28"/>
          <w:szCs w:val="28"/>
          <w:highlight w:val="none"/>
        </w:rPr>
      </w:pPr>
      <w:bookmarkStart w:id="160" w:name="_Toc10549"/>
      <w:bookmarkStart w:id="161" w:name="_Toc60653452"/>
      <w:r>
        <w:rPr>
          <w:rFonts w:ascii="Times New Roman" w:eastAsia="宋体"/>
          <w:color w:val="auto"/>
          <w:sz w:val="28"/>
          <w:szCs w:val="28"/>
          <w:highlight w:val="none"/>
        </w:rPr>
        <w:t>评价范围和环境</w:t>
      </w:r>
      <w:bookmarkEnd w:id="156"/>
      <w:bookmarkEnd w:id="157"/>
      <w:bookmarkEnd w:id="158"/>
      <w:r>
        <w:rPr>
          <w:rFonts w:ascii="Times New Roman" w:eastAsia="宋体"/>
          <w:color w:val="auto"/>
          <w:sz w:val="28"/>
          <w:szCs w:val="28"/>
          <w:highlight w:val="none"/>
        </w:rPr>
        <w:t>保护目标</w:t>
      </w:r>
      <w:bookmarkEnd w:id="160"/>
      <w:bookmarkEnd w:id="161"/>
    </w:p>
    <w:p w14:paraId="0A455F1E">
      <w:pPr>
        <w:pStyle w:val="5"/>
        <w:keepLines w:val="0"/>
        <w:numPr>
          <w:ilvl w:val="2"/>
          <w:numId w:val="6"/>
        </w:numPr>
        <w:tabs>
          <w:tab w:val="left" w:pos="709"/>
        </w:tabs>
        <w:spacing w:before="120" w:beforeLines="50" w:after="0" w:line="360" w:lineRule="auto"/>
        <w:ind w:left="-105" w:right="-105"/>
        <w:rPr>
          <w:rFonts w:eastAsia="宋体"/>
          <w:color w:val="auto"/>
          <w:sz w:val="28"/>
          <w:szCs w:val="28"/>
          <w:highlight w:val="none"/>
        </w:rPr>
      </w:pPr>
      <w:bookmarkStart w:id="162" w:name="_Toc60653453"/>
      <w:r>
        <w:rPr>
          <w:rFonts w:eastAsia="宋体"/>
          <w:color w:val="auto"/>
          <w:sz w:val="28"/>
          <w:szCs w:val="28"/>
          <w:highlight w:val="none"/>
        </w:rPr>
        <w:t>评价范围</w:t>
      </w:r>
      <w:bookmarkEnd w:id="162"/>
    </w:p>
    <w:p w14:paraId="7BC4F490">
      <w:pPr>
        <w:tabs>
          <w:tab w:val="left" w:pos="993"/>
          <w:tab w:val="left" w:pos="1276"/>
        </w:tabs>
        <w:spacing w:line="360" w:lineRule="auto"/>
        <w:ind w:left="-105" w:right="-105" w:firstLine="480"/>
        <w:rPr>
          <w:rFonts w:ascii="Times New Roman" w:hAnsi="Times New Roman"/>
          <w:color w:val="auto"/>
          <w:highlight w:val="none"/>
        </w:rPr>
      </w:pPr>
      <w:r>
        <w:rPr>
          <w:rFonts w:ascii="Times New Roman" w:hAnsi="Times New Roman"/>
          <w:color w:val="auto"/>
          <w:highlight w:val="none"/>
        </w:rPr>
        <w:t>根据</w:t>
      </w:r>
      <w:r>
        <w:rPr>
          <w:rFonts w:hint="eastAsia" w:ascii="Times New Roman" w:hAnsi="Times New Roman"/>
          <w:color w:val="auto"/>
          <w:highlight w:val="none"/>
        </w:rPr>
        <w:t>本</w:t>
      </w:r>
      <w:r>
        <w:rPr>
          <w:rFonts w:ascii="Times New Roman" w:hAnsi="Times New Roman"/>
          <w:color w:val="auto"/>
          <w:highlight w:val="none"/>
        </w:rPr>
        <w:t>项目各环境因素环境影响评价等级，参照环境影响评价技术导则的要求，确定评价范围见</w:t>
      </w:r>
      <w:r>
        <w:rPr>
          <w:rFonts w:ascii="Times New Roman" w:hAnsi="Times New Roman"/>
          <w:color w:val="auto"/>
          <w:highlight w:val="none"/>
        </w:rPr>
        <w:fldChar w:fldCharType="begin"/>
      </w:r>
      <w:r>
        <w:rPr>
          <w:rFonts w:ascii="Times New Roman" w:hAnsi="Times New Roman"/>
          <w:color w:val="auto"/>
          <w:highlight w:val="none"/>
        </w:rPr>
        <w:instrText xml:space="preserve"> REF _Ref17892452 \h </w:instrText>
      </w:r>
      <w:r>
        <w:rPr>
          <w:rFonts w:ascii="Times New Roman" w:hAnsi="Times New Roman"/>
          <w:color w:val="auto"/>
          <w:highlight w:val="none"/>
        </w:rPr>
        <w:fldChar w:fldCharType="separate"/>
      </w:r>
      <w:r>
        <w:rPr>
          <w:rFonts w:ascii="Times New Roman" w:hAnsi="Times New Roman" w:cs="Times New Roman"/>
          <w:color w:val="auto"/>
          <w:highlight w:val="none"/>
        </w:rPr>
        <w:t xml:space="preserve">表 </w:t>
      </w:r>
      <w:r>
        <w:rPr>
          <w:rFonts w:ascii="Times New Roman" w:hAnsi="Times New Roman" w:cs="Times New Roman"/>
          <w:color w:val="auto"/>
          <w:highlight w:val="none"/>
        </w:rPr>
        <w:fldChar w:fldCharType="begin"/>
      </w:r>
      <w:r>
        <w:rPr>
          <w:rFonts w:ascii="Times New Roman" w:hAnsi="Times New Roman" w:cs="Times New Roman"/>
          <w:color w:val="auto"/>
          <w:highlight w:val="none"/>
        </w:rPr>
        <w:instrText xml:space="preserve"> STYLEREF 2 \s </w:instrText>
      </w:r>
      <w:r>
        <w:rPr>
          <w:rFonts w:ascii="Times New Roman" w:hAnsi="Times New Roman" w:cs="Times New Roman"/>
          <w:color w:val="auto"/>
          <w:highlight w:val="none"/>
        </w:rPr>
        <w:fldChar w:fldCharType="separate"/>
      </w:r>
      <w:r>
        <w:rPr>
          <w:rFonts w:ascii="Times New Roman" w:hAnsi="Times New Roman" w:cs="Times New Roman"/>
          <w:color w:val="auto"/>
          <w:highlight w:val="none"/>
        </w:rPr>
        <w:t>2.5</w:t>
      </w:r>
      <w:r>
        <w:rPr>
          <w:rFonts w:ascii="Times New Roman" w:hAnsi="Times New Roman" w:cs="Times New Roman"/>
          <w:color w:val="auto"/>
          <w:highlight w:val="none"/>
        </w:rPr>
        <w:fldChar w:fldCharType="end"/>
      </w:r>
      <w:r>
        <w:rPr>
          <w:rFonts w:ascii="Times New Roman" w:hAnsi="Times New Roman" w:cs="Times New Roman"/>
          <w:color w:val="auto"/>
          <w:highlight w:val="none"/>
        </w:rPr>
        <w:t>-1</w:t>
      </w:r>
      <w:r>
        <w:rPr>
          <w:rFonts w:ascii="Times New Roman" w:hAnsi="Times New Roman"/>
          <w:color w:val="auto"/>
          <w:highlight w:val="none"/>
        </w:rPr>
        <w:fldChar w:fldCharType="end"/>
      </w:r>
      <w:r>
        <w:rPr>
          <w:rFonts w:ascii="Times New Roman" w:hAnsi="Times New Roman"/>
          <w:color w:val="auto"/>
          <w:highlight w:val="none"/>
        </w:rPr>
        <w:t>。</w:t>
      </w:r>
    </w:p>
    <w:p w14:paraId="7D69A0D0">
      <w:pPr>
        <w:pStyle w:val="15"/>
        <w:spacing w:line="360" w:lineRule="auto"/>
        <w:ind w:left="-105" w:right="-105" w:firstLine="482"/>
        <w:rPr>
          <w:rFonts w:eastAsia="宋体" w:cs="Times New Roman"/>
          <w:b w:val="0"/>
          <w:color w:val="auto"/>
          <w:sz w:val="24"/>
          <w:szCs w:val="24"/>
          <w:highlight w:val="none"/>
          <w:lang w:bidi="zh-CN"/>
        </w:rPr>
      </w:pPr>
      <w:bookmarkStart w:id="163" w:name="_Ref17892452"/>
      <w:r>
        <w:rPr>
          <w:rFonts w:eastAsia="宋体" w:cs="Times New Roman"/>
          <w:color w:val="auto"/>
          <w:sz w:val="24"/>
          <w:szCs w:val="24"/>
          <w:highlight w:val="none"/>
        </w:rPr>
        <w:t xml:space="preserve">表 </w:t>
      </w:r>
      <w:r>
        <w:rPr>
          <w:rFonts w:eastAsia="宋体" w:cs="Times New Roman"/>
          <w:color w:val="auto"/>
          <w:sz w:val="24"/>
          <w:szCs w:val="24"/>
          <w:highlight w:val="none"/>
        </w:rPr>
        <w:fldChar w:fldCharType="begin"/>
      </w:r>
      <w:r>
        <w:rPr>
          <w:rFonts w:eastAsia="宋体" w:cs="Times New Roman"/>
          <w:color w:val="auto"/>
          <w:sz w:val="24"/>
          <w:szCs w:val="24"/>
          <w:highlight w:val="none"/>
        </w:rPr>
        <w:instrText xml:space="preserve"> STYLEREF 2 \s </w:instrText>
      </w:r>
      <w:r>
        <w:rPr>
          <w:rFonts w:eastAsia="宋体" w:cs="Times New Roman"/>
          <w:color w:val="auto"/>
          <w:sz w:val="24"/>
          <w:szCs w:val="24"/>
          <w:highlight w:val="none"/>
        </w:rPr>
        <w:fldChar w:fldCharType="separate"/>
      </w:r>
      <w:r>
        <w:rPr>
          <w:rFonts w:eastAsia="宋体" w:cs="Times New Roman"/>
          <w:color w:val="auto"/>
          <w:sz w:val="24"/>
          <w:szCs w:val="24"/>
          <w:highlight w:val="none"/>
        </w:rPr>
        <w:t>2.5</w:t>
      </w:r>
      <w:r>
        <w:rPr>
          <w:rFonts w:eastAsia="宋体" w:cs="Times New Roman"/>
          <w:color w:val="auto"/>
          <w:sz w:val="24"/>
          <w:szCs w:val="24"/>
          <w:highlight w:val="none"/>
        </w:rPr>
        <w:fldChar w:fldCharType="end"/>
      </w:r>
      <w:r>
        <w:rPr>
          <w:rFonts w:eastAsia="宋体" w:cs="Times New Roman"/>
          <w:color w:val="auto"/>
          <w:sz w:val="24"/>
          <w:szCs w:val="24"/>
          <w:highlight w:val="none"/>
        </w:rPr>
        <w:t>-</w:t>
      </w:r>
      <w:r>
        <w:rPr>
          <w:rFonts w:eastAsia="宋体" w:cs="Times New Roman"/>
          <w:color w:val="auto"/>
          <w:sz w:val="24"/>
          <w:szCs w:val="24"/>
          <w:highlight w:val="none"/>
        </w:rPr>
        <w:fldChar w:fldCharType="begin"/>
      </w:r>
      <w:r>
        <w:rPr>
          <w:rFonts w:eastAsia="宋体" w:cs="Times New Roman"/>
          <w:color w:val="auto"/>
          <w:sz w:val="24"/>
          <w:szCs w:val="24"/>
          <w:highlight w:val="none"/>
        </w:rPr>
        <w:instrText xml:space="preserve"> SEQ 表 \* ARABIC \s 2 </w:instrText>
      </w:r>
      <w:r>
        <w:rPr>
          <w:rFonts w:eastAsia="宋体" w:cs="Times New Roman"/>
          <w:color w:val="auto"/>
          <w:sz w:val="24"/>
          <w:szCs w:val="24"/>
          <w:highlight w:val="none"/>
        </w:rPr>
        <w:fldChar w:fldCharType="separate"/>
      </w:r>
      <w:r>
        <w:rPr>
          <w:rFonts w:eastAsia="宋体" w:cs="Times New Roman"/>
          <w:color w:val="auto"/>
          <w:sz w:val="24"/>
          <w:szCs w:val="24"/>
          <w:highlight w:val="none"/>
        </w:rPr>
        <w:t>1</w:t>
      </w:r>
      <w:r>
        <w:rPr>
          <w:rFonts w:eastAsia="宋体" w:cs="Times New Roman"/>
          <w:color w:val="auto"/>
          <w:sz w:val="24"/>
          <w:szCs w:val="24"/>
          <w:highlight w:val="none"/>
        </w:rPr>
        <w:fldChar w:fldCharType="end"/>
      </w:r>
      <w:bookmarkEnd w:id="163"/>
      <w:r>
        <w:rPr>
          <w:rFonts w:eastAsia="宋体" w:cs="Times New Roman"/>
          <w:color w:val="auto"/>
          <w:sz w:val="24"/>
          <w:szCs w:val="24"/>
          <w:highlight w:val="none"/>
          <w:lang w:bidi="zh-CN"/>
        </w:rPr>
        <w:t>评价范围一览表</w:t>
      </w:r>
    </w:p>
    <w:tbl>
      <w:tblPr>
        <w:tblStyle w:val="45"/>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1279"/>
        <w:gridCol w:w="702"/>
        <w:gridCol w:w="1545"/>
        <w:gridCol w:w="4978"/>
      </w:tblGrid>
      <w:tr w14:paraId="3810E1F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279" w:type="dxa"/>
            <w:tcBorders>
              <w:tl2br w:val="nil"/>
              <w:tr2bl w:val="nil"/>
            </w:tcBorders>
            <w:vAlign w:val="center"/>
          </w:tcPr>
          <w:p w14:paraId="5B0343F9">
            <w:pPr>
              <w:keepNext w:val="0"/>
              <w:keepLines w:val="0"/>
              <w:pageBreakBefore w:val="0"/>
              <w:widowControl/>
              <w:tabs>
                <w:tab w:val="left" w:pos="993"/>
                <w:tab w:val="left" w:pos="1276"/>
              </w:tabs>
              <w:kinsoku/>
              <w:wordWrap/>
              <w:overflowPunct/>
              <w:topLinePunct w:val="0"/>
              <w:autoSpaceDE/>
              <w:autoSpaceDN/>
              <w:bidi w:val="0"/>
              <w:adjustRightInd/>
              <w:snapToGrid/>
              <w:ind w:left="0" w:right="0"/>
              <w:jc w:val="center"/>
              <w:textAlignment w:val="auto"/>
              <w:rPr>
                <w:rFonts w:ascii="Times New Roman" w:hAnsi="Times New Roman"/>
                <w:b/>
                <w:color w:val="auto"/>
                <w:sz w:val="21"/>
                <w:szCs w:val="21"/>
                <w:highlight w:val="none"/>
                <w:lang w:bidi="zh-CN"/>
              </w:rPr>
            </w:pPr>
            <w:r>
              <w:rPr>
                <w:rFonts w:ascii="Times New Roman" w:hAnsi="Times New Roman"/>
                <w:b/>
                <w:color w:val="auto"/>
                <w:sz w:val="21"/>
                <w:szCs w:val="21"/>
                <w:highlight w:val="none"/>
                <w:lang w:bidi="zh-CN"/>
              </w:rPr>
              <w:t>评价内容</w:t>
            </w:r>
          </w:p>
        </w:tc>
        <w:tc>
          <w:tcPr>
            <w:tcW w:w="2247" w:type="dxa"/>
            <w:gridSpan w:val="2"/>
            <w:tcBorders>
              <w:tl2br w:val="nil"/>
              <w:tr2bl w:val="nil"/>
            </w:tcBorders>
            <w:vAlign w:val="center"/>
          </w:tcPr>
          <w:p w14:paraId="1203E346">
            <w:pPr>
              <w:keepNext w:val="0"/>
              <w:keepLines w:val="0"/>
              <w:pageBreakBefore w:val="0"/>
              <w:widowControl/>
              <w:tabs>
                <w:tab w:val="left" w:pos="993"/>
                <w:tab w:val="left" w:pos="1276"/>
              </w:tabs>
              <w:kinsoku/>
              <w:wordWrap/>
              <w:overflowPunct/>
              <w:topLinePunct w:val="0"/>
              <w:autoSpaceDE/>
              <w:autoSpaceDN/>
              <w:bidi w:val="0"/>
              <w:adjustRightInd/>
              <w:snapToGrid/>
              <w:ind w:left="0" w:right="0"/>
              <w:jc w:val="center"/>
              <w:textAlignment w:val="auto"/>
              <w:rPr>
                <w:rFonts w:ascii="Times New Roman" w:hAnsi="Times New Roman"/>
                <w:b/>
                <w:color w:val="auto"/>
                <w:sz w:val="21"/>
                <w:szCs w:val="21"/>
                <w:highlight w:val="none"/>
                <w:lang w:bidi="zh-CN"/>
              </w:rPr>
            </w:pPr>
            <w:r>
              <w:rPr>
                <w:rFonts w:ascii="Times New Roman" w:hAnsi="Times New Roman"/>
                <w:b/>
                <w:color w:val="auto"/>
                <w:sz w:val="21"/>
                <w:szCs w:val="21"/>
                <w:highlight w:val="none"/>
                <w:lang w:bidi="zh-CN"/>
              </w:rPr>
              <w:t>评价等级</w:t>
            </w:r>
          </w:p>
        </w:tc>
        <w:tc>
          <w:tcPr>
            <w:tcW w:w="4978" w:type="dxa"/>
            <w:tcBorders>
              <w:tl2br w:val="nil"/>
              <w:tr2bl w:val="nil"/>
            </w:tcBorders>
            <w:vAlign w:val="center"/>
          </w:tcPr>
          <w:p w14:paraId="00B4AC86">
            <w:pPr>
              <w:keepNext w:val="0"/>
              <w:keepLines w:val="0"/>
              <w:pageBreakBefore w:val="0"/>
              <w:widowControl/>
              <w:tabs>
                <w:tab w:val="left" w:pos="993"/>
                <w:tab w:val="left" w:pos="1276"/>
              </w:tabs>
              <w:kinsoku/>
              <w:wordWrap/>
              <w:overflowPunct/>
              <w:topLinePunct w:val="0"/>
              <w:autoSpaceDE/>
              <w:autoSpaceDN/>
              <w:bidi w:val="0"/>
              <w:adjustRightInd/>
              <w:snapToGrid/>
              <w:ind w:left="0" w:right="0"/>
              <w:jc w:val="center"/>
              <w:textAlignment w:val="auto"/>
              <w:rPr>
                <w:rFonts w:ascii="Times New Roman" w:hAnsi="Times New Roman"/>
                <w:b/>
                <w:color w:val="auto"/>
                <w:sz w:val="21"/>
                <w:szCs w:val="21"/>
                <w:highlight w:val="none"/>
                <w:lang w:bidi="zh-CN"/>
              </w:rPr>
            </w:pPr>
            <w:r>
              <w:rPr>
                <w:rFonts w:ascii="Times New Roman" w:hAnsi="Times New Roman"/>
                <w:b/>
                <w:color w:val="auto"/>
                <w:sz w:val="21"/>
                <w:szCs w:val="21"/>
                <w:highlight w:val="none"/>
                <w:lang w:bidi="zh-CN"/>
              </w:rPr>
              <w:t>评价范围</w:t>
            </w:r>
          </w:p>
        </w:tc>
      </w:tr>
      <w:tr w14:paraId="0291EA5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279" w:type="dxa"/>
            <w:tcBorders>
              <w:tl2br w:val="nil"/>
              <w:tr2bl w:val="nil"/>
            </w:tcBorders>
            <w:vAlign w:val="center"/>
          </w:tcPr>
          <w:p w14:paraId="13C5EECE">
            <w:pPr>
              <w:keepNext w:val="0"/>
              <w:keepLines w:val="0"/>
              <w:pageBreakBefore w:val="0"/>
              <w:widowControl/>
              <w:tabs>
                <w:tab w:val="left" w:pos="993"/>
                <w:tab w:val="left" w:pos="1276"/>
              </w:tabs>
              <w:kinsoku/>
              <w:wordWrap/>
              <w:overflowPunct/>
              <w:topLinePunct w:val="0"/>
              <w:autoSpaceDE/>
              <w:autoSpaceDN/>
              <w:bidi w:val="0"/>
              <w:adjustRightInd/>
              <w:snapToGrid/>
              <w:ind w:left="0" w:right="0"/>
              <w:jc w:val="center"/>
              <w:textAlignment w:val="auto"/>
              <w:rPr>
                <w:rFonts w:ascii="Times New Roman" w:hAnsi="Times New Roman"/>
                <w:color w:val="auto"/>
                <w:sz w:val="21"/>
                <w:szCs w:val="21"/>
                <w:highlight w:val="none"/>
                <w:lang w:bidi="zh-CN"/>
              </w:rPr>
            </w:pPr>
            <w:r>
              <w:rPr>
                <w:rFonts w:ascii="Times New Roman" w:hAnsi="Times New Roman"/>
                <w:color w:val="auto"/>
                <w:sz w:val="21"/>
                <w:szCs w:val="21"/>
                <w:highlight w:val="none"/>
                <w:lang w:bidi="zh-CN"/>
              </w:rPr>
              <w:t>大气环境</w:t>
            </w:r>
          </w:p>
        </w:tc>
        <w:tc>
          <w:tcPr>
            <w:tcW w:w="2247" w:type="dxa"/>
            <w:gridSpan w:val="2"/>
            <w:tcBorders>
              <w:tl2br w:val="nil"/>
              <w:tr2bl w:val="nil"/>
            </w:tcBorders>
            <w:vAlign w:val="center"/>
          </w:tcPr>
          <w:p w14:paraId="037DD6B4">
            <w:pPr>
              <w:keepNext w:val="0"/>
              <w:keepLines w:val="0"/>
              <w:pageBreakBefore w:val="0"/>
              <w:widowControl/>
              <w:tabs>
                <w:tab w:val="left" w:pos="993"/>
                <w:tab w:val="left" w:pos="1276"/>
              </w:tabs>
              <w:kinsoku/>
              <w:wordWrap/>
              <w:overflowPunct/>
              <w:topLinePunct w:val="0"/>
              <w:autoSpaceDE/>
              <w:autoSpaceDN/>
              <w:bidi w:val="0"/>
              <w:adjustRightInd/>
              <w:snapToGrid/>
              <w:ind w:left="0" w:right="0"/>
              <w:jc w:val="center"/>
              <w:textAlignment w:val="auto"/>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三</w:t>
            </w:r>
            <w:r>
              <w:rPr>
                <w:rFonts w:ascii="Times New Roman" w:hAnsi="Times New Roman"/>
                <w:color w:val="auto"/>
                <w:sz w:val="21"/>
                <w:szCs w:val="21"/>
                <w:highlight w:val="none"/>
                <w:lang w:bidi="zh-CN"/>
              </w:rPr>
              <w:t>级</w:t>
            </w:r>
          </w:p>
        </w:tc>
        <w:tc>
          <w:tcPr>
            <w:tcW w:w="4978" w:type="dxa"/>
            <w:tcBorders>
              <w:tl2br w:val="nil"/>
              <w:tr2bl w:val="nil"/>
            </w:tcBorders>
            <w:vAlign w:val="center"/>
          </w:tcPr>
          <w:p w14:paraId="7D394ACC">
            <w:pPr>
              <w:keepNext w:val="0"/>
              <w:keepLines w:val="0"/>
              <w:pageBreakBefore w:val="0"/>
              <w:widowControl/>
              <w:tabs>
                <w:tab w:val="left" w:pos="993"/>
                <w:tab w:val="left" w:pos="1276"/>
              </w:tabs>
              <w:kinsoku/>
              <w:wordWrap/>
              <w:overflowPunct/>
              <w:topLinePunct w:val="0"/>
              <w:autoSpaceDE/>
              <w:autoSpaceDN/>
              <w:bidi w:val="0"/>
              <w:adjustRightInd/>
              <w:snapToGrid/>
              <w:ind w:left="0" w:right="0"/>
              <w:jc w:val="center"/>
              <w:textAlignment w:val="auto"/>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不需设置大气环境影响评价范围</w:t>
            </w:r>
          </w:p>
        </w:tc>
      </w:tr>
      <w:tr w14:paraId="2BCE08E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279" w:type="dxa"/>
            <w:tcBorders>
              <w:tl2br w:val="nil"/>
              <w:tr2bl w:val="nil"/>
            </w:tcBorders>
            <w:vAlign w:val="center"/>
          </w:tcPr>
          <w:p w14:paraId="212F95DE">
            <w:pPr>
              <w:keepNext w:val="0"/>
              <w:keepLines w:val="0"/>
              <w:pageBreakBefore w:val="0"/>
              <w:widowControl/>
              <w:tabs>
                <w:tab w:val="left" w:pos="993"/>
                <w:tab w:val="left" w:pos="1276"/>
              </w:tabs>
              <w:kinsoku/>
              <w:wordWrap/>
              <w:overflowPunct/>
              <w:topLinePunct w:val="0"/>
              <w:autoSpaceDE/>
              <w:autoSpaceDN/>
              <w:bidi w:val="0"/>
              <w:adjustRightInd/>
              <w:snapToGrid/>
              <w:ind w:left="0" w:right="0"/>
              <w:jc w:val="center"/>
              <w:textAlignment w:val="auto"/>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水环境</w:t>
            </w:r>
          </w:p>
        </w:tc>
        <w:tc>
          <w:tcPr>
            <w:tcW w:w="2247" w:type="dxa"/>
            <w:gridSpan w:val="2"/>
            <w:tcBorders>
              <w:tl2br w:val="nil"/>
              <w:tr2bl w:val="nil"/>
            </w:tcBorders>
            <w:vAlign w:val="center"/>
          </w:tcPr>
          <w:p w14:paraId="7D0A0254">
            <w:pPr>
              <w:keepNext w:val="0"/>
              <w:keepLines w:val="0"/>
              <w:pageBreakBefore w:val="0"/>
              <w:widowControl/>
              <w:tabs>
                <w:tab w:val="left" w:pos="993"/>
                <w:tab w:val="left" w:pos="1276"/>
              </w:tabs>
              <w:kinsoku/>
              <w:wordWrap/>
              <w:overflowPunct/>
              <w:topLinePunct w:val="0"/>
              <w:autoSpaceDE/>
              <w:autoSpaceDN/>
              <w:bidi w:val="0"/>
              <w:adjustRightInd/>
              <w:snapToGrid/>
              <w:ind w:left="0" w:right="0"/>
              <w:jc w:val="center"/>
              <w:textAlignment w:val="auto"/>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三级B</w:t>
            </w:r>
          </w:p>
        </w:tc>
        <w:tc>
          <w:tcPr>
            <w:tcW w:w="4978" w:type="dxa"/>
            <w:tcBorders>
              <w:tl2br w:val="nil"/>
              <w:tr2bl w:val="nil"/>
            </w:tcBorders>
            <w:vAlign w:val="center"/>
          </w:tcPr>
          <w:p w14:paraId="1FD4FAA0">
            <w:pPr>
              <w:keepNext w:val="0"/>
              <w:keepLines w:val="0"/>
              <w:pageBreakBefore w:val="0"/>
              <w:widowControl/>
              <w:tabs>
                <w:tab w:val="left" w:pos="993"/>
                <w:tab w:val="left" w:pos="1276"/>
              </w:tabs>
              <w:kinsoku/>
              <w:wordWrap/>
              <w:overflowPunct/>
              <w:topLinePunct w:val="0"/>
              <w:autoSpaceDE/>
              <w:autoSpaceDN/>
              <w:bidi w:val="0"/>
              <w:adjustRightInd/>
              <w:snapToGrid/>
              <w:ind w:left="0" w:right="0"/>
              <w:jc w:val="center"/>
              <w:textAlignment w:val="auto"/>
              <w:rPr>
                <w:rFonts w:ascii="Times New Roman" w:hAnsi="Times New Roman"/>
                <w:color w:val="auto"/>
                <w:sz w:val="21"/>
                <w:szCs w:val="21"/>
                <w:highlight w:val="none"/>
                <w:lang w:bidi="zh-CN"/>
              </w:rPr>
            </w:pPr>
            <w:r>
              <w:rPr>
                <w:rFonts w:hint="eastAsia" w:ascii="Times New Roman" w:hAnsi="Times New Roman" w:cs="Times New Roman"/>
                <w:color w:val="auto"/>
                <w:sz w:val="21"/>
                <w:szCs w:val="21"/>
                <w:highlight w:val="none"/>
              </w:rPr>
              <w:t>无锡市锡山云林污水处理有限公司</w:t>
            </w:r>
            <w:r>
              <w:rPr>
                <w:rFonts w:hint="eastAsia" w:ascii="Times New Roman" w:hAnsi="Times New Roman"/>
                <w:color w:val="auto"/>
                <w:sz w:val="21"/>
                <w:szCs w:val="21"/>
                <w:highlight w:val="none"/>
                <w:lang w:bidi="zh-CN"/>
              </w:rPr>
              <w:t>排水口上游500m至排污口下游1000m。</w:t>
            </w:r>
          </w:p>
        </w:tc>
      </w:tr>
      <w:tr w14:paraId="416F9ED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279" w:type="dxa"/>
            <w:tcBorders>
              <w:tl2br w:val="nil"/>
              <w:tr2bl w:val="nil"/>
            </w:tcBorders>
            <w:vAlign w:val="center"/>
          </w:tcPr>
          <w:p w14:paraId="00412256">
            <w:pPr>
              <w:keepNext w:val="0"/>
              <w:keepLines w:val="0"/>
              <w:pageBreakBefore w:val="0"/>
              <w:widowControl/>
              <w:tabs>
                <w:tab w:val="left" w:pos="993"/>
                <w:tab w:val="left" w:pos="1276"/>
              </w:tabs>
              <w:kinsoku/>
              <w:wordWrap/>
              <w:overflowPunct/>
              <w:topLinePunct w:val="0"/>
              <w:autoSpaceDE/>
              <w:autoSpaceDN/>
              <w:bidi w:val="0"/>
              <w:adjustRightInd/>
              <w:snapToGrid/>
              <w:ind w:left="0" w:right="0"/>
              <w:jc w:val="center"/>
              <w:textAlignment w:val="auto"/>
              <w:rPr>
                <w:rFonts w:ascii="Times New Roman" w:hAnsi="Times New Roman"/>
                <w:color w:val="auto"/>
                <w:sz w:val="21"/>
                <w:szCs w:val="21"/>
                <w:highlight w:val="none"/>
                <w:lang w:bidi="zh-CN"/>
              </w:rPr>
            </w:pPr>
            <w:r>
              <w:rPr>
                <w:rFonts w:ascii="Times New Roman" w:hAnsi="Times New Roman"/>
                <w:color w:val="auto"/>
                <w:sz w:val="21"/>
                <w:szCs w:val="21"/>
                <w:highlight w:val="none"/>
                <w:lang w:bidi="zh-CN"/>
              </w:rPr>
              <w:t>噪声</w:t>
            </w:r>
          </w:p>
        </w:tc>
        <w:tc>
          <w:tcPr>
            <w:tcW w:w="2247" w:type="dxa"/>
            <w:gridSpan w:val="2"/>
            <w:tcBorders>
              <w:tl2br w:val="nil"/>
              <w:tr2bl w:val="nil"/>
            </w:tcBorders>
            <w:vAlign w:val="center"/>
          </w:tcPr>
          <w:p w14:paraId="1A6F17C6">
            <w:pPr>
              <w:keepNext w:val="0"/>
              <w:keepLines w:val="0"/>
              <w:pageBreakBefore w:val="0"/>
              <w:widowControl/>
              <w:tabs>
                <w:tab w:val="left" w:pos="993"/>
                <w:tab w:val="left" w:pos="1276"/>
              </w:tabs>
              <w:kinsoku/>
              <w:wordWrap/>
              <w:overflowPunct/>
              <w:topLinePunct w:val="0"/>
              <w:autoSpaceDE/>
              <w:autoSpaceDN/>
              <w:bidi w:val="0"/>
              <w:adjustRightInd/>
              <w:snapToGrid/>
              <w:ind w:left="0" w:right="0"/>
              <w:jc w:val="center"/>
              <w:textAlignment w:val="auto"/>
              <w:rPr>
                <w:rFonts w:ascii="Times New Roman" w:hAnsi="Times New Roman"/>
                <w:color w:val="auto"/>
                <w:sz w:val="21"/>
                <w:szCs w:val="21"/>
                <w:highlight w:val="none"/>
                <w:lang w:bidi="zh-CN"/>
              </w:rPr>
            </w:pPr>
            <w:r>
              <w:rPr>
                <w:rFonts w:ascii="Times New Roman" w:hAnsi="Times New Roman"/>
                <w:color w:val="auto"/>
                <w:sz w:val="21"/>
                <w:szCs w:val="21"/>
                <w:highlight w:val="none"/>
                <w:lang w:bidi="zh-CN"/>
              </w:rPr>
              <w:t>三级</w:t>
            </w:r>
          </w:p>
        </w:tc>
        <w:tc>
          <w:tcPr>
            <w:tcW w:w="4978" w:type="dxa"/>
            <w:tcBorders>
              <w:tl2br w:val="nil"/>
              <w:tr2bl w:val="nil"/>
            </w:tcBorders>
            <w:vAlign w:val="center"/>
          </w:tcPr>
          <w:p w14:paraId="66996135">
            <w:pPr>
              <w:keepNext w:val="0"/>
              <w:keepLines w:val="0"/>
              <w:pageBreakBefore w:val="0"/>
              <w:widowControl/>
              <w:tabs>
                <w:tab w:val="left" w:pos="993"/>
                <w:tab w:val="left" w:pos="1276"/>
              </w:tabs>
              <w:kinsoku/>
              <w:wordWrap/>
              <w:overflowPunct/>
              <w:topLinePunct w:val="0"/>
              <w:autoSpaceDE/>
              <w:autoSpaceDN/>
              <w:bidi w:val="0"/>
              <w:adjustRightInd/>
              <w:snapToGrid/>
              <w:ind w:left="0" w:right="0"/>
              <w:jc w:val="center"/>
              <w:textAlignment w:val="auto"/>
              <w:rPr>
                <w:rFonts w:ascii="Times New Roman" w:hAnsi="Times New Roman"/>
                <w:color w:val="auto"/>
                <w:sz w:val="21"/>
                <w:szCs w:val="21"/>
                <w:highlight w:val="none"/>
                <w:lang w:bidi="zh-CN"/>
              </w:rPr>
            </w:pPr>
            <w:r>
              <w:rPr>
                <w:rFonts w:ascii="Times New Roman" w:hAnsi="Times New Roman"/>
                <w:color w:val="auto"/>
                <w:sz w:val="21"/>
                <w:szCs w:val="21"/>
                <w:highlight w:val="none"/>
                <w:lang w:bidi="zh-CN"/>
              </w:rPr>
              <w:t>本项目厂界外200m</w:t>
            </w:r>
          </w:p>
        </w:tc>
      </w:tr>
      <w:tr w14:paraId="7F795A8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279" w:type="dxa"/>
            <w:tcBorders>
              <w:tl2br w:val="nil"/>
              <w:tr2bl w:val="nil"/>
            </w:tcBorders>
            <w:vAlign w:val="center"/>
          </w:tcPr>
          <w:p w14:paraId="6DCE00AC">
            <w:pPr>
              <w:keepNext w:val="0"/>
              <w:keepLines w:val="0"/>
              <w:pageBreakBefore w:val="0"/>
              <w:widowControl/>
              <w:tabs>
                <w:tab w:val="left" w:pos="993"/>
                <w:tab w:val="left" w:pos="1276"/>
              </w:tabs>
              <w:kinsoku/>
              <w:wordWrap/>
              <w:overflowPunct/>
              <w:topLinePunct w:val="0"/>
              <w:autoSpaceDE/>
              <w:autoSpaceDN/>
              <w:bidi w:val="0"/>
              <w:adjustRightInd/>
              <w:snapToGrid/>
              <w:ind w:left="0" w:right="0"/>
              <w:jc w:val="center"/>
              <w:textAlignment w:val="auto"/>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土壤环境</w:t>
            </w:r>
          </w:p>
        </w:tc>
        <w:tc>
          <w:tcPr>
            <w:tcW w:w="2247" w:type="dxa"/>
            <w:gridSpan w:val="2"/>
            <w:tcBorders>
              <w:tl2br w:val="nil"/>
              <w:tr2bl w:val="nil"/>
            </w:tcBorders>
            <w:vAlign w:val="center"/>
          </w:tcPr>
          <w:p w14:paraId="586BFB25">
            <w:pPr>
              <w:keepNext w:val="0"/>
              <w:keepLines w:val="0"/>
              <w:pageBreakBefore w:val="0"/>
              <w:widowControl/>
              <w:tabs>
                <w:tab w:val="left" w:pos="993"/>
                <w:tab w:val="left" w:pos="1276"/>
              </w:tabs>
              <w:kinsoku/>
              <w:wordWrap/>
              <w:overflowPunct/>
              <w:topLinePunct w:val="0"/>
              <w:autoSpaceDE/>
              <w:autoSpaceDN/>
              <w:bidi w:val="0"/>
              <w:adjustRightInd/>
              <w:snapToGrid/>
              <w:ind w:left="0" w:right="0"/>
              <w:jc w:val="center"/>
              <w:textAlignment w:val="auto"/>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二级</w:t>
            </w:r>
          </w:p>
        </w:tc>
        <w:tc>
          <w:tcPr>
            <w:tcW w:w="4978" w:type="dxa"/>
            <w:tcBorders>
              <w:tl2br w:val="nil"/>
              <w:tr2bl w:val="nil"/>
            </w:tcBorders>
            <w:vAlign w:val="center"/>
          </w:tcPr>
          <w:p w14:paraId="621503C5">
            <w:pPr>
              <w:keepNext w:val="0"/>
              <w:keepLines w:val="0"/>
              <w:pageBreakBefore w:val="0"/>
              <w:widowControl/>
              <w:tabs>
                <w:tab w:val="left" w:pos="993"/>
                <w:tab w:val="left" w:pos="1276"/>
              </w:tabs>
              <w:kinsoku/>
              <w:wordWrap/>
              <w:overflowPunct/>
              <w:topLinePunct w:val="0"/>
              <w:autoSpaceDE/>
              <w:autoSpaceDN/>
              <w:bidi w:val="0"/>
              <w:adjustRightInd/>
              <w:snapToGrid/>
              <w:ind w:left="0" w:right="0"/>
              <w:jc w:val="center"/>
              <w:textAlignment w:val="auto"/>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本项目占地范围内，及厂界外0.2km范围内</w:t>
            </w:r>
          </w:p>
        </w:tc>
      </w:tr>
      <w:tr w14:paraId="113673B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279" w:type="dxa"/>
            <w:vMerge w:val="restart"/>
            <w:tcBorders>
              <w:tl2br w:val="nil"/>
              <w:tr2bl w:val="nil"/>
            </w:tcBorders>
            <w:vAlign w:val="center"/>
          </w:tcPr>
          <w:p w14:paraId="7814746C">
            <w:pPr>
              <w:keepNext w:val="0"/>
              <w:keepLines w:val="0"/>
              <w:pageBreakBefore w:val="0"/>
              <w:widowControl/>
              <w:tabs>
                <w:tab w:val="left" w:pos="993"/>
                <w:tab w:val="left" w:pos="1276"/>
              </w:tabs>
              <w:kinsoku/>
              <w:wordWrap/>
              <w:overflowPunct/>
              <w:topLinePunct w:val="0"/>
              <w:autoSpaceDE/>
              <w:autoSpaceDN/>
              <w:bidi w:val="0"/>
              <w:adjustRightInd/>
              <w:snapToGrid/>
              <w:ind w:left="0" w:right="0"/>
              <w:jc w:val="center"/>
              <w:textAlignment w:val="auto"/>
              <w:rPr>
                <w:rFonts w:ascii="Times New Roman" w:hAnsi="Times New Roman"/>
                <w:color w:val="auto"/>
                <w:sz w:val="21"/>
                <w:szCs w:val="21"/>
                <w:highlight w:val="none"/>
                <w:lang w:bidi="zh-CN"/>
              </w:rPr>
            </w:pPr>
            <w:r>
              <w:rPr>
                <w:rFonts w:ascii="Times New Roman" w:hAnsi="Times New Roman"/>
                <w:color w:val="auto"/>
                <w:sz w:val="21"/>
                <w:szCs w:val="21"/>
                <w:highlight w:val="none"/>
                <w:lang w:bidi="zh-CN"/>
              </w:rPr>
              <w:t>风险评价</w:t>
            </w:r>
          </w:p>
        </w:tc>
        <w:tc>
          <w:tcPr>
            <w:tcW w:w="702" w:type="dxa"/>
            <w:vMerge w:val="restart"/>
            <w:tcBorders>
              <w:tl2br w:val="nil"/>
              <w:tr2bl w:val="nil"/>
            </w:tcBorders>
            <w:vAlign w:val="center"/>
          </w:tcPr>
          <w:p w14:paraId="32A139D5">
            <w:pPr>
              <w:keepNext w:val="0"/>
              <w:keepLines w:val="0"/>
              <w:pageBreakBefore w:val="0"/>
              <w:widowControl/>
              <w:tabs>
                <w:tab w:val="left" w:pos="993"/>
                <w:tab w:val="left" w:pos="1276"/>
              </w:tabs>
              <w:kinsoku/>
              <w:wordWrap/>
              <w:overflowPunct/>
              <w:topLinePunct w:val="0"/>
              <w:autoSpaceDE/>
              <w:autoSpaceDN/>
              <w:bidi w:val="0"/>
              <w:adjustRightInd/>
              <w:snapToGrid/>
              <w:ind w:left="0" w:right="0"/>
              <w:jc w:val="center"/>
              <w:textAlignment w:val="auto"/>
              <w:rPr>
                <w:rFonts w:ascii="Times New Roman" w:hAnsi="Times New Roman"/>
                <w:color w:val="auto"/>
                <w:sz w:val="21"/>
                <w:szCs w:val="21"/>
                <w:highlight w:val="none"/>
                <w:lang w:bidi="zh-CN"/>
              </w:rPr>
            </w:pPr>
            <w:r>
              <w:rPr>
                <w:rFonts w:ascii="Times New Roman" w:hAnsi="Times New Roman"/>
                <w:color w:val="auto"/>
                <w:sz w:val="21"/>
                <w:szCs w:val="21"/>
                <w:highlight w:val="none"/>
                <w:lang w:bidi="zh-CN"/>
              </w:rPr>
              <w:t>二级</w:t>
            </w:r>
          </w:p>
        </w:tc>
        <w:tc>
          <w:tcPr>
            <w:tcW w:w="1545" w:type="dxa"/>
            <w:tcBorders>
              <w:tl2br w:val="nil"/>
              <w:tr2bl w:val="nil"/>
            </w:tcBorders>
            <w:vAlign w:val="center"/>
          </w:tcPr>
          <w:p w14:paraId="74CCC633">
            <w:pPr>
              <w:keepNext w:val="0"/>
              <w:keepLines w:val="0"/>
              <w:pageBreakBefore w:val="0"/>
              <w:widowControl/>
              <w:tabs>
                <w:tab w:val="left" w:pos="993"/>
                <w:tab w:val="left" w:pos="1276"/>
              </w:tabs>
              <w:kinsoku/>
              <w:wordWrap/>
              <w:overflowPunct/>
              <w:topLinePunct w:val="0"/>
              <w:autoSpaceDE/>
              <w:autoSpaceDN/>
              <w:bidi w:val="0"/>
              <w:adjustRightInd/>
              <w:snapToGrid/>
              <w:ind w:left="0" w:right="0"/>
              <w:jc w:val="center"/>
              <w:textAlignment w:val="auto"/>
              <w:rPr>
                <w:rFonts w:ascii="Times New Roman" w:hAnsi="Times New Roman"/>
                <w:color w:val="auto"/>
                <w:sz w:val="21"/>
                <w:szCs w:val="21"/>
                <w:highlight w:val="none"/>
                <w:lang w:bidi="zh-CN"/>
              </w:rPr>
            </w:pPr>
            <w:r>
              <w:rPr>
                <w:rFonts w:hint="eastAsia" w:ascii="Times New Roman" w:hAnsi="Times New Roman" w:cs="Times New Roman"/>
                <w:color w:val="auto"/>
                <w:sz w:val="21"/>
                <w:szCs w:val="21"/>
                <w:highlight w:val="none"/>
                <w:lang w:bidi="zh-CN"/>
              </w:rPr>
              <w:t>大气二级</w:t>
            </w:r>
          </w:p>
        </w:tc>
        <w:tc>
          <w:tcPr>
            <w:tcW w:w="4978" w:type="dxa"/>
            <w:tcBorders>
              <w:tl2br w:val="nil"/>
              <w:tr2bl w:val="nil"/>
            </w:tcBorders>
            <w:vAlign w:val="center"/>
          </w:tcPr>
          <w:p w14:paraId="359A93FF">
            <w:pPr>
              <w:keepNext w:val="0"/>
              <w:keepLines w:val="0"/>
              <w:pageBreakBefore w:val="0"/>
              <w:widowControl/>
              <w:tabs>
                <w:tab w:val="left" w:pos="993"/>
                <w:tab w:val="left" w:pos="1276"/>
              </w:tabs>
              <w:kinsoku/>
              <w:wordWrap/>
              <w:overflowPunct/>
              <w:topLinePunct w:val="0"/>
              <w:autoSpaceDE/>
              <w:autoSpaceDN/>
              <w:bidi w:val="0"/>
              <w:adjustRightInd/>
              <w:snapToGrid/>
              <w:ind w:left="0" w:right="0"/>
              <w:jc w:val="center"/>
              <w:textAlignment w:val="auto"/>
              <w:rPr>
                <w:rFonts w:ascii="Times New Roman" w:hAnsi="Times New Roman"/>
                <w:color w:val="auto"/>
                <w:sz w:val="21"/>
                <w:szCs w:val="21"/>
                <w:highlight w:val="none"/>
                <w:lang w:bidi="zh-CN"/>
              </w:rPr>
            </w:pPr>
            <w:r>
              <w:rPr>
                <w:rFonts w:ascii="Times New Roman" w:hAnsi="Times New Roman" w:cs="Times New Roman"/>
                <w:color w:val="auto"/>
                <w:sz w:val="21"/>
                <w:szCs w:val="21"/>
                <w:highlight w:val="none"/>
                <w:lang w:bidi="zh-CN"/>
              </w:rPr>
              <w:t>大气：项目边界5km范围内</w:t>
            </w:r>
          </w:p>
        </w:tc>
      </w:tr>
      <w:tr w14:paraId="474446F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279" w:type="dxa"/>
            <w:vMerge w:val="continue"/>
            <w:tcBorders>
              <w:tl2br w:val="nil"/>
              <w:tr2bl w:val="nil"/>
            </w:tcBorders>
            <w:vAlign w:val="center"/>
          </w:tcPr>
          <w:p w14:paraId="367AED47">
            <w:pPr>
              <w:keepNext w:val="0"/>
              <w:keepLines w:val="0"/>
              <w:pageBreakBefore w:val="0"/>
              <w:widowControl/>
              <w:tabs>
                <w:tab w:val="left" w:pos="993"/>
                <w:tab w:val="left" w:pos="1276"/>
              </w:tabs>
              <w:kinsoku/>
              <w:wordWrap/>
              <w:overflowPunct/>
              <w:topLinePunct w:val="0"/>
              <w:autoSpaceDE/>
              <w:autoSpaceDN/>
              <w:bidi w:val="0"/>
              <w:adjustRightInd/>
              <w:snapToGrid/>
              <w:ind w:left="0" w:right="0"/>
              <w:jc w:val="center"/>
              <w:textAlignment w:val="auto"/>
              <w:rPr>
                <w:rFonts w:ascii="Times New Roman" w:hAnsi="Times New Roman"/>
                <w:color w:val="auto"/>
                <w:sz w:val="21"/>
                <w:szCs w:val="21"/>
                <w:highlight w:val="none"/>
                <w:lang w:bidi="zh-CN"/>
              </w:rPr>
            </w:pPr>
            <w:bookmarkStart w:id="164" w:name="_Toc60653454"/>
            <w:bookmarkStart w:id="165" w:name="_Toc352006408"/>
            <w:bookmarkStart w:id="166" w:name="_Toc327968203"/>
            <w:bookmarkStart w:id="167" w:name="_Toc5771"/>
          </w:p>
        </w:tc>
        <w:tc>
          <w:tcPr>
            <w:tcW w:w="702" w:type="dxa"/>
            <w:vMerge w:val="continue"/>
            <w:tcBorders>
              <w:tl2br w:val="nil"/>
              <w:tr2bl w:val="nil"/>
            </w:tcBorders>
            <w:vAlign w:val="center"/>
          </w:tcPr>
          <w:p w14:paraId="086FCD74">
            <w:pPr>
              <w:keepNext w:val="0"/>
              <w:keepLines w:val="0"/>
              <w:pageBreakBefore w:val="0"/>
              <w:widowControl/>
              <w:tabs>
                <w:tab w:val="left" w:pos="993"/>
                <w:tab w:val="left" w:pos="1276"/>
              </w:tabs>
              <w:kinsoku/>
              <w:wordWrap/>
              <w:overflowPunct/>
              <w:topLinePunct w:val="0"/>
              <w:autoSpaceDE/>
              <w:autoSpaceDN/>
              <w:bidi w:val="0"/>
              <w:adjustRightInd/>
              <w:snapToGrid/>
              <w:ind w:left="0" w:right="0"/>
              <w:jc w:val="center"/>
              <w:textAlignment w:val="auto"/>
              <w:rPr>
                <w:rFonts w:ascii="Times New Roman" w:hAnsi="Times New Roman"/>
                <w:color w:val="auto"/>
                <w:sz w:val="21"/>
                <w:szCs w:val="21"/>
                <w:highlight w:val="none"/>
                <w:lang w:bidi="zh-CN"/>
              </w:rPr>
            </w:pPr>
          </w:p>
        </w:tc>
        <w:tc>
          <w:tcPr>
            <w:tcW w:w="1545" w:type="dxa"/>
            <w:tcBorders>
              <w:tl2br w:val="nil"/>
              <w:tr2bl w:val="nil"/>
            </w:tcBorders>
            <w:vAlign w:val="center"/>
          </w:tcPr>
          <w:p w14:paraId="73745FA5">
            <w:pPr>
              <w:keepNext w:val="0"/>
              <w:keepLines w:val="0"/>
              <w:pageBreakBefore w:val="0"/>
              <w:widowControl/>
              <w:tabs>
                <w:tab w:val="left" w:pos="993"/>
                <w:tab w:val="left" w:pos="1276"/>
              </w:tabs>
              <w:kinsoku/>
              <w:wordWrap/>
              <w:overflowPunct/>
              <w:topLinePunct w:val="0"/>
              <w:autoSpaceDE/>
              <w:autoSpaceDN/>
              <w:bidi w:val="0"/>
              <w:adjustRightInd/>
              <w:snapToGrid/>
              <w:ind w:left="0" w:right="0"/>
              <w:jc w:val="center"/>
              <w:textAlignment w:val="auto"/>
              <w:rPr>
                <w:rFonts w:ascii="Times New Roman" w:hAnsi="Times New Roman"/>
                <w:color w:val="auto"/>
                <w:sz w:val="21"/>
                <w:szCs w:val="21"/>
                <w:highlight w:val="none"/>
                <w:lang w:bidi="zh-CN"/>
              </w:rPr>
            </w:pPr>
            <w:r>
              <w:rPr>
                <w:rFonts w:hint="eastAsia" w:ascii="Times New Roman" w:hAnsi="Times New Roman" w:cs="Times New Roman"/>
                <w:color w:val="auto"/>
                <w:sz w:val="21"/>
                <w:szCs w:val="21"/>
                <w:highlight w:val="none"/>
                <w:lang w:bidi="zh-CN"/>
              </w:rPr>
              <w:t>地表水二级</w:t>
            </w:r>
          </w:p>
        </w:tc>
        <w:tc>
          <w:tcPr>
            <w:tcW w:w="4978" w:type="dxa"/>
            <w:tcBorders>
              <w:tl2br w:val="nil"/>
              <w:tr2bl w:val="nil"/>
            </w:tcBorders>
            <w:vAlign w:val="center"/>
          </w:tcPr>
          <w:p w14:paraId="3542618B">
            <w:pPr>
              <w:keepNext w:val="0"/>
              <w:keepLines w:val="0"/>
              <w:pageBreakBefore w:val="0"/>
              <w:widowControl/>
              <w:tabs>
                <w:tab w:val="left" w:pos="993"/>
                <w:tab w:val="left" w:pos="1276"/>
              </w:tabs>
              <w:kinsoku/>
              <w:wordWrap/>
              <w:overflowPunct/>
              <w:topLinePunct w:val="0"/>
              <w:autoSpaceDE/>
              <w:autoSpaceDN/>
              <w:bidi w:val="0"/>
              <w:adjustRightInd/>
              <w:snapToGrid/>
              <w:ind w:left="0" w:right="0"/>
              <w:jc w:val="center"/>
              <w:textAlignment w:val="auto"/>
              <w:rPr>
                <w:rFonts w:ascii="Times New Roman" w:hAnsi="Times New Roman"/>
                <w:color w:val="auto"/>
                <w:sz w:val="21"/>
                <w:szCs w:val="21"/>
                <w:highlight w:val="none"/>
                <w:lang w:bidi="zh-CN"/>
              </w:rPr>
            </w:pPr>
            <w:r>
              <w:rPr>
                <w:rFonts w:ascii="Times New Roman" w:hAnsi="Times New Roman" w:cs="Times New Roman"/>
                <w:color w:val="auto"/>
                <w:sz w:val="21"/>
                <w:szCs w:val="21"/>
                <w:highlight w:val="none"/>
                <w:lang w:bidi="zh-CN"/>
              </w:rPr>
              <w:t>地表水*：排污口下游10km污染影响范围内</w:t>
            </w:r>
          </w:p>
        </w:tc>
      </w:tr>
      <w:tr w14:paraId="7BE07D2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279" w:type="dxa"/>
            <w:vMerge w:val="continue"/>
            <w:tcBorders>
              <w:tl2br w:val="nil"/>
              <w:tr2bl w:val="nil"/>
            </w:tcBorders>
            <w:vAlign w:val="center"/>
          </w:tcPr>
          <w:p w14:paraId="2B01C101">
            <w:pPr>
              <w:keepNext w:val="0"/>
              <w:keepLines w:val="0"/>
              <w:pageBreakBefore w:val="0"/>
              <w:widowControl/>
              <w:tabs>
                <w:tab w:val="left" w:pos="993"/>
                <w:tab w:val="left" w:pos="1276"/>
              </w:tabs>
              <w:kinsoku/>
              <w:wordWrap/>
              <w:overflowPunct/>
              <w:topLinePunct w:val="0"/>
              <w:autoSpaceDE/>
              <w:autoSpaceDN/>
              <w:bidi w:val="0"/>
              <w:adjustRightInd/>
              <w:snapToGrid/>
              <w:ind w:left="0" w:right="0"/>
              <w:jc w:val="center"/>
              <w:textAlignment w:val="auto"/>
              <w:rPr>
                <w:rFonts w:ascii="Times New Roman" w:hAnsi="Times New Roman"/>
                <w:color w:val="auto"/>
                <w:sz w:val="21"/>
                <w:szCs w:val="21"/>
                <w:highlight w:val="none"/>
                <w:lang w:bidi="zh-CN"/>
              </w:rPr>
            </w:pPr>
          </w:p>
        </w:tc>
        <w:tc>
          <w:tcPr>
            <w:tcW w:w="702" w:type="dxa"/>
            <w:vMerge w:val="continue"/>
            <w:tcBorders>
              <w:tl2br w:val="nil"/>
              <w:tr2bl w:val="nil"/>
            </w:tcBorders>
            <w:vAlign w:val="center"/>
          </w:tcPr>
          <w:p w14:paraId="4D9C02CC">
            <w:pPr>
              <w:keepNext w:val="0"/>
              <w:keepLines w:val="0"/>
              <w:pageBreakBefore w:val="0"/>
              <w:widowControl/>
              <w:tabs>
                <w:tab w:val="left" w:pos="993"/>
                <w:tab w:val="left" w:pos="1276"/>
              </w:tabs>
              <w:kinsoku/>
              <w:wordWrap/>
              <w:overflowPunct/>
              <w:topLinePunct w:val="0"/>
              <w:autoSpaceDE/>
              <w:autoSpaceDN/>
              <w:bidi w:val="0"/>
              <w:adjustRightInd/>
              <w:snapToGrid/>
              <w:ind w:left="0" w:right="0"/>
              <w:jc w:val="center"/>
              <w:textAlignment w:val="auto"/>
              <w:rPr>
                <w:rFonts w:ascii="Times New Roman" w:hAnsi="Times New Roman"/>
                <w:color w:val="auto"/>
                <w:sz w:val="21"/>
                <w:szCs w:val="21"/>
                <w:highlight w:val="none"/>
                <w:lang w:bidi="zh-CN"/>
              </w:rPr>
            </w:pPr>
          </w:p>
        </w:tc>
        <w:tc>
          <w:tcPr>
            <w:tcW w:w="1545" w:type="dxa"/>
            <w:tcBorders>
              <w:tl2br w:val="nil"/>
              <w:tr2bl w:val="nil"/>
            </w:tcBorders>
            <w:vAlign w:val="center"/>
          </w:tcPr>
          <w:p w14:paraId="09DF48FC">
            <w:pPr>
              <w:keepNext w:val="0"/>
              <w:keepLines w:val="0"/>
              <w:pageBreakBefore w:val="0"/>
              <w:widowControl/>
              <w:tabs>
                <w:tab w:val="left" w:pos="993"/>
                <w:tab w:val="left" w:pos="1276"/>
              </w:tabs>
              <w:kinsoku/>
              <w:wordWrap/>
              <w:overflowPunct/>
              <w:topLinePunct w:val="0"/>
              <w:autoSpaceDE/>
              <w:autoSpaceDN/>
              <w:bidi w:val="0"/>
              <w:adjustRightInd/>
              <w:snapToGrid/>
              <w:ind w:left="0" w:right="0"/>
              <w:jc w:val="center"/>
              <w:textAlignment w:val="auto"/>
              <w:rPr>
                <w:rFonts w:ascii="Times New Roman" w:hAnsi="Times New Roman"/>
                <w:color w:val="auto"/>
                <w:sz w:val="21"/>
                <w:szCs w:val="21"/>
                <w:highlight w:val="none"/>
                <w:lang w:bidi="zh-CN"/>
              </w:rPr>
            </w:pPr>
            <w:r>
              <w:rPr>
                <w:rFonts w:hint="eastAsia" w:ascii="Times New Roman" w:hAnsi="Times New Roman" w:cs="Times New Roman"/>
                <w:color w:val="auto"/>
                <w:sz w:val="21"/>
                <w:szCs w:val="21"/>
                <w:highlight w:val="none"/>
                <w:lang w:bidi="zh-CN"/>
              </w:rPr>
              <w:t>地下水简单分析</w:t>
            </w:r>
          </w:p>
        </w:tc>
        <w:tc>
          <w:tcPr>
            <w:tcW w:w="4978" w:type="dxa"/>
            <w:tcBorders>
              <w:tl2br w:val="nil"/>
              <w:tr2bl w:val="nil"/>
            </w:tcBorders>
            <w:vAlign w:val="center"/>
          </w:tcPr>
          <w:p w14:paraId="121AAD5D">
            <w:pPr>
              <w:keepNext w:val="0"/>
              <w:keepLines w:val="0"/>
              <w:pageBreakBefore w:val="0"/>
              <w:widowControl/>
              <w:tabs>
                <w:tab w:val="left" w:pos="993"/>
                <w:tab w:val="left" w:pos="1276"/>
              </w:tabs>
              <w:kinsoku/>
              <w:wordWrap/>
              <w:overflowPunct/>
              <w:topLinePunct w:val="0"/>
              <w:autoSpaceDE/>
              <w:autoSpaceDN/>
              <w:bidi w:val="0"/>
              <w:adjustRightInd/>
              <w:snapToGrid/>
              <w:ind w:left="0" w:right="0"/>
              <w:jc w:val="center"/>
              <w:textAlignment w:val="auto"/>
              <w:rPr>
                <w:rFonts w:ascii="Times New Roman" w:hAnsi="Times New Roman"/>
                <w:color w:val="auto"/>
                <w:sz w:val="21"/>
                <w:szCs w:val="21"/>
                <w:highlight w:val="none"/>
                <w:lang w:bidi="zh-CN"/>
              </w:rPr>
            </w:pPr>
            <w:r>
              <w:rPr>
                <w:rFonts w:ascii="Times New Roman" w:hAnsi="Times New Roman" w:cs="Times New Roman"/>
                <w:color w:val="auto"/>
                <w:sz w:val="21"/>
                <w:szCs w:val="21"/>
                <w:highlight w:val="none"/>
                <w:lang w:bidi="zh-CN"/>
              </w:rPr>
              <w:t>地下水：</w:t>
            </w:r>
            <w:r>
              <w:rPr>
                <w:rFonts w:hint="eastAsia" w:ascii="Times New Roman" w:hAnsi="Times New Roman" w:cs="Times New Roman"/>
                <w:color w:val="auto"/>
                <w:sz w:val="21"/>
                <w:szCs w:val="21"/>
                <w:highlight w:val="none"/>
                <w:lang w:bidi="zh-CN"/>
              </w:rPr>
              <w:t>＜</w:t>
            </w:r>
            <w:r>
              <w:rPr>
                <w:rFonts w:ascii="Times New Roman" w:hAnsi="Times New Roman" w:cs="Times New Roman"/>
                <w:color w:val="auto"/>
                <w:sz w:val="21"/>
                <w:szCs w:val="21"/>
                <w:highlight w:val="none"/>
                <w:lang w:bidi="zh-CN"/>
              </w:rPr>
              <w:t>6km</w:t>
            </w:r>
            <w:r>
              <w:rPr>
                <w:rFonts w:ascii="Times New Roman" w:hAnsi="Times New Roman" w:cs="Times New Roman"/>
                <w:color w:val="auto"/>
                <w:sz w:val="21"/>
                <w:szCs w:val="21"/>
                <w:highlight w:val="none"/>
                <w:vertAlign w:val="superscript"/>
                <w:lang w:bidi="zh-CN"/>
              </w:rPr>
              <w:t>2</w:t>
            </w:r>
          </w:p>
        </w:tc>
      </w:tr>
      <w:tr w14:paraId="29DEB8A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279" w:type="dxa"/>
            <w:tcBorders>
              <w:tl2br w:val="nil"/>
              <w:tr2bl w:val="nil"/>
            </w:tcBorders>
            <w:vAlign w:val="center"/>
          </w:tcPr>
          <w:p w14:paraId="342D4941">
            <w:pPr>
              <w:keepNext w:val="0"/>
              <w:keepLines w:val="0"/>
              <w:pageBreakBefore w:val="0"/>
              <w:widowControl/>
              <w:tabs>
                <w:tab w:val="left" w:pos="993"/>
                <w:tab w:val="left" w:pos="1276"/>
              </w:tabs>
              <w:kinsoku/>
              <w:wordWrap/>
              <w:overflowPunct/>
              <w:topLinePunct w:val="0"/>
              <w:autoSpaceDE/>
              <w:autoSpaceDN/>
              <w:bidi w:val="0"/>
              <w:adjustRightInd/>
              <w:snapToGrid/>
              <w:ind w:left="0" w:right="0"/>
              <w:jc w:val="center"/>
              <w:textAlignment w:val="auto"/>
              <w:rPr>
                <w:rFonts w:ascii="Times New Roman" w:hAnsi="Times New Roman"/>
                <w:color w:val="auto"/>
                <w:sz w:val="21"/>
                <w:szCs w:val="21"/>
                <w:highlight w:val="none"/>
                <w:lang w:bidi="zh-CN"/>
              </w:rPr>
            </w:pPr>
            <w:r>
              <w:rPr>
                <w:rFonts w:ascii="Times New Roman" w:hAnsi="Times New Roman" w:cs="Times New Roman"/>
                <w:color w:val="auto"/>
                <w:sz w:val="21"/>
                <w:szCs w:val="21"/>
                <w:highlight w:val="none"/>
                <w:lang w:bidi="zh-CN"/>
              </w:rPr>
              <w:t>生态评价</w:t>
            </w:r>
          </w:p>
        </w:tc>
        <w:tc>
          <w:tcPr>
            <w:tcW w:w="2247" w:type="dxa"/>
            <w:gridSpan w:val="2"/>
            <w:tcBorders>
              <w:tl2br w:val="nil"/>
              <w:tr2bl w:val="nil"/>
            </w:tcBorders>
            <w:vAlign w:val="center"/>
          </w:tcPr>
          <w:p w14:paraId="77BF6B03">
            <w:pPr>
              <w:keepNext w:val="0"/>
              <w:keepLines w:val="0"/>
              <w:pageBreakBefore w:val="0"/>
              <w:widowControl/>
              <w:tabs>
                <w:tab w:val="left" w:pos="993"/>
                <w:tab w:val="left" w:pos="1276"/>
              </w:tabs>
              <w:kinsoku/>
              <w:wordWrap/>
              <w:overflowPunct/>
              <w:topLinePunct w:val="0"/>
              <w:autoSpaceDE/>
              <w:autoSpaceDN/>
              <w:bidi w:val="0"/>
              <w:adjustRightInd/>
              <w:snapToGrid/>
              <w:ind w:left="0" w:right="0"/>
              <w:jc w:val="center"/>
              <w:textAlignment w:val="auto"/>
              <w:rPr>
                <w:rFonts w:ascii="Times New Roman" w:hAnsi="Times New Roman"/>
                <w:color w:val="auto"/>
                <w:sz w:val="21"/>
                <w:szCs w:val="21"/>
                <w:highlight w:val="none"/>
                <w:lang w:bidi="zh-CN"/>
              </w:rPr>
            </w:pPr>
            <w:r>
              <w:rPr>
                <w:rFonts w:ascii="Times New Roman" w:hAnsi="Times New Roman" w:cs="Times New Roman"/>
                <w:color w:val="auto"/>
                <w:sz w:val="21"/>
                <w:szCs w:val="21"/>
                <w:highlight w:val="none"/>
                <w:lang w:bidi="zh-CN"/>
              </w:rPr>
              <w:t>简单分析</w:t>
            </w:r>
          </w:p>
        </w:tc>
        <w:tc>
          <w:tcPr>
            <w:tcW w:w="4978" w:type="dxa"/>
            <w:tcBorders>
              <w:tl2br w:val="nil"/>
              <w:tr2bl w:val="nil"/>
            </w:tcBorders>
            <w:vAlign w:val="center"/>
          </w:tcPr>
          <w:p w14:paraId="65D9BF0F">
            <w:pPr>
              <w:keepNext w:val="0"/>
              <w:keepLines w:val="0"/>
              <w:pageBreakBefore w:val="0"/>
              <w:widowControl/>
              <w:tabs>
                <w:tab w:val="left" w:pos="993"/>
                <w:tab w:val="left" w:pos="1276"/>
              </w:tabs>
              <w:kinsoku/>
              <w:wordWrap/>
              <w:overflowPunct/>
              <w:topLinePunct w:val="0"/>
              <w:autoSpaceDE/>
              <w:autoSpaceDN/>
              <w:bidi w:val="0"/>
              <w:adjustRightInd/>
              <w:snapToGrid/>
              <w:ind w:left="0" w:right="0"/>
              <w:jc w:val="center"/>
              <w:textAlignment w:val="auto"/>
              <w:rPr>
                <w:rFonts w:ascii="Times New Roman" w:hAnsi="Times New Roman"/>
                <w:color w:val="auto"/>
                <w:sz w:val="21"/>
                <w:szCs w:val="21"/>
                <w:highlight w:val="none"/>
                <w:lang w:bidi="zh-CN"/>
              </w:rPr>
            </w:pPr>
            <w:r>
              <w:rPr>
                <w:rFonts w:ascii="Times New Roman" w:hAnsi="Times New Roman" w:cs="Times New Roman"/>
                <w:color w:val="auto"/>
                <w:sz w:val="21"/>
                <w:szCs w:val="21"/>
                <w:highlight w:val="none"/>
                <w:lang w:bidi="zh-CN"/>
              </w:rPr>
              <w:t>涵盖项目直接占用区域以及污染物排放产生的间接生态影响区域</w:t>
            </w:r>
          </w:p>
        </w:tc>
      </w:tr>
      <w:bookmarkEnd w:id="159"/>
    </w:tbl>
    <w:p w14:paraId="5ABC9589">
      <w:pPr>
        <w:ind w:left="-105" w:right="-105" w:firstLine="422"/>
        <w:rPr>
          <w:b/>
          <w:bCs/>
          <w:color w:val="auto"/>
          <w:highlight w:val="none"/>
        </w:rPr>
      </w:pPr>
      <w:r>
        <w:rPr>
          <w:rFonts w:ascii="Times New Roman" w:hAnsi="Times New Roman" w:cs="Times New Roman"/>
          <w:b/>
          <w:bCs/>
          <w:color w:val="auto"/>
          <w:sz w:val="21"/>
          <w:szCs w:val="21"/>
          <w:highlight w:val="none"/>
        </w:rPr>
        <w:t>*注:地表水环境风险评价范围参照HJ2.3确定，因《环境影响评价技术导则 地表水环境(HJ2.3- 2018)》无明确的确定方法，本报告地表水环境风险评价范围参照《环境影响评价技术导则地面水环境(HJT2.3-1993)》中表4不同污水排放量时河流环境现状调查范围参考表选取</w:t>
      </w:r>
      <w:r>
        <w:rPr>
          <w:rFonts w:hint="eastAsia" w:ascii="Times New Roman" w:hAnsi="Times New Roman" w:cs="Times New Roman"/>
          <w:b/>
          <w:bCs/>
          <w:color w:val="auto"/>
          <w:sz w:val="21"/>
          <w:szCs w:val="21"/>
          <w:highlight w:val="none"/>
        </w:rPr>
        <w:t>。</w:t>
      </w:r>
    </w:p>
    <w:p w14:paraId="50EDC61D">
      <w:pPr>
        <w:pStyle w:val="5"/>
        <w:keepLines w:val="0"/>
        <w:numPr>
          <w:ilvl w:val="2"/>
          <w:numId w:val="6"/>
        </w:numPr>
        <w:tabs>
          <w:tab w:val="left" w:pos="709"/>
        </w:tabs>
        <w:spacing w:before="120" w:beforeLines="50" w:after="0" w:line="360" w:lineRule="auto"/>
        <w:ind w:left="-105" w:right="-105"/>
        <w:rPr>
          <w:rFonts w:eastAsia="宋体"/>
          <w:color w:val="auto"/>
          <w:sz w:val="28"/>
          <w:szCs w:val="28"/>
          <w:highlight w:val="none"/>
        </w:rPr>
      </w:pPr>
      <w:r>
        <w:rPr>
          <w:rFonts w:eastAsia="宋体"/>
          <w:color w:val="auto"/>
          <w:sz w:val="28"/>
          <w:szCs w:val="28"/>
          <w:highlight w:val="none"/>
        </w:rPr>
        <w:t>环境保护目标</w:t>
      </w:r>
      <w:bookmarkEnd w:id="164"/>
    </w:p>
    <w:p w14:paraId="67D74469">
      <w:pPr>
        <w:tabs>
          <w:tab w:val="left" w:pos="993"/>
          <w:tab w:val="left" w:pos="1276"/>
        </w:tabs>
        <w:spacing w:line="360" w:lineRule="auto"/>
        <w:ind w:left="-105" w:right="-105" w:firstLine="480"/>
        <w:rPr>
          <w:rFonts w:ascii="Times New Roman" w:hAnsi="Times New Roman" w:cs="Times New Roman"/>
          <w:color w:val="auto"/>
          <w:highlight w:val="none"/>
        </w:rPr>
      </w:pPr>
      <w:r>
        <w:rPr>
          <w:rFonts w:ascii="Times New Roman" w:hAnsi="Times New Roman"/>
          <w:color w:val="auto"/>
          <w:highlight w:val="none"/>
        </w:rPr>
        <w:t>本项目位于江苏省</w:t>
      </w:r>
      <w:r>
        <w:rPr>
          <w:rFonts w:hint="eastAsia" w:ascii="Times New Roman" w:hAnsi="Times New Roman"/>
          <w:color w:val="auto"/>
          <w:highlight w:val="none"/>
        </w:rPr>
        <w:t>无锡市锡山区锡北镇新坝村新达路6号</w:t>
      </w:r>
      <w:r>
        <w:rPr>
          <w:rFonts w:ascii="Times New Roman" w:hAnsi="Times New Roman"/>
          <w:color w:val="auto"/>
          <w:highlight w:val="none"/>
        </w:rPr>
        <w:t>，</w:t>
      </w:r>
      <w:r>
        <w:rPr>
          <w:rFonts w:hint="eastAsia" w:ascii="Times New Roman" w:hAnsi="Times New Roman"/>
          <w:color w:val="auto"/>
          <w:highlight w:val="none"/>
        </w:rPr>
        <w:t>由于本</w:t>
      </w:r>
      <w:r>
        <w:rPr>
          <w:rFonts w:ascii="Times New Roman" w:hAnsi="Times New Roman"/>
          <w:color w:val="auto"/>
          <w:highlight w:val="none"/>
        </w:rPr>
        <w:t>项目</w:t>
      </w:r>
      <w:r>
        <w:rPr>
          <w:rFonts w:hint="eastAsia" w:ascii="Times New Roman" w:hAnsi="Times New Roman"/>
          <w:color w:val="auto"/>
          <w:highlight w:val="none"/>
        </w:rPr>
        <w:t>大气环境影响评价等级为三级，不需设置大气环境影响评价范围，故不列出大气环境敏感目标。其余要素环境保护目标见下表。</w:t>
      </w:r>
    </w:p>
    <w:p w14:paraId="593547D4">
      <w:pPr>
        <w:pStyle w:val="15"/>
        <w:spacing w:line="360" w:lineRule="auto"/>
        <w:ind w:left="-105" w:right="-105" w:firstLine="482"/>
        <w:rPr>
          <w:rFonts w:eastAsia="宋体" w:cs="Times New Roman"/>
          <w:color w:val="auto"/>
          <w:sz w:val="24"/>
          <w:szCs w:val="24"/>
          <w:highlight w:val="none"/>
        </w:rPr>
      </w:pPr>
      <w:bookmarkStart w:id="168" w:name="_Ref18338373"/>
      <w:r>
        <w:rPr>
          <w:rFonts w:eastAsia="宋体" w:cs="Times New Roman"/>
          <w:color w:val="auto"/>
          <w:sz w:val="24"/>
          <w:szCs w:val="18"/>
          <w:highlight w:val="none"/>
        </w:rPr>
        <w:t xml:space="preserve">表 </w:t>
      </w:r>
      <w:r>
        <w:rPr>
          <w:rFonts w:eastAsia="宋体" w:cs="Times New Roman"/>
          <w:color w:val="auto"/>
          <w:sz w:val="24"/>
          <w:szCs w:val="18"/>
          <w:highlight w:val="none"/>
        </w:rPr>
        <w:fldChar w:fldCharType="begin"/>
      </w:r>
      <w:r>
        <w:rPr>
          <w:rFonts w:eastAsia="宋体" w:cs="Times New Roman"/>
          <w:color w:val="auto"/>
          <w:sz w:val="24"/>
          <w:szCs w:val="18"/>
          <w:highlight w:val="none"/>
        </w:rPr>
        <w:instrText xml:space="preserve"> STYLEREF 2 \s </w:instrText>
      </w:r>
      <w:r>
        <w:rPr>
          <w:rFonts w:eastAsia="宋体" w:cs="Times New Roman"/>
          <w:color w:val="auto"/>
          <w:sz w:val="24"/>
          <w:szCs w:val="18"/>
          <w:highlight w:val="none"/>
        </w:rPr>
        <w:fldChar w:fldCharType="separate"/>
      </w:r>
      <w:r>
        <w:rPr>
          <w:rFonts w:eastAsia="宋体" w:cs="Times New Roman"/>
          <w:color w:val="auto"/>
          <w:sz w:val="24"/>
          <w:szCs w:val="18"/>
          <w:highlight w:val="none"/>
        </w:rPr>
        <w:t>2.5</w:t>
      </w:r>
      <w:r>
        <w:rPr>
          <w:rFonts w:eastAsia="宋体" w:cs="Times New Roman"/>
          <w:color w:val="auto"/>
          <w:sz w:val="24"/>
          <w:szCs w:val="18"/>
          <w:highlight w:val="none"/>
        </w:rPr>
        <w:fldChar w:fldCharType="end"/>
      </w:r>
      <w:r>
        <w:rPr>
          <w:rFonts w:eastAsia="宋体" w:cs="Times New Roman"/>
          <w:color w:val="auto"/>
          <w:sz w:val="24"/>
          <w:szCs w:val="18"/>
          <w:highlight w:val="none"/>
        </w:rPr>
        <w:noBreakHyphen/>
      </w:r>
      <w:r>
        <w:rPr>
          <w:rFonts w:eastAsia="宋体" w:cs="Times New Roman"/>
          <w:color w:val="auto"/>
          <w:sz w:val="24"/>
          <w:szCs w:val="18"/>
          <w:highlight w:val="none"/>
        </w:rPr>
        <w:fldChar w:fldCharType="begin"/>
      </w:r>
      <w:r>
        <w:rPr>
          <w:rFonts w:eastAsia="宋体" w:cs="Times New Roman"/>
          <w:color w:val="auto"/>
          <w:sz w:val="24"/>
          <w:szCs w:val="18"/>
          <w:highlight w:val="none"/>
        </w:rPr>
        <w:instrText xml:space="preserve"> SEQ 表 \* ARABIC \s 2 </w:instrText>
      </w:r>
      <w:r>
        <w:rPr>
          <w:rFonts w:eastAsia="宋体" w:cs="Times New Roman"/>
          <w:color w:val="auto"/>
          <w:sz w:val="24"/>
          <w:szCs w:val="18"/>
          <w:highlight w:val="none"/>
        </w:rPr>
        <w:fldChar w:fldCharType="separate"/>
      </w:r>
      <w:r>
        <w:rPr>
          <w:rFonts w:eastAsia="宋体" w:cs="Times New Roman"/>
          <w:color w:val="auto"/>
          <w:sz w:val="24"/>
          <w:szCs w:val="18"/>
          <w:highlight w:val="none"/>
        </w:rPr>
        <w:t>2</w:t>
      </w:r>
      <w:r>
        <w:rPr>
          <w:rFonts w:eastAsia="宋体" w:cs="Times New Roman"/>
          <w:color w:val="auto"/>
          <w:sz w:val="24"/>
          <w:szCs w:val="18"/>
          <w:highlight w:val="none"/>
        </w:rPr>
        <w:fldChar w:fldCharType="end"/>
      </w:r>
      <w:bookmarkEnd w:id="168"/>
      <w:r>
        <w:rPr>
          <w:rFonts w:eastAsia="宋体" w:cs="Times New Roman"/>
          <w:color w:val="auto"/>
          <w:sz w:val="24"/>
          <w:szCs w:val="24"/>
          <w:highlight w:val="none"/>
        </w:rPr>
        <w:t>地表水环境保护目标表</w:t>
      </w:r>
    </w:p>
    <w:tbl>
      <w:tblPr>
        <w:tblStyle w:val="45"/>
        <w:tblW w:w="5000"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021"/>
        <w:gridCol w:w="1069"/>
        <w:gridCol w:w="612"/>
        <w:gridCol w:w="836"/>
        <w:gridCol w:w="837"/>
        <w:gridCol w:w="739"/>
        <w:gridCol w:w="704"/>
        <w:gridCol w:w="789"/>
        <w:gridCol w:w="820"/>
        <w:gridCol w:w="1292"/>
      </w:tblGrid>
      <w:tr w14:paraId="7F29E9E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39" w:hRule="atLeast"/>
          <w:jc w:val="center"/>
        </w:trPr>
        <w:tc>
          <w:tcPr>
            <w:tcW w:w="1029" w:type="dxa"/>
            <w:vMerge w:val="restart"/>
            <w:tcBorders>
              <w:top w:val="single" w:color="auto" w:sz="12" w:space="0"/>
              <w:left w:val="nil"/>
            </w:tcBorders>
            <w:vAlign w:val="center"/>
          </w:tcPr>
          <w:p w14:paraId="63B7F7DC">
            <w:pPr>
              <w:ind w:left="-105" w:right="-105"/>
              <w:jc w:val="center"/>
              <w:rPr>
                <w:rFonts w:ascii="Times New Roman" w:hAnsi="Times New Roman"/>
                <w:b/>
                <w:color w:val="auto"/>
                <w:sz w:val="21"/>
                <w:szCs w:val="21"/>
                <w:highlight w:val="none"/>
                <w:lang w:val="zh-CN" w:bidi="zh-CN"/>
              </w:rPr>
            </w:pPr>
            <w:r>
              <w:rPr>
                <w:rFonts w:ascii="Times New Roman" w:hAnsi="Times New Roman"/>
                <w:b/>
                <w:color w:val="auto"/>
                <w:sz w:val="21"/>
                <w:szCs w:val="21"/>
                <w:highlight w:val="none"/>
                <w:lang w:val="zh-CN" w:bidi="zh-CN"/>
              </w:rPr>
              <w:t>保护对象</w:t>
            </w:r>
          </w:p>
        </w:tc>
        <w:tc>
          <w:tcPr>
            <w:tcW w:w="1079" w:type="dxa"/>
            <w:vMerge w:val="restart"/>
            <w:tcBorders>
              <w:top w:val="single" w:color="auto" w:sz="12" w:space="0"/>
            </w:tcBorders>
            <w:vAlign w:val="center"/>
          </w:tcPr>
          <w:p w14:paraId="0CB4DB68">
            <w:pPr>
              <w:ind w:left="-105" w:right="-105"/>
              <w:jc w:val="center"/>
              <w:rPr>
                <w:rFonts w:ascii="Times New Roman" w:hAnsi="Times New Roman"/>
                <w:b/>
                <w:color w:val="auto"/>
                <w:sz w:val="21"/>
                <w:szCs w:val="21"/>
                <w:highlight w:val="none"/>
                <w:lang w:val="zh-CN" w:bidi="zh-CN"/>
              </w:rPr>
            </w:pPr>
            <w:r>
              <w:rPr>
                <w:rFonts w:ascii="Times New Roman" w:hAnsi="Times New Roman"/>
                <w:b/>
                <w:color w:val="auto"/>
                <w:sz w:val="21"/>
                <w:szCs w:val="21"/>
                <w:highlight w:val="none"/>
                <w:lang w:val="zh-CN" w:bidi="zh-CN"/>
              </w:rPr>
              <w:t>保护内容</w:t>
            </w:r>
          </w:p>
        </w:tc>
        <w:tc>
          <w:tcPr>
            <w:tcW w:w="3039" w:type="dxa"/>
            <w:gridSpan w:val="4"/>
            <w:tcBorders>
              <w:top w:val="single" w:color="auto" w:sz="12" w:space="0"/>
            </w:tcBorders>
            <w:vAlign w:val="center"/>
          </w:tcPr>
          <w:p w14:paraId="63B9A9AE">
            <w:pPr>
              <w:ind w:left="-105" w:right="-105"/>
              <w:jc w:val="center"/>
              <w:rPr>
                <w:rFonts w:ascii="Times New Roman" w:hAnsi="Times New Roman"/>
                <w:b/>
                <w:color w:val="auto"/>
                <w:sz w:val="21"/>
                <w:szCs w:val="21"/>
                <w:highlight w:val="none"/>
                <w:lang w:bidi="zh-CN"/>
              </w:rPr>
            </w:pPr>
            <w:r>
              <w:rPr>
                <w:rFonts w:ascii="Times New Roman" w:hAnsi="Times New Roman"/>
                <w:b/>
                <w:color w:val="auto"/>
                <w:sz w:val="21"/>
                <w:szCs w:val="21"/>
                <w:highlight w:val="none"/>
                <w:lang w:val="zh-CN" w:bidi="zh-CN"/>
              </w:rPr>
              <w:t>相对厂界</w:t>
            </w:r>
            <w:r>
              <w:rPr>
                <w:rFonts w:hint="eastAsia" w:ascii="Times New Roman" w:hAnsi="Times New Roman"/>
                <w:b/>
                <w:color w:val="auto"/>
                <w:sz w:val="21"/>
                <w:szCs w:val="21"/>
                <w:highlight w:val="none"/>
                <w:lang w:bidi="zh-CN"/>
              </w:rPr>
              <w:t>m</w:t>
            </w:r>
          </w:p>
        </w:tc>
        <w:tc>
          <w:tcPr>
            <w:tcW w:w="2325" w:type="dxa"/>
            <w:gridSpan w:val="3"/>
            <w:tcBorders>
              <w:top w:val="single" w:color="auto" w:sz="12" w:space="0"/>
            </w:tcBorders>
            <w:vAlign w:val="center"/>
          </w:tcPr>
          <w:p w14:paraId="477DEC8F">
            <w:pPr>
              <w:ind w:left="-105" w:right="-105"/>
              <w:jc w:val="center"/>
              <w:rPr>
                <w:rFonts w:ascii="Times New Roman" w:hAnsi="Times New Roman"/>
                <w:b/>
                <w:color w:val="auto"/>
                <w:sz w:val="21"/>
                <w:szCs w:val="21"/>
                <w:highlight w:val="none"/>
                <w:lang w:val="zh-CN" w:bidi="zh-CN"/>
              </w:rPr>
            </w:pPr>
            <w:r>
              <w:rPr>
                <w:rFonts w:ascii="Times New Roman" w:hAnsi="Times New Roman"/>
                <w:b/>
                <w:color w:val="auto"/>
                <w:sz w:val="21"/>
                <w:szCs w:val="21"/>
                <w:highlight w:val="none"/>
                <w:lang w:val="zh-CN" w:bidi="zh-CN"/>
              </w:rPr>
              <w:t>相对排放口</w:t>
            </w:r>
          </w:p>
        </w:tc>
        <w:tc>
          <w:tcPr>
            <w:tcW w:w="1305" w:type="dxa"/>
            <w:vMerge w:val="restart"/>
            <w:tcBorders>
              <w:top w:val="single" w:color="auto" w:sz="12" w:space="0"/>
              <w:right w:val="nil"/>
            </w:tcBorders>
            <w:vAlign w:val="center"/>
          </w:tcPr>
          <w:p w14:paraId="5935B6EE">
            <w:pPr>
              <w:ind w:left="-105" w:right="-105"/>
              <w:jc w:val="center"/>
              <w:rPr>
                <w:rFonts w:ascii="Times New Roman" w:hAnsi="Times New Roman"/>
                <w:b/>
                <w:color w:val="auto"/>
                <w:sz w:val="21"/>
                <w:szCs w:val="21"/>
                <w:highlight w:val="none"/>
                <w:lang w:val="zh-CN" w:bidi="zh-CN"/>
              </w:rPr>
            </w:pPr>
            <w:r>
              <w:rPr>
                <w:rFonts w:ascii="Times New Roman" w:hAnsi="Times New Roman"/>
                <w:b/>
                <w:color w:val="auto"/>
                <w:sz w:val="21"/>
                <w:szCs w:val="21"/>
                <w:highlight w:val="none"/>
                <w:lang w:val="zh-CN" w:bidi="zh-CN"/>
              </w:rPr>
              <w:t>与本项目的水力联</w:t>
            </w:r>
          </w:p>
          <w:p w14:paraId="420BA4AD">
            <w:pPr>
              <w:ind w:left="-105" w:right="-105"/>
              <w:jc w:val="center"/>
              <w:rPr>
                <w:rFonts w:ascii="Times New Roman" w:hAnsi="Times New Roman"/>
                <w:b/>
                <w:color w:val="auto"/>
                <w:sz w:val="21"/>
                <w:szCs w:val="21"/>
                <w:highlight w:val="none"/>
                <w:lang w:val="zh-CN" w:bidi="zh-CN"/>
              </w:rPr>
            </w:pPr>
            <w:r>
              <w:rPr>
                <w:rFonts w:ascii="Times New Roman" w:hAnsi="Times New Roman"/>
                <w:b/>
                <w:color w:val="auto"/>
                <w:sz w:val="21"/>
                <w:szCs w:val="21"/>
                <w:highlight w:val="none"/>
                <w:lang w:val="zh-CN" w:bidi="zh-CN"/>
              </w:rPr>
              <w:t>系</w:t>
            </w:r>
          </w:p>
        </w:tc>
      </w:tr>
      <w:tr w14:paraId="524F524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19" w:hRule="atLeast"/>
          <w:jc w:val="center"/>
        </w:trPr>
        <w:tc>
          <w:tcPr>
            <w:tcW w:w="1029" w:type="dxa"/>
            <w:vMerge w:val="continue"/>
            <w:tcBorders>
              <w:top w:val="nil"/>
              <w:left w:val="nil"/>
            </w:tcBorders>
            <w:vAlign w:val="center"/>
          </w:tcPr>
          <w:p w14:paraId="5B55E057">
            <w:pPr>
              <w:ind w:left="-105" w:right="-105"/>
              <w:jc w:val="center"/>
              <w:rPr>
                <w:rFonts w:ascii="Times New Roman" w:hAnsi="Times New Roman"/>
                <w:color w:val="auto"/>
                <w:sz w:val="21"/>
                <w:szCs w:val="21"/>
                <w:highlight w:val="none"/>
                <w:lang w:val="zh-CN" w:bidi="zh-CN"/>
              </w:rPr>
            </w:pPr>
          </w:p>
        </w:tc>
        <w:tc>
          <w:tcPr>
            <w:tcW w:w="1079" w:type="dxa"/>
            <w:vMerge w:val="continue"/>
            <w:tcBorders>
              <w:top w:val="nil"/>
            </w:tcBorders>
            <w:vAlign w:val="center"/>
          </w:tcPr>
          <w:p w14:paraId="4B02D48C">
            <w:pPr>
              <w:ind w:left="-105" w:right="-105"/>
              <w:jc w:val="center"/>
              <w:rPr>
                <w:rFonts w:ascii="Times New Roman" w:hAnsi="Times New Roman"/>
                <w:color w:val="auto"/>
                <w:sz w:val="21"/>
                <w:szCs w:val="21"/>
                <w:highlight w:val="none"/>
                <w:lang w:val="zh-CN" w:bidi="zh-CN"/>
              </w:rPr>
            </w:pPr>
          </w:p>
        </w:tc>
        <w:tc>
          <w:tcPr>
            <w:tcW w:w="613" w:type="dxa"/>
            <w:vMerge w:val="restart"/>
            <w:vAlign w:val="center"/>
          </w:tcPr>
          <w:p w14:paraId="4B763886">
            <w:pPr>
              <w:ind w:left="-105" w:right="-105"/>
              <w:jc w:val="center"/>
              <w:rPr>
                <w:rFonts w:ascii="Times New Roman" w:hAnsi="Times New Roman"/>
                <w:b/>
                <w:color w:val="auto"/>
                <w:sz w:val="21"/>
                <w:szCs w:val="21"/>
                <w:highlight w:val="none"/>
                <w:lang w:val="zh-CN" w:bidi="zh-CN"/>
              </w:rPr>
            </w:pPr>
            <w:r>
              <w:rPr>
                <w:rFonts w:ascii="Times New Roman" w:hAnsi="Times New Roman"/>
                <w:b/>
                <w:color w:val="auto"/>
                <w:sz w:val="21"/>
                <w:szCs w:val="21"/>
                <w:highlight w:val="none"/>
                <w:lang w:val="zh-CN" w:bidi="zh-CN"/>
              </w:rPr>
              <w:t>距离</w:t>
            </w:r>
          </w:p>
        </w:tc>
        <w:tc>
          <w:tcPr>
            <w:tcW w:w="1683" w:type="dxa"/>
            <w:gridSpan w:val="2"/>
            <w:vAlign w:val="center"/>
          </w:tcPr>
          <w:p w14:paraId="44E9BD2E">
            <w:pPr>
              <w:ind w:left="-105" w:right="-105"/>
              <w:jc w:val="center"/>
              <w:rPr>
                <w:rFonts w:ascii="Times New Roman" w:hAnsi="Times New Roman"/>
                <w:b/>
                <w:color w:val="auto"/>
                <w:sz w:val="21"/>
                <w:szCs w:val="21"/>
                <w:highlight w:val="none"/>
                <w:lang w:val="zh-CN" w:bidi="zh-CN"/>
              </w:rPr>
            </w:pPr>
            <w:r>
              <w:rPr>
                <w:rFonts w:ascii="Times New Roman" w:hAnsi="Times New Roman"/>
                <w:b/>
                <w:color w:val="auto"/>
                <w:sz w:val="21"/>
                <w:szCs w:val="21"/>
                <w:highlight w:val="none"/>
                <w:lang w:val="zh-CN" w:bidi="zh-CN"/>
              </w:rPr>
              <w:t>坐标</w:t>
            </w:r>
          </w:p>
        </w:tc>
        <w:tc>
          <w:tcPr>
            <w:tcW w:w="743" w:type="dxa"/>
            <w:vMerge w:val="restart"/>
            <w:vAlign w:val="center"/>
          </w:tcPr>
          <w:p w14:paraId="2C9B74E1">
            <w:pPr>
              <w:ind w:left="-105" w:right="-105"/>
              <w:jc w:val="center"/>
              <w:rPr>
                <w:rFonts w:ascii="Times New Roman" w:hAnsi="Times New Roman"/>
                <w:b/>
                <w:color w:val="auto"/>
                <w:sz w:val="21"/>
                <w:szCs w:val="21"/>
                <w:highlight w:val="none"/>
                <w:lang w:val="zh-CN" w:bidi="zh-CN"/>
              </w:rPr>
            </w:pPr>
            <w:r>
              <w:rPr>
                <w:rFonts w:ascii="Times New Roman" w:hAnsi="Times New Roman"/>
                <w:b/>
                <w:color w:val="auto"/>
                <w:sz w:val="21"/>
                <w:szCs w:val="21"/>
                <w:highlight w:val="none"/>
                <w:lang w:val="zh-CN" w:bidi="zh-CN"/>
              </w:rPr>
              <w:t>高差</w:t>
            </w:r>
          </w:p>
        </w:tc>
        <w:tc>
          <w:tcPr>
            <w:tcW w:w="707" w:type="dxa"/>
            <w:vMerge w:val="restart"/>
            <w:vAlign w:val="center"/>
          </w:tcPr>
          <w:p w14:paraId="183EABFD">
            <w:pPr>
              <w:ind w:left="-105" w:right="-105"/>
              <w:jc w:val="center"/>
              <w:rPr>
                <w:rFonts w:ascii="Times New Roman" w:hAnsi="Times New Roman"/>
                <w:b/>
                <w:color w:val="auto"/>
                <w:sz w:val="21"/>
                <w:szCs w:val="21"/>
                <w:highlight w:val="none"/>
                <w:lang w:val="zh-CN" w:bidi="zh-CN"/>
              </w:rPr>
            </w:pPr>
            <w:r>
              <w:rPr>
                <w:rFonts w:ascii="Times New Roman" w:hAnsi="Times New Roman"/>
                <w:b/>
                <w:color w:val="auto"/>
                <w:sz w:val="21"/>
                <w:szCs w:val="21"/>
                <w:highlight w:val="none"/>
                <w:lang w:val="zh-CN" w:bidi="zh-CN"/>
              </w:rPr>
              <w:t>距离</w:t>
            </w:r>
          </w:p>
        </w:tc>
        <w:tc>
          <w:tcPr>
            <w:tcW w:w="1618" w:type="dxa"/>
            <w:gridSpan w:val="2"/>
            <w:vAlign w:val="center"/>
          </w:tcPr>
          <w:p w14:paraId="6926EDB8">
            <w:pPr>
              <w:ind w:left="-105" w:right="-105"/>
              <w:jc w:val="center"/>
              <w:rPr>
                <w:rFonts w:ascii="Times New Roman" w:hAnsi="Times New Roman"/>
                <w:b/>
                <w:color w:val="auto"/>
                <w:sz w:val="21"/>
                <w:szCs w:val="21"/>
                <w:highlight w:val="none"/>
                <w:lang w:val="zh-CN" w:bidi="zh-CN"/>
              </w:rPr>
            </w:pPr>
            <w:r>
              <w:rPr>
                <w:rFonts w:ascii="Times New Roman" w:hAnsi="Times New Roman"/>
                <w:b/>
                <w:color w:val="auto"/>
                <w:sz w:val="21"/>
                <w:szCs w:val="21"/>
                <w:highlight w:val="none"/>
                <w:lang w:val="zh-CN" w:bidi="zh-CN"/>
              </w:rPr>
              <w:t>坐标</w:t>
            </w:r>
          </w:p>
        </w:tc>
        <w:tc>
          <w:tcPr>
            <w:tcW w:w="1305" w:type="dxa"/>
            <w:vMerge w:val="continue"/>
            <w:tcBorders>
              <w:top w:val="nil"/>
              <w:right w:val="nil"/>
            </w:tcBorders>
            <w:vAlign w:val="center"/>
          </w:tcPr>
          <w:p w14:paraId="2D776964">
            <w:pPr>
              <w:ind w:left="-105" w:right="-105"/>
              <w:jc w:val="center"/>
              <w:rPr>
                <w:rFonts w:ascii="Times New Roman" w:hAnsi="Times New Roman"/>
                <w:color w:val="auto"/>
                <w:sz w:val="21"/>
                <w:szCs w:val="21"/>
                <w:highlight w:val="none"/>
                <w:lang w:val="zh-CN" w:bidi="zh-CN"/>
              </w:rPr>
            </w:pPr>
          </w:p>
        </w:tc>
      </w:tr>
      <w:tr w14:paraId="2E49DA7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19" w:hRule="atLeast"/>
          <w:jc w:val="center"/>
        </w:trPr>
        <w:tc>
          <w:tcPr>
            <w:tcW w:w="1029" w:type="dxa"/>
            <w:vMerge w:val="continue"/>
            <w:tcBorders>
              <w:top w:val="nil"/>
              <w:left w:val="nil"/>
            </w:tcBorders>
            <w:vAlign w:val="center"/>
          </w:tcPr>
          <w:p w14:paraId="46E548A4">
            <w:pPr>
              <w:ind w:left="-105" w:right="-105"/>
              <w:jc w:val="center"/>
              <w:rPr>
                <w:rFonts w:ascii="Times New Roman" w:hAnsi="Times New Roman"/>
                <w:color w:val="auto"/>
                <w:sz w:val="21"/>
                <w:szCs w:val="21"/>
                <w:highlight w:val="none"/>
                <w:lang w:val="zh-CN" w:bidi="zh-CN"/>
              </w:rPr>
            </w:pPr>
          </w:p>
        </w:tc>
        <w:tc>
          <w:tcPr>
            <w:tcW w:w="1079" w:type="dxa"/>
            <w:vMerge w:val="continue"/>
            <w:tcBorders>
              <w:top w:val="nil"/>
            </w:tcBorders>
            <w:vAlign w:val="center"/>
          </w:tcPr>
          <w:p w14:paraId="4C964E7D">
            <w:pPr>
              <w:ind w:left="-105" w:right="-105"/>
              <w:jc w:val="center"/>
              <w:rPr>
                <w:rFonts w:ascii="Times New Roman" w:hAnsi="Times New Roman"/>
                <w:color w:val="auto"/>
                <w:sz w:val="21"/>
                <w:szCs w:val="21"/>
                <w:highlight w:val="none"/>
                <w:lang w:val="zh-CN" w:bidi="zh-CN"/>
              </w:rPr>
            </w:pPr>
          </w:p>
        </w:tc>
        <w:tc>
          <w:tcPr>
            <w:tcW w:w="613" w:type="dxa"/>
            <w:vMerge w:val="continue"/>
            <w:tcBorders>
              <w:top w:val="nil"/>
            </w:tcBorders>
            <w:vAlign w:val="center"/>
          </w:tcPr>
          <w:p w14:paraId="11654351">
            <w:pPr>
              <w:ind w:left="-105" w:right="-105"/>
              <w:jc w:val="center"/>
              <w:rPr>
                <w:rFonts w:ascii="Times New Roman" w:hAnsi="Times New Roman"/>
                <w:color w:val="auto"/>
                <w:sz w:val="21"/>
                <w:szCs w:val="21"/>
                <w:highlight w:val="none"/>
                <w:lang w:val="zh-CN" w:bidi="zh-CN"/>
              </w:rPr>
            </w:pPr>
          </w:p>
        </w:tc>
        <w:tc>
          <w:tcPr>
            <w:tcW w:w="841" w:type="dxa"/>
            <w:vAlign w:val="center"/>
          </w:tcPr>
          <w:p w14:paraId="2CD666F0">
            <w:pPr>
              <w:ind w:left="-105" w:right="-105"/>
              <w:jc w:val="center"/>
              <w:rPr>
                <w:rFonts w:ascii="Times New Roman" w:hAnsi="Times New Roman"/>
                <w:b/>
                <w:color w:val="auto"/>
                <w:sz w:val="21"/>
                <w:szCs w:val="21"/>
                <w:highlight w:val="none"/>
                <w:lang w:bidi="zh-CN"/>
              </w:rPr>
            </w:pPr>
            <w:r>
              <w:rPr>
                <w:rFonts w:hint="eastAsia" w:ascii="Times New Roman" w:hAnsi="Times New Roman"/>
                <w:b/>
                <w:color w:val="auto"/>
                <w:sz w:val="21"/>
                <w:szCs w:val="21"/>
                <w:highlight w:val="none"/>
                <w:lang w:bidi="zh-CN"/>
              </w:rPr>
              <w:t>X</w:t>
            </w:r>
          </w:p>
        </w:tc>
        <w:tc>
          <w:tcPr>
            <w:tcW w:w="842" w:type="dxa"/>
            <w:vAlign w:val="center"/>
          </w:tcPr>
          <w:p w14:paraId="15180B6F">
            <w:pPr>
              <w:ind w:left="-105" w:right="-105"/>
              <w:jc w:val="center"/>
              <w:rPr>
                <w:rFonts w:ascii="Times New Roman" w:hAnsi="Times New Roman"/>
                <w:b/>
                <w:color w:val="auto"/>
                <w:sz w:val="21"/>
                <w:szCs w:val="21"/>
                <w:highlight w:val="none"/>
                <w:lang w:bidi="zh-CN"/>
              </w:rPr>
            </w:pPr>
            <w:r>
              <w:rPr>
                <w:rFonts w:hint="eastAsia" w:ascii="Times New Roman" w:hAnsi="Times New Roman"/>
                <w:b/>
                <w:color w:val="auto"/>
                <w:sz w:val="21"/>
                <w:szCs w:val="21"/>
                <w:highlight w:val="none"/>
                <w:lang w:bidi="zh-CN"/>
              </w:rPr>
              <w:t>Y</w:t>
            </w:r>
          </w:p>
        </w:tc>
        <w:tc>
          <w:tcPr>
            <w:tcW w:w="743" w:type="dxa"/>
            <w:vMerge w:val="continue"/>
            <w:tcBorders>
              <w:top w:val="nil"/>
            </w:tcBorders>
            <w:vAlign w:val="center"/>
          </w:tcPr>
          <w:p w14:paraId="10526E45">
            <w:pPr>
              <w:ind w:left="-105" w:right="-105"/>
              <w:jc w:val="center"/>
              <w:rPr>
                <w:rFonts w:ascii="Times New Roman" w:hAnsi="Times New Roman"/>
                <w:color w:val="auto"/>
                <w:sz w:val="21"/>
                <w:szCs w:val="21"/>
                <w:highlight w:val="none"/>
                <w:lang w:val="zh-CN" w:bidi="zh-CN"/>
              </w:rPr>
            </w:pPr>
          </w:p>
        </w:tc>
        <w:tc>
          <w:tcPr>
            <w:tcW w:w="707" w:type="dxa"/>
            <w:vMerge w:val="continue"/>
            <w:tcBorders>
              <w:top w:val="nil"/>
            </w:tcBorders>
            <w:vAlign w:val="center"/>
          </w:tcPr>
          <w:p w14:paraId="52F23023">
            <w:pPr>
              <w:ind w:left="-105" w:right="-105"/>
              <w:jc w:val="center"/>
              <w:rPr>
                <w:rFonts w:ascii="Times New Roman" w:hAnsi="Times New Roman"/>
                <w:color w:val="auto"/>
                <w:sz w:val="21"/>
                <w:szCs w:val="21"/>
                <w:highlight w:val="none"/>
                <w:lang w:val="zh-CN" w:bidi="zh-CN"/>
              </w:rPr>
            </w:pPr>
          </w:p>
        </w:tc>
        <w:tc>
          <w:tcPr>
            <w:tcW w:w="793" w:type="dxa"/>
            <w:vAlign w:val="center"/>
          </w:tcPr>
          <w:p w14:paraId="1F3CCF4A">
            <w:pPr>
              <w:ind w:left="-105" w:right="-105"/>
              <w:jc w:val="center"/>
              <w:rPr>
                <w:rFonts w:ascii="Times New Roman" w:hAnsi="Times New Roman"/>
                <w:b/>
                <w:color w:val="auto"/>
                <w:sz w:val="21"/>
                <w:szCs w:val="21"/>
                <w:highlight w:val="none"/>
                <w:lang w:val="zh-CN" w:bidi="zh-CN"/>
              </w:rPr>
            </w:pPr>
            <w:r>
              <w:rPr>
                <w:rFonts w:hint="eastAsia" w:ascii="Times New Roman" w:hAnsi="Times New Roman"/>
                <w:b/>
                <w:color w:val="auto"/>
                <w:sz w:val="21"/>
                <w:szCs w:val="21"/>
                <w:highlight w:val="none"/>
                <w:lang w:bidi="zh-CN"/>
              </w:rPr>
              <w:t>X</w:t>
            </w:r>
          </w:p>
        </w:tc>
        <w:tc>
          <w:tcPr>
            <w:tcW w:w="825" w:type="dxa"/>
            <w:vAlign w:val="center"/>
          </w:tcPr>
          <w:p w14:paraId="22A8C9FF">
            <w:pPr>
              <w:ind w:left="-105" w:right="-105"/>
              <w:jc w:val="center"/>
              <w:rPr>
                <w:rFonts w:ascii="Times New Roman" w:hAnsi="Times New Roman"/>
                <w:b/>
                <w:color w:val="auto"/>
                <w:sz w:val="21"/>
                <w:szCs w:val="21"/>
                <w:highlight w:val="none"/>
                <w:lang w:val="zh-CN" w:bidi="zh-CN"/>
              </w:rPr>
            </w:pPr>
            <w:r>
              <w:rPr>
                <w:rFonts w:hint="eastAsia" w:ascii="Times New Roman" w:hAnsi="Times New Roman"/>
                <w:b/>
                <w:color w:val="auto"/>
                <w:sz w:val="21"/>
                <w:szCs w:val="21"/>
                <w:highlight w:val="none"/>
                <w:lang w:bidi="zh-CN"/>
              </w:rPr>
              <w:t>Y</w:t>
            </w:r>
          </w:p>
        </w:tc>
        <w:tc>
          <w:tcPr>
            <w:tcW w:w="1305" w:type="dxa"/>
            <w:vMerge w:val="continue"/>
            <w:tcBorders>
              <w:top w:val="nil"/>
              <w:right w:val="nil"/>
            </w:tcBorders>
            <w:vAlign w:val="center"/>
          </w:tcPr>
          <w:p w14:paraId="5579DAB6">
            <w:pPr>
              <w:ind w:left="-105" w:right="-105"/>
              <w:jc w:val="center"/>
              <w:rPr>
                <w:rFonts w:ascii="Times New Roman" w:hAnsi="Times New Roman"/>
                <w:color w:val="auto"/>
                <w:sz w:val="21"/>
                <w:szCs w:val="21"/>
                <w:highlight w:val="none"/>
                <w:lang w:val="zh-CN" w:bidi="zh-CN"/>
              </w:rPr>
            </w:pPr>
          </w:p>
        </w:tc>
      </w:tr>
      <w:tr w14:paraId="7E04EC0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41" w:hRule="atLeast"/>
          <w:jc w:val="center"/>
        </w:trPr>
        <w:tc>
          <w:tcPr>
            <w:tcW w:w="1029" w:type="dxa"/>
            <w:tcBorders>
              <w:left w:val="nil"/>
            </w:tcBorders>
            <w:vAlign w:val="center"/>
          </w:tcPr>
          <w:p w14:paraId="0BCA3EAB">
            <w:pPr>
              <w:ind w:left="-105" w:right="-105"/>
              <w:jc w:val="center"/>
              <w:rPr>
                <w:rFonts w:ascii="Times New Roman" w:hAnsi="Times New Roman"/>
                <w:color w:val="auto"/>
                <w:sz w:val="21"/>
                <w:szCs w:val="21"/>
                <w:highlight w:val="none"/>
                <w:lang w:val="zh-CN" w:bidi="zh-CN"/>
              </w:rPr>
            </w:pPr>
            <w:r>
              <w:rPr>
                <w:rFonts w:ascii="Times New Roman" w:hAnsi="Times New Roman"/>
                <w:color w:val="auto"/>
                <w:sz w:val="21"/>
                <w:szCs w:val="21"/>
                <w:highlight w:val="none"/>
                <w:lang w:val="zh-CN" w:bidi="zh-CN"/>
              </w:rPr>
              <w:t>锡北运河</w:t>
            </w:r>
          </w:p>
        </w:tc>
        <w:tc>
          <w:tcPr>
            <w:tcW w:w="1079" w:type="dxa"/>
            <w:vAlign w:val="center"/>
          </w:tcPr>
          <w:p w14:paraId="63FBAA81">
            <w:pPr>
              <w:ind w:left="-105" w:right="-105"/>
              <w:jc w:val="center"/>
              <w:rPr>
                <w:rFonts w:ascii="Times New Roman" w:hAnsi="Times New Roman"/>
                <w:color w:val="auto"/>
                <w:sz w:val="21"/>
                <w:szCs w:val="21"/>
                <w:highlight w:val="none"/>
                <w:lang w:val="zh-CN" w:bidi="zh-CN"/>
              </w:rPr>
            </w:pPr>
            <w:r>
              <w:rPr>
                <w:rFonts w:ascii="Times New Roman" w:hAnsi="Times New Roman" w:cs="Times New Roman"/>
                <w:color w:val="auto"/>
                <w:sz w:val="21"/>
                <w:szCs w:val="21"/>
                <w:highlight w:val="none"/>
                <w:lang w:val="zh-CN" w:bidi="zh-CN"/>
              </w:rPr>
              <w:t>地表水III类水体</w:t>
            </w:r>
          </w:p>
        </w:tc>
        <w:tc>
          <w:tcPr>
            <w:tcW w:w="613" w:type="dxa"/>
            <w:vAlign w:val="center"/>
          </w:tcPr>
          <w:p w14:paraId="03289882">
            <w:pPr>
              <w:ind w:left="-105" w:right="-105"/>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343</w:t>
            </w:r>
          </w:p>
        </w:tc>
        <w:tc>
          <w:tcPr>
            <w:tcW w:w="841" w:type="dxa"/>
            <w:vAlign w:val="center"/>
          </w:tcPr>
          <w:p w14:paraId="462E3DA8">
            <w:pPr>
              <w:ind w:left="-105" w:right="-105"/>
              <w:jc w:val="center"/>
              <w:rPr>
                <w:rFonts w:ascii="Times New Roman" w:hAnsi="Times New Roman" w:eastAsia="Times New Roman" w:cs="Times New Roman"/>
                <w:color w:val="auto"/>
                <w:sz w:val="21"/>
                <w:szCs w:val="21"/>
                <w:highlight w:val="none"/>
                <w:lang w:val="zh-CN"/>
              </w:rPr>
            </w:pPr>
            <w:r>
              <w:rPr>
                <w:rFonts w:hint="eastAsia" w:ascii="Times New Roman" w:hAnsi="Times New Roman" w:eastAsia="Times New Roman" w:cs="Times New Roman"/>
                <w:color w:val="auto"/>
                <w:sz w:val="21"/>
                <w:szCs w:val="21"/>
                <w:highlight w:val="none"/>
              </w:rPr>
              <w:t>120.396634772</w:t>
            </w:r>
          </w:p>
        </w:tc>
        <w:tc>
          <w:tcPr>
            <w:tcW w:w="842" w:type="dxa"/>
            <w:vAlign w:val="center"/>
          </w:tcPr>
          <w:p w14:paraId="2A8CBDCF">
            <w:pPr>
              <w:ind w:left="-105" w:right="-105"/>
              <w:jc w:val="center"/>
              <w:rPr>
                <w:rFonts w:ascii="Times New Roman" w:hAnsi="Times New Roman" w:eastAsia="Times New Roman" w:cs="Times New Roman"/>
                <w:color w:val="auto"/>
                <w:sz w:val="21"/>
                <w:szCs w:val="21"/>
                <w:highlight w:val="none"/>
                <w:lang w:val="zh-CN"/>
              </w:rPr>
            </w:pPr>
            <w:r>
              <w:rPr>
                <w:rFonts w:hint="eastAsia" w:ascii="Times New Roman" w:hAnsi="Times New Roman" w:eastAsia="Times New Roman" w:cs="Times New Roman"/>
                <w:color w:val="auto"/>
                <w:sz w:val="21"/>
                <w:szCs w:val="21"/>
                <w:highlight w:val="none"/>
              </w:rPr>
              <w:t>31.644674533</w:t>
            </w:r>
          </w:p>
        </w:tc>
        <w:tc>
          <w:tcPr>
            <w:tcW w:w="743" w:type="dxa"/>
            <w:vAlign w:val="center"/>
          </w:tcPr>
          <w:p w14:paraId="34D1C33F">
            <w:pPr>
              <w:ind w:left="-105" w:right="-105"/>
              <w:jc w:val="center"/>
              <w:rPr>
                <w:rFonts w:ascii="Times New Roman" w:hAnsi="Times New Roman" w:eastAsia="Times New Roman" w:cs="Times New Roman"/>
                <w:color w:val="auto"/>
                <w:sz w:val="21"/>
                <w:szCs w:val="21"/>
                <w:highlight w:val="none"/>
                <w:lang w:val="zh-CN"/>
              </w:rPr>
            </w:pPr>
            <w:r>
              <w:rPr>
                <w:rFonts w:ascii="Times New Roman" w:hAnsi="Times New Roman" w:eastAsia="Times New Roman" w:cs="Times New Roman"/>
                <w:color w:val="auto"/>
                <w:sz w:val="21"/>
                <w:szCs w:val="21"/>
                <w:highlight w:val="none"/>
              </w:rPr>
              <w:t>0</w:t>
            </w:r>
          </w:p>
        </w:tc>
        <w:tc>
          <w:tcPr>
            <w:tcW w:w="707" w:type="dxa"/>
            <w:vAlign w:val="center"/>
          </w:tcPr>
          <w:p w14:paraId="3003EE71">
            <w:pPr>
              <w:ind w:left="-105" w:right="-105"/>
              <w:jc w:val="center"/>
              <w:rPr>
                <w:rFonts w:ascii="Times New Roman" w:hAnsi="Times New Roman" w:eastAsia="Times New Roman" w:cs="Times New Roman"/>
                <w:color w:val="auto"/>
                <w:sz w:val="21"/>
                <w:szCs w:val="21"/>
                <w:highlight w:val="none"/>
                <w:lang w:val="zh-CN"/>
              </w:rPr>
            </w:pPr>
            <w:r>
              <w:rPr>
                <w:rFonts w:hint="eastAsia" w:ascii="Times New Roman" w:hAnsi="Times New Roman" w:cs="Times New Roman"/>
                <w:color w:val="auto"/>
                <w:sz w:val="21"/>
                <w:szCs w:val="21"/>
                <w:highlight w:val="none"/>
              </w:rPr>
              <w:t>343</w:t>
            </w:r>
          </w:p>
        </w:tc>
        <w:tc>
          <w:tcPr>
            <w:tcW w:w="793" w:type="dxa"/>
            <w:vAlign w:val="center"/>
          </w:tcPr>
          <w:p w14:paraId="3177B0A6">
            <w:pPr>
              <w:ind w:left="-105" w:right="-105"/>
              <w:jc w:val="center"/>
              <w:rPr>
                <w:rFonts w:ascii="Times New Roman" w:hAnsi="Times New Roman" w:eastAsia="Times New Roman" w:cs="Times New Roman"/>
                <w:color w:val="auto"/>
                <w:sz w:val="21"/>
                <w:szCs w:val="21"/>
                <w:highlight w:val="none"/>
                <w:lang w:val="zh-CN"/>
              </w:rPr>
            </w:pPr>
            <w:r>
              <w:rPr>
                <w:rFonts w:hint="eastAsia" w:ascii="Times New Roman" w:hAnsi="Times New Roman" w:eastAsia="Times New Roman" w:cs="Times New Roman"/>
                <w:color w:val="auto"/>
                <w:sz w:val="21"/>
                <w:szCs w:val="21"/>
                <w:highlight w:val="none"/>
              </w:rPr>
              <w:t>120.396634772</w:t>
            </w:r>
          </w:p>
        </w:tc>
        <w:tc>
          <w:tcPr>
            <w:tcW w:w="825" w:type="dxa"/>
            <w:vAlign w:val="center"/>
          </w:tcPr>
          <w:p w14:paraId="56F678DA">
            <w:pPr>
              <w:ind w:left="-105" w:right="-105"/>
              <w:jc w:val="center"/>
              <w:rPr>
                <w:rFonts w:ascii="Times New Roman" w:hAnsi="Times New Roman" w:eastAsia="Times New Roman" w:cs="Times New Roman"/>
                <w:color w:val="auto"/>
                <w:sz w:val="21"/>
                <w:szCs w:val="21"/>
                <w:highlight w:val="none"/>
                <w:lang w:val="zh-CN"/>
              </w:rPr>
            </w:pPr>
            <w:r>
              <w:rPr>
                <w:rFonts w:hint="eastAsia" w:ascii="Times New Roman" w:hAnsi="Times New Roman" w:eastAsia="Times New Roman" w:cs="Times New Roman"/>
                <w:color w:val="auto"/>
                <w:sz w:val="21"/>
                <w:szCs w:val="21"/>
                <w:highlight w:val="none"/>
              </w:rPr>
              <w:t>31.644674533</w:t>
            </w:r>
          </w:p>
        </w:tc>
        <w:tc>
          <w:tcPr>
            <w:tcW w:w="1305" w:type="dxa"/>
            <w:tcBorders>
              <w:right w:val="nil"/>
            </w:tcBorders>
            <w:vAlign w:val="center"/>
          </w:tcPr>
          <w:p w14:paraId="3C6821D4">
            <w:pPr>
              <w:ind w:left="-105" w:right="-105"/>
              <w:jc w:val="center"/>
              <w:rPr>
                <w:rFonts w:ascii="Times New Roman" w:hAnsi="Times New Roman"/>
                <w:color w:val="auto"/>
                <w:sz w:val="21"/>
                <w:szCs w:val="21"/>
                <w:highlight w:val="none"/>
                <w:lang w:val="zh-CN" w:bidi="zh-CN"/>
              </w:rPr>
            </w:pPr>
            <w:r>
              <w:rPr>
                <w:rFonts w:hint="eastAsia" w:ascii="Times New Roman" w:hAnsi="Times New Roman"/>
                <w:color w:val="auto"/>
                <w:sz w:val="21"/>
                <w:szCs w:val="21"/>
                <w:highlight w:val="none"/>
                <w:lang w:bidi="zh-CN"/>
              </w:rPr>
              <w:t>雨水汇入</w:t>
            </w:r>
          </w:p>
        </w:tc>
      </w:tr>
      <w:tr w14:paraId="33F667C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36" w:hRule="atLeast"/>
          <w:jc w:val="center"/>
        </w:trPr>
        <w:tc>
          <w:tcPr>
            <w:tcW w:w="1029" w:type="dxa"/>
            <w:tcBorders>
              <w:left w:val="nil"/>
              <w:bottom w:val="single" w:color="auto" w:sz="12" w:space="0"/>
            </w:tcBorders>
            <w:vAlign w:val="center"/>
          </w:tcPr>
          <w:p w14:paraId="04062B4A">
            <w:pPr>
              <w:ind w:left="-105" w:right="-105"/>
              <w:jc w:val="center"/>
              <w:rPr>
                <w:rFonts w:ascii="Times New Roman" w:hAnsi="Times New Roman"/>
                <w:color w:val="auto"/>
                <w:sz w:val="21"/>
                <w:szCs w:val="21"/>
                <w:highlight w:val="none"/>
                <w:lang w:bidi="zh-CN"/>
              </w:rPr>
            </w:pPr>
            <w:bookmarkStart w:id="169" w:name="_Ref40981654"/>
            <w:r>
              <w:rPr>
                <w:rFonts w:hint="eastAsia"/>
                <w:color w:val="auto"/>
                <w:sz w:val="21"/>
                <w:szCs w:val="21"/>
                <w:highlight w:val="none"/>
              </w:rPr>
              <w:t>北兴塘</w:t>
            </w:r>
            <w:r>
              <w:rPr>
                <w:color w:val="auto"/>
                <w:sz w:val="21"/>
                <w:szCs w:val="21"/>
                <w:highlight w:val="none"/>
              </w:rPr>
              <w:t>河</w:t>
            </w:r>
          </w:p>
        </w:tc>
        <w:tc>
          <w:tcPr>
            <w:tcW w:w="1079" w:type="dxa"/>
            <w:tcBorders>
              <w:bottom w:val="single" w:color="auto" w:sz="12" w:space="0"/>
            </w:tcBorders>
            <w:vAlign w:val="center"/>
          </w:tcPr>
          <w:p w14:paraId="4D7C5D97">
            <w:pPr>
              <w:ind w:left="-105" w:right="-105"/>
              <w:jc w:val="center"/>
              <w:rPr>
                <w:rFonts w:ascii="Times New Roman" w:hAnsi="Times New Roman"/>
                <w:color w:val="auto"/>
                <w:sz w:val="21"/>
                <w:szCs w:val="21"/>
                <w:highlight w:val="none"/>
                <w:lang w:val="zh-CN" w:bidi="zh-CN"/>
              </w:rPr>
            </w:pPr>
            <w:r>
              <w:rPr>
                <w:rFonts w:ascii="Times New Roman" w:hAnsi="Times New Roman" w:cs="Times New Roman"/>
                <w:color w:val="auto"/>
                <w:sz w:val="21"/>
                <w:szCs w:val="21"/>
                <w:highlight w:val="none"/>
                <w:lang w:val="zh-CN" w:bidi="zh-CN"/>
              </w:rPr>
              <w:t>地表水III类水体</w:t>
            </w:r>
          </w:p>
        </w:tc>
        <w:tc>
          <w:tcPr>
            <w:tcW w:w="613" w:type="dxa"/>
            <w:tcBorders>
              <w:bottom w:val="single" w:color="auto" w:sz="12" w:space="0"/>
            </w:tcBorders>
            <w:vAlign w:val="center"/>
          </w:tcPr>
          <w:p w14:paraId="4A51354A">
            <w:pPr>
              <w:ind w:left="-105" w:right="-105"/>
              <w:jc w:val="center"/>
              <w:rPr>
                <w:rFonts w:ascii="Times New Roman" w:hAnsi="Times New Roman"/>
                <w:color w:val="auto"/>
                <w:sz w:val="21"/>
                <w:szCs w:val="21"/>
                <w:highlight w:val="none"/>
                <w:lang w:bidi="zh-CN"/>
              </w:rPr>
            </w:pPr>
            <w:r>
              <w:rPr>
                <w:rFonts w:hint="eastAsia" w:ascii="Times New Roman" w:hAnsi="Times New Roman" w:cs="Times New Roman"/>
                <w:color w:val="auto"/>
                <w:sz w:val="21"/>
                <w:szCs w:val="21"/>
                <w:highlight w:val="none"/>
              </w:rPr>
              <w:t>2400</w:t>
            </w:r>
          </w:p>
        </w:tc>
        <w:tc>
          <w:tcPr>
            <w:tcW w:w="841" w:type="dxa"/>
            <w:tcBorders>
              <w:bottom w:val="single" w:color="auto" w:sz="12" w:space="0"/>
            </w:tcBorders>
            <w:vAlign w:val="center"/>
          </w:tcPr>
          <w:p w14:paraId="2F73D921">
            <w:pPr>
              <w:ind w:left="-105" w:right="-105"/>
              <w:jc w:val="center"/>
              <w:rPr>
                <w:rFonts w:ascii="Times New Roman" w:hAnsi="Times New Roman"/>
                <w:color w:val="auto"/>
                <w:sz w:val="21"/>
                <w:szCs w:val="21"/>
                <w:highlight w:val="none"/>
                <w:lang w:val="zh-CN" w:bidi="zh-CN"/>
              </w:rPr>
            </w:pPr>
            <w:r>
              <w:rPr>
                <w:rFonts w:hint="eastAsia" w:ascii="Times New Roman" w:hAnsi="Times New Roman" w:eastAsia="Times New Roman" w:cs="Times New Roman"/>
                <w:color w:val="auto"/>
                <w:sz w:val="21"/>
                <w:szCs w:val="21"/>
                <w:highlight w:val="none"/>
              </w:rPr>
              <w:t>120.395347311</w:t>
            </w:r>
          </w:p>
        </w:tc>
        <w:tc>
          <w:tcPr>
            <w:tcW w:w="842" w:type="dxa"/>
            <w:tcBorders>
              <w:bottom w:val="single" w:color="auto" w:sz="12" w:space="0"/>
            </w:tcBorders>
            <w:vAlign w:val="center"/>
          </w:tcPr>
          <w:p w14:paraId="146821F2">
            <w:pPr>
              <w:ind w:left="-105" w:right="-105"/>
              <w:jc w:val="center"/>
              <w:rPr>
                <w:rFonts w:ascii="Times New Roman" w:hAnsi="Times New Roman"/>
                <w:color w:val="auto"/>
                <w:sz w:val="21"/>
                <w:szCs w:val="21"/>
                <w:highlight w:val="none"/>
                <w:lang w:val="zh-CN" w:bidi="zh-CN"/>
              </w:rPr>
            </w:pPr>
            <w:r>
              <w:rPr>
                <w:rFonts w:hint="eastAsia" w:ascii="Times New Roman" w:hAnsi="Times New Roman" w:eastAsia="Times New Roman" w:cs="Times New Roman"/>
                <w:color w:val="auto"/>
                <w:sz w:val="21"/>
                <w:szCs w:val="21"/>
                <w:highlight w:val="none"/>
              </w:rPr>
              <w:t>31.626435511</w:t>
            </w:r>
          </w:p>
        </w:tc>
        <w:tc>
          <w:tcPr>
            <w:tcW w:w="743" w:type="dxa"/>
            <w:tcBorders>
              <w:bottom w:val="single" w:color="auto" w:sz="12" w:space="0"/>
            </w:tcBorders>
            <w:vAlign w:val="center"/>
          </w:tcPr>
          <w:p w14:paraId="69D23D4C">
            <w:pPr>
              <w:ind w:left="-105" w:right="-105"/>
              <w:jc w:val="center"/>
              <w:rPr>
                <w:rFonts w:ascii="Times New Roman" w:hAnsi="Times New Roman"/>
                <w:color w:val="auto"/>
                <w:sz w:val="21"/>
                <w:szCs w:val="21"/>
                <w:highlight w:val="none"/>
                <w:lang w:val="zh-CN" w:bidi="zh-CN"/>
              </w:rPr>
            </w:pPr>
            <w:r>
              <w:rPr>
                <w:rFonts w:ascii="Times New Roman" w:hAnsi="Times New Roman" w:eastAsia="Times New Roman" w:cs="Times New Roman"/>
                <w:color w:val="auto"/>
                <w:sz w:val="21"/>
                <w:szCs w:val="21"/>
                <w:highlight w:val="none"/>
              </w:rPr>
              <w:t>0</w:t>
            </w:r>
          </w:p>
        </w:tc>
        <w:tc>
          <w:tcPr>
            <w:tcW w:w="707" w:type="dxa"/>
            <w:tcBorders>
              <w:bottom w:val="single" w:color="auto" w:sz="12" w:space="0"/>
            </w:tcBorders>
            <w:vAlign w:val="center"/>
          </w:tcPr>
          <w:p w14:paraId="31404328">
            <w:pPr>
              <w:ind w:left="-105" w:right="-105"/>
              <w:jc w:val="center"/>
              <w:rPr>
                <w:rFonts w:ascii="Times New Roman" w:hAnsi="Times New Roman"/>
                <w:color w:val="auto"/>
                <w:sz w:val="21"/>
                <w:szCs w:val="21"/>
                <w:highlight w:val="none"/>
                <w:lang w:val="zh-CN" w:bidi="zh-CN"/>
              </w:rPr>
            </w:pPr>
            <w:r>
              <w:rPr>
                <w:rFonts w:hint="eastAsia" w:ascii="Times New Roman" w:hAnsi="Times New Roman" w:cs="Times New Roman"/>
                <w:color w:val="auto"/>
                <w:sz w:val="21"/>
                <w:szCs w:val="21"/>
                <w:highlight w:val="none"/>
              </w:rPr>
              <w:t>2400</w:t>
            </w:r>
          </w:p>
        </w:tc>
        <w:tc>
          <w:tcPr>
            <w:tcW w:w="793" w:type="dxa"/>
            <w:tcBorders>
              <w:bottom w:val="single" w:color="auto" w:sz="12" w:space="0"/>
            </w:tcBorders>
            <w:vAlign w:val="center"/>
          </w:tcPr>
          <w:p w14:paraId="6822889D">
            <w:pPr>
              <w:ind w:left="-105" w:right="-105"/>
              <w:jc w:val="center"/>
              <w:rPr>
                <w:rFonts w:ascii="Times New Roman" w:hAnsi="Times New Roman"/>
                <w:color w:val="auto"/>
                <w:sz w:val="21"/>
                <w:szCs w:val="21"/>
                <w:highlight w:val="none"/>
                <w:lang w:val="zh-CN" w:bidi="zh-CN"/>
              </w:rPr>
            </w:pPr>
            <w:r>
              <w:rPr>
                <w:rFonts w:hint="eastAsia" w:ascii="Times New Roman" w:hAnsi="Times New Roman" w:eastAsia="Times New Roman" w:cs="Times New Roman"/>
                <w:color w:val="auto"/>
                <w:sz w:val="21"/>
                <w:szCs w:val="21"/>
                <w:highlight w:val="none"/>
              </w:rPr>
              <w:t>120.395347311</w:t>
            </w:r>
          </w:p>
        </w:tc>
        <w:tc>
          <w:tcPr>
            <w:tcW w:w="825" w:type="dxa"/>
            <w:tcBorders>
              <w:bottom w:val="single" w:color="auto" w:sz="12" w:space="0"/>
            </w:tcBorders>
            <w:vAlign w:val="center"/>
          </w:tcPr>
          <w:p w14:paraId="59D0ABD2">
            <w:pPr>
              <w:ind w:left="-105" w:right="-105"/>
              <w:jc w:val="center"/>
              <w:rPr>
                <w:rFonts w:ascii="Times New Roman" w:hAnsi="Times New Roman"/>
                <w:color w:val="auto"/>
                <w:sz w:val="21"/>
                <w:szCs w:val="21"/>
                <w:highlight w:val="none"/>
                <w:lang w:val="zh-CN" w:bidi="zh-CN"/>
              </w:rPr>
            </w:pPr>
            <w:r>
              <w:rPr>
                <w:rFonts w:hint="eastAsia" w:ascii="Times New Roman" w:hAnsi="Times New Roman" w:eastAsia="Times New Roman" w:cs="Times New Roman"/>
                <w:color w:val="auto"/>
                <w:sz w:val="21"/>
                <w:szCs w:val="21"/>
                <w:highlight w:val="none"/>
              </w:rPr>
              <w:t>31.626435511</w:t>
            </w:r>
          </w:p>
        </w:tc>
        <w:tc>
          <w:tcPr>
            <w:tcW w:w="1305" w:type="dxa"/>
            <w:tcBorders>
              <w:bottom w:val="single" w:color="auto" w:sz="12" w:space="0"/>
              <w:right w:val="nil"/>
            </w:tcBorders>
            <w:vAlign w:val="center"/>
          </w:tcPr>
          <w:p w14:paraId="29D61E65">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云林污水处理有限公司尾水汇入</w:t>
            </w:r>
          </w:p>
        </w:tc>
      </w:tr>
    </w:tbl>
    <w:p w14:paraId="2D8CD081">
      <w:pPr>
        <w:pStyle w:val="15"/>
        <w:spacing w:line="360" w:lineRule="auto"/>
        <w:ind w:left="-105" w:right="-105" w:firstLine="482"/>
        <w:rPr>
          <w:rFonts w:cs="Times New Roman"/>
          <w:color w:val="auto"/>
          <w:sz w:val="24"/>
          <w:szCs w:val="18"/>
          <w:highlight w:val="none"/>
        </w:rPr>
      </w:pPr>
      <w:r>
        <w:rPr>
          <w:rFonts w:eastAsia="宋体" w:cs="Times New Roman"/>
          <w:color w:val="auto"/>
          <w:sz w:val="24"/>
          <w:szCs w:val="18"/>
          <w:highlight w:val="none"/>
        </w:rPr>
        <w:t xml:space="preserve">表 </w:t>
      </w:r>
      <w:r>
        <w:rPr>
          <w:rFonts w:eastAsia="宋体" w:cs="Times New Roman"/>
          <w:color w:val="auto"/>
          <w:sz w:val="24"/>
          <w:szCs w:val="18"/>
          <w:highlight w:val="none"/>
        </w:rPr>
        <w:fldChar w:fldCharType="begin"/>
      </w:r>
      <w:r>
        <w:rPr>
          <w:rFonts w:eastAsia="宋体" w:cs="Times New Roman"/>
          <w:color w:val="auto"/>
          <w:sz w:val="24"/>
          <w:szCs w:val="18"/>
          <w:highlight w:val="none"/>
        </w:rPr>
        <w:instrText xml:space="preserve"> STYLEREF 2 \s </w:instrText>
      </w:r>
      <w:r>
        <w:rPr>
          <w:rFonts w:eastAsia="宋体" w:cs="Times New Roman"/>
          <w:color w:val="auto"/>
          <w:sz w:val="24"/>
          <w:szCs w:val="18"/>
          <w:highlight w:val="none"/>
        </w:rPr>
        <w:fldChar w:fldCharType="separate"/>
      </w:r>
      <w:r>
        <w:rPr>
          <w:rFonts w:eastAsia="宋体" w:cs="Times New Roman"/>
          <w:color w:val="auto"/>
          <w:sz w:val="24"/>
          <w:szCs w:val="18"/>
          <w:highlight w:val="none"/>
        </w:rPr>
        <w:t>2.5</w:t>
      </w:r>
      <w:r>
        <w:rPr>
          <w:rFonts w:eastAsia="宋体" w:cs="Times New Roman"/>
          <w:color w:val="auto"/>
          <w:sz w:val="24"/>
          <w:szCs w:val="18"/>
          <w:highlight w:val="none"/>
        </w:rPr>
        <w:fldChar w:fldCharType="end"/>
      </w:r>
      <w:r>
        <w:rPr>
          <w:rFonts w:eastAsia="宋体" w:cs="Times New Roman"/>
          <w:color w:val="auto"/>
          <w:sz w:val="24"/>
          <w:szCs w:val="18"/>
          <w:highlight w:val="none"/>
        </w:rPr>
        <w:noBreakHyphen/>
      </w:r>
      <w:r>
        <w:rPr>
          <w:rFonts w:eastAsia="宋体" w:cs="Times New Roman"/>
          <w:color w:val="auto"/>
          <w:sz w:val="24"/>
          <w:szCs w:val="18"/>
          <w:highlight w:val="none"/>
        </w:rPr>
        <w:fldChar w:fldCharType="begin"/>
      </w:r>
      <w:r>
        <w:rPr>
          <w:rFonts w:eastAsia="宋体" w:cs="Times New Roman"/>
          <w:color w:val="auto"/>
          <w:sz w:val="24"/>
          <w:szCs w:val="18"/>
          <w:highlight w:val="none"/>
        </w:rPr>
        <w:instrText xml:space="preserve"> SEQ 表 \* ARABIC \s 2 </w:instrText>
      </w:r>
      <w:r>
        <w:rPr>
          <w:rFonts w:eastAsia="宋体" w:cs="Times New Roman"/>
          <w:color w:val="auto"/>
          <w:sz w:val="24"/>
          <w:szCs w:val="18"/>
          <w:highlight w:val="none"/>
        </w:rPr>
        <w:fldChar w:fldCharType="separate"/>
      </w:r>
      <w:r>
        <w:rPr>
          <w:rFonts w:eastAsia="宋体" w:cs="Times New Roman"/>
          <w:color w:val="auto"/>
          <w:sz w:val="24"/>
          <w:szCs w:val="18"/>
          <w:highlight w:val="none"/>
        </w:rPr>
        <w:t>3</w:t>
      </w:r>
      <w:r>
        <w:rPr>
          <w:rFonts w:eastAsia="宋体" w:cs="Times New Roman"/>
          <w:color w:val="auto"/>
          <w:sz w:val="24"/>
          <w:szCs w:val="18"/>
          <w:highlight w:val="none"/>
        </w:rPr>
        <w:fldChar w:fldCharType="end"/>
      </w:r>
      <w:bookmarkEnd w:id="169"/>
      <w:r>
        <w:rPr>
          <w:rFonts w:eastAsia="宋体" w:cs="Times New Roman"/>
          <w:color w:val="auto"/>
          <w:sz w:val="24"/>
          <w:szCs w:val="18"/>
          <w:highlight w:val="none"/>
        </w:rPr>
        <w:t>声环境</w:t>
      </w:r>
      <w:r>
        <w:rPr>
          <w:rFonts w:hint="eastAsia" w:ascii="宋体" w:hAnsi="宋体" w:eastAsia="宋体" w:cs="宋体"/>
          <w:color w:val="auto"/>
          <w:sz w:val="24"/>
          <w:szCs w:val="18"/>
          <w:highlight w:val="none"/>
        </w:rPr>
        <w:t>保护目标表</w:t>
      </w:r>
    </w:p>
    <w:tbl>
      <w:tblPr>
        <w:tblStyle w:val="46"/>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564"/>
        <w:gridCol w:w="1236"/>
        <w:gridCol w:w="753"/>
        <w:gridCol w:w="753"/>
        <w:gridCol w:w="752"/>
        <w:gridCol w:w="958"/>
        <w:gridCol w:w="696"/>
        <w:gridCol w:w="1663"/>
        <w:gridCol w:w="1345"/>
      </w:tblGrid>
      <w:tr w14:paraId="4681819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64" w:type="dxa"/>
            <w:vMerge w:val="restart"/>
            <w:tcBorders>
              <w:tl2br w:val="nil"/>
              <w:tr2bl w:val="nil"/>
            </w:tcBorders>
            <w:vAlign w:val="center"/>
          </w:tcPr>
          <w:p w14:paraId="44573867">
            <w:pPr>
              <w:pStyle w:val="15"/>
              <w:ind w:left="-105" w:right="-105"/>
              <w:rPr>
                <w:rFonts w:eastAsia="宋体" w:cs="Times New Roman"/>
                <w:color w:val="auto"/>
                <w:sz w:val="21"/>
                <w:szCs w:val="21"/>
                <w:highlight w:val="none"/>
              </w:rPr>
            </w:pPr>
            <w:r>
              <w:rPr>
                <w:rFonts w:hint="eastAsia" w:eastAsia="宋体" w:cs="Times New Roman"/>
                <w:color w:val="auto"/>
                <w:sz w:val="21"/>
                <w:szCs w:val="21"/>
                <w:highlight w:val="none"/>
              </w:rPr>
              <w:t>序号</w:t>
            </w:r>
          </w:p>
        </w:tc>
        <w:tc>
          <w:tcPr>
            <w:tcW w:w="1236" w:type="dxa"/>
            <w:vMerge w:val="restart"/>
            <w:tcBorders>
              <w:tl2br w:val="nil"/>
              <w:tr2bl w:val="nil"/>
            </w:tcBorders>
            <w:vAlign w:val="center"/>
          </w:tcPr>
          <w:p w14:paraId="52D48B3E">
            <w:pPr>
              <w:pStyle w:val="15"/>
              <w:ind w:left="-105" w:right="-105"/>
              <w:rPr>
                <w:rFonts w:eastAsia="宋体" w:cs="Times New Roman"/>
                <w:color w:val="auto"/>
                <w:sz w:val="21"/>
                <w:szCs w:val="21"/>
                <w:highlight w:val="none"/>
              </w:rPr>
            </w:pPr>
            <w:r>
              <w:rPr>
                <w:rFonts w:hint="eastAsia" w:eastAsia="宋体" w:cs="Times New Roman"/>
                <w:color w:val="auto"/>
                <w:sz w:val="21"/>
                <w:szCs w:val="21"/>
                <w:highlight w:val="none"/>
              </w:rPr>
              <w:t>声环境保护目标名称</w:t>
            </w:r>
          </w:p>
        </w:tc>
        <w:tc>
          <w:tcPr>
            <w:tcW w:w="2258" w:type="dxa"/>
            <w:gridSpan w:val="3"/>
            <w:tcBorders>
              <w:tl2br w:val="nil"/>
              <w:tr2bl w:val="nil"/>
            </w:tcBorders>
            <w:vAlign w:val="center"/>
          </w:tcPr>
          <w:p w14:paraId="4990A369">
            <w:pPr>
              <w:pStyle w:val="15"/>
              <w:ind w:left="-105" w:right="-105"/>
              <w:rPr>
                <w:rFonts w:eastAsia="宋体" w:cs="Times New Roman"/>
                <w:color w:val="auto"/>
                <w:sz w:val="21"/>
                <w:szCs w:val="21"/>
                <w:highlight w:val="none"/>
              </w:rPr>
            </w:pPr>
            <w:r>
              <w:rPr>
                <w:rFonts w:hint="eastAsia" w:eastAsia="宋体" w:cs="Times New Roman"/>
                <w:color w:val="auto"/>
                <w:sz w:val="21"/>
                <w:szCs w:val="21"/>
                <w:highlight w:val="none"/>
              </w:rPr>
              <w:t>空间相对位置/m</w:t>
            </w:r>
          </w:p>
        </w:tc>
        <w:tc>
          <w:tcPr>
            <w:tcW w:w="958" w:type="dxa"/>
            <w:vMerge w:val="restart"/>
            <w:tcBorders>
              <w:tl2br w:val="nil"/>
              <w:tr2bl w:val="nil"/>
            </w:tcBorders>
            <w:vAlign w:val="center"/>
          </w:tcPr>
          <w:p w14:paraId="7D367B51">
            <w:pPr>
              <w:pStyle w:val="15"/>
              <w:ind w:left="-105" w:right="-105"/>
              <w:rPr>
                <w:rFonts w:eastAsia="宋体" w:cs="Times New Roman"/>
                <w:color w:val="auto"/>
                <w:sz w:val="21"/>
                <w:szCs w:val="21"/>
                <w:highlight w:val="none"/>
              </w:rPr>
            </w:pPr>
            <w:r>
              <w:rPr>
                <w:rFonts w:hint="eastAsia" w:eastAsia="宋体" w:cs="Times New Roman"/>
                <w:color w:val="auto"/>
                <w:sz w:val="21"/>
                <w:szCs w:val="21"/>
                <w:highlight w:val="none"/>
              </w:rPr>
              <w:t>距厂界最近距离/m</w:t>
            </w:r>
          </w:p>
        </w:tc>
        <w:tc>
          <w:tcPr>
            <w:tcW w:w="696" w:type="dxa"/>
            <w:vMerge w:val="restart"/>
            <w:tcBorders>
              <w:tl2br w:val="nil"/>
              <w:tr2bl w:val="nil"/>
            </w:tcBorders>
            <w:vAlign w:val="center"/>
          </w:tcPr>
          <w:p w14:paraId="3B16B0F7">
            <w:pPr>
              <w:pStyle w:val="15"/>
              <w:ind w:left="-105" w:right="-105"/>
              <w:rPr>
                <w:rFonts w:eastAsia="宋体" w:cs="Times New Roman"/>
                <w:color w:val="auto"/>
                <w:sz w:val="21"/>
                <w:szCs w:val="21"/>
                <w:highlight w:val="none"/>
              </w:rPr>
            </w:pPr>
            <w:r>
              <w:rPr>
                <w:rFonts w:hint="eastAsia" w:eastAsia="宋体" w:cs="Times New Roman"/>
                <w:color w:val="auto"/>
                <w:sz w:val="21"/>
                <w:szCs w:val="21"/>
                <w:highlight w:val="none"/>
              </w:rPr>
              <w:t>方位</w:t>
            </w:r>
          </w:p>
        </w:tc>
        <w:tc>
          <w:tcPr>
            <w:tcW w:w="1663" w:type="dxa"/>
            <w:vMerge w:val="restart"/>
            <w:tcBorders>
              <w:tl2br w:val="nil"/>
              <w:tr2bl w:val="nil"/>
            </w:tcBorders>
            <w:vAlign w:val="center"/>
          </w:tcPr>
          <w:p w14:paraId="1B790C81">
            <w:pPr>
              <w:pStyle w:val="15"/>
              <w:ind w:left="-105" w:right="-105"/>
              <w:rPr>
                <w:rFonts w:eastAsia="宋体" w:cs="Times New Roman"/>
                <w:color w:val="auto"/>
                <w:sz w:val="21"/>
                <w:szCs w:val="21"/>
                <w:highlight w:val="none"/>
              </w:rPr>
            </w:pPr>
            <w:r>
              <w:rPr>
                <w:rFonts w:hint="eastAsia" w:eastAsia="宋体" w:cs="Times New Roman"/>
                <w:color w:val="auto"/>
                <w:sz w:val="21"/>
                <w:szCs w:val="21"/>
                <w:highlight w:val="none"/>
              </w:rPr>
              <w:t>执行标准/功能区类别</w:t>
            </w:r>
          </w:p>
        </w:tc>
        <w:tc>
          <w:tcPr>
            <w:tcW w:w="1345" w:type="dxa"/>
            <w:vMerge w:val="restart"/>
            <w:tcBorders>
              <w:tl2br w:val="nil"/>
              <w:tr2bl w:val="nil"/>
            </w:tcBorders>
            <w:vAlign w:val="center"/>
          </w:tcPr>
          <w:p w14:paraId="4B2E7F3C">
            <w:pPr>
              <w:pStyle w:val="15"/>
              <w:ind w:left="-105" w:right="-105"/>
              <w:rPr>
                <w:rFonts w:eastAsia="宋体" w:cs="Times New Roman"/>
                <w:color w:val="auto"/>
                <w:sz w:val="21"/>
                <w:szCs w:val="21"/>
                <w:highlight w:val="none"/>
              </w:rPr>
            </w:pPr>
            <w:r>
              <w:rPr>
                <w:rFonts w:hint="eastAsia" w:eastAsia="宋体" w:cs="Times New Roman"/>
                <w:color w:val="auto"/>
                <w:sz w:val="21"/>
                <w:szCs w:val="21"/>
                <w:highlight w:val="none"/>
              </w:rPr>
              <w:t>声环境保护目标情况说明</w:t>
            </w:r>
          </w:p>
        </w:tc>
      </w:tr>
      <w:tr w14:paraId="67092C3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64" w:type="dxa"/>
            <w:vMerge w:val="continue"/>
            <w:tcBorders>
              <w:tl2br w:val="nil"/>
              <w:tr2bl w:val="nil"/>
            </w:tcBorders>
            <w:vAlign w:val="center"/>
          </w:tcPr>
          <w:p w14:paraId="0ED5F5C6">
            <w:pPr>
              <w:pStyle w:val="15"/>
              <w:ind w:left="-105" w:right="-105"/>
              <w:rPr>
                <w:rFonts w:eastAsia="宋体" w:cs="Times New Roman"/>
                <w:color w:val="auto"/>
                <w:sz w:val="21"/>
                <w:szCs w:val="21"/>
                <w:highlight w:val="none"/>
              </w:rPr>
            </w:pPr>
          </w:p>
        </w:tc>
        <w:tc>
          <w:tcPr>
            <w:tcW w:w="1236" w:type="dxa"/>
            <w:vMerge w:val="continue"/>
            <w:tcBorders>
              <w:tl2br w:val="nil"/>
              <w:tr2bl w:val="nil"/>
            </w:tcBorders>
            <w:vAlign w:val="center"/>
          </w:tcPr>
          <w:p w14:paraId="34776E16">
            <w:pPr>
              <w:pStyle w:val="15"/>
              <w:ind w:left="-105" w:right="-105"/>
              <w:rPr>
                <w:rFonts w:eastAsia="宋体" w:cs="Times New Roman"/>
                <w:color w:val="auto"/>
                <w:sz w:val="21"/>
                <w:szCs w:val="21"/>
                <w:highlight w:val="none"/>
              </w:rPr>
            </w:pPr>
          </w:p>
        </w:tc>
        <w:tc>
          <w:tcPr>
            <w:tcW w:w="753" w:type="dxa"/>
            <w:tcBorders>
              <w:tl2br w:val="nil"/>
              <w:tr2bl w:val="nil"/>
            </w:tcBorders>
            <w:vAlign w:val="center"/>
          </w:tcPr>
          <w:p w14:paraId="70E6AD92">
            <w:pPr>
              <w:pStyle w:val="15"/>
              <w:ind w:left="-105" w:right="-105"/>
              <w:rPr>
                <w:rFonts w:eastAsia="宋体" w:cs="Times New Roman"/>
                <w:color w:val="auto"/>
                <w:sz w:val="21"/>
                <w:szCs w:val="21"/>
                <w:highlight w:val="none"/>
              </w:rPr>
            </w:pPr>
            <w:r>
              <w:rPr>
                <w:rFonts w:hint="eastAsia" w:eastAsia="宋体" w:cs="Times New Roman"/>
                <w:color w:val="auto"/>
                <w:sz w:val="21"/>
                <w:szCs w:val="21"/>
                <w:highlight w:val="none"/>
              </w:rPr>
              <w:t>X</w:t>
            </w:r>
          </w:p>
        </w:tc>
        <w:tc>
          <w:tcPr>
            <w:tcW w:w="753" w:type="dxa"/>
            <w:tcBorders>
              <w:tl2br w:val="nil"/>
              <w:tr2bl w:val="nil"/>
            </w:tcBorders>
            <w:vAlign w:val="center"/>
          </w:tcPr>
          <w:p w14:paraId="4DE1D15C">
            <w:pPr>
              <w:pStyle w:val="15"/>
              <w:ind w:left="-105" w:right="-105"/>
              <w:rPr>
                <w:rFonts w:eastAsia="宋体" w:cs="Times New Roman"/>
                <w:color w:val="auto"/>
                <w:sz w:val="21"/>
                <w:szCs w:val="21"/>
                <w:highlight w:val="none"/>
              </w:rPr>
            </w:pPr>
            <w:r>
              <w:rPr>
                <w:rFonts w:hint="eastAsia" w:eastAsia="宋体" w:cs="Times New Roman"/>
                <w:color w:val="auto"/>
                <w:sz w:val="21"/>
                <w:szCs w:val="21"/>
                <w:highlight w:val="none"/>
              </w:rPr>
              <w:t>Y</w:t>
            </w:r>
          </w:p>
        </w:tc>
        <w:tc>
          <w:tcPr>
            <w:tcW w:w="752" w:type="dxa"/>
            <w:tcBorders>
              <w:tl2br w:val="nil"/>
              <w:tr2bl w:val="nil"/>
            </w:tcBorders>
            <w:vAlign w:val="center"/>
          </w:tcPr>
          <w:p w14:paraId="7C083AFA">
            <w:pPr>
              <w:pStyle w:val="15"/>
              <w:ind w:left="-105" w:right="-105"/>
              <w:rPr>
                <w:rFonts w:eastAsia="宋体" w:cs="Times New Roman"/>
                <w:color w:val="auto"/>
                <w:sz w:val="21"/>
                <w:szCs w:val="21"/>
                <w:highlight w:val="none"/>
              </w:rPr>
            </w:pPr>
            <w:r>
              <w:rPr>
                <w:rFonts w:hint="eastAsia" w:eastAsia="宋体" w:cs="Times New Roman"/>
                <w:color w:val="auto"/>
                <w:sz w:val="21"/>
                <w:szCs w:val="21"/>
                <w:highlight w:val="none"/>
              </w:rPr>
              <w:t>Z</w:t>
            </w:r>
          </w:p>
        </w:tc>
        <w:tc>
          <w:tcPr>
            <w:tcW w:w="958" w:type="dxa"/>
            <w:vMerge w:val="continue"/>
            <w:tcBorders>
              <w:tl2br w:val="nil"/>
              <w:tr2bl w:val="nil"/>
            </w:tcBorders>
            <w:vAlign w:val="center"/>
          </w:tcPr>
          <w:p w14:paraId="2807FB40">
            <w:pPr>
              <w:pStyle w:val="15"/>
              <w:ind w:left="-105" w:right="-105"/>
              <w:rPr>
                <w:rFonts w:eastAsia="宋体" w:cs="Times New Roman"/>
                <w:color w:val="auto"/>
                <w:sz w:val="21"/>
                <w:szCs w:val="21"/>
                <w:highlight w:val="none"/>
              </w:rPr>
            </w:pPr>
          </w:p>
        </w:tc>
        <w:tc>
          <w:tcPr>
            <w:tcW w:w="696" w:type="dxa"/>
            <w:vMerge w:val="continue"/>
            <w:tcBorders>
              <w:tl2br w:val="nil"/>
              <w:tr2bl w:val="nil"/>
            </w:tcBorders>
            <w:vAlign w:val="center"/>
          </w:tcPr>
          <w:p w14:paraId="560325E0">
            <w:pPr>
              <w:pStyle w:val="15"/>
              <w:ind w:left="-105" w:right="-105"/>
              <w:rPr>
                <w:rFonts w:eastAsia="宋体" w:cs="Times New Roman"/>
                <w:color w:val="auto"/>
                <w:sz w:val="21"/>
                <w:szCs w:val="21"/>
                <w:highlight w:val="none"/>
              </w:rPr>
            </w:pPr>
          </w:p>
        </w:tc>
        <w:tc>
          <w:tcPr>
            <w:tcW w:w="1663" w:type="dxa"/>
            <w:vMerge w:val="continue"/>
            <w:tcBorders>
              <w:tl2br w:val="nil"/>
              <w:tr2bl w:val="nil"/>
            </w:tcBorders>
            <w:vAlign w:val="center"/>
          </w:tcPr>
          <w:p w14:paraId="53C25D80">
            <w:pPr>
              <w:pStyle w:val="15"/>
              <w:ind w:left="-105" w:right="-105"/>
              <w:rPr>
                <w:rFonts w:eastAsia="宋体" w:cs="Times New Roman"/>
                <w:color w:val="auto"/>
                <w:sz w:val="21"/>
                <w:szCs w:val="21"/>
                <w:highlight w:val="none"/>
              </w:rPr>
            </w:pPr>
          </w:p>
        </w:tc>
        <w:tc>
          <w:tcPr>
            <w:tcW w:w="1345" w:type="dxa"/>
            <w:vMerge w:val="continue"/>
            <w:tcBorders>
              <w:tl2br w:val="nil"/>
              <w:tr2bl w:val="nil"/>
            </w:tcBorders>
            <w:vAlign w:val="center"/>
          </w:tcPr>
          <w:p w14:paraId="6397C715">
            <w:pPr>
              <w:pStyle w:val="15"/>
              <w:ind w:left="-105" w:right="-105"/>
              <w:rPr>
                <w:rFonts w:eastAsia="宋体" w:cs="Times New Roman"/>
                <w:color w:val="auto"/>
                <w:sz w:val="21"/>
                <w:szCs w:val="21"/>
                <w:highlight w:val="none"/>
              </w:rPr>
            </w:pPr>
          </w:p>
        </w:tc>
      </w:tr>
      <w:tr w14:paraId="4EAAD3D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64" w:type="dxa"/>
            <w:tcBorders>
              <w:tl2br w:val="nil"/>
              <w:tr2bl w:val="nil"/>
            </w:tcBorders>
            <w:vAlign w:val="center"/>
          </w:tcPr>
          <w:p w14:paraId="1AF75BAA">
            <w:pPr>
              <w:pStyle w:val="15"/>
              <w:ind w:left="-105" w:right="-105"/>
              <w:rPr>
                <w:rFonts w:eastAsia="宋体" w:cs="Times New Roman"/>
                <w:b w:val="0"/>
                <w:bCs/>
                <w:color w:val="auto"/>
                <w:sz w:val="21"/>
                <w:szCs w:val="21"/>
                <w:highlight w:val="none"/>
              </w:rPr>
            </w:pPr>
            <w:r>
              <w:rPr>
                <w:rFonts w:hint="eastAsia" w:eastAsia="宋体" w:cs="Times New Roman"/>
                <w:b w:val="0"/>
                <w:bCs/>
                <w:color w:val="auto"/>
                <w:sz w:val="21"/>
                <w:szCs w:val="21"/>
                <w:highlight w:val="none"/>
              </w:rPr>
              <w:t>1</w:t>
            </w:r>
          </w:p>
        </w:tc>
        <w:tc>
          <w:tcPr>
            <w:tcW w:w="1236" w:type="dxa"/>
            <w:tcBorders>
              <w:tl2br w:val="nil"/>
              <w:tr2bl w:val="nil"/>
            </w:tcBorders>
            <w:vAlign w:val="center"/>
          </w:tcPr>
          <w:p w14:paraId="0039DA79">
            <w:pPr>
              <w:ind w:left="-105" w:right="-105"/>
              <w:jc w:val="center"/>
              <w:rPr>
                <w:rFonts w:cs="Times New Roman"/>
                <w:color w:val="auto"/>
                <w:sz w:val="21"/>
                <w:szCs w:val="21"/>
                <w:highlight w:val="none"/>
              </w:rPr>
            </w:pPr>
            <w:r>
              <w:rPr>
                <w:rFonts w:hint="eastAsia" w:ascii="Times New Roman" w:hAnsi="Times New Roman"/>
                <w:color w:val="auto"/>
                <w:sz w:val="21"/>
                <w:szCs w:val="21"/>
                <w:highlight w:val="none"/>
                <w:lang w:bidi="zh-CN"/>
              </w:rPr>
              <w:t>周巷头</w:t>
            </w:r>
          </w:p>
        </w:tc>
        <w:tc>
          <w:tcPr>
            <w:tcW w:w="753" w:type="dxa"/>
            <w:tcBorders>
              <w:tl2br w:val="nil"/>
              <w:tr2bl w:val="nil"/>
            </w:tcBorders>
            <w:vAlign w:val="center"/>
          </w:tcPr>
          <w:p w14:paraId="46C1D553">
            <w:pPr>
              <w:pStyle w:val="15"/>
              <w:ind w:left="-105" w:right="-105"/>
              <w:rPr>
                <w:rFonts w:eastAsia="宋体" w:cs="Times New Roman"/>
                <w:b w:val="0"/>
                <w:bCs/>
                <w:color w:val="auto"/>
                <w:sz w:val="21"/>
                <w:szCs w:val="21"/>
                <w:highlight w:val="none"/>
              </w:rPr>
            </w:pPr>
            <w:r>
              <w:rPr>
                <w:rFonts w:hint="eastAsia" w:eastAsia="宋体" w:cs="Times New Roman"/>
                <w:b w:val="0"/>
                <w:bCs/>
                <w:color w:val="auto"/>
                <w:sz w:val="21"/>
                <w:szCs w:val="21"/>
                <w:highlight w:val="none"/>
              </w:rPr>
              <w:t>185</w:t>
            </w:r>
          </w:p>
        </w:tc>
        <w:tc>
          <w:tcPr>
            <w:tcW w:w="753" w:type="dxa"/>
            <w:tcBorders>
              <w:tl2br w:val="nil"/>
              <w:tr2bl w:val="nil"/>
            </w:tcBorders>
            <w:vAlign w:val="center"/>
          </w:tcPr>
          <w:p w14:paraId="1410BB4F">
            <w:pPr>
              <w:pStyle w:val="15"/>
              <w:ind w:left="-105" w:right="-105"/>
              <w:rPr>
                <w:rFonts w:eastAsia="宋体" w:cs="Times New Roman"/>
                <w:b w:val="0"/>
                <w:bCs/>
                <w:color w:val="auto"/>
                <w:sz w:val="21"/>
                <w:szCs w:val="21"/>
                <w:highlight w:val="none"/>
              </w:rPr>
            </w:pPr>
            <w:r>
              <w:rPr>
                <w:rFonts w:hint="eastAsia" w:eastAsia="宋体" w:cs="Times New Roman"/>
                <w:b w:val="0"/>
                <w:bCs/>
                <w:color w:val="auto"/>
                <w:sz w:val="21"/>
                <w:szCs w:val="21"/>
                <w:highlight w:val="none"/>
              </w:rPr>
              <w:t>119</w:t>
            </w:r>
          </w:p>
        </w:tc>
        <w:tc>
          <w:tcPr>
            <w:tcW w:w="752" w:type="dxa"/>
            <w:tcBorders>
              <w:tl2br w:val="nil"/>
              <w:tr2bl w:val="nil"/>
            </w:tcBorders>
            <w:vAlign w:val="center"/>
          </w:tcPr>
          <w:p w14:paraId="05586B4A">
            <w:pPr>
              <w:pStyle w:val="15"/>
              <w:ind w:left="-105" w:right="-105"/>
              <w:rPr>
                <w:rFonts w:eastAsia="宋体" w:cs="Times New Roman"/>
                <w:b w:val="0"/>
                <w:bCs/>
                <w:color w:val="auto"/>
                <w:sz w:val="21"/>
                <w:szCs w:val="21"/>
                <w:highlight w:val="none"/>
              </w:rPr>
            </w:pPr>
            <w:r>
              <w:rPr>
                <w:rFonts w:hint="eastAsia" w:eastAsia="宋体" w:cs="Times New Roman"/>
                <w:b w:val="0"/>
                <w:bCs/>
                <w:color w:val="auto"/>
                <w:sz w:val="21"/>
                <w:szCs w:val="21"/>
                <w:highlight w:val="none"/>
              </w:rPr>
              <w:t>8</w:t>
            </w:r>
          </w:p>
        </w:tc>
        <w:tc>
          <w:tcPr>
            <w:tcW w:w="958" w:type="dxa"/>
            <w:tcBorders>
              <w:tl2br w:val="nil"/>
              <w:tr2bl w:val="nil"/>
            </w:tcBorders>
            <w:vAlign w:val="center"/>
          </w:tcPr>
          <w:p w14:paraId="442B60CE">
            <w:pPr>
              <w:ind w:left="-105" w:right="-105"/>
              <w:jc w:val="center"/>
              <w:rPr>
                <w:rFonts w:cs="Times New Roman"/>
                <w:color w:val="auto"/>
                <w:sz w:val="21"/>
                <w:szCs w:val="21"/>
                <w:highlight w:val="none"/>
              </w:rPr>
            </w:pPr>
            <w:r>
              <w:rPr>
                <w:rFonts w:hint="eastAsia" w:ascii="Times New Roman" w:hAnsi="Times New Roman"/>
                <w:color w:val="auto"/>
                <w:sz w:val="21"/>
                <w:szCs w:val="21"/>
                <w:highlight w:val="none"/>
                <w:lang w:val="en-US" w:bidi="zh-CN"/>
              </w:rPr>
              <w:t>30</w:t>
            </w:r>
            <w:r>
              <w:rPr>
                <w:rFonts w:ascii="Times New Roman" w:hAnsi="Times New Roman"/>
                <w:color w:val="auto"/>
                <w:sz w:val="21"/>
                <w:szCs w:val="21"/>
                <w:highlight w:val="none"/>
                <w:lang w:val="zh-CN" w:bidi="zh-CN"/>
              </w:rPr>
              <w:softHyphen/>
            </w:r>
          </w:p>
        </w:tc>
        <w:tc>
          <w:tcPr>
            <w:tcW w:w="696" w:type="dxa"/>
            <w:tcBorders>
              <w:tl2br w:val="nil"/>
              <w:tr2bl w:val="nil"/>
            </w:tcBorders>
            <w:vAlign w:val="center"/>
          </w:tcPr>
          <w:p w14:paraId="2FCB22F2">
            <w:pPr>
              <w:ind w:left="-105" w:right="-105"/>
              <w:jc w:val="center"/>
              <w:rPr>
                <w:rFonts w:cs="Times New Roman"/>
                <w:color w:val="auto"/>
                <w:sz w:val="21"/>
                <w:szCs w:val="21"/>
                <w:highlight w:val="none"/>
              </w:rPr>
            </w:pPr>
            <w:r>
              <w:rPr>
                <w:rFonts w:hint="eastAsia" w:ascii="Times New Roman" w:hAnsi="Times New Roman"/>
                <w:color w:val="auto"/>
                <w:sz w:val="21"/>
                <w:szCs w:val="21"/>
                <w:highlight w:val="none"/>
                <w:lang w:bidi="zh-CN"/>
              </w:rPr>
              <w:t>NE</w:t>
            </w:r>
            <w:r>
              <w:rPr>
                <w:rFonts w:ascii="Times New Roman" w:hAnsi="Times New Roman"/>
                <w:color w:val="auto"/>
                <w:sz w:val="21"/>
                <w:szCs w:val="21"/>
                <w:highlight w:val="none"/>
                <w:lang w:val="zh-CN" w:bidi="zh-CN"/>
              </w:rPr>
              <w:softHyphen/>
            </w:r>
          </w:p>
        </w:tc>
        <w:tc>
          <w:tcPr>
            <w:tcW w:w="1663" w:type="dxa"/>
            <w:vMerge w:val="restart"/>
            <w:tcBorders>
              <w:tl2br w:val="nil"/>
              <w:tr2bl w:val="nil"/>
            </w:tcBorders>
            <w:vAlign w:val="center"/>
          </w:tcPr>
          <w:p w14:paraId="727AAF3E">
            <w:pPr>
              <w:pStyle w:val="15"/>
              <w:ind w:left="-105" w:right="-105"/>
              <w:rPr>
                <w:rFonts w:eastAsia="宋体" w:cs="Times New Roman"/>
                <w:color w:val="auto"/>
                <w:sz w:val="21"/>
                <w:szCs w:val="21"/>
                <w:highlight w:val="none"/>
              </w:rPr>
            </w:pPr>
            <w:r>
              <w:rPr>
                <w:rFonts w:eastAsia="宋体" w:cs="Times New Roman"/>
                <w:b w:val="0"/>
                <w:bCs/>
                <w:color w:val="auto"/>
                <w:sz w:val="21"/>
                <w:szCs w:val="21"/>
                <w:highlight w:val="none"/>
                <w:lang w:val="zh-CN" w:bidi="zh-CN"/>
              </w:rPr>
              <w:t>《声环境质量标准》(GB3096-2008)2类标准</w:t>
            </w:r>
          </w:p>
        </w:tc>
        <w:tc>
          <w:tcPr>
            <w:tcW w:w="1345" w:type="dxa"/>
            <w:vMerge w:val="restart"/>
            <w:tcBorders>
              <w:tl2br w:val="nil"/>
              <w:tr2bl w:val="nil"/>
            </w:tcBorders>
            <w:vAlign w:val="center"/>
          </w:tcPr>
          <w:p w14:paraId="62CF5D5E">
            <w:pPr>
              <w:pStyle w:val="15"/>
              <w:ind w:left="-105" w:right="-105"/>
              <w:rPr>
                <w:rFonts w:eastAsia="宋体" w:cs="Times New Roman"/>
                <w:color w:val="auto"/>
                <w:sz w:val="21"/>
                <w:szCs w:val="21"/>
                <w:highlight w:val="none"/>
              </w:rPr>
            </w:pPr>
            <w:r>
              <w:rPr>
                <w:rFonts w:hint="eastAsia" w:eastAsia="宋体" w:cs="Times New Roman"/>
                <w:b w:val="0"/>
                <w:bCs/>
                <w:color w:val="auto"/>
                <w:sz w:val="21"/>
                <w:szCs w:val="21"/>
                <w:highlight w:val="none"/>
              </w:rPr>
              <w:t>居民点为混凝土结构，西南朝向，二层，周围为道路、厂房及绿化</w:t>
            </w:r>
          </w:p>
        </w:tc>
      </w:tr>
      <w:tr w14:paraId="5E219E2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64" w:type="dxa"/>
            <w:tcBorders>
              <w:tl2br w:val="nil"/>
              <w:tr2bl w:val="nil"/>
            </w:tcBorders>
            <w:vAlign w:val="center"/>
          </w:tcPr>
          <w:p w14:paraId="51A1AD56">
            <w:pPr>
              <w:pStyle w:val="15"/>
              <w:ind w:left="-105" w:right="-105"/>
              <w:rPr>
                <w:rFonts w:eastAsia="宋体" w:cs="Times New Roman"/>
                <w:b w:val="0"/>
                <w:bCs/>
                <w:color w:val="auto"/>
                <w:sz w:val="21"/>
                <w:szCs w:val="21"/>
                <w:highlight w:val="none"/>
              </w:rPr>
            </w:pPr>
            <w:r>
              <w:rPr>
                <w:rFonts w:hint="eastAsia" w:eastAsia="宋体" w:cs="Times New Roman"/>
                <w:b w:val="0"/>
                <w:bCs/>
                <w:color w:val="auto"/>
                <w:sz w:val="21"/>
                <w:szCs w:val="21"/>
                <w:highlight w:val="none"/>
              </w:rPr>
              <w:t>2</w:t>
            </w:r>
          </w:p>
        </w:tc>
        <w:tc>
          <w:tcPr>
            <w:tcW w:w="1236" w:type="dxa"/>
            <w:tcBorders>
              <w:tl2br w:val="nil"/>
              <w:tr2bl w:val="nil"/>
            </w:tcBorders>
            <w:vAlign w:val="center"/>
          </w:tcPr>
          <w:p w14:paraId="01BE6DC6">
            <w:pPr>
              <w:ind w:left="-105" w:right="-105"/>
              <w:jc w:val="center"/>
              <w:rPr>
                <w:rFonts w:cs="Times New Roman"/>
                <w:color w:val="auto"/>
                <w:sz w:val="21"/>
                <w:szCs w:val="21"/>
                <w:highlight w:val="none"/>
              </w:rPr>
            </w:pPr>
            <w:r>
              <w:rPr>
                <w:rFonts w:hint="eastAsia" w:ascii="Times New Roman" w:hAnsi="Times New Roman"/>
                <w:color w:val="auto"/>
                <w:sz w:val="21"/>
                <w:szCs w:val="21"/>
                <w:highlight w:val="none"/>
                <w:lang w:bidi="zh-CN"/>
              </w:rPr>
              <w:t>浦巷上</w:t>
            </w:r>
          </w:p>
        </w:tc>
        <w:tc>
          <w:tcPr>
            <w:tcW w:w="753" w:type="dxa"/>
            <w:tcBorders>
              <w:tl2br w:val="nil"/>
              <w:tr2bl w:val="nil"/>
            </w:tcBorders>
            <w:vAlign w:val="center"/>
          </w:tcPr>
          <w:p w14:paraId="26357889">
            <w:pPr>
              <w:pStyle w:val="15"/>
              <w:ind w:left="-105" w:right="-105"/>
              <w:rPr>
                <w:rFonts w:eastAsia="宋体" w:cs="Times New Roman"/>
                <w:b w:val="0"/>
                <w:bCs/>
                <w:color w:val="auto"/>
                <w:sz w:val="21"/>
                <w:szCs w:val="21"/>
                <w:highlight w:val="none"/>
              </w:rPr>
            </w:pPr>
            <w:r>
              <w:rPr>
                <w:rFonts w:hint="eastAsia" w:eastAsia="宋体" w:cs="Times New Roman"/>
                <w:b w:val="0"/>
                <w:bCs/>
                <w:color w:val="auto"/>
                <w:sz w:val="21"/>
                <w:szCs w:val="21"/>
                <w:highlight w:val="none"/>
              </w:rPr>
              <w:t>-105</w:t>
            </w:r>
          </w:p>
        </w:tc>
        <w:tc>
          <w:tcPr>
            <w:tcW w:w="753" w:type="dxa"/>
            <w:tcBorders>
              <w:tl2br w:val="nil"/>
              <w:tr2bl w:val="nil"/>
            </w:tcBorders>
            <w:vAlign w:val="center"/>
          </w:tcPr>
          <w:p w14:paraId="13BE3FD5">
            <w:pPr>
              <w:pStyle w:val="15"/>
              <w:ind w:left="-105" w:right="-105"/>
              <w:rPr>
                <w:rFonts w:eastAsia="宋体" w:cs="Times New Roman"/>
                <w:b w:val="0"/>
                <w:bCs/>
                <w:color w:val="auto"/>
                <w:sz w:val="21"/>
                <w:szCs w:val="21"/>
                <w:highlight w:val="none"/>
              </w:rPr>
            </w:pPr>
            <w:r>
              <w:rPr>
                <w:rFonts w:hint="eastAsia" w:eastAsia="宋体" w:cs="Times New Roman"/>
                <w:b w:val="0"/>
                <w:bCs/>
                <w:color w:val="auto"/>
                <w:sz w:val="21"/>
                <w:szCs w:val="21"/>
                <w:highlight w:val="none"/>
              </w:rPr>
              <w:t>100</w:t>
            </w:r>
          </w:p>
        </w:tc>
        <w:tc>
          <w:tcPr>
            <w:tcW w:w="752" w:type="dxa"/>
            <w:tcBorders>
              <w:tl2br w:val="nil"/>
              <w:tr2bl w:val="nil"/>
            </w:tcBorders>
            <w:vAlign w:val="center"/>
          </w:tcPr>
          <w:p w14:paraId="38AC4B45">
            <w:pPr>
              <w:pStyle w:val="15"/>
              <w:ind w:left="-105" w:right="-105"/>
              <w:rPr>
                <w:rFonts w:eastAsia="宋体" w:cs="Times New Roman"/>
                <w:b w:val="0"/>
                <w:bCs/>
                <w:color w:val="auto"/>
                <w:sz w:val="21"/>
                <w:szCs w:val="21"/>
                <w:highlight w:val="none"/>
              </w:rPr>
            </w:pPr>
            <w:r>
              <w:rPr>
                <w:rFonts w:hint="eastAsia" w:eastAsia="宋体" w:cs="Times New Roman"/>
                <w:b w:val="0"/>
                <w:bCs/>
                <w:color w:val="auto"/>
                <w:sz w:val="21"/>
                <w:szCs w:val="21"/>
                <w:highlight w:val="none"/>
              </w:rPr>
              <w:t>5</w:t>
            </w:r>
          </w:p>
        </w:tc>
        <w:tc>
          <w:tcPr>
            <w:tcW w:w="958" w:type="dxa"/>
            <w:tcBorders>
              <w:tl2br w:val="nil"/>
              <w:tr2bl w:val="nil"/>
            </w:tcBorders>
            <w:vAlign w:val="center"/>
          </w:tcPr>
          <w:p w14:paraId="451957E2">
            <w:pPr>
              <w:ind w:left="-105" w:right="-105"/>
              <w:jc w:val="center"/>
              <w:rPr>
                <w:rFonts w:cs="Times New Roman"/>
                <w:color w:val="auto"/>
                <w:sz w:val="21"/>
                <w:szCs w:val="21"/>
                <w:highlight w:val="none"/>
              </w:rPr>
            </w:pPr>
            <w:r>
              <w:rPr>
                <w:rFonts w:hint="eastAsia" w:ascii="Times New Roman" w:hAnsi="Times New Roman"/>
                <w:color w:val="auto"/>
                <w:sz w:val="21"/>
                <w:szCs w:val="21"/>
                <w:highlight w:val="none"/>
                <w:lang w:bidi="zh-CN"/>
              </w:rPr>
              <w:t>100</w:t>
            </w:r>
          </w:p>
        </w:tc>
        <w:tc>
          <w:tcPr>
            <w:tcW w:w="696" w:type="dxa"/>
            <w:tcBorders>
              <w:tl2br w:val="nil"/>
              <w:tr2bl w:val="nil"/>
            </w:tcBorders>
            <w:vAlign w:val="center"/>
          </w:tcPr>
          <w:p w14:paraId="52182F78">
            <w:pPr>
              <w:ind w:left="-105" w:right="-105"/>
              <w:jc w:val="center"/>
              <w:rPr>
                <w:rFonts w:cs="Times New Roman"/>
                <w:color w:val="auto"/>
                <w:sz w:val="21"/>
                <w:szCs w:val="21"/>
                <w:highlight w:val="none"/>
              </w:rPr>
            </w:pPr>
            <w:r>
              <w:rPr>
                <w:rFonts w:hint="eastAsia" w:ascii="Times New Roman" w:hAnsi="Times New Roman"/>
                <w:color w:val="auto"/>
                <w:sz w:val="21"/>
                <w:szCs w:val="21"/>
                <w:highlight w:val="none"/>
                <w:lang w:bidi="zh-CN"/>
              </w:rPr>
              <w:t>W</w:t>
            </w:r>
          </w:p>
        </w:tc>
        <w:tc>
          <w:tcPr>
            <w:tcW w:w="1663" w:type="dxa"/>
            <w:vMerge w:val="continue"/>
            <w:tcBorders>
              <w:tl2br w:val="nil"/>
              <w:tr2bl w:val="nil"/>
            </w:tcBorders>
            <w:vAlign w:val="center"/>
          </w:tcPr>
          <w:p w14:paraId="3F0E158C">
            <w:pPr>
              <w:pStyle w:val="15"/>
              <w:ind w:left="-105" w:right="-105"/>
              <w:rPr>
                <w:rFonts w:eastAsia="宋体" w:cs="Times New Roman"/>
                <w:color w:val="auto"/>
                <w:sz w:val="21"/>
                <w:szCs w:val="21"/>
                <w:highlight w:val="none"/>
              </w:rPr>
            </w:pPr>
          </w:p>
        </w:tc>
        <w:tc>
          <w:tcPr>
            <w:tcW w:w="1345" w:type="dxa"/>
            <w:vMerge w:val="continue"/>
            <w:tcBorders>
              <w:tl2br w:val="nil"/>
              <w:tr2bl w:val="nil"/>
            </w:tcBorders>
            <w:vAlign w:val="center"/>
          </w:tcPr>
          <w:p w14:paraId="0D8D51C6">
            <w:pPr>
              <w:pStyle w:val="15"/>
              <w:ind w:left="-105" w:right="-105"/>
              <w:rPr>
                <w:rFonts w:eastAsia="宋体" w:cs="Times New Roman"/>
                <w:color w:val="auto"/>
                <w:sz w:val="21"/>
                <w:szCs w:val="21"/>
                <w:highlight w:val="none"/>
              </w:rPr>
            </w:pPr>
          </w:p>
        </w:tc>
      </w:tr>
      <w:tr w14:paraId="32E1C64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64" w:type="dxa"/>
            <w:tcBorders>
              <w:tl2br w:val="nil"/>
              <w:tr2bl w:val="nil"/>
            </w:tcBorders>
            <w:vAlign w:val="center"/>
          </w:tcPr>
          <w:p w14:paraId="4DC067EC">
            <w:pPr>
              <w:pStyle w:val="15"/>
              <w:ind w:left="-105" w:right="-105"/>
              <w:rPr>
                <w:rFonts w:eastAsia="宋体" w:cs="Times New Roman"/>
                <w:b w:val="0"/>
                <w:bCs/>
                <w:color w:val="auto"/>
                <w:sz w:val="21"/>
                <w:szCs w:val="21"/>
                <w:highlight w:val="none"/>
              </w:rPr>
            </w:pPr>
            <w:r>
              <w:rPr>
                <w:rFonts w:hint="eastAsia" w:eastAsia="宋体" w:cs="Times New Roman"/>
                <w:b w:val="0"/>
                <w:bCs/>
                <w:color w:val="auto"/>
                <w:sz w:val="21"/>
                <w:szCs w:val="21"/>
                <w:highlight w:val="none"/>
              </w:rPr>
              <w:t>3</w:t>
            </w:r>
          </w:p>
        </w:tc>
        <w:tc>
          <w:tcPr>
            <w:tcW w:w="1236" w:type="dxa"/>
            <w:tcBorders>
              <w:tl2br w:val="nil"/>
              <w:tr2bl w:val="nil"/>
            </w:tcBorders>
            <w:vAlign w:val="center"/>
          </w:tcPr>
          <w:p w14:paraId="162F4634">
            <w:pPr>
              <w:ind w:left="-105" w:right="-105"/>
              <w:jc w:val="center"/>
              <w:rPr>
                <w:rFonts w:cs="Times New Roman"/>
                <w:color w:val="auto"/>
                <w:sz w:val="21"/>
                <w:szCs w:val="21"/>
                <w:highlight w:val="none"/>
              </w:rPr>
            </w:pPr>
            <w:r>
              <w:rPr>
                <w:rFonts w:hint="eastAsia" w:ascii="Times New Roman" w:hAnsi="Times New Roman"/>
                <w:color w:val="auto"/>
                <w:sz w:val="21"/>
                <w:szCs w:val="21"/>
                <w:highlight w:val="none"/>
                <w:lang w:bidi="zh-CN"/>
              </w:rPr>
              <w:t>朱巷村</w:t>
            </w:r>
          </w:p>
        </w:tc>
        <w:tc>
          <w:tcPr>
            <w:tcW w:w="753" w:type="dxa"/>
            <w:tcBorders>
              <w:tl2br w:val="nil"/>
              <w:tr2bl w:val="nil"/>
            </w:tcBorders>
            <w:vAlign w:val="center"/>
          </w:tcPr>
          <w:p w14:paraId="0C80C023">
            <w:pPr>
              <w:pStyle w:val="15"/>
              <w:ind w:left="-105" w:right="-105"/>
              <w:rPr>
                <w:rFonts w:eastAsia="宋体" w:cs="Times New Roman"/>
                <w:b w:val="0"/>
                <w:bCs/>
                <w:color w:val="auto"/>
                <w:sz w:val="21"/>
                <w:szCs w:val="21"/>
                <w:highlight w:val="none"/>
              </w:rPr>
            </w:pPr>
            <w:r>
              <w:rPr>
                <w:rFonts w:hint="eastAsia" w:eastAsia="宋体" w:cs="Times New Roman"/>
                <w:b w:val="0"/>
                <w:bCs/>
                <w:color w:val="auto"/>
                <w:sz w:val="21"/>
                <w:szCs w:val="21"/>
                <w:highlight w:val="none"/>
              </w:rPr>
              <w:t>-60</w:t>
            </w:r>
          </w:p>
        </w:tc>
        <w:tc>
          <w:tcPr>
            <w:tcW w:w="753" w:type="dxa"/>
            <w:tcBorders>
              <w:tl2br w:val="nil"/>
              <w:tr2bl w:val="nil"/>
            </w:tcBorders>
            <w:vAlign w:val="center"/>
          </w:tcPr>
          <w:p w14:paraId="01A56A87">
            <w:pPr>
              <w:pStyle w:val="15"/>
              <w:ind w:left="-105" w:right="-105"/>
              <w:rPr>
                <w:rFonts w:eastAsia="宋体" w:cs="Times New Roman"/>
                <w:b w:val="0"/>
                <w:bCs/>
                <w:color w:val="auto"/>
                <w:sz w:val="21"/>
                <w:szCs w:val="21"/>
                <w:highlight w:val="none"/>
              </w:rPr>
            </w:pPr>
            <w:r>
              <w:rPr>
                <w:rFonts w:hint="eastAsia" w:eastAsia="宋体" w:cs="Times New Roman"/>
                <w:b w:val="0"/>
                <w:bCs/>
                <w:color w:val="auto"/>
                <w:sz w:val="21"/>
                <w:szCs w:val="21"/>
                <w:highlight w:val="none"/>
              </w:rPr>
              <w:t>-105</w:t>
            </w:r>
          </w:p>
        </w:tc>
        <w:tc>
          <w:tcPr>
            <w:tcW w:w="752" w:type="dxa"/>
            <w:tcBorders>
              <w:tl2br w:val="nil"/>
              <w:tr2bl w:val="nil"/>
            </w:tcBorders>
            <w:vAlign w:val="center"/>
          </w:tcPr>
          <w:p w14:paraId="5B2D62BC">
            <w:pPr>
              <w:pStyle w:val="15"/>
              <w:ind w:left="-105" w:right="-105"/>
              <w:rPr>
                <w:rFonts w:eastAsia="宋体" w:cs="Times New Roman"/>
                <w:b w:val="0"/>
                <w:bCs/>
                <w:color w:val="auto"/>
                <w:sz w:val="21"/>
                <w:szCs w:val="21"/>
                <w:highlight w:val="none"/>
              </w:rPr>
            </w:pPr>
            <w:r>
              <w:rPr>
                <w:rFonts w:hint="eastAsia" w:eastAsia="宋体" w:cs="Times New Roman"/>
                <w:b w:val="0"/>
                <w:bCs/>
                <w:color w:val="auto"/>
                <w:sz w:val="21"/>
                <w:szCs w:val="21"/>
                <w:highlight w:val="none"/>
              </w:rPr>
              <w:t>10</w:t>
            </w:r>
          </w:p>
        </w:tc>
        <w:tc>
          <w:tcPr>
            <w:tcW w:w="958" w:type="dxa"/>
            <w:tcBorders>
              <w:tl2br w:val="nil"/>
              <w:tr2bl w:val="nil"/>
            </w:tcBorders>
            <w:vAlign w:val="center"/>
          </w:tcPr>
          <w:p w14:paraId="1E19B8F0">
            <w:pPr>
              <w:ind w:left="-105" w:right="-105"/>
              <w:jc w:val="center"/>
              <w:rPr>
                <w:rFonts w:cs="Times New Roman"/>
                <w:color w:val="auto"/>
                <w:sz w:val="21"/>
                <w:szCs w:val="21"/>
                <w:highlight w:val="none"/>
              </w:rPr>
            </w:pPr>
            <w:r>
              <w:rPr>
                <w:rFonts w:hint="eastAsia" w:ascii="Times New Roman" w:hAnsi="Times New Roman"/>
                <w:color w:val="auto"/>
                <w:sz w:val="21"/>
                <w:szCs w:val="21"/>
                <w:highlight w:val="none"/>
                <w:lang w:bidi="zh-CN"/>
              </w:rPr>
              <w:t>140</w:t>
            </w:r>
          </w:p>
        </w:tc>
        <w:tc>
          <w:tcPr>
            <w:tcW w:w="696" w:type="dxa"/>
            <w:tcBorders>
              <w:tl2br w:val="nil"/>
              <w:tr2bl w:val="nil"/>
            </w:tcBorders>
            <w:vAlign w:val="center"/>
          </w:tcPr>
          <w:p w14:paraId="5A3D3CA1">
            <w:pPr>
              <w:ind w:left="-105" w:right="-105"/>
              <w:jc w:val="center"/>
              <w:rPr>
                <w:rFonts w:cs="Times New Roman"/>
                <w:color w:val="auto"/>
                <w:sz w:val="21"/>
                <w:szCs w:val="21"/>
                <w:highlight w:val="none"/>
              </w:rPr>
            </w:pPr>
            <w:r>
              <w:rPr>
                <w:rFonts w:hint="eastAsia" w:ascii="Times New Roman" w:hAnsi="Times New Roman"/>
                <w:color w:val="auto"/>
                <w:sz w:val="21"/>
                <w:szCs w:val="21"/>
                <w:highlight w:val="none"/>
                <w:lang w:bidi="zh-CN"/>
              </w:rPr>
              <w:t>SW</w:t>
            </w:r>
          </w:p>
        </w:tc>
        <w:tc>
          <w:tcPr>
            <w:tcW w:w="1663" w:type="dxa"/>
            <w:vMerge w:val="continue"/>
            <w:tcBorders>
              <w:tl2br w:val="nil"/>
              <w:tr2bl w:val="nil"/>
            </w:tcBorders>
            <w:vAlign w:val="center"/>
          </w:tcPr>
          <w:p w14:paraId="6EB5DBF0">
            <w:pPr>
              <w:pStyle w:val="15"/>
              <w:ind w:left="-105" w:right="-105"/>
              <w:rPr>
                <w:rFonts w:eastAsia="宋体" w:cs="Times New Roman"/>
                <w:color w:val="auto"/>
                <w:sz w:val="21"/>
                <w:szCs w:val="21"/>
                <w:highlight w:val="none"/>
              </w:rPr>
            </w:pPr>
          </w:p>
        </w:tc>
        <w:tc>
          <w:tcPr>
            <w:tcW w:w="1345" w:type="dxa"/>
            <w:vMerge w:val="continue"/>
            <w:tcBorders>
              <w:tl2br w:val="nil"/>
              <w:tr2bl w:val="nil"/>
            </w:tcBorders>
            <w:vAlign w:val="center"/>
          </w:tcPr>
          <w:p w14:paraId="46194A68">
            <w:pPr>
              <w:pStyle w:val="15"/>
              <w:ind w:left="-105" w:right="-105"/>
              <w:rPr>
                <w:rFonts w:eastAsia="宋体" w:cs="Times New Roman"/>
                <w:color w:val="auto"/>
                <w:sz w:val="21"/>
                <w:szCs w:val="21"/>
                <w:highlight w:val="none"/>
              </w:rPr>
            </w:pPr>
          </w:p>
        </w:tc>
      </w:tr>
    </w:tbl>
    <w:p w14:paraId="18EBB7EC">
      <w:pPr>
        <w:pStyle w:val="15"/>
        <w:spacing w:line="360" w:lineRule="auto"/>
        <w:ind w:left="-105" w:right="-105"/>
        <w:jc w:val="both"/>
        <w:rPr>
          <w:rFonts w:eastAsia="宋体" w:cs="Times New Roman"/>
          <w:color w:val="auto"/>
          <w:sz w:val="21"/>
          <w:szCs w:val="15"/>
          <w:highlight w:val="none"/>
        </w:rPr>
      </w:pPr>
      <w:r>
        <w:rPr>
          <w:rFonts w:hint="eastAsia" w:eastAsia="宋体" w:cs="Times New Roman"/>
          <w:color w:val="auto"/>
          <w:sz w:val="21"/>
          <w:szCs w:val="15"/>
          <w:highlight w:val="none"/>
        </w:rPr>
        <w:t>注：以厂界西南角为原点。</w:t>
      </w:r>
    </w:p>
    <w:p w14:paraId="37F09115">
      <w:pPr>
        <w:pStyle w:val="15"/>
        <w:spacing w:line="360" w:lineRule="auto"/>
        <w:ind w:left="-105" w:right="-105" w:firstLine="482"/>
        <w:rPr>
          <w:rFonts w:eastAsia="宋体" w:cs="Times New Roman"/>
          <w:color w:val="auto"/>
          <w:sz w:val="24"/>
          <w:szCs w:val="24"/>
          <w:highlight w:val="none"/>
        </w:rPr>
      </w:pPr>
      <w:r>
        <w:rPr>
          <w:rFonts w:eastAsia="宋体" w:cs="Times New Roman"/>
          <w:color w:val="auto"/>
          <w:sz w:val="24"/>
          <w:szCs w:val="18"/>
          <w:highlight w:val="none"/>
        </w:rPr>
        <w:t xml:space="preserve">表 </w:t>
      </w:r>
      <w:r>
        <w:rPr>
          <w:rFonts w:eastAsia="宋体" w:cs="Times New Roman"/>
          <w:color w:val="auto"/>
          <w:sz w:val="24"/>
          <w:szCs w:val="18"/>
          <w:highlight w:val="none"/>
        </w:rPr>
        <w:fldChar w:fldCharType="begin"/>
      </w:r>
      <w:r>
        <w:rPr>
          <w:rFonts w:eastAsia="宋体" w:cs="Times New Roman"/>
          <w:color w:val="auto"/>
          <w:sz w:val="24"/>
          <w:szCs w:val="18"/>
          <w:highlight w:val="none"/>
        </w:rPr>
        <w:instrText xml:space="preserve"> STYLEREF 2 \s </w:instrText>
      </w:r>
      <w:r>
        <w:rPr>
          <w:rFonts w:eastAsia="宋体" w:cs="Times New Roman"/>
          <w:color w:val="auto"/>
          <w:sz w:val="24"/>
          <w:szCs w:val="18"/>
          <w:highlight w:val="none"/>
        </w:rPr>
        <w:fldChar w:fldCharType="separate"/>
      </w:r>
      <w:r>
        <w:rPr>
          <w:rFonts w:eastAsia="宋体" w:cs="Times New Roman"/>
          <w:color w:val="auto"/>
          <w:sz w:val="24"/>
          <w:szCs w:val="18"/>
          <w:highlight w:val="none"/>
        </w:rPr>
        <w:t>2.5</w:t>
      </w:r>
      <w:r>
        <w:rPr>
          <w:rFonts w:eastAsia="宋体" w:cs="Times New Roman"/>
          <w:color w:val="auto"/>
          <w:sz w:val="24"/>
          <w:szCs w:val="18"/>
          <w:highlight w:val="none"/>
        </w:rPr>
        <w:fldChar w:fldCharType="end"/>
      </w:r>
      <w:r>
        <w:rPr>
          <w:rFonts w:hint="eastAsia" w:eastAsia="宋体" w:cs="Times New Roman"/>
          <w:color w:val="auto"/>
          <w:sz w:val="24"/>
          <w:szCs w:val="18"/>
          <w:highlight w:val="none"/>
        </w:rPr>
        <w:t>-</w:t>
      </w:r>
      <w:r>
        <w:rPr>
          <w:rFonts w:eastAsia="宋体" w:cs="Times New Roman"/>
          <w:color w:val="auto"/>
          <w:sz w:val="24"/>
          <w:szCs w:val="18"/>
          <w:highlight w:val="none"/>
        </w:rPr>
        <w:fldChar w:fldCharType="begin"/>
      </w:r>
      <w:r>
        <w:rPr>
          <w:rFonts w:eastAsia="宋体" w:cs="Times New Roman"/>
          <w:color w:val="auto"/>
          <w:sz w:val="24"/>
          <w:szCs w:val="18"/>
          <w:highlight w:val="none"/>
        </w:rPr>
        <w:instrText xml:space="preserve"> SEQ 表 \* ARABIC \s 2 </w:instrText>
      </w:r>
      <w:r>
        <w:rPr>
          <w:rFonts w:eastAsia="宋体" w:cs="Times New Roman"/>
          <w:color w:val="auto"/>
          <w:sz w:val="24"/>
          <w:szCs w:val="18"/>
          <w:highlight w:val="none"/>
        </w:rPr>
        <w:fldChar w:fldCharType="separate"/>
      </w:r>
      <w:r>
        <w:rPr>
          <w:rFonts w:eastAsia="宋体" w:cs="Times New Roman"/>
          <w:color w:val="auto"/>
          <w:sz w:val="24"/>
          <w:szCs w:val="18"/>
          <w:highlight w:val="none"/>
        </w:rPr>
        <w:t>4</w:t>
      </w:r>
      <w:r>
        <w:rPr>
          <w:rFonts w:eastAsia="宋体" w:cs="Times New Roman"/>
          <w:color w:val="auto"/>
          <w:sz w:val="24"/>
          <w:szCs w:val="18"/>
          <w:highlight w:val="none"/>
        </w:rPr>
        <w:fldChar w:fldCharType="end"/>
      </w:r>
      <w:r>
        <w:rPr>
          <w:rFonts w:eastAsia="宋体" w:cs="Times New Roman"/>
          <w:color w:val="auto"/>
          <w:sz w:val="24"/>
          <w:szCs w:val="18"/>
          <w:highlight w:val="none"/>
        </w:rPr>
        <w:t>地下水</w:t>
      </w:r>
      <w:r>
        <w:rPr>
          <w:rFonts w:hint="eastAsia" w:eastAsia="宋体" w:cs="Times New Roman"/>
          <w:color w:val="auto"/>
          <w:sz w:val="24"/>
          <w:szCs w:val="18"/>
          <w:highlight w:val="none"/>
        </w:rPr>
        <w:t>、土壤</w:t>
      </w:r>
      <w:r>
        <w:rPr>
          <w:rFonts w:eastAsia="宋体" w:cs="Times New Roman"/>
          <w:color w:val="auto"/>
          <w:sz w:val="24"/>
          <w:szCs w:val="18"/>
          <w:highlight w:val="none"/>
        </w:rPr>
        <w:t>及生态环境保护目标表</w:t>
      </w:r>
    </w:p>
    <w:tbl>
      <w:tblPr>
        <w:tblStyle w:val="45"/>
        <w:tblW w:w="9064" w:type="dxa"/>
        <w:jc w:val="center"/>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
      <w:tblGrid>
        <w:gridCol w:w="1037"/>
        <w:gridCol w:w="1698"/>
        <w:gridCol w:w="828"/>
        <w:gridCol w:w="1682"/>
        <w:gridCol w:w="1466"/>
        <w:gridCol w:w="2353"/>
      </w:tblGrid>
      <w:tr w14:paraId="355EA853">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27" w:hRule="atLeast"/>
          <w:jc w:val="center"/>
        </w:trPr>
        <w:tc>
          <w:tcPr>
            <w:tcW w:w="1037" w:type="dxa"/>
            <w:tcBorders>
              <w:tl2br w:val="nil"/>
              <w:tr2bl w:val="nil"/>
            </w:tcBorders>
            <w:vAlign w:val="center"/>
          </w:tcPr>
          <w:p w14:paraId="2A6C60C9">
            <w:pPr>
              <w:ind w:left="-105" w:right="-105"/>
              <w:jc w:val="center"/>
              <w:rPr>
                <w:rFonts w:ascii="Times New Roman" w:hAnsi="Times New Roman"/>
                <w:b/>
                <w:color w:val="auto"/>
                <w:sz w:val="21"/>
                <w:szCs w:val="21"/>
                <w:highlight w:val="none"/>
                <w:lang w:val="zh-CN" w:bidi="zh-CN"/>
              </w:rPr>
            </w:pPr>
            <w:r>
              <w:rPr>
                <w:rFonts w:ascii="Times New Roman" w:hAnsi="Times New Roman"/>
                <w:b/>
                <w:color w:val="auto"/>
                <w:sz w:val="21"/>
                <w:szCs w:val="21"/>
                <w:highlight w:val="none"/>
                <w:lang w:val="zh-CN" w:bidi="zh-CN"/>
              </w:rPr>
              <w:t>环境类别</w:t>
            </w:r>
          </w:p>
        </w:tc>
        <w:tc>
          <w:tcPr>
            <w:tcW w:w="1698" w:type="dxa"/>
            <w:tcBorders>
              <w:tl2br w:val="nil"/>
              <w:tr2bl w:val="nil"/>
            </w:tcBorders>
            <w:vAlign w:val="center"/>
          </w:tcPr>
          <w:p w14:paraId="1D1A3AFE">
            <w:pPr>
              <w:ind w:left="-105" w:right="-105"/>
              <w:jc w:val="center"/>
              <w:rPr>
                <w:rFonts w:ascii="Times New Roman" w:hAnsi="Times New Roman"/>
                <w:b/>
                <w:color w:val="auto"/>
                <w:sz w:val="21"/>
                <w:szCs w:val="21"/>
                <w:highlight w:val="none"/>
                <w:lang w:val="zh-CN" w:bidi="zh-CN"/>
              </w:rPr>
            </w:pPr>
            <w:r>
              <w:rPr>
                <w:rFonts w:ascii="Times New Roman" w:hAnsi="Times New Roman"/>
                <w:b/>
                <w:color w:val="auto"/>
                <w:sz w:val="21"/>
                <w:szCs w:val="21"/>
                <w:highlight w:val="none"/>
                <w:lang w:val="zh-CN" w:bidi="zh-CN"/>
              </w:rPr>
              <w:t>环境保护目标</w:t>
            </w:r>
          </w:p>
        </w:tc>
        <w:tc>
          <w:tcPr>
            <w:tcW w:w="828" w:type="dxa"/>
            <w:tcBorders>
              <w:tl2br w:val="nil"/>
              <w:tr2bl w:val="nil"/>
            </w:tcBorders>
            <w:vAlign w:val="center"/>
          </w:tcPr>
          <w:p w14:paraId="7A391755">
            <w:pPr>
              <w:ind w:left="-105" w:right="-105"/>
              <w:jc w:val="center"/>
              <w:rPr>
                <w:rFonts w:ascii="Times New Roman" w:hAnsi="Times New Roman"/>
                <w:b/>
                <w:color w:val="auto"/>
                <w:sz w:val="21"/>
                <w:szCs w:val="21"/>
                <w:highlight w:val="none"/>
                <w:lang w:val="zh-CN" w:bidi="zh-CN"/>
              </w:rPr>
            </w:pPr>
            <w:r>
              <w:rPr>
                <w:rFonts w:ascii="Times New Roman" w:hAnsi="Times New Roman"/>
                <w:b/>
                <w:color w:val="auto"/>
                <w:sz w:val="21"/>
                <w:szCs w:val="21"/>
                <w:highlight w:val="none"/>
                <w:lang w:val="zh-CN" w:bidi="zh-CN"/>
              </w:rPr>
              <w:t>方位</w:t>
            </w:r>
          </w:p>
        </w:tc>
        <w:tc>
          <w:tcPr>
            <w:tcW w:w="1682" w:type="dxa"/>
            <w:tcBorders>
              <w:tl2br w:val="nil"/>
              <w:tr2bl w:val="nil"/>
            </w:tcBorders>
            <w:vAlign w:val="center"/>
          </w:tcPr>
          <w:p w14:paraId="278CE41B">
            <w:pPr>
              <w:ind w:left="-105" w:right="-105"/>
              <w:jc w:val="center"/>
              <w:rPr>
                <w:rFonts w:ascii="Times New Roman" w:hAnsi="Times New Roman"/>
                <w:b/>
                <w:color w:val="auto"/>
                <w:sz w:val="21"/>
                <w:szCs w:val="21"/>
                <w:highlight w:val="none"/>
                <w:lang w:val="zh-CN" w:bidi="zh-CN"/>
              </w:rPr>
            </w:pPr>
            <w:r>
              <w:rPr>
                <w:rFonts w:ascii="Times New Roman" w:hAnsi="Times New Roman"/>
                <w:b/>
                <w:color w:val="auto"/>
                <w:sz w:val="21"/>
                <w:szCs w:val="21"/>
                <w:highlight w:val="none"/>
                <w:lang w:val="zh-CN" w:bidi="zh-CN"/>
              </w:rPr>
              <w:t>距本项目厂界距离（m）</w:t>
            </w:r>
          </w:p>
        </w:tc>
        <w:tc>
          <w:tcPr>
            <w:tcW w:w="1466" w:type="dxa"/>
            <w:tcBorders>
              <w:tl2br w:val="nil"/>
              <w:tr2bl w:val="nil"/>
            </w:tcBorders>
            <w:vAlign w:val="center"/>
          </w:tcPr>
          <w:p w14:paraId="7DF21E03">
            <w:pPr>
              <w:ind w:left="-105" w:right="-105"/>
              <w:jc w:val="center"/>
              <w:rPr>
                <w:rFonts w:ascii="Times New Roman" w:hAnsi="Times New Roman"/>
                <w:b/>
                <w:color w:val="auto"/>
                <w:sz w:val="21"/>
                <w:szCs w:val="21"/>
                <w:highlight w:val="none"/>
                <w:lang w:val="zh-CN" w:bidi="zh-CN"/>
              </w:rPr>
            </w:pPr>
            <w:r>
              <w:rPr>
                <w:rFonts w:ascii="Times New Roman" w:hAnsi="Times New Roman"/>
                <w:b/>
                <w:color w:val="auto"/>
                <w:sz w:val="21"/>
                <w:szCs w:val="21"/>
                <w:highlight w:val="none"/>
                <w:lang w:val="zh-CN" w:bidi="zh-CN"/>
              </w:rPr>
              <w:t>户数/人数</w:t>
            </w:r>
          </w:p>
        </w:tc>
        <w:tc>
          <w:tcPr>
            <w:tcW w:w="2353" w:type="dxa"/>
            <w:tcBorders>
              <w:tl2br w:val="nil"/>
              <w:tr2bl w:val="nil"/>
            </w:tcBorders>
            <w:vAlign w:val="center"/>
          </w:tcPr>
          <w:p w14:paraId="43DAC6AA">
            <w:pPr>
              <w:ind w:left="-105" w:right="-105"/>
              <w:jc w:val="center"/>
              <w:rPr>
                <w:rFonts w:ascii="Times New Roman" w:hAnsi="Times New Roman"/>
                <w:b/>
                <w:color w:val="auto"/>
                <w:sz w:val="21"/>
                <w:szCs w:val="21"/>
                <w:highlight w:val="none"/>
                <w:lang w:val="zh-CN" w:bidi="zh-CN"/>
              </w:rPr>
            </w:pPr>
            <w:r>
              <w:rPr>
                <w:rFonts w:ascii="Times New Roman" w:hAnsi="Times New Roman"/>
                <w:b/>
                <w:color w:val="auto"/>
                <w:sz w:val="21"/>
                <w:szCs w:val="21"/>
                <w:highlight w:val="none"/>
                <w:lang w:val="zh-CN" w:bidi="zh-CN"/>
              </w:rPr>
              <w:t>环境质量控制目标</w:t>
            </w:r>
          </w:p>
        </w:tc>
      </w:tr>
      <w:tr w14:paraId="2AFF6169">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27" w:hRule="atLeast"/>
          <w:jc w:val="center"/>
        </w:trPr>
        <w:tc>
          <w:tcPr>
            <w:tcW w:w="1037" w:type="dxa"/>
            <w:tcBorders>
              <w:tl2br w:val="nil"/>
              <w:tr2bl w:val="nil"/>
            </w:tcBorders>
            <w:vAlign w:val="center"/>
          </w:tcPr>
          <w:p w14:paraId="79ADAF7A">
            <w:pPr>
              <w:ind w:left="-105" w:right="-105"/>
              <w:jc w:val="center"/>
              <w:rPr>
                <w:rFonts w:ascii="Times New Roman" w:hAnsi="Times New Roman"/>
                <w:color w:val="auto"/>
                <w:sz w:val="21"/>
                <w:szCs w:val="21"/>
                <w:highlight w:val="none"/>
                <w:lang w:val="zh-CN" w:bidi="zh-CN"/>
              </w:rPr>
            </w:pPr>
            <w:r>
              <w:rPr>
                <w:rFonts w:ascii="Times New Roman" w:hAnsi="Times New Roman"/>
                <w:color w:val="auto"/>
                <w:sz w:val="21"/>
                <w:szCs w:val="21"/>
                <w:highlight w:val="none"/>
                <w:lang w:val="zh-CN" w:bidi="zh-CN"/>
              </w:rPr>
              <w:t>地下水</w:t>
            </w:r>
          </w:p>
        </w:tc>
        <w:tc>
          <w:tcPr>
            <w:tcW w:w="5674" w:type="dxa"/>
            <w:gridSpan w:val="4"/>
            <w:tcBorders>
              <w:tl2br w:val="nil"/>
              <w:tr2bl w:val="nil"/>
            </w:tcBorders>
            <w:vAlign w:val="center"/>
          </w:tcPr>
          <w:p w14:paraId="2CC067DE">
            <w:pPr>
              <w:ind w:left="-105" w:right="-105"/>
              <w:jc w:val="center"/>
              <w:rPr>
                <w:rFonts w:ascii="Times New Roman" w:hAnsi="Times New Roman"/>
                <w:color w:val="auto"/>
                <w:sz w:val="21"/>
                <w:szCs w:val="21"/>
                <w:highlight w:val="none"/>
                <w:lang w:val="zh-CN" w:bidi="zh-CN"/>
              </w:rPr>
            </w:pPr>
            <w:r>
              <w:rPr>
                <w:rFonts w:ascii="Times New Roman" w:hAnsi="Times New Roman"/>
                <w:color w:val="auto"/>
                <w:sz w:val="21"/>
                <w:szCs w:val="21"/>
                <w:highlight w:val="none"/>
                <w:lang w:val="zh-CN" w:bidi="zh-CN"/>
              </w:rPr>
              <w:t>拟建项目周围6</w:t>
            </w:r>
            <w:r>
              <w:rPr>
                <w:rFonts w:hint="eastAsia" w:ascii="Times New Roman" w:hAnsi="Times New Roman"/>
                <w:color w:val="auto"/>
                <w:sz w:val="21"/>
                <w:szCs w:val="21"/>
                <w:highlight w:val="none"/>
                <w:lang w:bidi="zh-CN"/>
              </w:rPr>
              <w:t>k</w:t>
            </w:r>
            <w:r>
              <w:rPr>
                <w:rFonts w:ascii="Times New Roman" w:hAnsi="Times New Roman"/>
                <w:color w:val="auto"/>
                <w:sz w:val="21"/>
                <w:szCs w:val="21"/>
                <w:highlight w:val="none"/>
                <w:lang w:val="zh-CN" w:bidi="zh-CN"/>
              </w:rPr>
              <w:t>m</w:t>
            </w:r>
            <w:r>
              <w:rPr>
                <w:rFonts w:ascii="Times New Roman" w:hAnsi="Times New Roman"/>
                <w:color w:val="auto"/>
                <w:sz w:val="21"/>
                <w:szCs w:val="21"/>
                <w:highlight w:val="none"/>
                <w:vertAlign w:val="superscript"/>
                <w:lang w:val="zh-CN" w:bidi="zh-CN"/>
              </w:rPr>
              <w:t>2</w:t>
            </w:r>
            <w:r>
              <w:rPr>
                <w:rFonts w:ascii="Times New Roman" w:hAnsi="Times New Roman"/>
                <w:color w:val="auto"/>
                <w:sz w:val="21"/>
                <w:szCs w:val="21"/>
                <w:highlight w:val="none"/>
                <w:lang w:val="zh-CN" w:bidi="zh-CN"/>
              </w:rPr>
              <w:t>范围内无饮用水井</w:t>
            </w:r>
          </w:p>
        </w:tc>
        <w:tc>
          <w:tcPr>
            <w:tcW w:w="2353" w:type="dxa"/>
            <w:tcBorders>
              <w:tl2br w:val="nil"/>
              <w:tr2bl w:val="nil"/>
            </w:tcBorders>
            <w:vAlign w:val="center"/>
          </w:tcPr>
          <w:p w14:paraId="62A8012F">
            <w:pPr>
              <w:ind w:left="-105" w:right="-105"/>
              <w:jc w:val="center"/>
              <w:rPr>
                <w:rFonts w:ascii="Times New Roman" w:hAnsi="Times New Roman"/>
                <w:color w:val="auto"/>
                <w:sz w:val="21"/>
                <w:szCs w:val="21"/>
                <w:highlight w:val="none"/>
                <w:lang w:val="zh-CN" w:bidi="zh-CN"/>
              </w:rPr>
            </w:pPr>
            <w:r>
              <w:rPr>
                <w:rFonts w:ascii="Times New Roman" w:hAnsi="Times New Roman"/>
                <w:color w:val="auto"/>
                <w:sz w:val="21"/>
                <w:szCs w:val="21"/>
                <w:highlight w:val="none"/>
                <w:lang w:val="zh-CN" w:bidi="zh-CN"/>
              </w:rPr>
              <w:t>《地下水环境质量标准》(GB/T14848-2017)</w:t>
            </w:r>
          </w:p>
        </w:tc>
      </w:tr>
      <w:tr w14:paraId="44701F09">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27" w:hRule="atLeast"/>
          <w:jc w:val="center"/>
        </w:trPr>
        <w:tc>
          <w:tcPr>
            <w:tcW w:w="1037" w:type="dxa"/>
            <w:vMerge w:val="restart"/>
            <w:tcBorders>
              <w:tl2br w:val="nil"/>
              <w:tr2bl w:val="nil"/>
            </w:tcBorders>
            <w:vAlign w:val="center"/>
          </w:tcPr>
          <w:p w14:paraId="65115521">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土壤</w:t>
            </w:r>
          </w:p>
        </w:tc>
        <w:tc>
          <w:tcPr>
            <w:tcW w:w="1698" w:type="dxa"/>
            <w:tcBorders>
              <w:tl2br w:val="nil"/>
              <w:tr2bl w:val="nil"/>
            </w:tcBorders>
            <w:vAlign w:val="center"/>
          </w:tcPr>
          <w:p w14:paraId="14B56D9E">
            <w:pPr>
              <w:ind w:left="-105" w:right="-105"/>
              <w:jc w:val="center"/>
              <w:rPr>
                <w:rFonts w:ascii="Times New Roman" w:hAnsi="Times New Roman"/>
                <w:color w:val="auto"/>
                <w:sz w:val="21"/>
                <w:szCs w:val="21"/>
                <w:highlight w:val="none"/>
                <w:lang w:val="zh-CN" w:bidi="zh-CN"/>
              </w:rPr>
            </w:pPr>
            <w:r>
              <w:rPr>
                <w:rFonts w:hint="eastAsia" w:ascii="Times New Roman" w:hAnsi="Times New Roman"/>
                <w:color w:val="auto"/>
                <w:sz w:val="21"/>
                <w:szCs w:val="21"/>
                <w:highlight w:val="none"/>
                <w:lang w:bidi="zh-CN"/>
              </w:rPr>
              <w:t>周巷头</w:t>
            </w:r>
          </w:p>
        </w:tc>
        <w:tc>
          <w:tcPr>
            <w:tcW w:w="828" w:type="dxa"/>
            <w:tcBorders>
              <w:tl2br w:val="nil"/>
              <w:tr2bl w:val="nil"/>
            </w:tcBorders>
            <w:vAlign w:val="center"/>
          </w:tcPr>
          <w:p w14:paraId="07C88DCC">
            <w:pPr>
              <w:ind w:left="-105" w:right="-105"/>
              <w:jc w:val="center"/>
              <w:rPr>
                <w:rFonts w:ascii="Times New Roman" w:hAnsi="Times New Roman"/>
                <w:color w:val="auto"/>
                <w:sz w:val="21"/>
                <w:szCs w:val="21"/>
                <w:highlight w:val="none"/>
                <w:lang w:val="zh-CN" w:bidi="zh-CN"/>
              </w:rPr>
            </w:pPr>
            <w:r>
              <w:rPr>
                <w:rFonts w:hint="eastAsia" w:ascii="Times New Roman" w:hAnsi="Times New Roman"/>
                <w:color w:val="auto"/>
                <w:sz w:val="21"/>
                <w:szCs w:val="21"/>
                <w:highlight w:val="none"/>
                <w:lang w:bidi="zh-CN"/>
              </w:rPr>
              <w:t>NE</w:t>
            </w:r>
            <w:r>
              <w:rPr>
                <w:rFonts w:ascii="Times New Roman" w:hAnsi="Times New Roman"/>
                <w:color w:val="auto"/>
                <w:sz w:val="21"/>
                <w:szCs w:val="21"/>
                <w:highlight w:val="none"/>
                <w:lang w:val="zh-CN" w:bidi="zh-CN"/>
              </w:rPr>
              <w:softHyphen/>
            </w:r>
          </w:p>
        </w:tc>
        <w:tc>
          <w:tcPr>
            <w:tcW w:w="1682" w:type="dxa"/>
            <w:tcBorders>
              <w:tl2br w:val="nil"/>
              <w:tr2bl w:val="nil"/>
            </w:tcBorders>
            <w:vAlign w:val="center"/>
          </w:tcPr>
          <w:p w14:paraId="38602678">
            <w:pPr>
              <w:ind w:left="-105" w:right="-105"/>
              <w:jc w:val="center"/>
              <w:rPr>
                <w:rFonts w:ascii="Times New Roman" w:hAnsi="Times New Roman"/>
                <w:color w:val="auto"/>
                <w:sz w:val="21"/>
                <w:szCs w:val="21"/>
                <w:highlight w:val="none"/>
                <w:lang w:val="zh-CN" w:bidi="zh-CN"/>
              </w:rPr>
            </w:pPr>
            <w:r>
              <w:rPr>
                <w:rFonts w:hint="eastAsia" w:ascii="Times New Roman" w:hAnsi="Times New Roman"/>
                <w:color w:val="auto"/>
                <w:sz w:val="21"/>
                <w:szCs w:val="21"/>
                <w:highlight w:val="none"/>
                <w:lang w:val="en-US" w:bidi="zh-CN"/>
              </w:rPr>
              <w:t>30</w:t>
            </w:r>
            <w:r>
              <w:rPr>
                <w:rFonts w:ascii="Times New Roman" w:hAnsi="Times New Roman"/>
                <w:color w:val="auto"/>
                <w:sz w:val="21"/>
                <w:szCs w:val="21"/>
                <w:highlight w:val="none"/>
                <w:lang w:val="zh-CN" w:bidi="zh-CN"/>
              </w:rPr>
              <w:softHyphen/>
            </w:r>
          </w:p>
        </w:tc>
        <w:tc>
          <w:tcPr>
            <w:tcW w:w="1466" w:type="dxa"/>
            <w:tcBorders>
              <w:tl2br w:val="nil"/>
              <w:tr2bl w:val="nil"/>
            </w:tcBorders>
            <w:vAlign w:val="center"/>
          </w:tcPr>
          <w:p w14:paraId="0FD79AE2">
            <w:pPr>
              <w:ind w:left="-105" w:right="-105"/>
              <w:jc w:val="center"/>
              <w:rPr>
                <w:rFonts w:ascii="Times New Roman" w:hAnsi="Times New Roman"/>
                <w:color w:val="auto"/>
                <w:sz w:val="21"/>
                <w:szCs w:val="21"/>
                <w:highlight w:val="none"/>
                <w:lang w:val="zh-CN" w:bidi="zh-CN"/>
              </w:rPr>
            </w:pPr>
            <w:r>
              <w:rPr>
                <w:rFonts w:hint="eastAsia" w:ascii="Times New Roman" w:hAnsi="Times New Roman"/>
                <w:color w:val="auto"/>
                <w:sz w:val="21"/>
                <w:szCs w:val="21"/>
                <w:highlight w:val="none"/>
                <w:lang w:bidi="zh-CN"/>
              </w:rPr>
              <w:t>150户/450人</w:t>
            </w:r>
            <w:r>
              <w:rPr>
                <w:rFonts w:ascii="Times New Roman" w:hAnsi="Times New Roman"/>
                <w:color w:val="auto"/>
                <w:sz w:val="21"/>
                <w:szCs w:val="21"/>
                <w:highlight w:val="none"/>
                <w:lang w:val="zh-CN" w:bidi="zh-CN"/>
              </w:rPr>
              <w:softHyphen/>
            </w:r>
          </w:p>
        </w:tc>
        <w:tc>
          <w:tcPr>
            <w:tcW w:w="2353" w:type="dxa"/>
            <w:vMerge w:val="restart"/>
            <w:tcBorders>
              <w:tl2br w:val="nil"/>
              <w:tr2bl w:val="nil"/>
            </w:tcBorders>
            <w:vAlign w:val="center"/>
          </w:tcPr>
          <w:p w14:paraId="54310561">
            <w:pPr>
              <w:ind w:left="-105" w:right="-105"/>
              <w:jc w:val="center"/>
              <w:rPr>
                <w:rFonts w:ascii="Times New Roman" w:hAnsi="Times New Roman"/>
                <w:color w:val="auto"/>
                <w:sz w:val="21"/>
                <w:szCs w:val="21"/>
                <w:highlight w:val="none"/>
                <w:lang w:val="zh-CN" w:bidi="zh-CN"/>
              </w:rPr>
            </w:pPr>
            <w:r>
              <w:rPr>
                <w:rFonts w:hint="eastAsia" w:ascii="Times New Roman" w:hAnsi="Times New Roman"/>
                <w:color w:val="auto"/>
                <w:sz w:val="21"/>
                <w:szCs w:val="21"/>
                <w:highlight w:val="none"/>
                <w:lang w:val="zh-CN" w:bidi="zh-CN"/>
              </w:rPr>
              <w:t>《土壤环境质量建设用地土壤污染风险管控标准》（GB36600-2018）</w:t>
            </w:r>
          </w:p>
        </w:tc>
      </w:tr>
      <w:tr w14:paraId="5FAFF57D">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27" w:hRule="atLeast"/>
          <w:jc w:val="center"/>
        </w:trPr>
        <w:tc>
          <w:tcPr>
            <w:tcW w:w="1037" w:type="dxa"/>
            <w:vMerge w:val="continue"/>
            <w:tcBorders>
              <w:tl2br w:val="nil"/>
              <w:tr2bl w:val="nil"/>
            </w:tcBorders>
            <w:vAlign w:val="center"/>
          </w:tcPr>
          <w:p w14:paraId="47896F0B">
            <w:pPr>
              <w:ind w:left="-105" w:right="-105"/>
              <w:jc w:val="center"/>
              <w:rPr>
                <w:rFonts w:ascii="Times New Roman" w:hAnsi="Times New Roman"/>
                <w:color w:val="auto"/>
                <w:sz w:val="21"/>
                <w:szCs w:val="21"/>
                <w:highlight w:val="none"/>
                <w:lang w:bidi="zh-CN"/>
              </w:rPr>
            </w:pPr>
          </w:p>
        </w:tc>
        <w:tc>
          <w:tcPr>
            <w:tcW w:w="1698" w:type="dxa"/>
            <w:tcBorders>
              <w:tl2br w:val="nil"/>
              <w:tr2bl w:val="nil"/>
            </w:tcBorders>
            <w:vAlign w:val="center"/>
          </w:tcPr>
          <w:p w14:paraId="16C7E730">
            <w:pPr>
              <w:ind w:left="-105" w:right="-105"/>
              <w:jc w:val="center"/>
              <w:rPr>
                <w:rFonts w:ascii="Times New Roman" w:hAnsi="Times New Roman"/>
                <w:color w:val="auto"/>
                <w:sz w:val="21"/>
                <w:szCs w:val="21"/>
                <w:highlight w:val="none"/>
                <w:lang w:val="zh-CN" w:bidi="zh-CN"/>
              </w:rPr>
            </w:pPr>
            <w:r>
              <w:rPr>
                <w:rFonts w:hint="eastAsia" w:ascii="Times New Roman" w:hAnsi="Times New Roman"/>
                <w:color w:val="auto"/>
                <w:sz w:val="21"/>
                <w:szCs w:val="21"/>
                <w:highlight w:val="none"/>
                <w:lang w:bidi="zh-CN"/>
              </w:rPr>
              <w:t>浦巷上</w:t>
            </w:r>
          </w:p>
        </w:tc>
        <w:tc>
          <w:tcPr>
            <w:tcW w:w="828" w:type="dxa"/>
            <w:tcBorders>
              <w:tl2br w:val="nil"/>
              <w:tr2bl w:val="nil"/>
            </w:tcBorders>
            <w:vAlign w:val="center"/>
          </w:tcPr>
          <w:p w14:paraId="6E8B94CE">
            <w:pPr>
              <w:ind w:left="-105" w:right="-105"/>
              <w:jc w:val="center"/>
              <w:rPr>
                <w:rFonts w:ascii="Times New Roman" w:hAnsi="Times New Roman"/>
                <w:color w:val="auto"/>
                <w:sz w:val="21"/>
                <w:szCs w:val="21"/>
                <w:highlight w:val="none"/>
                <w:lang w:val="zh-CN" w:bidi="zh-CN"/>
              </w:rPr>
            </w:pPr>
            <w:r>
              <w:rPr>
                <w:rFonts w:hint="eastAsia" w:ascii="Times New Roman" w:hAnsi="Times New Roman"/>
                <w:color w:val="auto"/>
                <w:sz w:val="21"/>
                <w:szCs w:val="21"/>
                <w:highlight w:val="none"/>
                <w:lang w:bidi="zh-CN"/>
              </w:rPr>
              <w:t>W</w:t>
            </w:r>
          </w:p>
        </w:tc>
        <w:tc>
          <w:tcPr>
            <w:tcW w:w="1682" w:type="dxa"/>
            <w:tcBorders>
              <w:tl2br w:val="nil"/>
              <w:tr2bl w:val="nil"/>
            </w:tcBorders>
            <w:vAlign w:val="center"/>
          </w:tcPr>
          <w:p w14:paraId="16E615C1">
            <w:pPr>
              <w:ind w:left="-105" w:right="-105"/>
              <w:jc w:val="center"/>
              <w:rPr>
                <w:rFonts w:ascii="Times New Roman" w:hAnsi="Times New Roman"/>
                <w:color w:val="auto"/>
                <w:sz w:val="21"/>
                <w:szCs w:val="21"/>
                <w:highlight w:val="none"/>
                <w:lang w:val="zh-CN" w:bidi="zh-CN"/>
              </w:rPr>
            </w:pPr>
            <w:r>
              <w:rPr>
                <w:rFonts w:hint="eastAsia" w:ascii="Times New Roman" w:hAnsi="Times New Roman"/>
                <w:color w:val="auto"/>
                <w:sz w:val="21"/>
                <w:szCs w:val="21"/>
                <w:highlight w:val="none"/>
                <w:lang w:bidi="zh-CN"/>
              </w:rPr>
              <w:t>100</w:t>
            </w:r>
          </w:p>
        </w:tc>
        <w:tc>
          <w:tcPr>
            <w:tcW w:w="1466" w:type="dxa"/>
            <w:tcBorders>
              <w:tl2br w:val="nil"/>
              <w:tr2bl w:val="nil"/>
            </w:tcBorders>
            <w:vAlign w:val="center"/>
          </w:tcPr>
          <w:p w14:paraId="7A7CAFC4">
            <w:pPr>
              <w:ind w:left="-105" w:right="-105"/>
              <w:jc w:val="center"/>
              <w:rPr>
                <w:rFonts w:ascii="Times New Roman" w:hAnsi="Times New Roman"/>
                <w:color w:val="auto"/>
                <w:sz w:val="21"/>
                <w:szCs w:val="21"/>
                <w:highlight w:val="none"/>
                <w:lang w:val="zh-CN" w:bidi="zh-CN"/>
              </w:rPr>
            </w:pPr>
            <w:r>
              <w:rPr>
                <w:rFonts w:hint="eastAsia" w:ascii="Times New Roman" w:hAnsi="Times New Roman"/>
                <w:color w:val="auto"/>
                <w:sz w:val="21"/>
                <w:szCs w:val="21"/>
                <w:highlight w:val="none"/>
                <w:lang w:bidi="zh-CN"/>
              </w:rPr>
              <w:t>40户/120人</w:t>
            </w:r>
          </w:p>
        </w:tc>
        <w:tc>
          <w:tcPr>
            <w:tcW w:w="2353" w:type="dxa"/>
            <w:vMerge w:val="continue"/>
            <w:tcBorders>
              <w:tl2br w:val="nil"/>
              <w:tr2bl w:val="nil"/>
            </w:tcBorders>
            <w:vAlign w:val="center"/>
          </w:tcPr>
          <w:p w14:paraId="10EC1C62">
            <w:pPr>
              <w:ind w:left="-105" w:right="-105"/>
              <w:jc w:val="center"/>
              <w:rPr>
                <w:rFonts w:ascii="Times New Roman" w:hAnsi="Times New Roman"/>
                <w:color w:val="auto"/>
                <w:sz w:val="21"/>
                <w:szCs w:val="21"/>
                <w:highlight w:val="none"/>
                <w:lang w:val="zh-CN" w:bidi="zh-CN"/>
              </w:rPr>
            </w:pPr>
          </w:p>
        </w:tc>
      </w:tr>
      <w:tr w14:paraId="0B169BDA">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27" w:hRule="atLeast"/>
          <w:jc w:val="center"/>
        </w:trPr>
        <w:tc>
          <w:tcPr>
            <w:tcW w:w="1037" w:type="dxa"/>
            <w:vMerge w:val="continue"/>
            <w:tcBorders>
              <w:tl2br w:val="nil"/>
              <w:tr2bl w:val="nil"/>
            </w:tcBorders>
            <w:vAlign w:val="center"/>
          </w:tcPr>
          <w:p w14:paraId="3887CD66">
            <w:pPr>
              <w:ind w:left="-105" w:right="-105"/>
              <w:jc w:val="center"/>
              <w:rPr>
                <w:rFonts w:ascii="Times New Roman" w:hAnsi="Times New Roman"/>
                <w:color w:val="auto"/>
                <w:sz w:val="21"/>
                <w:szCs w:val="21"/>
                <w:highlight w:val="none"/>
                <w:lang w:bidi="zh-CN"/>
              </w:rPr>
            </w:pPr>
          </w:p>
        </w:tc>
        <w:tc>
          <w:tcPr>
            <w:tcW w:w="1698" w:type="dxa"/>
            <w:tcBorders>
              <w:tl2br w:val="nil"/>
              <w:tr2bl w:val="nil"/>
            </w:tcBorders>
            <w:vAlign w:val="center"/>
          </w:tcPr>
          <w:p w14:paraId="2459FE30">
            <w:pPr>
              <w:ind w:left="-105" w:right="-105"/>
              <w:jc w:val="center"/>
              <w:rPr>
                <w:rFonts w:ascii="Times New Roman" w:hAnsi="Times New Roman"/>
                <w:color w:val="auto"/>
                <w:sz w:val="21"/>
                <w:szCs w:val="21"/>
                <w:highlight w:val="none"/>
                <w:lang w:val="zh-CN" w:bidi="zh-CN"/>
              </w:rPr>
            </w:pPr>
            <w:r>
              <w:rPr>
                <w:rFonts w:hint="eastAsia" w:ascii="Times New Roman" w:hAnsi="Times New Roman"/>
                <w:color w:val="auto"/>
                <w:sz w:val="21"/>
                <w:szCs w:val="21"/>
                <w:highlight w:val="none"/>
                <w:lang w:bidi="zh-CN"/>
              </w:rPr>
              <w:t>朱巷村</w:t>
            </w:r>
          </w:p>
        </w:tc>
        <w:tc>
          <w:tcPr>
            <w:tcW w:w="828" w:type="dxa"/>
            <w:tcBorders>
              <w:tl2br w:val="nil"/>
              <w:tr2bl w:val="nil"/>
            </w:tcBorders>
            <w:vAlign w:val="center"/>
          </w:tcPr>
          <w:p w14:paraId="7BD5EF61">
            <w:pPr>
              <w:ind w:left="-105" w:right="-105"/>
              <w:jc w:val="center"/>
              <w:rPr>
                <w:rFonts w:ascii="Times New Roman" w:hAnsi="Times New Roman"/>
                <w:color w:val="auto"/>
                <w:sz w:val="21"/>
                <w:szCs w:val="21"/>
                <w:highlight w:val="none"/>
                <w:lang w:val="zh-CN" w:bidi="zh-CN"/>
              </w:rPr>
            </w:pPr>
            <w:r>
              <w:rPr>
                <w:rFonts w:hint="eastAsia" w:ascii="Times New Roman" w:hAnsi="Times New Roman"/>
                <w:color w:val="auto"/>
                <w:sz w:val="21"/>
                <w:szCs w:val="21"/>
                <w:highlight w:val="none"/>
                <w:lang w:bidi="zh-CN"/>
              </w:rPr>
              <w:t>SW</w:t>
            </w:r>
          </w:p>
        </w:tc>
        <w:tc>
          <w:tcPr>
            <w:tcW w:w="1682" w:type="dxa"/>
            <w:tcBorders>
              <w:tl2br w:val="nil"/>
              <w:tr2bl w:val="nil"/>
            </w:tcBorders>
            <w:vAlign w:val="center"/>
          </w:tcPr>
          <w:p w14:paraId="7BAD3823">
            <w:pPr>
              <w:ind w:left="-105" w:right="-105"/>
              <w:jc w:val="center"/>
              <w:rPr>
                <w:rFonts w:ascii="Times New Roman" w:hAnsi="Times New Roman"/>
                <w:color w:val="auto"/>
                <w:sz w:val="21"/>
                <w:szCs w:val="21"/>
                <w:highlight w:val="none"/>
                <w:lang w:val="zh-CN" w:bidi="zh-CN"/>
              </w:rPr>
            </w:pPr>
            <w:r>
              <w:rPr>
                <w:rFonts w:hint="eastAsia" w:ascii="Times New Roman" w:hAnsi="Times New Roman"/>
                <w:color w:val="auto"/>
                <w:sz w:val="21"/>
                <w:szCs w:val="21"/>
                <w:highlight w:val="none"/>
                <w:lang w:bidi="zh-CN"/>
              </w:rPr>
              <w:t>140</w:t>
            </w:r>
          </w:p>
        </w:tc>
        <w:tc>
          <w:tcPr>
            <w:tcW w:w="1466" w:type="dxa"/>
            <w:tcBorders>
              <w:tl2br w:val="nil"/>
              <w:tr2bl w:val="nil"/>
            </w:tcBorders>
            <w:vAlign w:val="center"/>
          </w:tcPr>
          <w:p w14:paraId="4E51971E">
            <w:pPr>
              <w:ind w:left="-105" w:right="-105"/>
              <w:jc w:val="center"/>
              <w:rPr>
                <w:rFonts w:ascii="Times New Roman" w:hAnsi="Times New Roman"/>
                <w:color w:val="auto"/>
                <w:sz w:val="21"/>
                <w:szCs w:val="21"/>
                <w:highlight w:val="none"/>
                <w:lang w:val="zh-CN" w:bidi="zh-CN"/>
              </w:rPr>
            </w:pPr>
            <w:r>
              <w:rPr>
                <w:rFonts w:hint="eastAsia" w:ascii="Times New Roman" w:hAnsi="Times New Roman"/>
                <w:color w:val="auto"/>
                <w:sz w:val="21"/>
                <w:szCs w:val="21"/>
                <w:highlight w:val="none"/>
                <w:lang w:bidi="zh-CN"/>
              </w:rPr>
              <w:t>30户/90人</w:t>
            </w:r>
          </w:p>
        </w:tc>
        <w:tc>
          <w:tcPr>
            <w:tcW w:w="2353" w:type="dxa"/>
            <w:vMerge w:val="continue"/>
            <w:tcBorders>
              <w:tl2br w:val="nil"/>
              <w:tr2bl w:val="nil"/>
            </w:tcBorders>
            <w:vAlign w:val="center"/>
          </w:tcPr>
          <w:p w14:paraId="16AA17E6">
            <w:pPr>
              <w:ind w:left="-105" w:right="-105"/>
              <w:jc w:val="center"/>
              <w:rPr>
                <w:rFonts w:ascii="Times New Roman" w:hAnsi="Times New Roman"/>
                <w:color w:val="auto"/>
                <w:sz w:val="21"/>
                <w:szCs w:val="21"/>
                <w:highlight w:val="none"/>
                <w:lang w:val="zh-CN" w:bidi="zh-CN"/>
              </w:rPr>
            </w:pPr>
          </w:p>
        </w:tc>
      </w:tr>
      <w:tr w14:paraId="43554524">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27" w:hRule="atLeast"/>
          <w:jc w:val="center"/>
        </w:trPr>
        <w:tc>
          <w:tcPr>
            <w:tcW w:w="1037" w:type="dxa"/>
            <w:vMerge w:val="continue"/>
            <w:tcBorders>
              <w:tl2br w:val="nil"/>
              <w:tr2bl w:val="nil"/>
            </w:tcBorders>
            <w:vAlign w:val="center"/>
          </w:tcPr>
          <w:p w14:paraId="2831A9AB">
            <w:pPr>
              <w:ind w:left="-105" w:right="-105"/>
              <w:jc w:val="center"/>
              <w:rPr>
                <w:rFonts w:ascii="Times New Roman" w:hAnsi="Times New Roman"/>
                <w:color w:val="auto"/>
                <w:sz w:val="21"/>
                <w:szCs w:val="21"/>
                <w:highlight w:val="none"/>
                <w:lang w:bidi="zh-CN"/>
              </w:rPr>
            </w:pPr>
          </w:p>
        </w:tc>
        <w:tc>
          <w:tcPr>
            <w:tcW w:w="1698" w:type="dxa"/>
            <w:tcBorders>
              <w:tl2br w:val="nil"/>
              <w:tr2bl w:val="nil"/>
            </w:tcBorders>
            <w:vAlign w:val="center"/>
          </w:tcPr>
          <w:p w14:paraId="0DC0F564">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农用耕地</w:t>
            </w:r>
          </w:p>
        </w:tc>
        <w:tc>
          <w:tcPr>
            <w:tcW w:w="828" w:type="dxa"/>
            <w:tcBorders>
              <w:tl2br w:val="nil"/>
              <w:tr2bl w:val="nil"/>
            </w:tcBorders>
            <w:vAlign w:val="center"/>
          </w:tcPr>
          <w:p w14:paraId="7A0A6C7F">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W</w:t>
            </w:r>
          </w:p>
        </w:tc>
        <w:tc>
          <w:tcPr>
            <w:tcW w:w="1682" w:type="dxa"/>
            <w:tcBorders>
              <w:tl2br w:val="nil"/>
              <w:tr2bl w:val="nil"/>
            </w:tcBorders>
            <w:vAlign w:val="center"/>
          </w:tcPr>
          <w:p w14:paraId="403E0BF7">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133</w:t>
            </w:r>
          </w:p>
        </w:tc>
        <w:tc>
          <w:tcPr>
            <w:tcW w:w="1466" w:type="dxa"/>
            <w:tcBorders>
              <w:tl2br w:val="nil"/>
              <w:tr2bl w:val="nil"/>
            </w:tcBorders>
            <w:vAlign w:val="center"/>
          </w:tcPr>
          <w:p w14:paraId="42EAC7B6">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w:t>
            </w:r>
          </w:p>
        </w:tc>
        <w:tc>
          <w:tcPr>
            <w:tcW w:w="2353" w:type="dxa"/>
            <w:vMerge w:val="continue"/>
            <w:tcBorders>
              <w:tl2br w:val="nil"/>
              <w:tr2bl w:val="nil"/>
            </w:tcBorders>
            <w:vAlign w:val="center"/>
          </w:tcPr>
          <w:p w14:paraId="3D2C50EE">
            <w:pPr>
              <w:ind w:left="-105" w:right="-105"/>
              <w:jc w:val="center"/>
              <w:rPr>
                <w:rFonts w:ascii="Times New Roman" w:hAnsi="Times New Roman"/>
                <w:color w:val="auto"/>
                <w:sz w:val="21"/>
                <w:szCs w:val="21"/>
                <w:highlight w:val="none"/>
                <w:lang w:val="zh-CN" w:bidi="zh-CN"/>
              </w:rPr>
            </w:pPr>
          </w:p>
        </w:tc>
      </w:tr>
      <w:tr w14:paraId="48F0A69B">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27" w:hRule="atLeast"/>
          <w:jc w:val="center"/>
        </w:trPr>
        <w:tc>
          <w:tcPr>
            <w:tcW w:w="1037" w:type="dxa"/>
            <w:vMerge w:val="restart"/>
            <w:tcBorders>
              <w:tl2br w:val="nil"/>
              <w:tr2bl w:val="nil"/>
            </w:tcBorders>
            <w:vAlign w:val="center"/>
          </w:tcPr>
          <w:p w14:paraId="4A018E01">
            <w:pPr>
              <w:ind w:left="-105" w:right="-105"/>
              <w:jc w:val="center"/>
              <w:rPr>
                <w:rFonts w:ascii="Times New Roman" w:hAnsi="Times New Roman"/>
                <w:color w:val="auto"/>
                <w:sz w:val="21"/>
                <w:szCs w:val="21"/>
                <w:highlight w:val="none"/>
                <w:lang w:val="zh-CN" w:bidi="zh-CN"/>
              </w:rPr>
            </w:pPr>
            <w:r>
              <w:rPr>
                <w:rFonts w:ascii="Times New Roman" w:hAnsi="Times New Roman"/>
                <w:color w:val="auto"/>
                <w:sz w:val="21"/>
                <w:szCs w:val="21"/>
                <w:highlight w:val="none"/>
                <w:lang w:val="zh-CN" w:bidi="zh-CN"/>
              </w:rPr>
              <w:t>生态环境</w:t>
            </w:r>
          </w:p>
        </w:tc>
        <w:tc>
          <w:tcPr>
            <w:tcW w:w="1698" w:type="dxa"/>
            <w:tcBorders>
              <w:tl2br w:val="nil"/>
              <w:tr2bl w:val="nil"/>
            </w:tcBorders>
            <w:vAlign w:val="center"/>
          </w:tcPr>
          <w:p w14:paraId="247CE59D">
            <w:pPr>
              <w:ind w:left="-105" w:right="-105"/>
              <w:jc w:val="center"/>
              <w:rPr>
                <w:rFonts w:ascii="Times New Roman" w:hAnsi="Times New Roman"/>
                <w:color w:val="auto"/>
                <w:sz w:val="21"/>
                <w:szCs w:val="21"/>
                <w:highlight w:val="none"/>
                <w:lang w:val="zh-CN" w:bidi="zh-CN"/>
              </w:rPr>
            </w:pPr>
            <w:r>
              <w:rPr>
                <w:rFonts w:hint="eastAsia" w:ascii="Times New Roman" w:hAnsi="Times New Roman"/>
                <w:color w:val="auto"/>
                <w:sz w:val="21"/>
                <w:szCs w:val="21"/>
                <w:highlight w:val="none"/>
                <w:lang w:val="zh-CN" w:bidi="zh-CN"/>
              </w:rPr>
              <w:t>无锡宛山荡省级湿地公园</w:t>
            </w:r>
          </w:p>
        </w:tc>
        <w:tc>
          <w:tcPr>
            <w:tcW w:w="828" w:type="dxa"/>
            <w:tcBorders>
              <w:tl2br w:val="nil"/>
              <w:tr2bl w:val="nil"/>
            </w:tcBorders>
            <w:vAlign w:val="center"/>
          </w:tcPr>
          <w:p w14:paraId="53CB3D9E">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SE</w:t>
            </w:r>
          </w:p>
        </w:tc>
        <w:tc>
          <w:tcPr>
            <w:tcW w:w="1682" w:type="dxa"/>
            <w:tcBorders>
              <w:tl2br w:val="nil"/>
              <w:tr2bl w:val="nil"/>
            </w:tcBorders>
            <w:vAlign w:val="center"/>
          </w:tcPr>
          <w:p w14:paraId="659EF61D">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10500</w:t>
            </w:r>
          </w:p>
        </w:tc>
        <w:tc>
          <w:tcPr>
            <w:tcW w:w="1466" w:type="dxa"/>
            <w:tcBorders>
              <w:tl2br w:val="nil"/>
              <w:tr2bl w:val="nil"/>
            </w:tcBorders>
            <w:vAlign w:val="center"/>
          </w:tcPr>
          <w:p w14:paraId="4544F429">
            <w:pPr>
              <w:ind w:left="-105" w:right="-105"/>
              <w:jc w:val="center"/>
              <w:rPr>
                <w:rFonts w:ascii="Times New Roman" w:hAnsi="Times New Roman"/>
                <w:color w:val="auto"/>
                <w:sz w:val="21"/>
                <w:szCs w:val="21"/>
                <w:highlight w:val="none"/>
                <w:lang w:val="zh-CN" w:bidi="zh-CN"/>
              </w:rPr>
            </w:pPr>
            <w:r>
              <w:rPr>
                <w:rFonts w:hint="eastAsia" w:ascii="Times New Roman" w:hAnsi="Times New Roman"/>
                <w:color w:val="auto"/>
                <w:sz w:val="21"/>
                <w:szCs w:val="21"/>
                <w:highlight w:val="none"/>
                <w:lang w:bidi="zh-CN"/>
              </w:rPr>
              <w:t>2.43</w:t>
            </w:r>
            <w:r>
              <w:rPr>
                <w:rFonts w:ascii="Times New Roman" w:hAnsi="Times New Roman"/>
                <w:color w:val="auto"/>
                <w:sz w:val="21"/>
                <w:szCs w:val="21"/>
                <w:highlight w:val="none"/>
                <w:lang w:val="zh-CN" w:bidi="zh-CN"/>
              </w:rPr>
              <w:t>km</w:t>
            </w:r>
            <w:r>
              <w:rPr>
                <w:rFonts w:ascii="Times New Roman" w:hAnsi="Times New Roman"/>
                <w:color w:val="auto"/>
                <w:sz w:val="21"/>
                <w:szCs w:val="21"/>
                <w:highlight w:val="none"/>
                <w:vertAlign w:val="superscript"/>
                <w:lang w:val="zh-CN" w:bidi="zh-CN"/>
              </w:rPr>
              <w:t>2</w:t>
            </w:r>
          </w:p>
        </w:tc>
        <w:tc>
          <w:tcPr>
            <w:tcW w:w="2353" w:type="dxa"/>
            <w:tcBorders>
              <w:tl2br w:val="nil"/>
              <w:tr2bl w:val="nil"/>
            </w:tcBorders>
            <w:vAlign w:val="center"/>
          </w:tcPr>
          <w:p w14:paraId="7D9E9D94">
            <w:pPr>
              <w:ind w:left="-105" w:right="-105"/>
              <w:jc w:val="center"/>
              <w:rPr>
                <w:rFonts w:ascii="Times New Roman" w:hAnsi="Times New Roman"/>
                <w:color w:val="auto"/>
                <w:sz w:val="21"/>
                <w:szCs w:val="21"/>
                <w:highlight w:val="none"/>
                <w:lang w:val="zh-CN" w:bidi="zh-CN"/>
              </w:rPr>
            </w:pPr>
            <w:r>
              <w:rPr>
                <w:rFonts w:hint="eastAsia" w:ascii="Times New Roman" w:hAnsi="Times New Roman"/>
                <w:color w:val="auto"/>
                <w:sz w:val="21"/>
                <w:szCs w:val="21"/>
                <w:highlight w:val="none"/>
                <w:lang w:val="zh-CN" w:bidi="zh-CN"/>
              </w:rPr>
              <w:t>湿地生态系统保护</w:t>
            </w:r>
          </w:p>
        </w:tc>
      </w:tr>
      <w:tr w14:paraId="148759FC">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27" w:hRule="atLeast"/>
          <w:jc w:val="center"/>
        </w:trPr>
        <w:tc>
          <w:tcPr>
            <w:tcW w:w="1037" w:type="dxa"/>
            <w:vMerge w:val="continue"/>
            <w:tcBorders>
              <w:tl2br w:val="nil"/>
              <w:tr2bl w:val="nil"/>
            </w:tcBorders>
            <w:vAlign w:val="center"/>
          </w:tcPr>
          <w:p w14:paraId="66633282">
            <w:pPr>
              <w:ind w:left="-105" w:right="-105"/>
              <w:jc w:val="center"/>
              <w:rPr>
                <w:rFonts w:ascii="Times New Roman" w:hAnsi="Times New Roman"/>
                <w:color w:val="auto"/>
                <w:sz w:val="21"/>
                <w:szCs w:val="21"/>
                <w:highlight w:val="none"/>
              </w:rPr>
            </w:pPr>
          </w:p>
        </w:tc>
        <w:tc>
          <w:tcPr>
            <w:tcW w:w="1698" w:type="dxa"/>
            <w:tcBorders>
              <w:tl2br w:val="nil"/>
              <w:tr2bl w:val="nil"/>
            </w:tcBorders>
            <w:vAlign w:val="center"/>
          </w:tcPr>
          <w:p w14:paraId="09DCCE1A">
            <w:pPr>
              <w:ind w:left="-105" w:right="-105"/>
              <w:jc w:val="center"/>
              <w:rPr>
                <w:rFonts w:ascii="Times New Roman" w:hAnsi="Times New Roman"/>
                <w:color w:val="auto"/>
                <w:sz w:val="21"/>
                <w:szCs w:val="21"/>
                <w:highlight w:val="none"/>
                <w:lang w:val="zh-CN" w:bidi="zh-CN"/>
              </w:rPr>
            </w:pPr>
            <w:r>
              <w:rPr>
                <w:rFonts w:ascii="Times New Roman" w:hAnsi="Times New Roman"/>
                <w:color w:val="auto"/>
                <w:sz w:val="21"/>
                <w:szCs w:val="21"/>
                <w:highlight w:val="none"/>
                <w:lang w:val="zh-CN" w:bidi="zh-CN"/>
              </w:rPr>
              <w:t>马镇河流重要湿地</w:t>
            </w:r>
          </w:p>
        </w:tc>
        <w:tc>
          <w:tcPr>
            <w:tcW w:w="828" w:type="dxa"/>
            <w:tcBorders>
              <w:tl2br w:val="nil"/>
              <w:tr2bl w:val="nil"/>
            </w:tcBorders>
            <w:vAlign w:val="center"/>
          </w:tcPr>
          <w:p w14:paraId="0E1201BC">
            <w:pPr>
              <w:pStyle w:val="98"/>
              <w:ind w:left="-105" w:right="-105"/>
              <w:rPr>
                <w:rFonts w:eastAsia="宋体"/>
                <w:color w:val="auto"/>
                <w:sz w:val="21"/>
                <w:szCs w:val="21"/>
                <w:highlight w:val="none"/>
              </w:rPr>
            </w:pPr>
            <w:r>
              <w:rPr>
                <w:rFonts w:hint="eastAsia" w:eastAsia="宋体"/>
                <w:color w:val="auto"/>
                <w:sz w:val="21"/>
                <w:szCs w:val="21"/>
                <w:highlight w:val="none"/>
                <w:lang w:val="en-US"/>
              </w:rPr>
              <w:t>N</w:t>
            </w:r>
          </w:p>
        </w:tc>
        <w:tc>
          <w:tcPr>
            <w:tcW w:w="1682" w:type="dxa"/>
            <w:tcBorders>
              <w:tl2br w:val="nil"/>
              <w:tr2bl w:val="nil"/>
            </w:tcBorders>
            <w:vAlign w:val="center"/>
          </w:tcPr>
          <w:p w14:paraId="1F6C573B">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6100</w:t>
            </w:r>
          </w:p>
        </w:tc>
        <w:tc>
          <w:tcPr>
            <w:tcW w:w="1466" w:type="dxa"/>
            <w:tcBorders>
              <w:tl2br w:val="nil"/>
              <w:tr2bl w:val="nil"/>
            </w:tcBorders>
            <w:vAlign w:val="center"/>
          </w:tcPr>
          <w:p w14:paraId="38E655EF">
            <w:pPr>
              <w:pStyle w:val="98"/>
              <w:ind w:left="-105" w:right="-105"/>
              <w:rPr>
                <w:rFonts w:eastAsia="宋体"/>
                <w:color w:val="auto"/>
                <w:sz w:val="21"/>
                <w:szCs w:val="21"/>
                <w:highlight w:val="none"/>
              </w:rPr>
            </w:pPr>
            <w:r>
              <w:rPr>
                <w:rFonts w:hint="eastAsia" w:eastAsia="宋体"/>
                <w:color w:val="auto"/>
                <w:sz w:val="21"/>
                <w:szCs w:val="21"/>
                <w:highlight w:val="none"/>
                <w:lang w:val="en-US"/>
              </w:rPr>
              <w:t>63.8</w:t>
            </w:r>
            <w:r>
              <w:rPr>
                <w:rFonts w:eastAsia="宋体"/>
                <w:color w:val="auto"/>
                <w:sz w:val="21"/>
                <w:szCs w:val="21"/>
                <w:highlight w:val="none"/>
              </w:rPr>
              <w:t>km</w:t>
            </w:r>
            <w:r>
              <w:rPr>
                <w:rFonts w:eastAsia="宋体"/>
                <w:color w:val="auto"/>
                <w:sz w:val="21"/>
                <w:szCs w:val="21"/>
                <w:highlight w:val="none"/>
                <w:vertAlign w:val="superscript"/>
              </w:rPr>
              <w:t>2</w:t>
            </w:r>
          </w:p>
        </w:tc>
        <w:tc>
          <w:tcPr>
            <w:tcW w:w="2353" w:type="dxa"/>
            <w:tcBorders>
              <w:tl2br w:val="nil"/>
              <w:tr2bl w:val="nil"/>
            </w:tcBorders>
            <w:vAlign w:val="center"/>
          </w:tcPr>
          <w:p w14:paraId="5E134346">
            <w:pPr>
              <w:ind w:left="-105" w:right="-105"/>
              <w:jc w:val="center"/>
              <w:rPr>
                <w:rFonts w:ascii="Times New Roman" w:hAnsi="Times New Roman"/>
                <w:color w:val="auto"/>
                <w:sz w:val="21"/>
                <w:szCs w:val="21"/>
                <w:highlight w:val="none"/>
                <w:lang w:val="zh-CN" w:bidi="zh-CN"/>
              </w:rPr>
            </w:pPr>
            <w:r>
              <w:rPr>
                <w:color w:val="auto"/>
                <w:spacing w:val="4"/>
                <w:sz w:val="21"/>
                <w:szCs w:val="21"/>
                <w:highlight w:val="none"/>
              </w:rPr>
              <w:t>湿地生态系统保护</w:t>
            </w:r>
          </w:p>
        </w:tc>
      </w:tr>
      <w:tr w14:paraId="55F4AD3A">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27" w:hRule="atLeast"/>
          <w:jc w:val="center"/>
        </w:trPr>
        <w:tc>
          <w:tcPr>
            <w:tcW w:w="1037" w:type="dxa"/>
            <w:vMerge w:val="continue"/>
            <w:tcBorders>
              <w:tl2br w:val="nil"/>
              <w:tr2bl w:val="nil"/>
            </w:tcBorders>
            <w:vAlign w:val="center"/>
          </w:tcPr>
          <w:p w14:paraId="4143A40F">
            <w:pPr>
              <w:ind w:left="-105" w:right="-105"/>
              <w:jc w:val="center"/>
              <w:rPr>
                <w:rFonts w:ascii="Times New Roman" w:hAnsi="Times New Roman"/>
                <w:color w:val="auto"/>
                <w:sz w:val="21"/>
                <w:szCs w:val="21"/>
                <w:highlight w:val="none"/>
              </w:rPr>
            </w:pPr>
          </w:p>
        </w:tc>
        <w:tc>
          <w:tcPr>
            <w:tcW w:w="1698" w:type="dxa"/>
            <w:tcBorders>
              <w:tl2br w:val="nil"/>
              <w:tr2bl w:val="nil"/>
            </w:tcBorders>
            <w:vAlign w:val="center"/>
          </w:tcPr>
          <w:p w14:paraId="7D289F21">
            <w:pPr>
              <w:ind w:left="-105" w:right="-105"/>
              <w:jc w:val="center"/>
              <w:rPr>
                <w:rFonts w:ascii="Times New Roman" w:hAnsi="Times New Roman"/>
                <w:color w:val="auto"/>
                <w:sz w:val="21"/>
                <w:szCs w:val="21"/>
                <w:highlight w:val="none"/>
                <w:lang w:val="zh-CN" w:bidi="zh-CN"/>
              </w:rPr>
            </w:pPr>
            <w:r>
              <w:rPr>
                <w:rFonts w:hint="eastAsia"/>
                <w:color w:val="auto"/>
                <w:sz w:val="21"/>
                <w:szCs w:val="21"/>
                <w:highlight w:val="none"/>
              </w:rPr>
              <w:t>京沪高铁锡山段沿线生态防护林</w:t>
            </w:r>
          </w:p>
        </w:tc>
        <w:tc>
          <w:tcPr>
            <w:tcW w:w="828" w:type="dxa"/>
            <w:tcBorders>
              <w:tl2br w:val="nil"/>
              <w:tr2bl w:val="nil"/>
            </w:tcBorders>
            <w:vAlign w:val="center"/>
          </w:tcPr>
          <w:p w14:paraId="6BFE0A74">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E</w:t>
            </w:r>
          </w:p>
        </w:tc>
        <w:tc>
          <w:tcPr>
            <w:tcW w:w="1682" w:type="dxa"/>
            <w:tcBorders>
              <w:tl2br w:val="nil"/>
              <w:tr2bl w:val="nil"/>
            </w:tcBorders>
            <w:vAlign w:val="center"/>
          </w:tcPr>
          <w:p w14:paraId="7FD96BF9">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733</w:t>
            </w:r>
          </w:p>
        </w:tc>
        <w:tc>
          <w:tcPr>
            <w:tcW w:w="1466" w:type="dxa"/>
            <w:tcBorders>
              <w:tl2br w:val="nil"/>
              <w:tr2bl w:val="nil"/>
            </w:tcBorders>
            <w:vAlign w:val="center"/>
          </w:tcPr>
          <w:p w14:paraId="1DB15A3D">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4.29</w:t>
            </w:r>
            <w:r>
              <w:rPr>
                <w:color w:val="auto"/>
                <w:sz w:val="21"/>
                <w:szCs w:val="21"/>
                <w:highlight w:val="none"/>
              </w:rPr>
              <w:t>km</w:t>
            </w:r>
            <w:r>
              <w:rPr>
                <w:color w:val="auto"/>
                <w:sz w:val="21"/>
                <w:szCs w:val="21"/>
                <w:highlight w:val="none"/>
                <w:vertAlign w:val="superscript"/>
              </w:rPr>
              <w:t>2</w:t>
            </w:r>
          </w:p>
        </w:tc>
        <w:tc>
          <w:tcPr>
            <w:tcW w:w="2353" w:type="dxa"/>
            <w:tcBorders>
              <w:tl2br w:val="nil"/>
              <w:tr2bl w:val="nil"/>
            </w:tcBorders>
            <w:vAlign w:val="center"/>
          </w:tcPr>
          <w:p w14:paraId="5E948CF8">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水土保持</w:t>
            </w:r>
          </w:p>
        </w:tc>
      </w:tr>
    </w:tbl>
    <w:p w14:paraId="25A4646B">
      <w:pPr>
        <w:pStyle w:val="15"/>
        <w:spacing w:line="360" w:lineRule="auto"/>
        <w:ind w:left="-105" w:right="-105" w:firstLine="482"/>
        <w:rPr>
          <w:rFonts w:eastAsia="宋体" w:cs="Times New Roman"/>
          <w:color w:val="auto"/>
          <w:sz w:val="24"/>
          <w:szCs w:val="18"/>
          <w:highlight w:val="none"/>
        </w:rPr>
      </w:pPr>
      <w:r>
        <w:rPr>
          <w:rFonts w:eastAsia="宋体" w:cs="Times New Roman"/>
          <w:color w:val="auto"/>
          <w:sz w:val="24"/>
          <w:szCs w:val="18"/>
          <w:highlight w:val="none"/>
        </w:rPr>
        <w:t xml:space="preserve">表 </w:t>
      </w:r>
      <w:r>
        <w:rPr>
          <w:rFonts w:eastAsia="宋体" w:cs="Times New Roman"/>
          <w:color w:val="auto"/>
          <w:sz w:val="24"/>
          <w:szCs w:val="18"/>
          <w:highlight w:val="none"/>
        </w:rPr>
        <w:fldChar w:fldCharType="begin"/>
      </w:r>
      <w:r>
        <w:rPr>
          <w:rFonts w:eastAsia="宋体" w:cs="Times New Roman"/>
          <w:color w:val="auto"/>
          <w:sz w:val="24"/>
          <w:szCs w:val="18"/>
          <w:highlight w:val="none"/>
        </w:rPr>
        <w:instrText xml:space="preserve"> STYLEREF 2 \s </w:instrText>
      </w:r>
      <w:r>
        <w:rPr>
          <w:rFonts w:eastAsia="宋体" w:cs="Times New Roman"/>
          <w:color w:val="auto"/>
          <w:sz w:val="24"/>
          <w:szCs w:val="18"/>
          <w:highlight w:val="none"/>
        </w:rPr>
        <w:fldChar w:fldCharType="separate"/>
      </w:r>
      <w:r>
        <w:rPr>
          <w:rFonts w:eastAsia="宋体" w:cs="Times New Roman"/>
          <w:color w:val="auto"/>
          <w:sz w:val="24"/>
          <w:szCs w:val="18"/>
          <w:highlight w:val="none"/>
        </w:rPr>
        <w:t>2.5</w:t>
      </w:r>
      <w:r>
        <w:rPr>
          <w:rFonts w:eastAsia="宋体" w:cs="Times New Roman"/>
          <w:color w:val="auto"/>
          <w:sz w:val="24"/>
          <w:szCs w:val="18"/>
          <w:highlight w:val="none"/>
        </w:rPr>
        <w:fldChar w:fldCharType="end"/>
      </w:r>
      <w:r>
        <w:rPr>
          <w:rFonts w:eastAsia="宋体" w:cs="Times New Roman"/>
          <w:color w:val="auto"/>
          <w:sz w:val="24"/>
          <w:szCs w:val="18"/>
          <w:highlight w:val="none"/>
        </w:rPr>
        <w:noBreakHyphen/>
      </w:r>
      <w:r>
        <w:rPr>
          <w:rFonts w:eastAsia="宋体" w:cs="Times New Roman"/>
          <w:color w:val="auto"/>
          <w:sz w:val="24"/>
          <w:szCs w:val="18"/>
          <w:highlight w:val="none"/>
        </w:rPr>
        <w:fldChar w:fldCharType="begin"/>
      </w:r>
      <w:r>
        <w:rPr>
          <w:rFonts w:eastAsia="宋体" w:cs="Times New Roman"/>
          <w:color w:val="auto"/>
          <w:sz w:val="24"/>
          <w:szCs w:val="18"/>
          <w:highlight w:val="none"/>
        </w:rPr>
        <w:instrText xml:space="preserve"> SEQ 表 \* ARABIC \s 2 </w:instrText>
      </w:r>
      <w:r>
        <w:rPr>
          <w:rFonts w:eastAsia="宋体" w:cs="Times New Roman"/>
          <w:color w:val="auto"/>
          <w:sz w:val="24"/>
          <w:szCs w:val="18"/>
          <w:highlight w:val="none"/>
        </w:rPr>
        <w:fldChar w:fldCharType="separate"/>
      </w:r>
      <w:r>
        <w:rPr>
          <w:rFonts w:eastAsia="宋体" w:cs="Times New Roman"/>
          <w:color w:val="auto"/>
          <w:sz w:val="24"/>
          <w:szCs w:val="18"/>
          <w:highlight w:val="none"/>
        </w:rPr>
        <w:t>5</w:t>
      </w:r>
      <w:r>
        <w:rPr>
          <w:rFonts w:eastAsia="宋体" w:cs="Times New Roman"/>
          <w:color w:val="auto"/>
          <w:sz w:val="24"/>
          <w:szCs w:val="18"/>
          <w:highlight w:val="none"/>
        </w:rPr>
        <w:fldChar w:fldCharType="end"/>
      </w:r>
      <w:r>
        <w:rPr>
          <w:rFonts w:eastAsia="宋体" w:cs="Times New Roman"/>
          <w:color w:val="auto"/>
          <w:sz w:val="24"/>
          <w:szCs w:val="18"/>
          <w:highlight w:val="none"/>
        </w:rPr>
        <w:t>本项目环境敏感特征表（风险）</w:t>
      </w:r>
    </w:p>
    <w:tbl>
      <w:tblPr>
        <w:tblStyle w:val="45"/>
        <w:tblW w:w="9050" w:type="dxa"/>
        <w:jc w:val="center"/>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
      <w:tblGrid>
        <w:gridCol w:w="851"/>
        <w:gridCol w:w="704"/>
        <w:gridCol w:w="1405"/>
        <w:gridCol w:w="358"/>
        <w:gridCol w:w="368"/>
        <w:gridCol w:w="230"/>
        <w:gridCol w:w="478"/>
        <w:gridCol w:w="392"/>
        <w:gridCol w:w="327"/>
        <w:gridCol w:w="526"/>
        <w:gridCol w:w="425"/>
        <w:gridCol w:w="247"/>
        <w:gridCol w:w="597"/>
        <w:gridCol w:w="394"/>
        <w:gridCol w:w="1748"/>
      </w:tblGrid>
      <w:tr w14:paraId="6BB8C831">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851" w:type="dxa"/>
            <w:tcBorders>
              <w:tl2br w:val="nil"/>
              <w:tr2bl w:val="nil"/>
            </w:tcBorders>
            <w:vAlign w:val="center"/>
          </w:tcPr>
          <w:p w14:paraId="320196A1">
            <w:pPr>
              <w:ind w:left="-105" w:right="-105"/>
              <w:jc w:val="center"/>
              <w:rPr>
                <w:rFonts w:ascii="Times New Roman" w:hAnsi="Times New Roman"/>
                <w:b/>
                <w:color w:val="auto"/>
                <w:sz w:val="21"/>
                <w:szCs w:val="21"/>
                <w:highlight w:val="none"/>
                <w:lang w:val="zh-CN" w:bidi="zh-CN"/>
              </w:rPr>
            </w:pPr>
            <w:r>
              <w:rPr>
                <w:rFonts w:ascii="Times New Roman" w:hAnsi="Times New Roman"/>
                <w:b/>
                <w:color w:val="auto"/>
                <w:sz w:val="21"/>
                <w:szCs w:val="21"/>
                <w:highlight w:val="none"/>
                <w:lang w:val="zh-CN" w:bidi="zh-CN"/>
              </w:rPr>
              <w:t>类别</w:t>
            </w:r>
          </w:p>
        </w:tc>
        <w:tc>
          <w:tcPr>
            <w:tcW w:w="8199" w:type="dxa"/>
            <w:gridSpan w:val="14"/>
            <w:tcBorders>
              <w:tl2br w:val="nil"/>
              <w:tr2bl w:val="nil"/>
            </w:tcBorders>
            <w:vAlign w:val="center"/>
          </w:tcPr>
          <w:p w14:paraId="62C0126B">
            <w:pPr>
              <w:ind w:left="-105" w:right="-105"/>
              <w:jc w:val="center"/>
              <w:rPr>
                <w:rFonts w:ascii="Times New Roman" w:hAnsi="Times New Roman"/>
                <w:b/>
                <w:color w:val="auto"/>
                <w:sz w:val="21"/>
                <w:szCs w:val="21"/>
                <w:highlight w:val="none"/>
                <w:lang w:val="zh-CN" w:bidi="zh-CN"/>
              </w:rPr>
            </w:pPr>
            <w:r>
              <w:rPr>
                <w:rFonts w:ascii="Times New Roman" w:hAnsi="Times New Roman"/>
                <w:b/>
                <w:color w:val="auto"/>
                <w:sz w:val="21"/>
                <w:szCs w:val="21"/>
                <w:highlight w:val="none"/>
                <w:lang w:val="zh-CN" w:bidi="zh-CN"/>
              </w:rPr>
              <w:t>环境敏感特征</w:t>
            </w:r>
          </w:p>
        </w:tc>
      </w:tr>
      <w:tr w14:paraId="4DD6EC94">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851" w:type="dxa"/>
            <w:vMerge w:val="restart"/>
            <w:tcBorders>
              <w:tl2br w:val="nil"/>
              <w:tr2bl w:val="nil"/>
            </w:tcBorders>
            <w:vAlign w:val="center"/>
          </w:tcPr>
          <w:p w14:paraId="76985731">
            <w:pPr>
              <w:ind w:left="-105" w:right="-105"/>
              <w:jc w:val="center"/>
              <w:rPr>
                <w:rFonts w:ascii="Times New Roman" w:hAnsi="Times New Roman"/>
                <w:color w:val="auto"/>
                <w:sz w:val="21"/>
                <w:szCs w:val="21"/>
                <w:highlight w:val="none"/>
                <w:lang w:val="zh-CN" w:bidi="zh-CN"/>
              </w:rPr>
            </w:pPr>
            <w:r>
              <w:rPr>
                <w:rFonts w:ascii="Times New Roman" w:hAnsi="Times New Roman"/>
                <w:color w:val="auto"/>
                <w:sz w:val="21"/>
                <w:szCs w:val="21"/>
                <w:highlight w:val="none"/>
                <w:lang w:val="zh-CN" w:bidi="zh-CN"/>
              </w:rPr>
              <w:t>环境空气</w:t>
            </w:r>
          </w:p>
        </w:tc>
        <w:tc>
          <w:tcPr>
            <w:tcW w:w="8199" w:type="dxa"/>
            <w:gridSpan w:val="14"/>
            <w:tcBorders>
              <w:tl2br w:val="nil"/>
              <w:tr2bl w:val="nil"/>
            </w:tcBorders>
            <w:vAlign w:val="center"/>
          </w:tcPr>
          <w:p w14:paraId="098FF371">
            <w:pPr>
              <w:ind w:left="-105" w:right="-105"/>
              <w:jc w:val="center"/>
              <w:rPr>
                <w:rFonts w:ascii="Times New Roman" w:hAnsi="Times New Roman"/>
                <w:b/>
                <w:color w:val="auto"/>
                <w:sz w:val="21"/>
                <w:szCs w:val="21"/>
                <w:highlight w:val="none"/>
                <w:lang w:val="zh-CN" w:bidi="zh-CN"/>
              </w:rPr>
            </w:pPr>
            <w:r>
              <w:rPr>
                <w:rFonts w:ascii="Times New Roman" w:hAnsi="Times New Roman"/>
                <w:b/>
                <w:color w:val="auto"/>
                <w:sz w:val="21"/>
                <w:szCs w:val="21"/>
                <w:highlight w:val="none"/>
                <w:lang w:val="zh-CN" w:bidi="zh-CN"/>
              </w:rPr>
              <w:t>厂址周边</w:t>
            </w:r>
            <w:r>
              <w:rPr>
                <w:rFonts w:hint="eastAsia" w:ascii="Times New Roman" w:hAnsi="Times New Roman"/>
                <w:b/>
                <w:color w:val="auto"/>
                <w:sz w:val="21"/>
                <w:szCs w:val="21"/>
                <w:highlight w:val="none"/>
                <w:lang w:bidi="zh-CN"/>
              </w:rPr>
              <w:t>5</w:t>
            </w:r>
            <w:r>
              <w:rPr>
                <w:rFonts w:ascii="Times New Roman" w:hAnsi="Times New Roman"/>
                <w:b/>
                <w:color w:val="auto"/>
                <w:sz w:val="21"/>
                <w:szCs w:val="21"/>
                <w:highlight w:val="none"/>
                <w:lang w:val="zh-CN" w:bidi="zh-CN"/>
              </w:rPr>
              <w:t>km范围内</w:t>
            </w:r>
          </w:p>
        </w:tc>
      </w:tr>
      <w:tr w14:paraId="0EF89FC3">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851" w:type="dxa"/>
            <w:vMerge w:val="continue"/>
            <w:tcBorders>
              <w:tl2br w:val="nil"/>
              <w:tr2bl w:val="nil"/>
            </w:tcBorders>
            <w:vAlign w:val="center"/>
          </w:tcPr>
          <w:p w14:paraId="61622DB3">
            <w:pPr>
              <w:ind w:left="-105" w:right="-105"/>
              <w:jc w:val="center"/>
              <w:rPr>
                <w:rFonts w:ascii="Times New Roman" w:hAnsi="Times New Roman"/>
                <w:color w:val="auto"/>
                <w:sz w:val="21"/>
                <w:szCs w:val="21"/>
                <w:highlight w:val="none"/>
                <w:lang w:val="zh-CN" w:bidi="zh-CN"/>
              </w:rPr>
            </w:pPr>
          </w:p>
        </w:tc>
        <w:tc>
          <w:tcPr>
            <w:tcW w:w="704" w:type="dxa"/>
            <w:tcBorders>
              <w:tl2br w:val="nil"/>
              <w:tr2bl w:val="nil"/>
            </w:tcBorders>
            <w:vAlign w:val="center"/>
          </w:tcPr>
          <w:p w14:paraId="0C21C000">
            <w:pPr>
              <w:ind w:left="-105" w:right="-105"/>
              <w:jc w:val="center"/>
              <w:rPr>
                <w:rFonts w:ascii="Times New Roman" w:hAnsi="Times New Roman"/>
                <w:b/>
                <w:color w:val="auto"/>
                <w:sz w:val="21"/>
                <w:szCs w:val="21"/>
                <w:highlight w:val="none"/>
                <w:lang w:val="zh-CN" w:bidi="zh-CN"/>
              </w:rPr>
            </w:pPr>
            <w:r>
              <w:rPr>
                <w:rFonts w:ascii="Times New Roman" w:hAnsi="Times New Roman"/>
                <w:b/>
                <w:color w:val="auto"/>
                <w:sz w:val="21"/>
                <w:szCs w:val="21"/>
                <w:highlight w:val="none"/>
                <w:lang w:val="zh-CN" w:bidi="zh-CN"/>
              </w:rPr>
              <w:t>序号</w:t>
            </w:r>
          </w:p>
        </w:tc>
        <w:tc>
          <w:tcPr>
            <w:tcW w:w="2131" w:type="dxa"/>
            <w:gridSpan w:val="3"/>
            <w:tcBorders>
              <w:tl2br w:val="nil"/>
              <w:tr2bl w:val="nil"/>
            </w:tcBorders>
            <w:vAlign w:val="center"/>
          </w:tcPr>
          <w:p w14:paraId="650BDF29">
            <w:pPr>
              <w:ind w:left="-105" w:right="-105"/>
              <w:jc w:val="center"/>
              <w:rPr>
                <w:rFonts w:ascii="Times New Roman" w:hAnsi="Times New Roman"/>
                <w:b/>
                <w:color w:val="auto"/>
                <w:sz w:val="21"/>
                <w:szCs w:val="21"/>
                <w:highlight w:val="none"/>
                <w:lang w:val="zh-CN" w:bidi="zh-CN"/>
              </w:rPr>
            </w:pPr>
            <w:r>
              <w:rPr>
                <w:rFonts w:ascii="Times New Roman" w:hAnsi="Times New Roman"/>
                <w:b/>
                <w:color w:val="auto"/>
                <w:sz w:val="21"/>
                <w:szCs w:val="21"/>
                <w:highlight w:val="none"/>
                <w:lang w:val="zh-CN" w:bidi="zh-CN"/>
              </w:rPr>
              <w:t>敏感目标名称</w:t>
            </w:r>
          </w:p>
        </w:tc>
        <w:tc>
          <w:tcPr>
            <w:tcW w:w="1100" w:type="dxa"/>
            <w:gridSpan w:val="3"/>
            <w:tcBorders>
              <w:tl2br w:val="nil"/>
              <w:tr2bl w:val="nil"/>
            </w:tcBorders>
            <w:vAlign w:val="center"/>
          </w:tcPr>
          <w:p w14:paraId="19B90FC8">
            <w:pPr>
              <w:ind w:left="-105" w:right="-105"/>
              <w:jc w:val="center"/>
              <w:rPr>
                <w:rFonts w:ascii="Times New Roman" w:hAnsi="Times New Roman"/>
                <w:b/>
                <w:color w:val="auto"/>
                <w:sz w:val="21"/>
                <w:szCs w:val="21"/>
                <w:highlight w:val="none"/>
                <w:lang w:val="zh-CN" w:bidi="zh-CN"/>
              </w:rPr>
            </w:pPr>
            <w:r>
              <w:rPr>
                <w:rFonts w:ascii="Times New Roman" w:hAnsi="Times New Roman"/>
                <w:b/>
                <w:color w:val="auto"/>
                <w:sz w:val="21"/>
                <w:szCs w:val="21"/>
                <w:highlight w:val="none"/>
                <w:lang w:val="zh-CN" w:bidi="zh-CN"/>
              </w:rPr>
              <w:t>相对方位</w:t>
            </w:r>
          </w:p>
        </w:tc>
        <w:tc>
          <w:tcPr>
            <w:tcW w:w="1278" w:type="dxa"/>
            <w:gridSpan w:val="3"/>
            <w:tcBorders>
              <w:tl2br w:val="nil"/>
              <w:tr2bl w:val="nil"/>
            </w:tcBorders>
            <w:vAlign w:val="center"/>
          </w:tcPr>
          <w:p w14:paraId="37109D6D">
            <w:pPr>
              <w:ind w:left="-105" w:right="-105"/>
              <w:jc w:val="center"/>
              <w:rPr>
                <w:rFonts w:ascii="Times New Roman" w:hAnsi="Times New Roman"/>
                <w:b/>
                <w:color w:val="auto"/>
                <w:sz w:val="21"/>
                <w:szCs w:val="21"/>
                <w:highlight w:val="none"/>
                <w:lang w:val="zh-CN" w:bidi="zh-CN"/>
              </w:rPr>
            </w:pPr>
            <w:r>
              <w:rPr>
                <w:rFonts w:ascii="Times New Roman" w:hAnsi="Times New Roman"/>
                <w:b/>
                <w:color w:val="auto"/>
                <w:sz w:val="21"/>
                <w:szCs w:val="21"/>
                <w:highlight w:val="none"/>
                <w:lang w:val="zh-CN" w:bidi="zh-CN"/>
              </w:rPr>
              <w:t>距离/m</w:t>
            </w:r>
          </w:p>
        </w:tc>
        <w:tc>
          <w:tcPr>
            <w:tcW w:w="1238" w:type="dxa"/>
            <w:gridSpan w:val="3"/>
            <w:tcBorders>
              <w:tl2br w:val="nil"/>
              <w:tr2bl w:val="nil"/>
            </w:tcBorders>
            <w:vAlign w:val="center"/>
          </w:tcPr>
          <w:p w14:paraId="6DA06BF6">
            <w:pPr>
              <w:ind w:left="-105" w:right="-105"/>
              <w:jc w:val="center"/>
              <w:rPr>
                <w:rFonts w:ascii="Times New Roman" w:hAnsi="Times New Roman"/>
                <w:b/>
                <w:color w:val="auto"/>
                <w:sz w:val="21"/>
                <w:szCs w:val="21"/>
                <w:highlight w:val="none"/>
                <w:lang w:val="zh-CN" w:bidi="zh-CN"/>
              </w:rPr>
            </w:pPr>
            <w:r>
              <w:rPr>
                <w:rFonts w:ascii="Times New Roman" w:hAnsi="Times New Roman"/>
                <w:b/>
                <w:color w:val="auto"/>
                <w:sz w:val="21"/>
                <w:szCs w:val="21"/>
                <w:highlight w:val="none"/>
                <w:lang w:val="zh-CN" w:bidi="zh-CN"/>
              </w:rPr>
              <w:t>属性</w:t>
            </w:r>
          </w:p>
        </w:tc>
        <w:tc>
          <w:tcPr>
            <w:tcW w:w="1748" w:type="dxa"/>
            <w:tcBorders>
              <w:tl2br w:val="nil"/>
              <w:tr2bl w:val="nil"/>
            </w:tcBorders>
            <w:vAlign w:val="center"/>
          </w:tcPr>
          <w:p w14:paraId="3E5C8A85">
            <w:pPr>
              <w:ind w:left="-105" w:right="-105"/>
              <w:jc w:val="center"/>
              <w:rPr>
                <w:rFonts w:ascii="Times New Roman" w:hAnsi="Times New Roman"/>
                <w:b/>
                <w:color w:val="auto"/>
                <w:sz w:val="21"/>
                <w:szCs w:val="21"/>
                <w:highlight w:val="none"/>
                <w:lang w:val="zh-CN" w:bidi="zh-CN"/>
              </w:rPr>
            </w:pPr>
            <w:r>
              <w:rPr>
                <w:rFonts w:ascii="Times New Roman" w:hAnsi="Times New Roman"/>
                <w:b/>
                <w:color w:val="auto"/>
                <w:sz w:val="21"/>
                <w:szCs w:val="21"/>
                <w:highlight w:val="none"/>
                <w:lang w:val="zh-CN" w:bidi="zh-CN"/>
              </w:rPr>
              <w:t>人口数</w:t>
            </w:r>
          </w:p>
        </w:tc>
      </w:tr>
      <w:tr w14:paraId="3319E00F">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851" w:type="dxa"/>
            <w:vMerge w:val="continue"/>
            <w:tcBorders>
              <w:tl2br w:val="nil"/>
              <w:tr2bl w:val="nil"/>
            </w:tcBorders>
            <w:vAlign w:val="center"/>
          </w:tcPr>
          <w:p w14:paraId="1D609A4A">
            <w:pPr>
              <w:ind w:left="-105" w:right="-105"/>
              <w:jc w:val="center"/>
              <w:rPr>
                <w:rFonts w:ascii="Times New Roman" w:hAnsi="Times New Roman"/>
                <w:color w:val="auto"/>
                <w:sz w:val="21"/>
                <w:szCs w:val="21"/>
                <w:highlight w:val="none"/>
                <w:lang w:val="zh-CN" w:bidi="zh-CN"/>
              </w:rPr>
            </w:pPr>
          </w:p>
        </w:tc>
        <w:tc>
          <w:tcPr>
            <w:tcW w:w="704" w:type="dxa"/>
            <w:tcBorders>
              <w:tl2br w:val="nil"/>
              <w:tr2bl w:val="nil"/>
            </w:tcBorders>
            <w:vAlign w:val="center"/>
          </w:tcPr>
          <w:p w14:paraId="0914D81E">
            <w:pPr>
              <w:pStyle w:val="97"/>
              <w:numPr>
                <w:ilvl w:val="0"/>
                <w:numId w:val="13"/>
              </w:numPr>
              <w:ind w:left="-105" w:right="-105" w:firstLineChars="0"/>
              <w:jc w:val="center"/>
              <w:rPr>
                <w:rFonts w:eastAsia="宋体"/>
                <w:color w:val="auto"/>
                <w:kern w:val="0"/>
                <w:sz w:val="21"/>
                <w:szCs w:val="21"/>
                <w:highlight w:val="none"/>
                <w:lang w:val="zh-CN" w:bidi="zh-CN"/>
              </w:rPr>
            </w:pPr>
          </w:p>
        </w:tc>
        <w:tc>
          <w:tcPr>
            <w:tcW w:w="2131" w:type="dxa"/>
            <w:gridSpan w:val="3"/>
            <w:tcBorders>
              <w:tl2br w:val="nil"/>
              <w:tr2bl w:val="nil"/>
            </w:tcBorders>
            <w:shd w:val="clear" w:color="auto" w:fill="auto"/>
            <w:vAlign w:val="center"/>
          </w:tcPr>
          <w:p w14:paraId="36D329E4">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周巷头</w:t>
            </w:r>
          </w:p>
        </w:tc>
        <w:tc>
          <w:tcPr>
            <w:tcW w:w="1100" w:type="dxa"/>
            <w:gridSpan w:val="3"/>
            <w:tcBorders>
              <w:tl2br w:val="nil"/>
              <w:tr2bl w:val="nil"/>
            </w:tcBorders>
            <w:shd w:val="clear" w:color="auto" w:fill="auto"/>
            <w:vAlign w:val="center"/>
          </w:tcPr>
          <w:p w14:paraId="21CE30BF">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E</w:t>
            </w:r>
          </w:p>
        </w:tc>
        <w:tc>
          <w:tcPr>
            <w:tcW w:w="1278" w:type="dxa"/>
            <w:gridSpan w:val="3"/>
            <w:tcBorders>
              <w:tl2br w:val="nil"/>
              <w:tr2bl w:val="nil"/>
            </w:tcBorders>
            <w:shd w:val="clear" w:color="auto" w:fill="auto"/>
            <w:vAlign w:val="center"/>
          </w:tcPr>
          <w:p w14:paraId="1AB382CB">
            <w:pPr>
              <w:ind w:left="-105" w:right="-105"/>
              <w:jc w:val="center"/>
              <w:rPr>
                <w:rFonts w:hint="default" w:ascii="Times New Roman" w:hAnsi="Times New Roman"/>
                <w:color w:val="auto"/>
                <w:sz w:val="21"/>
                <w:szCs w:val="21"/>
                <w:highlight w:val="none"/>
                <w:lang w:val="en-US" w:bidi="zh-CN"/>
              </w:rPr>
            </w:pPr>
            <w:r>
              <w:rPr>
                <w:rFonts w:hint="eastAsia" w:ascii="Times New Roman" w:hAnsi="Times New Roman"/>
                <w:color w:val="auto"/>
                <w:sz w:val="21"/>
                <w:szCs w:val="21"/>
                <w:highlight w:val="none"/>
                <w:lang w:val="en-US" w:bidi="zh-CN"/>
              </w:rPr>
              <w:t>30</w:t>
            </w:r>
          </w:p>
        </w:tc>
        <w:tc>
          <w:tcPr>
            <w:tcW w:w="1238" w:type="dxa"/>
            <w:gridSpan w:val="3"/>
            <w:tcBorders>
              <w:tl2br w:val="nil"/>
              <w:tr2bl w:val="nil"/>
            </w:tcBorders>
            <w:shd w:val="clear" w:color="auto" w:fill="auto"/>
            <w:vAlign w:val="center"/>
          </w:tcPr>
          <w:p w14:paraId="773BCC00">
            <w:pPr>
              <w:ind w:left="-105" w:right="-105"/>
              <w:jc w:val="center"/>
              <w:rPr>
                <w:rFonts w:ascii="Times New Roman" w:hAnsi="Times New Roman"/>
                <w:color w:val="auto"/>
                <w:sz w:val="21"/>
                <w:szCs w:val="21"/>
                <w:highlight w:val="none"/>
                <w:lang w:val="zh-CN" w:bidi="zh-CN"/>
              </w:rPr>
            </w:pPr>
            <w:r>
              <w:rPr>
                <w:rFonts w:ascii="Times New Roman" w:hAnsi="Times New Roman"/>
                <w:color w:val="auto"/>
                <w:sz w:val="21"/>
                <w:szCs w:val="21"/>
                <w:highlight w:val="none"/>
              </w:rPr>
              <w:t>居住区</w:t>
            </w:r>
          </w:p>
        </w:tc>
        <w:tc>
          <w:tcPr>
            <w:tcW w:w="1748" w:type="dxa"/>
            <w:tcBorders>
              <w:tl2br w:val="nil"/>
              <w:tr2bl w:val="nil"/>
            </w:tcBorders>
            <w:shd w:val="clear" w:color="auto" w:fill="auto"/>
            <w:vAlign w:val="center"/>
          </w:tcPr>
          <w:p w14:paraId="00953350">
            <w:pPr>
              <w:ind w:left="-105" w:right="-105"/>
              <w:jc w:val="center"/>
              <w:rPr>
                <w:rFonts w:ascii="Times New Roman" w:hAnsi="Times New Roman"/>
                <w:color w:val="auto"/>
                <w:sz w:val="21"/>
                <w:szCs w:val="21"/>
                <w:highlight w:val="none"/>
                <w:lang w:val="zh-CN" w:bidi="zh-CN"/>
              </w:rPr>
            </w:pPr>
            <w:r>
              <w:rPr>
                <w:rFonts w:hint="eastAsia" w:ascii="Times New Roman" w:hAnsi="Times New Roman"/>
                <w:color w:val="auto"/>
                <w:sz w:val="21"/>
                <w:szCs w:val="21"/>
                <w:highlight w:val="none"/>
              </w:rPr>
              <w:t>50</w:t>
            </w:r>
            <w:r>
              <w:rPr>
                <w:rFonts w:ascii="Times New Roman" w:hAnsi="Times New Roman"/>
                <w:color w:val="auto"/>
                <w:sz w:val="21"/>
                <w:szCs w:val="21"/>
                <w:highlight w:val="none"/>
              </w:rPr>
              <w:t>户/</w:t>
            </w:r>
            <w:r>
              <w:rPr>
                <w:rFonts w:hint="eastAsia" w:ascii="Times New Roman" w:hAnsi="Times New Roman"/>
                <w:color w:val="auto"/>
                <w:sz w:val="21"/>
                <w:szCs w:val="21"/>
                <w:highlight w:val="none"/>
              </w:rPr>
              <w:t>175</w:t>
            </w:r>
            <w:r>
              <w:rPr>
                <w:rFonts w:ascii="Times New Roman" w:hAnsi="Times New Roman"/>
                <w:color w:val="auto"/>
                <w:sz w:val="21"/>
                <w:szCs w:val="21"/>
                <w:highlight w:val="none"/>
              </w:rPr>
              <w:t>人</w:t>
            </w:r>
          </w:p>
        </w:tc>
      </w:tr>
      <w:tr w14:paraId="7F8F92A0">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851" w:type="dxa"/>
            <w:vMerge w:val="continue"/>
            <w:tcBorders>
              <w:tl2br w:val="nil"/>
              <w:tr2bl w:val="nil"/>
            </w:tcBorders>
            <w:vAlign w:val="center"/>
          </w:tcPr>
          <w:p w14:paraId="004C231B">
            <w:pPr>
              <w:ind w:left="-105" w:right="-105"/>
              <w:jc w:val="center"/>
              <w:rPr>
                <w:rFonts w:ascii="Times New Roman" w:hAnsi="Times New Roman"/>
                <w:color w:val="auto"/>
                <w:sz w:val="21"/>
                <w:szCs w:val="21"/>
                <w:highlight w:val="none"/>
                <w:lang w:val="zh-CN" w:bidi="zh-CN"/>
              </w:rPr>
            </w:pPr>
          </w:p>
        </w:tc>
        <w:tc>
          <w:tcPr>
            <w:tcW w:w="704" w:type="dxa"/>
            <w:tcBorders>
              <w:tl2br w:val="nil"/>
              <w:tr2bl w:val="nil"/>
            </w:tcBorders>
            <w:vAlign w:val="center"/>
          </w:tcPr>
          <w:p w14:paraId="756B98F5">
            <w:pPr>
              <w:pStyle w:val="97"/>
              <w:numPr>
                <w:ilvl w:val="0"/>
                <w:numId w:val="13"/>
              </w:numPr>
              <w:ind w:left="-105" w:right="-105" w:firstLineChars="0"/>
              <w:jc w:val="center"/>
              <w:rPr>
                <w:rFonts w:eastAsia="宋体"/>
                <w:color w:val="auto"/>
                <w:kern w:val="0"/>
                <w:sz w:val="21"/>
                <w:szCs w:val="21"/>
                <w:highlight w:val="none"/>
                <w:lang w:val="zh-CN" w:bidi="zh-CN"/>
              </w:rPr>
            </w:pPr>
          </w:p>
        </w:tc>
        <w:tc>
          <w:tcPr>
            <w:tcW w:w="2131" w:type="dxa"/>
            <w:gridSpan w:val="3"/>
            <w:tcBorders>
              <w:tl2br w:val="nil"/>
              <w:tr2bl w:val="nil"/>
            </w:tcBorders>
            <w:shd w:val="clear" w:color="auto" w:fill="auto"/>
            <w:vAlign w:val="center"/>
          </w:tcPr>
          <w:p w14:paraId="20B7B893">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浦巷上</w:t>
            </w:r>
          </w:p>
        </w:tc>
        <w:tc>
          <w:tcPr>
            <w:tcW w:w="1100" w:type="dxa"/>
            <w:gridSpan w:val="3"/>
            <w:tcBorders>
              <w:tl2br w:val="nil"/>
              <w:tr2bl w:val="nil"/>
            </w:tcBorders>
            <w:shd w:val="clear" w:color="auto" w:fill="auto"/>
            <w:vAlign w:val="center"/>
          </w:tcPr>
          <w:p w14:paraId="6E88C56A">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W</w:t>
            </w:r>
          </w:p>
        </w:tc>
        <w:tc>
          <w:tcPr>
            <w:tcW w:w="1278" w:type="dxa"/>
            <w:gridSpan w:val="3"/>
            <w:tcBorders>
              <w:tl2br w:val="nil"/>
              <w:tr2bl w:val="nil"/>
            </w:tcBorders>
            <w:shd w:val="clear" w:color="auto" w:fill="auto"/>
            <w:vAlign w:val="center"/>
          </w:tcPr>
          <w:p w14:paraId="5A79E173">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100</w:t>
            </w:r>
          </w:p>
        </w:tc>
        <w:tc>
          <w:tcPr>
            <w:tcW w:w="1238" w:type="dxa"/>
            <w:gridSpan w:val="3"/>
            <w:tcBorders>
              <w:tl2br w:val="nil"/>
              <w:tr2bl w:val="nil"/>
            </w:tcBorders>
            <w:shd w:val="clear" w:color="auto" w:fill="auto"/>
            <w:vAlign w:val="center"/>
          </w:tcPr>
          <w:p w14:paraId="78D0E659">
            <w:pPr>
              <w:ind w:left="-105" w:right="-105"/>
              <w:jc w:val="center"/>
              <w:rPr>
                <w:rFonts w:ascii="Times New Roman" w:hAnsi="Times New Roman"/>
                <w:color w:val="auto"/>
                <w:sz w:val="21"/>
                <w:szCs w:val="21"/>
                <w:highlight w:val="none"/>
                <w:lang w:val="zh-CN" w:bidi="zh-CN"/>
              </w:rPr>
            </w:pPr>
            <w:r>
              <w:rPr>
                <w:rFonts w:ascii="Times New Roman" w:hAnsi="Times New Roman"/>
                <w:color w:val="auto"/>
                <w:sz w:val="21"/>
                <w:szCs w:val="21"/>
                <w:highlight w:val="none"/>
              </w:rPr>
              <w:t>居住区</w:t>
            </w:r>
          </w:p>
        </w:tc>
        <w:tc>
          <w:tcPr>
            <w:tcW w:w="1748" w:type="dxa"/>
            <w:tcBorders>
              <w:tl2br w:val="nil"/>
              <w:tr2bl w:val="nil"/>
            </w:tcBorders>
            <w:shd w:val="clear" w:color="auto" w:fill="auto"/>
            <w:vAlign w:val="center"/>
          </w:tcPr>
          <w:p w14:paraId="4511D1BB">
            <w:pPr>
              <w:ind w:left="-105" w:right="-105"/>
              <w:jc w:val="center"/>
              <w:rPr>
                <w:rFonts w:ascii="Times New Roman" w:hAnsi="Times New Roman"/>
                <w:color w:val="auto"/>
                <w:sz w:val="21"/>
                <w:szCs w:val="21"/>
                <w:highlight w:val="none"/>
                <w:lang w:val="zh-CN" w:bidi="zh-CN"/>
              </w:rPr>
            </w:pPr>
            <w:r>
              <w:rPr>
                <w:rFonts w:hint="eastAsia" w:ascii="Times New Roman" w:hAnsi="Times New Roman"/>
                <w:color w:val="auto"/>
                <w:sz w:val="21"/>
                <w:szCs w:val="21"/>
                <w:highlight w:val="none"/>
              </w:rPr>
              <w:t>30</w:t>
            </w:r>
            <w:r>
              <w:rPr>
                <w:rFonts w:ascii="Times New Roman" w:hAnsi="Times New Roman"/>
                <w:color w:val="auto"/>
                <w:sz w:val="21"/>
                <w:szCs w:val="21"/>
                <w:highlight w:val="none"/>
              </w:rPr>
              <w:t>户/</w:t>
            </w:r>
            <w:r>
              <w:rPr>
                <w:rFonts w:hint="eastAsia" w:ascii="Times New Roman" w:hAnsi="Times New Roman"/>
                <w:color w:val="auto"/>
                <w:sz w:val="21"/>
                <w:szCs w:val="21"/>
                <w:highlight w:val="none"/>
              </w:rPr>
              <w:t>90</w:t>
            </w:r>
            <w:r>
              <w:rPr>
                <w:rFonts w:ascii="Times New Roman" w:hAnsi="Times New Roman"/>
                <w:color w:val="auto"/>
                <w:sz w:val="21"/>
                <w:szCs w:val="21"/>
                <w:highlight w:val="none"/>
              </w:rPr>
              <w:t>人</w:t>
            </w:r>
          </w:p>
        </w:tc>
      </w:tr>
      <w:tr w14:paraId="27CD90BF">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851" w:type="dxa"/>
            <w:vMerge w:val="continue"/>
            <w:tcBorders>
              <w:tl2br w:val="nil"/>
              <w:tr2bl w:val="nil"/>
            </w:tcBorders>
            <w:vAlign w:val="center"/>
          </w:tcPr>
          <w:p w14:paraId="649A38EA">
            <w:pPr>
              <w:ind w:left="-105" w:right="-105"/>
              <w:jc w:val="center"/>
              <w:rPr>
                <w:rFonts w:ascii="Times New Roman" w:hAnsi="Times New Roman"/>
                <w:color w:val="auto"/>
                <w:sz w:val="21"/>
                <w:szCs w:val="21"/>
                <w:highlight w:val="none"/>
                <w:lang w:val="zh-CN" w:bidi="zh-CN"/>
              </w:rPr>
            </w:pPr>
          </w:p>
        </w:tc>
        <w:tc>
          <w:tcPr>
            <w:tcW w:w="704" w:type="dxa"/>
            <w:tcBorders>
              <w:tl2br w:val="nil"/>
              <w:tr2bl w:val="nil"/>
            </w:tcBorders>
            <w:vAlign w:val="center"/>
          </w:tcPr>
          <w:p w14:paraId="5EC1FEB9">
            <w:pPr>
              <w:pStyle w:val="97"/>
              <w:numPr>
                <w:ilvl w:val="0"/>
                <w:numId w:val="13"/>
              </w:numPr>
              <w:ind w:left="-105" w:right="-105" w:firstLineChars="0"/>
              <w:jc w:val="center"/>
              <w:rPr>
                <w:rFonts w:eastAsia="宋体"/>
                <w:color w:val="auto"/>
                <w:kern w:val="0"/>
                <w:sz w:val="21"/>
                <w:szCs w:val="21"/>
                <w:highlight w:val="none"/>
                <w:lang w:val="zh-CN" w:bidi="zh-CN"/>
              </w:rPr>
            </w:pPr>
          </w:p>
        </w:tc>
        <w:tc>
          <w:tcPr>
            <w:tcW w:w="2131" w:type="dxa"/>
            <w:gridSpan w:val="3"/>
            <w:tcBorders>
              <w:tl2br w:val="nil"/>
              <w:tr2bl w:val="nil"/>
            </w:tcBorders>
            <w:shd w:val="clear" w:color="auto" w:fill="auto"/>
            <w:vAlign w:val="center"/>
          </w:tcPr>
          <w:p w14:paraId="7D7BF718">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朱巷村</w:t>
            </w:r>
          </w:p>
        </w:tc>
        <w:tc>
          <w:tcPr>
            <w:tcW w:w="1100" w:type="dxa"/>
            <w:gridSpan w:val="3"/>
            <w:tcBorders>
              <w:tl2br w:val="nil"/>
              <w:tr2bl w:val="nil"/>
            </w:tcBorders>
            <w:shd w:val="clear" w:color="auto" w:fill="auto"/>
            <w:vAlign w:val="center"/>
          </w:tcPr>
          <w:p w14:paraId="4C62F699">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W</w:t>
            </w:r>
          </w:p>
        </w:tc>
        <w:tc>
          <w:tcPr>
            <w:tcW w:w="1278" w:type="dxa"/>
            <w:gridSpan w:val="3"/>
            <w:tcBorders>
              <w:tl2br w:val="nil"/>
              <w:tr2bl w:val="nil"/>
            </w:tcBorders>
            <w:shd w:val="clear" w:color="auto" w:fill="auto"/>
            <w:vAlign w:val="center"/>
          </w:tcPr>
          <w:p w14:paraId="2DE8B825">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140</w:t>
            </w:r>
          </w:p>
        </w:tc>
        <w:tc>
          <w:tcPr>
            <w:tcW w:w="1238" w:type="dxa"/>
            <w:gridSpan w:val="3"/>
            <w:tcBorders>
              <w:tl2br w:val="nil"/>
              <w:tr2bl w:val="nil"/>
            </w:tcBorders>
            <w:shd w:val="clear" w:color="auto" w:fill="auto"/>
            <w:vAlign w:val="center"/>
          </w:tcPr>
          <w:p w14:paraId="3455AFCF">
            <w:pPr>
              <w:ind w:left="-105" w:right="-105"/>
              <w:jc w:val="center"/>
              <w:rPr>
                <w:rFonts w:ascii="Times New Roman" w:hAnsi="Times New Roman"/>
                <w:color w:val="auto"/>
                <w:sz w:val="21"/>
                <w:szCs w:val="21"/>
                <w:highlight w:val="none"/>
                <w:lang w:val="zh-CN" w:bidi="zh-CN"/>
              </w:rPr>
            </w:pPr>
            <w:r>
              <w:rPr>
                <w:rFonts w:ascii="Times New Roman" w:hAnsi="Times New Roman"/>
                <w:color w:val="auto"/>
                <w:sz w:val="21"/>
                <w:szCs w:val="21"/>
                <w:highlight w:val="none"/>
              </w:rPr>
              <w:t>居住区</w:t>
            </w:r>
          </w:p>
        </w:tc>
        <w:tc>
          <w:tcPr>
            <w:tcW w:w="1748" w:type="dxa"/>
            <w:tcBorders>
              <w:tl2br w:val="nil"/>
              <w:tr2bl w:val="nil"/>
            </w:tcBorders>
            <w:shd w:val="clear" w:color="auto" w:fill="auto"/>
            <w:vAlign w:val="center"/>
          </w:tcPr>
          <w:p w14:paraId="36E86EF4">
            <w:pPr>
              <w:ind w:left="-105" w:right="-105"/>
              <w:jc w:val="center"/>
              <w:rPr>
                <w:rFonts w:ascii="Times New Roman" w:hAnsi="Times New Roman"/>
                <w:color w:val="auto"/>
                <w:sz w:val="21"/>
                <w:szCs w:val="21"/>
                <w:highlight w:val="none"/>
                <w:lang w:val="zh-CN" w:bidi="zh-CN"/>
              </w:rPr>
            </w:pPr>
            <w:r>
              <w:rPr>
                <w:rFonts w:hint="eastAsia" w:ascii="Times New Roman" w:hAnsi="Times New Roman"/>
                <w:color w:val="auto"/>
                <w:sz w:val="21"/>
                <w:szCs w:val="21"/>
                <w:highlight w:val="none"/>
              </w:rPr>
              <w:t>30</w:t>
            </w:r>
            <w:r>
              <w:rPr>
                <w:rFonts w:ascii="Times New Roman" w:hAnsi="Times New Roman"/>
                <w:color w:val="auto"/>
                <w:sz w:val="21"/>
                <w:szCs w:val="21"/>
                <w:highlight w:val="none"/>
              </w:rPr>
              <w:t>户/</w:t>
            </w:r>
            <w:r>
              <w:rPr>
                <w:rFonts w:hint="eastAsia" w:ascii="Times New Roman" w:hAnsi="Times New Roman"/>
                <w:color w:val="auto"/>
                <w:sz w:val="21"/>
                <w:szCs w:val="21"/>
                <w:highlight w:val="none"/>
              </w:rPr>
              <w:t>105</w:t>
            </w:r>
            <w:r>
              <w:rPr>
                <w:rFonts w:ascii="Times New Roman" w:hAnsi="Times New Roman"/>
                <w:color w:val="auto"/>
                <w:sz w:val="21"/>
                <w:szCs w:val="21"/>
                <w:highlight w:val="none"/>
              </w:rPr>
              <w:t>人</w:t>
            </w:r>
          </w:p>
        </w:tc>
      </w:tr>
      <w:tr w14:paraId="4E167679">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851" w:type="dxa"/>
            <w:vMerge w:val="continue"/>
            <w:tcBorders>
              <w:tl2br w:val="nil"/>
              <w:tr2bl w:val="nil"/>
            </w:tcBorders>
            <w:vAlign w:val="center"/>
          </w:tcPr>
          <w:p w14:paraId="473A5F23">
            <w:pPr>
              <w:ind w:left="-105" w:right="-105"/>
              <w:jc w:val="center"/>
              <w:rPr>
                <w:rFonts w:ascii="Times New Roman" w:hAnsi="Times New Roman"/>
                <w:color w:val="auto"/>
                <w:sz w:val="21"/>
                <w:szCs w:val="21"/>
                <w:highlight w:val="none"/>
                <w:lang w:val="zh-CN" w:bidi="zh-CN"/>
              </w:rPr>
            </w:pPr>
          </w:p>
        </w:tc>
        <w:tc>
          <w:tcPr>
            <w:tcW w:w="704" w:type="dxa"/>
            <w:tcBorders>
              <w:tl2br w:val="nil"/>
              <w:tr2bl w:val="nil"/>
            </w:tcBorders>
            <w:vAlign w:val="center"/>
          </w:tcPr>
          <w:p w14:paraId="4F4E6D9F">
            <w:pPr>
              <w:pStyle w:val="97"/>
              <w:numPr>
                <w:ilvl w:val="0"/>
                <w:numId w:val="13"/>
              </w:numPr>
              <w:ind w:left="-105" w:right="-105" w:firstLineChars="0"/>
              <w:jc w:val="center"/>
              <w:rPr>
                <w:rFonts w:eastAsia="宋体"/>
                <w:color w:val="auto"/>
                <w:kern w:val="0"/>
                <w:sz w:val="21"/>
                <w:szCs w:val="21"/>
                <w:highlight w:val="none"/>
                <w:lang w:val="zh-CN" w:bidi="zh-CN"/>
              </w:rPr>
            </w:pPr>
          </w:p>
        </w:tc>
        <w:tc>
          <w:tcPr>
            <w:tcW w:w="2131" w:type="dxa"/>
            <w:gridSpan w:val="3"/>
            <w:tcBorders>
              <w:tl2br w:val="nil"/>
              <w:tr2bl w:val="nil"/>
            </w:tcBorders>
            <w:shd w:val="clear" w:color="auto" w:fill="auto"/>
            <w:vAlign w:val="center"/>
          </w:tcPr>
          <w:p w14:paraId="6BC36051">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鸿威鸿景华庭</w:t>
            </w:r>
          </w:p>
        </w:tc>
        <w:tc>
          <w:tcPr>
            <w:tcW w:w="1100" w:type="dxa"/>
            <w:gridSpan w:val="3"/>
            <w:tcBorders>
              <w:tl2br w:val="nil"/>
              <w:tr2bl w:val="nil"/>
            </w:tcBorders>
            <w:shd w:val="clear" w:color="auto" w:fill="auto"/>
            <w:vAlign w:val="center"/>
          </w:tcPr>
          <w:p w14:paraId="7A278A85">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N</w:t>
            </w:r>
          </w:p>
        </w:tc>
        <w:tc>
          <w:tcPr>
            <w:tcW w:w="1278" w:type="dxa"/>
            <w:gridSpan w:val="3"/>
            <w:tcBorders>
              <w:tl2br w:val="nil"/>
              <w:tr2bl w:val="nil"/>
            </w:tcBorders>
            <w:shd w:val="clear" w:color="auto" w:fill="auto"/>
            <w:vAlign w:val="center"/>
          </w:tcPr>
          <w:p w14:paraId="347C4CBB">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250</w:t>
            </w:r>
          </w:p>
        </w:tc>
        <w:tc>
          <w:tcPr>
            <w:tcW w:w="1238" w:type="dxa"/>
            <w:gridSpan w:val="3"/>
            <w:tcBorders>
              <w:tl2br w:val="nil"/>
              <w:tr2bl w:val="nil"/>
            </w:tcBorders>
            <w:shd w:val="clear" w:color="auto" w:fill="auto"/>
            <w:vAlign w:val="center"/>
          </w:tcPr>
          <w:p w14:paraId="0688294A">
            <w:pPr>
              <w:ind w:left="-105" w:right="-105"/>
              <w:jc w:val="center"/>
              <w:rPr>
                <w:rFonts w:ascii="Times New Roman" w:hAnsi="Times New Roman"/>
                <w:color w:val="auto"/>
                <w:sz w:val="21"/>
                <w:szCs w:val="21"/>
                <w:highlight w:val="none"/>
                <w:lang w:val="zh-CN" w:bidi="zh-CN"/>
              </w:rPr>
            </w:pPr>
            <w:r>
              <w:rPr>
                <w:rFonts w:ascii="Times New Roman" w:hAnsi="Times New Roman"/>
                <w:color w:val="auto"/>
                <w:sz w:val="21"/>
                <w:szCs w:val="21"/>
                <w:highlight w:val="none"/>
              </w:rPr>
              <w:t>居住区</w:t>
            </w:r>
          </w:p>
        </w:tc>
        <w:tc>
          <w:tcPr>
            <w:tcW w:w="1748" w:type="dxa"/>
            <w:tcBorders>
              <w:tl2br w:val="nil"/>
              <w:tr2bl w:val="nil"/>
            </w:tcBorders>
            <w:shd w:val="clear" w:color="auto" w:fill="auto"/>
            <w:vAlign w:val="center"/>
          </w:tcPr>
          <w:p w14:paraId="30D6227A">
            <w:pPr>
              <w:ind w:left="-105" w:right="-105"/>
              <w:jc w:val="center"/>
              <w:rPr>
                <w:rFonts w:ascii="Times New Roman" w:hAnsi="Times New Roman"/>
                <w:color w:val="auto"/>
                <w:sz w:val="21"/>
                <w:szCs w:val="21"/>
                <w:highlight w:val="none"/>
                <w:lang w:val="zh-CN" w:bidi="zh-CN"/>
              </w:rPr>
            </w:pPr>
            <w:r>
              <w:rPr>
                <w:rFonts w:hint="eastAsia" w:ascii="Times New Roman" w:hAnsi="Times New Roman"/>
                <w:color w:val="auto"/>
                <w:sz w:val="21"/>
                <w:szCs w:val="21"/>
                <w:highlight w:val="none"/>
              </w:rPr>
              <w:t>3000</w:t>
            </w:r>
            <w:r>
              <w:rPr>
                <w:rFonts w:ascii="Times New Roman" w:hAnsi="Times New Roman"/>
                <w:color w:val="auto"/>
                <w:sz w:val="21"/>
                <w:szCs w:val="21"/>
                <w:highlight w:val="none"/>
              </w:rPr>
              <w:t>户/</w:t>
            </w:r>
            <w:r>
              <w:rPr>
                <w:rFonts w:hint="eastAsia" w:ascii="Times New Roman" w:hAnsi="Times New Roman"/>
                <w:color w:val="auto"/>
                <w:sz w:val="21"/>
                <w:szCs w:val="21"/>
                <w:highlight w:val="none"/>
              </w:rPr>
              <w:t>10500</w:t>
            </w:r>
            <w:r>
              <w:rPr>
                <w:rFonts w:ascii="Times New Roman" w:hAnsi="Times New Roman"/>
                <w:color w:val="auto"/>
                <w:sz w:val="21"/>
                <w:szCs w:val="21"/>
                <w:highlight w:val="none"/>
              </w:rPr>
              <w:t>人</w:t>
            </w:r>
          </w:p>
        </w:tc>
      </w:tr>
      <w:tr w14:paraId="3F6A0EE1">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851" w:type="dxa"/>
            <w:vMerge w:val="continue"/>
            <w:tcBorders>
              <w:tl2br w:val="nil"/>
              <w:tr2bl w:val="nil"/>
            </w:tcBorders>
            <w:vAlign w:val="center"/>
          </w:tcPr>
          <w:p w14:paraId="24650717">
            <w:pPr>
              <w:ind w:left="-105" w:right="-105"/>
              <w:jc w:val="center"/>
              <w:rPr>
                <w:rFonts w:ascii="Times New Roman" w:hAnsi="Times New Roman"/>
                <w:color w:val="auto"/>
                <w:sz w:val="21"/>
                <w:szCs w:val="21"/>
                <w:highlight w:val="none"/>
                <w:lang w:val="zh-CN" w:bidi="zh-CN"/>
              </w:rPr>
            </w:pPr>
          </w:p>
        </w:tc>
        <w:tc>
          <w:tcPr>
            <w:tcW w:w="704" w:type="dxa"/>
            <w:tcBorders>
              <w:tl2br w:val="nil"/>
              <w:tr2bl w:val="nil"/>
            </w:tcBorders>
            <w:vAlign w:val="center"/>
          </w:tcPr>
          <w:p w14:paraId="56E84852">
            <w:pPr>
              <w:pStyle w:val="97"/>
              <w:numPr>
                <w:ilvl w:val="0"/>
                <w:numId w:val="13"/>
              </w:numPr>
              <w:ind w:left="-105" w:right="-105" w:firstLineChars="0"/>
              <w:jc w:val="center"/>
              <w:rPr>
                <w:rFonts w:eastAsia="宋体"/>
                <w:color w:val="auto"/>
                <w:kern w:val="0"/>
                <w:sz w:val="21"/>
                <w:szCs w:val="21"/>
                <w:highlight w:val="none"/>
                <w:lang w:val="zh-CN" w:bidi="zh-CN"/>
              </w:rPr>
            </w:pPr>
          </w:p>
        </w:tc>
        <w:tc>
          <w:tcPr>
            <w:tcW w:w="2131" w:type="dxa"/>
            <w:gridSpan w:val="3"/>
            <w:tcBorders>
              <w:tl2br w:val="nil"/>
              <w:tr2bl w:val="nil"/>
            </w:tcBorders>
            <w:shd w:val="clear" w:color="auto" w:fill="auto"/>
            <w:vAlign w:val="center"/>
          </w:tcPr>
          <w:p w14:paraId="6FFBFF72">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渡马桥</w:t>
            </w:r>
          </w:p>
        </w:tc>
        <w:tc>
          <w:tcPr>
            <w:tcW w:w="1100" w:type="dxa"/>
            <w:gridSpan w:val="3"/>
            <w:tcBorders>
              <w:tl2br w:val="nil"/>
              <w:tr2bl w:val="nil"/>
            </w:tcBorders>
            <w:shd w:val="clear" w:color="auto" w:fill="auto"/>
            <w:vAlign w:val="center"/>
          </w:tcPr>
          <w:p w14:paraId="7F81D0FB">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NW</w:t>
            </w:r>
          </w:p>
        </w:tc>
        <w:tc>
          <w:tcPr>
            <w:tcW w:w="1278" w:type="dxa"/>
            <w:gridSpan w:val="3"/>
            <w:tcBorders>
              <w:tl2br w:val="nil"/>
              <w:tr2bl w:val="nil"/>
            </w:tcBorders>
            <w:shd w:val="clear" w:color="auto" w:fill="auto"/>
            <w:vAlign w:val="center"/>
          </w:tcPr>
          <w:p w14:paraId="239EB690">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300</w:t>
            </w:r>
          </w:p>
        </w:tc>
        <w:tc>
          <w:tcPr>
            <w:tcW w:w="1238" w:type="dxa"/>
            <w:gridSpan w:val="3"/>
            <w:tcBorders>
              <w:tl2br w:val="nil"/>
              <w:tr2bl w:val="nil"/>
            </w:tcBorders>
            <w:shd w:val="clear" w:color="auto" w:fill="auto"/>
            <w:vAlign w:val="center"/>
          </w:tcPr>
          <w:p w14:paraId="17D44E45">
            <w:pPr>
              <w:ind w:left="-105" w:right="-105"/>
              <w:jc w:val="center"/>
              <w:rPr>
                <w:rFonts w:ascii="Times New Roman" w:hAnsi="Times New Roman"/>
                <w:color w:val="auto"/>
                <w:sz w:val="21"/>
                <w:szCs w:val="21"/>
                <w:highlight w:val="none"/>
                <w:lang w:val="zh-CN" w:bidi="zh-CN"/>
              </w:rPr>
            </w:pPr>
            <w:r>
              <w:rPr>
                <w:rFonts w:ascii="Times New Roman" w:hAnsi="Times New Roman"/>
                <w:color w:val="auto"/>
                <w:sz w:val="21"/>
                <w:szCs w:val="21"/>
                <w:highlight w:val="none"/>
              </w:rPr>
              <w:t>居住区</w:t>
            </w:r>
          </w:p>
        </w:tc>
        <w:tc>
          <w:tcPr>
            <w:tcW w:w="1748" w:type="dxa"/>
            <w:tcBorders>
              <w:tl2br w:val="nil"/>
              <w:tr2bl w:val="nil"/>
            </w:tcBorders>
            <w:shd w:val="clear" w:color="auto" w:fill="auto"/>
            <w:vAlign w:val="center"/>
          </w:tcPr>
          <w:p w14:paraId="18010CA4">
            <w:pPr>
              <w:ind w:left="-105" w:right="-105"/>
              <w:jc w:val="center"/>
              <w:rPr>
                <w:rFonts w:ascii="Times New Roman" w:hAnsi="Times New Roman"/>
                <w:color w:val="auto"/>
                <w:sz w:val="21"/>
                <w:szCs w:val="21"/>
                <w:highlight w:val="none"/>
                <w:lang w:val="zh-CN" w:bidi="zh-CN"/>
              </w:rPr>
            </w:pPr>
            <w:r>
              <w:rPr>
                <w:rFonts w:hint="eastAsia" w:ascii="Times New Roman" w:hAnsi="Times New Roman"/>
                <w:color w:val="auto"/>
                <w:sz w:val="21"/>
                <w:szCs w:val="21"/>
                <w:highlight w:val="none"/>
              </w:rPr>
              <w:t>40</w:t>
            </w:r>
            <w:r>
              <w:rPr>
                <w:rFonts w:ascii="Times New Roman" w:hAnsi="Times New Roman"/>
                <w:color w:val="auto"/>
                <w:sz w:val="21"/>
                <w:szCs w:val="21"/>
                <w:highlight w:val="none"/>
              </w:rPr>
              <w:t>户/</w:t>
            </w:r>
            <w:r>
              <w:rPr>
                <w:rFonts w:hint="eastAsia" w:ascii="Times New Roman" w:hAnsi="Times New Roman"/>
                <w:color w:val="auto"/>
                <w:sz w:val="21"/>
                <w:szCs w:val="21"/>
                <w:highlight w:val="none"/>
              </w:rPr>
              <w:t>140</w:t>
            </w:r>
            <w:r>
              <w:rPr>
                <w:rFonts w:ascii="Times New Roman" w:hAnsi="Times New Roman"/>
                <w:color w:val="auto"/>
                <w:sz w:val="21"/>
                <w:szCs w:val="21"/>
                <w:highlight w:val="none"/>
              </w:rPr>
              <w:t>人</w:t>
            </w:r>
          </w:p>
        </w:tc>
      </w:tr>
      <w:tr w14:paraId="50A1ADEC">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851" w:type="dxa"/>
            <w:vMerge w:val="continue"/>
            <w:tcBorders>
              <w:tl2br w:val="nil"/>
              <w:tr2bl w:val="nil"/>
            </w:tcBorders>
            <w:vAlign w:val="center"/>
          </w:tcPr>
          <w:p w14:paraId="62D74616">
            <w:pPr>
              <w:ind w:left="-105" w:right="-105"/>
              <w:jc w:val="center"/>
              <w:rPr>
                <w:rFonts w:ascii="Times New Roman" w:hAnsi="Times New Roman"/>
                <w:color w:val="auto"/>
                <w:sz w:val="21"/>
                <w:szCs w:val="21"/>
                <w:highlight w:val="none"/>
                <w:lang w:val="zh-CN" w:bidi="zh-CN"/>
              </w:rPr>
            </w:pPr>
          </w:p>
        </w:tc>
        <w:tc>
          <w:tcPr>
            <w:tcW w:w="704" w:type="dxa"/>
            <w:tcBorders>
              <w:tl2br w:val="nil"/>
              <w:tr2bl w:val="nil"/>
            </w:tcBorders>
            <w:vAlign w:val="center"/>
          </w:tcPr>
          <w:p w14:paraId="502DFF6C">
            <w:pPr>
              <w:pStyle w:val="97"/>
              <w:numPr>
                <w:ilvl w:val="0"/>
                <w:numId w:val="13"/>
              </w:numPr>
              <w:ind w:left="-105" w:right="-105" w:firstLineChars="0"/>
              <w:jc w:val="center"/>
              <w:rPr>
                <w:rFonts w:eastAsia="宋体"/>
                <w:color w:val="auto"/>
                <w:kern w:val="0"/>
                <w:sz w:val="21"/>
                <w:szCs w:val="21"/>
                <w:highlight w:val="none"/>
                <w:lang w:val="zh-CN" w:bidi="zh-CN"/>
              </w:rPr>
            </w:pPr>
          </w:p>
        </w:tc>
        <w:tc>
          <w:tcPr>
            <w:tcW w:w="2131" w:type="dxa"/>
            <w:gridSpan w:val="3"/>
            <w:tcBorders>
              <w:tl2br w:val="nil"/>
              <w:tr2bl w:val="nil"/>
            </w:tcBorders>
            <w:shd w:val="clear" w:color="auto" w:fill="auto"/>
            <w:vAlign w:val="center"/>
          </w:tcPr>
          <w:p w14:paraId="3E1D60EF">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春蕾学校</w:t>
            </w:r>
          </w:p>
        </w:tc>
        <w:tc>
          <w:tcPr>
            <w:tcW w:w="1100" w:type="dxa"/>
            <w:gridSpan w:val="3"/>
            <w:tcBorders>
              <w:tl2br w:val="nil"/>
              <w:tr2bl w:val="nil"/>
            </w:tcBorders>
            <w:shd w:val="clear" w:color="auto" w:fill="auto"/>
            <w:vAlign w:val="center"/>
          </w:tcPr>
          <w:p w14:paraId="67416AA7">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SW</w:t>
            </w:r>
          </w:p>
        </w:tc>
        <w:tc>
          <w:tcPr>
            <w:tcW w:w="1278" w:type="dxa"/>
            <w:gridSpan w:val="3"/>
            <w:tcBorders>
              <w:tl2br w:val="nil"/>
              <w:tr2bl w:val="nil"/>
            </w:tcBorders>
            <w:shd w:val="clear" w:color="auto" w:fill="auto"/>
            <w:vAlign w:val="center"/>
          </w:tcPr>
          <w:p w14:paraId="30AE8224">
            <w:pPr>
              <w:ind w:left="-105" w:right="-105"/>
              <w:jc w:val="center"/>
              <w:rPr>
                <w:rFonts w:ascii="Times New Roman" w:hAnsi="Times New Roman"/>
                <w:color w:val="auto"/>
                <w:sz w:val="21"/>
                <w:szCs w:val="21"/>
                <w:highlight w:val="none"/>
                <w:lang w:val="zh-CN" w:bidi="zh-CN"/>
              </w:rPr>
            </w:pPr>
            <w:r>
              <w:rPr>
                <w:rFonts w:hint="eastAsia" w:ascii="Times New Roman" w:hAnsi="Times New Roman"/>
                <w:color w:val="auto"/>
                <w:sz w:val="21"/>
                <w:szCs w:val="21"/>
                <w:highlight w:val="none"/>
                <w:lang w:bidi="zh-CN"/>
              </w:rPr>
              <w:t>480</w:t>
            </w:r>
          </w:p>
        </w:tc>
        <w:tc>
          <w:tcPr>
            <w:tcW w:w="1238" w:type="dxa"/>
            <w:gridSpan w:val="3"/>
            <w:tcBorders>
              <w:tl2br w:val="nil"/>
              <w:tr2bl w:val="nil"/>
            </w:tcBorders>
            <w:shd w:val="clear" w:color="auto" w:fill="auto"/>
            <w:vAlign w:val="center"/>
          </w:tcPr>
          <w:p w14:paraId="71F49C52">
            <w:pPr>
              <w:ind w:left="-105" w:right="-105"/>
              <w:jc w:val="center"/>
              <w:rPr>
                <w:rFonts w:ascii="Times New Roman" w:hAnsi="Times New Roman"/>
                <w:color w:val="auto"/>
                <w:sz w:val="21"/>
                <w:szCs w:val="21"/>
                <w:highlight w:val="none"/>
                <w:lang w:val="zh-CN" w:bidi="zh-CN"/>
              </w:rPr>
            </w:pPr>
            <w:r>
              <w:rPr>
                <w:rFonts w:hint="eastAsia" w:ascii="Times New Roman" w:hAnsi="Times New Roman"/>
                <w:color w:val="auto"/>
                <w:sz w:val="21"/>
                <w:szCs w:val="21"/>
                <w:highlight w:val="none"/>
              </w:rPr>
              <w:t>文化</w:t>
            </w:r>
            <w:r>
              <w:rPr>
                <w:rFonts w:ascii="Times New Roman" w:hAnsi="Times New Roman"/>
                <w:color w:val="auto"/>
                <w:sz w:val="21"/>
                <w:szCs w:val="21"/>
                <w:highlight w:val="none"/>
              </w:rPr>
              <w:t>区</w:t>
            </w:r>
          </w:p>
        </w:tc>
        <w:tc>
          <w:tcPr>
            <w:tcW w:w="1748" w:type="dxa"/>
            <w:tcBorders>
              <w:tl2br w:val="nil"/>
              <w:tr2bl w:val="nil"/>
            </w:tcBorders>
            <w:shd w:val="clear" w:color="auto" w:fill="auto"/>
            <w:vAlign w:val="center"/>
          </w:tcPr>
          <w:p w14:paraId="14BC22E7">
            <w:pPr>
              <w:ind w:left="-105" w:right="-105"/>
              <w:jc w:val="center"/>
              <w:rPr>
                <w:rFonts w:ascii="Times New Roman" w:hAnsi="Times New Roman"/>
                <w:color w:val="auto"/>
                <w:sz w:val="21"/>
                <w:szCs w:val="21"/>
                <w:highlight w:val="none"/>
                <w:lang w:val="zh-CN" w:bidi="zh-CN"/>
              </w:rPr>
            </w:pPr>
            <w:r>
              <w:rPr>
                <w:rFonts w:hint="eastAsia" w:ascii="Times New Roman" w:hAnsi="Times New Roman"/>
                <w:color w:val="auto"/>
                <w:sz w:val="21"/>
                <w:szCs w:val="21"/>
                <w:highlight w:val="none"/>
              </w:rPr>
              <w:t>1100</w:t>
            </w:r>
            <w:r>
              <w:rPr>
                <w:rFonts w:ascii="Times New Roman" w:hAnsi="Times New Roman"/>
                <w:color w:val="auto"/>
                <w:sz w:val="21"/>
                <w:szCs w:val="21"/>
                <w:highlight w:val="none"/>
              </w:rPr>
              <w:t>人</w:t>
            </w:r>
          </w:p>
        </w:tc>
      </w:tr>
      <w:tr w14:paraId="46024FD8">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851" w:type="dxa"/>
            <w:vMerge w:val="continue"/>
            <w:tcBorders>
              <w:tl2br w:val="nil"/>
              <w:tr2bl w:val="nil"/>
            </w:tcBorders>
            <w:vAlign w:val="center"/>
          </w:tcPr>
          <w:p w14:paraId="421B5E47">
            <w:pPr>
              <w:ind w:left="-105" w:right="-105"/>
              <w:jc w:val="center"/>
              <w:rPr>
                <w:rFonts w:ascii="Times New Roman" w:hAnsi="Times New Roman"/>
                <w:color w:val="auto"/>
                <w:sz w:val="21"/>
                <w:szCs w:val="21"/>
                <w:highlight w:val="none"/>
                <w:lang w:val="zh-CN" w:bidi="zh-CN"/>
              </w:rPr>
            </w:pPr>
          </w:p>
        </w:tc>
        <w:tc>
          <w:tcPr>
            <w:tcW w:w="704" w:type="dxa"/>
            <w:tcBorders>
              <w:tl2br w:val="nil"/>
              <w:tr2bl w:val="nil"/>
            </w:tcBorders>
            <w:vAlign w:val="center"/>
          </w:tcPr>
          <w:p w14:paraId="39E8BABE">
            <w:pPr>
              <w:pStyle w:val="97"/>
              <w:numPr>
                <w:ilvl w:val="0"/>
                <w:numId w:val="13"/>
              </w:numPr>
              <w:ind w:left="-105" w:right="-105" w:firstLineChars="0"/>
              <w:jc w:val="center"/>
              <w:rPr>
                <w:rFonts w:eastAsia="宋体"/>
                <w:color w:val="auto"/>
                <w:kern w:val="0"/>
                <w:sz w:val="21"/>
                <w:szCs w:val="21"/>
                <w:highlight w:val="none"/>
                <w:lang w:val="zh-CN" w:bidi="zh-CN"/>
              </w:rPr>
            </w:pPr>
          </w:p>
        </w:tc>
        <w:tc>
          <w:tcPr>
            <w:tcW w:w="2131" w:type="dxa"/>
            <w:gridSpan w:val="3"/>
            <w:tcBorders>
              <w:tl2br w:val="nil"/>
              <w:tr2bl w:val="nil"/>
            </w:tcBorders>
            <w:shd w:val="clear" w:color="auto" w:fill="auto"/>
            <w:vAlign w:val="center"/>
          </w:tcPr>
          <w:p w14:paraId="47038B50">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金马幼儿园</w:t>
            </w:r>
          </w:p>
        </w:tc>
        <w:tc>
          <w:tcPr>
            <w:tcW w:w="1100" w:type="dxa"/>
            <w:gridSpan w:val="3"/>
            <w:tcBorders>
              <w:tl2br w:val="nil"/>
              <w:tr2bl w:val="nil"/>
            </w:tcBorders>
            <w:shd w:val="clear" w:color="auto" w:fill="auto"/>
            <w:vAlign w:val="center"/>
          </w:tcPr>
          <w:p w14:paraId="6DC03379">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N</w:t>
            </w:r>
          </w:p>
        </w:tc>
        <w:tc>
          <w:tcPr>
            <w:tcW w:w="1278" w:type="dxa"/>
            <w:gridSpan w:val="3"/>
            <w:tcBorders>
              <w:tl2br w:val="nil"/>
              <w:tr2bl w:val="nil"/>
            </w:tcBorders>
            <w:shd w:val="clear" w:color="auto" w:fill="auto"/>
            <w:vAlign w:val="center"/>
          </w:tcPr>
          <w:p w14:paraId="626D9845">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400</w:t>
            </w:r>
          </w:p>
        </w:tc>
        <w:tc>
          <w:tcPr>
            <w:tcW w:w="1238" w:type="dxa"/>
            <w:gridSpan w:val="3"/>
            <w:tcBorders>
              <w:tl2br w:val="nil"/>
              <w:tr2bl w:val="nil"/>
            </w:tcBorders>
            <w:shd w:val="clear" w:color="auto" w:fill="auto"/>
            <w:vAlign w:val="center"/>
          </w:tcPr>
          <w:p w14:paraId="56D5635E">
            <w:pPr>
              <w:ind w:left="-105" w:right="-105"/>
              <w:jc w:val="center"/>
              <w:rPr>
                <w:rFonts w:ascii="Times New Roman" w:hAnsi="Times New Roman"/>
                <w:color w:val="auto"/>
                <w:sz w:val="21"/>
                <w:szCs w:val="21"/>
                <w:highlight w:val="none"/>
                <w:lang w:val="zh-CN" w:bidi="zh-CN"/>
              </w:rPr>
            </w:pPr>
            <w:r>
              <w:rPr>
                <w:rFonts w:hint="eastAsia" w:ascii="Times New Roman" w:hAnsi="Times New Roman"/>
                <w:color w:val="auto"/>
                <w:sz w:val="21"/>
                <w:szCs w:val="21"/>
                <w:highlight w:val="none"/>
              </w:rPr>
              <w:t>文化</w:t>
            </w:r>
            <w:r>
              <w:rPr>
                <w:rFonts w:ascii="Times New Roman" w:hAnsi="Times New Roman"/>
                <w:color w:val="auto"/>
                <w:sz w:val="21"/>
                <w:szCs w:val="21"/>
                <w:highlight w:val="none"/>
              </w:rPr>
              <w:t>区</w:t>
            </w:r>
          </w:p>
        </w:tc>
        <w:tc>
          <w:tcPr>
            <w:tcW w:w="1748" w:type="dxa"/>
            <w:tcBorders>
              <w:tl2br w:val="nil"/>
              <w:tr2bl w:val="nil"/>
            </w:tcBorders>
            <w:shd w:val="clear" w:color="auto" w:fill="auto"/>
            <w:vAlign w:val="center"/>
          </w:tcPr>
          <w:p w14:paraId="7AFA3ECB">
            <w:pPr>
              <w:ind w:left="-105" w:right="-105"/>
              <w:jc w:val="center"/>
              <w:rPr>
                <w:rFonts w:ascii="Times New Roman" w:hAnsi="Times New Roman"/>
                <w:color w:val="auto"/>
                <w:sz w:val="21"/>
                <w:szCs w:val="21"/>
                <w:highlight w:val="none"/>
                <w:lang w:val="zh-CN" w:bidi="zh-CN"/>
              </w:rPr>
            </w:pPr>
            <w:r>
              <w:rPr>
                <w:rFonts w:hint="eastAsia" w:ascii="Times New Roman" w:hAnsi="Times New Roman"/>
                <w:color w:val="auto"/>
                <w:sz w:val="21"/>
                <w:szCs w:val="21"/>
                <w:highlight w:val="none"/>
              </w:rPr>
              <w:t>450</w:t>
            </w:r>
            <w:r>
              <w:rPr>
                <w:rFonts w:ascii="Times New Roman" w:hAnsi="Times New Roman"/>
                <w:color w:val="auto"/>
                <w:sz w:val="21"/>
                <w:szCs w:val="21"/>
                <w:highlight w:val="none"/>
              </w:rPr>
              <w:t>人</w:t>
            </w:r>
          </w:p>
        </w:tc>
      </w:tr>
      <w:tr w14:paraId="0792A663">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851" w:type="dxa"/>
            <w:vMerge w:val="continue"/>
            <w:tcBorders>
              <w:tl2br w:val="nil"/>
              <w:tr2bl w:val="nil"/>
            </w:tcBorders>
            <w:vAlign w:val="center"/>
          </w:tcPr>
          <w:p w14:paraId="2A1C1748">
            <w:pPr>
              <w:ind w:left="-105" w:right="-105"/>
              <w:jc w:val="center"/>
              <w:rPr>
                <w:rFonts w:ascii="Times New Roman" w:hAnsi="Times New Roman"/>
                <w:color w:val="auto"/>
                <w:sz w:val="21"/>
                <w:szCs w:val="21"/>
                <w:highlight w:val="none"/>
                <w:lang w:val="zh-CN" w:bidi="zh-CN"/>
              </w:rPr>
            </w:pPr>
          </w:p>
        </w:tc>
        <w:tc>
          <w:tcPr>
            <w:tcW w:w="704" w:type="dxa"/>
            <w:tcBorders>
              <w:tl2br w:val="nil"/>
              <w:tr2bl w:val="nil"/>
            </w:tcBorders>
            <w:vAlign w:val="center"/>
          </w:tcPr>
          <w:p w14:paraId="1F807B3C">
            <w:pPr>
              <w:pStyle w:val="97"/>
              <w:numPr>
                <w:ilvl w:val="0"/>
                <w:numId w:val="13"/>
              </w:numPr>
              <w:ind w:left="-105" w:right="-105" w:firstLineChars="0"/>
              <w:jc w:val="center"/>
              <w:rPr>
                <w:rFonts w:eastAsia="宋体"/>
                <w:color w:val="auto"/>
                <w:kern w:val="0"/>
                <w:sz w:val="21"/>
                <w:szCs w:val="21"/>
                <w:highlight w:val="none"/>
                <w:lang w:val="zh-CN" w:bidi="zh-CN"/>
              </w:rPr>
            </w:pPr>
          </w:p>
        </w:tc>
        <w:tc>
          <w:tcPr>
            <w:tcW w:w="2131" w:type="dxa"/>
            <w:gridSpan w:val="3"/>
            <w:tcBorders>
              <w:tl2br w:val="nil"/>
              <w:tr2bl w:val="nil"/>
            </w:tcBorders>
            <w:shd w:val="clear" w:color="auto" w:fill="auto"/>
            <w:vAlign w:val="center"/>
          </w:tcPr>
          <w:p w14:paraId="03189B1B">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八士实验小学</w:t>
            </w:r>
          </w:p>
        </w:tc>
        <w:tc>
          <w:tcPr>
            <w:tcW w:w="1100" w:type="dxa"/>
            <w:gridSpan w:val="3"/>
            <w:tcBorders>
              <w:tl2br w:val="nil"/>
              <w:tr2bl w:val="nil"/>
            </w:tcBorders>
            <w:shd w:val="clear" w:color="auto" w:fill="auto"/>
            <w:vAlign w:val="center"/>
          </w:tcPr>
          <w:p w14:paraId="55FA1656">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NW</w:t>
            </w:r>
          </w:p>
        </w:tc>
        <w:tc>
          <w:tcPr>
            <w:tcW w:w="1278" w:type="dxa"/>
            <w:gridSpan w:val="3"/>
            <w:tcBorders>
              <w:tl2br w:val="nil"/>
              <w:tr2bl w:val="nil"/>
            </w:tcBorders>
            <w:shd w:val="clear" w:color="auto" w:fill="auto"/>
            <w:vAlign w:val="center"/>
          </w:tcPr>
          <w:p w14:paraId="6E0E6C55">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450</w:t>
            </w:r>
          </w:p>
        </w:tc>
        <w:tc>
          <w:tcPr>
            <w:tcW w:w="1238" w:type="dxa"/>
            <w:gridSpan w:val="3"/>
            <w:tcBorders>
              <w:tl2br w:val="nil"/>
              <w:tr2bl w:val="nil"/>
            </w:tcBorders>
            <w:shd w:val="clear" w:color="auto" w:fill="auto"/>
            <w:vAlign w:val="center"/>
          </w:tcPr>
          <w:p w14:paraId="77F46A6D">
            <w:pPr>
              <w:ind w:left="-105" w:right="-105"/>
              <w:jc w:val="center"/>
              <w:rPr>
                <w:rFonts w:ascii="Times New Roman" w:hAnsi="Times New Roman"/>
                <w:color w:val="auto"/>
                <w:sz w:val="21"/>
                <w:szCs w:val="21"/>
                <w:highlight w:val="none"/>
                <w:lang w:val="zh-CN" w:bidi="zh-CN"/>
              </w:rPr>
            </w:pPr>
            <w:r>
              <w:rPr>
                <w:rFonts w:hint="eastAsia" w:ascii="Times New Roman" w:hAnsi="Times New Roman"/>
                <w:color w:val="auto"/>
                <w:sz w:val="21"/>
                <w:szCs w:val="21"/>
                <w:highlight w:val="none"/>
              </w:rPr>
              <w:t>文化</w:t>
            </w:r>
            <w:r>
              <w:rPr>
                <w:rFonts w:ascii="Times New Roman" w:hAnsi="Times New Roman"/>
                <w:color w:val="auto"/>
                <w:sz w:val="21"/>
                <w:szCs w:val="21"/>
                <w:highlight w:val="none"/>
              </w:rPr>
              <w:t>区</w:t>
            </w:r>
          </w:p>
        </w:tc>
        <w:tc>
          <w:tcPr>
            <w:tcW w:w="1748" w:type="dxa"/>
            <w:tcBorders>
              <w:tl2br w:val="nil"/>
              <w:tr2bl w:val="nil"/>
            </w:tcBorders>
            <w:shd w:val="clear" w:color="auto" w:fill="auto"/>
            <w:vAlign w:val="center"/>
          </w:tcPr>
          <w:p w14:paraId="7CDC2EFC">
            <w:pPr>
              <w:ind w:left="-105" w:right="-105"/>
              <w:jc w:val="center"/>
              <w:rPr>
                <w:rFonts w:ascii="Times New Roman" w:hAnsi="Times New Roman"/>
                <w:color w:val="auto"/>
                <w:sz w:val="21"/>
                <w:szCs w:val="21"/>
                <w:highlight w:val="none"/>
                <w:lang w:val="zh-CN" w:bidi="zh-CN"/>
              </w:rPr>
            </w:pPr>
            <w:r>
              <w:rPr>
                <w:rFonts w:hint="eastAsia" w:ascii="Times New Roman" w:hAnsi="Times New Roman"/>
                <w:color w:val="auto"/>
                <w:sz w:val="21"/>
                <w:szCs w:val="21"/>
                <w:highlight w:val="none"/>
              </w:rPr>
              <w:t>1000</w:t>
            </w:r>
            <w:r>
              <w:rPr>
                <w:rFonts w:ascii="Times New Roman" w:hAnsi="Times New Roman"/>
                <w:color w:val="auto"/>
                <w:sz w:val="21"/>
                <w:szCs w:val="21"/>
                <w:highlight w:val="none"/>
              </w:rPr>
              <w:t>人</w:t>
            </w:r>
          </w:p>
        </w:tc>
      </w:tr>
      <w:tr w14:paraId="6EF1D962">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851" w:type="dxa"/>
            <w:vMerge w:val="continue"/>
            <w:tcBorders>
              <w:tl2br w:val="nil"/>
              <w:tr2bl w:val="nil"/>
            </w:tcBorders>
            <w:vAlign w:val="center"/>
          </w:tcPr>
          <w:p w14:paraId="47622081">
            <w:pPr>
              <w:ind w:left="-105" w:right="-105"/>
              <w:jc w:val="center"/>
              <w:rPr>
                <w:rFonts w:ascii="Times New Roman" w:hAnsi="Times New Roman"/>
                <w:color w:val="auto"/>
                <w:sz w:val="21"/>
                <w:szCs w:val="21"/>
                <w:highlight w:val="none"/>
                <w:lang w:val="zh-CN" w:bidi="zh-CN"/>
              </w:rPr>
            </w:pPr>
          </w:p>
        </w:tc>
        <w:tc>
          <w:tcPr>
            <w:tcW w:w="704" w:type="dxa"/>
            <w:tcBorders>
              <w:tl2br w:val="nil"/>
              <w:tr2bl w:val="nil"/>
            </w:tcBorders>
            <w:vAlign w:val="center"/>
          </w:tcPr>
          <w:p w14:paraId="18682098">
            <w:pPr>
              <w:pStyle w:val="97"/>
              <w:numPr>
                <w:ilvl w:val="0"/>
                <w:numId w:val="13"/>
              </w:numPr>
              <w:ind w:left="-105" w:right="-105" w:firstLineChars="0"/>
              <w:jc w:val="center"/>
              <w:rPr>
                <w:rFonts w:eastAsia="宋体"/>
                <w:color w:val="auto"/>
                <w:kern w:val="0"/>
                <w:sz w:val="21"/>
                <w:szCs w:val="21"/>
                <w:highlight w:val="none"/>
                <w:lang w:val="zh-CN" w:bidi="zh-CN"/>
              </w:rPr>
            </w:pPr>
          </w:p>
        </w:tc>
        <w:tc>
          <w:tcPr>
            <w:tcW w:w="2131" w:type="dxa"/>
            <w:gridSpan w:val="3"/>
            <w:tcBorders>
              <w:tl2br w:val="nil"/>
              <w:tr2bl w:val="nil"/>
            </w:tcBorders>
            <w:shd w:val="clear" w:color="auto" w:fill="auto"/>
            <w:vAlign w:val="center"/>
          </w:tcPr>
          <w:p w14:paraId="4D508057">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斗山花苑</w:t>
            </w:r>
          </w:p>
        </w:tc>
        <w:tc>
          <w:tcPr>
            <w:tcW w:w="1100" w:type="dxa"/>
            <w:gridSpan w:val="3"/>
            <w:tcBorders>
              <w:tl2br w:val="nil"/>
              <w:tr2bl w:val="nil"/>
            </w:tcBorders>
            <w:shd w:val="clear" w:color="auto" w:fill="auto"/>
            <w:vAlign w:val="center"/>
          </w:tcPr>
          <w:p w14:paraId="21191D3F">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NW</w:t>
            </w:r>
          </w:p>
        </w:tc>
        <w:tc>
          <w:tcPr>
            <w:tcW w:w="1278" w:type="dxa"/>
            <w:gridSpan w:val="3"/>
            <w:tcBorders>
              <w:tl2br w:val="nil"/>
              <w:tr2bl w:val="nil"/>
            </w:tcBorders>
            <w:shd w:val="clear" w:color="auto" w:fill="auto"/>
            <w:vAlign w:val="center"/>
          </w:tcPr>
          <w:p w14:paraId="43D379E1">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270</w:t>
            </w:r>
          </w:p>
        </w:tc>
        <w:tc>
          <w:tcPr>
            <w:tcW w:w="1238" w:type="dxa"/>
            <w:gridSpan w:val="3"/>
            <w:tcBorders>
              <w:tl2br w:val="nil"/>
              <w:tr2bl w:val="nil"/>
            </w:tcBorders>
            <w:shd w:val="clear" w:color="auto" w:fill="auto"/>
            <w:vAlign w:val="center"/>
          </w:tcPr>
          <w:p w14:paraId="652EB7F0">
            <w:pPr>
              <w:ind w:left="-105" w:right="-105"/>
              <w:jc w:val="center"/>
              <w:rPr>
                <w:rFonts w:ascii="Times New Roman" w:hAnsi="Times New Roman"/>
                <w:color w:val="auto"/>
                <w:sz w:val="21"/>
                <w:szCs w:val="21"/>
                <w:highlight w:val="none"/>
                <w:lang w:val="zh-CN" w:bidi="zh-CN"/>
              </w:rPr>
            </w:pPr>
            <w:r>
              <w:rPr>
                <w:rFonts w:ascii="Times New Roman" w:hAnsi="Times New Roman"/>
                <w:color w:val="auto"/>
                <w:sz w:val="21"/>
                <w:szCs w:val="21"/>
                <w:highlight w:val="none"/>
              </w:rPr>
              <w:t>居住区</w:t>
            </w:r>
          </w:p>
        </w:tc>
        <w:tc>
          <w:tcPr>
            <w:tcW w:w="1748" w:type="dxa"/>
            <w:tcBorders>
              <w:tl2br w:val="nil"/>
              <w:tr2bl w:val="nil"/>
            </w:tcBorders>
            <w:shd w:val="clear" w:color="auto" w:fill="auto"/>
            <w:vAlign w:val="center"/>
          </w:tcPr>
          <w:p w14:paraId="6AE14CAF">
            <w:pPr>
              <w:ind w:left="-105" w:right="-105"/>
              <w:jc w:val="center"/>
              <w:rPr>
                <w:rFonts w:ascii="Times New Roman" w:hAnsi="Times New Roman"/>
                <w:color w:val="auto"/>
                <w:sz w:val="21"/>
                <w:szCs w:val="21"/>
                <w:highlight w:val="none"/>
                <w:lang w:val="zh-CN" w:bidi="zh-CN"/>
              </w:rPr>
            </w:pPr>
            <w:r>
              <w:rPr>
                <w:rFonts w:hint="eastAsia" w:ascii="Times New Roman" w:hAnsi="Times New Roman"/>
                <w:color w:val="auto"/>
                <w:sz w:val="21"/>
                <w:szCs w:val="21"/>
                <w:highlight w:val="none"/>
              </w:rPr>
              <w:t>6000</w:t>
            </w:r>
            <w:r>
              <w:rPr>
                <w:rFonts w:ascii="Times New Roman" w:hAnsi="Times New Roman"/>
                <w:color w:val="auto"/>
                <w:sz w:val="21"/>
                <w:szCs w:val="21"/>
                <w:highlight w:val="none"/>
              </w:rPr>
              <w:t>户/</w:t>
            </w:r>
            <w:r>
              <w:rPr>
                <w:rFonts w:hint="eastAsia" w:ascii="Times New Roman" w:hAnsi="Times New Roman"/>
                <w:color w:val="auto"/>
                <w:sz w:val="21"/>
                <w:szCs w:val="21"/>
                <w:highlight w:val="none"/>
              </w:rPr>
              <w:t>21000</w:t>
            </w:r>
            <w:r>
              <w:rPr>
                <w:rFonts w:ascii="Times New Roman" w:hAnsi="Times New Roman"/>
                <w:color w:val="auto"/>
                <w:sz w:val="21"/>
                <w:szCs w:val="21"/>
                <w:highlight w:val="none"/>
              </w:rPr>
              <w:t>人</w:t>
            </w:r>
          </w:p>
        </w:tc>
      </w:tr>
      <w:tr w14:paraId="68EF9657">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851" w:type="dxa"/>
            <w:vMerge w:val="continue"/>
            <w:tcBorders>
              <w:tl2br w:val="nil"/>
              <w:tr2bl w:val="nil"/>
            </w:tcBorders>
            <w:vAlign w:val="center"/>
          </w:tcPr>
          <w:p w14:paraId="532F6CC4">
            <w:pPr>
              <w:ind w:left="-105" w:right="-105"/>
              <w:jc w:val="center"/>
              <w:rPr>
                <w:rFonts w:ascii="Times New Roman" w:hAnsi="Times New Roman"/>
                <w:color w:val="auto"/>
                <w:sz w:val="21"/>
                <w:szCs w:val="21"/>
                <w:highlight w:val="none"/>
                <w:lang w:val="zh-CN" w:bidi="zh-CN"/>
              </w:rPr>
            </w:pPr>
          </w:p>
        </w:tc>
        <w:tc>
          <w:tcPr>
            <w:tcW w:w="704" w:type="dxa"/>
            <w:tcBorders>
              <w:tl2br w:val="nil"/>
              <w:tr2bl w:val="nil"/>
            </w:tcBorders>
            <w:vAlign w:val="center"/>
          </w:tcPr>
          <w:p w14:paraId="0F035640">
            <w:pPr>
              <w:pStyle w:val="97"/>
              <w:numPr>
                <w:ilvl w:val="0"/>
                <w:numId w:val="13"/>
              </w:numPr>
              <w:ind w:left="-105" w:right="-105" w:firstLineChars="0"/>
              <w:jc w:val="center"/>
              <w:rPr>
                <w:rFonts w:eastAsia="宋体"/>
                <w:color w:val="auto"/>
                <w:kern w:val="0"/>
                <w:sz w:val="21"/>
                <w:szCs w:val="21"/>
                <w:highlight w:val="none"/>
                <w:lang w:val="zh-CN" w:bidi="zh-CN"/>
              </w:rPr>
            </w:pPr>
          </w:p>
        </w:tc>
        <w:tc>
          <w:tcPr>
            <w:tcW w:w="2131" w:type="dxa"/>
            <w:gridSpan w:val="3"/>
            <w:tcBorders>
              <w:tl2br w:val="nil"/>
              <w:tr2bl w:val="nil"/>
            </w:tcBorders>
            <w:shd w:val="clear" w:color="auto" w:fill="auto"/>
            <w:vAlign w:val="center"/>
          </w:tcPr>
          <w:p w14:paraId="7D1C70E0">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东南村</w:t>
            </w:r>
          </w:p>
        </w:tc>
        <w:tc>
          <w:tcPr>
            <w:tcW w:w="1100" w:type="dxa"/>
            <w:gridSpan w:val="3"/>
            <w:tcBorders>
              <w:tl2br w:val="nil"/>
              <w:tr2bl w:val="nil"/>
            </w:tcBorders>
            <w:shd w:val="clear" w:color="auto" w:fill="auto"/>
            <w:vAlign w:val="center"/>
          </w:tcPr>
          <w:p w14:paraId="25B3E5C7">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NW</w:t>
            </w:r>
          </w:p>
        </w:tc>
        <w:tc>
          <w:tcPr>
            <w:tcW w:w="1278" w:type="dxa"/>
            <w:gridSpan w:val="3"/>
            <w:tcBorders>
              <w:tl2br w:val="nil"/>
              <w:tr2bl w:val="nil"/>
            </w:tcBorders>
            <w:shd w:val="clear" w:color="auto" w:fill="auto"/>
            <w:vAlign w:val="center"/>
          </w:tcPr>
          <w:p w14:paraId="18E38DD5">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1540</w:t>
            </w:r>
          </w:p>
        </w:tc>
        <w:tc>
          <w:tcPr>
            <w:tcW w:w="1238" w:type="dxa"/>
            <w:gridSpan w:val="3"/>
            <w:tcBorders>
              <w:tl2br w:val="nil"/>
              <w:tr2bl w:val="nil"/>
            </w:tcBorders>
            <w:shd w:val="clear" w:color="auto" w:fill="auto"/>
            <w:vAlign w:val="center"/>
          </w:tcPr>
          <w:p w14:paraId="79A51A53">
            <w:pPr>
              <w:ind w:left="-105" w:right="-105"/>
              <w:jc w:val="center"/>
              <w:rPr>
                <w:rFonts w:ascii="Times New Roman" w:hAnsi="Times New Roman"/>
                <w:color w:val="auto"/>
                <w:sz w:val="21"/>
                <w:szCs w:val="21"/>
                <w:highlight w:val="none"/>
                <w:lang w:val="zh-CN" w:bidi="zh-CN"/>
              </w:rPr>
            </w:pPr>
            <w:r>
              <w:rPr>
                <w:rFonts w:ascii="Times New Roman" w:hAnsi="Times New Roman"/>
                <w:color w:val="auto"/>
                <w:sz w:val="21"/>
                <w:szCs w:val="21"/>
                <w:highlight w:val="none"/>
              </w:rPr>
              <w:t>居住区</w:t>
            </w:r>
          </w:p>
        </w:tc>
        <w:tc>
          <w:tcPr>
            <w:tcW w:w="1748" w:type="dxa"/>
            <w:tcBorders>
              <w:tl2br w:val="nil"/>
              <w:tr2bl w:val="nil"/>
            </w:tcBorders>
            <w:shd w:val="clear" w:color="auto" w:fill="auto"/>
            <w:vAlign w:val="center"/>
          </w:tcPr>
          <w:p w14:paraId="1970D4A7">
            <w:pPr>
              <w:ind w:left="-105" w:right="-105"/>
              <w:jc w:val="center"/>
              <w:rPr>
                <w:rFonts w:ascii="Times New Roman" w:hAnsi="Times New Roman"/>
                <w:color w:val="auto"/>
                <w:sz w:val="21"/>
                <w:szCs w:val="21"/>
                <w:highlight w:val="none"/>
                <w:lang w:val="zh-CN" w:bidi="zh-CN"/>
              </w:rPr>
            </w:pPr>
            <w:r>
              <w:rPr>
                <w:rFonts w:hint="eastAsia" w:ascii="Times New Roman" w:hAnsi="Times New Roman"/>
                <w:color w:val="auto"/>
                <w:sz w:val="21"/>
                <w:szCs w:val="21"/>
                <w:highlight w:val="none"/>
              </w:rPr>
              <w:t>30</w:t>
            </w:r>
            <w:r>
              <w:rPr>
                <w:rFonts w:ascii="Times New Roman" w:hAnsi="Times New Roman"/>
                <w:color w:val="auto"/>
                <w:sz w:val="21"/>
                <w:szCs w:val="21"/>
                <w:highlight w:val="none"/>
              </w:rPr>
              <w:t>户/</w:t>
            </w:r>
            <w:r>
              <w:rPr>
                <w:rFonts w:hint="eastAsia" w:ascii="Times New Roman" w:hAnsi="Times New Roman"/>
                <w:color w:val="auto"/>
                <w:sz w:val="21"/>
                <w:szCs w:val="21"/>
                <w:highlight w:val="none"/>
              </w:rPr>
              <w:t>105</w:t>
            </w:r>
            <w:r>
              <w:rPr>
                <w:rFonts w:ascii="Times New Roman" w:hAnsi="Times New Roman"/>
                <w:color w:val="auto"/>
                <w:sz w:val="21"/>
                <w:szCs w:val="21"/>
                <w:highlight w:val="none"/>
              </w:rPr>
              <w:t>人</w:t>
            </w:r>
          </w:p>
        </w:tc>
      </w:tr>
      <w:tr w14:paraId="39798B82">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851" w:type="dxa"/>
            <w:vMerge w:val="continue"/>
            <w:tcBorders>
              <w:tl2br w:val="nil"/>
              <w:tr2bl w:val="nil"/>
            </w:tcBorders>
            <w:vAlign w:val="center"/>
          </w:tcPr>
          <w:p w14:paraId="1EA48375">
            <w:pPr>
              <w:ind w:left="-105" w:right="-105"/>
              <w:jc w:val="center"/>
              <w:rPr>
                <w:rFonts w:ascii="Times New Roman" w:hAnsi="Times New Roman"/>
                <w:color w:val="auto"/>
                <w:sz w:val="21"/>
                <w:szCs w:val="21"/>
                <w:highlight w:val="none"/>
                <w:lang w:val="zh-CN" w:bidi="zh-CN"/>
              </w:rPr>
            </w:pPr>
          </w:p>
        </w:tc>
        <w:tc>
          <w:tcPr>
            <w:tcW w:w="704" w:type="dxa"/>
            <w:tcBorders>
              <w:tl2br w:val="nil"/>
              <w:tr2bl w:val="nil"/>
            </w:tcBorders>
            <w:vAlign w:val="center"/>
          </w:tcPr>
          <w:p w14:paraId="68A54471">
            <w:pPr>
              <w:pStyle w:val="97"/>
              <w:numPr>
                <w:ilvl w:val="0"/>
                <w:numId w:val="13"/>
              </w:numPr>
              <w:ind w:left="-105" w:right="-105" w:firstLineChars="0"/>
              <w:jc w:val="center"/>
              <w:rPr>
                <w:rFonts w:eastAsia="宋体"/>
                <w:color w:val="auto"/>
                <w:kern w:val="0"/>
                <w:sz w:val="21"/>
                <w:szCs w:val="21"/>
                <w:highlight w:val="none"/>
                <w:lang w:val="zh-CN" w:bidi="zh-CN"/>
              </w:rPr>
            </w:pPr>
          </w:p>
        </w:tc>
        <w:tc>
          <w:tcPr>
            <w:tcW w:w="2131" w:type="dxa"/>
            <w:gridSpan w:val="3"/>
            <w:tcBorders>
              <w:tl2br w:val="nil"/>
              <w:tr2bl w:val="nil"/>
            </w:tcBorders>
            <w:shd w:val="clear" w:color="auto" w:fill="auto"/>
            <w:vAlign w:val="center"/>
          </w:tcPr>
          <w:p w14:paraId="222D1D83">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华夏青城怡景苑</w:t>
            </w:r>
          </w:p>
        </w:tc>
        <w:tc>
          <w:tcPr>
            <w:tcW w:w="1100" w:type="dxa"/>
            <w:gridSpan w:val="3"/>
            <w:tcBorders>
              <w:tl2br w:val="nil"/>
              <w:tr2bl w:val="nil"/>
            </w:tcBorders>
            <w:shd w:val="clear" w:color="auto" w:fill="auto"/>
            <w:vAlign w:val="center"/>
          </w:tcPr>
          <w:p w14:paraId="691659CB">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NW</w:t>
            </w:r>
          </w:p>
        </w:tc>
        <w:tc>
          <w:tcPr>
            <w:tcW w:w="1278" w:type="dxa"/>
            <w:gridSpan w:val="3"/>
            <w:tcBorders>
              <w:tl2br w:val="nil"/>
              <w:tr2bl w:val="nil"/>
            </w:tcBorders>
            <w:shd w:val="clear" w:color="auto" w:fill="auto"/>
            <w:vAlign w:val="center"/>
          </w:tcPr>
          <w:p w14:paraId="1105F8BF">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1463</w:t>
            </w:r>
          </w:p>
        </w:tc>
        <w:tc>
          <w:tcPr>
            <w:tcW w:w="1238" w:type="dxa"/>
            <w:gridSpan w:val="3"/>
            <w:tcBorders>
              <w:tl2br w:val="nil"/>
              <w:tr2bl w:val="nil"/>
            </w:tcBorders>
            <w:shd w:val="clear" w:color="auto" w:fill="auto"/>
            <w:vAlign w:val="center"/>
          </w:tcPr>
          <w:p w14:paraId="2EA6658E">
            <w:pPr>
              <w:ind w:left="-105" w:right="-105"/>
              <w:jc w:val="center"/>
              <w:rPr>
                <w:rFonts w:ascii="Times New Roman" w:hAnsi="Times New Roman"/>
                <w:color w:val="auto"/>
                <w:sz w:val="21"/>
                <w:szCs w:val="21"/>
                <w:highlight w:val="none"/>
                <w:lang w:val="zh-CN" w:bidi="zh-CN"/>
              </w:rPr>
            </w:pPr>
            <w:r>
              <w:rPr>
                <w:rFonts w:ascii="Times New Roman" w:hAnsi="Times New Roman"/>
                <w:color w:val="auto"/>
                <w:sz w:val="21"/>
                <w:szCs w:val="21"/>
                <w:highlight w:val="none"/>
              </w:rPr>
              <w:t>居住区</w:t>
            </w:r>
          </w:p>
        </w:tc>
        <w:tc>
          <w:tcPr>
            <w:tcW w:w="1748" w:type="dxa"/>
            <w:tcBorders>
              <w:tl2br w:val="nil"/>
              <w:tr2bl w:val="nil"/>
            </w:tcBorders>
            <w:shd w:val="clear" w:color="auto" w:fill="auto"/>
            <w:vAlign w:val="center"/>
          </w:tcPr>
          <w:p w14:paraId="091FC5F9">
            <w:pPr>
              <w:ind w:left="-105" w:right="-105"/>
              <w:jc w:val="center"/>
              <w:rPr>
                <w:rFonts w:ascii="Times New Roman" w:hAnsi="Times New Roman"/>
                <w:color w:val="auto"/>
                <w:sz w:val="21"/>
                <w:szCs w:val="21"/>
                <w:highlight w:val="none"/>
                <w:lang w:val="zh-CN" w:bidi="zh-CN"/>
              </w:rPr>
            </w:pPr>
            <w:r>
              <w:rPr>
                <w:rFonts w:hint="eastAsia" w:ascii="Times New Roman" w:hAnsi="Times New Roman"/>
                <w:color w:val="auto"/>
                <w:sz w:val="21"/>
                <w:szCs w:val="21"/>
                <w:highlight w:val="none"/>
              </w:rPr>
              <w:t>5000</w:t>
            </w:r>
            <w:r>
              <w:rPr>
                <w:rFonts w:ascii="Times New Roman" w:hAnsi="Times New Roman"/>
                <w:color w:val="auto"/>
                <w:sz w:val="21"/>
                <w:szCs w:val="21"/>
                <w:highlight w:val="none"/>
              </w:rPr>
              <w:t>户/</w:t>
            </w:r>
            <w:r>
              <w:rPr>
                <w:rFonts w:hint="eastAsia" w:ascii="Times New Roman" w:hAnsi="Times New Roman"/>
                <w:color w:val="auto"/>
                <w:sz w:val="21"/>
                <w:szCs w:val="21"/>
                <w:highlight w:val="none"/>
              </w:rPr>
              <w:t>17500</w:t>
            </w:r>
            <w:r>
              <w:rPr>
                <w:rFonts w:ascii="Times New Roman" w:hAnsi="Times New Roman"/>
                <w:color w:val="auto"/>
                <w:sz w:val="21"/>
                <w:szCs w:val="21"/>
                <w:highlight w:val="none"/>
              </w:rPr>
              <w:t>人</w:t>
            </w:r>
          </w:p>
        </w:tc>
      </w:tr>
      <w:tr w14:paraId="036230BC">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851" w:type="dxa"/>
            <w:vMerge w:val="continue"/>
            <w:tcBorders>
              <w:tl2br w:val="nil"/>
              <w:tr2bl w:val="nil"/>
            </w:tcBorders>
            <w:vAlign w:val="center"/>
          </w:tcPr>
          <w:p w14:paraId="53C47360">
            <w:pPr>
              <w:ind w:left="-105" w:right="-105"/>
              <w:jc w:val="center"/>
              <w:rPr>
                <w:rFonts w:ascii="Times New Roman" w:hAnsi="Times New Roman"/>
                <w:color w:val="auto"/>
                <w:sz w:val="21"/>
                <w:szCs w:val="21"/>
                <w:highlight w:val="none"/>
                <w:lang w:val="zh-CN" w:bidi="zh-CN"/>
              </w:rPr>
            </w:pPr>
          </w:p>
        </w:tc>
        <w:tc>
          <w:tcPr>
            <w:tcW w:w="704" w:type="dxa"/>
            <w:tcBorders>
              <w:tl2br w:val="nil"/>
              <w:tr2bl w:val="nil"/>
            </w:tcBorders>
            <w:vAlign w:val="center"/>
          </w:tcPr>
          <w:p w14:paraId="5AFF898E">
            <w:pPr>
              <w:pStyle w:val="97"/>
              <w:numPr>
                <w:ilvl w:val="0"/>
                <w:numId w:val="13"/>
              </w:numPr>
              <w:ind w:left="-105" w:right="-105" w:firstLineChars="0"/>
              <w:jc w:val="center"/>
              <w:rPr>
                <w:rFonts w:eastAsia="宋体"/>
                <w:color w:val="auto"/>
                <w:kern w:val="0"/>
                <w:sz w:val="21"/>
                <w:szCs w:val="21"/>
                <w:highlight w:val="none"/>
                <w:lang w:val="zh-CN" w:bidi="zh-CN"/>
              </w:rPr>
            </w:pPr>
          </w:p>
        </w:tc>
        <w:tc>
          <w:tcPr>
            <w:tcW w:w="2131" w:type="dxa"/>
            <w:gridSpan w:val="3"/>
            <w:tcBorders>
              <w:tl2br w:val="nil"/>
              <w:tr2bl w:val="nil"/>
            </w:tcBorders>
            <w:shd w:val="clear" w:color="auto" w:fill="auto"/>
            <w:vAlign w:val="center"/>
          </w:tcPr>
          <w:p w14:paraId="0C7EF83D">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华夏星辰</w:t>
            </w:r>
          </w:p>
        </w:tc>
        <w:tc>
          <w:tcPr>
            <w:tcW w:w="1100" w:type="dxa"/>
            <w:gridSpan w:val="3"/>
            <w:tcBorders>
              <w:tl2br w:val="nil"/>
              <w:tr2bl w:val="nil"/>
            </w:tcBorders>
            <w:shd w:val="clear" w:color="auto" w:fill="auto"/>
            <w:vAlign w:val="center"/>
          </w:tcPr>
          <w:p w14:paraId="512E6E15">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\NW</w:t>
            </w:r>
          </w:p>
        </w:tc>
        <w:tc>
          <w:tcPr>
            <w:tcW w:w="1278" w:type="dxa"/>
            <w:gridSpan w:val="3"/>
            <w:tcBorders>
              <w:tl2br w:val="nil"/>
              <w:tr2bl w:val="nil"/>
            </w:tcBorders>
            <w:shd w:val="clear" w:color="auto" w:fill="auto"/>
            <w:vAlign w:val="center"/>
          </w:tcPr>
          <w:p w14:paraId="75BF2D83">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1471</w:t>
            </w:r>
          </w:p>
        </w:tc>
        <w:tc>
          <w:tcPr>
            <w:tcW w:w="1238" w:type="dxa"/>
            <w:gridSpan w:val="3"/>
            <w:tcBorders>
              <w:tl2br w:val="nil"/>
              <w:tr2bl w:val="nil"/>
            </w:tcBorders>
            <w:shd w:val="clear" w:color="auto" w:fill="auto"/>
            <w:vAlign w:val="center"/>
          </w:tcPr>
          <w:p w14:paraId="65F1C230">
            <w:pPr>
              <w:ind w:left="-105" w:right="-105"/>
              <w:jc w:val="center"/>
              <w:rPr>
                <w:rFonts w:ascii="Times New Roman" w:hAnsi="Times New Roman"/>
                <w:color w:val="auto"/>
                <w:sz w:val="21"/>
                <w:szCs w:val="21"/>
                <w:highlight w:val="none"/>
                <w:lang w:val="zh-CN" w:bidi="zh-CN"/>
              </w:rPr>
            </w:pPr>
            <w:r>
              <w:rPr>
                <w:rFonts w:ascii="Times New Roman" w:hAnsi="Times New Roman"/>
                <w:color w:val="auto"/>
                <w:sz w:val="21"/>
                <w:szCs w:val="21"/>
                <w:highlight w:val="none"/>
              </w:rPr>
              <w:t>居住区</w:t>
            </w:r>
          </w:p>
        </w:tc>
        <w:tc>
          <w:tcPr>
            <w:tcW w:w="1748" w:type="dxa"/>
            <w:tcBorders>
              <w:tl2br w:val="nil"/>
              <w:tr2bl w:val="nil"/>
            </w:tcBorders>
            <w:shd w:val="clear" w:color="auto" w:fill="auto"/>
            <w:vAlign w:val="center"/>
          </w:tcPr>
          <w:p w14:paraId="71CE2D86">
            <w:pPr>
              <w:ind w:left="-105" w:right="-105"/>
              <w:jc w:val="center"/>
              <w:rPr>
                <w:rFonts w:ascii="Times New Roman" w:hAnsi="Times New Roman"/>
                <w:color w:val="auto"/>
                <w:sz w:val="21"/>
                <w:szCs w:val="21"/>
                <w:highlight w:val="none"/>
                <w:lang w:val="zh-CN" w:bidi="zh-CN"/>
              </w:rPr>
            </w:pPr>
            <w:r>
              <w:rPr>
                <w:rFonts w:hint="eastAsia" w:ascii="Times New Roman" w:hAnsi="Times New Roman"/>
                <w:color w:val="auto"/>
                <w:sz w:val="21"/>
                <w:szCs w:val="21"/>
                <w:highlight w:val="none"/>
              </w:rPr>
              <w:t>1200</w:t>
            </w:r>
            <w:r>
              <w:rPr>
                <w:rFonts w:ascii="Times New Roman" w:hAnsi="Times New Roman"/>
                <w:color w:val="auto"/>
                <w:sz w:val="21"/>
                <w:szCs w:val="21"/>
                <w:highlight w:val="none"/>
              </w:rPr>
              <w:t>户/</w:t>
            </w:r>
            <w:r>
              <w:rPr>
                <w:rFonts w:hint="eastAsia" w:ascii="Times New Roman" w:hAnsi="Times New Roman"/>
                <w:color w:val="auto"/>
                <w:sz w:val="21"/>
                <w:szCs w:val="21"/>
                <w:highlight w:val="none"/>
              </w:rPr>
              <w:t>4200</w:t>
            </w:r>
            <w:r>
              <w:rPr>
                <w:rFonts w:ascii="Times New Roman" w:hAnsi="Times New Roman"/>
                <w:color w:val="auto"/>
                <w:sz w:val="21"/>
                <w:szCs w:val="21"/>
                <w:highlight w:val="none"/>
              </w:rPr>
              <w:t>人</w:t>
            </w:r>
          </w:p>
        </w:tc>
      </w:tr>
      <w:tr w14:paraId="30EBFA97">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851" w:type="dxa"/>
            <w:vMerge w:val="continue"/>
            <w:tcBorders>
              <w:tl2br w:val="nil"/>
              <w:tr2bl w:val="nil"/>
            </w:tcBorders>
            <w:vAlign w:val="center"/>
          </w:tcPr>
          <w:p w14:paraId="3E187011">
            <w:pPr>
              <w:ind w:left="-105" w:right="-105"/>
              <w:jc w:val="center"/>
              <w:rPr>
                <w:rFonts w:ascii="Times New Roman" w:hAnsi="Times New Roman"/>
                <w:color w:val="auto"/>
                <w:sz w:val="21"/>
                <w:szCs w:val="21"/>
                <w:highlight w:val="none"/>
                <w:lang w:val="zh-CN" w:bidi="zh-CN"/>
              </w:rPr>
            </w:pPr>
          </w:p>
        </w:tc>
        <w:tc>
          <w:tcPr>
            <w:tcW w:w="704" w:type="dxa"/>
            <w:tcBorders>
              <w:tl2br w:val="nil"/>
              <w:tr2bl w:val="nil"/>
            </w:tcBorders>
            <w:vAlign w:val="center"/>
          </w:tcPr>
          <w:p w14:paraId="05C15D09">
            <w:pPr>
              <w:pStyle w:val="97"/>
              <w:numPr>
                <w:ilvl w:val="0"/>
                <w:numId w:val="13"/>
              </w:numPr>
              <w:ind w:left="-105" w:right="-105" w:firstLineChars="0"/>
              <w:jc w:val="center"/>
              <w:rPr>
                <w:rFonts w:eastAsia="宋体"/>
                <w:color w:val="auto"/>
                <w:kern w:val="0"/>
                <w:sz w:val="21"/>
                <w:szCs w:val="21"/>
                <w:highlight w:val="none"/>
                <w:lang w:val="zh-CN" w:bidi="zh-CN"/>
              </w:rPr>
            </w:pPr>
          </w:p>
        </w:tc>
        <w:tc>
          <w:tcPr>
            <w:tcW w:w="2131" w:type="dxa"/>
            <w:gridSpan w:val="3"/>
            <w:tcBorders>
              <w:tl2br w:val="nil"/>
              <w:tr2bl w:val="nil"/>
            </w:tcBorders>
            <w:shd w:val="clear" w:color="auto" w:fill="auto"/>
            <w:vAlign w:val="center"/>
          </w:tcPr>
          <w:p w14:paraId="5EE23B7B">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怡丰苑</w:t>
            </w:r>
          </w:p>
        </w:tc>
        <w:tc>
          <w:tcPr>
            <w:tcW w:w="1100" w:type="dxa"/>
            <w:gridSpan w:val="3"/>
            <w:tcBorders>
              <w:tl2br w:val="nil"/>
              <w:tr2bl w:val="nil"/>
            </w:tcBorders>
            <w:shd w:val="clear" w:color="auto" w:fill="auto"/>
            <w:vAlign w:val="center"/>
          </w:tcPr>
          <w:p w14:paraId="0C36FA58">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NW</w:t>
            </w:r>
          </w:p>
        </w:tc>
        <w:tc>
          <w:tcPr>
            <w:tcW w:w="1278" w:type="dxa"/>
            <w:gridSpan w:val="3"/>
            <w:tcBorders>
              <w:tl2br w:val="nil"/>
              <w:tr2bl w:val="nil"/>
            </w:tcBorders>
            <w:shd w:val="clear" w:color="auto" w:fill="auto"/>
            <w:vAlign w:val="center"/>
          </w:tcPr>
          <w:p w14:paraId="6F5FA252">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2044</w:t>
            </w:r>
          </w:p>
        </w:tc>
        <w:tc>
          <w:tcPr>
            <w:tcW w:w="1238" w:type="dxa"/>
            <w:gridSpan w:val="3"/>
            <w:tcBorders>
              <w:tl2br w:val="nil"/>
              <w:tr2bl w:val="nil"/>
            </w:tcBorders>
            <w:shd w:val="clear" w:color="auto" w:fill="auto"/>
            <w:vAlign w:val="center"/>
          </w:tcPr>
          <w:p w14:paraId="6093627B">
            <w:pPr>
              <w:ind w:left="-105" w:right="-105"/>
              <w:jc w:val="center"/>
              <w:rPr>
                <w:rFonts w:ascii="Times New Roman" w:hAnsi="Times New Roman"/>
                <w:color w:val="auto"/>
                <w:sz w:val="21"/>
                <w:szCs w:val="21"/>
                <w:highlight w:val="none"/>
                <w:lang w:val="zh-CN" w:bidi="zh-CN"/>
              </w:rPr>
            </w:pPr>
            <w:r>
              <w:rPr>
                <w:rFonts w:ascii="Times New Roman" w:hAnsi="Times New Roman"/>
                <w:color w:val="auto"/>
                <w:sz w:val="21"/>
                <w:szCs w:val="21"/>
                <w:highlight w:val="none"/>
              </w:rPr>
              <w:t>居住区</w:t>
            </w:r>
          </w:p>
        </w:tc>
        <w:tc>
          <w:tcPr>
            <w:tcW w:w="1748" w:type="dxa"/>
            <w:tcBorders>
              <w:tl2br w:val="nil"/>
              <w:tr2bl w:val="nil"/>
            </w:tcBorders>
            <w:shd w:val="clear" w:color="auto" w:fill="auto"/>
            <w:vAlign w:val="center"/>
          </w:tcPr>
          <w:p w14:paraId="74641BC8">
            <w:pPr>
              <w:ind w:left="-105" w:right="-105"/>
              <w:jc w:val="center"/>
              <w:rPr>
                <w:rFonts w:ascii="Times New Roman" w:hAnsi="Times New Roman"/>
                <w:color w:val="auto"/>
                <w:sz w:val="21"/>
                <w:szCs w:val="21"/>
                <w:highlight w:val="none"/>
                <w:lang w:val="zh-CN" w:bidi="zh-CN"/>
              </w:rPr>
            </w:pPr>
            <w:r>
              <w:rPr>
                <w:rFonts w:hint="eastAsia" w:ascii="Times New Roman" w:hAnsi="Times New Roman"/>
                <w:color w:val="auto"/>
                <w:sz w:val="21"/>
                <w:szCs w:val="21"/>
                <w:highlight w:val="none"/>
              </w:rPr>
              <w:t>800</w:t>
            </w:r>
            <w:r>
              <w:rPr>
                <w:rFonts w:ascii="Times New Roman" w:hAnsi="Times New Roman"/>
                <w:color w:val="auto"/>
                <w:sz w:val="21"/>
                <w:szCs w:val="21"/>
                <w:highlight w:val="none"/>
              </w:rPr>
              <w:t>户/</w:t>
            </w:r>
            <w:r>
              <w:rPr>
                <w:rFonts w:hint="eastAsia" w:ascii="Times New Roman" w:hAnsi="Times New Roman"/>
                <w:color w:val="auto"/>
                <w:sz w:val="21"/>
                <w:szCs w:val="21"/>
                <w:highlight w:val="none"/>
              </w:rPr>
              <w:t>2800</w:t>
            </w:r>
            <w:r>
              <w:rPr>
                <w:rFonts w:ascii="Times New Roman" w:hAnsi="Times New Roman"/>
                <w:color w:val="auto"/>
                <w:sz w:val="21"/>
                <w:szCs w:val="21"/>
                <w:highlight w:val="none"/>
              </w:rPr>
              <w:t>人</w:t>
            </w:r>
          </w:p>
        </w:tc>
      </w:tr>
      <w:tr w14:paraId="7D8C7D26">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851" w:type="dxa"/>
            <w:vMerge w:val="continue"/>
            <w:tcBorders>
              <w:tl2br w:val="nil"/>
              <w:tr2bl w:val="nil"/>
            </w:tcBorders>
            <w:vAlign w:val="center"/>
          </w:tcPr>
          <w:p w14:paraId="0E56D848">
            <w:pPr>
              <w:ind w:left="-105" w:right="-105"/>
              <w:jc w:val="center"/>
              <w:rPr>
                <w:rFonts w:ascii="Times New Roman" w:hAnsi="Times New Roman"/>
                <w:color w:val="auto"/>
                <w:sz w:val="21"/>
                <w:szCs w:val="21"/>
                <w:highlight w:val="none"/>
                <w:lang w:val="zh-CN" w:bidi="zh-CN"/>
              </w:rPr>
            </w:pPr>
          </w:p>
        </w:tc>
        <w:tc>
          <w:tcPr>
            <w:tcW w:w="704" w:type="dxa"/>
            <w:tcBorders>
              <w:tl2br w:val="nil"/>
              <w:tr2bl w:val="nil"/>
            </w:tcBorders>
            <w:vAlign w:val="center"/>
          </w:tcPr>
          <w:p w14:paraId="2D9E2C35">
            <w:pPr>
              <w:pStyle w:val="97"/>
              <w:numPr>
                <w:ilvl w:val="0"/>
                <w:numId w:val="13"/>
              </w:numPr>
              <w:ind w:left="-105" w:right="-105" w:firstLineChars="0"/>
              <w:jc w:val="center"/>
              <w:rPr>
                <w:rFonts w:eastAsia="宋体"/>
                <w:color w:val="auto"/>
                <w:kern w:val="0"/>
                <w:sz w:val="21"/>
                <w:szCs w:val="21"/>
                <w:highlight w:val="none"/>
                <w:lang w:val="zh-CN" w:bidi="zh-CN"/>
              </w:rPr>
            </w:pPr>
          </w:p>
        </w:tc>
        <w:tc>
          <w:tcPr>
            <w:tcW w:w="2131" w:type="dxa"/>
            <w:gridSpan w:val="3"/>
            <w:tcBorders>
              <w:tl2br w:val="nil"/>
              <w:tr2bl w:val="nil"/>
            </w:tcBorders>
            <w:shd w:val="clear" w:color="auto" w:fill="auto"/>
            <w:vAlign w:val="center"/>
          </w:tcPr>
          <w:p w14:paraId="69646D58">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南庄巷</w:t>
            </w:r>
          </w:p>
        </w:tc>
        <w:tc>
          <w:tcPr>
            <w:tcW w:w="1100" w:type="dxa"/>
            <w:gridSpan w:val="3"/>
            <w:tcBorders>
              <w:tl2br w:val="nil"/>
              <w:tr2bl w:val="nil"/>
            </w:tcBorders>
            <w:shd w:val="clear" w:color="auto" w:fill="auto"/>
            <w:vAlign w:val="center"/>
          </w:tcPr>
          <w:p w14:paraId="3ABDFB1E">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NW</w:t>
            </w:r>
          </w:p>
        </w:tc>
        <w:tc>
          <w:tcPr>
            <w:tcW w:w="1278" w:type="dxa"/>
            <w:gridSpan w:val="3"/>
            <w:tcBorders>
              <w:tl2br w:val="nil"/>
              <w:tr2bl w:val="nil"/>
            </w:tcBorders>
            <w:shd w:val="clear" w:color="auto" w:fill="auto"/>
            <w:vAlign w:val="center"/>
          </w:tcPr>
          <w:p w14:paraId="6251B883">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2532</w:t>
            </w:r>
          </w:p>
        </w:tc>
        <w:tc>
          <w:tcPr>
            <w:tcW w:w="1238" w:type="dxa"/>
            <w:gridSpan w:val="3"/>
            <w:tcBorders>
              <w:tl2br w:val="nil"/>
              <w:tr2bl w:val="nil"/>
            </w:tcBorders>
            <w:shd w:val="clear" w:color="auto" w:fill="auto"/>
            <w:vAlign w:val="center"/>
          </w:tcPr>
          <w:p w14:paraId="1D2ED2A2">
            <w:pPr>
              <w:ind w:left="-105" w:right="-105"/>
              <w:jc w:val="center"/>
              <w:rPr>
                <w:rFonts w:ascii="Times New Roman" w:hAnsi="Times New Roman"/>
                <w:color w:val="auto"/>
                <w:sz w:val="21"/>
                <w:szCs w:val="21"/>
                <w:highlight w:val="none"/>
                <w:lang w:val="zh-CN" w:bidi="zh-CN"/>
              </w:rPr>
            </w:pPr>
            <w:r>
              <w:rPr>
                <w:rFonts w:ascii="Times New Roman" w:hAnsi="Times New Roman"/>
                <w:color w:val="auto"/>
                <w:sz w:val="21"/>
                <w:szCs w:val="21"/>
                <w:highlight w:val="none"/>
              </w:rPr>
              <w:t>居住区</w:t>
            </w:r>
          </w:p>
        </w:tc>
        <w:tc>
          <w:tcPr>
            <w:tcW w:w="1748" w:type="dxa"/>
            <w:tcBorders>
              <w:tl2br w:val="nil"/>
              <w:tr2bl w:val="nil"/>
            </w:tcBorders>
            <w:shd w:val="clear" w:color="auto" w:fill="auto"/>
            <w:vAlign w:val="center"/>
          </w:tcPr>
          <w:p w14:paraId="324AA771">
            <w:pPr>
              <w:ind w:left="-105" w:right="-105"/>
              <w:jc w:val="center"/>
              <w:rPr>
                <w:rFonts w:ascii="Times New Roman" w:hAnsi="Times New Roman"/>
                <w:color w:val="auto"/>
                <w:sz w:val="21"/>
                <w:szCs w:val="21"/>
                <w:highlight w:val="none"/>
                <w:lang w:val="zh-CN" w:bidi="zh-CN"/>
              </w:rPr>
            </w:pPr>
            <w:r>
              <w:rPr>
                <w:rFonts w:hint="eastAsia" w:ascii="Times New Roman" w:hAnsi="Times New Roman"/>
                <w:color w:val="auto"/>
                <w:sz w:val="21"/>
                <w:szCs w:val="21"/>
                <w:highlight w:val="none"/>
              </w:rPr>
              <w:t>20</w:t>
            </w:r>
            <w:r>
              <w:rPr>
                <w:rFonts w:ascii="Times New Roman" w:hAnsi="Times New Roman"/>
                <w:color w:val="auto"/>
                <w:sz w:val="21"/>
                <w:szCs w:val="21"/>
                <w:highlight w:val="none"/>
              </w:rPr>
              <w:t>户/</w:t>
            </w:r>
            <w:r>
              <w:rPr>
                <w:rFonts w:hint="eastAsia" w:ascii="Times New Roman" w:hAnsi="Times New Roman"/>
                <w:color w:val="auto"/>
                <w:sz w:val="21"/>
                <w:szCs w:val="21"/>
                <w:highlight w:val="none"/>
              </w:rPr>
              <w:t>70</w:t>
            </w:r>
            <w:r>
              <w:rPr>
                <w:rFonts w:ascii="Times New Roman" w:hAnsi="Times New Roman"/>
                <w:color w:val="auto"/>
                <w:sz w:val="21"/>
                <w:szCs w:val="21"/>
                <w:highlight w:val="none"/>
              </w:rPr>
              <w:t>人</w:t>
            </w:r>
          </w:p>
        </w:tc>
      </w:tr>
      <w:tr w14:paraId="27801746">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851" w:type="dxa"/>
            <w:vMerge w:val="continue"/>
            <w:tcBorders>
              <w:tl2br w:val="nil"/>
              <w:tr2bl w:val="nil"/>
            </w:tcBorders>
            <w:vAlign w:val="center"/>
          </w:tcPr>
          <w:p w14:paraId="0D7DD952">
            <w:pPr>
              <w:ind w:left="-105" w:right="-105"/>
              <w:jc w:val="center"/>
              <w:rPr>
                <w:rFonts w:ascii="Times New Roman" w:hAnsi="Times New Roman"/>
                <w:color w:val="auto"/>
                <w:sz w:val="21"/>
                <w:szCs w:val="21"/>
                <w:highlight w:val="none"/>
                <w:lang w:val="zh-CN" w:bidi="zh-CN"/>
              </w:rPr>
            </w:pPr>
          </w:p>
        </w:tc>
        <w:tc>
          <w:tcPr>
            <w:tcW w:w="704" w:type="dxa"/>
            <w:tcBorders>
              <w:tl2br w:val="nil"/>
              <w:tr2bl w:val="nil"/>
            </w:tcBorders>
            <w:vAlign w:val="center"/>
          </w:tcPr>
          <w:p w14:paraId="7158B120">
            <w:pPr>
              <w:pStyle w:val="97"/>
              <w:numPr>
                <w:ilvl w:val="0"/>
                <w:numId w:val="13"/>
              </w:numPr>
              <w:ind w:left="-105" w:right="-105" w:firstLineChars="0"/>
              <w:jc w:val="center"/>
              <w:rPr>
                <w:rFonts w:eastAsia="宋体"/>
                <w:color w:val="auto"/>
                <w:kern w:val="0"/>
                <w:sz w:val="21"/>
                <w:szCs w:val="21"/>
                <w:highlight w:val="none"/>
                <w:lang w:val="zh-CN" w:bidi="zh-CN"/>
              </w:rPr>
            </w:pPr>
          </w:p>
        </w:tc>
        <w:tc>
          <w:tcPr>
            <w:tcW w:w="2131" w:type="dxa"/>
            <w:gridSpan w:val="3"/>
            <w:tcBorders>
              <w:tl2br w:val="nil"/>
              <w:tr2bl w:val="nil"/>
            </w:tcBorders>
            <w:shd w:val="clear" w:color="auto" w:fill="auto"/>
            <w:vAlign w:val="center"/>
          </w:tcPr>
          <w:p w14:paraId="1A3C44B0">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南园上</w:t>
            </w:r>
          </w:p>
        </w:tc>
        <w:tc>
          <w:tcPr>
            <w:tcW w:w="1100" w:type="dxa"/>
            <w:gridSpan w:val="3"/>
            <w:tcBorders>
              <w:tl2br w:val="nil"/>
              <w:tr2bl w:val="nil"/>
            </w:tcBorders>
            <w:shd w:val="clear" w:color="auto" w:fill="auto"/>
            <w:vAlign w:val="center"/>
          </w:tcPr>
          <w:p w14:paraId="57D015F5">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NW</w:t>
            </w:r>
          </w:p>
        </w:tc>
        <w:tc>
          <w:tcPr>
            <w:tcW w:w="1278" w:type="dxa"/>
            <w:gridSpan w:val="3"/>
            <w:tcBorders>
              <w:tl2br w:val="nil"/>
              <w:tr2bl w:val="nil"/>
            </w:tcBorders>
            <w:shd w:val="clear" w:color="auto" w:fill="auto"/>
            <w:vAlign w:val="center"/>
          </w:tcPr>
          <w:p w14:paraId="0C004ABE">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3253</w:t>
            </w:r>
          </w:p>
        </w:tc>
        <w:tc>
          <w:tcPr>
            <w:tcW w:w="1238" w:type="dxa"/>
            <w:gridSpan w:val="3"/>
            <w:tcBorders>
              <w:tl2br w:val="nil"/>
              <w:tr2bl w:val="nil"/>
            </w:tcBorders>
            <w:shd w:val="clear" w:color="auto" w:fill="auto"/>
            <w:vAlign w:val="center"/>
          </w:tcPr>
          <w:p w14:paraId="7CDEF7FD">
            <w:pPr>
              <w:ind w:left="-105" w:right="-105"/>
              <w:jc w:val="center"/>
              <w:rPr>
                <w:rFonts w:ascii="Times New Roman" w:hAnsi="Times New Roman"/>
                <w:color w:val="auto"/>
                <w:sz w:val="21"/>
                <w:szCs w:val="21"/>
                <w:highlight w:val="none"/>
                <w:lang w:val="zh-CN" w:bidi="zh-CN"/>
              </w:rPr>
            </w:pPr>
            <w:r>
              <w:rPr>
                <w:rFonts w:ascii="Times New Roman" w:hAnsi="Times New Roman"/>
                <w:color w:val="auto"/>
                <w:sz w:val="21"/>
                <w:szCs w:val="21"/>
                <w:highlight w:val="none"/>
              </w:rPr>
              <w:t>居住区</w:t>
            </w:r>
          </w:p>
        </w:tc>
        <w:tc>
          <w:tcPr>
            <w:tcW w:w="1748" w:type="dxa"/>
            <w:tcBorders>
              <w:tl2br w:val="nil"/>
              <w:tr2bl w:val="nil"/>
            </w:tcBorders>
            <w:shd w:val="clear" w:color="auto" w:fill="auto"/>
            <w:vAlign w:val="center"/>
          </w:tcPr>
          <w:p w14:paraId="4AAE1EFF">
            <w:pPr>
              <w:ind w:left="-105" w:right="-105"/>
              <w:jc w:val="center"/>
              <w:rPr>
                <w:rFonts w:ascii="Times New Roman" w:hAnsi="Times New Roman"/>
                <w:color w:val="auto"/>
                <w:sz w:val="21"/>
                <w:szCs w:val="21"/>
                <w:highlight w:val="none"/>
                <w:lang w:val="zh-CN" w:bidi="zh-CN"/>
              </w:rPr>
            </w:pPr>
            <w:r>
              <w:rPr>
                <w:rFonts w:hint="eastAsia" w:ascii="Times New Roman" w:hAnsi="Times New Roman"/>
                <w:color w:val="auto"/>
                <w:sz w:val="21"/>
                <w:szCs w:val="21"/>
                <w:highlight w:val="none"/>
              </w:rPr>
              <w:t>12</w:t>
            </w:r>
            <w:r>
              <w:rPr>
                <w:rFonts w:ascii="Times New Roman" w:hAnsi="Times New Roman"/>
                <w:color w:val="auto"/>
                <w:sz w:val="21"/>
                <w:szCs w:val="21"/>
                <w:highlight w:val="none"/>
              </w:rPr>
              <w:t>户/</w:t>
            </w:r>
            <w:r>
              <w:rPr>
                <w:rFonts w:hint="eastAsia" w:ascii="Times New Roman" w:hAnsi="Times New Roman"/>
                <w:color w:val="auto"/>
                <w:sz w:val="21"/>
                <w:szCs w:val="21"/>
                <w:highlight w:val="none"/>
              </w:rPr>
              <w:t>42</w:t>
            </w:r>
            <w:r>
              <w:rPr>
                <w:rFonts w:ascii="Times New Roman" w:hAnsi="Times New Roman"/>
                <w:color w:val="auto"/>
                <w:sz w:val="21"/>
                <w:szCs w:val="21"/>
                <w:highlight w:val="none"/>
              </w:rPr>
              <w:t>人</w:t>
            </w:r>
          </w:p>
        </w:tc>
      </w:tr>
      <w:tr w14:paraId="5A9D0188">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649" w:hRule="atLeast"/>
          <w:jc w:val="center"/>
        </w:trPr>
        <w:tc>
          <w:tcPr>
            <w:tcW w:w="851" w:type="dxa"/>
            <w:vMerge w:val="continue"/>
            <w:tcBorders>
              <w:tl2br w:val="nil"/>
              <w:tr2bl w:val="nil"/>
            </w:tcBorders>
            <w:vAlign w:val="center"/>
          </w:tcPr>
          <w:p w14:paraId="16C03F97">
            <w:pPr>
              <w:ind w:left="-105" w:right="-105"/>
              <w:jc w:val="center"/>
              <w:rPr>
                <w:rFonts w:ascii="Times New Roman" w:hAnsi="Times New Roman"/>
                <w:color w:val="auto"/>
                <w:sz w:val="21"/>
                <w:szCs w:val="21"/>
                <w:highlight w:val="none"/>
                <w:lang w:val="zh-CN" w:bidi="zh-CN"/>
              </w:rPr>
            </w:pPr>
          </w:p>
        </w:tc>
        <w:tc>
          <w:tcPr>
            <w:tcW w:w="704" w:type="dxa"/>
            <w:tcBorders>
              <w:tl2br w:val="nil"/>
              <w:tr2bl w:val="nil"/>
            </w:tcBorders>
            <w:vAlign w:val="center"/>
          </w:tcPr>
          <w:p w14:paraId="72965BEA">
            <w:pPr>
              <w:pStyle w:val="97"/>
              <w:numPr>
                <w:ilvl w:val="0"/>
                <w:numId w:val="13"/>
              </w:numPr>
              <w:ind w:left="-105" w:right="-105" w:firstLineChars="0"/>
              <w:jc w:val="center"/>
              <w:rPr>
                <w:rFonts w:eastAsia="宋体"/>
                <w:color w:val="auto"/>
                <w:kern w:val="0"/>
                <w:sz w:val="21"/>
                <w:szCs w:val="21"/>
                <w:highlight w:val="none"/>
                <w:lang w:val="zh-CN" w:bidi="zh-CN"/>
              </w:rPr>
            </w:pPr>
          </w:p>
        </w:tc>
        <w:tc>
          <w:tcPr>
            <w:tcW w:w="2131" w:type="dxa"/>
            <w:gridSpan w:val="3"/>
            <w:tcBorders>
              <w:tl2br w:val="nil"/>
              <w:tr2bl w:val="nil"/>
            </w:tcBorders>
            <w:shd w:val="clear" w:color="auto" w:fill="auto"/>
            <w:vAlign w:val="center"/>
          </w:tcPr>
          <w:p w14:paraId="32BA496D">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万巷村</w:t>
            </w:r>
          </w:p>
        </w:tc>
        <w:tc>
          <w:tcPr>
            <w:tcW w:w="1100" w:type="dxa"/>
            <w:gridSpan w:val="3"/>
            <w:tcBorders>
              <w:tl2br w:val="nil"/>
              <w:tr2bl w:val="nil"/>
            </w:tcBorders>
            <w:shd w:val="clear" w:color="auto" w:fill="auto"/>
            <w:vAlign w:val="center"/>
          </w:tcPr>
          <w:p w14:paraId="68EBBDFF">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NW</w:t>
            </w:r>
          </w:p>
        </w:tc>
        <w:tc>
          <w:tcPr>
            <w:tcW w:w="1278" w:type="dxa"/>
            <w:gridSpan w:val="3"/>
            <w:tcBorders>
              <w:tl2br w:val="nil"/>
              <w:tr2bl w:val="nil"/>
            </w:tcBorders>
            <w:shd w:val="clear" w:color="auto" w:fill="auto"/>
            <w:vAlign w:val="center"/>
          </w:tcPr>
          <w:p w14:paraId="73B54543">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3523</w:t>
            </w:r>
          </w:p>
        </w:tc>
        <w:tc>
          <w:tcPr>
            <w:tcW w:w="1238" w:type="dxa"/>
            <w:gridSpan w:val="3"/>
            <w:tcBorders>
              <w:tl2br w:val="nil"/>
              <w:tr2bl w:val="nil"/>
            </w:tcBorders>
            <w:shd w:val="clear" w:color="auto" w:fill="auto"/>
            <w:vAlign w:val="center"/>
          </w:tcPr>
          <w:p w14:paraId="6A1C3394">
            <w:pPr>
              <w:ind w:left="-105" w:right="-105"/>
              <w:jc w:val="center"/>
              <w:rPr>
                <w:rFonts w:ascii="Times New Roman" w:hAnsi="Times New Roman"/>
                <w:color w:val="auto"/>
                <w:sz w:val="21"/>
                <w:szCs w:val="21"/>
                <w:highlight w:val="none"/>
                <w:lang w:val="zh-CN" w:bidi="zh-CN"/>
              </w:rPr>
            </w:pPr>
            <w:r>
              <w:rPr>
                <w:rFonts w:ascii="Times New Roman" w:hAnsi="Times New Roman"/>
                <w:color w:val="auto"/>
                <w:sz w:val="21"/>
                <w:szCs w:val="21"/>
                <w:highlight w:val="none"/>
              </w:rPr>
              <w:t>居住区</w:t>
            </w:r>
          </w:p>
        </w:tc>
        <w:tc>
          <w:tcPr>
            <w:tcW w:w="1748" w:type="dxa"/>
            <w:tcBorders>
              <w:tl2br w:val="nil"/>
              <w:tr2bl w:val="nil"/>
            </w:tcBorders>
            <w:shd w:val="clear" w:color="auto" w:fill="auto"/>
            <w:vAlign w:val="center"/>
          </w:tcPr>
          <w:p w14:paraId="7AC68616">
            <w:pPr>
              <w:ind w:left="-105" w:right="-105"/>
              <w:jc w:val="center"/>
              <w:rPr>
                <w:rFonts w:ascii="Times New Roman" w:hAnsi="Times New Roman"/>
                <w:color w:val="auto"/>
                <w:sz w:val="21"/>
                <w:szCs w:val="21"/>
                <w:highlight w:val="none"/>
                <w:lang w:val="zh-CN" w:bidi="zh-CN"/>
              </w:rPr>
            </w:pPr>
            <w:r>
              <w:rPr>
                <w:rFonts w:hint="eastAsia" w:ascii="Times New Roman" w:hAnsi="Times New Roman"/>
                <w:color w:val="auto"/>
                <w:sz w:val="21"/>
                <w:szCs w:val="21"/>
                <w:highlight w:val="none"/>
              </w:rPr>
              <w:t>20</w:t>
            </w:r>
            <w:r>
              <w:rPr>
                <w:rFonts w:ascii="Times New Roman" w:hAnsi="Times New Roman"/>
                <w:color w:val="auto"/>
                <w:sz w:val="21"/>
                <w:szCs w:val="21"/>
                <w:highlight w:val="none"/>
              </w:rPr>
              <w:t>户/</w:t>
            </w:r>
            <w:r>
              <w:rPr>
                <w:rFonts w:hint="eastAsia" w:ascii="Times New Roman" w:hAnsi="Times New Roman"/>
                <w:color w:val="auto"/>
                <w:sz w:val="21"/>
                <w:szCs w:val="21"/>
                <w:highlight w:val="none"/>
              </w:rPr>
              <w:t>70</w:t>
            </w:r>
            <w:r>
              <w:rPr>
                <w:rFonts w:ascii="Times New Roman" w:hAnsi="Times New Roman"/>
                <w:color w:val="auto"/>
                <w:sz w:val="21"/>
                <w:szCs w:val="21"/>
                <w:highlight w:val="none"/>
              </w:rPr>
              <w:t>人</w:t>
            </w:r>
          </w:p>
        </w:tc>
      </w:tr>
      <w:tr w14:paraId="71C5910D">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851" w:type="dxa"/>
            <w:vMerge w:val="continue"/>
            <w:tcBorders>
              <w:tl2br w:val="nil"/>
              <w:tr2bl w:val="nil"/>
            </w:tcBorders>
            <w:vAlign w:val="center"/>
          </w:tcPr>
          <w:p w14:paraId="44E054F7">
            <w:pPr>
              <w:ind w:left="-105" w:right="-105"/>
              <w:jc w:val="center"/>
              <w:rPr>
                <w:rFonts w:ascii="Times New Roman" w:hAnsi="Times New Roman"/>
                <w:color w:val="auto"/>
                <w:sz w:val="21"/>
                <w:szCs w:val="21"/>
                <w:highlight w:val="none"/>
                <w:lang w:val="zh-CN" w:bidi="zh-CN"/>
              </w:rPr>
            </w:pPr>
          </w:p>
        </w:tc>
        <w:tc>
          <w:tcPr>
            <w:tcW w:w="704" w:type="dxa"/>
            <w:tcBorders>
              <w:tl2br w:val="nil"/>
              <w:tr2bl w:val="nil"/>
            </w:tcBorders>
            <w:vAlign w:val="center"/>
          </w:tcPr>
          <w:p w14:paraId="7E1CF297">
            <w:pPr>
              <w:pStyle w:val="97"/>
              <w:numPr>
                <w:ilvl w:val="0"/>
                <w:numId w:val="13"/>
              </w:numPr>
              <w:ind w:left="-105" w:right="-105" w:firstLineChars="0"/>
              <w:jc w:val="center"/>
              <w:rPr>
                <w:rFonts w:eastAsia="宋体"/>
                <w:color w:val="auto"/>
                <w:kern w:val="0"/>
                <w:sz w:val="21"/>
                <w:szCs w:val="21"/>
                <w:highlight w:val="none"/>
                <w:lang w:val="zh-CN" w:bidi="zh-CN"/>
              </w:rPr>
            </w:pPr>
          </w:p>
        </w:tc>
        <w:tc>
          <w:tcPr>
            <w:tcW w:w="2131" w:type="dxa"/>
            <w:gridSpan w:val="3"/>
            <w:tcBorders>
              <w:tl2br w:val="nil"/>
              <w:tr2bl w:val="nil"/>
            </w:tcBorders>
            <w:shd w:val="clear" w:color="auto" w:fill="auto"/>
            <w:vAlign w:val="center"/>
          </w:tcPr>
          <w:p w14:paraId="7EFD8EEA">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贺巷</w:t>
            </w:r>
          </w:p>
        </w:tc>
        <w:tc>
          <w:tcPr>
            <w:tcW w:w="1100" w:type="dxa"/>
            <w:gridSpan w:val="3"/>
            <w:tcBorders>
              <w:tl2br w:val="nil"/>
              <w:tr2bl w:val="nil"/>
            </w:tcBorders>
            <w:shd w:val="clear" w:color="auto" w:fill="auto"/>
            <w:vAlign w:val="center"/>
          </w:tcPr>
          <w:p w14:paraId="1883BF2D">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NW</w:t>
            </w:r>
          </w:p>
        </w:tc>
        <w:tc>
          <w:tcPr>
            <w:tcW w:w="1278" w:type="dxa"/>
            <w:gridSpan w:val="3"/>
            <w:tcBorders>
              <w:tl2br w:val="nil"/>
              <w:tr2bl w:val="nil"/>
            </w:tcBorders>
            <w:shd w:val="clear" w:color="auto" w:fill="auto"/>
            <w:vAlign w:val="center"/>
          </w:tcPr>
          <w:p w14:paraId="3A946D3E">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3536</w:t>
            </w:r>
          </w:p>
        </w:tc>
        <w:tc>
          <w:tcPr>
            <w:tcW w:w="1238" w:type="dxa"/>
            <w:gridSpan w:val="3"/>
            <w:tcBorders>
              <w:tl2br w:val="nil"/>
              <w:tr2bl w:val="nil"/>
            </w:tcBorders>
            <w:shd w:val="clear" w:color="auto" w:fill="auto"/>
            <w:vAlign w:val="center"/>
          </w:tcPr>
          <w:p w14:paraId="2CAA7AF1">
            <w:pPr>
              <w:ind w:left="-105" w:right="-105"/>
              <w:jc w:val="center"/>
              <w:rPr>
                <w:rFonts w:ascii="Times New Roman" w:hAnsi="Times New Roman"/>
                <w:color w:val="auto"/>
                <w:sz w:val="21"/>
                <w:szCs w:val="21"/>
                <w:highlight w:val="none"/>
                <w:lang w:val="zh-CN" w:bidi="zh-CN"/>
              </w:rPr>
            </w:pPr>
            <w:r>
              <w:rPr>
                <w:rFonts w:ascii="Times New Roman" w:hAnsi="Times New Roman"/>
                <w:color w:val="auto"/>
                <w:sz w:val="21"/>
                <w:szCs w:val="21"/>
                <w:highlight w:val="none"/>
              </w:rPr>
              <w:t>居住区</w:t>
            </w:r>
          </w:p>
        </w:tc>
        <w:tc>
          <w:tcPr>
            <w:tcW w:w="1748" w:type="dxa"/>
            <w:tcBorders>
              <w:tl2br w:val="nil"/>
              <w:tr2bl w:val="nil"/>
            </w:tcBorders>
            <w:shd w:val="clear" w:color="auto" w:fill="auto"/>
            <w:vAlign w:val="center"/>
          </w:tcPr>
          <w:p w14:paraId="083CC250">
            <w:pPr>
              <w:ind w:left="-105" w:right="-105"/>
              <w:jc w:val="center"/>
              <w:rPr>
                <w:rFonts w:ascii="Times New Roman" w:hAnsi="Times New Roman"/>
                <w:color w:val="auto"/>
                <w:sz w:val="21"/>
                <w:szCs w:val="21"/>
                <w:highlight w:val="none"/>
                <w:lang w:val="zh-CN" w:bidi="zh-CN"/>
              </w:rPr>
            </w:pPr>
            <w:r>
              <w:rPr>
                <w:rFonts w:hint="eastAsia" w:ascii="Times New Roman" w:hAnsi="Times New Roman"/>
                <w:color w:val="auto"/>
                <w:sz w:val="21"/>
                <w:szCs w:val="21"/>
                <w:highlight w:val="none"/>
              </w:rPr>
              <w:t>120</w:t>
            </w:r>
            <w:r>
              <w:rPr>
                <w:rFonts w:ascii="Times New Roman" w:hAnsi="Times New Roman"/>
                <w:color w:val="auto"/>
                <w:sz w:val="21"/>
                <w:szCs w:val="21"/>
                <w:highlight w:val="none"/>
              </w:rPr>
              <w:t>户/</w:t>
            </w:r>
            <w:r>
              <w:rPr>
                <w:rFonts w:hint="eastAsia" w:ascii="Times New Roman" w:hAnsi="Times New Roman"/>
                <w:color w:val="auto"/>
                <w:sz w:val="21"/>
                <w:szCs w:val="21"/>
                <w:highlight w:val="none"/>
              </w:rPr>
              <w:t>420</w:t>
            </w:r>
            <w:r>
              <w:rPr>
                <w:rFonts w:ascii="Times New Roman" w:hAnsi="Times New Roman"/>
                <w:color w:val="auto"/>
                <w:sz w:val="21"/>
                <w:szCs w:val="21"/>
                <w:highlight w:val="none"/>
              </w:rPr>
              <w:t>人</w:t>
            </w:r>
          </w:p>
        </w:tc>
      </w:tr>
      <w:tr w14:paraId="49A74187">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851" w:type="dxa"/>
            <w:vMerge w:val="continue"/>
            <w:tcBorders>
              <w:tl2br w:val="nil"/>
              <w:tr2bl w:val="nil"/>
            </w:tcBorders>
            <w:vAlign w:val="center"/>
          </w:tcPr>
          <w:p w14:paraId="30B7DD9E">
            <w:pPr>
              <w:ind w:left="-105" w:right="-105"/>
              <w:jc w:val="center"/>
              <w:rPr>
                <w:rFonts w:ascii="Times New Roman" w:hAnsi="Times New Roman"/>
                <w:color w:val="auto"/>
                <w:sz w:val="21"/>
                <w:szCs w:val="21"/>
                <w:highlight w:val="none"/>
                <w:lang w:val="zh-CN" w:bidi="zh-CN"/>
              </w:rPr>
            </w:pPr>
          </w:p>
        </w:tc>
        <w:tc>
          <w:tcPr>
            <w:tcW w:w="704" w:type="dxa"/>
            <w:tcBorders>
              <w:tl2br w:val="nil"/>
              <w:tr2bl w:val="nil"/>
            </w:tcBorders>
            <w:vAlign w:val="center"/>
          </w:tcPr>
          <w:p w14:paraId="574733A7">
            <w:pPr>
              <w:pStyle w:val="97"/>
              <w:numPr>
                <w:ilvl w:val="0"/>
                <w:numId w:val="13"/>
              </w:numPr>
              <w:ind w:left="-105" w:right="-105" w:firstLineChars="0"/>
              <w:jc w:val="center"/>
              <w:rPr>
                <w:rFonts w:eastAsia="宋体"/>
                <w:color w:val="auto"/>
                <w:kern w:val="0"/>
                <w:sz w:val="21"/>
                <w:szCs w:val="21"/>
                <w:highlight w:val="none"/>
                <w:lang w:val="zh-CN" w:bidi="zh-CN"/>
              </w:rPr>
            </w:pPr>
          </w:p>
        </w:tc>
        <w:tc>
          <w:tcPr>
            <w:tcW w:w="2131" w:type="dxa"/>
            <w:gridSpan w:val="3"/>
            <w:tcBorders>
              <w:tl2br w:val="nil"/>
              <w:tr2bl w:val="nil"/>
            </w:tcBorders>
            <w:shd w:val="clear" w:color="auto" w:fill="auto"/>
            <w:vAlign w:val="center"/>
          </w:tcPr>
          <w:p w14:paraId="435AA05B">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水渠里</w:t>
            </w:r>
          </w:p>
        </w:tc>
        <w:tc>
          <w:tcPr>
            <w:tcW w:w="1100" w:type="dxa"/>
            <w:gridSpan w:val="3"/>
            <w:tcBorders>
              <w:tl2br w:val="nil"/>
              <w:tr2bl w:val="nil"/>
            </w:tcBorders>
            <w:shd w:val="clear" w:color="auto" w:fill="auto"/>
            <w:vAlign w:val="center"/>
          </w:tcPr>
          <w:p w14:paraId="2AE5DCDC">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NW</w:t>
            </w:r>
          </w:p>
        </w:tc>
        <w:tc>
          <w:tcPr>
            <w:tcW w:w="1278" w:type="dxa"/>
            <w:gridSpan w:val="3"/>
            <w:tcBorders>
              <w:tl2br w:val="nil"/>
              <w:tr2bl w:val="nil"/>
            </w:tcBorders>
            <w:shd w:val="clear" w:color="auto" w:fill="auto"/>
            <w:vAlign w:val="center"/>
          </w:tcPr>
          <w:p w14:paraId="2A34F7C0">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4120</w:t>
            </w:r>
          </w:p>
        </w:tc>
        <w:tc>
          <w:tcPr>
            <w:tcW w:w="1238" w:type="dxa"/>
            <w:gridSpan w:val="3"/>
            <w:tcBorders>
              <w:tl2br w:val="nil"/>
              <w:tr2bl w:val="nil"/>
            </w:tcBorders>
            <w:shd w:val="clear" w:color="auto" w:fill="auto"/>
            <w:vAlign w:val="center"/>
          </w:tcPr>
          <w:p w14:paraId="5E93E1AB">
            <w:pPr>
              <w:ind w:left="-105" w:right="-105"/>
              <w:jc w:val="center"/>
              <w:rPr>
                <w:rFonts w:ascii="Times New Roman" w:hAnsi="Times New Roman"/>
                <w:color w:val="auto"/>
                <w:sz w:val="21"/>
                <w:szCs w:val="21"/>
                <w:highlight w:val="none"/>
                <w:lang w:val="zh-CN" w:bidi="zh-CN"/>
              </w:rPr>
            </w:pPr>
            <w:r>
              <w:rPr>
                <w:rFonts w:ascii="Times New Roman" w:hAnsi="Times New Roman"/>
                <w:color w:val="auto"/>
                <w:sz w:val="21"/>
                <w:szCs w:val="21"/>
                <w:highlight w:val="none"/>
              </w:rPr>
              <w:t>居住区</w:t>
            </w:r>
          </w:p>
        </w:tc>
        <w:tc>
          <w:tcPr>
            <w:tcW w:w="1748" w:type="dxa"/>
            <w:tcBorders>
              <w:tl2br w:val="nil"/>
              <w:tr2bl w:val="nil"/>
            </w:tcBorders>
            <w:shd w:val="clear" w:color="auto" w:fill="auto"/>
            <w:vAlign w:val="center"/>
          </w:tcPr>
          <w:p w14:paraId="2F3FB8EB">
            <w:pPr>
              <w:ind w:left="-105" w:right="-105"/>
              <w:jc w:val="center"/>
              <w:rPr>
                <w:rFonts w:ascii="Times New Roman" w:hAnsi="Times New Roman"/>
                <w:color w:val="auto"/>
                <w:sz w:val="21"/>
                <w:szCs w:val="21"/>
                <w:highlight w:val="none"/>
                <w:lang w:val="zh-CN" w:bidi="zh-CN"/>
              </w:rPr>
            </w:pPr>
            <w:r>
              <w:rPr>
                <w:rFonts w:hint="eastAsia" w:ascii="Times New Roman" w:hAnsi="Times New Roman"/>
                <w:color w:val="auto"/>
                <w:sz w:val="21"/>
                <w:szCs w:val="21"/>
                <w:highlight w:val="none"/>
              </w:rPr>
              <w:t>20</w:t>
            </w:r>
            <w:r>
              <w:rPr>
                <w:rFonts w:ascii="Times New Roman" w:hAnsi="Times New Roman"/>
                <w:color w:val="auto"/>
                <w:sz w:val="21"/>
                <w:szCs w:val="21"/>
                <w:highlight w:val="none"/>
              </w:rPr>
              <w:t>户/</w:t>
            </w:r>
            <w:r>
              <w:rPr>
                <w:rFonts w:hint="eastAsia" w:ascii="Times New Roman" w:hAnsi="Times New Roman"/>
                <w:color w:val="auto"/>
                <w:sz w:val="21"/>
                <w:szCs w:val="21"/>
                <w:highlight w:val="none"/>
              </w:rPr>
              <w:t>70</w:t>
            </w:r>
            <w:r>
              <w:rPr>
                <w:rFonts w:ascii="Times New Roman" w:hAnsi="Times New Roman"/>
                <w:color w:val="auto"/>
                <w:sz w:val="21"/>
                <w:szCs w:val="21"/>
                <w:highlight w:val="none"/>
              </w:rPr>
              <w:t>人</w:t>
            </w:r>
          </w:p>
        </w:tc>
      </w:tr>
      <w:tr w14:paraId="05327E28">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851" w:type="dxa"/>
            <w:vMerge w:val="continue"/>
            <w:tcBorders>
              <w:tl2br w:val="nil"/>
              <w:tr2bl w:val="nil"/>
            </w:tcBorders>
            <w:vAlign w:val="center"/>
          </w:tcPr>
          <w:p w14:paraId="7A82EC92">
            <w:pPr>
              <w:ind w:left="-105" w:right="-105"/>
              <w:jc w:val="center"/>
              <w:rPr>
                <w:rFonts w:ascii="Times New Roman" w:hAnsi="Times New Roman"/>
                <w:color w:val="auto"/>
                <w:sz w:val="21"/>
                <w:szCs w:val="21"/>
                <w:highlight w:val="none"/>
                <w:lang w:val="zh-CN" w:bidi="zh-CN"/>
              </w:rPr>
            </w:pPr>
          </w:p>
        </w:tc>
        <w:tc>
          <w:tcPr>
            <w:tcW w:w="704" w:type="dxa"/>
            <w:tcBorders>
              <w:tl2br w:val="nil"/>
              <w:tr2bl w:val="nil"/>
            </w:tcBorders>
            <w:vAlign w:val="center"/>
          </w:tcPr>
          <w:p w14:paraId="2C21491C">
            <w:pPr>
              <w:pStyle w:val="97"/>
              <w:numPr>
                <w:ilvl w:val="0"/>
                <w:numId w:val="13"/>
              </w:numPr>
              <w:ind w:left="-105" w:right="-105" w:firstLineChars="0"/>
              <w:jc w:val="center"/>
              <w:rPr>
                <w:rFonts w:eastAsia="宋体"/>
                <w:color w:val="auto"/>
                <w:kern w:val="0"/>
                <w:sz w:val="21"/>
                <w:szCs w:val="21"/>
                <w:highlight w:val="none"/>
                <w:lang w:val="zh-CN" w:bidi="zh-CN"/>
              </w:rPr>
            </w:pPr>
          </w:p>
        </w:tc>
        <w:tc>
          <w:tcPr>
            <w:tcW w:w="2131" w:type="dxa"/>
            <w:gridSpan w:val="3"/>
            <w:tcBorders>
              <w:tl2br w:val="nil"/>
              <w:tr2bl w:val="nil"/>
            </w:tcBorders>
            <w:shd w:val="clear" w:color="auto" w:fill="auto"/>
            <w:vAlign w:val="center"/>
          </w:tcPr>
          <w:p w14:paraId="6BF84E12">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无锡市天元技工学校</w:t>
            </w:r>
          </w:p>
        </w:tc>
        <w:tc>
          <w:tcPr>
            <w:tcW w:w="1100" w:type="dxa"/>
            <w:gridSpan w:val="3"/>
            <w:tcBorders>
              <w:tl2br w:val="nil"/>
              <w:tr2bl w:val="nil"/>
            </w:tcBorders>
            <w:shd w:val="clear" w:color="auto" w:fill="auto"/>
            <w:vAlign w:val="center"/>
          </w:tcPr>
          <w:p w14:paraId="421F21D2">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NW</w:t>
            </w:r>
          </w:p>
        </w:tc>
        <w:tc>
          <w:tcPr>
            <w:tcW w:w="1278" w:type="dxa"/>
            <w:gridSpan w:val="3"/>
            <w:tcBorders>
              <w:tl2br w:val="nil"/>
              <w:tr2bl w:val="nil"/>
            </w:tcBorders>
            <w:shd w:val="clear" w:color="auto" w:fill="auto"/>
            <w:vAlign w:val="center"/>
          </w:tcPr>
          <w:p w14:paraId="551FDD78">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4515</w:t>
            </w:r>
          </w:p>
        </w:tc>
        <w:tc>
          <w:tcPr>
            <w:tcW w:w="1238" w:type="dxa"/>
            <w:gridSpan w:val="3"/>
            <w:tcBorders>
              <w:tl2br w:val="nil"/>
              <w:tr2bl w:val="nil"/>
            </w:tcBorders>
            <w:shd w:val="clear" w:color="auto" w:fill="auto"/>
            <w:vAlign w:val="center"/>
          </w:tcPr>
          <w:p w14:paraId="1777D241">
            <w:pPr>
              <w:ind w:left="-105" w:right="-105"/>
              <w:jc w:val="center"/>
              <w:rPr>
                <w:rFonts w:ascii="Times New Roman" w:hAnsi="Times New Roman"/>
                <w:color w:val="auto"/>
                <w:sz w:val="21"/>
                <w:szCs w:val="21"/>
                <w:highlight w:val="none"/>
                <w:lang w:val="zh-CN" w:bidi="zh-CN"/>
              </w:rPr>
            </w:pPr>
            <w:r>
              <w:rPr>
                <w:rFonts w:hint="eastAsia" w:ascii="Times New Roman" w:hAnsi="Times New Roman"/>
                <w:color w:val="auto"/>
                <w:sz w:val="21"/>
                <w:szCs w:val="21"/>
                <w:highlight w:val="none"/>
              </w:rPr>
              <w:t>文化</w:t>
            </w:r>
            <w:r>
              <w:rPr>
                <w:rFonts w:ascii="Times New Roman" w:hAnsi="Times New Roman"/>
                <w:color w:val="auto"/>
                <w:sz w:val="21"/>
                <w:szCs w:val="21"/>
                <w:highlight w:val="none"/>
              </w:rPr>
              <w:t>区</w:t>
            </w:r>
          </w:p>
        </w:tc>
        <w:tc>
          <w:tcPr>
            <w:tcW w:w="1748" w:type="dxa"/>
            <w:tcBorders>
              <w:tl2br w:val="nil"/>
              <w:tr2bl w:val="nil"/>
            </w:tcBorders>
            <w:shd w:val="clear" w:color="auto" w:fill="auto"/>
            <w:vAlign w:val="center"/>
          </w:tcPr>
          <w:p w14:paraId="5158353F">
            <w:pPr>
              <w:ind w:left="-105" w:right="-105"/>
              <w:jc w:val="center"/>
              <w:rPr>
                <w:rFonts w:ascii="Times New Roman" w:hAnsi="Times New Roman"/>
                <w:color w:val="auto"/>
                <w:sz w:val="21"/>
                <w:szCs w:val="21"/>
                <w:highlight w:val="none"/>
                <w:lang w:val="zh-CN" w:bidi="zh-CN"/>
              </w:rPr>
            </w:pPr>
            <w:r>
              <w:rPr>
                <w:rFonts w:hint="eastAsia" w:ascii="Times New Roman" w:hAnsi="Times New Roman"/>
                <w:color w:val="auto"/>
                <w:sz w:val="21"/>
                <w:szCs w:val="21"/>
                <w:highlight w:val="none"/>
              </w:rPr>
              <w:t>600</w:t>
            </w:r>
            <w:r>
              <w:rPr>
                <w:rFonts w:ascii="Times New Roman" w:hAnsi="Times New Roman"/>
                <w:color w:val="auto"/>
                <w:sz w:val="21"/>
                <w:szCs w:val="21"/>
                <w:highlight w:val="none"/>
              </w:rPr>
              <w:t>人</w:t>
            </w:r>
          </w:p>
        </w:tc>
      </w:tr>
      <w:tr w14:paraId="4D46811D">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851" w:type="dxa"/>
            <w:vMerge w:val="continue"/>
            <w:tcBorders>
              <w:tl2br w:val="nil"/>
              <w:tr2bl w:val="nil"/>
            </w:tcBorders>
            <w:vAlign w:val="center"/>
          </w:tcPr>
          <w:p w14:paraId="4517C8F9">
            <w:pPr>
              <w:ind w:left="-105" w:right="-105"/>
              <w:jc w:val="center"/>
              <w:rPr>
                <w:rFonts w:ascii="Times New Roman" w:hAnsi="Times New Roman"/>
                <w:color w:val="auto"/>
                <w:sz w:val="21"/>
                <w:szCs w:val="21"/>
                <w:highlight w:val="none"/>
                <w:lang w:val="zh-CN" w:bidi="zh-CN"/>
              </w:rPr>
            </w:pPr>
          </w:p>
        </w:tc>
        <w:tc>
          <w:tcPr>
            <w:tcW w:w="704" w:type="dxa"/>
            <w:tcBorders>
              <w:tl2br w:val="nil"/>
              <w:tr2bl w:val="nil"/>
            </w:tcBorders>
            <w:vAlign w:val="center"/>
          </w:tcPr>
          <w:p w14:paraId="36CA839B">
            <w:pPr>
              <w:pStyle w:val="97"/>
              <w:numPr>
                <w:ilvl w:val="0"/>
                <w:numId w:val="13"/>
              </w:numPr>
              <w:ind w:left="-105" w:right="-105" w:firstLineChars="0"/>
              <w:jc w:val="center"/>
              <w:rPr>
                <w:rFonts w:eastAsia="宋体"/>
                <w:color w:val="auto"/>
                <w:kern w:val="0"/>
                <w:sz w:val="21"/>
                <w:szCs w:val="21"/>
                <w:highlight w:val="none"/>
                <w:lang w:val="zh-CN" w:bidi="zh-CN"/>
              </w:rPr>
            </w:pPr>
          </w:p>
        </w:tc>
        <w:tc>
          <w:tcPr>
            <w:tcW w:w="2131" w:type="dxa"/>
            <w:gridSpan w:val="3"/>
            <w:tcBorders>
              <w:tl2br w:val="nil"/>
              <w:tr2bl w:val="nil"/>
            </w:tcBorders>
            <w:shd w:val="clear" w:color="auto" w:fill="auto"/>
            <w:vAlign w:val="center"/>
          </w:tcPr>
          <w:p w14:paraId="41C97682">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长安中学</w:t>
            </w:r>
          </w:p>
        </w:tc>
        <w:tc>
          <w:tcPr>
            <w:tcW w:w="1100" w:type="dxa"/>
            <w:gridSpan w:val="3"/>
            <w:tcBorders>
              <w:tl2br w:val="nil"/>
              <w:tr2bl w:val="nil"/>
            </w:tcBorders>
            <w:shd w:val="clear" w:color="auto" w:fill="auto"/>
            <w:vAlign w:val="center"/>
          </w:tcPr>
          <w:p w14:paraId="1602551D">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NW</w:t>
            </w:r>
          </w:p>
        </w:tc>
        <w:tc>
          <w:tcPr>
            <w:tcW w:w="1278" w:type="dxa"/>
            <w:gridSpan w:val="3"/>
            <w:tcBorders>
              <w:tl2br w:val="nil"/>
              <w:tr2bl w:val="nil"/>
            </w:tcBorders>
            <w:shd w:val="clear" w:color="auto" w:fill="auto"/>
            <w:vAlign w:val="center"/>
          </w:tcPr>
          <w:p w14:paraId="1D515E8F">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4417</w:t>
            </w:r>
          </w:p>
        </w:tc>
        <w:tc>
          <w:tcPr>
            <w:tcW w:w="1238" w:type="dxa"/>
            <w:gridSpan w:val="3"/>
            <w:tcBorders>
              <w:tl2br w:val="nil"/>
              <w:tr2bl w:val="nil"/>
            </w:tcBorders>
            <w:shd w:val="clear" w:color="auto" w:fill="auto"/>
            <w:vAlign w:val="center"/>
          </w:tcPr>
          <w:p w14:paraId="41A26DA8">
            <w:pPr>
              <w:ind w:left="-105" w:right="-105"/>
              <w:jc w:val="center"/>
              <w:rPr>
                <w:rFonts w:ascii="Times New Roman" w:hAnsi="Times New Roman"/>
                <w:color w:val="auto"/>
                <w:sz w:val="21"/>
                <w:szCs w:val="21"/>
                <w:highlight w:val="none"/>
                <w:lang w:val="zh-CN" w:bidi="zh-CN"/>
              </w:rPr>
            </w:pPr>
            <w:r>
              <w:rPr>
                <w:rFonts w:hint="eastAsia" w:ascii="Times New Roman" w:hAnsi="Times New Roman"/>
                <w:color w:val="auto"/>
                <w:sz w:val="21"/>
                <w:szCs w:val="21"/>
                <w:highlight w:val="none"/>
              </w:rPr>
              <w:t>文化</w:t>
            </w:r>
            <w:r>
              <w:rPr>
                <w:rFonts w:ascii="Times New Roman" w:hAnsi="Times New Roman"/>
                <w:color w:val="auto"/>
                <w:sz w:val="21"/>
                <w:szCs w:val="21"/>
                <w:highlight w:val="none"/>
              </w:rPr>
              <w:t>区</w:t>
            </w:r>
          </w:p>
        </w:tc>
        <w:tc>
          <w:tcPr>
            <w:tcW w:w="1748" w:type="dxa"/>
            <w:tcBorders>
              <w:tl2br w:val="nil"/>
              <w:tr2bl w:val="nil"/>
            </w:tcBorders>
            <w:shd w:val="clear" w:color="auto" w:fill="auto"/>
            <w:vAlign w:val="center"/>
          </w:tcPr>
          <w:p w14:paraId="6A8D82D8">
            <w:pPr>
              <w:ind w:left="-105" w:right="-105"/>
              <w:jc w:val="center"/>
              <w:rPr>
                <w:rFonts w:ascii="Times New Roman" w:hAnsi="Times New Roman"/>
                <w:color w:val="auto"/>
                <w:sz w:val="21"/>
                <w:szCs w:val="21"/>
                <w:highlight w:val="none"/>
                <w:lang w:val="zh-CN" w:bidi="zh-CN"/>
              </w:rPr>
            </w:pPr>
            <w:r>
              <w:rPr>
                <w:rFonts w:hint="eastAsia" w:ascii="Times New Roman" w:hAnsi="Times New Roman"/>
                <w:color w:val="auto"/>
                <w:sz w:val="21"/>
                <w:szCs w:val="21"/>
                <w:highlight w:val="none"/>
              </w:rPr>
              <w:t>1700</w:t>
            </w:r>
            <w:r>
              <w:rPr>
                <w:rFonts w:ascii="Times New Roman" w:hAnsi="Times New Roman"/>
                <w:color w:val="auto"/>
                <w:sz w:val="21"/>
                <w:szCs w:val="21"/>
                <w:highlight w:val="none"/>
              </w:rPr>
              <w:t>人</w:t>
            </w:r>
          </w:p>
        </w:tc>
      </w:tr>
      <w:tr w14:paraId="1A199863">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851" w:type="dxa"/>
            <w:vMerge w:val="continue"/>
            <w:tcBorders>
              <w:tl2br w:val="nil"/>
              <w:tr2bl w:val="nil"/>
            </w:tcBorders>
            <w:vAlign w:val="center"/>
          </w:tcPr>
          <w:p w14:paraId="3F31C4D8">
            <w:pPr>
              <w:ind w:left="-105" w:right="-105"/>
              <w:jc w:val="center"/>
              <w:rPr>
                <w:rFonts w:ascii="Times New Roman" w:hAnsi="Times New Roman"/>
                <w:color w:val="auto"/>
                <w:sz w:val="21"/>
                <w:szCs w:val="21"/>
                <w:highlight w:val="none"/>
                <w:lang w:val="zh-CN" w:bidi="zh-CN"/>
              </w:rPr>
            </w:pPr>
          </w:p>
        </w:tc>
        <w:tc>
          <w:tcPr>
            <w:tcW w:w="704" w:type="dxa"/>
            <w:tcBorders>
              <w:tl2br w:val="nil"/>
              <w:tr2bl w:val="nil"/>
            </w:tcBorders>
            <w:vAlign w:val="center"/>
          </w:tcPr>
          <w:p w14:paraId="285303FA">
            <w:pPr>
              <w:pStyle w:val="97"/>
              <w:numPr>
                <w:ilvl w:val="0"/>
                <w:numId w:val="13"/>
              </w:numPr>
              <w:ind w:left="-105" w:right="-105" w:firstLineChars="0"/>
              <w:jc w:val="center"/>
              <w:rPr>
                <w:rFonts w:eastAsia="宋体"/>
                <w:color w:val="auto"/>
                <w:kern w:val="0"/>
                <w:sz w:val="21"/>
                <w:szCs w:val="21"/>
                <w:highlight w:val="none"/>
                <w:lang w:val="zh-CN" w:bidi="zh-CN"/>
              </w:rPr>
            </w:pPr>
          </w:p>
        </w:tc>
        <w:tc>
          <w:tcPr>
            <w:tcW w:w="2131" w:type="dxa"/>
            <w:gridSpan w:val="3"/>
            <w:tcBorders>
              <w:tl2br w:val="nil"/>
              <w:tr2bl w:val="nil"/>
            </w:tcBorders>
            <w:shd w:val="clear" w:color="auto" w:fill="auto"/>
            <w:vAlign w:val="center"/>
          </w:tcPr>
          <w:p w14:paraId="1264245A">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溪塘下</w:t>
            </w:r>
          </w:p>
        </w:tc>
        <w:tc>
          <w:tcPr>
            <w:tcW w:w="1100" w:type="dxa"/>
            <w:gridSpan w:val="3"/>
            <w:tcBorders>
              <w:tl2br w:val="nil"/>
              <w:tr2bl w:val="nil"/>
            </w:tcBorders>
            <w:shd w:val="clear" w:color="auto" w:fill="auto"/>
            <w:vAlign w:val="center"/>
          </w:tcPr>
          <w:p w14:paraId="1AF0E493">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NW</w:t>
            </w:r>
          </w:p>
        </w:tc>
        <w:tc>
          <w:tcPr>
            <w:tcW w:w="1278" w:type="dxa"/>
            <w:gridSpan w:val="3"/>
            <w:tcBorders>
              <w:tl2br w:val="nil"/>
              <w:tr2bl w:val="nil"/>
            </w:tcBorders>
            <w:shd w:val="clear" w:color="auto" w:fill="auto"/>
            <w:vAlign w:val="center"/>
          </w:tcPr>
          <w:p w14:paraId="1DD6907F">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1942</w:t>
            </w:r>
          </w:p>
        </w:tc>
        <w:tc>
          <w:tcPr>
            <w:tcW w:w="1238" w:type="dxa"/>
            <w:gridSpan w:val="3"/>
            <w:tcBorders>
              <w:tl2br w:val="nil"/>
              <w:tr2bl w:val="nil"/>
            </w:tcBorders>
            <w:shd w:val="clear" w:color="auto" w:fill="auto"/>
            <w:vAlign w:val="center"/>
          </w:tcPr>
          <w:p w14:paraId="61CAA327">
            <w:pPr>
              <w:ind w:left="-105" w:right="-105"/>
              <w:jc w:val="center"/>
              <w:rPr>
                <w:rFonts w:ascii="Times New Roman" w:hAnsi="Times New Roman"/>
                <w:color w:val="auto"/>
                <w:sz w:val="21"/>
                <w:szCs w:val="21"/>
                <w:highlight w:val="none"/>
                <w:lang w:val="zh-CN" w:bidi="zh-CN"/>
              </w:rPr>
            </w:pPr>
            <w:r>
              <w:rPr>
                <w:rFonts w:ascii="Times New Roman" w:hAnsi="Times New Roman"/>
                <w:color w:val="auto"/>
                <w:sz w:val="21"/>
                <w:szCs w:val="21"/>
                <w:highlight w:val="none"/>
              </w:rPr>
              <w:t>居住区</w:t>
            </w:r>
          </w:p>
        </w:tc>
        <w:tc>
          <w:tcPr>
            <w:tcW w:w="1748" w:type="dxa"/>
            <w:tcBorders>
              <w:tl2br w:val="nil"/>
              <w:tr2bl w:val="nil"/>
            </w:tcBorders>
            <w:shd w:val="clear" w:color="auto" w:fill="auto"/>
            <w:vAlign w:val="center"/>
          </w:tcPr>
          <w:p w14:paraId="3C61ED04">
            <w:pPr>
              <w:ind w:left="-105" w:right="-105"/>
              <w:jc w:val="center"/>
              <w:rPr>
                <w:rFonts w:ascii="Times New Roman" w:hAnsi="Times New Roman"/>
                <w:color w:val="auto"/>
                <w:sz w:val="21"/>
                <w:szCs w:val="21"/>
                <w:highlight w:val="none"/>
                <w:lang w:val="zh-CN" w:bidi="zh-CN"/>
              </w:rPr>
            </w:pPr>
            <w:r>
              <w:rPr>
                <w:rFonts w:hint="eastAsia" w:ascii="Times New Roman" w:hAnsi="Times New Roman"/>
                <w:color w:val="auto"/>
                <w:sz w:val="21"/>
                <w:szCs w:val="21"/>
                <w:highlight w:val="none"/>
              </w:rPr>
              <w:t>120</w:t>
            </w:r>
            <w:r>
              <w:rPr>
                <w:rFonts w:ascii="Times New Roman" w:hAnsi="Times New Roman"/>
                <w:color w:val="auto"/>
                <w:sz w:val="21"/>
                <w:szCs w:val="21"/>
                <w:highlight w:val="none"/>
              </w:rPr>
              <w:t>户/</w:t>
            </w:r>
            <w:r>
              <w:rPr>
                <w:rFonts w:hint="eastAsia" w:ascii="Times New Roman" w:hAnsi="Times New Roman"/>
                <w:color w:val="auto"/>
                <w:sz w:val="21"/>
                <w:szCs w:val="21"/>
                <w:highlight w:val="none"/>
              </w:rPr>
              <w:t>420</w:t>
            </w:r>
            <w:r>
              <w:rPr>
                <w:rFonts w:ascii="Times New Roman" w:hAnsi="Times New Roman"/>
                <w:color w:val="auto"/>
                <w:sz w:val="21"/>
                <w:szCs w:val="21"/>
                <w:highlight w:val="none"/>
              </w:rPr>
              <w:t>人</w:t>
            </w:r>
          </w:p>
        </w:tc>
      </w:tr>
      <w:tr w14:paraId="515692F7">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851" w:type="dxa"/>
            <w:vMerge w:val="continue"/>
            <w:tcBorders>
              <w:tl2br w:val="nil"/>
              <w:tr2bl w:val="nil"/>
            </w:tcBorders>
            <w:vAlign w:val="center"/>
          </w:tcPr>
          <w:p w14:paraId="13D5472C">
            <w:pPr>
              <w:ind w:left="-105" w:right="-105"/>
              <w:jc w:val="center"/>
              <w:rPr>
                <w:rFonts w:ascii="Times New Roman" w:hAnsi="Times New Roman"/>
                <w:color w:val="auto"/>
                <w:sz w:val="21"/>
                <w:szCs w:val="21"/>
                <w:highlight w:val="none"/>
                <w:lang w:val="zh-CN" w:bidi="zh-CN"/>
              </w:rPr>
            </w:pPr>
          </w:p>
        </w:tc>
        <w:tc>
          <w:tcPr>
            <w:tcW w:w="704" w:type="dxa"/>
            <w:tcBorders>
              <w:tl2br w:val="nil"/>
              <w:tr2bl w:val="nil"/>
            </w:tcBorders>
            <w:vAlign w:val="center"/>
          </w:tcPr>
          <w:p w14:paraId="39D7A1D2">
            <w:pPr>
              <w:pStyle w:val="97"/>
              <w:numPr>
                <w:ilvl w:val="0"/>
                <w:numId w:val="13"/>
              </w:numPr>
              <w:ind w:left="-105" w:right="-105" w:firstLineChars="0"/>
              <w:jc w:val="center"/>
              <w:rPr>
                <w:rFonts w:eastAsia="宋体"/>
                <w:color w:val="auto"/>
                <w:kern w:val="0"/>
                <w:sz w:val="21"/>
                <w:szCs w:val="21"/>
                <w:highlight w:val="none"/>
                <w:lang w:val="zh-CN" w:bidi="zh-CN"/>
              </w:rPr>
            </w:pPr>
          </w:p>
        </w:tc>
        <w:tc>
          <w:tcPr>
            <w:tcW w:w="2131" w:type="dxa"/>
            <w:gridSpan w:val="3"/>
            <w:tcBorders>
              <w:tl2br w:val="nil"/>
              <w:tr2bl w:val="nil"/>
            </w:tcBorders>
            <w:shd w:val="clear" w:color="auto" w:fill="auto"/>
            <w:vAlign w:val="center"/>
          </w:tcPr>
          <w:p w14:paraId="509F9FB3">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张步桥</w:t>
            </w:r>
          </w:p>
        </w:tc>
        <w:tc>
          <w:tcPr>
            <w:tcW w:w="1100" w:type="dxa"/>
            <w:gridSpan w:val="3"/>
            <w:tcBorders>
              <w:tl2br w:val="nil"/>
              <w:tr2bl w:val="nil"/>
            </w:tcBorders>
            <w:shd w:val="clear" w:color="auto" w:fill="auto"/>
            <w:vAlign w:val="center"/>
          </w:tcPr>
          <w:p w14:paraId="71B720BE">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NW</w:t>
            </w:r>
          </w:p>
        </w:tc>
        <w:tc>
          <w:tcPr>
            <w:tcW w:w="1278" w:type="dxa"/>
            <w:gridSpan w:val="3"/>
            <w:tcBorders>
              <w:tl2br w:val="nil"/>
              <w:tr2bl w:val="nil"/>
            </w:tcBorders>
            <w:shd w:val="clear" w:color="auto" w:fill="auto"/>
            <w:vAlign w:val="center"/>
          </w:tcPr>
          <w:p w14:paraId="5A702B12">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3003</w:t>
            </w:r>
          </w:p>
        </w:tc>
        <w:tc>
          <w:tcPr>
            <w:tcW w:w="1238" w:type="dxa"/>
            <w:gridSpan w:val="3"/>
            <w:tcBorders>
              <w:tl2br w:val="nil"/>
              <w:tr2bl w:val="nil"/>
            </w:tcBorders>
            <w:shd w:val="clear" w:color="auto" w:fill="auto"/>
            <w:vAlign w:val="center"/>
          </w:tcPr>
          <w:p w14:paraId="58EF6BCA">
            <w:pPr>
              <w:ind w:left="-105" w:right="-105"/>
              <w:jc w:val="center"/>
              <w:rPr>
                <w:rFonts w:ascii="Times New Roman" w:hAnsi="Times New Roman"/>
                <w:color w:val="auto"/>
                <w:sz w:val="21"/>
                <w:szCs w:val="21"/>
                <w:highlight w:val="none"/>
                <w:lang w:val="zh-CN" w:bidi="zh-CN"/>
              </w:rPr>
            </w:pPr>
            <w:r>
              <w:rPr>
                <w:rFonts w:ascii="Times New Roman" w:hAnsi="Times New Roman"/>
                <w:color w:val="auto"/>
                <w:sz w:val="21"/>
                <w:szCs w:val="21"/>
                <w:highlight w:val="none"/>
              </w:rPr>
              <w:t>居住区</w:t>
            </w:r>
          </w:p>
        </w:tc>
        <w:tc>
          <w:tcPr>
            <w:tcW w:w="1748" w:type="dxa"/>
            <w:tcBorders>
              <w:tl2br w:val="nil"/>
              <w:tr2bl w:val="nil"/>
            </w:tcBorders>
            <w:shd w:val="clear" w:color="auto" w:fill="auto"/>
            <w:vAlign w:val="center"/>
          </w:tcPr>
          <w:p w14:paraId="64E04464">
            <w:pPr>
              <w:ind w:left="-105" w:right="-105"/>
              <w:jc w:val="center"/>
              <w:rPr>
                <w:rFonts w:ascii="Times New Roman" w:hAnsi="Times New Roman"/>
                <w:color w:val="auto"/>
                <w:sz w:val="21"/>
                <w:szCs w:val="21"/>
                <w:highlight w:val="none"/>
                <w:lang w:val="zh-CN" w:bidi="zh-CN"/>
              </w:rPr>
            </w:pPr>
            <w:r>
              <w:rPr>
                <w:rFonts w:hint="eastAsia" w:ascii="Times New Roman" w:hAnsi="Times New Roman"/>
                <w:color w:val="auto"/>
                <w:sz w:val="21"/>
                <w:szCs w:val="21"/>
                <w:highlight w:val="none"/>
              </w:rPr>
              <w:t>50</w:t>
            </w:r>
            <w:r>
              <w:rPr>
                <w:rFonts w:ascii="Times New Roman" w:hAnsi="Times New Roman"/>
                <w:color w:val="auto"/>
                <w:sz w:val="21"/>
                <w:szCs w:val="21"/>
                <w:highlight w:val="none"/>
              </w:rPr>
              <w:t>户/</w:t>
            </w:r>
            <w:r>
              <w:rPr>
                <w:rFonts w:hint="eastAsia" w:ascii="Times New Roman" w:hAnsi="Times New Roman"/>
                <w:color w:val="auto"/>
                <w:sz w:val="21"/>
                <w:szCs w:val="21"/>
                <w:highlight w:val="none"/>
              </w:rPr>
              <w:t>175</w:t>
            </w:r>
            <w:r>
              <w:rPr>
                <w:rFonts w:ascii="Times New Roman" w:hAnsi="Times New Roman"/>
                <w:color w:val="auto"/>
                <w:sz w:val="21"/>
                <w:szCs w:val="21"/>
                <w:highlight w:val="none"/>
              </w:rPr>
              <w:t>人</w:t>
            </w:r>
          </w:p>
        </w:tc>
      </w:tr>
      <w:tr w14:paraId="48E67A14">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851" w:type="dxa"/>
            <w:vMerge w:val="continue"/>
            <w:tcBorders>
              <w:tl2br w:val="nil"/>
              <w:tr2bl w:val="nil"/>
            </w:tcBorders>
            <w:vAlign w:val="center"/>
          </w:tcPr>
          <w:p w14:paraId="7BB1F003">
            <w:pPr>
              <w:ind w:left="-105" w:right="-105"/>
              <w:jc w:val="center"/>
              <w:rPr>
                <w:rFonts w:ascii="Times New Roman" w:hAnsi="Times New Roman"/>
                <w:color w:val="auto"/>
                <w:sz w:val="21"/>
                <w:szCs w:val="21"/>
                <w:highlight w:val="none"/>
                <w:lang w:val="zh-CN" w:bidi="zh-CN"/>
              </w:rPr>
            </w:pPr>
          </w:p>
        </w:tc>
        <w:tc>
          <w:tcPr>
            <w:tcW w:w="704" w:type="dxa"/>
            <w:tcBorders>
              <w:tl2br w:val="nil"/>
              <w:tr2bl w:val="nil"/>
            </w:tcBorders>
            <w:vAlign w:val="center"/>
          </w:tcPr>
          <w:p w14:paraId="327497EA">
            <w:pPr>
              <w:pStyle w:val="97"/>
              <w:numPr>
                <w:ilvl w:val="0"/>
                <w:numId w:val="13"/>
              </w:numPr>
              <w:ind w:left="-105" w:right="-105" w:firstLineChars="0"/>
              <w:jc w:val="center"/>
              <w:rPr>
                <w:rFonts w:eastAsia="宋体"/>
                <w:color w:val="auto"/>
                <w:kern w:val="0"/>
                <w:sz w:val="21"/>
                <w:szCs w:val="21"/>
                <w:highlight w:val="none"/>
                <w:lang w:val="zh-CN" w:bidi="zh-CN"/>
              </w:rPr>
            </w:pPr>
          </w:p>
        </w:tc>
        <w:tc>
          <w:tcPr>
            <w:tcW w:w="2131" w:type="dxa"/>
            <w:gridSpan w:val="3"/>
            <w:tcBorders>
              <w:tl2br w:val="nil"/>
              <w:tr2bl w:val="nil"/>
            </w:tcBorders>
            <w:shd w:val="clear" w:color="auto" w:fill="auto"/>
            <w:vAlign w:val="center"/>
          </w:tcPr>
          <w:p w14:paraId="550A09D5">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国防教育学院</w:t>
            </w:r>
          </w:p>
        </w:tc>
        <w:tc>
          <w:tcPr>
            <w:tcW w:w="1100" w:type="dxa"/>
            <w:gridSpan w:val="3"/>
            <w:tcBorders>
              <w:tl2br w:val="nil"/>
              <w:tr2bl w:val="nil"/>
            </w:tcBorders>
            <w:shd w:val="clear" w:color="auto" w:fill="auto"/>
            <w:vAlign w:val="center"/>
          </w:tcPr>
          <w:p w14:paraId="67D99A48">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NW</w:t>
            </w:r>
          </w:p>
        </w:tc>
        <w:tc>
          <w:tcPr>
            <w:tcW w:w="1278" w:type="dxa"/>
            <w:gridSpan w:val="3"/>
            <w:tcBorders>
              <w:tl2br w:val="nil"/>
              <w:tr2bl w:val="nil"/>
            </w:tcBorders>
            <w:shd w:val="clear" w:color="auto" w:fill="auto"/>
            <w:vAlign w:val="center"/>
          </w:tcPr>
          <w:p w14:paraId="45FC857B">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4719</w:t>
            </w:r>
          </w:p>
        </w:tc>
        <w:tc>
          <w:tcPr>
            <w:tcW w:w="1238" w:type="dxa"/>
            <w:gridSpan w:val="3"/>
            <w:tcBorders>
              <w:tl2br w:val="nil"/>
              <w:tr2bl w:val="nil"/>
            </w:tcBorders>
            <w:shd w:val="clear" w:color="auto" w:fill="auto"/>
            <w:vAlign w:val="center"/>
          </w:tcPr>
          <w:p w14:paraId="431AAC98">
            <w:pPr>
              <w:ind w:left="-105" w:right="-105"/>
              <w:jc w:val="center"/>
              <w:rPr>
                <w:rFonts w:ascii="Times New Roman" w:hAnsi="Times New Roman"/>
                <w:color w:val="auto"/>
                <w:sz w:val="21"/>
                <w:szCs w:val="21"/>
                <w:highlight w:val="none"/>
                <w:lang w:val="zh-CN" w:bidi="zh-CN"/>
              </w:rPr>
            </w:pPr>
            <w:r>
              <w:rPr>
                <w:rFonts w:ascii="Times New Roman" w:hAnsi="Times New Roman"/>
                <w:color w:val="auto"/>
                <w:sz w:val="21"/>
                <w:szCs w:val="21"/>
                <w:highlight w:val="none"/>
              </w:rPr>
              <w:t>文化区</w:t>
            </w:r>
          </w:p>
        </w:tc>
        <w:tc>
          <w:tcPr>
            <w:tcW w:w="1748" w:type="dxa"/>
            <w:tcBorders>
              <w:tl2br w:val="nil"/>
              <w:tr2bl w:val="nil"/>
            </w:tcBorders>
            <w:shd w:val="clear" w:color="auto" w:fill="auto"/>
            <w:vAlign w:val="center"/>
          </w:tcPr>
          <w:p w14:paraId="7248F0B5">
            <w:pPr>
              <w:ind w:left="-105" w:right="-105"/>
              <w:jc w:val="center"/>
              <w:rPr>
                <w:rFonts w:ascii="Times New Roman" w:hAnsi="Times New Roman"/>
                <w:color w:val="auto"/>
                <w:sz w:val="21"/>
                <w:szCs w:val="21"/>
                <w:highlight w:val="none"/>
                <w:lang w:val="zh-CN" w:bidi="zh-CN"/>
              </w:rPr>
            </w:pPr>
            <w:r>
              <w:rPr>
                <w:rFonts w:hint="eastAsia" w:ascii="Times New Roman" w:hAnsi="Times New Roman"/>
                <w:color w:val="auto"/>
                <w:sz w:val="21"/>
                <w:szCs w:val="21"/>
                <w:highlight w:val="none"/>
              </w:rPr>
              <w:t>200</w:t>
            </w:r>
            <w:r>
              <w:rPr>
                <w:rFonts w:ascii="Times New Roman" w:hAnsi="Times New Roman"/>
                <w:color w:val="auto"/>
                <w:sz w:val="21"/>
                <w:szCs w:val="21"/>
                <w:highlight w:val="none"/>
              </w:rPr>
              <w:t>人</w:t>
            </w:r>
          </w:p>
        </w:tc>
      </w:tr>
      <w:tr w14:paraId="3B6B757F">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851" w:type="dxa"/>
            <w:vMerge w:val="continue"/>
            <w:tcBorders>
              <w:tl2br w:val="nil"/>
              <w:tr2bl w:val="nil"/>
            </w:tcBorders>
            <w:vAlign w:val="center"/>
          </w:tcPr>
          <w:p w14:paraId="0579224A">
            <w:pPr>
              <w:ind w:left="-105" w:right="-105"/>
              <w:jc w:val="center"/>
              <w:rPr>
                <w:rFonts w:ascii="Times New Roman" w:hAnsi="Times New Roman"/>
                <w:color w:val="auto"/>
                <w:sz w:val="21"/>
                <w:szCs w:val="21"/>
                <w:highlight w:val="none"/>
                <w:lang w:val="zh-CN" w:bidi="zh-CN"/>
              </w:rPr>
            </w:pPr>
          </w:p>
        </w:tc>
        <w:tc>
          <w:tcPr>
            <w:tcW w:w="704" w:type="dxa"/>
            <w:tcBorders>
              <w:tl2br w:val="nil"/>
              <w:tr2bl w:val="nil"/>
            </w:tcBorders>
            <w:vAlign w:val="center"/>
          </w:tcPr>
          <w:p w14:paraId="60C86FED">
            <w:pPr>
              <w:pStyle w:val="97"/>
              <w:numPr>
                <w:ilvl w:val="0"/>
                <w:numId w:val="13"/>
              </w:numPr>
              <w:ind w:left="-105" w:right="-105" w:firstLineChars="0"/>
              <w:jc w:val="center"/>
              <w:rPr>
                <w:rFonts w:eastAsia="宋体"/>
                <w:color w:val="auto"/>
                <w:kern w:val="0"/>
                <w:sz w:val="21"/>
                <w:szCs w:val="21"/>
                <w:highlight w:val="none"/>
                <w:lang w:val="zh-CN" w:bidi="zh-CN"/>
              </w:rPr>
            </w:pPr>
          </w:p>
        </w:tc>
        <w:tc>
          <w:tcPr>
            <w:tcW w:w="2131" w:type="dxa"/>
            <w:gridSpan w:val="3"/>
            <w:tcBorders>
              <w:tl2br w:val="nil"/>
              <w:tr2bl w:val="nil"/>
            </w:tcBorders>
            <w:shd w:val="clear" w:color="auto" w:fill="auto"/>
            <w:vAlign w:val="center"/>
          </w:tcPr>
          <w:p w14:paraId="60031CE6">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东庄</w:t>
            </w:r>
          </w:p>
        </w:tc>
        <w:tc>
          <w:tcPr>
            <w:tcW w:w="1100" w:type="dxa"/>
            <w:gridSpan w:val="3"/>
            <w:tcBorders>
              <w:tl2br w:val="nil"/>
              <w:tr2bl w:val="nil"/>
            </w:tcBorders>
            <w:shd w:val="clear" w:color="auto" w:fill="auto"/>
            <w:vAlign w:val="center"/>
          </w:tcPr>
          <w:p w14:paraId="02C8CF6B">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NW</w:t>
            </w:r>
          </w:p>
        </w:tc>
        <w:tc>
          <w:tcPr>
            <w:tcW w:w="1278" w:type="dxa"/>
            <w:gridSpan w:val="3"/>
            <w:tcBorders>
              <w:tl2br w:val="nil"/>
              <w:tr2bl w:val="nil"/>
            </w:tcBorders>
            <w:shd w:val="clear" w:color="auto" w:fill="auto"/>
            <w:vAlign w:val="center"/>
          </w:tcPr>
          <w:p w14:paraId="0C7A7358">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3417</w:t>
            </w:r>
          </w:p>
        </w:tc>
        <w:tc>
          <w:tcPr>
            <w:tcW w:w="1238" w:type="dxa"/>
            <w:gridSpan w:val="3"/>
            <w:tcBorders>
              <w:tl2br w:val="nil"/>
              <w:tr2bl w:val="nil"/>
            </w:tcBorders>
            <w:shd w:val="clear" w:color="auto" w:fill="auto"/>
            <w:vAlign w:val="center"/>
          </w:tcPr>
          <w:p w14:paraId="2D8CD6F7">
            <w:pPr>
              <w:ind w:left="-105" w:right="-105"/>
              <w:jc w:val="center"/>
              <w:rPr>
                <w:rFonts w:ascii="Times New Roman" w:hAnsi="Times New Roman"/>
                <w:color w:val="auto"/>
                <w:sz w:val="21"/>
                <w:szCs w:val="21"/>
                <w:highlight w:val="none"/>
                <w:lang w:val="zh-CN" w:bidi="zh-CN"/>
              </w:rPr>
            </w:pPr>
            <w:r>
              <w:rPr>
                <w:rFonts w:ascii="Times New Roman" w:hAnsi="Times New Roman"/>
                <w:color w:val="auto"/>
                <w:sz w:val="21"/>
                <w:szCs w:val="21"/>
                <w:highlight w:val="none"/>
              </w:rPr>
              <w:t>居住区</w:t>
            </w:r>
          </w:p>
        </w:tc>
        <w:tc>
          <w:tcPr>
            <w:tcW w:w="1748" w:type="dxa"/>
            <w:tcBorders>
              <w:tl2br w:val="nil"/>
              <w:tr2bl w:val="nil"/>
            </w:tcBorders>
            <w:shd w:val="clear" w:color="auto" w:fill="auto"/>
            <w:vAlign w:val="center"/>
          </w:tcPr>
          <w:p w14:paraId="13D7DFD3">
            <w:pPr>
              <w:ind w:left="-105" w:right="-105"/>
              <w:jc w:val="center"/>
              <w:rPr>
                <w:rFonts w:ascii="Times New Roman" w:hAnsi="Times New Roman"/>
                <w:color w:val="auto"/>
                <w:sz w:val="21"/>
                <w:szCs w:val="21"/>
                <w:highlight w:val="none"/>
                <w:lang w:val="zh-CN" w:bidi="zh-CN"/>
              </w:rPr>
            </w:pPr>
            <w:r>
              <w:rPr>
                <w:rFonts w:hint="eastAsia" w:ascii="Times New Roman" w:hAnsi="Times New Roman"/>
                <w:color w:val="auto"/>
                <w:sz w:val="21"/>
                <w:szCs w:val="21"/>
                <w:highlight w:val="none"/>
              </w:rPr>
              <w:t>30</w:t>
            </w:r>
            <w:r>
              <w:rPr>
                <w:rFonts w:ascii="Times New Roman" w:hAnsi="Times New Roman"/>
                <w:color w:val="auto"/>
                <w:sz w:val="21"/>
                <w:szCs w:val="21"/>
                <w:highlight w:val="none"/>
              </w:rPr>
              <w:t>户/</w:t>
            </w:r>
            <w:r>
              <w:rPr>
                <w:rFonts w:hint="eastAsia" w:ascii="Times New Roman" w:hAnsi="Times New Roman"/>
                <w:color w:val="auto"/>
                <w:sz w:val="21"/>
                <w:szCs w:val="21"/>
                <w:highlight w:val="none"/>
              </w:rPr>
              <w:t>105</w:t>
            </w:r>
            <w:r>
              <w:rPr>
                <w:rFonts w:ascii="Times New Roman" w:hAnsi="Times New Roman"/>
                <w:color w:val="auto"/>
                <w:sz w:val="21"/>
                <w:szCs w:val="21"/>
                <w:highlight w:val="none"/>
              </w:rPr>
              <w:t>人</w:t>
            </w:r>
          </w:p>
        </w:tc>
      </w:tr>
      <w:tr w14:paraId="7F845E7D">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851" w:type="dxa"/>
            <w:vMerge w:val="continue"/>
            <w:tcBorders>
              <w:tl2br w:val="nil"/>
              <w:tr2bl w:val="nil"/>
            </w:tcBorders>
            <w:vAlign w:val="center"/>
          </w:tcPr>
          <w:p w14:paraId="640DFBCB">
            <w:pPr>
              <w:ind w:left="-105" w:right="-105"/>
              <w:jc w:val="center"/>
              <w:rPr>
                <w:rFonts w:ascii="Times New Roman" w:hAnsi="Times New Roman"/>
                <w:color w:val="auto"/>
                <w:sz w:val="21"/>
                <w:szCs w:val="21"/>
                <w:highlight w:val="none"/>
                <w:lang w:val="zh-CN" w:bidi="zh-CN"/>
              </w:rPr>
            </w:pPr>
          </w:p>
        </w:tc>
        <w:tc>
          <w:tcPr>
            <w:tcW w:w="704" w:type="dxa"/>
            <w:tcBorders>
              <w:tl2br w:val="nil"/>
              <w:tr2bl w:val="nil"/>
            </w:tcBorders>
            <w:vAlign w:val="center"/>
          </w:tcPr>
          <w:p w14:paraId="706D859C">
            <w:pPr>
              <w:pStyle w:val="97"/>
              <w:numPr>
                <w:ilvl w:val="0"/>
                <w:numId w:val="13"/>
              </w:numPr>
              <w:ind w:left="-105" w:right="-105" w:firstLineChars="0"/>
              <w:jc w:val="center"/>
              <w:rPr>
                <w:rFonts w:eastAsia="宋体"/>
                <w:color w:val="auto"/>
                <w:kern w:val="0"/>
                <w:sz w:val="21"/>
                <w:szCs w:val="21"/>
                <w:highlight w:val="none"/>
                <w:lang w:val="zh-CN" w:bidi="zh-CN"/>
              </w:rPr>
            </w:pPr>
          </w:p>
        </w:tc>
        <w:tc>
          <w:tcPr>
            <w:tcW w:w="2131" w:type="dxa"/>
            <w:gridSpan w:val="3"/>
            <w:tcBorders>
              <w:tl2br w:val="nil"/>
              <w:tr2bl w:val="nil"/>
            </w:tcBorders>
            <w:shd w:val="clear" w:color="auto" w:fill="auto"/>
            <w:vAlign w:val="center"/>
          </w:tcPr>
          <w:p w14:paraId="2344D4ED">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坎巷</w:t>
            </w:r>
          </w:p>
        </w:tc>
        <w:tc>
          <w:tcPr>
            <w:tcW w:w="1100" w:type="dxa"/>
            <w:gridSpan w:val="3"/>
            <w:tcBorders>
              <w:tl2br w:val="nil"/>
              <w:tr2bl w:val="nil"/>
            </w:tcBorders>
            <w:shd w:val="clear" w:color="auto" w:fill="auto"/>
            <w:vAlign w:val="center"/>
          </w:tcPr>
          <w:p w14:paraId="79811440">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NW</w:t>
            </w:r>
          </w:p>
        </w:tc>
        <w:tc>
          <w:tcPr>
            <w:tcW w:w="1278" w:type="dxa"/>
            <w:gridSpan w:val="3"/>
            <w:tcBorders>
              <w:tl2br w:val="nil"/>
              <w:tr2bl w:val="nil"/>
            </w:tcBorders>
            <w:shd w:val="clear" w:color="auto" w:fill="auto"/>
            <w:vAlign w:val="center"/>
          </w:tcPr>
          <w:p w14:paraId="56A3C72E">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3862</w:t>
            </w:r>
          </w:p>
        </w:tc>
        <w:tc>
          <w:tcPr>
            <w:tcW w:w="1238" w:type="dxa"/>
            <w:gridSpan w:val="3"/>
            <w:tcBorders>
              <w:tl2br w:val="nil"/>
              <w:tr2bl w:val="nil"/>
            </w:tcBorders>
            <w:shd w:val="clear" w:color="auto" w:fill="auto"/>
            <w:vAlign w:val="center"/>
          </w:tcPr>
          <w:p w14:paraId="305366BE">
            <w:pPr>
              <w:ind w:left="-105" w:right="-105"/>
              <w:jc w:val="center"/>
              <w:rPr>
                <w:rFonts w:ascii="Times New Roman" w:hAnsi="Times New Roman"/>
                <w:color w:val="auto"/>
                <w:sz w:val="21"/>
                <w:szCs w:val="21"/>
                <w:highlight w:val="none"/>
                <w:lang w:val="zh-CN" w:bidi="zh-CN"/>
              </w:rPr>
            </w:pPr>
            <w:r>
              <w:rPr>
                <w:rFonts w:ascii="Times New Roman" w:hAnsi="Times New Roman"/>
                <w:color w:val="auto"/>
                <w:sz w:val="21"/>
                <w:szCs w:val="21"/>
                <w:highlight w:val="none"/>
              </w:rPr>
              <w:t>居住区</w:t>
            </w:r>
          </w:p>
        </w:tc>
        <w:tc>
          <w:tcPr>
            <w:tcW w:w="1748" w:type="dxa"/>
            <w:tcBorders>
              <w:tl2br w:val="nil"/>
              <w:tr2bl w:val="nil"/>
            </w:tcBorders>
            <w:shd w:val="clear" w:color="auto" w:fill="auto"/>
            <w:vAlign w:val="center"/>
          </w:tcPr>
          <w:p w14:paraId="2AC8C0CB">
            <w:pPr>
              <w:ind w:left="-105" w:right="-105"/>
              <w:jc w:val="center"/>
              <w:rPr>
                <w:rFonts w:ascii="Times New Roman" w:hAnsi="Times New Roman"/>
                <w:color w:val="auto"/>
                <w:sz w:val="21"/>
                <w:szCs w:val="21"/>
                <w:highlight w:val="none"/>
                <w:lang w:val="zh-CN" w:bidi="zh-CN"/>
              </w:rPr>
            </w:pPr>
            <w:r>
              <w:rPr>
                <w:rFonts w:hint="eastAsia" w:ascii="Times New Roman" w:hAnsi="Times New Roman"/>
                <w:color w:val="auto"/>
                <w:sz w:val="21"/>
                <w:szCs w:val="21"/>
                <w:highlight w:val="none"/>
              </w:rPr>
              <w:t>12</w:t>
            </w:r>
            <w:r>
              <w:rPr>
                <w:rFonts w:ascii="Times New Roman" w:hAnsi="Times New Roman"/>
                <w:color w:val="auto"/>
                <w:sz w:val="21"/>
                <w:szCs w:val="21"/>
                <w:highlight w:val="none"/>
              </w:rPr>
              <w:t>户/</w:t>
            </w:r>
            <w:r>
              <w:rPr>
                <w:rFonts w:hint="eastAsia" w:ascii="Times New Roman" w:hAnsi="Times New Roman"/>
                <w:color w:val="auto"/>
                <w:sz w:val="21"/>
                <w:szCs w:val="21"/>
                <w:highlight w:val="none"/>
              </w:rPr>
              <w:t>42</w:t>
            </w:r>
            <w:r>
              <w:rPr>
                <w:rFonts w:ascii="Times New Roman" w:hAnsi="Times New Roman"/>
                <w:color w:val="auto"/>
                <w:sz w:val="21"/>
                <w:szCs w:val="21"/>
                <w:highlight w:val="none"/>
              </w:rPr>
              <w:t>人</w:t>
            </w:r>
          </w:p>
        </w:tc>
      </w:tr>
      <w:tr w14:paraId="1CB4EF33">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851" w:type="dxa"/>
            <w:vMerge w:val="continue"/>
            <w:tcBorders>
              <w:tl2br w:val="nil"/>
              <w:tr2bl w:val="nil"/>
            </w:tcBorders>
            <w:vAlign w:val="center"/>
          </w:tcPr>
          <w:p w14:paraId="688F4BFC">
            <w:pPr>
              <w:ind w:left="-105" w:right="-105"/>
              <w:jc w:val="center"/>
              <w:rPr>
                <w:rFonts w:ascii="Times New Roman" w:hAnsi="Times New Roman"/>
                <w:color w:val="auto"/>
                <w:sz w:val="21"/>
                <w:szCs w:val="21"/>
                <w:highlight w:val="none"/>
                <w:lang w:val="zh-CN" w:bidi="zh-CN"/>
              </w:rPr>
            </w:pPr>
          </w:p>
        </w:tc>
        <w:tc>
          <w:tcPr>
            <w:tcW w:w="704" w:type="dxa"/>
            <w:tcBorders>
              <w:tl2br w:val="nil"/>
              <w:tr2bl w:val="nil"/>
            </w:tcBorders>
            <w:vAlign w:val="center"/>
          </w:tcPr>
          <w:p w14:paraId="35DC8E02">
            <w:pPr>
              <w:pStyle w:val="97"/>
              <w:numPr>
                <w:ilvl w:val="0"/>
                <w:numId w:val="13"/>
              </w:numPr>
              <w:ind w:left="-105" w:right="-105" w:firstLineChars="0"/>
              <w:jc w:val="center"/>
              <w:rPr>
                <w:rFonts w:eastAsia="宋体"/>
                <w:color w:val="auto"/>
                <w:kern w:val="0"/>
                <w:sz w:val="21"/>
                <w:szCs w:val="21"/>
                <w:highlight w:val="none"/>
                <w:lang w:val="zh-CN" w:bidi="zh-CN"/>
              </w:rPr>
            </w:pPr>
          </w:p>
        </w:tc>
        <w:tc>
          <w:tcPr>
            <w:tcW w:w="2131" w:type="dxa"/>
            <w:gridSpan w:val="3"/>
            <w:tcBorders>
              <w:tl2br w:val="nil"/>
              <w:tr2bl w:val="nil"/>
            </w:tcBorders>
            <w:shd w:val="clear" w:color="auto" w:fill="auto"/>
            <w:vAlign w:val="center"/>
          </w:tcPr>
          <w:p w14:paraId="2B802B5A">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长安外来民工子弟学校</w:t>
            </w:r>
          </w:p>
        </w:tc>
        <w:tc>
          <w:tcPr>
            <w:tcW w:w="1100" w:type="dxa"/>
            <w:gridSpan w:val="3"/>
            <w:tcBorders>
              <w:tl2br w:val="nil"/>
              <w:tr2bl w:val="nil"/>
            </w:tcBorders>
            <w:shd w:val="clear" w:color="auto" w:fill="auto"/>
            <w:vAlign w:val="center"/>
          </w:tcPr>
          <w:p w14:paraId="0A4BCBE0">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NW</w:t>
            </w:r>
          </w:p>
        </w:tc>
        <w:tc>
          <w:tcPr>
            <w:tcW w:w="1278" w:type="dxa"/>
            <w:gridSpan w:val="3"/>
            <w:tcBorders>
              <w:tl2br w:val="nil"/>
              <w:tr2bl w:val="nil"/>
            </w:tcBorders>
            <w:shd w:val="clear" w:color="auto" w:fill="auto"/>
            <w:vAlign w:val="center"/>
          </w:tcPr>
          <w:p w14:paraId="5429A0F5">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3816</w:t>
            </w:r>
          </w:p>
        </w:tc>
        <w:tc>
          <w:tcPr>
            <w:tcW w:w="1238" w:type="dxa"/>
            <w:gridSpan w:val="3"/>
            <w:tcBorders>
              <w:tl2br w:val="nil"/>
              <w:tr2bl w:val="nil"/>
            </w:tcBorders>
            <w:shd w:val="clear" w:color="auto" w:fill="auto"/>
            <w:vAlign w:val="center"/>
          </w:tcPr>
          <w:p w14:paraId="00D6E8DB">
            <w:pPr>
              <w:ind w:left="-105" w:right="-105"/>
              <w:jc w:val="center"/>
              <w:rPr>
                <w:rFonts w:ascii="Times New Roman" w:hAnsi="Times New Roman"/>
                <w:color w:val="auto"/>
                <w:sz w:val="21"/>
                <w:szCs w:val="21"/>
                <w:highlight w:val="none"/>
                <w:lang w:val="zh-CN" w:bidi="zh-CN"/>
              </w:rPr>
            </w:pPr>
            <w:r>
              <w:rPr>
                <w:rFonts w:hint="eastAsia" w:ascii="Times New Roman" w:hAnsi="Times New Roman"/>
                <w:color w:val="auto"/>
                <w:sz w:val="21"/>
                <w:szCs w:val="21"/>
                <w:highlight w:val="none"/>
              </w:rPr>
              <w:t>文化</w:t>
            </w:r>
            <w:r>
              <w:rPr>
                <w:rFonts w:ascii="Times New Roman" w:hAnsi="Times New Roman"/>
                <w:color w:val="auto"/>
                <w:sz w:val="21"/>
                <w:szCs w:val="21"/>
                <w:highlight w:val="none"/>
              </w:rPr>
              <w:t>区</w:t>
            </w:r>
          </w:p>
        </w:tc>
        <w:tc>
          <w:tcPr>
            <w:tcW w:w="1748" w:type="dxa"/>
            <w:tcBorders>
              <w:tl2br w:val="nil"/>
              <w:tr2bl w:val="nil"/>
            </w:tcBorders>
            <w:shd w:val="clear" w:color="auto" w:fill="auto"/>
            <w:vAlign w:val="center"/>
          </w:tcPr>
          <w:p w14:paraId="1FF45717">
            <w:pPr>
              <w:ind w:left="-105" w:right="-105"/>
              <w:jc w:val="center"/>
              <w:rPr>
                <w:rFonts w:ascii="Times New Roman" w:hAnsi="Times New Roman"/>
                <w:color w:val="auto"/>
                <w:sz w:val="21"/>
                <w:szCs w:val="21"/>
                <w:highlight w:val="none"/>
                <w:lang w:val="zh-CN" w:bidi="zh-CN"/>
              </w:rPr>
            </w:pPr>
            <w:r>
              <w:rPr>
                <w:rFonts w:hint="eastAsia" w:ascii="Times New Roman" w:hAnsi="Times New Roman"/>
                <w:color w:val="auto"/>
                <w:sz w:val="21"/>
                <w:szCs w:val="21"/>
                <w:highlight w:val="none"/>
              </w:rPr>
              <w:t>200</w:t>
            </w:r>
            <w:r>
              <w:rPr>
                <w:rFonts w:ascii="Times New Roman" w:hAnsi="Times New Roman"/>
                <w:color w:val="auto"/>
                <w:sz w:val="21"/>
                <w:szCs w:val="21"/>
                <w:highlight w:val="none"/>
              </w:rPr>
              <w:t>人</w:t>
            </w:r>
          </w:p>
        </w:tc>
      </w:tr>
      <w:tr w14:paraId="3D82220D">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851" w:type="dxa"/>
            <w:vMerge w:val="continue"/>
            <w:tcBorders>
              <w:tl2br w:val="nil"/>
              <w:tr2bl w:val="nil"/>
            </w:tcBorders>
            <w:vAlign w:val="center"/>
          </w:tcPr>
          <w:p w14:paraId="10A40363">
            <w:pPr>
              <w:ind w:left="-105" w:right="-105"/>
              <w:jc w:val="center"/>
              <w:rPr>
                <w:rFonts w:ascii="Times New Roman" w:hAnsi="Times New Roman"/>
                <w:color w:val="auto"/>
                <w:sz w:val="21"/>
                <w:szCs w:val="21"/>
                <w:highlight w:val="none"/>
                <w:lang w:val="zh-CN" w:bidi="zh-CN"/>
              </w:rPr>
            </w:pPr>
          </w:p>
        </w:tc>
        <w:tc>
          <w:tcPr>
            <w:tcW w:w="704" w:type="dxa"/>
            <w:tcBorders>
              <w:tl2br w:val="nil"/>
              <w:tr2bl w:val="nil"/>
            </w:tcBorders>
            <w:vAlign w:val="center"/>
          </w:tcPr>
          <w:p w14:paraId="76599940">
            <w:pPr>
              <w:pStyle w:val="97"/>
              <w:numPr>
                <w:ilvl w:val="0"/>
                <w:numId w:val="13"/>
              </w:numPr>
              <w:ind w:left="-105" w:right="-105" w:firstLineChars="0"/>
              <w:jc w:val="center"/>
              <w:rPr>
                <w:rFonts w:eastAsia="宋体"/>
                <w:color w:val="auto"/>
                <w:kern w:val="0"/>
                <w:sz w:val="21"/>
                <w:szCs w:val="21"/>
                <w:highlight w:val="none"/>
                <w:lang w:val="zh-CN" w:bidi="zh-CN"/>
              </w:rPr>
            </w:pPr>
          </w:p>
        </w:tc>
        <w:tc>
          <w:tcPr>
            <w:tcW w:w="2131" w:type="dxa"/>
            <w:gridSpan w:val="3"/>
            <w:tcBorders>
              <w:tl2br w:val="nil"/>
              <w:tr2bl w:val="nil"/>
            </w:tcBorders>
            <w:shd w:val="clear" w:color="auto" w:fill="auto"/>
            <w:vAlign w:val="center"/>
          </w:tcPr>
          <w:p w14:paraId="05C50B93">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南胡巷村</w:t>
            </w:r>
          </w:p>
        </w:tc>
        <w:tc>
          <w:tcPr>
            <w:tcW w:w="1100" w:type="dxa"/>
            <w:gridSpan w:val="3"/>
            <w:tcBorders>
              <w:tl2br w:val="nil"/>
              <w:tr2bl w:val="nil"/>
            </w:tcBorders>
            <w:shd w:val="clear" w:color="auto" w:fill="auto"/>
            <w:vAlign w:val="center"/>
          </w:tcPr>
          <w:p w14:paraId="662D61B1">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NW</w:t>
            </w:r>
          </w:p>
        </w:tc>
        <w:tc>
          <w:tcPr>
            <w:tcW w:w="1278" w:type="dxa"/>
            <w:gridSpan w:val="3"/>
            <w:tcBorders>
              <w:tl2br w:val="nil"/>
              <w:tr2bl w:val="nil"/>
            </w:tcBorders>
            <w:shd w:val="clear" w:color="auto" w:fill="auto"/>
            <w:vAlign w:val="center"/>
          </w:tcPr>
          <w:p w14:paraId="262FB54B">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4156</w:t>
            </w:r>
          </w:p>
        </w:tc>
        <w:tc>
          <w:tcPr>
            <w:tcW w:w="1238" w:type="dxa"/>
            <w:gridSpan w:val="3"/>
            <w:tcBorders>
              <w:tl2br w:val="nil"/>
              <w:tr2bl w:val="nil"/>
            </w:tcBorders>
            <w:shd w:val="clear" w:color="auto" w:fill="auto"/>
            <w:vAlign w:val="center"/>
          </w:tcPr>
          <w:p w14:paraId="564F282F">
            <w:pPr>
              <w:ind w:left="-105" w:right="-105"/>
              <w:jc w:val="center"/>
              <w:rPr>
                <w:rFonts w:ascii="Times New Roman" w:hAnsi="Times New Roman"/>
                <w:color w:val="auto"/>
                <w:sz w:val="21"/>
                <w:szCs w:val="21"/>
                <w:highlight w:val="none"/>
                <w:lang w:val="zh-CN" w:bidi="zh-CN"/>
              </w:rPr>
            </w:pPr>
            <w:r>
              <w:rPr>
                <w:rFonts w:ascii="Times New Roman" w:hAnsi="Times New Roman"/>
                <w:color w:val="auto"/>
                <w:sz w:val="21"/>
                <w:szCs w:val="21"/>
                <w:highlight w:val="none"/>
              </w:rPr>
              <w:t>居住区</w:t>
            </w:r>
          </w:p>
        </w:tc>
        <w:tc>
          <w:tcPr>
            <w:tcW w:w="1748" w:type="dxa"/>
            <w:tcBorders>
              <w:tl2br w:val="nil"/>
              <w:tr2bl w:val="nil"/>
            </w:tcBorders>
            <w:shd w:val="clear" w:color="auto" w:fill="auto"/>
            <w:vAlign w:val="center"/>
          </w:tcPr>
          <w:p w14:paraId="45C63E25">
            <w:pPr>
              <w:ind w:left="-105" w:right="-105"/>
              <w:jc w:val="center"/>
              <w:rPr>
                <w:rFonts w:ascii="Times New Roman" w:hAnsi="Times New Roman"/>
                <w:color w:val="auto"/>
                <w:sz w:val="21"/>
                <w:szCs w:val="21"/>
                <w:highlight w:val="none"/>
                <w:lang w:val="zh-CN" w:bidi="zh-CN"/>
              </w:rPr>
            </w:pPr>
            <w:r>
              <w:rPr>
                <w:rFonts w:hint="eastAsia" w:ascii="Times New Roman" w:hAnsi="Times New Roman"/>
                <w:color w:val="auto"/>
                <w:sz w:val="21"/>
                <w:szCs w:val="21"/>
                <w:highlight w:val="none"/>
              </w:rPr>
              <w:t>50</w:t>
            </w:r>
            <w:r>
              <w:rPr>
                <w:rFonts w:ascii="Times New Roman" w:hAnsi="Times New Roman"/>
                <w:color w:val="auto"/>
                <w:sz w:val="21"/>
                <w:szCs w:val="21"/>
                <w:highlight w:val="none"/>
              </w:rPr>
              <w:t>户/</w:t>
            </w:r>
            <w:r>
              <w:rPr>
                <w:rFonts w:hint="eastAsia" w:ascii="Times New Roman" w:hAnsi="Times New Roman"/>
                <w:color w:val="auto"/>
                <w:sz w:val="21"/>
                <w:szCs w:val="21"/>
                <w:highlight w:val="none"/>
              </w:rPr>
              <w:t>175</w:t>
            </w:r>
            <w:r>
              <w:rPr>
                <w:rFonts w:ascii="Times New Roman" w:hAnsi="Times New Roman"/>
                <w:color w:val="auto"/>
                <w:sz w:val="21"/>
                <w:szCs w:val="21"/>
                <w:highlight w:val="none"/>
              </w:rPr>
              <w:t>人</w:t>
            </w:r>
          </w:p>
        </w:tc>
      </w:tr>
      <w:tr w14:paraId="43839C10">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851" w:type="dxa"/>
            <w:vMerge w:val="continue"/>
            <w:tcBorders>
              <w:tl2br w:val="nil"/>
              <w:tr2bl w:val="nil"/>
            </w:tcBorders>
            <w:vAlign w:val="center"/>
          </w:tcPr>
          <w:p w14:paraId="7F674E1E">
            <w:pPr>
              <w:ind w:left="-105" w:right="-105"/>
              <w:jc w:val="center"/>
              <w:rPr>
                <w:rFonts w:ascii="Times New Roman" w:hAnsi="Times New Roman"/>
                <w:color w:val="auto"/>
                <w:sz w:val="21"/>
                <w:szCs w:val="21"/>
                <w:highlight w:val="none"/>
                <w:lang w:val="zh-CN" w:bidi="zh-CN"/>
              </w:rPr>
            </w:pPr>
          </w:p>
        </w:tc>
        <w:tc>
          <w:tcPr>
            <w:tcW w:w="704" w:type="dxa"/>
            <w:tcBorders>
              <w:tl2br w:val="nil"/>
              <w:tr2bl w:val="nil"/>
            </w:tcBorders>
            <w:vAlign w:val="center"/>
          </w:tcPr>
          <w:p w14:paraId="429983FE">
            <w:pPr>
              <w:pStyle w:val="97"/>
              <w:numPr>
                <w:ilvl w:val="0"/>
                <w:numId w:val="13"/>
              </w:numPr>
              <w:ind w:left="-105" w:right="-105" w:firstLineChars="0"/>
              <w:jc w:val="center"/>
              <w:rPr>
                <w:rFonts w:eastAsia="宋体"/>
                <w:color w:val="auto"/>
                <w:kern w:val="0"/>
                <w:sz w:val="21"/>
                <w:szCs w:val="21"/>
                <w:highlight w:val="none"/>
                <w:lang w:val="zh-CN" w:bidi="zh-CN"/>
              </w:rPr>
            </w:pPr>
          </w:p>
        </w:tc>
        <w:tc>
          <w:tcPr>
            <w:tcW w:w="2131" w:type="dxa"/>
            <w:gridSpan w:val="3"/>
            <w:tcBorders>
              <w:tl2br w:val="nil"/>
              <w:tr2bl w:val="nil"/>
            </w:tcBorders>
            <w:shd w:val="clear" w:color="auto" w:fill="auto"/>
            <w:vAlign w:val="center"/>
          </w:tcPr>
          <w:p w14:paraId="06C09C72">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云芳里</w:t>
            </w:r>
          </w:p>
        </w:tc>
        <w:tc>
          <w:tcPr>
            <w:tcW w:w="1100" w:type="dxa"/>
            <w:gridSpan w:val="3"/>
            <w:tcBorders>
              <w:tl2br w:val="nil"/>
              <w:tr2bl w:val="nil"/>
            </w:tcBorders>
            <w:shd w:val="clear" w:color="auto" w:fill="auto"/>
            <w:vAlign w:val="center"/>
          </w:tcPr>
          <w:p w14:paraId="3164EF62">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W</w:t>
            </w:r>
          </w:p>
        </w:tc>
        <w:tc>
          <w:tcPr>
            <w:tcW w:w="1278" w:type="dxa"/>
            <w:gridSpan w:val="3"/>
            <w:tcBorders>
              <w:tl2br w:val="nil"/>
              <w:tr2bl w:val="nil"/>
            </w:tcBorders>
            <w:shd w:val="clear" w:color="auto" w:fill="auto"/>
            <w:vAlign w:val="center"/>
          </w:tcPr>
          <w:p w14:paraId="2C7BF305">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2602</w:t>
            </w:r>
          </w:p>
        </w:tc>
        <w:tc>
          <w:tcPr>
            <w:tcW w:w="1238" w:type="dxa"/>
            <w:gridSpan w:val="3"/>
            <w:tcBorders>
              <w:tl2br w:val="nil"/>
              <w:tr2bl w:val="nil"/>
            </w:tcBorders>
            <w:shd w:val="clear" w:color="auto" w:fill="auto"/>
            <w:vAlign w:val="center"/>
          </w:tcPr>
          <w:p w14:paraId="60440B57">
            <w:pPr>
              <w:ind w:left="-105" w:right="-105"/>
              <w:jc w:val="center"/>
              <w:rPr>
                <w:rFonts w:ascii="Times New Roman" w:hAnsi="Times New Roman"/>
                <w:color w:val="auto"/>
                <w:sz w:val="21"/>
                <w:szCs w:val="21"/>
                <w:highlight w:val="none"/>
                <w:lang w:val="zh-CN" w:bidi="zh-CN"/>
              </w:rPr>
            </w:pPr>
            <w:r>
              <w:rPr>
                <w:rFonts w:ascii="Times New Roman" w:hAnsi="Times New Roman"/>
                <w:color w:val="auto"/>
                <w:sz w:val="21"/>
                <w:szCs w:val="21"/>
                <w:highlight w:val="none"/>
              </w:rPr>
              <w:t>居住区</w:t>
            </w:r>
          </w:p>
        </w:tc>
        <w:tc>
          <w:tcPr>
            <w:tcW w:w="1748" w:type="dxa"/>
            <w:tcBorders>
              <w:tl2br w:val="nil"/>
              <w:tr2bl w:val="nil"/>
            </w:tcBorders>
            <w:shd w:val="clear" w:color="auto" w:fill="auto"/>
            <w:vAlign w:val="center"/>
          </w:tcPr>
          <w:p w14:paraId="365A305A">
            <w:pPr>
              <w:ind w:left="-105" w:right="-105"/>
              <w:jc w:val="center"/>
              <w:rPr>
                <w:rFonts w:ascii="Times New Roman" w:hAnsi="Times New Roman"/>
                <w:color w:val="auto"/>
                <w:sz w:val="21"/>
                <w:szCs w:val="21"/>
                <w:highlight w:val="none"/>
                <w:lang w:val="zh-CN" w:bidi="zh-CN"/>
              </w:rPr>
            </w:pPr>
            <w:r>
              <w:rPr>
                <w:rFonts w:hint="eastAsia" w:ascii="Times New Roman" w:hAnsi="Times New Roman"/>
                <w:color w:val="auto"/>
                <w:sz w:val="21"/>
                <w:szCs w:val="21"/>
                <w:highlight w:val="none"/>
              </w:rPr>
              <w:t>30</w:t>
            </w:r>
            <w:r>
              <w:rPr>
                <w:rFonts w:ascii="Times New Roman" w:hAnsi="Times New Roman"/>
                <w:color w:val="auto"/>
                <w:sz w:val="21"/>
                <w:szCs w:val="21"/>
                <w:highlight w:val="none"/>
              </w:rPr>
              <w:t>户/</w:t>
            </w:r>
            <w:r>
              <w:rPr>
                <w:rFonts w:hint="eastAsia" w:ascii="Times New Roman" w:hAnsi="Times New Roman"/>
                <w:color w:val="auto"/>
                <w:sz w:val="21"/>
                <w:szCs w:val="21"/>
                <w:highlight w:val="none"/>
              </w:rPr>
              <w:t>105</w:t>
            </w:r>
            <w:r>
              <w:rPr>
                <w:rFonts w:ascii="Times New Roman" w:hAnsi="Times New Roman"/>
                <w:color w:val="auto"/>
                <w:sz w:val="21"/>
                <w:szCs w:val="21"/>
                <w:highlight w:val="none"/>
              </w:rPr>
              <w:t>人</w:t>
            </w:r>
          </w:p>
        </w:tc>
      </w:tr>
      <w:tr w14:paraId="4520F797">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851" w:type="dxa"/>
            <w:vMerge w:val="continue"/>
            <w:tcBorders>
              <w:tl2br w:val="nil"/>
              <w:tr2bl w:val="nil"/>
            </w:tcBorders>
            <w:vAlign w:val="center"/>
          </w:tcPr>
          <w:p w14:paraId="4EA60C75">
            <w:pPr>
              <w:ind w:left="-105" w:right="-105"/>
              <w:jc w:val="center"/>
              <w:rPr>
                <w:rFonts w:ascii="Times New Roman" w:hAnsi="Times New Roman"/>
                <w:color w:val="auto"/>
                <w:sz w:val="21"/>
                <w:szCs w:val="21"/>
                <w:highlight w:val="none"/>
                <w:lang w:val="zh-CN" w:bidi="zh-CN"/>
              </w:rPr>
            </w:pPr>
          </w:p>
        </w:tc>
        <w:tc>
          <w:tcPr>
            <w:tcW w:w="704" w:type="dxa"/>
            <w:tcBorders>
              <w:tl2br w:val="nil"/>
              <w:tr2bl w:val="nil"/>
            </w:tcBorders>
            <w:vAlign w:val="center"/>
          </w:tcPr>
          <w:p w14:paraId="070A8068">
            <w:pPr>
              <w:pStyle w:val="97"/>
              <w:numPr>
                <w:ilvl w:val="0"/>
                <w:numId w:val="13"/>
              </w:numPr>
              <w:ind w:left="-105" w:right="-105" w:firstLineChars="0"/>
              <w:jc w:val="center"/>
              <w:rPr>
                <w:rFonts w:eastAsia="宋体"/>
                <w:color w:val="auto"/>
                <w:kern w:val="0"/>
                <w:sz w:val="21"/>
                <w:szCs w:val="21"/>
                <w:highlight w:val="none"/>
                <w:lang w:val="zh-CN" w:bidi="zh-CN"/>
              </w:rPr>
            </w:pPr>
          </w:p>
        </w:tc>
        <w:tc>
          <w:tcPr>
            <w:tcW w:w="2131" w:type="dxa"/>
            <w:gridSpan w:val="3"/>
            <w:tcBorders>
              <w:tl2br w:val="nil"/>
              <w:tr2bl w:val="nil"/>
            </w:tcBorders>
            <w:shd w:val="clear" w:color="auto" w:fill="auto"/>
            <w:vAlign w:val="center"/>
          </w:tcPr>
          <w:p w14:paraId="33E86AC2">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大下冯</w:t>
            </w:r>
          </w:p>
        </w:tc>
        <w:tc>
          <w:tcPr>
            <w:tcW w:w="1100" w:type="dxa"/>
            <w:gridSpan w:val="3"/>
            <w:tcBorders>
              <w:tl2br w:val="nil"/>
              <w:tr2bl w:val="nil"/>
            </w:tcBorders>
            <w:shd w:val="clear" w:color="auto" w:fill="auto"/>
            <w:vAlign w:val="center"/>
          </w:tcPr>
          <w:p w14:paraId="7C29F20B">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W</w:t>
            </w:r>
          </w:p>
        </w:tc>
        <w:tc>
          <w:tcPr>
            <w:tcW w:w="1278" w:type="dxa"/>
            <w:gridSpan w:val="3"/>
            <w:tcBorders>
              <w:tl2br w:val="nil"/>
              <w:tr2bl w:val="nil"/>
            </w:tcBorders>
            <w:shd w:val="clear" w:color="auto" w:fill="auto"/>
            <w:vAlign w:val="center"/>
          </w:tcPr>
          <w:p w14:paraId="6399B1D3">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4677</w:t>
            </w:r>
          </w:p>
        </w:tc>
        <w:tc>
          <w:tcPr>
            <w:tcW w:w="1238" w:type="dxa"/>
            <w:gridSpan w:val="3"/>
            <w:tcBorders>
              <w:tl2br w:val="nil"/>
              <w:tr2bl w:val="nil"/>
            </w:tcBorders>
            <w:shd w:val="clear" w:color="auto" w:fill="auto"/>
            <w:vAlign w:val="center"/>
          </w:tcPr>
          <w:p w14:paraId="587B9623">
            <w:pPr>
              <w:ind w:left="-105" w:right="-105"/>
              <w:jc w:val="center"/>
              <w:rPr>
                <w:rFonts w:ascii="Times New Roman" w:hAnsi="Times New Roman"/>
                <w:color w:val="auto"/>
                <w:sz w:val="21"/>
                <w:szCs w:val="21"/>
                <w:highlight w:val="none"/>
                <w:lang w:val="zh-CN" w:bidi="zh-CN"/>
              </w:rPr>
            </w:pPr>
            <w:r>
              <w:rPr>
                <w:rFonts w:ascii="Times New Roman" w:hAnsi="Times New Roman"/>
                <w:color w:val="auto"/>
                <w:sz w:val="21"/>
                <w:szCs w:val="21"/>
                <w:highlight w:val="none"/>
              </w:rPr>
              <w:t>居住区</w:t>
            </w:r>
          </w:p>
        </w:tc>
        <w:tc>
          <w:tcPr>
            <w:tcW w:w="1748" w:type="dxa"/>
            <w:tcBorders>
              <w:tl2br w:val="nil"/>
              <w:tr2bl w:val="nil"/>
            </w:tcBorders>
            <w:shd w:val="clear" w:color="auto" w:fill="auto"/>
            <w:vAlign w:val="center"/>
          </w:tcPr>
          <w:p w14:paraId="5DAB7580">
            <w:pPr>
              <w:ind w:left="-105" w:right="-105"/>
              <w:jc w:val="center"/>
              <w:rPr>
                <w:rFonts w:ascii="Times New Roman" w:hAnsi="Times New Roman"/>
                <w:color w:val="auto"/>
                <w:sz w:val="21"/>
                <w:szCs w:val="21"/>
                <w:highlight w:val="none"/>
                <w:lang w:val="zh-CN" w:bidi="zh-CN"/>
              </w:rPr>
            </w:pPr>
            <w:r>
              <w:rPr>
                <w:rFonts w:hint="eastAsia" w:ascii="Times New Roman" w:hAnsi="Times New Roman"/>
                <w:color w:val="auto"/>
                <w:sz w:val="21"/>
                <w:szCs w:val="21"/>
                <w:highlight w:val="none"/>
              </w:rPr>
              <w:t>120</w:t>
            </w:r>
            <w:r>
              <w:rPr>
                <w:rFonts w:ascii="Times New Roman" w:hAnsi="Times New Roman"/>
                <w:color w:val="auto"/>
                <w:sz w:val="21"/>
                <w:szCs w:val="21"/>
                <w:highlight w:val="none"/>
              </w:rPr>
              <w:t>户/</w:t>
            </w:r>
            <w:r>
              <w:rPr>
                <w:rFonts w:hint="eastAsia" w:ascii="Times New Roman" w:hAnsi="Times New Roman"/>
                <w:color w:val="auto"/>
                <w:sz w:val="21"/>
                <w:szCs w:val="21"/>
                <w:highlight w:val="none"/>
              </w:rPr>
              <w:t>420</w:t>
            </w:r>
            <w:r>
              <w:rPr>
                <w:rFonts w:ascii="Times New Roman" w:hAnsi="Times New Roman"/>
                <w:color w:val="auto"/>
                <w:sz w:val="21"/>
                <w:szCs w:val="21"/>
                <w:highlight w:val="none"/>
              </w:rPr>
              <w:t>人</w:t>
            </w:r>
          </w:p>
        </w:tc>
      </w:tr>
      <w:tr w14:paraId="54547FA2">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851" w:type="dxa"/>
            <w:vMerge w:val="continue"/>
            <w:tcBorders>
              <w:tl2br w:val="nil"/>
              <w:tr2bl w:val="nil"/>
            </w:tcBorders>
            <w:vAlign w:val="center"/>
          </w:tcPr>
          <w:p w14:paraId="12D34590">
            <w:pPr>
              <w:ind w:left="-105" w:right="-105"/>
              <w:jc w:val="center"/>
              <w:rPr>
                <w:rFonts w:ascii="Times New Roman" w:hAnsi="Times New Roman"/>
                <w:color w:val="auto"/>
                <w:sz w:val="21"/>
                <w:szCs w:val="21"/>
                <w:highlight w:val="none"/>
                <w:lang w:val="zh-CN" w:bidi="zh-CN"/>
              </w:rPr>
            </w:pPr>
          </w:p>
        </w:tc>
        <w:tc>
          <w:tcPr>
            <w:tcW w:w="704" w:type="dxa"/>
            <w:tcBorders>
              <w:tl2br w:val="nil"/>
              <w:tr2bl w:val="nil"/>
            </w:tcBorders>
            <w:vAlign w:val="center"/>
          </w:tcPr>
          <w:p w14:paraId="24B57186">
            <w:pPr>
              <w:pStyle w:val="97"/>
              <w:numPr>
                <w:ilvl w:val="0"/>
                <w:numId w:val="13"/>
              </w:numPr>
              <w:ind w:left="-105" w:right="-105" w:firstLineChars="0"/>
              <w:jc w:val="center"/>
              <w:rPr>
                <w:rFonts w:eastAsia="宋体"/>
                <w:color w:val="auto"/>
                <w:kern w:val="0"/>
                <w:sz w:val="21"/>
                <w:szCs w:val="21"/>
                <w:highlight w:val="none"/>
                <w:lang w:val="zh-CN" w:bidi="zh-CN"/>
              </w:rPr>
            </w:pPr>
          </w:p>
        </w:tc>
        <w:tc>
          <w:tcPr>
            <w:tcW w:w="2131" w:type="dxa"/>
            <w:gridSpan w:val="3"/>
            <w:tcBorders>
              <w:tl2br w:val="nil"/>
              <w:tr2bl w:val="nil"/>
            </w:tcBorders>
            <w:shd w:val="clear" w:color="auto" w:fill="auto"/>
            <w:vAlign w:val="center"/>
          </w:tcPr>
          <w:p w14:paraId="54FD3B3B">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八士老街</w:t>
            </w:r>
          </w:p>
        </w:tc>
        <w:tc>
          <w:tcPr>
            <w:tcW w:w="1100" w:type="dxa"/>
            <w:gridSpan w:val="3"/>
            <w:tcBorders>
              <w:tl2br w:val="nil"/>
              <w:tr2bl w:val="nil"/>
            </w:tcBorders>
            <w:shd w:val="clear" w:color="auto" w:fill="auto"/>
            <w:vAlign w:val="center"/>
          </w:tcPr>
          <w:p w14:paraId="00F7FE62">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W</w:t>
            </w:r>
          </w:p>
        </w:tc>
        <w:tc>
          <w:tcPr>
            <w:tcW w:w="1278" w:type="dxa"/>
            <w:gridSpan w:val="3"/>
            <w:tcBorders>
              <w:tl2br w:val="nil"/>
              <w:tr2bl w:val="nil"/>
            </w:tcBorders>
            <w:shd w:val="clear" w:color="auto" w:fill="auto"/>
            <w:vAlign w:val="center"/>
          </w:tcPr>
          <w:p w14:paraId="70AD7677">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430</w:t>
            </w:r>
          </w:p>
        </w:tc>
        <w:tc>
          <w:tcPr>
            <w:tcW w:w="1238" w:type="dxa"/>
            <w:gridSpan w:val="3"/>
            <w:tcBorders>
              <w:tl2br w:val="nil"/>
              <w:tr2bl w:val="nil"/>
            </w:tcBorders>
            <w:shd w:val="clear" w:color="auto" w:fill="auto"/>
            <w:vAlign w:val="center"/>
          </w:tcPr>
          <w:p w14:paraId="2D54F57B">
            <w:pPr>
              <w:ind w:left="-105" w:right="-105"/>
              <w:jc w:val="center"/>
              <w:rPr>
                <w:rFonts w:ascii="Times New Roman" w:hAnsi="Times New Roman"/>
                <w:color w:val="auto"/>
                <w:sz w:val="21"/>
                <w:szCs w:val="21"/>
                <w:highlight w:val="none"/>
                <w:lang w:val="zh-CN" w:bidi="zh-CN"/>
              </w:rPr>
            </w:pPr>
            <w:r>
              <w:rPr>
                <w:rFonts w:ascii="Times New Roman" w:hAnsi="Times New Roman"/>
                <w:color w:val="auto"/>
                <w:sz w:val="21"/>
                <w:szCs w:val="21"/>
                <w:highlight w:val="none"/>
              </w:rPr>
              <w:t>居住区</w:t>
            </w:r>
          </w:p>
        </w:tc>
        <w:tc>
          <w:tcPr>
            <w:tcW w:w="1748" w:type="dxa"/>
            <w:tcBorders>
              <w:tl2br w:val="nil"/>
              <w:tr2bl w:val="nil"/>
            </w:tcBorders>
            <w:shd w:val="clear" w:color="auto" w:fill="auto"/>
            <w:vAlign w:val="center"/>
          </w:tcPr>
          <w:p w14:paraId="28BE746B">
            <w:pPr>
              <w:ind w:left="-105" w:right="-105"/>
              <w:jc w:val="center"/>
              <w:rPr>
                <w:rFonts w:ascii="Times New Roman" w:hAnsi="Times New Roman"/>
                <w:color w:val="auto"/>
                <w:sz w:val="21"/>
                <w:szCs w:val="21"/>
                <w:highlight w:val="none"/>
                <w:lang w:val="zh-CN" w:bidi="zh-CN"/>
              </w:rPr>
            </w:pPr>
            <w:r>
              <w:rPr>
                <w:rFonts w:hint="eastAsia" w:ascii="Times New Roman" w:hAnsi="Times New Roman"/>
                <w:color w:val="auto"/>
                <w:sz w:val="21"/>
                <w:szCs w:val="21"/>
                <w:highlight w:val="none"/>
              </w:rPr>
              <w:t>5000</w:t>
            </w:r>
            <w:r>
              <w:rPr>
                <w:rFonts w:ascii="Times New Roman" w:hAnsi="Times New Roman"/>
                <w:color w:val="auto"/>
                <w:sz w:val="21"/>
                <w:szCs w:val="21"/>
                <w:highlight w:val="none"/>
              </w:rPr>
              <w:t>人</w:t>
            </w:r>
          </w:p>
        </w:tc>
      </w:tr>
      <w:tr w14:paraId="6408A105">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851" w:type="dxa"/>
            <w:vMerge w:val="continue"/>
            <w:tcBorders>
              <w:tl2br w:val="nil"/>
              <w:tr2bl w:val="nil"/>
            </w:tcBorders>
            <w:vAlign w:val="center"/>
          </w:tcPr>
          <w:p w14:paraId="558FD2A0">
            <w:pPr>
              <w:ind w:left="-105" w:right="-105"/>
              <w:jc w:val="center"/>
              <w:rPr>
                <w:rFonts w:ascii="Times New Roman" w:hAnsi="Times New Roman"/>
                <w:color w:val="auto"/>
                <w:sz w:val="21"/>
                <w:szCs w:val="21"/>
                <w:highlight w:val="none"/>
                <w:lang w:val="zh-CN" w:bidi="zh-CN"/>
              </w:rPr>
            </w:pPr>
          </w:p>
        </w:tc>
        <w:tc>
          <w:tcPr>
            <w:tcW w:w="704" w:type="dxa"/>
            <w:tcBorders>
              <w:tl2br w:val="nil"/>
              <w:tr2bl w:val="nil"/>
            </w:tcBorders>
            <w:vAlign w:val="center"/>
          </w:tcPr>
          <w:p w14:paraId="30180166">
            <w:pPr>
              <w:pStyle w:val="97"/>
              <w:numPr>
                <w:ilvl w:val="0"/>
                <w:numId w:val="13"/>
              </w:numPr>
              <w:ind w:left="-105" w:right="-105" w:firstLineChars="0"/>
              <w:jc w:val="center"/>
              <w:rPr>
                <w:rFonts w:eastAsia="宋体"/>
                <w:color w:val="auto"/>
                <w:kern w:val="0"/>
                <w:sz w:val="21"/>
                <w:szCs w:val="21"/>
                <w:highlight w:val="none"/>
                <w:lang w:val="zh-CN" w:bidi="zh-CN"/>
              </w:rPr>
            </w:pPr>
          </w:p>
        </w:tc>
        <w:tc>
          <w:tcPr>
            <w:tcW w:w="2131" w:type="dxa"/>
            <w:gridSpan w:val="3"/>
            <w:tcBorders>
              <w:tl2br w:val="nil"/>
              <w:tr2bl w:val="nil"/>
            </w:tcBorders>
            <w:shd w:val="clear" w:color="auto" w:fill="auto"/>
            <w:vAlign w:val="center"/>
          </w:tcPr>
          <w:p w14:paraId="6735A438">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春蕾学校附属幼儿园</w:t>
            </w:r>
          </w:p>
        </w:tc>
        <w:tc>
          <w:tcPr>
            <w:tcW w:w="1100" w:type="dxa"/>
            <w:gridSpan w:val="3"/>
            <w:tcBorders>
              <w:tl2br w:val="nil"/>
              <w:tr2bl w:val="nil"/>
            </w:tcBorders>
            <w:shd w:val="clear" w:color="auto" w:fill="auto"/>
            <w:vAlign w:val="center"/>
          </w:tcPr>
          <w:p w14:paraId="201BB55D">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SW</w:t>
            </w:r>
          </w:p>
        </w:tc>
        <w:tc>
          <w:tcPr>
            <w:tcW w:w="1278" w:type="dxa"/>
            <w:gridSpan w:val="3"/>
            <w:tcBorders>
              <w:tl2br w:val="nil"/>
              <w:tr2bl w:val="nil"/>
            </w:tcBorders>
            <w:shd w:val="clear" w:color="auto" w:fill="auto"/>
            <w:vAlign w:val="center"/>
          </w:tcPr>
          <w:p w14:paraId="5C0D24D9">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452</w:t>
            </w:r>
          </w:p>
        </w:tc>
        <w:tc>
          <w:tcPr>
            <w:tcW w:w="1238" w:type="dxa"/>
            <w:gridSpan w:val="3"/>
            <w:tcBorders>
              <w:tl2br w:val="nil"/>
              <w:tr2bl w:val="nil"/>
            </w:tcBorders>
            <w:shd w:val="clear" w:color="auto" w:fill="auto"/>
            <w:vAlign w:val="center"/>
          </w:tcPr>
          <w:p w14:paraId="30906742">
            <w:pPr>
              <w:ind w:left="-105" w:right="-105"/>
              <w:jc w:val="center"/>
              <w:rPr>
                <w:rFonts w:ascii="Times New Roman" w:hAnsi="Times New Roman"/>
                <w:color w:val="auto"/>
                <w:sz w:val="21"/>
                <w:szCs w:val="21"/>
                <w:highlight w:val="none"/>
                <w:lang w:val="zh-CN" w:bidi="zh-CN"/>
              </w:rPr>
            </w:pPr>
            <w:r>
              <w:rPr>
                <w:rFonts w:hint="eastAsia" w:ascii="Times New Roman" w:hAnsi="Times New Roman"/>
                <w:color w:val="auto"/>
                <w:sz w:val="21"/>
                <w:szCs w:val="21"/>
                <w:highlight w:val="none"/>
              </w:rPr>
              <w:t>文化</w:t>
            </w:r>
            <w:r>
              <w:rPr>
                <w:rFonts w:ascii="Times New Roman" w:hAnsi="Times New Roman"/>
                <w:color w:val="auto"/>
                <w:sz w:val="21"/>
                <w:szCs w:val="21"/>
                <w:highlight w:val="none"/>
              </w:rPr>
              <w:t>区</w:t>
            </w:r>
          </w:p>
        </w:tc>
        <w:tc>
          <w:tcPr>
            <w:tcW w:w="1748" w:type="dxa"/>
            <w:tcBorders>
              <w:tl2br w:val="nil"/>
              <w:tr2bl w:val="nil"/>
            </w:tcBorders>
            <w:shd w:val="clear" w:color="auto" w:fill="auto"/>
            <w:vAlign w:val="center"/>
          </w:tcPr>
          <w:p w14:paraId="3C860902">
            <w:pPr>
              <w:ind w:left="-105" w:right="-105"/>
              <w:jc w:val="center"/>
              <w:rPr>
                <w:rFonts w:ascii="Times New Roman" w:hAnsi="Times New Roman"/>
                <w:color w:val="auto"/>
                <w:sz w:val="21"/>
                <w:szCs w:val="21"/>
                <w:highlight w:val="none"/>
                <w:lang w:val="zh-CN" w:bidi="zh-CN"/>
              </w:rPr>
            </w:pPr>
            <w:r>
              <w:rPr>
                <w:rFonts w:hint="eastAsia" w:ascii="Times New Roman" w:hAnsi="Times New Roman"/>
                <w:color w:val="auto"/>
                <w:sz w:val="21"/>
                <w:szCs w:val="21"/>
                <w:highlight w:val="none"/>
              </w:rPr>
              <w:t>800</w:t>
            </w:r>
            <w:r>
              <w:rPr>
                <w:rFonts w:ascii="Times New Roman" w:hAnsi="Times New Roman"/>
                <w:color w:val="auto"/>
                <w:sz w:val="21"/>
                <w:szCs w:val="21"/>
                <w:highlight w:val="none"/>
              </w:rPr>
              <w:t>人</w:t>
            </w:r>
          </w:p>
        </w:tc>
      </w:tr>
      <w:tr w14:paraId="60D569BB">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851" w:type="dxa"/>
            <w:vMerge w:val="continue"/>
            <w:tcBorders>
              <w:tl2br w:val="nil"/>
              <w:tr2bl w:val="nil"/>
            </w:tcBorders>
            <w:vAlign w:val="center"/>
          </w:tcPr>
          <w:p w14:paraId="71D90A94">
            <w:pPr>
              <w:ind w:left="-105" w:right="-105"/>
              <w:jc w:val="center"/>
              <w:rPr>
                <w:rFonts w:ascii="Times New Roman" w:hAnsi="Times New Roman"/>
                <w:color w:val="auto"/>
                <w:sz w:val="21"/>
                <w:szCs w:val="21"/>
                <w:highlight w:val="none"/>
                <w:lang w:val="zh-CN" w:bidi="zh-CN"/>
              </w:rPr>
            </w:pPr>
          </w:p>
        </w:tc>
        <w:tc>
          <w:tcPr>
            <w:tcW w:w="704" w:type="dxa"/>
            <w:tcBorders>
              <w:tl2br w:val="nil"/>
              <w:tr2bl w:val="nil"/>
            </w:tcBorders>
            <w:vAlign w:val="center"/>
          </w:tcPr>
          <w:p w14:paraId="4C987D7D">
            <w:pPr>
              <w:pStyle w:val="97"/>
              <w:numPr>
                <w:ilvl w:val="0"/>
                <w:numId w:val="13"/>
              </w:numPr>
              <w:ind w:left="-105" w:right="-105" w:firstLineChars="0"/>
              <w:jc w:val="center"/>
              <w:rPr>
                <w:rFonts w:eastAsia="宋体"/>
                <w:color w:val="auto"/>
                <w:kern w:val="0"/>
                <w:sz w:val="21"/>
                <w:szCs w:val="21"/>
                <w:highlight w:val="none"/>
                <w:lang w:val="zh-CN" w:bidi="zh-CN"/>
              </w:rPr>
            </w:pPr>
          </w:p>
        </w:tc>
        <w:tc>
          <w:tcPr>
            <w:tcW w:w="2131" w:type="dxa"/>
            <w:gridSpan w:val="3"/>
            <w:tcBorders>
              <w:tl2br w:val="nil"/>
              <w:tr2bl w:val="nil"/>
            </w:tcBorders>
            <w:shd w:val="clear" w:color="auto" w:fill="auto"/>
            <w:vAlign w:val="center"/>
          </w:tcPr>
          <w:p w14:paraId="75673FE3">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八士中学</w:t>
            </w:r>
          </w:p>
        </w:tc>
        <w:tc>
          <w:tcPr>
            <w:tcW w:w="1100" w:type="dxa"/>
            <w:gridSpan w:val="3"/>
            <w:tcBorders>
              <w:tl2br w:val="nil"/>
              <w:tr2bl w:val="nil"/>
            </w:tcBorders>
            <w:shd w:val="clear" w:color="auto" w:fill="auto"/>
            <w:vAlign w:val="center"/>
          </w:tcPr>
          <w:p w14:paraId="36D736AC">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W</w:t>
            </w:r>
          </w:p>
        </w:tc>
        <w:tc>
          <w:tcPr>
            <w:tcW w:w="1278" w:type="dxa"/>
            <w:gridSpan w:val="3"/>
            <w:tcBorders>
              <w:tl2br w:val="nil"/>
              <w:tr2bl w:val="nil"/>
            </w:tcBorders>
            <w:shd w:val="clear" w:color="auto" w:fill="auto"/>
            <w:vAlign w:val="center"/>
          </w:tcPr>
          <w:p w14:paraId="730D90EE">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967</w:t>
            </w:r>
          </w:p>
        </w:tc>
        <w:tc>
          <w:tcPr>
            <w:tcW w:w="1238" w:type="dxa"/>
            <w:gridSpan w:val="3"/>
            <w:tcBorders>
              <w:tl2br w:val="nil"/>
              <w:tr2bl w:val="nil"/>
            </w:tcBorders>
            <w:shd w:val="clear" w:color="auto" w:fill="auto"/>
            <w:vAlign w:val="center"/>
          </w:tcPr>
          <w:p w14:paraId="50427321">
            <w:pPr>
              <w:ind w:left="-105" w:right="-105"/>
              <w:jc w:val="center"/>
              <w:rPr>
                <w:rFonts w:ascii="Times New Roman" w:hAnsi="Times New Roman"/>
                <w:color w:val="auto"/>
                <w:sz w:val="21"/>
                <w:szCs w:val="21"/>
                <w:highlight w:val="none"/>
                <w:lang w:val="zh-CN" w:bidi="zh-CN"/>
              </w:rPr>
            </w:pPr>
            <w:r>
              <w:rPr>
                <w:rFonts w:hint="eastAsia" w:ascii="Times New Roman" w:hAnsi="Times New Roman"/>
                <w:color w:val="auto"/>
                <w:sz w:val="21"/>
                <w:szCs w:val="21"/>
                <w:highlight w:val="none"/>
              </w:rPr>
              <w:t>文化</w:t>
            </w:r>
            <w:r>
              <w:rPr>
                <w:rFonts w:ascii="Times New Roman" w:hAnsi="Times New Roman"/>
                <w:color w:val="auto"/>
                <w:sz w:val="21"/>
                <w:szCs w:val="21"/>
                <w:highlight w:val="none"/>
              </w:rPr>
              <w:t>区</w:t>
            </w:r>
          </w:p>
        </w:tc>
        <w:tc>
          <w:tcPr>
            <w:tcW w:w="1748" w:type="dxa"/>
            <w:tcBorders>
              <w:tl2br w:val="nil"/>
              <w:tr2bl w:val="nil"/>
            </w:tcBorders>
            <w:shd w:val="clear" w:color="auto" w:fill="auto"/>
            <w:vAlign w:val="center"/>
          </w:tcPr>
          <w:p w14:paraId="079FEF90">
            <w:pPr>
              <w:ind w:left="-105" w:right="-105"/>
              <w:jc w:val="center"/>
              <w:rPr>
                <w:rFonts w:ascii="Times New Roman" w:hAnsi="Times New Roman"/>
                <w:color w:val="auto"/>
                <w:sz w:val="21"/>
                <w:szCs w:val="21"/>
                <w:highlight w:val="none"/>
                <w:lang w:val="zh-CN" w:bidi="zh-CN"/>
              </w:rPr>
            </w:pPr>
            <w:r>
              <w:rPr>
                <w:rFonts w:hint="eastAsia" w:ascii="Times New Roman" w:hAnsi="Times New Roman"/>
                <w:color w:val="auto"/>
                <w:sz w:val="21"/>
                <w:szCs w:val="21"/>
                <w:highlight w:val="none"/>
              </w:rPr>
              <w:t>1200</w:t>
            </w:r>
            <w:r>
              <w:rPr>
                <w:rFonts w:ascii="Times New Roman" w:hAnsi="Times New Roman"/>
                <w:color w:val="auto"/>
                <w:sz w:val="21"/>
                <w:szCs w:val="21"/>
                <w:highlight w:val="none"/>
              </w:rPr>
              <w:t>人</w:t>
            </w:r>
          </w:p>
        </w:tc>
      </w:tr>
      <w:tr w14:paraId="2E37AF12">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851" w:type="dxa"/>
            <w:vMerge w:val="continue"/>
            <w:tcBorders>
              <w:tl2br w:val="nil"/>
              <w:tr2bl w:val="nil"/>
            </w:tcBorders>
            <w:vAlign w:val="center"/>
          </w:tcPr>
          <w:p w14:paraId="3464C250">
            <w:pPr>
              <w:ind w:left="-105" w:right="-105"/>
              <w:jc w:val="center"/>
              <w:rPr>
                <w:rFonts w:ascii="Times New Roman" w:hAnsi="Times New Roman"/>
                <w:color w:val="auto"/>
                <w:sz w:val="21"/>
                <w:szCs w:val="21"/>
                <w:highlight w:val="none"/>
                <w:lang w:val="zh-CN" w:bidi="zh-CN"/>
              </w:rPr>
            </w:pPr>
          </w:p>
        </w:tc>
        <w:tc>
          <w:tcPr>
            <w:tcW w:w="704" w:type="dxa"/>
            <w:tcBorders>
              <w:tl2br w:val="nil"/>
              <w:tr2bl w:val="nil"/>
            </w:tcBorders>
            <w:vAlign w:val="center"/>
          </w:tcPr>
          <w:p w14:paraId="0F402022">
            <w:pPr>
              <w:pStyle w:val="97"/>
              <w:numPr>
                <w:ilvl w:val="0"/>
                <w:numId w:val="13"/>
              </w:numPr>
              <w:ind w:left="-105" w:right="-105" w:firstLineChars="0"/>
              <w:jc w:val="center"/>
              <w:rPr>
                <w:rFonts w:eastAsia="宋体"/>
                <w:color w:val="auto"/>
                <w:kern w:val="0"/>
                <w:sz w:val="21"/>
                <w:szCs w:val="21"/>
                <w:highlight w:val="none"/>
                <w:lang w:val="zh-CN" w:bidi="zh-CN"/>
              </w:rPr>
            </w:pPr>
          </w:p>
        </w:tc>
        <w:tc>
          <w:tcPr>
            <w:tcW w:w="2131" w:type="dxa"/>
            <w:gridSpan w:val="3"/>
            <w:tcBorders>
              <w:tl2br w:val="nil"/>
              <w:tr2bl w:val="nil"/>
            </w:tcBorders>
            <w:shd w:val="clear" w:color="auto" w:fill="auto"/>
            <w:vAlign w:val="center"/>
          </w:tcPr>
          <w:p w14:paraId="2D2AC8F2">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枫情家园</w:t>
            </w:r>
          </w:p>
        </w:tc>
        <w:tc>
          <w:tcPr>
            <w:tcW w:w="1100" w:type="dxa"/>
            <w:gridSpan w:val="3"/>
            <w:tcBorders>
              <w:tl2br w:val="nil"/>
              <w:tr2bl w:val="nil"/>
            </w:tcBorders>
            <w:shd w:val="clear" w:color="auto" w:fill="auto"/>
            <w:vAlign w:val="center"/>
          </w:tcPr>
          <w:p w14:paraId="56FFF693">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W</w:t>
            </w:r>
          </w:p>
        </w:tc>
        <w:tc>
          <w:tcPr>
            <w:tcW w:w="1278" w:type="dxa"/>
            <w:gridSpan w:val="3"/>
            <w:tcBorders>
              <w:tl2br w:val="nil"/>
              <w:tr2bl w:val="nil"/>
            </w:tcBorders>
            <w:shd w:val="clear" w:color="auto" w:fill="auto"/>
            <w:vAlign w:val="center"/>
          </w:tcPr>
          <w:p w14:paraId="1CFA2E1E">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1147</w:t>
            </w:r>
          </w:p>
        </w:tc>
        <w:tc>
          <w:tcPr>
            <w:tcW w:w="1238" w:type="dxa"/>
            <w:gridSpan w:val="3"/>
            <w:tcBorders>
              <w:tl2br w:val="nil"/>
              <w:tr2bl w:val="nil"/>
            </w:tcBorders>
            <w:shd w:val="clear" w:color="auto" w:fill="auto"/>
            <w:vAlign w:val="center"/>
          </w:tcPr>
          <w:p w14:paraId="0317D823">
            <w:pPr>
              <w:ind w:left="-105" w:right="-105"/>
              <w:jc w:val="center"/>
              <w:rPr>
                <w:rFonts w:ascii="Times New Roman" w:hAnsi="Times New Roman"/>
                <w:color w:val="auto"/>
                <w:sz w:val="21"/>
                <w:szCs w:val="21"/>
                <w:highlight w:val="none"/>
                <w:lang w:val="zh-CN" w:bidi="zh-CN"/>
              </w:rPr>
            </w:pPr>
            <w:r>
              <w:rPr>
                <w:rFonts w:ascii="Times New Roman" w:hAnsi="Times New Roman"/>
                <w:color w:val="auto"/>
                <w:sz w:val="21"/>
                <w:szCs w:val="21"/>
                <w:highlight w:val="none"/>
              </w:rPr>
              <w:t>居住区</w:t>
            </w:r>
          </w:p>
        </w:tc>
        <w:tc>
          <w:tcPr>
            <w:tcW w:w="1748" w:type="dxa"/>
            <w:tcBorders>
              <w:tl2br w:val="nil"/>
              <w:tr2bl w:val="nil"/>
            </w:tcBorders>
            <w:shd w:val="clear" w:color="auto" w:fill="auto"/>
            <w:vAlign w:val="center"/>
          </w:tcPr>
          <w:p w14:paraId="723BE05F">
            <w:pPr>
              <w:ind w:left="-105" w:right="-105"/>
              <w:jc w:val="center"/>
              <w:rPr>
                <w:rFonts w:ascii="Times New Roman" w:hAnsi="Times New Roman"/>
                <w:color w:val="auto"/>
                <w:sz w:val="21"/>
                <w:szCs w:val="21"/>
                <w:highlight w:val="none"/>
                <w:lang w:val="zh-CN" w:bidi="zh-CN"/>
              </w:rPr>
            </w:pPr>
            <w:r>
              <w:rPr>
                <w:rFonts w:hint="eastAsia" w:ascii="Times New Roman" w:hAnsi="Times New Roman"/>
                <w:color w:val="auto"/>
                <w:sz w:val="21"/>
                <w:szCs w:val="21"/>
                <w:highlight w:val="none"/>
              </w:rPr>
              <w:t>800</w:t>
            </w:r>
            <w:r>
              <w:rPr>
                <w:rFonts w:ascii="Times New Roman" w:hAnsi="Times New Roman"/>
                <w:color w:val="auto"/>
                <w:sz w:val="21"/>
                <w:szCs w:val="21"/>
                <w:highlight w:val="none"/>
              </w:rPr>
              <w:t>户/</w:t>
            </w:r>
            <w:r>
              <w:rPr>
                <w:rFonts w:hint="eastAsia" w:ascii="Times New Roman" w:hAnsi="Times New Roman"/>
                <w:color w:val="auto"/>
                <w:sz w:val="21"/>
                <w:szCs w:val="21"/>
                <w:highlight w:val="none"/>
              </w:rPr>
              <w:t>3040</w:t>
            </w:r>
            <w:r>
              <w:rPr>
                <w:rFonts w:ascii="Times New Roman" w:hAnsi="Times New Roman"/>
                <w:color w:val="auto"/>
                <w:sz w:val="21"/>
                <w:szCs w:val="21"/>
                <w:highlight w:val="none"/>
              </w:rPr>
              <w:t>人</w:t>
            </w:r>
          </w:p>
        </w:tc>
      </w:tr>
      <w:tr w14:paraId="1535503F">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851" w:type="dxa"/>
            <w:vMerge w:val="continue"/>
            <w:tcBorders>
              <w:tl2br w:val="nil"/>
              <w:tr2bl w:val="nil"/>
            </w:tcBorders>
            <w:vAlign w:val="center"/>
          </w:tcPr>
          <w:p w14:paraId="7028CEA0">
            <w:pPr>
              <w:ind w:left="-105" w:right="-105"/>
              <w:jc w:val="center"/>
              <w:rPr>
                <w:rFonts w:ascii="Times New Roman" w:hAnsi="Times New Roman"/>
                <w:color w:val="auto"/>
                <w:sz w:val="21"/>
                <w:szCs w:val="21"/>
                <w:highlight w:val="none"/>
                <w:lang w:val="zh-CN" w:bidi="zh-CN"/>
              </w:rPr>
            </w:pPr>
          </w:p>
        </w:tc>
        <w:tc>
          <w:tcPr>
            <w:tcW w:w="704" w:type="dxa"/>
            <w:tcBorders>
              <w:tl2br w:val="nil"/>
              <w:tr2bl w:val="nil"/>
            </w:tcBorders>
            <w:vAlign w:val="center"/>
          </w:tcPr>
          <w:p w14:paraId="30DD85EC">
            <w:pPr>
              <w:pStyle w:val="97"/>
              <w:numPr>
                <w:ilvl w:val="0"/>
                <w:numId w:val="13"/>
              </w:numPr>
              <w:ind w:left="-105" w:right="-105" w:firstLineChars="0"/>
              <w:jc w:val="center"/>
              <w:rPr>
                <w:rFonts w:eastAsia="宋体"/>
                <w:color w:val="auto"/>
                <w:kern w:val="0"/>
                <w:sz w:val="21"/>
                <w:szCs w:val="21"/>
                <w:highlight w:val="none"/>
                <w:lang w:val="zh-CN" w:bidi="zh-CN"/>
              </w:rPr>
            </w:pPr>
          </w:p>
        </w:tc>
        <w:tc>
          <w:tcPr>
            <w:tcW w:w="2131" w:type="dxa"/>
            <w:gridSpan w:val="3"/>
            <w:tcBorders>
              <w:tl2br w:val="nil"/>
              <w:tr2bl w:val="nil"/>
            </w:tcBorders>
            <w:shd w:val="clear" w:color="auto" w:fill="auto"/>
            <w:vAlign w:val="center"/>
          </w:tcPr>
          <w:p w14:paraId="6854CEAD">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紫藤花苑</w:t>
            </w:r>
          </w:p>
        </w:tc>
        <w:tc>
          <w:tcPr>
            <w:tcW w:w="1100" w:type="dxa"/>
            <w:gridSpan w:val="3"/>
            <w:tcBorders>
              <w:tl2br w:val="nil"/>
              <w:tr2bl w:val="nil"/>
            </w:tcBorders>
            <w:shd w:val="clear" w:color="auto" w:fill="auto"/>
            <w:vAlign w:val="center"/>
          </w:tcPr>
          <w:p w14:paraId="27B1C943">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W</w:t>
            </w:r>
          </w:p>
        </w:tc>
        <w:tc>
          <w:tcPr>
            <w:tcW w:w="1278" w:type="dxa"/>
            <w:gridSpan w:val="3"/>
            <w:tcBorders>
              <w:tl2br w:val="nil"/>
              <w:tr2bl w:val="nil"/>
            </w:tcBorders>
            <w:shd w:val="clear" w:color="auto" w:fill="auto"/>
            <w:vAlign w:val="center"/>
          </w:tcPr>
          <w:p w14:paraId="575D4230">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1383</w:t>
            </w:r>
          </w:p>
        </w:tc>
        <w:tc>
          <w:tcPr>
            <w:tcW w:w="1238" w:type="dxa"/>
            <w:gridSpan w:val="3"/>
            <w:tcBorders>
              <w:tl2br w:val="nil"/>
              <w:tr2bl w:val="nil"/>
            </w:tcBorders>
            <w:shd w:val="clear" w:color="auto" w:fill="auto"/>
            <w:vAlign w:val="center"/>
          </w:tcPr>
          <w:p w14:paraId="732F2515">
            <w:pPr>
              <w:ind w:left="-105" w:right="-105"/>
              <w:jc w:val="center"/>
              <w:rPr>
                <w:rFonts w:ascii="Times New Roman" w:hAnsi="Times New Roman"/>
                <w:color w:val="auto"/>
                <w:sz w:val="21"/>
                <w:szCs w:val="21"/>
                <w:highlight w:val="none"/>
                <w:lang w:val="zh-CN" w:bidi="zh-CN"/>
              </w:rPr>
            </w:pPr>
            <w:r>
              <w:rPr>
                <w:rFonts w:hint="eastAsia" w:ascii="Times New Roman" w:hAnsi="Times New Roman"/>
                <w:color w:val="auto"/>
                <w:sz w:val="21"/>
                <w:szCs w:val="21"/>
                <w:highlight w:val="none"/>
              </w:rPr>
              <w:t>居住</w:t>
            </w:r>
            <w:r>
              <w:rPr>
                <w:rFonts w:ascii="Times New Roman" w:hAnsi="Times New Roman"/>
                <w:color w:val="auto"/>
                <w:sz w:val="21"/>
                <w:szCs w:val="21"/>
                <w:highlight w:val="none"/>
              </w:rPr>
              <w:t>区</w:t>
            </w:r>
          </w:p>
        </w:tc>
        <w:tc>
          <w:tcPr>
            <w:tcW w:w="1748" w:type="dxa"/>
            <w:tcBorders>
              <w:tl2br w:val="nil"/>
              <w:tr2bl w:val="nil"/>
            </w:tcBorders>
            <w:shd w:val="clear" w:color="auto" w:fill="auto"/>
            <w:vAlign w:val="center"/>
          </w:tcPr>
          <w:p w14:paraId="154BBDAA">
            <w:pPr>
              <w:ind w:left="-105" w:right="-105"/>
              <w:jc w:val="center"/>
              <w:rPr>
                <w:rFonts w:ascii="Times New Roman" w:hAnsi="Times New Roman"/>
                <w:color w:val="auto"/>
                <w:sz w:val="21"/>
                <w:szCs w:val="21"/>
                <w:highlight w:val="none"/>
                <w:lang w:val="zh-CN" w:bidi="zh-CN"/>
              </w:rPr>
            </w:pPr>
            <w:r>
              <w:rPr>
                <w:rFonts w:hint="eastAsia" w:ascii="Times New Roman" w:hAnsi="Times New Roman"/>
                <w:color w:val="auto"/>
                <w:sz w:val="21"/>
                <w:szCs w:val="21"/>
                <w:highlight w:val="none"/>
              </w:rPr>
              <w:t>200</w:t>
            </w:r>
            <w:r>
              <w:rPr>
                <w:rFonts w:ascii="Times New Roman" w:hAnsi="Times New Roman"/>
                <w:color w:val="auto"/>
                <w:sz w:val="21"/>
                <w:szCs w:val="21"/>
                <w:highlight w:val="none"/>
              </w:rPr>
              <w:t>户/</w:t>
            </w:r>
            <w:r>
              <w:rPr>
                <w:rFonts w:hint="eastAsia" w:ascii="Times New Roman" w:hAnsi="Times New Roman"/>
                <w:color w:val="auto"/>
                <w:sz w:val="21"/>
                <w:szCs w:val="21"/>
                <w:highlight w:val="none"/>
              </w:rPr>
              <w:t>700</w:t>
            </w:r>
            <w:r>
              <w:rPr>
                <w:rFonts w:ascii="Times New Roman" w:hAnsi="Times New Roman"/>
                <w:color w:val="auto"/>
                <w:sz w:val="21"/>
                <w:szCs w:val="21"/>
                <w:highlight w:val="none"/>
              </w:rPr>
              <w:t>人</w:t>
            </w:r>
          </w:p>
        </w:tc>
      </w:tr>
      <w:tr w14:paraId="165F17E3">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851" w:type="dxa"/>
            <w:vMerge w:val="continue"/>
            <w:tcBorders>
              <w:tl2br w:val="nil"/>
              <w:tr2bl w:val="nil"/>
            </w:tcBorders>
            <w:vAlign w:val="center"/>
          </w:tcPr>
          <w:p w14:paraId="7C83DF74">
            <w:pPr>
              <w:ind w:left="-105" w:right="-105"/>
              <w:jc w:val="center"/>
              <w:rPr>
                <w:rFonts w:ascii="Times New Roman" w:hAnsi="Times New Roman"/>
                <w:color w:val="auto"/>
                <w:sz w:val="21"/>
                <w:szCs w:val="21"/>
                <w:highlight w:val="none"/>
                <w:lang w:val="zh-CN" w:bidi="zh-CN"/>
              </w:rPr>
            </w:pPr>
          </w:p>
        </w:tc>
        <w:tc>
          <w:tcPr>
            <w:tcW w:w="704" w:type="dxa"/>
            <w:tcBorders>
              <w:tl2br w:val="nil"/>
              <w:tr2bl w:val="nil"/>
            </w:tcBorders>
            <w:vAlign w:val="center"/>
          </w:tcPr>
          <w:p w14:paraId="606C38A9">
            <w:pPr>
              <w:pStyle w:val="97"/>
              <w:numPr>
                <w:ilvl w:val="0"/>
                <w:numId w:val="13"/>
              </w:numPr>
              <w:ind w:left="-105" w:right="-105" w:firstLineChars="0"/>
              <w:jc w:val="center"/>
              <w:rPr>
                <w:rFonts w:eastAsia="宋体"/>
                <w:color w:val="auto"/>
                <w:kern w:val="0"/>
                <w:sz w:val="21"/>
                <w:szCs w:val="21"/>
                <w:highlight w:val="none"/>
                <w:lang w:val="zh-CN" w:bidi="zh-CN"/>
              </w:rPr>
            </w:pPr>
          </w:p>
        </w:tc>
        <w:tc>
          <w:tcPr>
            <w:tcW w:w="2131" w:type="dxa"/>
            <w:gridSpan w:val="3"/>
            <w:tcBorders>
              <w:tl2br w:val="nil"/>
              <w:tr2bl w:val="nil"/>
            </w:tcBorders>
            <w:shd w:val="clear" w:color="auto" w:fill="auto"/>
            <w:vAlign w:val="center"/>
          </w:tcPr>
          <w:p w14:paraId="4240DE8C">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下大河</w:t>
            </w:r>
          </w:p>
        </w:tc>
        <w:tc>
          <w:tcPr>
            <w:tcW w:w="1100" w:type="dxa"/>
            <w:gridSpan w:val="3"/>
            <w:tcBorders>
              <w:tl2br w:val="nil"/>
              <w:tr2bl w:val="nil"/>
            </w:tcBorders>
            <w:shd w:val="clear" w:color="auto" w:fill="auto"/>
            <w:vAlign w:val="center"/>
          </w:tcPr>
          <w:p w14:paraId="77C2ACD6">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SW</w:t>
            </w:r>
          </w:p>
        </w:tc>
        <w:tc>
          <w:tcPr>
            <w:tcW w:w="1278" w:type="dxa"/>
            <w:gridSpan w:val="3"/>
            <w:tcBorders>
              <w:tl2br w:val="nil"/>
              <w:tr2bl w:val="nil"/>
            </w:tcBorders>
            <w:shd w:val="clear" w:color="auto" w:fill="auto"/>
            <w:vAlign w:val="center"/>
          </w:tcPr>
          <w:p w14:paraId="047F488A">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1394</w:t>
            </w:r>
          </w:p>
        </w:tc>
        <w:tc>
          <w:tcPr>
            <w:tcW w:w="1238" w:type="dxa"/>
            <w:gridSpan w:val="3"/>
            <w:tcBorders>
              <w:tl2br w:val="nil"/>
              <w:tr2bl w:val="nil"/>
            </w:tcBorders>
            <w:shd w:val="clear" w:color="auto" w:fill="auto"/>
            <w:vAlign w:val="center"/>
          </w:tcPr>
          <w:p w14:paraId="78C53804">
            <w:pPr>
              <w:ind w:left="-105" w:right="-105"/>
              <w:jc w:val="center"/>
              <w:rPr>
                <w:rFonts w:ascii="Times New Roman" w:hAnsi="Times New Roman"/>
                <w:color w:val="auto"/>
                <w:sz w:val="21"/>
                <w:szCs w:val="21"/>
                <w:highlight w:val="none"/>
                <w:lang w:val="zh-CN" w:bidi="zh-CN"/>
              </w:rPr>
            </w:pPr>
            <w:r>
              <w:rPr>
                <w:rFonts w:ascii="Times New Roman" w:hAnsi="Times New Roman"/>
                <w:color w:val="auto"/>
                <w:sz w:val="21"/>
                <w:szCs w:val="21"/>
                <w:highlight w:val="none"/>
              </w:rPr>
              <w:t>居住区</w:t>
            </w:r>
          </w:p>
        </w:tc>
        <w:tc>
          <w:tcPr>
            <w:tcW w:w="1748" w:type="dxa"/>
            <w:tcBorders>
              <w:tl2br w:val="nil"/>
              <w:tr2bl w:val="nil"/>
            </w:tcBorders>
            <w:shd w:val="clear" w:color="auto" w:fill="auto"/>
            <w:vAlign w:val="center"/>
          </w:tcPr>
          <w:p w14:paraId="487EA0DA">
            <w:pPr>
              <w:ind w:left="-105" w:right="-105"/>
              <w:jc w:val="center"/>
              <w:rPr>
                <w:rFonts w:ascii="Times New Roman" w:hAnsi="Times New Roman"/>
                <w:color w:val="auto"/>
                <w:sz w:val="21"/>
                <w:szCs w:val="21"/>
                <w:highlight w:val="none"/>
                <w:lang w:val="zh-CN" w:bidi="zh-CN"/>
              </w:rPr>
            </w:pPr>
            <w:r>
              <w:rPr>
                <w:rFonts w:hint="eastAsia" w:ascii="Times New Roman" w:hAnsi="Times New Roman"/>
                <w:color w:val="auto"/>
                <w:sz w:val="21"/>
                <w:szCs w:val="21"/>
                <w:highlight w:val="none"/>
              </w:rPr>
              <w:t>10</w:t>
            </w:r>
            <w:r>
              <w:rPr>
                <w:rFonts w:ascii="Times New Roman" w:hAnsi="Times New Roman"/>
                <w:color w:val="auto"/>
                <w:sz w:val="21"/>
                <w:szCs w:val="21"/>
                <w:highlight w:val="none"/>
              </w:rPr>
              <w:t>户/</w:t>
            </w:r>
            <w:r>
              <w:rPr>
                <w:rFonts w:hint="eastAsia" w:ascii="Times New Roman" w:hAnsi="Times New Roman"/>
                <w:color w:val="auto"/>
                <w:sz w:val="21"/>
                <w:szCs w:val="21"/>
                <w:highlight w:val="none"/>
              </w:rPr>
              <w:t>35</w:t>
            </w:r>
            <w:r>
              <w:rPr>
                <w:rFonts w:ascii="Times New Roman" w:hAnsi="Times New Roman"/>
                <w:color w:val="auto"/>
                <w:sz w:val="21"/>
                <w:szCs w:val="21"/>
                <w:highlight w:val="none"/>
              </w:rPr>
              <w:t>人</w:t>
            </w:r>
          </w:p>
        </w:tc>
      </w:tr>
      <w:tr w14:paraId="01FE81F9">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851" w:type="dxa"/>
            <w:vMerge w:val="continue"/>
            <w:tcBorders>
              <w:tl2br w:val="nil"/>
              <w:tr2bl w:val="nil"/>
            </w:tcBorders>
            <w:vAlign w:val="center"/>
          </w:tcPr>
          <w:p w14:paraId="53EE04E2">
            <w:pPr>
              <w:ind w:left="-105" w:right="-105"/>
              <w:jc w:val="center"/>
              <w:rPr>
                <w:rFonts w:ascii="Times New Roman" w:hAnsi="Times New Roman"/>
                <w:color w:val="auto"/>
                <w:sz w:val="21"/>
                <w:szCs w:val="21"/>
                <w:highlight w:val="none"/>
                <w:lang w:val="zh-CN" w:bidi="zh-CN"/>
              </w:rPr>
            </w:pPr>
          </w:p>
        </w:tc>
        <w:tc>
          <w:tcPr>
            <w:tcW w:w="704" w:type="dxa"/>
            <w:tcBorders>
              <w:tl2br w:val="nil"/>
              <w:tr2bl w:val="nil"/>
            </w:tcBorders>
            <w:vAlign w:val="center"/>
          </w:tcPr>
          <w:p w14:paraId="52DCF991">
            <w:pPr>
              <w:pStyle w:val="97"/>
              <w:numPr>
                <w:ilvl w:val="0"/>
                <w:numId w:val="13"/>
              </w:numPr>
              <w:ind w:left="-105" w:right="-105" w:firstLineChars="0"/>
              <w:jc w:val="center"/>
              <w:rPr>
                <w:rFonts w:eastAsia="宋体"/>
                <w:color w:val="auto"/>
                <w:kern w:val="0"/>
                <w:sz w:val="21"/>
                <w:szCs w:val="21"/>
                <w:highlight w:val="none"/>
                <w:lang w:val="zh-CN" w:bidi="zh-CN"/>
              </w:rPr>
            </w:pPr>
          </w:p>
        </w:tc>
        <w:tc>
          <w:tcPr>
            <w:tcW w:w="2131" w:type="dxa"/>
            <w:gridSpan w:val="3"/>
            <w:tcBorders>
              <w:tl2br w:val="nil"/>
              <w:tr2bl w:val="nil"/>
            </w:tcBorders>
            <w:shd w:val="clear" w:color="auto" w:fill="auto"/>
            <w:vAlign w:val="center"/>
          </w:tcPr>
          <w:p w14:paraId="23574017">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邵巷</w:t>
            </w:r>
          </w:p>
        </w:tc>
        <w:tc>
          <w:tcPr>
            <w:tcW w:w="1100" w:type="dxa"/>
            <w:gridSpan w:val="3"/>
            <w:tcBorders>
              <w:tl2br w:val="nil"/>
              <w:tr2bl w:val="nil"/>
            </w:tcBorders>
            <w:shd w:val="clear" w:color="auto" w:fill="auto"/>
            <w:vAlign w:val="center"/>
          </w:tcPr>
          <w:p w14:paraId="34719876">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W</w:t>
            </w:r>
          </w:p>
        </w:tc>
        <w:tc>
          <w:tcPr>
            <w:tcW w:w="1278" w:type="dxa"/>
            <w:gridSpan w:val="3"/>
            <w:tcBorders>
              <w:tl2br w:val="nil"/>
              <w:tr2bl w:val="nil"/>
            </w:tcBorders>
            <w:shd w:val="clear" w:color="auto" w:fill="auto"/>
            <w:vAlign w:val="center"/>
          </w:tcPr>
          <w:p w14:paraId="750E3FDF">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2397</w:t>
            </w:r>
          </w:p>
        </w:tc>
        <w:tc>
          <w:tcPr>
            <w:tcW w:w="1238" w:type="dxa"/>
            <w:gridSpan w:val="3"/>
            <w:tcBorders>
              <w:tl2br w:val="nil"/>
              <w:tr2bl w:val="nil"/>
            </w:tcBorders>
            <w:shd w:val="clear" w:color="auto" w:fill="auto"/>
            <w:vAlign w:val="center"/>
          </w:tcPr>
          <w:p w14:paraId="2803446C">
            <w:pPr>
              <w:ind w:left="-105" w:right="-105"/>
              <w:jc w:val="center"/>
              <w:rPr>
                <w:rFonts w:ascii="Times New Roman" w:hAnsi="Times New Roman"/>
                <w:color w:val="auto"/>
                <w:sz w:val="21"/>
                <w:szCs w:val="21"/>
                <w:highlight w:val="none"/>
                <w:lang w:val="zh-CN" w:bidi="zh-CN"/>
              </w:rPr>
            </w:pPr>
            <w:r>
              <w:rPr>
                <w:rFonts w:ascii="Times New Roman" w:hAnsi="Times New Roman"/>
                <w:color w:val="auto"/>
                <w:sz w:val="21"/>
                <w:szCs w:val="21"/>
                <w:highlight w:val="none"/>
              </w:rPr>
              <w:t>居住区</w:t>
            </w:r>
          </w:p>
        </w:tc>
        <w:tc>
          <w:tcPr>
            <w:tcW w:w="1748" w:type="dxa"/>
            <w:tcBorders>
              <w:tl2br w:val="nil"/>
              <w:tr2bl w:val="nil"/>
            </w:tcBorders>
            <w:shd w:val="clear" w:color="auto" w:fill="auto"/>
            <w:vAlign w:val="center"/>
          </w:tcPr>
          <w:p w14:paraId="5092D1C8">
            <w:pPr>
              <w:ind w:left="-105" w:right="-105"/>
              <w:jc w:val="center"/>
              <w:rPr>
                <w:rFonts w:ascii="Times New Roman" w:hAnsi="Times New Roman"/>
                <w:color w:val="auto"/>
                <w:sz w:val="21"/>
                <w:szCs w:val="21"/>
                <w:highlight w:val="none"/>
                <w:lang w:val="zh-CN" w:bidi="zh-CN"/>
              </w:rPr>
            </w:pPr>
            <w:r>
              <w:rPr>
                <w:rFonts w:hint="eastAsia" w:ascii="Times New Roman" w:hAnsi="Times New Roman"/>
                <w:color w:val="auto"/>
                <w:sz w:val="21"/>
                <w:szCs w:val="21"/>
                <w:highlight w:val="none"/>
              </w:rPr>
              <w:t>50</w:t>
            </w:r>
            <w:r>
              <w:rPr>
                <w:rFonts w:ascii="Times New Roman" w:hAnsi="Times New Roman"/>
                <w:color w:val="auto"/>
                <w:sz w:val="21"/>
                <w:szCs w:val="21"/>
                <w:highlight w:val="none"/>
              </w:rPr>
              <w:t>户/</w:t>
            </w:r>
            <w:r>
              <w:rPr>
                <w:rFonts w:hint="eastAsia" w:ascii="Times New Roman" w:hAnsi="Times New Roman"/>
                <w:color w:val="auto"/>
                <w:sz w:val="21"/>
                <w:szCs w:val="21"/>
                <w:highlight w:val="none"/>
              </w:rPr>
              <w:t>175</w:t>
            </w:r>
            <w:r>
              <w:rPr>
                <w:rFonts w:ascii="Times New Roman" w:hAnsi="Times New Roman"/>
                <w:color w:val="auto"/>
                <w:sz w:val="21"/>
                <w:szCs w:val="21"/>
                <w:highlight w:val="none"/>
              </w:rPr>
              <w:t>人</w:t>
            </w:r>
          </w:p>
        </w:tc>
      </w:tr>
      <w:tr w14:paraId="211885B8">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851" w:type="dxa"/>
            <w:vMerge w:val="continue"/>
            <w:tcBorders>
              <w:tl2br w:val="nil"/>
              <w:tr2bl w:val="nil"/>
            </w:tcBorders>
            <w:vAlign w:val="center"/>
          </w:tcPr>
          <w:p w14:paraId="234C6C3D">
            <w:pPr>
              <w:ind w:left="-105" w:right="-105"/>
              <w:jc w:val="center"/>
              <w:rPr>
                <w:rFonts w:ascii="Times New Roman" w:hAnsi="Times New Roman"/>
                <w:color w:val="auto"/>
                <w:sz w:val="21"/>
                <w:szCs w:val="21"/>
                <w:highlight w:val="none"/>
                <w:lang w:val="zh-CN" w:bidi="zh-CN"/>
              </w:rPr>
            </w:pPr>
          </w:p>
        </w:tc>
        <w:tc>
          <w:tcPr>
            <w:tcW w:w="704" w:type="dxa"/>
            <w:tcBorders>
              <w:tl2br w:val="nil"/>
              <w:tr2bl w:val="nil"/>
            </w:tcBorders>
            <w:vAlign w:val="center"/>
          </w:tcPr>
          <w:p w14:paraId="5C622626">
            <w:pPr>
              <w:pStyle w:val="97"/>
              <w:numPr>
                <w:ilvl w:val="0"/>
                <w:numId w:val="13"/>
              </w:numPr>
              <w:ind w:left="-105" w:right="-105" w:firstLineChars="0"/>
              <w:jc w:val="center"/>
              <w:rPr>
                <w:rFonts w:eastAsia="宋体"/>
                <w:color w:val="auto"/>
                <w:kern w:val="0"/>
                <w:sz w:val="21"/>
                <w:szCs w:val="21"/>
                <w:highlight w:val="none"/>
                <w:lang w:val="zh-CN" w:bidi="zh-CN"/>
              </w:rPr>
            </w:pPr>
          </w:p>
        </w:tc>
        <w:tc>
          <w:tcPr>
            <w:tcW w:w="2131" w:type="dxa"/>
            <w:gridSpan w:val="3"/>
            <w:tcBorders>
              <w:tl2br w:val="nil"/>
              <w:tr2bl w:val="nil"/>
            </w:tcBorders>
            <w:shd w:val="clear" w:color="auto" w:fill="auto"/>
            <w:vAlign w:val="center"/>
          </w:tcPr>
          <w:p w14:paraId="0A1A2D9F">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农坝村</w:t>
            </w:r>
          </w:p>
        </w:tc>
        <w:tc>
          <w:tcPr>
            <w:tcW w:w="1100" w:type="dxa"/>
            <w:gridSpan w:val="3"/>
            <w:tcBorders>
              <w:tl2br w:val="nil"/>
              <w:tr2bl w:val="nil"/>
            </w:tcBorders>
            <w:shd w:val="clear" w:color="auto" w:fill="auto"/>
            <w:vAlign w:val="center"/>
          </w:tcPr>
          <w:p w14:paraId="0D0D0CB9">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W</w:t>
            </w:r>
          </w:p>
        </w:tc>
        <w:tc>
          <w:tcPr>
            <w:tcW w:w="1278" w:type="dxa"/>
            <w:gridSpan w:val="3"/>
            <w:tcBorders>
              <w:tl2br w:val="nil"/>
              <w:tr2bl w:val="nil"/>
            </w:tcBorders>
            <w:shd w:val="clear" w:color="auto" w:fill="auto"/>
            <w:vAlign w:val="center"/>
          </w:tcPr>
          <w:p w14:paraId="3F35D218">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3095</w:t>
            </w:r>
          </w:p>
        </w:tc>
        <w:tc>
          <w:tcPr>
            <w:tcW w:w="1238" w:type="dxa"/>
            <w:gridSpan w:val="3"/>
            <w:tcBorders>
              <w:tl2br w:val="nil"/>
              <w:tr2bl w:val="nil"/>
            </w:tcBorders>
            <w:shd w:val="clear" w:color="auto" w:fill="auto"/>
            <w:vAlign w:val="center"/>
          </w:tcPr>
          <w:p w14:paraId="5B3F6E5E">
            <w:pPr>
              <w:ind w:left="-105" w:right="-105"/>
              <w:jc w:val="center"/>
              <w:rPr>
                <w:rFonts w:ascii="Times New Roman" w:hAnsi="Times New Roman"/>
                <w:color w:val="auto"/>
                <w:sz w:val="21"/>
                <w:szCs w:val="21"/>
                <w:highlight w:val="none"/>
                <w:lang w:val="zh-CN" w:bidi="zh-CN"/>
              </w:rPr>
            </w:pPr>
            <w:r>
              <w:rPr>
                <w:rFonts w:ascii="Times New Roman" w:hAnsi="Times New Roman"/>
                <w:color w:val="auto"/>
                <w:sz w:val="21"/>
                <w:szCs w:val="21"/>
                <w:highlight w:val="none"/>
              </w:rPr>
              <w:t>居住区</w:t>
            </w:r>
          </w:p>
        </w:tc>
        <w:tc>
          <w:tcPr>
            <w:tcW w:w="1748" w:type="dxa"/>
            <w:tcBorders>
              <w:tl2br w:val="nil"/>
              <w:tr2bl w:val="nil"/>
            </w:tcBorders>
            <w:shd w:val="clear" w:color="auto" w:fill="auto"/>
            <w:vAlign w:val="center"/>
          </w:tcPr>
          <w:p w14:paraId="5C31E615">
            <w:pPr>
              <w:ind w:left="-105" w:right="-105"/>
              <w:jc w:val="center"/>
              <w:rPr>
                <w:rFonts w:ascii="Times New Roman" w:hAnsi="Times New Roman"/>
                <w:color w:val="auto"/>
                <w:sz w:val="21"/>
                <w:szCs w:val="21"/>
                <w:highlight w:val="none"/>
                <w:lang w:val="zh-CN" w:bidi="zh-CN"/>
              </w:rPr>
            </w:pPr>
            <w:r>
              <w:rPr>
                <w:rFonts w:hint="eastAsia" w:ascii="Times New Roman" w:hAnsi="Times New Roman"/>
                <w:color w:val="auto"/>
                <w:sz w:val="21"/>
                <w:szCs w:val="21"/>
                <w:highlight w:val="none"/>
              </w:rPr>
              <w:t>200</w:t>
            </w:r>
            <w:r>
              <w:rPr>
                <w:rFonts w:ascii="Times New Roman" w:hAnsi="Times New Roman"/>
                <w:color w:val="auto"/>
                <w:sz w:val="21"/>
                <w:szCs w:val="21"/>
                <w:highlight w:val="none"/>
              </w:rPr>
              <w:t>户/</w:t>
            </w:r>
            <w:r>
              <w:rPr>
                <w:rFonts w:hint="eastAsia" w:ascii="Times New Roman" w:hAnsi="Times New Roman"/>
                <w:color w:val="auto"/>
                <w:sz w:val="21"/>
                <w:szCs w:val="21"/>
                <w:highlight w:val="none"/>
              </w:rPr>
              <w:t>700</w:t>
            </w:r>
            <w:r>
              <w:rPr>
                <w:rFonts w:ascii="Times New Roman" w:hAnsi="Times New Roman"/>
                <w:color w:val="auto"/>
                <w:sz w:val="21"/>
                <w:szCs w:val="21"/>
                <w:highlight w:val="none"/>
              </w:rPr>
              <w:t>人</w:t>
            </w:r>
          </w:p>
        </w:tc>
      </w:tr>
      <w:tr w14:paraId="6691B3DE">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851" w:type="dxa"/>
            <w:vMerge w:val="continue"/>
            <w:tcBorders>
              <w:tl2br w:val="nil"/>
              <w:tr2bl w:val="nil"/>
            </w:tcBorders>
            <w:vAlign w:val="center"/>
          </w:tcPr>
          <w:p w14:paraId="1FD24628">
            <w:pPr>
              <w:ind w:left="-105" w:right="-105"/>
              <w:jc w:val="center"/>
              <w:rPr>
                <w:rFonts w:ascii="Times New Roman" w:hAnsi="Times New Roman"/>
                <w:color w:val="auto"/>
                <w:sz w:val="21"/>
                <w:szCs w:val="21"/>
                <w:highlight w:val="none"/>
                <w:lang w:val="zh-CN" w:bidi="zh-CN"/>
              </w:rPr>
            </w:pPr>
          </w:p>
        </w:tc>
        <w:tc>
          <w:tcPr>
            <w:tcW w:w="704" w:type="dxa"/>
            <w:tcBorders>
              <w:tl2br w:val="nil"/>
              <w:tr2bl w:val="nil"/>
            </w:tcBorders>
            <w:vAlign w:val="center"/>
          </w:tcPr>
          <w:p w14:paraId="437D4224">
            <w:pPr>
              <w:pStyle w:val="97"/>
              <w:numPr>
                <w:ilvl w:val="0"/>
                <w:numId w:val="13"/>
              </w:numPr>
              <w:ind w:left="-105" w:right="-105" w:firstLineChars="0"/>
              <w:jc w:val="center"/>
              <w:rPr>
                <w:rFonts w:eastAsia="宋体"/>
                <w:color w:val="auto"/>
                <w:kern w:val="0"/>
                <w:sz w:val="21"/>
                <w:szCs w:val="21"/>
                <w:highlight w:val="none"/>
                <w:lang w:val="zh-CN" w:bidi="zh-CN"/>
              </w:rPr>
            </w:pPr>
          </w:p>
        </w:tc>
        <w:tc>
          <w:tcPr>
            <w:tcW w:w="2131" w:type="dxa"/>
            <w:gridSpan w:val="3"/>
            <w:tcBorders>
              <w:tl2br w:val="nil"/>
              <w:tr2bl w:val="nil"/>
            </w:tcBorders>
            <w:shd w:val="clear" w:color="auto" w:fill="auto"/>
            <w:vAlign w:val="center"/>
          </w:tcPr>
          <w:p w14:paraId="7EE35464">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侬坝小学</w:t>
            </w:r>
          </w:p>
        </w:tc>
        <w:tc>
          <w:tcPr>
            <w:tcW w:w="1100" w:type="dxa"/>
            <w:gridSpan w:val="3"/>
            <w:tcBorders>
              <w:tl2br w:val="nil"/>
              <w:tr2bl w:val="nil"/>
            </w:tcBorders>
            <w:shd w:val="clear" w:color="auto" w:fill="auto"/>
            <w:vAlign w:val="center"/>
          </w:tcPr>
          <w:p w14:paraId="3416C241">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W</w:t>
            </w:r>
          </w:p>
        </w:tc>
        <w:tc>
          <w:tcPr>
            <w:tcW w:w="1278" w:type="dxa"/>
            <w:gridSpan w:val="3"/>
            <w:tcBorders>
              <w:tl2br w:val="nil"/>
              <w:tr2bl w:val="nil"/>
            </w:tcBorders>
            <w:shd w:val="clear" w:color="auto" w:fill="auto"/>
            <w:vAlign w:val="center"/>
          </w:tcPr>
          <w:p w14:paraId="31304665">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3458</w:t>
            </w:r>
          </w:p>
        </w:tc>
        <w:tc>
          <w:tcPr>
            <w:tcW w:w="1238" w:type="dxa"/>
            <w:gridSpan w:val="3"/>
            <w:tcBorders>
              <w:tl2br w:val="nil"/>
              <w:tr2bl w:val="nil"/>
            </w:tcBorders>
            <w:shd w:val="clear" w:color="auto" w:fill="auto"/>
            <w:vAlign w:val="center"/>
          </w:tcPr>
          <w:p w14:paraId="41454FDF">
            <w:pPr>
              <w:ind w:left="-105" w:right="-105"/>
              <w:jc w:val="center"/>
              <w:rPr>
                <w:rFonts w:ascii="Times New Roman" w:hAnsi="Times New Roman"/>
                <w:color w:val="auto"/>
                <w:sz w:val="21"/>
                <w:szCs w:val="21"/>
                <w:highlight w:val="none"/>
                <w:lang w:val="zh-CN" w:bidi="zh-CN"/>
              </w:rPr>
            </w:pPr>
            <w:r>
              <w:rPr>
                <w:rFonts w:hint="eastAsia" w:ascii="Times New Roman" w:hAnsi="Times New Roman"/>
                <w:color w:val="auto"/>
                <w:sz w:val="21"/>
                <w:szCs w:val="21"/>
                <w:highlight w:val="none"/>
              </w:rPr>
              <w:t>文化</w:t>
            </w:r>
            <w:r>
              <w:rPr>
                <w:rFonts w:ascii="Times New Roman" w:hAnsi="Times New Roman"/>
                <w:color w:val="auto"/>
                <w:sz w:val="21"/>
                <w:szCs w:val="21"/>
                <w:highlight w:val="none"/>
              </w:rPr>
              <w:t>区</w:t>
            </w:r>
          </w:p>
        </w:tc>
        <w:tc>
          <w:tcPr>
            <w:tcW w:w="1748" w:type="dxa"/>
            <w:tcBorders>
              <w:tl2br w:val="nil"/>
              <w:tr2bl w:val="nil"/>
            </w:tcBorders>
            <w:shd w:val="clear" w:color="auto" w:fill="auto"/>
            <w:vAlign w:val="center"/>
          </w:tcPr>
          <w:p w14:paraId="61B06AC1">
            <w:pPr>
              <w:ind w:left="-105" w:right="-105"/>
              <w:jc w:val="center"/>
              <w:rPr>
                <w:rFonts w:ascii="Times New Roman" w:hAnsi="Times New Roman"/>
                <w:color w:val="auto"/>
                <w:sz w:val="21"/>
                <w:szCs w:val="21"/>
                <w:highlight w:val="none"/>
                <w:lang w:val="zh-CN" w:bidi="zh-CN"/>
              </w:rPr>
            </w:pPr>
            <w:r>
              <w:rPr>
                <w:rFonts w:hint="eastAsia" w:ascii="Times New Roman" w:hAnsi="Times New Roman"/>
                <w:color w:val="auto"/>
                <w:sz w:val="21"/>
                <w:szCs w:val="21"/>
                <w:highlight w:val="none"/>
              </w:rPr>
              <w:t>1000</w:t>
            </w:r>
            <w:r>
              <w:rPr>
                <w:rFonts w:ascii="Times New Roman" w:hAnsi="Times New Roman"/>
                <w:color w:val="auto"/>
                <w:sz w:val="21"/>
                <w:szCs w:val="21"/>
                <w:highlight w:val="none"/>
              </w:rPr>
              <w:t>人</w:t>
            </w:r>
          </w:p>
        </w:tc>
      </w:tr>
      <w:tr w14:paraId="18EF92B3">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851" w:type="dxa"/>
            <w:vMerge w:val="continue"/>
            <w:tcBorders>
              <w:tl2br w:val="nil"/>
              <w:tr2bl w:val="nil"/>
            </w:tcBorders>
            <w:vAlign w:val="center"/>
          </w:tcPr>
          <w:p w14:paraId="6A54B285">
            <w:pPr>
              <w:ind w:left="-105" w:right="-105"/>
              <w:jc w:val="center"/>
              <w:rPr>
                <w:rFonts w:ascii="Times New Roman" w:hAnsi="Times New Roman"/>
                <w:color w:val="auto"/>
                <w:sz w:val="21"/>
                <w:szCs w:val="21"/>
                <w:highlight w:val="none"/>
                <w:lang w:val="zh-CN" w:bidi="zh-CN"/>
              </w:rPr>
            </w:pPr>
          </w:p>
        </w:tc>
        <w:tc>
          <w:tcPr>
            <w:tcW w:w="704" w:type="dxa"/>
            <w:tcBorders>
              <w:tl2br w:val="nil"/>
              <w:tr2bl w:val="nil"/>
            </w:tcBorders>
            <w:vAlign w:val="center"/>
          </w:tcPr>
          <w:p w14:paraId="34F506E0">
            <w:pPr>
              <w:pStyle w:val="97"/>
              <w:numPr>
                <w:ilvl w:val="0"/>
                <w:numId w:val="13"/>
              </w:numPr>
              <w:ind w:left="-105" w:right="-105" w:firstLineChars="0"/>
              <w:jc w:val="center"/>
              <w:rPr>
                <w:rFonts w:eastAsia="宋体"/>
                <w:color w:val="auto"/>
                <w:kern w:val="0"/>
                <w:sz w:val="21"/>
                <w:szCs w:val="21"/>
                <w:highlight w:val="none"/>
                <w:lang w:val="zh-CN" w:bidi="zh-CN"/>
              </w:rPr>
            </w:pPr>
          </w:p>
        </w:tc>
        <w:tc>
          <w:tcPr>
            <w:tcW w:w="2131" w:type="dxa"/>
            <w:gridSpan w:val="3"/>
            <w:tcBorders>
              <w:tl2br w:val="nil"/>
              <w:tr2bl w:val="nil"/>
            </w:tcBorders>
            <w:shd w:val="clear" w:color="auto" w:fill="auto"/>
            <w:vAlign w:val="center"/>
          </w:tcPr>
          <w:p w14:paraId="771119E6">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杨家桥</w:t>
            </w:r>
          </w:p>
        </w:tc>
        <w:tc>
          <w:tcPr>
            <w:tcW w:w="1100" w:type="dxa"/>
            <w:gridSpan w:val="3"/>
            <w:tcBorders>
              <w:tl2br w:val="nil"/>
              <w:tr2bl w:val="nil"/>
            </w:tcBorders>
            <w:shd w:val="clear" w:color="auto" w:fill="auto"/>
            <w:vAlign w:val="center"/>
          </w:tcPr>
          <w:p w14:paraId="47D1F859">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W</w:t>
            </w:r>
          </w:p>
        </w:tc>
        <w:tc>
          <w:tcPr>
            <w:tcW w:w="1278" w:type="dxa"/>
            <w:gridSpan w:val="3"/>
            <w:tcBorders>
              <w:tl2br w:val="nil"/>
              <w:tr2bl w:val="nil"/>
            </w:tcBorders>
            <w:shd w:val="clear" w:color="auto" w:fill="auto"/>
            <w:vAlign w:val="center"/>
          </w:tcPr>
          <w:p w14:paraId="4EC6A3A0">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3713</w:t>
            </w:r>
          </w:p>
        </w:tc>
        <w:tc>
          <w:tcPr>
            <w:tcW w:w="1238" w:type="dxa"/>
            <w:gridSpan w:val="3"/>
            <w:tcBorders>
              <w:tl2br w:val="nil"/>
              <w:tr2bl w:val="nil"/>
            </w:tcBorders>
            <w:shd w:val="clear" w:color="auto" w:fill="auto"/>
            <w:vAlign w:val="center"/>
          </w:tcPr>
          <w:p w14:paraId="1269C4E6">
            <w:pPr>
              <w:ind w:left="-105" w:right="-105"/>
              <w:jc w:val="center"/>
              <w:rPr>
                <w:rFonts w:ascii="Times New Roman" w:hAnsi="Times New Roman"/>
                <w:color w:val="auto"/>
                <w:sz w:val="21"/>
                <w:szCs w:val="21"/>
                <w:highlight w:val="none"/>
                <w:lang w:val="zh-CN" w:bidi="zh-CN"/>
              </w:rPr>
            </w:pPr>
            <w:r>
              <w:rPr>
                <w:rFonts w:ascii="Times New Roman" w:hAnsi="Times New Roman"/>
                <w:color w:val="auto"/>
                <w:sz w:val="21"/>
                <w:szCs w:val="21"/>
                <w:highlight w:val="none"/>
              </w:rPr>
              <w:t>居住区</w:t>
            </w:r>
          </w:p>
        </w:tc>
        <w:tc>
          <w:tcPr>
            <w:tcW w:w="1748" w:type="dxa"/>
            <w:tcBorders>
              <w:tl2br w:val="nil"/>
              <w:tr2bl w:val="nil"/>
            </w:tcBorders>
            <w:shd w:val="clear" w:color="auto" w:fill="auto"/>
            <w:vAlign w:val="center"/>
          </w:tcPr>
          <w:p w14:paraId="5755C9D9">
            <w:pPr>
              <w:ind w:left="-105" w:right="-105"/>
              <w:jc w:val="center"/>
              <w:rPr>
                <w:rFonts w:ascii="Times New Roman" w:hAnsi="Times New Roman"/>
                <w:color w:val="auto"/>
                <w:sz w:val="21"/>
                <w:szCs w:val="21"/>
                <w:highlight w:val="none"/>
                <w:lang w:val="zh-CN" w:bidi="zh-CN"/>
              </w:rPr>
            </w:pPr>
            <w:r>
              <w:rPr>
                <w:rFonts w:hint="eastAsia" w:ascii="Times New Roman" w:hAnsi="Times New Roman"/>
                <w:color w:val="auto"/>
                <w:sz w:val="21"/>
                <w:szCs w:val="21"/>
                <w:highlight w:val="none"/>
              </w:rPr>
              <w:t>30</w:t>
            </w:r>
            <w:r>
              <w:rPr>
                <w:rFonts w:ascii="Times New Roman" w:hAnsi="Times New Roman"/>
                <w:color w:val="auto"/>
                <w:sz w:val="21"/>
                <w:szCs w:val="21"/>
                <w:highlight w:val="none"/>
              </w:rPr>
              <w:t>户/</w:t>
            </w:r>
            <w:r>
              <w:rPr>
                <w:rFonts w:hint="eastAsia" w:ascii="Times New Roman" w:hAnsi="Times New Roman"/>
                <w:color w:val="auto"/>
                <w:sz w:val="21"/>
                <w:szCs w:val="21"/>
                <w:highlight w:val="none"/>
              </w:rPr>
              <w:t>105</w:t>
            </w:r>
            <w:r>
              <w:rPr>
                <w:rFonts w:ascii="Times New Roman" w:hAnsi="Times New Roman"/>
                <w:color w:val="auto"/>
                <w:sz w:val="21"/>
                <w:szCs w:val="21"/>
                <w:highlight w:val="none"/>
              </w:rPr>
              <w:t>人</w:t>
            </w:r>
          </w:p>
        </w:tc>
      </w:tr>
      <w:tr w14:paraId="23938BFF">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851" w:type="dxa"/>
            <w:vMerge w:val="continue"/>
            <w:tcBorders>
              <w:tl2br w:val="nil"/>
              <w:tr2bl w:val="nil"/>
            </w:tcBorders>
            <w:vAlign w:val="center"/>
          </w:tcPr>
          <w:p w14:paraId="7E283AD3">
            <w:pPr>
              <w:ind w:left="-105" w:right="-105"/>
              <w:jc w:val="center"/>
              <w:rPr>
                <w:rFonts w:ascii="Times New Roman" w:hAnsi="Times New Roman"/>
                <w:color w:val="auto"/>
                <w:sz w:val="21"/>
                <w:szCs w:val="21"/>
                <w:highlight w:val="none"/>
                <w:lang w:val="zh-CN" w:bidi="zh-CN"/>
              </w:rPr>
            </w:pPr>
          </w:p>
        </w:tc>
        <w:tc>
          <w:tcPr>
            <w:tcW w:w="704" w:type="dxa"/>
            <w:tcBorders>
              <w:tl2br w:val="nil"/>
              <w:tr2bl w:val="nil"/>
            </w:tcBorders>
            <w:vAlign w:val="center"/>
          </w:tcPr>
          <w:p w14:paraId="428276CB">
            <w:pPr>
              <w:pStyle w:val="97"/>
              <w:numPr>
                <w:ilvl w:val="0"/>
                <w:numId w:val="13"/>
              </w:numPr>
              <w:ind w:left="-105" w:right="-105" w:firstLineChars="0"/>
              <w:jc w:val="center"/>
              <w:rPr>
                <w:rFonts w:eastAsia="宋体"/>
                <w:color w:val="auto"/>
                <w:kern w:val="0"/>
                <w:sz w:val="21"/>
                <w:szCs w:val="21"/>
                <w:highlight w:val="none"/>
                <w:lang w:val="zh-CN" w:bidi="zh-CN"/>
              </w:rPr>
            </w:pPr>
          </w:p>
        </w:tc>
        <w:tc>
          <w:tcPr>
            <w:tcW w:w="2131" w:type="dxa"/>
            <w:gridSpan w:val="3"/>
            <w:tcBorders>
              <w:tl2br w:val="nil"/>
              <w:tr2bl w:val="nil"/>
            </w:tcBorders>
            <w:shd w:val="clear" w:color="auto" w:fill="auto"/>
            <w:vAlign w:val="center"/>
          </w:tcPr>
          <w:p w14:paraId="776FEEB6">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大马巷村</w:t>
            </w:r>
          </w:p>
        </w:tc>
        <w:tc>
          <w:tcPr>
            <w:tcW w:w="1100" w:type="dxa"/>
            <w:gridSpan w:val="3"/>
            <w:tcBorders>
              <w:tl2br w:val="nil"/>
              <w:tr2bl w:val="nil"/>
            </w:tcBorders>
            <w:shd w:val="clear" w:color="auto" w:fill="auto"/>
            <w:vAlign w:val="center"/>
          </w:tcPr>
          <w:p w14:paraId="111B1F5E">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W</w:t>
            </w:r>
          </w:p>
        </w:tc>
        <w:tc>
          <w:tcPr>
            <w:tcW w:w="1278" w:type="dxa"/>
            <w:gridSpan w:val="3"/>
            <w:tcBorders>
              <w:tl2br w:val="nil"/>
              <w:tr2bl w:val="nil"/>
            </w:tcBorders>
            <w:shd w:val="clear" w:color="auto" w:fill="auto"/>
            <w:vAlign w:val="center"/>
          </w:tcPr>
          <w:p w14:paraId="37641374">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4253</w:t>
            </w:r>
          </w:p>
        </w:tc>
        <w:tc>
          <w:tcPr>
            <w:tcW w:w="1238" w:type="dxa"/>
            <w:gridSpan w:val="3"/>
            <w:tcBorders>
              <w:tl2br w:val="nil"/>
              <w:tr2bl w:val="nil"/>
            </w:tcBorders>
            <w:shd w:val="clear" w:color="auto" w:fill="auto"/>
            <w:vAlign w:val="center"/>
          </w:tcPr>
          <w:p w14:paraId="05335431">
            <w:pPr>
              <w:ind w:left="-105" w:right="-105"/>
              <w:jc w:val="center"/>
              <w:rPr>
                <w:rFonts w:ascii="Times New Roman" w:hAnsi="Times New Roman"/>
                <w:color w:val="auto"/>
                <w:sz w:val="21"/>
                <w:szCs w:val="21"/>
                <w:highlight w:val="none"/>
                <w:lang w:val="zh-CN" w:bidi="zh-CN"/>
              </w:rPr>
            </w:pPr>
            <w:r>
              <w:rPr>
                <w:rFonts w:ascii="Times New Roman" w:hAnsi="Times New Roman"/>
                <w:color w:val="auto"/>
                <w:sz w:val="21"/>
                <w:szCs w:val="21"/>
                <w:highlight w:val="none"/>
              </w:rPr>
              <w:t>居住区</w:t>
            </w:r>
          </w:p>
        </w:tc>
        <w:tc>
          <w:tcPr>
            <w:tcW w:w="1748" w:type="dxa"/>
            <w:tcBorders>
              <w:tl2br w:val="nil"/>
              <w:tr2bl w:val="nil"/>
            </w:tcBorders>
            <w:shd w:val="clear" w:color="auto" w:fill="auto"/>
            <w:vAlign w:val="center"/>
          </w:tcPr>
          <w:p w14:paraId="2C6BEA5D">
            <w:pPr>
              <w:ind w:left="-105" w:right="-105"/>
              <w:jc w:val="center"/>
              <w:rPr>
                <w:rFonts w:ascii="Times New Roman" w:hAnsi="Times New Roman"/>
                <w:color w:val="auto"/>
                <w:sz w:val="21"/>
                <w:szCs w:val="21"/>
                <w:highlight w:val="none"/>
                <w:lang w:val="zh-CN" w:bidi="zh-CN"/>
              </w:rPr>
            </w:pPr>
            <w:r>
              <w:rPr>
                <w:rFonts w:hint="eastAsia" w:ascii="Times New Roman" w:hAnsi="Times New Roman"/>
                <w:color w:val="auto"/>
                <w:sz w:val="21"/>
                <w:szCs w:val="21"/>
                <w:highlight w:val="none"/>
              </w:rPr>
              <w:t>120</w:t>
            </w:r>
            <w:r>
              <w:rPr>
                <w:rFonts w:ascii="Times New Roman" w:hAnsi="Times New Roman"/>
                <w:color w:val="auto"/>
                <w:sz w:val="21"/>
                <w:szCs w:val="21"/>
                <w:highlight w:val="none"/>
              </w:rPr>
              <w:t>户/</w:t>
            </w:r>
            <w:r>
              <w:rPr>
                <w:rFonts w:hint="eastAsia" w:ascii="Times New Roman" w:hAnsi="Times New Roman"/>
                <w:color w:val="auto"/>
                <w:sz w:val="21"/>
                <w:szCs w:val="21"/>
                <w:highlight w:val="none"/>
              </w:rPr>
              <w:t>420</w:t>
            </w:r>
            <w:r>
              <w:rPr>
                <w:rFonts w:ascii="Times New Roman" w:hAnsi="Times New Roman"/>
                <w:color w:val="auto"/>
                <w:sz w:val="21"/>
                <w:szCs w:val="21"/>
                <w:highlight w:val="none"/>
              </w:rPr>
              <w:t>人</w:t>
            </w:r>
          </w:p>
        </w:tc>
      </w:tr>
      <w:tr w14:paraId="7E0F31BD">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851" w:type="dxa"/>
            <w:vMerge w:val="continue"/>
            <w:tcBorders>
              <w:tl2br w:val="nil"/>
              <w:tr2bl w:val="nil"/>
            </w:tcBorders>
            <w:vAlign w:val="center"/>
          </w:tcPr>
          <w:p w14:paraId="65D0AC98">
            <w:pPr>
              <w:ind w:left="-105" w:right="-105"/>
              <w:jc w:val="center"/>
              <w:rPr>
                <w:rFonts w:ascii="Times New Roman" w:hAnsi="Times New Roman"/>
                <w:color w:val="auto"/>
                <w:sz w:val="21"/>
                <w:szCs w:val="21"/>
                <w:highlight w:val="none"/>
                <w:lang w:val="zh-CN" w:bidi="zh-CN"/>
              </w:rPr>
            </w:pPr>
          </w:p>
        </w:tc>
        <w:tc>
          <w:tcPr>
            <w:tcW w:w="704" w:type="dxa"/>
            <w:tcBorders>
              <w:tl2br w:val="nil"/>
              <w:tr2bl w:val="nil"/>
            </w:tcBorders>
            <w:vAlign w:val="center"/>
          </w:tcPr>
          <w:p w14:paraId="02D65C45">
            <w:pPr>
              <w:pStyle w:val="97"/>
              <w:numPr>
                <w:ilvl w:val="0"/>
                <w:numId w:val="13"/>
              </w:numPr>
              <w:ind w:left="-105" w:right="-105" w:firstLineChars="0"/>
              <w:jc w:val="center"/>
              <w:rPr>
                <w:rFonts w:eastAsia="宋体"/>
                <w:color w:val="auto"/>
                <w:kern w:val="0"/>
                <w:sz w:val="21"/>
                <w:szCs w:val="21"/>
                <w:highlight w:val="none"/>
                <w:lang w:val="zh-CN" w:bidi="zh-CN"/>
              </w:rPr>
            </w:pPr>
          </w:p>
        </w:tc>
        <w:tc>
          <w:tcPr>
            <w:tcW w:w="2131" w:type="dxa"/>
            <w:gridSpan w:val="3"/>
            <w:tcBorders>
              <w:tl2br w:val="nil"/>
              <w:tr2bl w:val="nil"/>
            </w:tcBorders>
            <w:shd w:val="clear" w:color="auto" w:fill="auto"/>
            <w:vAlign w:val="center"/>
          </w:tcPr>
          <w:p w14:paraId="4CC1D1B3">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芙蓉山庄</w:t>
            </w:r>
          </w:p>
        </w:tc>
        <w:tc>
          <w:tcPr>
            <w:tcW w:w="1100" w:type="dxa"/>
            <w:gridSpan w:val="3"/>
            <w:tcBorders>
              <w:tl2br w:val="nil"/>
              <w:tr2bl w:val="nil"/>
            </w:tcBorders>
            <w:shd w:val="clear" w:color="auto" w:fill="auto"/>
            <w:vAlign w:val="center"/>
          </w:tcPr>
          <w:p w14:paraId="08908A06">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SW</w:t>
            </w:r>
          </w:p>
        </w:tc>
        <w:tc>
          <w:tcPr>
            <w:tcW w:w="1278" w:type="dxa"/>
            <w:gridSpan w:val="3"/>
            <w:tcBorders>
              <w:tl2br w:val="nil"/>
              <w:tr2bl w:val="nil"/>
            </w:tcBorders>
            <w:shd w:val="clear" w:color="auto" w:fill="auto"/>
            <w:vAlign w:val="center"/>
          </w:tcPr>
          <w:p w14:paraId="044D64D4">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2661</w:t>
            </w:r>
          </w:p>
        </w:tc>
        <w:tc>
          <w:tcPr>
            <w:tcW w:w="1238" w:type="dxa"/>
            <w:gridSpan w:val="3"/>
            <w:tcBorders>
              <w:tl2br w:val="nil"/>
              <w:tr2bl w:val="nil"/>
            </w:tcBorders>
            <w:shd w:val="clear" w:color="auto" w:fill="auto"/>
            <w:vAlign w:val="center"/>
          </w:tcPr>
          <w:p w14:paraId="6EEDC82C">
            <w:pPr>
              <w:ind w:left="-105" w:right="-105"/>
              <w:jc w:val="center"/>
              <w:rPr>
                <w:rFonts w:ascii="Times New Roman" w:hAnsi="Times New Roman"/>
                <w:color w:val="auto"/>
                <w:sz w:val="21"/>
                <w:szCs w:val="21"/>
                <w:highlight w:val="none"/>
                <w:lang w:val="zh-CN" w:bidi="zh-CN"/>
              </w:rPr>
            </w:pPr>
            <w:r>
              <w:rPr>
                <w:rFonts w:hint="eastAsia" w:ascii="Times New Roman" w:hAnsi="Times New Roman"/>
                <w:color w:val="auto"/>
                <w:sz w:val="21"/>
                <w:szCs w:val="21"/>
                <w:highlight w:val="none"/>
              </w:rPr>
              <w:t>居住</w:t>
            </w:r>
            <w:r>
              <w:rPr>
                <w:rFonts w:ascii="Times New Roman" w:hAnsi="Times New Roman"/>
                <w:color w:val="auto"/>
                <w:sz w:val="21"/>
                <w:szCs w:val="21"/>
                <w:highlight w:val="none"/>
              </w:rPr>
              <w:t>区</w:t>
            </w:r>
          </w:p>
        </w:tc>
        <w:tc>
          <w:tcPr>
            <w:tcW w:w="1748" w:type="dxa"/>
            <w:tcBorders>
              <w:tl2br w:val="nil"/>
              <w:tr2bl w:val="nil"/>
            </w:tcBorders>
            <w:shd w:val="clear" w:color="auto" w:fill="auto"/>
            <w:vAlign w:val="center"/>
          </w:tcPr>
          <w:p w14:paraId="1A2402E4">
            <w:pPr>
              <w:ind w:left="-105" w:right="-105"/>
              <w:jc w:val="center"/>
              <w:rPr>
                <w:rFonts w:ascii="Times New Roman" w:hAnsi="Times New Roman"/>
                <w:color w:val="auto"/>
                <w:sz w:val="21"/>
                <w:szCs w:val="21"/>
                <w:highlight w:val="none"/>
                <w:lang w:val="zh-CN" w:bidi="zh-CN"/>
              </w:rPr>
            </w:pPr>
            <w:r>
              <w:rPr>
                <w:rFonts w:hint="eastAsia" w:ascii="Times New Roman" w:hAnsi="Times New Roman"/>
                <w:color w:val="auto"/>
                <w:sz w:val="21"/>
                <w:szCs w:val="21"/>
                <w:highlight w:val="none"/>
              </w:rPr>
              <w:t>3900</w:t>
            </w:r>
            <w:r>
              <w:rPr>
                <w:rFonts w:ascii="Times New Roman" w:hAnsi="Times New Roman"/>
                <w:color w:val="auto"/>
                <w:sz w:val="21"/>
                <w:szCs w:val="21"/>
                <w:highlight w:val="none"/>
              </w:rPr>
              <w:t>户/</w:t>
            </w:r>
            <w:r>
              <w:rPr>
                <w:rFonts w:hint="eastAsia" w:ascii="Times New Roman" w:hAnsi="Times New Roman"/>
                <w:color w:val="auto"/>
                <w:sz w:val="21"/>
                <w:szCs w:val="21"/>
                <w:highlight w:val="none"/>
              </w:rPr>
              <w:t>13650</w:t>
            </w:r>
            <w:r>
              <w:rPr>
                <w:rFonts w:ascii="Times New Roman" w:hAnsi="Times New Roman"/>
                <w:color w:val="auto"/>
                <w:sz w:val="21"/>
                <w:szCs w:val="21"/>
                <w:highlight w:val="none"/>
              </w:rPr>
              <w:t>人</w:t>
            </w:r>
          </w:p>
        </w:tc>
      </w:tr>
      <w:tr w14:paraId="1F6E9D3F">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851" w:type="dxa"/>
            <w:vMerge w:val="continue"/>
            <w:tcBorders>
              <w:tl2br w:val="nil"/>
              <w:tr2bl w:val="nil"/>
            </w:tcBorders>
            <w:vAlign w:val="center"/>
          </w:tcPr>
          <w:p w14:paraId="78850258">
            <w:pPr>
              <w:ind w:left="-105" w:right="-105"/>
              <w:jc w:val="center"/>
              <w:rPr>
                <w:rFonts w:ascii="Times New Roman" w:hAnsi="Times New Roman"/>
                <w:color w:val="auto"/>
                <w:sz w:val="21"/>
                <w:szCs w:val="21"/>
                <w:highlight w:val="none"/>
                <w:lang w:val="zh-CN" w:bidi="zh-CN"/>
              </w:rPr>
            </w:pPr>
          </w:p>
        </w:tc>
        <w:tc>
          <w:tcPr>
            <w:tcW w:w="704" w:type="dxa"/>
            <w:tcBorders>
              <w:tl2br w:val="nil"/>
              <w:tr2bl w:val="nil"/>
            </w:tcBorders>
            <w:vAlign w:val="center"/>
          </w:tcPr>
          <w:p w14:paraId="1F54DE77">
            <w:pPr>
              <w:pStyle w:val="97"/>
              <w:numPr>
                <w:ilvl w:val="0"/>
                <w:numId w:val="13"/>
              </w:numPr>
              <w:ind w:left="-105" w:right="-105" w:firstLineChars="0"/>
              <w:jc w:val="center"/>
              <w:rPr>
                <w:rFonts w:eastAsia="宋体"/>
                <w:color w:val="auto"/>
                <w:kern w:val="0"/>
                <w:sz w:val="21"/>
                <w:szCs w:val="21"/>
                <w:highlight w:val="none"/>
                <w:lang w:val="zh-CN" w:bidi="zh-CN"/>
              </w:rPr>
            </w:pPr>
          </w:p>
        </w:tc>
        <w:tc>
          <w:tcPr>
            <w:tcW w:w="2131" w:type="dxa"/>
            <w:gridSpan w:val="3"/>
            <w:tcBorders>
              <w:tl2br w:val="nil"/>
              <w:tr2bl w:val="nil"/>
            </w:tcBorders>
            <w:shd w:val="clear" w:color="auto" w:fill="auto"/>
            <w:vAlign w:val="center"/>
          </w:tcPr>
          <w:p w14:paraId="0CFCDA32">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裕巷村</w:t>
            </w:r>
          </w:p>
        </w:tc>
        <w:tc>
          <w:tcPr>
            <w:tcW w:w="1100" w:type="dxa"/>
            <w:gridSpan w:val="3"/>
            <w:tcBorders>
              <w:tl2br w:val="nil"/>
              <w:tr2bl w:val="nil"/>
            </w:tcBorders>
            <w:shd w:val="clear" w:color="auto" w:fill="auto"/>
            <w:vAlign w:val="center"/>
          </w:tcPr>
          <w:p w14:paraId="15859C1E">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SW</w:t>
            </w:r>
          </w:p>
        </w:tc>
        <w:tc>
          <w:tcPr>
            <w:tcW w:w="1278" w:type="dxa"/>
            <w:gridSpan w:val="3"/>
            <w:tcBorders>
              <w:tl2br w:val="nil"/>
              <w:tr2bl w:val="nil"/>
            </w:tcBorders>
            <w:shd w:val="clear" w:color="auto" w:fill="auto"/>
            <w:vAlign w:val="center"/>
          </w:tcPr>
          <w:p w14:paraId="4BCBEB0B">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3310</w:t>
            </w:r>
          </w:p>
        </w:tc>
        <w:tc>
          <w:tcPr>
            <w:tcW w:w="1238" w:type="dxa"/>
            <w:gridSpan w:val="3"/>
            <w:tcBorders>
              <w:tl2br w:val="nil"/>
              <w:tr2bl w:val="nil"/>
            </w:tcBorders>
            <w:shd w:val="clear" w:color="auto" w:fill="auto"/>
            <w:vAlign w:val="center"/>
          </w:tcPr>
          <w:p w14:paraId="135E467D">
            <w:pPr>
              <w:ind w:left="-105" w:right="-105"/>
              <w:jc w:val="center"/>
              <w:rPr>
                <w:rFonts w:ascii="Times New Roman" w:hAnsi="Times New Roman"/>
                <w:color w:val="auto"/>
                <w:sz w:val="21"/>
                <w:szCs w:val="21"/>
                <w:highlight w:val="none"/>
                <w:lang w:val="zh-CN" w:bidi="zh-CN"/>
              </w:rPr>
            </w:pPr>
            <w:r>
              <w:rPr>
                <w:rFonts w:ascii="Times New Roman" w:hAnsi="Times New Roman"/>
                <w:color w:val="auto"/>
                <w:sz w:val="21"/>
                <w:szCs w:val="21"/>
                <w:highlight w:val="none"/>
              </w:rPr>
              <w:t>居住区</w:t>
            </w:r>
          </w:p>
        </w:tc>
        <w:tc>
          <w:tcPr>
            <w:tcW w:w="1748" w:type="dxa"/>
            <w:tcBorders>
              <w:tl2br w:val="nil"/>
              <w:tr2bl w:val="nil"/>
            </w:tcBorders>
            <w:shd w:val="clear" w:color="auto" w:fill="auto"/>
            <w:vAlign w:val="center"/>
          </w:tcPr>
          <w:p w14:paraId="535BC991">
            <w:pPr>
              <w:ind w:left="-105" w:right="-105"/>
              <w:jc w:val="center"/>
              <w:rPr>
                <w:rFonts w:ascii="Times New Roman" w:hAnsi="Times New Roman"/>
                <w:color w:val="auto"/>
                <w:sz w:val="21"/>
                <w:szCs w:val="21"/>
                <w:highlight w:val="none"/>
                <w:lang w:val="zh-CN" w:bidi="zh-CN"/>
              </w:rPr>
            </w:pPr>
            <w:r>
              <w:rPr>
                <w:rFonts w:hint="eastAsia" w:ascii="Times New Roman" w:hAnsi="Times New Roman"/>
                <w:color w:val="auto"/>
                <w:sz w:val="21"/>
                <w:szCs w:val="21"/>
                <w:highlight w:val="none"/>
              </w:rPr>
              <w:t>30</w:t>
            </w:r>
            <w:r>
              <w:rPr>
                <w:rFonts w:ascii="Times New Roman" w:hAnsi="Times New Roman"/>
                <w:color w:val="auto"/>
                <w:sz w:val="21"/>
                <w:szCs w:val="21"/>
                <w:highlight w:val="none"/>
              </w:rPr>
              <w:t>户/</w:t>
            </w:r>
            <w:r>
              <w:rPr>
                <w:rFonts w:hint="eastAsia" w:ascii="Times New Roman" w:hAnsi="Times New Roman"/>
                <w:color w:val="auto"/>
                <w:sz w:val="21"/>
                <w:szCs w:val="21"/>
                <w:highlight w:val="none"/>
              </w:rPr>
              <w:t>105</w:t>
            </w:r>
            <w:r>
              <w:rPr>
                <w:rFonts w:ascii="Times New Roman" w:hAnsi="Times New Roman"/>
                <w:color w:val="auto"/>
                <w:sz w:val="21"/>
                <w:szCs w:val="21"/>
                <w:highlight w:val="none"/>
              </w:rPr>
              <w:t>人</w:t>
            </w:r>
          </w:p>
        </w:tc>
      </w:tr>
      <w:tr w14:paraId="40352B98">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851" w:type="dxa"/>
            <w:vMerge w:val="continue"/>
            <w:tcBorders>
              <w:tl2br w:val="nil"/>
              <w:tr2bl w:val="nil"/>
            </w:tcBorders>
            <w:vAlign w:val="center"/>
          </w:tcPr>
          <w:p w14:paraId="6C397760">
            <w:pPr>
              <w:ind w:left="-105" w:right="-105"/>
              <w:jc w:val="center"/>
              <w:rPr>
                <w:rFonts w:ascii="Times New Roman" w:hAnsi="Times New Roman"/>
                <w:color w:val="auto"/>
                <w:sz w:val="21"/>
                <w:szCs w:val="21"/>
                <w:highlight w:val="none"/>
                <w:lang w:val="zh-CN" w:bidi="zh-CN"/>
              </w:rPr>
            </w:pPr>
          </w:p>
        </w:tc>
        <w:tc>
          <w:tcPr>
            <w:tcW w:w="704" w:type="dxa"/>
            <w:tcBorders>
              <w:tl2br w:val="nil"/>
              <w:tr2bl w:val="nil"/>
            </w:tcBorders>
            <w:vAlign w:val="center"/>
          </w:tcPr>
          <w:p w14:paraId="17D569D9">
            <w:pPr>
              <w:pStyle w:val="97"/>
              <w:numPr>
                <w:ilvl w:val="0"/>
                <w:numId w:val="13"/>
              </w:numPr>
              <w:ind w:left="-105" w:right="-105" w:firstLineChars="0"/>
              <w:jc w:val="center"/>
              <w:rPr>
                <w:rFonts w:eastAsia="宋体"/>
                <w:color w:val="auto"/>
                <w:kern w:val="0"/>
                <w:sz w:val="21"/>
                <w:szCs w:val="21"/>
                <w:highlight w:val="none"/>
                <w:lang w:val="zh-CN" w:bidi="zh-CN"/>
              </w:rPr>
            </w:pPr>
          </w:p>
        </w:tc>
        <w:tc>
          <w:tcPr>
            <w:tcW w:w="2131" w:type="dxa"/>
            <w:gridSpan w:val="3"/>
            <w:tcBorders>
              <w:tl2br w:val="nil"/>
              <w:tr2bl w:val="nil"/>
            </w:tcBorders>
            <w:shd w:val="clear" w:color="auto" w:fill="auto"/>
            <w:vAlign w:val="center"/>
          </w:tcPr>
          <w:p w14:paraId="317661B1">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路巷</w:t>
            </w:r>
          </w:p>
        </w:tc>
        <w:tc>
          <w:tcPr>
            <w:tcW w:w="1100" w:type="dxa"/>
            <w:gridSpan w:val="3"/>
            <w:tcBorders>
              <w:tl2br w:val="nil"/>
              <w:tr2bl w:val="nil"/>
            </w:tcBorders>
            <w:shd w:val="clear" w:color="auto" w:fill="auto"/>
            <w:vAlign w:val="center"/>
          </w:tcPr>
          <w:p w14:paraId="3C4EB8D1">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SW</w:t>
            </w:r>
          </w:p>
        </w:tc>
        <w:tc>
          <w:tcPr>
            <w:tcW w:w="1278" w:type="dxa"/>
            <w:gridSpan w:val="3"/>
            <w:tcBorders>
              <w:tl2br w:val="nil"/>
              <w:tr2bl w:val="nil"/>
            </w:tcBorders>
            <w:shd w:val="clear" w:color="auto" w:fill="auto"/>
            <w:vAlign w:val="center"/>
          </w:tcPr>
          <w:p w14:paraId="51A0553D">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3806</w:t>
            </w:r>
          </w:p>
        </w:tc>
        <w:tc>
          <w:tcPr>
            <w:tcW w:w="1238" w:type="dxa"/>
            <w:gridSpan w:val="3"/>
            <w:tcBorders>
              <w:tl2br w:val="nil"/>
              <w:tr2bl w:val="nil"/>
            </w:tcBorders>
            <w:shd w:val="clear" w:color="auto" w:fill="auto"/>
            <w:vAlign w:val="center"/>
          </w:tcPr>
          <w:p w14:paraId="5029D4B8">
            <w:pPr>
              <w:ind w:left="-105" w:right="-105"/>
              <w:jc w:val="center"/>
              <w:rPr>
                <w:rFonts w:ascii="Times New Roman" w:hAnsi="Times New Roman"/>
                <w:color w:val="auto"/>
                <w:sz w:val="21"/>
                <w:szCs w:val="21"/>
                <w:highlight w:val="none"/>
                <w:lang w:val="zh-CN" w:bidi="zh-CN"/>
              </w:rPr>
            </w:pPr>
            <w:r>
              <w:rPr>
                <w:rFonts w:ascii="Times New Roman" w:hAnsi="Times New Roman"/>
                <w:color w:val="auto"/>
                <w:sz w:val="21"/>
                <w:szCs w:val="21"/>
                <w:highlight w:val="none"/>
              </w:rPr>
              <w:t>居住区</w:t>
            </w:r>
          </w:p>
        </w:tc>
        <w:tc>
          <w:tcPr>
            <w:tcW w:w="1748" w:type="dxa"/>
            <w:tcBorders>
              <w:tl2br w:val="nil"/>
              <w:tr2bl w:val="nil"/>
            </w:tcBorders>
            <w:shd w:val="clear" w:color="auto" w:fill="auto"/>
            <w:vAlign w:val="center"/>
          </w:tcPr>
          <w:p w14:paraId="0695D429">
            <w:pPr>
              <w:ind w:left="-105" w:right="-105"/>
              <w:jc w:val="center"/>
              <w:rPr>
                <w:rFonts w:ascii="Times New Roman" w:hAnsi="Times New Roman"/>
                <w:color w:val="auto"/>
                <w:sz w:val="21"/>
                <w:szCs w:val="21"/>
                <w:highlight w:val="none"/>
                <w:lang w:val="zh-CN" w:bidi="zh-CN"/>
              </w:rPr>
            </w:pPr>
            <w:r>
              <w:rPr>
                <w:rFonts w:hint="eastAsia" w:ascii="Times New Roman" w:hAnsi="Times New Roman"/>
                <w:color w:val="auto"/>
                <w:sz w:val="21"/>
                <w:szCs w:val="21"/>
                <w:highlight w:val="none"/>
              </w:rPr>
              <w:t>30</w:t>
            </w:r>
            <w:r>
              <w:rPr>
                <w:rFonts w:ascii="Times New Roman" w:hAnsi="Times New Roman"/>
                <w:color w:val="auto"/>
                <w:sz w:val="21"/>
                <w:szCs w:val="21"/>
                <w:highlight w:val="none"/>
              </w:rPr>
              <w:t>户/</w:t>
            </w:r>
            <w:r>
              <w:rPr>
                <w:rFonts w:hint="eastAsia" w:ascii="Times New Roman" w:hAnsi="Times New Roman"/>
                <w:color w:val="auto"/>
                <w:sz w:val="21"/>
                <w:szCs w:val="21"/>
                <w:highlight w:val="none"/>
              </w:rPr>
              <w:t>105</w:t>
            </w:r>
            <w:r>
              <w:rPr>
                <w:rFonts w:ascii="Times New Roman" w:hAnsi="Times New Roman"/>
                <w:color w:val="auto"/>
                <w:sz w:val="21"/>
                <w:szCs w:val="21"/>
                <w:highlight w:val="none"/>
              </w:rPr>
              <w:t>人</w:t>
            </w:r>
          </w:p>
        </w:tc>
      </w:tr>
      <w:tr w14:paraId="3B5D7F45">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851" w:type="dxa"/>
            <w:vMerge w:val="continue"/>
            <w:tcBorders>
              <w:tl2br w:val="nil"/>
              <w:tr2bl w:val="nil"/>
            </w:tcBorders>
            <w:vAlign w:val="center"/>
          </w:tcPr>
          <w:p w14:paraId="4FF0C978">
            <w:pPr>
              <w:ind w:left="-105" w:right="-105"/>
              <w:jc w:val="center"/>
              <w:rPr>
                <w:rFonts w:ascii="Times New Roman" w:hAnsi="Times New Roman"/>
                <w:color w:val="auto"/>
                <w:sz w:val="21"/>
                <w:szCs w:val="21"/>
                <w:highlight w:val="none"/>
                <w:lang w:val="zh-CN" w:bidi="zh-CN"/>
              </w:rPr>
            </w:pPr>
          </w:p>
        </w:tc>
        <w:tc>
          <w:tcPr>
            <w:tcW w:w="704" w:type="dxa"/>
            <w:tcBorders>
              <w:tl2br w:val="nil"/>
              <w:tr2bl w:val="nil"/>
            </w:tcBorders>
            <w:vAlign w:val="center"/>
          </w:tcPr>
          <w:p w14:paraId="349FEF5B">
            <w:pPr>
              <w:pStyle w:val="97"/>
              <w:numPr>
                <w:ilvl w:val="0"/>
                <w:numId w:val="13"/>
              </w:numPr>
              <w:ind w:left="-105" w:right="-105" w:firstLineChars="0"/>
              <w:jc w:val="center"/>
              <w:rPr>
                <w:rFonts w:eastAsia="宋体"/>
                <w:color w:val="auto"/>
                <w:kern w:val="0"/>
                <w:sz w:val="21"/>
                <w:szCs w:val="21"/>
                <w:highlight w:val="none"/>
                <w:lang w:val="zh-CN" w:bidi="zh-CN"/>
              </w:rPr>
            </w:pPr>
          </w:p>
        </w:tc>
        <w:tc>
          <w:tcPr>
            <w:tcW w:w="2131" w:type="dxa"/>
            <w:gridSpan w:val="3"/>
            <w:tcBorders>
              <w:tl2br w:val="nil"/>
              <w:tr2bl w:val="nil"/>
            </w:tcBorders>
            <w:shd w:val="clear" w:color="auto" w:fill="auto"/>
            <w:vAlign w:val="center"/>
          </w:tcPr>
          <w:p w14:paraId="17DFD801">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正阳村</w:t>
            </w:r>
          </w:p>
        </w:tc>
        <w:tc>
          <w:tcPr>
            <w:tcW w:w="1100" w:type="dxa"/>
            <w:gridSpan w:val="3"/>
            <w:tcBorders>
              <w:tl2br w:val="nil"/>
              <w:tr2bl w:val="nil"/>
            </w:tcBorders>
            <w:shd w:val="clear" w:color="auto" w:fill="auto"/>
            <w:vAlign w:val="center"/>
          </w:tcPr>
          <w:p w14:paraId="1DFC4F6A">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SW</w:t>
            </w:r>
          </w:p>
        </w:tc>
        <w:tc>
          <w:tcPr>
            <w:tcW w:w="1278" w:type="dxa"/>
            <w:gridSpan w:val="3"/>
            <w:tcBorders>
              <w:tl2br w:val="nil"/>
              <w:tr2bl w:val="nil"/>
            </w:tcBorders>
            <w:shd w:val="clear" w:color="auto" w:fill="auto"/>
            <w:vAlign w:val="center"/>
          </w:tcPr>
          <w:p w14:paraId="1CF28773">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4577</w:t>
            </w:r>
          </w:p>
        </w:tc>
        <w:tc>
          <w:tcPr>
            <w:tcW w:w="1238" w:type="dxa"/>
            <w:gridSpan w:val="3"/>
            <w:tcBorders>
              <w:tl2br w:val="nil"/>
              <w:tr2bl w:val="nil"/>
            </w:tcBorders>
            <w:shd w:val="clear" w:color="auto" w:fill="auto"/>
            <w:vAlign w:val="center"/>
          </w:tcPr>
          <w:p w14:paraId="3A6CFB9E">
            <w:pPr>
              <w:ind w:left="-105" w:right="-105"/>
              <w:jc w:val="center"/>
              <w:rPr>
                <w:rFonts w:ascii="Times New Roman" w:hAnsi="Times New Roman"/>
                <w:color w:val="auto"/>
                <w:sz w:val="21"/>
                <w:szCs w:val="21"/>
                <w:highlight w:val="none"/>
                <w:lang w:val="zh-CN" w:bidi="zh-CN"/>
              </w:rPr>
            </w:pPr>
            <w:r>
              <w:rPr>
                <w:rFonts w:ascii="Times New Roman" w:hAnsi="Times New Roman"/>
                <w:color w:val="auto"/>
                <w:sz w:val="21"/>
                <w:szCs w:val="21"/>
                <w:highlight w:val="none"/>
              </w:rPr>
              <w:t>居住区</w:t>
            </w:r>
          </w:p>
        </w:tc>
        <w:tc>
          <w:tcPr>
            <w:tcW w:w="1748" w:type="dxa"/>
            <w:tcBorders>
              <w:tl2br w:val="nil"/>
              <w:tr2bl w:val="nil"/>
            </w:tcBorders>
            <w:shd w:val="clear" w:color="auto" w:fill="auto"/>
            <w:vAlign w:val="center"/>
          </w:tcPr>
          <w:p w14:paraId="4EA449E7">
            <w:pPr>
              <w:ind w:left="-105" w:right="-105"/>
              <w:jc w:val="center"/>
              <w:rPr>
                <w:rFonts w:ascii="Times New Roman" w:hAnsi="Times New Roman"/>
                <w:color w:val="auto"/>
                <w:sz w:val="21"/>
                <w:szCs w:val="21"/>
                <w:highlight w:val="none"/>
                <w:lang w:val="zh-CN" w:bidi="zh-CN"/>
              </w:rPr>
            </w:pPr>
            <w:r>
              <w:rPr>
                <w:rFonts w:hint="eastAsia" w:ascii="Times New Roman" w:hAnsi="Times New Roman"/>
                <w:color w:val="auto"/>
                <w:sz w:val="21"/>
                <w:szCs w:val="21"/>
                <w:highlight w:val="none"/>
              </w:rPr>
              <w:t>120</w:t>
            </w:r>
            <w:r>
              <w:rPr>
                <w:rFonts w:ascii="Times New Roman" w:hAnsi="Times New Roman"/>
                <w:color w:val="auto"/>
                <w:sz w:val="21"/>
                <w:szCs w:val="21"/>
                <w:highlight w:val="none"/>
              </w:rPr>
              <w:t>户/</w:t>
            </w:r>
            <w:r>
              <w:rPr>
                <w:rFonts w:hint="eastAsia" w:ascii="Times New Roman" w:hAnsi="Times New Roman"/>
                <w:color w:val="auto"/>
                <w:sz w:val="21"/>
                <w:szCs w:val="21"/>
                <w:highlight w:val="none"/>
              </w:rPr>
              <w:t>420</w:t>
            </w:r>
            <w:r>
              <w:rPr>
                <w:rFonts w:ascii="Times New Roman" w:hAnsi="Times New Roman"/>
                <w:color w:val="auto"/>
                <w:sz w:val="21"/>
                <w:szCs w:val="21"/>
                <w:highlight w:val="none"/>
              </w:rPr>
              <w:t>人</w:t>
            </w:r>
          </w:p>
        </w:tc>
      </w:tr>
      <w:tr w14:paraId="4696615E">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851" w:type="dxa"/>
            <w:vMerge w:val="continue"/>
            <w:tcBorders>
              <w:tl2br w:val="nil"/>
              <w:tr2bl w:val="nil"/>
            </w:tcBorders>
            <w:vAlign w:val="center"/>
          </w:tcPr>
          <w:p w14:paraId="59C4F239">
            <w:pPr>
              <w:ind w:left="-105" w:right="-105"/>
              <w:jc w:val="center"/>
              <w:rPr>
                <w:rFonts w:ascii="Times New Roman" w:hAnsi="Times New Roman"/>
                <w:color w:val="auto"/>
                <w:sz w:val="21"/>
                <w:szCs w:val="21"/>
                <w:highlight w:val="none"/>
                <w:lang w:val="zh-CN" w:bidi="zh-CN"/>
              </w:rPr>
            </w:pPr>
          </w:p>
        </w:tc>
        <w:tc>
          <w:tcPr>
            <w:tcW w:w="704" w:type="dxa"/>
            <w:tcBorders>
              <w:tl2br w:val="nil"/>
              <w:tr2bl w:val="nil"/>
            </w:tcBorders>
            <w:vAlign w:val="center"/>
          </w:tcPr>
          <w:p w14:paraId="0B3C7657">
            <w:pPr>
              <w:pStyle w:val="97"/>
              <w:numPr>
                <w:ilvl w:val="0"/>
                <w:numId w:val="13"/>
              </w:numPr>
              <w:ind w:left="-105" w:right="-105" w:firstLineChars="0"/>
              <w:jc w:val="center"/>
              <w:rPr>
                <w:rFonts w:eastAsia="宋体"/>
                <w:color w:val="auto"/>
                <w:kern w:val="0"/>
                <w:sz w:val="21"/>
                <w:szCs w:val="21"/>
                <w:highlight w:val="none"/>
                <w:lang w:val="zh-CN" w:bidi="zh-CN"/>
              </w:rPr>
            </w:pPr>
          </w:p>
        </w:tc>
        <w:tc>
          <w:tcPr>
            <w:tcW w:w="2131" w:type="dxa"/>
            <w:gridSpan w:val="3"/>
            <w:tcBorders>
              <w:tl2br w:val="nil"/>
              <w:tr2bl w:val="nil"/>
            </w:tcBorders>
            <w:shd w:val="clear" w:color="auto" w:fill="auto"/>
            <w:vAlign w:val="center"/>
          </w:tcPr>
          <w:p w14:paraId="0276A671">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裕巷新村</w:t>
            </w:r>
          </w:p>
        </w:tc>
        <w:tc>
          <w:tcPr>
            <w:tcW w:w="1100" w:type="dxa"/>
            <w:gridSpan w:val="3"/>
            <w:tcBorders>
              <w:tl2br w:val="nil"/>
              <w:tr2bl w:val="nil"/>
            </w:tcBorders>
            <w:shd w:val="clear" w:color="auto" w:fill="auto"/>
            <w:vAlign w:val="center"/>
          </w:tcPr>
          <w:p w14:paraId="27B3DDFA">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SW</w:t>
            </w:r>
          </w:p>
        </w:tc>
        <w:tc>
          <w:tcPr>
            <w:tcW w:w="1278" w:type="dxa"/>
            <w:gridSpan w:val="3"/>
            <w:tcBorders>
              <w:tl2br w:val="nil"/>
              <w:tr2bl w:val="nil"/>
            </w:tcBorders>
            <w:shd w:val="clear" w:color="auto" w:fill="auto"/>
            <w:vAlign w:val="center"/>
          </w:tcPr>
          <w:p w14:paraId="0EAF64DD">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3789</w:t>
            </w:r>
          </w:p>
        </w:tc>
        <w:tc>
          <w:tcPr>
            <w:tcW w:w="1238" w:type="dxa"/>
            <w:gridSpan w:val="3"/>
            <w:tcBorders>
              <w:tl2br w:val="nil"/>
              <w:tr2bl w:val="nil"/>
            </w:tcBorders>
            <w:shd w:val="clear" w:color="auto" w:fill="auto"/>
            <w:vAlign w:val="center"/>
          </w:tcPr>
          <w:p w14:paraId="37D60062">
            <w:pPr>
              <w:ind w:left="-105" w:right="-105"/>
              <w:jc w:val="center"/>
              <w:rPr>
                <w:rFonts w:ascii="Times New Roman" w:hAnsi="Times New Roman"/>
                <w:color w:val="auto"/>
                <w:sz w:val="21"/>
                <w:szCs w:val="21"/>
                <w:highlight w:val="none"/>
                <w:lang w:val="zh-CN" w:bidi="zh-CN"/>
              </w:rPr>
            </w:pPr>
            <w:r>
              <w:rPr>
                <w:rFonts w:ascii="Times New Roman" w:hAnsi="Times New Roman"/>
                <w:color w:val="auto"/>
                <w:sz w:val="21"/>
                <w:szCs w:val="21"/>
                <w:highlight w:val="none"/>
              </w:rPr>
              <w:t>居住区</w:t>
            </w:r>
          </w:p>
        </w:tc>
        <w:tc>
          <w:tcPr>
            <w:tcW w:w="1748" w:type="dxa"/>
            <w:tcBorders>
              <w:tl2br w:val="nil"/>
              <w:tr2bl w:val="nil"/>
            </w:tcBorders>
            <w:shd w:val="clear" w:color="auto" w:fill="auto"/>
            <w:vAlign w:val="center"/>
          </w:tcPr>
          <w:p w14:paraId="3D67A961">
            <w:pPr>
              <w:ind w:left="-105" w:right="-105"/>
              <w:jc w:val="center"/>
              <w:rPr>
                <w:rFonts w:ascii="Times New Roman" w:hAnsi="Times New Roman"/>
                <w:color w:val="auto"/>
                <w:sz w:val="21"/>
                <w:szCs w:val="21"/>
                <w:highlight w:val="none"/>
                <w:lang w:val="zh-CN" w:bidi="zh-CN"/>
              </w:rPr>
            </w:pPr>
            <w:r>
              <w:rPr>
                <w:rFonts w:hint="eastAsia" w:ascii="Times New Roman" w:hAnsi="Times New Roman"/>
                <w:color w:val="auto"/>
                <w:sz w:val="21"/>
                <w:szCs w:val="21"/>
                <w:highlight w:val="none"/>
              </w:rPr>
              <w:t>32</w:t>
            </w:r>
            <w:r>
              <w:rPr>
                <w:rFonts w:ascii="Times New Roman" w:hAnsi="Times New Roman"/>
                <w:color w:val="auto"/>
                <w:sz w:val="21"/>
                <w:szCs w:val="21"/>
                <w:highlight w:val="none"/>
              </w:rPr>
              <w:t>户/</w:t>
            </w:r>
            <w:r>
              <w:rPr>
                <w:rFonts w:hint="eastAsia" w:ascii="Times New Roman" w:hAnsi="Times New Roman"/>
                <w:color w:val="auto"/>
                <w:sz w:val="21"/>
                <w:szCs w:val="21"/>
                <w:highlight w:val="none"/>
              </w:rPr>
              <w:t>112</w:t>
            </w:r>
            <w:r>
              <w:rPr>
                <w:rFonts w:ascii="Times New Roman" w:hAnsi="Times New Roman"/>
                <w:color w:val="auto"/>
                <w:sz w:val="21"/>
                <w:szCs w:val="21"/>
                <w:highlight w:val="none"/>
              </w:rPr>
              <w:t>人</w:t>
            </w:r>
          </w:p>
        </w:tc>
      </w:tr>
      <w:tr w14:paraId="3396B46B">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851" w:type="dxa"/>
            <w:vMerge w:val="continue"/>
            <w:tcBorders>
              <w:tl2br w:val="nil"/>
              <w:tr2bl w:val="nil"/>
            </w:tcBorders>
            <w:vAlign w:val="center"/>
          </w:tcPr>
          <w:p w14:paraId="40015053">
            <w:pPr>
              <w:ind w:left="-105" w:right="-105"/>
              <w:jc w:val="center"/>
              <w:rPr>
                <w:rFonts w:ascii="Times New Roman" w:hAnsi="Times New Roman"/>
                <w:color w:val="auto"/>
                <w:sz w:val="21"/>
                <w:szCs w:val="21"/>
                <w:highlight w:val="none"/>
                <w:lang w:val="zh-CN" w:bidi="zh-CN"/>
              </w:rPr>
            </w:pPr>
          </w:p>
        </w:tc>
        <w:tc>
          <w:tcPr>
            <w:tcW w:w="704" w:type="dxa"/>
            <w:tcBorders>
              <w:tl2br w:val="nil"/>
              <w:tr2bl w:val="nil"/>
            </w:tcBorders>
            <w:vAlign w:val="center"/>
          </w:tcPr>
          <w:p w14:paraId="0FE642B7">
            <w:pPr>
              <w:pStyle w:val="97"/>
              <w:numPr>
                <w:ilvl w:val="0"/>
                <w:numId w:val="13"/>
              </w:numPr>
              <w:ind w:left="-105" w:right="-105" w:firstLineChars="0"/>
              <w:jc w:val="center"/>
              <w:rPr>
                <w:rFonts w:eastAsia="宋体"/>
                <w:color w:val="auto"/>
                <w:kern w:val="0"/>
                <w:sz w:val="21"/>
                <w:szCs w:val="21"/>
                <w:highlight w:val="none"/>
                <w:lang w:val="zh-CN" w:bidi="zh-CN"/>
              </w:rPr>
            </w:pPr>
          </w:p>
        </w:tc>
        <w:tc>
          <w:tcPr>
            <w:tcW w:w="2131" w:type="dxa"/>
            <w:gridSpan w:val="3"/>
            <w:tcBorders>
              <w:tl2br w:val="nil"/>
              <w:tr2bl w:val="nil"/>
            </w:tcBorders>
            <w:shd w:val="clear" w:color="auto" w:fill="auto"/>
            <w:vAlign w:val="center"/>
          </w:tcPr>
          <w:p w14:paraId="4D52A59C">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东北塘中心幼儿园</w:t>
            </w:r>
          </w:p>
        </w:tc>
        <w:tc>
          <w:tcPr>
            <w:tcW w:w="1100" w:type="dxa"/>
            <w:gridSpan w:val="3"/>
            <w:tcBorders>
              <w:tl2br w:val="nil"/>
              <w:tr2bl w:val="nil"/>
            </w:tcBorders>
            <w:shd w:val="clear" w:color="auto" w:fill="auto"/>
            <w:vAlign w:val="center"/>
          </w:tcPr>
          <w:p w14:paraId="45036AA0">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SW</w:t>
            </w:r>
          </w:p>
        </w:tc>
        <w:tc>
          <w:tcPr>
            <w:tcW w:w="1278" w:type="dxa"/>
            <w:gridSpan w:val="3"/>
            <w:tcBorders>
              <w:tl2br w:val="nil"/>
              <w:tr2bl w:val="nil"/>
            </w:tcBorders>
            <w:shd w:val="clear" w:color="auto" w:fill="auto"/>
            <w:vAlign w:val="center"/>
          </w:tcPr>
          <w:p w14:paraId="4DA5BA27">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4299</w:t>
            </w:r>
          </w:p>
        </w:tc>
        <w:tc>
          <w:tcPr>
            <w:tcW w:w="1238" w:type="dxa"/>
            <w:gridSpan w:val="3"/>
            <w:tcBorders>
              <w:tl2br w:val="nil"/>
              <w:tr2bl w:val="nil"/>
            </w:tcBorders>
            <w:shd w:val="clear" w:color="auto" w:fill="auto"/>
            <w:vAlign w:val="center"/>
          </w:tcPr>
          <w:p w14:paraId="421FD29F">
            <w:pPr>
              <w:ind w:left="-105" w:right="-105"/>
              <w:jc w:val="center"/>
              <w:rPr>
                <w:rFonts w:ascii="Times New Roman" w:hAnsi="Times New Roman"/>
                <w:color w:val="auto"/>
                <w:sz w:val="21"/>
                <w:szCs w:val="21"/>
                <w:highlight w:val="none"/>
                <w:lang w:val="zh-CN" w:bidi="zh-CN"/>
              </w:rPr>
            </w:pPr>
            <w:r>
              <w:rPr>
                <w:rFonts w:hint="eastAsia" w:ascii="Times New Roman" w:hAnsi="Times New Roman"/>
                <w:color w:val="auto"/>
                <w:sz w:val="21"/>
                <w:szCs w:val="21"/>
                <w:highlight w:val="none"/>
              </w:rPr>
              <w:t>文化</w:t>
            </w:r>
            <w:r>
              <w:rPr>
                <w:rFonts w:ascii="Times New Roman" w:hAnsi="Times New Roman"/>
                <w:color w:val="auto"/>
                <w:sz w:val="21"/>
                <w:szCs w:val="21"/>
                <w:highlight w:val="none"/>
              </w:rPr>
              <w:t>区</w:t>
            </w:r>
          </w:p>
        </w:tc>
        <w:tc>
          <w:tcPr>
            <w:tcW w:w="1748" w:type="dxa"/>
            <w:tcBorders>
              <w:tl2br w:val="nil"/>
              <w:tr2bl w:val="nil"/>
            </w:tcBorders>
            <w:shd w:val="clear" w:color="auto" w:fill="auto"/>
            <w:vAlign w:val="center"/>
          </w:tcPr>
          <w:p w14:paraId="425C11F3">
            <w:pPr>
              <w:ind w:left="-105" w:right="-105"/>
              <w:jc w:val="center"/>
              <w:rPr>
                <w:rFonts w:ascii="Times New Roman" w:hAnsi="Times New Roman"/>
                <w:color w:val="auto"/>
                <w:sz w:val="21"/>
                <w:szCs w:val="21"/>
                <w:highlight w:val="none"/>
                <w:lang w:val="zh-CN" w:bidi="zh-CN"/>
              </w:rPr>
            </w:pPr>
            <w:r>
              <w:rPr>
                <w:rFonts w:hint="eastAsia" w:ascii="Times New Roman" w:hAnsi="Times New Roman"/>
                <w:color w:val="auto"/>
                <w:sz w:val="21"/>
                <w:szCs w:val="21"/>
                <w:highlight w:val="none"/>
              </w:rPr>
              <w:t>1100</w:t>
            </w:r>
            <w:r>
              <w:rPr>
                <w:rFonts w:ascii="Times New Roman" w:hAnsi="Times New Roman"/>
                <w:color w:val="auto"/>
                <w:sz w:val="21"/>
                <w:szCs w:val="21"/>
                <w:highlight w:val="none"/>
              </w:rPr>
              <w:t>人</w:t>
            </w:r>
          </w:p>
        </w:tc>
      </w:tr>
      <w:tr w14:paraId="1C317A8E">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851" w:type="dxa"/>
            <w:vMerge w:val="continue"/>
            <w:tcBorders>
              <w:tl2br w:val="nil"/>
              <w:tr2bl w:val="nil"/>
            </w:tcBorders>
            <w:vAlign w:val="center"/>
          </w:tcPr>
          <w:p w14:paraId="4123F613">
            <w:pPr>
              <w:ind w:left="-105" w:right="-105"/>
              <w:jc w:val="center"/>
              <w:rPr>
                <w:rFonts w:ascii="Times New Roman" w:hAnsi="Times New Roman"/>
                <w:color w:val="auto"/>
                <w:sz w:val="21"/>
                <w:szCs w:val="21"/>
                <w:highlight w:val="none"/>
                <w:lang w:val="zh-CN" w:bidi="zh-CN"/>
              </w:rPr>
            </w:pPr>
          </w:p>
        </w:tc>
        <w:tc>
          <w:tcPr>
            <w:tcW w:w="704" w:type="dxa"/>
            <w:tcBorders>
              <w:tl2br w:val="nil"/>
              <w:tr2bl w:val="nil"/>
            </w:tcBorders>
            <w:vAlign w:val="center"/>
          </w:tcPr>
          <w:p w14:paraId="28CF7B27">
            <w:pPr>
              <w:pStyle w:val="97"/>
              <w:numPr>
                <w:ilvl w:val="0"/>
                <w:numId w:val="13"/>
              </w:numPr>
              <w:ind w:left="-105" w:right="-105" w:firstLineChars="0"/>
              <w:jc w:val="center"/>
              <w:rPr>
                <w:rFonts w:eastAsia="宋体"/>
                <w:color w:val="auto"/>
                <w:kern w:val="0"/>
                <w:sz w:val="21"/>
                <w:szCs w:val="21"/>
                <w:highlight w:val="none"/>
                <w:lang w:val="zh-CN" w:bidi="zh-CN"/>
              </w:rPr>
            </w:pPr>
          </w:p>
        </w:tc>
        <w:tc>
          <w:tcPr>
            <w:tcW w:w="2131" w:type="dxa"/>
            <w:gridSpan w:val="3"/>
            <w:tcBorders>
              <w:tl2br w:val="nil"/>
              <w:tr2bl w:val="nil"/>
            </w:tcBorders>
            <w:shd w:val="clear" w:color="auto" w:fill="auto"/>
            <w:vAlign w:val="center"/>
          </w:tcPr>
          <w:p w14:paraId="0AAADBBF">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金色庭园</w:t>
            </w:r>
          </w:p>
        </w:tc>
        <w:tc>
          <w:tcPr>
            <w:tcW w:w="1100" w:type="dxa"/>
            <w:gridSpan w:val="3"/>
            <w:tcBorders>
              <w:tl2br w:val="nil"/>
              <w:tr2bl w:val="nil"/>
            </w:tcBorders>
            <w:shd w:val="clear" w:color="auto" w:fill="auto"/>
            <w:vAlign w:val="center"/>
          </w:tcPr>
          <w:p w14:paraId="16F27020">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SW</w:t>
            </w:r>
          </w:p>
        </w:tc>
        <w:tc>
          <w:tcPr>
            <w:tcW w:w="1278" w:type="dxa"/>
            <w:gridSpan w:val="3"/>
            <w:tcBorders>
              <w:tl2br w:val="nil"/>
              <w:tr2bl w:val="nil"/>
            </w:tcBorders>
            <w:shd w:val="clear" w:color="auto" w:fill="auto"/>
            <w:vAlign w:val="center"/>
          </w:tcPr>
          <w:p w14:paraId="3F96AA66">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4504</w:t>
            </w:r>
          </w:p>
        </w:tc>
        <w:tc>
          <w:tcPr>
            <w:tcW w:w="1238" w:type="dxa"/>
            <w:gridSpan w:val="3"/>
            <w:tcBorders>
              <w:tl2br w:val="nil"/>
              <w:tr2bl w:val="nil"/>
            </w:tcBorders>
            <w:shd w:val="clear" w:color="auto" w:fill="auto"/>
            <w:vAlign w:val="center"/>
          </w:tcPr>
          <w:p w14:paraId="37CD663A">
            <w:pPr>
              <w:ind w:left="-105" w:right="-105"/>
              <w:jc w:val="center"/>
              <w:rPr>
                <w:rFonts w:ascii="Times New Roman" w:hAnsi="Times New Roman"/>
                <w:color w:val="auto"/>
                <w:sz w:val="21"/>
                <w:szCs w:val="21"/>
                <w:highlight w:val="none"/>
                <w:lang w:val="zh-CN" w:bidi="zh-CN"/>
              </w:rPr>
            </w:pPr>
            <w:r>
              <w:rPr>
                <w:rFonts w:ascii="Times New Roman" w:hAnsi="Times New Roman"/>
                <w:color w:val="auto"/>
                <w:sz w:val="21"/>
                <w:szCs w:val="21"/>
                <w:highlight w:val="none"/>
              </w:rPr>
              <w:t>居住区</w:t>
            </w:r>
          </w:p>
        </w:tc>
        <w:tc>
          <w:tcPr>
            <w:tcW w:w="1748" w:type="dxa"/>
            <w:tcBorders>
              <w:tl2br w:val="nil"/>
              <w:tr2bl w:val="nil"/>
            </w:tcBorders>
            <w:shd w:val="clear" w:color="auto" w:fill="auto"/>
            <w:vAlign w:val="center"/>
          </w:tcPr>
          <w:p w14:paraId="1783F8C1">
            <w:pPr>
              <w:ind w:left="-105" w:right="-105"/>
              <w:jc w:val="center"/>
              <w:rPr>
                <w:rFonts w:ascii="Times New Roman" w:hAnsi="Times New Roman"/>
                <w:color w:val="auto"/>
                <w:sz w:val="21"/>
                <w:szCs w:val="21"/>
                <w:highlight w:val="none"/>
                <w:lang w:val="zh-CN" w:bidi="zh-CN"/>
              </w:rPr>
            </w:pPr>
            <w:r>
              <w:rPr>
                <w:rFonts w:hint="eastAsia" w:ascii="Times New Roman" w:hAnsi="Times New Roman"/>
                <w:color w:val="auto"/>
                <w:sz w:val="21"/>
                <w:szCs w:val="21"/>
                <w:highlight w:val="none"/>
              </w:rPr>
              <w:t>200</w:t>
            </w:r>
            <w:r>
              <w:rPr>
                <w:rFonts w:ascii="Times New Roman" w:hAnsi="Times New Roman"/>
                <w:color w:val="auto"/>
                <w:sz w:val="21"/>
                <w:szCs w:val="21"/>
                <w:highlight w:val="none"/>
              </w:rPr>
              <w:t>户/</w:t>
            </w:r>
            <w:r>
              <w:rPr>
                <w:rFonts w:hint="eastAsia" w:ascii="Times New Roman" w:hAnsi="Times New Roman"/>
                <w:color w:val="auto"/>
                <w:sz w:val="21"/>
                <w:szCs w:val="21"/>
                <w:highlight w:val="none"/>
              </w:rPr>
              <w:t>750</w:t>
            </w:r>
            <w:r>
              <w:rPr>
                <w:rFonts w:ascii="Times New Roman" w:hAnsi="Times New Roman"/>
                <w:color w:val="auto"/>
                <w:sz w:val="21"/>
                <w:szCs w:val="21"/>
                <w:highlight w:val="none"/>
              </w:rPr>
              <w:t>人</w:t>
            </w:r>
          </w:p>
        </w:tc>
      </w:tr>
      <w:tr w14:paraId="4F8995DA">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851" w:type="dxa"/>
            <w:vMerge w:val="continue"/>
            <w:tcBorders>
              <w:tl2br w:val="nil"/>
              <w:tr2bl w:val="nil"/>
            </w:tcBorders>
            <w:vAlign w:val="center"/>
          </w:tcPr>
          <w:p w14:paraId="640D68FD">
            <w:pPr>
              <w:ind w:left="-105" w:right="-105"/>
              <w:jc w:val="center"/>
              <w:rPr>
                <w:rFonts w:ascii="Times New Roman" w:hAnsi="Times New Roman"/>
                <w:color w:val="auto"/>
                <w:sz w:val="21"/>
                <w:szCs w:val="21"/>
                <w:highlight w:val="none"/>
                <w:lang w:val="zh-CN" w:bidi="zh-CN"/>
              </w:rPr>
            </w:pPr>
          </w:p>
        </w:tc>
        <w:tc>
          <w:tcPr>
            <w:tcW w:w="704" w:type="dxa"/>
            <w:tcBorders>
              <w:tl2br w:val="nil"/>
              <w:tr2bl w:val="nil"/>
            </w:tcBorders>
            <w:vAlign w:val="center"/>
          </w:tcPr>
          <w:p w14:paraId="21A7063B">
            <w:pPr>
              <w:pStyle w:val="97"/>
              <w:numPr>
                <w:ilvl w:val="0"/>
                <w:numId w:val="13"/>
              </w:numPr>
              <w:ind w:left="-105" w:right="-105" w:firstLineChars="0"/>
              <w:jc w:val="center"/>
              <w:rPr>
                <w:rFonts w:eastAsia="宋体"/>
                <w:color w:val="auto"/>
                <w:kern w:val="0"/>
                <w:sz w:val="21"/>
                <w:szCs w:val="21"/>
                <w:highlight w:val="none"/>
                <w:lang w:val="zh-CN" w:bidi="zh-CN"/>
              </w:rPr>
            </w:pPr>
          </w:p>
        </w:tc>
        <w:tc>
          <w:tcPr>
            <w:tcW w:w="2131" w:type="dxa"/>
            <w:gridSpan w:val="3"/>
            <w:tcBorders>
              <w:tl2br w:val="nil"/>
              <w:tr2bl w:val="nil"/>
            </w:tcBorders>
            <w:shd w:val="clear" w:color="auto" w:fill="auto"/>
            <w:vAlign w:val="center"/>
          </w:tcPr>
          <w:p w14:paraId="75FFC285">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江苏锡山中等专业学校</w:t>
            </w:r>
          </w:p>
        </w:tc>
        <w:tc>
          <w:tcPr>
            <w:tcW w:w="1100" w:type="dxa"/>
            <w:gridSpan w:val="3"/>
            <w:tcBorders>
              <w:tl2br w:val="nil"/>
              <w:tr2bl w:val="nil"/>
            </w:tcBorders>
            <w:shd w:val="clear" w:color="auto" w:fill="auto"/>
            <w:vAlign w:val="center"/>
          </w:tcPr>
          <w:p w14:paraId="3674C0B8">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SW</w:t>
            </w:r>
          </w:p>
        </w:tc>
        <w:tc>
          <w:tcPr>
            <w:tcW w:w="1278" w:type="dxa"/>
            <w:gridSpan w:val="3"/>
            <w:tcBorders>
              <w:tl2br w:val="nil"/>
              <w:tr2bl w:val="nil"/>
            </w:tcBorders>
            <w:shd w:val="clear" w:color="auto" w:fill="auto"/>
            <w:vAlign w:val="center"/>
          </w:tcPr>
          <w:p w14:paraId="7F8A0D57">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4710</w:t>
            </w:r>
          </w:p>
        </w:tc>
        <w:tc>
          <w:tcPr>
            <w:tcW w:w="1238" w:type="dxa"/>
            <w:gridSpan w:val="3"/>
            <w:tcBorders>
              <w:tl2br w:val="nil"/>
              <w:tr2bl w:val="nil"/>
            </w:tcBorders>
            <w:shd w:val="clear" w:color="auto" w:fill="auto"/>
            <w:vAlign w:val="center"/>
          </w:tcPr>
          <w:p w14:paraId="6B1CEAD9">
            <w:pPr>
              <w:ind w:left="-105" w:right="-105"/>
              <w:jc w:val="center"/>
              <w:rPr>
                <w:rFonts w:ascii="Times New Roman" w:hAnsi="Times New Roman"/>
                <w:color w:val="auto"/>
                <w:sz w:val="21"/>
                <w:szCs w:val="21"/>
                <w:highlight w:val="none"/>
                <w:lang w:val="zh-CN" w:bidi="zh-CN"/>
              </w:rPr>
            </w:pPr>
            <w:r>
              <w:rPr>
                <w:rFonts w:hint="eastAsia" w:ascii="Times New Roman" w:hAnsi="Times New Roman"/>
                <w:color w:val="auto"/>
                <w:sz w:val="21"/>
                <w:szCs w:val="21"/>
                <w:highlight w:val="none"/>
              </w:rPr>
              <w:t>文化</w:t>
            </w:r>
            <w:r>
              <w:rPr>
                <w:rFonts w:ascii="Times New Roman" w:hAnsi="Times New Roman"/>
                <w:color w:val="auto"/>
                <w:sz w:val="21"/>
                <w:szCs w:val="21"/>
                <w:highlight w:val="none"/>
              </w:rPr>
              <w:t>区</w:t>
            </w:r>
          </w:p>
        </w:tc>
        <w:tc>
          <w:tcPr>
            <w:tcW w:w="1748" w:type="dxa"/>
            <w:tcBorders>
              <w:tl2br w:val="nil"/>
              <w:tr2bl w:val="nil"/>
            </w:tcBorders>
            <w:shd w:val="clear" w:color="auto" w:fill="auto"/>
            <w:vAlign w:val="center"/>
          </w:tcPr>
          <w:p w14:paraId="7E6AFD39">
            <w:pPr>
              <w:ind w:left="-105" w:right="-105"/>
              <w:jc w:val="center"/>
              <w:rPr>
                <w:rFonts w:ascii="Times New Roman" w:hAnsi="Times New Roman"/>
                <w:color w:val="auto"/>
                <w:sz w:val="21"/>
                <w:szCs w:val="21"/>
                <w:highlight w:val="none"/>
                <w:lang w:val="zh-CN" w:bidi="zh-CN"/>
              </w:rPr>
            </w:pPr>
            <w:r>
              <w:rPr>
                <w:rFonts w:hint="eastAsia" w:ascii="Times New Roman" w:hAnsi="Times New Roman"/>
                <w:color w:val="auto"/>
                <w:sz w:val="21"/>
                <w:szCs w:val="21"/>
                <w:highlight w:val="none"/>
              </w:rPr>
              <w:t>800</w:t>
            </w:r>
            <w:r>
              <w:rPr>
                <w:rFonts w:ascii="Times New Roman" w:hAnsi="Times New Roman"/>
                <w:color w:val="auto"/>
                <w:sz w:val="21"/>
                <w:szCs w:val="21"/>
                <w:highlight w:val="none"/>
              </w:rPr>
              <w:t>人</w:t>
            </w:r>
          </w:p>
        </w:tc>
      </w:tr>
      <w:tr w14:paraId="411DD417">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851" w:type="dxa"/>
            <w:vMerge w:val="continue"/>
            <w:tcBorders>
              <w:tl2br w:val="nil"/>
              <w:tr2bl w:val="nil"/>
            </w:tcBorders>
            <w:vAlign w:val="center"/>
          </w:tcPr>
          <w:p w14:paraId="68FBF6E8">
            <w:pPr>
              <w:ind w:left="-105" w:right="-105"/>
              <w:jc w:val="center"/>
              <w:rPr>
                <w:rFonts w:ascii="Times New Roman" w:hAnsi="Times New Roman"/>
                <w:color w:val="auto"/>
                <w:sz w:val="21"/>
                <w:szCs w:val="21"/>
                <w:highlight w:val="none"/>
                <w:lang w:val="zh-CN" w:bidi="zh-CN"/>
              </w:rPr>
            </w:pPr>
          </w:p>
        </w:tc>
        <w:tc>
          <w:tcPr>
            <w:tcW w:w="704" w:type="dxa"/>
            <w:tcBorders>
              <w:tl2br w:val="nil"/>
              <w:tr2bl w:val="nil"/>
            </w:tcBorders>
            <w:vAlign w:val="center"/>
          </w:tcPr>
          <w:p w14:paraId="796E207A">
            <w:pPr>
              <w:pStyle w:val="97"/>
              <w:numPr>
                <w:ilvl w:val="0"/>
                <w:numId w:val="13"/>
              </w:numPr>
              <w:ind w:left="-105" w:right="-105" w:firstLineChars="0"/>
              <w:jc w:val="center"/>
              <w:rPr>
                <w:rFonts w:eastAsia="宋体"/>
                <w:color w:val="auto"/>
                <w:kern w:val="0"/>
                <w:sz w:val="21"/>
                <w:szCs w:val="21"/>
                <w:highlight w:val="none"/>
                <w:lang w:val="zh-CN" w:bidi="zh-CN"/>
              </w:rPr>
            </w:pPr>
          </w:p>
        </w:tc>
        <w:tc>
          <w:tcPr>
            <w:tcW w:w="2131" w:type="dxa"/>
            <w:gridSpan w:val="3"/>
            <w:tcBorders>
              <w:tl2br w:val="nil"/>
              <w:tr2bl w:val="nil"/>
            </w:tcBorders>
            <w:shd w:val="clear" w:color="auto" w:fill="auto"/>
            <w:vAlign w:val="center"/>
          </w:tcPr>
          <w:p w14:paraId="3533AD9A">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梓旺苑</w:t>
            </w:r>
          </w:p>
        </w:tc>
        <w:tc>
          <w:tcPr>
            <w:tcW w:w="1100" w:type="dxa"/>
            <w:gridSpan w:val="3"/>
            <w:tcBorders>
              <w:tl2br w:val="nil"/>
              <w:tr2bl w:val="nil"/>
            </w:tcBorders>
            <w:shd w:val="clear" w:color="auto" w:fill="auto"/>
            <w:vAlign w:val="center"/>
          </w:tcPr>
          <w:p w14:paraId="08DE798D">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SW</w:t>
            </w:r>
          </w:p>
        </w:tc>
        <w:tc>
          <w:tcPr>
            <w:tcW w:w="1278" w:type="dxa"/>
            <w:gridSpan w:val="3"/>
            <w:tcBorders>
              <w:tl2br w:val="nil"/>
              <w:tr2bl w:val="nil"/>
            </w:tcBorders>
            <w:shd w:val="clear" w:color="auto" w:fill="auto"/>
            <w:vAlign w:val="center"/>
          </w:tcPr>
          <w:p w14:paraId="1ADCAD0C">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4057</w:t>
            </w:r>
          </w:p>
        </w:tc>
        <w:tc>
          <w:tcPr>
            <w:tcW w:w="1238" w:type="dxa"/>
            <w:gridSpan w:val="3"/>
            <w:tcBorders>
              <w:tl2br w:val="nil"/>
              <w:tr2bl w:val="nil"/>
            </w:tcBorders>
            <w:shd w:val="clear" w:color="auto" w:fill="auto"/>
            <w:vAlign w:val="center"/>
          </w:tcPr>
          <w:p w14:paraId="7B1ED9A2">
            <w:pPr>
              <w:ind w:left="-105" w:right="-105"/>
              <w:jc w:val="center"/>
              <w:rPr>
                <w:rFonts w:ascii="Times New Roman" w:hAnsi="Times New Roman"/>
                <w:color w:val="auto"/>
                <w:sz w:val="21"/>
                <w:szCs w:val="21"/>
                <w:highlight w:val="none"/>
                <w:lang w:val="zh-CN" w:bidi="zh-CN"/>
              </w:rPr>
            </w:pPr>
            <w:r>
              <w:rPr>
                <w:rFonts w:ascii="Times New Roman" w:hAnsi="Times New Roman"/>
                <w:color w:val="auto"/>
                <w:sz w:val="21"/>
                <w:szCs w:val="21"/>
                <w:highlight w:val="none"/>
              </w:rPr>
              <w:t>居住区</w:t>
            </w:r>
          </w:p>
        </w:tc>
        <w:tc>
          <w:tcPr>
            <w:tcW w:w="1748" w:type="dxa"/>
            <w:tcBorders>
              <w:tl2br w:val="nil"/>
              <w:tr2bl w:val="nil"/>
            </w:tcBorders>
            <w:shd w:val="clear" w:color="auto" w:fill="auto"/>
            <w:vAlign w:val="center"/>
          </w:tcPr>
          <w:p w14:paraId="3BC29BCB">
            <w:pPr>
              <w:ind w:left="-105" w:right="-105"/>
              <w:jc w:val="center"/>
              <w:rPr>
                <w:rFonts w:ascii="Times New Roman" w:hAnsi="Times New Roman"/>
                <w:color w:val="auto"/>
                <w:sz w:val="21"/>
                <w:szCs w:val="21"/>
                <w:highlight w:val="none"/>
                <w:lang w:val="zh-CN" w:bidi="zh-CN"/>
              </w:rPr>
            </w:pPr>
            <w:r>
              <w:rPr>
                <w:rFonts w:hint="eastAsia" w:ascii="Times New Roman" w:hAnsi="Times New Roman"/>
                <w:color w:val="auto"/>
                <w:sz w:val="21"/>
                <w:szCs w:val="21"/>
                <w:highlight w:val="none"/>
              </w:rPr>
              <w:t>5000</w:t>
            </w:r>
            <w:r>
              <w:rPr>
                <w:rFonts w:ascii="Times New Roman" w:hAnsi="Times New Roman"/>
                <w:color w:val="auto"/>
                <w:sz w:val="21"/>
                <w:szCs w:val="21"/>
                <w:highlight w:val="none"/>
              </w:rPr>
              <w:t>户/</w:t>
            </w:r>
            <w:r>
              <w:rPr>
                <w:rFonts w:hint="eastAsia" w:ascii="Times New Roman" w:hAnsi="Times New Roman"/>
                <w:color w:val="auto"/>
                <w:sz w:val="21"/>
                <w:szCs w:val="21"/>
                <w:highlight w:val="none"/>
              </w:rPr>
              <w:t>17500</w:t>
            </w:r>
            <w:r>
              <w:rPr>
                <w:rFonts w:ascii="Times New Roman" w:hAnsi="Times New Roman"/>
                <w:color w:val="auto"/>
                <w:sz w:val="21"/>
                <w:szCs w:val="21"/>
                <w:highlight w:val="none"/>
              </w:rPr>
              <w:t>人</w:t>
            </w:r>
          </w:p>
        </w:tc>
      </w:tr>
      <w:tr w14:paraId="7143F082">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851" w:type="dxa"/>
            <w:vMerge w:val="continue"/>
            <w:tcBorders>
              <w:tl2br w:val="nil"/>
              <w:tr2bl w:val="nil"/>
            </w:tcBorders>
            <w:vAlign w:val="center"/>
          </w:tcPr>
          <w:p w14:paraId="3D4CA40C">
            <w:pPr>
              <w:ind w:left="-105" w:right="-105"/>
              <w:jc w:val="center"/>
              <w:rPr>
                <w:rFonts w:ascii="Times New Roman" w:hAnsi="Times New Roman"/>
                <w:color w:val="auto"/>
                <w:sz w:val="21"/>
                <w:szCs w:val="21"/>
                <w:highlight w:val="none"/>
                <w:lang w:val="zh-CN" w:bidi="zh-CN"/>
              </w:rPr>
            </w:pPr>
          </w:p>
        </w:tc>
        <w:tc>
          <w:tcPr>
            <w:tcW w:w="704" w:type="dxa"/>
            <w:tcBorders>
              <w:tl2br w:val="nil"/>
              <w:tr2bl w:val="nil"/>
            </w:tcBorders>
            <w:vAlign w:val="center"/>
          </w:tcPr>
          <w:p w14:paraId="32F9F470">
            <w:pPr>
              <w:pStyle w:val="97"/>
              <w:numPr>
                <w:ilvl w:val="0"/>
                <w:numId w:val="13"/>
              </w:numPr>
              <w:ind w:left="-105" w:right="-105" w:firstLineChars="0"/>
              <w:jc w:val="center"/>
              <w:rPr>
                <w:rFonts w:eastAsia="宋体"/>
                <w:color w:val="auto"/>
                <w:kern w:val="0"/>
                <w:sz w:val="21"/>
                <w:szCs w:val="21"/>
                <w:highlight w:val="none"/>
                <w:lang w:val="zh-CN" w:bidi="zh-CN"/>
              </w:rPr>
            </w:pPr>
          </w:p>
        </w:tc>
        <w:tc>
          <w:tcPr>
            <w:tcW w:w="2131" w:type="dxa"/>
            <w:gridSpan w:val="3"/>
            <w:tcBorders>
              <w:tl2br w:val="nil"/>
              <w:tr2bl w:val="nil"/>
            </w:tcBorders>
            <w:shd w:val="clear" w:color="auto" w:fill="auto"/>
            <w:vAlign w:val="center"/>
          </w:tcPr>
          <w:p w14:paraId="3E304CB5">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梓旺康复医院</w:t>
            </w:r>
          </w:p>
        </w:tc>
        <w:tc>
          <w:tcPr>
            <w:tcW w:w="1100" w:type="dxa"/>
            <w:gridSpan w:val="3"/>
            <w:tcBorders>
              <w:tl2br w:val="nil"/>
              <w:tr2bl w:val="nil"/>
            </w:tcBorders>
            <w:shd w:val="clear" w:color="auto" w:fill="auto"/>
            <w:vAlign w:val="center"/>
          </w:tcPr>
          <w:p w14:paraId="26E2B377">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SW</w:t>
            </w:r>
          </w:p>
        </w:tc>
        <w:tc>
          <w:tcPr>
            <w:tcW w:w="1278" w:type="dxa"/>
            <w:gridSpan w:val="3"/>
            <w:tcBorders>
              <w:tl2br w:val="nil"/>
              <w:tr2bl w:val="nil"/>
            </w:tcBorders>
            <w:shd w:val="clear" w:color="auto" w:fill="auto"/>
            <w:vAlign w:val="center"/>
          </w:tcPr>
          <w:p w14:paraId="2FAC8E57">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4310</w:t>
            </w:r>
          </w:p>
        </w:tc>
        <w:tc>
          <w:tcPr>
            <w:tcW w:w="1238" w:type="dxa"/>
            <w:gridSpan w:val="3"/>
            <w:tcBorders>
              <w:tl2br w:val="nil"/>
              <w:tr2bl w:val="nil"/>
            </w:tcBorders>
            <w:shd w:val="clear" w:color="auto" w:fill="auto"/>
            <w:vAlign w:val="center"/>
          </w:tcPr>
          <w:p w14:paraId="66A87119">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医院</w:t>
            </w:r>
          </w:p>
        </w:tc>
        <w:tc>
          <w:tcPr>
            <w:tcW w:w="1748" w:type="dxa"/>
            <w:tcBorders>
              <w:tl2br w:val="nil"/>
              <w:tr2bl w:val="nil"/>
            </w:tcBorders>
            <w:shd w:val="clear" w:color="auto" w:fill="auto"/>
            <w:vAlign w:val="center"/>
          </w:tcPr>
          <w:p w14:paraId="694FA63A">
            <w:pPr>
              <w:ind w:left="-105" w:right="-105"/>
              <w:jc w:val="center"/>
              <w:rPr>
                <w:rFonts w:ascii="Times New Roman" w:hAnsi="Times New Roman"/>
                <w:color w:val="auto"/>
                <w:sz w:val="21"/>
                <w:szCs w:val="21"/>
                <w:highlight w:val="none"/>
                <w:lang w:val="zh-CN" w:bidi="zh-CN"/>
              </w:rPr>
            </w:pPr>
            <w:r>
              <w:rPr>
                <w:rFonts w:hint="eastAsia" w:ascii="Times New Roman" w:hAnsi="Times New Roman"/>
                <w:color w:val="auto"/>
                <w:sz w:val="21"/>
                <w:szCs w:val="21"/>
                <w:highlight w:val="none"/>
              </w:rPr>
              <w:t>300</w:t>
            </w:r>
            <w:r>
              <w:rPr>
                <w:rFonts w:ascii="Times New Roman" w:hAnsi="Times New Roman"/>
                <w:color w:val="auto"/>
                <w:sz w:val="21"/>
                <w:szCs w:val="21"/>
                <w:highlight w:val="none"/>
              </w:rPr>
              <w:t>人</w:t>
            </w:r>
          </w:p>
        </w:tc>
      </w:tr>
      <w:tr w14:paraId="1F31DB58">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851" w:type="dxa"/>
            <w:vMerge w:val="continue"/>
            <w:tcBorders>
              <w:tl2br w:val="nil"/>
              <w:tr2bl w:val="nil"/>
            </w:tcBorders>
            <w:vAlign w:val="center"/>
          </w:tcPr>
          <w:p w14:paraId="6385AADC">
            <w:pPr>
              <w:ind w:left="-105" w:right="-105"/>
              <w:jc w:val="center"/>
              <w:rPr>
                <w:rFonts w:ascii="Times New Roman" w:hAnsi="Times New Roman"/>
                <w:color w:val="auto"/>
                <w:sz w:val="21"/>
                <w:szCs w:val="21"/>
                <w:highlight w:val="none"/>
                <w:lang w:val="zh-CN" w:bidi="zh-CN"/>
              </w:rPr>
            </w:pPr>
          </w:p>
        </w:tc>
        <w:tc>
          <w:tcPr>
            <w:tcW w:w="704" w:type="dxa"/>
            <w:tcBorders>
              <w:tl2br w:val="nil"/>
              <w:tr2bl w:val="nil"/>
            </w:tcBorders>
            <w:vAlign w:val="center"/>
          </w:tcPr>
          <w:p w14:paraId="5B893D86">
            <w:pPr>
              <w:pStyle w:val="97"/>
              <w:numPr>
                <w:ilvl w:val="0"/>
                <w:numId w:val="13"/>
              </w:numPr>
              <w:ind w:left="-105" w:right="-105" w:firstLineChars="0"/>
              <w:jc w:val="center"/>
              <w:rPr>
                <w:rFonts w:eastAsia="宋体"/>
                <w:color w:val="auto"/>
                <w:kern w:val="0"/>
                <w:sz w:val="21"/>
                <w:szCs w:val="21"/>
                <w:highlight w:val="none"/>
                <w:lang w:val="zh-CN" w:bidi="zh-CN"/>
              </w:rPr>
            </w:pPr>
          </w:p>
        </w:tc>
        <w:tc>
          <w:tcPr>
            <w:tcW w:w="2131" w:type="dxa"/>
            <w:gridSpan w:val="3"/>
            <w:tcBorders>
              <w:tl2br w:val="nil"/>
              <w:tr2bl w:val="nil"/>
            </w:tcBorders>
            <w:shd w:val="clear" w:color="auto" w:fill="auto"/>
            <w:vAlign w:val="center"/>
          </w:tcPr>
          <w:p w14:paraId="2009A896">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梓旺新村</w:t>
            </w:r>
          </w:p>
        </w:tc>
        <w:tc>
          <w:tcPr>
            <w:tcW w:w="1100" w:type="dxa"/>
            <w:gridSpan w:val="3"/>
            <w:tcBorders>
              <w:tl2br w:val="nil"/>
              <w:tr2bl w:val="nil"/>
            </w:tcBorders>
            <w:shd w:val="clear" w:color="auto" w:fill="auto"/>
            <w:vAlign w:val="center"/>
          </w:tcPr>
          <w:p w14:paraId="07B3E3DB">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SW</w:t>
            </w:r>
          </w:p>
        </w:tc>
        <w:tc>
          <w:tcPr>
            <w:tcW w:w="1278" w:type="dxa"/>
            <w:gridSpan w:val="3"/>
            <w:tcBorders>
              <w:tl2br w:val="nil"/>
              <w:tr2bl w:val="nil"/>
            </w:tcBorders>
            <w:shd w:val="clear" w:color="auto" w:fill="auto"/>
            <w:vAlign w:val="center"/>
          </w:tcPr>
          <w:p w14:paraId="58715CF0">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4403</w:t>
            </w:r>
          </w:p>
        </w:tc>
        <w:tc>
          <w:tcPr>
            <w:tcW w:w="1238" w:type="dxa"/>
            <w:gridSpan w:val="3"/>
            <w:tcBorders>
              <w:tl2br w:val="nil"/>
              <w:tr2bl w:val="nil"/>
            </w:tcBorders>
            <w:shd w:val="clear" w:color="auto" w:fill="auto"/>
            <w:vAlign w:val="center"/>
          </w:tcPr>
          <w:p w14:paraId="495B2BF5">
            <w:pPr>
              <w:ind w:left="-105" w:right="-105"/>
              <w:jc w:val="center"/>
              <w:rPr>
                <w:rFonts w:ascii="Times New Roman" w:hAnsi="Times New Roman"/>
                <w:color w:val="auto"/>
                <w:sz w:val="21"/>
                <w:szCs w:val="21"/>
                <w:highlight w:val="none"/>
                <w:lang w:val="zh-CN" w:bidi="zh-CN"/>
              </w:rPr>
            </w:pPr>
            <w:r>
              <w:rPr>
                <w:rFonts w:ascii="Times New Roman" w:hAnsi="Times New Roman"/>
                <w:color w:val="auto"/>
                <w:sz w:val="21"/>
                <w:szCs w:val="21"/>
                <w:highlight w:val="none"/>
              </w:rPr>
              <w:t>居住区</w:t>
            </w:r>
          </w:p>
        </w:tc>
        <w:tc>
          <w:tcPr>
            <w:tcW w:w="1748" w:type="dxa"/>
            <w:tcBorders>
              <w:tl2br w:val="nil"/>
              <w:tr2bl w:val="nil"/>
            </w:tcBorders>
            <w:shd w:val="clear" w:color="auto" w:fill="auto"/>
            <w:vAlign w:val="center"/>
          </w:tcPr>
          <w:p w14:paraId="37BB2C3F">
            <w:pPr>
              <w:ind w:left="-105" w:right="-105"/>
              <w:jc w:val="center"/>
              <w:rPr>
                <w:rFonts w:ascii="Times New Roman" w:hAnsi="Times New Roman"/>
                <w:color w:val="auto"/>
                <w:sz w:val="21"/>
                <w:szCs w:val="21"/>
                <w:highlight w:val="none"/>
                <w:lang w:val="zh-CN" w:bidi="zh-CN"/>
              </w:rPr>
            </w:pPr>
            <w:r>
              <w:rPr>
                <w:rFonts w:hint="eastAsia" w:ascii="Times New Roman" w:hAnsi="Times New Roman"/>
                <w:color w:val="auto"/>
                <w:sz w:val="21"/>
                <w:szCs w:val="21"/>
                <w:highlight w:val="none"/>
              </w:rPr>
              <w:t>2000</w:t>
            </w:r>
            <w:r>
              <w:rPr>
                <w:rFonts w:ascii="Times New Roman" w:hAnsi="Times New Roman"/>
                <w:color w:val="auto"/>
                <w:sz w:val="21"/>
                <w:szCs w:val="21"/>
                <w:highlight w:val="none"/>
              </w:rPr>
              <w:t>户/</w:t>
            </w:r>
            <w:r>
              <w:rPr>
                <w:rFonts w:hint="eastAsia" w:ascii="Times New Roman" w:hAnsi="Times New Roman"/>
                <w:color w:val="auto"/>
                <w:sz w:val="21"/>
                <w:szCs w:val="21"/>
                <w:highlight w:val="none"/>
              </w:rPr>
              <w:t>7500</w:t>
            </w:r>
            <w:r>
              <w:rPr>
                <w:rFonts w:ascii="Times New Roman" w:hAnsi="Times New Roman"/>
                <w:color w:val="auto"/>
                <w:sz w:val="21"/>
                <w:szCs w:val="21"/>
                <w:highlight w:val="none"/>
              </w:rPr>
              <w:t>人</w:t>
            </w:r>
          </w:p>
        </w:tc>
      </w:tr>
      <w:tr w14:paraId="43669790">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851" w:type="dxa"/>
            <w:vMerge w:val="continue"/>
            <w:tcBorders>
              <w:tl2br w:val="nil"/>
              <w:tr2bl w:val="nil"/>
            </w:tcBorders>
            <w:vAlign w:val="center"/>
          </w:tcPr>
          <w:p w14:paraId="5D48415F">
            <w:pPr>
              <w:ind w:left="-105" w:right="-105"/>
              <w:jc w:val="center"/>
              <w:rPr>
                <w:rFonts w:ascii="Times New Roman" w:hAnsi="Times New Roman"/>
                <w:color w:val="auto"/>
                <w:sz w:val="21"/>
                <w:szCs w:val="21"/>
                <w:highlight w:val="none"/>
                <w:lang w:val="zh-CN" w:bidi="zh-CN"/>
              </w:rPr>
            </w:pPr>
          </w:p>
        </w:tc>
        <w:tc>
          <w:tcPr>
            <w:tcW w:w="704" w:type="dxa"/>
            <w:tcBorders>
              <w:tl2br w:val="nil"/>
              <w:tr2bl w:val="nil"/>
            </w:tcBorders>
            <w:vAlign w:val="center"/>
          </w:tcPr>
          <w:p w14:paraId="724618F8">
            <w:pPr>
              <w:pStyle w:val="97"/>
              <w:numPr>
                <w:ilvl w:val="0"/>
                <w:numId w:val="13"/>
              </w:numPr>
              <w:ind w:left="-105" w:right="-105" w:firstLineChars="0"/>
              <w:jc w:val="center"/>
              <w:rPr>
                <w:rFonts w:eastAsia="宋体"/>
                <w:color w:val="auto"/>
                <w:kern w:val="0"/>
                <w:sz w:val="21"/>
                <w:szCs w:val="21"/>
                <w:highlight w:val="none"/>
                <w:lang w:val="zh-CN" w:bidi="zh-CN"/>
              </w:rPr>
            </w:pPr>
          </w:p>
        </w:tc>
        <w:tc>
          <w:tcPr>
            <w:tcW w:w="2131" w:type="dxa"/>
            <w:gridSpan w:val="3"/>
            <w:tcBorders>
              <w:tl2br w:val="nil"/>
              <w:tr2bl w:val="nil"/>
            </w:tcBorders>
            <w:shd w:val="clear" w:color="auto" w:fill="auto"/>
            <w:vAlign w:val="center"/>
          </w:tcPr>
          <w:p w14:paraId="480D65AC">
            <w:pPr>
              <w:ind w:left="-105" w:right="-105"/>
              <w:jc w:val="center"/>
              <w:rPr>
                <w:rFonts w:ascii="Times New Roman" w:hAnsi="Times New Roman"/>
                <w:color w:val="auto"/>
                <w:sz w:val="21"/>
                <w:szCs w:val="21"/>
                <w:highlight w:val="none"/>
                <w:lang w:val="zh-CN" w:bidi="zh-CN"/>
              </w:rPr>
            </w:pPr>
            <w:r>
              <w:rPr>
                <w:rFonts w:hint="eastAsia" w:ascii="Times New Roman" w:hAnsi="Times New Roman"/>
                <w:color w:val="auto"/>
                <w:sz w:val="21"/>
                <w:szCs w:val="21"/>
                <w:highlight w:val="none"/>
                <w:lang w:bidi="zh-CN"/>
              </w:rPr>
              <w:t>梓旺村</w:t>
            </w:r>
          </w:p>
        </w:tc>
        <w:tc>
          <w:tcPr>
            <w:tcW w:w="1100" w:type="dxa"/>
            <w:gridSpan w:val="3"/>
            <w:tcBorders>
              <w:tl2br w:val="nil"/>
              <w:tr2bl w:val="nil"/>
            </w:tcBorders>
            <w:shd w:val="clear" w:color="auto" w:fill="auto"/>
            <w:vAlign w:val="center"/>
          </w:tcPr>
          <w:p w14:paraId="47B6992A">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SW</w:t>
            </w:r>
          </w:p>
        </w:tc>
        <w:tc>
          <w:tcPr>
            <w:tcW w:w="1278" w:type="dxa"/>
            <w:gridSpan w:val="3"/>
            <w:tcBorders>
              <w:tl2br w:val="nil"/>
              <w:tr2bl w:val="nil"/>
            </w:tcBorders>
            <w:shd w:val="clear" w:color="auto" w:fill="auto"/>
            <w:vAlign w:val="center"/>
          </w:tcPr>
          <w:p w14:paraId="52BC975D">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4663</w:t>
            </w:r>
          </w:p>
        </w:tc>
        <w:tc>
          <w:tcPr>
            <w:tcW w:w="1238" w:type="dxa"/>
            <w:gridSpan w:val="3"/>
            <w:tcBorders>
              <w:tl2br w:val="nil"/>
              <w:tr2bl w:val="nil"/>
            </w:tcBorders>
            <w:shd w:val="clear" w:color="auto" w:fill="auto"/>
            <w:vAlign w:val="center"/>
          </w:tcPr>
          <w:p w14:paraId="129C63AC">
            <w:pPr>
              <w:ind w:left="-105" w:right="-105"/>
              <w:jc w:val="center"/>
              <w:rPr>
                <w:rFonts w:ascii="Times New Roman" w:hAnsi="Times New Roman"/>
                <w:color w:val="auto"/>
                <w:sz w:val="21"/>
                <w:szCs w:val="21"/>
                <w:highlight w:val="none"/>
                <w:lang w:val="zh-CN" w:bidi="zh-CN"/>
              </w:rPr>
            </w:pPr>
            <w:r>
              <w:rPr>
                <w:rFonts w:ascii="Times New Roman" w:hAnsi="Times New Roman"/>
                <w:color w:val="auto"/>
                <w:sz w:val="21"/>
                <w:szCs w:val="21"/>
                <w:highlight w:val="none"/>
              </w:rPr>
              <w:t>居住区</w:t>
            </w:r>
          </w:p>
        </w:tc>
        <w:tc>
          <w:tcPr>
            <w:tcW w:w="1748" w:type="dxa"/>
            <w:tcBorders>
              <w:tl2br w:val="nil"/>
              <w:tr2bl w:val="nil"/>
            </w:tcBorders>
            <w:shd w:val="clear" w:color="auto" w:fill="auto"/>
            <w:vAlign w:val="center"/>
          </w:tcPr>
          <w:p w14:paraId="12C952B5">
            <w:pPr>
              <w:ind w:left="-105" w:right="-105"/>
              <w:jc w:val="center"/>
              <w:rPr>
                <w:rFonts w:ascii="Times New Roman" w:hAnsi="Times New Roman"/>
                <w:color w:val="auto"/>
                <w:sz w:val="21"/>
                <w:szCs w:val="21"/>
                <w:highlight w:val="none"/>
                <w:lang w:val="zh-CN" w:bidi="zh-CN"/>
              </w:rPr>
            </w:pPr>
            <w:r>
              <w:rPr>
                <w:rFonts w:hint="eastAsia" w:ascii="Times New Roman" w:hAnsi="Times New Roman"/>
                <w:color w:val="auto"/>
                <w:sz w:val="21"/>
                <w:szCs w:val="21"/>
                <w:highlight w:val="none"/>
              </w:rPr>
              <w:t>120</w:t>
            </w:r>
            <w:r>
              <w:rPr>
                <w:rFonts w:ascii="Times New Roman" w:hAnsi="Times New Roman"/>
                <w:color w:val="auto"/>
                <w:sz w:val="21"/>
                <w:szCs w:val="21"/>
                <w:highlight w:val="none"/>
              </w:rPr>
              <w:t>户/</w:t>
            </w:r>
            <w:r>
              <w:rPr>
                <w:rFonts w:hint="eastAsia" w:ascii="Times New Roman" w:hAnsi="Times New Roman"/>
                <w:color w:val="auto"/>
                <w:sz w:val="21"/>
                <w:szCs w:val="21"/>
                <w:highlight w:val="none"/>
              </w:rPr>
              <w:t>420</w:t>
            </w:r>
            <w:r>
              <w:rPr>
                <w:rFonts w:ascii="Times New Roman" w:hAnsi="Times New Roman"/>
                <w:color w:val="auto"/>
                <w:sz w:val="21"/>
                <w:szCs w:val="21"/>
                <w:highlight w:val="none"/>
              </w:rPr>
              <w:t>人</w:t>
            </w:r>
          </w:p>
        </w:tc>
      </w:tr>
      <w:tr w14:paraId="35C90441">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851" w:type="dxa"/>
            <w:vMerge w:val="continue"/>
            <w:tcBorders>
              <w:tl2br w:val="nil"/>
              <w:tr2bl w:val="nil"/>
            </w:tcBorders>
            <w:vAlign w:val="center"/>
          </w:tcPr>
          <w:p w14:paraId="78F4EA08">
            <w:pPr>
              <w:ind w:left="-105" w:right="-105"/>
              <w:jc w:val="center"/>
              <w:rPr>
                <w:rFonts w:ascii="Times New Roman" w:hAnsi="Times New Roman"/>
                <w:color w:val="auto"/>
                <w:sz w:val="21"/>
                <w:szCs w:val="21"/>
                <w:highlight w:val="none"/>
                <w:lang w:val="zh-CN" w:bidi="zh-CN"/>
              </w:rPr>
            </w:pPr>
          </w:p>
        </w:tc>
        <w:tc>
          <w:tcPr>
            <w:tcW w:w="704" w:type="dxa"/>
            <w:tcBorders>
              <w:tl2br w:val="nil"/>
              <w:tr2bl w:val="nil"/>
            </w:tcBorders>
            <w:vAlign w:val="center"/>
          </w:tcPr>
          <w:p w14:paraId="2DCE3FED">
            <w:pPr>
              <w:pStyle w:val="97"/>
              <w:numPr>
                <w:ilvl w:val="0"/>
                <w:numId w:val="13"/>
              </w:numPr>
              <w:ind w:left="-105" w:right="-105" w:firstLineChars="0"/>
              <w:jc w:val="center"/>
              <w:rPr>
                <w:rFonts w:eastAsia="宋体"/>
                <w:color w:val="auto"/>
                <w:kern w:val="0"/>
                <w:sz w:val="21"/>
                <w:szCs w:val="21"/>
                <w:highlight w:val="none"/>
                <w:lang w:val="zh-CN" w:bidi="zh-CN"/>
              </w:rPr>
            </w:pPr>
          </w:p>
        </w:tc>
        <w:tc>
          <w:tcPr>
            <w:tcW w:w="2131" w:type="dxa"/>
            <w:gridSpan w:val="3"/>
            <w:tcBorders>
              <w:tl2br w:val="nil"/>
              <w:tr2bl w:val="nil"/>
            </w:tcBorders>
            <w:shd w:val="clear" w:color="auto" w:fill="auto"/>
            <w:vAlign w:val="center"/>
          </w:tcPr>
          <w:p w14:paraId="676F43A0">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东北塘中学</w:t>
            </w:r>
          </w:p>
        </w:tc>
        <w:tc>
          <w:tcPr>
            <w:tcW w:w="1100" w:type="dxa"/>
            <w:gridSpan w:val="3"/>
            <w:tcBorders>
              <w:tl2br w:val="nil"/>
              <w:tr2bl w:val="nil"/>
            </w:tcBorders>
            <w:shd w:val="clear" w:color="auto" w:fill="auto"/>
            <w:vAlign w:val="center"/>
          </w:tcPr>
          <w:p w14:paraId="5C395642">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SW</w:t>
            </w:r>
          </w:p>
        </w:tc>
        <w:tc>
          <w:tcPr>
            <w:tcW w:w="1278" w:type="dxa"/>
            <w:gridSpan w:val="3"/>
            <w:tcBorders>
              <w:tl2br w:val="nil"/>
              <w:tr2bl w:val="nil"/>
            </w:tcBorders>
            <w:shd w:val="clear" w:color="auto" w:fill="auto"/>
            <w:vAlign w:val="center"/>
          </w:tcPr>
          <w:p w14:paraId="5F3F5E74">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4066</w:t>
            </w:r>
          </w:p>
        </w:tc>
        <w:tc>
          <w:tcPr>
            <w:tcW w:w="1238" w:type="dxa"/>
            <w:gridSpan w:val="3"/>
            <w:tcBorders>
              <w:tl2br w:val="nil"/>
              <w:tr2bl w:val="nil"/>
            </w:tcBorders>
            <w:shd w:val="clear" w:color="auto" w:fill="auto"/>
            <w:vAlign w:val="center"/>
          </w:tcPr>
          <w:p w14:paraId="05E1EBAF">
            <w:pPr>
              <w:ind w:left="-105" w:right="-105"/>
              <w:jc w:val="center"/>
              <w:rPr>
                <w:rFonts w:ascii="Times New Roman" w:hAnsi="Times New Roman"/>
                <w:color w:val="auto"/>
                <w:sz w:val="21"/>
                <w:szCs w:val="21"/>
                <w:highlight w:val="none"/>
                <w:lang w:val="zh-CN" w:bidi="zh-CN"/>
              </w:rPr>
            </w:pPr>
            <w:r>
              <w:rPr>
                <w:rFonts w:ascii="Times New Roman" w:hAnsi="Times New Roman"/>
                <w:color w:val="auto"/>
                <w:sz w:val="21"/>
                <w:szCs w:val="21"/>
                <w:highlight w:val="none"/>
              </w:rPr>
              <w:t>居住区</w:t>
            </w:r>
          </w:p>
        </w:tc>
        <w:tc>
          <w:tcPr>
            <w:tcW w:w="1748" w:type="dxa"/>
            <w:tcBorders>
              <w:tl2br w:val="nil"/>
              <w:tr2bl w:val="nil"/>
            </w:tcBorders>
            <w:shd w:val="clear" w:color="auto" w:fill="auto"/>
            <w:vAlign w:val="center"/>
          </w:tcPr>
          <w:p w14:paraId="2343A308">
            <w:pPr>
              <w:ind w:left="-105" w:right="-105"/>
              <w:jc w:val="center"/>
              <w:rPr>
                <w:rFonts w:ascii="Times New Roman" w:hAnsi="Times New Roman"/>
                <w:color w:val="auto"/>
                <w:sz w:val="21"/>
                <w:szCs w:val="21"/>
                <w:highlight w:val="none"/>
                <w:lang w:val="zh-CN" w:bidi="zh-CN"/>
              </w:rPr>
            </w:pPr>
            <w:r>
              <w:rPr>
                <w:rFonts w:hint="eastAsia" w:ascii="Times New Roman" w:hAnsi="Times New Roman"/>
                <w:color w:val="auto"/>
                <w:sz w:val="21"/>
                <w:szCs w:val="21"/>
                <w:highlight w:val="none"/>
              </w:rPr>
              <w:t>1200</w:t>
            </w:r>
            <w:r>
              <w:rPr>
                <w:rFonts w:ascii="Times New Roman" w:hAnsi="Times New Roman"/>
                <w:color w:val="auto"/>
                <w:sz w:val="21"/>
                <w:szCs w:val="21"/>
                <w:highlight w:val="none"/>
              </w:rPr>
              <w:t>人</w:t>
            </w:r>
          </w:p>
        </w:tc>
      </w:tr>
      <w:tr w14:paraId="2E17C5B2">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851" w:type="dxa"/>
            <w:vMerge w:val="continue"/>
            <w:tcBorders>
              <w:tl2br w:val="nil"/>
              <w:tr2bl w:val="nil"/>
            </w:tcBorders>
            <w:vAlign w:val="center"/>
          </w:tcPr>
          <w:p w14:paraId="5FAACC93">
            <w:pPr>
              <w:ind w:left="-105" w:right="-105"/>
              <w:jc w:val="center"/>
              <w:rPr>
                <w:rFonts w:ascii="Times New Roman" w:hAnsi="Times New Roman"/>
                <w:color w:val="auto"/>
                <w:sz w:val="21"/>
                <w:szCs w:val="21"/>
                <w:highlight w:val="none"/>
                <w:lang w:val="zh-CN" w:bidi="zh-CN"/>
              </w:rPr>
            </w:pPr>
          </w:p>
        </w:tc>
        <w:tc>
          <w:tcPr>
            <w:tcW w:w="704" w:type="dxa"/>
            <w:tcBorders>
              <w:tl2br w:val="nil"/>
              <w:tr2bl w:val="nil"/>
            </w:tcBorders>
            <w:vAlign w:val="center"/>
          </w:tcPr>
          <w:p w14:paraId="49390B30">
            <w:pPr>
              <w:pStyle w:val="97"/>
              <w:numPr>
                <w:ilvl w:val="0"/>
                <w:numId w:val="13"/>
              </w:numPr>
              <w:ind w:left="-105" w:right="-105" w:firstLineChars="0"/>
              <w:jc w:val="center"/>
              <w:rPr>
                <w:rFonts w:eastAsia="宋体"/>
                <w:color w:val="auto"/>
                <w:kern w:val="0"/>
                <w:sz w:val="21"/>
                <w:szCs w:val="21"/>
                <w:highlight w:val="none"/>
                <w:lang w:val="zh-CN" w:bidi="zh-CN"/>
              </w:rPr>
            </w:pPr>
          </w:p>
        </w:tc>
        <w:tc>
          <w:tcPr>
            <w:tcW w:w="2131" w:type="dxa"/>
            <w:gridSpan w:val="3"/>
            <w:tcBorders>
              <w:tl2br w:val="nil"/>
              <w:tr2bl w:val="nil"/>
            </w:tcBorders>
            <w:shd w:val="clear" w:color="auto" w:fill="auto"/>
            <w:vAlign w:val="center"/>
          </w:tcPr>
          <w:p w14:paraId="49E29143">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蓉阳苑</w:t>
            </w:r>
          </w:p>
        </w:tc>
        <w:tc>
          <w:tcPr>
            <w:tcW w:w="1100" w:type="dxa"/>
            <w:gridSpan w:val="3"/>
            <w:tcBorders>
              <w:tl2br w:val="nil"/>
              <w:tr2bl w:val="nil"/>
            </w:tcBorders>
            <w:shd w:val="clear" w:color="auto" w:fill="auto"/>
            <w:vAlign w:val="center"/>
          </w:tcPr>
          <w:p w14:paraId="64AAA3DA">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SW</w:t>
            </w:r>
          </w:p>
        </w:tc>
        <w:tc>
          <w:tcPr>
            <w:tcW w:w="1278" w:type="dxa"/>
            <w:gridSpan w:val="3"/>
            <w:tcBorders>
              <w:tl2br w:val="nil"/>
              <w:tr2bl w:val="nil"/>
            </w:tcBorders>
            <w:shd w:val="clear" w:color="auto" w:fill="auto"/>
            <w:vAlign w:val="center"/>
          </w:tcPr>
          <w:p w14:paraId="40353818">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4335</w:t>
            </w:r>
          </w:p>
        </w:tc>
        <w:tc>
          <w:tcPr>
            <w:tcW w:w="1238" w:type="dxa"/>
            <w:gridSpan w:val="3"/>
            <w:tcBorders>
              <w:tl2br w:val="nil"/>
              <w:tr2bl w:val="nil"/>
            </w:tcBorders>
            <w:shd w:val="clear" w:color="auto" w:fill="auto"/>
            <w:vAlign w:val="center"/>
          </w:tcPr>
          <w:p w14:paraId="39568F61">
            <w:pPr>
              <w:ind w:left="-105" w:right="-105"/>
              <w:jc w:val="center"/>
              <w:rPr>
                <w:rFonts w:ascii="Times New Roman" w:hAnsi="Times New Roman"/>
                <w:color w:val="auto"/>
                <w:sz w:val="21"/>
                <w:szCs w:val="21"/>
                <w:highlight w:val="none"/>
                <w:lang w:val="zh-CN" w:bidi="zh-CN"/>
              </w:rPr>
            </w:pPr>
            <w:r>
              <w:rPr>
                <w:rFonts w:ascii="Times New Roman" w:hAnsi="Times New Roman"/>
                <w:color w:val="auto"/>
                <w:sz w:val="21"/>
                <w:szCs w:val="21"/>
                <w:highlight w:val="none"/>
              </w:rPr>
              <w:t>居住区</w:t>
            </w:r>
          </w:p>
        </w:tc>
        <w:tc>
          <w:tcPr>
            <w:tcW w:w="1748" w:type="dxa"/>
            <w:tcBorders>
              <w:tl2br w:val="nil"/>
              <w:tr2bl w:val="nil"/>
            </w:tcBorders>
            <w:shd w:val="clear" w:color="auto" w:fill="auto"/>
            <w:vAlign w:val="center"/>
          </w:tcPr>
          <w:p w14:paraId="06314B9E">
            <w:pPr>
              <w:ind w:left="-105" w:right="-105"/>
              <w:jc w:val="center"/>
              <w:rPr>
                <w:rFonts w:ascii="Times New Roman" w:hAnsi="Times New Roman"/>
                <w:color w:val="auto"/>
                <w:sz w:val="21"/>
                <w:szCs w:val="21"/>
                <w:highlight w:val="none"/>
                <w:lang w:val="zh-CN" w:bidi="zh-CN"/>
              </w:rPr>
            </w:pPr>
            <w:r>
              <w:rPr>
                <w:rFonts w:hint="eastAsia" w:ascii="Times New Roman" w:hAnsi="Times New Roman"/>
                <w:color w:val="auto"/>
                <w:sz w:val="21"/>
                <w:szCs w:val="21"/>
                <w:highlight w:val="none"/>
              </w:rPr>
              <w:t>1200</w:t>
            </w:r>
            <w:r>
              <w:rPr>
                <w:rFonts w:ascii="Times New Roman" w:hAnsi="Times New Roman"/>
                <w:color w:val="auto"/>
                <w:sz w:val="21"/>
                <w:szCs w:val="21"/>
                <w:highlight w:val="none"/>
              </w:rPr>
              <w:t>户/</w:t>
            </w:r>
            <w:r>
              <w:rPr>
                <w:rFonts w:hint="eastAsia" w:ascii="Times New Roman" w:hAnsi="Times New Roman"/>
                <w:color w:val="auto"/>
                <w:sz w:val="21"/>
                <w:szCs w:val="21"/>
                <w:highlight w:val="none"/>
              </w:rPr>
              <w:t>4200</w:t>
            </w:r>
            <w:r>
              <w:rPr>
                <w:rFonts w:ascii="Times New Roman" w:hAnsi="Times New Roman"/>
                <w:color w:val="auto"/>
                <w:sz w:val="21"/>
                <w:szCs w:val="21"/>
                <w:highlight w:val="none"/>
              </w:rPr>
              <w:t>人</w:t>
            </w:r>
          </w:p>
        </w:tc>
      </w:tr>
      <w:tr w14:paraId="3E0E2759">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851" w:type="dxa"/>
            <w:vMerge w:val="continue"/>
            <w:tcBorders>
              <w:tl2br w:val="nil"/>
              <w:tr2bl w:val="nil"/>
            </w:tcBorders>
            <w:vAlign w:val="center"/>
          </w:tcPr>
          <w:p w14:paraId="5AD20E5E">
            <w:pPr>
              <w:ind w:left="-105" w:right="-105"/>
              <w:jc w:val="center"/>
              <w:rPr>
                <w:rFonts w:ascii="Times New Roman" w:hAnsi="Times New Roman"/>
                <w:color w:val="auto"/>
                <w:sz w:val="21"/>
                <w:szCs w:val="21"/>
                <w:highlight w:val="none"/>
                <w:lang w:val="zh-CN" w:bidi="zh-CN"/>
              </w:rPr>
            </w:pPr>
          </w:p>
        </w:tc>
        <w:tc>
          <w:tcPr>
            <w:tcW w:w="704" w:type="dxa"/>
            <w:tcBorders>
              <w:tl2br w:val="nil"/>
              <w:tr2bl w:val="nil"/>
            </w:tcBorders>
            <w:vAlign w:val="center"/>
          </w:tcPr>
          <w:p w14:paraId="6DA9DE26">
            <w:pPr>
              <w:pStyle w:val="97"/>
              <w:numPr>
                <w:ilvl w:val="0"/>
                <w:numId w:val="13"/>
              </w:numPr>
              <w:ind w:left="-105" w:right="-105" w:firstLineChars="0"/>
              <w:jc w:val="center"/>
              <w:rPr>
                <w:rFonts w:eastAsia="宋体"/>
                <w:color w:val="auto"/>
                <w:kern w:val="0"/>
                <w:sz w:val="21"/>
                <w:szCs w:val="21"/>
                <w:highlight w:val="none"/>
                <w:lang w:val="zh-CN" w:bidi="zh-CN"/>
              </w:rPr>
            </w:pPr>
          </w:p>
        </w:tc>
        <w:tc>
          <w:tcPr>
            <w:tcW w:w="2131" w:type="dxa"/>
            <w:gridSpan w:val="3"/>
            <w:tcBorders>
              <w:tl2br w:val="nil"/>
              <w:tr2bl w:val="nil"/>
            </w:tcBorders>
            <w:shd w:val="clear" w:color="auto" w:fill="auto"/>
            <w:vAlign w:val="center"/>
          </w:tcPr>
          <w:p w14:paraId="03E777F9">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葛巷上</w:t>
            </w:r>
          </w:p>
        </w:tc>
        <w:tc>
          <w:tcPr>
            <w:tcW w:w="1100" w:type="dxa"/>
            <w:gridSpan w:val="3"/>
            <w:tcBorders>
              <w:tl2br w:val="nil"/>
              <w:tr2bl w:val="nil"/>
            </w:tcBorders>
            <w:shd w:val="clear" w:color="auto" w:fill="auto"/>
            <w:vAlign w:val="center"/>
          </w:tcPr>
          <w:p w14:paraId="28E4B6D2">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N</w:t>
            </w:r>
          </w:p>
        </w:tc>
        <w:tc>
          <w:tcPr>
            <w:tcW w:w="1278" w:type="dxa"/>
            <w:gridSpan w:val="3"/>
            <w:tcBorders>
              <w:tl2br w:val="nil"/>
              <w:tr2bl w:val="nil"/>
            </w:tcBorders>
            <w:shd w:val="clear" w:color="auto" w:fill="auto"/>
            <w:vAlign w:val="center"/>
          </w:tcPr>
          <w:p w14:paraId="14D1DC12">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1044</w:t>
            </w:r>
          </w:p>
        </w:tc>
        <w:tc>
          <w:tcPr>
            <w:tcW w:w="1238" w:type="dxa"/>
            <w:gridSpan w:val="3"/>
            <w:tcBorders>
              <w:tl2br w:val="nil"/>
              <w:tr2bl w:val="nil"/>
            </w:tcBorders>
            <w:shd w:val="clear" w:color="auto" w:fill="auto"/>
            <w:vAlign w:val="center"/>
          </w:tcPr>
          <w:p w14:paraId="29EA5083">
            <w:pPr>
              <w:ind w:left="-105" w:right="-105"/>
              <w:jc w:val="center"/>
              <w:rPr>
                <w:rFonts w:ascii="Times New Roman" w:hAnsi="Times New Roman"/>
                <w:color w:val="auto"/>
                <w:sz w:val="21"/>
                <w:szCs w:val="21"/>
                <w:highlight w:val="none"/>
                <w:lang w:val="zh-CN" w:bidi="zh-CN"/>
              </w:rPr>
            </w:pPr>
            <w:r>
              <w:rPr>
                <w:rFonts w:ascii="Times New Roman" w:hAnsi="Times New Roman"/>
                <w:color w:val="auto"/>
                <w:sz w:val="21"/>
                <w:szCs w:val="21"/>
                <w:highlight w:val="none"/>
              </w:rPr>
              <w:t>居住区</w:t>
            </w:r>
          </w:p>
        </w:tc>
        <w:tc>
          <w:tcPr>
            <w:tcW w:w="1748" w:type="dxa"/>
            <w:tcBorders>
              <w:tl2br w:val="nil"/>
              <w:tr2bl w:val="nil"/>
            </w:tcBorders>
            <w:shd w:val="clear" w:color="auto" w:fill="auto"/>
            <w:vAlign w:val="center"/>
          </w:tcPr>
          <w:p w14:paraId="7393E3D5">
            <w:pPr>
              <w:ind w:left="-105" w:right="-105"/>
              <w:jc w:val="center"/>
              <w:rPr>
                <w:rFonts w:ascii="Times New Roman" w:hAnsi="Times New Roman"/>
                <w:color w:val="auto"/>
                <w:sz w:val="21"/>
                <w:szCs w:val="21"/>
                <w:highlight w:val="none"/>
                <w:lang w:val="zh-CN" w:bidi="zh-CN"/>
              </w:rPr>
            </w:pPr>
            <w:r>
              <w:rPr>
                <w:rFonts w:hint="eastAsia" w:ascii="Times New Roman" w:hAnsi="Times New Roman"/>
                <w:color w:val="auto"/>
                <w:sz w:val="21"/>
                <w:szCs w:val="21"/>
                <w:highlight w:val="none"/>
              </w:rPr>
              <w:t>10</w:t>
            </w:r>
            <w:r>
              <w:rPr>
                <w:rFonts w:ascii="Times New Roman" w:hAnsi="Times New Roman"/>
                <w:color w:val="auto"/>
                <w:sz w:val="21"/>
                <w:szCs w:val="21"/>
                <w:highlight w:val="none"/>
              </w:rPr>
              <w:t>户/</w:t>
            </w:r>
            <w:r>
              <w:rPr>
                <w:rFonts w:hint="eastAsia" w:ascii="Times New Roman" w:hAnsi="Times New Roman"/>
                <w:color w:val="auto"/>
                <w:sz w:val="21"/>
                <w:szCs w:val="21"/>
                <w:highlight w:val="none"/>
              </w:rPr>
              <w:t>35</w:t>
            </w:r>
            <w:r>
              <w:rPr>
                <w:rFonts w:ascii="Times New Roman" w:hAnsi="Times New Roman"/>
                <w:color w:val="auto"/>
                <w:sz w:val="21"/>
                <w:szCs w:val="21"/>
                <w:highlight w:val="none"/>
              </w:rPr>
              <w:t>人</w:t>
            </w:r>
          </w:p>
        </w:tc>
      </w:tr>
      <w:tr w14:paraId="210A515E">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851" w:type="dxa"/>
            <w:vMerge w:val="continue"/>
            <w:tcBorders>
              <w:tl2br w:val="nil"/>
              <w:tr2bl w:val="nil"/>
            </w:tcBorders>
            <w:vAlign w:val="center"/>
          </w:tcPr>
          <w:p w14:paraId="6A590022">
            <w:pPr>
              <w:ind w:left="-105" w:right="-105"/>
              <w:jc w:val="center"/>
              <w:rPr>
                <w:rFonts w:ascii="Times New Roman" w:hAnsi="Times New Roman"/>
                <w:color w:val="auto"/>
                <w:sz w:val="21"/>
                <w:szCs w:val="21"/>
                <w:highlight w:val="none"/>
                <w:lang w:val="zh-CN" w:bidi="zh-CN"/>
              </w:rPr>
            </w:pPr>
          </w:p>
        </w:tc>
        <w:tc>
          <w:tcPr>
            <w:tcW w:w="704" w:type="dxa"/>
            <w:tcBorders>
              <w:tl2br w:val="nil"/>
              <w:tr2bl w:val="nil"/>
            </w:tcBorders>
            <w:vAlign w:val="center"/>
          </w:tcPr>
          <w:p w14:paraId="2481C7EF">
            <w:pPr>
              <w:pStyle w:val="97"/>
              <w:numPr>
                <w:ilvl w:val="0"/>
                <w:numId w:val="13"/>
              </w:numPr>
              <w:ind w:left="-105" w:right="-105" w:firstLineChars="0"/>
              <w:jc w:val="center"/>
              <w:rPr>
                <w:rFonts w:eastAsia="宋体"/>
                <w:color w:val="auto"/>
                <w:kern w:val="0"/>
                <w:sz w:val="21"/>
                <w:szCs w:val="21"/>
                <w:highlight w:val="none"/>
                <w:lang w:val="zh-CN" w:bidi="zh-CN"/>
              </w:rPr>
            </w:pPr>
          </w:p>
        </w:tc>
        <w:tc>
          <w:tcPr>
            <w:tcW w:w="2131" w:type="dxa"/>
            <w:gridSpan w:val="3"/>
            <w:tcBorders>
              <w:tl2br w:val="nil"/>
              <w:tr2bl w:val="nil"/>
            </w:tcBorders>
            <w:shd w:val="clear" w:color="auto" w:fill="auto"/>
            <w:vAlign w:val="center"/>
          </w:tcPr>
          <w:p w14:paraId="18AC083A">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黄家</w:t>
            </w:r>
          </w:p>
        </w:tc>
        <w:tc>
          <w:tcPr>
            <w:tcW w:w="1100" w:type="dxa"/>
            <w:gridSpan w:val="3"/>
            <w:tcBorders>
              <w:tl2br w:val="nil"/>
              <w:tr2bl w:val="nil"/>
            </w:tcBorders>
            <w:shd w:val="clear" w:color="auto" w:fill="auto"/>
            <w:vAlign w:val="center"/>
          </w:tcPr>
          <w:p w14:paraId="48975A46">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N</w:t>
            </w:r>
          </w:p>
        </w:tc>
        <w:tc>
          <w:tcPr>
            <w:tcW w:w="1278" w:type="dxa"/>
            <w:gridSpan w:val="3"/>
            <w:tcBorders>
              <w:tl2br w:val="nil"/>
              <w:tr2bl w:val="nil"/>
            </w:tcBorders>
            <w:shd w:val="clear" w:color="auto" w:fill="auto"/>
            <w:vAlign w:val="center"/>
          </w:tcPr>
          <w:p w14:paraId="651883BD">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1269</w:t>
            </w:r>
          </w:p>
        </w:tc>
        <w:tc>
          <w:tcPr>
            <w:tcW w:w="1238" w:type="dxa"/>
            <w:gridSpan w:val="3"/>
            <w:tcBorders>
              <w:tl2br w:val="nil"/>
              <w:tr2bl w:val="nil"/>
            </w:tcBorders>
            <w:shd w:val="clear" w:color="auto" w:fill="auto"/>
            <w:vAlign w:val="center"/>
          </w:tcPr>
          <w:p w14:paraId="35C5A65D">
            <w:pPr>
              <w:ind w:left="-105" w:right="-105"/>
              <w:jc w:val="center"/>
              <w:rPr>
                <w:rFonts w:ascii="Times New Roman" w:hAnsi="Times New Roman"/>
                <w:color w:val="auto"/>
                <w:sz w:val="21"/>
                <w:szCs w:val="21"/>
                <w:highlight w:val="none"/>
                <w:lang w:val="zh-CN" w:bidi="zh-CN"/>
              </w:rPr>
            </w:pPr>
            <w:r>
              <w:rPr>
                <w:rFonts w:ascii="Times New Roman" w:hAnsi="Times New Roman"/>
                <w:color w:val="auto"/>
                <w:sz w:val="21"/>
                <w:szCs w:val="21"/>
                <w:highlight w:val="none"/>
              </w:rPr>
              <w:t>居住区</w:t>
            </w:r>
          </w:p>
        </w:tc>
        <w:tc>
          <w:tcPr>
            <w:tcW w:w="1748" w:type="dxa"/>
            <w:tcBorders>
              <w:tl2br w:val="nil"/>
              <w:tr2bl w:val="nil"/>
            </w:tcBorders>
            <w:shd w:val="clear" w:color="auto" w:fill="auto"/>
            <w:vAlign w:val="center"/>
          </w:tcPr>
          <w:p w14:paraId="2A284E8B">
            <w:pPr>
              <w:ind w:left="-105" w:right="-105"/>
              <w:jc w:val="center"/>
              <w:rPr>
                <w:rFonts w:ascii="Times New Roman" w:hAnsi="Times New Roman"/>
                <w:color w:val="auto"/>
                <w:sz w:val="21"/>
                <w:szCs w:val="21"/>
                <w:highlight w:val="none"/>
                <w:lang w:val="zh-CN" w:bidi="zh-CN"/>
              </w:rPr>
            </w:pPr>
            <w:r>
              <w:rPr>
                <w:rFonts w:hint="eastAsia" w:ascii="Times New Roman" w:hAnsi="Times New Roman"/>
                <w:color w:val="auto"/>
                <w:sz w:val="21"/>
                <w:szCs w:val="21"/>
                <w:highlight w:val="none"/>
              </w:rPr>
              <w:t>10</w:t>
            </w:r>
            <w:r>
              <w:rPr>
                <w:rFonts w:ascii="Times New Roman" w:hAnsi="Times New Roman"/>
                <w:color w:val="auto"/>
                <w:sz w:val="21"/>
                <w:szCs w:val="21"/>
                <w:highlight w:val="none"/>
              </w:rPr>
              <w:t>户/</w:t>
            </w:r>
            <w:r>
              <w:rPr>
                <w:rFonts w:hint="eastAsia" w:ascii="Times New Roman" w:hAnsi="Times New Roman"/>
                <w:color w:val="auto"/>
                <w:sz w:val="21"/>
                <w:szCs w:val="21"/>
                <w:highlight w:val="none"/>
              </w:rPr>
              <w:t>35</w:t>
            </w:r>
            <w:r>
              <w:rPr>
                <w:rFonts w:ascii="Times New Roman" w:hAnsi="Times New Roman"/>
                <w:color w:val="auto"/>
                <w:sz w:val="21"/>
                <w:szCs w:val="21"/>
                <w:highlight w:val="none"/>
              </w:rPr>
              <w:t>人</w:t>
            </w:r>
          </w:p>
        </w:tc>
      </w:tr>
      <w:tr w14:paraId="10DE34FA">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851" w:type="dxa"/>
            <w:vMerge w:val="continue"/>
            <w:tcBorders>
              <w:tl2br w:val="nil"/>
              <w:tr2bl w:val="nil"/>
            </w:tcBorders>
            <w:vAlign w:val="center"/>
          </w:tcPr>
          <w:p w14:paraId="2C9AF067">
            <w:pPr>
              <w:ind w:left="-105" w:right="-105"/>
              <w:jc w:val="center"/>
              <w:rPr>
                <w:rFonts w:ascii="Times New Roman" w:hAnsi="Times New Roman"/>
                <w:color w:val="auto"/>
                <w:sz w:val="21"/>
                <w:szCs w:val="21"/>
                <w:highlight w:val="none"/>
                <w:lang w:val="zh-CN" w:bidi="zh-CN"/>
              </w:rPr>
            </w:pPr>
          </w:p>
        </w:tc>
        <w:tc>
          <w:tcPr>
            <w:tcW w:w="704" w:type="dxa"/>
            <w:tcBorders>
              <w:tl2br w:val="nil"/>
              <w:tr2bl w:val="nil"/>
            </w:tcBorders>
            <w:vAlign w:val="center"/>
          </w:tcPr>
          <w:p w14:paraId="510408D9">
            <w:pPr>
              <w:pStyle w:val="97"/>
              <w:numPr>
                <w:ilvl w:val="0"/>
                <w:numId w:val="13"/>
              </w:numPr>
              <w:ind w:left="-105" w:right="-105" w:firstLineChars="0"/>
              <w:jc w:val="center"/>
              <w:rPr>
                <w:rFonts w:eastAsia="宋体"/>
                <w:color w:val="auto"/>
                <w:kern w:val="0"/>
                <w:sz w:val="21"/>
                <w:szCs w:val="21"/>
                <w:highlight w:val="none"/>
                <w:lang w:val="zh-CN" w:bidi="zh-CN"/>
              </w:rPr>
            </w:pPr>
          </w:p>
        </w:tc>
        <w:tc>
          <w:tcPr>
            <w:tcW w:w="2131" w:type="dxa"/>
            <w:gridSpan w:val="3"/>
            <w:tcBorders>
              <w:tl2br w:val="nil"/>
              <w:tr2bl w:val="nil"/>
            </w:tcBorders>
            <w:shd w:val="clear" w:color="auto" w:fill="auto"/>
            <w:vAlign w:val="center"/>
          </w:tcPr>
          <w:p w14:paraId="7CCF5018">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唐巷上</w:t>
            </w:r>
          </w:p>
        </w:tc>
        <w:tc>
          <w:tcPr>
            <w:tcW w:w="1100" w:type="dxa"/>
            <w:gridSpan w:val="3"/>
            <w:tcBorders>
              <w:tl2br w:val="nil"/>
              <w:tr2bl w:val="nil"/>
            </w:tcBorders>
            <w:shd w:val="clear" w:color="auto" w:fill="auto"/>
            <w:vAlign w:val="center"/>
          </w:tcPr>
          <w:p w14:paraId="6DF54426">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N</w:t>
            </w:r>
          </w:p>
        </w:tc>
        <w:tc>
          <w:tcPr>
            <w:tcW w:w="1278" w:type="dxa"/>
            <w:gridSpan w:val="3"/>
            <w:tcBorders>
              <w:tl2br w:val="nil"/>
              <w:tr2bl w:val="nil"/>
            </w:tcBorders>
            <w:shd w:val="clear" w:color="auto" w:fill="auto"/>
            <w:vAlign w:val="center"/>
          </w:tcPr>
          <w:p w14:paraId="17E2F63A">
            <w:pPr>
              <w:ind w:left="-105" w:right="-105"/>
              <w:jc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1571</w:t>
            </w:r>
          </w:p>
        </w:tc>
        <w:tc>
          <w:tcPr>
            <w:tcW w:w="1238" w:type="dxa"/>
            <w:gridSpan w:val="3"/>
            <w:tcBorders>
              <w:tl2br w:val="nil"/>
              <w:tr2bl w:val="nil"/>
            </w:tcBorders>
            <w:shd w:val="clear" w:color="auto" w:fill="auto"/>
            <w:vAlign w:val="center"/>
          </w:tcPr>
          <w:p w14:paraId="1E475609">
            <w:pPr>
              <w:ind w:left="-105" w:right="-105"/>
              <w:jc w:val="center"/>
              <w:rPr>
                <w:rFonts w:ascii="Times New Roman" w:hAnsi="Times New Roman"/>
                <w:color w:val="auto"/>
                <w:sz w:val="21"/>
                <w:szCs w:val="21"/>
                <w:highlight w:val="none"/>
                <w:lang w:val="zh-CN" w:bidi="zh-CN"/>
              </w:rPr>
            </w:pPr>
            <w:r>
              <w:rPr>
                <w:rFonts w:ascii="Times New Roman" w:hAnsi="Times New Roman"/>
                <w:color w:val="auto"/>
                <w:sz w:val="21"/>
                <w:szCs w:val="21"/>
                <w:highlight w:val="none"/>
              </w:rPr>
              <w:t>居住区</w:t>
            </w:r>
          </w:p>
        </w:tc>
        <w:tc>
          <w:tcPr>
            <w:tcW w:w="1748" w:type="dxa"/>
            <w:tcBorders>
              <w:tl2br w:val="nil"/>
              <w:tr2bl w:val="nil"/>
            </w:tcBorders>
            <w:shd w:val="clear" w:color="auto" w:fill="auto"/>
            <w:vAlign w:val="center"/>
          </w:tcPr>
          <w:p w14:paraId="0D93247C">
            <w:pPr>
              <w:ind w:left="-105" w:right="-105"/>
              <w:jc w:val="center"/>
              <w:rPr>
                <w:rFonts w:ascii="Times New Roman" w:hAnsi="Times New Roman"/>
                <w:color w:val="auto"/>
                <w:sz w:val="21"/>
                <w:szCs w:val="21"/>
                <w:highlight w:val="none"/>
                <w:lang w:val="zh-CN" w:bidi="zh-CN"/>
              </w:rPr>
            </w:pPr>
            <w:r>
              <w:rPr>
                <w:rFonts w:hint="eastAsia" w:ascii="Times New Roman" w:hAnsi="Times New Roman"/>
                <w:color w:val="auto"/>
                <w:sz w:val="21"/>
                <w:szCs w:val="21"/>
                <w:highlight w:val="none"/>
              </w:rPr>
              <w:t>35</w:t>
            </w:r>
            <w:r>
              <w:rPr>
                <w:rFonts w:ascii="Times New Roman" w:hAnsi="Times New Roman"/>
                <w:color w:val="auto"/>
                <w:sz w:val="21"/>
                <w:szCs w:val="21"/>
                <w:highlight w:val="none"/>
              </w:rPr>
              <w:t>户/</w:t>
            </w:r>
            <w:r>
              <w:rPr>
                <w:rFonts w:hint="eastAsia" w:ascii="Times New Roman" w:hAnsi="Times New Roman"/>
                <w:color w:val="auto"/>
                <w:sz w:val="21"/>
                <w:szCs w:val="21"/>
                <w:highlight w:val="none"/>
              </w:rPr>
              <w:t>105</w:t>
            </w:r>
            <w:r>
              <w:rPr>
                <w:rFonts w:ascii="Times New Roman" w:hAnsi="Times New Roman"/>
                <w:color w:val="auto"/>
                <w:sz w:val="21"/>
                <w:szCs w:val="21"/>
                <w:highlight w:val="none"/>
              </w:rPr>
              <w:t>人</w:t>
            </w:r>
          </w:p>
        </w:tc>
      </w:tr>
      <w:tr w14:paraId="0B59016D">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851" w:type="dxa"/>
            <w:vMerge w:val="continue"/>
            <w:tcBorders>
              <w:tl2br w:val="nil"/>
              <w:tr2bl w:val="nil"/>
            </w:tcBorders>
            <w:vAlign w:val="center"/>
          </w:tcPr>
          <w:p w14:paraId="38002CC8">
            <w:pPr>
              <w:ind w:left="-105" w:right="-105"/>
              <w:jc w:val="center"/>
              <w:rPr>
                <w:rFonts w:ascii="Times New Roman" w:hAnsi="Times New Roman"/>
                <w:color w:val="auto"/>
                <w:sz w:val="21"/>
                <w:szCs w:val="21"/>
                <w:highlight w:val="none"/>
                <w:lang w:val="zh-CN" w:bidi="zh-CN"/>
              </w:rPr>
            </w:pPr>
          </w:p>
        </w:tc>
        <w:tc>
          <w:tcPr>
            <w:tcW w:w="704" w:type="dxa"/>
            <w:tcBorders>
              <w:tl2br w:val="nil"/>
              <w:tr2bl w:val="nil"/>
            </w:tcBorders>
            <w:vAlign w:val="center"/>
          </w:tcPr>
          <w:p w14:paraId="55465B4B">
            <w:pPr>
              <w:pStyle w:val="97"/>
              <w:numPr>
                <w:ilvl w:val="0"/>
                <w:numId w:val="13"/>
              </w:numPr>
              <w:ind w:left="-105" w:right="-105" w:firstLineChars="0"/>
              <w:jc w:val="center"/>
              <w:rPr>
                <w:rFonts w:eastAsia="宋体"/>
                <w:color w:val="auto"/>
                <w:kern w:val="0"/>
                <w:sz w:val="21"/>
                <w:szCs w:val="21"/>
                <w:highlight w:val="none"/>
                <w:lang w:val="zh-CN" w:bidi="zh-CN"/>
              </w:rPr>
            </w:pPr>
          </w:p>
        </w:tc>
        <w:tc>
          <w:tcPr>
            <w:tcW w:w="2131" w:type="dxa"/>
            <w:gridSpan w:val="3"/>
            <w:tcBorders>
              <w:tl2br w:val="nil"/>
              <w:tr2bl w:val="nil"/>
            </w:tcBorders>
            <w:shd w:val="clear" w:color="auto" w:fill="auto"/>
            <w:vAlign w:val="center"/>
          </w:tcPr>
          <w:p w14:paraId="56750593">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庄上</w:t>
            </w:r>
          </w:p>
        </w:tc>
        <w:tc>
          <w:tcPr>
            <w:tcW w:w="1100" w:type="dxa"/>
            <w:gridSpan w:val="3"/>
            <w:tcBorders>
              <w:tl2br w:val="nil"/>
              <w:tr2bl w:val="nil"/>
            </w:tcBorders>
            <w:shd w:val="clear" w:color="auto" w:fill="auto"/>
            <w:vAlign w:val="center"/>
          </w:tcPr>
          <w:p w14:paraId="0AF35CCD">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NE</w:t>
            </w:r>
          </w:p>
        </w:tc>
        <w:tc>
          <w:tcPr>
            <w:tcW w:w="1278" w:type="dxa"/>
            <w:gridSpan w:val="3"/>
            <w:tcBorders>
              <w:tl2br w:val="nil"/>
              <w:tr2bl w:val="nil"/>
            </w:tcBorders>
            <w:shd w:val="clear" w:color="auto" w:fill="auto"/>
            <w:vAlign w:val="center"/>
          </w:tcPr>
          <w:p w14:paraId="00487D9B">
            <w:pPr>
              <w:ind w:left="-105" w:right="-105"/>
              <w:jc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1874</w:t>
            </w:r>
          </w:p>
        </w:tc>
        <w:tc>
          <w:tcPr>
            <w:tcW w:w="1238" w:type="dxa"/>
            <w:gridSpan w:val="3"/>
            <w:tcBorders>
              <w:tl2br w:val="nil"/>
              <w:tr2bl w:val="nil"/>
            </w:tcBorders>
            <w:shd w:val="clear" w:color="auto" w:fill="auto"/>
            <w:vAlign w:val="center"/>
          </w:tcPr>
          <w:p w14:paraId="5AEDD344">
            <w:pPr>
              <w:ind w:left="-105" w:right="-105"/>
              <w:jc w:val="center"/>
              <w:rPr>
                <w:rFonts w:ascii="Times New Roman" w:hAnsi="Times New Roman"/>
                <w:color w:val="auto"/>
                <w:sz w:val="21"/>
                <w:szCs w:val="21"/>
                <w:highlight w:val="none"/>
                <w:lang w:val="zh-CN" w:bidi="zh-CN"/>
              </w:rPr>
            </w:pPr>
            <w:r>
              <w:rPr>
                <w:rFonts w:ascii="Times New Roman" w:hAnsi="Times New Roman"/>
                <w:color w:val="auto"/>
                <w:sz w:val="21"/>
                <w:szCs w:val="21"/>
                <w:highlight w:val="none"/>
              </w:rPr>
              <w:t>居住区</w:t>
            </w:r>
          </w:p>
        </w:tc>
        <w:tc>
          <w:tcPr>
            <w:tcW w:w="1748" w:type="dxa"/>
            <w:tcBorders>
              <w:tl2br w:val="nil"/>
              <w:tr2bl w:val="nil"/>
            </w:tcBorders>
            <w:shd w:val="clear" w:color="auto" w:fill="auto"/>
            <w:vAlign w:val="center"/>
          </w:tcPr>
          <w:p w14:paraId="3EC567C6">
            <w:pPr>
              <w:ind w:left="-105" w:right="-105"/>
              <w:jc w:val="center"/>
              <w:rPr>
                <w:rFonts w:ascii="Times New Roman" w:hAnsi="Times New Roman"/>
                <w:color w:val="auto"/>
                <w:sz w:val="21"/>
                <w:szCs w:val="21"/>
                <w:highlight w:val="none"/>
                <w:lang w:val="zh-CN" w:bidi="zh-CN"/>
              </w:rPr>
            </w:pPr>
            <w:r>
              <w:rPr>
                <w:rFonts w:hint="eastAsia" w:ascii="Times New Roman" w:hAnsi="Times New Roman"/>
                <w:color w:val="auto"/>
                <w:sz w:val="21"/>
                <w:szCs w:val="21"/>
                <w:highlight w:val="none"/>
              </w:rPr>
              <w:t>10</w:t>
            </w:r>
            <w:r>
              <w:rPr>
                <w:rFonts w:ascii="Times New Roman" w:hAnsi="Times New Roman"/>
                <w:color w:val="auto"/>
                <w:sz w:val="21"/>
                <w:szCs w:val="21"/>
                <w:highlight w:val="none"/>
              </w:rPr>
              <w:t>户/</w:t>
            </w:r>
            <w:r>
              <w:rPr>
                <w:rFonts w:hint="eastAsia" w:ascii="Times New Roman" w:hAnsi="Times New Roman"/>
                <w:color w:val="auto"/>
                <w:sz w:val="21"/>
                <w:szCs w:val="21"/>
                <w:highlight w:val="none"/>
              </w:rPr>
              <w:t>35</w:t>
            </w:r>
            <w:r>
              <w:rPr>
                <w:rFonts w:ascii="Times New Roman" w:hAnsi="Times New Roman"/>
                <w:color w:val="auto"/>
                <w:sz w:val="21"/>
                <w:szCs w:val="21"/>
                <w:highlight w:val="none"/>
              </w:rPr>
              <w:t>人</w:t>
            </w:r>
          </w:p>
        </w:tc>
      </w:tr>
      <w:tr w14:paraId="22FB5635">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851" w:type="dxa"/>
            <w:vMerge w:val="continue"/>
            <w:tcBorders>
              <w:tl2br w:val="nil"/>
              <w:tr2bl w:val="nil"/>
            </w:tcBorders>
            <w:vAlign w:val="center"/>
          </w:tcPr>
          <w:p w14:paraId="4968E657">
            <w:pPr>
              <w:ind w:left="-105" w:right="-105"/>
              <w:jc w:val="center"/>
              <w:rPr>
                <w:rFonts w:ascii="Times New Roman" w:hAnsi="Times New Roman"/>
                <w:color w:val="auto"/>
                <w:sz w:val="21"/>
                <w:szCs w:val="21"/>
                <w:highlight w:val="none"/>
                <w:lang w:val="zh-CN" w:bidi="zh-CN"/>
              </w:rPr>
            </w:pPr>
          </w:p>
        </w:tc>
        <w:tc>
          <w:tcPr>
            <w:tcW w:w="704" w:type="dxa"/>
            <w:tcBorders>
              <w:tl2br w:val="nil"/>
              <w:tr2bl w:val="nil"/>
            </w:tcBorders>
            <w:vAlign w:val="center"/>
          </w:tcPr>
          <w:p w14:paraId="1FA6E964">
            <w:pPr>
              <w:pStyle w:val="97"/>
              <w:numPr>
                <w:ilvl w:val="0"/>
                <w:numId w:val="13"/>
              </w:numPr>
              <w:ind w:left="-105" w:right="-105" w:firstLineChars="0"/>
              <w:jc w:val="center"/>
              <w:rPr>
                <w:rFonts w:eastAsia="宋体"/>
                <w:color w:val="auto"/>
                <w:kern w:val="0"/>
                <w:sz w:val="21"/>
                <w:szCs w:val="21"/>
                <w:highlight w:val="none"/>
                <w:lang w:val="zh-CN" w:bidi="zh-CN"/>
              </w:rPr>
            </w:pPr>
          </w:p>
        </w:tc>
        <w:tc>
          <w:tcPr>
            <w:tcW w:w="2131" w:type="dxa"/>
            <w:gridSpan w:val="3"/>
            <w:tcBorders>
              <w:tl2br w:val="nil"/>
              <w:tr2bl w:val="nil"/>
            </w:tcBorders>
            <w:shd w:val="clear" w:color="auto" w:fill="auto"/>
            <w:vAlign w:val="center"/>
          </w:tcPr>
          <w:p w14:paraId="149FFA49">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群合村</w:t>
            </w:r>
          </w:p>
        </w:tc>
        <w:tc>
          <w:tcPr>
            <w:tcW w:w="1100" w:type="dxa"/>
            <w:gridSpan w:val="3"/>
            <w:tcBorders>
              <w:tl2br w:val="nil"/>
              <w:tr2bl w:val="nil"/>
            </w:tcBorders>
            <w:shd w:val="clear" w:color="auto" w:fill="auto"/>
            <w:vAlign w:val="center"/>
          </w:tcPr>
          <w:p w14:paraId="2857F5DF">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NE</w:t>
            </w:r>
          </w:p>
        </w:tc>
        <w:tc>
          <w:tcPr>
            <w:tcW w:w="1278" w:type="dxa"/>
            <w:gridSpan w:val="3"/>
            <w:tcBorders>
              <w:tl2br w:val="nil"/>
              <w:tr2bl w:val="nil"/>
            </w:tcBorders>
            <w:shd w:val="clear" w:color="auto" w:fill="auto"/>
            <w:vAlign w:val="center"/>
          </w:tcPr>
          <w:p w14:paraId="5E1577F1">
            <w:pPr>
              <w:ind w:left="-105" w:right="-105"/>
              <w:jc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2055</w:t>
            </w:r>
          </w:p>
        </w:tc>
        <w:tc>
          <w:tcPr>
            <w:tcW w:w="1238" w:type="dxa"/>
            <w:gridSpan w:val="3"/>
            <w:tcBorders>
              <w:tl2br w:val="nil"/>
              <w:tr2bl w:val="nil"/>
            </w:tcBorders>
            <w:shd w:val="clear" w:color="auto" w:fill="auto"/>
            <w:vAlign w:val="center"/>
          </w:tcPr>
          <w:p w14:paraId="6DE7FABD">
            <w:pPr>
              <w:ind w:left="-105" w:right="-105"/>
              <w:jc w:val="center"/>
              <w:rPr>
                <w:rFonts w:ascii="Times New Roman" w:hAnsi="Times New Roman"/>
                <w:color w:val="auto"/>
                <w:sz w:val="21"/>
                <w:szCs w:val="21"/>
                <w:highlight w:val="none"/>
                <w:lang w:val="zh-CN" w:bidi="zh-CN"/>
              </w:rPr>
            </w:pPr>
            <w:r>
              <w:rPr>
                <w:rFonts w:ascii="Times New Roman" w:hAnsi="Times New Roman"/>
                <w:color w:val="auto"/>
                <w:sz w:val="21"/>
                <w:szCs w:val="21"/>
                <w:highlight w:val="none"/>
              </w:rPr>
              <w:t>居住区</w:t>
            </w:r>
          </w:p>
        </w:tc>
        <w:tc>
          <w:tcPr>
            <w:tcW w:w="1748" w:type="dxa"/>
            <w:tcBorders>
              <w:tl2br w:val="nil"/>
              <w:tr2bl w:val="nil"/>
            </w:tcBorders>
            <w:shd w:val="clear" w:color="auto" w:fill="auto"/>
            <w:vAlign w:val="center"/>
          </w:tcPr>
          <w:p w14:paraId="38CA892E">
            <w:pPr>
              <w:ind w:left="-105" w:right="-105"/>
              <w:jc w:val="center"/>
              <w:rPr>
                <w:rFonts w:ascii="Times New Roman" w:hAnsi="Times New Roman"/>
                <w:color w:val="auto"/>
                <w:sz w:val="21"/>
                <w:szCs w:val="21"/>
                <w:highlight w:val="none"/>
                <w:lang w:val="zh-CN" w:bidi="zh-CN"/>
              </w:rPr>
            </w:pPr>
            <w:r>
              <w:rPr>
                <w:rFonts w:hint="eastAsia" w:ascii="Times New Roman" w:hAnsi="Times New Roman"/>
                <w:color w:val="auto"/>
                <w:sz w:val="21"/>
                <w:szCs w:val="21"/>
                <w:highlight w:val="none"/>
              </w:rPr>
              <w:t>30</w:t>
            </w:r>
            <w:r>
              <w:rPr>
                <w:rFonts w:ascii="Times New Roman" w:hAnsi="Times New Roman"/>
                <w:color w:val="auto"/>
                <w:sz w:val="21"/>
                <w:szCs w:val="21"/>
                <w:highlight w:val="none"/>
              </w:rPr>
              <w:t>户/</w:t>
            </w:r>
            <w:r>
              <w:rPr>
                <w:rFonts w:hint="eastAsia" w:ascii="Times New Roman" w:hAnsi="Times New Roman"/>
                <w:color w:val="auto"/>
                <w:sz w:val="21"/>
                <w:szCs w:val="21"/>
                <w:highlight w:val="none"/>
              </w:rPr>
              <w:t>105</w:t>
            </w:r>
            <w:r>
              <w:rPr>
                <w:rFonts w:ascii="Times New Roman" w:hAnsi="Times New Roman"/>
                <w:color w:val="auto"/>
                <w:sz w:val="21"/>
                <w:szCs w:val="21"/>
                <w:highlight w:val="none"/>
              </w:rPr>
              <w:t>人</w:t>
            </w:r>
          </w:p>
        </w:tc>
      </w:tr>
      <w:tr w14:paraId="23DAA6DF">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851" w:type="dxa"/>
            <w:vMerge w:val="continue"/>
            <w:tcBorders>
              <w:tl2br w:val="nil"/>
              <w:tr2bl w:val="nil"/>
            </w:tcBorders>
            <w:vAlign w:val="center"/>
          </w:tcPr>
          <w:p w14:paraId="1368B979">
            <w:pPr>
              <w:ind w:left="-105" w:right="-105"/>
              <w:jc w:val="center"/>
              <w:rPr>
                <w:rFonts w:ascii="Times New Roman" w:hAnsi="Times New Roman"/>
                <w:color w:val="auto"/>
                <w:sz w:val="21"/>
                <w:szCs w:val="21"/>
                <w:highlight w:val="none"/>
                <w:lang w:val="zh-CN" w:bidi="zh-CN"/>
              </w:rPr>
            </w:pPr>
          </w:p>
        </w:tc>
        <w:tc>
          <w:tcPr>
            <w:tcW w:w="704" w:type="dxa"/>
            <w:tcBorders>
              <w:tl2br w:val="nil"/>
              <w:tr2bl w:val="nil"/>
            </w:tcBorders>
            <w:vAlign w:val="center"/>
          </w:tcPr>
          <w:p w14:paraId="7B560183">
            <w:pPr>
              <w:pStyle w:val="97"/>
              <w:numPr>
                <w:ilvl w:val="0"/>
                <w:numId w:val="13"/>
              </w:numPr>
              <w:ind w:left="-105" w:right="-105" w:firstLineChars="0"/>
              <w:jc w:val="center"/>
              <w:rPr>
                <w:rFonts w:eastAsia="宋体"/>
                <w:color w:val="auto"/>
                <w:kern w:val="0"/>
                <w:sz w:val="21"/>
                <w:szCs w:val="21"/>
                <w:highlight w:val="none"/>
                <w:lang w:val="zh-CN" w:bidi="zh-CN"/>
              </w:rPr>
            </w:pPr>
          </w:p>
        </w:tc>
        <w:tc>
          <w:tcPr>
            <w:tcW w:w="2131" w:type="dxa"/>
            <w:gridSpan w:val="3"/>
            <w:tcBorders>
              <w:tl2br w:val="nil"/>
              <w:tr2bl w:val="nil"/>
            </w:tcBorders>
            <w:shd w:val="clear" w:color="auto" w:fill="auto"/>
            <w:vAlign w:val="center"/>
          </w:tcPr>
          <w:p w14:paraId="727C5B6F">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后方巷</w:t>
            </w:r>
          </w:p>
        </w:tc>
        <w:tc>
          <w:tcPr>
            <w:tcW w:w="1100" w:type="dxa"/>
            <w:gridSpan w:val="3"/>
            <w:tcBorders>
              <w:tl2br w:val="nil"/>
              <w:tr2bl w:val="nil"/>
            </w:tcBorders>
            <w:shd w:val="clear" w:color="auto" w:fill="auto"/>
            <w:vAlign w:val="center"/>
          </w:tcPr>
          <w:p w14:paraId="2C2F3972">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NE</w:t>
            </w:r>
          </w:p>
        </w:tc>
        <w:tc>
          <w:tcPr>
            <w:tcW w:w="1278" w:type="dxa"/>
            <w:gridSpan w:val="3"/>
            <w:tcBorders>
              <w:tl2br w:val="nil"/>
              <w:tr2bl w:val="nil"/>
            </w:tcBorders>
            <w:shd w:val="clear" w:color="auto" w:fill="auto"/>
            <w:vAlign w:val="center"/>
          </w:tcPr>
          <w:p w14:paraId="337BAB16">
            <w:pPr>
              <w:ind w:left="-105" w:right="-105"/>
              <w:jc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2138</w:t>
            </w:r>
          </w:p>
        </w:tc>
        <w:tc>
          <w:tcPr>
            <w:tcW w:w="1238" w:type="dxa"/>
            <w:gridSpan w:val="3"/>
            <w:tcBorders>
              <w:tl2br w:val="nil"/>
              <w:tr2bl w:val="nil"/>
            </w:tcBorders>
            <w:shd w:val="clear" w:color="auto" w:fill="auto"/>
            <w:vAlign w:val="center"/>
          </w:tcPr>
          <w:p w14:paraId="7A7A453B">
            <w:pPr>
              <w:ind w:left="-105" w:right="-105"/>
              <w:jc w:val="center"/>
              <w:rPr>
                <w:rFonts w:ascii="Times New Roman" w:hAnsi="Times New Roman"/>
                <w:color w:val="auto"/>
                <w:sz w:val="21"/>
                <w:szCs w:val="21"/>
                <w:highlight w:val="none"/>
                <w:lang w:val="zh-CN" w:bidi="zh-CN"/>
              </w:rPr>
            </w:pPr>
            <w:r>
              <w:rPr>
                <w:rFonts w:ascii="Times New Roman" w:hAnsi="Times New Roman"/>
                <w:color w:val="auto"/>
                <w:sz w:val="21"/>
                <w:szCs w:val="21"/>
                <w:highlight w:val="none"/>
              </w:rPr>
              <w:t>居住区</w:t>
            </w:r>
          </w:p>
        </w:tc>
        <w:tc>
          <w:tcPr>
            <w:tcW w:w="1748" w:type="dxa"/>
            <w:tcBorders>
              <w:tl2br w:val="nil"/>
              <w:tr2bl w:val="nil"/>
            </w:tcBorders>
            <w:shd w:val="clear" w:color="auto" w:fill="auto"/>
            <w:vAlign w:val="center"/>
          </w:tcPr>
          <w:p w14:paraId="318276D6">
            <w:pPr>
              <w:ind w:left="-105" w:right="-105"/>
              <w:jc w:val="center"/>
              <w:rPr>
                <w:rFonts w:ascii="Times New Roman" w:hAnsi="Times New Roman"/>
                <w:color w:val="auto"/>
                <w:sz w:val="21"/>
                <w:szCs w:val="21"/>
                <w:highlight w:val="none"/>
                <w:lang w:val="zh-CN" w:bidi="zh-CN"/>
              </w:rPr>
            </w:pPr>
            <w:r>
              <w:rPr>
                <w:rFonts w:hint="eastAsia" w:ascii="Times New Roman" w:hAnsi="Times New Roman"/>
                <w:color w:val="auto"/>
                <w:sz w:val="21"/>
                <w:szCs w:val="21"/>
                <w:highlight w:val="none"/>
              </w:rPr>
              <w:t>30</w:t>
            </w:r>
            <w:r>
              <w:rPr>
                <w:rFonts w:ascii="Times New Roman" w:hAnsi="Times New Roman"/>
                <w:color w:val="auto"/>
                <w:sz w:val="21"/>
                <w:szCs w:val="21"/>
                <w:highlight w:val="none"/>
              </w:rPr>
              <w:t>户/</w:t>
            </w:r>
            <w:r>
              <w:rPr>
                <w:rFonts w:hint="eastAsia" w:ascii="Times New Roman" w:hAnsi="Times New Roman"/>
                <w:color w:val="auto"/>
                <w:sz w:val="21"/>
                <w:szCs w:val="21"/>
                <w:highlight w:val="none"/>
              </w:rPr>
              <w:t>105</w:t>
            </w:r>
            <w:r>
              <w:rPr>
                <w:rFonts w:ascii="Times New Roman" w:hAnsi="Times New Roman"/>
                <w:color w:val="auto"/>
                <w:sz w:val="21"/>
                <w:szCs w:val="21"/>
                <w:highlight w:val="none"/>
              </w:rPr>
              <w:t>人</w:t>
            </w:r>
          </w:p>
        </w:tc>
      </w:tr>
      <w:tr w14:paraId="27074A8E">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851" w:type="dxa"/>
            <w:vMerge w:val="continue"/>
            <w:tcBorders>
              <w:tl2br w:val="nil"/>
              <w:tr2bl w:val="nil"/>
            </w:tcBorders>
            <w:vAlign w:val="center"/>
          </w:tcPr>
          <w:p w14:paraId="35AE8FC4">
            <w:pPr>
              <w:ind w:left="-105" w:right="-105"/>
              <w:jc w:val="center"/>
              <w:rPr>
                <w:rFonts w:ascii="Times New Roman" w:hAnsi="Times New Roman"/>
                <w:color w:val="auto"/>
                <w:sz w:val="21"/>
                <w:szCs w:val="21"/>
                <w:highlight w:val="none"/>
                <w:lang w:val="zh-CN" w:bidi="zh-CN"/>
              </w:rPr>
            </w:pPr>
          </w:p>
        </w:tc>
        <w:tc>
          <w:tcPr>
            <w:tcW w:w="704" w:type="dxa"/>
            <w:tcBorders>
              <w:tl2br w:val="nil"/>
              <w:tr2bl w:val="nil"/>
            </w:tcBorders>
            <w:vAlign w:val="center"/>
          </w:tcPr>
          <w:p w14:paraId="22837D71">
            <w:pPr>
              <w:pStyle w:val="97"/>
              <w:numPr>
                <w:ilvl w:val="0"/>
                <w:numId w:val="13"/>
              </w:numPr>
              <w:ind w:left="-105" w:right="-105" w:firstLineChars="0"/>
              <w:jc w:val="center"/>
              <w:rPr>
                <w:rFonts w:eastAsia="宋体"/>
                <w:color w:val="auto"/>
                <w:kern w:val="0"/>
                <w:sz w:val="21"/>
                <w:szCs w:val="21"/>
                <w:highlight w:val="none"/>
                <w:lang w:val="zh-CN" w:bidi="zh-CN"/>
              </w:rPr>
            </w:pPr>
          </w:p>
        </w:tc>
        <w:tc>
          <w:tcPr>
            <w:tcW w:w="2131" w:type="dxa"/>
            <w:gridSpan w:val="3"/>
            <w:tcBorders>
              <w:tl2br w:val="nil"/>
              <w:tr2bl w:val="nil"/>
            </w:tcBorders>
            <w:shd w:val="clear" w:color="auto" w:fill="auto"/>
            <w:vAlign w:val="center"/>
          </w:tcPr>
          <w:p w14:paraId="41C460D2">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南场</w:t>
            </w:r>
          </w:p>
        </w:tc>
        <w:tc>
          <w:tcPr>
            <w:tcW w:w="1100" w:type="dxa"/>
            <w:gridSpan w:val="3"/>
            <w:tcBorders>
              <w:tl2br w:val="nil"/>
              <w:tr2bl w:val="nil"/>
            </w:tcBorders>
            <w:shd w:val="clear" w:color="auto" w:fill="auto"/>
            <w:vAlign w:val="center"/>
          </w:tcPr>
          <w:p w14:paraId="6F7EA58A">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NW</w:t>
            </w:r>
          </w:p>
        </w:tc>
        <w:tc>
          <w:tcPr>
            <w:tcW w:w="1278" w:type="dxa"/>
            <w:gridSpan w:val="3"/>
            <w:tcBorders>
              <w:tl2br w:val="nil"/>
              <w:tr2bl w:val="nil"/>
            </w:tcBorders>
            <w:shd w:val="clear" w:color="auto" w:fill="auto"/>
            <w:vAlign w:val="center"/>
          </w:tcPr>
          <w:p w14:paraId="1C0A2B47">
            <w:pPr>
              <w:ind w:left="-105" w:right="-105"/>
              <w:jc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2116</w:t>
            </w:r>
          </w:p>
        </w:tc>
        <w:tc>
          <w:tcPr>
            <w:tcW w:w="1238" w:type="dxa"/>
            <w:gridSpan w:val="3"/>
            <w:tcBorders>
              <w:tl2br w:val="nil"/>
              <w:tr2bl w:val="nil"/>
            </w:tcBorders>
            <w:shd w:val="clear" w:color="auto" w:fill="auto"/>
            <w:vAlign w:val="center"/>
          </w:tcPr>
          <w:p w14:paraId="3240B335">
            <w:pPr>
              <w:ind w:left="-105" w:right="-105"/>
              <w:jc w:val="center"/>
              <w:rPr>
                <w:rFonts w:ascii="Times New Roman" w:hAnsi="Times New Roman"/>
                <w:color w:val="auto"/>
                <w:sz w:val="21"/>
                <w:szCs w:val="21"/>
                <w:highlight w:val="none"/>
                <w:lang w:val="zh-CN" w:bidi="zh-CN"/>
              </w:rPr>
            </w:pPr>
            <w:r>
              <w:rPr>
                <w:rFonts w:ascii="Times New Roman" w:hAnsi="Times New Roman"/>
                <w:color w:val="auto"/>
                <w:sz w:val="21"/>
                <w:szCs w:val="21"/>
                <w:highlight w:val="none"/>
              </w:rPr>
              <w:t>居住区</w:t>
            </w:r>
          </w:p>
        </w:tc>
        <w:tc>
          <w:tcPr>
            <w:tcW w:w="1748" w:type="dxa"/>
            <w:tcBorders>
              <w:tl2br w:val="nil"/>
              <w:tr2bl w:val="nil"/>
            </w:tcBorders>
            <w:shd w:val="clear" w:color="auto" w:fill="auto"/>
            <w:vAlign w:val="center"/>
          </w:tcPr>
          <w:p w14:paraId="2FB995A7">
            <w:pPr>
              <w:ind w:left="-105" w:right="-105"/>
              <w:jc w:val="center"/>
              <w:rPr>
                <w:rFonts w:ascii="Times New Roman" w:hAnsi="Times New Roman"/>
                <w:color w:val="auto"/>
                <w:sz w:val="21"/>
                <w:szCs w:val="21"/>
                <w:highlight w:val="none"/>
                <w:lang w:val="zh-CN" w:bidi="zh-CN"/>
              </w:rPr>
            </w:pPr>
            <w:r>
              <w:rPr>
                <w:rFonts w:hint="eastAsia" w:ascii="Times New Roman" w:hAnsi="Times New Roman"/>
                <w:color w:val="auto"/>
                <w:sz w:val="21"/>
                <w:szCs w:val="21"/>
                <w:highlight w:val="none"/>
              </w:rPr>
              <w:t>10</w:t>
            </w:r>
            <w:r>
              <w:rPr>
                <w:rFonts w:ascii="Times New Roman" w:hAnsi="Times New Roman"/>
                <w:color w:val="auto"/>
                <w:sz w:val="21"/>
                <w:szCs w:val="21"/>
                <w:highlight w:val="none"/>
              </w:rPr>
              <w:t>户/</w:t>
            </w:r>
            <w:r>
              <w:rPr>
                <w:rFonts w:hint="eastAsia" w:ascii="Times New Roman" w:hAnsi="Times New Roman"/>
                <w:color w:val="auto"/>
                <w:sz w:val="21"/>
                <w:szCs w:val="21"/>
                <w:highlight w:val="none"/>
              </w:rPr>
              <w:t>.35</w:t>
            </w:r>
            <w:r>
              <w:rPr>
                <w:rFonts w:ascii="Times New Roman" w:hAnsi="Times New Roman"/>
                <w:color w:val="auto"/>
                <w:sz w:val="21"/>
                <w:szCs w:val="21"/>
                <w:highlight w:val="none"/>
              </w:rPr>
              <w:t>人</w:t>
            </w:r>
          </w:p>
        </w:tc>
      </w:tr>
      <w:tr w14:paraId="03F7134C">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851" w:type="dxa"/>
            <w:vMerge w:val="continue"/>
            <w:tcBorders>
              <w:tl2br w:val="nil"/>
              <w:tr2bl w:val="nil"/>
            </w:tcBorders>
            <w:vAlign w:val="center"/>
          </w:tcPr>
          <w:p w14:paraId="6B744E9C">
            <w:pPr>
              <w:ind w:left="-105" w:right="-105"/>
              <w:jc w:val="center"/>
              <w:rPr>
                <w:rFonts w:ascii="Times New Roman" w:hAnsi="Times New Roman"/>
                <w:color w:val="auto"/>
                <w:sz w:val="21"/>
                <w:szCs w:val="21"/>
                <w:highlight w:val="none"/>
                <w:lang w:val="zh-CN" w:bidi="zh-CN"/>
              </w:rPr>
            </w:pPr>
          </w:p>
        </w:tc>
        <w:tc>
          <w:tcPr>
            <w:tcW w:w="704" w:type="dxa"/>
            <w:tcBorders>
              <w:tl2br w:val="nil"/>
              <w:tr2bl w:val="nil"/>
            </w:tcBorders>
            <w:vAlign w:val="center"/>
          </w:tcPr>
          <w:p w14:paraId="6F492585">
            <w:pPr>
              <w:pStyle w:val="97"/>
              <w:numPr>
                <w:ilvl w:val="0"/>
                <w:numId w:val="13"/>
              </w:numPr>
              <w:ind w:left="-105" w:right="-105" w:firstLineChars="0"/>
              <w:jc w:val="center"/>
              <w:rPr>
                <w:rFonts w:eastAsia="宋体"/>
                <w:color w:val="auto"/>
                <w:kern w:val="0"/>
                <w:sz w:val="21"/>
                <w:szCs w:val="21"/>
                <w:highlight w:val="none"/>
                <w:lang w:val="zh-CN" w:bidi="zh-CN"/>
              </w:rPr>
            </w:pPr>
          </w:p>
        </w:tc>
        <w:tc>
          <w:tcPr>
            <w:tcW w:w="2131" w:type="dxa"/>
            <w:gridSpan w:val="3"/>
            <w:tcBorders>
              <w:tl2br w:val="nil"/>
              <w:tr2bl w:val="nil"/>
            </w:tcBorders>
            <w:shd w:val="clear" w:color="auto" w:fill="auto"/>
            <w:vAlign w:val="center"/>
          </w:tcPr>
          <w:p w14:paraId="4A5202BF">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李巷上</w:t>
            </w:r>
          </w:p>
        </w:tc>
        <w:tc>
          <w:tcPr>
            <w:tcW w:w="1100" w:type="dxa"/>
            <w:gridSpan w:val="3"/>
            <w:tcBorders>
              <w:tl2br w:val="nil"/>
              <w:tr2bl w:val="nil"/>
            </w:tcBorders>
            <w:shd w:val="clear" w:color="auto" w:fill="auto"/>
            <w:vAlign w:val="center"/>
          </w:tcPr>
          <w:p w14:paraId="428A1C09">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NW</w:t>
            </w:r>
          </w:p>
        </w:tc>
        <w:tc>
          <w:tcPr>
            <w:tcW w:w="1278" w:type="dxa"/>
            <w:gridSpan w:val="3"/>
            <w:tcBorders>
              <w:tl2br w:val="nil"/>
              <w:tr2bl w:val="nil"/>
            </w:tcBorders>
            <w:shd w:val="clear" w:color="auto" w:fill="auto"/>
            <w:vAlign w:val="center"/>
          </w:tcPr>
          <w:p w14:paraId="03C7EEE3">
            <w:pPr>
              <w:ind w:left="-105" w:right="-105"/>
              <w:jc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1941</w:t>
            </w:r>
          </w:p>
        </w:tc>
        <w:tc>
          <w:tcPr>
            <w:tcW w:w="1238" w:type="dxa"/>
            <w:gridSpan w:val="3"/>
            <w:tcBorders>
              <w:tl2br w:val="nil"/>
              <w:tr2bl w:val="nil"/>
            </w:tcBorders>
            <w:shd w:val="clear" w:color="auto" w:fill="auto"/>
            <w:vAlign w:val="center"/>
          </w:tcPr>
          <w:p w14:paraId="0875BD5C">
            <w:pPr>
              <w:ind w:left="-105" w:right="-105"/>
              <w:jc w:val="center"/>
              <w:rPr>
                <w:rFonts w:ascii="Times New Roman" w:hAnsi="Times New Roman"/>
                <w:color w:val="auto"/>
                <w:sz w:val="21"/>
                <w:szCs w:val="21"/>
                <w:highlight w:val="none"/>
                <w:lang w:val="zh-CN" w:bidi="zh-CN"/>
              </w:rPr>
            </w:pPr>
            <w:r>
              <w:rPr>
                <w:rFonts w:ascii="Times New Roman" w:hAnsi="Times New Roman"/>
                <w:color w:val="auto"/>
                <w:sz w:val="21"/>
                <w:szCs w:val="21"/>
                <w:highlight w:val="none"/>
              </w:rPr>
              <w:t>居住区</w:t>
            </w:r>
          </w:p>
        </w:tc>
        <w:tc>
          <w:tcPr>
            <w:tcW w:w="1748" w:type="dxa"/>
            <w:tcBorders>
              <w:tl2br w:val="nil"/>
              <w:tr2bl w:val="nil"/>
            </w:tcBorders>
            <w:shd w:val="clear" w:color="auto" w:fill="auto"/>
            <w:vAlign w:val="center"/>
          </w:tcPr>
          <w:p w14:paraId="69DEC1B9">
            <w:pPr>
              <w:ind w:left="-105" w:right="-105"/>
              <w:jc w:val="center"/>
              <w:rPr>
                <w:rFonts w:ascii="Times New Roman" w:hAnsi="Times New Roman"/>
                <w:color w:val="auto"/>
                <w:sz w:val="21"/>
                <w:szCs w:val="21"/>
                <w:highlight w:val="none"/>
                <w:lang w:val="zh-CN" w:bidi="zh-CN"/>
              </w:rPr>
            </w:pPr>
            <w:r>
              <w:rPr>
                <w:rFonts w:hint="eastAsia" w:ascii="Times New Roman" w:hAnsi="Times New Roman"/>
                <w:color w:val="auto"/>
                <w:sz w:val="21"/>
                <w:szCs w:val="21"/>
                <w:highlight w:val="none"/>
              </w:rPr>
              <w:t>12</w:t>
            </w:r>
            <w:r>
              <w:rPr>
                <w:rFonts w:ascii="Times New Roman" w:hAnsi="Times New Roman"/>
                <w:color w:val="auto"/>
                <w:sz w:val="21"/>
                <w:szCs w:val="21"/>
                <w:highlight w:val="none"/>
              </w:rPr>
              <w:t>户/</w:t>
            </w:r>
            <w:r>
              <w:rPr>
                <w:rFonts w:hint="eastAsia" w:ascii="Times New Roman" w:hAnsi="Times New Roman"/>
                <w:color w:val="auto"/>
                <w:sz w:val="21"/>
                <w:szCs w:val="21"/>
                <w:highlight w:val="none"/>
              </w:rPr>
              <w:t>42</w:t>
            </w:r>
            <w:r>
              <w:rPr>
                <w:rFonts w:ascii="Times New Roman" w:hAnsi="Times New Roman"/>
                <w:color w:val="auto"/>
                <w:sz w:val="21"/>
                <w:szCs w:val="21"/>
                <w:highlight w:val="none"/>
              </w:rPr>
              <w:t>人</w:t>
            </w:r>
          </w:p>
        </w:tc>
      </w:tr>
      <w:tr w14:paraId="0D13639F">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851" w:type="dxa"/>
            <w:vMerge w:val="continue"/>
            <w:tcBorders>
              <w:tl2br w:val="nil"/>
              <w:tr2bl w:val="nil"/>
            </w:tcBorders>
            <w:vAlign w:val="center"/>
          </w:tcPr>
          <w:p w14:paraId="7F037180">
            <w:pPr>
              <w:ind w:left="-105" w:right="-105"/>
              <w:jc w:val="center"/>
              <w:rPr>
                <w:rFonts w:ascii="Times New Roman" w:hAnsi="Times New Roman"/>
                <w:color w:val="auto"/>
                <w:sz w:val="21"/>
                <w:szCs w:val="21"/>
                <w:highlight w:val="none"/>
                <w:lang w:val="zh-CN" w:bidi="zh-CN"/>
              </w:rPr>
            </w:pPr>
          </w:p>
        </w:tc>
        <w:tc>
          <w:tcPr>
            <w:tcW w:w="704" w:type="dxa"/>
            <w:tcBorders>
              <w:tl2br w:val="nil"/>
              <w:tr2bl w:val="nil"/>
            </w:tcBorders>
            <w:vAlign w:val="center"/>
          </w:tcPr>
          <w:p w14:paraId="7C7DFCC6">
            <w:pPr>
              <w:pStyle w:val="97"/>
              <w:numPr>
                <w:ilvl w:val="0"/>
                <w:numId w:val="13"/>
              </w:numPr>
              <w:ind w:left="-105" w:right="-105" w:firstLineChars="0"/>
              <w:jc w:val="center"/>
              <w:rPr>
                <w:rFonts w:eastAsia="宋体"/>
                <w:color w:val="auto"/>
                <w:kern w:val="0"/>
                <w:sz w:val="21"/>
                <w:szCs w:val="21"/>
                <w:highlight w:val="none"/>
                <w:lang w:val="zh-CN" w:bidi="zh-CN"/>
              </w:rPr>
            </w:pPr>
          </w:p>
        </w:tc>
        <w:tc>
          <w:tcPr>
            <w:tcW w:w="2131" w:type="dxa"/>
            <w:gridSpan w:val="3"/>
            <w:tcBorders>
              <w:tl2br w:val="nil"/>
              <w:tr2bl w:val="nil"/>
            </w:tcBorders>
            <w:shd w:val="clear" w:color="auto" w:fill="auto"/>
            <w:vAlign w:val="center"/>
          </w:tcPr>
          <w:p w14:paraId="69798C41">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何巷上</w:t>
            </w:r>
          </w:p>
        </w:tc>
        <w:tc>
          <w:tcPr>
            <w:tcW w:w="1100" w:type="dxa"/>
            <w:gridSpan w:val="3"/>
            <w:tcBorders>
              <w:tl2br w:val="nil"/>
              <w:tr2bl w:val="nil"/>
            </w:tcBorders>
            <w:shd w:val="clear" w:color="auto" w:fill="auto"/>
            <w:vAlign w:val="center"/>
          </w:tcPr>
          <w:p w14:paraId="1CBE28B9">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NW</w:t>
            </w:r>
          </w:p>
        </w:tc>
        <w:tc>
          <w:tcPr>
            <w:tcW w:w="1278" w:type="dxa"/>
            <w:gridSpan w:val="3"/>
            <w:tcBorders>
              <w:tl2br w:val="nil"/>
              <w:tr2bl w:val="nil"/>
            </w:tcBorders>
            <w:shd w:val="clear" w:color="auto" w:fill="auto"/>
            <w:vAlign w:val="center"/>
          </w:tcPr>
          <w:p w14:paraId="42A892B0">
            <w:pPr>
              <w:ind w:left="-105" w:right="-105"/>
              <w:jc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2106</w:t>
            </w:r>
          </w:p>
        </w:tc>
        <w:tc>
          <w:tcPr>
            <w:tcW w:w="1238" w:type="dxa"/>
            <w:gridSpan w:val="3"/>
            <w:tcBorders>
              <w:tl2br w:val="nil"/>
              <w:tr2bl w:val="nil"/>
            </w:tcBorders>
            <w:shd w:val="clear" w:color="auto" w:fill="auto"/>
            <w:vAlign w:val="center"/>
          </w:tcPr>
          <w:p w14:paraId="22F3D716">
            <w:pPr>
              <w:ind w:left="-105" w:right="-105"/>
              <w:jc w:val="center"/>
              <w:rPr>
                <w:rFonts w:ascii="Times New Roman" w:hAnsi="Times New Roman"/>
                <w:color w:val="auto"/>
                <w:sz w:val="21"/>
                <w:szCs w:val="21"/>
                <w:highlight w:val="none"/>
                <w:lang w:val="zh-CN" w:bidi="zh-CN"/>
              </w:rPr>
            </w:pPr>
            <w:r>
              <w:rPr>
                <w:rFonts w:ascii="Times New Roman" w:hAnsi="Times New Roman"/>
                <w:color w:val="auto"/>
                <w:sz w:val="21"/>
                <w:szCs w:val="21"/>
                <w:highlight w:val="none"/>
              </w:rPr>
              <w:t>居住区</w:t>
            </w:r>
          </w:p>
        </w:tc>
        <w:tc>
          <w:tcPr>
            <w:tcW w:w="1748" w:type="dxa"/>
            <w:tcBorders>
              <w:tl2br w:val="nil"/>
              <w:tr2bl w:val="nil"/>
            </w:tcBorders>
            <w:shd w:val="clear" w:color="auto" w:fill="auto"/>
            <w:vAlign w:val="center"/>
          </w:tcPr>
          <w:p w14:paraId="7E87EFAC">
            <w:pPr>
              <w:ind w:left="-105" w:right="-105"/>
              <w:jc w:val="center"/>
              <w:rPr>
                <w:rFonts w:ascii="Times New Roman" w:hAnsi="Times New Roman"/>
                <w:color w:val="auto"/>
                <w:sz w:val="21"/>
                <w:szCs w:val="21"/>
                <w:highlight w:val="none"/>
                <w:lang w:val="zh-CN" w:bidi="zh-CN"/>
              </w:rPr>
            </w:pPr>
            <w:r>
              <w:rPr>
                <w:rFonts w:hint="eastAsia" w:ascii="Times New Roman" w:hAnsi="Times New Roman"/>
                <w:color w:val="auto"/>
                <w:sz w:val="21"/>
                <w:szCs w:val="21"/>
                <w:highlight w:val="none"/>
              </w:rPr>
              <w:t>30</w:t>
            </w:r>
            <w:r>
              <w:rPr>
                <w:rFonts w:ascii="Times New Roman" w:hAnsi="Times New Roman"/>
                <w:color w:val="auto"/>
                <w:sz w:val="21"/>
                <w:szCs w:val="21"/>
                <w:highlight w:val="none"/>
              </w:rPr>
              <w:t>户/</w:t>
            </w:r>
            <w:r>
              <w:rPr>
                <w:rFonts w:hint="eastAsia" w:ascii="Times New Roman" w:hAnsi="Times New Roman"/>
                <w:color w:val="auto"/>
                <w:sz w:val="21"/>
                <w:szCs w:val="21"/>
                <w:highlight w:val="none"/>
              </w:rPr>
              <w:t>105</w:t>
            </w:r>
            <w:r>
              <w:rPr>
                <w:rFonts w:ascii="Times New Roman" w:hAnsi="Times New Roman"/>
                <w:color w:val="auto"/>
                <w:sz w:val="21"/>
                <w:szCs w:val="21"/>
                <w:highlight w:val="none"/>
              </w:rPr>
              <w:t>人</w:t>
            </w:r>
          </w:p>
        </w:tc>
      </w:tr>
      <w:tr w14:paraId="5862A7C2">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851" w:type="dxa"/>
            <w:vMerge w:val="continue"/>
            <w:tcBorders>
              <w:tl2br w:val="nil"/>
              <w:tr2bl w:val="nil"/>
            </w:tcBorders>
            <w:vAlign w:val="center"/>
          </w:tcPr>
          <w:p w14:paraId="11BAE93A">
            <w:pPr>
              <w:ind w:left="-105" w:right="-105"/>
              <w:jc w:val="center"/>
              <w:rPr>
                <w:rFonts w:ascii="Times New Roman" w:hAnsi="Times New Roman"/>
                <w:color w:val="auto"/>
                <w:sz w:val="21"/>
                <w:szCs w:val="21"/>
                <w:highlight w:val="none"/>
                <w:lang w:val="zh-CN" w:bidi="zh-CN"/>
              </w:rPr>
            </w:pPr>
          </w:p>
        </w:tc>
        <w:tc>
          <w:tcPr>
            <w:tcW w:w="704" w:type="dxa"/>
            <w:tcBorders>
              <w:tl2br w:val="nil"/>
              <w:tr2bl w:val="nil"/>
            </w:tcBorders>
            <w:vAlign w:val="center"/>
          </w:tcPr>
          <w:p w14:paraId="2506C7F8">
            <w:pPr>
              <w:pStyle w:val="97"/>
              <w:numPr>
                <w:ilvl w:val="0"/>
                <w:numId w:val="13"/>
              </w:numPr>
              <w:ind w:left="-105" w:right="-105" w:firstLineChars="0"/>
              <w:jc w:val="center"/>
              <w:rPr>
                <w:rFonts w:eastAsia="宋体"/>
                <w:color w:val="auto"/>
                <w:kern w:val="0"/>
                <w:sz w:val="21"/>
                <w:szCs w:val="21"/>
                <w:highlight w:val="none"/>
                <w:lang w:val="zh-CN" w:bidi="zh-CN"/>
              </w:rPr>
            </w:pPr>
          </w:p>
        </w:tc>
        <w:tc>
          <w:tcPr>
            <w:tcW w:w="2131" w:type="dxa"/>
            <w:gridSpan w:val="3"/>
            <w:tcBorders>
              <w:tl2br w:val="nil"/>
              <w:tr2bl w:val="nil"/>
            </w:tcBorders>
            <w:shd w:val="clear" w:color="auto" w:fill="auto"/>
            <w:vAlign w:val="center"/>
          </w:tcPr>
          <w:p w14:paraId="364612FE">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石家浜村</w:t>
            </w:r>
          </w:p>
        </w:tc>
        <w:tc>
          <w:tcPr>
            <w:tcW w:w="1100" w:type="dxa"/>
            <w:gridSpan w:val="3"/>
            <w:tcBorders>
              <w:tl2br w:val="nil"/>
              <w:tr2bl w:val="nil"/>
            </w:tcBorders>
            <w:shd w:val="clear" w:color="auto" w:fill="auto"/>
            <w:vAlign w:val="center"/>
          </w:tcPr>
          <w:p w14:paraId="23C4E087">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NW</w:t>
            </w:r>
          </w:p>
        </w:tc>
        <w:tc>
          <w:tcPr>
            <w:tcW w:w="1278" w:type="dxa"/>
            <w:gridSpan w:val="3"/>
            <w:tcBorders>
              <w:tl2br w:val="nil"/>
              <w:tr2bl w:val="nil"/>
            </w:tcBorders>
            <w:shd w:val="clear" w:color="auto" w:fill="auto"/>
            <w:vAlign w:val="center"/>
          </w:tcPr>
          <w:p w14:paraId="3E3C9AA3">
            <w:pPr>
              <w:ind w:left="-105" w:right="-105"/>
              <w:jc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2580</w:t>
            </w:r>
          </w:p>
        </w:tc>
        <w:tc>
          <w:tcPr>
            <w:tcW w:w="1238" w:type="dxa"/>
            <w:gridSpan w:val="3"/>
            <w:tcBorders>
              <w:tl2br w:val="nil"/>
              <w:tr2bl w:val="nil"/>
            </w:tcBorders>
            <w:shd w:val="clear" w:color="auto" w:fill="auto"/>
            <w:vAlign w:val="center"/>
          </w:tcPr>
          <w:p w14:paraId="6D5C49CD">
            <w:pPr>
              <w:ind w:left="-105" w:right="-105"/>
              <w:jc w:val="center"/>
              <w:rPr>
                <w:rFonts w:ascii="Times New Roman" w:hAnsi="Times New Roman"/>
                <w:color w:val="auto"/>
                <w:sz w:val="21"/>
                <w:szCs w:val="21"/>
                <w:highlight w:val="none"/>
                <w:lang w:val="zh-CN" w:bidi="zh-CN"/>
              </w:rPr>
            </w:pPr>
            <w:r>
              <w:rPr>
                <w:rFonts w:ascii="Times New Roman" w:hAnsi="Times New Roman"/>
                <w:color w:val="auto"/>
                <w:sz w:val="21"/>
                <w:szCs w:val="21"/>
                <w:highlight w:val="none"/>
              </w:rPr>
              <w:t>居住区</w:t>
            </w:r>
          </w:p>
        </w:tc>
        <w:tc>
          <w:tcPr>
            <w:tcW w:w="1748" w:type="dxa"/>
            <w:tcBorders>
              <w:tl2br w:val="nil"/>
              <w:tr2bl w:val="nil"/>
            </w:tcBorders>
            <w:shd w:val="clear" w:color="auto" w:fill="auto"/>
            <w:vAlign w:val="center"/>
          </w:tcPr>
          <w:p w14:paraId="535B3A49">
            <w:pPr>
              <w:ind w:left="-105" w:right="-105"/>
              <w:jc w:val="center"/>
              <w:rPr>
                <w:rFonts w:ascii="Times New Roman" w:hAnsi="Times New Roman"/>
                <w:color w:val="auto"/>
                <w:sz w:val="21"/>
                <w:szCs w:val="21"/>
                <w:highlight w:val="none"/>
                <w:lang w:val="zh-CN" w:bidi="zh-CN"/>
              </w:rPr>
            </w:pPr>
            <w:r>
              <w:rPr>
                <w:rFonts w:hint="eastAsia" w:ascii="Times New Roman" w:hAnsi="Times New Roman"/>
                <w:color w:val="auto"/>
                <w:sz w:val="21"/>
                <w:szCs w:val="21"/>
                <w:highlight w:val="none"/>
              </w:rPr>
              <w:t>120</w:t>
            </w:r>
            <w:r>
              <w:rPr>
                <w:rFonts w:ascii="Times New Roman" w:hAnsi="Times New Roman"/>
                <w:color w:val="auto"/>
                <w:sz w:val="21"/>
                <w:szCs w:val="21"/>
                <w:highlight w:val="none"/>
              </w:rPr>
              <w:t>户/</w:t>
            </w:r>
            <w:r>
              <w:rPr>
                <w:rFonts w:hint="eastAsia" w:ascii="Times New Roman" w:hAnsi="Times New Roman"/>
                <w:color w:val="auto"/>
                <w:sz w:val="21"/>
                <w:szCs w:val="21"/>
                <w:highlight w:val="none"/>
              </w:rPr>
              <w:t>420</w:t>
            </w:r>
            <w:r>
              <w:rPr>
                <w:rFonts w:ascii="Times New Roman" w:hAnsi="Times New Roman"/>
                <w:color w:val="auto"/>
                <w:sz w:val="21"/>
                <w:szCs w:val="21"/>
                <w:highlight w:val="none"/>
              </w:rPr>
              <w:t>人</w:t>
            </w:r>
          </w:p>
        </w:tc>
      </w:tr>
      <w:tr w14:paraId="016DF403">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851" w:type="dxa"/>
            <w:vMerge w:val="continue"/>
            <w:tcBorders>
              <w:tl2br w:val="nil"/>
              <w:tr2bl w:val="nil"/>
            </w:tcBorders>
            <w:vAlign w:val="center"/>
          </w:tcPr>
          <w:p w14:paraId="5F1DFFD6">
            <w:pPr>
              <w:ind w:left="-105" w:right="-105"/>
              <w:jc w:val="center"/>
              <w:rPr>
                <w:rFonts w:ascii="Times New Roman" w:hAnsi="Times New Roman"/>
                <w:color w:val="auto"/>
                <w:sz w:val="21"/>
                <w:szCs w:val="21"/>
                <w:highlight w:val="none"/>
                <w:lang w:val="zh-CN" w:bidi="zh-CN"/>
              </w:rPr>
            </w:pPr>
          </w:p>
        </w:tc>
        <w:tc>
          <w:tcPr>
            <w:tcW w:w="704" w:type="dxa"/>
            <w:tcBorders>
              <w:tl2br w:val="nil"/>
              <w:tr2bl w:val="nil"/>
            </w:tcBorders>
            <w:vAlign w:val="center"/>
          </w:tcPr>
          <w:p w14:paraId="6D0F3533">
            <w:pPr>
              <w:pStyle w:val="97"/>
              <w:numPr>
                <w:ilvl w:val="0"/>
                <w:numId w:val="13"/>
              </w:numPr>
              <w:ind w:left="-105" w:right="-105" w:firstLineChars="0"/>
              <w:jc w:val="center"/>
              <w:rPr>
                <w:rFonts w:eastAsia="宋体"/>
                <w:color w:val="auto"/>
                <w:kern w:val="0"/>
                <w:sz w:val="21"/>
                <w:szCs w:val="21"/>
                <w:highlight w:val="none"/>
                <w:lang w:val="zh-CN" w:bidi="zh-CN"/>
              </w:rPr>
            </w:pPr>
          </w:p>
        </w:tc>
        <w:tc>
          <w:tcPr>
            <w:tcW w:w="2131" w:type="dxa"/>
            <w:gridSpan w:val="3"/>
            <w:tcBorders>
              <w:tl2br w:val="nil"/>
              <w:tr2bl w:val="nil"/>
            </w:tcBorders>
            <w:shd w:val="clear" w:color="auto" w:fill="auto"/>
            <w:vAlign w:val="center"/>
          </w:tcPr>
          <w:p w14:paraId="38B66B39">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底田下</w:t>
            </w:r>
          </w:p>
        </w:tc>
        <w:tc>
          <w:tcPr>
            <w:tcW w:w="1100" w:type="dxa"/>
            <w:gridSpan w:val="3"/>
            <w:tcBorders>
              <w:tl2br w:val="nil"/>
              <w:tr2bl w:val="nil"/>
            </w:tcBorders>
            <w:shd w:val="clear" w:color="auto" w:fill="auto"/>
            <w:vAlign w:val="center"/>
          </w:tcPr>
          <w:p w14:paraId="038AE55A">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NW</w:t>
            </w:r>
          </w:p>
        </w:tc>
        <w:tc>
          <w:tcPr>
            <w:tcW w:w="1278" w:type="dxa"/>
            <w:gridSpan w:val="3"/>
            <w:tcBorders>
              <w:tl2br w:val="nil"/>
              <w:tr2bl w:val="nil"/>
            </w:tcBorders>
            <w:shd w:val="clear" w:color="auto" w:fill="auto"/>
            <w:vAlign w:val="center"/>
          </w:tcPr>
          <w:p w14:paraId="339F557A">
            <w:pPr>
              <w:ind w:left="-105" w:right="-105"/>
              <w:jc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2828</w:t>
            </w:r>
          </w:p>
        </w:tc>
        <w:tc>
          <w:tcPr>
            <w:tcW w:w="1238" w:type="dxa"/>
            <w:gridSpan w:val="3"/>
            <w:tcBorders>
              <w:tl2br w:val="nil"/>
              <w:tr2bl w:val="nil"/>
            </w:tcBorders>
            <w:shd w:val="clear" w:color="auto" w:fill="auto"/>
            <w:vAlign w:val="center"/>
          </w:tcPr>
          <w:p w14:paraId="3DC72B57">
            <w:pPr>
              <w:ind w:left="-105" w:right="-105"/>
              <w:jc w:val="center"/>
              <w:rPr>
                <w:rFonts w:ascii="Times New Roman" w:hAnsi="Times New Roman"/>
                <w:color w:val="auto"/>
                <w:sz w:val="21"/>
                <w:szCs w:val="21"/>
                <w:highlight w:val="none"/>
                <w:lang w:val="zh-CN" w:bidi="zh-CN"/>
              </w:rPr>
            </w:pPr>
            <w:r>
              <w:rPr>
                <w:rFonts w:ascii="Times New Roman" w:hAnsi="Times New Roman"/>
                <w:color w:val="auto"/>
                <w:sz w:val="21"/>
                <w:szCs w:val="21"/>
                <w:highlight w:val="none"/>
              </w:rPr>
              <w:t>居住区</w:t>
            </w:r>
          </w:p>
        </w:tc>
        <w:tc>
          <w:tcPr>
            <w:tcW w:w="1748" w:type="dxa"/>
            <w:tcBorders>
              <w:tl2br w:val="nil"/>
              <w:tr2bl w:val="nil"/>
            </w:tcBorders>
            <w:shd w:val="clear" w:color="auto" w:fill="auto"/>
            <w:vAlign w:val="center"/>
          </w:tcPr>
          <w:p w14:paraId="165D332D">
            <w:pPr>
              <w:ind w:left="-105" w:right="-105"/>
              <w:jc w:val="center"/>
              <w:rPr>
                <w:rFonts w:ascii="Times New Roman" w:hAnsi="Times New Roman"/>
                <w:color w:val="auto"/>
                <w:sz w:val="21"/>
                <w:szCs w:val="21"/>
                <w:highlight w:val="none"/>
                <w:lang w:val="zh-CN" w:bidi="zh-CN"/>
              </w:rPr>
            </w:pPr>
            <w:r>
              <w:rPr>
                <w:rFonts w:hint="eastAsia" w:ascii="Times New Roman" w:hAnsi="Times New Roman"/>
                <w:color w:val="auto"/>
                <w:sz w:val="21"/>
                <w:szCs w:val="21"/>
                <w:highlight w:val="none"/>
              </w:rPr>
              <w:t>20</w:t>
            </w:r>
            <w:r>
              <w:rPr>
                <w:rFonts w:ascii="Times New Roman" w:hAnsi="Times New Roman"/>
                <w:color w:val="auto"/>
                <w:sz w:val="21"/>
                <w:szCs w:val="21"/>
                <w:highlight w:val="none"/>
              </w:rPr>
              <w:t>户/</w:t>
            </w:r>
            <w:r>
              <w:rPr>
                <w:rFonts w:hint="eastAsia" w:ascii="Times New Roman" w:hAnsi="Times New Roman"/>
                <w:color w:val="auto"/>
                <w:sz w:val="21"/>
                <w:szCs w:val="21"/>
                <w:highlight w:val="none"/>
              </w:rPr>
              <w:t>70</w:t>
            </w:r>
            <w:r>
              <w:rPr>
                <w:rFonts w:ascii="Times New Roman" w:hAnsi="Times New Roman"/>
                <w:color w:val="auto"/>
                <w:sz w:val="21"/>
                <w:szCs w:val="21"/>
                <w:highlight w:val="none"/>
              </w:rPr>
              <w:t>人</w:t>
            </w:r>
          </w:p>
        </w:tc>
      </w:tr>
      <w:tr w14:paraId="3363956E">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851" w:type="dxa"/>
            <w:vMerge w:val="continue"/>
            <w:tcBorders>
              <w:tl2br w:val="nil"/>
              <w:tr2bl w:val="nil"/>
            </w:tcBorders>
            <w:vAlign w:val="center"/>
          </w:tcPr>
          <w:p w14:paraId="1A10DFDB">
            <w:pPr>
              <w:ind w:left="-105" w:right="-105"/>
              <w:jc w:val="center"/>
              <w:rPr>
                <w:rFonts w:ascii="Times New Roman" w:hAnsi="Times New Roman"/>
                <w:color w:val="auto"/>
                <w:sz w:val="21"/>
                <w:szCs w:val="21"/>
                <w:highlight w:val="none"/>
                <w:lang w:val="zh-CN" w:bidi="zh-CN"/>
              </w:rPr>
            </w:pPr>
          </w:p>
        </w:tc>
        <w:tc>
          <w:tcPr>
            <w:tcW w:w="704" w:type="dxa"/>
            <w:tcBorders>
              <w:tl2br w:val="nil"/>
              <w:tr2bl w:val="nil"/>
            </w:tcBorders>
            <w:vAlign w:val="center"/>
          </w:tcPr>
          <w:p w14:paraId="3C540EF2">
            <w:pPr>
              <w:pStyle w:val="97"/>
              <w:numPr>
                <w:ilvl w:val="0"/>
                <w:numId w:val="13"/>
              </w:numPr>
              <w:ind w:left="-105" w:right="-105" w:firstLineChars="0"/>
              <w:jc w:val="center"/>
              <w:rPr>
                <w:rFonts w:eastAsia="宋体"/>
                <w:color w:val="auto"/>
                <w:kern w:val="0"/>
                <w:sz w:val="21"/>
                <w:szCs w:val="21"/>
                <w:highlight w:val="none"/>
                <w:lang w:val="zh-CN" w:bidi="zh-CN"/>
              </w:rPr>
            </w:pPr>
          </w:p>
        </w:tc>
        <w:tc>
          <w:tcPr>
            <w:tcW w:w="2131" w:type="dxa"/>
            <w:gridSpan w:val="3"/>
            <w:tcBorders>
              <w:tl2br w:val="nil"/>
              <w:tr2bl w:val="nil"/>
            </w:tcBorders>
            <w:shd w:val="clear" w:color="auto" w:fill="auto"/>
            <w:vAlign w:val="center"/>
          </w:tcPr>
          <w:p w14:paraId="545B08E9">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劲丰村</w:t>
            </w:r>
          </w:p>
        </w:tc>
        <w:tc>
          <w:tcPr>
            <w:tcW w:w="1100" w:type="dxa"/>
            <w:gridSpan w:val="3"/>
            <w:tcBorders>
              <w:tl2br w:val="nil"/>
              <w:tr2bl w:val="nil"/>
            </w:tcBorders>
            <w:shd w:val="clear" w:color="auto" w:fill="auto"/>
            <w:vAlign w:val="center"/>
          </w:tcPr>
          <w:p w14:paraId="665D9A99">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NW</w:t>
            </w:r>
          </w:p>
        </w:tc>
        <w:tc>
          <w:tcPr>
            <w:tcW w:w="1278" w:type="dxa"/>
            <w:gridSpan w:val="3"/>
            <w:tcBorders>
              <w:tl2br w:val="nil"/>
              <w:tr2bl w:val="nil"/>
            </w:tcBorders>
            <w:shd w:val="clear" w:color="auto" w:fill="auto"/>
            <w:vAlign w:val="center"/>
          </w:tcPr>
          <w:p w14:paraId="3EE2A2AD">
            <w:pPr>
              <w:ind w:left="-105" w:right="-105"/>
              <w:jc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2587</w:t>
            </w:r>
          </w:p>
        </w:tc>
        <w:tc>
          <w:tcPr>
            <w:tcW w:w="1238" w:type="dxa"/>
            <w:gridSpan w:val="3"/>
            <w:tcBorders>
              <w:tl2br w:val="nil"/>
              <w:tr2bl w:val="nil"/>
            </w:tcBorders>
            <w:shd w:val="clear" w:color="auto" w:fill="auto"/>
            <w:vAlign w:val="center"/>
          </w:tcPr>
          <w:p w14:paraId="25AC8803">
            <w:pPr>
              <w:ind w:left="-105" w:right="-105"/>
              <w:jc w:val="center"/>
              <w:rPr>
                <w:rFonts w:ascii="Times New Roman" w:hAnsi="Times New Roman"/>
                <w:color w:val="auto"/>
                <w:sz w:val="21"/>
                <w:szCs w:val="21"/>
                <w:highlight w:val="none"/>
                <w:lang w:val="zh-CN" w:bidi="zh-CN"/>
              </w:rPr>
            </w:pPr>
            <w:r>
              <w:rPr>
                <w:rFonts w:ascii="Times New Roman" w:hAnsi="Times New Roman"/>
                <w:color w:val="auto"/>
                <w:sz w:val="21"/>
                <w:szCs w:val="21"/>
                <w:highlight w:val="none"/>
              </w:rPr>
              <w:t>居住区</w:t>
            </w:r>
          </w:p>
        </w:tc>
        <w:tc>
          <w:tcPr>
            <w:tcW w:w="1748" w:type="dxa"/>
            <w:tcBorders>
              <w:tl2br w:val="nil"/>
              <w:tr2bl w:val="nil"/>
            </w:tcBorders>
            <w:shd w:val="clear" w:color="auto" w:fill="auto"/>
            <w:vAlign w:val="center"/>
          </w:tcPr>
          <w:p w14:paraId="421E373A">
            <w:pPr>
              <w:ind w:left="-105" w:right="-105"/>
              <w:jc w:val="center"/>
              <w:rPr>
                <w:rFonts w:ascii="Times New Roman" w:hAnsi="Times New Roman"/>
                <w:color w:val="auto"/>
                <w:sz w:val="21"/>
                <w:szCs w:val="21"/>
                <w:highlight w:val="none"/>
                <w:lang w:val="zh-CN" w:bidi="zh-CN"/>
              </w:rPr>
            </w:pPr>
            <w:r>
              <w:rPr>
                <w:rFonts w:hint="eastAsia" w:ascii="Times New Roman" w:hAnsi="Times New Roman"/>
                <w:color w:val="auto"/>
                <w:sz w:val="21"/>
                <w:szCs w:val="21"/>
                <w:highlight w:val="none"/>
              </w:rPr>
              <w:t>10</w:t>
            </w:r>
            <w:r>
              <w:rPr>
                <w:rFonts w:ascii="Times New Roman" w:hAnsi="Times New Roman"/>
                <w:color w:val="auto"/>
                <w:sz w:val="21"/>
                <w:szCs w:val="21"/>
                <w:highlight w:val="none"/>
              </w:rPr>
              <w:t>户/</w:t>
            </w:r>
            <w:r>
              <w:rPr>
                <w:rFonts w:hint="eastAsia" w:ascii="Times New Roman" w:hAnsi="Times New Roman"/>
                <w:color w:val="auto"/>
                <w:sz w:val="21"/>
                <w:szCs w:val="21"/>
                <w:highlight w:val="none"/>
              </w:rPr>
              <w:t>35</w:t>
            </w:r>
            <w:r>
              <w:rPr>
                <w:rFonts w:ascii="Times New Roman" w:hAnsi="Times New Roman"/>
                <w:color w:val="auto"/>
                <w:sz w:val="21"/>
                <w:szCs w:val="21"/>
                <w:highlight w:val="none"/>
              </w:rPr>
              <w:t>人</w:t>
            </w:r>
          </w:p>
        </w:tc>
      </w:tr>
      <w:tr w14:paraId="36F8C164">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851" w:type="dxa"/>
            <w:vMerge w:val="continue"/>
            <w:tcBorders>
              <w:tl2br w:val="nil"/>
              <w:tr2bl w:val="nil"/>
            </w:tcBorders>
            <w:vAlign w:val="center"/>
          </w:tcPr>
          <w:p w14:paraId="451D31E9">
            <w:pPr>
              <w:ind w:left="-105" w:right="-105"/>
              <w:jc w:val="center"/>
              <w:rPr>
                <w:rFonts w:ascii="Times New Roman" w:hAnsi="Times New Roman"/>
                <w:color w:val="auto"/>
                <w:sz w:val="21"/>
                <w:szCs w:val="21"/>
                <w:highlight w:val="none"/>
                <w:lang w:val="zh-CN" w:bidi="zh-CN"/>
              </w:rPr>
            </w:pPr>
          </w:p>
        </w:tc>
        <w:tc>
          <w:tcPr>
            <w:tcW w:w="704" w:type="dxa"/>
            <w:tcBorders>
              <w:tl2br w:val="nil"/>
              <w:tr2bl w:val="nil"/>
            </w:tcBorders>
            <w:vAlign w:val="center"/>
          </w:tcPr>
          <w:p w14:paraId="7635F27C">
            <w:pPr>
              <w:pStyle w:val="97"/>
              <w:numPr>
                <w:ilvl w:val="0"/>
                <w:numId w:val="13"/>
              </w:numPr>
              <w:ind w:left="-105" w:right="-105" w:firstLineChars="0"/>
              <w:jc w:val="center"/>
              <w:rPr>
                <w:rFonts w:eastAsia="宋体"/>
                <w:color w:val="auto"/>
                <w:kern w:val="0"/>
                <w:sz w:val="21"/>
                <w:szCs w:val="21"/>
                <w:highlight w:val="none"/>
                <w:lang w:val="zh-CN" w:bidi="zh-CN"/>
              </w:rPr>
            </w:pPr>
          </w:p>
        </w:tc>
        <w:tc>
          <w:tcPr>
            <w:tcW w:w="2131" w:type="dxa"/>
            <w:gridSpan w:val="3"/>
            <w:tcBorders>
              <w:tl2br w:val="nil"/>
              <w:tr2bl w:val="nil"/>
            </w:tcBorders>
            <w:shd w:val="clear" w:color="auto" w:fill="auto"/>
            <w:vAlign w:val="center"/>
          </w:tcPr>
          <w:p w14:paraId="00651733">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斗南村</w:t>
            </w:r>
          </w:p>
        </w:tc>
        <w:tc>
          <w:tcPr>
            <w:tcW w:w="1100" w:type="dxa"/>
            <w:gridSpan w:val="3"/>
            <w:tcBorders>
              <w:tl2br w:val="nil"/>
              <w:tr2bl w:val="nil"/>
            </w:tcBorders>
            <w:shd w:val="clear" w:color="auto" w:fill="auto"/>
            <w:vAlign w:val="center"/>
          </w:tcPr>
          <w:p w14:paraId="01725F4F">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N</w:t>
            </w:r>
          </w:p>
        </w:tc>
        <w:tc>
          <w:tcPr>
            <w:tcW w:w="1278" w:type="dxa"/>
            <w:gridSpan w:val="3"/>
            <w:tcBorders>
              <w:tl2br w:val="nil"/>
              <w:tr2bl w:val="nil"/>
            </w:tcBorders>
            <w:shd w:val="clear" w:color="auto" w:fill="auto"/>
            <w:vAlign w:val="center"/>
          </w:tcPr>
          <w:p w14:paraId="6E19881E">
            <w:pPr>
              <w:ind w:left="-105" w:right="-105"/>
              <w:jc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2504</w:t>
            </w:r>
          </w:p>
        </w:tc>
        <w:tc>
          <w:tcPr>
            <w:tcW w:w="1238" w:type="dxa"/>
            <w:gridSpan w:val="3"/>
            <w:tcBorders>
              <w:tl2br w:val="nil"/>
              <w:tr2bl w:val="nil"/>
            </w:tcBorders>
            <w:shd w:val="clear" w:color="auto" w:fill="auto"/>
            <w:vAlign w:val="center"/>
          </w:tcPr>
          <w:p w14:paraId="4DE51A35">
            <w:pPr>
              <w:ind w:left="-105" w:right="-105"/>
              <w:jc w:val="center"/>
              <w:rPr>
                <w:rFonts w:ascii="Times New Roman" w:hAnsi="Times New Roman"/>
                <w:color w:val="auto"/>
                <w:sz w:val="21"/>
                <w:szCs w:val="21"/>
                <w:highlight w:val="none"/>
                <w:lang w:val="zh-CN" w:bidi="zh-CN"/>
              </w:rPr>
            </w:pPr>
            <w:r>
              <w:rPr>
                <w:rFonts w:ascii="Times New Roman" w:hAnsi="Times New Roman"/>
                <w:color w:val="auto"/>
                <w:sz w:val="21"/>
                <w:szCs w:val="21"/>
                <w:highlight w:val="none"/>
              </w:rPr>
              <w:t>居住区</w:t>
            </w:r>
          </w:p>
        </w:tc>
        <w:tc>
          <w:tcPr>
            <w:tcW w:w="1748" w:type="dxa"/>
            <w:tcBorders>
              <w:tl2br w:val="nil"/>
              <w:tr2bl w:val="nil"/>
            </w:tcBorders>
            <w:shd w:val="clear" w:color="auto" w:fill="auto"/>
            <w:vAlign w:val="center"/>
          </w:tcPr>
          <w:p w14:paraId="4C482D84">
            <w:pPr>
              <w:ind w:left="-105" w:right="-105"/>
              <w:jc w:val="center"/>
              <w:rPr>
                <w:rFonts w:ascii="Times New Roman" w:hAnsi="Times New Roman"/>
                <w:color w:val="auto"/>
                <w:sz w:val="21"/>
                <w:szCs w:val="21"/>
                <w:highlight w:val="none"/>
                <w:lang w:val="zh-CN" w:bidi="zh-CN"/>
              </w:rPr>
            </w:pPr>
            <w:r>
              <w:rPr>
                <w:rFonts w:hint="eastAsia" w:ascii="Times New Roman" w:hAnsi="Times New Roman"/>
                <w:color w:val="auto"/>
                <w:sz w:val="21"/>
                <w:szCs w:val="21"/>
                <w:highlight w:val="none"/>
              </w:rPr>
              <w:t>60</w:t>
            </w:r>
            <w:r>
              <w:rPr>
                <w:rFonts w:ascii="Times New Roman" w:hAnsi="Times New Roman"/>
                <w:color w:val="auto"/>
                <w:sz w:val="21"/>
                <w:szCs w:val="21"/>
                <w:highlight w:val="none"/>
              </w:rPr>
              <w:t>户/</w:t>
            </w:r>
            <w:r>
              <w:rPr>
                <w:rFonts w:hint="eastAsia" w:ascii="Times New Roman" w:hAnsi="Times New Roman"/>
                <w:color w:val="auto"/>
                <w:sz w:val="21"/>
                <w:szCs w:val="21"/>
                <w:highlight w:val="none"/>
              </w:rPr>
              <w:t>210</w:t>
            </w:r>
            <w:r>
              <w:rPr>
                <w:rFonts w:ascii="Times New Roman" w:hAnsi="Times New Roman"/>
                <w:color w:val="auto"/>
                <w:sz w:val="21"/>
                <w:szCs w:val="21"/>
                <w:highlight w:val="none"/>
              </w:rPr>
              <w:t>人</w:t>
            </w:r>
          </w:p>
        </w:tc>
      </w:tr>
      <w:tr w14:paraId="7EF29771">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851" w:type="dxa"/>
            <w:vMerge w:val="continue"/>
            <w:tcBorders>
              <w:tl2br w:val="nil"/>
              <w:tr2bl w:val="nil"/>
            </w:tcBorders>
            <w:vAlign w:val="center"/>
          </w:tcPr>
          <w:p w14:paraId="25043F4D">
            <w:pPr>
              <w:ind w:left="-105" w:right="-105"/>
              <w:jc w:val="center"/>
              <w:rPr>
                <w:rFonts w:ascii="Times New Roman" w:hAnsi="Times New Roman"/>
                <w:color w:val="auto"/>
                <w:sz w:val="21"/>
                <w:szCs w:val="21"/>
                <w:highlight w:val="none"/>
                <w:lang w:val="zh-CN" w:bidi="zh-CN"/>
              </w:rPr>
            </w:pPr>
          </w:p>
        </w:tc>
        <w:tc>
          <w:tcPr>
            <w:tcW w:w="704" w:type="dxa"/>
            <w:tcBorders>
              <w:tl2br w:val="nil"/>
              <w:tr2bl w:val="nil"/>
            </w:tcBorders>
            <w:vAlign w:val="center"/>
          </w:tcPr>
          <w:p w14:paraId="7907C5E8">
            <w:pPr>
              <w:pStyle w:val="97"/>
              <w:numPr>
                <w:ilvl w:val="0"/>
                <w:numId w:val="13"/>
              </w:numPr>
              <w:ind w:left="-105" w:right="-105" w:firstLineChars="0"/>
              <w:jc w:val="center"/>
              <w:rPr>
                <w:rFonts w:eastAsia="宋体"/>
                <w:color w:val="auto"/>
                <w:kern w:val="0"/>
                <w:sz w:val="21"/>
                <w:szCs w:val="21"/>
                <w:highlight w:val="none"/>
                <w:lang w:val="zh-CN" w:bidi="zh-CN"/>
              </w:rPr>
            </w:pPr>
          </w:p>
        </w:tc>
        <w:tc>
          <w:tcPr>
            <w:tcW w:w="2131" w:type="dxa"/>
            <w:gridSpan w:val="3"/>
            <w:tcBorders>
              <w:tl2br w:val="nil"/>
              <w:tr2bl w:val="nil"/>
            </w:tcBorders>
            <w:shd w:val="clear" w:color="auto" w:fill="auto"/>
            <w:vAlign w:val="center"/>
          </w:tcPr>
          <w:p w14:paraId="1CAEB622">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大房巷</w:t>
            </w:r>
          </w:p>
        </w:tc>
        <w:tc>
          <w:tcPr>
            <w:tcW w:w="1100" w:type="dxa"/>
            <w:gridSpan w:val="3"/>
            <w:tcBorders>
              <w:tl2br w:val="nil"/>
              <w:tr2bl w:val="nil"/>
            </w:tcBorders>
            <w:shd w:val="clear" w:color="auto" w:fill="auto"/>
            <w:vAlign w:val="center"/>
          </w:tcPr>
          <w:p w14:paraId="501314D5">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N</w:t>
            </w:r>
          </w:p>
        </w:tc>
        <w:tc>
          <w:tcPr>
            <w:tcW w:w="1278" w:type="dxa"/>
            <w:gridSpan w:val="3"/>
            <w:tcBorders>
              <w:tl2br w:val="nil"/>
              <w:tr2bl w:val="nil"/>
            </w:tcBorders>
            <w:shd w:val="clear" w:color="auto" w:fill="auto"/>
            <w:vAlign w:val="center"/>
          </w:tcPr>
          <w:p w14:paraId="17A6BA6B">
            <w:pPr>
              <w:ind w:left="-105" w:right="-105"/>
              <w:jc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2508</w:t>
            </w:r>
          </w:p>
        </w:tc>
        <w:tc>
          <w:tcPr>
            <w:tcW w:w="1238" w:type="dxa"/>
            <w:gridSpan w:val="3"/>
            <w:tcBorders>
              <w:tl2br w:val="nil"/>
              <w:tr2bl w:val="nil"/>
            </w:tcBorders>
            <w:shd w:val="clear" w:color="auto" w:fill="auto"/>
            <w:vAlign w:val="center"/>
          </w:tcPr>
          <w:p w14:paraId="2DE3E209">
            <w:pPr>
              <w:ind w:left="-105" w:right="-105"/>
              <w:jc w:val="center"/>
              <w:rPr>
                <w:rFonts w:ascii="Times New Roman" w:hAnsi="Times New Roman"/>
                <w:color w:val="auto"/>
                <w:sz w:val="21"/>
                <w:szCs w:val="21"/>
                <w:highlight w:val="none"/>
                <w:lang w:val="zh-CN" w:bidi="zh-CN"/>
              </w:rPr>
            </w:pPr>
            <w:r>
              <w:rPr>
                <w:rFonts w:ascii="Times New Roman" w:hAnsi="Times New Roman"/>
                <w:color w:val="auto"/>
                <w:sz w:val="21"/>
                <w:szCs w:val="21"/>
                <w:highlight w:val="none"/>
              </w:rPr>
              <w:t>居住区</w:t>
            </w:r>
          </w:p>
        </w:tc>
        <w:tc>
          <w:tcPr>
            <w:tcW w:w="1748" w:type="dxa"/>
            <w:tcBorders>
              <w:tl2br w:val="nil"/>
              <w:tr2bl w:val="nil"/>
            </w:tcBorders>
            <w:shd w:val="clear" w:color="auto" w:fill="auto"/>
            <w:vAlign w:val="center"/>
          </w:tcPr>
          <w:p w14:paraId="36DEC6A8">
            <w:pPr>
              <w:ind w:left="-105" w:right="-105"/>
              <w:jc w:val="center"/>
              <w:rPr>
                <w:rFonts w:ascii="Times New Roman" w:hAnsi="Times New Roman"/>
                <w:color w:val="auto"/>
                <w:sz w:val="21"/>
                <w:szCs w:val="21"/>
                <w:highlight w:val="none"/>
                <w:lang w:val="zh-CN" w:bidi="zh-CN"/>
              </w:rPr>
            </w:pPr>
            <w:r>
              <w:rPr>
                <w:rFonts w:hint="eastAsia" w:ascii="Times New Roman" w:hAnsi="Times New Roman"/>
                <w:color w:val="auto"/>
                <w:sz w:val="21"/>
                <w:szCs w:val="21"/>
                <w:highlight w:val="none"/>
              </w:rPr>
              <w:t>80</w:t>
            </w:r>
            <w:r>
              <w:rPr>
                <w:rFonts w:ascii="Times New Roman" w:hAnsi="Times New Roman"/>
                <w:color w:val="auto"/>
                <w:sz w:val="21"/>
                <w:szCs w:val="21"/>
                <w:highlight w:val="none"/>
              </w:rPr>
              <w:t>户/</w:t>
            </w:r>
            <w:r>
              <w:rPr>
                <w:rFonts w:hint="eastAsia" w:ascii="Times New Roman" w:hAnsi="Times New Roman"/>
                <w:color w:val="auto"/>
                <w:sz w:val="21"/>
                <w:szCs w:val="21"/>
                <w:highlight w:val="none"/>
              </w:rPr>
              <w:t>200</w:t>
            </w:r>
            <w:r>
              <w:rPr>
                <w:rFonts w:ascii="Times New Roman" w:hAnsi="Times New Roman"/>
                <w:color w:val="auto"/>
                <w:sz w:val="21"/>
                <w:szCs w:val="21"/>
                <w:highlight w:val="none"/>
              </w:rPr>
              <w:t>人</w:t>
            </w:r>
          </w:p>
        </w:tc>
      </w:tr>
      <w:tr w14:paraId="462C20F6">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851" w:type="dxa"/>
            <w:vMerge w:val="continue"/>
            <w:tcBorders>
              <w:tl2br w:val="nil"/>
              <w:tr2bl w:val="nil"/>
            </w:tcBorders>
            <w:vAlign w:val="center"/>
          </w:tcPr>
          <w:p w14:paraId="0CBF5466">
            <w:pPr>
              <w:ind w:left="-105" w:right="-105"/>
              <w:jc w:val="center"/>
              <w:rPr>
                <w:rFonts w:ascii="Times New Roman" w:hAnsi="Times New Roman"/>
                <w:color w:val="auto"/>
                <w:sz w:val="21"/>
                <w:szCs w:val="21"/>
                <w:highlight w:val="none"/>
                <w:lang w:val="zh-CN" w:bidi="zh-CN"/>
              </w:rPr>
            </w:pPr>
          </w:p>
        </w:tc>
        <w:tc>
          <w:tcPr>
            <w:tcW w:w="704" w:type="dxa"/>
            <w:tcBorders>
              <w:tl2br w:val="nil"/>
              <w:tr2bl w:val="nil"/>
            </w:tcBorders>
            <w:vAlign w:val="center"/>
          </w:tcPr>
          <w:p w14:paraId="093D2421">
            <w:pPr>
              <w:pStyle w:val="97"/>
              <w:numPr>
                <w:ilvl w:val="0"/>
                <w:numId w:val="13"/>
              </w:numPr>
              <w:ind w:left="-105" w:right="-105" w:firstLineChars="0"/>
              <w:jc w:val="center"/>
              <w:rPr>
                <w:rFonts w:eastAsia="宋体"/>
                <w:color w:val="auto"/>
                <w:kern w:val="0"/>
                <w:sz w:val="21"/>
                <w:szCs w:val="21"/>
                <w:highlight w:val="none"/>
                <w:lang w:val="zh-CN" w:bidi="zh-CN"/>
              </w:rPr>
            </w:pPr>
          </w:p>
        </w:tc>
        <w:tc>
          <w:tcPr>
            <w:tcW w:w="2131" w:type="dxa"/>
            <w:gridSpan w:val="3"/>
            <w:tcBorders>
              <w:tl2br w:val="nil"/>
              <w:tr2bl w:val="nil"/>
            </w:tcBorders>
            <w:shd w:val="clear" w:color="auto" w:fill="auto"/>
            <w:vAlign w:val="center"/>
          </w:tcPr>
          <w:p w14:paraId="27858CF7">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罗巷</w:t>
            </w:r>
          </w:p>
        </w:tc>
        <w:tc>
          <w:tcPr>
            <w:tcW w:w="1100" w:type="dxa"/>
            <w:gridSpan w:val="3"/>
            <w:tcBorders>
              <w:tl2br w:val="nil"/>
              <w:tr2bl w:val="nil"/>
            </w:tcBorders>
            <w:shd w:val="clear" w:color="auto" w:fill="auto"/>
            <w:vAlign w:val="center"/>
          </w:tcPr>
          <w:p w14:paraId="6ECD5B6A">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NE</w:t>
            </w:r>
          </w:p>
        </w:tc>
        <w:tc>
          <w:tcPr>
            <w:tcW w:w="1278" w:type="dxa"/>
            <w:gridSpan w:val="3"/>
            <w:tcBorders>
              <w:tl2br w:val="nil"/>
              <w:tr2bl w:val="nil"/>
            </w:tcBorders>
            <w:shd w:val="clear" w:color="auto" w:fill="auto"/>
            <w:vAlign w:val="center"/>
          </w:tcPr>
          <w:p w14:paraId="5BC1B0E1">
            <w:pPr>
              <w:ind w:left="-105" w:right="-105"/>
              <w:jc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2961</w:t>
            </w:r>
          </w:p>
        </w:tc>
        <w:tc>
          <w:tcPr>
            <w:tcW w:w="1238" w:type="dxa"/>
            <w:gridSpan w:val="3"/>
            <w:tcBorders>
              <w:tl2br w:val="nil"/>
              <w:tr2bl w:val="nil"/>
            </w:tcBorders>
            <w:shd w:val="clear" w:color="auto" w:fill="auto"/>
            <w:vAlign w:val="center"/>
          </w:tcPr>
          <w:p w14:paraId="37EE815A">
            <w:pPr>
              <w:ind w:left="-105" w:right="-105"/>
              <w:jc w:val="center"/>
              <w:rPr>
                <w:rFonts w:ascii="Times New Roman" w:hAnsi="Times New Roman"/>
                <w:color w:val="auto"/>
                <w:sz w:val="21"/>
                <w:szCs w:val="21"/>
                <w:highlight w:val="none"/>
                <w:lang w:val="zh-CN" w:bidi="zh-CN"/>
              </w:rPr>
            </w:pPr>
            <w:r>
              <w:rPr>
                <w:rFonts w:ascii="Times New Roman" w:hAnsi="Times New Roman"/>
                <w:color w:val="auto"/>
                <w:sz w:val="21"/>
                <w:szCs w:val="21"/>
                <w:highlight w:val="none"/>
              </w:rPr>
              <w:t>居住区</w:t>
            </w:r>
          </w:p>
        </w:tc>
        <w:tc>
          <w:tcPr>
            <w:tcW w:w="1748" w:type="dxa"/>
            <w:tcBorders>
              <w:tl2br w:val="nil"/>
              <w:tr2bl w:val="nil"/>
            </w:tcBorders>
            <w:shd w:val="clear" w:color="auto" w:fill="auto"/>
            <w:vAlign w:val="center"/>
          </w:tcPr>
          <w:p w14:paraId="674F9B2A">
            <w:pPr>
              <w:ind w:left="-105" w:right="-105"/>
              <w:jc w:val="center"/>
              <w:rPr>
                <w:rFonts w:ascii="Times New Roman" w:hAnsi="Times New Roman"/>
                <w:color w:val="auto"/>
                <w:sz w:val="21"/>
                <w:szCs w:val="21"/>
                <w:highlight w:val="none"/>
                <w:lang w:val="zh-CN" w:bidi="zh-CN"/>
              </w:rPr>
            </w:pPr>
            <w:r>
              <w:rPr>
                <w:rFonts w:hint="eastAsia" w:ascii="Times New Roman" w:hAnsi="Times New Roman"/>
                <w:color w:val="auto"/>
                <w:sz w:val="21"/>
                <w:szCs w:val="21"/>
                <w:highlight w:val="none"/>
              </w:rPr>
              <w:t>100</w:t>
            </w:r>
            <w:r>
              <w:rPr>
                <w:rFonts w:ascii="Times New Roman" w:hAnsi="Times New Roman"/>
                <w:color w:val="auto"/>
                <w:sz w:val="21"/>
                <w:szCs w:val="21"/>
                <w:highlight w:val="none"/>
              </w:rPr>
              <w:t>户/</w:t>
            </w:r>
            <w:r>
              <w:rPr>
                <w:rFonts w:hint="eastAsia" w:ascii="Times New Roman" w:hAnsi="Times New Roman"/>
                <w:color w:val="auto"/>
                <w:sz w:val="21"/>
                <w:szCs w:val="21"/>
                <w:highlight w:val="none"/>
              </w:rPr>
              <w:t>350</w:t>
            </w:r>
            <w:r>
              <w:rPr>
                <w:rFonts w:ascii="Times New Roman" w:hAnsi="Times New Roman"/>
                <w:color w:val="auto"/>
                <w:sz w:val="21"/>
                <w:szCs w:val="21"/>
                <w:highlight w:val="none"/>
              </w:rPr>
              <w:t>人</w:t>
            </w:r>
          </w:p>
        </w:tc>
      </w:tr>
      <w:tr w14:paraId="7AE7C884">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851" w:type="dxa"/>
            <w:vMerge w:val="continue"/>
            <w:tcBorders>
              <w:tl2br w:val="nil"/>
              <w:tr2bl w:val="nil"/>
            </w:tcBorders>
            <w:vAlign w:val="center"/>
          </w:tcPr>
          <w:p w14:paraId="26F88F93">
            <w:pPr>
              <w:ind w:left="-105" w:right="-105"/>
              <w:jc w:val="center"/>
              <w:rPr>
                <w:rFonts w:ascii="Times New Roman" w:hAnsi="Times New Roman"/>
                <w:color w:val="auto"/>
                <w:sz w:val="21"/>
                <w:szCs w:val="21"/>
                <w:highlight w:val="none"/>
                <w:lang w:val="zh-CN" w:bidi="zh-CN"/>
              </w:rPr>
            </w:pPr>
          </w:p>
        </w:tc>
        <w:tc>
          <w:tcPr>
            <w:tcW w:w="704" w:type="dxa"/>
            <w:tcBorders>
              <w:tl2br w:val="nil"/>
              <w:tr2bl w:val="nil"/>
            </w:tcBorders>
            <w:vAlign w:val="center"/>
          </w:tcPr>
          <w:p w14:paraId="382D31CC">
            <w:pPr>
              <w:pStyle w:val="97"/>
              <w:numPr>
                <w:ilvl w:val="0"/>
                <w:numId w:val="13"/>
              </w:numPr>
              <w:ind w:left="-105" w:right="-105" w:firstLineChars="0"/>
              <w:jc w:val="center"/>
              <w:rPr>
                <w:rFonts w:eastAsia="宋体"/>
                <w:color w:val="auto"/>
                <w:kern w:val="0"/>
                <w:sz w:val="21"/>
                <w:szCs w:val="21"/>
                <w:highlight w:val="none"/>
                <w:lang w:val="zh-CN" w:bidi="zh-CN"/>
              </w:rPr>
            </w:pPr>
          </w:p>
        </w:tc>
        <w:tc>
          <w:tcPr>
            <w:tcW w:w="2131" w:type="dxa"/>
            <w:gridSpan w:val="3"/>
            <w:tcBorders>
              <w:tl2br w:val="nil"/>
              <w:tr2bl w:val="nil"/>
            </w:tcBorders>
            <w:shd w:val="clear" w:color="auto" w:fill="auto"/>
            <w:vAlign w:val="center"/>
          </w:tcPr>
          <w:p w14:paraId="75CD65F3">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四房桥</w:t>
            </w:r>
          </w:p>
        </w:tc>
        <w:tc>
          <w:tcPr>
            <w:tcW w:w="1100" w:type="dxa"/>
            <w:gridSpan w:val="3"/>
            <w:tcBorders>
              <w:tl2br w:val="nil"/>
              <w:tr2bl w:val="nil"/>
            </w:tcBorders>
            <w:shd w:val="clear" w:color="auto" w:fill="auto"/>
            <w:vAlign w:val="center"/>
          </w:tcPr>
          <w:p w14:paraId="169267C3">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NE</w:t>
            </w:r>
          </w:p>
        </w:tc>
        <w:tc>
          <w:tcPr>
            <w:tcW w:w="1278" w:type="dxa"/>
            <w:gridSpan w:val="3"/>
            <w:tcBorders>
              <w:tl2br w:val="nil"/>
              <w:tr2bl w:val="nil"/>
            </w:tcBorders>
            <w:shd w:val="clear" w:color="auto" w:fill="auto"/>
            <w:vAlign w:val="center"/>
          </w:tcPr>
          <w:p w14:paraId="34C9CD04">
            <w:pPr>
              <w:ind w:left="-105" w:right="-105"/>
              <w:jc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3012</w:t>
            </w:r>
          </w:p>
        </w:tc>
        <w:tc>
          <w:tcPr>
            <w:tcW w:w="1238" w:type="dxa"/>
            <w:gridSpan w:val="3"/>
            <w:tcBorders>
              <w:tl2br w:val="nil"/>
              <w:tr2bl w:val="nil"/>
            </w:tcBorders>
            <w:shd w:val="clear" w:color="auto" w:fill="auto"/>
            <w:vAlign w:val="center"/>
          </w:tcPr>
          <w:p w14:paraId="55BB53D1">
            <w:pPr>
              <w:ind w:left="-105" w:right="-105"/>
              <w:jc w:val="center"/>
              <w:rPr>
                <w:rFonts w:ascii="Times New Roman" w:hAnsi="Times New Roman"/>
                <w:color w:val="auto"/>
                <w:sz w:val="21"/>
                <w:szCs w:val="21"/>
                <w:highlight w:val="none"/>
                <w:lang w:val="zh-CN" w:bidi="zh-CN"/>
              </w:rPr>
            </w:pPr>
            <w:r>
              <w:rPr>
                <w:rFonts w:ascii="Times New Roman" w:hAnsi="Times New Roman"/>
                <w:color w:val="auto"/>
                <w:sz w:val="21"/>
                <w:szCs w:val="21"/>
                <w:highlight w:val="none"/>
              </w:rPr>
              <w:t>居住区</w:t>
            </w:r>
          </w:p>
        </w:tc>
        <w:tc>
          <w:tcPr>
            <w:tcW w:w="1748" w:type="dxa"/>
            <w:tcBorders>
              <w:tl2br w:val="nil"/>
              <w:tr2bl w:val="nil"/>
            </w:tcBorders>
            <w:shd w:val="clear" w:color="auto" w:fill="auto"/>
            <w:vAlign w:val="center"/>
          </w:tcPr>
          <w:p w14:paraId="003BF982">
            <w:pPr>
              <w:ind w:left="-105" w:right="-105"/>
              <w:jc w:val="center"/>
              <w:rPr>
                <w:rFonts w:ascii="Times New Roman" w:hAnsi="Times New Roman"/>
                <w:color w:val="auto"/>
                <w:sz w:val="21"/>
                <w:szCs w:val="21"/>
                <w:highlight w:val="none"/>
                <w:lang w:val="zh-CN" w:bidi="zh-CN"/>
              </w:rPr>
            </w:pPr>
            <w:r>
              <w:rPr>
                <w:rFonts w:hint="eastAsia" w:ascii="Times New Roman" w:hAnsi="Times New Roman"/>
                <w:color w:val="auto"/>
                <w:sz w:val="21"/>
                <w:szCs w:val="21"/>
                <w:highlight w:val="none"/>
              </w:rPr>
              <w:t>120</w:t>
            </w:r>
            <w:r>
              <w:rPr>
                <w:rFonts w:ascii="Times New Roman" w:hAnsi="Times New Roman"/>
                <w:color w:val="auto"/>
                <w:sz w:val="21"/>
                <w:szCs w:val="21"/>
                <w:highlight w:val="none"/>
              </w:rPr>
              <w:t>户/</w:t>
            </w:r>
            <w:r>
              <w:rPr>
                <w:rFonts w:hint="eastAsia" w:ascii="Times New Roman" w:hAnsi="Times New Roman"/>
                <w:color w:val="auto"/>
                <w:sz w:val="21"/>
                <w:szCs w:val="21"/>
                <w:highlight w:val="none"/>
              </w:rPr>
              <w:t>420</w:t>
            </w:r>
            <w:r>
              <w:rPr>
                <w:rFonts w:ascii="Times New Roman" w:hAnsi="Times New Roman"/>
                <w:color w:val="auto"/>
                <w:sz w:val="21"/>
                <w:szCs w:val="21"/>
                <w:highlight w:val="none"/>
              </w:rPr>
              <w:t>人</w:t>
            </w:r>
          </w:p>
        </w:tc>
      </w:tr>
      <w:tr w14:paraId="20352883">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851" w:type="dxa"/>
            <w:vMerge w:val="continue"/>
            <w:tcBorders>
              <w:tl2br w:val="nil"/>
              <w:tr2bl w:val="nil"/>
            </w:tcBorders>
            <w:vAlign w:val="center"/>
          </w:tcPr>
          <w:p w14:paraId="418C3431">
            <w:pPr>
              <w:ind w:left="-105" w:right="-105"/>
              <w:jc w:val="center"/>
              <w:rPr>
                <w:rFonts w:ascii="Times New Roman" w:hAnsi="Times New Roman"/>
                <w:color w:val="auto"/>
                <w:sz w:val="21"/>
                <w:szCs w:val="21"/>
                <w:highlight w:val="none"/>
                <w:lang w:val="zh-CN" w:bidi="zh-CN"/>
              </w:rPr>
            </w:pPr>
          </w:p>
        </w:tc>
        <w:tc>
          <w:tcPr>
            <w:tcW w:w="704" w:type="dxa"/>
            <w:tcBorders>
              <w:tl2br w:val="nil"/>
              <w:tr2bl w:val="nil"/>
            </w:tcBorders>
            <w:vAlign w:val="center"/>
          </w:tcPr>
          <w:p w14:paraId="40210D3C">
            <w:pPr>
              <w:pStyle w:val="97"/>
              <w:numPr>
                <w:ilvl w:val="0"/>
                <w:numId w:val="13"/>
              </w:numPr>
              <w:ind w:left="-105" w:right="-105" w:firstLineChars="0"/>
              <w:jc w:val="center"/>
              <w:rPr>
                <w:rFonts w:eastAsia="宋体"/>
                <w:color w:val="auto"/>
                <w:kern w:val="0"/>
                <w:sz w:val="21"/>
                <w:szCs w:val="21"/>
                <w:highlight w:val="none"/>
                <w:lang w:val="zh-CN" w:bidi="zh-CN"/>
              </w:rPr>
            </w:pPr>
          </w:p>
        </w:tc>
        <w:tc>
          <w:tcPr>
            <w:tcW w:w="2131" w:type="dxa"/>
            <w:gridSpan w:val="3"/>
            <w:tcBorders>
              <w:tl2br w:val="nil"/>
              <w:tr2bl w:val="nil"/>
            </w:tcBorders>
            <w:shd w:val="clear" w:color="auto" w:fill="auto"/>
            <w:vAlign w:val="center"/>
          </w:tcPr>
          <w:p w14:paraId="3C753C74">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东房桥小学</w:t>
            </w:r>
          </w:p>
        </w:tc>
        <w:tc>
          <w:tcPr>
            <w:tcW w:w="1100" w:type="dxa"/>
            <w:gridSpan w:val="3"/>
            <w:tcBorders>
              <w:tl2br w:val="nil"/>
              <w:tr2bl w:val="nil"/>
            </w:tcBorders>
            <w:shd w:val="clear" w:color="auto" w:fill="auto"/>
            <w:vAlign w:val="center"/>
          </w:tcPr>
          <w:p w14:paraId="3DF6D64F">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N</w:t>
            </w:r>
          </w:p>
        </w:tc>
        <w:tc>
          <w:tcPr>
            <w:tcW w:w="1278" w:type="dxa"/>
            <w:gridSpan w:val="3"/>
            <w:tcBorders>
              <w:tl2br w:val="nil"/>
              <w:tr2bl w:val="nil"/>
            </w:tcBorders>
            <w:shd w:val="clear" w:color="auto" w:fill="auto"/>
            <w:vAlign w:val="center"/>
          </w:tcPr>
          <w:p w14:paraId="1BC1463A">
            <w:pPr>
              <w:ind w:left="-105" w:right="-105"/>
              <w:jc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3189</w:t>
            </w:r>
          </w:p>
        </w:tc>
        <w:tc>
          <w:tcPr>
            <w:tcW w:w="1238" w:type="dxa"/>
            <w:gridSpan w:val="3"/>
            <w:tcBorders>
              <w:tl2br w:val="nil"/>
              <w:tr2bl w:val="nil"/>
            </w:tcBorders>
            <w:shd w:val="clear" w:color="auto" w:fill="auto"/>
            <w:vAlign w:val="center"/>
          </w:tcPr>
          <w:p w14:paraId="34B41A54">
            <w:pPr>
              <w:ind w:left="-105" w:right="-105"/>
              <w:jc w:val="center"/>
              <w:rPr>
                <w:rFonts w:ascii="Times New Roman" w:hAnsi="Times New Roman"/>
                <w:color w:val="auto"/>
                <w:sz w:val="21"/>
                <w:szCs w:val="21"/>
                <w:highlight w:val="none"/>
                <w:lang w:val="zh-CN" w:bidi="zh-CN"/>
              </w:rPr>
            </w:pPr>
            <w:r>
              <w:rPr>
                <w:rFonts w:hint="eastAsia" w:ascii="Times New Roman" w:hAnsi="Times New Roman"/>
                <w:color w:val="auto"/>
                <w:sz w:val="21"/>
                <w:szCs w:val="21"/>
                <w:highlight w:val="none"/>
              </w:rPr>
              <w:t>文化</w:t>
            </w:r>
            <w:r>
              <w:rPr>
                <w:rFonts w:ascii="Times New Roman" w:hAnsi="Times New Roman"/>
                <w:color w:val="auto"/>
                <w:sz w:val="21"/>
                <w:szCs w:val="21"/>
                <w:highlight w:val="none"/>
              </w:rPr>
              <w:t>区</w:t>
            </w:r>
          </w:p>
        </w:tc>
        <w:tc>
          <w:tcPr>
            <w:tcW w:w="1748" w:type="dxa"/>
            <w:tcBorders>
              <w:tl2br w:val="nil"/>
              <w:tr2bl w:val="nil"/>
            </w:tcBorders>
            <w:shd w:val="clear" w:color="auto" w:fill="auto"/>
            <w:vAlign w:val="center"/>
          </w:tcPr>
          <w:p w14:paraId="73C43DD9">
            <w:pPr>
              <w:ind w:left="-105" w:right="-105"/>
              <w:jc w:val="center"/>
              <w:rPr>
                <w:rFonts w:ascii="Times New Roman" w:hAnsi="Times New Roman"/>
                <w:color w:val="auto"/>
                <w:sz w:val="21"/>
                <w:szCs w:val="21"/>
                <w:highlight w:val="none"/>
                <w:lang w:val="zh-CN" w:bidi="zh-CN"/>
              </w:rPr>
            </w:pPr>
            <w:r>
              <w:rPr>
                <w:rFonts w:hint="eastAsia" w:ascii="Times New Roman" w:hAnsi="Times New Roman"/>
                <w:color w:val="auto"/>
                <w:sz w:val="21"/>
                <w:szCs w:val="21"/>
                <w:highlight w:val="none"/>
              </w:rPr>
              <w:t>1200</w:t>
            </w:r>
            <w:r>
              <w:rPr>
                <w:rFonts w:ascii="Times New Roman" w:hAnsi="Times New Roman"/>
                <w:color w:val="auto"/>
                <w:sz w:val="21"/>
                <w:szCs w:val="21"/>
                <w:highlight w:val="none"/>
              </w:rPr>
              <w:t>人</w:t>
            </w:r>
          </w:p>
        </w:tc>
      </w:tr>
      <w:tr w14:paraId="5F73B0FF">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851" w:type="dxa"/>
            <w:vMerge w:val="continue"/>
            <w:tcBorders>
              <w:tl2br w:val="nil"/>
              <w:tr2bl w:val="nil"/>
            </w:tcBorders>
            <w:vAlign w:val="center"/>
          </w:tcPr>
          <w:p w14:paraId="1EA5FE00">
            <w:pPr>
              <w:ind w:left="-105" w:right="-105"/>
              <w:jc w:val="center"/>
              <w:rPr>
                <w:rFonts w:ascii="Times New Roman" w:hAnsi="Times New Roman"/>
                <w:color w:val="auto"/>
                <w:sz w:val="21"/>
                <w:szCs w:val="21"/>
                <w:highlight w:val="none"/>
                <w:lang w:val="zh-CN" w:bidi="zh-CN"/>
              </w:rPr>
            </w:pPr>
          </w:p>
        </w:tc>
        <w:tc>
          <w:tcPr>
            <w:tcW w:w="704" w:type="dxa"/>
            <w:tcBorders>
              <w:tl2br w:val="nil"/>
              <w:tr2bl w:val="nil"/>
            </w:tcBorders>
            <w:vAlign w:val="center"/>
          </w:tcPr>
          <w:p w14:paraId="74B846CE">
            <w:pPr>
              <w:pStyle w:val="97"/>
              <w:numPr>
                <w:ilvl w:val="0"/>
                <w:numId w:val="13"/>
              </w:numPr>
              <w:ind w:left="-105" w:right="-105" w:firstLineChars="0"/>
              <w:jc w:val="center"/>
              <w:rPr>
                <w:rFonts w:eastAsia="宋体"/>
                <w:color w:val="auto"/>
                <w:kern w:val="0"/>
                <w:sz w:val="21"/>
                <w:szCs w:val="21"/>
                <w:highlight w:val="none"/>
                <w:lang w:val="zh-CN" w:bidi="zh-CN"/>
              </w:rPr>
            </w:pPr>
          </w:p>
        </w:tc>
        <w:tc>
          <w:tcPr>
            <w:tcW w:w="2131" w:type="dxa"/>
            <w:gridSpan w:val="3"/>
            <w:tcBorders>
              <w:tl2br w:val="nil"/>
              <w:tr2bl w:val="nil"/>
            </w:tcBorders>
            <w:shd w:val="clear" w:color="auto" w:fill="auto"/>
            <w:vAlign w:val="center"/>
          </w:tcPr>
          <w:p w14:paraId="733254C2">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东房桥</w:t>
            </w:r>
          </w:p>
        </w:tc>
        <w:tc>
          <w:tcPr>
            <w:tcW w:w="1100" w:type="dxa"/>
            <w:gridSpan w:val="3"/>
            <w:tcBorders>
              <w:tl2br w:val="nil"/>
              <w:tr2bl w:val="nil"/>
            </w:tcBorders>
            <w:shd w:val="clear" w:color="auto" w:fill="auto"/>
            <w:vAlign w:val="center"/>
          </w:tcPr>
          <w:p w14:paraId="71B01AC0">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NW</w:t>
            </w:r>
          </w:p>
        </w:tc>
        <w:tc>
          <w:tcPr>
            <w:tcW w:w="1278" w:type="dxa"/>
            <w:gridSpan w:val="3"/>
            <w:tcBorders>
              <w:tl2br w:val="nil"/>
              <w:tr2bl w:val="nil"/>
            </w:tcBorders>
            <w:shd w:val="clear" w:color="auto" w:fill="auto"/>
            <w:vAlign w:val="center"/>
          </w:tcPr>
          <w:p w14:paraId="03EB47ED">
            <w:pPr>
              <w:ind w:left="-105" w:right="-105"/>
              <w:jc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3200</w:t>
            </w:r>
          </w:p>
        </w:tc>
        <w:tc>
          <w:tcPr>
            <w:tcW w:w="1238" w:type="dxa"/>
            <w:gridSpan w:val="3"/>
            <w:tcBorders>
              <w:tl2br w:val="nil"/>
              <w:tr2bl w:val="nil"/>
            </w:tcBorders>
            <w:shd w:val="clear" w:color="auto" w:fill="auto"/>
            <w:vAlign w:val="center"/>
          </w:tcPr>
          <w:p w14:paraId="090E59C2">
            <w:pPr>
              <w:ind w:left="-105" w:right="-105"/>
              <w:jc w:val="center"/>
              <w:rPr>
                <w:rFonts w:ascii="Times New Roman" w:hAnsi="Times New Roman"/>
                <w:color w:val="auto"/>
                <w:sz w:val="21"/>
                <w:szCs w:val="21"/>
                <w:highlight w:val="none"/>
                <w:lang w:val="zh-CN" w:bidi="zh-CN"/>
              </w:rPr>
            </w:pPr>
            <w:r>
              <w:rPr>
                <w:rFonts w:ascii="Times New Roman" w:hAnsi="Times New Roman"/>
                <w:color w:val="auto"/>
                <w:sz w:val="21"/>
                <w:szCs w:val="21"/>
                <w:highlight w:val="none"/>
              </w:rPr>
              <w:t>居住区</w:t>
            </w:r>
          </w:p>
        </w:tc>
        <w:tc>
          <w:tcPr>
            <w:tcW w:w="1748" w:type="dxa"/>
            <w:tcBorders>
              <w:tl2br w:val="nil"/>
              <w:tr2bl w:val="nil"/>
            </w:tcBorders>
            <w:shd w:val="clear" w:color="auto" w:fill="auto"/>
            <w:vAlign w:val="center"/>
          </w:tcPr>
          <w:p w14:paraId="5ABB4706">
            <w:pPr>
              <w:ind w:left="-105" w:right="-105"/>
              <w:jc w:val="center"/>
              <w:rPr>
                <w:rFonts w:ascii="Times New Roman" w:hAnsi="Times New Roman"/>
                <w:color w:val="auto"/>
                <w:sz w:val="21"/>
                <w:szCs w:val="21"/>
                <w:highlight w:val="none"/>
                <w:lang w:val="zh-CN" w:bidi="zh-CN"/>
              </w:rPr>
            </w:pPr>
            <w:r>
              <w:rPr>
                <w:rFonts w:hint="eastAsia" w:ascii="Times New Roman" w:hAnsi="Times New Roman"/>
                <w:color w:val="auto"/>
                <w:sz w:val="21"/>
                <w:szCs w:val="21"/>
                <w:highlight w:val="none"/>
              </w:rPr>
              <w:t>120</w:t>
            </w:r>
            <w:r>
              <w:rPr>
                <w:rFonts w:ascii="Times New Roman" w:hAnsi="Times New Roman"/>
                <w:color w:val="auto"/>
                <w:sz w:val="21"/>
                <w:szCs w:val="21"/>
                <w:highlight w:val="none"/>
              </w:rPr>
              <w:t>户/</w:t>
            </w:r>
            <w:r>
              <w:rPr>
                <w:rFonts w:hint="eastAsia" w:ascii="Times New Roman" w:hAnsi="Times New Roman"/>
                <w:color w:val="auto"/>
                <w:sz w:val="21"/>
                <w:szCs w:val="21"/>
                <w:highlight w:val="none"/>
              </w:rPr>
              <w:t>420</w:t>
            </w:r>
            <w:r>
              <w:rPr>
                <w:rFonts w:ascii="Times New Roman" w:hAnsi="Times New Roman"/>
                <w:color w:val="auto"/>
                <w:sz w:val="21"/>
                <w:szCs w:val="21"/>
                <w:highlight w:val="none"/>
              </w:rPr>
              <w:t>人</w:t>
            </w:r>
          </w:p>
        </w:tc>
      </w:tr>
      <w:tr w14:paraId="4B449F1C">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851" w:type="dxa"/>
            <w:vMerge w:val="continue"/>
            <w:tcBorders>
              <w:tl2br w:val="nil"/>
              <w:tr2bl w:val="nil"/>
            </w:tcBorders>
            <w:vAlign w:val="center"/>
          </w:tcPr>
          <w:p w14:paraId="6CC94C54">
            <w:pPr>
              <w:ind w:left="-105" w:right="-105"/>
              <w:jc w:val="center"/>
              <w:rPr>
                <w:rFonts w:ascii="Times New Roman" w:hAnsi="Times New Roman"/>
                <w:color w:val="auto"/>
                <w:sz w:val="21"/>
                <w:szCs w:val="21"/>
                <w:highlight w:val="none"/>
                <w:lang w:val="zh-CN" w:bidi="zh-CN"/>
              </w:rPr>
            </w:pPr>
          </w:p>
        </w:tc>
        <w:tc>
          <w:tcPr>
            <w:tcW w:w="704" w:type="dxa"/>
            <w:tcBorders>
              <w:tl2br w:val="nil"/>
              <w:tr2bl w:val="nil"/>
            </w:tcBorders>
            <w:vAlign w:val="center"/>
          </w:tcPr>
          <w:p w14:paraId="31FA229E">
            <w:pPr>
              <w:pStyle w:val="97"/>
              <w:numPr>
                <w:ilvl w:val="0"/>
                <w:numId w:val="13"/>
              </w:numPr>
              <w:ind w:left="-105" w:right="-105" w:firstLineChars="0"/>
              <w:jc w:val="center"/>
              <w:rPr>
                <w:rFonts w:eastAsia="宋体"/>
                <w:color w:val="auto"/>
                <w:kern w:val="0"/>
                <w:sz w:val="21"/>
                <w:szCs w:val="21"/>
                <w:highlight w:val="none"/>
                <w:lang w:val="zh-CN" w:bidi="zh-CN"/>
              </w:rPr>
            </w:pPr>
          </w:p>
        </w:tc>
        <w:tc>
          <w:tcPr>
            <w:tcW w:w="2131" w:type="dxa"/>
            <w:gridSpan w:val="3"/>
            <w:tcBorders>
              <w:tl2br w:val="nil"/>
              <w:tr2bl w:val="nil"/>
            </w:tcBorders>
            <w:shd w:val="clear" w:color="auto" w:fill="auto"/>
            <w:vAlign w:val="center"/>
          </w:tcPr>
          <w:p w14:paraId="15F3C731">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斗西村</w:t>
            </w:r>
          </w:p>
        </w:tc>
        <w:tc>
          <w:tcPr>
            <w:tcW w:w="1100" w:type="dxa"/>
            <w:gridSpan w:val="3"/>
            <w:tcBorders>
              <w:tl2br w:val="nil"/>
              <w:tr2bl w:val="nil"/>
            </w:tcBorders>
            <w:shd w:val="clear" w:color="auto" w:fill="auto"/>
            <w:vAlign w:val="center"/>
          </w:tcPr>
          <w:p w14:paraId="4BF96F42">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NW</w:t>
            </w:r>
          </w:p>
        </w:tc>
        <w:tc>
          <w:tcPr>
            <w:tcW w:w="1278" w:type="dxa"/>
            <w:gridSpan w:val="3"/>
            <w:tcBorders>
              <w:tl2br w:val="nil"/>
              <w:tr2bl w:val="nil"/>
            </w:tcBorders>
            <w:shd w:val="clear" w:color="auto" w:fill="auto"/>
            <w:vAlign w:val="center"/>
          </w:tcPr>
          <w:p w14:paraId="7554E8A4">
            <w:pPr>
              <w:ind w:left="-105" w:right="-105"/>
              <w:jc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3390</w:t>
            </w:r>
          </w:p>
        </w:tc>
        <w:tc>
          <w:tcPr>
            <w:tcW w:w="1238" w:type="dxa"/>
            <w:gridSpan w:val="3"/>
            <w:tcBorders>
              <w:tl2br w:val="nil"/>
              <w:tr2bl w:val="nil"/>
            </w:tcBorders>
            <w:shd w:val="clear" w:color="auto" w:fill="auto"/>
            <w:vAlign w:val="center"/>
          </w:tcPr>
          <w:p w14:paraId="50A14B94">
            <w:pPr>
              <w:ind w:left="-105" w:right="-105"/>
              <w:jc w:val="center"/>
              <w:rPr>
                <w:rFonts w:ascii="Times New Roman" w:hAnsi="Times New Roman"/>
                <w:color w:val="auto"/>
                <w:sz w:val="21"/>
                <w:szCs w:val="21"/>
                <w:highlight w:val="none"/>
                <w:lang w:val="zh-CN" w:bidi="zh-CN"/>
              </w:rPr>
            </w:pPr>
            <w:r>
              <w:rPr>
                <w:rFonts w:ascii="Times New Roman" w:hAnsi="Times New Roman"/>
                <w:color w:val="auto"/>
                <w:sz w:val="21"/>
                <w:szCs w:val="21"/>
                <w:highlight w:val="none"/>
              </w:rPr>
              <w:t>居住区</w:t>
            </w:r>
          </w:p>
        </w:tc>
        <w:tc>
          <w:tcPr>
            <w:tcW w:w="1748" w:type="dxa"/>
            <w:tcBorders>
              <w:tl2br w:val="nil"/>
              <w:tr2bl w:val="nil"/>
            </w:tcBorders>
            <w:shd w:val="clear" w:color="auto" w:fill="auto"/>
            <w:vAlign w:val="center"/>
          </w:tcPr>
          <w:p w14:paraId="20F3B8D5">
            <w:pPr>
              <w:ind w:left="-105" w:right="-105"/>
              <w:jc w:val="center"/>
              <w:rPr>
                <w:rFonts w:ascii="Times New Roman" w:hAnsi="Times New Roman"/>
                <w:color w:val="auto"/>
                <w:sz w:val="21"/>
                <w:szCs w:val="21"/>
                <w:highlight w:val="none"/>
                <w:lang w:val="zh-CN" w:bidi="zh-CN"/>
              </w:rPr>
            </w:pPr>
            <w:r>
              <w:rPr>
                <w:rFonts w:hint="eastAsia" w:ascii="Times New Roman" w:hAnsi="Times New Roman"/>
                <w:color w:val="auto"/>
                <w:sz w:val="21"/>
                <w:szCs w:val="21"/>
                <w:highlight w:val="none"/>
              </w:rPr>
              <w:t>120</w:t>
            </w:r>
            <w:r>
              <w:rPr>
                <w:rFonts w:ascii="Times New Roman" w:hAnsi="Times New Roman"/>
                <w:color w:val="auto"/>
                <w:sz w:val="21"/>
                <w:szCs w:val="21"/>
                <w:highlight w:val="none"/>
              </w:rPr>
              <w:t>户/</w:t>
            </w:r>
            <w:r>
              <w:rPr>
                <w:rFonts w:hint="eastAsia" w:ascii="Times New Roman" w:hAnsi="Times New Roman"/>
                <w:color w:val="auto"/>
                <w:sz w:val="21"/>
                <w:szCs w:val="21"/>
                <w:highlight w:val="none"/>
              </w:rPr>
              <w:t>420</w:t>
            </w:r>
            <w:r>
              <w:rPr>
                <w:rFonts w:ascii="Times New Roman" w:hAnsi="Times New Roman"/>
                <w:color w:val="auto"/>
                <w:sz w:val="21"/>
                <w:szCs w:val="21"/>
                <w:highlight w:val="none"/>
              </w:rPr>
              <w:t>人</w:t>
            </w:r>
          </w:p>
        </w:tc>
      </w:tr>
      <w:tr w14:paraId="70FAB7B2">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851" w:type="dxa"/>
            <w:vMerge w:val="continue"/>
            <w:tcBorders>
              <w:tl2br w:val="nil"/>
              <w:tr2bl w:val="nil"/>
            </w:tcBorders>
            <w:vAlign w:val="center"/>
          </w:tcPr>
          <w:p w14:paraId="3BCB7831">
            <w:pPr>
              <w:ind w:left="-105" w:right="-105"/>
              <w:jc w:val="center"/>
              <w:rPr>
                <w:rFonts w:ascii="Times New Roman" w:hAnsi="Times New Roman"/>
                <w:color w:val="auto"/>
                <w:sz w:val="21"/>
                <w:szCs w:val="21"/>
                <w:highlight w:val="none"/>
                <w:lang w:val="zh-CN" w:bidi="zh-CN"/>
              </w:rPr>
            </w:pPr>
          </w:p>
        </w:tc>
        <w:tc>
          <w:tcPr>
            <w:tcW w:w="704" w:type="dxa"/>
            <w:tcBorders>
              <w:tl2br w:val="nil"/>
              <w:tr2bl w:val="nil"/>
            </w:tcBorders>
            <w:vAlign w:val="center"/>
          </w:tcPr>
          <w:p w14:paraId="5FC07A28">
            <w:pPr>
              <w:pStyle w:val="97"/>
              <w:numPr>
                <w:ilvl w:val="0"/>
                <w:numId w:val="13"/>
              </w:numPr>
              <w:ind w:left="-105" w:right="-105" w:firstLineChars="0"/>
              <w:jc w:val="center"/>
              <w:rPr>
                <w:rFonts w:eastAsia="宋体"/>
                <w:color w:val="auto"/>
                <w:kern w:val="0"/>
                <w:sz w:val="21"/>
                <w:szCs w:val="21"/>
                <w:highlight w:val="none"/>
                <w:lang w:val="zh-CN" w:bidi="zh-CN"/>
              </w:rPr>
            </w:pPr>
          </w:p>
        </w:tc>
        <w:tc>
          <w:tcPr>
            <w:tcW w:w="2131" w:type="dxa"/>
            <w:gridSpan w:val="3"/>
            <w:tcBorders>
              <w:tl2br w:val="nil"/>
              <w:tr2bl w:val="nil"/>
            </w:tcBorders>
            <w:shd w:val="clear" w:color="auto" w:fill="auto"/>
            <w:vAlign w:val="center"/>
          </w:tcPr>
          <w:p w14:paraId="449A5353">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火烧场</w:t>
            </w:r>
          </w:p>
        </w:tc>
        <w:tc>
          <w:tcPr>
            <w:tcW w:w="1100" w:type="dxa"/>
            <w:gridSpan w:val="3"/>
            <w:tcBorders>
              <w:tl2br w:val="nil"/>
              <w:tr2bl w:val="nil"/>
            </w:tcBorders>
            <w:shd w:val="clear" w:color="auto" w:fill="auto"/>
            <w:vAlign w:val="center"/>
          </w:tcPr>
          <w:p w14:paraId="1F416332">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NW</w:t>
            </w:r>
          </w:p>
        </w:tc>
        <w:tc>
          <w:tcPr>
            <w:tcW w:w="1278" w:type="dxa"/>
            <w:gridSpan w:val="3"/>
            <w:tcBorders>
              <w:tl2br w:val="nil"/>
              <w:tr2bl w:val="nil"/>
            </w:tcBorders>
            <w:shd w:val="clear" w:color="auto" w:fill="auto"/>
            <w:vAlign w:val="center"/>
          </w:tcPr>
          <w:p w14:paraId="51A481E8">
            <w:pPr>
              <w:ind w:left="-105" w:right="-105"/>
              <w:jc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3791</w:t>
            </w:r>
          </w:p>
        </w:tc>
        <w:tc>
          <w:tcPr>
            <w:tcW w:w="1238" w:type="dxa"/>
            <w:gridSpan w:val="3"/>
            <w:tcBorders>
              <w:tl2br w:val="nil"/>
              <w:tr2bl w:val="nil"/>
            </w:tcBorders>
            <w:shd w:val="clear" w:color="auto" w:fill="auto"/>
            <w:vAlign w:val="center"/>
          </w:tcPr>
          <w:p w14:paraId="7752D2DD">
            <w:pPr>
              <w:ind w:left="-105" w:right="-105"/>
              <w:jc w:val="center"/>
              <w:rPr>
                <w:rFonts w:ascii="Times New Roman" w:hAnsi="Times New Roman"/>
                <w:color w:val="auto"/>
                <w:sz w:val="21"/>
                <w:szCs w:val="21"/>
                <w:highlight w:val="none"/>
                <w:lang w:val="zh-CN" w:bidi="zh-CN"/>
              </w:rPr>
            </w:pPr>
            <w:r>
              <w:rPr>
                <w:rFonts w:ascii="Times New Roman" w:hAnsi="Times New Roman"/>
                <w:color w:val="auto"/>
                <w:sz w:val="21"/>
                <w:szCs w:val="21"/>
                <w:highlight w:val="none"/>
              </w:rPr>
              <w:t>居住区</w:t>
            </w:r>
          </w:p>
        </w:tc>
        <w:tc>
          <w:tcPr>
            <w:tcW w:w="1748" w:type="dxa"/>
            <w:tcBorders>
              <w:tl2br w:val="nil"/>
              <w:tr2bl w:val="nil"/>
            </w:tcBorders>
            <w:shd w:val="clear" w:color="auto" w:fill="auto"/>
            <w:vAlign w:val="center"/>
          </w:tcPr>
          <w:p w14:paraId="25E8CCF3">
            <w:pPr>
              <w:ind w:left="-105" w:right="-105"/>
              <w:jc w:val="center"/>
              <w:rPr>
                <w:rFonts w:ascii="Times New Roman" w:hAnsi="Times New Roman"/>
                <w:color w:val="auto"/>
                <w:sz w:val="21"/>
                <w:szCs w:val="21"/>
                <w:highlight w:val="none"/>
                <w:lang w:val="zh-CN" w:bidi="zh-CN"/>
              </w:rPr>
            </w:pPr>
            <w:r>
              <w:rPr>
                <w:rFonts w:hint="eastAsia" w:ascii="Times New Roman" w:hAnsi="Times New Roman"/>
                <w:color w:val="auto"/>
                <w:sz w:val="21"/>
                <w:szCs w:val="21"/>
                <w:highlight w:val="none"/>
              </w:rPr>
              <w:t>10</w:t>
            </w:r>
            <w:r>
              <w:rPr>
                <w:rFonts w:ascii="Times New Roman" w:hAnsi="Times New Roman"/>
                <w:color w:val="auto"/>
                <w:sz w:val="21"/>
                <w:szCs w:val="21"/>
                <w:highlight w:val="none"/>
              </w:rPr>
              <w:t>户/</w:t>
            </w:r>
            <w:r>
              <w:rPr>
                <w:rFonts w:hint="eastAsia" w:ascii="Times New Roman" w:hAnsi="Times New Roman"/>
                <w:color w:val="auto"/>
                <w:sz w:val="21"/>
                <w:szCs w:val="21"/>
                <w:highlight w:val="none"/>
              </w:rPr>
              <w:t>35</w:t>
            </w:r>
            <w:r>
              <w:rPr>
                <w:rFonts w:ascii="Times New Roman" w:hAnsi="Times New Roman"/>
                <w:color w:val="auto"/>
                <w:sz w:val="21"/>
                <w:szCs w:val="21"/>
                <w:highlight w:val="none"/>
              </w:rPr>
              <w:t>人</w:t>
            </w:r>
          </w:p>
        </w:tc>
      </w:tr>
      <w:tr w14:paraId="3E1F88BD">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851" w:type="dxa"/>
            <w:vMerge w:val="continue"/>
            <w:tcBorders>
              <w:tl2br w:val="nil"/>
              <w:tr2bl w:val="nil"/>
            </w:tcBorders>
            <w:vAlign w:val="center"/>
          </w:tcPr>
          <w:p w14:paraId="09B851F5">
            <w:pPr>
              <w:ind w:left="-105" w:right="-105"/>
              <w:jc w:val="center"/>
              <w:rPr>
                <w:rFonts w:ascii="Times New Roman" w:hAnsi="Times New Roman"/>
                <w:color w:val="auto"/>
                <w:sz w:val="21"/>
                <w:szCs w:val="21"/>
                <w:highlight w:val="none"/>
                <w:lang w:val="zh-CN" w:bidi="zh-CN"/>
              </w:rPr>
            </w:pPr>
          </w:p>
        </w:tc>
        <w:tc>
          <w:tcPr>
            <w:tcW w:w="704" w:type="dxa"/>
            <w:tcBorders>
              <w:tl2br w:val="nil"/>
              <w:tr2bl w:val="nil"/>
            </w:tcBorders>
            <w:vAlign w:val="center"/>
          </w:tcPr>
          <w:p w14:paraId="407B9D22">
            <w:pPr>
              <w:pStyle w:val="97"/>
              <w:numPr>
                <w:ilvl w:val="0"/>
                <w:numId w:val="13"/>
              </w:numPr>
              <w:ind w:left="-105" w:right="-105" w:firstLineChars="0"/>
              <w:jc w:val="center"/>
              <w:rPr>
                <w:rFonts w:eastAsia="宋体"/>
                <w:color w:val="auto"/>
                <w:kern w:val="0"/>
                <w:sz w:val="21"/>
                <w:szCs w:val="21"/>
                <w:highlight w:val="none"/>
                <w:lang w:val="zh-CN" w:bidi="zh-CN"/>
              </w:rPr>
            </w:pPr>
          </w:p>
        </w:tc>
        <w:tc>
          <w:tcPr>
            <w:tcW w:w="2131" w:type="dxa"/>
            <w:gridSpan w:val="3"/>
            <w:tcBorders>
              <w:tl2br w:val="nil"/>
              <w:tr2bl w:val="nil"/>
            </w:tcBorders>
            <w:shd w:val="clear" w:color="auto" w:fill="auto"/>
            <w:vAlign w:val="center"/>
          </w:tcPr>
          <w:p w14:paraId="5A798418">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西庄</w:t>
            </w:r>
          </w:p>
        </w:tc>
        <w:tc>
          <w:tcPr>
            <w:tcW w:w="1100" w:type="dxa"/>
            <w:gridSpan w:val="3"/>
            <w:tcBorders>
              <w:tl2br w:val="nil"/>
              <w:tr2bl w:val="nil"/>
            </w:tcBorders>
            <w:shd w:val="clear" w:color="auto" w:fill="auto"/>
            <w:vAlign w:val="center"/>
          </w:tcPr>
          <w:p w14:paraId="2ABC0099">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NW</w:t>
            </w:r>
          </w:p>
        </w:tc>
        <w:tc>
          <w:tcPr>
            <w:tcW w:w="1278" w:type="dxa"/>
            <w:gridSpan w:val="3"/>
            <w:tcBorders>
              <w:tl2br w:val="nil"/>
              <w:tr2bl w:val="nil"/>
            </w:tcBorders>
            <w:shd w:val="clear" w:color="auto" w:fill="auto"/>
            <w:vAlign w:val="center"/>
          </w:tcPr>
          <w:p w14:paraId="50CB3812">
            <w:pPr>
              <w:ind w:left="-105" w:right="-105"/>
              <w:jc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4137</w:t>
            </w:r>
          </w:p>
        </w:tc>
        <w:tc>
          <w:tcPr>
            <w:tcW w:w="1238" w:type="dxa"/>
            <w:gridSpan w:val="3"/>
            <w:tcBorders>
              <w:tl2br w:val="nil"/>
              <w:tr2bl w:val="nil"/>
            </w:tcBorders>
            <w:shd w:val="clear" w:color="auto" w:fill="auto"/>
            <w:vAlign w:val="center"/>
          </w:tcPr>
          <w:p w14:paraId="55314E3A">
            <w:pPr>
              <w:ind w:left="-105" w:right="-105"/>
              <w:jc w:val="center"/>
              <w:rPr>
                <w:rFonts w:ascii="Times New Roman" w:hAnsi="Times New Roman"/>
                <w:color w:val="auto"/>
                <w:sz w:val="21"/>
                <w:szCs w:val="21"/>
                <w:highlight w:val="none"/>
                <w:lang w:val="zh-CN" w:bidi="zh-CN"/>
              </w:rPr>
            </w:pPr>
            <w:r>
              <w:rPr>
                <w:rFonts w:ascii="Times New Roman" w:hAnsi="Times New Roman"/>
                <w:color w:val="auto"/>
                <w:sz w:val="21"/>
                <w:szCs w:val="21"/>
                <w:highlight w:val="none"/>
              </w:rPr>
              <w:t>居住区</w:t>
            </w:r>
          </w:p>
        </w:tc>
        <w:tc>
          <w:tcPr>
            <w:tcW w:w="1748" w:type="dxa"/>
            <w:tcBorders>
              <w:tl2br w:val="nil"/>
              <w:tr2bl w:val="nil"/>
            </w:tcBorders>
            <w:shd w:val="clear" w:color="auto" w:fill="auto"/>
            <w:vAlign w:val="center"/>
          </w:tcPr>
          <w:p w14:paraId="1F8ACAC9">
            <w:pPr>
              <w:ind w:left="-105" w:right="-105"/>
              <w:jc w:val="center"/>
              <w:rPr>
                <w:rFonts w:ascii="Times New Roman" w:hAnsi="Times New Roman"/>
                <w:color w:val="auto"/>
                <w:sz w:val="21"/>
                <w:szCs w:val="21"/>
                <w:highlight w:val="none"/>
                <w:lang w:val="zh-CN" w:bidi="zh-CN"/>
              </w:rPr>
            </w:pPr>
            <w:r>
              <w:rPr>
                <w:rFonts w:hint="eastAsia" w:ascii="Times New Roman" w:hAnsi="Times New Roman"/>
                <w:color w:val="auto"/>
                <w:sz w:val="21"/>
                <w:szCs w:val="21"/>
                <w:highlight w:val="none"/>
              </w:rPr>
              <w:t>50</w:t>
            </w:r>
            <w:r>
              <w:rPr>
                <w:rFonts w:ascii="Times New Roman" w:hAnsi="Times New Roman"/>
                <w:color w:val="auto"/>
                <w:sz w:val="21"/>
                <w:szCs w:val="21"/>
                <w:highlight w:val="none"/>
              </w:rPr>
              <w:t>户/</w:t>
            </w:r>
            <w:r>
              <w:rPr>
                <w:rFonts w:hint="eastAsia" w:ascii="Times New Roman" w:hAnsi="Times New Roman"/>
                <w:color w:val="auto"/>
                <w:sz w:val="21"/>
                <w:szCs w:val="21"/>
                <w:highlight w:val="none"/>
              </w:rPr>
              <w:t>175</w:t>
            </w:r>
            <w:r>
              <w:rPr>
                <w:rFonts w:ascii="Times New Roman" w:hAnsi="Times New Roman"/>
                <w:color w:val="auto"/>
                <w:sz w:val="21"/>
                <w:szCs w:val="21"/>
                <w:highlight w:val="none"/>
              </w:rPr>
              <w:t>人</w:t>
            </w:r>
          </w:p>
        </w:tc>
      </w:tr>
      <w:tr w14:paraId="4B45A30A">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851" w:type="dxa"/>
            <w:vMerge w:val="continue"/>
            <w:tcBorders>
              <w:tl2br w:val="nil"/>
              <w:tr2bl w:val="nil"/>
            </w:tcBorders>
            <w:vAlign w:val="center"/>
          </w:tcPr>
          <w:p w14:paraId="69329188">
            <w:pPr>
              <w:ind w:left="-105" w:right="-105"/>
              <w:jc w:val="center"/>
              <w:rPr>
                <w:rFonts w:ascii="Times New Roman" w:hAnsi="Times New Roman"/>
                <w:color w:val="auto"/>
                <w:sz w:val="21"/>
                <w:szCs w:val="21"/>
                <w:highlight w:val="none"/>
                <w:lang w:val="zh-CN" w:bidi="zh-CN"/>
              </w:rPr>
            </w:pPr>
          </w:p>
        </w:tc>
        <w:tc>
          <w:tcPr>
            <w:tcW w:w="704" w:type="dxa"/>
            <w:tcBorders>
              <w:tl2br w:val="nil"/>
              <w:tr2bl w:val="nil"/>
            </w:tcBorders>
            <w:vAlign w:val="center"/>
          </w:tcPr>
          <w:p w14:paraId="68595C07">
            <w:pPr>
              <w:pStyle w:val="97"/>
              <w:numPr>
                <w:ilvl w:val="0"/>
                <w:numId w:val="13"/>
              </w:numPr>
              <w:ind w:left="-105" w:right="-105" w:firstLineChars="0"/>
              <w:jc w:val="center"/>
              <w:rPr>
                <w:rFonts w:eastAsia="宋体"/>
                <w:color w:val="auto"/>
                <w:kern w:val="0"/>
                <w:sz w:val="21"/>
                <w:szCs w:val="21"/>
                <w:highlight w:val="none"/>
                <w:lang w:val="zh-CN" w:bidi="zh-CN"/>
              </w:rPr>
            </w:pPr>
          </w:p>
        </w:tc>
        <w:tc>
          <w:tcPr>
            <w:tcW w:w="2131" w:type="dxa"/>
            <w:gridSpan w:val="3"/>
            <w:tcBorders>
              <w:tl2br w:val="nil"/>
              <w:tr2bl w:val="nil"/>
            </w:tcBorders>
            <w:shd w:val="clear" w:color="auto" w:fill="auto"/>
            <w:vAlign w:val="center"/>
          </w:tcPr>
          <w:p w14:paraId="3C99EC69">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沿河村</w:t>
            </w:r>
          </w:p>
        </w:tc>
        <w:tc>
          <w:tcPr>
            <w:tcW w:w="1100" w:type="dxa"/>
            <w:gridSpan w:val="3"/>
            <w:tcBorders>
              <w:tl2br w:val="nil"/>
              <w:tr2bl w:val="nil"/>
            </w:tcBorders>
            <w:shd w:val="clear" w:color="auto" w:fill="auto"/>
            <w:vAlign w:val="center"/>
          </w:tcPr>
          <w:p w14:paraId="20BCA88F">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NE</w:t>
            </w:r>
          </w:p>
        </w:tc>
        <w:tc>
          <w:tcPr>
            <w:tcW w:w="1278" w:type="dxa"/>
            <w:gridSpan w:val="3"/>
            <w:tcBorders>
              <w:tl2br w:val="nil"/>
              <w:tr2bl w:val="nil"/>
            </w:tcBorders>
            <w:shd w:val="clear" w:color="auto" w:fill="auto"/>
            <w:vAlign w:val="center"/>
          </w:tcPr>
          <w:p w14:paraId="525686B0">
            <w:pPr>
              <w:ind w:left="-105" w:right="-105"/>
              <w:jc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3586</w:t>
            </w:r>
          </w:p>
        </w:tc>
        <w:tc>
          <w:tcPr>
            <w:tcW w:w="1238" w:type="dxa"/>
            <w:gridSpan w:val="3"/>
            <w:tcBorders>
              <w:tl2br w:val="nil"/>
              <w:tr2bl w:val="nil"/>
            </w:tcBorders>
            <w:shd w:val="clear" w:color="auto" w:fill="auto"/>
            <w:vAlign w:val="center"/>
          </w:tcPr>
          <w:p w14:paraId="7FA354A4">
            <w:pPr>
              <w:ind w:left="-105" w:right="-105"/>
              <w:jc w:val="center"/>
              <w:rPr>
                <w:rFonts w:ascii="Times New Roman" w:hAnsi="Times New Roman"/>
                <w:color w:val="auto"/>
                <w:sz w:val="21"/>
                <w:szCs w:val="21"/>
                <w:highlight w:val="none"/>
                <w:lang w:val="zh-CN" w:bidi="zh-CN"/>
              </w:rPr>
            </w:pPr>
            <w:r>
              <w:rPr>
                <w:rFonts w:ascii="Times New Roman" w:hAnsi="Times New Roman"/>
                <w:color w:val="auto"/>
                <w:sz w:val="21"/>
                <w:szCs w:val="21"/>
                <w:highlight w:val="none"/>
              </w:rPr>
              <w:t>居住区</w:t>
            </w:r>
          </w:p>
        </w:tc>
        <w:tc>
          <w:tcPr>
            <w:tcW w:w="1748" w:type="dxa"/>
            <w:tcBorders>
              <w:tl2br w:val="nil"/>
              <w:tr2bl w:val="nil"/>
            </w:tcBorders>
            <w:shd w:val="clear" w:color="auto" w:fill="auto"/>
            <w:vAlign w:val="center"/>
          </w:tcPr>
          <w:p w14:paraId="6EEFD9C6">
            <w:pPr>
              <w:ind w:left="-105" w:right="-105"/>
              <w:jc w:val="center"/>
              <w:rPr>
                <w:rFonts w:ascii="Times New Roman" w:hAnsi="Times New Roman"/>
                <w:color w:val="auto"/>
                <w:sz w:val="21"/>
                <w:szCs w:val="21"/>
                <w:highlight w:val="none"/>
                <w:lang w:val="zh-CN" w:bidi="zh-CN"/>
              </w:rPr>
            </w:pPr>
            <w:r>
              <w:rPr>
                <w:rFonts w:hint="eastAsia" w:ascii="Times New Roman" w:hAnsi="Times New Roman"/>
                <w:color w:val="auto"/>
                <w:sz w:val="21"/>
                <w:szCs w:val="21"/>
                <w:highlight w:val="none"/>
              </w:rPr>
              <w:t>30</w:t>
            </w:r>
            <w:r>
              <w:rPr>
                <w:rFonts w:ascii="Times New Roman" w:hAnsi="Times New Roman"/>
                <w:color w:val="auto"/>
                <w:sz w:val="21"/>
                <w:szCs w:val="21"/>
                <w:highlight w:val="none"/>
              </w:rPr>
              <w:t>户/</w:t>
            </w:r>
            <w:r>
              <w:rPr>
                <w:rFonts w:hint="eastAsia" w:ascii="Times New Roman" w:hAnsi="Times New Roman"/>
                <w:color w:val="auto"/>
                <w:sz w:val="21"/>
                <w:szCs w:val="21"/>
                <w:highlight w:val="none"/>
              </w:rPr>
              <w:t>105</w:t>
            </w:r>
            <w:r>
              <w:rPr>
                <w:rFonts w:ascii="Times New Roman" w:hAnsi="Times New Roman"/>
                <w:color w:val="auto"/>
                <w:sz w:val="21"/>
                <w:szCs w:val="21"/>
                <w:highlight w:val="none"/>
              </w:rPr>
              <w:t>人</w:t>
            </w:r>
          </w:p>
        </w:tc>
      </w:tr>
      <w:tr w14:paraId="5A27CBF2">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851" w:type="dxa"/>
            <w:vMerge w:val="continue"/>
            <w:tcBorders>
              <w:tl2br w:val="nil"/>
              <w:tr2bl w:val="nil"/>
            </w:tcBorders>
            <w:vAlign w:val="center"/>
          </w:tcPr>
          <w:p w14:paraId="06B7663B">
            <w:pPr>
              <w:ind w:left="-105" w:right="-105"/>
              <w:jc w:val="center"/>
              <w:rPr>
                <w:rFonts w:ascii="Times New Roman" w:hAnsi="Times New Roman"/>
                <w:color w:val="auto"/>
                <w:sz w:val="21"/>
                <w:szCs w:val="21"/>
                <w:highlight w:val="none"/>
                <w:lang w:val="zh-CN" w:bidi="zh-CN"/>
              </w:rPr>
            </w:pPr>
          </w:p>
        </w:tc>
        <w:tc>
          <w:tcPr>
            <w:tcW w:w="704" w:type="dxa"/>
            <w:tcBorders>
              <w:tl2br w:val="nil"/>
              <w:tr2bl w:val="nil"/>
            </w:tcBorders>
            <w:vAlign w:val="center"/>
          </w:tcPr>
          <w:p w14:paraId="395E615B">
            <w:pPr>
              <w:pStyle w:val="97"/>
              <w:numPr>
                <w:ilvl w:val="0"/>
                <w:numId w:val="13"/>
              </w:numPr>
              <w:ind w:left="-105" w:right="-105" w:firstLineChars="0"/>
              <w:jc w:val="center"/>
              <w:rPr>
                <w:rFonts w:eastAsia="宋体"/>
                <w:color w:val="auto"/>
                <w:kern w:val="0"/>
                <w:sz w:val="21"/>
                <w:szCs w:val="21"/>
                <w:highlight w:val="none"/>
                <w:lang w:val="zh-CN" w:bidi="zh-CN"/>
              </w:rPr>
            </w:pPr>
          </w:p>
        </w:tc>
        <w:tc>
          <w:tcPr>
            <w:tcW w:w="2131" w:type="dxa"/>
            <w:gridSpan w:val="3"/>
            <w:tcBorders>
              <w:tl2br w:val="nil"/>
              <w:tr2bl w:val="nil"/>
            </w:tcBorders>
            <w:shd w:val="clear" w:color="auto" w:fill="auto"/>
            <w:vAlign w:val="center"/>
          </w:tcPr>
          <w:p w14:paraId="0944D064">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斗山村</w:t>
            </w:r>
          </w:p>
        </w:tc>
        <w:tc>
          <w:tcPr>
            <w:tcW w:w="1100" w:type="dxa"/>
            <w:gridSpan w:val="3"/>
            <w:tcBorders>
              <w:tl2br w:val="nil"/>
              <w:tr2bl w:val="nil"/>
            </w:tcBorders>
            <w:shd w:val="clear" w:color="auto" w:fill="auto"/>
            <w:vAlign w:val="center"/>
          </w:tcPr>
          <w:p w14:paraId="4ED7A443">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NE</w:t>
            </w:r>
          </w:p>
        </w:tc>
        <w:tc>
          <w:tcPr>
            <w:tcW w:w="1278" w:type="dxa"/>
            <w:gridSpan w:val="3"/>
            <w:tcBorders>
              <w:tl2br w:val="nil"/>
              <w:tr2bl w:val="nil"/>
            </w:tcBorders>
            <w:shd w:val="clear" w:color="auto" w:fill="auto"/>
            <w:vAlign w:val="center"/>
          </w:tcPr>
          <w:p w14:paraId="1749F688">
            <w:pPr>
              <w:ind w:left="-105" w:right="-105"/>
              <w:jc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3488</w:t>
            </w:r>
          </w:p>
        </w:tc>
        <w:tc>
          <w:tcPr>
            <w:tcW w:w="1238" w:type="dxa"/>
            <w:gridSpan w:val="3"/>
            <w:tcBorders>
              <w:tl2br w:val="nil"/>
              <w:tr2bl w:val="nil"/>
            </w:tcBorders>
            <w:shd w:val="clear" w:color="auto" w:fill="auto"/>
            <w:vAlign w:val="center"/>
          </w:tcPr>
          <w:p w14:paraId="0D6A90AA">
            <w:pPr>
              <w:ind w:left="-105" w:right="-105"/>
              <w:jc w:val="center"/>
              <w:rPr>
                <w:rFonts w:ascii="Times New Roman" w:hAnsi="Times New Roman"/>
                <w:color w:val="auto"/>
                <w:sz w:val="21"/>
                <w:szCs w:val="21"/>
                <w:highlight w:val="none"/>
                <w:lang w:val="zh-CN" w:bidi="zh-CN"/>
              </w:rPr>
            </w:pPr>
            <w:r>
              <w:rPr>
                <w:rFonts w:ascii="Times New Roman" w:hAnsi="Times New Roman"/>
                <w:color w:val="auto"/>
                <w:sz w:val="21"/>
                <w:szCs w:val="21"/>
                <w:highlight w:val="none"/>
              </w:rPr>
              <w:t>居住区</w:t>
            </w:r>
          </w:p>
        </w:tc>
        <w:tc>
          <w:tcPr>
            <w:tcW w:w="1748" w:type="dxa"/>
            <w:tcBorders>
              <w:tl2br w:val="nil"/>
              <w:tr2bl w:val="nil"/>
            </w:tcBorders>
            <w:shd w:val="clear" w:color="auto" w:fill="auto"/>
            <w:vAlign w:val="center"/>
          </w:tcPr>
          <w:p w14:paraId="15058E3A">
            <w:pPr>
              <w:ind w:left="-105" w:right="-105"/>
              <w:jc w:val="center"/>
              <w:rPr>
                <w:rFonts w:ascii="Times New Roman" w:hAnsi="Times New Roman"/>
                <w:color w:val="auto"/>
                <w:sz w:val="21"/>
                <w:szCs w:val="21"/>
                <w:highlight w:val="none"/>
                <w:lang w:val="zh-CN" w:bidi="zh-CN"/>
              </w:rPr>
            </w:pPr>
            <w:r>
              <w:rPr>
                <w:rFonts w:hint="eastAsia" w:ascii="Times New Roman" w:hAnsi="Times New Roman"/>
                <w:color w:val="auto"/>
                <w:sz w:val="21"/>
                <w:szCs w:val="21"/>
                <w:highlight w:val="none"/>
              </w:rPr>
              <w:t>8</w:t>
            </w:r>
            <w:r>
              <w:rPr>
                <w:rFonts w:ascii="Times New Roman" w:hAnsi="Times New Roman"/>
                <w:color w:val="auto"/>
                <w:sz w:val="21"/>
                <w:szCs w:val="21"/>
                <w:highlight w:val="none"/>
              </w:rPr>
              <w:t>户/</w:t>
            </w:r>
            <w:r>
              <w:rPr>
                <w:rFonts w:hint="eastAsia" w:ascii="Times New Roman" w:hAnsi="Times New Roman"/>
                <w:color w:val="auto"/>
                <w:sz w:val="21"/>
                <w:szCs w:val="21"/>
                <w:highlight w:val="none"/>
              </w:rPr>
              <w:t>28</w:t>
            </w:r>
            <w:r>
              <w:rPr>
                <w:rFonts w:ascii="Times New Roman" w:hAnsi="Times New Roman"/>
                <w:color w:val="auto"/>
                <w:sz w:val="21"/>
                <w:szCs w:val="21"/>
                <w:highlight w:val="none"/>
              </w:rPr>
              <w:t>人</w:t>
            </w:r>
          </w:p>
        </w:tc>
      </w:tr>
      <w:tr w14:paraId="7119E614">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851" w:type="dxa"/>
            <w:vMerge w:val="continue"/>
            <w:tcBorders>
              <w:tl2br w:val="nil"/>
              <w:tr2bl w:val="nil"/>
            </w:tcBorders>
            <w:vAlign w:val="center"/>
          </w:tcPr>
          <w:p w14:paraId="0F12DA12">
            <w:pPr>
              <w:ind w:left="-105" w:right="-105"/>
              <w:jc w:val="center"/>
              <w:rPr>
                <w:rFonts w:ascii="Times New Roman" w:hAnsi="Times New Roman"/>
                <w:color w:val="auto"/>
                <w:sz w:val="21"/>
                <w:szCs w:val="21"/>
                <w:highlight w:val="none"/>
                <w:lang w:val="zh-CN" w:bidi="zh-CN"/>
              </w:rPr>
            </w:pPr>
          </w:p>
        </w:tc>
        <w:tc>
          <w:tcPr>
            <w:tcW w:w="704" w:type="dxa"/>
            <w:tcBorders>
              <w:tl2br w:val="nil"/>
              <w:tr2bl w:val="nil"/>
            </w:tcBorders>
            <w:vAlign w:val="center"/>
          </w:tcPr>
          <w:p w14:paraId="22E0BDA7">
            <w:pPr>
              <w:pStyle w:val="97"/>
              <w:numPr>
                <w:ilvl w:val="0"/>
                <w:numId w:val="13"/>
              </w:numPr>
              <w:ind w:left="-105" w:right="-105" w:firstLineChars="0"/>
              <w:jc w:val="center"/>
              <w:rPr>
                <w:rFonts w:eastAsia="宋体"/>
                <w:color w:val="auto"/>
                <w:kern w:val="0"/>
                <w:sz w:val="21"/>
                <w:szCs w:val="21"/>
                <w:highlight w:val="none"/>
                <w:lang w:val="zh-CN" w:bidi="zh-CN"/>
              </w:rPr>
            </w:pPr>
          </w:p>
        </w:tc>
        <w:tc>
          <w:tcPr>
            <w:tcW w:w="2131" w:type="dxa"/>
            <w:gridSpan w:val="3"/>
            <w:tcBorders>
              <w:tl2br w:val="nil"/>
              <w:tr2bl w:val="nil"/>
            </w:tcBorders>
            <w:shd w:val="clear" w:color="auto" w:fill="auto"/>
            <w:vAlign w:val="center"/>
          </w:tcPr>
          <w:p w14:paraId="66836DC5">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沈巷上</w:t>
            </w:r>
          </w:p>
        </w:tc>
        <w:tc>
          <w:tcPr>
            <w:tcW w:w="1100" w:type="dxa"/>
            <w:gridSpan w:val="3"/>
            <w:tcBorders>
              <w:tl2br w:val="nil"/>
              <w:tr2bl w:val="nil"/>
            </w:tcBorders>
            <w:shd w:val="clear" w:color="auto" w:fill="auto"/>
            <w:vAlign w:val="center"/>
          </w:tcPr>
          <w:p w14:paraId="0E753FD8">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NE</w:t>
            </w:r>
          </w:p>
        </w:tc>
        <w:tc>
          <w:tcPr>
            <w:tcW w:w="1278" w:type="dxa"/>
            <w:gridSpan w:val="3"/>
            <w:tcBorders>
              <w:tl2br w:val="nil"/>
              <w:tr2bl w:val="nil"/>
            </w:tcBorders>
            <w:shd w:val="clear" w:color="auto" w:fill="auto"/>
            <w:vAlign w:val="center"/>
          </w:tcPr>
          <w:p w14:paraId="7E87E837">
            <w:pPr>
              <w:ind w:left="-105" w:right="-105"/>
              <w:jc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3652</w:t>
            </w:r>
          </w:p>
        </w:tc>
        <w:tc>
          <w:tcPr>
            <w:tcW w:w="1238" w:type="dxa"/>
            <w:gridSpan w:val="3"/>
            <w:tcBorders>
              <w:tl2br w:val="nil"/>
              <w:tr2bl w:val="nil"/>
            </w:tcBorders>
            <w:shd w:val="clear" w:color="auto" w:fill="auto"/>
            <w:vAlign w:val="center"/>
          </w:tcPr>
          <w:p w14:paraId="599D9323">
            <w:pPr>
              <w:ind w:left="-105" w:right="-105"/>
              <w:jc w:val="center"/>
              <w:rPr>
                <w:rFonts w:ascii="Times New Roman" w:hAnsi="Times New Roman"/>
                <w:color w:val="auto"/>
                <w:sz w:val="21"/>
                <w:szCs w:val="21"/>
                <w:highlight w:val="none"/>
                <w:lang w:val="zh-CN" w:bidi="zh-CN"/>
              </w:rPr>
            </w:pPr>
            <w:r>
              <w:rPr>
                <w:rFonts w:ascii="Times New Roman" w:hAnsi="Times New Roman"/>
                <w:color w:val="auto"/>
                <w:sz w:val="21"/>
                <w:szCs w:val="21"/>
                <w:highlight w:val="none"/>
              </w:rPr>
              <w:t>居住区</w:t>
            </w:r>
          </w:p>
        </w:tc>
        <w:tc>
          <w:tcPr>
            <w:tcW w:w="1748" w:type="dxa"/>
            <w:tcBorders>
              <w:tl2br w:val="nil"/>
              <w:tr2bl w:val="nil"/>
            </w:tcBorders>
            <w:shd w:val="clear" w:color="auto" w:fill="auto"/>
            <w:vAlign w:val="center"/>
          </w:tcPr>
          <w:p w14:paraId="4B116949">
            <w:pPr>
              <w:ind w:left="-105" w:right="-105"/>
              <w:jc w:val="center"/>
              <w:rPr>
                <w:rFonts w:ascii="Times New Roman" w:hAnsi="Times New Roman"/>
                <w:color w:val="auto"/>
                <w:sz w:val="21"/>
                <w:szCs w:val="21"/>
                <w:highlight w:val="none"/>
                <w:lang w:val="zh-CN" w:bidi="zh-CN"/>
              </w:rPr>
            </w:pPr>
            <w:r>
              <w:rPr>
                <w:rFonts w:hint="eastAsia" w:ascii="Times New Roman" w:hAnsi="Times New Roman"/>
                <w:color w:val="auto"/>
                <w:sz w:val="21"/>
                <w:szCs w:val="21"/>
                <w:highlight w:val="none"/>
              </w:rPr>
              <w:t>8</w:t>
            </w:r>
            <w:r>
              <w:rPr>
                <w:rFonts w:ascii="Times New Roman" w:hAnsi="Times New Roman"/>
                <w:color w:val="auto"/>
                <w:sz w:val="21"/>
                <w:szCs w:val="21"/>
                <w:highlight w:val="none"/>
              </w:rPr>
              <w:t>户/</w:t>
            </w:r>
            <w:r>
              <w:rPr>
                <w:rFonts w:hint="eastAsia" w:ascii="Times New Roman" w:hAnsi="Times New Roman"/>
                <w:color w:val="auto"/>
                <w:sz w:val="21"/>
                <w:szCs w:val="21"/>
                <w:highlight w:val="none"/>
              </w:rPr>
              <w:t>28</w:t>
            </w:r>
            <w:r>
              <w:rPr>
                <w:rFonts w:ascii="Times New Roman" w:hAnsi="Times New Roman"/>
                <w:color w:val="auto"/>
                <w:sz w:val="21"/>
                <w:szCs w:val="21"/>
                <w:highlight w:val="none"/>
              </w:rPr>
              <w:t>人</w:t>
            </w:r>
          </w:p>
        </w:tc>
      </w:tr>
      <w:tr w14:paraId="2C873CFC">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851" w:type="dxa"/>
            <w:vMerge w:val="continue"/>
            <w:tcBorders>
              <w:tl2br w:val="nil"/>
              <w:tr2bl w:val="nil"/>
            </w:tcBorders>
            <w:vAlign w:val="center"/>
          </w:tcPr>
          <w:p w14:paraId="126540D8">
            <w:pPr>
              <w:ind w:left="-105" w:right="-105"/>
              <w:jc w:val="center"/>
              <w:rPr>
                <w:rFonts w:ascii="Times New Roman" w:hAnsi="Times New Roman"/>
                <w:color w:val="auto"/>
                <w:sz w:val="21"/>
                <w:szCs w:val="21"/>
                <w:highlight w:val="none"/>
                <w:lang w:val="zh-CN" w:bidi="zh-CN"/>
              </w:rPr>
            </w:pPr>
          </w:p>
        </w:tc>
        <w:tc>
          <w:tcPr>
            <w:tcW w:w="704" w:type="dxa"/>
            <w:tcBorders>
              <w:tl2br w:val="nil"/>
              <w:tr2bl w:val="nil"/>
            </w:tcBorders>
            <w:vAlign w:val="center"/>
          </w:tcPr>
          <w:p w14:paraId="4A0F9B28">
            <w:pPr>
              <w:pStyle w:val="97"/>
              <w:numPr>
                <w:ilvl w:val="0"/>
                <w:numId w:val="13"/>
              </w:numPr>
              <w:ind w:left="-105" w:right="-105" w:firstLineChars="0"/>
              <w:jc w:val="center"/>
              <w:rPr>
                <w:rFonts w:eastAsia="宋体"/>
                <w:color w:val="auto"/>
                <w:kern w:val="0"/>
                <w:sz w:val="21"/>
                <w:szCs w:val="21"/>
                <w:highlight w:val="none"/>
                <w:lang w:val="zh-CN" w:bidi="zh-CN"/>
              </w:rPr>
            </w:pPr>
          </w:p>
        </w:tc>
        <w:tc>
          <w:tcPr>
            <w:tcW w:w="2131" w:type="dxa"/>
            <w:gridSpan w:val="3"/>
            <w:tcBorders>
              <w:tl2br w:val="nil"/>
              <w:tr2bl w:val="nil"/>
            </w:tcBorders>
            <w:shd w:val="clear" w:color="auto" w:fill="auto"/>
            <w:vAlign w:val="center"/>
          </w:tcPr>
          <w:p w14:paraId="658E8988">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锡北革命烈士纪念馆</w:t>
            </w:r>
          </w:p>
        </w:tc>
        <w:tc>
          <w:tcPr>
            <w:tcW w:w="1100" w:type="dxa"/>
            <w:gridSpan w:val="3"/>
            <w:tcBorders>
              <w:tl2br w:val="nil"/>
              <w:tr2bl w:val="nil"/>
            </w:tcBorders>
            <w:shd w:val="clear" w:color="auto" w:fill="auto"/>
            <w:vAlign w:val="center"/>
          </w:tcPr>
          <w:p w14:paraId="3E07BC54">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N</w:t>
            </w:r>
          </w:p>
        </w:tc>
        <w:tc>
          <w:tcPr>
            <w:tcW w:w="1278" w:type="dxa"/>
            <w:gridSpan w:val="3"/>
            <w:tcBorders>
              <w:tl2br w:val="nil"/>
              <w:tr2bl w:val="nil"/>
            </w:tcBorders>
            <w:shd w:val="clear" w:color="auto" w:fill="auto"/>
            <w:vAlign w:val="center"/>
          </w:tcPr>
          <w:p w14:paraId="7383B50C">
            <w:pPr>
              <w:ind w:left="-105" w:right="-105"/>
              <w:jc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3835</w:t>
            </w:r>
          </w:p>
        </w:tc>
        <w:tc>
          <w:tcPr>
            <w:tcW w:w="1238" w:type="dxa"/>
            <w:gridSpan w:val="3"/>
            <w:tcBorders>
              <w:tl2br w:val="nil"/>
              <w:tr2bl w:val="nil"/>
            </w:tcBorders>
            <w:shd w:val="clear" w:color="auto" w:fill="auto"/>
            <w:vAlign w:val="center"/>
          </w:tcPr>
          <w:p w14:paraId="44143526">
            <w:pPr>
              <w:ind w:left="-105" w:right="-105"/>
              <w:jc w:val="center"/>
              <w:rPr>
                <w:rFonts w:ascii="Times New Roman" w:hAnsi="Times New Roman"/>
                <w:color w:val="auto"/>
                <w:sz w:val="21"/>
                <w:szCs w:val="21"/>
                <w:highlight w:val="none"/>
                <w:lang w:val="zh-CN" w:bidi="zh-CN"/>
              </w:rPr>
            </w:pPr>
            <w:r>
              <w:rPr>
                <w:rFonts w:hint="eastAsia" w:ascii="Times New Roman" w:hAnsi="Times New Roman"/>
                <w:color w:val="auto"/>
                <w:sz w:val="21"/>
                <w:szCs w:val="21"/>
                <w:highlight w:val="none"/>
              </w:rPr>
              <w:t>文化</w:t>
            </w:r>
            <w:r>
              <w:rPr>
                <w:rFonts w:ascii="Times New Roman" w:hAnsi="Times New Roman"/>
                <w:color w:val="auto"/>
                <w:sz w:val="21"/>
                <w:szCs w:val="21"/>
                <w:highlight w:val="none"/>
              </w:rPr>
              <w:t>区</w:t>
            </w:r>
          </w:p>
        </w:tc>
        <w:tc>
          <w:tcPr>
            <w:tcW w:w="1748" w:type="dxa"/>
            <w:tcBorders>
              <w:tl2br w:val="nil"/>
              <w:tr2bl w:val="nil"/>
            </w:tcBorders>
            <w:shd w:val="clear" w:color="auto" w:fill="auto"/>
            <w:vAlign w:val="center"/>
          </w:tcPr>
          <w:p w14:paraId="5924FD86">
            <w:pPr>
              <w:ind w:left="-105" w:right="-105"/>
              <w:jc w:val="center"/>
              <w:rPr>
                <w:rFonts w:ascii="Times New Roman" w:hAnsi="Times New Roman"/>
                <w:color w:val="auto"/>
                <w:sz w:val="21"/>
                <w:szCs w:val="21"/>
                <w:highlight w:val="none"/>
                <w:lang w:val="zh-CN" w:bidi="zh-CN"/>
              </w:rPr>
            </w:pPr>
            <w:r>
              <w:rPr>
                <w:rFonts w:hint="eastAsia" w:ascii="Times New Roman" w:hAnsi="Times New Roman"/>
                <w:color w:val="auto"/>
                <w:sz w:val="21"/>
                <w:szCs w:val="21"/>
                <w:highlight w:val="none"/>
              </w:rPr>
              <w:t>/</w:t>
            </w:r>
            <w:r>
              <w:rPr>
                <w:rFonts w:ascii="Times New Roman" w:hAnsi="Times New Roman"/>
                <w:color w:val="auto"/>
                <w:sz w:val="21"/>
                <w:szCs w:val="21"/>
                <w:highlight w:val="none"/>
              </w:rPr>
              <w:t>人</w:t>
            </w:r>
          </w:p>
        </w:tc>
      </w:tr>
      <w:tr w14:paraId="18A1EE0E">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851" w:type="dxa"/>
            <w:vMerge w:val="continue"/>
            <w:tcBorders>
              <w:tl2br w:val="nil"/>
              <w:tr2bl w:val="nil"/>
            </w:tcBorders>
            <w:vAlign w:val="center"/>
          </w:tcPr>
          <w:p w14:paraId="1DCDA418">
            <w:pPr>
              <w:ind w:left="-105" w:right="-105"/>
              <w:jc w:val="center"/>
              <w:rPr>
                <w:rFonts w:ascii="Times New Roman" w:hAnsi="Times New Roman"/>
                <w:color w:val="auto"/>
                <w:sz w:val="21"/>
                <w:szCs w:val="21"/>
                <w:highlight w:val="none"/>
                <w:lang w:val="zh-CN" w:bidi="zh-CN"/>
              </w:rPr>
            </w:pPr>
          </w:p>
        </w:tc>
        <w:tc>
          <w:tcPr>
            <w:tcW w:w="704" w:type="dxa"/>
            <w:tcBorders>
              <w:tl2br w:val="nil"/>
              <w:tr2bl w:val="nil"/>
            </w:tcBorders>
            <w:vAlign w:val="center"/>
          </w:tcPr>
          <w:p w14:paraId="3AA8B5ED">
            <w:pPr>
              <w:pStyle w:val="97"/>
              <w:numPr>
                <w:ilvl w:val="0"/>
                <w:numId w:val="13"/>
              </w:numPr>
              <w:ind w:left="-105" w:right="-105" w:firstLineChars="0"/>
              <w:jc w:val="center"/>
              <w:rPr>
                <w:rFonts w:eastAsia="宋体"/>
                <w:color w:val="auto"/>
                <w:kern w:val="0"/>
                <w:sz w:val="21"/>
                <w:szCs w:val="21"/>
                <w:highlight w:val="none"/>
                <w:lang w:val="zh-CN" w:bidi="zh-CN"/>
              </w:rPr>
            </w:pPr>
          </w:p>
        </w:tc>
        <w:tc>
          <w:tcPr>
            <w:tcW w:w="2131" w:type="dxa"/>
            <w:gridSpan w:val="3"/>
            <w:tcBorders>
              <w:tl2br w:val="nil"/>
              <w:tr2bl w:val="nil"/>
            </w:tcBorders>
            <w:shd w:val="clear" w:color="auto" w:fill="auto"/>
            <w:vAlign w:val="center"/>
          </w:tcPr>
          <w:p w14:paraId="41F365E9">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陆家水渠</w:t>
            </w:r>
          </w:p>
        </w:tc>
        <w:tc>
          <w:tcPr>
            <w:tcW w:w="1100" w:type="dxa"/>
            <w:gridSpan w:val="3"/>
            <w:tcBorders>
              <w:tl2br w:val="nil"/>
              <w:tr2bl w:val="nil"/>
            </w:tcBorders>
            <w:shd w:val="clear" w:color="auto" w:fill="auto"/>
            <w:vAlign w:val="center"/>
          </w:tcPr>
          <w:p w14:paraId="1D56B166">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NE</w:t>
            </w:r>
          </w:p>
        </w:tc>
        <w:tc>
          <w:tcPr>
            <w:tcW w:w="1278" w:type="dxa"/>
            <w:gridSpan w:val="3"/>
            <w:tcBorders>
              <w:tl2br w:val="nil"/>
              <w:tr2bl w:val="nil"/>
            </w:tcBorders>
            <w:shd w:val="clear" w:color="auto" w:fill="auto"/>
            <w:vAlign w:val="center"/>
          </w:tcPr>
          <w:p w14:paraId="6F6888CC">
            <w:pPr>
              <w:ind w:left="-105" w:right="-105"/>
              <w:jc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3982</w:t>
            </w:r>
          </w:p>
        </w:tc>
        <w:tc>
          <w:tcPr>
            <w:tcW w:w="1238" w:type="dxa"/>
            <w:gridSpan w:val="3"/>
            <w:tcBorders>
              <w:tl2br w:val="nil"/>
              <w:tr2bl w:val="nil"/>
            </w:tcBorders>
            <w:shd w:val="clear" w:color="auto" w:fill="auto"/>
            <w:vAlign w:val="center"/>
          </w:tcPr>
          <w:p w14:paraId="5F03FF4B">
            <w:pPr>
              <w:ind w:left="-105" w:right="-105"/>
              <w:jc w:val="center"/>
              <w:rPr>
                <w:rFonts w:ascii="Times New Roman" w:hAnsi="Times New Roman"/>
                <w:color w:val="auto"/>
                <w:sz w:val="21"/>
                <w:szCs w:val="21"/>
                <w:highlight w:val="none"/>
                <w:lang w:val="zh-CN" w:bidi="zh-CN"/>
              </w:rPr>
            </w:pPr>
            <w:r>
              <w:rPr>
                <w:rFonts w:ascii="Times New Roman" w:hAnsi="Times New Roman"/>
                <w:color w:val="auto"/>
                <w:sz w:val="21"/>
                <w:szCs w:val="21"/>
                <w:highlight w:val="none"/>
              </w:rPr>
              <w:t>居住区</w:t>
            </w:r>
          </w:p>
        </w:tc>
        <w:tc>
          <w:tcPr>
            <w:tcW w:w="1748" w:type="dxa"/>
            <w:tcBorders>
              <w:tl2br w:val="nil"/>
              <w:tr2bl w:val="nil"/>
            </w:tcBorders>
            <w:shd w:val="clear" w:color="auto" w:fill="auto"/>
            <w:vAlign w:val="center"/>
          </w:tcPr>
          <w:p w14:paraId="5CB29523">
            <w:pPr>
              <w:ind w:left="-105" w:right="-105"/>
              <w:jc w:val="center"/>
              <w:rPr>
                <w:rFonts w:ascii="Times New Roman" w:hAnsi="Times New Roman"/>
                <w:color w:val="auto"/>
                <w:sz w:val="21"/>
                <w:szCs w:val="21"/>
                <w:highlight w:val="none"/>
                <w:lang w:val="zh-CN" w:bidi="zh-CN"/>
              </w:rPr>
            </w:pPr>
            <w:r>
              <w:rPr>
                <w:rFonts w:hint="eastAsia" w:ascii="Times New Roman" w:hAnsi="Times New Roman"/>
                <w:color w:val="auto"/>
                <w:sz w:val="21"/>
                <w:szCs w:val="21"/>
                <w:highlight w:val="none"/>
              </w:rPr>
              <w:t>20</w:t>
            </w:r>
            <w:r>
              <w:rPr>
                <w:rFonts w:ascii="Times New Roman" w:hAnsi="Times New Roman"/>
                <w:color w:val="auto"/>
                <w:sz w:val="21"/>
                <w:szCs w:val="21"/>
                <w:highlight w:val="none"/>
              </w:rPr>
              <w:t>户/</w:t>
            </w:r>
            <w:r>
              <w:rPr>
                <w:rFonts w:hint="eastAsia" w:ascii="Times New Roman" w:hAnsi="Times New Roman"/>
                <w:color w:val="auto"/>
                <w:sz w:val="21"/>
                <w:szCs w:val="21"/>
                <w:highlight w:val="none"/>
              </w:rPr>
              <w:t>70</w:t>
            </w:r>
            <w:r>
              <w:rPr>
                <w:rFonts w:ascii="Times New Roman" w:hAnsi="Times New Roman"/>
                <w:color w:val="auto"/>
                <w:sz w:val="21"/>
                <w:szCs w:val="21"/>
                <w:highlight w:val="none"/>
              </w:rPr>
              <w:t>人</w:t>
            </w:r>
          </w:p>
        </w:tc>
      </w:tr>
      <w:tr w14:paraId="2640EC3B">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851" w:type="dxa"/>
            <w:vMerge w:val="continue"/>
            <w:tcBorders>
              <w:tl2br w:val="nil"/>
              <w:tr2bl w:val="nil"/>
            </w:tcBorders>
            <w:vAlign w:val="center"/>
          </w:tcPr>
          <w:p w14:paraId="12FBFA12">
            <w:pPr>
              <w:ind w:left="-105" w:right="-105"/>
              <w:jc w:val="center"/>
              <w:rPr>
                <w:rFonts w:ascii="Times New Roman" w:hAnsi="Times New Roman"/>
                <w:color w:val="auto"/>
                <w:sz w:val="21"/>
                <w:szCs w:val="21"/>
                <w:highlight w:val="none"/>
                <w:lang w:val="zh-CN" w:bidi="zh-CN"/>
              </w:rPr>
            </w:pPr>
          </w:p>
        </w:tc>
        <w:tc>
          <w:tcPr>
            <w:tcW w:w="704" w:type="dxa"/>
            <w:tcBorders>
              <w:tl2br w:val="nil"/>
              <w:tr2bl w:val="nil"/>
            </w:tcBorders>
            <w:vAlign w:val="center"/>
          </w:tcPr>
          <w:p w14:paraId="2EDF2F78">
            <w:pPr>
              <w:pStyle w:val="97"/>
              <w:numPr>
                <w:ilvl w:val="0"/>
                <w:numId w:val="13"/>
              </w:numPr>
              <w:ind w:left="-105" w:right="-105" w:firstLineChars="0"/>
              <w:jc w:val="center"/>
              <w:rPr>
                <w:rFonts w:eastAsia="宋体"/>
                <w:color w:val="auto"/>
                <w:kern w:val="0"/>
                <w:sz w:val="21"/>
                <w:szCs w:val="21"/>
                <w:highlight w:val="none"/>
                <w:lang w:val="zh-CN" w:bidi="zh-CN"/>
              </w:rPr>
            </w:pPr>
          </w:p>
        </w:tc>
        <w:tc>
          <w:tcPr>
            <w:tcW w:w="2131" w:type="dxa"/>
            <w:gridSpan w:val="3"/>
            <w:tcBorders>
              <w:tl2br w:val="nil"/>
              <w:tr2bl w:val="nil"/>
            </w:tcBorders>
            <w:shd w:val="clear" w:color="auto" w:fill="auto"/>
            <w:vAlign w:val="center"/>
          </w:tcPr>
          <w:p w14:paraId="063153B2">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草塘</w:t>
            </w:r>
          </w:p>
        </w:tc>
        <w:tc>
          <w:tcPr>
            <w:tcW w:w="1100" w:type="dxa"/>
            <w:gridSpan w:val="3"/>
            <w:tcBorders>
              <w:tl2br w:val="nil"/>
              <w:tr2bl w:val="nil"/>
            </w:tcBorders>
            <w:shd w:val="clear" w:color="auto" w:fill="auto"/>
            <w:vAlign w:val="center"/>
          </w:tcPr>
          <w:p w14:paraId="0BD6C859">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NE</w:t>
            </w:r>
          </w:p>
        </w:tc>
        <w:tc>
          <w:tcPr>
            <w:tcW w:w="1278" w:type="dxa"/>
            <w:gridSpan w:val="3"/>
            <w:tcBorders>
              <w:tl2br w:val="nil"/>
              <w:tr2bl w:val="nil"/>
            </w:tcBorders>
            <w:shd w:val="clear" w:color="auto" w:fill="auto"/>
            <w:vAlign w:val="center"/>
          </w:tcPr>
          <w:p w14:paraId="35ED3953">
            <w:pPr>
              <w:ind w:left="-105" w:right="-105"/>
              <w:jc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4127</w:t>
            </w:r>
          </w:p>
        </w:tc>
        <w:tc>
          <w:tcPr>
            <w:tcW w:w="1238" w:type="dxa"/>
            <w:gridSpan w:val="3"/>
            <w:tcBorders>
              <w:tl2br w:val="nil"/>
              <w:tr2bl w:val="nil"/>
            </w:tcBorders>
            <w:shd w:val="clear" w:color="auto" w:fill="auto"/>
            <w:vAlign w:val="center"/>
          </w:tcPr>
          <w:p w14:paraId="34DE65CE">
            <w:pPr>
              <w:ind w:left="-105" w:right="-105"/>
              <w:jc w:val="center"/>
              <w:rPr>
                <w:rFonts w:ascii="Times New Roman" w:hAnsi="Times New Roman"/>
                <w:color w:val="auto"/>
                <w:sz w:val="21"/>
                <w:szCs w:val="21"/>
                <w:highlight w:val="none"/>
                <w:lang w:val="zh-CN" w:bidi="zh-CN"/>
              </w:rPr>
            </w:pPr>
            <w:r>
              <w:rPr>
                <w:rFonts w:ascii="Times New Roman" w:hAnsi="Times New Roman"/>
                <w:color w:val="auto"/>
                <w:sz w:val="21"/>
                <w:szCs w:val="21"/>
                <w:highlight w:val="none"/>
              </w:rPr>
              <w:t>居住区</w:t>
            </w:r>
          </w:p>
        </w:tc>
        <w:tc>
          <w:tcPr>
            <w:tcW w:w="1748" w:type="dxa"/>
            <w:tcBorders>
              <w:tl2br w:val="nil"/>
              <w:tr2bl w:val="nil"/>
            </w:tcBorders>
            <w:shd w:val="clear" w:color="auto" w:fill="auto"/>
            <w:vAlign w:val="center"/>
          </w:tcPr>
          <w:p w14:paraId="4364CB75">
            <w:pPr>
              <w:ind w:left="-105" w:right="-105"/>
              <w:jc w:val="center"/>
              <w:rPr>
                <w:rFonts w:ascii="Times New Roman" w:hAnsi="Times New Roman"/>
                <w:color w:val="auto"/>
                <w:sz w:val="21"/>
                <w:szCs w:val="21"/>
                <w:highlight w:val="none"/>
                <w:lang w:val="zh-CN" w:bidi="zh-CN"/>
              </w:rPr>
            </w:pPr>
            <w:r>
              <w:rPr>
                <w:rFonts w:hint="eastAsia" w:ascii="Times New Roman" w:hAnsi="Times New Roman"/>
                <w:color w:val="auto"/>
                <w:sz w:val="21"/>
                <w:szCs w:val="21"/>
                <w:highlight w:val="none"/>
              </w:rPr>
              <w:t>8</w:t>
            </w:r>
            <w:r>
              <w:rPr>
                <w:rFonts w:ascii="Times New Roman" w:hAnsi="Times New Roman"/>
                <w:color w:val="auto"/>
                <w:sz w:val="21"/>
                <w:szCs w:val="21"/>
                <w:highlight w:val="none"/>
              </w:rPr>
              <w:t>户/</w:t>
            </w:r>
            <w:r>
              <w:rPr>
                <w:rFonts w:hint="eastAsia" w:ascii="Times New Roman" w:hAnsi="Times New Roman"/>
                <w:color w:val="auto"/>
                <w:sz w:val="21"/>
                <w:szCs w:val="21"/>
                <w:highlight w:val="none"/>
              </w:rPr>
              <w:t>28</w:t>
            </w:r>
            <w:r>
              <w:rPr>
                <w:rFonts w:ascii="Times New Roman" w:hAnsi="Times New Roman"/>
                <w:color w:val="auto"/>
                <w:sz w:val="21"/>
                <w:szCs w:val="21"/>
                <w:highlight w:val="none"/>
              </w:rPr>
              <w:t>人</w:t>
            </w:r>
          </w:p>
        </w:tc>
      </w:tr>
      <w:tr w14:paraId="6122D454">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851" w:type="dxa"/>
            <w:vMerge w:val="continue"/>
            <w:tcBorders>
              <w:tl2br w:val="nil"/>
              <w:tr2bl w:val="nil"/>
            </w:tcBorders>
            <w:vAlign w:val="center"/>
          </w:tcPr>
          <w:p w14:paraId="27ED7EC9">
            <w:pPr>
              <w:ind w:left="-105" w:right="-105"/>
              <w:jc w:val="center"/>
              <w:rPr>
                <w:rFonts w:ascii="Times New Roman" w:hAnsi="Times New Roman"/>
                <w:color w:val="auto"/>
                <w:sz w:val="21"/>
                <w:szCs w:val="21"/>
                <w:highlight w:val="none"/>
                <w:lang w:val="zh-CN" w:bidi="zh-CN"/>
              </w:rPr>
            </w:pPr>
          </w:p>
        </w:tc>
        <w:tc>
          <w:tcPr>
            <w:tcW w:w="704" w:type="dxa"/>
            <w:tcBorders>
              <w:tl2br w:val="nil"/>
              <w:tr2bl w:val="nil"/>
            </w:tcBorders>
            <w:vAlign w:val="center"/>
          </w:tcPr>
          <w:p w14:paraId="718CFA46">
            <w:pPr>
              <w:pStyle w:val="97"/>
              <w:numPr>
                <w:ilvl w:val="0"/>
                <w:numId w:val="13"/>
              </w:numPr>
              <w:ind w:left="-105" w:right="-105" w:firstLineChars="0"/>
              <w:jc w:val="center"/>
              <w:rPr>
                <w:rFonts w:eastAsia="宋体"/>
                <w:color w:val="auto"/>
                <w:kern w:val="0"/>
                <w:sz w:val="21"/>
                <w:szCs w:val="21"/>
                <w:highlight w:val="none"/>
                <w:lang w:val="zh-CN" w:bidi="zh-CN"/>
              </w:rPr>
            </w:pPr>
          </w:p>
        </w:tc>
        <w:tc>
          <w:tcPr>
            <w:tcW w:w="2131" w:type="dxa"/>
            <w:gridSpan w:val="3"/>
            <w:tcBorders>
              <w:tl2br w:val="nil"/>
              <w:tr2bl w:val="nil"/>
            </w:tcBorders>
            <w:shd w:val="clear" w:color="auto" w:fill="auto"/>
            <w:vAlign w:val="center"/>
          </w:tcPr>
          <w:p w14:paraId="7BF62004">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袁巷</w:t>
            </w:r>
          </w:p>
        </w:tc>
        <w:tc>
          <w:tcPr>
            <w:tcW w:w="1100" w:type="dxa"/>
            <w:gridSpan w:val="3"/>
            <w:tcBorders>
              <w:tl2br w:val="nil"/>
              <w:tr2bl w:val="nil"/>
            </w:tcBorders>
            <w:shd w:val="clear" w:color="auto" w:fill="auto"/>
            <w:vAlign w:val="center"/>
          </w:tcPr>
          <w:p w14:paraId="25453E2D">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NE</w:t>
            </w:r>
          </w:p>
        </w:tc>
        <w:tc>
          <w:tcPr>
            <w:tcW w:w="1278" w:type="dxa"/>
            <w:gridSpan w:val="3"/>
            <w:tcBorders>
              <w:tl2br w:val="nil"/>
              <w:tr2bl w:val="nil"/>
            </w:tcBorders>
            <w:shd w:val="clear" w:color="auto" w:fill="auto"/>
            <w:vAlign w:val="center"/>
          </w:tcPr>
          <w:p w14:paraId="5A365BE6">
            <w:pPr>
              <w:ind w:left="-105" w:right="-105"/>
              <w:jc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3949</w:t>
            </w:r>
          </w:p>
        </w:tc>
        <w:tc>
          <w:tcPr>
            <w:tcW w:w="1238" w:type="dxa"/>
            <w:gridSpan w:val="3"/>
            <w:tcBorders>
              <w:tl2br w:val="nil"/>
              <w:tr2bl w:val="nil"/>
            </w:tcBorders>
            <w:shd w:val="clear" w:color="auto" w:fill="auto"/>
            <w:vAlign w:val="center"/>
          </w:tcPr>
          <w:p w14:paraId="4D9D5BF1">
            <w:pPr>
              <w:ind w:left="-105" w:right="-105"/>
              <w:jc w:val="center"/>
              <w:rPr>
                <w:rFonts w:ascii="Times New Roman" w:hAnsi="Times New Roman"/>
                <w:color w:val="auto"/>
                <w:sz w:val="21"/>
                <w:szCs w:val="21"/>
                <w:highlight w:val="none"/>
                <w:lang w:val="zh-CN" w:bidi="zh-CN"/>
              </w:rPr>
            </w:pPr>
            <w:r>
              <w:rPr>
                <w:rFonts w:ascii="Times New Roman" w:hAnsi="Times New Roman"/>
                <w:color w:val="auto"/>
                <w:sz w:val="21"/>
                <w:szCs w:val="21"/>
                <w:highlight w:val="none"/>
              </w:rPr>
              <w:t>居住区</w:t>
            </w:r>
          </w:p>
        </w:tc>
        <w:tc>
          <w:tcPr>
            <w:tcW w:w="1748" w:type="dxa"/>
            <w:tcBorders>
              <w:tl2br w:val="nil"/>
              <w:tr2bl w:val="nil"/>
            </w:tcBorders>
            <w:shd w:val="clear" w:color="auto" w:fill="auto"/>
            <w:vAlign w:val="center"/>
          </w:tcPr>
          <w:p w14:paraId="23F9571D">
            <w:pPr>
              <w:ind w:left="-105" w:right="-105"/>
              <w:jc w:val="center"/>
              <w:rPr>
                <w:rFonts w:ascii="Times New Roman" w:hAnsi="Times New Roman"/>
                <w:color w:val="auto"/>
                <w:sz w:val="21"/>
                <w:szCs w:val="21"/>
                <w:highlight w:val="none"/>
                <w:lang w:val="zh-CN" w:bidi="zh-CN"/>
              </w:rPr>
            </w:pPr>
            <w:r>
              <w:rPr>
                <w:rFonts w:hint="eastAsia" w:ascii="Times New Roman" w:hAnsi="Times New Roman"/>
                <w:color w:val="auto"/>
                <w:sz w:val="21"/>
                <w:szCs w:val="21"/>
                <w:highlight w:val="none"/>
              </w:rPr>
              <w:t>12</w:t>
            </w:r>
            <w:r>
              <w:rPr>
                <w:rFonts w:ascii="Times New Roman" w:hAnsi="Times New Roman"/>
                <w:color w:val="auto"/>
                <w:sz w:val="21"/>
                <w:szCs w:val="21"/>
                <w:highlight w:val="none"/>
              </w:rPr>
              <w:t>户/</w:t>
            </w:r>
            <w:r>
              <w:rPr>
                <w:rFonts w:hint="eastAsia" w:ascii="Times New Roman" w:hAnsi="Times New Roman"/>
                <w:color w:val="auto"/>
                <w:sz w:val="21"/>
                <w:szCs w:val="21"/>
                <w:highlight w:val="none"/>
              </w:rPr>
              <w:t>42</w:t>
            </w:r>
            <w:r>
              <w:rPr>
                <w:rFonts w:ascii="Times New Roman" w:hAnsi="Times New Roman"/>
                <w:color w:val="auto"/>
                <w:sz w:val="21"/>
                <w:szCs w:val="21"/>
                <w:highlight w:val="none"/>
              </w:rPr>
              <w:t>人</w:t>
            </w:r>
          </w:p>
        </w:tc>
      </w:tr>
      <w:tr w14:paraId="2679D65F">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851" w:type="dxa"/>
            <w:vMerge w:val="continue"/>
            <w:tcBorders>
              <w:tl2br w:val="nil"/>
              <w:tr2bl w:val="nil"/>
            </w:tcBorders>
            <w:vAlign w:val="center"/>
          </w:tcPr>
          <w:p w14:paraId="0BB0C8A2">
            <w:pPr>
              <w:ind w:left="-105" w:right="-105"/>
              <w:jc w:val="center"/>
              <w:rPr>
                <w:rFonts w:ascii="Times New Roman" w:hAnsi="Times New Roman"/>
                <w:color w:val="auto"/>
                <w:sz w:val="21"/>
                <w:szCs w:val="21"/>
                <w:highlight w:val="none"/>
                <w:lang w:val="zh-CN" w:bidi="zh-CN"/>
              </w:rPr>
            </w:pPr>
          </w:p>
        </w:tc>
        <w:tc>
          <w:tcPr>
            <w:tcW w:w="704" w:type="dxa"/>
            <w:tcBorders>
              <w:tl2br w:val="nil"/>
              <w:tr2bl w:val="nil"/>
            </w:tcBorders>
            <w:vAlign w:val="center"/>
          </w:tcPr>
          <w:p w14:paraId="1B9A75A7">
            <w:pPr>
              <w:pStyle w:val="97"/>
              <w:numPr>
                <w:ilvl w:val="0"/>
                <w:numId w:val="13"/>
              </w:numPr>
              <w:ind w:left="-105" w:right="-105" w:firstLineChars="0"/>
              <w:jc w:val="center"/>
              <w:rPr>
                <w:rFonts w:eastAsia="宋体"/>
                <w:color w:val="auto"/>
                <w:kern w:val="0"/>
                <w:sz w:val="21"/>
                <w:szCs w:val="21"/>
                <w:highlight w:val="none"/>
                <w:lang w:val="zh-CN" w:bidi="zh-CN"/>
              </w:rPr>
            </w:pPr>
          </w:p>
        </w:tc>
        <w:tc>
          <w:tcPr>
            <w:tcW w:w="2131" w:type="dxa"/>
            <w:gridSpan w:val="3"/>
            <w:tcBorders>
              <w:tl2br w:val="nil"/>
              <w:tr2bl w:val="nil"/>
            </w:tcBorders>
            <w:shd w:val="clear" w:color="auto" w:fill="auto"/>
            <w:vAlign w:val="center"/>
          </w:tcPr>
          <w:p w14:paraId="78979659">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斗山茶文化中心</w:t>
            </w:r>
          </w:p>
        </w:tc>
        <w:tc>
          <w:tcPr>
            <w:tcW w:w="1100" w:type="dxa"/>
            <w:gridSpan w:val="3"/>
            <w:tcBorders>
              <w:tl2br w:val="nil"/>
              <w:tr2bl w:val="nil"/>
            </w:tcBorders>
            <w:shd w:val="clear" w:color="auto" w:fill="auto"/>
            <w:vAlign w:val="center"/>
          </w:tcPr>
          <w:p w14:paraId="17BF1986">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NE</w:t>
            </w:r>
          </w:p>
        </w:tc>
        <w:tc>
          <w:tcPr>
            <w:tcW w:w="1278" w:type="dxa"/>
            <w:gridSpan w:val="3"/>
            <w:tcBorders>
              <w:tl2br w:val="nil"/>
              <w:tr2bl w:val="nil"/>
            </w:tcBorders>
            <w:shd w:val="clear" w:color="auto" w:fill="auto"/>
            <w:vAlign w:val="center"/>
          </w:tcPr>
          <w:p w14:paraId="65F707F3">
            <w:pPr>
              <w:ind w:left="-105" w:right="-105"/>
              <w:jc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4189</w:t>
            </w:r>
          </w:p>
        </w:tc>
        <w:tc>
          <w:tcPr>
            <w:tcW w:w="1238" w:type="dxa"/>
            <w:gridSpan w:val="3"/>
            <w:tcBorders>
              <w:tl2br w:val="nil"/>
              <w:tr2bl w:val="nil"/>
            </w:tcBorders>
            <w:shd w:val="clear" w:color="auto" w:fill="auto"/>
            <w:vAlign w:val="center"/>
          </w:tcPr>
          <w:p w14:paraId="099B22CA">
            <w:pPr>
              <w:ind w:left="-105" w:right="-105"/>
              <w:jc w:val="center"/>
              <w:rPr>
                <w:rFonts w:ascii="Times New Roman" w:hAnsi="Times New Roman"/>
                <w:color w:val="auto"/>
                <w:sz w:val="21"/>
                <w:szCs w:val="21"/>
                <w:highlight w:val="none"/>
                <w:lang w:val="zh-CN" w:bidi="zh-CN"/>
              </w:rPr>
            </w:pPr>
            <w:r>
              <w:rPr>
                <w:rFonts w:ascii="Times New Roman" w:hAnsi="Times New Roman"/>
                <w:color w:val="auto"/>
                <w:sz w:val="21"/>
                <w:szCs w:val="21"/>
                <w:highlight w:val="none"/>
              </w:rPr>
              <w:t>居住区</w:t>
            </w:r>
          </w:p>
        </w:tc>
        <w:tc>
          <w:tcPr>
            <w:tcW w:w="1748" w:type="dxa"/>
            <w:tcBorders>
              <w:tl2br w:val="nil"/>
              <w:tr2bl w:val="nil"/>
            </w:tcBorders>
            <w:shd w:val="clear" w:color="auto" w:fill="auto"/>
            <w:vAlign w:val="center"/>
          </w:tcPr>
          <w:p w14:paraId="04351580">
            <w:pPr>
              <w:ind w:left="-105" w:right="-105"/>
              <w:jc w:val="center"/>
              <w:rPr>
                <w:rFonts w:ascii="Times New Roman" w:hAnsi="Times New Roman"/>
                <w:color w:val="auto"/>
                <w:sz w:val="21"/>
                <w:szCs w:val="21"/>
                <w:highlight w:val="none"/>
                <w:lang w:val="zh-CN" w:bidi="zh-CN"/>
              </w:rPr>
            </w:pPr>
            <w:r>
              <w:rPr>
                <w:rFonts w:ascii="Times New Roman" w:hAnsi="Times New Roman"/>
                <w:color w:val="auto"/>
                <w:sz w:val="21"/>
                <w:szCs w:val="21"/>
                <w:highlight w:val="none"/>
              </w:rPr>
              <w:t>/人</w:t>
            </w:r>
          </w:p>
        </w:tc>
      </w:tr>
      <w:tr w14:paraId="172C04E2">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851" w:type="dxa"/>
            <w:vMerge w:val="continue"/>
            <w:tcBorders>
              <w:tl2br w:val="nil"/>
              <w:tr2bl w:val="nil"/>
            </w:tcBorders>
            <w:vAlign w:val="center"/>
          </w:tcPr>
          <w:p w14:paraId="162C0EF2">
            <w:pPr>
              <w:ind w:left="-105" w:right="-105"/>
              <w:jc w:val="center"/>
              <w:rPr>
                <w:rFonts w:ascii="Times New Roman" w:hAnsi="Times New Roman"/>
                <w:color w:val="auto"/>
                <w:sz w:val="21"/>
                <w:szCs w:val="21"/>
                <w:highlight w:val="none"/>
                <w:lang w:val="zh-CN" w:bidi="zh-CN"/>
              </w:rPr>
            </w:pPr>
          </w:p>
        </w:tc>
        <w:tc>
          <w:tcPr>
            <w:tcW w:w="704" w:type="dxa"/>
            <w:tcBorders>
              <w:tl2br w:val="nil"/>
              <w:tr2bl w:val="nil"/>
            </w:tcBorders>
            <w:vAlign w:val="center"/>
          </w:tcPr>
          <w:p w14:paraId="6D6B96FB">
            <w:pPr>
              <w:pStyle w:val="97"/>
              <w:numPr>
                <w:ilvl w:val="0"/>
                <w:numId w:val="13"/>
              </w:numPr>
              <w:ind w:left="-105" w:right="-105" w:firstLineChars="0"/>
              <w:jc w:val="center"/>
              <w:rPr>
                <w:rFonts w:eastAsia="宋体"/>
                <w:color w:val="auto"/>
                <w:kern w:val="0"/>
                <w:sz w:val="21"/>
                <w:szCs w:val="21"/>
                <w:highlight w:val="none"/>
                <w:lang w:val="zh-CN" w:bidi="zh-CN"/>
              </w:rPr>
            </w:pPr>
          </w:p>
        </w:tc>
        <w:tc>
          <w:tcPr>
            <w:tcW w:w="2131" w:type="dxa"/>
            <w:gridSpan w:val="3"/>
            <w:tcBorders>
              <w:tl2br w:val="nil"/>
              <w:tr2bl w:val="nil"/>
            </w:tcBorders>
            <w:shd w:val="clear" w:color="auto" w:fill="auto"/>
            <w:vAlign w:val="center"/>
          </w:tcPr>
          <w:p w14:paraId="2A7BC0B3">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水渠岸</w:t>
            </w:r>
          </w:p>
        </w:tc>
        <w:tc>
          <w:tcPr>
            <w:tcW w:w="1100" w:type="dxa"/>
            <w:gridSpan w:val="3"/>
            <w:tcBorders>
              <w:tl2br w:val="nil"/>
              <w:tr2bl w:val="nil"/>
            </w:tcBorders>
            <w:shd w:val="clear" w:color="auto" w:fill="auto"/>
            <w:vAlign w:val="center"/>
          </w:tcPr>
          <w:p w14:paraId="39197247">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NW</w:t>
            </w:r>
          </w:p>
        </w:tc>
        <w:tc>
          <w:tcPr>
            <w:tcW w:w="1278" w:type="dxa"/>
            <w:gridSpan w:val="3"/>
            <w:tcBorders>
              <w:tl2br w:val="nil"/>
              <w:tr2bl w:val="nil"/>
            </w:tcBorders>
            <w:shd w:val="clear" w:color="auto" w:fill="auto"/>
            <w:vAlign w:val="center"/>
          </w:tcPr>
          <w:p w14:paraId="485E582A">
            <w:pPr>
              <w:ind w:left="-105" w:right="-105"/>
              <w:jc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4261</w:t>
            </w:r>
          </w:p>
        </w:tc>
        <w:tc>
          <w:tcPr>
            <w:tcW w:w="1238" w:type="dxa"/>
            <w:gridSpan w:val="3"/>
            <w:tcBorders>
              <w:tl2br w:val="nil"/>
              <w:tr2bl w:val="nil"/>
            </w:tcBorders>
            <w:shd w:val="clear" w:color="auto" w:fill="auto"/>
            <w:vAlign w:val="center"/>
          </w:tcPr>
          <w:p w14:paraId="74B0F066">
            <w:pPr>
              <w:ind w:left="-105" w:right="-105"/>
              <w:jc w:val="center"/>
              <w:rPr>
                <w:rFonts w:ascii="Times New Roman" w:hAnsi="Times New Roman"/>
                <w:color w:val="auto"/>
                <w:sz w:val="21"/>
                <w:szCs w:val="21"/>
                <w:highlight w:val="none"/>
                <w:lang w:val="zh-CN" w:bidi="zh-CN"/>
              </w:rPr>
            </w:pPr>
            <w:r>
              <w:rPr>
                <w:rFonts w:ascii="Times New Roman" w:hAnsi="Times New Roman"/>
                <w:color w:val="auto"/>
                <w:sz w:val="21"/>
                <w:szCs w:val="21"/>
                <w:highlight w:val="none"/>
              </w:rPr>
              <w:t>居住区</w:t>
            </w:r>
          </w:p>
        </w:tc>
        <w:tc>
          <w:tcPr>
            <w:tcW w:w="1748" w:type="dxa"/>
            <w:tcBorders>
              <w:tl2br w:val="nil"/>
              <w:tr2bl w:val="nil"/>
            </w:tcBorders>
            <w:shd w:val="clear" w:color="auto" w:fill="auto"/>
            <w:vAlign w:val="center"/>
          </w:tcPr>
          <w:p w14:paraId="2A7243EB">
            <w:pPr>
              <w:ind w:left="-105" w:right="-105"/>
              <w:jc w:val="center"/>
              <w:rPr>
                <w:rFonts w:ascii="Times New Roman" w:hAnsi="Times New Roman"/>
                <w:color w:val="auto"/>
                <w:sz w:val="21"/>
                <w:szCs w:val="21"/>
                <w:highlight w:val="none"/>
                <w:lang w:val="zh-CN" w:bidi="zh-CN"/>
              </w:rPr>
            </w:pPr>
            <w:r>
              <w:rPr>
                <w:rFonts w:hint="eastAsia" w:ascii="Times New Roman" w:hAnsi="Times New Roman"/>
                <w:color w:val="auto"/>
                <w:sz w:val="21"/>
                <w:szCs w:val="21"/>
                <w:highlight w:val="none"/>
              </w:rPr>
              <w:t>10</w:t>
            </w:r>
            <w:r>
              <w:rPr>
                <w:rFonts w:ascii="Times New Roman" w:hAnsi="Times New Roman"/>
                <w:color w:val="auto"/>
                <w:sz w:val="21"/>
                <w:szCs w:val="21"/>
                <w:highlight w:val="none"/>
              </w:rPr>
              <w:t>户/</w:t>
            </w:r>
            <w:r>
              <w:rPr>
                <w:rFonts w:hint="eastAsia" w:ascii="Times New Roman" w:hAnsi="Times New Roman"/>
                <w:color w:val="auto"/>
                <w:sz w:val="21"/>
                <w:szCs w:val="21"/>
                <w:highlight w:val="none"/>
              </w:rPr>
              <w:t>35</w:t>
            </w:r>
            <w:r>
              <w:rPr>
                <w:rFonts w:ascii="Times New Roman" w:hAnsi="Times New Roman"/>
                <w:color w:val="auto"/>
                <w:sz w:val="21"/>
                <w:szCs w:val="21"/>
                <w:highlight w:val="none"/>
              </w:rPr>
              <w:t>人</w:t>
            </w:r>
          </w:p>
        </w:tc>
      </w:tr>
      <w:tr w14:paraId="604B2A80">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851" w:type="dxa"/>
            <w:vMerge w:val="continue"/>
            <w:tcBorders>
              <w:tl2br w:val="nil"/>
              <w:tr2bl w:val="nil"/>
            </w:tcBorders>
            <w:vAlign w:val="center"/>
          </w:tcPr>
          <w:p w14:paraId="34FC9830">
            <w:pPr>
              <w:ind w:left="-105" w:right="-105"/>
              <w:jc w:val="center"/>
              <w:rPr>
                <w:rFonts w:ascii="Times New Roman" w:hAnsi="Times New Roman"/>
                <w:color w:val="auto"/>
                <w:sz w:val="21"/>
                <w:szCs w:val="21"/>
                <w:highlight w:val="none"/>
                <w:lang w:val="zh-CN" w:bidi="zh-CN"/>
              </w:rPr>
            </w:pPr>
          </w:p>
        </w:tc>
        <w:tc>
          <w:tcPr>
            <w:tcW w:w="704" w:type="dxa"/>
            <w:tcBorders>
              <w:tl2br w:val="nil"/>
              <w:tr2bl w:val="nil"/>
            </w:tcBorders>
            <w:vAlign w:val="center"/>
          </w:tcPr>
          <w:p w14:paraId="5048831F">
            <w:pPr>
              <w:pStyle w:val="97"/>
              <w:numPr>
                <w:ilvl w:val="0"/>
                <w:numId w:val="13"/>
              </w:numPr>
              <w:ind w:left="-105" w:right="-105" w:firstLineChars="0"/>
              <w:jc w:val="center"/>
              <w:rPr>
                <w:rFonts w:eastAsia="宋体"/>
                <w:color w:val="auto"/>
                <w:kern w:val="0"/>
                <w:sz w:val="21"/>
                <w:szCs w:val="21"/>
                <w:highlight w:val="none"/>
                <w:lang w:val="zh-CN" w:bidi="zh-CN"/>
              </w:rPr>
            </w:pPr>
          </w:p>
        </w:tc>
        <w:tc>
          <w:tcPr>
            <w:tcW w:w="2131" w:type="dxa"/>
            <w:gridSpan w:val="3"/>
            <w:tcBorders>
              <w:tl2br w:val="nil"/>
              <w:tr2bl w:val="nil"/>
            </w:tcBorders>
            <w:shd w:val="clear" w:color="auto" w:fill="auto"/>
            <w:vAlign w:val="center"/>
          </w:tcPr>
          <w:p w14:paraId="45CAFD4E">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辛巷村</w:t>
            </w:r>
          </w:p>
        </w:tc>
        <w:tc>
          <w:tcPr>
            <w:tcW w:w="1100" w:type="dxa"/>
            <w:gridSpan w:val="3"/>
            <w:tcBorders>
              <w:tl2br w:val="nil"/>
              <w:tr2bl w:val="nil"/>
            </w:tcBorders>
            <w:shd w:val="clear" w:color="auto" w:fill="auto"/>
            <w:vAlign w:val="center"/>
          </w:tcPr>
          <w:p w14:paraId="05C76E22">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NW</w:t>
            </w:r>
          </w:p>
        </w:tc>
        <w:tc>
          <w:tcPr>
            <w:tcW w:w="1278" w:type="dxa"/>
            <w:gridSpan w:val="3"/>
            <w:tcBorders>
              <w:tl2br w:val="nil"/>
              <w:tr2bl w:val="nil"/>
            </w:tcBorders>
            <w:shd w:val="clear" w:color="auto" w:fill="auto"/>
            <w:vAlign w:val="center"/>
          </w:tcPr>
          <w:p w14:paraId="538BB069">
            <w:pPr>
              <w:ind w:left="-105" w:right="-105"/>
              <w:jc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4638</w:t>
            </w:r>
          </w:p>
        </w:tc>
        <w:tc>
          <w:tcPr>
            <w:tcW w:w="1238" w:type="dxa"/>
            <w:gridSpan w:val="3"/>
            <w:tcBorders>
              <w:tl2br w:val="nil"/>
              <w:tr2bl w:val="nil"/>
            </w:tcBorders>
            <w:shd w:val="clear" w:color="auto" w:fill="auto"/>
            <w:vAlign w:val="center"/>
          </w:tcPr>
          <w:p w14:paraId="5E93B4C1">
            <w:pPr>
              <w:ind w:left="-105" w:right="-105"/>
              <w:jc w:val="center"/>
              <w:rPr>
                <w:rFonts w:ascii="Times New Roman" w:hAnsi="Times New Roman"/>
                <w:color w:val="auto"/>
                <w:sz w:val="21"/>
                <w:szCs w:val="21"/>
                <w:highlight w:val="none"/>
                <w:lang w:val="zh-CN" w:bidi="zh-CN"/>
              </w:rPr>
            </w:pPr>
            <w:r>
              <w:rPr>
                <w:rFonts w:ascii="Times New Roman" w:hAnsi="Times New Roman"/>
                <w:color w:val="auto"/>
                <w:sz w:val="21"/>
                <w:szCs w:val="21"/>
                <w:highlight w:val="none"/>
              </w:rPr>
              <w:t>居住区</w:t>
            </w:r>
          </w:p>
        </w:tc>
        <w:tc>
          <w:tcPr>
            <w:tcW w:w="1748" w:type="dxa"/>
            <w:tcBorders>
              <w:tl2br w:val="nil"/>
              <w:tr2bl w:val="nil"/>
            </w:tcBorders>
            <w:shd w:val="clear" w:color="auto" w:fill="auto"/>
            <w:vAlign w:val="center"/>
          </w:tcPr>
          <w:p w14:paraId="054EC512">
            <w:pPr>
              <w:ind w:left="-105" w:right="-105"/>
              <w:jc w:val="center"/>
              <w:rPr>
                <w:rFonts w:ascii="Times New Roman" w:hAnsi="Times New Roman"/>
                <w:color w:val="auto"/>
                <w:sz w:val="21"/>
                <w:szCs w:val="21"/>
                <w:highlight w:val="none"/>
                <w:lang w:val="zh-CN" w:bidi="zh-CN"/>
              </w:rPr>
            </w:pPr>
            <w:r>
              <w:rPr>
                <w:rFonts w:hint="eastAsia" w:ascii="Times New Roman" w:hAnsi="Times New Roman"/>
                <w:color w:val="auto"/>
                <w:sz w:val="21"/>
                <w:szCs w:val="21"/>
                <w:highlight w:val="none"/>
              </w:rPr>
              <w:t>50</w:t>
            </w:r>
            <w:r>
              <w:rPr>
                <w:rFonts w:ascii="Times New Roman" w:hAnsi="Times New Roman"/>
                <w:color w:val="auto"/>
                <w:sz w:val="21"/>
                <w:szCs w:val="21"/>
                <w:highlight w:val="none"/>
              </w:rPr>
              <w:t>户/</w:t>
            </w:r>
            <w:r>
              <w:rPr>
                <w:rFonts w:hint="eastAsia" w:ascii="Times New Roman" w:hAnsi="Times New Roman"/>
                <w:color w:val="auto"/>
                <w:sz w:val="21"/>
                <w:szCs w:val="21"/>
                <w:highlight w:val="none"/>
              </w:rPr>
              <w:t>175</w:t>
            </w:r>
            <w:r>
              <w:rPr>
                <w:rFonts w:ascii="Times New Roman" w:hAnsi="Times New Roman"/>
                <w:color w:val="auto"/>
                <w:sz w:val="21"/>
                <w:szCs w:val="21"/>
                <w:highlight w:val="none"/>
              </w:rPr>
              <w:t>人</w:t>
            </w:r>
          </w:p>
        </w:tc>
      </w:tr>
      <w:tr w14:paraId="13E5B42B">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851" w:type="dxa"/>
            <w:vMerge w:val="continue"/>
            <w:tcBorders>
              <w:tl2br w:val="nil"/>
              <w:tr2bl w:val="nil"/>
            </w:tcBorders>
            <w:vAlign w:val="center"/>
          </w:tcPr>
          <w:p w14:paraId="47D10836">
            <w:pPr>
              <w:ind w:left="-105" w:right="-105"/>
              <w:jc w:val="center"/>
              <w:rPr>
                <w:rFonts w:ascii="Times New Roman" w:hAnsi="Times New Roman"/>
                <w:color w:val="auto"/>
                <w:sz w:val="21"/>
                <w:szCs w:val="21"/>
                <w:highlight w:val="none"/>
                <w:lang w:val="zh-CN" w:bidi="zh-CN"/>
              </w:rPr>
            </w:pPr>
          </w:p>
        </w:tc>
        <w:tc>
          <w:tcPr>
            <w:tcW w:w="704" w:type="dxa"/>
            <w:tcBorders>
              <w:tl2br w:val="nil"/>
              <w:tr2bl w:val="nil"/>
            </w:tcBorders>
            <w:vAlign w:val="center"/>
          </w:tcPr>
          <w:p w14:paraId="547D50C5">
            <w:pPr>
              <w:pStyle w:val="97"/>
              <w:numPr>
                <w:ilvl w:val="0"/>
                <w:numId w:val="13"/>
              </w:numPr>
              <w:ind w:left="-105" w:right="-105" w:firstLineChars="0"/>
              <w:jc w:val="center"/>
              <w:rPr>
                <w:rFonts w:eastAsia="宋体"/>
                <w:color w:val="auto"/>
                <w:kern w:val="0"/>
                <w:sz w:val="21"/>
                <w:szCs w:val="21"/>
                <w:highlight w:val="none"/>
                <w:lang w:val="zh-CN" w:bidi="zh-CN"/>
              </w:rPr>
            </w:pPr>
          </w:p>
        </w:tc>
        <w:tc>
          <w:tcPr>
            <w:tcW w:w="2131" w:type="dxa"/>
            <w:gridSpan w:val="3"/>
            <w:tcBorders>
              <w:tl2br w:val="nil"/>
              <w:tr2bl w:val="nil"/>
            </w:tcBorders>
            <w:shd w:val="clear" w:color="auto" w:fill="auto"/>
            <w:vAlign w:val="center"/>
          </w:tcPr>
          <w:p w14:paraId="698C8B81">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潘巷上</w:t>
            </w:r>
          </w:p>
        </w:tc>
        <w:tc>
          <w:tcPr>
            <w:tcW w:w="1100" w:type="dxa"/>
            <w:gridSpan w:val="3"/>
            <w:tcBorders>
              <w:tl2br w:val="nil"/>
              <w:tr2bl w:val="nil"/>
            </w:tcBorders>
            <w:shd w:val="clear" w:color="auto" w:fill="auto"/>
            <w:vAlign w:val="center"/>
          </w:tcPr>
          <w:p w14:paraId="660D950D">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NE</w:t>
            </w:r>
          </w:p>
        </w:tc>
        <w:tc>
          <w:tcPr>
            <w:tcW w:w="1278" w:type="dxa"/>
            <w:gridSpan w:val="3"/>
            <w:tcBorders>
              <w:tl2br w:val="nil"/>
              <w:tr2bl w:val="nil"/>
            </w:tcBorders>
            <w:shd w:val="clear" w:color="auto" w:fill="auto"/>
            <w:vAlign w:val="center"/>
          </w:tcPr>
          <w:p w14:paraId="07124906">
            <w:pPr>
              <w:ind w:left="-105" w:right="-105"/>
              <w:jc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4532</w:t>
            </w:r>
          </w:p>
        </w:tc>
        <w:tc>
          <w:tcPr>
            <w:tcW w:w="1238" w:type="dxa"/>
            <w:gridSpan w:val="3"/>
            <w:tcBorders>
              <w:tl2br w:val="nil"/>
              <w:tr2bl w:val="nil"/>
            </w:tcBorders>
            <w:shd w:val="clear" w:color="auto" w:fill="auto"/>
            <w:vAlign w:val="center"/>
          </w:tcPr>
          <w:p w14:paraId="128EE653">
            <w:pPr>
              <w:ind w:left="-105" w:right="-105"/>
              <w:jc w:val="center"/>
              <w:rPr>
                <w:rFonts w:ascii="Times New Roman" w:hAnsi="Times New Roman"/>
                <w:color w:val="auto"/>
                <w:sz w:val="21"/>
                <w:szCs w:val="21"/>
                <w:highlight w:val="none"/>
                <w:lang w:val="zh-CN" w:bidi="zh-CN"/>
              </w:rPr>
            </w:pPr>
            <w:r>
              <w:rPr>
                <w:rFonts w:ascii="Times New Roman" w:hAnsi="Times New Roman"/>
                <w:color w:val="auto"/>
                <w:sz w:val="21"/>
                <w:szCs w:val="21"/>
                <w:highlight w:val="none"/>
              </w:rPr>
              <w:t>居住区</w:t>
            </w:r>
          </w:p>
        </w:tc>
        <w:tc>
          <w:tcPr>
            <w:tcW w:w="1748" w:type="dxa"/>
            <w:tcBorders>
              <w:tl2br w:val="nil"/>
              <w:tr2bl w:val="nil"/>
            </w:tcBorders>
            <w:shd w:val="clear" w:color="auto" w:fill="auto"/>
            <w:vAlign w:val="center"/>
          </w:tcPr>
          <w:p w14:paraId="3547B3AD">
            <w:pPr>
              <w:ind w:left="-105" w:right="-105"/>
              <w:jc w:val="center"/>
              <w:rPr>
                <w:rFonts w:ascii="Times New Roman" w:hAnsi="Times New Roman"/>
                <w:color w:val="auto"/>
                <w:sz w:val="21"/>
                <w:szCs w:val="21"/>
                <w:highlight w:val="none"/>
                <w:lang w:val="zh-CN" w:bidi="zh-CN"/>
              </w:rPr>
            </w:pPr>
            <w:r>
              <w:rPr>
                <w:rFonts w:hint="eastAsia" w:ascii="Times New Roman" w:hAnsi="Times New Roman"/>
                <w:color w:val="auto"/>
                <w:sz w:val="21"/>
                <w:szCs w:val="21"/>
                <w:highlight w:val="none"/>
              </w:rPr>
              <w:t>8</w:t>
            </w:r>
            <w:r>
              <w:rPr>
                <w:rFonts w:ascii="Times New Roman" w:hAnsi="Times New Roman"/>
                <w:color w:val="auto"/>
                <w:sz w:val="21"/>
                <w:szCs w:val="21"/>
                <w:highlight w:val="none"/>
              </w:rPr>
              <w:t>户/</w:t>
            </w:r>
            <w:r>
              <w:rPr>
                <w:rFonts w:hint="eastAsia" w:ascii="Times New Roman" w:hAnsi="Times New Roman"/>
                <w:color w:val="auto"/>
                <w:sz w:val="21"/>
                <w:szCs w:val="21"/>
                <w:highlight w:val="none"/>
              </w:rPr>
              <w:t>28</w:t>
            </w:r>
            <w:r>
              <w:rPr>
                <w:rFonts w:ascii="Times New Roman" w:hAnsi="Times New Roman"/>
                <w:color w:val="auto"/>
                <w:sz w:val="21"/>
                <w:szCs w:val="21"/>
                <w:highlight w:val="none"/>
              </w:rPr>
              <w:t>人</w:t>
            </w:r>
          </w:p>
        </w:tc>
      </w:tr>
      <w:tr w14:paraId="073A0C27">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851" w:type="dxa"/>
            <w:vMerge w:val="continue"/>
            <w:tcBorders>
              <w:tl2br w:val="nil"/>
              <w:tr2bl w:val="nil"/>
            </w:tcBorders>
            <w:vAlign w:val="center"/>
          </w:tcPr>
          <w:p w14:paraId="1337A7AB">
            <w:pPr>
              <w:ind w:left="-105" w:right="-105"/>
              <w:jc w:val="center"/>
              <w:rPr>
                <w:rFonts w:ascii="Times New Roman" w:hAnsi="Times New Roman"/>
                <w:color w:val="auto"/>
                <w:sz w:val="21"/>
                <w:szCs w:val="21"/>
                <w:highlight w:val="none"/>
                <w:lang w:val="zh-CN" w:bidi="zh-CN"/>
              </w:rPr>
            </w:pPr>
          </w:p>
        </w:tc>
        <w:tc>
          <w:tcPr>
            <w:tcW w:w="704" w:type="dxa"/>
            <w:tcBorders>
              <w:tl2br w:val="nil"/>
              <w:tr2bl w:val="nil"/>
            </w:tcBorders>
            <w:vAlign w:val="center"/>
          </w:tcPr>
          <w:p w14:paraId="3963820B">
            <w:pPr>
              <w:pStyle w:val="97"/>
              <w:numPr>
                <w:ilvl w:val="0"/>
                <w:numId w:val="13"/>
              </w:numPr>
              <w:ind w:left="-105" w:right="-105" w:firstLineChars="0"/>
              <w:jc w:val="center"/>
              <w:rPr>
                <w:rFonts w:eastAsia="宋体"/>
                <w:color w:val="auto"/>
                <w:kern w:val="0"/>
                <w:sz w:val="21"/>
                <w:szCs w:val="21"/>
                <w:highlight w:val="none"/>
                <w:lang w:val="zh-CN" w:bidi="zh-CN"/>
              </w:rPr>
            </w:pPr>
          </w:p>
        </w:tc>
        <w:tc>
          <w:tcPr>
            <w:tcW w:w="2131" w:type="dxa"/>
            <w:gridSpan w:val="3"/>
            <w:tcBorders>
              <w:tl2br w:val="nil"/>
              <w:tr2bl w:val="nil"/>
            </w:tcBorders>
            <w:shd w:val="clear" w:color="auto" w:fill="auto"/>
            <w:vAlign w:val="center"/>
          </w:tcPr>
          <w:p w14:paraId="0194E6AD">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陆北庄</w:t>
            </w:r>
          </w:p>
        </w:tc>
        <w:tc>
          <w:tcPr>
            <w:tcW w:w="1100" w:type="dxa"/>
            <w:gridSpan w:val="3"/>
            <w:tcBorders>
              <w:tl2br w:val="nil"/>
              <w:tr2bl w:val="nil"/>
            </w:tcBorders>
            <w:shd w:val="clear" w:color="auto" w:fill="auto"/>
            <w:vAlign w:val="center"/>
          </w:tcPr>
          <w:p w14:paraId="2B8BC4E3">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NW</w:t>
            </w:r>
          </w:p>
        </w:tc>
        <w:tc>
          <w:tcPr>
            <w:tcW w:w="1278" w:type="dxa"/>
            <w:gridSpan w:val="3"/>
            <w:tcBorders>
              <w:tl2br w:val="nil"/>
              <w:tr2bl w:val="nil"/>
            </w:tcBorders>
            <w:shd w:val="clear" w:color="auto" w:fill="auto"/>
            <w:vAlign w:val="center"/>
          </w:tcPr>
          <w:p w14:paraId="7A423A68">
            <w:pPr>
              <w:ind w:left="-105" w:right="-105"/>
              <w:jc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4629</w:t>
            </w:r>
          </w:p>
        </w:tc>
        <w:tc>
          <w:tcPr>
            <w:tcW w:w="1238" w:type="dxa"/>
            <w:gridSpan w:val="3"/>
            <w:tcBorders>
              <w:tl2br w:val="nil"/>
              <w:tr2bl w:val="nil"/>
            </w:tcBorders>
            <w:shd w:val="clear" w:color="auto" w:fill="auto"/>
            <w:vAlign w:val="center"/>
          </w:tcPr>
          <w:p w14:paraId="07EDDAB7">
            <w:pPr>
              <w:ind w:left="-105" w:right="-105"/>
              <w:jc w:val="center"/>
              <w:rPr>
                <w:rFonts w:ascii="Times New Roman" w:hAnsi="Times New Roman"/>
                <w:color w:val="auto"/>
                <w:sz w:val="21"/>
                <w:szCs w:val="21"/>
                <w:highlight w:val="none"/>
                <w:lang w:val="zh-CN" w:bidi="zh-CN"/>
              </w:rPr>
            </w:pPr>
            <w:r>
              <w:rPr>
                <w:rFonts w:ascii="Times New Roman" w:hAnsi="Times New Roman"/>
                <w:color w:val="auto"/>
                <w:sz w:val="21"/>
                <w:szCs w:val="21"/>
                <w:highlight w:val="none"/>
              </w:rPr>
              <w:t>居住区</w:t>
            </w:r>
          </w:p>
        </w:tc>
        <w:tc>
          <w:tcPr>
            <w:tcW w:w="1748" w:type="dxa"/>
            <w:tcBorders>
              <w:tl2br w:val="nil"/>
              <w:tr2bl w:val="nil"/>
            </w:tcBorders>
            <w:shd w:val="clear" w:color="auto" w:fill="auto"/>
            <w:vAlign w:val="center"/>
          </w:tcPr>
          <w:p w14:paraId="01460477">
            <w:pPr>
              <w:ind w:left="-105" w:right="-105"/>
              <w:jc w:val="center"/>
              <w:rPr>
                <w:rFonts w:ascii="Times New Roman" w:hAnsi="Times New Roman"/>
                <w:color w:val="auto"/>
                <w:sz w:val="21"/>
                <w:szCs w:val="21"/>
                <w:highlight w:val="none"/>
                <w:lang w:val="zh-CN" w:bidi="zh-CN"/>
              </w:rPr>
            </w:pPr>
            <w:r>
              <w:rPr>
                <w:rFonts w:hint="eastAsia" w:ascii="Times New Roman" w:hAnsi="Times New Roman"/>
                <w:color w:val="auto"/>
                <w:sz w:val="21"/>
                <w:szCs w:val="21"/>
                <w:highlight w:val="none"/>
              </w:rPr>
              <w:t>120</w:t>
            </w:r>
            <w:r>
              <w:rPr>
                <w:rFonts w:ascii="Times New Roman" w:hAnsi="Times New Roman"/>
                <w:color w:val="auto"/>
                <w:sz w:val="21"/>
                <w:szCs w:val="21"/>
                <w:highlight w:val="none"/>
              </w:rPr>
              <w:t>户/</w:t>
            </w:r>
            <w:r>
              <w:rPr>
                <w:rFonts w:hint="eastAsia" w:ascii="Times New Roman" w:hAnsi="Times New Roman"/>
                <w:color w:val="auto"/>
                <w:sz w:val="21"/>
                <w:szCs w:val="21"/>
                <w:highlight w:val="none"/>
              </w:rPr>
              <w:t>420</w:t>
            </w:r>
            <w:r>
              <w:rPr>
                <w:rFonts w:ascii="Times New Roman" w:hAnsi="Times New Roman"/>
                <w:color w:val="auto"/>
                <w:sz w:val="21"/>
                <w:szCs w:val="21"/>
                <w:highlight w:val="none"/>
              </w:rPr>
              <w:t>人</w:t>
            </w:r>
          </w:p>
        </w:tc>
      </w:tr>
      <w:tr w14:paraId="362901C8">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851" w:type="dxa"/>
            <w:vMerge w:val="continue"/>
            <w:tcBorders>
              <w:tl2br w:val="nil"/>
              <w:tr2bl w:val="nil"/>
            </w:tcBorders>
            <w:vAlign w:val="center"/>
          </w:tcPr>
          <w:p w14:paraId="066AFD44">
            <w:pPr>
              <w:ind w:left="-105" w:right="-105"/>
              <w:jc w:val="center"/>
              <w:rPr>
                <w:rFonts w:ascii="Times New Roman" w:hAnsi="Times New Roman"/>
                <w:color w:val="auto"/>
                <w:sz w:val="21"/>
                <w:szCs w:val="21"/>
                <w:highlight w:val="none"/>
                <w:lang w:val="zh-CN" w:bidi="zh-CN"/>
              </w:rPr>
            </w:pPr>
          </w:p>
        </w:tc>
        <w:tc>
          <w:tcPr>
            <w:tcW w:w="704" w:type="dxa"/>
            <w:tcBorders>
              <w:tl2br w:val="nil"/>
              <w:tr2bl w:val="nil"/>
            </w:tcBorders>
            <w:vAlign w:val="center"/>
          </w:tcPr>
          <w:p w14:paraId="505CCBAE">
            <w:pPr>
              <w:pStyle w:val="97"/>
              <w:numPr>
                <w:ilvl w:val="0"/>
                <w:numId w:val="13"/>
              </w:numPr>
              <w:ind w:left="-105" w:right="-105" w:firstLineChars="0"/>
              <w:jc w:val="center"/>
              <w:rPr>
                <w:rFonts w:eastAsia="宋体"/>
                <w:color w:val="auto"/>
                <w:kern w:val="0"/>
                <w:sz w:val="21"/>
                <w:szCs w:val="21"/>
                <w:highlight w:val="none"/>
                <w:lang w:val="zh-CN" w:bidi="zh-CN"/>
              </w:rPr>
            </w:pPr>
          </w:p>
        </w:tc>
        <w:tc>
          <w:tcPr>
            <w:tcW w:w="2131" w:type="dxa"/>
            <w:gridSpan w:val="3"/>
            <w:tcBorders>
              <w:tl2br w:val="nil"/>
              <w:tr2bl w:val="nil"/>
            </w:tcBorders>
            <w:shd w:val="clear" w:color="auto" w:fill="auto"/>
            <w:vAlign w:val="center"/>
          </w:tcPr>
          <w:p w14:paraId="7AE744A1">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西下脚</w:t>
            </w:r>
          </w:p>
        </w:tc>
        <w:tc>
          <w:tcPr>
            <w:tcW w:w="1100" w:type="dxa"/>
            <w:gridSpan w:val="3"/>
            <w:tcBorders>
              <w:tl2br w:val="nil"/>
              <w:tr2bl w:val="nil"/>
            </w:tcBorders>
            <w:shd w:val="clear" w:color="auto" w:fill="auto"/>
            <w:vAlign w:val="center"/>
          </w:tcPr>
          <w:p w14:paraId="6396B49C">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NW</w:t>
            </w:r>
          </w:p>
        </w:tc>
        <w:tc>
          <w:tcPr>
            <w:tcW w:w="1278" w:type="dxa"/>
            <w:gridSpan w:val="3"/>
            <w:tcBorders>
              <w:tl2br w:val="nil"/>
              <w:tr2bl w:val="nil"/>
            </w:tcBorders>
            <w:shd w:val="clear" w:color="auto" w:fill="auto"/>
            <w:vAlign w:val="center"/>
          </w:tcPr>
          <w:p w14:paraId="29EFF04F">
            <w:pPr>
              <w:ind w:left="-105" w:right="-105"/>
              <w:jc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4617</w:t>
            </w:r>
          </w:p>
        </w:tc>
        <w:tc>
          <w:tcPr>
            <w:tcW w:w="1238" w:type="dxa"/>
            <w:gridSpan w:val="3"/>
            <w:tcBorders>
              <w:tl2br w:val="nil"/>
              <w:tr2bl w:val="nil"/>
            </w:tcBorders>
            <w:shd w:val="clear" w:color="auto" w:fill="auto"/>
            <w:vAlign w:val="center"/>
          </w:tcPr>
          <w:p w14:paraId="1D8F2817">
            <w:pPr>
              <w:ind w:left="-105" w:right="-105"/>
              <w:jc w:val="center"/>
              <w:rPr>
                <w:rFonts w:ascii="Times New Roman" w:hAnsi="Times New Roman"/>
                <w:color w:val="auto"/>
                <w:sz w:val="21"/>
                <w:szCs w:val="21"/>
                <w:highlight w:val="none"/>
                <w:lang w:val="zh-CN" w:bidi="zh-CN"/>
              </w:rPr>
            </w:pPr>
            <w:r>
              <w:rPr>
                <w:rFonts w:ascii="Times New Roman" w:hAnsi="Times New Roman"/>
                <w:color w:val="auto"/>
                <w:sz w:val="21"/>
                <w:szCs w:val="21"/>
                <w:highlight w:val="none"/>
              </w:rPr>
              <w:t>居住区</w:t>
            </w:r>
          </w:p>
        </w:tc>
        <w:tc>
          <w:tcPr>
            <w:tcW w:w="1748" w:type="dxa"/>
            <w:tcBorders>
              <w:tl2br w:val="nil"/>
              <w:tr2bl w:val="nil"/>
            </w:tcBorders>
            <w:shd w:val="clear" w:color="auto" w:fill="auto"/>
            <w:vAlign w:val="center"/>
          </w:tcPr>
          <w:p w14:paraId="08CAB1C9">
            <w:pPr>
              <w:ind w:left="-105" w:right="-105"/>
              <w:jc w:val="center"/>
              <w:rPr>
                <w:rFonts w:ascii="Times New Roman" w:hAnsi="Times New Roman"/>
                <w:color w:val="auto"/>
                <w:sz w:val="21"/>
                <w:szCs w:val="21"/>
                <w:highlight w:val="none"/>
                <w:lang w:val="zh-CN" w:bidi="zh-CN"/>
              </w:rPr>
            </w:pPr>
            <w:r>
              <w:rPr>
                <w:rFonts w:hint="eastAsia" w:ascii="Times New Roman" w:hAnsi="Times New Roman"/>
                <w:color w:val="auto"/>
                <w:sz w:val="21"/>
                <w:szCs w:val="21"/>
                <w:highlight w:val="none"/>
              </w:rPr>
              <w:t>12</w:t>
            </w:r>
            <w:r>
              <w:rPr>
                <w:rFonts w:ascii="Times New Roman" w:hAnsi="Times New Roman"/>
                <w:color w:val="auto"/>
                <w:sz w:val="21"/>
                <w:szCs w:val="21"/>
                <w:highlight w:val="none"/>
              </w:rPr>
              <w:t>户/</w:t>
            </w:r>
            <w:r>
              <w:rPr>
                <w:rFonts w:hint="eastAsia" w:ascii="Times New Roman" w:hAnsi="Times New Roman"/>
                <w:color w:val="auto"/>
                <w:sz w:val="21"/>
                <w:szCs w:val="21"/>
                <w:highlight w:val="none"/>
              </w:rPr>
              <w:t>42</w:t>
            </w:r>
            <w:r>
              <w:rPr>
                <w:rFonts w:ascii="Times New Roman" w:hAnsi="Times New Roman"/>
                <w:color w:val="auto"/>
                <w:sz w:val="21"/>
                <w:szCs w:val="21"/>
                <w:highlight w:val="none"/>
              </w:rPr>
              <w:t>人</w:t>
            </w:r>
          </w:p>
        </w:tc>
      </w:tr>
      <w:tr w14:paraId="054EABCC">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851" w:type="dxa"/>
            <w:vMerge w:val="continue"/>
            <w:tcBorders>
              <w:tl2br w:val="nil"/>
              <w:tr2bl w:val="nil"/>
            </w:tcBorders>
            <w:vAlign w:val="center"/>
          </w:tcPr>
          <w:p w14:paraId="02695203">
            <w:pPr>
              <w:ind w:left="-105" w:right="-105"/>
              <w:jc w:val="center"/>
              <w:rPr>
                <w:rFonts w:ascii="Times New Roman" w:hAnsi="Times New Roman"/>
                <w:color w:val="auto"/>
                <w:sz w:val="21"/>
                <w:szCs w:val="21"/>
                <w:highlight w:val="none"/>
                <w:lang w:val="zh-CN" w:bidi="zh-CN"/>
              </w:rPr>
            </w:pPr>
          </w:p>
        </w:tc>
        <w:tc>
          <w:tcPr>
            <w:tcW w:w="704" w:type="dxa"/>
            <w:tcBorders>
              <w:tl2br w:val="nil"/>
              <w:tr2bl w:val="nil"/>
            </w:tcBorders>
            <w:vAlign w:val="center"/>
          </w:tcPr>
          <w:p w14:paraId="2A3CD1B5">
            <w:pPr>
              <w:pStyle w:val="97"/>
              <w:numPr>
                <w:ilvl w:val="0"/>
                <w:numId w:val="13"/>
              </w:numPr>
              <w:ind w:left="-105" w:right="-105" w:firstLineChars="0"/>
              <w:jc w:val="center"/>
              <w:rPr>
                <w:rFonts w:eastAsia="宋体"/>
                <w:color w:val="auto"/>
                <w:kern w:val="0"/>
                <w:sz w:val="21"/>
                <w:szCs w:val="21"/>
                <w:highlight w:val="none"/>
                <w:lang w:val="zh-CN" w:bidi="zh-CN"/>
              </w:rPr>
            </w:pPr>
          </w:p>
        </w:tc>
        <w:tc>
          <w:tcPr>
            <w:tcW w:w="2131" w:type="dxa"/>
            <w:gridSpan w:val="3"/>
            <w:tcBorders>
              <w:tl2br w:val="nil"/>
              <w:tr2bl w:val="nil"/>
            </w:tcBorders>
            <w:shd w:val="clear" w:color="auto" w:fill="auto"/>
            <w:vAlign w:val="center"/>
          </w:tcPr>
          <w:p w14:paraId="65D8869E">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吴许巷</w:t>
            </w:r>
          </w:p>
        </w:tc>
        <w:tc>
          <w:tcPr>
            <w:tcW w:w="1100" w:type="dxa"/>
            <w:gridSpan w:val="3"/>
            <w:tcBorders>
              <w:tl2br w:val="nil"/>
              <w:tr2bl w:val="nil"/>
            </w:tcBorders>
            <w:shd w:val="clear" w:color="auto" w:fill="auto"/>
            <w:vAlign w:val="center"/>
          </w:tcPr>
          <w:p w14:paraId="093ABF47">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E</w:t>
            </w:r>
          </w:p>
        </w:tc>
        <w:tc>
          <w:tcPr>
            <w:tcW w:w="1278" w:type="dxa"/>
            <w:gridSpan w:val="3"/>
            <w:tcBorders>
              <w:tl2br w:val="nil"/>
              <w:tr2bl w:val="nil"/>
            </w:tcBorders>
            <w:shd w:val="clear" w:color="auto" w:fill="auto"/>
            <w:vAlign w:val="center"/>
          </w:tcPr>
          <w:p w14:paraId="346AEDC9">
            <w:pPr>
              <w:ind w:left="-105" w:right="-105"/>
              <w:jc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623</w:t>
            </w:r>
          </w:p>
        </w:tc>
        <w:tc>
          <w:tcPr>
            <w:tcW w:w="1238" w:type="dxa"/>
            <w:gridSpan w:val="3"/>
            <w:tcBorders>
              <w:tl2br w:val="nil"/>
              <w:tr2bl w:val="nil"/>
            </w:tcBorders>
            <w:shd w:val="clear" w:color="auto" w:fill="auto"/>
            <w:vAlign w:val="center"/>
          </w:tcPr>
          <w:p w14:paraId="6A0C3B5E">
            <w:pPr>
              <w:ind w:left="-105" w:right="-105"/>
              <w:jc w:val="center"/>
              <w:rPr>
                <w:rFonts w:ascii="Times New Roman" w:hAnsi="Times New Roman"/>
                <w:color w:val="auto"/>
                <w:sz w:val="21"/>
                <w:szCs w:val="21"/>
                <w:highlight w:val="none"/>
                <w:lang w:val="zh-CN" w:bidi="zh-CN"/>
              </w:rPr>
            </w:pPr>
            <w:r>
              <w:rPr>
                <w:rFonts w:ascii="Times New Roman" w:hAnsi="Times New Roman"/>
                <w:color w:val="auto"/>
                <w:sz w:val="21"/>
                <w:szCs w:val="21"/>
                <w:highlight w:val="none"/>
              </w:rPr>
              <w:t>居住区</w:t>
            </w:r>
          </w:p>
        </w:tc>
        <w:tc>
          <w:tcPr>
            <w:tcW w:w="1748" w:type="dxa"/>
            <w:tcBorders>
              <w:tl2br w:val="nil"/>
              <w:tr2bl w:val="nil"/>
            </w:tcBorders>
            <w:shd w:val="clear" w:color="auto" w:fill="auto"/>
            <w:vAlign w:val="center"/>
          </w:tcPr>
          <w:p w14:paraId="23797B78">
            <w:pPr>
              <w:ind w:left="-105" w:right="-105"/>
              <w:jc w:val="center"/>
              <w:rPr>
                <w:rFonts w:ascii="Times New Roman" w:hAnsi="Times New Roman"/>
                <w:color w:val="auto"/>
                <w:sz w:val="21"/>
                <w:szCs w:val="21"/>
                <w:highlight w:val="none"/>
                <w:lang w:val="zh-CN" w:bidi="zh-CN"/>
              </w:rPr>
            </w:pPr>
            <w:r>
              <w:rPr>
                <w:rFonts w:hint="eastAsia" w:ascii="Times New Roman" w:hAnsi="Times New Roman"/>
                <w:color w:val="auto"/>
                <w:sz w:val="21"/>
                <w:szCs w:val="21"/>
                <w:highlight w:val="none"/>
              </w:rPr>
              <w:t>15</w:t>
            </w:r>
            <w:r>
              <w:rPr>
                <w:rFonts w:ascii="Times New Roman" w:hAnsi="Times New Roman"/>
                <w:color w:val="auto"/>
                <w:sz w:val="21"/>
                <w:szCs w:val="21"/>
                <w:highlight w:val="none"/>
              </w:rPr>
              <w:t>户/</w:t>
            </w:r>
            <w:r>
              <w:rPr>
                <w:rFonts w:hint="eastAsia" w:ascii="Times New Roman" w:hAnsi="Times New Roman"/>
                <w:color w:val="auto"/>
                <w:sz w:val="21"/>
                <w:szCs w:val="21"/>
                <w:highlight w:val="none"/>
              </w:rPr>
              <w:t>52</w:t>
            </w:r>
            <w:r>
              <w:rPr>
                <w:rFonts w:ascii="Times New Roman" w:hAnsi="Times New Roman"/>
                <w:color w:val="auto"/>
                <w:sz w:val="21"/>
                <w:szCs w:val="21"/>
                <w:highlight w:val="none"/>
              </w:rPr>
              <w:t>人</w:t>
            </w:r>
          </w:p>
        </w:tc>
      </w:tr>
      <w:tr w14:paraId="2A496DDC">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851" w:type="dxa"/>
            <w:vMerge w:val="continue"/>
            <w:tcBorders>
              <w:tl2br w:val="nil"/>
              <w:tr2bl w:val="nil"/>
            </w:tcBorders>
            <w:vAlign w:val="center"/>
          </w:tcPr>
          <w:p w14:paraId="7B8A88BB">
            <w:pPr>
              <w:ind w:left="-105" w:right="-105"/>
              <w:jc w:val="center"/>
              <w:rPr>
                <w:rFonts w:ascii="Times New Roman" w:hAnsi="Times New Roman"/>
                <w:color w:val="auto"/>
                <w:sz w:val="21"/>
                <w:szCs w:val="21"/>
                <w:highlight w:val="none"/>
                <w:lang w:val="zh-CN" w:bidi="zh-CN"/>
              </w:rPr>
            </w:pPr>
          </w:p>
        </w:tc>
        <w:tc>
          <w:tcPr>
            <w:tcW w:w="704" w:type="dxa"/>
            <w:tcBorders>
              <w:tl2br w:val="nil"/>
              <w:tr2bl w:val="nil"/>
            </w:tcBorders>
            <w:vAlign w:val="center"/>
          </w:tcPr>
          <w:p w14:paraId="762490B5">
            <w:pPr>
              <w:pStyle w:val="97"/>
              <w:numPr>
                <w:ilvl w:val="0"/>
                <w:numId w:val="13"/>
              </w:numPr>
              <w:ind w:left="-105" w:right="-105" w:firstLineChars="0"/>
              <w:jc w:val="center"/>
              <w:rPr>
                <w:rFonts w:eastAsia="宋体"/>
                <w:color w:val="auto"/>
                <w:kern w:val="0"/>
                <w:sz w:val="21"/>
                <w:szCs w:val="21"/>
                <w:highlight w:val="none"/>
                <w:lang w:val="zh-CN" w:bidi="zh-CN"/>
              </w:rPr>
            </w:pPr>
          </w:p>
        </w:tc>
        <w:tc>
          <w:tcPr>
            <w:tcW w:w="2131" w:type="dxa"/>
            <w:gridSpan w:val="3"/>
            <w:tcBorders>
              <w:tl2br w:val="nil"/>
              <w:tr2bl w:val="nil"/>
            </w:tcBorders>
            <w:shd w:val="clear" w:color="auto" w:fill="auto"/>
            <w:vAlign w:val="center"/>
          </w:tcPr>
          <w:p w14:paraId="1C9072DC">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马巷上</w:t>
            </w:r>
          </w:p>
        </w:tc>
        <w:tc>
          <w:tcPr>
            <w:tcW w:w="1100" w:type="dxa"/>
            <w:gridSpan w:val="3"/>
            <w:tcBorders>
              <w:tl2br w:val="nil"/>
              <w:tr2bl w:val="nil"/>
            </w:tcBorders>
            <w:shd w:val="clear" w:color="auto" w:fill="auto"/>
            <w:vAlign w:val="center"/>
          </w:tcPr>
          <w:p w14:paraId="767EE7B3">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E</w:t>
            </w:r>
          </w:p>
        </w:tc>
        <w:tc>
          <w:tcPr>
            <w:tcW w:w="1278" w:type="dxa"/>
            <w:gridSpan w:val="3"/>
            <w:tcBorders>
              <w:tl2br w:val="nil"/>
              <w:tr2bl w:val="nil"/>
            </w:tcBorders>
            <w:shd w:val="clear" w:color="auto" w:fill="auto"/>
            <w:vAlign w:val="center"/>
          </w:tcPr>
          <w:p w14:paraId="7502F88A">
            <w:pPr>
              <w:ind w:left="-105" w:right="-105"/>
              <w:jc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1069</w:t>
            </w:r>
          </w:p>
        </w:tc>
        <w:tc>
          <w:tcPr>
            <w:tcW w:w="1238" w:type="dxa"/>
            <w:gridSpan w:val="3"/>
            <w:tcBorders>
              <w:tl2br w:val="nil"/>
              <w:tr2bl w:val="nil"/>
            </w:tcBorders>
            <w:shd w:val="clear" w:color="auto" w:fill="auto"/>
            <w:vAlign w:val="center"/>
          </w:tcPr>
          <w:p w14:paraId="000AE628">
            <w:pPr>
              <w:ind w:left="-105" w:right="-105"/>
              <w:jc w:val="center"/>
              <w:rPr>
                <w:rFonts w:ascii="Times New Roman" w:hAnsi="Times New Roman"/>
                <w:color w:val="auto"/>
                <w:sz w:val="21"/>
                <w:szCs w:val="21"/>
                <w:highlight w:val="none"/>
                <w:lang w:val="zh-CN" w:bidi="zh-CN"/>
              </w:rPr>
            </w:pPr>
            <w:r>
              <w:rPr>
                <w:rFonts w:ascii="Times New Roman" w:hAnsi="Times New Roman"/>
                <w:color w:val="auto"/>
                <w:sz w:val="21"/>
                <w:szCs w:val="21"/>
                <w:highlight w:val="none"/>
              </w:rPr>
              <w:t>居住区</w:t>
            </w:r>
          </w:p>
        </w:tc>
        <w:tc>
          <w:tcPr>
            <w:tcW w:w="1748" w:type="dxa"/>
            <w:tcBorders>
              <w:tl2br w:val="nil"/>
              <w:tr2bl w:val="nil"/>
            </w:tcBorders>
            <w:shd w:val="clear" w:color="auto" w:fill="auto"/>
            <w:vAlign w:val="center"/>
          </w:tcPr>
          <w:p w14:paraId="35D3EF98">
            <w:pPr>
              <w:ind w:left="-105" w:right="-105"/>
              <w:jc w:val="center"/>
              <w:rPr>
                <w:rFonts w:ascii="Times New Roman" w:hAnsi="Times New Roman"/>
                <w:color w:val="auto"/>
                <w:sz w:val="21"/>
                <w:szCs w:val="21"/>
                <w:highlight w:val="none"/>
                <w:lang w:val="zh-CN" w:bidi="zh-CN"/>
              </w:rPr>
            </w:pPr>
            <w:r>
              <w:rPr>
                <w:rFonts w:hint="eastAsia" w:ascii="Times New Roman" w:hAnsi="Times New Roman"/>
                <w:color w:val="auto"/>
                <w:sz w:val="21"/>
                <w:szCs w:val="21"/>
                <w:highlight w:val="none"/>
              </w:rPr>
              <w:t>20</w:t>
            </w:r>
            <w:r>
              <w:rPr>
                <w:rFonts w:ascii="Times New Roman" w:hAnsi="Times New Roman"/>
                <w:color w:val="auto"/>
                <w:sz w:val="21"/>
                <w:szCs w:val="21"/>
                <w:highlight w:val="none"/>
              </w:rPr>
              <w:t>户/</w:t>
            </w:r>
            <w:r>
              <w:rPr>
                <w:rFonts w:hint="eastAsia" w:ascii="Times New Roman" w:hAnsi="Times New Roman"/>
                <w:color w:val="auto"/>
                <w:sz w:val="21"/>
                <w:szCs w:val="21"/>
                <w:highlight w:val="none"/>
              </w:rPr>
              <w:t>70</w:t>
            </w:r>
            <w:r>
              <w:rPr>
                <w:rFonts w:ascii="Times New Roman" w:hAnsi="Times New Roman"/>
                <w:color w:val="auto"/>
                <w:sz w:val="21"/>
                <w:szCs w:val="21"/>
                <w:highlight w:val="none"/>
              </w:rPr>
              <w:t>人</w:t>
            </w:r>
          </w:p>
        </w:tc>
      </w:tr>
      <w:tr w14:paraId="29B30948">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851" w:type="dxa"/>
            <w:vMerge w:val="continue"/>
            <w:tcBorders>
              <w:tl2br w:val="nil"/>
              <w:tr2bl w:val="nil"/>
            </w:tcBorders>
            <w:vAlign w:val="center"/>
          </w:tcPr>
          <w:p w14:paraId="1448154B">
            <w:pPr>
              <w:ind w:left="-105" w:right="-105"/>
              <w:jc w:val="center"/>
              <w:rPr>
                <w:rFonts w:ascii="Times New Roman" w:hAnsi="Times New Roman"/>
                <w:color w:val="auto"/>
                <w:sz w:val="21"/>
                <w:szCs w:val="21"/>
                <w:highlight w:val="none"/>
                <w:lang w:val="zh-CN" w:bidi="zh-CN"/>
              </w:rPr>
            </w:pPr>
          </w:p>
        </w:tc>
        <w:tc>
          <w:tcPr>
            <w:tcW w:w="704" w:type="dxa"/>
            <w:tcBorders>
              <w:tl2br w:val="nil"/>
              <w:tr2bl w:val="nil"/>
            </w:tcBorders>
            <w:vAlign w:val="center"/>
          </w:tcPr>
          <w:p w14:paraId="67C144D8">
            <w:pPr>
              <w:pStyle w:val="97"/>
              <w:numPr>
                <w:ilvl w:val="0"/>
                <w:numId w:val="13"/>
              </w:numPr>
              <w:ind w:left="-105" w:right="-105" w:firstLineChars="0"/>
              <w:jc w:val="center"/>
              <w:rPr>
                <w:rFonts w:eastAsia="宋体"/>
                <w:color w:val="auto"/>
                <w:kern w:val="0"/>
                <w:sz w:val="21"/>
                <w:szCs w:val="21"/>
                <w:highlight w:val="none"/>
                <w:lang w:val="zh-CN" w:bidi="zh-CN"/>
              </w:rPr>
            </w:pPr>
          </w:p>
        </w:tc>
        <w:tc>
          <w:tcPr>
            <w:tcW w:w="2131" w:type="dxa"/>
            <w:gridSpan w:val="3"/>
            <w:tcBorders>
              <w:tl2br w:val="nil"/>
              <w:tr2bl w:val="nil"/>
            </w:tcBorders>
            <w:shd w:val="clear" w:color="auto" w:fill="auto"/>
            <w:vAlign w:val="center"/>
          </w:tcPr>
          <w:p w14:paraId="43C5C7A1">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大坝吴巷</w:t>
            </w:r>
          </w:p>
        </w:tc>
        <w:tc>
          <w:tcPr>
            <w:tcW w:w="1100" w:type="dxa"/>
            <w:gridSpan w:val="3"/>
            <w:tcBorders>
              <w:tl2br w:val="nil"/>
              <w:tr2bl w:val="nil"/>
            </w:tcBorders>
            <w:shd w:val="clear" w:color="auto" w:fill="auto"/>
            <w:vAlign w:val="center"/>
          </w:tcPr>
          <w:p w14:paraId="15E8DED8">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NE</w:t>
            </w:r>
          </w:p>
        </w:tc>
        <w:tc>
          <w:tcPr>
            <w:tcW w:w="1278" w:type="dxa"/>
            <w:gridSpan w:val="3"/>
            <w:tcBorders>
              <w:tl2br w:val="nil"/>
              <w:tr2bl w:val="nil"/>
            </w:tcBorders>
            <w:shd w:val="clear" w:color="auto" w:fill="auto"/>
            <w:vAlign w:val="center"/>
          </w:tcPr>
          <w:p w14:paraId="7DFE6963">
            <w:pPr>
              <w:ind w:left="-105" w:right="-105"/>
              <w:jc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820</w:t>
            </w:r>
          </w:p>
        </w:tc>
        <w:tc>
          <w:tcPr>
            <w:tcW w:w="1238" w:type="dxa"/>
            <w:gridSpan w:val="3"/>
            <w:tcBorders>
              <w:tl2br w:val="nil"/>
              <w:tr2bl w:val="nil"/>
            </w:tcBorders>
            <w:shd w:val="clear" w:color="auto" w:fill="auto"/>
            <w:vAlign w:val="center"/>
          </w:tcPr>
          <w:p w14:paraId="3F059E0B">
            <w:pPr>
              <w:ind w:left="-105" w:right="-105"/>
              <w:jc w:val="center"/>
              <w:rPr>
                <w:rFonts w:ascii="Times New Roman" w:hAnsi="Times New Roman"/>
                <w:color w:val="auto"/>
                <w:sz w:val="21"/>
                <w:szCs w:val="21"/>
                <w:highlight w:val="none"/>
                <w:lang w:val="zh-CN" w:bidi="zh-CN"/>
              </w:rPr>
            </w:pPr>
            <w:r>
              <w:rPr>
                <w:rFonts w:ascii="Times New Roman" w:hAnsi="Times New Roman"/>
                <w:color w:val="auto"/>
                <w:sz w:val="21"/>
                <w:szCs w:val="21"/>
                <w:highlight w:val="none"/>
              </w:rPr>
              <w:t>居住区</w:t>
            </w:r>
          </w:p>
        </w:tc>
        <w:tc>
          <w:tcPr>
            <w:tcW w:w="1748" w:type="dxa"/>
            <w:tcBorders>
              <w:tl2br w:val="nil"/>
              <w:tr2bl w:val="nil"/>
            </w:tcBorders>
            <w:shd w:val="clear" w:color="auto" w:fill="auto"/>
            <w:vAlign w:val="center"/>
          </w:tcPr>
          <w:p w14:paraId="2532B16C">
            <w:pPr>
              <w:ind w:left="-105" w:right="-105"/>
              <w:jc w:val="center"/>
              <w:rPr>
                <w:rFonts w:ascii="Times New Roman" w:hAnsi="Times New Roman"/>
                <w:color w:val="auto"/>
                <w:sz w:val="21"/>
                <w:szCs w:val="21"/>
                <w:highlight w:val="none"/>
                <w:lang w:val="zh-CN" w:bidi="zh-CN"/>
              </w:rPr>
            </w:pPr>
            <w:r>
              <w:rPr>
                <w:rFonts w:hint="eastAsia" w:ascii="Times New Roman" w:hAnsi="Times New Roman"/>
                <w:color w:val="auto"/>
                <w:sz w:val="21"/>
                <w:szCs w:val="21"/>
                <w:highlight w:val="none"/>
              </w:rPr>
              <w:t>30</w:t>
            </w:r>
            <w:r>
              <w:rPr>
                <w:rFonts w:ascii="Times New Roman" w:hAnsi="Times New Roman"/>
                <w:color w:val="auto"/>
                <w:sz w:val="21"/>
                <w:szCs w:val="21"/>
                <w:highlight w:val="none"/>
              </w:rPr>
              <w:t>户/</w:t>
            </w:r>
            <w:r>
              <w:rPr>
                <w:rFonts w:hint="eastAsia" w:ascii="Times New Roman" w:hAnsi="Times New Roman"/>
                <w:color w:val="auto"/>
                <w:sz w:val="21"/>
                <w:szCs w:val="21"/>
                <w:highlight w:val="none"/>
              </w:rPr>
              <w:t>105</w:t>
            </w:r>
            <w:r>
              <w:rPr>
                <w:rFonts w:ascii="Times New Roman" w:hAnsi="Times New Roman"/>
                <w:color w:val="auto"/>
                <w:sz w:val="21"/>
                <w:szCs w:val="21"/>
                <w:highlight w:val="none"/>
              </w:rPr>
              <w:t>人</w:t>
            </w:r>
          </w:p>
        </w:tc>
      </w:tr>
      <w:tr w14:paraId="77E1FB54">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851" w:type="dxa"/>
            <w:vMerge w:val="continue"/>
            <w:tcBorders>
              <w:tl2br w:val="nil"/>
              <w:tr2bl w:val="nil"/>
            </w:tcBorders>
            <w:vAlign w:val="center"/>
          </w:tcPr>
          <w:p w14:paraId="21295305">
            <w:pPr>
              <w:ind w:left="-105" w:right="-105"/>
              <w:jc w:val="center"/>
              <w:rPr>
                <w:rFonts w:ascii="Times New Roman" w:hAnsi="Times New Roman"/>
                <w:color w:val="auto"/>
                <w:sz w:val="21"/>
                <w:szCs w:val="21"/>
                <w:highlight w:val="none"/>
                <w:lang w:val="zh-CN" w:bidi="zh-CN"/>
              </w:rPr>
            </w:pPr>
          </w:p>
        </w:tc>
        <w:tc>
          <w:tcPr>
            <w:tcW w:w="704" w:type="dxa"/>
            <w:tcBorders>
              <w:tl2br w:val="nil"/>
              <w:tr2bl w:val="nil"/>
            </w:tcBorders>
            <w:vAlign w:val="center"/>
          </w:tcPr>
          <w:p w14:paraId="78ACAA1B">
            <w:pPr>
              <w:pStyle w:val="97"/>
              <w:numPr>
                <w:ilvl w:val="0"/>
                <w:numId w:val="13"/>
              </w:numPr>
              <w:ind w:left="-105" w:right="-105" w:firstLineChars="0"/>
              <w:jc w:val="center"/>
              <w:rPr>
                <w:rFonts w:eastAsia="宋体"/>
                <w:color w:val="auto"/>
                <w:kern w:val="0"/>
                <w:sz w:val="21"/>
                <w:szCs w:val="21"/>
                <w:highlight w:val="none"/>
                <w:lang w:val="zh-CN" w:bidi="zh-CN"/>
              </w:rPr>
            </w:pPr>
          </w:p>
        </w:tc>
        <w:tc>
          <w:tcPr>
            <w:tcW w:w="2131" w:type="dxa"/>
            <w:gridSpan w:val="3"/>
            <w:tcBorders>
              <w:tl2br w:val="nil"/>
              <w:tr2bl w:val="nil"/>
            </w:tcBorders>
            <w:shd w:val="clear" w:color="auto" w:fill="auto"/>
            <w:vAlign w:val="center"/>
          </w:tcPr>
          <w:p w14:paraId="2984801B">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杜村</w:t>
            </w:r>
          </w:p>
        </w:tc>
        <w:tc>
          <w:tcPr>
            <w:tcW w:w="1100" w:type="dxa"/>
            <w:gridSpan w:val="3"/>
            <w:tcBorders>
              <w:tl2br w:val="nil"/>
              <w:tr2bl w:val="nil"/>
            </w:tcBorders>
            <w:shd w:val="clear" w:color="auto" w:fill="auto"/>
            <w:vAlign w:val="center"/>
          </w:tcPr>
          <w:p w14:paraId="571B14DC">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NE</w:t>
            </w:r>
          </w:p>
        </w:tc>
        <w:tc>
          <w:tcPr>
            <w:tcW w:w="1278" w:type="dxa"/>
            <w:gridSpan w:val="3"/>
            <w:tcBorders>
              <w:tl2br w:val="nil"/>
              <w:tr2bl w:val="nil"/>
            </w:tcBorders>
            <w:shd w:val="clear" w:color="auto" w:fill="auto"/>
            <w:vAlign w:val="center"/>
          </w:tcPr>
          <w:p w14:paraId="5046C103">
            <w:pPr>
              <w:ind w:left="-105" w:right="-105"/>
              <w:jc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1644</w:t>
            </w:r>
          </w:p>
        </w:tc>
        <w:tc>
          <w:tcPr>
            <w:tcW w:w="1238" w:type="dxa"/>
            <w:gridSpan w:val="3"/>
            <w:tcBorders>
              <w:tl2br w:val="nil"/>
              <w:tr2bl w:val="nil"/>
            </w:tcBorders>
            <w:shd w:val="clear" w:color="auto" w:fill="auto"/>
            <w:vAlign w:val="center"/>
          </w:tcPr>
          <w:p w14:paraId="1AE760DF">
            <w:pPr>
              <w:ind w:left="-105" w:right="-105"/>
              <w:jc w:val="center"/>
              <w:rPr>
                <w:rFonts w:ascii="Times New Roman" w:hAnsi="Times New Roman"/>
                <w:color w:val="auto"/>
                <w:sz w:val="21"/>
                <w:szCs w:val="21"/>
                <w:highlight w:val="none"/>
                <w:lang w:val="zh-CN" w:bidi="zh-CN"/>
              </w:rPr>
            </w:pPr>
            <w:r>
              <w:rPr>
                <w:rFonts w:ascii="Times New Roman" w:hAnsi="Times New Roman"/>
                <w:color w:val="auto"/>
                <w:sz w:val="21"/>
                <w:szCs w:val="21"/>
                <w:highlight w:val="none"/>
              </w:rPr>
              <w:t>居住区</w:t>
            </w:r>
          </w:p>
        </w:tc>
        <w:tc>
          <w:tcPr>
            <w:tcW w:w="1748" w:type="dxa"/>
            <w:tcBorders>
              <w:tl2br w:val="nil"/>
              <w:tr2bl w:val="nil"/>
            </w:tcBorders>
            <w:shd w:val="clear" w:color="auto" w:fill="auto"/>
            <w:vAlign w:val="center"/>
          </w:tcPr>
          <w:p w14:paraId="230EB511">
            <w:pPr>
              <w:ind w:left="-105" w:right="-105"/>
              <w:jc w:val="center"/>
              <w:rPr>
                <w:rFonts w:ascii="Times New Roman" w:hAnsi="Times New Roman"/>
                <w:color w:val="auto"/>
                <w:sz w:val="21"/>
                <w:szCs w:val="21"/>
                <w:highlight w:val="none"/>
                <w:lang w:val="zh-CN" w:bidi="zh-CN"/>
              </w:rPr>
            </w:pPr>
            <w:r>
              <w:rPr>
                <w:rFonts w:hint="eastAsia" w:ascii="Times New Roman" w:hAnsi="Times New Roman"/>
                <w:color w:val="auto"/>
                <w:sz w:val="21"/>
                <w:szCs w:val="21"/>
                <w:highlight w:val="none"/>
              </w:rPr>
              <w:t>80</w:t>
            </w:r>
            <w:r>
              <w:rPr>
                <w:rFonts w:ascii="Times New Roman" w:hAnsi="Times New Roman"/>
                <w:color w:val="auto"/>
                <w:sz w:val="21"/>
                <w:szCs w:val="21"/>
                <w:highlight w:val="none"/>
              </w:rPr>
              <w:t>户/</w:t>
            </w:r>
            <w:r>
              <w:rPr>
                <w:rFonts w:hint="eastAsia" w:ascii="Times New Roman" w:hAnsi="Times New Roman"/>
                <w:color w:val="auto"/>
                <w:sz w:val="21"/>
                <w:szCs w:val="21"/>
                <w:highlight w:val="none"/>
              </w:rPr>
              <w:t>200</w:t>
            </w:r>
            <w:r>
              <w:rPr>
                <w:rFonts w:ascii="Times New Roman" w:hAnsi="Times New Roman"/>
                <w:color w:val="auto"/>
                <w:sz w:val="21"/>
                <w:szCs w:val="21"/>
                <w:highlight w:val="none"/>
              </w:rPr>
              <w:t>人</w:t>
            </w:r>
          </w:p>
        </w:tc>
      </w:tr>
      <w:tr w14:paraId="1195F43A">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851" w:type="dxa"/>
            <w:vMerge w:val="continue"/>
            <w:tcBorders>
              <w:tl2br w:val="nil"/>
              <w:tr2bl w:val="nil"/>
            </w:tcBorders>
            <w:vAlign w:val="center"/>
          </w:tcPr>
          <w:p w14:paraId="0AAAC9AD">
            <w:pPr>
              <w:ind w:left="-105" w:right="-105"/>
              <w:jc w:val="center"/>
              <w:rPr>
                <w:rFonts w:ascii="Times New Roman" w:hAnsi="Times New Roman"/>
                <w:color w:val="auto"/>
                <w:sz w:val="21"/>
                <w:szCs w:val="21"/>
                <w:highlight w:val="none"/>
                <w:lang w:val="zh-CN" w:bidi="zh-CN"/>
              </w:rPr>
            </w:pPr>
          </w:p>
        </w:tc>
        <w:tc>
          <w:tcPr>
            <w:tcW w:w="704" w:type="dxa"/>
            <w:tcBorders>
              <w:tl2br w:val="nil"/>
              <w:tr2bl w:val="nil"/>
            </w:tcBorders>
            <w:vAlign w:val="center"/>
          </w:tcPr>
          <w:p w14:paraId="3E0DA442">
            <w:pPr>
              <w:pStyle w:val="97"/>
              <w:numPr>
                <w:ilvl w:val="0"/>
                <w:numId w:val="13"/>
              </w:numPr>
              <w:ind w:left="-105" w:right="-105" w:firstLineChars="0"/>
              <w:jc w:val="center"/>
              <w:rPr>
                <w:rFonts w:eastAsia="宋体"/>
                <w:color w:val="auto"/>
                <w:kern w:val="0"/>
                <w:sz w:val="21"/>
                <w:szCs w:val="21"/>
                <w:highlight w:val="none"/>
                <w:lang w:val="zh-CN" w:bidi="zh-CN"/>
              </w:rPr>
            </w:pPr>
          </w:p>
        </w:tc>
        <w:tc>
          <w:tcPr>
            <w:tcW w:w="2131" w:type="dxa"/>
            <w:gridSpan w:val="3"/>
            <w:tcBorders>
              <w:tl2br w:val="nil"/>
              <w:tr2bl w:val="nil"/>
            </w:tcBorders>
            <w:shd w:val="clear" w:color="auto" w:fill="auto"/>
            <w:vAlign w:val="center"/>
          </w:tcPr>
          <w:p w14:paraId="5CC987FA">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万塘河</w:t>
            </w:r>
          </w:p>
        </w:tc>
        <w:tc>
          <w:tcPr>
            <w:tcW w:w="1100" w:type="dxa"/>
            <w:gridSpan w:val="3"/>
            <w:tcBorders>
              <w:tl2br w:val="nil"/>
              <w:tr2bl w:val="nil"/>
            </w:tcBorders>
            <w:shd w:val="clear" w:color="auto" w:fill="auto"/>
            <w:vAlign w:val="center"/>
          </w:tcPr>
          <w:p w14:paraId="360C9A9C">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NE</w:t>
            </w:r>
          </w:p>
        </w:tc>
        <w:tc>
          <w:tcPr>
            <w:tcW w:w="1278" w:type="dxa"/>
            <w:gridSpan w:val="3"/>
            <w:tcBorders>
              <w:tl2br w:val="nil"/>
              <w:tr2bl w:val="nil"/>
            </w:tcBorders>
            <w:shd w:val="clear" w:color="auto" w:fill="auto"/>
            <w:vAlign w:val="center"/>
          </w:tcPr>
          <w:p w14:paraId="35B315D9">
            <w:pPr>
              <w:ind w:left="-105" w:right="-105"/>
              <w:jc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1808</w:t>
            </w:r>
          </w:p>
        </w:tc>
        <w:tc>
          <w:tcPr>
            <w:tcW w:w="1238" w:type="dxa"/>
            <w:gridSpan w:val="3"/>
            <w:tcBorders>
              <w:tl2br w:val="nil"/>
              <w:tr2bl w:val="nil"/>
            </w:tcBorders>
            <w:shd w:val="clear" w:color="auto" w:fill="auto"/>
            <w:vAlign w:val="center"/>
          </w:tcPr>
          <w:p w14:paraId="4CD95B1D">
            <w:pPr>
              <w:ind w:left="-105" w:right="-105"/>
              <w:jc w:val="center"/>
              <w:rPr>
                <w:rFonts w:ascii="Times New Roman" w:hAnsi="Times New Roman"/>
                <w:color w:val="auto"/>
                <w:sz w:val="21"/>
                <w:szCs w:val="21"/>
                <w:highlight w:val="none"/>
                <w:lang w:val="zh-CN" w:bidi="zh-CN"/>
              </w:rPr>
            </w:pPr>
            <w:r>
              <w:rPr>
                <w:rFonts w:ascii="Times New Roman" w:hAnsi="Times New Roman"/>
                <w:color w:val="auto"/>
                <w:sz w:val="21"/>
                <w:szCs w:val="21"/>
                <w:highlight w:val="none"/>
              </w:rPr>
              <w:t>居住区</w:t>
            </w:r>
          </w:p>
        </w:tc>
        <w:tc>
          <w:tcPr>
            <w:tcW w:w="1748" w:type="dxa"/>
            <w:tcBorders>
              <w:tl2br w:val="nil"/>
              <w:tr2bl w:val="nil"/>
            </w:tcBorders>
            <w:shd w:val="clear" w:color="auto" w:fill="auto"/>
            <w:vAlign w:val="center"/>
          </w:tcPr>
          <w:p w14:paraId="6918D681">
            <w:pPr>
              <w:ind w:left="-105" w:right="-105"/>
              <w:jc w:val="center"/>
              <w:rPr>
                <w:rFonts w:ascii="Times New Roman" w:hAnsi="Times New Roman"/>
                <w:color w:val="auto"/>
                <w:sz w:val="21"/>
                <w:szCs w:val="21"/>
                <w:highlight w:val="none"/>
                <w:lang w:val="zh-CN" w:bidi="zh-CN"/>
              </w:rPr>
            </w:pPr>
            <w:r>
              <w:rPr>
                <w:rFonts w:hint="eastAsia" w:ascii="Times New Roman" w:hAnsi="Times New Roman"/>
                <w:color w:val="auto"/>
                <w:sz w:val="21"/>
                <w:szCs w:val="21"/>
                <w:highlight w:val="none"/>
              </w:rPr>
              <w:t>120</w:t>
            </w:r>
            <w:r>
              <w:rPr>
                <w:rFonts w:ascii="Times New Roman" w:hAnsi="Times New Roman"/>
                <w:color w:val="auto"/>
                <w:sz w:val="21"/>
                <w:szCs w:val="21"/>
                <w:highlight w:val="none"/>
              </w:rPr>
              <w:t>户/</w:t>
            </w:r>
            <w:r>
              <w:rPr>
                <w:rFonts w:hint="eastAsia" w:ascii="Times New Roman" w:hAnsi="Times New Roman"/>
                <w:color w:val="auto"/>
                <w:sz w:val="21"/>
                <w:szCs w:val="21"/>
                <w:highlight w:val="none"/>
              </w:rPr>
              <w:t>420</w:t>
            </w:r>
            <w:r>
              <w:rPr>
                <w:rFonts w:ascii="Times New Roman" w:hAnsi="Times New Roman"/>
                <w:color w:val="auto"/>
                <w:sz w:val="21"/>
                <w:szCs w:val="21"/>
                <w:highlight w:val="none"/>
              </w:rPr>
              <w:t>人</w:t>
            </w:r>
          </w:p>
        </w:tc>
      </w:tr>
      <w:tr w14:paraId="3C776D9D">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851" w:type="dxa"/>
            <w:vMerge w:val="continue"/>
            <w:tcBorders>
              <w:tl2br w:val="nil"/>
              <w:tr2bl w:val="nil"/>
            </w:tcBorders>
            <w:vAlign w:val="center"/>
          </w:tcPr>
          <w:p w14:paraId="452246D6">
            <w:pPr>
              <w:ind w:left="-105" w:right="-105"/>
              <w:jc w:val="center"/>
              <w:rPr>
                <w:rFonts w:ascii="Times New Roman" w:hAnsi="Times New Roman"/>
                <w:color w:val="auto"/>
                <w:sz w:val="21"/>
                <w:szCs w:val="21"/>
                <w:highlight w:val="none"/>
                <w:lang w:val="zh-CN" w:bidi="zh-CN"/>
              </w:rPr>
            </w:pPr>
          </w:p>
        </w:tc>
        <w:tc>
          <w:tcPr>
            <w:tcW w:w="704" w:type="dxa"/>
            <w:tcBorders>
              <w:tl2br w:val="nil"/>
              <w:tr2bl w:val="nil"/>
            </w:tcBorders>
            <w:vAlign w:val="center"/>
          </w:tcPr>
          <w:p w14:paraId="1359CDEE">
            <w:pPr>
              <w:pStyle w:val="97"/>
              <w:numPr>
                <w:ilvl w:val="0"/>
                <w:numId w:val="13"/>
              </w:numPr>
              <w:ind w:left="-105" w:right="-105" w:firstLineChars="0"/>
              <w:jc w:val="center"/>
              <w:rPr>
                <w:rFonts w:eastAsia="宋体"/>
                <w:color w:val="auto"/>
                <w:kern w:val="0"/>
                <w:sz w:val="21"/>
                <w:szCs w:val="21"/>
                <w:highlight w:val="none"/>
                <w:lang w:val="zh-CN" w:bidi="zh-CN"/>
              </w:rPr>
            </w:pPr>
          </w:p>
        </w:tc>
        <w:tc>
          <w:tcPr>
            <w:tcW w:w="2131" w:type="dxa"/>
            <w:gridSpan w:val="3"/>
            <w:tcBorders>
              <w:tl2br w:val="nil"/>
              <w:tr2bl w:val="nil"/>
            </w:tcBorders>
            <w:shd w:val="clear" w:color="auto" w:fill="auto"/>
            <w:vAlign w:val="center"/>
          </w:tcPr>
          <w:p w14:paraId="59176F41">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小殷巷</w:t>
            </w:r>
          </w:p>
        </w:tc>
        <w:tc>
          <w:tcPr>
            <w:tcW w:w="1100" w:type="dxa"/>
            <w:gridSpan w:val="3"/>
            <w:tcBorders>
              <w:tl2br w:val="nil"/>
              <w:tr2bl w:val="nil"/>
            </w:tcBorders>
            <w:shd w:val="clear" w:color="auto" w:fill="auto"/>
            <w:vAlign w:val="center"/>
          </w:tcPr>
          <w:p w14:paraId="10DDAC9C">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E</w:t>
            </w:r>
          </w:p>
        </w:tc>
        <w:tc>
          <w:tcPr>
            <w:tcW w:w="1278" w:type="dxa"/>
            <w:gridSpan w:val="3"/>
            <w:tcBorders>
              <w:tl2br w:val="nil"/>
              <w:tr2bl w:val="nil"/>
            </w:tcBorders>
            <w:shd w:val="clear" w:color="auto" w:fill="auto"/>
            <w:vAlign w:val="center"/>
          </w:tcPr>
          <w:p w14:paraId="0FDFF72C">
            <w:pPr>
              <w:ind w:left="-105" w:right="-105"/>
              <w:jc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2153</w:t>
            </w:r>
          </w:p>
        </w:tc>
        <w:tc>
          <w:tcPr>
            <w:tcW w:w="1238" w:type="dxa"/>
            <w:gridSpan w:val="3"/>
            <w:tcBorders>
              <w:tl2br w:val="nil"/>
              <w:tr2bl w:val="nil"/>
            </w:tcBorders>
            <w:shd w:val="clear" w:color="auto" w:fill="auto"/>
            <w:vAlign w:val="center"/>
          </w:tcPr>
          <w:p w14:paraId="752DDB8C">
            <w:pPr>
              <w:ind w:left="-105" w:right="-105"/>
              <w:jc w:val="center"/>
              <w:rPr>
                <w:rFonts w:ascii="Times New Roman" w:hAnsi="Times New Roman"/>
                <w:color w:val="auto"/>
                <w:sz w:val="21"/>
                <w:szCs w:val="21"/>
                <w:highlight w:val="none"/>
                <w:lang w:val="zh-CN" w:bidi="zh-CN"/>
              </w:rPr>
            </w:pPr>
            <w:r>
              <w:rPr>
                <w:rFonts w:ascii="Times New Roman" w:hAnsi="Times New Roman"/>
                <w:color w:val="auto"/>
                <w:sz w:val="21"/>
                <w:szCs w:val="21"/>
                <w:highlight w:val="none"/>
              </w:rPr>
              <w:t>居住区</w:t>
            </w:r>
          </w:p>
        </w:tc>
        <w:tc>
          <w:tcPr>
            <w:tcW w:w="1748" w:type="dxa"/>
            <w:tcBorders>
              <w:tl2br w:val="nil"/>
              <w:tr2bl w:val="nil"/>
            </w:tcBorders>
            <w:shd w:val="clear" w:color="auto" w:fill="auto"/>
            <w:vAlign w:val="center"/>
          </w:tcPr>
          <w:p w14:paraId="2B1F8A3C">
            <w:pPr>
              <w:ind w:left="-105" w:right="-105"/>
              <w:jc w:val="center"/>
              <w:rPr>
                <w:rFonts w:ascii="Times New Roman" w:hAnsi="Times New Roman"/>
                <w:color w:val="auto"/>
                <w:sz w:val="21"/>
                <w:szCs w:val="21"/>
                <w:highlight w:val="none"/>
                <w:lang w:val="zh-CN" w:bidi="zh-CN"/>
              </w:rPr>
            </w:pPr>
            <w:r>
              <w:rPr>
                <w:rFonts w:hint="eastAsia" w:ascii="Times New Roman" w:hAnsi="Times New Roman"/>
                <w:color w:val="auto"/>
                <w:sz w:val="21"/>
                <w:szCs w:val="21"/>
                <w:highlight w:val="none"/>
              </w:rPr>
              <w:t>20</w:t>
            </w:r>
            <w:r>
              <w:rPr>
                <w:rFonts w:ascii="Times New Roman" w:hAnsi="Times New Roman"/>
                <w:color w:val="auto"/>
                <w:sz w:val="21"/>
                <w:szCs w:val="21"/>
                <w:highlight w:val="none"/>
              </w:rPr>
              <w:t>户/</w:t>
            </w:r>
            <w:r>
              <w:rPr>
                <w:rFonts w:hint="eastAsia" w:ascii="Times New Roman" w:hAnsi="Times New Roman"/>
                <w:color w:val="auto"/>
                <w:sz w:val="21"/>
                <w:szCs w:val="21"/>
                <w:highlight w:val="none"/>
              </w:rPr>
              <w:t>70</w:t>
            </w:r>
            <w:r>
              <w:rPr>
                <w:rFonts w:ascii="Times New Roman" w:hAnsi="Times New Roman"/>
                <w:color w:val="auto"/>
                <w:sz w:val="21"/>
                <w:szCs w:val="21"/>
                <w:highlight w:val="none"/>
              </w:rPr>
              <w:t>人</w:t>
            </w:r>
          </w:p>
        </w:tc>
      </w:tr>
      <w:tr w14:paraId="22FF4F9C">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851" w:type="dxa"/>
            <w:vMerge w:val="continue"/>
            <w:tcBorders>
              <w:tl2br w:val="nil"/>
              <w:tr2bl w:val="nil"/>
            </w:tcBorders>
            <w:vAlign w:val="center"/>
          </w:tcPr>
          <w:p w14:paraId="095B80EE">
            <w:pPr>
              <w:ind w:left="-105" w:right="-105"/>
              <w:jc w:val="center"/>
              <w:rPr>
                <w:rFonts w:ascii="Times New Roman" w:hAnsi="Times New Roman"/>
                <w:color w:val="auto"/>
                <w:sz w:val="21"/>
                <w:szCs w:val="21"/>
                <w:highlight w:val="none"/>
                <w:lang w:val="zh-CN" w:bidi="zh-CN"/>
              </w:rPr>
            </w:pPr>
          </w:p>
        </w:tc>
        <w:tc>
          <w:tcPr>
            <w:tcW w:w="704" w:type="dxa"/>
            <w:tcBorders>
              <w:tl2br w:val="nil"/>
              <w:tr2bl w:val="nil"/>
            </w:tcBorders>
            <w:vAlign w:val="center"/>
          </w:tcPr>
          <w:p w14:paraId="3684709D">
            <w:pPr>
              <w:pStyle w:val="97"/>
              <w:numPr>
                <w:ilvl w:val="0"/>
                <w:numId w:val="13"/>
              </w:numPr>
              <w:ind w:left="-105" w:right="-105" w:firstLineChars="0"/>
              <w:jc w:val="center"/>
              <w:rPr>
                <w:rFonts w:eastAsia="宋体"/>
                <w:color w:val="auto"/>
                <w:kern w:val="0"/>
                <w:sz w:val="21"/>
                <w:szCs w:val="21"/>
                <w:highlight w:val="none"/>
                <w:lang w:val="zh-CN" w:bidi="zh-CN"/>
              </w:rPr>
            </w:pPr>
          </w:p>
        </w:tc>
        <w:tc>
          <w:tcPr>
            <w:tcW w:w="2131" w:type="dxa"/>
            <w:gridSpan w:val="3"/>
            <w:tcBorders>
              <w:tl2br w:val="nil"/>
              <w:tr2bl w:val="nil"/>
            </w:tcBorders>
            <w:shd w:val="clear" w:color="auto" w:fill="auto"/>
            <w:vAlign w:val="center"/>
          </w:tcPr>
          <w:p w14:paraId="329C662B">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杨巷</w:t>
            </w:r>
          </w:p>
        </w:tc>
        <w:tc>
          <w:tcPr>
            <w:tcW w:w="1100" w:type="dxa"/>
            <w:gridSpan w:val="3"/>
            <w:tcBorders>
              <w:tl2br w:val="nil"/>
              <w:tr2bl w:val="nil"/>
            </w:tcBorders>
            <w:shd w:val="clear" w:color="auto" w:fill="auto"/>
            <w:vAlign w:val="center"/>
          </w:tcPr>
          <w:p w14:paraId="23A75404">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E</w:t>
            </w:r>
          </w:p>
        </w:tc>
        <w:tc>
          <w:tcPr>
            <w:tcW w:w="1278" w:type="dxa"/>
            <w:gridSpan w:val="3"/>
            <w:tcBorders>
              <w:tl2br w:val="nil"/>
              <w:tr2bl w:val="nil"/>
            </w:tcBorders>
            <w:shd w:val="clear" w:color="auto" w:fill="auto"/>
            <w:vAlign w:val="center"/>
          </w:tcPr>
          <w:p w14:paraId="3D00D7B9">
            <w:pPr>
              <w:ind w:left="-105" w:right="-105"/>
              <w:jc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2248</w:t>
            </w:r>
          </w:p>
        </w:tc>
        <w:tc>
          <w:tcPr>
            <w:tcW w:w="1238" w:type="dxa"/>
            <w:gridSpan w:val="3"/>
            <w:tcBorders>
              <w:tl2br w:val="nil"/>
              <w:tr2bl w:val="nil"/>
            </w:tcBorders>
            <w:shd w:val="clear" w:color="auto" w:fill="auto"/>
            <w:vAlign w:val="center"/>
          </w:tcPr>
          <w:p w14:paraId="71A15241">
            <w:pPr>
              <w:ind w:left="-105" w:right="-105"/>
              <w:jc w:val="center"/>
              <w:rPr>
                <w:rFonts w:ascii="Times New Roman" w:hAnsi="Times New Roman"/>
                <w:color w:val="auto"/>
                <w:sz w:val="21"/>
                <w:szCs w:val="21"/>
                <w:highlight w:val="none"/>
                <w:lang w:val="zh-CN" w:bidi="zh-CN"/>
              </w:rPr>
            </w:pPr>
            <w:r>
              <w:rPr>
                <w:rFonts w:ascii="Times New Roman" w:hAnsi="Times New Roman"/>
                <w:color w:val="auto"/>
                <w:sz w:val="21"/>
                <w:szCs w:val="21"/>
                <w:highlight w:val="none"/>
              </w:rPr>
              <w:t>居住区</w:t>
            </w:r>
          </w:p>
        </w:tc>
        <w:tc>
          <w:tcPr>
            <w:tcW w:w="1748" w:type="dxa"/>
            <w:tcBorders>
              <w:tl2br w:val="nil"/>
              <w:tr2bl w:val="nil"/>
            </w:tcBorders>
            <w:shd w:val="clear" w:color="auto" w:fill="auto"/>
            <w:vAlign w:val="center"/>
          </w:tcPr>
          <w:p w14:paraId="73C72F7F">
            <w:pPr>
              <w:ind w:left="-105" w:right="-105"/>
              <w:jc w:val="center"/>
              <w:rPr>
                <w:rFonts w:ascii="Times New Roman" w:hAnsi="Times New Roman"/>
                <w:color w:val="auto"/>
                <w:sz w:val="21"/>
                <w:szCs w:val="21"/>
                <w:highlight w:val="none"/>
                <w:lang w:val="zh-CN" w:bidi="zh-CN"/>
              </w:rPr>
            </w:pPr>
            <w:r>
              <w:rPr>
                <w:rFonts w:hint="eastAsia" w:ascii="Times New Roman" w:hAnsi="Times New Roman"/>
                <w:color w:val="auto"/>
                <w:sz w:val="21"/>
                <w:szCs w:val="21"/>
                <w:highlight w:val="none"/>
              </w:rPr>
              <w:t>30</w:t>
            </w:r>
            <w:r>
              <w:rPr>
                <w:rFonts w:ascii="Times New Roman" w:hAnsi="Times New Roman"/>
                <w:color w:val="auto"/>
                <w:sz w:val="21"/>
                <w:szCs w:val="21"/>
                <w:highlight w:val="none"/>
              </w:rPr>
              <w:t>户/</w:t>
            </w:r>
            <w:r>
              <w:rPr>
                <w:rFonts w:hint="eastAsia" w:ascii="Times New Roman" w:hAnsi="Times New Roman"/>
                <w:color w:val="auto"/>
                <w:sz w:val="21"/>
                <w:szCs w:val="21"/>
                <w:highlight w:val="none"/>
              </w:rPr>
              <w:t>105</w:t>
            </w:r>
            <w:r>
              <w:rPr>
                <w:rFonts w:ascii="Times New Roman" w:hAnsi="Times New Roman"/>
                <w:color w:val="auto"/>
                <w:sz w:val="21"/>
                <w:szCs w:val="21"/>
                <w:highlight w:val="none"/>
              </w:rPr>
              <w:t>人</w:t>
            </w:r>
          </w:p>
        </w:tc>
      </w:tr>
      <w:tr w14:paraId="221CB649">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851" w:type="dxa"/>
            <w:vMerge w:val="continue"/>
            <w:tcBorders>
              <w:tl2br w:val="nil"/>
              <w:tr2bl w:val="nil"/>
            </w:tcBorders>
            <w:vAlign w:val="center"/>
          </w:tcPr>
          <w:p w14:paraId="053D5C78">
            <w:pPr>
              <w:ind w:left="-105" w:right="-105"/>
              <w:jc w:val="center"/>
              <w:rPr>
                <w:rFonts w:ascii="Times New Roman" w:hAnsi="Times New Roman"/>
                <w:color w:val="auto"/>
                <w:sz w:val="21"/>
                <w:szCs w:val="21"/>
                <w:highlight w:val="none"/>
                <w:lang w:val="zh-CN" w:bidi="zh-CN"/>
              </w:rPr>
            </w:pPr>
          </w:p>
        </w:tc>
        <w:tc>
          <w:tcPr>
            <w:tcW w:w="704" w:type="dxa"/>
            <w:tcBorders>
              <w:tl2br w:val="nil"/>
              <w:tr2bl w:val="nil"/>
            </w:tcBorders>
            <w:vAlign w:val="center"/>
          </w:tcPr>
          <w:p w14:paraId="7DD56F78">
            <w:pPr>
              <w:pStyle w:val="97"/>
              <w:numPr>
                <w:ilvl w:val="0"/>
                <w:numId w:val="13"/>
              </w:numPr>
              <w:ind w:left="-105" w:right="-105" w:firstLineChars="0"/>
              <w:jc w:val="center"/>
              <w:rPr>
                <w:rFonts w:eastAsia="宋体"/>
                <w:color w:val="auto"/>
                <w:kern w:val="0"/>
                <w:sz w:val="21"/>
                <w:szCs w:val="21"/>
                <w:highlight w:val="none"/>
                <w:lang w:val="zh-CN" w:bidi="zh-CN"/>
              </w:rPr>
            </w:pPr>
          </w:p>
        </w:tc>
        <w:tc>
          <w:tcPr>
            <w:tcW w:w="2131" w:type="dxa"/>
            <w:gridSpan w:val="3"/>
            <w:tcBorders>
              <w:tl2br w:val="nil"/>
              <w:tr2bl w:val="nil"/>
            </w:tcBorders>
            <w:shd w:val="clear" w:color="auto" w:fill="auto"/>
            <w:vAlign w:val="center"/>
          </w:tcPr>
          <w:p w14:paraId="1F0D3BC5">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丰田苑</w:t>
            </w:r>
          </w:p>
        </w:tc>
        <w:tc>
          <w:tcPr>
            <w:tcW w:w="1100" w:type="dxa"/>
            <w:gridSpan w:val="3"/>
            <w:tcBorders>
              <w:tl2br w:val="nil"/>
              <w:tr2bl w:val="nil"/>
            </w:tcBorders>
            <w:shd w:val="clear" w:color="auto" w:fill="auto"/>
            <w:vAlign w:val="center"/>
          </w:tcPr>
          <w:p w14:paraId="72800D55">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NE</w:t>
            </w:r>
          </w:p>
        </w:tc>
        <w:tc>
          <w:tcPr>
            <w:tcW w:w="1278" w:type="dxa"/>
            <w:gridSpan w:val="3"/>
            <w:tcBorders>
              <w:tl2br w:val="nil"/>
              <w:tr2bl w:val="nil"/>
            </w:tcBorders>
            <w:shd w:val="clear" w:color="auto" w:fill="auto"/>
            <w:vAlign w:val="center"/>
          </w:tcPr>
          <w:p w14:paraId="0C61AD24">
            <w:pPr>
              <w:ind w:left="-105" w:right="-105"/>
              <w:jc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2452</w:t>
            </w:r>
          </w:p>
        </w:tc>
        <w:tc>
          <w:tcPr>
            <w:tcW w:w="1238" w:type="dxa"/>
            <w:gridSpan w:val="3"/>
            <w:tcBorders>
              <w:tl2br w:val="nil"/>
              <w:tr2bl w:val="nil"/>
            </w:tcBorders>
            <w:shd w:val="clear" w:color="auto" w:fill="auto"/>
            <w:vAlign w:val="center"/>
          </w:tcPr>
          <w:p w14:paraId="3C38113F">
            <w:pPr>
              <w:ind w:left="-105" w:right="-105"/>
              <w:jc w:val="center"/>
              <w:rPr>
                <w:rFonts w:ascii="Times New Roman" w:hAnsi="Times New Roman"/>
                <w:color w:val="auto"/>
                <w:sz w:val="21"/>
                <w:szCs w:val="21"/>
                <w:highlight w:val="none"/>
                <w:lang w:val="zh-CN" w:bidi="zh-CN"/>
              </w:rPr>
            </w:pPr>
            <w:r>
              <w:rPr>
                <w:rFonts w:ascii="Times New Roman" w:hAnsi="Times New Roman"/>
                <w:color w:val="auto"/>
                <w:sz w:val="21"/>
                <w:szCs w:val="21"/>
                <w:highlight w:val="none"/>
              </w:rPr>
              <w:t>居住区</w:t>
            </w:r>
          </w:p>
        </w:tc>
        <w:tc>
          <w:tcPr>
            <w:tcW w:w="1748" w:type="dxa"/>
            <w:tcBorders>
              <w:tl2br w:val="nil"/>
              <w:tr2bl w:val="nil"/>
            </w:tcBorders>
            <w:shd w:val="clear" w:color="auto" w:fill="auto"/>
            <w:vAlign w:val="center"/>
          </w:tcPr>
          <w:p w14:paraId="61EFC848">
            <w:pPr>
              <w:ind w:left="-105" w:right="-105"/>
              <w:jc w:val="center"/>
              <w:rPr>
                <w:rFonts w:ascii="Times New Roman" w:hAnsi="Times New Roman"/>
                <w:color w:val="auto"/>
                <w:sz w:val="21"/>
                <w:szCs w:val="21"/>
                <w:highlight w:val="none"/>
                <w:lang w:val="zh-CN" w:bidi="zh-CN"/>
              </w:rPr>
            </w:pPr>
            <w:r>
              <w:rPr>
                <w:rFonts w:hint="eastAsia" w:ascii="Times New Roman" w:hAnsi="Times New Roman"/>
                <w:color w:val="auto"/>
                <w:sz w:val="21"/>
                <w:szCs w:val="21"/>
                <w:highlight w:val="none"/>
              </w:rPr>
              <w:t>2000</w:t>
            </w:r>
            <w:r>
              <w:rPr>
                <w:rFonts w:ascii="Times New Roman" w:hAnsi="Times New Roman"/>
                <w:color w:val="auto"/>
                <w:sz w:val="21"/>
                <w:szCs w:val="21"/>
                <w:highlight w:val="none"/>
              </w:rPr>
              <w:t>户/</w:t>
            </w:r>
            <w:r>
              <w:rPr>
                <w:rFonts w:hint="eastAsia" w:ascii="Times New Roman" w:hAnsi="Times New Roman"/>
                <w:color w:val="auto"/>
                <w:sz w:val="21"/>
                <w:szCs w:val="21"/>
                <w:highlight w:val="none"/>
              </w:rPr>
              <w:t>7500</w:t>
            </w:r>
            <w:r>
              <w:rPr>
                <w:rFonts w:ascii="Times New Roman" w:hAnsi="Times New Roman"/>
                <w:color w:val="auto"/>
                <w:sz w:val="21"/>
                <w:szCs w:val="21"/>
                <w:highlight w:val="none"/>
              </w:rPr>
              <w:t>人</w:t>
            </w:r>
          </w:p>
        </w:tc>
      </w:tr>
      <w:tr w14:paraId="7B76F03F">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851" w:type="dxa"/>
            <w:vMerge w:val="continue"/>
            <w:tcBorders>
              <w:tl2br w:val="nil"/>
              <w:tr2bl w:val="nil"/>
            </w:tcBorders>
            <w:vAlign w:val="center"/>
          </w:tcPr>
          <w:p w14:paraId="351BF866">
            <w:pPr>
              <w:ind w:left="-105" w:right="-105"/>
              <w:jc w:val="center"/>
              <w:rPr>
                <w:rFonts w:ascii="Times New Roman" w:hAnsi="Times New Roman"/>
                <w:color w:val="auto"/>
                <w:sz w:val="21"/>
                <w:szCs w:val="21"/>
                <w:highlight w:val="none"/>
                <w:lang w:val="zh-CN" w:bidi="zh-CN"/>
              </w:rPr>
            </w:pPr>
          </w:p>
        </w:tc>
        <w:tc>
          <w:tcPr>
            <w:tcW w:w="704" w:type="dxa"/>
            <w:tcBorders>
              <w:tl2br w:val="nil"/>
              <w:tr2bl w:val="nil"/>
            </w:tcBorders>
            <w:vAlign w:val="center"/>
          </w:tcPr>
          <w:p w14:paraId="04B7FB1B">
            <w:pPr>
              <w:pStyle w:val="97"/>
              <w:numPr>
                <w:ilvl w:val="0"/>
                <w:numId w:val="13"/>
              </w:numPr>
              <w:ind w:left="-105" w:right="-105" w:firstLineChars="0"/>
              <w:jc w:val="center"/>
              <w:rPr>
                <w:rFonts w:eastAsia="宋体"/>
                <w:color w:val="auto"/>
                <w:kern w:val="0"/>
                <w:sz w:val="21"/>
                <w:szCs w:val="21"/>
                <w:highlight w:val="none"/>
                <w:lang w:val="zh-CN" w:bidi="zh-CN"/>
              </w:rPr>
            </w:pPr>
          </w:p>
        </w:tc>
        <w:tc>
          <w:tcPr>
            <w:tcW w:w="2131" w:type="dxa"/>
            <w:gridSpan w:val="3"/>
            <w:tcBorders>
              <w:tl2br w:val="nil"/>
              <w:tr2bl w:val="nil"/>
            </w:tcBorders>
            <w:shd w:val="clear" w:color="auto" w:fill="auto"/>
            <w:vAlign w:val="center"/>
          </w:tcPr>
          <w:p w14:paraId="6374537D">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西店</w:t>
            </w:r>
          </w:p>
        </w:tc>
        <w:tc>
          <w:tcPr>
            <w:tcW w:w="1100" w:type="dxa"/>
            <w:gridSpan w:val="3"/>
            <w:tcBorders>
              <w:tl2br w:val="nil"/>
              <w:tr2bl w:val="nil"/>
            </w:tcBorders>
            <w:shd w:val="clear" w:color="auto" w:fill="auto"/>
            <w:vAlign w:val="center"/>
          </w:tcPr>
          <w:p w14:paraId="54FE3050">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E</w:t>
            </w:r>
          </w:p>
        </w:tc>
        <w:tc>
          <w:tcPr>
            <w:tcW w:w="1278" w:type="dxa"/>
            <w:gridSpan w:val="3"/>
            <w:tcBorders>
              <w:tl2br w:val="nil"/>
              <w:tr2bl w:val="nil"/>
            </w:tcBorders>
            <w:shd w:val="clear" w:color="auto" w:fill="auto"/>
            <w:vAlign w:val="center"/>
          </w:tcPr>
          <w:p w14:paraId="4A62D458">
            <w:pPr>
              <w:ind w:left="-105" w:right="-105"/>
              <w:jc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2766</w:t>
            </w:r>
          </w:p>
        </w:tc>
        <w:tc>
          <w:tcPr>
            <w:tcW w:w="1238" w:type="dxa"/>
            <w:gridSpan w:val="3"/>
            <w:tcBorders>
              <w:tl2br w:val="nil"/>
              <w:tr2bl w:val="nil"/>
            </w:tcBorders>
            <w:shd w:val="clear" w:color="auto" w:fill="auto"/>
            <w:vAlign w:val="center"/>
          </w:tcPr>
          <w:p w14:paraId="4D565B77">
            <w:pPr>
              <w:ind w:left="-105" w:right="-105"/>
              <w:jc w:val="center"/>
              <w:rPr>
                <w:rFonts w:ascii="Times New Roman" w:hAnsi="Times New Roman"/>
                <w:color w:val="auto"/>
                <w:sz w:val="21"/>
                <w:szCs w:val="21"/>
                <w:highlight w:val="none"/>
                <w:lang w:val="zh-CN" w:bidi="zh-CN"/>
              </w:rPr>
            </w:pPr>
            <w:r>
              <w:rPr>
                <w:rFonts w:ascii="Times New Roman" w:hAnsi="Times New Roman"/>
                <w:color w:val="auto"/>
                <w:sz w:val="21"/>
                <w:szCs w:val="21"/>
                <w:highlight w:val="none"/>
              </w:rPr>
              <w:t>居住区</w:t>
            </w:r>
          </w:p>
        </w:tc>
        <w:tc>
          <w:tcPr>
            <w:tcW w:w="1748" w:type="dxa"/>
            <w:tcBorders>
              <w:tl2br w:val="nil"/>
              <w:tr2bl w:val="nil"/>
            </w:tcBorders>
            <w:shd w:val="clear" w:color="auto" w:fill="auto"/>
            <w:vAlign w:val="center"/>
          </w:tcPr>
          <w:p w14:paraId="259FD4B0">
            <w:pPr>
              <w:ind w:left="-105" w:right="-105"/>
              <w:jc w:val="center"/>
              <w:rPr>
                <w:rFonts w:ascii="Times New Roman" w:hAnsi="Times New Roman"/>
                <w:color w:val="auto"/>
                <w:sz w:val="21"/>
                <w:szCs w:val="21"/>
                <w:highlight w:val="none"/>
                <w:lang w:val="zh-CN" w:bidi="zh-CN"/>
              </w:rPr>
            </w:pPr>
            <w:r>
              <w:rPr>
                <w:rFonts w:hint="eastAsia" w:ascii="Times New Roman" w:hAnsi="Times New Roman"/>
                <w:color w:val="auto"/>
                <w:sz w:val="21"/>
                <w:szCs w:val="21"/>
                <w:highlight w:val="none"/>
              </w:rPr>
              <w:t>20</w:t>
            </w:r>
            <w:r>
              <w:rPr>
                <w:rFonts w:ascii="Times New Roman" w:hAnsi="Times New Roman"/>
                <w:color w:val="auto"/>
                <w:sz w:val="21"/>
                <w:szCs w:val="21"/>
                <w:highlight w:val="none"/>
              </w:rPr>
              <w:t>户/</w:t>
            </w:r>
            <w:r>
              <w:rPr>
                <w:rFonts w:hint="eastAsia" w:ascii="Times New Roman" w:hAnsi="Times New Roman"/>
                <w:color w:val="auto"/>
                <w:sz w:val="21"/>
                <w:szCs w:val="21"/>
                <w:highlight w:val="none"/>
              </w:rPr>
              <w:t>70</w:t>
            </w:r>
            <w:r>
              <w:rPr>
                <w:rFonts w:ascii="Times New Roman" w:hAnsi="Times New Roman"/>
                <w:color w:val="auto"/>
                <w:sz w:val="21"/>
                <w:szCs w:val="21"/>
                <w:highlight w:val="none"/>
              </w:rPr>
              <w:t>人</w:t>
            </w:r>
          </w:p>
        </w:tc>
      </w:tr>
      <w:tr w14:paraId="1D1791DD">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851" w:type="dxa"/>
            <w:vMerge w:val="continue"/>
            <w:tcBorders>
              <w:tl2br w:val="nil"/>
              <w:tr2bl w:val="nil"/>
            </w:tcBorders>
            <w:vAlign w:val="center"/>
          </w:tcPr>
          <w:p w14:paraId="707A819B">
            <w:pPr>
              <w:ind w:left="-105" w:right="-105"/>
              <w:jc w:val="center"/>
              <w:rPr>
                <w:rFonts w:ascii="Times New Roman" w:hAnsi="Times New Roman"/>
                <w:color w:val="auto"/>
                <w:sz w:val="21"/>
                <w:szCs w:val="21"/>
                <w:highlight w:val="none"/>
                <w:lang w:val="zh-CN" w:bidi="zh-CN"/>
              </w:rPr>
            </w:pPr>
          </w:p>
        </w:tc>
        <w:tc>
          <w:tcPr>
            <w:tcW w:w="704" w:type="dxa"/>
            <w:tcBorders>
              <w:tl2br w:val="nil"/>
              <w:tr2bl w:val="nil"/>
            </w:tcBorders>
            <w:vAlign w:val="center"/>
          </w:tcPr>
          <w:p w14:paraId="3484D794">
            <w:pPr>
              <w:pStyle w:val="97"/>
              <w:numPr>
                <w:ilvl w:val="0"/>
                <w:numId w:val="13"/>
              </w:numPr>
              <w:ind w:left="-105" w:right="-105" w:firstLineChars="0"/>
              <w:jc w:val="center"/>
              <w:rPr>
                <w:rFonts w:eastAsia="宋体"/>
                <w:color w:val="auto"/>
                <w:kern w:val="0"/>
                <w:sz w:val="21"/>
                <w:szCs w:val="21"/>
                <w:highlight w:val="none"/>
                <w:lang w:val="zh-CN" w:bidi="zh-CN"/>
              </w:rPr>
            </w:pPr>
          </w:p>
        </w:tc>
        <w:tc>
          <w:tcPr>
            <w:tcW w:w="2131" w:type="dxa"/>
            <w:gridSpan w:val="3"/>
            <w:tcBorders>
              <w:tl2br w:val="nil"/>
              <w:tr2bl w:val="nil"/>
            </w:tcBorders>
            <w:shd w:val="clear" w:color="auto" w:fill="auto"/>
            <w:vAlign w:val="center"/>
          </w:tcPr>
          <w:p w14:paraId="6EAE2856">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泾西村1</w:t>
            </w:r>
          </w:p>
        </w:tc>
        <w:tc>
          <w:tcPr>
            <w:tcW w:w="1100" w:type="dxa"/>
            <w:gridSpan w:val="3"/>
            <w:tcBorders>
              <w:tl2br w:val="nil"/>
              <w:tr2bl w:val="nil"/>
            </w:tcBorders>
            <w:shd w:val="clear" w:color="auto" w:fill="auto"/>
            <w:vAlign w:val="center"/>
          </w:tcPr>
          <w:p w14:paraId="464D30C5">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E</w:t>
            </w:r>
          </w:p>
        </w:tc>
        <w:tc>
          <w:tcPr>
            <w:tcW w:w="1278" w:type="dxa"/>
            <w:gridSpan w:val="3"/>
            <w:tcBorders>
              <w:tl2br w:val="nil"/>
              <w:tr2bl w:val="nil"/>
            </w:tcBorders>
            <w:shd w:val="clear" w:color="auto" w:fill="auto"/>
            <w:vAlign w:val="center"/>
          </w:tcPr>
          <w:p w14:paraId="433C40AD">
            <w:pPr>
              <w:ind w:left="-105" w:right="-105"/>
              <w:jc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3089</w:t>
            </w:r>
          </w:p>
        </w:tc>
        <w:tc>
          <w:tcPr>
            <w:tcW w:w="1238" w:type="dxa"/>
            <w:gridSpan w:val="3"/>
            <w:tcBorders>
              <w:tl2br w:val="nil"/>
              <w:tr2bl w:val="nil"/>
            </w:tcBorders>
            <w:shd w:val="clear" w:color="auto" w:fill="auto"/>
            <w:vAlign w:val="center"/>
          </w:tcPr>
          <w:p w14:paraId="202288C2">
            <w:pPr>
              <w:ind w:left="-105" w:right="-105"/>
              <w:jc w:val="center"/>
              <w:rPr>
                <w:rFonts w:ascii="Times New Roman" w:hAnsi="Times New Roman"/>
                <w:color w:val="auto"/>
                <w:sz w:val="21"/>
                <w:szCs w:val="21"/>
                <w:highlight w:val="none"/>
                <w:lang w:val="zh-CN" w:bidi="zh-CN"/>
              </w:rPr>
            </w:pPr>
            <w:r>
              <w:rPr>
                <w:rFonts w:ascii="Times New Roman" w:hAnsi="Times New Roman"/>
                <w:color w:val="auto"/>
                <w:sz w:val="21"/>
                <w:szCs w:val="21"/>
                <w:highlight w:val="none"/>
              </w:rPr>
              <w:t>居住区</w:t>
            </w:r>
          </w:p>
        </w:tc>
        <w:tc>
          <w:tcPr>
            <w:tcW w:w="1748" w:type="dxa"/>
            <w:tcBorders>
              <w:tl2br w:val="nil"/>
              <w:tr2bl w:val="nil"/>
            </w:tcBorders>
            <w:shd w:val="clear" w:color="auto" w:fill="auto"/>
            <w:vAlign w:val="center"/>
          </w:tcPr>
          <w:p w14:paraId="162AB0BE">
            <w:pPr>
              <w:ind w:left="-105" w:right="-105"/>
              <w:jc w:val="center"/>
              <w:rPr>
                <w:rFonts w:ascii="Times New Roman" w:hAnsi="Times New Roman"/>
                <w:color w:val="auto"/>
                <w:sz w:val="21"/>
                <w:szCs w:val="21"/>
                <w:highlight w:val="none"/>
                <w:lang w:val="zh-CN" w:bidi="zh-CN"/>
              </w:rPr>
            </w:pPr>
            <w:r>
              <w:rPr>
                <w:rFonts w:hint="eastAsia" w:ascii="Times New Roman" w:hAnsi="Times New Roman"/>
                <w:color w:val="auto"/>
                <w:sz w:val="21"/>
                <w:szCs w:val="21"/>
                <w:highlight w:val="none"/>
              </w:rPr>
              <w:t>30</w:t>
            </w:r>
            <w:r>
              <w:rPr>
                <w:rFonts w:ascii="Times New Roman" w:hAnsi="Times New Roman"/>
                <w:color w:val="auto"/>
                <w:sz w:val="21"/>
                <w:szCs w:val="21"/>
                <w:highlight w:val="none"/>
              </w:rPr>
              <w:t>户/</w:t>
            </w:r>
            <w:r>
              <w:rPr>
                <w:rFonts w:hint="eastAsia" w:ascii="Times New Roman" w:hAnsi="Times New Roman"/>
                <w:color w:val="auto"/>
                <w:sz w:val="21"/>
                <w:szCs w:val="21"/>
                <w:highlight w:val="none"/>
              </w:rPr>
              <w:t>105</w:t>
            </w:r>
            <w:r>
              <w:rPr>
                <w:rFonts w:ascii="Times New Roman" w:hAnsi="Times New Roman"/>
                <w:color w:val="auto"/>
                <w:sz w:val="21"/>
                <w:szCs w:val="21"/>
                <w:highlight w:val="none"/>
              </w:rPr>
              <w:t>人</w:t>
            </w:r>
          </w:p>
        </w:tc>
      </w:tr>
      <w:tr w14:paraId="73BD87DB">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851" w:type="dxa"/>
            <w:vMerge w:val="continue"/>
            <w:tcBorders>
              <w:tl2br w:val="nil"/>
              <w:tr2bl w:val="nil"/>
            </w:tcBorders>
            <w:vAlign w:val="center"/>
          </w:tcPr>
          <w:p w14:paraId="42725B06">
            <w:pPr>
              <w:ind w:left="-105" w:right="-105"/>
              <w:jc w:val="center"/>
              <w:rPr>
                <w:rFonts w:ascii="Times New Roman" w:hAnsi="Times New Roman"/>
                <w:color w:val="auto"/>
                <w:sz w:val="21"/>
                <w:szCs w:val="21"/>
                <w:highlight w:val="none"/>
                <w:lang w:val="zh-CN" w:bidi="zh-CN"/>
              </w:rPr>
            </w:pPr>
          </w:p>
        </w:tc>
        <w:tc>
          <w:tcPr>
            <w:tcW w:w="704" w:type="dxa"/>
            <w:tcBorders>
              <w:tl2br w:val="nil"/>
              <w:tr2bl w:val="nil"/>
            </w:tcBorders>
            <w:vAlign w:val="center"/>
          </w:tcPr>
          <w:p w14:paraId="6A7A8907">
            <w:pPr>
              <w:pStyle w:val="97"/>
              <w:numPr>
                <w:ilvl w:val="0"/>
                <w:numId w:val="13"/>
              </w:numPr>
              <w:ind w:left="-105" w:right="-105" w:firstLineChars="0"/>
              <w:jc w:val="center"/>
              <w:rPr>
                <w:rFonts w:eastAsia="宋体"/>
                <w:color w:val="auto"/>
                <w:kern w:val="0"/>
                <w:sz w:val="21"/>
                <w:szCs w:val="21"/>
                <w:highlight w:val="none"/>
                <w:lang w:val="zh-CN" w:bidi="zh-CN"/>
              </w:rPr>
            </w:pPr>
          </w:p>
        </w:tc>
        <w:tc>
          <w:tcPr>
            <w:tcW w:w="2131" w:type="dxa"/>
            <w:gridSpan w:val="3"/>
            <w:tcBorders>
              <w:tl2br w:val="nil"/>
              <w:tr2bl w:val="nil"/>
            </w:tcBorders>
            <w:shd w:val="clear" w:color="auto" w:fill="auto"/>
            <w:vAlign w:val="center"/>
          </w:tcPr>
          <w:p w14:paraId="3439B3D2">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中坝上</w:t>
            </w:r>
          </w:p>
        </w:tc>
        <w:tc>
          <w:tcPr>
            <w:tcW w:w="1100" w:type="dxa"/>
            <w:gridSpan w:val="3"/>
            <w:tcBorders>
              <w:tl2br w:val="nil"/>
              <w:tr2bl w:val="nil"/>
            </w:tcBorders>
            <w:shd w:val="clear" w:color="auto" w:fill="auto"/>
            <w:vAlign w:val="center"/>
          </w:tcPr>
          <w:p w14:paraId="65533F19">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E</w:t>
            </w:r>
          </w:p>
        </w:tc>
        <w:tc>
          <w:tcPr>
            <w:tcW w:w="1278" w:type="dxa"/>
            <w:gridSpan w:val="3"/>
            <w:tcBorders>
              <w:tl2br w:val="nil"/>
              <w:tr2bl w:val="nil"/>
            </w:tcBorders>
            <w:shd w:val="clear" w:color="auto" w:fill="auto"/>
            <w:vAlign w:val="center"/>
          </w:tcPr>
          <w:p w14:paraId="4C9DDA25">
            <w:pPr>
              <w:ind w:left="-105" w:right="-105"/>
              <w:jc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3254</w:t>
            </w:r>
          </w:p>
        </w:tc>
        <w:tc>
          <w:tcPr>
            <w:tcW w:w="1238" w:type="dxa"/>
            <w:gridSpan w:val="3"/>
            <w:tcBorders>
              <w:tl2br w:val="nil"/>
              <w:tr2bl w:val="nil"/>
            </w:tcBorders>
            <w:shd w:val="clear" w:color="auto" w:fill="auto"/>
            <w:vAlign w:val="center"/>
          </w:tcPr>
          <w:p w14:paraId="419847C9">
            <w:pPr>
              <w:ind w:left="-105" w:right="-105"/>
              <w:jc w:val="center"/>
              <w:rPr>
                <w:rFonts w:ascii="Times New Roman" w:hAnsi="Times New Roman"/>
                <w:color w:val="auto"/>
                <w:sz w:val="21"/>
                <w:szCs w:val="21"/>
                <w:highlight w:val="none"/>
                <w:lang w:val="zh-CN" w:bidi="zh-CN"/>
              </w:rPr>
            </w:pPr>
            <w:r>
              <w:rPr>
                <w:rFonts w:ascii="Times New Roman" w:hAnsi="Times New Roman"/>
                <w:color w:val="auto"/>
                <w:sz w:val="21"/>
                <w:szCs w:val="21"/>
                <w:highlight w:val="none"/>
              </w:rPr>
              <w:t>居住区</w:t>
            </w:r>
          </w:p>
        </w:tc>
        <w:tc>
          <w:tcPr>
            <w:tcW w:w="1748" w:type="dxa"/>
            <w:tcBorders>
              <w:tl2br w:val="nil"/>
              <w:tr2bl w:val="nil"/>
            </w:tcBorders>
            <w:shd w:val="clear" w:color="auto" w:fill="auto"/>
            <w:vAlign w:val="center"/>
          </w:tcPr>
          <w:p w14:paraId="6EB50AAE">
            <w:pPr>
              <w:ind w:left="-105" w:right="-105"/>
              <w:jc w:val="center"/>
              <w:rPr>
                <w:rFonts w:ascii="Times New Roman" w:hAnsi="Times New Roman"/>
                <w:color w:val="auto"/>
                <w:sz w:val="21"/>
                <w:szCs w:val="21"/>
                <w:highlight w:val="none"/>
                <w:lang w:val="zh-CN" w:bidi="zh-CN"/>
              </w:rPr>
            </w:pPr>
            <w:r>
              <w:rPr>
                <w:rFonts w:hint="eastAsia" w:ascii="Times New Roman" w:hAnsi="Times New Roman"/>
                <w:color w:val="auto"/>
                <w:sz w:val="21"/>
                <w:szCs w:val="21"/>
                <w:highlight w:val="none"/>
              </w:rPr>
              <w:t>30</w:t>
            </w:r>
            <w:r>
              <w:rPr>
                <w:rFonts w:ascii="Times New Roman" w:hAnsi="Times New Roman"/>
                <w:color w:val="auto"/>
                <w:sz w:val="21"/>
                <w:szCs w:val="21"/>
                <w:highlight w:val="none"/>
              </w:rPr>
              <w:t>户/</w:t>
            </w:r>
            <w:r>
              <w:rPr>
                <w:rFonts w:hint="eastAsia" w:ascii="Times New Roman" w:hAnsi="Times New Roman"/>
                <w:color w:val="auto"/>
                <w:sz w:val="21"/>
                <w:szCs w:val="21"/>
                <w:highlight w:val="none"/>
              </w:rPr>
              <w:t>105</w:t>
            </w:r>
            <w:r>
              <w:rPr>
                <w:rFonts w:ascii="Times New Roman" w:hAnsi="Times New Roman"/>
                <w:color w:val="auto"/>
                <w:sz w:val="21"/>
                <w:szCs w:val="21"/>
                <w:highlight w:val="none"/>
              </w:rPr>
              <w:t>人</w:t>
            </w:r>
          </w:p>
        </w:tc>
      </w:tr>
      <w:tr w14:paraId="6BD6C76B">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851" w:type="dxa"/>
            <w:vMerge w:val="continue"/>
            <w:tcBorders>
              <w:tl2br w:val="nil"/>
              <w:tr2bl w:val="nil"/>
            </w:tcBorders>
            <w:vAlign w:val="center"/>
          </w:tcPr>
          <w:p w14:paraId="0D1948BA">
            <w:pPr>
              <w:ind w:left="-105" w:right="-105"/>
              <w:jc w:val="center"/>
              <w:rPr>
                <w:rFonts w:ascii="Times New Roman" w:hAnsi="Times New Roman"/>
                <w:color w:val="auto"/>
                <w:sz w:val="21"/>
                <w:szCs w:val="21"/>
                <w:highlight w:val="none"/>
                <w:lang w:val="zh-CN" w:bidi="zh-CN"/>
              </w:rPr>
            </w:pPr>
          </w:p>
        </w:tc>
        <w:tc>
          <w:tcPr>
            <w:tcW w:w="704" w:type="dxa"/>
            <w:tcBorders>
              <w:tl2br w:val="nil"/>
              <w:tr2bl w:val="nil"/>
            </w:tcBorders>
            <w:vAlign w:val="center"/>
          </w:tcPr>
          <w:p w14:paraId="52494B46">
            <w:pPr>
              <w:pStyle w:val="97"/>
              <w:numPr>
                <w:ilvl w:val="0"/>
                <w:numId w:val="13"/>
              </w:numPr>
              <w:ind w:left="-105" w:right="-105" w:firstLineChars="0"/>
              <w:jc w:val="center"/>
              <w:rPr>
                <w:rFonts w:eastAsia="宋体"/>
                <w:color w:val="auto"/>
                <w:kern w:val="0"/>
                <w:sz w:val="21"/>
                <w:szCs w:val="21"/>
                <w:highlight w:val="none"/>
                <w:lang w:val="zh-CN" w:bidi="zh-CN"/>
              </w:rPr>
            </w:pPr>
          </w:p>
        </w:tc>
        <w:tc>
          <w:tcPr>
            <w:tcW w:w="2131" w:type="dxa"/>
            <w:gridSpan w:val="3"/>
            <w:tcBorders>
              <w:tl2br w:val="nil"/>
              <w:tr2bl w:val="nil"/>
            </w:tcBorders>
            <w:shd w:val="clear" w:color="auto" w:fill="auto"/>
            <w:vAlign w:val="center"/>
          </w:tcPr>
          <w:p w14:paraId="67486DFB">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钱二房</w:t>
            </w:r>
          </w:p>
        </w:tc>
        <w:tc>
          <w:tcPr>
            <w:tcW w:w="1100" w:type="dxa"/>
            <w:gridSpan w:val="3"/>
            <w:tcBorders>
              <w:tl2br w:val="nil"/>
              <w:tr2bl w:val="nil"/>
            </w:tcBorders>
            <w:shd w:val="clear" w:color="auto" w:fill="auto"/>
            <w:vAlign w:val="center"/>
          </w:tcPr>
          <w:p w14:paraId="49E1DE63">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E</w:t>
            </w:r>
          </w:p>
        </w:tc>
        <w:tc>
          <w:tcPr>
            <w:tcW w:w="1278" w:type="dxa"/>
            <w:gridSpan w:val="3"/>
            <w:tcBorders>
              <w:tl2br w:val="nil"/>
              <w:tr2bl w:val="nil"/>
            </w:tcBorders>
            <w:shd w:val="clear" w:color="auto" w:fill="auto"/>
            <w:vAlign w:val="center"/>
          </w:tcPr>
          <w:p w14:paraId="59DEEE6E">
            <w:pPr>
              <w:ind w:left="-105" w:right="-105"/>
              <w:jc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3671</w:t>
            </w:r>
          </w:p>
        </w:tc>
        <w:tc>
          <w:tcPr>
            <w:tcW w:w="1238" w:type="dxa"/>
            <w:gridSpan w:val="3"/>
            <w:tcBorders>
              <w:tl2br w:val="nil"/>
              <w:tr2bl w:val="nil"/>
            </w:tcBorders>
            <w:shd w:val="clear" w:color="auto" w:fill="auto"/>
            <w:vAlign w:val="center"/>
          </w:tcPr>
          <w:p w14:paraId="4D49B9D4">
            <w:pPr>
              <w:ind w:left="-105" w:right="-105"/>
              <w:jc w:val="center"/>
              <w:rPr>
                <w:rFonts w:ascii="Times New Roman" w:hAnsi="Times New Roman"/>
                <w:color w:val="auto"/>
                <w:sz w:val="21"/>
                <w:szCs w:val="21"/>
                <w:highlight w:val="none"/>
                <w:lang w:val="zh-CN" w:bidi="zh-CN"/>
              </w:rPr>
            </w:pPr>
            <w:r>
              <w:rPr>
                <w:rFonts w:ascii="Times New Roman" w:hAnsi="Times New Roman"/>
                <w:color w:val="auto"/>
                <w:sz w:val="21"/>
                <w:szCs w:val="21"/>
                <w:highlight w:val="none"/>
              </w:rPr>
              <w:t>居住区</w:t>
            </w:r>
          </w:p>
        </w:tc>
        <w:tc>
          <w:tcPr>
            <w:tcW w:w="1748" w:type="dxa"/>
            <w:tcBorders>
              <w:tl2br w:val="nil"/>
              <w:tr2bl w:val="nil"/>
            </w:tcBorders>
            <w:shd w:val="clear" w:color="auto" w:fill="auto"/>
            <w:vAlign w:val="center"/>
          </w:tcPr>
          <w:p w14:paraId="16080FF3">
            <w:pPr>
              <w:ind w:left="-105" w:right="-105"/>
              <w:jc w:val="center"/>
              <w:rPr>
                <w:rFonts w:ascii="Times New Roman" w:hAnsi="Times New Roman"/>
                <w:color w:val="auto"/>
                <w:sz w:val="21"/>
                <w:szCs w:val="21"/>
                <w:highlight w:val="none"/>
                <w:lang w:val="zh-CN" w:bidi="zh-CN"/>
              </w:rPr>
            </w:pPr>
            <w:r>
              <w:rPr>
                <w:rFonts w:hint="eastAsia" w:ascii="Times New Roman" w:hAnsi="Times New Roman"/>
                <w:color w:val="auto"/>
                <w:sz w:val="21"/>
                <w:szCs w:val="21"/>
                <w:highlight w:val="none"/>
              </w:rPr>
              <w:t>20</w:t>
            </w:r>
            <w:r>
              <w:rPr>
                <w:rFonts w:ascii="Times New Roman" w:hAnsi="Times New Roman"/>
                <w:color w:val="auto"/>
                <w:sz w:val="21"/>
                <w:szCs w:val="21"/>
                <w:highlight w:val="none"/>
              </w:rPr>
              <w:t>户/</w:t>
            </w:r>
            <w:r>
              <w:rPr>
                <w:rFonts w:hint="eastAsia" w:ascii="Times New Roman" w:hAnsi="Times New Roman"/>
                <w:color w:val="auto"/>
                <w:sz w:val="21"/>
                <w:szCs w:val="21"/>
                <w:highlight w:val="none"/>
              </w:rPr>
              <w:t>70</w:t>
            </w:r>
            <w:r>
              <w:rPr>
                <w:rFonts w:ascii="Times New Roman" w:hAnsi="Times New Roman"/>
                <w:color w:val="auto"/>
                <w:sz w:val="21"/>
                <w:szCs w:val="21"/>
                <w:highlight w:val="none"/>
              </w:rPr>
              <w:t>人</w:t>
            </w:r>
          </w:p>
        </w:tc>
      </w:tr>
      <w:tr w14:paraId="11F4FD66">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851" w:type="dxa"/>
            <w:vMerge w:val="continue"/>
            <w:tcBorders>
              <w:tl2br w:val="nil"/>
              <w:tr2bl w:val="nil"/>
            </w:tcBorders>
            <w:vAlign w:val="center"/>
          </w:tcPr>
          <w:p w14:paraId="316B062B">
            <w:pPr>
              <w:ind w:left="-105" w:right="-105"/>
              <w:jc w:val="center"/>
              <w:rPr>
                <w:rFonts w:ascii="Times New Roman" w:hAnsi="Times New Roman"/>
                <w:color w:val="auto"/>
                <w:sz w:val="21"/>
                <w:szCs w:val="21"/>
                <w:highlight w:val="none"/>
                <w:lang w:val="zh-CN" w:bidi="zh-CN"/>
              </w:rPr>
            </w:pPr>
          </w:p>
        </w:tc>
        <w:tc>
          <w:tcPr>
            <w:tcW w:w="704" w:type="dxa"/>
            <w:tcBorders>
              <w:tl2br w:val="nil"/>
              <w:tr2bl w:val="nil"/>
            </w:tcBorders>
            <w:vAlign w:val="center"/>
          </w:tcPr>
          <w:p w14:paraId="63851837">
            <w:pPr>
              <w:pStyle w:val="97"/>
              <w:numPr>
                <w:ilvl w:val="0"/>
                <w:numId w:val="13"/>
              </w:numPr>
              <w:ind w:left="-105" w:right="-105" w:firstLineChars="0"/>
              <w:jc w:val="center"/>
              <w:rPr>
                <w:rFonts w:eastAsia="宋体"/>
                <w:color w:val="auto"/>
                <w:kern w:val="0"/>
                <w:sz w:val="21"/>
                <w:szCs w:val="21"/>
                <w:highlight w:val="none"/>
                <w:lang w:val="zh-CN" w:bidi="zh-CN"/>
              </w:rPr>
            </w:pPr>
          </w:p>
        </w:tc>
        <w:tc>
          <w:tcPr>
            <w:tcW w:w="2131" w:type="dxa"/>
            <w:gridSpan w:val="3"/>
            <w:tcBorders>
              <w:tl2br w:val="nil"/>
              <w:tr2bl w:val="nil"/>
            </w:tcBorders>
            <w:shd w:val="clear" w:color="auto" w:fill="auto"/>
            <w:vAlign w:val="center"/>
          </w:tcPr>
          <w:p w14:paraId="1855CA3F">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周家阁村</w:t>
            </w:r>
          </w:p>
        </w:tc>
        <w:tc>
          <w:tcPr>
            <w:tcW w:w="1100" w:type="dxa"/>
            <w:gridSpan w:val="3"/>
            <w:tcBorders>
              <w:tl2br w:val="nil"/>
              <w:tr2bl w:val="nil"/>
            </w:tcBorders>
            <w:shd w:val="clear" w:color="auto" w:fill="auto"/>
            <w:vAlign w:val="center"/>
          </w:tcPr>
          <w:p w14:paraId="4053EB56">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E</w:t>
            </w:r>
          </w:p>
        </w:tc>
        <w:tc>
          <w:tcPr>
            <w:tcW w:w="1278" w:type="dxa"/>
            <w:gridSpan w:val="3"/>
            <w:tcBorders>
              <w:tl2br w:val="nil"/>
              <w:tr2bl w:val="nil"/>
            </w:tcBorders>
            <w:shd w:val="clear" w:color="auto" w:fill="auto"/>
            <w:vAlign w:val="center"/>
          </w:tcPr>
          <w:p w14:paraId="61E4D773">
            <w:pPr>
              <w:ind w:left="-105" w:right="-105"/>
              <w:jc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3821</w:t>
            </w:r>
          </w:p>
        </w:tc>
        <w:tc>
          <w:tcPr>
            <w:tcW w:w="1238" w:type="dxa"/>
            <w:gridSpan w:val="3"/>
            <w:tcBorders>
              <w:tl2br w:val="nil"/>
              <w:tr2bl w:val="nil"/>
            </w:tcBorders>
            <w:shd w:val="clear" w:color="auto" w:fill="auto"/>
            <w:vAlign w:val="center"/>
          </w:tcPr>
          <w:p w14:paraId="29156C89">
            <w:pPr>
              <w:ind w:left="-105" w:right="-105"/>
              <w:jc w:val="center"/>
              <w:rPr>
                <w:rFonts w:ascii="Times New Roman" w:hAnsi="Times New Roman"/>
                <w:color w:val="auto"/>
                <w:sz w:val="21"/>
                <w:szCs w:val="21"/>
                <w:highlight w:val="none"/>
                <w:lang w:val="zh-CN" w:bidi="zh-CN"/>
              </w:rPr>
            </w:pPr>
            <w:r>
              <w:rPr>
                <w:rFonts w:ascii="Times New Roman" w:hAnsi="Times New Roman"/>
                <w:color w:val="auto"/>
                <w:sz w:val="21"/>
                <w:szCs w:val="21"/>
                <w:highlight w:val="none"/>
              </w:rPr>
              <w:t>居住区</w:t>
            </w:r>
          </w:p>
        </w:tc>
        <w:tc>
          <w:tcPr>
            <w:tcW w:w="1748" w:type="dxa"/>
            <w:tcBorders>
              <w:tl2br w:val="nil"/>
              <w:tr2bl w:val="nil"/>
            </w:tcBorders>
            <w:shd w:val="clear" w:color="auto" w:fill="auto"/>
            <w:vAlign w:val="center"/>
          </w:tcPr>
          <w:p w14:paraId="43BB528F">
            <w:pPr>
              <w:ind w:left="-105" w:right="-105"/>
              <w:jc w:val="center"/>
              <w:rPr>
                <w:rFonts w:ascii="Times New Roman" w:hAnsi="Times New Roman"/>
                <w:color w:val="auto"/>
                <w:sz w:val="21"/>
                <w:szCs w:val="21"/>
                <w:highlight w:val="none"/>
                <w:lang w:val="zh-CN" w:bidi="zh-CN"/>
              </w:rPr>
            </w:pPr>
            <w:r>
              <w:rPr>
                <w:rFonts w:hint="eastAsia" w:ascii="Times New Roman" w:hAnsi="Times New Roman"/>
                <w:color w:val="auto"/>
                <w:sz w:val="21"/>
                <w:szCs w:val="21"/>
                <w:highlight w:val="none"/>
              </w:rPr>
              <w:t>40</w:t>
            </w:r>
            <w:r>
              <w:rPr>
                <w:rFonts w:ascii="Times New Roman" w:hAnsi="Times New Roman"/>
                <w:color w:val="auto"/>
                <w:sz w:val="21"/>
                <w:szCs w:val="21"/>
                <w:highlight w:val="none"/>
              </w:rPr>
              <w:t>户/</w:t>
            </w:r>
            <w:r>
              <w:rPr>
                <w:rFonts w:hint="eastAsia" w:ascii="Times New Roman" w:hAnsi="Times New Roman"/>
                <w:color w:val="auto"/>
                <w:sz w:val="21"/>
                <w:szCs w:val="21"/>
                <w:highlight w:val="none"/>
              </w:rPr>
              <w:t>140</w:t>
            </w:r>
            <w:r>
              <w:rPr>
                <w:rFonts w:ascii="Times New Roman" w:hAnsi="Times New Roman"/>
                <w:color w:val="auto"/>
                <w:sz w:val="21"/>
                <w:szCs w:val="21"/>
                <w:highlight w:val="none"/>
              </w:rPr>
              <w:t>人</w:t>
            </w:r>
          </w:p>
        </w:tc>
      </w:tr>
      <w:tr w14:paraId="759FCCDA">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851" w:type="dxa"/>
            <w:vMerge w:val="continue"/>
            <w:tcBorders>
              <w:tl2br w:val="nil"/>
              <w:tr2bl w:val="nil"/>
            </w:tcBorders>
            <w:vAlign w:val="center"/>
          </w:tcPr>
          <w:p w14:paraId="6730C427">
            <w:pPr>
              <w:ind w:left="-105" w:right="-105"/>
              <w:jc w:val="center"/>
              <w:rPr>
                <w:rFonts w:ascii="Times New Roman" w:hAnsi="Times New Roman"/>
                <w:color w:val="auto"/>
                <w:sz w:val="21"/>
                <w:szCs w:val="21"/>
                <w:highlight w:val="none"/>
                <w:lang w:val="zh-CN" w:bidi="zh-CN"/>
              </w:rPr>
            </w:pPr>
          </w:p>
        </w:tc>
        <w:tc>
          <w:tcPr>
            <w:tcW w:w="704" w:type="dxa"/>
            <w:tcBorders>
              <w:tl2br w:val="nil"/>
              <w:tr2bl w:val="nil"/>
            </w:tcBorders>
            <w:vAlign w:val="center"/>
          </w:tcPr>
          <w:p w14:paraId="75CC554B">
            <w:pPr>
              <w:pStyle w:val="97"/>
              <w:numPr>
                <w:ilvl w:val="0"/>
                <w:numId w:val="13"/>
              </w:numPr>
              <w:ind w:left="-105" w:right="-105" w:firstLineChars="0"/>
              <w:jc w:val="center"/>
              <w:rPr>
                <w:rFonts w:eastAsia="宋体"/>
                <w:color w:val="auto"/>
                <w:kern w:val="0"/>
                <w:sz w:val="21"/>
                <w:szCs w:val="21"/>
                <w:highlight w:val="none"/>
                <w:lang w:val="zh-CN" w:bidi="zh-CN"/>
              </w:rPr>
            </w:pPr>
          </w:p>
        </w:tc>
        <w:tc>
          <w:tcPr>
            <w:tcW w:w="2131" w:type="dxa"/>
            <w:gridSpan w:val="3"/>
            <w:tcBorders>
              <w:tl2br w:val="nil"/>
              <w:tr2bl w:val="nil"/>
            </w:tcBorders>
            <w:shd w:val="clear" w:color="auto" w:fill="auto"/>
            <w:vAlign w:val="center"/>
          </w:tcPr>
          <w:p w14:paraId="2126F5C4">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张泾中心小学</w:t>
            </w:r>
          </w:p>
        </w:tc>
        <w:tc>
          <w:tcPr>
            <w:tcW w:w="1100" w:type="dxa"/>
            <w:gridSpan w:val="3"/>
            <w:tcBorders>
              <w:tl2br w:val="nil"/>
              <w:tr2bl w:val="nil"/>
            </w:tcBorders>
            <w:shd w:val="clear" w:color="auto" w:fill="auto"/>
            <w:vAlign w:val="center"/>
          </w:tcPr>
          <w:p w14:paraId="1C4844EA">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E</w:t>
            </w:r>
          </w:p>
        </w:tc>
        <w:tc>
          <w:tcPr>
            <w:tcW w:w="1278" w:type="dxa"/>
            <w:gridSpan w:val="3"/>
            <w:tcBorders>
              <w:tl2br w:val="nil"/>
              <w:tr2bl w:val="nil"/>
            </w:tcBorders>
            <w:shd w:val="clear" w:color="auto" w:fill="auto"/>
            <w:vAlign w:val="center"/>
          </w:tcPr>
          <w:p w14:paraId="35470572">
            <w:pPr>
              <w:ind w:left="-105" w:right="-105"/>
              <w:jc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3909</w:t>
            </w:r>
          </w:p>
        </w:tc>
        <w:tc>
          <w:tcPr>
            <w:tcW w:w="1238" w:type="dxa"/>
            <w:gridSpan w:val="3"/>
            <w:tcBorders>
              <w:tl2br w:val="nil"/>
              <w:tr2bl w:val="nil"/>
            </w:tcBorders>
            <w:shd w:val="clear" w:color="auto" w:fill="auto"/>
            <w:vAlign w:val="center"/>
          </w:tcPr>
          <w:p w14:paraId="39F63E3A">
            <w:pPr>
              <w:ind w:left="-105" w:right="-105"/>
              <w:jc w:val="center"/>
              <w:rPr>
                <w:rFonts w:ascii="Times New Roman" w:hAnsi="Times New Roman"/>
                <w:color w:val="auto"/>
                <w:sz w:val="21"/>
                <w:szCs w:val="21"/>
                <w:highlight w:val="none"/>
                <w:lang w:val="zh-CN" w:bidi="zh-CN"/>
              </w:rPr>
            </w:pPr>
            <w:r>
              <w:rPr>
                <w:rFonts w:hint="eastAsia" w:ascii="Times New Roman" w:hAnsi="Times New Roman"/>
                <w:color w:val="auto"/>
                <w:sz w:val="21"/>
                <w:szCs w:val="21"/>
                <w:highlight w:val="none"/>
              </w:rPr>
              <w:t>文化</w:t>
            </w:r>
            <w:r>
              <w:rPr>
                <w:rFonts w:ascii="Times New Roman" w:hAnsi="Times New Roman"/>
                <w:color w:val="auto"/>
                <w:sz w:val="21"/>
                <w:szCs w:val="21"/>
                <w:highlight w:val="none"/>
              </w:rPr>
              <w:t>区</w:t>
            </w:r>
          </w:p>
        </w:tc>
        <w:tc>
          <w:tcPr>
            <w:tcW w:w="1748" w:type="dxa"/>
            <w:tcBorders>
              <w:tl2br w:val="nil"/>
              <w:tr2bl w:val="nil"/>
            </w:tcBorders>
            <w:shd w:val="clear" w:color="auto" w:fill="auto"/>
            <w:vAlign w:val="center"/>
          </w:tcPr>
          <w:p w14:paraId="05DAAE34">
            <w:pPr>
              <w:ind w:left="-105" w:right="-105"/>
              <w:jc w:val="center"/>
              <w:rPr>
                <w:rFonts w:ascii="Times New Roman" w:hAnsi="Times New Roman"/>
                <w:color w:val="auto"/>
                <w:sz w:val="21"/>
                <w:szCs w:val="21"/>
                <w:highlight w:val="none"/>
                <w:lang w:val="zh-CN" w:bidi="zh-CN"/>
              </w:rPr>
            </w:pPr>
            <w:r>
              <w:rPr>
                <w:rFonts w:hint="eastAsia" w:ascii="Times New Roman" w:hAnsi="Times New Roman"/>
                <w:color w:val="auto"/>
                <w:sz w:val="21"/>
                <w:szCs w:val="21"/>
                <w:highlight w:val="none"/>
              </w:rPr>
              <w:t>1600</w:t>
            </w:r>
            <w:r>
              <w:rPr>
                <w:rFonts w:ascii="Times New Roman" w:hAnsi="Times New Roman"/>
                <w:color w:val="auto"/>
                <w:sz w:val="21"/>
                <w:szCs w:val="21"/>
                <w:highlight w:val="none"/>
              </w:rPr>
              <w:t>人</w:t>
            </w:r>
          </w:p>
        </w:tc>
      </w:tr>
      <w:tr w14:paraId="6D9C6C3F">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851" w:type="dxa"/>
            <w:vMerge w:val="continue"/>
            <w:tcBorders>
              <w:tl2br w:val="nil"/>
              <w:tr2bl w:val="nil"/>
            </w:tcBorders>
            <w:vAlign w:val="center"/>
          </w:tcPr>
          <w:p w14:paraId="18EB61C5">
            <w:pPr>
              <w:ind w:left="-105" w:right="-105"/>
              <w:jc w:val="center"/>
              <w:rPr>
                <w:rFonts w:ascii="Times New Roman" w:hAnsi="Times New Roman"/>
                <w:color w:val="auto"/>
                <w:sz w:val="21"/>
                <w:szCs w:val="21"/>
                <w:highlight w:val="none"/>
                <w:lang w:val="zh-CN" w:bidi="zh-CN"/>
              </w:rPr>
            </w:pPr>
          </w:p>
        </w:tc>
        <w:tc>
          <w:tcPr>
            <w:tcW w:w="704" w:type="dxa"/>
            <w:tcBorders>
              <w:tl2br w:val="nil"/>
              <w:tr2bl w:val="nil"/>
            </w:tcBorders>
            <w:vAlign w:val="center"/>
          </w:tcPr>
          <w:p w14:paraId="557F913E">
            <w:pPr>
              <w:pStyle w:val="97"/>
              <w:numPr>
                <w:ilvl w:val="0"/>
                <w:numId w:val="13"/>
              </w:numPr>
              <w:ind w:left="-105" w:right="-105" w:firstLineChars="0"/>
              <w:jc w:val="center"/>
              <w:rPr>
                <w:rFonts w:eastAsia="宋体"/>
                <w:color w:val="auto"/>
                <w:kern w:val="0"/>
                <w:sz w:val="21"/>
                <w:szCs w:val="21"/>
                <w:highlight w:val="none"/>
                <w:lang w:val="zh-CN" w:bidi="zh-CN"/>
              </w:rPr>
            </w:pPr>
          </w:p>
        </w:tc>
        <w:tc>
          <w:tcPr>
            <w:tcW w:w="2131" w:type="dxa"/>
            <w:gridSpan w:val="3"/>
            <w:tcBorders>
              <w:tl2br w:val="nil"/>
              <w:tr2bl w:val="nil"/>
            </w:tcBorders>
            <w:shd w:val="clear" w:color="auto" w:fill="auto"/>
            <w:vAlign w:val="center"/>
          </w:tcPr>
          <w:p w14:paraId="1D1100F9">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李更巷</w:t>
            </w:r>
          </w:p>
        </w:tc>
        <w:tc>
          <w:tcPr>
            <w:tcW w:w="1100" w:type="dxa"/>
            <w:gridSpan w:val="3"/>
            <w:tcBorders>
              <w:tl2br w:val="nil"/>
              <w:tr2bl w:val="nil"/>
            </w:tcBorders>
            <w:shd w:val="clear" w:color="auto" w:fill="auto"/>
            <w:vAlign w:val="center"/>
          </w:tcPr>
          <w:p w14:paraId="78A828AD">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E</w:t>
            </w:r>
          </w:p>
        </w:tc>
        <w:tc>
          <w:tcPr>
            <w:tcW w:w="1278" w:type="dxa"/>
            <w:gridSpan w:val="3"/>
            <w:tcBorders>
              <w:tl2br w:val="nil"/>
              <w:tr2bl w:val="nil"/>
            </w:tcBorders>
            <w:shd w:val="clear" w:color="auto" w:fill="auto"/>
            <w:vAlign w:val="center"/>
          </w:tcPr>
          <w:p w14:paraId="112720F6">
            <w:pPr>
              <w:ind w:left="-105" w:right="-105"/>
              <w:jc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4474</w:t>
            </w:r>
          </w:p>
        </w:tc>
        <w:tc>
          <w:tcPr>
            <w:tcW w:w="1238" w:type="dxa"/>
            <w:gridSpan w:val="3"/>
            <w:tcBorders>
              <w:tl2br w:val="nil"/>
              <w:tr2bl w:val="nil"/>
            </w:tcBorders>
            <w:shd w:val="clear" w:color="auto" w:fill="auto"/>
            <w:vAlign w:val="center"/>
          </w:tcPr>
          <w:p w14:paraId="7FEACA47">
            <w:pPr>
              <w:ind w:left="-105" w:right="-105"/>
              <w:jc w:val="center"/>
              <w:rPr>
                <w:rFonts w:ascii="Times New Roman" w:hAnsi="Times New Roman"/>
                <w:color w:val="auto"/>
                <w:sz w:val="21"/>
                <w:szCs w:val="21"/>
                <w:highlight w:val="none"/>
                <w:lang w:val="zh-CN" w:bidi="zh-CN"/>
              </w:rPr>
            </w:pPr>
            <w:r>
              <w:rPr>
                <w:rFonts w:ascii="Times New Roman" w:hAnsi="Times New Roman"/>
                <w:color w:val="auto"/>
                <w:sz w:val="21"/>
                <w:szCs w:val="21"/>
                <w:highlight w:val="none"/>
              </w:rPr>
              <w:t>居住区</w:t>
            </w:r>
          </w:p>
        </w:tc>
        <w:tc>
          <w:tcPr>
            <w:tcW w:w="1748" w:type="dxa"/>
            <w:tcBorders>
              <w:tl2br w:val="nil"/>
              <w:tr2bl w:val="nil"/>
            </w:tcBorders>
            <w:shd w:val="clear" w:color="auto" w:fill="auto"/>
            <w:vAlign w:val="center"/>
          </w:tcPr>
          <w:p w14:paraId="4D6A0950">
            <w:pPr>
              <w:ind w:left="-105" w:right="-105"/>
              <w:jc w:val="center"/>
              <w:rPr>
                <w:rFonts w:ascii="Times New Roman" w:hAnsi="Times New Roman"/>
                <w:color w:val="auto"/>
                <w:sz w:val="21"/>
                <w:szCs w:val="21"/>
                <w:highlight w:val="none"/>
                <w:lang w:val="zh-CN" w:bidi="zh-CN"/>
              </w:rPr>
            </w:pPr>
            <w:r>
              <w:rPr>
                <w:rFonts w:hint="eastAsia" w:ascii="Times New Roman" w:hAnsi="Times New Roman"/>
                <w:color w:val="auto"/>
                <w:sz w:val="21"/>
                <w:szCs w:val="21"/>
                <w:highlight w:val="none"/>
              </w:rPr>
              <w:t>20</w:t>
            </w:r>
            <w:r>
              <w:rPr>
                <w:rFonts w:ascii="Times New Roman" w:hAnsi="Times New Roman"/>
                <w:color w:val="auto"/>
                <w:sz w:val="21"/>
                <w:szCs w:val="21"/>
                <w:highlight w:val="none"/>
              </w:rPr>
              <w:t>户/</w:t>
            </w:r>
            <w:r>
              <w:rPr>
                <w:rFonts w:hint="eastAsia" w:ascii="Times New Roman" w:hAnsi="Times New Roman"/>
                <w:color w:val="auto"/>
                <w:sz w:val="21"/>
                <w:szCs w:val="21"/>
                <w:highlight w:val="none"/>
              </w:rPr>
              <w:t>70</w:t>
            </w:r>
            <w:r>
              <w:rPr>
                <w:rFonts w:ascii="Times New Roman" w:hAnsi="Times New Roman"/>
                <w:color w:val="auto"/>
                <w:sz w:val="21"/>
                <w:szCs w:val="21"/>
                <w:highlight w:val="none"/>
              </w:rPr>
              <w:t>人</w:t>
            </w:r>
          </w:p>
        </w:tc>
      </w:tr>
      <w:tr w14:paraId="17C303FC">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851" w:type="dxa"/>
            <w:vMerge w:val="continue"/>
            <w:tcBorders>
              <w:tl2br w:val="nil"/>
              <w:tr2bl w:val="nil"/>
            </w:tcBorders>
            <w:vAlign w:val="center"/>
          </w:tcPr>
          <w:p w14:paraId="601E317F">
            <w:pPr>
              <w:ind w:left="-105" w:right="-105"/>
              <w:jc w:val="center"/>
              <w:rPr>
                <w:rFonts w:ascii="Times New Roman" w:hAnsi="Times New Roman"/>
                <w:color w:val="auto"/>
                <w:sz w:val="21"/>
                <w:szCs w:val="21"/>
                <w:highlight w:val="none"/>
                <w:lang w:val="zh-CN" w:bidi="zh-CN"/>
              </w:rPr>
            </w:pPr>
          </w:p>
        </w:tc>
        <w:tc>
          <w:tcPr>
            <w:tcW w:w="704" w:type="dxa"/>
            <w:tcBorders>
              <w:tl2br w:val="nil"/>
              <w:tr2bl w:val="nil"/>
            </w:tcBorders>
            <w:vAlign w:val="center"/>
          </w:tcPr>
          <w:p w14:paraId="42B4BD76">
            <w:pPr>
              <w:pStyle w:val="97"/>
              <w:numPr>
                <w:ilvl w:val="0"/>
                <w:numId w:val="13"/>
              </w:numPr>
              <w:ind w:left="-105" w:right="-105" w:firstLineChars="0"/>
              <w:jc w:val="center"/>
              <w:rPr>
                <w:rFonts w:eastAsia="宋体"/>
                <w:color w:val="auto"/>
                <w:kern w:val="0"/>
                <w:sz w:val="21"/>
                <w:szCs w:val="21"/>
                <w:highlight w:val="none"/>
                <w:lang w:val="zh-CN" w:bidi="zh-CN"/>
              </w:rPr>
            </w:pPr>
          </w:p>
        </w:tc>
        <w:tc>
          <w:tcPr>
            <w:tcW w:w="2131" w:type="dxa"/>
            <w:gridSpan w:val="3"/>
            <w:tcBorders>
              <w:tl2br w:val="nil"/>
              <w:tr2bl w:val="nil"/>
            </w:tcBorders>
            <w:shd w:val="clear" w:color="auto" w:fill="auto"/>
            <w:vAlign w:val="center"/>
          </w:tcPr>
          <w:p w14:paraId="258183DB">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张泾西街</w:t>
            </w:r>
          </w:p>
        </w:tc>
        <w:tc>
          <w:tcPr>
            <w:tcW w:w="1100" w:type="dxa"/>
            <w:gridSpan w:val="3"/>
            <w:tcBorders>
              <w:tl2br w:val="nil"/>
              <w:tr2bl w:val="nil"/>
            </w:tcBorders>
            <w:shd w:val="clear" w:color="auto" w:fill="auto"/>
            <w:vAlign w:val="center"/>
          </w:tcPr>
          <w:p w14:paraId="2C46629E">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NE</w:t>
            </w:r>
          </w:p>
        </w:tc>
        <w:tc>
          <w:tcPr>
            <w:tcW w:w="1278" w:type="dxa"/>
            <w:gridSpan w:val="3"/>
            <w:tcBorders>
              <w:tl2br w:val="nil"/>
              <w:tr2bl w:val="nil"/>
            </w:tcBorders>
            <w:shd w:val="clear" w:color="auto" w:fill="auto"/>
            <w:vAlign w:val="center"/>
          </w:tcPr>
          <w:p w14:paraId="3D3A34DF">
            <w:pPr>
              <w:ind w:left="-105" w:right="-105"/>
              <w:jc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3629</w:t>
            </w:r>
          </w:p>
        </w:tc>
        <w:tc>
          <w:tcPr>
            <w:tcW w:w="1238" w:type="dxa"/>
            <w:gridSpan w:val="3"/>
            <w:tcBorders>
              <w:tl2br w:val="nil"/>
              <w:tr2bl w:val="nil"/>
            </w:tcBorders>
            <w:shd w:val="clear" w:color="auto" w:fill="auto"/>
            <w:vAlign w:val="center"/>
          </w:tcPr>
          <w:p w14:paraId="7C3296F1">
            <w:pPr>
              <w:ind w:left="-105" w:right="-105"/>
              <w:jc w:val="center"/>
              <w:rPr>
                <w:rFonts w:ascii="Times New Roman" w:hAnsi="Times New Roman"/>
                <w:color w:val="auto"/>
                <w:sz w:val="21"/>
                <w:szCs w:val="21"/>
                <w:highlight w:val="none"/>
              </w:rPr>
            </w:pPr>
            <w:r>
              <w:rPr>
                <w:rFonts w:ascii="Times New Roman" w:hAnsi="Times New Roman"/>
                <w:color w:val="auto"/>
                <w:sz w:val="21"/>
                <w:szCs w:val="21"/>
                <w:highlight w:val="none"/>
              </w:rPr>
              <w:t>居住区</w:t>
            </w:r>
          </w:p>
        </w:tc>
        <w:tc>
          <w:tcPr>
            <w:tcW w:w="1748" w:type="dxa"/>
            <w:tcBorders>
              <w:tl2br w:val="nil"/>
              <w:tr2bl w:val="nil"/>
            </w:tcBorders>
            <w:shd w:val="clear" w:color="auto" w:fill="auto"/>
            <w:vAlign w:val="center"/>
          </w:tcPr>
          <w:p w14:paraId="05EF530D">
            <w:pPr>
              <w:ind w:left="-105" w:right="-105"/>
              <w:jc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500</w:t>
            </w:r>
            <w:r>
              <w:rPr>
                <w:rFonts w:ascii="Times New Roman" w:hAnsi="Times New Roman"/>
                <w:color w:val="auto"/>
                <w:sz w:val="21"/>
                <w:szCs w:val="21"/>
                <w:highlight w:val="none"/>
              </w:rPr>
              <w:t>户/</w:t>
            </w:r>
            <w:r>
              <w:rPr>
                <w:rFonts w:hint="eastAsia" w:ascii="Times New Roman" w:hAnsi="Times New Roman"/>
                <w:color w:val="auto"/>
                <w:sz w:val="21"/>
                <w:szCs w:val="21"/>
                <w:highlight w:val="none"/>
              </w:rPr>
              <w:t>1750</w:t>
            </w:r>
            <w:r>
              <w:rPr>
                <w:rFonts w:ascii="Times New Roman" w:hAnsi="Times New Roman"/>
                <w:color w:val="auto"/>
                <w:sz w:val="21"/>
                <w:szCs w:val="21"/>
                <w:highlight w:val="none"/>
              </w:rPr>
              <w:t>人</w:t>
            </w:r>
          </w:p>
        </w:tc>
      </w:tr>
      <w:tr w14:paraId="26D25C69">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851" w:type="dxa"/>
            <w:vMerge w:val="continue"/>
            <w:tcBorders>
              <w:tl2br w:val="nil"/>
              <w:tr2bl w:val="nil"/>
            </w:tcBorders>
            <w:vAlign w:val="center"/>
          </w:tcPr>
          <w:p w14:paraId="49F8FE3B">
            <w:pPr>
              <w:ind w:left="-105" w:right="-105"/>
              <w:jc w:val="center"/>
              <w:rPr>
                <w:rFonts w:ascii="Times New Roman" w:hAnsi="Times New Roman"/>
                <w:color w:val="auto"/>
                <w:sz w:val="21"/>
                <w:szCs w:val="21"/>
                <w:highlight w:val="none"/>
                <w:lang w:val="zh-CN" w:bidi="zh-CN"/>
              </w:rPr>
            </w:pPr>
          </w:p>
        </w:tc>
        <w:tc>
          <w:tcPr>
            <w:tcW w:w="704" w:type="dxa"/>
            <w:tcBorders>
              <w:tl2br w:val="nil"/>
              <w:tr2bl w:val="nil"/>
            </w:tcBorders>
            <w:vAlign w:val="center"/>
          </w:tcPr>
          <w:p w14:paraId="5278DF02">
            <w:pPr>
              <w:pStyle w:val="97"/>
              <w:numPr>
                <w:ilvl w:val="0"/>
                <w:numId w:val="13"/>
              </w:numPr>
              <w:ind w:left="-105" w:right="-105" w:firstLineChars="0"/>
              <w:jc w:val="center"/>
              <w:rPr>
                <w:rFonts w:eastAsia="宋体"/>
                <w:color w:val="auto"/>
                <w:kern w:val="0"/>
                <w:sz w:val="21"/>
                <w:szCs w:val="21"/>
                <w:highlight w:val="none"/>
                <w:lang w:val="zh-CN" w:bidi="zh-CN"/>
              </w:rPr>
            </w:pPr>
          </w:p>
        </w:tc>
        <w:tc>
          <w:tcPr>
            <w:tcW w:w="2131" w:type="dxa"/>
            <w:gridSpan w:val="3"/>
            <w:tcBorders>
              <w:tl2br w:val="nil"/>
              <w:tr2bl w:val="nil"/>
            </w:tcBorders>
            <w:shd w:val="clear" w:color="auto" w:fill="auto"/>
            <w:vAlign w:val="center"/>
          </w:tcPr>
          <w:p w14:paraId="5B6E42DF">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张泾中学</w:t>
            </w:r>
          </w:p>
        </w:tc>
        <w:tc>
          <w:tcPr>
            <w:tcW w:w="1100" w:type="dxa"/>
            <w:gridSpan w:val="3"/>
            <w:tcBorders>
              <w:tl2br w:val="nil"/>
              <w:tr2bl w:val="nil"/>
            </w:tcBorders>
            <w:shd w:val="clear" w:color="auto" w:fill="auto"/>
            <w:vAlign w:val="center"/>
          </w:tcPr>
          <w:p w14:paraId="190637D5">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NE</w:t>
            </w:r>
          </w:p>
        </w:tc>
        <w:tc>
          <w:tcPr>
            <w:tcW w:w="1278" w:type="dxa"/>
            <w:gridSpan w:val="3"/>
            <w:tcBorders>
              <w:tl2br w:val="nil"/>
              <w:tr2bl w:val="nil"/>
            </w:tcBorders>
            <w:shd w:val="clear" w:color="auto" w:fill="auto"/>
            <w:vAlign w:val="center"/>
          </w:tcPr>
          <w:p w14:paraId="1C6A9484">
            <w:pPr>
              <w:ind w:left="-105" w:right="-105"/>
              <w:jc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3775</w:t>
            </w:r>
          </w:p>
        </w:tc>
        <w:tc>
          <w:tcPr>
            <w:tcW w:w="1238" w:type="dxa"/>
            <w:gridSpan w:val="3"/>
            <w:tcBorders>
              <w:tl2br w:val="nil"/>
              <w:tr2bl w:val="nil"/>
            </w:tcBorders>
            <w:shd w:val="clear" w:color="auto" w:fill="auto"/>
            <w:vAlign w:val="center"/>
          </w:tcPr>
          <w:p w14:paraId="54D748BB">
            <w:pPr>
              <w:ind w:left="-105" w:right="-105"/>
              <w:jc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文化</w:t>
            </w:r>
            <w:r>
              <w:rPr>
                <w:rFonts w:ascii="Times New Roman" w:hAnsi="Times New Roman"/>
                <w:color w:val="auto"/>
                <w:sz w:val="21"/>
                <w:szCs w:val="21"/>
                <w:highlight w:val="none"/>
              </w:rPr>
              <w:t>区</w:t>
            </w:r>
          </w:p>
        </w:tc>
        <w:tc>
          <w:tcPr>
            <w:tcW w:w="1748" w:type="dxa"/>
            <w:tcBorders>
              <w:tl2br w:val="nil"/>
              <w:tr2bl w:val="nil"/>
            </w:tcBorders>
            <w:shd w:val="clear" w:color="auto" w:fill="auto"/>
            <w:vAlign w:val="center"/>
          </w:tcPr>
          <w:p w14:paraId="7B16AE2D">
            <w:pPr>
              <w:ind w:left="-105" w:right="-105"/>
              <w:jc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1000</w:t>
            </w:r>
            <w:r>
              <w:rPr>
                <w:rFonts w:ascii="Times New Roman" w:hAnsi="Times New Roman"/>
                <w:color w:val="auto"/>
                <w:sz w:val="21"/>
                <w:szCs w:val="21"/>
                <w:highlight w:val="none"/>
              </w:rPr>
              <w:t>人</w:t>
            </w:r>
          </w:p>
        </w:tc>
      </w:tr>
      <w:tr w14:paraId="62917920">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851" w:type="dxa"/>
            <w:vMerge w:val="continue"/>
            <w:tcBorders>
              <w:tl2br w:val="nil"/>
              <w:tr2bl w:val="nil"/>
            </w:tcBorders>
            <w:vAlign w:val="center"/>
          </w:tcPr>
          <w:p w14:paraId="75466737">
            <w:pPr>
              <w:ind w:left="-105" w:right="-105"/>
              <w:jc w:val="center"/>
              <w:rPr>
                <w:rFonts w:ascii="Times New Roman" w:hAnsi="Times New Roman"/>
                <w:color w:val="auto"/>
                <w:sz w:val="21"/>
                <w:szCs w:val="21"/>
                <w:highlight w:val="none"/>
                <w:lang w:val="zh-CN" w:bidi="zh-CN"/>
              </w:rPr>
            </w:pPr>
          </w:p>
        </w:tc>
        <w:tc>
          <w:tcPr>
            <w:tcW w:w="704" w:type="dxa"/>
            <w:tcBorders>
              <w:tl2br w:val="nil"/>
              <w:tr2bl w:val="nil"/>
            </w:tcBorders>
            <w:vAlign w:val="center"/>
          </w:tcPr>
          <w:p w14:paraId="6B0F56C1">
            <w:pPr>
              <w:pStyle w:val="97"/>
              <w:numPr>
                <w:ilvl w:val="0"/>
                <w:numId w:val="13"/>
              </w:numPr>
              <w:ind w:left="-105" w:right="-105" w:firstLineChars="0"/>
              <w:jc w:val="center"/>
              <w:rPr>
                <w:rFonts w:eastAsia="宋体"/>
                <w:color w:val="auto"/>
                <w:kern w:val="0"/>
                <w:sz w:val="21"/>
                <w:szCs w:val="21"/>
                <w:highlight w:val="none"/>
                <w:lang w:val="zh-CN" w:bidi="zh-CN"/>
              </w:rPr>
            </w:pPr>
          </w:p>
        </w:tc>
        <w:tc>
          <w:tcPr>
            <w:tcW w:w="2131" w:type="dxa"/>
            <w:gridSpan w:val="3"/>
            <w:tcBorders>
              <w:tl2br w:val="nil"/>
              <w:tr2bl w:val="nil"/>
            </w:tcBorders>
            <w:shd w:val="clear" w:color="auto" w:fill="auto"/>
            <w:vAlign w:val="center"/>
          </w:tcPr>
          <w:p w14:paraId="3F1F2ED0">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后塘桥</w:t>
            </w:r>
          </w:p>
        </w:tc>
        <w:tc>
          <w:tcPr>
            <w:tcW w:w="1100" w:type="dxa"/>
            <w:gridSpan w:val="3"/>
            <w:tcBorders>
              <w:tl2br w:val="nil"/>
              <w:tr2bl w:val="nil"/>
            </w:tcBorders>
            <w:shd w:val="clear" w:color="auto" w:fill="auto"/>
            <w:vAlign w:val="center"/>
          </w:tcPr>
          <w:p w14:paraId="12EFB09F">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NE</w:t>
            </w:r>
          </w:p>
        </w:tc>
        <w:tc>
          <w:tcPr>
            <w:tcW w:w="1278" w:type="dxa"/>
            <w:gridSpan w:val="3"/>
            <w:tcBorders>
              <w:tl2br w:val="nil"/>
              <w:tr2bl w:val="nil"/>
            </w:tcBorders>
            <w:shd w:val="clear" w:color="auto" w:fill="auto"/>
            <w:vAlign w:val="center"/>
          </w:tcPr>
          <w:p w14:paraId="5A55D23F">
            <w:pPr>
              <w:ind w:left="-105" w:right="-105"/>
              <w:jc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4538</w:t>
            </w:r>
          </w:p>
        </w:tc>
        <w:tc>
          <w:tcPr>
            <w:tcW w:w="1238" w:type="dxa"/>
            <w:gridSpan w:val="3"/>
            <w:tcBorders>
              <w:tl2br w:val="nil"/>
              <w:tr2bl w:val="nil"/>
            </w:tcBorders>
            <w:shd w:val="clear" w:color="auto" w:fill="auto"/>
            <w:vAlign w:val="center"/>
          </w:tcPr>
          <w:p w14:paraId="2FC984B8">
            <w:pPr>
              <w:ind w:left="-105" w:right="-105"/>
              <w:jc w:val="center"/>
              <w:rPr>
                <w:rFonts w:ascii="Times New Roman" w:hAnsi="Times New Roman"/>
                <w:color w:val="auto"/>
                <w:sz w:val="21"/>
                <w:szCs w:val="21"/>
                <w:highlight w:val="none"/>
              </w:rPr>
            </w:pPr>
            <w:r>
              <w:rPr>
                <w:rFonts w:ascii="Times New Roman" w:hAnsi="Times New Roman"/>
                <w:color w:val="auto"/>
                <w:sz w:val="21"/>
                <w:szCs w:val="21"/>
                <w:highlight w:val="none"/>
              </w:rPr>
              <w:t>居住区</w:t>
            </w:r>
          </w:p>
        </w:tc>
        <w:tc>
          <w:tcPr>
            <w:tcW w:w="1748" w:type="dxa"/>
            <w:tcBorders>
              <w:tl2br w:val="nil"/>
              <w:tr2bl w:val="nil"/>
            </w:tcBorders>
            <w:shd w:val="clear" w:color="auto" w:fill="auto"/>
            <w:vAlign w:val="center"/>
          </w:tcPr>
          <w:p w14:paraId="7319ABFF">
            <w:pPr>
              <w:ind w:left="-105" w:right="-105"/>
              <w:jc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20</w:t>
            </w:r>
            <w:r>
              <w:rPr>
                <w:rFonts w:ascii="Times New Roman" w:hAnsi="Times New Roman"/>
                <w:color w:val="auto"/>
                <w:sz w:val="21"/>
                <w:szCs w:val="21"/>
                <w:highlight w:val="none"/>
              </w:rPr>
              <w:t>户/</w:t>
            </w:r>
            <w:r>
              <w:rPr>
                <w:rFonts w:hint="eastAsia" w:ascii="Times New Roman" w:hAnsi="Times New Roman"/>
                <w:color w:val="auto"/>
                <w:sz w:val="21"/>
                <w:szCs w:val="21"/>
                <w:highlight w:val="none"/>
              </w:rPr>
              <w:t>70</w:t>
            </w:r>
            <w:r>
              <w:rPr>
                <w:rFonts w:ascii="Times New Roman" w:hAnsi="Times New Roman"/>
                <w:color w:val="auto"/>
                <w:sz w:val="21"/>
                <w:szCs w:val="21"/>
                <w:highlight w:val="none"/>
              </w:rPr>
              <w:t>人</w:t>
            </w:r>
          </w:p>
        </w:tc>
      </w:tr>
      <w:tr w14:paraId="1C9F7024">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851" w:type="dxa"/>
            <w:vMerge w:val="continue"/>
            <w:tcBorders>
              <w:tl2br w:val="nil"/>
              <w:tr2bl w:val="nil"/>
            </w:tcBorders>
            <w:vAlign w:val="center"/>
          </w:tcPr>
          <w:p w14:paraId="4B15D6E6">
            <w:pPr>
              <w:ind w:left="-105" w:right="-105"/>
              <w:jc w:val="center"/>
              <w:rPr>
                <w:rFonts w:ascii="Times New Roman" w:hAnsi="Times New Roman"/>
                <w:color w:val="auto"/>
                <w:sz w:val="21"/>
                <w:szCs w:val="21"/>
                <w:highlight w:val="none"/>
                <w:lang w:val="zh-CN" w:bidi="zh-CN"/>
              </w:rPr>
            </w:pPr>
          </w:p>
        </w:tc>
        <w:tc>
          <w:tcPr>
            <w:tcW w:w="704" w:type="dxa"/>
            <w:tcBorders>
              <w:tl2br w:val="nil"/>
              <w:tr2bl w:val="nil"/>
            </w:tcBorders>
            <w:vAlign w:val="center"/>
          </w:tcPr>
          <w:p w14:paraId="0E9C5571">
            <w:pPr>
              <w:pStyle w:val="97"/>
              <w:numPr>
                <w:ilvl w:val="0"/>
                <w:numId w:val="13"/>
              </w:numPr>
              <w:ind w:left="-105" w:right="-105" w:firstLineChars="0"/>
              <w:jc w:val="center"/>
              <w:rPr>
                <w:rFonts w:eastAsia="宋体"/>
                <w:color w:val="auto"/>
                <w:kern w:val="0"/>
                <w:sz w:val="21"/>
                <w:szCs w:val="21"/>
                <w:highlight w:val="none"/>
                <w:lang w:val="zh-CN" w:bidi="zh-CN"/>
              </w:rPr>
            </w:pPr>
          </w:p>
        </w:tc>
        <w:tc>
          <w:tcPr>
            <w:tcW w:w="2131" w:type="dxa"/>
            <w:gridSpan w:val="3"/>
            <w:tcBorders>
              <w:tl2br w:val="nil"/>
              <w:tr2bl w:val="nil"/>
            </w:tcBorders>
            <w:shd w:val="clear" w:color="auto" w:fill="auto"/>
            <w:vAlign w:val="center"/>
          </w:tcPr>
          <w:p w14:paraId="075B5136">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紫金苑</w:t>
            </w:r>
          </w:p>
        </w:tc>
        <w:tc>
          <w:tcPr>
            <w:tcW w:w="1100" w:type="dxa"/>
            <w:gridSpan w:val="3"/>
            <w:tcBorders>
              <w:tl2br w:val="nil"/>
              <w:tr2bl w:val="nil"/>
            </w:tcBorders>
            <w:shd w:val="clear" w:color="auto" w:fill="auto"/>
            <w:vAlign w:val="center"/>
          </w:tcPr>
          <w:p w14:paraId="06B1F156">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NE</w:t>
            </w:r>
          </w:p>
        </w:tc>
        <w:tc>
          <w:tcPr>
            <w:tcW w:w="1278" w:type="dxa"/>
            <w:gridSpan w:val="3"/>
            <w:tcBorders>
              <w:tl2br w:val="nil"/>
              <w:tr2bl w:val="nil"/>
            </w:tcBorders>
            <w:shd w:val="clear" w:color="auto" w:fill="auto"/>
            <w:vAlign w:val="center"/>
          </w:tcPr>
          <w:p w14:paraId="0F1DD4C5">
            <w:pPr>
              <w:ind w:left="-105" w:right="-105"/>
              <w:jc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3110</w:t>
            </w:r>
          </w:p>
        </w:tc>
        <w:tc>
          <w:tcPr>
            <w:tcW w:w="1238" w:type="dxa"/>
            <w:gridSpan w:val="3"/>
            <w:tcBorders>
              <w:tl2br w:val="nil"/>
              <w:tr2bl w:val="nil"/>
            </w:tcBorders>
            <w:shd w:val="clear" w:color="auto" w:fill="auto"/>
            <w:vAlign w:val="center"/>
          </w:tcPr>
          <w:p w14:paraId="2B0EF8AF">
            <w:pPr>
              <w:ind w:left="-105" w:right="-105"/>
              <w:jc w:val="center"/>
              <w:rPr>
                <w:rFonts w:ascii="Times New Roman" w:hAnsi="Times New Roman"/>
                <w:color w:val="auto"/>
                <w:sz w:val="21"/>
                <w:szCs w:val="21"/>
                <w:highlight w:val="none"/>
              </w:rPr>
            </w:pPr>
            <w:r>
              <w:rPr>
                <w:rFonts w:ascii="Times New Roman" w:hAnsi="Times New Roman"/>
                <w:color w:val="auto"/>
                <w:sz w:val="21"/>
                <w:szCs w:val="21"/>
                <w:highlight w:val="none"/>
              </w:rPr>
              <w:t>居住区</w:t>
            </w:r>
          </w:p>
        </w:tc>
        <w:tc>
          <w:tcPr>
            <w:tcW w:w="1748" w:type="dxa"/>
            <w:tcBorders>
              <w:tl2br w:val="nil"/>
              <w:tr2bl w:val="nil"/>
            </w:tcBorders>
            <w:shd w:val="clear" w:color="auto" w:fill="auto"/>
            <w:vAlign w:val="center"/>
          </w:tcPr>
          <w:p w14:paraId="553BE0D4">
            <w:pPr>
              <w:ind w:left="-105" w:right="-105"/>
              <w:jc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200</w:t>
            </w:r>
            <w:r>
              <w:rPr>
                <w:rFonts w:ascii="Times New Roman" w:hAnsi="Times New Roman"/>
                <w:color w:val="auto"/>
                <w:sz w:val="21"/>
                <w:szCs w:val="21"/>
                <w:highlight w:val="none"/>
              </w:rPr>
              <w:t>户/</w:t>
            </w:r>
            <w:r>
              <w:rPr>
                <w:rFonts w:hint="eastAsia" w:ascii="Times New Roman" w:hAnsi="Times New Roman"/>
                <w:color w:val="auto"/>
                <w:sz w:val="21"/>
                <w:szCs w:val="21"/>
                <w:highlight w:val="none"/>
              </w:rPr>
              <w:t>750</w:t>
            </w:r>
            <w:r>
              <w:rPr>
                <w:rFonts w:ascii="Times New Roman" w:hAnsi="Times New Roman"/>
                <w:color w:val="auto"/>
                <w:sz w:val="21"/>
                <w:szCs w:val="21"/>
                <w:highlight w:val="none"/>
              </w:rPr>
              <w:t>人</w:t>
            </w:r>
          </w:p>
        </w:tc>
      </w:tr>
      <w:tr w14:paraId="4B2B4D69">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851" w:type="dxa"/>
            <w:vMerge w:val="continue"/>
            <w:tcBorders>
              <w:tl2br w:val="nil"/>
              <w:tr2bl w:val="nil"/>
            </w:tcBorders>
            <w:vAlign w:val="center"/>
          </w:tcPr>
          <w:p w14:paraId="22BE1B9F">
            <w:pPr>
              <w:ind w:left="-105" w:right="-105"/>
              <w:jc w:val="center"/>
              <w:rPr>
                <w:rFonts w:ascii="Times New Roman" w:hAnsi="Times New Roman"/>
                <w:color w:val="auto"/>
                <w:sz w:val="21"/>
                <w:szCs w:val="21"/>
                <w:highlight w:val="none"/>
                <w:lang w:val="zh-CN" w:bidi="zh-CN"/>
              </w:rPr>
            </w:pPr>
          </w:p>
        </w:tc>
        <w:tc>
          <w:tcPr>
            <w:tcW w:w="704" w:type="dxa"/>
            <w:tcBorders>
              <w:tl2br w:val="nil"/>
              <w:tr2bl w:val="nil"/>
            </w:tcBorders>
            <w:vAlign w:val="center"/>
          </w:tcPr>
          <w:p w14:paraId="123903A8">
            <w:pPr>
              <w:pStyle w:val="97"/>
              <w:numPr>
                <w:ilvl w:val="0"/>
                <w:numId w:val="13"/>
              </w:numPr>
              <w:ind w:left="-105" w:right="-105" w:firstLineChars="0"/>
              <w:jc w:val="center"/>
              <w:rPr>
                <w:rFonts w:eastAsia="宋体"/>
                <w:color w:val="auto"/>
                <w:kern w:val="0"/>
                <w:sz w:val="21"/>
                <w:szCs w:val="21"/>
                <w:highlight w:val="none"/>
                <w:lang w:val="zh-CN" w:bidi="zh-CN"/>
              </w:rPr>
            </w:pPr>
          </w:p>
        </w:tc>
        <w:tc>
          <w:tcPr>
            <w:tcW w:w="2131" w:type="dxa"/>
            <w:gridSpan w:val="3"/>
            <w:tcBorders>
              <w:tl2br w:val="nil"/>
              <w:tr2bl w:val="nil"/>
            </w:tcBorders>
            <w:shd w:val="clear" w:color="auto" w:fill="auto"/>
            <w:vAlign w:val="center"/>
          </w:tcPr>
          <w:p w14:paraId="68524EA3">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正兴幼儿园</w:t>
            </w:r>
          </w:p>
        </w:tc>
        <w:tc>
          <w:tcPr>
            <w:tcW w:w="1100" w:type="dxa"/>
            <w:gridSpan w:val="3"/>
            <w:tcBorders>
              <w:tl2br w:val="nil"/>
              <w:tr2bl w:val="nil"/>
            </w:tcBorders>
            <w:shd w:val="clear" w:color="auto" w:fill="auto"/>
            <w:vAlign w:val="center"/>
          </w:tcPr>
          <w:p w14:paraId="08A61E38">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NE</w:t>
            </w:r>
          </w:p>
        </w:tc>
        <w:tc>
          <w:tcPr>
            <w:tcW w:w="1278" w:type="dxa"/>
            <w:gridSpan w:val="3"/>
            <w:tcBorders>
              <w:tl2br w:val="nil"/>
              <w:tr2bl w:val="nil"/>
            </w:tcBorders>
            <w:shd w:val="clear" w:color="auto" w:fill="auto"/>
            <w:vAlign w:val="center"/>
          </w:tcPr>
          <w:p w14:paraId="4EAA5884">
            <w:pPr>
              <w:ind w:left="-105" w:right="-105"/>
              <w:jc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3298</w:t>
            </w:r>
          </w:p>
        </w:tc>
        <w:tc>
          <w:tcPr>
            <w:tcW w:w="1238" w:type="dxa"/>
            <w:gridSpan w:val="3"/>
            <w:tcBorders>
              <w:tl2br w:val="nil"/>
              <w:tr2bl w:val="nil"/>
            </w:tcBorders>
            <w:shd w:val="clear" w:color="auto" w:fill="auto"/>
            <w:vAlign w:val="center"/>
          </w:tcPr>
          <w:p w14:paraId="09B53303">
            <w:pPr>
              <w:ind w:left="-105" w:right="-105"/>
              <w:jc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文化</w:t>
            </w:r>
            <w:r>
              <w:rPr>
                <w:rFonts w:ascii="Times New Roman" w:hAnsi="Times New Roman"/>
                <w:color w:val="auto"/>
                <w:sz w:val="21"/>
                <w:szCs w:val="21"/>
                <w:highlight w:val="none"/>
              </w:rPr>
              <w:t>区</w:t>
            </w:r>
          </w:p>
        </w:tc>
        <w:tc>
          <w:tcPr>
            <w:tcW w:w="1748" w:type="dxa"/>
            <w:tcBorders>
              <w:tl2br w:val="nil"/>
              <w:tr2bl w:val="nil"/>
            </w:tcBorders>
            <w:shd w:val="clear" w:color="auto" w:fill="auto"/>
            <w:vAlign w:val="center"/>
          </w:tcPr>
          <w:p w14:paraId="277FB191">
            <w:pPr>
              <w:ind w:left="-105" w:right="-105"/>
              <w:jc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450</w:t>
            </w:r>
            <w:r>
              <w:rPr>
                <w:rFonts w:ascii="Times New Roman" w:hAnsi="Times New Roman"/>
                <w:color w:val="auto"/>
                <w:sz w:val="21"/>
                <w:szCs w:val="21"/>
                <w:highlight w:val="none"/>
              </w:rPr>
              <w:t>人</w:t>
            </w:r>
          </w:p>
        </w:tc>
      </w:tr>
      <w:tr w14:paraId="13F9B76E">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851" w:type="dxa"/>
            <w:vMerge w:val="continue"/>
            <w:tcBorders>
              <w:tl2br w:val="nil"/>
              <w:tr2bl w:val="nil"/>
            </w:tcBorders>
            <w:vAlign w:val="center"/>
          </w:tcPr>
          <w:p w14:paraId="2DC186A3">
            <w:pPr>
              <w:ind w:left="-105" w:right="-105"/>
              <w:jc w:val="center"/>
              <w:rPr>
                <w:rFonts w:ascii="Times New Roman" w:hAnsi="Times New Roman"/>
                <w:color w:val="auto"/>
                <w:sz w:val="21"/>
                <w:szCs w:val="21"/>
                <w:highlight w:val="none"/>
                <w:lang w:val="zh-CN" w:bidi="zh-CN"/>
              </w:rPr>
            </w:pPr>
          </w:p>
        </w:tc>
        <w:tc>
          <w:tcPr>
            <w:tcW w:w="704" w:type="dxa"/>
            <w:tcBorders>
              <w:tl2br w:val="nil"/>
              <w:tr2bl w:val="nil"/>
            </w:tcBorders>
            <w:vAlign w:val="center"/>
          </w:tcPr>
          <w:p w14:paraId="379179C7">
            <w:pPr>
              <w:pStyle w:val="97"/>
              <w:numPr>
                <w:ilvl w:val="0"/>
                <w:numId w:val="13"/>
              </w:numPr>
              <w:ind w:left="-105" w:right="-105" w:firstLineChars="0"/>
              <w:jc w:val="center"/>
              <w:rPr>
                <w:rFonts w:eastAsia="宋体"/>
                <w:color w:val="auto"/>
                <w:kern w:val="0"/>
                <w:sz w:val="21"/>
                <w:szCs w:val="21"/>
                <w:highlight w:val="none"/>
                <w:lang w:val="zh-CN" w:bidi="zh-CN"/>
              </w:rPr>
            </w:pPr>
          </w:p>
        </w:tc>
        <w:tc>
          <w:tcPr>
            <w:tcW w:w="2131" w:type="dxa"/>
            <w:gridSpan w:val="3"/>
            <w:tcBorders>
              <w:tl2br w:val="nil"/>
              <w:tr2bl w:val="nil"/>
            </w:tcBorders>
            <w:shd w:val="clear" w:color="auto" w:fill="auto"/>
            <w:vAlign w:val="center"/>
          </w:tcPr>
          <w:p w14:paraId="0E385D46">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泉山花苑</w:t>
            </w:r>
          </w:p>
        </w:tc>
        <w:tc>
          <w:tcPr>
            <w:tcW w:w="1100" w:type="dxa"/>
            <w:gridSpan w:val="3"/>
            <w:tcBorders>
              <w:tl2br w:val="nil"/>
              <w:tr2bl w:val="nil"/>
            </w:tcBorders>
            <w:shd w:val="clear" w:color="auto" w:fill="auto"/>
            <w:vAlign w:val="center"/>
          </w:tcPr>
          <w:p w14:paraId="56A70240">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NE</w:t>
            </w:r>
          </w:p>
        </w:tc>
        <w:tc>
          <w:tcPr>
            <w:tcW w:w="1278" w:type="dxa"/>
            <w:gridSpan w:val="3"/>
            <w:tcBorders>
              <w:tl2br w:val="nil"/>
              <w:tr2bl w:val="nil"/>
            </w:tcBorders>
            <w:shd w:val="clear" w:color="auto" w:fill="auto"/>
            <w:vAlign w:val="center"/>
          </w:tcPr>
          <w:p w14:paraId="750E665A">
            <w:pPr>
              <w:ind w:left="-105" w:right="-105"/>
              <w:jc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3181</w:t>
            </w:r>
          </w:p>
        </w:tc>
        <w:tc>
          <w:tcPr>
            <w:tcW w:w="1238" w:type="dxa"/>
            <w:gridSpan w:val="3"/>
            <w:tcBorders>
              <w:tl2br w:val="nil"/>
              <w:tr2bl w:val="nil"/>
            </w:tcBorders>
            <w:shd w:val="clear" w:color="auto" w:fill="auto"/>
            <w:vAlign w:val="center"/>
          </w:tcPr>
          <w:p w14:paraId="0197A7B0">
            <w:pPr>
              <w:ind w:left="-105" w:right="-105"/>
              <w:jc w:val="center"/>
              <w:rPr>
                <w:rFonts w:ascii="Times New Roman" w:hAnsi="Times New Roman"/>
                <w:color w:val="auto"/>
                <w:sz w:val="21"/>
                <w:szCs w:val="21"/>
                <w:highlight w:val="none"/>
              </w:rPr>
            </w:pPr>
            <w:r>
              <w:rPr>
                <w:rFonts w:ascii="Times New Roman" w:hAnsi="Times New Roman"/>
                <w:color w:val="auto"/>
                <w:sz w:val="21"/>
                <w:szCs w:val="21"/>
                <w:highlight w:val="none"/>
              </w:rPr>
              <w:t>居住区</w:t>
            </w:r>
          </w:p>
        </w:tc>
        <w:tc>
          <w:tcPr>
            <w:tcW w:w="1748" w:type="dxa"/>
            <w:tcBorders>
              <w:tl2br w:val="nil"/>
              <w:tr2bl w:val="nil"/>
            </w:tcBorders>
            <w:shd w:val="clear" w:color="auto" w:fill="auto"/>
            <w:vAlign w:val="center"/>
          </w:tcPr>
          <w:p w14:paraId="2883DD68">
            <w:pPr>
              <w:ind w:left="-105" w:right="-105"/>
              <w:jc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800</w:t>
            </w:r>
            <w:r>
              <w:rPr>
                <w:rFonts w:ascii="Times New Roman" w:hAnsi="Times New Roman"/>
                <w:color w:val="auto"/>
                <w:sz w:val="21"/>
                <w:szCs w:val="21"/>
                <w:highlight w:val="none"/>
              </w:rPr>
              <w:t>户/</w:t>
            </w:r>
            <w:r>
              <w:rPr>
                <w:rFonts w:hint="eastAsia" w:ascii="Times New Roman" w:hAnsi="Times New Roman"/>
                <w:color w:val="auto"/>
                <w:sz w:val="21"/>
                <w:szCs w:val="21"/>
                <w:highlight w:val="none"/>
              </w:rPr>
              <w:t>2800</w:t>
            </w:r>
            <w:r>
              <w:rPr>
                <w:rFonts w:ascii="Times New Roman" w:hAnsi="Times New Roman"/>
                <w:color w:val="auto"/>
                <w:sz w:val="21"/>
                <w:szCs w:val="21"/>
                <w:highlight w:val="none"/>
              </w:rPr>
              <w:t>人</w:t>
            </w:r>
          </w:p>
        </w:tc>
      </w:tr>
      <w:tr w14:paraId="3F4C17DC">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851" w:type="dxa"/>
            <w:vMerge w:val="continue"/>
            <w:tcBorders>
              <w:tl2br w:val="nil"/>
              <w:tr2bl w:val="nil"/>
            </w:tcBorders>
            <w:vAlign w:val="center"/>
          </w:tcPr>
          <w:p w14:paraId="3A84186D">
            <w:pPr>
              <w:ind w:left="-105" w:right="-105"/>
              <w:jc w:val="center"/>
              <w:rPr>
                <w:rFonts w:ascii="Times New Roman" w:hAnsi="Times New Roman"/>
                <w:color w:val="auto"/>
                <w:sz w:val="21"/>
                <w:szCs w:val="21"/>
                <w:highlight w:val="none"/>
                <w:lang w:val="zh-CN" w:bidi="zh-CN"/>
              </w:rPr>
            </w:pPr>
          </w:p>
        </w:tc>
        <w:tc>
          <w:tcPr>
            <w:tcW w:w="704" w:type="dxa"/>
            <w:tcBorders>
              <w:tl2br w:val="nil"/>
              <w:tr2bl w:val="nil"/>
            </w:tcBorders>
            <w:vAlign w:val="center"/>
          </w:tcPr>
          <w:p w14:paraId="5C4F4F8F">
            <w:pPr>
              <w:pStyle w:val="97"/>
              <w:numPr>
                <w:ilvl w:val="0"/>
                <w:numId w:val="13"/>
              </w:numPr>
              <w:ind w:left="-105" w:right="-105" w:firstLineChars="0"/>
              <w:jc w:val="center"/>
              <w:rPr>
                <w:rFonts w:eastAsia="宋体"/>
                <w:color w:val="auto"/>
                <w:kern w:val="0"/>
                <w:sz w:val="21"/>
                <w:szCs w:val="21"/>
                <w:highlight w:val="none"/>
                <w:lang w:val="zh-CN" w:bidi="zh-CN"/>
              </w:rPr>
            </w:pPr>
          </w:p>
        </w:tc>
        <w:tc>
          <w:tcPr>
            <w:tcW w:w="2131" w:type="dxa"/>
            <w:gridSpan w:val="3"/>
            <w:tcBorders>
              <w:tl2br w:val="nil"/>
              <w:tr2bl w:val="nil"/>
            </w:tcBorders>
            <w:shd w:val="clear" w:color="auto" w:fill="auto"/>
            <w:vAlign w:val="center"/>
          </w:tcPr>
          <w:p w14:paraId="4F92AC0A">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泾秀苑</w:t>
            </w:r>
          </w:p>
        </w:tc>
        <w:tc>
          <w:tcPr>
            <w:tcW w:w="1100" w:type="dxa"/>
            <w:gridSpan w:val="3"/>
            <w:tcBorders>
              <w:tl2br w:val="nil"/>
              <w:tr2bl w:val="nil"/>
            </w:tcBorders>
            <w:shd w:val="clear" w:color="auto" w:fill="auto"/>
            <w:vAlign w:val="center"/>
          </w:tcPr>
          <w:p w14:paraId="1C41A0E0">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NE</w:t>
            </w:r>
          </w:p>
        </w:tc>
        <w:tc>
          <w:tcPr>
            <w:tcW w:w="1278" w:type="dxa"/>
            <w:gridSpan w:val="3"/>
            <w:tcBorders>
              <w:tl2br w:val="nil"/>
              <w:tr2bl w:val="nil"/>
            </w:tcBorders>
            <w:shd w:val="clear" w:color="auto" w:fill="auto"/>
            <w:vAlign w:val="center"/>
          </w:tcPr>
          <w:p w14:paraId="1AF3CBAD">
            <w:pPr>
              <w:ind w:left="-105" w:right="-105"/>
              <w:jc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3392</w:t>
            </w:r>
          </w:p>
        </w:tc>
        <w:tc>
          <w:tcPr>
            <w:tcW w:w="1238" w:type="dxa"/>
            <w:gridSpan w:val="3"/>
            <w:tcBorders>
              <w:tl2br w:val="nil"/>
              <w:tr2bl w:val="nil"/>
            </w:tcBorders>
            <w:shd w:val="clear" w:color="auto" w:fill="auto"/>
            <w:vAlign w:val="center"/>
          </w:tcPr>
          <w:p w14:paraId="004B2C56">
            <w:pPr>
              <w:ind w:left="-105" w:right="-105"/>
              <w:jc w:val="center"/>
              <w:rPr>
                <w:rFonts w:ascii="Times New Roman" w:hAnsi="Times New Roman"/>
                <w:color w:val="auto"/>
                <w:sz w:val="21"/>
                <w:szCs w:val="21"/>
                <w:highlight w:val="none"/>
              </w:rPr>
            </w:pPr>
            <w:r>
              <w:rPr>
                <w:rFonts w:ascii="Times New Roman" w:hAnsi="Times New Roman"/>
                <w:color w:val="auto"/>
                <w:sz w:val="21"/>
                <w:szCs w:val="21"/>
                <w:highlight w:val="none"/>
              </w:rPr>
              <w:t>居住区</w:t>
            </w:r>
          </w:p>
        </w:tc>
        <w:tc>
          <w:tcPr>
            <w:tcW w:w="1748" w:type="dxa"/>
            <w:tcBorders>
              <w:tl2br w:val="nil"/>
              <w:tr2bl w:val="nil"/>
            </w:tcBorders>
            <w:shd w:val="clear" w:color="auto" w:fill="auto"/>
            <w:vAlign w:val="center"/>
          </w:tcPr>
          <w:p w14:paraId="5CC6F54F">
            <w:pPr>
              <w:ind w:left="-105" w:right="-105"/>
              <w:jc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800</w:t>
            </w:r>
            <w:r>
              <w:rPr>
                <w:rFonts w:ascii="Times New Roman" w:hAnsi="Times New Roman"/>
                <w:color w:val="auto"/>
                <w:sz w:val="21"/>
                <w:szCs w:val="21"/>
                <w:highlight w:val="none"/>
              </w:rPr>
              <w:t>户/</w:t>
            </w:r>
            <w:r>
              <w:rPr>
                <w:rFonts w:hint="eastAsia" w:ascii="Times New Roman" w:hAnsi="Times New Roman"/>
                <w:color w:val="auto"/>
                <w:sz w:val="21"/>
                <w:szCs w:val="21"/>
                <w:highlight w:val="none"/>
              </w:rPr>
              <w:t>2800</w:t>
            </w:r>
            <w:r>
              <w:rPr>
                <w:rFonts w:ascii="Times New Roman" w:hAnsi="Times New Roman"/>
                <w:color w:val="auto"/>
                <w:sz w:val="21"/>
                <w:szCs w:val="21"/>
                <w:highlight w:val="none"/>
              </w:rPr>
              <w:t>人</w:t>
            </w:r>
          </w:p>
        </w:tc>
      </w:tr>
      <w:tr w14:paraId="0EDE05FF">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851" w:type="dxa"/>
            <w:vMerge w:val="continue"/>
            <w:tcBorders>
              <w:tl2br w:val="nil"/>
              <w:tr2bl w:val="nil"/>
            </w:tcBorders>
            <w:vAlign w:val="center"/>
          </w:tcPr>
          <w:p w14:paraId="37221E21">
            <w:pPr>
              <w:ind w:left="-105" w:right="-105"/>
              <w:jc w:val="center"/>
              <w:rPr>
                <w:rFonts w:ascii="Times New Roman" w:hAnsi="Times New Roman"/>
                <w:color w:val="auto"/>
                <w:sz w:val="21"/>
                <w:szCs w:val="21"/>
                <w:highlight w:val="none"/>
                <w:lang w:val="zh-CN" w:bidi="zh-CN"/>
              </w:rPr>
            </w:pPr>
          </w:p>
        </w:tc>
        <w:tc>
          <w:tcPr>
            <w:tcW w:w="704" w:type="dxa"/>
            <w:tcBorders>
              <w:tl2br w:val="nil"/>
              <w:tr2bl w:val="nil"/>
            </w:tcBorders>
            <w:vAlign w:val="center"/>
          </w:tcPr>
          <w:p w14:paraId="1FDFEEC7">
            <w:pPr>
              <w:pStyle w:val="97"/>
              <w:numPr>
                <w:ilvl w:val="0"/>
                <w:numId w:val="13"/>
              </w:numPr>
              <w:ind w:left="-105" w:right="-105" w:firstLineChars="0"/>
              <w:jc w:val="center"/>
              <w:rPr>
                <w:rFonts w:eastAsia="宋体"/>
                <w:color w:val="auto"/>
                <w:kern w:val="0"/>
                <w:sz w:val="21"/>
                <w:szCs w:val="21"/>
                <w:highlight w:val="none"/>
                <w:lang w:val="zh-CN" w:bidi="zh-CN"/>
              </w:rPr>
            </w:pPr>
          </w:p>
        </w:tc>
        <w:tc>
          <w:tcPr>
            <w:tcW w:w="2131" w:type="dxa"/>
            <w:gridSpan w:val="3"/>
            <w:tcBorders>
              <w:tl2br w:val="nil"/>
              <w:tr2bl w:val="nil"/>
            </w:tcBorders>
            <w:shd w:val="clear" w:color="auto" w:fill="auto"/>
            <w:vAlign w:val="center"/>
          </w:tcPr>
          <w:p w14:paraId="78BB4BEE">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锡北镇中心</w:t>
            </w:r>
          </w:p>
        </w:tc>
        <w:tc>
          <w:tcPr>
            <w:tcW w:w="1100" w:type="dxa"/>
            <w:gridSpan w:val="3"/>
            <w:tcBorders>
              <w:tl2br w:val="nil"/>
              <w:tr2bl w:val="nil"/>
            </w:tcBorders>
            <w:shd w:val="clear" w:color="auto" w:fill="auto"/>
            <w:vAlign w:val="center"/>
          </w:tcPr>
          <w:p w14:paraId="1FE13BBD">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NE</w:t>
            </w:r>
          </w:p>
        </w:tc>
        <w:tc>
          <w:tcPr>
            <w:tcW w:w="1278" w:type="dxa"/>
            <w:gridSpan w:val="3"/>
            <w:tcBorders>
              <w:tl2br w:val="nil"/>
              <w:tr2bl w:val="nil"/>
            </w:tcBorders>
            <w:shd w:val="clear" w:color="auto" w:fill="auto"/>
            <w:vAlign w:val="center"/>
          </w:tcPr>
          <w:p w14:paraId="61ED54FB">
            <w:pPr>
              <w:ind w:left="-105" w:right="-105"/>
              <w:jc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4124</w:t>
            </w:r>
          </w:p>
        </w:tc>
        <w:tc>
          <w:tcPr>
            <w:tcW w:w="1238" w:type="dxa"/>
            <w:gridSpan w:val="3"/>
            <w:tcBorders>
              <w:tl2br w:val="nil"/>
              <w:tr2bl w:val="nil"/>
            </w:tcBorders>
            <w:shd w:val="clear" w:color="auto" w:fill="auto"/>
            <w:vAlign w:val="center"/>
          </w:tcPr>
          <w:p w14:paraId="58489CF4">
            <w:pPr>
              <w:ind w:left="-105" w:right="-105"/>
              <w:jc w:val="center"/>
              <w:rPr>
                <w:rFonts w:ascii="Times New Roman" w:hAnsi="Times New Roman"/>
                <w:color w:val="auto"/>
                <w:sz w:val="21"/>
                <w:szCs w:val="21"/>
                <w:highlight w:val="none"/>
              </w:rPr>
            </w:pPr>
            <w:r>
              <w:rPr>
                <w:rFonts w:ascii="Times New Roman" w:hAnsi="Times New Roman"/>
                <w:color w:val="auto"/>
                <w:sz w:val="21"/>
                <w:szCs w:val="21"/>
                <w:highlight w:val="none"/>
              </w:rPr>
              <w:t>居住区</w:t>
            </w:r>
          </w:p>
        </w:tc>
        <w:tc>
          <w:tcPr>
            <w:tcW w:w="1748" w:type="dxa"/>
            <w:tcBorders>
              <w:tl2br w:val="nil"/>
              <w:tr2bl w:val="nil"/>
            </w:tcBorders>
            <w:shd w:val="clear" w:color="auto" w:fill="auto"/>
            <w:vAlign w:val="center"/>
          </w:tcPr>
          <w:p w14:paraId="78E19BA2">
            <w:pPr>
              <w:ind w:left="-105" w:right="-105"/>
              <w:jc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6000</w:t>
            </w:r>
            <w:r>
              <w:rPr>
                <w:rFonts w:ascii="Times New Roman" w:hAnsi="Times New Roman"/>
                <w:color w:val="auto"/>
                <w:sz w:val="21"/>
                <w:szCs w:val="21"/>
                <w:highlight w:val="none"/>
              </w:rPr>
              <w:t>人</w:t>
            </w:r>
          </w:p>
        </w:tc>
      </w:tr>
      <w:tr w14:paraId="0E2EEAB7">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851" w:type="dxa"/>
            <w:vMerge w:val="continue"/>
            <w:tcBorders>
              <w:tl2br w:val="nil"/>
              <w:tr2bl w:val="nil"/>
            </w:tcBorders>
            <w:vAlign w:val="center"/>
          </w:tcPr>
          <w:p w14:paraId="56D70998">
            <w:pPr>
              <w:ind w:left="-105" w:right="-105"/>
              <w:jc w:val="center"/>
              <w:rPr>
                <w:rFonts w:ascii="Times New Roman" w:hAnsi="Times New Roman"/>
                <w:color w:val="auto"/>
                <w:sz w:val="21"/>
                <w:szCs w:val="21"/>
                <w:highlight w:val="none"/>
                <w:lang w:val="zh-CN" w:bidi="zh-CN"/>
              </w:rPr>
            </w:pPr>
          </w:p>
        </w:tc>
        <w:tc>
          <w:tcPr>
            <w:tcW w:w="704" w:type="dxa"/>
            <w:tcBorders>
              <w:tl2br w:val="nil"/>
              <w:tr2bl w:val="nil"/>
            </w:tcBorders>
            <w:vAlign w:val="center"/>
          </w:tcPr>
          <w:p w14:paraId="48E8FB81">
            <w:pPr>
              <w:pStyle w:val="97"/>
              <w:numPr>
                <w:ilvl w:val="0"/>
                <w:numId w:val="13"/>
              </w:numPr>
              <w:ind w:left="-105" w:right="-105" w:firstLineChars="0"/>
              <w:jc w:val="center"/>
              <w:rPr>
                <w:rFonts w:eastAsia="宋体"/>
                <w:color w:val="auto"/>
                <w:kern w:val="0"/>
                <w:sz w:val="21"/>
                <w:szCs w:val="21"/>
                <w:highlight w:val="none"/>
                <w:lang w:val="zh-CN" w:bidi="zh-CN"/>
              </w:rPr>
            </w:pPr>
          </w:p>
        </w:tc>
        <w:tc>
          <w:tcPr>
            <w:tcW w:w="2131" w:type="dxa"/>
            <w:gridSpan w:val="3"/>
            <w:tcBorders>
              <w:tl2br w:val="nil"/>
              <w:tr2bl w:val="nil"/>
            </w:tcBorders>
            <w:shd w:val="clear" w:color="auto" w:fill="auto"/>
            <w:vAlign w:val="center"/>
          </w:tcPr>
          <w:p w14:paraId="14FEA045">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无锡市锡北人民医院</w:t>
            </w:r>
          </w:p>
        </w:tc>
        <w:tc>
          <w:tcPr>
            <w:tcW w:w="1100" w:type="dxa"/>
            <w:gridSpan w:val="3"/>
            <w:tcBorders>
              <w:tl2br w:val="nil"/>
              <w:tr2bl w:val="nil"/>
            </w:tcBorders>
            <w:shd w:val="clear" w:color="auto" w:fill="auto"/>
            <w:vAlign w:val="center"/>
          </w:tcPr>
          <w:p w14:paraId="33E4A545">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NE</w:t>
            </w:r>
          </w:p>
        </w:tc>
        <w:tc>
          <w:tcPr>
            <w:tcW w:w="1278" w:type="dxa"/>
            <w:gridSpan w:val="3"/>
            <w:tcBorders>
              <w:tl2br w:val="nil"/>
              <w:tr2bl w:val="nil"/>
            </w:tcBorders>
            <w:shd w:val="clear" w:color="auto" w:fill="auto"/>
            <w:vAlign w:val="center"/>
          </w:tcPr>
          <w:p w14:paraId="38AC204B">
            <w:pPr>
              <w:ind w:left="-105" w:right="-105"/>
              <w:jc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3850</w:t>
            </w:r>
          </w:p>
        </w:tc>
        <w:tc>
          <w:tcPr>
            <w:tcW w:w="1238" w:type="dxa"/>
            <w:gridSpan w:val="3"/>
            <w:tcBorders>
              <w:tl2br w:val="nil"/>
              <w:tr2bl w:val="nil"/>
            </w:tcBorders>
            <w:shd w:val="clear" w:color="auto" w:fill="auto"/>
            <w:vAlign w:val="center"/>
          </w:tcPr>
          <w:p w14:paraId="0B6E004C">
            <w:pPr>
              <w:ind w:left="-105" w:right="-105"/>
              <w:jc w:val="center"/>
              <w:rPr>
                <w:rFonts w:ascii="Times New Roman" w:hAnsi="Times New Roman"/>
                <w:color w:val="auto"/>
                <w:sz w:val="21"/>
                <w:szCs w:val="21"/>
                <w:highlight w:val="none"/>
              </w:rPr>
            </w:pPr>
            <w:r>
              <w:rPr>
                <w:rFonts w:ascii="Times New Roman" w:hAnsi="Times New Roman"/>
                <w:color w:val="auto"/>
                <w:sz w:val="21"/>
                <w:szCs w:val="21"/>
                <w:highlight w:val="none"/>
              </w:rPr>
              <w:t>居住区</w:t>
            </w:r>
          </w:p>
        </w:tc>
        <w:tc>
          <w:tcPr>
            <w:tcW w:w="1748" w:type="dxa"/>
            <w:tcBorders>
              <w:tl2br w:val="nil"/>
              <w:tr2bl w:val="nil"/>
            </w:tcBorders>
            <w:shd w:val="clear" w:color="auto" w:fill="auto"/>
            <w:vAlign w:val="center"/>
          </w:tcPr>
          <w:p w14:paraId="75825EB6">
            <w:pPr>
              <w:ind w:left="-105" w:right="-105"/>
              <w:jc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500</w:t>
            </w:r>
            <w:r>
              <w:rPr>
                <w:rFonts w:ascii="Times New Roman" w:hAnsi="Times New Roman"/>
                <w:color w:val="auto"/>
                <w:sz w:val="21"/>
                <w:szCs w:val="21"/>
                <w:highlight w:val="none"/>
              </w:rPr>
              <w:t>人</w:t>
            </w:r>
          </w:p>
        </w:tc>
      </w:tr>
      <w:tr w14:paraId="74987A5C">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851" w:type="dxa"/>
            <w:vMerge w:val="continue"/>
            <w:tcBorders>
              <w:tl2br w:val="nil"/>
              <w:tr2bl w:val="nil"/>
            </w:tcBorders>
            <w:vAlign w:val="center"/>
          </w:tcPr>
          <w:p w14:paraId="0CE0BB5F">
            <w:pPr>
              <w:ind w:left="-105" w:right="-105"/>
              <w:jc w:val="center"/>
              <w:rPr>
                <w:rFonts w:ascii="Times New Roman" w:hAnsi="Times New Roman"/>
                <w:color w:val="auto"/>
                <w:sz w:val="21"/>
                <w:szCs w:val="21"/>
                <w:highlight w:val="none"/>
                <w:lang w:val="zh-CN" w:bidi="zh-CN"/>
              </w:rPr>
            </w:pPr>
          </w:p>
        </w:tc>
        <w:tc>
          <w:tcPr>
            <w:tcW w:w="704" w:type="dxa"/>
            <w:tcBorders>
              <w:tl2br w:val="nil"/>
              <w:tr2bl w:val="nil"/>
            </w:tcBorders>
            <w:vAlign w:val="center"/>
          </w:tcPr>
          <w:p w14:paraId="03CB5179">
            <w:pPr>
              <w:pStyle w:val="97"/>
              <w:numPr>
                <w:ilvl w:val="0"/>
                <w:numId w:val="13"/>
              </w:numPr>
              <w:ind w:left="-105" w:right="-105" w:firstLineChars="0"/>
              <w:jc w:val="center"/>
              <w:rPr>
                <w:rFonts w:eastAsia="宋体"/>
                <w:color w:val="auto"/>
                <w:kern w:val="0"/>
                <w:sz w:val="21"/>
                <w:szCs w:val="21"/>
                <w:highlight w:val="none"/>
                <w:lang w:val="zh-CN" w:bidi="zh-CN"/>
              </w:rPr>
            </w:pPr>
          </w:p>
        </w:tc>
        <w:tc>
          <w:tcPr>
            <w:tcW w:w="2131" w:type="dxa"/>
            <w:gridSpan w:val="3"/>
            <w:tcBorders>
              <w:tl2br w:val="nil"/>
              <w:tr2bl w:val="nil"/>
            </w:tcBorders>
            <w:shd w:val="clear" w:color="auto" w:fill="auto"/>
            <w:vAlign w:val="center"/>
          </w:tcPr>
          <w:p w14:paraId="6014E5DF">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花苑新村</w:t>
            </w:r>
          </w:p>
        </w:tc>
        <w:tc>
          <w:tcPr>
            <w:tcW w:w="1100" w:type="dxa"/>
            <w:gridSpan w:val="3"/>
            <w:tcBorders>
              <w:tl2br w:val="nil"/>
              <w:tr2bl w:val="nil"/>
            </w:tcBorders>
            <w:shd w:val="clear" w:color="auto" w:fill="auto"/>
            <w:vAlign w:val="center"/>
          </w:tcPr>
          <w:p w14:paraId="36466991">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NE</w:t>
            </w:r>
          </w:p>
        </w:tc>
        <w:tc>
          <w:tcPr>
            <w:tcW w:w="1278" w:type="dxa"/>
            <w:gridSpan w:val="3"/>
            <w:tcBorders>
              <w:tl2br w:val="nil"/>
              <w:tr2bl w:val="nil"/>
            </w:tcBorders>
            <w:shd w:val="clear" w:color="auto" w:fill="auto"/>
            <w:vAlign w:val="center"/>
          </w:tcPr>
          <w:p w14:paraId="7C4CD6FB">
            <w:pPr>
              <w:ind w:left="-105" w:right="-105"/>
              <w:jc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4232</w:t>
            </w:r>
          </w:p>
        </w:tc>
        <w:tc>
          <w:tcPr>
            <w:tcW w:w="1238" w:type="dxa"/>
            <w:gridSpan w:val="3"/>
            <w:tcBorders>
              <w:tl2br w:val="nil"/>
              <w:tr2bl w:val="nil"/>
            </w:tcBorders>
            <w:shd w:val="clear" w:color="auto" w:fill="auto"/>
            <w:vAlign w:val="center"/>
          </w:tcPr>
          <w:p w14:paraId="75CCEBD5">
            <w:pPr>
              <w:ind w:left="-105" w:right="-105"/>
              <w:jc w:val="center"/>
              <w:rPr>
                <w:rFonts w:ascii="Times New Roman" w:hAnsi="Times New Roman"/>
                <w:color w:val="auto"/>
                <w:sz w:val="21"/>
                <w:szCs w:val="21"/>
                <w:highlight w:val="none"/>
              </w:rPr>
            </w:pPr>
            <w:r>
              <w:rPr>
                <w:rFonts w:ascii="Times New Roman" w:hAnsi="Times New Roman"/>
                <w:color w:val="auto"/>
                <w:sz w:val="21"/>
                <w:szCs w:val="21"/>
                <w:highlight w:val="none"/>
              </w:rPr>
              <w:t>居住区</w:t>
            </w:r>
          </w:p>
        </w:tc>
        <w:tc>
          <w:tcPr>
            <w:tcW w:w="1748" w:type="dxa"/>
            <w:tcBorders>
              <w:tl2br w:val="nil"/>
              <w:tr2bl w:val="nil"/>
            </w:tcBorders>
            <w:shd w:val="clear" w:color="auto" w:fill="auto"/>
            <w:vAlign w:val="center"/>
          </w:tcPr>
          <w:p w14:paraId="6F16F673">
            <w:pPr>
              <w:ind w:left="-105" w:right="-105"/>
              <w:jc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200</w:t>
            </w:r>
            <w:r>
              <w:rPr>
                <w:rFonts w:ascii="Times New Roman" w:hAnsi="Times New Roman"/>
                <w:color w:val="auto"/>
                <w:sz w:val="21"/>
                <w:szCs w:val="21"/>
                <w:highlight w:val="none"/>
              </w:rPr>
              <w:t>户/</w:t>
            </w:r>
            <w:r>
              <w:rPr>
                <w:rFonts w:hint="eastAsia" w:ascii="Times New Roman" w:hAnsi="Times New Roman"/>
                <w:color w:val="auto"/>
                <w:sz w:val="21"/>
                <w:szCs w:val="21"/>
                <w:highlight w:val="none"/>
              </w:rPr>
              <w:t>700</w:t>
            </w:r>
            <w:r>
              <w:rPr>
                <w:rFonts w:ascii="Times New Roman" w:hAnsi="Times New Roman"/>
                <w:color w:val="auto"/>
                <w:sz w:val="21"/>
                <w:szCs w:val="21"/>
                <w:highlight w:val="none"/>
              </w:rPr>
              <w:t>人</w:t>
            </w:r>
          </w:p>
        </w:tc>
      </w:tr>
      <w:tr w14:paraId="5E023FA2">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851" w:type="dxa"/>
            <w:vMerge w:val="continue"/>
            <w:tcBorders>
              <w:tl2br w:val="nil"/>
              <w:tr2bl w:val="nil"/>
            </w:tcBorders>
            <w:vAlign w:val="center"/>
          </w:tcPr>
          <w:p w14:paraId="5B802CD1">
            <w:pPr>
              <w:ind w:left="-105" w:right="-105"/>
              <w:jc w:val="center"/>
              <w:rPr>
                <w:rFonts w:ascii="Times New Roman" w:hAnsi="Times New Roman"/>
                <w:color w:val="auto"/>
                <w:sz w:val="21"/>
                <w:szCs w:val="21"/>
                <w:highlight w:val="none"/>
                <w:lang w:val="zh-CN" w:bidi="zh-CN"/>
              </w:rPr>
            </w:pPr>
          </w:p>
        </w:tc>
        <w:tc>
          <w:tcPr>
            <w:tcW w:w="704" w:type="dxa"/>
            <w:tcBorders>
              <w:tl2br w:val="nil"/>
              <w:tr2bl w:val="nil"/>
            </w:tcBorders>
            <w:vAlign w:val="center"/>
          </w:tcPr>
          <w:p w14:paraId="1454A0CA">
            <w:pPr>
              <w:pStyle w:val="97"/>
              <w:numPr>
                <w:ilvl w:val="0"/>
                <w:numId w:val="13"/>
              </w:numPr>
              <w:ind w:left="-105" w:right="-105" w:firstLineChars="0"/>
              <w:jc w:val="center"/>
              <w:rPr>
                <w:rFonts w:eastAsia="宋体"/>
                <w:color w:val="auto"/>
                <w:kern w:val="0"/>
                <w:sz w:val="21"/>
                <w:szCs w:val="21"/>
                <w:highlight w:val="none"/>
                <w:lang w:val="zh-CN" w:bidi="zh-CN"/>
              </w:rPr>
            </w:pPr>
          </w:p>
        </w:tc>
        <w:tc>
          <w:tcPr>
            <w:tcW w:w="2131" w:type="dxa"/>
            <w:gridSpan w:val="3"/>
            <w:tcBorders>
              <w:tl2br w:val="nil"/>
              <w:tr2bl w:val="nil"/>
            </w:tcBorders>
            <w:shd w:val="clear" w:color="auto" w:fill="auto"/>
            <w:vAlign w:val="center"/>
          </w:tcPr>
          <w:p w14:paraId="4863C840">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锡北镇政府</w:t>
            </w:r>
          </w:p>
        </w:tc>
        <w:tc>
          <w:tcPr>
            <w:tcW w:w="1100" w:type="dxa"/>
            <w:gridSpan w:val="3"/>
            <w:tcBorders>
              <w:tl2br w:val="nil"/>
              <w:tr2bl w:val="nil"/>
            </w:tcBorders>
            <w:shd w:val="clear" w:color="auto" w:fill="auto"/>
            <w:vAlign w:val="center"/>
          </w:tcPr>
          <w:p w14:paraId="6BA9A7DE">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NE</w:t>
            </w:r>
          </w:p>
        </w:tc>
        <w:tc>
          <w:tcPr>
            <w:tcW w:w="1278" w:type="dxa"/>
            <w:gridSpan w:val="3"/>
            <w:tcBorders>
              <w:tl2br w:val="nil"/>
              <w:tr2bl w:val="nil"/>
            </w:tcBorders>
            <w:shd w:val="clear" w:color="auto" w:fill="auto"/>
            <w:vAlign w:val="center"/>
          </w:tcPr>
          <w:p w14:paraId="3822E7E0">
            <w:pPr>
              <w:ind w:left="-105" w:right="-105"/>
              <w:jc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4729</w:t>
            </w:r>
          </w:p>
        </w:tc>
        <w:tc>
          <w:tcPr>
            <w:tcW w:w="1238" w:type="dxa"/>
            <w:gridSpan w:val="3"/>
            <w:tcBorders>
              <w:tl2br w:val="nil"/>
              <w:tr2bl w:val="nil"/>
            </w:tcBorders>
            <w:shd w:val="clear" w:color="auto" w:fill="auto"/>
            <w:vAlign w:val="center"/>
          </w:tcPr>
          <w:p w14:paraId="09B0BAA7">
            <w:pPr>
              <w:ind w:left="-105" w:right="-105"/>
              <w:jc w:val="center"/>
              <w:rPr>
                <w:rFonts w:ascii="Times New Roman" w:hAnsi="Times New Roman"/>
                <w:color w:val="auto"/>
                <w:sz w:val="21"/>
                <w:szCs w:val="21"/>
                <w:highlight w:val="none"/>
              </w:rPr>
            </w:pPr>
            <w:r>
              <w:rPr>
                <w:rFonts w:ascii="Times New Roman" w:hAnsi="Times New Roman"/>
                <w:color w:val="auto"/>
                <w:sz w:val="21"/>
                <w:szCs w:val="21"/>
                <w:highlight w:val="none"/>
              </w:rPr>
              <w:t>居住区</w:t>
            </w:r>
          </w:p>
        </w:tc>
        <w:tc>
          <w:tcPr>
            <w:tcW w:w="1748" w:type="dxa"/>
            <w:tcBorders>
              <w:tl2br w:val="nil"/>
              <w:tr2bl w:val="nil"/>
            </w:tcBorders>
            <w:shd w:val="clear" w:color="auto" w:fill="auto"/>
            <w:vAlign w:val="center"/>
          </w:tcPr>
          <w:p w14:paraId="412BE8D0">
            <w:pPr>
              <w:ind w:left="-105" w:right="-105"/>
              <w:jc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200</w:t>
            </w:r>
            <w:r>
              <w:rPr>
                <w:rFonts w:ascii="Times New Roman" w:hAnsi="Times New Roman"/>
                <w:color w:val="auto"/>
                <w:sz w:val="21"/>
                <w:szCs w:val="21"/>
                <w:highlight w:val="none"/>
              </w:rPr>
              <w:t>人</w:t>
            </w:r>
          </w:p>
        </w:tc>
      </w:tr>
      <w:tr w14:paraId="33D52BCD">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851" w:type="dxa"/>
            <w:vMerge w:val="continue"/>
            <w:tcBorders>
              <w:tl2br w:val="nil"/>
              <w:tr2bl w:val="nil"/>
            </w:tcBorders>
            <w:vAlign w:val="center"/>
          </w:tcPr>
          <w:p w14:paraId="0F9F5279">
            <w:pPr>
              <w:ind w:left="-105" w:right="-105"/>
              <w:jc w:val="center"/>
              <w:rPr>
                <w:rFonts w:ascii="Times New Roman" w:hAnsi="Times New Roman"/>
                <w:color w:val="auto"/>
                <w:sz w:val="21"/>
                <w:szCs w:val="21"/>
                <w:highlight w:val="none"/>
                <w:lang w:val="zh-CN" w:bidi="zh-CN"/>
              </w:rPr>
            </w:pPr>
          </w:p>
        </w:tc>
        <w:tc>
          <w:tcPr>
            <w:tcW w:w="704" w:type="dxa"/>
            <w:tcBorders>
              <w:tl2br w:val="nil"/>
              <w:tr2bl w:val="nil"/>
            </w:tcBorders>
            <w:vAlign w:val="center"/>
          </w:tcPr>
          <w:p w14:paraId="3F0403B2">
            <w:pPr>
              <w:pStyle w:val="97"/>
              <w:numPr>
                <w:ilvl w:val="0"/>
                <w:numId w:val="13"/>
              </w:numPr>
              <w:ind w:left="-105" w:right="-105" w:firstLineChars="0"/>
              <w:jc w:val="center"/>
              <w:rPr>
                <w:rFonts w:eastAsia="宋体"/>
                <w:color w:val="auto"/>
                <w:kern w:val="0"/>
                <w:sz w:val="21"/>
                <w:szCs w:val="21"/>
                <w:highlight w:val="none"/>
                <w:lang w:val="zh-CN" w:bidi="zh-CN"/>
              </w:rPr>
            </w:pPr>
          </w:p>
        </w:tc>
        <w:tc>
          <w:tcPr>
            <w:tcW w:w="2131" w:type="dxa"/>
            <w:gridSpan w:val="3"/>
            <w:tcBorders>
              <w:tl2br w:val="nil"/>
              <w:tr2bl w:val="nil"/>
            </w:tcBorders>
            <w:shd w:val="clear" w:color="auto" w:fill="auto"/>
            <w:vAlign w:val="center"/>
          </w:tcPr>
          <w:p w14:paraId="0382D637">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前细泾</w:t>
            </w:r>
          </w:p>
        </w:tc>
        <w:tc>
          <w:tcPr>
            <w:tcW w:w="1100" w:type="dxa"/>
            <w:gridSpan w:val="3"/>
            <w:tcBorders>
              <w:tl2br w:val="nil"/>
              <w:tr2bl w:val="nil"/>
            </w:tcBorders>
            <w:shd w:val="clear" w:color="auto" w:fill="auto"/>
            <w:vAlign w:val="center"/>
          </w:tcPr>
          <w:p w14:paraId="18067F6B">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NE</w:t>
            </w:r>
          </w:p>
        </w:tc>
        <w:tc>
          <w:tcPr>
            <w:tcW w:w="1278" w:type="dxa"/>
            <w:gridSpan w:val="3"/>
            <w:tcBorders>
              <w:tl2br w:val="nil"/>
              <w:tr2bl w:val="nil"/>
            </w:tcBorders>
            <w:shd w:val="clear" w:color="auto" w:fill="auto"/>
            <w:vAlign w:val="center"/>
          </w:tcPr>
          <w:p w14:paraId="522EC661">
            <w:pPr>
              <w:ind w:left="-105" w:right="-105"/>
              <w:jc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4735</w:t>
            </w:r>
          </w:p>
        </w:tc>
        <w:tc>
          <w:tcPr>
            <w:tcW w:w="1238" w:type="dxa"/>
            <w:gridSpan w:val="3"/>
            <w:tcBorders>
              <w:tl2br w:val="nil"/>
              <w:tr2bl w:val="nil"/>
            </w:tcBorders>
            <w:shd w:val="clear" w:color="auto" w:fill="auto"/>
            <w:vAlign w:val="center"/>
          </w:tcPr>
          <w:p w14:paraId="73D99B14">
            <w:pPr>
              <w:ind w:left="-105" w:right="-105"/>
              <w:jc w:val="center"/>
              <w:rPr>
                <w:rFonts w:ascii="Times New Roman" w:hAnsi="Times New Roman"/>
                <w:color w:val="auto"/>
                <w:sz w:val="21"/>
                <w:szCs w:val="21"/>
                <w:highlight w:val="none"/>
              </w:rPr>
            </w:pPr>
            <w:r>
              <w:rPr>
                <w:rFonts w:ascii="Times New Roman" w:hAnsi="Times New Roman"/>
                <w:color w:val="auto"/>
                <w:sz w:val="21"/>
                <w:szCs w:val="21"/>
                <w:highlight w:val="none"/>
              </w:rPr>
              <w:t>居住区</w:t>
            </w:r>
          </w:p>
        </w:tc>
        <w:tc>
          <w:tcPr>
            <w:tcW w:w="1748" w:type="dxa"/>
            <w:tcBorders>
              <w:tl2br w:val="nil"/>
              <w:tr2bl w:val="nil"/>
            </w:tcBorders>
            <w:shd w:val="clear" w:color="auto" w:fill="auto"/>
            <w:vAlign w:val="center"/>
          </w:tcPr>
          <w:p w14:paraId="6F97750B">
            <w:pPr>
              <w:ind w:left="-105" w:right="-105"/>
              <w:jc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20</w:t>
            </w:r>
            <w:r>
              <w:rPr>
                <w:rFonts w:ascii="Times New Roman" w:hAnsi="Times New Roman"/>
                <w:color w:val="auto"/>
                <w:sz w:val="21"/>
                <w:szCs w:val="21"/>
                <w:highlight w:val="none"/>
              </w:rPr>
              <w:t>户/</w:t>
            </w:r>
            <w:r>
              <w:rPr>
                <w:rFonts w:hint="eastAsia" w:ascii="Times New Roman" w:hAnsi="Times New Roman"/>
                <w:color w:val="auto"/>
                <w:sz w:val="21"/>
                <w:szCs w:val="21"/>
                <w:highlight w:val="none"/>
              </w:rPr>
              <w:t>60</w:t>
            </w:r>
            <w:r>
              <w:rPr>
                <w:rFonts w:ascii="Times New Roman" w:hAnsi="Times New Roman"/>
                <w:color w:val="auto"/>
                <w:sz w:val="21"/>
                <w:szCs w:val="21"/>
                <w:highlight w:val="none"/>
              </w:rPr>
              <w:t>人</w:t>
            </w:r>
          </w:p>
        </w:tc>
      </w:tr>
      <w:tr w14:paraId="6570EC6D">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851" w:type="dxa"/>
            <w:vMerge w:val="continue"/>
            <w:tcBorders>
              <w:tl2br w:val="nil"/>
              <w:tr2bl w:val="nil"/>
            </w:tcBorders>
            <w:vAlign w:val="center"/>
          </w:tcPr>
          <w:p w14:paraId="6DA9CC43">
            <w:pPr>
              <w:ind w:left="-105" w:right="-105"/>
              <w:jc w:val="center"/>
              <w:rPr>
                <w:rFonts w:ascii="Times New Roman" w:hAnsi="Times New Roman"/>
                <w:color w:val="auto"/>
                <w:sz w:val="21"/>
                <w:szCs w:val="21"/>
                <w:highlight w:val="none"/>
                <w:lang w:val="zh-CN" w:bidi="zh-CN"/>
              </w:rPr>
            </w:pPr>
          </w:p>
        </w:tc>
        <w:tc>
          <w:tcPr>
            <w:tcW w:w="704" w:type="dxa"/>
            <w:tcBorders>
              <w:tl2br w:val="nil"/>
              <w:tr2bl w:val="nil"/>
            </w:tcBorders>
            <w:vAlign w:val="center"/>
          </w:tcPr>
          <w:p w14:paraId="4FDC67F3">
            <w:pPr>
              <w:pStyle w:val="97"/>
              <w:numPr>
                <w:ilvl w:val="0"/>
                <w:numId w:val="13"/>
              </w:numPr>
              <w:ind w:left="-105" w:right="-105" w:firstLineChars="0"/>
              <w:jc w:val="center"/>
              <w:rPr>
                <w:rFonts w:eastAsia="宋体"/>
                <w:color w:val="auto"/>
                <w:kern w:val="0"/>
                <w:sz w:val="21"/>
                <w:szCs w:val="21"/>
                <w:highlight w:val="none"/>
                <w:lang w:val="zh-CN" w:bidi="zh-CN"/>
              </w:rPr>
            </w:pPr>
          </w:p>
        </w:tc>
        <w:tc>
          <w:tcPr>
            <w:tcW w:w="2131" w:type="dxa"/>
            <w:gridSpan w:val="3"/>
            <w:tcBorders>
              <w:tl2br w:val="nil"/>
              <w:tr2bl w:val="nil"/>
            </w:tcBorders>
            <w:shd w:val="clear" w:color="auto" w:fill="auto"/>
            <w:vAlign w:val="center"/>
          </w:tcPr>
          <w:p w14:paraId="65A1BA5F">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丰田里</w:t>
            </w:r>
          </w:p>
        </w:tc>
        <w:tc>
          <w:tcPr>
            <w:tcW w:w="1100" w:type="dxa"/>
            <w:gridSpan w:val="3"/>
            <w:tcBorders>
              <w:tl2br w:val="nil"/>
              <w:tr2bl w:val="nil"/>
            </w:tcBorders>
            <w:shd w:val="clear" w:color="auto" w:fill="auto"/>
            <w:vAlign w:val="center"/>
          </w:tcPr>
          <w:p w14:paraId="59DA0858">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NE</w:t>
            </w:r>
          </w:p>
        </w:tc>
        <w:tc>
          <w:tcPr>
            <w:tcW w:w="1278" w:type="dxa"/>
            <w:gridSpan w:val="3"/>
            <w:tcBorders>
              <w:tl2br w:val="nil"/>
              <w:tr2bl w:val="nil"/>
            </w:tcBorders>
            <w:shd w:val="clear" w:color="auto" w:fill="auto"/>
            <w:vAlign w:val="center"/>
          </w:tcPr>
          <w:p w14:paraId="6BDFB639">
            <w:pPr>
              <w:ind w:left="-105" w:right="-105"/>
              <w:jc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2895</w:t>
            </w:r>
          </w:p>
        </w:tc>
        <w:tc>
          <w:tcPr>
            <w:tcW w:w="1238" w:type="dxa"/>
            <w:gridSpan w:val="3"/>
            <w:tcBorders>
              <w:tl2br w:val="nil"/>
              <w:tr2bl w:val="nil"/>
            </w:tcBorders>
            <w:shd w:val="clear" w:color="auto" w:fill="auto"/>
            <w:vAlign w:val="center"/>
          </w:tcPr>
          <w:p w14:paraId="47C92A3D">
            <w:pPr>
              <w:ind w:left="-105" w:right="-105"/>
              <w:jc w:val="center"/>
              <w:rPr>
                <w:rFonts w:ascii="Times New Roman" w:hAnsi="Times New Roman"/>
                <w:color w:val="auto"/>
                <w:sz w:val="21"/>
                <w:szCs w:val="21"/>
                <w:highlight w:val="none"/>
              </w:rPr>
            </w:pPr>
            <w:r>
              <w:rPr>
                <w:rFonts w:ascii="Times New Roman" w:hAnsi="Times New Roman"/>
                <w:color w:val="auto"/>
                <w:sz w:val="21"/>
                <w:szCs w:val="21"/>
                <w:highlight w:val="none"/>
              </w:rPr>
              <w:t>居住区</w:t>
            </w:r>
          </w:p>
        </w:tc>
        <w:tc>
          <w:tcPr>
            <w:tcW w:w="1748" w:type="dxa"/>
            <w:tcBorders>
              <w:tl2br w:val="nil"/>
              <w:tr2bl w:val="nil"/>
            </w:tcBorders>
            <w:shd w:val="clear" w:color="auto" w:fill="auto"/>
            <w:vAlign w:val="center"/>
          </w:tcPr>
          <w:p w14:paraId="3C1B1DD7">
            <w:pPr>
              <w:ind w:left="-105" w:right="-105"/>
              <w:jc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30</w:t>
            </w:r>
            <w:r>
              <w:rPr>
                <w:rFonts w:ascii="Times New Roman" w:hAnsi="Times New Roman"/>
                <w:color w:val="auto"/>
                <w:sz w:val="21"/>
                <w:szCs w:val="21"/>
                <w:highlight w:val="none"/>
              </w:rPr>
              <w:t>户/</w:t>
            </w:r>
            <w:r>
              <w:rPr>
                <w:rFonts w:hint="eastAsia" w:ascii="Times New Roman" w:hAnsi="Times New Roman"/>
                <w:color w:val="auto"/>
                <w:sz w:val="21"/>
                <w:szCs w:val="21"/>
                <w:highlight w:val="none"/>
              </w:rPr>
              <w:t>105</w:t>
            </w:r>
            <w:r>
              <w:rPr>
                <w:rFonts w:ascii="Times New Roman" w:hAnsi="Times New Roman"/>
                <w:color w:val="auto"/>
                <w:sz w:val="21"/>
                <w:szCs w:val="21"/>
                <w:highlight w:val="none"/>
              </w:rPr>
              <w:t>人</w:t>
            </w:r>
          </w:p>
        </w:tc>
      </w:tr>
      <w:tr w14:paraId="5A49A492">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851" w:type="dxa"/>
            <w:vMerge w:val="continue"/>
            <w:tcBorders>
              <w:tl2br w:val="nil"/>
              <w:tr2bl w:val="nil"/>
            </w:tcBorders>
            <w:vAlign w:val="center"/>
          </w:tcPr>
          <w:p w14:paraId="1A0FEEA2">
            <w:pPr>
              <w:ind w:left="-105" w:right="-105"/>
              <w:jc w:val="center"/>
              <w:rPr>
                <w:rFonts w:ascii="Times New Roman" w:hAnsi="Times New Roman"/>
                <w:color w:val="auto"/>
                <w:sz w:val="21"/>
                <w:szCs w:val="21"/>
                <w:highlight w:val="none"/>
                <w:lang w:val="zh-CN" w:bidi="zh-CN"/>
              </w:rPr>
            </w:pPr>
          </w:p>
        </w:tc>
        <w:tc>
          <w:tcPr>
            <w:tcW w:w="704" w:type="dxa"/>
            <w:tcBorders>
              <w:tl2br w:val="nil"/>
              <w:tr2bl w:val="nil"/>
            </w:tcBorders>
            <w:vAlign w:val="center"/>
          </w:tcPr>
          <w:p w14:paraId="2193637A">
            <w:pPr>
              <w:pStyle w:val="97"/>
              <w:numPr>
                <w:ilvl w:val="0"/>
                <w:numId w:val="13"/>
              </w:numPr>
              <w:ind w:left="-105" w:right="-105" w:firstLineChars="0"/>
              <w:jc w:val="center"/>
              <w:rPr>
                <w:rFonts w:eastAsia="宋体"/>
                <w:color w:val="auto"/>
                <w:kern w:val="0"/>
                <w:sz w:val="21"/>
                <w:szCs w:val="21"/>
                <w:highlight w:val="none"/>
                <w:lang w:val="zh-CN" w:bidi="zh-CN"/>
              </w:rPr>
            </w:pPr>
          </w:p>
        </w:tc>
        <w:tc>
          <w:tcPr>
            <w:tcW w:w="2131" w:type="dxa"/>
            <w:gridSpan w:val="3"/>
            <w:tcBorders>
              <w:tl2br w:val="nil"/>
              <w:tr2bl w:val="nil"/>
            </w:tcBorders>
            <w:shd w:val="clear" w:color="auto" w:fill="auto"/>
            <w:vAlign w:val="center"/>
          </w:tcPr>
          <w:p w14:paraId="074FFE57">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泉山文化公园</w:t>
            </w:r>
          </w:p>
        </w:tc>
        <w:tc>
          <w:tcPr>
            <w:tcW w:w="1100" w:type="dxa"/>
            <w:gridSpan w:val="3"/>
            <w:tcBorders>
              <w:tl2br w:val="nil"/>
              <w:tr2bl w:val="nil"/>
            </w:tcBorders>
            <w:shd w:val="clear" w:color="auto" w:fill="auto"/>
            <w:vAlign w:val="center"/>
          </w:tcPr>
          <w:p w14:paraId="541CD41E">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NE</w:t>
            </w:r>
          </w:p>
        </w:tc>
        <w:tc>
          <w:tcPr>
            <w:tcW w:w="1278" w:type="dxa"/>
            <w:gridSpan w:val="3"/>
            <w:tcBorders>
              <w:tl2br w:val="nil"/>
              <w:tr2bl w:val="nil"/>
            </w:tcBorders>
            <w:shd w:val="clear" w:color="auto" w:fill="auto"/>
            <w:vAlign w:val="center"/>
          </w:tcPr>
          <w:p w14:paraId="3C1FDEBB">
            <w:pPr>
              <w:ind w:left="-105" w:right="-105"/>
              <w:jc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3168</w:t>
            </w:r>
          </w:p>
        </w:tc>
        <w:tc>
          <w:tcPr>
            <w:tcW w:w="1238" w:type="dxa"/>
            <w:gridSpan w:val="3"/>
            <w:tcBorders>
              <w:tl2br w:val="nil"/>
              <w:tr2bl w:val="nil"/>
            </w:tcBorders>
            <w:shd w:val="clear" w:color="auto" w:fill="auto"/>
            <w:vAlign w:val="center"/>
          </w:tcPr>
          <w:p w14:paraId="0125F8D0">
            <w:pPr>
              <w:ind w:left="-105" w:right="-105"/>
              <w:jc w:val="center"/>
              <w:rPr>
                <w:rFonts w:ascii="Times New Roman" w:hAnsi="Times New Roman"/>
                <w:color w:val="auto"/>
                <w:sz w:val="21"/>
                <w:szCs w:val="21"/>
                <w:highlight w:val="none"/>
              </w:rPr>
            </w:pPr>
            <w:r>
              <w:rPr>
                <w:rFonts w:ascii="Times New Roman" w:hAnsi="Times New Roman"/>
                <w:color w:val="auto"/>
                <w:sz w:val="21"/>
                <w:szCs w:val="21"/>
                <w:highlight w:val="none"/>
              </w:rPr>
              <w:t>居住区</w:t>
            </w:r>
          </w:p>
        </w:tc>
        <w:tc>
          <w:tcPr>
            <w:tcW w:w="1748" w:type="dxa"/>
            <w:tcBorders>
              <w:tl2br w:val="nil"/>
              <w:tr2bl w:val="nil"/>
            </w:tcBorders>
            <w:shd w:val="clear" w:color="auto" w:fill="auto"/>
            <w:vAlign w:val="center"/>
          </w:tcPr>
          <w:p w14:paraId="28C990CF">
            <w:pPr>
              <w:ind w:left="-105" w:right="-105"/>
              <w:jc w:val="center"/>
              <w:rPr>
                <w:rFonts w:ascii="Times New Roman" w:hAnsi="Times New Roman"/>
                <w:color w:val="auto"/>
                <w:sz w:val="21"/>
                <w:szCs w:val="21"/>
                <w:highlight w:val="none"/>
              </w:rPr>
            </w:pPr>
            <w:r>
              <w:rPr>
                <w:rFonts w:ascii="Times New Roman" w:hAnsi="Times New Roman"/>
                <w:color w:val="auto"/>
                <w:sz w:val="21"/>
                <w:szCs w:val="21"/>
                <w:highlight w:val="none"/>
              </w:rPr>
              <w:t>/人</w:t>
            </w:r>
          </w:p>
        </w:tc>
      </w:tr>
      <w:tr w14:paraId="725B663A">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851" w:type="dxa"/>
            <w:vMerge w:val="continue"/>
            <w:tcBorders>
              <w:tl2br w:val="nil"/>
              <w:tr2bl w:val="nil"/>
            </w:tcBorders>
            <w:vAlign w:val="center"/>
          </w:tcPr>
          <w:p w14:paraId="29CB8B10">
            <w:pPr>
              <w:ind w:left="-105" w:right="-105"/>
              <w:jc w:val="center"/>
              <w:rPr>
                <w:rFonts w:ascii="Times New Roman" w:hAnsi="Times New Roman"/>
                <w:color w:val="auto"/>
                <w:sz w:val="21"/>
                <w:szCs w:val="21"/>
                <w:highlight w:val="none"/>
                <w:lang w:val="zh-CN" w:bidi="zh-CN"/>
              </w:rPr>
            </w:pPr>
          </w:p>
        </w:tc>
        <w:tc>
          <w:tcPr>
            <w:tcW w:w="704" w:type="dxa"/>
            <w:tcBorders>
              <w:tl2br w:val="nil"/>
              <w:tr2bl w:val="nil"/>
            </w:tcBorders>
            <w:vAlign w:val="center"/>
          </w:tcPr>
          <w:p w14:paraId="0F2670CD">
            <w:pPr>
              <w:pStyle w:val="97"/>
              <w:numPr>
                <w:ilvl w:val="0"/>
                <w:numId w:val="13"/>
              </w:numPr>
              <w:ind w:left="-105" w:right="-105" w:firstLineChars="0"/>
              <w:jc w:val="center"/>
              <w:rPr>
                <w:rFonts w:eastAsia="宋体"/>
                <w:color w:val="auto"/>
                <w:kern w:val="0"/>
                <w:sz w:val="21"/>
                <w:szCs w:val="21"/>
                <w:highlight w:val="none"/>
                <w:lang w:val="zh-CN" w:bidi="zh-CN"/>
              </w:rPr>
            </w:pPr>
          </w:p>
        </w:tc>
        <w:tc>
          <w:tcPr>
            <w:tcW w:w="2131" w:type="dxa"/>
            <w:gridSpan w:val="3"/>
            <w:tcBorders>
              <w:tl2br w:val="nil"/>
              <w:tr2bl w:val="nil"/>
            </w:tcBorders>
            <w:shd w:val="clear" w:color="auto" w:fill="auto"/>
            <w:vAlign w:val="center"/>
          </w:tcPr>
          <w:p w14:paraId="1106AC5C">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泾和苑</w:t>
            </w:r>
          </w:p>
        </w:tc>
        <w:tc>
          <w:tcPr>
            <w:tcW w:w="1100" w:type="dxa"/>
            <w:gridSpan w:val="3"/>
            <w:tcBorders>
              <w:tl2br w:val="nil"/>
              <w:tr2bl w:val="nil"/>
            </w:tcBorders>
            <w:shd w:val="clear" w:color="auto" w:fill="auto"/>
            <w:vAlign w:val="center"/>
          </w:tcPr>
          <w:p w14:paraId="3DAF8BCD">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NE</w:t>
            </w:r>
          </w:p>
        </w:tc>
        <w:tc>
          <w:tcPr>
            <w:tcW w:w="1278" w:type="dxa"/>
            <w:gridSpan w:val="3"/>
            <w:tcBorders>
              <w:tl2br w:val="nil"/>
              <w:tr2bl w:val="nil"/>
            </w:tcBorders>
            <w:shd w:val="clear" w:color="auto" w:fill="auto"/>
            <w:vAlign w:val="center"/>
          </w:tcPr>
          <w:p w14:paraId="46447192">
            <w:pPr>
              <w:ind w:left="-105" w:right="-105"/>
              <w:jc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3341</w:t>
            </w:r>
          </w:p>
        </w:tc>
        <w:tc>
          <w:tcPr>
            <w:tcW w:w="1238" w:type="dxa"/>
            <w:gridSpan w:val="3"/>
            <w:tcBorders>
              <w:tl2br w:val="nil"/>
              <w:tr2bl w:val="nil"/>
            </w:tcBorders>
            <w:shd w:val="clear" w:color="auto" w:fill="auto"/>
            <w:vAlign w:val="center"/>
          </w:tcPr>
          <w:p w14:paraId="4D61308B">
            <w:pPr>
              <w:ind w:left="-105" w:right="-105"/>
              <w:jc w:val="center"/>
              <w:rPr>
                <w:rFonts w:ascii="Times New Roman" w:hAnsi="Times New Roman"/>
                <w:color w:val="auto"/>
                <w:sz w:val="21"/>
                <w:szCs w:val="21"/>
                <w:highlight w:val="none"/>
              </w:rPr>
            </w:pPr>
            <w:r>
              <w:rPr>
                <w:rFonts w:ascii="Times New Roman" w:hAnsi="Times New Roman"/>
                <w:color w:val="auto"/>
                <w:sz w:val="21"/>
                <w:szCs w:val="21"/>
                <w:highlight w:val="none"/>
              </w:rPr>
              <w:t>居住区</w:t>
            </w:r>
          </w:p>
        </w:tc>
        <w:tc>
          <w:tcPr>
            <w:tcW w:w="1748" w:type="dxa"/>
            <w:tcBorders>
              <w:tl2br w:val="nil"/>
              <w:tr2bl w:val="nil"/>
            </w:tcBorders>
            <w:shd w:val="clear" w:color="auto" w:fill="auto"/>
            <w:vAlign w:val="center"/>
          </w:tcPr>
          <w:p w14:paraId="02B16611">
            <w:pPr>
              <w:ind w:left="-105" w:right="-105"/>
              <w:jc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4500</w:t>
            </w:r>
            <w:r>
              <w:rPr>
                <w:rFonts w:ascii="Times New Roman" w:hAnsi="Times New Roman"/>
                <w:color w:val="auto"/>
                <w:sz w:val="21"/>
                <w:szCs w:val="21"/>
                <w:highlight w:val="none"/>
              </w:rPr>
              <w:t>户/</w:t>
            </w:r>
            <w:r>
              <w:rPr>
                <w:rFonts w:hint="eastAsia" w:ascii="Times New Roman" w:hAnsi="Times New Roman"/>
                <w:color w:val="auto"/>
                <w:sz w:val="21"/>
                <w:szCs w:val="21"/>
                <w:highlight w:val="none"/>
              </w:rPr>
              <w:t>15750</w:t>
            </w:r>
            <w:r>
              <w:rPr>
                <w:rFonts w:ascii="Times New Roman" w:hAnsi="Times New Roman"/>
                <w:color w:val="auto"/>
                <w:sz w:val="21"/>
                <w:szCs w:val="21"/>
                <w:highlight w:val="none"/>
              </w:rPr>
              <w:t>人</w:t>
            </w:r>
          </w:p>
        </w:tc>
      </w:tr>
      <w:tr w14:paraId="43B2B9D4">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851" w:type="dxa"/>
            <w:vMerge w:val="continue"/>
            <w:tcBorders>
              <w:tl2br w:val="nil"/>
              <w:tr2bl w:val="nil"/>
            </w:tcBorders>
            <w:vAlign w:val="center"/>
          </w:tcPr>
          <w:p w14:paraId="76B64B90">
            <w:pPr>
              <w:ind w:left="-105" w:right="-105"/>
              <w:jc w:val="center"/>
              <w:rPr>
                <w:rFonts w:ascii="Times New Roman" w:hAnsi="Times New Roman"/>
                <w:color w:val="auto"/>
                <w:sz w:val="21"/>
                <w:szCs w:val="21"/>
                <w:highlight w:val="none"/>
                <w:lang w:val="zh-CN" w:bidi="zh-CN"/>
              </w:rPr>
            </w:pPr>
          </w:p>
        </w:tc>
        <w:tc>
          <w:tcPr>
            <w:tcW w:w="704" w:type="dxa"/>
            <w:tcBorders>
              <w:tl2br w:val="nil"/>
              <w:tr2bl w:val="nil"/>
            </w:tcBorders>
            <w:vAlign w:val="center"/>
          </w:tcPr>
          <w:p w14:paraId="5BB022C6">
            <w:pPr>
              <w:pStyle w:val="97"/>
              <w:numPr>
                <w:ilvl w:val="0"/>
                <w:numId w:val="13"/>
              </w:numPr>
              <w:ind w:left="-105" w:right="-105" w:firstLineChars="0"/>
              <w:jc w:val="center"/>
              <w:rPr>
                <w:rFonts w:eastAsia="宋体"/>
                <w:color w:val="auto"/>
                <w:kern w:val="0"/>
                <w:sz w:val="21"/>
                <w:szCs w:val="21"/>
                <w:highlight w:val="none"/>
                <w:lang w:val="zh-CN" w:bidi="zh-CN"/>
              </w:rPr>
            </w:pPr>
          </w:p>
        </w:tc>
        <w:tc>
          <w:tcPr>
            <w:tcW w:w="2131" w:type="dxa"/>
            <w:gridSpan w:val="3"/>
            <w:tcBorders>
              <w:tl2br w:val="nil"/>
              <w:tr2bl w:val="nil"/>
            </w:tcBorders>
            <w:shd w:val="clear" w:color="auto" w:fill="auto"/>
            <w:vAlign w:val="center"/>
          </w:tcPr>
          <w:p w14:paraId="7440DA0B">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泉山荣邸</w:t>
            </w:r>
          </w:p>
        </w:tc>
        <w:tc>
          <w:tcPr>
            <w:tcW w:w="1100" w:type="dxa"/>
            <w:gridSpan w:val="3"/>
            <w:tcBorders>
              <w:tl2br w:val="nil"/>
              <w:tr2bl w:val="nil"/>
            </w:tcBorders>
            <w:shd w:val="clear" w:color="auto" w:fill="auto"/>
            <w:vAlign w:val="center"/>
          </w:tcPr>
          <w:p w14:paraId="19BCAF61">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NE</w:t>
            </w:r>
          </w:p>
        </w:tc>
        <w:tc>
          <w:tcPr>
            <w:tcW w:w="1278" w:type="dxa"/>
            <w:gridSpan w:val="3"/>
            <w:tcBorders>
              <w:tl2br w:val="nil"/>
              <w:tr2bl w:val="nil"/>
            </w:tcBorders>
            <w:shd w:val="clear" w:color="auto" w:fill="auto"/>
            <w:vAlign w:val="center"/>
          </w:tcPr>
          <w:p w14:paraId="1CF9FBFD">
            <w:pPr>
              <w:ind w:left="-105" w:right="-105"/>
              <w:jc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3527</w:t>
            </w:r>
          </w:p>
        </w:tc>
        <w:tc>
          <w:tcPr>
            <w:tcW w:w="1238" w:type="dxa"/>
            <w:gridSpan w:val="3"/>
            <w:tcBorders>
              <w:tl2br w:val="nil"/>
              <w:tr2bl w:val="nil"/>
            </w:tcBorders>
            <w:shd w:val="clear" w:color="auto" w:fill="auto"/>
            <w:vAlign w:val="center"/>
          </w:tcPr>
          <w:p w14:paraId="6B71E7E1">
            <w:pPr>
              <w:ind w:left="-105" w:right="-105"/>
              <w:jc w:val="center"/>
              <w:rPr>
                <w:rFonts w:ascii="Times New Roman" w:hAnsi="Times New Roman"/>
                <w:color w:val="auto"/>
                <w:sz w:val="21"/>
                <w:szCs w:val="21"/>
                <w:highlight w:val="none"/>
              </w:rPr>
            </w:pPr>
            <w:r>
              <w:rPr>
                <w:rFonts w:ascii="Times New Roman" w:hAnsi="Times New Roman"/>
                <w:color w:val="auto"/>
                <w:sz w:val="21"/>
                <w:szCs w:val="21"/>
                <w:highlight w:val="none"/>
              </w:rPr>
              <w:t>居住区</w:t>
            </w:r>
          </w:p>
        </w:tc>
        <w:tc>
          <w:tcPr>
            <w:tcW w:w="1748" w:type="dxa"/>
            <w:tcBorders>
              <w:tl2br w:val="nil"/>
              <w:tr2bl w:val="nil"/>
            </w:tcBorders>
            <w:shd w:val="clear" w:color="auto" w:fill="auto"/>
            <w:vAlign w:val="center"/>
          </w:tcPr>
          <w:p w14:paraId="5892A421">
            <w:pPr>
              <w:ind w:left="-105" w:right="-105"/>
              <w:jc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4500</w:t>
            </w:r>
            <w:r>
              <w:rPr>
                <w:rFonts w:ascii="Times New Roman" w:hAnsi="Times New Roman"/>
                <w:color w:val="auto"/>
                <w:sz w:val="21"/>
                <w:szCs w:val="21"/>
                <w:highlight w:val="none"/>
              </w:rPr>
              <w:t>户/</w:t>
            </w:r>
            <w:r>
              <w:rPr>
                <w:rFonts w:hint="eastAsia" w:ascii="Times New Roman" w:hAnsi="Times New Roman"/>
                <w:color w:val="auto"/>
                <w:sz w:val="21"/>
                <w:szCs w:val="21"/>
                <w:highlight w:val="none"/>
              </w:rPr>
              <w:t>15750</w:t>
            </w:r>
            <w:r>
              <w:rPr>
                <w:rFonts w:ascii="Times New Roman" w:hAnsi="Times New Roman"/>
                <w:color w:val="auto"/>
                <w:sz w:val="21"/>
                <w:szCs w:val="21"/>
                <w:highlight w:val="none"/>
              </w:rPr>
              <w:t>人</w:t>
            </w:r>
          </w:p>
        </w:tc>
      </w:tr>
      <w:tr w14:paraId="16502258">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851" w:type="dxa"/>
            <w:vMerge w:val="continue"/>
            <w:tcBorders>
              <w:tl2br w:val="nil"/>
              <w:tr2bl w:val="nil"/>
            </w:tcBorders>
            <w:vAlign w:val="center"/>
          </w:tcPr>
          <w:p w14:paraId="11C01068">
            <w:pPr>
              <w:ind w:left="-105" w:right="-105"/>
              <w:jc w:val="center"/>
              <w:rPr>
                <w:rFonts w:ascii="Times New Roman" w:hAnsi="Times New Roman"/>
                <w:color w:val="auto"/>
                <w:sz w:val="21"/>
                <w:szCs w:val="21"/>
                <w:highlight w:val="none"/>
                <w:lang w:val="zh-CN" w:bidi="zh-CN"/>
              </w:rPr>
            </w:pPr>
          </w:p>
        </w:tc>
        <w:tc>
          <w:tcPr>
            <w:tcW w:w="704" w:type="dxa"/>
            <w:tcBorders>
              <w:tl2br w:val="nil"/>
              <w:tr2bl w:val="nil"/>
            </w:tcBorders>
            <w:vAlign w:val="center"/>
          </w:tcPr>
          <w:p w14:paraId="644568D0">
            <w:pPr>
              <w:pStyle w:val="97"/>
              <w:numPr>
                <w:ilvl w:val="0"/>
                <w:numId w:val="13"/>
              </w:numPr>
              <w:ind w:left="-105" w:right="-105" w:firstLineChars="0"/>
              <w:jc w:val="center"/>
              <w:rPr>
                <w:rFonts w:eastAsia="宋体"/>
                <w:color w:val="auto"/>
                <w:kern w:val="0"/>
                <w:sz w:val="21"/>
                <w:szCs w:val="21"/>
                <w:highlight w:val="none"/>
                <w:lang w:val="zh-CN" w:bidi="zh-CN"/>
              </w:rPr>
            </w:pPr>
          </w:p>
        </w:tc>
        <w:tc>
          <w:tcPr>
            <w:tcW w:w="2131" w:type="dxa"/>
            <w:gridSpan w:val="3"/>
            <w:tcBorders>
              <w:tl2br w:val="nil"/>
              <w:tr2bl w:val="nil"/>
            </w:tcBorders>
            <w:shd w:val="clear" w:color="auto" w:fill="auto"/>
            <w:vAlign w:val="center"/>
          </w:tcPr>
          <w:p w14:paraId="3C27104E">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曹庄村</w:t>
            </w:r>
          </w:p>
        </w:tc>
        <w:tc>
          <w:tcPr>
            <w:tcW w:w="1100" w:type="dxa"/>
            <w:gridSpan w:val="3"/>
            <w:tcBorders>
              <w:tl2br w:val="nil"/>
              <w:tr2bl w:val="nil"/>
            </w:tcBorders>
            <w:shd w:val="clear" w:color="auto" w:fill="auto"/>
            <w:vAlign w:val="center"/>
          </w:tcPr>
          <w:p w14:paraId="763CBFFC">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NE</w:t>
            </w:r>
          </w:p>
        </w:tc>
        <w:tc>
          <w:tcPr>
            <w:tcW w:w="1278" w:type="dxa"/>
            <w:gridSpan w:val="3"/>
            <w:tcBorders>
              <w:tl2br w:val="nil"/>
              <w:tr2bl w:val="nil"/>
            </w:tcBorders>
            <w:shd w:val="clear" w:color="auto" w:fill="auto"/>
            <w:vAlign w:val="center"/>
          </w:tcPr>
          <w:p w14:paraId="500E5A71">
            <w:pPr>
              <w:ind w:left="-105" w:right="-105"/>
              <w:jc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3746</w:t>
            </w:r>
          </w:p>
        </w:tc>
        <w:tc>
          <w:tcPr>
            <w:tcW w:w="1238" w:type="dxa"/>
            <w:gridSpan w:val="3"/>
            <w:tcBorders>
              <w:tl2br w:val="nil"/>
              <w:tr2bl w:val="nil"/>
            </w:tcBorders>
            <w:shd w:val="clear" w:color="auto" w:fill="auto"/>
            <w:vAlign w:val="center"/>
          </w:tcPr>
          <w:p w14:paraId="24E4B8F9">
            <w:pPr>
              <w:ind w:left="-105" w:right="-105"/>
              <w:jc w:val="center"/>
              <w:rPr>
                <w:rFonts w:ascii="Times New Roman" w:hAnsi="Times New Roman"/>
                <w:color w:val="auto"/>
                <w:sz w:val="21"/>
                <w:szCs w:val="21"/>
                <w:highlight w:val="none"/>
              </w:rPr>
            </w:pPr>
            <w:r>
              <w:rPr>
                <w:rFonts w:ascii="Times New Roman" w:hAnsi="Times New Roman"/>
                <w:color w:val="auto"/>
                <w:sz w:val="21"/>
                <w:szCs w:val="21"/>
                <w:highlight w:val="none"/>
              </w:rPr>
              <w:t>居住区</w:t>
            </w:r>
          </w:p>
        </w:tc>
        <w:tc>
          <w:tcPr>
            <w:tcW w:w="1748" w:type="dxa"/>
            <w:tcBorders>
              <w:tl2br w:val="nil"/>
              <w:tr2bl w:val="nil"/>
            </w:tcBorders>
            <w:shd w:val="clear" w:color="auto" w:fill="auto"/>
            <w:vAlign w:val="center"/>
          </w:tcPr>
          <w:p w14:paraId="4BF66D1C">
            <w:pPr>
              <w:ind w:left="-105" w:right="-105"/>
              <w:jc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80</w:t>
            </w:r>
            <w:r>
              <w:rPr>
                <w:rFonts w:ascii="Times New Roman" w:hAnsi="Times New Roman"/>
                <w:color w:val="auto"/>
                <w:sz w:val="21"/>
                <w:szCs w:val="21"/>
                <w:highlight w:val="none"/>
              </w:rPr>
              <w:t>户/</w:t>
            </w:r>
            <w:r>
              <w:rPr>
                <w:rFonts w:hint="eastAsia" w:ascii="Times New Roman" w:hAnsi="Times New Roman"/>
                <w:color w:val="auto"/>
                <w:sz w:val="21"/>
                <w:szCs w:val="21"/>
                <w:highlight w:val="none"/>
              </w:rPr>
              <w:t>280</w:t>
            </w:r>
            <w:r>
              <w:rPr>
                <w:rFonts w:ascii="Times New Roman" w:hAnsi="Times New Roman"/>
                <w:color w:val="auto"/>
                <w:sz w:val="21"/>
                <w:szCs w:val="21"/>
                <w:highlight w:val="none"/>
              </w:rPr>
              <w:t>人</w:t>
            </w:r>
          </w:p>
        </w:tc>
      </w:tr>
      <w:tr w14:paraId="25E3EF4D">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851" w:type="dxa"/>
            <w:vMerge w:val="continue"/>
            <w:tcBorders>
              <w:tl2br w:val="nil"/>
              <w:tr2bl w:val="nil"/>
            </w:tcBorders>
            <w:vAlign w:val="center"/>
          </w:tcPr>
          <w:p w14:paraId="7D5884A1">
            <w:pPr>
              <w:ind w:left="-105" w:right="-105"/>
              <w:jc w:val="center"/>
              <w:rPr>
                <w:rFonts w:ascii="Times New Roman" w:hAnsi="Times New Roman"/>
                <w:color w:val="auto"/>
                <w:sz w:val="21"/>
                <w:szCs w:val="21"/>
                <w:highlight w:val="none"/>
                <w:lang w:val="zh-CN" w:bidi="zh-CN"/>
              </w:rPr>
            </w:pPr>
          </w:p>
        </w:tc>
        <w:tc>
          <w:tcPr>
            <w:tcW w:w="704" w:type="dxa"/>
            <w:tcBorders>
              <w:tl2br w:val="nil"/>
              <w:tr2bl w:val="nil"/>
            </w:tcBorders>
            <w:vAlign w:val="center"/>
          </w:tcPr>
          <w:p w14:paraId="361893A3">
            <w:pPr>
              <w:pStyle w:val="97"/>
              <w:numPr>
                <w:ilvl w:val="0"/>
                <w:numId w:val="13"/>
              </w:numPr>
              <w:ind w:left="-105" w:right="-105" w:firstLineChars="0"/>
              <w:jc w:val="center"/>
              <w:rPr>
                <w:rFonts w:eastAsia="宋体"/>
                <w:color w:val="auto"/>
                <w:kern w:val="0"/>
                <w:sz w:val="21"/>
                <w:szCs w:val="21"/>
                <w:highlight w:val="none"/>
                <w:lang w:val="zh-CN" w:bidi="zh-CN"/>
              </w:rPr>
            </w:pPr>
          </w:p>
        </w:tc>
        <w:tc>
          <w:tcPr>
            <w:tcW w:w="2131" w:type="dxa"/>
            <w:gridSpan w:val="3"/>
            <w:tcBorders>
              <w:tl2br w:val="nil"/>
              <w:tr2bl w:val="nil"/>
            </w:tcBorders>
            <w:shd w:val="clear" w:color="auto" w:fill="auto"/>
            <w:vAlign w:val="center"/>
          </w:tcPr>
          <w:p w14:paraId="4DFD0CD7">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鸿威鸿景雅园</w:t>
            </w:r>
          </w:p>
        </w:tc>
        <w:tc>
          <w:tcPr>
            <w:tcW w:w="1100" w:type="dxa"/>
            <w:gridSpan w:val="3"/>
            <w:tcBorders>
              <w:tl2br w:val="nil"/>
              <w:tr2bl w:val="nil"/>
            </w:tcBorders>
            <w:shd w:val="clear" w:color="auto" w:fill="auto"/>
            <w:vAlign w:val="center"/>
          </w:tcPr>
          <w:p w14:paraId="231F6D85">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NE</w:t>
            </w:r>
          </w:p>
        </w:tc>
        <w:tc>
          <w:tcPr>
            <w:tcW w:w="1278" w:type="dxa"/>
            <w:gridSpan w:val="3"/>
            <w:tcBorders>
              <w:tl2br w:val="nil"/>
              <w:tr2bl w:val="nil"/>
            </w:tcBorders>
            <w:shd w:val="clear" w:color="auto" w:fill="auto"/>
            <w:vAlign w:val="center"/>
          </w:tcPr>
          <w:p w14:paraId="6FD01935">
            <w:pPr>
              <w:ind w:left="-105" w:right="-105"/>
              <w:jc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3569</w:t>
            </w:r>
          </w:p>
        </w:tc>
        <w:tc>
          <w:tcPr>
            <w:tcW w:w="1238" w:type="dxa"/>
            <w:gridSpan w:val="3"/>
            <w:tcBorders>
              <w:tl2br w:val="nil"/>
              <w:tr2bl w:val="nil"/>
            </w:tcBorders>
            <w:shd w:val="clear" w:color="auto" w:fill="auto"/>
            <w:vAlign w:val="center"/>
          </w:tcPr>
          <w:p w14:paraId="3C4B3AB2">
            <w:pPr>
              <w:ind w:left="-105" w:right="-105"/>
              <w:jc w:val="center"/>
              <w:rPr>
                <w:rFonts w:ascii="Times New Roman" w:hAnsi="Times New Roman"/>
                <w:color w:val="auto"/>
                <w:sz w:val="21"/>
                <w:szCs w:val="21"/>
                <w:highlight w:val="none"/>
              </w:rPr>
            </w:pPr>
            <w:r>
              <w:rPr>
                <w:rFonts w:ascii="Times New Roman" w:hAnsi="Times New Roman"/>
                <w:color w:val="auto"/>
                <w:sz w:val="21"/>
                <w:szCs w:val="21"/>
                <w:highlight w:val="none"/>
              </w:rPr>
              <w:t>居住区</w:t>
            </w:r>
          </w:p>
        </w:tc>
        <w:tc>
          <w:tcPr>
            <w:tcW w:w="1748" w:type="dxa"/>
            <w:tcBorders>
              <w:tl2br w:val="nil"/>
              <w:tr2bl w:val="nil"/>
            </w:tcBorders>
            <w:shd w:val="clear" w:color="auto" w:fill="auto"/>
            <w:vAlign w:val="center"/>
          </w:tcPr>
          <w:p w14:paraId="0CEC73EE">
            <w:pPr>
              <w:ind w:left="-105" w:right="-105"/>
              <w:jc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2000</w:t>
            </w:r>
            <w:r>
              <w:rPr>
                <w:rFonts w:ascii="Times New Roman" w:hAnsi="Times New Roman"/>
                <w:color w:val="auto"/>
                <w:sz w:val="21"/>
                <w:szCs w:val="21"/>
                <w:highlight w:val="none"/>
              </w:rPr>
              <w:t>户/</w:t>
            </w:r>
            <w:r>
              <w:rPr>
                <w:rFonts w:hint="eastAsia" w:ascii="Times New Roman" w:hAnsi="Times New Roman"/>
                <w:color w:val="auto"/>
                <w:sz w:val="21"/>
                <w:szCs w:val="21"/>
                <w:highlight w:val="none"/>
              </w:rPr>
              <w:t>7000</w:t>
            </w:r>
            <w:r>
              <w:rPr>
                <w:rFonts w:ascii="Times New Roman" w:hAnsi="Times New Roman"/>
                <w:color w:val="auto"/>
                <w:sz w:val="21"/>
                <w:szCs w:val="21"/>
                <w:highlight w:val="none"/>
              </w:rPr>
              <w:t>人</w:t>
            </w:r>
          </w:p>
        </w:tc>
      </w:tr>
      <w:tr w14:paraId="0B628968">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851" w:type="dxa"/>
            <w:vMerge w:val="continue"/>
            <w:tcBorders>
              <w:tl2br w:val="nil"/>
              <w:tr2bl w:val="nil"/>
            </w:tcBorders>
            <w:vAlign w:val="center"/>
          </w:tcPr>
          <w:p w14:paraId="330F01FB">
            <w:pPr>
              <w:ind w:left="-105" w:right="-105"/>
              <w:jc w:val="center"/>
              <w:rPr>
                <w:rFonts w:ascii="Times New Roman" w:hAnsi="Times New Roman"/>
                <w:color w:val="auto"/>
                <w:sz w:val="21"/>
                <w:szCs w:val="21"/>
                <w:highlight w:val="none"/>
                <w:lang w:val="zh-CN" w:bidi="zh-CN"/>
              </w:rPr>
            </w:pPr>
          </w:p>
        </w:tc>
        <w:tc>
          <w:tcPr>
            <w:tcW w:w="704" w:type="dxa"/>
            <w:tcBorders>
              <w:tl2br w:val="nil"/>
              <w:tr2bl w:val="nil"/>
            </w:tcBorders>
            <w:vAlign w:val="center"/>
          </w:tcPr>
          <w:p w14:paraId="6F193468">
            <w:pPr>
              <w:pStyle w:val="97"/>
              <w:numPr>
                <w:ilvl w:val="0"/>
                <w:numId w:val="13"/>
              </w:numPr>
              <w:ind w:left="-105" w:right="-105" w:firstLineChars="0"/>
              <w:jc w:val="center"/>
              <w:rPr>
                <w:rFonts w:eastAsia="宋体"/>
                <w:color w:val="auto"/>
                <w:kern w:val="0"/>
                <w:sz w:val="21"/>
                <w:szCs w:val="21"/>
                <w:highlight w:val="none"/>
                <w:lang w:val="zh-CN" w:bidi="zh-CN"/>
              </w:rPr>
            </w:pPr>
          </w:p>
        </w:tc>
        <w:tc>
          <w:tcPr>
            <w:tcW w:w="2131" w:type="dxa"/>
            <w:gridSpan w:val="3"/>
            <w:tcBorders>
              <w:tl2br w:val="nil"/>
              <w:tr2bl w:val="nil"/>
            </w:tcBorders>
            <w:shd w:val="clear" w:color="auto" w:fill="auto"/>
            <w:vAlign w:val="center"/>
          </w:tcPr>
          <w:p w14:paraId="4699A62D">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花园弄</w:t>
            </w:r>
          </w:p>
        </w:tc>
        <w:tc>
          <w:tcPr>
            <w:tcW w:w="1100" w:type="dxa"/>
            <w:gridSpan w:val="3"/>
            <w:tcBorders>
              <w:tl2br w:val="nil"/>
              <w:tr2bl w:val="nil"/>
            </w:tcBorders>
            <w:shd w:val="clear" w:color="auto" w:fill="auto"/>
            <w:vAlign w:val="center"/>
          </w:tcPr>
          <w:p w14:paraId="73E5ABA0">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NE</w:t>
            </w:r>
          </w:p>
        </w:tc>
        <w:tc>
          <w:tcPr>
            <w:tcW w:w="1278" w:type="dxa"/>
            <w:gridSpan w:val="3"/>
            <w:tcBorders>
              <w:tl2br w:val="nil"/>
              <w:tr2bl w:val="nil"/>
            </w:tcBorders>
            <w:shd w:val="clear" w:color="auto" w:fill="auto"/>
            <w:vAlign w:val="center"/>
          </w:tcPr>
          <w:p w14:paraId="4F148931">
            <w:pPr>
              <w:ind w:left="-105" w:right="-105"/>
              <w:jc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3911</w:t>
            </w:r>
          </w:p>
        </w:tc>
        <w:tc>
          <w:tcPr>
            <w:tcW w:w="1238" w:type="dxa"/>
            <w:gridSpan w:val="3"/>
            <w:tcBorders>
              <w:tl2br w:val="nil"/>
              <w:tr2bl w:val="nil"/>
            </w:tcBorders>
            <w:shd w:val="clear" w:color="auto" w:fill="auto"/>
            <w:vAlign w:val="center"/>
          </w:tcPr>
          <w:p w14:paraId="10BB17AA">
            <w:pPr>
              <w:ind w:left="-105" w:right="-105"/>
              <w:jc w:val="center"/>
              <w:rPr>
                <w:rFonts w:ascii="Times New Roman" w:hAnsi="Times New Roman"/>
                <w:color w:val="auto"/>
                <w:sz w:val="21"/>
                <w:szCs w:val="21"/>
                <w:highlight w:val="none"/>
              </w:rPr>
            </w:pPr>
            <w:r>
              <w:rPr>
                <w:rFonts w:ascii="Times New Roman" w:hAnsi="Times New Roman"/>
                <w:color w:val="auto"/>
                <w:sz w:val="21"/>
                <w:szCs w:val="21"/>
                <w:highlight w:val="none"/>
              </w:rPr>
              <w:t>居住区</w:t>
            </w:r>
          </w:p>
        </w:tc>
        <w:tc>
          <w:tcPr>
            <w:tcW w:w="1748" w:type="dxa"/>
            <w:tcBorders>
              <w:tl2br w:val="nil"/>
              <w:tr2bl w:val="nil"/>
            </w:tcBorders>
            <w:shd w:val="clear" w:color="auto" w:fill="auto"/>
            <w:vAlign w:val="center"/>
          </w:tcPr>
          <w:p w14:paraId="78ED4F06">
            <w:pPr>
              <w:ind w:left="-105" w:right="-105"/>
              <w:jc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30</w:t>
            </w:r>
            <w:r>
              <w:rPr>
                <w:rFonts w:ascii="Times New Roman" w:hAnsi="Times New Roman"/>
                <w:color w:val="auto"/>
                <w:sz w:val="21"/>
                <w:szCs w:val="21"/>
                <w:highlight w:val="none"/>
              </w:rPr>
              <w:t>户/</w:t>
            </w:r>
            <w:r>
              <w:rPr>
                <w:rFonts w:hint="eastAsia" w:ascii="Times New Roman" w:hAnsi="Times New Roman"/>
                <w:color w:val="auto"/>
                <w:sz w:val="21"/>
                <w:szCs w:val="21"/>
                <w:highlight w:val="none"/>
              </w:rPr>
              <w:t>105</w:t>
            </w:r>
            <w:r>
              <w:rPr>
                <w:rFonts w:ascii="Times New Roman" w:hAnsi="Times New Roman"/>
                <w:color w:val="auto"/>
                <w:sz w:val="21"/>
                <w:szCs w:val="21"/>
                <w:highlight w:val="none"/>
              </w:rPr>
              <w:t>人</w:t>
            </w:r>
          </w:p>
        </w:tc>
      </w:tr>
      <w:tr w14:paraId="40CC8433">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851" w:type="dxa"/>
            <w:vMerge w:val="continue"/>
            <w:tcBorders>
              <w:tl2br w:val="nil"/>
              <w:tr2bl w:val="nil"/>
            </w:tcBorders>
            <w:vAlign w:val="center"/>
          </w:tcPr>
          <w:p w14:paraId="677BF794">
            <w:pPr>
              <w:ind w:left="-105" w:right="-105"/>
              <w:jc w:val="center"/>
              <w:rPr>
                <w:rFonts w:ascii="Times New Roman" w:hAnsi="Times New Roman"/>
                <w:color w:val="auto"/>
                <w:sz w:val="21"/>
                <w:szCs w:val="21"/>
                <w:highlight w:val="none"/>
                <w:lang w:val="zh-CN" w:bidi="zh-CN"/>
              </w:rPr>
            </w:pPr>
          </w:p>
        </w:tc>
        <w:tc>
          <w:tcPr>
            <w:tcW w:w="704" w:type="dxa"/>
            <w:tcBorders>
              <w:tl2br w:val="nil"/>
              <w:tr2bl w:val="nil"/>
            </w:tcBorders>
            <w:vAlign w:val="center"/>
          </w:tcPr>
          <w:p w14:paraId="14252823">
            <w:pPr>
              <w:pStyle w:val="97"/>
              <w:numPr>
                <w:ilvl w:val="0"/>
                <w:numId w:val="13"/>
              </w:numPr>
              <w:ind w:left="-105" w:right="-105" w:firstLineChars="0"/>
              <w:jc w:val="center"/>
              <w:rPr>
                <w:rFonts w:eastAsia="宋体"/>
                <w:color w:val="auto"/>
                <w:kern w:val="0"/>
                <w:sz w:val="21"/>
                <w:szCs w:val="21"/>
                <w:highlight w:val="none"/>
                <w:lang w:val="zh-CN" w:bidi="zh-CN"/>
              </w:rPr>
            </w:pPr>
          </w:p>
        </w:tc>
        <w:tc>
          <w:tcPr>
            <w:tcW w:w="2131" w:type="dxa"/>
            <w:gridSpan w:val="3"/>
            <w:tcBorders>
              <w:tl2br w:val="nil"/>
              <w:tr2bl w:val="nil"/>
            </w:tcBorders>
            <w:shd w:val="clear" w:color="auto" w:fill="auto"/>
            <w:vAlign w:val="center"/>
          </w:tcPr>
          <w:p w14:paraId="5996612F">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丰泰苑</w:t>
            </w:r>
          </w:p>
        </w:tc>
        <w:tc>
          <w:tcPr>
            <w:tcW w:w="1100" w:type="dxa"/>
            <w:gridSpan w:val="3"/>
            <w:tcBorders>
              <w:tl2br w:val="nil"/>
              <w:tr2bl w:val="nil"/>
            </w:tcBorders>
            <w:shd w:val="clear" w:color="auto" w:fill="auto"/>
            <w:vAlign w:val="center"/>
          </w:tcPr>
          <w:p w14:paraId="0248B1B1">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NE</w:t>
            </w:r>
          </w:p>
        </w:tc>
        <w:tc>
          <w:tcPr>
            <w:tcW w:w="1278" w:type="dxa"/>
            <w:gridSpan w:val="3"/>
            <w:tcBorders>
              <w:tl2br w:val="nil"/>
              <w:tr2bl w:val="nil"/>
            </w:tcBorders>
            <w:shd w:val="clear" w:color="auto" w:fill="auto"/>
            <w:vAlign w:val="center"/>
          </w:tcPr>
          <w:p w14:paraId="131DB4E1">
            <w:pPr>
              <w:ind w:left="-105" w:right="-105"/>
              <w:jc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4018</w:t>
            </w:r>
          </w:p>
        </w:tc>
        <w:tc>
          <w:tcPr>
            <w:tcW w:w="1238" w:type="dxa"/>
            <w:gridSpan w:val="3"/>
            <w:tcBorders>
              <w:tl2br w:val="nil"/>
              <w:tr2bl w:val="nil"/>
            </w:tcBorders>
            <w:shd w:val="clear" w:color="auto" w:fill="auto"/>
            <w:vAlign w:val="center"/>
          </w:tcPr>
          <w:p w14:paraId="29D25C8C">
            <w:pPr>
              <w:ind w:left="-105" w:right="-105"/>
              <w:jc w:val="center"/>
              <w:rPr>
                <w:rFonts w:ascii="Times New Roman" w:hAnsi="Times New Roman"/>
                <w:color w:val="auto"/>
                <w:sz w:val="21"/>
                <w:szCs w:val="21"/>
                <w:highlight w:val="none"/>
              </w:rPr>
            </w:pPr>
            <w:r>
              <w:rPr>
                <w:rFonts w:ascii="Times New Roman" w:hAnsi="Times New Roman"/>
                <w:color w:val="auto"/>
                <w:sz w:val="21"/>
                <w:szCs w:val="21"/>
                <w:highlight w:val="none"/>
              </w:rPr>
              <w:t>居住区</w:t>
            </w:r>
          </w:p>
        </w:tc>
        <w:tc>
          <w:tcPr>
            <w:tcW w:w="1748" w:type="dxa"/>
            <w:tcBorders>
              <w:tl2br w:val="nil"/>
              <w:tr2bl w:val="nil"/>
            </w:tcBorders>
            <w:shd w:val="clear" w:color="auto" w:fill="auto"/>
            <w:vAlign w:val="center"/>
          </w:tcPr>
          <w:p w14:paraId="0A63CA6B">
            <w:pPr>
              <w:ind w:left="-105" w:right="-105"/>
              <w:jc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2000</w:t>
            </w:r>
            <w:r>
              <w:rPr>
                <w:rFonts w:ascii="Times New Roman" w:hAnsi="Times New Roman"/>
                <w:color w:val="auto"/>
                <w:sz w:val="21"/>
                <w:szCs w:val="21"/>
                <w:highlight w:val="none"/>
              </w:rPr>
              <w:t>户/</w:t>
            </w:r>
            <w:r>
              <w:rPr>
                <w:rFonts w:hint="eastAsia" w:ascii="Times New Roman" w:hAnsi="Times New Roman"/>
                <w:color w:val="auto"/>
                <w:sz w:val="21"/>
                <w:szCs w:val="21"/>
                <w:highlight w:val="none"/>
              </w:rPr>
              <w:t>7000</w:t>
            </w:r>
            <w:r>
              <w:rPr>
                <w:rFonts w:ascii="Times New Roman" w:hAnsi="Times New Roman"/>
                <w:color w:val="auto"/>
                <w:sz w:val="21"/>
                <w:szCs w:val="21"/>
                <w:highlight w:val="none"/>
              </w:rPr>
              <w:t>人</w:t>
            </w:r>
          </w:p>
        </w:tc>
      </w:tr>
      <w:tr w14:paraId="3B1444A0">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851" w:type="dxa"/>
            <w:vMerge w:val="continue"/>
            <w:tcBorders>
              <w:tl2br w:val="nil"/>
              <w:tr2bl w:val="nil"/>
            </w:tcBorders>
            <w:vAlign w:val="center"/>
          </w:tcPr>
          <w:p w14:paraId="7DEC5168">
            <w:pPr>
              <w:ind w:left="-105" w:right="-105"/>
              <w:jc w:val="center"/>
              <w:rPr>
                <w:rFonts w:ascii="Times New Roman" w:hAnsi="Times New Roman"/>
                <w:color w:val="auto"/>
                <w:sz w:val="21"/>
                <w:szCs w:val="21"/>
                <w:highlight w:val="none"/>
                <w:lang w:val="zh-CN" w:bidi="zh-CN"/>
              </w:rPr>
            </w:pPr>
          </w:p>
        </w:tc>
        <w:tc>
          <w:tcPr>
            <w:tcW w:w="704" w:type="dxa"/>
            <w:tcBorders>
              <w:tl2br w:val="nil"/>
              <w:tr2bl w:val="nil"/>
            </w:tcBorders>
            <w:vAlign w:val="center"/>
          </w:tcPr>
          <w:p w14:paraId="00458F00">
            <w:pPr>
              <w:pStyle w:val="97"/>
              <w:numPr>
                <w:ilvl w:val="0"/>
                <w:numId w:val="13"/>
              </w:numPr>
              <w:ind w:left="-105" w:right="-105" w:firstLineChars="0"/>
              <w:jc w:val="center"/>
              <w:rPr>
                <w:rFonts w:eastAsia="宋体"/>
                <w:color w:val="auto"/>
                <w:kern w:val="0"/>
                <w:sz w:val="21"/>
                <w:szCs w:val="21"/>
                <w:highlight w:val="none"/>
                <w:lang w:val="zh-CN" w:bidi="zh-CN"/>
              </w:rPr>
            </w:pPr>
          </w:p>
        </w:tc>
        <w:tc>
          <w:tcPr>
            <w:tcW w:w="2131" w:type="dxa"/>
            <w:gridSpan w:val="3"/>
            <w:tcBorders>
              <w:tl2br w:val="nil"/>
              <w:tr2bl w:val="nil"/>
            </w:tcBorders>
            <w:shd w:val="clear" w:color="auto" w:fill="auto"/>
            <w:vAlign w:val="center"/>
          </w:tcPr>
          <w:p w14:paraId="0473D7EC">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东方庄</w:t>
            </w:r>
          </w:p>
        </w:tc>
        <w:tc>
          <w:tcPr>
            <w:tcW w:w="1100" w:type="dxa"/>
            <w:gridSpan w:val="3"/>
            <w:tcBorders>
              <w:tl2br w:val="nil"/>
              <w:tr2bl w:val="nil"/>
            </w:tcBorders>
            <w:shd w:val="clear" w:color="auto" w:fill="auto"/>
            <w:vAlign w:val="center"/>
          </w:tcPr>
          <w:p w14:paraId="08D352F4">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NE</w:t>
            </w:r>
          </w:p>
        </w:tc>
        <w:tc>
          <w:tcPr>
            <w:tcW w:w="1278" w:type="dxa"/>
            <w:gridSpan w:val="3"/>
            <w:tcBorders>
              <w:tl2br w:val="nil"/>
              <w:tr2bl w:val="nil"/>
            </w:tcBorders>
            <w:shd w:val="clear" w:color="auto" w:fill="auto"/>
            <w:vAlign w:val="center"/>
          </w:tcPr>
          <w:p w14:paraId="401C64A8">
            <w:pPr>
              <w:ind w:left="-105" w:right="-105"/>
              <w:jc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2963</w:t>
            </w:r>
          </w:p>
        </w:tc>
        <w:tc>
          <w:tcPr>
            <w:tcW w:w="1238" w:type="dxa"/>
            <w:gridSpan w:val="3"/>
            <w:tcBorders>
              <w:tl2br w:val="nil"/>
              <w:tr2bl w:val="nil"/>
            </w:tcBorders>
            <w:shd w:val="clear" w:color="auto" w:fill="auto"/>
            <w:vAlign w:val="center"/>
          </w:tcPr>
          <w:p w14:paraId="1C297A2F">
            <w:pPr>
              <w:ind w:left="-105" w:right="-105"/>
              <w:jc w:val="center"/>
              <w:rPr>
                <w:rFonts w:ascii="Times New Roman" w:hAnsi="Times New Roman"/>
                <w:color w:val="auto"/>
                <w:sz w:val="21"/>
                <w:szCs w:val="21"/>
                <w:highlight w:val="none"/>
              </w:rPr>
            </w:pPr>
            <w:r>
              <w:rPr>
                <w:rFonts w:ascii="Times New Roman" w:hAnsi="Times New Roman"/>
                <w:color w:val="auto"/>
                <w:sz w:val="21"/>
                <w:szCs w:val="21"/>
                <w:highlight w:val="none"/>
              </w:rPr>
              <w:t>居住区</w:t>
            </w:r>
          </w:p>
        </w:tc>
        <w:tc>
          <w:tcPr>
            <w:tcW w:w="1748" w:type="dxa"/>
            <w:tcBorders>
              <w:tl2br w:val="nil"/>
              <w:tr2bl w:val="nil"/>
            </w:tcBorders>
            <w:shd w:val="clear" w:color="auto" w:fill="auto"/>
            <w:vAlign w:val="center"/>
          </w:tcPr>
          <w:p w14:paraId="31D109B1">
            <w:pPr>
              <w:ind w:left="-105" w:right="-105"/>
              <w:jc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60</w:t>
            </w:r>
            <w:r>
              <w:rPr>
                <w:rFonts w:ascii="Times New Roman" w:hAnsi="Times New Roman"/>
                <w:color w:val="auto"/>
                <w:sz w:val="21"/>
                <w:szCs w:val="21"/>
                <w:highlight w:val="none"/>
              </w:rPr>
              <w:t>户/</w:t>
            </w:r>
            <w:r>
              <w:rPr>
                <w:rFonts w:hint="eastAsia" w:ascii="Times New Roman" w:hAnsi="Times New Roman"/>
                <w:color w:val="auto"/>
                <w:sz w:val="21"/>
                <w:szCs w:val="21"/>
                <w:highlight w:val="none"/>
              </w:rPr>
              <w:t>210</w:t>
            </w:r>
            <w:r>
              <w:rPr>
                <w:rFonts w:ascii="Times New Roman" w:hAnsi="Times New Roman"/>
                <w:color w:val="auto"/>
                <w:sz w:val="21"/>
                <w:szCs w:val="21"/>
                <w:highlight w:val="none"/>
              </w:rPr>
              <w:t>人</w:t>
            </w:r>
          </w:p>
        </w:tc>
      </w:tr>
      <w:tr w14:paraId="75154D6B">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851" w:type="dxa"/>
            <w:vMerge w:val="continue"/>
            <w:tcBorders>
              <w:tl2br w:val="nil"/>
              <w:tr2bl w:val="nil"/>
            </w:tcBorders>
            <w:vAlign w:val="center"/>
          </w:tcPr>
          <w:p w14:paraId="4A1F42BE">
            <w:pPr>
              <w:ind w:left="-105" w:right="-105"/>
              <w:jc w:val="center"/>
              <w:rPr>
                <w:rFonts w:ascii="Times New Roman" w:hAnsi="Times New Roman"/>
                <w:color w:val="auto"/>
                <w:sz w:val="21"/>
                <w:szCs w:val="21"/>
                <w:highlight w:val="none"/>
                <w:lang w:val="zh-CN" w:bidi="zh-CN"/>
              </w:rPr>
            </w:pPr>
          </w:p>
        </w:tc>
        <w:tc>
          <w:tcPr>
            <w:tcW w:w="704" w:type="dxa"/>
            <w:tcBorders>
              <w:tl2br w:val="nil"/>
              <w:tr2bl w:val="nil"/>
            </w:tcBorders>
            <w:vAlign w:val="center"/>
          </w:tcPr>
          <w:p w14:paraId="1563BBA5">
            <w:pPr>
              <w:pStyle w:val="97"/>
              <w:numPr>
                <w:ilvl w:val="0"/>
                <w:numId w:val="13"/>
              </w:numPr>
              <w:ind w:left="-105" w:right="-105" w:firstLineChars="0"/>
              <w:jc w:val="center"/>
              <w:rPr>
                <w:rFonts w:eastAsia="宋体"/>
                <w:color w:val="auto"/>
                <w:kern w:val="0"/>
                <w:sz w:val="21"/>
                <w:szCs w:val="21"/>
                <w:highlight w:val="none"/>
                <w:lang w:val="zh-CN" w:bidi="zh-CN"/>
              </w:rPr>
            </w:pPr>
          </w:p>
        </w:tc>
        <w:tc>
          <w:tcPr>
            <w:tcW w:w="2131" w:type="dxa"/>
            <w:gridSpan w:val="3"/>
            <w:tcBorders>
              <w:tl2br w:val="nil"/>
              <w:tr2bl w:val="nil"/>
            </w:tcBorders>
            <w:shd w:val="clear" w:color="auto" w:fill="auto"/>
            <w:vAlign w:val="center"/>
          </w:tcPr>
          <w:p w14:paraId="0BA3FC34">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泉山村</w:t>
            </w:r>
          </w:p>
        </w:tc>
        <w:tc>
          <w:tcPr>
            <w:tcW w:w="1100" w:type="dxa"/>
            <w:gridSpan w:val="3"/>
            <w:tcBorders>
              <w:tl2br w:val="nil"/>
              <w:tr2bl w:val="nil"/>
            </w:tcBorders>
            <w:shd w:val="clear" w:color="auto" w:fill="auto"/>
            <w:vAlign w:val="center"/>
          </w:tcPr>
          <w:p w14:paraId="1998C7B5">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NE</w:t>
            </w:r>
          </w:p>
        </w:tc>
        <w:tc>
          <w:tcPr>
            <w:tcW w:w="1278" w:type="dxa"/>
            <w:gridSpan w:val="3"/>
            <w:tcBorders>
              <w:tl2br w:val="nil"/>
              <w:tr2bl w:val="nil"/>
            </w:tcBorders>
            <w:shd w:val="clear" w:color="auto" w:fill="auto"/>
            <w:vAlign w:val="center"/>
          </w:tcPr>
          <w:p w14:paraId="3F373B0B">
            <w:pPr>
              <w:ind w:left="-105" w:right="-105"/>
              <w:jc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3775</w:t>
            </w:r>
          </w:p>
        </w:tc>
        <w:tc>
          <w:tcPr>
            <w:tcW w:w="1238" w:type="dxa"/>
            <w:gridSpan w:val="3"/>
            <w:tcBorders>
              <w:tl2br w:val="nil"/>
              <w:tr2bl w:val="nil"/>
            </w:tcBorders>
            <w:shd w:val="clear" w:color="auto" w:fill="auto"/>
            <w:vAlign w:val="center"/>
          </w:tcPr>
          <w:p w14:paraId="0A86DCEE">
            <w:pPr>
              <w:ind w:left="-105" w:right="-105"/>
              <w:jc w:val="center"/>
              <w:rPr>
                <w:rFonts w:ascii="Times New Roman" w:hAnsi="Times New Roman"/>
                <w:color w:val="auto"/>
                <w:sz w:val="21"/>
                <w:szCs w:val="21"/>
                <w:highlight w:val="none"/>
              </w:rPr>
            </w:pPr>
            <w:r>
              <w:rPr>
                <w:rFonts w:ascii="Times New Roman" w:hAnsi="Times New Roman"/>
                <w:color w:val="auto"/>
                <w:sz w:val="21"/>
                <w:szCs w:val="21"/>
                <w:highlight w:val="none"/>
              </w:rPr>
              <w:t>居住区</w:t>
            </w:r>
          </w:p>
        </w:tc>
        <w:tc>
          <w:tcPr>
            <w:tcW w:w="1748" w:type="dxa"/>
            <w:tcBorders>
              <w:tl2br w:val="nil"/>
              <w:tr2bl w:val="nil"/>
            </w:tcBorders>
            <w:shd w:val="clear" w:color="auto" w:fill="auto"/>
            <w:vAlign w:val="center"/>
          </w:tcPr>
          <w:p w14:paraId="144082BB">
            <w:pPr>
              <w:ind w:left="-105" w:right="-105"/>
              <w:jc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50</w:t>
            </w:r>
            <w:r>
              <w:rPr>
                <w:rFonts w:ascii="Times New Roman" w:hAnsi="Times New Roman"/>
                <w:color w:val="auto"/>
                <w:sz w:val="21"/>
                <w:szCs w:val="21"/>
                <w:highlight w:val="none"/>
              </w:rPr>
              <w:t>户/</w:t>
            </w:r>
            <w:r>
              <w:rPr>
                <w:rFonts w:hint="eastAsia" w:ascii="Times New Roman" w:hAnsi="Times New Roman"/>
                <w:color w:val="auto"/>
                <w:sz w:val="21"/>
                <w:szCs w:val="21"/>
                <w:highlight w:val="none"/>
              </w:rPr>
              <w:t>175</w:t>
            </w:r>
            <w:r>
              <w:rPr>
                <w:rFonts w:ascii="Times New Roman" w:hAnsi="Times New Roman"/>
                <w:color w:val="auto"/>
                <w:sz w:val="21"/>
                <w:szCs w:val="21"/>
                <w:highlight w:val="none"/>
              </w:rPr>
              <w:t>人</w:t>
            </w:r>
          </w:p>
        </w:tc>
      </w:tr>
      <w:tr w14:paraId="21812AEC">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851" w:type="dxa"/>
            <w:vMerge w:val="continue"/>
            <w:tcBorders>
              <w:tl2br w:val="nil"/>
              <w:tr2bl w:val="nil"/>
            </w:tcBorders>
            <w:vAlign w:val="center"/>
          </w:tcPr>
          <w:p w14:paraId="2EDA4EE4">
            <w:pPr>
              <w:ind w:left="-105" w:right="-105"/>
              <w:jc w:val="center"/>
              <w:rPr>
                <w:rFonts w:ascii="Times New Roman" w:hAnsi="Times New Roman"/>
                <w:color w:val="auto"/>
                <w:sz w:val="21"/>
                <w:szCs w:val="21"/>
                <w:highlight w:val="none"/>
                <w:lang w:val="zh-CN" w:bidi="zh-CN"/>
              </w:rPr>
            </w:pPr>
          </w:p>
        </w:tc>
        <w:tc>
          <w:tcPr>
            <w:tcW w:w="704" w:type="dxa"/>
            <w:tcBorders>
              <w:tl2br w:val="nil"/>
              <w:tr2bl w:val="nil"/>
            </w:tcBorders>
            <w:vAlign w:val="center"/>
          </w:tcPr>
          <w:p w14:paraId="1FF21855">
            <w:pPr>
              <w:pStyle w:val="97"/>
              <w:numPr>
                <w:ilvl w:val="0"/>
                <w:numId w:val="13"/>
              </w:numPr>
              <w:ind w:left="-105" w:right="-105" w:firstLineChars="0"/>
              <w:jc w:val="center"/>
              <w:rPr>
                <w:rFonts w:eastAsia="宋体"/>
                <w:color w:val="auto"/>
                <w:kern w:val="0"/>
                <w:sz w:val="21"/>
                <w:szCs w:val="21"/>
                <w:highlight w:val="none"/>
                <w:lang w:val="zh-CN" w:bidi="zh-CN"/>
              </w:rPr>
            </w:pPr>
          </w:p>
        </w:tc>
        <w:tc>
          <w:tcPr>
            <w:tcW w:w="2131" w:type="dxa"/>
            <w:gridSpan w:val="3"/>
            <w:tcBorders>
              <w:tl2br w:val="nil"/>
              <w:tr2bl w:val="nil"/>
            </w:tcBorders>
            <w:shd w:val="clear" w:color="auto" w:fill="auto"/>
            <w:vAlign w:val="center"/>
          </w:tcPr>
          <w:p w14:paraId="07CBF48A">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长浜河</w:t>
            </w:r>
          </w:p>
        </w:tc>
        <w:tc>
          <w:tcPr>
            <w:tcW w:w="1100" w:type="dxa"/>
            <w:gridSpan w:val="3"/>
            <w:tcBorders>
              <w:tl2br w:val="nil"/>
              <w:tr2bl w:val="nil"/>
            </w:tcBorders>
            <w:shd w:val="clear" w:color="auto" w:fill="auto"/>
            <w:vAlign w:val="center"/>
          </w:tcPr>
          <w:p w14:paraId="04485F77">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NE</w:t>
            </w:r>
          </w:p>
        </w:tc>
        <w:tc>
          <w:tcPr>
            <w:tcW w:w="1278" w:type="dxa"/>
            <w:gridSpan w:val="3"/>
            <w:tcBorders>
              <w:tl2br w:val="nil"/>
              <w:tr2bl w:val="nil"/>
            </w:tcBorders>
            <w:shd w:val="clear" w:color="auto" w:fill="auto"/>
            <w:vAlign w:val="center"/>
          </w:tcPr>
          <w:p w14:paraId="58EECDE7">
            <w:pPr>
              <w:ind w:left="-105" w:right="-105"/>
              <w:jc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4507</w:t>
            </w:r>
          </w:p>
        </w:tc>
        <w:tc>
          <w:tcPr>
            <w:tcW w:w="1238" w:type="dxa"/>
            <w:gridSpan w:val="3"/>
            <w:tcBorders>
              <w:tl2br w:val="nil"/>
              <w:tr2bl w:val="nil"/>
            </w:tcBorders>
            <w:shd w:val="clear" w:color="auto" w:fill="auto"/>
            <w:vAlign w:val="center"/>
          </w:tcPr>
          <w:p w14:paraId="0A718E2E">
            <w:pPr>
              <w:ind w:left="-105" w:right="-105"/>
              <w:jc w:val="center"/>
              <w:rPr>
                <w:rFonts w:ascii="Times New Roman" w:hAnsi="Times New Roman"/>
                <w:color w:val="auto"/>
                <w:sz w:val="21"/>
                <w:szCs w:val="21"/>
                <w:highlight w:val="none"/>
              </w:rPr>
            </w:pPr>
            <w:r>
              <w:rPr>
                <w:rFonts w:ascii="Times New Roman" w:hAnsi="Times New Roman"/>
                <w:color w:val="auto"/>
                <w:sz w:val="21"/>
                <w:szCs w:val="21"/>
                <w:highlight w:val="none"/>
              </w:rPr>
              <w:t>居住区</w:t>
            </w:r>
          </w:p>
        </w:tc>
        <w:tc>
          <w:tcPr>
            <w:tcW w:w="1748" w:type="dxa"/>
            <w:tcBorders>
              <w:tl2br w:val="nil"/>
              <w:tr2bl w:val="nil"/>
            </w:tcBorders>
            <w:shd w:val="clear" w:color="auto" w:fill="auto"/>
            <w:vAlign w:val="center"/>
          </w:tcPr>
          <w:p w14:paraId="29E54B67">
            <w:pPr>
              <w:ind w:left="-105" w:right="-105"/>
              <w:jc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20</w:t>
            </w:r>
            <w:r>
              <w:rPr>
                <w:rFonts w:ascii="Times New Roman" w:hAnsi="Times New Roman"/>
                <w:color w:val="auto"/>
                <w:sz w:val="21"/>
                <w:szCs w:val="21"/>
                <w:highlight w:val="none"/>
              </w:rPr>
              <w:t>户/</w:t>
            </w:r>
            <w:r>
              <w:rPr>
                <w:rFonts w:hint="eastAsia" w:ascii="Times New Roman" w:hAnsi="Times New Roman"/>
                <w:color w:val="auto"/>
                <w:sz w:val="21"/>
                <w:szCs w:val="21"/>
                <w:highlight w:val="none"/>
              </w:rPr>
              <w:t>70</w:t>
            </w:r>
            <w:r>
              <w:rPr>
                <w:rFonts w:ascii="Times New Roman" w:hAnsi="Times New Roman"/>
                <w:color w:val="auto"/>
                <w:sz w:val="21"/>
                <w:szCs w:val="21"/>
                <w:highlight w:val="none"/>
              </w:rPr>
              <w:t>人</w:t>
            </w:r>
          </w:p>
        </w:tc>
      </w:tr>
      <w:tr w14:paraId="0A3A91DA">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851" w:type="dxa"/>
            <w:vMerge w:val="continue"/>
            <w:tcBorders>
              <w:tl2br w:val="nil"/>
              <w:tr2bl w:val="nil"/>
            </w:tcBorders>
            <w:vAlign w:val="center"/>
          </w:tcPr>
          <w:p w14:paraId="15B859AB">
            <w:pPr>
              <w:ind w:left="-105" w:right="-105"/>
              <w:jc w:val="center"/>
              <w:rPr>
                <w:rFonts w:ascii="Times New Roman" w:hAnsi="Times New Roman"/>
                <w:color w:val="auto"/>
                <w:sz w:val="21"/>
                <w:szCs w:val="21"/>
                <w:highlight w:val="none"/>
                <w:lang w:val="zh-CN" w:bidi="zh-CN"/>
              </w:rPr>
            </w:pPr>
          </w:p>
        </w:tc>
        <w:tc>
          <w:tcPr>
            <w:tcW w:w="704" w:type="dxa"/>
            <w:tcBorders>
              <w:tl2br w:val="nil"/>
              <w:tr2bl w:val="nil"/>
            </w:tcBorders>
            <w:vAlign w:val="center"/>
          </w:tcPr>
          <w:p w14:paraId="39C78D5B">
            <w:pPr>
              <w:pStyle w:val="97"/>
              <w:numPr>
                <w:ilvl w:val="0"/>
                <w:numId w:val="13"/>
              </w:numPr>
              <w:ind w:left="-105" w:right="-105" w:firstLineChars="0"/>
              <w:jc w:val="center"/>
              <w:rPr>
                <w:rFonts w:eastAsia="宋体"/>
                <w:color w:val="auto"/>
                <w:kern w:val="0"/>
                <w:sz w:val="21"/>
                <w:szCs w:val="21"/>
                <w:highlight w:val="none"/>
                <w:lang w:val="zh-CN" w:bidi="zh-CN"/>
              </w:rPr>
            </w:pPr>
          </w:p>
        </w:tc>
        <w:tc>
          <w:tcPr>
            <w:tcW w:w="2131" w:type="dxa"/>
            <w:gridSpan w:val="3"/>
            <w:tcBorders>
              <w:tl2br w:val="nil"/>
              <w:tr2bl w:val="nil"/>
            </w:tcBorders>
            <w:shd w:val="clear" w:color="auto" w:fill="auto"/>
            <w:vAlign w:val="center"/>
          </w:tcPr>
          <w:p w14:paraId="5920CBE4">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华陈巷</w:t>
            </w:r>
          </w:p>
        </w:tc>
        <w:tc>
          <w:tcPr>
            <w:tcW w:w="1100" w:type="dxa"/>
            <w:gridSpan w:val="3"/>
            <w:tcBorders>
              <w:tl2br w:val="nil"/>
              <w:tr2bl w:val="nil"/>
            </w:tcBorders>
            <w:shd w:val="clear" w:color="auto" w:fill="auto"/>
            <w:vAlign w:val="center"/>
          </w:tcPr>
          <w:p w14:paraId="01EB3F5F">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NE</w:t>
            </w:r>
          </w:p>
        </w:tc>
        <w:tc>
          <w:tcPr>
            <w:tcW w:w="1278" w:type="dxa"/>
            <w:gridSpan w:val="3"/>
            <w:tcBorders>
              <w:tl2br w:val="nil"/>
              <w:tr2bl w:val="nil"/>
            </w:tcBorders>
            <w:shd w:val="clear" w:color="auto" w:fill="auto"/>
            <w:vAlign w:val="center"/>
          </w:tcPr>
          <w:p w14:paraId="144D0E18">
            <w:pPr>
              <w:ind w:left="-105" w:right="-105"/>
              <w:jc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4523</w:t>
            </w:r>
          </w:p>
        </w:tc>
        <w:tc>
          <w:tcPr>
            <w:tcW w:w="1238" w:type="dxa"/>
            <w:gridSpan w:val="3"/>
            <w:tcBorders>
              <w:tl2br w:val="nil"/>
              <w:tr2bl w:val="nil"/>
            </w:tcBorders>
            <w:shd w:val="clear" w:color="auto" w:fill="auto"/>
            <w:vAlign w:val="center"/>
          </w:tcPr>
          <w:p w14:paraId="2B2659E2">
            <w:pPr>
              <w:ind w:left="-105" w:right="-105"/>
              <w:jc w:val="center"/>
              <w:rPr>
                <w:rFonts w:ascii="Times New Roman" w:hAnsi="Times New Roman"/>
                <w:color w:val="auto"/>
                <w:sz w:val="21"/>
                <w:szCs w:val="21"/>
                <w:highlight w:val="none"/>
              </w:rPr>
            </w:pPr>
            <w:r>
              <w:rPr>
                <w:rFonts w:ascii="Times New Roman" w:hAnsi="Times New Roman"/>
                <w:color w:val="auto"/>
                <w:sz w:val="21"/>
                <w:szCs w:val="21"/>
                <w:highlight w:val="none"/>
              </w:rPr>
              <w:t>居住区</w:t>
            </w:r>
          </w:p>
        </w:tc>
        <w:tc>
          <w:tcPr>
            <w:tcW w:w="1748" w:type="dxa"/>
            <w:tcBorders>
              <w:tl2br w:val="nil"/>
              <w:tr2bl w:val="nil"/>
            </w:tcBorders>
            <w:shd w:val="clear" w:color="auto" w:fill="auto"/>
            <w:vAlign w:val="center"/>
          </w:tcPr>
          <w:p w14:paraId="6E740CC8">
            <w:pPr>
              <w:ind w:left="-105" w:right="-105"/>
              <w:jc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20</w:t>
            </w:r>
            <w:r>
              <w:rPr>
                <w:rFonts w:ascii="Times New Roman" w:hAnsi="Times New Roman"/>
                <w:color w:val="auto"/>
                <w:sz w:val="21"/>
                <w:szCs w:val="21"/>
                <w:highlight w:val="none"/>
              </w:rPr>
              <w:t>户/</w:t>
            </w:r>
            <w:r>
              <w:rPr>
                <w:rFonts w:hint="eastAsia" w:ascii="Times New Roman" w:hAnsi="Times New Roman"/>
                <w:color w:val="auto"/>
                <w:sz w:val="21"/>
                <w:szCs w:val="21"/>
                <w:highlight w:val="none"/>
              </w:rPr>
              <w:t>70</w:t>
            </w:r>
            <w:r>
              <w:rPr>
                <w:rFonts w:ascii="Times New Roman" w:hAnsi="Times New Roman"/>
                <w:color w:val="auto"/>
                <w:sz w:val="21"/>
                <w:szCs w:val="21"/>
                <w:highlight w:val="none"/>
              </w:rPr>
              <w:t>人</w:t>
            </w:r>
          </w:p>
        </w:tc>
      </w:tr>
      <w:tr w14:paraId="08B8814A">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851" w:type="dxa"/>
            <w:vMerge w:val="continue"/>
            <w:tcBorders>
              <w:tl2br w:val="nil"/>
              <w:tr2bl w:val="nil"/>
            </w:tcBorders>
            <w:vAlign w:val="center"/>
          </w:tcPr>
          <w:p w14:paraId="0ED71938">
            <w:pPr>
              <w:ind w:left="-105" w:right="-105"/>
              <w:jc w:val="center"/>
              <w:rPr>
                <w:rFonts w:ascii="Times New Roman" w:hAnsi="Times New Roman"/>
                <w:color w:val="auto"/>
                <w:sz w:val="21"/>
                <w:szCs w:val="21"/>
                <w:highlight w:val="none"/>
                <w:lang w:val="zh-CN" w:bidi="zh-CN"/>
              </w:rPr>
            </w:pPr>
          </w:p>
        </w:tc>
        <w:tc>
          <w:tcPr>
            <w:tcW w:w="704" w:type="dxa"/>
            <w:tcBorders>
              <w:tl2br w:val="nil"/>
              <w:tr2bl w:val="nil"/>
            </w:tcBorders>
            <w:vAlign w:val="center"/>
          </w:tcPr>
          <w:p w14:paraId="3142DB56">
            <w:pPr>
              <w:pStyle w:val="97"/>
              <w:numPr>
                <w:ilvl w:val="0"/>
                <w:numId w:val="13"/>
              </w:numPr>
              <w:ind w:left="-105" w:right="-105" w:firstLineChars="0"/>
              <w:jc w:val="center"/>
              <w:rPr>
                <w:rFonts w:eastAsia="宋体"/>
                <w:color w:val="auto"/>
                <w:kern w:val="0"/>
                <w:sz w:val="21"/>
                <w:szCs w:val="21"/>
                <w:highlight w:val="none"/>
                <w:lang w:val="zh-CN" w:bidi="zh-CN"/>
              </w:rPr>
            </w:pPr>
          </w:p>
        </w:tc>
        <w:tc>
          <w:tcPr>
            <w:tcW w:w="2131" w:type="dxa"/>
            <w:gridSpan w:val="3"/>
            <w:tcBorders>
              <w:tl2br w:val="nil"/>
              <w:tr2bl w:val="nil"/>
            </w:tcBorders>
            <w:shd w:val="clear" w:color="auto" w:fill="auto"/>
            <w:vAlign w:val="center"/>
          </w:tcPr>
          <w:p w14:paraId="17B74A6B">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张巷上</w:t>
            </w:r>
          </w:p>
        </w:tc>
        <w:tc>
          <w:tcPr>
            <w:tcW w:w="1100" w:type="dxa"/>
            <w:gridSpan w:val="3"/>
            <w:tcBorders>
              <w:tl2br w:val="nil"/>
              <w:tr2bl w:val="nil"/>
            </w:tcBorders>
            <w:shd w:val="clear" w:color="auto" w:fill="auto"/>
            <w:vAlign w:val="center"/>
          </w:tcPr>
          <w:p w14:paraId="450EBFE7">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NE</w:t>
            </w:r>
          </w:p>
        </w:tc>
        <w:tc>
          <w:tcPr>
            <w:tcW w:w="1278" w:type="dxa"/>
            <w:gridSpan w:val="3"/>
            <w:tcBorders>
              <w:tl2br w:val="nil"/>
              <w:tr2bl w:val="nil"/>
            </w:tcBorders>
            <w:shd w:val="clear" w:color="auto" w:fill="auto"/>
            <w:vAlign w:val="center"/>
          </w:tcPr>
          <w:p w14:paraId="3C6CBA27">
            <w:pPr>
              <w:ind w:left="-105" w:right="-105"/>
              <w:jc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4568</w:t>
            </w:r>
          </w:p>
        </w:tc>
        <w:tc>
          <w:tcPr>
            <w:tcW w:w="1238" w:type="dxa"/>
            <w:gridSpan w:val="3"/>
            <w:tcBorders>
              <w:tl2br w:val="nil"/>
              <w:tr2bl w:val="nil"/>
            </w:tcBorders>
            <w:shd w:val="clear" w:color="auto" w:fill="auto"/>
            <w:vAlign w:val="center"/>
          </w:tcPr>
          <w:p w14:paraId="772B18B1">
            <w:pPr>
              <w:ind w:left="-105" w:right="-105"/>
              <w:jc w:val="center"/>
              <w:rPr>
                <w:rFonts w:ascii="Times New Roman" w:hAnsi="Times New Roman"/>
                <w:color w:val="auto"/>
                <w:sz w:val="21"/>
                <w:szCs w:val="21"/>
                <w:highlight w:val="none"/>
              </w:rPr>
            </w:pPr>
            <w:r>
              <w:rPr>
                <w:rFonts w:ascii="Times New Roman" w:hAnsi="Times New Roman"/>
                <w:color w:val="auto"/>
                <w:sz w:val="21"/>
                <w:szCs w:val="21"/>
                <w:highlight w:val="none"/>
              </w:rPr>
              <w:t>居住区</w:t>
            </w:r>
          </w:p>
        </w:tc>
        <w:tc>
          <w:tcPr>
            <w:tcW w:w="1748" w:type="dxa"/>
            <w:tcBorders>
              <w:tl2br w:val="nil"/>
              <w:tr2bl w:val="nil"/>
            </w:tcBorders>
            <w:shd w:val="clear" w:color="auto" w:fill="auto"/>
            <w:vAlign w:val="center"/>
          </w:tcPr>
          <w:p w14:paraId="4A5345CF">
            <w:pPr>
              <w:ind w:left="-105" w:right="-105"/>
              <w:jc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30</w:t>
            </w:r>
            <w:r>
              <w:rPr>
                <w:rFonts w:ascii="Times New Roman" w:hAnsi="Times New Roman"/>
                <w:color w:val="auto"/>
                <w:sz w:val="21"/>
                <w:szCs w:val="21"/>
                <w:highlight w:val="none"/>
              </w:rPr>
              <w:t>户/</w:t>
            </w:r>
            <w:r>
              <w:rPr>
                <w:rFonts w:hint="eastAsia" w:ascii="Times New Roman" w:hAnsi="Times New Roman"/>
                <w:color w:val="auto"/>
                <w:sz w:val="21"/>
                <w:szCs w:val="21"/>
                <w:highlight w:val="none"/>
              </w:rPr>
              <w:t>105</w:t>
            </w:r>
            <w:r>
              <w:rPr>
                <w:rFonts w:ascii="Times New Roman" w:hAnsi="Times New Roman"/>
                <w:color w:val="auto"/>
                <w:sz w:val="21"/>
                <w:szCs w:val="21"/>
                <w:highlight w:val="none"/>
              </w:rPr>
              <w:t>人</w:t>
            </w:r>
          </w:p>
        </w:tc>
      </w:tr>
      <w:tr w14:paraId="1B51D06B">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851" w:type="dxa"/>
            <w:vMerge w:val="continue"/>
            <w:tcBorders>
              <w:tl2br w:val="nil"/>
              <w:tr2bl w:val="nil"/>
            </w:tcBorders>
            <w:vAlign w:val="center"/>
          </w:tcPr>
          <w:p w14:paraId="7BFC7BD6">
            <w:pPr>
              <w:ind w:left="-105" w:right="-105"/>
              <w:jc w:val="center"/>
              <w:rPr>
                <w:rFonts w:ascii="Times New Roman" w:hAnsi="Times New Roman"/>
                <w:color w:val="auto"/>
                <w:sz w:val="21"/>
                <w:szCs w:val="21"/>
                <w:highlight w:val="none"/>
                <w:lang w:val="zh-CN" w:bidi="zh-CN"/>
              </w:rPr>
            </w:pPr>
          </w:p>
        </w:tc>
        <w:tc>
          <w:tcPr>
            <w:tcW w:w="704" w:type="dxa"/>
            <w:tcBorders>
              <w:tl2br w:val="nil"/>
              <w:tr2bl w:val="nil"/>
            </w:tcBorders>
            <w:vAlign w:val="center"/>
          </w:tcPr>
          <w:p w14:paraId="535CE27C">
            <w:pPr>
              <w:pStyle w:val="97"/>
              <w:numPr>
                <w:ilvl w:val="0"/>
                <w:numId w:val="13"/>
              </w:numPr>
              <w:ind w:left="-105" w:right="-105" w:firstLineChars="0"/>
              <w:jc w:val="center"/>
              <w:rPr>
                <w:rFonts w:eastAsia="宋体"/>
                <w:color w:val="auto"/>
                <w:kern w:val="0"/>
                <w:sz w:val="21"/>
                <w:szCs w:val="21"/>
                <w:highlight w:val="none"/>
                <w:lang w:val="zh-CN" w:bidi="zh-CN"/>
              </w:rPr>
            </w:pPr>
          </w:p>
        </w:tc>
        <w:tc>
          <w:tcPr>
            <w:tcW w:w="2131" w:type="dxa"/>
            <w:gridSpan w:val="3"/>
            <w:tcBorders>
              <w:tl2br w:val="nil"/>
              <w:tr2bl w:val="nil"/>
            </w:tcBorders>
            <w:shd w:val="clear" w:color="auto" w:fill="auto"/>
            <w:vAlign w:val="center"/>
          </w:tcPr>
          <w:p w14:paraId="68426E3D">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黄巷上</w:t>
            </w:r>
          </w:p>
        </w:tc>
        <w:tc>
          <w:tcPr>
            <w:tcW w:w="1100" w:type="dxa"/>
            <w:gridSpan w:val="3"/>
            <w:tcBorders>
              <w:tl2br w:val="nil"/>
              <w:tr2bl w:val="nil"/>
            </w:tcBorders>
            <w:shd w:val="clear" w:color="auto" w:fill="auto"/>
            <w:vAlign w:val="center"/>
          </w:tcPr>
          <w:p w14:paraId="5B42BEB7">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SE</w:t>
            </w:r>
          </w:p>
        </w:tc>
        <w:tc>
          <w:tcPr>
            <w:tcW w:w="1278" w:type="dxa"/>
            <w:gridSpan w:val="3"/>
            <w:tcBorders>
              <w:tl2br w:val="nil"/>
              <w:tr2bl w:val="nil"/>
            </w:tcBorders>
            <w:shd w:val="clear" w:color="auto" w:fill="auto"/>
            <w:vAlign w:val="center"/>
          </w:tcPr>
          <w:p w14:paraId="458D14CD">
            <w:pPr>
              <w:ind w:left="-105" w:right="-105"/>
              <w:jc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1964</w:t>
            </w:r>
          </w:p>
        </w:tc>
        <w:tc>
          <w:tcPr>
            <w:tcW w:w="1238" w:type="dxa"/>
            <w:gridSpan w:val="3"/>
            <w:tcBorders>
              <w:tl2br w:val="nil"/>
              <w:tr2bl w:val="nil"/>
            </w:tcBorders>
            <w:shd w:val="clear" w:color="auto" w:fill="auto"/>
            <w:vAlign w:val="center"/>
          </w:tcPr>
          <w:p w14:paraId="0499346D">
            <w:pPr>
              <w:ind w:left="-105" w:right="-105"/>
              <w:jc w:val="center"/>
              <w:rPr>
                <w:rFonts w:ascii="Times New Roman" w:hAnsi="Times New Roman"/>
                <w:color w:val="auto"/>
                <w:sz w:val="21"/>
                <w:szCs w:val="21"/>
                <w:highlight w:val="none"/>
              </w:rPr>
            </w:pPr>
            <w:r>
              <w:rPr>
                <w:rFonts w:ascii="Times New Roman" w:hAnsi="Times New Roman"/>
                <w:color w:val="auto"/>
                <w:sz w:val="21"/>
                <w:szCs w:val="21"/>
                <w:highlight w:val="none"/>
              </w:rPr>
              <w:t>居住区</w:t>
            </w:r>
          </w:p>
        </w:tc>
        <w:tc>
          <w:tcPr>
            <w:tcW w:w="1748" w:type="dxa"/>
            <w:tcBorders>
              <w:tl2br w:val="nil"/>
              <w:tr2bl w:val="nil"/>
            </w:tcBorders>
            <w:shd w:val="clear" w:color="auto" w:fill="auto"/>
            <w:vAlign w:val="center"/>
          </w:tcPr>
          <w:p w14:paraId="1DA64990">
            <w:pPr>
              <w:ind w:left="-105" w:right="-105"/>
              <w:jc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10</w:t>
            </w:r>
            <w:r>
              <w:rPr>
                <w:rFonts w:ascii="Times New Roman" w:hAnsi="Times New Roman"/>
                <w:color w:val="auto"/>
                <w:sz w:val="21"/>
                <w:szCs w:val="21"/>
                <w:highlight w:val="none"/>
              </w:rPr>
              <w:t>户/</w:t>
            </w:r>
            <w:r>
              <w:rPr>
                <w:rFonts w:hint="eastAsia" w:ascii="Times New Roman" w:hAnsi="Times New Roman"/>
                <w:color w:val="auto"/>
                <w:sz w:val="21"/>
                <w:szCs w:val="21"/>
                <w:highlight w:val="none"/>
              </w:rPr>
              <w:t>35</w:t>
            </w:r>
            <w:r>
              <w:rPr>
                <w:rFonts w:ascii="Times New Roman" w:hAnsi="Times New Roman"/>
                <w:color w:val="auto"/>
                <w:sz w:val="21"/>
                <w:szCs w:val="21"/>
                <w:highlight w:val="none"/>
              </w:rPr>
              <w:t>人</w:t>
            </w:r>
          </w:p>
        </w:tc>
      </w:tr>
      <w:tr w14:paraId="6EDEA7E8">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851" w:type="dxa"/>
            <w:vMerge w:val="continue"/>
            <w:tcBorders>
              <w:tl2br w:val="nil"/>
              <w:tr2bl w:val="nil"/>
            </w:tcBorders>
            <w:vAlign w:val="center"/>
          </w:tcPr>
          <w:p w14:paraId="2CE4102C">
            <w:pPr>
              <w:ind w:left="-105" w:right="-105"/>
              <w:jc w:val="center"/>
              <w:rPr>
                <w:rFonts w:ascii="Times New Roman" w:hAnsi="Times New Roman"/>
                <w:color w:val="auto"/>
                <w:sz w:val="21"/>
                <w:szCs w:val="21"/>
                <w:highlight w:val="none"/>
                <w:lang w:val="zh-CN" w:bidi="zh-CN"/>
              </w:rPr>
            </w:pPr>
          </w:p>
        </w:tc>
        <w:tc>
          <w:tcPr>
            <w:tcW w:w="704" w:type="dxa"/>
            <w:tcBorders>
              <w:tl2br w:val="nil"/>
              <w:tr2bl w:val="nil"/>
            </w:tcBorders>
            <w:vAlign w:val="center"/>
          </w:tcPr>
          <w:p w14:paraId="14B58716">
            <w:pPr>
              <w:pStyle w:val="97"/>
              <w:numPr>
                <w:ilvl w:val="0"/>
                <w:numId w:val="13"/>
              </w:numPr>
              <w:ind w:left="-105" w:right="-105" w:firstLineChars="0"/>
              <w:jc w:val="center"/>
              <w:rPr>
                <w:rFonts w:eastAsia="宋体"/>
                <w:color w:val="auto"/>
                <w:kern w:val="0"/>
                <w:sz w:val="21"/>
                <w:szCs w:val="21"/>
                <w:highlight w:val="none"/>
                <w:lang w:val="zh-CN" w:bidi="zh-CN"/>
              </w:rPr>
            </w:pPr>
          </w:p>
        </w:tc>
        <w:tc>
          <w:tcPr>
            <w:tcW w:w="2131" w:type="dxa"/>
            <w:gridSpan w:val="3"/>
            <w:tcBorders>
              <w:tl2br w:val="nil"/>
              <w:tr2bl w:val="nil"/>
            </w:tcBorders>
            <w:shd w:val="clear" w:color="auto" w:fill="auto"/>
            <w:vAlign w:val="center"/>
          </w:tcPr>
          <w:p w14:paraId="4C5BE28F">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响墩上</w:t>
            </w:r>
          </w:p>
        </w:tc>
        <w:tc>
          <w:tcPr>
            <w:tcW w:w="1100" w:type="dxa"/>
            <w:gridSpan w:val="3"/>
            <w:tcBorders>
              <w:tl2br w:val="nil"/>
              <w:tr2bl w:val="nil"/>
            </w:tcBorders>
            <w:shd w:val="clear" w:color="auto" w:fill="auto"/>
            <w:vAlign w:val="center"/>
          </w:tcPr>
          <w:p w14:paraId="365EF0A5">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SE</w:t>
            </w:r>
          </w:p>
        </w:tc>
        <w:tc>
          <w:tcPr>
            <w:tcW w:w="1278" w:type="dxa"/>
            <w:gridSpan w:val="3"/>
            <w:tcBorders>
              <w:tl2br w:val="nil"/>
              <w:tr2bl w:val="nil"/>
            </w:tcBorders>
            <w:shd w:val="clear" w:color="auto" w:fill="auto"/>
            <w:vAlign w:val="center"/>
          </w:tcPr>
          <w:p w14:paraId="26B3F11D">
            <w:pPr>
              <w:ind w:left="-105" w:right="-105"/>
              <w:jc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2340</w:t>
            </w:r>
          </w:p>
        </w:tc>
        <w:tc>
          <w:tcPr>
            <w:tcW w:w="1238" w:type="dxa"/>
            <w:gridSpan w:val="3"/>
            <w:tcBorders>
              <w:tl2br w:val="nil"/>
              <w:tr2bl w:val="nil"/>
            </w:tcBorders>
            <w:shd w:val="clear" w:color="auto" w:fill="auto"/>
            <w:vAlign w:val="center"/>
          </w:tcPr>
          <w:p w14:paraId="51C34362">
            <w:pPr>
              <w:ind w:left="-105" w:right="-105"/>
              <w:jc w:val="center"/>
              <w:rPr>
                <w:rFonts w:ascii="Times New Roman" w:hAnsi="Times New Roman"/>
                <w:color w:val="auto"/>
                <w:sz w:val="21"/>
                <w:szCs w:val="21"/>
                <w:highlight w:val="none"/>
              </w:rPr>
            </w:pPr>
            <w:r>
              <w:rPr>
                <w:rFonts w:ascii="Times New Roman" w:hAnsi="Times New Roman"/>
                <w:color w:val="auto"/>
                <w:sz w:val="21"/>
                <w:szCs w:val="21"/>
                <w:highlight w:val="none"/>
              </w:rPr>
              <w:t>居住区</w:t>
            </w:r>
          </w:p>
        </w:tc>
        <w:tc>
          <w:tcPr>
            <w:tcW w:w="1748" w:type="dxa"/>
            <w:tcBorders>
              <w:tl2br w:val="nil"/>
              <w:tr2bl w:val="nil"/>
            </w:tcBorders>
            <w:shd w:val="clear" w:color="auto" w:fill="auto"/>
            <w:vAlign w:val="center"/>
          </w:tcPr>
          <w:p w14:paraId="0077410C">
            <w:pPr>
              <w:ind w:left="-105" w:right="-105"/>
              <w:jc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10</w:t>
            </w:r>
            <w:r>
              <w:rPr>
                <w:rFonts w:ascii="Times New Roman" w:hAnsi="Times New Roman"/>
                <w:color w:val="auto"/>
                <w:sz w:val="21"/>
                <w:szCs w:val="21"/>
                <w:highlight w:val="none"/>
              </w:rPr>
              <w:t>户/</w:t>
            </w:r>
            <w:r>
              <w:rPr>
                <w:rFonts w:hint="eastAsia" w:ascii="Times New Roman" w:hAnsi="Times New Roman"/>
                <w:color w:val="auto"/>
                <w:sz w:val="21"/>
                <w:szCs w:val="21"/>
                <w:highlight w:val="none"/>
              </w:rPr>
              <w:t>35</w:t>
            </w:r>
            <w:r>
              <w:rPr>
                <w:rFonts w:ascii="Times New Roman" w:hAnsi="Times New Roman"/>
                <w:color w:val="auto"/>
                <w:sz w:val="21"/>
                <w:szCs w:val="21"/>
                <w:highlight w:val="none"/>
              </w:rPr>
              <w:t>人</w:t>
            </w:r>
          </w:p>
        </w:tc>
      </w:tr>
      <w:tr w14:paraId="483516E7">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851" w:type="dxa"/>
            <w:vMerge w:val="continue"/>
            <w:tcBorders>
              <w:tl2br w:val="nil"/>
              <w:tr2bl w:val="nil"/>
            </w:tcBorders>
            <w:vAlign w:val="center"/>
          </w:tcPr>
          <w:p w14:paraId="1F42E26D">
            <w:pPr>
              <w:ind w:left="-105" w:right="-105"/>
              <w:jc w:val="center"/>
              <w:rPr>
                <w:rFonts w:ascii="Times New Roman" w:hAnsi="Times New Roman"/>
                <w:color w:val="auto"/>
                <w:sz w:val="21"/>
                <w:szCs w:val="21"/>
                <w:highlight w:val="none"/>
                <w:lang w:val="zh-CN" w:bidi="zh-CN"/>
              </w:rPr>
            </w:pPr>
          </w:p>
        </w:tc>
        <w:tc>
          <w:tcPr>
            <w:tcW w:w="704" w:type="dxa"/>
            <w:tcBorders>
              <w:tl2br w:val="nil"/>
              <w:tr2bl w:val="nil"/>
            </w:tcBorders>
            <w:vAlign w:val="center"/>
          </w:tcPr>
          <w:p w14:paraId="11951EFA">
            <w:pPr>
              <w:pStyle w:val="97"/>
              <w:numPr>
                <w:ilvl w:val="0"/>
                <w:numId w:val="13"/>
              </w:numPr>
              <w:ind w:left="-105" w:right="-105" w:firstLineChars="0"/>
              <w:jc w:val="center"/>
              <w:rPr>
                <w:rFonts w:eastAsia="宋体"/>
                <w:color w:val="auto"/>
                <w:kern w:val="0"/>
                <w:sz w:val="21"/>
                <w:szCs w:val="21"/>
                <w:highlight w:val="none"/>
                <w:lang w:val="zh-CN" w:bidi="zh-CN"/>
              </w:rPr>
            </w:pPr>
          </w:p>
        </w:tc>
        <w:tc>
          <w:tcPr>
            <w:tcW w:w="2131" w:type="dxa"/>
            <w:gridSpan w:val="3"/>
            <w:tcBorders>
              <w:tl2br w:val="nil"/>
              <w:tr2bl w:val="nil"/>
            </w:tcBorders>
            <w:shd w:val="clear" w:color="auto" w:fill="auto"/>
            <w:vAlign w:val="center"/>
          </w:tcPr>
          <w:p w14:paraId="5FB31B3E">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南光明村</w:t>
            </w:r>
          </w:p>
        </w:tc>
        <w:tc>
          <w:tcPr>
            <w:tcW w:w="1100" w:type="dxa"/>
            <w:gridSpan w:val="3"/>
            <w:tcBorders>
              <w:tl2br w:val="nil"/>
              <w:tr2bl w:val="nil"/>
            </w:tcBorders>
            <w:shd w:val="clear" w:color="auto" w:fill="auto"/>
            <w:vAlign w:val="center"/>
          </w:tcPr>
          <w:p w14:paraId="28F410A1">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SE</w:t>
            </w:r>
          </w:p>
        </w:tc>
        <w:tc>
          <w:tcPr>
            <w:tcW w:w="1278" w:type="dxa"/>
            <w:gridSpan w:val="3"/>
            <w:tcBorders>
              <w:tl2br w:val="nil"/>
              <w:tr2bl w:val="nil"/>
            </w:tcBorders>
            <w:shd w:val="clear" w:color="auto" w:fill="auto"/>
            <w:vAlign w:val="center"/>
          </w:tcPr>
          <w:p w14:paraId="30F27405">
            <w:pPr>
              <w:ind w:left="-105" w:right="-105"/>
              <w:jc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2459</w:t>
            </w:r>
          </w:p>
        </w:tc>
        <w:tc>
          <w:tcPr>
            <w:tcW w:w="1238" w:type="dxa"/>
            <w:gridSpan w:val="3"/>
            <w:tcBorders>
              <w:tl2br w:val="nil"/>
              <w:tr2bl w:val="nil"/>
            </w:tcBorders>
            <w:shd w:val="clear" w:color="auto" w:fill="auto"/>
            <w:vAlign w:val="center"/>
          </w:tcPr>
          <w:p w14:paraId="694987C8">
            <w:pPr>
              <w:ind w:left="-105" w:right="-105"/>
              <w:jc w:val="center"/>
              <w:rPr>
                <w:rFonts w:ascii="Times New Roman" w:hAnsi="Times New Roman"/>
                <w:color w:val="auto"/>
                <w:sz w:val="21"/>
                <w:szCs w:val="21"/>
                <w:highlight w:val="none"/>
              </w:rPr>
            </w:pPr>
            <w:r>
              <w:rPr>
                <w:rFonts w:ascii="Times New Roman" w:hAnsi="Times New Roman"/>
                <w:color w:val="auto"/>
                <w:sz w:val="21"/>
                <w:szCs w:val="21"/>
                <w:highlight w:val="none"/>
              </w:rPr>
              <w:t>居住区</w:t>
            </w:r>
          </w:p>
        </w:tc>
        <w:tc>
          <w:tcPr>
            <w:tcW w:w="1748" w:type="dxa"/>
            <w:tcBorders>
              <w:tl2br w:val="nil"/>
              <w:tr2bl w:val="nil"/>
            </w:tcBorders>
            <w:shd w:val="clear" w:color="auto" w:fill="auto"/>
            <w:vAlign w:val="center"/>
          </w:tcPr>
          <w:p w14:paraId="35139970">
            <w:pPr>
              <w:ind w:left="-105" w:right="-105"/>
              <w:jc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120</w:t>
            </w:r>
            <w:r>
              <w:rPr>
                <w:rFonts w:ascii="Times New Roman" w:hAnsi="Times New Roman"/>
                <w:color w:val="auto"/>
                <w:sz w:val="21"/>
                <w:szCs w:val="21"/>
                <w:highlight w:val="none"/>
              </w:rPr>
              <w:t>户/</w:t>
            </w:r>
            <w:r>
              <w:rPr>
                <w:rFonts w:hint="eastAsia" w:ascii="Times New Roman" w:hAnsi="Times New Roman"/>
                <w:color w:val="auto"/>
                <w:sz w:val="21"/>
                <w:szCs w:val="21"/>
                <w:highlight w:val="none"/>
              </w:rPr>
              <w:t>420</w:t>
            </w:r>
            <w:r>
              <w:rPr>
                <w:rFonts w:ascii="Times New Roman" w:hAnsi="Times New Roman"/>
                <w:color w:val="auto"/>
                <w:sz w:val="21"/>
                <w:szCs w:val="21"/>
                <w:highlight w:val="none"/>
              </w:rPr>
              <w:t>人</w:t>
            </w:r>
          </w:p>
        </w:tc>
      </w:tr>
      <w:tr w14:paraId="46B9ED55">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851" w:type="dxa"/>
            <w:vMerge w:val="continue"/>
            <w:tcBorders>
              <w:tl2br w:val="nil"/>
              <w:tr2bl w:val="nil"/>
            </w:tcBorders>
            <w:vAlign w:val="center"/>
          </w:tcPr>
          <w:p w14:paraId="105CA0B1">
            <w:pPr>
              <w:ind w:left="-105" w:right="-105"/>
              <w:jc w:val="center"/>
              <w:rPr>
                <w:rFonts w:ascii="Times New Roman" w:hAnsi="Times New Roman"/>
                <w:color w:val="auto"/>
                <w:sz w:val="21"/>
                <w:szCs w:val="21"/>
                <w:highlight w:val="none"/>
                <w:lang w:val="zh-CN" w:bidi="zh-CN"/>
              </w:rPr>
            </w:pPr>
          </w:p>
        </w:tc>
        <w:tc>
          <w:tcPr>
            <w:tcW w:w="704" w:type="dxa"/>
            <w:tcBorders>
              <w:tl2br w:val="nil"/>
              <w:tr2bl w:val="nil"/>
            </w:tcBorders>
            <w:vAlign w:val="center"/>
          </w:tcPr>
          <w:p w14:paraId="25B93243">
            <w:pPr>
              <w:pStyle w:val="97"/>
              <w:numPr>
                <w:ilvl w:val="0"/>
                <w:numId w:val="13"/>
              </w:numPr>
              <w:ind w:left="-105" w:right="-105" w:firstLineChars="0"/>
              <w:jc w:val="center"/>
              <w:rPr>
                <w:rFonts w:eastAsia="宋体"/>
                <w:color w:val="auto"/>
                <w:kern w:val="0"/>
                <w:sz w:val="21"/>
                <w:szCs w:val="21"/>
                <w:highlight w:val="none"/>
                <w:lang w:val="zh-CN" w:bidi="zh-CN"/>
              </w:rPr>
            </w:pPr>
          </w:p>
        </w:tc>
        <w:tc>
          <w:tcPr>
            <w:tcW w:w="2131" w:type="dxa"/>
            <w:gridSpan w:val="3"/>
            <w:tcBorders>
              <w:tl2br w:val="nil"/>
              <w:tr2bl w:val="nil"/>
            </w:tcBorders>
            <w:shd w:val="clear" w:color="auto" w:fill="auto"/>
            <w:vAlign w:val="center"/>
          </w:tcPr>
          <w:p w14:paraId="34540802">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朱村头</w:t>
            </w:r>
          </w:p>
        </w:tc>
        <w:tc>
          <w:tcPr>
            <w:tcW w:w="1100" w:type="dxa"/>
            <w:gridSpan w:val="3"/>
            <w:tcBorders>
              <w:tl2br w:val="nil"/>
              <w:tr2bl w:val="nil"/>
            </w:tcBorders>
            <w:shd w:val="clear" w:color="auto" w:fill="auto"/>
            <w:vAlign w:val="center"/>
          </w:tcPr>
          <w:p w14:paraId="6E0AFAD4">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SE</w:t>
            </w:r>
          </w:p>
        </w:tc>
        <w:tc>
          <w:tcPr>
            <w:tcW w:w="1278" w:type="dxa"/>
            <w:gridSpan w:val="3"/>
            <w:tcBorders>
              <w:tl2br w:val="nil"/>
              <w:tr2bl w:val="nil"/>
            </w:tcBorders>
            <w:shd w:val="clear" w:color="auto" w:fill="auto"/>
            <w:vAlign w:val="center"/>
          </w:tcPr>
          <w:p w14:paraId="77709081">
            <w:pPr>
              <w:ind w:left="-105" w:right="-105"/>
              <w:jc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3353</w:t>
            </w:r>
          </w:p>
        </w:tc>
        <w:tc>
          <w:tcPr>
            <w:tcW w:w="1238" w:type="dxa"/>
            <w:gridSpan w:val="3"/>
            <w:tcBorders>
              <w:tl2br w:val="nil"/>
              <w:tr2bl w:val="nil"/>
            </w:tcBorders>
            <w:shd w:val="clear" w:color="auto" w:fill="auto"/>
            <w:vAlign w:val="center"/>
          </w:tcPr>
          <w:p w14:paraId="5F1CEF55">
            <w:pPr>
              <w:ind w:left="-105" w:right="-105"/>
              <w:jc w:val="center"/>
              <w:rPr>
                <w:rFonts w:ascii="Times New Roman" w:hAnsi="Times New Roman"/>
                <w:color w:val="auto"/>
                <w:sz w:val="21"/>
                <w:szCs w:val="21"/>
                <w:highlight w:val="none"/>
              </w:rPr>
            </w:pPr>
            <w:r>
              <w:rPr>
                <w:rFonts w:ascii="Times New Roman" w:hAnsi="Times New Roman"/>
                <w:color w:val="auto"/>
                <w:sz w:val="21"/>
                <w:szCs w:val="21"/>
                <w:highlight w:val="none"/>
              </w:rPr>
              <w:t>居住区</w:t>
            </w:r>
          </w:p>
        </w:tc>
        <w:tc>
          <w:tcPr>
            <w:tcW w:w="1748" w:type="dxa"/>
            <w:tcBorders>
              <w:tl2br w:val="nil"/>
              <w:tr2bl w:val="nil"/>
            </w:tcBorders>
            <w:shd w:val="clear" w:color="auto" w:fill="auto"/>
            <w:vAlign w:val="center"/>
          </w:tcPr>
          <w:p w14:paraId="1A3B5D8E">
            <w:pPr>
              <w:ind w:left="-105" w:right="-105"/>
              <w:jc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50</w:t>
            </w:r>
            <w:r>
              <w:rPr>
                <w:rFonts w:ascii="Times New Roman" w:hAnsi="Times New Roman"/>
                <w:color w:val="auto"/>
                <w:sz w:val="21"/>
                <w:szCs w:val="21"/>
                <w:highlight w:val="none"/>
              </w:rPr>
              <w:t>户/</w:t>
            </w:r>
            <w:r>
              <w:rPr>
                <w:rFonts w:hint="eastAsia" w:ascii="Times New Roman" w:hAnsi="Times New Roman"/>
                <w:color w:val="auto"/>
                <w:sz w:val="21"/>
                <w:szCs w:val="21"/>
                <w:highlight w:val="none"/>
              </w:rPr>
              <w:t>175</w:t>
            </w:r>
            <w:r>
              <w:rPr>
                <w:rFonts w:ascii="Times New Roman" w:hAnsi="Times New Roman"/>
                <w:color w:val="auto"/>
                <w:sz w:val="21"/>
                <w:szCs w:val="21"/>
                <w:highlight w:val="none"/>
              </w:rPr>
              <w:t>人</w:t>
            </w:r>
          </w:p>
        </w:tc>
      </w:tr>
      <w:tr w14:paraId="1653E9C8">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851" w:type="dxa"/>
            <w:vMerge w:val="continue"/>
            <w:tcBorders>
              <w:tl2br w:val="nil"/>
              <w:tr2bl w:val="nil"/>
            </w:tcBorders>
            <w:vAlign w:val="center"/>
          </w:tcPr>
          <w:p w14:paraId="7771B6C5">
            <w:pPr>
              <w:ind w:left="-105" w:right="-105"/>
              <w:jc w:val="center"/>
              <w:rPr>
                <w:rFonts w:ascii="Times New Roman" w:hAnsi="Times New Roman"/>
                <w:color w:val="auto"/>
                <w:sz w:val="21"/>
                <w:szCs w:val="21"/>
                <w:highlight w:val="none"/>
                <w:lang w:val="zh-CN" w:bidi="zh-CN"/>
              </w:rPr>
            </w:pPr>
          </w:p>
        </w:tc>
        <w:tc>
          <w:tcPr>
            <w:tcW w:w="704" w:type="dxa"/>
            <w:tcBorders>
              <w:tl2br w:val="nil"/>
              <w:tr2bl w:val="nil"/>
            </w:tcBorders>
            <w:vAlign w:val="center"/>
          </w:tcPr>
          <w:p w14:paraId="41677219">
            <w:pPr>
              <w:pStyle w:val="97"/>
              <w:numPr>
                <w:ilvl w:val="0"/>
                <w:numId w:val="13"/>
              </w:numPr>
              <w:ind w:left="-105" w:right="-105" w:firstLineChars="0"/>
              <w:jc w:val="center"/>
              <w:rPr>
                <w:rFonts w:eastAsia="宋体"/>
                <w:color w:val="auto"/>
                <w:kern w:val="0"/>
                <w:sz w:val="21"/>
                <w:szCs w:val="21"/>
                <w:highlight w:val="none"/>
                <w:lang w:val="zh-CN" w:bidi="zh-CN"/>
              </w:rPr>
            </w:pPr>
          </w:p>
        </w:tc>
        <w:tc>
          <w:tcPr>
            <w:tcW w:w="2131" w:type="dxa"/>
            <w:gridSpan w:val="3"/>
            <w:tcBorders>
              <w:tl2br w:val="nil"/>
              <w:tr2bl w:val="nil"/>
            </w:tcBorders>
            <w:shd w:val="clear" w:color="auto" w:fill="auto"/>
            <w:vAlign w:val="center"/>
          </w:tcPr>
          <w:p w14:paraId="5314E02D">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南新村</w:t>
            </w:r>
          </w:p>
        </w:tc>
        <w:tc>
          <w:tcPr>
            <w:tcW w:w="1100" w:type="dxa"/>
            <w:gridSpan w:val="3"/>
            <w:tcBorders>
              <w:tl2br w:val="nil"/>
              <w:tr2bl w:val="nil"/>
            </w:tcBorders>
            <w:shd w:val="clear" w:color="auto" w:fill="auto"/>
            <w:vAlign w:val="center"/>
          </w:tcPr>
          <w:p w14:paraId="019AE516">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SE</w:t>
            </w:r>
          </w:p>
        </w:tc>
        <w:tc>
          <w:tcPr>
            <w:tcW w:w="1278" w:type="dxa"/>
            <w:gridSpan w:val="3"/>
            <w:tcBorders>
              <w:tl2br w:val="nil"/>
              <w:tr2bl w:val="nil"/>
            </w:tcBorders>
            <w:shd w:val="clear" w:color="auto" w:fill="auto"/>
            <w:vAlign w:val="center"/>
          </w:tcPr>
          <w:p w14:paraId="4003182B">
            <w:pPr>
              <w:ind w:left="-105" w:right="-105"/>
              <w:jc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3072</w:t>
            </w:r>
          </w:p>
        </w:tc>
        <w:tc>
          <w:tcPr>
            <w:tcW w:w="1238" w:type="dxa"/>
            <w:gridSpan w:val="3"/>
            <w:tcBorders>
              <w:tl2br w:val="nil"/>
              <w:tr2bl w:val="nil"/>
            </w:tcBorders>
            <w:shd w:val="clear" w:color="auto" w:fill="auto"/>
            <w:vAlign w:val="center"/>
          </w:tcPr>
          <w:p w14:paraId="6143AFF2">
            <w:pPr>
              <w:ind w:left="-105" w:right="-105"/>
              <w:jc w:val="center"/>
              <w:rPr>
                <w:rFonts w:ascii="Times New Roman" w:hAnsi="Times New Roman"/>
                <w:color w:val="auto"/>
                <w:sz w:val="21"/>
                <w:szCs w:val="21"/>
                <w:highlight w:val="none"/>
              </w:rPr>
            </w:pPr>
            <w:r>
              <w:rPr>
                <w:rFonts w:ascii="Times New Roman" w:hAnsi="Times New Roman"/>
                <w:color w:val="auto"/>
                <w:sz w:val="21"/>
                <w:szCs w:val="21"/>
                <w:highlight w:val="none"/>
              </w:rPr>
              <w:t>居住区</w:t>
            </w:r>
          </w:p>
        </w:tc>
        <w:tc>
          <w:tcPr>
            <w:tcW w:w="1748" w:type="dxa"/>
            <w:tcBorders>
              <w:tl2br w:val="nil"/>
              <w:tr2bl w:val="nil"/>
            </w:tcBorders>
            <w:shd w:val="clear" w:color="auto" w:fill="auto"/>
            <w:vAlign w:val="center"/>
          </w:tcPr>
          <w:p w14:paraId="30F1E8BD">
            <w:pPr>
              <w:ind w:left="-105" w:right="-105"/>
              <w:jc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20</w:t>
            </w:r>
            <w:r>
              <w:rPr>
                <w:rFonts w:ascii="Times New Roman" w:hAnsi="Times New Roman"/>
                <w:color w:val="auto"/>
                <w:sz w:val="21"/>
                <w:szCs w:val="21"/>
                <w:highlight w:val="none"/>
              </w:rPr>
              <w:t>户/</w:t>
            </w:r>
            <w:r>
              <w:rPr>
                <w:rFonts w:hint="eastAsia" w:ascii="Times New Roman" w:hAnsi="Times New Roman"/>
                <w:color w:val="auto"/>
                <w:sz w:val="21"/>
                <w:szCs w:val="21"/>
                <w:highlight w:val="none"/>
              </w:rPr>
              <w:t>70</w:t>
            </w:r>
            <w:r>
              <w:rPr>
                <w:rFonts w:ascii="Times New Roman" w:hAnsi="Times New Roman"/>
                <w:color w:val="auto"/>
                <w:sz w:val="21"/>
                <w:szCs w:val="21"/>
                <w:highlight w:val="none"/>
              </w:rPr>
              <w:t>人</w:t>
            </w:r>
          </w:p>
        </w:tc>
      </w:tr>
      <w:tr w14:paraId="58C05C53">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851" w:type="dxa"/>
            <w:vMerge w:val="continue"/>
            <w:tcBorders>
              <w:tl2br w:val="nil"/>
              <w:tr2bl w:val="nil"/>
            </w:tcBorders>
            <w:vAlign w:val="center"/>
          </w:tcPr>
          <w:p w14:paraId="1B83AA1D">
            <w:pPr>
              <w:ind w:left="-105" w:right="-105"/>
              <w:jc w:val="center"/>
              <w:rPr>
                <w:rFonts w:ascii="Times New Roman" w:hAnsi="Times New Roman"/>
                <w:color w:val="auto"/>
                <w:sz w:val="21"/>
                <w:szCs w:val="21"/>
                <w:highlight w:val="none"/>
                <w:lang w:val="zh-CN" w:bidi="zh-CN"/>
              </w:rPr>
            </w:pPr>
          </w:p>
        </w:tc>
        <w:tc>
          <w:tcPr>
            <w:tcW w:w="704" w:type="dxa"/>
            <w:tcBorders>
              <w:tl2br w:val="nil"/>
              <w:tr2bl w:val="nil"/>
            </w:tcBorders>
            <w:vAlign w:val="center"/>
          </w:tcPr>
          <w:p w14:paraId="678FD3BF">
            <w:pPr>
              <w:pStyle w:val="97"/>
              <w:numPr>
                <w:ilvl w:val="0"/>
                <w:numId w:val="13"/>
              </w:numPr>
              <w:ind w:left="-105" w:right="-105" w:firstLineChars="0"/>
              <w:jc w:val="center"/>
              <w:rPr>
                <w:rFonts w:eastAsia="宋体"/>
                <w:color w:val="auto"/>
                <w:kern w:val="0"/>
                <w:sz w:val="21"/>
                <w:szCs w:val="21"/>
                <w:highlight w:val="none"/>
                <w:lang w:val="zh-CN" w:bidi="zh-CN"/>
              </w:rPr>
            </w:pPr>
          </w:p>
        </w:tc>
        <w:tc>
          <w:tcPr>
            <w:tcW w:w="2131" w:type="dxa"/>
            <w:gridSpan w:val="3"/>
            <w:tcBorders>
              <w:tl2br w:val="nil"/>
              <w:tr2bl w:val="nil"/>
            </w:tcBorders>
            <w:shd w:val="clear" w:color="auto" w:fill="auto"/>
            <w:vAlign w:val="center"/>
          </w:tcPr>
          <w:p w14:paraId="64505B7B">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新明村</w:t>
            </w:r>
          </w:p>
        </w:tc>
        <w:tc>
          <w:tcPr>
            <w:tcW w:w="1100" w:type="dxa"/>
            <w:gridSpan w:val="3"/>
            <w:tcBorders>
              <w:tl2br w:val="nil"/>
              <w:tr2bl w:val="nil"/>
            </w:tcBorders>
            <w:shd w:val="clear" w:color="auto" w:fill="auto"/>
            <w:vAlign w:val="center"/>
          </w:tcPr>
          <w:p w14:paraId="326B3887">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SE</w:t>
            </w:r>
          </w:p>
        </w:tc>
        <w:tc>
          <w:tcPr>
            <w:tcW w:w="1278" w:type="dxa"/>
            <w:gridSpan w:val="3"/>
            <w:tcBorders>
              <w:tl2br w:val="nil"/>
              <w:tr2bl w:val="nil"/>
            </w:tcBorders>
            <w:shd w:val="clear" w:color="auto" w:fill="auto"/>
            <w:vAlign w:val="center"/>
          </w:tcPr>
          <w:p w14:paraId="65712682">
            <w:pPr>
              <w:ind w:left="-105" w:right="-105"/>
              <w:jc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3698</w:t>
            </w:r>
          </w:p>
        </w:tc>
        <w:tc>
          <w:tcPr>
            <w:tcW w:w="1238" w:type="dxa"/>
            <w:gridSpan w:val="3"/>
            <w:tcBorders>
              <w:tl2br w:val="nil"/>
              <w:tr2bl w:val="nil"/>
            </w:tcBorders>
            <w:shd w:val="clear" w:color="auto" w:fill="auto"/>
            <w:vAlign w:val="center"/>
          </w:tcPr>
          <w:p w14:paraId="14F907B9">
            <w:pPr>
              <w:ind w:left="-105" w:right="-105"/>
              <w:jc w:val="center"/>
              <w:rPr>
                <w:rFonts w:ascii="Times New Roman" w:hAnsi="Times New Roman"/>
                <w:color w:val="auto"/>
                <w:sz w:val="21"/>
                <w:szCs w:val="21"/>
                <w:highlight w:val="none"/>
              </w:rPr>
            </w:pPr>
            <w:r>
              <w:rPr>
                <w:rFonts w:ascii="Times New Roman" w:hAnsi="Times New Roman"/>
                <w:color w:val="auto"/>
                <w:sz w:val="21"/>
                <w:szCs w:val="21"/>
                <w:highlight w:val="none"/>
              </w:rPr>
              <w:t>居住区</w:t>
            </w:r>
          </w:p>
        </w:tc>
        <w:tc>
          <w:tcPr>
            <w:tcW w:w="1748" w:type="dxa"/>
            <w:tcBorders>
              <w:tl2br w:val="nil"/>
              <w:tr2bl w:val="nil"/>
            </w:tcBorders>
            <w:shd w:val="clear" w:color="auto" w:fill="auto"/>
            <w:vAlign w:val="center"/>
          </w:tcPr>
          <w:p w14:paraId="254EC73E">
            <w:pPr>
              <w:ind w:left="-105" w:right="-105"/>
              <w:jc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20</w:t>
            </w:r>
            <w:r>
              <w:rPr>
                <w:rFonts w:ascii="Times New Roman" w:hAnsi="Times New Roman"/>
                <w:color w:val="auto"/>
                <w:sz w:val="21"/>
                <w:szCs w:val="21"/>
                <w:highlight w:val="none"/>
              </w:rPr>
              <w:t>户/</w:t>
            </w:r>
            <w:r>
              <w:rPr>
                <w:rFonts w:hint="eastAsia" w:ascii="Times New Roman" w:hAnsi="Times New Roman"/>
                <w:color w:val="auto"/>
                <w:sz w:val="21"/>
                <w:szCs w:val="21"/>
                <w:highlight w:val="none"/>
              </w:rPr>
              <w:t>70</w:t>
            </w:r>
            <w:r>
              <w:rPr>
                <w:rFonts w:ascii="Times New Roman" w:hAnsi="Times New Roman"/>
                <w:color w:val="auto"/>
                <w:sz w:val="21"/>
                <w:szCs w:val="21"/>
                <w:highlight w:val="none"/>
              </w:rPr>
              <w:t>人</w:t>
            </w:r>
          </w:p>
        </w:tc>
      </w:tr>
      <w:tr w14:paraId="54981200">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851" w:type="dxa"/>
            <w:vMerge w:val="continue"/>
            <w:tcBorders>
              <w:tl2br w:val="nil"/>
              <w:tr2bl w:val="nil"/>
            </w:tcBorders>
            <w:vAlign w:val="center"/>
          </w:tcPr>
          <w:p w14:paraId="75BBA323">
            <w:pPr>
              <w:ind w:left="-105" w:right="-105"/>
              <w:jc w:val="center"/>
              <w:rPr>
                <w:rFonts w:ascii="Times New Roman" w:hAnsi="Times New Roman"/>
                <w:color w:val="auto"/>
                <w:sz w:val="21"/>
                <w:szCs w:val="21"/>
                <w:highlight w:val="none"/>
                <w:lang w:val="zh-CN" w:bidi="zh-CN"/>
              </w:rPr>
            </w:pPr>
          </w:p>
        </w:tc>
        <w:tc>
          <w:tcPr>
            <w:tcW w:w="704" w:type="dxa"/>
            <w:tcBorders>
              <w:tl2br w:val="nil"/>
              <w:tr2bl w:val="nil"/>
            </w:tcBorders>
            <w:vAlign w:val="center"/>
          </w:tcPr>
          <w:p w14:paraId="00AA9E2B">
            <w:pPr>
              <w:pStyle w:val="97"/>
              <w:numPr>
                <w:ilvl w:val="0"/>
                <w:numId w:val="13"/>
              </w:numPr>
              <w:ind w:left="-105" w:right="-105" w:firstLineChars="0"/>
              <w:jc w:val="center"/>
              <w:rPr>
                <w:rFonts w:eastAsia="宋体"/>
                <w:color w:val="auto"/>
                <w:kern w:val="0"/>
                <w:sz w:val="21"/>
                <w:szCs w:val="21"/>
                <w:highlight w:val="none"/>
                <w:lang w:val="zh-CN" w:bidi="zh-CN"/>
              </w:rPr>
            </w:pPr>
          </w:p>
        </w:tc>
        <w:tc>
          <w:tcPr>
            <w:tcW w:w="2131" w:type="dxa"/>
            <w:gridSpan w:val="3"/>
            <w:tcBorders>
              <w:tl2br w:val="nil"/>
              <w:tr2bl w:val="nil"/>
            </w:tcBorders>
            <w:shd w:val="clear" w:color="auto" w:fill="auto"/>
            <w:vAlign w:val="center"/>
          </w:tcPr>
          <w:p w14:paraId="0657A70B">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南阁上</w:t>
            </w:r>
          </w:p>
        </w:tc>
        <w:tc>
          <w:tcPr>
            <w:tcW w:w="1100" w:type="dxa"/>
            <w:gridSpan w:val="3"/>
            <w:tcBorders>
              <w:tl2br w:val="nil"/>
              <w:tr2bl w:val="nil"/>
            </w:tcBorders>
            <w:shd w:val="clear" w:color="auto" w:fill="auto"/>
            <w:vAlign w:val="center"/>
          </w:tcPr>
          <w:p w14:paraId="6F6BFCC7">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SE</w:t>
            </w:r>
          </w:p>
        </w:tc>
        <w:tc>
          <w:tcPr>
            <w:tcW w:w="1278" w:type="dxa"/>
            <w:gridSpan w:val="3"/>
            <w:tcBorders>
              <w:tl2br w:val="nil"/>
              <w:tr2bl w:val="nil"/>
            </w:tcBorders>
            <w:shd w:val="clear" w:color="auto" w:fill="auto"/>
            <w:vAlign w:val="center"/>
          </w:tcPr>
          <w:p w14:paraId="6A73B7AC">
            <w:pPr>
              <w:ind w:left="-105" w:right="-105"/>
              <w:jc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4377</w:t>
            </w:r>
          </w:p>
        </w:tc>
        <w:tc>
          <w:tcPr>
            <w:tcW w:w="1238" w:type="dxa"/>
            <w:gridSpan w:val="3"/>
            <w:tcBorders>
              <w:tl2br w:val="nil"/>
              <w:tr2bl w:val="nil"/>
            </w:tcBorders>
            <w:shd w:val="clear" w:color="auto" w:fill="auto"/>
            <w:vAlign w:val="center"/>
          </w:tcPr>
          <w:p w14:paraId="58D79108">
            <w:pPr>
              <w:ind w:left="-105" w:right="-105"/>
              <w:jc w:val="center"/>
              <w:rPr>
                <w:rFonts w:ascii="Times New Roman" w:hAnsi="Times New Roman"/>
                <w:color w:val="auto"/>
                <w:sz w:val="21"/>
                <w:szCs w:val="21"/>
                <w:highlight w:val="none"/>
              </w:rPr>
            </w:pPr>
            <w:r>
              <w:rPr>
                <w:rFonts w:ascii="Times New Roman" w:hAnsi="Times New Roman"/>
                <w:color w:val="auto"/>
                <w:sz w:val="21"/>
                <w:szCs w:val="21"/>
                <w:highlight w:val="none"/>
              </w:rPr>
              <w:t>居住区</w:t>
            </w:r>
          </w:p>
        </w:tc>
        <w:tc>
          <w:tcPr>
            <w:tcW w:w="1748" w:type="dxa"/>
            <w:tcBorders>
              <w:tl2br w:val="nil"/>
              <w:tr2bl w:val="nil"/>
            </w:tcBorders>
            <w:shd w:val="clear" w:color="auto" w:fill="auto"/>
            <w:vAlign w:val="center"/>
          </w:tcPr>
          <w:p w14:paraId="61AFB96D">
            <w:pPr>
              <w:ind w:left="-105" w:right="-105"/>
              <w:jc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50</w:t>
            </w:r>
            <w:r>
              <w:rPr>
                <w:rFonts w:ascii="Times New Roman" w:hAnsi="Times New Roman"/>
                <w:color w:val="auto"/>
                <w:sz w:val="21"/>
                <w:szCs w:val="21"/>
                <w:highlight w:val="none"/>
              </w:rPr>
              <w:t>户/</w:t>
            </w:r>
            <w:r>
              <w:rPr>
                <w:rFonts w:hint="eastAsia" w:ascii="Times New Roman" w:hAnsi="Times New Roman"/>
                <w:color w:val="auto"/>
                <w:sz w:val="21"/>
                <w:szCs w:val="21"/>
                <w:highlight w:val="none"/>
              </w:rPr>
              <w:t>175</w:t>
            </w:r>
            <w:r>
              <w:rPr>
                <w:rFonts w:ascii="Times New Roman" w:hAnsi="Times New Roman"/>
                <w:color w:val="auto"/>
                <w:sz w:val="21"/>
                <w:szCs w:val="21"/>
                <w:highlight w:val="none"/>
              </w:rPr>
              <w:t>人</w:t>
            </w:r>
          </w:p>
        </w:tc>
      </w:tr>
      <w:tr w14:paraId="6BDB7F0F">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851" w:type="dxa"/>
            <w:vMerge w:val="continue"/>
            <w:tcBorders>
              <w:tl2br w:val="nil"/>
              <w:tr2bl w:val="nil"/>
            </w:tcBorders>
            <w:vAlign w:val="center"/>
          </w:tcPr>
          <w:p w14:paraId="3DE1F4CE">
            <w:pPr>
              <w:ind w:left="-105" w:right="-105"/>
              <w:jc w:val="center"/>
              <w:rPr>
                <w:rFonts w:ascii="Times New Roman" w:hAnsi="Times New Roman"/>
                <w:color w:val="auto"/>
                <w:sz w:val="21"/>
                <w:szCs w:val="21"/>
                <w:highlight w:val="none"/>
                <w:lang w:val="zh-CN" w:bidi="zh-CN"/>
              </w:rPr>
            </w:pPr>
          </w:p>
        </w:tc>
        <w:tc>
          <w:tcPr>
            <w:tcW w:w="704" w:type="dxa"/>
            <w:tcBorders>
              <w:tl2br w:val="nil"/>
              <w:tr2bl w:val="nil"/>
            </w:tcBorders>
            <w:vAlign w:val="center"/>
          </w:tcPr>
          <w:p w14:paraId="632A32D6">
            <w:pPr>
              <w:pStyle w:val="97"/>
              <w:numPr>
                <w:ilvl w:val="0"/>
                <w:numId w:val="13"/>
              </w:numPr>
              <w:ind w:left="-105" w:right="-105" w:firstLineChars="0"/>
              <w:jc w:val="center"/>
              <w:rPr>
                <w:rFonts w:eastAsia="宋体"/>
                <w:color w:val="auto"/>
                <w:kern w:val="0"/>
                <w:sz w:val="21"/>
                <w:szCs w:val="21"/>
                <w:highlight w:val="none"/>
                <w:lang w:val="zh-CN" w:bidi="zh-CN"/>
              </w:rPr>
            </w:pPr>
          </w:p>
        </w:tc>
        <w:tc>
          <w:tcPr>
            <w:tcW w:w="2131" w:type="dxa"/>
            <w:gridSpan w:val="3"/>
            <w:tcBorders>
              <w:tl2br w:val="nil"/>
              <w:tr2bl w:val="nil"/>
            </w:tcBorders>
            <w:shd w:val="clear" w:color="auto" w:fill="auto"/>
            <w:vAlign w:val="center"/>
          </w:tcPr>
          <w:p w14:paraId="59E7A8D4">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和尚桥</w:t>
            </w:r>
          </w:p>
        </w:tc>
        <w:tc>
          <w:tcPr>
            <w:tcW w:w="1100" w:type="dxa"/>
            <w:gridSpan w:val="3"/>
            <w:tcBorders>
              <w:tl2br w:val="nil"/>
              <w:tr2bl w:val="nil"/>
            </w:tcBorders>
            <w:shd w:val="clear" w:color="auto" w:fill="auto"/>
            <w:vAlign w:val="center"/>
          </w:tcPr>
          <w:p w14:paraId="11B3E677">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SE</w:t>
            </w:r>
          </w:p>
        </w:tc>
        <w:tc>
          <w:tcPr>
            <w:tcW w:w="1278" w:type="dxa"/>
            <w:gridSpan w:val="3"/>
            <w:tcBorders>
              <w:tl2br w:val="nil"/>
              <w:tr2bl w:val="nil"/>
            </w:tcBorders>
            <w:shd w:val="clear" w:color="auto" w:fill="auto"/>
            <w:vAlign w:val="center"/>
          </w:tcPr>
          <w:p w14:paraId="38423356">
            <w:pPr>
              <w:ind w:left="-105" w:right="-105"/>
              <w:jc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4736</w:t>
            </w:r>
          </w:p>
        </w:tc>
        <w:tc>
          <w:tcPr>
            <w:tcW w:w="1238" w:type="dxa"/>
            <w:gridSpan w:val="3"/>
            <w:tcBorders>
              <w:tl2br w:val="nil"/>
              <w:tr2bl w:val="nil"/>
            </w:tcBorders>
            <w:shd w:val="clear" w:color="auto" w:fill="auto"/>
            <w:vAlign w:val="center"/>
          </w:tcPr>
          <w:p w14:paraId="03E8C8E1">
            <w:pPr>
              <w:ind w:left="-105" w:right="-105"/>
              <w:jc w:val="center"/>
              <w:rPr>
                <w:rFonts w:ascii="Times New Roman" w:hAnsi="Times New Roman"/>
                <w:color w:val="auto"/>
                <w:sz w:val="21"/>
                <w:szCs w:val="21"/>
                <w:highlight w:val="none"/>
              </w:rPr>
            </w:pPr>
            <w:r>
              <w:rPr>
                <w:rFonts w:ascii="Times New Roman" w:hAnsi="Times New Roman"/>
                <w:color w:val="auto"/>
                <w:sz w:val="21"/>
                <w:szCs w:val="21"/>
                <w:highlight w:val="none"/>
              </w:rPr>
              <w:t>居住区</w:t>
            </w:r>
          </w:p>
        </w:tc>
        <w:tc>
          <w:tcPr>
            <w:tcW w:w="1748" w:type="dxa"/>
            <w:tcBorders>
              <w:tl2br w:val="nil"/>
              <w:tr2bl w:val="nil"/>
            </w:tcBorders>
            <w:shd w:val="clear" w:color="auto" w:fill="auto"/>
            <w:vAlign w:val="center"/>
          </w:tcPr>
          <w:p w14:paraId="44E6D1FA">
            <w:pPr>
              <w:ind w:left="-105" w:right="-105"/>
              <w:jc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20</w:t>
            </w:r>
            <w:r>
              <w:rPr>
                <w:rFonts w:ascii="Times New Roman" w:hAnsi="Times New Roman"/>
                <w:color w:val="auto"/>
                <w:sz w:val="21"/>
                <w:szCs w:val="21"/>
                <w:highlight w:val="none"/>
              </w:rPr>
              <w:t>户/</w:t>
            </w:r>
            <w:r>
              <w:rPr>
                <w:rFonts w:hint="eastAsia" w:ascii="Times New Roman" w:hAnsi="Times New Roman"/>
                <w:color w:val="auto"/>
                <w:sz w:val="21"/>
                <w:szCs w:val="21"/>
                <w:highlight w:val="none"/>
              </w:rPr>
              <w:t>70</w:t>
            </w:r>
            <w:r>
              <w:rPr>
                <w:rFonts w:ascii="Times New Roman" w:hAnsi="Times New Roman"/>
                <w:color w:val="auto"/>
                <w:sz w:val="21"/>
                <w:szCs w:val="21"/>
                <w:highlight w:val="none"/>
              </w:rPr>
              <w:t>人</w:t>
            </w:r>
          </w:p>
        </w:tc>
      </w:tr>
      <w:tr w14:paraId="13EBCD95">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851" w:type="dxa"/>
            <w:vMerge w:val="continue"/>
            <w:tcBorders>
              <w:tl2br w:val="nil"/>
              <w:tr2bl w:val="nil"/>
            </w:tcBorders>
            <w:vAlign w:val="center"/>
          </w:tcPr>
          <w:p w14:paraId="145B5949">
            <w:pPr>
              <w:ind w:left="-105" w:right="-105"/>
              <w:jc w:val="center"/>
              <w:rPr>
                <w:rFonts w:ascii="Times New Roman" w:hAnsi="Times New Roman"/>
                <w:color w:val="auto"/>
                <w:sz w:val="21"/>
                <w:szCs w:val="21"/>
                <w:highlight w:val="none"/>
                <w:lang w:val="zh-CN" w:bidi="zh-CN"/>
              </w:rPr>
            </w:pPr>
          </w:p>
        </w:tc>
        <w:tc>
          <w:tcPr>
            <w:tcW w:w="704" w:type="dxa"/>
            <w:tcBorders>
              <w:tl2br w:val="nil"/>
              <w:tr2bl w:val="nil"/>
            </w:tcBorders>
            <w:vAlign w:val="center"/>
          </w:tcPr>
          <w:p w14:paraId="6DA106F9">
            <w:pPr>
              <w:pStyle w:val="97"/>
              <w:numPr>
                <w:ilvl w:val="0"/>
                <w:numId w:val="13"/>
              </w:numPr>
              <w:ind w:left="-105" w:right="-105" w:firstLineChars="0"/>
              <w:jc w:val="center"/>
              <w:rPr>
                <w:rFonts w:eastAsia="宋体"/>
                <w:color w:val="auto"/>
                <w:kern w:val="0"/>
                <w:sz w:val="21"/>
                <w:szCs w:val="21"/>
                <w:highlight w:val="none"/>
                <w:lang w:val="zh-CN" w:bidi="zh-CN"/>
              </w:rPr>
            </w:pPr>
          </w:p>
        </w:tc>
        <w:tc>
          <w:tcPr>
            <w:tcW w:w="2131" w:type="dxa"/>
            <w:gridSpan w:val="3"/>
            <w:tcBorders>
              <w:tl2br w:val="nil"/>
              <w:tr2bl w:val="nil"/>
            </w:tcBorders>
            <w:shd w:val="clear" w:color="auto" w:fill="auto"/>
            <w:vAlign w:val="center"/>
          </w:tcPr>
          <w:p w14:paraId="38C81283">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旗峰村</w:t>
            </w:r>
          </w:p>
        </w:tc>
        <w:tc>
          <w:tcPr>
            <w:tcW w:w="1100" w:type="dxa"/>
            <w:gridSpan w:val="3"/>
            <w:tcBorders>
              <w:tl2br w:val="nil"/>
              <w:tr2bl w:val="nil"/>
            </w:tcBorders>
            <w:shd w:val="clear" w:color="auto" w:fill="auto"/>
            <w:vAlign w:val="center"/>
          </w:tcPr>
          <w:p w14:paraId="35E3C9BF">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SE</w:t>
            </w:r>
          </w:p>
        </w:tc>
        <w:tc>
          <w:tcPr>
            <w:tcW w:w="1278" w:type="dxa"/>
            <w:gridSpan w:val="3"/>
            <w:tcBorders>
              <w:tl2br w:val="nil"/>
              <w:tr2bl w:val="nil"/>
            </w:tcBorders>
            <w:shd w:val="clear" w:color="auto" w:fill="auto"/>
            <w:vAlign w:val="center"/>
          </w:tcPr>
          <w:p w14:paraId="0E3A1CC8">
            <w:pPr>
              <w:ind w:left="-105" w:right="-105"/>
              <w:jc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4472</w:t>
            </w:r>
          </w:p>
        </w:tc>
        <w:tc>
          <w:tcPr>
            <w:tcW w:w="1238" w:type="dxa"/>
            <w:gridSpan w:val="3"/>
            <w:tcBorders>
              <w:tl2br w:val="nil"/>
              <w:tr2bl w:val="nil"/>
            </w:tcBorders>
            <w:shd w:val="clear" w:color="auto" w:fill="auto"/>
            <w:vAlign w:val="center"/>
          </w:tcPr>
          <w:p w14:paraId="55443F94">
            <w:pPr>
              <w:ind w:left="-105" w:right="-105"/>
              <w:jc w:val="center"/>
              <w:rPr>
                <w:rFonts w:ascii="Times New Roman" w:hAnsi="Times New Roman"/>
                <w:color w:val="auto"/>
                <w:sz w:val="21"/>
                <w:szCs w:val="21"/>
                <w:highlight w:val="none"/>
              </w:rPr>
            </w:pPr>
            <w:r>
              <w:rPr>
                <w:rFonts w:ascii="Times New Roman" w:hAnsi="Times New Roman"/>
                <w:color w:val="auto"/>
                <w:sz w:val="21"/>
                <w:szCs w:val="21"/>
                <w:highlight w:val="none"/>
              </w:rPr>
              <w:t>居住区</w:t>
            </w:r>
          </w:p>
        </w:tc>
        <w:tc>
          <w:tcPr>
            <w:tcW w:w="1748" w:type="dxa"/>
            <w:tcBorders>
              <w:tl2br w:val="nil"/>
              <w:tr2bl w:val="nil"/>
            </w:tcBorders>
            <w:shd w:val="clear" w:color="auto" w:fill="auto"/>
            <w:vAlign w:val="center"/>
          </w:tcPr>
          <w:p w14:paraId="19AF45BC">
            <w:pPr>
              <w:ind w:left="-105" w:right="-105"/>
              <w:jc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50</w:t>
            </w:r>
            <w:r>
              <w:rPr>
                <w:rFonts w:ascii="Times New Roman" w:hAnsi="Times New Roman"/>
                <w:color w:val="auto"/>
                <w:sz w:val="21"/>
                <w:szCs w:val="21"/>
                <w:highlight w:val="none"/>
              </w:rPr>
              <w:t>户/</w:t>
            </w:r>
            <w:r>
              <w:rPr>
                <w:rFonts w:hint="eastAsia" w:ascii="Times New Roman" w:hAnsi="Times New Roman"/>
                <w:color w:val="auto"/>
                <w:sz w:val="21"/>
                <w:szCs w:val="21"/>
                <w:highlight w:val="none"/>
              </w:rPr>
              <w:t>175</w:t>
            </w:r>
            <w:r>
              <w:rPr>
                <w:rFonts w:ascii="Times New Roman" w:hAnsi="Times New Roman"/>
                <w:color w:val="auto"/>
                <w:sz w:val="21"/>
                <w:szCs w:val="21"/>
                <w:highlight w:val="none"/>
              </w:rPr>
              <w:t>人</w:t>
            </w:r>
          </w:p>
        </w:tc>
      </w:tr>
      <w:tr w14:paraId="09779B05">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851" w:type="dxa"/>
            <w:vMerge w:val="continue"/>
            <w:tcBorders>
              <w:tl2br w:val="nil"/>
              <w:tr2bl w:val="nil"/>
            </w:tcBorders>
            <w:vAlign w:val="center"/>
          </w:tcPr>
          <w:p w14:paraId="58887B72">
            <w:pPr>
              <w:ind w:left="-105" w:right="-105"/>
              <w:jc w:val="center"/>
              <w:rPr>
                <w:rFonts w:ascii="Times New Roman" w:hAnsi="Times New Roman"/>
                <w:color w:val="auto"/>
                <w:sz w:val="21"/>
                <w:szCs w:val="21"/>
                <w:highlight w:val="none"/>
                <w:lang w:val="zh-CN" w:bidi="zh-CN"/>
              </w:rPr>
            </w:pPr>
          </w:p>
        </w:tc>
        <w:tc>
          <w:tcPr>
            <w:tcW w:w="704" w:type="dxa"/>
            <w:tcBorders>
              <w:tl2br w:val="nil"/>
              <w:tr2bl w:val="nil"/>
            </w:tcBorders>
            <w:vAlign w:val="center"/>
          </w:tcPr>
          <w:p w14:paraId="2B1244AA">
            <w:pPr>
              <w:pStyle w:val="97"/>
              <w:numPr>
                <w:ilvl w:val="0"/>
                <w:numId w:val="13"/>
              </w:numPr>
              <w:ind w:left="-105" w:right="-105" w:firstLineChars="0"/>
              <w:jc w:val="center"/>
              <w:rPr>
                <w:rFonts w:eastAsia="宋体"/>
                <w:color w:val="auto"/>
                <w:kern w:val="0"/>
                <w:sz w:val="21"/>
                <w:szCs w:val="21"/>
                <w:highlight w:val="none"/>
                <w:lang w:val="zh-CN" w:bidi="zh-CN"/>
              </w:rPr>
            </w:pPr>
          </w:p>
        </w:tc>
        <w:tc>
          <w:tcPr>
            <w:tcW w:w="2131" w:type="dxa"/>
            <w:gridSpan w:val="3"/>
            <w:tcBorders>
              <w:tl2br w:val="nil"/>
              <w:tr2bl w:val="nil"/>
            </w:tcBorders>
            <w:shd w:val="clear" w:color="auto" w:fill="auto"/>
            <w:vAlign w:val="center"/>
          </w:tcPr>
          <w:p w14:paraId="6852C66E">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杜巷上</w:t>
            </w:r>
          </w:p>
        </w:tc>
        <w:tc>
          <w:tcPr>
            <w:tcW w:w="1100" w:type="dxa"/>
            <w:gridSpan w:val="3"/>
            <w:tcBorders>
              <w:tl2br w:val="nil"/>
              <w:tr2bl w:val="nil"/>
            </w:tcBorders>
            <w:shd w:val="clear" w:color="auto" w:fill="auto"/>
            <w:vAlign w:val="center"/>
          </w:tcPr>
          <w:p w14:paraId="0BAF1934">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SE</w:t>
            </w:r>
          </w:p>
        </w:tc>
        <w:tc>
          <w:tcPr>
            <w:tcW w:w="1278" w:type="dxa"/>
            <w:gridSpan w:val="3"/>
            <w:tcBorders>
              <w:tl2br w:val="nil"/>
              <w:tr2bl w:val="nil"/>
            </w:tcBorders>
            <w:shd w:val="clear" w:color="auto" w:fill="auto"/>
            <w:vAlign w:val="center"/>
          </w:tcPr>
          <w:p w14:paraId="4243568F">
            <w:pPr>
              <w:ind w:left="-105" w:right="-105"/>
              <w:jc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1402</w:t>
            </w:r>
          </w:p>
        </w:tc>
        <w:tc>
          <w:tcPr>
            <w:tcW w:w="1238" w:type="dxa"/>
            <w:gridSpan w:val="3"/>
            <w:tcBorders>
              <w:tl2br w:val="nil"/>
              <w:tr2bl w:val="nil"/>
            </w:tcBorders>
            <w:shd w:val="clear" w:color="auto" w:fill="auto"/>
            <w:vAlign w:val="center"/>
          </w:tcPr>
          <w:p w14:paraId="1DF2E5B0">
            <w:pPr>
              <w:ind w:left="-105" w:right="-105"/>
              <w:jc w:val="center"/>
              <w:rPr>
                <w:rFonts w:ascii="Times New Roman" w:hAnsi="Times New Roman"/>
                <w:color w:val="auto"/>
                <w:sz w:val="21"/>
                <w:szCs w:val="21"/>
                <w:highlight w:val="none"/>
              </w:rPr>
            </w:pPr>
            <w:r>
              <w:rPr>
                <w:rFonts w:ascii="Times New Roman" w:hAnsi="Times New Roman"/>
                <w:color w:val="auto"/>
                <w:sz w:val="21"/>
                <w:szCs w:val="21"/>
                <w:highlight w:val="none"/>
              </w:rPr>
              <w:t>居住区</w:t>
            </w:r>
          </w:p>
        </w:tc>
        <w:tc>
          <w:tcPr>
            <w:tcW w:w="1748" w:type="dxa"/>
            <w:tcBorders>
              <w:tl2br w:val="nil"/>
              <w:tr2bl w:val="nil"/>
            </w:tcBorders>
            <w:shd w:val="clear" w:color="auto" w:fill="auto"/>
            <w:vAlign w:val="center"/>
          </w:tcPr>
          <w:p w14:paraId="2399F236">
            <w:pPr>
              <w:ind w:left="-105" w:right="-105"/>
              <w:jc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30</w:t>
            </w:r>
            <w:r>
              <w:rPr>
                <w:rFonts w:ascii="Times New Roman" w:hAnsi="Times New Roman"/>
                <w:color w:val="auto"/>
                <w:sz w:val="21"/>
                <w:szCs w:val="21"/>
                <w:highlight w:val="none"/>
              </w:rPr>
              <w:t>户/</w:t>
            </w:r>
            <w:r>
              <w:rPr>
                <w:rFonts w:hint="eastAsia" w:ascii="Times New Roman" w:hAnsi="Times New Roman"/>
                <w:color w:val="auto"/>
                <w:sz w:val="21"/>
                <w:szCs w:val="21"/>
                <w:highlight w:val="none"/>
              </w:rPr>
              <w:t>105</w:t>
            </w:r>
            <w:r>
              <w:rPr>
                <w:rFonts w:ascii="Times New Roman" w:hAnsi="Times New Roman"/>
                <w:color w:val="auto"/>
                <w:sz w:val="21"/>
                <w:szCs w:val="21"/>
                <w:highlight w:val="none"/>
              </w:rPr>
              <w:t>人</w:t>
            </w:r>
          </w:p>
        </w:tc>
      </w:tr>
      <w:tr w14:paraId="6645A5F4">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851" w:type="dxa"/>
            <w:vMerge w:val="continue"/>
            <w:tcBorders>
              <w:tl2br w:val="nil"/>
              <w:tr2bl w:val="nil"/>
            </w:tcBorders>
            <w:vAlign w:val="center"/>
          </w:tcPr>
          <w:p w14:paraId="2466F498">
            <w:pPr>
              <w:ind w:left="-105" w:right="-105"/>
              <w:jc w:val="center"/>
              <w:rPr>
                <w:rFonts w:ascii="Times New Roman" w:hAnsi="Times New Roman"/>
                <w:color w:val="auto"/>
                <w:sz w:val="21"/>
                <w:szCs w:val="21"/>
                <w:highlight w:val="none"/>
                <w:lang w:val="zh-CN" w:bidi="zh-CN"/>
              </w:rPr>
            </w:pPr>
          </w:p>
        </w:tc>
        <w:tc>
          <w:tcPr>
            <w:tcW w:w="704" w:type="dxa"/>
            <w:tcBorders>
              <w:tl2br w:val="nil"/>
              <w:tr2bl w:val="nil"/>
            </w:tcBorders>
            <w:vAlign w:val="center"/>
          </w:tcPr>
          <w:p w14:paraId="2F815984">
            <w:pPr>
              <w:pStyle w:val="97"/>
              <w:numPr>
                <w:ilvl w:val="0"/>
                <w:numId w:val="13"/>
              </w:numPr>
              <w:ind w:left="-105" w:right="-105" w:firstLineChars="0"/>
              <w:jc w:val="center"/>
              <w:rPr>
                <w:rFonts w:eastAsia="宋体"/>
                <w:color w:val="auto"/>
                <w:kern w:val="0"/>
                <w:sz w:val="21"/>
                <w:szCs w:val="21"/>
                <w:highlight w:val="none"/>
                <w:lang w:val="zh-CN" w:bidi="zh-CN"/>
              </w:rPr>
            </w:pPr>
          </w:p>
        </w:tc>
        <w:tc>
          <w:tcPr>
            <w:tcW w:w="2131" w:type="dxa"/>
            <w:gridSpan w:val="3"/>
            <w:tcBorders>
              <w:tl2br w:val="nil"/>
              <w:tr2bl w:val="nil"/>
            </w:tcBorders>
            <w:shd w:val="clear" w:color="auto" w:fill="auto"/>
            <w:vAlign w:val="center"/>
          </w:tcPr>
          <w:p w14:paraId="38A6D226">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三坝村</w:t>
            </w:r>
          </w:p>
        </w:tc>
        <w:tc>
          <w:tcPr>
            <w:tcW w:w="1100" w:type="dxa"/>
            <w:gridSpan w:val="3"/>
            <w:tcBorders>
              <w:tl2br w:val="nil"/>
              <w:tr2bl w:val="nil"/>
            </w:tcBorders>
            <w:shd w:val="clear" w:color="auto" w:fill="auto"/>
            <w:vAlign w:val="center"/>
          </w:tcPr>
          <w:p w14:paraId="7975F9DB">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SE</w:t>
            </w:r>
          </w:p>
        </w:tc>
        <w:tc>
          <w:tcPr>
            <w:tcW w:w="1278" w:type="dxa"/>
            <w:gridSpan w:val="3"/>
            <w:tcBorders>
              <w:tl2br w:val="nil"/>
              <w:tr2bl w:val="nil"/>
            </w:tcBorders>
            <w:shd w:val="clear" w:color="auto" w:fill="auto"/>
            <w:vAlign w:val="center"/>
          </w:tcPr>
          <w:p w14:paraId="0BFF7551">
            <w:pPr>
              <w:ind w:left="-105" w:right="-105"/>
              <w:jc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1662</w:t>
            </w:r>
          </w:p>
        </w:tc>
        <w:tc>
          <w:tcPr>
            <w:tcW w:w="1238" w:type="dxa"/>
            <w:gridSpan w:val="3"/>
            <w:tcBorders>
              <w:tl2br w:val="nil"/>
              <w:tr2bl w:val="nil"/>
            </w:tcBorders>
            <w:shd w:val="clear" w:color="auto" w:fill="auto"/>
            <w:vAlign w:val="center"/>
          </w:tcPr>
          <w:p w14:paraId="714FF969">
            <w:pPr>
              <w:ind w:left="-105" w:right="-105"/>
              <w:jc w:val="center"/>
              <w:rPr>
                <w:rFonts w:ascii="Times New Roman" w:hAnsi="Times New Roman"/>
                <w:color w:val="auto"/>
                <w:sz w:val="21"/>
                <w:szCs w:val="21"/>
                <w:highlight w:val="none"/>
              </w:rPr>
            </w:pPr>
            <w:r>
              <w:rPr>
                <w:rFonts w:ascii="Times New Roman" w:hAnsi="Times New Roman"/>
                <w:color w:val="auto"/>
                <w:sz w:val="21"/>
                <w:szCs w:val="21"/>
                <w:highlight w:val="none"/>
              </w:rPr>
              <w:t>居住区</w:t>
            </w:r>
          </w:p>
        </w:tc>
        <w:tc>
          <w:tcPr>
            <w:tcW w:w="1748" w:type="dxa"/>
            <w:tcBorders>
              <w:tl2br w:val="nil"/>
              <w:tr2bl w:val="nil"/>
            </w:tcBorders>
            <w:shd w:val="clear" w:color="auto" w:fill="auto"/>
            <w:vAlign w:val="center"/>
          </w:tcPr>
          <w:p w14:paraId="6FF8848A">
            <w:pPr>
              <w:ind w:left="-105" w:right="-105"/>
              <w:jc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12</w:t>
            </w:r>
            <w:r>
              <w:rPr>
                <w:rFonts w:ascii="Times New Roman" w:hAnsi="Times New Roman"/>
                <w:color w:val="auto"/>
                <w:sz w:val="21"/>
                <w:szCs w:val="21"/>
                <w:highlight w:val="none"/>
              </w:rPr>
              <w:t>户/</w:t>
            </w:r>
            <w:r>
              <w:rPr>
                <w:rFonts w:hint="eastAsia" w:ascii="Times New Roman" w:hAnsi="Times New Roman"/>
                <w:color w:val="auto"/>
                <w:sz w:val="21"/>
                <w:szCs w:val="21"/>
                <w:highlight w:val="none"/>
              </w:rPr>
              <w:t>42</w:t>
            </w:r>
            <w:r>
              <w:rPr>
                <w:rFonts w:ascii="Times New Roman" w:hAnsi="Times New Roman"/>
                <w:color w:val="auto"/>
                <w:sz w:val="21"/>
                <w:szCs w:val="21"/>
                <w:highlight w:val="none"/>
              </w:rPr>
              <w:t>人</w:t>
            </w:r>
          </w:p>
        </w:tc>
      </w:tr>
      <w:tr w14:paraId="2311A353">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851" w:type="dxa"/>
            <w:vMerge w:val="continue"/>
            <w:tcBorders>
              <w:tl2br w:val="nil"/>
              <w:tr2bl w:val="nil"/>
            </w:tcBorders>
            <w:vAlign w:val="center"/>
          </w:tcPr>
          <w:p w14:paraId="6D6F9D32">
            <w:pPr>
              <w:ind w:left="-105" w:right="-105"/>
              <w:jc w:val="center"/>
              <w:rPr>
                <w:rFonts w:ascii="Times New Roman" w:hAnsi="Times New Roman"/>
                <w:color w:val="auto"/>
                <w:sz w:val="21"/>
                <w:szCs w:val="21"/>
                <w:highlight w:val="none"/>
                <w:lang w:val="zh-CN" w:bidi="zh-CN"/>
              </w:rPr>
            </w:pPr>
          </w:p>
        </w:tc>
        <w:tc>
          <w:tcPr>
            <w:tcW w:w="704" w:type="dxa"/>
            <w:tcBorders>
              <w:tl2br w:val="nil"/>
              <w:tr2bl w:val="nil"/>
            </w:tcBorders>
            <w:vAlign w:val="center"/>
          </w:tcPr>
          <w:p w14:paraId="14F9D4A5">
            <w:pPr>
              <w:pStyle w:val="97"/>
              <w:numPr>
                <w:ilvl w:val="0"/>
                <w:numId w:val="13"/>
              </w:numPr>
              <w:ind w:left="-105" w:right="-105" w:firstLineChars="0"/>
              <w:jc w:val="center"/>
              <w:rPr>
                <w:rFonts w:eastAsia="宋体"/>
                <w:color w:val="auto"/>
                <w:kern w:val="0"/>
                <w:sz w:val="21"/>
                <w:szCs w:val="21"/>
                <w:highlight w:val="none"/>
                <w:lang w:val="zh-CN" w:bidi="zh-CN"/>
              </w:rPr>
            </w:pPr>
          </w:p>
        </w:tc>
        <w:tc>
          <w:tcPr>
            <w:tcW w:w="2131" w:type="dxa"/>
            <w:gridSpan w:val="3"/>
            <w:tcBorders>
              <w:tl2br w:val="nil"/>
              <w:tr2bl w:val="nil"/>
            </w:tcBorders>
            <w:shd w:val="clear" w:color="auto" w:fill="auto"/>
            <w:vAlign w:val="center"/>
          </w:tcPr>
          <w:p w14:paraId="14EE5085">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孙巷上</w:t>
            </w:r>
          </w:p>
        </w:tc>
        <w:tc>
          <w:tcPr>
            <w:tcW w:w="1100" w:type="dxa"/>
            <w:gridSpan w:val="3"/>
            <w:tcBorders>
              <w:tl2br w:val="nil"/>
              <w:tr2bl w:val="nil"/>
            </w:tcBorders>
            <w:shd w:val="clear" w:color="auto" w:fill="auto"/>
            <w:vAlign w:val="center"/>
          </w:tcPr>
          <w:p w14:paraId="01E055B3">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SE</w:t>
            </w:r>
          </w:p>
        </w:tc>
        <w:tc>
          <w:tcPr>
            <w:tcW w:w="1278" w:type="dxa"/>
            <w:gridSpan w:val="3"/>
            <w:tcBorders>
              <w:tl2br w:val="nil"/>
              <w:tr2bl w:val="nil"/>
            </w:tcBorders>
            <w:shd w:val="clear" w:color="auto" w:fill="auto"/>
            <w:vAlign w:val="center"/>
          </w:tcPr>
          <w:p w14:paraId="7BF5E82D">
            <w:pPr>
              <w:ind w:left="-105" w:right="-105"/>
              <w:jc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3145</w:t>
            </w:r>
          </w:p>
        </w:tc>
        <w:tc>
          <w:tcPr>
            <w:tcW w:w="1238" w:type="dxa"/>
            <w:gridSpan w:val="3"/>
            <w:tcBorders>
              <w:tl2br w:val="nil"/>
              <w:tr2bl w:val="nil"/>
            </w:tcBorders>
            <w:shd w:val="clear" w:color="auto" w:fill="auto"/>
            <w:vAlign w:val="center"/>
          </w:tcPr>
          <w:p w14:paraId="34B63207">
            <w:pPr>
              <w:ind w:left="-105" w:right="-105"/>
              <w:jc w:val="center"/>
              <w:rPr>
                <w:rFonts w:ascii="Times New Roman" w:hAnsi="Times New Roman"/>
                <w:color w:val="auto"/>
                <w:sz w:val="21"/>
                <w:szCs w:val="21"/>
                <w:highlight w:val="none"/>
              </w:rPr>
            </w:pPr>
            <w:r>
              <w:rPr>
                <w:rFonts w:ascii="Times New Roman" w:hAnsi="Times New Roman"/>
                <w:color w:val="auto"/>
                <w:sz w:val="21"/>
                <w:szCs w:val="21"/>
                <w:highlight w:val="none"/>
              </w:rPr>
              <w:t>居住区</w:t>
            </w:r>
          </w:p>
        </w:tc>
        <w:tc>
          <w:tcPr>
            <w:tcW w:w="1748" w:type="dxa"/>
            <w:tcBorders>
              <w:tl2br w:val="nil"/>
              <w:tr2bl w:val="nil"/>
            </w:tcBorders>
            <w:shd w:val="clear" w:color="auto" w:fill="auto"/>
            <w:vAlign w:val="center"/>
          </w:tcPr>
          <w:p w14:paraId="6DCFC1FF">
            <w:pPr>
              <w:ind w:left="-105" w:right="-105"/>
              <w:jc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60</w:t>
            </w:r>
            <w:r>
              <w:rPr>
                <w:rFonts w:ascii="Times New Roman" w:hAnsi="Times New Roman"/>
                <w:color w:val="auto"/>
                <w:sz w:val="21"/>
                <w:szCs w:val="21"/>
                <w:highlight w:val="none"/>
              </w:rPr>
              <w:t>户/</w:t>
            </w:r>
            <w:r>
              <w:rPr>
                <w:rFonts w:hint="eastAsia" w:ascii="Times New Roman" w:hAnsi="Times New Roman"/>
                <w:color w:val="auto"/>
                <w:sz w:val="21"/>
                <w:szCs w:val="21"/>
                <w:highlight w:val="none"/>
              </w:rPr>
              <w:t>210</w:t>
            </w:r>
            <w:r>
              <w:rPr>
                <w:rFonts w:ascii="Times New Roman" w:hAnsi="Times New Roman"/>
                <w:color w:val="auto"/>
                <w:sz w:val="21"/>
                <w:szCs w:val="21"/>
                <w:highlight w:val="none"/>
              </w:rPr>
              <w:t>人</w:t>
            </w:r>
          </w:p>
        </w:tc>
      </w:tr>
      <w:tr w14:paraId="54ECF600">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851" w:type="dxa"/>
            <w:vMerge w:val="continue"/>
            <w:tcBorders>
              <w:tl2br w:val="nil"/>
              <w:tr2bl w:val="nil"/>
            </w:tcBorders>
            <w:vAlign w:val="center"/>
          </w:tcPr>
          <w:p w14:paraId="19EF1D88">
            <w:pPr>
              <w:ind w:left="-105" w:right="-105"/>
              <w:jc w:val="center"/>
              <w:rPr>
                <w:rFonts w:ascii="Times New Roman" w:hAnsi="Times New Roman"/>
                <w:color w:val="auto"/>
                <w:sz w:val="21"/>
                <w:szCs w:val="21"/>
                <w:highlight w:val="none"/>
                <w:lang w:val="zh-CN" w:bidi="zh-CN"/>
              </w:rPr>
            </w:pPr>
          </w:p>
        </w:tc>
        <w:tc>
          <w:tcPr>
            <w:tcW w:w="704" w:type="dxa"/>
            <w:tcBorders>
              <w:tl2br w:val="nil"/>
              <w:tr2bl w:val="nil"/>
            </w:tcBorders>
            <w:vAlign w:val="center"/>
          </w:tcPr>
          <w:p w14:paraId="6A38F5FF">
            <w:pPr>
              <w:pStyle w:val="97"/>
              <w:numPr>
                <w:ilvl w:val="0"/>
                <w:numId w:val="13"/>
              </w:numPr>
              <w:ind w:left="-105" w:right="-105" w:firstLineChars="0"/>
              <w:jc w:val="center"/>
              <w:rPr>
                <w:rFonts w:eastAsia="宋体"/>
                <w:color w:val="auto"/>
                <w:kern w:val="0"/>
                <w:sz w:val="21"/>
                <w:szCs w:val="21"/>
                <w:highlight w:val="none"/>
                <w:lang w:val="zh-CN" w:bidi="zh-CN"/>
              </w:rPr>
            </w:pPr>
          </w:p>
        </w:tc>
        <w:tc>
          <w:tcPr>
            <w:tcW w:w="2131" w:type="dxa"/>
            <w:gridSpan w:val="3"/>
            <w:tcBorders>
              <w:tl2br w:val="nil"/>
              <w:tr2bl w:val="nil"/>
            </w:tcBorders>
            <w:shd w:val="clear" w:color="auto" w:fill="auto"/>
            <w:vAlign w:val="center"/>
          </w:tcPr>
          <w:p w14:paraId="4849A447">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黄泥湾</w:t>
            </w:r>
          </w:p>
        </w:tc>
        <w:tc>
          <w:tcPr>
            <w:tcW w:w="1100" w:type="dxa"/>
            <w:gridSpan w:val="3"/>
            <w:tcBorders>
              <w:tl2br w:val="nil"/>
              <w:tr2bl w:val="nil"/>
            </w:tcBorders>
            <w:shd w:val="clear" w:color="auto" w:fill="auto"/>
            <w:vAlign w:val="center"/>
          </w:tcPr>
          <w:p w14:paraId="52E86E43">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SE</w:t>
            </w:r>
          </w:p>
        </w:tc>
        <w:tc>
          <w:tcPr>
            <w:tcW w:w="1278" w:type="dxa"/>
            <w:gridSpan w:val="3"/>
            <w:tcBorders>
              <w:tl2br w:val="nil"/>
              <w:tr2bl w:val="nil"/>
            </w:tcBorders>
            <w:shd w:val="clear" w:color="auto" w:fill="auto"/>
            <w:vAlign w:val="center"/>
          </w:tcPr>
          <w:p w14:paraId="58CB0327">
            <w:pPr>
              <w:ind w:left="-105" w:right="-105"/>
              <w:jc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3642</w:t>
            </w:r>
          </w:p>
        </w:tc>
        <w:tc>
          <w:tcPr>
            <w:tcW w:w="1238" w:type="dxa"/>
            <w:gridSpan w:val="3"/>
            <w:tcBorders>
              <w:tl2br w:val="nil"/>
              <w:tr2bl w:val="nil"/>
            </w:tcBorders>
            <w:shd w:val="clear" w:color="auto" w:fill="auto"/>
            <w:vAlign w:val="center"/>
          </w:tcPr>
          <w:p w14:paraId="290E602B">
            <w:pPr>
              <w:ind w:left="-105" w:right="-105"/>
              <w:jc w:val="center"/>
              <w:rPr>
                <w:rFonts w:ascii="Times New Roman" w:hAnsi="Times New Roman"/>
                <w:color w:val="auto"/>
                <w:sz w:val="21"/>
                <w:szCs w:val="21"/>
                <w:highlight w:val="none"/>
              </w:rPr>
            </w:pPr>
            <w:r>
              <w:rPr>
                <w:rFonts w:ascii="Times New Roman" w:hAnsi="Times New Roman"/>
                <w:color w:val="auto"/>
                <w:sz w:val="21"/>
                <w:szCs w:val="21"/>
                <w:highlight w:val="none"/>
              </w:rPr>
              <w:t>居住区</w:t>
            </w:r>
          </w:p>
        </w:tc>
        <w:tc>
          <w:tcPr>
            <w:tcW w:w="1748" w:type="dxa"/>
            <w:tcBorders>
              <w:tl2br w:val="nil"/>
              <w:tr2bl w:val="nil"/>
            </w:tcBorders>
            <w:shd w:val="clear" w:color="auto" w:fill="auto"/>
            <w:vAlign w:val="center"/>
          </w:tcPr>
          <w:p w14:paraId="54F3882A">
            <w:pPr>
              <w:ind w:left="-105" w:right="-105"/>
              <w:jc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60</w:t>
            </w:r>
            <w:r>
              <w:rPr>
                <w:rFonts w:ascii="Times New Roman" w:hAnsi="Times New Roman"/>
                <w:color w:val="auto"/>
                <w:sz w:val="21"/>
                <w:szCs w:val="21"/>
                <w:highlight w:val="none"/>
              </w:rPr>
              <w:t>户/</w:t>
            </w:r>
            <w:r>
              <w:rPr>
                <w:rFonts w:hint="eastAsia" w:ascii="Times New Roman" w:hAnsi="Times New Roman"/>
                <w:color w:val="auto"/>
                <w:sz w:val="21"/>
                <w:szCs w:val="21"/>
                <w:highlight w:val="none"/>
              </w:rPr>
              <w:t>210</w:t>
            </w:r>
            <w:r>
              <w:rPr>
                <w:rFonts w:ascii="Times New Roman" w:hAnsi="Times New Roman"/>
                <w:color w:val="auto"/>
                <w:sz w:val="21"/>
                <w:szCs w:val="21"/>
                <w:highlight w:val="none"/>
              </w:rPr>
              <w:t>人</w:t>
            </w:r>
          </w:p>
        </w:tc>
      </w:tr>
      <w:tr w14:paraId="4ED2F63D">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851" w:type="dxa"/>
            <w:vMerge w:val="continue"/>
            <w:tcBorders>
              <w:tl2br w:val="nil"/>
              <w:tr2bl w:val="nil"/>
            </w:tcBorders>
            <w:vAlign w:val="center"/>
          </w:tcPr>
          <w:p w14:paraId="043271A9">
            <w:pPr>
              <w:ind w:left="-105" w:right="-105"/>
              <w:jc w:val="center"/>
              <w:rPr>
                <w:rFonts w:ascii="Times New Roman" w:hAnsi="Times New Roman"/>
                <w:color w:val="auto"/>
                <w:sz w:val="21"/>
                <w:szCs w:val="21"/>
                <w:highlight w:val="none"/>
                <w:lang w:val="zh-CN" w:bidi="zh-CN"/>
              </w:rPr>
            </w:pPr>
          </w:p>
        </w:tc>
        <w:tc>
          <w:tcPr>
            <w:tcW w:w="704" w:type="dxa"/>
            <w:tcBorders>
              <w:tl2br w:val="nil"/>
              <w:tr2bl w:val="nil"/>
            </w:tcBorders>
            <w:vAlign w:val="center"/>
          </w:tcPr>
          <w:p w14:paraId="78EFC2C8">
            <w:pPr>
              <w:pStyle w:val="97"/>
              <w:numPr>
                <w:ilvl w:val="0"/>
                <w:numId w:val="13"/>
              </w:numPr>
              <w:ind w:left="-105" w:right="-105" w:firstLineChars="0"/>
              <w:jc w:val="center"/>
              <w:rPr>
                <w:rFonts w:eastAsia="宋体"/>
                <w:color w:val="auto"/>
                <w:kern w:val="0"/>
                <w:sz w:val="21"/>
                <w:szCs w:val="21"/>
                <w:highlight w:val="none"/>
                <w:lang w:val="zh-CN" w:bidi="zh-CN"/>
              </w:rPr>
            </w:pPr>
          </w:p>
        </w:tc>
        <w:tc>
          <w:tcPr>
            <w:tcW w:w="2131" w:type="dxa"/>
            <w:gridSpan w:val="3"/>
            <w:tcBorders>
              <w:tl2br w:val="nil"/>
              <w:tr2bl w:val="nil"/>
            </w:tcBorders>
            <w:shd w:val="clear" w:color="auto" w:fill="auto"/>
            <w:vAlign w:val="center"/>
          </w:tcPr>
          <w:p w14:paraId="56E77DF4">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周巷上</w:t>
            </w:r>
          </w:p>
        </w:tc>
        <w:tc>
          <w:tcPr>
            <w:tcW w:w="1100" w:type="dxa"/>
            <w:gridSpan w:val="3"/>
            <w:tcBorders>
              <w:tl2br w:val="nil"/>
              <w:tr2bl w:val="nil"/>
            </w:tcBorders>
            <w:shd w:val="clear" w:color="auto" w:fill="auto"/>
            <w:vAlign w:val="center"/>
          </w:tcPr>
          <w:p w14:paraId="4EA9082C">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SE</w:t>
            </w:r>
          </w:p>
        </w:tc>
        <w:tc>
          <w:tcPr>
            <w:tcW w:w="1278" w:type="dxa"/>
            <w:gridSpan w:val="3"/>
            <w:tcBorders>
              <w:tl2br w:val="nil"/>
              <w:tr2bl w:val="nil"/>
            </w:tcBorders>
            <w:shd w:val="clear" w:color="auto" w:fill="auto"/>
            <w:vAlign w:val="center"/>
          </w:tcPr>
          <w:p w14:paraId="6CBCE3EC">
            <w:pPr>
              <w:ind w:left="-105" w:right="-105"/>
              <w:jc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4366</w:t>
            </w:r>
          </w:p>
        </w:tc>
        <w:tc>
          <w:tcPr>
            <w:tcW w:w="1238" w:type="dxa"/>
            <w:gridSpan w:val="3"/>
            <w:tcBorders>
              <w:tl2br w:val="nil"/>
              <w:tr2bl w:val="nil"/>
            </w:tcBorders>
            <w:shd w:val="clear" w:color="auto" w:fill="auto"/>
            <w:vAlign w:val="center"/>
          </w:tcPr>
          <w:p w14:paraId="3E1F8BDA">
            <w:pPr>
              <w:ind w:left="-105" w:right="-105"/>
              <w:jc w:val="center"/>
              <w:rPr>
                <w:rFonts w:ascii="Times New Roman" w:hAnsi="Times New Roman"/>
                <w:color w:val="auto"/>
                <w:sz w:val="21"/>
                <w:szCs w:val="21"/>
                <w:highlight w:val="none"/>
              </w:rPr>
            </w:pPr>
            <w:r>
              <w:rPr>
                <w:rFonts w:ascii="Times New Roman" w:hAnsi="Times New Roman"/>
                <w:color w:val="auto"/>
                <w:sz w:val="21"/>
                <w:szCs w:val="21"/>
                <w:highlight w:val="none"/>
              </w:rPr>
              <w:t>居住区</w:t>
            </w:r>
          </w:p>
        </w:tc>
        <w:tc>
          <w:tcPr>
            <w:tcW w:w="1748" w:type="dxa"/>
            <w:tcBorders>
              <w:tl2br w:val="nil"/>
              <w:tr2bl w:val="nil"/>
            </w:tcBorders>
            <w:shd w:val="clear" w:color="auto" w:fill="auto"/>
            <w:vAlign w:val="center"/>
          </w:tcPr>
          <w:p w14:paraId="60EEDAC6">
            <w:pPr>
              <w:ind w:left="-105" w:right="-105"/>
              <w:jc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20</w:t>
            </w:r>
            <w:r>
              <w:rPr>
                <w:rFonts w:ascii="Times New Roman" w:hAnsi="Times New Roman"/>
                <w:color w:val="auto"/>
                <w:sz w:val="21"/>
                <w:szCs w:val="21"/>
                <w:highlight w:val="none"/>
              </w:rPr>
              <w:t>户/</w:t>
            </w:r>
            <w:r>
              <w:rPr>
                <w:rFonts w:hint="eastAsia" w:ascii="Times New Roman" w:hAnsi="Times New Roman"/>
                <w:color w:val="auto"/>
                <w:sz w:val="21"/>
                <w:szCs w:val="21"/>
                <w:highlight w:val="none"/>
              </w:rPr>
              <w:t>70</w:t>
            </w:r>
            <w:r>
              <w:rPr>
                <w:rFonts w:ascii="Times New Roman" w:hAnsi="Times New Roman"/>
                <w:color w:val="auto"/>
                <w:sz w:val="21"/>
                <w:szCs w:val="21"/>
                <w:highlight w:val="none"/>
              </w:rPr>
              <w:t>人</w:t>
            </w:r>
          </w:p>
        </w:tc>
      </w:tr>
      <w:tr w14:paraId="14AFCC9E">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851" w:type="dxa"/>
            <w:vMerge w:val="continue"/>
            <w:tcBorders>
              <w:tl2br w:val="nil"/>
              <w:tr2bl w:val="nil"/>
            </w:tcBorders>
            <w:vAlign w:val="center"/>
          </w:tcPr>
          <w:p w14:paraId="583684E6">
            <w:pPr>
              <w:ind w:left="-105" w:right="-105"/>
              <w:jc w:val="center"/>
              <w:rPr>
                <w:rFonts w:ascii="Times New Roman" w:hAnsi="Times New Roman"/>
                <w:color w:val="auto"/>
                <w:sz w:val="21"/>
                <w:szCs w:val="21"/>
                <w:highlight w:val="none"/>
                <w:lang w:val="zh-CN" w:bidi="zh-CN"/>
              </w:rPr>
            </w:pPr>
          </w:p>
        </w:tc>
        <w:tc>
          <w:tcPr>
            <w:tcW w:w="704" w:type="dxa"/>
            <w:tcBorders>
              <w:tl2br w:val="nil"/>
              <w:tr2bl w:val="nil"/>
            </w:tcBorders>
            <w:vAlign w:val="center"/>
          </w:tcPr>
          <w:p w14:paraId="3EE20439">
            <w:pPr>
              <w:pStyle w:val="97"/>
              <w:numPr>
                <w:ilvl w:val="0"/>
                <w:numId w:val="13"/>
              </w:numPr>
              <w:ind w:left="-105" w:right="-105" w:firstLineChars="0"/>
              <w:jc w:val="center"/>
              <w:rPr>
                <w:rFonts w:eastAsia="宋体"/>
                <w:color w:val="auto"/>
                <w:kern w:val="0"/>
                <w:sz w:val="21"/>
                <w:szCs w:val="21"/>
                <w:highlight w:val="none"/>
                <w:lang w:val="zh-CN" w:bidi="zh-CN"/>
              </w:rPr>
            </w:pPr>
          </w:p>
        </w:tc>
        <w:tc>
          <w:tcPr>
            <w:tcW w:w="2131" w:type="dxa"/>
            <w:gridSpan w:val="3"/>
            <w:tcBorders>
              <w:tl2br w:val="nil"/>
              <w:tr2bl w:val="nil"/>
            </w:tcBorders>
            <w:shd w:val="clear" w:color="auto" w:fill="auto"/>
            <w:vAlign w:val="center"/>
          </w:tcPr>
          <w:p w14:paraId="0D018FAB">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旗杆下村</w:t>
            </w:r>
          </w:p>
        </w:tc>
        <w:tc>
          <w:tcPr>
            <w:tcW w:w="1100" w:type="dxa"/>
            <w:gridSpan w:val="3"/>
            <w:tcBorders>
              <w:tl2br w:val="nil"/>
              <w:tr2bl w:val="nil"/>
            </w:tcBorders>
            <w:shd w:val="clear" w:color="auto" w:fill="auto"/>
            <w:vAlign w:val="center"/>
          </w:tcPr>
          <w:p w14:paraId="49B0C3F8">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SE</w:t>
            </w:r>
          </w:p>
        </w:tc>
        <w:tc>
          <w:tcPr>
            <w:tcW w:w="1278" w:type="dxa"/>
            <w:gridSpan w:val="3"/>
            <w:tcBorders>
              <w:tl2br w:val="nil"/>
              <w:tr2bl w:val="nil"/>
            </w:tcBorders>
            <w:shd w:val="clear" w:color="auto" w:fill="auto"/>
            <w:vAlign w:val="center"/>
          </w:tcPr>
          <w:p w14:paraId="5CFDBA3D">
            <w:pPr>
              <w:ind w:left="-105" w:right="-105"/>
              <w:jc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4715</w:t>
            </w:r>
          </w:p>
        </w:tc>
        <w:tc>
          <w:tcPr>
            <w:tcW w:w="1238" w:type="dxa"/>
            <w:gridSpan w:val="3"/>
            <w:tcBorders>
              <w:tl2br w:val="nil"/>
              <w:tr2bl w:val="nil"/>
            </w:tcBorders>
            <w:shd w:val="clear" w:color="auto" w:fill="auto"/>
            <w:vAlign w:val="center"/>
          </w:tcPr>
          <w:p w14:paraId="248346BE">
            <w:pPr>
              <w:ind w:left="-105" w:right="-105"/>
              <w:jc w:val="center"/>
              <w:rPr>
                <w:rFonts w:ascii="Times New Roman" w:hAnsi="Times New Roman"/>
                <w:color w:val="auto"/>
                <w:sz w:val="21"/>
                <w:szCs w:val="21"/>
                <w:highlight w:val="none"/>
              </w:rPr>
            </w:pPr>
            <w:r>
              <w:rPr>
                <w:rFonts w:ascii="Times New Roman" w:hAnsi="Times New Roman"/>
                <w:color w:val="auto"/>
                <w:sz w:val="21"/>
                <w:szCs w:val="21"/>
                <w:highlight w:val="none"/>
              </w:rPr>
              <w:t>居住区</w:t>
            </w:r>
          </w:p>
        </w:tc>
        <w:tc>
          <w:tcPr>
            <w:tcW w:w="1748" w:type="dxa"/>
            <w:tcBorders>
              <w:tl2br w:val="nil"/>
              <w:tr2bl w:val="nil"/>
            </w:tcBorders>
            <w:shd w:val="clear" w:color="auto" w:fill="auto"/>
            <w:vAlign w:val="center"/>
          </w:tcPr>
          <w:p w14:paraId="2EE8879D">
            <w:pPr>
              <w:ind w:left="-105" w:right="-105"/>
              <w:jc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30</w:t>
            </w:r>
            <w:r>
              <w:rPr>
                <w:rFonts w:ascii="Times New Roman" w:hAnsi="Times New Roman"/>
                <w:color w:val="auto"/>
                <w:sz w:val="21"/>
                <w:szCs w:val="21"/>
                <w:highlight w:val="none"/>
              </w:rPr>
              <w:t>户/</w:t>
            </w:r>
            <w:r>
              <w:rPr>
                <w:rFonts w:hint="eastAsia" w:ascii="Times New Roman" w:hAnsi="Times New Roman"/>
                <w:color w:val="auto"/>
                <w:sz w:val="21"/>
                <w:szCs w:val="21"/>
                <w:highlight w:val="none"/>
              </w:rPr>
              <w:t>105</w:t>
            </w:r>
            <w:r>
              <w:rPr>
                <w:rFonts w:ascii="Times New Roman" w:hAnsi="Times New Roman"/>
                <w:color w:val="auto"/>
                <w:sz w:val="21"/>
                <w:szCs w:val="21"/>
                <w:highlight w:val="none"/>
              </w:rPr>
              <w:t>人</w:t>
            </w:r>
          </w:p>
        </w:tc>
      </w:tr>
      <w:tr w14:paraId="02197256">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851" w:type="dxa"/>
            <w:vMerge w:val="continue"/>
            <w:tcBorders>
              <w:tl2br w:val="nil"/>
              <w:tr2bl w:val="nil"/>
            </w:tcBorders>
            <w:vAlign w:val="center"/>
          </w:tcPr>
          <w:p w14:paraId="03956FF4">
            <w:pPr>
              <w:ind w:left="-105" w:right="-105"/>
              <w:jc w:val="center"/>
              <w:rPr>
                <w:rFonts w:ascii="Times New Roman" w:hAnsi="Times New Roman"/>
                <w:color w:val="auto"/>
                <w:sz w:val="21"/>
                <w:szCs w:val="21"/>
                <w:highlight w:val="none"/>
                <w:lang w:val="zh-CN" w:bidi="zh-CN"/>
              </w:rPr>
            </w:pPr>
          </w:p>
        </w:tc>
        <w:tc>
          <w:tcPr>
            <w:tcW w:w="704" w:type="dxa"/>
            <w:tcBorders>
              <w:tl2br w:val="nil"/>
              <w:tr2bl w:val="nil"/>
            </w:tcBorders>
            <w:vAlign w:val="center"/>
          </w:tcPr>
          <w:p w14:paraId="0CF8D5AA">
            <w:pPr>
              <w:pStyle w:val="97"/>
              <w:numPr>
                <w:ilvl w:val="0"/>
                <w:numId w:val="13"/>
              </w:numPr>
              <w:ind w:left="-105" w:right="-105" w:firstLineChars="0"/>
              <w:jc w:val="center"/>
              <w:rPr>
                <w:rFonts w:eastAsia="宋体"/>
                <w:color w:val="auto"/>
                <w:kern w:val="0"/>
                <w:sz w:val="21"/>
                <w:szCs w:val="21"/>
                <w:highlight w:val="none"/>
                <w:lang w:val="zh-CN" w:bidi="zh-CN"/>
              </w:rPr>
            </w:pPr>
          </w:p>
        </w:tc>
        <w:tc>
          <w:tcPr>
            <w:tcW w:w="2131" w:type="dxa"/>
            <w:gridSpan w:val="3"/>
            <w:tcBorders>
              <w:tl2br w:val="nil"/>
              <w:tr2bl w:val="nil"/>
            </w:tcBorders>
            <w:shd w:val="clear" w:color="auto" w:fill="auto"/>
            <w:vAlign w:val="center"/>
          </w:tcPr>
          <w:p w14:paraId="24F847D3">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安家庄</w:t>
            </w:r>
          </w:p>
        </w:tc>
        <w:tc>
          <w:tcPr>
            <w:tcW w:w="1100" w:type="dxa"/>
            <w:gridSpan w:val="3"/>
            <w:tcBorders>
              <w:tl2br w:val="nil"/>
              <w:tr2bl w:val="nil"/>
            </w:tcBorders>
            <w:shd w:val="clear" w:color="auto" w:fill="auto"/>
            <w:vAlign w:val="center"/>
          </w:tcPr>
          <w:p w14:paraId="21BB2D9E">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SE</w:t>
            </w:r>
          </w:p>
        </w:tc>
        <w:tc>
          <w:tcPr>
            <w:tcW w:w="1278" w:type="dxa"/>
            <w:gridSpan w:val="3"/>
            <w:tcBorders>
              <w:tl2br w:val="nil"/>
              <w:tr2bl w:val="nil"/>
            </w:tcBorders>
            <w:shd w:val="clear" w:color="auto" w:fill="auto"/>
            <w:vAlign w:val="center"/>
          </w:tcPr>
          <w:p w14:paraId="1001DB82">
            <w:pPr>
              <w:ind w:left="-105" w:right="-105"/>
              <w:jc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2166</w:t>
            </w:r>
          </w:p>
        </w:tc>
        <w:tc>
          <w:tcPr>
            <w:tcW w:w="1238" w:type="dxa"/>
            <w:gridSpan w:val="3"/>
            <w:tcBorders>
              <w:tl2br w:val="nil"/>
              <w:tr2bl w:val="nil"/>
            </w:tcBorders>
            <w:shd w:val="clear" w:color="auto" w:fill="auto"/>
            <w:vAlign w:val="center"/>
          </w:tcPr>
          <w:p w14:paraId="2AD5571D">
            <w:pPr>
              <w:ind w:left="-105" w:right="-105"/>
              <w:jc w:val="center"/>
              <w:rPr>
                <w:rFonts w:ascii="Times New Roman" w:hAnsi="Times New Roman"/>
                <w:color w:val="auto"/>
                <w:sz w:val="21"/>
                <w:szCs w:val="21"/>
                <w:highlight w:val="none"/>
              </w:rPr>
            </w:pPr>
            <w:r>
              <w:rPr>
                <w:rFonts w:ascii="Times New Roman" w:hAnsi="Times New Roman"/>
                <w:color w:val="auto"/>
                <w:sz w:val="21"/>
                <w:szCs w:val="21"/>
                <w:highlight w:val="none"/>
              </w:rPr>
              <w:t>居住区</w:t>
            </w:r>
          </w:p>
        </w:tc>
        <w:tc>
          <w:tcPr>
            <w:tcW w:w="1748" w:type="dxa"/>
            <w:tcBorders>
              <w:tl2br w:val="nil"/>
              <w:tr2bl w:val="nil"/>
            </w:tcBorders>
            <w:shd w:val="clear" w:color="auto" w:fill="auto"/>
            <w:vAlign w:val="center"/>
          </w:tcPr>
          <w:p w14:paraId="625C84C7">
            <w:pPr>
              <w:ind w:left="-105" w:right="-105"/>
              <w:jc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12</w:t>
            </w:r>
            <w:r>
              <w:rPr>
                <w:rFonts w:ascii="Times New Roman" w:hAnsi="Times New Roman"/>
                <w:color w:val="auto"/>
                <w:sz w:val="21"/>
                <w:szCs w:val="21"/>
                <w:highlight w:val="none"/>
              </w:rPr>
              <w:t>户/</w:t>
            </w:r>
            <w:r>
              <w:rPr>
                <w:rFonts w:hint="eastAsia" w:ascii="Times New Roman" w:hAnsi="Times New Roman"/>
                <w:color w:val="auto"/>
                <w:sz w:val="21"/>
                <w:szCs w:val="21"/>
                <w:highlight w:val="none"/>
              </w:rPr>
              <w:t>42</w:t>
            </w:r>
            <w:r>
              <w:rPr>
                <w:rFonts w:ascii="Times New Roman" w:hAnsi="Times New Roman"/>
                <w:color w:val="auto"/>
                <w:sz w:val="21"/>
                <w:szCs w:val="21"/>
                <w:highlight w:val="none"/>
              </w:rPr>
              <w:t>人</w:t>
            </w:r>
          </w:p>
        </w:tc>
      </w:tr>
      <w:tr w14:paraId="4BD3C729">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851" w:type="dxa"/>
            <w:vMerge w:val="continue"/>
            <w:tcBorders>
              <w:tl2br w:val="nil"/>
              <w:tr2bl w:val="nil"/>
            </w:tcBorders>
            <w:vAlign w:val="center"/>
          </w:tcPr>
          <w:p w14:paraId="40D06ED9">
            <w:pPr>
              <w:ind w:left="-105" w:right="-105"/>
              <w:jc w:val="center"/>
              <w:rPr>
                <w:rFonts w:ascii="Times New Roman" w:hAnsi="Times New Roman"/>
                <w:color w:val="auto"/>
                <w:sz w:val="21"/>
                <w:szCs w:val="21"/>
                <w:highlight w:val="none"/>
                <w:lang w:val="zh-CN" w:bidi="zh-CN"/>
              </w:rPr>
            </w:pPr>
          </w:p>
        </w:tc>
        <w:tc>
          <w:tcPr>
            <w:tcW w:w="704" w:type="dxa"/>
            <w:tcBorders>
              <w:tl2br w:val="nil"/>
              <w:tr2bl w:val="nil"/>
            </w:tcBorders>
            <w:vAlign w:val="center"/>
          </w:tcPr>
          <w:p w14:paraId="1E42132D">
            <w:pPr>
              <w:pStyle w:val="97"/>
              <w:numPr>
                <w:ilvl w:val="0"/>
                <w:numId w:val="13"/>
              </w:numPr>
              <w:ind w:left="-105" w:right="-105" w:firstLineChars="0"/>
              <w:jc w:val="center"/>
              <w:rPr>
                <w:rFonts w:eastAsia="宋体"/>
                <w:color w:val="auto"/>
                <w:kern w:val="0"/>
                <w:sz w:val="21"/>
                <w:szCs w:val="21"/>
                <w:highlight w:val="none"/>
                <w:lang w:val="zh-CN" w:bidi="zh-CN"/>
              </w:rPr>
            </w:pPr>
          </w:p>
        </w:tc>
        <w:tc>
          <w:tcPr>
            <w:tcW w:w="2131" w:type="dxa"/>
            <w:gridSpan w:val="3"/>
            <w:tcBorders>
              <w:tl2br w:val="nil"/>
              <w:tr2bl w:val="nil"/>
            </w:tcBorders>
            <w:shd w:val="clear" w:color="auto" w:fill="auto"/>
            <w:vAlign w:val="center"/>
          </w:tcPr>
          <w:p w14:paraId="71D7E0F0">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赵巷上</w:t>
            </w:r>
          </w:p>
        </w:tc>
        <w:tc>
          <w:tcPr>
            <w:tcW w:w="1100" w:type="dxa"/>
            <w:gridSpan w:val="3"/>
            <w:tcBorders>
              <w:tl2br w:val="nil"/>
              <w:tr2bl w:val="nil"/>
            </w:tcBorders>
            <w:shd w:val="clear" w:color="auto" w:fill="auto"/>
            <w:vAlign w:val="center"/>
          </w:tcPr>
          <w:p w14:paraId="3B6FAD80">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SE</w:t>
            </w:r>
          </w:p>
        </w:tc>
        <w:tc>
          <w:tcPr>
            <w:tcW w:w="1278" w:type="dxa"/>
            <w:gridSpan w:val="3"/>
            <w:tcBorders>
              <w:tl2br w:val="nil"/>
              <w:tr2bl w:val="nil"/>
            </w:tcBorders>
            <w:shd w:val="clear" w:color="auto" w:fill="auto"/>
            <w:vAlign w:val="center"/>
          </w:tcPr>
          <w:p w14:paraId="113E6F9E">
            <w:pPr>
              <w:ind w:left="-105" w:right="-105"/>
              <w:jc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2118</w:t>
            </w:r>
          </w:p>
        </w:tc>
        <w:tc>
          <w:tcPr>
            <w:tcW w:w="1238" w:type="dxa"/>
            <w:gridSpan w:val="3"/>
            <w:tcBorders>
              <w:tl2br w:val="nil"/>
              <w:tr2bl w:val="nil"/>
            </w:tcBorders>
            <w:shd w:val="clear" w:color="auto" w:fill="auto"/>
            <w:vAlign w:val="center"/>
          </w:tcPr>
          <w:p w14:paraId="35C6C02E">
            <w:pPr>
              <w:ind w:left="-105" w:right="-105"/>
              <w:jc w:val="center"/>
              <w:rPr>
                <w:rFonts w:ascii="Times New Roman" w:hAnsi="Times New Roman"/>
                <w:color w:val="auto"/>
                <w:sz w:val="21"/>
                <w:szCs w:val="21"/>
                <w:highlight w:val="none"/>
              </w:rPr>
            </w:pPr>
            <w:r>
              <w:rPr>
                <w:rFonts w:ascii="Times New Roman" w:hAnsi="Times New Roman"/>
                <w:color w:val="auto"/>
                <w:sz w:val="21"/>
                <w:szCs w:val="21"/>
                <w:highlight w:val="none"/>
              </w:rPr>
              <w:t>居住区</w:t>
            </w:r>
          </w:p>
        </w:tc>
        <w:tc>
          <w:tcPr>
            <w:tcW w:w="1748" w:type="dxa"/>
            <w:tcBorders>
              <w:tl2br w:val="nil"/>
              <w:tr2bl w:val="nil"/>
            </w:tcBorders>
            <w:shd w:val="clear" w:color="auto" w:fill="auto"/>
            <w:vAlign w:val="center"/>
          </w:tcPr>
          <w:p w14:paraId="2FC14EC0">
            <w:pPr>
              <w:ind w:left="-105" w:right="-105"/>
              <w:jc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120</w:t>
            </w:r>
            <w:r>
              <w:rPr>
                <w:rFonts w:ascii="Times New Roman" w:hAnsi="Times New Roman"/>
                <w:color w:val="auto"/>
                <w:sz w:val="21"/>
                <w:szCs w:val="21"/>
                <w:highlight w:val="none"/>
              </w:rPr>
              <w:t>户/</w:t>
            </w:r>
            <w:r>
              <w:rPr>
                <w:rFonts w:hint="eastAsia" w:ascii="Times New Roman" w:hAnsi="Times New Roman"/>
                <w:color w:val="auto"/>
                <w:sz w:val="21"/>
                <w:szCs w:val="21"/>
                <w:highlight w:val="none"/>
              </w:rPr>
              <w:t>420</w:t>
            </w:r>
            <w:r>
              <w:rPr>
                <w:rFonts w:ascii="Times New Roman" w:hAnsi="Times New Roman"/>
                <w:color w:val="auto"/>
                <w:sz w:val="21"/>
                <w:szCs w:val="21"/>
                <w:highlight w:val="none"/>
              </w:rPr>
              <w:t>人</w:t>
            </w:r>
          </w:p>
        </w:tc>
      </w:tr>
      <w:tr w14:paraId="3783C655">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851" w:type="dxa"/>
            <w:vMerge w:val="continue"/>
            <w:tcBorders>
              <w:tl2br w:val="nil"/>
              <w:tr2bl w:val="nil"/>
            </w:tcBorders>
            <w:vAlign w:val="center"/>
          </w:tcPr>
          <w:p w14:paraId="2BA4C200">
            <w:pPr>
              <w:ind w:left="-105" w:right="-105"/>
              <w:jc w:val="center"/>
              <w:rPr>
                <w:rFonts w:ascii="Times New Roman" w:hAnsi="Times New Roman"/>
                <w:color w:val="auto"/>
                <w:sz w:val="21"/>
                <w:szCs w:val="21"/>
                <w:highlight w:val="none"/>
                <w:lang w:val="zh-CN" w:bidi="zh-CN"/>
              </w:rPr>
            </w:pPr>
          </w:p>
        </w:tc>
        <w:tc>
          <w:tcPr>
            <w:tcW w:w="704" w:type="dxa"/>
            <w:tcBorders>
              <w:tl2br w:val="nil"/>
              <w:tr2bl w:val="nil"/>
            </w:tcBorders>
            <w:vAlign w:val="center"/>
          </w:tcPr>
          <w:p w14:paraId="23205C68">
            <w:pPr>
              <w:pStyle w:val="97"/>
              <w:numPr>
                <w:ilvl w:val="0"/>
                <w:numId w:val="13"/>
              </w:numPr>
              <w:ind w:left="-105" w:right="-105" w:firstLineChars="0"/>
              <w:jc w:val="center"/>
              <w:rPr>
                <w:rFonts w:eastAsia="宋体"/>
                <w:color w:val="auto"/>
                <w:kern w:val="0"/>
                <w:sz w:val="21"/>
                <w:szCs w:val="21"/>
                <w:highlight w:val="none"/>
                <w:lang w:val="zh-CN" w:bidi="zh-CN"/>
              </w:rPr>
            </w:pPr>
          </w:p>
        </w:tc>
        <w:tc>
          <w:tcPr>
            <w:tcW w:w="2131" w:type="dxa"/>
            <w:gridSpan w:val="3"/>
            <w:tcBorders>
              <w:tl2br w:val="nil"/>
              <w:tr2bl w:val="nil"/>
            </w:tcBorders>
            <w:shd w:val="clear" w:color="auto" w:fill="auto"/>
            <w:vAlign w:val="center"/>
          </w:tcPr>
          <w:p w14:paraId="1187A620">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丁巷村</w:t>
            </w:r>
          </w:p>
        </w:tc>
        <w:tc>
          <w:tcPr>
            <w:tcW w:w="1100" w:type="dxa"/>
            <w:gridSpan w:val="3"/>
            <w:tcBorders>
              <w:tl2br w:val="nil"/>
              <w:tr2bl w:val="nil"/>
            </w:tcBorders>
            <w:shd w:val="clear" w:color="auto" w:fill="auto"/>
            <w:vAlign w:val="center"/>
          </w:tcPr>
          <w:p w14:paraId="7C0EEFFD">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SE</w:t>
            </w:r>
          </w:p>
        </w:tc>
        <w:tc>
          <w:tcPr>
            <w:tcW w:w="1278" w:type="dxa"/>
            <w:gridSpan w:val="3"/>
            <w:tcBorders>
              <w:tl2br w:val="nil"/>
              <w:tr2bl w:val="nil"/>
            </w:tcBorders>
            <w:shd w:val="clear" w:color="auto" w:fill="auto"/>
            <w:vAlign w:val="center"/>
          </w:tcPr>
          <w:p w14:paraId="1E510941">
            <w:pPr>
              <w:ind w:left="-105" w:right="-105"/>
              <w:jc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3100</w:t>
            </w:r>
          </w:p>
        </w:tc>
        <w:tc>
          <w:tcPr>
            <w:tcW w:w="1238" w:type="dxa"/>
            <w:gridSpan w:val="3"/>
            <w:tcBorders>
              <w:tl2br w:val="nil"/>
              <w:tr2bl w:val="nil"/>
            </w:tcBorders>
            <w:shd w:val="clear" w:color="auto" w:fill="auto"/>
            <w:vAlign w:val="center"/>
          </w:tcPr>
          <w:p w14:paraId="7C792C39">
            <w:pPr>
              <w:ind w:left="-105" w:right="-105"/>
              <w:jc w:val="center"/>
              <w:rPr>
                <w:rFonts w:ascii="Times New Roman" w:hAnsi="Times New Roman"/>
                <w:color w:val="auto"/>
                <w:sz w:val="21"/>
                <w:szCs w:val="21"/>
                <w:highlight w:val="none"/>
              </w:rPr>
            </w:pPr>
            <w:r>
              <w:rPr>
                <w:rFonts w:ascii="Times New Roman" w:hAnsi="Times New Roman"/>
                <w:color w:val="auto"/>
                <w:sz w:val="21"/>
                <w:szCs w:val="21"/>
                <w:highlight w:val="none"/>
              </w:rPr>
              <w:t>居住区</w:t>
            </w:r>
          </w:p>
        </w:tc>
        <w:tc>
          <w:tcPr>
            <w:tcW w:w="1748" w:type="dxa"/>
            <w:tcBorders>
              <w:tl2br w:val="nil"/>
              <w:tr2bl w:val="nil"/>
            </w:tcBorders>
            <w:shd w:val="clear" w:color="auto" w:fill="auto"/>
            <w:vAlign w:val="center"/>
          </w:tcPr>
          <w:p w14:paraId="4ECA91A0">
            <w:pPr>
              <w:ind w:left="-105" w:right="-105"/>
              <w:jc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60</w:t>
            </w:r>
            <w:r>
              <w:rPr>
                <w:rFonts w:ascii="Times New Roman" w:hAnsi="Times New Roman"/>
                <w:color w:val="auto"/>
                <w:sz w:val="21"/>
                <w:szCs w:val="21"/>
                <w:highlight w:val="none"/>
              </w:rPr>
              <w:t>户/</w:t>
            </w:r>
            <w:r>
              <w:rPr>
                <w:rFonts w:hint="eastAsia" w:ascii="Times New Roman" w:hAnsi="Times New Roman"/>
                <w:color w:val="auto"/>
                <w:sz w:val="21"/>
                <w:szCs w:val="21"/>
                <w:highlight w:val="none"/>
              </w:rPr>
              <w:t>210</w:t>
            </w:r>
            <w:r>
              <w:rPr>
                <w:rFonts w:ascii="Times New Roman" w:hAnsi="Times New Roman"/>
                <w:color w:val="auto"/>
                <w:sz w:val="21"/>
                <w:szCs w:val="21"/>
                <w:highlight w:val="none"/>
              </w:rPr>
              <w:t>人</w:t>
            </w:r>
          </w:p>
        </w:tc>
      </w:tr>
      <w:tr w14:paraId="53DB2EE7">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851" w:type="dxa"/>
            <w:vMerge w:val="continue"/>
            <w:tcBorders>
              <w:tl2br w:val="nil"/>
              <w:tr2bl w:val="nil"/>
            </w:tcBorders>
            <w:vAlign w:val="center"/>
          </w:tcPr>
          <w:p w14:paraId="1F0C37D4">
            <w:pPr>
              <w:ind w:left="-105" w:right="-105"/>
              <w:jc w:val="center"/>
              <w:rPr>
                <w:rFonts w:ascii="Times New Roman" w:hAnsi="Times New Roman"/>
                <w:color w:val="auto"/>
                <w:sz w:val="21"/>
                <w:szCs w:val="21"/>
                <w:highlight w:val="none"/>
                <w:lang w:val="zh-CN" w:bidi="zh-CN"/>
              </w:rPr>
            </w:pPr>
          </w:p>
        </w:tc>
        <w:tc>
          <w:tcPr>
            <w:tcW w:w="704" w:type="dxa"/>
            <w:tcBorders>
              <w:tl2br w:val="nil"/>
              <w:tr2bl w:val="nil"/>
            </w:tcBorders>
            <w:vAlign w:val="center"/>
          </w:tcPr>
          <w:p w14:paraId="4F93AD78">
            <w:pPr>
              <w:pStyle w:val="97"/>
              <w:numPr>
                <w:ilvl w:val="0"/>
                <w:numId w:val="13"/>
              </w:numPr>
              <w:ind w:left="-105" w:right="-105" w:firstLineChars="0"/>
              <w:jc w:val="center"/>
              <w:rPr>
                <w:rFonts w:eastAsia="宋体"/>
                <w:color w:val="auto"/>
                <w:kern w:val="0"/>
                <w:sz w:val="21"/>
                <w:szCs w:val="21"/>
                <w:highlight w:val="none"/>
                <w:lang w:val="zh-CN" w:bidi="zh-CN"/>
              </w:rPr>
            </w:pPr>
          </w:p>
        </w:tc>
        <w:tc>
          <w:tcPr>
            <w:tcW w:w="2131" w:type="dxa"/>
            <w:gridSpan w:val="3"/>
            <w:tcBorders>
              <w:tl2br w:val="nil"/>
              <w:tr2bl w:val="nil"/>
            </w:tcBorders>
            <w:shd w:val="clear" w:color="auto" w:fill="auto"/>
            <w:vAlign w:val="center"/>
          </w:tcPr>
          <w:p w14:paraId="4FC1CF6F">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何夹里</w:t>
            </w:r>
          </w:p>
        </w:tc>
        <w:tc>
          <w:tcPr>
            <w:tcW w:w="1100" w:type="dxa"/>
            <w:gridSpan w:val="3"/>
            <w:tcBorders>
              <w:tl2br w:val="nil"/>
              <w:tr2bl w:val="nil"/>
            </w:tcBorders>
            <w:shd w:val="clear" w:color="auto" w:fill="auto"/>
            <w:vAlign w:val="center"/>
          </w:tcPr>
          <w:p w14:paraId="08F35C37">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SE</w:t>
            </w:r>
          </w:p>
        </w:tc>
        <w:tc>
          <w:tcPr>
            <w:tcW w:w="1278" w:type="dxa"/>
            <w:gridSpan w:val="3"/>
            <w:tcBorders>
              <w:tl2br w:val="nil"/>
              <w:tr2bl w:val="nil"/>
            </w:tcBorders>
            <w:shd w:val="clear" w:color="auto" w:fill="auto"/>
            <w:vAlign w:val="center"/>
          </w:tcPr>
          <w:p w14:paraId="25660E3D">
            <w:pPr>
              <w:ind w:left="-105" w:right="-105"/>
              <w:jc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3493</w:t>
            </w:r>
          </w:p>
        </w:tc>
        <w:tc>
          <w:tcPr>
            <w:tcW w:w="1238" w:type="dxa"/>
            <w:gridSpan w:val="3"/>
            <w:tcBorders>
              <w:tl2br w:val="nil"/>
              <w:tr2bl w:val="nil"/>
            </w:tcBorders>
            <w:shd w:val="clear" w:color="auto" w:fill="auto"/>
            <w:vAlign w:val="center"/>
          </w:tcPr>
          <w:p w14:paraId="7FB3090C">
            <w:pPr>
              <w:ind w:left="-105" w:right="-105"/>
              <w:jc w:val="center"/>
              <w:rPr>
                <w:rFonts w:ascii="Times New Roman" w:hAnsi="Times New Roman"/>
                <w:color w:val="auto"/>
                <w:sz w:val="21"/>
                <w:szCs w:val="21"/>
                <w:highlight w:val="none"/>
              </w:rPr>
            </w:pPr>
            <w:r>
              <w:rPr>
                <w:rFonts w:ascii="Times New Roman" w:hAnsi="Times New Roman"/>
                <w:color w:val="auto"/>
                <w:sz w:val="21"/>
                <w:szCs w:val="21"/>
                <w:highlight w:val="none"/>
              </w:rPr>
              <w:t>居住区</w:t>
            </w:r>
          </w:p>
        </w:tc>
        <w:tc>
          <w:tcPr>
            <w:tcW w:w="1748" w:type="dxa"/>
            <w:tcBorders>
              <w:tl2br w:val="nil"/>
              <w:tr2bl w:val="nil"/>
            </w:tcBorders>
            <w:shd w:val="clear" w:color="auto" w:fill="auto"/>
            <w:vAlign w:val="center"/>
          </w:tcPr>
          <w:p w14:paraId="01B3A130">
            <w:pPr>
              <w:ind w:left="-105" w:right="-105"/>
              <w:jc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10</w:t>
            </w:r>
            <w:r>
              <w:rPr>
                <w:rFonts w:ascii="Times New Roman" w:hAnsi="Times New Roman"/>
                <w:color w:val="auto"/>
                <w:sz w:val="21"/>
                <w:szCs w:val="21"/>
                <w:highlight w:val="none"/>
              </w:rPr>
              <w:t>户/</w:t>
            </w:r>
            <w:r>
              <w:rPr>
                <w:rFonts w:hint="eastAsia" w:ascii="Times New Roman" w:hAnsi="Times New Roman"/>
                <w:color w:val="auto"/>
                <w:sz w:val="21"/>
                <w:szCs w:val="21"/>
                <w:highlight w:val="none"/>
              </w:rPr>
              <w:t>35</w:t>
            </w:r>
            <w:r>
              <w:rPr>
                <w:rFonts w:ascii="Times New Roman" w:hAnsi="Times New Roman"/>
                <w:color w:val="auto"/>
                <w:sz w:val="21"/>
                <w:szCs w:val="21"/>
                <w:highlight w:val="none"/>
              </w:rPr>
              <w:t>人</w:t>
            </w:r>
          </w:p>
        </w:tc>
      </w:tr>
      <w:tr w14:paraId="2F8D2603">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851" w:type="dxa"/>
            <w:vMerge w:val="continue"/>
            <w:tcBorders>
              <w:tl2br w:val="nil"/>
              <w:tr2bl w:val="nil"/>
            </w:tcBorders>
            <w:vAlign w:val="center"/>
          </w:tcPr>
          <w:p w14:paraId="25DDC781">
            <w:pPr>
              <w:ind w:left="-105" w:right="-105"/>
              <w:jc w:val="center"/>
              <w:rPr>
                <w:rFonts w:ascii="Times New Roman" w:hAnsi="Times New Roman"/>
                <w:color w:val="auto"/>
                <w:sz w:val="21"/>
                <w:szCs w:val="21"/>
                <w:highlight w:val="none"/>
                <w:lang w:val="zh-CN" w:bidi="zh-CN"/>
              </w:rPr>
            </w:pPr>
          </w:p>
        </w:tc>
        <w:tc>
          <w:tcPr>
            <w:tcW w:w="704" w:type="dxa"/>
            <w:tcBorders>
              <w:tl2br w:val="nil"/>
              <w:tr2bl w:val="nil"/>
            </w:tcBorders>
            <w:vAlign w:val="center"/>
          </w:tcPr>
          <w:p w14:paraId="3C68960F">
            <w:pPr>
              <w:pStyle w:val="97"/>
              <w:numPr>
                <w:ilvl w:val="0"/>
                <w:numId w:val="13"/>
              </w:numPr>
              <w:ind w:left="-105" w:right="-105" w:firstLineChars="0"/>
              <w:jc w:val="center"/>
              <w:rPr>
                <w:rFonts w:eastAsia="宋体"/>
                <w:color w:val="auto"/>
                <w:kern w:val="0"/>
                <w:sz w:val="21"/>
                <w:szCs w:val="21"/>
                <w:highlight w:val="none"/>
                <w:lang w:val="zh-CN" w:bidi="zh-CN"/>
              </w:rPr>
            </w:pPr>
          </w:p>
        </w:tc>
        <w:tc>
          <w:tcPr>
            <w:tcW w:w="2131" w:type="dxa"/>
            <w:gridSpan w:val="3"/>
            <w:tcBorders>
              <w:tl2br w:val="nil"/>
              <w:tr2bl w:val="nil"/>
            </w:tcBorders>
            <w:shd w:val="clear" w:color="auto" w:fill="auto"/>
            <w:vAlign w:val="center"/>
          </w:tcPr>
          <w:p w14:paraId="2D0C4C5A">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潭塘桥</w:t>
            </w:r>
          </w:p>
        </w:tc>
        <w:tc>
          <w:tcPr>
            <w:tcW w:w="1100" w:type="dxa"/>
            <w:gridSpan w:val="3"/>
            <w:tcBorders>
              <w:tl2br w:val="nil"/>
              <w:tr2bl w:val="nil"/>
            </w:tcBorders>
            <w:shd w:val="clear" w:color="auto" w:fill="auto"/>
            <w:vAlign w:val="center"/>
          </w:tcPr>
          <w:p w14:paraId="0CC1D8C4">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SE</w:t>
            </w:r>
          </w:p>
        </w:tc>
        <w:tc>
          <w:tcPr>
            <w:tcW w:w="1278" w:type="dxa"/>
            <w:gridSpan w:val="3"/>
            <w:tcBorders>
              <w:tl2br w:val="nil"/>
              <w:tr2bl w:val="nil"/>
            </w:tcBorders>
            <w:shd w:val="clear" w:color="auto" w:fill="auto"/>
            <w:vAlign w:val="center"/>
          </w:tcPr>
          <w:p w14:paraId="3A8C59C7">
            <w:pPr>
              <w:ind w:left="-105" w:right="-105"/>
              <w:jc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3943</w:t>
            </w:r>
          </w:p>
        </w:tc>
        <w:tc>
          <w:tcPr>
            <w:tcW w:w="1238" w:type="dxa"/>
            <w:gridSpan w:val="3"/>
            <w:tcBorders>
              <w:tl2br w:val="nil"/>
              <w:tr2bl w:val="nil"/>
            </w:tcBorders>
            <w:shd w:val="clear" w:color="auto" w:fill="auto"/>
            <w:vAlign w:val="center"/>
          </w:tcPr>
          <w:p w14:paraId="35A85318">
            <w:pPr>
              <w:ind w:left="-105" w:right="-105"/>
              <w:jc w:val="center"/>
              <w:rPr>
                <w:rFonts w:ascii="Times New Roman" w:hAnsi="Times New Roman"/>
                <w:color w:val="auto"/>
                <w:sz w:val="21"/>
                <w:szCs w:val="21"/>
                <w:highlight w:val="none"/>
              </w:rPr>
            </w:pPr>
            <w:r>
              <w:rPr>
                <w:rFonts w:ascii="Times New Roman" w:hAnsi="Times New Roman"/>
                <w:color w:val="auto"/>
                <w:sz w:val="21"/>
                <w:szCs w:val="21"/>
                <w:highlight w:val="none"/>
              </w:rPr>
              <w:t>居住区</w:t>
            </w:r>
          </w:p>
        </w:tc>
        <w:tc>
          <w:tcPr>
            <w:tcW w:w="1748" w:type="dxa"/>
            <w:tcBorders>
              <w:tl2br w:val="nil"/>
              <w:tr2bl w:val="nil"/>
            </w:tcBorders>
            <w:shd w:val="clear" w:color="auto" w:fill="auto"/>
            <w:vAlign w:val="center"/>
          </w:tcPr>
          <w:p w14:paraId="245DA0F2">
            <w:pPr>
              <w:ind w:left="-105" w:right="-105"/>
              <w:jc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30</w:t>
            </w:r>
            <w:r>
              <w:rPr>
                <w:rFonts w:ascii="Times New Roman" w:hAnsi="Times New Roman"/>
                <w:color w:val="auto"/>
                <w:sz w:val="21"/>
                <w:szCs w:val="21"/>
                <w:highlight w:val="none"/>
              </w:rPr>
              <w:t>户/</w:t>
            </w:r>
            <w:r>
              <w:rPr>
                <w:rFonts w:hint="eastAsia" w:ascii="Times New Roman" w:hAnsi="Times New Roman"/>
                <w:color w:val="auto"/>
                <w:sz w:val="21"/>
                <w:szCs w:val="21"/>
                <w:highlight w:val="none"/>
              </w:rPr>
              <w:t>105</w:t>
            </w:r>
            <w:r>
              <w:rPr>
                <w:rFonts w:ascii="Times New Roman" w:hAnsi="Times New Roman"/>
                <w:color w:val="auto"/>
                <w:sz w:val="21"/>
                <w:szCs w:val="21"/>
                <w:highlight w:val="none"/>
              </w:rPr>
              <w:t>人</w:t>
            </w:r>
          </w:p>
        </w:tc>
      </w:tr>
      <w:tr w14:paraId="2E4B27FE">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851" w:type="dxa"/>
            <w:vMerge w:val="continue"/>
            <w:tcBorders>
              <w:tl2br w:val="nil"/>
              <w:tr2bl w:val="nil"/>
            </w:tcBorders>
            <w:vAlign w:val="center"/>
          </w:tcPr>
          <w:p w14:paraId="2483C96A">
            <w:pPr>
              <w:ind w:left="-105" w:right="-105"/>
              <w:jc w:val="center"/>
              <w:rPr>
                <w:rFonts w:ascii="Times New Roman" w:hAnsi="Times New Roman"/>
                <w:color w:val="auto"/>
                <w:sz w:val="21"/>
                <w:szCs w:val="21"/>
                <w:highlight w:val="none"/>
                <w:lang w:val="zh-CN" w:bidi="zh-CN"/>
              </w:rPr>
            </w:pPr>
          </w:p>
        </w:tc>
        <w:tc>
          <w:tcPr>
            <w:tcW w:w="704" w:type="dxa"/>
            <w:tcBorders>
              <w:tl2br w:val="nil"/>
              <w:tr2bl w:val="nil"/>
            </w:tcBorders>
            <w:vAlign w:val="center"/>
          </w:tcPr>
          <w:p w14:paraId="53E8E052">
            <w:pPr>
              <w:pStyle w:val="97"/>
              <w:numPr>
                <w:ilvl w:val="0"/>
                <w:numId w:val="13"/>
              </w:numPr>
              <w:ind w:left="-105" w:right="-105" w:firstLineChars="0"/>
              <w:jc w:val="center"/>
              <w:rPr>
                <w:rFonts w:eastAsia="宋体"/>
                <w:color w:val="auto"/>
                <w:kern w:val="0"/>
                <w:sz w:val="21"/>
                <w:szCs w:val="21"/>
                <w:highlight w:val="none"/>
                <w:lang w:val="zh-CN" w:bidi="zh-CN"/>
              </w:rPr>
            </w:pPr>
          </w:p>
        </w:tc>
        <w:tc>
          <w:tcPr>
            <w:tcW w:w="2131" w:type="dxa"/>
            <w:gridSpan w:val="3"/>
            <w:tcBorders>
              <w:tl2br w:val="nil"/>
              <w:tr2bl w:val="nil"/>
            </w:tcBorders>
            <w:shd w:val="clear" w:color="auto" w:fill="auto"/>
            <w:vAlign w:val="center"/>
          </w:tcPr>
          <w:p w14:paraId="24F4983F">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毕家坝</w:t>
            </w:r>
          </w:p>
        </w:tc>
        <w:tc>
          <w:tcPr>
            <w:tcW w:w="1100" w:type="dxa"/>
            <w:gridSpan w:val="3"/>
            <w:tcBorders>
              <w:tl2br w:val="nil"/>
              <w:tr2bl w:val="nil"/>
            </w:tcBorders>
            <w:shd w:val="clear" w:color="auto" w:fill="auto"/>
            <w:vAlign w:val="center"/>
          </w:tcPr>
          <w:p w14:paraId="5CB3E399">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SE</w:t>
            </w:r>
          </w:p>
        </w:tc>
        <w:tc>
          <w:tcPr>
            <w:tcW w:w="1278" w:type="dxa"/>
            <w:gridSpan w:val="3"/>
            <w:tcBorders>
              <w:tl2br w:val="nil"/>
              <w:tr2bl w:val="nil"/>
            </w:tcBorders>
            <w:shd w:val="clear" w:color="auto" w:fill="auto"/>
            <w:vAlign w:val="center"/>
          </w:tcPr>
          <w:p w14:paraId="4494F074">
            <w:pPr>
              <w:ind w:left="-105" w:right="-105"/>
              <w:jc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4286</w:t>
            </w:r>
          </w:p>
        </w:tc>
        <w:tc>
          <w:tcPr>
            <w:tcW w:w="1238" w:type="dxa"/>
            <w:gridSpan w:val="3"/>
            <w:tcBorders>
              <w:tl2br w:val="nil"/>
              <w:tr2bl w:val="nil"/>
            </w:tcBorders>
            <w:shd w:val="clear" w:color="auto" w:fill="auto"/>
            <w:vAlign w:val="center"/>
          </w:tcPr>
          <w:p w14:paraId="51814797">
            <w:pPr>
              <w:ind w:left="-105" w:right="-105"/>
              <w:jc w:val="center"/>
              <w:rPr>
                <w:rFonts w:ascii="Times New Roman" w:hAnsi="Times New Roman"/>
                <w:color w:val="auto"/>
                <w:sz w:val="21"/>
                <w:szCs w:val="21"/>
                <w:highlight w:val="none"/>
              </w:rPr>
            </w:pPr>
            <w:r>
              <w:rPr>
                <w:rFonts w:ascii="Times New Roman" w:hAnsi="Times New Roman"/>
                <w:color w:val="auto"/>
                <w:sz w:val="21"/>
                <w:szCs w:val="21"/>
                <w:highlight w:val="none"/>
              </w:rPr>
              <w:t>居住区</w:t>
            </w:r>
          </w:p>
        </w:tc>
        <w:tc>
          <w:tcPr>
            <w:tcW w:w="1748" w:type="dxa"/>
            <w:tcBorders>
              <w:tl2br w:val="nil"/>
              <w:tr2bl w:val="nil"/>
            </w:tcBorders>
            <w:shd w:val="clear" w:color="auto" w:fill="auto"/>
            <w:vAlign w:val="center"/>
          </w:tcPr>
          <w:p w14:paraId="1DD17B0D">
            <w:pPr>
              <w:ind w:left="-105" w:right="-105"/>
              <w:jc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12</w:t>
            </w:r>
            <w:r>
              <w:rPr>
                <w:rFonts w:ascii="Times New Roman" w:hAnsi="Times New Roman"/>
                <w:color w:val="auto"/>
                <w:sz w:val="21"/>
                <w:szCs w:val="21"/>
                <w:highlight w:val="none"/>
              </w:rPr>
              <w:t>户/</w:t>
            </w:r>
            <w:r>
              <w:rPr>
                <w:rFonts w:hint="eastAsia" w:ascii="Times New Roman" w:hAnsi="Times New Roman"/>
                <w:color w:val="auto"/>
                <w:sz w:val="21"/>
                <w:szCs w:val="21"/>
                <w:highlight w:val="none"/>
              </w:rPr>
              <w:t>42</w:t>
            </w:r>
            <w:r>
              <w:rPr>
                <w:rFonts w:ascii="Times New Roman" w:hAnsi="Times New Roman"/>
                <w:color w:val="auto"/>
                <w:sz w:val="21"/>
                <w:szCs w:val="21"/>
                <w:highlight w:val="none"/>
              </w:rPr>
              <w:t>人</w:t>
            </w:r>
          </w:p>
        </w:tc>
      </w:tr>
      <w:tr w14:paraId="09D166EB">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851" w:type="dxa"/>
            <w:vMerge w:val="continue"/>
            <w:tcBorders>
              <w:tl2br w:val="nil"/>
              <w:tr2bl w:val="nil"/>
            </w:tcBorders>
            <w:vAlign w:val="center"/>
          </w:tcPr>
          <w:p w14:paraId="22EE8823">
            <w:pPr>
              <w:ind w:left="-105" w:right="-105"/>
              <w:jc w:val="center"/>
              <w:rPr>
                <w:rFonts w:ascii="Times New Roman" w:hAnsi="Times New Roman"/>
                <w:color w:val="auto"/>
                <w:sz w:val="21"/>
                <w:szCs w:val="21"/>
                <w:highlight w:val="none"/>
                <w:lang w:val="zh-CN" w:bidi="zh-CN"/>
              </w:rPr>
            </w:pPr>
          </w:p>
        </w:tc>
        <w:tc>
          <w:tcPr>
            <w:tcW w:w="704" w:type="dxa"/>
            <w:tcBorders>
              <w:tl2br w:val="nil"/>
              <w:tr2bl w:val="nil"/>
            </w:tcBorders>
            <w:vAlign w:val="center"/>
          </w:tcPr>
          <w:p w14:paraId="59F276A1">
            <w:pPr>
              <w:pStyle w:val="97"/>
              <w:numPr>
                <w:ilvl w:val="0"/>
                <w:numId w:val="13"/>
              </w:numPr>
              <w:ind w:left="-105" w:right="-105" w:firstLineChars="0"/>
              <w:jc w:val="center"/>
              <w:rPr>
                <w:rFonts w:eastAsia="宋体"/>
                <w:color w:val="auto"/>
                <w:kern w:val="0"/>
                <w:sz w:val="21"/>
                <w:szCs w:val="21"/>
                <w:highlight w:val="none"/>
                <w:lang w:val="zh-CN" w:bidi="zh-CN"/>
              </w:rPr>
            </w:pPr>
          </w:p>
        </w:tc>
        <w:tc>
          <w:tcPr>
            <w:tcW w:w="2131" w:type="dxa"/>
            <w:gridSpan w:val="3"/>
            <w:tcBorders>
              <w:tl2br w:val="nil"/>
              <w:tr2bl w:val="nil"/>
            </w:tcBorders>
            <w:shd w:val="clear" w:color="auto" w:fill="auto"/>
            <w:vAlign w:val="center"/>
          </w:tcPr>
          <w:p w14:paraId="6491DA75">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东石园村</w:t>
            </w:r>
          </w:p>
        </w:tc>
        <w:tc>
          <w:tcPr>
            <w:tcW w:w="1100" w:type="dxa"/>
            <w:gridSpan w:val="3"/>
            <w:tcBorders>
              <w:tl2br w:val="nil"/>
              <w:tr2bl w:val="nil"/>
            </w:tcBorders>
            <w:shd w:val="clear" w:color="auto" w:fill="auto"/>
            <w:vAlign w:val="center"/>
          </w:tcPr>
          <w:p w14:paraId="41A641D3">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SE</w:t>
            </w:r>
          </w:p>
        </w:tc>
        <w:tc>
          <w:tcPr>
            <w:tcW w:w="1278" w:type="dxa"/>
            <w:gridSpan w:val="3"/>
            <w:tcBorders>
              <w:tl2br w:val="nil"/>
              <w:tr2bl w:val="nil"/>
            </w:tcBorders>
            <w:shd w:val="clear" w:color="auto" w:fill="auto"/>
            <w:vAlign w:val="center"/>
          </w:tcPr>
          <w:p w14:paraId="50259587">
            <w:pPr>
              <w:ind w:left="-105" w:right="-105"/>
              <w:jc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4325</w:t>
            </w:r>
          </w:p>
        </w:tc>
        <w:tc>
          <w:tcPr>
            <w:tcW w:w="1238" w:type="dxa"/>
            <w:gridSpan w:val="3"/>
            <w:tcBorders>
              <w:tl2br w:val="nil"/>
              <w:tr2bl w:val="nil"/>
            </w:tcBorders>
            <w:shd w:val="clear" w:color="auto" w:fill="auto"/>
            <w:vAlign w:val="center"/>
          </w:tcPr>
          <w:p w14:paraId="6E5F51B5">
            <w:pPr>
              <w:ind w:left="-105" w:right="-105"/>
              <w:jc w:val="center"/>
              <w:rPr>
                <w:rFonts w:ascii="Times New Roman" w:hAnsi="Times New Roman"/>
                <w:color w:val="auto"/>
                <w:sz w:val="21"/>
                <w:szCs w:val="21"/>
                <w:highlight w:val="none"/>
              </w:rPr>
            </w:pPr>
            <w:r>
              <w:rPr>
                <w:rFonts w:ascii="Times New Roman" w:hAnsi="Times New Roman"/>
                <w:color w:val="auto"/>
                <w:sz w:val="21"/>
                <w:szCs w:val="21"/>
                <w:highlight w:val="none"/>
              </w:rPr>
              <w:t>居住区</w:t>
            </w:r>
          </w:p>
        </w:tc>
        <w:tc>
          <w:tcPr>
            <w:tcW w:w="1748" w:type="dxa"/>
            <w:tcBorders>
              <w:tl2br w:val="nil"/>
              <w:tr2bl w:val="nil"/>
            </w:tcBorders>
            <w:shd w:val="clear" w:color="auto" w:fill="auto"/>
            <w:vAlign w:val="center"/>
          </w:tcPr>
          <w:p w14:paraId="20A50A0A">
            <w:pPr>
              <w:ind w:left="-105" w:right="-105"/>
              <w:jc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30</w:t>
            </w:r>
            <w:r>
              <w:rPr>
                <w:rFonts w:ascii="Times New Roman" w:hAnsi="Times New Roman"/>
                <w:color w:val="auto"/>
                <w:sz w:val="21"/>
                <w:szCs w:val="21"/>
                <w:highlight w:val="none"/>
              </w:rPr>
              <w:t>户/</w:t>
            </w:r>
            <w:r>
              <w:rPr>
                <w:rFonts w:hint="eastAsia" w:ascii="Times New Roman" w:hAnsi="Times New Roman"/>
                <w:color w:val="auto"/>
                <w:sz w:val="21"/>
                <w:szCs w:val="21"/>
                <w:highlight w:val="none"/>
              </w:rPr>
              <w:t>105</w:t>
            </w:r>
            <w:r>
              <w:rPr>
                <w:rFonts w:ascii="Times New Roman" w:hAnsi="Times New Roman"/>
                <w:color w:val="auto"/>
                <w:sz w:val="21"/>
                <w:szCs w:val="21"/>
                <w:highlight w:val="none"/>
              </w:rPr>
              <w:t>人</w:t>
            </w:r>
          </w:p>
        </w:tc>
      </w:tr>
      <w:tr w14:paraId="50F281DF">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851" w:type="dxa"/>
            <w:vMerge w:val="continue"/>
            <w:tcBorders>
              <w:tl2br w:val="nil"/>
              <w:tr2bl w:val="nil"/>
            </w:tcBorders>
            <w:vAlign w:val="center"/>
          </w:tcPr>
          <w:p w14:paraId="32FA4041">
            <w:pPr>
              <w:ind w:left="-105" w:right="-105"/>
              <w:jc w:val="center"/>
              <w:rPr>
                <w:rFonts w:ascii="Times New Roman" w:hAnsi="Times New Roman"/>
                <w:color w:val="auto"/>
                <w:sz w:val="21"/>
                <w:szCs w:val="21"/>
                <w:highlight w:val="none"/>
                <w:lang w:val="zh-CN" w:bidi="zh-CN"/>
              </w:rPr>
            </w:pPr>
          </w:p>
        </w:tc>
        <w:tc>
          <w:tcPr>
            <w:tcW w:w="704" w:type="dxa"/>
            <w:tcBorders>
              <w:tl2br w:val="nil"/>
              <w:tr2bl w:val="nil"/>
            </w:tcBorders>
            <w:vAlign w:val="center"/>
          </w:tcPr>
          <w:p w14:paraId="58B86298">
            <w:pPr>
              <w:pStyle w:val="97"/>
              <w:numPr>
                <w:ilvl w:val="0"/>
                <w:numId w:val="13"/>
              </w:numPr>
              <w:ind w:left="-105" w:right="-105" w:firstLineChars="0"/>
              <w:jc w:val="center"/>
              <w:rPr>
                <w:rFonts w:eastAsia="宋体"/>
                <w:color w:val="auto"/>
                <w:kern w:val="0"/>
                <w:sz w:val="21"/>
                <w:szCs w:val="21"/>
                <w:highlight w:val="none"/>
                <w:lang w:val="zh-CN" w:bidi="zh-CN"/>
              </w:rPr>
            </w:pPr>
          </w:p>
        </w:tc>
        <w:tc>
          <w:tcPr>
            <w:tcW w:w="5747" w:type="dxa"/>
            <w:gridSpan w:val="12"/>
            <w:tcBorders>
              <w:tl2br w:val="nil"/>
              <w:tr2bl w:val="nil"/>
            </w:tcBorders>
            <w:shd w:val="clear" w:color="auto" w:fill="auto"/>
            <w:vAlign w:val="center"/>
          </w:tcPr>
          <w:p w14:paraId="36FDA9CA">
            <w:pPr>
              <w:ind w:left="-105" w:right="-105"/>
              <w:jc w:val="center"/>
              <w:rPr>
                <w:rFonts w:ascii="Times New Roman" w:hAnsi="Times New Roman"/>
                <w:color w:val="auto"/>
                <w:sz w:val="21"/>
                <w:szCs w:val="21"/>
                <w:highlight w:val="none"/>
              </w:rPr>
            </w:pPr>
            <w:r>
              <w:rPr>
                <w:rFonts w:ascii="Times New Roman" w:hAnsi="Times New Roman" w:cs="Times New Roman"/>
                <w:color w:val="auto"/>
                <w:sz w:val="21"/>
                <w:szCs w:val="21"/>
                <w:highlight w:val="none"/>
                <w:lang w:val="zh-CN" w:bidi="zh-CN"/>
              </w:rPr>
              <w:t>厂址周边500m范围内人口数小计</w:t>
            </w:r>
          </w:p>
        </w:tc>
        <w:tc>
          <w:tcPr>
            <w:tcW w:w="1748" w:type="dxa"/>
            <w:tcBorders>
              <w:tl2br w:val="nil"/>
              <w:tr2bl w:val="nil"/>
            </w:tcBorders>
            <w:shd w:val="clear" w:color="auto" w:fill="auto"/>
            <w:vAlign w:val="center"/>
          </w:tcPr>
          <w:p w14:paraId="1F5657B0">
            <w:pPr>
              <w:ind w:left="-105" w:right="-105"/>
              <w:jc w:val="center"/>
              <w:rPr>
                <w:rFonts w:ascii="Times New Roman" w:hAnsi="Times New Roman"/>
                <w:color w:val="auto"/>
                <w:sz w:val="21"/>
                <w:szCs w:val="21"/>
                <w:highlight w:val="none"/>
              </w:rPr>
            </w:pPr>
            <w:r>
              <w:rPr>
                <w:rFonts w:ascii="Times New Roman" w:hAnsi="Times New Roman" w:cs="Times New Roman"/>
                <w:color w:val="auto"/>
                <w:sz w:val="21"/>
                <w:szCs w:val="21"/>
                <w:highlight w:val="none"/>
              </w:rPr>
              <w:t>680</w:t>
            </w:r>
          </w:p>
        </w:tc>
      </w:tr>
      <w:tr w14:paraId="489B15F4">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851" w:type="dxa"/>
            <w:vMerge w:val="continue"/>
            <w:tcBorders>
              <w:tl2br w:val="nil"/>
              <w:tr2bl w:val="nil"/>
            </w:tcBorders>
            <w:vAlign w:val="center"/>
          </w:tcPr>
          <w:p w14:paraId="6ABC9D31">
            <w:pPr>
              <w:ind w:left="-105" w:right="-105"/>
              <w:jc w:val="center"/>
              <w:rPr>
                <w:rFonts w:ascii="Times New Roman" w:hAnsi="Times New Roman"/>
                <w:color w:val="auto"/>
                <w:sz w:val="21"/>
                <w:szCs w:val="21"/>
                <w:highlight w:val="none"/>
                <w:lang w:val="zh-CN" w:bidi="zh-CN"/>
              </w:rPr>
            </w:pPr>
          </w:p>
        </w:tc>
        <w:tc>
          <w:tcPr>
            <w:tcW w:w="704" w:type="dxa"/>
            <w:tcBorders>
              <w:tl2br w:val="nil"/>
              <w:tr2bl w:val="nil"/>
            </w:tcBorders>
            <w:vAlign w:val="center"/>
          </w:tcPr>
          <w:p w14:paraId="02A9C0E5">
            <w:pPr>
              <w:pStyle w:val="97"/>
              <w:numPr>
                <w:ilvl w:val="0"/>
                <w:numId w:val="13"/>
              </w:numPr>
              <w:ind w:left="-105" w:right="-105" w:firstLineChars="0"/>
              <w:jc w:val="center"/>
              <w:rPr>
                <w:rFonts w:eastAsia="宋体"/>
                <w:color w:val="auto"/>
                <w:kern w:val="0"/>
                <w:sz w:val="21"/>
                <w:szCs w:val="21"/>
                <w:highlight w:val="none"/>
                <w:lang w:val="zh-CN" w:bidi="zh-CN"/>
              </w:rPr>
            </w:pPr>
          </w:p>
        </w:tc>
        <w:tc>
          <w:tcPr>
            <w:tcW w:w="5747" w:type="dxa"/>
            <w:gridSpan w:val="12"/>
            <w:tcBorders>
              <w:tl2br w:val="nil"/>
              <w:tr2bl w:val="nil"/>
            </w:tcBorders>
            <w:shd w:val="clear" w:color="auto" w:fill="auto"/>
            <w:vAlign w:val="center"/>
          </w:tcPr>
          <w:p w14:paraId="658D809E">
            <w:pPr>
              <w:ind w:left="-105" w:right="-105"/>
              <w:jc w:val="center"/>
              <w:rPr>
                <w:rFonts w:ascii="Times New Roman" w:hAnsi="Times New Roman"/>
                <w:color w:val="auto"/>
                <w:sz w:val="21"/>
                <w:szCs w:val="21"/>
                <w:highlight w:val="none"/>
              </w:rPr>
            </w:pPr>
            <w:r>
              <w:rPr>
                <w:rFonts w:ascii="Times New Roman" w:hAnsi="Times New Roman" w:cs="Times New Roman"/>
                <w:color w:val="auto"/>
                <w:sz w:val="21"/>
                <w:szCs w:val="21"/>
                <w:highlight w:val="none"/>
                <w:lang w:val="zh-CN" w:bidi="zh-CN"/>
              </w:rPr>
              <w:t>厂址周边5km范围内人口数小计</w:t>
            </w:r>
          </w:p>
        </w:tc>
        <w:tc>
          <w:tcPr>
            <w:tcW w:w="1748" w:type="dxa"/>
            <w:tcBorders>
              <w:tl2br w:val="nil"/>
              <w:tr2bl w:val="nil"/>
            </w:tcBorders>
            <w:shd w:val="clear" w:color="auto" w:fill="auto"/>
            <w:vAlign w:val="center"/>
          </w:tcPr>
          <w:p w14:paraId="25AB9B50">
            <w:pPr>
              <w:ind w:left="-105" w:right="-105"/>
              <w:jc w:val="center"/>
              <w:rPr>
                <w:rFonts w:ascii="Times New Roman" w:hAnsi="Times New Roman"/>
                <w:color w:val="auto"/>
                <w:sz w:val="21"/>
                <w:szCs w:val="21"/>
                <w:highlight w:val="none"/>
              </w:rPr>
            </w:pPr>
            <w:r>
              <w:rPr>
                <w:rFonts w:ascii="Times New Roman" w:hAnsi="Times New Roman" w:cs="Times New Roman"/>
                <w:color w:val="auto"/>
                <w:sz w:val="21"/>
                <w:szCs w:val="21"/>
                <w:highlight w:val="none"/>
              </w:rPr>
              <w:t>大于5万</w:t>
            </w:r>
          </w:p>
        </w:tc>
      </w:tr>
      <w:tr w14:paraId="0DCC4DCA">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851" w:type="dxa"/>
            <w:vMerge w:val="continue"/>
            <w:tcBorders>
              <w:tl2br w:val="nil"/>
              <w:tr2bl w:val="nil"/>
            </w:tcBorders>
            <w:vAlign w:val="center"/>
          </w:tcPr>
          <w:p w14:paraId="2E910913">
            <w:pPr>
              <w:ind w:left="-105" w:right="-105"/>
              <w:jc w:val="center"/>
              <w:rPr>
                <w:rFonts w:ascii="Times New Roman" w:hAnsi="Times New Roman"/>
                <w:color w:val="auto"/>
                <w:sz w:val="21"/>
                <w:szCs w:val="21"/>
                <w:highlight w:val="none"/>
                <w:lang w:val="zh-CN" w:bidi="zh-CN"/>
              </w:rPr>
            </w:pPr>
          </w:p>
        </w:tc>
        <w:tc>
          <w:tcPr>
            <w:tcW w:w="704" w:type="dxa"/>
            <w:tcBorders>
              <w:tl2br w:val="nil"/>
              <w:tr2bl w:val="nil"/>
            </w:tcBorders>
            <w:vAlign w:val="center"/>
          </w:tcPr>
          <w:p w14:paraId="017C7526">
            <w:pPr>
              <w:pStyle w:val="97"/>
              <w:numPr>
                <w:ilvl w:val="0"/>
                <w:numId w:val="13"/>
              </w:numPr>
              <w:ind w:left="-105" w:right="-105" w:firstLineChars="0"/>
              <w:jc w:val="center"/>
              <w:rPr>
                <w:rFonts w:eastAsia="宋体"/>
                <w:color w:val="auto"/>
                <w:kern w:val="0"/>
                <w:sz w:val="21"/>
                <w:szCs w:val="21"/>
                <w:highlight w:val="none"/>
                <w:lang w:val="zh-CN" w:bidi="zh-CN"/>
              </w:rPr>
            </w:pPr>
          </w:p>
        </w:tc>
        <w:tc>
          <w:tcPr>
            <w:tcW w:w="5747" w:type="dxa"/>
            <w:gridSpan w:val="12"/>
            <w:tcBorders>
              <w:tl2br w:val="nil"/>
              <w:tr2bl w:val="nil"/>
            </w:tcBorders>
            <w:shd w:val="clear" w:color="auto" w:fill="auto"/>
            <w:vAlign w:val="center"/>
          </w:tcPr>
          <w:p w14:paraId="7483D6BF">
            <w:pPr>
              <w:ind w:left="-105" w:right="-105"/>
              <w:jc w:val="center"/>
              <w:rPr>
                <w:rFonts w:ascii="Times New Roman" w:hAnsi="Times New Roman"/>
                <w:color w:val="auto"/>
                <w:sz w:val="21"/>
                <w:szCs w:val="21"/>
                <w:highlight w:val="none"/>
              </w:rPr>
            </w:pPr>
            <w:r>
              <w:rPr>
                <w:rFonts w:ascii="Times New Roman" w:hAnsi="Times New Roman" w:cs="Times New Roman"/>
                <w:color w:val="auto"/>
                <w:sz w:val="21"/>
                <w:szCs w:val="21"/>
                <w:highlight w:val="none"/>
                <w:lang w:val="zh-CN" w:bidi="zh-CN"/>
              </w:rPr>
              <w:t>大气环境敏感程度E值</w:t>
            </w:r>
          </w:p>
        </w:tc>
        <w:tc>
          <w:tcPr>
            <w:tcW w:w="1748" w:type="dxa"/>
            <w:tcBorders>
              <w:tl2br w:val="nil"/>
              <w:tr2bl w:val="nil"/>
            </w:tcBorders>
            <w:shd w:val="clear" w:color="auto" w:fill="auto"/>
            <w:vAlign w:val="center"/>
          </w:tcPr>
          <w:p w14:paraId="3CF04339">
            <w:pPr>
              <w:ind w:left="-105" w:right="-105"/>
              <w:jc w:val="center"/>
              <w:rPr>
                <w:rFonts w:ascii="Times New Roman" w:hAnsi="Times New Roman"/>
                <w:color w:val="auto"/>
                <w:sz w:val="21"/>
                <w:szCs w:val="21"/>
                <w:highlight w:val="none"/>
              </w:rPr>
            </w:pPr>
            <w:r>
              <w:rPr>
                <w:rFonts w:ascii="Times New Roman" w:hAnsi="Times New Roman" w:cs="Times New Roman"/>
                <w:color w:val="auto"/>
                <w:sz w:val="21"/>
                <w:szCs w:val="21"/>
                <w:highlight w:val="none"/>
              </w:rPr>
              <w:t>E1</w:t>
            </w:r>
          </w:p>
        </w:tc>
      </w:tr>
      <w:tr w14:paraId="7F313DAA">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851" w:type="dxa"/>
            <w:vMerge w:val="restart"/>
            <w:tcBorders>
              <w:tl2br w:val="nil"/>
              <w:tr2bl w:val="nil"/>
            </w:tcBorders>
            <w:vAlign w:val="center"/>
          </w:tcPr>
          <w:p w14:paraId="5DD80F52">
            <w:pPr>
              <w:ind w:left="-105" w:right="-105"/>
              <w:jc w:val="center"/>
              <w:rPr>
                <w:rFonts w:ascii="Times New Roman" w:hAnsi="Times New Roman"/>
                <w:color w:val="auto"/>
                <w:sz w:val="21"/>
                <w:szCs w:val="21"/>
                <w:highlight w:val="none"/>
                <w:lang w:val="zh-CN" w:bidi="zh-CN"/>
              </w:rPr>
            </w:pPr>
            <w:r>
              <w:rPr>
                <w:rFonts w:ascii="Times New Roman" w:hAnsi="Times New Roman"/>
                <w:color w:val="auto"/>
                <w:sz w:val="21"/>
                <w:szCs w:val="21"/>
                <w:highlight w:val="none"/>
                <w:lang w:val="zh-CN" w:bidi="zh-CN"/>
              </w:rPr>
              <w:t>地表水</w:t>
            </w:r>
          </w:p>
        </w:tc>
        <w:tc>
          <w:tcPr>
            <w:tcW w:w="8199" w:type="dxa"/>
            <w:gridSpan w:val="14"/>
            <w:tcBorders>
              <w:tl2br w:val="nil"/>
              <w:tr2bl w:val="nil"/>
            </w:tcBorders>
            <w:vAlign w:val="center"/>
          </w:tcPr>
          <w:p w14:paraId="379B11FB">
            <w:pPr>
              <w:ind w:left="-105" w:right="-105"/>
              <w:jc w:val="center"/>
              <w:rPr>
                <w:rFonts w:ascii="Times New Roman" w:hAnsi="Times New Roman"/>
                <w:b/>
                <w:color w:val="auto"/>
                <w:sz w:val="21"/>
                <w:szCs w:val="21"/>
                <w:highlight w:val="none"/>
                <w:lang w:val="zh-CN" w:bidi="zh-CN"/>
              </w:rPr>
            </w:pPr>
            <w:r>
              <w:rPr>
                <w:rFonts w:ascii="Times New Roman" w:hAnsi="Times New Roman"/>
                <w:b/>
                <w:color w:val="auto"/>
                <w:sz w:val="21"/>
                <w:szCs w:val="21"/>
                <w:highlight w:val="none"/>
                <w:lang w:val="zh-CN" w:bidi="zh-CN"/>
              </w:rPr>
              <w:t>受纳水体</w:t>
            </w:r>
          </w:p>
        </w:tc>
      </w:tr>
      <w:tr w14:paraId="3E3C636C">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851" w:type="dxa"/>
            <w:vMerge w:val="continue"/>
            <w:tcBorders>
              <w:tl2br w:val="nil"/>
              <w:tr2bl w:val="nil"/>
            </w:tcBorders>
            <w:vAlign w:val="center"/>
          </w:tcPr>
          <w:p w14:paraId="334C3304">
            <w:pPr>
              <w:ind w:left="-105" w:right="-105"/>
              <w:jc w:val="center"/>
              <w:rPr>
                <w:rFonts w:ascii="Times New Roman" w:hAnsi="Times New Roman"/>
                <w:color w:val="auto"/>
                <w:sz w:val="21"/>
                <w:szCs w:val="21"/>
                <w:highlight w:val="none"/>
                <w:lang w:val="zh-CN" w:bidi="zh-CN"/>
              </w:rPr>
            </w:pPr>
          </w:p>
        </w:tc>
        <w:tc>
          <w:tcPr>
            <w:tcW w:w="704" w:type="dxa"/>
            <w:tcBorders>
              <w:tl2br w:val="nil"/>
              <w:tr2bl w:val="nil"/>
            </w:tcBorders>
            <w:vAlign w:val="center"/>
          </w:tcPr>
          <w:p w14:paraId="6880361D">
            <w:pPr>
              <w:ind w:left="-105" w:right="-105"/>
              <w:jc w:val="center"/>
              <w:rPr>
                <w:rFonts w:ascii="Times New Roman" w:hAnsi="Times New Roman"/>
                <w:b/>
                <w:color w:val="auto"/>
                <w:sz w:val="21"/>
                <w:szCs w:val="21"/>
                <w:highlight w:val="none"/>
                <w:lang w:val="zh-CN" w:bidi="zh-CN"/>
              </w:rPr>
            </w:pPr>
            <w:r>
              <w:rPr>
                <w:rFonts w:ascii="Times New Roman" w:hAnsi="Times New Roman"/>
                <w:b/>
                <w:color w:val="auto"/>
                <w:sz w:val="21"/>
                <w:szCs w:val="21"/>
                <w:highlight w:val="none"/>
                <w:lang w:val="zh-CN" w:bidi="zh-CN"/>
              </w:rPr>
              <w:t>序号</w:t>
            </w:r>
          </w:p>
        </w:tc>
        <w:tc>
          <w:tcPr>
            <w:tcW w:w="2361" w:type="dxa"/>
            <w:gridSpan w:val="4"/>
            <w:tcBorders>
              <w:tl2br w:val="nil"/>
              <w:tr2bl w:val="nil"/>
            </w:tcBorders>
            <w:vAlign w:val="center"/>
          </w:tcPr>
          <w:p w14:paraId="1E54D7AE">
            <w:pPr>
              <w:ind w:left="-105" w:right="-105"/>
              <w:jc w:val="center"/>
              <w:rPr>
                <w:rFonts w:ascii="Times New Roman" w:hAnsi="Times New Roman"/>
                <w:b/>
                <w:color w:val="auto"/>
                <w:sz w:val="21"/>
                <w:szCs w:val="21"/>
                <w:highlight w:val="none"/>
                <w:lang w:val="zh-CN" w:bidi="zh-CN"/>
              </w:rPr>
            </w:pPr>
            <w:r>
              <w:rPr>
                <w:rFonts w:ascii="Times New Roman" w:hAnsi="Times New Roman"/>
                <w:b/>
                <w:color w:val="auto"/>
                <w:sz w:val="21"/>
                <w:szCs w:val="21"/>
                <w:highlight w:val="none"/>
                <w:lang w:val="zh-CN" w:bidi="zh-CN"/>
              </w:rPr>
              <w:t>受纳水体名称</w:t>
            </w:r>
          </w:p>
        </w:tc>
        <w:tc>
          <w:tcPr>
            <w:tcW w:w="2395" w:type="dxa"/>
            <w:gridSpan w:val="6"/>
            <w:tcBorders>
              <w:tl2br w:val="nil"/>
              <w:tr2bl w:val="nil"/>
            </w:tcBorders>
            <w:vAlign w:val="center"/>
          </w:tcPr>
          <w:p w14:paraId="3100E2A2">
            <w:pPr>
              <w:ind w:left="-105" w:right="-105"/>
              <w:jc w:val="center"/>
              <w:rPr>
                <w:rFonts w:ascii="Times New Roman" w:hAnsi="Times New Roman"/>
                <w:b/>
                <w:color w:val="auto"/>
                <w:sz w:val="21"/>
                <w:szCs w:val="21"/>
                <w:highlight w:val="none"/>
                <w:lang w:val="zh-CN" w:bidi="zh-CN"/>
              </w:rPr>
            </w:pPr>
            <w:r>
              <w:rPr>
                <w:rFonts w:ascii="Times New Roman" w:hAnsi="Times New Roman"/>
                <w:b/>
                <w:color w:val="auto"/>
                <w:sz w:val="21"/>
                <w:szCs w:val="21"/>
                <w:highlight w:val="none"/>
                <w:lang w:val="zh-CN" w:bidi="zh-CN"/>
              </w:rPr>
              <w:t>排放点水域环境功能</w:t>
            </w:r>
          </w:p>
        </w:tc>
        <w:tc>
          <w:tcPr>
            <w:tcW w:w="2739" w:type="dxa"/>
            <w:gridSpan w:val="3"/>
            <w:tcBorders>
              <w:tl2br w:val="nil"/>
              <w:tr2bl w:val="nil"/>
            </w:tcBorders>
            <w:vAlign w:val="center"/>
          </w:tcPr>
          <w:p w14:paraId="0941B94B">
            <w:pPr>
              <w:ind w:left="-105" w:right="-105"/>
              <w:jc w:val="center"/>
              <w:rPr>
                <w:rFonts w:ascii="Times New Roman" w:hAnsi="Times New Roman"/>
                <w:b/>
                <w:color w:val="auto"/>
                <w:sz w:val="21"/>
                <w:szCs w:val="21"/>
                <w:highlight w:val="none"/>
                <w:lang w:val="zh-CN" w:bidi="zh-CN"/>
              </w:rPr>
            </w:pPr>
            <w:r>
              <w:rPr>
                <w:rFonts w:ascii="Times New Roman" w:hAnsi="Times New Roman"/>
                <w:b/>
                <w:color w:val="auto"/>
                <w:sz w:val="21"/>
                <w:szCs w:val="21"/>
                <w:highlight w:val="none"/>
                <w:lang w:val="zh-CN" w:bidi="zh-CN"/>
              </w:rPr>
              <w:t>24h内流经范围/km</w:t>
            </w:r>
          </w:p>
        </w:tc>
      </w:tr>
      <w:tr w14:paraId="09FA4B9D">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851" w:type="dxa"/>
            <w:vMerge w:val="continue"/>
            <w:tcBorders>
              <w:tl2br w:val="nil"/>
              <w:tr2bl w:val="nil"/>
            </w:tcBorders>
            <w:vAlign w:val="center"/>
          </w:tcPr>
          <w:p w14:paraId="7C31FE55">
            <w:pPr>
              <w:ind w:left="-105" w:right="-105"/>
              <w:jc w:val="center"/>
              <w:rPr>
                <w:rFonts w:ascii="Times New Roman" w:hAnsi="Times New Roman"/>
                <w:color w:val="auto"/>
                <w:sz w:val="21"/>
                <w:szCs w:val="21"/>
                <w:highlight w:val="none"/>
                <w:lang w:val="zh-CN" w:bidi="zh-CN"/>
              </w:rPr>
            </w:pPr>
          </w:p>
        </w:tc>
        <w:tc>
          <w:tcPr>
            <w:tcW w:w="704" w:type="dxa"/>
            <w:tcBorders>
              <w:tl2br w:val="nil"/>
              <w:tr2bl w:val="nil"/>
            </w:tcBorders>
            <w:vAlign w:val="center"/>
          </w:tcPr>
          <w:p w14:paraId="20F9794F">
            <w:pPr>
              <w:ind w:left="-105" w:right="-105"/>
              <w:jc w:val="center"/>
              <w:rPr>
                <w:rFonts w:ascii="Times New Roman" w:hAnsi="Times New Roman"/>
                <w:color w:val="auto"/>
                <w:sz w:val="21"/>
                <w:szCs w:val="21"/>
                <w:highlight w:val="none"/>
                <w:lang w:val="zh-CN" w:bidi="zh-CN"/>
              </w:rPr>
            </w:pPr>
            <w:r>
              <w:rPr>
                <w:rFonts w:ascii="Times New Roman" w:hAnsi="Times New Roman"/>
                <w:color w:val="auto"/>
                <w:sz w:val="21"/>
                <w:szCs w:val="21"/>
                <w:highlight w:val="none"/>
                <w:lang w:val="zh-CN" w:bidi="zh-CN"/>
              </w:rPr>
              <w:t>1</w:t>
            </w:r>
          </w:p>
        </w:tc>
        <w:tc>
          <w:tcPr>
            <w:tcW w:w="2361" w:type="dxa"/>
            <w:gridSpan w:val="4"/>
            <w:tcBorders>
              <w:tl2br w:val="nil"/>
              <w:tr2bl w:val="nil"/>
            </w:tcBorders>
            <w:vAlign w:val="center"/>
          </w:tcPr>
          <w:p w14:paraId="29BA67AE">
            <w:pPr>
              <w:ind w:left="-105" w:right="-105"/>
              <w:jc w:val="center"/>
              <w:rPr>
                <w:rFonts w:ascii="Times New Roman" w:hAnsi="Times New Roman"/>
                <w:color w:val="auto"/>
                <w:sz w:val="21"/>
                <w:szCs w:val="21"/>
                <w:highlight w:val="none"/>
                <w:lang w:val="zh-CN" w:bidi="zh-CN"/>
              </w:rPr>
            </w:pPr>
            <w:r>
              <w:rPr>
                <w:rFonts w:ascii="Times New Roman" w:hAnsi="Times New Roman"/>
                <w:color w:val="auto"/>
                <w:sz w:val="21"/>
                <w:szCs w:val="21"/>
                <w:highlight w:val="none"/>
                <w:lang w:val="zh-CN" w:bidi="zh-CN"/>
              </w:rPr>
              <w:t>锡北运河</w:t>
            </w:r>
            <w:r>
              <w:rPr>
                <w:rFonts w:hint="eastAsia" w:ascii="Times New Roman" w:hAnsi="Times New Roman"/>
                <w:color w:val="auto"/>
                <w:sz w:val="21"/>
                <w:szCs w:val="21"/>
                <w:highlight w:val="none"/>
                <w:lang w:val="zh-CN" w:bidi="zh-CN"/>
              </w:rPr>
              <w:t>（</w:t>
            </w:r>
            <w:r>
              <w:rPr>
                <w:rFonts w:hint="eastAsia" w:ascii="Times New Roman" w:hAnsi="Times New Roman"/>
                <w:color w:val="auto"/>
                <w:sz w:val="21"/>
                <w:szCs w:val="21"/>
                <w:highlight w:val="none"/>
                <w:lang w:bidi="zh-CN"/>
              </w:rPr>
              <w:t>雨水汇入</w:t>
            </w:r>
            <w:r>
              <w:rPr>
                <w:rFonts w:hint="eastAsia" w:ascii="Times New Roman" w:hAnsi="Times New Roman"/>
                <w:color w:val="auto"/>
                <w:sz w:val="21"/>
                <w:szCs w:val="21"/>
                <w:highlight w:val="none"/>
                <w:lang w:val="zh-CN" w:bidi="zh-CN"/>
              </w:rPr>
              <w:t>）</w:t>
            </w:r>
          </w:p>
        </w:tc>
        <w:tc>
          <w:tcPr>
            <w:tcW w:w="2395" w:type="dxa"/>
            <w:gridSpan w:val="6"/>
            <w:tcBorders>
              <w:tl2br w:val="nil"/>
              <w:tr2bl w:val="nil"/>
            </w:tcBorders>
            <w:vAlign w:val="center"/>
          </w:tcPr>
          <w:p w14:paraId="2BD86838">
            <w:pPr>
              <w:ind w:left="-105" w:right="-105"/>
              <w:jc w:val="center"/>
              <w:rPr>
                <w:rFonts w:ascii="Times New Roman" w:hAnsi="Times New Roman"/>
                <w:color w:val="auto"/>
                <w:sz w:val="21"/>
                <w:szCs w:val="21"/>
                <w:highlight w:val="none"/>
                <w:lang w:val="zh-CN" w:bidi="zh-CN"/>
              </w:rPr>
            </w:pPr>
            <w:r>
              <w:rPr>
                <w:rFonts w:ascii="Times New Roman" w:hAnsi="Times New Roman"/>
                <w:color w:val="auto"/>
                <w:sz w:val="21"/>
                <w:szCs w:val="21"/>
                <w:highlight w:val="none"/>
                <w:lang w:val="zh-CN" w:bidi="zh-CN"/>
              </w:rPr>
              <w:t>Ⅲ类</w:t>
            </w:r>
          </w:p>
        </w:tc>
        <w:tc>
          <w:tcPr>
            <w:tcW w:w="2739" w:type="dxa"/>
            <w:gridSpan w:val="3"/>
            <w:tcBorders>
              <w:tl2br w:val="nil"/>
              <w:tr2bl w:val="nil"/>
            </w:tcBorders>
            <w:vAlign w:val="center"/>
          </w:tcPr>
          <w:p w14:paraId="0B2A339D">
            <w:pPr>
              <w:ind w:left="-105" w:right="-105"/>
              <w:jc w:val="center"/>
              <w:rPr>
                <w:rFonts w:ascii="Times New Roman" w:hAnsi="Times New Roman"/>
                <w:color w:val="auto"/>
                <w:sz w:val="21"/>
                <w:szCs w:val="21"/>
                <w:highlight w:val="none"/>
                <w:lang w:val="zh-CN" w:bidi="zh-CN"/>
              </w:rPr>
            </w:pPr>
            <w:r>
              <w:rPr>
                <w:rFonts w:hint="eastAsia" w:ascii="Times New Roman" w:hAnsi="Times New Roman"/>
                <w:color w:val="auto"/>
                <w:sz w:val="21"/>
                <w:szCs w:val="21"/>
                <w:highlight w:val="none"/>
                <w:lang w:bidi="zh-CN"/>
              </w:rPr>
              <w:t>/</w:t>
            </w:r>
          </w:p>
        </w:tc>
      </w:tr>
      <w:tr w14:paraId="0E3BDA73">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851" w:type="dxa"/>
            <w:vMerge w:val="continue"/>
            <w:tcBorders>
              <w:tl2br w:val="nil"/>
              <w:tr2bl w:val="nil"/>
            </w:tcBorders>
            <w:vAlign w:val="center"/>
          </w:tcPr>
          <w:p w14:paraId="5444AB65">
            <w:pPr>
              <w:ind w:left="-105" w:right="-105"/>
              <w:jc w:val="center"/>
              <w:rPr>
                <w:rFonts w:ascii="Times New Roman" w:hAnsi="Times New Roman"/>
                <w:color w:val="auto"/>
                <w:sz w:val="21"/>
                <w:szCs w:val="21"/>
                <w:highlight w:val="none"/>
                <w:lang w:val="zh-CN" w:bidi="zh-CN"/>
              </w:rPr>
            </w:pPr>
          </w:p>
        </w:tc>
        <w:tc>
          <w:tcPr>
            <w:tcW w:w="704" w:type="dxa"/>
            <w:tcBorders>
              <w:tl2br w:val="nil"/>
              <w:tr2bl w:val="nil"/>
            </w:tcBorders>
            <w:vAlign w:val="center"/>
          </w:tcPr>
          <w:p w14:paraId="3AD924EB">
            <w:pPr>
              <w:ind w:left="-105" w:right="-105"/>
              <w:jc w:val="center"/>
              <w:rPr>
                <w:rFonts w:ascii="Times New Roman" w:hAnsi="Times New Roman"/>
                <w:color w:val="auto"/>
                <w:sz w:val="21"/>
                <w:szCs w:val="21"/>
                <w:highlight w:val="none"/>
                <w:lang w:bidi="zh-CN"/>
              </w:rPr>
            </w:pPr>
            <w:r>
              <w:rPr>
                <w:rFonts w:hint="eastAsia" w:ascii="Times New Roman" w:hAnsi="Times New Roman"/>
                <w:color w:val="auto"/>
                <w:sz w:val="21"/>
                <w:szCs w:val="21"/>
                <w:highlight w:val="none"/>
                <w:lang w:bidi="zh-CN"/>
              </w:rPr>
              <w:t>2</w:t>
            </w:r>
          </w:p>
        </w:tc>
        <w:tc>
          <w:tcPr>
            <w:tcW w:w="2361" w:type="dxa"/>
            <w:gridSpan w:val="4"/>
            <w:tcBorders>
              <w:tl2br w:val="nil"/>
              <w:tr2bl w:val="nil"/>
            </w:tcBorders>
            <w:vAlign w:val="center"/>
          </w:tcPr>
          <w:p w14:paraId="2F3CBDE5">
            <w:pPr>
              <w:ind w:left="-105" w:right="-105"/>
              <w:jc w:val="center"/>
              <w:rPr>
                <w:rFonts w:ascii="Times New Roman" w:hAnsi="Times New Roman"/>
                <w:color w:val="auto"/>
                <w:sz w:val="21"/>
                <w:szCs w:val="21"/>
                <w:highlight w:val="none"/>
                <w:lang w:val="zh-CN" w:bidi="zh-CN"/>
              </w:rPr>
            </w:pPr>
            <w:r>
              <w:rPr>
                <w:rFonts w:hint="eastAsia"/>
                <w:color w:val="auto"/>
                <w:sz w:val="21"/>
                <w:szCs w:val="21"/>
                <w:highlight w:val="none"/>
              </w:rPr>
              <w:t>北</w:t>
            </w:r>
            <w:r>
              <w:rPr>
                <w:color w:val="auto"/>
                <w:sz w:val="21"/>
                <w:szCs w:val="21"/>
                <w:highlight w:val="none"/>
              </w:rPr>
              <w:t>兴塘</w:t>
            </w:r>
            <w:r>
              <w:rPr>
                <w:rFonts w:hint="eastAsia"/>
                <w:color w:val="auto"/>
                <w:sz w:val="21"/>
                <w:szCs w:val="21"/>
                <w:highlight w:val="none"/>
              </w:rPr>
              <w:t>（云林污水处理有限公司尾水排入）</w:t>
            </w:r>
          </w:p>
        </w:tc>
        <w:tc>
          <w:tcPr>
            <w:tcW w:w="2395" w:type="dxa"/>
            <w:gridSpan w:val="6"/>
            <w:tcBorders>
              <w:tl2br w:val="nil"/>
              <w:tr2bl w:val="nil"/>
            </w:tcBorders>
            <w:vAlign w:val="center"/>
          </w:tcPr>
          <w:p w14:paraId="199E864D">
            <w:pPr>
              <w:ind w:left="-105" w:right="-105"/>
              <w:jc w:val="center"/>
              <w:rPr>
                <w:rFonts w:ascii="Times New Roman" w:hAnsi="Times New Roman"/>
                <w:color w:val="auto"/>
                <w:sz w:val="21"/>
                <w:szCs w:val="21"/>
                <w:highlight w:val="none"/>
                <w:lang w:val="zh-CN" w:bidi="zh-CN"/>
              </w:rPr>
            </w:pPr>
            <w:r>
              <w:rPr>
                <w:rFonts w:ascii="Times New Roman" w:hAnsi="Times New Roman"/>
                <w:color w:val="auto"/>
                <w:sz w:val="21"/>
                <w:szCs w:val="21"/>
                <w:highlight w:val="none"/>
                <w:lang w:val="zh-CN" w:bidi="zh-CN"/>
              </w:rPr>
              <w:t>Ⅲ类</w:t>
            </w:r>
          </w:p>
        </w:tc>
        <w:tc>
          <w:tcPr>
            <w:tcW w:w="2739" w:type="dxa"/>
            <w:gridSpan w:val="3"/>
            <w:tcBorders>
              <w:tl2br w:val="nil"/>
              <w:tr2bl w:val="nil"/>
            </w:tcBorders>
            <w:vAlign w:val="center"/>
          </w:tcPr>
          <w:p w14:paraId="00237F4D">
            <w:pPr>
              <w:ind w:left="-105" w:right="-105"/>
              <w:jc w:val="center"/>
              <w:rPr>
                <w:rFonts w:ascii="Times New Roman" w:hAnsi="Times New Roman"/>
                <w:color w:val="auto"/>
                <w:sz w:val="21"/>
                <w:szCs w:val="21"/>
                <w:highlight w:val="none"/>
                <w:lang w:val="zh-CN" w:bidi="zh-CN"/>
              </w:rPr>
            </w:pPr>
            <w:r>
              <w:rPr>
                <w:rFonts w:hint="eastAsia" w:ascii="Times New Roman" w:hAnsi="Times New Roman"/>
                <w:color w:val="auto"/>
                <w:sz w:val="21"/>
                <w:szCs w:val="21"/>
                <w:highlight w:val="none"/>
                <w:lang w:bidi="zh-CN"/>
              </w:rPr>
              <w:t>/</w:t>
            </w:r>
          </w:p>
        </w:tc>
      </w:tr>
      <w:tr w14:paraId="7DEDEA6E">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851" w:type="dxa"/>
            <w:vMerge w:val="continue"/>
            <w:tcBorders>
              <w:tl2br w:val="nil"/>
              <w:tr2bl w:val="nil"/>
            </w:tcBorders>
            <w:vAlign w:val="center"/>
          </w:tcPr>
          <w:p w14:paraId="232F7124">
            <w:pPr>
              <w:ind w:left="-105" w:right="-105"/>
              <w:jc w:val="center"/>
              <w:rPr>
                <w:rFonts w:ascii="Times New Roman" w:hAnsi="Times New Roman"/>
                <w:color w:val="auto"/>
                <w:sz w:val="21"/>
                <w:szCs w:val="21"/>
                <w:highlight w:val="none"/>
                <w:lang w:val="zh-CN" w:bidi="zh-CN"/>
              </w:rPr>
            </w:pPr>
          </w:p>
        </w:tc>
        <w:tc>
          <w:tcPr>
            <w:tcW w:w="8199" w:type="dxa"/>
            <w:gridSpan w:val="14"/>
            <w:tcBorders>
              <w:tl2br w:val="nil"/>
              <w:tr2bl w:val="nil"/>
            </w:tcBorders>
            <w:vAlign w:val="center"/>
          </w:tcPr>
          <w:p w14:paraId="349D0256">
            <w:pPr>
              <w:ind w:left="-105" w:right="-105"/>
              <w:jc w:val="center"/>
              <w:rPr>
                <w:rFonts w:ascii="Times New Roman" w:hAnsi="Times New Roman"/>
                <w:color w:val="auto"/>
                <w:sz w:val="21"/>
                <w:szCs w:val="21"/>
                <w:highlight w:val="none"/>
                <w:lang w:val="zh-CN" w:bidi="zh-CN"/>
              </w:rPr>
            </w:pPr>
            <w:r>
              <w:rPr>
                <w:rFonts w:ascii="Times New Roman" w:hAnsi="Times New Roman"/>
                <w:color w:val="auto"/>
                <w:sz w:val="21"/>
                <w:szCs w:val="21"/>
                <w:highlight w:val="none"/>
                <w:lang w:val="zh-CN" w:bidi="zh-CN"/>
              </w:rPr>
              <w:t>内陆水体排放点下游10km范围内敏感目标</w:t>
            </w:r>
          </w:p>
        </w:tc>
      </w:tr>
      <w:tr w14:paraId="354AFD1D">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851" w:type="dxa"/>
            <w:vMerge w:val="continue"/>
            <w:tcBorders>
              <w:tl2br w:val="nil"/>
              <w:tr2bl w:val="nil"/>
            </w:tcBorders>
            <w:vAlign w:val="center"/>
          </w:tcPr>
          <w:p w14:paraId="35854E69">
            <w:pPr>
              <w:ind w:left="-105" w:right="-105"/>
              <w:jc w:val="center"/>
              <w:rPr>
                <w:rFonts w:ascii="Times New Roman" w:hAnsi="Times New Roman"/>
                <w:color w:val="auto"/>
                <w:sz w:val="21"/>
                <w:szCs w:val="21"/>
                <w:highlight w:val="none"/>
                <w:lang w:val="zh-CN" w:bidi="zh-CN"/>
              </w:rPr>
            </w:pPr>
          </w:p>
        </w:tc>
        <w:tc>
          <w:tcPr>
            <w:tcW w:w="704" w:type="dxa"/>
            <w:tcBorders>
              <w:tl2br w:val="nil"/>
              <w:tr2bl w:val="nil"/>
            </w:tcBorders>
            <w:vAlign w:val="center"/>
          </w:tcPr>
          <w:p w14:paraId="0A89EC1A">
            <w:pPr>
              <w:ind w:left="-105" w:right="-105"/>
              <w:jc w:val="center"/>
              <w:rPr>
                <w:rFonts w:ascii="Times New Roman" w:hAnsi="Times New Roman"/>
                <w:b/>
                <w:color w:val="auto"/>
                <w:sz w:val="21"/>
                <w:szCs w:val="21"/>
                <w:highlight w:val="none"/>
                <w:lang w:val="zh-CN" w:bidi="zh-CN"/>
              </w:rPr>
            </w:pPr>
            <w:r>
              <w:rPr>
                <w:rFonts w:ascii="Times New Roman" w:hAnsi="Times New Roman"/>
                <w:b/>
                <w:color w:val="auto"/>
                <w:sz w:val="21"/>
                <w:szCs w:val="21"/>
                <w:highlight w:val="none"/>
                <w:lang w:val="zh-CN" w:bidi="zh-CN"/>
              </w:rPr>
              <w:t>序号</w:t>
            </w:r>
          </w:p>
        </w:tc>
        <w:tc>
          <w:tcPr>
            <w:tcW w:w="1763" w:type="dxa"/>
            <w:gridSpan w:val="2"/>
            <w:tcBorders>
              <w:tl2br w:val="nil"/>
              <w:tr2bl w:val="nil"/>
            </w:tcBorders>
            <w:vAlign w:val="center"/>
          </w:tcPr>
          <w:p w14:paraId="1FEC84D9">
            <w:pPr>
              <w:ind w:left="-105" w:right="-105"/>
              <w:jc w:val="center"/>
              <w:rPr>
                <w:rFonts w:ascii="Times New Roman" w:hAnsi="Times New Roman"/>
                <w:b/>
                <w:color w:val="auto"/>
                <w:sz w:val="21"/>
                <w:szCs w:val="21"/>
                <w:highlight w:val="none"/>
                <w:lang w:val="zh-CN" w:bidi="zh-CN"/>
              </w:rPr>
            </w:pPr>
            <w:r>
              <w:rPr>
                <w:rFonts w:ascii="Times New Roman" w:hAnsi="Times New Roman"/>
                <w:b/>
                <w:color w:val="auto"/>
                <w:sz w:val="21"/>
                <w:szCs w:val="21"/>
                <w:highlight w:val="none"/>
                <w:lang w:val="zh-CN" w:bidi="zh-CN"/>
              </w:rPr>
              <w:t>敏感目标名称</w:t>
            </w:r>
          </w:p>
        </w:tc>
        <w:tc>
          <w:tcPr>
            <w:tcW w:w="1795" w:type="dxa"/>
            <w:gridSpan w:val="5"/>
            <w:tcBorders>
              <w:tl2br w:val="nil"/>
              <w:tr2bl w:val="nil"/>
            </w:tcBorders>
            <w:vAlign w:val="center"/>
          </w:tcPr>
          <w:p w14:paraId="07B6F63A">
            <w:pPr>
              <w:ind w:left="-105" w:right="-105"/>
              <w:jc w:val="center"/>
              <w:rPr>
                <w:rFonts w:ascii="Times New Roman" w:hAnsi="Times New Roman"/>
                <w:b/>
                <w:color w:val="auto"/>
                <w:sz w:val="21"/>
                <w:szCs w:val="21"/>
                <w:highlight w:val="none"/>
                <w:lang w:val="zh-CN" w:bidi="zh-CN"/>
              </w:rPr>
            </w:pPr>
            <w:r>
              <w:rPr>
                <w:rFonts w:ascii="Times New Roman" w:hAnsi="Times New Roman"/>
                <w:b/>
                <w:color w:val="auto"/>
                <w:sz w:val="21"/>
                <w:szCs w:val="21"/>
                <w:highlight w:val="none"/>
                <w:lang w:val="zh-CN" w:bidi="zh-CN"/>
              </w:rPr>
              <w:t>环境敏感特征</w:t>
            </w:r>
          </w:p>
        </w:tc>
        <w:tc>
          <w:tcPr>
            <w:tcW w:w="1795" w:type="dxa"/>
            <w:gridSpan w:val="4"/>
            <w:tcBorders>
              <w:tl2br w:val="nil"/>
              <w:tr2bl w:val="nil"/>
            </w:tcBorders>
            <w:vAlign w:val="center"/>
          </w:tcPr>
          <w:p w14:paraId="3932053A">
            <w:pPr>
              <w:ind w:left="-105" w:right="-105"/>
              <w:jc w:val="center"/>
              <w:rPr>
                <w:rFonts w:ascii="Times New Roman" w:hAnsi="Times New Roman"/>
                <w:b/>
                <w:color w:val="auto"/>
                <w:sz w:val="21"/>
                <w:szCs w:val="21"/>
                <w:highlight w:val="none"/>
                <w:lang w:val="zh-CN" w:bidi="zh-CN"/>
              </w:rPr>
            </w:pPr>
            <w:r>
              <w:rPr>
                <w:rFonts w:ascii="Times New Roman" w:hAnsi="Times New Roman"/>
                <w:b/>
                <w:color w:val="auto"/>
                <w:sz w:val="21"/>
                <w:szCs w:val="21"/>
                <w:highlight w:val="none"/>
                <w:lang w:val="zh-CN" w:bidi="zh-CN"/>
              </w:rPr>
              <w:t>水质目标</w:t>
            </w:r>
          </w:p>
        </w:tc>
        <w:tc>
          <w:tcPr>
            <w:tcW w:w="2142" w:type="dxa"/>
            <w:gridSpan w:val="2"/>
            <w:tcBorders>
              <w:tl2br w:val="nil"/>
              <w:tr2bl w:val="nil"/>
            </w:tcBorders>
            <w:vAlign w:val="center"/>
          </w:tcPr>
          <w:p w14:paraId="7DCE04D3">
            <w:pPr>
              <w:ind w:left="-105" w:right="-105"/>
              <w:jc w:val="center"/>
              <w:rPr>
                <w:rFonts w:ascii="Times New Roman" w:hAnsi="Times New Roman"/>
                <w:b/>
                <w:color w:val="auto"/>
                <w:sz w:val="21"/>
                <w:szCs w:val="21"/>
                <w:highlight w:val="none"/>
                <w:lang w:val="zh-CN" w:bidi="zh-CN"/>
              </w:rPr>
            </w:pPr>
            <w:r>
              <w:rPr>
                <w:rFonts w:ascii="Times New Roman" w:hAnsi="Times New Roman"/>
                <w:b/>
                <w:color w:val="auto"/>
                <w:sz w:val="21"/>
                <w:szCs w:val="21"/>
                <w:highlight w:val="none"/>
                <w:lang w:val="zh-CN" w:bidi="zh-CN"/>
              </w:rPr>
              <w:t>与排放点距离/m</w:t>
            </w:r>
          </w:p>
        </w:tc>
      </w:tr>
      <w:tr w14:paraId="3E7B70C0">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851" w:type="dxa"/>
            <w:vMerge w:val="continue"/>
            <w:tcBorders>
              <w:tl2br w:val="nil"/>
              <w:tr2bl w:val="nil"/>
            </w:tcBorders>
            <w:vAlign w:val="center"/>
          </w:tcPr>
          <w:p w14:paraId="28EE44DE">
            <w:pPr>
              <w:ind w:left="-105" w:right="-105"/>
              <w:jc w:val="center"/>
              <w:rPr>
                <w:rFonts w:ascii="Times New Roman" w:hAnsi="Times New Roman"/>
                <w:color w:val="auto"/>
                <w:sz w:val="21"/>
                <w:szCs w:val="21"/>
                <w:highlight w:val="none"/>
                <w:lang w:val="zh-CN" w:bidi="zh-CN"/>
              </w:rPr>
            </w:pPr>
          </w:p>
        </w:tc>
        <w:tc>
          <w:tcPr>
            <w:tcW w:w="704" w:type="dxa"/>
            <w:tcBorders>
              <w:tl2br w:val="nil"/>
              <w:tr2bl w:val="nil"/>
            </w:tcBorders>
            <w:vAlign w:val="center"/>
          </w:tcPr>
          <w:p w14:paraId="538CA60D">
            <w:pPr>
              <w:ind w:left="-105" w:right="-105"/>
              <w:jc w:val="center"/>
              <w:rPr>
                <w:rFonts w:ascii="Times New Roman" w:hAnsi="Times New Roman"/>
                <w:color w:val="auto"/>
                <w:sz w:val="21"/>
                <w:szCs w:val="21"/>
                <w:highlight w:val="none"/>
                <w:lang w:val="zh-CN" w:bidi="zh-CN"/>
              </w:rPr>
            </w:pPr>
            <w:r>
              <w:rPr>
                <w:rFonts w:ascii="Times New Roman" w:hAnsi="Times New Roman"/>
                <w:color w:val="auto"/>
                <w:sz w:val="21"/>
                <w:szCs w:val="21"/>
                <w:highlight w:val="none"/>
                <w:lang w:val="zh-CN" w:bidi="zh-CN"/>
              </w:rPr>
              <w:t>/</w:t>
            </w:r>
          </w:p>
        </w:tc>
        <w:tc>
          <w:tcPr>
            <w:tcW w:w="1763" w:type="dxa"/>
            <w:gridSpan w:val="2"/>
            <w:tcBorders>
              <w:tl2br w:val="nil"/>
              <w:tr2bl w:val="nil"/>
            </w:tcBorders>
            <w:vAlign w:val="center"/>
          </w:tcPr>
          <w:p w14:paraId="43D23175">
            <w:pPr>
              <w:ind w:left="-105" w:right="-105"/>
              <w:jc w:val="center"/>
              <w:rPr>
                <w:rFonts w:ascii="Times New Roman" w:hAnsi="Times New Roman"/>
                <w:color w:val="auto"/>
                <w:sz w:val="21"/>
                <w:szCs w:val="21"/>
                <w:highlight w:val="none"/>
                <w:lang w:val="zh-CN" w:bidi="zh-CN"/>
              </w:rPr>
            </w:pPr>
            <w:r>
              <w:rPr>
                <w:rFonts w:ascii="Times New Roman" w:hAnsi="Times New Roman"/>
                <w:color w:val="auto"/>
                <w:sz w:val="21"/>
                <w:szCs w:val="21"/>
                <w:highlight w:val="none"/>
                <w:lang w:val="zh-CN" w:bidi="zh-CN"/>
              </w:rPr>
              <w:t>/</w:t>
            </w:r>
          </w:p>
        </w:tc>
        <w:tc>
          <w:tcPr>
            <w:tcW w:w="1795" w:type="dxa"/>
            <w:gridSpan w:val="5"/>
            <w:tcBorders>
              <w:tl2br w:val="nil"/>
              <w:tr2bl w:val="nil"/>
            </w:tcBorders>
            <w:vAlign w:val="center"/>
          </w:tcPr>
          <w:p w14:paraId="54EAC47E">
            <w:pPr>
              <w:ind w:left="-105" w:right="-105"/>
              <w:jc w:val="center"/>
              <w:rPr>
                <w:rFonts w:ascii="Times New Roman" w:hAnsi="Times New Roman"/>
                <w:color w:val="auto"/>
                <w:sz w:val="21"/>
                <w:szCs w:val="21"/>
                <w:highlight w:val="none"/>
                <w:lang w:val="zh-CN" w:bidi="zh-CN"/>
              </w:rPr>
            </w:pPr>
            <w:r>
              <w:rPr>
                <w:rFonts w:ascii="Times New Roman" w:hAnsi="Times New Roman"/>
                <w:color w:val="auto"/>
                <w:sz w:val="21"/>
                <w:szCs w:val="21"/>
                <w:highlight w:val="none"/>
                <w:lang w:val="zh-CN" w:bidi="zh-CN"/>
              </w:rPr>
              <w:t>/</w:t>
            </w:r>
          </w:p>
        </w:tc>
        <w:tc>
          <w:tcPr>
            <w:tcW w:w="1795" w:type="dxa"/>
            <w:gridSpan w:val="4"/>
            <w:tcBorders>
              <w:tl2br w:val="nil"/>
              <w:tr2bl w:val="nil"/>
            </w:tcBorders>
            <w:vAlign w:val="center"/>
          </w:tcPr>
          <w:p w14:paraId="14DDD8B8">
            <w:pPr>
              <w:ind w:left="-105" w:right="-105"/>
              <w:jc w:val="center"/>
              <w:rPr>
                <w:rFonts w:ascii="Times New Roman" w:hAnsi="Times New Roman"/>
                <w:color w:val="auto"/>
                <w:sz w:val="21"/>
                <w:szCs w:val="21"/>
                <w:highlight w:val="none"/>
                <w:lang w:val="zh-CN" w:bidi="zh-CN"/>
              </w:rPr>
            </w:pPr>
            <w:r>
              <w:rPr>
                <w:rFonts w:ascii="Times New Roman" w:hAnsi="Times New Roman"/>
                <w:color w:val="auto"/>
                <w:sz w:val="21"/>
                <w:szCs w:val="21"/>
                <w:highlight w:val="none"/>
                <w:lang w:val="zh-CN" w:bidi="zh-CN"/>
              </w:rPr>
              <w:t>/</w:t>
            </w:r>
          </w:p>
        </w:tc>
        <w:tc>
          <w:tcPr>
            <w:tcW w:w="2142" w:type="dxa"/>
            <w:gridSpan w:val="2"/>
            <w:tcBorders>
              <w:tl2br w:val="nil"/>
              <w:tr2bl w:val="nil"/>
            </w:tcBorders>
            <w:vAlign w:val="center"/>
          </w:tcPr>
          <w:p w14:paraId="06E10127">
            <w:pPr>
              <w:ind w:left="-105" w:right="-105"/>
              <w:jc w:val="center"/>
              <w:rPr>
                <w:rFonts w:ascii="Times New Roman" w:hAnsi="Times New Roman"/>
                <w:color w:val="auto"/>
                <w:sz w:val="21"/>
                <w:szCs w:val="21"/>
                <w:highlight w:val="none"/>
                <w:lang w:val="zh-CN" w:bidi="zh-CN"/>
              </w:rPr>
            </w:pPr>
            <w:r>
              <w:rPr>
                <w:rFonts w:ascii="Times New Roman" w:hAnsi="Times New Roman"/>
                <w:color w:val="auto"/>
                <w:sz w:val="21"/>
                <w:szCs w:val="21"/>
                <w:highlight w:val="none"/>
                <w:lang w:val="zh-CN" w:bidi="zh-CN"/>
              </w:rPr>
              <w:t>/</w:t>
            </w:r>
          </w:p>
        </w:tc>
      </w:tr>
      <w:tr w14:paraId="62C31C17">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851" w:type="dxa"/>
            <w:vMerge w:val="continue"/>
            <w:tcBorders>
              <w:tl2br w:val="nil"/>
              <w:tr2bl w:val="nil"/>
            </w:tcBorders>
            <w:vAlign w:val="center"/>
          </w:tcPr>
          <w:p w14:paraId="22BCB64D">
            <w:pPr>
              <w:ind w:left="-105" w:right="-105"/>
              <w:jc w:val="center"/>
              <w:rPr>
                <w:rFonts w:ascii="Times New Roman" w:hAnsi="Times New Roman"/>
                <w:color w:val="auto"/>
                <w:sz w:val="21"/>
                <w:szCs w:val="21"/>
                <w:highlight w:val="none"/>
                <w:lang w:val="zh-CN" w:bidi="zh-CN"/>
              </w:rPr>
            </w:pPr>
          </w:p>
        </w:tc>
        <w:tc>
          <w:tcPr>
            <w:tcW w:w="6057" w:type="dxa"/>
            <w:gridSpan w:val="12"/>
            <w:tcBorders>
              <w:tl2br w:val="nil"/>
              <w:tr2bl w:val="nil"/>
            </w:tcBorders>
            <w:vAlign w:val="center"/>
          </w:tcPr>
          <w:p w14:paraId="6704978F">
            <w:pPr>
              <w:ind w:left="-105" w:right="-105"/>
              <w:jc w:val="center"/>
              <w:rPr>
                <w:rFonts w:ascii="Times New Roman" w:hAnsi="Times New Roman"/>
                <w:color w:val="auto"/>
                <w:sz w:val="21"/>
                <w:szCs w:val="21"/>
                <w:highlight w:val="none"/>
                <w:lang w:val="zh-CN" w:bidi="zh-CN"/>
              </w:rPr>
            </w:pPr>
            <w:r>
              <w:rPr>
                <w:rFonts w:ascii="Times New Roman" w:hAnsi="Times New Roman" w:cs="Times New Roman"/>
                <w:color w:val="auto"/>
                <w:sz w:val="21"/>
                <w:szCs w:val="21"/>
                <w:highlight w:val="none"/>
                <w:lang w:val="zh-CN" w:bidi="zh-CN"/>
              </w:rPr>
              <w:t>地表水环境敏感程度E值</w:t>
            </w:r>
          </w:p>
        </w:tc>
        <w:tc>
          <w:tcPr>
            <w:tcW w:w="2142" w:type="dxa"/>
            <w:gridSpan w:val="2"/>
            <w:tcBorders>
              <w:tl2br w:val="nil"/>
              <w:tr2bl w:val="nil"/>
            </w:tcBorders>
            <w:vAlign w:val="center"/>
          </w:tcPr>
          <w:p w14:paraId="402E3126">
            <w:pPr>
              <w:ind w:left="-105" w:right="-105"/>
              <w:jc w:val="center"/>
              <w:rPr>
                <w:rFonts w:ascii="Times New Roman" w:hAnsi="Times New Roman"/>
                <w:color w:val="auto"/>
                <w:sz w:val="21"/>
                <w:szCs w:val="21"/>
                <w:highlight w:val="none"/>
                <w:lang w:val="zh-CN" w:bidi="zh-CN"/>
              </w:rPr>
            </w:pPr>
            <w:r>
              <w:rPr>
                <w:rFonts w:ascii="Times New Roman" w:hAnsi="Times New Roman" w:cs="Times New Roman"/>
                <w:color w:val="auto"/>
                <w:sz w:val="21"/>
                <w:szCs w:val="21"/>
                <w:highlight w:val="none"/>
                <w:lang w:val="zh-CN" w:bidi="zh-CN"/>
              </w:rPr>
              <w:t>E1</w:t>
            </w:r>
          </w:p>
        </w:tc>
      </w:tr>
      <w:tr w14:paraId="64252EE4">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851" w:type="dxa"/>
            <w:vMerge w:val="restart"/>
            <w:tcBorders>
              <w:tl2br w:val="nil"/>
              <w:tr2bl w:val="nil"/>
            </w:tcBorders>
            <w:vAlign w:val="center"/>
          </w:tcPr>
          <w:p w14:paraId="62E638AB">
            <w:pPr>
              <w:ind w:left="-105" w:right="-105"/>
              <w:jc w:val="center"/>
              <w:rPr>
                <w:rFonts w:ascii="Times New Roman" w:hAnsi="Times New Roman"/>
                <w:color w:val="auto"/>
                <w:sz w:val="21"/>
                <w:szCs w:val="21"/>
                <w:highlight w:val="none"/>
                <w:lang w:val="zh-CN" w:bidi="zh-CN"/>
              </w:rPr>
            </w:pPr>
            <w:r>
              <w:rPr>
                <w:rFonts w:ascii="Times New Roman" w:hAnsi="Times New Roman"/>
                <w:color w:val="auto"/>
                <w:sz w:val="21"/>
                <w:szCs w:val="21"/>
                <w:highlight w:val="none"/>
                <w:lang w:val="zh-CN" w:bidi="zh-CN"/>
              </w:rPr>
              <w:t>地下水</w:t>
            </w:r>
          </w:p>
        </w:tc>
        <w:tc>
          <w:tcPr>
            <w:tcW w:w="704" w:type="dxa"/>
            <w:tcBorders>
              <w:tl2br w:val="nil"/>
              <w:tr2bl w:val="nil"/>
            </w:tcBorders>
            <w:vAlign w:val="center"/>
          </w:tcPr>
          <w:p w14:paraId="43F6A43A">
            <w:pPr>
              <w:ind w:left="-105" w:right="-105"/>
              <w:jc w:val="center"/>
              <w:rPr>
                <w:rFonts w:ascii="Times New Roman" w:hAnsi="Times New Roman"/>
                <w:b/>
                <w:color w:val="auto"/>
                <w:sz w:val="21"/>
                <w:szCs w:val="21"/>
                <w:highlight w:val="none"/>
                <w:lang w:val="zh-CN" w:bidi="zh-CN"/>
              </w:rPr>
            </w:pPr>
            <w:r>
              <w:rPr>
                <w:rFonts w:ascii="Times New Roman" w:hAnsi="Times New Roman"/>
                <w:b/>
                <w:color w:val="auto"/>
                <w:sz w:val="21"/>
                <w:szCs w:val="21"/>
                <w:highlight w:val="none"/>
                <w:lang w:val="zh-CN" w:bidi="zh-CN"/>
              </w:rPr>
              <w:t>序号</w:t>
            </w:r>
          </w:p>
        </w:tc>
        <w:tc>
          <w:tcPr>
            <w:tcW w:w="1405" w:type="dxa"/>
            <w:tcBorders>
              <w:tl2br w:val="nil"/>
              <w:tr2bl w:val="nil"/>
            </w:tcBorders>
            <w:vAlign w:val="center"/>
          </w:tcPr>
          <w:p w14:paraId="360BE2D1">
            <w:pPr>
              <w:ind w:left="-105" w:right="-105"/>
              <w:jc w:val="center"/>
              <w:rPr>
                <w:rFonts w:ascii="Times New Roman" w:hAnsi="Times New Roman"/>
                <w:b/>
                <w:color w:val="auto"/>
                <w:sz w:val="21"/>
                <w:szCs w:val="21"/>
                <w:highlight w:val="none"/>
                <w:lang w:val="zh-CN" w:bidi="zh-CN"/>
              </w:rPr>
            </w:pPr>
            <w:r>
              <w:rPr>
                <w:rFonts w:ascii="Times New Roman" w:hAnsi="Times New Roman"/>
                <w:b/>
                <w:color w:val="auto"/>
                <w:sz w:val="21"/>
                <w:szCs w:val="21"/>
                <w:highlight w:val="none"/>
                <w:lang w:val="zh-CN" w:bidi="zh-CN"/>
              </w:rPr>
              <w:t>敏感目标名称</w:t>
            </w:r>
          </w:p>
        </w:tc>
        <w:tc>
          <w:tcPr>
            <w:tcW w:w="1434" w:type="dxa"/>
            <w:gridSpan w:val="4"/>
            <w:tcBorders>
              <w:tl2br w:val="nil"/>
              <w:tr2bl w:val="nil"/>
            </w:tcBorders>
            <w:vAlign w:val="center"/>
          </w:tcPr>
          <w:p w14:paraId="6CEECC7C">
            <w:pPr>
              <w:ind w:left="-105" w:right="-105"/>
              <w:jc w:val="center"/>
              <w:rPr>
                <w:rFonts w:ascii="Times New Roman" w:hAnsi="Times New Roman"/>
                <w:b/>
                <w:color w:val="auto"/>
                <w:sz w:val="21"/>
                <w:szCs w:val="21"/>
                <w:highlight w:val="none"/>
                <w:lang w:val="zh-CN" w:bidi="zh-CN"/>
              </w:rPr>
            </w:pPr>
            <w:r>
              <w:rPr>
                <w:rFonts w:ascii="Times New Roman" w:hAnsi="Times New Roman"/>
                <w:b/>
                <w:color w:val="auto"/>
                <w:sz w:val="21"/>
                <w:szCs w:val="21"/>
                <w:highlight w:val="none"/>
                <w:lang w:val="zh-CN" w:bidi="zh-CN"/>
              </w:rPr>
              <w:t>环境敏感特征</w:t>
            </w:r>
          </w:p>
        </w:tc>
        <w:tc>
          <w:tcPr>
            <w:tcW w:w="1245" w:type="dxa"/>
            <w:gridSpan w:val="3"/>
            <w:tcBorders>
              <w:tl2br w:val="nil"/>
              <w:tr2bl w:val="nil"/>
            </w:tcBorders>
            <w:vAlign w:val="center"/>
          </w:tcPr>
          <w:p w14:paraId="349C7508">
            <w:pPr>
              <w:ind w:left="-105" w:right="-105"/>
              <w:jc w:val="center"/>
              <w:rPr>
                <w:rFonts w:ascii="Times New Roman" w:hAnsi="Times New Roman"/>
                <w:b/>
                <w:color w:val="auto"/>
                <w:sz w:val="21"/>
                <w:szCs w:val="21"/>
                <w:highlight w:val="none"/>
                <w:lang w:val="zh-CN" w:bidi="zh-CN"/>
              </w:rPr>
            </w:pPr>
            <w:r>
              <w:rPr>
                <w:rFonts w:ascii="Times New Roman" w:hAnsi="Times New Roman"/>
                <w:b/>
                <w:color w:val="auto"/>
                <w:sz w:val="21"/>
                <w:szCs w:val="21"/>
                <w:highlight w:val="none"/>
                <w:lang w:val="zh-CN" w:bidi="zh-CN"/>
              </w:rPr>
              <w:t>水质目标</w:t>
            </w:r>
          </w:p>
        </w:tc>
        <w:tc>
          <w:tcPr>
            <w:tcW w:w="1663" w:type="dxa"/>
            <w:gridSpan w:val="4"/>
            <w:tcBorders>
              <w:tl2br w:val="nil"/>
              <w:tr2bl w:val="nil"/>
            </w:tcBorders>
            <w:vAlign w:val="center"/>
          </w:tcPr>
          <w:p w14:paraId="0EFD7A17">
            <w:pPr>
              <w:ind w:left="-105" w:right="-105"/>
              <w:jc w:val="center"/>
              <w:rPr>
                <w:rFonts w:ascii="Times New Roman" w:hAnsi="Times New Roman"/>
                <w:b/>
                <w:color w:val="auto"/>
                <w:sz w:val="21"/>
                <w:szCs w:val="21"/>
                <w:highlight w:val="none"/>
                <w:lang w:val="zh-CN" w:bidi="zh-CN"/>
              </w:rPr>
            </w:pPr>
            <w:r>
              <w:rPr>
                <w:rFonts w:ascii="Times New Roman" w:hAnsi="Times New Roman"/>
                <w:b/>
                <w:color w:val="auto"/>
                <w:sz w:val="21"/>
                <w:szCs w:val="21"/>
                <w:highlight w:val="none"/>
                <w:lang w:val="zh-CN" w:bidi="zh-CN"/>
              </w:rPr>
              <w:t>包气带防污性能</w:t>
            </w:r>
          </w:p>
        </w:tc>
        <w:tc>
          <w:tcPr>
            <w:tcW w:w="1748" w:type="dxa"/>
            <w:tcBorders>
              <w:tl2br w:val="nil"/>
              <w:tr2bl w:val="nil"/>
            </w:tcBorders>
            <w:vAlign w:val="center"/>
          </w:tcPr>
          <w:p w14:paraId="2CEBF641">
            <w:pPr>
              <w:ind w:left="-105" w:right="-105"/>
              <w:jc w:val="center"/>
              <w:rPr>
                <w:rFonts w:ascii="Times New Roman" w:hAnsi="Times New Roman"/>
                <w:b/>
                <w:color w:val="auto"/>
                <w:sz w:val="21"/>
                <w:szCs w:val="21"/>
                <w:highlight w:val="none"/>
                <w:lang w:val="zh-CN" w:bidi="zh-CN"/>
              </w:rPr>
            </w:pPr>
            <w:r>
              <w:rPr>
                <w:rFonts w:ascii="Times New Roman" w:hAnsi="Times New Roman"/>
                <w:b/>
                <w:color w:val="auto"/>
                <w:sz w:val="21"/>
                <w:szCs w:val="21"/>
                <w:highlight w:val="none"/>
                <w:lang w:val="zh-CN" w:bidi="zh-CN"/>
              </w:rPr>
              <w:t>与排放点距离/m</w:t>
            </w:r>
          </w:p>
        </w:tc>
      </w:tr>
      <w:tr w14:paraId="6A48A955">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851" w:type="dxa"/>
            <w:vMerge w:val="continue"/>
            <w:tcBorders>
              <w:tl2br w:val="nil"/>
              <w:tr2bl w:val="nil"/>
            </w:tcBorders>
            <w:vAlign w:val="center"/>
          </w:tcPr>
          <w:p w14:paraId="410E4A20">
            <w:pPr>
              <w:ind w:left="-105" w:right="-105"/>
              <w:jc w:val="center"/>
              <w:rPr>
                <w:rFonts w:ascii="Times New Roman" w:hAnsi="Times New Roman"/>
                <w:color w:val="auto"/>
                <w:sz w:val="21"/>
                <w:szCs w:val="21"/>
                <w:highlight w:val="none"/>
                <w:lang w:val="zh-CN" w:bidi="zh-CN"/>
              </w:rPr>
            </w:pPr>
          </w:p>
        </w:tc>
        <w:tc>
          <w:tcPr>
            <w:tcW w:w="704" w:type="dxa"/>
            <w:tcBorders>
              <w:tl2br w:val="nil"/>
              <w:tr2bl w:val="nil"/>
            </w:tcBorders>
            <w:vAlign w:val="center"/>
          </w:tcPr>
          <w:p w14:paraId="05E868FA">
            <w:pPr>
              <w:ind w:left="-105" w:right="-105"/>
              <w:jc w:val="center"/>
              <w:rPr>
                <w:rFonts w:ascii="Times New Roman" w:hAnsi="Times New Roman"/>
                <w:color w:val="auto"/>
                <w:sz w:val="21"/>
                <w:szCs w:val="21"/>
                <w:highlight w:val="none"/>
                <w:lang w:val="zh-CN" w:bidi="zh-CN"/>
              </w:rPr>
            </w:pPr>
            <w:r>
              <w:rPr>
                <w:rFonts w:ascii="Times New Roman" w:hAnsi="Times New Roman"/>
                <w:color w:val="auto"/>
                <w:sz w:val="21"/>
                <w:szCs w:val="21"/>
                <w:highlight w:val="none"/>
                <w:lang w:val="zh-CN" w:bidi="zh-CN"/>
              </w:rPr>
              <w:t>/</w:t>
            </w:r>
          </w:p>
        </w:tc>
        <w:tc>
          <w:tcPr>
            <w:tcW w:w="1405" w:type="dxa"/>
            <w:tcBorders>
              <w:tl2br w:val="nil"/>
              <w:tr2bl w:val="nil"/>
            </w:tcBorders>
            <w:vAlign w:val="center"/>
          </w:tcPr>
          <w:p w14:paraId="56813041">
            <w:pPr>
              <w:ind w:left="-105" w:right="-105"/>
              <w:jc w:val="center"/>
              <w:rPr>
                <w:rFonts w:ascii="Times New Roman" w:hAnsi="Times New Roman"/>
                <w:color w:val="auto"/>
                <w:sz w:val="21"/>
                <w:szCs w:val="21"/>
                <w:highlight w:val="none"/>
                <w:lang w:val="zh-CN" w:bidi="zh-CN"/>
              </w:rPr>
            </w:pPr>
            <w:r>
              <w:rPr>
                <w:rFonts w:ascii="Times New Roman" w:hAnsi="Times New Roman"/>
                <w:color w:val="auto"/>
                <w:sz w:val="21"/>
                <w:szCs w:val="21"/>
                <w:highlight w:val="none"/>
                <w:lang w:val="zh-CN" w:bidi="zh-CN"/>
              </w:rPr>
              <w:t>/</w:t>
            </w:r>
          </w:p>
        </w:tc>
        <w:tc>
          <w:tcPr>
            <w:tcW w:w="1434" w:type="dxa"/>
            <w:gridSpan w:val="4"/>
            <w:tcBorders>
              <w:tl2br w:val="nil"/>
              <w:tr2bl w:val="nil"/>
            </w:tcBorders>
            <w:vAlign w:val="center"/>
          </w:tcPr>
          <w:p w14:paraId="398C112E">
            <w:pPr>
              <w:ind w:left="-105" w:right="-105"/>
              <w:jc w:val="center"/>
              <w:rPr>
                <w:rFonts w:ascii="Times New Roman" w:hAnsi="Times New Roman"/>
                <w:color w:val="auto"/>
                <w:sz w:val="21"/>
                <w:szCs w:val="21"/>
                <w:highlight w:val="none"/>
                <w:lang w:val="zh-CN" w:bidi="zh-CN"/>
              </w:rPr>
            </w:pPr>
            <w:r>
              <w:rPr>
                <w:rFonts w:ascii="Times New Roman" w:hAnsi="Times New Roman"/>
                <w:color w:val="auto"/>
                <w:sz w:val="21"/>
                <w:szCs w:val="21"/>
                <w:highlight w:val="none"/>
                <w:lang w:val="zh-CN" w:bidi="zh-CN"/>
              </w:rPr>
              <w:t>/</w:t>
            </w:r>
          </w:p>
        </w:tc>
        <w:tc>
          <w:tcPr>
            <w:tcW w:w="1245" w:type="dxa"/>
            <w:gridSpan w:val="3"/>
            <w:tcBorders>
              <w:tl2br w:val="nil"/>
              <w:tr2bl w:val="nil"/>
            </w:tcBorders>
            <w:vAlign w:val="center"/>
          </w:tcPr>
          <w:p w14:paraId="4D5AB953">
            <w:pPr>
              <w:ind w:left="-105" w:right="-105"/>
              <w:jc w:val="center"/>
              <w:rPr>
                <w:rFonts w:ascii="Times New Roman" w:hAnsi="Times New Roman"/>
                <w:color w:val="auto"/>
                <w:sz w:val="21"/>
                <w:szCs w:val="21"/>
                <w:highlight w:val="none"/>
                <w:lang w:val="zh-CN" w:bidi="zh-CN"/>
              </w:rPr>
            </w:pPr>
            <w:r>
              <w:rPr>
                <w:rFonts w:ascii="Times New Roman" w:hAnsi="Times New Roman"/>
                <w:color w:val="auto"/>
                <w:sz w:val="21"/>
                <w:szCs w:val="21"/>
                <w:highlight w:val="none"/>
                <w:lang w:val="zh-CN" w:bidi="zh-CN"/>
              </w:rPr>
              <w:t>/</w:t>
            </w:r>
          </w:p>
        </w:tc>
        <w:tc>
          <w:tcPr>
            <w:tcW w:w="1663" w:type="dxa"/>
            <w:gridSpan w:val="4"/>
            <w:tcBorders>
              <w:tl2br w:val="nil"/>
              <w:tr2bl w:val="nil"/>
            </w:tcBorders>
            <w:vAlign w:val="center"/>
          </w:tcPr>
          <w:p w14:paraId="241980AA">
            <w:pPr>
              <w:ind w:left="-105" w:right="-105"/>
              <w:jc w:val="center"/>
              <w:rPr>
                <w:rFonts w:ascii="Times New Roman" w:hAnsi="Times New Roman"/>
                <w:color w:val="auto"/>
                <w:sz w:val="21"/>
                <w:szCs w:val="21"/>
                <w:highlight w:val="none"/>
                <w:lang w:val="zh-CN" w:bidi="zh-CN"/>
              </w:rPr>
            </w:pPr>
            <w:r>
              <w:rPr>
                <w:rFonts w:ascii="Times New Roman" w:hAnsi="Times New Roman"/>
                <w:color w:val="auto"/>
                <w:sz w:val="21"/>
                <w:szCs w:val="21"/>
                <w:highlight w:val="none"/>
                <w:lang w:val="zh-CN" w:bidi="zh-CN"/>
              </w:rPr>
              <w:t>/</w:t>
            </w:r>
          </w:p>
        </w:tc>
        <w:tc>
          <w:tcPr>
            <w:tcW w:w="1748" w:type="dxa"/>
            <w:tcBorders>
              <w:tl2br w:val="nil"/>
              <w:tr2bl w:val="nil"/>
            </w:tcBorders>
            <w:vAlign w:val="center"/>
          </w:tcPr>
          <w:p w14:paraId="3AC74791">
            <w:pPr>
              <w:ind w:left="-105" w:right="-105"/>
              <w:jc w:val="center"/>
              <w:rPr>
                <w:rFonts w:ascii="Times New Roman" w:hAnsi="Times New Roman"/>
                <w:color w:val="auto"/>
                <w:sz w:val="21"/>
                <w:szCs w:val="21"/>
                <w:highlight w:val="none"/>
                <w:lang w:val="zh-CN" w:bidi="zh-CN"/>
              </w:rPr>
            </w:pPr>
            <w:r>
              <w:rPr>
                <w:rFonts w:ascii="Times New Roman" w:hAnsi="Times New Roman"/>
                <w:color w:val="auto"/>
                <w:sz w:val="21"/>
                <w:szCs w:val="21"/>
                <w:highlight w:val="none"/>
                <w:lang w:val="zh-CN" w:bidi="zh-CN"/>
              </w:rPr>
              <w:t>/</w:t>
            </w:r>
          </w:p>
        </w:tc>
      </w:tr>
      <w:tr w14:paraId="5E38D1C6">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851" w:type="dxa"/>
            <w:vMerge w:val="continue"/>
            <w:tcBorders>
              <w:tl2br w:val="nil"/>
              <w:tr2bl w:val="nil"/>
            </w:tcBorders>
            <w:vAlign w:val="center"/>
          </w:tcPr>
          <w:p w14:paraId="6BE07870">
            <w:pPr>
              <w:ind w:left="-105" w:right="-105"/>
              <w:jc w:val="center"/>
              <w:rPr>
                <w:rFonts w:ascii="Times New Roman" w:hAnsi="Times New Roman"/>
                <w:color w:val="auto"/>
                <w:sz w:val="21"/>
                <w:szCs w:val="21"/>
                <w:highlight w:val="none"/>
                <w:lang w:val="zh-CN" w:bidi="zh-CN"/>
              </w:rPr>
            </w:pPr>
          </w:p>
        </w:tc>
        <w:tc>
          <w:tcPr>
            <w:tcW w:w="6451" w:type="dxa"/>
            <w:gridSpan w:val="13"/>
            <w:tcBorders>
              <w:tl2br w:val="nil"/>
              <w:tr2bl w:val="nil"/>
            </w:tcBorders>
            <w:vAlign w:val="center"/>
          </w:tcPr>
          <w:p w14:paraId="15D4375D">
            <w:pPr>
              <w:ind w:left="-105" w:right="-105"/>
              <w:jc w:val="center"/>
              <w:rPr>
                <w:rFonts w:ascii="Times New Roman" w:hAnsi="Times New Roman"/>
                <w:color w:val="auto"/>
                <w:sz w:val="21"/>
                <w:szCs w:val="21"/>
                <w:highlight w:val="none"/>
                <w:lang w:val="zh-CN" w:bidi="zh-CN"/>
              </w:rPr>
            </w:pPr>
            <w:r>
              <w:rPr>
                <w:rFonts w:ascii="Times New Roman" w:hAnsi="Times New Roman" w:cs="Times New Roman"/>
                <w:color w:val="auto"/>
                <w:sz w:val="21"/>
                <w:szCs w:val="21"/>
                <w:highlight w:val="none"/>
                <w:lang w:val="zh-CN" w:bidi="zh-CN"/>
              </w:rPr>
              <w:t>地下水环境敏感程度E值</w:t>
            </w:r>
          </w:p>
        </w:tc>
        <w:tc>
          <w:tcPr>
            <w:tcW w:w="1748" w:type="dxa"/>
            <w:tcBorders>
              <w:tl2br w:val="nil"/>
              <w:tr2bl w:val="nil"/>
            </w:tcBorders>
            <w:vAlign w:val="center"/>
          </w:tcPr>
          <w:p w14:paraId="10AFB5C0">
            <w:pPr>
              <w:ind w:left="-105" w:right="-105"/>
              <w:jc w:val="center"/>
              <w:rPr>
                <w:rFonts w:ascii="Times New Roman" w:hAnsi="Times New Roman"/>
                <w:color w:val="auto"/>
                <w:sz w:val="21"/>
                <w:szCs w:val="21"/>
                <w:highlight w:val="none"/>
                <w:lang w:val="zh-CN" w:bidi="zh-CN"/>
              </w:rPr>
            </w:pPr>
            <w:r>
              <w:rPr>
                <w:rFonts w:ascii="Times New Roman" w:hAnsi="Times New Roman" w:cs="Times New Roman"/>
                <w:color w:val="auto"/>
                <w:sz w:val="21"/>
                <w:szCs w:val="21"/>
                <w:highlight w:val="none"/>
                <w:lang w:val="zh-CN" w:bidi="zh-CN"/>
              </w:rPr>
              <w:t>E3</w:t>
            </w:r>
          </w:p>
        </w:tc>
      </w:tr>
    </w:tbl>
    <w:p w14:paraId="6B05C7B8">
      <w:pPr>
        <w:pStyle w:val="4"/>
        <w:numPr>
          <w:ilvl w:val="1"/>
          <w:numId w:val="6"/>
        </w:numPr>
        <w:tabs>
          <w:tab w:val="left" w:pos="426"/>
        </w:tabs>
        <w:spacing w:before="120" w:beforeLines="50" w:line="360" w:lineRule="auto"/>
        <w:ind w:left="-105" w:right="-105"/>
        <w:rPr>
          <w:rFonts w:ascii="Times New Roman" w:eastAsia="宋体"/>
          <w:color w:val="auto"/>
          <w:sz w:val="28"/>
          <w:szCs w:val="28"/>
          <w:highlight w:val="none"/>
        </w:rPr>
      </w:pPr>
      <w:bookmarkStart w:id="170" w:name="_Toc60653455"/>
      <w:bookmarkStart w:id="171" w:name="_Toc14893"/>
      <w:r>
        <w:rPr>
          <w:rFonts w:ascii="Times New Roman" w:eastAsia="宋体"/>
          <w:color w:val="auto"/>
          <w:sz w:val="28"/>
          <w:szCs w:val="28"/>
          <w:highlight w:val="none"/>
        </w:rPr>
        <w:t>环境功能区划及相关规划</w:t>
      </w:r>
      <w:bookmarkEnd w:id="165"/>
      <w:bookmarkEnd w:id="166"/>
      <w:bookmarkEnd w:id="167"/>
      <w:bookmarkEnd w:id="170"/>
      <w:bookmarkEnd w:id="171"/>
    </w:p>
    <w:p w14:paraId="3B622DF7">
      <w:pPr>
        <w:pStyle w:val="5"/>
        <w:keepLines w:val="0"/>
        <w:numPr>
          <w:ilvl w:val="2"/>
          <w:numId w:val="6"/>
        </w:numPr>
        <w:tabs>
          <w:tab w:val="left" w:pos="709"/>
        </w:tabs>
        <w:spacing w:before="120" w:beforeLines="50" w:after="0" w:line="360" w:lineRule="auto"/>
        <w:ind w:left="-105" w:right="-105"/>
        <w:rPr>
          <w:rFonts w:eastAsia="宋体"/>
          <w:color w:val="auto"/>
          <w:sz w:val="28"/>
          <w:szCs w:val="28"/>
          <w:highlight w:val="none"/>
        </w:rPr>
      </w:pPr>
      <w:bookmarkStart w:id="172" w:name="_Toc60653456"/>
      <w:r>
        <w:rPr>
          <w:rFonts w:eastAsia="宋体"/>
          <w:color w:val="auto"/>
          <w:sz w:val="28"/>
          <w:szCs w:val="28"/>
          <w:highlight w:val="none"/>
        </w:rPr>
        <w:t>环境功能区划</w:t>
      </w:r>
      <w:bookmarkEnd w:id="172"/>
    </w:p>
    <w:p w14:paraId="36E60819">
      <w:pPr>
        <w:tabs>
          <w:tab w:val="left" w:pos="993"/>
          <w:tab w:val="left" w:pos="1276"/>
        </w:tabs>
        <w:spacing w:line="360" w:lineRule="auto"/>
        <w:ind w:left="-105" w:right="-105" w:firstLine="480"/>
        <w:rPr>
          <w:rFonts w:ascii="Times New Roman" w:hAnsi="Times New Roman"/>
          <w:color w:val="auto"/>
          <w:highlight w:val="none"/>
        </w:rPr>
      </w:pPr>
      <w:r>
        <w:rPr>
          <w:rFonts w:hint="eastAsia" w:ascii="Times New Roman" w:hAnsi="Times New Roman"/>
          <w:color w:val="auto"/>
          <w:highlight w:val="none"/>
        </w:rPr>
        <w:t>①</w:t>
      </w:r>
      <w:r>
        <w:rPr>
          <w:rFonts w:ascii="Times New Roman" w:hAnsi="Times New Roman"/>
          <w:color w:val="auto"/>
          <w:highlight w:val="none"/>
        </w:rPr>
        <w:t>环境空气：根据《市政府办公室关于转发市环保局无锡市环境空气质量功能区划规定的通知》(锡政办发</w:t>
      </w:r>
      <w:r>
        <w:rPr>
          <w:rFonts w:hint="eastAsia" w:ascii="Times New Roman" w:hAnsi="Times New Roman"/>
          <w:color w:val="auto"/>
          <w:highlight w:val="none"/>
          <w:lang w:val="en-US" w:eastAsia="zh-CN"/>
        </w:rPr>
        <w:t>[</w:t>
      </w:r>
      <w:r>
        <w:rPr>
          <w:rFonts w:ascii="Times New Roman" w:hAnsi="Times New Roman"/>
          <w:color w:val="auto"/>
          <w:highlight w:val="none"/>
        </w:rPr>
        <w:t>2011</w:t>
      </w:r>
      <w:r>
        <w:rPr>
          <w:rFonts w:hint="eastAsia" w:ascii="Times New Roman" w:hAnsi="Times New Roman"/>
          <w:color w:val="auto"/>
          <w:highlight w:val="none"/>
          <w:lang w:val="en-US" w:eastAsia="zh-CN"/>
        </w:rPr>
        <w:t>]</w:t>
      </w:r>
      <w:r>
        <w:rPr>
          <w:rFonts w:ascii="Times New Roman" w:hAnsi="Times New Roman"/>
          <w:color w:val="auto"/>
          <w:highlight w:val="none"/>
        </w:rPr>
        <w:t>300号文件)，项目所在地环境空气质量功能区为《环境空气质量标准》(GB3095-2012)中的二类区。</w:t>
      </w:r>
    </w:p>
    <w:p w14:paraId="4698A2B6">
      <w:pPr>
        <w:tabs>
          <w:tab w:val="left" w:pos="993"/>
          <w:tab w:val="left" w:pos="1276"/>
        </w:tabs>
        <w:spacing w:line="360" w:lineRule="auto"/>
        <w:ind w:left="-105" w:right="-105" w:firstLine="480"/>
        <w:rPr>
          <w:rFonts w:ascii="Times New Roman" w:hAnsi="Times New Roman"/>
          <w:color w:val="auto"/>
          <w:highlight w:val="none"/>
        </w:rPr>
      </w:pPr>
      <w:r>
        <w:rPr>
          <w:rFonts w:hint="eastAsia" w:ascii="Times New Roman" w:hAnsi="Times New Roman"/>
          <w:color w:val="auto"/>
          <w:highlight w:val="none"/>
        </w:rPr>
        <w:t>②</w:t>
      </w:r>
      <w:r>
        <w:rPr>
          <w:rFonts w:ascii="Times New Roman" w:hAnsi="Times New Roman"/>
          <w:color w:val="auto"/>
          <w:highlight w:val="none"/>
        </w:rPr>
        <w:t>地表水环境：</w:t>
      </w:r>
      <w:r>
        <w:rPr>
          <w:rFonts w:ascii="Times New Roman" w:hAnsi="Times New Roman" w:cs="Times New Roman"/>
          <w:color w:val="auto"/>
          <w:szCs w:val="22"/>
          <w:highlight w:val="none"/>
        </w:rPr>
        <w:t>根据《江苏省地表水（环境）功能区划（2021—2030年）》（苏环办[2022]82号），</w:t>
      </w:r>
      <w:r>
        <w:rPr>
          <w:rFonts w:hint="eastAsia" w:ascii="Times New Roman" w:hAnsi="Times New Roman" w:cs="Times New Roman"/>
          <w:color w:val="auto"/>
          <w:highlight w:val="none"/>
        </w:rPr>
        <w:t>无锡市锡山云林污水处理有限公司</w:t>
      </w:r>
      <w:r>
        <w:rPr>
          <w:rFonts w:ascii="Times New Roman" w:hAnsi="Times New Roman"/>
          <w:color w:val="auto"/>
          <w:highlight w:val="none"/>
        </w:rPr>
        <w:t>纳污河流</w:t>
      </w:r>
      <w:r>
        <w:rPr>
          <w:rFonts w:hint="eastAsia" w:ascii="Times New Roman" w:hAnsi="Times New Roman"/>
          <w:color w:val="auto"/>
          <w:highlight w:val="none"/>
        </w:rPr>
        <w:t>北兴塘河</w:t>
      </w:r>
      <w:r>
        <w:rPr>
          <w:rFonts w:ascii="Times New Roman" w:hAnsi="Times New Roman"/>
          <w:color w:val="auto"/>
          <w:highlight w:val="none"/>
        </w:rPr>
        <w:t>20</w:t>
      </w:r>
      <w:r>
        <w:rPr>
          <w:rFonts w:hint="eastAsia" w:ascii="Times New Roman" w:hAnsi="Times New Roman"/>
          <w:color w:val="auto"/>
          <w:highlight w:val="none"/>
        </w:rPr>
        <w:t>3</w:t>
      </w:r>
      <w:r>
        <w:rPr>
          <w:rFonts w:ascii="Times New Roman" w:hAnsi="Times New Roman"/>
          <w:color w:val="auto"/>
          <w:highlight w:val="none"/>
        </w:rPr>
        <w:t>0年水质目标为Ⅲ类水体。</w:t>
      </w:r>
    </w:p>
    <w:p w14:paraId="5F91489A">
      <w:pPr>
        <w:tabs>
          <w:tab w:val="left" w:pos="993"/>
          <w:tab w:val="left" w:pos="1276"/>
        </w:tabs>
        <w:spacing w:line="360" w:lineRule="auto"/>
        <w:ind w:left="-105" w:right="-105" w:firstLine="480"/>
        <w:rPr>
          <w:rFonts w:ascii="Times New Roman" w:hAnsi="Times New Roman"/>
          <w:color w:val="auto"/>
          <w:highlight w:val="none"/>
        </w:rPr>
      </w:pPr>
      <w:r>
        <w:rPr>
          <w:rFonts w:hint="eastAsia" w:ascii="Times New Roman" w:hAnsi="Times New Roman"/>
          <w:color w:val="auto"/>
          <w:highlight w:val="none"/>
        </w:rPr>
        <w:t>③</w:t>
      </w:r>
      <w:r>
        <w:rPr>
          <w:rFonts w:ascii="Times New Roman" w:hAnsi="Times New Roman"/>
          <w:color w:val="auto"/>
          <w:highlight w:val="none"/>
        </w:rPr>
        <w:t>声环境：</w:t>
      </w:r>
      <w:r>
        <w:rPr>
          <w:rFonts w:hint="eastAsia" w:ascii="Times New Roman" w:hAnsi="Times New Roman"/>
          <w:color w:val="auto"/>
          <w:highlight w:val="none"/>
        </w:rPr>
        <w:t>根据《无锡市区声环境功能区划分调整方案》（锡政办发[2018]157号），项目所在地声环境功能类别为3类区，执行《声环境质量标准》（GB3096-2008）中3类区标准</w:t>
      </w:r>
      <w:r>
        <w:rPr>
          <w:rFonts w:ascii="Times New Roman" w:hAnsi="Times New Roman"/>
          <w:color w:val="auto"/>
          <w:highlight w:val="none"/>
        </w:rPr>
        <w:t>。</w:t>
      </w:r>
    </w:p>
    <w:p w14:paraId="12BD8725">
      <w:pPr>
        <w:spacing w:line="360" w:lineRule="auto"/>
        <w:ind w:left="-105" w:right="-105" w:firstLine="480" w:firstLineChars="200"/>
        <w:jc w:val="both"/>
        <w:rPr>
          <w:rFonts w:ascii="Times New Roman" w:hAnsi="Times New Roman" w:cs="Times New Roman"/>
          <w:color w:val="auto"/>
          <w:szCs w:val="22"/>
          <w:highlight w:val="none"/>
        </w:rPr>
      </w:pPr>
      <w:r>
        <w:rPr>
          <w:rFonts w:hint="eastAsia"/>
          <w:color w:val="auto"/>
          <w:szCs w:val="22"/>
          <w:highlight w:val="none"/>
        </w:rPr>
        <w:t>④</w:t>
      </w:r>
      <w:r>
        <w:rPr>
          <w:rFonts w:ascii="Times New Roman" w:hAnsi="Times New Roman" w:cs="Times New Roman"/>
          <w:color w:val="auto"/>
          <w:szCs w:val="22"/>
          <w:highlight w:val="none"/>
        </w:rPr>
        <w:t>土壤环境：项目所在地属于二类工业用地，根据《土壤环境质量 建设用地土壤污染风险管控标准（试行）》（GB36600-2018），土壤环境质量执行第二类用地筛选值、管控值标准。</w:t>
      </w:r>
    </w:p>
    <w:p w14:paraId="40AEE448">
      <w:pPr>
        <w:spacing w:line="360" w:lineRule="auto"/>
        <w:ind w:left="-105" w:right="-105" w:firstLine="480" w:firstLineChars="200"/>
        <w:jc w:val="both"/>
        <w:rPr>
          <w:rFonts w:ascii="Times New Roman" w:hAnsi="Times New Roman" w:cs="Times New Roman"/>
          <w:color w:val="auto"/>
          <w:szCs w:val="22"/>
          <w:highlight w:val="none"/>
        </w:rPr>
      </w:pPr>
      <w:r>
        <w:rPr>
          <w:rFonts w:hint="eastAsia"/>
          <w:color w:val="auto"/>
          <w:szCs w:val="22"/>
          <w:highlight w:val="none"/>
        </w:rPr>
        <w:t>⑤</w:t>
      </w:r>
      <w:r>
        <w:rPr>
          <w:rFonts w:ascii="Times New Roman" w:hAnsi="Times New Roman" w:cs="Times New Roman"/>
          <w:color w:val="auto"/>
          <w:szCs w:val="22"/>
          <w:highlight w:val="none"/>
        </w:rPr>
        <w:t>地下水环境：本项目所在地地下水未划分环境功能，地下水质量执行《地下水质量标准》（GB/T14848-2017）中标准。</w:t>
      </w:r>
    </w:p>
    <w:bookmarkEnd w:id="111"/>
    <w:bookmarkEnd w:id="112"/>
    <w:bookmarkEnd w:id="113"/>
    <w:bookmarkEnd w:id="114"/>
    <w:bookmarkEnd w:id="115"/>
    <w:bookmarkEnd w:id="116"/>
    <w:bookmarkEnd w:id="117"/>
    <w:bookmarkEnd w:id="118"/>
    <w:bookmarkEnd w:id="119"/>
    <w:p w14:paraId="765D2644">
      <w:pPr>
        <w:pStyle w:val="5"/>
        <w:keepLines w:val="0"/>
        <w:numPr>
          <w:ilvl w:val="2"/>
          <w:numId w:val="6"/>
        </w:numPr>
        <w:tabs>
          <w:tab w:val="left" w:pos="141"/>
          <w:tab w:val="left" w:pos="709"/>
        </w:tabs>
        <w:spacing w:before="120" w:beforeLines="50" w:after="120" w:afterLines="50" w:line="360" w:lineRule="auto"/>
        <w:ind w:left="-105" w:right="-105"/>
        <w:rPr>
          <w:rFonts w:eastAsia="宋体"/>
          <w:color w:val="auto"/>
          <w:sz w:val="28"/>
          <w:szCs w:val="28"/>
          <w:highlight w:val="none"/>
        </w:rPr>
      </w:pPr>
      <w:bookmarkStart w:id="173" w:name="_Toc60653457"/>
      <w:bookmarkStart w:id="174" w:name="_Toc148873871"/>
      <w:bookmarkStart w:id="175" w:name="_Toc250145650"/>
      <w:bookmarkStart w:id="176" w:name="_Toc353842410"/>
      <w:bookmarkStart w:id="177" w:name="_Ref346180776"/>
      <w:bookmarkStart w:id="178" w:name="_Toc13641"/>
      <w:bookmarkStart w:id="179" w:name="_Toc471803692"/>
      <w:bookmarkStart w:id="180" w:name="_Ref346180774"/>
      <w:bookmarkStart w:id="181" w:name="_Toc327968204"/>
      <w:bookmarkStart w:id="182" w:name="_Ref327967463"/>
      <w:bookmarkStart w:id="183" w:name="_Ref327967465"/>
      <w:bookmarkStart w:id="184" w:name="_Toc60653464"/>
      <w:bookmarkStart w:id="185" w:name="_Toc28520"/>
      <w:bookmarkStart w:id="186" w:name="_Toc404670196"/>
      <w:bookmarkStart w:id="187" w:name="_Toc366657228"/>
      <w:bookmarkStart w:id="188" w:name="_Toc366483276"/>
      <w:r>
        <w:rPr>
          <w:rFonts w:eastAsia="宋体"/>
          <w:color w:val="auto"/>
          <w:sz w:val="28"/>
          <w:szCs w:val="28"/>
          <w:highlight w:val="none"/>
        </w:rPr>
        <w:t>规划</w:t>
      </w:r>
      <w:bookmarkEnd w:id="173"/>
      <w:r>
        <w:rPr>
          <w:rFonts w:hint="eastAsia" w:eastAsia="宋体"/>
          <w:color w:val="auto"/>
          <w:sz w:val="28"/>
          <w:szCs w:val="28"/>
          <w:highlight w:val="none"/>
        </w:rPr>
        <w:t>相符性分析</w:t>
      </w:r>
    </w:p>
    <w:p w14:paraId="2FC1702C">
      <w:pPr>
        <w:spacing w:line="360" w:lineRule="auto"/>
        <w:ind w:left="-105" w:right="-105" w:firstLine="480" w:firstLineChars="200"/>
        <w:jc w:val="both"/>
        <w:rPr>
          <w:rFonts w:ascii="Times New Roman" w:hAnsi="Times New Roman" w:cs="Times New Roman"/>
          <w:color w:val="auto"/>
          <w:szCs w:val="22"/>
          <w:highlight w:val="none"/>
        </w:rPr>
      </w:pPr>
      <w:r>
        <w:rPr>
          <w:rFonts w:ascii="Times New Roman" w:hAnsi="Times New Roman" w:cs="Times New Roman"/>
          <w:color w:val="auto"/>
          <w:szCs w:val="22"/>
          <w:highlight w:val="none"/>
        </w:rPr>
        <w:t>根据无锡市规划设计研究院编制的《无锡市锡山区锡北镇总体规划(2015-2030)》，规划范围为锡北镇域，总面积63.3平方公里。规划主要内容：</w:t>
      </w:r>
    </w:p>
    <w:p w14:paraId="49FECB45">
      <w:pPr>
        <w:spacing w:line="360" w:lineRule="auto"/>
        <w:ind w:left="-105" w:right="-105" w:firstLine="480" w:firstLineChars="200"/>
        <w:jc w:val="both"/>
        <w:rPr>
          <w:rFonts w:ascii="Times New Roman" w:hAnsi="Times New Roman" w:cs="Times New Roman"/>
          <w:color w:val="auto"/>
          <w:szCs w:val="22"/>
          <w:highlight w:val="none"/>
        </w:rPr>
      </w:pPr>
      <w:r>
        <w:rPr>
          <w:rFonts w:hint="eastAsia"/>
          <w:color w:val="auto"/>
          <w:szCs w:val="22"/>
          <w:highlight w:val="none"/>
        </w:rPr>
        <w:t>①</w:t>
      </w:r>
      <w:r>
        <w:rPr>
          <w:rFonts w:ascii="Times New Roman" w:hAnsi="Times New Roman" w:cs="Times New Roman"/>
          <w:color w:val="auto"/>
          <w:szCs w:val="22"/>
          <w:highlight w:val="none"/>
        </w:rPr>
        <w:t>规划背景：为贯彻落实新时期创新、协调、绿色、开放、共享五大发展理念，推进新型城镇化和城乡一体化发展，指导锡北镇城乡建设，促进锡北镇经济、社会全面协调可持续发展，依照《中华人民共和国城乡规划法》，特编制《无锡市锡山区锡北镇总体规划(2015-2030)》。</w:t>
      </w:r>
    </w:p>
    <w:p w14:paraId="3923374C">
      <w:pPr>
        <w:spacing w:line="360" w:lineRule="auto"/>
        <w:ind w:left="-105" w:right="-105" w:firstLine="480" w:firstLineChars="200"/>
        <w:jc w:val="both"/>
        <w:rPr>
          <w:rFonts w:ascii="Times New Roman" w:hAnsi="Times New Roman" w:cs="Times New Roman"/>
          <w:color w:val="auto"/>
          <w:szCs w:val="22"/>
          <w:highlight w:val="none"/>
        </w:rPr>
      </w:pPr>
      <w:r>
        <w:rPr>
          <w:rFonts w:hint="eastAsia"/>
          <w:color w:val="auto"/>
          <w:szCs w:val="22"/>
          <w:highlight w:val="none"/>
        </w:rPr>
        <w:t>②</w:t>
      </w:r>
      <w:r>
        <w:rPr>
          <w:rFonts w:ascii="Times New Roman" w:hAnsi="Times New Roman" w:cs="Times New Roman"/>
          <w:color w:val="auto"/>
          <w:szCs w:val="22"/>
          <w:highlight w:val="none"/>
        </w:rPr>
        <w:t>发展目标：区域统筹发展、三产联动发展，将锡北镇建设成为经济产业强、社会生活富、生态环境美的宜居城镇。</w:t>
      </w:r>
    </w:p>
    <w:p w14:paraId="263D94B8">
      <w:pPr>
        <w:spacing w:line="360" w:lineRule="auto"/>
        <w:ind w:left="-105" w:right="-105" w:firstLine="480" w:firstLineChars="200"/>
        <w:jc w:val="both"/>
        <w:rPr>
          <w:rFonts w:ascii="Times New Roman" w:hAnsi="Times New Roman" w:cs="Times New Roman"/>
          <w:color w:val="auto"/>
          <w:szCs w:val="22"/>
          <w:highlight w:val="none"/>
        </w:rPr>
      </w:pPr>
      <w:r>
        <w:rPr>
          <w:rFonts w:hint="eastAsia"/>
          <w:color w:val="auto"/>
          <w:szCs w:val="22"/>
          <w:highlight w:val="none"/>
        </w:rPr>
        <w:t>③</w:t>
      </w:r>
      <w:r>
        <w:rPr>
          <w:rFonts w:ascii="Times New Roman" w:hAnsi="Times New Roman" w:cs="Times New Roman"/>
          <w:color w:val="auto"/>
          <w:szCs w:val="22"/>
          <w:highlight w:val="none"/>
        </w:rPr>
        <w:t>城镇性质与规模：锡北镇的城镇性质为“无锡三产联动活力新镇、锡澄一体化先导区(之一)、江南生态休闲旅游小镇”。锡北镇城镇名片为“活力新镇、禅茶小镇”。近期2020年规划城镇建设用地约13.63平方公里。远期2030年规划城镇建设用地约16.4平方公里。</w:t>
      </w:r>
    </w:p>
    <w:p w14:paraId="6DD308E7">
      <w:pPr>
        <w:spacing w:line="360" w:lineRule="auto"/>
        <w:ind w:left="-105" w:right="-105" w:firstLine="480" w:firstLineChars="200"/>
        <w:jc w:val="both"/>
        <w:rPr>
          <w:rFonts w:ascii="Times New Roman" w:hAnsi="Times New Roman" w:cs="Times New Roman"/>
          <w:color w:val="auto"/>
          <w:szCs w:val="22"/>
          <w:highlight w:val="none"/>
        </w:rPr>
      </w:pPr>
      <w:r>
        <w:rPr>
          <w:rFonts w:hint="eastAsia"/>
          <w:color w:val="auto"/>
          <w:szCs w:val="22"/>
          <w:highlight w:val="none"/>
        </w:rPr>
        <w:t>④</w:t>
      </w:r>
      <w:r>
        <w:rPr>
          <w:rFonts w:ascii="Times New Roman" w:hAnsi="Times New Roman" w:cs="Times New Roman"/>
          <w:color w:val="auto"/>
          <w:szCs w:val="22"/>
          <w:highlight w:val="none"/>
        </w:rPr>
        <w:t>空间结构：规划形成</w:t>
      </w:r>
      <w:r>
        <w:rPr>
          <w:rFonts w:hint="eastAsia" w:ascii="Times New Roman" w:hAnsi="Times New Roman" w:cs="Times New Roman"/>
          <w:color w:val="auto"/>
          <w:szCs w:val="22"/>
          <w:highlight w:val="none"/>
        </w:rPr>
        <w:t>“</w:t>
      </w:r>
      <w:r>
        <w:rPr>
          <w:rFonts w:ascii="Times New Roman" w:hAnsi="Times New Roman" w:cs="Times New Roman"/>
          <w:color w:val="auto"/>
          <w:szCs w:val="22"/>
          <w:highlight w:val="none"/>
        </w:rPr>
        <w:t>两片、四区、两带、双心</w:t>
      </w:r>
      <w:r>
        <w:rPr>
          <w:rFonts w:hint="eastAsia" w:ascii="Times New Roman" w:hAnsi="Times New Roman" w:cs="Times New Roman"/>
          <w:color w:val="auto"/>
          <w:szCs w:val="22"/>
          <w:highlight w:val="none"/>
        </w:rPr>
        <w:t>”</w:t>
      </w:r>
      <w:r>
        <w:rPr>
          <w:rFonts w:ascii="Times New Roman" w:hAnsi="Times New Roman" w:cs="Times New Roman"/>
          <w:color w:val="auto"/>
          <w:szCs w:val="22"/>
          <w:highlight w:val="none"/>
        </w:rPr>
        <w:t>的镇域空间结构。其中两片指张泾和八士两片；四区指斗山农业生态园区、高科技农业示范园区(台创园)、一南一北两个多元活力乡村区；两带指泉山路城镇特色彰显带和老锡沙路公共配套集中带；双心指张泾、八士两个综合服务中心。</w:t>
      </w:r>
    </w:p>
    <w:p w14:paraId="78634FC0">
      <w:pPr>
        <w:spacing w:line="360" w:lineRule="auto"/>
        <w:ind w:left="-105" w:right="-105" w:firstLine="480" w:firstLineChars="200"/>
        <w:jc w:val="both"/>
        <w:rPr>
          <w:rFonts w:ascii="Times New Roman" w:hAnsi="Times New Roman" w:cs="Times New Roman"/>
          <w:color w:val="auto"/>
          <w:szCs w:val="22"/>
          <w:highlight w:val="none"/>
        </w:rPr>
      </w:pPr>
      <w:r>
        <w:rPr>
          <w:rFonts w:hint="eastAsia"/>
          <w:color w:val="auto"/>
          <w:szCs w:val="22"/>
          <w:highlight w:val="none"/>
        </w:rPr>
        <w:t>⑤</w:t>
      </w:r>
      <w:r>
        <w:rPr>
          <w:rFonts w:ascii="Times New Roman" w:hAnsi="Times New Roman" w:cs="Times New Roman"/>
          <w:color w:val="auto"/>
          <w:szCs w:val="22"/>
          <w:highlight w:val="none"/>
        </w:rPr>
        <w:t>产业规划：镇域三次产业联动发展，重点发展张泾、八士两个工业园区，以机械装备、特种金属等为主导产业，立足本地优势、促进存量利用与提质增效。鼓励现代农业向休闲旅游业融合，提高农业空间综合价值。斗山南部依托城镇拓展，发展生态休闲服务，填补城镇区域的服务空白。</w:t>
      </w:r>
    </w:p>
    <w:p w14:paraId="7DA5E25F">
      <w:pPr>
        <w:spacing w:line="360" w:lineRule="auto"/>
        <w:ind w:left="-105" w:right="-105" w:firstLine="480" w:firstLineChars="200"/>
        <w:jc w:val="both"/>
        <w:rPr>
          <w:rFonts w:ascii="Times New Roman" w:hAnsi="Times New Roman" w:cs="Times New Roman"/>
          <w:color w:val="auto"/>
          <w:szCs w:val="22"/>
          <w:highlight w:val="none"/>
        </w:rPr>
      </w:pPr>
      <w:r>
        <w:rPr>
          <w:rFonts w:hint="eastAsia"/>
          <w:color w:val="auto"/>
          <w:szCs w:val="22"/>
          <w:highlight w:val="none"/>
        </w:rPr>
        <w:t>⑥</w:t>
      </w:r>
      <w:r>
        <w:rPr>
          <w:rFonts w:ascii="Times New Roman" w:hAnsi="Times New Roman" w:cs="Times New Roman"/>
          <w:color w:val="auto"/>
          <w:szCs w:val="22"/>
          <w:highlight w:val="none"/>
        </w:rPr>
        <w:t>用地布局：八士、张泾各自集聚发展，之间严格控制生态廊道。八士向西和向南，融入主城发展；张泾向东联动工业园区，向北紧凑拓展。优化城镇建设用地内部结构，逐渐清退生活区内有影响的低效工业用地，保障道路和市政基础设施用地，增加公共服务设施用地和绿地，优化城镇服务功能和环境品质，提升商业服务业发展水平，完善高品质文化休闲旅游度假配套设施。</w:t>
      </w:r>
    </w:p>
    <w:p w14:paraId="34DD158A">
      <w:pPr>
        <w:spacing w:line="360" w:lineRule="auto"/>
        <w:ind w:left="-105" w:right="-105" w:firstLine="480" w:firstLineChars="200"/>
        <w:jc w:val="both"/>
        <w:rPr>
          <w:rFonts w:ascii="Times New Roman" w:hAnsi="Times New Roman" w:cs="Times New Roman"/>
          <w:color w:val="auto"/>
          <w:szCs w:val="22"/>
          <w:highlight w:val="none"/>
        </w:rPr>
      </w:pPr>
      <w:r>
        <w:rPr>
          <w:rFonts w:hint="eastAsia"/>
          <w:color w:val="auto"/>
          <w:szCs w:val="22"/>
          <w:highlight w:val="none"/>
        </w:rPr>
        <w:t>⑦</w:t>
      </w:r>
      <w:r>
        <w:rPr>
          <w:rFonts w:ascii="Times New Roman" w:hAnsi="Times New Roman" w:cs="Times New Roman"/>
          <w:color w:val="auto"/>
          <w:szCs w:val="22"/>
          <w:highlight w:val="none"/>
        </w:rPr>
        <w:t>综合交通：对镇域综合交通体系进行规划梳理，分别从镇域对外交通、板块内外交通、公共交通、慢行交通及静态交通等方面进行综合考虑，形成与镇域经济社会发展相协调、功能布局完善、服务水平优良、技术水平领先、规模适当的镇域综合交通网络。</w:t>
      </w:r>
    </w:p>
    <w:p w14:paraId="30F74AB8">
      <w:pPr>
        <w:spacing w:line="360" w:lineRule="auto"/>
        <w:ind w:left="-105" w:right="-105" w:firstLine="480" w:firstLineChars="200"/>
        <w:jc w:val="both"/>
        <w:rPr>
          <w:rFonts w:ascii="Times New Roman" w:hAnsi="Times New Roman" w:cs="Times New Roman"/>
          <w:color w:val="auto"/>
          <w:szCs w:val="22"/>
          <w:highlight w:val="none"/>
        </w:rPr>
      </w:pPr>
      <w:r>
        <w:rPr>
          <w:rFonts w:hint="eastAsia" w:ascii="Times New Roman" w:hAnsi="Times New Roman" w:cs="Times New Roman"/>
          <w:color w:val="auto"/>
          <w:szCs w:val="22"/>
          <w:highlight w:val="none"/>
        </w:rPr>
        <w:t>⑧环保基础设施：</w:t>
      </w:r>
      <w:r>
        <w:rPr>
          <w:rFonts w:hint="eastAsia" w:ascii="Times New Roman" w:hAnsi="Times New Roman" w:cs="Times New Roman"/>
          <w:color w:val="auto"/>
          <w:highlight w:val="none"/>
        </w:rPr>
        <w:t>北兴塘河以北地区污水排入无锡市锡山云林污水处理有限公司(6万m</w:t>
      </w:r>
      <w:r>
        <w:rPr>
          <w:rFonts w:hint="eastAsia" w:ascii="Times New Roman" w:hAnsi="Times New Roman" w:cs="Times New Roman"/>
          <w:color w:val="auto"/>
          <w:highlight w:val="none"/>
          <w:vertAlign w:val="superscript"/>
        </w:rPr>
        <w:t>3</w:t>
      </w:r>
      <w:r>
        <w:rPr>
          <w:rFonts w:hint="eastAsia" w:ascii="Times New Roman" w:hAnsi="Times New Roman" w:cs="Times New Roman"/>
          <w:color w:val="auto"/>
          <w:highlight w:val="none"/>
        </w:rPr>
        <w:t>/d)处理，北兴塘河以南地区污水排入无锡市锡山区龙亭污水处理有限公司(12万m</w:t>
      </w:r>
      <w:r>
        <w:rPr>
          <w:rFonts w:hint="eastAsia" w:ascii="Times New Roman" w:hAnsi="Times New Roman" w:cs="Times New Roman"/>
          <w:color w:val="auto"/>
          <w:highlight w:val="none"/>
          <w:vertAlign w:val="superscript"/>
        </w:rPr>
        <w:t>3</w:t>
      </w:r>
      <w:r>
        <w:rPr>
          <w:rFonts w:hint="eastAsia" w:ascii="Times New Roman" w:hAnsi="Times New Roman" w:cs="Times New Roman"/>
          <w:color w:val="auto"/>
          <w:highlight w:val="none"/>
        </w:rPr>
        <w:t>/d)处理。团结污水泵站远期规模为2.8万m</w:t>
      </w:r>
      <w:r>
        <w:rPr>
          <w:rFonts w:hint="eastAsia" w:ascii="Times New Roman" w:hAnsi="Times New Roman" w:cs="Times New Roman"/>
          <w:color w:val="auto"/>
          <w:highlight w:val="none"/>
          <w:vertAlign w:val="superscript"/>
        </w:rPr>
        <w:t>3</w:t>
      </w:r>
      <w:r>
        <w:rPr>
          <w:rFonts w:hint="eastAsia" w:ascii="Times New Roman" w:hAnsi="Times New Roman" w:cs="Times New Roman"/>
          <w:color w:val="auto"/>
          <w:highlight w:val="none"/>
        </w:rPr>
        <w:t>/d，春笋路污水泵站远期规模为2.0万m</w:t>
      </w:r>
      <w:r>
        <w:rPr>
          <w:rFonts w:hint="eastAsia" w:ascii="Times New Roman" w:hAnsi="Times New Roman" w:cs="Times New Roman"/>
          <w:color w:val="auto"/>
          <w:highlight w:val="none"/>
          <w:vertAlign w:val="superscript"/>
        </w:rPr>
        <w:t>3</w:t>
      </w:r>
      <w:r>
        <w:rPr>
          <w:rFonts w:hint="eastAsia" w:ascii="Times New Roman" w:hAnsi="Times New Roman" w:cs="Times New Roman"/>
          <w:color w:val="auto"/>
          <w:highlight w:val="none"/>
        </w:rPr>
        <w:t>/d。沿春晖路规划d400-d800污水管接入团结大道污水管，沿春笋路规划d400-d800污水管接入团结大道污水管，沿锡虞路规划d400-d500污水管接入团结大道污水管，在其余道路上敷设d400～d500管</w:t>
      </w:r>
      <w:r>
        <w:rPr>
          <w:rFonts w:ascii="Times New Roman" w:hAnsi="Times New Roman" w:cs="Times New Roman"/>
          <w:color w:val="auto"/>
          <w:szCs w:val="22"/>
          <w:highlight w:val="none"/>
        </w:rPr>
        <w:t>。</w:t>
      </w:r>
    </w:p>
    <w:p w14:paraId="76BAA0B5">
      <w:pPr>
        <w:spacing w:line="360" w:lineRule="auto"/>
        <w:ind w:left="-105" w:right="-105" w:firstLine="480" w:firstLineChars="200"/>
        <w:jc w:val="both"/>
        <w:rPr>
          <w:rFonts w:ascii="Times New Roman" w:hAnsi="Times New Roman" w:cs="Times New Roman"/>
          <w:color w:val="auto"/>
          <w:szCs w:val="22"/>
          <w:highlight w:val="none"/>
        </w:rPr>
      </w:pPr>
      <w:r>
        <w:rPr>
          <w:rFonts w:ascii="Times New Roman" w:hAnsi="Times New Roman" w:cs="Times New Roman"/>
          <w:color w:val="auto"/>
          <w:szCs w:val="22"/>
          <w:highlight w:val="none"/>
        </w:rPr>
        <w:t>本项目位于</w:t>
      </w:r>
      <w:r>
        <w:rPr>
          <w:rFonts w:hint="eastAsia" w:ascii="Times New Roman" w:hAnsi="Times New Roman" w:cs="Times New Roman"/>
          <w:color w:val="auto"/>
          <w:szCs w:val="22"/>
          <w:highlight w:val="none"/>
        </w:rPr>
        <w:t>无锡市锡山区锡北镇新坝村新达路6号</w:t>
      </w:r>
      <w:r>
        <w:rPr>
          <w:rFonts w:ascii="Times New Roman" w:hAnsi="Times New Roman" w:cs="Times New Roman"/>
          <w:color w:val="auto"/>
          <w:szCs w:val="22"/>
          <w:highlight w:val="none"/>
        </w:rPr>
        <w:t>，根据企业出具的</w:t>
      </w:r>
      <w:r>
        <w:rPr>
          <w:rFonts w:hint="eastAsia" w:ascii="Times New Roman" w:hAnsi="Times New Roman" w:cs="Times New Roman"/>
          <w:color w:val="auto"/>
          <w:szCs w:val="22"/>
          <w:highlight w:val="none"/>
        </w:rPr>
        <w:t>房产证</w:t>
      </w:r>
      <w:r>
        <w:rPr>
          <w:rFonts w:ascii="Times New Roman" w:hAnsi="Times New Roman" w:cs="Times New Roman"/>
          <w:color w:val="auto"/>
          <w:szCs w:val="22"/>
          <w:highlight w:val="none"/>
        </w:rPr>
        <w:t>该土地用途为工业用地，结合《无锡市锡山区锡北镇总体规划图》</w:t>
      </w:r>
      <w:r>
        <w:rPr>
          <w:rFonts w:hint="eastAsia" w:ascii="Times New Roman" w:hAnsi="Times New Roman" w:cs="Times New Roman"/>
          <w:color w:val="auto"/>
          <w:szCs w:val="22"/>
          <w:highlight w:val="none"/>
        </w:rPr>
        <w:t>和《八士-陆家巷、八士-八士管理单元更新后土地利用规划图</w:t>
      </w:r>
      <w:r>
        <w:rPr>
          <w:rFonts w:ascii="Times New Roman" w:hAnsi="Times New Roman" w:cs="Times New Roman"/>
          <w:color w:val="auto"/>
          <w:szCs w:val="22"/>
          <w:highlight w:val="none"/>
        </w:rPr>
        <w:t>》，该地块为二类工业用地，该地块符合无锡市锡山区用地规划的要求。</w:t>
      </w:r>
      <w:r>
        <w:rPr>
          <w:rFonts w:hint="eastAsia" w:ascii="Times New Roman" w:hAnsi="Times New Roman" w:cs="Times New Roman"/>
          <w:color w:val="auto"/>
          <w:szCs w:val="22"/>
          <w:highlight w:val="none"/>
        </w:rPr>
        <w:t>本</w:t>
      </w:r>
      <w:r>
        <w:rPr>
          <w:rFonts w:ascii="Times New Roman" w:hAnsi="Times New Roman" w:cs="Times New Roman"/>
          <w:color w:val="auto"/>
          <w:szCs w:val="22"/>
          <w:highlight w:val="none"/>
        </w:rPr>
        <w:t>项目从事</w:t>
      </w:r>
      <w:r>
        <w:rPr>
          <w:rFonts w:hint="eastAsia" w:ascii="Times New Roman" w:hAnsi="Times New Roman"/>
          <w:color w:val="auto"/>
          <w:highlight w:val="none"/>
        </w:rPr>
        <w:t>电子化工材料制造</w:t>
      </w:r>
      <w:r>
        <w:rPr>
          <w:rFonts w:ascii="Times New Roman" w:hAnsi="Times New Roman" w:cs="Times New Roman"/>
          <w:color w:val="auto"/>
          <w:szCs w:val="22"/>
          <w:highlight w:val="none"/>
        </w:rPr>
        <w:t>生产，</w:t>
      </w:r>
      <w:r>
        <w:rPr>
          <w:rFonts w:hint="eastAsia" w:ascii="Times New Roman" w:hAnsi="Times New Roman" w:cs="Times New Roman"/>
          <w:color w:val="auto"/>
          <w:szCs w:val="22"/>
          <w:highlight w:val="none"/>
        </w:rPr>
        <w:t>不</w:t>
      </w:r>
      <w:r>
        <w:rPr>
          <w:rFonts w:ascii="Times New Roman" w:hAnsi="Times New Roman" w:cs="Times New Roman"/>
          <w:color w:val="auto"/>
          <w:szCs w:val="22"/>
          <w:highlight w:val="none"/>
        </w:rPr>
        <w:t>属于</w:t>
      </w:r>
      <w:r>
        <w:rPr>
          <w:rFonts w:hint="eastAsia" w:ascii="Times New Roman" w:hAnsi="Times New Roman" w:cs="Times New Roman"/>
          <w:color w:val="auto"/>
          <w:szCs w:val="22"/>
          <w:highlight w:val="none"/>
        </w:rPr>
        <w:t>禁止类</w:t>
      </w:r>
      <w:r>
        <w:rPr>
          <w:rFonts w:ascii="Times New Roman" w:hAnsi="Times New Roman" w:cs="Times New Roman"/>
          <w:color w:val="auto"/>
          <w:szCs w:val="22"/>
          <w:highlight w:val="none"/>
        </w:rPr>
        <w:t>产业，符合锡北镇产业规划</w:t>
      </w:r>
      <w:r>
        <w:rPr>
          <w:rFonts w:hint="eastAsia" w:ascii="Times New Roman" w:hAnsi="Times New Roman" w:cs="Times New Roman"/>
          <w:color w:val="auto"/>
          <w:szCs w:val="22"/>
          <w:highlight w:val="none"/>
        </w:rPr>
        <w:t>，</w:t>
      </w:r>
      <w:r>
        <w:rPr>
          <w:color w:val="auto"/>
          <w:highlight w:val="none"/>
        </w:rPr>
        <w:t>本项目</w:t>
      </w:r>
      <w:r>
        <w:rPr>
          <w:rFonts w:hint="eastAsia"/>
          <w:color w:val="auto"/>
          <w:highlight w:val="none"/>
        </w:rPr>
        <w:t>位于</w:t>
      </w:r>
      <w:r>
        <w:rPr>
          <w:rFonts w:hint="eastAsia" w:ascii="Times New Roman" w:hAnsi="Times New Roman" w:cs="Times New Roman"/>
          <w:color w:val="auto"/>
          <w:szCs w:val="22"/>
          <w:highlight w:val="none"/>
        </w:rPr>
        <w:t>无锡市锡山云林污水处理有限公司纳污范围内，产生的</w:t>
      </w:r>
      <w:r>
        <w:rPr>
          <w:color w:val="auto"/>
          <w:highlight w:val="none"/>
        </w:rPr>
        <w:t>污水</w:t>
      </w:r>
      <w:r>
        <w:rPr>
          <w:rFonts w:hint="eastAsia"/>
          <w:color w:val="auto"/>
          <w:highlight w:val="none"/>
        </w:rPr>
        <w:t>最终</w:t>
      </w:r>
      <w:r>
        <w:rPr>
          <w:color w:val="auto"/>
          <w:highlight w:val="none"/>
        </w:rPr>
        <w:t>进入</w:t>
      </w:r>
      <w:r>
        <w:rPr>
          <w:rFonts w:hint="eastAsia"/>
          <w:color w:val="auto"/>
          <w:highlight w:val="none"/>
        </w:rPr>
        <w:t>无锡市锡山云林污水处理有限公司集中处理</w:t>
      </w:r>
      <w:r>
        <w:rPr>
          <w:color w:val="auto"/>
          <w:highlight w:val="none"/>
        </w:rPr>
        <w:t>。</w:t>
      </w:r>
    </w:p>
    <w:p w14:paraId="6AF958D8">
      <w:pPr>
        <w:pStyle w:val="5"/>
        <w:keepLines w:val="0"/>
        <w:numPr>
          <w:ilvl w:val="2"/>
          <w:numId w:val="6"/>
        </w:numPr>
        <w:tabs>
          <w:tab w:val="left" w:pos="141"/>
          <w:tab w:val="left" w:pos="709"/>
        </w:tabs>
        <w:spacing w:before="0" w:after="0" w:line="360" w:lineRule="auto"/>
        <w:ind w:left="-105" w:right="-105"/>
        <w:rPr>
          <w:rFonts w:eastAsia="宋体"/>
          <w:color w:val="auto"/>
          <w:sz w:val="28"/>
          <w:szCs w:val="28"/>
          <w:highlight w:val="none"/>
        </w:rPr>
      </w:pPr>
      <w:r>
        <w:rPr>
          <w:rFonts w:hint="eastAsia" w:eastAsia="宋体"/>
          <w:color w:val="auto"/>
          <w:sz w:val="28"/>
          <w:szCs w:val="28"/>
          <w:highlight w:val="none"/>
        </w:rPr>
        <w:t>规划环评相符性分析</w:t>
      </w:r>
    </w:p>
    <w:p w14:paraId="6518BF89">
      <w:pPr>
        <w:spacing w:line="360" w:lineRule="auto"/>
        <w:ind w:left="-105" w:right="-105" w:firstLine="480" w:firstLineChars="200"/>
        <w:jc w:val="both"/>
        <w:rPr>
          <w:rFonts w:ascii="Times New Roman" w:hAnsi="Times New Roman" w:cs="Times New Roman"/>
          <w:color w:val="auto"/>
          <w:szCs w:val="22"/>
          <w:highlight w:val="none"/>
        </w:rPr>
      </w:pPr>
      <w:r>
        <w:rPr>
          <w:rFonts w:hint="eastAsia" w:ascii="Times New Roman" w:hAnsi="Times New Roman" w:cs="Times New Roman"/>
          <w:color w:val="auto"/>
          <w:szCs w:val="22"/>
          <w:highlight w:val="none"/>
        </w:rPr>
        <w:t>无锡市锡山区锡北镇工业集中区</w:t>
      </w:r>
      <w:r>
        <w:rPr>
          <w:rFonts w:ascii="Times New Roman" w:hAnsi="Times New Roman" w:cs="Times New Roman"/>
          <w:color w:val="auto"/>
          <w:szCs w:val="22"/>
          <w:highlight w:val="none"/>
        </w:rPr>
        <w:t>(以下简称集中区)位于无</w:t>
      </w:r>
      <w:r>
        <w:rPr>
          <w:rFonts w:hint="eastAsia" w:ascii="Times New Roman" w:hAnsi="Times New Roman" w:cs="Times New Roman"/>
          <w:color w:val="auto"/>
          <w:szCs w:val="22"/>
          <w:highlight w:val="none"/>
        </w:rPr>
        <w:t>锡市锡山区锡北镇，</w:t>
      </w:r>
      <w:r>
        <w:rPr>
          <w:rFonts w:ascii="Times New Roman" w:hAnsi="Times New Roman" w:cs="Times New Roman"/>
          <w:color w:val="auto"/>
          <w:szCs w:val="22"/>
          <w:highlight w:val="none"/>
        </w:rPr>
        <w:t>《无锡市锡山区锡北镇工业集中区环境影响报告书》于2007年12月27日通过无锡市锡山区环境保护局审批</w:t>
      </w:r>
      <w:r>
        <w:rPr>
          <w:rFonts w:hint="eastAsia" w:ascii="Times New Roman" w:hAnsi="Times New Roman" w:cs="Times New Roman"/>
          <w:color w:val="auto"/>
          <w:szCs w:val="22"/>
          <w:highlight w:val="none"/>
        </w:rPr>
        <w:t>（</w:t>
      </w:r>
      <w:r>
        <w:rPr>
          <w:rFonts w:ascii="Times New Roman" w:hAnsi="Times New Roman" w:cs="Times New Roman"/>
          <w:color w:val="auto"/>
          <w:szCs w:val="22"/>
          <w:highlight w:val="none"/>
        </w:rPr>
        <w:t>锡环管[2007]13号</w:t>
      </w:r>
      <w:r>
        <w:rPr>
          <w:rFonts w:hint="eastAsia" w:ascii="Times New Roman" w:hAnsi="Times New Roman" w:cs="Times New Roman"/>
          <w:color w:val="auto"/>
          <w:szCs w:val="22"/>
          <w:highlight w:val="none"/>
        </w:rPr>
        <w:t>），《无锡市锡山区锡北镇工业集中区环境影响跟踪评价报告书》于2</w:t>
      </w:r>
      <w:r>
        <w:rPr>
          <w:rFonts w:ascii="Times New Roman" w:hAnsi="Times New Roman" w:cs="Times New Roman"/>
          <w:color w:val="auto"/>
          <w:szCs w:val="22"/>
          <w:highlight w:val="none"/>
        </w:rPr>
        <w:t>022</w:t>
      </w:r>
      <w:r>
        <w:rPr>
          <w:rFonts w:hint="eastAsia" w:ascii="Times New Roman" w:hAnsi="Times New Roman" w:cs="Times New Roman"/>
          <w:color w:val="auto"/>
          <w:szCs w:val="22"/>
          <w:highlight w:val="none"/>
        </w:rPr>
        <w:t>年8月1</w:t>
      </w:r>
      <w:r>
        <w:rPr>
          <w:rFonts w:ascii="Times New Roman" w:hAnsi="Times New Roman" w:cs="Times New Roman"/>
          <w:color w:val="auto"/>
          <w:szCs w:val="22"/>
          <w:highlight w:val="none"/>
        </w:rPr>
        <w:t>2</w:t>
      </w:r>
      <w:r>
        <w:rPr>
          <w:rFonts w:hint="eastAsia" w:ascii="Times New Roman" w:hAnsi="Times New Roman" w:cs="Times New Roman"/>
          <w:color w:val="auto"/>
          <w:szCs w:val="22"/>
          <w:highlight w:val="none"/>
        </w:rPr>
        <w:t>日通过无锡市锡山生态环境局审批（锡山环审[</w:t>
      </w:r>
      <w:r>
        <w:rPr>
          <w:rFonts w:ascii="Times New Roman" w:hAnsi="Times New Roman" w:cs="Times New Roman"/>
          <w:color w:val="auto"/>
          <w:szCs w:val="22"/>
          <w:highlight w:val="none"/>
        </w:rPr>
        <w:t>2022]3</w:t>
      </w:r>
      <w:r>
        <w:rPr>
          <w:rFonts w:hint="eastAsia" w:ascii="Times New Roman" w:hAnsi="Times New Roman" w:cs="Times New Roman"/>
          <w:color w:val="auto"/>
          <w:szCs w:val="22"/>
          <w:highlight w:val="none"/>
        </w:rPr>
        <w:t>号），对照《关于&lt;无锡市锡山区锡北镇工业集中区环境影响跟踪评价报告书&gt;的审查意见》，本项目位于</w:t>
      </w:r>
      <w:r>
        <w:rPr>
          <w:rFonts w:ascii="Times New Roman" w:hAnsi="Times New Roman"/>
          <w:color w:val="auto"/>
          <w:szCs w:val="18"/>
          <w:highlight w:val="none"/>
        </w:rPr>
        <w:t>无锡市锡山区</w:t>
      </w:r>
      <w:r>
        <w:rPr>
          <w:rFonts w:hint="eastAsia" w:ascii="Times New Roman" w:hAnsi="Times New Roman"/>
          <w:color w:val="auto"/>
          <w:szCs w:val="18"/>
          <w:highlight w:val="none"/>
        </w:rPr>
        <w:t>锡北</w:t>
      </w:r>
      <w:r>
        <w:rPr>
          <w:rFonts w:ascii="Times New Roman" w:hAnsi="Times New Roman"/>
          <w:color w:val="auto"/>
          <w:szCs w:val="18"/>
          <w:highlight w:val="none"/>
        </w:rPr>
        <w:t>镇</w:t>
      </w:r>
      <w:r>
        <w:rPr>
          <w:rFonts w:hint="eastAsia" w:ascii="Times New Roman" w:hAnsi="Times New Roman"/>
          <w:color w:val="auto"/>
          <w:szCs w:val="18"/>
          <w:highlight w:val="none"/>
        </w:rPr>
        <w:t>新坝村新达路6号</w:t>
      </w:r>
      <w:r>
        <w:rPr>
          <w:rFonts w:hint="eastAsia" w:ascii="Times New Roman" w:hAnsi="Times New Roman" w:cs="Times New Roman"/>
          <w:color w:val="auto"/>
          <w:szCs w:val="22"/>
          <w:highlight w:val="none"/>
        </w:rPr>
        <w:t>，属于锡山区锡北镇工业集中区。本项目与无锡市锡山区锡北镇工业集中区生态环境准入清单相符性分析如下：</w:t>
      </w:r>
    </w:p>
    <w:p w14:paraId="20892735">
      <w:pPr>
        <w:spacing w:line="360" w:lineRule="auto"/>
        <w:ind w:left="-105" w:right="-105" w:firstLine="480" w:firstLineChars="200"/>
        <w:jc w:val="both"/>
        <w:rPr>
          <w:rFonts w:ascii="Times New Roman" w:hAnsi="Times New Roman" w:cs="Times New Roman"/>
          <w:color w:val="auto"/>
          <w:szCs w:val="22"/>
          <w:highlight w:val="none"/>
        </w:rPr>
      </w:pPr>
      <w:r>
        <w:rPr>
          <w:rFonts w:hint="eastAsia" w:ascii="Times New Roman" w:hAnsi="Times New Roman" w:cs="Times New Roman"/>
          <w:color w:val="auto"/>
          <w:szCs w:val="22"/>
          <w:highlight w:val="none"/>
        </w:rPr>
        <w:t>产业定位：轻工纺织、机械制造、电子信息、新材料制造（不含化工行业）、物流等，以及战略性新兴产业。</w:t>
      </w:r>
    </w:p>
    <w:p w14:paraId="74486412">
      <w:pPr>
        <w:spacing w:line="360" w:lineRule="auto"/>
        <w:ind w:left="-105" w:right="-105" w:firstLine="480" w:firstLineChars="200"/>
        <w:jc w:val="both"/>
        <w:rPr>
          <w:rFonts w:ascii="Times New Roman" w:hAnsi="Times New Roman" w:cs="Times New Roman"/>
          <w:color w:val="auto"/>
          <w:szCs w:val="22"/>
          <w:highlight w:val="none"/>
        </w:rPr>
      </w:pPr>
      <w:r>
        <w:rPr>
          <w:rFonts w:ascii="Times New Roman" w:hAnsi="Times New Roman" w:cs="Times New Roman"/>
          <w:color w:val="auto"/>
          <w:szCs w:val="22"/>
          <w:highlight w:val="none"/>
        </w:rPr>
        <w:t>项目从事</w:t>
      </w:r>
      <w:r>
        <w:rPr>
          <w:rFonts w:hint="eastAsia" w:ascii="Times New Roman" w:hAnsi="Times New Roman" w:cs="Times New Roman"/>
          <w:color w:val="auto"/>
          <w:szCs w:val="22"/>
          <w:highlight w:val="none"/>
        </w:rPr>
        <w:t>【C3985】电子专用材料制造</w:t>
      </w:r>
      <w:r>
        <w:rPr>
          <w:rFonts w:ascii="Times New Roman" w:hAnsi="Times New Roman" w:cs="Times New Roman"/>
          <w:color w:val="auto"/>
          <w:szCs w:val="22"/>
          <w:highlight w:val="none"/>
        </w:rPr>
        <w:t>，属于</w:t>
      </w:r>
      <w:r>
        <w:rPr>
          <w:rFonts w:hint="eastAsia" w:ascii="Times New Roman" w:hAnsi="Times New Roman" w:cs="Times New Roman"/>
          <w:color w:val="auto"/>
          <w:szCs w:val="22"/>
          <w:highlight w:val="none"/>
        </w:rPr>
        <w:t>电子信息</w:t>
      </w:r>
      <w:r>
        <w:rPr>
          <w:rFonts w:ascii="Times New Roman" w:hAnsi="Times New Roman" w:cs="Times New Roman"/>
          <w:color w:val="auto"/>
          <w:szCs w:val="22"/>
          <w:highlight w:val="none"/>
        </w:rPr>
        <w:t>产业，符合</w:t>
      </w:r>
      <w:r>
        <w:rPr>
          <w:rFonts w:hint="eastAsia" w:ascii="Times New Roman" w:hAnsi="Times New Roman" w:cs="Times New Roman"/>
          <w:color w:val="auto"/>
          <w:szCs w:val="22"/>
          <w:highlight w:val="none"/>
        </w:rPr>
        <w:t>锡北镇工业集中区</w:t>
      </w:r>
      <w:r>
        <w:rPr>
          <w:rFonts w:ascii="Times New Roman" w:hAnsi="Times New Roman" w:cs="Times New Roman"/>
          <w:color w:val="auto"/>
          <w:szCs w:val="22"/>
          <w:highlight w:val="none"/>
        </w:rPr>
        <w:t>产业</w:t>
      </w:r>
      <w:r>
        <w:rPr>
          <w:rFonts w:hint="eastAsia" w:ascii="Times New Roman" w:hAnsi="Times New Roman" w:cs="Times New Roman"/>
          <w:color w:val="auto"/>
          <w:szCs w:val="22"/>
          <w:highlight w:val="none"/>
        </w:rPr>
        <w:t>定位。</w:t>
      </w:r>
    </w:p>
    <w:p w14:paraId="1BF86122">
      <w:pPr>
        <w:spacing w:line="360" w:lineRule="auto"/>
        <w:ind w:left="-105" w:right="-105" w:firstLine="480" w:firstLineChars="200"/>
        <w:jc w:val="both"/>
        <w:rPr>
          <w:rFonts w:ascii="Times New Roman" w:hAnsi="Times New Roman" w:cs="Times New Roman"/>
          <w:color w:val="auto"/>
          <w:szCs w:val="22"/>
          <w:highlight w:val="none"/>
        </w:rPr>
      </w:pPr>
      <w:r>
        <w:rPr>
          <w:rFonts w:hint="eastAsia" w:ascii="Times New Roman" w:hAnsi="Times New Roman" w:cs="Times New Roman"/>
          <w:color w:val="auto"/>
          <w:szCs w:val="22"/>
          <w:highlight w:val="none"/>
        </w:rPr>
        <w:t>产业政策：遵守《产业结构调整指导目录</w:t>
      </w:r>
      <w:r>
        <w:rPr>
          <w:rFonts w:ascii="Times New Roman" w:hAnsi="Times New Roman" w:cs="Times New Roman"/>
          <w:color w:val="auto"/>
          <w:szCs w:val="22"/>
          <w:highlight w:val="none"/>
        </w:rPr>
        <w:t>(2019年本)修订版》、</w:t>
      </w:r>
      <w:r>
        <w:rPr>
          <w:rFonts w:hint="eastAsia" w:ascii="Times New Roman" w:hAnsi="Times New Roman" w:cs="Times New Roman"/>
          <w:color w:val="auto"/>
          <w:szCs w:val="22"/>
          <w:highlight w:val="none"/>
        </w:rPr>
        <w:t>《产业发展与转移指导目录（</w:t>
      </w:r>
      <w:r>
        <w:rPr>
          <w:rFonts w:ascii="Times New Roman" w:hAnsi="Times New Roman" w:cs="Times New Roman"/>
          <w:color w:val="auto"/>
          <w:szCs w:val="22"/>
          <w:highlight w:val="none"/>
        </w:rPr>
        <w:t>2018年本）》（中华人民共和国工业和信息化部公告2018年第66号）、《部分工业行业淘汰落后</w:t>
      </w:r>
      <w:r>
        <w:rPr>
          <w:rFonts w:hint="eastAsia" w:ascii="Times New Roman" w:hAnsi="Times New Roman" w:cs="Times New Roman"/>
          <w:color w:val="auto"/>
          <w:szCs w:val="22"/>
          <w:highlight w:val="none"/>
        </w:rPr>
        <w:t>生产工艺装备和产品指导目录</w:t>
      </w:r>
      <w:r>
        <w:rPr>
          <w:rFonts w:ascii="Times New Roman" w:hAnsi="Times New Roman" w:cs="Times New Roman"/>
          <w:color w:val="auto"/>
          <w:szCs w:val="22"/>
          <w:highlight w:val="none"/>
        </w:rPr>
        <w:t>(2010年本)》的规定</w:t>
      </w:r>
      <w:r>
        <w:rPr>
          <w:rFonts w:hint="eastAsia" w:ascii="Times New Roman" w:hAnsi="Times New Roman" w:cs="Times New Roman"/>
          <w:color w:val="auto"/>
          <w:szCs w:val="22"/>
          <w:highlight w:val="none"/>
        </w:rPr>
        <w:t>；遵守《无锡市产业结构调整指导目录</w:t>
      </w:r>
      <w:r>
        <w:rPr>
          <w:rFonts w:ascii="Times New Roman" w:hAnsi="Times New Roman" w:cs="Times New Roman"/>
          <w:color w:val="auto"/>
          <w:szCs w:val="22"/>
          <w:highlight w:val="none"/>
        </w:rPr>
        <w:t>(试行)》(锡政办发[2008]6号)的规定;</w:t>
      </w:r>
      <w:r>
        <w:rPr>
          <w:rFonts w:hint="eastAsia" w:ascii="Times New Roman" w:hAnsi="Times New Roman" w:cs="Times New Roman"/>
          <w:color w:val="auto"/>
          <w:szCs w:val="22"/>
          <w:highlight w:val="none"/>
        </w:rPr>
        <w:t>遵守《无锡市制造业转型发展指导目录</w:t>
      </w:r>
      <w:r>
        <w:rPr>
          <w:rFonts w:ascii="Times New Roman" w:hAnsi="Times New Roman" w:cs="Times New Roman"/>
          <w:color w:val="auto"/>
          <w:szCs w:val="22"/>
          <w:highlight w:val="none"/>
        </w:rPr>
        <w:t>(2012年本)》(锡政办</w:t>
      </w:r>
      <w:r>
        <w:rPr>
          <w:rFonts w:hint="eastAsia" w:ascii="Times New Roman" w:hAnsi="Times New Roman" w:cs="Times New Roman"/>
          <w:color w:val="auto"/>
          <w:szCs w:val="22"/>
          <w:highlight w:val="none"/>
        </w:rPr>
        <w:t>发</w:t>
      </w:r>
      <w:r>
        <w:rPr>
          <w:rFonts w:ascii="Times New Roman" w:hAnsi="Times New Roman" w:cs="Times New Roman"/>
          <w:color w:val="auto"/>
          <w:szCs w:val="22"/>
          <w:highlight w:val="none"/>
        </w:rPr>
        <w:t>[2013]54号)的规定</w:t>
      </w:r>
      <w:r>
        <w:rPr>
          <w:rFonts w:hint="eastAsia" w:ascii="Times New Roman" w:hAnsi="Times New Roman" w:cs="Times New Roman"/>
          <w:color w:val="auto"/>
          <w:szCs w:val="22"/>
          <w:highlight w:val="none"/>
        </w:rPr>
        <w:t>；遵守用地属于《限制用地项目</w:t>
      </w:r>
      <w:r>
        <w:rPr>
          <w:rFonts w:ascii="Times New Roman" w:hAnsi="Times New Roman" w:cs="Times New Roman"/>
          <w:color w:val="auto"/>
          <w:szCs w:val="22"/>
          <w:highlight w:val="none"/>
        </w:rPr>
        <w:t>(2012年本)》与《禁止用地项目</w:t>
      </w:r>
      <w:r>
        <w:rPr>
          <w:rFonts w:hint="eastAsia" w:ascii="Times New Roman" w:hAnsi="Times New Roman" w:cs="Times New Roman"/>
          <w:color w:val="auto"/>
          <w:szCs w:val="22"/>
          <w:highlight w:val="none"/>
        </w:rPr>
        <w:t>目录</w:t>
      </w:r>
      <w:r>
        <w:rPr>
          <w:rFonts w:ascii="Times New Roman" w:hAnsi="Times New Roman" w:cs="Times New Roman"/>
          <w:color w:val="auto"/>
          <w:szCs w:val="22"/>
          <w:highlight w:val="none"/>
        </w:rPr>
        <w:t>(2012年本)》的规定</w:t>
      </w:r>
      <w:r>
        <w:rPr>
          <w:rFonts w:hint="eastAsia" w:ascii="Times New Roman" w:hAnsi="Times New Roman" w:cs="Times New Roman"/>
          <w:color w:val="auto"/>
          <w:szCs w:val="22"/>
          <w:highlight w:val="none"/>
        </w:rPr>
        <w:t>；遵守《</w:t>
      </w:r>
      <w:r>
        <w:rPr>
          <w:rFonts w:ascii="Times New Roman" w:hAnsi="Times New Roman" w:cs="Times New Roman"/>
          <w:color w:val="auto"/>
          <w:szCs w:val="22"/>
          <w:highlight w:val="none"/>
        </w:rPr>
        <w:t>&lt;长江经济带发展负面清单指南&gt;江苏省实施细则(试行)》</w:t>
      </w:r>
      <w:r>
        <w:rPr>
          <w:rFonts w:hint="eastAsia" w:ascii="Times New Roman" w:hAnsi="Times New Roman" w:cs="Times New Roman"/>
          <w:color w:val="auto"/>
          <w:szCs w:val="22"/>
          <w:highlight w:val="none"/>
        </w:rPr>
        <w:t>的规定；遵守《太湖流域管理条例》、《江苏省太湖水污染防治条例》及《无锡市水环境保护条例》的规定；遵守《省政府关于印发江苏省生态空间管控区域规划的通知》</w:t>
      </w:r>
      <w:r>
        <w:rPr>
          <w:rFonts w:ascii="Times New Roman" w:hAnsi="Times New Roman" w:cs="Times New Roman"/>
          <w:color w:val="auto"/>
          <w:szCs w:val="22"/>
          <w:highlight w:val="none"/>
        </w:rPr>
        <w:t>(苏</w:t>
      </w:r>
      <w:r>
        <w:rPr>
          <w:rFonts w:hint="eastAsia" w:ascii="Times New Roman" w:hAnsi="Times New Roman" w:cs="Times New Roman"/>
          <w:color w:val="auto"/>
          <w:szCs w:val="22"/>
          <w:highlight w:val="none"/>
        </w:rPr>
        <w:t>政发</w:t>
      </w:r>
      <w:r>
        <w:rPr>
          <w:rFonts w:ascii="Times New Roman" w:hAnsi="Times New Roman" w:cs="Times New Roman"/>
          <w:color w:val="auto"/>
          <w:szCs w:val="22"/>
          <w:highlight w:val="none"/>
        </w:rPr>
        <w:t>[2020]1号)和《无锡市锡山区生态文明建设规划》的规定</w:t>
      </w:r>
      <w:r>
        <w:rPr>
          <w:rFonts w:hint="eastAsia" w:ascii="Times New Roman" w:hAnsi="Times New Roman" w:cs="Times New Roman"/>
          <w:color w:val="auto"/>
          <w:szCs w:val="22"/>
          <w:highlight w:val="none"/>
        </w:rPr>
        <w:t>。</w:t>
      </w:r>
    </w:p>
    <w:p w14:paraId="6E132486">
      <w:pPr>
        <w:spacing w:line="360" w:lineRule="auto"/>
        <w:ind w:left="-105" w:right="-105" w:firstLine="480" w:firstLineChars="200"/>
        <w:jc w:val="both"/>
        <w:rPr>
          <w:rFonts w:ascii="Times New Roman" w:hAnsi="Times New Roman" w:cs="Times New Roman"/>
          <w:color w:val="auto"/>
          <w:szCs w:val="22"/>
          <w:highlight w:val="none"/>
        </w:rPr>
      </w:pPr>
      <w:r>
        <w:rPr>
          <w:rFonts w:hint="eastAsia" w:ascii="Times New Roman" w:hAnsi="Times New Roman" w:cs="Times New Roman"/>
          <w:color w:val="auto"/>
          <w:szCs w:val="22"/>
          <w:highlight w:val="none"/>
        </w:rPr>
        <w:t>本项目符合上述文件要求，</w:t>
      </w:r>
      <w:r>
        <w:rPr>
          <w:rFonts w:ascii="Times New Roman" w:hAnsi="Times New Roman" w:cs="Times New Roman"/>
          <w:color w:val="auto"/>
          <w:szCs w:val="22"/>
          <w:highlight w:val="none"/>
        </w:rPr>
        <w:t>符合</w:t>
      </w:r>
      <w:r>
        <w:rPr>
          <w:rFonts w:hint="eastAsia" w:ascii="Times New Roman" w:hAnsi="Times New Roman" w:cs="Times New Roman"/>
          <w:color w:val="auto"/>
          <w:szCs w:val="22"/>
          <w:highlight w:val="none"/>
        </w:rPr>
        <w:t>锡北镇工业集中区产业政策。</w:t>
      </w:r>
    </w:p>
    <w:p w14:paraId="69F86628">
      <w:pPr>
        <w:spacing w:line="360" w:lineRule="auto"/>
        <w:ind w:left="-105" w:right="-105" w:firstLine="480" w:firstLineChars="200"/>
        <w:jc w:val="both"/>
        <w:rPr>
          <w:rFonts w:ascii="Times New Roman" w:hAnsi="Times New Roman" w:cs="Times New Roman"/>
          <w:color w:val="auto"/>
          <w:szCs w:val="22"/>
          <w:highlight w:val="none"/>
        </w:rPr>
      </w:pPr>
      <w:r>
        <w:rPr>
          <w:rFonts w:hint="eastAsia" w:ascii="Times New Roman" w:hAnsi="Times New Roman" w:cs="Times New Roman"/>
          <w:color w:val="auto"/>
          <w:szCs w:val="22"/>
          <w:highlight w:val="none"/>
        </w:rPr>
        <w:t>禁止引入类项目：禁止引进不符合规划布局和产业定位要求的项目</w:t>
      </w:r>
      <w:r>
        <w:rPr>
          <w:rFonts w:ascii="Times New Roman" w:hAnsi="Times New Roman" w:cs="Times New Roman"/>
          <w:color w:val="auto"/>
          <w:szCs w:val="22"/>
          <w:highlight w:val="none"/>
        </w:rPr>
        <w:t>(战略性新兴产业</w:t>
      </w:r>
      <w:r>
        <w:rPr>
          <w:rFonts w:hint="eastAsia" w:ascii="Times New Roman" w:hAnsi="Times New Roman" w:cs="Times New Roman"/>
          <w:color w:val="auto"/>
          <w:szCs w:val="22"/>
          <w:highlight w:val="none"/>
        </w:rPr>
        <w:t>除外</w:t>
      </w:r>
      <w:r>
        <w:rPr>
          <w:rFonts w:ascii="Times New Roman" w:hAnsi="Times New Roman" w:cs="Times New Roman"/>
          <w:color w:val="auto"/>
          <w:szCs w:val="22"/>
          <w:highlight w:val="none"/>
        </w:rPr>
        <w:t>)。</w:t>
      </w:r>
      <w:r>
        <w:rPr>
          <w:rFonts w:hint="eastAsia" w:ascii="Times New Roman" w:hAnsi="Times New Roman" w:cs="Times New Roman"/>
          <w:color w:val="auto"/>
          <w:szCs w:val="22"/>
          <w:highlight w:val="none"/>
        </w:rPr>
        <w:t>禁止引进不符合产能置换、能耗双控等要求的两高项目；禁止露天和敞开式喷涂作业</w:t>
      </w:r>
      <w:r>
        <w:rPr>
          <w:rFonts w:ascii="Times New Roman" w:hAnsi="Times New Roman" w:cs="Times New Roman"/>
          <w:color w:val="auto"/>
          <w:szCs w:val="22"/>
          <w:highlight w:val="none"/>
        </w:rPr>
        <w:t>(除工艺有特殊要求外)</w:t>
      </w:r>
      <w:r>
        <w:rPr>
          <w:rFonts w:hint="eastAsia" w:ascii="Times New Roman" w:hAnsi="Times New Roman" w:cs="Times New Roman"/>
          <w:color w:val="auto"/>
          <w:szCs w:val="22"/>
          <w:highlight w:val="none"/>
        </w:rPr>
        <w:t>；禁止建设生产和使用高</w:t>
      </w:r>
      <w:r>
        <w:rPr>
          <w:rFonts w:ascii="Times New Roman" w:hAnsi="Times New Roman" w:cs="Times New Roman"/>
          <w:color w:val="auto"/>
          <w:szCs w:val="22"/>
          <w:highlight w:val="none"/>
        </w:rPr>
        <w:t>VOCs含量(特殊情形暂不可替代除外)</w:t>
      </w:r>
      <w:r>
        <w:rPr>
          <w:rFonts w:hint="eastAsia" w:ascii="Times New Roman" w:hAnsi="Times New Roman" w:cs="Times New Roman"/>
          <w:color w:val="auto"/>
          <w:szCs w:val="22"/>
          <w:highlight w:val="none"/>
        </w:rPr>
        <w:t>的溶剂型涂料、油墨、胶粘剂等项目，新上</w:t>
      </w:r>
      <w:r>
        <w:rPr>
          <w:rFonts w:ascii="Times New Roman" w:hAnsi="Times New Roman" w:cs="Times New Roman"/>
          <w:color w:val="auto"/>
          <w:szCs w:val="22"/>
          <w:highlight w:val="none"/>
        </w:rPr>
        <w:t>VOCs的项目，实现</w:t>
      </w:r>
      <w:r>
        <w:rPr>
          <w:rFonts w:hint="eastAsia" w:ascii="Times New Roman" w:hAnsi="Times New Roman" w:cs="Times New Roman"/>
          <w:color w:val="auto"/>
          <w:szCs w:val="22"/>
          <w:highlight w:val="none"/>
        </w:rPr>
        <w:t>减二增一替代。禁止准入单纯表面喷涂项目</w:t>
      </w:r>
      <w:r>
        <w:rPr>
          <w:rFonts w:ascii="Times New Roman" w:hAnsi="Times New Roman" w:cs="Times New Roman"/>
          <w:color w:val="auto"/>
          <w:szCs w:val="22"/>
          <w:highlight w:val="none"/>
        </w:rPr>
        <w:t>(绿岛和战略性新兴</w:t>
      </w:r>
      <w:r>
        <w:rPr>
          <w:rFonts w:hint="eastAsia" w:ascii="Times New Roman" w:hAnsi="Times New Roman" w:cs="Times New Roman"/>
          <w:color w:val="auto"/>
          <w:szCs w:val="22"/>
          <w:highlight w:val="none"/>
        </w:rPr>
        <w:t>产业除外</w:t>
      </w:r>
      <w:r>
        <w:rPr>
          <w:rFonts w:ascii="Times New Roman" w:hAnsi="Times New Roman" w:cs="Times New Roman"/>
          <w:color w:val="auto"/>
          <w:szCs w:val="22"/>
          <w:highlight w:val="none"/>
        </w:rPr>
        <w:t>)</w:t>
      </w:r>
      <w:r>
        <w:rPr>
          <w:rFonts w:hint="eastAsia" w:ascii="Times New Roman" w:hAnsi="Times New Roman" w:cs="Times New Roman"/>
          <w:color w:val="auto"/>
          <w:szCs w:val="22"/>
          <w:highlight w:val="none"/>
        </w:rPr>
        <w:t>；禁止安全风险大、工艺设施落后、安全水平低的企业或项目进入；禁止新建、扩建技术装备、污染排放、能耗达不到相关行业先进水平的项目；禁止新建、改建、扩建化学制浆造纸、制革、酿造、染料、电镀以及其他排放含磷、氮等污染物的企业和项目</w:t>
      </w:r>
      <w:r>
        <w:rPr>
          <w:rFonts w:ascii="Times New Roman" w:hAnsi="Times New Roman" w:cs="Times New Roman"/>
          <w:color w:val="auto"/>
          <w:szCs w:val="22"/>
          <w:highlight w:val="none"/>
        </w:rPr>
        <w:t>(战略性新兴产业</w:t>
      </w:r>
      <w:r>
        <w:rPr>
          <w:rFonts w:hint="eastAsia" w:ascii="Times New Roman" w:hAnsi="Times New Roman" w:cs="Times New Roman"/>
          <w:color w:val="auto"/>
          <w:szCs w:val="22"/>
          <w:highlight w:val="none"/>
        </w:rPr>
        <w:t>除外</w:t>
      </w:r>
      <w:r>
        <w:rPr>
          <w:rFonts w:ascii="Times New Roman" w:hAnsi="Times New Roman" w:cs="Times New Roman"/>
          <w:color w:val="auto"/>
          <w:szCs w:val="22"/>
          <w:highlight w:val="none"/>
        </w:rPr>
        <w:t>)</w:t>
      </w:r>
      <w:r>
        <w:rPr>
          <w:rFonts w:hint="eastAsia" w:ascii="Times New Roman" w:hAnsi="Times New Roman" w:cs="Times New Roman"/>
          <w:color w:val="auto"/>
          <w:szCs w:val="22"/>
          <w:highlight w:val="none"/>
        </w:rPr>
        <w:t>；禁止新建铅、汞、铬、镉、砷五类重点重金属污染物排放的项目；禁止准入水质经预处理不能满足污水厂接管要求的项目；禁止</w:t>
      </w:r>
      <w:r>
        <w:rPr>
          <w:rFonts w:ascii="Times New Roman" w:hAnsi="Times New Roman" w:cs="Times New Roman"/>
          <w:color w:val="auto"/>
          <w:szCs w:val="22"/>
          <w:highlight w:val="none"/>
        </w:rPr>
        <w:t>COD、氨氮、总磷、总氮、SO</w:t>
      </w:r>
      <w:r>
        <w:rPr>
          <w:rFonts w:ascii="Times New Roman" w:hAnsi="Times New Roman" w:cs="Times New Roman"/>
          <w:color w:val="auto"/>
          <w:szCs w:val="22"/>
          <w:highlight w:val="none"/>
          <w:vertAlign w:val="subscript"/>
        </w:rPr>
        <w:t>2</w:t>
      </w:r>
      <w:r>
        <w:rPr>
          <w:rFonts w:ascii="Times New Roman" w:hAnsi="Times New Roman" w:cs="Times New Roman"/>
          <w:color w:val="auto"/>
          <w:szCs w:val="22"/>
          <w:highlight w:val="none"/>
        </w:rPr>
        <w:t>、NOx、颗粒物、挥发性有</w:t>
      </w:r>
      <w:r>
        <w:rPr>
          <w:rFonts w:hint="eastAsia" w:ascii="Times New Roman" w:hAnsi="Times New Roman" w:cs="Times New Roman"/>
          <w:color w:val="auto"/>
          <w:szCs w:val="22"/>
          <w:highlight w:val="none"/>
        </w:rPr>
        <w:t>机物等污染物排放总量以及重点行业重点重金属总量指标未落实的项目；严禁引进排放“三致”</w:t>
      </w:r>
      <w:r>
        <w:rPr>
          <w:rFonts w:ascii="Times New Roman" w:hAnsi="Times New Roman" w:cs="Times New Roman"/>
          <w:color w:val="auto"/>
          <w:szCs w:val="22"/>
          <w:highlight w:val="none"/>
        </w:rPr>
        <w:t>(致癌、致畸、致突变)、光气、列入名录</w:t>
      </w:r>
      <w:r>
        <w:rPr>
          <w:rFonts w:hint="eastAsia" w:ascii="Times New Roman" w:hAnsi="Times New Roman" w:cs="Times New Roman"/>
          <w:color w:val="auto"/>
          <w:szCs w:val="22"/>
          <w:highlight w:val="none"/>
        </w:rPr>
        <w:t>的恶臭污染物及氰化物等高风险物质且严重影响人身健康和环境质量的项目。</w:t>
      </w:r>
    </w:p>
    <w:p w14:paraId="05C2D546">
      <w:pPr>
        <w:spacing w:line="360" w:lineRule="auto"/>
        <w:ind w:left="-105" w:right="-105" w:firstLine="480" w:firstLineChars="200"/>
        <w:jc w:val="both"/>
        <w:rPr>
          <w:rFonts w:ascii="Times New Roman" w:hAnsi="Times New Roman" w:cs="Times New Roman"/>
          <w:color w:val="auto"/>
          <w:szCs w:val="22"/>
          <w:highlight w:val="none"/>
        </w:rPr>
      </w:pPr>
      <w:r>
        <w:rPr>
          <w:rFonts w:hint="eastAsia" w:ascii="Times New Roman" w:hAnsi="Times New Roman" w:cs="Times New Roman"/>
          <w:color w:val="auto"/>
          <w:szCs w:val="22"/>
          <w:highlight w:val="none"/>
        </w:rPr>
        <w:t>本项目符合规划布局和产业定位，不属于两高项目，生产过程不使用涂料、油墨、胶粘剂、清洗剂等高VOCs含量的原料，</w:t>
      </w:r>
      <w:r>
        <w:rPr>
          <w:rFonts w:hint="eastAsia" w:ascii="Times New Roman" w:hAnsi="Times New Roman" w:cs="Times New Roman"/>
          <w:color w:val="auto"/>
          <w:szCs w:val="18"/>
          <w:highlight w:val="none"/>
        </w:rPr>
        <w:t>工艺、设备先进，经安全设计后项目本质安全水平高，采用技术装备、污染排放、能耗均能达到相关行业先进水平。</w:t>
      </w:r>
      <w:r>
        <w:rPr>
          <w:rFonts w:hint="eastAsia" w:ascii="Times New Roman" w:hAnsi="Times New Roman" w:cs="Times New Roman"/>
          <w:color w:val="auto"/>
          <w:szCs w:val="22"/>
          <w:highlight w:val="none"/>
        </w:rPr>
        <w:t>本项目行业类别为【C3985】电子专用材料制造，</w:t>
      </w:r>
      <w:r>
        <w:rPr>
          <w:rFonts w:hint="eastAsia" w:ascii="Times New Roman" w:hAnsi="Times New Roman" w:cs="Times New Roman"/>
          <w:color w:val="auto"/>
          <w:szCs w:val="18"/>
          <w:highlight w:val="none"/>
        </w:rPr>
        <w:t>投产后不新增生活污水，全厂产生的生活污水和初期雨水经无锡先进化药化工有限公司处理，达到《污水综合排放标准》（</w:t>
      </w:r>
      <w:r>
        <w:rPr>
          <w:rFonts w:ascii="Times New Roman" w:hAnsi="Times New Roman" w:cs="Times New Roman"/>
          <w:color w:val="auto"/>
          <w:szCs w:val="18"/>
          <w:highlight w:val="none"/>
        </w:rPr>
        <w:t>GB8978-1996）</w:t>
      </w:r>
      <w:r>
        <w:rPr>
          <w:rFonts w:hint="eastAsia" w:ascii="Times New Roman" w:hAnsi="Times New Roman" w:cs="Times New Roman"/>
          <w:color w:val="auto"/>
          <w:szCs w:val="18"/>
          <w:highlight w:val="none"/>
        </w:rPr>
        <w:t>和《污水排入城镇下水道水质标准》（</w:t>
      </w:r>
      <w:r>
        <w:rPr>
          <w:rFonts w:ascii="Times New Roman" w:hAnsi="Times New Roman" w:cs="Times New Roman"/>
          <w:color w:val="auto"/>
          <w:szCs w:val="18"/>
          <w:highlight w:val="none"/>
        </w:rPr>
        <w:t>GB/T31962-2015）</w:t>
      </w:r>
      <w:r>
        <w:rPr>
          <w:rFonts w:hint="eastAsia" w:ascii="Times New Roman" w:hAnsi="Times New Roman" w:cs="Times New Roman"/>
          <w:color w:val="auto"/>
          <w:szCs w:val="18"/>
          <w:highlight w:val="none"/>
        </w:rPr>
        <w:t>后接管无锡市锡山云林污水处理有限公司处理</w:t>
      </w:r>
      <w:r>
        <w:rPr>
          <w:rFonts w:ascii="Times New Roman" w:hAnsi="Times New Roman" w:cs="Times New Roman"/>
          <w:color w:val="auto"/>
          <w:szCs w:val="18"/>
          <w:highlight w:val="none"/>
        </w:rPr>
        <w:t>。</w:t>
      </w:r>
      <w:r>
        <w:rPr>
          <w:rFonts w:hint="eastAsia" w:ascii="Times New Roman" w:hAnsi="Times New Roman" w:cs="Times New Roman"/>
          <w:color w:val="auto"/>
          <w:szCs w:val="18"/>
          <w:highlight w:val="none"/>
        </w:rPr>
        <w:t>项目产生的</w:t>
      </w:r>
      <w:r>
        <w:rPr>
          <w:rFonts w:ascii="Times New Roman" w:hAnsi="Times New Roman" w:cs="Times New Roman"/>
          <w:color w:val="auto"/>
          <w:szCs w:val="18"/>
          <w:highlight w:val="none"/>
        </w:rPr>
        <w:t>NOx、挥发性有机物等污染物排放总量</w:t>
      </w:r>
      <w:r>
        <w:rPr>
          <w:rFonts w:hint="eastAsia" w:ascii="Times New Roman" w:hAnsi="Times New Roman" w:cs="Times New Roman"/>
          <w:color w:val="auto"/>
          <w:szCs w:val="18"/>
          <w:highlight w:val="none"/>
        </w:rPr>
        <w:t>均已落实</w:t>
      </w:r>
      <w:r>
        <w:rPr>
          <w:rFonts w:hint="eastAsia" w:ascii="Times New Roman" w:hAnsi="Times New Roman" w:cs="Times New Roman"/>
          <w:color w:val="auto"/>
          <w:szCs w:val="18"/>
          <w:highlight w:val="none"/>
        </w:rPr>
        <w:t>，在大气污染物总量在锡山区范围内平衡，水污染物总量在无锡市锡山云林污水处理有限公司内平衡，本项目不涉及排放“三致”</w:t>
      </w:r>
      <w:r>
        <w:rPr>
          <w:rFonts w:ascii="Times New Roman" w:hAnsi="Times New Roman" w:cs="Times New Roman"/>
          <w:color w:val="auto"/>
          <w:szCs w:val="18"/>
          <w:highlight w:val="none"/>
        </w:rPr>
        <w:t>(致癌、致畸、致突变)、光气</w:t>
      </w:r>
      <w:r>
        <w:rPr>
          <w:rFonts w:hint="eastAsia" w:ascii="Times New Roman" w:hAnsi="Times New Roman" w:cs="Times New Roman"/>
          <w:color w:val="auto"/>
          <w:szCs w:val="18"/>
          <w:highlight w:val="none"/>
        </w:rPr>
        <w:t>及氰化物等高风险物质，污不会对人身健康和环境质量造成严重影响。因此本项目不属于</w:t>
      </w:r>
      <w:r>
        <w:rPr>
          <w:rFonts w:hint="eastAsia" w:ascii="Times New Roman" w:hAnsi="Times New Roman" w:cs="Times New Roman"/>
          <w:color w:val="auto"/>
          <w:szCs w:val="22"/>
          <w:highlight w:val="none"/>
        </w:rPr>
        <w:t>锡北镇工业集中区禁止引入类项目。</w:t>
      </w:r>
    </w:p>
    <w:p w14:paraId="291AFAD8">
      <w:pPr>
        <w:spacing w:line="360" w:lineRule="auto"/>
        <w:ind w:left="-105" w:right="-105" w:firstLine="480" w:firstLineChars="200"/>
        <w:jc w:val="both"/>
        <w:rPr>
          <w:rFonts w:ascii="Times New Roman" w:hAnsi="Times New Roman" w:cs="Times New Roman"/>
          <w:color w:val="auto"/>
          <w:szCs w:val="22"/>
          <w:highlight w:val="none"/>
        </w:rPr>
      </w:pPr>
      <w:r>
        <w:rPr>
          <w:rFonts w:hint="eastAsia" w:ascii="Times New Roman" w:hAnsi="Times New Roman" w:cs="Times New Roman"/>
          <w:color w:val="auto"/>
          <w:szCs w:val="22"/>
          <w:highlight w:val="none"/>
        </w:rPr>
        <w:t>空间管控要求：贯彻实施《无锡市“三线一单”生态环境分区管控实施方案》；不得引进防护距离不能满足环境和生态保护要求的项目；不得引进不能满足环评测算出的环境防护距离，或环评事故风险防范和应急措施难以落实到位的项目；临近生态红线保护区禁止引进废水排放量大、难以治理、环境风险较大的项目。</w:t>
      </w:r>
    </w:p>
    <w:p w14:paraId="27428479">
      <w:pPr>
        <w:spacing w:line="360" w:lineRule="auto"/>
        <w:ind w:left="-105" w:right="-105" w:firstLine="480" w:firstLineChars="200"/>
        <w:jc w:val="both"/>
        <w:rPr>
          <w:rFonts w:ascii="Times New Roman" w:hAnsi="Times New Roman" w:cs="Times New Roman"/>
          <w:color w:val="auto"/>
          <w:szCs w:val="22"/>
          <w:highlight w:val="none"/>
        </w:rPr>
      </w:pPr>
      <w:r>
        <w:rPr>
          <w:rFonts w:hint="eastAsia" w:ascii="Times New Roman" w:hAnsi="Times New Roman" w:cs="Times New Roman"/>
          <w:color w:val="auto"/>
          <w:szCs w:val="22"/>
          <w:highlight w:val="none"/>
        </w:rPr>
        <w:t>根据后文分析，本项目符合《无锡市“三线一单”生态环境分区管控实施方案》，项目防护距离能满足环境和生态保护要求，项目无需设置大气防护距离。本项目选址不在生态保护红线规划范围内，距本项目最近的生态红线区域为</w:t>
      </w:r>
      <w:r>
        <w:rPr>
          <w:rFonts w:hint="eastAsia" w:ascii="Times New Roman" w:hAnsi="Times New Roman" w:cs="Times New Roman"/>
          <w:color w:val="auto"/>
          <w:highlight w:val="none"/>
        </w:rPr>
        <w:t>京沪高铁锡山段沿线生态防护林</w:t>
      </w:r>
      <w:r>
        <w:rPr>
          <w:rFonts w:hint="eastAsia" w:ascii="Times New Roman" w:hAnsi="Times New Roman" w:cs="Times New Roman"/>
          <w:color w:val="auto"/>
          <w:szCs w:val="22"/>
          <w:highlight w:val="none"/>
        </w:rPr>
        <w:t>，</w:t>
      </w:r>
      <w:r>
        <w:rPr>
          <w:rFonts w:ascii="Times New Roman" w:hAnsi="Times New Roman" w:cs="Times New Roman"/>
          <w:color w:val="auto"/>
          <w:highlight w:val="none"/>
        </w:rPr>
        <w:t>位于本项目东侧厂界约</w:t>
      </w:r>
      <w:r>
        <w:rPr>
          <w:rFonts w:hint="eastAsia" w:ascii="Times New Roman" w:hAnsi="Times New Roman" w:cs="Times New Roman"/>
          <w:color w:val="auto"/>
          <w:highlight w:val="none"/>
        </w:rPr>
        <w:t>733</w:t>
      </w:r>
      <w:r>
        <w:rPr>
          <w:rFonts w:ascii="Times New Roman" w:hAnsi="Times New Roman" w:cs="Times New Roman"/>
          <w:color w:val="auto"/>
          <w:highlight w:val="none"/>
        </w:rPr>
        <w:t>m</w:t>
      </w:r>
      <w:r>
        <w:rPr>
          <w:rFonts w:hint="eastAsia" w:ascii="Times New Roman" w:hAnsi="Times New Roman" w:cs="Times New Roman"/>
          <w:color w:val="auto"/>
          <w:szCs w:val="22"/>
          <w:highlight w:val="none"/>
        </w:rPr>
        <w:t>，项目建成后将按照报告书要求完善风险防范和应急措施，环境风险可控。</w:t>
      </w:r>
      <w:r>
        <w:rPr>
          <w:rFonts w:hint="eastAsia" w:ascii="Times New Roman" w:hAnsi="Times New Roman" w:cs="Times New Roman"/>
          <w:color w:val="auto"/>
          <w:szCs w:val="18"/>
          <w:highlight w:val="none"/>
        </w:rPr>
        <w:t>因此本项目符合</w:t>
      </w:r>
      <w:r>
        <w:rPr>
          <w:rFonts w:hint="eastAsia" w:ascii="Times New Roman" w:hAnsi="Times New Roman" w:cs="Times New Roman"/>
          <w:color w:val="auto"/>
          <w:szCs w:val="22"/>
          <w:highlight w:val="none"/>
        </w:rPr>
        <w:t>锡北镇工业集中区空间管控要求。</w:t>
      </w:r>
    </w:p>
    <w:p w14:paraId="57D9FF38">
      <w:pPr>
        <w:spacing w:line="360" w:lineRule="auto"/>
        <w:ind w:left="-105" w:right="-105" w:firstLine="480" w:firstLineChars="200"/>
        <w:jc w:val="both"/>
        <w:rPr>
          <w:rFonts w:ascii="Times New Roman" w:hAnsi="Times New Roman" w:cs="Times New Roman"/>
          <w:color w:val="auto"/>
          <w:szCs w:val="22"/>
          <w:highlight w:val="none"/>
        </w:rPr>
      </w:pPr>
      <w:r>
        <w:rPr>
          <w:rFonts w:hint="eastAsia" w:ascii="Times New Roman" w:hAnsi="Times New Roman" w:cs="Times New Roman"/>
          <w:color w:val="auto"/>
          <w:szCs w:val="22"/>
          <w:highlight w:val="none"/>
        </w:rPr>
        <w:t>综上，本项目满足锡北镇工业集中区规划环评要求。</w:t>
      </w:r>
    </w:p>
    <w:p w14:paraId="10FD9A49">
      <w:pPr>
        <w:pStyle w:val="5"/>
        <w:keepLines w:val="0"/>
        <w:numPr>
          <w:ilvl w:val="2"/>
          <w:numId w:val="6"/>
        </w:numPr>
        <w:tabs>
          <w:tab w:val="left" w:pos="141"/>
          <w:tab w:val="left" w:pos="709"/>
        </w:tabs>
        <w:spacing w:before="0" w:after="0" w:line="360" w:lineRule="auto"/>
        <w:ind w:left="-105" w:right="-105" w:firstLine="562"/>
        <w:rPr>
          <w:rFonts w:eastAsia="宋体"/>
          <w:color w:val="auto"/>
          <w:sz w:val="28"/>
          <w:szCs w:val="28"/>
          <w:highlight w:val="none"/>
        </w:rPr>
      </w:pPr>
      <w:bookmarkStart w:id="189" w:name="_Toc60653462"/>
      <w:r>
        <w:rPr>
          <w:rFonts w:eastAsia="宋体"/>
          <w:color w:val="auto"/>
          <w:sz w:val="28"/>
          <w:szCs w:val="28"/>
          <w:highlight w:val="none"/>
        </w:rPr>
        <w:t>产业政策相符性分析</w:t>
      </w:r>
      <w:bookmarkEnd w:id="189"/>
    </w:p>
    <w:p w14:paraId="5C254E69">
      <w:pPr>
        <w:pStyle w:val="15"/>
        <w:ind w:left="-105" w:right="-105" w:firstLine="482"/>
        <w:rPr>
          <w:rFonts w:eastAsia="宋体"/>
          <w:color w:val="auto"/>
          <w:sz w:val="24"/>
          <w:szCs w:val="18"/>
          <w:highlight w:val="none"/>
        </w:rPr>
      </w:pPr>
      <w:bookmarkStart w:id="190" w:name="_Toc60653463"/>
      <w:r>
        <w:rPr>
          <w:rFonts w:eastAsia="宋体"/>
          <w:color w:val="auto"/>
          <w:sz w:val="24"/>
          <w:szCs w:val="18"/>
          <w:highlight w:val="none"/>
        </w:rPr>
        <w:t>表</w:t>
      </w:r>
      <w:r>
        <w:rPr>
          <w:rFonts w:eastAsia="宋体"/>
          <w:color w:val="auto"/>
          <w:sz w:val="24"/>
          <w:szCs w:val="18"/>
          <w:highlight w:val="none"/>
        </w:rPr>
        <w:fldChar w:fldCharType="begin"/>
      </w:r>
      <w:r>
        <w:rPr>
          <w:rFonts w:eastAsia="宋体"/>
          <w:color w:val="auto"/>
          <w:sz w:val="24"/>
          <w:szCs w:val="18"/>
          <w:highlight w:val="none"/>
        </w:rPr>
        <w:instrText xml:space="preserve"> STYLEREF 2 \s </w:instrText>
      </w:r>
      <w:r>
        <w:rPr>
          <w:rFonts w:eastAsia="宋体"/>
          <w:color w:val="auto"/>
          <w:sz w:val="24"/>
          <w:szCs w:val="18"/>
          <w:highlight w:val="none"/>
        </w:rPr>
        <w:fldChar w:fldCharType="separate"/>
      </w:r>
      <w:r>
        <w:rPr>
          <w:rFonts w:eastAsia="宋体"/>
          <w:color w:val="auto"/>
          <w:sz w:val="24"/>
          <w:szCs w:val="18"/>
          <w:highlight w:val="none"/>
        </w:rPr>
        <w:t>2.6</w:t>
      </w:r>
      <w:r>
        <w:rPr>
          <w:rFonts w:eastAsia="宋体"/>
          <w:color w:val="auto"/>
          <w:sz w:val="24"/>
          <w:szCs w:val="18"/>
          <w:highlight w:val="none"/>
        </w:rPr>
        <w:fldChar w:fldCharType="end"/>
      </w:r>
      <w:r>
        <w:rPr>
          <w:rFonts w:eastAsia="宋体"/>
          <w:color w:val="auto"/>
          <w:sz w:val="24"/>
          <w:szCs w:val="18"/>
          <w:highlight w:val="none"/>
        </w:rPr>
        <w:noBreakHyphen/>
      </w:r>
      <w:r>
        <w:rPr>
          <w:rFonts w:eastAsia="宋体"/>
          <w:color w:val="auto"/>
          <w:sz w:val="24"/>
          <w:szCs w:val="18"/>
          <w:highlight w:val="none"/>
        </w:rPr>
        <w:fldChar w:fldCharType="begin"/>
      </w:r>
      <w:r>
        <w:rPr>
          <w:rFonts w:eastAsia="宋体"/>
          <w:color w:val="auto"/>
          <w:sz w:val="24"/>
          <w:szCs w:val="18"/>
          <w:highlight w:val="none"/>
        </w:rPr>
        <w:instrText xml:space="preserve"> SEQ 表 \* ARABIC \s 2 </w:instrText>
      </w:r>
      <w:r>
        <w:rPr>
          <w:rFonts w:eastAsia="宋体"/>
          <w:color w:val="auto"/>
          <w:sz w:val="24"/>
          <w:szCs w:val="18"/>
          <w:highlight w:val="none"/>
        </w:rPr>
        <w:fldChar w:fldCharType="separate"/>
      </w:r>
      <w:r>
        <w:rPr>
          <w:rFonts w:eastAsia="宋体"/>
          <w:color w:val="auto"/>
          <w:sz w:val="24"/>
          <w:szCs w:val="18"/>
          <w:highlight w:val="none"/>
        </w:rPr>
        <w:t>1</w:t>
      </w:r>
      <w:r>
        <w:rPr>
          <w:rFonts w:eastAsia="宋体"/>
          <w:color w:val="auto"/>
          <w:sz w:val="24"/>
          <w:szCs w:val="18"/>
          <w:highlight w:val="none"/>
        </w:rPr>
        <w:fldChar w:fldCharType="end"/>
      </w:r>
      <w:r>
        <w:rPr>
          <w:rFonts w:eastAsia="宋体"/>
          <w:color w:val="auto"/>
          <w:sz w:val="24"/>
          <w:szCs w:val="18"/>
          <w:highlight w:val="none"/>
        </w:rPr>
        <w:t>本项目与国家及地方产业政策相符性分析</w:t>
      </w:r>
    </w:p>
    <w:tbl>
      <w:tblPr>
        <w:tblStyle w:val="45"/>
        <w:tblW w:w="9072"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567"/>
        <w:gridCol w:w="2410"/>
        <w:gridCol w:w="4961"/>
        <w:gridCol w:w="1134"/>
      </w:tblGrid>
      <w:tr w14:paraId="46C75B3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blHeader/>
          <w:jc w:val="center"/>
        </w:trPr>
        <w:tc>
          <w:tcPr>
            <w:tcW w:w="567" w:type="dxa"/>
            <w:vAlign w:val="center"/>
          </w:tcPr>
          <w:p w14:paraId="30243850">
            <w:pPr>
              <w:ind w:left="-105" w:right="-105"/>
              <w:jc w:val="center"/>
              <w:rPr>
                <w:rFonts w:ascii="Times New Roman" w:hAnsi="Times New Roman" w:cs="Times New Roman"/>
                <w:b/>
                <w:bCs/>
                <w:color w:val="auto"/>
                <w:sz w:val="21"/>
                <w:szCs w:val="21"/>
                <w:highlight w:val="none"/>
              </w:rPr>
            </w:pPr>
            <w:r>
              <w:rPr>
                <w:rFonts w:ascii="Times New Roman" w:hAnsi="Times New Roman" w:cs="Times New Roman"/>
                <w:b/>
                <w:bCs/>
                <w:color w:val="auto"/>
                <w:sz w:val="21"/>
                <w:szCs w:val="21"/>
                <w:highlight w:val="none"/>
              </w:rPr>
              <w:t>序号</w:t>
            </w:r>
          </w:p>
        </w:tc>
        <w:tc>
          <w:tcPr>
            <w:tcW w:w="2410" w:type="dxa"/>
            <w:vAlign w:val="center"/>
          </w:tcPr>
          <w:p w14:paraId="3D809935">
            <w:pPr>
              <w:ind w:left="-105" w:right="-105"/>
              <w:jc w:val="center"/>
              <w:rPr>
                <w:rFonts w:ascii="Times New Roman" w:hAnsi="Times New Roman" w:cs="Times New Roman"/>
                <w:b/>
                <w:bCs/>
                <w:color w:val="auto"/>
                <w:sz w:val="21"/>
                <w:szCs w:val="21"/>
                <w:highlight w:val="none"/>
              </w:rPr>
            </w:pPr>
            <w:r>
              <w:rPr>
                <w:rFonts w:ascii="Times New Roman" w:hAnsi="Times New Roman" w:cs="Times New Roman"/>
                <w:b/>
                <w:bCs/>
                <w:color w:val="auto"/>
                <w:sz w:val="21"/>
                <w:szCs w:val="21"/>
                <w:highlight w:val="none"/>
              </w:rPr>
              <w:t>内容</w:t>
            </w:r>
          </w:p>
        </w:tc>
        <w:tc>
          <w:tcPr>
            <w:tcW w:w="4961" w:type="dxa"/>
            <w:vAlign w:val="center"/>
          </w:tcPr>
          <w:p w14:paraId="5EB66EE3">
            <w:pPr>
              <w:ind w:left="-105" w:right="-105"/>
              <w:jc w:val="center"/>
              <w:rPr>
                <w:rFonts w:ascii="Times New Roman" w:hAnsi="Times New Roman" w:cs="Times New Roman"/>
                <w:b/>
                <w:bCs/>
                <w:color w:val="auto"/>
                <w:sz w:val="21"/>
                <w:szCs w:val="21"/>
                <w:highlight w:val="none"/>
              </w:rPr>
            </w:pPr>
            <w:r>
              <w:rPr>
                <w:rFonts w:ascii="Times New Roman" w:hAnsi="Times New Roman" w:cs="Times New Roman"/>
                <w:b/>
                <w:bCs/>
                <w:color w:val="auto"/>
                <w:sz w:val="21"/>
                <w:szCs w:val="21"/>
                <w:highlight w:val="none"/>
              </w:rPr>
              <w:t>相符性分析</w:t>
            </w:r>
          </w:p>
        </w:tc>
        <w:tc>
          <w:tcPr>
            <w:tcW w:w="1134" w:type="dxa"/>
            <w:vAlign w:val="center"/>
          </w:tcPr>
          <w:p w14:paraId="330AF739">
            <w:pPr>
              <w:ind w:left="-105" w:right="-105"/>
              <w:jc w:val="center"/>
              <w:rPr>
                <w:rFonts w:ascii="Times New Roman" w:hAnsi="Times New Roman" w:cs="Times New Roman"/>
                <w:b/>
                <w:bCs/>
                <w:color w:val="auto"/>
                <w:sz w:val="21"/>
                <w:szCs w:val="21"/>
                <w:highlight w:val="none"/>
              </w:rPr>
            </w:pPr>
            <w:r>
              <w:rPr>
                <w:rFonts w:ascii="Times New Roman" w:hAnsi="Times New Roman" w:cs="Times New Roman"/>
                <w:b/>
                <w:bCs/>
                <w:color w:val="auto"/>
                <w:sz w:val="21"/>
                <w:szCs w:val="21"/>
                <w:highlight w:val="none"/>
              </w:rPr>
              <w:t>相符性</w:t>
            </w:r>
          </w:p>
        </w:tc>
      </w:tr>
      <w:tr w14:paraId="2277685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67" w:type="dxa"/>
            <w:vAlign w:val="center"/>
          </w:tcPr>
          <w:p w14:paraId="137D9CCA">
            <w:pPr>
              <w:numPr>
                <w:ilvl w:val="0"/>
                <w:numId w:val="14"/>
              </w:numPr>
              <w:ind w:left="-105" w:right="-105" w:firstLine="0"/>
              <w:jc w:val="center"/>
              <w:rPr>
                <w:rFonts w:ascii="Times New Roman" w:hAnsi="Times New Roman" w:cs="Times New Roman"/>
                <w:color w:val="auto"/>
                <w:sz w:val="21"/>
                <w:szCs w:val="21"/>
                <w:highlight w:val="none"/>
              </w:rPr>
            </w:pPr>
          </w:p>
        </w:tc>
        <w:tc>
          <w:tcPr>
            <w:tcW w:w="2410" w:type="dxa"/>
            <w:vAlign w:val="center"/>
          </w:tcPr>
          <w:p w14:paraId="5356E78A">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《产业结构调整指导目录（</w:t>
            </w:r>
            <w:r>
              <w:rPr>
                <w:rFonts w:hint="eastAsia" w:ascii="Times New Roman" w:hAnsi="Times New Roman" w:cs="Times New Roman"/>
                <w:color w:val="auto"/>
                <w:sz w:val="21"/>
                <w:szCs w:val="21"/>
                <w:highlight w:val="none"/>
              </w:rPr>
              <w:t>2024</w:t>
            </w:r>
            <w:r>
              <w:rPr>
                <w:rFonts w:ascii="Times New Roman" w:hAnsi="Times New Roman" w:cs="Times New Roman"/>
                <w:color w:val="auto"/>
                <w:sz w:val="21"/>
                <w:szCs w:val="21"/>
                <w:highlight w:val="none"/>
              </w:rPr>
              <w:t>年本）》</w:t>
            </w:r>
          </w:p>
        </w:tc>
        <w:tc>
          <w:tcPr>
            <w:tcW w:w="4961" w:type="dxa"/>
            <w:vAlign w:val="center"/>
          </w:tcPr>
          <w:p w14:paraId="7C8B1098">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本项目属于C</w:t>
            </w:r>
            <w:r>
              <w:rPr>
                <w:rFonts w:hint="eastAsia" w:ascii="Times New Roman" w:hAnsi="Times New Roman" w:cs="Times New Roman"/>
                <w:color w:val="auto"/>
                <w:sz w:val="21"/>
                <w:szCs w:val="21"/>
                <w:highlight w:val="none"/>
              </w:rPr>
              <w:t>3985电子专用材料制造</w:t>
            </w:r>
            <w:r>
              <w:rPr>
                <w:rFonts w:ascii="Times New Roman" w:hAnsi="Times New Roman" w:cs="Times New Roman"/>
                <w:color w:val="auto"/>
                <w:sz w:val="21"/>
                <w:szCs w:val="21"/>
                <w:highlight w:val="none"/>
              </w:rPr>
              <w:t>，属于第一类鼓励类十</w:t>
            </w:r>
            <w:r>
              <w:rPr>
                <w:rFonts w:hint="eastAsia" w:ascii="Times New Roman" w:hAnsi="Times New Roman" w:cs="Times New Roman"/>
                <w:color w:val="auto"/>
                <w:sz w:val="21"/>
                <w:szCs w:val="21"/>
                <w:highlight w:val="none"/>
              </w:rPr>
              <w:t>一</w:t>
            </w:r>
            <w:r>
              <w:rPr>
                <w:rFonts w:ascii="Times New Roman" w:hAnsi="Times New Roman" w:cs="Times New Roman"/>
                <w:color w:val="auto"/>
                <w:sz w:val="21"/>
                <w:szCs w:val="21"/>
                <w:highlight w:val="none"/>
              </w:rPr>
              <w:t>、</w:t>
            </w:r>
            <w:r>
              <w:rPr>
                <w:rFonts w:hint="eastAsia" w:ascii="Times New Roman" w:hAnsi="Times New Roman" w:cs="Times New Roman"/>
                <w:color w:val="auto"/>
                <w:sz w:val="21"/>
                <w:szCs w:val="21"/>
                <w:highlight w:val="none"/>
              </w:rPr>
              <w:t>石化化工7.专用化学品：低VOCs含量胶粘剂，环保型水处理剂，新型高效、环保催化剂和助剂，功能性膜材料，超净高纯试剂、光刻胶、电子气体、新型显示和先进封装材料等电子化学品及关键原料的开发与生产</w:t>
            </w:r>
            <w:r>
              <w:rPr>
                <w:rFonts w:ascii="Times New Roman" w:hAnsi="Times New Roman" w:cs="Times New Roman"/>
                <w:color w:val="auto"/>
                <w:sz w:val="21"/>
                <w:szCs w:val="21"/>
                <w:highlight w:val="none"/>
              </w:rPr>
              <w:t>，符合该文件的要求</w:t>
            </w:r>
          </w:p>
        </w:tc>
        <w:tc>
          <w:tcPr>
            <w:tcW w:w="1134" w:type="dxa"/>
            <w:vAlign w:val="center"/>
          </w:tcPr>
          <w:p w14:paraId="5D3C8050">
            <w:pPr>
              <w:ind w:left="-105" w:right="-105"/>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符合</w:t>
            </w:r>
          </w:p>
        </w:tc>
      </w:tr>
      <w:tr w14:paraId="2B4B582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67" w:type="dxa"/>
            <w:vAlign w:val="center"/>
          </w:tcPr>
          <w:p w14:paraId="045BD9DA">
            <w:pPr>
              <w:numPr>
                <w:ilvl w:val="0"/>
                <w:numId w:val="14"/>
              </w:numPr>
              <w:ind w:left="-105" w:right="-105" w:firstLine="0"/>
              <w:jc w:val="center"/>
              <w:rPr>
                <w:rFonts w:ascii="Times New Roman" w:hAnsi="Times New Roman" w:cs="Times New Roman"/>
                <w:color w:val="auto"/>
                <w:sz w:val="21"/>
                <w:szCs w:val="21"/>
                <w:highlight w:val="none"/>
              </w:rPr>
            </w:pPr>
          </w:p>
        </w:tc>
        <w:tc>
          <w:tcPr>
            <w:tcW w:w="2410" w:type="dxa"/>
            <w:vAlign w:val="center"/>
          </w:tcPr>
          <w:p w14:paraId="1BCE0C0A">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《市场准入负面清单》（2022年版）</w:t>
            </w:r>
          </w:p>
        </w:tc>
        <w:tc>
          <w:tcPr>
            <w:tcW w:w="4961" w:type="dxa"/>
            <w:vAlign w:val="center"/>
          </w:tcPr>
          <w:p w14:paraId="48A79C80">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本项目属于C</w:t>
            </w:r>
            <w:r>
              <w:rPr>
                <w:rFonts w:hint="eastAsia" w:ascii="Times New Roman" w:hAnsi="Times New Roman" w:cs="Times New Roman"/>
                <w:color w:val="auto"/>
                <w:sz w:val="21"/>
                <w:szCs w:val="21"/>
                <w:highlight w:val="none"/>
              </w:rPr>
              <w:t>3985电子专用材料制造</w:t>
            </w:r>
            <w:r>
              <w:rPr>
                <w:rFonts w:ascii="Times New Roman" w:hAnsi="Times New Roman" w:cs="Times New Roman"/>
                <w:color w:val="auto"/>
                <w:sz w:val="21"/>
                <w:szCs w:val="21"/>
                <w:highlight w:val="none"/>
              </w:rPr>
              <w:t>，不属于该文件中的禁止准入类和许可准入类，符合该文件的要求</w:t>
            </w:r>
          </w:p>
        </w:tc>
        <w:tc>
          <w:tcPr>
            <w:tcW w:w="1134" w:type="dxa"/>
            <w:vAlign w:val="center"/>
          </w:tcPr>
          <w:p w14:paraId="3CC34CAE">
            <w:pPr>
              <w:ind w:left="-105" w:right="-105"/>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符合</w:t>
            </w:r>
          </w:p>
        </w:tc>
      </w:tr>
      <w:tr w14:paraId="142205C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67" w:type="dxa"/>
            <w:vAlign w:val="center"/>
          </w:tcPr>
          <w:p w14:paraId="2ECE6599">
            <w:pPr>
              <w:numPr>
                <w:ilvl w:val="0"/>
                <w:numId w:val="14"/>
              </w:numPr>
              <w:ind w:left="-105" w:right="-105" w:firstLine="0"/>
              <w:jc w:val="center"/>
              <w:rPr>
                <w:rFonts w:ascii="Times New Roman" w:hAnsi="Times New Roman" w:cs="Times New Roman"/>
                <w:color w:val="auto"/>
                <w:sz w:val="21"/>
                <w:szCs w:val="21"/>
                <w:highlight w:val="none"/>
              </w:rPr>
            </w:pPr>
          </w:p>
        </w:tc>
        <w:tc>
          <w:tcPr>
            <w:tcW w:w="2410" w:type="dxa"/>
            <w:vAlign w:val="center"/>
          </w:tcPr>
          <w:p w14:paraId="67C8A897">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《产业发展与转移指导目录（2018年本）》（中华人民共和国工业和信息化部公告2018年第66号）</w:t>
            </w:r>
          </w:p>
        </w:tc>
        <w:tc>
          <w:tcPr>
            <w:tcW w:w="4961" w:type="dxa"/>
            <w:vAlign w:val="center"/>
          </w:tcPr>
          <w:p w14:paraId="68F5D097">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本项目属于C</w:t>
            </w:r>
            <w:r>
              <w:rPr>
                <w:rFonts w:hint="eastAsia" w:ascii="Times New Roman" w:hAnsi="Times New Roman" w:cs="Times New Roman"/>
                <w:color w:val="auto"/>
                <w:sz w:val="21"/>
                <w:szCs w:val="21"/>
                <w:highlight w:val="none"/>
              </w:rPr>
              <w:t>3985电子专用材料制造</w:t>
            </w:r>
            <w:r>
              <w:rPr>
                <w:rFonts w:ascii="Times New Roman" w:hAnsi="Times New Roman" w:cs="Times New Roman"/>
                <w:color w:val="auto"/>
                <w:sz w:val="21"/>
                <w:szCs w:val="21"/>
                <w:highlight w:val="none"/>
              </w:rPr>
              <w:t>，属于该文件中江苏省</w:t>
            </w:r>
            <w:r>
              <w:rPr>
                <w:rFonts w:hint="eastAsia" w:ascii="Times New Roman" w:hAnsi="Times New Roman" w:cs="Times New Roman"/>
                <w:color w:val="auto"/>
                <w:sz w:val="21"/>
                <w:szCs w:val="21"/>
                <w:highlight w:val="none"/>
              </w:rPr>
              <w:t>“优先承接发展的产业”：4.先进半导体材料、新型显示材料、光电子材料、电池材料等电子专用材料</w:t>
            </w:r>
          </w:p>
        </w:tc>
        <w:tc>
          <w:tcPr>
            <w:tcW w:w="1134" w:type="dxa"/>
            <w:vAlign w:val="center"/>
          </w:tcPr>
          <w:p w14:paraId="24279DBB">
            <w:pPr>
              <w:ind w:left="-105" w:right="-105"/>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符合</w:t>
            </w:r>
          </w:p>
        </w:tc>
      </w:tr>
      <w:tr w14:paraId="30ABA9D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67" w:type="dxa"/>
            <w:vAlign w:val="center"/>
          </w:tcPr>
          <w:p w14:paraId="09ED4836">
            <w:pPr>
              <w:numPr>
                <w:ilvl w:val="0"/>
                <w:numId w:val="14"/>
              </w:numPr>
              <w:ind w:left="-105" w:right="-105" w:firstLine="0"/>
              <w:jc w:val="center"/>
              <w:rPr>
                <w:rFonts w:ascii="Times New Roman" w:hAnsi="Times New Roman" w:cs="Times New Roman"/>
                <w:color w:val="auto"/>
                <w:sz w:val="21"/>
                <w:szCs w:val="21"/>
                <w:highlight w:val="none"/>
              </w:rPr>
            </w:pPr>
          </w:p>
        </w:tc>
        <w:tc>
          <w:tcPr>
            <w:tcW w:w="2410" w:type="dxa"/>
            <w:vAlign w:val="center"/>
          </w:tcPr>
          <w:p w14:paraId="05190DAB">
            <w:pPr>
              <w:ind w:left="-105" w:right="-105"/>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《外商投资准入特别管理措施（负面清单）（2021年版）》</w:t>
            </w:r>
          </w:p>
        </w:tc>
        <w:tc>
          <w:tcPr>
            <w:tcW w:w="4961" w:type="dxa"/>
            <w:vAlign w:val="center"/>
          </w:tcPr>
          <w:p w14:paraId="6B99E8A3">
            <w:pPr>
              <w:ind w:left="-105" w:right="-105"/>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本项目属于</w:t>
            </w:r>
            <w:r>
              <w:rPr>
                <w:rFonts w:ascii="Times New Roman" w:hAnsi="Times New Roman" w:cs="Times New Roman"/>
                <w:color w:val="auto"/>
                <w:sz w:val="21"/>
                <w:szCs w:val="21"/>
                <w:highlight w:val="none"/>
              </w:rPr>
              <w:t>C</w:t>
            </w:r>
            <w:r>
              <w:rPr>
                <w:rFonts w:hint="eastAsia" w:ascii="Times New Roman" w:hAnsi="Times New Roman" w:cs="Times New Roman"/>
                <w:color w:val="auto"/>
                <w:sz w:val="21"/>
                <w:szCs w:val="21"/>
                <w:highlight w:val="none"/>
              </w:rPr>
              <w:t>3985电子专用材料制造，项目原料、产品、所用设备及工艺均不属《外商投资准入特别管理措施（负面清单）（2021年版）》中的需实行特别管理的措施的行业类别。</w:t>
            </w:r>
          </w:p>
        </w:tc>
        <w:tc>
          <w:tcPr>
            <w:tcW w:w="1134" w:type="dxa"/>
            <w:vAlign w:val="center"/>
          </w:tcPr>
          <w:p w14:paraId="7BA03CEE">
            <w:pPr>
              <w:ind w:left="-105" w:right="-105"/>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符合</w:t>
            </w:r>
          </w:p>
        </w:tc>
      </w:tr>
      <w:tr w14:paraId="70CBF0F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67" w:type="dxa"/>
            <w:vAlign w:val="center"/>
          </w:tcPr>
          <w:p w14:paraId="136A79B5">
            <w:pPr>
              <w:numPr>
                <w:ilvl w:val="0"/>
                <w:numId w:val="14"/>
              </w:numPr>
              <w:ind w:left="-105" w:right="-105" w:firstLine="0"/>
              <w:jc w:val="center"/>
              <w:rPr>
                <w:rFonts w:ascii="Times New Roman" w:hAnsi="Times New Roman" w:cs="Times New Roman"/>
                <w:color w:val="auto"/>
                <w:sz w:val="21"/>
                <w:szCs w:val="21"/>
                <w:highlight w:val="none"/>
              </w:rPr>
            </w:pPr>
          </w:p>
        </w:tc>
        <w:tc>
          <w:tcPr>
            <w:tcW w:w="2410" w:type="dxa"/>
            <w:vAlign w:val="center"/>
          </w:tcPr>
          <w:p w14:paraId="11EA30CA">
            <w:pPr>
              <w:ind w:left="-105" w:right="-105"/>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《鼓励外商投资产业目录（2022年版）》</w:t>
            </w:r>
          </w:p>
        </w:tc>
        <w:tc>
          <w:tcPr>
            <w:tcW w:w="4961" w:type="dxa"/>
            <w:vAlign w:val="center"/>
          </w:tcPr>
          <w:p w14:paraId="44F1CF5E">
            <w:pPr>
              <w:ind w:left="-105" w:right="-105"/>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本项目属于</w:t>
            </w:r>
            <w:r>
              <w:rPr>
                <w:rFonts w:ascii="Times New Roman" w:hAnsi="Times New Roman" w:cs="Times New Roman"/>
                <w:color w:val="auto"/>
                <w:sz w:val="21"/>
                <w:szCs w:val="21"/>
                <w:highlight w:val="none"/>
              </w:rPr>
              <w:t>C</w:t>
            </w:r>
            <w:r>
              <w:rPr>
                <w:rFonts w:hint="eastAsia" w:ascii="Times New Roman" w:hAnsi="Times New Roman" w:cs="Times New Roman"/>
                <w:color w:val="auto"/>
                <w:sz w:val="21"/>
                <w:szCs w:val="21"/>
                <w:highlight w:val="none"/>
              </w:rPr>
              <w:t>3985电子专用材料制造，属于《鼓励外商投资产业目录（2022年版）》中“（二十二）计算机、通信和其他电子设备制造业，369.高纯电子化学品、高性能光刻胶开发、生产”。</w:t>
            </w:r>
          </w:p>
        </w:tc>
        <w:tc>
          <w:tcPr>
            <w:tcW w:w="1134" w:type="dxa"/>
            <w:vAlign w:val="center"/>
          </w:tcPr>
          <w:p w14:paraId="24C3011F">
            <w:pPr>
              <w:ind w:left="-105" w:right="-105"/>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符合</w:t>
            </w:r>
          </w:p>
        </w:tc>
      </w:tr>
      <w:tr w14:paraId="4F31913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67" w:type="dxa"/>
            <w:vAlign w:val="center"/>
          </w:tcPr>
          <w:p w14:paraId="7FC81F7F">
            <w:pPr>
              <w:numPr>
                <w:ilvl w:val="0"/>
                <w:numId w:val="14"/>
              </w:numPr>
              <w:ind w:left="-105" w:right="-105" w:firstLine="0"/>
              <w:jc w:val="center"/>
              <w:rPr>
                <w:rFonts w:ascii="Times New Roman" w:hAnsi="Times New Roman" w:cs="Times New Roman"/>
                <w:color w:val="auto"/>
                <w:sz w:val="21"/>
                <w:szCs w:val="21"/>
                <w:highlight w:val="none"/>
              </w:rPr>
            </w:pPr>
          </w:p>
        </w:tc>
        <w:tc>
          <w:tcPr>
            <w:tcW w:w="2410" w:type="dxa"/>
            <w:vAlign w:val="center"/>
          </w:tcPr>
          <w:p w14:paraId="6D6CE6B4">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《无锡市产业结构调整指导目录(试行)》(2008年1月)</w:t>
            </w:r>
          </w:p>
        </w:tc>
        <w:tc>
          <w:tcPr>
            <w:tcW w:w="4961" w:type="dxa"/>
            <w:vAlign w:val="center"/>
          </w:tcPr>
          <w:p w14:paraId="020941AA">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本项目</w:t>
            </w:r>
            <w:r>
              <w:rPr>
                <w:rFonts w:hint="eastAsia" w:ascii="Times New Roman" w:hAnsi="Times New Roman" w:cs="Times New Roman"/>
                <w:color w:val="auto"/>
                <w:sz w:val="21"/>
                <w:szCs w:val="21"/>
                <w:highlight w:val="none"/>
              </w:rPr>
              <w:t>属于</w:t>
            </w:r>
            <w:r>
              <w:rPr>
                <w:rFonts w:ascii="Times New Roman" w:hAnsi="Times New Roman" w:cs="Times New Roman"/>
                <w:color w:val="auto"/>
                <w:sz w:val="21"/>
                <w:szCs w:val="21"/>
                <w:highlight w:val="none"/>
              </w:rPr>
              <w:t>C</w:t>
            </w:r>
            <w:r>
              <w:rPr>
                <w:rFonts w:hint="eastAsia" w:ascii="Times New Roman" w:hAnsi="Times New Roman" w:cs="Times New Roman"/>
                <w:color w:val="auto"/>
                <w:sz w:val="21"/>
                <w:szCs w:val="21"/>
                <w:highlight w:val="none"/>
              </w:rPr>
              <w:t>3985电子专用材料制造，</w:t>
            </w:r>
            <w:r>
              <w:rPr>
                <w:rFonts w:ascii="Times New Roman" w:hAnsi="Times New Roman" w:cs="Times New Roman"/>
                <w:color w:val="auto"/>
                <w:sz w:val="21"/>
                <w:szCs w:val="21"/>
                <w:highlight w:val="none"/>
              </w:rPr>
              <w:t>属于该文件中的鼓励类</w:t>
            </w:r>
            <w:r>
              <w:rPr>
                <w:rFonts w:hint="eastAsia" w:ascii="Times New Roman" w:hAnsi="Times New Roman" w:cs="Times New Roman"/>
                <w:color w:val="auto"/>
                <w:sz w:val="21"/>
                <w:szCs w:val="21"/>
                <w:highlight w:val="none"/>
              </w:rPr>
              <w:t>中“第二产业（一）电子信息产业25.电子专用材料制造”</w:t>
            </w:r>
            <w:r>
              <w:rPr>
                <w:rFonts w:ascii="Times New Roman" w:hAnsi="Times New Roman" w:cs="Times New Roman"/>
                <w:color w:val="auto"/>
                <w:sz w:val="21"/>
                <w:szCs w:val="21"/>
                <w:highlight w:val="none"/>
              </w:rPr>
              <w:t>，符合该文件的要求</w:t>
            </w:r>
          </w:p>
        </w:tc>
        <w:tc>
          <w:tcPr>
            <w:tcW w:w="1134" w:type="dxa"/>
            <w:vAlign w:val="center"/>
          </w:tcPr>
          <w:p w14:paraId="17AE1C61">
            <w:pPr>
              <w:ind w:left="-105" w:right="-105"/>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符合</w:t>
            </w:r>
          </w:p>
        </w:tc>
      </w:tr>
      <w:tr w14:paraId="7726DA4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67" w:type="dxa"/>
            <w:vAlign w:val="center"/>
          </w:tcPr>
          <w:p w14:paraId="2D3C425D">
            <w:pPr>
              <w:numPr>
                <w:ilvl w:val="0"/>
                <w:numId w:val="14"/>
              </w:numPr>
              <w:ind w:left="-105" w:right="-105" w:firstLine="0"/>
              <w:jc w:val="center"/>
              <w:rPr>
                <w:rFonts w:ascii="Times New Roman" w:hAnsi="Times New Roman" w:cs="Times New Roman"/>
                <w:color w:val="auto"/>
                <w:sz w:val="21"/>
                <w:szCs w:val="21"/>
                <w:highlight w:val="none"/>
              </w:rPr>
            </w:pPr>
          </w:p>
        </w:tc>
        <w:tc>
          <w:tcPr>
            <w:tcW w:w="2410" w:type="dxa"/>
            <w:vAlign w:val="center"/>
          </w:tcPr>
          <w:p w14:paraId="134099E3">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《无锡市制造业转型发展指导目录》（2012年本）</w:t>
            </w:r>
          </w:p>
        </w:tc>
        <w:tc>
          <w:tcPr>
            <w:tcW w:w="4961" w:type="dxa"/>
            <w:vAlign w:val="center"/>
          </w:tcPr>
          <w:p w14:paraId="7AC65C4E">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本项目</w:t>
            </w:r>
            <w:r>
              <w:rPr>
                <w:rFonts w:hint="eastAsia" w:ascii="Times New Roman" w:hAnsi="Times New Roman" w:cs="Times New Roman"/>
                <w:color w:val="auto"/>
                <w:sz w:val="21"/>
                <w:szCs w:val="21"/>
                <w:highlight w:val="none"/>
              </w:rPr>
              <w:t>属于</w:t>
            </w:r>
            <w:r>
              <w:rPr>
                <w:rFonts w:ascii="Times New Roman" w:hAnsi="Times New Roman" w:cs="Times New Roman"/>
                <w:color w:val="auto"/>
                <w:sz w:val="21"/>
                <w:szCs w:val="21"/>
                <w:highlight w:val="none"/>
              </w:rPr>
              <w:t>C</w:t>
            </w:r>
            <w:r>
              <w:rPr>
                <w:rFonts w:hint="eastAsia" w:ascii="Times New Roman" w:hAnsi="Times New Roman" w:cs="Times New Roman"/>
                <w:color w:val="auto"/>
                <w:sz w:val="21"/>
                <w:szCs w:val="21"/>
                <w:highlight w:val="none"/>
              </w:rPr>
              <w:t>3985电子专用材料制造，</w:t>
            </w:r>
            <w:r>
              <w:rPr>
                <w:rFonts w:ascii="Times New Roman" w:hAnsi="Times New Roman" w:cs="Times New Roman"/>
                <w:color w:val="auto"/>
                <w:sz w:val="21"/>
                <w:szCs w:val="21"/>
                <w:highlight w:val="none"/>
              </w:rPr>
              <w:t>项目属于该文件中的鼓励类</w:t>
            </w:r>
            <w:r>
              <w:rPr>
                <w:rFonts w:hint="eastAsia" w:ascii="Times New Roman" w:hAnsi="Times New Roman" w:cs="Times New Roman"/>
                <w:color w:val="auto"/>
                <w:sz w:val="21"/>
                <w:szCs w:val="21"/>
                <w:highlight w:val="none"/>
              </w:rPr>
              <w:t>：一、电子信息产业11.半导体、光电子器件、新型电子元器件等电子产品用材料</w:t>
            </w:r>
            <w:r>
              <w:rPr>
                <w:rFonts w:ascii="Times New Roman" w:hAnsi="Times New Roman" w:cs="Times New Roman"/>
                <w:color w:val="auto"/>
                <w:sz w:val="21"/>
                <w:szCs w:val="21"/>
                <w:highlight w:val="none"/>
              </w:rPr>
              <w:t>，符合该文件的要求</w:t>
            </w:r>
          </w:p>
        </w:tc>
        <w:tc>
          <w:tcPr>
            <w:tcW w:w="1134" w:type="dxa"/>
            <w:vAlign w:val="center"/>
          </w:tcPr>
          <w:p w14:paraId="78D9B896">
            <w:pPr>
              <w:ind w:left="-105" w:right="-105"/>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符合</w:t>
            </w:r>
          </w:p>
        </w:tc>
      </w:tr>
      <w:tr w14:paraId="28A8362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67" w:type="dxa"/>
            <w:vAlign w:val="center"/>
          </w:tcPr>
          <w:p w14:paraId="7355CD95">
            <w:pPr>
              <w:numPr>
                <w:ilvl w:val="0"/>
                <w:numId w:val="14"/>
              </w:numPr>
              <w:ind w:left="-105" w:right="-105" w:firstLine="0"/>
              <w:jc w:val="center"/>
              <w:rPr>
                <w:rFonts w:ascii="Times New Roman" w:hAnsi="Times New Roman" w:cs="Times New Roman"/>
                <w:color w:val="auto"/>
                <w:sz w:val="21"/>
                <w:szCs w:val="21"/>
                <w:highlight w:val="none"/>
              </w:rPr>
            </w:pPr>
          </w:p>
        </w:tc>
        <w:tc>
          <w:tcPr>
            <w:tcW w:w="2410" w:type="dxa"/>
            <w:vAlign w:val="center"/>
          </w:tcPr>
          <w:p w14:paraId="3AC84DF9">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《锡山区产业结构调整指导目录（试行）》(锡经贸[2008]14号)</w:t>
            </w:r>
          </w:p>
        </w:tc>
        <w:tc>
          <w:tcPr>
            <w:tcW w:w="4961" w:type="dxa"/>
            <w:vAlign w:val="center"/>
          </w:tcPr>
          <w:p w14:paraId="4CD1A685">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本项目</w:t>
            </w:r>
            <w:r>
              <w:rPr>
                <w:rFonts w:hint="eastAsia" w:ascii="Times New Roman" w:hAnsi="Times New Roman" w:cs="Times New Roman"/>
                <w:color w:val="auto"/>
                <w:sz w:val="21"/>
                <w:szCs w:val="21"/>
                <w:highlight w:val="none"/>
              </w:rPr>
              <w:t>属于</w:t>
            </w:r>
            <w:r>
              <w:rPr>
                <w:rFonts w:ascii="Times New Roman" w:hAnsi="Times New Roman" w:cs="Times New Roman"/>
                <w:color w:val="auto"/>
                <w:sz w:val="21"/>
                <w:szCs w:val="21"/>
                <w:highlight w:val="none"/>
              </w:rPr>
              <w:t>C</w:t>
            </w:r>
            <w:r>
              <w:rPr>
                <w:rFonts w:hint="eastAsia" w:ascii="Times New Roman" w:hAnsi="Times New Roman" w:cs="Times New Roman"/>
                <w:color w:val="auto"/>
                <w:sz w:val="21"/>
                <w:szCs w:val="21"/>
                <w:highlight w:val="none"/>
              </w:rPr>
              <w:t>3985电子专用材料制造</w:t>
            </w:r>
            <w:r>
              <w:rPr>
                <w:rFonts w:ascii="Times New Roman" w:hAnsi="Times New Roman" w:cs="Times New Roman"/>
                <w:color w:val="auto"/>
                <w:sz w:val="21"/>
                <w:szCs w:val="21"/>
                <w:highlight w:val="none"/>
              </w:rPr>
              <w:t>，项目产品、所用设备及工艺均不属于该文件中的鼓励类、禁止类及淘汰类，为允许类，符合该文件的要求</w:t>
            </w:r>
          </w:p>
        </w:tc>
        <w:tc>
          <w:tcPr>
            <w:tcW w:w="1134" w:type="dxa"/>
            <w:vAlign w:val="center"/>
          </w:tcPr>
          <w:p w14:paraId="7BFC0754">
            <w:pPr>
              <w:ind w:left="-105" w:right="-105"/>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符合</w:t>
            </w:r>
          </w:p>
        </w:tc>
      </w:tr>
      <w:tr w14:paraId="7853358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67" w:type="dxa"/>
            <w:vAlign w:val="center"/>
          </w:tcPr>
          <w:p w14:paraId="30C5D0AF">
            <w:pPr>
              <w:numPr>
                <w:ilvl w:val="0"/>
                <w:numId w:val="14"/>
              </w:numPr>
              <w:ind w:left="-105" w:right="-105" w:firstLine="0"/>
              <w:jc w:val="center"/>
              <w:rPr>
                <w:rFonts w:ascii="Times New Roman" w:hAnsi="Times New Roman" w:cs="Times New Roman"/>
                <w:color w:val="auto"/>
                <w:sz w:val="21"/>
                <w:szCs w:val="21"/>
                <w:highlight w:val="none"/>
              </w:rPr>
            </w:pPr>
          </w:p>
        </w:tc>
        <w:tc>
          <w:tcPr>
            <w:tcW w:w="2410" w:type="dxa"/>
            <w:vAlign w:val="center"/>
          </w:tcPr>
          <w:p w14:paraId="1E921264">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《限制用地项目目录（2012年本）》、《禁止用地项目目录（2012年本）》</w:t>
            </w:r>
          </w:p>
        </w:tc>
        <w:tc>
          <w:tcPr>
            <w:tcW w:w="4961" w:type="dxa"/>
            <w:vAlign w:val="center"/>
          </w:tcPr>
          <w:p w14:paraId="506FE544">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本项目</w:t>
            </w:r>
            <w:r>
              <w:rPr>
                <w:rFonts w:hint="eastAsia" w:ascii="Times New Roman" w:hAnsi="Times New Roman" w:cs="Times New Roman"/>
                <w:color w:val="auto"/>
                <w:sz w:val="21"/>
                <w:szCs w:val="21"/>
                <w:highlight w:val="none"/>
              </w:rPr>
              <w:t>属于</w:t>
            </w:r>
            <w:r>
              <w:rPr>
                <w:rFonts w:ascii="Times New Roman" w:hAnsi="Times New Roman" w:cs="Times New Roman"/>
                <w:color w:val="auto"/>
                <w:sz w:val="21"/>
                <w:szCs w:val="21"/>
                <w:highlight w:val="none"/>
              </w:rPr>
              <w:t>C</w:t>
            </w:r>
            <w:r>
              <w:rPr>
                <w:rFonts w:hint="eastAsia" w:ascii="Times New Roman" w:hAnsi="Times New Roman" w:cs="Times New Roman"/>
                <w:color w:val="auto"/>
                <w:sz w:val="21"/>
                <w:szCs w:val="21"/>
                <w:highlight w:val="none"/>
              </w:rPr>
              <w:t>3985电子专用材料制造</w:t>
            </w:r>
            <w:r>
              <w:rPr>
                <w:rFonts w:ascii="Times New Roman" w:hAnsi="Times New Roman" w:cs="Times New Roman"/>
                <w:color w:val="auto"/>
                <w:sz w:val="21"/>
                <w:szCs w:val="21"/>
                <w:highlight w:val="none"/>
              </w:rPr>
              <w:t>，项目类型不在《限制用地项目目录（2012年本）》、《禁止用地项目目录（2012年本）》中，符合目录要求</w:t>
            </w:r>
          </w:p>
        </w:tc>
        <w:tc>
          <w:tcPr>
            <w:tcW w:w="1134" w:type="dxa"/>
            <w:vAlign w:val="center"/>
          </w:tcPr>
          <w:p w14:paraId="02129B10">
            <w:pPr>
              <w:ind w:left="-105" w:right="-105"/>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符合</w:t>
            </w:r>
          </w:p>
        </w:tc>
      </w:tr>
      <w:tr w14:paraId="3D0CC1A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67" w:type="dxa"/>
            <w:vAlign w:val="center"/>
          </w:tcPr>
          <w:p w14:paraId="164849AE">
            <w:pPr>
              <w:numPr>
                <w:ilvl w:val="0"/>
                <w:numId w:val="14"/>
              </w:numPr>
              <w:ind w:left="-105" w:right="-105" w:firstLine="0"/>
              <w:jc w:val="center"/>
              <w:rPr>
                <w:rFonts w:ascii="Times New Roman" w:hAnsi="Times New Roman" w:cs="Times New Roman"/>
                <w:color w:val="auto"/>
                <w:sz w:val="21"/>
                <w:szCs w:val="21"/>
                <w:highlight w:val="none"/>
              </w:rPr>
            </w:pPr>
          </w:p>
        </w:tc>
        <w:tc>
          <w:tcPr>
            <w:tcW w:w="2410" w:type="dxa"/>
            <w:vAlign w:val="center"/>
          </w:tcPr>
          <w:p w14:paraId="463A09D8">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《江苏省限制用地项目目录(2013年本)》、《江苏省禁止用地项目目录(2013年本)》</w:t>
            </w:r>
          </w:p>
        </w:tc>
        <w:tc>
          <w:tcPr>
            <w:tcW w:w="4961" w:type="dxa"/>
            <w:vAlign w:val="center"/>
          </w:tcPr>
          <w:p w14:paraId="3C3E3730">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本项目</w:t>
            </w:r>
            <w:r>
              <w:rPr>
                <w:rFonts w:hint="eastAsia" w:ascii="Times New Roman" w:hAnsi="Times New Roman" w:cs="Times New Roman"/>
                <w:color w:val="auto"/>
                <w:sz w:val="21"/>
                <w:szCs w:val="21"/>
                <w:highlight w:val="none"/>
              </w:rPr>
              <w:t>属于</w:t>
            </w:r>
            <w:r>
              <w:rPr>
                <w:rFonts w:ascii="Times New Roman" w:hAnsi="Times New Roman" w:cs="Times New Roman"/>
                <w:color w:val="auto"/>
                <w:sz w:val="21"/>
                <w:szCs w:val="21"/>
                <w:highlight w:val="none"/>
              </w:rPr>
              <w:t>C</w:t>
            </w:r>
            <w:r>
              <w:rPr>
                <w:rFonts w:hint="eastAsia" w:ascii="Times New Roman" w:hAnsi="Times New Roman" w:cs="Times New Roman"/>
                <w:color w:val="auto"/>
                <w:sz w:val="21"/>
                <w:szCs w:val="21"/>
                <w:highlight w:val="none"/>
              </w:rPr>
              <w:t>3985电子专用材料制造</w:t>
            </w:r>
            <w:r>
              <w:rPr>
                <w:rFonts w:ascii="Times New Roman" w:hAnsi="Times New Roman" w:cs="Times New Roman"/>
                <w:color w:val="auto"/>
                <w:sz w:val="21"/>
                <w:szCs w:val="21"/>
                <w:highlight w:val="none"/>
              </w:rPr>
              <w:t>，项目类型不在《江苏省限制用地项目目录(2013年本)》、《江苏省禁止用地项目目录(2013年本)》中，符合目录要求</w:t>
            </w:r>
          </w:p>
        </w:tc>
        <w:tc>
          <w:tcPr>
            <w:tcW w:w="1134" w:type="dxa"/>
            <w:vAlign w:val="center"/>
          </w:tcPr>
          <w:p w14:paraId="04AE67A4">
            <w:pPr>
              <w:ind w:left="-105" w:right="-105"/>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符合</w:t>
            </w:r>
          </w:p>
        </w:tc>
      </w:tr>
    </w:tbl>
    <w:p w14:paraId="5963240F">
      <w:pPr>
        <w:pStyle w:val="5"/>
        <w:keepLines w:val="0"/>
        <w:numPr>
          <w:ilvl w:val="2"/>
          <w:numId w:val="6"/>
        </w:numPr>
        <w:tabs>
          <w:tab w:val="left" w:pos="141"/>
          <w:tab w:val="left" w:pos="709"/>
        </w:tabs>
        <w:spacing w:before="0" w:after="0" w:line="360" w:lineRule="auto"/>
        <w:ind w:left="-105" w:right="-105"/>
        <w:rPr>
          <w:rFonts w:eastAsia="宋体"/>
          <w:color w:val="auto"/>
          <w:sz w:val="28"/>
          <w:szCs w:val="28"/>
          <w:highlight w:val="none"/>
        </w:rPr>
      </w:pPr>
      <w:r>
        <w:rPr>
          <w:rFonts w:hint="eastAsia" w:eastAsia="宋体"/>
          <w:color w:val="auto"/>
          <w:sz w:val="28"/>
          <w:szCs w:val="28"/>
          <w:highlight w:val="none"/>
        </w:rPr>
        <w:t>其他</w:t>
      </w:r>
      <w:r>
        <w:rPr>
          <w:rFonts w:eastAsia="宋体"/>
          <w:color w:val="auto"/>
          <w:sz w:val="28"/>
          <w:szCs w:val="28"/>
          <w:highlight w:val="none"/>
        </w:rPr>
        <w:t>政策相符性分析</w:t>
      </w:r>
    </w:p>
    <w:p w14:paraId="4B6F4DF9">
      <w:pPr>
        <w:pStyle w:val="97"/>
        <w:keepNext/>
        <w:tabs>
          <w:tab w:val="left" w:pos="0"/>
          <w:tab w:val="left" w:pos="2550"/>
        </w:tabs>
        <w:spacing w:before="120" w:beforeLines="50" w:after="120" w:afterLines="50" w:line="360" w:lineRule="auto"/>
        <w:ind w:left="-105" w:right="-105" w:firstLine="0" w:firstLineChars="0"/>
        <w:outlineLvl w:val="3"/>
        <w:rPr>
          <w:rFonts w:eastAsia="宋体"/>
          <w:b/>
          <w:bCs/>
          <w:color w:val="auto"/>
          <w:sz w:val="24"/>
          <w:szCs w:val="22"/>
          <w:highlight w:val="none"/>
        </w:rPr>
      </w:pPr>
      <w:r>
        <w:rPr>
          <w:rFonts w:eastAsia="宋体"/>
          <w:b/>
          <w:bCs/>
          <w:color w:val="auto"/>
          <w:sz w:val="24"/>
          <w:szCs w:val="22"/>
          <w:highlight w:val="none"/>
        </w:rPr>
        <w:t>2.6.5.1与《无锡市水环境保护条例》（2021年5月27日）相符性分析</w:t>
      </w:r>
    </w:p>
    <w:p w14:paraId="3FE9A7E9">
      <w:pPr>
        <w:autoSpaceDE w:val="0"/>
        <w:autoSpaceDN w:val="0"/>
        <w:adjustRightInd w:val="0"/>
        <w:snapToGrid w:val="0"/>
        <w:spacing w:line="360" w:lineRule="auto"/>
        <w:ind w:left="-105" w:right="-105" w:firstLine="480" w:firstLineChars="200"/>
        <w:jc w:val="both"/>
        <w:rPr>
          <w:rFonts w:ascii="Times New Roman" w:hAnsi="Times New Roman" w:cs="Times New Roman"/>
          <w:color w:val="auto"/>
          <w:szCs w:val="22"/>
          <w:highlight w:val="none"/>
        </w:rPr>
      </w:pPr>
      <w:r>
        <w:rPr>
          <w:rFonts w:ascii="Times New Roman" w:hAnsi="Times New Roman" w:cs="Times New Roman"/>
          <w:color w:val="auto"/>
          <w:highlight w:val="none"/>
        </w:rPr>
        <w:t>根据</w:t>
      </w:r>
      <w:r>
        <w:rPr>
          <w:rFonts w:ascii="Times New Roman" w:hAnsi="Times New Roman" w:cs="Times New Roman"/>
          <w:color w:val="auto"/>
          <w:szCs w:val="22"/>
          <w:highlight w:val="none"/>
        </w:rPr>
        <w:t>《无锡市水环境保护条例》：</w:t>
      </w:r>
    </w:p>
    <w:p w14:paraId="5C33ACF9">
      <w:pPr>
        <w:autoSpaceDE w:val="0"/>
        <w:autoSpaceDN w:val="0"/>
        <w:adjustRightInd w:val="0"/>
        <w:snapToGrid w:val="0"/>
        <w:spacing w:line="360" w:lineRule="auto"/>
        <w:ind w:left="-105" w:right="-105" w:firstLine="480" w:firstLineChars="200"/>
        <w:jc w:val="both"/>
        <w:rPr>
          <w:rFonts w:ascii="Times New Roman" w:hAnsi="Times New Roman" w:cs="Times New Roman"/>
          <w:color w:val="auto"/>
          <w:highlight w:val="none"/>
        </w:rPr>
      </w:pPr>
      <w:r>
        <w:rPr>
          <w:rFonts w:ascii="Times New Roman" w:hAnsi="Times New Roman" w:cs="Times New Roman"/>
          <w:color w:val="auto"/>
          <w:szCs w:val="22"/>
          <w:highlight w:val="none"/>
        </w:rPr>
        <w:t>第十二条</w:t>
      </w:r>
      <w:r>
        <w:rPr>
          <w:rFonts w:ascii="Times New Roman" w:hAnsi="Times New Roman" w:cs="Times New Roman"/>
          <w:color w:val="auto"/>
          <w:highlight w:val="none"/>
        </w:rPr>
        <w:t>企业事业单位应当按照规定开展突发环境事件风险评估，完善突发环境事件风险防控措施，排查治理环境安全隐患，防止污染水环境。</w:t>
      </w:r>
    </w:p>
    <w:p w14:paraId="554061ED">
      <w:pPr>
        <w:autoSpaceDE w:val="0"/>
        <w:autoSpaceDN w:val="0"/>
        <w:adjustRightInd w:val="0"/>
        <w:snapToGrid w:val="0"/>
        <w:spacing w:line="360" w:lineRule="auto"/>
        <w:ind w:left="-105" w:right="-105" w:firstLine="480" w:firstLineChars="200"/>
        <w:jc w:val="both"/>
        <w:rPr>
          <w:rFonts w:ascii="Times New Roman" w:hAnsi="Times New Roman" w:cs="Times New Roman"/>
          <w:color w:val="auto"/>
          <w:highlight w:val="none"/>
        </w:rPr>
      </w:pPr>
      <w:r>
        <w:rPr>
          <w:rFonts w:ascii="Times New Roman" w:hAnsi="Times New Roman" w:cs="Times New Roman"/>
          <w:color w:val="auto"/>
          <w:highlight w:val="none"/>
        </w:rPr>
        <w:t>第十四条实行化学需氧量、氨氮、总磷、总氮等重点水污染物排放总量控制制度。</w:t>
      </w:r>
    </w:p>
    <w:p w14:paraId="1B0DAEEA">
      <w:pPr>
        <w:autoSpaceDE w:val="0"/>
        <w:autoSpaceDN w:val="0"/>
        <w:adjustRightInd w:val="0"/>
        <w:snapToGrid w:val="0"/>
        <w:spacing w:line="360" w:lineRule="auto"/>
        <w:ind w:left="-105" w:right="-105" w:firstLine="480" w:firstLineChars="200"/>
        <w:jc w:val="both"/>
        <w:rPr>
          <w:rFonts w:ascii="Times New Roman" w:hAnsi="Times New Roman" w:cs="Times New Roman"/>
          <w:color w:val="auto"/>
          <w:highlight w:val="none"/>
        </w:rPr>
      </w:pPr>
      <w:r>
        <w:rPr>
          <w:rFonts w:ascii="Times New Roman" w:hAnsi="Times New Roman" w:cs="Times New Roman"/>
          <w:color w:val="auto"/>
          <w:highlight w:val="none"/>
        </w:rPr>
        <w:t>第十八条依照法律规定实行排污许可管理的企业事业单位和其他生产经营者，应当按照排污许可管理要求排放水污染物。</w:t>
      </w:r>
    </w:p>
    <w:p w14:paraId="336576AF">
      <w:pPr>
        <w:autoSpaceDE w:val="0"/>
        <w:autoSpaceDN w:val="0"/>
        <w:adjustRightInd w:val="0"/>
        <w:snapToGrid w:val="0"/>
        <w:spacing w:line="360" w:lineRule="auto"/>
        <w:ind w:left="-105" w:right="-105" w:firstLine="480" w:firstLineChars="200"/>
        <w:jc w:val="both"/>
        <w:rPr>
          <w:rFonts w:ascii="Times New Roman" w:hAnsi="Times New Roman" w:cs="Times New Roman"/>
          <w:color w:val="auto"/>
          <w:highlight w:val="none"/>
        </w:rPr>
      </w:pPr>
      <w:r>
        <w:rPr>
          <w:rFonts w:ascii="Times New Roman" w:hAnsi="Times New Roman" w:cs="Times New Roman"/>
          <w:color w:val="auto"/>
          <w:highlight w:val="none"/>
        </w:rPr>
        <w:t>第二十条直接或者间接向水体排放污染物的企业事业单位和其他生产经营者，应当按照规定在厂界内和厂界外分别设置便于检查、采样的规范化排污口，并设置符合要求的采样口、标识牌。</w:t>
      </w:r>
    </w:p>
    <w:p w14:paraId="00C379F2">
      <w:pPr>
        <w:autoSpaceDE w:val="0"/>
        <w:autoSpaceDN w:val="0"/>
        <w:adjustRightInd w:val="0"/>
        <w:snapToGrid w:val="0"/>
        <w:spacing w:line="360" w:lineRule="auto"/>
        <w:ind w:left="-105" w:right="-105" w:firstLine="480" w:firstLineChars="200"/>
        <w:jc w:val="both"/>
        <w:rPr>
          <w:rFonts w:ascii="Times New Roman" w:hAnsi="Times New Roman" w:cs="Times New Roman"/>
          <w:color w:val="auto"/>
          <w:highlight w:val="none"/>
        </w:rPr>
      </w:pPr>
      <w:r>
        <w:rPr>
          <w:rFonts w:ascii="Times New Roman" w:hAnsi="Times New Roman" w:cs="Times New Roman"/>
          <w:color w:val="auto"/>
          <w:highlight w:val="none"/>
        </w:rPr>
        <w:t>第二十二条任何单位和个人不得利用雨水排放口等雨水设施排放污水。</w:t>
      </w:r>
    </w:p>
    <w:p w14:paraId="3E22C3E2">
      <w:pPr>
        <w:autoSpaceDE w:val="0"/>
        <w:autoSpaceDN w:val="0"/>
        <w:adjustRightInd w:val="0"/>
        <w:snapToGrid w:val="0"/>
        <w:spacing w:line="360" w:lineRule="auto"/>
        <w:ind w:left="-105" w:right="-105" w:firstLine="480" w:firstLineChars="200"/>
        <w:jc w:val="both"/>
        <w:rPr>
          <w:rFonts w:ascii="Times New Roman" w:hAnsi="Times New Roman" w:cs="Times New Roman"/>
          <w:color w:val="auto"/>
          <w:highlight w:val="none"/>
        </w:rPr>
      </w:pPr>
      <w:r>
        <w:rPr>
          <w:rFonts w:ascii="Times New Roman" w:hAnsi="Times New Roman" w:cs="Times New Roman"/>
          <w:color w:val="auto"/>
          <w:highlight w:val="none"/>
        </w:rPr>
        <w:t>第二十四条工业废水、生活污水应当实行集中处理。按照规定需要对产生的污水进行预处理的，排污单位应当进行预处理，达到规定标准后方可排入污水管网。</w:t>
      </w:r>
    </w:p>
    <w:p w14:paraId="4CE201BB">
      <w:pPr>
        <w:autoSpaceDE w:val="0"/>
        <w:autoSpaceDN w:val="0"/>
        <w:adjustRightInd w:val="0"/>
        <w:snapToGrid w:val="0"/>
        <w:spacing w:line="360" w:lineRule="auto"/>
        <w:ind w:left="-105" w:right="-105" w:firstLine="480" w:firstLineChars="200"/>
        <w:jc w:val="both"/>
        <w:rPr>
          <w:rFonts w:ascii="Times New Roman" w:hAnsi="Times New Roman" w:cs="Times New Roman"/>
          <w:color w:val="auto"/>
          <w:highlight w:val="none"/>
        </w:rPr>
      </w:pPr>
      <w:r>
        <w:rPr>
          <w:rFonts w:ascii="Times New Roman" w:hAnsi="Times New Roman" w:cs="Times New Roman"/>
          <w:color w:val="auto"/>
          <w:highlight w:val="none"/>
        </w:rPr>
        <w:t>本项目建成后将按照规定开展突发环境事件风险评估，完善突发环境事件风险防控措施。项目实行水污染物排放总量控制制度，项目建成后将按照排污许可管理要求排放水污染物。本项目雨污分流，</w:t>
      </w:r>
      <w:r>
        <w:rPr>
          <w:rFonts w:hint="eastAsia" w:ascii="Times New Roman" w:hAnsi="Times New Roman"/>
          <w:color w:val="auto"/>
          <w:highlight w:val="none"/>
        </w:rPr>
        <w:t>超纯水装置浓水、超纯水装置反冲洗水不含氮磷，且水质简单，回用于冲厕，生活污水</w:t>
      </w:r>
      <w:r>
        <w:rPr>
          <w:rFonts w:ascii="Times New Roman" w:hAnsi="Times New Roman"/>
          <w:color w:val="auto"/>
          <w:highlight w:val="none"/>
        </w:rPr>
        <w:t>由企业</w:t>
      </w:r>
      <w:r>
        <w:rPr>
          <w:rFonts w:hint="eastAsia" w:ascii="Times New Roman" w:hAnsi="Times New Roman"/>
          <w:color w:val="auto"/>
          <w:highlight w:val="none"/>
        </w:rPr>
        <w:t>收集后委托无锡先进化药化工有限公司处理达标后接入无锡市锡山云林污水处理有限公司</w:t>
      </w:r>
      <w:r>
        <w:rPr>
          <w:rFonts w:ascii="Times New Roman" w:hAnsi="Times New Roman" w:cs="Times New Roman"/>
          <w:color w:val="auto"/>
          <w:highlight w:val="none"/>
        </w:rPr>
        <w:t>，尾水排入</w:t>
      </w:r>
      <w:r>
        <w:rPr>
          <w:rFonts w:hint="eastAsia" w:ascii="Times New Roman" w:hAnsi="Times New Roman" w:cs="Times New Roman"/>
          <w:color w:val="auto"/>
          <w:highlight w:val="none"/>
        </w:rPr>
        <w:t>北兴塘河</w:t>
      </w:r>
      <w:r>
        <w:rPr>
          <w:rFonts w:ascii="Times New Roman" w:hAnsi="Times New Roman" w:cs="Times New Roman"/>
          <w:color w:val="auto"/>
          <w:highlight w:val="none"/>
        </w:rPr>
        <w:t>。本项目废水排放属于间接排放，本项目将设置符合要求的采样口、标识牌。</w:t>
      </w:r>
    </w:p>
    <w:p w14:paraId="5D6A14A6">
      <w:pPr>
        <w:pStyle w:val="97"/>
        <w:keepNext/>
        <w:tabs>
          <w:tab w:val="left" w:pos="0"/>
          <w:tab w:val="left" w:pos="2550"/>
        </w:tabs>
        <w:spacing w:before="120" w:beforeLines="50" w:after="120" w:afterLines="50" w:line="360" w:lineRule="auto"/>
        <w:ind w:left="-105" w:right="-105" w:firstLine="0" w:firstLineChars="0"/>
        <w:outlineLvl w:val="3"/>
        <w:rPr>
          <w:rFonts w:eastAsia="宋体"/>
          <w:b/>
          <w:bCs/>
          <w:color w:val="auto"/>
          <w:sz w:val="24"/>
          <w:szCs w:val="22"/>
          <w:highlight w:val="none"/>
        </w:rPr>
      </w:pPr>
      <w:r>
        <w:rPr>
          <w:rFonts w:eastAsia="宋体"/>
          <w:b/>
          <w:bCs/>
          <w:color w:val="auto"/>
          <w:sz w:val="24"/>
          <w:szCs w:val="22"/>
          <w:highlight w:val="none"/>
        </w:rPr>
        <w:t>2.6.5.2与《江苏省水污染防治条例》（2020年11月27日）相符性分析</w:t>
      </w:r>
    </w:p>
    <w:p w14:paraId="2BEDAFC9">
      <w:pPr>
        <w:autoSpaceDE w:val="0"/>
        <w:autoSpaceDN w:val="0"/>
        <w:adjustRightInd w:val="0"/>
        <w:snapToGrid w:val="0"/>
        <w:spacing w:line="360" w:lineRule="auto"/>
        <w:ind w:left="-105" w:right="-105" w:firstLine="480" w:firstLineChars="200"/>
        <w:jc w:val="both"/>
        <w:rPr>
          <w:rFonts w:ascii="Times New Roman" w:hAnsi="Times New Roman" w:cs="Times New Roman"/>
          <w:color w:val="auto"/>
          <w:highlight w:val="none"/>
        </w:rPr>
      </w:pPr>
      <w:r>
        <w:rPr>
          <w:rFonts w:ascii="Times New Roman" w:hAnsi="Times New Roman" w:cs="Times New Roman"/>
          <w:color w:val="auto"/>
          <w:highlight w:val="none"/>
        </w:rPr>
        <w:t>根据《江苏省水污染防治条例》：</w:t>
      </w:r>
    </w:p>
    <w:p w14:paraId="195F87D0">
      <w:pPr>
        <w:autoSpaceDE w:val="0"/>
        <w:autoSpaceDN w:val="0"/>
        <w:adjustRightInd w:val="0"/>
        <w:snapToGrid w:val="0"/>
        <w:spacing w:line="360" w:lineRule="auto"/>
        <w:ind w:left="-105" w:right="-105" w:firstLine="480" w:firstLineChars="200"/>
        <w:jc w:val="both"/>
        <w:rPr>
          <w:rFonts w:ascii="Times New Roman" w:hAnsi="Times New Roman" w:cs="Times New Roman"/>
          <w:color w:val="auto"/>
          <w:highlight w:val="none"/>
        </w:rPr>
      </w:pPr>
      <w:r>
        <w:rPr>
          <w:rFonts w:ascii="Times New Roman" w:hAnsi="Times New Roman" w:cs="Times New Roman"/>
          <w:color w:val="auto"/>
          <w:highlight w:val="none"/>
        </w:rPr>
        <w:t>第二十三条禁止工业企业、宾馆、餐饮、洗涤等企业事业单位以及个人使用各类含磷洗涤用品。</w:t>
      </w:r>
    </w:p>
    <w:p w14:paraId="76D43A2D">
      <w:pPr>
        <w:autoSpaceDE w:val="0"/>
        <w:autoSpaceDN w:val="0"/>
        <w:adjustRightInd w:val="0"/>
        <w:snapToGrid w:val="0"/>
        <w:spacing w:line="360" w:lineRule="auto"/>
        <w:ind w:left="-105" w:right="-105" w:firstLine="480" w:firstLineChars="200"/>
        <w:jc w:val="both"/>
        <w:rPr>
          <w:rFonts w:ascii="Times New Roman" w:hAnsi="Times New Roman" w:cs="Times New Roman"/>
          <w:color w:val="auto"/>
          <w:highlight w:val="none"/>
        </w:rPr>
      </w:pPr>
      <w:r>
        <w:rPr>
          <w:rFonts w:ascii="Times New Roman" w:hAnsi="Times New Roman" w:cs="Times New Roman"/>
          <w:color w:val="auto"/>
          <w:highlight w:val="none"/>
        </w:rPr>
        <w:t>第二十五条县级以上地方人民政府应当根据国土空间规划和本行政区域的资源环境承载能力与水环境质量改善目标等要求，合理规划工业布局，引导现有工业企业入驻工业集聚区，减少工业废水和水污染物排放量。</w:t>
      </w:r>
    </w:p>
    <w:p w14:paraId="6CF94E37">
      <w:pPr>
        <w:autoSpaceDE w:val="0"/>
        <w:autoSpaceDN w:val="0"/>
        <w:adjustRightInd w:val="0"/>
        <w:snapToGrid w:val="0"/>
        <w:spacing w:line="360" w:lineRule="auto"/>
        <w:ind w:left="-105" w:right="-105" w:firstLine="480" w:firstLineChars="200"/>
        <w:jc w:val="both"/>
        <w:rPr>
          <w:rFonts w:ascii="Times New Roman" w:hAnsi="Times New Roman" w:cs="Times New Roman"/>
          <w:color w:val="auto"/>
          <w:highlight w:val="none"/>
        </w:rPr>
      </w:pPr>
      <w:r>
        <w:rPr>
          <w:rFonts w:ascii="Times New Roman" w:hAnsi="Times New Roman" w:cs="Times New Roman"/>
          <w:color w:val="auto"/>
          <w:highlight w:val="none"/>
        </w:rPr>
        <w:t>新建排放重点水污染物的工业项目原则上进入符合相关规划的开发区、工业园区等工业集聚区。</w:t>
      </w:r>
    </w:p>
    <w:p w14:paraId="283A0E08">
      <w:pPr>
        <w:autoSpaceDE w:val="0"/>
        <w:autoSpaceDN w:val="0"/>
        <w:adjustRightInd w:val="0"/>
        <w:snapToGrid w:val="0"/>
        <w:spacing w:line="360" w:lineRule="auto"/>
        <w:ind w:left="-105" w:right="-105" w:firstLine="480" w:firstLineChars="200"/>
        <w:jc w:val="both"/>
        <w:rPr>
          <w:rFonts w:ascii="Times New Roman" w:hAnsi="Times New Roman" w:cs="Times New Roman"/>
          <w:color w:val="auto"/>
          <w:highlight w:val="none"/>
        </w:rPr>
      </w:pPr>
      <w:r>
        <w:rPr>
          <w:rFonts w:ascii="Times New Roman" w:hAnsi="Times New Roman" w:cs="Times New Roman"/>
          <w:color w:val="auto"/>
          <w:highlight w:val="none"/>
        </w:rPr>
        <w:t>逐步减少在工业集聚区以外直接排放工业废水的工业企业，并将有关工作情况纳入环境保护目标责任制范围。</w:t>
      </w:r>
    </w:p>
    <w:p w14:paraId="16ACC607">
      <w:pPr>
        <w:autoSpaceDE w:val="0"/>
        <w:autoSpaceDN w:val="0"/>
        <w:adjustRightInd w:val="0"/>
        <w:snapToGrid w:val="0"/>
        <w:spacing w:line="360" w:lineRule="auto"/>
        <w:ind w:left="-105" w:right="-105" w:firstLine="480" w:firstLineChars="200"/>
        <w:jc w:val="both"/>
        <w:rPr>
          <w:rFonts w:ascii="Times New Roman" w:hAnsi="Times New Roman" w:cs="Times New Roman"/>
          <w:color w:val="auto"/>
          <w:highlight w:val="none"/>
        </w:rPr>
      </w:pPr>
      <w:r>
        <w:rPr>
          <w:rFonts w:ascii="Times New Roman" w:hAnsi="Times New Roman" w:cs="Times New Roman"/>
          <w:color w:val="auto"/>
          <w:highlight w:val="none"/>
        </w:rPr>
        <w:t>第二十六条向污水集中处理设施排放工业废水的，应当按照国家和省有关规定进行预处理，符合国家、省有关标准和污水集中处理设施的接纳要求。污水集中处理设施尾水，可以采取生态净化等方式处理后排放。</w:t>
      </w:r>
    </w:p>
    <w:p w14:paraId="4CEA62ED">
      <w:pPr>
        <w:autoSpaceDE w:val="0"/>
        <w:autoSpaceDN w:val="0"/>
        <w:adjustRightInd w:val="0"/>
        <w:snapToGrid w:val="0"/>
        <w:spacing w:line="360" w:lineRule="auto"/>
        <w:ind w:left="-105" w:right="-105" w:firstLine="480" w:firstLineChars="200"/>
        <w:jc w:val="both"/>
        <w:rPr>
          <w:rFonts w:ascii="Times New Roman" w:hAnsi="Times New Roman" w:cs="Times New Roman"/>
          <w:color w:val="auto"/>
          <w:highlight w:val="none"/>
        </w:rPr>
      </w:pPr>
      <w:r>
        <w:rPr>
          <w:rFonts w:ascii="Times New Roman" w:hAnsi="Times New Roman" w:cs="Times New Roman"/>
          <w:color w:val="auto"/>
          <w:highlight w:val="none"/>
        </w:rPr>
        <w:t>实行工业废水与生活污水分质处理，对不符合城镇污水集中处理设施接纳要求的工业废水，限期退出城镇污水管网。</w:t>
      </w:r>
    </w:p>
    <w:p w14:paraId="4A86A250">
      <w:pPr>
        <w:autoSpaceDE w:val="0"/>
        <w:autoSpaceDN w:val="0"/>
        <w:adjustRightInd w:val="0"/>
        <w:snapToGrid w:val="0"/>
        <w:spacing w:line="360" w:lineRule="auto"/>
        <w:ind w:left="-105" w:right="-105" w:firstLine="480" w:firstLineChars="200"/>
        <w:jc w:val="both"/>
        <w:rPr>
          <w:rFonts w:ascii="Times New Roman" w:hAnsi="Times New Roman" w:cs="Times New Roman"/>
          <w:color w:val="auto"/>
          <w:highlight w:val="none"/>
        </w:rPr>
      </w:pPr>
      <w:r>
        <w:rPr>
          <w:rFonts w:ascii="Times New Roman" w:hAnsi="Times New Roman" w:cs="Times New Roman"/>
          <w:color w:val="auto"/>
          <w:highlight w:val="none"/>
        </w:rPr>
        <w:t>第二十九条排放工业废水的工业企业应当逐步实行雨污分流、清污分流。化工、电镀等企业应当将初期雨水收集处理，不得直接排放。</w:t>
      </w:r>
    </w:p>
    <w:p w14:paraId="310B8D59">
      <w:pPr>
        <w:autoSpaceDE w:val="0"/>
        <w:autoSpaceDN w:val="0"/>
        <w:adjustRightInd w:val="0"/>
        <w:snapToGrid w:val="0"/>
        <w:spacing w:line="360" w:lineRule="auto"/>
        <w:ind w:left="-105" w:right="-105" w:firstLine="480" w:firstLineChars="200"/>
        <w:jc w:val="both"/>
        <w:rPr>
          <w:rFonts w:ascii="Times New Roman" w:hAnsi="Times New Roman" w:cs="Times New Roman"/>
          <w:color w:val="auto"/>
          <w:szCs w:val="22"/>
          <w:highlight w:val="none"/>
        </w:rPr>
      </w:pPr>
      <w:r>
        <w:rPr>
          <w:rFonts w:ascii="Times New Roman" w:hAnsi="Times New Roman" w:cs="Times New Roman"/>
          <w:color w:val="auto"/>
          <w:szCs w:val="22"/>
          <w:highlight w:val="none"/>
        </w:rPr>
        <w:t>本项目不涉及含磷洗涤用品的使用，项目位于</w:t>
      </w:r>
      <w:r>
        <w:rPr>
          <w:rFonts w:hint="eastAsia" w:ascii="Times New Roman" w:hAnsi="Times New Roman"/>
          <w:color w:val="auto"/>
          <w:szCs w:val="18"/>
          <w:highlight w:val="none"/>
        </w:rPr>
        <w:t>江苏省</w:t>
      </w:r>
      <w:r>
        <w:rPr>
          <w:rFonts w:ascii="Times New Roman" w:hAnsi="Times New Roman"/>
          <w:color w:val="auto"/>
          <w:szCs w:val="18"/>
          <w:highlight w:val="none"/>
        </w:rPr>
        <w:t>无锡市锡山区</w:t>
      </w:r>
      <w:r>
        <w:rPr>
          <w:rFonts w:hint="eastAsia" w:ascii="Times New Roman" w:hAnsi="Times New Roman"/>
          <w:color w:val="auto"/>
          <w:szCs w:val="18"/>
          <w:highlight w:val="none"/>
        </w:rPr>
        <w:t>锡北</w:t>
      </w:r>
      <w:r>
        <w:rPr>
          <w:rFonts w:ascii="Times New Roman" w:hAnsi="Times New Roman"/>
          <w:color w:val="auto"/>
          <w:szCs w:val="18"/>
          <w:highlight w:val="none"/>
        </w:rPr>
        <w:t>镇</w:t>
      </w:r>
      <w:r>
        <w:rPr>
          <w:rFonts w:hint="eastAsia" w:ascii="Times New Roman" w:hAnsi="Times New Roman"/>
          <w:color w:val="auto"/>
          <w:szCs w:val="18"/>
          <w:highlight w:val="none"/>
        </w:rPr>
        <w:t>新坝村新达路6号</w:t>
      </w:r>
      <w:r>
        <w:rPr>
          <w:rFonts w:ascii="Times New Roman" w:hAnsi="Times New Roman" w:cs="Times New Roman"/>
          <w:color w:val="auto"/>
          <w:szCs w:val="22"/>
          <w:highlight w:val="none"/>
        </w:rPr>
        <w:t>，属于锡山区锡北镇工业集聚区。本项目符合锡山区锡北镇相关规划。</w:t>
      </w:r>
    </w:p>
    <w:p w14:paraId="34E3DAA6">
      <w:pPr>
        <w:autoSpaceDE w:val="0"/>
        <w:autoSpaceDN w:val="0"/>
        <w:adjustRightInd w:val="0"/>
        <w:snapToGrid w:val="0"/>
        <w:spacing w:line="360" w:lineRule="auto"/>
        <w:ind w:left="-105" w:right="-105" w:firstLine="480" w:firstLineChars="200"/>
        <w:jc w:val="both"/>
        <w:rPr>
          <w:rFonts w:ascii="Times New Roman" w:hAnsi="Times New Roman" w:cs="Times New Roman"/>
          <w:color w:val="auto"/>
          <w:szCs w:val="22"/>
          <w:highlight w:val="none"/>
        </w:rPr>
      </w:pPr>
      <w:r>
        <w:rPr>
          <w:rFonts w:ascii="Times New Roman" w:hAnsi="Times New Roman" w:cs="Times New Roman"/>
          <w:color w:val="auto"/>
          <w:highlight w:val="none"/>
        </w:rPr>
        <w:t>本项目</w:t>
      </w:r>
      <w:r>
        <w:rPr>
          <w:rFonts w:hint="eastAsia" w:ascii="Times New Roman" w:hAnsi="Times New Roman"/>
          <w:color w:val="auto"/>
          <w:highlight w:val="none"/>
        </w:rPr>
        <w:t>超纯水装置浓水、超纯水装置反冲洗水不含氮磷，且水质简单，回用于冲厕，生活污水</w:t>
      </w:r>
      <w:r>
        <w:rPr>
          <w:rFonts w:ascii="Times New Roman" w:hAnsi="Times New Roman"/>
          <w:color w:val="auto"/>
          <w:highlight w:val="none"/>
        </w:rPr>
        <w:t>由企业</w:t>
      </w:r>
      <w:r>
        <w:rPr>
          <w:rFonts w:hint="eastAsia" w:ascii="Times New Roman" w:hAnsi="Times New Roman"/>
          <w:color w:val="auto"/>
          <w:highlight w:val="none"/>
        </w:rPr>
        <w:t>收集后委托无锡先进化药化工有限公司处理达标后接入无锡市锡山云林污水处理有限公司</w:t>
      </w:r>
      <w:r>
        <w:rPr>
          <w:rFonts w:ascii="Times New Roman" w:hAnsi="Times New Roman" w:cs="Times New Roman"/>
          <w:color w:val="auto"/>
          <w:highlight w:val="none"/>
        </w:rPr>
        <w:t>，尾水排入</w:t>
      </w:r>
      <w:r>
        <w:rPr>
          <w:rFonts w:hint="eastAsia" w:ascii="Times New Roman" w:hAnsi="Times New Roman" w:cs="Times New Roman"/>
          <w:color w:val="auto"/>
          <w:highlight w:val="none"/>
        </w:rPr>
        <w:t>北兴塘河</w:t>
      </w:r>
      <w:r>
        <w:rPr>
          <w:rFonts w:ascii="Times New Roman" w:hAnsi="Times New Roman" w:cs="Times New Roman"/>
          <w:color w:val="auto"/>
          <w:highlight w:val="none"/>
        </w:rPr>
        <w:t>。</w:t>
      </w:r>
      <w:r>
        <w:rPr>
          <w:rFonts w:ascii="Times New Roman" w:hAnsi="Times New Roman" w:cs="Times New Roman"/>
          <w:color w:val="auto"/>
          <w:szCs w:val="22"/>
          <w:highlight w:val="none"/>
        </w:rPr>
        <w:t>本项目属于</w:t>
      </w:r>
      <w:r>
        <w:rPr>
          <w:rFonts w:hint="eastAsia" w:ascii="Times New Roman" w:hAnsi="Times New Roman" w:cs="Times New Roman"/>
          <w:color w:val="auto"/>
          <w:szCs w:val="18"/>
          <w:highlight w:val="none"/>
        </w:rPr>
        <w:t>C3985电子专用材料制造</w:t>
      </w:r>
      <w:r>
        <w:rPr>
          <w:rFonts w:ascii="Times New Roman" w:hAnsi="Times New Roman" w:cs="Times New Roman"/>
          <w:color w:val="auto"/>
          <w:szCs w:val="22"/>
          <w:highlight w:val="none"/>
        </w:rPr>
        <w:t>，不属于化工</w:t>
      </w:r>
      <w:r>
        <w:rPr>
          <w:rFonts w:hint="eastAsia" w:ascii="Times New Roman" w:hAnsi="Times New Roman" w:cs="Times New Roman"/>
          <w:color w:val="auto"/>
          <w:szCs w:val="22"/>
          <w:highlight w:val="none"/>
        </w:rPr>
        <w:t>、电镀</w:t>
      </w:r>
      <w:r>
        <w:rPr>
          <w:rFonts w:ascii="Times New Roman" w:hAnsi="Times New Roman" w:cs="Times New Roman"/>
          <w:color w:val="auto"/>
          <w:szCs w:val="22"/>
          <w:highlight w:val="none"/>
        </w:rPr>
        <w:t>行业，厂区实行雨污分流、清污分流，并将按照有关规定标识雨水管、清下水管、污水管的走向，在雨水、污水排放口或者接管口设置标识牌，因此，本项目符合《江苏省水污染防治条例》要求。</w:t>
      </w:r>
    </w:p>
    <w:p w14:paraId="4341B27F">
      <w:pPr>
        <w:pStyle w:val="97"/>
        <w:keepNext/>
        <w:tabs>
          <w:tab w:val="left" w:pos="0"/>
          <w:tab w:val="left" w:pos="2550"/>
        </w:tabs>
        <w:spacing w:before="120" w:beforeLines="50" w:after="120" w:afterLines="50" w:line="360" w:lineRule="auto"/>
        <w:ind w:left="-105" w:right="-105" w:firstLine="0" w:firstLineChars="0"/>
        <w:outlineLvl w:val="3"/>
        <w:rPr>
          <w:rFonts w:eastAsia="宋体"/>
          <w:b/>
          <w:bCs/>
          <w:color w:val="auto"/>
          <w:sz w:val="24"/>
          <w:szCs w:val="22"/>
          <w:highlight w:val="none"/>
        </w:rPr>
      </w:pPr>
      <w:r>
        <w:rPr>
          <w:rFonts w:eastAsia="宋体"/>
          <w:b/>
          <w:bCs/>
          <w:color w:val="auto"/>
          <w:sz w:val="24"/>
          <w:szCs w:val="22"/>
          <w:highlight w:val="none"/>
        </w:rPr>
        <w:t>2.6.5.3与《江苏省太湖水污染防治条例》(2021年修订）相符性分析</w:t>
      </w:r>
    </w:p>
    <w:p w14:paraId="511595C3">
      <w:pPr>
        <w:autoSpaceDE w:val="0"/>
        <w:autoSpaceDN w:val="0"/>
        <w:adjustRightInd w:val="0"/>
        <w:snapToGrid w:val="0"/>
        <w:spacing w:line="360" w:lineRule="auto"/>
        <w:ind w:left="-105" w:right="-105" w:firstLine="480" w:firstLineChars="200"/>
        <w:jc w:val="both"/>
        <w:rPr>
          <w:rFonts w:ascii="Times New Roman" w:hAnsi="Times New Roman" w:cs="Times New Roman"/>
          <w:color w:val="auto"/>
          <w:highlight w:val="none"/>
        </w:rPr>
      </w:pPr>
      <w:r>
        <w:rPr>
          <w:rFonts w:ascii="Times New Roman" w:hAnsi="Times New Roman" w:cs="Times New Roman"/>
          <w:color w:val="auto"/>
          <w:highlight w:val="none"/>
        </w:rPr>
        <w:t>根据《江苏省太湖水污染防治条例》，太湖流域划分为三级保护区：太湖湖体、沿湖岸5公里区域、入湖河道上溯10公里以及沿岸两侧各1公里范围为一级保护区；主要入湖河道上溯50公里以及沿岸两侧各1公里范围为二级保护区；其他地区为三级保护区。本项目位于</w:t>
      </w:r>
      <w:r>
        <w:rPr>
          <w:rFonts w:ascii="Times New Roman" w:hAnsi="Times New Roman"/>
          <w:color w:val="auto"/>
          <w:szCs w:val="18"/>
          <w:highlight w:val="none"/>
        </w:rPr>
        <w:t>无锡市锡山区</w:t>
      </w:r>
      <w:r>
        <w:rPr>
          <w:rFonts w:hint="eastAsia" w:ascii="Times New Roman" w:hAnsi="Times New Roman"/>
          <w:color w:val="auto"/>
          <w:szCs w:val="18"/>
          <w:highlight w:val="none"/>
        </w:rPr>
        <w:t>锡北</w:t>
      </w:r>
      <w:r>
        <w:rPr>
          <w:rFonts w:ascii="Times New Roman" w:hAnsi="Times New Roman"/>
          <w:color w:val="auto"/>
          <w:szCs w:val="18"/>
          <w:highlight w:val="none"/>
        </w:rPr>
        <w:t>镇</w:t>
      </w:r>
      <w:r>
        <w:rPr>
          <w:rFonts w:hint="eastAsia" w:ascii="Times New Roman" w:hAnsi="Times New Roman"/>
          <w:color w:val="auto"/>
          <w:szCs w:val="18"/>
          <w:highlight w:val="none"/>
        </w:rPr>
        <w:t>新坝村新达路6号</w:t>
      </w:r>
      <w:r>
        <w:rPr>
          <w:rFonts w:ascii="Times New Roman" w:hAnsi="Times New Roman" w:cs="Times New Roman"/>
          <w:color w:val="auto"/>
          <w:highlight w:val="none"/>
        </w:rPr>
        <w:t>，根据《省政府办公厅关于公布江苏省太湖流域三级保护区范围的通知》（苏政办发[2012]221号）的规定，本项目不在太湖流域一级、二级保护区范围内，因此本项目位于太湖流域三级保护区内。</w:t>
      </w:r>
    </w:p>
    <w:p w14:paraId="0050F79B">
      <w:pPr>
        <w:autoSpaceDE w:val="0"/>
        <w:autoSpaceDN w:val="0"/>
        <w:adjustRightInd w:val="0"/>
        <w:snapToGrid w:val="0"/>
        <w:spacing w:line="360" w:lineRule="auto"/>
        <w:ind w:left="-105" w:right="-105" w:firstLine="480" w:firstLineChars="200"/>
        <w:jc w:val="both"/>
        <w:rPr>
          <w:rFonts w:ascii="Times New Roman" w:hAnsi="Times New Roman" w:cs="Times New Roman"/>
          <w:color w:val="auto"/>
          <w:highlight w:val="none"/>
        </w:rPr>
      </w:pPr>
      <w:r>
        <w:rPr>
          <w:rFonts w:ascii="Times New Roman" w:hAnsi="Times New Roman" w:cs="Times New Roman"/>
          <w:color w:val="auto"/>
          <w:highlight w:val="none"/>
        </w:rPr>
        <w:t>根据</w:t>
      </w:r>
      <w:r>
        <w:rPr>
          <w:rFonts w:ascii="Times New Roman" w:hAnsi="Times New Roman" w:cs="Times New Roman"/>
          <w:color w:val="auto"/>
          <w:highlight w:val="none"/>
          <w:lang w:val="zh-CN"/>
        </w:rPr>
        <w:t>《江苏省太湖水污染防治条例》</w:t>
      </w:r>
      <w:r>
        <w:rPr>
          <w:rFonts w:ascii="Times New Roman" w:hAnsi="Times New Roman" w:cs="Times New Roman"/>
          <w:color w:val="auto"/>
          <w:highlight w:val="none"/>
        </w:rPr>
        <w:t>（江苏省第十二届人民代表大会常务委员会第三十四次会议于2018年1月24日通过）第四十三条规定，太湖流域一、二、三级保护区禁止下列行为：</w:t>
      </w:r>
    </w:p>
    <w:p w14:paraId="730CA052">
      <w:pPr>
        <w:autoSpaceDE w:val="0"/>
        <w:autoSpaceDN w:val="0"/>
        <w:adjustRightInd w:val="0"/>
        <w:snapToGrid w:val="0"/>
        <w:spacing w:line="360" w:lineRule="auto"/>
        <w:ind w:left="-105" w:right="-105" w:firstLine="480" w:firstLineChars="200"/>
        <w:jc w:val="both"/>
        <w:rPr>
          <w:rFonts w:ascii="Times New Roman" w:hAnsi="Times New Roman" w:cs="Times New Roman"/>
          <w:color w:val="auto"/>
          <w:highlight w:val="none"/>
        </w:rPr>
      </w:pPr>
      <w:r>
        <w:rPr>
          <w:rFonts w:ascii="Times New Roman" w:hAnsi="Times New Roman" w:cs="Times New Roman"/>
          <w:color w:val="auto"/>
          <w:highlight w:val="none"/>
        </w:rPr>
        <w:t>（一）新建、改建、扩建化学制浆造纸、制革、酿造、染料、印染、电镀以及其他排放含磷、氮等污染物的企业和项目，城镇污水集中处理等环境基础设施项目和第四十六条规定的情形除外；</w:t>
      </w:r>
    </w:p>
    <w:p w14:paraId="1B3408C3">
      <w:pPr>
        <w:autoSpaceDE w:val="0"/>
        <w:autoSpaceDN w:val="0"/>
        <w:adjustRightInd w:val="0"/>
        <w:snapToGrid w:val="0"/>
        <w:spacing w:line="360" w:lineRule="auto"/>
        <w:ind w:left="-105" w:right="-105" w:firstLine="480" w:firstLineChars="200"/>
        <w:jc w:val="both"/>
        <w:rPr>
          <w:rFonts w:ascii="Times New Roman" w:hAnsi="Times New Roman" w:cs="Times New Roman"/>
          <w:color w:val="auto"/>
          <w:highlight w:val="none"/>
        </w:rPr>
      </w:pPr>
      <w:r>
        <w:rPr>
          <w:rFonts w:ascii="Times New Roman" w:hAnsi="Times New Roman" w:cs="Times New Roman"/>
          <w:color w:val="auto"/>
          <w:highlight w:val="none"/>
        </w:rPr>
        <w:t>（二）销售、使用含磷洗涤用品；</w:t>
      </w:r>
    </w:p>
    <w:p w14:paraId="6DF63736">
      <w:pPr>
        <w:autoSpaceDE w:val="0"/>
        <w:autoSpaceDN w:val="0"/>
        <w:adjustRightInd w:val="0"/>
        <w:snapToGrid w:val="0"/>
        <w:spacing w:line="360" w:lineRule="auto"/>
        <w:ind w:left="-105" w:right="-105" w:firstLine="480" w:firstLineChars="200"/>
        <w:jc w:val="both"/>
        <w:rPr>
          <w:rFonts w:ascii="Times New Roman" w:hAnsi="Times New Roman" w:cs="Times New Roman"/>
          <w:color w:val="auto"/>
          <w:highlight w:val="none"/>
        </w:rPr>
      </w:pPr>
      <w:r>
        <w:rPr>
          <w:rFonts w:ascii="Times New Roman" w:hAnsi="Times New Roman" w:cs="Times New Roman"/>
          <w:color w:val="auto"/>
          <w:highlight w:val="none"/>
        </w:rPr>
        <w:t>（三）向水体排放或者倾倒油类、酸液、碱液、剧毒废渣废液、含放射性废渣废液、含病原体污水、工业废渣以及其他废弃物；</w:t>
      </w:r>
    </w:p>
    <w:p w14:paraId="324013B9">
      <w:pPr>
        <w:autoSpaceDE w:val="0"/>
        <w:autoSpaceDN w:val="0"/>
        <w:adjustRightInd w:val="0"/>
        <w:snapToGrid w:val="0"/>
        <w:spacing w:line="360" w:lineRule="auto"/>
        <w:ind w:left="-105" w:right="-105" w:firstLine="480" w:firstLineChars="200"/>
        <w:jc w:val="both"/>
        <w:rPr>
          <w:rFonts w:ascii="Times New Roman" w:hAnsi="Times New Roman" w:cs="Times New Roman"/>
          <w:color w:val="auto"/>
          <w:highlight w:val="none"/>
        </w:rPr>
      </w:pPr>
      <w:r>
        <w:rPr>
          <w:rFonts w:ascii="Times New Roman" w:hAnsi="Times New Roman" w:cs="Times New Roman"/>
          <w:color w:val="auto"/>
          <w:highlight w:val="none"/>
        </w:rPr>
        <w:t>（四）在水体清洗装贮过油类或者有毒有害污染物的车辆、船舶和容器等；</w:t>
      </w:r>
    </w:p>
    <w:p w14:paraId="1EFB5DAC">
      <w:pPr>
        <w:autoSpaceDE w:val="0"/>
        <w:autoSpaceDN w:val="0"/>
        <w:adjustRightInd w:val="0"/>
        <w:snapToGrid w:val="0"/>
        <w:spacing w:line="360" w:lineRule="auto"/>
        <w:ind w:left="-105" w:right="-105" w:firstLine="480" w:firstLineChars="200"/>
        <w:jc w:val="both"/>
        <w:rPr>
          <w:rFonts w:ascii="Times New Roman" w:hAnsi="Times New Roman" w:cs="Times New Roman"/>
          <w:color w:val="auto"/>
          <w:highlight w:val="none"/>
        </w:rPr>
      </w:pPr>
      <w:r>
        <w:rPr>
          <w:rFonts w:ascii="Times New Roman" w:hAnsi="Times New Roman" w:cs="Times New Roman"/>
          <w:color w:val="auto"/>
          <w:highlight w:val="none"/>
        </w:rPr>
        <w:t>（五）使用农药等有毒物毒杀水生生物；</w:t>
      </w:r>
    </w:p>
    <w:p w14:paraId="7A3B04E6">
      <w:pPr>
        <w:autoSpaceDE w:val="0"/>
        <w:autoSpaceDN w:val="0"/>
        <w:adjustRightInd w:val="0"/>
        <w:snapToGrid w:val="0"/>
        <w:spacing w:line="360" w:lineRule="auto"/>
        <w:ind w:left="-105" w:right="-105" w:firstLine="480" w:firstLineChars="200"/>
        <w:jc w:val="both"/>
        <w:rPr>
          <w:rFonts w:ascii="Times New Roman" w:hAnsi="Times New Roman" w:cs="Times New Roman"/>
          <w:color w:val="auto"/>
          <w:highlight w:val="none"/>
        </w:rPr>
      </w:pPr>
      <w:r>
        <w:rPr>
          <w:rFonts w:ascii="Times New Roman" w:hAnsi="Times New Roman" w:cs="Times New Roman"/>
          <w:color w:val="auto"/>
          <w:highlight w:val="none"/>
        </w:rPr>
        <w:t>（六）向水体直接排放人畜粪便、倾倒垃圾；</w:t>
      </w:r>
    </w:p>
    <w:p w14:paraId="2B3C3804">
      <w:pPr>
        <w:autoSpaceDE w:val="0"/>
        <w:autoSpaceDN w:val="0"/>
        <w:adjustRightInd w:val="0"/>
        <w:snapToGrid w:val="0"/>
        <w:spacing w:line="360" w:lineRule="auto"/>
        <w:ind w:left="-105" w:right="-105" w:firstLine="480" w:firstLineChars="200"/>
        <w:jc w:val="both"/>
        <w:rPr>
          <w:rFonts w:ascii="Times New Roman" w:hAnsi="Times New Roman" w:cs="Times New Roman"/>
          <w:color w:val="auto"/>
          <w:highlight w:val="none"/>
        </w:rPr>
      </w:pPr>
      <w:r>
        <w:rPr>
          <w:rFonts w:ascii="Times New Roman" w:hAnsi="Times New Roman" w:cs="Times New Roman"/>
          <w:color w:val="auto"/>
          <w:highlight w:val="none"/>
        </w:rPr>
        <w:t>（七）围湖造地；</w:t>
      </w:r>
    </w:p>
    <w:p w14:paraId="7F7C2E78">
      <w:pPr>
        <w:autoSpaceDE w:val="0"/>
        <w:autoSpaceDN w:val="0"/>
        <w:adjustRightInd w:val="0"/>
        <w:snapToGrid w:val="0"/>
        <w:spacing w:line="360" w:lineRule="auto"/>
        <w:ind w:left="-105" w:right="-105" w:firstLine="480" w:firstLineChars="200"/>
        <w:jc w:val="both"/>
        <w:rPr>
          <w:rFonts w:ascii="Times New Roman" w:hAnsi="Times New Roman" w:cs="Times New Roman"/>
          <w:color w:val="auto"/>
          <w:highlight w:val="none"/>
        </w:rPr>
      </w:pPr>
      <w:r>
        <w:rPr>
          <w:rFonts w:ascii="Times New Roman" w:hAnsi="Times New Roman" w:cs="Times New Roman"/>
          <w:color w:val="auto"/>
          <w:highlight w:val="none"/>
        </w:rPr>
        <w:t>（八）违法开山采石，或者进行破坏林木、植被、水生生物的活动；</w:t>
      </w:r>
    </w:p>
    <w:p w14:paraId="20F3CB23">
      <w:pPr>
        <w:autoSpaceDE w:val="0"/>
        <w:autoSpaceDN w:val="0"/>
        <w:adjustRightInd w:val="0"/>
        <w:snapToGrid w:val="0"/>
        <w:spacing w:line="360" w:lineRule="auto"/>
        <w:ind w:left="-105" w:right="-105" w:firstLine="480" w:firstLineChars="200"/>
        <w:jc w:val="both"/>
        <w:rPr>
          <w:rFonts w:ascii="Times New Roman" w:hAnsi="Times New Roman" w:cs="Times New Roman"/>
          <w:color w:val="auto"/>
          <w:highlight w:val="none"/>
        </w:rPr>
      </w:pPr>
      <w:r>
        <w:rPr>
          <w:rFonts w:ascii="Times New Roman" w:hAnsi="Times New Roman" w:cs="Times New Roman"/>
          <w:color w:val="auto"/>
          <w:highlight w:val="none"/>
        </w:rPr>
        <w:t>（九）法律、法规禁止的其他行为。</w:t>
      </w:r>
    </w:p>
    <w:p w14:paraId="2242F369">
      <w:pPr>
        <w:autoSpaceDE w:val="0"/>
        <w:autoSpaceDN w:val="0"/>
        <w:adjustRightInd w:val="0"/>
        <w:snapToGrid w:val="0"/>
        <w:spacing w:line="360" w:lineRule="auto"/>
        <w:ind w:left="-105" w:right="-105" w:firstLine="480" w:firstLineChars="200"/>
        <w:jc w:val="both"/>
        <w:rPr>
          <w:rFonts w:ascii="Times New Roman" w:hAnsi="Times New Roman" w:cs="Times New Roman"/>
          <w:color w:val="auto"/>
          <w:highlight w:val="none"/>
        </w:rPr>
      </w:pPr>
      <w:r>
        <w:rPr>
          <w:rFonts w:ascii="Times New Roman" w:hAnsi="Times New Roman" w:cs="Times New Roman"/>
          <w:color w:val="auto"/>
          <w:highlight w:val="none"/>
        </w:rPr>
        <w:t>本项目位于太湖流域三级保护区，属于</w:t>
      </w:r>
      <w:r>
        <w:rPr>
          <w:rFonts w:hint="eastAsia" w:ascii="Times New Roman" w:hAnsi="Times New Roman" w:cs="Times New Roman"/>
          <w:color w:val="auto"/>
          <w:szCs w:val="18"/>
          <w:highlight w:val="none"/>
        </w:rPr>
        <w:t>C3985电子专用材料制造</w:t>
      </w:r>
      <w:r>
        <w:rPr>
          <w:rFonts w:ascii="Times New Roman" w:hAnsi="Times New Roman" w:cs="Times New Roman"/>
          <w:color w:val="auto"/>
          <w:szCs w:val="18"/>
          <w:highlight w:val="none"/>
        </w:rPr>
        <w:t>，不属于</w:t>
      </w:r>
      <w:bookmarkStart w:id="191" w:name="_Hlk140238902"/>
      <w:r>
        <w:rPr>
          <w:rFonts w:ascii="Times New Roman" w:hAnsi="Times New Roman" w:cs="Times New Roman"/>
          <w:color w:val="auto"/>
          <w:highlight w:val="none"/>
        </w:rPr>
        <w:t>化学制浆造纸、制革、酿造、染料、印染、电镀</w:t>
      </w:r>
      <w:r>
        <w:rPr>
          <w:rFonts w:hint="eastAsia" w:ascii="Times New Roman" w:hAnsi="Times New Roman" w:cs="Times New Roman"/>
          <w:color w:val="auto"/>
          <w:highlight w:val="none"/>
        </w:rPr>
        <w:t>行业</w:t>
      </w:r>
      <w:r>
        <w:rPr>
          <w:rFonts w:ascii="Times New Roman" w:hAnsi="Times New Roman" w:cs="Times New Roman"/>
          <w:color w:val="auto"/>
          <w:szCs w:val="18"/>
          <w:highlight w:val="none"/>
        </w:rPr>
        <w:t>。</w:t>
      </w:r>
      <w:bookmarkEnd w:id="191"/>
      <w:r>
        <w:rPr>
          <w:rFonts w:ascii="Times New Roman" w:hAnsi="Times New Roman" w:cs="Times New Roman"/>
          <w:color w:val="auto"/>
          <w:szCs w:val="18"/>
          <w:highlight w:val="none"/>
        </w:rPr>
        <w:t>项目生产过程中不使用含磷洗涤用品。</w:t>
      </w:r>
      <w:r>
        <w:rPr>
          <w:rFonts w:ascii="Times New Roman" w:hAnsi="Times New Roman" w:cs="Times New Roman"/>
          <w:color w:val="auto"/>
          <w:highlight w:val="none"/>
        </w:rPr>
        <w:t>项目投产后</w:t>
      </w:r>
      <w:r>
        <w:rPr>
          <w:rFonts w:hint="eastAsia" w:ascii="Times New Roman" w:hAnsi="Times New Roman" w:cs="Times New Roman"/>
          <w:color w:val="auto"/>
          <w:highlight w:val="none"/>
        </w:rPr>
        <w:t>，</w:t>
      </w:r>
      <w:r>
        <w:rPr>
          <w:rFonts w:ascii="Times New Roman" w:hAnsi="Times New Roman" w:cs="Times New Roman"/>
          <w:color w:val="auto"/>
          <w:highlight w:val="none"/>
        </w:rPr>
        <w:t>本项目</w:t>
      </w:r>
      <w:r>
        <w:rPr>
          <w:rFonts w:hint="eastAsia" w:ascii="Times New Roman" w:hAnsi="Times New Roman"/>
          <w:color w:val="auto"/>
          <w:highlight w:val="none"/>
        </w:rPr>
        <w:t>超纯水装置浓水、超纯水装置反冲洗水不含氮磷，且水质简单，回用于冲厕，生活污水</w:t>
      </w:r>
      <w:r>
        <w:rPr>
          <w:rFonts w:ascii="Times New Roman" w:hAnsi="Times New Roman"/>
          <w:color w:val="auto"/>
          <w:highlight w:val="none"/>
        </w:rPr>
        <w:t>由企业</w:t>
      </w:r>
      <w:r>
        <w:rPr>
          <w:rFonts w:hint="eastAsia" w:ascii="Times New Roman" w:hAnsi="Times New Roman"/>
          <w:color w:val="auto"/>
          <w:highlight w:val="none"/>
        </w:rPr>
        <w:t>收集后委托无锡先进化药化工有限公司处理达标后接入无锡市锡山云林污水处理有限公司</w:t>
      </w:r>
      <w:r>
        <w:rPr>
          <w:rFonts w:ascii="Times New Roman" w:hAnsi="Times New Roman" w:cs="Times New Roman"/>
          <w:color w:val="auto"/>
          <w:highlight w:val="none"/>
        </w:rPr>
        <w:t>，尾水排入</w:t>
      </w:r>
      <w:r>
        <w:rPr>
          <w:rFonts w:hint="eastAsia" w:ascii="Times New Roman" w:hAnsi="Times New Roman" w:cs="Times New Roman"/>
          <w:color w:val="auto"/>
          <w:highlight w:val="none"/>
        </w:rPr>
        <w:t>北兴塘河</w:t>
      </w:r>
      <w:r>
        <w:rPr>
          <w:rFonts w:ascii="Times New Roman" w:hAnsi="Times New Roman" w:cs="Times New Roman"/>
          <w:color w:val="auto"/>
          <w:highlight w:val="none"/>
        </w:rPr>
        <w:t>，符合《江苏省太湖水污染防治条例》的要求。</w:t>
      </w:r>
    </w:p>
    <w:p w14:paraId="6DAE80DE">
      <w:pPr>
        <w:pStyle w:val="97"/>
        <w:keepNext/>
        <w:tabs>
          <w:tab w:val="left" w:pos="0"/>
          <w:tab w:val="left" w:pos="2550"/>
        </w:tabs>
        <w:spacing w:before="120" w:beforeLines="50" w:after="120" w:afterLines="50" w:line="360" w:lineRule="auto"/>
        <w:ind w:left="-105" w:right="-105" w:firstLine="0" w:firstLineChars="0"/>
        <w:outlineLvl w:val="3"/>
        <w:rPr>
          <w:rFonts w:eastAsia="宋体"/>
          <w:b/>
          <w:bCs/>
          <w:color w:val="auto"/>
          <w:sz w:val="24"/>
          <w:szCs w:val="22"/>
          <w:highlight w:val="none"/>
        </w:rPr>
      </w:pPr>
      <w:r>
        <w:rPr>
          <w:rFonts w:eastAsia="宋体"/>
          <w:b/>
          <w:bCs/>
          <w:color w:val="auto"/>
          <w:sz w:val="24"/>
          <w:szCs w:val="22"/>
          <w:highlight w:val="none"/>
        </w:rPr>
        <w:t>2.6.5.4与《太湖流域管理条例》相符性分析</w:t>
      </w:r>
    </w:p>
    <w:p w14:paraId="3355CC63">
      <w:pPr>
        <w:autoSpaceDE w:val="0"/>
        <w:autoSpaceDN w:val="0"/>
        <w:adjustRightInd w:val="0"/>
        <w:snapToGrid w:val="0"/>
        <w:spacing w:line="360" w:lineRule="auto"/>
        <w:ind w:left="-105" w:right="-105" w:firstLine="480" w:firstLineChars="200"/>
        <w:jc w:val="both"/>
        <w:rPr>
          <w:rFonts w:ascii="Times New Roman" w:hAnsi="Times New Roman" w:cs="Times New Roman"/>
          <w:bCs/>
          <w:color w:val="auto"/>
          <w:highlight w:val="none"/>
        </w:rPr>
      </w:pPr>
      <w:r>
        <w:rPr>
          <w:rFonts w:ascii="Times New Roman" w:hAnsi="Times New Roman" w:cs="Times New Roman"/>
          <w:bCs/>
          <w:color w:val="auto"/>
          <w:highlight w:val="none"/>
        </w:rPr>
        <w:t>根据《太湖流域管理条例》（中华人民共和国国务院令第604号）第四章第二十八条规定：禁止在太湖流域设置不符合国家产业政策和水环境综合治理要求的造纸、制革、酒精、淀粉、冶金、酿造、印染、电镀等排放水污染物的生产项目，现有的生产项目不能实现达标排放的，应当依法关闭”的相关规定。</w:t>
      </w:r>
    </w:p>
    <w:p w14:paraId="0904FEF1">
      <w:pPr>
        <w:autoSpaceDE w:val="0"/>
        <w:autoSpaceDN w:val="0"/>
        <w:adjustRightInd w:val="0"/>
        <w:snapToGrid w:val="0"/>
        <w:spacing w:line="360" w:lineRule="auto"/>
        <w:ind w:left="-105" w:right="-105" w:firstLine="480" w:firstLineChars="200"/>
        <w:jc w:val="both"/>
        <w:rPr>
          <w:rFonts w:ascii="Times New Roman" w:hAnsi="Times New Roman" w:cs="Times New Roman"/>
          <w:bCs/>
          <w:color w:val="auto"/>
          <w:highlight w:val="none"/>
        </w:rPr>
      </w:pPr>
      <w:r>
        <w:rPr>
          <w:rFonts w:ascii="Times New Roman" w:hAnsi="Times New Roman" w:cs="Times New Roman"/>
          <w:bCs/>
          <w:color w:val="auto"/>
          <w:highlight w:val="none"/>
        </w:rPr>
        <w:t>根据《太湖流域管理条例》（中华人民共和国国务院令第604号）第四章第二十九条规定：新孟河、望虞河以外的其他主要入太湖河道，自河口1万米上溯至5万米河道岸线内及其岸线两侧各1000米范围内，禁止下列行为：</w:t>
      </w:r>
    </w:p>
    <w:p w14:paraId="344576B9">
      <w:pPr>
        <w:autoSpaceDE w:val="0"/>
        <w:autoSpaceDN w:val="0"/>
        <w:adjustRightInd w:val="0"/>
        <w:snapToGrid w:val="0"/>
        <w:spacing w:line="360" w:lineRule="auto"/>
        <w:ind w:left="-105" w:right="-105" w:firstLine="480" w:firstLineChars="200"/>
        <w:jc w:val="both"/>
        <w:rPr>
          <w:rFonts w:ascii="Times New Roman" w:hAnsi="Times New Roman" w:cs="Times New Roman"/>
          <w:bCs/>
          <w:color w:val="auto"/>
          <w:highlight w:val="none"/>
        </w:rPr>
      </w:pPr>
      <w:r>
        <w:rPr>
          <w:rFonts w:ascii="Times New Roman" w:hAnsi="Times New Roman" w:cs="Times New Roman"/>
          <w:bCs/>
          <w:color w:val="auto"/>
          <w:highlight w:val="none"/>
        </w:rPr>
        <w:t>（一）新建、扩建化工、医药生产项目；</w:t>
      </w:r>
    </w:p>
    <w:p w14:paraId="673528AA">
      <w:pPr>
        <w:autoSpaceDE w:val="0"/>
        <w:autoSpaceDN w:val="0"/>
        <w:adjustRightInd w:val="0"/>
        <w:snapToGrid w:val="0"/>
        <w:spacing w:line="360" w:lineRule="auto"/>
        <w:ind w:left="-105" w:right="-105" w:firstLine="480" w:firstLineChars="200"/>
        <w:jc w:val="both"/>
        <w:rPr>
          <w:rFonts w:ascii="Times New Roman" w:hAnsi="Times New Roman" w:cs="Times New Roman"/>
          <w:bCs/>
          <w:color w:val="auto"/>
          <w:highlight w:val="none"/>
        </w:rPr>
      </w:pPr>
      <w:r>
        <w:rPr>
          <w:rFonts w:ascii="Times New Roman" w:hAnsi="Times New Roman" w:cs="Times New Roman"/>
          <w:bCs/>
          <w:color w:val="auto"/>
          <w:highlight w:val="none"/>
        </w:rPr>
        <w:t>（二）新建、扩建污水集中处理设施排污口以外的排污口；</w:t>
      </w:r>
    </w:p>
    <w:p w14:paraId="033F62B3">
      <w:pPr>
        <w:autoSpaceDE w:val="0"/>
        <w:autoSpaceDN w:val="0"/>
        <w:adjustRightInd w:val="0"/>
        <w:snapToGrid w:val="0"/>
        <w:spacing w:line="360" w:lineRule="auto"/>
        <w:ind w:left="-105" w:right="-105" w:firstLine="480" w:firstLineChars="200"/>
        <w:jc w:val="both"/>
        <w:rPr>
          <w:rFonts w:ascii="Times New Roman" w:hAnsi="Times New Roman" w:cs="Times New Roman"/>
          <w:bCs/>
          <w:color w:val="auto"/>
          <w:highlight w:val="none"/>
        </w:rPr>
      </w:pPr>
      <w:r>
        <w:rPr>
          <w:rFonts w:ascii="Times New Roman" w:hAnsi="Times New Roman" w:cs="Times New Roman"/>
          <w:bCs/>
          <w:color w:val="auto"/>
          <w:highlight w:val="none"/>
        </w:rPr>
        <w:t>（三）扩大水产养殖规模。</w:t>
      </w:r>
    </w:p>
    <w:p w14:paraId="1CFE3169">
      <w:pPr>
        <w:autoSpaceDE w:val="0"/>
        <w:autoSpaceDN w:val="0"/>
        <w:adjustRightInd w:val="0"/>
        <w:snapToGrid w:val="0"/>
        <w:spacing w:line="360" w:lineRule="auto"/>
        <w:ind w:left="-105" w:right="-105" w:firstLine="480" w:firstLineChars="200"/>
        <w:jc w:val="both"/>
        <w:rPr>
          <w:rFonts w:ascii="Times New Roman" w:hAnsi="Times New Roman" w:cs="Times New Roman"/>
          <w:bCs/>
          <w:color w:val="auto"/>
          <w:highlight w:val="none"/>
        </w:rPr>
      </w:pPr>
      <w:r>
        <w:rPr>
          <w:rFonts w:ascii="Times New Roman" w:hAnsi="Times New Roman" w:cs="Times New Roman"/>
          <w:bCs/>
          <w:color w:val="auto"/>
          <w:highlight w:val="none"/>
        </w:rPr>
        <w:t>根据《太湖流域管理条例》（中华人民共和国国务院令第604号）第四章第三十条规定：太湖岸线内和岸线周边5000米范围内，淀山湖岸线内和岸线周边2000米范围内，太浦河、新孟河、望虞河岸线内和岸线两侧各1000米范围内，其他主要入太湖河道自河口上溯至1万米河道岸线内及其岸线两侧各1000米范围内，禁止下列行为：</w:t>
      </w:r>
    </w:p>
    <w:p w14:paraId="6B9FD45E">
      <w:pPr>
        <w:autoSpaceDE w:val="0"/>
        <w:autoSpaceDN w:val="0"/>
        <w:adjustRightInd w:val="0"/>
        <w:snapToGrid w:val="0"/>
        <w:spacing w:line="360" w:lineRule="auto"/>
        <w:ind w:left="-105" w:right="-105" w:firstLine="480" w:firstLineChars="200"/>
        <w:jc w:val="both"/>
        <w:rPr>
          <w:rFonts w:ascii="Times New Roman" w:hAnsi="Times New Roman" w:cs="Times New Roman"/>
          <w:bCs/>
          <w:color w:val="auto"/>
          <w:highlight w:val="none"/>
        </w:rPr>
      </w:pPr>
      <w:r>
        <w:rPr>
          <w:rFonts w:ascii="Times New Roman" w:hAnsi="Times New Roman" w:cs="Times New Roman"/>
          <w:bCs/>
          <w:color w:val="auto"/>
          <w:highlight w:val="none"/>
        </w:rPr>
        <w:t>（一）设置剧毒物质、危险化学品的贮存、输送设施和废物回收场、垃圾场；</w:t>
      </w:r>
    </w:p>
    <w:p w14:paraId="5C059204">
      <w:pPr>
        <w:autoSpaceDE w:val="0"/>
        <w:autoSpaceDN w:val="0"/>
        <w:adjustRightInd w:val="0"/>
        <w:snapToGrid w:val="0"/>
        <w:spacing w:line="360" w:lineRule="auto"/>
        <w:ind w:left="-105" w:right="-105" w:firstLine="480" w:firstLineChars="200"/>
        <w:jc w:val="both"/>
        <w:rPr>
          <w:rFonts w:ascii="Times New Roman" w:hAnsi="Times New Roman" w:cs="Times New Roman"/>
          <w:bCs/>
          <w:color w:val="auto"/>
          <w:highlight w:val="none"/>
        </w:rPr>
      </w:pPr>
      <w:r>
        <w:rPr>
          <w:rFonts w:ascii="Times New Roman" w:hAnsi="Times New Roman" w:cs="Times New Roman"/>
          <w:bCs/>
          <w:color w:val="auto"/>
          <w:highlight w:val="none"/>
        </w:rPr>
        <w:t>（二）设置水上餐饮经营设施；</w:t>
      </w:r>
    </w:p>
    <w:p w14:paraId="32059811">
      <w:pPr>
        <w:autoSpaceDE w:val="0"/>
        <w:autoSpaceDN w:val="0"/>
        <w:adjustRightInd w:val="0"/>
        <w:snapToGrid w:val="0"/>
        <w:spacing w:line="360" w:lineRule="auto"/>
        <w:ind w:left="-105" w:right="-105" w:firstLine="480" w:firstLineChars="200"/>
        <w:jc w:val="both"/>
        <w:rPr>
          <w:rFonts w:ascii="Times New Roman" w:hAnsi="Times New Roman" w:cs="Times New Roman"/>
          <w:bCs/>
          <w:color w:val="auto"/>
          <w:highlight w:val="none"/>
        </w:rPr>
      </w:pPr>
      <w:r>
        <w:rPr>
          <w:rFonts w:ascii="Times New Roman" w:hAnsi="Times New Roman" w:cs="Times New Roman"/>
          <w:bCs/>
          <w:color w:val="auto"/>
          <w:highlight w:val="none"/>
        </w:rPr>
        <w:t>（三）新建、扩建高尔夫球场;</w:t>
      </w:r>
    </w:p>
    <w:p w14:paraId="20C998CC">
      <w:pPr>
        <w:autoSpaceDE w:val="0"/>
        <w:autoSpaceDN w:val="0"/>
        <w:adjustRightInd w:val="0"/>
        <w:snapToGrid w:val="0"/>
        <w:spacing w:line="360" w:lineRule="auto"/>
        <w:ind w:left="-105" w:right="-105" w:firstLine="480" w:firstLineChars="200"/>
        <w:jc w:val="both"/>
        <w:rPr>
          <w:rFonts w:ascii="Times New Roman" w:hAnsi="Times New Roman" w:cs="Times New Roman"/>
          <w:bCs/>
          <w:color w:val="auto"/>
          <w:highlight w:val="none"/>
        </w:rPr>
      </w:pPr>
      <w:r>
        <w:rPr>
          <w:rFonts w:ascii="Times New Roman" w:hAnsi="Times New Roman" w:cs="Times New Roman"/>
          <w:bCs/>
          <w:color w:val="auto"/>
          <w:highlight w:val="none"/>
        </w:rPr>
        <w:t>（四）新建、扩建畜禽养殖场；</w:t>
      </w:r>
    </w:p>
    <w:p w14:paraId="398D8D24">
      <w:pPr>
        <w:autoSpaceDE w:val="0"/>
        <w:autoSpaceDN w:val="0"/>
        <w:adjustRightInd w:val="0"/>
        <w:snapToGrid w:val="0"/>
        <w:spacing w:line="360" w:lineRule="auto"/>
        <w:ind w:left="-105" w:right="-105" w:firstLine="480" w:firstLineChars="200"/>
        <w:jc w:val="both"/>
        <w:rPr>
          <w:rFonts w:ascii="Times New Roman" w:hAnsi="Times New Roman" w:cs="Times New Roman"/>
          <w:bCs/>
          <w:color w:val="auto"/>
          <w:highlight w:val="none"/>
        </w:rPr>
      </w:pPr>
      <w:r>
        <w:rPr>
          <w:rFonts w:ascii="Times New Roman" w:hAnsi="Times New Roman" w:cs="Times New Roman"/>
          <w:bCs/>
          <w:color w:val="auto"/>
          <w:highlight w:val="none"/>
        </w:rPr>
        <w:t>（五）新建、扩建向水体排放污染物的建设项目；</w:t>
      </w:r>
    </w:p>
    <w:p w14:paraId="7453E53B">
      <w:pPr>
        <w:autoSpaceDE w:val="0"/>
        <w:autoSpaceDN w:val="0"/>
        <w:adjustRightInd w:val="0"/>
        <w:snapToGrid w:val="0"/>
        <w:spacing w:line="360" w:lineRule="auto"/>
        <w:ind w:left="-105" w:right="-105" w:firstLine="480" w:firstLineChars="200"/>
        <w:jc w:val="both"/>
        <w:rPr>
          <w:rFonts w:ascii="Times New Roman" w:hAnsi="Times New Roman" w:cs="Times New Roman"/>
          <w:bCs/>
          <w:color w:val="auto"/>
          <w:highlight w:val="none"/>
        </w:rPr>
      </w:pPr>
      <w:r>
        <w:rPr>
          <w:rFonts w:ascii="Times New Roman" w:hAnsi="Times New Roman" w:cs="Times New Roman"/>
          <w:bCs/>
          <w:color w:val="auto"/>
          <w:highlight w:val="none"/>
        </w:rPr>
        <w:t>（六）本条例第二十九条规定的行为。</w:t>
      </w:r>
    </w:p>
    <w:p w14:paraId="0C93E28B">
      <w:pPr>
        <w:autoSpaceDE w:val="0"/>
        <w:autoSpaceDN w:val="0"/>
        <w:adjustRightInd w:val="0"/>
        <w:snapToGrid w:val="0"/>
        <w:spacing w:line="360" w:lineRule="auto"/>
        <w:ind w:left="-105" w:right="-105" w:firstLine="480" w:firstLineChars="200"/>
        <w:jc w:val="both"/>
        <w:rPr>
          <w:rFonts w:ascii="Times New Roman" w:hAnsi="Times New Roman" w:cs="Times New Roman"/>
          <w:bCs/>
          <w:color w:val="auto"/>
          <w:highlight w:val="none"/>
        </w:rPr>
      </w:pPr>
      <w:r>
        <w:rPr>
          <w:rFonts w:ascii="Times New Roman" w:hAnsi="Times New Roman" w:cs="Times New Roman"/>
          <w:bCs/>
          <w:color w:val="auto"/>
          <w:highlight w:val="none"/>
        </w:rPr>
        <w:t>已经设置前款第一项、第二项规定设施的，当地县级人民政府应当责令拆除或者关闭。</w:t>
      </w:r>
    </w:p>
    <w:p w14:paraId="3F5A2A20">
      <w:pPr>
        <w:autoSpaceDE w:val="0"/>
        <w:autoSpaceDN w:val="0"/>
        <w:adjustRightInd w:val="0"/>
        <w:snapToGrid w:val="0"/>
        <w:spacing w:line="360" w:lineRule="auto"/>
        <w:ind w:left="-105" w:right="-105" w:firstLine="480" w:firstLineChars="200"/>
        <w:jc w:val="both"/>
        <w:rPr>
          <w:rFonts w:ascii="Times New Roman" w:hAnsi="Times New Roman" w:cs="Times New Roman"/>
          <w:bCs/>
          <w:color w:val="auto"/>
          <w:highlight w:val="none"/>
        </w:rPr>
      </w:pPr>
      <w:r>
        <w:rPr>
          <w:rFonts w:ascii="Times New Roman" w:hAnsi="Times New Roman" w:cs="Times New Roman"/>
          <w:bCs/>
          <w:color w:val="auto"/>
          <w:highlight w:val="none"/>
        </w:rPr>
        <w:t>本项目不属于上述禁止的行业和类别，本项目距离望虞河</w:t>
      </w:r>
      <w:r>
        <w:rPr>
          <w:rFonts w:hint="eastAsia" w:ascii="Times New Roman" w:hAnsi="Times New Roman" w:cs="Times New Roman"/>
          <w:bCs/>
          <w:color w:val="auto"/>
          <w:highlight w:val="none"/>
        </w:rPr>
        <w:t>22.0</w:t>
      </w:r>
      <w:r>
        <w:rPr>
          <w:rFonts w:ascii="Times New Roman" w:hAnsi="Times New Roman" w:cs="Times New Roman"/>
          <w:bCs/>
          <w:color w:val="auto"/>
          <w:highlight w:val="none"/>
        </w:rPr>
        <w:t>km，距离太湖岸线</w:t>
      </w:r>
      <w:r>
        <w:rPr>
          <w:rFonts w:hint="eastAsia" w:ascii="Times New Roman" w:hAnsi="Times New Roman" w:cs="Times New Roman"/>
          <w:bCs/>
          <w:color w:val="auto"/>
          <w:highlight w:val="none"/>
        </w:rPr>
        <w:t>20.6</w:t>
      </w:r>
      <w:r>
        <w:rPr>
          <w:rFonts w:ascii="Times New Roman" w:hAnsi="Times New Roman" w:cs="Times New Roman"/>
          <w:bCs/>
          <w:color w:val="auto"/>
          <w:highlight w:val="none"/>
        </w:rPr>
        <w:t>km，符合《太湖流域管理条例》的要求。</w:t>
      </w:r>
    </w:p>
    <w:p w14:paraId="067B23A5">
      <w:pPr>
        <w:pStyle w:val="97"/>
        <w:keepNext/>
        <w:tabs>
          <w:tab w:val="left" w:pos="0"/>
          <w:tab w:val="left" w:pos="2550"/>
        </w:tabs>
        <w:spacing w:before="120" w:beforeLines="50" w:after="120" w:afterLines="50" w:line="360" w:lineRule="auto"/>
        <w:ind w:left="-105" w:right="-105" w:firstLine="0" w:firstLineChars="0"/>
        <w:outlineLvl w:val="3"/>
        <w:rPr>
          <w:rFonts w:eastAsia="宋体"/>
          <w:b/>
          <w:bCs/>
          <w:color w:val="auto"/>
          <w:sz w:val="24"/>
          <w:szCs w:val="22"/>
          <w:highlight w:val="none"/>
        </w:rPr>
      </w:pPr>
      <w:r>
        <w:rPr>
          <w:rFonts w:eastAsia="宋体"/>
          <w:b/>
          <w:bCs/>
          <w:color w:val="auto"/>
          <w:sz w:val="24"/>
          <w:szCs w:val="22"/>
          <w:highlight w:val="none"/>
        </w:rPr>
        <w:t>2.6.5.5与《江苏省大气污染防治条例》相符性分析</w:t>
      </w:r>
    </w:p>
    <w:p w14:paraId="186D668D">
      <w:pPr>
        <w:adjustRightInd w:val="0"/>
        <w:snapToGrid w:val="0"/>
        <w:spacing w:line="360" w:lineRule="auto"/>
        <w:ind w:left="-105" w:right="-105" w:firstLine="480" w:firstLineChars="200"/>
        <w:jc w:val="both"/>
        <w:rPr>
          <w:rFonts w:ascii="Times New Roman" w:hAnsi="Times New Roman" w:cs="Times New Roman"/>
          <w:color w:val="auto"/>
          <w:highlight w:val="none"/>
        </w:rPr>
      </w:pPr>
      <w:r>
        <w:rPr>
          <w:rFonts w:ascii="Times New Roman" w:hAnsi="Times New Roman" w:cs="Times New Roman"/>
          <w:color w:val="auto"/>
          <w:highlight w:val="none"/>
        </w:rPr>
        <w:t>根据《江苏省大气污染防治条例》（江苏省人民代表大会公告第2号，2015年2月1日），第三十七条</w:t>
      </w:r>
      <w:r>
        <w:rPr>
          <w:rFonts w:hint="eastAsia" w:ascii="Times New Roman" w:hAnsi="Times New Roman" w:cs="Times New Roman"/>
          <w:color w:val="auto"/>
          <w:highlight w:val="none"/>
        </w:rPr>
        <w:t>“</w:t>
      </w:r>
      <w:r>
        <w:rPr>
          <w:rFonts w:ascii="Times New Roman" w:hAnsi="Times New Roman" w:cs="Times New Roman"/>
          <w:color w:val="auto"/>
          <w:highlight w:val="none"/>
        </w:rPr>
        <w:t>在生产经营过程中产生有毒有害大气污染物的，排污单位应当安装收集净化装置或者采取其他措施，达到国家和省规定的排放标准或者其他相关要求。禁止直接排放有毒有害大气污染物。</w:t>
      </w:r>
      <w:r>
        <w:rPr>
          <w:rFonts w:hint="eastAsia" w:ascii="Times New Roman" w:hAnsi="Times New Roman" w:cs="Times New Roman"/>
          <w:color w:val="auto"/>
          <w:highlight w:val="none"/>
        </w:rPr>
        <w:t>”</w:t>
      </w:r>
      <w:r>
        <w:rPr>
          <w:rFonts w:ascii="Times New Roman" w:hAnsi="Times New Roman" w:cs="Times New Roman"/>
          <w:color w:val="auto"/>
          <w:highlight w:val="none"/>
        </w:rPr>
        <w:t>，第三十八条</w:t>
      </w:r>
      <w:r>
        <w:rPr>
          <w:rFonts w:hint="eastAsia" w:ascii="Times New Roman" w:hAnsi="Times New Roman" w:cs="Times New Roman"/>
          <w:color w:val="auto"/>
          <w:highlight w:val="none"/>
        </w:rPr>
        <w:t>“</w:t>
      </w:r>
      <w:r>
        <w:rPr>
          <w:rFonts w:ascii="Times New Roman" w:hAnsi="Times New Roman" w:cs="Times New Roman"/>
          <w:color w:val="auto"/>
          <w:highlight w:val="none"/>
        </w:rPr>
        <w:t>产生挥发性有机物废气的生产经营活动，应当在密闭空间或者设备中进行，并设置废气收集和处理系统等污染防治设施，保持其正常使用；造船等无法在密闭空间进行的生产经营活动，应当采取有效措施，减少挥发性有机物排放量。石油、化工以及其他生产和使用有机溶剂的企业，应当建立泄漏检测与修复制度，对管道、设备进行日常维护、维修，及时收集处理泄漏物料。</w:t>
      </w:r>
      <w:r>
        <w:rPr>
          <w:rFonts w:hint="eastAsia" w:ascii="Times New Roman" w:hAnsi="Times New Roman" w:cs="Times New Roman"/>
          <w:color w:val="auto"/>
          <w:highlight w:val="none"/>
        </w:rPr>
        <w:t>”</w:t>
      </w:r>
    </w:p>
    <w:p w14:paraId="09851B88">
      <w:pPr>
        <w:adjustRightInd w:val="0"/>
        <w:snapToGrid w:val="0"/>
        <w:spacing w:line="360" w:lineRule="auto"/>
        <w:ind w:left="-105" w:right="-105" w:firstLine="480" w:firstLineChars="200"/>
        <w:jc w:val="both"/>
        <w:rPr>
          <w:rFonts w:ascii="Times New Roman" w:hAnsi="Times New Roman" w:cs="Times New Roman"/>
          <w:color w:val="auto"/>
          <w:highlight w:val="none"/>
        </w:rPr>
      </w:pPr>
      <w:r>
        <w:rPr>
          <w:rFonts w:ascii="Times New Roman" w:hAnsi="Times New Roman" w:cs="Times New Roman"/>
          <w:color w:val="auto"/>
          <w:highlight w:val="none"/>
        </w:rPr>
        <w:t>本项目均在车间内进行，产生的废气均配备收集、处理设施，处理后达标排放，故本项目的生产运营符合该条例的要求。</w:t>
      </w:r>
    </w:p>
    <w:p w14:paraId="2E6AD8E3">
      <w:pPr>
        <w:pStyle w:val="97"/>
        <w:keepNext/>
        <w:tabs>
          <w:tab w:val="left" w:pos="0"/>
          <w:tab w:val="left" w:pos="2550"/>
        </w:tabs>
        <w:spacing w:before="120" w:beforeLines="50" w:after="120" w:afterLines="50" w:line="360" w:lineRule="auto"/>
        <w:ind w:left="-105" w:right="-105" w:firstLine="0" w:firstLineChars="0"/>
        <w:outlineLvl w:val="3"/>
        <w:rPr>
          <w:rFonts w:eastAsia="宋体"/>
          <w:b/>
          <w:bCs/>
          <w:color w:val="auto"/>
          <w:sz w:val="24"/>
          <w:szCs w:val="22"/>
          <w:highlight w:val="none"/>
        </w:rPr>
      </w:pPr>
      <w:r>
        <w:rPr>
          <w:rFonts w:eastAsia="宋体"/>
          <w:b/>
          <w:bCs/>
          <w:color w:val="auto"/>
          <w:sz w:val="24"/>
          <w:szCs w:val="22"/>
          <w:highlight w:val="none"/>
        </w:rPr>
        <w:t>2.6.5.</w:t>
      </w:r>
      <w:r>
        <w:rPr>
          <w:rFonts w:hint="eastAsia" w:eastAsia="宋体"/>
          <w:b/>
          <w:bCs/>
          <w:color w:val="auto"/>
          <w:sz w:val="24"/>
          <w:szCs w:val="22"/>
          <w:highlight w:val="none"/>
        </w:rPr>
        <w:t>6</w:t>
      </w:r>
      <w:r>
        <w:rPr>
          <w:rFonts w:eastAsia="宋体"/>
          <w:b/>
          <w:bCs/>
          <w:color w:val="auto"/>
          <w:sz w:val="24"/>
          <w:szCs w:val="22"/>
          <w:highlight w:val="none"/>
        </w:rPr>
        <w:t>与《江苏省挥发性有机物污染防治管理办法》（省政府令第119号）相符性分析</w:t>
      </w:r>
    </w:p>
    <w:p w14:paraId="1273A219">
      <w:pPr>
        <w:adjustRightInd w:val="0"/>
        <w:snapToGrid w:val="0"/>
        <w:spacing w:line="360" w:lineRule="auto"/>
        <w:ind w:left="-105" w:right="-105" w:firstLine="480" w:firstLineChars="200"/>
        <w:jc w:val="both"/>
        <w:rPr>
          <w:rFonts w:ascii="Times New Roman" w:hAnsi="Times New Roman" w:cs="Times New Roman"/>
          <w:color w:val="auto"/>
          <w:szCs w:val="21"/>
          <w:highlight w:val="none"/>
        </w:rPr>
      </w:pPr>
      <w:r>
        <w:rPr>
          <w:rFonts w:ascii="Times New Roman" w:hAnsi="Times New Roman" w:cs="Times New Roman"/>
          <w:color w:val="auto"/>
          <w:szCs w:val="21"/>
          <w:highlight w:val="none"/>
        </w:rPr>
        <w:t>对照《江苏省挥发性有机物污染防治管理办法》（省政府令第119号）分析如下：</w:t>
      </w:r>
    </w:p>
    <w:p w14:paraId="4E53B43C">
      <w:pPr>
        <w:adjustRightInd w:val="0"/>
        <w:snapToGrid w:val="0"/>
        <w:spacing w:line="360" w:lineRule="auto"/>
        <w:ind w:left="-105" w:right="-105" w:firstLine="480" w:firstLineChars="200"/>
        <w:jc w:val="both"/>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w:t>
      </w:r>
      <w:r>
        <w:rPr>
          <w:rFonts w:ascii="Times New Roman" w:hAnsi="Times New Roman" w:cs="Times New Roman"/>
          <w:color w:val="auto"/>
          <w:szCs w:val="21"/>
          <w:highlight w:val="none"/>
        </w:rPr>
        <w:t>产生挥发性有机物废气的生产经营活动应当在密闭空间或者密闭设备中进行。生产场所、生产设备应当按照环境保护和安全生产等要求设计、安装和有效运行挥发性有机物回收或者净化设施；固体废物、废水、废气处理系统产生的废气应当收集和处理；含有挥发性有机物的物料应当密闭储存、运输、装卸，禁止敞口和露天放置。</w:t>
      </w:r>
      <w:r>
        <w:rPr>
          <w:rFonts w:hint="eastAsia" w:ascii="Times New Roman" w:hAnsi="Times New Roman" w:cs="Times New Roman"/>
          <w:color w:val="auto"/>
          <w:szCs w:val="21"/>
          <w:highlight w:val="none"/>
        </w:rPr>
        <w:t>”</w:t>
      </w:r>
    </w:p>
    <w:p w14:paraId="59BDAC12">
      <w:pPr>
        <w:adjustRightInd w:val="0"/>
        <w:snapToGrid w:val="0"/>
        <w:spacing w:line="360" w:lineRule="auto"/>
        <w:ind w:left="-105" w:right="-105" w:firstLine="480" w:firstLineChars="200"/>
        <w:jc w:val="both"/>
        <w:rPr>
          <w:rFonts w:ascii="Times New Roman" w:hAnsi="Times New Roman" w:cs="Times New Roman"/>
          <w:color w:val="auto"/>
          <w:szCs w:val="21"/>
          <w:highlight w:val="none"/>
          <w:shd w:val="clear" w:color="FFFFFF" w:fill="D9D9D9"/>
        </w:rPr>
      </w:pPr>
      <w:r>
        <w:rPr>
          <w:rFonts w:ascii="Times New Roman" w:hAnsi="Times New Roman" w:cs="Times New Roman"/>
          <w:color w:val="auto"/>
          <w:szCs w:val="21"/>
          <w:highlight w:val="none"/>
        </w:rPr>
        <w:t>本项目生产线</w:t>
      </w:r>
      <w:r>
        <w:rPr>
          <w:rFonts w:hint="eastAsia" w:ascii="Times New Roman" w:hAnsi="Times New Roman" w:cs="Times New Roman"/>
          <w:color w:val="auto"/>
          <w:szCs w:val="21"/>
          <w:highlight w:val="none"/>
        </w:rPr>
        <w:t>基本</w:t>
      </w:r>
      <w:r>
        <w:rPr>
          <w:rFonts w:ascii="Times New Roman" w:hAnsi="Times New Roman" w:cs="Times New Roman"/>
          <w:color w:val="auto"/>
          <w:szCs w:val="21"/>
          <w:highlight w:val="none"/>
        </w:rPr>
        <w:t>使用自动化技术，产生有机废气的工段均位于密闭车间中或收集效率均可达90%以上。产生挥发性有机物废气的固体废物采用</w:t>
      </w:r>
      <w:r>
        <w:rPr>
          <w:rFonts w:hint="eastAsia" w:ascii="Times New Roman" w:hAnsi="Times New Roman" w:cs="Times New Roman"/>
          <w:color w:val="auto"/>
          <w:szCs w:val="21"/>
          <w:highlight w:val="none"/>
        </w:rPr>
        <w:t>密闭容器</w:t>
      </w:r>
      <w:r>
        <w:rPr>
          <w:rFonts w:ascii="Times New Roman" w:hAnsi="Times New Roman" w:cs="Times New Roman"/>
          <w:color w:val="auto"/>
          <w:szCs w:val="21"/>
          <w:highlight w:val="none"/>
        </w:rPr>
        <w:t>贮存，定期委托资质单位处置，废气经合理收集处理后达标排放。含有挥发性有机物的物料采用桶装方式贮存、运输、装卸，企业将建立巡查制度，杜绝含挥发性有机物物料敞口、露天放置现象。</w:t>
      </w:r>
    </w:p>
    <w:p w14:paraId="5C808094">
      <w:pPr>
        <w:adjustRightInd w:val="0"/>
        <w:snapToGrid w:val="0"/>
        <w:spacing w:line="360" w:lineRule="auto"/>
        <w:ind w:left="-105" w:right="-105" w:firstLine="480" w:firstLineChars="200"/>
        <w:jc w:val="both"/>
        <w:rPr>
          <w:rFonts w:ascii="Times New Roman" w:hAnsi="Times New Roman" w:cs="Times New Roman"/>
          <w:color w:val="auto"/>
          <w:szCs w:val="21"/>
          <w:highlight w:val="none"/>
        </w:rPr>
      </w:pPr>
      <w:r>
        <w:rPr>
          <w:rFonts w:ascii="Times New Roman" w:hAnsi="Times New Roman" w:cs="Times New Roman"/>
          <w:color w:val="auto"/>
          <w:szCs w:val="21"/>
          <w:highlight w:val="none"/>
        </w:rPr>
        <w:t>因此，本项目符合《江苏省挥发性有机物污染防治管理办法》（省政府令第119号）要求。</w:t>
      </w:r>
    </w:p>
    <w:p w14:paraId="119D2346">
      <w:pPr>
        <w:pStyle w:val="97"/>
        <w:keepNext/>
        <w:tabs>
          <w:tab w:val="left" w:pos="0"/>
          <w:tab w:val="left" w:pos="2550"/>
        </w:tabs>
        <w:spacing w:before="120" w:beforeLines="50" w:after="120" w:afterLines="50" w:line="360" w:lineRule="auto"/>
        <w:ind w:left="-105" w:right="-105" w:firstLine="0" w:firstLineChars="0"/>
        <w:outlineLvl w:val="3"/>
        <w:rPr>
          <w:rFonts w:eastAsia="宋体"/>
          <w:b/>
          <w:bCs/>
          <w:color w:val="auto"/>
          <w:sz w:val="24"/>
          <w:szCs w:val="22"/>
          <w:highlight w:val="none"/>
        </w:rPr>
      </w:pPr>
      <w:r>
        <w:rPr>
          <w:rFonts w:eastAsia="宋体"/>
          <w:b/>
          <w:bCs/>
          <w:color w:val="auto"/>
          <w:sz w:val="24"/>
          <w:szCs w:val="22"/>
          <w:highlight w:val="none"/>
        </w:rPr>
        <w:t>2.6.5.</w:t>
      </w:r>
      <w:r>
        <w:rPr>
          <w:rFonts w:hint="eastAsia" w:eastAsia="宋体"/>
          <w:b/>
          <w:bCs/>
          <w:color w:val="auto"/>
          <w:sz w:val="24"/>
          <w:szCs w:val="22"/>
          <w:highlight w:val="none"/>
        </w:rPr>
        <w:t>7与</w:t>
      </w:r>
      <w:r>
        <w:rPr>
          <w:rFonts w:eastAsia="宋体"/>
          <w:b/>
          <w:bCs/>
          <w:color w:val="auto"/>
          <w:sz w:val="24"/>
          <w:szCs w:val="22"/>
          <w:highlight w:val="none"/>
        </w:rPr>
        <w:t>《关于印发江苏省重点行业挥发性有机物污染控制指南的通知》（苏环办[2014]128号）相符性分析</w:t>
      </w:r>
    </w:p>
    <w:p w14:paraId="53DEB13C">
      <w:pPr>
        <w:adjustRightInd w:val="0"/>
        <w:snapToGrid w:val="0"/>
        <w:spacing w:line="360" w:lineRule="auto"/>
        <w:ind w:left="-105" w:right="-105" w:firstLine="480" w:firstLineChars="200"/>
        <w:jc w:val="both"/>
        <w:rPr>
          <w:rFonts w:ascii="Times New Roman" w:hAnsi="Times New Roman" w:cs="Times New Roman"/>
          <w:color w:val="auto"/>
          <w:szCs w:val="22"/>
          <w:highlight w:val="none"/>
        </w:rPr>
      </w:pPr>
      <w:r>
        <w:rPr>
          <w:rFonts w:ascii="Times New Roman" w:hAnsi="Times New Roman" w:cs="Times New Roman"/>
          <w:color w:val="auto"/>
          <w:szCs w:val="22"/>
          <w:highlight w:val="none"/>
        </w:rPr>
        <w:t>对照《关于印发江苏省重点行业挥发性有机物污染控制指南的通知》（苏环办[2014]128号）</w:t>
      </w:r>
      <w:r>
        <w:rPr>
          <w:rFonts w:hint="eastAsia" w:ascii="Times New Roman" w:hAnsi="Times New Roman" w:cs="Times New Roman"/>
          <w:color w:val="auto"/>
          <w:szCs w:val="22"/>
          <w:highlight w:val="none"/>
        </w:rPr>
        <w:t>“</w:t>
      </w:r>
      <w:r>
        <w:rPr>
          <w:rFonts w:ascii="Times New Roman" w:hAnsi="Times New Roman" w:cs="Times New Roman"/>
          <w:color w:val="auto"/>
          <w:szCs w:val="22"/>
          <w:highlight w:val="none"/>
        </w:rPr>
        <w:t>所有产生有机废气污染的企业，应优先采用环保型原辅料、生产工艺和装备，对相应生产单元或设施进行密闭，从源头控制VOCs的产生，減少废气污染物排放。（二）鼓励对排放的VOCs进行回收利用，并优先在生系统内回用。对浓度、性状差异较大的废气应分类收集，并采用适宜的方式进行有效处理，确保VOCs总去除率满足管理要求，其中有机化工、医药化工、橡胶和塑料制品（有溶剂、浸胶工艺）、溶剂型涂料表面涂装、包装印刷业的VOCs总收集、净化处理率均不低于90%，其他行业原则上不低于75%。</w:t>
      </w:r>
      <w:r>
        <w:rPr>
          <w:rFonts w:hint="eastAsia" w:ascii="Times New Roman" w:hAnsi="Times New Roman" w:cs="Times New Roman"/>
          <w:color w:val="auto"/>
          <w:szCs w:val="22"/>
          <w:highlight w:val="none"/>
        </w:rPr>
        <w:t>”</w:t>
      </w:r>
    </w:p>
    <w:p w14:paraId="1B07E079">
      <w:pPr>
        <w:adjustRightInd w:val="0"/>
        <w:snapToGrid w:val="0"/>
        <w:spacing w:line="360" w:lineRule="auto"/>
        <w:ind w:left="-105" w:right="-105" w:firstLine="480" w:firstLineChars="200"/>
        <w:jc w:val="both"/>
        <w:rPr>
          <w:rFonts w:ascii="Times New Roman" w:hAnsi="Times New Roman" w:cs="Times New Roman"/>
          <w:color w:val="auto"/>
          <w:szCs w:val="21"/>
          <w:highlight w:val="none"/>
        </w:rPr>
      </w:pPr>
      <w:r>
        <w:rPr>
          <w:rFonts w:ascii="Times New Roman" w:hAnsi="Times New Roman" w:cs="Times New Roman"/>
          <w:color w:val="auto"/>
          <w:szCs w:val="21"/>
          <w:highlight w:val="none"/>
        </w:rPr>
        <w:t>本项目属于</w:t>
      </w:r>
      <w:r>
        <w:rPr>
          <w:rFonts w:hint="eastAsia" w:ascii="Times New Roman" w:hAnsi="Times New Roman" w:cs="Times New Roman"/>
          <w:color w:val="auto"/>
          <w:szCs w:val="21"/>
          <w:highlight w:val="none"/>
        </w:rPr>
        <w:t>C3985电子专用材料制造</w:t>
      </w:r>
      <w:r>
        <w:rPr>
          <w:rFonts w:ascii="Times New Roman" w:hAnsi="Times New Roman" w:cs="Times New Roman"/>
          <w:color w:val="auto"/>
          <w:szCs w:val="21"/>
          <w:highlight w:val="none"/>
        </w:rPr>
        <w:t>，生产过程中不使用溶剂型涂料、油墨</w:t>
      </w:r>
      <w:r>
        <w:rPr>
          <w:rFonts w:hint="eastAsia" w:ascii="Times New Roman" w:hAnsi="Times New Roman" w:cs="Times New Roman"/>
          <w:color w:val="auto"/>
          <w:highlight w:val="none"/>
        </w:rPr>
        <w:t>、胶粘剂、清洗剂</w:t>
      </w:r>
      <w:r>
        <w:rPr>
          <w:rFonts w:ascii="Times New Roman" w:hAnsi="Times New Roman" w:cs="Times New Roman"/>
          <w:color w:val="auto"/>
          <w:szCs w:val="21"/>
          <w:highlight w:val="none"/>
        </w:rPr>
        <w:t>等高VOCs含量的原料，</w:t>
      </w:r>
      <w:r>
        <w:rPr>
          <w:rFonts w:ascii="Times New Roman" w:hAnsi="Times New Roman" w:cs="Times New Roman"/>
          <w:color w:val="auto"/>
          <w:szCs w:val="21"/>
          <w:highlight w:val="none"/>
        </w:rPr>
        <w:t>本项目</w:t>
      </w:r>
      <w:r>
        <w:rPr>
          <w:rFonts w:hint="eastAsia" w:ascii="Times New Roman" w:hAnsi="Times New Roman" w:cs="Times New Roman"/>
          <w:color w:val="auto"/>
          <w:szCs w:val="21"/>
          <w:highlight w:val="none"/>
        </w:rPr>
        <w:t>生产车间和实验室产生的</w:t>
      </w:r>
      <w:r>
        <w:rPr>
          <w:rFonts w:ascii="Times New Roman" w:hAnsi="Times New Roman" w:cs="Times New Roman"/>
          <w:color w:val="auto"/>
          <w:szCs w:val="21"/>
          <w:highlight w:val="none"/>
        </w:rPr>
        <w:t>废气</w:t>
      </w:r>
      <w:r>
        <w:rPr>
          <w:rFonts w:hint="eastAsia" w:ascii="Times New Roman" w:hAnsi="Times New Roman" w:cs="Times New Roman"/>
          <w:color w:val="auto"/>
          <w:szCs w:val="21"/>
          <w:highlight w:val="none"/>
        </w:rPr>
        <w:t>分别</w:t>
      </w:r>
      <w:r>
        <w:rPr>
          <w:rFonts w:ascii="Times New Roman" w:hAnsi="Times New Roman" w:cs="Times New Roman"/>
          <w:color w:val="auto"/>
          <w:szCs w:val="21"/>
          <w:highlight w:val="none"/>
        </w:rPr>
        <w:t>经</w:t>
      </w:r>
      <w:r>
        <w:rPr>
          <w:rFonts w:hint="eastAsia" w:ascii="Times New Roman" w:hAnsi="Times New Roman" w:cs="Times New Roman"/>
          <w:color w:val="auto"/>
          <w:szCs w:val="21"/>
          <w:highlight w:val="none"/>
        </w:rPr>
        <w:t>3级碱液喷淋+</w:t>
      </w:r>
      <w:r>
        <w:rPr>
          <w:rFonts w:ascii="Times New Roman" w:hAnsi="Times New Roman" w:cs="Times New Roman"/>
          <w:color w:val="auto"/>
          <w:szCs w:val="21"/>
          <w:highlight w:val="none"/>
        </w:rPr>
        <w:t>二级活性炭</w:t>
      </w:r>
      <w:r>
        <w:rPr>
          <w:rFonts w:hint="eastAsia" w:ascii="Times New Roman" w:hAnsi="Times New Roman" w:cs="Times New Roman"/>
          <w:color w:val="auto"/>
          <w:szCs w:val="21"/>
          <w:highlight w:val="none"/>
          <w:lang w:val="en-US" w:eastAsia="zh-CN"/>
        </w:rPr>
        <w:t>吸附装置</w:t>
      </w:r>
      <w:r>
        <w:rPr>
          <w:rFonts w:ascii="Times New Roman" w:hAnsi="Times New Roman" w:cs="Times New Roman"/>
          <w:color w:val="auto"/>
          <w:szCs w:val="21"/>
          <w:highlight w:val="none"/>
        </w:rPr>
        <w:t>处理</w:t>
      </w:r>
      <w:r>
        <w:rPr>
          <w:rFonts w:hint="eastAsia" w:ascii="Times New Roman" w:hAnsi="Times New Roman" w:cs="Times New Roman"/>
          <w:color w:val="auto"/>
          <w:szCs w:val="21"/>
          <w:highlight w:val="none"/>
        </w:rPr>
        <w:t>和</w:t>
      </w:r>
      <w:r>
        <w:rPr>
          <w:rFonts w:ascii="Times New Roman" w:hAnsi="Times New Roman" w:cs="Times New Roman"/>
          <w:color w:val="auto"/>
          <w:szCs w:val="21"/>
          <w:highlight w:val="none"/>
        </w:rPr>
        <w:t>二级活性炭</w:t>
      </w:r>
      <w:r>
        <w:rPr>
          <w:rFonts w:hint="eastAsia" w:ascii="Times New Roman" w:hAnsi="Times New Roman" w:cs="Times New Roman"/>
          <w:color w:val="auto"/>
          <w:szCs w:val="21"/>
          <w:highlight w:val="none"/>
          <w:lang w:val="en-US" w:eastAsia="zh-CN"/>
        </w:rPr>
        <w:t>吸附装置</w:t>
      </w:r>
      <w:r>
        <w:rPr>
          <w:rFonts w:ascii="Times New Roman" w:hAnsi="Times New Roman" w:cs="Times New Roman"/>
          <w:color w:val="auto"/>
          <w:szCs w:val="21"/>
          <w:highlight w:val="none"/>
        </w:rPr>
        <w:t>处理后，</w:t>
      </w:r>
      <w:r>
        <w:rPr>
          <w:rFonts w:hint="eastAsia" w:ascii="Times New Roman" w:hAnsi="Times New Roman" w:cs="Times New Roman"/>
          <w:color w:val="auto"/>
          <w:szCs w:val="21"/>
          <w:highlight w:val="none"/>
        </w:rPr>
        <w:t>分别</w:t>
      </w:r>
      <w:r>
        <w:rPr>
          <w:rFonts w:ascii="Times New Roman" w:hAnsi="Times New Roman" w:cs="Times New Roman"/>
          <w:color w:val="auto"/>
          <w:szCs w:val="21"/>
          <w:highlight w:val="none"/>
        </w:rPr>
        <w:t>通过</w:t>
      </w:r>
      <w:r>
        <w:rPr>
          <w:rFonts w:hint="eastAsia" w:ascii="Times New Roman" w:hAnsi="Times New Roman" w:cs="Times New Roman"/>
          <w:color w:val="auto"/>
          <w:szCs w:val="21"/>
          <w:highlight w:val="none"/>
        </w:rPr>
        <w:t>20m、</w:t>
      </w:r>
      <w:r>
        <w:rPr>
          <w:rFonts w:ascii="Times New Roman" w:hAnsi="Times New Roman" w:cs="Times New Roman"/>
          <w:color w:val="auto"/>
          <w:szCs w:val="21"/>
          <w:highlight w:val="none"/>
        </w:rPr>
        <w:t>15m高排气筒有组织排放，收集、去除率均达到90%以上。</w:t>
      </w:r>
    </w:p>
    <w:p w14:paraId="3253713F">
      <w:pPr>
        <w:adjustRightInd w:val="0"/>
        <w:snapToGrid w:val="0"/>
        <w:spacing w:line="360" w:lineRule="auto"/>
        <w:ind w:left="-105" w:right="-105" w:firstLine="480" w:firstLineChars="200"/>
        <w:jc w:val="both"/>
        <w:rPr>
          <w:rFonts w:ascii="Times New Roman" w:hAnsi="Times New Roman" w:cs="Times New Roman"/>
          <w:color w:val="auto"/>
          <w:szCs w:val="21"/>
          <w:highlight w:val="none"/>
        </w:rPr>
      </w:pPr>
      <w:r>
        <w:rPr>
          <w:rFonts w:ascii="Times New Roman" w:hAnsi="Times New Roman" w:cs="Times New Roman"/>
          <w:color w:val="auto"/>
          <w:szCs w:val="21"/>
          <w:highlight w:val="none"/>
        </w:rPr>
        <w:t>因此本项目符合《关于印发江苏省重点行业挥发性有机物污染控制指南的通知》（苏环办[2014]128号）要求。</w:t>
      </w:r>
    </w:p>
    <w:p w14:paraId="378426BE">
      <w:pPr>
        <w:pStyle w:val="97"/>
        <w:keepNext/>
        <w:tabs>
          <w:tab w:val="left" w:pos="0"/>
          <w:tab w:val="left" w:pos="2550"/>
        </w:tabs>
        <w:spacing w:before="120" w:beforeLines="50" w:after="120" w:afterLines="50" w:line="360" w:lineRule="auto"/>
        <w:ind w:left="-105" w:right="-105" w:firstLine="0" w:firstLineChars="0"/>
        <w:outlineLvl w:val="3"/>
        <w:rPr>
          <w:rFonts w:eastAsia="宋体"/>
          <w:b/>
          <w:bCs/>
          <w:color w:val="auto"/>
          <w:sz w:val="24"/>
          <w:szCs w:val="22"/>
          <w:highlight w:val="none"/>
        </w:rPr>
      </w:pPr>
      <w:r>
        <w:rPr>
          <w:rFonts w:eastAsia="宋体"/>
          <w:b/>
          <w:bCs/>
          <w:color w:val="auto"/>
          <w:sz w:val="24"/>
          <w:szCs w:val="22"/>
          <w:highlight w:val="none"/>
        </w:rPr>
        <w:t>2.6.5.</w:t>
      </w:r>
      <w:r>
        <w:rPr>
          <w:rFonts w:hint="eastAsia" w:eastAsia="宋体"/>
          <w:b/>
          <w:bCs/>
          <w:color w:val="auto"/>
          <w:sz w:val="24"/>
          <w:szCs w:val="22"/>
          <w:highlight w:val="none"/>
        </w:rPr>
        <w:t>8</w:t>
      </w:r>
      <w:r>
        <w:rPr>
          <w:rFonts w:eastAsia="宋体"/>
          <w:b/>
          <w:bCs/>
          <w:color w:val="auto"/>
          <w:sz w:val="24"/>
          <w:szCs w:val="22"/>
          <w:highlight w:val="none"/>
        </w:rPr>
        <w:t>与《重点行业挥发性有机物综合治理方案》（环大气[2019]53号）相符性分析</w:t>
      </w:r>
    </w:p>
    <w:p w14:paraId="3892290D">
      <w:pPr>
        <w:adjustRightInd w:val="0"/>
        <w:snapToGrid w:val="0"/>
        <w:spacing w:line="360" w:lineRule="auto"/>
        <w:ind w:left="-105" w:right="-105" w:firstLine="480" w:firstLineChars="200"/>
        <w:jc w:val="both"/>
        <w:rPr>
          <w:rFonts w:ascii="Times New Roman" w:hAnsi="Times New Roman" w:cs="Times New Roman"/>
          <w:color w:val="auto"/>
          <w:szCs w:val="21"/>
          <w:highlight w:val="none"/>
        </w:rPr>
      </w:pPr>
      <w:r>
        <w:rPr>
          <w:rFonts w:ascii="Times New Roman" w:hAnsi="Times New Roman" w:cs="Times New Roman"/>
          <w:color w:val="auto"/>
          <w:szCs w:val="21"/>
          <w:highlight w:val="none"/>
        </w:rPr>
        <w:t>对照《重点行业挥发性有机物综合治理方案》（环大气[2019]53号）</w:t>
      </w:r>
      <w:r>
        <w:rPr>
          <w:rFonts w:hint="eastAsia" w:ascii="Times New Roman" w:hAnsi="Times New Roman" w:cs="Times New Roman"/>
          <w:color w:val="auto"/>
          <w:szCs w:val="21"/>
          <w:highlight w:val="none"/>
        </w:rPr>
        <w:t>“</w:t>
      </w:r>
      <w:r>
        <w:rPr>
          <w:rFonts w:ascii="Times New Roman" w:hAnsi="Times New Roman" w:cs="Times New Roman"/>
          <w:color w:val="auto"/>
          <w:szCs w:val="21"/>
          <w:highlight w:val="none"/>
        </w:rPr>
        <w:t>三、控制思路与要求、（一）大力推进源头替代。通过使用水性、粉末、高固体分、无溶剂、辐射固化等低VOCs含量的涂料，水性、辐射固化、植物基等低VOCs含量的油墨，水基、热熔、无溶剂、辐射固化、改性、生物降解等低VOCs含量的胶粘剂，以及低VOCs含量、低反应活性的清洗剂等，替代溶剂型涂料、油墨、胶粘剂、清洗剂等，从源头减少VOCs产生。工业涂装、包装印刷等行业要加大源头替代力度；化工行业要推广使用低（无）VOCs含量、低反应活性的原辅材料，加快对芳香烃、含卤素有机化合物的绿色替代。企业应大力推广使用低VOCs含量木器涂料、车辆涂料、机械设备涂料、集装箱涂料以及建筑物和构筑物防护涂料等，在技术成熟的行业，推广使用低VOCs含量油墨和胶粘剂，重点区域到2020年年底前基本完成。鼓励加快低VOCs含量涂料、油墨、胶粘剂等研发和生产。</w:t>
      </w:r>
      <w:r>
        <w:rPr>
          <w:rFonts w:hint="eastAsia" w:ascii="Times New Roman" w:hAnsi="Times New Roman" w:cs="Times New Roman"/>
          <w:color w:val="auto"/>
          <w:szCs w:val="21"/>
          <w:highlight w:val="none"/>
        </w:rPr>
        <w:t>”</w:t>
      </w:r>
    </w:p>
    <w:p w14:paraId="48166582">
      <w:pPr>
        <w:adjustRightInd w:val="0"/>
        <w:snapToGrid w:val="0"/>
        <w:spacing w:line="360" w:lineRule="auto"/>
        <w:ind w:left="-105" w:right="-105" w:firstLine="480" w:firstLineChars="200"/>
        <w:jc w:val="both"/>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w:t>
      </w:r>
      <w:r>
        <w:rPr>
          <w:rFonts w:ascii="Times New Roman" w:hAnsi="Times New Roman" w:cs="Times New Roman"/>
          <w:color w:val="auto"/>
          <w:szCs w:val="21"/>
          <w:highlight w:val="none"/>
        </w:rPr>
        <w:t>加强政策引导。企业采用符合国家有关低VOCs含量产品规定的涂料、油墨、胶粘剂等，排放浓度稳定达标且排放速率、排放绩效等满足相关规定的，相应生产工序可不要求建设末端治理设施。使用的原辅材料VOCs含量（质量比）低于10%的工序，可不要求采取无组织排放收集措施。</w:t>
      </w:r>
      <w:r>
        <w:rPr>
          <w:rFonts w:hint="eastAsia" w:ascii="Times New Roman" w:hAnsi="Times New Roman" w:cs="Times New Roman"/>
          <w:color w:val="auto"/>
          <w:szCs w:val="21"/>
          <w:highlight w:val="none"/>
        </w:rPr>
        <w:t>”</w:t>
      </w:r>
    </w:p>
    <w:p w14:paraId="129B42DB">
      <w:pPr>
        <w:adjustRightInd w:val="0"/>
        <w:snapToGrid w:val="0"/>
        <w:spacing w:line="360" w:lineRule="auto"/>
        <w:ind w:left="-105" w:right="-105" w:firstLine="480" w:firstLineChars="200"/>
        <w:jc w:val="both"/>
        <w:rPr>
          <w:rFonts w:ascii="Times New Roman" w:hAnsi="Times New Roman" w:cs="Times New Roman"/>
          <w:color w:val="auto"/>
          <w:szCs w:val="21"/>
          <w:highlight w:val="none"/>
        </w:rPr>
      </w:pPr>
      <w:r>
        <w:rPr>
          <w:rFonts w:ascii="Times New Roman" w:hAnsi="Times New Roman" w:cs="Times New Roman"/>
          <w:color w:val="auto"/>
          <w:szCs w:val="21"/>
          <w:highlight w:val="none"/>
        </w:rPr>
        <w:t>本项目属于</w:t>
      </w:r>
      <w:r>
        <w:rPr>
          <w:rFonts w:hint="eastAsia" w:ascii="Times New Roman" w:hAnsi="Times New Roman" w:cs="Times New Roman"/>
          <w:color w:val="auto"/>
          <w:szCs w:val="21"/>
          <w:highlight w:val="none"/>
        </w:rPr>
        <w:t>C3985电子专用材料制造</w:t>
      </w:r>
      <w:r>
        <w:rPr>
          <w:rFonts w:ascii="Times New Roman" w:hAnsi="Times New Roman" w:cs="Times New Roman"/>
          <w:color w:val="auto"/>
          <w:szCs w:val="21"/>
          <w:highlight w:val="none"/>
        </w:rPr>
        <w:t>，生产过程中不使用溶剂型涂料、油墨</w:t>
      </w:r>
      <w:r>
        <w:rPr>
          <w:rFonts w:hint="eastAsia" w:ascii="Times New Roman" w:hAnsi="Times New Roman" w:cs="Times New Roman"/>
          <w:color w:val="auto"/>
          <w:highlight w:val="none"/>
        </w:rPr>
        <w:t>、清洗剂</w:t>
      </w:r>
      <w:r>
        <w:rPr>
          <w:rFonts w:ascii="Times New Roman" w:hAnsi="Times New Roman" w:cs="Times New Roman"/>
          <w:color w:val="auto"/>
          <w:szCs w:val="21"/>
          <w:highlight w:val="none"/>
        </w:rPr>
        <w:t>等高VOCs含量的原料，</w:t>
      </w:r>
      <w:r>
        <w:rPr>
          <w:rFonts w:ascii="Times New Roman" w:hAnsi="Times New Roman" w:cs="Times New Roman"/>
          <w:color w:val="auto"/>
          <w:szCs w:val="21"/>
          <w:highlight w:val="none"/>
        </w:rPr>
        <w:t>本项目</w:t>
      </w:r>
      <w:r>
        <w:rPr>
          <w:rFonts w:hint="eastAsia" w:ascii="Times New Roman" w:hAnsi="Times New Roman" w:cs="Times New Roman"/>
          <w:color w:val="auto"/>
          <w:szCs w:val="21"/>
          <w:highlight w:val="none"/>
        </w:rPr>
        <w:t>生产车间和实验室产生的</w:t>
      </w:r>
      <w:r>
        <w:rPr>
          <w:rFonts w:ascii="Times New Roman" w:hAnsi="Times New Roman" w:cs="Times New Roman"/>
          <w:color w:val="auto"/>
          <w:szCs w:val="21"/>
          <w:highlight w:val="none"/>
        </w:rPr>
        <w:t>废气</w:t>
      </w:r>
      <w:r>
        <w:rPr>
          <w:rFonts w:hint="eastAsia" w:ascii="Times New Roman" w:hAnsi="Times New Roman" w:cs="Times New Roman"/>
          <w:color w:val="auto"/>
          <w:szCs w:val="21"/>
          <w:highlight w:val="none"/>
        </w:rPr>
        <w:t>分别</w:t>
      </w:r>
      <w:r>
        <w:rPr>
          <w:rFonts w:ascii="Times New Roman" w:hAnsi="Times New Roman" w:cs="Times New Roman"/>
          <w:color w:val="auto"/>
          <w:szCs w:val="21"/>
          <w:highlight w:val="none"/>
        </w:rPr>
        <w:t>经</w:t>
      </w:r>
      <w:r>
        <w:rPr>
          <w:rFonts w:hint="eastAsia" w:ascii="Times New Roman" w:hAnsi="Times New Roman" w:cs="Times New Roman"/>
          <w:color w:val="auto"/>
          <w:szCs w:val="21"/>
          <w:highlight w:val="none"/>
        </w:rPr>
        <w:t>3级碱液喷淋+</w:t>
      </w:r>
      <w:r>
        <w:rPr>
          <w:rFonts w:ascii="Times New Roman" w:hAnsi="Times New Roman" w:cs="Times New Roman"/>
          <w:color w:val="auto"/>
          <w:szCs w:val="21"/>
          <w:highlight w:val="none"/>
        </w:rPr>
        <w:t>二级活性炭</w:t>
      </w:r>
      <w:r>
        <w:rPr>
          <w:rFonts w:hint="eastAsia" w:ascii="Times New Roman" w:hAnsi="Times New Roman" w:cs="Times New Roman"/>
          <w:color w:val="auto"/>
          <w:szCs w:val="21"/>
          <w:highlight w:val="none"/>
          <w:lang w:val="en-US" w:eastAsia="zh-CN"/>
        </w:rPr>
        <w:t>吸附装置</w:t>
      </w:r>
      <w:r>
        <w:rPr>
          <w:rFonts w:ascii="Times New Roman" w:hAnsi="Times New Roman" w:cs="Times New Roman"/>
          <w:color w:val="auto"/>
          <w:szCs w:val="21"/>
          <w:highlight w:val="none"/>
        </w:rPr>
        <w:t>处理</w:t>
      </w:r>
      <w:r>
        <w:rPr>
          <w:rFonts w:hint="eastAsia" w:ascii="Times New Roman" w:hAnsi="Times New Roman" w:cs="Times New Roman"/>
          <w:color w:val="auto"/>
          <w:szCs w:val="21"/>
          <w:highlight w:val="none"/>
        </w:rPr>
        <w:t>和</w:t>
      </w:r>
      <w:r>
        <w:rPr>
          <w:rFonts w:ascii="Times New Roman" w:hAnsi="Times New Roman" w:cs="Times New Roman"/>
          <w:color w:val="auto"/>
          <w:szCs w:val="21"/>
          <w:highlight w:val="none"/>
        </w:rPr>
        <w:t>二级活性炭</w:t>
      </w:r>
      <w:r>
        <w:rPr>
          <w:rFonts w:hint="eastAsia" w:ascii="Times New Roman" w:hAnsi="Times New Roman" w:cs="Times New Roman"/>
          <w:color w:val="auto"/>
          <w:szCs w:val="21"/>
          <w:highlight w:val="none"/>
          <w:lang w:val="en-US" w:eastAsia="zh-CN"/>
        </w:rPr>
        <w:t>吸附装置</w:t>
      </w:r>
      <w:r>
        <w:rPr>
          <w:rFonts w:ascii="Times New Roman" w:hAnsi="Times New Roman" w:cs="Times New Roman"/>
          <w:color w:val="auto"/>
          <w:szCs w:val="21"/>
          <w:highlight w:val="none"/>
        </w:rPr>
        <w:t>处理后，</w:t>
      </w:r>
      <w:r>
        <w:rPr>
          <w:rFonts w:hint="eastAsia" w:ascii="Times New Roman" w:hAnsi="Times New Roman" w:cs="Times New Roman"/>
          <w:color w:val="auto"/>
          <w:szCs w:val="21"/>
          <w:highlight w:val="none"/>
        </w:rPr>
        <w:t>分别</w:t>
      </w:r>
      <w:r>
        <w:rPr>
          <w:rFonts w:ascii="Times New Roman" w:hAnsi="Times New Roman" w:cs="Times New Roman"/>
          <w:color w:val="auto"/>
          <w:szCs w:val="21"/>
          <w:highlight w:val="none"/>
        </w:rPr>
        <w:t>通过</w:t>
      </w:r>
      <w:r>
        <w:rPr>
          <w:rFonts w:hint="eastAsia" w:ascii="Times New Roman" w:hAnsi="Times New Roman" w:cs="Times New Roman"/>
          <w:color w:val="auto"/>
          <w:szCs w:val="21"/>
          <w:highlight w:val="none"/>
        </w:rPr>
        <w:t>20m、</w:t>
      </w:r>
      <w:r>
        <w:rPr>
          <w:rFonts w:ascii="Times New Roman" w:hAnsi="Times New Roman" w:cs="Times New Roman"/>
          <w:color w:val="auto"/>
          <w:szCs w:val="21"/>
          <w:highlight w:val="none"/>
        </w:rPr>
        <w:t>15m高排气筒有组织排放，收集、去除率均达到90%以上。</w:t>
      </w:r>
    </w:p>
    <w:p w14:paraId="09F1BF6D">
      <w:pPr>
        <w:adjustRightInd w:val="0"/>
        <w:snapToGrid w:val="0"/>
        <w:spacing w:line="360" w:lineRule="auto"/>
        <w:ind w:left="-105" w:right="-105" w:firstLine="480" w:firstLineChars="200"/>
        <w:jc w:val="both"/>
        <w:rPr>
          <w:rFonts w:ascii="Times New Roman" w:hAnsi="Times New Roman" w:cs="Times New Roman"/>
          <w:color w:val="auto"/>
          <w:szCs w:val="21"/>
          <w:highlight w:val="none"/>
        </w:rPr>
      </w:pPr>
      <w:r>
        <w:rPr>
          <w:rFonts w:ascii="Times New Roman" w:hAnsi="Times New Roman" w:cs="Times New Roman"/>
          <w:color w:val="auto"/>
          <w:szCs w:val="21"/>
          <w:highlight w:val="none"/>
        </w:rPr>
        <w:t>因此本项目符合《重点行业挥发性有机物综合治理方案》（环大气[2019]53号）要求。</w:t>
      </w:r>
    </w:p>
    <w:p w14:paraId="3327F968">
      <w:pPr>
        <w:pStyle w:val="97"/>
        <w:keepNext/>
        <w:tabs>
          <w:tab w:val="left" w:pos="0"/>
          <w:tab w:val="left" w:pos="2550"/>
        </w:tabs>
        <w:spacing w:before="120" w:beforeLines="50" w:after="120" w:afterLines="50" w:line="360" w:lineRule="auto"/>
        <w:ind w:left="-105" w:right="-105" w:firstLine="0" w:firstLineChars="0"/>
        <w:outlineLvl w:val="3"/>
        <w:rPr>
          <w:rFonts w:eastAsia="宋体"/>
          <w:b/>
          <w:bCs/>
          <w:color w:val="auto"/>
          <w:sz w:val="24"/>
          <w:szCs w:val="22"/>
          <w:highlight w:val="none"/>
        </w:rPr>
      </w:pPr>
      <w:r>
        <w:rPr>
          <w:rFonts w:eastAsia="宋体"/>
          <w:b/>
          <w:bCs/>
          <w:color w:val="auto"/>
          <w:sz w:val="24"/>
          <w:szCs w:val="22"/>
          <w:highlight w:val="none"/>
        </w:rPr>
        <w:t>2.6.5.</w:t>
      </w:r>
      <w:r>
        <w:rPr>
          <w:rFonts w:hint="eastAsia" w:eastAsia="宋体"/>
          <w:b/>
          <w:bCs/>
          <w:color w:val="auto"/>
          <w:sz w:val="24"/>
          <w:szCs w:val="22"/>
          <w:highlight w:val="none"/>
        </w:rPr>
        <w:t>9 与《关于做好生态环境和应急管理部门联动工作的意见》（苏环办[2020]101号）相符性分析</w:t>
      </w:r>
    </w:p>
    <w:p w14:paraId="1FF2B310">
      <w:pPr>
        <w:adjustRightInd w:val="0"/>
        <w:snapToGrid w:val="0"/>
        <w:spacing w:line="360" w:lineRule="auto"/>
        <w:ind w:left="-105" w:right="-105" w:firstLine="480" w:firstLineChars="200"/>
        <w:jc w:val="both"/>
        <w:rPr>
          <w:rFonts w:ascii="Times New Roman" w:hAnsi="Times New Roman" w:cs="Times New Roman"/>
          <w:color w:val="auto"/>
          <w:highlight w:val="none"/>
        </w:rPr>
      </w:pPr>
      <w:r>
        <w:rPr>
          <w:rFonts w:hint="eastAsia" w:ascii="Times New Roman" w:hAnsi="Times New Roman" w:cs="Times New Roman"/>
          <w:color w:val="auto"/>
          <w:highlight w:val="none"/>
        </w:rPr>
        <w:t>对照《关于做好生态环境和应急管理部门联动工作的意见》（苏环办[2020]101号）“企业要对脱硫脱硝、煤改气、挥发性有机物回收、污水处理、粉尘治理、RTO焚烧炉等六类环境治理设施开展安全风险辨识管控。要健全内部污染防治设施稳定运行和管理责任制度，严格依据标准规范建设环境治理设施，确保环境治理设施安全、稳定、有效运行”要求，经排查，</w:t>
      </w:r>
      <w:r>
        <w:rPr>
          <w:rFonts w:hint="eastAsia" w:ascii="Times New Roman" w:hAnsi="Times New Roman" w:cs="Times New Roman"/>
          <w:color w:val="auto"/>
          <w:highlight w:val="none"/>
        </w:rPr>
        <w:t>本项目</w:t>
      </w:r>
      <w:r>
        <w:rPr>
          <w:rFonts w:hint="eastAsia" w:ascii="Times New Roman" w:hAnsi="Times New Roman" w:cs="Times New Roman"/>
          <w:color w:val="auto"/>
          <w:highlight w:val="none"/>
          <w:lang w:val="en-US" w:eastAsia="zh-CN"/>
        </w:rPr>
        <w:t>使用二级活性炭吸附装置处理有机废气，故</w:t>
      </w:r>
      <w:r>
        <w:rPr>
          <w:rFonts w:hint="eastAsia" w:ascii="Times New Roman" w:hAnsi="Times New Roman" w:cs="Times New Roman"/>
          <w:color w:val="auto"/>
          <w:highlight w:val="none"/>
        </w:rPr>
        <w:t>不属于以上六类，</w:t>
      </w:r>
      <w:r>
        <w:rPr>
          <w:rFonts w:hint="eastAsia" w:ascii="Times New Roman" w:hAnsi="Times New Roman" w:cs="Times New Roman"/>
          <w:color w:val="auto"/>
          <w:highlight w:val="none"/>
        </w:rPr>
        <w:t>企业在项目竣工前应根据江苏省生态环境厅、江苏省应急管理厅《关于做好生态环境和应急管理部门联动工作的意见》（苏环办[2020]101号）、省生态环境厅印发《关于做好安全生产专项整治工作实施方案》（苏环办[2020]16号）做好环境治理设施安全风险评估论证，健全内部污染防治设施稳定运行和管理责任制度，严格依据标准规范建设环境治理设施，确保环境治理设施安全、稳定、有效运行及污染物达标排放。</w:t>
      </w:r>
    </w:p>
    <w:p w14:paraId="6F14811B">
      <w:pPr>
        <w:pStyle w:val="97"/>
        <w:keepNext/>
        <w:tabs>
          <w:tab w:val="left" w:pos="0"/>
          <w:tab w:val="left" w:pos="2550"/>
        </w:tabs>
        <w:spacing w:before="120" w:beforeLines="50" w:after="120" w:afterLines="50" w:line="360" w:lineRule="auto"/>
        <w:ind w:left="-105" w:right="-105" w:firstLine="0" w:firstLineChars="0"/>
        <w:outlineLvl w:val="3"/>
        <w:rPr>
          <w:rFonts w:eastAsia="宋体"/>
          <w:b/>
          <w:bCs/>
          <w:color w:val="auto"/>
          <w:sz w:val="24"/>
          <w:szCs w:val="22"/>
          <w:highlight w:val="none"/>
        </w:rPr>
      </w:pPr>
      <w:r>
        <w:rPr>
          <w:rFonts w:hint="eastAsia" w:eastAsia="宋体"/>
          <w:b/>
          <w:bCs/>
          <w:color w:val="auto"/>
          <w:sz w:val="24"/>
          <w:szCs w:val="22"/>
          <w:highlight w:val="none"/>
        </w:rPr>
        <w:t>2.6.5.10与《江苏省工业废水与生活污水分质处理工作推进方案》相符性分析</w:t>
      </w:r>
    </w:p>
    <w:p w14:paraId="702B6A46">
      <w:pPr>
        <w:adjustRightInd w:val="0"/>
        <w:snapToGrid w:val="0"/>
        <w:spacing w:line="360" w:lineRule="auto"/>
        <w:ind w:left="-105" w:right="-105" w:firstLine="480" w:firstLineChars="200"/>
        <w:jc w:val="both"/>
        <w:rPr>
          <w:rFonts w:ascii="Times New Roman" w:hAnsi="Times New Roman" w:cs="Times New Roman"/>
          <w:color w:val="auto"/>
          <w:highlight w:val="none"/>
        </w:rPr>
      </w:pPr>
      <w:r>
        <w:rPr>
          <w:rFonts w:hint="eastAsia" w:ascii="Times New Roman" w:hAnsi="Times New Roman" w:cs="Times New Roman"/>
          <w:color w:val="auto"/>
          <w:highlight w:val="none"/>
        </w:rPr>
        <w:t>二、准入条件及评估原则</w:t>
      </w:r>
    </w:p>
    <w:p w14:paraId="677AD5C1">
      <w:pPr>
        <w:adjustRightInd w:val="0"/>
        <w:snapToGrid w:val="0"/>
        <w:spacing w:line="360" w:lineRule="auto"/>
        <w:ind w:left="-105" w:right="-105" w:firstLine="480" w:firstLineChars="200"/>
        <w:jc w:val="both"/>
        <w:rPr>
          <w:rFonts w:ascii="Times New Roman" w:hAnsi="Times New Roman" w:cs="Times New Roman"/>
          <w:color w:val="auto"/>
          <w:highlight w:val="none"/>
        </w:rPr>
      </w:pPr>
      <w:r>
        <w:rPr>
          <w:rFonts w:hint="eastAsia" w:ascii="Times New Roman" w:hAnsi="Times New Roman" w:cs="Times New Roman"/>
          <w:color w:val="auto"/>
          <w:highlight w:val="none"/>
        </w:rPr>
        <w:t>（二）现有企业</w:t>
      </w:r>
    </w:p>
    <w:p w14:paraId="1E788E6D">
      <w:pPr>
        <w:adjustRightInd w:val="0"/>
        <w:snapToGrid w:val="0"/>
        <w:spacing w:line="360" w:lineRule="auto"/>
        <w:ind w:left="-105" w:right="-105" w:firstLine="480" w:firstLineChars="200"/>
        <w:jc w:val="both"/>
        <w:rPr>
          <w:rFonts w:ascii="Times New Roman" w:hAnsi="Times New Roman" w:cs="Times New Roman"/>
          <w:color w:val="auto"/>
          <w:highlight w:val="none"/>
        </w:rPr>
      </w:pPr>
      <w:r>
        <w:rPr>
          <w:rFonts w:hint="eastAsia" w:ascii="Times New Roman" w:hAnsi="Times New Roman" w:cs="Times New Roman"/>
          <w:color w:val="auto"/>
          <w:highlight w:val="none"/>
        </w:rPr>
        <w:t>现有纳管工业企业按照以下七项基本原则开展评估，评估结果分为“允许接入”“整改后接入”“限期退出”三种类型，作为分类整治管理的依据。</w:t>
      </w:r>
    </w:p>
    <w:p w14:paraId="1F625AB0">
      <w:pPr>
        <w:adjustRightInd w:val="0"/>
        <w:snapToGrid w:val="0"/>
        <w:spacing w:line="360" w:lineRule="auto"/>
        <w:ind w:left="-105" w:right="-105" w:firstLine="480" w:firstLineChars="200"/>
        <w:jc w:val="both"/>
        <w:rPr>
          <w:rFonts w:ascii="Times New Roman" w:hAnsi="Times New Roman" w:cs="Times New Roman"/>
          <w:color w:val="auto"/>
          <w:highlight w:val="none"/>
        </w:rPr>
      </w:pPr>
      <w:r>
        <w:rPr>
          <w:rFonts w:hint="eastAsia" w:ascii="Times New Roman" w:hAnsi="Times New Roman" w:cs="Times New Roman"/>
          <w:color w:val="auto"/>
          <w:highlight w:val="none"/>
        </w:rPr>
        <w:t>1.可生化优先原则：以下制造业工业企业，生产废水可生化性较好，有利于城镇污水处理厂提高处理效能，与城镇污水处理厂约定纳管标准限值、签订书面合同、变更排污及排水许可证内容、完成备案手续后可优先接入城镇污水处理厂：（1）发酵酒精和白酒、啤酒、味精、制糖工业（依据行业标准修改单和排污</w:t>
      </w:r>
    </w:p>
    <w:p w14:paraId="054D5DD8">
      <w:pPr>
        <w:adjustRightInd w:val="0"/>
        <w:snapToGrid w:val="0"/>
        <w:spacing w:line="360" w:lineRule="auto"/>
        <w:ind w:left="-105" w:right="-105" w:firstLine="480" w:firstLineChars="200"/>
        <w:jc w:val="both"/>
        <w:rPr>
          <w:rFonts w:ascii="Times New Roman" w:hAnsi="Times New Roman" w:cs="Times New Roman"/>
          <w:color w:val="auto"/>
          <w:highlight w:val="none"/>
        </w:rPr>
      </w:pPr>
      <w:r>
        <w:rPr>
          <w:rFonts w:hint="eastAsia" w:ascii="Times New Roman" w:hAnsi="Times New Roman" w:cs="Times New Roman"/>
          <w:color w:val="auto"/>
          <w:highlight w:val="none"/>
        </w:rPr>
        <w:t>许可证技术规范，排放浓度可协商）；（2）淀粉、酵母、柠檬酸工业（依据行业标准修改单征求意见稿，排放浓度可协商）；（3）肉类加工工业（依据行业标准，BOD</w:t>
      </w:r>
      <w:r>
        <w:rPr>
          <w:rFonts w:hint="eastAsia" w:ascii="Times New Roman" w:hAnsi="Times New Roman" w:cs="Times New Roman"/>
          <w:color w:val="auto"/>
          <w:highlight w:val="none"/>
          <w:vertAlign w:val="subscript"/>
        </w:rPr>
        <w:t>5</w:t>
      </w:r>
      <w:r>
        <w:rPr>
          <w:rFonts w:hint="eastAsia" w:ascii="Times New Roman" w:hAnsi="Times New Roman" w:cs="Times New Roman"/>
          <w:color w:val="auto"/>
          <w:highlight w:val="none"/>
        </w:rPr>
        <w:t>浓度可放宽至600mg/L，COD</w:t>
      </w:r>
      <w:r>
        <w:rPr>
          <w:rFonts w:hint="eastAsia" w:ascii="Times New Roman" w:hAnsi="Times New Roman" w:cs="Times New Roman"/>
          <w:color w:val="auto"/>
          <w:highlight w:val="none"/>
          <w:vertAlign w:val="subscript"/>
        </w:rPr>
        <w:t>Cr</w:t>
      </w:r>
      <w:r>
        <w:rPr>
          <w:rFonts w:hint="eastAsia" w:ascii="Times New Roman" w:hAnsi="Times New Roman" w:cs="Times New Roman"/>
          <w:color w:val="auto"/>
          <w:highlight w:val="none"/>
        </w:rPr>
        <w:t>浓度可放宽至1000 mg/L）。</w:t>
      </w:r>
    </w:p>
    <w:p w14:paraId="3CF565E7">
      <w:pPr>
        <w:adjustRightInd w:val="0"/>
        <w:snapToGrid w:val="0"/>
        <w:spacing w:line="360" w:lineRule="auto"/>
        <w:ind w:left="-105" w:right="-105" w:firstLine="480" w:firstLineChars="200"/>
        <w:jc w:val="both"/>
        <w:rPr>
          <w:rFonts w:ascii="Times New Roman" w:hAnsi="Times New Roman" w:cs="Times New Roman"/>
          <w:color w:val="auto"/>
          <w:highlight w:val="none"/>
        </w:rPr>
      </w:pPr>
      <w:r>
        <w:rPr>
          <w:rFonts w:hint="eastAsia" w:ascii="Times New Roman" w:hAnsi="Times New Roman" w:cs="Times New Roman"/>
          <w:color w:val="auto"/>
          <w:highlight w:val="none"/>
        </w:rPr>
        <w:t>2.纳管浓度达标原则：工业企业排放的常规和特征污染物浓度均需达到相应的纳管标准和协议要求，其中部分行业污染物按照行业排放标准要求须达到直接排放限值，方可接入城镇污水处理厂。</w:t>
      </w:r>
    </w:p>
    <w:p w14:paraId="01397B30">
      <w:pPr>
        <w:adjustRightInd w:val="0"/>
        <w:snapToGrid w:val="0"/>
        <w:spacing w:line="360" w:lineRule="auto"/>
        <w:ind w:left="-105" w:right="-105" w:firstLine="480" w:firstLineChars="200"/>
        <w:jc w:val="both"/>
        <w:rPr>
          <w:rFonts w:ascii="Times New Roman" w:hAnsi="Times New Roman" w:cs="Times New Roman"/>
          <w:color w:val="auto"/>
          <w:highlight w:val="none"/>
        </w:rPr>
      </w:pPr>
      <w:r>
        <w:rPr>
          <w:rFonts w:hint="eastAsia" w:ascii="Times New Roman" w:hAnsi="Times New Roman" w:cs="Times New Roman"/>
          <w:color w:val="auto"/>
          <w:highlight w:val="none"/>
        </w:rPr>
        <w:t>3.总量达标双控原则：纳管工业企业其排放的废水和污染物总量，不得高于环评报告及批复、排污及排水许可证等核定的纳管总量控制限值；城镇污水处理厂排放的某一项特征污染物的总量不得高于所有纳管工业企业按照相应标准直接排放限值核算的该项特征污染物排放总量之和。</w:t>
      </w:r>
    </w:p>
    <w:p w14:paraId="6B467E65">
      <w:pPr>
        <w:adjustRightInd w:val="0"/>
        <w:snapToGrid w:val="0"/>
        <w:spacing w:line="360" w:lineRule="auto"/>
        <w:ind w:left="-105" w:right="-105" w:firstLine="480" w:firstLineChars="200"/>
        <w:jc w:val="both"/>
        <w:rPr>
          <w:rFonts w:ascii="Times New Roman" w:hAnsi="Times New Roman" w:cs="Times New Roman"/>
          <w:color w:val="auto"/>
          <w:highlight w:val="none"/>
        </w:rPr>
      </w:pPr>
      <w:r>
        <w:rPr>
          <w:rFonts w:hint="eastAsia" w:ascii="Times New Roman" w:hAnsi="Times New Roman" w:cs="Times New Roman"/>
          <w:color w:val="auto"/>
          <w:highlight w:val="none"/>
        </w:rPr>
        <w:t>4.工业废水限量纳管原则：工业废水总量超过1万吨/日的省级以上工业园区，或者工业废水纳管量占比超过40%的城镇污水处理厂所在区域，原则上应配套专业的工业废水处理厂。</w:t>
      </w:r>
    </w:p>
    <w:p w14:paraId="375D061F">
      <w:pPr>
        <w:adjustRightInd w:val="0"/>
        <w:snapToGrid w:val="0"/>
        <w:spacing w:line="360" w:lineRule="auto"/>
        <w:ind w:left="-105" w:right="-105" w:firstLine="480" w:firstLineChars="200"/>
        <w:jc w:val="both"/>
        <w:rPr>
          <w:rFonts w:ascii="Times New Roman" w:hAnsi="Times New Roman" w:cs="Times New Roman"/>
          <w:color w:val="auto"/>
          <w:highlight w:val="none"/>
        </w:rPr>
      </w:pPr>
      <w:r>
        <w:rPr>
          <w:rFonts w:hint="eastAsia" w:ascii="Times New Roman" w:hAnsi="Times New Roman" w:cs="Times New Roman"/>
          <w:color w:val="auto"/>
          <w:highlight w:val="none"/>
        </w:rPr>
        <w:t>5.污水处理厂稳定运行原则：纳管的工业企业废水不得影响城镇污水处理厂的稳定运行和达标排放，污水处理厂出现受纳管工业废水冲击负荷影响导致排水超标或者进水可生化污染物浓度过低时，应强化纳管企业的退出管控力度。</w:t>
      </w:r>
    </w:p>
    <w:p w14:paraId="3A98A017">
      <w:pPr>
        <w:adjustRightInd w:val="0"/>
        <w:snapToGrid w:val="0"/>
        <w:spacing w:line="360" w:lineRule="auto"/>
        <w:ind w:left="-105" w:right="-105" w:firstLine="480" w:firstLineChars="200"/>
        <w:jc w:val="both"/>
        <w:rPr>
          <w:rFonts w:ascii="Times New Roman" w:hAnsi="Times New Roman" w:cs="Times New Roman"/>
          <w:color w:val="auto"/>
          <w:highlight w:val="none"/>
        </w:rPr>
      </w:pPr>
      <w:r>
        <w:rPr>
          <w:rFonts w:hint="eastAsia" w:ascii="Times New Roman" w:hAnsi="Times New Roman" w:cs="Times New Roman"/>
          <w:color w:val="auto"/>
          <w:highlight w:val="none"/>
        </w:rPr>
        <w:t>6.环境质量达标原则：区域内国省考断面、水源地等敏感水域不得出现氟化物、挥发酚等特征污染物检出超标情况，否则应强化对上游汇水区域范围内排放上述特征污染物纳管企业的退出管控力度。</w:t>
      </w:r>
    </w:p>
    <w:p w14:paraId="77DE13EA">
      <w:pPr>
        <w:adjustRightInd w:val="0"/>
        <w:snapToGrid w:val="0"/>
        <w:spacing w:line="360" w:lineRule="auto"/>
        <w:ind w:left="-105" w:right="-105" w:firstLine="480" w:firstLineChars="200"/>
        <w:jc w:val="both"/>
        <w:rPr>
          <w:rFonts w:ascii="Times New Roman" w:hAnsi="Times New Roman" w:cs="Times New Roman"/>
          <w:color w:val="auto"/>
          <w:highlight w:val="none"/>
        </w:rPr>
      </w:pPr>
      <w:r>
        <w:rPr>
          <w:rFonts w:hint="eastAsia" w:ascii="Times New Roman" w:hAnsi="Times New Roman" w:cs="Times New Roman"/>
          <w:color w:val="auto"/>
          <w:highlight w:val="none"/>
        </w:rPr>
        <w:t>7.污水处理厂出水负责原则：城镇污水处理厂及其运营单位，对城镇污水集中处理设施的出水水质负责，应积极参与纳管企业水质水量对污水处理设施正常运行影响的评估工作，认为其生产废水含有污染物不能被污水处理设施有效处理或者可能影响污水处理设施出水稳定达标的，应及时报城镇排水主管部门和生态环境部门。</w:t>
      </w:r>
    </w:p>
    <w:p w14:paraId="50DF1836">
      <w:pPr>
        <w:adjustRightInd w:val="0"/>
        <w:snapToGrid w:val="0"/>
        <w:spacing w:line="360" w:lineRule="auto"/>
        <w:ind w:left="-105" w:right="-105" w:firstLine="480" w:firstLineChars="200"/>
        <w:jc w:val="both"/>
        <w:rPr>
          <w:rFonts w:ascii="Times New Roman" w:hAnsi="Times New Roman" w:cs="Times New Roman"/>
          <w:color w:val="auto"/>
          <w:kern w:val="2"/>
          <w:szCs w:val="20"/>
          <w:highlight w:val="none"/>
        </w:rPr>
      </w:pPr>
      <w:r>
        <w:rPr>
          <w:rFonts w:hint="eastAsia"/>
          <w:color w:val="auto"/>
          <w:highlight w:val="none"/>
        </w:rPr>
        <w:t>本项目为扩建项目，行业类别为</w:t>
      </w:r>
      <w:r>
        <w:rPr>
          <w:rFonts w:hint="eastAsia" w:ascii="Times New Roman" w:hAnsi="Times New Roman" w:cs="Times New Roman"/>
          <w:color w:val="auto"/>
          <w:szCs w:val="21"/>
          <w:highlight w:val="none"/>
        </w:rPr>
        <w:t>C3985电子专用材料制造</w:t>
      </w:r>
      <w:r>
        <w:rPr>
          <w:rFonts w:hint="eastAsia"/>
          <w:color w:val="auto"/>
          <w:highlight w:val="none"/>
        </w:rPr>
        <w:t>，不属于</w:t>
      </w:r>
      <w:r>
        <w:rPr>
          <w:rFonts w:ascii="Times New Roman" w:hAnsi="Times New Roman" w:cs="Times New Roman"/>
          <w:color w:val="auto"/>
          <w:highlight w:val="none"/>
        </w:rPr>
        <w:t>冶金、化工、印染、原料药制造</w:t>
      </w:r>
      <w:r>
        <w:rPr>
          <w:rFonts w:hint="eastAsia" w:ascii="Times New Roman" w:hAnsi="Times New Roman" w:cs="Times New Roman"/>
          <w:color w:val="auto"/>
          <w:highlight w:val="none"/>
        </w:rPr>
        <w:t>、</w:t>
      </w:r>
      <w:r>
        <w:rPr>
          <w:rFonts w:ascii="Times New Roman" w:hAnsi="Times New Roman" w:cs="Times New Roman"/>
          <w:color w:val="auto"/>
          <w:highlight w:val="none"/>
        </w:rPr>
        <w:t>发酵酒精和白酒、啤酒、味精、制糖</w:t>
      </w:r>
      <w:r>
        <w:rPr>
          <w:rFonts w:hint="eastAsia" w:ascii="Times New Roman" w:hAnsi="Times New Roman" w:cs="Times New Roman"/>
          <w:color w:val="auto"/>
          <w:highlight w:val="none"/>
        </w:rPr>
        <w:t>、</w:t>
      </w:r>
      <w:r>
        <w:rPr>
          <w:rFonts w:ascii="Times New Roman" w:hAnsi="Times New Roman" w:cs="Times New Roman"/>
          <w:color w:val="auto"/>
          <w:highlight w:val="none"/>
        </w:rPr>
        <w:t>淀粉、酵母、柠檬酸</w:t>
      </w:r>
      <w:r>
        <w:rPr>
          <w:rFonts w:hint="eastAsia" w:ascii="Times New Roman" w:hAnsi="Times New Roman" w:cs="Times New Roman"/>
          <w:color w:val="auto"/>
          <w:highlight w:val="none"/>
        </w:rPr>
        <w:t>行业，不属于肉类加工工业企业。本项目实行雨污分流，</w:t>
      </w:r>
      <w:r>
        <w:rPr>
          <w:rFonts w:ascii="Times New Roman" w:hAnsi="Times New Roman" w:cs="Times New Roman"/>
          <w:color w:val="auto"/>
          <w:highlight w:val="none"/>
        </w:rPr>
        <w:t>本项目</w:t>
      </w:r>
      <w:r>
        <w:rPr>
          <w:rFonts w:hint="eastAsia" w:ascii="Times New Roman" w:hAnsi="Times New Roman"/>
          <w:color w:val="auto"/>
          <w:highlight w:val="none"/>
        </w:rPr>
        <w:t>超纯水装置浓水、超纯水装置反冲洗水不含氮磷，且水质简单，回用于冲厕，生活污水</w:t>
      </w:r>
      <w:r>
        <w:rPr>
          <w:rFonts w:ascii="Times New Roman" w:hAnsi="Times New Roman"/>
          <w:color w:val="auto"/>
          <w:highlight w:val="none"/>
        </w:rPr>
        <w:t>由企业</w:t>
      </w:r>
      <w:r>
        <w:rPr>
          <w:rFonts w:hint="eastAsia" w:ascii="Times New Roman" w:hAnsi="Times New Roman"/>
          <w:color w:val="auto"/>
          <w:highlight w:val="none"/>
        </w:rPr>
        <w:t>收集后委托无锡先进化药化工有限公司处理达标后接入无锡市锡山云林污水处理有限公司</w:t>
      </w:r>
      <w:r>
        <w:rPr>
          <w:rFonts w:ascii="Times New Roman" w:hAnsi="Times New Roman" w:cs="Times New Roman"/>
          <w:color w:val="auto"/>
          <w:highlight w:val="none"/>
        </w:rPr>
        <w:t>，尾水排入</w:t>
      </w:r>
      <w:r>
        <w:rPr>
          <w:rFonts w:hint="eastAsia" w:ascii="Times New Roman" w:hAnsi="Times New Roman" w:cs="Times New Roman"/>
          <w:color w:val="auto"/>
          <w:highlight w:val="none"/>
        </w:rPr>
        <w:t>北兴塘河</w:t>
      </w:r>
      <w:r>
        <w:rPr>
          <w:rFonts w:ascii="Times New Roman" w:hAnsi="Times New Roman" w:cs="Times New Roman"/>
          <w:color w:val="auto"/>
          <w:highlight w:val="none"/>
        </w:rPr>
        <w:t>。</w:t>
      </w:r>
      <w:r>
        <w:rPr>
          <w:rFonts w:hint="eastAsia" w:ascii="Times New Roman" w:hAnsi="Times New Roman" w:cs="Times New Roman"/>
          <w:color w:val="auto"/>
          <w:kern w:val="2"/>
          <w:szCs w:val="20"/>
          <w:highlight w:val="none"/>
        </w:rPr>
        <w:t>项目建成后重新申领排污许可证。</w:t>
      </w:r>
    </w:p>
    <w:p w14:paraId="31A68DFD">
      <w:pPr>
        <w:adjustRightInd w:val="0"/>
        <w:snapToGrid w:val="0"/>
        <w:spacing w:line="360" w:lineRule="auto"/>
        <w:ind w:left="-105" w:right="-105" w:firstLine="480" w:firstLineChars="200"/>
        <w:jc w:val="both"/>
        <w:rPr>
          <w:color w:val="auto"/>
          <w:highlight w:val="none"/>
        </w:rPr>
      </w:pPr>
      <w:r>
        <w:rPr>
          <w:rFonts w:hint="eastAsia" w:ascii="Times New Roman" w:hAnsi="Times New Roman" w:cs="Times New Roman"/>
          <w:color w:val="auto"/>
          <w:kern w:val="2"/>
          <w:szCs w:val="20"/>
          <w:highlight w:val="none"/>
        </w:rPr>
        <w:t>因此，本项目符合《江苏省工业废水与生活污水分质处理工作推进方案》相关要求。</w:t>
      </w:r>
    </w:p>
    <w:p w14:paraId="4725413E">
      <w:pPr>
        <w:pStyle w:val="97"/>
        <w:keepNext/>
        <w:tabs>
          <w:tab w:val="left" w:pos="0"/>
          <w:tab w:val="left" w:pos="2550"/>
        </w:tabs>
        <w:spacing w:before="120" w:beforeLines="50" w:after="120" w:afterLines="50" w:line="360" w:lineRule="auto"/>
        <w:ind w:left="-105" w:right="-105" w:firstLine="0" w:firstLineChars="0"/>
        <w:outlineLvl w:val="3"/>
        <w:rPr>
          <w:rFonts w:eastAsia="宋体"/>
          <w:b/>
          <w:bCs/>
          <w:color w:val="auto"/>
          <w:sz w:val="24"/>
          <w:szCs w:val="22"/>
          <w:highlight w:val="none"/>
        </w:rPr>
      </w:pPr>
      <w:r>
        <w:rPr>
          <w:rFonts w:hint="eastAsia" w:eastAsia="宋体"/>
          <w:b/>
          <w:bCs/>
          <w:color w:val="auto"/>
          <w:sz w:val="24"/>
          <w:szCs w:val="22"/>
          <w:highlight w:val="none"/>
        </w:rPr>
        <w:t>2.6.5.11与《“十四五”节能减排综合工作方案》相符性分析</w:t>
      </w:r>
    </w:p>
    <w:p w14:paraId="15046C76">
      <w:pPr>
        <w:pStyle w:val="2"/>
        <w:ind w:left="-105" w:right="-105"/>
        <w:rPr>
          <w:color w:val="auto"/>
          <w:highlight w:val="none"/>
        </w:rPr>
      </w:pPr>
      <w:r>
        <w:rPr>
          <w:color w:val="auto"/>
          <w:highlight w:val="none"/>
        </w:rPr>
        <w:t>对照《</w:t>
      </w:r>
      <w:r>
        <w:rPr>
          <w:rFonts w:hint="eastAsia"/>
          <w:color w:val="auto"/>
          <w:highlight w:val="none"/>
        </w:rPr>
        <w:t>“</w:t>
      </w:r>
      <w:r>
        <w:rPr>
          <w:color w:val="auto"/>
          <w:highlight w:val="none"/>
        </w:rPr>
        <w:t>十四五</w:t>
      </w:r>
      <w:r>
        <w:rPr>
          <w:rFonts w:hint="eastAsia"/>
          <w:color w:val="auto"/>
          <w:highlight w:val="none"/>
        </w:rPr>
        <w:t>”</w:t>
      </w:r>
      <w:r>
        <w:rPr>
          <w:color w:val="auto"/>
          <w:highlight w:val="none"/>
        </w:rPr>
        <w:t>节能减排综合工作方案》分析如下：</w:t>
      </w:r>
      <w:r>
        <w:rPr>
          <w:rFonts w:hint="eastAsia"/>
          <w:color w:val="auto"/>
          <w:highlight w:val="none"/>
        </w:rPr>
        <w:t>“</w:t>
      </w:r>
      <w:r>
        <w:rPr>
          <w:color w:val="auto"/>
          <w:highlight w:val="none"/>
        </w:rPr>
        <w:t>（九）挥发性有机物综合整治工程</w:t>
      </w:r>
      <w:r>
        <w:rPr>
          <w:color w:val="auto"/>
          <w:highlight w:val="none"/>
        </w:rPr>
        <w:tab/>
      </w:r>
      <w:r>
        <w:rPr>
          <w:color w:val="auto"/>
          <w:highlight w:val="none"/>
        </w:rPr>
        <w:t>推进原辅材料和产品源头替代工程，实施全过程污染物治理。以工业涂装、包装印刷等行业为重点，推动使用低挥发性有机物含量的涂料、油墨、胶粘剂、清洗剂。深化石化化工等行业挥发性有机物污染治理，全面提升废气收集率、治理设施同步运行率和去除率。对易挥发有机液体储罐实施改造，对浮顶罐推广采用全接液浮盘和高效双重密封技术，对废水系统高浓度废气实施单独收集处理。加强油船和原油、成品油码头油气回收治理。到2025年，溶剂型工业涂料、油墨使用比例分别降低20个百分点、10个百分点，溶剂型胶粘剂使用量降低20%。</w:t>
      </w:r>
      <w:r>
        <w:rPr>
          <w:rFonts w:hint="eastAsia"/>
          <w:color w:val="auto"/>
          <w:highlight w:val="none"/>
        </w:rPr>
        <w:t>”</w:t>
      </w:r>
    </w:p>
    <w:p w14:paraId="317C405A">
      <w:pPr>
        <w:pStyle w:val="2"/>
        <w:ind w:left="-105" w:right="-105"/>
        <w:rPr>
          <w:color w:val="auto"/>
          <w:highlight w:val="none"/>
        </w:rPr>
      </w:pPr>
      <w:r>
        <w:rPr>
          <w:rFonts w:hint="eastAsia"/>
          <w:color w:val="auto"/>
          <w:highlight w:val="none"/>
        </w:rPr>
        <w:t>本项目不使用涂料、油墨、胶粘剂、清洗剂，生产工艺均采取各类措施提高废气捕集效率，经有效处理后达标排放，严格控制各类废气无组织排放。因此本项目符合要求。</w:t>
      </w:r>
    </w:p>
    <w:p w14:paraId="7A00E0F0">
      <w:pPr>
        <w:pStyle w:val="97"/>
        <w:keepNext/>
        <w:tabs>
          <w:tab w:val="left" w:pos="0"/>
          <w:tab w:val="left" w:pos="2550"/>
        </w:tabs>
        <w:spacing w:before="120" w:beforeLines="50" w:after="120" w:afterLines="50" w:line="360" w:lineRule="auto"/>
        <w:ind w:left="-105" w:right="-105" w:firstLine="0" w:firstLineChars="0"/>
        <w:outlineLvl w:val="3"/>
        <w:rPr>
          <w:rFonts w:eastAsia="宋体"/>
          <w:b/>
          <w:bCs/>
          <w:color w:val="auto"/>
          <w:sz w:val="24"/>
          <w:szCs w:val="22"/>
          <w:highlight w:val="none"/>
        </w:rPr>
      </w:pPr>
      <w:r>
        <w:rPr>
          <w:rFonts w:eastAsia="宋体"/>
          <w:b/>
          <w:bCs/>
          <w:color w:val="auto"/>
          <w:sz w:val="24"/>
          <w:szCs w:val="22"/>
          <w:highlight w:val="none"/>
        </w:rPr>
        <w:t>2.6.5.1</w:t>
      </w:r>
      <w:r>
        <w:rPr>
          <w:rFonts w:hint="eastAsia" w:eastAsia="宋体"/>
          <w:b/>
          <w:bCs/>
          <w:color w:val="auto"/>
          <w:sz w:val="24"/>
          <w:szCs w:val="22"/>
          <w:highlight w:val="none"/>
        </w:rPr>
        <w:t>2</w:t>
      </w:r>
      <w:r>
        <w:rPr>
          <w:rFonts w:eastAsia="宋体"/>
          <w:b/>
          <w:bCs/>
          <w:color w:val="auto"/>
          <w:sz w:val="24"/>
          <w:szCs w:val="22"/>
          <w:highlight w:val="none"/>
        </w:rPr>
        <w:t>与《市政府关于印发无锡市土壤污染防治工作方案的通知》（锡政发[2017]15号）相符性分析</w:t>
      </w:r>
    </w:p>
    <w:p w14:paraId="45445F00">
      <w:pPr>
        <w:adjustRightInd w:val="0"/>
        <w:snapToGrid w:val="0"/>
        <w:spacing w:line="360" w:lineRule="auto"/>
        <w:ind w:left="-105" w:right="-105" w:firstLine="480" w:firstLineChars="200"/>
        <w:jc w:val="both"/>
        <w:rPr>
          <w:rFonts w:ascii="Times New Roman" w:hAnsi="Times New Roman" w:cs="Times New Roman"/>
          <w:color w:val="auto"/>
          <w:highlight w:val="none"/>
        </w:rPr>
      </w:pPr>
      <w:r>
        <w:rPr>
          <w:rFonts w:ascii="Times New Roman" w:hAnsi="Times New Roman" w:cs="Times New Roman"/>
          <w:color w:val="auto"/>
          <w:highlight w:val="none"/>
        </w:rPr>
        <w:t>严格执行相关行业企业布局选址要求，禁止在居民区、学校、医疗和养老机构等周边新建有色金属冶炼、焦化等行业企业；大力推进新型城镇化与城乡发展一体化、优化城乡空间布局，加快城区老工业区搬迁改造，结合产业结构调整、化解过剩产能等，有序搬迁或依法关闭对土壤造成严重污染的现有企业。结合区域功能定位和土壤污染防治需要，科学布局生活垃圾处理、污泥处理处置、危险废物处置、废旧资源再生利用等设施和场所，加快推进废弃物集中处置，支持具备条件的企业开展工业生产过程协同处理城市及产业废弃物。合理确定畜禽养殖布局和规模。</w:t>
      </w:r>
    </w:p>
    <w:p w14:paraId="75989FE9">
      <w:pPr>
        <w:adjustRightInd w:val="0"/>
        <w:snapToGrid w:val="0"/>
        <w:spacing w:line="360" w:lineRule="auto"/>
        <w:ind w:left="-105" w:right="-105" w:firstLine="480" w:firstLineChars="200"/>
        <w:jc w:val="both"/>
        <w:rPr>
          <w:rFonts w:ascii="Times New Roman" w:hAnsi="Times New Roman" w:cs="Times New Roman"/>
          <w:color w:val="auto"/>
          <w:highlight w:val="none"/>
        </w:rPr>
      </w:pPr>
      <w:r>
        <w:rPr>
          <w:rFonts w:ascii="Times New Roman" w:hAnsi="Times New Roman" w:cs="Times New Roman"/>
          <w:color w:val="auto"/>
          <w:highlight w:val="none"/>
        </w:rPr>
        <w:t>本项目属于</w:t>
      </w:r>
      <w:r>
        <w:rPr>
          <w:rFonts w:hint="eastAsia" w:ascii="Times New Roman" w:hAnsi="Times New Roman" w:cs="Times New Roman"/>
          <w:color w:val="auto"/>
          <w:szCs w:val="21"/>
          <w:highlight w:val="none"/>
        </w:rPr>
        <w:t>C3985电子专用材料制造</w:t>
      </w:r>
      <w:r>
        <w:rPr>
          <w:rFonts w:ascii="Times New Roman" w:hAnsi="Times New Roman" w:cs="Times New Roman"/>
          <w:color w:val="auto"/>
          <w:highlight w:val="none"/>
        </w:rPr>
        <w:t>，不属于有色金属冶炼、焦化等行业企业，项目产生的固废经合理处置，不外排。因此，本项目符合《市政府关于印发无锡市土壤污染防治工作方案的通知》（锡政发[2017]15号）相关要求。</w:t>
      </w:r>
    </w:p>
    <w:p w14:paraId="47EE6E3C">
      <w:pPr>
        <w:pStyle w:val="97"/>
        <w:keepNext/>
        <w:tabs>
          <w:tab w:val="left" w:pos="0"/>
          <w:tab w:val="left" w:pos="2550"/>
        </w:tabs>
        <w:spacing w:before="120" w:beforeLines="50" w:after="120" w:afterLines="50" w:line="360" w:lineRule="auto"/>
        <w:ind w:left="-105" w:right="-105" w:firstLine="0" w:firstLineChars="0"/>
        <w:outlineLvl w:val="3"/>
        <w:rPr>
          <w:rFonts w:eastAsia="宋体"/>
          <w:b/>
          <w:bCs/>
          <w:color w:val="auto"/>
          <w:sz w:val="24"/>
          <w:szCs w:val="22"/>
          <w:highlight w:val="none"/>
        </w:rPr>
      </w:pPr>
      <w:r>
        <w:rPr>
          <w:rFonts w:eastAsia="宋体"/>
          <w:b/>
          <w:bCs/>
          <w:color w:val="auto"/>
          <w:sz w:val="24"/>
          <w:szCs w:val="22"/>
          <w:highlight w:val="none"/>
        </w:rPr>
        <w:t>2.6.5.1</w:t>
      </w:r>
      <w:r>
        <w:rPr>
          <w:rFonts w:hint="eastAsia" w:eastAsia="宋体"/>
          <w:b/>
          <w:bCs/>
          <w:color w:val="auto"/>
          <w:sz w:val="24"/>
          <w:szCs w:val="22"/>
          <w:highlight w:val="none"/>
        </w:rPr>
        <w:t>3</w:t>
      </w:r>
      <w:r>
        <w:rPr>
          <w:rFonts w:eastAsia="宋体"/>
          <w:b/>
          <w:bCs/>
          <w:color w:val="auto"/>
          <w:sz w:val="24"/>
          <w:szCs w:val="22"/>
          <w:highlight w:val="none"/>
        </w:rPr>
        <w:t>与《省生态环境厅关于进一步做好建设项目环评审批工作的通知》（苏环办[2019]36号）相符性分析</w:t>
      </w:r>
    </w:p>
    <w:p w14:paraId="75DB3EFF">
      <w:pPr>
        <w:adjustRightInd w:val="0"/>
        <w:snapToGrid w:val="0"/>
        <w:spacing w:line="360" w:lineRule="auto"/>
        <w:ind w:left="-105" w:right="-105" w:firstLine="480" w:firstLineChars="200"/>
        <w:jc w:val="both"/>
        <w:rPr>
          <w:rFonts w:ascii="Times New Roman" w:hAnsi="Times New Roman" w:cs="Times New Roman"/>
          <w:color w:val="auto"/>
          <w:highlight w:val="none"/>
        </w:rPr>
      </w:pPr>
      <w:r>
        <w:rPr>
          <w:rFonts w:hint="eastAsia" w:ascii="Times New Roman" w:hAnsi="Times New Roman" w:cs="Times New Roman"/>
          <w:color w:val="auto"/>
          <w:highlight w:val="none"/>
        </w:rPr>
        <w:t>“</w:t>
      </w:r>
      <w:r>
        <w:rPr>
          <w:rFonts w:ascii="Times New Roman" w:hAnsi="Times New Roman" w:cs="Times New Roman"/>
          <w:color w:val="auto"/>
          <w:highlight w:val="none"/>
        </w:rPr>
        <w:t>二、严格控制在优先保护类耕地集中区域新建有色金属冶炼、石油加工、化工、焦化、电镀、制革等行业企业，有关环境保护主管部门依法不予审批可能造成耕地土壤污染的建设项目环境影响报告书或者报告表。</w:t>
      </w:r>
      <w:r>
        <w:rPr>
          <w:rFonts w:hint="eastAsia" w:ascii="Times New Roman" w:hAnsi="Times New Roman" w:cs="Times New Roman"/>
          <w:color w:val="auto"/>
          <w:highlight w:val="none"/>
        </w:rPr>
        <w:t>”</w:t>
      </w:r>
    </w:p>
    <w:p w14:paraId="1268288D">
      <w:pPr>
        <w:adjustRightInd w:val="0"/>
        <w:snapToGrid w:val="0"/>
        <w:spacing w:line="360" w:lineRule="auto"/>
        <w:ind w:left="-105" w:right="-105" w:firstLine="480" w:firstLineChars="200"/>
        <w:jc w:val="both"/>
        <w:rPr>
          <w:rFonts w:ascii="Times New Roman" w:hAnsi="Times New Roman" w:cs="Times New Roman"/>
          <w:color w:val="auto"/>
          <w:highlight w:val="none"/>
        </w:rPr>
      </w:pPr>
      <w:r>
        <w:rPr>
          <w:rFonts w:hint="eastAsia" w:ascii="Times New Roman" w:hAnsi="Times New Roman" w:cs="Times New Roman"/>
          <w:color w:val="auto"/>
          <w:highlight w:val="none"/>
        </w:rPr>
        <w:t>“</w:t>
      </w:r>
      <w:r>
        <w:rPr>
          <w:rFonts w:ascii="Times New Roman" w:hAnsi="Times New Roman" w:cs="Times New Roman"/>
          <w:color w:val="auto"/>
          <w:highlight w:val="none"/>
        </w:rPr>
        <w:t>三、严格落实污染物排放总量控制制度，把主要污染物排放总量指标作为建设项目环境影响评价审批的前置条件。排放主要污染物的建设项目，在环境影响评价文件审批前，须取得主要污染物排放总量指标</w:t>
      </w:r>
      <w:r>
        <w:rPr>
          <w:rFonts w:hint="eastAsia" w:ascii="Times New Roman" w:hAnsi="Times New Roman" w:cs="Times New Roman"/>
          <w:color w:val="auto"/>
          <w:highlight w:val="none"/>
        </w:rPr>
        <w:t>。”</w:t>
      </w:r>
    </w:p>
    <w:p w14:paraId="4E71EDD3">
      <w:pPr>
        <w:adjustRightInd w:val="0"/>
        <w:snapToGrid w:val="0"/>
        <w:spacing w:line="360" w:lineRule="auto"/>
        <w:ind w:left="-105" w:right="-105" w:firstLine="480" w:firstLineChars="200"/>
        <w:jc w:val="both"/>
        <w:rPr>
          <w:rFonts w:ascii="Times New Roman" w:hAnsi="Times New Roman" w:cs="Times New Roman"/>
          <w:color w:val="auto"/>
          <w:highlight w:val="none"/>
        </w:rPr>
      </w:pPr>
      <w:r>
        <w:rPr>
          <w:rFonts w:hint="eastAsia" w:ascii="Times New Roman" w:hAnsi="Times New Roman" w:cs="Times New Roman"/>
          <w:color w:val="auto"/>
          <w:highlight w:val="none"/>
        </w:rPr>
        <w:t>“</w:t>
      </w:r>
      <w:r>
        <w:rPr>
          <w:rFonts w:ascii="Times New Roman" w:hAnsi="Times New Roman" w:cs="Times New Roman"/>
          <w:color w:val="auto"/>
          <w:highlight w:val="none"/>
        </w:rPr>
        <w:t>五、禁止在长江干支流1公里范围内新建、扩建化工园区和化工项目。禁止在合规园区外新建、扩建钢铁、石化、化工、焦化、建材、有色等高污染项目。</w:t>
      </w:r>
      <w:r>
        <w:rPr>
          <w:rFonts w:hint="eastAsia" w:ascii="Times New Roman" w:hAnsi="Times New Roman" w:cs="Times New Roman"/>
          <w:color w:val="auto"/>
          <w:highlight w:val="none"/>
        </w:rPr>
        <w:t>”</w:t>
      </w:r>
    </w:p>
    <w:p w14:paraId="245FBA18">
      <w:pPr>
        <w:adjustRightInd w:val="0"/>
        <w:snapToGrid w:val="0"/>
        <w:spacing w:line="360" w:lineRule="auto"/>
        <w:ind w:left="-105" w:right="-105" w:firstLine="480" w:firstLineChars="200"/>
        <w:jc w:val="both"/>
        <w:rPr>
          <w:rFonts w:ascii="Times New Roman" w:hAnsi="Times New Roman" w:cs="Times New Roman"/>
          <w:color w:val="auto"/>
          <w:highlight w:val="none"/>
        </w:rPr>
      </w:pPr>
      <w:r>
        <w:rPr>
          <w:rFonts w:ascii="Times New Roman" w:hAnsi="Times New Roman" w:cs="Times New Roman"/>
          <w:color w:val="auto"/>
          <w:highlight w:val="none"/>
        </w:rPr>
        <w:t>本项目属于</w:t>
      </w:r>
      <w:r>
        <w:rPr>
          <w:rFonts w:hint="eastAsia" w:ascii="Times New Roman" w:hAnsi="Times New Roman" w:cs="Times New Roman"/>
          <w:color w:val="auto"/>
          <w:szCs w:val="21"/>
          <w:highlight w:val="none"/>
        </w:rPr>
        <w:t>C3985电子专用材料制造</w:t>
      </w:r>
      <w:r>
        <w:rPr>
          <w:rFonts w:ascii="Times New Roman" w:hAnsi="Times New Roman" w:cs="Times New Roman"/>
          <w:color w:val="auto"/>
          <w:highlight w:val="none"/>
        </w:rPr>
        <w:t>，所在地属于工业用地，未占用耕地。项目实行总量控制制度，新增废气排放总量在锡山区内平衡，本项目位于</w:t>
      </w:r>
      <w:r>
        <w:rPr>
          <w:rFonts w:ascii="Times New Roman" w:hAnsi="Times New Roman"/>
          <w:color w:val="auto"/>
          <w:szCs w:val="18"/>
          <w:highlight w:val="none"/>
        </w:rPr>
        <w:t>锡山区</w:t>
      </w:r>
      <w:r>
        <w:rPr>
          <w:rFonts w:hint="eastAsia" w:ascii="Times New Roman" w:hAnsi="Times New Roman"/>
          <w:color w:val="auto"/>
          <w:szCs w:val="18"/>
          <w:highlight w:val="none"/>
        </w:rPr>
        <w:t>锡北</w:t>
      </w:r>
      <w:r>
        <w:rPr>
          <w:rFonts w:ascii="Times New Roman" w:hAnsi="Times New Roman"/>
          <w:color w:val="auto"/>
          <w:szCs w:val="18"/>
          <w:highlight w:val="none"/>
        </w:rPr>
        <w:t>镇</w:t>
      </w:r>
      <w:r>
        <w:rPr>
          <w:rFonts w:hint="eastAsia" w:ascii="Times New Roman" w:hAnsi="Times New Roman"/>
          <w:color w:val="auto"/>
          <w:szCs w:val="18"/>
          <w:highlight w:val="none"/>
        </w:rPr>
        <w:t>新坝村新达路6号</w:t>
      </w:r>
      <w:r>
        <w:rPr>
          <w:rFonts w:ascii="Times New Roman" w:hAnsi="Times New Roman" w:cs="Times New Roman"/>
          <w:color w:val="auto"/>
          <w:highlight w:val="none"/>
        </w:rPr>
        <w:t>，距离长江</w:t>
      </w:r>
      <w:r>
        <w:rPr>
          <w:rFonts w:hint="eastAsia" w:ascii="Times New Roman" w:hAnsi="Times New Roman" w:cs="Times New Roman"/>
          <w:color w:val="auto"/>
          <w:highlight w:val="none"/>
        </w:rPr>
        <w:t>41.1</w:t>
      </w:r>
      <w:r>
        <w:rPr>
          <w:rFonts w:ascii="Times New Roman" w:hAnsi="Times New Roman" w:cs="Times New Roman"/>
          <w:color w:val="auto"/>
          <w:highlight w:val="none"/>
        </w:rPr>
        <w:t>km，因此，本项目符合《省生态环境厅关于进一步做好建设项目环评审批工作的通知》（苏环办[2019]36号）相关要求。</w:t>
      </w:r>
    </w:p>
    <w:p w14:paraId="523FE7B9">
      <w:pPr>
        <w:pStyle w:val="97"/>
        <w:keepNext/>
        <w:tabs>
          <w:tab w:val="left" w:pos="0"/>
          <w:tab w:val="left" w:pos="2550"/>
        </w:tabs>
        <w:spacing w:before="120" w:beforeLines="50" w:after="120" w:afterLines="50" w:line="360" w:lineRule="auto"/>
        <w:ind w:left="-105" w:right="-105" w:firstLine="0" w:firstLineChars="0"/>
        <w:outlineLvl w:val="3"/>
        <w:rPr>
          <w:rFonts w:eastAsia="宋体"/>
          <w:b/>
          <w:bCs/>
          <w:color w:val="auto"/>
          <w:sz w:val="24"/>
          <w:szCs w:val="22"/>
          <w:highlight w:val="none"/>
        </w:rPr>
      </w:pPr>
      <w:r>
        <w:rPr>
          <w:rFonts w:eastAsia="宋体"/>
          <w:b/>
          <w:bCs/>
          <w:color w:val="auto"/>
          <w:sz w:val="24"/>
          <w:szCs w:val="22"/>
          <w:highlight w:val="none"/>
        </w:rPr>
        <w:t>2.6.5.</w:t>
      </w:r>
      <w:r>
        <w:rPr>
          <w:rFonts w:hint="eastAsia" w:eastAsia="宋体"/>
          <w:b/>
          <w:bCs/>
          <w:color w:val="auto"/>
          <w:sz w:val="24"/>
          <w:szCs w:val="22"/>
          <w:highlight w:val="none"/>
        </w:rPr>
        <w:t>14</w:t>
      </w:r>
      <w:r>
        <w:rPr>
          <w:rFonts w:eastAsia="宋体"/>
          <w:b/>
          <w:bCs/>
          <w:color w:val="auto"/>
          <w:sz w:val="24"/>
          <w:szCs w:val="22"/>
          <w:highlight w:val="none"/>
        </w:rPr>
        <w:t>与《关于在环评审批阶段开展“源头管控行动”的工作意见》（锡环办[2021]142号）相符性分析</w:t>
      </w:r>
    </w:p>
    <w:p w14:paraId="4AEB344E">
      <w:pPr>
        <w:adjustRightInd w:val="0"/>
        <w:snapToGrid w:val="0"/>
        <w:spacing w:line="360" w:lineRule="auto"/>
        <w:ind w:left="-105" w:right="-105" w:firstLine="480" w:firstLineChars="200"/>
        <w:jc w:val="both"/>
        <w:rPr>
          <w:rFonts w:ascii="Times New Roman" w:hAnsi="Times New Roman" w:cs="Times New Roman"/>
          <w:color w:val="auto"/>
          <w:highlight w:val="none"/>
        </w:rPr>
      </w:pPr>
      <w:r>
        <w:rPr>
          <w:rFonts w:hint="eastAsia" w:ascii="Times New Roman" w:hAnsi="Times New Roman" w:cs="Times New Roman"/>
          <w:color w:val="auto"/>
          <w:highlight w:val="none"/>
        </w:rPr>
        <w:t>“</w:t>
      </w:r>
      <w:r>
        <w:rPr>
          <w:rFonts w:ascii="Times New Roman" w:hAnsi="Times New Roman" w:cs="Times New Roman"/>
          <w:color w:val="auto"/>
          <w:highlight w:val="none"/>
        </w:rPr>
        <w:t>（一）生产工艺、装备、原料、环境四替代：用国际国内先进工艺、装备、低挥发水性溶剂等环境友好型原材料、先进高效的污染治理设施替代传统工艺、普通装备、高挥发性原料、落后的污染治理设施，从场址选取、厂区布局、厂房设计、设备选型等方面充分考虑环境保护的需求，从源头控制无组织排放、初期雨水收集、环境风险防范等问题。生产工艺选用的各种涂料、厂房建筑用涂料、工业设备防护涂料等，除有特殊要求外，必须选用符合《低挥发性有机化合物含量涂料产品技术要求》(GB/T38597-2020)标准的产品。对“两高”项目(当前按煤电、石化、化工、钢铁、有色、建材界定)要严格环境准入，满足总量控制、碳达峰碳中和目标、生态环境准入清单、规划环评及行业建设环境准入条件。</w:t>
      </w:r>
    </w:p>
    <w:p w14:paraId="118F839D">
      <w:pPr>
        <w:adjustRightInd w:val="0"/>
        <w:snapToGrid w:val="0"/>
        <w:spacing w:line="360" w:lineRule="auto"/>
        <w:ind w:left="-105" w:right="-105" w:firstLine="480" w:firstLineChars="200"/>
        <w:jc w:val="both"/>
        <w:rPr>
          <w:rFonts w:ascii="Times New Roman" w:hAnsi="Times New Roman" w:cs="Times New Roman"/>
          <w:color w:val="auto"/>
          <w:highlight w:val="none"/>
        </w:rPr>
      </w:pPr>
      <w:r>
        <w:rPr>
          <w:rFonts w:ascii="Times New Roman" w:hAnsi="Times New Roman" w:cs="Times New Roman"/>
          <w:color w:val="auto"/>
          <w:highlight w:val="none"/>
        </w:rPr>
        <w:t>（二）生产过程中水回用、物料回收：强化项目的节水设计，提高项目中水回用率，新建、改建项目的中水回用水平必须高于行业平均水平，达到国内先进水平以上。根据《江苏省太湖水污染防治条例》规定，非战略性新兴产业，不得新增含磷、氮的生产废水。用水量较大的印染、电子等行业必须大幅提高中水回用率。冷却水强排水、反渗透（RO）尾水等“清净下水”必须按照生产废水接管，不得接入雨水口排放。强化生产过程中的物料回收利用，鼓励有条件的挥发性有机物排放企业（如印刷、包装类企业）通过冷凝、吸附、吸收等技术实现物料回用，强化固体废物源头减量和综合利用，配套的回收利用设施必须达到主生产装置同样的设计水平和环保要求，提升回收效率，需外送利用处置固体废物和危险废物的，在本市应具有稳定可靠的承接单位。</w:t>
      </w:r>
    </w:p>
    <w:p w14:paraId="3E12322E">
      <w:pPr>
        <w:adjustRightInd w:val="0"/>
        <w:snapToGrid w:val="0"/>
        <w:spacing w:line="360" w:lineRule="auto"/>
        <w:ind w:left="-105" w:right="-105" w:firstLine="480" w:firstLineChars="200"/>
        <w:jc w:val="both"/>
        <w:rPr>
          <w:rFonts w:ascii="Times New Roman" w:hAnsi="Times New Roman" w:cs="Times New Roman"/>
          <w:color w:val="auto"/>
          <w:highlight w:val="none"/>
        </w:rPr>
      </w:pPr>
      <w:r>
        <w:rPr>
          <w:rFonts w:ascii="Times New Roman" w:hAnsi="Times New Roman" w:cs="Times New Roman"/>
          <w:color w:val="auto"/>
          <w:highlight w:val="none"/>
        </w:rPr>
        <w:t>（三）治污设施提高标准、提高效率：项目审批阶段必须征求水、气、固体等要素部门意见，审核项目污染防治措施是否已达到目前上级要求的最先进水平，未达最严标准、最新要求的一律不得审批。要按照所属行业的《排污许可证申请与核发技术规范》要求，选择采用可行性技术，提高治污设施的标准和要求，对于未采用污染防治可行技术的项目不予受理；鼓励采用具备应用案例或中试数据等条件的新型污染防治技术。</w:t>
      </w:r>
      <w:r>
        <w:rPr>
          <w:rFonts w:hint="eastAsia" w:ascii="Times New Roman" w:hAnsi="Times New Roman" w:cs="Times New Roman"/>
          <w:color w:val="auto"/>
          <w:highlight w:val="none"/>
        </w:rPr>
        <w:t>”</w:t>
      </w:r>
    </w:p>
    <w:p w14:paraId="6BD4A1AF">
      <w:pPr>
        <w:adjustRightInd w:val="0"/>
        <w:snapToGrid w:val="0"/>
        <w:spacing w:line="360" w:lineRule="auto"/>
        <w:ind w:left="-105" w:right="-105" w:firstLine="480" w:firstLineChars="200"/>
        <w:jc w:val="both"/>
        <w:rPr>
          <w:rFonts w:ascii="Times New Roman" w:hAnsi="Times New Roman" w:cs="Times New Roman"/>
          <w:color w:val="auto"/>
          <w:szCs w:val="21"/>
          <w:highlight w:val="none"/>
        </w:rPr>
      </w:pPr>
      <w:r>
        <w:rPr>
          <w:rFonts w:ascii="Times New Roman" w:hAnsi="Times New Roman" w:cs="Times New Roman"/>
          <w:color w:val="auto"/>
          <w:highlight w:val="none"/>
        </w:rPr>
        <w:t>本项目生产过程中不使用溶剂型涂料、油墨、胶粘剂</w:t>
      </w:r>
      <w:r>
        <w:rPr>
          <w:rFonts w:hint="eastAsia" w:ascii="Times New Roman" w:hAnsi="Times New Roman" w:cs="Times New Roman"/>
          <w:color w:val="auto"/>
          <w:highlight w:val="none"/>
        </w:rPr>
        <w:t>、清洗剂</w:t>
      </w:r>
      <w:r>
        <w:rPr>
          <w:rFonts w:ascii="Times New Roman" w:hAnsi="Times New Roman" w:cs="Times New Roman"/>
          <w:color w:val="auto"/>
          <w:highlight w:val="none"/>
        </w:rPr>
        <w:t>等高VOCs含量的原料</w:t>
      </w:r>
      <w:r>
        <w:rPr>
          <w:rFonts w:ascii="Times New Roman" w:hAnsi="Times New Roman" w:cs="Times New Roman"/>
          <w:color w:val="auto"/>
          <w:szCs w:val="21"/>
          <w:highlight w:val="none"/>
        </w:rPr>
        <w:t>。废气产生工段采取</w:t>
      </w:r>
      <w:r>
        <w:rPr>
          <w:rFonts w:hint="eastAsia" w:ascii="Times New Roman" w:hAnsi="Times New Roman" w:cs="Times New Roman"/>
          <w:color w:val="auto"/>
          <w:szCs w:val="21"/>
          <w:highlight w:val="none"/>
        </w:rPr>
        <w:t>3级碱喷淋+二级活性炭或</w:t>
      </w:r>
      <w:r>
        <w:rPr>
          <w:rFonts w:ascii="Times New Roman" w:hAnsi="Times New Roman" w:cs="Times New Roman"/>
          <w:color w:val="auto"/>
          <w:szCs w:val="21"/>
          <w:highlight w:val="none"/>
        </w:rPr>
        <w:t>二级活性炭处理措施，减少无组织排放。</w:t>
      </w:r>
    </w:p>
    <w:p w14:paraId="60C5D0C5">
      <w:pPr>
        <w:adjustRightInd w:val="0"/>
        <w:snapToGrid w:val="0"/>
        <w:spacing w:line="360" w:lineRule="auto"/>
        <w:ind w:left="-105" w:right="-105" w:firstLine="480" w:firstLineChars="200"/>
        <w:jc w:val="both"/>
        <w:rPr>
          <w:rFonts w:ascii="Times New Roman" w:hAnsi="Times New Roman" w:cs="Times New Roman"/>
          <w:color w:val="auto"/>
          <w:highlight w:val="none"/>
        </w:rPr>
      </w:pPr>
      <w:r>
        <w:rPr>
          <w:rFonts w:ascii="Times New Roman" w:hAnsi="Times New Roman" w:cs="Times New Roman"/>
          <w:color w:val="auto"/>
          <w:highlight w:val="none"/>
        </w:rPr>
        <w:t>本项目属于</w:t>
      </w:r>
      <w:r>
        <w:rPr>
          <w:rFonts w:hint="eastAsia" w:ascii="Times New Roman" w:hAnsi="Times New Roman" w:cs="Times New Roman"/>
          <w:color w:val="auto"/>
          <w:szCs w:val="21"/>
          <w:highlight w:val="none"/>
        </w:rPr>
        <w:t>C3985电子专用材料制造</w:t>
      </w:r>
      <w:r>
        <w:rPr>
          <w:rFonts w:ascii="Times New Roman" w:hAnsi="Times New Roman" w:cs="Times New Roman"/>
          <w:color w:val="auto"/>
          <w:highlight w:val="none"/>
        </w:rPr>
        <w:t>，不属于有色金属冶炼，不属于</w:t>
      </w:r>
      <w:r>
        <w:rPr>
          <w:rFonts w:hint="eastAsia" w:ascii="Times New Roman" w:hAnsi="Times New Roman" w:cs="Times New Roman"/>
          <w:color w:val="auto"/>
          <w:highlight w:val="none"/>
        </w:rPr>
        <w:t>“</w:t>
      </w:r>
      <w:r>
        <w:rPr>
          <w:rFonts w:ascii="Times New Roman" w:hAnsi="Times New Roman" w:cs="Times New Roman"/>
          <w:color w:val="auto"/>
          <w:highlight w:val="none"/>
        </w:rPr>
        <w:t>两高</w:t>
      </w:r>
      <w:r>
        <w:rPr>
          <w:rFonts w:hint="eastAsia" w:ascii="Times New Roman" w:hAnsi="Times New Roman" w:cs="Times New Roman"/>
          <w:color w:val="auto"/>
          <w:highlight w:val="none"/>
        </w:rPr>
        <w:t>”</w:t>
      </w:r>
      <w:r>
        <w:rPr>
          <w:rFonts w:ascii="Times New Roman" w:hAnsi="Times New Roman" w:cs="Times New Roman"/>
          <w:color w:val="auto"/>
          <w:highlight w:val="none"/>
        </w:rPr>
        <w:t>行业。项目实行总量控制制度，满足生态环境准入清单、规划环评及行业建设环境准入条件。</w:t>
      </w:r>
    </w:p>
    <w:p w14:paraId="077DB972">
      <w:pPr>
        <w:adjustRightInd w:val="0"/>
        <w:snapToGrid w:val="0"/>
        <w:spacing w:line="360" w:lineRule="auto"/>
        <w:ind w:left="-105" w:right="-105" w:firstLine="480" w:firstLineChars="200"/>
        <w:jc w:val="both"/>
        <w:rPr>
          <w:rFonts w:ascii="Times New Roman" w:hAnsi="Times New Roman" w:cs="Times New Roman"/>
          <w:color w:val="auto"/>
          <w:highlight w:val="none"/>
        </w:rPr>
      </w:pPr>
      <w:r>
        <w:rPr>
          <w:rFonts w:hint="eastAsia" w:ascii="Times New Roman" w:hAnsi="Times New Roman" w:cs="Times New Roman"/>
          <w:color w:val="auto"/>
          <w:highlight w:val="none"/>
        </w:rPr>
        <w:t>企业生活污水经化粪池预处理后与初期雨水收集后委托无锡先进化药化工有限公司处理达标后接入无锡市锡山云林污水处理有限公司</w:t>
      </w:r>
      <w:r>
        <w:rPr>
          <w:rFonts w:ascii="Times New Roman" w:hAnsi="Times New Roman" w:cs="Times New Roman"/>
          <w:color w:val="auto"/>
          <w:highlight w:val="none"/>
        </w:rPr>
        <w:t>。产生的固废或外卖，或委外处置，或由环卫部门定期清运。本项目治污设施满足先进水平，满足</w:t>
      </w:r>
      <w:r>
        <w:rPr>
          <w:rFonts w:hint="eastAsia" w:ascii="Times New Roman" w:hAnsi="Times New Roman" w:cs="Times New Roman"/>
          <w:snapToGrid w:val="0"/>
          <w:color w:val="auto"/>
          <w:szCs w:val="20"/>
          <w:highlight w:val="none"/>
        </w:rPr>
        <w:t>《排污许可证申请与核发技术规范专用化学产品制造工业》（HJ1103-2020）</w:t>
      </w:r>
      <w:r>
        <w:rPr>
          <w:rFonts w:ascii="Times New Roman" w:hAnsi="Times New Roman" w:cs="Times New Roman"/>
          <w:snapToGrid w:val="0"/>
          <w:color w:val="auto"/>
          <w:szCs w:val="20"/>
          <w:highlight w:val="none"/>
        </w:rPr>
        <w:t>等</w:t>
      </w:r>
      <w:r>
        <w:rPr>
          <w:rFonts w:ascii="Times New Roman" w:hAnsi="Times New Roman" w:cs="Times New Roman"/>
          <w:color w:val="auto"/>
          <w:highlight w:val="none"/>
        </w:rPr>
        <w:t>要求，因此，本项目符合《关于在环评审批阶段开展</w:t>
      </w:r>
      <w:r>
        <w:rPr>
          <w:rFonts w:hint="eastAsia" w:ascii="Times New Roman" w:hAnsi="Times New Roman" w:cs="Times New Roman"/>
          <w:color w:val="auto"/>
          <w:highlight w:val="none"/>
        </w:rPr>
        <w:t>“</w:t>
      </w:r>
      <w:r>
        <w:rPr>
          <w:rFonts w:ascii="Times New Roman" w:hAnsi="Times New Roman" w:cs="Times New Roman"/>
          <w:color w:val="auto"/>
          <w:highlight w:val="none"/>
        </w:rPr>
        <w:t>源头管控行动</w:t>
      </w:r>
      <w:r>
        <w:rPr>
          <w:rFonts w:hint="eastAsia" w:ascii="Times New Roman" w:hAnsi="Times New Roman" w:cs="Times New Roman"/>
          <w:color w:val="auto"/>
          <w:highlight w:val="none"/>
        </w:rPr>
        <w:t>”</w:t>
      </w:r>
      <w:r>
        <w:rPr>
          <w:rFonts w:ascii="Times New Roman" w:hAnsi="Times New Roman" w:cs="Times New Roman"/>
          <w:color w:val="auto"/>
          <w:highlight w:val="none"/>
        </w:rPr>
        <w:t>的工作意见》（锡环办[2021]142号）相关要求。</w:t>
      </w:r>
    </w:p>
    <w:p w14:paraId="093C4A06">
      <w:pPr>
        <w:pStyle w:val="97"/>
        <w:keepNext/>
        <w:tabs>
          <w:tab w:val="left" w:pos="0"/>
          <w:tab w:val="left" w:pos="2550"/>
        </w:tabs>
        <w:spacing w:before="120" w:beforeLines="50" w:after="120" w:afterLines="50" w:line="360" w:lineRule="auto"/>
        <w:ind w:left="-105" w:right="-105" w:firstLine="0" w:firstLineChars="0"/>
        <w:outlineLvl w:val="3"/>
        <w:rPr>
          <w:rFonts w:eastAsia="宋体"/>
          <w:b/>
          <w:bCs/>
          <w:color w:val="auto"/>
          <w:sz w:val="24"/>
          <w:szCs w:val="22"/>
          <w:highlight w:val="none"/>
        </w:rPr>
      </w:pPr>
      <w:r>
        <w:rPr>
          <w:rFonts w:hint="eastAsia" w:eastAsia="宋体"/>
          <w:b/>
          <w:bCs/>
          <w:color w:val="auto"/>
          <w:sz w:val="24"/>
          <w:szCs w:val="22"/>
          <w:highlight w:val="none"/>
        </w:rPr>
        <w:t>2.6.5.15与《江苏省挥发性有机物清洁原料替代工作方案》（苏大气办[2021]2号）、《无锡市重点行业挥发性有机物清洁原料替代工作方案》（锡大气办[2021]11号）相符性分析</w:t>
      </w:r>
    </w:p>
    <w:p w14:paraId="782F5EF1">
      <w:pPr>
        <w:adjustRightInd w:val="0"/>
        <w:snapToGrid w:val="0"/>
        <w:spacing w:line="360" w:lineRule="auto"/>
        <w:ind w:left="-105" w:right="-105" w:firstLine="480" w:firstLineChars="200"/>
        <w:jc w:val="both"/>
        <w:rPr>
          <w:rFonts w:ascii="Times New Roman" w:hAnsi="Times New Roman" w:cs="Times New Roman"/>
          <w:color w:val="auto"/>
          <w:highlight w:val="none"/>
        </w:rPr>
      </w:pPr>
      <w:r>
        <w:rPr>
          <w:rFonts w:hint="eastAsia" w:ascii="Times New Roman" w:hAnsi="Times New Roman" w:cs="Times New Roman"/>
          <w:color w:val="auto"/>
          <w:highlight w:val="none"/>
        </w:rPr>
        <w:t>“</w:t>
      </w:r>
      <w:r>
        <w:rPr>
          <w:rFonts w:ascii="Times New Roman" w:hAnsi="Times New Roman" w:cs="Times New Roman"/>
          <w:color w:val="auto"/>
          <w:highlight w:val="none"/>
        </w:rPr>
        <w:t>以工业涂装、包装印刷、纺织、木材加工等行业为重点，按照源头替代具体要求（附件2），推进167家重点企业清洁原料替代工作。实施替代的企业要使用符合《低挥发性有机化合物含量涂料产品技术要求》（GB/T38597-2020）规定的粉末、水性、无溶剂、辐射固化涂料产品；符合《油墨中可挥发性有机化合物（VOCs）含量的限值》（GB38507-2020）规定的水性油墨和能量固化油墨产品；符合《清洗剂挥发性有机化合物含量限值》（GB38508-2020）规定的水基、半水基清洗剂产品；符合《胶粘剂挥发性有机化合物限量》（GB33372-2020）规定的水基型、本体型胶粘剂产品。若确实无法达到上述要求，应提供相应的论证说明，相关涂料、油墨、清洗剂、胶粘剂等产品应符合相关标准中VOCs含量的限值要求。</w:t>
      </w:r>
      <w:r>
        <w:rPr>
          <w:rFonts w:hint="eastAsia" w:ascii="Times New Roman" w:hAnsi="Times New Roman" w:cs="Times New Roman"/>
          <w:color w:val="auto"/>
          <w:highlight w:val="none"/>
        </w:rPr>
        <w:t>”</w:t>
      </w:r>
    </w:p>
    <w:p w14:paraId="68E5B030">
      <w:pPr>
        <w:adjustRightInd w:val="0"/>
        <w:snapToGrid w:val="0"/>
        <w:spacing w:line="360" w:lineRule="auto"/>
        <w:ind w:left="-105" w:right="-105" w:firstLine="480" w:firstLineChars="200"/>
        <w:jc w:val="both"/>
        <w:rPr>
          <w:rFonts w:ascii="Times New Roman" w:hAnsi="Times New Roman" w:cs="Times New Roman"/>
          <w:color w:val="auto"/>
          <w:highlight w:val="none"/>
        </w:rPr>
      </w:pPr>
      <w:r>
        <w:rPr>
          <w:rFonts w:hint="eastAsia" w:ascii="Times New Roman" w:hAnsi="Times New Roman" w:cs="Times New Roman"/>
          <w:color w:val="auto"/>
          <w:highlight w:val="none"/>
        </w:rPr>
        <w:t>“</w:t>
      </w:r>
      <w:r>
        <w:rPr>
          <w:rFonts w:ascii="Times New Roman" w:hAnsi="Times New Roman" w:cs="Times New Roman"/>
          <w:color w:val="auto"/>
          <w:highlight w:val="none"/>
        </w:rPr>
        <w:t>禁止建设生产和使用高VOCs含量的涂料、油墨、胶黏剂等项目。2021年起，全市工业涂装、包装印刷、纺织、木材加工等行业以及涂料、油墨等生产企业的新（改、扩）建项目需满足低（无）VOCs含量限值要求。市场上流通的水性涂料等低挥发性有机物含量涂料产品，执行国家《低挥发性有机化合物含量涂料产品技术要求》（GB/T38597-2020）</w:t>
      </w:r>
      <w:r>
        <w:rPr>
          <w:rFonts w:hint="eastAsia" w:ascii="Times New Roman" w:hAnsi="Times New Roman" w:cs="Times New Roman"/>
          <w:color w:val="auto"/>
          <w:highlight w:val="none"/>
        </w:rPr>
        <w:t>。”</w:t>
      </w:r>
    </w:p>
    <w:p w14:paraId="4E058393">
      <w:pPr>
        <w:adjustRightInd w:val="0"/>
        <w:snapToGrid w:val="0"/>
        <w:spacing w:line="360" w:lineRule="auto"/>
        <w:ind w:left="-105" w:right="-105" w:firstLine="480" w:firstLineChars="200"/>
        <w:jc w:val="both"/>
        <w:rPr>
          <w:color w:val="auto"/>
          <w:highlight w:val="none"/>
        </w:rPr>
      </w:pPr>
      <w:r>
        <w:rPr>
          <w:rFonts w:ascii="Times New Roman" w:hAnsi="Times New Roman" w:cs="Times New Roman"/>
          <w:color w:val="auto"/>
          <w:szCs w:val="21"/>
          <w:highlight w:val="none"/>
        </w:rPr>
        <w:t>本项目属于</w:t>
      </w:r>
      <w:r>
        <w:rPr>
          <w:rFonts w:hint="eastAsia" w:ascii="Times New Roman" w:hAnsi="Times New Roman" w:cs="Times New Roman"/>
          <w:color w:val="auto"/>
          <w:szCs w:val="21"/>
          <w:highlight w:val="none"/>
        </w:rPr>
        <w:t>C3985电子专用材料制造</w:t>
      </w:r>
      <w:r>
        <w:rPr>
          <w:rFonts w:ascii="Times New Roman" w:hAnsi="Times New Roman" w:cs="Times New Roman"/>
          <w:color w:val="auto"/>
          <w:szCs w:val="21"/>
          <w:highlight w:val="none"/>
        </w:rPr>
        <w:t>，生产过程中不使用溶剂型涂料、油墨</w:t>
      </w:r>
      <w:r>
        <w:rPr>
          <w:rFonts w:hint="eastAsia" w:ascii="Times New Roman" w:hAnsi="Times New Roman" w:cs="Times New Roman"/>
          <w:color w:val="auto"/>
          <w:highlight w:val="none"/>
        </w:rPr>
        <w:t>、清洗剂</w:t>
      </w:r>
      <w:r>
        <w:rPr>
          <w:rFonts w:ascii="Times New Roman" w:hAnsi="Times New Roman" w:cs="Times New Roman"/>
          <w:color w:val="auto"/>
          <w:szCs w:val="21"/>
          <w:highlight w:val="none"/>
        </w:rPr>
        <w:t>等高VOCs含量的原料</w:t>
      </w:r>
      <w:r>
        <w:rPr>
          <w:rFonts w:hint="eastAsia" w:ascii="Times New Roman" w:hAnsi="Times New Roman" w:cs="Times New Roman"/>
          <w:color w:val="auto"/>
          <w:szCs w:val="21"/>
          <w:highlight w:val="none"/>
        </w:rPr>
        <w:t>。</w:t>
      </w:r>
      <w:r>
        <w:rPr>
          <w:rFonts w:ascii="Times New Roman" w:hAnsi="Times New Roman" w:cs="Times New Roman"/>
          <w:color w:val="auto"/>
          <w:highlight w:val="none"/>
        </w:rPr>
        <w:t>因此本项目符合</w:t>
      </w:r>
      <w:r>
        <w:rPr>
          <w:rFonts w:hint="eastAsia" w:ascii="Times New Roman" w:hAnsi="Times New Roman" w:cs="Times New Roman"/>
          <w:color w:val="auto"/>
          <w:highlight w:val="none"/>
        </w:rPr>
        <w:t>《江苏省挥发性有机物清洁原料替代工作方案》（苏大气办[2021]2号）、</w:t>
      </w:r>
      <w:r>
        <w:rPr>
          <w:rFonts w:ascii="Times New Roman" w:hAnsi="Times New Roman" w:cs="Times New Roman"/>
          <w:color w:val="auto"/>
          <w:highlight w:val="none"/>
        </w:rPr>
        <w:t>《无锡市重点行业挥发性有机物清洁原料替代工作方案》（锡大气办[2021]11号）的要求。</w:t>
      </w:r>
    </w:p>
    <w:p w14:paraId="4FEDF2D2">
      <w:pPr>
        <w:pStyle w:val="97"/>
        <w:keepNext/>
        <w:tabs>
          <w:tab w:val="left" w:pos="0"/>
          <w:tab w:val="left" w:pos="2550"/>
        </w:tabs>
        <w:spacing w:before="120" w:beforeLines="50" w:after="120" w:afterLines="50" w:line="360" w:lineRule="auto"/>
        <w:ind w:left="-105" w:right="-105" w:firstLine="0" w:firstLineChars="0"/>
        <w:outlineLvl w:val="3"/>
        <w:rPr>
          <w:rFonts w:eastAsia="宋体"/>
          <w:b/>
          <w:bCs/>
          <w:color w:val="auto"/>
          <w:sz w:val="24"/>
          <w:szCs w:val="22"/>
          <w:highlight w:val="none"/>
        </w:rPr>
      </w:pPr>
      <w:r>
        <w:rPr>
          <w:rFonts w:eastAsia="宋体"/>
          <w:b/>
          <w:bCs/>
          <w:color w:val="auto"/>
          <w:sz w:val="24"/>
          <w:szCs w:val="22"/>
          <w:highlight w:val="none"/>
        </w:rPr>
        <w:t>2.6.5.</w:t>
      </w:r>
      <w:r>
        <w:rPr>
          <w:rFonts w:hint="eastAsia" w:eastAsia="宋体"/>
          <w:b/>
          <w:bCs/>
          <w:color w:val="auto"/>
          <w:sz w:val="24"/>
          <w:szCs w:val="22"/>
          <w:highlight w:val="none"/>
        </w:rPr>
        <w:t>16</w:t>
      </w:r>
      <w:r>
        <w:rPr>
          <w:rFonts w:eastAsia="宋体"/>
          <w:b/>
          <w:bCs/>
          <w:color w:val="auto"/>
          <w:sz w:val="24"/>
          <w:szCs w:val="22"/>
          <w:highlight w:val="none"/>
        </w:rPr>
        <w:t>与</w:t>
      </w:r>
      <w:r>
        <w:rPr>
          <w:rFonts w:hint="eastAsia" w:eastAsia="宋体"/>
          <w:b/>
          <w:bCs/>
          <w:color w:val="auto"/>
          <w:sz w:val="24"/>
          <w:szCs w:val="22"/>
          <w:highlight w:val="none"/>
        </w:rPr>
        <w:t>《省政府办公厅关于加快推进城市污水处理能力建设全面提升污水集中收集处理率的实施意见》（苏政办发</w:t>
      </w:r>
      <w:r>
        <w:rPr>
          <w:rFonts w:eastAsia="宋体"/>
          <w:b/>
          <w:bCs/>
          <w:color w:val="auto"/>
          <w:sz w:val="24"/>
          <w:szCs w:val="22"/>
          <w:highlight w:val="none"/>
        </w:rPr>
        <w:t>[2022]42号）相符性分析</w:t>
      </w:r>
    </w:p>
    <w:p w14:paraId="04944F20">
      <w:pPr>
        <w:adjustRightInd w:val="0"/>
        <w:snapToGrid w:val="0"/>
        <w:spacing w:line="360" w:lineRule="auto"/>
        <w:ind w:left="-105" w:right="-105" w:firstLine="480" w:firstLineChars="200"/>
        <w:jc w:val="both"/>
        <w:rPr>
          <w:rFonts w:ascii="Times New Roman" w:hAnsi="Times New Roman" w:cs="Times New Roman"/>
          <w:color w:val="auto"/>
          <w:highlight w:val="none"/>
        </w:rPr>
      </w:pPr>
      <w:r>
        <w:rPr>
          <w:rFonts w:hint="eastAsia" w:ascii="Times New Roman" w:hAnsi="Times New Roman" w:cs="Times New Roman"/>
          <w:color w:val="auto"/>
          <w:highlight w:val="none"/>
        </w:rPr>
        <w:t>（四）强化工业废水与生活污水分类收集、分质处理。加快推进工业污水集中处理设施建设。新建冶金、电镀、化工、印染、原料药制造（有工业废水处理资质且出水达到国家标准的原料药制造企业除外）等工业企业排放含重金属、难降解废水、高盐废水的，不得排入城市污水集中收集处理设施。已接管城市污水集中收集处理设施的工业企业组织全面排查评估，认定不能接入的限期退出，认定可以接入的须经预处理达标后方可接入。接管企业应依法取得排污许可和排水许可，出水应与污水处理厂联网实时监控。出现接管超标的，污水处理厂应及时向主管部门报告。</w:t>
      </w:r>
    </w:p>
    <w:p w14:paraId="6A05FF19">
      <w:pPr>
        <w:adjustRightInd w:val="0"/>
        <w:snapToGrid w:val="0"/>
        <w:spacing w:line="360" w:lineRule="auto"/>
        <w:ind w:left="-105" w:right="-105" w:firstLine="480" w:firstLineChars="200"/>
        <w:jc w:val="both"/>
        <w:rPr>
          <w:rFonts w:ascii="Times New Roman" w:hAnsi="Times New Roman" w:cs="Times New Roman"/>
          <w:color w:val="auto"/>
          <w:highlight w:val="none"/>
        </w:rPr>
      </w:pPr>
      <w:r>
        <w:rPr>
          <w:rFonts w:hint="eastAsia" w:ascii="Times New Roman" w:hAnsi="Times New Roman" w:cs="Times New Roman"/>
          <w:color w:val="auto"/>
          <w:highlight w:val="none"/>
        </w:rPr>
        <w:t>企业生活污水经化粪池预处理后与初期雨水收集后委托无锡先进化药化工有限公司处理达标后接入无锡市锡山云林污水处理有限公司</w:t>
      </w:r>
      <w:r>
        <w:rPr>
          <w:rFonts w:ascii="Times New Roman" w:hAnsi="Times New Roman" w:cs="Times New Roman"/>
          <w:color w:val="auto"/>
          <w:highlight w:val="none"/>
        </w:rPr>
        <w:t>。产生的固废或外卖，或委外处置，或由环卫部门定期清运。</w:t>
      </w:r>
      <w:r>
        <w:rPr>
          <w:rFonts w:hint="eastAsia" w:ascii="Times New Roman" w:hAnsi="Times New Roman" w:cs="Times New Roman"/>
          <w:color w:val="auto"/>
          <w:highlight w:val="none"/>
        </w:rPr>
        <w:t>项目建成后将依法重新申领排污许可证，将按后续要求安装出水监控并与污水处理厂联网。</w:t>
      </w:r>
    </w:p>
    <w:p w14:paraId="140B9BB6">
      <w:pPr>
        <w:adjustRightInd w:val="0"/>
        <w:snapToGrid w:val="0"/>
        <w:spacing w:line="360" w:lineRule="auto"/>
        <w:ind w:left="-105" w:right="-105" w:firstLine="480" w:firstLineChars="200"/>
        <w:jc w:val="both"/>
        <w:rPr>
          <w:rFonts w:ascii="Times New Roman" w:hAnsi="Times New Roman" w:cs="Times New Roman"/>
          <w:color w:val="auto"/>
          <w:highlight w:val="none"/>
        </w:rPr>
      </w:pPr>
      <w:r>
        <w:rPr>
          <w:rFonts w:hint="eastAsia" w:ascii="Times New Roman" w:hAnsi="Times New Roman" w:cs="Times New Roman"/>
          <w:color w:val="auto"/>
          <w:highlight w:val="none"/>
        </w:rPr>
        <w:t>因此，本项目符合《省政府办公厅关于加快推进城市污水处理能力建设全面提升污水集中收集处理率的实施意见》（苏政办发</w:t>
      </w:r>
      <w:r>
        <w:rPr>
          <w:rFonts w:ascii="Times New Roman" w:hAnsi="Times New Roman" w:cs="Times New Roman"/>
          <w:color w:val="auto"/>
          <w:highlight w:val="none"/>
        </w:rPr>
        <w:t>[2022]42号）</w:t>
      </w:r>
      <w:r>
        <w:rPr>
          <w:rFonts w:hint="eastAsia" w:ascii="Times New Roman" w:hAnsi="Times New Roman" w:cs="Times New Roman"/>
          <w:color w:val="auto"/>
          <w:highlight w:val="none"/>
        </w:rPr>
        <w:t>相关要求。</w:t>
      </w:r>
    </w:p>
    <w:p w14:paraId="44542E98">
      <w:pPr>
        <w:pStyle w:val="97"/>
        <w:keepNext/>
        <w:tabs>
          <w:tab w:val="left" w:pos="0"/>
          <w:tab w:val="left" w:pos="2550"/>
        </w:tabs>
        <w:spacing w:before="120" w:beforeLines="50" w:after="120" w:afterLines="50" w:line="360" w:lineRule="auto"/>
        <w:ind w:left="-105" w:right="-105" w:firstLine="0" w:firstLineChars="0"/>
        <w:outlineLvl w:val="3"/>
        <w:rPr>
          <w:rFonts w:eastAsia="宋体"/>
          <w:b/>
          <w:bCs/>
          <w:color w:val="auto"/>
          <w:sz w:val="24"/>
          <w:szCs w:val="22"/>
          <w:highlight w:val="none"/>
        </w:rPr>
      </w:pPr>
      <w:r>
        <w:rPr>
          <w:rFonts w:eastAsia="宋体"/>
          <w:b/>
          <w:bCs/>
          <w:color w:val="auto"/>
          <w:sz w:val="24"/>
          <w:szCs w:val="22"/>
          <w:highlight w:val="none"/>
        </w:rPr>
        <w:t>2.6.5.</w:t>
      </w:r>
      <w:r>
        <w:rPr>
          <w:rFonts w:hint="eastAsia" w:eastAsia="宋体"/>
          <w:b/>
          <w:bCs/>
          <w:color w:val="auto"/>
          <w:sz w:val="24"/>
          <w:szCs w:val="22"/>
          <w:highlight w:val="none"/>
        </w:rPr>
        <w:t>17</w:t>
      </w:r>
      <w:r>
        <w:rPr>
          <w:rFonts w:eastAsia="宋体"/>
          <w:b/>
          <w:bCs/>
          <w:color w:val="auto"/>
          <w:sz w:val="24"/>
          <w:szCs w:val="22"/>
          <w:highlight w:val="none"/>
        </w:rPr>
        <w:t>与</w:t>
      </w:r>
      <w:r>
        <w:rPr>
          <w:rFonts w:hint="eastAsia" w:eastAsia="宋体"/>
          <w:b/>
          <w:bCs/>
          <w:color w:val="auto"/>
          <w:sz w:val="24"/>
          <w:szCs w:val="22"/>
          <w:highlight w:val="none"/>
        </w:rPr>
        <w:t>“</w:t>
      </w:r>
      <w:r>
        <w:rPr>
          <w:rFonts w:eastAsia="宋体"/>
          <w:b/>
          <w:bCs/>
          <w:color w:val="auto"/>
          <w:sz w:val="24"/>
          <w:szCs w:val="22"/>
          <w:highlight w:val="none"/>
        </w:rPr>
        <w:t>三线一单</w:t>
      </w:r>
      <w:r>
        <w:rPr>
          <w:rFonts w:hint="eastAsia" w:eastAsia="宋体"/>
          <w:b/>
          <w:bCs/>
          <w:color w:val="auto"/>
          <w:sz w:val="24"/>
          <w:szCs w:val="22"/>
          <w:highlight w:val="none"/>
        </w:rPr>
        <w:t>”</w:t>
      </w:r>
      <w:r>
        <w:rPr>
          <w:rFonts w:eastAsia="宋体"/>
          <w:b/>
          <w:bCs/>
          <w:color w:val="auto"/>
          <w:sz w:val="24"/>
          <w:szCs w:val="22"/>
          <w:highlight w:val="none"/>
        </w:rPr>
        <w:t>相符性分析</w:t>
      </w:r>
    </w:p>
    <w:p w14:paraId="79A7DDF3">
      <w:pPr>
        <w:adjustRightInd w:val="0"/>
        <w:snapToGrid w:val="0"/>
        <w:spacing w:line="360" w:lineRule="auto"/>
        <w:ind w:left="-105" w:right="-105" w:firstLine="480" w:firstLineChars="200"/>
        <w:jc w:val="both"/>
        <w:rPr>
          <w:rFonts w:ascii="Times New Roman" w:hAnsi="Times New Roman" w:cs="Times New Roman"/>
          <w:color w:val="auto"/>
          <w:highlight w:val="none"/>
        </w:rPr>
      </w:pPr>
      <w:r>
        <w:rPr>
          <w:rFonts w:hint="eastAsia"/>
          <w:color w:val="auto"/>
          <w:highlight w:val="none"/>
        </w:rPr>
        <w:t>①</w:t>
      </w:r>
      <w:r>
        <w:rPr>
          <w:rFonts w:ascii="Times New Roman" w:hAnsi="Times New Roman" w:cs="Times New Roman"/>
          <w:color w:val="auto"/>
          <w:highlight w:val="none"/>
        </w:rPr>
        <w:t>生态保护红线</w:t>
      </w:r>
    </w:p>
    <w:p w14:paraId="2F2A6DB3">
      <w:pPr>
        <w:adjustRightInd w:val="0"/>
        <w:snapToGrid w:val="0"/>
        <w:spacing w:line="360" w:lineRule="auto"/>
        <w:ind w:left="-105" w:right="-105" w:firstLine="480" w:firstLineChars="200"/>
        <w:jc w:val="both"/>
        <w:rPr>
          <w:rFonts w:ascii="Times New Roman" w:hAnsi="Times New Roman" w:cs="Times New Roman"/>
          <w:color w:val="auto"/>
          <w:highlight w:val="none"/>
        </w:rPr>
      </w:pPr>
      <w:r>
        <w:rPr>
          <w:rFonts w:ascii="Times New Roman" w:hAnsi="Times New Roman" w:cs="Times New Roman"/>
          <w:color w:val="auto"/>
          <w:highlight w:val="none"/>
        </w:rPr>
        <w:t>根据《省政府关于印发江苏省生态空间管控区域规划的通知》（苏政发[2020]1号），生态红线区域实行分级管理和分类管理，国家级生态保护红线原则上按禁止开发区域的要求进行管理，严禁不符合主体功能定位的各类开发活动，严禁任意改变用途。生态空间管控区域以生态保护为重点，原则上不得开展有损主导生态功能的开发建设活动，不得随意占用和调整。</w:t>
      </w:r>
    </w:p>
    <w:p w14:paraId="14D0969C">
      <w:pPr>
        <w:adjustRightInd w:val="0"/>
        <w:snapToGrid w:val="0"/>
        <w:spacing w:line="360" w:lineRule="auto"/>
        <w:ind w:left="-105" w:right="-105" w:firstLine="480" w:firstLineChars="200"/>
        <w:jc w:val="both"/>
        <w:rPr>
          <w:rFonts w:ascii="Times New Roman" w:hAnsi="Times New Roman" w:cs="Times New Roman"/>
          <w:color w:val="auto"/>
          <w:highlight w:val="none"/>
        </w:rPr>
      </w:pPr>
      <w:r>
        <w:rPr>
          <w:rFonts w:ascii="Times New Roman" w:hAnsi="Times New Roman" w:cs="Times New Roman"/>
          <w:color w:val="auto"/>
          <w:highlight w:val="none"/>
        </w:rPr>
        <w:t>本项目位于</w:t>
      </w:r>
      <w:r>
        <w:rPr>
          <w:rFonts w:ascii="Times New Roman" w:hAnsi="Times New Roman"/>
          <w:color w:val="auto"/>
          <w:szCs w:val="18"/>
          <w:highlight w:val="none"/>
        </w:rPr>
        <w:t>无锡市锡山区</w:t>
      </w:r>
      <w:r>
        <w:rPr>
          <w:rFonts w:hint="eastAsia" w:ascii="Times New Roman" w:hAnsi="Times New Roman"/>
          <w:color w:val="auto"/>
          <w:szCs w:val="18"/>
          <w:highlight w:val="none"/>
        </w:rPr>
        <w:t>锡北</w:t>
      </w:r>
      <w:r>
        <w:rPr>
          <w:rFonts w:ascii="Times New Roman" w:hAnsi="Times New Roman"/>
          <w:color w:val="auto"/>
          <w:szCs w:val="18"/>
          <w:highlight w:val="none"/>
        </w:rPr>
        <w:t>镇</w:t>
      </w:r>
      <w:r>
        <w:rPr>
          <w:rFonts w:hint="eastAsia" w:ascii="Times New Roman" w:hAnsi="Times New Roman"/>
          <w:color w:val="auto"/>
          <w:szCs w:val="18"/>
          <w:highlight w:val="none"/>
        </w:rPr>
        <w:t>新坝村新达路6号</w:t>
      </w:r>
      <w:r>
        <w:rPr>
          <w:rFonts w:ascii="Times New Roman" w:hAnsi="Times New Roman" w:cs="Times New Roman"/>
          <w:color w:val="auto"/>
          <w:highlight w:val="none"/>
        </w:rPr>
        <w:t>，经查阅《省政府关于印发&lt;江苏省国家级生态保护红线规划&gt;的通知（苏政发[2018]74号），本项目选址不在国家级生态保护红线规划范围内；经查阅《省政府关于印发江苏省生态空间管控区域规划的通知》(苏政发[2020]1号)</w:t>
      </w:r>
      <w:r>
        <w:rPr>
          <w:rFonts w:hint="eastAsia" w:ascii="Times New Roman" w:hAnsi="Times New Roman" w:cs="Times New Roman"/>
          <w:color w:val="auto"/>
          <w:highlight w:val="none"/>
        </w:rPr>
        <w:t>“</w:t>
      </w:r>
      <w:r>
        <w:rPr>
          <w:rFonts w:ascii="Times New Roman" w:hAnsi="Times New Roman" w:cs="Times New Roman"/>
          <w:color w:val="auto"/>
          <w:highlight w:val="none"/>
        </w:rPr>
        <w:t>无锡市生态空间保护区域名录</w:t>
      </w:r>
      <w:r>
        <w:rPr>
          <w:rFonts w:hint="eastAsia" w:ascii="Times New Roman" w:hAnsi="Times New Roman" w:cs="Times New Roman"/>
          <w:color w:val="auto"/>
          <w:highlight w:val="none"/>
        </w:rPr>
        <w:t>”</w:t>
      </w:r>
      <w:r>
        <w:rPr>
          <w:rFonts w:ascii="Times New Roman" w:hAnsi="Times New Roman" w:cs="Times New Roman"/>
          <w:color w:val="auto"/>
          <w:highlight w:val="none"/>
        </w:rPr>
        <w:t>，本项目不在生态红线区域范围内，另根据《无锡市锡山区生态文明建设规划》，本项目不在其生态红线区域范围内，距本项目最近的生态红线区域为</w:t>
      </w:r>
      <w:r>
        <w:rPr>
          <w:rFonts w:hint="eastAsia" w:ascii="Times New Roman" w:hAnsi="Times New Roman" w:cs="Times New Roman"/>
          <w:color w:val="auto"/>
          <w:highlight w:val="none"/>
        </w:rPr>
        <w:t>京沪高铁锡山段沿线生态防护林</w:t>
      </w:r>
      <w:r>
        <w:rPr>
          <w:rFonts w:ascii="Times New Roman" w:hAnsi="Times New Roman" w:cs="Times New Roman"/>
          <w:color w:val="auto"/>
          <w:highlight w:val="none"/>
        </w:rPr>
        <w:t>，位于本项目东侧厂界约</w:t>
      </w:r>
      <w:r>
        <w:rPr>
          <w:rFonts w:hint="eastAsia" w:ascii="Times New Roman" w:hAnsi="Times New Roman" w:cs="Times New Roman"/>
          <w:color w:val="auto"/>
          <w:highlight w:val="none"/>
        </w:rPr>
        <w:t>733</w:t>
      </w:r>
      <w:r>
        <w:rPr>
          <w:rFonts w:ascii="Times New Roman" w:hAnsi="Times New Roman" w:cs="Times New Roman"/>
          <w:color w:val="auto"/>
          <w:highlight w:val="none"/>
        </w:rPr>
        <w:t>m。因此，本项目的建设不会导致无锡市辖区内生态红线区域服务功能下降，符合生态红线保护的要求。</w:t>
      </w:r>
    </w:p>
    <w:p w14:paraId="0C5A1B42">
      <w:pPr>
        <w:adjustRightInd w:val="0"/>
        <w:snapToGrid w:val="0"/>
        <w:spacing w:line="360" w:lineRule="auto"/>
        <w:ind w:left="-105" w:right="-105" w:firstLine="480" w:firstLineChars="200"/>
        <w:jc w:val="both"/>
        <w:rPr>
          <w:rFonts w:ascii="Times New Roman" w:hAnsi="Times New Roman" w:cs="Times New Roman"/>
          <w:color w:val="auto"/>
          <w:highlight w:val="none"/>
        </w:rPr>
      </w:pPr>
      <w:r>
        <w:rPr>
          <w:rFonts w:hint="eastAsia"/>
          <w:color w:val="auto"/>
          <w:highlight w:val="none"/>
        </w:rPr>
        <w:t>②</w:t>
      </w:r>
      <w:r>
        <w:rPr>
          <w:rFonts w:ascii="Times New Roman" w:hAnsi="Times New Roman" w:cs="Times New Roman"/>
          <w:color w:val="auto"/>
          <w:highlight w:val="none"/>
        </w:rPr>
        <w:t>环境质量底线</w:t>
      </w:r>
    </w:p>
    <w:p w14:paraId="5300FC6E">
      <w:pPr>
        <w:adjustRightInd w:val="0"/>
        <w:snapToGrid w:val="0"/>
        <w:spacing w:line="360" w:lineRule="auto"/>
        <w:ind w:left="-105" w:right="-105" w:firstLine="480" w:firstLineChars="200"/>
        <w:jc w:val="both"/>
        <w:rPr>
          <w:rFonts w:ascii="Times New Roman" w:hAnsi="Times New Roman" w:cs="Times New Roman"/>
          <w:color w:val="auto"/>
          <w:highlight w:val="none"/>
        </w:rPr>
      </w:pPr>
      <w:r>
        <w:rPr>
          <w:rFonts w:ascii="Times New Roman" w:hAnsi="Times New Roman" w:cs="Times New Roman"/>
          <w:color w:val="auto"/>
          <w:highlight w:val="none"/>
        </w:rPr>
        <w:t>根据《市政府办公室关于转发市环保局无锡市环境空气质量功能区划规定的通知》，项目所在地属于二类环境空气质量功能区。根据《江苏省地表水（环境）功能区划（2021-2030年）》（苏环办[2022]82号），</w:t>
      </w:r>
      <w:r>
        <w:rPr>
          <w:rFonts w:hint="eastAsia" w:ascii="Times New Roman" w:hAnsi="Times New Roman" w:cs="Times New Roman"/>
          <w:color w:val="auto"/>
          <w:highlight w:val="none"/>
        </w:rPr>
        <w:t>无锡市锡山云林污水处理有限公司</w:t>
      </w:r>
      <w:r>
        <w:rPr>
          <w:rFonts w:ascii="Times New Roman" w:hAnsi="Times New Roman" w:cs="Times New Roman"/>
          <w:color w:val="auto"/>
          <w:highlight w:val="none"/>
        </w:rPr>
        <w:t>纳污河流</w:t>
      </w:r>
      <w:r>
        <w:rPr>
          <w:rFonts w:hint="eastAsia" w:ascii="Times New Roman" w:hAnsi="Times New Roman" w:cs="Times New Roman"/>
          <w:color w:val="auto"/>
          <w:highlight w:val="none"/>
        </w:rPr>
        <w:t>北兴塘</w:t>
      </w:r>
      <w:r>
        <w:rPr>
          <w:rFonts w:ascii="Times New Roman" w:hAnsi="Times New Roman" w:cs="Times New Roman"/>
          <w:color w:val="auto"/>
          <w:highlight w:val="none"/>
        </w:rPr>
        <w:t>河2030年水质目标为Ⅲ类水体。根据《市政府办公室关于印发无锡市区声环境功能区划分调整方案的通知》（锡政办发[2018]157号），该区域为3类声功能区。项目土壤环境质量执行第二类用地筛选值、管控值标准。区域地下水执行《地下水环境质量标准》（GB/T14848-2017）IV类标准。</w:t>
      </w:r>
    </w:p>
    <w:p w14:paraId="2D8E4797">
      <w:pPr>
        <w:adjustRightInd w:val="0"/>
        <w:snapToGrid w:val="0"/>
        <w:spacing w:line="360" w:lineRule="auto"/>
        <w:ind w:left="-105" w:right="-105" w:firstLine="480" w:firstLineChars="200"/>
        <w:jc w:val="both"/>
        <w:rPr>
          <w:rFonts w:ascii="Times New Roman" w:hAnsi="Times New Roman" w:cs="Times New Roman"/>
          <w:color w:val="auto"/>
          <w:highlight w:val="none"/>
        </w:rPr>
      </w:pPr>
      <w:r>
        <w:rPr>
          <w:rFonts w:ascii="Times New Roman" w:hAnsi="Times New Roman" w:cs="Times New Roman"/>
          <w:color w:val="auto"/>
          <w:highlight w:val="none"/>
        </w:rPr>
        <w:t>项目所在地大气环境为环境空气质量功能二类地区，根据《202</w:t>
      </w:r>
      <w:r>
        <w:rPr>
          <w:rFonts w:hint="eastAsia" w:ascii="Times New Roman" w:hAnsi="Times New Roman" w:cs="Times New Roman"/>
          <w:color w:val="auto"/>
          <w:highlight w:val="none"/>
        </w:rPr>
        <w:t>3</w:t>
      </w:r>
      <w:r>
        <w:rPr>
          <w:rFonts w:ascii="Times New Roman" w:hAnsi="Times New Roman" w:cs="Times New Roman"/>
          <w:color w:val="auto"/>
          <w:highlight w:val="none"/>
        </w:rPr>
        <w:t>年度无锡市生态环境状况公报》，评价区基本污染物臭氧未达到《环境空气质量标准》(GB3095-2012)表1中二级标准要求，因此，判定无锡市为环境空气质量非达标区，根据通过审批的《无锡市大气环境质量限期达标规划》，无锡市环境空气质量2025年可实现全面达标。根据无锡市恒信安全技术服务有限公司对项目所在地的监测数据，</w:t>
      </w:r>
      <w:r>
        <w:rPr>
          <w:rFonts w:hint="eastAsia" w:ascii="Times New Roman" w:hAnsi="Times New Roman" w:cs="Times New Roman"/>
          <w:color w:val="auto"/>
          <w:highlight w:val="none"/>
        </w:rPr>
        <w:t>各个监测点氮氧化物监测浓度可满足《环境空气质量标准》（GB3095-2012）表1中二级标准要求；甲醇监测浓度可满足《环境影中厂界噪声响评价技术导则大气环境》（HJ2.2-2018）附录D其他污染物空气质量浓度参考限值；非甲烷总烃监测浓度均可满足《大气污染物综合排放标准详解》中的推荐值，该区域环境空气质量较好</w:t>
      </w:r>
      <w:r>
        <w:rPr>
          <w:rFonts w:ascii="Times New Roman" w:hAnsi="Times New Roman" w:cs="Times New Roman"/>
          <w:color w:val="auto"/>
          <w:highlight w:val="none"/>
        </w:rPr>
        <w:t>。</w:t>
      </w:r>
    </w:p>
    <w:p w14:paraId="6884278C">
      <w:pPr>
        <w:adjustRightInd w:val="0"/>
        <w:snapToGrid w:val="0"/>
        <w:spacing w:line="360" w:lineRule="auto"/>
        <w:ind w:left="-105" w:right="-105" w:firstLine="480" w:firstLineChars="200"/>
        <w:jc w:val="both"/>
        <w:rPr>
          <w:rFonts w:ascii="Times New Roman" w:hAnsi="Times New Roman" w:cs="Times New Roman"/>
          <w:color w:val="auto"/>
          <w:highlight w:val="none"/>
        </w:rPr>
      </w:pPr>
      <w:r>
        <w:rPr>
          <w:rFonts w:ascii="Times New Roman" w:hAnsi="Times New Roman" w:cs="Times New Roman"/>
          <w:color w:val="auto"/>
          <w:highlight w:val="none"/>
        </w:rPr>
        <w:t>建设项目</w:t>
      </w:r>
      <w:r>
        <w:rPr>
          <w:rFonts w:hint="eastAsia" w:ascii="Times New Roman" w:hAnsi="Times New Roman" w:cs="Times New Roman"/>
          <w:color w:val="auto"/>
          <w:highlight w:val="none"/>
        </w:rPr>
        <w:t>接管的无锡市锡山云林污水处理有限公司</w:t>
      </w:r>
      <w:r>
        <w:rPr>
          <w:rFonts w:ascii="Times New Roman" w:hAnsi="Times New Roman" w:cs="Times New Roman"/>
          <w:color w:val="auto"/>
          <w:highlight w:val="none"/>
        </w:rPr>
        <w:t>纳污水体为</w:t>
      </w:r>
      <w:r>
        <w:rPr>
          <w:rFonts w:hint="eastAsia" w:ascii="Times New Roman" w:hAnsi="Times New Roman" w:cs="Times New Roman"/>
          <w:color w:val="auto"/>
          <w:highlight w:val="none"/>
        </w:rPr>
        <w:t>北兴塘</w:t>
      </w:r>
      <w:r>
        <w:rPr>
          <w:rFonts w:ascii="Times New Roman" w:hAnsi="Times New Roman" w:cs="Times New Roman"/>
          <w:color w:val="auto"/>
          <w:highlight w:val="none"/>
        </w:rPr>
        <w:t>河，根据</w:t>
      </w:r>
      <w:r>
        <w:rPr>
          <w:rFonts w:hint="eastAsia" w:ascii="Times New Roman" w:hAnsi="Times New Roman" w:cs="Times New Roman"/>
          <w:color w:val="auto"/>
          <w:highlight w:val="none"/>
        </w:rPr>
        <w:t>江苏国舜检测技术有限公司对北兴塘河地表水环境质量进行的现状监测（报告编号：GS2310054017）</w:t>
      </w:r>
      <w:r>
        <w:rPr>
          <w:rFonts w:ascii="Times New Roman" w:hAnsi="Times New Roman" w:cs="Times New Roman"/>
          <w:color w:val="auto"/>
          <w:highlight w:val="none"/>
        </w:rPr>
        <w:t>，</w:t>
      </w:r>
      <w:r>
        <w:rPr>
          <w:rFonts w:hint="eastAsia" w:ascii="Times New Roman" w:hAnsi="Times New Roman" w:cs="Times New Roman"/>
          <w:color w:val="auto"/>
          <w:highlight w:val="none"/>
        </w:rPr>
        <w:t>无锡市锡山云林污水处理有限公司</w:t>
      </w:r>
      <w:r>
        <w:rPr>
          <w:rFonts w:ascii="Times New Roman" w:hAnsi="Times New Roman" w:cs="Times New Roman"/>
          <w:color w:val="auto"/>
          <w:highlight w:val="none"/>
        </w:rPr>
        <w:t>上游500米断面、</w:t>
      </w:r>
      <w:r>
        <w:rPr>
          <w:rFonts w:hint="eastAsia" w:ascii="Times New Roman" w:hAnsi="Times New Roman" w:cs="Times New Roman"/>
          <w:color w:val="auto"/>
          <w:highlight w:val="none"/>
        </w:rPr>
        <w:t>排污口、</w:t>
      </w:r>
      <w:r>
        <w:rPr>
          <w:rFonts w:ascii="Times New Roman" w:hAnsi="Times New Roman" w:cs="Times New Roman"/>
          <w:color w:val="auto"/>
          <w:highlight w:val="none"/>
        </w:rPr>
        <w:t>下游1000米断面pH、</w:t>
      </w:r>
      <w:r>
        <w:rPr>
          <w:rFonts w:hint="eastAsia" w:ascii="Times New Roman" w:hAnsi="Times New Roman" w:cs="Times New Roman"/>
          <w:color w:val="auto"/>
          <w:highlight w:val="none"/>
        </w:rPr>
        <w:t>溶解氧、</w:t>
      </w:r>
      <w:r>
        <w:rPr>
          <w:rFonts w:ascii="Times New Roman" w:hAnsi="Times New Roman" w:cs="Times New Roman"/>
          <w:color w:val="auto"/>
          <w:highlight w:val="none"/>
        </w:rPr>
        <w:t>化学需氧量、</w:t>
      </w:r>
      <w:r>
        <w:rPr>
          <w:rFonts w:hint="eastAsia" w:ascii="Times New Roman" w:hAnsi="Times New Roman" w:cs="Times New Roman"/>
          <w:color w:val="auto"/>
          <w:highlight w:val="none"/>
        </w:rPr>
        <w:t>悬浮物</w:t>
      </w:r>
      <w:r>
        <w:rPr>
          <w:rFonts w:ascii="Times New Roman" w:hAnsi="Times New Roman" w:cs="Times New Roman"/>
          <w:color w:val="auto"/>
          <w:highlight w:val="none"/>
        </w:rPr>
        <w:t>、氨氮</w:t>
      </w:r>
      <w:r>
        <w:rPr>
          <w:rFonts w:hint="eastAsia" w:ascii="Times New Roman" w:hAnsi="Times New Roman" w:cs="Times New Roman"/>
          <w:color w:val="auto"/>
          <w:highlight w:val="none"/>
        </w:rPr>
        <w:t>、总磷</w:t>
      </w:r>
      <w:r>
        <w:rPr>
          <w:rFonts w:ascii="Times New Roman" w:hAnsi="Times New Roman" w:cs="Times New Roman"/>
          <w:color w:val="auto"/>
          <w:highlight w:val="none"/>
        </w:rPr>
        <w:t>能满足《地表水环境质量标准》（GB3838-2002）III类标准要求，总氮不能满足《地表水环境质量标准》（GB3838-2002）III类标准要求。根据锡山区《区政府办公室关于印发锡山区河道环境综合整治工作方案的通知》（锡府办[2016]30号），通过水环境综合整治工作，区域水环境质量会有所改善。</w:t>
      </w:r>
    </w:p>
    <w:p w14:paraId="46AA896A">
      <w:pPr>
        <w:adjustRightInd w:val="0"/>
        <w:snapToGrid w:val="0"/>
        <w:spacing w:line="360" w:lineRule="auto"/>
        <w:ind w:left="-105" w:right="-105" w:firstLine="480" w:firstLineChars="200"/>
        <w:jc w:val="both"/>
        <w:rPr>
          <w:rFonts w:ascii="Times New Roman" w:hAnsi="Times New Roman" w:cs="Times New Roman"/>
          <w:color w:val="auto"/>
          <w:highlight w:val="none"/>
        </w:rPr>
      </w:pPr>
      <w:r>
        <w:rPr>
          <w:rFonts w:ascii="Times New Roman" w:hAnsi="Times New Roman" w:cs="Times New Roman"/>
          <w:color w:val="auto"/>
          <w:highlight w:val="none"/>
        </w:rPr>
        <w:t>噪声现状</w:t>
      </w:r>
      <w:r>
        <w:rPr>
          <w:rFonts w:hint="eastAsia" w:ascii="Times New Roman" w:hAnsi="Times New Roman" w:cs="Times New Roman"/>
          <w:color w:val="auto"/>
          <w:highlight w:val="none"/>
        </w:rPr>
        <w:t>中厂界噪声</w:t>
      </w:r>
      <w:r>
        <w:rPr>
          <w:rFonts w:ascii="Times New Roman" w:hAnsi="Times New Roman" w:cs="Times New Roman"/>
          <w:color w:val="auto"/>
          <w:highlight w:val="none"/>
        </w:rPr>
        <w:t>均能达到《声环境质量标准》(GB3096-2008)中的3类声环境功能区要求</w:t>
      </w:r>
      <w:r>
        <w:rPr>
          <w:rFonts w:hint="eastAsia" w:ascii="Times New Roman" w:hAnsi="Times New Roman" w:cs="Times New Roman"/>
          <w:color w:val="auto"/>
          <w:highlight w:val="none"/>
        </w:rPr>
        <w:t>、敏感目标处均能</w:t>
      </w:r>
      <w:r>
        <w:rPr>
          <w:rFonts w:ascii="Times New Roman" w:hAnsi="Times New Roman" w:cs="Times New Roman"/>
          <w:color w:val="auto"/>
          <w:highlight w:val="none"/>
        </w:rPr>
        <w:t>达到《声环境质量标准》(GB3096-2008)中的</w:t>
      </w:r>
      <w:r>
        <w:rPr>
          <w:rFonts w:hint="eastAsia" w:ascii="Times New Roman" w:hAnsi="Times New Roman" w:cs="Times New Roman"/>
          <w:color w:val="auto"/>
          <w:highlight w:val="none"/>
        </w:rPr>
        <w:t>2</w:t>
      </w:r>
      <w:r>
        <w:rPr>
          <w:rFonts w:ascii="Times New Roman" w:hAnsi="Times New Roman" w:cs="Times New Roman"/>
          <w:color w:val="auto"/>
          <w:highlight w:val="none"/>
        </w:rPr>
        <w:t>类声环境功能区要求。</w:t>
      </w:r>
    </w:p>
    <w:p w14:paraId="0C1F51C9">
      <w:pPr>
        <w:adjustRightInd w:val="0"/>
        <w:snapToGrid w:val="0"/>
        <w:spacing w:line="360" w:lineRule="auto"/>
        <w:ind w:left="-105" w:right="-105" w:firstLine="480" w:firstLineChars="200"/>
        <w:jc w:val="both"/>
        <w:rPr>
          <w:rFonts w:ascii="Times New Roman" w:hAnsi="Times New Roman" w:cs="Times New Roman"/>
          <w:color w:val="auto"/>
          <w:highlight w:val="none"/>
        </w:rPr>
      </w:pPr>
      <w:r>
        <w:rPr>
          <w:rFonts w:ascii="Times New Roman" w:hAnsi="Times New Roman" w:cs="Times New Roman"/>
          <w:color w:val="auto"/>
          <w:highlight w:val="none"/>
        </w:rPr>
        <w:t>根据环境质量现状监测数据，监测点位土壤中各因子均满足《土壤环境质量建设用地土壤污染风险管控标准（试行）》（GB36600-2018）中表1筛选值中</w:t>
      </w:r>
      <w:r>
        <w:rPr>
          <w:rFonts w:hint="eastAsia" w:ascii="Times New Roman" w:hAnsi="Times New Roman" w:cs="Times New Roman"/>
          <w:color w:val="auto"/>
          <w:highlight w:val="none"/>
        </w:rPr>
        <w:t>“</w:t>
      </w:r>
      <w:r>
        <w:rPr>
          <w:rFonts w:ascii="Times New Roman" w:hAnsi="Times New Roman" w:cs="Times New Roman"/>
          <w:color w:val="auto"/>
          <w:highlight w:val="none"/>
        </w:rPr>
        <w:t>第二类用地</w:t>
      </w:r>
      <w:r>
        <w:rPr>
          <w:rFonts w:hint="eastAsia" w:ascii="Times New Roman" w:hAnsi="Times New Roman" w:cs="Times New Roman"/>
          <w:color w:val="auto"/>
          <w:highlight w:val="none"/>
        </w:rPr>
        <w:t>”</w:t>
      </w:r>
      <w:r>
        <w:rPr>
          <w:rFonts w:ascii="Times New Roman" w:hAnsi="Times New Roman" w:cs="Times New Roman"/>
          <w:color w:val="auto"/>
          <w:highlight w:val="none"/>
        </w:rPr>
        <w:t>标准，pH达到《环境影响评价技术导则土壤环境（试行）》（HJ964-2018）表D.2中标准，土壤无酸化或碱化情况。</w:t>
      </w:r>
    </w:p>
    <w:p w14:paraId="7E607ACF">
      <w:pPr>
        <w:adjustRightInd w:val="0"/>
        <w:snapToGrid w:val="0"/>
        <w:spacing w:line="360" w:lineRule="auto"/>
        <w:ind w:left="-105" w:right="-105" w:firstLine="480" w:firstLineChars="200"/>
        <w:jc w:val="both"/>
        <w:rPr>
          <w:rFonts w:ascii="Times New Roman" w:hAnsi="Times New Roman" w:cs="Times New Roman"/>
          <w:color w:val="auto"/>
          <w:highlight w:val="none"/>
        </w:rPr>
      </w:pPr>
      <w:r>
        <w:rPr>
          <w:rFonts w:ascii="Times New Roman" w:hAnsi="Times New Roman" w:cs="Times New Roman"/>
          <w:color w:val="auto"/>
          <w:highlight w:val="none"/>
        </w:rPr>
        <w:t>本项目建设后营运期产生的各项污染物通过相应的治理措施处理后均可达标排放，本项目环境风险可控制在安全范围内，因此，本项目的建设对区域环境质量影响较小，符合环境质量底线的相关规定要求。</w:t>
      </w:r>
    </w:p>
    <w:p w14:paraId="44DC6626">
      <w:pPr>
        <w:adjustRightInd w:val="0"/>
        <w:snapToGrid w:val="0"/>
        <w:spacing w:line="360" w:lineRule="auto"/>
        <w:ind w:left="-105" w:right="-105" w:firstLine="480" w:firstLineChars="200"/>
        <w:jc w:val="both"/>
        <w:rPr>
          <w:rFonts w:ascii="Times New Roman" w:hAnsi="Times New Roman" w:cs="Times New Roman"/>
          <w:color w:val="auto"/>
          <w:highlight w:val="none"/>
        </w:rPr>
      </w:pPr>
      <w:r>
        <w:rPr>
          <w:rFonts w:hint="eastAsia"/>
          <w:color w:val="auto"/>
          <w:highlight w:val="none"/>
        </w:rPr>
        <w:t>③</w:t>
      </w:r>
      <w:r>
        <w:rPr>
          <w:rFonts w:ascii="Times New Roman" w:hAnsi="Times New Roman" w:cs="Times New Roman"/>
          <w:color w:val="auto"/>
          <w:highlight w:val="none"/>
        </w:rPr>
        <w:t>资源利用上线</w:t>
      </w:r>
    </w:p>
    <w:p w14:paraId="389AA9EF">
      <w:pPr>
        <w:adjustRightInd w:val="0"/>
        <w:snapToGrid w:val="0"/>
        <w:spacing w:line="360" w:lineRule="auto"/>
        <w:ind w:left="-105" w:right="-105" w:firstLine="480" w:firstLineChars="200"/>
        <w:jc w:val="both"/>
        <w:rPr>
          <w:rFonts w:ascii="Times New Roman" w:hAnsi="Times New Roman" w:cs="Times New Roman"/>
          <w:color w:val="auto"/>
          <w:highlight w:val="none"/>
        </w:rPr>
      </w:pPr>
      <w:r>
        <w:rPr>
          <w:rFonts w:ascii="Times New Roman" w:hAnsi="Times New Roman" w:cs="Times New Roman"/>
          <w:color w:val="auto"/>
          <w:highlight w:val="none"/>
        </w:rPr>
        <w:t>本项目用水来自区域自来水管网，用电由市政电网供给，不会达到资源利用上线；项目用地为工业用地，符合当地土地规划要求，亦不会达到资源利用上线。</w:t>
      </w:r>
    </w:p>
    <w:p w14:paraId="055240BE">
      <w:pPr>
        <w:adjustRightInd w:val="0"/>
        <w:snapToGrid w:val="0"/>
        <w:spacing w:line="360" w:lineRule="auto"/>
        <w:ind w:left="-105" w:right="-105" w:firstLine="480" w:firstLineChars="200"/>
        <w:jc w:val="both"/>
        <w:rPr>
          <w:rFonts w:ascii="Times New Roman" w:hAnsi="Times New Roman" w:cs="Times New Roman"/>
          <w:color w:val="auto"/>
          <w:highlight w:val="none"/>
        </w:rPr>
      </w:pPr>
      <w:r>
        <w:rPr>
          <w:rFonts w:hint="eastAsia"/>
          <w:color w:val="auto"/>
          <w:highlight w:val="none"/>
        </w:rPr>
        <w:t>④</w:t>
      </w:r>
      <w:r>
        <w:rPr>
          <w:rFonts w:ascii="Times New Roman" w:hAnsi="Times New Roman" w:cs="Times New Roman"/>
          <w:color w:val="auto"/>
          <w:highlight w:val="none"/>
        </w:rPr>
        <w:t>环境准入负面清单</w:t>
      </w:r>
    </w:p>
    <w:p w14:paraId="52EDA5C5">
      <w:pPr>
        <w:adjustRightInd w:val="0"/>
        <w:snapToGrid w:val="0"/>
        <w:spacing w:line="360" w:lineRule="auto"/>
        <w:ind w:left="-105" w:right="-105" w:firstLine="480" w:firstLineChars="200"/>
        <w:jc w:val="both"/>
        <w:rPr>
          <w:rFonts w:ascii="Times New Roman" w:hAnsi="Times New Roman" w:cs="Times New Roman"/>
          <w:color w:val="auto"/>
          <w:szCs w:val="22"/>
          <w:highlight w:val="none"/>
        </w:rPr>
      </w:pPr>
      <w:r>
        <w:rPr>
          <w:rFonts w:hint="eastAsia" w:ascii="Times New Roman" w:hAnsi="Times New Roman" w:cs="Times New Roman"/>
          <w:color w:val="auto"/>
          <w:highlight w:val="none"/>
        </w:rPr>
        <w:t>根据</w:t>
      </w:r>
      <w:r>
        <w:rPr>
          <w:rFonts w:hint="eastAsia" w:ascii="Times New Roman" w:hAnsi="Times New Roman" w:cs="Times New Roman"/>
          <w:color w:val="auto"/>
          <w:szCs w:val="22"/>
          <w:highlight w:val="none"/>
        </w:rPr>
        <w:t>《无锡市锡山区锡北镇工业集中区环境影响跟踪评价报告书》，锡山区锡北镇工业集中区禁止引入类项目为：禁止引进不符合规划布局和产业定位要求的项目</w:t>
      </w:r>
      <w:r>
        <w:rPr>
          <w:rFonts w:ascii="Times New Roman" w:hAnsi="Times New Roman" w:cs="Times New Roman"/>
          <w:color w:val="auto"/>
          <w:szCs w:val="22"/>
          <w:highlight w:val="none"/>
        </w:rPr>
        <w:t>(战略性新兴产业</w:t>
      </w:r>
      <w:r>
        <w:rPr>
          <w:rFonts w:hint="eastAsia" w:ascii="Times New Roman" w:hAnsi="Times New Roman" w:cs="Times New Roman"/>
          <w:color w:val="auto"/>
          <w:szCs w:val="22"/>
          <w:highlight w:val="none"/>
        </w:rPr>
        <w:t>除外</w:t>
      </w:r>
      <w:r>
        <w:rPr>
          <w:rFonts w:ascii="Times New Roman" w:hAnsi="Times New Roman" w:cs="Times New Roman"/>
          <w:color w:val="auto"/>
          <w:szCs w:val="22"/>
          <w:highlight w:val="none"/>
        </w:rPr>
        <w:t>)。</w:t>
      </w:r>
      <w:r>
        <w:rPr>
          <w:rFonts w:hint="eastAsia" w:ascii="Times New Roman" w:hAnsi="Times New Roman" w:cs="Times New Roman"/>
          <w:color w:val="auto"/>
          <w:szCs w:val="22"/>
          <w:highlight w:val="none"/>
        </w:rPr>
        <w:t>禁止引进不符合产能置换、能耗双控等要求的两高项目；禁止露天和敞开式喷涂作业</w:t>
      </w:r>
      <w:r>
        <w:rPr>
          <w:rFonts w:ascii="Times New Roman" w:hAnsi="Times New Roman" w:cs="Times New Roman"/>
          <w:color w:val="auto"/>
          <w:szCs w:val="22"/>
          <w:highlight w:val="none"/>
        </w:rPr>
        <w:t>(除工艺有特殊要求外)</w:t>
      </w:r>
      <w:r>
        <w:rPr>
          <w:rFonts w:hint="eastAsia" w:ascii="Times New Roman" w:hAnsi="Times New Roman" w:cs="Times New Roman"/>
          <w:color w:val="auto"/>
          <w:szCs w:val="22"/>
          <w:highlight w:val="none"/>
        </w:rPr>
        <w:t>；禁止建设生产和使用高</w:t>
      </w:r>
      <w:r>
        <w:rPr>
          <w:rFonts w:ascii="Times New Roman" w:hAnsi="Times New Roman" w:cs="Times New Roman"/>
          <w:color w:val="auto"/>
          <w:szCs w:val="22"/>
          <w:highlight w:val="none"/>
        </w:rPr>
        <w:t>VOCs含量(特殊情形暂不可替代除外)</w:t>
      </w:r>
      <w:r>
        <w:rPr>
          <w:rFonts w:hint="eastAsia" w:ascii="Times New Roman" w:hAnsi="Times New Roman" w:cs="Times New Roman"/>
          <w:color w:val="auto"/>
          <w:szCs w:val="22"/>
          <w:highlight w:val="none"/>
        </w:rPr>
        <w:t>的溶剂型涂料、油墨、胶粘剂等项目，新上</w:t>
      </w:r>
      <w:r>
        <w:rPr>
          <w:rFonts w:ascii="Times New Roman" w:hAnsi="Times New Roman" w:cs="Times New Roman"/>
          <w:color w:val="auto"/>
          <w:szCs w:val="22"/>
          <w:highlight w:val="none"/>
        </w:rPr>
        <w:t>VOCs的项目，实现</w:t>
      </w:r>
      <w:r>
        <w:rPr>
          <w:rFonts w:hint="eastAsia" w:ascii="Times New Roman" w:hAnsi="Times New Roman" w:cs="Times New Roman"/>
          <w:color w:val="auto"/>
          <w:szCs w:val="22"/>
          <w:highlight w:val="none"/>
        </w:rPr>
        <w:t>减二增一替代。禁止准入单纯表面喷涂项目</w:t>
      </w:r>
      <w:r>
        <w:rPr>
          <w:rFonts w:ascii="Times New Roman" w:hAnsi="Times New Roman" w:cs="Times New Roman"/>
          <w:color w:val="auto"/>
          <w:szCs w:val="22"/>
          <w:highlight w:val="none"/>
        </w:rPr>
        <w:t>(绿岛和战略性新兴</w:t>
      </w:r>
      <w:r>
        <w:rPr>
          <w:rFonts w:hint="eastAsia" w:ascii="Times New Roman" w:hAnsi="Times New Roman" w:cs="Times New Roman"/>
          <w:color w:val="auto"/>
          <w:szCs w:val="22"/>
          <w:highlight w:val="none"/>
        </w:rPr>
        <w:t>产业除外</w:t>
      </w:r>
      <w:r>
        <w:rPr>
          <w:rFonts w:ascii="Times New Roman" w:hAnsi="Times New Roman" w:cs="Times New Roman"/>
          <w:color w:val="auto"/>
          <w:szCs w:val="22"/>
          <w:highlight w:val="none"/>
        </w:rPr>
        <w:t>)</w:t>
      </w:r>
      <w:r>
        <w:rPr>
          <w:rFonts w:hint="eastAsia" w:ascii="Times New Roman" w:hAnsi="Times New Roman" w:cs="Times New Roman"/>
          <w:color w:val="auto"/>
          <w:szCs w:val="22"/>
          <w:highlight w:val="none"/>
        </w:rPr>
        <w:t>；禁止安全风险大、工艺设施落后、安全水平低的企业或项目进入；禁止新建、扩建技术装备、污染排放、能耗达不到相关行业先进水平的项目；禁止新建、改建、扩建化学制浆造纸、制革、酿造、染料、电镀以及其他排放含磷、氮等污染物的企业和项目</w:t>
      </w:r>
      <w:r>
        <w:rPr>
          <w:rFonts w:ascii="Times New Roman" w:hAnsi="Times New Roman" w:cs="Times New Roman"/>
          <w:color w:val="auto"/>
          <w:szCs w:val="22"/>
          <w:highlight w:val="none"/>
        </w:rPr>
        <w:t>(战略性新兴产业</w:t>
      </w:r>
      <w:r>
        <w:rPr>
          <w:rFonts w:hint="eastAsia" w:ascii="Times New Roman" w:hAnsi="Times New Roman" w:cs="Times New Roman"/>
          <w:color w:val="auto"/>
          <w:szCs w:val="22"/>
          <w:highlight w:val="none"/>
        </w:rPr>
        <w:t>除外</w:t>
      </w:r>
      <w:r>
        <w:rPr>
          <w:rFonts w:ascii="Times New Roman" w:hAnsi="Times New Roman" w:cs="Times New Roman"/>
          <w:color w:val="auto"/>
          <w:szCs w:val="22"/>
          <w:highlight w:val="none"/>
        </w:rPr>
        <w:t>)</w:t>
      </w:r>
      <w:r>
        <w:rPr>
          <w:rFonts w:hint="eastAsia" w:ascii="Times New Roman" w:hAnsi="Times New Roman" w:cs="Times New Roman"/>
          <w:color w:val="auto"/>
          <w:szCs w:val="22"/>
          <w:highlight w:val="none"/>
        </w:rPr>
        <w:t>；禁止新建铅、汞、铬、镉、砷五类重点重金属污染物排放的项目；禁止准入水质经预处理不能满足污水厂接管要求的项目；禁止</w:t>
      </w:r>
      <w:r>
        <w:rPr>
          <w:rFonts w:ascii="Times New Roman" w:hAnsi="Times New Roman" w:cs="Times New Roman"/>
          <w:color w:val="auto"/>
          <w:szCs w:val="22"/>
          <w:highlight w:val="none"/>
        </w:rPr>
        <w:t>COD、氨氮、总磷、总氮、SO</w:t>
      </w:r>
      <w:r>
        <w:rPr>
          <w:rFonts w:ascii="Times New Roman" w:hAnsi="Times New Roman" w:cs="Times New Roman"/>
          <w:color w:val="auto"/>
          <w:szCs w:val="22"/>
          <w:highlight w:val="none"/>
          <w:vertAlign w:val="subscript"/>
        </w:rPr>
        <w:t>2</w:t>
      </w:r>
      <w:r>
        <w:rPr>
          <w:rFonts w:ascii="Times New Roman" w:hAnsi="Times New Roman" w:cs="Times New Roman"/>
          <w:color w:val="auto"/>
          <w:szCs w:val="22"/>
          <w:highlight w:val="none"/>
        </w:rPr>
        <w:t>、NOx、颗粒物、挥发性有</w:t>
      </w:r>
      <w:r>
        <w:rPr>
          <w:rFonts w:hint="eastAsia" w:ascii="Times New Roman" w:hAnsi="Times New Roman" w:cs="Times New Roman"/>
          <w:color w:val="auto"/>
          <w:szCs w:val="22"/>
          <w:highlight w:val="none"/>
        </w:rPr>
        <w:t>机物等污染物排放总量以及重点行业重点重金属总量指标未落实的项目；严禁引进排放“三致”</w:t>
      </w:r>
      <w:r>
        <w:rPr>
          <w:rFonts w:ascii="Times New Roman" w:hAnsi="Times New Roman" w:cs="Times New Roman"/>
          <w:color w:val="auto"/>
          <w:szCs w:val="22"/>
          <w:highlight w:val="none"/>
        </w:rPr>
        <w:t>(致癌、致畸、致突变)、光气、列入名录</w:t>
      </w:r>
      <w:r>
        <w:rPr>
          <w:rFonts w:hint="eastAsia" w:ascii="Times New Roman" w:hAnsi="Times New Roman" w:cs="Times New Roman"/>
          <w:color w:val="auto"/>
          <w:szCs w:val="22"/>
          <w:highlight w:val="none"/>
        </w:rPr>
        <w:t>的恶臭污染物及氰化物等高风险物质且严重影响人身健康和环境质量的项目。</w:t>
      </w:r>
    </w:p>
    <w:p w14:paraId="1D699942">
      <w:pPr>
        <w:spacing w:line="360" w:lineRule="auto"/>
        <w:ind w:left="-105" w:right="-105" w:firstLine="480" w:firstLineChars="200"/>
        <w:jc w:val="both"/>
        <w:rPr>
          <w:rFonts w:ascii="Times New Roman" w:hAnsi="Times New Roman" w:cs="Times New Roman"/>
          <w:color w:val="auto"/>
          <w:szCs w:val="22"/>
          <w:highlight w:val="none"/>
        </w:rPr>
      </w:pPr>
      <w:r>
        <w:rPr>
          <w:rFonts w:hint="eastAsia" w:ascii="Times New Roman" w:hAnsi="Times New Roman" w:cs="Times New Roman"/>
          <w:color w:val="auto"/>
          <w:szCs w:val="22"/>
          <w:highlight w:val="none"/>
        </w:rPr>
        <w:t>本项目符合规划布局和产业定位，不属于两高项目，生产过程中不使用溶剂型涂料、油墨、清洗剂等高VOCs含量的原料。</w:t>
      </w:r>
      <w:r>
        <w:rPr>
          <w:rFonts w:hint="eastAsia" w:ascii="Times New Roman" w:hAnsi="Times New Roman" w:cs="Times New Roman"/>
          <w:color w:val="auto"/>
          <w:szCs w:val="18"/>
          <w:highlight w:val="none"/>
        </w:rPr>
        <w:t>本项目工艺、设备先进，经安全设计后项目本质安全水平高，采用技术装备、污染排放、能耗均能达到相关行业先进水平。</w:t>
      </w:r>
      <w:r>
        <w:rPr>
          <w:rFonts w:hint="eastAsia" w:ascii="Times New Roman" w:hAnsi="Times New Roman" w:cs="Times New Roman"/>
          <w:color w:val="auto"/>
          <w:szCs w:val="22"/>
          <w:highlight w:val="none"/>
        </w:rPr>
        <w:t>本项目行业类别为</w:t>
      </w:r>
      <w:r>
        <w:rPr>
          <w:rFonts w:hint="eastAsia" w:ascii="Times New Roman" w:hAnsi="Times New Roman"/>
          <w:color w:val="auto"/>
          <w:highlight w:val="none"/>
        </w:rPr>
        <w:t>C3985电子专用材料制造</w:t>
      </w:r>
      <w:r>
        <w:rPr>
          <w:rFonts w:hint="eastAsia" w:ascii="Times New Roman" w:hAnsi="Times New Roman" w:cs="Times New Roman"/>
          <w:color w:val="auto"/>
          <w:szCs w:val="22"/>
          <w:highlight w:val="none"/>
        </w:rPr>
        <w:t>，不属于单纯表面喷涂、化学制浆造纸、制革、酿造、染料项目，</w:t>
      </w:r>
      <w:r>
        <w:rPr>
          <w:rFonts w:hint="eastAsia" w:ascii="Times New Roman" w:hAnsi="Times New Roman"/>
          <w:color w:val="auto"/>
          <w:highlight w:val="none"/>
        </w:rPr>
        <w:t>本项目超纯水装置浓水、超纯水装置反冲洗水不含氮磷，且水质简单，回用于冲厕，生活污水和初期雨水</w:t>
      </w:r>
      <w:r>
        <w:rPr>
          <w:rFonts w:ascii="Times New Roman" w:hAnsi="Times New Roman"/>
          <w:color w:val="auto"/>
          <w:highlight w:val="none"/>
        </w:rPr>
        <w:t>由企业</w:t>
      </w:r>
      <w:r>
        <w:rPr>
          <w:rFonts w:hint="eastAsia" w:ascii="Times New Roman" w:hAnsi="Times New Roman"/>
          <w:color w:val="auto"/>
          <w:highlight w:val="none"/>
        </w:rPr>
        <w:t>收集后委托无锡先进化药化工有限公司处理达标后接入无锡市锡山云林污水处理有限公司</w:t>
      </w:r>
      <w:r>
        <w:rPr>
          <w:rFonts w:hint="eastAsia" w:ascii="Times New Roman" w:hAnsi="Times New Roman" w:cs="Times New Roman"/>
          <w:color w:val="auto"/>
          <w:szCs w:val="18"/>
          <w:highlight w:val="none"/>
        </w:rPr>
        <w:t>，无含磷、氮生产废水排放</w:t>
      </w:r>
      <w:r>
        <w:rPr>
          <w:rFonts w:ascii="Times New Roman" w:hAnsi="Times New Roman" w:cs="Times New Roman"/>
          <w:color w:val="auto"/>
          <w:szCs w:val="18"/>
          <w:highlight w:val="none"/>
        </w:rPr>
        <w:t>。</w:t>
      </w:r>
      <w:r>
        <w:rPr>
          <w:rFonts w:hint="eastAsia" w:ascii="Times New Roman" w:hAnsi="Times New Roman" w:cs="Times New Roman"/>
          <w:color w:val="auto"/>
          <w:szCs w:val="18"/>
          <w:highlight w:val="none"/>
        </w:rPr>
        <w:t>项目产生的</w:t>
      </w:r>
      <w:r>
        <w:rPr>
          <w:rFonts w:ascii="Times New Roman" w:hAnsi="Times New Roman" w:cs="Times New Roman"/>
          <w:color w:val="auto"/>
          <w:szCs w:val="18"/>
          <w:highlight w:val="none"/>
        </w:rPr>
        <w:t>COD、氨氮、总磷、总氮、挥发性有机物等污染物排放总量</w:t>
      </w:r>
      <w:r>
        <w:rPr>
          <w:rFonts w:hint="eastAsia" w:ascii="Times New Roman" w:hAnsi="Times New Roman" w:cs="Times New Roman"/>
          <w:color w:val="auto"/>
          <w:szCs w:val="18"/>
          <w:highlight w:val="none"/>
        </w:rPr>
        <w:t>均已落实，在大气污染物总量在锡山区范围内平衡，水污染物总量在无锡市锡山云林污水处理有限公司内平衡，本项目不涉及排放“三致”（</w:t>
      </w:r>
      <w:r>
        <w:rPr>
          <w:rFonts w:ascii="Times New Roman" w:hAnsi="Times New Roman" w:cs="Times New Roman"/>
          <w:color w:val="auto"/>
          <w:szCs w:val="18"/>
          <w:highlight w:val="none"/>
        </w:rPr>
        <w:t>致癌、致畸、致突变</w:t>
      </w:r>
      <w:r>
        <w:rPr>
          <w:rFonts w:hint="eastAsia" w:ascii="Times New Roman" w:hAnsi="Times New Roman" w:cs="Times New Roman"/>
          <w:color w:val="auto"/>
          <w:szCs w:val="18"/>
          <w:highlight w:val="none"/>
        </w:rPr>
        <w:t>）</w:t>
      </w:r>
      <w:r>
        <w:rPr>
          <w:rFonts w:ascii="Times New Roman" w:hAnsi="Times New Roman" w:cs="Times New Roman"/>
          <w:color w:val="auto"/>
          <w:szCs w:val="18"/>
          <w:highlight w:val="none"/>
        </w:rPr>
        <w:t>、光气</w:t>
      </w:r>
      <w:r>
        <w:rPr>
          <w:rFonts w:hint="eastAsia" w:ascii="Times New Roman" w:hAnsi="Times New Roman" w:cs="Times New Roman"/>
          <w:color w:val="auto"/>
          <w:szCs w:val="18"/>
          <w:highlight w:val="none"/>
        </w:rPr>
        <w:t>及氰化物等高风险物质，不会对人身健康和环境质量造成严重影响。因此本项目不属于</w:t>
      </w:r>
      <w:r>
        <w:rPr>
          <w:rFonts w:hint="eastAsia" w:ascii="Times New Roman" w:hAnsi="Times New Roman" w:cs="Times New Roman"/>
          <w:color w:val="auto"/>
          <w:szCs w:val="22"/>
          <w:highlight w:val="none"/>
        </w:rPr>
        <w:t>锡北镇工业集中区禁止引入类项目。</w:t>
      </w:r>
    </w:p>
    <w:p w14:paraId="62CCB570">
      <w:pPr>
        <w:adjustRightInd w:val="0"/>
        <w:snapToGrid w:val="0"/>
        <w:spacing w:line="360" w:lineRule="auto"/>
        <w:ind w:left="-105" w:right="-105" w:firstLine="480" w:firstLineChars="200"/>
        <w:jc w:val="both"/>
        <w:rPr>
          <w:rFonts w:ascii="Times New Roman" w:hAnsi="Times New Roman" w:cs="Times New Roman"/>
          <w:color w:val="auto"/>
          <w:highlight w:val="none"/>
        </w:rPr>
      </w:pPr>
      <w:r>
        <w:rPr>
          <w:rFonts w:hint="eastAsia"/>
          <w:color w:val="auto"/>
          <w:highlight w:val="none"/>
        </w:rPr>
        <w:t>⑤</w:t>
      </w:r>
      <w:r>
        <w:rPr>
          <w:rFonts w:ascii="Times New Roman" w:hAnsi="Times New Roman" w:cs="Times New Roman"/>
          <w:color w:val="auto"/>
          <w:highlight w:val="none"/>
        </w:rPr>
        <w:t>与《江苏省</w:t>
      </w:r>
      <w:r>
        <w:rPr>
          <w:rFonts w:hint="eastAsia" w:ascii="Times New Roman" w:hAnsi="Times New Roman" w:cs="Times New Roman"/>
          <w:color w:val="auto"/>
          <w:highlight w:val="none"/>
        </w:rPr>
        <w:t>“</w:t>
      </w:r>
      <w:r>
        <w:rPr>
          <w:rFonts w:ascii="Times New Roman" w:hAnsi="Times New Roman" w:cs="Times New Roman"/>
          <w:color w:val="auto"/>
          <w:highlight w:val="none"/>
        </w:rPr>
        <w:t>三线一单</w:t>
      </w:r>
      <w:r>
        <w:rPr>
          <w:rFonts w:hint="eastAsia" w:ascii="Times New Roman" w:hAnsi="Times New Roman" w:cs="Times New Roman"/>
          <w:color w:val="auto"/>
          <w:highlight w:val="none"/>
        </w:rPr>
        <w:t>”</w:t>
      </w:r>
      <w:r>
        <w:rPr>
          <w:rFonts w:ascii="Times New Roman" w:hAnsi="Times New Roman" w:cs="Times New Roman"/>
          <w:color w:val="auto"/>
          <w:highlight w:val="none"/>
        </w:rPr>
        <w:t>生态环境分区管控方案》（苏政发[2020]49号）相符性</w:t>
      </w:r>
    </w:p>
    <w:p w14:paraId="7BD19B53">
      <w:pPr>
        <w:adjustRightInd w:val="0"/>
        <w:snapToGrid w:val="0"/>
        <w:spacing w:line="360" w:lineRule="auto"/>
        <w:ind w:left="-105" w:right="-105" w:firstLine="480" w:firstLineChars="200"/>
        <w:jc w:val="both"/>
        <w:rPr>
          <w:rFonts w:ascii="Times New Roman" w:hAnsi="Times New Roman" w:cs="Times New Roman"/>
          <w:color w:val="auto"/>
          <w:highlight w:val="none"/>
        </w:rPr>
      </w:pPr>
      <w:r>
        <w:rPr>
          <w:rFonts w:ascii="Times New Roman" w:hAnsi="Times New Roman" w:cs="Times New Roman"/>
          <w:color w:val="auto"/>
          <w:highlight w:val="none"/>
        </w:rPr>
        <w:t>根据《江苏省“三线一单”生态环境分区管控方案》（苏政发[2020]49号）中</w:t>
      </w:r>
      <w:r>
        <w:rPr>
          <w:rFonts w:hint="eastAsia" w:ascii="Times New Roman" w:hAnsi="Times New Roman" w:cs="Times New Roman"/>
          <w:color w:val="auto"/>
          <w:highlight w:val="none"/>
        </w:rPr>
        <w:t>“</w:t>
      </w:r>
      <w:r>
        <w:rPr>
          <w:rFonts w:ascii="Times New Roman" w:hAnsi="Times New Roman" w:cs="Times New Roman"/>
          <w:color w:val="auto"/>
          <w:highlight w:val="none"/>
        </w:rPr>
        <w:t>二、太湖流域</w:t>
      </w:r>
      <w:r>
        <w:rPr>
          <w:rFonts w:hint="eastAsia" w:ascii="Times New Roman" w:hAnsi="Times New Roman" w:cs="Times New Roman"/>
          <w:color w:val="auto"/>
          <w:highlight w:val="none"/>
        </w:rPr>
        <w:t>”</w:t>
      </w:r>
      <w:r>
        <w:rPr>
          <w:rFonts w:ascii="Times New Roman" w:hAnsi="Times New Roman" w:cs="Times New Roman"/>
          <w:color w:val="auto"/>
          <w:highlight w:val="none"/>
        </w:rPr>
        <w:t>要求：</w:t>
      </w:r>
    </w:p>
    <w:p w14:paraId="617CD128">
      <w:pPr>
        <w:adjustRightInd w:val="0"/>
        <w:snapToGrid w:val="0"/>
        <w:spacing w:line="360" w:lineRule="auto"/>
        <w:ind w:left="-105" w:right="-105" w:firstLine="480" w:firstLineChars="200"/>
        <w:jc w:val="both"/>
        <w:rPr>
          <w:rFonts w:ascii="Times New Roman" w:hAnsi="Times New Roman" w:cs="Times New Roman"/>
          <w:color w:val="auto"/>
          <w:highlight w:val="none"/>
        </w:rPr>
      </w:pPr>
      <w:r>
        <w:rPr>
          <w:rFonts w:ascii="Times New Roman" w:hAnsi="Times New Roman" w:cs="Times New Roman"/>
          <w:color w:val="auto"/>
          <w:highlight w:val="none"/>
        </w:rPr>
        <w:t>在太湖流域一、二、三级保护区，禁止新建、改建、扩建化学制浆造纸、制革、酿造、染料、印染、电镀以及其他排放含磷、氮等污染物的企业和项目，城镇污水集中处理等环境基础设施项目和《江苏省太湖水污染防治条例》第四十六条规定的情形除外。</w:t>
      </w:r>
    </w:p>
    <w:p w14:paraId="26252BB5">
      <w:pPr>
        <w:adjustRightInd w:val="0"/>
        <w:snapToGrid w:val="0"/>
        <w:spacing w:line="360" w:lineRule="auto"/>
        <w:ind w:left="-105" w:right="-105" w:firstLine="480" w:firstLineChars="200"/>
        <w:jc w:val="both"/>
        <w:rPr>
          <w:rFonts w:ascii="Times New Roman" w:hAnsi="Times New Roman" w:cs="Times New Roman"/>
          <w:color w:val="auto"/>
          <w:highlight w:val="none"/>
        </w:rPr>
      </w:pPr>
      <w:r>
        <w:rPr>
          <w:rFonts w:ascii="Times New Roman" w:hAnsi="Times New Roman" w:cs="Times New Roman"/>
          <w:color w:val="auto"/>
          <w:highlight w:val="none"/>
        </w:rPr>
        <w:t>在太湖流域一级保护区，禁止新建、扩建向水体排放污染物的建设项目，禁止新建、扩建畜禽养殖场，禁止新建、扩建高尔夫球场、水上游乐等开发项目以及设置水上餐饮经营设施。在太湖流域二级保护区，禁止新建、扩建化工、医药生产项目，禁止新建、扩建污水集中处理设施排污口以外的排污口。城镇污水处理厂、纺织工业、化学工业、造纸工业、钢铁工业、电镀工业和食品工业的污水处理设施执行《太湖地区城镇污水处理厂及重点工业行业主要水污染物排放限值》。运输剧毒物质、危险化学品的船舶不得进入太湖。禁止向太湖流域水体排放或者倾倒油类、酸液、碱液、剧毒废渣废液、含放射性废渣废液、含病原体污水、工业废渣以及其他废弃物。加强太湖流域生态环境风险应急管控，着力提高防控太湖蓝藻水华风险预警和应急处置能力。太湖流域加强水资源配置与调度，优先满足居民生活用水，兼顾生产、生态用水以及航运等需要。2020年底前，太湖流域所有省级以上开发区开展园区循环化改造。</w:t>
      </w:r>
    </w:p>
    <w:p w14:paraId="0F9B29F1">
      <w:pPr>
        <w:adjustRightInd w:val="0"/>
        <w:snapToGrid w:val="0"/>
        <w:spacing w:line="360" w:lineRule="auto"/>
        <w:ind w:left="-105" w:right="-105" w:firstLine="480" w:firstLineChars="200"/>
        <w:jc w:val="both"/>
        <w:rPr>
          <w:rFonts w:ascii="Times New Roman" w:hAnsi="Times New Roman" w:cs="Times New Roman"/>
          <w:color w:val="auto"/>
          <w:highlight w:val="none"/>
        </w:rPr>
      </w:pPr>
      <w:r>
        <w:rPr>
          <w:rFonts w:ascii="Times New Roman" w:hAnsi="Times New Roman" w:cs="Times New Roman"/>
          <w:color w:val="auto"/>
          <w:highlight w:val="none"/>
        </w:rPr>
        <w:t>本项目属于</w:t>
      </w:r>
      <w:r>
        <w:rPr>
          <w:rFonts w:hint="eastAsia" w:ascii="Times New Roman" w:hAnsi="Times New Roman"/>
          <w:color w:val="auto"/>
          <w:highlight w:val="none"/>
        </w:rPr>
        <w:t>C3985电子专用材料制造</w:t>
      </w:r>
      <w:r>
        <w:rPr>
          <w:rFonts w:ascii="Times New Roman" w:hAnsi="Times New Roman" w:cs="Times New Roman"/>
          <w:color w:val="auto"/>
          <w:highlight w:val="none"/>
        </w:rPr>
        <w:t>。本项目位于</w:t>
      </w:r>
      <w:r>
        <w:rPr>
          <w:rFonts w:ascii="Times New Roman" w:hAnsi="Times New Roman"/>
          <w:color w:val="auto"/>
          <w:szCs w:val="18"/>
          <w:highlight w:val="none"/>
        </w:rPr>
        <w:t>无锡市锡山区</w:t>
      </w:r>
      <w:r>
        <w:rPr>
          <w:rFonts w:hint="eastAsia" w:ascii="Times New Roman" w:hAnsi="Times New Roman"/>
          <w:color w:val="auto"/>
          <w:szCs w:val="18"/>
          <w:highlight w:val="none"/>
        </w:rPr>
        <w:t>锡北</w:t>
      </w:r>
      <w:r>
        <w:rPr>
          <w:rFonts w:ascii="Times New Roman" w:hAnsi="Times New Roman"/>
          <w:color w:val="auto"/>
          <w:szCs w:val="18"/>
          <w:highlight w:val="none"/>
        </w:rPr>
        <w:t>镇</w:t>
      </w:r>
      <w:r>
        <w:rPr>
          <w:rFonts w:hint="eastAsia" w:ascii="Times New Roman" w:hAnsi="Times New Roman"/>
          <w:color w:val="auto"/>
          <w:szCs w:val="18"/>
          <w:highlight w:val="none"/>
        </w:rPr>
        <w:t>新坝村新达路6号</w:t>
      </w:r>
      <w:r>
        <w:rPr>
          <w:rFonts w:ascii="Times New Roman" w:hAnsi="Times New Roman" w:cs="Times New Roman"/>
          <w:color w:val="auto"/>
          <w:highlight w:val="none"/>
        </w:rPr>
        <w:t>，根据《省政府办公厅关于公布江苏省太湖流域三级保护区范围的通知》（苏政办发[2012]221号）的规定，本项目不在太湖流域一级、二级保护区范围内，因此，本项目位于太湖流域三级保护区内。</w:t>
      </w:r>
      <w:r>
        <w:rPr>
          <w:rFonts w:hint="eastAsia" w:ascii="Times New Roman" w:hAnsi="Times New Roman"/>
          <w:color w:val="auto"/>
          <w:highlight w:val="none"/>
        </w:rPr>
        <w:t>本项目超纯水装置浓水、超纯水装置反冲洗水不含氮磷，且水质简单，回用于冲厕，生活污水和初期雨水</w:t>
      </w:r>
      <w:r>
        <w:rPr>
          <w:rFonts w:ascii="Times New Roman" w:hAnsi="Times New Roman"/>
          <w:color w:val="auto"/>
          <w:highlight w:val="none"/>
        </w:rPr>
        <w:t>由企业</w:t>
      </w:r>
      <w:r>
        <w:rPr>
          <w:rFonts w:hint="eastAsia" w:ascii="Times New Roman" w:hAnsi="Times New Roman"/>
          <w:color w:val="auto"/>
          <w:highlight w:val="none"/>
        </w:rPr>
        <w:t>收集后委托无锡先进化药化工有限公司处理达标后接入无锡市锡山云林污水处理有限公司</w:t>
      </w:r>
      <w:r>
        <w:rPr>
          <w:rFonts w:ascii="Times New Roman" w:hAnsi="Times New Roman" w:cs="Times New Roman"/>
          <w:color w:val="auto"/>
          <w:highlight w:val="none"/>
        </w:rPr>
        <w:t>。产生的危险废物均委托资质单位处置，</w:t>
      </w:r>
      <w:r>
        <w:rPr>
          <w:rFonts w:hint="eastAsia" w:ascii="Times New Roman" w:hAnsi="Times New Roman" w:cs="Times New Roman"/>
          <w:color w:val="auto"/>
          <w:highlight w:val="none"/>
        </w:rPr>
        <w:t>一般固废外卖物资回收单位，固废零排放</w:t>
      </w:r>
      <w:r>
        <w:rPr>
          <w:rFonts w:ascii="Times New Roman" w:hAnsi="Times New Roman" w:cs="Times New Roman"/>
          <w:color w:val="auto"/>
          <w:highlight w:val="none"/>
        </w:rPr>
        <w:t>。本项目用水量不会影响居民生活用水。</w:t>
      </w:r>
    </w:p>
    <w:p w14:paraId="68D99E5B">
      <w:pPr>
        <w:adjustRightInd w:val="0"/>
        <w:snapToGrid w:val="0"/>
        <w:spacing w:line="360" w:lineRule="auto"/>
        <w:ind w:left="-105" w:right="-105" w:firstLine="480" w:firstLineChars="200"/>
        <w:jc w:val="both"/>
        <w:rPr>
          <w:rFonts w:ascii="Times New Roman" w:hAnsi="Times New Roman" w:cs="Times New Roman"/>
          <w:color w:val="auto"/>
          <w:highlight w:val="none"/>
        </w:rPr>
      </w:pPr>
      <w:r>
        <w:rPr>
          <w:rFonts w:ascii="Times New Roman" w:hAnsi="Times New Roman" w:cs="Times New Roman"/>
          <w:color w:val="auto"/>
          <w:highlight w:val="none"/>
        </w:rPr>
        <w:t>综上，本项目的建设符合《江苏省</w:t>
      </w:r>
      <w:r>
        <w:rPr>
          <w:rFonts w:hint="eastAsia" w:ascii="Times New Roman" w:hAnsi="Times New Roman" w:cs="Times New Roman"/>
          <w:color w:val="auto"/>
          <w:highlight w:val="none"/>
        </w:rPr>
        <w:t>“</w:t>
      </w:r>
      <w:r>
        <w:rPr>
          <w:rFonts w:ascii="Times New Roman" w:hAnsi="Times New Roman" w:cs="Times New Roman"/>
          <w:color w:val="auto"/>
          <w:highlight w:val="none"/>
        </w:rPr>
        <w:t>三线一单</w:t>
      </w:r>
      <w:r>
        <w:rPr>
          <w:rFonts w:hint="eastAsia" w:ascii="Times New Roman" w:hAnsi="Times New Roman" w:cs="Times New Roman"/>
          <w:color w:val="auto"/>
          <w:highlight w:val="none"/>
        </w:rPr>
        <w:t>”</w:t>
      </w:r>
      <w:r>
        <w:rPr>
          <w:rFonts w:ascii="Times New Roman" w:hAnsi="Times New Roman" w:cs="Times New Roman"/>
          <w:color w:val="auto"/>
          <w:highlight w:val="none"/>
        </w:rPr>
        <w:t>生态环境分区管控方案》（苏政发[2020]49号）的要求。</w:t>
      </w:r>
    </w:p>
    <w:p w14:paraId="285E8DE4">
      <w:pPr>
        <w:adjustRightInd w:val="0"/>
        <w:snapToGrid w:val="0"/>
        <w:spacing w:line="360" w:lineRule="auto"/>
        <w:ind w:left="-105" w:right="-105" w:firstLine="480" w:firstLineChars="200"/>
        <w:jc w:val="both"/>
        <w:rPr>
          <w:rFonts w:ascii="Times New Roman" w:hAnsi="Times New Roman" w:cs="Times New Roman"/>
          <w:color w:val="auto"/>
          <w:highlight w:val="none"/>
        </w:rPr>
      </w:pPr>
      <w:r>
        <w:rPr>
          <w:rFonts w:hint="eastAsia"/>
          <w:color w:val="auto"/>
          <w:highlight w:val="none"/>
        </w:rPr>
        <w:t>⑥</w:t>
      </w:r>
      <w:r>
        <w:rPr>
          <w:rFonts w:ascii="Times New Roman" w:hAnsi="Times New Roman" w:cs="Times New Roman"/>
          <w:color w:val="auto"/>
          <w:highlight w:val="none"/>
        </w:rPr>
        <w:t>与《长江经济带发展负面清单指南》（2022版）相符性</w:t>
      </w:r>
    </w:p>
    <w:p w14:paraId="7F6AD087">
      <w:pPr>
        <w:adjustRightInd w:val="0"/>
        <w:snapToGrid w:val="0"/>
        <w:spacing w:line="360" w:lineRule="auto"/>
        <w:ind w:left="-105" w:right="-105" w:firstLine="480" w:firstLineChars="200"/>
        <w:jc w:val="both"/>
        <w:rPr>
          <w:rFonts w:ascii="Times New Roman" w:hAnsi="Times New Roman" w:cs="Times New Roman"/>
          <w:color w:val="auto"/>
          <w:highlight w:val="none"/>
        </w:rPr>
      </w:pPr>
      <w:r>
        <w:rPr>
          <w:rFonts w:ascii="Times New Roman" w:hAnsi="Times New Roman" w:cs="Times New Roman"/>
          <w:color w:val="auto"/>
          <w:highlight w:val="none"/>
        </w:rPr>
        <w:t>根据《长江经济带发展负面清单指南》（2022版）：</w:t>
      </w:r>
    </w:p>
    <w:p w14:paraId="24011C5B">
      <w:pPr>
        <w:adjustRightInd w:val="0"/>
        <w:snapToGrid w:val="0"/>
        <w:spacing w:line="360" w:lineRule="auto"/>
        <w:ind w:left="-105" w:right="-105" w:firstLine="480" w:firstLineChars="200"/>
        <w:jc w:val="both"/>
        <w:rPr>
          <w:rFonts w:ascii="Times New Roman" w:hAnsi="Times New Roman" w:cs="Times New Roman"/>
          <w:color w:val="auto"/>
          <w:highlight w:val="none"/>
        </w:rPr>
      </w:pPr>
      <w:r>
        <w:rPr>
          <w:rFonts w:ascii="Times New Roman" w:hAnsi="Times New Roman" w:cs="Times New Roman"/>
          <w:color w:val="auto"/>
          <w:highlight w:val="none"/>
        </w:rPr>
        <w:t>（1）禁止建设不符合全国和省级港口布局规划以及港口总体规划的码头项目，禁止建设不符合《长江干线过江通道布局规划》的过长江通道项目。</w:t>
      </w:r>
    </w:p>
    <w:p w14:paraId="2E98DFB3">
      <w:pPr>
        <w:adjustRightInd w:val="0"/>
        <w:snapToGrid w:val="0"/>
        <w:spacing w:line="360" w:lineRule="auto"/>
        <w:ind w:left="-105" w:right="-105" w:firstLine="480" w:firstLineChars="200"/>
        <w:jc w:val="both"/>
        <w:rPr>
          <w:rFonts w:ascii="Times New Roman" w:hAnsi="Times New Roman" w:cs="Times New Roman"/>
          <w:color w:val="auto"/>
          <w:highlight w:val="none"/>
        </w:rPr>
      </w:pPr>
      <w:r>
        <w:rPr>
          <w:rFonts w:ascii="Times New Roman" w:hAnsi="Times New Roman" w:cs="Times New Roman"/>
          <w:color w:val="auto"/>
          <w:highlight w:val="none"/>
        </w:rPr>
        <w:t>（2）禁止在自然保护区核心区、缓冲区的岸线和河段范围内投资建设旅游和生产经营项目。禁止在风景名胜区核心景区的岸线和河段范围内投资建设与风景名胜资源保护无关的项目。</w:t>
      </w:r>
    </w:p>
    <w:p w14:paraId="24EC5FF1">
      <w:pPr>
        <w:adjustRightInd w:val="0"/>
        <w:snapToGrid w:val="0"/>
        <w:spacing w:line="360" w:lineRule="auto"/>
        <w:ind w:left="-105" w:right="-105" w:firstLine="480" w:firstLineChars="200"/>
        <w:jc w:val="both"/>
        <w:rPr>
          <w:rFonts w:ascii="Times New Roman" w:hAnsi="Times New Roman" w:cs="Times New Roman"/>
          <w:color w:val="auto"/>
          <w:highlight w:val="none"/>
        </w:rPr>
      </w:pPr>
      <w:r>
        <w:rPr>
          <w:rFonts w:ascii="Times New Roman" w:hAnsi="Times New Roman" w:cs="Times New Roman"/>
          <w:color w:val="auto"/>
          <w:highlight w:val="none"/>
        </w:rPr>
        <w:t>（3）禁止在饮用水水源一级保护区的岸线和河段范围内新建、改建、扩建与供水设施和保护水源无关的项目，以及网箱养殖、畜禽养殖、旅游等可能污染饮用水水体的投资建设项目。禁止在饮用水水源二级保护区的岸线和河段范围内新建、改建、扩建排放污染物的投资建设项目。</w:t>
      </w:r>
    </w:p>
    <w:p w14:paraId="00CA44C6">
      <w:pPr>
        <w:adjustRightInd w:val="0"/>
        <w:snapToGrid w:val="0"/>
        <w:spacing w:line="360" w:lineRule="auto"/>
        <w:ind w:left="-105" w:right="-105" w:firstLine="480" w:firstLineChars="200"/>
        <w:jc w:val="both"/>
        <w:rPr>
          <w:rFonts w:ascii="Times New Roman" w:hAnsi="Times New Roman" w:cs="Times New Roman"/>
          <w:color w:val="auto"/>
          <w:highlight w:val="none"/>
        </w:rPr>
      </w:pPr>
      <w:r>
        <w:rPr>
          <w:rFonts w:ascii="Times New Roman" w:hAnsi="Times New Roman" w:cs="Times New Roman"/>
          <w:color w:val="auto"/>
          <w:highlight w:val="none"/>
        </w:rPr>
        <w:t>（4）禁止在水产种质资源保护区的岸线和河段范围内新建围湖造田、围海造地或围填海等投资建设项目。禁止在国家湿地公园的岸线和河段范围内挖沙、采矿，以及任何不符合主体功能定位的投资建设项目。</w:t>
      </w:r>
    </w:p>
    <w:p w14:paraId="6CAA7DE0">
      <w:pPr>
        <w:adjustRightInd w:val="0"/>
        <w:snapToGrid w:val="0"/>
        <w:spacing w:line="360" w:lineRule="auto"/>
        <w:ind w:left="-105" w:right="-105" w:firstLine="480" w:firstLineChars="200"/>
        <w:jc w:val="both"/>
        <w:rPr>
          <w:rFonts w:ascii="Times New Roman" w:hAnsi="Times New Roman" w:cs="Times New Roman"/>
          <w:color w:val="auto"/>
          <w:highlight w:val="none"/>
        </w:rPr>
      </w:pPr>
      <w:r>
        <w:rPr>
          <w:rFonts w:ascii="Times New Roman" w:hAnsi="Times New Roman" w:cs="Times New Roman"/>
          <w:color w:val="auto"/>
          <w:highlight w:val="none"/>
        </w:rPr>
        <w:t>（5）禁止违法利用、占用长江流域河湖岸线。禁止在《长江岸线保护和开发利用总体规划》划定的岸线保护区和保留区内投资建设除事关公共安全及公众利益的防洪护岸、河道治理、供水、生态环境保护、航道整治、国家重要基础设施以外的项目。禁止在《全国重要江河湖泊水功能区划》划定的河段及湖泊保护区、保留区内投资建设不利于水资源及自然生态保护的项目。</w:t>
      </w:r>
    </w:p>
    <w:p w14:paraId="0727107E">
      <w:pPr>
        <w:adjustRightInd w:val="0"/>
        <w:snapToGrid w:val="0"/>
        <w:spacing w:line="360" w:lineRule="auto"/>
        <w:ind w:left="-105" w:right="-105" w:firstLine="480" w:firstLineChars="200"/>
        <w:jc w:val="both"/>
        <w:rPr>
          <w:rFonts w:ascii="Times New Roman" w:hAnsi="Times New Roman" w:cs="Times New Roman"/>
          <w:color w:val="auto"/>
          <w:highlight w:val="none"/>
        </w:rPr>
      </w:pPr>
      <w:r>
        <w:rPr>
          <w:rFonts w:ascii="Times New Roman" w:hAnsi="Times New Roman" w:cs="Times New Roman"/>
          <w:color w:val="auto"/>
          <w:highlight w:val="none"/>
        </w:rPr>
        <w:t>（6）禁止未经许可在长江干支流及湖泊新设、改设或扩大排污口。</w:t>
      </w:r>
    </w:p>
    <w:p w14:paraId="4C6B8489">
      <w:pPr>
        <w:adjustRightInd w:val="0"/>
        <w:snapToGrid w:val="0"/>
        <w:spacing w:line="360" w:lineRule="auto"/>
        <w:ind w:left="-105" w:right="-105" w:firstLine="480" w:firstLineChars="200"/>
        <w:jc w:val="both"/>
        <w:rPr>
          <w:rFonts w:ascii="Times New Roman" w:hAnsi="Times New Roman" w:cs="Times New Roman"/>
          <w:color w:val="auto"/>
          <w:highlight w:val="none"/>
        </w:rPr>
      </w:pPr>
      <w:r>
        <w:rPr>
          <w:rFonts w:ascii="Times New Roman" w:hAnsi="Times New Roman" w:cs="Times New Roman"/>
          <w:color w:val="auto"/>
          <w:highlight w:val="none"/>
        </w:rPr>
        <w:t>（7）禁止在“一江一口两湖七河”和332个水生生物保护区开展生产性捕捞。</w:t>
      </w:r>
    </w:p>
    <w:p w14:paraId="20B1ED5E">
      <w:pPr>
        <w:adjustRightInd w:val="0"/>
        <w:snapToGrid w:val="0"/>
        <w:spacing w:line="360" w:lineRule="auto"/>
        <w:ind w:left="-105" w:right="-105" w:firstLine="480" w:firstLineChars="200"/>
        <w:jc w:val="both"/>
        <w:rPr>
          <w:rFonts w:ascii="Times New Roman" w:hAnsi="Times New Roman" w:cs="Times New Roman"/>
          <w:color w:val="auto"/>
          <w:highlight w:val="none"/>
        </w:rPr>
      </w:pPr>
      <w:r>
        <w:rPr>
          <w:rFonts w:ascii="Times New Roman" w:hAnsi="Times New Roman" w:cs="Times New Roman"/>
          <w:color w:val="auto"/>
          <w:highlight w:val="none"/>
        </w:rPr>
        <w:t>（8）禁止在长江干支流、重要湖泊岸线一公里范围内新建、扩建化工园区和化工项目。禁止在长江干流岸线三公里范围内和重要支流岸线一公里范围内新建、改建、扩建尾矿库、冶炼渣库和磷石膏库，以提升安全、生态环境保护水平为目的的改建除外。</w:t>
      </w:r>
    </w:p>
    <w:p w14:paraId="78318001">
      <w:pPr>
        <w:adjustRightInd w:val="0"/>
        <w:snapToGrid w:val="0"/>
        <w:spacing w:line="360" w:lineRule="auto"/>
        <w:ind w:left="-105" w:right="-105" w:firstLine="480" w:firstLineChars="200"/>
        <w:jc w:val="both"/>
        <w:rPr>
          <w:rFonts w:ascii="Times New Roman" w:hAnsi="Times New Roman" w:cs="Times New Roman"/>
          <w:color w:val="auto"/>
          <w:highlight w:val="none"/>
        </w:rPr>
      </w:pPr>
      <w:r>
        <w:rPr>
          <w:rFonts w:ascii="Times New Roman" w:hAnsi="Times New Roman" w:cs="Times New Roman"/>
          <w:color w:val="auto"/>
          <w:highlight w:val="none"/>
        </w:rPr>
        <w:t>（9）禁止在合规园区外新建、扩建钢铁、石化、化工、焦化、建材、有色、制浆造纸等高污染项目。</w:t>
      </w:r>
    </w:p>
    <w:p w14:paraId="07930CB8">
      <w:pPr>
        <w:adjustRightInd w:val="0"/>
        <w:snapToGrid w:val="0"/>
        <w:spacing w:line="360" w:lineRule="auto"/>
        <w:ind w:left="-105" w:right="-105" w:firstLine="480" w:firstLineChars="200"/>
        <w:jc w:val="both"/>
        <w:rPr>
          <w:rFonts w:ascii="Times New Roman" w:hAnsi="Times New Roman" w:cs="Times New Roman"/>
          <w:color w:val="auto"/>
          <w:highlight w:val="none"/>
        </w:rPr>
      </w:pPr>
      <w:r>
        <w:rPr>
          <w:rFonts w:ascii="Times New Roman" w:hAnsi="Times New Roman" w:cs="Times New Roman"/>
          <w:color w:val="auto"/>
          <w:highlight w:val="none"/>
        </w:rPr>
        <w:t>（10）禁止新建、扩建不符合国家石化、现代煤化工等产业布局规划的项目。</w:t>
      </w:r>
    </w:p>
    <w:p w14:paraId="15E18567">
      <w:pPr>
        <w:adjustRightInd w:val="0"/>
        <w:snapToGrid w:val="0"/>
        <w:spacing w:line="360" w:lineRule="auto"/>
        <w:ind w:left="-105" w:right="-105" w:firstLine="480" w:firstLineChars="200"/>
        <w:jc w:val="both"/>
        <w:rPr>
          <w:rFonts w:ascii="Times New Roman" w:hAnsi="Times New Roman" w:cs="Times New Roman"/>
          <w:color w:val="auto"/>
          <w:highlight w:val="none"/>
        </w:rPr>
      </w:pPr>
      <w:r>
        <w:rPr>
          <w:rFonts w:ascii="Times New Roman" w:hAnsi="Times New Roman" w:cs="Times New Roman"/>
          <w:color w:val="auto"/>
          <w:highlight w:val="none"/>
        </w:rPr>
        <w:t>（11）禁止新建、扩建法律法规和相关政策明令禁止的落后产能项目。禁止新建、扩建不符合国家产能置换要求的严重过剩产能行业的项目。禁止新建、扩建不符合要求的高耗能高排放项目。</w:t>
      </w:r>
    </w:p>
    <w:p w14:paraId="27C7F725">
      <w:pPr>
        <w:adjustRightInd w:val="0"/>
        <w:snapToGrid w:val="0"/>
        <w:spacing w:line="360" w:lineRule="auto"/>
        <w:ind w:left="-105" w:right="-105" w:firstLine="480" w:firstLineChars="200"/>
        <w:jc w:val="both"/>
        <w:rPr>
          <w:rFonts w:ascii="Times New Roman" w:hAnsi="Times New Roman" w:cs="Times New Roman"/>
          <w:color w:val="auto"/>
          <w:highlight w:val="none"/>
        </w:rPr>
      </w:pPr>
      <w:r>
        <w:rPr>
          <w:rFonts w:ascii="Times New Roman" w:hAnsi="Times New Roman" w:cs="Times New Roman"/>
          <w:color w:val="auto"/>
          <w:highlight w:val="none"/>
        </w:rPr>
        <w:t>（12）法律法规及相关政策文件有更加严格规定的从其规定。</w:t>
      </w:r>
    </w:p>
    <w:p w14:paraId="33EE8580">
      <w:pPr>
        <w:adjustRightInd w:val="0"/>
        <w:snapToGrid w:val="0"/>
        <w:spacing w:line="360" w:lineRule="auto"/>
        <w:ind w:left="-105" w:right="-105" w:firstLine="480" w:firstLineChars="200"/>
        <w:jc w:val="both"/>
        <w:rPr>
          <w:rFonts w:ascii="Times New Roman" w:hAnsi="Times New Roman" w:cs="Times New Roman"/>
          <w:color w:val="auto"/>
          <w:highlight w:val="none"/>
        </w:rPr>
      </w:pPr>
      <w:r>
        <w:rPr>
          <w:rFonts w:ascii="Times New Roman" w:hAnsi="Times New Roman" w:cs="Times New Roman"/>
          <w:color w:val="auto"/>
          <w:highlight w:val="none"/>
        </w:rPr>
        <w:t>本项目属于C3</w:t>
      </w:r>
      <w:r>
        <w:rPr>
          <w:rFonts w:hint="eastAsia" w:ascii="Times New Roman" w:hAnsi="Times New Roman" w:cs="Times New Roman"/>
          <w:color w:val="auto"/>
          <w:highlight w:val="none"/>
        </w:rPr>
        <w:t>985</w:t>
      </w:r>
      <w:r>
        <w:rPr>
          <w:rFonts w:hint="eastAsia" w:ascii="Times New Roman" w:hAnsi="Times New Roman"/>
          <w:color w:val="auto"/>
          <w:szCs w:val="18"/>
          <w:highlight w:val="none"/>
        </w:rPr>
        <w:t>电子专用材料制造</w:t>
      </w:r>
      <w:r>
        <w:rPr>
          <w:rFonts w:ascii="Times New Roman" w:hAnsi="Times New Roman" w:cs="Times New Roman"/>
          <w:color w:val="auto"/>
          <w:highlight w:val="none"/>
        </w:rPr>
        <w:t>，不属于钢铁、石化、化工、焦化、建材、有色、制浆造纸等高污染项目。本项目位于</w:t>
      </w:r>
      <w:r>
        <w:rPr>
          <w:rFonts w:ascii="Times New Roman" w:hAnsi="Times New Roman"/>
          <w:color w:val="auto"/>
          <w:szCs w:val="18"/>
          <w:highlight w:val="none"/>
        </w:rPr>
        <w:t>无锡市锡山区</w:t>
      </w:r>
      <w:r>
        <w:rPr>
          <w:rFonts w:hint="eastAsia" w:ascii="Times New Roman" w:hAnsi="Times New Roman"/>
          <w:color w:val="auto"/>
          <w:szCs w:val="18"/>
          <w:highlight w:val="none"/>
        </w:rPr>
        <w:t>锡北</w:t>
      </w:r>
      <w:r>
        <w:rPr>
          <w:rFonts w:ascii="Times New Roman" w:hAnsi="Times New Roman"/>
          <w:color w:val="auto"/>
          <w:szCs w:val="18"/>
          <w:highlight w:val="none"/>
        </w:rPr>
        <w:t>镇</w:t>
      </w:r>
      <w:r>
        <w:rPr>
          <w:rFonts w:hint="eastAsia" w:ascii="Times New Roman" w:hAnsi="Times New Roman"/>
          <w:color w:val="auto"/>
          <w:szCs w:val="18"/>
          <w:highlight w:val="none"/>
        </w:rPr>
        <w:t>新坝村新达路6号</w:t>
      </w:r>
      <w:r>
        <w:rPr>
          <w:rFonts w:ascii="Times New Roman" w:hAnsi="Times New Roman" w:cs="Times New Roman"/>
          <w:color w:val="auto"/>
          <w:highlight w:val="none"/>
        </w:rPr>
        <w:t>，距离长江</w:t>
      </w:r>
      <w:r>
        <w:rPr>
          <w:rFonts w:hint="eastAsia" w:ascii="Times New Roman" w:hAnsi="Times New Roman" w:cs="Times New Roman"/>
          <w:color w:val="auto"/>
          <w:highlight w:val="none"/>
        </w:rPr>
        <w:t>41.1</w:t>
      </w:r>
      <w:r>
        <w:rPr>
          <w:rFonts w:ascii="Times New Roman" w:hAnsi="Times New Roman" w:cs="Times New Roman"/>
          <w:color w:val="auto"/>
          <w:highlight w:val="none"/>
        </w:rPr>
        <w:t>km；本项目不在自然保护区核心区、缓冲区的岸线和河段范围，不在饮用水水源一级保护区、二级保护区的岸线和河段范围，不在水产种质资源保护区的岸线和河段范围，不在《长江岸线保护和开发利用总体规划》划定的岸线保护区内，也不在生态保护红线和永久基本农田范围内；不属于法律法规和相关政策明令禁止的落后产能项目和国家产能置换要求的严重过剩产能行业的项目。因此本项目不在长江经济带发展负面清单中。</w:t>
      </w:r>
    </w:p>
    <w:p w14:paraId="16BE3692">
      <w:pPr>
        <w:adjustRightInd w:val="0"/>
        <w:snapToGrid w:val="0"/>
        <w:spacing w:line="360" w:lineRule="auto"/>
        <w:ind w:left="-105" w:right="-105" w:firstLine="480" w:firstLineChars="200"/>
        <w:jc w:val="both"/>
        <w:rPr>
          <w:rFonts w:ascii="Times New Roman" w:hAnsi="Times New Roman" w:cs="Times New Roman"/>
          <w:color w:val="auto"/>
          <w:highlight w:val="none"/>
        </w:rPr>
      </w:pPr>
      <w:r>
        <w:rPr>
          <w:rFonts w:hint="eastAsia"/>
          <w:color w:val="auto"/>
          <w:highlight w:val="none"/>
        </w:rPr>
        <w:t>⑦</w:t>
      </w:r>
      <w:r>
        <w:rPr>
          <w:rFonts w:ascii="Times New Roman" w:hAnsi="Times New Roman" w:cs="Times New Roman"/>
          <w:color w:val="auto"/>
          <w:highlight w:val="none"/>
        </w:rPr>
        <w:t>与《无锡市</w:t>
      </w:r>
      <w:r>
        <w:rPr>
          <w:rFonts w:hint="eastAsia" w:ascii="Times New Roman" w:hAnsi="Times New Roman" w:cs="Times New Roman"/>
          <w:color w:val="auto"/>
          <w:highlight w:val="none"/>
        </w:rPr>
        <w:t>“</w:t>
      </w:r>
      <w:r>
        <w:rPr>
          <w:rFonts w:ascii="Times New Roman" w:hAnsi="Times New Roman" w:cs="Times New Roman"/>
          <w:color w:val="auto"/>
          <w:highlight w:val="none"/>
        </w:rPr>
        <w:t>三线一单</w:t>
      </w:r>
      <w:r>
        <w:rPr>
          <w:rFonts w:hint="eastAsia" w:ascii="Times New Roman" w:hAnsi="Times New Roman" w:cs="Times New Roman"/>
          <w:color w:val="auto"/>
          <w:highlight w:val="none"/>
        </w:rPr>
        <w:t>”</w:t>
      </w:r>
      <w:r>
        <w:rPr>
          <w:rFonts w:ascii="Times New Roman" w:hAnsi="Times New Roman" w:cs="Times New Roman"/>
          <w:color w:val="auto"/>
          <w:highlight w:val="none"/>
        </w:rPr>
        <w:t>生态环境分区管控实施方案》（锡环委办[2020]40号）相符性分析</w:t>
      </w:r>
    </w:p>
    <w:p w14:paraId="7A8C746C">
      <w:pPr>
        <w:adjustRightInd w:val="0"/>
        <w:snapToGrid w:val="0"/>
        <w:spacing w:line="360" w:lineRule="auto"/>
        <w:ind w:left="-105" w:right="-105" w:firstLine="480" w:firstLineChars="200"/>
        <w:jc w:val="both"/>
        <w:rPr>
          <w:rFonts w:ascii="Times New Roman" w:hAnsi="Times New Roman" w:cs="Times New Roman"/>
          <w:color w:val="auto"/>
          <w:highlight w:val="none"/>
        </w:rPr>
      </w:pPr>
      <w:r>
        <w:rPr>
          <w:rFonts w:ascii="Times New Roman" w:hAnsi="Times New Roman" w:cs="Times New Roman"/>
          <w:color w:val="auto"/>
          <w:highlight w:val="none"/>
        </w:rPr>
        <w:t>根据《无锡市</w:t>
      </w:r>
      <w:r>
        <w:rPr>
          <w:rFonts w:hint="eastAsia" w:ascii="Times New Roman" w:hAnsi="Times New Roman" w:cs="Times New Roman"/>
          <w:color w:val="auto"/>
          <w:highlight w:val="none"/>
        </w:rPr>
        <w:t>“</w:t>
      </w:r>
      <w:r>
        <w:rPr>
          <w:rFonts w:ascii="Times New Roman" w:hAnsi="Times New Roman" w:cs="Times New Roman"/>
          <w:color w:val="auto"/>
          <w:highlight w:val="none"/>
        </w:rPr>
        <w:t>三线一单</w:t>
      </w:r>
      <w:r>
        <w:rPr>
          <w:rFonts w:hint="eastAsia" w:ascii="Times New Roman" w:hAnsi="Times New Roman" w:cs="Times New Roman"/>
          <w:color w:val="auto"/>
          <w:highlight w:val="none"/>
        </w:rPr>
        <w:t>”</w:t>
      </w:r>
      <w:r>
        <w:rPr>
          <w:rFonts w:ascii="Times New Roman" w:hAnsi="Times New Roman" w:cs="Times New Roman"/>
          <w:color w:val="auto"/>
          <w:highlight w:val="none"/>
        </w:rPr>
        <w:t>生态环境分区管控实施方案》（锡环委办[2020]40号）</w:t>
      </w:r>
      <w:r>
        <w:rPr>
          <w:rFonts w:hint="eastAsia" w:ascii="Times New Roman" w:hAnsi="Times New Roman" w:cs="Times New Roman"/>
          <w:color w:val="auto"/>
          <w:highlight w:val="none"/>
        </w:rPr>
        <w:t>“</w:t>
      </w:r>
      <w:r>
        <w:rPr>
          <w:rFonts w:ascii="Times New Roman" w:hAnsi="Times New Roman" w:cs="Times New Roman"/>
          <w:color w:val="auto"/>
          <w:highlight w:val="none"/>
        </w:rPr>
        <w:t>以环境管控单元为基础，从空间布局约束、污染物排放管控、环境风险防控和资源利用效率等方面明确准入、限制和禁止的要求，建立无锡市市域生态环境管控要求和194个环境管控单元的生态环境准入清单。</w:t>
      </w:r>
      <w:r>
        <w:rPr>
          <w:rFonts w:hint="eastAsia" w:ascii="Times New Roman" w:hAnsi="Times New Roman" w:cs="Times New Roman"/>
          <w:color w:val="auto"/>
          <w:highlight w:val="none"/>
        </w:rPr>
        <w:t>”</w:t>
      </w:r>
    </w:p>
    <w:p w14:paraId="22632963">
      <w:pPr>
        <w:pStyle w:val="15"/>
        <w:ind w:left="-105" w:right="-105" w:firstLine="482"/>
        <w:rPr>
          <w:rFonts w:eastAsia="宋体"/>
          <w:b w:val="0"/>
          <w:bCs/>
          <w:color w:val="auto"/>
          <w:sz w:val="24"/>
          <w:szCs w:val="18"/>
          <w:highlight w:val="none"/>
        </w:rPr>
      </w:pPr>
      <w:r>
        <w:rPr>
          <w:rFonts w:eastAsia="宋体"/>
          <w:color w:val="auto"/>
          <w:sz w:val="24"/>
          <w:szCs w:val="18"/>
          <w:highlight w:val="none"/>
        </w:rPr>
        <w:t>表</w:t>
      </w:r>
      <w:r>
        <w:rPr>
          <w:rFonts w:eastAsia="宋体"/>
          <w:color w:val="auto"/>
          <w:sz w:val="24"/>
          <w:szCs w:val="18"/>
          <w:highlight w:val="none"/>
        </w:rPr>
        <w:fldChar w:fldCharType="begin"/>
      </w:r>
      <w:r>
        <w:rPr>
          <w:rFonts w:eastAsia="宋体"/>
          <w:color w:val="auto"/>
          <w:sz w:val="24"/>
          <w:szCs w:val="18"/>
          <w:highlight w:val="none"/>
        </w:rPr>
        <w:instrText xml:space="preserve"> STYLEREF 2 \s </w:instrText>
      </w:r>
      <w:r>
        <w:rPr>
          <w:rFonts w:eastAsia="宋体"/>
          <w:color w:val="auto"/>
          <w:sz w:val="24"/>
          <w:szCs w:val="18"/>
          <w:highlight w:val="none"/>
        </w:rPr>
        <w:fldChar w:fldCharType="separate"/>
      </w:r>
      <w:r>
        <w:rPr>
          <w:rFonts w:eastAsia="宋体"/>
          <w:color w:val="auto"/>
          <w:sz w:val="24"/>
          <w:szCs w:val="18"/>
          <w:highlight w:val="none"/>
        </w:rPr>
        <w:t>2.6</w:t>
      </w:r>
      <w:r>
        <w:rPr>
          <w:rFonts w:eastAsia="宋体"/>
          <w:color w:val="auto"/>
          <w:sz w:val="24"/>
          <w:szCs w:val="18"/>
          <w:highlight w:val="none"/>
        </w:rPr>
        <w:fldChar w:fldCharType="end"/>
      </w:r>
      <w:r>
        <w:rPr>
          <w:rFonts w:eastAsia="宋体"/>
          <w:color w:val="auto"/>
          <w:sz w:val="24"/>
          <w:szCs w:val="18"/>
          <w:highlight w:val="none"/>
        </w:rPr>
        <w:noBreakHyphen/>
      </w:r>
      <w:r>
        <w:rPr>
          <w:rFonts w:eastAsia="宋体"/>
          <w:color w:val="auto"/>
          <w:sz w:val="24"/>
          <w:szCs w:val="18"/>
          <w:highlight w:val="none"/>
        </w:rPr>
        <w:fldChar w:fldCharType="begin"/>
      </w:r>
      <w:r>
        <w:rPr>
          <w:rFonts w:eastAsia="宋体"/>
          <w:color w:val="auto"/>
          <w:sz w:val="24"/>
          <w:szCs w:val="18"/>
          <w:highlight w:val="none"/>
        </w:rPr>
        <w:instrText xml:space="preserve"> SEQ 表 \* ARABIC \s 2 </w:instrText>
      </w:r>
      <w:r>
        <w:rPr>
          <w:rFonts w:eastAsia="宋体"/>
          <w:color w:val="auto"/>
          <w:sz w:val="24"/>
          <w:szCs w:val="18"/>
          <w:highlight w:val="none"/>
        </w:rPr>
        <w:fldChar w:fldCharType="separate"/>
      </w:r>
      <w:r>
        <w:rPr>
          <w:rFonts w:eastAsia="宋体"/>
          <w:color w:val="auto"/>
          <w:sz w:val="24"/>
          <w:szCs w:val="18"/>
          <w:highlight w:val="none"/>
        </w:rPr>
        <w:t>2</w:t>
      </w:r>
      <w:r>
        <w:rPr>
          <w:rFonts w:eastAsia="宋体"/>
          <w:color w:val="auto"/>
          <w:sz w:val="24"/>
          <w:szCs w:val="18"/>
          <w:highlight w:val="none"/>
        </w:rPr>
        <w:fldChar w:fldCharType="end"/>
      </w:r>
      <w:r>
        <w:rPr>
          <w:rFonts w:eastAsia="宋体"/>
          <w:color w:val="auto"/>
          <w:sz w:val="24"/>
          <w:szCs w:val="18"/>
          <w:highlight w:val="none"/>
        </w:rPr>
        <w:t>无锡市市域生态环境管控要求</w:t>
      </w:r>
    </w:p>
    <w:tbl>
      <w:tblPr>
        <w:tblStyle w:val="45"/>
        <w:tblW w:w="5000" w:type="pct"/>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autofit"/>
        <w:tblCellMar>
          <w:top w:w="0" w:type="dxa"/>
          <w:left w:w="28" w:type="dxa"/>
          <w:bottom w:w="0" w:type="dxa"/>
          <w:right w:w="28" w:type="dxa"/>
        </w:tblCellMar>
      </w:tblPr>
      <w:tblGrid>
        <w:gridCol w:w="986"/>
        <w:gridCol w:w="3580"/>
        <w:gridCol w:w="2996"/>
        <w:gridCol w:w="998"/>
      </w:tblGrid>
      <w:tr w14:paraId="07BF3752">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28" w:type="dxa"/>
            <w:bottom w:w="0" w:type="dxa"/>
            <w:right w:w="28" w:type="dxa"/>
          </w:tblCellMar>
        </w:tblPrEx>
        <w:trPr>
          <w:trHeight w:val="340" w:hRule="atLeast"/>
          <w:tblHeader/>
          <w:jc w:val="center"/>
        </w:trPr>
        <w:tc>
          <w:tcPr>
            <w:tcW w:w="576" w:type="pct"/>
            <w:vAlign w:val="center"/>
          </w:tcPr>
          <w:p w14:paraId="2675690D">
            <w:pPr>
              <w:keepNext w:val="0"/>
              <w:keepLines w:val="0"/>
              <w:pageBreakBefore w:val="0"/>
              <w:widowControl/>
              <w:kinsoku/>
              <w:wordWrap/>
              <w:overflowPunct/>
              <w:topLinePunct w:val="0"/>
              <w:autoSpaceDE/>
              <w:autoSpaceDN/>
              <w:bidi w:val="0"/>
              <w:adjustRightInd w:val="0"/>
              <w:snapToGrid w:val="0"/>
              <w:ind w:left="0" w:right="0"/>
              <w:jc w:val="center"/>
              <w:textAlignment w:val="auto"/>
              <w:rPr>
                <w:rFonts w:ascii="Times New Roman" w:hAnsi="Times New Roman" w:cs="Times New Roman"/>
                <w:b/>
                <w:color w:val="auto"/>
                <w:kern w:val="2"/>
                <w:sz w:val="21"/>
                <w:szCs w:val="21"/>
                <w:highlight w:val="none"/>
              </w:rPr>
            </w:pPr>
            <w:r>
              <w:rPr>
                <w:rFonts w:ascii="Times New Roman" w:hAnsi="Times New Roman" w:cs="Times New Roman"/>
                <w:b/>
                <w:color w:val="auto"/>
                <w:kern w:val="2"/>
                <w:sz w:val="21"/>
                <w:szCs w:val="21"/>
                <w:highlight w:val="none"/>
              </w:rPr>
              <w:t>管控类别</w:t>
            </w:r>
          </w:p>
        </w:tc>
        <w:tc>
          <w:tcPr>
            <w:tcW w:w="2091" w:type="pct"/>
            <w:vAlign w:val="center"/>
          </w:tcPr>
          <w:p w14:paraId="095B5E42">
            <w:pPr>
              <w:keepNext w:val="0"/>
              <w:keepLines w:val="0"/>
              <w:pageBreakBefore w:val="0"/>
              <w:widowControl/>
              <w:kinsoku/>
              <w:wordWrap/>
              <w:overflowPunct/>
              <w:topLinePunct w:val="0"/>
              <w:autoSpaceDE/>
              <w:autoSpaceDN/>
              <w:bidi w:val="0"/>
              <w:adjustRightInd w:val="0"/>
              <w:snapToGrid w:val="0"/>
              <w:ind w:left="0" w:right="0"/>
              <w:jc w:val="center"/>
              <w:textAlignment w:val="auto"/>
              <w:rPr>
                <w:rFonts w:ascii="Times New Roman" w:hAnsi="Times New Roman" w:cs="Times New Roman"/>
                <w:b/>
                <w:color w:val="auto"/>
                <w:kern w:val="2"/>
                <w:sz w:val="21"/>
                <w:szCs w:val="21"/>
                <w:highlight w:val="none"/>
              </w:rPr>
            </w:pPr>
            <w:r>
              <w:rPr>
                <w:rFonts w:ascii="Times New Roman" w:hAnsi="Times New Roman" w:cs="Times New Roman"/>
                <w:b/>
                <w:color w:val="auto"/>
                <w:kern w:val="2"/>
                <w:sz w:val="21"/>
                <w:szCs w:val="21"/>
                <w:highlight w:val="none"/>
              </w:rPr>
              <w:t>管控要求</w:t>
            </w:r>
          </w:p>
        </w:tc>
        <w:tc>
          <w:tcPr>
            <w:tcW w:w="1750" w:type="pct"/>
            <w:vAlign w:val="center"/>
          </w:tcPr>
          <w:p w14:paraId="059F9B16">
            <w:pPr>
              <w:keepNext w:val="0"/>
              <w:keepLines w:val="0"/>
              <w:pageBreakBefore w:val="0"/>
              <w:widowControl/>
              <w:kinsoku/>
              <w:wordWrap/>
              <w:overflowPunct/>
              <w:topLinePunct w:val="0"/>
              <w:autoSpaceDE/>
              <w:autoSpaceDN/>
              <w:bidi w:val="0"/>
              <w:adjustRightInd w:val="0"/>
              <w:snapToGrid w:val="0"/>
              <w:ind w:left="0" w:right="0"/>
              <w:jc w:val="center"/>
              <w:textAlignment w:val="auto"/>
              <w:rPr>
                <w:rFonts w:ascii="Times New Roman" w:hAnsi="Times New Roman" w:cs="Times New Roman"/>
                <w:b/>
                <w:color w:val="auto"/>
                <w:kern w:val="2"/>
                <w:sz w:val="21"/>
                <w:szCs w:val="21"/>
                <w:highlight w:val="none"/>
              </w:rPr>
            </w:pPr>
            <w:r>
              <w:rPr>
                <w:rFonts w:ascii="Times New Roman" w:hAnsi="Times New Roman" w:cs="Times New Roman"/>
                <w:b/>
                <w:bCs/>
                <w:color w:val="auto"/>
                <w:kern w:val="2"/>
                <w:sz w:val="21"/>
                <w:szCs w:val="21"/>
                <w:highlight w:val="none"/>
              </w:rPr>
              <w:t>相符性分析</w:t>
            </w:r>
          </w:p>
        </w:tc>
        <w:tc>
          <w:tcPr>
            <w:tcW w:w="583" w:type="pct"/>
            <w:vAlign w:val="center"/>
          </w:tcPr>
          <w:p w14:paraId="30E293F3">
            <w:pPr>
              <w:keepNext w:val="0"/>
              <w:keepLines w:val="0"/>
              <w:pageBreakBefore w:val="0"/>
              <w:widowControl/>
              <w:kinsoku/>
              <w:wordWrap/>
              <w:overflowPunct/>
              <w:topLinePunct w:val="0"/>
              <w:autoSpaceDE/>
              <w:autoSpaceDN/>
              <w:bidi w:val="0"/>
              <w:adjustRightInd w:val="0"/>
              <w:snapToGrid w:val="0"/>
              <w:ind w:left="0" w:right="0"/>
              <w:jc w:val="center"/>
              <w:textAlignment w:val="auto"/>
              <w:rPr>
                <w:rFonts w:ascii="Times New Roman" w:hAnsi="Times New Roman" w:cs="Times New Roman"/>
                <w:b/>
                <w:bCs/>
                <w:color w:val="auto"/>
                <w:kern w:val="2"/>
                <w:sz w:val="21"/>
                <w:szCs w:val="21"/>
                <w:highlight w:val="none"/>
              </w:rPr>
            </w:pPr>
            <w:r>
              <w:rPr>
                <w:rFonts w:hint="eastAsia" w:ascii="Times New Roman" w:hAnsi="Times New Roman" w:cs="Times New Roman"/>
                <w:b/>
                <w:bCs/>
                <w:color w:val="auto"/>
                <w:kern w:val="2"/>
                <w:sz w:val="21"/>
                <w:szCs w:val="21"/>
                <w:highlight w:val="none"/>
              </w:rPr>
              <w:t>是否相符</w:t>
            </w:r>
          </w:p>
        </w:tc>
      </w:tr>
      <w:tr w14:paraId="0AA765A1">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28" w:type="dxa"/>
            <w:bottom w:w="0" w:type="dxa"/>
            <w:right w:w="28" w:type="dxa"/>
          </w:tblCellMar>
        </w:tblPrEx>
        <w:trPr>
          <w:trHeight w:val="862" w:hRule="atLeast"/>
          <w:jc w:val="center"/>
        </w:trPr>
        <w:tc>
          <w:tcPr>
            <w:tcW w:w="576" w:type="pct"/>
            <w:vAlign w:val="center"/>
          </w:tcPr>
          <w:p w14:paraId="1945D1EA">
            <w:pPr>
              <w:keepNext w:val="0"/>
              <w:keepLines w:val="0"/>
              <w:pageBreakBefore w:val="0"/>
              <w:widowControl/>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kern w:val="2"/>
                <w:sz w:val="21"/>
                <w:szCs w:val="21"/>
                <w:highlight w:val="none"/>
              </w:rPr>
            </w:pPr>
            <w:r>
              <w:rPr>
                <w:rFonts w:ascii="Times New Roman" w:hAnsi="Times New Roman" w:cs="Times New Roman"/>
                <w:color w:val="auto"/>
                <w:kern w:val="2"/>
                <w:sz w:val="21"/>
                <w:szCs w:val="21"/>
                <w:highlight w:val="none"/>
              </w:rPr>
              <w:t>空间布局约束</w:t>
            </w:r>
          </w:p>
        </w:tc>
        <w:tc>
          <w:tcPr>
            <w:tcW w:w="2091" w:type="pct"/>
            <w:vAlign w:val="center"/>
          </w:tcPr>
          <w:p w14:paraId="3325011B">
            <w:pPr>
              <w:keepNext w:val="0"/>
              <w:keepLines w:val="0"/>
              <w:pageBreakBefore w:val="0"/>
              <w:widowControl/>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kern w:val="2"/>
                <w:sz w:val="21"/>
                <w:szCs w:val="21"/>
                <w:highlight w:val="none"/>
              </w:rPr>
            </w:pPr>
            <w:r>
              <w:rPr>
                <w:rFonts w:ascii="Times New Roman" w:hAnsi="Times New Roman" w:cs="Times New Roman"/>
                <w:color w:val="auto"/>
                <w:kern w:val="2"/>
                <w:sz w:val="21"/>
                <w:szCs w:val="21"/>
                <w:highlight w:val="none"/>
              </w:rPr>
              <w:t>（1）严格执行《江苏省“三线一单”生态环境分区管控方案》（苏政发[2020]49号）附件3江苏省省域生态环境管控要求中“空间布局约束”的相关要求。</w:t>
            </w:r>
          </w:p>
          <w:p w14:paraId="2AAAAC35">
            <w:pPr>
              <w:keepNext w:val="0"/>
              <w:keepLines w:val="0"/>
              <w:pageBreakBefore w:val="0"/>
              <w:widowControl/>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kern w:val="2"/>
                <w:sz w:val="21"/>
                <w:szCs w:val="21"/>
                <w:highlight w:val="none"/>
              </w:rPr>
            </w:pPr>
            <w:r>
              <w:rPr>
                <w:rFonts w:ascii="Times New Roman" w:hAnsi="Times New Roman" w:cs="Times New Roman"/>
                <w:color w:val="auto"/>
                <w:kern w:val="2"/>
                <w:sz w:val="21"/>
                <w:szCs w:val="21"/>
                <w:highlight w:val="none"/>
              </w:rPr>
              <w:t>（2）严格执行《无锡市“两减六治三提升”专项行动实施方案》（锡委发[2017]4号）《无锡市长江保护修复攻坚战行动计划工作方案》《无锡市打赢蓝天保卫战三年行动计划实施方案》（锡政发[2018]45号）《无锡市土壤污染防治工作方案》（锡政发[2017]15号）等文件要求。</w:t>
            </w:r>
          </w:p>
          <w:p w14:paraId="2D351FB3">
            <w:pPr>
              <w:keepNext w:val="0"/>
              <w:keepLines w:val="0"/>
              <w:pageBreakBefore w:val="0"/>
              <w:widowControl/>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kern w:val="2"/>
                <w:sz w:val="21"/>
                <w:szCs w:val="21"/>
                <w:highlight w:val="none"/>
              </w:rPr>
            </w:pPr>
            <w:r>
              <w:rPr>
                <w:rFonts w:ascii="Times New Roman" w:hAnsi="Times New Roman" w:cs="Times New Roman"/>
                <w:color w:val="auto"/>
                <w:kern w:val="2"/>
                <w:sz w:val="21"/>
                <w:szCs w:val="21"/>
                <w:highlight w:val="none"/>
              </w:rPr>
              <w:t>（3）禁止引进列入《无锡市产业结构调整指导目录》（锡政办发[2008]6号）淘汰类的产业。</w:t>
            </w:r>
          </w:p>
          <w:p w14:paraId="239D12EA">
            <w:pPr>
              <w:keepNext w:val="0"/>
              <w:keepLines w:val="0"/>
              <w:pageBreakBefore w:val="0"/>
              <w:widowControl/>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kern w:val="2"/>
                <w:sz w:val="21"/>
                <w:szCs w:val="21"/>
                <w:highlight w:val="none"/>
              </w:rPr>
            </w:pPr>
            <w:r>
              <w:rPr>
                <w:rFonts w:ascii="Times New Roman" w:hAnsi="Times New Roman" w:cs="Times New Roman"/>
                <w:color w:val="auto"/>
                <w:kern w:val="2"/>
                <w:sz w:val="21"/>
                <w:szCs w:val="21"/>
                <w:highlight w:val="none"/>
              </w:rPr>
              <w:t>（4）根据《关于印发无锡市长江经济带生态环境保护重点任务实施方案的通知》（锡环发[2018]228号），沿江地区不再新布局石化项目。严格控制沿江石油加工、化学原料和化学制品制造、医药制造、化学纤维制造、有色金属、印染、造纸等项目环境风险。禁止在长江干流自然保护区、风景名胜区、“四大家鱼”产卵场等管控重点区域新建工业类和污染类项目，现有高风险企业实施限期治理。自然保护区核心区及缓冲区内禁止新建码头工程，逐步拆除已有的各类生产设施以及危险化学品、石油类泊位。严禁新增危险化学品码头，加大长江沿岸现有危险化学品码头和储罐的清理整顿力度，加强沿江危险化学品码头运行管理。</w:t>
            </w:r>
          </w:p>
          <w:p w14:paraId="40DBAF02">
            <w:pPr>
              <w:keepNext w:val="0"/>
              <w:keepLines w:val="0"/>
              <w:pageBreakBefore w:val="0"/>
              <w:widowControl/>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kern w:val="2"/>
                <w:sz w:val="21"/>
                <w:szCs w:val="21"/>
                <w:highlight w:val="none"/>
              </w:rPr>
            </w:pPr>
            <w:r>
              <w:rPr>
                <w:rFonts w:ascii="Times New Roman" w:hAnsi="Times New Roman" w:cs="Times New Roman"/>
                <w:color w:val="auto"/>
                <w:kern w:val="2"/>
                <w:sz w:val="21"/>
                <w:szCs w:val="21"/>
                <w:highlight w:val="none"/>
              </w:rPr>
              <w:t>（5）根据《无锡市政府办公室关于印发无锡市化工行业建设项目准入暂行管理办法的通知》（锡政办发[2017]200号），新建（含搬迁）化工项目必须进入已经依法完成规划环评审查的化工园区。禁止国家确定的过剩行业新增产能，禁止新改扩建染料以及其他排放含磷、氮污染物的化工项目，相关部门和机构不得办理土地供应、能评、环评、取水、接电和新增授信等业务，对符合政策要求的先进工艺改造提升项目应实行等量或减量置换。禁止限制类项目产能（搬迁改造升级项目除外）进入化工园区。限制新建剧毒化学品、有毒气体类项目，不再批准新的光气生产装置和生产点建设项目，从严审批涉及重点监管危险化学品和涉及高危工艺的化工项目。禁止建设排放致癌、致畸、致突变物质及列入名录的恶臭污染物等严重影响人身健康和环境质量的化工项目。</w:t>
            </w:r>
          </w:p>
          <w:p w14:paraId="284091E5">
            <w:pPr>
              <w:keepNext w:val="0"/>
              <w:keepLines w:val="0"/>
              <w:pageBreakBefore w:val="0"/>
              <w:widowControl/>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kern w:val="2"/>
                <w:sz w:val="21"/>
                <w:szCs w:val="21"/>
                <w:highlight w:val="none"/>
              </w:rPr>
            </w:pPr>
            <w:r>
              <w:rPr>
                <w:rFonts w:ascii="Times New Roman" w:hAnsi="Times New Roman" w:cs="Times New Roman"/>
                <w:color w:val="auto"/>
                <w:kern w:val="2"/>
                <w:sz w:val="21"/>
                <w:szCs w:val="21"/>
                <w:highlight w:val="none"/>
              </w:rPr>
              <w:t>（6）依据《无锡市加快化工钢铁煤电行业转型升级三年行动计划（2018-2020年）》（锡委办发[2018]101号），严格限制在长江沿线新建扩建石油化工、煤化工等化工项目，禁止建设新增污染物排放的项目；严禁在干流及主要支流岸线1公里范围内布局新建化工园区和化工企业。2020年底前，全市危化品码头仓储企业数量只减不增，液体化工码头入园进区率不低于全市化工企业入园进区率，实现危化品码头专业化、规范化和良性发展。重点实施环太湖、沿江、沿运河等区域相对落后冶炼产能的退出和搬迁工作，距太湖直线距离10公里以内的所有冶炼产能，20公里以内的600m</w:t>
            </w:r>
            <w:r>
              <w:rPr>
                <w:rFonts w:ascii="Times New Roman" w:hAnsi="Times New Roman" w:cs="Times New Roman"/>
                <w:color w:val="auto"/>
                <w:kern w:val="2"/>
                <w:sz w:val="21"/>
                <w:szCs w:val="21"/>
                <w:highlight w:val="none"/>
                <w:vertAlign w:val="superscript"/>
              </w:rPr>
              <w:t>3</w:t>
            </w:r>
            <w:r>
              <w:rPr>
                <w:rFonts w:ascii="Times New Roman" w:hAnsi="Times New Roman" w:cs="Times New Roman"/>
                <w:color w:val="auto"/>
                <w:kern w:val="2"/>
                <w:sz w:val="21"/>
                <w:szCs w:val="21"/>
                <w:highlight w:val="none"/>
              </w:rPr>
              <w:t>及以下高炉、50吨及以下转(电)炉必须在2020年前全部退出、搬迁，40公里以内的500m</w:t>
            </w:r>
            <w:r>
              <w:rPr>
                <w:rFonts w:ascii="Times New Roman" w:hAnsi="Times New Roman" w:cs="Times New Roman"/>
                <w:color w:val="auto"/>
                <w:kern w:val="2"/>
                <w:sz w:val="21"/>
                <w:szCs w:val="21"/>
                <w:highlight w:val="none"/>
                <w:vertAlign w:val="superscript"/>
              </w:rPr>
              <w:t>3</w:t>
            </w:r>
            <w:r>
              <w:rPr>
                <w:rFonts w:ascii="Times New Roman" w:hAnsi="Times New Roman" w:cs="Times New Roman"/>
                <w:color w:val="auto"/>
                <w:kern w:val="2"/>
                <w:sz w:val="21"/>
                <w:szCs w:val="21"/>
                <w:highlight w:val="none"/>
              </w:rPr>
              <w:t>及以下高炉、45吨及以下转(电)炉必须在2020年底前按照国家减量置换要求，技改升级为国家产业结构指导目录明确的鼓励类装备。确保完成省下达的钢铁行业去产能任务、关停落后煤电机组任务，全市煤炭消费总量完成省下达目标。</w:t>
            </w:r>
          </w:p>
        </w:tc>
        <w:tc>
          <w:tcPr>
            <w:tcW w:w="1750" w:type="pct"/>
            <w:vAlign w:val="center"/>
          </w:tcPr>
          <w:p w14:paraId="3B7B262E">
            <w:pPr>
              <w:keepNext w:val="0"/>
              <w:keepLines w:val="0"/>
              <w:pageBreakBefore w:val="0"/>
              <w:widowControl/>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kern w:val="2"/>
                <w:sz w:val="21"/>
                <w:szCs w:val="21"/>
                <w:highlight w:val="none"/>
              </w:rPr>
            </w:pPr>
            <w:r>
              <w:rPr>
                <w:rFonts w:ascii="Times New Roman" w:hAnsi="Times New Roman" w:cs="Times New Roman"/>
                <w:color w:val="auto"/>
                <w:kern w:val="2"/>
                <w:sz w:val="21"/>
                <w:szCs w:val="21"/>
                <w:highlight w:val="none"/>
              </w:rPr>
              <w:t>（1）本项目的建设符合《江苏省“三线一单”生态环境分区管控方案》（苏政发[2020]49号）的要求。</w:t>
            </w:r>
          </w:p>
          <w:p w14:paraId="47382BFE">
            <w:pPr>
              <w:keepNext w:val="0"/>
              <w:keepLines w:val="0"/>
              <w:pageBreakBefore w:val="0"/>
              <w:widowControl/>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kern w:val="2"/>
                <w:sz w:val="21"/>
                <w:szCs w:val="21"/>
                <w:highlight w:val="none"/>
              </w:rPr>
            </w:pPr>
            <w:r>
              <w:rPr>
                <w:rFonts w:ascii="Times New Roman" w:hAnsi="Times New Roman" w:cs="Times New Roman"/>
                <w:color w:val="auto"/>
                <w:kern w:val="2"/>
                <w:sz w:val="21"/>
                <w:szCs w:val="21"/>
                <w:highlight w:val="none"/>
              </w:rPr>
              <w:t>（2）本项目符合《无锡市“两减六治三提升”专项行动实施方案》（锡委发[2017]4号）《无锡市长江保护修复攻坚战行动计划工作方案》《无锡市土壤污染防治工作方案》（锡政发[2017]15号）等文件要求。</w:t>
            </w:r>
          </w:p>
          <w:p w14:paraId="6E4197CB">
            <w:pPr>
              <w:keepNext w:val="0"/>
              <w:keepLines w:val="0"/>
              <w:pageBreakBefore w:val="0"/>
              <w:widowControl/>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kern w:val="2"/>
                <w:sz w:val="21"/>
                <w:szCs w:val="21"/>
                <w:highlight w:val="none"/>
              </w:rPr>
            </w:pPr>
            <w:r>
              <w:rPr>
                <w:rFonts w:ascii="Times New Roman" w:hAnsi="Times New Roman" w:cs="Times New Roman"/>
                <w:color w:val="auto"/>
                <w:kern w:val="2"/>
                <w:sz w:val="21"/>
                <w:szCs w:val="21"/>
                <w:highlight w:val="none"/>
              </w:rPr>
              <w:t>（3）本项目不属于《无锡市产业结构调整指导目录》（锡政办发[2008]6号）淘汰类的产业。</w:t>
            </w:r>
          </w:p>
          <w:p w14:paraId="1529B148">
            <w:pPr>
              <w:keepNext w:val="0"/>
              <w:keepLines w:val="0"/>
              <w:pageBreakBefore w:val="0"/>
              <w:widowControl/>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kern w:val="2"/>
                <w:sz w:val="21"/>
                <w:szCs w:val="21"/>
                <w:highlight w:val="none"/>
              </w:rPr>
            </w:pPr>
            <w:r>
              <w:rPr>
                <w:rFonts w:ascii="Times New Roman" w:hAnsi="Times New Roman" w:cs="Times New Roman"/>
                <w:color w:val="auto"/>
                <w:kern w:val="2"/>
                <w:sz w:val="21"/>
                <w:szCs w:val="21"/>
                <w:highlight w:val="none"/>
              </w:rPr>
              <w:t>（4）本项目属于</w:t>
            </w:r>
            <w:r>
              <w:rPr>
                <w:rFonts w:hint="eastAsia" w:ascii="Times New Roman" w:hAnsi="Times New Roman" w:cs="Times New Roman"/>
                <w:color w:val="auto"/>
                <w:kern w:val="2"/>
                <w:sz w:val="21"/>
                <w:szCs w:val="21"/>
                <w:highlight w:val="none"/>
              </w:rPr>
              <w:t>C3985电子专用材料制造</w:t>
            </w:r>
            <w:r>
              <w:rPr>
                <w:rFonts w:ascii="Times New Roman" w:hAnsi="Times New Roman" w:cs="Times New Roman"/>
                <w:color w:val="auto"/>
                <w:kern w:val="2"/>
                <w:sz w:val="21"/>
                <w:szCs w:val="21"/>
                <w:highlight w:val="none"/>
              </w:rPr>
              <w:t>，本项目位于</w:t>
            </w:r>
            <w:r>
              <w:rPr>
                <w:rFonts w:hint="eastAsia" w:ascii="Times New Roman" w:hAnsi="Times New Roman" w:cs="Times New Roman"/>
                <w:color w:val="auto"/>
                <w:kern w:val="2"/>
                <w:sz w:val="21"/>
                <w:szCs w:val="21"/>
                <w:highlight w:val="none"/>
              </w:rPr>
              <w:t>无锡市锡山区锡北镇新坝村新达路6号</w:t>
            </w:r>
            <w:r>
              <w:rPr>
                <w:rFonts w:ascii="Times New Roman" w:hAnsi="Times New Roman" w:cs="Times New Roman"/>
                <w:color w:val="auto"/>
                <w:kern w:val="2"/>
                <w:sz w:val="21"/>
                <w:szCs w:val="21"/>
                <w:highlight w:val="none"/>
              </w:rPr>
              <w:t>，距离长江</w:t>
            </w:r>
            <w:r>
              <w:rPr>
                <w:rFonts w:hint="eastAsia" w:ascii="Times New Roman" w:hAnsi="Times New Roman" w:cs="Times New Roman"/>
                <w:color w:val="auto"/>
                <w:kern w:val="2"/>
                <w:sz w:val="21"/>
                <w:szCs w:val="21"/>
                <w:highlight w:val="none"/>
              </w:rPr>
              <w:t>41.1</w:t>
            </w:r>
            <w:r>
              <w:rPr>
                <w:rFonts w:ascii="Times New Roman" w:hAnsi="Times New Roman" w:cs="Times New Roman"/>
                <w:color w:val="auto"/>
                <w:kern w:val="2"/>
                <w:sz w:val="21"/>
                <w:szCs w:val="21"/>
                <w:highlight w:val="none"/>
              </w:rPr>
              <w:t>km。本项目不在自然保护区核心区、缓冲区的岸线和河段范围，不在饮用水水源一级保护区、二级保护区的岸线和河段范围，不在水产种质资源保护区的岸线和河段范围，不在《长江岸线保护和开发利用总体规划》划定的岸线保护区内，也不在生态保护红线和永久基本农田范围内。</w:t>
            </w:r>
          </w:p>
          <w:p w14:paraId="29ABA21B">
            <w:pPr>
              <w:keepNext w:val="0"/>
              <w:keepLines w:val="0"/>
              <w:pageBreakBefore w:val="0"/>
              <w:widowControl/>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kern w:val="2"/>
                <w:sz w:val="21"/>
                <w:szCs w:val="21"/>
                <w:highlight w:val="none"/>
              </w:rPr>
            </w:pPr>
            <w:r>
              <w:rPr>
                <w:rFonts w:ascii="Times New Roman" w:hAnsi="Times New Roman" w:cs="Times New Roman"/>
                <w:color w:val="auto"/>
                <w:kern w:val="2"/>
                <w:sz w:val="21"/>
                <w:szCs w:val="21"/>
                <w:highlight w:val="none"/>
              </w:rPr>
              <w:t>（5）本项目不属于化工项目。</w:t>
            </w:r>
          </w:p>
          <w:p w14:paraId="44CA4E07">
            <w:pPr>
              <w:keepNext w:val="0"/>
              <w:keepLines w:val="0"/>
              <w:pageBreakBefore w:val="0"/>
              <w:widowControl/>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kern w:val="2"/>
                <w:sz w:val="21"/>
                <w:szCs w:val="21"/>
                <w:highlight w:val="none"/>
              </w:rPr>
            </w:pPr>
            <w:r>
              <w:rPr>
                <w:rFonts w:ascii="Times New Roman" w:hAnsi="Times New Roman" w:cs="Times New Roman"/>
                <w:color w:val="auto"/>
                <w:kern w:val="2"/>
                <w:sz w:val="21"/>
                <w:szCs w:val="21"/>
                <w:highlight w:val="none"/>
              </w:rPr>
              <w:t>（6）本项目不属于化工、冶炼项目，本项目距离太湖2</w:t>
            </w:r>
            <w:r>
              <w:rPr>
                <w:rFonts w:hint="eastAsia" w:ascii="Times New Roman" w:hAnsi="Times New Roman" w:cs="Times New Roman"/>
                <w:color w:val="auto"/>
                <w:kern w:val="2"/>
                <w:sz w:val="21"/>
                <w:szCs w:val="21"/>
                <w:highlight w:val="none"/>
              </w:rPr>
              <w:t>0.6</w:t>
            </w:r>
            <w:r>
              <w:rPr>
                <w:rFonts w:ascii="Times New Roman" w:hAnsi="Times New Roman" w:cs="Times New Roman"/>
                <w:color w:val="auto"/>
                <w:kern w:val="2"/>
                <w:sz w:val="21"/>
                <w:szCs w:val="21"/>
                <w:highlight w:val="none"/>
              </w:rPr>
              <w:t>km。</w:t>
            </w:r>
          </w:p>
        </w:tc>
        <w:tc>
          <w:tcPr>
            <w:tcW w:w="583" w:type="pct"/>
            <w:vAlign w:val="center"/>
          </w:tcPr>
          <w:p w14:paraId="2BF03ED2">
            <w:pPr>
              <w:keepNext w:val="0"/>
              <w:keepLines w:val="0"/>
              <w:pageBreakBefore w:val="0"/>
              <w:widowControl/>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kern w:val="2"/>
                <w:sz w:val="21"/>
                <w:szCs w:val="21"/>
                <w:highlight w:val="none"/>
              </w:rPr>
            </w:pPr>
            <w:r>
              <w:rPr>
                <w:rFonts w:hint="eastAsia" w:ascii="Times New Roman" w:hAnsi="Times New Roman" w:cs="Times New Roman"/>
                <w:color w:val="auto"/>
                <w:kern w:val="2"/>
                <w:sz w:val="21"/>
                <w:szCs w:val="21"/>
                <w:highlight w:val="none"/>
              </w:rPr>
              <w:t>符合</w:t>
            </w:r>
          </w:p>
        </w:tc>
      </w:tr>
      <w:tr w14:paraId="66829089">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28" w:type="dxa"/>
            <w:bottom w:w="0" w:type="dxa"/>
            <w:right w:w="28" w:type="dxa"/>
          </w:tblCellMar>
        </w:tblPrEx>
        <w:trPr>
          <w:trHeight w:val="390" w:hRule="atLeast"/>
          <w:jc w:val="center"/>
        </w:trPr>
        <w:tc>
          <w:tcPr>
            <w:tcW w:w="576" w:type="pct"/>
            <w:vAlign w:val="center"/>
          </w:tcPr>
          <w:p w14:paraId="4889F2C4">
            <w:pPr>
              <w:keepNext w:val="0"/>
              <w:keepLines w:val="0"/>
              <w:pageBreakBefore w:val="0"/>
              <w:widowControl/>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kern w:val="2"/>
                <w:sz w:val="21"/>
                <w:szCs w:val="21"/>
                <w:highlight w:val="none"/>
              </w:rPr>
            </w:pPr>
            <w:r>
              <w:rPr>
                <w:rFonts w:ascii="Times New Roman" w:hAnsi="Times New Roman" w:cs="Times New Roman"/>
                <w:color w:val="auto"/>
                <w:kern w:val="2"/>
                <w:sz w:val="21"/>
                <w:szCs w:val="21"/>
                <w:highlight w:val="none"/>
              </w:rPr>
              <w:t>污染物排放管控</w:t>
            </w:r>
          </w:p>
        </w:tc>
        <w:tc>
          <w:tcPr>
            <w:tcW w:w="2091" w:type="pct"/>
            <w:vAlign w:val="center"/>
          </w:tcPr>
          <w:p w14:paraId="0EBD5842">
            <w:pPr>
              <w:keepNext w:val="0"/>
              <w:keepLines w:val="0"/>
              <w:pageBreakBefore w:val="0"/>
              <w:widowControl/>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kern w:val="2"/>
                <w:sz w:val="21"/>
                <w:szCs w:val="21"/>
                <w:highlight w:val="none"/>
              </w:rPr>
            </w:pPr>
            <w:r>
              <w:rPr>
                <w:rFonts w:ascii="Times New Roman" w:hAnsi="Times New Roman" w:cs="Times New Roman"/>
                <w:color w:val="auto"/>
                <w:kern w:val="2"/>
                <w:sz w:val="21"/>
                <w:szCs w:val="21"/>
                <w:highlight w:val="none"/>
              </w:rPr>
              <w:t>（1）坚持生态环境质量只能更好、不能变坏，实施污染物总量控制，以环境容量定产业、定项目、定规模，确保开发建设行为不突破生态环境承载力。</w:t>
            </w:r>
          </w:p>
          <w:p w14:paraId="22916199">
            <w:pPr>
              <w:keepNext w:val="0"/>
              <w:keepLines w:val="0"/>
              <w:pageBreakBefore w:val="0"/>
              <w:widowControl/>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kern w:val="2"/>
                <w:sz w:val="21"/>
                <w:szCs w:val="21"/>
                <w:highlight w:val="none"/>
              </w:rPr>
            </w:pPr>
            <w:r>
              <w:rPr>
                <w:rFonts w:ascii="Times New Roman" w:hAnsi="Times New Roman" w:cs="Times New Roman"/>
                <w:color w:val="auto"/>
                <w:kern w:val="2"/>
                <w:sz w:val="21"/>
                <w:szCs w:val="21"/>
                <w:highlight w:val="none"/>
              </w:rPr>
              <w:t>（2）依据《关于印发“十三五”各市（县）、区环保约束性指标计划的通知》（锡环委办[2016]38号），2020年无锡市化学需氧量、氨氮、总氮、总磷、二氧化硫、氮氧化物排放量不得超过3.09万吨/年、0.31万吨/年、1.09万吨/年、0.07万吨/年、5.98万吨/年、9.73万吨/年。</w:t>
            </w:r>
          </w:p>
        </w:tc>
        <w:tc>
          <w:tcPr>
            <w:tcW w:w="1750" w:type="pct"/>
            <w:vAlign w:val="center"/>
          </w:tcPr>
          <w:p w14:paraId="60D57EF4">
            <w:pPr>
              <w:keepNext w:val="0"/>
              <w:keepLines w:val="0"/>
              <w:pageBreakBefore w:val="0"/>
              <w:widowControl/>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kern w:val="2"/>
                <w:sz w:val="21"/>
                <w:szCs w:val="21"/>
                <w:highlight w:val="none"/>
              </w:rPr>
            </w:pPr>
            <w:r>
              <w:rPr>
                <w:rFonts w:ascii="Times New Roman" w:hAnsi="Times New Roman" w:cs="Times New Roman"/>
                <w:color w:val="auto"/>
                <w:kern w:val="2"/>
                <w:sz w:val="21"/>
                <w:szCs w:val="21"/>
                <w:highlight w:val="none"/>
              </w:rPr>
              <w:t>（1）本项目用水来自区域自来水管网，用电由市政电网供给，不会达到资源利用上线，污染物排放量施行总量控制，经查阅《省政府关于印发&lt;江苏省国家级生态保护红线规划&gt;的通知（苏政发[2018]74号），本项目选址不在国家级生态保护红线规划范围内；经查阅《省政府关于印发江苏省生态空间管控区域规划的通知》(苏政发[2020]1号)</w:t>
            </w:r>
            <w:r>
              <w:rPr>
                <w:rFonts w:hint="eastAsia" w:ascii="Times New Roman" w:hAnsi="Times New Roman" w:cs="Times New Roman"/>
                <w:color w:val="auto"/>
                <w:kern w:val="2"/>
                <w:sz w:val="21"/>
                <w:szCs w:val="21"/>
                <w:highlight w:val="none"/>
              </w:rPr>
              <w:t>“</w:t>
            </w:r>
            <w:r>
              <w:rPr>
                <w:rFonts w:ascii="Times New Roman" w:hAnsi="Times New Roman" w:cs="Times New Roman"/>
                <w:color w:val="auto"/>
                <w:kern w:val="2"/>
                <w:sz w:val="21"/>
                <w:szCs w:val="21"/>
                <w:highlight w:val="none"/>
              </w:rPr>
              <w:t>无锡市生态空间保护区域名录</w:t>
            </w:r>
            <w:r>
              <w:rPr>
                <w:rFonts w:hint="eastAsia" w:ascii="Times New Roman" w:hAnsi="Times New Roman" w:cs="Times New Roman"/>
                <w:color w:val="auto"/>
                <w:kern w:val="2"/>
                <w:sz w:val="21"/>
                <w:szCs w:val="21"/>
                <w:highlight w:val="none"/>
              </w:rPr>
              <w:t>”</w:t>
            </w:r>
            <w:r>
              <w:rPr>
                <w:rFonts w:ascii="Times New Roman" w:hAnsi="Times New Roman" w:cs="Times New Roman"/>
                <w:color w:val="auto"/>
                <w:kern w:val="2"/>
                <w:sz w:val="21"/>
                <w:szCs w:val="21"/>
                <w:highlight w:val="none"/>
              </w:rPr>
              <w:t>，本项目不在生态空间保护区域范围内，另根据《无锡市锡山区生态文明建设规划》，本项目不在其生态红线区域范围内，距本项目最近的生态红线区域为</w:t>
            </w:r>
            <w:r>
              <w:rPr>
                <w:rFonts w:hint="eastAsia" w:ascii="Times New Roman" w:hAnsi="Times New Roman" w:cs="Times New Roman"/>
                <w:color w:val="auto"/>
                <w:kern w:val="2"/>
                <w:sz w:val="21"/>
                <w:szCs w:val="21"/>
                <w:highlight w:val="none"/>
              </w:rPr>
              <w:t>京沪高铁锡山段沿线生态防护林</w:t>
            </w:r>
            <w:r>
              <w:rPr>
                <w:rFonts w:ascii="Times New Roman" w:hAnsi="Times New Roman" w:cs="Times New Roman"/>
                <w:color w:val="auto"/>
                <w:kern w:val="2"/>
                <w:sz w:val="21"/>
                <w:szCs w:val="21"/>
                <w:highlight w:val="none"/>
              </w:rPr>
              <w:t>，位于本项目东侧厂界约</w:t>
            </w:r>
            <w:r>
              <w:rPr>
                <w:rFonts w:hint="eastAsia" w:ascii="Times New Roman" w:hAnsi="Times New Roman" w:cs="Times New Roman"/>
                <w:color w:val="auto"/>
                <w:kern w:val="2"/>
                <w:sz w:val="21"/>
                <w:szCs w:val="21"/>
                <w:highlight w:val="none"/>
              </w:rPr>
              <w:t>733</w:t>
            </w:r>
            <w:r>
              <w:rPr>
                <w:rFonts w:ascii="Times New Roman" w:hAnsi="Times New Roman" w:cs="Times New Roman"/>
                <w:color w:val="auto"/>
                <w:kern w:val="2"/>
                <w:sz w:val="21"/>
                <w:szCs w:val="21"/>
                <w:highlight w:val="none"/>
              </w:rPr>
              <w:t>m。因此，本项目的建设不会导致无锡市辖区内生态红线区域服务功能下降。</w:t>
            </w:r>
          </w:p>
          <w:p w14:paraId="2C1F1091">
            <w:pPr>
              <w:keepNext w:val="0"/>
              <w:keepLines w:val="0"/>
              <w:pageBreakBefore w:val="0"/>
              <w:widowControl/>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kern w:val="2"/>
                <w:sz w:val="21"/>
                <w:szCs w:val="21"/>
                <w:highlight w:val="none"/>
              </w:rPr>
            </w:pPr>
            <w:r>
              <w:rPr>
                <w:rFonts w:ascii="Times New Roman" w:hAnsi="Times New Roman" w:cs="Times New Roman"/>
                <w:color w:val="auto"/>
                <w:kern w:val="2"/>
                <w:sz w:val="21"/>
                <w:szCs w:val="21"/>
                <w:highlight w:val="none"/>
              </w:rPr>
              <w:t>（2）本项目</w:t>
            </w:r>
            <w:r>
              <w:rPr>
                <w:rFonts w:hint="eastAsia" w:ascii="Times New Roman" w:hAnsi="Times New Roman" w:cs="Times New Roman"/>
                <w:color w:val="auto"/>
                <w:kern w:val="2"/>
                <w:sz w:val="21"/>
                <w:szCs w:val="21"/>
                <w:highlight w:val="none"/>
              </w:rPr>
              <w:t>不</w:t>
            </w:r>
            <w:r>
              <w:rPr>
                <w:rFonts w:ascii="Times New Roman" w:hAnsi="Times New Roman" w:cs="Times New Roman"/>
                <w:color w:val="auto"/>
                <w:kern w:val="2"/>
                <w:sz w:val="21"/>
                <w:szCs w:val="21"/>
                <w:highlight w:val="none"/>
              </w:rPr>
              <w:t>排放二氧化硫</w:t>
            </w:r>
            <w:r>
              <w:rPr>
                <w:rFonts w:hint="eastAsia" w:ascii="Times New Roman" w:hAnsi="Times New Roman" w:cs="Times New Roman"/>
                <w:color w:val="auto"/>
                <w:kern w:val="2"/>
                <w:sz w:val="21"/>
                <w:szCs w:val="21"/>
                <w:highlight w:val="none"/>
              </w:rPr>
              <w:t>，排放的</w:t>
            </w:r>
            <w:r>
              <w:rPr>
                <w:rFonts w:ascii="Times New Roman" w:hAnsi="Times New Roman" w:cs="Times New Roman"/>
                <w:color w:val="auto"/>
                <w:kern w:val="2"/>
                <w:sz w:val="21"/>
                <w:szCs w:val="21"/>
                <w:highlight w:val="none"/>
              </w:rPr>
              <w:t>氮氧化物</w:t>
            </w:r>
            <w:r>
              <w:rPr>
                <w:rFonts w:hint="eastAsia" w:ascii="Times New Roman" w:hAnsi="Times New Roman" w:cs="Times New Roman"/>
                <w:color w:val="auto"/>
                <w:kern w:val="2"/>
                <w:sz w:val="21"/>
                <w:szCs w:val="21"/>
                <w:highlight w:val="none"/>
              </w:rPr>
              <w:t>极少</w:t>
            </w:r>
            <w:r>
              <w:rPr>
                <w:rFonts w:ascii="Times New Roman" w:hAnsi="Times New Roman" w:cs="Times New Roman"/>
                <w:color w:val="auto"/>
                <w:kern w:val="2"/>
                <w:sz w:val="21"/>
                <w:szCs w:val="21"/>
                <w:highlight w:val="none"/>
              </w:rPr>
              <w:t>。在</w:t>
            </w:r>
            <w:r>
              <w:rPr>
                <w:rFonts w:hint="eastAsia" w:ascii="Times New Roman" w:hAnsi="Times New Roman" w:cs="Times New Roman"/>
                <w:color w:val="auto"/>
                <w:kern w:val="2"/>
                <w:sz w:val="21"/>
                <w:szCs w:val="21"/>
                <w:highlight w:val="none"/>
              </w:rPr>
              <w:t>已批复项目和</w:t>
            </w:r>
            <w:r>
              <w:rPr>
                <w:rFonts w:ascii="Times New Roman" w:hAnsi="Times New Roman" w:cs="Times New Roman"/>
                <w:color w:val="auto"/>
                <w:kern w:val="2"/>
                <w:sz w:val="21"/>
                <w:szCs w:val="21"/>
                <w:highlight w:val="none"/>
              </w:rPr>
              <w:t>锡山区范围内平衡。</w:t>
            </w:r>
          </w:p>
        </w:tc>
        <w:tc>
          <w:tcPr>
            <w:tcW w:w="583" w:type="pct"/>
            <w:vAlign w:val="center"/>
          </w:tcPr>
          <w:p w14:paraId="5420474F">
            <w:pPr>
              <w:keepNext w:val="0"/>
              <w:keepLines w:val="0"/>
              <w:pageBreakBefore w:val="0"/>
              <w:widowControl/>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kern w:val="2"/>
                <w:sz w:val="21"/>
                <w:szCs w:val="21"/>
                <w:highlight w:val="none"/>
              </w:rPr>
            </w:pPr>
            <w:r>
              <w:rPr>
                <w:rFonts w:hint="eastAsia" w:ascii="Times New Roman" w:hAnsi="Times New Roman" w:cs="Times New Roman"/>
                <w:color w:val="auto"/>
                <w:kern w:val="2"/>
                <w:sz w:val="21"/>
                <w:szCs w:val="21"/>
                <w:highlight w:val="none"/>
              </w:rPr>
              <w:t>符合</w:t>
            </w:r>
          </w:p>
        </w:tc>
      </w:tr>
      <w:tr w14:paraId="25881911">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28" w:type="dxa"/>
            <w:bottom w:w="0" w:type="dxa"/>
            <w:right w:w="28" w:type="dxa"/>
          </w:tblCellMar>
        </w:tblPrEx>
        <w:trPr>
          <w:trHeight w:val="437" w:hRule="atLeast"/>
          <w:jc w:val="center"/>
        </w:trPr>
        <w:tc>
          <w:tcPr>
            <w:tcW w:w="576" w:type="pct"/>
            <w:vAlign w:val="center"/>
          </w:tcPr>
          <w:p w14:paraId="2D317A3A">
            <w:pPr>
              <w:keepNext w:val="0"/>
              <w:keepLines w:val="0"/>
              <w:pageBreakBefore w:val="0"/>
              <w:widowControl/>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kern w:val="2"/>
                <w:sz w:val="21"/>
                <w:szCs w:val="21"/>
                <w:highlight w:val="none"/>
              </w:rPr>
            </w:pPr>
            <w:r>
              <w:rPr>
                <w:rFonts w:ascii="Times New Roman" w:hAnsi="Times New Roman" w:cs="Times New Roman"/>
                <w:color w:val="auto"/>
                <w:kern w:val="2"/>
                <w:sz w:val="21"/>
                <w:szCs w:val="21"/>
                <w:highlight w:val="none"/>
              </w:rPr>
              <w:t>环境风险防控</w:t>
            </w:r>
          </w:p>
        </w:tc>
        <w:tc>
          <w:tcPr>
            <w:tcW w:w="2091" w:type="pct"/>
            <w:vAlign w:val="center"/>
          </w:tcPr>
          <w:p w14:paraId="0AF25A0A">
            <w:pPr>
              <w:keepNext w:val="0"/>
              <w:keepLines w:val="0"/>
              <w:pageBreakBefore w:val="0"/>
              <w:widowControl/>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kern w:val="2"/>
                <w:sz w:val="21"/>
                <w:szCs w:val="21"/>
                <w:highlight w:val="none"/>
              </w:rPr>
            </w:pPr>
            <w:r>
              <w:rPr>
                <w:rFonts w:ascii="Times New Roman" w:hAnsi="Times New Roman" w:cs="Times New Roman"/>
                <w:color w:val="auto"/>
                <w:kern w:val="2"/>
                <w:sz w:val="21"/>
                <w:szCs w:val="21"/>
                <w:highlight w:val="none"/>
              </w:rPr>
              <w:t>（1）严格执行《江苏省“三线一单”生态环境分区管控方案》（苏政发[2020]49号）附件3江苏省省域生态环境管控要求中“环境风险防控”的相关要求。</w:t>
            </w:r>
          </w:p>
          <w:p w14:paraId="27906709">
            <w:pPr>
              <w:keepNext w:val="0"/>
              <w:keepLines w:val="0"/>
              <w:pageBreakBefore w:val="0"/>
              <w:widowControl/>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kern w:val="2"/>
                <w:sz w:val="21"/>
                <w:szCs w:val="21"/>
                <w:highlight w:val="none"/>
              </w:rPr>
            </w:pPr>
            <w:r>
              <w:rPr>
                <w:rFonts w:ascii="Times New Roman" w:hAnsi="Times New Roman" w:cs="Times New Roman"/>
                <w:color w:val="auto"/>
                <w:kern w:val="2"/>
                <w:sz w:val="21"/>
                <w:szCs w:val="21"/>
                <w:highlight w:val="none"/>
              </w:rPr>
              <w:t>（2）强化饮用水水源环境风险管控，建成应急水源工程。</w:t>
            </w:r>
          </w:p>
          <w:p w14:paraId="439B75A4">
            <w:pPr>
              <w:keepNext w:val="0"/>
              <w:keepLines w:val="0"/>
              <w:pageBreakBefore w:val="0"/>
              <w:widowControl/>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kern w:val="2"/>
                <w:sz w:val="21"/>
                <w:szCs w:val="21"/>
                <w:highlight w:val="none"/>
              </w:rPr>
            </w:pPr>
            <w:r>
              <w:rPr>
                <w:rFonts w:ascii="Times New Roman" w:hAnsi="Times New Roman" w:cs="Times New Roman"/>
                <w:color w:val="auto"/>
                <w:kern w:val="2"/>
                <w:sz w:val="21"/>
                <w:szCs w:val="21"/>
                <w:highlight w:val="none"/>
              </w:rPr>
              <w:t>（3）落实《市政府办公室关于印发无锡市突发环境事件应急预案的通知》（锡政办函[2020]45号）的要求。</w:t>
            </w:r>
          </w:p>
          <w:p w14:paraId="0E9C84A3">
            <w:pPr>
              <w:keepNext w:val="0"/>
              <w:keepLines w:val="0"/>
              <w:pageBreakBefore w:val="0"/>
              <w:widowControl/>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kern w:val="2"/>
                <w:sz w:val="21"/>
                <w:szCs w:val="21"/>
                <w:highlight w:val="none"/>
              </w:rPr>
            </w:pPr>
            <w:r>
              <w:rPr>
                <w:rFonts w:ascii="Times New Roman" w:hAnsi="Times New Roman" w:cs="Times New Roman"/>
                <w:color w:val="auto"/>
                <w:kern w:val="2"/>
                <w:sz w:val="21"/>
                <w:szCs w:val="21"/>
                <w:highlight w:val="none"/>
              </w:rPr>
              <w:t>（4）完善废弃危险化学品等危险废物（以下简称“危险废物”）、重点环保设施和项目、涉爆粉尘企业等分级管控和隐患排查治理的责任体系、制度标准、工作机制；重点加强化学工业园区、涉及大宗危化品使用企业、贮存和运输危化品的港口码头、尾矿库、集中式污水处理厂、危废处理企业的环境风险防控；建立覆盖危险废物产生、收集、贮存、转移、运输、利用、处置等全过程的监督体系，严厉打击危险废物非法转移、处置和倾倒行为。</w:t>
            </w:r>
          </w:p>
        </w:tc>
        <w:tc>
          <w:tcPr>
            <w:tcW w:w="1750" w:type="pct"/>
            <w:vAlign w:val="center"/>
          </w:tcPr>
          <w:p w14:paraId="7D7DF204">
            <w:pPr>
              <w:keepNext w:val="0"/>
              <w:keepLines w:val="0"/>
              <w:pageBreakBefore w:val="0"/>
              <w:widowControl/>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kern w:val="2"/>
                <w:sz w:val="21"/>
                <w:szCs w:val="21"/>
                <w:highlight w:val="none"/>
              </w:rPr>
            </w:pPr>
            <w:r>
              <w:rPr>
                <w:rFonts w:ascii="Times New Roman" w:hAnsi="Times New Roman" w:cs="Times New Roman"/>
                <w:color w:val="auto"/>
                <w:kern w:val="2"/>
                <w:sz w:val="21"/>
                <w:szCs w:val="21"/>
                <w:highlight w:val="none"/>
              </w:rPr>
              <w:t>（1）本项目符合《江苏省“三线一单”生态环境分区管控方案》（苏政发[2020]49号）附件3江苏省省域生态环境管控要求中“环境风险防控”的相关要求。</w:t>
            </w:r>
          </w:p>
          <w:p w14:paraId="18E9A294">
            <w:pPr>
              <w:keepNext w:val="0"/>
              <w:keepLines w:val="0"/>
              <w:pageBreakBefore w:val="0"/>
              <w:widowControl/>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kern w:val="2"/>
                <w:sz w:val="21"/>
                <w:szCs w:val="21"/>
                <w:highlight w:val="none"/>
              </w:rPr>
            </w:pPr>
            <w:r>
              <w:rPr>
                <w:rFonts w:ascii="Times New Roman" w:hAnsi="Times New Roman" w:cs="Times New Roman"/>
                <w:color w:val="auto"/>
                <w:kern w:val="2"/>
                <w:sz w:val="21"/>
                <w:szCs w:val="21"/>
                <w:highlight w:val="none"/>
              </w:rPr>
              <w:t>（2）项目建成后将落实《市政府办公室关于印发无锡市突发环境事件应急预案的通知》（锡政办函[2020]45号）的要求。</w:t>
            </w:r>
          </w:p>
        </w:tc>
        <w:tc>
          <w:tcPr>
            <w:tcW w:w="583" w:type="pct"/>
            <w:vAlign w:val="center"/>
          </w:tcPr>
          <w:p w14:paraId="30E29FA2">
            <w:pPr>
              <w:keepNext w:val="0"/>
              <w:keepLines w:val="0"/>
              <w:pageBreakBefore w:val="0"/>
              <w:widowControl/>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kern w:val="2"/>
                <w:sz w:val="21"/>
                <w:szCs w:val="21"/>
                <w:highlight w:val="none"/>
              </w:rPr>
            </w:pPr>
            <w:r>
              <w:rPr>
                <w:rFonts w:hint="eastAsia" w:ascii="Times New Roman" w:hAnsi="Times New Roman" w:cs="Times New Roman"/>
                <w:color w:val="auto"/>
                <w:kern w:val="2"/>
                <w:sz w:val="21"/>
                <w:szCs w:val="21"/>
                <w:highlight w:val="none"/>
              </w:rPr>
              <w:t>符合</w:t>
            </w:r>
          </w:p>
        </w:tc>
      </w:tr>
      <w:tr w14:paraId="72D6A574">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28" w:type="dxa"/>
            <w:bottom w:w="0" w:type="dxa"/>
            <w:right w:w="28" w:type="dxa"/>
          </w:tblCellMar>
        </w:tblPrEx>
        <w:trPr>
          <w:trHeight w:val="964" w:hRule="atLeast"/>
          <w:jc w:val="center"/>
        </w:trPr>
        <w:tc>
          <w:tcPr>
            <w:tcW w:w="576" w:type="pct"/>
            <w:vAlign w:val="center"/>
          </w:tcPr>
          <w:p w14:paraId="4748FF1B">
            <w:pPr>
              <w:keepNext w:val="0"/>
              <w:keepLines w:val="0"/>
              <w:pageBreakBefore w:val="0"/>
              <w:widowControl/>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kern w:val="2"/>
                <w:sz w:val="21"/>
                <w:szCs w:val="21"/>
                <w:highlight w:val="none"/>
              </w:rPr>
            </w:pPr>
            <w:r>
              <w:rPr>
                <w:rFonts w:ascii="Times New Roman" w:hAnsi="Times New Roman" w:cs="Times New Roman"/>
                <w:color w:val="auto"/>
                <w:kern w:val="2"/>
                <w:sz w:val="21"/>
                <w:szCs w:val="21"/>
                <w:highlight w:val="none"/>
              </w:rPr>
              <w:t>资源利用效率要求</w:t>
            </w:r>
          </w:p>
        </w:tc>
        <w:tc>
          <w:tcPr>
            <w:tcW w:w="2091" w:type="pct"/>
            <w:vAlign w:val="center"/>
          </w:tcPr>
          <w:p w14:paraId="78E53FDF">
            <w:pPr>
              <w:keepNext w:val="0"/>
              <w:keepLines w:val="0"/>
              <w:pageBreakBefore w:val="0"/>
              <w:widowControl/>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kern w:val="2"/>
                <w:sz w:val="21"/>
                <w:szCs w:val="21"/>
                <w:highlight w:val="none"/>
              </w:rPr>
            </w:pPr>
            <w:r>
              <w:rPr>
                <w:rFonts w:ascii="Times New Roman" w:hAnsi="Times New Roman" w:cs="Times New Roman"/>
                <w:color w:val="auto"/>
                <w:kern w:val="2"/>
                <w:sz w:val="21"/>
                <w:szCs w:val="21"/>
                <w:highlight w:val="none"/>
              </w:rPr>
              <w:t>（1）依据《关于印发《无锡市节水型社会建设“十三五”规划纲要（规划简本）》的通知》（锡水资[2017]59号），2020年无锡市用水总量不得超过40.54亿立方米，万元工业增加值用水量较2015年降低18%，万元GDP用水量较2015年降低23%，农田灌溉水有效利用系数达到0.67。</w:t>
            </w:r>
          </w:p>
          <w:p w14:paraId="2DDAFA56">
            <w:pPr>
              <w:keepNext w:val="0"/>
              <w:keepLines w:val="0"/>
              <w:pageBreakBefore w:val="0"/>
              <w:widowControl/>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kern w:val="2"/>
                <w:sz w:val="21"/>
                <w:szCs w:val="21"/>
                <w:highlight w:val="none"/>
              </w:rPr>
            </w:pPr>
            <w:r>
              <w:rPr>
                <w:rFonts w:ascii="Times New Roman" w:hAnsi="Times New Roman" w:cs="Times New Roman"/>
                <w:color w:val="auto"/>
                <w:kern w:val="2"/>
                <w:sz w:val="21"/>
                <w:szCs w:val="21"/>
                <w:highlight w:val="none"/>
              </w:rPr>
              <w:t>（2）依据《无锡市土地利用总体规划（2006-2020）调整方案》（苏国土资函[2017]648号），2020年无锡市耕地保有量不得低于11.08万公顷，基本农田保护面积不低于9.04万公顷。</w:t>
            </w:r>
          </w:p>
        </w:tc>
        <w:tc>
          <w:tcPr>
            <w:tcW w:w="1750" w:type="pct"/>
            <w:vAlign w:val="center"/>
          </w:tcPr>
          <w:p w14:paraId="3BFB4AC6">
            <w:pPr>
              <w:keepNext w:val="0"/>
              <w:keepLines w:val="0"/>
              <w:pageBreakBefore w:val="0"/>
              <w:widowControl/>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kern w:val="2"/>
                <w:sz w:val="21"/>
                <w:szCs w:val="21"/>
                <w:highlight w:val="none"/>
              </w:rPr>
            </w:pPr>
            <w:r>
              <w:rPr>
                <w:rFonts w:hint="eastAsia" w:ascii="Times New Roman" w:hAnsi="Times New Roman" w:cs="Times New Roman"/>
                <w:color w:val="auto"/>
                <w:kern w:val="2"/>
                <w:sz w:val="21"/>
                <w:szCs w:val="21"/>
                <w:highlight w:val="none"/>
              </w:rPr>
              <w:t>企业总</w:t>
            </w:r>
            <w:r>
              <w:rPr>
                <w:rFonts w:ascii="Times New Roman" w:hAnsi="Times New Roman" w:cs="Times New Roman"/>
                <w:color w:val="auto"/>
                <w:kern w:val="2"/>
                <w:sz w:val="21"/>
                <w:szCs w:val="21"/>
                <w:highlight w:val="none"/>
              </w:rPr>
              <w:t>用水总量为</w:t>
            </w:r>
            <w:r>
              <w:rPr>
                <w:rFonts w:hint="eastAsia" w:ascii="Times New Roman" w:hAnsi="Times New Roman" w:cs="Times New Roman"/>
                <w:color w:val="auto"/>
                <w:kern w:val="2"/>
                <w:sz w:val="21"/>
                <w:szCs w:val="21"/>
                <w:highlight w:val="none"/>
              </w:rPr>
              <w:t>40</w:t>
            </w:r>
            <w:r>
              <w:rPr>
                <w:rFonts w:hint="eastAsia" w:ascii="Times New Roman" w:hAnsi="Times New Roman" w:cs="Times New Roman"/>
                <w:color w:val="auto"/>
                <w:kern w:val="2"/>
                <w:sz w:val="21"/>
                <w:szCs w:val="21"/>
                <w:highlight w:val="none"/>
                <w:lang w:val="en-US" w:eastAsia="zh-CN"/>
              </w:rPr>
              <w:t>57.6</w:t>
            </w:r>
            <w:r>
              <w:rPr>
                <w:rFonts w:ascii="Times New Roman" w:hAnsi="Times New Roman" w:cs="Times New Roman"/>
                <w:color w:val="auto"/>
                <w:kern w:val="2"/>
                <w:sz w:val="21"/>
                <w:szCs w:val="21"/>
                <w:highlight w:val="none"/>
              </w:rPr>
              <w:t>t/a，本项目土地利用类型为二类工业用地。</w:t>
            </w:r>
          </w:p>
        </w:tc>
        <w:tc>
          <w:tcPr>
            <w:tcW w:w="583" w:type="pct"/>
            <w:vAlign w:val="center"/>
          </w:tcPr>
          <w:p w14:paraId="272E727C">
            <w:pPr>
              <w:keepNext w:val="0"/>
              <w:keepLines w:val="0"/>
              <w:pageBreakBefore w:val="0"/>
              <w:widowControl/>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kern w:val="2"/>
                <w:sz w:val="21"/>
                <w:szCs w:val="21"/>
                <w:highlight w:val="none"/>
              </w:rPr>
            </w:pPr>
            <w:r>
              <w:rPr>
                <w:rFonts w:hint="eastAsia" w:ascii="Times New Roman" w:hAnsi="Times New Roman" w:cs="Times New Roman"/>
                <w:color w:val="auto"/>
                <w:kern w:val="2"/>
                <w:sz w:val="21"/>
                <w:szCs w:val="21"/>
                <w:highlight w:val="none"/>
              </w:rPr>
              <w:t>符合</w:t>
            </w:r>
          </w:p>
        </w:tc>
      </w:tr>
    </w:tbl>
    <w:p w14:paraId="0A06C8D6">
      <w:pPr>
        <w:adjustRightInd w:val="0"/>
        <w:snapToGrid w:val="0"/>
        <w:spacing w:line="360" w:lineRule="auto"/>
        <w:ind w:left="-105" w:right="-105" w:firstLine="480" w:firstLineChars="200"/>
        <w:jc w:val="both"/>
        <w:rPr>
          <w:rFonts w:ascii="Times New Roman" w:hAnsi="Times New Roman" w:cs="Times New Roman"/>
          <w:color w:val="auto"/>
          <w:highlight w:val="none"/>
        </w:rPr>
      </w:pPr>
      <w:r>
        <w:rPr>
          <w:rFonts w:ascii="Times New Roman" w:hAnsi="Times New Roman" w:cs="Times New Roman"/>
          <w:color w:val="auto"/>
          <w:highlight w:val="none"/>
        </w:rPr>
        <w:t>本项目位于</w:t>
      </w:r>
      <w:r>
        <w:rPr>
          <w:rFonts w:ascii="Times New Roman" w:hAnsi="Times New Roman"/>
          <w:color w:val="auto"/>
          <w:szCs w:val="18"/>
          <w:highlight w:val="none"/>
        </w:rPr>
        <w:t>无锡市锡山区</w:t>
      </w:r>
      <w:r>
        <w:rPr>
          <w:rFonts w:hint="eastAsia" w:ascii="Times New Roman" w:hAnsi="Times New Roman"/>
          <w:color w:val="auto"/>
          <w:szCs w:val="18"/>
          <w:highlight w:val="none"/>
        </w:rPr>
        <w:t>锡北</w:t>
      </w:r>
      <w:r>
        <w:rPr>
          <w:rFonts w:ascii="Times New Roman" w:hAnsi="Times New Roman"/>
          <w:color w:val="auto"/>
          <w:szCs w:val="18"/>
          <w:highlight w:val="none"/>
        </w:rPr>
        <w:t>镇</w:t>
      </w:r>
      <w:r>
        <w:rPr>
          <w:rFonts w:hint="eastAsia" w:ascii="Times New Roman" w:hAnsi="Times New Roman"/>
          <w:color w:val="auto"/>
          <w:szCs w:val="18"/>
          <w:highlight w:val="none"/>
        </w:rPr>
        <w:t>新坝村新达路6号</w:t>
      </w:r>
      <w:r>
        <w:rPr>
          <w:rFonts w:ascii="Times New Roman" w:hAnsi="Times New Roman" w:cs="Times New Roman"/>
          <w:color w:val="auto"/>
          <w:highlight w:val="none"/>
        </w:rPr>
        <w:t>，属于锡山区锡北镇工业集聚区。根据《无锡市</w:t>
      </w:r>
      <w:r>
        <w:rPr>
          <w:rFonts w:hint="eastAsia" w:ascii="Times New Roman" w:hAnsi="Times New Roman" w:cs="Times New Roman"/>
          <w:color w:val="auto"/>
          <w:highlight w:val="none"/>
        </w:rPr>
        <w:t>“</w:t>
      </w:r>
      <w:r>
        <w:rPr>
          <w:rFonts w:ascii="Times New Roman" w:hAnsi="Times New Roman" w:cs="Times New Roman"/>
          <w:color w:val="auto"/>
          <w:highlight w:val="none"/>
        </w:rPr>
        <w:t>三线一单</w:t>
      </w:r>
      <w:r>
        <w:rPr>
          <w:rFonts w:hint="eastAsia" w:ascii="Times New Roman" w:hAnsi="Times New Roman" w:cs="Times New Roman"/>
          <w:color w:val="auto"/>
          <w:highlight w:val="none"/>
        </w:rPr>
        <w:t>”</w:t>
      </w:r>
      <w:r>
        <w:rPr>
          <w:rFonts w:ascii="Times New Roman" w:hAnsi="Times New Roman" w:cs="Times New Roman"/>
          <w:color w:val="auto"/>
          <w:highlight w:val="none"/>
        </w:rPr>
        <w:t>生态环境分区管控实施方案》（锡环委办[2020]40号），锡山区锡北镇工业集聚区属于无锡市重点管控单元，其相符性分析见下表：</w:t>
      </w:r>
    </w:p>
    <w:p w14:paraId="0A2EF126">
      <w:pPr>
        <w:pStyle w:val="15"/>
        <w:ind w:left="-105" w:right="-105" w:firstLine="482"/>
        <w:rPr>
          <w:rFonts w:eastAsia="宋体"/>
          <w:color w:val="auto"/>
          <w:sz w:val="24"/>
          <w:szCs w:val="18"/>
          <w:highlight w:val="none"/>
        </w:rPr>
      </w:pPr>
      <w:r>
        <w:rPr>
          <w:rFonts w:eastAsia="宋体"/>
          <w:color w:val="auto"/>
          <w:sz w:val="24"/>
          <w:szCs w:val="18"/>
          <w:highlight w:val="none"/>
        </w:rPr>
        <w:t>表</w:t>
      </w:r>
      <w:r>
        <w:rPr>
          <w:rFonts w:eastAsia="宋体"/>
          <w:color w:val="auto"/>
          <w:sz w:val="24"/>
          <w:szCs w:val="18"/>
          <w:highlight w:val="none"/>
        </w:rPr>
        <w:fldChar w:fldCharType="begin"/>
      </w:r>
      <w:r>
        <w:rPr>
          <w:rFonts w:eastAsia="宋体"/>
          <w:color w:val="auto"/>
          <w:sz w:val="24"/>
          <w:szCs w:val="18"/>
          <w:highlight w:val="none"/>
        </w:rPr>
        <w:instrText xml:space="preserve"> STYLEREF 2 \s </w:instrText>
      </w:r>
      <w:r>
        <w:rPr>
          <w:rFonts w:eastAsia="宋体"/>
          <w:color w:val="auto"/>
          <w:sz w:val="24"/>
          <w:szCs w:val="18"/>
          <w:highlight w:val="none"/>
        </w:rPr>
        <w:fldChar w:fldCharType="separate"/>
      </w:r>
      <w:r>
        <w:rPr>
          <w:rFonts w:eastAsia="宋体"/>
          <w:color w:val="auto"/>
          <w:sz w:val="24"/>
          <w:szCs w:val="18"/>
          <w:highlight w:val="none"/>
        </w:rPr>
        <w:t>2.6</w:t>
      </w:r>
      <w:r>
        <w:rPr>
          <w:rFonts w:eastAsia="宋体"/>
          <w:color w:val="auto"/>
          <w:sz w:val="24"/>
          <w:szCs w:val="18"/>
          <w:highlight w:val="none"/>
        </w:rPr>
        <w:fldChar w:fldCharType="end"/>
      </w:r>
      <w:r>
        <w:rPr>
          <w:rFonts w:eastAsia="宋体"/>
          <w:color w:val="auto"/>
          <w:sz w:val="24"/>
          <w:szCs w:val="18"/>
          <w:highlight w:val="none"/>
        </w:rPr>
        <w:noBreakHyphen/>
      </w:r>
      <w:r>
        <w:rPr>
          <w:rFonts w:eastAsia="宋体"/>
          <w:color w:val="auto"/>
          <w:sz w:val="24"/>
          <w:szCs w:val="18"/>
          <w:highlight w:val="none"/>
        </w:rPr>
        <w:fldChar w:fldCharType="begin"/>
      </w:r>
      <w:r>
        <w:rPr>
          <w:rFonts w:eastAsia="宋体"/>
          <w:color w:val="auto"/>
          <w:sz w:val="24"/>
          <w:szCs w:val="18"/>
          <w:highlight w:val="none"/>
        </w:rPr>
        <w:instrText xml:space="preserve"> SEQ 表 \* ARABIC \s 2 </w:instrText>
      </w:r>
      <w:r>
        <w:rPr>
          <w:rFonts w:eastAsia="宋体"/>
          <w:color w:val="auto"/>
          <w:sz w:val="24"/>
          <w:szCs w:val="18"/>
          <w:highlight w:val="none"/>
        </w:rPr>
        <w:fldChar w:fldCharType="separate"/>
      </w:r>
      <w:r>
        <w:rPr>
          <w:rFonts w:eastAsia="宋体"/>
          <w:color w:val="auto"/>
          <w:sz w:val="24"/>
          <w:szCs w:val="18"/>
          <w:highlight w:val="none"/>
        </w:rPr>
        <w:t>3</w:t>
      </w:r>
      <w:r>
        <w:rPr>
          <w:rFonts w:eastAsia="宋体"/>
          <w:color w:val="auto"/>
          <w:sz w:val="24"/>
          <w:szCs w:val="18"/>
          <w:highlight w:val="none"/>
        </w:rPr>
        <w:fldChar w:fldCharType="end"/>
      </w:r>
      <w:r>
        <w:rPr>
          <w:rFonts w:eastAsia="宋体"/>
          <w:color w:val="auto"/>
          <w:sz w:val="24"/>
          <w:szCs w:val="18"/>
          <w:highlight w:val="none"/>
        </w:rPr>
        <w:t>本项目与锡山区锡北镇工业集聚区聚区准入清单相符性分析</w:t>
      </w:r>
    </w:p>
    <w:tbl>
      <w:tblPr>
        <w:tblStyle w:val="45"/>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929"/>
        <w:gridCol w:w="3432"/>
        <w:gridCol w:w="3488"/>
        <w:gridCol w:w="871"/>
      </w:tblGrid>
      <w:tr w14:paraId="35834DB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906" w:type="dxa"/>
            <w:vAlign w:val="center"/>
          </w:tcPr>
          <w:p w14:paraId="63695FAE">
            <w:pPr>
              <w:adjustRightInd w:val="0"/>
              <w:snapToGrid w:val="0"/>
              <w:ind w:left="-105" w:right="-105"/>
              <w:jc w:val="center"/>
              <w:rPr>
                <w:rFonts w:ascii="Times New Roman" w:hAnsi="Times New Roman" w:cs="Times New Roman"/>
                <w:b/>
                <w:bCs/>
                <w:color w:val="auto"/>
                <w:sz w:val="21"/>
                <w:szCs w:val="21"/>
                <w:highlight w:val="none"/>
              </w:rPr>
            </w:pPr>
            <w:r>
              <w:rPr>
                <w:rFonts w:ascii="Times New Roman" w:hAnsi="Times New Roman" w:cs="Times New Roman"/>
                <w:b/>
                <w:bCs/>
                <w:color w:val="auto"/>
                <w:sz w:val="21"/>
                <w:szCs w:val="21"/>
                <w:highlight w:val="none"/>
              </w:rPr>
              <w:t>类型</w:t>
            </w:r>
          </w:p>
        </w:tc>
        <w:tc>
          <w:tcPr>
            <w:tcW w:w="3347" w:type="dxa"/>
            <w:vAlign w:val="center"/>
          </w:tcPr>
          <w:p w14:paraId="03498B69">
            <w:pPr>
              <w:adjustRightInd w:val="0"/>
              <w:snapToGrid w:val="0"/>
              <w:ind w:left="-105" w:right="-105"/>
              <w:jc w:val="center"/>
              <w:rPr>
                <w:rFonts w:ascii="Times New Roman" w:hAnsi="Times New Roman" w:cs="Times New Roman"/>
                <w:b/>
                <w:bCs/>
                <w:color w:val="auto"/>
                <w:sz w:val="21"/>
                <w:szCs w:val="21"/>
                <w:highlight w:val="none"/>
              </w:rPr>
            </w:pPr>
            <w:r>
              <w:rPr>
                <w:rFonts w:ascii="Times New Roman" w:hAnsi="Times New Roman" w:cs="Times New Roman"/>
                <w:b/>
                <w:bCs/>
                <w:color w:val="auto"/>
                <w:sz w:val="21"/>
                <w:szCs w:val="21"/>
                <w:highlight w:val="none"/>
              </w:rPr>
              <w:t>内容</w:t>
            </w:r>
          </w:p>
        </w:tc>
        <w:tc>
          <w:tcPr>
            <w:tcW w:w="3402" w:type="dxa"/>
            <w:vAlign w:val="center"/>
          </w:tcPr>
          <w:p w14:paraId="026589C8">
            <w:pPr>
              <w:adjustRightInd w:val="0"/>
              <w:snapToGrid w:val="0"/>
              <w:ind w:left="-105" w:right="-105"/>
              <w:jc w:val="center"/>
              <w:rPr>
                <w:rFonts w:ascii="Times New Roman" w:hAnsi="Times New Roman" w:cs="Times New Roman"/>
                <w:b/>
                <w:bCs/>
                <w:color w:val="auto"/>
                <w:sz w:val="21"/>
                <w:szCs w:val="21"/>
                <w:highlight w:val="none"/>
              </w:rPr>
            </w:pPr>
            <w:r>
              <w:rPr>
                <w:rFonts w:ascii="Times New Roman" w:hAnsi="Times New Roman" w:cs="Times New Roman"/>
                <w:b/>
                <w:bCs/>
                <w:color w:val="auto"/>
                <w:sz w:val="21"/>
                <w:szCs w:val="21"/>
                <w:highlight w:val="none"/>
              </w:rPr>
              <w:t>相符性分析</w:t>
            </w:r>
          </w:p>
        </w:tc>
        <w:tc>
          <w:tcPr>
            <w:tcW w:w="849" w:type="dxa"/>
          </w:tcPr>
          <w:p w14:paraId="03CBEC60">
            <w:pPr>
              <w:adjustRightInd w:val="0"/>
              <w:snapToGrid w:val="0"/>
              <w:ind w:left="-105" w:right="-105"/>
              <w:jc w:val="center"/>
              <w:rPr>
                <w:rFonts w:ascii="Times New Roman" w:hAnsi="Times New Roman" w:cs="Times New Roman"/>
                <w:b/>
                <w:bCs/>
                <w:color w:val="auto"/>
                <w:sz w:val="21"/>
                <w:szCs w:val="21"/>
                <w:highlight w:val="none"/>
              </w:rPr>
            </w:pPr>
            <w:r>
              <w:rPr>
                <w:rFonts w:hint="eastAsia" w:ascii="Times New Roman" w:hAnsi="Times New Roman" w:cs="Times New Roman"/>
                <w:b/>
                <w:bCs/>
                <w:color w:val="auto"/>
                <w:sz w:val="21"/>
                <w:szCs w:val="21"/>
                <w:highlight w:val="none"/>
              </w:rPr>
              <w:t>是否相符</w:t>
            </w:r>
          </w:p>
        </w:tc>
      </w:tr>
      <w:tr w14:paraId="52EC732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06" w:type="dxa"/>
            <w:vAlign w:val="center"/>
          </w:tcPr>
          <w:p w14:paraId="6F473C17">
            <w:pPr>
              <w:adjustRightInd w:val="0"/>
              <w:snapToGrid w:val="0"/>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空间布局约束</w:t>
            </w:r>
          </w:p>
        </w:tc>
        <w:tc>
          <w:tcPr>
            <w:tcW w:w="3347" w:type="dxa"/>
            <w:vAlign w:val="center"/>
          </w:tcPr>
          <w:p w14:paraId="139198D7">
            <w:pPr>
              <w:adjustRightInd w:val="0"/>
              <w:snapToGrid w:val="0"/>
              <w:ind w:left="-105" w:right="-105"/>
              <w:jc w:val="both"/>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（1）各类开发建设活动应符合无锡市国土空间总体规划、控制性详细规划等相关要求。</w:t>
            </w:r>
          </w:p>
          <w:p w14:paraId="547F42DF">
            <w:pPr>
              <w:adjustRightInd w:val="0"/>
              <w:snapToGrid w:val="0"/>
              <w:ind w:left="-105" w:right="-105"/>
              <w:jc w:val="both"/>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（2）优化产业布局和结构，实施分区差别化的产业准入要求。</w:t>
            </w:r>
          </w:p>
          <w:p w14:paraId="230220CA">
            <w:pPr>
              <w:adjustRightInd w:val="0"/>
              <w:snapToGrid w:val="0"/>
              <w:ind w:left="-105" w:right="-105"/>
              <w:jc w:val="both"/>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（3）合理规划居住区与园区，在居住区和园区、企业之间设置防护绿地、生态绿地等隔离带。</w:t>
            </w:r>
          </w:p>
        </w:tc>
        <w:tc>
          <w:tcPr>
            <w:tcW w:w="3402" w:type="dxa"/>
            <w:vAlign w:val="center"/>
          </w:tcPr>
          <w:p w14:paraId="3B65C77F">
            <w:pPr>
              <w:adjustRightInd w:val="0"/>
              <w:snapToGrid w:val="0"/>
              <w:ind w:left="-105" w:right="-105"/>
              <w:jc w:val="both"/>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（1）本项目位于</w:t>
            </w:r>
            <w:r>
              <w:rPr>
                <w:rFonts w:hint="eastAsia" w:ascii="Times New Roman" w:hAnsi="Times New Roman" w:cs="Times New Roman"/>
                <w:color w:val="auto"/>
                <w:sz w:val="21"/>
                <w:szCs w:val="21"/>
                <w:highlight w:val="none"/>
              </w:rPr>
              <w:t>无锡市锡山区锡北镇新坝村新达路6号</w:t>
            </w:r>
            <w:r>
              <w:rPr>
                <w:rFonts w:ascii="Times New Roman" w:hAnsi="Times New Roman" w:cs="Times New Roman"/>
                <w:color w:val="auto"/>
                <w:sz w:val="21"/>
                <w:szCs w:val="21"/>
                <w:highlight w:val="none"/>
              </w:rPr>
              <w:t>，根据《无锡市锡山区锡北镇总体规划（2015-2030）》</w:t>
            </w:r>
            <w:r>
              <w:rPr>
                <w:rFonts w:hint="eastAsia" w:ascii="Times New Roman" w:hAnsi="Times New Roman" w:cs="Times New Roman"/>
                <w:color w:val="auto"/>
                <w:sz w:val="21"/>
                <w:szCs w:val="21"/>
                <w:highlight w:val="none"/>
              </w:rPr>
              <w:t>、《八士-陆家巷、八士-八士管理单元更新后土地利用规划图》</w:t>
            </w:r>
            <w:r>
              <w:rPr>
                <w:rFonts w:ascii="Times New Roman" w:hAnsi="Times New Roman" w:cs="Times New Roman"/>
                <w:color w:val="auto"/>
                <w:sz w:val="21"/>
                <w:szCs w:val="21"/>
                <w:highlight w:val="none"/>
              </w:rPr>
              <w:t>，该地块为二类工业用地，该地块符合无锡市锡山区用地规划的要求；</w:t>
            </w:r>
          </w:p>
          <w:p w14:paraId="0986A5B6">
            <w:pPr>
              <w:adjustRightInd w:val="0"/>
              <w:snapToGrid w:val="0"/>
              <w:ind w:left="-105" w:right="-105"/>
              <w:jc w:val="both"/>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（2）本项目属于C</w:t>
            </w:r>
            <w:r>
              <w:rPr>
                <w:rFonts w:hint="eastAsia" w:ascii="Times New Roman" w:hAnsi="Times New Roman" w:cs="Times New Roman"/>
                <w:color w:val="auto"/>
                <w:sz w:val="21"/>
                <w:szCs w:val="21"/>
                <w:highlight w:val="none"/>
              </w:rPr>
              <w:t>3985电子专用材料制造</w:t>
            </w:r>
            <w:r>
              <w:rPr>
                <w:rFonts w:ascii="Times New Roman" w:hAnsi="Times New Roman" w:cs="Times New Roman"/>
                <w:color w:val="auto"/>
                <w:sz w:val="21"/>
                <w:szCs w:val="21"/>
                <w:highlight w:val="none"/>
              </w:rPr>
              <w:t>，属于非禁止产业；</w:t>
            </w:r>
          </w:p>
          <w:p w14:paraId="4C6BD32E">
            <w:pPr>
              <w:adjustRightInd w:val="0"/>
              <w:snapToGrid w:val="0"/>
              <w:ind w:left="-105" w:right="-105"/>
              <w:jc w:val="both"/>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（3）本项目满足防护距离要求，环境事故风险防范和应急措施可落实到位。</w:t>
            </w:r>
          </w:p>
        </w:tc>
        <w:tc>
          <w:tcPr>
            <w:tcW w:w="849" w:type="dxa"/>
            <w:vAlign w:val="center"/>
          </w:tcPr>
          <w:p w14:paraId="74424C4D">
            <w:pPr>
              <w:adjustRightInd w:val="0"/>
              <w:snapToGrid w:val="0"/>
              <w:ind w:left="-105" w:right="-105"/>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符合</w:t>
            </w:r>
          </w:p>
        </w:tc>
      </w:tr>
      <w:tr w14:paraId="2D40F95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06" w:type="dxa"/>
            <w:vAlign w:val="center"/>
          </w:tcPr>
          <w:p w14:paraId="00852935">
            <w:pPr>
              <w:adjustRightInd w:val="0"/>
              <w:snapToGrid w:val="0"/>
              <w:ind w:left="-105" w:right="-105"/>
              <w:jc w:val="center"/>
              <w:rPr>
                <w:rFonts w:ascii="Times New Roman" w:hAnsi="Times New Roman" w:cs="Times New Roman"/>
                <w:bCs/>
                <w:color w:val="auto"/>
                <w:sz w:val="21"/>
                <w:szCs w:val="21"/>
                <w:highlight w:val="none"/>
              </w:rPr>
            </w:pPr>
            <w:r>
              <w:rPr>
                <w:rFonts w:ascii="Times New Roman" w:hAnsi="Times New Roman" w:cs="Times New Roman"/>
                <w:bCs/>
                <w:snapToGrid w:val="0"/>
                <w:color w:val="auto"/>
                <w:sz w:val="21"/>
                <w:szCs w:val="21"/>
                <w:highlight w:val="none"/>
              </w:rPr>
              <w:t>污染物排放管控</w:t>
            </w:r>
          </w:p>
        </w:tc>
        <w:tc>
          <w:tcPr>
            <w:tcW w:w="3347" w:type="dxa"/>
            <w:vAlign w:val="center"/>
          </w:tcPr>
          <w:p w14:paraId="1D3DFA8B">
            <w:pPr>
              <w:adjustRightInd w:val="0"/>
              <w:snapToGrid w:val="0"/>
              <w:ind w:left="-105" w:right="-105"/>
              <w:jc w:val="both"/>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严格实施污染物总量控制制度，根据区域环境质量改善目标，采取有效措施减少主要污染物排放总量，确保区域环境质量持续改善。</w:t>
            </w:r>
          </w:p>
        </w:tc>
        <w:tc>
          <w:tcPr>
            <w:tcW w:w="3402" w:type="dxa"/>
            <w:vAlign w:val="center"/>
          </w:tcPr>
          <w:p w14:paraId="15B49D5F">
            <w:pPr>
              <w:adjustRightInd w:val="0"/>
              <w:snapToGrid w:val="0"/>
              <w:ind w:left="-105" w:right="-105"/>
              <w:jc w:val="both"/>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本项目产生废气经收集、处理后排放，</w:t>
            </w:r>
            <w:r>
              <w:rPr>
                <w:rFonts w:hint="eastAsia" w:ascii="Times New Roman" w:hAnsi="Times New Roman" w:cs="Times New Roman"/>
                <w:color w:val="auto"/>
                <w:sz w:val="21"/>
                <w:szCs w:val="21"/>
                <w:highlight w:val="none"/>
              </w:rPr>
              <w:t>不新增生产废水</w:t>
            </w:r>
            <w:r>
              <w:rPr>
                <w:rFonts w:ascii="Times New Roman" w:hAnsi="Times New Roman" w:cs="Times New Roman"/>
                <w:color w:val="auto"/>
                <w:sz w:val="21"/>
                <w:szCs w:val="21"/>
                <w:highlight w:val="none"/>
              </w:rPr>
              <w:t>，固废零排放。因此，本项目废水在</w:t>
            </w:r>
            <w:r>
              <w:rPr>
                <w:rFonts w:hint="eastAsia" w:ascii="Times New Roman" w:hAnsi="Times New Roman" w:cs="Times New Roman"/>
                <w:color w:val="auto"/>
                <w:sz w:val="21"/>
                <w:szCs w:val="21"/>
                <w:highlight w:val="none"/>
              </w:rPr>
              <w:t>无锡市锡山云林污水处理有限公司</w:t>
            </w:r>
            <w:r>
              <w:rPr>
                <w:rFonts w:ascii="Times New Roman" w:hAnsi="Times New Roman" w:cs="Times New Roman"/>
                <w:color w:val="auto"/>
                <w:sz w:val="21"/>
                <w:szCs w:val="21"/>
                <w:highlight w:val="none"/>
              </w:rPr>
              <w:t>核定的指标内平衡，废气在锡山区范围内平衡，对环境影响较小。</w:t>
            </w:r>
          </w:p>
        </w:tc>
        <w:tc>
          <w:tcPr>
            <w:tcW w:w="849" w:type="dxa"/>
            <w:vAlign w:val="center"/>
          </w:tcPr>
          <w:p w14:paraId="5E3EFDF8">
            <w:pPr>
              <w:adjustRightInd w:val="0"/>
              <w:snapToGrid w:val="0"/>
              <w:ind w:left="-105" w:right="-105"/>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符合</w:t>
            </w:r>
          </w:p>
        </w:tc>
      </w:tr>
      <w:tr w14:paraId="301A44A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06" w:type="dxa"/>
            <w:vAlign w:val="center"/>
          </w:tcPr>
          <w:p w14:paraId="4BA49783">
            <w:pPr>
              <w:adjustRightInd w:val="0"/>
              <w:snapToGrid w:val="0"/>
              <w:ind w:left="-105" w:right="-105"/>
              <w:jc w:val="center"/>
              <w:rPr>
                <w:rFonts w:ascii="Times New Roman" w:hAnsi="Times New Roman" w:cs="Times New Roman"/>
                <w:bCs/>
                <w:color w:val="auto"/>
                <w:sz w:val="21"/>
                <w:szCs w:val="21"/>
                <w:highlight w:val="none"/>
              </w:rPr>
            </w:pPr>
            <w:r>
              <w:rPr>
                <w:rFonts w:ascii="Times New Roman" w:hAnsi="Times New Roman" w:cs="Times New Roman"/>
                <w:bCs/>
                <w:snapToGrid w:val="0"/>
                <w:color w:val="auto"/>
                <w:sz w:val="21"/>
                <w:szCs w:val="21"/>
                <w:highlight w:val="none"/>
              </w:rPr>
              <w:t>环境风险防控</w:t>
            </w:r>
          </w:p>
        </w:tc>
        <w:tc>
          <w:tcPr>
            <w:tcW w:w="3347" w:type="dxa"/>
            <w:vAlign w:val="center"/>
          </w:tcPr>
          <w:p w14:paraId="0B08D5B6">
            <w:pPr>
              <w:adjustRightInd w:val="0"/>
              <w:snapToGrid w:val="0"/>
              <w:ind w:left="-105" w:right="-105"/>
              <w:jc w:val="both"/>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（1）园区建立环境应急体系，完善事故应急救援体系，加强应急物资装备储备，编制突发环境事件应急预案，定期开展演练。</w:t>
            </w:r>
          </w:p>
          <w:p w14:paraId="5AD5D0F7">
            <w:pPr>
              <w:adjustRightInd w:val="0"/>
              <w:snapToGrid w:val="0"/>
              <w:ind w:left="-105" w:right="-105"/>
              <w:jc w:val="both"/>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（2）生产、使用、储存危险化学品或其他存在环境风险的企事业单位，应当制定风险防范措施，编制完善突发环境事件应急预案，防止发生环境污染事故。</w:t>
            </w:r>
          </w:p>
          <w:p w14:paraId="5476221C">
            <w:pPr>
              <w:adjustRightInd w:val="0"/>
              <w:snapToGrid w:val="0"/>
              <w:ind w:left="-105" w:right="-105"/>
              <w:jc w:val="both"/>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（3）加强环境影响跟踪监测，建立健全各环境要素监控体系，完善并落实园区日常环境监测与污染源监控计划。</w:t>
            </w:r>
          </w:p>
        </w:tc>
        <w:tc>
          <w:tcPr>
            <w:tcW w:w="3402" w:type="dxa"/>
            <w:vAlign w:val="center"/>
          </w:tcPr>
          <w:p w14:paraId="224AA5EE">
            <w:pPr>
              <w:adjustRightInd w:val="0"/>
              <w:snapToGrid w:val="0"/>
              <w:ind w:left="-105" w:right="-105"/>
              <w:jc w:val="both"/>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企业投产后将编制突发环境事件应急预案并建立环境影响监控体系</w:t>
            </w:r>
          </w:p>
        </w:tc>
        <w:tc>
          <w:tcPr>
            <w:tcW w:w="849" w:type="dxa"/>
            <w:vAlign w:val="center"/>
          </w:tcPr>
          <w:p w14:paraId="16B9280F">
            <w:pPr>
              <w:adjustRightInd w:val="0"/>
              <w:snapToGrid w:val="0"/>
              <w:ind w:left="-105" w:right="-105"/>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符合</w:t>
            </w:r>
          </w:p>
        </w:tc>
      </w:tr>
      <w:tr w14:paraId="3E1C3F2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06" w:type="dxa"/>
            <w:vAlign w:val="center"/>
          </w:tcPr>
          <w:p w14:paraId="5CCA2DDC">
            <w:pPr>
              <w:adjustRightInd w:val="0"/>
              <w:snapToGrid w:val="0"/>
              <w:ind w:left="-105" w:right="-105"/>
              <w:jc w:val="center"/>
              <w:rPr>
                <w:rFonts w:ascii="Times New Roman" w:hAnsi="Times New Roman" w:cs="Times New Roman"/>
                <w:bCs/>
                <w:color w:val="auto"/>
                <w:sz w:val="21"/>
                <w:szCs w:val="21"/>
                <w:highlight w:val="none"/>
              </w:rPr>
            </w:pPr>
            <w:r>
              <w:rPr>
                <w:rFonts w:ascii="Times New Roman" w:hAnsi="Times New Roman" w:cs="Times New Roman"/>
                <w:bCs/>
                <w:snapToGrid w:val="0"/>
                <w:color w:val="auto"/>
                <w:sz w:val="21"/>
                <w:szCs w:val="21"/>
                <w:highlight w:val="none"/>
              </w:rPr>
              <w:t>资源开发效率要求</w:t>
            </w:r>
          </w:p>
        </w:tc>
        <w:tc>
          <w:tcPr>
            <w:tcW w:w="3347" w:type="dxa"/>
            <w:vAlign w:val="center"/>
          </w:tcPr>
          <w:p w14:paraId="61696C20">
            <w:pPr>
              <w:adjustRightInd w:val="0"/>
              <w:snapToGrid w:val="0"/>
              <w:ind w:left="-105" w:right="-105"/>
              <w:jc w:val="both"/>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禁止销售使用燃料为“Ⅱ类”（较严），具体包括：1、除单台出力大于等于20蒸吨/小时锅炉以外燃用的煤炭及其制品。2、石油焦、油页岩、原油、重油、渣油、煤焦油。</w:t>
            </w:r>
          </w:p>
        </w:tc>
        <w:tc>
          <w:tcPr>
            <w:tcW w:w="3402" w:type="dxa"/>
            <w:vAlign w:val="center"/>
          </w:tcPr>
          <w:p w14:paraId="0D7A3F8D">
            <w:pPr>
              <w:adjustRightInd w:val="0"/>
              <w:snapToGrid w:val="0"/>
              <w:ind w:left="-105" w:right="-105"/>
              <w:jc w:val="both"/>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本项目不使用煤炭及其制品、石油焦、油页岩、原油、重油、渣油、煤焦油。</w:t>
            </w:r>
          </w:p>
        </w:tc>
        <w:tc>
          <w:tcPr>
            <w:tcW w:w="849" w:type="dxa"/>
            <w:vAlign w:val="center"/>
          </w:tcPr>
          <w:p w14:paraId="00AD58FE">
            <w:pPr>
              <w:adjustRightInd w:val="0"/>
              <w:snapToGrid w:val="0"/>
              <w:ind w:left="-105" w:right="-105"/>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符合</w:t>
            </w:r>
          </w:p>
        </w:tc>
      </w:tr>
    </w:tbl>
    <w:p w14:paraId="6AB498E4">
      <w:pPr>
        <w:adjustRightInd w:val="0"/>
        <w:snapToGrid w:val="0"/>
        <w:spacing w:line="360" w:lineRule="auto"/>
        <w:ind w:left="-105" w:right="-105" w:firstLine="480" w:firstLineChars="200"/>
        <w:jc w:val="both"/>
        <w:rPr>
          <w:rFonts w:ascii="Times New Roman" w:hAnsi="Times New Roman" w:cs="Times New Roman"/>
          <w:color w:val="auto"/>
          <w:szCs w:val="21"/>
          <w:highlight w:val="none"/>
        </w:rPr>
      </w:pPr>
      <w:r>
        <w:rPr>
          <w:rFonts w:ascii="Times New Roman" w:hAnsi="Times New Roman" w:cs="Times New Roman"/>
          <w:color w:val="auto"/>
          <w:highlight w:val="none"/>
        </w:rPr>
        <w:t>综上所述，建设项目符合环境准入负面清单，并能够满足生态保护红线、环境质量底线以及资源利用上限的要求。</w:t>
      </w:r>
      <w:bookmarkEnd w:id="190"/>
    </w:p>
    <w:p w14:paraId="743AEBCC">
      <w:pPr>
        <w:spacing w:line="360" w:lineRule="auto"/>
        <w:ind w:left="-105" w:right="-105" w:firstLine="480" w:firstLineChars="200"/>
        <w:rPr>
          <w:rFonts w:ascii="Times New Roman" w:hAnsi="Times New Roman" w:cs="Times New Roman"/>
          <w:color w:val="auto"/>
          <w:szCs w:val="21"/>
          <w:highlight w:val="none"/>
        </w:rPr>
        <w:sectPr>
          <w:headerReference r:id="rId13" w:type="default"/>
          <w:headerReference r:id="rId14" w:type="even"/>
          <w:pgSz w:w="11906" w:h="16838"/>
          <w:pgMar w:top="1440" w:right="1701" w:bottom="1440" w:left="1701" w:header="851" w:footer="992" w:gutter="0"/>
          <w:pgBorders>
            <w:top w:val="none" w:sz="0" w:space="0"/>
            <w:left w:val="none" w:sz="0" w:space="0"/>
            <w:bottom w:val="none" w:sz="0" w:space="0"/>
            <w:right w:val="none" w:sz="0" w:space="0"/>
          </w:pgBorders>
          <w:cols w:space="720" w:num="1"/>
          <w:docGrid w:linePitch="312" w:charSpace="0"/>
        </w:sectPr>
      </w:pPr>
    </w:p>
    <w:p w14:paraId="7103D170">
      <w:pPr>
        <w:pStyle w:val="3"/>
        <w:numPr>
          <w:ilvl w:val="0"/>
          <w:numId w:val="6"/>
        </w:numPr>
        <w:spacing w:before="120" w:beforeLines="50" w:afterLines="50" w:line="360" w:lineRule="auto"/>
        <w:ind w:left="-105" w:right="-105"/>
        <w:rPr>
          <w:rFonts w:ascii="Times New Roman" w:eastAsia="宋体"/>
          <w:color w:val="auto"/>
          <w:sz w:val="32"/>
          <w:szCs w:val="32"/>
          <w:highlight w:val="none"/>
        </w:rPr>
      </w:pPr>
      <w:bookmarkStart w:id="192" w:name="_Toc32471"/>
      <w:r>
        <w:rPr>
          <w:rFonts w:ascii="Times New Roman" w:eastAsia="宋体"/>
          <w:color w:val="auto"/>
          <w:sz w:val="32"/>
          <w:szCs w:val="32"/>
          <w:highlight w:val="none"/>
        </w:rPr>
        <w:t>现有项目</w:t>
      </w:r>
      <w:bookmarkEnd w:id="174"/>
      <w:bookmarkEnd w:id="175"/>
      <w:bookmarkEnd w:id="176"/>
      <w:bookmarkEnd w:id="177"/>
      <w:bookmarkEnd w:id="178"/>
      <w:bookmarkEnd w:id="179"/>
      <w:bookmarkEnd w:id="180"/>
      <w:bookmarkEnd w:id="181"/>
      <w:bookmarkEnd w:id="182"/>
      <w:bookmarkEnd w:id="183"/>
      <w:r>
        <w:rPr>
          <w:rFonts w:ascii="Times New Roman" w:eastAsia="宋体"/>
          <w:color w:val="auto"/>
          <w:sz w:val="32"/>
          <w:szCs w:val="32"/>
          <w:highlight w:val="none"/>
        </w:rPr>
        <w:t>情况</w:t>
      </w:r>
      <w:bookmarkEnd w:id="184"/>
      <w:bookmarkEnd w:id="192"/>
    </w:p>
    <w:p w14:paraId="5B7F8286">
      <w:pPr>
        <w:pStyle w:val="4"/>
        <w:numPr>
          <w:ilvl w:val="1"/>
          <w:numId w:val="6"/>
        </w:numPr>
        <w:tabs>
          <w:tab w:val="left" w:pos="426"/>
        </w:tabs>
        <w:spacing w:before="120" w:beforeLines="50" w:after="120" w:afterLines="50" w:line="360" w:lineRule="auto"/>
        <w:ind w:left="-105" w:right="-105"/>
        <w:rPr>
          <w:rFonts w:ascii="Times New Roman" w:eastAsia="宋体"/>
          <w:color w:val="auto"/>
          <w:sz w:val="28"/>
          <w:szCs w:val="28"/>
          <w:highlight w:val="none"/>
        </w:rPr>
      </w:pPr>
      <w:bookmarkStart w:id="193" w:name="_Toc30038"/>
      <w:bookmarkStart w:id="194" w:name="_Toc60653465"/>
      <w:r>
        <w:rPr>
          <w:rFonts w:ascii="Times New Roman" w:eastAsia="宋体"/>
          <w:color w:val="auto"/>
          <w:sz w:val="28"/>
          <w:szCs w:val="28"/>
          <w:highlight w:val="none"/>
        </w:rPr>
        <w:t>现有项目概况</w:t>
      </w:r>
      <w:bookmarkEnd w:id="193"/>
      <w:bookmarkEnd w:id="194"/>
    </w:p>
    <w:p w14:paraId="13EF6FE1">
      <w:pPr>
        <w:spacing w:line="360" w:lineRule="auto"/>
        <w:ind w:left="-105" w:right="-105" w:firstLine="480" w:firstLineChars="200"/>
        <w:jc w:val="both"/>
        <w:rPr>
          <w:rFonts w:ascii="Times New Roman" w:hAnsi="Times New Roman"/>
          <w:color w:val="auto"/>
          <w:szCs w:val="22"/>
          <w:highlight w:val="none"/>
        </w:rPr>
      </w:pPr>
      <w:r>
        <w:rPr>
          <w:rFonts w:hint="eastAsia" w:ascii="Times New Roman" w:hAnsi="Times New Roman"/>
          <w:color w:val="auto"/>
          <w:szCs w:val="22"/>
          <w:highlight w:val="none"/>
        </w:rPr>
        <w:t>化药化工（无锡）有限公司成立于2002年，位于无锡市锡山区锡北镇新坝村，主要从事聚氨酯丙烯酸酯、丙烯酸酯组成物和环氧丙烯酸树脂的生产。现有项目设计产品及规模为：年产聚氨酯丙烯酸酯5000t、丙烯酸酯组成物10000t和环氧丙烯酸树脂3100t。公司已于2020年6月8日取得了排污许可证（详见附件，证书编号913202057394398127001P，有效期为2023-02-21至2028-02-20。</w:t>
      </w:r>
    </w:p>
    <w:p w14:paraId="5C9C18EA">
      <w:pPr>
        <w:spacing w:line="360" w:lineRule="auto"/>
        <w:ind w:left="-105" w:right="-105" w:firstLine="480" w:firstLineChars="200"/>
        <w:jc w:val="both"/>
        <w:rPr>
          <w:rFonts w:ascii="Times New Roman" w:hAnsi="Times New Roman"/>
          <w:color w:val="auto"/>
          <w:szCs w:val="22"/>
          <w:highlight w:val="none"/>
        </w:rPr>
      </w:pPr>
      <w:r>
        <w:rPr>
          <w:rFonts w:ascii="Times New Roman" w:hAnsi="Times New Roman"/>
          <w:color w:val="auto"/>
          <w:szCs w:val="22"/>
          <w:highlight w:val="none"/>
        </w:rPr>
        <w:t>目前，企业在职员工85人，年工作3</w:t>
      </w:r>
      <w:r>
        <w:rPr>
          <w:rFonts w:hint="eastAsia" w:ascii="Times New Roman" w:hAnsi="Times New Roman"/>
          <w:color w:val="auto"/>
          <w:szCs w:val="22"/>
          <w:highlight w:val="none"/>
        </w:rPr>
        <w:t>5</w:t>
      </w:r>
      <w:r>
        <w:rPr>
          <w:rFonts w:ascii="Times New Roman" w:hAnsi="Times New Roman"/>
          <w:color w:val="auto"/>
          <w:szCs w:val="22"/>
          <w:highlight w:val="none"/>
        </w:rPr>
        <w:t>0天，每日</w:t>
      </w:r>
      <w:r>
        <w:rPr>
          <w:rFonts w:hint="eastAsia" w:ascii="Times New Roman" w:hAnsi="Times New Roman"/>
          <w:color w:val="auto"/>
          <w:szCs w:val="22"/>
          <w:highlight w:val="none"/>
        </w:rPr>
        <w:t>3</w:t>
      </w:r>
      <w:r>
        <w:rPr>
          <w:rFonts w:ascii="Times New Roman" w:hAnsi="Times New Roman"/>
          <w:color w:val="auto"/>
          <w:szCs w:val="22"/>
          <w:highlight w:val="none"/>
        </w:rPr>
        <w:t>班24小时生产。厂内不设宿舍，设食堂为员工提供简餐、</w:t>
      </w:r>
      <w:r>
        <w:rPr>
          <w:rFonts w:hint="eastAsia" w:ascii="Times New Roman" w:hAnsi="Times New Roman"/>
          <w:color w:val="auto"/>
          <w:szCs w:val="22"/>
          <w:highlight w:val="none"/>
        </w:rPr>
        <w:t>设</w:t>
      </w:r>
      <w:r>
        <w:rPr>
          <w:rFonts w:ascii="Times New Roman" w:hAnsi="Times New Roman"/>
          <w:color w:val="auto"/>
          <w:szCs w:val="22"/>
          <w:highlight w:val="none"/>
        </w:rPr>
        <w:t>浴室</w:t>
      </w:r>
      <w:r>
        <w:rPr>
          <w:rFonts w:hint="eastAsia" w:ascii="Times New Roman" w:hAnsi="Times New Roman"/>
          <w:color w:val="auto"/>
          <w:szCs w:val="22"/>
          <w:highlight w:val="none"/>
        </w:rPr>
        <w:t>供员工淋浴</w:t>
      </w:r>
      <w:r>
        <w:rPr>
          <w:rFonts w:ascii="Times New Roman" w:hAnsi="Times New Roman"/>
          <w:color w:val="auto"/>
          <w:szCs w:val="22"/>
          <w:highlight w:val="none"/>
        </w:rPr>
        <w:t>。</w:t>
      </w:r>
      <w:r>
        <w:rPr>
          <w:rFonts w:hint="eastAsia" w:ascii="Times New Roman" w:hAnsi="Times New Roman"/>
          <w:color w:val="auto"/>
          <w:szCs w:val="22"/>
          <w:highlight w:val="none"/>
        </w:rPr>
        <w:t>化药化工（无锡）有限公司自2002年建厂至今，进行了三期项目的建设，现有项目实际产品产能为：年产聚氨酯丙烯酸酯3000t、丙烯酸酯组成物5000t和环氧丙烯酸树脂3100t。</w:t>
      </w:r>
    </w:p>
    <w:p w14:paraId="010B5528">
      <w:pPr>
        <w:spacing w:line="360" w:lineRule="auto"/>
        <w:ind w:left="-105" w:right="-105" w:firstLine="480" w:firstLineChars="200"/>
        <w:jc w:val="both"/>
        <w:rPr>
          <w:rFonts w:ascii="Times New Roman" w:hAnsi="Times New Roman"/>
          <w:color w:val="auto"/>
          <w:szCs w:val="22"/>
          <w:highlight w:val="none"/>
        </w:rPr>
      </w:pPr>
      <w:r>
        <w:rPr>
          <w:rFonts w:ascii="Times New Roman" w:hAnsi="Times New Roman"/>
          <w:color w:val="auto"/>
          <w:szCs w:val="22"/>
          <w:highlight w:val="none"/>
        </w:rPr>
        <w:t>各期项目建设历程见</w:t>
      </w:r>
      <w:r>
        <w:rPr>
          <w:rFonts w:hint="eastAsia" w:ascii="Times New Roman" w:hAnsi="Times New Roman"/>
          <w:color w:val="auto"/>
          <w:szCs w:val="22"/>
          <w:highlight w:val="none"/>
        </w:rPr>
        <w:t>下表</w:t>
      </w:r>
      <w:r>
        <w:rPr>
          <w:rFonts w:ascii="Times New Roman" w:hAnsi="Times New Roman"/>
          <w:color w:val="auto"/>
          <w:szCs w:val="22"/>
          <w:highlight w:val="none"/>
        </w:rPr>
        <w:t>。</w:t>
      </w:r>
    </w:p>
    <w:p w14:paraId="4F8EAD24">
      <w:pPr>
        <w:pStyle w:val="15"/>
        <w:spacing w:line="360" w:lineRule="auto"/>
        <w:ind w:left="-105" w:right="-105" w:firstLine="482"/>
        <w:rPr>
          <w:rFonts w:eastAsia="宋体" w:cs="Times New Roman"/>
          <w:color w:val="auto"/>
          <w:sz w:val="24"/>
          <w:szCs w:val="22"/>
          <w:highlight w:val="none"/>
        </w:rPr>
      </w:pPr>
      <w:bookmarkStart w:id="195" w:name="_Ref32823818"/>
      <w:r>
        <w:rPr>
          <w:rFonts w:eastAsia="宋体" w:cs="Times New Roman"/>
          <w:color w:val="auto"/>
          <w:sz w:val="24"/>
          <w:szCs w:val="22"/>
          <w:highlight w:val="none"/>
        </w:rPr>
        <w:t>表</w:t>
      </w:r>
      <w:bookmarkEnd w:id="195"/>
      <w:r>
        <w:rPr>
          <w:rFonts w:eastAsia="宋体" w:cs="Times New Roman"/>
          <w:color w:val="auto"/>
          <w:sz w:val="24"/>
          <w:szCs w:val="22"/>
          <w:highlight w:val="none"/>
        </w:rPr>
        <w:fldChar w:fldCharType="begin"/>
      </w:r>
      <w:r>
        <w:rPr>
          <w:rFonts w:eastAsia="宋体" w:cs="Times New Roman"/>
          <w:color w:val="auto"/>
          <w:sz w:val="24"/>
          <w:szCs w:val="22"/>
          <w:highlight w:val="none"/>
        </w:rPr>
        <w:instrText xml:space="preserve"> STYLEREF 2 \s </w:instrText>
      </w:r>
      <w:r>
        <w:rPr>
          <w:rFonts w:eastAsia="宋体" w:cs="Times New Roman"/>
          <w:color w:val="auto"/>
          <w:sz w:val="24"/>
          <w:szCs w:val="22"/>
          <w:highlight w:val="none"/>
        </w:rPr>
        <w:fldChar w:fldCharType="separate"/>
      </w:r>
      <w:r>
        <w:rPr>
          <w:rFonts w:eastAsia="宋体" w:cs="Times New Roman"/>
          <w:color w:val="auto"/>
          <w:sz w:val="24"/>
          <w:szCs w:val="22"/>
          <w:highlight w:val="none"/>
        </w:rPr>
        <w:t>3.1</w:t>
      </w:r>
      <w:r>
        <w:rPr>
          <w:rFonts w:eastAsia="宋体" w:cs="Times New Roman"/>
          <w:color w:val="auto"/>
          <w:sz w:val="24"/>
          <w:szCs w:val="22"/>
          <w:highlight w:val="none"/>
        </w:rPr>
        <w:fldChar w:fldCharType="end"/>
      </w:r>
      <w:r>
        <w:rPr>
          <w:rFonts w:eastAsia="宋体" w:cs="Times New Roman"/>
          <w:color w:val="auto"/>
          <w:sz w:val="24"/>
          <w:szCs w:val="22"/>
          <w:highlight w:val="none"/>
        </w:rPr>
        <w:noBreakHyphen/>
      </w:r>
      <w:r>
        <w:rPr>
          <w:rFonts w:eastAsia="宋体" w:cs="Times New Roman"/>
          <w:color w:val="auto"/>
          <w:sz w:val="24"/>
          <w:szCs w:val="22"/>
          <w:highlight w:val="none"/>
        </w:rPr>
        <w:fldChar w:fldCharType="begin"/>
      </w:r>
      <w:r>
        <w:rPr>
          <w:rFonts w:eastAsia="宋体" w:cs="Times New Roman"/>
          <w:color w:val="auto"/>
          <w:sz w:val="24"/>
          <w:szCs w:val="22"/>
          <w:highlight w:val="none"/>
        </w:rPr>
        <w:instrText xml:space="preserve"> SEQ 表 \* ARABIC \s 2 </w:instrText>
      </w:r>
      <w:r>
        <w:rPr>
          <w:rFonts w:eastAsia="宋体" w:cs="Times New Roman"/>
          <w:color w:val="auto"/>
          <w:sz w:val="24"/>
          <w:szCs w:val="22"/>
          <w:highlight w:val="none"/>
        </w:rPr>
        <w:fldChar w:fldCharType="separate"/>
      </w:r>
      <w:r>
        <w:rPr>
          <w:rFonts w:eastAsia="宋体" w:cs="Times New Roman"/>
          <w:color w:val="auto"/>
          <w:sz w:val="24"/>
          <w:szCs w:val="22"/>
          <w:highlight w:val="none"/>
        </w:rPr>
        <w:t>1</w:t>
      </w:r>
      <w:r>
        <w:rPr>
          <w:rFonts w:eastAsia="宋体" w:cs="Times New Roman"/>
          <w:color w:val="auto"/>
          <w:sz w:val="24"/>
          <w:szCs w:val="22"/>
          <w:highlight w:val="none"/>
        </w:rPr>
        <w:fldChar w:fldCharType="end"/>
      </w:r>
      <w:r>
        <w:rPr>
          <w:rFonts w:eastAsia="宋体" w:cs="Times New Roman"/>
          <w:color w:val="auto"/>
          <w:sz w:val="24"/>
          <w:szCs w:val="22"/>
          <w:highlight w:val="none"/>
        </w:rPr>
        <w:t>历期项目情况一览表</w:t>
      </w:r>
    </w:p>
    <w:tbl>
      <w:tblPr>
        <w:tblStyle w:val="45"/>
        <w:tblW w:w="8858" w:type="dxa"/>
        <w:jc w:val="center"/>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15" w:type="dxa"/>
          <w:left w:w="15" w:type="dxa"/>
          <w:bottom w:w="15" w:type="dxa"/>
          <w:right w:w="15" w:type="dxa"/>
        </w:tblCellMar>
      </w:tblPr>
      <w:tblGrid>
        <w:gridCol w:w="943"/>
        <w:gridCol w:w="2039"/>
        <w:gridCol w:w="926"/>
        <w:gridCol w:w="2055"/>
        <w:gridCol w:w="1909"/>
        <w:gridCol w:w="986"/>
      </w:tblGrid>
      <w:tr w14:paraId="1BAC4313">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15" w:type="dxa"/>
            <w:left w:w="15" w:type="dxa"/>
            <w:bottom w:w="15" w:type="dxa"/>
            <w:right w:w="15" w:type="dxa"/>
          </w:tblCellMar>
        </w:tblPrEx>
        <w:trPr>
          <w:trHeight w:val="601" w:hRule="atLeast"/>
          <w:jc w:val="center"/>
        </w:trPr>
        <w:tc>
          <w:tcPr>
            <w:tcW w:w="943" w:type="dxa"/>
            <w:tcBorders>
              <w:tl2br w:val="nil"/>
              <w:tr2bl w:val="nil"/>
            </w:tcBorders>
            <w:vAlign w:val="center"/>
          </w:tcPr>
          <w:p w14:paraId="050F24A5">
            <w:pPr>
              <w:keepNext w:val="0"/>
              <w:keepLines w:val="0"/>
              <w:pageBreakBefore w:val="0"/>
              <w:widowControl/>
              <w:kinsoku/>
              <w:wordWrap/>
              <w:overflowPunct/>
              <w:topLinePunct w:val="0"/>
              <w:autoSpaceDE/>
              <w:autoSpaceDN/>
              <w:bidi w:val="0"/>
              <w:adjustRightInd/>
              <w:snapToGrid/>
              <w:ind w:left="0" w:right="0"/>
              <w:jc w:val="center"/>
              <w:textAlignment w:val="center"/>
              <w:rPr>
                <w:rFonts w:ascii="Times New Roman" w:hAnsi="Times New Roman"/>
                <w:b/>
                <w:color w:val="auto"/>
                <w:sz w:val="21"/>
                <w:szCs w:val="21"/>
                <w:highlight w:val="none"/>
              </w:rPr>
            </w:pPr>
            <w:r>
              <w:rPr>
                <w:rFonts w:ascii="Times New Roman" w:hAnsi="Times New Roman"/>
                <w:b/>
                <w:color w:val="auto"/>
                <w:sz w:val="21"/>
                <w:szCs w:val="21"/>
                <w:highlight w:val="none"/>
                <w:lang w:bidi="ar"/>
              </w:rPr>
              <w:t>序号</w:t>
            </w:r>
          </w:p>
        </w:tc>
        <w:tc>
          <w:tcPr>
            <w:tcW w:w="2039" w:type="dxa"/>
            <w:tcBorders>
              <w:tl2br w:val="nil"/>
              <w:tr2bl w:val="nil"/>
            </w:tcBorders>
            <w:vAlign w:val="center"/>
          </w:tcPr>
          <w:p w14:paraId="2FF6E7B0">
            <w:pPr>
              <w:keepNext w:val="0"/>
              <w:keepLines w:val="0"/>
              <w:pageBreakBefore w:val="0"/>
              <w:widowControl/>
              <w:kinsoku/>
              <w:wordWrap/>
              <w:overflowPunct/>
              <w:topLinePunct w:val="0"/>
              <w:autoSpaceDE/>
              <w:autoSpaceDN/>
              <w:bidi w:val="0"/>
              <w:adjustRightInd/>
              <w:snapToGrid/>
              <w:ind w:left="0" w:right="0"/>
              <w:jc w:val="center"/>
              <w:textAlignment w:val="center"/>
              <w:rPr>
                <w:rFonts w:ascii="Times New Roman" w:hAnsi="Times New Roman"/>
                <w:b/>
                <w:color w:val="auto"/>
                <w:sz w:val="21"/>
                <w:szCs w:val="21"/>
                <w:highlight w:val="none"/>
              </w:rPr>
            </w:pPr>
            <w:r>
              <w:rPr>
                <w:rFonts w:ascii="Times New Roman" w:hAnsi="Times New Roman"/>
                <w:b/>
                <w:color w:val="auto"/>
                <w:sz w:val="21"/>
                <w:szCs w:val="21"/>
                <w:highlight w:val="none"/>
                <w:lang w:bidi="ar"/>
              </w:rPr>
              <w:t>项目名称</w:t>
            </w:r>
          </w:p>
        </w:tc>
        <w:tc>
          <w:tcPr>
            <w:tcW w:w="926" w:type="dxa"/>
            <w:tcBorders>
              <w:tl2br w:val="nil"/>
              <w:tr2bl w:val="nil"/>
            </w:tcBorders>
            <w:vAlign w:val="center"/>
          </w:tcPr>
          <w:p w14:paraId="0BA1D38D">
            <w:pPr>
              <w:keepNext w:val="0"/>
              <w:keepLines w:val="0"/>
              <w:pageBreakBefore w:val="0"/>
              <w:widowControl/>
              <w:kinsoku/>
              <w:wordWrap/>
              <w:overflowPunct/>
              <w:topLinePunct w:val="0"/>
              <w:autoSpaceDE/>
              <w:autoSpaceDN/>
              <w:bidi w:val="0"/>
              <w:adjustRightInd/>
              <w:snapToGrid/>
              <w:ind w:left="0" w:right="0"/>
              <w:jc w:val="center"/>
              <w:textAlignment w:val="center"/>
              <w:rPr>
                <w:rFonts w:ascii="Times New Roman" w:hAnsi="Times New Roman"/>
                <w:b/>
                <w:color w:val="auto"/>
                <w:sz w:val="21"/>
                <w:szCs w:val="21"/>
                <w:highlight w:val="none"/>
                <w:lang w:bidi="ar"/>
              </w:rPr>
            </w:pPr>
            <w:r>
              <w:rPr>
                <w:rFonts w:ascii="Times New Roman" w:hAnsi="Times New Roman"/>
                <w:b/>
                <w:color w:val="auto"/>
                <w:sz w:val="21"/>
                <w:szCs w:val="21"/>
                <w:highlight w:val="none"/>
                <w:lang w:bidi="ar"/>
              </w:rPr>
              <w:t>报告</w:t>
            </w:r>
          </w:p>
          <w:p w14:paraId="7FD1E733">
            <w:pPr>
              <w:keepNext w:val="0"/>
              <w:keepLines w:val="0"/>
              <w:pageBreakBefore w:val="0"/>
              <w:widowControl/>
              <w:kinsoku/>
              <w:wordWrap/>
              <w:overflowPunct/>
              <w:topLinePunct w:val="0"/>
              <w:autoSpaceDE/>
              <w:autoSpaceDN/>
              <w:bidi w:val="0"/>
              <w:adjustRightInd/>
              <w:snapToGrid/>
              <w:ind w:left="0" w:right="0"/>
              <w:jc w:val="center"/>
              <w:textAlignment w:val="center"/>
              <w:rPr>
                <w:rFonts w:ascii="Times New Roman" w:hAnsi="Times New Roman"/>
                <w:b/>
                <w:color w:val="auto"/>
                <w:sz w:val="21"/>
                <w:szCs w:val="21"/>
                <w:highlight w:val="none"/>
              </w:rPr>
            </w:pPr>
            <w:r>
              <w:rPr>
                <w:rFonts w:ascii="Times New Roman" w:hAnsi="Times New Roman"/>
                <w:b/>
                <w:color w:val="auto"/>
                <w:sz w:val="21"/>
                <w:szCs w:val="21"/>
                <w:highlight w:val="none"/>
                <w:lang w:bidi="ar"/>
              </w:rPr>
              <w:t>类别</w:t>
            </w:r>
          </w:p>
        </w:tc>
        <w:tc>
          <w:tcPr>
            <w:tcW w:w="2055" w:type="dxa"/>
            <w:tcBorders>
              <w:tl2br w:val="nil"/>
              <w:tr2bl w:val="nil"/>
            </w:tcBorders>
            <w:vAlign w:val="center"/>
          </w:tcPr>
          <w:p w14:paraId="44E13F82">
            <w:pPr>
              <w:keepNext w:val="0"/>
              <w:keepLines w:val="0"/>
              <w:pageBreakBefore w:val="0"/>
              <w:widowControl/>
              <w:kinsoku/>
              <w:wordWrap/>
              <w:overflowPunct/>
              <w:topLinePunct w:val="0"/>
              <w:autoSpaceDE/>
              <w:autoSpaceDN/>
              <w:bidi w:val="0"/>
              <w:adjustRightInd/>
              <w:snapToGrid/>
              <w:ind w:left="0" w:right="0"/>
              <w:jc w:val="center"/>
              <w:textAlignment w:val="center"/>
              <w:rPr>
                <w:rFonts w:ascii="Times New Roman" w:hAnsi="Times New Roman"/>
                <w:b/>
                <w:color w:val="auto"/>
                <w:sz w:val="21"/>
                <w:szCs w:val="21"/>
                <w:highlight w:val="none"/>
              </w:rPr>
            </w:pPr>
            <w:r>
              <w:rPr>
                <w:rFonts w:ascii="Times New Roman" w:hAnsi="Times New Roman"/>
                <w:b/>
                <w:color w:val="auto"/>
                <w:sz w:val="21"/>
                <w:szCs w:val="21"/>
                <w:highlight w:val="none"/>
                <w:lang w:bidi="ar"/>
              </w:rPr>
              <w:t>环评审批</w:t>
            </w:r>
            <w:r>
              <w:rPr>
                <w:rFonts w:hint="eastAsia" w:ascii="Times New Roman" w:hAnsi="Times New Roman"/>
                <w:b/>
                <w:color w:val="auto"/>
                <w:sz w:val="21"/>
                <w:szCs w:val="21"/>
                <w:highlight w:val="none"/>
                <w:lang w:bidi="ar"/>
              </w:rPr>
              <w:t>情况</w:t>
            </w:r>
          </w:p>
        </w:tc>
        <w:tc>
          <w:tcPr>
            <w:tcW w:w="1909" w:type="dxa"/>
            <w:tcBorders>
              <w:tl2br w:val="nil"/>
              <w:tr2bl w:val="nil"/>
            </w:tcBorders>
            <w:vAlign w:val="center"/>
          </w:tcPr>
          <w:p w14:paraId="4D2C2A44">
            <w:pPr>
              <w:keepNext w:val="0"/>
              <w:keepLines w:val="0"/>
              <w:pageBreakBefore w:val="0"/>
              <w:widowControl/>
              <w:kinsoku/>
              <w:wordWrap/>
              <w:overflowPunct/>
              <w:topLinePunct w:val="0"/>
              <w:autoSpaceDE/>
              <w:autoSpaceDN/>
              <w:bidi w:val="0"/>
              <w:adjustRightInd/>
              <w:snapToGrid/>
              <w:ind w:left="0" w:right="0"/>
              <w:jc w:val="center"/>
              <w:textAlignment w:val="center"/>
              <w:rPr>
                <w:rFonts w:ascii="Times New Roman" w:hAnsi="Times New Roman"/>
                <w:b/>
                <w:color w:val="auto"/>
                <w:sz w:val="21"/>
                <w:szCs w:val="21"/>
                <w:highlight w:val="none"/>
              </w:rPr>
            </w:pPr>
            <w:r>
              <w:rPr>
                <w:rFonts w:hint="eastAsia" w:ascii="Times New Roman" w:hAnsi="Times New Roman"/>
                <w:b/>
                <w:color w:val="auto"/>
                <w:sz w:val="21"/>
                <w:szCs w:val="21"/>
                <w:highlight w:val="none"/>
              </w:rPr>
              <w:t>竣工验收情况</w:t>
            </w:r>
          </w:p>
        </w:tc>
        <w:tc>
          <w:tcPr>
            <w:tcW w:w="986" w:type="dxa"/>
            <w:tcBorders>
              <w:tl2br w:val="nil"/>
              <w:tr2bl w:val="nil"/>
            </w:tcBorders>
            <w:vAlign w:val="center"/>
          </w:tcPr>
          <w:p w14:paraId="3442B599">
            <w:pPr>
              <w:keepNext w:val="0"/>
              <w:keepLines w:val="0"/>
              <w:pageBreakBefore w:val="0"/>
              <w:widowControl/>
              <w:kinsoku/>
              <w:wordWrap/>
              <w:overflowPunct/>
              <w:topLinePunct w:val="0"/>
              <w:autoSpaceDE/>
              <w:autoSpaceDN/>
              <w:bidi w:val="0"/>
              <w:adjustRightInd/>
              <w:snapToGrid/>
              <w:ind w:left="0" w:right="0"/>
              <w:jc w:val="center"/>
              <w:textAlignment w:val="center"/>
              <w:rPr>
                <w:rFonts w:ascii="Times New Roman" w:hAnsi="Times New Roman"/>
                <w:b/>
                <w:color w:val="auto"/>
                <w:sz w:val="21"/>
                <w:szCs w:val="21"/>
                <w:highlight w:val="none"/>
                <w:lang w:bidi="ar"/>
              </w:rPr>
            </w:pPr>
            <w:r>
              <w:rPr>
                <w:rFonts w:ascii="Times New Roman" w:hAnsi="Times New Roman"/>
                <w:b/>
                <w:color w:val="auto"/>
                <w:sz w:val="21"/>
                <w:szCs w:val="21"/>
                <w:highlight w:val="none"/>
                <w:lang w:bidi="ar"/>
              </w:rPr>
              <w:t>项目建</w:t>
            </w:r>
          </w:p>
          <w:p w14:paraId="71A05EE7">
            <w:pPr>
              <w:keepNext w:val="0"/>
              <w:keepLines w:val="0"/>
              <w:pageBreakBefore w:val="0"/>
              <w:widowControl/>
              <w:kinsoku/>
              <w:wordWrap/>
              <w:overflowPunct/>
              <w:topLinePunct w:val="0"/>
              <w:autoSpaceDE/>
              <w:autoSpaceDN/>
              <w:bidi w:val="0"/>
              <w:adjustRightInd/>
              <w:snapToGrid/>
              <w:ind w:left="0" w:right="0"/>
              <w:jc w:val="center"/>
              <w:textAlignment w:val="center"/>
              <w:rPr>
                <w:rFonts w:ascii="Times New Roman" w:hAnsi="Times New Roman"/>
                <w:b/>
                <w:color w:val="auto"/>
                <w:sz w:val="21"/>
                <w:szCs w:val="21"/>
                <w:highlight w:val="none"/>
              </w:rPr>
            </w:pPr>
            <w:r>
              <w:rPr>
                <w:rFonts w:ascii="Times New Roman" w:hAnsi="Times New Roman"/>
                <w:b/>
                <w:color w:val="auto"/>
                <w:sz w:val="21"/>
                <w:szCs w:val="21"/>
                <w:highlight w:val="none"/>
                <w:lang w:bidi="ar"/>
              </w:rPr>
              <w:t>设情况</w:t>
            </w:r>
          </w:p>
        </w:tc>
      </w:tr>
      <w:tr w14:paraId="3907EF56">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15" w:type="dxa"/>
            <w:left w:w="15" w:type="dxa"/>
            <w:bottom w:w="15" w:type="dxa"/>
            <w:right w:w="15" w:type="dxa"/>
          </w:tblCellMar>
        </w:tblPrEx>
        <w:trPr>
          <w:trHeight w:val="380" w:hRule="atLeast"/>
          <w:jc w:val="center"/>
        </w:trPr>
        <w:tc>
          <w:tcPr>
            <w:tcW w:w="943" w:type="dxa"/>
            <w:tcBorders>
              <w:tl2br w:val="nil"/>
              <w:tr2bl w:val="nil"/>
            </w:tcBorders>
            <w:vAlign w:val="center"/>
          </w:tcPr>
          <w:p w14:paraId="03ABBA1B">
            <w:pPr>
              <w:keepNext w:val="0"/>
              <w:keepLines w:val="0"/>
              <w:pageBreakBefore w:val="0"/>
              <w:widowControl/>
              <w:kinsoku/>
              <w:wordWrap/>
              <w:overflowPunct/>
              <w:topLinePunct w:val="0"/>
              <w:autoSpaceDE/>
              <w:autoSpaceDN/>
              <w:bidi w:val="0"/>
              <w:adjustRightInd/>
              <w:snapToGrid/>
              <w:ind w:left="0" w:right="0"/>
              <w:jc w:val="center"/>
              <w:textAlignment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一期</w:t>
            </w:r>
          </w:p>
        </w:tc>
        <w:tc>
          <w:tcPr>
            <w:tcW w:w="2039" w:type="dxa"/>
            <w:tcBorders>
              <w:tl2br w:val="nil"/>
              <w:tr2bl w:val="nil"/>
            </w:tcBorders>
            <w:vAlign w:val="center"/>
          </w:tcPr>
          <w:p w14:paraId="77843443">
            <w:pPr>
              <w:keepNext w:val="0"/>
              <w:keepLines w:val="0"/>
              <w:pageBreakBefore w:val="0"/>
              <w:widowControl/>
              <w:kinsoku/>
              <w:wordWrap/>
              <w:overflowPunct/>
              <w:topLinePunct w:val="0"/>
              <w:autoSpaceDE/>
              <w:autoSpaceDN/>
              <w:bidi w:val="0"/>
              <w:adjustRightInd/>
              <w:snapToGrid/>
              <w:ind w:left="0" w:right="0"/>
              <w:jc w:val="center"/>
              <w:textAlignment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年产1900吨丙烯酸改性环氧酚醛树脂项目</w:t>
            </w:r>
          </w:p>
        </w:tc>
        <w:tc>
          <w:tcPr>
            <w:tcW w:w="926" w:type="dxa"/>
            <w:tcBorders>
              <w:tl2br w:val="nil"/>
              <w:tr2bl w:val="nil"/>
            </w:tcBorders>
            <w:vAlign w:val="center"/>
          </w:tcPr>
          <w:p w14:paraId="53969110">
            <w:pPr>
              <w:keepNext w:val="0"/>
              <w:keepLines w:val="0"/>
              <w:pageBreakBefore w:val="0"/>
              <w:widowControl/>
              <w:kinsoku/>
              <w:wordWrap/>
              <w:overflowPunct/>
              <w:topLinePunct w:val="0"/>
              <w:autoSpaceDE/>
              <w:autoSpaceDN/>
              <w:bidi w:val="0"/>
              <w:adjustRightInd/>
              <w:snapToGrid/>
              <w:ind w:left="0" w:right="0"/>
              <w:jc w:val="center"/>
              <w:textAlignment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报告表</w:t>
            </w:r>
          </w:p>
        </w:tc>
        <w:tc>
          <w:tcPr>
            <w:tcW w:w="2055" w:type="dxa"/>
            <w:tcBorders>
              <w:tl2br w:val="nil"/>
              <w:tr2bl w:val="nil"/>
            </w:tcBorders>
            <w:vAlign w:val="center"/>
          </w:tcPr>
          <w:p w14:paraId="55C19EA1">
            <w:pPr>
              <w:keepNext w:val="0"/>
              <w:keepLines w:val="0"/>
              <w:pageBreakBefore w:val="0"/>
              <w:widowControl/>
              <w:kinsoku/>
              <w:wordWrap/>
              <w:overflowPunct/>
              <w:topLinePunct w:val="0"/>
              <w:autoSpaceDE/>
              <w:autoSpaceDN/>
              <w:bidi w:val="0"/>
              <w:adjustRightInd/>
              <w:snapToGrid/>
              <w:ind w:left="0" w:right="0"/>
              <w:jc w:val="center"/>
              <w:textAlignment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2003年5月30日通过无锡市环境保护局审批</w:t>
            </w:r>
          </w:p>
        </w:tc>
        <w:tc>
          <w:tcPr>
            <w:tcW w:w="1909" w:type="dxa"/>
            <w:tcBorders>
              <w:tl2br w:val="nil"/>
              <w:tr2bl w:val="nil"/>
            </w:tcBorders>
            <w:vAlign w:val="center"/>
          </w:tcPr>
          <w:p w14:paraId="45D2AB73">
            <w:pPr>
              <w:keepNext w:val="0"/>
              <w:keepLines w:val="0"/>
              <w:pageBreakBefore w:val="0"/>
              <w:widowControl/>
              <w:kinsoku/>
              <w:wordWrap/>
              <w:overflowPunct/>
              <w:topLinePunct w:val="0"/>
              <w:autoSpaceDE/>
              <w:autoSpaceDN/>
              <w:bidi w:val="0"/>
              <w:adjustRightInd/>
              <w:snapToGrid/>
              <w:ind w:left="0" w:right="0"/>
              <w:jc w:val="center"/>
              <w:textAlignment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2006年8月2日通过无锡市锡山区环境保护局的“三同时”竣工验收</w:t>
            </w:r>
          </w:p>
        </w:tc>
        <w:tc>
          <w:tcPr>
            <w:tcW w:w="986" w:type="dxa"/>
            <w:tcBorders>
              <w:tl2br w:val="nil"/>
              <w:tr2bl w:val="nil"/>
            </w:tcBorders>
            <w:vAlign w:val="center"/>
          </w:tcPr>
          <w:p w14:paraId="35ECB63D">
            <w:pPr>
              <w:keepNext w:val="0"/>
              <w:keepLines w:val="0"/>
              <w:pageBreakBefore w:val="0"/>
              <w:widowControl/>
              <w:kinsoku/>
              <w:wordWrap/>
              <w:overflowPunct/>
              <w:topLinePunct w:val="0"/>
              <w:autoSpaceDE/>
              <w:autoSpaceDN/>
              <w:bidi w:val="0"/>
              <w:adjustRightInd/>
              <w:snapToGrid/>
              <w:ind w:left="0" w:right="0"/>
              <w:jc w:val="center"/>
              <w:textAlignment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正常生产</w:t>
            </w:r>
          </w:p>
        </w:tc>
      </w:tr>
      <w:tr w14:paraId="44651168">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15" w:type="dxa"/>
            <w:left w:w="15" w:type="dxa"/>
            <w:bottom w:w="15" w:type="dxa"/>
            <w:right w:w="15" w:type="dxa"/>
          </w:tblCellMar>
        </w:tblPrEx>
        <w:trPr>
          <w:trHeight w:val="2598" w:hRule="atLeast"/>
          <w:jc w:val="center"/>
        </w:trPr>
        <w:tc>
          <w:tcPr>
            <w:tcW w:w="943" w:type="dxa"/>
            <w:tcBorders>
              <w:tl2br w:val="nil"/>
              <w:tr2bl w:val="nil"/>
            </w:tcBorders>
            <w:vAlign w:val="center"/>
          </w:tcPr>
          <w:p w14:paraId="058FBE1F">
            <w:pPr>
              <w:keepNext w:val="0"/>
              <w:keepLines w:val="0"/>
              <w:pageBreakBefore w:val="0"/>
              <w:widowControl/>
              <w:kinsoku/>
              <w:wordWrap/>
              <w:overflowPunct/>
              <w:topLinePunct w:val="0"/>
              <w:autoSpaceDE/>
              <w:autoSpaceDN/>
              <w:bidi w:val="0"/>
              <w:adjustRightInd/>
              <w:snapToGrid/>
              <w:ind w:left="0" w:right="0"/>
              <w:jc w:val="center"/>
              <w:textAlignment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二期</w:t>
            </w:r>
          </w:p>
        </w:tc>
        <w:tc>
          <w:tcPr>
            <w:tcW w:w="2039" w:type="dxa"/>
            <w:tcBorders>
              <w:tl2br w:val="nil"/>
              <w:tr2bl w:val="nil"/>
            </w:tcBorders>
            <w:vAlign w:val="center"/>
          </w:tcPr>
          <w:p w14:paraId="09A9E1C7">
            <w:pPr>
              <w:keepNext w:val="0"/>
              <w:keepLines w:val="0"/>
              <w:pageBreakBefore w:val="0"/>
              <w:widowControl/>
              <w:kinsoku/>
              <w:wordWrap/>
              <w:overflowPunct/>
              <w:topLinePunct w:val="0"/>
              <w:autoSpaceDE/>
              <w:autoSpaceDN/>
              <w:bidi w:val="0"/>
              <w:adjustRightInd/>
              <w:snapToGrid/>
              <w:ind w:left="0" w:right="0"/>
              <w:jc w:val="center"/>
              <w:textAlignment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年产聚氨酯丙烯酸酯5000t、丙烯酸酯组成物10000t和环氧丙烯酸树脂1200t生产线技改扩建项目</w:t>
            </w:r>
          </w:p>
        </w:tc>
        <w:tc>
          <w:tcPr>
            <w:tcW w:w="926" w:type="dxa"/>
            <w:tcBorders>
              <w:tl2br w:val="nil"/>
              <w:tr2bl w:val="nil"/>
            </w:tcBorders>
            <w:vAlign w:val="center"/>
          </w:tcPr>
          <w:p w14:paraId="0ABA410B">
            <w:pPr>
              <w:keepNext w:val="0"/>
              <w:keepLines w:val="0"/>
              <w:pageBreakBefore w:val="0"/>
              <w:widowControl/>
              <w:kinsoku/>
              <w:wordWrap/>
              <w:overflowPunct/>
              <w:topLinePunct w:val="0"/>
              <w:autoSpaceDE/>
              <w:autoSpaceDN/>
              <w:bidi w:val="0"/>
              <w:adjustRightInd/>
              <w:snapToGrid/>
              <w:ind w:left="0" w:right="0"/>
              <w:jc w:val="center"/>
              <w:textAlignment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报告书</w:t>
            </w:r>
          </w:p>
        </w:tc>
        <w:tc>
          <w:tcPr>
            <w:tcW w:w="2055" w:type="dxa"/>
            <w:tcBorders>
              <w:tl2br w:val="nil"/>
              <w:tr2bl w:val="nil"/>
            </w:tcBorders>
            <w:vAlign w:val="center"/>
          </w:tcPr>
          <w:p w14:paraId="0A9323F1">
            <w:pPr>
              <w:keepNext w:val="0"/>
              <w:keepLines w:val="0"/>
              <w:pageBreakBefore w:val="0"/>
              <w:widowControl/>
              <w:kinsoku/>
              <w:wordWrap/>
              <w:overflowPunct/>
              <w:topLinePunct w:val="0"/>
              <w:autoSpaceDE/>
              <w:autoSpaceDN/>
              <w:bidi w:val="0"/>
              <w:adjustRightInd/>
              <w:snapToGrid/>
              <w:ind w:left="0" w:right="0"/>
              <w:jc w:val="center"/>
              <w:textAlignment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2012年2月27日通过无锡市环境保护局审批</w:t>
            </w:r>
          </w:p>
        </w:tc>
        <w:tc>
          <w:tcPr>
            <w:tcW w:w="1909" w:type="dxa"/>
            <w:tcBorders>
              <w:right w:val="single" w:color="auto" w:sz="4" w:space="0"/>
              <w:tl2br w:val="nil"/>
              <w:tr2bl w:val="nil"/>
            </w:tcBorders>
            <w:vAlign w:val="center"/>
          </w:tcPr>
          <w:p w14:paraId="6C386977">
            <w:pPr>
              <w:keepNext w:val="0"/>
              <w:keepLines w:val="0"/>
              <w:pageBreakBefore w:val="0"/>
              <w:widowControl/>
              <w:kinsoku/>
              <w:wordWrap/>
              <w:overflowPunct/>
              <w:topLinePunct w:val="0"/>
              <w:autoSpaceDE/>
              <w:autoSpaceDN/>
              <w:bidi w:val="0"/>
              <w:adjustRightInd/>
              <w:snapToGrid/>
              <w:ind w:left="0" w:right="0"/>
              <w:jc w:val="center"/>
              <w:textAlignment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一阶段“年产聚氨酯丙烯酸酯3000t、丙烯酸酯组成物5000t和环氧丙烯酸树脂1200t”于2014年7月3日通过无锡市环境保护局的“三同时”竣工验收；二阶段“年产聚氨酯丙烯酸酯2000t、丙烯酸酯组成物5000t”于2023年7月27日通过自主验收</w:t>
            </w:r>
          </w:p>
        </w:tc>
        <w:tc>
          <w:tcPr>
            <w:tcW w:w="986" w:type="dxa"/>
            <w:tcBorders>
              <w:left w:val="single" w:color="auto" w:sz="4" w:space="0"/>
              <w:tl2br w:val="nil"/>
              <w:tr2bl w:val="nil"/>
            </w:tcBorders>
            <w:vAlign w:val="center"/>
          </w:tcPr>
          <w:p w14:paraId="35C8A0DA">
            <w:pPr>
              <w:keepNext w:val="0"/>
              <w:keepLines w:val="0"/>
              <w:pageBreakBefore w:val="0"/>
              <w:widowControl/>
              <w:kinsoku/>
              <w:wordWrap/>
              <w:overflowPunct/>
              <w:topLinePunct w:val="0"/>
              <w:autoSpaceDE/>
              <w:autoSpaceDN/>
              <w:bidi w:val="0"/>
              <w:adjustRightInd/>
              <w:snapToGrid/>
              <w:ind w:left="0" w:right="0"/>
              <w:jc w:val="center"/>
              <w:textAlignment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正常生产</w:t>
            </w:r>
          </w:p>
        </w:tc>
      </w:tr>
      <w:tr w14:paraId="71CBE4D5">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15" w:type="dxa"/>
            <w:left w:w="15" w:type="dxa"/>
            <w:bottom w:w="15" w:type="dxa"/>
            <w:right w:w="15" w:type="dxa"/>
          </w:tblCellMar>
        </w:tblPrEx>
        <w:trPr>
          <w:trHeight w:val="385" w:hRule="atLeast"/>
          <w:jc w:val="center"/>
        </w:trPr>
        <w:tc>
          <w:tcPr>
            <w:tcW w:w="943" w:type="dxa"/>
            <w:tcBorders>
              <w:tl2br w:val="nil"/>
              <w:tr2bl w:val="nil"/>
            </w:tcBorders>
            <w:vAlign w:val="center"/>
          </w:tcPr>
          <w:p w14:paraId="1E652E0E">
            <w:pPr>
              <w:keepNext w:val="0"/>
              <w:keepLines w:val="0"/>
              <w:pageBreakBefore w:val="0"/>
              <w:widowControl/>
              <w:kinsoku/>
              <w:wordWrap/>
              <w:overflowPunct/>
              <w:topLinePunct w:val="0"/>
              <w:autoSpaceDE/>
              <w:autoSpaceDN/>
              <w:bidi w:val="0"/>
              <w:adjustRightInd/>
              <w:snapToGrid/>
              <w:ind w:left="0" w:right="0"/>
              <w:jc w:val="center"/>
              <w:textAlignment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三期</w:t>
            </w:r>
          </w:p>
        </w:tc>
        <w:tc>
          <w:tcPr>
            <w:tcW w:w="2039" w:type="dxa"/>
            <w:tcBorders>
              <w:tl2br w:val="nil"/>
              <w:tr2bl w:val="nil"/>
            </w:tcBorders>
            <w:vAlign w:val="center"/>
          </w:tcPr>
          <w:p w14:paraId="5F0BA1E8">
            <w:pPr>
              <w:keepNext w:val="0"/>
              <w:keepLines w:val="0"/>
              <w:pageBreakBefore w:val="0"/>
              <w:widowControl/>
              <w:kinsoku/>
              <w:wordWrap/>
              <w:overflowPunct/>
              <w:topLinePunct w:val="0"/>
              <w:autoSpaceDE/>
              <w:autoSpaceDN/>
              <w:bidi w:val="0"/>
              <w:adjustRightInd/>
              <w:snapToGrid/>
              <w:ind w:left="0" w:right="0"/>
              <w:jc w:val="center"/>
              <w:textAlignment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废气升级改造项目环境影响登记表</w:t>
            </w:r>
          </w:p>
        </w:tc>
        <w:tc>
          <w:tcPr>
            <w:tcW w:w="926" w:type="dxa"/>
            <w:tcBorders>
              <w:tl2br w:val="nil"/>
              <w:tr2bl w:val="nil"/>
            </w:tcBorders>
            <w:vAlign w:val="center"/>
          </w:tcPr>
          <w:p w14:paraId="58DC8C00">
            <w:pPr>
              <w:keepNext w:val="0"/>
              <w:keepLines w:val="0"/>
              <w:pageBreakBefore w:val="0"/>
              <w:widowControl/>
              <w:kinsoku/>
              <w:wordWrap/>
              <w:overflowPunct/>
              <w:topLinePunct w:val="0"/>
              <w:autoSpaceDE/>
              <w:autoSpaceDN/>
              <w:bidi w:val="0"/>
              <w:adjustRightInd/>
              <w:snapToGrid/>
              <w:ind w:left="0" w:right="0"/>
              <w:jc w:val="center"/>
              <w:textAlignment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登记表</w:t>
            </w:r>
          </w:p>
        </w:tc>
        <w:tc>
          <w:tcPr>
            <w:tcW w:w="2055" w:type="dxa"/>
            <w:tcBorders>
              <w:tl2br w:val="nil"/>
              <w:tr2bl w:val="nil"/>
            </w:tcBorders>
            <w:vAlign w:val="center"/>
          </w:tcPr>
          <w:p w14:paraId="2373B8D2">
            <w:pPr>
              <w:keepNext w:val="0"/>
              <w:keepLines w:val="0"/>
              <w:pageBreakBefore w:val="0"/>
              <w:widowControl/>
              <w:kinsoku/>
              <w:wordWrap/>
              <w:overflowPunct/>
              <w:topLinePunct w:val="0"/>
              <w:autoSpaceDE/>
              <w:autoSpaceDN/>
              <w:bidi w:val="0"/>
              <w:adjustRightInd/>
              <w:snapToGrid/>
              <w:ind w:left="0" w:right="0"/>
              <w:jc w:val="center"/>
              <w:textAlignment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2022年3月17日进行备案登记，备案号：202232020500000122</w:t>
            </w:r>
          </w:p>
        </w:tc>
        <w:tc>
          <w:tcPr>
            <w:tcW w:w="1909" w:type="dxa"/>
            <w:tcBorders>
              <w:tl2br w:val="nil"/>
              <w:tr2bl w:val="nil"/>
            </w:tcBorders>
            <w:vAlign w:val="center"/>
          </w:tcPr>
          <w:p w14:paraId="601BD576">
            <w:pPr>
              <w:keepNext w:val="0"/>
              <w:keepLines w:val="0"/>
              <w:pageBreakBefore w:val="0"/>
              <w:widowControl/>
              <w:kinsoku/>
              <w:wordWrap/>
              <w:overflowPunct/>
              <w:topLinePunct w:val="0"/>
              <w:autoSpaceDE/>
              <w:autoSpaceDN/>
              <w:bidi w:val="0"/>
              <w:adjustRightInd/>
              <w:snapToGrid/>
              <w:ind w:left="0" w:right="0"/>
              <w:jc w:val="center"/>
              <w:textAlignment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w:t>
            </w:r>
          </w:p>
        </w:tc>
        <w:tc>
          <w:tcPr>
            <w:tcW w:w="986" w:type="dxa"/>
            <w:tcBorders>
              <w:tl2br w:val="nil"/>
              <w:tr2bl w:val="nil"/>
            </w:tcBorders>
            <w:vAlign w:val="center"/>
          </w:tcPr>
          <w:p w14:paraId="35F4ABA3">
            <w:pPr>
              <w:keepNext w:val="0"/>
              <w:keepLines w:val="0"/>
              <w:pageBreakBefore w:val="0"/>
              <w:widowControl/>
              <w:kinsoku/>
              <w:wordWrap/>
              <w:overflowPunct/>
              <w:topLinePunct w:val="0"/>
              <w:autoSpaceDE/>
              <w:autoSpaceDN/>
              <w:bidi w:val="0"/>
              <w:adjustRightInd/>
              <w:snapToGrid/>
              <w:ind w:left="0" w:right="0"/>
              <w:jc w:val="center"/>
              <w:textAlignment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正常投入使用</w:t>
            </w:r>
          </w:p>
        </w:tc>
      </w:tr>
    </w:tbl>
    <w:p w14:paraId="605D2A0A">
      <w:pPr>
        <w:spacing w:before="120" w:beforeLines="50" w:line="360" w:lineRule="auto"/>
        <w:ind w:left="-105" w:right="-105" w:firstLine="480" w:firstLineChars="200"/>
        <w:jc w:val="both"/>
        <w:rPr>
          <w:rFonts w:ascii="Times New Roman" w:hAnsi="Times New Roman"/>
          <w:color w:val="auto"/>
          <w:szCs w:val="22"/>
          <w:highlight w:val="none"/>
        </w:rPr>
      </w:pPr>
      <w:bookmarkStart w:id="196" w:name="_Toc60653466"/>
      <w:r>
        <w:rPr>
          <w:rFonts w:hint="eastAsia" w:ascii="Times New Roman" w:hAnsi="Times New Roman"/>
          <w:color w:val="auto"/>
          <w:szCs w:val="22"/>
          <w:highlight w:val="none"/>
        </w:rPr>
        <w:t>根据上表，企业《年产聚氨酯丙烯酸酯5000t、丙烯酸酯组成物10000t和环氧丙烯酸树脂1200t生产线技改扩建项目（二期年产聚氨酯丙烯酸酯2000t、丙烯酸酯组成物5000t）》已完成验收正常投产中，与环评及批复相比发生了变动。根据中华人民共和国生态环境部办公厅《污染影响类建设项目重大变动清单（试行）》（环办环评函〔2020〕688号），项目性质、规模、地点、生产工艺及环境保护措施均未发生重大变动。企业根据《省生态环境厅关于加强涉变动项目环评与排污许可管理衔接的通知》（苏环办〔2021〕122号）编制了《化药化工（无锡）有限公司年产聚氨酯丙烯酸酯5000t、丙烯酸酯组成物10000t和环氧丙烯酸树脂1200t生产线技改扩建项目一般变动环境影响分析报告》，本报告现有项目实际生产情况依据该变动分析报告进行梳理。</w:t>
      </w:r>
    </w:p>
    <w:p w14:paraId="6C188E15">
      <w:pPr>
        <w:pStyle w:val="4"/>
        <w:numPr>
          <w:ilvl w:val="1"/>
          <w:numId w:val="6"/>
        </w:numPr>
        <w:tabs>
          <w:tab w:val="left" w:pos="426"/>
        </w:tabs>
        <w:spacing w:before="120" w:beforeLines="50" w:after="120" w:afterLines="50" w:line="360" w:lineRule="auto"/>
        <w:ind w:left="-105" w:right="-105"/>
        <w:rPr>
          <w:rFonts w:ascii="Times New Roman" w:eastAsia="宋体"/>
          <w:color w:val="auto"/>
          <w:sz w:val="28"/>
          <w:szCs w:val="28"/>
          <w:highlight w:val="none"/>
        </w:rPr>
      </w:pPr>
      <w:bookmarkStart w:id="197" w:name="_Toc722"/>
      <w:r>
        <w:rPr>
          <w:rFonts w:ascii="Times New Roman" w:eastAsia="宋体"/>
          <w:color w:val="auto"/>
          <w:sz w:val="28"/>
          <w:szCs w:val="28"/>
          <w:highlight w:val="none"/>
        </w:rPr>
        <w:t>现有项目生产规模及工程内容</w:t>
      </w:r>
      <w:bookmarkEnd w:id="196"/>
      <w:bookmarkEnd w:id="197"/>
    </w:p>
    <w:p w14:paraId="6A6A0B72">
      <w:pPr>
        <w:spacing w:line="360" w:lineRule="auto"/>
        <w:ind w:left="-105" w:right="-105" w:firstLine="480" w:firstLineChars="200"/>
        <w:rPr>
          <w:rFonts w:ascii="Times New Roman" w:hAnsi="Times New Roman"/>
          <w:color w:val="auto"/>
          <w:szCs w:val="22"/>
          <w:highlight w:val="none"/>
        </w:rPr>
      </w:pPr>
      <w:bookmarkStart w:id="198" w:name="_Toc60653467"/>
      <w:bookmarkStart w:id="199" w:name="_Toc17377630"/>
      <w:r>
        <w:rPr>
          <w:rFonts w:hint="eastAsia" w:ascii="Times New Roman" w:hAnsi="Times New Roman"/>
          <w:color w:val="auto"/>
          <w:szCs w:val="22"/>
          <w:highlight w:val="none"/>
        </w:rPr>
        <w:t>现有项目环评批复落实情况见下表：</w:t>
      </w:r>
    </w:p>
    <w:p w14:paraId="4D3D46AC">
      <w:pPr>
        <w:pStyle w:val="15"/>
        <w:spacing w:line="360" w:lineRule="auto"/>
        <w:ind w:left="-105" w:right="-105" w:firstLine="482"/>
        <w:rPr>
          <w:rFonts w:eastAsia="宋体" w:cs="Times New Roman"/>
          <w:bCs/>
          <w:color w:val="auto"/>
          <w:sz w:val="24"/>
          <w:szCs w:val="22"/>
          <w:highlight w:val="none"/>
        </w:rPr>
      </w:pPr>
      <w:r>
        <w:rPr>
          <w:rFonts w:eastAsia="宋体" w:cs="Times New Roman"/>
          <w:bCs/>
          <w:color w:val="auto"/>
          <w:sz w:val="24"/>
          <w:szCs w:val="22"/>
          <w:highlight w:val="none"/>
        </w:rPr>
        <w:t>表</w:t>
      </w:r>
      <w:r>
        <w:rPr>
          <w:rFonts w:eastAsia="宋体" w:cs="Times New Roman"/>
          <w:bCs/>
          <w:color w:val="auto"/>
          <w:sz w:val="24"/>
          <w:szCs w:val="22"/>
          <w:highlight w:val="none"/>
        </w:rPr>
        <w:fldChar w:fldCharType="begin"/>
      </w:r>
      <w:r>
        <w:rPr>
          <w:rFonts w:eastAsia="宋体" w:cs="Times New Roman"/>
          <w:bCs/>
          <w:color w:val="auto"/>
          <w:sz w:val="24"/>
          <w:szCs w:val="22"/>
          <w:highlight w:val="none"/>
        </w:rPr>
        <w:instrText xml:space="preserve"> STYLEREF 2 \s </w:instrText>
      </w:r>
      <w:r>
        <w:rPr>
          <w:rFonts w:eastAsia="宋体" w:cs="Times New Roman"/>
          <w:bCs/>
          <w:color w:val="auto"/>
          <w:sz w:val="24"/>
          <w:szCs w:val="22"/>
          <w:highlight w:val="none"/>
        </w:rPr>
        <w:fldChar w:fldCharType="separate"/>
      </w:r>
      <w:r>
        <w:rPr>
          <w:rFonts w:eastAsia="宋体" w:cs="Times New Roman"/>
          <w:bCs/>
          <w:color w:val="auto"/>
          <w:sz w:val="24"/>
          <w:szCs w:val="22"/>
          <w:highlight w:val="none"/>
        </w:rPr>
        <w:t>3.2</w:t>
      </w:r>
      <w:r>
        <w:rPr>
          <w:rFonts w:eastAsia="宋体" w:cs="Times New Roman"/>
          <w:bCs/>
          <w:color w:val="auto"/>
          <w:sz w:val="24"/>
          <w:szCs w:val="22"/>
          <w:highlight w:val="none"/>
        </w:rPr>
        <w:fldChar w:fldCharType="end"/>
      </w:r>
      <w:r>
        <w:rPr>
          <w:rFonts w:eastAsia="宋体" w:cs="Times New Roman"/>
          <w:bCs/>
          <w:color w:val="auto"/>
          <w:sz w:val="24"/>
          <w:szCs w:val="22"/>
          <w:highlight w:val="none"/>
        </w:rPr>
        <w:noBreakHyphen/>
      </w:r>
      <w:r>
        <w:rPr>
          <w:rFonts w:eastAsia="宋体" w:cs="Times New Roman"/>
          <w:bCs/>
          <w:color w:val="auto"/>
          <w:sz w:val="24"/>
          <w:szCs w:val="22"/>
          <w:highlight w:val="none"/>
        </w:rPr>
        <w:fldChar w:fldCharType="begin"/>
      </w:r>
      <w:r>
        <w:rPr>
          <w:rFonts w:eastAsia="宋体" w:cs="Times New Roman"/>
          <w:bCs/>
          <w:color w:val="auto"/>
          <w:sz w:val="24"/>
          <w:szCs w:val="22"/>
          <w:highlight w:val="none"/>
        </w:rPr>
        <w:instrText xml:space="preserve"> SEQ 表 \* ARABIC \s 2 </w:instrText>
      </w:r>
      <w:r>
        <w:rPr>
          <w:rFonts w:eastAsia="宋体" w:cs="Times New Roman"/>
          <w:bCs/>
          <w:color w:val="auto"/>
          <w:sz w:val="24"/>
          <w:szCs w:val="22"/>
          <w:highlight w:val="none"/>
        </w:rPr>
        <w:fldChar w:fldCharType="separate"/>
      </w:r>
      <w:r>
        <w:rPr>
          <w:rFonts w:eastAsia="宋体" w:cs="Times New Roman"/>
          <w:bCs/>
          <w:color w:val="auto"/>
          <w:sz w:val="24"/>
          <w:szCs w:val="22"/>
          <w:highlight w:val="none"/>
        </w:rPr>
        <w:t>3</w:t>
      </w:r>
      <w:r>
        <w:rPr>
          <w:rFonts w:eastAsia="宋体" w:cs="Times New Roman"/>
          <w:bCs/>
          <w:color w:val="auto"/>
          <w:sz w:val="24"/>
          <w:szCs w:val="22"/>
          <w:highlight w:val="none"/>
        </w:rPr>
        <w:fldChar w:fldCharType="end"/>
      </w:r>
      <w:r>
        <w:rPr>
          <w:rFonts w:hint="eastAsia" w:eastAsia="宋体" w:cs="Times New Roman"/>
          <w:bCs/>
          <w:color w:val="auto"/>
          <w:sz w:val="24"/>
          <w:szCs w:val="22"/>
          <w:highlight w:val="none"/>
        </w:rPr>
        <w:t>现有项目环评批复落实情况一览表</w:t>
      </w:r>
    </w:p>
    <w:tbl>
      <w:tblPr>
        <w:tblStyle w:val="46"/>
        <w:tblW w:w="4998"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555"/>
        <w:gridCol w:w="3655"/>
        <w:gridCol w:w="3563"/>
        <w:gridCol w:w="944"/>
      </w:tblGrid>
      <w:tr w14:paraId="4CB8E8E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55" w:type="dxa"/>
            <w:tcBorders>
              <w:tl2br w:val="nil"/>
              <w:tr2bl w:val="nil"/>
            </w:tcBorders>
            <w:vAlign w:val="center"/>
          </w:tcPr>
          <w:p w14:paraId="2B3699A9">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b/>
                <w:bCs/>
                <w:color w:val="auto"/>
                <w:sz w:val="21"/>
                <w:szCs w:val="21"/>
                <w:highlight w:val="none"/>
              </w:rPr>
            </w:pPr>
            <w:r>
              <w:rPr>
                <w:rFonts w:hint="eastAsia" w:ascii="Times New Roman" w:hAnsi="Times New Roman"/>
                <w:b/>
                <w:bCs/>
                <w:color w:val="auto"/>
                <w:sz w:val="21"/>
                <w:szCs w:val="21"/>
                <w:highlight w:val="none"/>
              </w:rPr>
              <w:t>序号</w:t>
            </w:r>
          </w:p>
        </w:tc>
        <w:tc>
          <w:tcPr>
            <w:tcW w:w="3655" w:type="dxa"/>
            <w:tcBorders>
              <w:tl2br w:val="nil"/>
              <w:tr2bl w:val="nil"/>
            </w:tcBorders>
            <w:vAlign w:val="center"/>
          </w:tcPr>
          <w:p w14:paraId="1B4C5010">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b/>
                <w:bCs/>
                <w:color w:val="auto"/>
                <w:sz w:val="21"/>
                <w:szCs w:val="21"/>
                <w:highlight w:val="none"/>
              </w:rPr>
            </w:pPr>
            <w:r>
              <w:rPr>
                <w:rFonts w:hint="eastAsia" w:ascii="Times New Roman" w:hAnsi="Times New Roman"/>
                <w:b/>
                <w:bCs/>
                <w:color w:val="auto"/>
                <w:sz w:val="21"/>
                <w:szCs w:val="21"/>
                <w:highlight w:val="none"/>
              </w:rPr>
              <w:t>批复内容</w:t>
            </w:r>
          </w:p>
        </w:tc>
        <w:tc>
          <w:tcPr>
            <w:tcW w:w="3563" w:type="dxa"/>
            <w:tcBorders>
              <w:tl2br w:val="nil"/>
              <w:tr2bl w:val="nil"/>
            </w:tcBorders>
            <w:vAlign w:val="center"/>
          </w:tcPr>
          <w:p w14:paraId="0EAE7F67">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b/>
                <w:bCs/>
                <w:color w:val="auto"/>
                <w:sz w:val="21"/>
                <w:szCs w:val="21"/>
                <w:highlight w:val="none"/>
              </w:rPr>
            </w:pPr>
            <w:r>
              <w:rPr>
                <w:rFonts w:hint="eastAsia" w:ascii="Times New Roman" w:hAnsi="Times New Roman"/>
                <w:b/>
                <w:bCs/>
                <w:color w:val="auto"/>
                <w:sz w:val="21"/>
                <w:szCs w:val="21"/>
                <w:highlight w:val="none"/>
              </w:rPr>
              <w:t>建设情况</w:t>
            </w:r>
          </w:p>
        </w:tc>
        <w:tc>
          <w:tcPr>
            <w:tcW w:w="944" w:type="dxa"/>
            <w:tcBorders>
              <w:tl2br w:val="nil"/>
              <w:tr2bl w:val="nil"/>
            </w:tcBorders>
            <w:vAlign w:val="center"/>
          </w:tcPr>
          <w:p w14:paraId="507CAEA9">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b/>
                <w:bCs/>
                <w:color w:val="auto"/>
                <w:sz w:val="21"/>
                <w:szCs w:val="21"/>
                <w:highlight w:val="none"/>
              </w:rPr>
            </w:pPr>
            <w:r>
              <w:rPr>
                <w:rFonts w:hint="eastAsia" w:ascii="Times New Roman" w:hAnsi="Times New Roman"/>
                <w:b/>
                <w:bCs/>
                <w:color w:val="auto"/>
                <w:sz w:val="21"/>
                <w:szCs w:val="21"/>
                <w:highlight w:val="none"/>
              </w:rPr>
              <w:t>相符性</w:t>
            </w:r>
          </w:p>
        </w:tc>
      </w:tr>
      <w:tr w14:paraId="0B72B0B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55" w:type="dxa"/>
            <w:tcBorders>
              <w:tl2br w:val="nil"/>
              <w:tr2bl w:val="nil"/>
            </w:tcBorders>
            <w:vAlign w:val="center"/>
          </w:tcPr>
          <w:p w14:paraId="2ACCFA26">
            <w:pPr>
              <w:keepNext w:val="0"/>
              <w:keepLines w:val="0"/>
              <w:pageBreakBefore w:val="0"/>
              <w:widowControl/>
              <w:numPr>
                <w:ilvl w:val="0"/>
                <w:numId w:val="15"/>
              </w:numPr>
              <w:kinsoku/>
              <w:wordWrap/>
              <w:overflowPunct/>
              <w:topLinePunct w:val="0"/>
              <w:autoSpaceDE/>
              <w:autoSpaceDN/>
              <w:bidi w:val="0"/>
              <w:adjustRightInd/>
              <w:snapToGrid/>
              <w:ind w:left="0" w:leftChars="0" w:right="0" w:firstLine="0" w:firstLineChars="0"/>
              <w:jc w:val="center"/>
              <w:textAlignment w:val="auto"/>
              <w:rPr>
                <w:rFonts w:ascii="Times New Roman" w:hAnsi="Times New Roman"/>
                <w:color w:val="auto"/>
                <w:sz w:val="21"/>
                <w:szCs w:val="21"/>
                <w:highlight w:val="none"/>
              </w:rPr>
            </w:pPr>
          </w:p>
        </w:tc>
        <w:tc>
          <w:tcPr>
            <w:tcW w:w="3655" w:type="dxa"/>
            <w:tcBorders>
              <w:tl2br w:val="nil"/>
              <w:tr2bl w:val="nil"/>
            </w:tcBorders>
            <w:vAlign w:val="center"/>
          </w:tcPr>
          <w:p w14:paraId="28E70139">
            <w:pPr>
              <w:keepNext w:val="0"/>
              <w:keepLines w:val="0"/>
              <w:pageBreakBefore w:val="0"/>
              <w:widowControl/>
              <w:kinsoku/>
              <w:wordWrap/>
              <w:overflowPunct/>
              <w:topLinePunct w:val="0"/>
              <w:autoSpaceDE/>
              <w:autoSpaceDN/>
              <w:bidi w:val="0"/>
              <w:adjustRightInd/>
              <w:snapToGrid/>
              <w:ind w:left="0" w:right="0" w:firstLine="420" w:firstLineChars="200"/>
              <w:jc w:val="both"/>
              <w:textAlignment w:val="auto"/>
              <w:rPr>
                <w:rFonts w:ascii="Times New Roman" w:hAnsi="Times New Roman"/>
                <w:color w:val="auto"/>
                <w:sz w:val="21"/>
                <w:szCs w:val="21"/>
                <w:highlight w:val="none"/>
              </w:rPr>
            </w:pPr>
            <w:r>
              <w:rPr>
                <w:rFonts w:hint="eastAsia" w:ascii="Times New Roman" w:hAnsi="Times New Roman"/>
                <w:color w:val="auto"/>
                <w:sz w:val="21"/>
                <w:szCs w:val="21"/>
                <w:highlight w:val="none"/>
              </w:rPr>
              <w:t>按“雨污分流、清污分流”的原则完善厂区污水管网和雨水管网。全厂生产废水及生活污水等所有废污水在厂内经废水收集池集中后全部排入无锡先进化药化工有限公司污水处理站预处理，达接管标准后经市政污水管网接入锡山区污水处理厂集中处理。</w:t>
            </w:r>
          </w:p>
        </w:tc>
        <w:tc>
          <w:tcPr>
            <w:tcW w:w="3563" w:type="dxa"/>
            <w:tcBorders>
              <w:tl2br w:val="nil"/>
              <w:tr2bl w:val="nil"/>
            </w:tcBorders>
            <w:vAlign w:val="center"/>
          </w:tcPr>
          <w:p w14:paraId="59769BC2">
            <w:pPr>
              <w:keepNext w:val="0"/>
              <w:keepLines w:val="0"/>
              <w:pageBreakBefore w:val="0"/>
              <w:widowControl/>
              <w:kinsoku/>
              <w:wordWrap/>
              <w:overflowPunct/>
              <w:topLinePunct w:val="0"/>
              <w:autoSpaceDE/>
              <w:autoSpaceDN/>
              <w:bidi w:val="0"/>
              <w:adjustRightInd/>
              <w:snapToGrid/>
              <w:ind w:left="0" w:right="0" w:firstLine="420" w:firstLineChars="200"/>
              <w:jc w:val="both"/>
              <w:textAlignment w:val="auto"/>
              <w:rPr>
                <w:rFonts w:ascii="Times New Roman" w:hAnsi="Times New Roman"/>
                <w:color w:val="auto"/>
                <w:sz w:val="21"/>
                <w:szCs w:val="21"/>
                <w:highlight w:val="none"/>
              </w:rPr>
            </w:pPr>
            <w:r>
              <w:rPr>
                <w:rFonts w:hint="eastAsia" w:ascii="Times New Roman" w:hAnsi="Times New Roman"/>
                <w:color w:val="auto"/>
                <w:sz w:val="21"/>
                <w:szCs w:val="21"/>
                <w:highlight w:val="none"/>
              </w:rPr>
              <w:t>企业实际建设完成后，雨污分流，全厂生产废水均作为危废处置，仅生活污水和初期雨水经收集后排入无锡先进化药化工有限公司污水处理站预处理，达接管标准后经市政污水管网接入无锡市锡山云林污水处理有限公司。</w:t>
            </w:r>
          </w:p>
        </w:tc>
        <w:tc>
          <w:tcPr>
            <w:tcW w:w="944" w:type="dxa"/>
            <w:tcBorders>
              <w:tl2br w:val="nil"/>
              <w:tr2bl w:val="nil"/>
            </w:tcBorders>
            <w:vAlign w:val="center"/>
          </w:tcPr>
          <w:p w14:paraId="07AFCBB0">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olor w:val="auto"/>
                <w:sz w:val="21"/>
                <w:szCs w:val="21"/>
                <w:highlight w:val="none"/>
              </w:rPr>
            </w:pPr>
            <w:r>
              <w:rPr>
                <w:rFonts w:hint="eastAsia" w:ascii="Times New Roman" w:hAnsi="Times New Roman"/>
                <w:color w:val="auto"/>
                <w:sz w:val="21"/>
                <w:szCs w:val="21"/>
                <w:highlight w:val="none"/>
              </w:rPr>
              <w:t>相符</w:t>
            </w:r>
          </w:p>
        </w:tc>
      </w:tr>
      <w:tr w14:paraId="1531B34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55" w:type="dxa"/>
            <w:tcBorders>
              <w:tl2br w:val="nil"/>
              <w:tr2bl w:val="nil"/>
            </w:tcBorders>
            <w:vAlign w:val="center"/>
          </w:tcPr>
          <w:p w14:paraId="0ADEC415">
            <w:pPr>
              <w:keepNext w:val="0"/>
              <w:keepLines w:val="0"/>
              <w:pageBreakBefore w:val="0"/>
              <w:widowControl/>
              <w:numPr>
                <w:ilvl w:val="0"/>
                <w:numId w:val="15"/>
              </w:numPr>
              <w:kinsoku/>
              <w:wordWrap/>
              <w:overflowPunct/>
              <w:topLinePunct w:val="0"/>
              <w:autoSpaceDE/>
              <w:autoSpaceDN/>
              <w:bidi w:val="0"/>
              <w:adjustRightInd/>
              <w:snapToGrid/>
              <w:ind w:left="0" w:leftChars="0" w:right="0" w:firstLine="0" w:firstLineChars="0"/>
              <w:jc w:val="center"/>
              <w:textAlignment w:val="auto"/>
              <w:rPr>
                <w:rFonts w:ascii="Times New Roman" w:hAnsi="Times New Roman"/>
                <w:color w:val="auto"/>
                <w:sz w:val="21"/>
                <w:szCs w:val="21"/>
                <w:highlight w:val="none"/>
              </w:rPr>
            </w:pPr>
          </w:p>
        </w:tc>
        <w:tc>
          <w:tcPr>
            <w:tcW w:w="3655" w:type="dxa"/>
            <w:tcBorders>
              <w:tl2br w:val="nil"/>
              <w:tr2bl w:val="nil"/>
            </w:tcBorders>
            <w:vAlign w:val="center"/>
          </w:tcPr>
          <w:p w14:paraId="723A632F">
            <w:pPr>
              <w:keepNext w:val="0"/>
              <w:keepLines w:val="0"/>
              <w:pageBreakBefore w:val="0"/>
              <w:widowControl/>
              <w:kinsoku/>
              <w:wordWrap/>
              <w:overflowPunct/>
              <w:topLinePunct w:val="0"/>
              <w:autoSpaceDE/>
              <w:autoSpaceDN/>
              <w:bidi w:val="0"/>
              <w:adjustRightInd/>
              <w:snapToGrid/>
              <w:ind w:left="0" w:right="0" w:firstLine="420" w:firstLineChars="200"/>
              <w:jc w:val="both"/>
              <w:textAlignment w:val="auto"/>
              <w:rPr>
                <w:rFonts w:ascii="Times New Roman" w:hAnsi="Times New Roman"/>
                <w:color w:val="auto"/>
                <w:sz w:val="21"/>
                <w:szCs w:val="21"/>
                <w:highlight w:val="none"/>
              </w:rPr>
            </w:pPr>
            <w:r>
              <w:rPr>
                <w:rFonts w:hint="eastAsia" w:ascii="Times New Roman" w:hAnsi="Times New Roman"/>
                <w:color w:val="auto"/>
                <w:sz w:val="21"/>
                <w:szCs w:val="21"/>
                <w:highlight w:val="none"/>
              </w:rPr>
              <w:t>落实“以新带老”要求，淘汰原有两台燃油锅炉，公司生产使用商品蒸汽；对原有项目的废气处理装置进行改进，新老项目所产生的各类工艺废气均经有效收集，并按报告书中提出的低温冷凝+三级碱液喷淋处理后，通过排气筒有组织排放，所排污染物执行《大气污染物综合排放标准》（GB16297-1996）表2中的二级标准。</w:t>
            </w:r>
          </w:p>
          <w:p w14:paraId="2058FD9A">
            <w:pPr>
              <w:keepNext w:val="0"/>
              <w:keepLines w:val="0"/>
              <w:pageBreakBefore w:val="0"/>
              <w:widowControl/>
              <w:kinsoku/>
              <w:wordWrap/>
              <w:overflowPunct/>
              <w:topLinePunct w:val="0"/>
              <w:autoSpaceDE/>
              <w:autoSpaceDN/>
              <w:bidi w:val="0"/>
              <w:adjustRightInd/>
              <w:snapToGrid/>
              <w:ind w:left="0" w:right="0" w:firstLine="420" w:firstLineChars="200"/>
              <w:jc w:val="both"/>
              <w:textAlignment w:val="auto"/>
              <w:rPr>
                <w:rFonts w:ascii="Times New Roman" w:hAnsi="Times New Roman"/>
                <w:color w:val="auto"/>
                <w:sz w:val="21"/>
                <w:szCs w:val="21"/>
                <w:highlight w:val="none"/>
              </w:rPr>
            </w:pPr>
            <w:r>
              <w:rPr>
                <w:rFonts w:hint="eastAsia" w:ascii="Times New Roman" w:hAnsi="Times New Roman"/>
                <w:color w:val="auto"/>
                <w:sz w:val="21"/>
                <w:szCs w:val="21"/>
                <w:highlight w:val="none"/>
              </w:rPr>
              <w:t>加强对无组织排放源的监控管理，按报告书提出的各项措施，减少全厂废气的无组织排放。各类无组织排放废气须达到《大气污染物综合排放标准》（GB16297-1996）表2中无组织排放监控浓度限值要求。</w:t>
            </w:r>
          </w:p>
        </w:tc>
        <w:tc>
          <w:tcPr>
            <w:tcW w:w="3563" w:type="dxa"/>
            <w:tcBorders>
              <w:tl2br w:val="nil"/>
              <w:tr2bl w:val="nil"/>
            </w:tcBorders>
            <w:vAlign w:val="center"/>
          </w:tcPr>
          <w:p w14:paraId="51F987E1">
            <w:pPr>
              <w:keepNext w:val="0"/>
              <w:keepLines w:val="0"/>
              <w:pageBreakBefore w:val="0"/>
              <w:widowControl/>
              <w:kinsoku/>
              <w:wordWrap/>
              <w:overflowPunct/>
              <w:topLinePunct w:val="0"/>
              <w:autoSpaceDE/>
              <w:autoSpaceDN/>
              <w:bidi w:val="0"/>
              <w:adjustRightInd/>
              <w:snapToGrid/>
              <w:ind w:left="0" w:right="0" w:firstLine="420" w:firstLineChars="200"/>
              <w:jc w:val="both"/>
              <w:textAlignment w:val="auto"/>
              <w:rPr>
                <w:rFonts w:ascii="Times New Roman" w:hAnsi="Times New Roman"/>
                <w:color w:val="auto"/>
                <w:sz w:val="21"/>
                <w:szCs w:val="21"/>
                <w:highlight w:val="none"/>
              </w:rPr>
            </w:pPr>
            <w:r>
              <w:rPr>
                <w:rFonts w:hint="eastAsia" w:ascii="Times New Roman" w:hAnsi="Times New Roman"/>
                <w:color w:val="auto"/>
                <w:sz w:val="21"/>
                <w:szCs w:val="21"/>
                <w:highlight w:val="none"/>
              </w:rPr>
              <w:t>企业已按要求淘汰燃油锅炉，改用蒸汽；废气处理设施均改造为低温冷凝+三级碱液喷淋+活性炭吸附装置，通过排气筒有组织排放；通过收集车间无组织废气后经废气处理设施处理后有组织排放，故有组织和无组织所排的污染物均达到《大气污染物综合排放标准》（GB16297-1996）表2要求。</w:t>
            </w:r>
          </w:p>
        </w:tc>
        <w:tc>
          <w:tcPr>
            <w:tcW w:w="944" w:type="dxa"/>
            <w:tcBorders>
              <w:tl2br w:val="nil"/>
              <w:tr2bl w:val="nil"/>
            </w:tcBorders>
            <w:vAlign w:val="center"/>
          </w:tcPr>
          <w:p w14:paraId="654130E9">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olor w:val="auto"/>
                <w:sz w:val="21"/>
                <w:szCs w:val="21"/>
                <w:highlight w:val="none"/>
              </w:rPr>
            </w:pPr>
            <w:r>
              <w:rPr>
                <w:rFonts w:hint="eastAsia" w:ascii="Times New Roman" w:hAnsi="Times New Roman"/>
                <w:color w:val="auto"/>
                <w:sz w:val="21"/>
                <w:szCs w:val="21"/>
                <w:highlight w:val="none"/>
              </w:rPr>
              <w:t>相符</w:t>
            </w:r>
          </w:p>
        </w:tc>
      </w:tr>
      <w:tr w14:paraId="1BF547C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55" w:type="dxa"/>
            <w:tcBorders>
              <w:tl2br w:val="nil"/>
              <w:tr2bl w:val="nil"/>
            </w:tcBorders>
            <w:vAlign w:val="center"/>
          </w:tcPr>
          <w:p w14:paraId="1A325626">
            <w:pPr>
              <w:keepNext w:val="0"/>
              <w:keepLines w:val="0"/>
              <w:pageBreakBefore w:val="0"/>
              <w:widowControl/>
              <w:numPr>
                <w:ilvl w:val="0"/>
                <w:numId w:val="15"/>
              </w:numPr>
              <w:kinsoku/>
              <w:wordWrap/>
              <w:overflowPunct/>
              <w:topLinePunct w:val="0"/>
              <w:autoSpaceDE/>
              <w:autoSpaceDN/>
              <w:bidi w:val="0"/>
              <w:adjustRightInd/>
              <w:snapToGrid/>
              <w:ind w:left="0" w:leftChars="0" w:right="0" w:firstLine="0" w:firstLineChars="0"/>
              <w:jc w:val="center"/>
              <w:textAlignment w:val="auto"/>
              <w:rPr>
                <w:rFonts w:ascii="Times New Roman" w:hAnsi="Times New Roman"/>
                <w:color w:val="auto"/>
                <w:sz w:val="21"/>
                <w:szCs w:val="21"/>
                <w:highlight w:val="none"/>
              </w:rPr>
            </w:pPr>
          </w:p>
        </w:tc>
        <w:tc>
          <w:tcPr>
            <w:tcW w:w="3655" w:type="dxa"/>
            <w:tcBorders>
              <w:tl2br w:val="nil"/>
              <w:tr2bl w:val="nil"/>
            </w:tcBorders>
            <w:vAlign w:val="center"/>
          </w:tcPr>
          <w:p w14:paraId="0BEC1D53">
            <w:pPr>
              <w:keepNext w:val="0"/>
              <w:keepLines w:val="0"/>
              <w:pageBreakBefore w:val="0"/>
              <w:widowControl/>
              <w:kinsoku/>
              <w:wordWrap/>
              <w:overflowPunct/>
              <w:topLinePunct w:val="0"/>
              <w:autoSpaceDE/>
              <w:autoSpaceDN/>
              <w:bidi w:val="0"/>
              <w:adjustRightInd/>
              <w:snapToGrid/>
              <w:ind w:left="0" w:right="0" w:firstLine="420" w:firstLineChars="200"/>
              <w:jc w:val="both"/>
              <w:textAlignment w:val="auto"/>
              <w:rPr>
                <w:rFonts w:ascii="Times New Roman" w:hAnsi="Times New Roman"/>
                <w:color w:val="auto"/>
                <w:sz w:val="21"/>
                <w:szCs w:val="21"/>
                <w:highlight w:val="none"/>
              </w:rPr>
            </w:pPr>
            <w:r>
              <w:rPr>
                <w:rFonts w:hint="eastAsia" w:ascii="Times New Roman" w:hAnsi="Times New Roman"/>
                <w:color w:val="auto"/>
                <w:sz w:val="21"/>
                <w:szCs w:val="21"/>
                <w:highlight w:val="none"/>
              </w:rPr>
              <w:t>选用低噪声设备并合理布局，采取有效的减振、隔声、消音等降噪措施，确保厂界噪声达到《工业企业厂界环境噪声排放标准》（GB12348-2008）表1中厂界外2类声环境功能区排放限值要求。</w:t>
            </w:r>
          </w:p>
        </w:tc>
        <w:tc>
          <w:tcPr>
            <w:tcW w:w="3563" w:type="dxa"/>
            <w:tcBorders>
              <w:tl2br w:val="nil"/>
              <w:tr2bl w:val="nil"/>
            </w:tcBorders>
            <w:vAlign w:val="center"/>
          </w:tcPr>
          <w:p w14:paraId="5BD00651">
            <w:pPr>
              <w:keepNext w:val="0"/>
              <w:keepLines w:val="0"/>
              <w:pageBreakBefore w:val="0"/>
              <w:widowControl/>
              <w:kinsoku/>
              <w:wordWrap/>
              <w:overflowPunct/>
              <w:topLinePunct w:val="0"/>
              <w:autoSpaceDE/>
              <w:autoSpaceDN/>
              <w:bidi w:val="0"/>
              <w:adjustRightInd/>
              <w:snapToGrid/>
              <w:ind w:left="0" w:right="0" w:firstLine="420" w:firstLineChars="200"/>
              <w:jc w:val="both"/>
              <w:textAlignment w:val="auto"/>
              <w:rPr>
                <w:rFonts w:ascii="Times New Roman" w:hAnsi="Times New Roman"/>
                <w:color w:val="auto"/>
                <w:sz w:val="21"/>
                <w:szCs w:val="21"/>
                <w:highlight w:val="none"/>
              </w:rPr>
            </w:pPr>
            <w:r>
              <w:rPr>
                <w:rFonts w:hint="eastAsia" w:ascii="Times New Roman" w:hAnsi="Times New Roman"/>
                <w:color w:val="auto"/>
                <w:sz w:val="21"/>
                <w:szCs w:val="21"/>
                <w:highlight w:val="none"/>
              </w:rPr>
              <w:t>企业选用的均为低噪声设备，并合理布局，通过隔声、消音等措施降噪，厂界噪声均可达到《工业企业厂界环境噪声排放标准》（GB12348-2008）表1中厂界外2类声环境功能区排放限值要求。</w:t>
            </w:r>
          </w:p>
        </w:tc>
        <w:tc>
          <w:tcPr>
            <w:tcW w:w="944" w:type="dxa"/>
            <w:tcBorders>
              <w:tl2br w:val="nil"/>
              <w:tr2bl w:val="nil"/>
            </w:tcBorders>
            <w:vAlign w:val="center"/>
          </w:tcPr>
          <w:p w14:paraId="220A0597">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olor w:val="auto"/>
                <w:sz w:val="21"/>
                <w:szCs w:val="21"/>
                <w:highlight w:val="none"/>
              </w:rPr>
            </w:pPr>
            <w:r>
              <w:rPr>
                <w:rFonts w:hint="eastAsia" w:ascii="Times New Roman" w:hAnsi="Times New Roman"/>
                <w:color w:val="auto"/>
                <w:sz w:val="21"/>
                <w:szCs w:val="21"/>
                <w:highlight w:val="none"/>
              </w:rPr>
              <w:t>相符</w:t>
            </w:r>
          </w:p>
        </w:tc>
      </w:tr>
      <w:tr w14:paraId="1AF976C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55" w:type="dxa"/>
            <w:tcBorders>
              <w:tl2br w:val="nil"/>
              <w:tr2bl w:val="nil"/>
            </w:tcBorders>
            <w:vAlign w:val="center"/>
          </w:tcPr>
          <w:p w14:paraId="0F78A9BF">
            <w:pPr>
              <w:keepNext w:val="0"/>
              <w:keepLines w:val="0"/>
              <w:pageBreakBefore w:val="0"/>
              <w:widowControl/>
              <w:numPr>
                <w:ilvl w:val="0"/>
                <w:numId w:val="15"/>
              </w:numPr>
              <w:kinsoku/>
              <w:wordWrap/>
              <w:overflowPunct/>
              <w:topLinePunct w:val="0"/>
              <w:autoSpaceDE/>
              <w:autoSpaceDN/>
              <w:bidi w:val="0"/>
              <w:adjustRightInd/>
              <w:snapToGrid/>
              <w:ind w:left="0" w:leftChars="0" w:right="0" w:firstLine="0" w:firstLineChars="0"/>
              <w:jc w:val="center"/>
              <w:textAlignment w:val="auto"/>
              <w:rPr>
                <w:rFonts w:ascii="Times New Roman" w:hAnsi="Times New Roman"/>
                <w:color w:val="auto"/>
                <w:sz w:val="21"/>
                <w:szCs w:val="21"/>
                <w:highlight w:val="none"/>
              </w:rPr>
            </w:pPr>
          </w:p>
        </w:tc>
        <w:tc>
          <w:tcPr>
            <w:tcW w:w="3655" w:type="dxa"/>
            <w:tcBorders>
              <w:tl2br w:val="nil"/>
              <w:tr2bl w:val="nil"/>
            </w:tcBorders>
            <w:vAlign w:val="center"/>
          </w:tcPr>
          <w:p w14:paraId="7E0A580F">
            <w:pPr>
              <w:keepNext w:val="0"/>
              <w:keepLines w:val="0"/>
              <w:pageBreakBefore w:val="0"/>
              <w:widowControl/>
              <w:kinsoku/>
              <w:wordWrap/>
              <w:overflowPunct/>
              <w:topLinePunct w:val="0"/>
              <w:autoSpaceDE/>
              <w:autoSpaceDN/>
              <w:bidi w:val="0"/>
              <w:adjustRightInd/>
              <w:snapToGrid/>
              <w:ind w:left="0" w:right="0" w:firstLine="420" w:firstLineChars="200"/>
              <w:jc w:val="both"/>
              <w:textAlignment w:val="auto"/>
              <w:rPr>
                <w:rFonts w:ascii="Times New Roman" w:hAnsi="Times New Roman"/>
                <w:color w:val="auto"/>
                <w:sz w:val="21"/>
                <w:szCs w:val="21"/>
                <w:highlight w:val="none"/>
              </w:rPr>
            </w:pPr>
            <w:r>
              <w:rPr>
                <w:rFonts w:hint="eastAsia" w:ascii="Times New Roman" w:hAnsi="Times New Roman"/>
                <w:color w:val="auto"/>
                <w:sz w:val="21"/>
                <w:szCs w:val="21"/>
                <w:highlight w:val="none"/>
              </w:rPr>
              <w:t>按“减量化、资源化、无害化”的处置原则，落实各类固体废物的收集、处置和综合利用措施，实现固体废物零排放。过滤残渣、浸润废料、废滤芯、废丁酮须按危险废物处置的要求委托有资质单位处置。厂内危险废物的收集和贮存须符合《危险废物贮存污染控制标准》（GB18597-2001）和《江苏省固体废物污染环境防治条例》的有关要求。</w:t>
            </w:r>
          </w:p>
        </w:tc>
        <w:tc>
          <w:tcPr>
            <w:tcW w:w="3563" w:type="dxa"/>
            <w:tcBorders>
              <w:tl2br w:val="nil"/>
              <w:tr2bl w:val="nil"/>
            </w:tcBorders>
            <w:vAlign w:val="center"/>
          </w:tcPr>
          <w:p w14:paraId="338FAEA6">
            <w:pPr>
              <w:keepNext w:val="0"/>
              <w:keepLines w:val="0"/>
              <w:pageBreakBefore w:val="0"/>
              <w:widowControl/>
              <w:kinsoku/>
              <w:wordWrap/>
              <w:overflowPunct/>
              <w:topLinePunct w:val="0"/>
              <w:autoSpaceDE/>
              <w:autoSpaceDN/>
              <w:bidi w:val="0"/>
              <w:adjustRightInd/>
              <w:snapToGrid/>
              <w:ind w:left="0" w:right="0" w:firstLine="420" w:firstLineChars="200"/>
              <w:jc w:val="both"/>
              <w:textAlignment w:val="auto"/>
              <w:rPr>
                <w:rFonts w:ascii="Times New Roman" w:hAnsi="Times New Roman"/>
                <w:color w:val="auto"/>
                <w:sz w:val="21"/>
                <w:szCs w:val="21"/>
                <w:highlight w:val="none"/>
              </w:rPr>
            </w:pPr>
            <w:r>
              <w:rPr>
                <w:rFonts w:hint="eastAsia" w:ascii="Times New Roman" w:hAnsi="Times New Roman"/>
                <w:color w:val="auto"/>
                <w:sz w:val="21"/>
                <w:szCs w:val="21"/>
                <w:highlight w:val="none"/>
              </w:rPr>
              <w:t>企业产生的危废包括过滤残渣、浸润废料、废滤芯、废丁酮（含废树脂）、废活性炭、废包装桶、喷淋废液，均委托有资质单位处置，厂内危废仓库和危废储罐的贮存符合《江苏省固体废物污染环境防治条例》及《省生态环境厅关于印发&lt;江苏省固体废物全过程环境监管工作意见&gt;的通知（苏环办〔2024〕16号）》的要求。</w:t>
            </w:r>
          </w:p>
        </w:tc>
        <w:tc>
          <w:tcPr>
            <w:tcW w:w="944" w:type="dxa"/>
            <w:tcBorders>
              <w:tl2br w:val="nil"/>
              <w:tr2bl w:val="nil"/>
            </w:tcBorders>
            <w:vAlign w:val="center"/>
          </w:tcPr>
          <w:p w14:paraId="02AF676E">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olor w:val="auto"/>
                <w:sz w:val="21"/>
                <w:szCs w:val="21"/>
                <w:highlight w:val="none"/>
              </w:rPr>
            </w:pPr>
            <w:r>
              <w:rPr>
                <w:rFonts w:hint="eastAsia" w:ascii="Times New Roman" w:hAnsi="Times New Roman"/>
                <w:color w:val="auto"/>
                <w:sz w:val="21"/>
                <w:szCs w:val="21"/>
                <w:highlight w:val="none"/>
              </w:rPr>
              <w:t>相符</w:t>
            </w:r>
          </w:p>
        </w:tc>
      </w:tr>
      <w:tr w14:paraId="5030F40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55" w:type="dxa"/>
            <w:tcBorders>
              <w:tl2br w:val="nil"/>
              <w:tr2bl w:val="nil"/>
            </w:tcBorders>
            <w:vAlign w:val="center"/>
          </w:tcPr>
          <w:p w14:paraId="0D6B9F21">
            <w:pPr>
              <w:keepNext w:val="0"/>
              <w:keepLines w:val="0"/>
              <w:pageBreakBefore w:val="0"/>
              <w:widowControl/>
              <w:numPr>
                <w:ilvl w:val="0"/>
                <w:numId w:val="15"/>
              </w:numPr>
              <w:kinsoku/>
              <w:wordWrap/>
              <w:overflowPunct/>
              <w:topLinePunct w:val="0"/>
              <w:autoSpaceDE/>
              <w:autoSpaceDN/>
              <w:bidi w:val="0"/>
              <w:adjustRightInd/>
              <w:snapToGrid/>
              <w:ind w:left="0" w:leftChars="0" w:right="0" w:firstLine="0" w:firstLineChars="0"/>
              <w:jc w:val="center"/>
              <w:textAlignment w:val="auto"/>
              <w:rPr>
                <w:rFonts w:ascii="Times New Roman" w:hAnsi="Times New Roman"/>
                <w:color w:val="auto"/>
                <w:sz w:val="21"/>
                <w:szCs w:val="21"/>
                <w:highlight w:val="none"/>
              </w:rPr>
            </w:pPr>
          </w:p>
        </w:tc>
        <w:tc>
          <w:tcPr>
            <w:tcW w:w="3655" w:type="dxa"/>
            <w:tcBorders>
              <w:tl2br w:val="nil"/>
              <w:tr2bl w:val="nil"/>
            </w:tcBorders>
            <w:vAlign w:val="center"/>
          </w:tcPr>
          <w:p w14:paraId="2383D5E9">
            <w:pPr>
              <w:keepNext w:val="0"/>
              <w:keepLines w:val="0"/>
              <w:pageBreakBefore w:val="0"/>
              <w:widowControl/>
              <w:kinsoku/>
              <w:wordWrap/>
              <w:overflowPunct/>
              <w:topLinePunct w:val="0"/>
              <w:autoSpaceDE/>
              <w:autoSpaceDN/>
              <w:bidi w:val="0"/>
              <w:adjustRightInd/>
              <w:snapToGrid/>
              <w:ind w:left="0" w:right="0" w:firstLine="420" w:firstLineChars="200"/>
              <w:jc w:val="both"/>
              <w:textAlignment w:val="auto"/>
              <w:rPr>
                <w:rFonts w:ascii="Times New Roman" w:hAnsi="Times New Roman"/>
                <w:color w:val="auto"/>
                <w:sz w:val="21"/>
                <w:szCs w:val="21"/>
                <w:highlight w:val="none"/>
              </w:rPr>
            </w:pPr>
            <w:r>
              <w:rPr>
                <w:rFonts w:hint="eastAsia" w:ascii="Times New Roman" w:hAnsi="Times New Roman"/>
                <w:color w:val="auto"/>
                <w:sz w:val="21"/>
                <w:szCs w:val="21"/>
                <w:highlight w:val="none"/>
              </w:rPr>
              <w:t>加强施工期环境管理，落实施工期污染防治措施，文明施工，防止、减缓施工作业对周边环境的影响。施工期噪声执行《建筑施工场界噪声限值》（GB12523-90）要求。</w:t>
            </w:r>
          </w:p>
        </w:tc>
        <w:tc>
          <w:tcPr>
            <w:tcW w:w="3563" w:type="dxa"/>
            <w:tcBorders>
              <w:tl2br w:val="nil"/>
              <w:tr2bl w:val="nil"/>
            </w:tcBorders>
            <w:vAlign w:val="center"/>
          </w:tcPr>
          <w:p w14:paraId="691554AD">
            <w:pPr>
              <w:keepNext w:val="0"/>
              <w:keepLines w:val="0"/>
              <w:pageBreakBefore w:val="0"/>
              <w:widowControl/>
              <w:kinsoku/>
              <w:wordWrap/>
              <w:overflowPunct/>
              <w:topLinePunct w:val="0"/>
              <w:autoSpaceDE/>
              <w:autoSpaceDN/>
              <w:bidi w:val="0"/>
              <w:adjustRightInd/>
              <w:snapToGrid/>
              <w:ind w:left="0" w:right="0" w:firstLine="420" w:firstLineChars="200"/>
              <w:jc w:val="both"/>
              <w:textAlignment w:val="auto"/>
              <w:rPr>
                <w:rFonts w:ascii="Times New Roman" w:hAnsi="Times New Roman"/>
                <w:color w:val="auto"/>
                <w:sz w:val="21"/>
                <w:szCs w:val="21"/>
                <w:highlight w:val="none"/>
              </w:rPr>
            </w:pPr>
            <w:r>
              <w:rPr>
                <w:rFonts w:hint="eastAsia" w:ascii="Times New Roman" w:hAnsi="Times New Roman"/>
                <w:color w:val="auto"/>
                <w:sz w:val="21"/>
                <w:szCs w:val="21"/>
                <w:highlight w:val="none"/>
              </w:rPr>
              <w:t>企业施工期间已落实污染防治措施，减少了施工作业对周边环境的影响，施工期噪声满足《建筑施工场界噪声限值》（GB12523-90）要求。</w:t>
            </w:r>
          </w:p>
        </w:tc>
        <w:tc>
          <w:tcPr>
            <w:tcW w:w="944" w:type="dxa"/>
            <w:tcBorders>
              <w:tl2br w:val="nil"/>
              <w:tr2bl w:val="nil"/>
            </w:tcBorders>
            <w:vAlign w:val="center"/>
          </w:tcPr>
          <w:p w14:paraId="13767460">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olor w:val="auto"/>
                <w:sz w:val="21"/>
                <w:szCs w:val="21"/>
                <w:highlight w:val="none"/>
              </w:rPr>
            </w:pPr>
            <w:r>
              <w:rPr>
                <w:rFonts w:hint="eastAsia" w:ascii="Times New Roman" w:hAnsi="Times New Roman"/>
                <w:color w:val="auto"/>
                <w:sz w:val="21"/>
                <w:szCs w:val="21"/>
                <w:highlight w:val="none"/>
              </w:rPr>
              <w:t>相符</w:t>
            </w:r>
          </w:p>
        </w:tc>
      </w:tr>
      <w:tr w14:paraId="6943736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55" w:type="dxa"/>
            <w:tcBorders>
              <w:tl2br w:val="nil"/>
              <w:tr2bl w:val="nil"/>
            </w:tcBorders>
            <w:vAlign w:val="center"/>
          </w:tcPr>
          <w:p w14:paraId="49BAB1FF">
            <w:pPr>
              <w:keepNext w:val="0"/>
              <w:keepLines w:val="0"/>
              <w:pageBreakBefore w:val="0"/>
              <w:widowControl/>
              <w:numPr>
                <w:ilvl w:val="0"/>
                <w:numId w:val="15"/>
              </w:numPr>
              <w:kinsoku/>
              <w:wordWrap/>
              <w:overflowPunct/>
              <w:topLinePunct w:val="0"/>
              <w:autoSpaceDE/>
              <w:autoSpaceDN/>
              <w:bidi w:val="0"/>
              <w:adjustRightInd/>
              <w:snapToGrid/>
              <w:ind w:left="0" w:leftChars="0" w:right="0" w:firstLine="0" w:firstLineChars="0"/>
              <w:jc w:val="center"/>
              <w:textAlignment w:val="auto"/>
              <w:rPr>
                <w:rFonts w:ascii="Times New Roman" w:hAnsi="Times New Roman"/>
                <w:color w:val="auto"/>
                <w:sz w:val="21"/>
                <w:szCs w:val="21"/>
                <w:highlight w:val="none"/>
              </w:rPr>
            </w:pPr>
          </w:p>
        </w:tc>
        <w:tc>
          <w:tcPr>
            <w:tcW w:w="3655" w:type="dxa"/>
            <w:tcBorders>
              <w:tl2br w:val="nil"/>
              <w:tr2bl w:val="nil"/>
            </w:tcBorders>
            <w:vAlign w:val="center"/>
          </w:tcPr>
          <w:p w14:paraId="11E9C8AE">
            <w:pPr>
              <w:keepNext w:val="0"/>
              <w:keepLines w:val="0"/>
              <w:pageBreakBefore w:val="0"/>
              <w:widowControl/>
              <w:kinsoku/>
              <w:wordWrap/>
              <w:overflowPunct/>
              <w:topLinePunct w:val="0"/>
              <w:autoSpaceDE/>
              <w:autoSpaceDN/>
              <w:bidi w:val="0"/>
              <w:adjustRightInd/>
              <w:snapToGrid/>
              <w:ind w:left="0" w:right="0" w:firstLine="420" w:firstLineChars="200"/>
              <w:jc w:val="both"/>
              <w:textAlignment w:val="auto"/>
              <w:rPr>
                <w:rFonts w:ascii="Times New Roman" w:hAnsi="Times New Roman"/>
                <w:color w:val="auto"/>
                <w:sz w:val="21"/>
                <w:szCs w:val="21"/>
                <w:highlight w:val="none"/>
              </w:rPr>
            </w:pPr>
            <w:r>
              <w:rPr>
                <w:rFonts w:hint="eastAsia" w:ascii="Times New Roman" w:hAnsi="Times New Roman"/>
                <w:color w:val="auto"/>
                <w:sz w:val="21"/>
                <w:szCs w:val="21"/>
                <w:highlight w:val="none"/>
              </w:rPr>
              <w:t>按《江苏省排污口设置及规范化整治管理办法》（苏环控［1997］122号）的要求规范化设置各类排污口和标识。全厂不设废水排放口，排气筒须设置永久性测试采样孔和采样平台。</w:t>
            </w:r>
          </w:p>
        </w:tc>
        <w:tc>
          <w:tcPr>
            <w:tcW w:w="3563" w:type="dxa"/>
            <w:tcBorders>
              <w:tl2br w:val="nil"/>
              <w:tr2bl w:val="nil"/>
            </w:tcBorders>
            <w:vAlign w:val="center"/>
          </w:tcPr>
          <w:p w14:paraId="690753E9">
            <w:pPr>
              <w:keepNext w:val="0"/>
              <w:keepLines w:val="0"/>
              <w:pageBreakBefore w:val="0"/>
              <w:widowControl/>
              <w:kinsoku/>
              <w:wordWrap/>
              <w:overflowPunct/>
              <w:topLinePunct w:val="0"/>
              <w:autoSpaceDE/>
              <w:autoSpaceDN/>
              <w:bidi w:val="0"/>
              <w:adjustRightInd/>
              <w:snapToGrid/>
              <w:ind w:left="0" w:right="0" w:firstLine="420" w:firstLineChars="200"/>
              <w:jc w:val="both"/>
              <w:textAlignment w:val="auto"/>
              <w:rPr>
                <w:rFonts w:ascii="Times New Roman" w:hAnsi="Times New Roman"/>
                <w:color w:val="auto"/>
                <w:sz w:val="21"/>
                <w:szCs w:val="21"/>
                <w:highlight w:val="none"/>
              </w:rPr>
            </w:pPr>
            <w:r>
              <w:rPr>
                <w:rFonts w:hint="eastAsia" w:ascii="Times New Roman" w:hAnsi="Times New Roman"/>
                <w:color w:val="auto"/>
                <w:sz w:val="21"/>
                <w:szCs w:val="21"/>
                <w:highlight w:val="none"/>
              </w:rPr>
              <w:t>企业已按《江苏省排污口设置及规范化整治管理办法》（苏环控［1997］122号）的要求规范化设置各类排污口和标识。排气筒设置了永久性测试采样孔和采样平台。</w:t>
            </w:r>
          </w:p>
        </w:tc>
        <w:tc>
          <w:tcPr>
            <w:tcW w:w="944" w:type="dxa"/>
            <w:tcBorders>
              <w:tl2br w:val="nil"/>
              <w:tr2bl w:val="nil"/>
            </w:tcBorders>
            <w:vAlign w:val="center"/>
          </w:tcPr>
          <w:p w14:paraId="71DA0AF7">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olor w:val="auto"/>
                <w:sz w:val="21"/>
                <w:szCs w:val="21"/>
                <w:highlight w:val="none"/>
              </w:rPr>
            </w:pPr>
            <w:r>
              <w:rPr>
                <w:rFonts w:hint="eastAsia" w:ascii="Times New Roman" w:hAnsi="Times New Roman"/>
                <w:color w:val="auto"/>
                <w:sz w:val="21"/>
                <w:szCs w:val="21"/>
                <w:highlight w:val="none"/>
              </w:rPr>
              <w:t>相符</w:t>
            </w:r>
          </w:p>
        </w:tc>
      </w:tr>
      <w:tr w14:paraId="4BE1910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55" w:type="dxa"/>
            <w:tcBorders>
              <w:tl2br w:val="nil"/>
              <w:tr2bl w:val="nil"/>
            </w:tcBorders>
            <w:vAlign w:val="center"/>
          </w:tcPr>
          <w:p w14:paraId="547966D8">
            <w:pPr>
              <w:keepNext w:val="0"/>
              <w:keepLines w:val="0"/>
              <w:pageBreakBefore w:val="0"/>
              <w:widowControl/>
              <w:numPr>
                <w:ilvl w:val="0"/>
                <w:numId w:val="15"/>
              </w:numPr>
              <w:kinsoku/>
              <w:wordWrap/>
              <w:overflowPunct/>
              <w:topLinePunct w:val="0"/>
              <w:autoSpaceDE/>
              <w:autoSpaceDN/>
              <w:bidi w:val="0"/>
              <w:adjustRightInd/>
              <w:snapToGrid/>
              <w:ind w:left="0" w:leftChars="0" w:right="0" w:firstLine="0" w:firstLineChars="0"/>
              <w:jc w:val="center"/>
              <w:textAlignment w:val="auto"/>
              <w:rPr>
                <w:rFonts w:ascii="Times New Roman" w:hAnsi="Times New Roman"/>
                <w:color w:val="auto"/>
                <w:sz w:val="21"/>
                <w:szCs w:val="21"/>
                <w:highlight w:val="none"/>
              </w:rPr>
            </w:pPr>
          </w:p>
        </w:tc>
        <w:tc>
          <w:tcPr>
            <w:tcW w:w="3655" w:type="dxa"/>
            <w:tcBorders>
              <w:tl2br w:val="nil"/>
              <w:tr2bl w:val="nil"/>
            </w:tcBorders>
            <w:vAlign w:val="center"/>
          </w:tcPr>
          <w:p w14:paraId="3AB83C5C">
            <w:pPr>
              <w:keepNext w:val="0"/>
              <w:keepLines w:val="0"/>
              <w:pageBreakBefore w:val="0"/>
              <w:widowControl/>
              <w:kinsoku/>
              <w:wordWrap/>
              <w:overflowPunct/>
              <w:topLinePunct w:val="0"/>
              <w:autoSpaceDE/>
              <w:autoSpaceDN/>
              <w:bidi w:val="0"/>
              <w:adjustRightInd/>
              <w:snapToGrid/>
              <w:ind w:left="0" w:right="0" w:firstLine="420" w:firstLineChars="200"/>
              <w:jc w:val="both"/>
              <w:textAlignment w:val="auto"/>
              <w:rPr>
                <w:rFonts w:ascii="Times New Roman" w:hAnsi="Times New Roman"/>
                <w:color w:val="auto"/>
                <w:sz w:val="21"/>
                <w:szCs w:val="21"/>
                <w:highlight w:val="none"/>
              </w:rPr>
            </w:pPr>
            <w:r>
              <w:rPr>
                <w:rFonts w:hint="eastAsia" w:ascii="Times New Roman" w:hAnsi="Times New Roman"/>
                <w:color w:val="auto"/>
                <w:sz w:val="21"/>
                <w:szCs w:val="21"/>
                <w:highlight w:val="none"/>
              </w:rPr>
              <w:t>报告书设置环氧丙烯酸树脂收罐车间、丙烯酸酯组成物收罐车间卫生防护距离为100米、丁酮储罐区卫生防护距离为50米，上述卫生防护距离内不得设置环境敏感目标。</w:t>
            </w:r>
          </w:p>
        </w:tc>
        <w:tc>
          <w:tcPr>
            <w:tcW w:w="3563" w:type="dxa"/>
            <w:tcBorders>
              <w:tl2br w:val="nil"/>
              <w:tr2bl w:val="nil"/>
            </w:tcBorders>
            <w:vAlign w:val="center"/>
          </w:tcPr>
          <w:p w14:paraId="53F288F6">
            <w:pPr>
              <w:keepNext w:val="0"/>
              <w:keepLines w:val="0"/>
              <w:pageBreakBefore w:val="0"/>
              <w:widowControl/>
              <w:kinsoku/>
              <w:wordWrap/>
              <w:overflowPunct/>
              <w:topLinePunct w:val="0"/>
              <w:autoSpaceDE/>
              <w:autoSpaceDN/>
              <w:bidi w:val="0"/>
              <w:adjustRightInd/>
              <w:snapToGrid/>
              <w:ind w:left="0" w:right="0" w:firstLine="420" w:firstLineChars="200"/>
              <w:jc w:val="both"/>
              <w:textAlignment w:val="auto"/>
              <w:rPr>
                <w:rFonts w:ascii="Times New Roman" w:hAnsi="Times New Roman"/>
                <w:color w:val="auto"/>
                <w:sz w:val="21"/>
                <w:szCs w:val="21"/>
                <w:highlight w:val="none"/>
              </w:rPr>
            </w:pPr>
            <w:r>
              <w:rPr>
                <w:rFonts w:hint="eastAsia" w:ascii="Times New Roman" w:hAnsi="Times New Roman"/>
                <w:color w:val="auto"/>
                <w:sz w:val="21"/>
                <w:szCs w:val="21"/>
                <w:highlight w:val="none"/>
              </w:rPr>
              <w:t>根据现场踏勘情况，环氧丙烯酸树脂收罐车间、丙烯酸酯组成物收罐车间外100米卫生防护距离和丁酮储罐区外50米卫生防护距离围成的包络线范围内物环境敏感目标。</w:t>
            </w:r>
          </w:p>
        </w:tc>
        <w:tc>
          <w:tcPr>
            <w:tcW w:w="944" w:type="dxa"/>
            <w:tcBorders>
              <w:tl2br w:val="nil"/>
              <w:tr2bl w:val="nil"/>
            </w:tcBorders>
            <w:vAlign w:val="center"/>
          </w:tcPr>
          <w:p w14:paraId="604CBEC7">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olor w:val="auto"/>
                <w:sz w:val="21"/>
                <w:szCs w:val="21"/>
                <w:highlight w:val="none"/>
              </w:rPr>
            </w:pPr>
            <w:r>
              <w:rPr>
                <w:rFonts w:hint="eastAsia" w:ascii="Times New Roman" w:hAnsi="Times New Roman"/>
                <w:color w:val="auto"/>
                <w:sz w:val="21"/>
                <w:szCs w:val="21"/>
                <w:highlight w:val="none"/>
              </w:rPr>
              <w:t>相符</w:t>
            </w:r>
          </w:p>
        </w:tc>
      </w:tr>
      <w:tr w14:paraId="7E1F64B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55" w:type="dxa"/>
            <w:tcBorders>
              <w:tl2br w:val="nil"/>
              <w:tr2bl w:val="nil"/>
            </w:tcBorders>
            <w:vAlign w:val="center"/>
          </w:tcPr>
          <w:p w14:paraId="655728CA">
            <w:pPr>
              <w:keepNext w:val="0"/>
              <w:keepLines w:val="0"/>
              <w:pageBreakBefore w:val="0"/>
              <w:widowControl/>
              <w:numPr>
                <w:ilvl w:val="0"/>
                <w:numId w:val="15"/>
              </w:numPr>
              <w:kinsoku/>
              <w:wordWrap/>
              <w:overflowPunct/>
              <w:topLinePunct w:val="0"/>
              <w:autoSpaceDE/>
              <w:autoSpaceDN/>
              <w:bidi w:val="0"/>
              <w:adjustRightInd/>
              <w:snapToGrid/>
              <w:ind w:left="0" w:leftChars="0" w:right="0" w:firstLine="0" w:firstLineChars="0"/>
              <w:jc w:val="center"/>
              <w:textAlignment w:val="auto"/>
              <w:rPr>
                <w:rFonts w:ascii="Times New Roman" w:hAnsi="Times New Roman"/>
                <w:color w:val="auto"/>
                <w:sz w:val="21"/>
                <w:szCs w:val="21"/>
                <w:highlight w:val="none"/>
              </w:rPr>
            </w:pPr>
          </w:p>
        </w:tc>
        <w:tc>
          <w:tcPr>
            <w:tcW w:w="3655" w:type="dxa"/>
            <w:tcBorders>
              <w:tl2br w:val="nil"/>
              <w:tr2bl w:val="nil"/>
            </w:tcBorders>
            <w:vAlign w:val="center"/>
          </w:tcPr>
          <w:p w14:paraId="467B51BE">
            <w:pPr>
              <w:keepNext w:val="0"/>
              <w:keepLines w:val="0"/>
              <w:pageBreakBefore w:val="0"/>
              <w:widowControl/>
              <w:kinsoku/>
              <w:wordWrap/>
              <w:overflowPunct/>
              <w:topLinePunct w:val="0"/>
              <w:autoSpaceDE/>
              <w:autoSpaceDN/>
              <w:bidi w:val="0"/>
              <w:adjustRightInd/>
              <w:snapToGrid/>
              <w:ind w:left="0" w:right="0" w:firstLine="420" w:firstLineChars="200"/>
              <w:jc w:val="both"/>
              <w:textAlignment w:val="auto"/>
              <w:rPr>
                <w:rFonts w:ascii="Times New Roman" w:hAnsi="Times New Roman"/>
                <w:color w:val="auto"/>
                <w:sz w:val="21"/>
                <w:szCs w:val="21"/>
                <w:highlight w:val="none"/>
              </w:rPr>
            </w:pPr>
            <w:r>
              <w:rPr>
                <w:rFonts w:hint="eastAsia" w:ascii="Times New Roman" w:hAnsi="Times New Roman"/>
                <w:color w:val="auto"/>
                <w:sz w:val="21"/>
                <w:szCs w:val="21"/>
                <w:highlight w:val="none"/>
              </w:rPr>
              <w:t>三、加强环境管理，严格落实报告书环境风险评价篇章中的应急预案和事故防范、减缓措施，防止污染治理设施、生产过程、化学品储运过程中污染事故的发生。</w:t>
            </w:r>
          </w:p>
          <w:p w14:paraId="259F96DA">
            <w:pPr>
              <w:keepNext w:val="0"/>
              <w:keepLines w:val="0"/>
              <w:pageBreakBefore w:val="0"/>
              <w:widowControl/>
              <w:kinsoku/>
              <w:wordWrap/>
              <w:overflowPunct/>
              <w:topLinePunct w:val="0"/>
              <w:autoSpaceDE/>
              <w:autoSpaceDN/>
              <w:bidi w:val="0"/>
              <w:adjustRightInd/>
              <w:snapToGrid/>
              <w:ind w:left="0" w:right="0" w:firstLine="420" w:firstLineChars="200"/>
              <w:jc w:val="both"/>
              <w:textAlignment w:val="auto"/>
              <w:rPr>
                <w:rFonts w:ascii="Times New Roman" w:hAnsi="Times New Roman"/>
                <w:color w:val="auto"/>
                <w:sz w:val="21"/>
                <w:szCs w:val="21"/>
                <w:highlight w:val="none"/>
              </w:rPr>
            </w:pPr>
            <w:r>
              <w:rPr>
                <w:rFonts w:hint="eastAsia" w:ascii="Times New Roman" w:hAnsi="Times New Roman"/>
                <w:color w:val="auto"/>
                <w:sz w:val="21"/>
                <w:szCs w:val="21"/>
                <w:highlight w:val="none"/>
              </w:rPr>
              <w:t>在化学品贮存区和使用该类化学品的生产装置周边设置应对物料泄漏等事故的截流沟或围堰。危险化学品的储存和使用区应安装泄漏检测报警装置，危化品仓库的管理和投运应按报告书和锡山区环保局相关要求落实。厂内设置容积足够的事故应急池和消防水收集池，防止泄漏物料、消防排水及初期雨水外排。如发现化学品或生产废水等污染物泄漏入外界水体，必须立即启动应急预案并报所在地环保局。</w:t>
            </w:r>
          </w:p>
        </w:tc>
        <w:tc>
          <w:tcPr>
            <w:tcW w:w="3563" w:type="dxa"/>
            <w:tcBorders>
              <w:tl2br w:val="nil"/>
              <w:tr2bl w:val="nil"/>
            </w:tcBorders>
            <w:vAlign w:val="center"/>
          </w:tcPr>
          <w:p w14:paraId="6F0B2E0A">
            <w:pPr>
              <w:keepNext w:val="0"/>
              <w:keepLines w:val="0"/>
              <w:pageBreakBefore w:val="0"/>
              <w:widowControl/>
              <w:kinsoku/>
              <w:wordWrap/>
              <w:overflowPunct/>
              <w:topLinePunct w:val="0"/>
              <w:autoSpaceDE/>
              <w:autoSpaceDN/>
              <w:bidi w:val="0"/>
              <w:adjustRightInd/>
              <w:snapToGrid/>
              <w:ind w:left="0" w:right="0" w:firstLine="420" w:firstLineChars="200"/>
              <w:jc w:val="both"/>
              <w:textAlignment w:val="auto"/>
              <w:rPr>
                <w:rFonts w:ascii="Times New Roman" w:hAnsi="Times New Roman"/>
                <w:color w:val="auto"/>
                <w:sz w:val="21"/>
                <w:szCs w:val="21"/>
                <w:highlight w:val="none"/>
              </w:rPr>
            </w:pPr>
            <w:r>
              <w:rPr>
                <w:rFonts w:hint="eastAsia" w:ascii="Times New Roman" w:hAnsi="Times New Roman"/>
                <w:color w:val="auto"/>
                <w:sz w:val="21"/>
                <w:szCs w:val="21"/>
                <w:highlight w:val="none"/>
              </w:rPr>
              <w:t>企业已编制了突发环境事件应急预案并完成备案（备案号：320205-2023-082-H），并设置了事故防范、减缓措施：企业在储罐区设置围堰、危废库设置截流沟和收集池，全厂设置了540m</w:t>
            </w:r>
            <w:r>
              <w:rPr>
                <w:rFonts w:hint="eastAsia" w:ascii="Times New Roman" w:hAnsi="Times New Roman"/>
                <w:color w:val="auto"/>
                <w:sz w:val="21"/>
                <w:szCs w:val="21"/>
                <w:highlight w:val="none"/>
                <w:vertAlign w:val="superscript"/>
              </w:rPr>
              <w:t>3</w:t>
            </w:r>
            <w:r>
              <w:rPr>
                <w:rFonts w:hint="eastAsia" w:ascii="Times New Roman" w:hAnsi="Times New Roman"/>
                <w:color w:val="auto"/>
                <w:sz w:val="21"/>
                <w:szCs w:val="21"/>
                <w:highlight w:val="none"/>
              </w:rPr>
              <w:t>的事故应急池和2m</w:t>
            </w:r>
            <w:r>
              <w:rPr>
                <w:rFonts w:hint="eastAsia" w:ascii="Times New Roman" w:hAnsi="Times New Roman"/>
                <w:color w:val="auto"/>
                <w:sz w:val="21"/>
                <w:szCs w:val="21"/>
                <w:highlight w:val="none"/>
                <w:vertAlign w:val="superscript"/>
              </w:rPr>
              <w:t>3</w:t>
            </w:r>
            <w:r>
              <w:rPr>
                <w:rFonts w:hint="eastAsia" w:ascii="Times New Roman" w:hAnsi="Times New Roman"/>
                <w:color w:val="auto"/>
                <w:sz w:val="21"/>
                <w:szCs w:val="21"/>
                <w:highlight w:val="none"/>
              </w:rPr>
              <w:t>初期雨水池，收集事故废水和初期雨水，容量符合相关要求；危化品仓库已安装泄漏检测报警装置</w:t>
            </w:r>
            <w:r>
              <w:rPr>
                <w:rFonts w:hint="eastAsia" w:ascii="Times New Roman" w:hAnsi="Times New Roman"/>
                <w:color w:val="auto"/>
                <w:sz w:val="21"/>
                <w:szCs w:val="21"/>
                <w:highlight w:val="none"/>
                <w:lang w:eastAsia="zh-CN"/>
              </w:rPr>
              <w:t>，</w:t>
            </w:r>
            <w:r>
              <w:rPr>
                <w:rFonts w:hint="eastAsia" w:ascii="Times New Roman" w:hAnsi="Times New Roman"/>
                <w:color w:val="auto"/>
                <w:sz w:val="21"/>
                <w:szCs w:val="21"/>
                <w:highlight w:val="none"/>
                <w:lang w:val="en-US" w:eastAsia="zh-CN"/>
              </w:rPr>
              <w:t>并设置截流沟和收集池</w:t>
            </w:r>
            <w:r>
              <w:rPr>
                <w:rFonts w:hint="eastAsia" w:ascii="Times New Roman" w:hAnsi="Times New Roman"/>
                <w:color w:val="auto"/>
                <w:sz w:val="21"/>
                <w:szCs w:val="21"/>
                <w:highlight w:val="none"/>
              </w:rPr>
              <w:t>。</w:t>
            </w:r>
          </w:p>
        </w:tc>
        <w:tc>
          <w:tcPr>
            <w:tcW w:w="944" w:type="dxa"/>
            <w:tcBorders>
              <w:tl2br w:val="nil"/>
              <w:tr2bl w:val="nil"/>
            </w:tcBorders>
            <w:vAlign w:val="center"/>
          </w:tcPr>
          <w:p w14:paraId="342FAAD8">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olor w:val="auto"/>
                <w:sz w:val="21"/>
                <w:szCs w:val="21"/>
                <w:highlight w:val="none"/>
              </w:rPr>
            </w:pPr>
            <w:r>
              <w:rPr>
                <w:rFonts w:hint="eastAsia" w:ascii="Times New Roman" w:hAnsi="Times New Roman"/>
                <w:color w:val="auto"/>
                <w:sz w:val="21"/>
                <w:szCs w:val="21"/>
                <w:highlight w:val="none"/>
              </w:rPr>
              <w:t>相符</w:t>
            </w:r>
          </w:p>
        </w:tc>
      </w:tr>
      <w:tr w14:paraId="0F32FF8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55" w:type="dxa"/>
            <w:tcBorders>
              <w:tl2br w:val="nil"/>
              <w:tr2bl w:val="nil"/>
            </w:tcBorders>
            <w:vAlign w:val="center"/>
          </w:tcPr>
          <w:p w14:paraId="4C443C08">
            <w:pPr>
              <w:keepNext w:val="0"/>
              <w:keepLines w:val="0"/>
              <w:pageBreakBefore w:val="0"/>
              <w:widowControl/>
              <w:numPr>
                <w:ilvl w:val="0"/>
                <w:numId w:val="15"/>
              </w:numPr>
              <w:kinsoku/>
              <w:wordWrap/>
              <w:overflowPunct/>
              <w:topLinePunct w:val="0"/>
              <w:autoSpaceDE/>
              <w:autoSpaceDN/>
              <w:bidi w:val="0"/>
              <w:adjustRightInd/>
              <w:snapToGrid/>
              <w:ind w:left="0" w:leftChars="0" w:right="0" w:firstLine="0" w:firstLineChars="0"/>
              <w:jc w:val="center"/>
              <w:textAlignment w:val="auto"/>
              <w:rPr>
                <w:rFonts w:ascii="Times New Roman" w:hAnsi="Times New Roman"/>
                <w:color w:val="auto"/>
                <w:sz w:val="21"/>
                <w:szCs w:val="21"/>
                <w:highlight w:val="none"/>
              </w:rPr>
            </w:pPr>
          </w:p>
        </w:tc>
        <w:tc>
          <w:tcPr>
            <w:tcW w:w="3655" w:type="dxa"/>
            <w:tcBorders>
              <w:tl2br w:val="nil"/>
              <w:tr2bl w:val="nil"/>
            </w:tcBorders>
            <w:vAlign w:val="center"/>
          </w:tcPr>
          <w:p w14:paraId="2D0C7C6D">
            <w:pPr>
              <w:keepNext w:val="0"/>
              <w:keepLines w:val="0"/>
              <w:pageBreakBefore w:val="0"/>
              <w:widowControl/>
              <w:kinsoku/>
              <w:wordWrap/>
              <w:overflowPunct/>
              <w:topLinePunct w:val="0"/>
              <w:autoSpaceDE/>
              <w:autoSpaceDN/>
              <w:bidi w:val="0"/>
              <w:adjustRightInd/>
              <w:snapToGrid/>
              <w:ind w:left="0" w:right="0" w:firstLine="420" w:firstLineChars="200"/>
              <w:jc w:val="both"/>
              <w:textAlignment w:val="auto"/>
              <w:rPr>
                <w:rFonts w:ascii="Times New Roman" w:hAnsi="Times New Roman"/>
                <w:color w:val="auto"/>
                <w:sz w:val="21"/>
                <w:szCs w:val="21"/>
                <w:highlight w:val="none"/>
              </w:rPr>
            </w:pPr>
            <w:r>
              <w:rPr>
                <w:rFonts w:hint="eastAsia" w:ascii="Times New Roman" w:hAnsi="Times New Roman"/>
                <w:color w:val="auto"/>
                <w:sz w:val="21"/>
                <w:szCs w:val="21"/>
                <w:highlight w:val="none"/>
              </w:rPr>
              <w:t>四、本项目正式投产后，全厂污染物排放考核量不得突破“建设项目排放污染物指标申请表”核定的限值，其中：</w:t>
            </w:r>
          </w:p>
          <w:p w14:paraId="1BEBE9F7">
            <w:pPr>
              <w:keepNext w:val="0"/>
              <w:keepLines w:val="0"/>
              <w:pageBreakBefore w:val="0"/>
              <w:widowControl/>
              <w:kinsoku/>
              <w:wordWrap/>
              <w:overflowPunct/>
              <w:topLinePunct w:val="0"/>
              <w:autoSpaceDE/>
              <w:autoSpaceDN/>
              <w:bidi w:val="0"/>
              <w:adjustRightInd/>
              <w:snapToGrid/>
              <w:ind w:left="0" w:right="0" w:firstLine="420" w:firstLineChars="200"/>
              <w:jc w:val="both"/>
              <w:textAlignment w:val="auto"/>
              <w:rPr>
                <w:rFonts w:ascii="Times New Roman" w:hAnsi="Times New Roman"/>
                <w:color w:val="auto"/>
                <w:sz w:val="21"/>
                <w:szCs w:val="21"/>
                <w:highlight w:val="none"/>
              </w:rPr>
            </w:pPr>
            <w:r>
              <w:rPr>
                <w:rFonts w:hint="eastAsia" w:ascii="Times New Roman" w:hAnsi="Times New Roman"/>
                <w:color w:val="auto"/>
                <w:sz w:val="21"/>
                <w:szCs w:val="21"/>
                <w:highlight w:val="none"/>
              </w:rPr>
              <w:t>污水接管考核量：水量≤4300吨/年（12.3吨/日）、COD≤0.65吨/年、SS≤0.268吨/年、NH</w:t>
            </w:r>
            <w:r>
              <w:rPr>
                <w:rFonts w:hint="eastAsia" w:ascii="Times New Roman" w:hAnsi="Times New Roman"/>
                <w:color w:val="auto"/>
                <w:sz w:val="21"/>
                <w:szCs w:val="21"/>
                <w:highlight w:val="none"/>
                <w:vertAlign w:val="subscript"/>
              </w:rPr>
              <w:t>3</w:t>
            </w:r>
            <w:r>
              <w:rPr>
                <w:rFonts w:hint="eastAsia" w:ascii="Times New Roman" w:hAnsi="Times New Roman"/>
                <w:color w:val="auto"/>
                <w:sz w:val="21"/>
                <w:szCs w:val="21"/>
                <w:highlight w:val="none"/>
              </w:rPr>
              <w:t>-N（生活）≤0.06吨/年、TP（生活）≤0.004吨/年、TN（生活）≤0.1188吨/年、石油类≤0.0135吨/年。</w:t>
            </w:r>
          </w:p>
          <w:p w14:paraId="6529557D">
            <w:pPr>
              <w:keepNext w:val="0"/>
              <w:keepLines w:val="0"/>
              <w:pageBreakBefore w:val="0"/>
              <w:widowControl/>
              <w:kinsoku/>
              <w:wordWrap/>
              <w:overflowPunct/>
              <w:topLinePunct w:val="0"/>
              <w:autoSpaceDE/>
              <w:autoSpaceDN/>
              <w:bidi w:val="0"/>
              <w:adjustRightInd/>
              <w:snapToGrid/>
              <w:ind w:left="0" w:right="0" w:firstLine="420" w:firstLineChars="200"/>
              <w:jc w:val="both"/>
              <w:textAlignment w:val="auto"/>
              <w:rPr>
                <w:rFonts w:ascii="Times New Roman" w:hAnsi="Times New Roman"/>
                <w:color w:val="auto"/>
                <w:sz w:val="21"/>
                <w:szCs w:val="21"/>
                <w:highlight w:val="none"/>
              </w:rPr>
            </w:pPr>
            <w:r>
              <w:rPr>
                <w:rFonts w:hint="eastAsia" w:ascii="Times New Roman" w:hAnsi="Times New Roman"/>
                <w:color w:val="auto"/>
                <w:sz w:val="21"/>
                <w:szCs w:val="21"/>
                <w:highlight w:val="none"/>
              </w:rPr>
              <w:t>有组织排放大气污染物：非甲烷总烃≤0.667吨/年。</w:t>
            </w:r>
          </w:p>
          <w:p w14:paraId="380DE486">
            <w:pPr>
              <w:keepNext w:val="0"/>
              <w:keepLines w:val="0"/>
              <w:pageBreakBefore w:val="0"/>
              <w:widowControl/>
              <w:kinsoku/>
              <w:wordWrap/>
              <w:overflowPunct/>
              <w:topLinePunct w:val="0"/>
              <w:autoSpaceDE/>
              <w:autoSpaceDN/>
              <w:bidi w:val="0"/>
              <w:adjustRightInd/>
              <w:snapToGrid/>
              <w:ind w:left="0" w:right="0" w:firstLine="420" w:firstLineChars="200"/>
              <w:jc w:val="both"/>
              <w:textAlignment w:val="auto"/>
              <w:rPr>
                <w:rFonts w:ascii="Times New Roman" w:hAnsi="Times New Roman"/>
                <w:color w:val="auto"/>
                <w:sz w:val="21"/>
                <w:szCs w:val="21"/>
                <w:highlight w:val="none"/>
              </w:rPr>
            </w:pPr>
            <w:r>
              <w:rPr>
                <w:rFonts w:hint="eastAsia" w:ascii="Times New Roman" w:hAnsi="Times New Roman"/>
                <w:color w:val="auto"/>
                <w:sz w:val="21"/>
                <w:szCs w:val="21"/>
                <w:highlight w:val="none"/>
              </w:rPr>
              <w:t>固体废物：“零排放”。</w:t>
            </w:r>
          </w:p>
        </w:tc>
        <w:tc>
          <w:tcPr>
            <w:tcW w:w="3563" w:type="dxa"/>
            <w:tcBorders>
              <w:tl2br w:val="nil"/>
              <w:tr2bl w:val="nil"/>
            </w:tcBorders>
            <w:vAlign w:val="center"/>
          </w:tcPr>
          <w:p w14:paraId="23EB7EAA">
            <w:pPr>
              <w:keepNext w:val="0"/>
              <w:keepLines w:val="0"/>
              <w:pageBreakBefore w:val="0"/>
              <w:widowControl/>
              <w:kinsoku/>
              <w:wordWrap/>
              <w:overflowPunct/>
              <w:topLinePunct w:val="0"/>
              <w:autoSpaceDE/>
              <w:autoSpaceDN/>
              <w:bidi w:val="0"/>
              <w:adjustRightInd/>
              <w:snapToGrid/>
              <w:ind w:left="0" w:right="0" w:firstLine="420" w:firstLineChars="200"/>
              <w:jc w:val="both"/>
              <w:textAlignment w:val="auto"/>
              <w:rPr>
                <w:rFonts w:hint="default" w:ascii="Times New Roman" w:hAnsi="Times New Roman" w:eastAsia="宋体"/>
                <w:color w:val="auto"/>
                <w:sz w:val="21"/>
                <w:szCs w:val="21"/>
                <w:highlight w:val="none"/>
                <w:lang w:val="en-US" w:eastAsia="zh-CN"/>
              </w:rPr>
            </w:pPr>
            <w:r>
              <w:rPr>
                <w:rFonts w:hint="eastAsia" w:ascii="Times New Roman" w:hAnsi="Times New Roman"/>
                <w:color w:val="auto"/>
                <w:sz w:val="21"/>
                <w:szCs w:val="21"/>
                <w:highlight w:val="none"/>
                <w:lang w:val="en-US" w:eastAsia="zh-CN"/>
              </w:rPr>
              <w:t>根据企业2023年排污许可执行报告年报，企业大气污染物非甲烷总烃排放量超过环评批复量，水污染物各因子排放量均未超过环评批复量。</w:t>
            </w:r>
          </w:p>
        </w:tc>
        <w:tc>
          <w:tcPr>
            <w:tcW w:w="944" w:type="dxa"/>
            <w:tcBorders>
              <w:tl2br w:val="nil"/>
              <w:tr2bl w:val="nil"/>
            </w:tcBorders>
            <w:vAlign w:val="center"/>
          </w:tcPr>
          <w:p w14:paraId="79835298">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olor w:val="auto"/>
                <w:sz w:val="21"/>
                <w:szCs w:val="21"/>
                <w:highlight w:val="none"/>
              </w:rPr>
            </w:pPr>
            <w:r>
              <w:rPr>
                <w:rFonts w:hint="eastAsia" w:ascii="Times New Roman" w:hAnsi="Times New Roman"/>
                <w:color w:val="auto"/>
                <w:sz w:val="21"/>
                <w:szCs w:val="21"/>
                <w:highlight w:val="none"/>
                <w:lang w:val="en-US" w:eastAsia="zh-CN"/>
              </w:rPr>
              <w:t>不</w:t>
            </w:r>
            <w:r>
              <w:rPr>
                <w:rFonts w:hint="eastAsia" w:ascii="Times New Roman" w:hAnsi="Times New Roman"/>
                <w:color w:val="auto"/>
                <w:sz w:val="21"/>
                <w:szCs w:val="21"/>
                <w:highlight w:val="none"/>
              </w:rPr>
              <w:t>符</w:t>
            </w:r>
          </w:p>
        </w:tc>
      </w:tr>
      <w:tr w14:paraId="2060E51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55" w:type="dxa"/>
            <w:tcBorders>
              <w:tl2br w:val="nil"/>
              <w:tr2bl w:val="nil"/>
            </w:tcBorders>
            <w:vAlign w:val="center"/>
          </w:tcPr>
          <w:p w14:paraId="41B72039">
            <w:pPr>
              <w:keepNext w:val="0"/>
              <w:keepLines w:val="0"/>
              <w:pageBreakBefore w:val="0"/>
              <w:widowControl/>
              <w:numPr>
                <w:ilvl w:val="0"/>
                <w:numId w:val="15"/>
              </w:numPr>
              <w:kinsoku/>
              <w:wordWrap/>
              <w:overflowPunct/>
              <w:topLinePunct w:val="0"/>
              <w:autoSpaceDE/>
              <w:autoSpaceDN/>
              <w:bidi w:val="0"/>
              <w:adjustRightInd/>
              <w:snapToGrid/>
              <w:ind w:left="0" w:leftChars="0" w:right="0" w:firstLine="0" w:firstLineChars="0"/>
              <w:jc w:val="center"/>
              <w:textAlignment w:val="auto"/>
              <w:rPr>
                <w:rFonts w:ascii="Times New Roman" w:hAnsi="Times New Roman"/>
                <w:color w:val="auto"/>
                <w:sz w:val="21"/>
                <w:szCs w:val="21"/>
                <w:highlight w:val="none"/>
              </w:rPr>
            </w:pPr>
          </w:p>
        </w:tc>
        <w:tc>
          <w:tcPr>
            <w:tcW w:w="3655" w:type="dxa"/>
            <w:tcBorders>
              <w:tl2br w:val="nil"/>
              <w:tr2bl w:val="nil"/>
            </w:tcBorders>
            <w:vAlign w:val="center"/>
          </w:tcPr>
          <w:p w14:paraId="449E30B4">
            <w:pPr>
              <w:keepNext w:val="0"/>
              <w:keepLines w:val="0"/>
              <w:pageBreakBefore w:val="0"/>
              <w:widowControl/>
              <w:kinsoku/>
              <w:wordWrap/>
              <w:overflowPunct/>
              <w:topLinePunct w:val="0"/>
              <w:autoSpaceDE/>
              <w:autoSpaceDN/>
              <w:bidi w:val="0"/>
              <w:adjustRightInd/>
              <w:snapToGrid/>
              <w:ind w:left="0" w:right="0" w:firstLine="420" w:firstLineChars="200"/>
              <w:jc w:val="both"/>
              <w:textAlignment w:val="auto"/>
              <w:rPr>
                <w:rFonts w:ascii="Times New Roman" w:hAnsi="Times New Roman"/>
                <w:color w:val="auto"/>
                <w:sz w:val="21"/>
                <w:szCs w:val="21"/>
                <w:highlight w:val="none"/>
              </w:rPr>
            </w:pPr>
            <w:r>
              <w:rPr>
                <w:rFonts w:hint="eastAsia" w:ascii="Times New Roman" w:hAnsi="Times New Roman"/>
                <w:color w:val="auto"/>
                <w:sz w:val="21"/>
                <w:szCs w:val="21"/>
                <w:highlight w:val="none"/>
              </w:rPr>
              <w:t>五、本项目按规定需征得相关部门核准同意后方可开工建设。本项目的环保设施必须与主体工程同时建成，项目建设期间的环境现场监督管理由锡山区环保局负责，无锡市环境监察局负责不定期抽查。根据《建设项目竣工环境保护验收管理办法》，工程完工后须向我局申请办理项目竣工环保验收手续，合格后方可投入使用。</w:t>
            </w:r>
          </w:p>
        </w:tc>
        <w:tc>
          <w:tcPr>
            <w:tcW w:w="3563" w:type="dxa"/>
            <w:tcBorders>
              <w:tl2br w:val="nil"/>
              <w:tr2bl w:val="nil"/>
            </w:tcBorders>
            <w:vAlign w:val="center"/>
          </w:tcPr>
          <w:p w14:paraId="03916945">
            <w:pPr>
              <w:keepNext w:val="0"/>
              <w:keepLines w:val="0"/>
              <w:pageBreakBefore w:val="0"/>
              <w:widowControl/>
              <w:kinsoku/>
              <w:wordWrap/>
              <w:overflowPunct/>
              <w:topLinePunct w:val="0"/>
              <w:autoSpaceDE/>
              <w:autoSpaceDN/>
              <w:bidi w:val="0"/>
              <w:adjustRightInd/>
              <w:snapToGrid/>
              <w:ind w:left="0" w:right="0" w:firstLine="420" w:firstLineChars="200"/>
              <w:jc w:val="both"/>
              <w:textAlignment w:val="auto"/>
              <w:rPr>
                <w:rFonts w:hint="default" w:ascii="Times New Roman" w:hAnsi="Times New Roman" w:eastAsia="宋体"/>
                <w:color w:val="auto"/>
                <w:sz w:val="21"/>
                <w:szCs w:val="21"/>
                <w:highlight w:val="none"/>
                <w:lang w:val="en-US" w:eastAsia="zh-CN"/>
              </w:rPr>
            </w:pPr>
            <w:r>
              <w:rPr>
                <w:rFonts w:hint="eastAsia" w:ascii="Times New Roman" w:hAnsi="Times New Roman"/>
                <w:color w:val="auto"/>
                <w:sz w:val="21"/>
                <w:szCs w:val="21"/>
                <w:highlight w:val="none"/>
                <w:lang w:val="en-US" w:eastAsia="zh-CN"/>
              </w:rPr>
              <w:t>企业于2023年7月完成二阶段“年产聚氨酯丙烯酸酯2000t、丙烯酸酯组成物5000t”验收，已正式投入正常生产。</w:t>
            </w:r>
          </w:p>
        </w:tc>
        <w:tc>
          <w:tcPr>
            <w:tcW w:w="944" w:type="dxa"/>
            <w:tcBorders>
              <w:tl2br w:val="nil"/>
              <w:tr2bl w:val="nil"/>
            </w:tcBorders>
            <w:vAlign w:val="center"/>
          </w:tcPr>
          <w:p w14:paraId="53261D43">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olor w:val="auto"/>
                <w:sz w:val="21"/>
                <w:szCs w:val="21"/>
                <w:highlight w:val="none"/>
              </w:rPr>
            </w:pPr>
            <w:r>
              <w:rPr>
                <w:rFonts w:hint="eastAsia" w:ascii="Times New Roman" w:hAnsi="Times New Roman"/>
                <w:color w:val="auto"/>
                <w:sz w:val="21"/>
                <w:szCs w:val="21"/>
                <w:highlight w:val="none"/>
              </w:rPr>
              <w:t>相符</w:t>
            </w:r>
          </w:p>
        </w:tc>
      </w:tr>
    </w:tbl>
    <w:p w14:paraId="158D520A">
      <w:pPr>
        <w:spacing w:line="360" w:lineRule="auto"/>
        <w:ind w:left="-105" w:right="-105"/>
        <w:rPr>
          <w:rFonts w:ascii="Times New Roman" w:hAnsi="Times New Roman"/>
          <w:color w:val="auto"/>
          <w:szCs w:val="22"/>
          <w:highlight w:val="none"/>
        </w:rPr>
      </w:pPr>
    </w:p>
    <w:p w14:paraId="3E698070">
      <w:pPr>
        <w:spacing w:line="360" w:lineRule="auto"/>
        <w:ind w:left="-105" w:right="-105" w:firstLine="480" w:firstLineChars="200"/>
        <w:rPr>
          <w:rFonts w:ascii="Times New Roman" w:hAnsi="Times New Roman"/>
          <w:color w:val="auto"/>
          <w:szCs w:val="22"/>
          <w:highlight w:val="none"/>
        </w:rPr>
      </w:pPr>
    </w:p>
    <w:p w14:paraId="3BB8C333">
      <w:pPr>
        <w:spacing w:line="360" w:lineRule="auto"/>
        <w:ind w:left="-105" w:right="-105" w:firstLine="480" w:firstLineChars="200"/>
        <w:rPr>
          <w:rFonts w:ascii="Times New Roman" w:hAnsi="Times New Roman"/>
          <w:color w:val="auto"/>
          <w:szCs w:val="22"/>
          <w:highlight w:val="none"/>
        </w:rPr>
        <w:sectPr>
          <w:headerReference r:id="rId15" w:type="default"/>
          <w:headerReference r:id="rId16" w:type="even"/>
          <w:pgSz w:w="11906" w:h="16838"/>
          <w:pgMar w:top="1440" w:right="1701" w:bottom="1440" w:left="1701" w:header="851" w:footer="851" w:gutter="0"/>
          <w:pgBorders>
            <w:top w:val="none" w:sz="0" w:space="0"/>
            <w:left w:val="none" w:sz="0" w:space="0"/>
            <w:bottom w:val="none" w:sz="0" w:space="0"/>
            <w:right w:val="none" w:sz="0" w:space="0"/>
          </w:pgBorders>
          <w:cols w:space="720" w:num="1"/>
          <w:docGrid w:linePitch="498" w:charSpace="-2336"/>
        </w:sectPr>
      </w:pPr>
    </w:p>
    <w:p w14:paraId="69577EE2">
      <w:pPr>
        <w:pStyle w:val="4"/>
        <w:numPr>
          <w:ilvl w:val="1"/>
          <w:numId w:val="6"/>
        </w:numPr>
        <w:tabs>
          <w:tab w:val="left" w:pos="426"/>
        </w:tabs>
        <w:spacing w:before="120" w:beforeLines="50" w:after="120" w:afterLines="50" w:line="360" w:lineRule="auto"/>
        <w:ind w:left="-105" w:right="-105"/>
        <w:rPr>
          <w:rFonts w:ascii="Times New Roman" w:eastAsia="宋体"/>
          <w:color w:val="auto"/>
          <w:sz w:val="28"/>
          <w:szCs w:val="28"/>
          <w:highlight w:val="none"/>
        </w:rPr>
      </w:pPr>
      <w:bookmarkStart w:id="200" w:name="_Toc3106"/>
      <w:r>
        <w:rPr>
          <w:rFonts w:ascii="Times New Roman" w:eastAsia="宋体"/>
          <w:color w:val="auto"/>
          <w:sz w:val="28"/>
          <w:szCs w:val="28"/>
          <w:highlight w:val="none"/>
        </w:rPr>
        <w:t>现有项目工程分析</w:t>
      </w:r>
      <w:bookmarkEnd w:id="198"/>
      <w:bookmarkEnd w:id="199"/>
      <w:bookmarkEnd w:id="200"/>
    </w:p>
    <w:p w14:paraId="1A6604C0">
      <w:pPr>
        <w:pStyle w:val="5"/>
        <w:keepLines w:val="0"/>
        <w:numPr>
          <w:ilvl w:val="2"/>
          <w:numId w:val="6"/>
        </w:numPr>
        <w:tabs>
          <w:tab w:val="left" w:pos="567"/>
          <w:tab w:val="left" w:pos="709"/>
        </w:tabs>
        <w:spacing w:before="120" w:beforeLines="50" w:after="120" w:afterLines="50" w:line="360" w:lineRule="auto"/>
        <w:ind w:left="-105" w:right="-105"/>
        <w:rPr>
          <w:rFonts w:eastAsia="宋体"/>
          <w:color w:val="auto"/>
          <w:sz w:val="28"/>
          <w:szCs w:val="28"/>
          <w:highlight w:val="none"/>
        </w:rPr>
      </w:pPr>
      <w:bookmarkStart w:id="201" w:name="_Toc60653468"/>
      <w:r>
        <w:rPr>
          <w:rFonts w:eastAsia="宋体"/>
          <w:color w:val="auto"/>
          <w:sz w:val="28"/>
          <w:szCs w:val="28"/>
          <w:highlight w:val="none"/>
        </w:rPr>
        <w:t>主要原辅材料及能源消耗</w:t>
      </w:r>
      <w:bookmarkEnd w:id="201"/>
    </w:p>
    <w:p w14:paraId="6D0A44FC">
      <w:pPr>
        <w:pStyle w:val="5"/>
        <w:keepLines w:val="0"/>
        <w:numPr>
          <w:ilvl w:val="2"/>
          <w:numId w:val="6"/>
        </w:numPr>
        <w:tabs>
          <w:tab w:val="left" w:pos="567"/>
          <w:tab w:val="left" w:pos="709"/>
        </w:tabs>
        <w:spacing w:before="120" w:beforeLines="50" w:after="120" w:afterLines="50" w:line="360" w:lineRule="auto"/>
        <w:ind w:left="-105" w:right="-105"/>
        <w:rPr>
          <w:rFonts w:eastAsia="宋体"/>
          <w:color w:val="auto"/>
          <w:sz w:val="28"/>
          <w:szCs w:val="28"/>
          <w:highlight w:val="none"/>
        </w:rPr>
      </w:pPr>
      <w:bookmarkStart w:id="202" w:name="_Toc17377631"/>
      <w:bookmarkStart w:id="203" w:name="_Toc60653469"/>
      <w:r>
        <w:rPr>
          <w:rFonts w:eastAsia="宋体"/>
          <w:color w:val="auto"/>
          <w:sz w:val="28"/>
          <w:szCs w:val="28"/>
          <w:highlight w:val="none"/>
        </w:rPr>
        <w:t>主要生产设备</w:t>
      </w:r>
      <w:bookmarkEnd w:id="202"/>
      <w:bookmarkEnd w:id="203"/>
    </w:p>
    <w:p w14:paraId="2193F953">
      <w:pPr>
        <w:pStyle w:val="5"/>
        <w:keepLines w:val="0"/>
        <w:numPr>
          <w:ilvl w:val="2"/>
          <w:numId w:val="6"/>
        </w:numPr>
        <w:tabs>
          <w:tab w:val="left" w:pos="567"/>
          <w:tab w:val="left" w:pos="709"/>
        </w:tabs>
        <w:spacing w:before="120" w:beforeLines="50" w:after="120" w:afterLines="50" w:line="360" w:lineRule="auto"/>
        <w:ind w:left="-105" w:right="-105"/>
        <w:rPr>
          <w:rFonts w:eastAsia="宋体"/>
          <w:color w:val="auto"/>
          <w:sz w:val="28"/>
          <w:szCs w:val="28"/>
          <w:highlight w:val="none"/>
        </w:rPr>
      </w:pPr>
      <w:bookmarkStart w:id="204" w:name="_Toc60653470"/>
      <w:r>
        <w:rPr>
          <w:rFonts w:eastAsia="宋体"/>
          <w:color w:val="auto"/>
          <w:sz w:val="28"/>
          <w:szCs w:val="28"/>
          <w:highlight w:val="none"/>
        </w:rPr>
        <w:t>工艺流程及产污环节分析</w:t>
      </w:r>
      <w:bookmarkEnd w:id="204"/>
    </w:p>
    <w:p w14:paraId="03790708">
      <w:pPr>
        <w:pStyle w:val="5"/>
        <w:keepLines w:val="0"/>
        <w:numPr>
          <w:ilvl w:val="2"/>
          <w:numId w:val="6"/>
        </w:numPr>
        <w:tabs>
          <w:tab w:val="left" w:pos="567"/>
          <w:tab w:val="left" w:pos="709"/>
        </w:tabs>
        <w:spacing w:before="120" w:beforeLines="50" w:after="120" w:afterLines="50" w:line="360" w:lineRule="auto"/>
        <w:ind w:left="-105" w:right="-105"/>
        <w:rPr>
          <w:rFonts w:eastAsia="宋体"/>
          <w:color w:val="auto"/>
          <w:sz w:val="28"/>
          <w:szCs w:val="28"/>
          <w:highlight w:val="none"/>
        </w:rPr>
      </w:pPr>
      <w:bookmarkStart w:id="205" w:name="_Toc60653471"/>
      <w:r>
        <w:rPr>
          <w:rFonts w:eastAsia="宋体"/>
          <w:color w:val="auto"/>
          <w:sz w:val="28"/>
          <w:szCs w:val="28"/>
          <w:highlight w:val="none"/>
        </w:rPr>
        <w:t>水平衡分析</w:t>
      </w:r>
      <w:bookmarkEnd w:id="205"/>
    </w:p>
    <w:p w14:paraId="7AE741FF">
      <w:pPr>
        <w:pStyle w:val="5"/>
        <w:keepLines w:val="0"/>
        <w:numPr>
          <w:ilvl w:val="2"/>
          <w:numId w:val="6"/>
        </w:numPr>
        <w:tabs>
          <w:tab w:val="left" w:pos="567"/>
          <w:tab w:val="left" w:pos="709"/>
        </w:tabs>
        <w:spacing w:before="120" w:beforeLines="50" w:after="120" w:afterLines="50" w:line="360" w:lineRule="auto"/>
        <w:ind w:left="-105" w:right="-105"/>
        <w:rPr>
          <w:rFonts w:eastAsia="宋体"/>
          <w:color w:val="auto"/>
          <w:sz w:val="28"/>
          <w:szCs w:val="28"/>
          <w:highlight w:val="none"/>
        </w:rPr>
      </w:pPr>
      <w:r>
        <w:rPr>
          <w:rFonts w:hint="eastAsia" w:eastAsia="宋体"/>
          <w:color w:val="auto"/>
          <w:sz w:val="28"/>
          <w:szCs w:val="28"/>
          <w:highlight w:val="none"/>
        </w:rPr>
        <w:t>污染治理及排放状况</w:t>
      </w:r>
    </w:p>
    <w:p w14:paraId="6BCCCB48">
      <w:pPr>
        <w:pStyle w:val="6"/>
        <w:keepLines w:val="0"/>
        <w:widowControl/>
        <w:numPr>
          <w:ilvl w:val="3"/>
          <w:numId w:val="6"/>
        </w:numPr>
        <w:spacing w:before="120" w:beforeLines="50" w:after="120" w:afterLines="50" w:line="360" w:lineRule="auto"/>
        <w:ind w:left="-105" w:right="-105"/>
        <w:rPr>
          <w:rFonts w:ascii="Times New Roman" w:hAnsi="Times New Roman"/>
          <w:color w:val="auto"/>
          <w:sz w:val="24"/>
          <w:szCs w:val="24"/>
          <w:highlight w:val="none"/>
        </w:rPr>
      </w:pPr>
      <w:r>
        <w:rPr>
          <w:rFonts w:ascii="Times New Roman" w:hAnsi="Times New Roman"/>
          <w:color w:val="auto"/>
          <w:sz w:val="24"/>
          <w:szCs w:val="24"/>
          <w:highlight w:val="none"/>
        </w:rPr>
        <w:t>废气</w:t>
      </w:r>
    </w:p>
    <w:p w14:paraId="53F238D7">
      <w:pPr>
        <w:spacing w:line="360" w:lineRule="auto"/>
        <w:ind w:left="-105" w:right="-105" w:firstLine="482" w:firstLineChars="200"/>
        <w:rPr>
          <w:rFonts w:ascii="Times New Roman" w:hAnsi="Times New Roman"/>
          <w:b/>
          <w:bCs/>
          <w:color w:val="auto"/>
          <w:szCs w:val="22"/>
          <w:highlight w:val="none"/>
        </w:rPr>
      </w:pPr>
      <w:r>
        <w:rPr>
          <w:rFonts w:hint="eastAsia" w:ascii="Times New Roman" w:hAnsi="Times New Roman"/>
          <w:b/>
          <w:bCs/>
          <w:color w:val="auto"/>
          <w:szCs w:val="22"/>
          <w:highlight w:val="none"/>
        </w:rPr>
        <w:t>（1）现有项目废气处置、排放情况</w:t>
      </w:r>
    </w:p>
    <w:p w14:paraId="6E19B45F">
      <w:pPr>
        <w:pStyle w:val="2"/>
        <w:ind w:left="-105" w:right="-105"/>
        <w:rPr>
          <w:color w:val="auto"/>
          <w:highlight w:val="none"/>
        </w:rPr>
      </w:pPr>
      <w:r>
        <w:rPr>
          <w:rFonts w:hint="eastAsia"/>
          <w:color w:val="auto"/>
          <w:highlight w:val="none"/>
        </w:rPr>
        <w:t>与原环评相比变动情况如下：</w:t>
      </w:r>
    </w:p>
    <w:p w14:paraId="4D4F307E">
      <w:pPr>
        <w:pStyle w:val="2"/>
        <w:ind w:left="-105" w:right="-105"/>
        <w:rPr>
          <w:color w:val="auto"/>
          <w:highlight w:val="none"/>
        </w:rPr>
      </w:pPr>
      <w:r>
        <w:rPr>
          <w:color w:val="auto"/>
          <w:highlight w:val="none"/>
        </w:rPr>
        <w:t>1）企业</w:t>
      </w:r>
      <w:r>
        <w:rPr>
          <w:rFonts w:hint="eastAsia"/>
          <w:color w:val="auto"/>
          <w:highlight w:val="none"/>
          <w:lang w:eastAsia="zh-CN"/>
        </w:rPr>
        <w:t>一工场</w:t>
      </w:r>
      <w:r>
        <w:rPr>
          <w:color w:val="auto"/>
          <w:highlight w:val="none"/>
        </w:rPr>
        <w:t>南侧的2个反应釜（600L）产生废气经密闭收集接入冷凝处理，再汇入一阶段一套3级碱液喷淋+活性炭吸附处理设施处理后经20m高排气筒DA002排放；</w:t>
      </w:r>
    </w:p>
    <w:p w14:paraId="72932D31">
      <w:pPr>
        <w:pStyle w:val="2"/>
        <w:ind w:left="-105" w:right="-105"/>
        <w:rPr>
          <w:color w:val="auto"/>
          <w:highlight w:val="none"/>
        </w:rPr>
      </w:pPr>
      <w:r>
        <w:rPr>
          <w:color w:val="auto"/>
          <w:highlight w:val="none"/>
        </w:rPr>
        <w:t>2）</w:t>
      </w:r>
      <w:r>
        <w:rPr>
          <w:rFonts w:hint="eastAsia"/>
          <w:color w:val="auto"/>
          <w:highlight w:val="none"/>
        </w:rPr>
        <w:t>二工场</w:t>
      </w:r>
      <w:r>
        <w:rPr>
          <w:color w:val="auto"/>
          <w:highlight w:val="none"/>
        </w:rPr>
        <w:t>北面的3个反应釜（8000L、8000L、3000L）产生的废气经密闭收集接入冷凝处理后，再汇入一阶段现有的1套3级碱液喷淋+活性炭吸附处理设施处理后20m高排气筒DA004排放；</w:t>
      </w:r>
    </w:p>
    <w:p w14:paraId="175E019B">
      <w:pPr>
        <w:pStyle w:val="2"/>
        <w:ind w:left="-105" w:right="-105"/>
        <w:rPr>
          <w:color w:val="auto"/>
          <w:highlight w:val="none"/>
        </w:rPr>
      </w:pPr>
      <w:r>
        <w:rPr>
          <w:color w:val="auto"/>
          <w:highlight w:val="none"/>
        </w:rPr>
        <w:t>3）</w:t>
      </w:r>
      <w:r>
        <w:rPr>
          <w:rFonts w:hint="eastAsia"/>
          <w:color w:val="auto"/>
          <w:highlight w:val="none"/>
        </w:rPr>
        <w:t>二工场</w:t>
      </w:r>
      <w:r>
        <w:rPr>
          <w:color w:val="auto"/>
          <w:highlight w:val="none"/>
        </w:rPr>
        <w:t>车间内无组织废气经1套新增的3级碱液喷淋+</w:t>
      </w:r>
      <w:r>
        <w:rPr>
          <w:rFonts w:hint="eastAsia"/>
          <w:color w:val="auto"/>
          <w:highlight w:val="none"/>
        </w:rPr>
        <w:t>二级</w:t>
      </w:r>
      <w:r>
        <w:rPr>
          <w:color w:val="auto"/>
          <w:highlight w:val="none"/>
        </w:rPr>
        <w:t>活性炭吸附装置处理后经DA005排放；</w:t>
      </w:r>
    </w:p>
    <w:p w14:paraId="437E2201">
      <w:pPr>
        <w:pStyle w:val="2"/>
        <w:ind w:left="-105" w:right="-105"/>
        <w:rPr>
          <w:color w:val="auto"/>
          <w:highlight w:val="none"/>
        </w:rPr>
      </w:pPr>
      <w:r>
        <w:rPr>
          <w:color w:val="auto"/>
          <w:highlight w:val="none"/>
        </w:rPr>
        <w:t>4）取消丁酮储罐，变动后无丁酮储罐大小呼吸产生的废气</w:t>
      </w:r>
      <w:r>
        <w:rPr>
          <w:rFonts w:hint="eastAsia"/>
          <w:color w:val="auto"/>
          <w:highlight w:val="none"/>
          <w:lang w:eastAsia="zh-CN"/>
        </w:rPr>
        <w:t>；废液储罐收集喷淋废水，其中主要为水，酸碱等浓度低，不易挥发，且储罐为常温常压，故不考虑</w:t>
      </w:r>
      <w:r>
        <w:rPr>
          <w:rFonts w:hint="eastAsia"/>
          <w:color w:val="auto"/>
          <w:highlight w:val="none"/>
          <w:lang w:val="en-US" w:eastAsia="zh-CN"/>
        </w:rPr>
        <w:t>废液储罐产生</w:t>
      </w:r>
      <w:r>
        <w:rPr>
          <w:rFonts w:hint="eastAsia"/>
          <w:color w:val="auto"/>
          <w:highlight w:val="none"/>
          <w:lang w:eastAsia="zh-CN"/>
        </w:rPr>
        <w:t>大小呼吸废气</w:t>
      </w:r>
      <w:r>
        <w:rPr>
          <w:color w:val="auto"/>
          <w:highlight w:val="none"/>
        </w:rPr>
        <w:t>。</w:t>
      </w:r>
    </w:p>
    <w:p w14:paraId="6E3FAA83">
      <w:pPr>
        <w:spacing w:line="360" w:lineRule="auto"/>
        <w:ind w:left="-105" w:right="-105" w:firstLine="480" w:firstLineChars="200"/>
        <w:rPr>
          <w:rFonts w:ascii="Times New Roman" w:hAnsi="Times New Roman"/>
          <w:color w:val="auto"/>
          <w:szCs w:val="22"/>
          <w:highlight w:val="none"/>
        </w:rPr>
      </w:pPr>
      <w:r>
        <w:rPr>
          <w:rFonts w:hint="eastAsia" w:ascii="Times New Roman" w:hAnsi="Times New Roman"/>
          <w:color w:val="auto"/>
          <w:szCs w:val="22"/>
          <w:highlight w:val="none"/>
        </w:rPr>
        <w:t>现有项目涉及的有组织废气来源及污染物如下：</w:t>
      </w:r>
    </w:p>
    <w:p w14:paraId="49A61630">
      <w:pPr>
        <w:spacing w:line="360" w:lineRule="auto"/>
        <w:ind w:left="-105" w:right="-105" w:firstLine="480" w:firstLineChars="200"/>
        <w:rPr>
          <w:rFonts w:ascii="Times New Roman" w:hAnsi="Times New Roman"/>
          <w:color w:val="auto"/>
          <w:szCs w:val="22"/>
          <w:highlight w:val="none"/>
        </w:rPr>
      </w:pPr>
      <w:r>
        <w:rPr>
          <w:rFonts w:hint="eastAsia" w:ascii="Times New Roman" w:hAnsi="Times New Roman"/>
          <w:color w:val="auto"/>
          <w:szCs w:val="22"/>
          <w:highlight w:val="none"/>
        </w:rPr>
        <w:t>①企业</w:t>
      </w:r>
      <w:r>
        <w:rPr>
          <w:rFonts w:hint="eastAsia" w:ascii="Times New Roman" w:hAnsi="Times New Roman"/>
          <w:color w:val="auto"/>
          <w:szCs w:val="22"/>
          <w:highlight w:val="none"/>
          <w:lang w:eastAsia="zh-CN"/>
        </w:rPr>
        <w:t>一工场</w:t>
      </w:r>
      <w:r>
        <w:rPr>
          <w:rFonts w:hint="eastAsia" w:ascii="Times New Roman" w:hAnsi="Times New Roman"/>
          <w:color w:val="auto"/>
          <w:szCs w:val="22"/>
          <w:highlight w:val="none"/>
        </w:rPr>
        <w:t>北侧4台反应釜（5000L*2、8000L*2）废气经冷凝+3级碱液喷淋+活性炭吸附处理设施处理后经20m高排气筒DA001排放；</w:t>
      </w:r>
    </w:p>
    <w:p w14:paraId="5FD16C1B">
      <w:pPr>
        <w:spacing w:line="360" w:lineRule="auto"/>
        <w:ind w:left="-105" w:right="-105" w:firstLine="480" w:firstLineChars="200"/>
        <w:rPr>
          <w:rFonts w:ascii="Times New Roman" w:hAnsi="Times New Roman"/>
          <w:color w:val="auto"/>
          <w:szCs w:val="22"/>
          <w:highlight w:val="none"/>
        </w:rPr>
      </w:pPr>
      <w:r>
        <w:rPr>
          <w:rFonts w:hint="eastAsia" w:ascii="Times New Roman" w:hAnsi="Times New Roman"/>
          <w:color w:val="auto"/>
          <w:szCs w:val="22"/>
          <w:highlight w:val="none"/>
        </w:rPr>
        <w:t>②</w:t>
      </w:r>
      <w:r>
        <w:rPr>
          <w:rFonts w:hint="eastAsia" w:ascii="Times New Roman" w:hAnsi="Times New Roman"/>
          <w:color w:val="auto"/>
          <w:szCs w:val="22"/>
          <w:highlight w:val="none"/>
          <w:lang w:eastAsia="zh-CN"/>
        </w:rPr>
        <w:t>一工场</w:t>
      </w:r>
      <w:r>
        <w:rPr>
          <w:rFonts w:hint="eastAsia" w:ascii="Times New Roman" w:hAnsi="Times New Roman"/>
          <w:color w:val="auto"/>
          <w:szCs w:val="22"/>
          <w:highlight w:val="none"/>
        </w:rPr>
        <w:t>南侧2台反应釜（600L*2）废气经冷凝处理后与车间无组织废气一起经3级碱液喷淋+活性炭吸附处理设施处理后经20m高排气筒DA002排放；</w:t>
      </w:r>
    </w:p>
    <w:p w14:paraId="64EE5CE8">
      <w:pPr>
        <w:spacing w:line="360" w:lineRule="auto"/>
        <w:ind w:left="-105" w:right="-105" w:firstLine="480" w:firstLineChars="200"/>
        <w:rPr>
          <w:rFonts w:ascii="Times New Roman" w:hAnsi="Times New Roman"/>
          <w:color w:val="auto"/>
          <w:szCs w:val="22"/>
          <w:highlight w:val="none"/>
        </w:rPr>
      </w:pPr>
      <w:r>
        <w:rPr>
          <w:rFonts w:hint="eastAsia" w:ascii="Times New Roman" w:hAnsi="Times New Roman"/>
          <w:color w:val="auto"/>
          <w:szCs w:val="22"/>
          <w:highlight w:val="none"/>
        </w:rPr>
        <w:t>③二工场</w:t>
      </w:r>
      <w:r>
        <w:rPr>
          <w:rFonts w:hint="eastAsia" w:ascii="Times New Roman" w:hAnsi="Times New Roman"/>
          <w:color w:val="auto"/>
          <w:szCs w:val="22"/>
          <w:highlight w:val="none"/>
        </w:rPr>
        <w:t>南面4台反应釜（1000L、2000L、5000L、8000L）产生的废气经冷凝+3级碱液喷淋+活性炭吸附处理设施处理后20m高排气筒DA003排放；</w:t>
      </w:r>
    </w:p>
    <w:p w14:paraId="2312B716">
      <w:pPr>
        <w:spacing w:line="360" w:lineRule="auto"/>
        <w:ind w:left="-105" w:right="-105" w:firstLine="480" w:firstLineChars="200"/>
        <w:rPr>
          <w:rFonts w:ascii="Times New Roman" w:hAnsi="Times New Roman"/>
          <w:color w:val="auto"/>
          <w:szCs w:val="22"/>
          <w:highlight w:val="none"/>
        </w:rPr>
      </w:pPr>
      <w:r>
        <w:rPr>
          <w:rFonts w:hint="eastAsia" w:ascii="Times New Roman" w:hAnsi="Times New Roman"/>
          <w:color w:val="auto"/>
          <w:szCs w:val="22"/>
          <w:highlight w:val="none"/>
        </w:rPr>
        <w:t>④二工场北面4台反应釜（2000L、3000L、8000L*2）废气经冷凝+3级碱液喷淋+活性炭吸附处理设施处理后经20m高排气筒DA004排放；</w:t>
      </w:r>
    </w:p>
    <w:p w14:paraId="2ADDB945">
      <w:pPr>
        <w:spacing w:line="360" w:lineRule="auto"/>
        <w:ind w:left="-105" w:right="-105" w:firstLine="480" w:firstLineChars="200"/>
        <w:rPr>
          <w:rFonts w:ascii="Times New Roman" w:hAnsi="Times New Roman"/>
          <w:color w:val="auto"/>
          <w:szCs w:val="22"/>
          <w:highlight w:val="none"/>
        </w:rPr>
      </w:pPr>
      <w:r>
        <w:rPr>
          <w:rFonts w:hint="eastAsia" w:ascii="Times New Roman" w:hAnsi="Times New Roman"/>
          <w:color w:val="auto"/>
          <w:szCs w:val="22"/>
          <w:highlight w:val="none"/>
        </w:rPr>
        <w:t>⑤二工场车间内无组织废气经一套3级碱液喷淋+二级活性炭吸附装置处理后经DA005排放。</w:t>
      </w:r>
    </w:p>
    <w:p w14:paraId="06D8CAF8">
      <w:pPr>
        <w:spacing w:line="360" w:lineRule="auto"/>
        <w:ind w:left="-105" w:right="-105" w:firstLine="480" w:firstLineChars="200"/>
        <w:rPr>
          <w:rFonts w:ascii="Times New Roman" w:hAnsi="Times New Roman"/>
          <w:color w:val="auto"/>
          <w:szCs w:val="22"/>
          <w:highlight w:val="none"/>
        </w:rPr>
      </w:pPr>
      <w:r>
        <w:rPr>
          <w:rFonts w:hint="eastAsia" w:ascii="Times New Roman" w:hAnsi="Times New Roman"/>
          <w:color w:val="auto"/>
          <w:szCs w:val="22"/>
          <w:highlight w:val="none"/>
        </w:rPr>
        <w:t>现有项目废气处置、排放情况</w:t>
      </w:r>
      <w:r>
        <w:rPr>
          <w:rFonts w:ascii="Times New Roman" w:hAnsi="Times New Roman"/>
          <w:color w:val="auto"/>
          <w:szCs w:val="22"/>
          <w:highlight w:val="none"/>
        </w:rPr>
        <w:t>见下</w:t>
      </w:r>
      <w:r>
        <w:rPr>
          <w:rFonts w:ascii="Times New Roman" w:hAnsi="Times New Roman" w:cs="Times New Roman"/>
          <w:color w:val="auto"/>
          <w:szCs w:val="22"/>
          <w:highlight w:val="none"/>
        </w:rPr>
        <w:fldChar w:fldCharType="begin"/>
      </w:r>
      <w:r>
        <w:rPr>
          <w:rFonts w:ascii="Times New Roman" w:hAnsi="Times New Roman" w:cs="Times New Roman"/>
          <w:color w:val="auto"/>
          <w:szCs w:val="22"/>
          <w:highlight w:val="none"/>
        </w:rPr>
        <w:instrText xml:space="preserve"> REF _Ref38799774 \h  \* MERGEFORMAT </w:instrText>
      </w:r>
      <w:r>
        <w:rPr>
          <w:rFonts w:ascii="Times New Roman" w:hAnsi="Times New Roman" w:cs="Times New Roman"/>
          <w:color w:val="auto"/>
          <w:szCs w:val="22"/>
          <w:highlight w:val="none"/>
        </w:rPr>
        <w:fldChar w:fldCharType="separate"/>
      </w:r>
      <w:r>
        <w:rPr>
          <w:rFonts w:ascii="Times New Roman" w:hAnsi="Times New Roman" w:cs="Times New Roman"/>
          <w:bCs/>
          <w:color w:val="auto"/>
          <w:szCs w:val="22"/>
          <w:highlight w:val="none"/>
        </w:rPr>
        <w:t>表</w:t>
      </w:r>
      <w:r>
        <w:rPr>
          <w:rFonts w:ascii="Times New Roman" w:hAnsi="Times New Roman" w:cs="Times New Roman"/>
          <w:bCs/>
          <w:color w:val="auto"/>
          <w:szCs w:val="22"/>
          <w:highlight w:val="none"/>
        </w:rPr>
        <w:fldChar w:fldCharType="begin"/>
      </w:r>
      <w:r>
        <w:rPr>
          <w:rFonts w:ascii="Times New Roman" w:hAnsi="Times New Roman" w:cs="Times New Roman"/>
          <w:bCs/>
          <w:color w:val="auto"/>
          <w:szCs w:val="22"/>
          <w:highlight w:val="none"/>
        </w:rPr>
        <w:instrText xml:space="preserve"> STYLEREF</w:instrText>
      </w:r>
      <w:r>
        <w:rPr>
          <w:rFonts w:ascii="Times New Roman" w:hAnsi="Times New Roman" w:cs="Times New Roman"/>
          <w:color w:val="auto"/>
          <w:highlight w:val="none"/>
        </w:rPr>
        <w:instrText xml:space="preserve"> 2 \s </w:instrText>
      </w:r>
      <w:r>
        <w:rPr>
          <w:rFonts w:ascii="Times New Roman" w:hAnsi="Times New Roman" w:cs="Times New Roman"/>
          <w:color w:val="auto"/>
          <w:highlight w:val="none"/>
        </w:rPr>
        <w:fldChar w:fldCharType="separate"/>
      </w:r>
      <w:r>
        <w:rPr>
          <w:rFonts w:ascii="Times New Roman" w:hAnsi="Times New Roman" w:cs="Times New Roman"/>
          <w:color w:val="auto"/>
          <w:highlight w:val="none"/>
        </w:rPr>
        <w:t>3.3</w:t>
      </w:r>
      <w:r>
        <w:rPr>
          <w:rFonts w:ascii="Times New Roman" w:hAnsi="Times New Roman" w:cs="Times New Roman"/>
          <w:color w:val="auto"/>
          <w:highlight w:val="none"/>
        </w:rPr>
        <w:fldChar w:fldCharType="end"/>
      </w:r>
      <w:r>
        <w:rPr>
          <w:rFonts w:ascii="Times New Roman" w:hAnsi="Times New Roman" w:cs="Times New Roman"/>
          <w:color w:val="auto"/>
          <w:highlight w:val="none"/>
        </w:rPr>
        <w:noBreakHyphen/>
      </w:r>
      <w:r>
        <w:rPr>
          <w:rFonts w:ascii="Times New Roman" w:hAnsi="Times New Roman" w:cs="Times New Roman"/>
          <w:color w:val="auto"/>
          <w:highlight w:val="none"/>
        </w:rPr>
        <w:t>4</w:t>
      </w:r>
      <w:r>
        <w:rPr>
          <w:rFonts w:ascii="Times New Roman" w:hAnsi="Times New Roman" w:cs="Times New Roman"/>
          <w:color w:val="auto"/>
          <w:szCs w:val="22"/>
          <w:highlight w:val="none"/>
        </w:rPr>
        <w:fldChar w:fldCharType="end"/>
      </w:r>
      <w:r>
        <w:rPr>
          <w:rFonts w:ascii="Times New Roman" w:hAnsi="Times New Roman" w:cs="Times New Roman"/>
          <w:color w:val="auto"/>
          <w:szCs w:val="22"/>
          <w:highlight w:val="none"/>
        </w:rPr>
        <w:t>。</w:t>
      </w:r>
    </w:p>
    <w:p w14:paraId="64094414">
      <w:pPr>
        <w:pStyle w:val="15"/>
        <w:spacing w:line="360" w:lineRule="auto"/>
        <w:ind w:left="-105" w:right="-105" w:firstLine="482"/>
        <w:rPr>
          <w:rFonts w:eastAsia="宋体" w:cs="Times New Roman"/>
          <w:bCs/>
          <w:color w:val="auto"/>
          <w:sz w:val="24"/>
          <w:szCs w:val="18"/>
          <w:highlight w:val="none"/>
        </w:rPr>
      </w:pPr>
      <w:bookmarkStart w:id="206" w:name="_Ref38799774"/>
      <w:bookmarkStart w:id="207" w:name="_Ref38799771"/>
      <w:r>
        <w:rPr>
          <w:rFonts w:eastAsia="宋体" w:cs="Times New Roman"/>
          <w:bCs/>
          <w:color w:val="auto"/>
          <w:sz w:val="24"/>
          <w:szCs w:val="18"/>
          <w:highlight w:val="none"/>
        </w:rPr>
        <w:t>表</w:t>
      </w:r>
      <w:r>
        <w:rPr>
          <w:rFonts w:eastAsia="宋体" w:cs="Times New Roman"/>
          <w:bCs/>
          <w:color w:val="auto"/>
          <w:sz w:val="24"/>
          <w:szCs w:val="18"/>
          <w:highlight w:val="none"/>
        </w:rPr>
        <w:fldChar w:fldCharType="begin"/>
      </w:r>
      <w:r>
        <w:rPr>
          <w:rFonts w:eastAsia="宋体" w:cs="Times New Roman"/>
          <w:bCs/>
          <w:color w:val="auto"/>
          <w:sz w:val="24"/>
          <w:szCs w:val="18"/>
          <w:highlight w:val="none"/>
        </w:rPr>
        <w:instrText xml:space="preserve"> STYLEREF 2 \s </w:instrText>
      </w:r>
      <w:r>
        <w:rPr>
          <w:rFonts w:eastAsia="宋体" w:cs="Times New Roman"/>
          <w:bCs/>
          <w:color w:val="auto"/>
          <w:sz w:val="24"/>
          <w:szCs w:val="18"/>
          <w:highlight w:val="none"/>
        </w:rPr>
        <w:fldChar w:fldCharType="separate"/>
      </w:r>
      <w:r>
        <w:rPr>
          <w:rFonts w:eastAsia="宋体" w:cs="Times New Roman"/>
          <w:bCs/>
          <w:color w:val="auto"/>
          <w:sz w:val="24"/>
          <w:szCs w:val="18"/>
          <w:highlight w:val="none"/>
        </w:rPr>
        <w:t>3.3</w:t>
      </w:r>
      <w:r>
        <w:rPr>
          <w:rFonts w:eastAsia="宋体" w:cs="Times New Roman"/>
          <w:bCs/>
          <w:color w:val="auto"/>
          <w:sz w:val="24"/>
          <w:szCs w:val="18"/>
          <w:highlight w:val="none"/>
        </w:rPr>
        <w:fldChar w:fldCharType="end"/>
      </w:r>
      <w:r>
        <w:rPr>
          <w:rFonts w:eastAsia="宋体" w:cs="Times New Roman"/>
          <w:bCs/>
          <w:color w:val="auto"/>
          <w:sz w:val="24"/>
          <w:szCs w:val="18"/>
          <w:highlight w:val="none"/>
        </w:rPr>
        <w:noBreakHyphen/>
      </w:r>
      <w:r>
        <w:rPr>
          <w:rFonts w:eastAsia="宋体" w:cs="Times New Roman"/>
          <w:bCs/>
          <w:color w:val="auto"/>
          <w:sz w:val="24"/>
          <w:szCs w:val="18"/>
          <w:highlight w:val="none"/>
        </w:rPr>
        <w:fldChar w:fldCharType="begin"/>
      </w:r>
      <w:r>
        <w:rPr>
          <w:rFonts w:eastAsia="宋体" w:cs="Times New Roman"/>
          <w:bCs/>
          <w:color w:val="auto"/>
          <w:sz w:val="24"/>
          <w:szCs w:val="18"/>
          <w:highlight w:val="none"/>
        </w:rPr>
        <w:instrText xml:space="preserve"> SEQ 表 \* ARABIC \s 2 </w:instrText>
      </w:r>
      <w:r>
        <w:rPr>
          <w:rFonts w:eastAsia="宋体" w:cs="Times New Roman"/>
          <w:bCs/>
          <w:color w:val="auto"/>
          <w:sz w:val="24"/>
          <w:szCs w:val="18"/>
          <w:highlight w:val="none"/>
        </w:rPr>
        <w:fldChar w:fldCharType="separate"/>
      </w:r>
      <w:r>
        <w:rPr>
          <w:rFonts w:eastAsia="宋体" w:cs="Times New Roman"/>
          <w:bCs/>
          <w:color w:val="auto"/>
          <w:sz w:val="24"/>
          <w:szCs w:val="18"/>
          <w:highlight w:val="none"/>
        </w:rPr>
        <w:t>4</w:t>
      </w:r>
      <w:r>
        <w:rPr>
          <w:rFonts w:eastAsia="宋体" w:cs="Times New Roman"/>
          <w:bCs/>
          <w:color w:val="auto"/>
          <w:sz w:val="24"/>
          <w:szCs w:val="18"/>
          <w:highlight w:val="none"/>
        </w:rPr>
        <w:fldChar w:fldCharType="end"/>
      </w:r>
      <w:bookmarkEnd w:id="206"/>
      <w:r>
        <w:rPr>
          <w:rFonts w:eastAsia="宋体" w:cs="Times New Roman"/>
          <w:bCs/>
          <w:color w:val="auto"/>
          <w:sz w:val="24"/>
          <w:szCs w:val="18"/>
          <w:highlight w:val="none"/>
        </w:rPr>
        <w:t>废气收集、处理措施及效率一览表</w:t>
      </w:r>
      <w:bookmarkEnd w:id="207"/>
    </w:p>
    <w:tbl>
      <w:tblPr>
        <w:tblStyle w:val="45"/>
        <w:tblW w:w="5092"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507"/>
        <w:gridCol w:w="1142"/>
        <w:gridCol w:w="659"/>
        <w:gridCol w:w="1019"/>
        <w:gridCol w:w="1041"/>
        <w:gridCol w:w="899"/>
        <w:gridCol w:w="786"/>
        <w:gridCol w:w="644"/>
        <w:gridCol w:w="644"/>
        <w:gridCol w:w="721"/>
        <w:gridCol w:w="817"/>
      </w:tblGrid>
      <w:tr w14:paraId="3519E7B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67" w:hRule="atLeast"/>
          <w:jc w:val="center"/>
        </w:trPr>
        <w:tc>
          <w:tcPr>
            <w:tcW w:w="504" w:type="dxa"/>
            <w:vMerge w:val="restart"/>
            <w:vAlign w:val="center"/>
          </w:tcPr>
          <w:p w14:paraId="51453650">
            <w:pPr>
              <w:ind w:left="-105" w:right="-105"/>
              <w:jc w:val="center"/>
              <w:textAlignment w:val="baseline"/>
              <w:rPr>
                <w:rFonts w:ascii="Times New Roman" w:hAnsi="Times New Roman"/>
                <w:b/>
                <w:color w:val="auto"/>
                <w:sz w:val="21"/>
                <w:szCs w:val="21"/>
                <w:highlight w:val="none"/>
              </w:rPr>
            </w:pPr>
            <w:r>
              <w:rPr>
                <w:rFonts w:ascii="Times New Roman" w:hAnsi="Times New Roman"/>
                <w:b/>
                <w:color w:val="auto"/>
                <w:sz w:val="21"/>
                <w:szCs w:val="21"/>
                <w:highlight w:val="none"/>
              </w:rPr>
              <w:t>序号</w:t>
            </w:r>
          </w:p>
        </w:tc>
        <w:tc>
          <w:tcPr>
            <w:tcW w:w="1146" w:type="dxa"/>
            <w:vMerge w:val="restart"/>
            <w:vAlign w:val="center"/>
          </w:tcPr>
          <w:p w14:paraId="5A8BBB8F">
            <w:pPr>
              <w:ind w:left="-105" w:right="-105"/>
              <w:jc w:val="center"/>
              <w:textAlignment w:val="baseline"/>
              <w:rPr>
                <w:rFonts w:ascii="Times New Roman" w:hAnsi="Times New Roman"/>
                <w:b/>
                <w:color w:val="auto"/>
                <w:sz w:val="21"/>
                <w:szCs w:val="21"/>
                <w:highlight w:val="none"/>
              </w:rPr>
            </w:pPr>
            <w:r>
              <w:rPr>
                <w:rFonts w:hint="eastAsia" w:ascii="Times New Roman" w:hAnsi="Times New Roman"/>
                <w:b/>
                <w:color w:val="auto"/>
                <w:sz w:val="21"/>
                <w:szCs w:val="21"/>
                <w:highlight w:val="none"/>
              </w:rPr>
              <w:t>废气名称</w:t>
            </w:r>
          </w:p>
        </w:tc>
        <w:tc>
          <w:tcPr>
            <w:tcW w:w="658" w:type="dxa"/>
            <w:vMerge w:val="restart"/>
            <w:vAlign w:val="center"/>
          </w:tcPr>
          <w:p w14:paraId="6CBCF82D">
            <w:pPr>
              <w:ind w:left="-105" w:right="-105"/>
              <w:jc w:val="center"/>
              <w:textAlignment w:val="baseline"/>
              <w:rPr>
                <w:rFonts w:ascii="Times New Roman" w:hAnsi="Times New Roman"/>
                <w:b/>
                <w:color w:val="auto"/>
                <w:sz w:val="21"/>
                <w:szCs w:val="21"/>
                <w:highlight w:val="none"/>
              </w:rPr>
            </w:pPr>
            <w:r>
              <w:rPr>
                <w:rFonts w:hint="eastAsia" w:ascii="Times New Roman" w:hAnsi="Times New Roman"/>
                <w:b/>
                <w:color w:val="auto"/>
                <w:sz w:val="21"/>
                <w:szCs w:val="21"/>
                <w:highlight w:val="none"/>
              </w:rPr>
              <w:t>排放形式</w:t>
            </w:r>
          </w:p>
        </w:tc>
        <w:tc>
          <w:tcPr>
            <w:tcW w:w="1022" w:type="dxa"/>
            <w:vMerge w:val="restart"/>
            <w:vAlign w:val="center"/>
          </w:tcPr>
          <w:p w14:paraId="0F5C7E88">
            <w:pPr>
              <w:ind w:left="-105" w:right="-105"/>
              <w:jc w:val="center"/>
              <w:textAlignment w:val="baseline"/>
              <w:rPr>
                <w:rFonts w:ascii="Times New Roman" w:hAnsi="Times New Roman"/>
                <w:b/>
                <w:color w:val="auto"/>
                <w:sz w:val="21"/>
                <w:szCs w:val="21"/>
                <w:highlight w:val="none"/>
              </w:rPr>
            </w:pPr>
            <w:r>
              <w:rPr>
                <w:rFonts w:ascii="Times New Roman" w:hAnsi="Times New Roman"/>
                <w:b/>
                <w:color w:val="auto"/>
                <w:sz w:val="21"/>
                <w:szCs w:val="21"/>
                <w:highlight w:val="none"/>
              </w:rPr>
              <w:t>污染物</w:t>
            </w:r>
            <w:r>
              <w:rPr>
                <w:rFonts w:hint="eastAsia" w:ascii="Times New Roman" w:hAnsi="Times New Roman"/>
                <w:b/>
                <w:color w:val="auto"/>
                <w:sz w:val="21"/>
                <w:szCs w:val="21"/>
                <w:highlight w:val="none"/>
              </w:rPr>
              <w:t>种类</w:t>
            </w:r>
          </w:p>
        </w:tc>
        <w:tc>
          <w:tcPr>
            <w:tcW w:w="1044" w:type="dxa"/>
            <w:vMerge w:val="restart"/>
            <w:vAlign w:val="center"/>
          </w:tcPr>
          <w:p w14:paraId="176407AB">
            <w:pPr>
              <w:ind w:left="-105" w:right="-105"/>
              <w:jc w:val="center"/>
              <w:textAlignment w:val="baseline"/>
              <w:rPr>
                <w:rFonts w:ascii="Times New Roman" w:hAnsi="Times New Roman"/>
                <w:b/>
                <w:color w:val="auto"/>
                <w:sz w:val="21"/>
                <w:szCs w:val="21"/>
                <w:highlight w:val="none"/>
              </w:rPr>
            </w:pPr>
            <w:r>
              <w:rPr>
                <w:rFonts w:hint="eastAsia" w:ascii="Times New Roman" w:hAnsi="Times New Roman"/>
                <w:b/>
                <w:color w:val="auto"/>
                <w:sz w:val="21"/>
                <w:szCs w:val="21"/>
                <w:highlight w:val="none"/>
              </w:rPr>
              <w:t>治理</w:t>
            </w:r>
            <w:r>
              <w:rPr>
                <w:rFonts w:ascii="Times New Roman" w:hAnsi="Times New Roman"/>
                <w:b/>
                <w:color w:val="auto"/>
                <w:sz w:val="21"/>
                <w:szCs w:val="21"/>
                <w:highlight w:val="none"/>
              </w:rPr>
              <w:t>措施</w:t>
            </w:r>
          </w:p>
        </w:tc>
        <w:tc>
          <w:tcPr>
            <w:tcW w:w="900" w:type="dxa"/>
            <w:vMerge w:val="restart"/>
            <w:vAlign w:val="center"/>
          </w:tcPr>
          <w:p w14:paraId="310A1476">
            <w:pPr>
              <w:ind w:left="-105" w:right="-105"/>
              <w:jc w:val="center"/>
              <w:textAlignment w:val="baseline"/>
              <w:rPr>
                <w:rFonts w:ascii="Times New Roman" w:hAnsi="Times New Roman"/>
                <w:b/>
                <w:color w:val="auto"/>
                <w:sz w:val="21"/>
                <w:szCs w:val="21"/>
                <w:highlight w:val="none"/>
              </w:rPr>
            </w:pPr>
            <w:r>
              <w:rPr>
                <w:rFonts w:hint="eastAsia" w:ascii="Times New Roman" w:hAnsi="Times New Roman"/>
                <w:b/>
                <w:color w:val="auto"/>
                <w:sz w:val="21"/>
                <w:szCs w:val="21"/>
                <w:highlight w:val="none"/>
              </w:rPr>
              <w:t>排气量(m</w:t>
            </w:r>
            <w:r>
              <w:rPr>
                <w:rFonts w:hint="eastAsia" w:ascii="Times New Roman" w:hAnsi="Times New Roman"/>
                <w:b/>
                <w:color w:val="auto"/>
                <w:sz w:val="21"/>
                <w:szCs w:val="21"/>
                <w:highlight w:val="none"/>
                <w:vertAlign w:val="superscript"/>
              </w:rPr>
              <w:t>3</w:t>
            </w:r>
            <w:r>
              <w:rPr>
                <w:rFonts w:hint="eastAsia" w:ascii="Times New Roman" w:hAnsi="Times New Roman"/>
                <w:b/>
                <w:color w:val="auto"/>
                <w:sz w:val="21"/>
                <w:szCs w:val="21"/>
                <w:highlight w:val="none"/>
              </w:rPr>
              <w:t>/h)</w:t>
            </w:r>
          </w:p>
        </w:tc>
        <w:tc>
          <w:tcPr>
            <w:tcW w:w="786" w:type="dxa"/>
            <w:vMerge w:val="restart"/>
            <w:vAlign w:val="center"/>
          </w:tcPr>
          <w:p w14:paraId="0B61597E">
            <w:pPr>
              <w:ind w:left="-105" w:right="-105"/>
              <w:jc w:val="center"/>
              <w:textAlignment w:val="baseline"/>
              <w:rPr>
                <w:rFonts w:ascii="Times New Roman" w:hAnsi="Times New Roman"/>
                <w:b/>
                <w:color w:val="auto"/>
                <w:sz w:val="21"/>
                <w:szCs w:val="21"/>
                <w:highlight w:val="none"/>
              </w:rPr>
            </w:pPr>
            <w:r>
              <w:rPr>
                <w:rFonts w:hint="eastAsia" w:ascii="Times New Roman" w:hAnsi="Times New Roman"/>
                <w:b/>
                <w:color w:val="auto"/>
                <w:sz w:val="21"/>
                <w:szCs w:val="21"/>
                <w:highlight w:val="none"/>
              </w:rPr>
              <w:t>去除率(%)</w:t>
            </w:r>
          </w:p>
        </w:tc>
        <w:tc>
          <w:tcPr>
            <w:tcW w:w="2004" w:type="dxa"/>
            <w:gridSpan w:val="3"/>
            <w:vAlign w:val="center"/>
          </w:tcPr>
          <w:p w14:paraId="16E1DC2D">
            <w:pPr>
              <w:ind w:left="-105" w:right="-105"/>
              <w:jc w:val="center"/>
              <w:textAlignment w:val="baseline"/>
              <w:rPr>
                <w:rFonts w:ascii="Times New Roman" w:hAnsi="Times New Roman"/>
                <w:b/>
                <w:color w:val="auto"/>
                <w:sz w:val="21"/>
                <w:szCs w:val="21"/>
                <w:highlight w:val="none"/>
              </w:rPr>
            </w:pPr>
            <w:r>
              <w:rPr>
                <w:rFonts w:hint="eastAsia" w:ascii="Times New Roman" w:hAnsi="Times New Roman"/>
                <w:b/>
                <w:color w:val="auto"/>
                <w:sz w:val="21"/>
                <w:szCs w:val="21"/>
                <w:highlight w:val="none"/>
              </w:rPr>
              <w:t>排气筒(m)</w:t>
            </w:r>
          </w:p>
        </w:tc>
        <w:tc>
          <w:tcPr>
            <w:tcW w:w="818" w:type="dxa"/>
            <w:vMerge w:val="restart"/>
            <w:vAlign w:val="center"/>
          </w:tcPr>
          <w:p w14:paraId="41530485">
            <w:pPr>
              <w:ind w:left="-105" w:right="-105"/>
              <w:jc w:val="center"/>
              <w:textAlignment w:val="baseline"/>
              <w:rPr>
                <w:rFonts w:ascii="Times New Roman" w:hAnsi="Times New Roman"/>
                <w:b/>
                <w:color w:val="auto"/>
                <w:sz w:val="21"/>
                <w:szCs w:val="21"/>
                <w:highlight w:val="none"/>
              </w:rPr>
            </w:pPr>
            <w:r>
              <w:rPr>
                <w:rFonts w:ascii="Times New Roman" w:hAnsi="Times New Roman"/>
                <w:b/>
                <w:color w:val="auto"/>
                <w:sz w:val="21"/>
                <w:szCs w:val="21"/>
                <w:highlight w:val="none"/>
              </w:rPr>
              <w:t>工作时间</w:t>
            </w:r>
          </w:p>
          <w:p w14:paraId="5EC940A7">
            <w:pPr>
              <w:ind w:left="-105" w:right="-105"/>
              <w:jc w:val="center"/>
              <w:textAlignment w:val="baseline"/>
              <w:rPr>
                <w:rFonts w:ascii="Times New Roman" w:hAnsi="Times New Roman"/>
                <w:color w:val="auto"/>
                <w:sz w:val="21"/>
                <w:szCs w:val="21"/>
                <w:highlight w:val="none"/>
              </w:rPr>
            </w:pPr>
            <w:r>
              <w:rPr>
                <w:rFonts w:ascii="Times New Roman" w:hAnsi="Times New Roman"/>
                <w:b/>
                <w:color w:val="auto"/>
                <w:sz w:val="21"/>
                <w:szCs w:val="21"/>
                <w:highlight w:val="none"/>
              </w:rPr>
              <w:t>(h/a)</w:t>
            </w:r>
          </w:p>
        </w:tc>
      </w:tr>
      <w:tr w14:paraId="6E906CF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67" w:hRule="atLeast"/>
          <w:jc w:val="center"/>
        </w:trPr>
        <w:tc>
          <w:tcPr>
            <w:tcW w:w="504" w:type="dxa"/>
            <w:vMerge w:val="continue"/>
            <w:vAlign w:val="center"/>
          </w:tcPr>
          <w:p w14:paraId="176D9D0F">
            <w:pPr>
              <w:ind w:left="-105" w:right="-105"/>
              <w:jc w:val="center"/>
              <w:textAlignment w:val="baseline"/>
              <w:rPr>
                <w:color w:val="auto"/>
                <w:sz w:val="21"/>
                <w:szCs w:val="21"/>
                <w:highlight w:val="none"/>
              </w:rPr>
            </w:pPr>
          </w:p>
        </w:tc>
        <w:tc>
          <w:tcPr>
            <w:tcW w:w="1146" w:type="dxa"/>
            <w:vMerge w:val="continue"/>
            <w:vAlign w:val="center"/>
          </w:tcPr>
          <w:p w14:paraId="486FCFB7">
            <w:pPr>
              <w:ind w:left="-105" w:right="-105"/>
              <w:jc w:val="center"/>
              <w:textAlignment w:val="baseline"/>
              <w:rPr>
                <w:color w:val="auto"/>
                <w:sz w:val="21"/>
                <w:szCs w:val="21"/>
                <w:highlight w:val="none"/>
              </w:rPr>
            </w:pPr>
          </w:p>
        </w:tc>
        <w:tc>
          <w:tcPr>
            <w:tcW w:w="658" w:type="dxa"/>
            <w:vMerge w:val="continue"/>
            <w:vAlign w:val="center"/>
          </w:tcPr>
          <w:p w14:paraId="0E3D6620">
            <w:pPr>
              <w:ind w:left="-105" w:right="-105"/>
              <w:jc w:val="center"/>
              <w:textAlignment w:val="baseline"/>
              <w:rPr>
                <w:color w:val="auto"/>
                <w:sz w:val="21"/>
                <w:szCs w:val="21"/>
                <w:highlight w:val="none"/>
              </w:rPr>
            </w:pPr>
          </w:p>
        </w:tc>
        <w:tc>
          <w:tcPr>
            <w:tcW w:w="1022" w:type="dxa"/>
            <w:vMerge w:val="continue"/>
            <w:vAlign w:val="center"/>
          </w:tcPr>
          <w:p w14:paraId="78294776">
            <w:pPr>
              <w:ind w:left="-105" w:right="-105"/>
              <w:jc w:val="center"/>
              <w:textAlignment w:val="baseline"/>
              <w:rPr>
                <w:color w:val="auto"/>
                <w:sz w:val="21"/>
                <w:szCs w:val="21"/>
                <w:highlight w:val="none"/>
              </w:rPr>
            </w:pPr>
          </w:p>
        </w:tc>
        <w:tc>
          <w:tcPr>
            <w:tcW w:w="1044" w:type="dxa"/>
            <w:vMerge w:val="continue"/>
            <w:vAlign w:val="center"/>
          </w:tcPr>
          <w:p w14:paraId="710127D5">
            <w:pPr>
              <w:ind w:left="-105" w:right="-105"/>
              <w:jc w:val="center"/>
              <w:textAlignment w:val="baseline"/>
              <w:rPr>
                <w:color w:val="auto"/>
                <w:sz w:val="21"/>
                <w:szCs w:val="21"/>
                <w:highlight w:val="none"/>
              </w:rPr>
            </w:pPr>
          </w:p>
        </w:tc>
        <w:tc>
          <w:tcPr>
            <w:tcW w:w="900" w:type="dxa"/>
            <w:vMerge w:val="continue"/>
            <w:vAlign w:val="center"/>
          </w:tcPr>
          <w:p w14:paraId="1F8EB72C">
            <w:pPr>
              <w:ind w:left="-105" w:right="-105"/>
              <w:jc w:val="center"/>
              <w:textAlignment w:val="baseline"/>
              <w:rPr>
                <w:color w:val="auto"/>
                <w:sz w:val="21"/>
                <w:szCs w:val="21"/>
                <w:highlight w:val="none"/>
              </w:rPr>
            </w:pPr>
          </w:p>
        </w:tc>
        <w:tc>
          <w:tcPr>
            <w:tcW w:w="786" w:type="dxa"/>
            <w:vMerge w:val="continue"/>
            <w:vAlign w:val="center"/>
          </w:tcPr>
          <w:p w14:paraId="52B6B558">
            <w:pPr>
              <w:ind w:left="-105" w:right="-105"/>
              <w:jc w:val="center"/>
              <w:textAlignment w:val="baseline"/>
              <w:rPr>
                <w:color w:val="auto"/>
                <w:sz w:val="21"/>
                <w:szCs w:val="21"/>
                <w:highlight w:val="none"/>
              </w:rPr>
            </w:pPr>
          </w:p>
        </w:tc>
        <w:tc>
          <w:tcPr>
            <w:tcW w:w="642" w:type="dxa"/>
            <w:vAlign w:val="center"/>
          </w:tcPr>
          <w:p w14:paraId="4DB9AFDE">
            <w:pPr>
              <w:ind w:left="-105" w:right="-105"/>
              <w:jc w:val="center"/>
              <w:textAlignment w:val="baseline"/>
              <w:rPr>
                <w:rFonts w:ascii="Times New Roman" w:hAnsi="Times New Roman"/>
                <w:b/>
                <w:color w:val="auto"/>
                <w:sz w:val="21"/>
                <w:szCs w:val="21"/>
                <w:highlight w:val="none"/>
              </w:rPr>
            </w:pPr>
            <w:r>
              <w:rPr>
                <w:rFonts w:hint="eastAsia" w:ascii="Times New Roman" w:hAnsi="Times New Roman"/>
                <w:b/>
                <w:color w:val="auto"/>
                <w:sz w:val="21"/>
                <w:szCs w:val="21"/>
                <w:highlight w:val="none"/>
              </w:rPr>
              <w:t>名称</w:t>
            </w:r>
          </w:p>
        </w:tc>
        <w:tc>
          <w:tcPr>
            <w:tcW w:w="642" w:type="dxa"/>
            <w:vAlign w:val="center"/>
          </w:tcPr>
          <w:p w14:paraId="686EA375">
            <w:pPr>
              <w:ind w:left="-105" w:right="-105"/>
              <w:jc w:val="center"/>
              <w:textAlignment w:val="baseline"/>
              <w:rPr>
                <w:rFonts w:ascii="Times New Roman" w:hAnsi="Times New Roman"/>
                <w:b/>
                <w:color w:val="auto"/>
                <w:sz w:val="21"/>
                <w:szCs w:val="21"/>
                <w:highlight w:val="none"/>
              </w:rPr>
            </w:pPr>
            <w:r>
              <w:rPr>
                <w:rFonts w:hint="eastAsia" w:ascii="Times New Roman" w:hAnsi="Times New Roman"/>
                <w:b/>
                <w:color w:val="auto"/>
                <w:sz w:val="21"/>
                <w:szCs w:val="21"/>
                <w:highlight w:val="none"/>
              </w:rPr>
              <w:t>内径</w:t>
            </w:r>
          </w:p>
        </w:tc>
        <w:tc>
          <w:tcPr>
            <w:tcW w:w="720" w:type="dxa"/>
            <w:vAlign w:val="center"/>
          </w:tcPr>
          <w:p w14:paraId="30D76A67">
            <w:pPr>
              <w:ind w:left="-105" w:right="-105"/>
              <w:jc w:val="center"/>
              <w:textAlignment w:val="baseline"/>
              <w:rPr>
                <w:rFonts w:ascii="Times New Roman" w:hAnsi="Times New Roman"/>
                <w:b/>
                <w:color w:val="auto"/>
                <w:sz w:val="21"/>
                <w:szCs w:val="21"/>
                <w:highlight w:val="none"/>
              </w:rPr>
            </w:pPr>
            <w:r>
              <w:rPr>
                <w:rFonts w:hint="eastAsia" w:ascii="Times New Roman" w:hAnsi="Times New Roman"/>
                <w:b/>
                <w:color w:val="auto"/>
                <w:sz w:val="21"/>
                <w:szCs w:val="21"/>
                <w:highlight w:val="none"/>
              </w:rPr>
              <w:t>高度</w:t>
            </w:r>
          </w:p>
        </w:tc>
        <w:tc>
          <w:tcPr>
            <w:tcW w:w="818" w:type="dxa"/>
            <w:vMerge w:val="continue"/>
            <w:vAlign w:val="center"/>
          </w:tcPr>
          <w:p w14:paraId="6989E112">
            <w:pPr>
              <w:ind w:left="-105" w:right="-105"/>
              <w:jc w:val="center"/>
              <w:textAlignment w:val="baseline"/>
              <w:rPr>
                <w:rFonts w:ascii="Times New Roman" w:hAnsi="Times New Roman"/>
                <w:b/>
                <w:color w:val="auto"/>
                <w:sz w:val="21"/>
                <w:szCs w:val="21"/>
                <w:highlight w:val="none"/>
              </w:rPr>
            </w:pPr>
          </w:p>
        </w:tc>
      </w:tr>
      <w:tr w14:paraId="6A8F988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504" w:type="dxa"/>
            <w:vMerge w:val="restart"/>
            <w:vAlign w:val="center"/>
          </w:tcPr>
          <w:p w14:paraId="178CC4C0">
            <w:pPr>
              <w:ind w:left="-105" w:right="-105"/>
              <w:jc w:val="center"/>
              <w:textAlignment w:val="center"/>
              <w:rPr>
                <w:rFonts w:ascii="Times New Roman" w:hAnsi="Times New Roman"/>
                <w:color w:val="auto"/>
                <w:sz w:val="21"/>
                <w:szCs w:val="21"/>
                <w:highlight w:val="none"/>
              </w:rPr>
            </w:pPr>
            <w:r>
              <w:rPr>
                <w:rFonts w:ascii="Times New Roman" w:hAnsi="Times New Roman"/>
                <w:color w:val="auto"/>
                <w:sz w:val="21"/>
                <w:szCs w:val="21"/>
                <w:highlight w:val="none"/>
                <w:lang w:bidi="ar"/>
              </w:rPr>
              <w:t>1</w:t>
            </w:r>
          </w:p>
        </w:tc>
        <w:tc>
          <w:tcPr>
            <w:tcW w:w="1146" w:type="dxa"/>
            <w:vMerge w:val="restart"/>
            <w:vAlign w:val="center"/>
          </w:tcPr>
          <w:p w14:paraId="3791F685">
            <w:pPr>
              <w:ind w:left="-105" w:right="-105"/>
              <w:jc w:val="center"/>
              <w:textAlignment w:val="center"/>
              <w:rPr>
                <w:rFonts w:ascii="Times New Roman" w:hAnsi="Times New Roman"/>
                <w:color w:val="auto"/>
                <w:sz w:val="21"/>
                <w:szCs w:val="21"/>
                <w:highlight w:val="none"/>
              </w:rPr>
            </w:pPr>
            <w:r>
              <w:rPr>
                <w:rFonts w:hint="eastAsia" w:ascii="Times New Roman" w:hAnsi="Times New Roman"/>
                <w:color w:val="auto"/>
                <w:sz w:val="21"/>
                <w:szCs w:val="21"/>
                <w:highlight w:val="none"/>
                <w:lang w:eastAsia="zh-CN"/>
              </w:rPr>
              <w:t>一工场</w:t>
            </w:r>
            <w:r>
              <w:rPr>
                <w:rFonts w:hint="eastAsia" w:ascii="Times New Roman" w:hAnsi="Times New Roman"/>
                <w:color w:val="auto"/>
                <w:sz w:val="21"/>
                <w:szCs w:val="21"/>
                <w:highlight w:val="none"/>
              </w:rPr>
              <w:t>北侧4台反应釜（5000L*2、8000L*2）</w:t>
            </w:r>
          </w:p>
        </w:tc>
        <w:tc>
          <w:tcPr>
            <w:tcW w:w="658" w:type="dxa"/>
            <w:vMerge w:val="restart"/>
            <w:vAlign w:val="center"/>
          </w:tcPr>
          <w:p w14:paraId="193C815A">
            <w:pPr>
              <w:ind w:left="-105" w:right="-105"/>
              <w:jc w:val="center"/>
              <w:textAlignment w:val="center"/>
              <w:rPr>
                <w:rFonts w:ascii="Times New Roman" w:hAnsi="Times New Roman"/>
                <w:color w:val="auto"/>
                <w:sz w:val="21"/>
                <w:szCs w:val="21"/>
                <w:highlight w:val="none"/>
                <w:lang w:bidi="ar"/>
              </w:rPr>
            </w:pPr>
            <w:r>
              <w:rPr>
                <w:rFonts w:hint="eastAsia" w:ascii="Times New Roman" w:hAnsi="Times New Roman"/>
                <w:color w:val="auto"/>
                <w:sz w:val="21"/>
                <w:szCs w:val="21"/>
                <w:highlight w:val="none"/>
                <w:lang w:bidi="ar"/>
              </w:rPr>
              <w:t>有组织</w:t>
            </w:r>
          </w:p>
        </w:tc>
        <w:tc>
          <w:tcPr>
            <w:tcW w:w="1022" w:type="dxa"/>
            <w:vAlign w:val="center"/>
          </w:tcPr>
          <w:p w14:paraId="4F4E9943">
            <w:pPr>
              <w:ind w:left="-105" w:right="-105"/>
              <w:jc w:val="center"/>
              <w:textAlignment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2-乙二醇单乙醚醋酸酯</w:t>
            </w:r>
          </w:p>
        </w:tc>
        <w:tc>
          <w:tcPr>
            <w:tcW w:w="1044" w:type="dxa"/>
            <w:vMerge w:val="restart"/>
            <w:vAlign w:val="center"/>
          </w:tcPr>
          <w:p w14:paraId="15592800">
            <w:pPr>
              <w:ind w:left="-105" w:right="-105"/>
              <w:jc w:val="center"/>
              <w:textAlignment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冷凝+3级碱液喷淋+活性炭吸附装置</w:t>
            </w:r>
          </w:p>
        </w:tc>
        <w:tc>
          <w:tcPr>
            <w:tcW w:w="900" w:type="dxa"/>
            <w:vMerge w:val="restart"/>
            <w:vAlign w:val="center"/>
          </w:tcPr>
          <w:p w14:paraId="6C81B2C1">
            <w:pPr>
              <w:ind w:left="-105" w:right="-105"/>
              <w:jc w:val="center"/>
              <w:textAlignment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5000</w:t>
            </w:r>
          </w:p>
        </w:tc>
        <w:tc>
          <w:tcPr>
            <w:tcW w:w="786" w:type="dxa"/>
            <w:vAlign w:val="center"/>
          </w:tcPr>
          <w:p w14:paraId="24FCA178">
            <w:pPr>
              <w:ind w:left="-105" w:right="-105"/>
              <w:jc w:val="center"/>
              <w:textAlignment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50</w:t>
            </w:r>
          </w:p>
        </w:tc>
        <w:tc>
          <w:tcPr>
            <w:tcW w:w="642" w:type="dxa"/>
            <w:vMerge w:val="restart"/>
            <w:vAlign w:val="center"/>
          </w:tcPr>
          <w:p w14:paraId="33E53AE7">
            <w:pPr>
              <w:ind w:left="-105" w:right="-105"/>
              <w:jc w:val="center"/>
              <w:textAlignment w:val="center"/>
              <w:rPr>
                <w:rStyle w:val="115"/>
                <w:rFonts w:hint="default" w:ascii="Times New Roman" w:hAnsi="Times New Roman" w:cs="Times New Roman"/>
                <w:color w:val="auto"/>
                <w:highlight w:val="none"/>
                <w:lang w:bidi="ar"/>
              </w:rPr>
            </w:pPr>
            <w:r>
              <w:rPr>
                <w:rStyle w:val="115"/>
                <w:rFonts w:hint="default" w:ascii="Times New Roman" w:hAnsi="Times New Roman" w:cs="Times New Roman"/>
                <w:color w:val="auto"/>
                <w:highlight w:val="none"/>
                <w:lang w:bidi="ar"/>
              </w:rPr>
              <w:t>DA001</w:t>
            </w:r>
          </w:p>
        </w:tc>
        <w:tc>
          <w:tcPr>
            <w:tcW w:w="642" w:type="dxa"/>
            <w:vMerge w:val="restart"/>
            <w:vAlign w:val="center"/>
          </w:tcPr>
          <w:p w14:paraId="4E533001">
            <w:pPr>
              <w:ind w:left="-105" w:right="-105"/>
              <w:jc w:val="center"/>
              <w:textAlignment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0.32</w:t>
            </w:r>
          </w:p>
        </w:tc>
        <w:tc>
          <w:tcPr>
            <w:tcW w:w="720" w:type="dxa"/>
            <w:vMerge w:val="restart"/>
            <w:vAlign w:val="center"/>
          </w:tcPr>
          <w:p w14:paraId="6D9F4247">
            <w:pPr>
              <w:ind w:left="-105" w:right="-105"/>
              <w:jc w:val="center"/>
              <w:textAlignment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20</w:t>
            </w:r>
          </w:p>
        </w:tc>
        <w:tc>
          <w:tcPr>
            <w:tcW w:w="818" w:type="dxa"/>
            <w:vMerge w:val="restart"/>
            <w:vAlign w:val="center"/>
          </w:tcPr>
          <w:p w14:paraId="1FC177E9">
            <w:pPr>
              <w:ind w:left="-105" w:right="-105"/>
              <w:jc w:val="center"/>
              <w:textAlignment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8400</w:t>
            </w:r>
          </w:p>
        </w:tc>
      </w:tr>
      <w:tr w14:paraId="004B692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504" w:type="dxa"/>
            <w:vMerge w:val="continue"/>
            <w:vAlign w:val="center"/>
          </w:tcPr>
          <w:p w14:paraId="35D1DF49">
            <w:pPr>
              <w:ind w:left="-105" w:right="-105"/>
              <w:jc w:val="center"/>
              <w:rPr>
                <w:rFonts w:ascii="Times New Roman" w:hAnsi="Times New Roman"/>
                <w:color w:val="auto"/>
                <w:sz w:val="21"/>
                <w:szCs w:val="21"/>
                <w:highlight w:val="none"/>
              </w:rPr>
            </w:pPr>
          </w:p>
        </w:tc>
        <w:tc>
          <w:tcPr>
            <w:tcW w:w="1146" w:type="dxa"/>
            <w:vMerge w:val="continue"/>
            <w:vAlign w:val="center"/>
          </w:tcPr>
          <w:p w14:paraId="307B634E">
            <w:pPr>
              <w:ind w:left="-105" w:right="-105"/>
              <w:jc w:val="center"/>
              <w:rPr>
                <w:rFonts w:ascii="Times New Roman" w:hAnsi="Times New Roman"/>
                <w:color w:val="auto"/>
                <w:sz w:val="21"/>
                <w:szCs w:val="21"/>
                <w:highlight w:val="none"/>
              </w:rPr>
            </w:pPr>
          </w:p>
        </w:tc>
        <w:tc>
          <w:tcPr>
            <w:tcW w:w="658" w:type="dxa"/>
            <w:vMerge w:val="continue"/>
            <w:vAlign w:val="center"/>
          </w:tcPr>
          <w:p w14:paraId="6A0FB8E5">
            <w:pPr>
              <w:ind w:left="-105" w:right="-105"/>
              <w:jc w:val="center"/>
              <w:rPr>
                <w:rFonts w:ascii="Times New Roman" w:hAnsi="Times New Roman"/>
                <w:color w:val="auto"/>
                <w:sz w:val="21"/>
                <w:szCs w:val="21"/>
                <w:highlight w:val="none"/>
                <w:lang w:bidi="ar"/>
              </w:rPr>
            </w:pPr>
          </w:p>
        </w:tc>
        <w:tc>
          <w:tcPr>
            <w:tcW w:w="1022" w:type="dxa"/>
            <w:vAlign w:val="center"/>
          </w:tcPr>
          <w:p w14:paraId="77209C6B">
            <w:pPr>
              <w:ind w:left="-105" w:right="-105"/>
              <w:jc w:val="center"/>
              <w:textAlignment w:val="center"/>
              <w:rPr>
                <w:rFonts w:ascii="Times New Roman" w:hAnsi="Times New Roman"/>
                <w:bCs/>
                <w:color w:val="auto"/>
                <w:sz w:val="21"/>
                <w:szCs w:val="21"/>
                <w:highlight w:val="none"/>
              </w:rPr>
            </w:pPr>
            <w:r>
              <w:rPr>
                <w:rFonts w:hint="eastAsia" w:ascii="Times New Roman" w:hAnsi="Times New Roman"/>
                <w:bCs/>
                <w:color w:val="auto"/>
                <w:sz w:val="21"/>
                <w:szCs w:val="21"/>
                <w:highlight w:val="none"/>
              </w:rPr>
              <w:t>丙烯酸</w:t>
            </w:r>
          </w:p>
        </w:tc>
        <w:tc>
          <w:tcPr>
            <w:tcW w:w="1044" w:type="dxa"/>
            <w:vMerge w:val="continue"/>
            <w:vAlign w:val="center"/>
          </w:tcPr>
          <w:p w14:paraId="60F131CE">
            <w:pPr>
              <w:ind w:left="-105" w:right="-105"/>
              <w:jc w:val="center"/>
              <w:rPr>
                <w:rFonts w:ascii="Times New Roman" w:hAnsi="Times New Roman"/>
                <w:color w:val="auto"/>
                <w:sz w:val="21"/>
                <w:szCs w:val="21"/>
                <w:highlight w:val="none"/>
              </w:rPr>
            </w:pPr>
          </w:p>
        </w:tc>
        <w:tc>
          <w:tcPr>
            <w:tcW w:w="900" w:type="dxa"/>
            <w:vMerge w:val="continue"/>
            <w:vAlign w:val="center"/>
          </w:tcPr>
          <w:p w14:paraId="3E95EC0E">
            <w:pPr>
              <w:ind w:left="-105" w:right="-105"/>
              <w:jc w:val="center"/>
              <w:rPr>
                <w:rFonts w:ascii="Times New Roman" w:hAnsi="Times New Roman"/>
                <w:color w:val="auto"/>
                <w:sz w:val="21"/>
                <w:szCs w:val="21"/>
                <w:highlight w:val="none"/>
              </w:rPr>
            </w:pPr>
          </w:p>
        </w:tc>
        <w:tc>
          <w:tcPr>
            <w:tcW w:w="786" w:type="dxa"/>
            <w:vAlign w:val="center"/>
          </w:tcPr>
          <w:p w14:paraId="6A911C86">
            <w:pPr>
              <w:ind w:left="-105" w:right="-105"/>
              <w:jc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98</w:t>
            </w:r>
          </w:p>
        </w:tc>
        <w:tc>
          <w:tcPr>
            <w:tcW w:w="642" w:type="dxa"/>
            <w:vMerge w:val="continue"/>
            <w:vAlign w:val="center"/>
          </w:tcPr>
          <w:p w14:paraId="214D3D41">
            <w:pPr>
              <w:ind w:left="-105" w:right="-105"/>
              <w:jc w:val="center"/>
              <w:rPr>
                <w:rFonts w:ascii="Times New Roman" w:hAnsi="Times New Roman"/>
                <w:color w:val="auto"/>
                <w:sz w:val="21"/>
                <w:szCs w:val="21"/>
                <w:highlight w:val="none"/>
              </w:rPr>
            </w:pPr>
          </w:p>
        </w:tc>
        <w:tc>
          <w:tcPr>
            <w:tcW w:w="642" w:type="dxa"/>
            <w:vMerge w:val="continue"/>
            <w:vAlign w:val="center"/>
          </w:tcPr>
          <w:p w14:paraId="633081DD">
            <w:pPr>
              <w:ind w:left="-105" w:right="-105"/>
              <w:jc w:val="center"/>
              <w:textAlignment w:val="center"/>
              <w:rPr>
                <w:rFonts w:ascii="Times New Roman" w:hAnsi="Times New Roman"/>
                <w:color w:val="auto"/>
                <w:sz w:val="21"/>
                <w:szCs w:val="21"/>
                <w:highlight w:val="none"/>
              </w:rPr>
            </w:pPr>
          </w:p>
        </w:tc>
        <w:tc>
          <w:tcPr>
            <w:tcW w:w="720" w:type="dxa"/>
            <w:vMerge w:val="continue"/>
            <w:vAlign w:val="center"/>
          </w:tcPr>
          <w:p w14:paraId="2EAACBF7">
            <w:pPr>
              <w:ind w:left="-105" w:right="-105"/>
              <w:jc w:val="center"/>
              <w:rPr>
                <w:rFonts w:ascii="Times New Roman" w:hAnsi="Times New Roman"/>
                <w:color w:val="auto"/>
                <w:sz w:val="21"/>
                <w:szCs w:val="21"/>
                <w:highlight w:val="none"/>
              </w:rPr>
            </w:pPr>
          </w:p>
        </w:tc>
        <w:tc>
          <w:tcPr>
            <w:tcW w:w="818" w:type="dxa"/>
            <w:vMerge w:val="continue"/>
            <w:vAlign w:val="center"/>
          </w:tcPr>
          <w:p w14:paraId="65279A6E">
            <w:pPr>
              <w:ind w:left="-105" w:right="-105"/>
              <w:jc w:val="center"/>
              <w:textAlignment w:val="center"/>
              <w:rPr>
                <w:rFonts w:ascii="Times New Roman" w:hAnsi="Times New Roman"/>
                <w:color w:val="auto"/>
                <w:sz w:val="21"/>
                <w:szCs w:val="21"/>
                <w:highlight w:val="none"/>
              </w:rPr>
            </w:pPr>
          </w:p>
        </w:tc>
      </w:tr>
      <w:tr w14:paraId="4891B59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504" w:type="dxa"/>
            <w:vMerge w:val="continue"/>
            <w:vAlign w:val="center"/>
          </w:tcPr>
          <w:p w14:paraId="0176F339">
            <w:pPr>
              <w:ind w:left="-105" w:right="-105"/>
              <w:jc w:val="center"/>
              <w:rPr>
                <w:rFonts w:ascii="Times New Roman" w:hAnsi="Times New Roman"/>
                <w:color w:val="auto"/>
                <w:sz w:val="21"/>
                <w:szCs w:val="21"/>
                <w:highlight w:val="none"/>
              </w:rPr>
            </w:pPr>
          </w:p>
        </w:tc>
        <w:tc>
          <w:tcPr>
            <w:tcW w:w="1146" w:type="dxa"/>
            <w:vMerge w:val="continue"/>
            <w:vAlign w:val="center"/>
          </w:tcPr>
          <w:p w14:paraId="7257C9A1">
            <w:pPr>
              <w:ind w:left="-105" w:right="-105"/>
              <w:jc w:val="center"/>
              <w:rPr>
                <w:rFonts w:ascii="Times New Roman" w:hAnsi="Times New Roman"/>
                <w:color w:val="auto"/>
                <w:sz w:val="21"/>
                <w:szCs w:val="21"/>
                <w:highlight w:val="none"/>
              </w:rPr>
            </w:pPr>
          </w:p>
        </w:tc>
        <w:tc>
          <w:tcPr>
            <w:tcW w:w="658" w:type="dxa"/>
            <w:vMerge w:val="continue"/>
            <w:vAlign w:val="center"/>
          </w:tcPr>
          <w:p w14:paraId="24267B8D">
            <w:pPr>
              <w:ind w:left="-105" w:right="-105"/>
              <w:jc w:val="center"/>
              <w:rPr>
                <w:rFonts w:ascii="Times New Roman" w:hAnsi="Times New Roman"/>
                <w:color w:val="auto"/>
                <w:sz w:val="21"/>
                <w:szCs w:val="21"/>
                <w:highlight w:val="none"/>
                <w:lang w:bidi="ar"/>
              </w:rPr>
            </w:pPr>
          </w:p>
        </w:tc>
        <w:tc>
          <w:tcPr>
            <w:tcW w:w="1022" w:type="dxa"/>
            <w:vAlign w:val="center"/>
          </w:tcPr>
          <w:p w14:paraId="3709D59E">
            <w:pPr>
              <w:ind w:left="-105" w:right="-105"/>
              <w:jc w:val="center"/>
              <w:textAlignment w:val="center"/>
              <w:rPr>
                <w:rFonts w:ascii="Times New Roman" w:hAnsi="Times New Roman"/>
                <w:bCs/>
                <w:color w:val="auto"/>
                <w:sz w:val="21"/>
                <w:szCs w:val="21"/>
                <w:highlight w:val="none"/>
              </w:rPr>
            </w:pPr>
            <w:r>
              <w:rPr>
                <w:rFonts w:hint="eastAsia" w:ascii="Times New Roman" w:hAnsi="Times New Roman"/>
                <w:bCs/>
                <w:color w:val="auto"/>
                <w:sz w:val="21"/>
                <w:szCs w:val="21"/>
                <w:highlight w:val="none"/>
              </w:rPr>
              <w:t>丁酮</w:t>
            </w:r>
          </w:p>
        </w:tc>
        <w:tc>
          <w:tcPr>
            <w:tcW w:w="1044" w:type="dxa"/>
            <w:vMerge w:val="continue"/>
            <w:vAlign w:val="center"/>
          </w:tcPr>
          <w:p w14:paraId="4CCF7FA7">
            <w:pPr>
              <w:ind w:left="-105" w:right="-105"/>
              <w:jc w:val="center"/>
              <w:rPr>
                <w:rFonts w:ascii="Times New Roman" w:hAnsi="Times New Roman"/>
                <w:color w:val="auto"/>
                <w:sz w:val="21"/>
                <w:szCs w:val="21"/>
                <w:highlight w:val="none"/>
              </w:rPr>
            </w:pPr>
          </w:p>
        </w:tc>
        <w:tc>
          <w:tcPr>
            <w:tcW w:w="900" w:type="dxa"/>
            <w:vMerge w:val="continue"/>
            <w:vAlign w:val="center"/>
          </w:tcPr>
          <w:p w14:paraId="5E65C783">
            <w:pPr>
              <w:ind w:left="-105" w:right="-105"/>
              <w:jc w:val="center"/>
              <w:rPr>
                <w:rFonts w:ascii="Times New Roman" w:hAnsi="Times New Roman"/>
                <w:color w:val="auto"/>
                <w:sz w:val="21"/>
                <w:szCs w:val="21"/>
                <w:highlight w:val="none"/>
              </w:rPr>
            </w:pPr>
          </w:p>
        </w:tc>
        <w:tc>
          <w:tcPr>
            <w:tcW w:w="786" w:type="dxa"/>
            <w:vAlign w:val="center"/>
          </w:tcPr>
          <w:p w14:paraId="3DB32541">
            <w:pPr>
              <w:ind w:left="-105" w:right="-105"/>
              <w:jc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94</w:t>
            </w:r>
          </w:p>
        </w:tc>
        <w:tc>
          <w:tcPr>
            <w:tcW w:w="642" w:type="dxa"/>
            <w:vMerge w:val="continue"/>
            <w:vAlign w:val="center"/>
          </w:tcPr>
          <w:p w14:paraId="50028CF4">
            <w:pPr>
              <w:ind w:left="-105" w:right="-105"/>
              <w:jc w:val="center"/>
              <w:rPr>
                <w:rFonts w:ascii="Times New Roman" w:hAnsi="Times New Roman"/>
                <w:color w:val="auto"/>
                <w:sz w:val="21"/>
                <w:szCs w:val="21"/>
                <w:highlight w:val="none"/>
              </w:rPr>
            </w:pPr>
          </w:p>
        </w:tc>
        <w:tc>
          <w:tcPr>
            <w:tcW w:w="642" w:type="dxa"/>
            <w:vMerge w:val="continue"/>
            <w:vAlign w:val="center"/>
          </w:tcPr>
          <w:p w14:paraId="61975E7C">
            <w:pPr>
              <w:ind w:left="-105" w:right="-105"/>
              <w:jc w:val="center"/>
              <w:textAlignment w:val="center"/>
              <w:rPr>
                <w:rFonts w:ascii="Times New Roman" w:hAnsi="Times New Roman"/>
                <w:color w:val="auto"/>
                <w:sz w:val="21"/>
                <w:szCs w:val="21"/>
                <w:highlight w:val="none"/>
              </w:rPr>
            </w:pPr>
          </w:p>
        </w:tc>
        <w:tc>
          <w:tcPr>
            <w:tcW w:w="720" w:type="dxa"/>
            <w:vMerge w:val="continue"/>
            <w:vAlign w:val="center"/>
          </w:tcPr>
          <w:p w14:paraId="434744DD">
            <w:pPr>
              <w:ind w:left="-105" w:right="-105"/>
              <w:jc w:val="center"/>
              <w:rPr>
                <w:rFonts w:ascii="Times New Roman" w:hAnsi="Times New Roman"/>
                <w:color w:val="auto"/>
                <w:sz w:val="21"/>
                <w:szCs w:val="21"/>
                <w:highlight w:val="none"/>
              </w:rPr>
            </w:pPr>
          </w:p>
        </w:tc>
        <w:tc>
          <w:tcPr>
            <w:tcW w:w="818" w:type="dxa"/>
            <w:vMerge w:val="continue"/>
            <w:vAlign w:val="center"/>
          </w:tcPr>
          <w:p w14:paraId="193579B9">
            <w:pPr>
              <w:ind w:left="-105" w:right="-105"/>
              <w:jc w:val="center"/>
              <w:textAlignment w:val="center"/>
              <w:rPr>
                <w:rFonts w:ascii="Times New Roman" w:hAnsi="Times New Roman"/>
                <w:color w:val="auto"/>
                <w:sz w:val="21"/>
                <w:szCs w:val="21"/>
                <w:highlight w:val="none"/>
              </w:rPr>
            </w:pPr>
          </w:p>
        </w:tc>
      </w:tr>
      <w:tr w14:paraId="13F02C5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504" w:type="dxa"/>
            <w:vMerge w:val="restart"/>
            <w:vAlign w:val="center"/>
          </w:tcPr>
          <w:p w14:paraId="3CE34CB9">
            <w:pPr>
              <w:ind w:left="-105" w:right="-105"/>
              <w:jc w:val="center"/>
              <w:textAlignment w:val="center"/>
              <w:rPr>
                <w:rFonts w:ascii="Times New Roman" w:hAnsi="Times New Roman"/>
                <w:color w:val="auto"/>
                <w:sz w:val="21"/>
                <w:szCs w:val="21"/>
                <w:highlight w:val="none"/>
              </w:rPr>
            </w:pPr>
            <w:r>
              <w:rPr>
                <w:rFonts w:ascii="Times New Roman" w:hAnsi="Times New Roman"/>
                <w:color w:val="auto"/>
                <w:sz w:val="21"/>
                <w:szCs w:val="21"/>
                <w:highlight w:val="none"/>
              </w:rPr>
              <w:t>2</w:t>
            </w:r>
          </w:p>
        </w:tc>
        <w:tc>
          <w:tcPr>
            <w:tcW w:w="1146" w:type="dxa"/>
            <w:vMerge w:val="restart"/>
            <w:vAlign w:val="center"/>
          </w:tcPr>
          <w:p w14:paraId="345E9FD6">
            <w:pPr>
              <w:ind w:left="-105" w:right="-105"/>
              <w:jc w:val="center"/>
              <w:textAlignment w:val="center"/>
              <w:rPr>
                <w:rFonts w:ascii="Times New Roman" w:hAnsi="Times New Roman"/>
                <w:color w:val="auto"/>
                <w:sz w:val="21"/>
                <w:szCs w:val="21"/>
                <w:highlight w:val="none"/>
              </w:rPr>
            </w:pPr>
            <w:r>
              <w:rPr>
                <w:rFonts w:hint="eastAsia" w:ascii="Times New Roman" w:hAnsi="Times New Roman"/>
                <w:color w:val="auto"/>
                <w:sz w:val="21"/>
                <w:szCs w:val="21"/>
                <w:highlight w:val="none"/>
                <w:lang w:eastAsia="zh-CN"/>
              </w:rPr>
              <w:t>一工场</w:t>
            </w:r>
            <w:r>
              <w:rPr>
                <w:rFonts w:hint="eastAsia" w:ascii="Times New Roman" w:hAnsi="Times New Roman"/>
                <w:color w:val="auto"/>
                <w:sz w:val="21"/>
                <w:szCs w:val="21"/>
                <w:highlight w:val="none"/>
              </w:rPr>
              <w:t>南侧2台反应釜（600L*2）与车间无组织废气</w:t>
            </w:r>
          </w:p>
        </w:tc>
        <w:tc>
          <w:tcPr>
            <w:tcW w:w="658" w:type="dxa"/>
            <w:vMerge w:val="continue"/>
            <w:vAlign w:val="center"/>
          </w:tcPr>
          <w:p w14:paraId="060F7A46">
            <w:pPr>
              <w:ind w:left="-105" w:right="-105"/>
              <w:jc w:val="center"/>
              <w:textAlignment w:val="center"/>
              <w:rPr>
                <w:rFonts w:ascii="Times New Roman" w:hAnsi="Times New Roman"/>
                <w:color w:val="auto"/>
                <w:sz w:val="21"/>
                <w:szCs w:val="21"/>
                <w:highlight w:val="none"/>
                <w:lang w:bidi="ar"/>
              </w:rPr>
            </w:pPr>
          </w:p>
        </w:tc>
        <w:tc>
          <w:tcPr>
            <w:tcW w:w="1022" w:type="dxa"/>
            <w:vAlign w:val="center"/>
          </w:tcPr>
          <w:p w14:paraId="49A4FDBE">
            <w:pPr>
              <w:ind w:left="-105" w:right="-105"/>
              <w:jc w:val="center"/>
              <w:textAlignment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丙烯酸</w:t>
            </w:r>
          </w:p>
        </w:tc>
        <w:tc>
          <w:tcPr>
            <w:tcW w:w="1044" w:type="dxa"/>
            <w:vMerge w:val="restart"/>
            <w:vAlign w:val="center"/>
          </w:tcPr>
          <w:p w14:paraId="6033CDA2">
            <w:pPr>
              <w:ind w:left="-105" w:right="-105"/>
              <w:jc w:val="center"/>
              <w:textAlignment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冷凝+3级碱液喷淋+活性炭吸附装置</w:t>
            </w:r>
          </w:p>
        </w:tc>
        <w:tc>
          <w:tcPr>
            <w:tcW w:w="900" w:type="dxa"/>
            <w:vMerge w:val="restart"/>
            <w:vAlign w:val="center"/>
          </w:tcPr>
          <w:p w14:paraId="091D77A7">
            <w:pPr>
              <w:ind w:left="-105" w:right="-105"/>
              <w:jc w:val="center"/>
              <w:textAlignment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15000</w:t>
            </w:r>
          </w:p>
        </w:tc>
        <w:tc>
          <w:tcPr>
            <w:tcW w:w="786" w:type="dxa"/>
            <w:vAlign w:val="center"/>
          </w:tcPr>
          <w:p w14:paraId="2F1F7DCA">
            <w:pPr>
              <w:ind w:left="-105" w:right="-105"/>
              <w:jc w:val="center"/>
              <w:textAlignment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98</w:t>
            </w:r>
          </w:p>
        </w:tc>
        <w:tc>
          <w:tcPr>
            <w:tcW w:w="642" w:type="dxa"/>
            <w:vMerge w:val="restart"/>
            <w:vAlign w:val="center"/>
          </w:tcPr>
          <w:p w14:paraId="4C01E9B8">
            <w:pPr>
              <w:ind w:left="-105" w:right="-105"/>
              <w:jc w:val="center"/>
              <w:textAlignment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DA002</w:t>
            </w:r>
          </w:p>
        </w:tc>
        <w:tc>
          <w:tcPr>
            <w:tcW w:w="642" w:type="dxa"/>
            <w:vMerge w:val="restart"/>
            <w:vAlign w:val="center"/>
          </w:tcPr>
          <w:p w14:paraId="29C5C328">
            <w:pPr>
              <w:ind w:left="-105" w:right="-105"/>
              <w:jc w:val="center"/>
              <w:textAlignment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0.6</w:t>
            </w:r>
          </w:p>
        </w:tc>
        <w:tc>
          <w:tcPr>
            <w:tcW w:w="720" w:type="dxa"/>
            <w:vMerge w:val="restart"/>
            <w:vAlign w:val="center"/>
          </w:tcPr>
          <w:p w14:paraId="0770D719">
            <w:pPr>
              <w:ind w:left="-105" w:right="-105"/>
              <w:jc w:val="center"/>
              <w:textAlignment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20</w:t>
            </w:r>
          </w:p>
        </w:tc>
        <w:tc>
          <w:tcPr>
            <w:tcW w:w="818" w:type="dxa"/>
            <w:vMerge w:val="continue"/>
            <w:vAlign w:val="center"/>
          </w:tcPr>
          <w:p w14:paraId="6E508069">
            <w:pPr>
              <w:ind w:left="-105" w:right="-105"/>
              <w:jc w:val="center"/>
              <w:textAlignment w:val="center"/>
              <w:rPr>
                <w:rFonts w:ascii="Times New Roman" w:hAnsi="Times New Roman"/>
                <w:color w:val="auto"/>
                <w:sz w:val="21"/>
                <w:szCs w:val="21"/>
                <w:highlight w:val="none"/>
              </w:rPr>
            </w:pPr>
          </w:p>
        </w:tc>
      </w:tr>
      <w:tr w14:paraId="4F7D6A4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504" w:type="dxa"/>
            <w:vMerge w:val="continue"/>
            <w:vAlign w:val="center"/>
          </w:tcPr>
          <w:p w14:paraId="20F20957">
            <w:pPr>
              <w:ind w:left="-105" w:right="-105"/>
              <w:jc w:val="center"/>
              <w:textAlignment w:val="center"/>
              <w:rPr>
                <w:rFonts w:ascii="Times New Roman" w:hAnsi="Times New Roman"/>
                <w:color w:val="auto"/>
                <w:sz w:val="21"/>
                <w:szCs w:val="21"/>
                <w:highlight w:val="none"/>
              </w:rPr>
            </w:pPr>
          </w:p>
        </w:tc>
        <w:tc>
          <w:tcPr>
            <w:tcW w:w="1146" w:type="dxa"/>
            <w:vMerge w:val="continue"/>
            <w:vAlign w:val="center"/>
          </w:tcPr>
          <w:p w14:paraId="72EAA078">
            <w:pPr>
              <w:ind w:left="-105" w:right="-105"/>
              <w:jc w:val="center"/>
              <w:textAlignment w:val="center"/>
              <w:rPr>
                <w:rFonts w:ascii="Times New Roman" w:hAnsi="Times New Roman"/>
                <w:color w:val="auto"/>
                <w:sz w:val="21"/>
                <w:szCs w:val="21"/>
                <w:highlight w:val="none"/>
              </w:rPr>
            </w:pPr>
          </w:p>
        </w:tc>
        <w:tc>
          <w:tcPr>
            <w:tcW w:w="658" w:type="dxa"/>
            <w:vMerge w:val="continue"/>
            <w:vAlign w:val="center"/>
          </w:tcPr>
          <w:p w14:paraId="0BB73055">
            <w:pPr>
              <w:ind w:left="-105" w:right="-105"/>
              <w:jc w:val="center"/>
              <w:textAlignment w:val="center"/>
              <w:rPr>
                <w:rFonts w:ascii="Times New Roman" w:hAnsi="Times New Roman"/>
                <w:color w:val="auto"/>
                <w:sz w:val="21"/>
                <w:szCs w:val="21"/>
                <w:highlight w:val="none"/>
                <w:lang w:bidi="ar"/>
              </w:rPr>
            </w:pPr>
          </w:p>
        </w:tc>
        <w:tc>
          <w:tcPr>
            <w:tcW w:w="1022" w:type="dxa"/>
            <w:vAlign w:val="center"/>
          </w:tcPr>
          <w:p w14:paraId="60C0F40B">
            <w:pPr>
              <w:ind w:left="-105" w:right="-105"/>
              <w:jc w:val="center"/>
              <w:textAlignment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2-乙二醇单乙醚醋酸酯</w:t>
            </w:r>
          </w:p>
        </w:tc>
        <w:tc>
          <w:tcPr>
            <w:tcW w:w="1044" w:type="dxa"/>
            <w:vMerge w:val="continue"/>
            <w:vAlign w:val="center"/>
          </w:tcPr>
          <w:p w14:paraId="3A5E8783">
            <w:pPr>
              <w:ind w:left="-105" w:right="-105"/>
              <w:jc w:val="center"/>
              <w:textAlignment w:val="center"/>
              <w:rPr>
                <w:rFonts w:ascii="Times New Roman" w:hAnsi="Times New Roman"/>
                <w:color w:val="auto"/>
                <w:sz w:val="21"/>
                <w:szCs w:val="21"/>
                <w:highlight w:val="none"/>
              </w:rPr>
            </w:pPr>
          </w:p>
        </w:tc>
        <w:tc>
          <w:tcPr>
            <w:tcW w:w="900" w:type="dxa"/>
            <w:vMerge w:val="continue"/>
            <w:vAlign w:val="center"/>
          </w:tcPr>
          <w:p w14:paraId="5431867E">
            <w:pPr>
              <w:ind w:left="-105" w:right="-105"/>
              <w:jc w:val="center"/>
              <w:textAlignment w:val="center"/>
              <w:rPr>
                <w:rFonts w:ascii="Times New Roman" w:hAnsi="Times New Roman"/>
                <w:color w:val="auto"/>
                <w:sz w:val="21"/>
                <w:szCs w:val="21"/>
                <w:highlight w:val="none"/>
              </w:rPr>
            </w:pPr>
          </w:p>
        </w:tc>
        <w:tc>
          <w:tcPr>
            <w:tcW w:w="786" w:type="dxa"/>
            <w:vAlign w:val="center"/>
          </w:tcPr>
          <w:p w14:paraId="150A8DC8">
            <w:pPr>
              <w:ind w:left="-105" w:right="-105"/>
              <w:jc w:val="center"/>
              <w:textAlignment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50</w:t>
            </w:r>
          </w:p>
        </w:tc>
        <w:tc>
          <w:tcPr>
            <w:tcW w:w="642" w:type="dxa"/>
            <w:vMerge w:val="continue"/>
            <w:vAlign w:val="center"/>
          </w:tcPr>
          <w:p w14:paraId="46A5E77A">
            <w:pPr>
              <w:ind w:left="-105" w:right="-105"/>
              <w:jc w:val="center"/>
              <w:textAlignment w:val="center"/>
              <w:rPr>
                <w:rFonts w:ascii="Times New Roman" w:hAnsi="Times New Roman"/>
                <w:color w:val="auto"/>
                <w:sz w:val="21"/>
                <w:szCs w:val="21"/>
                <w:highlight w:val="none"/>
              </w:rPr>
            </w:pPr>
          </w:p>
        </w:tc>
        <w:tc>
          <w:tcPr>
            <w:tcW w:w="642" w:type="dxa"/>
            <w:vMerge w:val="continue"/>
            <w:vAlign w:val="center"/>
          </w:tcPr>
          <w:p w14:paraId="0802B400">
            <w:pPr>
              <w:ind w:left="-105" w:right="-105"/>
              <w:jc w:val="center"/>
              <w:textAlignment w:val="center"/>
              <w:rPr>
                <w:rFonts w:ascii="Times New Roman" w:hAnsi="Times New Roman"/>
                <w:color w:val="auto"/>
                <w:sz w:val="21"/>
                <w:szCs w:val="21"/>
                <w:highlight w:val="none"/>
              </w:rPr>
            </w:pPr>
          </w:p>
        </w:tc>
        <w:tc>
          <w:tcPr>
            <w:tcW w:w="720" w:type="dxa"/>
            <w:vMerge w:val="continue"/>
            <w:vAlign w:val="center"/>
          </w:tcPr>
          <w:p w14:paraId="4BC30402">
            <w:pPr>
              <w:ind w:left="-105" w:right="-105"/>
              <w:jc w:val="center"/>
              <w:textAlignment w:val="center"/>
              <w:rPr>
                <w:rFonts w:ascii="Times New Roman" w:hAnsi="Times New Roman"/>
                <w:color w:val="auto"/>
                <w:sz w:val="21"/>
                <w:szCs w:val="21"/>
                <w:highlight w:val="none"/>
              </w:rPr>
            </w:pPr>
          </w:p>
        </w:tc>
        <w:tc>
          <w:tcPr>
            <w:tcW w:w="818" w:type="dxa"/>
            <w:vMerge w:val="continue"/>
            <w:vAlign w:val="center"/>
          </w:tcPr>
          <w:p w14:paraId="4F917ADB">
            <w:pPr>
              <w:ind w:left="-105" w:right="-105"/>
              <w:jc w:val="center"/>
              <w:textAlignment w:val="center"/>
              <w:rPr>
                <w:rFonts w:ascii="Times New Roman" w:hAnsi="Times New Roman"/>
                <w:color w:val="auto"/>
                <w:sz w:val="21"/>
                <w:szCs w:val="21"/>
                <w:highlight w:val="none"/>
              </w:rPr>
            </w:pPr>
          </w:p>
        </w:tc>
      </w:tr>
      <w:tr w14:paraId="32542EF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504" w:type="dxa"/>
            <w:vMerge w:val="continue"/>
            <w:vAlign w:val="center"/>
          </w:tcPr>
          <w:p w14:paraId="3237601C">
            <w:pPr>
              <w:ind w:left="-105" w:right="-105"/>
              <w:jc w:val="center"/>
              <w:textAlignment w:val="center"/>
              <w:rPr>
                <w:rFonts w:ascii="Times New Roman" w:hAnsi="Times New Roman"/>
                <w:color w:val="auto"/>
                <w:sz w:val="21"/>
                <w:szCs w:val="21"/>
                <w:highlight w:val="none"/>
              </w:rPr>
            </w:pPr>
          </w:p>
        </w:tc>
        <w:tc>
          <w:tcPr>
            <w:tcW w:w="1146" w:type="dxa"/>
            <w:vMerge w:val="continue"/>
            <w:vAlign w:val="center"/>
          </w:tcPr>
          <w:p w14:paraId="08E40973">
            <w:pPr>
              <w:ind w:left="-105" w:right="-105"/>
              <w:jc w:val="center"/>
              <w:textAlignment w:val="center"/>
              <w:rPr>
                <w:rFonts w:ascii="Times New Roman" w:hAnsi="Times New Roman"/>
                <w:color w:val="auto"/>
                <w:sz w:val="21"/>
                <w:szCs w:val="21"/>
                <w:highlight w:val="none"/>
              </w:rPr>
            </w:pPr>
          </w:p>
        </w:tc>
        <w:tc>
          <w:tcPr>
            <w:tcW w:w="658" w:type="dxa"/>
            <w:vMerge w:val="continue"/>
            <w:vAlign w:val="center"/>
          </w:tcPr>
          <w:p w14:paraId="7EEFFAB7">
            <w:pPr>
              <w:ind w:left="-105" w:right="-105"/>
              <w:jc w:val="center"/>
              <w:textAlignment w:val="center"/>
              <w:rPr>
                <w:rFonts w:ascii="Times New Roman" w:hAnsi="Times New Roman"/>
                <w:color w:val="auto"/>
                <w:sz w:val="21"/>
                <w:szCs w:val="21"/>
                <w:highlight w:val="none"/>
                <w:lang w:bidi="ar"/>
              </w:rPr>
            </w:pPr>
          </w:p>
        </w:tc>
        <w:tc>
          <w:tcPr>
            <w:tcW w:w="1022" w:type="dxa"/>
            <w:vAlign w:val="center"/>
          </w:tcPr>
          <w:p w14:paraId="6A6AFCF1">
            <w:pPr>
              <w:ind w:left="-105" w:right="-105"/>
              <w:jc w:val="center"/>
              <w:textAlignment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非甲烷总烃</w:t>
            </w:r>
          </w:p>
        </w:tc>
        <w:tc>
          <w:tcPr>
            <w:tcW w:w="1044" w:type="dxa"/>
            <w:vMerge w:val="continue"/>
            <w:vAlign w:val="center"/>
          </w:tcPr>
          <w:p w14:paraId="7C351CBA">
            <w:pPr>
              <w:ind w:left="-105" w:right="-105"/>
              <w:jc w:val="center"/>
              <w:textAlignment w:val="center"/>
              <w:rPr>
                <w:rFonts w:ascii="Times New Roman" w:hAnsi="Times New Roman"/>
                <w:color w:val="auto"/>
                <w:sz w:val="21"/>
                <w:szCs w:val="21"/>
                <w:highlight w:val="none"/>
              </w:rPr>
            </w:pPr>
          </w:p>
        </w:tc>
        <w:tc>
          <w:tcPr>
            <w:tcW w:w="900" w:type="dxa"/>
            <w:vMerge w:val="continue"/>
            <w:vAlign w:val="center"/>
          </w:tcPr>
          <w:p w14:paraId="4314B109">
            <w:pPr>
              <w:ind w:left="-105" w:right="-105"/>
              <w:jc w:val="center"/>
              <w:textAlignment w:val="center"/>
              <w:rPr>
                <w:rFonts w:ascii="Times New Roman" w:hAnsi="Times New Roman"/>
                <w:color w:val="auto"/>
                <w:sz w:val="21"/>
                <w:szCs w:val="21"/>
                <w:highlight w:val="none"/>
              </w:rPr>
            </w:pPr>
          </w:p>
        </w:tc>
        <w:tc>
          <w:tcPr>
            <w:tcW w:w="786" w:type="dxa"/>
            <w:vAlign w:val="center"/>
          </w:tcPr>
          <w:p w14:paraId="1FB2C1D6">
            <w:pPr>
              <w:ind w:left="-105" w:right="-105"/>
              <w:jc w:val="center"/>
              <w:textAlignment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50</w:t>
            </w:r>
          </w:p>
        </w:tc>
        <w:tc>
          <w:tcPr>
            <w:tcW w:w="642" w:type="dxa"/>
            <w:vMerge w:val="continue"/>
            <w:vAlign w:val="center"/>
          </w:tcPr>
          <w:p w14:paraId="3CB4D331">
            <w:pPr>
              <w:ind w:left="-105" w:right="-105"/>
              <w:jc w:val="center"/>
              <w:textAlignment w:val="center"/>
              <w:rPr>
                <w:rFonts w:ascii="Times New Roman" w:hAnsi="Times New Roman"/>
                <w:color w:val="auto"/>
                <w:sz w:val="21"/>
                <w:szCs w:val="21"/>
                <w:highlight w:val="none"/>
              </w:rPr>
            </w:pPr>
          </w:p>
        </w:tc>
        <w:tc>
          <w:tcPr>
            <w:tcW w:w="642" w:type="dxa"/>
            <w:vMerge w:val="continue"/>
            <w:vAlign w:val="center"/>
          </w:tcPr>
          <w:p w14:paraId="1DCDF4FF">
            <w:pPr>
              <w:ind w:left="-105" w:right="-105"/>
              <w:jc w:val="center"/>
              <w:textAlignment w:val="center"/>
              <w:rPr>
                <w:rFonts w:ascii="Times New Roman" w:hAnsi="Times New Roman"/>
                <w:color w:val="auto"/>
                <w:sz w:val="21"/>
                <w:szCs w:val="21"/>
                <w:highlight w:val="none"/>
              </w:rPr>
            </w:pPr>
          </w:p>
        </w:tc>
        <w:tc>
          <w:tcPr>
            <w:tcW w:w="720" w:type="dxa"/>
            <w:vMerge w:val="continue"/>
            <w:vAlign w:val="center"/>
          </w:tcPr>
          <w:p w14:paraId="4FB04EAE">
            <w:pPr>
              <w:ind w:left="-105" w:right="-105"/>
              <w:jc w:val="center"/>
              <w:textAlignment w:val="center"/>
              <w:rPr>
                <w:rFonts w:ascii="Times New Roman" w:hAnsi="Times New Roman"/>
                <w:color w:val="auto"/>
                <w:sz w:val="21"/>
                <w:szCs w:val="21"/>
                <w:highlight w:val="none"/>
              </w:rPr>
            </w:pPr>
          </w:p>
        </w:tc>
        <w:tc>
          <w:tcPr>
            <w:tcW w:w="818" w:type="dxa"/>
            <w:vMerge w:val="continue"/>
            <w:vAlign w:val="center"/>
          </w:tcPr>
          <w:p w14:paraId="1D6008E0">
            <w:pPr>
              <w:ind w:left="-105" w:right="-105"/>
              <w:jc w:val="center"/>
              <w:textAlignment w:val="center"/>
              <w:rPr>
                <w:rFonts w:ascii="Times New Roman" w:hAnsi="Times New Roman"/>
                <w:color w:val="auto"/>
                <w:sz w:val="21"/>
                <w:szCs w:val="21"/>
                <w:highlight w:val="none"/>
              </w:rPr>
            </w:pPr>
          </w:p>
        </w:tc>
      </w:tr>
      <w:tr w14:paraId="5823160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504" w:type="dxa"/>
            <w:vMerge w:val="continue"/>
            <w:vAlign w:val="center"/>
          </w:tcPr>
          <w:p w14:paraId="10F7A236">
            <w:pPr>
              <w:ind w:left="-105" w:right="-105"/>
              <w:jc w:val="center"/>
              <w:textAlignment w:val="center"/>
              <w:rPr>
                <w:rFonts w:ascii="Times New Roman" w:hAnsi="Times New Roman"/>
                <w:color w:val="auto"/>
                <w:sz w:val="21"/>
                <w:szCs w:val="21"/>
                <w:highlight w:val="none"/>
              </w:rPr>
            </w:pPr>
          </w:p>
        </w:tc>
        <w:tc>
          <w:tcPr>
            <w:tcW w:w="1146" w:type="dxa"/>
            <w:vMerge w:val="continue"/>
            <w:vAlign w:val="center"/>
          </w:tcPr>
          <w:p w14:paraId="11E1A852">
            <w:pPr>
              <w:ind w:left="-105" w:right="-105"/>
              <w:jc w:val="center"/>
              <w:textAlignment w:val="center"/>
              <w:rPr>
                <w:rFonts w:ascii="Times New Roman" w:hAnsi="Times New Roman"/>
                <w:color w:val="auto"/>
                <w:sz w:val="21"/>
                <w:szCs w:val="21"/>
                <w:highlight w:val="none"/>
              </w:rPr>
            </w:pPr>
          </w:p>
        </w:tc>
        <w:tc>
          <w:tcPr>
            <w:tcW w:w="658" w:type="dxa"/>
            <w:vMerge w:val="continue"/>
            <w:vAlign w:val="center"/>
          </w:tcPr>
          <w:p w14:paraId="5F39AE4B">
            <w:pPr>
              <w:ind w:left="-105" w:right="-105"/>
              <w:jc w:val="center"/>
              <w:textAlignment w:val="center"/>
              <w:rPr>
                <w:rFonts w:ascii="Times New Roman" w:hAnsi="Times New Roman"/>
                <w:color w:val="auto"/>
                <w:sz w:val="21"/>
                <w:szCs w:val="21"/>
                <w:highlight w:val="none"/>
                <w:lang w:bidi="ar"/>
              </w:rPr>
            </w:pPr>
          </w:p>
        </w:tc>
        <w:tc>
          <w:tcPr>
            <w:tcW w:w="1022" w:type="dxa"/>
            <w:vAlign w:val="center"/>
          </w:tcPr>
          <w:p w14:paraId="5298EBED">
            <w:pPr>
              <w:ind w:left="-105" w:right="-105"/>
              <w:jc w:val="center"/>
              <w:textAlignment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异氰酸酯</w:t>
            </w:r>
          </w:p>
        </w:tc>
        <w:tc>
          <w:tcPr>
            <w:tcW w:w="1044" w:type="dxa"/>
            <w:vMerge w:val="continue"/>
            <w:vAlign w:val="center"/>
          </w:tcPr>
          <w:p w14:paraId="669F15A3">
            <w:pPr>
              <w:ind w:left="-105" w:right="-105"/>
              <w:jc w:val="center"/>
              <w:textAlignment w:val="center"/>
              <w:rPr>
                <w:rFonts w:ascii="Times New Roman" w:hAnsi="Times New Roman"/>
                <w:color w:val="auto"/>
                <w:sz w:val="21"/>
                <w:szCs w:val="21"/>
                <w:highlight w:val="none"/>
              </w:rPr>
            </w:pPr>
          </w:p>
        </w:tc>
        <w:tc>
          <w:tcPr>
            <w:tcW w:w="900" w:type="dxa"/>
            <w:vMerge w:val="continue"/>
            <w:vAlign w:val="center"/>
          </w:tcPr>
          <w:p w14:paraId="627789D1">
            <w:pPr>
              <w:ind w:left="-105" w:right="-105"/>
              <w:jc w:val="center"/>
              <w:textAlignment w:val="center"/>
              <w:rPr>
                <w:rFonts w:ascii="Times New Roman" w:hAnsi="Times New Roman"/>
                <w:color w:val="auto"/>
                <w:sz w:val="21"/>
                <w:szCs w:val="21"/>
                <w:highlight w:val="none"/>
              </w:rPr>
            </w:pPr>
          </w:p>
        </w:tc>
        <w:tc>
          <w:tcPr>
            <w:tcW w:w="786" w:type="dxa"/>
            <w:vAlign w:val="center"/>
          </w:tcPr>
          <w:p w14:paraId="145D0116">
            <w:pPr>
              <w:ind w:left="-105" w:right="-105"/>
              <w:jc w:val="center"/>
              <w:textAlignment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50</w:t>
            </w:r>
          </w:p>
        </w:tc>
        <w:tc>
          <w:tcPr>
            <w:tcW w:w="642" w:type="dxa"/>
            <w:vMerge w:val="continue"/>
            <w:vAlign w:val="center"/>
          </w:tcPr>
          <w:p w14:paraId="39CB62EC">
            <w:pPr>
              <w:ind w:left="-105" w:right="-105"/>
              <w:jc w:val="center"/>
              <w:textAlignment w:val="center"/>
              <w:rPr>
                <w:rFonts w:ascii="Times New Roman" w:hAnsi="Times New Roman"/>
                <w:color w:val="auto"/>
                <w:sz w:val="21"/>
                <w:szCs w:val="21"/>
                <w:highlight w:val="none"/>
              </w:rPr>
            </w:pPr>
          </w:p>
        </w:tc>
        <w:tc>
          <w:tcPr>
            <w:tcW w:w="642" w:type="dxa"/>
            <w:vMerge w:val="continue"/>
            <w:vAlign w:val="center"/>
          </w:tcPr>
          <w:p w14:paraId="0D740E90">
            <w:pPr>
              <w:ind w:left="-105" w:right="-105"/>
              <w:jc w:val="center"/>
              <w:textAlignment w:val="center"/>
              <w:rPr>
                <w:rFonts w:ascii="Times New Roman" w:hAnsi="Times New Roman"/>
                <w:color w:val="auto"/>
                <w:sz w:val="21"/>
                <w:szCs w:val="21"/>
                <w:highlight w:val="none"/>
              </w:rPr>
            </w:pPr>
          </w:p>
        </w:tc>
        <w:tc>
          <w:tcPr>
            <w:tcW w:w="720" w:type="dxa"/>
            <w:vMerge w:val="continue"/>
            <w:vAlign w:val="center"/>
          </w:tcPr>
          <w:p w14:paraId="1B5D68E6">
            <w:pPr>
              <w:ind w:left="-105" w:right="-105"/>
              <w:jc w:val="center"/>
              <w:textAlignment w:val="center"/>
              <w:rPr>
                <w:rFonts w:ascii="Times New Roman" w:hAnsi="Times New Roman"/>
                <w:color w:val="auto"/>
                <w:sz w:val="21"/>
                <w:szCs w:val="21"/>
                <w:highlight w:val="none"/>
              </w:rPr>
            </w:pPr>
          </w:p>
        </w:tc>
        <w:tc>
          <w:tcPr>
            <w:tcW w:w="818" w:type="dxa"/>
            <w:vMerge w:val="continue"/>
            <w:vAlign w:val="center"/>
          </w:tcPr>
          <w:p w14:paraId="32C97DA9">
            <w:pPr>
              <w:ind w:left="-105" w:right="-105"/>
              <w:jc w:val="center"/>
              <w:textAlignment w:val="center"/>
              <w:rPr>
                <w:rFonts w:ascii="Times New Roman" w:hAnsi="Times New Roman"/>
                <w:color w:val="auto"/>
                <w:sz w:val="21"/>
                <w:szCs w:val="21"/>
                <w:highlight w:val="none"/>
              </w:rPr>
            </w:pPr>
          </w:p>
        </w:tc>
      </w:tr>
      <w:tr w14:paraId="4C47E9D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504" w:type="dxa"/>
            <w:vMerge w:val="continue"/>
            <w:vAlign w:val="center"/>
          </w:tcPr>
          <w:p w14:paraId="42532BA8">
            <w:pPr>
              <w:ind w:left="-105" w:right="-105"/>
              <w:jc w:val="center"/>
              <w:textAlignment w:val="center"/>
              <w:rPr>
                <w:rFonts w:ascii="Times New Roman" w:hAnsi="Times New Roman"/>
                <w:color w:val="auto"/>
                <w:sz w:val="21"/>
                <w:szCs w:val="21"/>
                <w:highlight w:val="none"/>
              </w:rPr>
            </w:pPr>
          </w:p>
        </w:tc>
        <w:tc>
          <w:tcPr>
            <w:tcW w:w="1146" w:type="dxa"/>
            <w:vMerge w:val="continue"/>
            <w:vAlign w:val="center"/>
          </w:tcPr>
          <w:p w14:paraId="3ACB5FC1">
            <w:pPr>
              <w:ind w:left="-105" w:right="-105"/>
              <w:jc w:val="center"/>
              <w:textAlignment w:val="center"/>
              <w:rPr>
                <w:rFonts w:ascii="Times New Roman" w:hAnsi="Times New Roman"/>
                <w:color w:val="auto"/>
                <w:sz w:val="21"/>
                <w:szCs w:val="21"/>
                <w:highlight w:val="none"/>
              </w:rPr>
            </w:pPr>
          </w:p>
        </w:tc>
        <w:tc>
          <w:tcPr>
            <w:tcW w:w="658" w:type="dxa"/>
            <w:vMerge w:val="continue"/>
            <w:vAlign w:val="center"/>
          </w:tcPr>
          <w:p w14:paraId="0EACAFDE">
            <w:pPr>
              <w:ind w:left="-105" w:right="-105"/>
              <w:jc w:val="center"/>
              <w:textAlignment w:val="center"/>
              <w:rPr>
                <w:rFonts w:ascii="Times New Roman" w:hAnsi="Times New Roman"/>
                <w:color w:val="auto"/>
                <w:sz w:val="21"/>
                <w:szCs w:val="21"/>
                <w:highlight w:val="none"/>
                <w:lang w:bidi="ar"/>
              </w:rPr>
            </w:pPr>
          </w:p>
        </w:tc>
        <w:tc>
          <w:tcPr>
            <w:tcW w:w="1022" w:type="dxa"/>
            <w:vAlign w:val="center"/>
          </w:tcPr>
          <w:p w14:paraId="28D4F588">
            <w:pPr>
              <w:ind w:left="-105" w:right="-105"/>
              <w:jc w:val="center"/>
              <w:textAlignment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丁酮</w:t>
            </w:r>
          </w:p>
        </w:tc>
        <w:tc>
          <w:tcPr>
            <w:tcW w:w="1044" w:type="dxa"/>
            <w:vMerge w:val="continue"/>
            <w:vAlign w:val="center"/>
          </w:tcPr>
          <w:p w14:paraId="7713E552">
            <w:pPr>
              <w:ind w:left="-105" w:right="-105"/>
              <w:jc w:val="center"/>
              <w:textAlignment w:val="center"/>
              <w:rPr>
                <w:rFonts w:ascii="Times New Roman" w:hAnsi="Times New Roman"/>
                <w:color w:val="auto"/>
                <w:sz w:val="21"/>
                <w:szCs w:val="21"/>
                <w:highlight w:val="none"/>
              </w:rPr>
            </w:pPr>
          </w:p>
        </w:tc>
        <w:tc>
          <w:tcPr>
            <w:tcW w:w="900" w:type="dxa"/>
            <w:vMerge w:val="continue"/>
            <w:vAlign w:val="center"/>
          </w:tcPr>
          <w:p w14:paraId="2B4F83A0">
            <w:pPr>
              <w:ind w:left="-105" w:right="-105"/>
              <w:jc w:val="center"/>
              <w:textAlignment w:val="center"/>
              <w:rPr>
                <w:rFonts w:ascii="Times New Roman" w:hAnsi="Times New Roman"/>
                <w:color w:val="auto"/>
                <w:sz w:val="21"/>
                <w:szCs w:val="21"/>
                <w:highlight w:val="none"/>
              </w:rPr>
            </w:pPr>
          </w:p>
        </w:tc>
        <w:tc>
          <w:tcPr>
            <w:tcW w:w="786" w:type="dxa"/>
            <w:vAlign w:val="center"/>
          </w:tcPr>
          <w:p w14:paraId="598429A8">
            <w:pPr>
              <w:ind w:left="-105" w:right="-105"/>
              <w:jc w:val="center"/>
              <w:textAlignment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94</w:t>
            </w:r>
          </w:p>
        </w:tc>
        <w:tc>
          <w:tcPr>
            <w:tcW w:w="642" w:type="dxa"/>
            <w:vMerge w:val="continue"/>
            <w:vAlign w:val="center"/>
          </w:tcPr>
          <w:p w14:paraId="5FDE6BBF">
            <w:pPr>
              <w:ind w:left="-105" w:right="-105"/>
              <w:jc w:val="center"/>
              <w:textAlignment w:val="center"/>
              <w:rPr>
                <w:rFonts w:ascii="Times New Roman" w:hAnsi="Times New Roman"/>
                <w:color w:val="auto"/>
                <w:sz w:val="21"/>
                <w:szCs w:val="21"/>
                <w:highlight w:val="none"/>
              </w:rPr>
            </w:pPr>
          </w:p>
        </w:tc>
        <w:tc>
          <w:tcPr>
            <w:tcW w:w="642" w:type="dxa"/>
            <w:vMerge w:val="continue"/>
            <w:vAlign w:val="center"/>
          </w:tcPr>
          <w:p w14:paraId="7BA527E8">
            <w:pPr>
              <w:ind w:left="-105" w:right="-105"/>
              <w:jc w:val="center"/>
              <w:textAlignment w:val="center"/>
              <w:rPr>
                <w:rFonts w:ascii="Times New Roman" w:hAnsi="Times New Roman"/>
                <w:color w:val="auto"/>
                <w:sz w:val="21"/>
                <w:szCs w:val="21"/>
                <w:highlight w:val="none"/>
              </w:rPr>
            </w:pPr>
          </w:p>
        </w:tc>
        <w:tc>
          <w:tcPr>
            <w:tcW w:w="720" w:type="dxa"/>
            <w:vMerge w:val="continue"/>
            <w:vAlign w:val="center"/>
          </w:tcPr>
          <w:p w14:paraId="49672F3C">
            <w:pPr>
              <w:ind w:left="-105" w:right="-105"/>
              <w:jc w:val="center"/>
              <w:textAlignment w:val="center"/>
              <w:rPr>
                <w:rFonts w:ascii="Times New Roman" w:hAnsi="Times New Roman"/>
                <w:color w:val="auto"/>
                <w:sz w:val="21"/>
                <w:szCs w:val="21"/>
                <w:highlight w:val="none"/>
              </w:rPr>
            </w:pPr>
          </w:p>
        </w:tc>
        <w:tc>
          <w:tcPr>
            <w:tcW w:w="818" w:type="dxa"/>
            <w:vMerge w:val="continue"/>
            <w:vAlign w:val="center"/>
          </w:tcPr>
          <w:p w14:paraId="5DBC73FA">
            <w:pPr>
              <w:ind w:left="-105" w:right="-105"/>
              <w:jc w:val="center"/>
              <w:textAlignment w:val="center"/>
              <w:rPr>
                <w:rFonts w:ascii="Times New Roman" w:hAnsi="Times New Roman"/>
                <w:color w:val="auto"/>
                <w:sz w:val="21"/>
                <w:szCs w:val="21"/>
                <w:highlight w:val="none"/>
              </w:rPr>
            </w:pPr>
          </w:p>
        </w:tc>
      </w:tr>
      <w:tr w14:paraId="2825AE5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504" w:type="dxa"/>
            <w:vMerge w:val="restart"/>
            <w:vAlign w:val="center"/>
          </w:tcPr>
          <w:p w14:paraId="6DA181C8">
            <w:pPr>
              <w:ind w:left="-105" w:right="-105"/>
              <w:jc w:val="center"/>
              <w:textAlignment w:val="center"/>
              <w:rPr>
                <w:rFonts w:ascii="Times New Roman" w:hAnsi="Times New Roman"/>
                <w:color w:val="auto"/>
                <w:sz w:val="21"/>
                <w:szCs w:val="21"/>
                <w:highlight w:val="none"/>
              </w:rPr>
            </w:pPr>
            <w:r>
              <w:rPr>
                <w:rFonts w:ascii="Times New Roman" w:hAnsi="Times New Roman"/>
                <w:color w:val="auto"/>
                <w:sz w:val="21"/>
                <w:szCs w:val="21"/>
                <w:highlight w:val="none"/>
              </w:rPr>
              <w:t>3</w:t>
            </w:r>
          </w:p>
        </w:tc>
        <w:tc>
          <w:tcPr>
            <w:tcW w:w="1146" w:type="dxa"/>
            <w:vMerge w:val="restart"/>
            <w:vAlign w:val="center"/>
          </w:tcPr>
          <w:p w14:paraId="1642F500">
            <w:pPr>
              <w:ind w:left="-105" w:right="-105"/>
              <w:jc w:val="center"/>
              <w:textAlignment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二工场南面4台反应釜（1000L、2000L、5000L、8000L）</w:t>
            </w:r>
          </w:p>
        </w:tc>
        <w:tc>
          <w:tcPr>
            <w:tcW w:w="658" w:type="dxa"/>
            <w:vMerge w:val="continue"/>
            <w:vAlign w:val="center"/>
          </w:tcPr>
          <w:p w14:paraId="55070292">
            <w:pPr>
              <w:ind w:left="-105" w:right="-105"/>
              <w:jc w:val="center"/>
              <w:textAlignment w:val="center"/>
              <w:rPr>
                <w:rFonts w:ascii="Times New Roman" w:hAnsi="Times New Roman"/>
                <w:color w:val="auto"/>
                <w:sz w:val="21"/>
                <w:szCs w:val="21"/>
                <w:highlight w:val="none"/>
                <w:lang w:bidi="ar"/>
              </w:rPr>
            </w:pPr>
          </w:p>
        </w:tc>
        <w:tc>
          <w:tcPr>
            <w:tcW w:w="1022" w:type="dxa"/>
            <w:vAlign w:val="center"/>
          </w:tcPr>
          <w:p w14:paraId="41B31031">
            <w:pPr>
              <w:ind w:left="-105" w:right="-105"/>
              <w:jc w:val="center"/>
              <w:textAlignment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异氰酸酯</w:t>
            </w:r>
          </w:p>
        </w:tc>
        <w:tc>
          <w:tcPr>
            <w:tcW w:w="1044" w:type="dxa"/>
            <w:vMerge w:val="restart"/>
            <w:vAlign w:val="center"/>
          </w:tcPr>
          <w:p w14:paraId="3851ED7D">
            <w:pPr>
              <w:ind w:left="-105" w:right="-105"/>
              <w:jc w:val="center"/>
              <w:textAlignment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冷凝+3级碱液喷淋+活性炭吸附装置</w:t>
            </w:r>
          </w:p>
        </w:tc>
        <w:tc>
          <w:tcPr>
            <w:tcW w:w="900" w:type="dxa"/>
            <w:vMerge w:val="restart"/>
            <w:vAlign w:val="center"/>
          </w:tcPr>
          <w:p w14:paraId="1DA09C0D">
            <w:pPr>
              <w:ind w:left="-105" w:right="-105"/>
              <w:jc w:val="center"/>
              <w:textAlignment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5000</w:t>
            </w:r>
          </w:p>
        </w:tc>
        <w:tc>
          <w:tcPr>
            <w:tcW w:w="786" w:type="dxa"/>
            <w:vAlign w:val="center"/>
          </w:tcPr>
          <w:p w14:paraId="5156B61A">
            <w:pPr>
              <w:ind w:left="-105" w:right="-105"/>
              <w:jc w:val="center"/>
              <w:textAlignment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50</w:t>
            </w:r>
          </w:p>
        </w:tc>
        <w:tc>
          <w:tcPr>
            <w:tcW w:w="642" w:type="dxa"/>
            <w:vMerge w:val="restart"/>
            <w:vAlign w:val="center"/>
          </w:tcPr>
          <w:p w14:paraId="5BD853FA">
            <w:pPr>
              <w:ind w:left="-105" w:right="-105"/>
              <w:jc w:val="center"/>
              <w:textAlignment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DA003</w:t>
            </w:r>
          </w:p>
        </w:tc>
        <w:tc>
          <w:tcPr>
            <w:tcW w:w="642" w:type="dxa"/>
            <w:vMerge w:val="restart"/>
            <w:vAlign w:val="center"/>
          </w:tcPr>
          <w:p w14:paraId="45666670">
            <w:pPr>
              <w:ind w:left="-105" w:right="-105"/>
              <w:jc w:val="center"/>
              <w:textAlignment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0.32</w:t>
            </w:r>
          </w:p>
        </w:tc>
        <w:tc>
          <w:tcPr>
            <w:tcW w:w="720" w:type="dxa"/>
            <w:vMerge w:val="restart"/>
            <w:vAlign w:val="center"/>
          </w:tcPr>
          <w:p w14:paraId="69B40E01">
            <w:pPr>
              <w:ind w:left="-105" w:right="-105"/>
              <w:jc w:val="center"/>
              <w:textAlignment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20</w:t>
            </w:r>
          </w:p>
        </w:tc>
        <w:tc>
          <w:tcPr>
            <w:tcW w:w="818" w:type="dxa"/>
            <w:vMerge w:val="continue"/>
            <w:vAlign w:val="center"/>
          </w:tcPr>
          <w:p w14:paraId="6789114B">
            <w:pPr>
              <w:ind w:left="-105" w:right="-105"/>
              <w:jc w:val="center"/>
              <w:textAlignment w:val="center"/>
              <w:rPr>
                <w:rFonts w:ascii="Times New Roman" w:hAnsi="Times New Roman"/>
                <w:color w:val="auto"/>
                <w:sz w:val="21"/>
                <w:szCs w:val="21"/>
                <w:highlight w:val="none"/>
              </w:rPr>
            </w:pPr>
          </w:p>
        </w:tc>
      </w:tr>
      <w:tr w14:paraId="42545EC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504" w:type="dxa"/>
            <w:vMerge w:val="continue"/>
            <w:vAlign w:val="center"/>
          </w:tcPr>
          <w:p w14:paraId="3826C5FC">
            <w:pPr>
              <w:ind w:left="-105" w:right="-105"/>
              <w:jc w:val="center"/>
              <w:textAlignment w:val="center"/>
              <w:rPr>
                <w:rFonts w:ascii="Times New Roman" w:hAnsi="Times New Roman"/>
                <w:color w:val="auto"/>
                <w:sz w:val="21"/>
                <w:szCs w:val="21"/>
                <w:highlight w:val="none"/>
              </w:rPr>
            </w:pPr>
          </w:p>
        </w:tc>
        <w:tc>
          <w:tcPr>
            <w:tcW w:w="1146" w:type="dxa"/>
            <w:vMerge w:val="continue"/>
            <w:vAlign w:val="center"/>
          </w:tcPr>
          <w:p w14:paraId="34F72A27">
            <w:pPr>
              <w:ind w:left="-105" w:right="-105"/>
              <w:jc w:val="center"/>
              <w:textAlignment w:val="center"/>
              <w:rPr>
                <w:rFonts w:ascii="Times New Roman" w:hAnsi="Times New Roman"/>
                <w:color w:val="auto"/>
                <w:sz w:val="21"/>
                <w:szCs w:val="21"/>
                <w:highlight w:val="none"/>
              </w:rPr>
            </w:pPr>
          </w:p>
        </w:tc>
        <w:tc>
          <w:tcPr>
            <w:tcW w:w="658" w:type="dxa"/>
            <w:vMerge w:val="continue"/>
            <w:vAlign w:val="center"/>
          </w:tcPr>
          <w:p w14:paraId="433DE0D8">
            <w:pPr>
              <w:ind w:left="-105" w:right="-105"/>
              <w:jc w:val="center"/>
              <w:textAlignment w:val="center"/>
              <w:rPr>
                <w:rFonts w:ascii="Times New Roman" w:hAnsi="Times New Roman"/>
                <w:color w:val="auto"/>
                <w:sz w:val="21"/>
                <w:szCs w:val="21"/>
                <w:highlight w:val="none"/>
                <w:lang w:bidi="ar"/>
              </w:rPr>
            </w:pPr>
          </w:p>
        </w:tc>
        <w:tc>
          <w:tcPr>
            <w:tcW w:w="1022" w:type="dxa"/>
            <w:vAlign w:val="center"/>
          </w:tcPr>
          <w:p w14:paraId="697D0185">
            <w:pPr>
              <w:ind w:left="-105" w:right="-105"/>
              <w:jc w:val="center"/>
              <w:textAlignment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丁酮</w:t>
            </w:r>
          </w:p>
        </w:tc>
        <w:tc>
          <w:tcPr>
            <w:tcW w:w="1044" w:type="dxa"/>
            <w:vMerge w:val="continue"/>
            <w:vAlign w:val="center"/>
          </w:tcPr>
          <w:p w14:paraId="7DB66B45">
            <w:pPr>
              <w:ind w:left="-105" w:right="-105"/>
              <w:jc w:val="center"/>
              <w:textAlignment w:val="center"/>
              <w:rPr>
                <w:rFonts w:ascii="Times New Roman" w:hAnsi="Times New Roman"/>
                <w:color w:val="auto"/>
                <w:sz w:val="21"/>
                <w:szCs w:val="21"/>
                <w:highlight w:val="none"/>
              </w:rPr>
            </w:pPr>
          </w:p>
        </w:tc>
        <w:tc>
          <w:tcPr>
            <w:tcW w:w="900" w:type="dxa"/>
            <w:vMerge w:val="continue"/>
            <w:vAlign w:val="center"/>
          </w:tcPr>
          <w:p w14:paraId="0780E23B">
            <w:pPr>
              <w:ind w:left="-105" w:right="-105"/>
              <w:jc w:val="center"/>
              <w:textAlignment w:val="center"/>
              <w:rPr>
                <w:rFonts w:ascii="Times New Roman" w:hAnsi="Times New Roman"/>
                <w:color w:val="auto"/>
                <w:sz w:val="21"/>
                <w:szCs w:val="21"/>
                <w:highlight w:val="none"/>
              </w:rPr>
            </w:pPr>
          </w:p>
        </w:tc>
        <w:tc>
          <w:tcPr>
            <w:tcW w:w="786" w:type="dxa"/>
            <w:vAlign w:val="center"/>
          </w:tcPr>
          <w:p w14:paraId="4119DCB8">
            <w:pPr>
              <w:ind w:left="-105" w:right="-105"/>
              <w:jc w:val="center"/>
              <w:textAlignment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94</w:t>
            </w:r>
          </w:p>
        </w:tc>
        <w:tc>
          <w:tcPr>
            <w:tcW w:w="642" w:type="dxa"/>
            <w:vMerge w:val="continue"/>
            <w:vAlign w:val="center"/>
          </w:tcPr>
          <w:p w14:paraId="3DC6D633">
            <w:pPr>
              <w:ind w:left="-105" w:right="-105"/>
              <w:jc w:val="center"/>
              <w:textAlignment w:val="center"/>
              <w:rPr>
                <w:rFonts w:ascii="Times New Roman" w:hAnsi="Times New Roman"/>
                <w:color w:val="auto"/>
                <w:sz w:val="21"/>
                <w:szCs w:val="21"/>
                <w:highlight w:val="none"/>
              </w:rPr>
            </w:pPr>
          </w:p>
        </w:tc>
        <w:tc>
          <w:tcPr>
            <w:tcW w:w="642" w:type="dxa"/>
            <w:vMerge w:val="continue"/>
            <w:vAlign w:val="center"/>
          </w:tcPr>
          <w:p w14:paraId="201C1DB9">
            <w:pPr>
              <w:ind w:left="-105" w:right="-105"/>
              <w:jc w:val="center"/>
              <w:textAlignment w:val="center"/>
              <w:rPr>
                <w:rFonts w:ascii="Times New Roman" w:hAnsi="Times New Roman"/>
                <w:color w:val="auto"/>
                <w:sz w:val="21"/>
                <w:szCs w:val="21"/>
                <w:highlight w:val="none"/>
              </w:rPr>
            </w:pPr>
          </w:p>
        </w:tc>
        <w:tc>
          <w:tcPr>
            <w:tcW w:w="720" w:type="dxa"/>
            <w:vMerge w:val="continue"/>
            <w:vAlign w:val="center"/>
          </w:tcPr>
          <w:p w14:paraId="32A6CEE9">
            <w:pPr>
              <w:ind w:left="-105" w:right="-105"/>
              <w:jc w:val="center"/>
              <w:textAlignment w:val="center"/>
              <w:rPr>
                <w:rFonts w:ascii="Times New Roman" w:hAnsi="Times New Roman"/>
                <w:color w:val="auto"/>
                <w:sz w:val="21"/>
                <w:szCs w:val="21"/>
                <w:highlight w:val="none"/>
              </w:rPr>
            </w:pPr>
          </w:p>
        </w:tc>
        <w:tc>
          <w:tcPr>
            <w:tcW w:w="818" w:type="dxa"/>
            <w:vMerge w:val="continue"/>
            <w:vAlign w:val="center"/>
          </w:tcPr>
          <w:p w14:paraId="5D2C5978">
            <w:pPr>
              <w:ind w:left="-105" w:right="-105"/>
              <w:jc w:val="center"/>
              <w:textAlignment w:val="center"/>
              <w:rPr>
                <w:rFonts w:ascii="Times New Roman" w:hAnsi="Times New Roman"/>
                <w:color w:val="auto"/>
                <w:sz w:val="21"/>
                <w:szCs w:val="21"/>
                <w:highlight w:val="none"/>
              </w:rPr>
            </w:pPr>
          </w:p>
        </w:tc>
      </w:tr>
      <w:tr w14:paraId="00F88A6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504" w:type="dxa"/>
            <w:vMerge w:val="continue"/>
            <w:vAlign w:val="center"/>
          </w:tcPr>
          <w:p w14:paraId="22B8C840">
            <w:pPr>
              <w:ind w:left="-105" w:right="-105"/>
              <w:jc w:val="center"/>
              <w:textAlignment w:val="center"/>
              <w:rPr>
                <w:rFonts w:ascii="Times New Roman" w:hAnsi="Times New Roman"/>
                <w:color w:val="auto"/>
                <w:sz w:val="21"/>
                <w:szCs w:val="21"/>
                <w:highlight w:val="none"/>
              </w:rPr>
            </w:pPr>
          </w:p>
        </w:tc>
        <w:tc>
          <w:tcPr>
            <w:tcW w:w="1146" w:type="dxa"/>
            <w:vMerge w:val="continue"/>
            <w:vAlign w:val="center"/>
          </w:tcPr>
          <w:p w14:paraId="78E87DDA">
            <w:pPr>
              <w:ind w:left="-105" w:right="-105"/>
              <w:jc w:val="center"/>
              <w:textAlignment w:val="center"/>
              <w:rPr>
                <w:rFonts w:ascii="Times New Roman" w:hAnsi="Times New Roman"/>
                <w:color w:val="auto"/>
                <w:sz w:val="21"/>
                <w:szCs w:val="21"/>
                <w:highlight w:val="none"/>
              </w:rPr>
            </w:pPr>
          </w:p>
        </w:tc>
        <w:tc>
          <w:tcPr>
            <w:tcW w:w="658" w:type="dxa"/>
            <w:vMerge w:val="continue"/>
            <w:vAlign w:val="center"/>
          </w:tcPr>
          <w:p w14:paraId="30BE9232">
            <w:pPr>
              <w:ind w:left="-105" w:right="-105"/>
              <w:jc w:val="center"/>
              <w:textAlignment w:val="center"/>
              <w:rPr>
                <w:rFonts w:ascii="Times New Roman" w:hAnsi="Times New Roman"/>
                <w:color w:val="auto"/>
                <w:sz w:val="21"/>
                <w:szCs w:val="21"/>
                <w:highlight w:val="none"/>
                <w:lang w:bidi="ar"/>
              </w:rPr>
            </w:pPr>
          </w:p>
        </w:tc>
        <w:tc>
          <w:tcPr>
            <w:tcW w:w="1022" w:type="dxa"/>
            <w:vAlign w:val="center"/>
          </w:tcPr>
          <w:p w14:paraId="13C846D4">
            <w:pPr>
              <w:ind w:left="-105" w:right="-105"/>
              <w:jc w:val="center"/>
              <w:textAlignment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丙烯酸</w:t>
            </w:r>
          </w:p>
        </w:tc>
        <w:tc>
          <w:tcPr>
            <w:tcW w:w="1044" w:type="dxa"/>
            <w:vMerge w:val="continue"/>
            <w:vAlign w:val="center"/>
          </w:tcPr>
          <w:p w14:paraId="752CF1A0">
            <w:pPr>
              <w:ind w:left="-105" w:right="-105"/>
              <w:jc w:val="center"/>
              <w:textAlignment w:val="center"/>
              <w:rPr>
                <w:rFonts w:ascii="Times New Roman" w:hAnsi="Times New Roman"/>
                <w:color w:val="auto"/>
                <w:sz w:val="21"/>
                <w:szCs w:val="21"/>
                <w:highlight w:val="none"/>
              </w:rPr>
            </w:pPr>
          </w:p>
        </w:tc>
        <w:tc>
          <w:tcPr>
            <w:tcW w:w="900" w:type="dxa"/>
            <w:vMerge w:val="continue"/>
            <w:vAlign w:val="center"/>
          </w:tcPr>
          <w:p w14:paraId="3B96188C">
            <w:pPr>
              <w:ind w:left="-105" w:right="-105"/>
              <w:jc w:val="center"/>
              <w:textAlignment w:val="center"/>
              <w:rPr>
                <w:rFonts w:ascii="Times New Roman" w:hAnsi="Times New Roman"/>
                <w:color w:val="auto"/>
                <w:sz w:val="21"/>
                <w:szCs w:val="21"/>
                <w:highlight w:val="none"/>
              </w:rPr>
            </w:pPr>
          </w:p>
        </w:tc>
        <w:tc>
          <w:tcPr>
            <w:tcW w:w="786" w:type="dxa"/>
            <w:vAlign w:val="center"/>
          </w:tcPr>
          <w:p w14:paraId="42FAF9E4">
            <w:pPr>
              <w:ind w:left="-105" w:right="-105"/>
              <w:jc w:val="center"/>
              <w:textAlignment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98</w:t>
            </w:r>
          </w:p>
        </w:tc>
        <w:tc>
          <w:tcPr>
            <w:tcW w:w="642" w:type="dxa"/>
            <w:vMerge w:val="continue"/>
            <w:vAlign w:val="center"/>
          </w:tcPr>
          <w:p w14:paraId="1C5A4C04">
            <w:pPr>
              <w:ind w:left="-105" w:right="-105"/>
              <w:jc w:val="center"/>
              <w:textAlignment w:val="center"/>
              <w:rPr>
                <w:rFonts w:ascii="Times New Roman" w:hAnsi="Times New Roman"/>
                <w:color w:val="auto"/>
                <w:sz w:val="21"/>
                <w:szCs w:val="21"/>
                <w:highlight w:val="none"/>
              </w:rPr>
            </w:pPr>
          </w:p>
        </w:tc>
        <w:tc>
          <w:tcPr>
            <w:tcW w:w="642" w:type="dxa"/>
            <w:vMerge w:val="continue"/>
            <w:vAlign w:val="center"/>
          </w:tcPr>
          <w:p w14:paraId="58ECC5A6">
            <w:pPr>
              <w:ind w:left="-105" w:right="-105"/>
              <w:jc w:val="center"/>
              <w:textAlignment w:val="center"/>
              <w:rPr>
                <w:rFonts w:ascii="Times New Roman" w:hAnsi="Times New Roman"/>
                <w:color w:val="auto"/>
                <w:sz w:val="21"/>
                <w:szCs w:val="21"/>
                <w:highlight w:val="none"/>
              </w:rPr>
            </w:pPr>
          </w:p>
        </w:tc>
        <w:tc>
          <w:tcPr>
            <w:tcW w:w="720" w:type="dxa"/>
            <w:vMerge w:val="continue"/>
            <w:vAlign w:val="center"/>
          </w:tcPr>
          <w:p w14:paraId="4E526D66">
            <w:pPr>
              <w:ind w:left="-105" w:right="-105"/>
              <w:jc w:val="center"/>
              <w:textAlignment w:val="center"/>
              <w:rPr>
                <w:rFonts w:ascii="Times New Roman" w:hAnsi="Times New Roman"/>
                <w:color w:val="auto"/>
                <w:sz w:val="21"/>
                <w:szCs w:val="21"/>
                <w:highlight w:val="none"/>
              </w:rPr>
            </w:pPr>
          </w:p>
        </w:tc>
        <w:tc>
          <w:tcPr>
            <w:tcW w:w="818" w:type="dxa"/>
            <w:vMerge w:val="continue"/>
            <w:vAlign w:val="center"/>
          </w:tcPr>
          <w:p w14:paraId="3861B7F6">
            <w:pPr>
              <w:ind w:left="-105" w:right="-105"/>
              <w:jc w:val="center"/>
              <w:textAlignment w:val="center"/>
              <w:rPr>
                <w:rFonts w:ascii="Times New Roman" w:hAnsi="Times New Roman"/>
                <w:color w:val="auto"/>
                <w:sz w:val="21"/>
                <w:szCs w:val="21"/>
                <w:highlight w:val="none"/>
              </w:rPr>
            </w:pPr>
          </w:p>
        </w:tc>
      </w:tr>
      <w:tr w14:paraId="39549EF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504" w:type="dxa"/>
            <w:vMerge w:val="continue"/>
            <w:vAlign w:val="center"/>
          </w:tcPr>
          <w:p w14:paraId="0D12B85C">
            <w:pPr>
              <w:ind w:left="-105" w:right="-105"/>
              <w:jc w:val="center"/>
              <w:textAlignment w:val="center"/>
              <w:rPr>
                <w:rFonts w:ascii="Times New Roman" w:hAnsi="Times New Roman"/>
                <w:color w:val="auto"/>
                <w:sz w:val="21"/>
                <w:szCs w:val="21"/>
                <w:highlight w:val="none"/>
              </w:rPr>
            </w:pPr>
          </w:p>
        </w:tc>
        <w:tc>
          <w:tcPr>
            <w:tcW w:w="1146" w:type="dxa"/>
            <w:vMerge w:val="continue"/>
            <w:vAlign w:val="center"/>
          </w:tcPr>
          <w:p w14:paraId="2A8B6742">
            <w:pPr>
              <w:ind w:left="-105" w:right="-105"/>
              <w:jc w:val="center"/>
              <w:textAlignment w:val="center"/>
              <w:rPr>
                <w:rFonts w:ascii="Times New Roman" w:hAnsi="Times New Roman"/>
                <w:color w:val="auto"/>
                <w:sz w:val="21"/>
                <w:szCs w:val="21"/>
                <w:highlight w:val="none"/>
              </w:rPr>
            </w:pPr>
          </w:p>
        </w:tc>
        <w:tc>
          <w:tcPr>
            <w:tcW w:w="658" w:type="dxa"/>
            <w:vMerge w:val="continue"/>
            <w:vAlign w:val="center"/>
          </w:tcPr>
          <w:p w14:paraId="7773B4C7">
            <w:pPr>
              <w:ind w:left="-105" w:right="-105"/>
              <w:jc w:val="center"/>
              <w:textAlignment w:val="center"/>
              <w:rPr>
                <w:rFonts w:ascii="Times New Roman" w:hAnsi="Times New Roman"/>
                <w:color w:val="auto"/>
                <w:sz w:val="21"/>
                <w:szCs w:val="21"/>
                <w:highlight w:val="none"/>
                <w:lang w:bidi="ar"/>
              </w:rPr>
            </w:pPr>
          </w:p>
        </w:tc>
        <w:tc>
          <w:tcPr>
            <w:tcW w:w="1022" w:type="dxa"/>
            <w:vAlign w:val="center"/>
          </w:tcPr>
          <w:p w14:paraId="3C7E80B0">
            <w:pPr>
              <w:ind w:left="-105" w:right="-105"/>
              <w:jc w:val="center"/>
              <w:textAlignment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非甲烷总烃</w:t>
            </w:r>
          </w:p>
        </w:tc>
        <w:tc>
          <w:tcPr>
            <w:tcW w:w="1044" w:type="dxa"/>
            <w:vMerge w:val="continue"/>
            <w:vAlign w:val="center"/>
          </w:tcPr>
          <w:p w14:paraId="788B5032">
            <w:pPr>
              <w:ind w:left="-105" w:right="-105"/>
              <w:jc w:val="center"/>
              <w:textAlignment w:val="center"/>
              <w:rPr>
                <w:rFonts w:ascii="Times New Roman" w:hAnsi="Times New Roman"/>
                <w:color w:val="auto"/>
                <w:sz w:val="21"/>
                <w:szCs w:val="21"/>
                <w:highlight w:val="none"/>
              </w:rPr>
            </w:pPr>
          </w:p>
        </w:tc>
        <w:tc>
          <w:tcPr>
            <w:tcW w:w="900" w:type="dxa"/>
            <w:vMerge w:val="continue"/>
            <w:vAlign w:val="center"/>
          </w:tcPr>
          <w:p w14:paraId="7B197A78">
            <w:pPr>
              <w:ind w:left="-105" w:right="-105"/>
              <w:jc w:val="center"/>
              <w:textAlignment w:val="center"/>
              <w:rPr>
                <w:rFonts w:ascii="Times New Roman" w:hAnsi="Times New Roman"/>
                <w:color w:val="auto"/>
                <w:sz w:val="21"/>
                <w:szCs w:val="21"/>
                <w:highlight w:val="none"/>
              </w:rPr>
            </w:pPr>
          </w:p>
        </w:tc>
        <w:tc>
          <w:tcPr>
            <w:tcW w:w="786" w:type="dxa"/>
            <w:vAlign w:val="center"/>
          </w:tcPr>
          <w:p w14:paraId="08644EDF">
            <w:pPr>
              <w:ind w:left="-105" w:right="-105"/>
              <w:jc w:val="center"/>
              <w:textAlignment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50</w:t>
            </w:r>
          </w:p>
        </w:tc>
        <w:tc>
          <w:tcPr>
            <w:tcW w:w="642" w:type="dxa"/>
            <w:vMerge w:val="continue"/>
            <w:vAlign w:val="center"/>
          </w:tcPr>
          <w:p w14:paraId="5324969B">
            <w:pPr>
              <w:ind w:left="-105" w:right="-105"/>
              <w:jc w:val="center"/>
              <w:textAlignment w:val="center"/>
              <w:rPr>
                <w:rFonts w:ascii="Times New Roman" w:hAnsi="Times New Roman"/>
                <w:color w:val="auto"/>
                <w:sz w:val="21"/>
                <w:szCs w:val="21"/>
                <w:highlight w:val="none"/>
              </w:rPr>
            </w:pPr>
          </w:p>
        </w:tc>
        <w:tc>
          <w:tcPr>
            <w:tcW w:w="642" w:type="dxa"/>
            <w:vMerge w:val="continue"/>
            <w:vAlign w:val="center"/>
          </w:tcPr>
          <w:p w14:paraId="442A099D">
            <w:pPr>
              <w:ind w:left="-105" w:right="-105"/>
              <w:jc w:val="center"/>
              <w:textAlignment w:val="center"/>
              <w:rPr>
                <w:rFonts w:ascii="Times New Roman" w:hAnsi="Times New Roman"/>
                <w:color w:val="auto"/>
                <w:sz w:val="21"/>
                <w:szCs w:val="21"/>
                <w:highlight w:val="none"/>
              </w:rPr>
            </w:pPr>
          </w:p>
        </w:tc>
        <w:tc>
          <w:tcPr>
            <w:tcW w:w="720" w:type="dxa"/>
            <w:vMerge w:val="continue"/>
            <w:vAlign w:val="center"/>
          </w:tcPr>
          <w:p w14:paraId="75760C67">
            <w:pPr>
              <w:ind w:left="-105" w:right="-105"/>
              <w:jc w:val="center"/>
              <w:textAlignment w:val="center"/>
              <w:rPr>
                <w:rFonts w:ascii="Times New Roman" w:hAnsi="Times New Roman"/>
                <w:color w:val="auto"/>
                <w:sz w:val="21"/>
                <w:szCs w:val="21"/>
                <w:highlight w:val="none"/>
              </w:rPr>
            </w:pPr>
          </w:p>
        </w:tc>
        <w:tc>
          <w:tcPr>
            <w:tcW w:w="818" w:type="dxa"/>
            <w:vMerge w:val="continue"/>
            <w:vAlign w:val="center"/>
          </w:tcPr>
          <w:p w14:paraId="54DC284B">
            <w:pPr>
              <w:ind w:left="-105" w:right="-105"/>
              <w:jc w:val="center"/>
              <w:textAlignment w:val="center"/>
              <w:rPr>
                <w:rFonts w:ascii="Times New Roman" w:hAnsi="Times New Roman"/>
                <w:color w:val="auto"/>
                <w:sz w:val="21"/>
                <w:szCs w:val="21"/>
                <w:highlight w:val="none"/>
              </w:rPr>
            </w:pPr>
          </w:p>
        </w:tc>
      </w:tr>
      <w:tr w14:paraId="5E5C878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02" w:hRule="atLeast"/>
          <w:jc w:val="center"/>
        </w:trPr>
        <w:tc>
          <w:tcPr>
            <w:tcW w:w="504" w:type="dxa"/>
            <w:vMerge w:val="restart"/>
            <w:vAlign w:val="center"/>
          </w:tcPr>
          <w:p w14:paraId="3ECB3EF1">
            <w:pPr>
              <w:ind w:left="-105" w:right="-105"/>
              <w:jc w:val="center"/>
              <w:textAlignment w:val="center"/>
              <w:rPr>
                <w:rFonts w:ascii="Times New Roman" w:hAnsi="Times New Roman"/>
                <w:color w:val="auto"/>
                <w:sz w:val="21"/>
                <w:szCs w:val="21"/>
                <w:highlight w:val="none"/>
              </w:rPr>
            </w:pPr>
            <w:r>
              <w:rPr>
                <w:rFonts w:ascii="Times New Roman" w:hAnsi="Times New Roman"/>
                <w:color w:val="auto"/>
                <w:sz w:val="21"/>
                <w:szCs w:val="21"/>
                <w:highlight w:val="none"/>
              </w:rPr>
              <w:t>4</w:t>
            </w:r>
          </w:p>
        </w:tc>
        <w:tc>
          <w:tcPr>
            <w:tcW w:w="1146" w:type="dxa"/>
            <w:vMerge w:val="restart"/>
            <w:vAlign w:val="center"/>
          </w:tcPr>
          <w:p w14:paraId="3D3AB087">
            <w:pPr>
              <w:ind w:left="-105" w:right="-105"/>
              <w:jc w:val="center"/>
              <w:textAlignment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二工场北面4台反应釜（2000L、3000L、8000L*2）</w:t>
            </w:r>
          </w:p>
        </w:tc>
        <w:tc>
          <w:tcPr>
            <w:tcW w:w="658" w:type="dxa"/>
            <w:vMerge w:val="continue"/>
            <w:vAlign w:val="center"/>
          </w:tcPr>
          <w:p w14:paraId="76D45FA1">
            <w:pPr>
              <w:ind w:left="-105" w:right="-105"/>
              <w:jc w:val="center"/>
              <w:textAlignment w:val="center"/>
              <w:rPr>
                <w:rFonts w:ascii="Times New Roman" w:hAnsi="Times New Roman"/>
                <w:color w:val="auto"/>
                <w:sz w:val="21"/>
                <w:szCs w:val="21"/>
                <w:highlight w:val="none"/>
                <w:lang w:bidi="ar"/>
              </w:rPr>
            </w:pPr>
          </w:p>
        </w:tc>
        <w:tc>
          <w:tcPr>
            <w:tcW w:w="1022" w:type="dxa"/>
            <w:vAlign w:val="center"/>
          </w:tcPr>
          <w:p w14:paraId="37DFC725">
            <w:pPr>
              <w:ind w:left="-105" w:right="-105"/>
              <w:jc w:val="center"/>
              <w:textAlignment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丙烯酸</w:t>
            </w:r>
          </w:p>
        </w:tc>
        <w:tc>
          <w:tcPr>
            <w:tcW w:w="1044" w:type="dxa"/>
            <w:vMerge w:val="restart"/>
            <w:vAlign w:val="center"/>
          </w:tcPr>
          <w:p w14:paraId="47DEC547">
            <w:pPr>
              <w:ind w:left="-105" w:right="-105"/>
              <w:jc w:val="center"/>
              <w:textAlignment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冷凝+3级碱液喷淋+活性炭吸附装置</w:t>
            </w:r>
          </w:p>
        </w:tc>
        <w:tc>
          <w:tcPr>
            <w:tcW w:w="900" w:type="dxa"/>
            <w:vMerge w:val="restart"/>
            <w:vAlign w:val="center"/>
          </w:tcPr>
          <w:p w14:paraId="7F9F79FB">
            <w:pPr>
              <w:ind w:left="-105" w:right="-105"/>
              <w:jc w:val="center"/>
              <w:textAlignment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5000</w:t>
            </w:r>
          </w:p>
        </w:tc>
        <w:tc>
          <w:tcPr>
            <w:tcW w:w="786" w:type="dxa"/>
            <w:vAlign w:val="center"/>
          </w:tcPr>
          <w:p w14:paraId="41817629">
            <w:pPr>
              <w:ind w:left="-105" w:right="-105"/>
              <w:jc w:val="center"/>
              <w:textAlignment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50</w:t>
            </w:r>
          </w:p>
        </w:tc>
        <w:tc>
          <w:tcPr>
            <w:tcW w:w="642" w:type="dxa"/>
            <w:vMerge w:val="restart"/>
            <w:vAlign w:val="center"/>
          </w:tcPr>
          <w:p w14:paraId="4BFCC649">
            <w:pPr>
              <w:ind w:left="-105" w:right="-105"/>
              <w:jc w:val="center"/>
              <w:textAlignment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DA004</w:t>
            </w:r>
          </w:p>
        </w:tc>
        <w:tc>
          <w:tcPr>
            <w:tcW w:w="642" w:type="dxa"/>
            <w:vMerge w:val="restart"/>
            <w:vAlign w:val="center"/>
          </w:tcPr>
          <w:p w14:paraId="53131595">
            <w:pPr>
              <w:ind w:left="-105" w:right="-105"/>
              <w:jc w:val="center"/>
              <w:textAlignment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0.37</w:t>
            </w:r>
          </w:p>
        </w:tc>
        <w:tc>
          <w:tcPr>
            <w:tcW w:w="720" w:type="dxa"/>
            <w:vMerge w:val="restart"/>
            <w:vAlign w:val="center"/>
          </w:tcPr>
          <w:p w14:paraId="7DD20770">
            <w:pPr>
              <w:ind w:left="-105" w:right="-105"/>
              <w:jc w:val="center"/>
              <w:textAlignment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20</w:t>
            </w:r>
          </w:p>
        </w:tc>
        <w:tc>
          <w:tcPr>
            <w:tcW w:w="818" w:type="dxa"/>
            <w:vMerge w:val="continue"/>
            <w:vAlign w:val="center"/>
          </w:tcPr>
          <w:p w14:paraId="1472C8DF">
            <w:pPr>
              <w:ind w:left="-105" w:right="-105"/>
              <w:jc w:val="center"/>
              <w:textAlignment w:val="center"/>
              <w:rPr>
                <w:rFonts w:ascii="Times New Roman" w:hAnsi="Times New Roman"/>
                <w:color w:val="auto"/>
                <w:sz w:val="21"/>
                <w:szCs w:val="21"/>
                <w:highlight w:val="none"/>
              </w:rPr>
            </w:pPr>
          </w:p>
        </w:tc>
      </w:tr>
      <w:tr w14:paraId="4DBC417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02" w:hRule="atLeast"/>
          <w:jc w:val="center"/>
        </w:trPr>
        <w:tc>
          <w:tcPr>
            <w:tcW w:w="504" w:type="dxa"/>
            <w:vMerge w:val="continue"/>
            <w:vAlign w:val="center"/>
          </w:tcPr>
          <w:p w14:paraId="13E96CEB">
            <w:pPr>
              <w:ind w:left="-105" w:right="-105"/>
              <w:jc w:val="center"/>
              <w:textAlignment w:val="center"/>
              <w:rPr>
                <w:color w:val="auto"/>
                <w:sz w:val="21"/>
                <w:szCs w:val="21"/>
                <w:highlight w:val="none"/>
              </w:rPr>
            </w:pPr>
          </w:p>
        </w:tc>
        <w:tc>
          <w:tcPr>
            <w:tcW w:w="1146" w:type="dxa"/>
            <w:vMerge w:val="continue"/>
            <w:vAlign w:val="center"/>
          </w:tcPr>
          <w:p w14:paraId="46790EC8">
            <w:pPr>
              <w:ind w:left="-105" w:right="-105"/>
              <w:jc w:val="center"/>
              <w:textAlignment w:val="center"/>
              <w:rPr>
                <w:color w:val="auto"/>
                <w:sz w:val="21"/>
                <w:szCs w:val="21"/>
                <w:highlight w:val="none"/>
              </w:rPr>
            </w:pPr>
          </w:p>
        </w:tc>
        <w:tc>
          <w:tcPr>
            <w:tcW w:w="658" w:type="dxa"/>
            <w:vMerge w:val="continue"/>
            <w:vAlign w:val="center"/>
          </w:tcPr>
          <w:p w14:paraId="75749FA7">
            <w:pPr>
              <w:ind w:left="-105" w:right="-105"/>
              <w:jc w:val="center"/>
              <w:textAlignment w:val="center"/>
              <w:rPr>
                <w:color w:val="auto"/>
                <w:sz w:val="21"/>
                <w:szCs w:val="21"/>
                <w:highlight w:val="none"/>
              </w:rPr>
            </w:pPr>
          </w:p>
        </w:tc>
        <w:tc>
          <w:tcPr>
            <w:tcW w:w="1022" w:type="dxa"/>
            <w:vAlign w:val="center"/>
          </w:tcPr>
          <w:p w14:paraId="4E95303F">
            <w:pPr>
              <w:ind w:left="-105" w:right="-105"/>
              <w:jc w:val="center"/>
              <w:textAlignment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非甲烷总烃</w:t>
            </w:r>
          </w:p>
        </w:tc>
        <w:tc>
          <w:tcPr>
            <w:tcW w:w="1044" w:type="dxa"/>
            <w:vMerge w:val="continue"/>
            <w:vAlign w:val="center"/>
          </w:tcPr>
          <w:p w14:paraId="6BBA7C47">
            <w:pPr>
              <w:ind w:left="-105" w:right="-105"/>
              <w:jc w:val="center"/>
              <w:textAlignment w:val="center"/>
              <w:rPr>
                <w:rFonts w:ascii="Times New Roman" w:hAnsi="Times New Roman"/>
                <w:color w:val="auto"/>
                <w:sz w:val="21"/>
                <w:szCs w:val="21"/>
                <w:highlight w:val="none"/>
              </w:rPr>
            </w:pPr>
          </w:p>
        </w:tc>
        <w:tc>
          <w:tcPr>
            <w:tcW w:w="900" w:type="dxa"/>
            <w:vMerge w:val="continue"/>
            <w:vAlign w:val="center"/>
          </w:tcPr>
          <w:p w14:paraId="4AB7CC25">
            <w:pPr>
              <w:ind w:left="-105" w:right="-105"/>
              <w:jc w:val="center"/>
              <w:textAlignment w:val="center"/>
              <w:rPr>
                <w:rFonts w:ascii="Times New Roman" w:hAnsi="Times New Roman"/>
                <w:color w:val="auto"/>
                <w:sz w:val="21"/>
                <w:szCs w:val="21"/>
                <w:highlight w:val="none"/>
              </w:rPr>
            </w:pPr>
          </w:p>
        </w:tc>
        <w:tc>
          <w:tcPr>
            <w:tcW w:w="786" w:type="dxa"/>
            <w:vAlign w:val="center"/>
          </w:tcPr>
          <w:p w14:paraId="227361EC">
            <w:pPr>
              <w:ind w:left="-105" w:right="-105"/>
              <w:jc w:val="center"/>
              <w:textAlignment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94</w:t>
            </w:r>
          </w:p>
        </w:tc>
        <w:tc>
          <w:tcPr>
            <w:tcW w:w="642" w:type="dxa"/>
            <w:vMerge w:val="continue"/>
            <w:vAlign w:val="center"/>
          </w:tcPr>
          <w:p w14:paraId="273CC0C0">
            <w:pPr>
              <w:ind w:left="-105" w:right="-105"/>
              <w:jc w:val="center"/>
              <w:textAlignment w:val="center"/>
              <w:rPr>
                <w:rFonts w:ascii="Times New Roman" w:hAnsi="Times New Roman"/>
                <w:color w:val="auto"/>
                <w:sz w:val="21"/>
                <w:szCs w:val="21"/>
                <w:highlight w:val="none"/>
              </w:rPr>
            </w:pPr>
          </w:p>
        </w:tc>
        <w:tc>
          <w:tcPr>
            <w:tcW w:w="642" w:type="dxa"/>
            <w:vMerge w:val="continue"/>
            <w:vAlign w:val="center"/>
          </w:tcPr>
          <w:p w14:paraId="0F08BC29">
            <w:pPr>
              <w:ind w:left="-105" w:right="-105"/>
              <w:jc w:val="center"/>
              <w:textAlignment w:val="center"/>
              <w:rPr>
                <w:rFonts w:ascii="Times New Roman" w:hAnsi="Times New Roman"/>
                <w:color w:val="auto"/>
                <w:sz w:val="21"/>
                <w:szCs w:val="21"/>
                <w:highlight w:val="none"/>
              </w:rPr>
            </w:pPr>
          </w:p>
        </w:tc>
        <w:tc>
          <w:tcPr>
            <w:tcW w:w="720" w:type="dxa"/>
            <w:vMerge w:val="continue"/>
            <w:vAlign w:val="center"/>
          </w:tcPr>
          <w:p w14:paraId="0C0F6DA6">
            <w:pPr>
              <w:ind w:left="-105" w:right="-105"/>
              <w:jc w:val="center"/>
              <w:textAlignment w:val="center"/>
              <w:rPr>
                <w:rFonts w:ascii="Times New Roman" w:hAnsi="Times New Roman"/>
                <w:color w:val="auto"/>
                <w:sz w:val="21"/>
                <w:szCs w:val="21"/>
                <w:highlight w:val="none"/>
              </w:rPr>
            </w:pPr>
          </w:p>
        </w:tc>
        <w:tc>
          <w:tcPr>
            <w:tcW w:w="818" w:type="dxa"/>
            <w:vMerge w:val="continue"/>
            <w:vAlign w:val="center"/>
          </w:tcPr>
          <w:p w14:paraId="6AD209E0">
            <w:pPr>
              <w:ind w:left="-105" w:right="-105"/>
              <w:jc w:val="center"/>
              <w:textAlignment w:val="center"/>
              <w:rPr>
                <w:rFonts w:ascii="Times New Roman" w:hAnsi="Times New Roman"/>
                <w:color w:val="auto"/>
                <w:sz w:val="21"/>
                <w:szCs w:val="21"/>
                <w:highlight w:val="none"/>
              </w:rPr>
            </w:pPr>
          </w:p>
        </w:tc>
      </w:tr>
      <w:tr w14:paraId="021DEE5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02" w:hRule="atLeast"/>
          <w:jc w:val="center"/>
        </w:trPr>
        <w:tc>
          <w:tcPr>
            <w:tcW w:w="504" w:type="dxa"/>
            <w:vMerge w:val="continue"/>
            <w:vAlign w:val="center"/>
          </w:tcPr>
          <w:p w14:paraId="6D4F0CC6">
            <w:pPr>
              <w:ind w:left="-105" w:right="-105"/>
              <w:jc w:val="center"/>
              <w:textAlignment w:val="center"/>
              <w:rPr>
                <w:rFonts w:ascii="Times New Roman" w:hAnsi="Times New Roman"/>
                <w:color w:val="auto"/>
                <w:sz w:val="21"/>
                <w:szCs w:val="21"/>
                <w:highlight w:val="none"/>
              </w:rPr>
            </w:pPr>
          </w:p>
        </w:tc>
        <w:tc>
          <w:tcPr>
            <w:tcW w:w="1146" w:type="dxa"/>
            <w:vMerge w:val="continue"/>
            <w:vAlign w:val="center"/>
          </w:tcPr>
          <w:p w14:paraId="45AF5746">
            <w:pPr>
              <w:ind w:left="-105" w:right="-105"/>
              <w:jc w:val="center"/>
              <w:textAlignment w:val="center"/>
              <w:rPr>
                <w:rFonts w:ascii="Times New Roman" w:hAnsi="Times New Roman"/>
                <w:color w:val="auto"/>
                <w:sz w:val="21"/>
                <w:szCs w:val="21"/>
                <w:highlight w:val="none"/>
              </w:rPr>
            </w:pPr>
          </w:p>
        </w:tc>
        <w:tc>
          <w:tcPr>
            <w:tcW w:w="658" w:type="dxa"/>
            <w:vMerge w:val="continue"/>
            <w:vAlign w:val="center"/>
          </w:tcPr>
          <w:p w14:paraId="7485F818">
            <w:pPr>
              <w:ind w:left="-105" w:right="-105"/>
              <w:jc w:val="center"/>
              <w:textAlignment w:val="center"/>
              <w:rPr>
                <w:rFonts w:ascii="Times New Roman" w:hAnsi="Times New Roman"/>
                <w:color w:val="auto"/>
                <w:sz w:val="21"/>
                <w:szCs w:val="21"/>
                <w:highlight w:val="none"/>
              </w:rPr>
            </w:pPr>
          </w:p>
        </w:tc>
        <w:tc>
          <w:tcPr>
            <w:tcW w:w="1022" w:type="dxa"/>
            <w:vAlign w:val="center"/>
          </w:tcPr>
          <w:p w14:paraId="79F783CD">
            <w:pPr>
              <w:ind w:left="-105" w:right="-105"/>
              <w:jc w:val="center"/>
              <w:textAlignment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异氰酸酯</w:t>
            </w:r>
          </w:p>
        </w:tc>
        <w:tc>
          <w:tcPr>
            <w:tcW w:w="1044" w:type="dxa"/>
            <w:vMerge w:val="continue"/>
            <w:vAlign w:val="center"/>
          </w:tcPr>
          <w:p w14:paraId="55DE4C45">
            <w:pPr>
              <w:ind w:left="-105" w:right="-105"/>
              <w:jc w:val="center"/>
              <w:textAlignment w:val="center"/>
              <w:rPr>
                <w:rFonts w:ascii="Times New Roman" w:hAnsi="Times New Roman"/>
                <w:color w:val="auto"/>
                <w:sz w:val="21"/>
                <w:szCs w:val="21"/>
                <w:highlight w:val="none"/>
              </w:rPr>
            </w:pPr>
          </w:p>
        </w:tc>
        <w:tc>
          <w:tcPr>
            <w:tcW w:w="900" w:type="dxa"/>
            <w:vMerge w:val="continue"/>
            <w:vAlign w:val="center"/>
          </w:tcPr>
          <w:p w14:paraId="50298DBE">
            <w:pPr>
              <w:ind w:left="-105" w:right="-105"/>
              <w:jc w:val="center"/>
              <w:textAlignment w:val="center"/>
              <w:rPr>
                <w:rFonts w:ascii="Times New Roman" w:hAnsi="Times New Roman"/>
                <w:color w:val="auto"/>
                <w:sz w:val="21"/>
                <w:szCs w:val="21"/>
                <w:highlight w:val="none"/>
              </w:rPr>
            </w:pPr>
          </w:p>
        </w:tc>
        <w:tc>
          <w:tcPr>
            <w:tcW w:w="786" w:type="dxa"/>
            <w:vAlign w:val="center"/>
          </w:tcPr>
          <w:p w14:paraId="2420A296">
            <w:pPr>
              <w:ind w:left="-105" w:right="-105"/>
              <w:jc w:val="center"/>
              <w:textAlignment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98</w:t>
            </w:r>
          </w:p>
        </w:tc>
        <w:tc>
          <w:tcPr>
            <w:tcW w:w="642" w:type="dxa"/>
            <w:vMerge w:val="continue"/>
            <w:vAlign w:val="center"/>
          </w:tcPr>
          <w:p w14:paraId="797DAF9C">
            <w:pPr>
              <w:ind w:left="-105" w:right="-105"/>
              <w:jc w:val="center"/>
              <w:textAlignment w:val="center"/>
              <w:rPr>
                <w:rFonts w:ascii="Times New Roman" w:hAnsi="Times New Roman"/>
                <w:color w:val="auto"/>
                <w:sz w:val="21"/>
                <w:szCs w:val="21"/>
                <w:highlight w:val="none"/>
              </w:rPr>
            </w:pPr>
          </w:p>
        </w:tc>
        <w:tc>
          <w:tcPr>
            <w:tcW w:w="642" w:type="dxa"/>
            <w:vMerge w:val="continue"/>
            <w:vAlign w:val="center"/>
          </w:tcPr>
          <w:p w14:paraId="5A8099E2">
            <w:pPr>
              <w:ind w:left="-105" w:right="-105"/>
              <w:jc w:val="center"/>
              <w:textAlignment w:val="center"/>
              <w:rPr>
                <w:rFonts w:ascii="Times New Roman" w:hAnsi="Times New Roman"/>
                <w:color w:val="auto"/>
                <w:sz w:val="21"/>
                <w:szCs w:val="21"/>
                <w:highlight w:val="none"/>
              </w:rPr>
            </w:pPr>
          </w:p>
        </w:tc>
        <w:tc>
          <w:tcPr>
            <w:tcW w:w="720" w:type="dxa"/>
            <w:vMerge w:val="continue"/>
            <w:vAlign w:val="center"/>
          </w:tcPr>
          <w:p w14:paraId="2CEDBDCB">
            <w:pPr>
              <w:ind w:left="-105" w:right="-105"/>
              <w:jc w:val="center"/>
              <w:textAlignment w:val="center"/>
              <w:rPr>
                <w:rFonts w:ascii="Times New Roman" w:hAnsi="Times New Roman"/>
                <w:color w:val="auto"/>
                <w:sz w:val="21"/>
                <w:szCs w:val="21"/>
                <w:highlight w:val="none"/>
              </w:rPr>
            </w:pPr>
          </w:p>
        </w:tc>
        <w:tc>
          <w:tcPr>
            <w:tcW w:w="818" w:type="dxa"/>
            <w:vMerge w:val="continue"/>
            <w:vAlign w:val="center"/>
          </w:tcPr>
          <w:p w14:paraId="1469C102">
            <w:pPr>
              <w:ind w:left="-105" w:right="-105"/>
              <w:jc w:val="center"/>
              <w:textAlignment w:val="center"/>
              <w:rPr>
                <w:rFonts w:ascii="Times New Roman" w:hAnsi="Times New Roman"/>
                <w:color w:val="auto"/>
                <w:sz w:val="21"/>
                <w:szCs w:val="21"/>
                <w:highlight w:val="none"/>
              </w:rPr>
            </w:pPr>
          </w:p>
        </w:tc>
      </w:tr>
      <w:tr w14:paraId="0625433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02" w:hRule="atLeast"/>
          <w:jc w:val="center"/>
        </w:trPr>
        <w:tc>
          <w:tcPr>
            <w:tcW w:w="504" w:type="dxa"/>
            <w:vMerge w:val="continue"/>
            <w:vAlign w:val="center"/>
          </w:tcPr>
          <w:p w14:paraId="4DFB247D">
            <w:pPr>
              <w:ind w:left="-105" w:right="-105"/>
              <w:jc w:val="center"/>
              <w:textAlignment w:val="center"/>
              <w:rPr>
                <w:rFonts w:ascii="Times New Roman" w:hAnsi="Times New Roman"/>
                <w:color w:val="auto"/>
                <w:sz w:val="21"/>
                <w:szCs w:val="21"/>
                <w:highlight w:val="none"/>
              </w:rPr>
            </w:pPr>
          </w:p>
        </w:tc>
        <w:tc>
          <w:tcPr>
            <w:tcW w:w="1146" w:type="dxa"/>
            <w:vMerge w:val="continue"/>
            <w:vAlign w:val="center"/>
          </w:tcPr>
          <w:p w14:paraId="1E2340BA">
            <w:pPr>
              <w:ind w:left="-105" w:right="-105"/>
              <w:jc w:val="center"/>
              <w:textAlignment w:val="center"/>
              <w:rPr>
                <w:rFonts w:ascii="Times New Roman" w:hAnsi="Times New Roman"/>
                <w:color w:val="auto"/>
                <w:sz w:val="21"/>
                <w:szCs w:val="21"/>
                <w:highlight w:val="none"/>
              </w:rPr>
            </w:pPr>
          </w:p>
        </w:tc>
        <w:tc>
          <w:tcPr>
            <w:tcW w:w="658" w:type="dxa"/>
            <w:vMerge w:val="continue"/>
            <w:vAlign w:val="center"/>
          </w:tcPr>
          <w:p w14:paraId="59B7CA0A">
            <w:pPr>
              <w:ind w:left="-105" w:right="-105"/>
              <w:jc w:val="center"/>
              <w:textAlignment w:val="center"/>
              <w:rPr>
                <w:rFonts w:ascii="Times New Roman" w:hAnsi="Times New Roman"/>
                <w:color w:val="auto"/>
                <w:sz w:val="21"/>
                <w:szCs w:val="21"/>
                <w:highlight w:val="none"/>
              </w:rPr>
            </w:pPr>
          </w:p>
        </w:tc>
        <w:tc>
          <w:tcPr>
            <w:tcW w:w="1022" w:type="dxa"/>
            <w:vAlign w:val="center"/>
          </w:tcPr>
          <w:p w14:paraId="7D031461">
            <w:pPr>
              <w:ind w:left="-105" w:right="-105"/>
              <w:jc w:val="center"/>
              <w:textAlignment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丁酮</w:t>
            </w:r>
          </w:p>
        </w:tc>
        <w:tc>
          <w:tcPr>
            <w:tcW w:w="1044" w:type="dxa"/>
            <w:vMerge w:val="continue"/>
            <w:vAlign w:val="center"/>
          </w:tcPr>
          <w:p w14:paraId="239F410B">
            <w:pPr>
              <w:ind w:left="-105" w:right="-105"/>
              <w:jc w:val="center"/>
              <w:textAlignment w:val="center"/>
              <w:rPr>
                <w:rFonts w:ascii="Times New Roman" w:hAnsi="Times New Roman"/>
                <w:color w:val="auto"/>
                <w:sz w:val="21"/>
                <w:szCs w:val="21"/>
                <w:highlight w:val="none"/>
              </w:rPr>
            </w:pPr>
          </w:p>
        </w:tc>
        <w:tc>
          <w:tcPr>
            <w:tcW w:w="900" w:type="dxa"/>
            <w:vMerge w:val="continue"/>
            <w:vAlign w:val="center"/>
          </w:tcPr>
          <w:p w14:paraId="16C00576">
            <w:pPr>
              <w:ind w:left="-105" w:right="-105"/>
              <w:jc w:val="center"/>
              <w:textAlignment w:val="center"/>
              <w:rPr>
                <w:rFonts w:ascii="Times New Roman" w:hAnsi="Times New Roman"/>
                <w:color w:val="auto"/>
                <w:sz w:val="21"/>
                <w:szCs w:val="21"/>
                <w:highlight w:val="none"/>
              </w:rPr>
            </w:pPr>
          </w:p>
        </w:tc>
        <w:tc>
          <w:tcPr>
            <w:tcW w:w="786" w:type="dxa"/>
            <w:vAlign w:val="center"/>
          </w:tcPr>
          <w:p w14:paraId="3A65727A">
            <w:pPr>
              <w:ind w:left="-105" w:right="-105"/>
              <w:jc w:val="center"/>
              <w:textAlignment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50</w:t>
            </w:r>
          </w:p>
        </w:tc>
        <w:tc>
          <w:tcPr>
            <w:tcW w:w="642" w:type="dxa"/>
            <w:vMerge w:val="continue"/>
            <w:vAlign w:val="center"/>
          </w:tcPr>
          <w:p w14:paraId="65A36827">
            <w:pPr>
              <w:ind w:left="-105" w:right="-105"/>
              <w:jc w:val="center"/>
              <w:textAlignment w:val="center"/>
              <w:rPr>
                <w:rFonts w:ascii="Times New Roman" w:hAnsi="Times New Roman"/>
                <w:color w:val="auto"/>
                <w:sz w:val="21"/>
                <w:szCs w:val="21"/>
                <w:highlight w:val="none"/>
              </w:rPr>
            </w:pPr>
          </w:p>
        </w:tc>
        <w:tc>
          <w:tcPr>
            <w:tcW w:w="642" w:type="dxa"/>
            <w:vMerge w:val="continue"/>
            <w:vAlign w:val="center"/>
          </w:tcPr>
          <w:p w14:paraId="592D3B9F">
            <w:pPr>
              <w:ind w:left="-105" w:right="-105"/>
              <w:jc w:val="center"/>
              <w:textAlignment w:val="center"/>
              <w:rPr>
                <w:rFonts w:ascii="Times New Roman" w:hAnsi="Times New Roman"/>
                <w:color w:val="auto"/>
                <w:sz w:val="21"/>
                <w:szCs w:val="21"/>
                <w:highlight w:val="none"/>
              </w:rPr>
            </w:pPr>
          </w:p>
        </w:tc>
        <w:tc>
          <w:tcPr>
            <w:tcW w:w="720" w:type="dxa"/>
            <w:vMerge w:val="continue"/>
            <w:vAlign w:val="center"/>
          </w:tcPr>
          <w:p w14:paraId="4184A500">
            <w:pPr>
              <w:ind w:left="-105" w:right="-105"/>
              <w:jc w:val="center"/>
              <w:textAlignment w:val="center"/>
              <w:rPr>
                <w:rFonts w:ascii="Times New Roman" w:hAnsi="Times New Roman"/>
                <w:color w:val="auto"/>
                <w:sz w:val="21"/>
                <w:szCs w:val="21"/>
                <w:highlight w:val="none"/>
              </w:rPr>
            </w:pPr>
          </w:p>
        </w:tc>
        <w:tc>
          <w:tcPr>
            <w:tcW w:w="818" w:type="dxa"/>
            <w:vMerge w:val="continue"/>
            <w:vAlign w:val="center"/>
          </w:tcPr>
          <w:p w14:paraId="37680C0C">
            <w:pPr>
              <w:ind w:left="-105" w:right="-105"/>
              <w:jc w:val="center"/>
              <w:textAlignment w:val="center"/>
              <w:rPr>
                <w:rFonts w:ascii="Times New Roman" w:hAnsi="Times New Roman"/>
                <w:color w:val="auto"/>
                <w:sz w:val="21"/>
                <w:szCs w:val="21"/>
                <w:highlight w:val="none"/>
              </w:rPr>
            </w:pPr>
          </w:p>
        </w:tc>
      </w:tr>
      <w:tr w14:paraId="1ED62EB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504" w:type="dxa"/>
            <w:vMerge w:val="restart"/>
            <w:vAlign w:val="center"/>
          </w:tcPr>
          <w:p w14:paraId="59311A14">
            <w:pPr>
              <w:ind w:left="-105" w:right="-105"/>
              <w:jc w:val="center"/>
              <w:textAlignment w:val="center"/>
              <w:rPr>
                <w:rFonts w:ascii="Times New Roman" w:hAnsi="Times New Roman"/>
                <w:color w:val="auto"/>
                <w:sz w:val="21"/>
                <w:szCs w:val="21"/>
                <w:highlight w:val="none"/>
              </w:rPr>
            </w:pPr>
            <w:r>
              <w:rPr>
                <w:rFonts w:ascii="Times New Roman" w:hAnsi="Times New Roman"/>
                <w:color w:val="auto"/>
                <w:sz w:val="21"/>
                <w:szCs w:val="21"/>
                <w:highlight w:val="none"/>
              </w:rPr>
              <w:t>5</w:t>
            </w:r>
          </w:p>
        </w:tc>
        <w:tc>
          <w:tcPr>
            <w:tcW w:w="1146" w:type="dxa"/>
            <w:vMerge w:val="restart"/>
            <w:vAlign w:val="center"/>
          </w:tcPr>
          <w:p w14:paraId="566DAC8C">
            <w:pPr>
              <w:ind w:left="-105" w:right="-105"/>
              <w:jc w:val="center"/>
              <w:textAlignment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二工场车间内无组织废气</w:t>
            </w:r>
          </w:p>
        </w:tc>
        <w:tc>
          <w:tcPr>
            <w:tcW w:w="658" w:type="dxa"/>
            <w:vMerge w:val="continue"/>
            <w:vAlign w:val="center"/>
          </w:tcPr>
          <w:p w14:paraId="1372C67E">
            <w:pPr>
              <w:ind w:left="-105" w:right="-105"/>
              <w:jc w:val="center"/>
              <w:textAlignment w:val="center"/>
              <w:rPr>
                <w:rFonts w:ascii="Times New Roman" w:hAnsi="Times New Roman"/>
                <w:color w:val="auto"/>
                <w:sz w:val="21"/>
                <w:szCs w:val="21"/>
                <w:highlight w:val="none"/>
                <w:lang w:bidi="ar"/>
              </w:rPr>
            </w:pPr>
          </w:p>
        </w:tc>
        <w:tc>
          <w:tcPr>
            <w:tcW w:w="1022" w:type="dxa"/>
            <w:vAlign w:val="center"/>
          </w:tcPr>
          <w:p w14:paraId="10F88D74">
            <w:pPr>
              <w:ind w:left="-105" w:right="-105"/>
              <w:jc w:val="center"/>
              <w:textAlignment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丙烯酸</w:t>
            </w:r>
          </w:p>
        </w:tc>
        <w:tc>
          <w:tcPr>
            <w:tcW w:w="1044" w:type="dxa"/>
            <w:vMerge w:val="restart"/>
            <w:vAlign w:val="center"/>
          </w:tcPr>
          <w:p w14:paraId="30FA6F27">
            <w:pPr>
              <w:ind w:left="-105" w:right="-105"/>
              <w:jc w:val="center"/>
              <w:textAlignment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3级碱液喷淋+</w:t>
            </w:r>
            <w:r>
              <w:rPr>
                <w:rFonts w:hint="eastAsia" w:ascii="Times New Roman" w:hAnsi="Times New Roman"/>
                <w:color w:val="auto"/>
                <w:sz w:val="21"/>
                <w:szCs w:val="20"/>
                <w:highlight w:val="none"/>
              </w:rPr>
              <w:t>二级</w:t>
            </w:r>
            <w:r>
              <w:rPr>
                <w:rFonts w:hint="eastAsia" w:ascii="Times New Roman" w:hAnsi="Times New Roman"/>
                <w:color w:val="auto"/>
                <w:sz w:val="21"/>
                <w:szCs w:val="21"/>
                <w:highlight w:val="none"/>
              </w:rPr>
              <w:t>活性炭吸附装置</w:t>
            </w:r>
          </w:p>
        </w:tc>
        <w:tc>
          <w:tcPr>
            <w:tcW w:w="900" w:type="dxa"/>
            <w:vMerge w:val="restart"/>
            <w:vAlign w:val="center"/>
          </w:tcPr>
          <w:p w14:paraId="35437E0C">
            <w:pPr>
              <w:ind w:left="-105" w:right="-105"/>
              <w:jc w:val="center"/>
              <w:textAlignment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20000</w:t>
            </w:r>
          </w:p>
        </w:tc>
        <w:tc>
          <w:tcPr>
            <w:tcW w:w="786" w:type="dxa"/>
            <w:vAlign w:val="center"/>
          </w:tcPr>
          <w:p w14:paraId="3EEFD6C3">
            <w:pPr>
              <w:ind w:left="-105" w:right="-105"/>
              <w:jc w:val="center"/>
              <w:textAlignment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98</w:t>
            </w:r>
          </w:p>
        </w:tc>
        <w:tc>
          <w:tcPr>
            <w:tcW w:w="642" w:type="dxa"/>
            <w:vMerge w:val="restart"/>
            <w:vAlign w:val="center"/>
          </w:tcPr>
          <w:p w14:paraId="5FA84CA1">
            <w:pPr>
              <w:ind w:left="-105" w:right="-105"/>
              <w:jc w:val="center"/>
              <w:textAlignment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DA005</w:t>
            </w:r>
          </w:p>
        </w:tc>
        <w:tc>
          <w:tcPr>
            <w:tcW w:w="642" w:type="dxa"/>
            <w:vMerge w:val="restart"/>
            <w:vAlign w:val="center"/>
          </w:tcPr>
          <w:p w14:paraId="5C5CF23A">
            <w:pPr>
              <w:ind w:left="-105" w:right="-105"/>
              <w:jc w:val="center"/>
              <w:textAlignment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0.70</w:t>
            </w:r>
          </w:p>
        </w:tc>
        <w:tc>
          <w:tcPr>
            <w:tcW w:w="720" w:type="dxa"/>
            <w:vMerge w:val="restart"/>
            <w:vAlign w:val="center"/>
          </w:tcPr>
          <w:p w14:paraId="04703FDB">
            <w:pPr>
              <w:ind w:left="-105" w:right="-105"/>
              <w:jc w:val="center"/>
              <w:textAlignment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20</w:t>
            </w:r>
          </w:p>
        </w:tc>
        <w:tc>
          <w:tcPr>
            <w:tcW w:w="818" w:type="dxa"/>
            <w:vMerge w:val="continue"/>
            <w:vAlign w:val="center"/>
          </w:tcPr>
          <w:p w14:paraId="70362C71">
            <w:pPr>
              <w:ind w:left="-105" w:right="-105"/>
              <w:jc w:val="center"/>
              <w:textAlignment w:val="center"/>
              <w:rPr>
                <w:rFonts w:ascii="Times New Roman" w:hAnsi="Times New Roman"/>
                <w:color w:val="auto"/>
                <w:sz w:val="21"/>
                <w:szCs w:val="21"/>
                <w:highlight w:val="none"/>
              </w:rPr>
            </w:pPr>
          </w:p>
        </w:tc>
      </w:tr>
      <w:tr w14:paraId="454F181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504" w:type="dxa"/>
            <w:vMerge w:val="continue"/>
            <w:vAlign w:val="center"/>
          </w:tcPr>
          <w:p w14:paraId="0919A9AE">
            <w:pPr>
              <w:ind w:left="-105" w:right="-105"/>
              <w:jc w:val="center"/>
              <w:textAlignment w:val="center"/>
              <w:rPr>
                <w:rFonts w:ascii="Times New Roman" w:hAnsi="Times New Roman"/>
                <w:color w:val="auto"/>
                <w:sz w:val="21"/>
                <w:szCs w:val="21"/>
                <w:highlight w:val="none"/>
              </w:rPr>
            </w:pPr>
          </w:p>
        </w:tc>
        <w:tc>
          <w:tcPr>
            <w:tcW w:w="1146" w:type="dxa"/>
            <w:vMerge w:val="continue"/>
            <w:vAlign w:val="center"/>
          </w:tcPr>
          <w:p w14:paraId="0B5BBD57">
            <w:pPr>
              <w:ind w:left="-105" w:right="-105"/>
              <w:jc w:val="center"/>
              <w:textAlignment w:val="center"/>
              <w:rPr>
                <w:rFonts w:ascii="Times New Roman" w:hAnsi="Times New Roman"/>
                <w:color w:val="auto"/>
                <w:sz w:val="21"/>
                <w:szCs w:val="21"/>
                <w:highlight w:val="none"/>
              </w:rPr>
            </w:pPr>
          </w:p>
        </w:tc>
        <w:tc>
          <w:tcPr>
            <w:tcW w:w="658" w:type="dxa"/>
            <w:vMerge w:val="continue"/>
            <w:vAlign w:val="center"/>
          </w:tcPr>
          <w:p w14:paraId="2C0CCE9A">
            <w:pPr>
              <w:ind w:left="-105" w:right="-105"/>
              <w:jc w:val="center"/>
              <w:textAlignment w:val="center"/>
              <w:rPr>
                <w:rFonts w:ascii="Times New Roman" w:hAnsi="Times New Roman"/>
                <w:color w:val="auto"/>
                <w:sz w:val="21"/>
                <w:szCs w:val="21"/>
                <w:highlight w:val="none"/>
                <w:lang w:bidi="ar"/>
              </w:rPr>
            </w:pPr>
          </w:p>
        </w:tc>
        <w:tc>
          <w:tcPr>
            <w:tcW w:w="1022" w:type="dxa"/>
            <w:vAlign w:val="center"/>
          </w:tcPr>
          <w:p w14:paraId="466DAD48">
            <w:pPr>
              <w:ind w:left="-105" w:right="-105"/>
              <w:jc w:val="center"/>
              <w:textAlignment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2-乙二醇单乙醚醋酸酯</w:t>
            </w:r>
          </w:p>
        </w:tc>
        <w:tc>
          <w:tcPr>
            <w:tcW w:w="1044" w:type="dxa"/>
            <w:vMerge w:val="continue"/>
            <w:vAlign w:val="center"/>
          </w:tcPr>
          <w:p w14:paraId="2954E88E">
            <w:pPr>
              <w:ind w:left="-105" w:right="-105"/>
              <w:jc w:val="center"/>
              <w:textAlignment w:val="center"/>
              <w:rPr>
                <w:rFonts w:ascii="Times New Roman" w:hAnsi="Times New Roman"/>
                <w:color w:val="auto"/>
                <w:sz w:val="21"/>
                <w:szCs w:val="21"/>
                <w:highlight w:val="none"/>
              </w:rPr>
            </w:pPr>
          </w:p>
        </w:tc>
        <w:tc>
          <w:tcPr>
            <w:tcW w:w="900" w:type="dxa"/>
            <w:vMerge w:val="continue"/>
            <w:vAlign w:val="center"/>
          </w:tcPr>
          <w:p w14:paraId="175A5E7F">
            <w:pPr>
              <w:ind w:left="-105" w:right="-105"/>
              <w:jc w:val="center"/>
              <w:textAlignment w:val="center"/>
              <w:rPr>
                <w:rFonts w:ascii="Times New Roman" w:hAnsi="Times New Roman"/>
                <w:color w:val="auto"/>
                <w:sz w:val="21"/>
                <w:szCs w:val="21"/>
                <w:highlight w:val="none"/>
              </w:rPr>
            </w:pPr>
          </w:p>
        </w:tc>
        <w:tc>
          <w:tcPr>
            <w:tcW w:w="786" w:type="dxa"/>
            <w:vAlign w:val="center"/>
          </w:tcPr>
          <w:p w14:paraId="63DC5B10">
            <w:pPr>
              <w:ind w:left="-105" w:right="-105"/>
              <w:jc w:val="center"/>
              <w:textAlignment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50</w:t>
            </w:r>
          </w:p>
        </w:tc>
        <w:tc>
          <w:tcPr>
            <w:tcW w:w="642" w:type="dxa"/>
            <w:vMerge w:val="continue"/>
            <w:vAlign w:val="center"/>
          </w:tcPr>
          <w:p w14:paraId="7C2AC021">
            <w:pPr>
              <w:ind w:left="-105" w:right="-105"/>
              <w:jc w:val="center"/>
              <w:textAlignment w:val="center"/>
              <w:rPr>
                <w:rFonts w:ascii="Times New Roman" w:hAnsi="Times New Roman"/>
                <w:color w:val="auto"/>
                <w:sz w:val="21"/>
                <w:szCs w:val="21"/>
                <w:highlight w:val="none"/>
              </w:rPr>
            </w:pPr>
          </w:p>
        </w:tc>
        <w:tc>
          <w:tcPr>
            <w:tcW w:w="642" w:type="dxa"/>
            <w:vMerge w:val="continue"/>
            <w:vAlign w:val="center"/>
          </w:tcPr>
          <w:p w14:paraId="3744CFBD">
            <w:pPr>
              <w:ind w:left="-105" w:right="-105"/>
              <w:jc w:val="center"/>
              <w:textAlignment w:val="center"/>
              <w:rPr>
                <w:rFonts w:ascii="Times New Roman" w:hAnsi="Times New Roman"/>
                <w:color w:val="auto"/>
                <w:sz w:val="21"/>
                <w:szCs w:val="21"/>
                <w:highlight w:val="none"/>
              </w:rPr>
            </w:pPr>
          </w:p>
        </w:tc>
        <w:tc>
          <w:tcPr>
            <w:tcW w:w="720" w:type="dxa"/>
            <w:vMerge w:val="continue"/>
            <w:vAlign w:val="center"/>
          </w:tcPr>
          <w:p w14:paraId="55C35444">
            <w:pPr>
              <w:ind w:left="-105" w:right="-105"/>
              <w:jc w:val="center"/>
              <w:textAlignment w:val="center"/>
              <w:rPr>
                <w:rFonts w:ascii="Times New Roman" w:hAnsi="Times New Roman"/>
                <w:color w:val="auto"/>
                <w:sz w:val="21"/>
                <w:szCs w:val="21"/>
                <w:highlight w:val="none"/>
              </w:rPr>
            </w:pPr>
          </w:p>
        </w:tc>
        <w:tc>
          <w:tcPr>
            <w:tcW w:w="818" w:type="dxa"/>
            <w:vMerge w:val="continue"/>
            <w:vAlign w:val="center"/>
          </w:tcPr>
          <w:p w14:paraId="45F78C6A">
            <w:pPr>
              <w:ind w:left="-105" w:right="-105"/>
              <w:jc w:val="center"/>
              <w:textAlignment w:val="center"/>
              <w:rPr>
                <w:rFonts w:ascii="Times New Roman" w:hAnsi="Times New Roman"/>
                <w:color w:val="auto"/>
                <w:sz w:val="21"/>
                <w:szCs w:val="21"/>
                <w:highlight w:val="none"/>
              </w:rPr>
            </w:pPr>
          </w:p>
        </w:tc>
      </w:tr>
      <w:tr w14:paraId="72A5FF5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504" w:type="dxa"/>
            <w:vMerge w:val="continue"/>
            <w:vAlign w:val="center"/>
          </w:tcPr>
          <w:p w14:paraId="3E890CE0">
            <w:pPr>
              <w:ind w:left="-105" w:right="-105"/>
              <w:jc w:val="center"/>
              <w:textAlignment w:val="center"/>
              <w:rPr>
                <w:rFonts w:ascii="Times New Roman" w:hAnsi="Times New Roman"/>
                <w:color w:val="auto"/>
                <w:sz w:val="21"/>
                <w:szCs w:val="21"/>
                <w:highlight w:val="none"/>
              </w:rPr>
            </w:pPr>
          </w:p>
        </w:tc>
        <w:tc>
          <w:tcPr>
            <w:tcW w:w="1146" w:type="dxa"/>
            <w:vMerge w:val="continue"/>
            <w:vAlign w:val="center"/>
          </w:tcPr>
          <w:p w14:paraId="717B365F">
            <w:pPr>
              <w:ind w:left="-105" w:right="-105"/>
              <w:jc w:val="center"/>
              <w:textAlignment w:val="center"/>
              <w:rPr>
                <w:rFonts w:ascii="Times New Roman" w:hAnsi="Times New Roman"/>
                <w:color w:val="auto"/>
                <w:sz w:val="21"/>
                <w:szCs w:val="21"/>
                <w:highlight w:val="none"/>
              </w:rPr>
            </w:pPr>
          </w:p>
        </w:tc>
        <w:tc>
          <w:tcPr>
            <w:tcW w:w="658" w:type="dxa"/>
            <w:vMerge w:val="continue"/>
            <w:vAlign w:val="center"/>
          </w:tcPr>
          <w:p w14:paraId="39371F8B">
            <w:pPr>
              <w:ind w:left="-105" w:right="-105"/>
              <w:jc w:val="center"/>
              <w:textAlignment w:val="center"/>
              <w:rPr>
                <w:rFonts w:ascii="Times New Roman" w:hAnsi="Times New Roman"/>
                <w:color w:val="auto"/>
                <w:sz w:val="21"/>
                <w:szCs w:val="21"/>
                <w:highlight w:val="none"/>
                <w:lang w:bidi="ar"/>
              </w:rPr>
            </w:pPr>
          </w:p>
        </w:tc>
        <w:tc>
          <w:tcPr>
            <w:tcW w:w="1022" w:type="dxa"/>
            <w:vAlign w:val="center"/>
          </w:tcPr>
          <w:p w14:paraId="4EF0AFF4">
            <w:pPr>
              <w:ind w:left="-105" w:right="-105"/>
              <w:jc w:val="center"/>
              <w:textAlignment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非甲烷总烃</w:t>
            </w:r>
          </w:p>
        </w:tc>
        <w:tc>
          <w:tcPr>
            <w:tcW w:w="1044" w:type="dxa"/>
            <w:vMerge w:val="continue"/>
            <w:vAlign w:val="center"/>
          </w:tcPr>
          <w:p w14:paraId="69482DC8">
            <w:pPr>
              <w:ind w:left="-105" w:right="-105"/>
              <w:jc w:val="center"/>
              <w:textAlignment w:val="center"/>
              <w:rPr>
                <w:rFonts w:ascii="Times New Roman" w:hAnsi="Times New Roman"/>
                <w:color w:val="auto"/>
                <w:sz w:val="21"/>
                <w:szCs w:val="21"/>
                <w:highlight w:val="none"/>
              </w:rPr>
            </w:pPr>
          </w:p>
        </w:tc>
        <w:tc>
          <w:tcPr>
            <w:tcW w:w="900" w:type="dxa"/>
            <w:vMerge w:val="continue"/>
            <w:vAlign w:val="center"/>
          </w:tcPr>
          <w:p w14:paraId="49AEB741">
            <w:pPr>
              <w:ind w:left="-105" w:right="-105"/>
              <w:jc w:val="center"/>
              <w:textAlignment w:val="center"/>
              <w:rPr>
                <w:rFonts w:ascii="Times New Roman" w:hAnsi="Times New Roman"/>
                <w:color w:val="auto"/>
                <w:sz w:val="21"/>
                <w:szCs w:val="21"/>
                <w:highlight w:val="none"/>
              </w:rPr>
            </w:pPr>
          </w:p>
        </w:tc>
        <w:tc>
          <w:tcPr>
            <w:tcW w:w="786" w:type="dxa"/>
            <w:vAlign w:val="center"/>
          </w:tcPr>
          <w:p w14:paraId="48D3B01F">
            <w:pPr>
              <w:ind w:left="-105" w:right="-105"/>
              <w:jc w:val="center"/>
              <w:textAlignment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50</w:t>
            </w:r>
          </w:p>
        </w:tc>
        <w:tc>
          <w:tcPr>
            <w:tcW w:w="642" w:type="dxa"/>
            <w:vMerge w:val="continue"/>
            <w:vAlign w:val="center"/>
          </w:tcPr>
          <w:p w14:paraId="64B6508E">
            <w:pPr>
              <w:ind w:left="-105" w:right="-105"/>
              <w:jc w:val="center"/>
              <w:textAlignment w:val="center"/>
              <w:rPr>
                <w:rFonts w:ascii="Times New Roman" w:hAnsi="Times New Roman"/>
                <w:color w:val="auto"/>
                <w:sz w:val="21"/>
                <w:szCs w:val="21"/>
                <w:highlight w:val="none"/>
              </w:rPr>
            </w:pPr>
          </w:p>
        </w:tc>
        <w:tc>
          <w:tcPr>
            <w:tcW w:w="642" w:type="dxa"/>
            <w:vMerge w:val="continue"/>
            <w:vAlign w:val="center"/>
          </w:tcPr>
          <w:p w14:paraId="14FFD641">
            <w:pPr>
              <w:ind w:left="-105" w:right="-105"/>
              <w:jc w:val="center"/>
              <w:textAlignment w:val="center"/>
              <w:rPr>
                <w:rFonts w:ascii="Times New Roman" w:hAnsi="Times New Roman"/>
                <w:color w:val="auto"/>
                <w:sz w:val="21"/>
                <w:szCs w:val="21"/>
                <w:highlight w:val="none"/>
              </w:rPr>
            </w:pPr>
          </w:p>
        </w:tc>
        <w:tc>
          <w:tcPr>
            <w:tcW w:w="720" w:type="dxa"/>
            <w:vMerge w:val="continue"/>
            <w:vAlign w:val="center"/>
          </w:tcPr>
          <w:p w14:paraId="4E6F0565">
            <w:pPr>
              <w:ind w:left="-105" w:right="-105"/>
              <w:jc w:val="center"/>
              <w:textAlignment w:val="center"/>
              <w:rPr>
                <w:rFonts w:ascii="Times New Roman" w:hAnsi="Times New Roman"/>
                <w:color w:val="auto"/>
                <w:sz w:val="21"/>
                <w:szCs w:val="21"/>
                <w:highlight w:val="none"/>
              </w:rPr>
            </w:pPr>
          </w:p>
        </w:tc>
        <w:tc>
          <w:tcPr>
            <w:tcW w:w="818" w:type="dxa"/>
            <w:vMerge w:val="continue"/>
            <w:vAlign w:val="center"/>
          </w:tcPr>
          <w:p w14:paraId="0C0F89F6">
            <w:pPr>
              <w:ind w:left="-105" w:right="-105"/>
              <w:jc w:val="center"/>
              <w:textAlignment w:val="center"/>
              <w:rPr>
                <w:rFonts w:ascii="Times New Roman" w:hAnsi="Times New Roman"/>
                <w:color w:val="auto"/>
                <w:sz w:val="21"/>
                <w:szCs w:val="21"/>
                <w:highlight w:val="none"/>
              </w:rPr>
            </w:pPr>
          </w:p>
        </w:tc>
      </w:tr>
      <w:tr w14:paraId="3A54BA1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00" w:hRule="atLeast"/>
          <w:jc w:val="center"/>
        </w:trPr>
        <w:tc>
          <w:tcPr>
            <w:tcW w:w="504" w:type="dxa"/>
            <w:vMerge w:val="restart"/>
            <w:vAlign w:val="center"/>
          </w:tcPr>
          <w:p w14:paraId="6D25CF78">
            <w:pPr>
              <w:ind w:left="-105" w:right="-105"/>
              <w:jc w:val="center"/>
              <w:textAlignment w:val="center"/>
              <w:rPr>
                <w:rFonts w:ascii="Times New Roman" w:hAnsi="Times New Roman"/>
                <w:color w:val="auto"/>
                <w:sz w:val="21"/>
                <w:szCs w:val="21"/>
                <w:highlight w:val="none"/>
                <w:lang w:bidi="ar"/>
              </w:rPr>
            </w:pPr>
            <w:r>
              <w:rPr>
                <w:rFonts w:ascii="Times New Roman" w:hAnsi="Times New Roman"/>
                <w:color w:val="auto"/>
                <w:sz w:val="21"/>
                <w:szCs w:val="21"/>
                <w:highlight w:val="none"/>
                <w:lang w:bidi="ar"/>
              </w:rPr>
              <w:t>6</w:t>
            </w:r>
          </w:p>
        </w:tc>
        <w:tc>
          <w:tcPr>
            <w:tcW w:w="1146" w:type="dxa"/>
            <w:vMerge w:val="restart"/>
            <w:vAlign w:val="center"/>
          </w:tcPr>
          <w:p w14:paraId="006D3B67">
            <w:pPr>
              <w:ind w:left="-105" w:right="-105"/>
              <w:jc w:val="center"/>
              <w:textAlignment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未捕集废气</w:t>
            </w:r>
          </w:p>
        </w:tc>
        <w:tc>
          <w:tcPr>
            <w:tcW w:w="658" w:type="dxa"/>
            <w:vMerge w:val="restart"/>
            <w:vAlign w:val="center"/>
          </w:tcPr>
          <w:p w14:paraId="57CCB07B">
            <w:pPr>
              <w:ind w:left="-105" w:right="-105"/>
              <w:jc w:val="center"/>
              <w:textAlignment w:val="center"/>
              <w:rPr>
                <w:rFonts w:ascii="Times New Roman" w:hAnsi="Times New Roman"/>
                <w:color w:val="auto"/>
                <w:sz w:val="21"/>
                <w:szCs w:val="21"/>
                <w:highlight w:val="none"/>
                <w:lang w:bidi="ar"/>
              </w:rPr>
            </w:pPr>
            <w:r>
              <w:rPr>
                <w:rFonts w:hint="eastAsia" w:ascii="Times New Roman" w:hAnsi="Times New Roman"/>
                <w:color w:val="auto"/>
                <w:sz w:val="21"/>
                <w:szCs w:val="21"/>
                <w:highlight w:val="none"/>
                <w:lang w:bidi="ar"/>
              </w:rPr>
              <w:t>无组织</w:t>
            </w:r>
          </w:p>
        </w:tc>
        <w:tc>
          <w:tcPr>
            <w:tcW w:w="1022" w:type="dxa"/>
            <w:vAlign w:val="center"/>
          </w:tcPr>
          <w:p w14:paraId="55C21110">
            <w:pPr>
              <w:ind w:left="-105" w:right="-105"/>
              <w:jc w:val="center"/>
              <w:textAlignment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丙烯酸</w:t>
            </w:r>
          </w:p>
        </w:tc>
        <w:tc>
          <w:tcPr>
            <w:tcW w:w="1044" w:type="dxa"/>
            <w:vMerge w:val="restart"/>
            <w:vAlign w:val="center"/>
          </w:tcPr>
          <w:p w14:paraId="063DED21">
            <w:pPr>
              <w:ind w:left="-105" w:right="-105"/>
              <w:jc w:val="center"/>
              <w:textAlignment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车间通风</w:t>
            </w:r>
          </w:p>
        </w:tc>
        <w:tc>
          <w:tcPr>
            <w:tcW w:w="900" w:type="dxa"/>
            <w:vMerge w:val="restart"/>
            <w:vAlign w:val="center"/>
          </w:tcPr>
          <w:p w14:paraId="2819229A">
            <w:pPr>
              <w:ind w:left="-105" w:right="-105"/>
              <w:jc w:val="center"/>
              <w:textAlignment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w:t>
            </w:r>
          </w:p>
        </w:tc>
        <w:tc>
          <w:tcPr>
            <w:tcW w:w="786" w:type="dxa"/>
            <w:vMerge w:val="restart"/>
            <w:vAlign w:val="center"/>
          </w:tcPr>
          <w:p w14:paraId="781D03AC">
            <w:pPr>
              <w:ind w:left="-105" w:right="-105"/>
              <w:jc w:val="center"/>
              <w:textAlignment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w:t>
            </w:r>
          </w:p>
        </w:tc>
        <w:tc>
          <w:tcPr>
            <w:tcW w:w="2004" w:type="dxa"/>
            <w:gridSpan w:val="3"/>
            <w:vMerge w:val="restart"/>
            <w:vAlign w:val="center"/>
          </w:tcPr>
          <w:p w14:paraId="7B1511F7">
            <w:pPr>
              <w:ind w:left="-105" w:right="-105"/>
              <w:jc w:val="center"/>
              <w:textAlignment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w:t>
            </w:r>
          </w:p>
        </w:tc>
        <w:tc>
          <w:tcPr>
            <w:tcW w:w="818" w:type="dxa"/>
            <w:vMerge w:val="continue"/>
            <w:vAlign w:val="center"/>
          </w:tcPr>
          <w:p w14:paraId="0A35B680">
            <w:pPr>
              <w:ind w:left="-105" w:right="-105"/>
              <w:jc w:val="center"/>
              <w:textAlignment w:val="center"/>
              <w:rPr>
                <w:rFonts w:ascii="Times New Roman" w:hAnsi="Times New Roman"/>
                <w:color w:val="auto"/>
                <w:sz w:val="21"/>
                <w:szCs w:val="21"/>
                <w:highlight w:val="none"/>
              </w:rPr>
            </w:pPr>
          </w:p>
        </w:tc>
      </w:tr>
      <w:tr w14:paraId="5F563BE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00" w:hRule="atLeast"/>
          <w:jc w:val="center"/>
        </w:trPr>
        <w:tc>
          <w:tcPr>
            <w:tcW w:w="504" w:type="dxa"/>
            <w:vMerge w:val="continue"/>
            <w:vAlign w:val="center"/>
          </w:tcPr>
          <w:p w14:paraId="52139594">
            <w:pPr>
              <w:ind w:left="-105" w:right="-105"/>
              <w:jc w:val="center"/>
              <w:textAlignment w:val="center"/>
              <w:rPr>
                <w:rFonts w:ascii="Times New Roman" w:hAnsi="Times New Roman"/>
                <w:color w:val="auto"/>
                <w:sz w:val="21"/>
                <w:szCs w:val="21"/>
                <w:highlight w:val="none"/>
                <w:lang w:bidi="ar"/>
              </w:rPr>
            </w:pPr>
          </w:p>
        </w:tc>
        <w:tc>
          <w:tcPr>
            <w:tcW w:w="1146" w:type="dxa"/>
            <w:vMerge w:val="continue"/>
            <w:vAlign w:val="center"/>
          </w:tcPr>
          <w:p w14:paraId="319DA159">
            <w:pPr>
              <w:ind w:left="-105" w:right="-105"/>
              <w:jc w:val="center"/>
              <w:textAlignment w:val="center"/>
              <w:rPr>
                <w:rFonts w:ascii="Times New Roman" w:hAnsi="Times New Roman"/>
                <w:color w:val="auto"/>
                <w:sz w:val="21"/>
                <w:szCs w:val="21"/>
                <w:highlight w:val="none"/>
              </w:rPr>
            </w:pPr>
          </w:p>
        </w:tc>
        <w:tc>
          <w:tcPr>
            <w:tcW w:w="658" w:type="dxa"/>
            <w:vMerge w:val="continue"/>
            <w:vAlign w:val="center"/>
          </w:tcPr>
          <w:p w14:paraId="67D8B723">
            <w:pPr>
              <w:ind w:left="-105" w:right="-105"/>
              <w:jc w:val="center"/>
              <w:textAlignment w:val="center"/>
              <w:rPr>
                <w:rFonts w:ascii="Times New Roman" w:hAnsi="Times New Roman"/>
                <w:color w:val="auto"/>
                <w:sz w:val="21"/>
                <w:szCs w:val="21"/>
                <w:highlight w:val="none"/>
                <w:lang w:bidi="ar"/>
              </w:rPr>
            </w:pPr>
          </w:p>
        </w:tc>
        <w:tc>
          <w:tcPr>
            <w:tcW w:w="1022" w:type="dxa"/>
            <w:vAlign w:val="center"/>
          </w:tcPr>
          <w:p w14:paraId="106A0453">
            <w:pPr>
              <w:ind w:left="-105" w:right="-105"/>
              <w:jc w:val="center"/>
              <w:textAlignment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2-乙二醇单乙醚醋酸酯</w:t>
            </w:r>
          </w:p>
        </w:tc>
        <w:tc>
          <w:tcPr>
            <w:tcW w:w="1044" w:type="dxa"/>
            <w:vMerge w:val="continue"/>
            <w:vAlign w:val="center"/>
          </w:tcPr>
          <w:p w14:paraId="119B7D99">
            <w:pPr>
              <w:ind w:left="-105" w:right="-105"/>
              <w:jc w:val="center"/>
              <w:textAlignment w:val="center"/>
              <w:rPr>
                <w:rFonts w:ascii="Times New Roman" w:hAnsi="Times New Roman"/>
                <w:color w:val="auto"/>
                <w:sz w:val="21"/>
                <w:szCs w:val="21"/>
                <w:highlight w:val="none"/>
              </w:rPr>
            </w:pPr>
          </w:p>
        </w:tc>
        <w:tc>
          <w:tcPr>
            <w:tcW w:w="900" w:type="dxa"/>
            <w:vMerge w:val="continue"/>
            <w:vAlign w:val="center"/>
          </w:tcPr>
          <w:p w14:paraId="670F8936">
            <w:pPr>
              <w:ind w:left="-105" w:right="-105"/>
              <w:jc w:val="center"/>
              <w:textAlignment w:val="center"/>
              <w:rPr>
                <w:rFonts w:ascii="Times New Roman" w:hAnsi="Times New Roman"/>
                <w:color w:val="auto"/>
                <w:sz w:val="21"/>
                <w:szCs w:val="21"/>
                <w:highlight w:val="none"/>
              </w:rPr>
            </w:pPr>
          </w:p>
        </w:tc>
        <w:tc>
          <w:tcPr>
            <w:tcW w:w="786" w:type="dxa"/>
            <w:vMerge w:val="continue"/>
            <w:vAlign w:val="center"/>
          </w:tcPr>
          <w:p w14:paraId="192A70B5">
            <w:pPr>
              <w:ind w:left="-105" w:right="-105"/>
              <w:jc w:val="center"/>
              <w:textAlignment w:val="center"/>
              <w:rPr>
                <w:rFonts w:ascii="Times New Roman" w:hAnsi="Times New Roman"/>
                <w:color w:val="auto"/>
                <w:sz w:val="21"/>
                <w:szCs w:val="21"/>
                <w:highlight w:val="none"/>
              </w:rPr>
            </w:pPr>
          </w:p>
        </w:tc>
        <w:tc>
          <w:tcPr>
            <w:tcW w:w="2004" w:type="dxa"/>
            <w:gridSpan w:val="3"/>
            <w:vMerge w:val="continue"/>
            <w:vAlign w:val="center"/>
          </w:tcPr>
          <w:p w14:paraId="4C5222E7">
            <w:pPr>
              <w:ind w:left="-105" w:right="-105"/>
              <w:jc w:val="center"/>
              <w:textAlignment w:val="center"/>
              <w:rPr>
                <w:rFonts w:ascii="Times New Roman" w:hAnsi="Times New Roman"/>
                <w:color w:val="auto"/>
                <w:sz w:val="21"/>
                <w:szCs w:val="21"/>
                <w:highlight w:val="none"/>
              </w:rPr>
            </w:pPr>
          </w:p>
        </w:tc>
        <w:tc>
          <w:tcPr>
            <w:tcW w:w="818" w:type="dxa"/>
            <w:vMerge w:val="continue"/>
            <w:vAlign w:val="center"/>
          </w:tcPr>
          <w:p w14:paraId="14B32161">
            <w:pPr>
              <w:ind w:left="-105" w:right="-105"/>
              <w:jc w:val="center"/>
              <w:textAlignment w:val="center"/>
              <w:rPr>
                <w:rFonts w:ascii="Times New Roman" w:hAnsi="Times New Roman"/>
                <w:color w:val="auto"/>
                <w:sz w:val="21"/>
                <w:szCs w:val="21"/>
                <w:highlight w:val="none"/>
              </w:rPr>
            </w:pPr>
          </w:p>
        </w:tc>
      </w:tr>
      <w:tr w14:paraId="61C0541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98" w:hRule="atLeast"/>
          <w:jc w:val="center"/>
        </w:trPr>
        <w:tc>
          <w:tcPr>
            <w:tcW w:w="504" w:type="dxa"/>
            <w:vMerge w:val="continue"/>
            <w:vAlign w:val="center"/>
          </w:tcPr>
          <w:p w14:paraId="62922CEC">
            <w:pPr>
              <w:ind w:left="-105" w:right="-105"/>
              <w:jc w:val="center"/>
              <w:textAlignment w:val="center"/>
              <w:rPr>
                <w:rFonts w:ascii="Times New Roman" w:hAnsi="Times New Roman"/>
                <w:color w:val="auto"/>
                <w:sz w:val="21"/>
                <w:szCs w:val="21"/>
                <w:highlight w:val="none"/>
                <w:lang w:bidi="ar"/>
              </w:rPr>
            </w:pPr>
          </w:p>
        </w:tc>
        <w:tc>
          <w:tcPr>
            <w:tcW w:w="1146" w:type="dxa"/>
            <w:vMerge w:val="continue"/>
            <w:vAlign w:val="center"/>
          </w:tcPr>
          <w:p w14:paraId="32694F09">
            <w:pPr>
              <w:ind w:left="-105" w:right="-105"/>
              <w:jc w:val="center"/>
              <w:textAlignment w:val="center"/>
              <w:rPr>
                <w:rFonts w:ascii="Times New Roman" w:hAnsi="Times New Roman"/>
                <w:color w:val="auto"/>
                <w:sz w:val="21"/>
                <w:szCs w:val="21"/>
                <w:highlight w:val="none"/>
              </w:rPr>
            </w:pPr>
          </w:p>
        </w:tc>
        <w:tc>
          <w:tcPr>
            <w:tcW w:w="658" w:type="dxa"/>
            <w:vMerge w:val="continue"/>
            <w:vAlign w:val="center"/>
          </w:tcPr>
          <w:p w14:paraId="40CAC6F2">
            <w:pPr>
              <w:ind w:left="-105" w:right="-105"/>
              <w:jc w:val="center"/>
              <w:textAlignment w:val="center"/>
              <w:rPr>
                <w:rFonts w:ascii="Times New Roman" w:hAnsi="Times New Roman"/>
                <w:color w:val="auto"/>
                <w:sz w:val="21"/>
                <w:szCs w:val="21"/>
                <w:highlight w:val="none"/>
                <w:lang w:bidi="ar"/>
              </w:rPr>
            </w:pPr>
          </w:p>
        </w:tc>
        <w:tc>
          <w:tcPr>
            <w:tcW w:w="1022" w:type="dxa"/>
            <w:vAlign w:val="center"/>
          </w:tcPr>
          <w:p w14:paraId="51E22A0C">
            <w:pPr>
              <w:ind w:left="-105" w:right="-105"/>
              <w:jc w:val="center"/>
              <w:textAlignment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非甲烷总烃</w:t>
            </w:r>
          </w:p>
        </w:tc>
        <w:tc>
          <w:tcPr>
            <w:tcW w:w="1044" w:type="dxa"/>
            <w:vMerge w:val="continue"/>
            <w:vAlign w:val="center"/>
          </w:tcPr>
          <w:p w14:paraId="680F78D2">
            <w:pPr>
              <w:ind w:left="-105" w:right="-105"/>
              <w:jc w:val="center"/>
              <w:textAlignment w:val="center"/>
              <w:rPr>
                <w:rFonts w:ascii="Times New Roman" w:hAnsi="Times New Roman"/>
                <w:color w:val="auto"/>
                <w:sz w:val="21"/>
                <w:szCs w:val="21"/>
                <w:highlight w:val="none"/>
              </w:rPr>
            </w:pPr>
          </w:p>
        </w:tc>
        <w:tc>
          <w:tcPr>
            <w:tcW w:w="900" w:type="dxa"/>
            <w:vMerge w:val="continue"/>
            <w:vAlign w:val="center"/>
          </w:tcPr>
          <w:p w14:paraId="5EC2F662">
            <w:pPr>
              <w:ind w:left="-105" w:right="-105"/>
              <w:jc w:val="center"/>
              <w:textAlignment w:val="center"/>
              <w:rPr>
                <w:rFonts w:ascii="Times New Roman" w:hAnsi="Times New Roman"/>
                <w:color w:val="auto"/>
                <w:sz w:val="21"/>
                <w:szCs w:val="21"/>
                <w:highlight w:val="none"/>
              </w:rPr>
            </w:pPr>
          </w:p>
        </w:tc>
        <w:tc>
          <w:tcPr>
            <w:tcW w:w="786" w:type="dxa"/>
            <w:vMerge w:val="continue"/>
            <w:vAlign w:val="center"/>
          </w:tcPr>
          <w:p w14:paraId="573A0BB5">
            <w:pPr>
              <w:ind w:left="-105" w:right="-105"/>
              <w:jc w:val="center"/>
              <w:textAlignment w:val="center"/>
              <w:rPr>
                <w:rFonts w:ascii="Times New Roman" w:hAnsi="Times New Roman"/>
                <w:color w:val="auto"/>
                <w:sz w:val="21"/>
                <w:szCs w:val="21"/>
                <w:highlight w:val="none"/>
              </w:rPr>
            </w:pPr>
          </w:p>
        </w:tc>
        <w:tc>
          <w:tcPr>
            <w:tcW w:w="2004" w:type="dxa"/>
            <w:gridSpan w:val="3"/>
            <w:vMerge w:val="continue"/>
            <w:vAlign w:val="center"/>
          </w:tcPr>
          <w:p w14:paraId="5316350D">
            <w:pPr>
              <w:ind w:left="-105" w:right="-105"/>
              <w:jc w:val="center"/>
              <w:textAlignment w:val="center"/>
              <w:rPr>
                <w:rFonts w:ascii="Times New Roman" w:hAnsi="Times New Roman"/>
                <w:color w:val="auto"/>
                <w:sz w:val="21"/>
                <w:szCs w:val="21"/>
                <w:highlight w:val="none"/>
              </w:rPr>
            </w:pPr>
          </w:p>
        </w:tc>
        <w:tc>
          <w:tcPr>
            <w:tcW w:w="818" w:type="dxa"/>
            <w:vMerge w:val="continue"/>
            <w:vAlign w:val="center"/>
          </w:tcPr>
          <w:p w14:paraId="7F5DC81E">
            <w:pPr>
              <w:ind w:left="-105" w:right="-105"/>
              <w:jc w:val="center"/>
              <w:textAlignment w:val="center"/>
              <w:rPr>
                <w:rFonts w:ascii="Times New Roman" w:hAnsi="Times New Roman"/>
                <w:color w:val="auto"/>
                <w:sz w:val="21"/>
                <w:szCs w:val="21"/>
                <w:highlight w:val="none"/>
              </w:rPr>
            </w:pPr>
          </w:p>
        </w:tc>
      </w:tr>
      <w:tr w14:paraId="77E50DA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98" w:hRule="atLeast"/>
          <w:jc w:val="center"/>
        </w:trPr>
        <w:tc>
          <w:tcPr>
            <w:tcW w:w="504" w:type="dxa"/>
            <w:vMerge w:val="continue"/>
            <w:vAlign w:val="center"/>
          </w:tcPr>
          <w:p w14:paraId="7D605802">
            <w:pPr>
              <w:ind w:left="-105" w:right="-105"/>
              <w:jc w:val="center"/>
              <w:textAlignment w:val="center"/>
              <w:rPr>
                <w:rFonts w:ascii="Times New Roman" w:hAnsi="Times New Roman"/>
                <w:color w:val="auto"/>
                <w:sz w:val="21"/>
                <w:szCs w:val="21"/>
                <w:highlight w:val="none"/>
                <w:lang w:bidi="ar"/>
              </w:rPr>
            </w:pPr>
          </w:p>
        </w:tc>
        <w:tc>
          <w:tcPr>
            <w:tcW w:w="1146" w:type="dxa"/>
            <w:vMerge w:val="continue"/>
            <w:vAlign w:val="center"/>
          </w:tcPr>
          <w:p w14:paraId="0C41AB3F">
            <w:pPr>
              <w:ind w:left="-105" w:right="-105"/>
              <w:jc w:val="center"/>
              <w:textAlignment w:val="center"/>
              <w:rPr>
                <w:rFonts w:ascii="Times New Roman" w:hAnsi="Times New Roman"/>
                <w:color w:val="auto"/>
                <w:sz w:val="21"/>
                <w:szCs w:val="21"/>
                <w:highlight w:val="none"/>
              </w:rPr>
            </w:pPr>
          </w:p>
        </w:tc>
        <w:tc>
          <w:tcPr>
            <w:tcW w:w="658" w:type="dxa"/>
            <w:vMerge w:val="continue"/>
            <w:vAlign w:val="center"/>
          </w:tcPr>
          <w:p w14:paraId="699D7A1A">
            <w:pPr>
              <w:ind w:left="-105" w:right="-105"/>
              <w:jc w:val="center"/>
              <w:textAlignment w:val="center"/>
              <w:rPr>
                <w:rFonts w:ascii="Times New Roman" w:hAnsi="Times New Roman"/>
                <w:color w:val="auto"/>
                <w:sz w:val="21"/>
                <w:szCs w:val="21"/>
                <w:highlight w:val="none"/>
                <w:lang w:bidi="ar"/>
              </w:rPr>
            </w:pPr>
          </w:p>
        </w:tc>
        <w:tc>
          <w:tcPr>
            <w:tcW w:w="1022" w:type="dxa"/>
            <w:vAlign w:val="center"/>
          </w:tcPr>
          <w:p w14:paraId="5B133A7B">
            <w:pPr>
              <w:ind w:left="-105" w:right="-105"/>
              <w:jc w:val="center"/>
              <w:textAlignment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异氰酸酯</w:t>
            </w:r>
          </w:p>
        </w:tc>
        <w:tc>
          <w:tcPr>
            <w:tcW w:w="1044" w:type="dxa"/>
            <w:vMerge w:val="continue"/>
            <w:vAlign w:val="center"/>
          </w:tcPr>
          <w:p w14:paraId="4F1454A7">
            <w:pPr>
              <w:ind w:left="-105" w:right="-105"/>
              <w:jc w:val="center"/>
              <w:textAlignment w:val="center"/>
              <w:rPr>
                <w:rFonts w:ascii="Times New Roman" w:hAnsi="Times New Roman"/>
                <w:color w:val="auto"/>
                <w:sz w:val="21"/>
                <w:szCs w:val="21"/>
                <w:highlight w:val="none"/>
              </w:rPr>
            </w:pPr>
          </w:p>
        </w:tc>
        <w:tc>
          <w:tcPr>
            <w:tcW w:w="900" w:type="dxa"/>
            <w:vMerge w:val="continue"/>
            <w:vAlign w:val="center"/>
          </w:tcPr>
          <w:p w14:paraId="414A0053">
            <w:pPr>
              <w:ind w:left="-105" w:right="-105"/>
              <w:jc w:val="center"/>
              <w:textAlignment w:val="center"/>
              <w:rPr>
                <w:rFonts w:ascii="Times New Roman" w:hAnsi="Times New Roman"/>
                <w:color w:val="auto"/>
                <w:sz w:val="21"/>
                <w:szCs w:val="21"/>
                <w:highlight w:val="none"/>
              </w:rPr>
            </w:pPr>
          </w:p>
        </w:tc>
        <w:tc>
          <w:tcPr>
            <w:tcW w:w="786" w:type="dxa"/>
            <w:vMerge w:val="continue"/>
            <w:vAlign w:val="center"/>
          </w:tcPr>
          <w:p w14:paraId="0C2E5996">
            <w:pPr>
              <w:ind w:left="-105" w:right="-105"/>
              <w:jc w:val="center"/>
              <w:textAlignment w:val="center"/>
              <w:rPr>
                <w:rFonts w:ascii="Times New Roman" w:hAnsi="Times New Roman"/>
                <w:color w:val="auto"/>
                <w:sz w:val="21"/>
                <w:szCs w:val="21"/>
                <w:highlight w:val="none"/>
              </w:rPr>
            </w:pPr>
          </w:p>
        </w:tc>
        <w:tc>
          <w:tcPr>
            <w:tcW w:w="2004" w:type="dxa"/>
            <w:gridSpan w:val="3"/>
            <w:vMerge w:val="continue"/>
            <w:vAlign w:val="center"/>
          </w:tcPr>
          <w:p w14:paraId="06C9DA65">
            <w:pPr>
              <w:ind w:left="-105" w:right="-105"/>
              <w:jc w:val="center"/>
              <w:textAlignment w:val="center"/>
              <w:rPr>
                <w:rFonts w:ascii="Times New Roman" w:hAnsi="Times New Roman"/>
                <w:color w:val="auto"/>
                <w:sz w:val="21"/>
                <w:szCs w:val="21"/>
                <w:highlight w:val="none"/>
              </w:rPr>
            </w:pPr>
          </w:p>
        </w:tc>
        <w:tc>
          <w:tcPr>
            <w:tcW w:w="818" w:type="dxa"/>
            <w:vMerge w:val="continue"/>
            <w:vAlign w:val="center"/>
          </w:tcPr>
          <w:p w14:paraId="175C6FC2">
            <w:pPr>
              <w:ind w:left="-105" w:right="-105"/>
              <w:jc w:val="center"/>
              <w:textAlignment w:val="center"/>
              <w:rPr>
                <w:rFonts w:ascii="Times New Roman" w:hAnsi="Times New Roman"/>
                <w:color w:val="auto"/>
                <w:sz w:val="21"/>
                <w:szCs w:val="21"/>
                <w:highlight w:val="none"/>
              </w:rPr>
            </w:pPr>
          </w:p>
        </w:tc>
      </w:tr>
      <w:tr w14:paraId="758604F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504" w:type="dxa"/>
            <w:vMerge w:val="continue"/>
            <w:vAlign w:val="center"/>
          </w:tcPr>
          <w:p w14:paraId="734F4718">
            <w:pPr>
              <w:ind w:left="-105" w:right="-105"/>
              <w:jc w:val="center"/>
              <w:textAlignment w:val="center"/>
              <w:rPr>
                <w:rFonts w:ascii="Times New Roman" w:hAnsi="Times New Roman"/>
                <w:color w:val="auto"/>
                <w:sz w:val="21"/>
                <w:szCs w:val="21"/>
                <w:highlight w:val="none"/>
              </w:rPr>
            </w:pPr>
          </w:p>
        </w:tc>
        <w:tc>
          <w:tcPr>
            <w:tcW w:w="1146" w:type="dxa"/>
            <w:vMerge w:val="continue"/>
            <w:vAlign w:val="center"/>
          </w:tcPr>
          <w:p w14:paraId="4B3756F8">
            <w:pPr>
              <w:ind w:left="-105" w:right="-105"/>
              <w:jc w:val="center"/>
              <w:textAlignment w:val="center"/>
              <w:rPr>
                <w:rFonts w:ascii="Times New Roman" w:hAnsi="Times New Roman"/>
                <w:color w:val="auto"/>
                <w:sz w:val="21"/>
                <w:szCs w:val="21"/>
                <w:highlight w:val="none"/>
              </w:rPr>
            </w:pPr>
          </w:p>
        </w:tc>
        <w:tc>
          <w:tcPr>
            <w:tcW w:w="658" w:type="dxa"/>
            <w:vMerge w:val="continue"/>
            <w:vAlign w:val="center"/>
          </w:tcPr>
          <w:p w14:paraId="49C2C4B2">
            <w:pPr>
              <w:ind w:left="-105" w:right="-105"/>
              <w:jc w:val="center"/>
              <w:textAlignment w:val="center"/>
              <w:rPr>
                <w:rFonts w:ascii="Times New Roman" w:hAnsi="Times New Roman"/>
                <w:color w:val="auto"/>
                <w:sz w:val="21"/>
                <w:szCs w:val="21"/>
                <w:highlight w:val="none"/>
                <w:lang w:bidi="ar"/>
              </w:rPr>
            </w:pPr>
          </w:p>
        </w:tc>
        <w:tc>
          <w:tcPr>
            <w:tcW w:w="1022" w:type="dxa"/>
            <w:vAlign w:val="center"/>
          </w:tcPr>
          <w:p w14:paraId="6683D80B">
            <w:pPr>
              <w:ind w:left="-105" w:right="-105"/>
              <w:jc w:val="center"/>
              <w:textAlignment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丁酮</w:t>
            </w:r>
          </w:p>
        </w:tc>
        <w:tc>
          <w:tcPr>
            <w:tcW w:w="1044" w:type="dxa"/>
            <w:vMerge w:val="continue"/>
            <w:vAlign w:val="center"/>
          </w:tcPr>
          <w:p w14:paraId="4BFA6320">
            <w:pPr>
              <w:ind w:left="-105" w:right="-105"/>
              <w:jc w:val="center"/>
              <w:textAlignment w:val="center"/>
              <w:rPr>
                <w:rFonts w:ascii="Times New Roman" w:hAnsi="Times New Roman"/>
                <w:color w:val="auto"/>
                <w:sz w:val="21"/>
                <w:szCs w:val="21"/>
                <w:highlight w:val="none"/>
              </w:rPr>
            </w:pPr>
          </w:p>
        </w:tc>
        <w:tc>
          <w:tcPr>
            <w:tcW w:w="900" w:type="dxa"/>
            <w:vMerge w:val="continue"/>
            <w:vAlign w:val="center"/>
          </w:tcPr>
          <w:p w14:paraId="0898DECD">
            <w:pPr>
              <w:ind w:left="-105" w:right="-105"/>
              <w:jc w:val="center"/>
              <w:textAlignment w:val="center"/>
              <w:rPr>
                <w:rFonts w:ascii="Times New Roman" w:hAnsi="Times New Roman"/>
                <w:color w:val="auto"/>
                <w:sz w:val="21"/>
                <w:szCs w:val="21"/>
                <w:highlight w:val="none"/>
              </w:rPr>
            </w:pPr>
          </w:p>
        </w:tc>
        <w:tc>
          <w:tcPr>
            <w:tcW w:w="786" w:type="dxa"/>
            <w:vMerge w:val="continue"/>
            <w:vAlign w:val="center"/>
          </w:tcPr>
          <w:p w14:paraId="4473AF4E">
            <w:pPr>
              <w:ind w:left="-105" w:right="-105"/>
              <w:jc w:val="center"/>
              <w:textAlignment w:val="center"/>
              <w:rPr>
                <w:rFonts w:ascii="Times New Roman" w:hAnsi="Times New Roman"/>
                <w:color w:val="auto"/>
                <w:sz w:val="21"/>
                <w:szCs w:val="21"/>
                <w:highlight w:val="none"/>
              </w:rPr>
            </w:pPr>
          </w:p>
        </w:tc>
        <w:tc>
          <w:tcPr>
            <w:tcW w:w="2004" w:type="dxa"/>
            <w:gridSpan w:val="3"/>
            <w:vMerge w:val="continue"/>
            <w:vAlign w:val="center"/>
          </w:tcPr>
          <w:p w14:paraId="2A2D3448">
            <w:pPr>
              <w:ind w:left="-105" w:right="-105"/>
              <w:jc w:val="center"/>
              <w:textAlignment w:val="center"/>
              <w:rPr>
                <w:rFonts w:ascii="Times New Roman" w:hAnsi="Times New Roman"/>
                <w:color w:val="auto"/>
                <w:sz w:val="21"/>
                <w:szCs w:val="21"/>
                <w:highlight w:val="none"/>
              </w:rPr>
            </w:pPr>
          </w:p>
        </w:tc>
        <w:tc>
          <w:tcPr>
            <w:tcW w:w="818" w:type="dxa"/>
            <w:vMerge w:val="continue"/>
            <w:vAlign w:val="center"/>
          </w:tcPr>
          <w:p w14:paraId="60908C5D">
            <w:pPr>
              <w:ind w:left="-105" w:right="-105"/>
              <w:jc w:val="center"/>
              <w:textAlignment w:val="center"/>
              <w:rPr>
                <w:rFonts w:ascii="Times New Roman" w:hAnsi="Times New Roman"/>
                <w:color w:val="auto"/>
                <w:sz w:val="21"/>
                <w:szCs w:val="21"/>
                <w:highlight w:val="none"/>
              </w:rPr>
            </w:pPr>
          </w:p>
        </w:tc>
      </w:tr>
    </w:tbl>
    <w:p w14:paraId="384AB286">
      <w:pPr>
        <w:spacing w:before="120" w:beforeLines="50" w:line="360" w:lineRule="auto"/>
        <w:ind w:left="-105" w:right="-105" w:firstLine="480" w:firstLineChars="200"/>
        <w:rPr>
          <w:rFonts w:ascii="Times New Roman" w:hAnsi="Times New Roman"/>
          <w:color w:val="auto"/>
          <w:szCs w:val="22"/>
          <w:highlight w:val="none"/>
        </w:rPr>
        <w:sectPr>
          <w:headerReference r:id="rId17" w:type="default"/>
          <w:headerReference r:id="rId18" w:type="even"/>
          <w:pgSz w:w="11906" w:h="16838"/>
          <w:pgMar w:top="1440" w:right="1701" w:bottom="1440" w:left="1701" w:header="851" w:footer="851" w:gutter="0"/>
          <w:pgBorders>
            <w:top w:val="none" w:sz="0" w:space="0"/>
            <w:left w:val="none" w:sz="0" w:space="0"/>
            <w:bottom w:val="none" w:sz="0" w:space="0"/>
            <w:right w:val="none" w:sz="0" w:space="0"/>
          </w:pgBorders>
          <w:cols w:space="720" w:num="1"/>
          <w:docGrid w:linePitch="498" w:charSpace="-2336"/>
        </w:sectPr>
      </w:pPr>
    </w:p>
    <w:p w14:paraId="17AB0027">
      <w:pPr>
        <w:spacing w:before="120" w:beforeLines="50" w:line="360" w:lineRule="auto"/>
        <w:ind w:left="-105" w:right="-105" w:firstLine="480" w:firstLineChars="200"/>
        <w:rPr>
          <w:rFonts w:ascii="Times New Roman" w:hAnsi="Times New Roman"/>
          <w:color w:val="auto"/>
          <w:szCs w:val="22"/>
          <w:highlight w:val="none"/>
        </w:rPr>
      </w:pPr>
      <w:r>
        <w:rPr>
          <w:rFonts w:hint="eastAsia" w:ascii="Times New Roman" w:hAnsi="Times New Roman"/>
          <w:color w:val="auto"/>
          <w:szCs w:val="22"/>
          <w:highlight w:val="none"/>
        </w:rPr>
        <w:t>全厂有组织废气排放情况见下表：</w:t>
      </w:r>
    </w:p>
    <w:p w14:paraId="1D0B2A99">
      <w:pPr>
        <w:pStyle w:val="15"/>
        <w:spacing w:line="360" w:lineRule="auto"/>
        <w:ind w:left="-105" w:right="-105" w:firstLine="482"/>
        <w:rPr>
          <w:rFonts w:eastAsia="宋体" w:cs="Times New Roman"/>
          <w:bCs/>
          <w:color w:val="auto"/>
          <w:sz w:val="24"/>
          <w:szCs w:val="18"/>
          <w:highlight w:val="none"/>
        </w:rPr>
      </w:pPr>
      <w:r>
        <w:rPr>
          <w:rFonts w:eastAsia="宋体" w:cs="Times New Roman"/>
          <w:bCs/>
          <w:color w:val="auto"/>
          <w:sz w:val="24"/>
          <w:szCs w:val="18"/>
          <w:highlight w:val="none"/>
        </w:rPr>
        <w:t>表</w:t>
      </w:r>
      <w:r>
        <w:rPr>
          <w:rFonts w:eastAsia="宋体" w:cs="Times New Roman"/>
          <w:bCs/>
          <w:color w:val="auto"/>
          <w:sz w:val="24"/>
          <w:szCs w:val="18"/>
          <w:highlight w:val="none"/>
        </w:rPr>
        <w:fldChar w:fldCharType="begin"/>
      </w:r>
      <w:r>
        <w:rPr>
          <w:rFonts w:eastAsia="宋体" w:cs="Times New Roman"/>
          <w:bCs/>
          <w:color w:val="auto"/>
          <w:sz w:val="24"/>
          <w:szCs w:val="18"/>
          <w:highlight w:val="none"/>
        </w:rPr>
        <w:instrText xml:space="preserve"> STYLEREF 2 \s </w:instrText>
      </w:r>
      <w:r>
        <w:rPr>
          <w:rFonts w:eastAsia="宋体" w:cs="Times New Roman"/>
          <w:bCs/>
          <w:color w:val="auto"/>
          <w:sz w:val="24"/>
          <w:szCs w:val="18"/>
          <w:highlight w:val="none"/>
        </w:rPr>
        <w:fldChar w:fldCharType="separate"/>
      </w:r>
      <w:r>
        <w:rPr>
          <w:rFonts w:eastAsia="宋体" w:cs="Times New Roman"/>
          <w:bCs/>
          <w:color w:val="auto"/>
          <w:sz w:val="24"/>
          <w:szCs w:val="18"/>
          <w:highlight w:val="none"/>
        </w:rPr>
        <w:t>3.3</w:t>
      </w:r>
      <w:r>
        <w:rPr>
          <w:rFonts w:eastAsia="宋体" w:cs="Times New Roman"/>
          <w:bCs/>
          <w:color w:val="auto"/>
          <w:sz w:val="24"/>
          <w:szCs w:val="18"/>
          <w:highlight w:val="none"/>
        </w:rPr>
        <w:fldChar w:fldCharType="end"/>
      </w:r>
      <w:r>
        <w:rPr>
          <w:rFonts w:eastAsia="宋体" w:cs="Times New Roman"/>
          <w:bCs/>
          <w:color w:val="auto"/>
          <w:sz w:val="24"/>
          <w:szCs w:val="18"/>
          <w:highlight w:val="none"/>
        </w:rPr>
        <w:noBreakHyphen/>
      </w:r>
      <w:r>
        <w:rPr>
          <w:rFonts w:eastAsia="宋体" w:cs="Times New Roman"/>
          <w:bCs/>
          <w:color w:val="auto"/>
          <w:sz w:val="24"/>
          <w:szCs w:val="18"/>
          <w:highlight w:val="none"/>
        </w:rPr>
        <w:fldChar w:fldCharType="begin"/>
      </w:r>
      <w:r>
        <w:rPr>
          <w:rFonts w:eastAsia="宋体" w:cs="Times New Roman"/>
          <w:bCs/>
          <w:color w:val="auto"/>
          <w:sz w:val="24"/>
          <w:szCs w:val="18"/>
          <w:highlight w:val="none"/>
        </w:rPr>
        <w:instrText xml:space="preserve"> SEQ 表 \* ARABIC \s 2 </w:instrText>
      </w:r>
      <w:r>
        <w:rPr>
          <w:rFonts w:eastAsia="宋体" w:cs="Times New Roman"/>
          <w:bCs/>
          <w:color w:val="auto"/>
          <w:sz w:val="24"/>
          <w:szCs w:val="18"/>
          <w:highlight w:val="none"/>
        </w:rPr>
        <w:fldChar w:fldCharType="separate"/>
      </w:r>
      <w:r>
        <w:rPr>
          <w:rFonts w:eastAsia="宋体" w:cs="Times New Roman"/>
          <w:bCs/>
          <w:color w:val="auto"/>
          <w:sz w:val="24"/>
          <w:szCs w:val="18"/>
          <w:highlight w:val="none"/>
        </w:rPr>
        <w:t>5</w:t>
      </w:r>
      <w:r>
        <w:rPr>
          <w:rFonts w:eastAsia="宋体" w:cs="Times New Roman"/>
          <w:bCs/>
          <w:color w:val="auto"/>
          <w:sz w:val="24"/>
          <w:szCs w:val="18"/>
          <w:highlight w:val="none"/>
        </w:rPr>
        <w:fldChar w:fldCharType="end"/>
      </w:r>
      <w:r>
        <w:rPr>
          <w:rFonts w:hint="eastAsia" w:eastAsia="宋体" w:cs="Times New Roman"/>
          <w:bCs/>
          <w:color w:val="auto"/>
          <w:sz w:val="24"/>
          <w:szCs w:val="18"/>
          <w:highlight w:val="none"/>
        </w:rPr>
        <w:t>全厂有组织废气排放结果</w:t>
      </w:r>
      <w:r>
        <w:rPr>
          <w:rFonts w:eastAsia="宋体" w:cs="Times New Roman"/>
          <w:bCs/>
          <w:color w:val="auto"/>
          <w:sz w:val="24"/>
          <w:szCs w:val="18"/>
          <w:highlight w:val="none"/>
        </w:rPr>
        <w:t>一览表</w:t>
      </w:r>
    </w:p>
    <w:tbl>
      <w:tblPr>
        <w:tblStyle w:val="99"/>
        <w:tblW w:w="5000" w:type="pct"/>
        <w:tblInd w:w="0" w:type="dxa"/>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0" w:type="dxa"/>
          <w:bottom w:w="0" w:type="dxa"/>
          <w:right w:w="0" w:type="dxa"/>
        </w:tblCellMar>
      </w:tblPr>
      <w:tblGrid>
        <w:gridCol w:w="940"/>
        <w:gridCol w:w="825"/>
        <w:gridCol w:w="855"/>
        <w:gridCol w:w="1590"/>
        <w:gridCol w:w="1065"/>
        <w:gridCol w:w="1125"/>
        <w:gridCol w:w="1065"/>
        <w:gridCol w:w="1717"/>
        <w:gridCol w:w="696"/>
        <w:gridCol w:w="1133"/>
        <w:gridCol w:w="1131"/>
        <w:gridCol w:w="1136"/>
        <w:gridCol w:w="680"/>
      </w:tblGrid>
      <w:tr w14:paraId="49251A46">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940" w:type="dxa"/>
            <w:vMerge w:val="restart"/>
            <w:tcBorders>
              <w:tl2br w:val="nil"/>
              <w:tr2bl w:val="nil"/>
            </w:tcBorders>
            <w:vAlign w:val="center"/>
          </w:tcPr>
          <w:p w14:paraId="654A92BC">
            <w:pPr>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rPr>
                <w:rFonts w:ascii="Times New Roman" w:hAnsi="Times New Roman" w:cs="Times New Roman"/>
                <w:color w:val="auto"/>
                <w:sz w:val="21"/>
                <w:szCs w:val="21"/>
                <w:highlight w:val="none"/>
                <w:lang w:eastAsia="en-US"/>
              </w:rPr>
            </w:pPr>
            <w:r>
              <w:rPr>
                <w:rFonts w:ascii="Times New Roman" w:hAnsi="Times New Roman" w:cs="Times New Roman"/>
                <w:color w:val="auto"/>
                <w:spacing w:val="7"/>
                <w:sz w:val="21"/>
                <w:szCs w:val="21"/>
                <w:highlight w:val="none"/>
                <w:lang w:eastAsia="en-US"/>
                <w14:textOutline w14:w="3797" w14:cap="flat" w14:cmpd="sng" w14:algn="ctr">
                  <w14:solidFill>
                    <w14:srgbClr w14:val="000000"/>
                  </w14:solidFill>
                  <w14:prstDash w14:val="solid"/>
                  <w14:miter w14:val="0"/>
                </w14:textOutline>
              </w:rPr>
              <w:t>排气筒</w:t>
            </w:r>
          </w:p>
        </w:tc>
        <w:tc>
          <w:tcPr>
            <w:tcW w:w="825" w:type="dxa"/>
            <w:vMerge w:val="restart"/>
            <w:tcBorders>
              <w:tl2br w:val="nil"/>
              <w:tr2bl w:val="nil"/>
            </w:tcBorders>
            <w:vAlign w:val="center"/>
          </w:tcPr>
          <w:p w14:paraId="0C76A561">
            <w:pPr>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rPr>
                <w:rFonts w:ascii="Times New Roman" w:hAnsi="Times New Roman" w:cs="Times New Roman"/>
                <w:color w:val="auto"/>
                <w:sz w:val="21"/>
                <w:szCs w:val="21"/>
                <w:highlight w:val="none"/>
                <w:lang w:eastAsia="en-US"/>
              </w:rPr>
            </w:pPr>
            <w:r>
              <w:rPr>
                <w:rFonts w:ascii="Times New Roman" w:hAnsi="Times New Roman" w:cs="Times New Roman"/>
                <w:color w:val="auto"/>
                <w:spacing w:val="7"/>
                <w:sz w:val="21"/>
                <w:szCs w:val="21"/>
                <w:highlight w:val="none"/>
                <w:lang w:eastAsia="en-US"/>
                <w14:textOutline w14:w="3797" w14:cap="flat" w14:cmpd="sng" w14:algn="ctr">
                  <w14:solidFill>
                    <w14:srgbClr w14:val="000000"/>
                  </w14:solidFill>
                  <w14:prstDash w14:val="solid"/>
                  <w14:miter w14:val="0"/>
                </w14:textOutline>
              </w:rPr>
              <w:t>年工作</w:t>
            </w:r>
            <w:r>
              <w:rPr>
                <w:rFonts w:ascii="Times New Roman" w:hAnsi="Times New Roman" w:cs="Times New Roman"/>
                <w:color w:val="auto"/>
                <w:spacing w:val="1"/>
                <w:sz w:val="21"/>
                <w:szCs w:val="21"/>
                <w:highlight w:val="none"/>
                <w:lang w:eastAsia="en-US"/>
                <w14:textOutline w14:w="3797" w14:cap="flat" w14:cmpd="sng" w14:algn="ctr">
                  <w14:solidFill>
                    <w14:srgbClr w14:val="000000"/>
                  </w14:solidFill>
                  <w14:prstDash w14:val="solid"/>
                  <w14:miter w14:val="0"/>
                </w14:textOutline>
              </w:rPr>
              <w:t>时间</w:t>
            </w:r>
          </w:p>
          <w:p w14:paraId="575EF0C2">
            <w:pPr>
              <w:pStyle w:val="236"/>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rPr>
                <w:rFonts w:ascii="Times New Roman" w:hAnsi="Times New Roman" w:eastAsia="宋体" w:cs="Times New Roman"/>
                <w:color w:val="auto"/>
                <w:sz w:val="21"/>
                <w:szCs w:val="21"/>
                <w:highlight w:val="none"/>
              </w:rPr>
            </w:pPr>
            <w:r>
              <w:rPr>
                <w:rFonts w:ascii="Times New Roman" w:hAnsi="Times New Roman" w:eastAsia="宋体" w:cs="Times New Roman"/>
                <w:color w:val="auto"/>
                <w:sz w:val="21"/>
                <w:szCs w:val="21"/>
                <w:highlight w:val="none"/>
                <w14:textOutline w14:w="3797" w14:cap="flat" w14:cmpd="sng" w14:algn="ctr">
                  <w14:solidFill>
                    <w14:srgbClr w14:val="000000"/>
                  </w14:solidFill>
                  <w14:prstDash w14:val="solid"/>
                  <w14:miter w14:val="0"/>
                </w14:textOutline>
              </w:rPr>
              <w:t>（</w:t>
            </w:r>
            <w:r>
              <w:rPr>
                <w:rFonts w:ascii="Times New Roman" w:hAnsi="Times New Roman" w:eastAsia="宋体" w:cs="Times New Roman"/>
                <w:b/>
                <w:bCs/>
                <w:color w:val="auto"/>
                <w:sz w:val="21"/>
                <w:szCs w:val="21"/>
                <w:highlight w:val="none"/>
              </w:rPr>
              <w:t>h/a</w:t>
            </w:r>
            <w:r>
              <w:rPr>
                <w:rFonts w:ascii="Times New Roman" w:hAnsi="Times New Roman" w:eastAsia="宋体" w:cs="Times New Roman"/>
                <w:color w:val="auto"/>
                <w:sz w:val="21"/>
                <w:szCs w:val="21"/>
                <w:highlight w:val="none"/>
                <w14:textOutline w14:w="3797" w14:cap="flat" w14:cmpd="sng" w14:algn="ctr">
                  <w14:solidFill>
                    <w14:srgbClr w14:val="000000"/>
                  </w14:solidFill>
                  <w14:prstDash w14:val="solid"/>
                  <w14:miter w14:val="0"/>
                </w14:textOutline>
              </w:rPr>
              <w:t>）</w:t>
            </w:r>
          </w:p>
        </w:tc>
        <w:tc>
          <w:tcPr>
            <w:tcW w:w="855" w:type="dxa"/>
            <w:vMerge w:val="restart"/>
            <w:tcBorders>
              <w:tl2br w:val="nil"/>
              <w:tr2bl w:val="nil"/>
            </w:tcBorders>
            <w:vAlign w:val="center"/>
          </w:tcPr>
          <w:p w14:paraId="63C5CF4C">
            <w:pPr>
              <w:pStyle w:val="236"/>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rPr>
                <w:rFonts w:ascii="Times New Roman" w:hAnsi="Times New Roman" w:eastAsia="宋体" w:cs="Times New Roman"/>
                <w:color w:val="auto"/>
                <w:sz w:val="21"/>
                <w:szCs w:val="21"/>
                <w:highlight w:val="none"/>
              </w:rPr>
            </w:pPr>
            <w:r>
              <w:rPr>
                <w:rFonts w:ascii="Times New Roman" w:hAnsi="Times New Roman" w:eastAsia="宋体" w:cs="Times New Roman"/>
                <w:color w:val="auto"/>
                <w:spacing w:val="7"/>
                <w:sz w:val="21"/>
                <w:szCs w:val="21"/>
                <w:highlight w:val="none"/>
                <w14:textOutline w14:w="3797" w14:cap="flat" w14:cmpd="sng" w14:algn="ctr">
                  <w14:solidFill>
                    <w14:srgbClr w14:val="000000"/>
                  </w14:solidFill>
                  <w14:prstDash w14:val="solid"/>
                  <w14:miter w14:val="0"/>
                </w14:textOutline>
              </w:rPr>
              <w:t>排气量</w:t>
            </w:r>
            <w:r>
              <w:rPr>
                <w:rFonts w:ascii="Times New Roman" w:hAnsi="Times New Roman" w:eastAsia="宋体" w:cs="Times New Roman"/>
                <w:b/>
                <w:bCs/>
                <w:color w:val="auto"/>
                <w:spacing w:val="2"/>
                <w:sz w:val="21"/>
                <w:szCs w:val="21"/>
                <w:highlight w:val="none"/>
              </w:rPr>
              <w:t>(m</w:t>
            </w:r>
            <w:r>
              <w:rPr>
                <w:rFonts w:hint="eastAsia" w:ascii="Times New Roman" w:hAnsi="Times New Roman" w:eastAsia="宋体" w:cs="Times New Roman"/>
                <w:b/>
                <w:bCs/>
                <w:color w:val="auto"/>
                <w:spacing w:val="2"/>
                <w:sz w:val="21"/>
                <w:szCs w:val="21"/>
                <w:highlight w:val="none"/>
                <w:vertAlign w:val="superscript"/>
                <w:lang w:val="en-US" w:eastAsia="zh-CN"/>
              </w:rPr>
              <w:t>3</w:t>
            </w:r>
            <w:r>
              <w:rPr>
                <w:rFonts w:ascii="Times New Roman" w:hAnsi="Times New Roman" w:eastAsia="宋体" w:cs="Times New Roman"/>
                <w:b/>
                <w:bCs/>
                <w:color w:val="auto"/>
                <w:spacing w:val="2"/>
                <w:sz w:val="21"/>
                <w:szCs w:val="21"/>
                <w:highlight w:val="none"/>
              </w:rPr>
              <w:t>/h)</w:t>
            </w:r>
          </w:p>
        </w:tc>
        <w:tc>
          <w:tcPr>
            <w:tcW w:w="1590" w:type="dxa"/>
            <w:vMerge w:val="restart"/>
            <w:tcBorders>
              <w:tl2br w:val="nil"/>
              <w:tr2bl w:val="nil"/>
            </w:tcBorders>
            <w:vAlign w:val="center"/>
          </w:tcPr>
          <w:p w14:paraId="11E906D2">
            <w:pPr>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rPr>
                <w:rFonts w:ascii="Times New Roman" w:hAnsi="Times New Roman" w:cs="Times New Roman"/>
                <w:color w:val="auto"/>
                <w:sz w:val="21"/>
                <w:szCs w:val="21"/>
                <w:highlight w:val="none"/>
                <w:lang w:eastAsia="en-US"/>
              </w:rPr>
            </w:pPr>
            <w:r>
              <w:rPr>
                <w:rFonts w:ascii="Times New Roman" w:hAnsi="Times New Roman" w:cs="Times New Roman"/>
                <w:color w:val="auto"/>
                <w:spacing w:val="8"/>
                <w:sz w:val="21"/>
                <w:szCs w:val="21"/>
                <w:highlight w:val="none"/>
                <w:lang w:eastAsia="en-US"/>
                <w14:textOutline w14:w="3797" w14:cap="flat" w14:cmpd="sng" w14:algn="ctr">
                  <w14:solidFill>
                    <w14:srgbClr w14:val="000000"/>
                  </w14:solidFill>
                  <w14:prstDash w14:val="solid"/>
                  <w14:miter w14:val="0"/>
                </w14:textOutline>
              </w:rPr>
              <w:t>污染物名称</w:t>
            </w:r>
          </w:p>
        </w:tc>
        <w:tc>
          <w:tcPr>
            <w:tcW w:w="3255" w:type="dxa"/>
            <w:gridSpan w:val="3"/>
            <w:tcBorders>
              <w:tl2br w:val="nil"/>
              <w:tr2bl w:val="nil"/>
            </w:tcBorders>
            <w:vAlign w:val="center"/>
          </w:tcPr>
          <w:p w14:paraId="6C2AF5FC">
            <w:pPr>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rPr>
                <w:rFonts w:ascii="Times New Roman" w:hAnsi="Times New Roman" w:cs="Times New Roman"/>
                <w:color w:val="auto"/>
                <w:sz w:val="21"/>
                <w:szCs w:val="21"/>
                <w:highlight w:val="none"/>
                <w:lang w:eastAsia="en-US"/>
              </w:rPr>
            </w:pPr>
            <w:r>
              <w:rPr>
                <w:rFonts w:ascii="Times New Roman" w:hAnsi="Times New Roman" w:cs="Times New Roman"/>
                <w:color w:val="auto"/>
                <w:spacing w:val="8"/>
                <w:sz w:val="21"/>
                <w:szCs w:val="21"/>
                <w:highlight w:val="none"/>
                <w:lang w:eastAsia="en-US"/>
                <w14:textOutline w14:w="3797" w14:cap="flat" w14:cmpd="sng" w14:algn="ctr">
                  <w14:solidFill>
                    <w14:srgbClr w14:val="000000"/>
                  </w14:solidFill>
                  <w14:prstDash w14:val="solid"/>
                  <w14:miter w14:val="0"/>
                </w14:textOutline>
              </w:rPr>
              <w:t>产生状况</w:t>
            </w:r>
          </w:p>
        </w:tc>
        <w:tc>
          <w:tcPr>
            <w:tcW w:w="1717" w:type="dxa"/>
            <w:vMerge w:val="restart"/>
            <w:tcBorders>
              <w:tl2br w:val="nil"/>
              <w:tr2bl w:val="nil"/>
            </w:tcBorders>
            <w:vAlign w:val="center"/>
          </w:tcPr>
          <w:p w14:paraId="40045C6E">
            <w:pPr>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rPr>
                <w:rFonts w:ascii="Times New Roman" w:hAnsi="Times New Roman" w:cs="Times New Roman"/>
                <w:color w:val="auto"/>
                <w:sz w:val="21"/>
                <w:szCs w:val="21"/>
                <w:highlight w:val="none"/>
                <w:lang w:eastAsia="en-US"/>
              </w:rPr>
            </w:pPr>
            <w:r>
              <w:rPr>
                <w:rFonts w:ascii="Times New Roman" w:hAnsi="Times New Roman" w:cs="Times New Roman"/>
                <w:color w:val="auto"/>
                <w:spacing w:val="7"/>
                <w:sz w:val="21"/>
                <w:szCs w:val="21"/>
                <w:highlight w:val="none"/>
                <w:lang w:eastAsia="en-US"/>
                <w14:textOutline w14:w="3797" w14:cap="flat" w14:cmpd="sng" w14:algn="ctr">
                  <w14:solidFill>
                    <w14:srgbClr w14:val="000000"/>
                  </w14:solidFill>
                  <w14:prstDash w14:val="solid"/>
                  <w14:miter w14:val="0"/>
                </w14:textOutline>
              </w:rPr>
              <w:t>治理措施</w:t>
            </w:r>
          </w:p>
        </w:tc>
        <w:tc>
          <w:tcPr>
            <w:tcW w:w="696" w:type="dxa"/>
            <w:vMerge w:val="restart"/>
            <w:tcBorders>
              <w:tl2br w:val="nil"/>
              <w:tr2bl w:val="nil"/>
            </w:tcBorders>
            <w:vAlign w:val="center"/>
          </w:tcPr>
          <w:p w14:paraId="5F29C3E6">
            <w:pPr>
              <w:pStyle w:val="236"/>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rPr>
                <w:rFonts w:ascii="Times New Roman" w:hAnsi="Times New Roman" w:eastAsia="宋体" w:cs="Times New Roman"/>
                <w:color w:val="auto"/>
                <w:sz w:val="21"/>
                <w:szCs w:val="21"/>
                <w:highlight w:val="none"/>
              </w:rPr>
            </w:pPr>
            <w:r>
              <w:rPr>
                <w:rFonts w:ascii="Times New Roman" w:hAnsi="Times New Roman" w:eastAsia="宋体" w:cs="Times New Roman"/>
                <w:color w:val="auto"/>
                <w:spacing w:val="6"/>
                <w:sz w:val="21"/>
                <w:szCs w:val="21"/>
                <w:highlight w:val="none"/>
                <w14:textOutline w14:w="3797" w14:cap="flat" w14:cmpd="sng" w14:algn="ctr">
                  <w14:solidFill>
                    <w14:srgbClr w14:val="000000"/>
                  </w14:solidFill>
                  <w14:prstDash w14:val="solid"/>
                  <w14:miter w14:val="0"/>
                </w14:textOutline>
              </w:rPr>
              <w:t>去除率</w:t>
            </w:r>
            <w:r>
              <w:rPr>
                <w:rFonts w:ascii="Times New Roman" w:hAnsi="Times New Roman" w:eastAsia="宋体" w:cs="Times New Roman"/>
                <w:b/>
                <w:bCs/>
                <w:color w:val="auto"/>
                <w:spacing w:val="2"/>
                <w:sz w:val="21"/>
                <w:szCs w:val="21"/>
                <w:highlight w:val="none"/>
              </w:rPr>
              <w:t>(%)</w:t>
            </w:r>
          </w:p>
        </w:tc>
        <w:tc>
          <w:tcPr>
            <w:tcW w:w="3400" w:type="dxa"/>
            <w:gridSpan w:val="3"/>
            <w:tcBorders>
              <w:tl2br w:val="nil"/>
              <w:tr2bl w:val="nil"/>
            </w:tcBorders>
            <w:vAlign w:val="center"/>
          </w:tcPr>
          <w:p w14:paraId="40C92C91">
            <w:pPr>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rPr>
                <w:rFonts w:ascii="Times New Roman" w:hAnsi="Times New Roman" w:cs="Times New Roman"/>
                <w:color w:val="auto"/>
                <w:sz w:val="21"/>
                <w:szCs w:val="21"/>
                <w:highlight w:val="none"/>
                <w:lang w:eastAsia="en-US"/>
              </w:rPr>
            </w:pPr>
            <w:r>
              <w:rPr>
                <w:rFonts w:ascii="Times New Roman" w:hAnsi="Times New Roman" w:cs="Times New Roman"/>
                <w:color w:val="auto"/>
                <w:spacing w:val="8"/>
                <w:sz w:val="21"/>
                <w:szCs w:val="21"/>
                <w:highlight w:val="none"/>
                <w:lang w:eastAsia="en-US"/>
                <w14:textOutline w14:w="3797" w14:cap="flat" w14:cmpd="sng" w14:algn="ctr">
                  <w14:solidFill>
                    <w14:srgbClr w14:val="000000"/>
                  </w14:solidFill>
                  <w14:prstDash w14:val="solid"/>
                  <w14:miter w14:val="0"/>
                </w14:textOutline>
              </w:rPr>
              <w:t>排放状况</w:t>
            </w:r>
          </w:p>
        </w:tc>
        <w:tc>
          <w:tcPr>
            <w:tcW w:w="680" w:type="dxa"/>
            <w:vMerge w:val="restart"/>
            <w:tcBorders>
              <w:tl2br w:val="nil"/>
              <w:tr2bl w:val="nil"/>
            </w:tcBorders>
            <w:vAlign w:val="center"/>
          </w:tcPr>
          <w:p w14:paraId="2A0726C5">
            <w:pPr>
              <w:pStyle w:val="236"/>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rPr>
                <w:rFonts w:ascii="Times New Roman" w:hAnsi="Times New Roman" w:eastAsia="宋体" w:cs="Times New Roman"/>
                <w:color w:val="auto"/>
                <w:sz w:val="21"/>
                <w:szCs w:val="21"/>
                <w:highlight w:val="none"/>
              </w:rPr>
            </w:pPr>
            <w:r>
              <w:rPr>
                <w:rFonts w:ascii="Times New Roman" w:hAnsi="Times New Roman" w:eastAsia="宋体" w:cs="Times New Roman"/>
                <w:color w:val="auto"/>
                <w:spacing w:val="6"/>
                <w:sz w:val="21"/>
                <w:szCs w:val="21"/>
                <w:highlight w:val="none"/>
                <w14:textOutline w14:w="3797" w14:cap="flat" w14:cmpd="sng" w14:algn="ctr">
                  <w14:solidFill>
                    <w14:srgbClr w14:val="000000"/>
                  </w14:solidFill>
                  <w14:prstDash w14:val="solid"/>
                  <w14:miter w14:val="0"/>
                </w14:textOutline>
              </w:rPr>
              <w:t>排放</w:t>
            </w:r>
            <w:r>
              <w:rPr>
                <w:rFonts w:ascii="Times New Roman" w:hAnsi="Times New Roman" w:eastAsia="宋体" w:cs="Times New Roman"/>
                <w:color w:val="auto"/>
                <w:spacing w:val="3"/>
                <w:sz w:val="21"/>
                <w:szCs w:val="21"/>
                <w:highlight w:val="none"/>
                <w14:textOutline w14:w="3797" w14:cap="flat" w14:cmpd="sng" w14:algn="ctr">
                  <w14:solidFill>
                    <w14:srgbClr w14:val="000000"/>
                  </w14:solidFill>
                  <w14:prstDash w14:val="solid"/>
                  <w14:miter w14:val="0"/>
                </w14:textOutline>
              </w:rPr>
              <w:t>高度</w:t>
            </w:r>
            <w:r>
              <w:rPr>
                <w:rFonts w:ascii="Times New Roman" w:hAnsi="Times New Roman" w:eastAsia="宋体" w:cs="Times New Roman"/>
                <w:b/>
                <w:bCs/>
                <w:color w:val="auto"/>
                <w:spacing w:val="17"/>
                <w:sz w:val="21"/>
                <w:szCs w:val="21"/>
                <w:highlight w:val="none"/>
              </w:rPr>
              <w:t>(m)</w:t>
            </w:r>
          </w:p>
        </w:tc>
      </w:tr>
      <w:tr w14:paraId="34070820">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940" w:type="dxa"/>
            <w:vMerge w:val="continue"/>
            <w:tcBorders>
              <w:tl2br w:val="nil"/>
              <w:tr2bl w:val="nil"/>
            </w:tcBorders>
            <w:vAlign w:val="center"/>
          </w:tcPr>
          <w:p w14:paraId="3CF3A85E">
            <w:pPr>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rPr>
                <w:rFonts w:ascii="Times New Roman" w:hAnsi="Times New Roman" w:cs="Times New Roman"/>
                <w:color w:val="auto"/>
                <w:sz w:val="21"/>
                <w:szCs w:val="21"/>
                <w:highlight w:val="none"/>
                <w:lang w:eastAsia="en-US"/>
              </w:rPr>
            </w:pPr>
          </w:p>
        </w:tc>
        <w:tc>
          <w:tcPr>
            <w:tcW w:w="825" w:type="dxa"/>
            <w:vMerge w:val="continue"/>
            <w:tcBorders>
              <w:tl2br w:val="nil"/>
              <w:tr2bl w:val="nil"/>
            </w:tcBorders>
            <w:vAlign w:val="center"/>
          </w:tcPr>
          <w:p w14:paraId="3E474389">
            <w:pPr>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rPr>
                <w:rFonts w:ascii="Times New Roman" w:hAnsi="Times New Roman" w:cs="Times New Roman"/>
                <w:color w:val="auto"/>
                <w:sz w:val="21"/>
                <w:szCs w:val="21"/>
                <w:highlight w:val="none"/>
                <w:lang w:eastAsia="en-US"/>
              </w:rPr>
            </w:pPr>
          </w:p>
        </w:tc>
        <w:tc>
          <w:tcPr>
            <w:tcW w:w="855" w:type="dxa"/>
            <w:vMerge w:val="continue"/>
            <w:tcBorders>
              <w:tl2br w:val="nil"/>
              <w:tr2bl w:val="nil"/>
            </w:tcBorders>
            <w:vAlign w:val="center"/>
          </w:tcPr>
          <w:p w14:paraId="5FD18483">
            <w:pPr>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rPr>
                <w:rFonts w:ascii="Times New Roman" w:hAnsi="Times New Roman" w:cs="Times New Roman"/>
                <w:color w:val="auto"/>
                <w:sz w:val="21"/>
                <w:szCs w:val="21"/>
                <w:highlight w:val="none"/>
                <w:lang w:eastAsia="en-US"/>
              </w:rPr>
            </w:pPr>
          </w:p>
        </w:tc>
        <w:tc>
          <w:tcPr>
            <w:tcW w:w="1590" w:type="dxa"/>
            <w:vMerge w:val="continue"/>
            <w:tcBorders>
              <w:tl2br w:val="nil"/>
              <w:tr2bl w:val="nil"/>
            </w:tcBorders>
            <w:vAlign w:val="center"/>
          </w:tcPr>
          <w:p w14:paraId="6B1CED30">
            <w:pPr>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rPr>
                <w:rFonts w:ascii="Times New Roman" w:hAnsi="Times New Roman" w:cs="Times New Roman"/>
                <w:color w:val="auto"/>
                <w:sz w:val="21"/>
                <w:szCs w:val="21"/>
                <w:highlight w:val="none"/>
                <w:lang w:eastAsia="en-US"/>
              </w:rPr>
            </w:pPr>
          </w:p>
        </w:tc>
        <w:tc>
          <w:tcPr>
            <w:tcW w:w="1065" w:type="dxa"/>
            <w:tcBorders>
              <w:tl2br w:val="nil"/>
              <w:tr2bl w:val="nil"/>
            </w:tcBorders>
            <w:vAlign w:val="center"/>
          </w:tcPr>
          <w:p w14:paraId="63D24F69">
            <w:pPr>
              <w:pStyle w:val="236"/>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rPr>
                <w:rFonts w:ascii="Times New Roman" w:hAnsi="Times New Roman" w:eastAsia="宋体" w:cs="Times New Roman"/>
                <w:color w:val="auto"/>
                <w:sz w:val="21"/>
                <w:szCs w:val="21"/>
                <w:highlight w:val="none"/>
              </w:rPr>
            </w:pPr>
            <w:r>
              <w:rPr>
                <w:rFonts w:ascii="Times New Roman" w:hAnsi="Times New Roman" w:eastAsia="宋体" w:cs="Times New Roman"/>
                <w:color w:val="auto"/>
                <w:spacing w:val="6"/>
                <w:sz w:val="21"/>
                <w:szCs w:val="21"/>
                <w:highlight w:val="none"/>
                <w14:textOutline w14:w="3797" w14:cap="flat" w14:cmpd="sng" w14:algn="ctr">
                  <w14:solidFill>
                    <w14:srgbClr w14:val="000000"/>
                  </w14:solidFill>
                  <w14:prstDash w14:val="solid"/>
                  <w14:miter w14:val="0"/>
                </w14:textOutline>
              </w:rPr>
              <w:t>浓度</w:t>
            </w:r>
            <w:r>
              <w:rPr>
                <w:rFonts w:ascii="Times New Roman" w:hAnsi="Times New Roman" w:eastAsia="宋体" w:cs="Times New Roman"/>
                <w:b/>
                <w:bCs/>
                <w:color w:val="auto"/>
                <w:spacing w:val="4"/>
                <w:sz w:val="21"/>
                <w:szCs w:val="21"/>
                <w:highlight w:val="none"/>
              </w:rPr>
              <w:t>(</w:t>
            </w:r>
            <w:r>
              <w:rPr>
                <w:rFonts w:ascii="Times New Roman" w:hAnsi="Times New Roman" w:eastAsia="宋体" w:cs="Times New Roman"/>
                <w:b/>
                <w:bCs/>
                <w:color w:val="auto"/>
                <w:sz w:val="21"/>
                <w:szCs w:val="21"/>
                <w:highlight w:val="none"/>
              </w:rPr>
              <w:t>mg</w:t>
            </w:r>
            <w:r>
              <w:rPr>
                <w:rFonts w:ascii="Times New Roman" w:hAnsi="Times New Roman" w:eastAsia="宋体" w:cs="Times New Roman"/>
                <w:b/>
                <w:bCs/>
                <w:color w:val="auto"/>
                <w:spacing w:val="4"/>
                <w:sz w:val="21"/>
                <w:szCs w:val="21"/>
                <w:highlight w:val="none"/>
              </w:rPr>
              <w:t>/m</w:t>
            </w:r>
            <w:r>
              <w:rPr>
                <w:rFonts w:hint="eastAsia" w:ascii="Times New Roman" w:hAnsi="Times New Roman" w:eastAsia="宋体" w:cs="Times New Roman"/>
                <w:b/>
                <w:bCs/>
                <w:color w:val="auto"/>
                <w:spacing w:val="2"/>
                <w:sz w:val="21"/>
                <w:szCs w:val="21"/>
                <w:highlight w:val="none"/>
                <w:vertAlign w:val="superscript"/>
                <w:lang w:val="en-US" w:eastAsia="zh-CN"/>
              </w:rPr>
              <w:t>3</w:t>
            </w:r>
            <w:r>
              <w:rPr>
                <w:rFonts w:ascii="Times New Roman" w:hAnsi="Times New Roman" w:eastAsia="宋体" w:cs="Times New Roman"/>
                <w:b/>
                <w:bCs/>
                <w:color w:val="auto"/>
                <w:spacing w:val="4"/>
                <w:sz w:val="21"/>
                <w:szCs w:val="21"/>
                <w:highlight w:val="none"/>
              </w:rPr>
              <w:t>)</w:t>
            </w:r>
          </w:p>
        </w:tc>
        <w:tc>
          <w:tcPr>
            <w:tcW w:w="1125" w:type="dxa"/>
            <w:tcBorders>
              <w:tl2br w:val="nil"/>
              <w:tr2bl w:val="nil"/>
            </w:tcBorders>
            <w:vAlign w:val="center"/>
          </w:tcPr>
          <w:p w14:paraId="3CC85182">
            <w:pPr>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rPr>
                <w:rFonts w:ascii="Times New Roman" w:hAnsi="Times New Roman" w:cs="Times New Roman"/>
                <w:color w:val="auto"/>
                <w:sz w:val="21"/>
                <w:szCs w:val="21"/>
                <w:highlight w:val="none"/>
                <w:lang w:eastAsia="en-US"/>
              </w:rPr>
            </w:pPr>
            <w:r>
              <w:rPr>
                <w:rFonts w:ascii="Times New Roman" w:hAnsi="Times New Roman" w:cs="Times New Roman"/>
                <w:color w:val="auto"/>
                <w:spacing w:val="6"/>
                <w:position w:val="6"/>
                <w:sz w:val="21"/>
                <w:szCs w:val="21"/>
                <w:highlight w:val="none"/>
                <w:lang w:eastAsia="en-US"/>
                <w14:textOutline w14:w="3797" w14:cap="flat" w14:cmpd="sng" w14:algn="ctr">
                  <w14:solidFill>
                    <w14:srgbClr w14:val="000000"/>
                  </w14:solidFill>
                  <w14:prstDash w14:val="solid"/>
                  <w14:miter w14:val="0"/>
                </w14:textOutline>
              </w:rPr>
              <w:t>速率</w:t>
            </w:r>
          </w:p>
          <w:p w14:paraId="42BACD5C">
            <w:pPr>
              <w:pStyle w:val="236"/>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rPr>
                <w:rFonts w:ascii="Times New Roman" w:hAnsi="Times New Roman" w:eastAsia="宋体" w:cs="Times New Roman"/>
                <w:color w:val="auto"/>
                <w:sz w:val="21"/>
                <w:szCs w:val="21"/>
                <w:highlight w:val="none"/>
              </w:rPr>
            </w:pPr>
            <w:r>
              <w:rPr>
                <w:rFonts w:ascii="Times New Roman" w:hAnsi="Times New Roman" w:eastAsia="宋体" w:cs="Times New Roman"/>
                <w:b/>
                <w:bCs/>
                <w:color w:val="auto"/>
                <w:spacing w:val="4"/>
                <w:sz w:val="21"/>
                <w:szCs w:val="21"/>
                <w:highlight w:val="none"/>
              </w:rPr>
              <w:t>(</w:t>
            </w:r>
            <w:r>
              <w:rPr>
                <w:rFonts w:ascii="Times New Roman" w:hAnsi="Times New Roman" w:eastAsia="宋体" w:cs="Times New Roman"/>
                <w:b/>
                <w:bCs/>
                <w:color w:val="auto"/>
                <w:sz w:val="21"/>
                <w:szCs w:val="21"/>
                <w:highlight w:val="none"/>
              </w:rPr>
              <w:t>kg</w:t>
            </w:r>
            <w:r>
              <w:rPr>
                <w:rFonts w:ascii="Times New Roman" w:hAnsi="Times New Roman" w:eastAsia="宋体" w:cs="Times New Roman"/>
                <w:b/>
                <w:bCs/>
                <w:color w:val="auto"/>
                <w:spacing w:val="4"/>
                <w:sz w:val="21"/>
                <w:szCs w:val="21"/>
                <w:highlight w:val="none"/>
              </w:rPr>
              <w:t>/h)</w:t>
            </w:r>
          </w:p>
        </w:tc>
        <w:tc>
          <w:tcPr>
            <w:tcW w:w="1065" w:type="dxa"/>
            <w:tcBorders>
              <w:tl2br w:val="nil"/>
              <w:tr2bl w:val="nil"/>
            </w:tcBorders>
            <w:vAlign w:val="center"/>
          </w:tcPr>
          <w:p w14:paraId="63FF1FC4">
            <w:pPr>
              <w:pStyle w:val="236"/>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rPr>
                <w:rFonts w:ascii="Times New Roman" w:hAnsi="Times New Roman" w:eastAsia="宋体" w:cs="Times New Roman"/>
                <w:color w:val="auto"/>
                <w:spacing w:val="7"/>
                <w:sz w:val="21"/>
                <w:szCs w:val="21"/>
                <w:highlight w:val="none"/>
                <w14:textOutline w14:w="3797" w14:cap="flat" w14:cmpd="sng" w14:algn="ctr">
                  <w14:solidFill>
                    <w14:srgbClr w14:val="000000"/>
                  </w14:solidFill>
                  <w14:prstDash w14:val="solid"/>
                  <w14:miter w14:val="0"/>
                </w14:textOutline>
              </w:rPr>
            </w:pPr>
            <w:r>
              <w:rPr>
                <w:rFonts w:ascii="Times New Roman" w:hAnsi="Times New Roman" w:eastAsia="宋体" w:cs="Times New Roman"/>
                <w:color w:val="auto"/>
                <w:spacing w:val="7"/>
                <w:sz w:val="21"/>
                <w:szCs w:val="21"/>
                <w:highlight w:val="none"/>
                <w14:textOutline w14:w="3797" w14:cap="flat" w14:cmpd="sng" w14:algn="ctr">
                  <w14:solidFill>
                    <w14:srgbClr w14:val="000000"/>
                  </w14:solidFill>
                  <w14:prstDash w14:val="solid"/>
                  <w14:miter w14:val="0"/>
                </w14:textOutline>
              </w:rPr>
              <w:t>产生量</w:t>
            </w:r>
          </w:p>
          <w:p w14:paraId="06AD88CF">
            <w:pPr>
              <w:pStyle w:val="236"/>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rPr>
                <w:rFonts w:ascii="Times New Roman" w:hAnsi="Times New Roman" w:eastAsia="宋体" w:cs="Times New Roman"/>
                <w:color w:val="auto"/>
                <w:sz w:val="21"/>
                <w:szCs w:val="21"/>
                <w:highlight w:val="none"/>
              </w:rPr>
            </w:pPr>
            <w:r>
              <w:rPr>
                <w:rFonts w:ascii="Times New Roman" w:hAnsi="Times New Roman" w:eastAsia="宋体" w:cs="Times New Roman"/>
                <w:color w:val="auto"/>
                <w:spacing w:val="-2"/>
                <w:sz w:val="21"/>
                <w:szCs w:val="21"/>
                <w:highlight w:val="none"/>
                <w14:textOutline w14:w="3797" w14:cap="flat" w14:cmpd="sng" w14:algn="ctr">
                  <w14:solidFill>
                    <w14:srgbClr w14:val="000000"/>
                  </w14:solidFill>
                  <w14:prstDash w14:val="solid"/>
                  <w14:miter w14:val="0"/>
                </w14:textOutline>
              </w:rPr>
              <w:t>（</w:t>
            </w:r>
            <w:r>
              <w:rPr>
                <w:rFonts w:ascii="Times New Roman" w:hAnsi="Times New Roman" w:eastAsia="宋体" w:cs="Times New Roman"/>
                <w:b/>
                <w:bCs/>
                <w:color w:val="auto"/>
                <w:spacing w:val="-2"/>
                <w:sz w:val="21"/>
                <w:szCs w:val="21"/>
                <w:highlight w:val="none"/>
              </w:rPr>
              <w:t>t/a</w:t>
            </w:r>
            <w:r>
              <w:rPr>
                <w:rFonts w:ascii="Times New Roman" w:hAnsi="Times New Roman" w:eastAsia="宋体" w:cs="Times New Roman"/>
                <w:color w:val="auto"/>
                <w:spacing w:val="-2"/>
                <w:sz w:val="21"/>
                <w:szCs w:val="21"/>
                <w:highlight w:val="none"/>
                <w14:textOutline w14:w="3797" w14:cap="flat" w14:cmpd="sng" w14:algn="ctr">
                  <w14:solidFill>
                    <w14:srgbClr w14:val="000000"/>
                  </w14:solidFill>
                  <w14:prstDash w14:val="solid"/>
                  <w14:miter w14:val="0"/>
                </w14:textOutline>
              </w:rPr>
              <w:t>）</w:t>
            </w:r>
          </w:p>
        </w:tc>
        <w:tc>
          <w:tcPr>
            <w:tcW w:w="1717" w:type="dxa"/>
            <w:vMerge w:val="continue"/>
            <w:tcBorders>
              <w:tl2br w:val="nil"/>
              <w:tr2bl w:val="nil"/>
            </w:tcBorders>
            <w:vAlign w:val="center"/>
          </w:tcPr>
          <w:p w14:paraId="3E1E08AD">
            <w:pPr>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rPr>
                <w:rFonts w:ascii="Times New Roman" w:hAnsi="Times New Roman" w:cs="Times New Roman"/>
                <w:color w:val="auto"/>
                <w:sz w:val="21"/>
                <w:szCs w:val="21"/>
                <w:highlight w:val="none"/>
                <w:lang w:eastAsia="en-US"/>
              </w:rPr>
            </w:pPr>
          </w:p>
        </w:tc>
        <w:tc>
          <w:tcPr>
            <w:tcW w:w="696" w:type="dxa"/>
            <w:vMerge w:val="continue"/>
            <w:tcBorders>
              <w:tl2br w:val="nil"/>
              <w:tr2bl w:val="nil"/>
            </w:tcBorders>
            <w:vAlign w:val="center"/>
          </w:tcPr>
          <w:p w14:paraId="464021EC">
            <w:pPr>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rPr>
                <w:rFonts w:ascii="Times New Roman" w:hAnsi="Times New Roman" w:cs="Times New Roman"/>
                <w:color w:val="auto"/>
                <w:sz w:val="21"/>
                <w:szCs w:val="21"/>
                <w:highlight w:val="none"/>
                <w:lang w:eastAsia="en-US"/>
              </w:rPr>
            </w:pPr>
          </w:p>
        </w:tc>
        <w:tc>
          <w:tcPr>
            <w:tcW w:w="1133" w:type="dxa"/>
            <w:tcBorders>
              <w:tl2br w:val="nil"/>
              <w:tr2bl w:val="nil"/>
            </w:tcBorders>
            <w:vAlign w:val="center"/>
          </w:tcPr>
          <w:p w14:paraId="3DFB16A1">
            <w:pPr>
              <w:pStyle w:val="236"/>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rPr>
                <w:rFonts w:ascii="Times New Roman" w:hAnsi="Times New Roman" w:eastAsia="宋体" w:cs="Times New Roman"/>
                <w:color w:val="auto"/>
                <w:sz w:val="21"/>
                <w:szCs w:val="21"/>
                <w:highlight w:val="none"/>
              </w:rPr>
            </w:pPr>
            <w:r>
              <w:rPr>
                <w:rFonts w:ascii="Times New Roman" w:hAnsi="Times New Roman" w:eastAsia="宋体" w:cs="Times New Roman"/>
                <w:color w:val="auto"/>
                <w:spacing w:val="6"/>
                <w:sz w:val="21"/>
                <w:szCs w:val="21"/>
                <w:highlight w:val="none"/>
                <w14:textOutline w14:w="3797" w14:cap="flat" w14:cmpd="sng" w14:algn="ctr">
                  <w14:solidFill>
                    <w14:srgbClr w14:val="000000"/>
                  </w14:solidFill>
                  <w14:prstDash w14:val="solid"/>
                  <w14:miter w14:val="0"/>
                </w14:textOutline>
              </w:rPr>
              <w:t>浓度</w:t>
            </w:r>
            <w:r>
              <w:rPr>
                <w:rFonts w:ascii="Times New Roman" w:hAnsi="Times New Roman" w:eastAsia="宋体" w:cs="Times New Roman"/>
                <w:b/>
                <w:bCs/>
                <w:color w:val="auto"/>
                <w:spacing w:val="5"/>
                <w:sz w:val="21"/>
                <w:szCs w:val="21"/>
                <w:highlight w:val="none"/>
              </w:rPr>
              <w:t>(</w:t>
            </w:r>
            <w:r>
              <w:rPr>
                <w:rFonts w:ascii="Times New Roman" w:hAnsi="Times New Roman" w:eastAsia="宋体" w:cs="Times New Roman"/>
                <w:b/>
                <w:bCs/>
                <w:color w:val="auto"/>
                <w:sz w:val="21"/>
                <w:szCs w:val="21"/>
                <w:highlight w:val="none"/>
              </w:rPr>
              <w:t>mg</w:t>
            </w:r>
            <w:r>
              <w:rPr>
                <w:rFonts w:ascii="Times New Roman" w:hAnsi="Times New Roman" w:eastAsia="宋体" w:cs="Times New Roman"/>
                <w:b/>
                <w:bCs/>
                <w:color w:val="auto"/>
                <w:spacing w:val="5"/>
                <w:sz w:val="21"/>
                <w:szCs w:val="21"/>
                <w:highlight w:val="none"/>
              </w:rPr>
              <w:t>/m</w:t>
            </w:r>
            <w:r>
              <w:rPr>
                <w:rFonts w:hint="eastAsia" w:ascii="Times New Roman" w:hAnsi="Times New Roman" w:eastAsia="宋体" w:cs="Times New Roman"/>
                <w:b/>
                <w:bCs/>
                <w:color w:val="auto"/>
                <w:spacing w:val="2"/>
                <w:sz w:val="21"/>
                <w:szCs w:val="21"/>
                <w:highlight w:val="none"/>
                <w:vertAlign w:val="superscript"/>
                <w:lang w:val="en-US" w:eastAsia="zh-CN"/>
              </w:rPr>
              <w:t>3</w:t>
            </w:r>
            <w:r>
              <w:rPr>
                <w:rFonts w:ascii="Times New Roman" w:hAnsi="Times New Roman" w:eastAsia="宋体" w:cs="Times New Roman"/>
                <w:b/>
                <w:bCs/>
                <w:color w:val="auto"/>
                <w:spacing w:val="5"/>
                <w:sz w:val="21"/>
                <w:szCs w:val="21"/>
                <w:highlight w:val="none"/>
              </w:rPr>
              <w:t>)</w:t>
            </w:r>
          </w:p>
        </w:tc>
        <w:tc>
          <w:tcPr>
            <w:tcW w:w="1131" w:type="dxa"/>
            <w:tcBorders>
              <w:tl2br w:val="nil"/>
              <w:tr2bl w:val="nil"/>
            </w:tcBorders>
            <w:vAlign w:val="center"/>
          </w:tcPr>
          <w:p w14:paraId="5788B561">
            <w:pPr>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rPr>
                <w:rFonts w:ascii="Times New Roman" w:hAnsi="Times New Roman" w:cs="Times New Roman"/>
                <w:color w:val="auto"/>
                <w:sz w:val="21"/>
                <w:szCs w:val="21"/>
                <w:highlight w:val="none"/>
                <w:lang w:eastAsia="en-US"/>
              </w:rPr>
            </w:pPr>
            <w:r>
              <w:rPr>
                <w:rFonts w:ascii="Times New Roman" w:hAnsi="Times New Roman" w:cs="Times New Roman"/>
                <w:color w:val="auto"/>
                <w:spacing w:val="6"/>
                <w:position w:val="6"/>
                <w:sz w:val="21"/>
                <w:szCs w:val="21"/>
                <w:highlight w:val="none"/>
                <w:lang w:eastAsia="en-US"/>
                <w14:textOutline w14:w="3797" w14:cap="flat" w14:cmpd="sng" w14:algn="ctr">
                  <w14:solidFill>
                    <w14:srgbClr w14:val="000000"/>
                  </w14:solidFill>
                  <w14:prstDash w14:val="solid"/>
                  <w14:miter w14:val="0"/>
                </w14:textOutline>
              </w:rPr>
              <w:t>速率</w:t>
            </w:r>
          </w:p>
          <w:p w14:paraId="5A84FF7A">
            <w:pPr>
              <w:pStyle w:val="236"/>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rPr>
                <w:rFonts w:ascii="Times New Roman" w:hAnsi="Times New Roman" w:eastAsia="宋体" w:cs="Times New Roman"/>
                <w:color w:val="auto"/>
                <w:sz w:val="21"/>
                <w:szCs w:val="21"/>
                <w:highlight w:val="none"/>
              </w:rPr>
            </w:pPr>
            <w:r>
              <w:rPr>
                <w:rFonts w:ascii="Times New Roman" w:hAnsi="Times New Roman" w:eastAsia="宋体" w:cs="Times New Roman"/>
                <w:b/>
                <w:bCs/>
                <w:color w:val="auto"/>
                <w:spacing w:val="3"/>
                <w:sz w:val="21"/>
                <w:szCs w:val="21"/>
                <w:highlight w:val="none"/>
              </w:rPr>
              <w:t>(</w:t>
            </w:r>
            <w:r>
              <w:rPr>
                <w:rFonts w:ascii="Times New Roman" w:hAnsi="Times New Roman" w:eastAsia="宋体" w:cs="Times New Roman"/>
                <w:b/>
                <w:bCs/>
                <w:color w:val="auto"/>
                <w:sz w:val="21"/>
                <w:szCs w:val="21"/>
                <w:highlight w:val="none"/>
              </w:rPr>
              <w:t>kg</w:t>
            </w:r>
            <w:r>
              <w:rPr>
                <w:rFonts w:ascii="Times New Roman" w:hAnsi="Times New Roman" w:eastAsia="宋体" w:cs="Times New Roman"/>
                <w:b/>
                <w:bCs/>
                <w:color w:val="auto"/>
                <w:spacing w:val="3"/>
                <w:sz w:val="21"/>
                <w:szCs w:val="21"/>
                <w:highlight w:val="none"/>
              </w:rPr>
              <w:t>/h)</w:t>
            </w:r>
          </w:p>
        </w:tc>
        <w:tc>
          <w:tcPr>
            <w:tcW w:w="1136" w:type="dxa"/>
            <w:tcBorders>
              <w:tl2br w:val="nil"/>
              <w:tr2bl w:val="nil"/>
            </w:tcBorders>
            <w:vAlign w:val="center"/>
          </w:tcPr>
          <w:p w14:paraId="03431FBD">
            <w:pPr>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rPr>
                <w:rFonts w:ascii="Times New Roman" w:hAnsi="Times New Roman" w:cs="Times New Roman"/>
                <w:color w:val="auto"/>
                <w:sz w:val="21"/>
                <w:szCs w:val="21"/>
                <w:highlight w:val="none"/>
                <w:lang w:eastAsia="en-US"/>
              </w:rPr>
            </w:pPr>
            <w:r>
              <w:rPr>
                <w:rFonts w:ascii="Times New Roman" w:hAnsi="Times New Roman" w:cs="Times New Roman"/>
                <w:color w:val="auto"/>
                <w:spacing w:val="7"/>
                <w:position w:val="4"/>
                <w:sz w:val="21"/>
                <w:szCs w:val="21"/>
                <w:highlight w:val="none"/>
                <w:lang w:eastAsia="en-US"/>
                <w14:textOutline w14:w="3797" w14:cap="flat" w14:cmpd="sng" w14:algn="ctr">
                  <w14:solidFill>
                    <w14:srgbClr w14:val="000000"/>
                  </w14:solidFill>
                  <w14:prstDash w14:val="solid"/>
                  <w14:miter w14:val="0"/>
                </w14:textOutline>
              </w:rPr>
              <w:t>排放量</w:t>
            </w:r>
          </w:p>
          <w:p w14:paraId="53243DF2">
            <w:pPr>
              <w:pStyle w:val="236"/>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rPr>
                <w:rFonts w:ascii="Times New Roman" w:hAnsi="Times New Roman" w:eastAsia="宋体" w:cs="Times New Roman"/>
                <w:color w:val="auto"/>
                <w:sz w:val="21"/>
                <w:szCs w:val="21"/>
                <w:highlight w:val="none"/>
              </w:rPr>
            </w:pPr>
            <w:r>
              <w:rPr>
                <w:rFonts w:ascii="Times New Roman" w:hAnsi="Times New Roman" w:eastAsia="宋体" w:cs="Times New Roman"/>
                <w:color w:val="auto"/>
                <w:sz w:val="21"/>
                <w:szCs w:val="21"/>
                <w:highlight w:val="none"/>
                <w14:textOutline w14:w="3797" w14:cap="flat" w14:cmpd="sng" w14:algn="ctr">
                  <w14:solidFill>
                    <w14:srgbClr w14:val="000000"/>
                  </w14:solidFill>
                  <w14:prstDash w14:val="solid"/>
                  <w14:miter w14:val="0"/>
                </w14:textOutline>
              </w:rPr>
              <w:t>（</w:t>
            </w:r>
            <w:r>
              <w:rPr>
                <w:rFonts w:ascii="Times New Roman" w:hAnsi="Times New Roman" w:eastAsia="宋体" w:cs="Times New Roman"/>
                <w:b/>
                <w:bCs/>
                <w:color w:val="auto"/>
                <w:sz w:val="21"/>
                <w:szCs w:val="21"/>
                <w:highlight w:val="none"/>
              </w:rPr>
              <w:t>t/a</w:t>
            </w:r>
            <w:r>
              <w:rPr>
                <w:rFonts w:ascii="Times New Roman" w:hAnsi="Times New Roman" w:eastAsia="宋体" w:cs="Times New Roman"/>
                <w:color w:val="auto"/>
                <w:sz w:val="21"/>
                <w:szCs w:val="21"/>
                <w:highlight w:val="none"/>
                <w14:textOutline w14:w="3797" w14:cap="flat" w14:cmpd="sng" w14:algn="ctr">
                  <w14:solidFill>
                    <w14:srgbClr w14:val="000000"/>
                  </w14:solidFill>
                  <w14:prstDash w14:val="solid"/>
                  <w14:miter w14:val="0"/>
                </w14:textOutline>
              </w:rPr>
              <w:t>）</w:t>
            </w:r>
          </w:p>
        </w:tc>
        <w:tc>
          <w:tcPr>
            <w:tcW w:w="680" w:type="dxa"/>
            <w:vMerge w:val="continue"/>
            <w:tcBorders>
              <w:tl2br w:val="nil"/>
              <w:tr2bl w:val="nil"/>
            </w:tcBorders>
            <w:vAlign w:val="center"/>
          </w:tcPr>
          <w:p w14:paraId="0504292A">
            <w:pPr>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rPr>
                <w:rFonts w:ascii="Times New Roman" w:hAnsi="Times New Roman" w:cs="Times New Roman"/>
                <w:color w:val="auto"/>
                <w:sz w:val="21"/>
                <w:szCs w:val="21"/>
                <w:highlight w:val="none"/>
                <w:lang w:eastAsia="en-US"/>
              </w:rPr>
            </w:pPr>
          </w:p>
        </w:tc>
      </w:tr>
      <w:tr w14:paraId="67A84435">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940" w:type="dxa"/>
            <w:vMerge w:val="restart"/>
            <w:tcBorders>
              <w:tl2br w:val="nil"/>
              <w:tr2bl w:val="nil"/>
            </w:tcBorders>
            <w:vAlign w:val="center"/>
          </w:tcPr>
          <w:p w14:paraId="6593E8C2">
            <w:pPr>
              <w:pStyle w:val="236"/>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rPr>
                <w:rFonts w:ascii="Times New Roman" w:hAnsi="Times New Roman" w:eastAsia="宋体" w:cs="Times New Roman"/>
                <w:color w:val="auto"/>
                <w:sz w:val="21"/>
                <w:szCs w:val="21"/>
                <w:highlight w:val="none"/>
              </w:rPr>
            </w:pPr>
            <w:r>
              <w:rPr>
                <w:rFonts w:ascii="Times New Roman" w:hAnsi="Times New Roman" w:eastAsia="宋体" w:cs="Times New Roman"/>
                <w:color w:val="auto"/>
                <w:sz w:val="21"/>
                <w:szCs w:val="21"/>
                <w:highlight w:val="none"/>
              </w:rPr>
              <w:t>DA</w:t>
            </w:r>
            <w:r>
              <w:rPr>
                <w:rFonts w:ascii="Times New Roman" w:hAnsi="Times New Roman" w:eastAsia="宋体" w:cs="Times New Roman"/>
                <w:color w:val="auto"/>
                <w:spacing w:val="8"/>
                <w:sz w:val="21"/>
                <w:szCs w:val="21"/>
                <w:highlight w:val="none"/>
              </w:rPr>
              <w:t>001</w:t>
            </w:r>
          </w:p>
        </w:tc>
        <w:tc>
          <w:tcPr>
            <w:tcW w:w="825" w:type="dxa"/>
            <w:vMerge w:val="restart"/>
            <w:tcBorders>
              <w:tl2br w:val="nil"/>
              <w:tr2bl w:val="nil"/>
            </w:tcBorders>
            <w:vAlign w:val="center"/>
          </w:tcPr>
          <w:p w14:paraId="1946A911">
            <w:pPr>
              <w:pStyle w:val="236"/>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rPr>
                <w:rFonts w:ascii="Times New Roman" w:hAnsi="Times New Roman" w:eastAsia="宋体" w:cs="Times New Roman"/>
                <w:color w:val="auto"/>
                <w:sz w:val="21"/>
                <w:szCs w:val="21"/>
                <w:highlight w:val="none"/>
              </w:rPr>
            </w:pPr>
            <w:r>
              <w:rPr>
                <w:rFonts w:ascii="Times New Roman" w:hAnsi="Times New Roman" w:eastAsia="宋体" w:cs="Times New Roman"/>
                <w:color w:val="auto"/>
                <w:spacing w:val="1"/>
                <w:sz w:val="21"/>
                <w:szCs w:val="21"/>
                <w:highlight w:val="none"/>
              </w:rPr>
              <w:t>8400</w:t>
            </w:r>
          </w:p>
        </w:tc>
        <w:tc>
          <w:tcPr>
            <w:tcW w:w="855" w:type="dxa"/>
            <w:vMerge w:val="restart"/>
            <w:tcBorders>
              <w:tl2br w:val="nil"/>
              <w:tr2bl w:val="nil"/>
            </w:tcBorders>
            <w:vAlign w:val="center"/>
          </w:tcPr>
          <w:p w14:paraId="0B87ED25">
            <w:pPr>
              <w:pStyle w:val="236"/>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rPr>
                <w:rFonts w:ascii="Times New Roman" w:hAnsi="Times New Roman" w:eastAsia="宋体" w:cs="Times New Roman"/>
                <w:color w:val="auto"/>
                <w:sz w:val="21"/>
                <w:szCs w:val="21"/>
                <w:highlight w:val="none"/>
              </w:rPr>
            </w:pPr>
            <w:r>
              <w:rPr>
                <w:rFonts w:ascii="Times New Roman" w:hAnsi="Times New Roman" w:eastAsia="宋体" w:cs="Times New Roman"/>
                <w:color w:val="auto"/>
                <w:spacing w:val="2"/>
                <w:sz w:val="21"/>
                <w:szCs w:val="21"/>
                <w:highlight w:val="none"/>
              </w:rPr>
              <w:t>5000</w:t>
            </w:r>
          </w:p>
        </w:tc>
        <w:tc>
          <w:tcPr>
            <w:tcW w:w="1590" w:type="dxa"/>
            <w:tcBorders>
              <w:tl2br w:val="nil"/>
              <w:tr2bl w:val="nil"/>
            </w:tcBorders>
            <w:vAlign w:val="center"/>
          </w:tcPr>
          <w:p w14:paraId="7C0E15B9">
            <w:pPr>
              <w:pStyle w:val="236"/>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rPr>
                <w:rFonts w:ascii="Times New Roman" w:hAnsi="Times New Roman" w:eastAsia="宋体" w:cs="Times New Roman"/>
                <w:color w:val="auto"/>
                <w:sz w:val="21"/>
                <w:szCs w:val="21"/>
                <w:highlight w:val="none"/>
              </w:rPr>
            </w:pPr>
            <w:r>
              <w:rPr>
                <w:rFonts w:ascii="Times New Roman" w:hAnsi="Times New Roman" w:eastAsia="宋体" w:cs="Times New Roman"/>
                <w:color w:val="auto"/>
                <w:spacing w:val="2"/>
                <w:sz w:val="21"/>
                <w:szCs w:val="21"/>
                <w:highlight w:val="none"/>
              </w:rPr>
              <w:t>2-乙二醇单</w:t>
            </w:r>
            <w:r>
              <w:rPr>
                <w:rFonts w:ascii="Times New Roman" w:hAnsi="Times New Roman" w:eastAsia="宋体" w:cs="Times New Roman"/>
                <w:color w:val="auto"/>
                <w:spacing w:val="4"/>
                <w:sz w:val="21"/>
                <w:szCs w:val="21"/>
                <w:highlight w:val="none"/>
              </w:rPr>
              <w:t>乙醚醋酸酯</w:t>
            </w:r>
          </w:p>
        </w:tc>
        <w:tc>
          <w:tcPr>
            <w:tcW w:w="1065" w:type="dxa"/>
            <w:tcBorders>
              <w:tl2br w:val="nil"/>
              <w:tr2bl w:val="nil"/>
            </w:tcBorders>
            <w:vAlign w:val="center"/>
          </w:tcPr>
          <w:p w14:paraId="7E00BFCC">
            <w:pPr>
              <w:pStyle w:val="236"/>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rPr>
                <w:rFonts w:ascii="Times New Roman" w:hAnsi="Times New Roman" w:eastAsia="宋体" w:cs="Times New Roman"/>
                <w:color w:val="auto"/>
                <w:sz w:val="21"/>
                <w:szCs w:val="21"/>
                <w:highlight w:val="none"/>
              </w:rPr>
            </w:pPr>
            <w:r>
              <w:rPr>
                <w:rFonts w:ascii="Times New Roman" w:hAnsi="Times New Roman" w:eastAsia="宋体" w:cs="Times New Roman"/>
                <w:color w:val="auto"/>
                <w:spacing w:val="2"/>
                <w:sz w:val="21"/>
                <w:szCs w:val="21"/>
                <w:highlight w:val="none"/>
              </w:rPr>
              <w:t>9.52</w:t>
            </w:r>
          </w:p>
        </w:tc>
        <w:tc>
          <w:tcPr>
            <w:tcW w:w="1125" w:type="dxa"/>
            <w:tcBorders>
              <w:tl2br w:val="nil"/>
              <w:tr2bl w:val="nil"/>
            </w:tcBorders>
            <w:vAlign w:val="center"/>
          </w:tcPr>
          <w:p w14:paraId="2412423F">
            <w:pPr>
              <w:pStyle w:val="236"/>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rPr>
                <w:rFonts w:ascii="Times New Roman" w:hAnsi="Times New Roman" w:eastAsia="宋体" w:cs="Times New Roman"/>
                <w:color w:val="auto"/>
                <w:sz w:val="21"/>
                <w:szCs w:val="21"/>
                <w:highlight w:val="none"/>
              </w:rPr>
            </w:pPr>
            <w:r>
              <w:rPr>
                <w:rFonts w:ascii="Times New Roman" w:hAnsi="Times New Roman" w:eastAsia="宋体" w:cs="Times New Roman"/>
                <w:color w:val="auto"/>
                <w:spacing w:val="3"/>
                <w:sz w:val="21"/>
                <w:szCs w:val="21"/>
                <w:highlight w:val="none"/>
              </w:rPr>
              <w:t>0.0476</w:t>
            </w:r>
          </w:p>
        </w:tc>
        <w:tc>
          <w:tcPr>
            <w:tcW w:w="1065" w:type="dxa"/>
            <w:tcBorders>
              <w:tl2br w:val="nil"/>
              <w:tr2bl w:val="nil"/>
            </w:tcBorders>
            <w:vAlign w:val="center"/>
          </w:tcPr>
          <w:p w14:paraId="23474C58">
            <w:pPr>
              <w:pStyle w:val="236"/>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rPr>
                <w:rFonts w:ascii="Times New Roman" w:hAnsi="Times New Roman" w:eastAsia="宋体" w:cs="Times New Roman"/>
                <w:color w:val="auto"/>
                <w:sz w:val="21"/>
                <w:szCs w:val="21"/>
                <w:highlight w:val="none"/>
              </w:rPr>
            </w:pPr>
            <w:r>
              <w:rPr>
                <w:rFonts w:ascii="Times New Roman" w:hAnsi="Times New Roman" w:eastAsia="宋体" w:cs="Times New Roman"/>
                <w:color w:val="auto"/>
                <w:spacing w:val="1"/>
                <w:sz w:val="21"/>
                <w:szCs w:val="21"/>
                <w:highlight w:val="none"/>
              </w:rPr>
              <w:t>0.4</w:t>
            </w:r>
          </w:p>
        </w:tc>
        <w:tc>
          <w:tcPr>
            <w:tcW w:w="1717" w:type="dxa"/>
            <w:vMerge w:val="restart"/>
            <w:tcBorders>
              <w:tl2br w:val="nil"/>
              <w:tr2bl w:val="nil"/>
            </w:tcBorders>
            <w:vAlign w:val="center"/>
          </w:tcPr>
          <w:p w14:paraId="010C0B6E">
            <w:pPr>
              <w:pStyle w:val="236"/>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rPr>
                <w:rFonts w:ascii="Times New Roman" w:hAnsi="Times New Roman" w:eastAsia="宋体" w:cs="Times New Roman"/>
                <w:color w:val="auto"/>
                <w:sz w:val="21"/>
                <w:szCs w:val="21"/>
                <w:highlight w:val="none"/>
                <w:lang w:eastAsia="zh-CN"/>
              </w:rPr>
            </w:pPr>
            <w:r>
              <w:rPr>
                <w:rFonts w:ascii="Times New Roman" w:hAnsi="Times New Roman" w:eastAsia="宋体" w:cs="Times New Roman"/>
                <w:color w:val="auto"/>
                <w:spacing w:val="4"/>
                <w:sz w:val="21"/>
                <w:szCs w:val="21"/>
                <w:highlight w:val="none"/>
                <w:lang w:eastAsia="zh-CN"/>
              </w:rPr>
              <w:t>冷凝+3级碱</w:t>
            </w:r>
            <w:r>
              <w:rPr>
                <w:rFonts w:ascii="Times New Roman" w:hAnsi="Times New Roman" w:eastAsia="宋体" w:cs="Times New Roman"/>
                <w:color w:val="auto"/>
                <w:spacing w:val="6"/>
                <w:sz w:val="21"/>
                <w:szCs w:val="21"/>
                <w:highlight w:val="none"/>
                <w:lang w:eastAsia="zh-CN"/>
              </w:rPr>
              <w:t>液喷淋+活性</w:t>
            </w:r>
            <w:r>
              <w:rPr>
                <w:rFonts w:ascii="Times New Roman" w:hAnsi="Times New Roman" w:eastAsia="宋体" w:cs="Times New Roman"/>
                <w:color w:val="auto"/>
                <w:spacing w:val="5"/>
                <w:sz w:val="21"/>
                <w:szCs w:val="21"/>
                <w:highlight w:val="none"/>
                <w:lang w:eastAsia="zh-CN"/>
              </w:rPr>
              <w:t>炭吸附</w:t>
            </w:r>
          </w:p>
        </w:tc>
        <w:tc>
          <w:tcPr>
            <w:tcW w:w="696" w:type="dxa"/>
            <w:tcBorders>
              <w:tl2br w:val="nil"/>
              <w:tr2bl w:val="nil"/>
            </w:tcBorders>
            <w:vAlign w:val="center"/>
          </w:tcPr>
          <w:p w14:paraId="34F85672">
            <w:pPr>
              <w:pStyle w:val="236"/>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rPr>
                <w:rFonts w:ascii="Times New Roman" w:hAnsi="Times New Roman" w:eastAsia="宋体" w:cs="Times New Roman"/>
                <w:color w:val="auto"/>
                <w:sz w:val="21"/>
                <w:szCs w:val="21"/>
                <w:highlight w:val="none"/>
              </w:rPr>
            </w:pPr>
            <w:r>
              <w:rPr>
                <w:rFonts w:ascii="Times New Roman" w:hAnsi="Times New Roman" w:eastAsia="宋体" w:cs="Times New Roman"/>
                <w:color w:val="auto"/>
                <w:sz w:val="21"/>
                <w:szCs w:val="21"/>
                <w:highlight w:val="none"/>
              </w:rPr>
              <w:t>50</w:t>
            </w:r>
          </w:p>
        </w:tc>
        <w:tc>
          <w:tcPr>
            <w:tcW w:w="1133" w:type="dxa"/>
            <w:tcBorders>
              <w:tl2br w:val="nil"/>
              <w:tr2bl w:val="nil"/>
            </w:tcBorders>
            <w:vAlign w:val="center"/>
          </w:tcPr>
          <w:p w14:paraId="13B358C0">
            <w:pPr>
              <w:pStyle w:val="236"/>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rPr>
                <w:rFonts w:ascii="Times New Roman" w:hAnsi="Times New Roman" w:eastAsia="宋体" w:cs="Times New Roman"/>
                <w:color w:val="auto"/>
                <w:sz w:val="21"/>
                <w:szCs w:val="21"/>
                <w:highlight w:val="none"/>
              </w:rPr>
            </w:pPr>
            <w:r>
              <w:rPr>
                <w:rFonts w:ascii="Times New Roman" w:hAnsi="Times New Roman" w:eastAsia="宋体" w:cs="Times New Roman"/>
                <w:color w:val="auto"/>
                <w:spacing w:val="4"/>
                <w:sz w:val="21"/>
                <w:szCs w:val="21"/>
                <w:highlight w:val="none"/>
              </w:rPr>
              <w:t>4.76</w:t>
            </w:r>
          </w:p>
        </w:tc>
        <w:tc>
          <w:tcPr>
            <w:tcW w:w="1131" w:type="dxa"/>
            <w:tcBorders>
              <w:tl2br w:val="nil"/>
              <w:tr2bl w:val="nil"/>
            </w:tcBorders>
            <w:vAlign w:val="center"/>
          </w:tcPr>
          <w:p w14:paraId="551778AE">
            <w:pPr>
              <w:pStyle w:val="236"/>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rPr>
                <w:rFonts w:ascii="Times New Roman" w:hAnsi="Times New Roman" w:eastAsia="宋体" w:cs="Times New Roman"/>
                <w:color w:val="auto"/>
                <w:sz w:val="21"/>
                <w:szCs w:val="21"/>
                <w:highlight w:val="none"/>
              </w:rPr>
            </w:pPr>
            <w:r>
              <w:rPr>
                <w:rFonts w:ascii="Times New Roman" w:hAnsi="Times New Roman" w:eastAsia="宋体" w:cs="Times New Roman"/>
                <w:color w:val="auto"/>
                <w:spacing w:val="3"/>
                <w:sz w:val="21"/>
                <w:szCs w:val="21"/>
                <w:highlight w:val="none"/>
              </w:rPr>
              <w:t>0.0238</w:t>
            </w:r>
          </w:p>
        </w:tc>
        <w:tc>
          <w:tcPr>
            <w:tcW w:w="1136" w:type="dxa"/>
            <w:tcBorders>
              <w:tl2br w:val="nil"/>
              <w:tr2bl w:val="nil"/>
            </w:tcBorders>
            <w:vAlign w:val="center"/>
          </w:tcPr>
          <w:p w14:paraId="4A9E2A73">
            <w:pPr>
              <w:pStyle w:val="236"/>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rPr>
                <w:rFonts w:ascii="Times New Roman" w:hAnsi="Times New Roman" w:eastAsia="宋体" w:cs="Times New Roman"/>
                <w:color w:val="auto"/>
                <w:sz w:val="21"/>
                <w:szCs w:val="21"/>
                <w:highlight w:val="none"/>
              </w:rPr>
            </w:pPr>
            <w:r>
              <w:rPr>
                <w:rFonts w:ascii="Times New Roman" w:hAnsi="Times New Roman" w:eastAsia="宋体" w:cs="Times New Roman"/>
                <w:color w:val="auto"/>
                <w:spacing w:val="3"/>
                <w:sz w:val="21"/>
                <w:szCs w:val="21"/>
                <w:highlight w:val="none"/>
              </w:rPr>
              <w:t>0.2000</w:t>
            </w:r>
          </w:p>
        </w:tc>
        <w:tc>
          <w:tcPr>
            <w:tcW w:w="680" w:type="dxa"/>
            <w:vMerge w:val="restart"/>
            <w:tcBorders>
              <w:tl2br w:val="nil"/>
              <w:tr2bl w:val="nil"/>
            </w:tcBorders>
            <w:vAlign w:val="center"/>
          </w:tcPr>
          <w:p w14:paraId="404575BA">
            <w:pPr>
              <w:pStyle w:val="236"/>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rPr>
                <w:rFonts w:ascii="Times New Roman" w:hAnsi="Times New Roman" w:eastAsia="宋体" w:cs="Times New Roman"/>
                <w:color w:val="auto"/>
                <w:sz w:val="21"/>
                <w:szCs w:val="21"/>
                <w:highlight w:val="none"/>
              </w:rPr>
            </w:pPr>
            <w:r>
              <w:rPr>
                <w:rFonts w:ascii="Times New Roman" w:hAnsi="Times New Roman" w:eastAsia="宋体" w:cs="Times New Roman"/>
                <w:color w:val="auto"/>
                <w:spacing w:val="2"/>
                <w:sz w:val="21"/>
                <w:szCs w:val="21"/>
                <w:highlight w:val="none"/>
              </w:rPr>
              <w:t>20</w:t>
            </w:r>
          </w:p>
        </w:tc>
      </w:tr>
      <w:tr w14:paraId="2272186F">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940" w:type="dxa"/>
            <w:vMerge w:val="continue"/>
            <w:tcBorders>
              <w:tl2br w:val="nil"/>
              <w:tr2bl w:val="nil"/>
            </w:tcBorders>
            <w:vAlign w:val="center"/>
          </w:tcPr>
          <w:p w14:paraId="691F1659">
            <w:pPr>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rPr>
                <w:rFonts w:ascii="Times New Roman" w:hAnsi="Times New Roman" w:cs="Times New Roman"/>
                <w:color w:val="auto"/>
                <w:sz w:val="21"/>
                <w:szCs w:val="21"/>
                <w:highlight w:val="none"/>
                <w:lang w:eastAsia="en-US"/>
              </w:rPr>
            </w:pPr>
          </w:p>
        </w:tc>
        <w:tc>
          <w:tcPr>
            <w:tcW w:w="825" w:type="dxa"/>
            <w:vMerge w:val="continue"/>
            <w:tcBorders>
              <w:tl2br w:val="nil"/>
              <w:tr2bl w:val="nil"/>
            </w:tcBorders>
            <w:vAlign w:val="center"/>
          </w:tcPr>
          <w:p w14:paraId="7499EE32">
            <w:pPr>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rPr>
                <w:rFonts w:ascii="Times New Roman" w:hAnsi="Times New Roman" w:cs="Times New Roman"/>
                <w:color w:val="auto"/>
                <w:sz w:val="21"/>
                <w:szCs w:val="21"/>
                <w:highlight w:val="none"/>
                <w:lang w:eastAsia="en-US"/>
              </w:rPr>
            </w:pPr>
          </w:p>
        </w:tc>
        <w:tc>
          <w:tcPr>
            <w:tcW w:w="855" w:type="dxa"/>
            <w:vMerge w:val="continue"/>
            <w:tcBorders>
              <w:tl2br w:val="nil"/>
              <w:tr2bl w:val="nil"/>
            </w:tcBorders>
            <w:vAlign w:val="center"/>
          </w:tcPr>
          <w:p w14:paraId="07779C41">
            <w:pPr>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rPr>
                <w:rFonts w:ascii="Times New Roman" w:hAnsi="Times New Roman" w:cs="Times New Roman"/>
                <w:color w:val="auto"/>
                <w:sz w:val="21"/>
                <w:szCs w:val="21"/>
                <w:highlight w:val="none"/>
                <w:lang w:eastAsia="en-US"/>
              </w:rPr>
            </w:pPr>
          </w:p>
        </w:tc>
        <w:tc>
          <w:tcPr>
            <w:tcW w:w="1590" w:type="dxa"/>
            <w:tcBorders>
              <w:tl2br w:val="nil"/>
              <w:tr2bl w:val="nil"/>
            </w:tcBorders>
            <w:vAlign w:val="center"/>
          </w:tcPr>
          <w:p w14:paraId="0C7FF512">
            <w:pPr>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rPr>
                <w:rFonts w:ascii="Times New Roman" w:hAnsi="Times New Roman" w:cs="Times New Roman"/>
                <w:color w:val="auto"/>
                <w:sz w:val="21"/>
                <w:szCs w:val="21"/>
                <w:highlight w:val="none"/>
                <w:lang w:eastAsia="en-US"/>
              </w:rPr>
            </w:pPr>
            <w:r>
              <w:rPr>
                <w:rFonts w:ascii="Times New Roman" w:hAnsi="Times New Roman" w:cs="Times New Roman"/>
                <w:color w:val="auto"/>
                <w:spacing w:val="5"/>
                <w:sz w:val="21"/>
                <w:szCs w:val="21"/>
                <w:highlight w:val="none"/>
                <w:lang w:eastAsia="en-US"/>
              </w:rPr>
              <w:t>丙烯酸</w:t>
            </w:r>
          </w:p>
        </w:tc>
        <w:tc>
          <w:tcPr>
            <w:tcW w:w="1065" w:type="dxa"/>
            <w:tcBorders>
              <w:tl2br w:val="nil"/>
              <w:tr2bl w:val="nil"/>
            </w:tcBorders>
            <w:vAlign w:val="center"/>
          </w:tcPr>
          <w:p w14:paraId="58DE5DCF">
            <w:pPr>
              <w:pStyle w:val="236"/>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rPr>
                <w:rFonts w:ascii="Times New Roman" w:hAnsi="Times New Roman" w:eastAsia="宋体" w:cs="Times New Roman"/>
                <w:color w:val="auto"/>
                <w:sz w:val="21"/>
                <w:szCs w:val="21"/>
                <w:highlight w:val="none"/>
              </w:rPr>
            </w:pPr>
            <w:r>
              <w:rPr>
                <w:rFonts w:ascii="Times New Roman" w:hAnsi="Times New Roman" w:eastAsia="宋体" w:cs="Times New Roman"/>
                <w:color w:val="auto"/>
                <w:spacing w:val="-1"/>
                <w:sz w:val="21"/>
                <w:szCs w:val="21"/>
                <w:highlight w:val="none"/>
              </w:rPr>
              <w:t>14.29</w:t>
            </w:r>
          </w:p>
        </w:tc>
        <w:tc>
          <w:tcPr>
            <w:tcW w:w="1125" w:type="dxa"/>
            <w:tcBorders>
              <w:tl2br w:val="nil"/>
              <w:tr2bl w:val="nil"/>
            </w:tcBorders>
            <w:vAlign w:val="center"/>
          </w:tcPr>
          <w:p w14:paraId="479DE087">
            <w:pPr>
              <w:pStyle w:val="236"/>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rPr>
                <w:rFonts w:ascii="Times New Roman" w:hAnsi="Times New Roman" w:eastAsia="宋体" w:cs="Times New Roman"/>
                <w:color w:val="auto"/>
                <w:sz w:val="21"/>
                <w:szCs w:val="21"/>
                <w:highlight w:val="none"/>
              </w:rPr>
            </w:pPr>
            <w:r>
              <w:rPr>
                <w:rFonts w:ascii="Times New Roman" w:hAnsi="Times New Roman" w:eastAsia="宋体" w:cs="Times New Roman"/>
                <w:color w:val="auto"/>
                <w:spacing w:val="3"/>
                <w:sz w:val="21"/>
                <w:szCs w:val="21"/>
                <w:highlight w:val="none"/>
              </w:rPr>
              <w:t>0.0714</w:t>
            </w:r>
          </w:p>
        </w:tc>
        <w:tc>
          <w:tcPr>
            <w:tcW w:w="1065" w:type="dxa"/>
            <w:tcBorders>
              <w:tl2br w:val="nil"/>
              <w:tr2bl w:val="nil"/>
            </w:tcBorders>
            <w:vAlign w:val="center"/>
          </w:tcPr>
          <w:p w14:paraId="57D1C0EB">
            <w:pPr>
              <w:pStyle w:val="236"/>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rPr>
                <w:rFonts w:ascii="Times New Roman" w:hAnsi="Times New Roman" w:eastAsia="宋体" w:cs="Times New Roman"/>
                <w:color w:val="auto"/>
                <w:sz w:val="21"/>
                <w:szCs w:val="21"/>
                <w:highlight w:val="none"/>
              </w:rPr>
            </w:pPr>
            <w:r>
              <w:rPr>
                <w:rFonts w:ascii="Times New Roman" w:hAnsi="Times New Roman" w:eastAsia="宋体" w:cs="Times New Roman"/>
                <w:color w:val="auto"/>
                <w:spacing w:val="1"/>
                <w:sz w:val="21"/>
                <w:szCs w:val="21"/>
                <w:highlight w:val="none"/>
              </w:rPr>
              <w:t>0.6</w:t>
            </w:r>
          </w:p>
        </w:tc>
        <w:tc>
          <w:tcPr>
            <w:tcW w:w="1717" w:type="dxa"/>
            <w:vMerge w:val="continue"/>
            <w:tcBorders>
              <w:tl2br w:val="nil"/>
              <w:tr2bl w:val="nil"/>
            </w:tcBorders>
            <w:vAlign w:val="center"/>
          </w:tcPr>
          <w:p w14:paraId="03992551">
            <w:pPr>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rPr>
                <w:rFonts w:ascii="Times New Roman" w:hAnsi="Times New Roman" w:cs="Times New Roman"/>
                <w:color w:val="auto"/>
                <w:sz w:val="21"/>
                <w:szCs w:val="21"/>
                <w:highlight w:val="none"/>
                <w:lang w:eastAsia="en-US"/>
              </w:rPr>
            </w:pPr>
          </w:p>
        </w:tc>
        <w:tc>
          <w:tcPr>
            <w:tcW w:w="696" w:type="dxa"/>
            <w:tcBorders>
              <w:tl2br w:val="nil"/>
              <w:tr2bl w:val="nil"/>
            </w:tcBorders>
            <w:vAlign w:val="center"/>
          </w:tcPr>
          <w:p w14:paraId="08B4EF52">
            <w:pPr>
              <w:pStyle w:val="236"/>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rPr>
                <w:rFonts w:ascii="Times New Roman" w:hAnsi="Times New Roman" w:eastAsia="宋体" w:cs="Times New Roman"/>
                <w:color w:val="auto"/>
                <w:sz w:val="21"/>
                <w:szCs w:val="21"/>
                <w:highlight w:val="none"/>
              </w:rPr>
            </w:pPr>
            <w:r>
              <w:rPr>
                <w:rFonts w:ascii="Times New Roman" w:hAnsi="Times New Roman" w:eastAsia="宋体" w:cs="Times New Roman"/>
                <w:color w:val="auto"/>
                <w:sz w:val="21"/>
                <w:szCs w:val="21"/>
                <w:highlight w:val="none"/>
              </w:rPr>
              <w:t>98</w:t>
            </w:r>
          </w:p>
        </w:tc>
        <w:tc>
          <w:tcPr>
            <w:tcW w:w="1133" w:type="dxa"/>
            <w:tcBorders>
              <w:tl2br w:val="nil"/>
              <w:tr2bl w:val="nil"/>
            </w:tcBorders>
            <w:vAlign w:val="center"/>
          </w:tcPr>
          <w:p w14:paraId="33A3FD26">
            <w:pPr>
              <w:pStyle w:val="236"/>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rPr>
                <w:rFonts w:ascii="Times New Roman" w:hAnsi="Times New Roman" w:eastAsia="宋体" w:cs="Times New Roman"/>
                <w:color w:val="auto"/>
                <w:sz w:val="21"/>
                <w:szCs w:val="21"/>
                <w:highlight w:val="none"/>
              </w:rPr>
            </w:pPr>
            <w:r>
              <w:rPr>
                <w:rFonts w:ascii="Times New Roman" w:hAnsi="Times New Roman" w:eastAsia="宋体" w:cs="Times New Roman"/>
                <w:color w:val="auto"/>
                <w:spacing w:val="3"/>
                <w:sz w:val="21"/>
                <w:szCs w:val="21"/>
                <w:highlight w:val="none"/>
              </w:rPr>
              <w:t>0.29</w:t>
            </w:r>
          </w:p>
        </w:tc>
        <w:tc>
          <w:tcPr>
            <w:tcW w:w="1131" w:type="dxa"/>
            <w:tcBorders>
              <w:tl2br w:val="nil"/>
              <w:tr2bl w:val="nil"/>
            </w:tcBorders>
            <w:vAlign w:val="center"/>
          </w:tcPr>
          <w:p w14:paraId="02AA4CD3">
            <w:pPr>
              <w:pStyle w:val="236"/>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rPr>
                <w:rFonts w:ascii="Times New Roman" w:hAnsi="Times New Roman" w:eastAsia="宋体" w:cs="Times New Roman"/>
                <w:color w:val="auto"/>
                <w:sz w:val="21"/>
                <w:szCs w:val="21"/>
                <w:highlight w:val="none"/>
              </w:rPr>
            </w:pPr>
            <w:r>
              <w:rPr>
                <w:rFonts w:ascii="Times New Roman" w:hAnsi="Times New Roman" w:eastAsia="宋体" w:cs="Times New Roman"/>
                <w:color w:val="auto"/>
                <w:spacing w:val="3"/>
                <w:sz w:val="21"/>
                <w:szCs w:val="21"/>
                <w:highlight w:val="none"/>
              </w:rPr>
              <w:t>0.0014</w:t>
            </w:r>
          </w:p>
        </w:tc>
        <w:tc>
          <w:tcPr>
            <w:tcW w:w="1136" w:type="dxa"/>
            <w:tcBorders>
              <w:tl2br w:val="nil"/>
              <w:tr2bl w:val="nil"/>
            </w:tcBorders>
            <w:vAlign w:val="center"/>
          </w:tcPr>
          <w:p w14:paraId="5EED1503">
            <w:pPr>
              <w:pStyle w:val="236"/>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rPr>
                <w:rFonts w:ascii="Times New Roman" w:hAnsi="Times New Roman" w:eastAsia="宋体" w:cs="Times New Roman"/>
                <w:color w:val="auto"/>
                <w:sz w:val="21"/>
                <w:szCs w:val="21"/>
                <w:highlight w:val="none"/>
              </w:rPr>
            </w:pPr>
            <w:r>
              <w:rPr>
                <w:rFonts w:ascii="Times New Roman" w:hAnsi="Times New Roman" w:eastAsia="宋体" w:cs="Times New Roman"/>
                <w:color w:val="auto"/>
                <w:spacing w:val="3"/>
                <w:sz w:val="21"/>
                <w:szCs w:val="21"/>
                <w:highlight w:val="none"/>
              </w:rPr>
              <w:t>0.0120</w:t>
            </w:r>
          </w:p>
        </w:tc>
        <w:tc>
          <w:tcPr>
            <w:tcW w:w="680" w:type="dxa"/>
            <w:vMerge w:val="continue"/>
            <w:tcBorders>
              <w:tl2br w:val="nil"/>
              <w:tr2bl w:val="nil"/>
            </w:tcBorders>
            <w:vAlign w:val="center"/>
          </w:tcPr>
          <w:p w14:paraId="242A1252">
            <w:pPr>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rPr>
                <w:rFonts w:ascii="Times New Roman" w:hAnsi="Times New Roman" w:cs="Times New Roman"/>
                <w:color w:val="auto"/>
                <w:sz w:val="21"/>
                <w:szCs w:val="21"/>
                <w:highlight w:val="none"/>
                <w:lang w:eastAsia="en-US"/>
              </w:rPr>
            </w:pPr>
          </w:p>
        </w:tc>
      </w:tr>
      <w:tr w14:paraId="47B6BE6B">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940" w:type="dxa"/>
            <w:vMerge w:val="continue"/>
            <w:tcBorders>
              <w:tl2br w:val="nil"/>
              <w:tr2bl w:val="nil"/>
            </w:tcBorders>
            <w:vAlign w:val="center"/>
          </w:tcPr>
          <w:p w14:paraId="46075D6A">
            <w:pPr>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rPr>
                <w:rFonts w:ascii="Times New Roman" w:hAnsi="Times New Roman" w:cs="Times New Roman"/>
                <w:color w:val="auto"/>
                <w:sz w:val="21"/>
                <w:szCs w:val="21"/>
                <w:highlight w:val="none"/>
                <w:lang w:eastAsia="en-US"/>
              </w:rPr>
            </w:pPr>
          </w:p>
        </w:tc>
        <w:tc>
          <w:tcPr>
            <w:tcW w:w="825" w:type="dxa"/>
            <w:vMerge w:val="continue"/>
            <w:tcBorders>
              <w:tl2br w:val="nil"/>
              <w:tr2bl w:val="nil"/>
            </w:tcBorders>
            <w:vAlign w:val="center"/>
          </w:tcPr>
          <w:p w14:paraId="27531F88">
            <w:pPr>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rPr>
                <w:rFonts w:ascii="Times New Roman" w:hAnsi="Times New Roman" w:cs="Times New Roman"/>
                <w:color w:val="auto"/>
                <w:sz w:val="21"/>
                <w:szCs w:val="21"/>
                <w:highlight w:val="none"/>
                <w:lang w:eastAsia="en-US"/>
              </w:rPr>
            </w:pPr>
          </w:p>
        </w:tc>
        <w:tc>
          <w:tcPr>
            <w:tcW w:w="855" w:type="dxa"/>
            <w:vMerge w:val="continue"/>
            <w:tcBorders>
              <w:tl2br w:val="nil"/>
              <w:tr2bl w:val="nil"/>
            </w:tcBorders>
            <w:vAlign w:val="center"/>
          </w:tcPr>
          <w:p w14:paraId="328011D0">
            <w:pPr>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rPr>
                <w:rFonts w:ascii="Times New Roman" w:hAnsi="Times New Roman" w:cs="Times New Roman"/>
                <w:color w:val="auto"/>
                <w:sz w:val="21"/>
                <w:szCs w:val="21"/>
                <w:highlight w:val="none"/>
                <w:lang w:eastAsia="en-US"/>
              </w:rPr>
            </w:pPr>
          </w:p>
        </w:tc>
        <w:tc>
          <w:tcPr>
            <w:tcW w:w="1590" w:type="dxa"/>
            <w:tcBorders>
              <w:tl2br w:val="nil"/>
              <w:tr2bl w:val="nil"/>
            </w:tcBorders>
            <w:vAlign w:val="center"/>
          </w:tcPr>
          <w:p w14:paraId="3998677E">
            <w:pPr>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rPr>
                <w:rFonts w:ascii="Times New Roman" w:hAnsi="Times New Roman" w:cs="Times New Roman"/>
                <w:color w:val="auto"/>
                <w:sz w:val="21"/>
                <w:szCs w:val="21"/>
                <w:highlight w:val="none"/>
                <w:lang w:eastAsia="en-US"/>
              </w:rPr>
            </w:pPr>
            <w:r>
              <w:rPr>
                <w:rFonts w:ascii="Times New Roman" w:hAnsi="Times New Roman" w:cs="Times New Roman"/>
                <w:color w:val="auto"/>
                <w:spacing w:val="3"/>
                <w:sz w:val="21"/>
                <w:szCs w:val="21"/>
                <w:highlight w:val="none"/>
                <w:lang w:eastAsia="en-US"/>
              </w:rPr>
              <w:t>丁酮</w:t>
            </w:r>
          </w:p>
        </w:tc>
        <w:tc>
          <w:tcPr>
            <w:tcW w:w="1065" w:type="dxa"/>
            <w:tcBorders>
              <w:tl2br w:val="nil"/>
              <w:tr2bl w:val="nil"/>
            </w:tcBorders>
            <w:vAlign w:val="center"/>
          </w:tcPr>
          <w:p w14:paraId="693F4DDF">
            <w:pPr>
              <w:pStyle w:val="236"/>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rPr>
                <w:rFonts w:ascii="Times New Roman" w:hAnsi="Times New Roman" w:eastAsia="宋体" w:cs="Times New Roman"/>
                <w:color w:val="auto"/>
                <w:sz w:val="21"/>
                <w:szCs w:val="21"/>
                <w:highlight w:val="none"/>
              </w:rPr>
            </w:pPr>
            <w:r>
              <w:rPr>
                <w:rFonts w:ascii="Times New Roman" w:hAnsi="Times New Roman" w:eastAsia="宋体" w:cs="Times New Roman"/>
                <w:color w:val="auto"/>
                <w:spacing w:val="3"/>
                <w:sz w:val="21"/>
                <w:szCs w:val="21"/>
                <w:highlight w:val="none"/>
              </w:rPr>
              <w:t>61.90</w:t>
            </w:r>
          </w:p>
        </w:tc>
        <w:tc>
          <w:tcPr>
            <w:tcW w:w="1125" w:type="dxa"/>
            <w:tcBorders>
              <w:tl2br w:val="nil"/>
              <w:tr2bl w:val="nil"/>
            </w:tcBorders>
            <w:vAlign w:val="center"/>
          </w:tcPr>
          <w:p w14:paraId="523C840B">
            <w:pPr>
              <w:pStyle w:val="236"/>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rPr>
                <w:rFonts w:ascii="Times New Roman" w:hAnsi="Times New Roman" w:eastAsia="宋体" w:cs="Times New Roman"/>
                <w:color w:val="auto"/>
                <w:sz w:val="21"/>
                <w:szCs w:val="21"/>
                <w:highlight w:val="none"/>
              </w:rPr>
            </w:pPr>
            <w:r>
              <w:rPr>
                <w:rFonts w:ascii="Times New Roman" w:hAnsi="Times New Roman" w:eastAsia="宋体" w:cs="Times New Roman"/>
                <w:color w:val="auto"/>
                <w:spacing w:val="3"/>
                <w:sz w:val="21"/>
                <w:szCs w:val="21"/>
                <w:highlight w:val="none"/>
              </w:rPr>
              <w:t>0.3095</w:t>
            </w:r>
          </w:p>
        </w:tc>
        <w:tc>
          <w:tcPr>
            <w:tcW w:w="1065" w:type="dxa"/>
            <w:tcBorders>
              <w:tl2br w:val="nil"/>
              <w:tr2bl w:val="nil"/>
            </w:tcBorders>
            <w:vAlign w:val="center"/>
          </w:tcPr>
          <w:p w14:paraId="44F674B6">
            <w:pPr>
              <w:pStyle w:val="236"/>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rPr>
                <w:rFonts w:ascii="Times New Roman" w:hAnsi="Times New Roman" w:eastAsia="宋体" w:cs="Times New Roman"/>
                <w:color w:val="auto"/>
                <w:sz w:val="21"/>
                <w:szCs w:val="21"/>
                <w:highlight w:val="none"/>
              </w:rPr>
            </w:pPr>
            <w:r>
              <w:rPr>
                <w:rFonts w:ascii="Times New Roman" w:hAnsi="Times New Roman" w:eastAsia="宋体" w:cs="Times New Roman"/>
                <w:color w:val="auto"/>
                <w:spacing w:val="2"/>
                <w:sz w:val="21"/>
                <w:szCs w:val="21"/>
                <w:highlight w:val="none"/>
              </w:rPr>
              <w:t>2.6</w:t>
            </w:r>
          </w:p>
        </w:tc>
        <w:tc>
          <w:tcPr>
            <w:tcW w:w="1717" w:type="dxa"/>
            <w:vMerge w:val="continue"/>
            <w:tcBorders>
              <w:tl2br w:val="nil"/>
              <w:tr2bl w:val="nil"/>
            </w:tcBorders>
            <w:vAlign w:val="center"/>
          </w:tcPr>
          <w:p w14:paraId="6AD9DBD5">
            <w:pPr>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rPr>
                <w:rFonts w:ascii="Times New Roman" w:hAnsi="Times New Roman" w:cs="Times New Roman"/>
                <w:color w:val="auto"/>
                <w:sz w:val="21"/>
                <w:szCs w:val="21"/>
                <w:highlight w:val="none"/>
                <w:lang w:eastAsia="en-US"/>
              </w:rPr>
            </w:pPr>
          </w:p>
        </w:tc>
        <w:tc>
          <w:tcPr>
            <w:tcW w:w="696" w:type="dxa"/>
            <w:tcBorders>
              <w:tl2br w:val="nil"/>
              <w:tr2bl w:val="nil"/>
            </w:tcBorders>
            <w:vAlign w:val="center"/>
          </w:tcPr>
          <w:p w14:paraId="0EBD7AAA">
            <w:pPr>
              <w:pStyle w:val="236"/>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rPr>
                <w:rFonts w:ascii="Times New Roman" w:hAnsi="Times New Roman" w:eastAsia="宋体" w:cs="Times New Roman"/>
                <w:color w:val="auto"/>
                <w:sz w:val="21"/>
                <w:szCs w:val="21"/>
                <w:highlight w:val="none"/>
              </w:rPr>
            </w:pPr>
            <w:r>
              <w:rPr>
                <w:rFonts w:ascii="Times New Roman" w:hAnsi="Times New Roman" w:eastAsia="宋体" w:cs="Times New Roman"/>
                <w:color w:val="auto"/>
                <w:sz w:val="21"/>
                <w:szCs w:val="21"/>
                <w:highlight w:val="none"/>
              </w:rPr>
              <w:t>94</w:t>
            </w:r>
          </w:p>
        </w:tc>
        <w:tc>
          <w:tcPr>
            <w:tcW w:w="1133" w:type="dxa"/>
            <w:tcBorders>
              <w:tl2br w:val="nil"/>
              <w:tr2bl w:val="nil"/>
            </w:tcBorders>
            <w:vAlign w:val="center"/>
          </w:tcPr>
          <w:p w14:paraId="19523128">
            <w:pPr>
              <w:pStyle w:val="236"/>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rPr>
                <w:rFonts w:ascii="Times New Roman" w:hAnsi="Times New Roman" w:eastAsia="宋体" w:cs="Times New Roman"/>
                <w:color w:val="auto"/>
                <w:sz w:val="21"/>
                <w:szCs w:val="21"/>
                <w:highlight w:val="none"/>
              </w:rPr>
            </w:pPr>
            <w:r>
              <w:rPr>
                <w:rFonts w:ascii="Times New Roman" w:hAnsi="Times New Roman" w:eastAsia="宋体" w:cs="Times New Roman"/>
                <w:color w:val="auto"/>
                <w:spacing w:val="3"/>
                <w:sz w:val="21"/>
                <w:szCs w:val="21"/>
                <w:highlight w:val="none"/>
              </w:rPr>
              <w:t>3.71</w:t>
            </w:r>
          </w:p>
        </w:tc>
        <w:tc>
          <w:tcPr>
            <w:tcW w:w="1131" w:type="dxa"/>
            <w:tcBorders>
              <w:tl2br w:val="nil"/>
              <w:tr2bl w:val="nil"/>
            </w:tcBorders>
            <w:vAlign w:val="center"/>
          </w:tcPr>
          <w:p w14:paraId="5C680F6B">
            <w:pPr>
              <w:pStyle w:val="236"/>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rPr>
                <w:rFonts w:ascii="Times New Roman" w:hAnsi="Times New Roman" w:eastAsia="宋体" w:cs="Times New Roman"/>
                <w:color w:val="auto"/>
                <w:sz w:val="21"/>
                <w:szCs w:val="21"/>
                <w:highlight w:val="none"/>
              </w:rPr>
            </w:pPr>
            <w:r>
              <w:rPr>
                <w:rFonts w:ascii="Times New Roman" w:hAnsi="Times New Roman" w:eastAsia="宋体" w:cs="Times New Roman"/>
                <w:color w:val="auto"/>
                <w:spacing w:val="3"/>
                <w:sz w:val="21"/>
                <w:szCs w:val="21"/>
                <w:highlight w:val="none"/>
              </w:rPr>
              <w:t>0.0186</w:t>
            </w:r>
          </w:p>
        </w:tc>
        <w:tc>
          <w:tcPr>
            <w:tcW w:w="1136" w:type="dxa"/>
            <w:tcBorders>
              <w:tl2br w:val="nil"/>
              <w:tr2bl w:val="nil"/>
            </w:tcBorders>
            <w:vAlign w:val="center"/>
          </w:tcPr>
          <w:p w14:paraId="27A4D3F4">
            <w:pPr>
              <w:pStyle w:val="236"/>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rPr>
                <w:rFonts w:ascii="Times New Roman" w:hAnsi="Times New Roman" w:eastAsia="宋体" w:cs="Times New Roman"/>
                <w:color w:val="auto"/>
                <w:sz w:val="21"/>
                <w:szCs w:val="21"/>
                <w:highlight w:val="none"/>
              </w:rPr>
            </w:pPr>
            <w:r>
              <w:rPr>
                <w:rFonts w:ascii="Times New Roman" w:hAnsi="Times New Roman" w:eastAsia="宋体" w:cs="Times New Roman"/>
                <w:color w:val="auto"/>
                <w:spacing w:val="3"/>
                <w:sz w:val="21"/>
                <w:szCs w:val="21"/>
                <w:highlight w:val="none"/>
              </w:rPr>
              <w:t>0.1560</w:t>
            </w:r>
          </w:p>
        </w:tc>
        <w:tc>
          <w:tcPr>
            <w:tcW w:w="680" w:type="dxa"/>
            <w:vMerge w:val="continue"/>
            <w:tcBorders>
              <w:tl2br w:val="nil"/>
              <w:tr2bl w:val="nil"/>
            </w:tcBorders>
            <w:vAlign w:val="center"/>
          </w:tcPr>
          <w:p w14:paraId="65D7DF47">
            <w:pPr>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rPr>
                <w:rFonts w:ascii="Times New Roman" w:hAnsi="Times New Roman" w:cs="Times New Roman"/>
                <w:color w:val="auto"/>
                <w:sz w:val="21"/>
                <w:szCs w:val="21"/>
                <w:highlight w:val="none"/>
                <w:lang w:eastAsia="en-US"/>
              </w:rPr>
            </w:pPr>
          </w:p>
        </w:tc>
      </w:tr>
      <w:tr w14:paraId="048E6F1F">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940" w:type="dxa"/>
            <w:vMerge w:val="restart"/>
            <w:tcBorders>
              <w:tl2br w:val="nil"/>
              <w:tr2bl w:val="nil"/>
            </w:tcBorders>
            <w:vAlign w:val="center"/>
          </w:tcPr>
          <w:p w14:paraId="15C968B5">
            <w:pPr>
              <w:pStyle w:val="236"/>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rPr>
                <w:rFonts w:ascii="Times New Roman" w:hAnsi="Times New Roman" w:eastAsia="宋体" w:cs="Times New Roman"/>
                <w:color w:val="auto"/>
                <w:sz w:val="21"/>
                <w:szCs w:val="21"/>
                <w:highlight w:val="none"/>
              </w:rPr>
            </w:pPr>
            <w:r>
              <w:rPr>
                <w:rFonts w:ascii="Times New Roman" w:hAnsi="Times New Roman" w:eastAsia="宋体" w:cs="Times New Roman"/>
                <w:color w:val="auto"/>
                <w:sz w:val="21"/>
                <w:szCs w:val="21"/>
                <w:highlight w:val="none"/>
              </w:rPr>
              <w:t>DA</w:t>
            </w:r>
            <w:r>
              <w:rPr>
                <w:rFonts w:ascii="Times New Roman" w:hAnsi="Times New Roman" w:eastAsia="宋体" w:cs="Times New Roman"/>
                <w:color w:val="auto"/>
                <w:spacing w:val="8"/>
                <w:sz w:val="21"/>
                <w:szCs w:val="21"/>
                <w:highlight w:val="none"/>
              </w:rPr>
              <w:t>002</w:t>
            </w:r>
          </w:p>
        </w:tc>
        <w:tc>
          <w:tcPr>
            <w:tcW w:w="825" w:type="dxa"/>
            <w:vMerge w:val="continue"/>
            <w:tcBorders>
              <w:tl2br w:val="nil"/>
              <w:tr2bl w:val="nil"/>
            </w:tcBorders>
            <w:vAlign w:val="center"/>
          </w:tcPr>
          <w:p w14:paraId="05DFC34C">
            <w:pPr>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rPr>
                <w:rFonts w:ascii="Times New Roman" w:hAnsi="Times New Roman" w:cs="Times New Roman"/>
                <w:color w:val="auto"/>
                <w:sz w:val="21"/>
                <w:szCs w:val="21"/>
                <w:highlight w:val="none"/>
                <w:lang w:eastAsia="en-US"/>
              </w:rPr>
            </w:pPr>
          </w:p>
        </w:tc>
        <w:tc>
          <w:tcPr>
            <w:tcW w:w="855" w:type="dxa"/>
            <w:vMerge w:val="restart"/>
            <w:tcBorders>
              <w:tl2br w:val="nil"/>
              <w:tr2bl w:val="nil"/>
            </w:tcBorders>
            <w:vAlign w:val="center"/>
          </w:tcPr>
          <w:p w14:paraId="32BD7DDA">
            <w:pPr>
              <w:pStyle w:val="236"/>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rPr>
                <w:rFonts w:ascii="Times New Roman" w:hAnsi="Times New Roman" w:eastAsia="宋体" w:cs="Times New Roman"/>
                <w:color w:val="auto"/>
                <w:sz w:val="21"/>
                <w:szCs w:val="21"/>
                <w:highlight w:val="none"/>
              </w:rPr>
            </w:pPr>
            <w:r>
              <w:rPr>
                <w:rFonts w:ascii="Times New Roman" w:hAnsi="Times New Roman" w:eastAsia="宋体" w:cs="Times New Roman"/>
                <w:color w:val="auto"/>
                <w:sz w:val="21"/>
                <w:szCs w:val="21"/>
                <w:highlight w:val="none"/>
              </w:rPr>
              <w:t>15000</w:t>
            </w:r>
          </w:p>
        </w:tc>
        <w:tc>
          <w:tcPr>
            <w:tcW w:w="1590" w:type="dxa"/>
            <w:tcBorders>
              <w:tl2br w:val="nil"/>
              <w:tr2bl w:val="nil"/>
            </w:tcBorders>
            <w:vAlign w:val="center"/>
          </w:tcPr>
          <w:p w14:paraId="2CDF8812">
            <w:pPr>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rPr>
                <w:rFonts w:ascii="Times New Roman" w:hAnsi="Times New Roman" w:cs="Times New Roman"/>
                <w:color w:val="auto"/>
                <w:sz w:val="21"/>
                <w:szCs w:val="21"/>
                <w:highlight w:val="none"/>
                <w:lang w:eastAsia="en-US"/>
              </w:rPr>
            </w:pPr>
            <w:r>
              <w:rPr>
                <w:rFonts w:ascii="Times New Roman" w:hAnsi="Times New Roman" w:cs="Times New Roman"/>
                <w:color w:val="auto"/>
                <w:spacing w:val="5"/>
                <w:sz w:val="21"/>
                <w:szCs w:val="21"/>
                <w:highlight w:val="none"/>
                <w:lang w:eastAsia="en-US"/>
              </w:rPr>
              <w:t>丙烯酸</w:t>
            </w:r>
          </w:p>
        </w:tc>
        <w:tc>
          <w:tcPr>
            <w:tcW w:w="1065" w:type="dxa"/>
            <w:tcBorders>
              <w:tl2br w:val="nil"/>
              <w:tr2bl w:val="nil"/>
            </w:tcBorders>
            <w:vAlign w:val="center"/>
          </w:tcPr>
          <w:p w14:paraId="6526EEC2">
            <w:pPr>
              <w:pStyle w:val="236"/>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rPr>
                <w:rFonts w:ascii="Times New Roman" w:hAnsi="Times New Roman" w:eastAsia="宋体" w:cs="Times New Roman"/>
                <w:color w:val="auto"/>
                <w:sz w:val="21"/>
                <w:szCs w:val="21"/>
                <w:highlight w:val="none"/>
              </w:rPr>
            </w:pPr>
            <w:r>
              <w:rPr>
                <w:rFonts w:ascii="Times New Roman" w:hAnsi="Times New Roman" w:eastAsia="宋体" w:cs="Times New Roman"/>
                <w:color w:val="auto"/>
                <w:spacing w:val="3"/>
                <w:sz w:val="21"/>
                <w:szCs w:val="21"/>
                <w:highlight w:val="none"/>
              </w:rPr>
              <w:t>2.52</w:t>
            </w:r>
          </w:p>
        </w:tc>
        <w:tc>
          <w:tcPr>
            <w:tcW w:w="1125" w:type="dxa"/>
            <w:tcBorders>
              <w:tl2br w:val="nil"/>
              <w:tr2bl w:val="nil"/>
            </w:tcBorders>
            <w:vAlign w:val="center"/>
          </w:tcPr>
          <w:p w14:paraId="2597CE88">
            <w:pPr>
              <w:pStyle w:val="236"/>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rPr>
                <w:rFonts w:ascii="Times New Roman" w:hAnsi="Times New Roman" w:eastAsia="宋体" w:cs="Times New Roman"/>
                <w:color w:val="auto"/>
                <w:sz w:val="21"/>
                <w:szCs w:val="21"/>
                <w:highlight w:val="none"/>
              </w:rPr>
            </w:pPr>
            <w:r>
              <w:rPr>
                <w:rFonts w:ascii="Times New Roman" w:hAnsi="Times New Roman" w:eastAsia="宋体" w:cs="Times New Roman"/>
                <w:color w:val="auto"/>
                <w:spacing w:val="3"/>
                <w:sz w:val="21"/>
                <w:szCs w:val="21"/>
                <w:highlight w:val="none"/>
              </w:rPr>
              <w:t>0.0378</w:t>
            </w:r>
          </w:p>
        </w:tc>
        <w:tc>
          <w:tcPr>
            <w:tcW w:w="1065" w:type="dxa"/>
            <w:tcBorders>
              <w:tl2br w:val="nil"/>
              <w:tr2bl w:val="nil"/>
            </w:tcBorders>
            <w:vAlign w:val="center"/>
          </w:tcPr>
          <w:p w14:paraId="14C33028">
            <w:pPr>
              <w:pStyle w:val="236"/>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rPr>
                <w:rFonts w:ascii="Times New Roman" w:hAnsi="Times New Roman" w:eastAsia="宋体" w:cs="Times New Roman"/>
                <w:color w:val="auto"/>
                <w:sz w:val="21"/>
                <w:szCs w:val="21"/>
                <w:highlight w:val="none"/>
              </w:rPr>
            </w:pPr>
            <w:r>
              <w:rPr>
                <w:rFonts w:ascii="Times New Roman" w:hAnsi="Times New Roman" w:eastAsia="宋体" w:cs="Times New Roman"/>
                <w:color w:val="auto"/>
                <w:spacing w:val="3"/>
                <w:sz w:val="21"/>
                <w:szCs w:val="21"/>
                <w:highlight w:val="none"/>
              </w:rPr>
              <w:t>0.3177</w:t>
            </w:r>
          </w:p>
        </w:tc>
        <w:tc>
          <w:tcPr>
            <w:tcW w:w="1717" w:type="dxa"/>
            <w:vMerge w:val="restart"/>
            <w:tcBorders>
              <w:tl2br w:val="nil"/>
              <w:tr2bl w:val="nil"/>
            </w:tcBorders>
            <w:vAlign w:val="center"/>
          </w:tcPr>
          <w:p w14:paraId="2FFACADB">
            <w:pPr>
              <w:pStyle w:val="236"/>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rPr>
                <w:rFonts w:ascii="Times New Roman" w:hAnsi="Times New Roman" w:eastAsia="宋体" w:cs="Times New Roman"/>
                <w:color w:val="auto"/>
                <w:sz w:val="21"/>
                <w:szCs w:val="21"/>
                <w:highlight w:val="none"/>
                <w:lang w:eastAsia="zh-CN"/>
              </w:rPr>
            </w:pPr>
            <w:r>
              <w:rPr>
                <w:rFonts w:ascii="Times New Roman" w:hAnsi="Times New Roman" w:eastAsia="宋体" w:cs="Times New Roman"/>
                <w:color w:val="auto"/>
                <w:spacing w:val="5"/>
                <w:sz w:val="21"/>
                <w:szCs w:val="21"/>
                <w:highlight w:val="none"/>
                <w:lang w:eastAsia="zh-CN"/>
              </w:rPr>
              <w:t>3级碱液喷淋</w:t>
            </w:r>
            <w:r>
              <w:rPr>
                <w:rFonts w:ascii="Times New Roman" w:hAnsi="Times New Roman" w:eastAsia="宋体" w:cs="Times New Roman"/>
                <w:color w:val="auto"/>
                <w:spacing w:val="8"/>
                <w:sz w:val="21"/>
                <w:szCs w:val="21"/>
                <w:highlight w:val="none"/>
                <w:lang w:eastAsia="zh-CN"/>
              </w:rPr>
              <w:t>+活性炭吸附</w:t>
            </w:r>
            <w:r>
              <w:rPr>
                <w:rFonts w:ascii="Times New Roman" w:hAnsi="Times New Roman" w:eastAsia="宋体" w:cs="Times New Roman"/>
                <w:color w:val="auto"/>
                <w:spacing w:val="2"/>
                <w:sz w:val="21"/>
                <w:szCs w:val="21"/>
                <w:highlight w:val="none"/>
                <w:lang w:eastAsia="zh-CN"/>
              </w:rPr>
              <w:t>处理</w:t>
            </w:r>
          </w:p>
        </w:tc>
        <w:tc>
          <w:tcPr>
            <w:tcW w:w="696" w:type="dxa"/>
            <w:tcBorders>
              <w:tl2br w:val="nil"/>
              <w:tr2bl w:val="nil"/>
            </w:tcBorders>
            <w:vAlign w:val="center"/>
          </w:tcPr>
          <w:p w14:paraId="657E359C">
            <w:pPr>
              <w:pStyle w:val="236"/>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rPr>
                <w:rFonts w:ascii="Times New Roman" w:hAnsi="Times New Roman" w:eastAsia="宋体" w:cs="Times New Roman"/>
                <w:color w:val="auto"/>
                <w:sz w:val="21"/>
                <w:szCs w:val="21"/>
                <w:highlight w:val="none"/>
              </w:rPr>
            </w:pPr>
            <w:r>
              <w:rPr>
                <w:rFonts w:ascii="Times New Roman" w:hAnsi="Times New Roman" w:eastAsia="宋体" w:cs="Times New Roman"/>
                <w:color w:val="auto"/>
                <w:sz w:val="21"/>
                <w:szCs w:val="21"/>
                <w:highlight w:val="none"/>
              </w:rPr>
              <w:t>98</w:t>
            </w:r>
          </w:p>
        </w:tc>
        <w:tc>
          <w:tcPr>
            <w:tcW w:w="1133" w:type="dxa"/>
            <w:tcBorders>
              <w:tl2br w:val="nil"/>
              <w:tr2bl w:val="nil"/>
            </w:tcBorders>
            <w:vAlign w:val="center"/>
          </w:tcPr>
          <w:p w14:paraId="1C963C18">
            <w:pPr>
              <w:pStyle w:val="236"/>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rPr>
                <w:rFonts w:ascii="Times New Roman" w:hAnsi="Times New Roman" w:eastAsia="宋体" w:cs="Times New Roman"/>
                <w:color w:val="auto"/>
                <w:sz w:val="21"/>
                <w:szCs w:val="21"/>
                <w:highlight w:val="none"/>
              </w:rPr>
            </w:pPr>
            <w:r>
              <w:rPr>
                <w:rFonts w:ascii="Times New Roman" w:hAnsi="Times New Roman" w:eastAsia="宋体" w:cs="Times New Roman"/>
                <w:color w:val="auto"/>
                <w:spacing w:val="3"/>
                <w:sz w:val="21"/>
                <w:szCs w:val="21"/>
                <w:highlight w:val="none"/>
              </w:rPr>
              <w:t>0.05</w:t>
            </w:r>
          </w:p>
        </w:tc>
        <w:tc>
          <w:tcPr>
            <w:tcW w:w="1131" w:type="dxa"/>
            <w:tcBorders>
              <w:tl2br w:val="nil"/>
              <w:tr2bl w:val="nil"/>
            </w:tcBorders>
            <w:vAlign w:val="center"/>
          </w:tcPr>
          <w:p w14:paraId="19878843">
            <w:pPr>
              <w:pStyle w:val="236"/>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rPr>
                <w:rFonts w:ascii="Times New Roman" w:hAnsi="Times New Roman" w:eastAsia="宋体" w:cs="Times New Roman"/>
                <w:color w:val="auto"/>
                <w:sz w:val="21"/>
                <w:szCs w:val="21"/>
                <w:highlight w:val="none"/>
              </w:rPr>
            </w:pPr>
            <w:r>
              <w:rPr>
                <w:rFonts w:ascii="Times New Roman" w:hAnsi="Times New Roman" w:eastAsia="宋体" w:cs="Times New Roman"/>
                <w:color w:val="auto"/>
                <w:spacing w:val="3"/>
                <w:sz w:val="21"/>
                <w:szCs w:val="21"/>
                <w:highlight w:val="none"/>
              </w:rPr>
              <w:t>0.0008</w:t>
            </w:r>
          </w:p>
        </w:tc>
        <w:tc>
          <w:tcPr>
            <w:tcW w:w="1136" w:type="dxa"/>
            <w:tcBorders>
              <w:tl2br w:val="nil"/>
              <w:tr2bl w:val="nil"/>
            </w:tcBorders>
            <w:vAlign w:val="center"/>
          </w:tcPr>
          <w:p w14:paraId="1BE49725">
            <w:pPr>
              <w:pStyle w:val="236"/>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rPr>
                <w:rFonts w:ascii="Times New Roman" w:hAnsi="Times New Roman" w:eastAsia="宋体" w:cs="Times New Roman"/>
                <w:color w:val="auto"/>
                <w:sz w:val="21"/>
                <w:szCs w:val="21"/>
                <w:highlight w:val="none"/>
              </w:rPr>
            </w:pPr>
            <w:r>
              <w:rPr>
                <w:rFonts w:ascii="Times New Roman" w:hAnsi="Times New Roman" w:eastAsia="宋体" w:cs="Times New Roman"/>
                <w:color w:val="auto"/>
                <w:spacing w:val="2"/>
                <w:sz w:val="21"/>
                <w:szCs w:val="21"/>
                <w:highlight w:val="none"/>
              </w:rPr>
              <w:t>0.0064</w:t>
            </w:r>
          </w:p>
        </w:tc>
        <w:tc>
          <w:tcPr>
            <w:tcW w:w="680" w:type="dxa"/>
            <w:vMerge w:val="restart"/>
            <w:tcBorders>
              <w:tl2br w:val="nil"/>
              <w:tr2bl w:val="nil"/>
            </w:tcBorders>
            <w:vAlign w:val="center"/>
          </w:tcPr>
          <w:p w14:paraId="4132D870">
            <w:pPr>
              <w:pStyle w:val="236"/>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rPr>
                <w:rFonts w:ascii="Times New Roman" w:hAnsi="Times New Roman" w:eastAsia="宋体" w:cs="Times New Roman"/>
                <w:color w:val="auto"/>
                <w:sz w:val="21"/>
                <w:szCs w:val="21"/>
                <w:highlight w:val="none"/>
              </w:rPr>
            </w:pPr>
            <w:r>
              <w:rPr>
                <w:rFonts w:ascii="Times New Roman" w:hAnsi="Times New Roman" w:eastAsia="宋体" w:cs="Times New Roman"/>
                <w:color w:val="auto"/>
                <w:spacing w:val="2"/>
                <w:sz w:val="21"/>
                <w:szCs w:val="21"/>
                <w:highlight w:val="none"/>
              </w:rPr>
              <w:t>20</w:t>
            </w:r>
          </w:p>
        </w:tc>
      </w:tr>
      <w:tr w14:paraId="2C442231">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940" w:type="dxa"/>
            <w:vMerge w:val="continue"/>
            <w:tcBorders>
              <w:tl2br w:val="nil"/>
              <w:tr2bl w:val="nil"/>
            </w:tcBorders>
            <w:vAlign w:val="center"/>
          </w:tcPr>
          <w:p w14:paraId="19FAB9B5">
            <w:pPr>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rPr>
                <w:rFonts w:ascii="Times New Roman" w:hAnsi="Times New Roman" w:cs="Times New Roman"/>
                <w:color w:val="auto"/>
                <w:sz w:val="21"/>
                <w:szCs w:val="21"/>
                <w:highlight w:val="none"/>
                <w:lang w:eastAsia="en-US"/>
              </w:rPr>
            </w:pPr>
          </w:p>
        </w:tc>
        <w:tc>
          <w:tcPr>
            <w:tcW w:w="825" w:type="dxa"/>
            <w:vMerge w:val="continue"/>
            <w:tcBorders>
              <w:tl2br w:val="nil"/>
              <w:tr2bl w:val="nil"/>
            </w:tcBorders>
            <w:vAlign w:val="center"/>
          </w:tcPr>
          <w:p w14:paraId="0C18CDFE">
            <w:pPr>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rPr>
                <w:rFonts w:ascii="Times New Roman" w:hAnsi="Times New Roman" w:cs="Times New Roman"/>
                <w:color w:val="auto"/>
                <w:sz w:val="21"/>
                <w:szCs w:val="21"/>
                <w:highlight w:val="none"/>
                <w:lang w:eastAsia="en-US"/>
              </w:rPr>
            </w:pPr>
          </w:p>
        </w:tc>
        <w:tc>
          <w:tcPr>
            <w:tcW w:w="855" w:type="dxa"/>
            <w:vMerge w:val="continue"/>
            <w:tcBorders>
              <w:tl2br w:val="nil"/>
              <w:tr2bl w:val="nil"/>
            </w:tcBorders>
            <w:vAlign w:val="center"/>
          </w:tcPr>
          <w:p w14:paraId="02AC4B30">
            <w:pPr>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rPr>
                <w:rFonts w:ascii="Times New Roman" w:hAnsi="Times New Roman" w:cs="Times New Roman"/>
                <w:color w:val="auto"/>
                <w:sz w:val="21"/>
                <w:szCs w:val="21"/>
                <w:highlight w:val="none"/>
                <w:lang w:eastAsia="en-US"/>
              </w:rPr>
            </w:pPr>
          </w:p>
        </w:tc>
        <w:tc>
          <w:tcPr>
            <w:tcW w:w="1590" w:type="dxa"/>
            <w:tcBorders>
              <w:tl2br w:val="nil"/>
              <w:tr2bl w:val="nil"/>
            </w:tcBorders>
            <w:vAlign w:val="center"/>
          </w:tcPr>
          <w:p w14:paraId="1D0F4543">
            <w:pPr>
              <w:pStyle w:val="236"/>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rPr>
                <w:rFonts w:ascii="Times New Roman" w:hAnsi="Times New Roman" w:eastAsia="宋体" w:cs="Times New Roman"/>
                <w:color w:val="auto"/>
                <w:sz w:val="21"/>
                <w:szCs w:val="21"/>
                <w:highlight w:val="none"/>
              </w:rPr>
            </w:pPr>
            <w:r>
              <w:rPr>
                <w:rFonts w:ascii="Times New Roman" w:hAnsi="Times New Roman" w:eastAsia="宋体" w:cs="Times New Roman"/>
                <w:color w:val="auto"/>
                <w:spacing w:val="2"/>
                <w:sz w:val="21"/>
                <w:szCs w:val="21"/>
                <w:highlight w:val="none"/>
              </w:rPr>
              <w:t>2-乙二醇单</w:t>
            </w:r>
            <w:r>
              <w:rPr>
                <w:rFonts w:ascii="Times New Roman" w:hAnsi="Times New Roman" w:eastAsia="宋体" w:cs="Times New Roman"/>
                <w:color w:val="auto"/>
                <w:spacing w:val="4"/>
                <w:sz w:val="21"/>
                <w:szCs w:val="21"/>
                <w:highlight w:val="none"/>
              </w:rPr>
              <w:t>乙醚醋酸酯</w:t>
            </w:r>
          </w:p>
        </w:tc>
        <w:tc>
          <w:tcPr>
            <w:tcW w:w="1065" w:type="dxa"/>
            <w:tcBorders>
              <w:tl2br w:val="nil"/>
              <w:tr2bl w:val="nil"/>
            </w:tcBorders>
            <w:vAlign w:val="center"/>
          </w:tcPr>
          <w:p w14:paraId="6B5CA397">
            <w:pPr>
              <w:pStyle w:val="236"/>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rPr>
                <w:rFonts w:ascii="Times New Roman" w:hAnsi="Times New Roman" w:eastAsia="宋体" w:cs="Times New Roman"/>
                <w:color w:val="auto"/>
                <w:sz w:val="21"/>
                <w:szCs w:val="21"/>
                <w:highlight w:val="none"/>
              </w:rPr>
            </w:pPr>
            <w:r>
              <w:rPr>
                <w:rFonts w:ascii="Times New Roman" w:hAnsi="Times New Roman" w:eastAsia="宋体" w:cs="Times New Roman"/>
                <w:color w:val="auto"/>
                <w:spacing w:val="2"/>
                <w:sz w:val="21"/>
                <w:szCs w:val="21"/>
                <w:highlight w:val="none"/>
              </w:rPr>
              <w:t>0.22</w:t>
            </w:r>
          </w:p>
        </w:tc>
        <w:tc>
          <w:tcPr>
            <w:tcW w:w="1125" w:type="dxa"/>
            <w:tcBorders>
              <w:tl2br w:val="nil"/>
              <w:tr2bl w:val="nil"/>
            </w:tcBorders>
            <w:vAlign w:val="center"/>
          </w:tcPr>
          <w:p w14:paraId="7A9B4E01">
            <w:pPr>
              <w:pStyle w:val="236"/>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rPr>
                <w:rFonts w:ascii="Times New Roman" w:hAnsi="Times New Roman" w:eastAsia="宋体" w:cs="Times New Roman"/>
                <w:color w:val="auto"/>
                <w:sz w:val="21"/>
                <w:szCs w:val="21"/>
                <w:highlight w:val="none"/>
              </w:rPr>
            </w:pPr>
            <w:r>
              <w:rPr>
                <w:rFonts w:ascii="Times New Roman" w:hAnsi="Times New Roman" w:eastAsia="宋体" w:cs="Times New Roman"/>
                <w:color w:val="auto"/>
                <w:spacing w:val="3"/>
                <w:sz w:val="21"/>
                <w:szCs w:val="21"/>
                <w:highlight w:val="none"/>
              </w:rPr>
              <w:t>0.0033</w:t>
            </w:r>
          </w:p>
        </w:tc>
        <w:tc>
          <w:tcPr>
            <w:tcW w:w="1065" w:type="dxa"/>
            <w:tcBorders>
              <w:tl2br w:val="nil"/>
              <w:tr2bl w:val="nil"/>
            </w:tcBorders>
            <w:vAlign w:val="center"/>
          </w:tcPr>
          <w:p w14:paraId="0DE8BF28">
            <w:pPr>
              <w:pStyle w:val="236"/>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rPr>
                <w:rFonts w:ascii="Times New Roman" w:hAnsi="Times New Roman" w:eastAsia="宋体" w:cs="Times New Roman"/>
                <w:color w:val="auto"/>
                <w:sz w:val="21"/>
                <w:szCs w:val="21"/>
                <w:highlight w:val="none"/>
              </w:rPr>
            </w:pPr>
            <w:r>
              <w:rPr>
                <w:rFonts w:ascii="Times New Roman" w:hAnsi="Times New Roman" w:eastAsia="宋体" w:cs="Times New Roman"/>
                <w:color w:val="auto"/>
                <w:spacing w:val="3"/>
                <w:sz w:val="21"/>
                <w:szCs w:val="21"/>
                <w:highlight w:val="none"/>
              </w:rPr>
              <w:t>0.0280</w:t>
            </w:r>
          </w:p>
        </w:tc>
        <w:tc>
          <w:tcPr>
            <w:tcW w:w="1717" w:type="dxa"/>
            <w:vMerge w:val="continue"/>
            <w:tcBorders>
              <w:tl2br w:val="nil"/>
              <w:tr2bl w:val="nil"/>
            </w:tcBorders>
            <w:vAlign w:val="center"/>
          </w:tcPr>
          <w:p w14:paraId="3E677A55">
            <w:pPr>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rPr>
                <w:rFonts w:ascii="Times New Roman" w:hAnsi="Times New Roman" w:cs="Times New Roman"/>
                <w:color w:val="auto"/>
                <w:sz w:val="21"/>
                <w:szCs w:val="21"/>
                <w:highlight w:val="none"/>
                <w:lang w:eastAsia="en-US"/>
              </w:rPr>
            </w:pPr>
          </w:p>
        </w:tc>
        <w:tc>
          <w:tcPr>
            <w:tcW w:w="696" w:type="dxa"/>
            <w:tcBorders>
              <w:tl2br w:val="nil"/>
              <w:tr2bl w:val="nil"/>
            </w:tcBorders>
            <w:vAlign w:val="center"/>
          </w:tcPr>
          <w:p w14:paraId="43771721">
            <w:pPr>
              <w:pStyle w:val="236"/>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rPr>
                <w:rFonts w:ascii="Times New Roman" w:hAnsi="Times New Roman" w:eastAsia="宋体" w:cs="Times New Roman"/>
                <w:color w:val="auto"/>
                <w:sz w:val="21"/>
                <w:szCs w:val="21"/>
                <w:highlight w:val="none"/>
              </w:rPr>
            </w:pPr>
            <w:r>
              <w:rPr>
                <w:rFonts w:ascii="Times New Roman" w:hAnsi="Times New Roman" w:eastAsia="宋体" w:cs="Times New Roman"/>
                <w:color w:val="auto"/>
                <w:sz w:val="21"/>
                <w:szCs w:val="21"/>
                <w:highlight w:val="none"/>
              </w:rPr>
              <w:t>50</w:t>
            </w:r>
          </w:p>
        </w:tc>
        <w:tc>
          <w:tcPr>
            <w:tcW w:w="1133" w:type="dxa"/>
            <w:tcBorders>
              <w:tl2br w:val="nil"/>
              <w:tr2bl w:val="nil"/>
            </w:tcBorders>
            <w:vAlign w:val="center"/>
          </w:tcPr>
          <w:p w14:paraId="2C3F8EFF">
            <w:pPr>
              <w:pStyle w:val="236"/>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rPr>
                <w:rFonts w:ascii="Times New Roman" w:hAnsi="Times New Roman" w:eastAsia="宋体" w:cs="Times New Roman"/>
                <w:color w:val="auto"/>
                <w:sz w:val="21"/>
                <w:szCs w:val="21"/>
                <w:highlight w:val="none"/>
              </w:rPr>
            </w:pPr>
            <w:r>
              <w:rPr>
                <w:rFonts w:ascii="Times New Roman" w:hAnsi="Times New Roman" w:eastAsia="宋体" w:cs="Times New Roman"/>
                <w:color w:val="auto"/>
                <w:spacing w:val="-3"/>
                <w:sz w:val="21"/>
                <w:szCs w:val="21"/>
                <w:highlight w:val="none"/>
              </w:rPr>
              <w:t>0.11</w:t>
            </w:r>
          </w:p>
        </w:tc>
        <w:tc>
          <w:tcPr>
            <w:tcW w:w="1131" w:type="dxa"/>
            <w:tcBorders>
              <w:tl2br w:val="nil"/>
              <w:tr2bl w:val="nil"/>
            </w:tcBorders>
            <w:vAlign w:val="center"/>
          </w:tcPr>
          <w:p w14:paraId="4B78B4CD">
            <w:pPr>
              <w:pStyle w:val="236"/>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rPr>
                <w:rFonts w:ascii="Times New Roman" w:hAnsi="Times New Roman" w:eastAsia="宋体" w:cs="Times New Roman"/>
                <w:color w:val="auto"/>
                <w:sz w:val="21"/>
                <w:szCs w:val="21"/>
                <w:highlight w:val="none"/>
              </w:rPr>
            </w:pPr>
            <w:r>
              <w:rPr>
                <w:rFonts w:ascii="Times New Roman" w:hAnsi="Times New Roman" w:eastAsia="宋体" w:cs="Times New Roman"/>
                <w:color w:val="auto"/>
                <w:spacing w:val="3"/>
                <w:sz w:val="21"/>
                <w:szCs w:val="21"/>
                <w:highlight w:val="none"/>
              </w:rPr>
              <w:t>0.0017</w:t>
            </w:r>
          </w:p>
        </w:tc>
        <w:tc>
          <w:tcPr>
            <w:tcW w:w="1136" w:type="dxa"/>
            <w:tcBorders>
              <w:tl2br w:val="nil"/>
              <w:tr2bl w:val="nil"/>
            </w:tcBorders>
            <w:vAlign w:val="center"/>
          </w:tcPr>
          <w:p w14:paraId="2AD87C0A">
            <w:pPr>
              <w:pStyle w:val="236"/>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rPr>
                <w:rFonts w:ascii="Times New Roman" w:hAnsi="Times New Roman" w:eastAsia="宋体" w:cs="Times New Roman"/>
                <w:color w:val="auto"/>
                <w:sz w:val="21"/>
                <w:szCs w:val="21"/>
                <w:highlight w:val="none"/>
              </w:rPr>
            </w:pPr>
            <w:r>
              <w:rPr>
                <w:rFonts w:ascii="Times New Roman" w:hAnsi="Times New Roman" w:eastAsia="宋体" w:cs="Times New Roman"/>
                <w:color w:val="auto"/>
                <w:spacing w:val="3"/>
                <w:sz w:val="21"/>
                <w:szCs w:val="21"/>
                <w:highlight w:val="none"/>
              </w:rPr>
              <w:t>0.0140</w:t>
            </w:r>
          </w:p>
        </w:tc>
        <w:tc>
          <w:tcPr>
            <w:tcW w:w="680" w:type="dxa"/>
            <w:vMerge w:val="continue"/>
            <w:tcBorders>
              <w:tl2br w:val="nil"/>
              <w:tr2bl w:val="nil"/>
            </w:tcBorders>
            <w:vAlign w:val="center"/>
          </w:tcPr>
          <w:p w14:paraId="170F3A44">
            <w:pPr>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rPr>
                <w:rFonts w:ascii="Times New Roman" w:hAnsi="Times New Roman" w:cs="Times New Roman"/>
                <w:color w:val="auto"/>
                <w:sz w:val="21"/>
                <w:szCs w:val="21"/>
                <w:highlight w:val="none"/>
                <w:lang w:eastAsia="en-US"/>
              </w:rPr>
            </w:pPr>
          </w:p>
        </w:tc>
      </w:tr>
      <w:tr w14:paraId="295B1B9A">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940" w:type="dxa"/>
            <w:vMerge w:val="continue"/>
            <w:tcBorders>
              <w:tl2br w:val="nil"/>
              <w:tr2bl w:val="nil"/>
            </w:tcBorders>
            <w:vAlign w:val="center"/>
          </w:tcPr>
          <w:p w14:paraId="07A9E597">
            <w:pPr>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rPr>
                <w:rFonts w:ascii="Times New Roman" w:hAnsi="Times New Roman" w:cs="Times New Roman"/>
                <w:color w:val="auto"/>
                <w:sz w:val="21"/>
                <w:szCs w:val="21"/>
                <w:highlight w:val="none"/>
                <w:lang w:eastAsia="en-US"/>
              </w:rPr>
            </w:pPr>
          </w:p>
        </w:tc>
        <w:tc>
          <w:tcPr>
            <w:tcW w:w="825" w:type="dxa"/>
            <w:vMerge w:val="continue"/>
            <w:tcBorders>
              <w:tl2br w:val="nil"/>
              <w:tr2bl w:val="nil"/>
            </w:tcBorders>
            <w:vAlign w:val="center"/>
          </w:tcPr>
          <w:p w14:paraId="052ED012">
            <w:pPr>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rPr>
                <w:rFonts w:ascii="Times New Roman" w:hAnsi="Times New Roman" w:cs="Times New Roman"/>
                <w:color w:val="auto"/>
                <w:sz w:val="21"/>
                <w:szCs w:val="21"/>
                <w:highlight w:val="none"/>
                <w:lang w:eastAsia="en-US"/>
              </w:rPr>
            </w:pPr>
          </w:p>
        </w:tc>
        <w:tc>
          <w:tcPr>
            <w:tcW w:w="855" w:type="dxa"/>
            <w:vMerge w:val="continue"/>
            <w:tcBorders>
              <w:tl2br w:val="nil"/>
              <w:tr2bl w:val="nil"/>
            </w:tcBorders>
            <w:vAlign w:val="center"/>
          </w:tcPr>
          <w:p w14:paraId="19412D65">
            <w:pPr>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rPr>
                <w:rFonts w:ascii="Times New Roman" w:hAnsi="Times New Roman" w:cs="Times New Roman"/>
                <w:color w:val="auto"/>
                <w:sz w:val="21"/>
                <w:szCs w:val="21"/>
                <w:highlight w:val="none"/>
                <w:lang w:eastAsia="en-US"/>
              </w:rPr>
            </w:pPr>
          </w:p>
        </w:tc>
        <w:tc>
          <w:tcPr>
            <w:tcW w:w="1590" w:type="dxa"/>
            <w:tcBorders>
              <w:tl2br w:val="nil"/>
              <w:tr2bl w:val="nil"/>
            </w:tcBorders>
            <w:vAlign w:val="center"/>
          </w:tcPr>
          <w:p w14:paraId="48EE27ED">
            <w:pPr>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rPr>
                <w:rFonts w:ascii="Times New Roman" w:hAnsi="Times New Roman" w:cs="Times New Roman"/>
                <w:color w:val="auto"/>
                <w:sz w:val="21"/>
                <w:szCs w:val="21"/>
                <w:highlight w:val="none"/>
                <w:lang w:eastAsia="en-US"/>
              </w:rPr>
            </w:pPr>
            <w:r>
              <w:rPr>
                <w:rFonts w:ascii="Times New Roman" w:hAnsi="Times New Roman" w:cs="Times New Roman"/>
                <w:color w:val="auto"/>
                <w:spacing w:val="7"/>
                <w:sz w:val="21"/>
                <w:szCs w:val="21"/>
                <w:highlight w:val="none"/>
                <w:lang w:eastAsia="en-US"/>
              </w:rPr>
              <w:t>非甲烷总烃</w:t>
            </w:r>
          </w:p>
        </w:tc>
        <w:tc>
          <w:tcPr>
            <w:tcW w:w="1065" w:type="dxa"/>
            <w:tcBorders>
              <w:tl2br w:val="nil"/>
              <w:tr2bl w:val="nil"/>
            </w:tcBorders>
            <w:vAlign w:val="center"/>
          </w:tcPr>
          <w:p w14:paraId="6DC5BC04">
            <w:pPr>
              <w:pStyle w:val="236"/>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rPr>
                <w:rFonts w:ascii="Times New Roman" w:hAnsi="Times New Roman" w:eastAsia="宋体" w:cs="Times New Roman"/>
                <w:color w:val="auto"/>
                <w:sz w:val="21"/>
                <w:szCs w:val="21"/>
                <w:highlight w:val="none"/>
              </w:rPr>
            </w:pPr>
            <w:r>
              <w:rPr>
                <w:rFonts w:ascii="Times New Roman" w:hAnsi="Times New Roman" w:eastAsia="宋体" w:cs="Times New Roman"/>
                <w:color w:val="auto"/>
                <w:spacing w:val="2"/>
                <w:sz w:val="21"/>
                <w:szCs w:val="21"/>
                <w:highlight w:val="none"/>
              </w:rPr>
              <w:t>0.39</w:t>
            </w:r>
          </w:p>
        </w:tc>
        <w:tc>
          <w:tcPr>
            <w:tcW w:w="1125" w:type="dxa"/>
            <w:tcBorders>
              <w:tl2br w:val="nil"/>
              <w:tr2bl w:val="nil"/>
            </w:tcBorders>
            <w:vAlign w:val="center"/>
          </w:tcPr>
          <w:p w14:paraId="4AA28132">
            <w:pPr>
              <w:pStyle w:val="236"/>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rPr>
                <w:rFonts w:ascii="Times New Roman" w:hAnsi="Times New Roman" w:eastAsia="宋体" w:cs="Times New Roman"/>
                <w:color w:val="auto"/>
                <w:sz w:val="21"/>
                <w:szCs w:val="21"/>
                <w:highlight w:val="none"/>
              </w:rPr>
            </w:pPr>
            <w:r>
              <w:rPr>
                <w:rFonts w:ascii="Times New Roman" w:hAnsi="Times New Roman" w:eastAsia="宋体" w:cs="Times New Roman"/>
                <w:color w:val="auto"/>
                <w:spacing w:val="3"/>
                <w:sz w:val="21"/>
                <w:szCs w:val="21"/>
                <w:highlight w:val="none"/>
              </w:rPr>
              <w:t>0.0058</w:t>
            </w:r>
          </w:p>
        </w:tc>
        <w:tc>
          <w:tcPr>
            <w:tcW w:w="1065" w:type="dxa"/>
            <w:tcBorders>
              <w:tl2br w:val="nil"/>
              <w:tr2bl w:val="nil"/>
            </w:tcBorders>
            <w:vAlign w:val="center"/>
          </w:tcPr>
          <w:p w14:paraId="5B8A9948">
            <w:pPr>
              <w:pStyle w:val="236"/>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rPr>
                <w:rFonts w:ascii="Times New Roman" w:hAnsi="Times New Roman" w:eastAsia="宋体" w:cs="Times New Roman"/>
                <w:color w:val="auto"/>
                <w:sz w:val="21"/>
                <w:szCs w:val="21"/>
                <w:highlight w:val="none"/>
              </w:rPr>
            </w:pPr>
            <w:r>
              <w:rPr>
                <w:rFonts w:ascii="Times New Roman" w:hAnsi="Times New Roman" w:eastAsia="宋体" w:cs="Times New Roman"/>
                <w:color w:val="auto"/>
                <w:spacing w:val="3"/>
                <w:sz w:val="21"/>
                <w:szCs w:val="21"/>
                <w:highlight w:val="none"/>
              </w:rPr>
              <w:t>0.0491</w:t>
            </w:r>
          </w:p>
        </w:tc>
        <w:tc>
          <w:tcPr>
            <w:tcW w:w="1717" w:type="dxa"/>
            <w:vMerge w:val="continue"/>
            <w:tcBorders>
              <w:tl2br w:val="nil"/>
              <w:tr2bl w:val="nil"/>
            </w:tcBorders>
            <w:vAlign w:val="center"/>
          </w:tcPr>
          <w:p w14:paraId="2C9AB35D">
            <w:pPr>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rPr>
                <w:rFonts w:ascii="Times New Roman" w:hAnsi="Times New Roman" w:cs="Times New Roman"/>
                <w:color w:val="auto"/>
                <w:sz w:val="21"/>
                <w:szCs w:val="21"/>
                <w:highlight w:val="none"/>
                <w:lang w:eastAsia="en-US"/>
              </w:rPr>
            </w:pPr>
          </w:p>
        </w:tc>
        <w:tc>
          <w:tcPr>
            <w:tcW w:w="696" w:type="dxa"/>
            <w:tcBorders>
              <w:tl2br w:val="nil"/>
              <w:tr2bl w:val="nil"/>
            </w:tcBorders>
            <w:vAlign w:val="center"/>
          </w:tcPr>
          <w:p w14:paraId="67C2BE6D">
            <w:pPr>
              <w:pStyle w:val="236"/>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rPr>
                <w:rFonts w:ascii="Times New Roman" w:hAnsi="Times New Roman" w:eastAsia="宋体" w:cs="Times New Roman"/>
                <w:color w:val="auto"/>
                <w:sz w:val="21"/>
                <w:szCs w:val="21"/>
                <w:highlight w:val="none"/>
              </w:rPr>
            </w:pPr>
            <w:r>
              <w:rPr>
                <w:rFonts w:ascii="Times New Roman" w:hAnsi="Times New Roman" w:eastAsia="宋体" w:cs="Times New Roman"/>
                <w:color w:val="auto"/>
                <w:sz w:val="21"/>
                <w:szCs w:val="21"/>
                <w:highlight w:val="none"/>
              </w:rPr>
              <w:t>50</w:t>
            </w:r>
          </w:p>
        </w:tc>
        <w:tc>
          <w:tcPr>
            <w:tcW w:w="1133" w:type="dxa"/>
            <w:tcBorders>
              <w:tl2br w:val="nil"/>
              <w:tr2bl w:val="nil"/>
            </w:tcBorders>
            <w:vAlign w:val="center"/>
          </w:tcPr>
          <w:p w14:paraId="436AF3D3">
            <w:pPr>
              <w:pStyle w:val="236"/>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rPr>
                <w:rFonts w:ascii="Times New Roman" w:hAnsi="Times New Roman" w:eastAsia="宋体" w:cs="Times New Roman"/>
                <w:color w:val="auto"/>
                <w:sz w:val="21"/>
                <w:szCs w:val="21"/>
                <w:highlight w:val="none"/>
              </w:rPr>
            </w:pPr>
            <w:r>
              <w:rPr>
                <w:rFonts w:ascii="Times New Roman" w:hAnsi="Times New Roman" w:eastAsia="宋体" w:cs="Times New Roman"/>
                <w:color w:val="auto"/>
                <w:spacing w:val="3"/>
                <w:sz w:val="21"/>
                <w:szCs w:val="21"/>
                <w:highlight w:val="none"/>
              </w:rPr>
              <w:t>0.20</w:t>
            </w:r>
          </w:p>
        </w:tc>
        <w:tc>
          <w:tcPr>
            <w:tcW w:w="1131" w:type="dxa"/>
            <w:tcBorders>
              <w:tl2br w:val="nil"/>
              <w:tr2bl w:val="nil"/>
            </w:tcBorders>
            <w:vAlign w:val="center"/>
          </w:tcPr>
          <w:p w14:paraId="0C0FD952">
            <w:pPr>
              <w:pStyle w:val="236"/>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rPr>
                <w:rFonts w:ascii="Times New Roman" w:hAnsi="Times New Roman" w:eastAsia="宋体" w:cs="Times New Roman"/>
                <w:color w:val="auto"/>
                <w:sz w:val="21"/>
                <w:szCs w:val="21"/>
                <w:highlight w:val="none"/>
              </w:rPr>
            </w:pPr>
            <w:r>
              <w:rPr>
                <w:rFonts w:ascii="Times New Roman" w:hAnsi="Times New Roman" w:eastAsia="宋体" w:cs="Times New Roman"/>
                <w:color w:val="auto"/>
                <w:spacing w:val="3"/>
                <w:sz w:val="21"/>
                <w:szCs w:val="21"/>
                <w:highlight w:val="none"/>
              </w:rPr>
              <w:t>0.0029</w:t>
            </w:r>
          </w:p>
        </w:tc>
        <w:tc>
          <w:tcPr>
            <w:tcW w:w="1136" w:type="dxa"/>
            <w:tcBorders>
              <w:tl2br w:val="nil"/>
              <w:tr2bl w:val="nil"/>
            </w:tcBorders>
            <w:vAlign w:val="center"/>
          </w:tcPr>
          <w:p w14:paraId="110943F4">
            <w:pPr>
              <w:pStyle w:val="236"/>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rPr>
                <w:rFonts w:ascii="Times New Roman" w:hAnsi="Times New Roman" w:eastAsia="宋体" w:cs="Times New Roman"/>
                <w:color w:val="auto"/>
                <w:sz w:val="21"/>
                <w:szCs w:val="21"/>
                <w:highlight w:val="none"/>
              </w:rPr>
            </w:pPr>
            <w:r>
              <w:rPr>
                <w:rFonts w:ascii="Times New Roman" w:hAnsi="Times New Roman" w:eastAsia="宋体" w:cs="Times New Roman"/>
                <w:color w:val="auto"/>
                <w:spacing w:val="3"/>
                <w:sz w:val="21"/>
                <w:szCs w:val="21"/>
                <w:highlight w:val="none"/>
              </w:rPr>
              <w:t>0.0246</w:t>
            </w:r>
          </w:p>
        </w:tc>
        <w:tc>
          <w:tcPr>
            <w:tcW w:w="680" w:type="dxa"/>
            <w:vMerge w:val="continue"/>
            <w:tcBorders>
              <w:tl2br w:val="nil"/>
              <w:tr2bl w:val="nil"/>
            </w:tcBorders>
            <w:vAlign w:val="center"/>
          </w:tcPr>
          <w:p w14:paraId="1D68E2C4">
            <w:pPr>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rPr>
                <w:rFonts w:ascii="Times New Roman" w:hAnsi="Times New Roman" w:cs="Times New Roman"/>
                <w:color w:val="auto"/>
                <w:sz w:val="21"/>
                <w:szCs w:val="21"/>
                <w:highlight w:val="none"/>
                <w:lang w:eastAsia="en-US"/>
              </w:rPr>
            </w:pPr>
          </w:p>
        </w:tc>
      </w:tr>
      <w:tr w14:paraId="007B0B95">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940" w:type="dxa"/>
            <w:vMerge w:val="continue"/>
            <w:tcBorders>
              <w:tl2br w:val="nil"/>
              <w:tr2bl w:val="nil"/>
            </w:tcBorders>
            <w:vAlign w:val="center"/>
          </w:tcPr>
          <w:p w14:paraId="4C660CFD">
            <w:pPr>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rPr>
                <w:rFonts w:ascii="Times New Roman" w:hAnsi="Times New Roman" w:cs="Times New Roman"/>
                <w:color w:val="auto"/>
                <w:sz w:val="21"/>
                <w:szCs w:val="21"/>
                <w:highlight w:val="none"/>
                <w:lang w:eastAsia="en-US"/>
              </w:rPr>
            </w:pPr>
          </w:p>
        </w:tc>
        <w:tc>
          <w:tcPr>
            <w:tcW w:w="825" w:type="dxa"/>
            <w:vMerge w:val="continue"/>
            <w:tcBorders>
              <w:tl2br w:val="nil"/>
              <w:tr2bl w:val="nil"/>
            </w:tcBorders>
            <w:vAlign w:val="center"/>
          </w:tcPr>
          <w:p w14:paraId="751FCD1F">
            <w:pPr>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rPr>
                <w:rFonts w:ascii="Times New Roman" w:hAnsi="Times New Roman" w:cs="Times New Roman"/>
                <w:color w:val="auto"/>
                <w:sz w:val="21"/>
                <w:szCs w:val="21"/>
                <w:highlight w:val="none"/>
                <w:lang w:eastAsia="en-US"/>
              </w:rPr>
            </w:pPr>
          </w:p>
        </w:tc>
        <w:tc>
          <w:tcPr>
            <w:tcW w:w="855" w:type="dxa"/>
            <w:vMerge w:val="continue"/>
            <w:tcBorders>
              <w:tl2br w:val="nil"/>
              <w:tr2bl w:val="nil"/>
            </w:tcBorders>
            <w:vAlign w:val="center"/>
          </w:tcPr>
          <w:p w14:paraId="7687E694">
            <w:pPr>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rPr>
                <w:rFonts w:ascii="Times New Roman" w:hAnsi="Times New Roman" w:cs="Times New Roman"/>
                <w:color w:val="auto"/>
                <w:sz w:val="21"/>
                <w:szCs w:val="21"/>
                <w:highlight w:val="none"/>
                <w:lang w:eastAsia="en-US"/>
              </w:rPr>
            </w:pPr>
          </w:p>
        </w:tc>
        <w:tc>
          <w:tcPr>
            <w:tcW w:w="1590" w:type="dxa"/>
            <w:tcBorders>
              <w:tl2br w:val="nil"/>
              <w:tr2bl w:val="nil"/>
            </w:tcBorders>
            <w:vAlign w:val="center"/>
          </w:tcPr>
          <w:p w14:paraId="107C0217">
            <w:pPr>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rPr>
                <w:rFonts w:ascii="Times New Roman" w:hAnsi="Times New Roman" w:cs="Times New Roman"/>
                <w:color w:val="auto"/>
                <w:sz w:val="21"/>
                <w:szCs w:val="21"/>
                <w:highlight w:val="none"/>
                <w:lang w:eastAsia="en-US"/>
              </w:rPr>
            </w:pPr>
            <w:r>
              <w:rPr>
                <w:rFonts w:ascii="Times New Roman" w:hAnsi="Times New Roman" w:cs="Times New Roman"/>
                <w:color w:val="auto"/>
                <w:spacing w:val="6"/>
                <w:sz w:val="21"/>
                <w:szCs w:val="21"/>
                <w:highlight w:val="none"/>
                <w:lang w:eastAsia="en-US"/>
              </w:rPr>
              <w:t>异氰酸酯</w:t>
            </w:r>
          </w:p>
        </w:tc>
        <w:tc>
          <w:tcPr>
            <w:tcW w:w="1065" w:type="dxa"/>
            <w:tcBorders>
              <w:tl2br w:val="nil"/>
              <w:tr2bl w:val="nil"/>
            </w:tcBorders>
            <w:vAlign w:val="center"/>
          </w:tcPr>
          <w:p w14:paraId="6A816E98">
            <w:pPr>
              <w:pStyle w:val="236"/>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rPr>
                <w:rFonts w:ascii="Times New Roman" w:hAnsi="Times New Roman" w:eastAsia="宋体" w:cs="Times New Roman"/>
                <w:color w:val="auto"/>
                <w:sz w:val="21"/>
                <w:szCs w:val="21"/>
                <w:highlight w:val="none"/>
              </w:rPr>
            </w:pPr>
            <w:r>
              <w:rPr>
                <w:rFonts w:ascii="Times New Roman" w:hAnsi="Times New Roman" w:eastAsia="宋体" w:cs="Times New Roman"/>
                <w:color w:val="auto"/>
                <w:spacing w:val="2"/>
                <w:sz w:val="21"/>
                <w:szCs w:val="21"/>
                <w:highlight w:val="none"/>
              </w:rPr>
              <w:t>0.00</w:t>
            </w:r>
          </w:p>
        </w:tc>
        <w:tc>
          <w:tcPr>
            <w:tcW w:w="1125" w:type="dxa"/>
            <w:tcBorders>
              <w:tl2br w:val="nil"/>
              <w:tr2bl w:val="nil"/>
            </w:tcBorders>
            <w:vAlign w:val="center"/>
          </w:tcPr>
          <w:p w14:paraId="2565EAB6">
            <w:pPr>
              <w:pStyle w:val="236"/>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rPr>
                <w:rFonts w:ascii="Times New Roman" w:hAnsi="Times New Roman" w:eastAsia="宋体" w:cs="Times New Roman"/>
                <w:color w:val="auto"/>
                <w:sz w:val="21"/>
                <w:szCs w:val="21"/>
                <w:highlight w:val="none"/>
              </w:rPr>
            </w:pPr>
            <w:r>
              <w:rPr>
                <w:rFonts w:ascii="Times New Roman" w:hAnsi="Times New Roman" w:eastAsia="宋体" w:cs="Times New Roman"/>
                <w:color w:val="auto"/>
                <w:spacing w:val="3"/>
                <w:sz w:val="21"/>
                <w:szCs w:val="21"/>
                <w:highlight w:val="none"/>
              </w:rPr>
              <w:t>0.0000</w:t>
            </w:r>
          </w:p>
        </w:tc>
        <w:tc>
          <w:tcPr>
            <w:tcW w:w="1065" w:type="dxa"/>
            <w:tcBorders>
              <w:tl2br w:val="nil"/>
              <w:tr2bl w:val="nil"/>
            </w:tcBorders>
            <w:vAlign w:val="center"/>
          </w:tcPr>
          <w:p w14:paraId="2EDE246D">
            <w:pPr>
              <w:pStyle w:val="236"/>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rPr>
                <w:rFonts w:ascii="Times New Roman" w:hAnsi="Times New Roman" w:eastAsia="宋体" w:cs="Times New Roman"/>
                <w:color w:val="auto"/>
                <w:sz w:val="21"/>
                <w:szCs w:val="21"/>
                <w:highlight w:val="none"/>
              </w:rPr>
            </w:pPr>
            <w:r>
              <w:rPr>
                <w:rFonts w:ascii="Times New Roman" w:hAnsi="Times New Roman" w:eastAsia="宋体" w:cs="Times New Roman"/>
                <w:color w:val="auto"/>
                <w:spacing w:val="3"/>
                <w:sz w:val="21"/>
                <w:szCs w:val="21"/>
                <w:highlight w:val="none"/>
              </w:rPr>
              <w:t>0.0004</w:t>
            </w:r>
          </w:p>
        </w:tc>
        <w:tc>
          <w:tcPr>
            <w:tcW w:w="1717" w:type="dxa"/>
            <w:vMerge w:val="continue"/>
            <w:tcBorders>
              <w:tl2br w:val="nil"/>
              <w:tr2bl w:val="nil"/>
            </w:tcBorders>
            <w:vAlign w:val="center"/>
          </w:tcPr>
          <w:p w14:paraId="5A9200FA">
            <w:pPr>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rPr>
                <w:rFonts w:ascii="Times New Roman" w:hAnsi="Times New Roman" w:cs="Times New Roman"/>
                <w:color w:val="auto"/>
                <w:sz w:val="21"/>
                <w:szCs w:val="21"/>
                <w:highlight w:val="none"/>
                <w:lang w:eastAsia="en-US"/>
              </w:rPr>
            </w:pPr>
          </w:p>
        </w:tc>
        <w:tc>
          <w:tcPr>
            <w:tcW w:w="696" w:type="dxa"/>
            <w:tcBorders>
              <w:tl2br w:val="nil"/>
              <w:tr2bl w:val="nil"/>
            </w:tcBorders>
            <w:vAlign w:val="center"/>
          </w:tcPr>
          <w:p w14:paraId="273016DF">
            <w:pPr>
              <w:pStyle w:val="236"/>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rPr>
                <w:rFonts w:ascii="Times New Roman" w:hAnsi="Times New Roman" w:eastAsia="宋体" w:cs="Times New Roman"/>
                <w:color w:val="auto"/>
                <w:sz w:val="21"/>
                <w:szCs w:val="21"/>
                <w:highlight w:val="none"/>
              </w:rPr>
            </w:pPr>
            <w:r>
              <w:rPr>
                <w:rFonts w:ascii="Times New Roman" w:hAnsi="Times New Roman" w:eastAsia="宋体" w:cs="Times New Roman"/>
                <w:color w:val="auto"/>
                <w:sz w:val="21"/>
                <w:szCs w:val="21"/>
                <w:highlight w:val="none"/>
              </w:rPr>
              <w:t>50</w:t>
            </w:r>
          </w:p>
        </w:tc>
        <w:tc>
          <w:tcPr>
            <w:tcW w:w="1133" w:type="dxa"/>
            <w:tcBorders>
              <w:tl2br w:val="nil"/>
              <w:tr2bl w:val="nil"/>
            </w:tcBorders>
            <w:vAlign w:val="center"/>
          </w:tcPr>
          <w:p w14:paraId="2FEED0D0">
            <w:pPr>
              <w:pStyle w:val="236"/>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rPr>
                <w:rFonts w:ascii="Times New Roman" w:hAnsi="Times New Roman" w:eastAsia="宋体" w:cs="Times New Roman"/>
                <w:color w:val="auto"/>
                <w:sz w:val="21"/>
                <w:szCs w:val="21"/>
                <w:highlight w:val="none"/>
              </w:rPr>
            </w:pPr>
            <w:r>
              <w:rPr>
                <w:rFonts w:ascii="Times New Roman" w:hAnsi="Times New Roman" w:eastAsia="宋体" w:cs="Times New Roman"/>
                <w:color w:val="auto"/>
                <w:spacing w:val="3"/>
                <w:sz w:val="21"/>
                <w:szCs w:val="21"/>
                <w:highlight w:val="none"/>
              </w:rPr>
              <w:t>0.002</w:t>
            </w:r>
          </w:p>
        </w:tc>
        <w:tc>
          <w:tcPr>
            <w:tcW w:w="1131" w:type="dxa"/>
            <w:tcBorders>
              <w:tl2br w:val="nil"/>
              <w:tr2bl w:val="nil"/>
            </w:tcBorders>
            <w:vAlign w:val="center"/>
          </w:tcPr>
          <w:p w14:paraId="21BB8B2F">
            <w:pPr>
              <w:pStyle w:val="236"/>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rPr>
                <w:rFonts w:ascii="Times New Roman" w:hAnsi="Times New Roman" w:eastAsia="宋体" w:cs="Times New Roman"/>
                <w:color w:val="auto"/>
                <w:sz w:val="21"/>
                <w:szCs w:val="21"/>
                <w:highlight w:val="none"/>
              </w:rPr>
            </w:pPr>
            <w:r>
              <w:rPr>
                <w:rFonts w:ascii="Times New Roman" w:hAnsi="Times New Roman" w:eastAsia="宋体" w:cs="Times New Roman"/>
                <w:color w:val="auto"/>
                <w:spacing w:val="3"/>
                <w:sz w:val="21"/>
                <w:szCs w:val="21"/>
                <w:highlight w:val="none"/>
              </w:rPr>
              <w:t>0.00002</w:t>
            </w:r>
          </w:p>
        </w:tc>
        <w:tc>
          <w:tcPr>
            <w:tcW w:w="1136" w:type="dxa"/>
            <w:tcBorders>
              <w:tl2br w:val="nil"/>
              <w:tr2bl w:val="nil"/>
            </w:tcBorders>
            <w:vAlign w:val="center"/>
          </w:tcPr>
          <w:p w14:paraId="6B2F692E">
            <w:pPr>
              <w:pStyle w:val="236"/>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rPr>
                <w:rFonts w:ascii="Times New Roman" w:hAnsi="Times New Roman" w:eastAsia="宋体" w:cs="Times New Roman"/>
                <w:color w:val="auto"/>
                <w:sz w:val="21"/>
                <w:szCs w:val="21"/>
                <w:highlight w:val="none"/>
              </w:rPr>
            </w:pPr>
            <w:r>
              <w:rPr>
                <w:rFonts w:ascii="Times New Roman" w:hAnsi="Times New Roman" w:eastAsia="宋体" w:cs="Times New Roman"/>
                <w:color w:val="auto"/>
                <w:spacing w:val="2"/>
                <w:sz w:val="21"/>
                <w:szCs w:val="21"/>
                <w:highlight w:val="none"/>
              </w:rPr>
              <w:t>0.0002</w:t>
            </w:r>
          </w:p>
        </w:tc>
        <w:tc>
          <w:tcPr>
            <w:tcW w:w="680" w:type="dxa"/>
            <w:vMerge w:val="continue"/>
            <w:tcBorders>
              <w:tl2br w:val="nil"/>
              <w:tr2bl w:val="nil"/>
            </w:tcBorders>
            <w:vAlign w:val="center"/>
          </w:tcPr>
          <w:p w14:paraId="4794D670">
            <w:pPr>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rPr>
                <w:rFonts w:ascii="Times New Roman" w:hAnsi="Times New Roman" w:cs="Times New Roman"/>
                <w:color w:val="auto"/>
                <w:sz w:val="21"/>
                <w:szCs w:val="21"/>
                <w:highlight w:val="none"/>
                <w:lang w:eastAsia="en-US"/>
              </w:rPr>
            </w:pPr>
          </w:p>
        </w:tc>
      </w:tr>
      <w:tr w14:paraId="0DC7DBD5">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940" w:type="dxa"/>
            <w:vMerge w:val="continue"/>
            <w:tcBorders>
              <w:tl2br w:val="nil"/>
              <w:tr2bl w:val="nil"/>
            </w:tcBorders>
            <w:vAlign w:val="center"/>
          </w:tcPr>
          <w:p w14:paraId="45AC30A5">
            <w:pPr>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rPr>
                <w:rFonts w:ascii="Times New Roman" w:hAnsi="Times New Roman" w:cs="Times New Roman"/>
                <w:color w:val="auto"/>
                <w:sz w:val="21"/>
                <w:szCs w:val="21"/>
                <w:highlight w:val="none"/>
                <w:lang w:eastAsia="en-US"/>
              </w:rPr>
            </w:pPr>
          </w:p>
        </w:tc>
        <w:tc>
          <w:tcPr>
            <w:tcW w:w="825" w:type="dxa"/>
            <w:vMerge w:val="continue"/>
            <w:tcBorders>
              <w:tl2br w:val="nil"/>
              <w:tr2bl w:val="nil"/>
            </w:tcBorders>
            <w:vAlign w:val="center"/>
          </w:tcPr>
          <w:p w14:paraId="6FBA5FDA">
            <w:pPr>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rPr>
                <w:rFonts w:ascii="Times New Roman" w:hAnsi="Times New Roman" w:cs="Times New Roman"/>
                <w:color w:val="auto"/>
                <w:sz w:val="21"/>
                <w:szCs w:val="21"/>
                <w:highlight w:val="none"/>
                <w:lang w:eastAsia="en-US"/>
              </w:rPr>
            </w:pPr>
          </w:p>
        </w:tc>
        <w:tc>
          <w:tcPr>
            <w:tcW w:w="855" w:type="dxa"/>
            <w:vMerge w:val="continue"/>
            <w:tcBorders>
              <w:tl2br w:val="nil"/>
              <w:tr2bl w:val="nil"/>
            </w:tcBorders>
            <w:vAlign w:val="center"/>
          </w:tcPr>
          <w:p w14:paraId="299E4BA6">
            <w:pPr>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rPr>
                <w:rFonts w:ascii="Times New Roman" w:hAnsi="Times New Roman" w:cs="Times New Roman"/>
                <w:color w:val="auto"/>
                <w:sz w:val="21"/>
                <w:szCs w:val="21"/>
                <w:highlight w:val="none"/>
                <w:lang w:eastAsia="en-US"/>
              </w:rPr>
            </w:pPr>
          </w:p>
        </w:tc>
        <w:tc>
          <w:tcPr>
            <w:tcW w:w="1590" w:type="dxa"/>
            <w:tcBorders>
              <w:tl2br w:val="nil"/>
              <w:tr2bl w:val="nil"/>
            </w:tcBorders>
            <w:vAlign w:val="center"/>
          </w:tcPr>
          <w:p w14:paraId="0F373FE8">
            <w:pPr>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rPr>
                <w:rFonts w:ascii="Times New Roman" w:hAnsi="Times New Roman" w:cs="Times New Roman"/>
                <w:color w:val="auto"/>
                <w:sz w:val="21"/>
                <w:szCs w:val="21"/>
                <w:highlight w:val="none"/>
                <w:lang w:eastAsia="en-US"/>
              </w:rPr>
            </w:pPr>
            <w:r>
              <w:rPr>
                <w:rFonts w:ascii="Times New Roman" w:hAnsi="Times New Roman" w:cs="Times New Roman"/>
                <w:color w:val="auto"/>
                <w:spacing w:val="3"/>
                <w:sz w:val="21"/>
                <w:szCs w:val="21"/>
                <w:highlight w:val="none"/>
                <w:lang w:eastAsia="en-US"/>
              </w:rPr>
              <w:t>丁酮</w:t>
            </w:r>
          </w:p>
        </w:tc>
        <w:tc>
          <w:tcPr>
            <w:tcW w:w="1065" w:type="dxa"/>
            <w:tcBorders>
              <w:tl2br w:val="nil"/>
              <w:tr2bl w:val="nil"/>
            </w:tcBorders>
            <w:vAlign w:val="center"/>
          </w:tcPr>
          <w:p w14:paraId="0E485E4F">
            <w:pPr>
              <w:pStyle w:val="236"/>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rPr>
                <w:rFonts w:ascii="Times New Roman" w:hAnsi="Times New Roman" w:eastAsia="宋体" w:cs="Times New Roman"/>
                <w:color w:val="auto"/>
                <w:sz w:val="21"/>
                <w:szCs w:val="21"/>
                <w:highlight w:val="none"/>
              </w:rPr>
            </w:pPr>
            <w:r>
              <w:rPr>
                <w:rFonts w:ascii="Times New Roman" w:hAnsi="Times New Roman" w:eastAsia="宋体" w:cs="Times New Roman"/>
                <w:color w:val="auto"/>
                <w:spacing w:val="3"/>
                <w:sz w:val="21"/>
                <w:szCs w:val="21"/>
                <w:highlight w:val="none"/>
              </w:rPr>
              <w:t>2.75</w:t>
            </w:r>
          </w:p>
        </w:tc>
        <w:tc>
          <w:tcPr>
            <w:tcW w:w="1125" w:type="dxa"/>
            <w:tcBorders>
              <w:tl2br w:val="nil"/>
              <w:tr2bl w:val="nil"/>
            </w:tcBorders>
            <w:vAlign w:val="center"/>
          </w:tcPr>
          <w:p w14:paraId="0BA11D61">
            <w:pPr>
              <w:pStyle w:val="236"/>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rPr>
                <w:rFonts w:ascii="Times New Roman" w:hAnsi="Times New Roman" w:eastAsia="宋体" w:cs="Times New Roman"/>
                <w:color w:val="auto"/>
                <w:sz w:val="21"/>
                <w:szCs w:val="21"/>
                <w:highlight w:val="none"/>
              </w:rPr>
            </w:pPr>
            <w:r>
              <w:rPr>
                <w:rFonts w:ascii="Times New Roman" w:hAnsi="Times New Roman" w:eastAsia="宋体" w:cs="Times New Roman"/>
                <w:color w:val="auto"/>
                <w:spacing w:val="3"/>
                <w:sz w:val="21"/>
                <w:szCs w:val="21"/>
                <w:highlight w:val="none"/>
              </w:rPr>
              <w:t>0.0412</w:t>
            </w:r>
          </w:p>
        </w:tc>
        <w:tc>
          <w:tcPr>
            <w:tcW w:w="1065" w:type="dxa"/>
            <w:tcBorders>
              <w:tl2br w:val="nil"/>
              <w:tr2bl w:val="nil"/>
            </w:tcBorders>
            <w:vAlign w:val="center"/>
          </w:tcPr>
          <w:p w14:paraId="7EF9EA13">
            <w:pPr>
              <w:pStyle w:val="236"/>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rPr>
                <w:rFonts w:ascii="Times New Roman" w:hAnsi="Times New Roman" w:eastAsia="宋体" w:cs="Times New Roman"/>
                <w:color w:val="auto"/>
                <w:sz w:val="21"/>
                <w:szCs w:val="21"/>
                <w:highlight w:val="none"/>
              </w:rPr>
            </w:pPr>
            <w:r>
              <w:rPr>
                <w:rFonts w:ascii="Times New Roman" w:hAnsi="Times New Roman" w:eastAsia="宋体" w:cs="Times New Roman"/>
                <w:color w:val="auto"/>
                <w:spacing w:val="3"/>
                <w:sz w:val="21"/>
                <w:szCs w:val="21"/>
                <w:highlight w:val="none"/>
              </w:rPr>
              <w:t>0.3462</w:t>
            </w:r>
          </w:p>
        </w:tc>
        <w:tc>
          <w:tcPr>
            <w:tcW w:w="1717" w:type="dxa"/>
            <w:vMerge w:val="continue"/>
            <w:tcBorders>
              <w:tl2br w:val="nil"/>
              <w:tr2bl w:val="nil"/>
            </w:tcBorders>
            <w:vAlign w:val="center"/>
          </w:tcPr>
          <w:p w14:paraId="53B34E32">
            <w:pPr>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rPr>
                <w:rFonts w:ascii="Times New Roman" w:hAnsi="Times New Roman" w:cs="Times New Roman"/>
                <w:color w:val="auto"/>
                <w:sz w:val="21"/>
                <w:szCs w:val="21"/>
                <w:highlight w:val="none"/>
                <w:lang w:eastAsia="en-US"/>
              </w:rPr>
            </w:pPr>
          </w:p>
        </w:tc>
        <w:tc>
          <w:tcPr>
            <w:tcW w:w="696" w:type="dxa"/>
            <w:tcBorders>
              <w:tl2br w:val="nil"/>
              <w:tr2bl w:val="nil"/>
            </w:tcBorders>
            <w:vAlign w:val="center"/>
          </w:tcPr>
          <w:p w14:paraId="2C0BCA9C">
            <w:pPr>
              <w:pStyle w:val="236"/>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rPr>
                <w:rFonts w:ascii="Times New Roman" w:hAnsi="Times New Roman" w:eastAsia="宋体" w:cs="Times New Roman"/>
                <w:color w:val="auto"/>
                <w:sz w:val="21"/>
                <w:szCs w:val="21"/>
                <w:highlight w:val="none"/>
              </w:rPr>
            </w:pPr>
            <w:r>
              <w:rPr>
                <w:rFonts w:ascii="Times New Roman" w:hAnsi="Times New Roman" w:eastAsia="宋体" w:cs="Times New Roman"/>
                <w:color w:val="auto"/>
                <w:sz w:val="21"/>
                <w:szCs w:val="21"/>
                <w:highlight w:val="none"/>
              </w:rPr>
              <w:t>94</w:t>
            </w:r>
          </w:p>
        </w:tc>
        <w:tc>
          <w:tcPr>
            <w:tcW w:w="1133" w:type="dxa"/>
            <w:tcBorders>
              <w:tl2br w:val="nil"/>
              <w:tr2bl w:val="nil"/>
            </w:tcBorders>
            <w:vAlign w:val="center"/>
          </w:tcPr>
          <w:p w14:paraId="644C7B99">
            <w:pPr>
              <w:pStyle w:val="236"/>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rPr>
                <w:rFonts w:ascii="Times New Roman" w:hAnsi="Times New Roman" w:eastAsia="宋体" w:cs="Times New Roman"/>
                <w:color w:val="auto"/>
                <w:sz w:val="21"/>
                <w:szCs w:val="21"/>
                <w:highlight w:val="none"/>
              </w:rPr>
            </w:pPr>
            <w:r>
              <w:rPr>
                <w:rFonts w:ascii="Times New Roman" w:hAnsi="Times New Roman" w:eastAsia="宋体" w:cs="Times New Roman"/>
                <w:color w:val="auto"/>
                <w:spacing w:val="3"/>
                <w:sz w:val="21"/>
                <w:szCs w:val="21"/>
                <w:highlight w:val="none"/>
              </w:rPr>
              <w:t>0.17</w:t>
            </w:r>
          </w:p>
        </w:tc>
        <w:tc>
          <w:tcPr>
            <w:tcW w:w="1131" w:type="dxa"/>
            <w:tcBorders>
              <w:tl2br w:val="nil"/>
              <w:tr2bl w:val="nil"/>
            </w:tcBorders>
            <w:vAlign w:val="center"/>
          </w:tcPr>
          <w:p w14:paraId="466809EC">
            <w:pPr>
              <w:pStyle w:val="236"/>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rPr>
                <w:rFonts w:ascii="Times New Roman" w:hAnsi="Times New Roman" w:eastAsia="宋体" w:cs="Times New Roman"/>
                <w:color w:val="auto"/>
                <w:sz w:val="21"/>
                <w:szCs w:val="21"/>
                <w:highlight w:val="none"/>
              </w:rPr>
            </w:pPr>
            <w:r>
              <w:rPr>
                <w:rFonts w:ascii="Times New Roman" w:hAnsi="Times New Roman" w:eastAsia="宋体" w:cs="Times New Roman"/>
                <w:color w:val="auto"/>
                <w:spacing w:val="3"/>
                <w:sz w:val="21"/>
                <w:szCs w:val="21"/>
                <w:highlight w:val="none"/>
              </w:rPr>
              <w:t>0.0025</w:t>
            </w:r>
          </w:p>
        </w:tc>
        <w:tc>
          <w:tcPr>
            <w:tcW w:w="1136" w:type="dxa"/>
            <w:tcBorders>
              <w:tl2br w:val="nil"/>
              <w:tr2bl w:val="nil"/>
            </w:tcBorders>
            <w:vAlign w:val="center"/>
          </w:tcPr>
          <w:p w14:paraId="5F25303C">
            <w:pPr>
              <w:pStyle w:val="236"/>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rPr>
                <w:rFonts w:ascii="Times New Roman" w:hAnsi="Times New Roman" w:eastAsia="宋体" w:cs="Times New Roman"/>
                <w:color w:val="auto"/>
                <w:sz w:val="21"/>
                <w:szCs w:val="21"/>
                <w:highlight w:val="none"/>
              </w:rPr>
            </w:pPr>
            <w:r>
              <w:rPr>
                <w:rFonts w:ascii="Times New Roman" w:hAnsi="Times New Roman" w:eastAsia="宋体" w:cs="Times New Roman"/>
                <w:color w:val="auto"/>
                <w:spacing w:val="3"/>
                <w:sz w:val="21"/>
                <w:szCs w:val="21"/>
                <w:highlight w:val="none"/>
              </w:rPr>
              <w:t>0.0208</w:t>
            </w:r>
          </w:p>
        </w:tc>
        <w:tc>
          <w:tcPr>
            <w:tcW w:w="680" w:type="dxa"/>
            <w:vMerge w:val="continue"/>
            <w:tcBorders>
              <w:tl2br w:val="nil"/>
              <w:tr2bl w:val="nil"/>
            </w:tcBorders>
            <w:vAlign w:val="center"/>
          </w:tcPr>
          <w:p w14:paraId="39B781BB">
            <w:pPr>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rPr>
                <w:rFonts w:ascii="Times New Roman" w:hAnsi="Times New Roman" w:cs="Times New Roman"/>
                <w:color w:val="auto"/>
                <w:sz w:val="21"/>
                <w:szCs w:val="21"/>
                <w:highlight w:val="none"/>
                <w:lang w:eastAsia="en-US"/>
              </w:rPr>
            </w:pPr>
          </w:p>
        </w:tc>
      </w:tr>
      <w:tr w14:paraId="00037BA4">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940" w:type="dxa"/>
            <w:vMerge w:val="restart"/>
            <w:tcBorders>
              <w:tl2br w:val="nil"/>
              <w:tr2bl w:val="nil"/>
            </w:tcBorders>
            <w:vAlign w:val="center"/>
          </w:tcPr>
          <w:p w14:paraId="3A06D7EE">
            <w:pPr>
              <w:pStyle w:val="236"/>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rPr>
                <w:rFonts w:ascii="Times New Roman" w:hAnsi="Times New Roman" w:eastAsia="宋体" w:cs="Times New Roman"/>
                <w:color w:val="auto"/>
                <w:sz w:val="21"/>
                <w:szCs w:val="21"/>
                <w:highlight w:val="none"/>
              </w:rPr>
            </w:pPr>
            <w:r>
              <w:rPr>
                <w:rFonts w:ascii="Times New Roman" w:hAnsi="Times New Roman" w:eastAsia="宋体" w:cs="Times New Roman"/>
                <w:color w:val="auto"/>
                <w:sz w:val="21"/>
                <w:szCs w:val="21"/>
                <w:highlight w:val="none"/>
              </w:rPr>
              <w:t>DA</w:t>
            </w:r>
            <w:r>
              <w:rPr>
                <w:rFonts w:ascii="Times New Roman" w:hAnsi="Times New Roman" w:eastAsia="宋体" w:cs="Times New Roman"/>
                <w:color w:val="auto"/>
                <w:spacing w:val="8"/>
                <w:sz w:val="21"/>
                <w:szCs w:val="21"/>
                <w:highlight w:val="none"/>
              </w:rPr>
              <w:t>003</w:t>
            </w:r>
          </w:p>
        </w:tc>
        <w:tc>
          <w:tcPr>
            <w:tcW w:w="825" w:type="dxa"/>
            <w:vMerge w:val="continue"/>
            <w:tcBorders>
              <w:tl2br w:val="nil"/>
              <w:tr2bl w:val="nil"/>
            </w:tcBorders>
            <w:vAlign w:val="center"/>
          </w:tcPr>
          <w:p w14:paraId="4920BB64">
            <w:pPr>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rPr>
                <w:rFonts w:ascii="Times New Roman" w:hAnsi="Times New Roman" w:cs="Times New Roman"/>
                <w:color w:val="auto"/>
                <w:sz w:val="21"/>
                <w:szCs w:val="21"/>
                <w:highlight w:val="none"/>
                <w:lang w:eastAsia="en-US"/>
              </w:rPr>
            </w:pPr>
          </w:p>
        </w:tc>
        <w:tc>
          <w:tcPr>
            <w:tcW w:w="855" w:type="dxa"/>
            <w:vMerge w:val="restart"/>
            <w:tcBorders>
              <w:tl2br w:val="nil"/>
              <w:tr2bl w:val="nil"/>
            </w:tcBorders>
            <w:vAlign w:val="center"/>
          </w:tcPr>
          <w:p w14:paraId="46FFB488">
            <w:pPr>
              <w:pStyle w:val="236"/>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rPr>
                <w:rFonts w:ascii="Times New Roman" w:hAnsi="Times New Roman" w:eastAsia="宋体" w:cs="Times New Roman"/>
                <w:color w:val="auto"/>
                <w:sz w:val="21"/>
                <w:szCs w:val="21"/>
                <w:highlight w:val="none"/>
              </w:rPr>
            </w:pPr>
            <w:r>
              <w:rPr>
                <w:rFonts w:ascii="Times New Roman" w:hAnsi="Times New Roman" w:eastAsia="宋体" w:cs="Times New Roman"/>
                <w:color w:val="auto"/>
                <w:spacing w:val="2"/>
                <w:sz w:val="21"/>
                <w:szCs w:val="21"/>
                <w:highlight w:val="none"/>
              </w:rPr>
              <w:t>5000</w:t>
            </w:r>
          </w:p>
        </w:tc>
        <w:tc>
          <w:tcPr>
            <w:tcW w:w="1590" w:type="dxa"/>
            <w:tcBorders>
              <w:tl2br w:val="nil"/>
              <w:tr2bl w:val="nil"/>
            </w:tcBorders>
            <w:vAlign w:val="center"/>
          </w:tcPr>
          <w:p w14:paraId="0FFD9E5C">
            <w:pPr>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rPr>
                <w:rFonts w:ascii="Times New Roman" w:hAnsi="Times New Roman" w:cs="Times New Roman"/>
                <w:color w:val="auto"/>
                <w:sz w:val="21"/>
                <w:szCs w:val="21"/>
                <w:highlight w:val="none"/>
                <w:lang w:eastAsia="en-US"/>
              </w:rPr>
            </w:pPr>
            <w:r>
              <w:rPr>
                <w:rFonts w:ascii="Times New Roman" w:hAnsi="Times New Roman" w:cs="Times New Roman"/>
                <w:color w:val="auto"/>
                <w:spacing w:val="6"/>
                <w:sz w:val="21"/>
                <w:szCs w:val="21"/>
                <w:highlight w:val="none"/>
                <w:lang w:eastAsia="en-US"/>
              </w:rPr>
              <w:t>异氰酸酯</w:t>
            </w:r>
          </w:p>
        </w:tc>
        <w:tc>
          <w:tcPr>
            <w:tcW w:w="1065" w:type="dxa"/>
            <w:tcBorders>
              <w:tl2br w:val="nil"/>
              <w:tr2bl w:val="nil"/>
            </w:tcBorders>
            <w:vAlign w:val="center"/>
          </w:tcPr>
          <w:p w14:paraId="6F0BACAD">
            <w:pPr>
              <w:pStyle w:val="236"/>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rPr>
                <w:rFonts w:ascii="Times New Roman" w:hAnsi="Times New Roman" w:eastAsia="宋体" w:cs="Times New Roman"/>
                <w:color w:val="auto"/>
                <w:sz w:val="21"/>
                <w:szCs w:val="21"/>
                <w:highlight w:val="none"/>
              </w:rPr>
            </w:pPr>
            <w:r>
              <w:rPr>
                <w:rFonts w:ascii="Times New Roman" w:hAnsi="Times New Roman" w:eastAsia="宋体" w:cs="Times New Roman"/>
                <w:color w:val="auto"/>
                <w:spacing w:val="2"/>
                <w:sz w:val="21"/>
                <w:szCs w:val="21"/>
                <w:highlight w:val="none"/>
              </w:rPr>
              <w:t>0.17</w:t>
            </w:r>
          </w:p>
        </w:tc>
        <w:tc>
          <w:tcPr>
            <w:tcW w:w="1125" w:type="dxa"/>
            <w:tcBorders>
              <w:tl2br w:val="nil"/>
              <w:tr2bl w:val="nil"/>
            </w:tcBorders>
            <w:vAlign w:val="center"/>
          </w:tcPr>
          <w:p w14:paraId="3887B3EB">
            <w:pPr>
              <w:pStyle w:val="236"/>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rPr>
                <w:rFonts w:ascii="Times New Roman" w:hAnsi="Times New Roman" w:eastAsia="宋体" w:cs="Times New Roman"/>
                <w:color w:val="auto"/>
                <w:sz w:val="21"/>
                <w:szCs w:val="21"/>
                <w:highlight w:val="none"/>
              </w:rPr>
            </w:pPr>
            <w:r>
              <w:rPr>
                <w:rFonts w:ascii="Times New Roman" w:hAnsi="Times New Roman" w:eastAsia="宋体" w:cs="Times New Roman"/>
                <w:color w:val="auto"/>
                <w:spacing w:val="3"/>
                <w:sz w:val="21"/>
                <w:szCs w:val="21"/>
                <w:highlight w:val="none"/>
              </w:rPr>
              <w:t>0.0009</w:t>
            </w:r>
          </w:p>
        </w:tc>
        <w:tc>
          <w:tcPr>
            <w:tcW w:w="1065" w:type="dxa"/>
            <w:tcBorders>
              <w:tl2br w:val="nil"/>
              <w:tr2bl w:val="nil"/>
            </w:tcBorders>
            <w:vAlign w:val="center"/>
          </w:tcPr>
          <w:p w14:paraId="4C96E3A0">
            <w:pPr>
              <w:pStyle w:val="236"/>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rPr>
                <w:rFonts w:ascii="Times New Roman" w:hAnsi="Times New Roman" w:eastAsia="宋体" w:cs="Times New Roman"/>
                <w:color w:val="auto"/>
                <w:sz w:val="21"/>
                <w:szCs w:val="21"/>
                <w:highlight w:val="none"/>
              </w:rPr>
            </w:pPr>
            <w:r>
              <w:rPr>
                <w:rFonts w:ascii="Times New Roman" w:hAnsi="Times New Roman" w:eastAsia="宋体" w:cs="Times New Roman"/>
                <w:color w:val="auto"/>
                <w:spacing w:val="3"/>
                <w:sz w:val="21"/>
                <w:szCs w:val="21"/>
                <w:highlight w:val="none"/>
              </w:rPr>
              <w:t>0.0073</w:t>
            </w:r>
          </w:p>
        </w:tc>
        <w:tc>
          <w:tcPr>
            <w:tcW w:w="1717" w:type="dxa"/>
            <w:vMerge w:val="restart"/>
            <w:tcBorders>
              <w:tl2br w:val="nil"/>
              <w:tr2bl w:val="nil"/>
            </w:tcBorders>
            <w:vAlign w:val="center"/>
          </w:tcPr>
          <w:p w14:paraId="05B8571C">
            <w:pPr>
              <w:pStyle w:val="236"/>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rPr>
                <w:rFonts w:ascii="Times New Roman" w:hAnsi="Times New Roman" w:eastAsia="宋体" w:cs="Times New Roman"/>
                <w:color w:val="auto"/>
                <w:sz w:val="21"/>
                <w:szCs w:val="21"/>
                <w:highlight w:val="none"/>
                <w:lang w:eastAsia="zh-CN"/>
              </w:rPr>
            </w:pPr>
            <w:r>
              <w:rPr>
                <w:rFonts w:ascii="Times New Roman" w:hAnsi="Times New Roman" w:eastAsia="宋体" w:cs="Times New Roman"/>
                <w:color w:val="auto"/>
                <w:spacing w:val="4"/>
                <w:sz w:val="21"/>
                <w:szCs w:val="21"/>
                <w:highlight w:val="none"/>
                <w:lang w:eastAsia="zh-CN"/>
              </w:rPr>
              <w:t>冷凝+3级碱</w:t>
            </w:r>
            <w:r>
              <w:rPr>
                <w:rFonts w:ascii="Times New Roman" w:hAnsi="Times New Roman" w:eastAsia="宋体" w:cs="Times New Roman"/>
                <w:color w:val="auto"/>
                <w:spacing w:val="6"/>
                <w:sz w:val="21"/>
                <w:szCs w:val="21"/>
                <w:highlight w:val="none"/>
                <w:lang w:eastAsia="zh-CN"/>
              </w:rPr>
              <w:t>液喷淋+活性</w:t>
            </w:r>
            <w:r>
              <w:rPr>
                <w:rFonts w:ascii="Times New Roman" w:hAnsi="Times New Roman" w:eastAsia="宋体" w:cs="Times New Roman"/>
                <w:color w:val="auto"/>
                <w:spacing w:val="5"/>
                <w:sz w:val="21"/>
                <w:szCs w:val="21"/>
                <w:highlight w:val="none"/>
                <w:lang w:eastAsia="zh-CN"/>
              </w:rPr>
              <w:t>炭吸附</w:t>
            </w:r>
          </w:p>
        </w:tc>
        <w:tc>
          <w:tcPr>
            <w:tcW w:w="696" w:type="dxa"/>
            <w:tcBorders>
              <w:tl2br w:val="nil"/>
              <w:tr2bl w:val="nil"/>
            </w:tcBorders>
            <w:vAlign w:val="center"/>
          </w:tcPr>
          <w:p w14:paraId="0404B642">
            <w:pPr>
              <w:pStyle w:val="236"/>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rPr>
                <w:rFonts w:ascii="Times New Roman" w:hAnsi="Times New Roman" w:eastAsia="宋体" w:cs="Times New Roman"/>
                <w:color w:val="auto"/>
                <w:sz w:val="21"/>
                <w:szCs w:val="21"/>
                <w:highlight w:val="none"/>
              </w:rPr>
            </w:pPr>
            <w:r>
              <w:rPr>
                <w:rFonts w:ascii="Times New Roman" w:hAnsi="Times New Roman" w:eastAsia="宋体" w:cs="Times New Roman"/>
                <w:color w:val="auto"/>
                <w:sz w:val="21"/>
                <w:szCs w:val="21"/>
                <w:highlight w:val="none"/>
              </w:rPr>
              <w:t>50</w:t>
            </w:r>
          </w:p>
        </w:tc>
        <w:tc>
          <w:tcPr>
            <w:tcW w:w="1133" w:type="dxa"/>
            <w:tcBorders>
              <w:tl2br w:val="nil"/>
              <w:tr2bl w:val="nil"/>
            </w:tcBorders>
            <w:vAlign w:val="center"/>
          </w:tcPr>
          <w:p w14:paraId="71ACC4CB">
            <w:pPr>
              <w:pStyle w:val="236"/>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rPr>
                <w:rFonts w:ascii="Times New Roman" w:hAnsi="Times New Roman" w:eastAsia="宋体" w:cs="Times New Roman"/>
                <w:color w:val="auto"/>
                <w:sz w:val="21"/>
                <w:szCs w:val="21"/>
                <w:highlight w:val="none"/>
              </w:rPr>
            </w:pPr>
            <w:r>
              <w:rPr>
                <w:rFonts w:ascii="Times New Roman" w:hAnsi="Times New Roman" w:eastAsia="宋体" w:cs="Times New Roman"/>
                <w:color w:val="auto"/>
                <w:spacing w:val="3"/>
                <w:sz w:val="21"/>
                <w:szCs w:val="21"/>
                <w:highlight w:val="none"/>
              </w:rPr>
              <w:t>0.09</w:t>
            </w:r>
          </w:p>
        </w:tc>
        <w:tc>
          <w:tcPr>
            <w:tcW w:w="1131" w:type="dxa"/>
            <w:tcBorders>
              <w:tl2br w:val="nil"/>
              <w:tr2bl w:val="nil"/>
            </w:tcBorders>
            <w:vAlign w:val="center"/>
          </w:tcPr>
          <w:p w14:paraId="30B53070">
            <w:pPr>
              <w:pStyle w:val="236"/>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rPr>
                <w:rFonts w:ascii="Times New Roman" w:hAnsi="Times New Roman" w:eastAsia="宋体" w:cs="Times New Roman"/>
                <w:color w:val="auto"/>
                <w:sz w:val="21"/>
                <w:szCs w:val="21"/>
                <w:highlight w:val="none"/>
              </w:rPr>
            </w:pPr>
            <w:r>
              <w:rPr>
                <w:rFonts w:ascii="Times New Roman" w:hAnsi="Times New Roman" w:eastAsia="宋体" w:cs="Times New Roman"/>
                <w:color w:val="auto"/>
                <w:spacing w:val="3"/>
                <w:sz w:val="21"/>
                <w:szCs w:val="21"/>
                <w:highlight w:val="none"/>
              </w:rPr>
              <w:t>0.0004</w:t>
            </w:r>
          </w:p>
        </w:tc>
        <w:tc>
          <w:tcPr>
            <w:tcW w:w="1136" w:type="dxa"/>
            <w:tcBorders>
              <w:tl2br w:val="nil"/>
              <w:tr2bl w:val="nil"/>
            </w:tcBorders>
            <w:vAlign w:val="center"/>
          </w:tcPr>
          <w:p w14:paraId="74D4B8DF">
            <w:pPr>
              <w:pStyle w:val="236"/>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rPr>
                <w:rFonts w:ascii="Times New Roman" w:hAnsi="Times New Roman" w:eastAsia="宋体" w:cs="Times New Roman"/>
                <w:color w:val="auto"/>
                <w:sz w:val="21"/>
                <w:szCs w:val="21"/>
                <w:highlight w:val="none"/>
              </w:rPr>
            </w:pPr>
            <w:r>
              <w:rPr>
                <w:rFonts w:ascii="Times New Roman" w:hAnsi="Times New Roman" w:eastAsia="宋体" w:cs="Times New Roman"/>
                <w:color w:val="auto"/>
                <w:spacing w:val="2"/>
                <w:sz w:val="21"/>
                <w:szCs w:val="21"/>
                <w:highlight w:val="none"/>
              </w:rPr>
              <w:t>0.0037</w:t>
            </w:r>
          </w:p>
        </w:tc>
        <w:tc>
          <w:tcPr>
            <w:tcW w:w="680" w:type="dxa"/>
            <w:vMerge w:val="restart"/>
            <w:tcBorders>
              <w:tl2br w:val="nil"/>
              <w:tr2bl w:val="nil"/>
            </w:tcBorders>
            <w:vAlign w:val="center"/>
          </w:tcPr>
          <w:p w14:paraId="7310A579">
            <w:pPr>
              <w:pStyle w:val="236"/>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rPr>
                <w:rFonts w:ascii="Times New Roman" w:hAnsi="Times New Roman" w:eastAsia="宋体" w:cs="Times New Roman"/>
                <w:color w:val="auto"/>
                <w:sz w:val="21"/>
                <w:szCs w:val="21"/>
                <w:highlight w:val="none"/>
              </w:rPr>
            </w:pPr>
            <w:r>
              <w:rPr>
                <w:rFonts w:ascii="Times New Roman" w:hAnsi="Times New Roman" w:eastAsia="宋体" w:cs="Times New Roman"/>
                <w:color w:val="auto"/>
                <w:spacing w:val="2"/>
                <w:sz w:val="21"/>
                <w:szCs w:val="21"/>
                <w:highlight w:val="none"/>
              </w:rPr>
              <w:t>20</w:t>
            </w:r>
          </w:p>
        </w:tc>
      </w:tr>
      <w:tr w14:paraId="52A27052">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940" w:type="dxa"/>
            <w:vMerge w:val="continue"/>
            <w:tcBorders>
              <w:tl2br w:val="nil"/>
              <w:tr2bl w:val="nil"/>
            </w:tcBorders>
            <w:vAlign w:val="center"/>
          </w:tcPr>
          <w:p w14:paraId="66350C95">
            <w:pPr>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rPr>
                <w:rFonts w:ascii="Times New Roman" w:hAnsi="Times New Roman" w:cs="Times New Roman"/>
                <w:color w:val="auto"/>
                <w:sz w:val="21"/>
                <w:szCs w:val="21"/>
                <w:highlight w:val="none"/>
                <w:lang w:eastAsia="en-US"/>
              </w:rPr>
            </w:pPr>
          </w:p>
        </w:tc>
        <w:tc>
          <w:tcPr>
            <w:tcW w:w="825" w:type="dxa"/>
            <w:vMerge w:val="continue"/>
            <w:tcBorders>
              <w:tl2br w:val="nil"/>
              <w:tr2bl w:val="nil"/>
            </w:tcBorders>
            <w:vAlign w:val="center"/>
          </w:tcPr>
          <w:p w14:paraId="05B70057">
            <w:pPr>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rPr>
                <w:rFonts w:ascii="Times New Roman" w:hAnsi="Times New Roman" w:cs="Times New Roman"/>
                <w:color w:val="auto"/>
                <w:sz w:val="21"/>
                <w:szCs w:val="21"/>
                <w:highlight w:val="none"/>
                <w:lang w:eastAsia="en-US"/>
              </w:rPr>
            </w:pPr>
          </w:p>
        </w:tc>
        <w:tc>
          <w:tcPr>
            <w:tcW w:w="855" w:type="dxa"/>
            <w:vMerge w:val="continue"/>
            <w:tcBorders>
              <w:tl2br w:val="nil"/>
              <w:tr2bl w:val="nil"/>
            </w:tcBorders>
            <w:vAlign w:val="center"/>
          </w:tcPr>
          <w:p w14:paraId="239EBC14">
            <w:pPr>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rPr>
                <w:rFonts w:ascii="Times New Roman" w:hAnsi="Times New Roman" w:cs="Times New Roman"/>
                <w:color w:val="auto"/>
                <w:sz w:val="21"/>
                <w:szCs w:val="21"/>
                <w:highlight w:val="none"/>
                <w:lang w:eastAsia="en-US"/>
              </w:rPr>
            </w:pPr>
          </w:p>
        </w:tc>
        <w:tc>
          <w:tcPr>
            <w:tcW w:w="1590" w:type="dxa"/>
            <w:tcBorders>
              <w:tl2br w:val="nil"/>
              <w:tr2bl w:val="nil"/>
            </w:tcBorders>
            <w:vAlign w:val="center"/>
          </w:tcPr>
          <w:p w14:paraId="2A7FF7E0">
            <w:pPr>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rPr>
                <w:rFonts w:ascii="Times New Roman" w:hAnsi="Times New Roman" w:cs="Times New Roman"/>
                <w:color w:val="auto"/>
                <w:sz w:val="21"/>
                <w:szCs w:val="21"/>
                <w:highlight w:val="none"/>
                <w:lang w:eastAsia="en-US"/>
              </w:rPr>
            </w:pPr>
            <w:r>
              <w:rPr>
                <w:rFonts w:ascii="Times New Roman" w:hAnsi="Times New Roman" w:cs="Times New Roman"/>
                <w:color w:val="auto"/>
                <w:spacing w:val="3"/>
                <w:sz w:val="21"/>
                <w:szCs w:val="21"/>
                <w:highlight w:val="none"/>
                <w:lang w:eastAsia="en-US"/>
              </w:rPr>
              <w:t>丁酮</w:t>
            </w:r>
          </w:p>
        </w:tc>
        <w:tc>
          <w:tcPr>
            <w:tcW w:w="1065" w:type="dxa"/>
            <w:tcBorders>
              <w:tl2br w:val="nil"/>
              <w:tr2bl w:val="nil"/>
            </w:tcBorders>
            <w:vAlign w:val="center"/>
          </w:tcPr>
          <w:p w14:paraId="2DAE4AB2">
            <w:pPr>
              <w:pStyle w:val="236"/>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rPr>
                <w:rFonts w:ascii="Times New Roman" w:hAnsi="Times New Roman" w:eastAsia="宋体" w:cs="Times New Roman"/>
                <w:color w:val="auto"/>
                <w:sz w:val="21"/>
                <w:szCs w:val="21"/>
                <w:highlight w:val="none"/>
              </w:rPr>
            </w:pPr>
            <w:r>
              <w:rPr>
                <w:rFonts w:ascii="Times New Roman" w:hAnsi="Times New Roman" w:eastAsia="宋体" w:cs="Times New Roman"/>
                <w:color w:val="auto"/>
                <w:sz w:val="21"/>
                <w:szCs w:val="21"/>
                <w:highlight w:val="none"/>
              </w:rPr>
              <w:t>120.77</w:t>
            </w:r>
          </w:p>
        </w:tc>
        <w:tc>
          <w:tcPr>
            <w:tcW w:w="1125" w:type="dxa"/>
            <w:tcBorders>
              <w:tl2br w:val="nil"/>
              <w:tr2bl w:val="nil"/>
            </w:tcBorders>
            <w:vAlign w:val="center"/>
          </w:tcPr>
          <w:p w14:paraId="552CB1F3">
            <w:pPr>
              <w:pStyle w:val="236"/>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rPr>
                <w:rFonts w:ascii="Times New Roman" w:hAnsi="Times New Roman" w:eastAsia="宋体" w:cs="Times New Roman"/>
                <w:color w:val="auto"/>
                <w:sz w:val="21"/>
                <w:szCs w:val="21"/>
                <w:highlight w:val="none"/>
              </w:rPr>
            </w:pPr>
            <w:r>
              <w:rPr>
                <w:rFonts w:ascii="Times New Roman" w:hAnsi="Times New Roman" w:eastAsia="宋体" w:cs="Times New Roman"/>
                <w:color w:val="auto"/>
                <w:spacing w:val="3"/>
                <w:sz w:val="21"/>
                <w:szCs w:val="21"/>
                <w:highlight w:val="none"/>
              </w:rPr>
              <w:t>0.6039</w:t>
            </w:r>
          </w:p>
        </w:tc>
        <w:tc>
          <w:tcPr>
            <w:tcW w:w="1065" w:type="dxa"/>
            <w:tcBorders>
              <w:tl2br w:val="nil"/>
              <w:tr2bl w:val="nil"/>
            </w:tcBorders>
            <w:vAlign w:val="center"/>
          </w:tcPr>
          <w:p w14:paraId="25660631">
            <w:pPr>
              <w:pStyle w:val="236"/>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rPr>
                <w:rFonts w:ascii="Times New Roman" w:hAnsi="Times New Roman" w:eastAsia="宋体" w:cs="Times New Roman"/>
                <w:color w:val="auto"/>
                <w:sz w:val="21"/>
                <w:szCs w:val="21"/>
                <w:highlight w:val="none"/>
              </w:rPr>
            </w:pPr>
            <w:r>
              <w:rPr>
                <w:rFonts w:ascii="Times New Roman" w:hAnsi="Times New Roman" w:eastAsia="宋体" w:cs="Times New Roman"/>
                <w:color w:val="auto"/>
                <w:spacing w:val="3"/>
                <w:sz w:val="21"/>
                <w:szCs w:val="21"/>
                <w:highlight w:val="none"/>
              </w:rPr>
              <w:t>5.0724</w:t>
            </w:r>
          </w:p>
        </w:tc>
        <w:tc>
          <w:tcPr>
            <w:tcW w:w="1717" w:type="dxa"/>
            <w:vMerge w:val="continue"/>
            <w:tcBorders>
              <w:tl2br w:val="nil"/>
              <w:tr2bl w:val="nil"/>
            </w:tcBorders>
            <w:vAlign w:val="center"/>
          </w:tcPr>
          <w:p w14:paraId="1B49A1C5">
            <w:pPr>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rPr>
                <w:rFonts w:ascii="Times New Roman" w:hAnsi="Times New Roman" w:cs="Times New Roman"/>
                <w:color w:val="auto"/>
                <w:sz w:val="21"/>
                <w:szCs w:val="21"/>
                <w:highlight w:val="none"/>
                <w:lang w:eastAsia="en-US"/>
              </w:rPr>
            </w:pPr>
          </w:p>
        </w:tc>
        <w:tc>
          <w:tcPr>
            <w:tcW w:w="696" w:type="dxa"/>
            <w:tcBorders>
              <w:tl2br w:val="nil"/>
              <w:tr2bl w:val="nil"/>
            </w:tcBorders>
            <w:vAlign w:val="center"/>
          </w:tcPr>
          <w:p w14:paraId="52F4BFD0">
            <w:pPr>
              <w:pStyle w:val="236"/>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rPr>
                <w:rFonts w:ascii="Times New Roman" w:hAnsi="Times New Roman" w:eastAsia="宋体" w:cs="Times New Roman"/>
                <w:color w:val="auto"/>
                <w:sz w:val="21"/>
                <w:szCs w:val="21"/>
                <w:highlight w:val="none"/>
              </w:rPr>
            </w:pPr>
            <w:r>
              <w:rPr>
                <w:rFonts w:ascii="Times New Roman" w:hAnsi="Times New Roman" w:eastAsia="宋体" w:cs="Times New Roman"/>
                <w:color w:val="auto"/>
                <w:sz w:val="21"/>
                <w:szCs w:val="21"/>
                <w:highlight w:val="none"/>
              </w:rPr>
              <w:t>94</w:t>
            </w:r>
          </w:p>
        </w:tc>
        <w:tc>
          <w:tcPr>
            <w:tcW w:w="1133" w:type="dxa"/>
            <w:tcBorders>
              <w:tl2br w:val="nil"/>
              <w:tr2bl w:val="nil"/>
            </w:tcBorders>
            <w:vAlign w:val="center"/>
          </w:tcPr>
          <w:p w14:paraId="52532E4E">
            <w:pPr>
              <w:pStyle w:val="236"/>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rPr>
                <w:rFonts w:ascii="Times New Roman" w:hAnsi="Times New Roman" w:eastAsia="宋体" w:cs="Times New Roman"/>
                <w:color w:val="auto"/>
                <w:sz w:val="21"/>
                <w:szCs w:val="21"/>
                <w:highlight w:val="none"/>
              </w:rPr>
            </w:pPr>
            <w:r>
              <w:rPr>
                <w:rFonts w:ascii="Times New Roman" w:hAnsi="Times New Roman" w:eastAsia="宋体" w:cs="Times New Roman"/>
                <w:color w:val="auto"/>
                <w:spacing w:val="3"/>
                <w:sz w:val="21"/>
                <w:szCs w:val="21"/>
                <w:highlight w:val="none"/>
              </w:rPr>
              <w:t>7.25</w:t>
            </w:r>
          </w:p>
        </w:tc>
        <w:tc>
          <w:tcPr>
            <w:tcW w:w="1131" w:type="dxa"/>
            <w:tcBorders>
              <w:tl2br w:val="nil"/>
              <w:tr2bl w:val="nil"/>
            </w:tcBorders>
            <w:vAlign w:val="center"/>
          </w:tcPr>
          <w:p w14:paraId="2E6E933B">
            <w:pPr>
              <w:pStyle w:val="236"/>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rPr>
                <w:rFonts w:ascii="Times New Roman" w:hAnsi="Times New Roman" w:eastAsia="宋体" w:cs="Times New Roman"/>
                <w:color w:val="auto"/>
                <w:sz w:val="21"/>
                <w:szCs w:val="21"/>
                <w:highlight w:val="none"/>
              </w:rPr>
            </w:pPr>
            <w:r>
              <w:rPr>
                <w:rFonts w:ascii="Times New Roman" w:hAnsi="Times New Roman" w:eastAsia="宋体" w:cs="Times New Roman"/>
                <w:color w:val="auto"/>
                <w:spacing w:val="3"/>
                <w:sz w:val="21"/>
                <w:szCs w:val="21"/>
                <w:highlight w:val="none"/>
              </w:rPr>
              <w:t>0.0362</w:t>
            </w:r>
          </w:p>
        </w:tc>
        <w:tc>
          <w:tcPr>
            <w:tcW w:w="1136" w:type="dxa"/>
            <w:tcBorders>
              <w:tl2br w:val="nil"/>
              <w:tr2bl w:val="nil"/>
            </w:tcBorders>
            <w:vAlign w:val="center"/>
          </w:tcPr>
          <w:p w14:paraId="2ECCC02A">
            <w:pPr>
              <w:pStyle w:val="236"/>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rPr>
                <w:rFonts w:ascii="Times New Roman" w:hAnsi="Times New Roman" w:eastAsia="宋体" w:cs="Times New Roman"/>
                <w:color w:val="auto"/>
                <w:sz w:val="21"/>
                <w:szCs w:val="21"/>
                <w:highlight w:val="none"/>
              </w:rPr>
            </w:pPr>
            <w:r>
              <w:rPr>
                <w:rFonts w:ascii="Times New Roman" w:hAnsi="Times New Roman" w:eastAsia="宋体" w:cs="Times New Roman"/>
                <w:color w:val="auto"/>
                <w:spacing w:val="3"/>
                <w:sz w:val="21"/>
                <w:szCs w:val="21"/>
                <w:highlight w:val="none"/>
              </w:rPr>
              <w:t>0.3043</w:t>
            </w:r>
          </w:p>
        </w:tc>
        <w:tc>
          <w:tcPr>
            <w:tcW w:w="680" w:type="dxa"/>
            <w:vMerge w:val="continue"/>
            <w:tcBorders>
              <w:tl2br w:val="nil"/>
              <w:tr2bl w:val="nil"/>
            </w:tcBorders>
            <w:vAlign w:val="center"/>
          </w:tcPr>
          <w:p w14:paraId="45C14AA3">
            <w:pPr>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rPr>
                <w:rFonts w:ascii="Times New Roman" w:hAnsi="Times New Roman" w:cs="Times New Roman"/>
                <w:color w:val="auto"/>
                <w:sz w:val="21"/>
                <w:szCs w:val="21"/>
                <w:highlight w:val="none"/>
                <w:lang w:eastAsia="en-US"/>
              </w:rPr>
            </w:pPr>
          </w:p>
        </w:tc>
      </w:tr>
      <w:tr w14:paraId="245B2148">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940" w:type="dxa"/>
            <w:vMerge w:val="continue"/>
            <w:tcBorders>
              <w:tl2br w:val="nil"/>
              <w:tr2bl w:val="nil"/>
            </w:tcBorders>
            <w:vAlign w:val="center"/>
          </w:tcPr>
          <w:p w14:paraId="4C629938">
            <w:pPr>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rPr>
                <w:rFonts w:ascii="Times New Roman" w:hAnsi="Times New Roman" w:cs="Times New Roman"/>
                <w:color w:val="auto"/>
                <w:sz w:val="21"/>
                <w:szCs w:val="21"/>
                <w:highlight w:val="none"/>
                <w:lang w:eastAsia="en-US"/>
              </w:rPr>
            </w:pPr>
          </w:p>
        </w:tc>
        <w:tc>
          <w:tcPr>
            <w:tcW w:w="825" w:type="dxa"/>
            <w:vMerge w:val="continue"/>
            <w:tcBorders>
              <w:tl2br w:val="nil"/>
              <w:tr2bl w:val="nil"/>
            </w:tcBorders>
            <w:vAlign w:val="center"/>
          </w:tcPr>
          <w:p w14:paraId="582B387D">
            <w:pPr>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rPr>
                <w:rFonts w:ascii="Times New Roman" w:hAnsi="Times New Roman" w:cs="Times New Roman"/>
                <w:color w:val="auto"/>
                <w:sz w:val="21"/>
                <w:szCs w:val="21"/>
                <w:highlight w:val="none"/>
                <w:lang w:eastAsia="en-US"/>
              </w:rPr>
            </w:pPr>
          </w:p>
        </w:tc>
        <w:tc>
          <w:tcPr>
            <w:tcW w:w="855" w:type="dxa"/>
            <w:vMerge w:val="continue"/>
            <w:tcBorders>
              <w:tl2br w:val="nil"/>
              <w:tr2bl w:val="nil"/>
            </w:tcBorders>
            <w:vAlign w:val="center"/>
          </w:tcPr>
          <w:p w14:paraId="3277DBFC">
            <w:pPr>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rPr>
                <w:rFonts w:ascii="Times New Roman" w:hAnsi="Times New Roman" w:cs="Times New Roman"/>
                <w:color w:val="auto"/>
                <w:sz w:val="21"/>
                <w:szCs w:val="21"/>
                <w:highlight w:val="none"/>
                <w:lang w:eastAsia="en-US"/>
              </w:rPr>
            </w:pPr>
          </w:p>
        </w:tc>
        <w:tc>
          <w:tcPr>
            <w:tcW w:w="1590" w:type="dxa"/>
            <w:tcBorders>
              <w:tl2br w:val="nil"/>
              <w:tr2bl w:val="nil"/>
            </w:tcBorders>
            <w:vAlign w:val="center"/>
          </w:tcPr>
          <w:p w14:paraId="38171D07">
            <w:pPr>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rPr>
                <w:rFonts w:ascii="Times New Roman" w:hAnsi="Times New Roman" w:cs="Times New Roman"/>
                <w:color w:val="auto"/>
                <w:sz w:val="21"/>
                <w:szCs w:val="21"/>
                <w:highlight w:val="none"/>
                <w:lang w:eastAsia="en-US"/>
              </w:rPr>
            </w:pPr>
            <w:r>
              <w:rPr>
                <w:rFonts w:ascii="Times New Roman" w:hAnsi="Times New Roman" w:cs="Times New Roman"/>
                <w:color w:val="auto"/>
                <w:spacing w:val="5"/>
                <w:sz w:val="21"/>
                <w:szCs w:val="21"/>
                <w:highlight w:val="none"/>
                <w:lang w:eastAsia="en-US"/>
              </w:rPr>
              <w:t>丙烯酸</w:t>
            </w:r>
          </w:p>
        </w:tc>
        <w:tc>
          <w:tcPr>
            <w:tcW w:w="1065" w:type="dxa"/>
            <w:tcBorders>
              <w:tl2br w:val="nil"/>
              <w:tr2bl w:val="nil"/>
            </w:tcBorders>
            <w:vAlign w:val="center"/>
          </w:tcPr>
          <w:p w14:paraId="34C5238A">
            <w:pPr>
              <w:pStyle w:val="236"/>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rPr>
                <w:rFonts w:ascii="Times New Roman" w:hAnsi="Times New Roman" w:eastAsia="宋体" w:cs="Times New Roman"/>
                <w:color w:val="auto"/>
                <w:sz w:val="21"/>
                <w:szCs w:val="21"/>
                <w:highlight w:val="none"/>
              </w:rPr>
            </w:pPr>
            <w:r>
              <w:rPr>
                <w:rFonts w:ascii="Times New Roman" w:hAnsi="Times New Roman" w:eastAsia="宋体" w:cs="Times New Roman"/>
                <w:color w:val="auto"/>
                <w:spacing w:val="3"/>
                <w:sz w:val="21"/>
                <w:szCs w:val="21"/>
                <w:highlight w:val="none"/>
              </w:rPr>
              <w:t>75.60</w:t>
            </w:r>
          </w:p>
        </w:tc>
        <w:tc>
          <w:tcPr>
            <w:tcW w:w="1125" w:type="dxa"/>
            <w:tcBorders>
              <w:tl2br w:val="nil"/>
              <w:tr2bl w:val="nil"/>
            </w:tcBorders>
            <w:vAlign w:val="center"/>
          </w:tcPr>
          <w:p w14:paraId="63E2A87C">
            <w:pPr>
              <w:pStyle w:val="236"/>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rPr>
                <w:rFonts w:ascii="Times New Roman" w:hAnsi="Times New Roman" w:eastAsia="宋体" w:cs="Times New Roman"/>
                <w:color w:val="auto"/>
                <w:sz w:val="21"/>
                <w:szCs w:val="21"/>
                <w:highlight w:val="none"/>
              </w:rPr>
            </w:pPr>
            <w:r>
              <w:rPr>
                <w:rFonts w:ascii="Times New Roman" w:hAnsi="Times New Roman" w:eastAsia="宋体" w:cs="Times New Roman"/>
                <w:color w:val="auto"/>
                <w:spacing w:val="3"/>
                <w:sz w:val="21"/>
                <w:szCs w:val="21"/>
                <w:highlight w:val="none"/>
              </w:rPr>
              <w:t>0.3780</w:t>
            </w:r>
          </w:p>
        </w:tc>
        <w:tc>
          <w:tcPr>
            <w:tcW w:w="1065" w:type="dxa"/>
            <w:tcBorders>
              <w:tl2br w:val="nil"/>
              <w:tr2bl w:val="nil"/>
            </w:tcBorders>
            <w:vAlign w:val="center"/>
          </w:tcPr>
          <w:p w14:paraId="27D340B7">
            <w:pPr>
              <w:pStyle w:val="236"/>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rPr>
                <w:rFonts w:ascii="Times New Roman" w:hAnsi="Times New Roman" w:eastAsia="宋体" w:cs="Times New Roman"/>
                <w:color w:val="auto"/>
                <w:sz w:val="21"/>
                <w:szCs w:val="21"/>
                <w:highlight w:val="none"/>
              </w:rPr>
            </w:pPr>
            <w:r>
              <w:rPr>
                <w:rFonts w:ascii="Times New Roman" w:hAnsi="Times New Roman" w:eastAsia="宋体" w:cs="Times New Roman"/>
                <w:color w:val="auto"/>
                <w:spacing w:val="3"/>
                <w:sz w:val="21"/>
                <w:szCs w:val="21"/>
                <w:highlight w:val="none"/>
              </w:rPr>
              <w:t>3.1752</w:t>
            </w:r>
          </w:p>
        </w:tc>
        <w:tc>
          <w:tcPr>
            <w:tcW w:w="1717" w:type="dxa"/>
            <w:vMerge w:val="continue"/>
            <w:tcBorders>
              <w:tl2br w:val="nil"/>
              <w:tr2bl w:val="nil"/>
            </w:tcBorders>
            <w:vAlign w:val="center"/>
          </w:tcPr>
          <w:p w14:paraId="1FEAC8EC">
            <w:pPr>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rPr>
                <w:rFonts w:ascii="Times New Roman" w:hAnsi="Times New Roman" w:cs="Times New Roman"/>
                <w:color w:val="auto"/>
                <w:sz w:val="21"/>
                <w:szCs w:val="21"/>
                <w:highlight w:val="none"/>
                <w:lang w:eastAsia="en-US"/>
              </w:rPr>
            </w:pPr>
          </w:p>
        </w:tc>
        <w:tc>
          <w:tcPr>
            <w:tcW w:w="696" w:type="dxa"/>
            <w:tcBorders>
              <w:tl2br w:val="nil"/>
              <w:tr2bl w:val="nil"/>
            </w:tcBorders>
            <w:vAlign w:val="center"/>
          </w:tcPr>
          <w:p w14:paraId="65CD8D32">
            <w:pPr>
              <w:pStyle w:val="236"/>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rPr>
                <w:rFonts w:ascii="Times New Roman" w:hAnsi="Times New Roman" w:eastAsia="宋体" w:cs="Times New Roman"/>
                <w:color w:val="auto"/>
                <w:sz w:val="21"/>
                <w:szCs w:val="21"/>
                <w:highlight w:val="none"/>
              </w:rPr>
            </w:pPr>
            <w:r>
              <w:rPr>
                <w:rFonts w:ascii="Times New Roman" w:hAnsi="Times New Roman" w:eastAsia="宋体" w:cs="Times New Roman"/>
                <w:color w:val="auto"/>
                <w:sz w:val="21"/>
                <w:szCs w:val="21"/>
                <w:highlight w:val="none"/>
              </w:rPr>
              <w:t>98</w:t>
            </w:r>
          </w:p>
        </w:tc>
        <w:tc>
          <w:tcPr>
            <w:tcW w:w="1133" w:type="dxa"/>
            <w:tcBorders>
              <w:tl2br w:val="nil"/>
              <w:tr2bl w:val="nil"/>
            </w:tcBorders>
            <w:vAlign w:val="center"/>
          </w:tcPr>
          <w:p w14:paraId="33B5D412">
            <w:pPr>
              <w:pStyle w:val="236"/>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rPr>
                <w:rFonts w:ascii="Times New Roman" w:hAnsi="Times New Roman" w:eastAsia="宋体" w:cs="Times New Roman"/>
                <w:color w:val="auto"/>
                <w:sz w:val="21"/>
                <w:szCs w:val="21"/>
                <w:highlight w:val="none"/>
              </w:rPr>
            </w:pPr>
            <w:r>
              <w:rPr>
                <w:rFonts w:ascii="Times New Roman" w:hAnsi="Times New Roman" w:eastAsia="宋体" w:cs="Times New Roman"/>
                <w:color w:val="auto"/>
                <w:spacing w:val="-1"/>
                <w:sz w:val="21"/>
                <w:szCs w:val="21"/>
                <w:highlight w:val="none"/>
              </w:rPr>
              <w:t>1.51</w:t>
            </w:r>
          </w:p>
        </w:tc>
        <w:tc>
          <w:tcPr>
            <w:tcW w:w="1131" w:type="dxa"/>
            <w:tcBorders>
              <w:tl2br w:val="nil"/>
              <w:tr2bl w:val="nil"/>
            </w:tcBorders>
            <w:vAlign w:val="center"/>
          </w:tcPr>
          <w:p w14:paraId="6850B24E">
            <w:pPr>
              <w:pStyle w:val="236"/>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rPr>
                <w:rFonts w:ascii="Times New Roman" w:hAnsi="Times New Roman" w:eastAsia="宋体" w:cs="Times New Roman"/>
                <w:color w:val="auto"/>
                <w:sz w:val="21"/>
                <w:szCs w:val="21"/>
                <w:highlight w:val="none"/>
              </w:rPr>
            </w:pPr>
            <w:r>
              <w:rPr>
                <w:rFonts w:ascii="Times New Roman" w:hAnsi="Times New Roman" w:eastAsia="宋体" w:cs="Times New Roman"/>
                <w:color w:val="auto"/>
                <w:spacing w:val="3"/>
                <w:sz w:val="21"/>
                <w:szCs w:val="21"/>
                <w:highlight w:val="none"/>
              </w:rPr>
              <w:t>0.0076</w:t>
            </w:r>
          </w:p>
        </w:tc>
        <w:tc>
          <w:tcPr>
            <w:tcW w:w="1136" w:type="dxa"/>
            <w:tcBorders>
              <w:tl2br w:val="nil"/>
              <w:tr2bl w:val="nil"/>
            </w:tcBorders>
            <w:vAlign w:val="center"/>
          </w:tcPr>
          <w:p w14:paraId="5E5B79C9">
            <w:pPr>
              <w:pStyle w:val="236"/>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rPr>
                <w:rFonts w:ascii="Times New Roman" w:hAnsi="Times New Roman" w:eastAsia="宋体" w:cs="Times New Roman"/>
                <w:color w:val="auto"/>
                <w:sz w:val="21"/>
                <w:szCs w:val="21"/>
                <w:highlight w:val="none"/>
              </w:rPr>
            </w:pPr>
            <w:r>
              <w:rPr>
                <w:rFonts w:ascii="Times New Roman" w:hAnsi="Times New Roman" w:eastAsia="宋体" w:cs="Times New Roman"/>
                <w:color w:val="auto"/>
                <w:spacing w:val="3"/>
                <w:sz w:val="21"/>
                <w:szCs w:val="21"/>
                <w:highlight w:val="none"/>
              </w:rPr>
              <w:t>0.0635</w:t>
            </w:r>
          </w:p>
        </w:tc>
        <w:tc>
          <w:tcPr>
            <w:tcW w:w="680" w:type="dxa"/>
            <w:vMerge w:val="continue"/>
            <w:tcBorders>
              <w:tl2br w:val="nil"/>
              <w:tr2bl w:val="nil"/>
            </w:tcBorders>
            <w:vAlign w:val="center"/>
          </w:tcPr>
          <w:p w14:paraId="698B99BA">
            <w:pPr>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rPr>
                <w:rFonts w:ascii="Times New Roman" w:hAnsi="Times New Roman" w:cs="Times New Roman"/>
                <w:color w:val="auto"/>
                <w:sz w:val="21"/>
                <w:szCs w:val="21"/>
                <w:highlight w:val="none"/>
                <w:lang w:eastAsia="en-US"/>
              </w:rPr>
            </w:pPr>
          </w:p>
        </w:tc>
      </w:tr>
      <w:tr w14:paraId="7DE6410C">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940" w:type="dxa"/>
            <w:vMerge w:val="continue"/>
            <w:tcBorders>
              <w:tl2br w:val="nil"/>
              <w:tr2bl w:val="nil"/>
            </w:tcBorders>
            <w:vAlign w:val="center"/>
          </w:tcPr>
          <w:p w14:paraId="06BAFF90">
            <w:pPr>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rPr>
                <w:rFonts w:ascii="Times New Roman" w:hAnsi="Times New Roman" w:cs="Times New Roman"/>
                <w:color w:val="auto"/>
                <w:sz w:val="21"/>
                <w:szCs w:val="21"/>
                <w:highlight w:val="none"/>
                <w:lang w:eastAsia="en-US"/>
              </w:rPr>
            </w:pPr>
          </w:p>
        </w:tc>
        <w:tc>
          <w:tcPr>
            <w:tcW w:w="825" w:type="dxa"/>
            <w:vMerge w:val="continue"/>
            <w:tcBorders>
              <w:tl2br w:val="nil"/>
              <w:tr2bl w:val="nil"/>
            </w:tcBorders>
            <w:vAlign w:val="center"/>
          </w:tcPr>
          <w:p w14:paraId="2BF0C9FE">
            <w:pPr>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rPr>
                <w:rFonts w:ascii="Times New Roman" w:hAnsi="Times New Roman" w:cs="Times New Roman"/>
                <w:color w:val="auto"/>
                <w:sz w:val="21"/>
                <w:szCs w:val="21"/>
                <w:highlight w:val="none"/>
                <w:lang w:eastAsia="en-US"/>
              </w:rPr>
            </w:pPr>
          </w:p>
        </w:tc>
        <w:tc>
          <w:tcPr>
            <w:tcW w:w="855" w:type="dxa"/>
            <w:vMerge w:val="continue"/>
            <w:tcBorders>
              <w:tl2br w:val="nil"/>
              <w:tr2bl w:val="nil"/>
            </w:tcBorders>
            <w:vAlign w:val="center"/>
          </w:tcPr>
          <w:p w14:paraId="10BF5019">
            <w:pPr>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rPr>
                <w:rFonts w:ascii="Times New Roman" w:hAnsi="Times New Roman" w:cs="Times New Roman"/>
                <w:color w:val="auto"/>
                <w:sz w:val="21"/>
                <w:szCs w:val="21"/>
                <w:highlight w:val="none"/>
                <w:lang w:eastAsia="en-US"/>
              </w:rPr>
            </w:pPr>
          </w:p>
        </w:tc>
        <w:tc>
          <w:tcPr>
            <w:tcW w:w="1590" w:type="dxa"/>
            <w:tcBorders>
              <w:tl2br w:val="nil"/>
              <w:tr2bl w:val="nil"/>
            </w:tcBorders>
            <w:vAlign w:val="center"/>
          </w:tcPr>
          <w:p w14:paraId="23670CCC">
            <w:pPr>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rPr>
                <w:rFonts w:ascii="Times New Roman" w:hAnsi="Times New Roman" w:cs="Times New Roman"/>
                <w:color w:val="auto"/>
                <w:sz w:val="21"/>
                <w:szCs w:val="21"/>
                <w:highlight w:val="none"/>
                <w:lang w:eastAsia="en-US"/>
              </w:rPr>
            </w:pPr>
            <w:r>
              <w:rPr>
                <w:rFonts w:ascii="Times New Roman" w:hAnsi="Times New Roman" w:cs="Times New Roman"/>
                <w:color w:val="auto"/>
                <w:spacing w:val="7"/>
                <w:sz w:val="21"/>
                <w:szCs w:val="21"/>
                <w:highlight w:val="none"/>
                <w:lang w:eastAsia="en-US"/>
              </w:rPr>
              <w:t>非甲烷总烃</w:t>
            </w:r>
          </w:p>
        </w:tc>
        <w:tc>
          <w:tcPr>
            <w:tcW w:w="1065" w:type="dxa"/>
            <w:tcBorders>
              <w:tl2br w:val="nil"/>
              <w:tr2bl w:val="nil"/>
            </w:tcBorders>
            <w:vAlign w:val="center"/>
          </w:tcPr>
          <w:p w14:paraId="2A03EE13">
            <w:pPr>
              <w:pStyle w:val="236"/>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rPr>
                <w:rFonts w:ascii="Times New Roman" w:hAnsi="Times New Roman" w:eastAsia="宋体" w:cs="Times New Roman"/>
                <w:color w:val="auto"/>
                <w:sz w:val="21"/>
                <w:szCs w:val="21"/>
                <w:highlight w:val="none"/>
              </w:rPr>
            </w:pPr>
            <w:r>
              <w:rPr>
                <w:rFonts w:ascii="Times New Roman" w:hAnsi="Times New Roman" w:eastAsia="宋体" w:cs="Times New Roman"/>
                <w:color w:val="auto"/>
                <w:spacing w:val="-1"/>
                <w:sz w:val="21"/>
                <w:szCs w:val="21"/>
                <w:highlight w:val="none"/>
              </w:rPr>
              <w:t>12.09</w:t>
            </w:r>
          </w:p>
        </w:tc>
        <w:tc>
          <w:tcPr>
            <w:tcW w:w="1125" w:type="dxa"/>
            <w:tcBorders>
              <w:tl2br w:val="nil"/>
              <w:tr2bl w:val="nil"/>
            </w:tcBorders>
            <w:vAlign w:val="center"/>
          </w:tcPr>
          <w:p w14:paraId="2785D82C">
            <w:pPr>
              <w:pStyle w:val="236"/>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rPr>
                <w:rFonts w:ascii="Times New Roman" w:hAnsi="Times New Roman" w:eastAsia="宋体" w:cs="Times New Roman"/>
                <w:color w:val="auto"/>
                <w:sz w:val="21"/>
                <w:szCs w:val="21"/>
                <w:highlight w:val="none"/>
              </w:rPr>
            </w:pPr>
            <w:r>
              <w:rPr>
                <w:rFonts w:ascii="Times New Roman" w:hAnsi="Times New Roman" w:eastAsia="宋体" w:cs="Times New Roman"/>
                <w:color w:val="auto"/>
                <w:spacing w:val="3"/>
                <w:sz w:val="21"/>
                <w:szCs w:val="21"/>
                <w:highlight w:val="none"/>
              </w:rPr>
              <w:t>0.0605</w:t>
            </w:r>
          </w:p>
        </w:tc>
        <w:tc>
          <w:tcPr>
            <w:tcW w:w="1065" w:type="dxa"/>
            <w:tcBorders>
              <w:tl2br w:val="nil"/>
              <w:tr2bl w:val="nil"/>
            </w:tcBorders>
            <w:vAlign w:val="center"/>
          </w:tcPr>
          <w:p w14:paraId="5D93C304">
            <w:pPr>
              <w:pStyle w:val="236"/>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rPr>
                <w:rFonts w:ascii="Times New Roman" w:hAnsi="Times New Roman" w:eastAsia="宋体" w:cs="Times New Roman"/>
                <w:color w:val="auto"/>
                <w:sz w:val="21"/>
                <w:szCs w:val="21"/>
                <w:highlight w:val="none"/>
              </w:rPr>
            </w:pPr>
            <w:r>
              <w:rPr>
                <w:rFonts w:ascii="Times New Roman" w:hAnsi="Times New Roman" w:eastAsia="宋体" w:cs="Times New Roman"/>
                <w:color w:val="auto"/>
                <w:spacing w:val="3"/>
                <w:sz w:val="21"/>
                <w:szCs w:val="21"/>
                <w:highlight w:val="none"/>
              </w:rPr>
              <w:t>0.5078</w:t>
            </w:r>
          </w:p>
        </w:tc>
        <w:tc>
          <w:tcPr>
            <w:tcW w:w="1717" w:type="dxa"/>
            <w:vMerge w:val="continue"/>
            <w:tcBorders>
              <w:tl2br w:val="nil"/>
              <w:tr2bl w:val="nil"/>
            </w:tcBorders>
            <w:vAlign w:val="center"/>
          </w:tcPr>
          <w:p w14:paraId="02993CEC">
            <w:pPr>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rPr>
                <w:rFonts w:ascii="Times New Roman" w:hAnsi="Times New Roman" w:cs="Times New Roman"/>
                <w:color w:val="auto"/>
                <w:sz w:val="21"/>
                <w:szCs w:val="21"/>
                <w:highlight w:val="none"/>
                <w:lang w:eastAsia="en-US"/>
              </w:rPr>
            </w:pPr>
          </w:p>
        </w:tc>
        <w:tc>
          <w:tcPr>
            <w:tcW w:w="696" w:type="dxa"/>
            <w:tcBorders>
              <w:tl2br w:val="nil"/>
              <w:tr2bl w:val="nil"/>
            </w:tcBorders>
            <w:vAlign w:val="center"/>
          </w:tcPr>
          <w:p w14:paraId="6FA6236F">
            <w:pPr>
              <w:pStyle w:val="236"/>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rPr>
                <w:rFonts w:ascii="Times New Roman" w:hAnsi="Times New Roman" w:eastAsia="宋体" w:cs="Times New Roman"/>
                <w:color w:val="auto"/>
                <w:sz w:val="21"/>
                <w:szCs w:val="21"/>
                <w:highlight w:val="none"/>
              </w:rPr>
            </w:pPr>
            <w:r>
              <w:rPr>
                <w:rFonts w:ascii="Times New Roman" w:hAnsi="Times New Roman" w:eastAsia="宋体" w:cs="Times New Roman"/>
                <w:color w:val="auto"/>
                <w:sz w:val="21"/>
                <w:szCs w:val="21"/>
                <w:highlight w:val="none"/>
              </w:rPr>
              <w:t>50</w:t>
            </w:r>
          </w:p>
        </w:tc>
        <w:tc>
          <w:tcPr>
            <w:tcW w:w="1133" w:type="dxa"/>
            <w:tcBorders>
              <w:tl2br w:val="nil"/>
              <w:tr2bl w:val="nil"/>
            </w:tcBorders>
            <w:vAlign w:val="center"/>
          </w:tcPr>
          <w:p w14:paraId="03252573">
            <w:pPr>
              <w:pStyle w:val="236"/>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rPr>
                <w:rFonts w:ascii="Times New Roman" w:hAnsi="Times New Roman" w:eastAsia="宋体" w:cs="Times New Roman"/>
                <w:color w:val="auto"/>
                <w:sz w:val="21"/>
                <w:szCs w:val="21"/>
                <w:highlight w:val="none"/>
              </w:rPr>
            </w:pPr>
            <w:r>
              <w:rPr>
                <w:rFonts w:ascii="Times New Roman" w:hAnsi="Times New Roman" w:eastAsia="宋体" w:cs="Times New Roman"/>
                <w:color w:val="auto"/>
                <w:spacing w:val="2"/>
                <w:sz w:val="21"/>
                <w:szCs w:val="21"/>
                <w:highlight w:val="none"/>
              </w:rPr>
              <w:t>6.05</w:t>
            </w:r>
          </w:p>
        </w:tc>
        <w:tc>
          <w:tcPr>
            <w:tcW w:w="1131" w:type="dxa"/>
            <w:tcBorders>
              <w:tl2br w:val="nil"/>
              <w:tr2bl w:val="nil"/>
            </w:tcBorders>
            <w:vAlign w:val="center"/>
          </w:tcPr>
          <w:p w14:paraId="5ACD8C18">
            <w:pPr>
              <w:pStyle w:val="236"/>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rPr>
                <w:rFonts w:ascii="Times New Roman" w:hAnsi="Times New Roman" w:eastAsia="宋体" w:cs="Times New Roman"/>
                <w:color w:val="auto"/>
                <w:sz w:val="21"/>
                <w:szCs w:val="21"/>
                <w:highlight w:val="none"/>
              </w:rPr>
            </w:pPr>
            <w:r>
              <w:rPr>
                <w:rFonts w:ascii="Times New Roman" w:hAnsi="Times New Roman" w:eastAsia="宋体" w:cs="Times New Roman"/>
                <w:color w:val="auto"/>
                <w:spacing w:val="3"/>
                <w:sz w:val="21"/>
                <w:szCs w:val="21"/>
                <w:highlight w:val="none"/>
              </w:rPr>
              <w:t>0.0302</w:t>
            </w:r>
          </w:p>
        </w:tc>
        <w:tc>
          <w:tcPr>
            <w:tcW w:w="1136" w:type="dxa"/>
            <w:tcBorders>
              <w:tl2br w:val="nil"/>
              <w:tr2bl w:val="nil"/>
            </w:tcBorders>
            <w:vAlign w:val="center"/>
          </w:tcPr>
          <w:p w14:paraId="620F2868">
            <w:pPr>
              <w:pStyle w:val="236"/>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rPr>
                <w:rFonts w:ascii="Times New Roman" w:hAnsi="Times New Roman" w:eastAsia="宋体" w:cs="Times New Roman"/>
                <w:color w:val="auto"/>
                <w:sz w:val="21"/>
                <w:szCs w:val="21"/>
                <w:highlight w:val="none"/>
              </w:rPr>
            </w:pPr>
            <w:r>
              <w:rPr>
                <w:rFonts w:ascii="Times New Roman" w:hAnsi="Times New Roman" w:eastAsia="宋体" w:cs="Times New Roman"/>
                <w:color w:val="auto"/>
                <w:spacing w:val="3"/>
                <w:sz w:val="21"/>
                <w:szCs w:val="21"/>
                <w:highlight w:val="none"/>
              </w:rPr>
              <w:t>0.2539</w:t>
            </w:r>
          </w:p>
        </w:tc>
        <w:tc>
          <w:tcPr>
            <w:tcW w:w="680" w:type="dxa"/>
            <w:vMerge w:val="continue"/>
            <w:tcBorders>
              <w:tl2br w:val="nil"/>
              <w:tr2bl w:val="nil"/>
            </w:tcBorders>
            <w:vAlign w:val="center"/>
          </w:tcPr>
          <w:p w14:paraId="70E77077">
            <w:pPr>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rPr>
                <w:rFonts w:ascii="Times New Roman" w:hAnsi="Times New Roman" w:cs="Times New Roman"/>
                <w:color w:val="auto"/>
                <w:sz w:val="21"/>
                <w:szCs w:val="21"/>
                <w:highlight w:val="none"/>
                <w:lang w:eastAsia="en-US"/>
              </w:rPr>
            </w:pPr>
          </w:p>
        </w:tc>
      </w:tr>
      <w:tr w14:paraId="0D8FD21E">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940" w:type="dxa"/>
            <w:vMerge w:val="restart"/>
            <w:tcBorders>
              <w:tl2br w:val="nil"/>
              <w:tr2bl w:val="nil"/>
            </w:tcBorders>
            <w:vAlign w:val="center"/>
          </w:tcPr>
          <w:p w14:paraId="0EF6CE56">
            <w:pPr>
              <w:pStyle w:val="236"/>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rPr>
                <w:rFonts w:ascii="Times New Roman" w:hAnsi="Times New Roman" w:eastAsia="宋体" w:cs="Times New Roman"/>
                <w:color w:val="auto"/>
                <w:sz w:val="21"/>
                <w:szCs w:val="21"/>
                <w:highlight w:val="none"/>
              </w:rPr>
            </w:pPr>
            <w:r>
              <w:rPr>
                <w:rFonts w:ascii="Times New Roman" w:hAnsi="Times New Roman" w:eastAsia="宋体" w:cs="Times New Roman"/>
                <w:color w:val="auto"/>
                <w:sz w:val="21"/>
                <w:szCs w:val="21"/>
                <w:highlight w:val="none"/>
              </w:rPr>
              <w:t>DA</w:t>
            </w:r>
            <w:r>
              <w:rPr>
                <w:rFonts w:ascii="Times New Roman" w:hAnsi="Times New Roman" w:eastAsia="宋体" w:cs="Times New Roman"/>
                <w:color w:val="auto"/>
                <w:spacing w:val="8"/>
                <w:sz w:val="21"/>
                <w:szCs w:val="21"/>
                <w:highlight w:val="none"/>
              </w:rPr>
              <w:t>004</w:t>
            </w:r>
          </w:p>
        </w:tc>
        <w:tc>
          <w:tcPr>
            <w:tcW w:w="825" w:type="dxa"/>
            <w:vMerge w:val="continue"/>
            <w:tcBorders>
              <w:tl2br w:val="nil"/>
              <w:tr2bl w:val="nil"/>
            </w:tcBorders>
            <w:vAlign w:val="center"/>
          </w:tcPr>
          <w:p w14:paraId="49E38CFE">
            <w:pPr>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rPr>
                <w:rFonts w:ascii="Times New Roman" w:hAnsi="Times New Roman" w:cs="Times New Roman"/>
                <w:color w:val="auto"/>
                <w:sz w:val="21"/>
                <w:szCs w:val="21"/>
                <w:highlight w:val="none"/>
                <w:lang w:eastAsia="en-US"/>
              </w:rPr>
            </w:pPr>
          </w:p>
        </w:tc>
        <w:tc>
          <w:tcPr>
            <w:tcW w:w="855" w:type="dxa"/>
            <w:vMerge w:val="restart"/>
            <w:tcBorders>
              <w:tl2br w:val="nil"/>
              <w:tr2bl w:val="nil"/>
            </w:tcBorders>
            <w:vAlign w:val="center"/>
          </w:tcPr>
          <w:p w14:paraId="3B72392A">
            <w:pPr>
              <w:pStyle w:val="236"/>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rPr>
                <w:rFonts w:ascii="Times New Roman" w:hAnsi="Times New Roman" w:eastAsia="宋体" w:cs="Times New Roman"/>
                <w:color w:val="auto"/>
                <w:sz w:val="21"/>
                <w:szCs w:val="21"/>
                <w:highlight w:val="none"/>
              </w:rPr>
            </w:pPr>
            <w:r>
              <w:rPr>
                <w:rFonts w:ascii="Times New Roman" w:hAnsi="Times New Roman" w:eastAsia="宋体" w:cs="Times New Roman"/>
                <w:color w:val="auto"/>
                <w:spacing w:val="2"/>
                <w:sz w:val="21"/>
                <w:szCs w:val="21"/>
                <w:highlight w:val="none"/>
              </w:rPr>
              <w:t>5000</w:t>
            </w:r>
          </w:p>
        </w:tc>
        <w:tc>
          <w:tcPr>
            <w:tcW w:w="1590" w:type="dxa"/>
            <w:tcBorders>
              <w:tl2br w:val="nil"/>
              <w:tr2bl w:val="nil"/>
            </w:tcBorders>
            <w:vAlign w:val="center"/>
          </w:tcPr>
          <w:p w14:paraId="53A33885">
            <w:pPr>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rPr>
                <w:rFonts w:ascii="Times New Roman" w:hAnsi="Times New Roman" w:cs="Times New Roman"/>
                <w:color w:val="auto"/>
                <w:sz w:val="21"/>
                <w:szCs w:val="21"/>
                <w:highlight w:val="none"/>
                <w:lang w:eastAsia="en-US"/>
              </w:rPr>
            </w:pPr>
            <w:r>
              <w:rPr>
                <w:rFonts w:ascii="Times New Roman" w:hAnsi="Times New Roman" w:cs="Times New Roman"/>
                <w:color w:val="auto"/>
                <w:spacing w:val="6"/>
                <w:sz w:val="21"/>
                <w:szCs w:val="21"/>
                <w:highlight w:val="none"/>
                <w:lang w:eastAsia="en-US"/>
              </w:rPr>
              <w:t>异氰酸酯</w:t>
            </w:r>
          </w:p>
        </w:tc>
        <w:tc>
          <w:tcPr>
            <w:tcW w:w="1065" w:type="dxa"/>
            <w:tcBorders>
              <w:tl2br w:val="nil"/>
              <w:tr2bl w:val="nil"/>
            </w:tcBorders>
            <w:vAlign w:val="center"/>
          </w:tcPr>
          <w:p w14:paraId="4F4D5C82">
            <w:pPr>
              <w:pStyle w:val="236"/>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rPr>
                <w:rFonts w:ascii="Times New Roman" w:hAnsi="Times New Roman" w:eastAsia="宋体" w:cs="Times New Roman"/>
                <w:color w:val="auto"/>
                <w:sz w:val="21"/>
                <w:szCs w:val="21"/>
                <w:highlight w:val="none"/>
              </w:rPr>
            </w:pPr>
            <w:r>
              <w:rPr>
                <w:rFonts w:ascii="Times New Roman" w:hAnsi="Times New Roman" w:eastAsia="宋体" w:cs="Times New Roman"/>
                <w:color w:val="auto"/>
                <w:spacing w:val="2"/>
                <w:sz w:val="21"/>
                <w:szCs w:val="21"/>
                <w:highlight w:val="none"/>
              </w:rPr>
              <w:t>0.20</w:t>
            </w:r>
          </w:p>
        </w:tc>
        <w:tc>
          <w:tcPr>
            <w:tcW w:w="1125" w:type="dxa"/>
            <w:tcBorders>
              <w:tl2br w:val="nil"/>
              <w:tr2bl w:val="nil"/>
            </w:tcBorders>
            <w:vAlign w:val="center"/>
          </w:tcPr>
          <w:p w14:paraId="2CFEFBFC">
            <w:pPr>
              <w:pStyle w:val="236"/>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rPr>
                <w:rFonts w:ascii="Times New Roman" w:hAnsi="Times New Roman" w:eastAsia="宋体" w:cs="Times New Roman"/>
                <w:color w:val="auto"/>
                <w:sz w:val="21"/>
                <w:szCs w:val="21"/>
                <w:highlight w:val="none"/>
              </w:rPr>
            </w:pPr>
            <w:r>
              <w:rPr>
                <w:rFonts w:ascii="Times New Roman" w:hAnsi="Times New Roman" w:eastAsia="宋体" w:cs="Times New Roman"/>
                <w:color w:val="auto"/>
                <w:spacing w:val="3"/>
                <w:sz w:val="21"/>
                <w:szCs w:val="21"/>
                <w:highlight w:val="none"/>
              </w:rPr>
              <w:t>0.0010</w:t>
            </w:r>
          </w:p>
        </w:tc>
        <w:tc>
          <w:tcPr>
            <w:tcW w:w="1065" w:type="dxa"/>
            <w:tcBorders>
              <w:tl2br w:val="nil"/>
              <w:tr2bl w:val="nil"/>
            </w:tcBorders>
            <w:vAlign w:val="center"/>
          </w:tcPr>
          <w:p w14:paraId="655C1805">
            <w:pPr>
              <w:pStyle w:val="236"/>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rPr>
                <w:rFonts w:ascii="Times New Roman" w:hAnsi="Times New Roman" w:eastAsia="宋体" w:cs="Times New Roman"/>
                <w:color w:val="auto"/>
                <w:sz w:val="21"/>
                <w:szCs w:val="21"/>
                <w:highlight w:val="none"/>
              </w:rPr>
            </w:pPr>
            <w:r>
              <w:rPr>
                <w:rFonts w:ascii="Times New Roman" w:hAnsi="Times New Roman" w:eastAsia="宋体" w:cs="Times New Roman"/>
                <w:color w:val="auto"/>
                <w:spacing w:val="3"/>
                <w:sz w:val="21"/>
                <w:szCs w:val="21"/>
                <w:highlight w:val="none"/>
              </w:rPr>
              <w:t>0.0083</w:t>
            </w:r>
          </w:p>
        </w:tc>
        <w:tc>
          <w:tcPr>
            <w:tcW w:w="1717" w:type="dxa"/>
            <w:vMerge w:val="restart"/>
            <w:tcBorders>
              <w:tl2br w:val="nil"/>
              <w:tr2bl w:val="nil"/>
            </w:tcBorders>
            <w:vAlign w:val="center"/>
          </w:tcPr>
          <w:p w14:paraId="59E48281">
            <w:pPr>
              <w:pStyle w:val="236"/>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rPr>
                <w:rFonts w:ascii="Times New Roman" w:hAnsi="Times New Roman" w:eastAsia="宋体" w:cs="Times New Roman"/>
                <w:color w:val="auto"/>
                <w:sz w:val="21"/>
                <w:szCs w:val="21"/>
                <w:highlight w:val="none"/>
                <w:lang w:eastAsia="zh-CN"/>
              </w:rPr>
            </w:pPr>
            <w:r>
              <w:rPr>
                <w:rFonts w:ascii="Times New Roman" w:hAnsi="Times New Roman" w:eastAsia="宋体" w:cs="Times New Roman"/>
                <w:color w:val="auto"/>
                <w:spacing w:val="4"/>
                <w:sz w:val="21"/>
                <w:szCs w:val="21"/>
                <w:highlight w:val="none"/>
                <w:lang w:eastAsia="zh-CN"/>
              </w:rPr>
              <w:t>冷凝+3级碱</w:t>
            </w:r>
            <w:r>
              <w:rPr>
                <w:rFonts w:ascii="Times New Roman" w:hAnsi="Times New Roman" w:eastAsia="宋体" w:cs="Times New Roman"/>
                <w:color w:val="auto"/>
                <w:spacing w:val="6"/>
                <w:sz w:val="21"/>
                <w:szCs w:val="21"/>
                <w:highlight w:val="none"/>
                <w:lang w:eastAsia="zh-CN"/>
              </w:rPr>
              <w:t>液喷淋+活性</w:t>
            </w:r>
            <w:r>
              <w:rPr>
                <w:rFonts w:ascii="Times New Roman" w:hAnsi="Times New Roman" w:eastAsia="宋体" w:cs="Times New Roman"/>
                <w:color w:val="auto"/>
                <w:spacing w:val="5"/>
                <w:sz w:val="21"/>
                <w:szCs w:val="21"/>
                <w:highlight w:val="none"/>
                <w:lang w:eastAsia="zh-CN"/>
              </w:rPr>
              <w:t>炭吸附</w:t>
            </w:r>
          </w:p>
        </w:tc>
        <w:tc>
          <w:tcPr>
            <w:tcW w:w="696" w:type="dxa"/>
            <w:tcBorders>
              <w:tl2br w:val="nil"/>
              <w:tr2bl w:val="nil"/>
            </w:tcBorders>
            <w:vAlign w:val="center"/>
          </w:tcPr>
          <w:p w14:paraId="16C8FD57">
            <w:pPr>
              <w:pStyle w:val="236"/>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rPr>
                <w:rFonts w:ascii="Times New Roman" w:hAnsi="Times New Roman" w:eastAsia="宋体" w:cs="Times New Roman"/>
                <w:color w:val="auto"/>
                <w:sz w:val="21"/>
                <w:szCs w:val="21"/>
                <w:highlight w:val="none"/>
              </w:rPr>
            </w:pPr>
            <w:r>
              <w:rPr>
                <w:rFonts w:ascii="Times New Roman" w:hAnsi="Times New Roman" w:eastAsia="宋体" w:cs="Times New Roman"/>
                <w:color w:val="auto"/>
                <w:sz w:val="21"/>
                <w:szCs w:val="21"/>
                <w:highlight w:val="none"/>
              </w:rPr>
              <w:t>50</w:t>
            </w:r>
          </w:p>
        </w:tc>
        <w:tc>
          <w:tcPr>
            <w:tcW w:w="1133" w:type="dxa"/>
            <w:tcBorders>
              <w:tl2br w:val="nil"/>
              <w:tr2bl w:val="nil"/>
            </w:tcBorders>
            <w:vAlign w:val="center"/>
          </w:tcPr>
          <w:p w14:paraId="041758AE">
            <w:pPr>
              <w:pStyle w:val="236"/>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rPr>
                <w:rFonts w:ascii="Times New Roman" w:hAnsi="Times New Roman" w:eastAsia="宋体" w:cs="Times New Roman"/>
                <w:color w:val="auto"/>
                <w:sz w:val="21"/>
                <w:szCs w:val="21"/>
                <w:highlight w:val="none"/>
              </w:rPr>
            </w:pPr>
            <w:r>
              <w:rPr>
                <w:rFonts w:ascii="Times New Roman" w:hAnsi="Times New Roman" w:eastAsia="宋体" w:cs="Times New Roman"/>
                <w:color w:val="auto"/>
                <w:spacing w:val="3"/>
                <w:sz w:val="21"/>
                <w:szCs w:val="21"/>
                <w:highlight w:val="none"/>
              </w:rPr>
              <w:t>0.10</w:t>
            </w:r>
          </w:p>
        </w:tc>
        <w:tc>
          <w:tcPr>
            <w:tcW w:w="1131" w:type="dxa"/>
            <w:tcBorders>
              <w:tl2br w:val="nil"/>
              <w:tr2bl w:val="nil"/>
            </w:tcBorders>
            <w:vAlign w:val="center"/>
          </w:tcPr>
          <w:p w14:paraId="7F0E1C68">
            <w:pPr>
              <w:pStyle w:val="236"/>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rPr>
                <w:rFonts w:ascii="Times New Roman" w:hAnsi="Times New Roman" w:eastAsia="宋体" w:cs="Times New Roman"/>
                <w:color w:val="auto"/>
                <w:sz w:val="21"/>
                <w:szCs w:val="21"/>
                <w:highlight w:val="none"/>
              </w:rPr>
            </w:pPr>
            <w:r>
              <w:rPr>
                <w:rFonts w:ascii="Times New Roman" w:hAnsi="Times New Roman" w:eastAsia="宋体" w:cs="Times New Roman"/>
                <w:color w:val="auto"/>
                <w:spacing w:val="3"/>
                <w:sz w:val="21"/>
                <w:szCs w:val="21"/>
                <w:highlight w:val="none"/>
              </w:rPr>
              <w:t>0.0005</w:t>
            </w:r>
          </w:p>
        </w:tc>
        <w:tc>
          <w:tcPr>
            <w:tcW w:w="1136" w:type="dxa"/>
            <w:tcBorders>
              <w:tl2br w:val="nil"/>
              <w:tr2bl w:val="nil"/>
            </w:tcBorders>
            <w:vAlign w:val="center"/>
          </w:tcPr>
          <w:p w14:paraId="1A9821E0">
            <w:pPr>
              <w:pStyle w:val="236"/>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rPr>
                <w:rFonts w:ascii="Times New Roman" w:hAnsi="Times New Roman" w:eastAsia="宋体" w:cs="Times New Roman"/>
                <w:color w:val="auto"/>
                <w:sz w:val="21"/>
                <w:szCs w:val="21"/>
                <w:highlight w:val="none"/>
              </w:rPr>
            </w:pPr>
            <w:r>
              <w:rPr>
                <w:rFonts w:ascii="Times New Roman" w:hAnsi="Times New Roman" w:eastAsia="宋体" w:cs="Times New Roman"/>
                <w:color w:val="auto"/>
                <w:spacing w:val="2"/>
                <w:sz w:val="21"/>
                <w:szCs w:val="21"/>
                <w:highlight w:val="none"/>
              </w:rPr>
              <w:t>0.0042</w:t>
            </w:r>
          </w:p>
        </w:tc>
        <w:tc>
          <w:tcPr>
            <w:tcW w:w="680" w:type="dxa"/>
            <w:vMerge w:val="restart"/>
            <w:tcBorders>
              <w:tl2br w:val="nil"/>
              <w:tr2bl w:val="nil"/>
            </w:tcBorders>
            <w:vAlign w:val="center"/>
          </w:tcPr>
          <w:p w14:paraId="74BA1200">
            <w:pPr>
              <w:pStyle w:val="236"/>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rPr>
                <w:rFonts w:ascii="Times New Roman" w:hAnsi="Times New Roman" w:eastAsia="宋体" w:cs="Times New Roman"/>
                <w:color w:val="auto"/>
                <w:sz w:val="21"/>
                <w:szCs w:val="21"/>
                <w:highlight w:val="none"/>
              </w:rPr>
            </w:pPr>
            <w:r>
              <w:rPr>
                <w:rFonts w:ascii="Times New Roman" w:hAnsi="Times New Roman" w:eastAsia="宋体" w:cs="Times New Roman"/>
                <w:color w:val="auto"/>
                <w:spacing w:val="2"/>
                <w:sz w:val="21"/>
                <w:szCs w:val="21"/>
                <w:highlight w:val="none"/>
              </w:rPr>
              <w:t>20</w:t>
            </w:r>
          </w:p>
        </w:tc>
      </w:tr>
      <w:tr w14:paraId="1E2FA5C1">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940" w:type="dxa"/>
            <w:vMerge w:val="continue"/>
            <w:tcBorders>
              <w:tl2br w:val="nil"/>
              <w:tr2bl w:val="nil"/>
            </w:tcBorders>
            <w:vAlign w:val="center"/>
          </w:tcPr>
          <w:p w14:paraId="3B9FFCC2">
            <w:pPr>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rPr>
                <w:rFonts w:ascii="Times New Roman" w:hAnsi="Times New Roman" w:cs="Times New Roman"/>
                <w:color w:val="auto"/>
                <w:sz w:val="21"/>
                <w:szCs w:val="21"/>
                <w:highlight w:val="none"/>
                <w:lang w:eastAsia="en-US"/>
              </w:rPr>
            </w:pPr>
          </w:p>
        </w:tc>
        <w:tc>
          <w:tcPr>
            <w:tcW w:w="825" w:type="dxa"/>
            <w:vMerge w:val="continue"/>
            <w:tcBorders>
              <w:tl2br w:val="nil"/>
              <w:tr2bl w:val="nil"/>
            </w:tcBorders>
            <w:vAlign w:val="center"/>
          </w:tcPr>
          <w:p w14:paraId="454C8302">
            <w:pPr>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rPr>
                <w:rFonts w:ascii="Times New Roman" w:hAnsi="Times New Roman" w:cs="Times New Roman"/>
                <w:color w:val="auto"/>
                <w:sz w:val="21"/>
                <w:szCs w:val="21"/>
                <w:highlight w:val="none"/>
                <w:lang w:eastAsia="en-US"/>
              </w:rPr>
            </w:pPr>
          </w:p>
        </w:tc>
        <w:tc>
          <w:tcPr>
            <w:tcW w:w="855" w:type="dxa"/>
            <w:vMerge w:val="continue"/>
            <w:tcBorders>
              <w:tl2br w:val="nil"/>
              <w:tr2bl w:val="nil"/>
            </w:tcBorders>
            <w:vAlign w:val="center"/>
          </w:tcPr>
          <w:p w14:paraId="334EFCD7">
            <w:pPr>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rPr>
                <w:rFonts w:ascii="Times New Roman" w:hAnsi="Times New Roman" w:cs="Times New Roman"/>
                <w:color w:val="auto"/>
                <w:sz w:val="21"/>
                <w:szCs w:val="21"/>
                <w:highlight w:val="none"/>
                <w:lang w:eastAsia="en-US"/>
              </w:rPr>
            </w:pPr>
          </w:p>
        </w:tc>
        <w:tc>
          <w:tcPr>
            <w:tcW w:w="1590" w:type="dxa"/>
            <w:tcBorders>
              <w:tl2br w:val="nil"/>
              <w:tr2bl w:val="nil"/>
            </w:tcBorders>
            <w:vAlign w:val="center"/>
          </w:tcPr>
          <w:p w14:paraId="60107817">
            <w:pPr>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rPr>
                <w:rFonts w:ascii="Times New Roman" w:hAnsi="Times New Roman" w:cs="Times New Roman"/>
                <w:color w:val="auto"/>
                <w:sz w:val="21"/>
                <w:szCs w:val="21"/>
                <w:highlight w:val="none"/>
                <w:lang w:eastAsia="en-US"/>
              </w:rPr>
            </w:pPr>
            <w:r>
              <w:rPr>
                <w:rFonts w:ascii="Times New Roman" w:hAnsi="Times New Roman" w:cs="Times New Roman"/>
                <w:color w:val="auto"/>
                <w:spacing w:val="3"/>
                <w:sz w:val="21"/>
                <w:szCs w:val="21"/>
                <w:highlight w:val="none"/>
                <w:lang w:eastAsia="en-US"/>
              </w:rPr>
              <w:t>丁酮</w:t>
            </w:r>
          </w:p>
        </w:tc>
        <w:tc>
          <w:tcPr>
            <w:tcW w:w="1065" w:type="dxa"/>
            <w:tcBorders>
              <w:tl2br w:val="nil"/>
              <w:tr2bl w:val="nil"/>
            </w:tcBorders>
            <w:vAlign w:val="center"/>
          </w:tcPr>
          <w:p w14:paraId="471524B9">
            <w:pPr>
              <w:pStyle w:val="236"/>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rPr>
                <w:rFonts w:ascii="Times New Roman" w:hAnsi="Times New Roman" w:eastAsia="宋体" w:cs="Times New Roman"/>
                <w:color w:val="auto"/>
                <w:sz w:val="21"/>
                <w:szCs w:val="21"/>
                <w:highlight w:val="none"/>
              </w:rPr>
            </w:pPr>
            <w:r>
              <w:rPr>
                <w:rFonts w:ascii="Times New Roman" w:hAnsi="Times New Roman" w:eastAsia="宋体" w:cs="Times New Roman"/>
                <w:color w:val="auto"/>
                <w:sz w:val="21"/>
                <w:szCs w:val="21"/>
                <w:highlight w:val="none"/>
              </w:rPr>
              <w:t>168.25</w:t>
            </w:r>
          </w:p>
        </w:tc>
        <w:tc>
          <w:tcPr>
            <w:tcW w:w="1125" w:type="dxa"/>
            <w:tcBorders>
              <w:tl2br w:val="nil"/>
              <w:tr2bl w:val="nil"/>
            </w:tcBorders>
            <w:vAlign w:val="center"/>
          </w:tcPr>
          <w:p w14:paraId="281EC225">
            <w:pPr>
              <w:pStyle w:val="236"/>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rPr>
                <w:rFonts w:ascii="Times New Roman" w:hAnsi="Times New Roman" w:eastAsia="宋体" w:cs="Times New Roman"/>
                <w:color w:val="auto"/>
                <w:sz w:val="21"/>
                <w:szCs w:val="21"/>
                <w:highlight w:val="none"/>
              </w:rPr>
            </w:pPr>
            <w:r>
              <w:rPr>
                <w:rFonts w:ascii="Times New Roman" w:hAnsi="Times New Roman" w:eastAsia="宋体" w:cs="Times New Roman"/>
                <w:color w:val="auto"/>
                <w:spacing w:val="3"/>
                <w:sz w:val="21"/>
                <w:szCs w:val="21"/>
                <w:highlight w:val="none"/>
              </w:rPr>
              <w:t>0.8412</w:t>
            </w:r>
          </w:p>
        </w:tc>
        <w:tc>
          <w:tcPr>
            <w:tcW w:w="1065" w:type="dxa"/>
            <w:tcBorders>
              <w:tl2br w:val="nil"/>
              <w:tr2bl w:val="nil"/>
            </w:tcBorders>
            <w:vAlign w:val="center"/>
          </w:tcPr>
          <w:p w14:paraId="29F74073">
            <w:pPr>
              <w:pStyle w:val="236"/>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rPr>
                <w:rFonts w:ascii="Times New Roman" w:hAnsi="Times New Roman" w:eastAsia="宋体" w:cs="Times New Roman"/>
                <w:color w:val="auto"/>
                <w:sz w:val="21"/>
                <w:szCs w:val="21"/>
                <w:highlight w:val="none"/>
              </w:rPr>
            </w:pPr>
            <w:r>
              <w:rPr>
                <w:rFonts w:ascii="Times New Roman" w:hAnsi="Times New Roman" w:eastAsia="宋体" w:cs="Times New Roman"/>
                <w:color w:val="auto"/>
                <w:spacing w:val="3"/>
                <w:sz w:val="21"/>
                <w:szCs w:val="21"/>
                <w:highlight w:val="none"/>
              </w:rPr>
              <w:t>7.0664</w:t>
            </w:r>
          </w:p>
        </w:tc>
        <w:tc>
          <w:tcPr>
            <w:tcW w:w="1717" w:type="dxa"/>
            <w:vMerge w:val="continue"/>
            <w:tcBorders>
              <w:tl2br w:val="nil"/>
              <w:tr2bl w:val="nil"/>
            </w:tcBorders>
            <w:vAlign w:val="center"/>
          </w:tcPr>
          <w:p w14:paraId="1DC97635">
            <w:pPr>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rPr>
                <w:rFonts w:ascii="Times New Roman" w:hAnsi="Times New Roman" w:cs="Times New Roman"/>
                <w:color w:val="auto"/>
                <w:sz w:val="21"/>
                <w:szCs w:val="21"/>
                <w:highlight w:val="none"/>
                <w:lang w:eastAsia="en-US"/>
              </w:rPr>
            </w:pPr>
          </w:p>
        </w:tc>
        <w:tc>
          <w:tcPr>
            <w:tcW w:w="696" w:type="dxa"/>
            <w:tcBorders>
              <w:tl2br w:val="nil"/>
              <w:tr2bl w:val="nil"/>
            </w:tcBorders>
            <w:vAlign w:val="center"/>
          </w:tcPr>
          <w:p w14:paraId="7B02971B">
            <w:pPr>
              <w:pStyle w:val="236"/>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rPr>
                <w:rFonts w:ascii="Times New Roman" w:hAnsi="Times New Roman" w:eastAsia="宋体" w:cs="Times New Roman"/>
                <w:color w:val="auto"/>
                <w:sz w:val="21"/>
                <w:szCs w:val="21"/>
                <w:highlight w:val="none"/>
              </w:rPr>
            </w:pPr>
            <w:r>
              <w:rPr>
                <w:rFonts w:ascii="Times New Roman" w:hAnsi="Times New Roman" w:eastAsia="宋体" w:cs="Times New Roman"/>
                <w:color w:val="auto"/>
                <w:sz w:val="21"/>
                <w:szCs w:val="21"/>
                <w:highlight w:val="none"/>
              </w:rPr>
              <w:t>94</w:t>
            </w:r>
          </w:p>
        </w:tc>
        <w:tc>
          <w:tcPr>
            <w:tcW w:w="1133" w:type="dxa"/>
            <w:tcBorders>
              <w:tl2br w:val="nil"/>
              <w:tr2bl w:val="nil"/>
            </w:tcBorders>
            <w:vAlign w:val="center"/>
          </w:tcPr>
          <w:p w14:paraId="0581177F">
            <w:pPr>
              <w:pStyle w:val="236"/>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rPr>
                <w:rFonts w:ascii="Times New Roman" w:hAnsi="Times New Roman" w:eastAsia="宋体" w:cs="Times New Roman"/>
                <w:color w:val="auto"/>
                <w:sz w:val="21"/>
                <w:szCs w:val="21"/>
                <w:highlight w:val="none"/>
              </w:rPr>
            </w:pPr>
            <w:r>
              <w:rPr>
                <w:rFonts w:ascii="Times New Roman" w:hAnsi="Times New Roman" w:eastAsia="宋体" w:cs="Times New Roman"/>
                <w:color w:val="auto"/>
                <w:spacing w:val="-6"/>
                <w:sz w:val="21"/>
                <w:szCs w:val="21"/>
                <w:highlight w:val="none"/>
              </w:rPr>
              <w:t>10.10</w:t>
            </w:r>
          </w:p>
        </w:tc>
        <w:tc>
          <w:tcPr>
            <w:tcW w:w="1131" w:type="dxa"/>
            <w:tcBorders>
              <w:tl2br w:val="nil"/>
              <w:tr2bl w:val="nil"/>
            </w:tcBorders>
            <w:vAlign w:val="center"/>
          </w:tcPr>
          <w:p w14:paraId="606E791F">
            <w:pPr>
              <w:pStyle w:val="236"/>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rPr>
                <w:rFonts w:ascii="Times New Roman" w:hAnsi="Times New Roman" w:eastAsia="宋体" w:cs="Times New Roman"/>
                <w:color w:val="auto"/>
                <w:sz w:val="21"/>
                <w:szCs w:val="21"/>
                <w:highlight w:val="none"/>
              </w:rPr>
            </w:pPr>
            <w:r>
              <w:rPr>
                <w:rFonts w:ascii="Times New Roman" w:hAnsi="Times New Roman" w:eastAsia="宋体" w:cs="Times New Roman"/>
                <w:color w:val="auto"/>
                <w:spacing w:val="3"/>
                <w:sz w:val="21"/>
                <w:szCs w:val="21"/>
                <w:highlight w:val="none"/>
              </w:rPr>
              <w:t>0.0505</w:t>
            </w:r>
          </w:p>
        </w:tc>
        <w:tc>
          <w:tcPr>
            <w:tcW w:w="1136" w:type="dxa"/>
            <w:tcBorders>
              <w:tl2br w:val="nil"/>
              <w:tr2bl w:val="nil"/>
            </w:tcBorders>
            <w:vAlign w:val="center"/>
          </w:tcPr>
          <w:p w14:paraId="3D36A8C2">
            <w:pPr>
              <w:pStyle w:val="236"/>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rPr>
                <w:rFonts w:ascii="Times New Roman" w:hAnsi="Times New Roman" w:eastAsia="宋体" w:cs="Times New Roman"/>
                <w:color w:val="auto"/>
                <w:sz w:val="21"/>
                <w:szCs w:val="21"/>
                <w:highlight w:val="none"/>
              </w:rPr>
            </w:pPr>
            <w:r>
              <w:rPr>
                <w:rFonts w:ascii="Times New Roman" w:hAnsi="Times New Roman" w:eastAsia="宋体" w:cs="Times New Roman"/>
                <w:color w:val="auto"/>
                <w:spacing w:val="3"/>
                <w:sz w:val="21"/>
                <w:szCs w:val="21"/>
                <w:highlight w:val="none"/>
              </w:rPr>
              <w:t>0.4240</w:t>
            </w:r>
          </w:p>
        </w:tc>
        <w:tc>
          <w:tcPr>
            <w:tcW w:w="680" w:type="dxa"/>
            <w:vMerge w:val="continue"/>
            <w:tcBorders>
              <w:tl2br w:val="nil"/>
              <w:tr2bl w:val="nil"/>
            </w:tcBorders>
            <w:vAlign w:val="center"/>
          </w:tcPr>
          <w:p w14:paraId="07CF5CB9">
            <w:pPr>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rPr>
                <w:rFonts w:ascii="Times New Roman" w:hAnsi="Times New Roman" w:cs="Times New Roman"/>
                <w:color w:val="auto"/>
                <w:sz w:val="21"/>
                <w:szCs w:val="21"/>
                <w:highlight w:val="none"/>
                <w:lang w:eastAsia="en-US"/>
              </w:rPr>
            </w:pPr>
          </w:p>
        </w:tc>
      </w:tr>
      <w:tr w14:paraId="67AEC03A">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940" w:type="dxa"/>
            <w:vMerge w:val="continue"/>
            <w:tcBorders>
              <w:tl2br w:val="nil"/>
              <w:tr2bl w:val="nil"/>
            </w:tcBorders>
            <w:vAlign w:val="center"/>
          </w:tcPr>
          <w:p w14:paraId="714B07EC">
            <w:pPr>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rPr>
                <w:rFonts w:ascii="Times New Roman" w:hAnsi="Times New Roman" w:cs="Times New Roman"/>
                <w:color w:val="auto"/>
                <w:sz w:val="21"/>
                <w:szCs w:val="21"/>
                <w:highlight w:val="none"/>
                <w:lang w:eastAsia="en-US"/>
              </w:rPr>
            </w:pPr>
          </w:p>
        </w:tc>
        <w:tc>
          <w:tcPr>
            <w:tcW w:w="825" w:type="dxa"/>
            <w:vMerge w:val="continue"/>
            <w:tcBorders>
              <w:tl2br w:val="nil"/>
              <w:tr2bl w:val="nil"/>
            </w:tcBorders>
            <w:vAlign w:val="center"/>
          </w:tcPr>
          <w:p w14:paraId="6A08B4BF">
            <w:pPr>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rPr>
                <w:rFonts w:ascii="Times New Roman" w:hAnsi="Times New Roman" w:cs="Times New Roman"/>
                <w:color w:val="auto"/>
                <w:sz w:val="21"/>
                <w:szCs w:val="21"/>
                <w:highlight w:val="none"/>
                <w:lang w:eastAsia="en-US"/>
              </w:rPr>
            </w:pPr>
          </w:p>
        </w:tc>
        <w:tc>
          <w:tcPr>
            <w:tcW w:w="855" w:type="dxa"/>
            <w:vMerge w:val="continue"/>
            <w:tcBorders>
              <w:tl2br w:val="nil"/>
              <w:tr2bl w:val="nil"/>
            </w:tcBorders>
            <w:vAlign w:val="center"/>
          </w:tcPr>
          <w:p w14:paraId="1DD612D2">
            <w:pPr>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rPr>
                <w:rFonts w:ascii="Times New Roman" w:hAnsi="Times New Roman" w:cs="Times New Roman"/>
                <w:color w:val="auto"/>
                <w:sz w:val="21"/>
                <w:szCs w:val="21"/>
                <w:highlight w:val="none"/>
                <w:lang w:eastAsia="en-US"/>
              </w:rPr>
            </w:pPr>
          </w:p>
        </w:tc>
        <w:tc>
          <w:tcPr>
            <w:tcW w:w="1590" w:type="dxa"/>
            <w:tcBorders>
              <w:tl2br w:val="nil"/>
              <w:tr2bl w:val="nil"/>
            </w:tcBorders>
            <w:vAlign w:val="center"/>
          </w:tcPr>
          <w:p w14:paraId="2D65B5A9">
            <w:pPr>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rPr>
                <w:rFonts w:ascii="Times New Roman" w:hAnsi="Times New Roman" w:cs="Times New Roman"/>
                <w:color w:val="auto"/>
                <w:sz w:val="21"/>
                <w:szCs w:val="21"/>
                <w:highlight w:val="none"/>
                <w:lang w:eastAsia="en-US"/>
              </w:rPr>
            </w:pPr>
            <w:r>
              <w:rPr>
                <w:rFonts w:ascii="Times New Roman" w:hAnsi="Times New Roman" w:cs="Times New Roman"/>
                <w:color w:val="auto"/>
                <w:spacing w:val="5"/>
                <w:sz w:val="21"/>
                <w:szCs w:val="21"/>
                <w:highlight w:val="none"/>
                <w:lang w:eastAsia="en-US"/>
              </w:rPr>
              <w:t>丙烯酸</w:t>
            </w:r>
          </w:p>
        </w:tc>
        <w:tc>
          <w:tcPr>
            <w:tcW w:w="1065" w:type="dxa"/>
            <w:tcBorders>
              <w:tl2br w:val="nil"/>
              <w:tr2bl w:val="nil"/>
            </w:tcBorders>
            <w:vAlign w:val="center"/>
          </w:tcPr>
          <w:p w14:paraId="67F40FF9">
            <w:pPr>
              <w:pStyle w:val="236"/>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rPr>
                <w:rFonts w:ascii="Times New Roman" w:hAnsi="Times New Roman" w:eastAsia="宋体" w:cs="Times New Roman"/>
                <w:color w:val="auto"/>
                <w:sz w:val="21"/>
                <w:szCs w:val="21"/>
                <w:highlight w:val="none"/>
              </w:rPr>
            </w:pPr>
            <w:r>
              <w:rPr>
                <w:rFonts w:ascii="Times New Roman" w:hAnsi="Times New Roman" w:eastAsia="宋体" w:cs="Times New Roman"/>
                <w:color w:val="auto"/>
                <w:sz w:val="21"/>
                <w:szCs w:val="21"/>
                <w:highlight w:val="none"/>
              </w:rPr>
              <w:t>116.96</w:t>
            </w:r>
          </w:p>
        </w:tc>
        <w:tc>
          <w:tcPr>
            <w:tcW w:w="1125" w:type="dxa"/>
            <w:tcBorders>
              <w:tl2br w:val="nil"/>
              <w:tr2bl w:val="nil"/>
            </w:tcBorders>
            <w:vAlign w:val="center"/>
          </w:tcPr>
          <w:p w14:paraId="7FF90A43">
            <w:pPr>
              <w:pStyle w:val="236"/>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rPr>
                <w:rFonts w:ascii="Times New Roman" w:hAnsi="Times New Roman" w:eastAsia="宋体" w:cs="Times New Roman"/>
                <w:color w:val="auto"/>
                <w:sz w:val="21"/>
                <w:szCs w:val="21"/>
                <w:highlight w:val="none"/>
              </w:rPr>
            </w:pPr>
            <w:r>
              <w:rPr>
                <w:rFonts w:ascii="Times New Roman" w:hAnsi="Times New Roman" w:eastAsia="宋体" w:cs="Times New Roman"/>
                <w:color w:val="auto"/>
                <w:spacing w:val="3"/>
                <w:sz w:val="21"/>
                <w:szCs w:val="21"/>
                <w:highlight w:val="none"/>
              </w:rPr>
              <w:t>0.5848</w:t>
            </w:r>
          </w:p>
        </w:tc>
        <w:tc>
          <w:tcPr>
            <w:tcW w:w="1065" w:type="dxa"/>
            <w:tcBorders>
              <w:tl2br w:val="nil"/>
              <w:tr2bl w:val="nil"/>
            </w:tcBorders>
            <w:vAlign w:val="center"/>
          </w:tcPr>
          <w:p w14:paraId="259C4039">
            <w:pPr>
              <w:pStyle w:val="236"/>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rPr>
                <w:rFonts w:ascii="Times New Roman" w:hAnsi="Times New Roman" w:eastAsia="宋体" w:cs="Times New Roman"/>
                <w:color w:val="auto"/>
                <w:sz w:val="21"/>
                <w:szCs w:val="21"/>
                <w:highlight w:val="none"/>
              </w:rPr>
            </w:pPr>
            <w:r>
              <w:rPr>
                <w:rFonts w:ascii="Times New Roman" w:hAnsi="Times New Roman" w:eastAsia="宋体" w:cs="Times New Roman"/>
                <w:color w:val="auto"/>
                <w:spacing w:val="4"/>
                <w:sz w:val="21"/>
                <w:szCs w:val="21"/>
                <w:highlight w:val="none"/>
              </w:rPr>
              <w:t>4.9122</w:t>
            </w:r>
          </w:p>
        </w:tc>
        <w:tc>
          <w:tcPr>
            <w:tcW w:w="1717" w:type="dxa"/>
            <w:vMerge w:val="continue"/>
            <w:tcBorders>
              <w:tl2br w:val="nil"/>
              <w:tr2bl w:val="nil"/>
            </w:tcBorders>
            <w:vAlign w:val="center"/>
          </w:tcPr>
          <w:p w14:paraId="2D920D0A">
            <w:pPr>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rPr>
                <w:rFonts w:ascii="Times New Roman" w:hAnsi="Times New Roman" w:cs="Times New Roman"/>
                <w:color w:val="auto"/>
                <w:sz w:val="21"/>
                <w:szCs w:val="21"/>
                <w:highlight w:val="none"/>
                <w:lang w:eastAsia="en-US"/>
              </w:rPr>
            </w:pPr>
          </w:p>
        </w:tc>
        <w:tc>
          <w:tcPr>
            <w:tcW w:w="696" w:type="dxa"/>
            <w:tcBorders>
              <w:tl2br w:val="nil"/>
              <w:tr2bl w:val="nil"/>
            </w:tcBorders>
            <w:vAlign w:val="center"/>
          </w:tcPr>
          <w:p w14:paraId="554B201E">
            <w:pPr>
              <w:pStyle w:val="236"/>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rPr>
                <w:rFonts w:ascii="Times New Roman" w:hAnsi="Times New Roman" w:eastAsia="宋体" w:cs="Times New Roman"/>
                <w:color w:val="auto"/>
                <w:sz w:val="21"/>
                <w:szCs w:val="21"/>
                <w:highlight w:val="none"/>
              </w:rPr>
            </w:pPr>
            <w:r>
              <w:rPr>
                <w:rFonts w:ascii="Times New Roman" w:hAnsi="Times New Roman" w:eastAsia="宋体" w:cs="Times New Roman"/>
                <w:color w:val="auto"/>
                <w:sz w:val="21"/>
                <w:szCs w:val="21"/>
                <w:highlight w:val="none"/>
              </w:rPr>
              <w:t>98</w:t>
            </w:r>
          </w:p>
        </w:tc>
        <w:tc>
          <w:tcPr>
            <w:tcW w:w="1133" w:type="dxa"/>
            <w:tcBorders>
              <w:tl2br w:val="nil"/>
              <w:tr2bl w:val="nil"/>
            </w:tcBorders>
            <w:vAlign w:val="center"/>
          </w:tcPr>
          <w:p w14:paraId="0C48BEED">
            <w:pPr>
              <w:pStyle w:val="236"/>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rPr>
                <w:rFonts w:ascii="Times New Roman" w:hAnsi="Times New Roman" w:eastAsia="宋体" w:cs="Times New Roman"/>
                <w:color w:val="auto"/>
                <w:sz w:val="21"/>
                <w:szCs w:val="21"/>
                <w:highlight w:val="none"/>
              </w:rPr>
            </w:pPr>
            <w:r>
              <w:rPr>
                <w:rFonts w:ascii="Times New Roman" w:hAnsi="Times New Roman" w:eastAsia="宋体" w:cs="Times New Roman"/>
                <w:color w:val="auto"/>
                <w:spacing w:val="4"/>
                <w:sz w:val="21"/>
                <w:szCs w:val="21"/>
                <w:highlight w:val="none"/>
              </w:rPr>
              <w:t>2.34</w:t>
            </w:r>
          </w:p>
        </w:tc>
        <w:tc>
          <w:tcPr>
            <w:tcW w:w="1131" w:type="dxa"/>
            <w:tcBorders>
              <w:tl2br w:val="nil"/>
              <w:tr2bl w:val="nil"/>
            </w:tcBorders>
            <w:vAlign w:val="center"/>
          </w:tcPr>
          <w:p w14:paraId="44B213AB">
            <w:pPr>
              <w:pStyle w:val="236"/>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rPr>
                <w:rFonts w:ascii="Times New Roman" w:hAnsi="Times New Roman" w:eastAsia="宋体" w:cs="Times New Roman"/>
                <w:color w:val="auto"/>
                <w:sz w:val="21"/>
                <w:szCs w:val="21"/>
                <w:highlight w:val="none"/>
              </w:rPr>
            </w:pPr>
            <w:r>
              <w:rPr>
                <w:rFonts w:ascii="Times New Roman" w:hAnsi="Times New Roman" w:eastAsia="宋体" w:cs="Times New Roman"/>
                <w:color w:val="auto"/>
                <w:spacing w:val="3"/>
                <w:sz w:val="21"/>
                <w:szCs w:val="21"/>
                <w:highlight w:val="none"/>
              </w:rPr>
              <w:t>0.0117</w:t>
            </w:r>
          </w:p>
        </w:tc>
        <w:tc>
          <w:tcPr>
            <w:tcW w:w="1136" w:type="dxa"/>
            <w:tcBorders>
              <w:tl2br w:val="nil"/>
              <w:tr2bl w:val="nil"/>
            </w:tcBorders>
            <w:vAlign w:val="center"/>
          </w:tcPr>
          <w:p w14:paraId="5E80C411">
            <w:pPr>
              <w:pStyle w:val="236"/>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rPr>
                <w:rFonts w:ascii="Times New Roman" w:hAnsi="Times New Roman" w:eastAsia="宋体" w:cs="Times New Roman"/>
                <w:color w:val="auto"/>
                <w:sz w:val="21"/>
                <w:szCs w:val="21"/>
                <w:highlight w:val="none"/>
              </w:rPr>
            </w:pPr>
            <w:r>
              <w:rPr>
                <w:rFonts w:ascii="Times New Roman" w:hAnsi="Times New Roman" w:eastAsia="宋体" w:cs="Times New Roman"/>
                <w:color w:val="auto"/>
                <w:spacing w:val="3"/>
                <w:sz w:val="21"/>
                <w:szCs w:val="21"/>
                <w:highlight w:val="none"/>
              </w:rPr>
              <w:t>0.0982</w:t>
            </w:r>
          </w:p>
        </w:tc>
        <w:tc>
          <w:tcPr>
            <w:tcW w:w="680" w:type="dxa"/>
            <w:vMerge w:val="continue"/>
            <w:tcBorders>
              <w:tl2br w:val="nil"/>
              <w:tr2bl w:val="nil"/>
            </w:tcBorders>
            <w:vAlign w:val="center"/>
          </w:tcPr>
          <w:p w14:paraId="4B86FC6D">
            <w:pPr>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rPr>
                <w:rFonts w:ascii="Times New Roman" w:hAnsi="Times New Roman" w:cs="Times New Roman"/>
                <w:color w:val="auto"/>
                <w:sz w:val="21"/>
                <w:szCs w:val="21"/>
                <w:highlight w:val="none"/>
                <w:lang w:eastAsia="en-US"/>
              </w:rPr>
            </w:pPr>
          </w:p>
        </w:tc>
      </w:tr>
      <w:tr w14:paraId="66680365">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940" w:type="dxa"/>
            <w:vMerge w:val="continue"/>
            <w:tcBorders>
              <w:tl2br w:val="nil"/>
              <w:tr2bl w:val="nil"/>
            </w:tcBorders>
            <w:vAlign w:val="center"/>
          </w:tcPr>
          <w:p w14:paraId="595D1EAB">
            <w:pPr>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rPr>
                <w:rFonts w:ascii="Times New Roman" w:hAnsi="Times New Roman" w:cs="Times New Roman"/>
                <w:color w:val="auto"/>
                <w:sz w:val="21"/>
                <w:szCs w:val="21"/>
                <w:highlight w:val="none"/>
                <w:lang w:eastAsia="en-US"/>
              </w:rPr>
            </w:pPr>
          </w:p>
        </w:tc>
        <w:tc>
          <w:tcPr>
            <w:tcW w:w="825" w:type="dxa"/>
            <w:vMerge w:val="continue"/>
            <w:tcBorders>
              <w:tl2br w:val="nil"/>
              <w:tr2bl w:val="nil"/>
            </w:tcBorders>
            <w:vAlign w:val="center"/>
          </w:tcPr>
          <w:p w14:paraId="7A415A08">
            <w:pPr>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rPr>
                <w:rFonts w:ascii="Times New Roman" w:hAnsi="Times New Roman" w:cs="Times New Roman"/>
                <w:color w:val="auto"/>
                <w:sz w:val="21"/>
                <w:szCs w:val="21"/>
                <w:highlight w:val="none"/>
                <w:lang w:eastAsia="en-US"/>
              </w:rPr>
            </w:pPr>
          </w:p>
        </w:tc>
        <w:tc>
          <w:tcPr>
            <w:tcW w:w="855" w:type="dxa"/>
            <w:vMerge w:val="continue"/>
            <w:tcBorders>
              <w:tl2br w:val="nil"/>
              <w:tr2bl w:val="nil"/>
            </w:tcBorders>
            <w:vAlign w:val="center"/>
          </w:tcPr>
          <w:p w14:paraId="785B3D36">
            <w:pPr>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rPr>
                <w:rFonts w:ascii="Times New Roman" w:hAnsi="Times New Roman" w:cs="Times New Roman"/>
                <w:color w:val="auto"/>
                <w:sz w:val="21"/>
                <w:szCs w:val="21"/>
                <w:highlight w:val="none"/>
                <w:lang w:eastAsia="en-US"/>
              </w:rPr>
            </w:pPr>
          </w:p>
        </w:tc>
        <w:tc>
          <w:tcPr>
            <w:tcW w:w="1590" w:type="dxa"/>
            <w:tcBorders>
              <w:tl2br w:val="nil"/>
              <w:tr2bl w:val="nil"/>
            </w:tcBorders>
            <w:vAlign w:val="center"/>
          </w:tcPr>
          <w:p w14:paraId="73D289B7">
            <w:pPr>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rPr>
                <w:rFonts w:ascii="Times New Roman" w:hAnsi="Times New Roman" w:cs="Times New Roman"/>
                <w:color w:val="auto"/>
                <w:sz w:val="21"/>
                <w:szCs w:val="21"/>
                <w:highlight w:val="none"/>
                <w:lang w:eastAsia="en-US"/>
              </w:rPr>
            </w:pPr>
            <w:r>
              <w:rPr>
                <w:rFonts w:ascii="Times New Roman" w:hAnsi="Times New Roman" w:cs="Times New Roman"/>
                <w:color w:val="auto"/>
                <w:spacing w:val="7"/>
                <w:sz w:val="21"/>
                <w:szCs w:val="21"/>
                <w:highlight w:val="none"/>
                <w:lang w:eastAsia="en-US"/>
              </w:rPr>
              <w:t>非甲烷总烃</w:t>
            </w:r>
          </w:p>
        </w:tc>
        <w:tc>
          <w:tcPr>
            <w:tcW w:w="1065" w:type="dxa"/>
            <w:tcBorders>
              <w:tl2br w:val="nil"/>
              <w:tr2bl w:val="nil"/>
            </w:tcBorders>
            <w:vAlign w:val="center"/>
          </w:tcPr>
          <w:p w14:paraId="4E795912">
            <w:pPr>
              <w:pStyle w:val="236"/>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rPr>
                <w:rFonts w:ascii="Times New Roman" w:hAnsi="Times New Roman" w:eastAsia="宋体" w:cs="Times New Roman"/>
                <w:color w:val="auto"/>
                <w:sz w:val="21"/>
                <w:szCs w:val="21"/>
                <w:highlight w:val="none"/>
              </w:rPr>
            </w:pPr>
            <w:r>
              <w:rPr>
                <w:rFonts w:ascii="Times New Roman" w:hAnsi="Times New Roman" w:eastAsia="宋体" w:cs="Times New Roman"/>
                <w:color w:val="auto"/>
                <w:spacing w:val="-1"/>
                <w:sz w:val="21"/>
                <w:szCs w:val="21"/>
                <w:highlight w:val="none"/>
              </w:rPr>
              <w:t>18.70</w:t>
            </w:r>
          </w:p>
        </w:tc>
        <w:tc>
          <w:tcPr>
            <w:tcW w:w="1125" w:type="dxa"/>
            <w:tcBorders>
              <w:tl2br w:val="nil"/>
              <w:tr2bl w:val="nil"/>
            </w:tcBorders>
            <w:vAlign w:val="center"/>
          </w:tcPr>
          <w:p w14:paraId="0119B285">
            <w:pPr>
              <w:pStyle w:val="236"/>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rPr>
                <w:rFonts w:ascii="Times New Roman" w:hAnsi="Times New Roman" w:eastAsia="宋体" w:cs="Times New Roman"/>
                <w:color w:val="auto"/>
                <w:sz w:val="21"/>
                <w:szCs w:val="21"/>
                <w:highlight w:val="none"/>
              </w:rPr>
            </w:pPr>
            <w:r>
              <w:rPr>
                <w:rFonts w:ascii="Times New Roman" w:hAnsi="Times New Roman" w:eastAsia="宋体" w:cs="Times New Roman"/>
                <w:color w:val="auto"/>
                <w:spacing w:val="3"/>
                <w:sz w:val="21"/>
                <w:szCs w:val="21"/>
                <w:highlight w:val="none"/>
              </w:rPr>
              <w:t>0.0935</w:t>
            </w:r>
          </w:p>
        </w:tc>
        <w:tc>
          <w:tcPr>
            <w:tcW w:w="1065" w:type="dxa"/>
            <w:tcBorders>
              <w:tl2br w:val="nil"/>
              <w:tr2bl w:val="nil"/>
            </w:tcBorders>
            <w:vAlign w:val="center"/>
          </w:tcPr>
          <w:p w14:paraId="28A7A987">
            <w:pPr>
              <w:pStyle w:val="236"/>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rPr>
                <w:rFonts w:ascii="Times New Roman" w:hAnsi="Times New Roman" w:eastAsia="宋体" w:cs="Times New Roman"/>
                <w:color w:val="auto"/>
                <w:sz w:val="21"/>
                <w:szCs w:val="21"/>
                <w:highlight w:val="none"/>
              </w:rPr>
            </w:pPr>
            <w:r>
              <w:rPr>
                <w:rFonts w:ascii="Times New Roman" w:hAnsi="Times New Roman" w:eastAsia="宋体" w:cs="Times New Roman"/>
                <w:color w:val="auto"/>
                <w:spacing w:val="3"/>
                <w:sz w:val="21"/>
                <w:szCs w:val="21"/>
                <w:highlight w:val="none"/>
              </w:rPr>
              <w:t>0.7856</w:t>
            </w:r>
          </w:p>
        </w:tc>
        <w:tc>
          <w:tcPr>
            <w:tcW w:w="1717" w:type="dxa"/>
            <w:vMerge w:val="continue"/>
            <w:tcBorders>
              <w:tl2br w:val="nil"/>
              <w:tr2bl w:val="nil"/>
            </w:tcBorders>
            <w:vAlign w:val="center"/>
          </w:tcPr>
          <w:p w14:paraId="248BE5D3">
            <w:pPr>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rPr>
                <w:rFonts w:ascii="Times New Roman" w:hAnsi="Times New Roman" w:cs="Times New Roman"/>
                <w:color w:val="auto"/>
                <w:sz w:val="21"/>
                <w:szCs w:val="21"/>
                <w:highlight w:val="none"/>
                <w:lang w:eastAsia="en-US"/>
              </w:rPr>
            </w:pPr>
          </w:p>
        </w:tc>
        <w:tc>
          <w:tcPr>
            <w:tcW w:w="696" w:type="dxa"/>
            <w:tcBorders>
              <w:tl2br w:val="nil"/>
              <w:tr2bl w:val="nil"/>
            </w:tcBorders>
            <w:vAlign w:val="center"/>
          </w:tcPr>
          <w:p w14:paraId="32023127">
            <w:pPr>
              <w:pStyle w:val="236"/>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rPr>
                <w:rFonts w:ascii="Times New Roman" w:hAnsi="Times New Roman" w:eastAsia="宋体" w:cs="Times New Roman"/>
                <w:color w:val="auto"/>
                <w:sz w:val="21"/>
                <w:szCs w:val="21"/>
                <w:highlight w:val="none"/>
              </w:rPr>
            </w:pPr>
            <w:r>
              <w:rPr>
                <w:rFonts w:ascii="Times New Roman" w:hAnsi="Times New Roman" w:eastAsia="宋体" w:cs="Times New Roman"/>
                <w:color w:val="auto"/>
                <w:sz w:val="21"/>
                <w:szCs w:val="21"/>
                <w:highlight w:val="none"/>
              </w:rPr>
              <w:t>50</w:t>
            </w:r>
          </w:p>
        </w:tc>
        <w:tc>
          <w:tcPr>
            <w:tcW w:w="1133" w:type="dxa"/>
            <w:tcBorders>
              <w:tl2br w:val="nil"/>
              <w:tr2bl w:val="nil"/>
            </w:tcBorders>
            <w:vAlign w:val="center"/>
          </w:tcPr>
          <w:p w14:paraId="172C1F2C">
            <w:pPr>
              <w:pStyle w:val="236"/>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rPr>
                <w:rFonts w:ascii="Times New Roman" w:hAnsi="Times New Roman" w:eastAsia="宋体" w:cs="Times New Roman"/>
                <w:color w:val="auto"/>
                <w:sz w:val="21"/>
                <w:szCs w:val="21"/>
                <w:highlight w:val="none"/>
              </w:rPr>
            </w:pPr>
            <w:r>
              <w:rPr>
                <w:rFonts w:ascii="Times New Roman" w:hAnsi="Times New Roman" w:eastAsia="宋体" w:cs="Times New Roman"/>
                <w:color w:val="auto"/>
                <w:spacing w:val="3"/>
                <w:sz w:val="21"/>
                <w:szCs w:val="21"/>
                <w:highlight w:val="none"/>
              </w:rPr>
              <w:t>9.35</w:t>
            </w:r>
          </w:p>
        </w:tc>
        <w:tc>
          <w:tcPr>
            <w:tcW w:w="1131" w:type="dxa"/>
            <w:tcBorders>
              <w:tl2br w:val="nil"/>
              <w:tr2bl w:val="nil"/>
            </w:tcBorders>
            <w:vAlign w:val="center"/>
          </w:tcPr>
          <w:p w14:paraId="3821B24C">
            <w:pPr>
              <w:pStyle w:val="236"/>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rPr>
                <w:rFonts w:ascii="Times New Roman" w:hAnsi="Times New Roman" w:eastAsia="宋体" w:cs="Times New Roman"/>
                <w:color w:val="auto"/>
                <w:sz w:val="21"/>
                <w:szCs w:val="21"/>
                <w:highlight w:val="none"/>
              </w:rPr>
            </w:pPr>
            <w:r>
              <w:rPr>
                <w:rFonts w:ascii="Times New Roman" w:hAnsi="Times New Roman" w:eastAsia="宋体" w:cs="Times New Roman"/>
                <w:color w:val="auto"/>
                <w:spacing w:val="3"/>
                <w:sz w:val="21"/>
                <w:szCs w:val="21"/>
                <w:highlight w:val="none"/>
              </w:rPr>
              <w:t>0.0468</w:t>
            </w:r>
          </w:p>
        </w:tc>
        <w:tc>
          <w:tcPr>
            <w:tcW w:w="1136" w:type="dxa"/>
            <w:tcBorders>
              <w:tl2br w:val="nil"/>
              <w:tr2bl w:val="nil"/>
            </w:tcBorders>
            <w:vAlign w:val="center"/>
          </w:tcPr>
          <w:p w14:paraId="31C07535">
            <w:pPr>
              <w:pStyle w:val="236"/>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rPr>
                <w:rFonts w:ascii="Times New Roman" w:hAnsi="Times New Roman" w:eastAsia="宋体" w:cs="Times New Roman"/>
                <w:color w:val="auto"/>
                <w:sz w:val="21"/>
                <w:szCs w:val="21"/>
                <w:highlight w:val="none"/>
              </w:rPr>
            </w:pPr>
            <w:r>
              <w:rPr>
                <w:rFonts w:ascii="Times New Roman" w:hAnsi="Times New Roman" w:eastAsia="宋体" w:cs="Times New Roman"/>
                <w:color w:val="auto"/>
                <w:spacing w:val="3"/>
                <w:sz w:val="21"/>
                <w:szCs w:val="21"/>
                <w:highlight w:val="none"/>
              </w:rPr>
              <w:t>0.3928</w:t>
            </w:r>
          </w:p>
        </w:tc>
        <w:tc>
          <w:tcPr>
            <w:tcW w:w="680" w:type="dxa"/>
            <w:vMerge w:val="continue"/>
            <w:tcBorders>
              <w:tl2br w:val="nil"/>
              <w:tr2bl w:val="nil"/>
            </w:tcBorders>
            <w:vAlign w:val="center"/>
          </w:tcPr>
          <w:p w14:paraId="02737CBA">
            <w:pPr>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rPr>
                <w:rFonts w:ascii="Times New Roman" w:hAnsi="Times New Roman" w:cs="Times New Roman"/>
                <w:color w:val="auto"/>
                <w:sz w:val="21"/>
                <w:szCs w:val="21"/>
                <w:highlight w:val="none"/>
                <w:lang w:eastAsia="en-US"/>
              </w:rPr>
            </w:pPr>
          </w:p>
        </w:tc>
      </w:tr>
      <w:tr w14:paraId="05CC9FAD">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940" w:type="dxa"/>
            <w:vMerge w:val="restart"/>
            <w:tcBorders>
              <w:tl2br w:val="nil"/>
              <w:tr2bl w:val="nil"/>
            </w:tcBorders>
            <w:vAlign w:val="center"/>
          </w:tcPr>
          <w:p w14:paraId="42CBE2F4">
            <w:pPr>
              <w:pStyle w:val="236"/>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rPr>
                <w:rFonts w:ascii="Times New Roman" w:hAnsi="Times New Roman" w:eastAsia="宋体" w:cs="Times New Roman"/>
                <w:color w:val="auto"/>
                <w:sz w:val="21"/>
                <w:szCs w:val="21"/>
                <w:highlight w:val="none"/>
              </w:rPr>
            </w:pPr>
            <w:r>
              <w:rPr>
                <w:rFonts w:ascii="Times New Roman" w:hAnsi="Times New Roman" w:eastAsia="宋体" w:cs="Times New Roman"/>
                <w:color w:val="auto"/>
                <w:sz w:val="21"/>
                <w:szCs w:val="21"/>
                <w:highlight w:val="none"/>
              </w:rPr>
              <w:t>DA</w:t>
            </w:r>
            <w:r>
              <w:rPr>
                <w:rFonts w:ascii="Times New Roman" w:hAnsi="Times New Roman" w:eastAsia="宋体" w:cs="Times New Roman"/>
                <w:color w:val="auto"/>
                <w:spacing w:val="8"/>
                <w:sz w:val="21"/>
                <w:szCs w:val="21"/>
                <w:highlight w:val="none"/>
              </w:rPr>
              <w:t>005</w:t>
            </w:r>
          </w:p>
        </w:tc>
        <w:tc>
          <w:tcPr>
            <w:tcW w:w="825" w:type="dxa"/>
            <w:vMerge w:val="continue"/>
            <w:tcBorders>
              <w:tl2br w:val="nil"/>
              <w:tr2bl w:val="nil"/>
            </w:tcBorders>
            <w:vAlign w:val="center"/>
          </w:tcPr>
          <w:p w14:paraId="346750C1">
            <w:pPr>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rPr>
                <w:rFonts w:ascii="Times New Roman" w:hAnsi="Times New Roman" w:cs="Times New Roman"/>
                <w:color w:val="auto"/>
                <w:sz w:val="21"/>
                <w:szCs w:val="21"/>
                <w:highlight w:val="none"/>
                <w:lang w:eastAsia="en-US"/>
              </w:rPr>
            </w:pPr>
          </w:p>
        </w:tc>
        <w:tc>
          <w:tcPr>
            <w:tcW w:w="855" w:type="dxa"/>
            <w:vMerge w:val="restart"/>
            <w:tcBorders>
              <w:tl2br w:val="nil"/>
              <w:tr2bl w:val="nil"/>
            </w:tcBorders>
            <w:vAlign w:val="center"/>
          </w:tcPr>
          <w:p w14:paraId="0DB86CDD">
            <w:pPr>
              <w:pStyle w:val="236"/>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rPr>
                <w:rFonts w:ascii="Times New Roman" w:hAnsi="Times New Roman" w:eastAsia="宋体" w:cs="Times New Roman"/>
                <w:color w:val="auto"/>
                <w:sz w:val="21"/>
                <w:szCs w:val="21"/>
                <w:highlight w:val="none"/>
                <w:lang w:eastAsia="zh-CN"/>
              </w:rPr>
            </w:pPr>
            <w:r>
              <w:rPr>
                <w:rFonts w:ascii="Times New Roman" w:hAnsi="Times New Roman" w:eastAsia="宋体" w:cs="Times New Roman"/>
                <w:color w:val="auto"/>
                <w:sz w:val="21"/>
                <w:szCs w:val="21"/>
                <w:highlight w:val="none"/>
                <w:lang w:eastAsia="zh-CN"/>
              </w:rPr>
              <w:t>20000</w:t>
            </w:r>
          </w:p>
        </w:tc>
        <w:tc>
          <w:tcPr>
            <w:tcW w:w="1590" w:type="dxa"/>
            <w:tcBorders>
              <w:tl2br w:val="nil"/>
              <w:tr2bl w:val="nil"/>
            </w:tcBorders>
            <w:vAlign w:val="center"/>
          </w:tcPr>
          <w:p w14:paraId="3DE7037D">
            <w:pPr>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rPr>
                <w:rFonts w:ascii="Times New Roman" w:hAnsi="Times New Roman" w:cs="Times New Roman"/>
                <w:color w:val="auto"/>
                <w:sz w:val="21"/>
                <w:szCs w:val="21"/>
                <w:highlight w:val="none"/>
                <w:lang w:eastAsia="en-US"/>
              </w:rPr>
            </w:pPr>
            <w:r>
              <w:rPr>
                <w:rFonts w:ascii="Times New Roman" w:hAnsi="Times New Roman" w:cs="Times New Roman"/>
                <w:color w:val="auto"/>
                <w:spacing w:val="5"/>
                <w:sz w:val="21"/>
                <w:szCs w:val="21"/>
                <w:highlight w:val="none"/>
                <w:lang w:eastAsia="en-US"/>
              </w:rPr>
              <w:t>丙烯酸</w:t>
            </w:r>
          </w:p>
        </w:tc>
        <w:tc>
          <w:tcPr>
            <w:tcW w:w="1065" w:type="dxa"/>
            <w:tcBorders>
              <w:tl2br w:val="nil"/>
              <w:tr2bl w:val="nil"/>
            </w:tcBorders>
            <w:vAlign w:val="center"/>
          </w:tcPr>
          <w:p w14:paraId="22B8A14E">
            <w:pPr>
              <w:pStyle w:val="236"/>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rPr>
                <w:rFonts w:ascii="Times New Roman" w:hAnsi="Times New Roman" w:eastAsia="宋体" w:cs="Times New Roman"/>
                <w:color w:val="auto"/>
                <w:sz w:val="21"/>
                <w:szCs w:val="21"/>
                <w:highlight w:val="none"/>
              </w:rPr>
            </w:pPr>
            <w:r>
              <w:rPr>
                <w:rFonts w:ascii="Times New Roman" w:hAnsi="Times New Roman" w:eastAsia="宋体" w:cs="Times New Roman"/>
                <w:color w:val="auto"/>
                <w:spacing w:val="2"/>
                <w:sz w:val="21"/>
                <w:szCs w:val="21"/>
                <w:highlight w:val="none"/>
              </w:rPr>
              <w:t>0.69</w:t>
            </w:r>
          </w:p>
        </w:tc>
        <w:tc>
          <w:tcPr>
            <w:tcW w:w="1125" w:type="dxa"/>
            <w:tcBorders>
              <w:tl2br w:val="nil"/>
              <w:tr2bl w:val="nil"/>
            </w:tcBorders>
            <w:vAlign w:val="center"/>
          </w:tcPr>
          <w:p w14:paraId="3C4AE1E4">
            <w:pPr>
              <w:pStyle w:val="236"/>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rPr>
                <w:rFonts w:ascii="Times New Roman" w:hAnsi="Times New Roman" w:eastAsia="宋体" w:cs="Times New Roman"/>
                <w:color w:val="auto"/>
                <w:sz w:val="21"/>
                <w:szCs w:val="21"/>
                <w:highlight w:val="none"/>
              </w:rPr>
            </w:pPr>
            <w:r>
              <w:rPr>
                <w:rFonts w:ascii="Times New Roman" w:hAnsi="Times New Roman" w:eastAsia="宋体" w:cs="Times New Roman"/>
                <w:color w:val="auto"/>
                <w:spacing w:val="3"/>
                <w:sz w:val="21"/>
                <w:szCs w:val="21"/>
                <w:highlight w:val="none"/>
              </w:rPr>
              <w:t>0.0104</w:t>
            </w:r>
          </w:p>
        </w:tc>
        <w:tc>
          <w:tcPr>
            <w:tcW w:w="1065" w:type="dxa"/>
            <w:tcBorders>
              <w:tl2br w:val="nil"/>
              <w:tr2bl w:val="nil"/>
            </w:tcBorders>
            <w:vAlign w:val="center"/>
          </w:tcPr>
          <w:p w14:paraId="6BEDDBE6">
            <w:pPr>
              <w:pStyle w:val="236"/>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rPr>
                <w:rFonts w:ascii="Times New Roman" w:hAnsi="Times New Roman" w:eastAsia="宋体" w:cs="Times New Roman"/>
                <w:color w:val="auto"/>
                <w:sz w:val="21"/>
                <w:szCs w:val="21"/>
                <w:highlight w:val="none"/>
              </w:rPr>
            </w:pPr>
            <w:r>
              <w:rPr>
                <w:rFonts w:ascii="Times New Roman" w:hAnsi="Times New Roman" w:eastAsia="宋体" w:cs="Times New Roman"/>
                <w:color w:val="auto"/>
                <w:spacing w:val="3"/>
                <w:sz w:val="21"/>
                <w:szCs w:val="21"/>
                <w:highlight w:val="none"/>
              </w:rPr>
              <w:t>0.0874</w:t>
            </w:r>
          </w:p>
        </w:tc>
        <w:tc>
          <w:tcPr>
            <w:tcW w:w="1717" w:type="dxa"/>
            <w:vMerge w:val="restart"/>
            <w:tcBorders>
              <w:tl2br w:val="nil"/>
              <w:tr2bl w:val="nil"/>
            </w:tcBorders>
            <w:vAlign w:val="center"/>
          </w:tcPr>
          <w:p w14:paraId="693651D0">
            <w:pPr>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rPr>
                <w:rFonts w:ascii="Times New Roman" w:hAnsi="Times New Roman" w:cs="Times New Roman"/>
                <w:color w:val="auto"/>
                <w:sz w:val="21"/>
                <w:szCs w:val="21"/>
                <w:highlight w:val="none"/>
                <w:lang w:eastAsia="en-US"/>
              </w:rPr>
            </w:pPr>
            <w:r>
              <w:rPr>
                <w:rFonts w:ascii="Times New Roman" w:hAnsi="Times New Roman" w:cs="Times New Roman"/>
                <w:color w:val="auto"/>
                <w:spacing w:val="8"/>
                <w:sz w:val="21"/>
                <w:szCs w:val="21"/>
                <w:highlight w:val="none"/>
                <w:lang w:eastAsia="en-US"/>
              </w:rPr>
              <w:t>3级碱液喷</w:t>
            </w:r>
            <w:r>
              <w:rPr>
                <w:rFonts w:ascii="Times New Roman" w:hAnsi="Times New Roman" w:cs="Times New Roman"/>
                <w:color w:val="auto"/>
                <w:spacing w:val="6"/>
                <w:sz w:val="21"/>
                <w:szCs w:val="21"/>
                <w:highlight w:val="none"/>
                <w:lang w:eastAsia="en-US"/>
              </w:rPr>
              <w:t>淋+二级活性炭吸</w:t>
            </w:r>
            <w:r>
              <w:rPr>
                <w:rFonts w:ascii="Times New Roman" w:hAnsi="Times New Roman" w:cs="Times New Roman"/>
                <w:color w:val="auto"/>
                <w:sz w:val="21"/>
                <w:szCs w:val="21"/>
                <w:highlight w:val="none"/>
                <w:lang w:eastAsia="en-US"/>
              </w:rPr>
              <w:t>附</w:t>
            </w:r>
          </w:p>
        </w:tc>
        <w:tc>
          <w:tcPr>
            <w:tcW w:w="696" w:type="dxa"/>
            <w:tcBorders>
              <w:tl2br w:val="nil"/>
              <w:tr2bl w:val="nil"/>
            </w:tcBorders>
            <w:vAlign w:val="center"/>
          </w:tcPr>
          <w:p w14:paraId="463A8FEB">
            <w:pPr>
              <w:pStyle w:val="236"/>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rPr>
                <w:rFonts w:ascii="Times New Roman" w:hAnsi="Times New Roman" w:eastAsia="宋体" w:cs="Times New Roman"/>
                <w:color w:val="auto"/>
                <w:sz w:val="21"/>
                <w:szCs w:val="21"/>
                <w:highlight w:val="none"/>
              </w:rPr>
            </w:pPr>
            <w:r>
              <w:rPr>
                <w:rFonts w:ascii="Times New Roman" w:hAnsi="Times New Roman" w:eastAsia="宋体" w:cs="Times New Roman"/>
                <w:color w:val="auto"/>
                <w:sz w:val="21"/>
                <w:szCs w:val="21"/>
                <w:highlight w:val="none"/>
              </w:rPr>
              <w:t>98</w:t>
            </w:r>
          </w:p>
        </w:tc>
        <w:tc>
          <w:tcPr>
            <w:tcW w:w="1133" w:type="dxa"/>
            <w:tcBorders>
              <w:tl2br w:val="nil"/>
              <w:tr2bl w:val="nil"/>
            </w:tcBorders>
            <w:vAlign w:val="center"/>
          </w:tcPr>
          <w:p w14:paraId="3CBF4741">
            <w:pPr>
              <w:pStyle w:val="236"/>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rPr>
                <w:rFonts w:ascii="Times New Roman" w:hAnsi="Times New Roman" w:eastAsia="宋体" w:cs="Times New Roman"/>
                <w:color w:val="auto"/>
                <w:sz w:val="21"/>
                <w:szCs w:val="21"/>
                <w:highlight w:val="none"/>
              </w:rPr>
            </w:pPr>
            <w:r>
              <w:rPr>
                <w:rFonts w:ascii="Times New Roman" w:hAnsi="Times New Roman" w:eastAsia="宋体" w:cs="Times New Roman"/>
                <w:color w:val="auto"/>
                <w:spacing w:val="3"/>
                <w:sz w:val="21"/>
                <w:szCs w:val="21"/>
                <w:highlight w:val="none"/>
              </w:rPr>
              <w:t>0.01</w:t>
            </w:r>
          </w:p>
        </w:tc>
        <w:tc>
          <w:tcPr>
            <w:tcW w:w="1131" w:type="dxa"/>
            <w:tcBorders>
              <w:tl2br w:val="nil"/>
              <w:tr2bl w:val="nil"/>
            </w:tcBorders>
            <w:vAlign w:val="center"/>
          </w:tcPr>
          <w:p w14:paraId="72129389">
            <w:pPr>
              <w:pStyle w:val="236"/>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rPr>
                <w:rFonts w:ascii="Times New Roman" w:hAnsi="Times New Roman" w:eastAsia="宋体" w:cs="Times New Roman"/>
                <w:color w:val="auto"/>
                <w:sz w:val="21"/>
                <w:szCs w:val="21"/>
                <w:highlight w:val="none"/>
              </w:rPr>
            </w:pPr>
            <w:r>
              <w:rPr>
                <w:rFonts w:ascii="Times New Roman" w:hAnsi="Times New Roman" w:eastAsia="宋体" w:cs="Times New Roman"/>
                <w:color w:val="auto"/>
                <w:spacing w:val="3"/>
                <w:sz w:val="21"/>
                <w:szCs w:val="21"/>
                <w:highlight w:val="none"/>
              </w:rPr>
              <w:t>0.0002</w:t>
            </w:r>
          </w:p>
        </w:tc>
        <w:tc>
          <w:tcPr>
            <w:tcW w:w="1136" w:type="dxa"/>
            <w:tcBorders>
              <w:tl2br w:val="nil"/>
              <w:tr2bl w:val="nil"/>
            </w:tcBorders>
            <w:vAlign w:val="center"/>
          </w:tcPr>
          <w:p w14:paraId="5F6E6C5D">
            <w:pPr>
              <w:pStyle w:val="236"/>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rPr>
                <w:rFonts w:ascii="Times New Roman" w:hAnsi="Times New Roman" w:eastAsia="宋体" w:cs="Times New Roman"/>
                <w:color w:val="auto"/>
                <w:sz w:val="21"/>
                <w:szCs w:val="21"/>
                <w:highlight w:val="none"/>
              </w:rPr>
            </w:pPr>
            <w:r>
              <w:rPr>
                <w:rFonts w:ascii="Times New Roman" w:hAnsi="Times New Roman" w:eastAsia="宋体" w:cs="Times New Roman"/>
                <w:color w:val="auto"/>
                <w:spacing w:val="2"/>
                <w:sz w:val="21"/>
                <w:szCs w:val="21"/>
                <w:highlight w:val="none"/>
              </w:rPr>
              <w:t>0.0017</w:t>
            </w:r>
          </w:p>
        </w:tc>
        <w:tc>
          <w:tcPr>
            <w:tcW w:w="680" w:type="dxa"/>
            <w:vMerge w:val="restart"/>
            <w:tcBorders>
              <w:tl2br w:val="nil"/>
              <w:tr2bl w:val="nil"/>
            </w:tcBorders>
            <w:vAlign w:val="center"/>
          </w:tcPr>
          <w:p w14:paraId="6D0A6796">
            <w:pPr>
              <w:pStyle w:val="236"/>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rPr>
                <w:rFonts w:ascii="Times New Roman" w:hAnsi="Times New Roman" w:eastAsia="宋体" w:cs="Times New Roman"/>
                <w:color w:val="auto"/>
                <w:sz w:val="21"/>
                <w:szCs w:val="21"/>
                <w:highlight w:val="none"/>
              </w:rPr>
            </w:pPr>
            <w:r>
              <w:rPr>
                <w:rFonts w:ascii="Times New Roman" w:hAnsi="Times New Roman" w:eastAsia="宋体" w:cs="Times New Roman"/>
                <w:color w:val="auto"/>
                <w:spacing w:val="2"/>
                <w:sz w:val="21"/>
                <w:szCs w:val="21"/>
                <w:highlight w:val="none"/>
              </w:rPr>
              <w:t>20</w:t>
            </w:r>
          </w:p>
        </w:tc>
      </w:tr>
      <w:tr w14:paraId="548F6E78">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940" w:type="dxa"/>
            <w:vMerge w:val="continue"/>
            <w:tcBorders>
              <w:tl2br w:val="nil"/>
              <w:tr2bl w:val="nil"/>
            </w:tcBorders>
            <w:vAlign w:val="center"/>
          </w:tcPr>
          <w:p w14:paraId="6AAFF6AB">
            <w:pPr>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rPr>
                <w:rFonts w:ascii="Times New Roman" w:hAnsi="Times New Roman" w:cs="Times New Roman"/>
                <w:color w:val="auto"/>
                <w:sz w:val="21"/>
                <w:szCs w:val="21"/>
                <w:highlight w:val="none"/>
                <w:lang w:eastAsia="en-US"/>
              </w:rPr>
            </w:pPr>
          </w:p>
        </w:tc>
        <w:tc>
          <w:tcPr>
            <w:tcW w:w="825" w:type="dxa"/>
            <w:vMerge w:val="continue"/>
            <w:tcBorders>
              <w:tl2br w:val="nil"/>
              <w:tr2bl w:val="nil"/>
            </w:tcBorders>
            <w:vAlign w:val="center"/>
          </w:tcPr>
          <w:p w14:paraId="524432DE">
            <w:pPr>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rPr>
                <w:rFonts w:ascii="Times New Roman" w:hAnsi="Times New Roman" w:cs="Times New Roman"/>
                <w:color w:val="auto"/>
                <w:sz w:val="21"/>
                <w:szCs w:val="21"/>
                <w:highlight w:val="none"/>
                <w:lang w:eastAsia="en-US"/>
              </w:rPr>
            </w:pPr>
          </w:p>
        </w:tc>
        <w:tc>
          <w:tcPr>
            <w:tcW w:w="855" w:type="dxa"/>
            <w:vMerge w:val="continue"/>
            <w:tcBorders>
              <w:tl2br w:val="nil"/>
              <w:tr2bl w:val="nil"/>
            </w:tcBorders>
            <w:vAlign w:val="center"/>
          </w:tcPr>
          <w:p w14:paraId="0096789A">
            <w:pPr>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rPr>
                <w:rFonts w:ascii="Times New Roman" w:hAnsi="Times New Roman" w:cs="Times New Roman"/>
                <w:color w:val="auto"/>
                <w:sz w:val="21"/>
                <w:szCs w:val="21"/>
                <w:highlight w:val="none"/>
                <w:lang w:eastAsia="en-US"/>
              </w:rPr>
            </w:pPr>
          </w:p>
        </w:tc>
        <w:tc>
          <w:tcPr>
            <w:tcW w:w="1590" w:type="dxa"/>
            <w:tcBorders>
              <w:tl2br w:val="nil"/>
              <w:tr2bl w:val="nil"/>
            </w:tcBorders>
            <w:vAlign w:val="center"/>
          </w:tcPr>
          <w:p w14:paraId="40E378F2">
            <w:pPr>
              <w:pStyle w:val="236"/>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rPr>
                <w:rFonts w:ascii="Times New Roman" w:hAnsi="Times New Roman" w:eastAsia="宋体" w:cs="Times New Roman"/>
                <w:color w:val="auto"/>
                <w:sz w:val="21"/>
                <w:szCs w:val="21"/>
                <w:highlight w:val="none"/>
              </w:rPr>
            </w:pPr>
            <w:r>
              <w:rPr>
                <w:rFonts w:ascii="Times New Roman" w:hAnsi="Times New Roman" w:eastAsia="宋体" w:cs="Times New Roman"/>
                <w:color w:val="auto"/>
                <w:spacing w:val="2"/>
                <w:sz w:val="21"/>
                <w:szCs w:val="21"/>
                <w:highlight w:val="none"/>
              </w:rPr>
              <w:t>2-乙二醇单</w:t>
            </w:r>
            <w:r>
              <w:rPr>
                <w:rFonts w:ascii="Times New Roman" w:hAnsi="Times New Roman" w:eastAsia="宋体" w:cs="Times New Roman"/>
                <w:color w:val="auto"/>
                <w:spacing w:val="4"/>
                <w:sz w:val="21"/>
                <w:szCs w:val="21"/>
                <w:highlight w:val="none"/>
              </w:rPr>
              <w:t>乙醚醋酸酯</w:t>
            </w:r>
          </w:p>
        </w:tc>
        <w:tc>
          <w:tcPr>
            <w:tcW w:w="1065" w:type="dxa"/>
            <w:tcBorders>
              <w:tl2br w:val="nil"/>
              <w:tr2bl w:val="nil"/>
            </w:tcBorders>
            <w:vAlign w:val="center"/>
          </w:tcPr>
          <w:p w14:paraId="30A47555">
            <w:pPr>
              <w:pStyle w:val="236"/>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rPr>
                <w:rFonts w:ascii="Times New Roman" w:hAnsi="Times New Roman" w:eastAsia="宋体" w:cs="Times New Roman"/>
                <w:color w:val="auto"/>
                <w:sz w:val="21"/>
                <w:szCs w:val="21"/>
                <w:highlight w:val="none"/>
              </w:rPr>
            </w:pPr>
            <w:r>
              <w:rPr>
                <w:rFonts w:ascii="Times New Roman" w:hAnsi="Times New Roman" w:eastAsia="宋体" w:cs="Times New Roman"/>
                <w:color w:val="auto"/>
                <w:spacing w:val="2"/>
                <w:sz w:val="21"/>
                <w:szCs w:val="21"/>
                <w:highlight w:val="none"/>
              </w:rPr>
              <w:t>0.28</w:t>
            </w:r>
          </w:p>
        </w:tc>
        <w:tc>
          <w:tcPr>
            <w:tcW w:w="1125" w:type="dxa"/>
            <w:tcBorders>
              <w:tl2br w:val="nil"/>
              <w:tr2bl w:val="nil"/>
            </w:tcBorders>
            <w:vAlign w:val="center"/>
          </w:tcPr>
          <w:p w14:paraId="398DA95D">
            <w:pPr>
              <w:pStyle w:val="236"/>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rPr>
                <w:rFonts w:ascii="Times New Roman" w:hAnsi="Times New Roman" w:eastAsia="宋体" w:cs="Times New Roman"/>
                <w:color w:val="auto"/>
                <w:sz w:val="21"/>
                <w:szCs w:val="21"/>
                <w:highlight w:val="none"/>
              </w:rPr>
            </w:pPr>
            <w:r>
              <w:rPr>
                <w:rFonts w:ascii="Times New Roman" w:hAnsi="Times New Roman" w:eastAsia="宋体" w:cs="Times New Roman"/>
                <w:color w:val="auto"/>
                <w:spacing w:val="3"/>
                <w:sz w:val="21"/>
                <w:szCs w:val="21"/>
                <w:highlight w:val="none"/>
              </w:rPr>
              <w:t>0.0042</w:t>
            </w:r>
          </w:p>
        </w:tc>
        <w:tc>
          <w:tcPr>
            <w:tcW w:w="1065" w:type="dxa"/>
            <w:tcBorders>
              <w:tl2br w:val="nil"/>
              <w:tr2bl w:val="nil"/>
            </w:tcBorders>
            <w:vAlign w:val="center"/>
          </w:tcPr>
          <w:p w14:paraId="6C85A32E">
            <w:pPr>
              <w:pStyle w:val="236"/>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rPr>
                <w:rFonts w:ascii="Times New Roman" w:hAnsi="Times New Roman" w:eastAsia="宋体" w:cs="Times New Roman"/>
                <w:color w:val="auto"/>
                <w:sz w:val="21"/>
                <w:szCs w:val="21"/>
                <w:highlight w:val="none"/>
              </w:rPr>
            </w:pPr>
            <w:r>
              <w:rPr>
                <w:rFonts w:ascii="Times New Roman" w:hAnsi="Times New Roman" w:eastAsia="宋体" w:cs="Times New Roman"/>
                <w:color w:val="auto"/>
                <w:spacing w:val="3"/>
                <w:sz w:val="21"/>
                <w:szCs w:val="21"/>
                <w:highlight w:val="none"/>
              </w:rPr>
              <w:t>0.0350</w:t>
            </w:r>
          </w:p>
        </w:tc>
        <w:tc>
          <w:tcPr>
            <w:tcW w:w="1717" w:type="dxa"/>
            <w:vMerge w:val="continue"/>
            <w:tcBorders>
              <w:tl2br w:val="nil"/>
              <w:tr2bl w:val="nil"/>
            </w:tcBorders>
            <w:vAlign w:val="center"/>
          </w:tcPr>
          <w:p w14:paraId="5D2196CA">
            <w:pPr>
              <w:pStyle w:val="236"/>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rPr>
                <w:rFonts w:ascii="Times New Roman" w:hAnsi="Times New Roman" w:eastAsia="宋体" w:cs="Times New Roman"/>
                <w:color w:val="auto"/>
                <w:sz w:val="21"/>
                <w:szCs w:val="21"/>
                <w:highlight w:val="none"/>
              </w:rPr>
            </w:pPr>
          </w:p>
        </w:tc>
        <w:tc>
          <w:tcPr>
            <w:tcW w:w="696" w:type="dxa"/>
            <w:tcBorders>
              <w:tl2br w:val="nil"/>
              <w:tr2bl w:val="nil"/>
            </w:tcBorders>
            <w:vAlign w:val="center"/>
          </w:tcPr>
          <w:p w14:paraId="7C33E1F5">
            <w:pPr>
              <w:pStyle w:val="236"/>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rPr>
                <w:rFonts w:ascii="Times New Roman" w:hAnsi="Times New Roman" w:eastAsia="宋体" w:cs="Times New Roman"/>
                <w:color w:val="auto"/>
                <w:sz w:val="21"/>
                <w:szCs w:val="21"/>
                <w:highlight w:val="none"/>
              </w:rPr>
            </w:pPr>
            <w:r>
              <w:rPr>
                <w:rFonts w:ascii="Times New Roman" w:hAnsi="Times New Roman" w:eastAsia="宋体" w:cs="Times New Roman"/>
                <w:color w:val="auto"/>
                <w:sz w:val="21"/>
                <w:szCs w:val="21"/>
                <w:highlight w:val="none"/>
              </w:rPr>
              <w:t>50</w:t>
            </w:r>
          </w:p>
        </w:tc>
        <w:tc>
          <w:tcPr>
            <w:tcW w:w="1133" w:type="dxa"/>
            <w:tcBorders>
              <w:tl2br w:val="nil"/>
              <w:tr2bl w:val="nil"/>
            </w:tcBorders>
            <w:vAlign w:val="center"/>
          </w:tcPr>
          <w:p w14:paraId="1C893FBF">
            <w:pPr>
              <w:pStyle w:val="236"/>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rPr>
                <w:rFonts w:ascii="Times New Roman" w:hAnsi="Times New Roman" w:eastAsia="宋体" w:cs="Times New Roman"/>
                <w:color w:val="auto"/>
                <w:sz w:val="21"/>
                <w:szCs w:val="21"/>
                <w:highlight w:val="none"/>
              </w:rPr>
            </w:pPr>
            <w:r>
              <w:rPr>
                <w:rFonts w:ascii="Times New Roman" w:hAnsi="Times New Roman" w:eastAsia="宋体" w:cs="Times New Roman"/>
                <w:color w:val="auto"/>
                <w:spacing w:val="-3"/>
                <w:sz w:val="21"/>
                <w:szCs w:val="21"/>
                <w:highlight w:val="none"/>
              </w:rPr>
              <w:t>0.14</w:t>
            </w:r>
          </w:p>
        </w:tc>
        <w:tc>
          <w:tcPr>
            <w:tcW w:w="1131" w:type="dxa"/>
            <w:tcBorders>
              <w:tl2br w:val="nil"/>
              <w:tr2bl w:val="nil"/>
            </w:tcBorders>
            <w:vAlign w:val="center"/>
          </w:tcPr>
          <w:p w14:paraId="7D8A3A2A">
            <w:pPr>
              <w:pStyle w:val="236"/>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rPr>
                <w:rFonts w:ascii="Times New Roman" w:hAnsi="Times New Roman" w:eastAsia="宋体" w:cs="Times New Roman"/>
                <w:color w:val="auto"/>
                <w:sz w:val="21"/>
                <w:szCs w:val="21"/>
                <w:highlight w:val="none"/>
              </w:rPr>
            </w:pPr>
            <w:r>
              <w:rPr>
                <w:rFonts w:ascii="Times New Roman" w:hAnsi="Times New Roman" w:eastAsia="宋体" w:cs="Times New Roman"/>
                <w:color w:val="auto"/>
                <w:spacing w:val="3"/>
                <w:sz w:val="21"/>
                <w:szCs w:val="21"/>
                <w:highlight w:val="none"/>
              </w:rPr>
              <w:t>0.0021</w:t>
            </w:r>
          </w:p>
        </w:tc>
        <w:tc>
          <w:tcPr>
            <w:tcW w:w="1136" w:type="dxa"/>
            <w:tcBorders>
              <w:tl2br w:val="nil"/>
              <w:tr2bl w:val="nil"/>
            </w:tcBorders>
            <w:vAlign w:val="center"/>
          </w:tcPr>
          <w:p w14:paraId="379A8176">
            <w:pPr>
              <w:pStyle w:val="236"/>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rPr>
                <w:rFonts w:ascii="Times New Roman" w:hAnsi="Times New Roman" w:eastAsia="宋体" w:cs="Times New Roman"/>
                <w:color w:val="auto"/>
                <w:sz w:val="21"/>
                <w:szCs w:val="21"/>
                <w:highlight w:val="none"/>
              </w:rPr>
            </w:pPr>
            <w:r>
              <w:rPr>
                <w:rFonts w:ascii="Times New Roman" w:hAnsi="Times New Roman" w:eastAsia="宋体" w:cs="Times New Roman"/>
                <w:color w:val="auto"/>
                <w:spacing w:val="3"/>
                <w:sz w:val="21"/>
                <w:szCs w:val="21"/>
                <w:highlight w:val="none"/>
              </w:rPr>
              <w:t>0.0175</w:t>
            </w:r>
          </w:p>
        </w:tc>
        <w:tc>
          <w:tcPr>
            <w:tcW w:w="680" w:type="dxa"/>
            <w:vMerge w:val="continue"/>
            <w:tcBorders>
              <w:tl2br w:val="nil"/>
              <w:tr2bl w:val="nil"/>
            </w:tcBorders>
            <w:vAlign w:val="center"/>
          </w:tcPr>
          <w:p w14:paraId="17FFCD02">
            <w:pPr>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rPr>
                <w:rFonts w:ascii="Times New Roman" w:hAnsi="Times New Roman" w:cs="Times New Roman"/>
                <w:color w:val="auto"/>
                <w:sz w:val="21"/>
                <w:szCs w:val="21"/>
                <w:highlight w:val="none"/>
                <w:lang w:eastAsia="en-US"/>
              </w:rPr>
            </w:pPr>
          </w:p>
        </w:tc>
      </w:tr>
      <w:tr w14:paraId="7CD2AA07">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940" w:type="dxa"/>
            <w:vMerge w:val="continue"/>
            <w:tcBorders>
              <w:tl2br w:val="nil"/>
              <w:tr2bl w:val="nil"/>
            </w:tcBorders>
            <w:vAlign w:val="center"/>
          </w:tcPr>
          <w:p w14:paraId="58437C93">
            <w:pPr>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rPr>
                <w:rFonts w:ascii="Times New Roman" w:hAnsi="Times New Roman" w:cs="Times New Roman"/>
                <w:color w:val="auto"/>
                <w:sz w:val="21"/>
                <w:szCs w:val="21"/>
                <w:highlight w:val="none"/>
                <w:lang w:eastAsia="en-US"/>
              </w:rPr>
            </w:pPr>
          </w:p>
        </w:tc>
        <w:tc>
          <w:tcPr>
            <w:tcW w:w="825" w:type="dxa"/>
            <w:vMerge w:val="continue"/>
            <w:tcBorders>
              <w:tl2br w:val="nil"/>
              <w:tr2bl w:val="nil"/>
            </w:tcBorders>
            <w:vAlign w:val="center"/>
          </w:tcPr>
          <w:p w14:paraId="0759680B">
            <w:pPr>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rPr>
                <w:rFonts w:ascii="Times New Roman" w:hAnsi="Times New Roman" w:cs="Times New Roman"/>
                <w:color w:val="auto"/>
                <w:sz w:val="21"/>
                <w:szCs w:val="21"/>
                <w:highlight w:val="none"/>
                <w:lang w:eastAsia="en-US"/>
              </w:rPr>
            </w:pPr>
          </w:p>
        </w:tc>
        <w:tc>
          <w:tcPr>
            <w:tcW w:w="855" w:type="dxa"/>
            <w:vMerge w:val="continue"/>
            <w:tcBorders>
              <w:tl2br w:val="nil"/>
              <w:tr2bl w:val="nil"/>
            </w:tcBorders>
            <w:vAlign w:val="center"/>
          </w:tcPr>
          <w:p w14:paraId="7EBF04D4">
            <w:pPr>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rPr>
                <w:rFonts w:ascii="Times New Roman" w:hAnsi="Times New Roman" w:cs="Times New Roman"/>
                <w:color w:val="auto"/>
                <w:sz w:val="21"/>
                <w:szCs w:val="21"/>
                <w:highlight w:val="none"/>
                <w:lang w:eastAsia="en-US"/>
              </w:rPr>
            </w:pPr>
          </w:p>
        </w:tc>
        <w:tc>
          <w:tcPr>
            <w:tcW w:w="1590" w:type="dxa"/>
            <w:tcBorders>
              <w:tl2br w:val="nil"/>
              <w:tr2bl w:val="nil"/>
            </w:tcBorders>
            <w:vAlign w:val="center"/>
          </w:tcPr>
          <w:p w14:paraId="54FC16C7">
            <w:pPr>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rPr>
                <w:rFonts w:ascii="Times New Roman" w:hAnsi="Times New Roman" w:cs="Times New Roman"/>
                <w:color w:val="auto"/>
                <w:sz w:val="21"/>
                <w:szCs w:val="21"/>
                <w:highlight w:val="none"/>
                <w:lang w:eastAsia="en-US"/>
              </w:rPr>
            </w:pPr>
            <w:r>
              <w:rPr>
                <w:rFonts w:ascii="Times New Roman" w:hAnsi="Times New Roman" w:cs="Times New Roman"/>
                <w:color w:val="auto"/>
                <w:spacing w:val="7"/>
                <w:sz w:val="21"/>
                <w:szCs w:val="21"/>
                <w:highlight w:val="none"/>
                <w:lang w:eastAsia="en-US"/>
              </w:rPr>
              <w:t>非甲烷总烃</w:t>
            </w:r>
          </w:p>
        </w:tc>
        <w:tc>
          <w:tcPr>
            <w:tcW w:w="1065" w:type="dxa"/>
            <w:tcBorders>
              <w:tl2br w:val="nil"/>
              <w:tr2bl w:val="nil"/>
            </w:tcBorders>
            <w:vAlign w:val="center"/>
          </w:tcPr>
          <w:p w14:paraId="48B52B0B">
            <w:pPr>
              <w:pStyle w:val="236"/>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rPr>
                <w:rFonts w:ascii="Times New Roman" w:hAnsi="Times New Roman" w:eastAsia="宋体" w:cs="Times New Roman"/>
                <w:color w:val="auto"/>
                <w:sz w:val="21"/>
                <w:szCs w:val="21"/>
                <w:highlight w:val="none"/>
              </w:rPr>
            </w:pPr>
            <w:r>
              <w:rPr>
                <w:rFonts w:ascii="Times New Roman" w:hAnsi="Times New Roman" w:eastAsia="宋体" w:cs="Times New Roman"/>
                <w:color w:val="auto"/>
                <w:spacing w:val="-4"/>
                <w:sz w:val="21"/>
                <w:szCs w:val="21"/>
                <w:highlight w:val="none"/>
              </w:rPr>
              <w:t>0.14</w:t>
            </w:r>
          </w:p>
        </w:tc>
        <w:tc>
          <w:tcPr>
            <w:tcW w:w="1125" w:type="dxa"/>
            <w:tcBorders>
              <w:tl2br w:val="nil"/>
              <w:tr2bl w:val="nil"/>
            </w:tcBorders>
            <w:vAlign w:val="center"/>
          </w:tcPr>
          <w:p w14:paraId="4A229437">
            <w:pPr>
              <w:pStyle w:val="236"/>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rPr>
                <w:rFonts w:ascii="Times New Roman" w:hAnsi="Times New Roman" w:eastAsia="宋体" w:cs="Times New Roman"/>
                <w:color w:val="auto"/>
                <w:sz w:val="21"/>
                <w:szCs w:val="21"/>
                <w:highlight w:val="none"/>
              </w:rPr>
            </w:pPr>
            <w:r>
              <w:rPr>
                <w:rFonts w:ascii="Times New Roman" w:hAnsi="Times New Roman" w:eastAsia="宋体" w:cs="Times New Roman"/>
                <w:color w:val="auto"/>
                <w:spacing w:val="3"/>
                <w:sz w:val="21"/>
                <w:szCs w:val="21"/>
                <w:highlight w:val="none"/>
              </w:rPr>
              <w:t>0.0021</w:t>
            </w:r>
          </w:p>
        </w:tc>
        <w:tc>
          <w:tcPr>
            <w:tcW w:w="1065" w:type="dxa"/>
            <w:tcBorders>
              <w:tl2br w:val="nil"/>
              <w:tr2bl w:val="nil"/>
            </w:tcBorders>
            <w:vAlign w:val="center"/>
          </w:tcPr>
          <w:p w14:paraId="5A3F46D5">
            <w:pPr>
              <w:pStyle w:val="236"/>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rPr>
                <w:rFonts w:ascii="Times New Roman" w:hAnsi="Times New Roman" w:eastAsia="宋体" w:cs="Times New Roman"/>
                <w:color w:val="auto"/>
                <w:sz w:val="21"/>
                <w:szCs w:val="21"/>
                <w:highlight w:val="none"/>
              </w:rPr>
            </w:pPr>
            <w:r>
              <w:rPr>
                <w:rFonts w:ascii="Times New Roman" w:hAnsi="Times New Roman" w:eastAsia="宋体" w:cs="Times New Roman"/>
                <w:color w:val="auto"/>
                <w:spacing w:val="3"/>
                <w:sz w:val="21"/>
                <w:szCs w:val="21"/>
                <w:highlight w:val="none"/>
              </w:rPr>
              <w:t>0.0175</w:t>
            </w:r>
          </w:p>
        </w:tc>
        <w:tc>
          <w:tcPr>
            <w:tcW w:w="1717" w:type="dxa"/>
            <w:vMerge w:val="continue"/>
            <w:tcBorders>
              <w:tl2br w:val="nil"/>
              <w:tr2bl w:val="nil"/>
            </w:tcBorders>
            <w:vAlign w:val="center"/>
          </w:tcPr>
          <w:p w14:paraId="6255F69E">
            <w:pPr>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rPr>
                <w:rFonts w:ascii="Times New Roman" w:hAnsi="Times New Roman" w:cs="Times New Roman"/>
                <w:color w:val="auto"/>
                <w:sz w:val="21"/>
                <w:szCs w:val="21"/>
                <w:highlight w:val="none"/>
                <w:lang w:eastAsia="en-US"/>
              </w:rPr>
            </w:pPr>
          </w:p>
        </w:tc>
        <w:tc>
          <w:tcPr>
            <w:tcW w:w="696" w:type="dxa"/>
            <w:tcBorders>
              <w:tl2br w:val="nil"/>
              <w:tr2bl w:val="nil"/>
            </w:tcBorders>
            <w:vAlign w:val="center"/>
          </w:tcPr>
          <w:p w14:paraId="06D55CBD">
            <w:pPr>
              <w:pStyle w:val="236"/>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rPr>
                <w:rFonts w:ascii="Times New Roman" w:hAnsi="Times New Roman" w:eastAsia="宋体" w:cs="Times New Roman"/>
                <w:color w:val="auto"/>
                <w:sz w:val="21"/>
                <w:szCs w:val="21"/>
                <w:highlight w:val="none"/>
              </w:rPr>
            </w:pPr>
            <w:r>
              <w:rPr>
                <w:rFonts w:ascii="Times New Roman" w:hAnsi="Times New Roman" w:eastAsia="宋体" w:cs="Times New Roman"/>
                <w:color w:val="auto"/>
                <w:sz w:val="21"/>
                <w:szCs w:val="21"/>
                <w:highlight w:val="none"/>
              </w:rPr>
              <w:t>50</w:t>
            </w:r>
          </w:p>
        </w:tc>
        <w:tc>
          <w:tcPr>
            <w:tcW w:w="1133" w:type="dxa"/>
            <w:tcBorders>
              <w:tl2br w:val="nil"/>
              <w:tr2bl w:val="nil"/>
            </w:tcBorders>
            <w:vAlign w:val="center"/>
          </w:tcPr>
          <w:p w14:paraId="63853FC1">
            <w:pPr>
              <w:pStyle w:val="236"/>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rPr>
                <w:rFonts w:ascii="Times New Roman" w:hAnsi="Times New Roman" w:eastAsia="宋体" w:cs="Times New Roman"/>
                <w:color w:val="auto"/>
                <w:sz w:val="21"/>
                <w:szCs w:val="21"/>
                <w:highlight w:val="none"/>
              </w:rPr>
            </w:pPr>
            <w:r>
              <w:rPr>
                <w:rFonts w:ascii="Times New Roman" w:hAnsi="Times New Roman" w:eastAsia="宋体" w:cs="Times New Roman"/>
                <w:color w:val="auto"/>
                <w:spacing w:val="3"/>
                <w:sz w:val="21"/>
                <w:szCs w:val="21"/>
                <w:highlight w:val="none"/>
              </w:rPr>
              <w:t>0.07</w:t>
            </w:r>
          </w:p>
        </w:tc>
        <w:tc>
          <w:tcPr>
            <w:tcW w:w="1131" w:type="dxa"/>
            <w:tcBorders>
              <w:tl2br w:val="nil"/>
              <w:tr2bl w:val="nil"/>
            </w:tcBorders>
            <w:vAlign w:val="center"/>
          </w:tcPr>
          <w:p w14:paraId="6545796C">
            <w:pPr>
              <w:pStyle w:val="236"/>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rPr>
                <w:rFonts w:ascii="Times New Roman" w:hAnsi="Times New Roman" w:eastAsia="宋体" w:cs="Times New Roman"/>
                <w:color w:val="auto"/>
                <w:sz w:val="21"/>
                <w:szCs w:val="21"/>
                <w:highlight w:val="none"/>
              </w:rPr>
            </w:pPr>
            <w:r>
              <w:rPr>
                <w:rFonts w:ascii="Times New Roman" w:hAnsi="Times New Roman" w:eastAsia="宋体" w:cs="Times New Roman"/>
                <w:color w:val="auto"/>
                <w:spacing w:val="3"/>
                <w:sz w:val="21"/>
                <w:szCs w:val="21"/>
                <w:highlight w:val="none"/>
              </w:rPr>
              <w:t>0.0010</w:t>
            </w:r>
          </w:p>
        </w:tc>
        <w:tc>
          <w:tcPr>
            <w:tcW w:w="1136" w:type="dxa"/>
            <w:tcBorders>
              <w:tl2br w:val="nil"/>
              <w:tr2bl w:val="nil"/>
            </w:tcBorders>
            <w:vAlign w:val="center"/>
          </w:tcPr>
          <w:p w14:paraId="0BC9E072">
            <w:pPr>
              <w:pStyle w:val="236"/>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rPr>
                <w:rFonts w:ascii="Times New Roman" w:hAnsi="Times New Roman" w:eastAsia="宋体" w:cs="Times New Roman"/>
                <w:color w:val="auto"/>
                <w:sz w:val="21"/>
                <w:szCs w:val="21"/>
                <w:highlight w:val="none"/>
              </w:rPr>
            </w:pPr>
            <w:r>
              <w:rPr>
                <w:rFonts w:ascii="Times New Roman" w:hAnsi="Times New Roman" w:eastAsia="宋体" w:cs="Times New Roman"/>
                <w:color w:val="auto"/>
                <w:spacing w:val="3"/>
                <w:sz w:val="21"/>
                <w:szCs w:val="21"/>
                <w:highlight w:val="none"/>
              </w:rPr>
              <w:t>0.0087</w:t>
            </w:r>
          </w:p>
        </w:tc>
        <w:tc>
          <w:tcPr>
            <w:tcW w:w="680" w:type="dxa"/>
            <w:vMerge w:val="continue"/>
            <w:tcBorders>
              <w:tl2br w:val="nil"/>
              <w:tr2bl w:val="nil"/>
            </w:tcBorders>
            <w:vAlign w:val="center"/>
          </w:tcPr>
          <w:p w14:paraId="70B63815">
            <w:pPr>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rPr>
                <w:rFonts w:ascii="Times New Roman" w:hAnsi="Times New Roman" w:cs="Times New Roman"/>
                <w:color w:val="auto"/>
                <w:sz w:val="21"/>
                <w:szCs w:val="21"/>
                <w:highlight w:val="none"/>
                <w:lang w:eastAsia="en-US"/>
              </w:rPr>
            </w:pPr>
          </w:p>
        </w:tc>
      </w:tr>
    </w:tbl>
    <w:p w14:paraId="072B8F29">
      <w:pPr>
        <w:spacing w:before="120" w:beforeLines="50" w:line="360" w:lineRule="auto"/>
        <w:ind w:left="-105" w:right="-105" w:firstLine="482" w:firstLineChars="200"/>
        <w:rPr>
          <w:rFonts w:ascii="Times New Roman" w:hAnsi="Times New Roman"/>
          <w:b/>
          <w:bCs/>
          <w:color w:val="auto"/>
          <w:szCs w:val="22"/>
          <w:highlight w:val="none"/>
        </w:rPr>
      </w:pPr>
    </w:p>
    <w:p w14:paraId="193E8489">
      <w:pPr>
        <w:pStyle w:val="2"/>
        <w:ind w:left="-105" w:right="-105"/>
        <w:rPr>
          <w:color w:val="auto"/>
          <w:highlight w:val="none"/>
        </w:rPr>
        <w:sectPr>
          <w:pgSz w:w="16838" w:h="11906" w:orient="landscape"/>
          <w:pgMar w:top="1701" w:right="1440" w:bottom="1701" w:left="1440" w:header="851" w:footer="851" w:gutter="0"/>
          <w:pgBorders>
            <w:top w:val="none" w:sz="0" w:space="0"/>
            <w:left w:val="none" w:sz="0" w:space="0"/>
            <w:bottom w:val="none" w:sz="0" w:space="0"/>
            <w:right w:val="none" w:sz="0" w:space="0"/>
          </w:pgBorders>
          <w:cols w:space="720" w:num="1"/>
          <w:docGrid w:linePitch="498" w:charSpace="-2336"/>
        </w:sectPr>
      </w:pPr>
    </w:p>
    <w:p w14:paraId="3D99A0D4">
      <w:pPr>
        <w:spacing w:before="120" w:beforeLines="50" w:line="360" w:lineRule="auto"/>
        <w:ind w:left="-105" w:right="-105" w:firstLine="482" w:firstLineChars="200"/>
        <w:rPr>
          <w:rFonts w:ascii="Times New Roman" w:hAnsi="Times New Roman"/>
          <w:b/>
          <w:bCs/>
          <w:color w:val="auto"/>
          <w:szCs w:val="22"/>
          <w:highlight w:val="none"/>
        </w:rPr>
      </w:pPr>
      <w:r>
        <w:rPr>
          <w:rFonts w:hint="eastAsia" w:ascii="Times New Roman" w:hAnsi="Times New Roman"/>
          <w:b/>
          <w:bCs/>
          <w:color w:val="auto"/>
          <w:szCs w:val="22"/>
          <w:highlight w:val="none"/>
        </w:rPr>
        <w:t>（2）废气检测情况</w:t>
      </w:r>
    </w:p>
    <w:p w14:paraId="66562B19">
      <w:pPr>
        <w:spacing w:line="360" w:lineRule="auto"/>
        <w:ind w:left="-105" w:right="-105" w:firstLine="480" w:firstLineChars="200"/>
        <w:rPr>
          <w:rFonts w:ascii="Times New Roman" w:hAnsi="Times New Roman"/>
          <w:color w:val="auto"/>
          <w:szCs w:val="22"/>
          <w:highlight w:val="none"/>
        </w:rPr>
      </w:pPr>
      <w:r>
        <w:rPr>
          <w:rFonts w:hint="eastAsia" w:ascii="Times New Roman" w:hAnsi="Times New Roman"/>
          <w:color w:val="auto"/>
          <w:szCs w:val="22"/>
          <w:highlight w:val="none"/>
        </w:rPr>
        <w:t>根据《化药化工（无锡）有限公司年产聚氨酯丙烯酸酯5000t、丙烯酸酯组成物10000t和环氧丙烯酸树脂1200t生产线技改扩建项目（第二阶段：年产聚氨酯丙烯酸酯2000t、丙烯酸酯组成物5000t）竣工环境保护验收报告》，有组织废气的检测情况见下表：</w:t>
      </w:r>
    </w:p>
    <w:p w14:paraId="477A6324">
      <w:pPr>
        <w:pStyle w:val="15"/>
        <w:spacing w:line="360" w:lineRule="auto"/>
        <w:ind w:left="-105" w:right="-105" w:firstLine="482"/>
        <w:rPr>
          <w:rFonts w:eastAsia="宋体" w:cs="Times New Roman"/>
          <w:bCs/>
          <w:color w:val="auto"/>
          <w:sz w:val="24"/>
          <w:szCs w:val="18"/>
          <w:highlight w:val="none"/>
        </w:rPr>
      </w:pPr>
      <w:r>
        <w:rPr>
          <w:rFonts w:eastAsia="宋体" w:cs="Times New Roman"/>
          <w:bCs/>
          <w:color w:val="auto"/>
          <w:sz w:val="24"/>
          <w:szCs w:val="18"/>
          <w:highlight w:val="none"/>
        </w:rPr>
        <w:t>表</w:t>
      </w:r>
      <w:r>
        <w:rPr>
          <w:rFonts w:eastAsia="宋体" w:cs="Times New Roman"/>
          <w:bCs/>
          <w:color w:val="auto"/>
          <w:sz w:val="24"/>
          <w:szCs w:val="18"/>
          <w:highlight w:val="none"/>
        </w:rPr>
        <w:fldChar w:fldCharType="begin"/>
      </w:r>
      <w:r>
        <w:rPr>
          <w:rFonts w:eastAsia="宋体" w:cs="Times New Roman"/>
          <w:bCs/>
          <w:color w:val="auto"/>
          <w:sz w:val="24"/>
          <w:szCs w:val="18"/>
          <w:highlight w:val="none"/>
        </w:rPr>
        <w:instrText xml:space="preserve"> STYLEREF 2 \s </w:instrText>
      </w:r>
      <w:r>
        <w:rPr>
          <w:rFonts w:eastAsia="宋体" w:cs="Times New Roman"/>
          <w:bCs/>
          <w:color w:val="auto"/>
          <w:sz w:val="24"/>
          <w:szCs w:val="18"/>
          <w:highlight w:val="none"/>
        </w:rPr>
        <w:fldChar w:fldCharType="separate"/>
      </w:r>
      <w:r>
        <w:rPr>
          <w:rFonts w:eastAsia="宋体" w:cs="Times New Roman"/>
          <w:bCs/>
          <w:color w:val="auto"/>
          <w:sz w:val="24"/>
          <w:szCs w:val="18"/>
          <w:highlight w:val="none"/>
        </w:rPr>
        <w:t>3.3</w:t>
      </w:r>
      <w:r>
        <w:rPr>
          <w:rFonts w:eastAsia="宋体" w:cs="Times New Roman"/>
          <w:bCs/>
          <w:color w:val="auto"/>
          <w:sz w:val="24"/>
          <w:szCs w:val="18"/>
          <w:highlight w:val="none"/>
        </w:rPr>
        <w:fldChar w:fldCharType="end"/>
      </w:r>
      <w:r>
        <w:rPr>
          <w:rFonts w:eastAsia="宋体" w:cs="Times New Roman"/>
          <w:bCs/>
          <w:color w:val="auto"/>
          <w:sz w:val="24"/>
          <w:szCs w:val="18"/>
          <w:highlight w:val="none"/>
        </w:rPr>
        <w:noBreakHyphen/>
      </w:r>
      <w:r>
        <w:rPr>
          <w:rFonts w:eastAsia="宋体" w:cs="Times New Roman"/>
          <w:bCs/>
          <w:color w:val="auto"/>
          <w:sz w:val="24"/>
          <w:szCs w:val="18"/>
          <w:highlight w:val="none"/>
        </w:rPr>
        <w:fldChar w:fldCharType="begin"/>
      </w:r>
      <w:r>
        <w:rPr>
          <w:rFonts w:eastAsia="宋体" w:cs="Times New Roman"/>
          <w:bCs/>
          <w:color w:val="auto"/>
          <w:sz w:val="24"/>
          <w:szCs w:val="18"/>
          <w:highlight w:val="none"/>
        </w:rPr>
        <w:instrText xml:space="preserve"> SEQ 表 \* ARABIC \s 2 </w:instrText>
      </w:r>
      <w:r>
        <w:rPr>
          <w:rFonts w:eastAsia="宋体" w:cs="Times New Roman"/>
          <w:bCs/>
          <w:color w:val="auto"/>
          <w:sz w:val="24"/>
          <w:szCs w:val="18"/>
          <w:highlight w:val="none"/>
        </w:rPr>
        <w:fldChar w:fldCharType="separate"/>
      </w:r>
      <w:r>
        <w:rPr>
          <w:rFonts w:eastAsia="宋体" w:cs="Times New Roman"/>
          <w:bCs/>
          <w:color w:val="auto"/>
          <w:sz w:val="24"/>
          <w:szCs w:val="18"/>
          <w:highlight w:val="none"/>
        </w:rPr>
        <w:t>6</w:t>
      </w:r>
      <w:r>
        <w:rPr>
          <w:rFonts w:eastAsia="宋体" w:cs="Times New Roman"/>
          <w:bCs/>
          <w:color w:val="auto"/>
          <w:sz w:val="24"/>
          <w:szCs w:val="18"/>
          <w:highlight w:val="none"/>
        </w:rPr>
        <w:fldChar w:fldCharType="end"/>
      </w:r>
      <w:r>
        <w:rPr>
          <w:rFonts w:hint="eastAsia" w:eastAsia="宋体" w:cs="Times New Roman"/>
          <w:bCs/>
          <w:color w:val="auto"/>
          <w:sz w:val="24"/>
          <w:szCs w:val="18"/>
          <w:highlight w:val="none"/>
        </w:rPr>
        <w:t>有组织废气监测结果</w:t>
      </w:r>
      <w:r>
        <w:rPr>
          <w:rFonts w:eastAsia="宋体" w:cs="Times New Roman"/>
          <w:bCs/>
          <w:color w:val="auto"/>
          <w:sz w:val="24"/>
          <w:szCs w:val="18"/>
          <w:highlight w:val="none"/>
        </w:rPr>
        <w:t>一览表</w:t>
      </w:r>
    </w:p>
    <w:tbl>
      <w:tblPr>
        <w:tblStyle w:val="45"/>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1003"/>
        <w:gridCol w:w="659"/>
        <w:gridCol w:w="813"/>
        <w:gridCol w:w="1590"/>
        <w:gridCol w:w="1019"/>
        <w:gridCol w:w="660"/>
        <w:gridCol w:w="1333"/>
        <w:gridCol w:w="1427"/>
      </w:tblGrid>
      <w:tr w14:paraId="2F29FB2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589" w:type="pct"/>
            <w:vMerge w:val="restart"/>
            <w:vAlign w:val="center"/>
          </w:tcPr>
          <w:p w14:paraId="2AE0D5AE">
            <w:pPr>
              <w:keepNext w:val="0"/>
              <w:keepLines w:val="0"/>
              <w:pageBreakBefore w:val="0"/>
              <w:widowControl/>
              <w:kinsoku/>
              <w:wordWrap/>
              <w:overflowPunct/>
              <w:topLinePunct w:val="0"/>
              <w:autoSpaceDE/>
              <w:autoSpaceDN/>
              <w:bidi w:val="0"/>
              <w:adjustRightInd/>
              <w:ind w:left="0" w:right="0"/>
              <w:jc w:val="center"/>
              <w:textAlignment w:val="auto"/>
              <w:rPr>
                <w:rFonts w:ascii="Times New Roman" w:hAnsi="Times New Roman" w:cs="Times New Roman"/>
                <w:b/>
                <w:color w:val="auto"/>
                <w:sz w:val="21"/>
                <w:szCs w:val="21"/>
                <w:highlight w:val="none"/>
              </w:rPr>
            </w:pPr>
            <w:r>
              <w:rPr>
                <w:rFonts w:ascii="Times New Roman" w:hAnsi="Times New Roman" w:cs="Times New Roman"/>
                <w:b/>
                <w:color w:val="auto"/>
                <w:sz w:val="21"/>
                <w:szCs w:val="21"/>
                <w:highlight w:val="none"/>
              </w:rPr>
              <w:t>编号污染源名称</w:t>
            </w:r>
          </w:p>
        </w:tc>
        <w:tc>
          <w:tcPr>
            <w:tcW w:w="387" w:type="pct"/>
            <w:vMerge w:val="restart"/>
            <w:vAlign w:val="center"/>
          </w:tcPr>
          <w:p w14:paraId="14D0CFC6">
            <w:pPr>
              <w:keepNext w:val="0"/>
              <w:keepLines w:val="0"/>
              <w:pageBreakBefore w:val="0"/>
              <w:widowControl/>
              <w:kinsoku/>
              <w:wordWrap/>
              <w:overflowPunct/>
              <w:topLinePunct w:val="0"/>
              <w:autoSpaceDE/>
              <w:autoSpaceDN/>
              <w:bidi w:val="0"/>
              <w:adjustRightInd/>
              <w:ind w:left="0" w:right="0"/>
              <w:jc w:val="center"/>
              <w:textAlignment w:val="auto"/>
              <w:rPr>
                <w:rFonts w:ascii="Times New Roman" w:hAnsi="Times New Roman" w:cs="Times New Roman"/>
                <w:b/>
                <w:color w:val="auto"/>
                <w:sz w:val="21"/>
                <w:szCs w:val="21"/>
                <w:highlight w:val="none"/>
              </w:rPr>
            </w:pPr>
            <w:r>
              <w:rPr>
                <w:rFonts w:ascii="Times New Roman" w:hAnsi="Times New Roman" w:cs="Times New Roman"/>
                <w:b/>
                <w:color w:val="auto"/>
                <w:sz w:val="21"/>
                <w:szCs w:val="21"/>
                <w:highlight w:val="none"/>
              </w:rPr>
              <w:t>风量</w:t>
            </w:r>
          </w:p>
          <w:p w14:paraId="53CEAF37">
            <w:pPr>
              <w:keepNext w:val="0"/>
              <w:keepLines w:val="0"/>
              <w:pageBreakBefore w:val="0"/>
              <w:widowControl/>
              <w:kinsoku/>
              <w:wordWrap/>
              <w:overflowPunct/>
              <w:topLinePunct w:val="0"/>
              <w:autoSpaceDE/>
              <w:autoSpaceDN/>
              <w:bidi w:val="0"/>
              <w:adjustRightInd/>
              <w:ind w:left="0" w:right="0"/>
              <w:jc w:val="center"/>
              <w:textAlignment w:val="auto"/>
              <w:rPr>
                <w:rFonts w:ascii="Times New Roman" w:hAnsi="Times New Roman" w:cs="Times New Roman"/>
                <w:b/>
                <w:color w:val="auto"/>
                <w:sz w:val="21"/>
                <w:szCs w:val="21"/>
                <w:highlight w:val="none"/>
              </w:rPr>
            </w:pPr>
            <w:r>
              <w:rPr>
                <w:rFonts w:ascii="Times New Roman" w:hAnsi="Times New Roman" w:cs="Times New Roman"/>
                <w:b/>
                <w:color w:val="auto"/>
                <w:sz w:val="21"/>
                <w:szCs w:val="21"/>
                <w:highlight w:val="none"/>
              </w:rPr>
              <w:t>(m</w:t>
            </w:r>
            <w:r>
              <w:rPr>
                <w:rFonts w:ascii="Times New Roman" w:hAnsi="Times New Roman" w:cs="Times New Roman"/>
                <w:b/>
                <w:color w:val="auto"/>
                <w:sz w:val="21"/>
                <w:szCs w:val="21"/>
                <w:highlight w:val="none"/>
                <w:vertAlign w:val="superscript"/>
              </w:rPr>
              <w:t>3</w:t>
            </w:r>
            <w:r>
              <w:rPr>
                <w:rFonts w:ascii="Times New Roman" w:hAnsi="Times New Roman" w:cs="Times New Roman"/>
                <w:b/>
                <w:color w:val="auto"/>
                <w:sz w:val="21"/>
                <w:szCs w:val="21"/>
                <w:highlight w:val="none"/>
              </w:rPr>
              <w:t>/h)</w:t>
            </w:r>
          </w:p>
        </w:tc>
        <w:tc>
          <w:tcPr>
            <w:tcW w:w="478" w:type="pct"/>
            <w:vMerge w:val="restart"/>
            <w:vAlign w:val="center"/>
          </w:tcPr>
          <w:p w14:paraId="5BAF6D72">
            <w:pPr>
              <w:keepNext w:val="0"/>
              <w:keepLines w:val="0"/>
              <w:pageBreakBefore w:val="0"/>
              <w:widowControl/>
              <w:kinsoku/>
              <w:wordWrap/>
              <w:overflowPunct/>
              <w:topLinePunct w:val="0"/>
              <w:autoSpaceDE/>
              <w:autoSpaceDN/>
              <w:bidi w:val="0"/>
              <w:adjustRightInd/>
              <w:ind w:left="0" w:right="0"/>
              <w:jc w:val="center"/>
              <w:textAlignment w:val="auto"/>
              <w:rPr>
                <w:rFonts w:ascii="Times New Roman" w:hAnsi="Times New Roman" w:cs="Times New Roman"/>
                <w:b/>
                <w:color w:val="auto"/>
                <w:sz w:val="21"/>
                <w:szCs w:val="21"/>
                <w:highlight w:val="none"/>
              </w:rPr>
            </w:pPr>
            <w:r>
              <w:rPr>
                <w:rFonts w:ascii="Times New Roman" w:hAnsi="Times New Roman" w:cs="Times New Roman"/>
                <w:b/>
                <w:color w:val="auto"/>
                <w:sz w:val="21"/>
                <w:szCs w:val="21"/>
                <w:highlight w:val="none"/>
              </w:rPr>
              <w:t>污染因子</w:t>
            </w:r>
          </w:p>
        </w:tc>
        <w:tc>
          <w:tcPr>
            <w:tcW w:w="934" w:type="pct"/>
            <w:vMerge w:val="restart"/>
            <w:vAlign w:val="center"/>
          </w:tcPr>
          <w:p w14:paraId="00919555">
            <w:pPr>
              <w:keepNext w:val="0"/>
              <w:keepLines w:val="0"/>
              <w:pageBreakBefore w:val="0"/>
              <w:widowControl/>
              <w:kinsoku/>
              <w:wordWrap/>
              <w:overflowPunct/>
              <w:topLinePunct w:val="0"/>
              <w:autoSpaceDE/>
              <w:autoSpaceDN/>
              <w:bidi w:val="0"/>
              <w:adjustRightInd/>
              <w:ind w:left="0" w:right="0"/>
              <w:jc w:val="center"/>
              <w:textAlignment w:val="auto"/>
              <w:rPr>
                <w:rFonts w:ascii="Times New Roman" w:hAnsi="Times New Roman" w:cs="Times New Roman"/>
                <w:b/>
                <w:color w:val="auto"/>
                <w:sz w:val="21"/>
                <w:szCs w:val="21"/>
                <w:highlight w:val="none"/>
              </w:rPr>
            </w:pPr>
            <w:r>
              <w:rPr>
                <w:rFonts w:ascii="Times New Roman" w:hAnsi="Times New Roman" w:cs="Times New Roman"/>
                <w:b/>
                <w:color w:val="auto"/>
                <w:sz w:val="21"/>
                <w:szCs w:val="21"/>
                <w:highlight w:val="none"/>
              </w:rPr>
              <w:t>治理措施</w:t>
            </w:r>
          </w:p>
        </w:tc>
        <w:tc>
          <w:tcPr>
            <w:tcW w:w="2609" w:type="pct"/>
            <w:gridSpan w:val="4"/>
            <w:vAlign w:val="center"/>
          </w:tcPr>
          <w:p w14:paraId="098CFAB4">
            <w:pPr>
              <w:keepNext w:val="0"/>
              <w:keepLines w:val="0"/>
              <w:pageBreakBefore w:val="0"/>
              <w:widowControl/>
              <w:kinsoku/>
              <w:wordWrap/>
              <w:overflowPunct/>
              <w:topLinePunct w:val="0"/>
              <w:autoSpaceDE/>
              <w:autoSpaceDN/>
              <w:bidi w:val="0"/>
              <w:adjustRightInd/>
              <w:ind w:left="0" w:right="0"/>
              <w:jc w:val="center"/>
              <w:textAlignment w:val="auto"/>
              <w:rPr>
                <w:rFonts w:ascii="Times New Roman" w:hAnsi="Times New Roman" w:cs="Times New Roman"/>
                <w:b/>
                <w:color w:val="auto"/>
                <w:sz w:val="21"/>
                <w:szCs w:val="21"/>
                <w:highlight w:val="none"/>
              </w:rPr>
            </w:pPr>
            <w:r>
              <w:rPr>
                <w:rFonts w:ascii="Times New Roman" w:hAnsi="Times New Roman" w:cs="Times New Roman"/>
                <w:b/>
                <w:color w:val="auto"/>
                <w:sz w:val="21"/>
                <w:szCs w:val="21"/>
                <w:highlight w:val="none"/>
              </w:rPr>
              <w:t>排放情况</w:t>
            </w:r>
          </w:p>
        </w:tc>
      </w:tr>
      <w:tr w14:paraId="60BB30B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589" w:type="pct"/>
            <w:vMerge w:val="continue"/>
            <w:vAlign w:val="center"/>
          </w:tcPr>
          <w:p w14:paraId="5BCF54D6">
            <w:pPr>
              <w:keepNext w:val="0"/>
              <w:keepLines w:val="0"/>
              <w:pageBreakBefore w:val="0"/>
              <w:widowControl/>
              <w:kinsoku/>
              <w:wordWrap/>
              <w:overflowPunct/>
              <w:topLinePunct w:val="0"/>
              <w:autoSpaceDE/>
              <w:autoSpaceDN/>
              <w:bidi w:val="0"/>
              <w:adjustRightInd/>
              <w:ind w:left="0" w:right="0"/>
              <w:jc w:val="center"/>
              <w:textAlignment w:val="auto"/>
              <w:rPr>
                <w:rFonts w:ascii="Times New Roman" w:hAnsi="Times New Roman" w:cs="Times New Roman"/>
                <w:b/>
                <w:color w:val="auto"/>
                <w:sz w:val="21"/>
                <w:szCs w:val="21"/>
                <w:highlight w:val="none"/>
              </w:rPr>
            </w:pPr>
          </w:p>
        </w:tc>
        <w:tc>
          <w:tcPr>
            <w:tcW w:w="387" w:type="pct"/>
            <w:vMerge w:val="continue"/>
            <w:vAlign w:val="center"/>
          </w:tcPr>
          <w:p w14:paraId="33E34656">
            <w:pPr>
              <w:keepNext w:val="0"/>
              <w:keepLines w:val="0"/>
              <w:pageBreakBefore w:val="0"/>
              <w:widowControl/>
              <w:kinsoku/>
              <w:wordWrap/>
              <w:overflowPunct/>
              <w:topLinePunct w:val="0"/>
              <w:autoSpaceDE/>
              <w:autoSpaceDN/>
              <w:bidi w:val="0"/>
              <w:adjustRightInd/>
              <w:ind w:left="0" w:right="0"/>
              <w:jc w:val="center"/>
              <w:textAlignment w:val="auto"/>
              <w:rPr>
                <w:rFonts w:ascii="Times New Roman" w:hAnsi="Times New Roman" w:cs="Times New Roman"/>
                <w:b/>
                <w:color w:val="auto"/>
                <w:sz w:val="21"/>
                <w:szCs w:val="21"/>
                <w:highlight w:val="none"/>
              </w:rPr>
            </w:pPr>
          </w:p>
        </w:tc>
        <w:tc>
          <w:tcPr>
            <w:tcW w:w="478" w:type="pct"/>
            <w:vMerge w:val="continue"/>
            <w:vAlign w:val="center"/>
          </w:tcPr>
          <w:p w14:paraId="1B9DDBFC">
            <w:pPr>
              <w:keepNext w:val="0"/>
              <w:keepLines w:val="0"/>
              <w:pageBreakBefore w:val="0"/>
              <w:widowControl/>
              <w:kinsoku/>
              <w:wordWrap/>
              <w:overflowPunct/>
              <w:topLinePunct w:val="0"/>
              <w:autoSpaceDE/>
              <w:autoSpaceDN/>
              <w:bidi w:val="0"/>
              <w:adjustRightInd/>
              <w:ind w:left="0" w:right="0"/>
              <w:jc w:val="center"/>
              <w:textAlignment w:val="auto"/>
              <w:rPr>
                <w:rFonts w:ascii="Times New Roman" w:hAnsi="Times New Roman" w:cs="Times New Roman"/>
                <w:b/>
                <w:color w:val="auto"/>
                <w:sz w:val="21"/>
                <w:szCs w:val="21"/>
                <w:highlight w:val="none"/>
              </w:rPr>
            </w:pPr>
          </w:p>
        </w:tc>
        <w:tc>
          <w:tcPr>
            <w:tcW w:w="934" w:type="pct"/>
            <w:vMerge w:val="continue"/>
            <w:vAlign w:val="center"/>
          </w:tcPr>
          <w:p w14:paraId="3D1796CB">
            <w:pPr>
              <w:keepNext w:val="0"/>
              <w:keepLines w:val="0"/>
              <w:pageBreakBefore w:val="0"/>
              <w:widowControl/>
              <w:kinsoku/>
              <w:wordWrap/>
              <w:overflowPunct/>
              <w:topLinePunct w:val="0"/>
              <w:autoSpaceDE/>
              <w:autoSpaceDN/>
              <w:bidi w:val="0"/>
              <w:adjustRightInd/>
              <w:snapToGrid w:val="0"/>
              <w:ind w:left="0" w:right="0"/>
              <w:jc w:val="center"/>
              <w:textAlignment w:val="auto"/>
              <w:rPr>
                <w:rFonts w:ascii="Times New Roman" w:hAnsi="Times New Roman" w:cs="Times New Roman"/>
                <w:b/>
                <w:color w:val="auto"/>
                <w:sz w:val="21"/>
                <w:szCs w:val="21"/>
                <w:highlight w:val="none"/>
              </w:rPr>
            </w:pPr>
          </w:p>
        </w:tc>
        <w:tc>
          <w:tcPr>
            <w:tcW w:w="599" w:type="pct"/>
            <w:tcMar>
              <w:left w:w="0" w:type="dxa"/>
              <w:right w:w="0" w:type="dxa"/>
            </w:tcMar>
            <w:vAlign w:val="center"/>
          </w:tcPr>
          <w:p w14:paraId="08CC544C">
            <w:pPr>
              <w:keepNext w:val="0"/>
              <w:keepLines w:val="0"/>
              <w:pageBreakBefore w:val="0"/>
              <w:widowControl/>
              <w:kinsoku/>
              <w:wordWrap/>
              <w:overflowPunct/>
              <w:topLinePunct w:val="0"/>
              <w:autoSpaceDE/>
              <w:autoSpaceDN/>
              <w:bidi w:val="0"/>
              <w:adjustRightInd/>
              <w:snapToGrid w:val="0"/>
              <w:ind w:left="0" w:right="0"/>
              <w:jc w:val="center"/>
              <w:textAlignment w:val="auto"/>
              <w:rPr>
                <w:rFonts w:ascii="Times New Roman" w:hAnsi="Times New Roman" w:cs="Times New Roman"/>
                <w:b/>
                <w:color w:val="auto"/>
                <w:sz w:val="21"/>
                <w:szCs w:val="21"/>
                <w:highlight w:val="none"/>
              </w:rPr>
            </w:pPr>
            <w:r>
              <w:rPr>
                <w:rFonts w:hint="eastAsia" w:ascii="Times New Roman" w:hAnsi="Times New Roman" w:cs="Times New Roman"/>
                <w:b/>
                <w:color w:val="auto"/>
                <w:sz w:val="21"/>
                <w:szCs w:val="21"/>
                <w:highlight w:val="none"/>
              </w:rPr>
              <w:t>检测时间</w:t>
            </w:r>
          </w:p>
        </w:tc>
        <w:tc>
          <w:tcPr>
            <w:tcW w:w="388" w:type="pct"/>
            <w:tcMar>
              <w:left w:w="0" w:type="dxa"/>
              <w:right w:w="0" w:type="dxa"/>
            </w:tcMar>
            <w:vAlign w:val="center"/>
          </w:tcPr>
          <w:p w14:paraId="622B103D">
            <w:pPr>
              <w:keepNext w:val="0"/>
              <w:keepLines w:val="0"/>
              <w:pageBreakBefore w:val="0"/>
              <w:widowControl/>
              <w:kinsoku/>
              <w:wordWrap/>
              <w:overflowPunct/>
              <w:topLinePunct w:val="0"/>
              <w:autoSpaceDE/>
              <w:autoSpaceDN/>
              <w:bidi w:val="0"/>
              <w:adjustRightInd/>
              <w:snapToGrid w:val="0"/>
              <w:ind w:left="0" w:right="0"/>
              <w:jc w:val="center"/>
              <w:textAlignment w:val="auto"/>
              <w:rPr>
                <w:rFonts w:ascii="Times New Roman" w:hAnsi="Times New Roman" w:cs="Times New Roman"/>
                <w:b/>
                <w:color w:val="auto"/>
                <w:sz w:val="21"/>
                <w:szCs w:val="21"/>
                <w:highlight w:val="none"/>
              </w:rPr>
            </w:pPr>
            <w:r>
              <w:rPr>
                <w:rFonts w:hint="eastAsia" w:ascii="Times New Roman" w:hAnsi="Times New Roman" w:cs="Times New Roman"/>
                <w:b/>
                <w:color w:val="auto"/>
                <w:sz w:val="21"/>
                <w:szCs w:val="21"/>
                <w:highlight w:val="none"/>
              </w:rPr>
              <w:t>检测次数</w:t>
            </w:r>
          </w:p>
        </w:tc>
        <w:tc>
          <w:tcPr>
            <w:tcW w:w="784" w:type="pct"/>
            <w:tcMar>
              <w:left w:w="0" w:type="dxa"/>
              <w:right w:w="0" w:type="dxa"/>
            </w:tcMar>
            <w:vAlign w:val="center"/>
          </w:tcPr>
          <w:p w14:paraId="7DDC41B0">
            <w:pPr>
              <w:keepNext w:val="0"/>
              <w:keepLines w:val="0"/>
              <w:pageBreakBefore w:val="0"/>
              <w:widowControl/>
              <w:kinsoku/>
              <w:wordWrap/>
              <w:overflowPunct/>
              <w:topLinePunct w:val="0"/>
              <w:autoSpaceDE/>
              <w:autoSpaceDN/>
              <w:bidi w:val="0"/>
              <w:adjustRightInd/>
              <w:snapToGrid w:val="0"/>
              <w:ind w:left="0" w:right="0"/>
              <w:jc w:val="center"/>
              <w:textAlignment w:val="auto"/>
              <w:rPr>
                <w:rFonts w:ascii="Times New Roman" w:hAnsi="Times New Roman" w:cs="Times New Roman"/>
                <w:b/>
                <w:color w:val="auto"/>
                <w:sz w:val="21"/>
                <w:szCs w:val="21"/>
                <w:highlight w:val="none"/>
              </w:rPr>
            </w:pPr>
            <w:r>
              <w:rPr>
                <w:rFonts w:ascii="Times New Roman" w:hAnsi="Times New Roman" w:cs="Times New Roman"/>
                <w:b/>
                <w:color w:val="auto"/>
                <w:sz w:val="21"/>
                <w:szCs w:val="21"/>
                <w:highlight w:val="none"/>
              </w:rPr>
              <w:t>排放浓度</w:t>
            </w:r>
          </w:p>
          <w:p w14:paraId="51890509">
            <w:pPr>
              <w:keepNext w:val="0"/>
              <w:keepLines w:val="0"/>
              <w:pageBreakBefore w:val="0"/>
              <w:widowControl/>
              <w:kinsoku/>
              <w:wordWrap/>
              <w:overflowPunct/>
              <w:topLinePunct w:val="0"/>
              <w:autoSpaceDE/>
              <w:autoSpaceDN/>
              <w:bidi w:val="0"/>
              <w:adjustRightInd/>
              <w:snapToGrid w:val="0"/>
              <w:ind w:left="0" w:right="0"/>
              <w:jc w:val="center"/>
              <w:textAlignment w:val="auto"/>
              <w:rPr>
                <w:rFonts w:ascii="Times New Roman" w:hAnsi="Times New Roman" w:cs="Times New Roman"/>
                <w:b/>
                <w:color w:val="auto"/>
                <w:sz w:val="21"/>
                <w:szCs w:val="21"/>
                <w:highlight w:val="none"/>
              </w:rPr>
            </w:pPr>
            <w:r>
              <w:rPr>
                <w:rFonts w:ascii="Times New Roman" w:hAnsi="Times New Roman" w:cs="Times New Roman"/>
                <w:b/>
                <w:color w:val="auto"/>
                <w:sz w:val="21"/>
                <w:szCs w:val="21"/>
                <w:highlight w:val="none"/>
              </w:rPr>
              <w:t>mg/m</w:t>
            </w:r>
            <w:r>
              <w:rPr>
                <w:rFonts w:ascii="Times New Roman" w:hAnsi="Times New Roman" w:cs="Times New Roman"/>
                <w:b/>
                <w:color w:val="auto"/>
                <w:sz w:val="21"/>
                <w:szCs w:val="21"/>
                <w:highlight w:val="none"/>
                <w:vertAlign w:val="superscript"/>
              </w:rPr>
              <w:t>3</w:t>
            </w:r>
          </w:p>
        </w:tc>
        <w:tc>
          <w:tcPr>
            <w:tcW w:w="837" w:type="pct"/>
            <w:vAlign w:val="center"/>
          </w:tcPr>
          <w:p w14:paraId="13CEDB02">
            <w:pPr>
              <w:keepNext w:val="0"/>
              <w:keepLines w:val="0"/>
              <w:pageBreakBefore w:val="0"/>
              <w:widowControl/>
              <w:kinsoku/>
              <w:wordWrap/>
              <w:overflowPunct/>
              <w:topLinePunct w:val="0"/>
              <w:autoSpaceDE/>
              <w:autoSpaceDN/>
              <w:bidi w:val="0"/>
              <w:adjustRightInd/>
              <w:snapToGrid w:val="0"/>
              <w:ind w:left="0" w:right="0"/>
              <w:jc w:val="center"/>
              <w:textAlignment w:val="auto"/>
              <w:rPr>
                <w:rFonts w:ascii="Times New Roman" w:hAnsi="Times New Roman" w:cs="Times New Roman"/>
                <w:b/>
                <w:color w:val="auto"/>
                <w:sz w:val="21"/>
                <w:szCs w:val="21"/>
                <w:highlight w:val="none"/>
              </w:rPr>
            </w:pPr>
            <w:r>
              <w:rPr>
                <w:rFonts w:ascii="Times New Roman" w:hAnsi="Times New Roman" w:cs="Times New Roman"/>
                <w:b/>
                <w:color w:val="auto"/>
                <w:sz w:val="21"/>
                <w:szCs w:val="21"/>
                <w:highlight w:val="none"/>
              </w:rPr>
              <w:t>排放速率</w:t>
            </w:r>
          </w:p>
          <w:p w14:paraId="49AF6386">
            <w:pPr>
              <w:keepNext w:val="0"/>
              <w:keepLines w:val="0"/>
              <w:pageBreakBefore w:val="0"/>
              <w:widowControl/>
              <w:kinsoku/>
              <w:wordWrap/>
              <w:overflowPunct/>
              <w:topLinePunct w:val="0"/>
              <w:autoSpaceDE/>
              <w:autoSpaceDN/>
              <w:bidi w:val="0"/>
              <w:adjustRightInd/>
              <w:snapToGrid w:val="0"/>
              <w:ind w:left="0" w:right="0"/>
              <w:jc w:val="center"/>
              <w:textAlignment w:val="auto"/>
              <w:rPr>
                <w:rFonts w:ascii="Times New Roman" w:hAnsi="Times New Roman" w:cs="Times New Roman"/>
                <w:b/>
                <w:color w:val="auto"/>
                <w:sz w:val="21"/>
                <w:szCs w:val="21"/>
                <w:highlight w:val="none"/>
              </w:rPr>
            </w:pPr>
            <w:r>
              <w:rPr>
                <w:rFonts w:ascii="Times New Roman" w:hAnsi="Times New Roman" w:cs="Times New Roman"/>
                <w:b/>
                <w:color w:val="auto"/>
                <w:sz w:val="21"/>
                <w:szCs w:val="21"/>
                <w:highlight w:val="none"/>
              </w:rPr>
              <w:t>（kg/h）</w:t>
            </w:r>
          </w:p>
        </w:tc>
      </w:tr>
      <w:tr w14:paraId="14E2960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589" w:type="pct"/>
            <w:vMerge w:val="restart"/>
            <w:vAlign w:val="center"/>
          </w:tcPr>
          <w:p w14:paraId="792B8CB8">
            <w:pPr>
              <w:keepNext w:val="0"/>
              <w:keepLines w:val="0"/>
              <w:pageBreakBefore w:val="0"/>
              <w:widowControl/>
              <w:kinsoku/>
              <w:wordWrap/>
              <w:overflowPunct/>
              <w:topLinePunct w:val="0"/>
              <w:autoSpaceDE/>
              <w:autoSpaceDN/>
              <w:bidi w:val="0"/>
              <w:adjustRightInd/>
              <w:ind w:left="0" w:right="0"/>
              <w:jc w:val="center"/>
              <w:textAlignment w:val="auto"/>
              <w:rPr>
                <w:rFonts w:ascii="Times New Roman" w:hAnsi="Times New Roman" w:cs="Times New Roman"/>
                <w:snapToGrid w:val="0"/>
                <w:color w:val="auto"/>
                <w:sz w:val="21"/>
                <w:szCs w:val="21"/>
                <w:highlight w:val="none"/>
              </w:rPr>
            </w:pPr>
            <w:r>
              <w:rPr>
                <w:rFonts w:ascii="Times New Roman" w:hAnsi="Times New Roman" w:cs="Times New Roman"/>
                <w:snapToGrid w:val="0"/>
                <w:color w:val="auto"/>
                <w:sz w:val="21"/>
                <w:szCs w:val="21"/>
                <w:highlight w:val="none"/>
              </w:rPr>
              <w:t>DA001</w:t>
            </w:r>
          </w:p>
        </w:tc>
        <w:tc>
          <w:tcPr>
            <w:tcW w:w="387" w:type="pct"/>
            <w:vMerge w:val="restart"/>
            <w:vAlign w:val="center"/>
          </w:tcPr>
          <w:p w14:paraId="30A62A83">
            <w:pPr>
              <w:keepNext w:val="0"/>
              <w:keepLines w:val="0"/>
              <w:pageBreakBefore w:val="0"/>
              <w:widowControl/>
              <w:kinsoku/>
              <w:wordWrap/>
              <w:overflowPunct/>
              <w:topLinePunct w:val="0"/>
              <w:autoSpaceDE/>
              <w:autoSpaceDN/>
              <w:bidi w:val="0"/>
              <w:adjustRightInd/>
              <w:ind w:left="0" w:right="0"/>
              <w:jc w:val="center"/>
              <w:textAlignment w:val="auto"/>
              <w:rPr>
                <w:rFonts w:ascii="Times New Roman" w:hAnsi="Times New Roman" w:cs="Times New Roman"/>
                <w:bCs/>
                <w:color w:val="auto"/>
                <w:sz w:val="21"/>
                <w:szCs w:val="21"/>
                <w:highlight w:val="none"/>
              </w:rPr>
            </w:pPr>
            <w:r>
              <w:rPr>
                <w:rFonts w:hint="eastAsia" w:ascii="Times New Roman" w:hAnsi="Times New Roman" w:cs="Times New Roman"/>
                <w:bCs/>
                <w:color w:val="auto"/>
                <w:sz w:val="21"/>
                <w:szCs w:val="21"/>
                <w:highlight w:val="none"/>
              </w:rPr>
              <w:t>5000</w:t>
            </w:r>
          </w:p>
        </w:tc>
        <w:tc>
          <w:tcPr>
            <w:tcW w:w="478" w:type="pct"/>
            <w:vMerge w:val="restart"/>
            <w:vAlign w:val="center"/>
          </w:tcPr>
          <w:p w14:paraId="15577F4E">
            <w:pPr>
              <w:keepNext w:val="0"/>
              <w:keepLines w:val="0"/>
              <w:pageBreakBefore w:val="0"/>
              <w:widowControl/>
              <w:kinsoku/>
              <w:wordWrap/>
              <w:overflowPunct/>
              <w:topLinePunct w:val="0"/>
              <w:autoSpaceDE/>
              <w:autoSpaceDN/>
              <w:bidi w:val="0"/>
              <w:adjustRightInd/>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非甲烷总烃</w:t>
            </w:r>
          </w:p>
        </w:tc>
        <w:tc>
          <w:tcPr>
            <w:tcW w:w="934" w:type="pct"/>
            <w:vMerge w:val="restart"/>
            <w:vAlign w:val="center"/>
          </w:tcPr>
          <w:p w14:paraId="09778559">
            <w:pPr>
              <w:keepNext w:val="0"/>
              <w:keepLines w:val="0"/>
              <w:pageBreakBefore w:val="0"/>
              <w:widowControl/>
              <w:kinsoku/>
              <w:wordWrap/>
              <w:overflowPunct/>
              <w:topLinePunct w:val="0"/>
              <w:autoSpaceDE/>
              <w:autoSpaceDN/>
              <w:bidi w:val="0"/>
              <w:adjustRightInd/>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olor w:val="auto"/>
                <w:sz w:val="21"/>
                <w:szCs w:val="21"/>
                <w:highlight w:val="none"/>
              </w:rPr>
              <w:t>冷凝+3级碱液喷淋+活性炭吸附</w:t>
            </w:r>
          </w:p>
        </w:tc>
        <w:tc>
          <w:tcPr>
            <w:tcW w:w="599" w:type="pct"/>
            <w:vMerge w:val="restart"/>
            <w:vAlign w:val="center"/>
          </w:tcPr>
          <w:p w14:paraId="7C5A0BC1">
            <w:pPr>
              <w:keepNext w:val="0"/>
              <w:keepLines w:val="0"/>
              <w:pageBreakBefore w:val="0"/>
              <w:widowControl/>
              <w:kinsoku/>
              <w:wordWrap/>
              <w:overflowPunct/>
              <w:topLinePunct w:val="0"/>
              <w:autoSpaceDE/>
              <w:autoSpaceDN/>
              <w:bidi w:val="0"/>
              <w:adjustRightInd/>
              <w:ind w:left="0" w:right="0"/>
              <w:jc w:val="center"/>
              <w:textAlignment w:val="auto"/>
              <w:rPr>
                <w:rFonts w:ascii="Times New Roman" w:hAnsi="Times New Roman"/>
                <w:color w:val="auto"/>
                <w:sz w:val="21"/>
                <w:szCs w:val="21"/>
                <w:highlight w:val="none"/>
              </w:rPr>
            </w:pPr>
            <w:r>
              <w:rPr>
                <w:rFonts w:hint="eastAsia" w:ascii="Times New Roman" w:hAnsi="Times New Roman"/>
                <w:color w:val="auto"/>
                <w:sz w:val="21"/>
                <w:szCs w:val="21"/>
                <w:highlight w:val="none"/>
              </w:rPr>
              <w:t>2023.3.20</w:t>
            </w:r>
          </w:p>
        </w:tc>
        <w:tc>
          <w:tcPr>
            <w:tcW w:w="388" w:type="pct"/>
            <w:vAlign w:val="center"/>
          </w:tcPr>
          <w:p w14:paraId="4E175534">
            <w:pPr>
              <w:keepNext w:val="0"/>
              <w:keepLines w:val="0"/>
              <w:pageBreakBefore w:val="0"/>
              <w:widowControl/>
              <w:kinsoku/>
              <w:wordWrap/>
              <w:overflowPunct/>
              <w:topLinePunct w:val="0"/>
              <w:autoSpaceDE/>
              <w:autoSpaceDN/>
              <w:bidi w:val="0"/>
              <w:adjustRightInd/>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1</w:t>
            </w:r>
          </w:p>
        </w:tc>
        <w:tc>
          <w:tcPr>
            <w:tcW w:w="784" w:type="pct"/>
            <w:vAlign w:val="center"/>
          </w:tcPr>
          <w:p w14:paraId="5E6A6515">
            <w:pPr>
              <w:keepNext w:val="0"/>
              <w:keepLines w:val="0"/>
              <w:pageBreakBefore w:val="0"/>
              <w:widowControl/>
              <w:kinsoku/>
              <w:wordWrap/>
              <w:overflowPunct/>
              <w:topLinePunct w:val="0"/>
              <w:autoSpaceDE/>
              <w:autoSpaceDN/>
              <w:bidi w:val="0"/>
              <w:adjustRightInd/>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2.23</w:t>
            </w:r>
          </w:p>
        </w:tc>
        <w:tc>
          <w:tcPr>
            <w:tcW w:w="837" w:type="pct"/>
            <w:vAlign w:val="center"/>
          </w:tcPr>
          <w:p w14:paraId="298D1EC1">
            <w:pPr>
              <w:keepNext w:val="0"/>
              <w:keepLines w:val="0"/>
              <w:pageBreakBefore w:val="0"/>
              <w:widowControl/>
              <w:kinsoku/>
              <w:wordWrap/>
              <w:overflowPunct/>
              <w:topLinePunct w:val="0"/>
              <w:autoSpaceDE/>
              <w:autoSpaceDN/>
              <w:bidi w:val="0"/>
              <w:adjustRightInd/>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0.00461</w:t>
            </w:r>
          </w:p>
        </w:tc>
      </w:tr>
      <w:tr w14:paraId="249A800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589" w:type="pct"/>
            <w:vMerge w:val="continue"/>
            <w:vAlign w:val="center"/>
          </w:tcPr>
          <w:p w14:paraId="77841C6C">
            <w:pPr>
              <w:keepNext w:val="0"/>
              <w:keepLines w:val="0"/>
              <w:pageBreakBefore w:val="0"/>
              <w:widowControl/>
              <w:kinsoku/>
              <w:wordWrap/>
              <w:overflowPunct/>
              <w:topLinePunct w:val="0"/>
              <w:autoSpaceDE/>
              <w:autoSpaceDN/>
              <w:bidi w:val="0"/>
              <w:adjustRightInd/>
              <w:ind w:left="0" w:right="0"/>
              <w:jc w:val="center"/>
              <w:textAlignment w:val="auto"/>
              <w:rPr>
                <w:rFonts w:ascii="Times New Roman" w:hAnsi="Times New Roman" w:cs="Times New Roman"/>
                <w:snapToGrid w:val="0"/>
                <w:color w:val="auto"/>
                <w:sz w:val="21"/>
                <w:szCs w:val="21"/>
                <w:highlight w:val="none"/>
              </w:rPr>
            </w:pPr>
          </w:p>
        </w:tc>
        <w:tc>
          <w:tcPr>
            <w:tcW w:w="387" w:type="pct"/>
            <w:vMerge w:val="continue"/>
            <w:vAlign w:val="center"/>
          </w:tcPr>
          <w:p w14:paraId="7F7FBA6C">
            <w:pPr>
              <w:keepNext w:val="0"/>
              <w:keepLines w:val="0"/>
              <w:pageBreakBefore w:val="0"/>
              <w:widowControl/>
              <w:kinsoku/>
              <w:wordWrap/>
              <w:overflowPunct/>
              <w:topLinePunct w:val="0"/>
              <w:autoSpaceDE/>
              <w:autoSpaceDN/>
              <w:bidi w:val="0"/>
              <w:adjustRightInd/>
              <w:ind w:left="0" w:right="0"/>
              <w:jc w:val="center"/>
              <w:textAlignment w:val="auto"/>
              <w:rPr>
                <w:rFonts w:ascii="Times New Roman" w:hAnsi="Times New Roman" w:cs="Times New Roman"/>
                <w:bCs/>
                <w:color w:val="auto"/>
                <w:sz w:val="21"/>
                <w:szCs w:val="21"/>
                <w:highlight w:val="none"/>
              </w:rPr>
            </w:pPr>
          </w:p>
        </w:tc>
        <w:tc>
          <w:tcPr>
            <w:tcW w:w="478" w:type="pct"/>
            <w:vMerge w:val="continue"/>
            <w:vAlign w:val="center"/>
          </w:tcPr>
          <w:p w14:paraId="565D0874">
            <w:pPr>
              <w:keepNext w:val="0"/>
              <w:keepLines w:val="0"/>
              <w:pageBreakBefore w:val="0"/>
              <w:widowControl/>
              <w:kinsoku/>
              <w:wordWrap/>
              <w:overflowPunct/>
              <w:topLinePunct w:val="0"/>
              <w:autoSpaceDE/>
              <w:autoSpaceDN/>
              <w:bidi w:val="0"/>
              <w:adjustRightInd/>
              <w:ind w:left="0" w:right="0"/>
              <w:jc w:val="center"/>
              <w:textAlignment w:val="auto"/>
              <w:rPr>
                <w:rFonts w:ascii="Times New Roman" w:hAnsi="Times New Roman" w:cs="Times New Roman"/>
                <w:color w:val="auto"/>
                <w:sz w:val="21"/>
                <w:szCs w:val="21"/>
                <w:highlight w:val="none"/>
              </w:rPr>
            </w:pPr>
          </w:p>
        </w:tc>
        <w:tc>
          <w:tcPr>
            <w:tcW w:w="934" w:type="pct"/>
            <w:vMerge w:val="continue"/>
            <w:vAlign w:val="center"/>
          </w:tcPr>
          <w:p w14:paraId="245F4CCA">
            <w:pPr>
              <w:keepNext w:val="0"/>
              <w:keepLines w:val="0"/>
              <w:pageBreakBefore w:val="0"/>
              <w:widowControl/>
              <w:kinsoku/>
              <w:wordWrap/>
              <w:overflowPunct/>
              <w:topLinePunct w:val="0"/>
              <w:autoSpaceDE/>
              <w:autoSpaceDN/>
              <w:bidi w:val="0"/>
              <w:adjustRightInd/>
              <w:ind w:left="0" w:right="0"/>
              <w:jc w:val="center"/>
              <w:textAlignment w:val="auto"/>
              <w:rPr>
                <w:rFonts w:ascii="Times New Roman" w:hAnsi="Times New Roman" w:cs="Times New Roman"/>
                <w:bCs/>
                <w:color w:val="auto"/>
                <w:sz w:val="21"/>
                <w:szCs w:val="21"/>
                <w:highlight w:val="none"/>
              </w:rPr>
            </w:pPr>
          </w:p>
        </w:tc>
        <w:tc>
          <w:tcPr>
            <w:tcW w:w="599" w:type="pct"/>
            <w:vMerge w:val="continue"/>
            <w:vAlign w:val="center"/>
          </w:tcPr>
          <w:p w14:paraId="16D11B9A">
            <w:pPr>
              <w:keepNext w:val="0"/>
              <w:keepLines w:val="0"/>
              <w:pageBreakBefore w:val="0"/>
              <w:widowControl/>
              <w:kinsoku/>
              <w:wordWrap/>
              <w:overflowPunct/>
              <w:topLinePunct w:val="0"/>
              <w:autoSpaceDE/>
              <w:autoSpaceDN/>
              <w:bidi w:val="0"/>
              <w:adjustRightInd/>
              <w:ind w:left="0" w:right="0"/>
              <w:jc w:val="center"/>
              <w:textAlignment w:val="auto"/>
              <w:rPr>
                <w:rFonts w:ascii="Times New Roman" w:hAnsi="Times New Roman" w:cs="Times New Roman"/>
                <w:bCs/>
                <w:color w:val="auto"/>
                <w:sz w:val="21"/>
                <w:szCs w:val="21"/>
                <w:highlight w:val="none"/>
              </w:rPr>
            </w:pPr>
          </w:p>
        </w:tc>
        <w:tc>
          <w:tcPr>
            <w:tcW w:w="388" w:type="pct"/>
            <w:vAlign w:val="center"/>
          </w:tcPr>
          <w:p w14:paraId="11A1C7E1">
            <w:pPr>
              <w:keepNext w:val="0"/>
              <w:keepLines w:val="0"/>
              <w:pageBreakBefore w:val="0"/>
              <w:widowControl/>
              <w:kinsoku/>
              <w:wordWrap/>
              <w:overflowPunct/>
              <w:topLinePunct w:val="0"/>
              <w:autoSpaceDE/>
              <w:autoSpaceDN/>
              <w:bidi w:val="0"/>
              <w:adjustRightInd/>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2</w:t>
            </w:r>
          </w:p>
        </w:tc>
        <w:tc>
          <w:tcPr>
            <w:tcW w:w="784" w:type="pct"/>
            <w:vAlign w:val="center"/>
          </w:tcPr>
          <w:p w14:paraId="3D8502AA">
            <w:pPr>
              <w:keepNext w:val="0"/>
              <w:keepLines w:val="0"/>
              <w:pageBreakBefore w:val="0"/>
              <w:widowControl/>
              <w:kinsoku/>
              <w:wordWrap/>
              <w:overflowPunct/>
              <w:topLinePunct w:val="0"/>
              <w:autoSpaceDE/>
              <w:autoSpaceDN/>
              <w:bidi w:val="0"/>
              <w:adjustRightInd/>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2.14</w:t>
            </w:r>
          </w:p>
        </w:tc>
        <w:tc>
          <w:tcPr>
            <w:tcW w:w="837" w:type="pct"/>
            <w:vAlign w:val="center"/>
          </w:tcPr>
          <w:p w14:paraId="715199BF">
            <w:pPr>
              <w:keepNext w:val="0"/>
              <w:keepLines w:val="0"/>
              <w:pageBreakBefore w:val="0"/>
              <w:widowControl/>
              <w:kinsoku/>
              <w:wordWrap/>
              <w:overflowPunct/>
              <w:topLinePunct w:val="0"/>
              <w:autoSpaceDE/>
              <w:autoSpaceDN/>
              <w:bidi w:val="0"/>
              <w:adjustRightInd/>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0.00435</w:t>
            </w:r>
          </w:p>
        </w:tc>
      </w:tr>
      <w:tr w14:paraId="0B99E19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589" w:type="pct"/>
            <w:vMerge w:val="continue"/>
            <w:vAlign w:val="center"/>
          </w:tcPr>
          <w:p w14:paraId="39FCA198">
            <w:pPr>
              <w:keepNext w:val="0"/>
              <w:keepLines w:val="0"/>
              <w:pageBreakBefore w:val="0"/>
              <w:widowControl/>
              <w:kinsoku/>
              <w:wordWrap/>
              <w:overflowPunct/>
              <w:topLinePunct w:val="0"/>
              <w:autoSpaceDE/>
              <w:autoSpaceDN/>
              <w:bidi w:val="0"/>
              <w:adjustRightInd/>
              <w:ind w:left="0" w:right="0"/>
              <w:jc w:val="center"/>
              <w:textAlignment w:val="auto"/>
              <w:rPr>
                <w:rFonts w:ascii="Times New Roman" w:hAnsi="Times New Roman" w:cs="Times New Roman"/>
                <w:snapToGrid w:val="0"/>
                <w:color w:val="auto"/>
                <w:sz w:val="21"/>
                <w:szCs w:val="21"/>
                <w:highlight w:val="none"/>
              </w:rPr>
            </w:pPr>
          </w:p>
        </w:tc>
        <w:tc>
          <w:tcPr>
            <w:tcW w:w="387" w:type="pct"/>
            <w:vMerge w:val="continue"/>
            <w:vAlign w:val="center"/>
          </w:tcPr>
          <w:p w14:paraId="4F397715">
            <w:pPr>
              <w:keepNext w:val="0"/>
              <w:keepLines w:val="0"/>
              <w:pageBreakBefore w:val="0"/>
              <w:widowControl/>
              <w:kinsoku/>
              <w:wordWrap/>
              <w:overflowPunct/>
              <w:topLinePunct w:val="0"/>
              <w:autoSpaceDE/>
              <w:autoSpaceDN/>
              <w:bidi w:val="0"/>
              <w:adjustRightInd/>
              <w:ind w:left="0" w:right="0"/>
              <w:jc w:val="center"/>
              <w:textAlignment w:val="auto"/>
              <w:rPr>
                <w:rFonts w:ascii="Times New Roman" w:hAnsi="Times New Roman" w:cs="Times New Roman"/>
                <w:bCs/>
                <w:color w:val="auto"/>
                <w:sz w:val="21"/>
                <w:szCs w:val="21"/>
                <w:highlight w:val="none"/>
              </w:rPr>
            </w:pPr>
          </w:p>
        </w:tc>
        <w:tc>
          <w:tcPr>
            <w:tcW w:w="478" w:type="pct"/>
            <w:vMerge w:val="continue"/>
            <w:vAlign w:val="center"/>
          </w:tcPr>
          <w:p w14:paraId="5D4F67E8">
            <w:pPr>
              <w:keepNext w:val="0"/>
              <w:keepLines w:val="0"/>
              <w:pageBreakBefore w:val="0"/>
              <w:widowControl/>
              <w:kinsoku/>
              <w:wordWrap/>
              <w:overflowPunct/>
              <w:topLinePunct w:val="0"/>
              <w:autoSpaceDE/>
              <w:autoSpaceDN/>
              <w:bidi w:val="0"/>
              <w:adjustRightInd/>
              <w:ind w:left="0" w:right="0"/>
              <w:jc w:val="center"/>
              <w:textAlignment w:val="auto"/>
              <w:rPr>
                <w:rFonts w:ascii="Times New Roman" w:hAnsi="Times New Roman" w:cs="Times New Roman"/>
                <w:color w:val="auto"/>
                <w:sz w:val="21"/>
                <w:szCs w:val="21"/>
                <w:highlight w:val="none"/>
              </w:rPr>
            </w:pPr>
          </w:p>
        </w:tc>
        <w:tc>
          <w:tcPr>
            <w:tcW w:w="934" w:type="pct"/>
            <w:vMerge w:val="continue"/>
            <w:vAlign w:val="center"/>
          </w:tcPr>
          <w:p w14:paraId="0B508853">
            <w:pPr>
              <w:keepNext w:val="0"/>
              <w:keepLines w:val="0"/>
              <w:pageBreakBefore w:val="0"/>
              <w:widowControl/>
              <w:kinsoku/>
              <w:wordWrap/>
              <w:overflowPunct/>
              <w:topLinePunct w:val="0"/>
              <w:autoSpaceDE/>
              <w:autoSpaceDN/>
              <w:bidi w:val="0"/>
              <w:adjustRightInd/>
              <w:ind w:left="0" w:right="0"/>
              <w:jc w:val="center"/>
              <w:textAlignment w:val="auto"/>
              <w:rPr>
                <w:rFonts w:ascii="Times New Roman" w:hAnsi="Times New Roman" w:cs="Times New Roman"/>
                <w:bCs/>
                <w:color w:val="auto"/>
                <w:sz w:val="21"/>
                <w:szCs w:val="21"/>
                <w:highlight w:val="none"/>
              </w:rPr>
            </w:pPr>
          </w:p>
        </w:tc>
        <w:tc>
          <w:tcPr>
            <w:tcW w:w="599" w:type="pct"/>
            <w:vMerge w:val="continue"/>
            <w:vAlign w:val="center"/>
          </w:tcPr>
          <w:p w14:paraId="1407AA9F">
            <w:pPr>
              <w:keepNext w:val="0"/>
              <w:keepLines w:val="0"/>
              <w:pageBreakBefore w:val="0"/>
              <w:widowControl/>
              <w:kinsoku/>
              <w:wordWrap/>
              <w:overflowPunct/>
              <w:topLinePunct w:val="0"/>
              <w:autoSpaceDE/>
              <w:autoSpaceDN/>
              <w:bidi w:val="0"/>
              <w:adjustRightInd/>
              <w:ind w:left="0" w:right="0"/>
              <w:jc w:val="center"/>
              <w:textAlignment w:val="auto"/>
              <w:rPr>
                <w:rFonts w:ascii="Times New Roman" w:hAnsi="Times New Roman" w:cs="Times New Roman"/>
                <w:bCs/>
                <w:color w:val="auto"/>
                <w:sz w:val="21"/>
                <w:szCs w:val="21"/>
                <w:highlight w:val="none"/>
              </w:rPr>
            </w:pPr>
          </w:p>
        </w:tc>
        <w:tc>
          <w:tcPr>
            <w:tcW w:w="388" w:type="pct"/>
            <w:vAlign w:val="center"/>
          </w:tcPr>
          <w:p w14:paraId="4751F302">
            <w:pPr>
              <w:keepNext w:val="0"/>
              <w:keepLines w:val="0"/>
              <w:pageBreakBefore w:val="0"/>
              <w:widowControl/>
              <w:kinsoku/>
              <w:wordWrap/>
              <w:overflowPunct/>
              <w:topLinePunct w:val="0"/>
              <w:autoSpaceDE/>
              <w:autoSpaceDN/>
              <w:bidi w:val="0"/>
              <w:adjustRightInd/>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3</w:t>
            </w:r>
          </w:p>
        </w:tc>
        <w:tc>
          <w:tcPr>
            <w:tcW w:w="784" w:type="pct"/>
            <w:vAlign w:val="center"/>
          </w:tcPr>
          <w:p w14:paraId="2EDE96C3">
            <w:pPr>
              <w:keepNext w:val="0"/>
              <w:keepLines w:val="0"/>
              <w:pageBreakBefore w:val="0"/>
              <w:widowControl/>
              <w:kinsoku/>
              <w:wordWrap/>
              <w:overflowPunct/>
              <w:topLinePunct w:val="0"/>
              <w:autoSpaceDE/>
              <w:autoSpaceDN/>
              <w:bidi w:val="0"/>
              <w:adjustRightInd/>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2.13</w:t>
            </w:r>
          </w:p>
        </w:tc>
        <w:tc>
          <w:tcPr>
            <w:tcW w:w="837" w:type="pct"/>
            <w:vAlign w:val="center"/>
          </w:tcPr>
          <w:p w14:paraId="0EF3C3C9">
            <w:pPr>
              <w:keepNext w:val="0"/>
              <w:keepLines w:val="0"/>
              <w:pageBreakBefore w:val="0"/>
              <w:widowControl/>
              <w:kinsoku/>
              <w:wordWrap/>
              <w:overflowPunct/>
              <w:topLinePunct w:val="0"/>
              <w:autoSpaceDE/>
              <w:autoSpaceDN/>
              <w:bidi w:val="0"/>
              <w:adjustRightInd/>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0.00454</w:t>
            </w:r>
          </w:p>
        </w:tc>
      </w:tr>
      <w:tr w14:paraId="2F2B805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589" w:type="pct"/>
            <w:vMerge w:val="continue"/>
            <w:vAlign w:val="center"/>
          </w:tcPr>
          <w:p w14:paraId="133A1DE5">
            <w:pPr>
              <w:keepNext w:val="0"/>
              <w:keepLines w:val="0"/>
              <w:pageBreakBefore w:val="0"/>
              <w:widowControl/>
              <w:kinsoku/>
              <w:wordWrap/>
              <w:overflowPunct/>
              <w:topLinePunct w:val="0"/>
              <w:autoSpaceDE/>
              <w:autoSpaceDN/>
              <w:bidi w:val="0"/>
              <w:adjustRightInd/>
              <w:ind w:left="0" w:right="0"/>
              <w:jc w:val="center"/>
              <w:textAlignment w:val="auto"/>
              <w:rPr>
                <w:rFonts w:ascii="Times New Roman" w:hAnsi="Times New Roman" w:cs="Times New Roman"/>
                <w:snapToGrid w:val="0"/>
                <w:color w:val="auto"/>
                <w:sz w:val="21"/>
                <w:szCs w:val="21"/>
                <w:highlight w:val="none"/>
              </w:rPr>
            </w:pPr>
          </w:p>
        </w:tc>
        <w:tc>
          <w:tcPr>
            <w:tcW w:w="387" w:type="pct"/>
            <w:vMerge w:val="continue"/>
            <w:vAlign w:val="center"/>
          </w:tcPr>
          <w:p w14:paraId="5F5CA707">
            <w:pPr>
              <w:keepNext w:val="0"/>
              <w:keepLines w:val="0"/>
              <w:pageBreakBefore w:val="0"/>
              <w:widowControl/>
              <w:kinsoku/>
              <w:wordWrap/>
              <w:overflowPunct/>
              <w:topLinePunct w:val="0"/>
              <w:autoSpaceDE/>
              <w:autoSpaceDN/>
              <w:bidi w:val="0"/>
              <w:adjustRightInd/>
              <w:ind w:left="0" w:right="0"/>
              <w:jc w:val="center"/>
              <w:textAlignment w:val="auto"/>
              <w:rPr>
                <w:rFonts w:ascii="Times New Roman" w:hAnsi="Times New Roman" w:cs="Times New Roman"/>
                <w:bCs/>
                <w:color w:val="auto"/>
                <w:sz w:val="21"/>
                <w:szCs w:val="21"/>
                <w:highlight w:val="none"/>
              </w:rPr>
            </w:pPr>
          </w:p>
        </w:tc>
        <w:tc>
          <w:tcPr>
            <w:tcW w:w="478" w:type="pct"/>
            <w:vMerge w:val="continue"/>
            <w:vAlign w:val="center"/>
          </w:tcPr>
          <w:p w14:paraId="0C334FDB">
            <w:pPr>
              <w:keepNext w:val="0"/>
              <w:keepLines w:val="0"/>
              <w:pageBreakBefore w:val="0"/>
              <w:widowControl/>
              <w:kinsoku/>
              <w:wordWrap/>
              <w:overflowPunct/>
              <w:topLinePunct w:val="0"/>
              <w:autoSpaceDE/>
              <w:autoSpaceDN/>
              <w:bidi w:val="0"/>
              <w:adjustRightInd/>
              <w:ind w:left="0" w:right="0"/>
              <w:jc w:val="center"/>
              <w:textAlignment w:val="auto"/>
              <w:rPr>
                <w:rFonts w:ascii="Times New Roman" w:hAnsi="Times New Roman" w:cs="Times New Roman"/>
                <w:color w:val="auto"/>
                <w:sz w:val="21"/>
                <w:szCs w:val="21"/>
                <w:highlight w:val="none"/>
              </w:rPr>
            </w:pPr>
          </w:p>
        </w:tc>
        <w:tc>
          <w:tcPr>
            <w:tcW w:w="934" w:type="pct"/>
            <w:vMerge w:val="continue"/>
            <w:vAlign w:val="center"/>
          </w:tcPr>
          <w:p w14:paraId="70048660">
            <w:pPr>
              <w:keepNext w:val="0"/>
              <w:keepLines w:val="0"/>
              <w:pageBreakBefore w:val="0"/>
              <w:widowControl/>
              <w:kinsoku/>
              <w:wordWrap/>
              <w:overflowPunct/>
              <w:topLinePunct w:val="0"/>
              <w:autoSpaceDE/>
              <w:autoSpaceDN/>
              <w:bidi w:val="0"/>
              <w:adjustRightInd/>
              <w:ind w:left="0" w:right="0"/>
              <w:jc w:val="center"/>
              <w:textAlignment w:val="auto"/>
              <w:rPr>
                <w:rFonts w:ascii="Times New Roman" w:hAnsi="Times New Roman" w:cs="Times New Roman"/>
                <w:bCs/>
                <w:color w:val="auto"/>
                <w:sz w:val="21"/>
                <w:szCs w:val="21"/>
                <w:highlight w:val="none"/>
              </w:rPr>
            </w:pPr>
          </w:p>
        </w:tc>
        <w:tc>
          <w:tcPr>
            <w:tcW w:w="599" w:type="pct"/>
            <w:vMerge w:val="restart"/>
            <w:vAlign w:val="center"/>
          </w:tcPr>
          <w:p w14:paraId="1CE4260B">
            <w:pPr>
              <w:keepNext w:val="0"/>
              <w:keepLines w:val="0"/>
              <w:pageBreakBefore w:val="0"/>
              <w:widowControl/>
              <w:kinsoku/>
              <w:wordWrap/>
              <w:overflowPunct/>
              <w:topLinePunct w:val="0"/>
              <w:autoSpaceDE/>
              <w:autoSpaceDN/>
              <w:bidi w:val="0"/>
              <w:adjustRightInd/>
              <w:ind w:left="0" w:right="0"/>
              <w:jc w:val="center"/>
              <w:textAlignment w:val="auto"/>
              <w:rPr>
                <w:rFonts w:ascii="Times New Roman" w:hAnsi="Times New Roman" w:cs="Times New Roman"/>
                <w:bCs/>
                <w:color w:val="auto"/>
                <w:sz w:val="21"/>
                <w:szCs w:val="21"/>
                <w:highlight w:val="none"/>
              </w:rPr>
            </w:pPr>
            <w:r>
              <w:rPr>
                <w:rFonts w:hint="eastAsia" w:ascii="Times New Roman" w:hAnsi="Times New Roman" w:cs="Times New Roman"/>
                <w:bCs/>
                <w:color w:val="auto"/>
                <w:sz w:val="21"/>
                <w:szCs w:val="21"/>
                <w:highlight w:val="none"/>
              </w:rPr>
              <w:t>2023.3.21</w:t>
            </w:r>
          </w:p>
        </w:tc>
        <w:tc>
          <w:tcPr>
            <w:tcW w:w="388" w:type="pct"/>
            <w:vAlign w:val="center"/>
          </w:tcPr>
          <w:p w14:paraId="1A723A32">
            <w:pPr>
              <w:keepNext w:val="0"/>
              <w:keepLines w:val="0"/>
              <w:pageBreakBefore w:val="0"/>
              <w:widowControl/>
              <w:kinsoku/>
              <w:wordWrap/>
              <w:overflowPunct/>
              <w:topLinePunct w:val="0"/>
              <w:autoSpaceDE/>
              <w:autoSpaceDN/>
              <w:bidi w:val="0"/>
              <w:adjustRightInd/>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1</w:t>
            </w:r>
          </w:p>
        </w:tc>
        <w:tc>
          <w:tcPr>
            <w:tcW w:w="784" w:type="pct"/>
            <w:vAlign w:val="center"/>
          </w:tcPr>
          <w:p w14:paraId="2CEBC67F">
            <w:pPr>
              <w:keepNext w:val="0"/>
              <w:keepLines w:val="0"/>
              <w:pageBreakBefore w:val="0"/>
              <w:widowControl/>
              <w:kinsoku/>
              <w:wordWrap/>
              <w:overflowPunct/>
              <w:topLinePunct w:val="0"/>
              <w:autoSpaceDE/>
              <w:autoSpaceDN/>
              <w:bidi w:val="0"/>
              <w:adjustRightInd/>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2.64</w:t>
            </w:r>
          </w:p>
        </w:tc>
        <w:tc>
          <w:tcPr>
            <w:tcW w:w="837" w:type="pct"/>
            <w:vAlign w:val="center"/>
          </w:tcPr>
          <w:p w14:paraId="728D239D">
            <w:pPr>
              <w:keepNext w:val="0"/>
              <w:keepLines w:val="0"/>
              <w:pageBreakBefore w:val="0"/>
              <w:widowControl/>
              <w:kinsoku/>
              <w:wordWrap/>
              <w:overflowPunct/>
              <w:topLinePunct w:val="0"/>
              <w:autoSpaceDE/>
              <w:autoSpaceDN/>
              <w:bidi w:val="0"/>
              <w:adjustRightInd/>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0.00563</w:t>
            </w:r>
          </w:p>
        </w:tc>
      </w:tr>
      <w:tr w14:paraId="4032990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589" w:type="pct"/>
            <w:vMerge w:val="continue"/>
            <w:vAlign w:val="center"/>
          </w:tcPr>
          <w:p w14:paraId="0BF2592C">
            <w:pPr>
              <w:keepNext w:val="0"/>
              <w:keepLines w:val="0"/>
              <w:pageBreakBefore w:val="0"/>
              <w:widowControl/>
              <w:kinsoku/>
              <w:wordWrap/>
              <w:overflowPunct/>
              <w:topLinePunct w:val="0"/>
              <w:autoSpaceDE/>
              <w:autoSpaceDN/>
              <w:bidi w:val="0"/>
              <w:adjustRightInd/>
              <w:ind w:left="0" w:right="0"/>
              <w:jc w:val="center"/>
              <w:textAlignment w:val="auto"/>
              <w:rPr>
                <w:rFonts w:ascii="Times New Roman" w:hAnsi="Times New Roman" w:cs="Times New Roman"/>
                <w:snapToGrid w:val="0"/>
                <w:color w:val="auto"/>
                <w:sz w:val="21"/>
                <w:szCs w:val="21"/>
                <w:highlight w:val="none"/>
              </w:rPr>
            </w:pPr>
          </w:p>
        </w:tc>
        <w:tc>
          <w:tcPr>
            <w:tcW w:w="387" w:type="pct"/>
            <w:vMerge w:val="continue"/>
            <w:vAlign w:val="center"/>
          </w:tcPr>
          <w:p w14:paraId="37158F82">
            <w:pPr>
              <w:keepNext w:val="0"/>
              <w:keepLines w:val="0"/>
              <w:pageBreakBefore w:val="0"/>
              <w:widowControl/>
              <w:kinsoku/>
              <w:wordWrap/>
              <w:overflowPunct/>
              <w:topLinePunct w:val="0"/>
              <w:autoSpaceDE/>
              <w:autoSpaceDN/>
              <w:bidi w:val="0"/>
              <w:adjustRightInd/>
              <w:ind w:left="0" w:right="0"/>
              <w:jc w:val="center"/>
              <w:textAlignment w:val="auto"/>
              <w:rPr>
                <w:rFonts w:ascii="Times New Roman" w:hAnsi="Times New Roman" w:cs="Times New Roman"/>
                <w:bCs/>
                <w:color w:val="auto"/>
                <w:sz w:val="21"/>
                <w:szCs w:val="21"/>
                <w:highlight w:val="none"/>
              </w:rPr>
            </w:pPr>
          </w:p>
        </w:tc>
        <w:tc>
          <w:tcPr>
            <w:tcW w:w="478" w:type="pct"/>
            <w:vMerge w:val="continue"/>
            <w:vAlign w:val="center"/>
          </w:tcPr>
          <w:p w14:paraId="20F39353">
            <w:pPr>
              <w:keepNext w:val="0"/>
              <w:keepLines w:val="0"/>
              <w:pageBreakBefore w:val="0"/>
              <w:widowControl/>
              <w:kinsoku/>
              <w:wordWrap/>
              <w:overflowPunct/>
              <w:topLinePunct w:val="0"/>
              <w:autoSpaceDE/>
              <w:autoSpaceDN/>
              <w:bidi w:val="0"/>
              <w:adjustRightInd/>
              <w:ind w:left="0" w:right="0"/>
              <w:jc w:val="center"/>
              <w:textAlignment w:val="auto"/>
              <w:rPr>
                <w:rFonts w:ascii="Times New Roman" w:hAnsi="Times New Roman" w:cs="Times New Roman"/>
                <w:color w:val="auto"/>
                <w:sz w:val="21"/>
                <w:szCs w:val="21"/>
                <w:highlight w:val="none"/>
              </w:rPr>
            </w:pPr>
          </w:p>
        </w:tc>
        <w:tc>
          <w:tcPr>
            <w:tcW w:w="934" w:type="pct"/>
            <w:vMerge w:val="continue"/>
            <w:vAlign w:val="center"/>
          </w:tcPr>
          <w:p w14:paraId="755C1AA9">
            <w:pPr>
              <w:keepNext w:val="0"/>
              <w:keepLines w:val="0"/>
              <w:pageBreakBefore w:val="0"/>
              <w:widowControl/>
              <w:kinsoku/>
              <w:wordWrap/>
              <w:overflowPunct/>
              <w:topLinePunct w:val="0"/>
              <w:autoSpaceDE/>
              <w:autoSpaceDN/>
              <w:bidi w:val="0"/>
              <w:adjustRightInd/>
              <w:ind w:left="0" w:right="0"/>
              <w:jc w:val="center"/>
              <w:textAlignment w:val="auto"/>
              <w:rPr>
                <w:rFonts w:ascii="Times New Roman" w:hAnsi="Times New Roman" w:cs="Times New Roman"/>
                <w:bCs/>
                <w:color w:val="auto"/>
                <w:sz w:val="21"/>
                <w:szCs w:val="21"/>
                <w:highlight w:val="none"/>
              </w:rPr>
            </w:pPr>
          </w:p>
        </w:tc>
        <w:tc>
          <w:tcPr>
            <w:tcW w:w="599" w:type="pct"/>
            <w:vMerge w:val="continue"/>
            <w:vAlign w:val="center"/>
          </w:tcPr>
          <w:p w14:paraId="3077D90F">
            <w:pPr>
              <w:keepNext w:val="0"/>
              <w:keepLines w:val="0"/>
              <w:pageBreakBefore w:val="0"/>
              <w:widowControl/>
              <w:kinsoku/>
              <w:wordWrap/>
              <w:overflowPunct/>
              <w:topLinePunct w:val="0"/>
              <w:autoSpaceDE/>
              <w:autoSpaceDN/>
              <w:bidi w:val="0"/>
              <w:adjustRightInd/>
              <w:ind w:left="0" w:right="0"/>
              <w:jc w:val="center"/>
              <w:textAlignment w:val="auto"/>
              <w:rPr>
                <w:rFonts w:ascii="Times New Roman" w:hAnsi="Times New Roman" w:cs="Times New Roman"/>
                <w:bCs/>
                <w:color w:val="auto"/>
                <w:sz w:val="21"/>
                <w:szCs w:val="21"/>
                <w:highlight w:val="none"/>
              </w:rPr>
            </w:pPr>
          </w:p>
        </w:tc>
        <w:tc>
          <w:tcPr>
            <w:tcW w:w="388" w:type="pct"/>
            <w:vAlign w:val="center"/>
          </w:tcPr>
          <w:p w14:paraId="5F61A05C">
            <w:pPr>
              <w:keepNext w:val="0"/>
              <w:keepLines w:val="0"/>
              <w:pageBreakBefore w:val="0"/>
              <w:widowControl/>
              <w:kinsoku/>
              <w:wordWrap/>
              <w:overflowPunct/>
              <w:topLinePunct w:val="0"/>
              <w:autoSpaceDE/>
              <w:autoSpaceDN/>
              <w:bidi w:val="0"/>
              <w:adjustRightInd/>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2</w:t>
            </w:r>
          </w:p>
        </w:tc>
        <w:tc>
          <w:tcPr>
            <w:tcW w:w="784" w:type="pct"/>
            <w:vAlign w:val="center"/>
          </w:tcPr>
          <w:p w14:paraId="689DBF90">
            <w:pPr>
              <w:keepNext w:val="0"/>
              <w:keepLines w:val="0"/>
              <w:pageBreakBefore w:val="0"/>
              <w:widowControl/>
              <w:kinsoku/>
              <w:wordWrap/>
              <w:overflowPunct/>
              <w:topLinePunct w:val="0"/>
              <w:autoSpaceDE/>
              <w:autoSpaceDN/>
              <w:bidi w:val="0"/>
              <w:adjustRightInd/>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2.39</w:t>
            </w:r>
          </w:p>
        </w:tc>
        <w:tc>
          <w:tcPr>
            <w:tcW w:w="837" w:type="pct"/>
            <w:vAlign w:val="center"/>
          </w:tcPr>
          <w:p w14:paraId="75A2D359">
            <w:pPr>
              <w:keepNext w:val="0"/>
              <w:keepLines w:val="0"/>
              <w:pageBreakBefore w:val="0"/>
              <w:widowControl/>
              <w:kinsoku/>
              <w:wordWrap/>
              <w:overflowPunct/>
              <w:topLinePunct w:val="0"/>
              <w:autoSpaceDE/>
              <w:autoSpaceDN/>
              <w:bidi w:val="0"/>
              <w:adjustRightInd/>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0.00532</w:t>
            </w:r>
          </w:p>
        </w:tc>
      </w:tr>
      <w:tr w14:paraId="06B78F4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589" w:type="pct"/>
            <w:vMerge w:val="continue"/>
            <w:vAlign w:val="center"/>
          </w:tcPr>
          <w:p w14:paraId="14CDEE34">
            <w:pPr>
              <w:keepNext w:val="0"/>
              <w:keepLines w:val="0"/>
              <w:pageBreakBefore w:val="0"/>
              <w:widowControl/>
              <w:kinsoku/>
              <w:wordWrap/>
              <w:overflowPunct/>
              <w:topLinePunct w:val="0"/>
              <w:autoSpaceDE/>
              <w:autoSpaceDN/>
              <w:bidi w:val="0"/>
              <w:adjustRightInd/>
              <w:ind w:left="0" w:right="0"/>
              <w:jc w:val="center"/>
              <w:textAlignment w:val="auto"/>
              <w:rPr>
                <w:rFonts w:ascii="Times New Roman" w:hAnsi="Times New Roman" w:cs="Times New Roman"/>
                <w:snapToGrid w:val="0"/>
                <w:color w:val="auto"/>
                <w:sz w:val="21"/>
                <w:szCs w:val="21"/>
                <w:highlight w:val="none"/>
              </w:rPr>
            </w:pPr>
          </w:p>
        </w:tc>
        <w:tc>
          <w:tcPr>
            <w:tcW w:w="387" w:type="pct"/>
            <w:vMerge w:val="continue"/>
            <w:vAlign w:val="center"/>
          </w:tcPr>
          <w:p w14:paraId="6E78E02B">
            <w:pPr>
              <w:keepNext w:val="0"/>
              <w:keepLines w:val="0"/>
              <w:pageBreakBefore w:val="0"/>
              <w:widowControl/>
              <w:kinsoku/>
              <w:wordWrap/>
              <w:overflowPunct/>
              <w:topLinePunct w:val="0"/>
              <w:autoSpaceDE/>
              <w:autoSpaceDN/>
              <w:bidi w:val="0"/>
              <w:adjustRightInd/>
              <w:ind w:left="0" w:right="0"/>
              <w:jc w:val="center"/>
              <w:textAlignment w:val="auto"/>
              <w:rPr>
                <w:rFonts w:ascii="Times New Roman" w:hAnsi="Times New Roman" w:cs="Times New Roman"/>
                <w:bCs/>
                <w:color w:val="auto"/>
                <w:sz w:val="21"/>
                <w:szCs w:val="21"/>
                <w:highlight w:val="none"/>
              </w:rPr>
            </w:pPr>
          </w:p>
        </w:tc>
        <w:tc>
          <w:tcPr>
            <w:tcW w:w="478" w:type="pct"/>
            <w:vMerge w:val="continue"/>
            <w:vAlign w:val="center"/>
          </w:tcPr>
          <w:p w14:paraId="1FFD06F1">
            <w:pPr>
              <w:keepNext w:val="0"/>
              <w:keepLines w:val="0"/>
              <w:pageBreakBefore w:val="0"/>
              <w:widowControl/>
              <w:kinsoku/>
              <w:wordWrap/>
              <w:overflowPunct/>
              <w:topLinePunct w:val="0"/>
              <w:autoSpaceDE/>
              <w:autoSpaceDN/>
              <w:bidi w:val="0"/>
              <w:adjustRightInd/>
              <w:ind w:left="0" w:right="0"/>
              <w:jc w:val="center"/>
              <w:textAlignment w:val="auto"/>
              <w:rPr>
                <w:rFonts w:ascii="Times New Roman" w:hAnsi="Times New Roman" w:cs="Times New Roman"/>
                <w:color w:val="auto"/>
                <w:sz w:val="21"/>
                <w:szCs w:val="21"/>
                <w:highlight w:val="none"/>
              </w:rPr>
            </w:pPr>
          </w:p>
        </w:tc>
        <w:tc>
          <w:tcPr>
            <w:tcW w:w="934" w:type="pct"/>
            <w:vMerge w:val="continue"/>
            <w:vAlign w:val="center"/>
          </w:tcPr>
          <w:p w14:paraId="4BA1BF16">
            <w:pPr>
              <w:keepNext w:val="0"/>
              <w:keepLines w:val="0"/>
              <w:pageBreakBefore w:val="0"/>
              <w:widowControl/>
              <w:kinsoku/>
              <w:wordWrap/>
              <w:overflowPunct/>
              <w:topLinePunct w:val="0"/>
              <w:autoSpaceDE/>
              <w:autoSpaceDN/>
              <w:bidi w:val="0"/>
              <w:adjustRightInd/>
              <w:ind w:left="0" w:right="0"/>
              <w:jc w:val="center"/>
              <w:textAlignment w:val="auto"/>
              <w:rPr>
                <w:rFonts w:ascii="Times New Roman" w:hAnsi="Times New Roman" w:cs="Times New Roman"/>
                <w:bCs/>
                <w:color w:val="auto"/>
                <w:sz w:val="21"/>
                <w:szCs w:val="21"/>
                <w:highlight w:val="none"/>
              </w:rPr>
            </w:pPr>
          </w:p>
        </w:tc>
        <w:tc>
          <w:tcPr>
            <w:tcW w:w="599" w:type="pct"/>
            <w:vMerge w:val="continue"/>
            <w:vAlign w:val="center"/>
          </w:tcPr>
          <w:p w14:paraId="77322F4E">
            <w:pPr>
              <w:keepNext w:val="0"/>
              <w:keepLines w:val="0"/>
              <w:pageBreakBefore w:val="0"/>
              <w:widowControl/>
              <w:kinsoku/>
              <w:wordWrap/>
              <w:overflowPunct/>
              <w:topLinePunct w:val="0"/>
              <w:autoSpaceDE/>
              <w:autoSpaceDN/>
              <w:bidi w:val="0"/>
              <w:adjustRightInd/>
              <w:ind w:left="0" w:right="0"/>
              <w:jc w:val="center"/>
              <w:textAlignment w:val="auto"/>
              <w:rPr>
                <w:rFonts w:ascii="Times New Roman" w:hAnsi="Times New Roman" w:cs="Times New Roman"/>
                <w:bCs/>
                <w:color w:val="auto"/>
                <w:sz w:val="21"/>
                <w:szCs w:val="21"/>
                <w:highlight w:val="none"/>
              </w:rPr>
            </w:pPr>
          </w:p>
        </w:tc>
        <w:tc>
          <w:tcPr>
            <w:tcW w:w="388" w:type="pct"/>
            <w:vAlign w:val="center"/>
          </w:tcPr>
          <w:p w14:paraId="794F176A">
            <w:pPr>
              <w:keepNext w:val="0"/>
              <w:keepLines w:val="0"/>
              <w:pageBreakBefore w:val="0"/>
              <w:widowControl/>
              <w:kinsoku/>
              <w:wordWrap/>
              <w:overflowPunct/>
              <w:topLinePunct w:val="0"/>
              <w:autoSpaceDE/>
              <w:autoSpaceDN/>
              <w:bidi w:val="0"/>
              <w:adjustRightInd/>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3</w:t>
            </w:r>
          </w:p>
        </w:tc>
        <w:tc>
          <w:tcPr>
            <w:tcW w:w="784" w:type="pct"/>
            <w:vAlign w:val="center"/>
          </w:tcPr>
          <w:p w14:paraId="5A9D1BCE">
            <w:pPr>
              <w:keepNext w:val="0"/>
              <w:keepLines w:val="0"/>
              <w:pageBreakBefore w:val="0"/>
              <w:widowControl/>
              <w:kinsoku/>
              <w:wordWrap/>
              <w:overflowPunct/>
              <w:topLinePunct w:val="0"/>
              <w:autoSpaceDE/>
              <w:autoSpaceDN/>
              <w:bidi w:val="0"/>
              <w:adjustRightInd/>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2.26</w:t>
            </w:r>
          </w:p>
        </w:tc>
        <w:tc>
          <w:tcPr>
            <w:tcW w:w="837" w:type="pct"/>
            <w:vAlign w:val="center"/>
          </w:tcPr>
          <w:p w14:paraId="4857BA8B">
            <w:pPr>
              <w:keepNext w:val="0"/>
              <w:keepLines w:val="0"/>
              <w:pageBreakBefore w:val="0"/>
              <w:widowControl/>
              <w:kinsoku/>
              <w:wordWrap/>
              <w:overflowPunct/>
              <w:topLinePunct w:val="0"/>
              <w:autoSpaceDE/>
              <w:autoSpaceDN/>
              <w:bidi w:val="0"/>
              <w:adjustRightInd/>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0.00496</w:t>
            </w:r>
          </w:p>
        </w:tc>
      </w:tr>
      <w:tr w14:paraId="050671A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589" w:type="pct"/>
            <w:vMerge w:val="restart"/>
            <w:vAlign w:val="center"/>
          </w:tcPr>
          <w:p w14:paraId="56B30ED1">
            <w:pPr>
              <w:keepNext w:val="0"/>
              <w:keepLines w:val="0"/>
              <w:pageBreakBefore w:val="0"/>
              <w:widowControl/>
              <w:kinsoku/>
              <w:wordWrap/>
              <w:overflowPunct/>
              <w:topLinePunct w:val="0"/>
              <w:autoSpaceDE/>
              <w:autoSpaceDN/>
              <w:bidi w:val="0"/>
              <w:adjustRightInd/>
              <w:ind w:left="0" w:right="0"/>
              <w:jc w:val="center"/>
              <w:textAlignment w:val="auto"/>
              <w:rPr>
                <w:rFonts w:ascii="Times New Roman" w:hAnsi="Times New Roman" w:cs="Times New Roman"/>
                <w:snapToGrid w:val="0"/>
                <w:color w:val="auto"/>
                <w:sz w:val="21"/>
                <w:szCs w:val="21"/>
                <w:highlight w:val="none"/>
              </w:rPr>
            </w:pPr>
            <w:r>
              <w:rPr>
                <w:rFonts w:ascii="Times New Roman" w:hAnsi="Times New Roman" w:cs="Times New Roman"/>
                <w:snapToGrid w:val="0"/>
                <w:color w:val="auto"/>
                <w:sz w:val="21"/>
                <w:szCs w:val="21"/>
                <w:highlight w:val="none"/>
              </w:rPr>
              <w:t>DA00</w:t>
            </w:r>
            <w:r>
              <w:rPr>
                <w:rFonts w:hint="eastAsia" w:ascii="Times New Roman" w:hAnsi="Times New Roman" w:cs="Times New Roman"/>
                <w:snapToGrid w:val="0"/>
                <w:color w:val="auto"/>
                <w:sz w:val="21"/>
                <w:szCs w:val="21"/>
                <w:highlight w:val="none"/>
              </w:rPr>
              <w:t>2</w:t>
            </w:r>
          </w:p>
        </w:tc>
        <w:tc>
          <w:tcPr>
            <w:tcW w:w="387" w:type="pct"/>
            <w:vMerge w:val="restart"/>
            <w:vAlign w:val="center"/>
          </w:tcPr>
          <w:p w14:paraId="56D9437C">
            <w:pPr>
              <w:keepNext w:val="0"/>
              <w:keepLines w:val="0"/>
              <w:pageBreakBefore w:val="0"/>
              <w:widowControl/>
              <w:kinsoku/>
              <w:wordWrap/>
              <w:overflowPunct/>
              <w:topLinePunct w:val="0"/>
              <w:autoSpaceDE/>
              <w:autoSpaceDN/>
              <w:bidi w:val="0"/>
              <w:adjustRightInd/>
              <w:ind w:left="0" w:right="0"/>
              <w:jc w:val="center"/>
              <w:textAlignment w:val="auto"/>
              <w:rPr>
                <w:rFonts w:ascii="Times New Roman" w:hAnsi="Times New Roman" w:cs="Times New Roman"/>
                <w:bCs/>
                <w:color w:val="auto"/>
                <w:sz w:val="21"/>
                <w:szCs w:val="21"/>
                <w:highlight w:val="none"/>
              </w:rPr>
            </w:pPr>
            <w:r>
              <w:rPr>
                <w:rFonts w:hint="eastAsia" w:ascii="Times New Roman" w:hAnsi="Times New Roman" w:cs="Times New Roman"/>
                <w:bCs/>
                <w:color w:val="auto"/>
                <w:sz w:val="21"/>
                <w:szCs w:val="21"/>
                <w:highlight w:val="none"/>
              </w:rPr>
              <w:t>15000</w:t>
            </w:r>
          </w:p>
        </w:tc>
        <w:tc>
          <w:tcPr>
            <w:tcW w:w="478" w:type="pct"/>
            <w:vMerge w:val="restart"/>
            <w:vAlign w:val="center"/>
          </w:tcPr>
          <w:p w14:paraId="5110962B">
            <w:pPr>
              <w:keepNext w:val="0"/>
              <w:keepLines w:val="0"/>
              <w:pageBreakBefore w:val="0"/>
              <w:widowControl/>
              <w:kinsoku/>
              <w:wordWrap/>
              <w:overflowPunct/>
              <w:topLinePunct w:val="0"/>
              <w:autoSpaceDE/>
              <w:autoSpaceDN/>
              <w:bidi w:val="0"/>
              <w:adjustRightInd/>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非甲烷总烃</w:t>
            </w:r>
          </w:p>
        </w:tc>
        <w:tc>
          <w:tcPr>
            <w:tcW w:w="934" w:type="pct"/>
            <w:vMerge w:val="restart"/>
            <w:vAlign w:val="center"/>
          </w:tcPr>
          <w:p w14:paraId="742CA6B3">
            <w:pPr>
              <w:keepNext w:val="0"/>
              <w:keepLines w:val="0"/>
              <w:pageBreakBefore w:val="0"/>
              <w:widowControl/>
              <w:kinsoku/>
              <w:wordWrap/>
              <w:overflowPunct/>
              <w:topLinePunct w:val="0"/>
              <w:autoSpaceDE/>
              <w:autoSpaceDN/>
              <w:bidi w:val="0"/>
              <w:adjustRightInd/>
              <w:ind w:left="0" w:right="0"/>
              <w:jc w:val="center"/>
              <w:textAlignment w:val="auto"/>
              <w:rPr>
                <w:rFonts w:ascii="Times New Roman" w:hAnsi="Times New Roman" w:cs="Times New Roman"/>
                <w:bCs/>
                <w:color w:val="auto"/>
                <w:sz w:val="21"/>
                <w:szCs w:val="21"/>
                <w:highlight w:val="none"/>
              </w:rPr>
            </w:pPr>
            <w:r>
              <w:rPr>
                <w:rFonts w:hint="eastAsia" w:ascii="Times New Roman" w:hAnsi="Times New Roman"/>
                <w:color w:val="auto"/>
                <w:sz w:val="21"/>
                <w:szCs w:val="21"/>
                <w:highlight w:val="none"/>
              </w:rPr>
              <w:t>冷凝+3级碱液喷淋+活性炭吸附</w:t>
            </w:r>
          </w:p>
        </w:tc>
        <w:tc>
          <w:tcPr>
            <w:tcW w:w="599" w:type="pct"/>
            <w:vMerge w:val="restart"/>
            <w:vAlign w:val="center"/>
          </w:tcPr>
          <w:p w14:paraId="32425769">
            <w:pPr>
              <w:keepNext w:val="0"/>
              <w:keepLines w:val="0"/>
              <w:pageBreakBefore w:val="0"/>
              <w:widowControl/>
              <w:kinsoku/>
              <w:wordWrap/>
              <w:overflowPunct/>
              <w:topLinePunct w:val="0"/>
              <w:autoSpaceDE/>
              <w:autoSpaceDN/>
              <w:bidi w:val="0"/>
              <w:adjustRightInd/>
              <w:ind w:left="0" w:right="0"/>
              <w:jc w:val="center"/>
              <w:textAlignment w:val="auto"/>
              <w:rPr>
                <w:rFonts w:ascii="Times New Roman" w:hAnsi="Times New Roman"/>
                <w:color w:val="auto"/>
                <w:sz w:val="21"/>
                <w:szCs w:val="21"/>
                <w:highlight w:val="none"/>
              </w:rPr>
            </w:pPr>
            <w:r>
              <w:rPr>
                <w:rFonts w:hint="eastAsia" w:ascii="Times New Roman" w:hAnsi="Times New Roman"/>
                <w:color w:val="auto"/>
                <w:sz w:val="21"/>
                <w:szCs w:val="21"/>
                <w:highlight w:val="none"/>
              </w:rPr>
              <w:t>2023.3.20</w:t>
            </w:r>
          </w:p>
        </w:tc>
        <w:tc>
          <w:tcPr>
            <w:tcW w:w="388" w:type="pct"/>
            <w:vAlign w:val="center"/>
          </w:tcPr>
          <w:p w14:paraId="19CC622E">
            <w:pPr>
              <w:keepNext w:val="0"/>
              <w:keepLines w:val="0"/>
              <w:pageBreakBefore w:val="0"/>
              <w:widowControl/>
              <w:kinsoku/>
              <w:wordWrap/>
              <w:overflowPunct/>
              <w:topLinePunct w:val="0"/>
              <w:autoSpaceDE/>
              <w:autoSpaceDN/>
              <w:bidi w:val="0"/>
              <w:adjustRightInd/>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1</w:t>
            </w:r>
          </w:p>
        </w:tc>
        <w:tc>
          <w:tcPr>
            <w:tcW w:w="784" w:type="pct"/>
            <w:vAlign w:val="center"/>
          </w:tcPr>
          <w:p w14:paraId="2A7CB7EE">
            <w:pPr>
              <w:keepNext w:val="0"/>
              <w:keepLines w:val="0"/>
              <w:pageBreakBefore w:val="0"/>
              <w:widowControl/>
              <w:kinsoku/>
              <w:wordWrap/>
              <w:overflowPunct/>
              <w:topLinePunct w:val="0"/>
              <w:autoSpaceDE/>
              <w:autoSpaceDN/>
              <w:bidi w:val="0"/>
              <w:adjustRightInd/>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4.02</w:t>
            </w:r>
          </w:p>
        </w:tc>
        <w:tc>
          <w:tcPr>
            <w:tcW w:w="837" w:type="pct"/>
            <w:vAlign w:val="center"/>
          </w:tcPr>
          <w:p w14:paraId="0E98C4D4">
            <w:pPr>
              <w:keepNext w:val="0"/>
              <w:keepLines w:val="0"/>
              <w:pageBreakBefore w:val="0"/>
              <w:widowControl/>
              <w:kinsoku/>
              <w:wordWrap/>
              <w:overflowPunct/>
              <w:topLinePunct w:val="0"/>
              <w:autoSpaceDE/>
              <w:autoSpaceDN/>
              <w:bidi w:val="0"/>
              <w:adjustRightInd/>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0.034</w:t>
            </w:r>
          </w:p>
        </w:tc>
      </w:tr>
      <w:tr w14:paraId="79CB130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589" w:type="pct"/>
            <w:vMerge w:val="continue"/>
            <w:vAlign w:val="center"/>
          </w:tcPr>
          <w:p w14:paraId="7D5F3858">
            <w:pPr>
              <w:keepNext w:val="0"/>
              <w:keepLines w:val="0"/>
              <w:pageBreakBefore w:val="0"/>
              <w:widowControl/>
              <w:kinsoku/>
              <w:wordWrap/>
              <w:overflowPunct/>
              <w:topLinePunct w:val="0"/>
              <w:autoSpaceDE/>
              <w:autoSpaceDN/>
              <w:bidi w:val="0"/>
              <w:adjustRightInd/>
              <w:ind w:left="0" w:right="0"/>
              <w:jc w:val="center"/>
              <w:textAlignment w:val="auto"/>
              <w:rPr>
                <w:rFonts w:ascii="Times New Roman" w:hAnsi="Times New Roman" w:cs="Times New Roman"/>
                <w:snapToGrid w:val="0"/>
                <w:color w:val="auto"/>
                <w:sz w:val="21"/>
                <w:szCs w:val="21"/>
                <w:highlight w:val="none"/>
              </w:rPr>
            </w:pPr>
          </w:p>
        </w:tc>
        <w:tc>
          <w:tcPr>
            <w:tcW w:w="387" w:type="pct"/>
            <w:vMerge w:val="continue"/>
            <w:vAlign w:val="center"/>
          </w:tcPr>
          <w:p w14:paraId="57EA568A">
            <w:pPr>
              <w:keepNext w:val="0"/>
              <w:keepLines w:val="0"/>
              <w:pageBreakBefore w:val="0"/>
              <w:widowControl/>
              <w:kinsoku/>
              <w:wordWrap/>
              <w:overflowPunct/>
              <w:topLinePunct w:val="0"/>
              <w:autoSpaceDE/>
              <w:autoSpaceDN/>
              <w:bidi w:val="0"/>
              <w:adjustRightInd/>
              <w:ind w:left="0" w:right="0"/>
              <w:jc w:val="center"/>
              <w:textAlignment w:val="auto"/>
              <w:rPr>
                <w:rFonts w:ascii="Times New Roman" w:hAnsi="Times New Roman" w:cs="Times New Roman"/>
                <w:bCs/>
                <w:color w:val="auto"/>
                <w:sz w:val="21"/>
                <w:szCs w:val="21"/>
                <w:highlight w:val="none"/>
              </w:rPr>
            </w:pPr>
          </w:p>
        </w:tc>
        <w:tc>
          <w:tcPr>
            <w:tcW w:w="478" w:type="pct"/>
            <w:vMerge w:val="continue"/>
            <w:vAlign w:val="center"/>
          </w:tcPr>
          <w:p w14:paraId="586EE8E8">
            <w:pPr>
              <w:keepNext w:val="0"/>
              <w:keepLines w:val="0"/>
              <w:pageBreakBefore w:val="0"/>
              <w:widowControl/>
              <w:kinsoku/>
              <w:wordWrap/>
              <w:overflowPunct/>
              <w:topLinePunct w:val="0"/>
              <w:autoSpaceDE/>
              <w:autoSpaceDN/>
              <w:bidi w:val="0"/>
              <w:adjustRightInd/>
              <w:ind w:left="0" w:right="0"/>
              <w:jc w:val="center"/>
              <w:textAlignment w:val="auto"/>
              <w:rPr>
                <w:rFonts w:ascii="Times New Roman" w:hAnsi="Times New Roman" w:cs="Times New Roman"/>
                <w:color w:val="auto"/>
                <w:sz w:val="21"/>
                <w:szCs w:val="21"/>
                <w:highlight w:val="none"/>
              </w:rPr>
            </w:pPr>
          </w:p>
        </w:tc>
        <w:tc>
          <w:tcPr>
            <w:tcW w:w="934" w:type="pct"/>
            <w:vMerge w:val="continue"/>
            <w:vAlign w:val="center"/>
          </w:tcPr>
          <w:p w14:paraId="03ACDD9F">
            <w:pPr>
              <w:keepNext w:val="0"/>
              <w:keepLines w:val="0"/>
              <w:pageBreakBefore w:val="0"/>
              <w:widowControl/>
              <w:kinsoku/>
              <w:wordWrap/>
              <w:overflowPunct/>
              <w:topLinePunct w:val="0"/>
              <w:autoSpaceDE/>
              <w:autoSpaceDN/>
              <w:bidi w:val="0"/>
              <w:adjustRightInd/>
              <w:ind w:left="0" w:right="0"/>
              <w:jc w:val="center"/>
              <w:textAlignment w:val="auto"/>
              <w:rPr>
                <w:rFonts w:ascii="Times New Roman" w:hAnsi="Times New Roman" w:cs="Times New Roman"/>
                <w:bCs/>
                <w:color w:val="auto"/>
                <w:sz w:val="21"/>
                <w:szCs w:val="21"/>
                <w:highlight w:val="none"/>
              </w:rPr>
            </w:pPr>
          </w:p>
        </w:tc>
        <w:tc>
          <w:tcPr>
            <w:tcW w:w="599" w:type="pct"/>
            <w:vMerge w:val="continue"/>
            <w:vAlign w:val="center"/>
          </w:tcPr>
          <w:p w14:paraId="5B3AE396">
            <w:pPr>
              <w:keepNext w:val="0"/>
              <w:keepLines w:val="0"/>
              <w:pageBreakBefore w:val="0"/>
              <w:widowControl/>
              <w:kinsoku/>
              <w:wordWrap/>
              <w:overflowPunct/>
              <w:topLinePunct w:val="0"/>
              <w:autoSpaceDE/>
              <w:autoSpaceDN/>
              <w:bidi w:val="0"/>
              <w:adjustRightInd/>
              <w:ind w:left="0" w:right="0"/>
              <w:jc w:val="center"/>
              <w:textAlignment w:val="auto"/>
              <w:rPr>
                <w:rFonts w:ascii="Times New Roman" w:hAnsi="Times New Roman" w:cs="Times New Roman"/>
                <w:bCs/>
                <w:color w:val="auto"/>
                <w:sz w:val="21"/>
                <w:szCs w:val="21"/>
                <w:highlight w:val="none"/>
              </w:rPr>
            </w:pPr>
          </w:p>
        </w:tc>
        <w:tc>
          <w:tcPr>
            <w:tcW w:w="388" w:type="pct"/>
            <w:vAlign w:val="center"/>
          </w:tcPr>
          <w:p w14:paraId="73786A88">
            <w:pPr>
              <w:keepNext w:val="0"/>
              <w:keepLines w:val="0"/>
              <w:pageBreakBefore w:val="0"/>
              <w:widowControl/>
              <w:kinsoku/>
              <w:wordWrap/>
              <w:overflowPunct/>
              <w:topLinePunct w:val="0"/>
              <w:autoSpaceDE/>
              <w:autoSpaceDN/>
              <w:bidi w:val="0"/>
              <w:adjustRightInd/>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2</w:t>
            </w:r>
          </w:p>
        </w:tc>
        <w:tc>
          <w:tcPr>
            <w:tcW w:w="784" w:type="pct"/>
            <w:vAlign w:val="center"/>
          </w:tcPr>
          <w:p w14:paraId="7740DC43">
            <w:pPr>
              <w:keepNext w:val="0"/>
              <w:keepLines w:val="0"/>
              <w:pageBreakBefore w:val="0"/>
              <w:widowControl/>
              <w:kinsoku/>
              <w:wordWrap/>
              <w:overflowPunct/>
              <w:topLinePunct w:val="0"/>
              <w:autoSpaceDE/>
              <w:autoSpaceDN/>
              <w:bidi w:val="0"/>
              <w:adjustRightInd/>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4.50</w:t>
            </w:r>
          </w:p>
        </w:tc>
        <w:tc>
          <w:tcPr>
            <w:tcW w:w="837" w:type="pct"/>
            <w:vAlign w:val="center"/>
          </w:tcPr>
          <w:p w14:paraId="0B1C2934">
            <w:pPr>
              <w:keepNext w:val="0"/>
              <w:keepLines w:val="0"/>
              <w:pageBreakBefore w:val="0"/>
              <w:widowControl/>
              <w:kinsoku/>
              <w:wordWrap/>
              <w:overflowPunct/>
              <w:topLinePunct w:val="0"/>
              <w:autoSpaceDE/>
              <w:autoSpaceDN/>
              <w:bidi w:val="0"/>
              <w:adjustRightInd/>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0.038</w:t>
            </w:r>
          </w:p>
        </w:tc>
      </w:tr>
      <w:tr w14:paraId="52AB0C4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589" w:type="pct"/>
            <w:vMerge w:val="continue"/>
            <w:vAlign w:val="center"/>
          </w:tcPr>
          <w:p w14:paraId="3CA5502E">
            <w:pPr>
              <w:keepNext w:val="0"/>
              <w:keepLines w:val="0"/>
              <w:pageBreakBefore w:val="0"/>
              <w:widowControl/>
              <w:kinsoku/>
              <w:wordWrap/>
              <w:overflowPunct/>
              <w:topLinePunct w:val="0"/>
              <w:autoSpaceDE/>
              <w:autoSpaceDN/>
              <w:bidi w:val="0"/>
              <w:adjustRightInd/>
              <w:ind w:left="0" w:right="0"/>
              <w:jc w:val="center"/>
              <w:textAlignment w:val="auto"/>
              <w:rPr>
                <w:rFonts w:ascii="Times New Roman" w:hAnsi="Times New Roman" w:cs="Times New Roman"/>
                <w:snapToGrid w:val="0"/>
                <w:color w:val="auto"/>
                <w:sz w:val="21"/>
                <w:szCs w:val="21"/>
                <w:highlight w:val="none"/>
              </w:rPr>
            </w:pPr>
          </w:p>
        </w:tc>
        <w:tc>
          <w:tcPr>
            <w:tcW w:w="387" w:type="pct"/>
            <w:vMerge w:val="continue"/>
            <w:vAlign w:val="center"/>
          </w:tcPr>
          <w:p w14:paraId="11E6DB1B">
            <w:pPr>
              <w:keepNext w:val="0"/>
              <w:keepLines w:val="0"/>
              <w:pageBreakBefore w:val="0"/>
              <w:widowControl/>
              <w:kinsoku/>
              <w:wordWrap/>
              <w:overflowPunct/>
              <w:topLinePunct w:val="0"/>
              <w:autoSpaceDE/>
              <w:autoSpaceDN/>
              <w:bidi w:val="0"/>
              <w:adjustRightInd/>
              <w:ind w:left="0" w:right="0"/>
              <w:jc w:val="center"/>
              <w:textAlignment w:val="auto"/>
              <w:rPr>
                <w:rFonts w:ascii="Times New Roman" w:hAnsi="Times New Roman" w:cs="Times New Roman"/>
                <w:bCs/>
                <w:color w:val="auto"/>
                <w:sz w:val="21"/>
                <w:szCs w:val="21"/>
                <w:highlight w:val="none"/>
              </w:rPr>
            </w:pPr>
          </w:p>
        </w:tc>
        <w:tc>
          <w:tcPr>
            <w:tcW w:w="478" w:type="pct"/>
            <w:vMerge w:val="continue"/>
            <w:vAlign w:val="center"/>
          </w:tcPr>
          <w:p w14:paraId="48116CCD">
            <w:pPr>
              <w:keepNext w:val="0"/>
              <w:keepLines w:val="0"/>
              <w:pageBreakBefore w:val="0"/>
              <w:widowControl/>
              <w:kinsoku/>
              <w:wordWrap/>
              <w:overflowPunct/>
              <w:topLinePunct w:val="0"/>
              <w:autoSpaceDE/>
              <w:autoSpaceDN/>
              <w:bidi w:val="0"/>
              <w:adjustRightInd/>
              <w:ind w:left="0" w:right="0"/>
              <w:jc w:val="center"/>
              <w:textAlignment w:val="auto"/>
              <w:rPr>
                <w:rFonts w:ascii="Times New Roman" w:hAnsi="Times New Roman" w:cs="Times New Roman"/>
                <w:color w:val="auto"/>
                <w:sz w:val="21"/>
                <w:szCs w:val="21"/>
                <w:highlight w:val="none"/>
              </w:rPr>
            </w:pPr>
          </w:p>
        </w:tc>
        <w:tc>
          <w:tcPr>
            <w:tcW w:w="934" w:type="pct"/>
            <w:vMerge w:val="continue"/>
            <w:vAlign w:val="center"/>
          </w:tcPr>
          <w:p w14:paraId="37F51C84">
            <w:pPr>
              <w:keepNext w:val="0"/>
              <w:keepLines w:val="0"/>
              <w:pageBreakBefore w:val="0"/>
              <w:widowControl/>
              <w:kinsoku/>
              <w:wordWrap/>
              <w:overflowPunct/>
              <w:topLinePunct w:val="0"/>
              <w:autoSpaceDE/>
              <w:autoSpaceDN/>
              <w:bidi w:val="0"/>
              <w:adjustRightInd/>
              <w:ind w:left="0" w:right="0"/>
              <w:jc w:val="center"/>
              <w:textAlignment w:val="auto"/>
              <w:rPr>
                <w:rFonts w:ascii="Times New Roman" w:hAnsi="Times New Roman" w:cs="Times New Roman"/>
                <w:bCs/>
                <w:color w:val="auto"/>
                <w:sz w:val="21"/>
                <w:szCs w:val="21"/>
                <w:highlight w:val="none"/>
              </w:rPr>
            </w:pPr>
          </w:p>
        </w:tc>
        <w:tc>
          <w:tcPr>
            <w:tcW w:w="599" w:type="pct"/>
            <w:vMerge w:val="continue"/>
            <w:vAlign w:val="center"/>
          </w:tcPr>
          <w:p w14:paraId="75F1622F">
            <w:pPr>
              <w:keepNext w:val="0"/>
              <w:keepLines w:val="0"/>
              <w:pageBreakBefore w:val="0"/>
              <w:widowControl/>
              <w:kinsoku/>
              <w:wordWrap/>
              <w:overflowPunct/>
              <w:topLinePunct w:val="0"/>
              <w:autoSpaceDE/>
              <w:autoSpaceDN/>
              <w:bidi w:val="0"/>
              <w:adjustRightInd/>
              <w:ind w:left="0" w:right="0"/>
              <w:jc w:val="center"/>
              <w:textAlignment w:val="auto"/>
              <w:rPr>
                <w:rFonts w:ascii="Times New Roman" w:hAnsi="Times New Roman" w:cs="Times New Roman"/>
                <w:bCs/>
                <w:color w:val="auto"/>
                <w:sz w:val="21"/>
                <w:szCs w:val="21"/>
                <w:highlight w:val="none"/>
              </w:rPr>
            </w:pPr>
          </w:p>
        </w:tc>
        <w:tc>
          <w:tcPr>
            <w:tcW w:w="388" w:type="pct"/>
            <w:vAlign w:val="center"/>
          </w:tcPr>
          <w:p w14:paraId="3A90DBC2">
            <w:pPr>
              <w:keepNext w:val="0"/>
              <w:keepLines w:val="0"/>
              <w:pageBreakBefore w:val="0"/>
              <w:widowControl/>
              <w:kinsoku/>
              <w:wordWrap/>
              <w:overflowPunct/>
              <w:topLinePunct w:val="0"/>
              <w:autoSpaceDE/>
              <w:autoSpaceDN/>
              <w:bidi w:val="0"/>
              <w:adjustRightInd/>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3</w:t>
            </w:r>
          </w:p>
        </w:tc>
        <w:tc>
          <w:tcPr>
            <w:tcW w:w="784" w:type="pct"/>
            <w:vAlign w:val="center"/>
          </w:tcPr>
          <w:p w14:paraId="46FD720C">
            <w:pPr>
              <w:keepNext w:val="0"/>
              <w:keepLines w:val="0"/>
              <w:pageBreakBefore w:val="0"/>
              <w:widowControl/>
              <w:kinsoku/>
              <w:wordWrap/>
              <w:overflowPunct/>
              <w:topLinePunct w:val="0"/>
              <w:autoSpaceDE/>
              <w:autoSpaceDN/>
              <w:bidi w:val="0"/>
              <w:adjustRightInd/>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4.57</w:t>
            </w:r>
          </w:p>
        </w:tc>
        <w:tc>
          <w:tcPr>
            <w:tcW w:w="837" w:type="pct"/>
            <w:vAlign w:val="center"/>
          </w:tcPr>
          <w:p w14:paraId="699F5337">
            <w:pPr>
              <w:keepNext w:val="0"/>
              <w:keepLines w:val="0"/>
              <w:pageBreakBefore w:val="0"/>
              <w:widowControl/>
              <w:kinsoku/>
              <w:wordWrap/>
              <w:overflowPunct/>
              <w:topLinePunct w:val="0"/>
              <w:autoSpaceDE/>
              <w:autoSpaceDN/>
              <w:bidi w:val="0"/>
              <w:adjustRightInd/>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0.039</w:t>
            </w:r>
          </w:p>
        </w:tc>
      </w:tr>
      <w:tr w14:paraId="49DFC95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589" w:type="pct"/>
            <w:vMerge w:val="continue"/>
            <w:vAlign w:val="center"/>
          </w:tcPr>
          <w:p w14:paraId="268E44E2">
            <w:pPr>
              <w:keepNext w:val="0"/>
              <w:keepLines w:val="0"/>
              <w:pageBreakBefore w:val="0"/>
              <w:widowControl/>
              <w:kinsoku/>
              <w:wordWrap/>
              <w:overflowPunct/>
              <w:topLinePunct w:val="0"/>
              <w:autoSpaceDE/>
              <w:autoSpaceDN/>
              <w:bidi w:val="0"/>
              <w:adjustRightInd/>
              <w:ind w:left="0" w:right="0"/>
              <w:jc w:val="center"/>
              <w:textAlignment w:val="auto"/>
              <w:rPr>
                <w:rFonts w:ascii="Times New Roman" w:hAnsi="Times New Roman" w:cs="Times New Roman"/>
                <w:snapToGrid w:val="0"/>
                <w:color w:val="auto"/>
                <w:sz w:val="21"/>
                <w:szCs w:val="21"/>
                <w:highlight w:val="none"/>
              </w:rPr>
            </w:pPr>
          </w:p>
        </w:tc>
        <w:tc>
          <w:tcPr>
            <w:tcW w:w="387" w:type="pct"/>
            <w:vMerge w:val="continue"/>
            <w:vAlign w:val="center"/>
          </w:tcPr>
          <w:p w14:paraId="61325565">
            <w:pPr>
              <w:keepNext w:val="0"/>
              <w:keepLines w:val="0"/>
              <w:pageBreakBefore w:val="0"/>
              <w:widowControl/>
              <w:kinsoku/>
              <w:wordWrap/>
              <w:overflowPunct/>
              <w:topLinePunct w:val="0"/>
              <w:autoSpaceDE/>
              <w:autoSpaceDN/>
              <w:bidi w:val="0"/>
              <w:adjustRightInd/>
              <w:ind w:left="0" w:right="0"/>
              <w:jc w:val="center"/>
              <w:textAlignment w:val="auto"/>
              <w:rPr>
                <w:rFonts w:ascii="Times New Roman" w:hAnsi="Times New Roman" w:cs="Times New Roman"/>
                <w:bCs/>
                <w:color w:val="auto"/>
                <w:sz w:val="21"/>
                <w:szCs w:val="21"/>
                <w:highlight w:val="none"/>
              </w:rPr>
            </w:pPr>
          </w:p>
        </w:tc>
        <w:tc>
          <w:tcPr>
            <w:tcW w:w="478" w:type="pct"/>
            <w:vMerge w:val="continue"/>
            <w:vAlign w:val="center"/>
          </w:tcPr>
          <w:p w14:paraId="114A1CB2">
            <w:pPr>
              <w:keepNext w:val="0"/>
              <w:keepLines w:val="0"/>
              <w:pageBreakBefore w:val="0"/>
              <w:widowControl/>
              <w:kinsoku/>
              <w:wordWrap/>
              <w:overflowPunct/>
              <w:topLinePunct w:val="0"/>
              <w:autoSpaceDE/>
              <w:autoSpaceDN/>
              <w:bidi w:val="0"/>
              <w:adjustRightInd/>
              <w:ind w:left="0" w:right="0"/>
              <w:jc w:val="center"/>
              <w:textAlignment w:val="auto"/>
              <w:rPr>
                <w:rFonts w:ascii="Times New Roman" w:hAnsi="Times New Roman" w:cs="Times New Roman"/>
                <w:color w:val="auto"/>
                <w:sz w:val="21"/>
                <w:szCs w:val="21"/>
                <w:highlight w:val="none"/>
              </w:rPr>
            </w:pPr>
          </w:p>
        </w:tc>
        <w:tc>
          <w:tcPr>
            <w:tcW w:w="934" w:type="pct"/>
            <w:vMerge w:val="continue"/>
            <w:vAlign w:val="center"/>
          </w:tcPr>
          <w:p w14:paraId="44FD053B">
            <w:pPr>
              <w:keepNext w:val="0"/>
              <w:keepLines w:val="0"/>
              <w:pageBreakBefore w:val="0"/>
              <w:widowControl/>
              <w:kinsoku/>
              <w:wordWrap/>
              <w:overflowPunct/>
              <w:topLinePunct w:val="0"/>
              <w:autoSpaceDE/>
              <w:autoSpaceDN/>
              <w:bidi w:val="0"/>
              <w:adjustRightInd/>
              <w:ind w:left="0" w:right="0"/>
              <w:jc w:val="center"/>
              <w:textAlignment w:val="auto"/>
              <w:rPr>
                <w:rFonts w:ascii="Times New Roman" w:hAnsi="Times New Roman" w:cs="Times New Roman"/>
                <w:bCs/>
                <w:color w:val="auto"/>
                <w:sz w:val="21"/>
                <w:szCs w:val="21"/>
                <w:highlight w:val="none"/>
              </w:rPr>
            </w:pPr>
          </w:p>
        </w:tc>
        <w:tc>
          <w:tcPr>
            <w:tcW w:w="599" w:type="pct"/>
            <w:vMerge w:val="restart"/>
            <w:vAlign w:val="center"/>
          </w:tcPr>
          <w:p w14:paraId="305883A3">
            <w:pPr>
              <w:keepNext w:val="0"/>
              <w:keepLines w:val="0"/>
              <w:pageBreakBefore w:val="0"/>
              <w:widowControl/>
              <w:kinsoku/>
              <w:wordWrap/>
              <w:overflowPunct/>
              <w:topLinePunct w:val="0"/>
              <w:autoSpaceDE/>
              <w:autoSpaceDN/>
              <w:bidi w:val="0"/>
              <w:adjustRightInd/>
              <w:ind w:left="0" w:right="0"/>
              <w:jc w:val="center"/>
              <w:textAlignment w:val="auto"/>
              <w:rPr>
                <w:rFonts w:ascii="Times New Roman" w:hAnsi="Times New Roman" w:cs="Times New Roman"/>
                <w:bCs/>
                <w:color w:val="auto"/>
                <w:sz w:val="21"/>
                <w:szCs w:val="21"/>
                <w:highlight w:val="none"/>
              </w:rPr>
            </w:pPr>
            <w:r>
              <w:rPr>
                <w:rFonts w:hint="eastAsia" w:ascii="Times New Roman" w:hAnsi="Times New Roman" w:cs="Times New Roman"/>
                <w:bCs/>
                <w:color w:val="auto"/>
                <w:sz w:val="21"/>
                <w:szCs w:val="21"/>
                <w:highlight w:val="none"/>
              </w:rPr>
              <w:t>2023.3.21</w:t>
            </w:r>
          </w:p>
        </w:tc>
        <w:tc>
          <w:tcPr>
            <w:tcW w:w="388" w:type="pct"/>
            <w:vAlign w:val="center"/>
          </w:tcPr>
          <w:p w14:paraId="1FDF8887">
            <w:pPr>
              <w:keepNext w:val="0"/>
              <w:keepLines w:val="0"/>
              <w:pageBreakBefore w:val="0"/>
              <w:widowControl/>
              <w:kinsoku/>
              <w:wordWrap/>
              <w:overflowPunct/>
              <w:topLinePunct w:val="0"/>
              <w:autoSpaceDE/>
              <w:autoSpaceDN/>
              <w:bidi w:val="0"/>
              <w:adjustRightInd/>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1</w:t>
            </w:r>
          </w:p>
        </w:tc>
        <w:tc>
          <w:tcPr>
            <w:tcW w:w="784" w:type="pct"/>
            <w:vAlign w:val="center"/>
          </w:tcPr>
          <w:p w14:paraId="1EA0ED6B">
            <w:pPr>
              <w:keepNext w:val="0"/>
              <w:keepLines w:val="0"/>
              <w:pageBreakBefore w:val="0"/>
              <w:widowControl/>
              <w:kinsoku/>
              <w:wordWrap/>
              <w:overflowPunct/>
              <w:topLinePunct w:val="0"/>
              <w:autoSpaceDE/>
              <w:autoSpaceDN/>
              <w:bidi w:val="0"/>
              <w:adjustRightInd/>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4.20</w:t>
            </w:r>
          </w:p>
        </w:tc>
        <w:tc>
          <w:tcPr>
            <w:tcW w:w="837" w:type="pct"/>
            <w:vAlign w:val="center"/>
          </w:tcPr>
          <w:p w14:paraId="57037AB5">
            <w:pPr>
              <w:keepNext w:val="0"/>
              <w:keepLines w:val="0"/>
              <w:pageBreakBefore w:val="0"/>
              <w:widowControl/>
              <w:kinsoku/>
              <w:wordWrap/>
              <w:overflowPunct/>
              <w:topLinePunct w:val="0"/>
              <w:autoSpaceDE/>
              <w:autoSpaceDN/>
              <w:bidi w:val="0"/>
              <w:adjustRightInd/>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0.034</w:t>
            </w:r>
          </w:p>
        </w:tc>
      </w:tr>
      <w:tr w14:paraId="5946A2B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589" w:type="pct"/>
            <w:vMerge w:val="continue"/>
            <w:vAlign w:val="center"/>
          </w:tcPr>
          <w:p w14:paraId="3B59E4A3">
            <w:pPr>
              <w:keepNext w:val="0"/>
              <w:keepLines w:val="0"/>
              <w:pageBreakBefore w:val="0"/>
              <w:widowControl/>
              <w:kinsoku/>
              <w:wordWrap/>
              <w:overflowPunct/>
              <w:topLinePunct w:val="0"/>
              <w:autoSpaceDE/>
              <w:autoSpaceDN/>
              <w:bidi w:val="0"/>
              <w:adjustRightInd/>
              <w:ind w:left="0" w:right="0"/>
              <w:jc w:val="center"/>
              <w:textAlignment w:val="auto"/>
              <w:rPr>
                <w:rFonts w:ascii="Times New Roman" w:hAnsi="Times New Roman" w:cs="Times New Roman"/>
                <w:snapToGrid w:val="0"/>
                <w:color w:val="auto"/>
                <w:sz w:val="21"/>
                <w:szCs w:val="21"/>
                <w:highlight w:val="none"/>
              </w:rPr>
            </w:pPr>
          </w:p>
        </w:tc>
        <w:tc>
          <w:tcPr>
            <w:tcW w:w="387" w:type="pct"/>
            <w:vMerge w:val="continue"/>
            <w:vAlign w:val="center"/>
          </w:tcPr>
          <w:p w14:paraId="45602969">
            <w:pPr>
              <w:keepNext w:val="0"/>
              <w:keepLines w:val="0"/>
              <w:pageBreakBefore w:val="0"/>
              <w:widowControl/>
              <w:kinsoku/>
              <w:wordWrap/>
              <w:overflowPunct/>
              <w:topLinePunct w:val="0"/>
              <w:autoSpaceDE/>
              <w:autoSpaceDN/>
              <w:bidi w:val="0"/>
              <w:adjustRightInd/>
              <w:ind w:left="0" w:right="0"/>
              <w:jc w:val="center"/>
              <w:textAlignment w:val="auto"/>
              <w:rPr>
                <w:rFonts w:ascii="Times New Roman" w:hAnsi="Times New Roman" w:cs="Times New Roman"/>
                <w:bCs/>
                <w:color w:val="auto"/>
                <w:sz w:val="21"/>
                <w:szCs w:val="21"/>
                <w:highlight w:val="none"/>
              </w:rPr>
            </w:pPr>
          </w:p>
        </w:tc>
        <w:tc>
          <w:tcPr>
            <w:tcW w:w="478" w:type="pct"/>
            <w:vMerge w:val="continue"/>
            <w:vAlign w:val="center"/>
          </w:tcPr>
          <w:p w14:paraId="00F9719D">
            <w:pPr>
              <w:keepNext w:val="0"/>
              <w:keepLines w:val="0"/>
              <w:pageBreakBefore w:val="0"/>
              <w:widowControl/>
              <w:kinsoku/>
              <w:wordWrap/>
              <w:overflowPunct/>
              <w:topLinePunct w:val="0"/>
              <w:autoSpaceDE/>
              <w:autoSpaceDN/>
              <w:bidi w:val="0"/>
              <w:adjustRightInd/>
              <w:ind w:left="0" w:right="0"/>
              <w:jc w:val="center"/>
              <w:textAlignment w:val="auto"/>
              <w:rPr>
                <w:rFonts w:ascii="Times New Roman" w:hAnsi="Times New Roman" w:cs="Times New Roman"/>
                <w:color w:val="auto"/>
                <w:sz w:val="21"/>
                <w:szCs w:val="21"/>
                <w:highlight w:val="none"/>
              </w:rPr>
            </w:pPr>
          </w:p>
        </w:tc>
        <w:tc>
          <w:tcPr>
            <w:tcW w:w="934" w:type="pct"/>
            <w:vMerge w:val="continue"/>
            <w:vAlign w:val="center"/>
          </w:tcPr>
          <w:p w14:paraId="053D8ED5">
            <w:pPr>
              <w:keepNext w:val="0"/>
              <w:keepLines w:val="0"/>
              <w:pageBreakBefore w:val="0"/>
              <w:widowControl/>
              <w:kinsoku/>
              <w:wordWrap/>
              <w:overflowPunct/>
              <w:topLinePunct w:val="0"/>
              <w:autoSpaceDE/>
              <w:autoSpaceDN/>
              <w:bidi w:val="0"/>
              <w:adjustRightInd/>
              <w:ind w:left="0" w:right="0"/>
              <w:jc w:val="center"/>
              <w:textAlignment w:val="auto"/>
              <w:rPr>
                <w:rFonts w:ascii="Times New Roman" w:hAnsi="Times New Roman" w:cs="Times New Roman"/>
                <w:bCs/>
                <w:color w:val="auto"/>
                <w:sz w:val="21"/>
                <w:szCs w:val="21"/>
                <w:highlight w:val="none"/>
              </w:rPr>
            </w:pPr>
          </w:p>
        </w:tc>
        <w:tc>
          <w:tcPr>
            <w:tcW w:w="599" w:type="pct"/>
            <w:vMerge w:val="continue"/>
            <w:vAlign w:val="center"/>
          </w:tcPr>
          <w:p w14:paraId="3A2C9FAB">
            <w:pPr>
              <w:keepNext w:val="0"/>
              <w:keepLines w:val="0"/>
              <w:pageBreakBefore w:val="0"/>
              <w:widowControl/>
              <w:kinsoku/>
              <w:wordWrap/>
              <w:overflowPunct/>
              <w:topLinePunct w:val="0"/>
              <w:autoSpaceDE/>
              <w:autoSpaceDN/>
              <w:bidi w:val="0"/>
              <w:adjustRightInd/>
              <w:ind w:left="0" w:right="0"/>
              <w:jc w:val="center"/>
              <w:textAlignment w:val="auto"/>
              <w:rPr>
                <w:rFonts w:ascii="Times New Roman" w:hAnsi="Times New Roman" w:cs="Times New Roman"/>
                <w:bCs/>
                <w:color w:val="auto"/>
                <w:sz w:val="21"/>
                <w:szCs w:val="21"/>
                <w:highlight w:val="none"/>
              </w:rPr>
            </w:pPr>
          </w:p>
        </w:tc>
        <w:tc>
          <w:tcPr>
            <w:tcW w:w="388" w:type="pct"/>
            <w:vAlign w:val="center"/>
          </w:tcPr>
          <w:p w14:paraId="08914B2B">
            <w:pPr>
              <w:keepNext w:val="0"/>
              <w:keepLines w:val="0"/>
              <w:pageBreakBefore w:val="0"/>
              <w:widowControl/>
              <w:kinsoku/>
              <w:wordWrap/>
              <w:overflowPunct/>
              <w:topLinePunct w:val="0"/>
              <w:autoSpaceDE/>
              <w:autoSpaceDN/>
              <w:bidi w:val="0"/>
              <w:adjustRightInd/>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2</w:t>
            </w:r>
          </w:p>
        </w:tc>
        <w:tc>
          <w:tcPr>
            <w:tcW w:w="784" w:type="pct"/>
            <w:vAlign w:val="center"/>
          </w:tcPr>
          <w:p w14:paraId="65A06B90">
            <w:pPr>
              <w:keepNext w:val="0"/>
              <w:keepLines w:val="0"/>
              <w:pageBreakBefore w:val="0"/>
              <w:widowControl/>
              <w:kinsoku/>
              <w:wordWrap/>
              <w:overflowPunct/>
              <w:topLinePunct w:val="0"/>
              <w:autoSpaceDE/>
              <w:autoSpaceDN/>
              <w:bidi w:val="0"/>
              <w:adjustRightInd/>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4.10</w:t>
            </w:r>
          </w:p>
        </w:tc>
        <w:tc>
          <w:tcPr>
            <w:tcW w:w="837" w:type="pct"/>
            <w:vAlign w:val="center"/>
          </w:tcPr>
          <w:p w14:paraId="10B1A078">
            <w:pPr>
              <w:keepNext w:val="0"/>
              <w:keepLines w:val="0"/>
              <w:pageBreakBefore w:val="0"/>
              <w:widowControl/>
              <w:kinsoku/>
              <w:wordWrap/>
              <w:overflowPunct/>
              <w:topLinePunct w:val="0"/>
              <w:autoSpaceDE/>
              <w:autoSpaceDN/>
              <w:bidi w:val="0"/>
              <w:adjustRightInd/>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0.033</w:t>
            </w:r>
          </w:p>
        </w:tc>
      </w:tr>
      <w:tr w14:paraId="21E9995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589" w:type="pct"/>
            <w:vMerge w:val="continue"/>
            <w:vAlign w:val="center"/>
          </w:tcPr>
          <w:p w14:paraId="49DE9C52">
            <w:pPr>
              <w:keepNext w:val="0"/>
              <w:keepLines w:val="0"/>
              <w:pageBreakBefore w:val="0"/>
              <w:widowControl/>
              <w:kinsoku/>
              <w:wordWrap/>
              <w:overflowPunct/>
              <w:topLinePunct w:val="0"/>
              <w:autoSpaceDE/>
              <w:autoSpaceDN/>
              <w:bidi w:val="0"/>
              <w:adjustRightInd/>
              <w:ind w:left="0" w:right="0"/>
              <w:jc w:val="center"/>
              <w:textAlignment w:val="auto"/>
              <w:rPr>
                <w:rFonts w:ascii="Times New Roman" w:hAnsi="Times New Roman" w:cs="Times New Roman"/>
                <w:snapToGrid w:val="0"/>
                <w:color w:val="auto"/>
                <w:sz w:val="21"/>
                <w:szCs w:val="21"/>
                <w:highlight w:val="none"/>
              </w:rPr>
            </w:pPr>
          </w:p>
        </w:tc>
        <w:tc>
          <w:tcPr>
            <w:tcW w:w="387" w:type="pct"/>
            <w:vMerge w:val="continue"/>
            <w:vAlign w:val="center"/>
          </w:tcPr>
          <w:p w14:paraId="79E676E4">
            <w:pPr>
              <w:keepNext w:val="0"/>
              <w:keepLines w:val="0"/>
              <w:pageBreakBefore w:val="0"/>
              <w:widowControl/>
              <w:kinsoku/>
              <w:wordWrap/>
              <w:overflowPunct/>
              <w:topLinePunct w:val="0"/>
              <w:autoSpaceDE/>
              <w:autoSpaceDN/>
              <w:bidi w:val="0"/>
              <w:adjustRightInd/>
              <w:ind w:left="0" w:right="0"/>
              <w:jc w:val="center"/>
              <w:textAlignment w:val="auto"/>
              <w:rPr>
                <w:rFonts w:ascii="Times New Roman" w:hAnsi="Times New Roman" w:cs="Times New Roman"/>
                <w:bCs/>
                <w:color w:val="auto"/>
                <w:sz w:val="21"/>
                <w:szCs w:val="21"/>
                <w:highlight w:val="none"/>
              </w:rPr>
            </w:pPr>
          </w:p>
        </w:tc>
        <w:tc>
          <w:tcPr>
            <w:tcW w:w="478" w:type="pct"/>
            <w:vMerge w:val="continue"/>
            <w:vAlign w:val="center"/>
          </w:tcPr>
          <w:p w14:paraId="7C448C59">
            <w:pPr>
              <w:keepNext w:val="0"/>
              <w:keepLines w:val="0"/>
              <w:pageBreakBefore w:val="0"/>
              <w:widowControl/>
              <w:kinsoku/>
              <w:wordWrap/>
              <w:overflowPunct/>
              <w:topLinePunct w:val="0"/>
              <w:autoSpaceDE/>
              <w:autoSpaceDN/>
              <w:bidi w:val="0"/>
              <w:adjustRightInd/>
              <w:ind w:left="0" w:right="0"/>
              <w:jc w:val="center"/>
              <w:textAlignment w:val="auto"/>
              <w:rPr>
                <w:rFonts w:ascii="Times New Roman" w:hAnsi="Times New Roman" w:cs="Times New Roman"/>
                <w:color w:val="auto"/>
                <w:sz w:val="21"/>
                <w:szCs w:val="21"/>
                <w:highlight w:val="none"/>
              </w:rPr>
            </w:pPr>
          </w:p>
        </w:tc>
        <w:tc>
          <w:tcPr>
            <w:tcW w:w="934" w:type="pct"/>
            <w:vMerge w:val="continue"/>
            <w:vAlign w:val="center"/>
          </w:tcPr>
          <w:p w14:paraId="7B4BEC72">
            <w:pPr>
              <w:keepNext w:val="0"/>
              <w:keepLines w:val="0"/>
              <w:pageBreakBefore w:val="0"/>
              <w:widowControl/>
              <w:kinsoku/>
              <w:wordWrap/>
              <w:overflowPunct/>
              <w:topLinePunct w:val="0"/>
              <w:autoSpaceDE/>
              <w:autoSpaceDN/>
              <w:bidi w:val="0"/>
              <w:adjustRightInd/>
              <w:ind w:left="0" w:right="0"/>
              <w:jc w:val="center"/>
              <w:textAlignment w:val="auto"/>
              <w:rPr>
                <w:rFonts w:ascii="Times New Roman" w:hAnsi="Times New Roman" w:cs="Times New Roman"/>
                <w:bCs/>
                <w:color w:val="auto"/>
                <w:sz w:val="21"/>
                <w:szCs w:val="21"/>
                <w:highlight w:val="none"/>
              </w:rPr>
            </w:pPr>
          </w:p>
        </w:tc>
        <w:tc>
          <w:tcPr>
            <w:tcW w:w="599" w:type="pct"/>
            <w:vMerge w:val="continue"/>
            <w:vAlign w:val="center"/>
          </w:tcPr>
          <w:p w14:paraId="4B09DFF0">
            <w:pPr>
              <w:keepNext w:val="0"/>
              <w:keepLines w:val="0"/>
              <w:pageBreakBefore w:val="0"/>
              <w:widowControl/>
              <w:kinsoku/>
              <w:wordWrap/>
              <w:overflowPunct/>
              <w:topLinePunct w:val="0"/>
              <w:autoSpaceDE/>
              <w:autoSpaceDN/>
              <w:bidi w:val="0"/>
              <w:adjustRightInd/>
              <w:ind w:left="0" w:right="0"/>
              <w:jc w:val="center"/>
              <w:textAlignment w:val="auto"/>
              <w:rPr>
                <w:rFonts w:ascii="Times New Roman" w:hAnsi="Times New Roman" w:cs="Times New Roman"/>
                <w:bCs/>
                <w:color w:val="auto"/>
                <w:sz w:val="21"/>
                <w:szCs w:val="21"/>
                <w:highlight w:val="none"/>
              </w:rPr>
            </w:pPr>
          </w:p>
        </w:tc>
        <w:tc>
          <w:tcPr>
            <w:tcW w:w="388" w:type="pct"/>
            <w:vAlign w:val="center"/>
          </w:tcPr>
          <w:p w14:paraId="03FE046E">
            <w:pPr>
              <w:keepNext w:val="0"/>
              <w:keepLines w:val="0"/>
              <w:pageBreakBefore w:val="0"/>
              <w:widowControl/>
              <w:kinsoku/>
              <w:wordWrap/>
              <w:overflowPunct/>
              <w:topLinePunct w:val="0"/>
              <w:autoSpaceDE/>
              <w:autoSpaceDN/>
              <w:bidi w:val="0"/>
              <w:adjustRightInd/>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3</w:t>
            </w:r>
          </w:p>
        </w:tc>
        <w:tc>
          <w:tcPr>
            <w:tcW w:w="784" w:type="pct"/>
            <w:vAlign w:val="center"/>
          </w:tcPr>
          <w:p w14:paraId="000DA5A8">
            <w:pPr>
              <w:keepNext w:val="0"/>
              <w:keepLines w:val="0"/>
              <w:pageBreakBefore w:val="0"/>
              <w:widowControl/>
              <w:kinsoku/>
              <w:wordWrap/>
              <w:overflowPunct/>
              <w:topLinePunct w:val="0"/>
              <w:autoSpaceDE/>
              <w:autoSpaceDN/>
              <w:bidi w:val="0"/>
              <w:adjustRightInd/>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4.29</w:t>
            </w:r>
          </w:p>
        </w:tc>
        <w:tc>
          <w:tcPr>
            <w:tcW w:w="837" w:type="pct"/>
            <w:vAlign w:val="center"/>
          </w:tcPr>
          <w:p w14:paraId="4244814F">
            <w:pPr>
              <w:keepNext w:val="0"/>
              <w:keepLines w:val="0"/>
              <w:pageBreakBefore w:val="0"/>
              <w:widowControl/>
              <w:kinsoku/>
              <w:wordWrap/>
              <w:overflowPunct/>
              <w:topLinePunct w:val="0"/>
              <w:autoSpaceDE/>
              <w:autoSpaceDN/>
              <w:bidi w:val="0"/>
              <w:adjustRightInd/>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0.035</w:t>
            </w:r>
          </w:p>
        </w:tc>
      </w:tr>
      <w:tr w14:paraId="6CACA9E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589" w:type="pct"/>
            <w:vMerge w:val="restart"/>
            <w:vAlign w:val="center"/>
          </w:tcPr>
          <w:p w14:paraId="408F5BDA">
            <w:pPr>
              <w:keepNext w:val="0"/>
              <w:keepLines w:val="0"/>
              <w:pageBreakBefore w:val="0"/>
              <w:widowControl/>
              <w:kinsoku/>
              <w:wordWrap/>
              <w:overflowPunct/>
              <w:topLinePunct w:val="0"/>
              <w:autoSpaceDE/>
              <w:autoSpaceDN/>
              <w:bidi w:val="0"/>
              <w:adjustRightInd/>
              <w:ind w:left="0" w:right="0"/>
              <w:jc w:val="center"/>
              <w:textAlignment w:val="auto"/>
              <w:rPr>
                <w:rFonts w:ascii="Times New Roman" w:hAnsi="Times New Roman" w:cs="Times New Roman"/>
                <w:snapToGrid w:val="0"/>
                <w:color w:val="auto"/>
                <w:sz w:val="21"/>
                <w:szCs w:val="21"/>
                <w:highlight w:val="none"/>
              </w:rPr>
            </w:pPr>
            <w:r>
              <w:rPr>
                <w:rFonts w:ascii="Times New Roman" w:hAnsi="Times New Roman" w:cs="Times New Roman"/>
                <w:snapToGrid w:val="0"/>
                <w:color w:val="auto"/>
                <w:sz w:val="21"/>
                <w:szCs w:val="21"/>
                <w:highlight w:val="none"/>
              </w:rPr>
              <w:t>DA00</w:t>
            </w:r>
            <w:r>
              <w:rPr>
                <w:rFonts w:hint="eastAsia" w:ascii="Times New Roman" w:hAnsi="Times New Roman" w:cs="Times New Roman"/>
                <w:snapToGrid w:val="0"/>
                <w:color w:val="auto"/>
                <w:sz w:val="21"/>
                <w:szCs w:val="21"/>
                <w:highlight w:val="none"/>
              </w:rPr>
              <w:t>3</w:t>
            </w:r>
          </w:p>
        </w:tc>
        <w:tc>
          <w:tcPr>
            <w:tcW w:w="387" w:type="pct"/>
            <w:vMerge w:val="restart"/>
            <w:vAlign w:val="center"/>
          </w:tcPr>
          <w:p w14:paraId="516A1A64">
            <w:pPr>
              <w:keepNext w:val="0"/>
              <w:keepLines w:val="0"/>
              <w:pageBreakBefore w:val="0"/>
              <w:widowControl/>
              <w:kinsoku/>
              <w:wordWrap/>
              <w:overflowPunct/>
              <w:topLinePunct w:val="0"/>
              <w:autoSpaceDE/>
              <w:autoSpaceDN/>
              <w:bidi w:val="0"/>
              <w:adjustRightInd/>
              <w:ind w:left="0" w:right="0"/>
              <w:jc w:val="center"/>
              <w:textAlignment w:val="auto"/>
              <w:rPr>
                <w:rFonts w:ascii="Times New Roman" w:hAnsi="Times New Roman" w:cs="Times New Roman"/>
                <w:bCs/>
                <w:color w:val="auto"/>
                <w:sz w:val="21"/>
                <w:szCs w:val="21"/>
                <w:highlight w:val="none"/>
              </w:rPr>
            </w:pPr>
            <w:r>
              <w:rPr>
                <w:rFonts w:hint="eastAsia" w:ascii="Times New Roman" w:hAnsi="Times New Roman" w:cs="Times New Roman"/>
                <w:bCs/>
                <w:color w:val="auto"/>
                <w:sz w:val="21"/>
                <w:szCs w:val="21"/>
                <w:highlight w:val="none"/>
              </w:rPr>
              <w:t>5000</w:t>
            </w:r>
          </w:p>
        </w:tc>
        <w:tc>
          <w:tcPr>
            <w:tcW w:w="478" w:type="pct"/>
            <w:vMerge w:val="restart"/>
            <w:vAlign w:val="center"/>
          </w:tcPr>
          <w:p w14:paraId="5470A7C1">
            <w:pPr>
              <w:keepNext w:val="0"/>
              <w:keepLines w:val="0"/>
              <w:pageBreakBefore w:val="0"/>
              <w:widowControl/>
              <w:kinsoku/>
              <w:wordWrap/>
              <w:overflowPunct/>
              <w:topLinePunct w:val="0"/>
              <w:autoSpaceDE/>
              <w:autoSpaceDN/>
              <w:bidi w:val="0"/>
              <w:adjustRightInd/>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非甲烷总烃</w:t>
            </w:r>
          </w:p>
        </w:tc>
        <w:tc>
          <w:tcPr>
            <w:tcW w:w="934" w:type="pct"/>
            <w:vMerge w:val="restart"/>
            <w:vAlign w:val="center"/>
          </w:tcPr>
          <w:p w14:paraId="75B579C5">
            <w:pPr>
              <w:keepNext w:val="0"/>
              <w:keepLines w:val="0"/>
              <w:pageBreakBefore w:val="0"/>
              <w:widowControl/>
              <w:kinsoku/>
              <w:wordWrap/>
              <w:overflowPunct/>
              <w:topLinePunct w:val="0"/>
              <w:autoSpaceDE/>
              <w:autoSpaceDN/>
              <w:bidi w:val="0"/>
              <w:adjustRightInd/>
              <w:ind w:left="0" w:right="0"/>
              <w:jc w:val="center"/>
              <w:textAlignment w:val="auto"/>
              <w:rPr>
                <w:rFonts w:ascii="Times New Roman" w:hAnsi="Times New Roman" w:cs="Times New Roman"/>
                <w:bCs/>
                <w:color w:val="auto"/>
                <w:sz w:val="21"/>
                <w:szCs w:val="21"/>
                <w:highlight w:val="none"/>
              </w:rPr>
            </w:pPr>
            <w:r>
              <w:rPr>
                <w:rFonts w:hint="eastAsia" w:ascii="Times New Roman" w:hAnsi="Times New Roman"/>
                <w:color w:val="auto"/>
                <w:sz w:val="21"/>
                <w:szCs w:val="21"/>
                <w:highlight w:val="none"/>
              </w:rPr>
              <w:t>冷凝+3级碱液喷淋+活性炭吸附</w:t>
            </w:r>
          </w:p>
        </w:tc>
        <w:tc>
          <w:tcPr>
            <w:tcW w:w="599" w:type="pct"/>
            <w:vMerge w:val="restart"/>
            <w:vAlign w:val="center"/>
          </w:tcPr>
          <w:p w14:paraId="214D7842">
            <w:pPr>
              <w:keepNext w:val="0"/>
              <w:keepLines w:val="0"/>
              <w:pageBreakBefore w:val="0"/>
              <w:widowControl/>
              <w:kinsoku/>
              <w:wordWrap/>
              <w:overflowPunct/>
              <w:topLinePunct w:val="0"/>
              <w:autoSpaceDE/>
              <w:autoSpaceDN/>
              <w:bidi w:val="0"/>
              <w:adjustRightInd/>
              <w:ind w:left="0" w:right="0"/>
              <w:jc w:val="center"/>
              <w:textAlignment w:val="auto"/>
              <w:rPr>
                <w:rFonts w:ascii="Times New Roman" w:hAnsi="Times New Roman"/>
                <w:color w:val="auto"/>
                <w:sz w:val="21"/>
                <w:szCs w:val="21"/>
                <w:highlight w:val="none"/>
              </w:rPr>
            </w:pPr>
            <w:r>
              <w:rPr>
                <w:rFonts w:hint="eastAsia" w:ascii="Times New Roman" w:hAnsi="Times New Roman"/>
                <w:color w:val="auto"/>
                <w:sz w:val="21"/>
                <w:szCs w:val="21"/>
                <w:highlight w:val="none"/>
              </w:rPr>
              <w:t>2023.3.20</w:t>
            </w:r>
          </w:p>
        </w:tc>
        <w:tc>
          <w:tcPr>
            <w:tcW w:w="388" w:type="pct"/>
            <w:vAlign w:val="center"/>
          </w:tcPr>
          <w:p w14:paraId="188BD04E">
            <w:pPr>
              <w:keepNext w:val="0"/>
              <w:keepLines w:val="0"/>
              <w:pageBreakBefore w:val="0"/>
              <w:widowControl/>
              <w:kinsoku/>
              <w:wordWrap/>
              <w:overflowPunct/>
              <w:topLinePunct w:val="0"/>
              <w:autoSpaceDE/>
              <w:autoSpaceDN/>
              <w:bidi w:val="0"/>
              <w:adjustRightInd/>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1</w:t>
            </w:r>
          </w:p>
        </w:tc>
        <w:tc>
          <w:tcPr>
            <w:tcW w:w="784" w:type="pct"/>
            <w:vAlign w:val="center"/>
          </w:tcPr>
          <w:p w14:paraId="0E4E6913">
            <w:pPr>
              <w:keepNext w:val="0"/>
              <w:keepLines w:val="0"/>
              <w:pageBreakBefore w:val="0"/>
              <w:widowControl/>
              <w:kinsoku/>
              <w:wordWrap/>
              <w:overflowPunct/>
              <w:topLinePunct w:val="0"/>
              <w:autoSpaceDE/>
              <w:autoSpaceDN/>
              <w:bidi w:val="0"/>
              <w:adjustRightInd/>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2.83</w:t>
            </w:r>
          </w:p>
        </w:tc>
        <w:tc>
          <w:tcPr>
            <w:tcW w:w="837" w:type="pct"/>
            <w:vAlign w:val="center"/>
          </w:tcPr>
          <w:p w14:paraId="22590325">
            <w:pPr>
              <w:keepNext w:val="0"/>
              <w:keepLines w:val="0"/>
              <w:pageBreakBefore w:val="0"/>
              <w:widowControl/>
              <w:kinsoku/>
              <w:wordWrap/>
              <w:overflowPunct/>
              <w:topLinePunct w:val="0"/>
              <w:autoSpaceDE/>
              <w:autoSpaceDN/>
              <w:bidi w:val="0"/>
              <w:adjustRightInd/>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0.00385</w:t>
            </w:r>
          </w:p>
        </w:tc>
      </w:tr>
      <w:tr w14:paraId="4829CE6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589" w:type="pct"/>
            <w:vMerge w:val="continue"/>
            <w:vAlign w:val="center"/>
          </w:tcPr>
          <w:p w14:paraId="5B12CDA3">
            <w:pPr>
              <w:keepNext w:val="0"/>
              <w:keepLines w:val="0"/>
              <w:pageBreakBefore w:val="0"/>
              <w:widowControl/>
              <w:kinsoku/>
              <w:wordWrap/>
              <w:overflowPunct/>
              <w:topLinePunct w:val="0"/>
              <w:autoSpaceDE/>
              <w:autoSpaceDN/>
              <w:bidi w:val="0"/>
              <w:adjustRightInd/>
              <w:ind w:left="0" w:right="0"/>
              <w:jc w:val="center"/>
              <w:textAlignment w:val="auto"/>
              <w:rPr>
                <w:rFonts w:ascii="Times New Roman" w:hAnsi="Times New Roman" w:cs="Times New Roman"/>
                <w:snapToGrid w:val="0"/>
                <w:color w:val="auto"/>
                <w:sz w:val="21"/>
                <w:szCs w:val="21"/>
                <w:highlight w:val="none"/>
              </w:rPr>
            </w:pPr>
          </w:p>
        </w:tc>
        <w:tc>
          <w:tcPr>
            <w:tcW w:w="387" w:type="pct"/>
            <w:vMerge w:val="continue"/>
            <w:vAlign w:val="center"/>
          </w:tcPr>
          <w:p w14:paraId="1DA9F2FD">
            <w:pPr>
              <w:keepNext w:val="0"/>
              <w:keepLines w:val="0"/>
              <w:pageBreakBefore w:val="0"/>
              <w:widowControl/>
              <w:kinsoku/>
              <w:wordWrap/>
              <w:overflowPunct/>
              <w:topLinePunct w:val="0"/>
              <w:autoSpaceDE/>
              <w:autoSpaceDN/>
              <w:bidi w:val="0"/>
              <w:adjustRightInd/>
              <w:ind w:left="0" w:right="0"/>
              <w:jc w:val="center"/>
              <w:textAlignment w:val="auto"/>
              <w:rPr>
                <w:rFonts w:ascii="Times New Roman" w:hAnsi="Times New Roman" w:cs="Times New Roman"/>
                <w:bCs/>
                <w:color w:val="auto"/>
                <w:sz w:val="21"/>
                <w:szCs w:val="21"/>
                <w:highlight w:val="none"/>
              </w:rPr>
            </w:pPr>
          </w:p>
        </w:tc>
        <w:tc>
          <w:tcPr>
            <w:tcW w:w="478" w:type="pct"/>
            <w:vMerge w:val="continue"/>
            <w:vAlign w:val="center"/>
          </w:tcPr>
          <w:p w14:paraId="66EC2E35">
            <w:pPr>
              <w:keepNext w:val="0"/>
              <w:keepLines w:val="0"/>
              <w:pageBreakBefore w:val="0"/>
              <w:widowControl/>
              <w:kinsoku/>
              <w:wordWrap/>
              <w:overflowPunct/>
              <w:topLinePunct w:val="0"/>
              <w:autoSpaceDE/>
              <w:autoSpaceDN/>
              <w:bidi w:val="0"/>
              <w:adjustRightInd/>
              <w:ind w:left="0" w:right="0"/>
              <w:jc w:val="center"/>
              <w:textAlignment w:val="auto"/>
              <w:rPr>
                <w:rFonts w:ascii="Times New Roman" w:hAnsi="Times New Roman" w:cs="Times New Roman"/>
                <w:color w:val="auto"/>
                <w:sz w:val="21"/>
                <w:szCs w:val="21"/>
                <w:highlight w:val="none"/>
              </w:rPr>
            </w:pPr>
          </w:p>
        </w:tc>
        <w:tc>
          <w:tcPr>
            <w:tcW w:w="934" w:type="pct"/>
            <w:vMerge w:val="continue"/>
            <w:vAlign w:val="center"/>
          </w:tcPr>
          <w:p w14:paraId="7F4581DB">
            <w:pPr>
              <w:keepNext w:val="0"/>
              <w:keepLines w:val="0"/>
              <w:pageBreakBefore w:val="0"/>
              <w:widowControl/>
              <w:kinsoku/>
              <w:wordWrap/>
              <w:overflowPunct/>
              <w:topLinePunct w:val="0"/>
              <w:autoSpaceDE/>
              <w:autoSpaceDN/>
              <w:bidi w:val="0"/>
              <w:adjustRightInd/>
              <w:ind w:left="0" w:right="0"/>
              <w:jc w:val="center"/>
              <w:textAlignment w:val="auto"/>
              <w:rPr>
                <w:rFonts w:ascii="Times New Roman" w:hAnsi="Times New Roman" w:cs="Times New Roman"/>
                <w:bCs/>
                <w:color w:val="auto"/>
                <w:sz w:val="21"/>
                <w:szCs w:val="21"/>
                <w:highlight w:val="none"/>
              </w:rPr>
            </w:pPr>
          </w:p>
        </w:tc>
        <w:tc>
          <w:tcPr>
            <w:tcW w:w="599" w:type="pct"/>
            <w:vMerge w:val="continue"/>
            <w:vAlign w:val="center"/>
          </w:tcPr>
          <w:p w14:paraId="65245C51">
            <w:pPr>
              <w:keepNext w:val="0"/>
              <w:keepLines w:val="0"/>
              <w:pageBreakBefore w:val="0"/>
              <w:widowControl/>
              <w:kinsoku/>
              <w:wordWrap/>
              <w:overflowPunct/>
              <w:topLinePunct w:val="0"/>
              <w:autoSpaceDE/>
              <w:autoSpaceDN/>
              <w:bidi w:val="0"/>
              <w:adjustRightInd/>
              <w:ind w:left="0" w:right="0"/>
              <w:jc w:val="center"/>
              <w:textAlignment w:val="auto"/>
              <w:rPr>
                <w:rFonts w:ascii="Times New Roman" w:hAnsi="Times New Roman" w:cs="Times New Roman"/>
                <w:bCs/>
                <w:color w:val="auto"/>
                <w:sz w:val="21"/>
                <w:szCs w:val="21"/>
                <w:highlight w:val="none"/>
              </w:rPr>
            </w:pPr>
          </w:p>
        </w:tc>
        <w:tc>
          <w:tcPr>
            <w:tcW w:w="388" w:type="pct"/>
            <w:vAlign w:val="center"/>
          </w:tcPr>
          <w:p w14:paraId="03F022C7">
            <w:pPr>
              <w:keepNext w:val="0"/>
              <w:keepLines w:val="0"/>
              <w:pageBreakBefore w:val="0"/>
              <w:widowControl/>
              <w:kinsoku/>
              <w:wordWrap/>
              <w:overflowPunct/>
              <w:topLinePunct w:val="0"/>
              <w:autoSpaceDE/>
              <w:autoSpaceDN/>
              <w:bidi w:val="0"/>
              <w:adjustRightInd/>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2</w:t>
            </w:r>
          </w:p>
        </w:tc>
        <w:tc>
          <w:tcPr>
            <w:tcW w:w="784" w:type="pct"/>
            <w:vAlign w:val="center"/>
          </w:tcPr>
          <w:p w14:paraId="32DAF860">
            <w:pPr>
              <w:keepNext w:val="0"/>
              <w:keepLines w:val="0"/>
              <w:pageBreakBefore w:val="0"/>
              <w:widowControl/>
              <w:kinsoku/>
              <w:wordWrap/>
              <w:overflowPunct/>
              <w:topLinePunct w:val="0"/>
              <w:autoSpaceDE/>
              <w:autoSpaceDN/>
              <w:bidi w:val="0"/>
              <w:adjustRightInd/>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2.78</w:t>
            </w:r>
          </w:p>
        </w:tc>
        <w:tc>
          <w:tcPr>
            <w:tcW w:w="837" w:type="pct"/>
            <w:vAlign w:val="center"/>
          </w:tcPr>
          <w:p w14:paraId="07DA0CDB">
            <w:pPr>
              <w:keepNext w:val="0"/>
              <w:keepLines w:val="0"/>
              <w:pageBreakBefore w:val="0"/>
              <w:widowControl/>
              <w:kinsoku/>
              <w:wordWrap/>
              <w:overflowPunct/>
              <w:topLinePunct w:val="0"/>
              <w:autoSpaceDE/>
              <w:autoSpaceDN/>
              <w:bidi w:val="0"/>
              <w:adjustRightInd/>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0.00368</w:t>
            </w:r>
          </w:p>
        </w:tc>
      </w:tr>
      <w:tr w14:paraId="3F9BFF6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589" w:type="pct"/>
            <w:vMerge w:val="continue"/>
            <w:vAlign w:val="center"/>
          </w:tcPr>
          <w:p w14:paraId="57F66FF2">
            <w:pPr>
              <w:keepNext w:val="0"/>
              <w:keepLines w:val="0"/>
              <w:pageBreakBefore w:val="0"/>
              <w:widowControl/>
              <w:kinsoku/>
              <w:wordWrap/>
              <w:overflowPunct/>
              <w:topLinePunct w:val="0"/>
              <w:autoSpaceDE/>
              <w:autoSpaceDN/>
              <w:bidi w:val="0"/>
              <w:adjustRightInd/>
              <w:ind w:left="0" w:right="0"/>
              <w:jc w:val="center"/>
              <w:textAlignment w:val="auto"/>
              <w:rPr>
                <w:rFonts w:ascii="Times New Roman" w:hAnsi="Times New Roman" w:cs="Times New Roman"/>
                <w:snapToGrid w:val="0"/>
                <w:color w:val="auto"/>
                <w:sz w:val="21"/>
                <w:szCs w:val="21"/>
                <w:highlight w:val="none"/>
              </w:rPr>
            </w:pPr>
          </w:p>
        </w:tc>
        <w:tc>
          <w:tcPr>
            <w:tcW w:w="387" w:type="pct"/>
            <w:vMerge w:val="continue"/>
            <w:vAlign w:val="center"/>
          </w:tcPr>
          <w:p w14:paraId="71EF9B7F">
            <w:pPr>
              <w:keepNext w:val="0"/>
              <w:keepLines w:val="0"/>
              <w:pageBreakBefore w:val="0"/>
              <w:widowControl/>
              <w:kinsoku/>
              <w:wordWrap/>
              <w:overflowPunct/>
              <w:topLinePunct w:val="0"/>
              <w:autoSpaceDE/>
              <w:autoSpaceDN/>
              <w:bidi w:val="0"/>
              <w:adjustRightInd/>
              <w:ind w:left="0" w:right="0"/>
              <w:jc w:val="center"/>
              <w:textAlignment w:val="auto"/>
              <w:rPr>
                <w:rFonts w:ascii="Times New Roman" w:hAnsi="Times New Roman" w:cs="Times New Roman"/>
                <w:bCs/>
                <w:color w:val="auto"/>
                <w:sz w:val="21"/>
                <w:szCs w:val="21"/>
                <w:highlight w:val="none"/>
              </w:rPr>
            </w:pPr>
          </w:p>
        </w:tc>
        <w:tc>
          <w:tcPr>
            <w:tcW w:w="478" w:type="pct"/>
            <w:vMerge w:val="continue"/>
            <w:vAlign w:val="center"/>
          </w:tcPr>
          <w:p w14:paraId="02468EC7">
            <w:pPr>
              <w:keepNext w:val="0"/>
              <w:keepLines w:val="0"/>
              <w:pageBreakBefore w:val="0"/>
              <w:widowControl/>
              <w:kinsoku/>
              <w:wordWrap/>
              <w:overflowPunct/>
              <w:topLinePunct w:val="0"/>
              <w:autoSpaceDE/>
              <w:autoSpaceDN/>
              <w:bidi w:val="0"/>
              <w:adjustRightInd/>
              <w:ind w:left="0" w:right="0"/>
              <w:jc w:val="center"/>
              <w:textAlignment w:val="auto"/>
              <w:rPr>
                <w:rFonts w:ascii="Times New Roman" w:hAnsi="Times New Roman" w:cs="Times New Roman"/>
                <w:color w:val="auto"/>
                <w:sz w:val="21"/>
                <w:szCs w:val="21"/>
                <w:highlight w:val="none"/>
              </w:rPr>
            </w:pPr>
          </w:p>
        </w:tc>
        <w:tc>
          <w:tcPr>
            <w:tcW w:w="934" w:type="pct"/>
            <w:vMerge w:val="continue"/>
            <w:vAlign w:val="center"/>
          </w:tcPr>
          <w:p w14:paraId="38A11013">
            <w:pPr>
              <w:keepNext w:val="0"/>
              <w:keepLines w:val="0"/>
              <w:pageBreakBefore w:val="0"/>
              <w:widowControl/>
              <w:kinsoku/>
              <w:wordWrap/>
              <w:overflowPunct/>
              <w:topLinePunct w:val="0"/>
              <w:autoSpaceDE/>
              <w:autoSpaceDN/>
              <w:bidi w:val="0"/>
              <w:adjustRightInd/>
              <w:ind w:left="0" w:right="0"/>
              <w:jc w:val="center"/>
              <w:textAlignment w:val="auto"/>
              <w:rPr>
                <w:rFonts w:ascii="Times New Roman" w:hAnsi="Times New Roman" w:cs="Times New Roman"/>
                <w:bCs/>
                <w:color w:val="auto"/>
                <w:sz w:val="21"/>
                <w:szCs w:val="21"/>
                <w:highlight w:val="none"/>
              </w:rPr>
            </w:pPr>
          </w:p>
        </w:tc>
        <w:tc>
          <w:tcPr>
            <w:tcW w:w="599" w:type="pct"/>
            <w:vMerge w:val="continue"/>
            <w:vAlign w:val="center"/>
          </w:tcPr>
          <w:p w14:paraId="5D7D5A79">
            <w:pPr>
              <w:keepNext w:val="0"/>
              <w:keepLines w:val="0"/>
              <w:pageBreakBefore w:val="0"/>
              <w:widowControl/>
              <w:kinsoku/>
              <w:wordWrap/>
              <w:overflowPunct/>
              <w:topLinePunct w:val="0"/>
              <w:autoSpaceDE/>
              <w:autoSpaceDN/>
              <w:bidi w:val="0"/>
              <w:adjustRightInd/>
              <w:ind w:left="0" w:right="0"/>
              <w:jc w:val="center"/>
              <w:textAlignment w:val="auto"/>
              <w:rPr>
                <w:rFonts w:ascii="Times New Roman" w:hAnsi="Times New Roman" w:cs="Times New Roman"/>
                <w:bCs/>
                <w:color w:val="auto"/>
                <w:sz w:val="21"/>
                <w:szCs w:val="21"/>
                <w:highlight w:val="none"/>
              </w:rPr>
            </w:pPr>
          </w:p>
        </w:tc>
        <w:tc>
          <w:tcPr>
            <w:tcW w:w="388" w:type="pct"/>
            <w:vAlign w:val="center"/>
          </w:tcPr>
          <w:p w14:paraId="3A096EED">
            <w:pPr>
              <w:keepNext w:val="0"/>
              <w:keepLines w:val="0"/>
              <w:pageBreakBefore w:val="0"/>
              <w:widowControl/>
              <w:kinsoku/>
              <w:wordWrap/>
              <w:overflowPunct/>
              <w:topLinePunct w:val="0"/>
              <w:autoSpaceDE/>
              <w:autoSpaceDN/>
              <w:bidi w:val="0"/>
              <w:adjustRightInd/>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3</w:t>
            </w:r>
          </w:p>
        </w:tc>
        <w:tc>
          <w:tcPr>
            <w:tcW w:w="784" w:type="pct"/>
            <w:vAlign w:val="center"/>
          </w:tcPr>
          <w:p w14:paraId="252EC8BA">
            <w:pPr>
              <w:keepNext w:val="0"/>
              <w:keepLines w:val="0"/>
              <w:pageBreakBefore w:val="0"/>
              <w:widowControl/>
              <w:kinsoku/>
              <w:wordWrap/>
              <w:overflowPunct/>
              <w:topLinePunct w:val="0"/>
              <w:autoSpaceDE/>
              <w:autoSpaceDN/>
              <w:bidi w:val="0"/>
              <w:adjustRightInd/>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2.49</w:t>
            </w:r>
          </w:p>
        </w:tc>
        <w:tc>
          <w:tcPr>
            <w:tcW w:w="837" w:type="pct"/>
            <w:vAlign w:val="center"/>
          </w:tcPr>
          <w:p w14:paraId="4FA19979">
            <w:pPr>
              <w:keepNext w:val="0"/>
              <w:keepLines w:val="0"/>
              <w:pageBreakBefore w:val="0"/>
              <w:widowControl/>
              <w:kinsoku/>
              <w:wordWrap/>
              <w:overflowPunct/>
              <w:topLinePunct w:val="0"/>
              <w:autoSpaceDE/>
              <w:autoSpaceDN/>
              <w:bidi w:val="0"/>
              <w:adjustRightInd/>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0.00350</w:t>
            </w:r>
          </w:p>
        </w:tc>
      </w:tr>
      <w:tr w14:paraId="2D3A11E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589" w:type="pct"/>
            <w:vMerge w:val="continue"/>
            <w:vAlign w:val="center"/>
          </w:tcPr>
          <w:p w14:paraId="1A603DDD">
            <w:pPr>
              <w:keepNext w:val="0"/>
              <w:keepLines w:val="0"/>
              <w:pageBreakBefore w:val="0"/>
              <w:widowControl/>
              <w:kinsoku/>
              <w:wordWrap/>
              <w:overflowPunct/>
              <w:topLinePunct w:val="0"/>
              <w:autoSpaceDE/>
              <w:autoSpaceDN/>
              <w:bidi w:val="0"/>
              <w:adjustRightInd/>
              <w:ind w:left="0" w:right="0"/>
              <w:jc w:val="center"/>
              <w:textAlignment w:val="auto"/>
              <w:rPr>
                <w:rFonts w:ascii="Times New Roman" w:hAnsi="Times New Roman" w:cs="Times New Roman"/>
                <w:snapToGrid w:val="0"/>
                <w:color w:val="auto"/>
                <w:sz w:val="21"/>
                <w:szCs w:val="21"/>
                <w:highlight w:val="none"/>
              </w:rPr>
            </w:pPr>
          </w:p>
        </w:tc>
        <w:tc>
          <w:tcPr>
            <w:tcW w:w="387" w:type="pct"/>
            <w:vMerge w:val="continue"/>
            <w:vAlign w:val="center"/>
          </w:tcPr>
          <w:p w14:paraId="6FC133FB">
            <w:pPr>
              <w:keepNext w:val="0"/>
              <w:keepLines w:val="0"/>
              <w:pageBreakBefore w:val="0"/>
              <w:widowControl/>
              <w:kinsoku/>
              <w:wordWrap/>
              <w:overflowPunct/>
              <w:topLinePunct w:val="0"/>
              <w:autoSpaceDE/>
              <w:autoSpaceDN/>
              <w:bidi w:val="0"/>
              <w:adjustRightInd/>
              <w:ind w:left="0" w:right="0"/>
              <w:jc w:val="center"/>
              <w:textAlignment w:val="auto"/>
              <w:rPr>
                <w:rFonts w:ascii="Times New Roman" w:hAnsi="Times New Roman" w:cs="Times New Roman"/>
                <w:bCs/>
                <w:color w:val="auto"/>
                <w:sz w:val="21"/>
                <w:szCs w:val="21"/>
                <w:highlight w:val="none"/>
              </w:rPr>
            </w:pPr>
          </w:p>
        </w:tc>
        <w:tc>
          <w:tcPr>
            <w:tcW w:w="478" w:type="pct"/>
            <w:vMerge w:val="continue"/>
            <w:vAlign w:val="center"/>
          </w:tcPr>
          <w:p w14:paraId="10412DA7">
            <w:pPr>
              <w:keepNext w:val="0"/>
              <w:keepLines w:val="0"/>
              <w:pageBreakBefore w:val="0"/>
              <w:widowControl/>
              <w:kinsoku/>
              <w:wordWrap/>
              <w:overflowPunct/>
              <w:topLinePunct w:val="0"/>
              <w:autoSpaceDE/>
              <w:autoSpaceDN/>
              <w:bidi w:val="0"/>
              <w:adjustRightInd/>
              <w:ind w:left="0" w:right="0"/>
              <w:jc w:val="center"/>
              <w:textAlignment w:val="auto"/>
              <w:rPr>
                <w:rFonts w:ascii="Times New Roman" w:hAnsi="Times New Roman" w:cs="Times New Roman"/>
                <w:color w:val="auto"/>
                <w:sz w:val="21"/>
                <w:szCs w:val="21"/>
                <w:highlight w:val="none"/>
              </w:rPr>
            </w:pPr>
          </w:p>
        </w:tc>
        <w:tc>
          <w:tcPr>
            <w:tcW w:w="934" w:type="pct"/>
            <w:vMerge w:val="continue"/>
            <w:vAlign w:val="center"/>
          </w:tcPr>
          <w:p w14:paraId="69CFAFD6">
            <w:pPr>
              <w:keepNext w:val="0"/>
              <w:keepLines w:val="0"/>
              <w:pageBreakBefore w:val="0"/>
              <w:widowControl/>
              <w:kinsoku/>
              <w:wordWrap/>
              <w:overflowPunct/>
              <w:topLinePunct w:val="0"/>
              <w:autoSpaceDE/>
              <w:autoSpaceDN/>
              <w:bidi w:val="0"/>
              <w:adjustRightInd/>
              <w:ind w:left="0" w:right="0"/>
              <w:jc w:val="center"/>
              <w:textAlignment w:val="auto"/>
              <w:rPr>
                <w:rFonts w:ascii="Times New Roman" w:hAnsi="Times New Roman" w:cs="Times New Roman"/>
                <w:bCs/>
                <w:color w:val="auto"/>
                <w:sz w:val="21"/>
                <w:szCs w:val="21"/>
                <w:highlight w:val="none"/>
              </w:rPr>
            </w:pPr>
          </w:p>
        </w:tc>
        <w:tc>
          <w:tcPr>
            <w:tcW w:w="599" w:type="pct"/>
            <w:vMerge w:val="restart"/>
            <w:vAlign w:val="center"/>
          </w:tcPr>
          <w:p w14:paraId="273DC185">
            <w:pPr>
              <w:keepNext w:val="0"/>
              <w:keepLines w:val="0"/>
              <w:pageBreakBefore w:val="0"/>
              <w:widowControl/>
              <w:kinsoku/>
              <w:wordWrap/>
              <w:overflowPunct/>
              <w:topLinePunct w:val="0"/>
              <w:autoSpaceDE/>
              <w:autoSpaceDN/>
              <w:bidi w:val="0"/>
              <w:adjustRightInd/>
              <w:ind w:left="0" w:right="0"/>
              <w:jc w:val="center"/>
              <w:textAlignment w:val="auto"/>
              <w:rPr>
                <w:rFonts w:ascii="Times New Roman" w:hAnsi="Times New Roman" w:cs="Times New Roman"/>
                <w:bCs/>
                <w:color w:val="auto"/>
                <w:sz w:val="21"/>
                <w:szCs w:val="21"/>
                <w:highlight w:val="none"/>
              </w:rPr>
            </w:pPr>
            <w:r>
              <w:rPr>
                <w:rFonts w:hint="eastAsia" w:ascii="Times New Roman" w:hAnsi="Times New Roman" w:cs="Times New Roman"/>
                <w:bCs/>
                <w:color w:val="auto"/>
                <w:sz w:val="21"/>
                <w:szCs w:val="21"/>
                <w:highlight w:val="none"/>
              </w:rPr>
              <w:t>2023.3.21</w:t>
            </w:r>
          </w:p>
        </w:tc>
        <w:tc>
          <w:tcPr>
            <w:tcW w:w="388" w:type="pct"/>
            <w:vAlign w:val="center"/>
          </w:tcPr>
          <w:p w14:paraId="241CCD81">
            <w:pPr>
              <w:keepNext w:val="0"/>
              <w:keepLines w:val="0"/>
              <w:pageBreakBefore w:val="0"/>
              <w:widowControl/>
              <w:kinsoku/>
              <w:wordWrap/>
              <w:overflowPunct/>
              <w:topLinePunct w:val="0"/>
              <w:autoSpaceDE/>
              <w:autoSpaceDN/>
              <w:bidi w:val="0"/>
              <w:adjustRightInd/>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1</w:t>
            </w:r>
          </w:p>
        </w:tc>
        <w:tc>
          <w:tcPr>
            <w:tcW w:w="784" w:type="pct"/>
            <w:vAlign w:val="center"/>
          </w:tcPr>
          <w:p w14:paraId="05EF9965">
            <w:pPr>
              <w:keepNext w:val="0"/>
              <w:keepLines w:val="0"/>
              <w:pageBreakBefore w:val="0"/>
              <w:widowControl/>
              <w:kinsoku/>
              <w:wordWrap/>
              <w:overflowPunct/>
              <w:topLinePunct w:val="0"/>
              <w:autoSpaceDE/>
              <w:autoSpaceDN/>
              <w:bidi w:val="0"/>
              <w:adjustRightInd/>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1.90</w:t>
            </w:r>
          </w:p>
        </w:tc>
        <w:tc>
          <w:tcPr>
            <w:tcW w:w="837" w:type="pct"/>
            <w:vAlign w:val="center"/>
          </w:tcPr>
          <w:p w14:paraId="17D0F461">
            <w:pPr>
              <w:keepNext w:val="0"/>
              <w:keepLines w:val="0"/>
              <w:pageBreakBefore w:val="0"/>
              <w:widowControl/>
              <w:kinsoku/>
              <w:wordWrap/>
              <w:overflowPunct/>
              <w:topLinePunct w:val="0"/>
              <w:autoSpaceDE/>
              <w:autoSpaceDN/>
              <w:bidi w:val="0"/>
              <w:adjustRightInd/>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0.00319</w:t>
            </w:r>
          </w:p>
        </w:tc>
      </w:tr>
      <w:tr w14:paraId="46B4317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589" w:type="pct"/>
            <w:vMerge w:val="continue"/>
            <w:vAlign w:val="center"/>
          </w:tcPr>
          <w:p w14:paraId="6A6578F0">
            <w:pPr>
              <w:keepNext w:val="0"/>
              <w:keepLines w:val="0"/>
              <w:pageBreakBefore w:val="0"/>
              <w:widowControl/>
              <w:kinsoku/>
              <w:wordWrap/>
              <w:overflowPunct/>
              <w:topLinePunct w:val="0"/>
              <w:autoSpaceDE/>
              <w:autoSpaceDN/>
              <w:bidi w:val="0"/>
              <w:adjustRightInd/>
              <w:ind w:left="0" w:right="0"/>
              <w:jc w:val="center"/>
              <w:textAlignment w:val="auto"/>
              <w:rPr>
                <w:rFonts w:ascii="Times New Roman" w:hAnsi="Times New Roman" w:cs="Times New Roman"/>
                <w:snapToGrid w:val="0"/>
                <w:color w:val="auto"/>
                <w:sz w:val="21"/>
                <w:szCs w:val="21"/>
                <w:highlight w:val="none"/>
              </w:rPr>
            </w:pPr>
          </w:p>
        </w:tc>
        <w:tc>
          <w:tcPr>
            <w:tcW w:w="387" w:type="pct"/>
            <w:vMerge w:val="continue"/>
            <w:vAlign w:val="center"/>
          </w:tcPr>
          <w:p w14:paraId="2977D157">
            <w:pPr>
              <w:keepNext w:val="0"/>
              <w:keepLines w:val="0"/>
              <w:pageBreakBefore w:val="0"/>
              <w:widowControl/>
              <w:kinsoku/>
              <w:wordWrap/>
              <w:overflowPunct/>
              <w:topLinePunct w:val="0"/>
              <w:autoSpaceDE/>
              <w:autoSpaceDN/>
              <w:bidi w:val="0"/>
              <w:adjustRightInd/>
              <w:ind w:left="0" w:right="0"/>
              <w:jc w:val="center"/>
              <w:textAlignment w:val="auto"/>
              <w:rPr>
                <w:rFonts w:ascii="Times New Roman" w:hAnsi="Times New Roman" w:cs="Times New Roman"/>
                <w:bCs/>
                <w:color w:val="auto"/>
                <w:sz w:val="21"/>
                <w:szCs w:val="21"/>
                <w:highlight w:val="none"/>
              </w:rPr>
            </w:pPr>
          </w:p>
        </w:tc>
        <w:tc>
          <w:tcPr>
            <w:tcW w:w="478" w:type="pct"/>
            <w:vMerge w:val="continue"/>
            <w:vAlign w:val="center"/>
          </w:tcPr>
          <w:p w14:paraId="3F32EC2E">
            <w:pPr>
              <w:keepNext w:val="0"/>
              <w:keepLines w:val="0"/>
              <w:pageBreakBefore w:val="0"/>
              <w:widowControl/>
              <w:kinsoku/>
              <w:wordWrap/>
              <w:overflowPunct/>
              <w:topLinePunct w:val="0"/>
              <w:autoSpaceDE/>
              <w:autoSpaceDN/>
              <w:bidi w:val="0"/>
              <w:adjustRightInd/>
              <w:ind w:left="0" w:right="0"/>
              <w:jc w:val="center"/>
              <w:textAlignment w:val="auto"/>
              <w:rPr>
                <w:rFonts w:ascii="Times New Roman" w:hAnsi="Times New Roman" w:cs="Times New Roman"/>
                <w:color w:val="auto"/>
                <w:sz w:val="21"/>
                <w:szCs w:val="21"/>
                <w:highlight w:val="none"/>
              </w:rPr>
            </w:pPr>
          </w:p>
        </w:tc>
        <w:tc>
          <w:tcPr>
            <w:tcW w:w="934" w:type="pct"/>
            <w:vMerge w:val="continue"/>
            <w:vAlign w:val="center"/>
          </w:tcPr>
          <w:p w14:paraId="097695B8">
            <w:pPr>
              <w:keepNext w:val="0"/>
              <w:keepLines w:val="0"/>
              <w:pageBreakBefore w:val="0"/>
              <w:widowControl/>
              <w:kinsoku/>
              <w:wordWrap/>
              <w:overflowPunct/>
              <w:topLinePunct w:val="0"/>
              <w:autoSpaceDE/>
              <w:autoSpaceDN/>
              <w:bidi w:val="0"/>
              <w:adjustRightInd/>
              <w:ind w:left="0" w:right="0"/>
              <w:jc w:val="center"/>
              <w:textAlignment w:val="auto"/>
              <w:rPr>
                <w:rFonts w:ascii="Times New Roman" w:hAnsi="Times New Roman" w:cs="Times New Roman"/>
                <w:bCs/>
                <w:color w:val="auto"/>
                <w:sz w:val="21"/>
                <w:szCs w:val="21"/>
                <w:highlight w:val="none"/>
              </w:rPr>
            </w:pPr>
          </w:p>
        </w:tc>
        <w:tc>
          <w:tcPr>
            <w:tcW w:w="599" w:type="pct"/>
            <w:vMerge w:val="continue"/>
            <w:vAlign w:val="center"/>
          </w:tcPr>
          <w:p w14:paraId="37931D7B">
            <w:pPr>
              <w:keepNext w:val="0"/>
              <w:keepLines w:val="0"/>
              <w:pageBreakBefore w:val="0"/>
              <w:widowControl/>
              <w:kinsoku/>
              <w:wordWrap/>
              <w:overflowPunct/>
              <w:topLinePunct w:val="0"/>
              <w:autoSpaceDE/>
              <w:autoSpaceDN/>
              <w:bidi w:val="0"/>
              <w:adjustRightInd/>
              <w:ind w:left="0" w:right="0"/>
              <w:jc w:val="center"/>
              <w:textAlignment w:val="auto"/>
              <w:rPr>
                <w:rFonts w:ascii="Times New Roman" w:hAnsi="Times New Roman" w:cs="Times New Roman"/>
                <w:bCs/>
                <w:color w:val="auto"/>
                <w:sz w:val="21"/>
                <w:szCs w:val="21"/>
                <w:highlight w:val="none"/>
              </w:rPr>
            </w:pPr>
          </w:p>
        </w:tc>
        <w:tc>
          <w:tcPr>
            <w:tcW w:w="388" w:type="pct"/>
            <w:vAlign w:val="center"/>
          </w:tcPr>
          <w:p w14:paraId="69B6BEAA">
            <w:pPr>
              <w:keepNext w:val="0"/>
              <w:keepLines w:val="0"/>
              <w:pageBreakBefore w:val="0"/>
              <w:widowControl/>
              <w:kinsoku/>
              <w:wordWrap/>
              <w:overflowPunct/>
              <w:topLinePunct w:val="0"/>
              <w:autoSpaceDE/>
              <w:autoSpaceDN/>
              <w:bidi w:val="0"/>
              <w:adjustRightInd/>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2</w:t>
            </w:r>
          </w:p>
        </w:tc>
        <w:tc>
          <w:tcPr>
            <w:tcW w:w="784" w:type="pct"/>
            <w:vAlign w:val="center"/>
          </w:tcPr>
          <w:p w14:paraId="0039236A">
            <w:pPr>
              <w:keepNext w:val="0"/>
              <w:keepLines w:val="0"/>
              <w:pageBreakBefore w:val="0"/>
              <w:widowControl/>
              <w:kinsoku/>
              <w:wordWrap/>
              <w:overflowPunct/>
              <w:topLinePunct w:val="0"/>
              <w:autoSpaceDE/>
              <w:autoSpaceDN/>
              <w:bidi w:val="0"/>
              <w:adjustRightInd/>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1.85</w:t>
            </w:r>
          </w:p>
        </w:tc>
        <w:tc>
          <w:tcPr>
            <w:tcW w:w="837" w:type="pct"/>
            <w:vAlign w:val="center"/>
          </w:tcPr>
          <w:p w14:paraId="5CE5EAFD">
            <w:pPr>
              <w:keepNext w:val="0"/>
              <w:keepLines w:val="0"/>
              <w:pageBreakBefore w:val="0"/>
              <w:widowControl/>
              <w:kinsoku/>
              <w:wordWrap/>
              <w:overflowPunct/>
              <w:topLinePunct w:val="0"/>
              <w:autoSpaceDE/>
              <w:autoSpaceDN/>
              <w:bidi w:val="0"/>
              <w:adjustRightInd/>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0.00273</w:t>
            </w:r>
          </w:p>
        </w:tc>
      </w:tr>
      <w:tr w14:paraId="32188B1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589" w:type="pct"/>
            <w:vMerge w:val="continue"/>
            <w:vAlign w:val="center"/>
          </w:tcPr>
          <w:p w14:paraId="7298455B">
            <w:pPr>
              <w:keepNext w:val="0"/>
              <w:keepLines w:val="0"/>
              <w:pageBreakBefore w:val="0"/>
              <w:widowControl/>
              <w:kinsoku/>
              <w:wordWrap/>
              <w:overflowPunct/>
              <w:topLinePunct w:val="0"/>
              <w:autoSpaceDE/>
              <w:autoSpaceDN/>
              <w:bidi w:val="0"/>
              <w:adjustRightInd/>
              <w:ind w:left="0" w:right="0"/>
              <w:jc w:val="center"/>
              <w:textAlignment w:val="auto"/>
              <w:rPr>
                <w:rFonts w:ascii="Times New Roman" w:hAnsi="Times New Roman" w:cs="Times New Roman"/>
                <w:snapToGrid w:val="0"/>
                <w:color w:val="auto"/>
                <w:sz w:val="21"/>
                <w:szCs w:val="21"/>
                <w:highlight w:val="none"/>
              </w:rPr>
            </w:pPr>
          </w:p>
        </w:tc>
        <w:tc>
          <w:tcPr>
            <w:tcW w:w="387" w:type="pct"/>
            <w:vMerge w:val="continue"/>
            <w:vAlign w:val="center"/>
          </w:tcPr>
          <w:p w14:paraId="1D03B331">
            <w:pPr>
              <w:keepNext w:val="0"/>
              <w:keepLines w:val="0"/>
              <w:pageBreakBefore w:val="0"/>
              <w:widowControl/>
              <w:kinsoku/>
              <w:wordWrap/>
              <w:overflowPunct/>
              <w:topLinePunct w:val="0"/>
              <w:autoSpaceDE/>
              <w:autoSpaceDN/>
              <w:bidi w:val="0"/>
              <w:adjustRightInd/>
              <w:ind w:left="0" w:right="0"/>
              <w:jc w:val="center"/>
              <w:textAlignment w:val="auto"/>
              <w:rPr>
                <w:rFonts w:ascii="Times New Roman" w:hAnsi="Times New Roman" w:cs="Times New Roman"/>
                <w:bCs/>
                <w:color w:val="auto"/>
                <w:sz w:val="21"/>
                <w:szCs w:val="21"/>
                <w:highlight w:val="none"/>
              </w:rPr>
            </w:pPr>
          </w:p>
        </w:tc>
        <w:tc>
          <w:tcPr>
            <w:tcW w:w="478" w:type="pct"/>
            <w:vMerge w:val="continue"/>
            <w:vAlign w:val="center"/>
          </w:tcPr>
          <w:p w14:paraId="17C205C3">
            <w:pPr>
              <w:keepNext w:val="0"/>
              <w:keepLines w:val="0"/>
              <w:pageBreakBefore w:val="0"/>
              <w:widowControl/>
              <w:kinsoku/>
              <w:wordWrap/>
              <w:overflowPunct/>
              <w:topLinePunct w:val="0"/>
              <w:autoSpaceDE/>
              <w:autoSpaceDN/>
              <w:bidi w:val="0"/>
              <w:adjustRightInd/>
              <w:ind w:left="0" w:right="0"/>
              <w:jc w:val="center"/>
              <w:textAlignment w:val="auto"/>
              <w:rPr>
                <w:rFonts w:ascii="Times New Roman" w:hAnsi="Times New Roman" w:cs="Times New Roman"/>
                <w:color w:val="auto"/>
                <w:sz w:val="21"/>
                <w:szCs w:val="21"/>
                <w:highlight w:val="none"/>
              </w:rPr>
            </w:pPr>
          </w:p>
        </w:tc>
        <w:tc>
          <w:tcPr>
            <w:tcW w:w="934" w:type="pct"/>
            <w:vMerge w:val="continue"/>
            <w:vAlign w:val="center"/>
          </w:tcPr>
          <w:p w14:paraId="4E22DE97">
            <w:pPr>
              <w:keepNext w:val="0"/>
              <w:keepLines w:val="0"/>
              <w:pageBreakBefore w:val="0"/>
              <w:widowControl/>
              <w:kinsoku/>
              <w:wordWrap/>
              <w:overflowPunct/>
              <w:topLinePunct w:val="0"/>
              <w:autoSpaceDE/>
              <w:autoSpaceDN/>
              <w:bidi w:val="0"/>
              <w:adjustRightInd/>
              <w:ind w:left="0" w:right="0"/>
              <w:jc w:val="center"/>
              <w:textAlignment w:val="auto"/>
              <w:rPr>
                <w:rFonts w:ascii="Times New Roman" w:hAnsi="Times New Roman" w:cs="Times New Roman"/>
                <w:bCs/>
                <w:color w:val="auto"/>
                <w:sz w:val="21"/>
                <w:szCs w:val="21"/>
                <w:highlight w:val="none"/>
              </w:rPr>
            </w:pPr>
          </w:p>
        </w:tc>
        <w:tc>
          <w:tcPr>
            <w:tcW w:w="599" w:type="pct"/>
            <w:vMerge w:val="continue"/>
            <w:vAlign w:val="center"/>
          </w:tcPr>
          <w:p w14:paraId="5ACEC533">
            <w:pPr>
              <w:keepNext w:val="0"/>
              <w:keepLines w:val="0"/>
              <w:pageBreakBefore w:val="0"/>
              <w:widowControl/>
              <w:kinsoku/>
              <w:wordWrap/>
              <w:overflowPunct/>
              <w:topLinePunct w:val="0"/>
              <w:autoSpaceDE/>
              <w:autoSpaceDN/>
              <w:bidi w:val="0"/>
              <w:adjustRightInd/>
              <w:ind w:left="0" w:right="0"/>
              <w:jc w:val="center"/>
              <w:textAlignment w:val="auto"/>
              <w:rPr>
                <w:rFonts w:ascii="Times New Roman" w:hAnsi="Times New Roman" w:cs="Times New Roman"/>
                <w:bCs/>
                <w:color w:val="auto"/>
                <w:sz w:val="21"/>
                <w:szCs w:val="21"/>
                <w:highlight w:val="none"/>
              </w:rPr>
            </w:pPr>
          </w:p>
        </w:tc>
        <w:tc>
          <w:tcPr>
            <w:tcW w:w="388" w:type="pct"/>
            <w:vAlign w:val="center"/>
          </w:tcPr>
          <w:p w14:paraId="0ABA806E">
            <w:pPr>
              <w:keepNext w:val="0"/>
              <w:keepLines w:val="0"/>
              <w:pageBreakBefore w:val="0"/>
              <w:widowControl/>
              <w:kinsoku/>
              <w:wordWrap/>
              <w:overflowPunct/>
              <w:topLinePunct w:val="0"/>
              <w:autoSpaceDE/>
              <w:autoSpaceDN/>
              <w:bidi w:val="0"/>
              <w:adjustRightInd/>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3</w:t>
            </w:r>
          </w:p>
        </w:tc>
        <w:tc>
          <w:tcPr>
            <w:tcW w:w="784" w:type="pct"/>
            <w:vAlign w:val="center"/>
          </w:tcPr>
          <w:p w14:paraId="6C176116">
            <w:pPr>
              <w:keepNext w:val="0"/>
              <w:keepLines w:val="0"/>
              <w:pageBreakBefore w:val="0"/>
              <w:widowControl/>
              <w:kinsoku/>
              <w:wordWrap/>
              <w:overflowPunct/>
              <w:topLinePunct w:val="0"/>
              <w:autoSpaceDE/>
              <w:autoSpaceDN/>
              <w:bidi w:val="0"/>
              <w:adjustRightInd/>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1.74</w:t>
            </w:r>
          </w:p>
        </w:tc>
        <w:tc>
          <w:tcPr>
            <w:tcW w:w="837" w:type="pct"/>
            <w:vAlign w:val="center"/>
          </w:tcPr>
          <w:p w14:paraId="58D5B3DD">
            <w:pPr>
              <w:keepNext w:val="0"/>
              <w:keepLines w:val="0"/>
              <w:pageBreakBefore w:val="0"/>
              <w:widowControl/>
              <w:kinsoku/>
              <w:wordWrap/>
              <w:overflowPunct/>
              <w:topLinePunct w:val="0"/>
              <w:autoSpaceDE/>
              <w:autoSpaceDN/>
              <w:bidi w:val="0"/>
              <w:adjustRightInd/>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0.00264</w:t>
            </w:r>
          </w:p>
        </w:tc>
      </w:tr>
      <w:tr w14:paraId="2A87CE4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589" w:type="pct"/>
            <w:vMerge w:val="restart"/>
            <w:vAlign w:val="center"/>
          </w:tcPr>
          <w:p w14:paraId="156861A5">
            <w:pPr>
              <w:keepNext w:val="0"/>
              <w:keepLines w:val="0"/>
              <w:pageBreakBefore w:val="0"/>
              <w:widowControl/>
              <w:kinsoku/>
              <w:wordWrap/>
              <w:overflowPunct/>
              <w:topLinePunct w:val="0"/>
              <w:autoSpaceDE/>
              <w:autoSpaceDN/>
              <w:bidi w:val="0"/>
              <w:adjustRightInd/>
              <w:ind w:left="0" w:right="0"/>
              <w:jc w:val="center"/>
              <w:textAlignment w:val="auto"/>
              <w:rPr>
                <w:rFonts w:ascii="Times New Roman" w:hAnsi="Times New Roman" w:cs="Times New Roman"/>
                <w:snapToGrid w:val="0"/>
                <w:color w:val="auto"/>
                <w:sz w:val="21"/>
                <w:szCs w:val="21"/>
                <w:highlight w:val="none"/>
              </w:rPr>
            </w:pPr>
            <w:r>
              <w:rPr>
                <w:rFonts w:ascii="Times New Roman" w:hAnsi="Times New Roman" w:cs="Times New Roman"/>
                <w:snapToGrid w:val="0"/>
                <w:color w:val="auto"/>
                <w:sz w:val="21"/>
                <w:szCs w:val="21"/>
                <w:highlight w:val="none"/>
              </w:rPr>
              <w:t>DA00</w:t>
            </w:r>
            <w:r>
              <w:rPr>
                <w:rFonts w:hint="eastAsia" w:ascii="Times New Roman" w:hAnsi="Times New Roman" w:cs="Times New Roman"/>
                <w:snapToGrid w:val="0"/>
                <w:color w:val="auto"/>
                <w:sz w:val="21"/>
                <w:szCs w:val="21"/>
                <w:highlight w:val="none"/>
              </w:rPr>
              <w:t>4</w:t>
            </w:r>
          </w:p>
        </w:tc>
        <w:tc>
          <w:tcPr>
            <w:tcW w:w="387" w:type="pct"/>
            <w:vMerge w:val="restart"/>
            <w:vAlign w:val="center"/>
          </w:tcPr>
          <w:p w14:paraId="3C934141">
            <w:pPr>
              <w:keepNext w:val="0"/>
              <w:keepLines w:val="0"/>
              <w:pageBreakBefore w:val="0"/>
              <w:widowControl/>
              <w:kinsoku/>
              <w:wordWrap/>
              <w:overflowPunct/>
              <w:topLinePunct w:val="0"/>
              <w:autoSpaceDE/>
              <w:autoSpaceDN/>
              <w:bidi w:val="0"/>
              <w:adjustRightInd/>
              <w:ind w:left="0" w:right="0"/>
              <w:jc w:val="center"/>
              <w:textAlignment w:val="auto"/>
              <w:rPr>
                <w:rFonts w:ascii="Times New Roman" w:hAnsi="Times New Roman" w:cs="Times New Roman"/>
                <w:bCs/>
                <w:color w:val="auto"/>
                <w:sz w:val="21"/>
                <w:szCs w:val="21"/>
                <w:highlight w:val="none"/>
              </w:rPr>
            </w:pPr>
            <w:r>
              <w:rPr>
                <w:rFonts w:hint="eastAsia" w:ascii="Times New Roman" w:hAnsi="Times New Roman" w:cs="Times New Roman"/>
                <w:bCs/>
                <w:color w:val="auto"/>
                <w:sz w:val="21"/>
                <w:szCs w:val="21"/>
                <w:highlight w:val="none"/>
              </w:rPr>
              <w:t>5000</w:t>
            </w:r>
          </w:p>
        </w:tc>
        <w:tc>
          <w:tcPr>
            <w:tcW w:w="478" w:type="pct"/>
            <w:vMerge w:val="restart"/>
            <w:vAlign w:val="center"/>
          </w:tcPr>
          <w:p w14:paraId="6C47DF32">
            <w:pPr>
              <w:keepNext w:val="0"/>
              <w:keepLines w:val="0"/>
              <w:pageBreakBefore w:val="0"/>
              <w:widowControl/>
              <w:kinsoku/>
              <w:wordWrap/>
              <w:overflowPunct/>
              <w:topLinePunct w:val="0"/>
              <w:autoSpaceDE/>
              <w:autoSpaceDN/>
              <w:bidi w:val="0"/>
              <w:adjustRightInd/>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非甲烷总烃</w:t>
            </w:r>
          </w:p>
        </w:tc>
        <w:tc>
          <w:tcPr>
            <w:tcW w:w="934" w:type="pct"/>
            <w:vMerge w:val="restart"/>
            <w:vAlign w:val="center"/>
          </w:tcPr>
          <w:p w14:paraId="2C92344E">
            <w:pPr>
              <w:keepNext w:val="0"/>
              <w:keepLines w:val="0"/>
              <w:pageBreakBefore w:val="0"/>
              <w:widowControl/>
              <w:kinsoku/>
              <w:wordWrap/>
              <w:overflowPunct/>
              <w:topLinePunct w:val="0"/>
              <w:autoSpaceDE/>
              <w:autoSpaceDN/>
              <w:bidi w:val="0"/>
              <w:adjustRightInd/>
              <w:ind w:left="0" w:right="0"/>
              <w:jc w:val="center"/>
              <w:textAlignment w:val="auto"/>
              <w:rPr>
                <w:rFonts w:ascii="Times New Roman" w:hAnsi="Times New Roman" w:cs="Times New Roman"/>
                <w:bCs/>
                <w:color w:val="auto"/>
                <w:sz w:val="21"/>
                <w:szCs w:val="21"/>
                <w:highlight w:val="none"/>
              </w:rPr>
            </w:pPr>
            <w:r>
              <w:rPr>
                <w:rFonts w:hint="eastAsia" w:ascii="Times New Roman" w:hAnsi="Times New Roman"/>
                <w:color w:val="auto"/>
                <w:sz w:val="21"/>
                <w:szCs w:val="21"/>
                <w:highlight w:val="none"/>
              </w:rPr>
              <w:t>冷凝+3级碱液喷淋+活性炭吸附</w:t>
            </w:r>
          </w:p>
        </w:tc>
        <w:tc>
          <w:tcPr>
            <w:tcW w:w="599" w:type="pct"/>
            <w:vMerge w:val="restart"/>
            <w:vAlign w:val="center"/>
          </w:tcPr>
          <w:p w14:paraId="48833366">
            <w:pPr>
              <w:keepNext w:val="0"/>
              <w:keepLines w:val="0"/>
              <w:pageBreakBefore w:val="0"/>
              <w:widowControl/>
              <w:kinsoku/>
              <w:wordWrap/>
              <w:overflowPunct/>
              <w:topLinePunct w:val="0"/>
              <w:autoSpaceDE/>
              <w:autoSpaceDN/>
              <w:bidi w:val="0"/>
              <w:adjustRightInd/>
              <w:ind w:left="0" w:right="0"/>
              <w:jc w:val="center"/>
              <w:textAlignment w:val="auto"/>
              <w:rPr>
                <w:rFonts w:ascii="Times New Roman" w:hAnsi="Times New Roman"/>
                <w:color w:val="auto"/>
                <w:sz w:val="21"/>
                <w:szCs w:val="21"/>
                <w:highlight w:val="none"/>
              </w:rPr>
            </w:pPr>
            <w:r>
              <w:rPr>
                <w:rFonts w:hint="eastAsia" w:ascii="Times New Roman" w:hAnsi="Times New Roman"/>
                <w:color w:val="auto"/>
                <w:sz w:val="21"/>
                <w:szCs w:val="21"/>
                <w:highlight w:val="none"/>
              </w:rPr>
              <w:t>2023.3.20</w:t>
            </w:r>
          </w:p>
        </w:tc>
        <w:tc>
          <w:tcPr>
            <w:tcW w:w="388" w:type="pct"/>
            <w:vAlign w:val="center"/>
          </w:tcPr>
          <w:p w14:paraId="21C991B2">
            <w:pPr>
              <w:keepNext w:val="0"/>
              <w:keepLines w:val="0"/>
              <w:pageBreakBefore w:val="0"/>
              <w:widowControl/>
              <w:kinsoku/>
              <w:wordWrap/>
              <w:overflowPunct/>
              <w:topLinePunct w:val="0"/>
              <w:autoSpaceDE/>
              <w:autoSpaceDN/>
              <w:bidi w:val="0"/>
              <w:adjustRightInd/>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1</w:t>
            </w:r>
          </w:p>
        </w:tc>
        <w:tc>
          <w:tcPr>
            <w:tcW w:w="784" w:type="pct"/>
            <w:vAlign w:val="center"/>
          </w:tcPr>
          <w:p w14:paraId="31AF20C2">
            <w:pPr>
              <w:keepNext w:val="0"/>
              <w:keepLines w:val="0"/>
              <w:pageBreakBefore w:val="0"/>
              <w:widowControl/>
              <w:kinsoku/>
              <w:wordWrap/>
              <w:overflowPunct/>
              <w:topLinePunct w:val="0"/>
              <w:autoSpaceDE/>
              <w:autoSpaceDN/>
              <w:bidi w:val="0"/>
              <w:adjustRightInd/>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2.38</w:t>
            </w:r>
          </w:p>
        </w:tc>
        <w:tc>
          <w:tcPr>
            <w:tcW w:w="837" w:type="pct"/>
            <w:vAlign w:val="center"/>
          </w:tcPr>
          <w:p w14:paraId="0135A22E">
            <w:pPr>
              <w:keepNext w:val="0"/>
              <w:keepLines w:val="0"/>
              <w:pageBreakBefore w:val="0"/>
              <w:widowControl/>
              <w:kinsoku/>
              <w:wordWrap/>
              <w:overflowPunct/>
              <w:topLinePunct w:val="0"/>
              <w:autoSpaceDE/>
              <w:autoSpaceDN/>
              <w:bidi w:val="0"/>
              <w:adjustRightInd/>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0.00578</w:t>
            </w:r>
          </w:p>
        </w:tc>
      </w:tr>
      <w:tr w14:paraId="3C24B7A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589" w:type="pct"/>
            <w:vMerge w:val="continue"/>
            <w:vAlign w:val="center"/>
          </w:tcPr>
          <w:p w14:paraId="62CE3407">
            <w:pPr>
              <w:keepNext w:val="0"/>
              <w:keepLines w:val="0"/>
              <w:pageBreakBefore w:val="0"/>
              <w:widowControl/>
              <w:kinsoku/>
              <w:wordWrap/>
              <w:overflowPunct/>
              <w:topLinePunct w:val="0"/>
              <w:autoSpaceDE/>
              <w:autoSpaceDN/>
              <w:bidi w:val="0"/>
              <w:adjustRightInd/>
              <w:ind w:left="0" w:right="0"/>
              <w:jc w:val="center"/>
              <w:textAlignment w:val="auto"/>
              <w:rPr>
                <w:rFonts w:ascii="Times New Roman" w:hAnsi="Times New Roman" w:cs="Times New Roman"/>
                <w:snapToGrid w:val="0"/>
                <w:color w:val="auto"/>
                <w:sz w:val="21"/>
                <w:szCs w:val="21"/>
                <w:highlight w:val="none"/>
              </w:rPr>
            </w:pPr>
          </w:p>
        </w:tc>
        <w:tc>
          <w:tcPr>
            <w:tcW w:w="387" w:type="pct"/>
            <w:vMerge w:val="continue"/>
            <w:vAlign w:val="center"/>
          </w:tcPr>
          <w:p w14:paraId="5DF60C02">
            <w:pPr>
              <w:keepNext w:val="0"/>
              <w:keepLines w:val="0"/>
              <w:pageBreakBefore w:val="0"/>
              <w:widowControl/>
              <w:kinsoku/>
              <w:wordWrap/>
              <w:overflowPunct/>
              <w:topLinePunct w:val="0"/>
              <w:autoSpaceDE/>
              <w:autoSpaceDN/>
              <w:bidi w:val="0"/>
              <w:adjustRightInd/>
              <w:ind w:left="0" w:right="0"/>
              <w:jc w:val="center"/>
              <w:textAlignment w:val="auto"/>
              <w:rPr>
                <w:rFonts w:ascii="Times New Roman" w:hAnsi="Times New Roman" w:cs="Times New Roman"/>
                <w:bCs/>
                <w:color w:val="auto"/>
                <w:sz w:val="21"/>
                <w:szCs w:val="21"/>
                <w:highlight w:val="none"/>
              </w:rPr>
            </w:pPr>
          </w:p>
        </w:tc>
        <w:tc>
          <w:tcPr>
            <w:tcW w:w="478" w:type="pct"/>
            <w:vMerge w:val="continue"/>
            <w:vAlign w:val="center"/>
          </w:tcPr>
          <w:p w14:paraId="49A65314">
            <w:pPr>
              <w:keepNext w:val="0"/>
              <w:keepLines w:val="0"/>
              <w:pageBreakBefore w:val="0"/>
              <w:widowControl/>
              <w:kinsoku/>
              <w:wordWrap/>
              <w:overflowPunct/>
              <w:topLinePunct w:val="0"/>
              <w:autoSpaceDE/>
              <w:autoSpaceDN/>
              <w:bidi w:val="0"/>
              <w:adjustRightInd/>
              <w:ind w:left="0" w:right="0"/>
              <w:jc w:val="center"/>
              <w:textAlignment w:val="auto"/>
              <w:rPr>
                <w:rFonts w:ascii="Times New Roman" w:hAnsi="Times New Roman" w:cs="Times New Roman"/>
                <w:color w:val="auto"/>
                <w:sz w:val="21"/>
                <w:szCs w:val="21"/>
                <w:highlight w:val="none"/>
              </w:rPr>
            </w:pPr>
          </w:p>
        </w:tc>
        <w:tc>
          <w:tcPr>
            <w:tcW w:w="934" w:type="pct"/>
            <w:vMerge w:val="continue"/>
            <w:vAlign w:val="center"/>
          </w:tcPr>
          <w:p w14:paraId="777A24FD">
            <w:pPr>
              <w:keepNext w:val="0"/>
              <w:keepLines w:val="0"/>
              <w:pageBreakBefore w:val="0"/>
              <w:widowControl/>
              <w:kinsoku/>
              <w:wordWrap/>
              <w:overflowPunct/>
              <w:topLinePunct w:val="0"/>
              <w:autoSpaceDE/>
              <w:autoSpaceDN/>
              <w:bidi w:val="0"/>
              <w:adjustRightInd/>
              <w:ind w:left="0" w:right="0"/>
              <w:jc w:val="center"/>
              <w:textAlignment w:val="auto"/>
              <w:rPr>
                <w:rFonts w:ascii="Times New Roman" w:hAnsi="Times New Roman"/>
                <w:color w:val="auto"/>
                <w:sz w:val="21"/>
                <w:szCs w:val="21"/>
                <w:highlight w:val="none"/>
              </w:rPr>
            </w:pPr>
          </w:p>
        </w:tc>
        <w:tc>
          <w:tcPr>
            <w:tcW w:w="599" w:type="pct"/>
            <w:vMerge w:val="continue"/>
            <w:vAlign w:val="center"/>
          </w:tcPr>
          <w:p w14:paraId="776EE755">
            <w:pPr>
              <w:keepNext w:val="0"/>
              <w:keepLines w:val="0"/>
              <w:pageBreakBefore w:val="0"/>
              <w:widowControl/>
              <w:kinsoku/>
              <w:wordWrap/>
              <w:overflowPunct/>
              <w:topLinePunct w:val="0"/>
              <w:autoSpaceDE/>
              <w:autoSpaceDN/>
              <w:bidi w:val="0"/>
              <w:adjustRightInd/>
              <w:ind w:left="0" w:right="0"/>
              <w:jc w:val="center"/>
              <w:textAlignment w:val="auto"/>
              <w:rPr>
                <w:rFonts w:ascii="Times New Roman" w:hAnsi="Times New Roman"/>
                <w:color w:val="auto"/>
                <w:sz w:val="21"/>
                <w:szCs w:val="21"/>
                <w:highlight w:val="none"/>
              </w:rPr>
            </w:pPr>
          </w:p>
        </w:tc>
        <w:tc>
          <w:tcPr>
            <w:tcW w:w="388" w:type="pct"/>
            <w:vAlign w:val="center"/>
          </w:tcPr>
          <w:p w14:paraId="758335D0">
            <w:pPr>
              <w:keepNext w:val="0"/>
              <w:keepLines w:val="0"/>
              <w:pageBreakBefore w:val="0"/>
              <w:widowControl/>
              <w:kinsoku/>
              <w:wordWrap/>
              <w:overflowPunct/>
              <w:topLinePunct w:val="0"/>
              <w:autoSpaceDE/>
              <w:autoSpaceDN/>
              <w:bidi w:val="0"/>
              <w:adjustRightInd/>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2</w:t>
            </w:r>
          </w:p>
        </w:tc>
        <w:tc>
          <w:tcPr>
            <w:tcW w:w="784" w:type="pct"/>
            <w:vAlign w:val="center"/>
          </w:tcPr>
          <w:p w14:paraId="7358C50E">
            <w:pPr>
              <w:keepNext w:val="0"/>
              <w:keepLines w:val="0"/>
              <w:pageBreakBefore w:val="0"/>
              <w:widowControl/>
              <w:kinsoku/>
              <w:wordWrap/>
              <w:overflowPunct/>
              <w:topLinePunct w:val="0"/>
              <w:autoSpaceDE/>
              <w:autoSpaceDN/>
              <w:bidi w:val="0"/>
              <w:adjustRightInd/>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2.09</w:t>
            </w:r>
          </w:p>
        </w:tc>
        <w:tc>
          <w:tcPr>
            <w:tcW w:w="837" w:type="pct"/>
            <w:vAlign w:val="center"/>
          </w:tcPr>
          <w:p w14:paraId="1FFEEF7E">
            <w:pPr>
              <w:keepNext w:val="0"/>
              <w:keepLines w:val="0"/>
              <w:pageBreakBefore w:val="0"/>
              <w:widowControl/>
              <w:kinsoku/>
              <w:wordWrap/>
              <w:overflowPunct/>
              <w:topLinePunct w:val="0"/>
              <w:autoSpaceDE/>
              <w:autoSpaceDN/>
              <w:bidi w:val="0"/>
              <w:adjustRightInd/>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0.00484</w:t>
            </w:r>
          </w:p>
        </w:tc>
      </w:tr>
      <w:tr w14:paraId="75D99AF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589" w:type="pct"/>
            <w:vMerge w:val="continue"/>
            <w:vAlign w:val="center"/>
          </w:tcPr>
          <w:p w14:paraId="3429E458">
            <w:pPr>
              <w:keepNext w:val="0"/>
              <w:keepLines w:val="0"/>
              <w:pageBreakBefore w:val="0"/>
              <w:widowControl/>
              <w:kinsoku/>
              <w:wordWrap/>
              <w:overflowPunct/>
              <w:topLinePunct w:val="0"/>
              <w:autoSpaceDE/>
              <w:autoSpaceDN/>
              <w:bidi w:val="0"/>
              <w:adjustRightInd/>
              <w:ind w:left="0" w:right="0"/>
              <w:jc w:val="center"/>
              <w:textAlignment w:val="auto"/>
              <w:rPr>
                <w:rFonts w:ascii="Times New Roman" w:hAnsi="Times New Roman" w:cs="Times New Roman"/>
                <w:snapToGrid w:val="0"/>
                <w:color w:val="auto"/>
                <w:sz w:val="21"/>
                <w:szCs w:val="21"/>
                <w:highlight w:val="none"/>
              </w:rPr>
            </w:pPr>
          </w:p>
        </w:tc>
        <w:tc>
          <w:tcPr>
            <w:tcW w:w="387" w:type="pct"/>
            <w:vMerge w:val="continue"/>
            <w:vAlign w:val="center"/>
          </w:tcPr>
          <w:p w14:paraId="643DD89E">
            <w:pPr>
              <w:keepNext w:val="0"/>
              <w:keepLines w:val="0"/>
              <w:pageBreakBefore w:val="0"/>
              <w:widowControl/>
              <w:kinsoku/>
              <w:wordWrap/>
              <w:overflowPunct/>
              <w:topLinePunct w:val="0"/>
              <w:autoSpaceDE/>
              <w:autoSpaceDN/>
              <w:bidi w:val="0"/>
              <w:adjustRightInd/>
              <w:ind w:left="0" w:right="0"/>
              <w:jc w:val="center"/>
              <w:textAlignment w:val="auto"/>
              <w:rPr>
                <w:rFonts w:ascii="Times New Roman" w:hAnsi="Times New Roman" w:cs="Times New Roman"/>
                <w:bCs/>
                <w:color w:val="auto"/>
                <w:sz w:val="21"/>
                <w:szCs w:val="21"/>
                <w:highlight w:val="none"/>
              </w:rPr>
            </w:pPr>
          </w:p>
        </w:tc>
        <w:tc>
          <w:tcPr>
            <w:tcW w:w="478" w:type="pct"/>
            <w:vMerge w:val="continue"/>
            <w:vAlign w:val="center"/>
          </w:tcPr>
          <w:p w14:paraId="2080713B">
            <w:pPr>
              <w:keepNext w:val="0"/>
              <w:keepLines w:val="0"/>
              <w:pageBreakBefore w:val="0"/>
              <w:widowControl/>
              <w:kinsoku/>
              <w:wordWrap/>
              <w:overflowPunct/>
              <w:topLinePunct w:val="0"/>
              <w:autoSpaceDE/>
              <w:autoSpaceDN/>
              <w:bidi w:val="0"/>
              <w:adjustRightInd/>
              <w:ind w:left="0" w:right="0"/>
              <w:jc w:val="center"/>
              <w:textAlignment w:val="auto"/>
              <w:rPr>
                <w:rFonts w:ascii="Times New Roman" w:hAnsi="Times New Roman" w:cs="Times New Roman"/>
                <w:color w:val="auto"/>
                <w:sz w:val="21"/>
                <w:szCs w:val="21"/>
                <w:highlight w:val="none"/>
              </w:rPr>
            </w:pPr>
          </w:p>
        </w:tc>
        <w:tc>
          <w:tcPr>
            <w:tcW w:w="934" w:type="pct"/>
            <w:vMerge w:val="continue"/>
            <w:vAlign w:val="center"/>
          </w:tcPr>
          <w:p w14:paraId="6F575841">
            <w:pPr>
              <w:keepNext w:val="0"/>
              <w:keepLines w:val="0"/>
              <w:pageBreakBefore w:val="0"/>
              <w:widowControl/>
              <w:kinsoku/>
              <w:wordWrap/>
              <w:overflowPunct/>
              <w:topLinePunct w:val="0"/>
              <w:autoSpaceDE/>
              <w:autoSpaceDN/>
              <w:bidi w:val="0"/>
              <w:adjustRightInd/>
              <w:ind w:left="0" w:right="0"/>
              <w:jc w:val="center"/>
              <w:textAlignment w:val="auto"/>
              <w:rPr>
                <w:rFonts w:ascii="Times New Roman" w:hAnsi="Times New Roman"/>
                <w:color w:val="auto"/>
                <w:sz w:val="21"/>
                <w:szCs w:val="21"/>
                <w:highlight w:val="none"/>
              </w:rPr>
            </w:pPr>
          </w:p>
        </w:tc>
        <w:tc>
          <w:tcPr>
            <w:tcW w:w="599" w:type="pct"/>
            <w:vMerge w:val="continue"/>
            <w:vAlign w:val="center"/>
          </w:tcPr>
          <w:p w14:paraId="7223386C">
            <w:pPr>
              <w:keepNext w:val="0"/>
              <w:keepLines w:val="0"/>
              <w:pageBreakBefore w:val="0"/>
              <w:widowControl/>
              <w:kinsoku/>
              <w:wordWrap/>
              <w:overflowPunct/>
              <w:topLinePunct w:val="0"/>
              <w:autoSpaceDE/>
              <w:autoSpaceDN/>
              <w:bidi w:val="0"/>
              <w:adjustRightInd/>
              <w:ind w:left="0" w:right="0"/>
              <w:jc w:val="center"/>
              <w:textAlignment w:val="auto"/>
              <w:rPr>
                <w:rFonts w:ascii="Times New Roman" w:hAnsi="Times New Roman"/>
                <w:color w:val="auto"/>
                <w:sz w:val="21"/>
                <w:szCs w:val="21"/>
                <w:highlight w:val="none"/>
              </w:rPr>
            </w:pPr>
          </w:p>
        </w:tc>
        <w:tc>
          <w:tcPr>
            <w:tcW w:w="388" w:type="pct"/>
            <w:vAlign w:val="center"/>
          </w:tcPr>
          <w:p w14:paraId="5F891766">
            <w:pPr>
              <w:keepNext w:val="0"/>
              <w:keepLines w:val="0"/>
              <w:pageBreakBefore w:val="0"/>
              <w:widowControl/>
              <w:kinsoku/>
              <w:wordWrap/>
              <w:overflowPunct/>
              <w:topLinePunct w:val="0"/>
              <w:autoSpaceDE/>
              <w:autoSpaceDN/>
              <w:bidi w:val="0"/>
              <w:adjustRightInd/>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3</w:t>
            </w:r>
          </w:p>
        </w:tc>
        <w:tc>
          <w:tcPr>
            <w:tcW w:w="784" w:type="pct"/>
            <w:vAlign w:val="center"/>
          </w:tcPr>
          <w:p w14:paraId="255FB9D2">
            <w:pPr>
              <w:keepNext w:val="0"/>
              <w:keepLines w:val="0"/>
              <w:pageBreakBefore w:val="0"/>
              <w:widowControl/>
              <w:kinsoku/>
              <w:wordWrap/>
              <w:overflowPunct/>
              <w:topLinePunct w:val="0"/>
              <w:autoSpaceDE/>
              <w:autoSpaceDN/>
              <w:bidi w:val="0"/>
              <w:adjustRightInd/>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2.34</w:t>
            </w:r>
          </w:p>
        </w:tc>
        <w:tc>
          <w:tcPr>
            <w:tcW w:w="837" w:type="pct"/>
            <w:vAlign w:val="center"/>
          </w:tcPr>
          <w:p w14:paraId="1F7F8536">
            <w:pPr>
              <w:keepNext w:val="0"/>
              <w:keepLines w:val="0"/>
              <w:pageBreakBefore w:val="0"/>
              <w:widowControl/>
              <w:kinsoku/>
              <w:wordWrap/>
              <w:overflowPunct/>
              <w:topLinePunct w:val="0"/>
              <w:autoSpaceDE/>
              <w:autoSpaceDN/>
              <w:bidi w:val="0"/>
              <w:adjustRightInd/>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0.00548</w:t>
            </w:r>
          </w:p>
        </w:tc>
      </w:tr>
      <w:tr w14:paraId="625C9DD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589" w:type="pct"/>
            <w:vMerge w:val="continue"/>
            <w:vAlign w:val="center"/>
          </w:tcPr>
          <w:p w14:paraId="48BA0A48">
            <w:pPr>
              <w:keepNext w:val="0"/>
              <w:keepLines w:val="0"/>
              <w:pageBreakBefore w:val="0"/>
              <w:widowControl/>
              <w:kinsoku/>
              <w:wordWrap/>
              <w:overflowPunct/>
              <w:topLinePunct w:val="0"/>
              <w:autoSpaceDE/>
              <w:autoSpaceDN/>
              <w:bidi w:val="0"/>
              <w:adjustRightInd/>
              <w:ind w:left="0" w:right="0"/>
              <w:jc w:val="center"/>
              <w:textAlignment w:val="auto"/>
              <w:rPr>
                <w:rFonts w:ascii="Times New Roman" w:hAnsi="Times New Roman" w:cs="Times New Roman"/>
                <w:snapToGrid w:val="0"/>
                <w:color w:val="auto"/>
                <w:sz w:val="21"/>
                <w:szCs w:val="21"/>
                <w:highlight w:val="none"/>
              </w:rPr>
            </w:pPr>
          </w:p>
        </w:tc>
        <w:tc>
          <w:tcPr>
            <w:tcW w:w="387" w:type="pct"/>
            <w:vMerge w:val="continue"/>
            <w:vAlign w:val="center"/>
          </w:tcPr>
          <w:p w14:paraId="125B83DF">
            <w:pPr>
              <w:keepNext w:val="0"/>
              <w:keepLines w:val="0"/>
              <w:pageBreakBefore w:val="0"/>
              <w:widowControl/>
              <w:kinsoku/>
              <w:wordWrap/>
              <w:overflowPunct/>
              <w:topLinePunct w:val="0"/>
              <w:autoSpaceDE/>
              <w:autoSpaceDN/>
              <w:bidi w:val="0"/>
              <w:adjustRightInd/>
              <w:ind w:left="0" w:right="0"/>
              <w:jc w:val="center"/>
              <w:textAlignment w:val="auto"/>
              <w:rPr>
                <w:rFonts w:ascii="Times New Roman" w:hAnsi="Times New Roman" w:cs="Times New Roman"/>
                <w:bCs/>
                <w:color w:val="auto"/>
                <w:sz w:val="21"/>
                <w:szCs w:val="21"/>
                <w:highlight w:val="none"/>
              </w:rPr>
            </w:pPr>
          </w:p>
        </w:tc>
        <w:tc>
          <w:tcPr>
            <w:tcW w:w="478" w:type="pct"/>
            <w:vMerge w:val="continue"/>
            <w:vAlign w:val="center"/>
          </w:tcPr>
          <w:p w14:paraId="0C7AC874">
            <w:pPr>
              <w:keepNext w:val="0"/>
              <w:keepLines w:val="0"/>
              <w:pageBreakBefore w:val="0"/>
              <w:widowControl/>
              <w:kinsoku/>
              <w:wordWrap/>
              <w:overflowPunct/>
              <w:topLinePunct w:val="0"/>
              <w:autoSpaceDE/>
              <w:autoSpaceDN/>
              <w:bidi w:val="0"/>
              <w:adjustRightInd/>
              <w:ind w:left="0" w:right="0"/>
              <w:jc w:val="center"/>
              <w:textAlignment w:val="auto"/>
              <w:rPr>
                <w:rFonts w:ascii="Times New Roman" w:hAnsi="Times New Roman" w:cs="Times New Roman"/>
                <w:color w:val="auto"/>
                <w:sz w:val="21"/>
                <w:szCs w:val="21"/>
                <w:highlight w:val="none"/>
              </w:rPr>
            </w:pPr>
          </w:p>
        </w:tc>
        <w:tc>
          <w:tcPr>
            <w:tcW w:w="934" w:type="pct"/>
            <w:vMerge w:val="continue"/>
            <w:vAlign w:val="center"/>
          </w:tcPr>
          <w:p w14:paraId="330115D0">
            <w:pPr>
              <w:keepNext w:val="0"/>
              <w:keepLines w:val="0"/>
              <w:pageBreakBefore w:val="0"/>
              <w:widowControl/>
              <w:kinsoku/>
              <w:wordWrap/>
              <w:overflowPunct/>
              <w:topLinePunct w:val="0"/>
              <w:autoSpaceDE/>
              <w:autoSpaceDN/>
              <w:bidi w:val="0"/>
              <w:adjustRightInd/>
              <w:ind w:left="0" w:right="0"/>
              <w:jc w:val="center"/>
              <w:textAlignment w:val="auto"/>
              <w:rPr>
                <w:rFonts w:ascii="Times New Roman" w:hAnsi="Times New Roman"/>
                <w:color w:val="auto"/>
                <w:sz w:val="21"/>
                <w:szCs w:val="21"/>
                <w:highlight w:val="none"/>
              </w:rPr>
            </w:pPr>
          </w:p>
        </w:tc>
        <w:tc>
          <w:tcPr>
            <w:tcW w:w="599" w:type="pct"/>
            <w:vMerge w:val="restart"/>
            <w:vAlign w:val="center"/>
          </w:tcPr>
          <w:p w14:paraId="5F388390">
            <w:pPr>
              <w:keepNext w:val="0"/>
              <w:keepLines w:val="0"/>
              <w:pageBreakBefore w:val="0"/>
              <w:widowControl/>
              <w:kinsoku/>
              <w:wordWrap/>
              <w:overflowPunct/>
              <w:topLinePunct w:val="0"/>
              <w:autoSpaceDE/>
              <w:autoSpaceDN/>
              <w:bidi w:val="0"/>
              <w:adjustRightInd/>
              <w:ind w:left="0" w:right="0"/>
              <w:jc w:val="center"/>
              <w:textAlignment w:val="auto"/>
              <w:rPr>
                <w:rFonts w:ascii="Times New Roman" w:hAnsi="Times New Roman"/>
                <w:color w:val="auto"/>
                <w:sz w:val="21"/>
                <w:szCs w:val="21"/>
                <w:highlight w:val="none"/>
              </w:rPr>
            </w:pPr>
            <w:r>
              <w:rPr>
                <w:rFonts w:hint="eastAsia" w:ascii="Times New Roman" w:hAnsi="Times New Roman" w:cs="Times New Roman"/>
                <w:bCs/>
                <w:color w:val="auto"/>
                <w:sz w:val="21"/>
                <w:szCs w:val="21"/>
                <w:highlight w:val="none"/>
              </w:rPr>
              <w:t>2023.3.21</w:t>
            </w:r>
          </w:p>
        </w:tc>
        <w:tc>
          <w:tcPr>
            <w:tcW w:w="388" w:type="pct"/>
            <w:vAlign w:val="center"/>
          </w:tcPr>
          <w:p w14:paraId="6A07E323">
            <w:pPr>
              <w:keepNext w:val="0"/>
              <w:keepLines w:val="0"/>
              <w:pageBreakBefore w:val="0"/>
              <w:widowControl/>
              <w:kinsoku/>
              <w:wordWrap/>
              <w:overflowPunct/>
              <w:topLinePunct w:val="0"/>
              <w:autoSpaceDE/>
              <w:autoSpaceDN/>
              <w:bidi w:val="0"/>
              <w:adjustRightInd/>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1</w:t>
            </w:r>
          </w:p>
        </w:tc>
        <w:tc>
          <w:tcPr>
            <w:tcW w:w="784" w:type="pct"/>
            <w:vAlign w:val="center"/>
          </w:tcPr>
          <w:p w14:paraId="096A5D52">
            <w:pPr>
              <w:keepNext w:val="0"/>
              <w:keepLines w:val="0"/>
              <w:pageBreakBefore w:val="0"/>
              <w:widowControl/>
              <w:kinsoku/>
              <w:wordWrap/>
              <w:overflowPunct/>
              <w:topLinePunct w:val="0"/>
              <w:autoSpaceDE/>
              <w:autoSpaceDN/>
              <w:bidi w:val="0"/>
              <w:adjustRightInd/>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2.27</w:t>
            </w:r>
          </w:p>
        </w:tc>
        <w:tc>
          <w:tcPr>
            <w:tcW w:w="837" w:type="pct"/>
            <w:vAlign w:val="center"/>
          </w:tcPr>
          <w:p w14:paraId="2C76B98F">
            <w:pPr>
              <w:keepNext w:val="0"/>
              <w:keepLines w:val="0"/>
              <w:pageBreakBefore w:val="0"/>
              <w:widowControl/>
              <w:kinsoku/>
              <w:wordWrap/>
              <w:overflowPunct/>
              <w:topLinePunct w:val="0"/>
              <w:autoSpaceDE/>
              <w:autoSpaceDN/>
              <w:bidi w:val="0"/>
              <w:adjustRightInd/>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0.00617</w:t>
            </w:r>
          </w:p>
        </w:tc>
      </w:tr>
      <w:tr w14:paraId="4E6AE1A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589" w:type="pct"/>
            <w:vMerge w:val="continue"/>
            <w:vAlign w:val="center"/>
          </w:tcPr>
          <w:p w14:paraId="71F708CD">
            <w:pPr>
              <w:keepNext w:val="0"/>
              <w:keepLines w:val="0"/>
              <w:pageBreakBefore w:val="0"/>
              <w:widowControl/>
              <w:kinsoku/>
              <w:wordWrap/>
              <w:overflowPunct/>
              <w:topLinePunct w:val="0"/>
              <w:autoSpaceDE/>
              <w:autoSpaceDN/>
              <w:bidi w:val="0"/>
              <w:adjustRightInd/>
              <w:ind w:left="0" w:right="0"/>
              <w:jc w:val="center"/>
              <w:textAlignment w:val="auto"/>
              <w:rPr>
                <w:rFonts w:ascii="Times New Roman" w:hAnsi="Times New Roman" w:cs="Times New Roman"/>
                <w:snapToGrid w:val="0"/>
                <w:color w:val="auto"/>
                <w:sz w:val="21"/>
                <w:szCs w:val="21"/>
                <w:highlight w:val="none"/>
              </w:rPr>
            </w:pPr>
          </w:p>
        </w:tc>
        <w:tc>
          <w:tcPr>
            <w:tcW w:w="387" w:type="pct"/>
            <w:vMerge w:val="continue"/>
            <w:vAlign w:val="center"/>
          </w:tcPr>
          <w:p w14:paraId="6B103F4C">
            <w:pPr>
              <w:keepNext w:val="0"/>
              <w:keepLines w:val="0"/>
              <w:pageBreakBefore w:val="0"/>
              <w:widowControl/>
              <w:kinsoku/>
              <w:wordWrap/>
              <w:overflowPunct/>
              <w:topLinePunct w:val="0"/>
              <w:autoSpaceDE/>
              <w:autoSpaceDN/>
              <w:bidi w:val="0"/>
              <w:adjustRightInd/>
              <w:ind w:left="0" w:right="0"/>
              <w:jc w:val="center"/>
              <w:textAlignment w:val="auto"/>
              <w:rPr>
                <w:rFonts w:ascii="Times New Roman" w:hAnsi="Times New Roman" w:cs="Times New Roman"/>
                <w:bCs/>
                <w:color w:val="auto"/>
                <w:sz w:val="21"/>
                <w:szCs w:val="21"/>
                <w:highlight w:val="none"/>
              </w:rPr>
            </w:pPr>
          </w:p>
        </w:tc>
        <w:tc>
          <w:tcPr>
            <w:tcW w:w="478" w:type="pct"/>
            <w:vMerge w:val="continue"/>
            <w:vAlign w:val="center"/>
          </w:tcPr>
          <w:p w14:paraId="33ACFF9A">
            <w:pPr>
              <w:keepNext w:val="0"/>
              <w:keepLines w:val="0"/>
              <w:pageBreakBefore w:val="0"/>
              <w:widowControl/>
              <w:kinsoku/>
              <w:wordWrap/>
              <w:overflowPunct/>
              <w:topLinePunct w:val="0"/>
              <w:autoSpaceDE/>
              <w:autoSpaceDN/>
              <w:bidi w:val="0"/>
              <w:adjustRightInd/>
              <w:ind w:left="0" w:right="0"/>
              <w:jc w:val="center"/>
              <w:textAlignment w:val="auto"/>
              <w:rPr>
                <w:rFonts w:ascii="Times New Roman" w:hAnsi="Times New Roman" w:cs="Times New Roman"/>
                <w:color w:val="auto"/>
                <w:sz w:val="21"/>
                <w:szCs w:val="21"/>
                <w:highlight w:val="none"/>
              </w:rPr>
            </w:pPr>
          </w:p>
        </w:tc>
        <w:tc>
          <w:tcPr>
            <w:tcW w:w="934" w:type="pct"/>
            <w:vMerge w:val="continue"/>
            <w:vAlign w:val="center"/>
          </w:tcPr>
          <w:p w14:paraId="165AECA9">
            <w:pPr>
              <w:keepNext w:val="0"/>
              <w:keepLines w:val="0"/>
              <w:pageBreakBefore w:val="0"/>
              <w:widowControl/>
              <w:kinsoku/>
              <w:wordWrap/>
              <w:overflowPunct/>
              <w:topLinePunct w:val="0"/>
              <w:autoSpaceDE/>
              <w:autoSpaceDN/>
              <w:bidi w:val="0"/>
              <w:adjustRightInd/>
              <w:ind w:left="0" w:right="0"/>
              <w:jc w:val="center"/>
              <w:textAlignment w:val="auto"/>
              <w:rPr>
                <w:rFonts w:ascii="Times New Roman" w:hAnsi="Times New Roman" w:cs="Times New Roman"/>
                <w:bCs/>
                <w:color w:val="auto"/>
                <w:sz w:val="21"/>
                <w:szCs w:val="21"/>
                <w:highlight w:val="none"/>
              </w:rPr>
            </w:pPr>
          </w:p>
        </w:tc>
        <w:tc>
          <w:tcPr>
            <w:tcW w:w="599" w:type="pct"/>
            <w:vMerge w:val="continue"/>
            <w:vAlign w:val="center"/>
          </w:tcPr>
          <w:p w14:paraId="60C713B8">
            <w:pPr>
              <w:keepNext w:val="0"/>
              <w:keepLines w:val="0"/>
              <w:pageBreakBefore w:val="0"/>
              <w:widowControl/>
              <w:kinsoku/>
              <w:wordWrap/>
              <w:overflowPunct/>
              <w:topLinePunct w:val="0"/>
              <w:autoSpaceDE/>
              <w:autoSpaceDN/>
              <w:bidi w:val="0"/>
              <w:adjustRightInd/>
              <w:ind w:left="0" w:right="0"/>
              <w:jc w:val="center"/>
              <w:textAlignment w:val="auto"/>
              <w:rPr>
                <w:rFonts w:ascii="Times New Roman" w:hAnsi="Times New Roman" w:cs="Times New Roman"/>
                <w:bCs/>
                <w:color w:val="auto"/>
                <w:sz w:val="21"/>
                <w:szCs w:val="21"/>
                <w:highlight w:val="none"/>
              </w:rPr>
            </w:pPr>
          </w:p>
        </w:tc>
        <w:tc>
          <w:tcPr>
            <w:tcW w:w="388" w:type="pct"/>
            <w:vAlign w:val="center"/>
          </w:tcPr>
          <w:p w14:paraId="108B1B8D">
            <w:pPr>
              <w:keepNext w:val="0"/>
              <w:keepLines w:val="0"/>
              <w:pageBreakBefore w:val="0"/>
              <w:widowControl/>
              <w:kinsoku/>
              <w:wordWrap/>
              <w:overflowPunct/>
              <w:topLinePunct w:val="0"/>
              <w:autoSpaceDE/>
              <w:autoSpaceDN/>
              <w:bidi w:val="0"/>
              <w:adjustRightInd/>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2</w:t>
            </w:r>
          </w:p>
        </w:tc>
        <w:tc>
          <w:tcPr>
            <w:tcW w:w="784" w:type="pct"/>
            <w:vAlign w:val="center"/>
          </w:tcPr>
          <w:p w14:paraId="2A835FC2">
            <w:pPr>
              <w:keepNext w:val="0"/>
              <w:keepLines w:val="0"/>
              <w:pageBreakBefore w:val="0"/>
              <w:widowControl/>
              <w:kinsoku/>
              <w:wordWrap/>
              <w:overflowPunct/>
              <w:topLinePunct w:val="0"/>
              <w:autoSpaceDE/>
              <w:autoSpaceDN/>
              <w:bidi w:val="0"/>
              <w:adjustRightInd/>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1.97</w:t>
            </w:r>
          </w:p>
        </w:tc>
        <w:tc>
          <w:tcPr>
            <w:tcW w:w="837" w:type="pct"/>
            <w:vAlign w:val="center"/>
          </w:tcPr>
          <w:p w14:paraId="55D30F26">
            <w:pPr>
              <w:keepNext w:val="0"/>
              <w:keepLines w:val="0"/>
              <w:pageBreakBefore w:val="0"/>
              <w:widowControl/>
              <w:kinsoku/>
              <w:wordWrap/>
              <w:overflowPunct/>
              <w:topLinePunct w:val="0"/>
              <w:autoSpaceDE/>
              <w:autoSpaceDN/>
              <w:bidi w:val="0"/>
              <w:adjustRightInd/>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0.00578</w:t>
            </w:r>
          </w:p>
        </w:tc>
      </w:tr>
      <w:tr w14:paraId="398973C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589" w:type="pct"/>
            <w:vMerge w:val="continue"/>
            <w:vAlign w:val="center"/>
          </w:tcPr>
          <w:p w14:paraId="7265B9BA">
            <w:pPr>
              <w:keepNext w:val="0"/>
              <w:keepLines w:val="0"/>
              <w:pageBreakBefore w:val="0"/>
              <w:widowControl/>
              <w:kinsoku/>
              <w:wordWrap/>
              <w:overflowPunct/>
              <w:topLinePunct w:val="0"/>
              <w:autoSpaceDE/>
              <w:autoSpaceDN/>
              <w:bidi w:val="0"/>
              <w:adjustRightInd/>
              <w:ind w:left="0" w:right="0"/>
              <w:jc w:val="center"/>
              <w:textAlignment w:val="auto"/>
              <w:rPr>
                <w:rFonts w:ascii="Times New Roman" w:hAnsi="Times New Roman" w:cs="Times New Roman"/>
                <w:snapToGrid w:val="0"/>
                <w:color w:val="auto"/>
                <w:sz w:val="21"/>
                <w:szCs w:val="21"/>
                <w:highlight w:val="none"/>
              </w:rPr>
            </w:pPr>
          </w:p>
        </w:tc>
        <w:tc>
          <w:tcPr>
            <w:tcW w:w="387" w:type="pct"/>
            <w:vMerge w:val="continue"/>
            <w:vAlign w:val="center"/>
          </w:tcPr>
          <w:p w14:paraId="5DE954BA">
            <w:pPr>
              <w:keepNext w:val="0"/>
              <w:keepLines w:val="0"/>
              <w:pageBreakBefore w:val="0"/>
              <w:widowControl/>
              <w:kinsoku/>
              <w:wordWrap/>
              <w:overflowPunct/>
              <w:topLinePunct w:val="0"/>
              <w:autoSpaceDE/>
              <w:autoSpaceDN/>
              <w:bidi w:val="0"/>
              <w:adjustRightInd/>
              <w:ind w:left="0" w:right="0"/>
              <w:jc w:val="center"/>
              <w:textAlignment w:val="auto"/>
              <w:rPr>
                <w:rFonts w:ascii="Times New Roman" w:hAnsi="Times New Roman" w:cs="Times New Roman"/>
                <w:bCs/>
                <w:color w:val="auto"/>
                <w:sz w:val="21"/>
                <w:szCs w:val="21"/>
                <w:highlight w:val="none"/>
              </w:rPr>
            </w:pPr>
          </w:p>
        </w:tc>
        <w:tc>
          <w:tcPr>
            <w:tcW w:w="478" w:type="pct"/>
            <w:vMerge w:val="continue"/>
            <w:vAlign w:val="center"/>
          </w:tcPr>
          <w:p w14:paraId="559C92E5">
            <w:pPr>
              <w:keepNext w:val="0"/>
              <w:keepLines w:val="0"/>
              <w:pageBreakBefore w:val="0"/>
              <w:widowControl/>
              <w:kinsoku/>
              <w:wordWrap/>
              <w:overflowPunct/>
              <w:topLinePunct w:val="0"/>
              <w:autoSpaceDE/>
              <w:autoSpaceDN/>
              <w:bidi w:val="0"/>
              <w:adjustRightInd/>
              <w:ind w:left="0" w:right="0"/>
              <w:jc w:val="center"/>
              <w:textAlignment w:val="auto"/>
              <w:rPr>
                <w:rFonts w:ascii="Times New Roman" w:hAnsi="Times New Roman" w:cs="Times New Roman"/>
                <w:color w:val="auto"/>
                <w:sz w:val="21"/>
                <w:szCs w:val="21"/>
                <w:highlight w:val="none"/>
              </w:rPr>
            </w:pPr>
          </w:p>
        </w:tc>
        <w:tc>
          <w:tcPr>
            <w:tcW w:w="934" w:type="pct"/>
            <w:vMerge w:val="continue"/>
            <w:vAlign w:val="center"/>
          </w:tcPr>
          <w:p w14:paraId="78C33350">
            <w:pPr>
              <w:keepNext w:val="0"/>
              <w:keepLines w:val="0"/>
              <w:pageBreakBefore w:val="0"/>
              <w:widowControl/>
              <w:kinsoku/>
              <w:wordWrap/>
              <w:overflowPunct/>
              <w:topLinePunct w:val="0"/>
              <w:autoSpaceDE/>
              <w:autoSpaceDN/>
              <w:bidi w:val="0"/>
              <w:adjustRightInd/>
              <w:ind w:left="0" w:right="0"/>
              <w:jc w:val="center"/>
              <w:textAlignment w:val="auto"/>
              <w:rPr>
                <w:rFonts w:ascii="Times New Roman" w:hAnsi="Times New Roman" w:cs="Times New Roman"/>
                <w:bCs/>
                <w:color w:val="auto"/>
                <w:sz w:val="21"/>
                <w:szCs w:val="21"/>
                <w:highlight w:val="none"/>
              </w:rPr>
            </w:pPr>
          </w:p>
        </w:tc>
        <w:tc>
          <w:tcPr>
            <w:tcW w:w="599" w:type="pct"/>
            <w:vMerge w:val="continue"/>
            <w:vAlign w:val="center"/>
          </w:tcPr>
          <w:p w14:paraId="5A0BFE59">
            <w:pPr>
              <w:keepNext w:val="0"/>
              <w:keepLines w:val="0"/>
              <w:pageBreakBefore w:val="0"/>
              <w:widowControl/>
              <w:kinsoku/>
              <w:wordWrap/>
              <w:overflowPunct/>
              <w:topLinePunct w:val="0"/>
              <w:autoSpaceDE/>
              <w:autoSpaceDN/>
              <w:bidi w:val="0"/>
              <w:adjustRightInd/>
              <w:ind w:left="0" w:right="0"/>
              <w:jc w:val="center"/>
              <w:textAlignment w:val="auto"/>
              <w:rPr>
                <w:rFonts w:ascii="Times New Roman" w:hAnsi="Times New Roman" w:cs="Times New Roman"/>
                <w:bCs/>
                <w:color w:val="auto"/>
                <w:sz w:val="21"/>
                <w:szCs w:val="21"/>
                <w:highlight w:val="none"/>
              </w:rPr>
            </w:pPr>
          </w:p>
        </w:tc>
        <w:tc>
          <w:tcPr>
            <w:tcW w:w="388" w:type="pct"/>
            <w:vAlign w:val="center"/>
          </w:tcPr>
          <w:p w14:paraId="099E035F">
            <w:pPr>
              <w:keepNext w:val="0"/>
              <w:keepLines w:val="0"/>
              <w:pageBreakBefore w:val="0"/>
              <w:widowControl/>
              <w:kinsoku/>
              <w:wordWrap/>
              <w:overflowPunct/>
              <w:topLinePunct w:val="0"/>
              <w:autoSpaceDE/>
              <w:autoSpaceDN/>
              <w:bidi w:val="0"/>
              <w:adjustRightInd/>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3</w:t>
            </w:r>
          </w:p>
        </w:tc>
        <w:tc>
          <w:tcPr>
            <w:tcW w:w="784" w:type="pct"/>
            <w:vAlign w:val="center"/>
          </w:tcPr>
          <w:p w14:paraId="6CB92138">
            <w:pPr>
              <w:keepNext w:val="0"/>
              <w:keepLines w:val="0"/>
              <w:pageBreakBefore w:val="0"/>
              <w:widowControl/>
              <w:kinsoku/>
              <w:wordWrap/>
              <w:overflowPunct/>
              <w:topLinePunct w:val="0"/>
              <w:autoSpaceDE/>
              <w:autoSpaceDN/>
              <w:bidi w:val="0"/>
              <w:adjustRightInd/>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2.27</w:t>
            </w:r>
          </w:p>
        </w:tc>
        <w:tc>
          <w:tcPr>
            <w:tcW w:w="837" w:type="pct"/>
            <w:vAlign w:val="center"/>
          </w:tcPr>
          <w:p w14:paraId="3013F5A4">
            <w:pPr>
              <w:keepNext w:val="0"/>
              <w:keepLines w:val="0"/>
              <w:pageBreakBefore w:val="0"/>
              <w:widowControl/>
              <w:kinsoku/>
              <w:wordWrap/>
              <w:overflowPunct/>
              <w:topLinePunct w:val="0"/>
              <w:autoSpaceDE/>
              <w:autoSpaceDN/>
              <w:bidi w:val="0"/>
              <w:adjustRightInd/>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0.00666</w:t>
            </w:r>
          </w:p>
        </w:tc>
      </w:tr>
      <w:tr w14:paraId="34E4155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589" w:type="pct"/>
            <w:vMerge w:val="restart"/>
            <w:vAlign w:val="center"/>
          </w:tcPr>
          <w:p w14:paraId="3429345A">
            <w:pPr>
              <w:keepNext w:val="0"/>
              <w:keepLines w:val="0"/>
              <w:pageBreakBefore w:val="0"/>
              <w:widowControl/>
              <w:kinsoku/>
              <w:wordWrap/>
              <w:overflowPunct/>
              <w:topLinePunct w:val="0"/>
              <w:autoSpaceDE/>
              <w:autoSpaceDN/>
              <w:bidi w:val="0"/>
              <w:adjustRightInd/>
              <w:ind w:left="0" w:right="0"/>
              <w:jc w:val="center"/>
              <w:textAlignment w:val="auto"/>
              <w:rPr>
                <w:rFonts w:ascii="Times New Roman" w:hAnsi="Times New Roman" w:cs="Times New Roman"/>
                <w:snapToGrid w:val="0"/>
                <w:color w:val="auto"/>
                <w:sz w:val="21"/>
                <w:szCs w:val="21"/>
                <w:highlight w:val="none"/>
              </w:rPr>
            </w:pPr>
            <w:r>
              <w:rPr>
                <w:rFonts w:ascii="Times New Roman" w:hAnsi="Times New Roman" w:cs="Times New Roman"/>
                <w:snapToGrid w:val="0"/>
                <w:color w:val="auto"/>
                <w:sz w:val="21"/>
                <w:szCs w:val="21"/>
                <w:highlight w:val="none"/>
              </w:rPr>
              <w:t>DA00</w:t>
            </w:r>
            <w:r>
              <w:rPr>
                <w:rFonts w:hint="eastAsia" w:ascii="Times New Roman" w:hAnsi="Times New Roman" w:cs="Times New Roman"/>
                <w:snapToGrid w:val="0"/>
                <w:color w:val="auto"/>
                <w:sz w:val="21"/>
                <w:szCs w:val="21"/>
                <w:highlight w:val="none"/>
              </w:rPr>
              <w:t>5</w:t>
            </w:r>
          </w:p>
        </w:tc>
        <w:tc>
          <w:tcPr>
            <w:tcW w:w="387" w:type="pct"/>
            <w:vMerge w:val="restart"/>
            <w:vAlign w:val="center"/>
          </w:tcPr>
          <w:p w14:paraId="2CE71458">
            <w:pPr>
              <w:keepNext w:val="0"/>
              <w:keepLines w:val="0"/>
              <w:pageBreakBefore w:val="0"/>
              <w:widowControl/>
              <w:kinsoku/>
              <w:wordWrap/>
              <w:overflowPunct/>
              <w:topLinePunct w:val="0"/>
              <w:autoSpaceDE/>
              <w:autoSpaceDN/>
              <w:bidi w:val="0"/>
              <w:adjustRightInd/>
              <w:ind w:left="0" w:right="0"/>
              <w:jc w:val="center"/>
              <w:textAlignment w:val="auto"/>
              <w:rPr>
                <w:rFonts w:ascii="Times New Roman" w:hAnsi="Times New Roman" w:cs="Times New Roman"/>
                <w:bCs/>
                <w:color w:val="auto"/>
                <w:sz w:val="21"/>
                <w:szCs w:val="21"/>
                <w:highlight w:val="none"/>
              </w:rPr>
            </w:pPr>
            <w:r>
              <w:rPr>
                <w:rFonts w:hint="eastAsia" w:ascii="Times New Roman" w:hAnsi="Times New Roman" w:cs="Times New Roman"/>
                <w:bCs/>
                <w:color w:val="auto"/>
                <w:sz w:val="21"/>
                <w:szCs w:val="21"/>
                <w:highlight w:val="none"/>
              </w:rPr>
              <w:t>20000</w:t>
            </w:r>
          </w:p>
        </w:tc>
        <w:tc>
          <w:tcPr>
            <w:tcW w:w="478" w:type="pct"/>
            <w:vMerge w:val="restart"/>
            <w:vAlign w:val="center"/>
          </w:tcPr>
          <w:p w14:paraId="27F7F8C5">
            <w:pPr>
              <w:keepNext w:val="0"/>
              <w:keepLines w:val="0"/>
              <w:pageBreakBefore w:val="0"/>
              <w:widowControl/>
              <w:kinsoku/>
              <w:wordWrap/>
              <w:overflowPunct/>
              <w:topLinePunct w:val="0"/>
              <w:autoSpaceDE/>
              <w:autoSpaceDN/>
              <w:bidi w:val="0"/>
              <w:adjustRightInd/>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非甲烷总烃</w:t>
            </w:r>
          </w:p>
        </w:tc>
        <w:tc>
          <w:tcPr>
            <w:tcW w:w="934" w:type="pct"/>
            <w:vMerge w:val="restart"/>
            <w:vAlign w:val="center"/>
          </w:tcPr>
          <w:p w14:paraId="02D494EC">
            <w:pPr>
              <w:keepNext w:val="0"/>
              <w:keepLines w:val="0"/>
              <w:pageBreakBefore w:val="0"/>
              <w:widowControl/>
              <w:kinsoku/>
              <w:wordWrap/>
              <w:overflowPunct/>
              <w:topLinePunct w:val="0"/>
              <w:autoSpaceDE/>
              <w:autoSpaceDN/>
              <w:bidi w:val="0"/>
              <w:adjustRightInd/>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olor w:val="auto"/>
                <w:sz w:val="21"/>
                <w:szCs w:val="21"/>
                <w:highlight w:val="none"/>
              </w:rPr>
              <w:t>3级碱液喷淋+二级活性炭吸附</w:t>
            </w:r>
          </w:p>
        </w:tc>
        <w:tc>
          <w:tcPr>
            <w:tcW w:w="599" w:type="pct"/>
            <w:vMerge w:val="restart"/>
            <w:vAlign w:val="center"/>
          </w:tcPr>
          <w:p w14:paraId="52D169CA">
            <w:pPr>
              <w:keepNext w:val="0"/>
              <w:keepLines w:val="0"/>
              <w:pageBreakBefore w:val="0"/>
              <w:widowControl/>
              <w:kinsoku/>
              <w:wordWrap/>
              <w:overflowPunct/>
              <w:topLinePunct w:val="0"/>
              <w:autoSpaceDE/>
              <w:autoSpaceDN/>
              <w:bidi w:val="0"/>
              <w:adjustRightInd/>
              <w:ind w:left="0" w:right="0"/>
              <w:jc w:val="center"/>
              <w:textAlignment w:val="auto"/>
              <w:rPr>
                <w:rFonts w:ascii="Times New Roman" w:hAnsi="Times New Roman"/>
                <w:color w:val="auto"/>
                <w:sz w:val="21"/>
                <w:szCs w:val="21"/>
                <w:highlight w:val="none"/>
              </w:rPr>
            </w:pPr>
            <w:r>
              <w:rPr>
                <w:rFonts w:hint="eastAsia" w:ascii="Times New Roman" w:hAnsi="Times New Roman"/>
                <w:color w:val="auto"/>
                <w:sz w:val="21"/>
                <w:szCs w:val="21"/>
                <w:highlight w:val="none"/>
              </w:rPr>
              <w:t>2023.3.20</w:t>
            </w:r>
          </w:p>
        </w:tc>
        <w:tc>
          <w:tcPr>
            <w:tcW w:w="388" w:type="pct"/>
            <w:vAlign w:val="center"/>
          </w:tcPr>
          <w:p w14:paraId="25B2CFDE">
            <w:pPr>
              <w:keepNext w:val="0"/>
              <w:keepLines w:val="0"/>
              <w:pageBreakBefore w:val="0"/>
              <w:widowControl/>
              <w:kinsoku/>
              <w:wordWrap/>
              <w:overflowPunct/>
              <w:topLinePunct w:val="0"/>
              <w:autoSpaceDE/>
              <w:autoSpaceDN/>
              <w:bidi w:val="0"/>
              <w:adjustRightInd/>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1</w:t>
            </w:r>
          </w:p>
        </w:tc>
        <w:tc>
          <w:tcPr>
            <w:tcW w:w="784" w:type="pct"/>
            <w:vAlign w:val="center"/>
          </w:tcPr>
          <w:p w14:paraId="66188AD9">
            <w:pPr>
              <w:keepNext w:val="0"/>
              <w:keepLines w:val="0"/>
              <w:pageBreakBefore w:val="0"/>
              <w:widowControl/>
              <w:kinsoku/>
              <w:wordWrap/>
              <w:overflowPunct/>
              <w:topLinePunct w:val="0"/>
              <w:autoSpaceDE/>
              <w:autoSpaceDN/>
              <w:bidi w:val="0"/>
              <w:adjustRightInd/>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4.02</w:t>
            </w:r>
          </w:p>
        </w:tc>
        <w:tc>
          <w:tcPr>
            <w:tcW w:w="837" w:type="pct"/>
            <w:vAlign w:val="center"/>
          </w:tcPr>
          <w:p w14:paraId="35345D13">
            <w:pPr>
              <w:keepNext w:val="0"/>
              <w:keepLines w:val="0"/>
              <w:pageBreakBefore w:val="0"/>
              <w:widowControl/>
              <w:kinsoku/>
              <w:wordWrap/>
              <w:overflowPunct/>
              <w:topLinePunct w:val="0"/>
              <w:autoSpaceDE/>
              <w:autoSpaceDN/>
              <w:bidi w:val="0"/>
              <w:adjustRightInd/>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0.034</w:t>
            </w:r>
          </w:p>
        </w:tc>
      </w:tr>
      <w:tr w14:paraId="0576F23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589" w:type="pct"/>
            <w:vMerge w:val="continue"/>
            <w:vAlign w:val="center"/>
          </w:tcPr>
          <w:p w14:paraId="3DCD6801">
            <w:pPr>
              <w:keepNext w:val="0"/>
              <w:keepLines w:val="0"/>
              <w:pageBreakBefore w:val="0"/>
              <w:widowControl/>
              <w:kinsoku/>
              <w:wordWrap/>
              <w:overflowPunct/>
              <w:topLinePunct w:val="0"/>
              <w:autoSpaceDE/>
              <w:autoSpaceDN/>
              <w:bidi w:val="0"/>
              <w:adjustRightInd/>
              <w:ind w:left="0" w:right="0"/>
              <w:jc w:val="center"/>
              <w:textAlignment w:val="auto"/>
              <w:rPr>
                <w:rFonts w:ascii="Times New Roman" w:hAnsi="Times New Roman" w:cs="Times New Roman"/>
                <w:snapToGrid w:val="0"/>
                <w:color w:val="auto"/>
                <w:sz w:val="21"/>
                <w:szCs w:val="21"/>
                <w:highlight w:val="none"/>
              </w:rPr>
            </w:pPr>
          </w:p>
        </w:tc>
        <w:tc>
          <w:tcPr>
            <w:tcW w:w="387" w:type="pct"/>
            <w:vMerge w:val="continue"/>
            <w:vAlign w:val="center"/>
          </w:tcPr>
          <w:p w14:paraId="4E82356B">
            <w:pPr>
              <w:keepNext w:val="0"/>
              <w:keepLines w:val="0"/>
              <w:pageBreakBefore w:val="0"/>
              <w:widowControl/>
              <w:kinsoku/>
              <w:wordWrap/>
              <w:overflowPunct/>
              <w:topLinePunct w:val="0"/>
              <w:autoSpaceDE/>
              <w:autoSpaceDN/>
              <w:bidi w:val="0"/>
              <w:adjustRightInd/>
              <w:ind w:left="0" w:right="0"/>
              <w:jc w:val="center"/>
              <w:textAlignment w:val="auto"/>
              <w:rPr>
                <w:rFonts w:ascii="Times New Roman" w:hAnsi="Times New Roman" w:cs="Times New Roman"/>
                <w:bCs/>
                <w:color w:val="auto"/>
                <w:sz w:val="21"/>
                <w:szCs w:val="21"/>
                <w:highlight w:val="none"/>
              </w:rPr>
            </w:pPr>
          </w:p>
        </w:tc>
        <w:tc>
          <w:tcPr>
            <w:tcW w:w="478" w:type="pct"/>
            <w:vMerge w:val="continue"/>
            <w:vAlign w:val="center"/>
          </w:tcPr>
          <w:p w14:paraId="50302949">
            <w:pPr>
              <w:keepNext w:val="0"/>
              <w:keepLines w:val="0"/>
              <w:pageBreakBefore w:val="0"/>
              <w:widowControl/>
              <w:kinsoku/>
              <w:wordWrap/>
              <w:overflowPunct/>
              <w:topLinePunct w:val="0"/>
              <w:autoSpaceDE/>
              <w:autoSpaceDN/>
              <w:bidi w:val="0"/>
              <w:adjustRightInd/>
              <w:ind w:left="0" w:right="0"/>
              <w:jc w:val="center"/>
              <w:textAlignment w:val="auto"/>
              <w:rPr>
                <w:rFonts w:ascii="Times New Roman" w:hAnsi="Times New Roman" w:cs="Times New Roman"/>
                <w:color w:val="auto"/>
                <w:sz w:val="21"/>
                <w:szCs w:val="21"/>
                <w:highlight w:val="none"/>
              </w:rPr>
            </w:pPr>
          </w:p>
        </w:tc>
        <w:tc>
          <w:tcPr>
            <w:tcW w:w="934" w:type="pct"/>
            <w:vMerge w:val="continue"/>
            <w:vAlign w:val="center"/>
          </w:tcPr>
          <w:p w14:paraId="2472EE52">
            <w:pPr>
              <w:keepNext w:val="0"/>
              <w:keepLines w:val="0"/>
              <w:pageBreakBefore w:val="0"/>
              <w:widowControl/>
              <w:kinsoku/>
              <w:wordWrap/>
              <w:overflowPunct/>
              <w:topLinePunct w:val="0"/>
              <w:autoSpaceDE/>
              <w:autoSpaceDN/>
              <w:bidi w:val="0"/>
              <w:adjustRightInd/>
              <w:ind w:left="0" w:right="0"/>
              <w:jc w:val="center"/>
              <w:textAlignment w:val="auto"/>
              <w:rPr>
                <w:rFonts w:ascii="Times New Roman" w:hAnsi="Times New Roman"/>
                <w:color w:val="auto"/>
                <w:sz w:val="21"/>
                <w:szCs w:val="21"/>
                <w:highlight w:val="none"/>
              </w:rPr>
            </w:pPr>
          </w:p>
        </w:tc>
        <w:tc>
          <w:tcPr>
            <w:tcW w:w="599" w:type="pct"/>
            <w:vMerge w:val="continue"/>
            <w:vAlign w:val="center"/>
          </w:tcPr>
          <w:p w14:paraId="7C91D87F">
            <w:pPr>
              <w:keepNext w:val="0"/>
              <w:keepLines w:val="0"/>
              <w:pageBreakBefore w:val="0"/>
              <w:widowControl/>
              <w:kinsoku/>
              <w:wordWrap/>
              <w:overflowPunct/>
              <w:topLinePunct w:val="0"/>
              <w:autoSpaceDE/>
              <w:autoSpaceDN/>
              <w:bidi w:val="0"/>
              <w:adjustRightInd/>
              <w:ind w:left="0" w:right="0"/>
              <w:jc w:val="center"/>
              <w:textAlignment w:val="auto"/>
              <w:rPr>
                <w:rFonts w:ascii="Times New Roman" w:hAnsi="Times New Roman"/>
                <w:color w:val="auto"/>
                <w:sz w:val="21"/>
                <w:szCs w:val="21"/>
                <w:highlight w:val="none"/>
              </w:rPr>
            </w:pPr>
          </w:p>
        </w:tc>
        <w:tc>
          <w:tcPr>
            <w:tcW w:w="388" w:type="pct"/>
            <w:vAlign w:val="center"/>
          </w:tcPr>
          <w:p w14:paraId="2296E41C">
            <w:pPr>
              <w:keepNext w:val="0"/>
              <w:keepLines w:val="0"/>
              <w:pageBreakBefore w:val="0"/>
              <w:widowControl/>
              <w:kinsoku/>
              <w:wordWrap/>
              <w:overflowPunct/>
              <w:topLinePunct w:val="0"/>
              <w:autoSpaceDE/>
              <w:autoSpaceDN/>
              <w:bidi w:val="0"/>
              <w:adjustRightInd/>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2</w:t>
            </w:r>
          </w:p>
        </w:tc>
        <w:tc>
          <w:tcPr>
            <w:tcW w:w="784" w:type="pct"/>
            <w:vAlign w:val="center"/>
          </w:tcPr>
          <w:p w14:paraId="284B0D3B">
            <w:pPr>
              <w:keepNext w:val="0"/>
              <w:keepLines w:val="0"/>
              <w:pageBreakBefore w:val="0"/>
              <w:widowControl/>
              <w:kinsoku/>
              <w:wordWrap/>
              <w:overflowPunct/>
              <w:topLinePunct w:val="0"/>
              <w:autoSpaceDE/>
              <w:autoSpaceDN/>
              <w:bidi w:val="0"/>
              <w:adjustRightInd/>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4.53</w:t>
            </w:r>
          </w:p>
        </w:tc>
        <w:tc>
          <w:tcPr>
            <w:tcW w:w="837" w:type="pct"/>
            <w:vAlign w:val="center"/>
          </w:tcPr>
          <w:p w14:paraId="3B0B3EAC">
            <w:pPr>
              <w:keepNext w:val="0"/>
              <w:keepLines w:val="0"/>
              <w:pageBreakBefore w:val="0"/>
              <w:widowControl/>
              <w:kinsoku/>
              <w:wordWrap/>
              <w:overflowPunct/>
              <w:topLinePunct w:val="0"/>
              <w:autoSpaceDE/>
              <w:autoSpaceDN/>
              <w:bidi w:val="0"/>
              <w:adjustRightInd/>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0.039</w:t>
            </w:r>
          </w:p>
        </w:tc>
      </w:tr>
      <w:tr w14:paraId="4DD9B38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589" w:type="pct"/>
            <w:vMerge w:val="continue"/>
            <w:vAlign w:val="center"/>
          </w:tcPr>
          <w:p w14:paraId="38416840">
            <w:pPr>
              <w:keepNext w:val="0"/>
              <w:keepLines w:val="0"/>
              <w:pageBreakBefore w:val="0"/>
              <w:widowControl/>
              <w:kinsoku/>
              <w:wordWrap/>
              <w:overflowPunct/>
              <w:topLinePunct w:val="0"/>
              <w:autoSpaceDE/>
              <w:autoSpaceDN/>
              <w:bidi w:val="0"/>
              <w:adjustRightInd/>
              <w:ind w:left="0" w:right="0"/>
              <w:jc w:val="center"/>
              <w:textAlignment w:val="auto"/>
              <w:rPr>
                <w:rFonts w:ascii="Times New Roman" w:hAnsi="Times New Roman" w:cs="Times New Roman"/>
                <w:snapToGrid w:val="0"/>
                <w:color w:val="auto"/>
                <w:sz w:val="21"/>
                <w:szCs w:val="21"/>
                <w:highlight w:val="none"/>
              </w:rPr>
            </w:pPr>
          </w:p>
        </w:tc>
        <w:tc>
          <w:tcPr>
            <w:tcW w:w="387" w:type="pct"/>
            <w:vMerge w:val="continue"/>
            <w:vAlign w:val="center"/>
          </w:tcPr>
          <w:p w14:paraId="4B056D68">
            <w:pPr>
              <w:keepNext w:val="0"/>
              <w:keepLines w:val="0"/>
              <w:pageBreakBefore w:val="0"/>
              <w:widowControl/>
              <w:kinsoku/>
              <w:wordWrap/>
              <w:overflowPunct/>
              <w:topLinePunct w:val="0"/>
              <w:autoSpaceDE/>
              <w:autoSpaceDN/>
              <w:bidi w:val="0"/>
              <w:adjustRightInd/>
              <w:ind w:left="0" w:right="0"/>
              <w:jc w:val="center"/>
              <w:textAlignment w:val="auto"/>
              <w:rPr>
                <w:rFonts w:ascii="Times New Roman" w:hAnsi="Times New Roman" w:cs="Times New Roman"/>
                <w:bCs/>
                <w:color w:val="auto"/>
                <w:sz w:val="21"/>
                <w:szCs w:val="21"/>
                <w:highlight w:val="none"/>
              </w:rPr>
            </w:pPr>
          </w:p>
        </w:tc>
        <w:tc>
          <w:tcPr>
            <w:tcW w:w="478" w:type="pct"/>
            <w:vMerge w:val="continue"/>
            <w:vAlign w:val="center"/>
          </w:tcPr>
          <w:p w14:paraId="2DF7A01B">
            <w:pPr>
              <w:keepNext w:val="0"/>
              <w:keepLines w:val="0"/>
              <w:pageBreakBefore w:val="0"/>
              <w:widowControl/>
              <w:kinsoku/>
              <w:wordWrap/>
              <w:overflowPunct/>
              <w:topLinePunct w:val="0"/>
              <w:autoSpaceDE/>
              <w:autoSpaceDN/>
              <w:bidi w:val="0"/>
              <w:adjustRightInd/>
              <w:ind w:left="0" w:right="0"/>
              <w:jc w:val="center"/>
              <w:textAlignment w:val="auto"/>
              <w:rPr>
                <w:rFonts w:ascii="Times New Roman" w:hAnsi="Times New Roman" w:cs="Times New Roman"/>
                <w:color w:val="auto"/>
                <w:sz w:val="21"/>
                <w:szCs w:val="21"/>
                <w:highlight w:val="none"/>
              </w:rPr>
            </w:pPr>
          </w:p>
        </w:tc>
        <w:tc>
          <w:tcPr>
            <w:tcW w:w="934" w:type="pct"/>
            <w:vMerge w:val="continue"/>
            <w:vAlign w:val="center"/>
          </w:tcPr>
          <w:p w14:paraId="4BCD8C76">
            <w:pPr>
              <w:keepNext w:val="0"/>
              <w:keepLines w:val="0"/>
              <w:pageBreakBefore w:val="0"/>
              <w:widowControl/>
              <w:kinsoku/>
              <w:wordWrap/>
              <w:overflowPunct/>
              <w:topLinePunct w:val="0"/>
              <w:autoSpaceDE/>
              <w:autoSpaceDN/>
              <w:bidi w:val="0"/>
              <w:adjustRightInd/>
              <w:ind w:left="0" w:right="0"/>
              <w:jc w:val="center"/>
              <w:textAlignment w:val="auto"/>
              <w:rPr>
                <w:rFonts w:ascii="Times New Roman" w:hAnsi="Times New Roman"/>
                <w:color w:val="auto"/>
                <w:sz w:val="21"/>
                <w:szCs w:val="21"/>
                <w:highlight w:val="none"/>
              </w:rPr>
            </w:pPr>
          </w:p>
        </w:tc>
        <w:tc>
          <w:tcPr>
            <w:tcW w:w="599" w:type="pct"/>
            <w:vMerge w:val="continue"/>
            <w:vAlign w:val="center"/>
          </w:tcPr>
          <w:p w14:paraId="721C794C">
            <w:pPr>
              <w:keepNext w:val="0"/>
              <w:keepLines w:val="0"/>
              <w:pageBreakBefore w:val="0"/>
              <w:widowControl/>
              <w:kinsoku/>
              <w:wordWrap/>
              <w:overflowPunct/>
              <w:topLinePunct w:val="0"/>
              <w:autoSpaceDE/>
              <w:autoSpaceDN/>
              <w:bidi w:val="0"/>
              <w:adjustRightInd/>
              <w:ind w:left="0" w:right="0"/>
              <w:jc w:val="center"/>
              <w:textAlignment w:val="auto"/>
              <w:rPr>
                <w:rFonts w:ascii="Times New Roman" w:hAnsi="Times New Roman"/>
                <w:color w:val="auto"/>
                <w:sz w:val="21"/>
                <w:szCs w:val="21"/>
                <w:highlight w:val="none"/>
              </w:rPr>
            </w:pPr>
          </w:p>
        </w:tc>
        <w:tc>
          <w:tcPr>
            <w:tcW w:w="388" w:type="pct"/>
            <w:vAlign w:val="center"/>
          </w:tcPr>
          <w:p w14:paraId="0E7F3953">
            <w:pPr>
              <w:keepNext w:val="0"/>
              <w:keepLines w:val="0"/>
              <w:pageBreakBefore w:val="0"/>
              <w:widowControl/>
              <w:kinsoku/>
              <w:wordWrap/>
              <w:overflowPunct/>
              <w:topLinePunct w:val="0"/>
              <w:autoSpaceDE/>
              <w:autoSpaceDN/>
              <w:bidi w:val="0"/>
              <w:adjustRightInd/>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3</w:t>
            </w:r>
          </w:p>
        </w:tc>
        <w:tc>
          <w:tcPr>
            <w:tcW w:w="784" w:type="pct"/>
            <w:vAlign w:val="center"/>
          </w:tcPr>
          <w:p w14:paraId="5FAEB316">
            <w:pPr>
              <w:keepNext w:val="0"/>
              <w:keepLines w:val="0"/>
              <w:pageBreakBefore w:val="0"/>
              <w:widowControl/>
              <w:kinsoku/>
              <w:wordWrap/>
              <w:overflowPunct/>
              <w:topLinePunct w:val="0"/>
              <w:autoSpaceDE/>
              <w:autoSpaceDN/>
              <w:bidi w:val="0"/>
              <w:adjustRightInd/>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4.16</w:t>
            </w:r>
          </w:p>
        </w:tc>
        <w:tc>
          <w:tcPr>
            <w:tcW w:w="837" w:type="pct"/>
            <w:vAlign w:val="center"/>
          </w:tcPr>
          <w:p w14:paraId="090112AD">
            <w:pPr>
              <w:keepNext w:val="0"/>
              <w:keepLines w:val="0"/>
              <w:pageBreakBefore w:val="0"/>
              <w:widowControl/>
              <w:kinsoku/>
              <w:wordWrap/>
              <w:overflowPunct/>
              <w:topLinePunct w:val="0"/>
              <w:autoSpaceDE/>
              <w:autoSpaceDN/>
              <w:bidi w:val="0"/>
              <w:adjustRightInd/>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0.035</w:t>
            </w:r>
          </w:p>
        </w:tc>
      </w:tr>
      <w:tr w14:paraId="33A4D3B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589" w:type="pct"/>
            <w:vMerge w:val="continue"/>
            <w:vAlign w:val="center"/>
          </w:tcPr>
          <w:p w14:paraId="2ABD6A0C">
            <w:pPr>
              <w:keepNext w:val="0"/>
              <w:keepLines w:val="0"/>
              <w:pageBreakBefore w:val="0"/>
              <w:widowControl/>
              <w:kinsoku/>
              <w:wordWrap/>
              <w:overflowPunct/>
              <w:topLinePunct w:val="0"/>
              <w:autoSpaceDE/>
              <w:autoSpaceDN/>
              <w:bidi w:val="0"/>
              <w:adjustRightInd/>
              <w:ind w:left="0" w:right="0"/>
              <w:jc w:val="center"/>
              <w:textAlignment w:val="auto"/>
              <w:rPr>
                <w:rFonts w:ascii="Times New Roman" w:hAnsi="Times New Roman" w:cs="Times New Roman"/>
                <w:snapToGrid w:val="0"/>
                <w:color w:val="auto"/>
                <w:sz w:val="21"/>
                <w:szCs w:val="21"/>
                <w:highlight w:val="none"/>
              </w:rPr>
            </w:pPr>
          </w:p>
        </w:tc>
        <w:tc>
          <w:tcPr>
            <w:tcW w:w="387" w:type="pct"/>
            <w:vMerge w:val="continue"/>
            <w:vAlign w:val="center"/>
          </w:tcPr>
          <w:p w14:paraId="36480515">
            <w:pPr>
              <w:keepNext w:val="0"/>
              <w:keepLines w:val="0"/>
              <w:pageBreakBefore w:val="0"/>
              <w:widowControl/>
              <w:kinsoku/>
              <w:wordWrap/>
              <w:overflowPunct/>
              <w:topLinePunct w:val="0"/>
              <w:autoSpaceDE/>
              <w:autoSpaceDN/>
              <w:bidi w:val="0"/>
              <w:adjustRightInd/>
              <w:ind w:left="0" w:right="0"/>
              <w:jc w:val="center"/>
              <w:textAlignment w:val="auto"/>
              <w:rPr>
                <w:rFonts w:ascii="Times New Roman" w:hAnsi="Times New Roman" w:cs="Times New Roman"/>
                <w:bCs/>
                <w:color w:val="auto"/>
                <w:sz w:val="21"/>
                <w:szCs w:val="21"/>
                <w:highlight w:val="none"/>
              </w:rPr>
            </w:pPr>
          </w:p>
        </w:tc>
        <w:tc>
          <w:tcPr>
            <w:tcW w:w="478" w:type="pct"/>
            <w:vMerge w:val="continue"/>
            <w:vAlign w:val="center"/>
          </w:tcPr>
          <w:p w14:paraId="05ABA7DA">
            <w:pPr>
              <w:keepNext w:val="0"/>
              <w:keepLines w:val="0"/>
              <w:pageBreakBefore w:val="0"/>
              <w:widowControl/>
              <w:kinsoku/>
              <w:wordWrap/>
              <w:overflowPunct/>
              <w:topLinePunct w:val="0"/>
              <w:autoSpaceDE/>
              <w:autoSpaceDN/>
              <w:bidi w:val="0"/>
              <w:adjustRightInd/>
              <w:ind w:left="0" w:right="0"/>
              <w:jc w:val="center"/>
              <w:textAlignment w:val="auto"/>
              <w:rPr>
                <w:rFonts w:ascii="Times New Roman" w:hAnsi="Times New Roman" w:cs="Times New Roman"/>
                <w:color w:val="auto"/>
                <w:sz w:val="21"/>
                <w:szCs w:val="21"/>
                <w:highlight w:val="none"/>
              </w:rPr>
            </w:pPr>
          </w:p>
        </w:tc>
        <w:tc>
          <w:tcPr>
            <w:tcW w:w="934" w:type="pct"/>
            <w:vMerge w:val="continue"/>
            <w:vAlign w:val="center"/>
          </w:tcPr>
          <w:p w14:paraId="4AB357A7">
            <w:pPr>
              <w:keepNext w:val="0"/>
              <w:keepLines w:val="0"/>
              <w:pageBreakBefore w:val="0"/>
              <w:widowControl/>
              <w:kinsoku/>
              <w:wordWrap/>
              <w:overflowPunct/>
              <w:topLinePunct w:val="0"/>
              <w:autoSpaceDE/>
              <w:autoSpaceDN/>
              <w:bidi w:val="0"/>
              <w:adjustRightInd/>
              <w:ind w:left="0" w:right="0"/>
              <w:jc w:val="center"/>
              <w:textAlignment w:val="auto"/>
              <w:rPr>
                <w:rFonts w:ascii="Times New Roman" w:hAnsi="Times New Roman"/>
                <w:color w:val="auto"/>
                <w:sz w:val="21"/>
                <w:szCs w:val="21"/>
                <w:highlight w:val="none"/>
              </w:rPr>
            </w:pPr>
          </w:p>
        </w:tc>
        <w:tc>
          <w:tcPr>
            <w:tcW w:w="599" w:type="pct"/>
            <w:vMerge w:val="restart"/>
            <w:vAlign w:val="center"/>
          </w:tcPr>
          <w:p w14:paraId="7B96C3CA">
            <w:pPr>
              <w:keepNext w:val="0"/>
              <w:keepLines w:val="0"/>
              <w:pageBreakBefore w:val="0"/>
              <w:widowControl/>
              <w:kinsoku/>
              <w:wordWrap/>
              <w:overflowPunct/>
              <w:topLinePunct w:val="0"/>
              <w:autoSpaceDE/>
              <w:autoSpaceDN/>
              <w:bidi w:val="0"/>
              <w:adjustRightInd/>
              <w:ind w:left="0" w:right="0"/>
              <w:jc w:val="center"/>
              <w:textAlignment w:val="auto"/>
              <w:rPr>
                <w:rFonts w:ascii="Times New Roman" w:hAnsi="Times New Roman"/>
                <w:color w:val="auto"/>
                <w:sz w:val="21"/>
                <w:szCs w:val="21"/>
                <w:highlight w:val="none"/>
              </w:rPr>
            </w:pPr>
            <w:r>
              <w:rPr>
                <w:rFonts w:hint="eastAsia" w:ascii="Times New Roman" w:hAnsi="Times New Roman" w:cs="Times New Roman"/>
                <w:bCs/>
                <w:color w:val="auto"/>
                <w:sz w:val="21"/>
                <w:szCs w:val="21"/>
                <w:highlight w:val="none"/>
              </w:rPr>
              <w:t>2023.3.21</w:t>
            </w:r>
          </w:p>
        </w:tc>
        <w:tc>
          <w:tcPr>
            <w:tcW w:w="388" w:type="pct"/>
            <w:vAlign w:val="center"/>
          </w:tcPr>
          <w:p w14:paraId="025DD261">
            <w:pPr>
              <w:keepNext w:val="0"/>
              <w:keepLines w:val="0"/>
              <w:pageBreakBefore w:val="0"/>
              <w:widowControl/>
              <w:kinsoku/>
              <w:wordWrap/>
              <w:overflowPunct/>
              <w:topLinePunct w:val="0"/>
              <w:autoSpaceDE/>
              <w:autoSpaceDN/>
              <w:bidi w:val="0"/>
              <w:adjustRightInd/>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1</w:t>
            </w:r>
          </w:p>
        </w:tc>
        <w:tc>
          <w:tcPr>
            <w:tcW w:w="784" w:type="pct"/>
            <w:vAlign w:val="center"/>
          </w:tcPr>
          <w:p w14:paraId="152942A6">
            <w:pPr>
              <w:keepNext w:val="0"/>
              <w:keepLines w:val="0"/>
              <w:pageBreakBefore w:val="0"/>
              <w:widowControl/>
              <w:kinsoku/>
              <w:wordWrap/>
              <w:overflowPunct/>
              <w:topLinePunct w:val="0"/>
              <w:autoSpaceDE/>
              <w:autoSpaceDN/>
              <w:bidi w:val="0"/>
              <w:adjustRightInd/>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4.53</w:t>
            </w:r>
          </w:p>
        </w:tc>
        <w:tc>
          <w:tcPr>
            <w:tcW w:w="837" w:type="pct"/>
            <w:vAlign w:val="center"/>
          </w:tcPr>
          <w:p w14:paraId="4993F8D2">
            <w:pPr>
              <w:keepNext w:val="0"/>
              <w:keepLines w:val="0"/>
              <w:pageBreakBefore w:val="0"/>
              <w:widowControl/>
              <w:kinsoku/>
              <w:wordWrap/>
              <w:overflowPunct/>
              <w:topLinePunct w:val="0"/>
              <w:autoSpaceDE/>
              <w:autoSpaceDN/>
              <w:bidi w:val="0"/>
              <w:adjustRightInd/>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0.036</w:t>
            </w:r>
          </w:p>
        </w:tc>
      </w:tr>
      <w:tr w14:paraId="7DE9C45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589" w:type="pct"/>
            <w:vMerge w:val="continue"/>
            <w:vAlign w:val="center"/>
          </w:tcPr>
          <w:p w14:paraId="413BBD14">
            <w:pPr>
              <w:keepNext w:val="0"/>
              <w:keepLines w:val="0"/>
              <w:pageBreakBefore w:val="0"/>
              <w:widowControl/>
              <w:kinsoku/>
              <w:wordWrap/>
              <w:overflowPunct/>
              <w:topLinePunct w:val="0"/>
              <w:autoSpaceDE/>
              <w:autoSpaceDN/>
              <w:bidi w:val="0"/>
              <w:adjustRightInd/>
              <w:ind w:left="0" w:right="0"/>
              <w:jc w:val="center"/>
              <w:textAlignment w:val="auto"/>
              <w:rPr>
                <w:rFonts w:ascii="Times New Roman" w:hAnsi="Times New Roman" w:cs="Times New Roman"/>
                <w:snapToGrid w:val="0"/>
                <w:color w:val="auto"/>
                <w:sz w:val="21"/>
                <w:szCs w:val="21"/>
                <w:highlight w:val="none"/>
              </w:rPr>
            </w:pPr>
          </w:p>
        </w:tc>
        <w:tc>
          <w:tcPr>
            <w:tcW w:w="387" w:type="pct"/>
            <w:vMerge w:val="continue"/>
            <w:vAlign w:val="center"/>
          </w:tcPr>
          <w:p w14:paraId="457ED22F">
            <w:pPr>
              <w:keepNext w:val="0"/>
              <w:keepLines w:val="0"/>
              <w:pageBreakBefore w:val="0"/>
              <w:widowControl/>
              <w:kinsoku/>
              <w:wordWrap/>
              <w:overflowPunct/>
              <w:topLinePunct w:val="0"/>
              <w:autoSpaceDE/>
              <w:autoSpaceDN/>
              <w:bidi w:val="0"/>
              <w:adjustRightInd/>
              <w:ind w:left="0" w:right="0"/>
              <w:jc w:val="center"/>
              <w:textAlignment w:val="auto"/>
              <w:rPr>
                <w:rFonts w:ascii="Times New Roman" w:hAnsi="Times New Roman" w:cs="Times New Roman"/>
                <w:bCs/>
                <w:color w:val="auto"/>
                <w:sz w:val="21"/>
                <w:szCs w:val="21"/>
                <w:highlight w:val="none"/>
              </w:rPr>
            </w:pPr>
          </w:p>
        </w:tc>
        <w:tc>
          <w:tcPr>
            <w:tcW w:w="478" w:type="pct"/>
            <w:vMerge w:val="continue"/>
            <w:vAlign w:val="center"/>
          </w:tcPr>
          <w:p w14:paraId="50E0077A">
            <w:pPr>
              <w:keepNext w:val="0"/>
              <w:keepLines w:val="0"/>
              <w:pageBreakBefore w:val="0"/>
              <w:widowControl/>
              <w:kinsoku/>
              <w:wordWrap/>
              <w:overflowPunct/>
              <w:topLinePunct w:val="0"/>
              <w:autoSpaceDE/>
              <w:autoSpaceDN/>
              <w:bidi w:val="0"/>
              <w:adjustRightInd/>
              <w:ind w:left="0" w:right="0"/>
              <w:jc w:val="center"/>
              <w:textAlignment w:val="auto"/>
              <w:rPr>
                <w:rFonts w:ascii="Times New Roman" w:hAnsi="Times New Roman" w:cs="Times New Roman"/>
                <w:color w:val="auto"/>
                <w:sz w:val="21"/>
                <w:szCs w:val="21"/>
                <w:highlight w:val="none"/>
              </w:rPr>
            </w:pPr>
          </w:p>
        </w:tc>
        <w:tc>
          <w:tcPr>
            <w:tcW w:w="934" w:type="pct"/>
            <w:vMerge w:val="continue"/>
            <w:vAlign w:val="center"/>
          </w:tcPr>
          <w:p w14:paraId="768ABDA3">
            <w:pPr>
              <w:keepNext w:val="0"/>
              <w:keepLines w:val="0"/>
              <w:pageBreakBefore w:val="0"/>
              <w:widowControl/>
              <w:kinsoku/>
              <w:wordWrap/>
              <w:overflowPunct/>
              <w:topLinePunct w:val="0"/>
              <w:autoSpaceDE/>
              <w:autoSpaceDN/>
              <w:bidi w:val="0"/>
              <w:adjustRightInd/>
              <w:ind w:left="0" w:right="0"/>
              <w:jc w:val="center"/>
              <w:textAlignment w:val="auto"/>
              <w:rPr>
                <w:rFonts w:ascii="Times New Roman" w:hAnsi="Times New Roman" w:cs="Times New Roman"/>
                <w:color w:val="auto"/>
                <w:sz w:val="21"/>
                <w:szCs w:val="21"/>
                <w:highlight w:val="none"/>
              </w:rPr>
            </w:pPr>
          </w:p>
        </w:tc>
        <w:tc>
          <w:tcPr>
            <w:tcW w:w="599" w:type="pct"/>
            <w:vMerge w:val="continue"/>
            <w:vAlign w:val="center"/>
          </w:tcPr>
          <w:p w14:paraId="01480A99">
            <w:pPr>
              <w:keepNext w:val="0"/>
              <w:keepLines w:val="0"/>
              <w:pageBreakBefore w:val="0"/>
              <w:widowControl/>
              <w:kinsoku/>
              <w:wordWrap/>
              <w:overflowPunct/>
              <w:topLinePunct w:val="0"/>
              <w:autoSpaceDE/>
              <w:autoSpaceDN/>
              <w:bidi w:val="0"/>
              <w:adjustRightInd/>
              <w:ind w:left="0" w:right="0"/>
              <w:jc w:val="center"/>
              <w:textAlignment w:val="auto"/>
              <w:rPr>
                <w:rFonts w:ascii="Times New Roman" w:hAnsi="Times New Roman" w:cs="Times New Roman"/>
                <w:color w:val="auto"/>
                <w:sz w:val="21"/>
                <w:szCs w:val="21"/>
                <w:highlight w:val="none"/>
              </w:rPr>
            </w:pPr>
          </w:p>
        </w:tc>
        <w:tc>
          <w:tcPr>
            <w:tcW w:w="388" w:type="pct"/>
            <w:vAlign w:val="center"/>
          </w:tcPr>
          <w:p w14:paraId="795FF984">
            <w:pPr>
              <w:keepNext w:val="0"/>
              <w:keepLines w:val="0"/>
              <w:pageBreakBefore w:val="0"/>
              <w:widowControl/>
              <w:kinsoku/>
              <w:wordWrap/>
              <w:overflowPunct/>
              <w:topLinePunct w:val="0"/>
              <w:autoSpaceDE/>
              <w:autoSpaceDN/>
              <w:bidi w:val="0"/>
              <w:adjustRightInd/>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2</w:t>
            </w:r>
          </w:p>
        </w:tc>
        <w:tc>
          <w:tcPr>
            <w:tcW w:w="784" w:type="pct"/>
            <w:vAlign w:val="center"/>
          </w:tcPr>
          <w:p w14:paraId="5B573EB6">
            <w:pPr>
              <w:keepNext w:val="0"/>
              <w:keepLines w:val="0"/>
              <w:pageBreakBefore w:val="0"/>
              <w:widowControl/>
              <w:kinsoku/>
              <w:wordWrap/>
              <w:overflowPunct/>
              <w:topLinePunct w:val="0"/>
              <w:autoSpaceDE/>
              <w:autoSpaceDN/>
              <w:bidi w:val="0"/>
              <w:adjustRightInd/>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4.71</w:t>
            </w:r>
          </w:p>
        </w:tc>
        <w:tc>
          <w:tcPr>
            <w:tcW w:w="837" w:type="pct"/>
            <w:vAlign w:val="center"/>
          </w:tcPr>
          <w:p w14:paraId="574A8DF9">
            <w:pPr>
              <w:keepNext w:val="0"/>
              <w:keepLines w:val="0"/>
              <w:pageBreakBefore w:val="0"/>
              <w:widowControl/>
              <w:kinsoku/>
              <w:wordWrap/>
              <w:overflowPunct/>
              <w:topLinePunct w:val="0"/>
              <w:autoSpaceDE/>
              <w:autoSpaceDN/>
              <w:bidi w:val="0"/>
              <w:adjustRightInd/>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0.039</w:t>
            </w:r>
          </w:p>
        </w:tc>
      </w:tr>
      <w:tr w14:paraId="268FFBC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589" w:type="pct"/>
            <w:vMerge w:val="continue"/>
            <w:vAlign w:val="center"/>
          </w:tcPr>
          <w:p w14:paraId="1810D86F">
            <w:pPr>
              <w:keepNext w:val="0"/>
              <w:keepLines w:val="0"/>
              <w:pageBreakBefore w:val="0"/>
              <w:widowControl/>
              <w:kinsoku/>
              <w:wordWrap/>
              <w:overflowPunct/>
              <w:topLinePunct w:val="0"/>
              <w:autoSpaceDE/>
              <w:autoSpaceDN/>
              <w:bidi w:val="0"/>
              <w:adjustRightInd/>
              <w:ind w:left="0" w:right="0"/>
              <w:jc w:val="center"/>
              <w:textAlignment w:val="auto"/>
              <w:rPr>
                <w:rFonts w:ascii="Times New Roman" w:hAnsi="Times New Roman" w:cs="Times New Roman"/>
                <w:color w:val="auto"/>
                <w:sz w:val="21"/>
                <w:szCs w:val="21"/>
                <w:highlight w:val="none"/>
              </w:rPr>
            </w:pPr>
          </w:p>
        </w:tc>
        <w:tc>
          <w:tcPr>
            <w:tcW w:w="387" w:type="pct"/>
            <w:vMerge w:val="continue"/>
            <w:vAlign w:val="center"/>
          </w:tcPr>
          <w:p w14:paraId="24A04532">
            <w:pPr>
              <w:keepNext w:val="0"/>
              <w:keepLines w:val="0"/>
              <w:pageBreakBefore w:val="0"/>
              <w:widowControl/>
              <w:kinsoku/>
              <w:wordWrap/>
              <w:overflowPunct/>
              <w:topLinePunct w:val="0"/>
              <w:autoSpaceDE/>
              <w:autoSpaceDN/>
              <w:bidi w:val="0"/>
              <w:adjustRightInd/>
              <w:ind w:left="0" w:right="0"/>
              <w:jc w:val="center"/>
              <w:textAlignment w:val="auto"/>
              <w:rPr>
                <w:rFonts w:ascii="Times New Roman" w:hAnsi="Times New Roman" w:cs="Times New Roman"/>
                <w:bCs/>
                <w:color w:val="auto"/>
                <w:sz w:val="21"/>
                <w:szCs w:val="21"/>
                <w:highlight w:val="none"/>
              </w:rPr>
            </w:pPr>
          </w:p>
        </w:tc>
        <w:tc>
          <w:tcPr>
            <w:tcW w:w="478" w:type="pct"/>
            <w:vMerge w:val="continue"/>
            <w:vAlign w:val="center"/>
          </w:tcPr>
          <w:p w14:paraId="3DE4BCF9">
            <w:pPr>
              <w:keepNext w:val="0"/>
              <w:keepLines w:val="0"/>
              <w:pageBreakBefore w:val="0"/>
              <w:widowControl/>
              <w:kinsoku/>
              <w:wordWrap/>
              <w:overflowPunct/>
              <w:topLinePunct w:val="0"/>
              <w:autoSpaceDE/>
              <w:autoSpaceDN/>
              <w:bidi w:val="0"/>
              <w:adjustRightInd/>
              <w:ind w:left="0" w:right="0"/>
              <w:jc w:val="center"/>
              <w:textAlignment w:val="auto"/>
              <w:rPr>
                <w:rFonts w:ascii="Times New Roman" w:hAnsi="Times New Roman" w:cs="Times New Roman"/>
                <w:color w:val="auto"/>
                <w:sz w:val="21"/>
                <w:szCs w:val="21"/>
                <w:highlight w:val="none"/>
              </w:rPr>
            </w:pPr>
          </w:p>
        </w:tc>
        <w:tc>
          <w:tcPr>
            <w:tcW w:w="934" w:type="pct"/>
            <w:vMerge w:val="continue"/>
            <w:vAlign w:val="center"/>
          </w:tcPr>
          <w:p w14:paraId="63394795">
            <w:pPr>
              <w:keepNext w:val="0"/>
              <w:keepLines w:val="0"/>
              <w:pageBreakBefore w:val="0"/>
              <w:widowControl/>
              <w:kinsoku/>
              <w:wordWrap/>
              <w:overflowPunct/>
              <w:topLinePunct w:val="0"/>
              <w:autoSpaceDE/>
              <w:autoSpaceDN/>
              <w:bidi w:val="0"/>
              <w:adjustRightInd/>
              <w:ind w:left="0" w:right="0"/>
              <w:jc w:val="center"/>
              <w:textAlignment w:val="auto"/>
              <w:rPr>
                <w:rFonts w:ascii="Times New Roman" w:hAnsi="Times New Roman" w:cs="Times New Roman"/>
                <w:bCs/>
                <w:color w:val="auto"/>
                <w:sz w:val="21"/>
                <w:szCs w:val="21"/>
                <w:highlight w:val="none"/>
              </w:rPr>
            </w:pPr>
          </w:p>
        </w:tc>
        <w:tc>
          <w:tcPr>
            <w:tcW w:w="599" w:type="pct"/>
            <w:vMerge w:val="continue"/>
            <w:vAlign w:val="center"/>
          </w:tcPr>
          <w:p w14:paraId="3EA60141">
            <w:pPr>
              <w:keepNext w:val="0"/>
              <w:keepLines w:val="0"/>
              <w:pageBreakBefore w:val="0"/>
              <w:widowControl/>
              <w:kinsoku/>
              <w:wordWrap/>
              <w:overflowPunct/>
              <w:topLinePunct w:val="0"/>
              <w:autoSpaceDE/>
              <w:autoSpaceDN/>
              <w:bidi w:val="0"/>
              <w:adjustRightInd/>
              <w:ind w:left="0" w:right="0"/>
              <w:jc w:val="center"/>
              <w:textAlignment w:val="auto"/>
              <w:rPr>
                <w:rFonts w:ascii="Times New Roman" w:hAnsi="Times New Roman" w:cs="Times New Roman"/>
                <w:bCs/>
                <w:color w:val="auto"/>
                <w:sz w:val="21"/>
                <w:szCs w:val="21"/>
                <w:highlight w:val="none"/>
              </w:rPr>
            </w:pPr>
          </w:p>
        </w:tc>
        <w:tc>
          <w:tcPr>
            <w:tcW w:w="388" w:type="pct"/>
            <w:vAlign w:val="center"/>
          </w:tcPr>
          <w:p w14:paraId="657CA33C">
            <w:pPr>
              <w:keepNext w:val="0"/>
              <w:keepLines w:val="0"/>
              <w:pageBreakBefore w:val="0"/>
              <w:widowControl/>
              <w:kinsoku/>
              <w:wordWrap/>
              <w:overflowPunct/>
              <w:topLinePunct w:val="0"/>
              <w:autoSpaceDE/>
              <w:autoSpaceDN/>
              <w:bidi w:val="0"/>
              <w:adjustRightInd/>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3</w:t>
            </w:r>
          </w:p>
        </w:tc>
        <w:tc>
          <w:tcPr>
            <w:tcW w:w="784" w:type="pct"/>
            <w:vAlign w:val="center"/>
          </w:tcPr>
          <w:p w14:paraId="60A1BA98">
            <w:pPr>
              <w:keepNext w:val="0"/>
              <w:keepLines w:val="0"/>
              <w:pageBreakBefore w:val="0"/>
              <w:widowControl/>
              <w:kinsoku/>
              <w:wordWrap/>
              <w:overflowPunct/>
              <w:topLinePunct w:val="0"/>
              <w:autoSpaceDE/>
              <w:autoSpaceDN/>
              <w:bidi w:val="0"/>
              <w:adjustRightInd/>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4.18</w:t>
            </w:r>
          </w:p>
        </w:tc>
        <w:tc>
          <w:tcPr>
            <w:tcW w:w="837" w:type="pct"/>
            <w:vAlign w:val="center"/>
          </w:tcPr>
          <w:p w14:paraId="4B6F20F8">
            <w:pPr>
              <w:keepNext w:val="0"/>
              <w:keepLines w:val="0"/>
              <w:pageBreakBefore w:val="0"/>
              <w:widowControl/>
              <w:kinsoku/>
              <w:wordWrap/>
              <w:overflowPunct/>
              <w:topLinePunct w:val="0"/>
              <w:autoSpaceDE/>
              <w:autoSpaceDN/>
              <w:bidi w:val="0"/>
              <w:adjustRightInd/>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0.035</w:t>
            </w:r>
          </w:p>
        </w:tc>
      </w:tr>
    </w:tbl>
    <w:p w14:paraId="59EFFCEC">
      <w:pPr>
        <w:spacing w:before="120" w:beforeLines="50" w:line="360" w:lineRule="auto"/>
        <w:ind w:left="-105" w:right="-105" w:firstLine="480" w:firstLineChars="200"/>
        <w:jc w:val="both"/>
        <w:rPr>
          <w:rFonts w:ascii="Times New Roman" w:hAnsi="Times New Roman"/>
          <w:color w:val="auto"/>
          <w:szCs w:val="22"/>
          <w:highlight w:val="none"/>
        </w:rPr>
      </w:pPr>
      <w:r>
        <w:rPr>
          <w:rFonts w:hint="eastAsia" w:ascii="Times New Roman" w:hAnsi="Times New Roman"/>
          <w:color w:val="auto"/>
          <w:szCs w:val="22"/>
          <w:highlight w:val="none"/>
        </w:rPr>
        <w:t>验收监测期间，企业各排气筒排放的非甲烷总烃（含2-乙二醇单乙醚醋酸酯、丁酮、异氰酸酯、丙烯酸）排放浓度均满足《合成树脂工业污染物排放标准》（GB31572-2015）表5中标准。</w:t>
      </w:r>
      <w:r>
        <w:rPr>
          <w:rFonts w:hint="eastAsia" w:ascii="Times New Roman" w:hAnsi="Times New Roman"/>
          <w:color w:val="auto"/>
          <w:szCs w:val="22"/>
          <w:highlight w:val="none"/>
        </w:rPr>
        <w:t>根据《合成树脂工业污染物排放标准》（GB31572-2015）表5中标准，单位产品非甲烷总烃排放量为0.3千克/吨，由于各个排气筒的产能无法单独拆分，以全厂实际非甲烷总烃排放量及全厂实际产能核算单位产品非甲烷总烃排放量。全厂实际产能为聚氨酯丙烯酸酯4655吨/年、丙烯酸酯组成物9555吨/年、环氧丙烯酸树脂树脂3100吨/年，全厂实际非甲烷总烃排放量为0.7206吨/年，则单位产品非甲烷总烃排放量为0.04千克/吨，满足《合成树脂工业污染物排放标准》（GB31572-2015）表5中单位产品非甲烷总烃排放量的要求。</w:t>
      </w:r>
    </w:p>
    <w:p w14:paraId="3E0AF367">
      <w:pPr>
        <w:spacing w:line="360" w:lineRule="auto"/>
        <w:ind w:left="-105" w:right="-105" w:firstLine="480" w:firstLineChars="200"/>
        <w:rPr>
          <w:rFonts w:ascii="Times New Roman" w:hAnsi="Times New Roman"/>
          <w:color w:val="auto"/>
          <w:szCs w:val="22"/>
          <w:highlight w:val="none"/>
        </w:rPr>
      </w:pPr>
      <w:r>
        <w:rPr>
          <w:rFonts w:hint="eastAsia" w:ascii="Times New Roman" w:hAnsi="Times New Roman"/>
          <w:color w:val="auto"/>
          <w:szCs w:val="22"/>
          <w:highlight w:val="none"/>
        </w:rPr>
        <w:t>根据《化药化工（无锡）有限公司年产聚氨酯丙烯酸酯5000t、丙烯酸酯组成物10000t和环氧丙烯酸树脂1200t生产线技改扩建项目（第二阶段：年产聚氨酯丙烯酸酯2000t、丙烯酸酯组成物5000t）竣工环境保护验收报告》，</w:t>
      </w:r>
      <w:r>
        <w:rPr>
          <w:rFonts w:ascii="Times New Roman" w:hAnsi="Times New Roman"/>
          <w:color w:val="auto"/>
          <w:szCs w:val="22"/>
          <w:highlight w:val="none"/>
        </w:rPr>
        <w:t>现有项目</w:t>
      </w:r>
      <w:r>
        <w:rPr>
          <w:rFonts w:hint="eastAsia" w:ascii="Times New Roman" w:hAnsi="Times New Roman"/>
          <w:color w:val="auto"/>
          <w:szCs w:val="22"/>
          <w:highlight w:val="none"/>
        </w:rPr>
        <w:t>厂界</w:t>
      </w:r>
      <w:r>
        <w:rPr>
          <w:rFonts w:ascii="Times New Roman" w:hAnsi="Times New Roman"/>
          <w:color w:val="auto"/>
          <w:szCs w:val="22"/>
          <w:highlight w:val="none"/>
        </w:rPr>
        <w:t>无组织废气实际排放情况见下表。</w:t>
      </w:r>
    </w:p>
    <w:p w14:paraId="7A7A278D">
      <w:pPr>
        <w:pStyle w:val="15"/>
        <w:spacing w:line="360" w:lineRule="auto"/>
        <w:ind w:left="-105" w:right="-105" w:firstLine="482"/>
        <w:rPr>
          <w:color w:val="auto"/>
          <w:szCs w:val="22"/>
          <w:highlight w:val="none"/>
        </w:rPr>
      </w:pPr>
      <w:r>
        <w:rPr>
          <w:rFonts w:eastAsia="宋体" w:cs="Times New Roman"/>
          <w:bCs/>
          <w:color w:val="auto"/>
          <w:sz w:val="24"/>
          <w:szCs w:val="18"/>
          <w:highlight w:val="none"/>
        </w:rPr>
        <w:t>表</w:t>
      </w:r>
      <w:r>
        <w:rPr>
          <w:rFonts w:eastAsia="宋体" w:cs="Times New Roman"/>
          <w:bCs/>
          <w:color w:val="auto"/>
          <w:sz w:val="24"/>
          <w:szCs w:val="18"/>
          <w:highlight w:val="none"/>
        </w:rPr>
        <w:fldChar w:fldCharType="begin"/>
      </w:r>
      <w:r>
        <w:rPr>
          <w:rFonts w:eastAsia="宋体" w:cs="Times New Roman"/>
          <w:bCs/>
          <w:color w:val="auto"/>
          <w:sz w:val="24"/>
          <w:szCs w:val="18"/>
          <w:highlight w:val="none"/>
        </w:rPr>
        <w:instrText xml:space="preserve"> STYLEREF 2 \s </w:instrText>
      </w:r>
      <w:r>
        <w:rPr>
          <w:rFonts w:eastAsia="宋体" w:cs="Times New Roman"/>
          <w:bCs/>
          <w:color w:val="auto"/>
          <w:sz w:val="24"/>
          <w:szCs w:val="18"/>
          <w:highlight w:val="none"/>
        </w:rPr>
        <w:fldChar w:fldCharType="separate"/>
      </w:r>
      <w:r>
        <w:rPr>
          <w:rFonts w:eastAsia="宋体" w:cs="Times New Roman"/>
          <w:bCs/>
          <w:color w:val="auto"/>
          <w:sz w:val="24"/>
          <w:szCs w:val="18"/>
          <w:highlight w:val="none"/>
        </w:rPr>
        <w:t>3.3</w:t>
      </w:r>
      <w:r>
        <w:rPr>
          <w:rFonts w:eastAsia="宋体" w:cs="Times New Roman"/>
          <w:bCs/>
          <w:color w:val="auto"/>
          <w:sz w:val="24"/>
          <w:szCs w:val="18"/>
          <w:highlight w:val="none"/>
        </w:rPr>
        <w:fldChar w:fldCharType="end"/>
      </w:r>
      <w:r>
        <w:rPr>
          <w:rFonts w:eastAsia="宋体" w:cs="Times New Roman"/>
          <w:bCs/>
          <w:color w:val="auto"/>
          <w:sz w:val="24"/>
          <w:szCs w:val="18"/>
          <w:highlight w:val="none"/>
        </w:rPr>
        <w:noBreakHyphen/>
      </w:r>
      <w:r>
        <w:rPr>
          <w:rFonts w:eastAsia="宋体" w:cs="Times New Roman"/>
          <w:bCs/>
          <w:color w:val="auto"/>
          <w:sz w:val="24"/>
          <w:szCs w:val="18"/>
          <w:highlight w:val="none"/>
        </w:rPr>
        <w:fldChar w:fldCharType="begin"/>
      </w:r>
      <w:r>
        <w:rPr>
          <w:rFonts w:eastAsia="宋体" w:cs="Times New Roman"/>
          <w:bCs/>
          <w:color w:val="auto"/>
          <w:sz w:val="24"/>
          <w:szCs w:val="18"/>
          <w:highlight w:val="none"/>
        </w:rPr>
        <w:instrText xml:space="preserve"> SEQ 表 \* ARABIC \s 2 </w:instrText>
      </w:r>
      <w:r>
        <w:rPr>
          <w:rFonts w:eastAsia="宋体" w:cs="Times New Roman"/>
          <w:bCs/>
          <w:color w:val="auto"/>
          <w:sz w:val="24"/>
          <w:szCs w:val="18"/>
          <w:highlight w:val="none"/>
        </w:rPr>
        <w:fldChar w:fldCharType="separate"/>
      </w:r>
      <w:r>
        <w:rPr>
          <w:rFonts w:eastAsia="宋体" w:cs="Times New Roman"/>
          <w:bCs/>
          <w:color w:val="auto"/>
          <w:sz w:val="24"/>
          <w:szCs w:val="18"/>
          <w:highlight w:val="none"/>
        </w:rPr>
        <w:t>7</w:t>
      </w:r>
      <w:r>
        <w:rPr>
          <w:rFonts w:eastAsia="宋体" w:cs="Times New Roman"/>
          <w:bCs/>
          <w:color w:val="auto"/>
          <w:sz w:val="24"/>
          <w:szCs w:val="18"/>
          <w:highlight w:val="none"/>
        </w:rPr>
        <w:fldChar w:fldCharType="end"/>
      </w:r>
      <w:r>
        <w:rPr>
          <w:rFonts w:hint="eastAsia" w:eastAsia="宋体" w:cs="Times New Roman"/>
          <w:bCs/>
          <w:color w:val="auto"/>
          <w:sz w:val="24"/>
          <w:szCs w:val="18"/>
          <w:highlight w:val="none"/>
        </w:rPr>
        <w:t>厂界无组织废气监测结果</w:t>
      </w:r>
      <w:r>
        <w:rPr>
          <w:rFonts w:eastAsia="宋体" w:cs="Times New Roman"/>
          <w:bCs/>
          <w:color w:val="auto"/>
          <w:sz w:val="24"/>
          <w:szCs w:val="18"/>
          <w:highlight w:val="none"/>
        </w:rPr>
        <w:t>一览表</w:t>
      </w:r>
    </w:p>
    <w:tbl>
      <w:tblPr>
        <w:tblStyle w:val="46"/>
        <w:tblW w:w="5000"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185"/>
        <w:gridCol w:w="796"/>
        <w:gridCol w:w="796"/>
        <w:gridCol w:w="840"/>
        <w:gridCol w:w="850"/>
        <w:gridCol w:w="850"/>
        <w:gridCol w:w="851"/>
        <w:gridCol w:w="850"/>
        <w:gridCol w:w="850"/>
        <w:gridCol w:w="852"/>
      </w:tblGrid>
      <w:tr w14:paraId="1B51CE0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188" w:type="dxa"/>
            <w:vMerge w:val="restart"/>
            <w:tcBorders>
              <w:tl2br w:val="nil"/>
              <w:tr2bl w:val="nil"/>
            </w:tcBorders>
            <w:vAlign w:val="center"/>
          </w:tcPr>
          <w:p w14:paraId="51777FD1">
            <w:pPr>
              <w:ind w:left="-105" w:right="-105"/>
              <w:jc w:val="center"/>
              <w:rPr>
                <w:rFonts w:ascii="Times New Roman" w:hAnsi="Times New Roman" w:cs="Times New Roman"/>
                <w:b/>
                <w:bCs/>
                <w:color w:val="auto"/>
                <w:sz w:val="21"/>
                <w:szCs w:val="21"/>
                <w:highlight w:val="none"/>
              </w:rPr>
            </w:pPr>
            <w:r>
              <w:rPr>
                <w:rFonts w:hint="eastAsia" w:ascii="Times New Roman" w:hAnsi="Times New Roman" w:cs="Times New Roman"/>
                <w:b/>
                <w:bCs/>
                <w:color w:val="auto"/>
                <w:sz w:val="21"/>
                <w:szCs w:val="21"/>
                <w:highlight w:val="none"/>
              </w:rPr>
              <w:t>监测点</w:t>
            </w:r>
          </w:p>
        </w:tc>
        <w:tc>
          <w:tcPr>
            <w:tcW w:w="795" w:type="dxa"/>
            <w:vMerge w:val="restart"/>
            <w:tcBorders>
              <w:tl2br w:val="nil"/>
              <w:tr2bl w:val="nil"/>
            </w:tcBorders>
            <w:vAlign w:val="center"/>
          </w:tcPr>
          <w:p w14:paraId="06CB479A">
            <w:pPr>
              <w:ind w:left="-105" w:right="-105"/>
              <w:jc w:val="center"/>
              <w:rPr>
                <w:rFonts w:ascii="Times New Roman" w:hAnsi="Times New Roman" w:cs="Times New Roman"/>
                <w:b/>
                <w:bCs/>
                <w:color w:val="auto"/>
                <w:sz w:val="21"/>
                <w:szCs w:val="21"/>
                <w:highlight w:val="none"/>
              </w:rPr>
            </w:pPr>
            <w:r>
              <w:rPr>
                <w:rFonts w:hint="eastAsia" w:ascii="Times New Roman" w:hAnsi="Times New Roman" w:cs="Times New Roman"/>
                <w:b/>
                <w:bCs/>
                <w:color w:val="auto"/>
                <w:sz w:val="21"/>
                <w:szCs w:val="21"/>
                <w:highlight w:val="none"/>
              </w:rPr>
              <w:t>监测项目</w:t>
            </w:r>
          </w:p>
        </w:tc>
        <w:tc>
          <w:tcPr>
            <w:tcW w:w="795" w:type="dxa"/>
            <w:vMerge w:val="restart"/>
            <w:tcBorders>
              <w:tl2br w:val="nil"/>
              <w:tr2bl w:val="nil"/>
            </w:tcBorders>
            <w:vAlign w:val="center"/>
          </w:tcPr>
          <w:p w14:paraId="3C69767C">
            <w:pPr>
              <w:ind w:left="-105" w:right="-105"/>
              <w:jc w:val="center"/>
              <w:rPr>
                <w:rFonts w:ascii="Times New Roman" w:hAnsi="Times New Roman" w:cs="Times New Roman"/>
                <w:b/>
                <w:bCs/>
                <w:color w:val="auto"/>
                <w:sz w:val="21"/>
                <w:szCs w:val="21"/>
                <w:highlight w:val="none"/>
              </w:rPr>
            </w:pPr>
            <w:r>
              <w:rPr>
                <w:rFonts w:hint="eastAsia" w:ascii="Times New Roman" w:hAnsi="Times New Roman" w:cs="Times New Roman"/>
                <w:b/>
                <w:bCs/>
                <w:color w:val="auto"/>
                <w:sz w:val="21"/>
                <w:szCs w:val="21"/>
                <w:highlight w:val="none"/>
              </w:rPr>
              <w:t>标准限值</w:t>
            </w:r>
          </w:p>
        </w:tc>
        <w:tc>
          <w:tcPr>
            <w:tcW w:w="840" w:type="dxa"/>
            <w:vMerge w:val="restart"/>
            <w:tcBorders>
              <w:tl2br w:val="nil"/>
              <w:tr2bl w:val="nil"/>
            </w:tcBorders>
            <w:vAlign w:val="center"/>
          </w:tcPr>
          <w:p w14:paraId="6938F368">
            <w:pPr>
              <w:ind w:left="-105" w:right="-105"/>
              <w:jc w:val="center"/>
              <w:rPr>
                <w:rFonts w:ascii="Times New Roman" w:hAnsi="Times New Roman" w:cs="Times New Roman"/>
                <w:b/>
                <w:bCs/>
                <w:color w:val="auto"/>
                <w:sz w:val="21"/>
                <w:szCs w:val="21"/>
                <w:highlight w:val="none"/>
              </w:rPr>
            </w:pPr>
            <w:r>
              <w:rPr>
                <w:rFonts w:hint="eastAsia" w:ascii="Times New Roman" w:hAnsi="Times New Roman" w:cs="Times New Roman"/>
                <w:b/>
                <w:bCs/>
                <w:color w:val="auto"/>
                <w:sz w:val="21"/>
                <w:szCs w:val="21"/>
                <w:highlight w:val="none"/>
              </w:rPr>
              <w:t>单位</w:t>
            </w:r>
          </w:p>
        </w:tc>
        <w:tc>
          <w:tcPr>
            <w:tcW w:w="5102" w:type="dxa"/>
            <w:gridSpan w:val="6"/>
            <w:tcBorders>
              <w:tl2br w:val="nil"/>
              <w:tr2bl w:val="nil"/>
            </w:tcBorders>
            <w:vAlign w:val="center"/>
          </w:tcPr>
          <w:p w14:paraId="612810AD">
            <w:pPr>
              <w:ind w:left="-105" w:right="-105"/>
              <w:jc w:val="center"/>
              <w:rPr>
                <w:rFonts w:ascii="Times New Roman" w:hAnsi="Times New Roman" w:cs="Times New Roman"/>
                <w:b/>
                <w:bCs/>
                <w:color w:val="auto"/>
                <w:sz w:val="21"/>
                <w:szCs w:val="21"/>
                <w:highlight w:val="none"/>
              </w:rPr>
            </w:pPr>
            <w:r>
              <w:rPr>
                <w:rFonts w:hint="eastAsia" w:ascii="Times New Roman" w:hAnsi="Times New Roman" w:cs="Times New Roman"/>
                <w:b/>
                <w:bCs/>
                <w:color w:val="auto"/>
                <w:sz w:val="21"/>
                <w:szCs w:val="21"/>
                <w:highlight w:val="none"/>
              </w:rPr>
              <w:t>监测结果</w:t>
            </w:r>
          </w:p>
        </w:tc>
      </w:tr>
      <w:tr w14:paraId="385EDE2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188" w:type="dxa"/>
            <w:vMerge w:val="continue"/>
            <w:tcBorders>
              <w:tl2br w:val="nil"/>
              <w:tr2bl w:val="nil"/>
            </w:tcBorders>
            <w:vAlign w:val="center"/>
          </w:tcPr>
          <w:p w14:paraId="37346701">
            <w:pPr>
              <w:ind w:left="-105" w:right="-105"/>
              <w:jc w:val="center"/>
              <w:rPr>
                <w:rFonts w:ascii="Times New Roman" w:hAnsi="Times New Roman" w:cs="Times New Roman"/>
                <w:b/>
                <w:bCs/>
                <w:color w:val="auto"/>
                <w:sz w:val="21"/>
                <w:szCs w:val="21"/>
                <w:highlight w:val="none"/>
              </w:rPr>
            </w:pPr>
          </w:p>
        </w:tc>
        <w:tc>
          <w:tcPr>
            <w:tcW w:w="795" w:type="dxa"/>
            <w:vMerge w:val="continue"/>
            <w:tcBorders>
              <w:tl2br w:val="nil"/>
              <w:tr2bl w:val="nil"/>
            </w:tcBorders>
            <w:vAlign w:val="center"/>
          </w:tcPr>
          <w:p w14:paraId="0BB0B6FB">
            <w:pPr>
              <w:ind w:left="-105" w:right="-105"/>
              <w:jc w:val="center"/>
              <w:rPr>
                <w:rFonts w:ascii="Times New Roman" w:hAnsi="Times New Roman" w:cs="Times New Roman"/>
                <w:b/>
                <w:bCs/>
                <w:color w:val="auto"/>
                <w:sz w:val="21"/>
                <w:szCs w:val="21"/>
                <w:highlight w:val="none"/>
              </w:rPr>
            </w:pPr>
          </w:p>
        </w:tc>
        <w:tc>
          <w:tcPr>
            <w:tcW w:w="795" w:type="dxa"/>
            <w:vMerge w:val="continue"/>
            <w:tcBorders>
              <w:tl2br w:val="nil"/>
              <w:tr2bl w:val="nil"/>
            </w:tcBorders>
            <w:vAlign w:val="center"/>
          </w:tcPr>
          <w:p w14:paraId="5CF0EF4A">
            <w:pPr>
              <w:ind w:left="-105" w:right="-105"/>
              <w:jc w:val="center"/>
              <w:rPr>
                <w:rFonts w:ascii="Times New Roman" w:hAnsi="Times New Roman" w:cs="Times New Roman"/>
                <w:b/>
                <w:bCs/>
                <w:color w:val="auto"/>
                <w:sz w:val="21"/>
                <w:szCs w:val="21"/>
                <w:highlight w:val="none"/>
              </w:rPr>
            </w:pPr>
          </w:p>
        </w:tc>
        <w:tc>
          <w:tcPr>
            <w:tcW w:w="840" w:type="dxa"/>
            <w:vMerge w:val="continue"/>
            <w:tcBorders>
              <w:tl2br w:val="nil"/>
              <w:tr2bl w:val="nil"/>
            </w:tcBorders>
            <w:vAlign w:val="center"/>
          </w:tcPr>
          <w:p w14:paraId="06B82C32">
            <w:pPr>
              <w:ind w:left="-105" w:right="-105"/>
              <w:jc w:val="center"/>
              <w:rPr>
                <w:rFonts w:ascii="Times New Roman" w:hAnsi="Times New Roman" w:cs="Times New Roman"/>
                <w:b/>
                <w:bCs/>
                <w:color w:val="auto"/>
                <w:sz w:val="21"/>
                <w:szCs w:val="21"/>
                <w:highlight w:val="none"/>
              </w:rPr>
            </w:pPr>
          </w:p>
        </w:tc>
        <w:tc>
          <w:tcPr>
            <w:tcW w:w="2551" w:type="dxa"/>
            <w:gridSpan w:val="3"/>
            <w:tcBorders>
              <w:tl2br w:val="nil"/>
              <w:tr2bl w:val="nil"/>
            </w:tcBorders>
            <w:vAlign w:val="center"/>
          </w:tcPr>
          <w:p w14:paraId="6287388D">
            <w:pPr>
              <w:ind w:left="-105" w:right="-105"/>
              <w:jc w:val="center"/>
              <w:rPr>
                <w:rFonts w:ascii="Times New Roman" w:hAnsi="Times New Roman" w:cs="Times New Roman"/>
                <w:b/>
                <w:bCs/>
                <w:color w:val="auto"/>
                <w:sz w:val="21"/>
                <w:szCs w:val="21"/>
                <w:highlight w:val="none"/>
              </w:rPr>
            </w:pPr>
            <w:r>
              <w:rPr>
                <w:rFonts w:hint="eastAsia" w:ascii="Times New Roman" w:hAnsi="Times New Roman" w:cs="Times New Roman"/>
                <w:b/>
                <w:bCs/>
                <w:color w:val="auto"/>
                <w:sz w:val="21"/>
                <w:szCs w:val="21"/>
                <w:highlight w:val="none"/>
              </w:rPr>
              <w:t>2023.3.15</w:t>
            </w:r>
          </w:p>
        </w:tc>
        <w:tc>
          <w:tcPr>
            <w:tcW w:w="2551" w:type="dxa"/>
            <w:gridSpan w:val="3"/>
            <w:tcBorders>
              <w:tl2br w:val="nil"/>
              <w:tr2bl w:val="nil"/>
            </w:tcBorders>
            <w:vAlign w:val="center"/>
          </w:tcPr>
          <w:p w14:paraId="2BAF1794">
            <w:pPr>
              <w:ind w:left="-105" w:right="-105"/>
              <w:jc w:val="center"/>
              <w:rPr>
                <w:rFonts w:ascii="Times New Roman" w:hAnsi="Times New Roman" w:cs="Times New Roman"/>
                <w:b/>
                <w:bCs/>
                <w:color w:val="auto"/>
                <w:sz w:val="21"/>
                <w:szCs w:val="21"/>
                <w:highlight w:val="none"/>
              </w:rPr>
            </w:pPr>
            <w:r>
              <w:rPr>
                <w:rFonts w:hint="eastAsia" w:ascii="Times New Roman" w:hAnsi="Times New Roman" w:cs="Times New Roman"/>
                <w:b/>
                <w:bCs/>
                <w:color w:val="auto"/>
                <w:sz w:val="21"/>
                <w:szCs w:val="21"/>
                <w:highlight w:val="none"/>
              </w:rPr>
              <w:t>2023.3.16</w:t>
            </w:r>
          </w:p>
        </w:tc>
      </w:tr>
      <w:tr w14:paraId="6AA5A7E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188" w:type="dxa"/>
            <w:vMerge w:val="continue"/>
            <w:tcBorders>
              <w:tl2br w:val="nil"/>
              <w:tr2bl w:val="nil"/>
            </w:tcBorders>
            <w:vAlign w:val="center"/>
          </w:tcPr>
          <w:p w14:paraId="397A7ED3">
            <w:pPr>
              <w:ind w:left="-105" w:right="-105"/>
              <w:jc w:val="center"/>
              <w:rPr>
                <w:rFonts w:ascii="Times New Roman" w:hAnsi="Times New Roman" w:cs="Times New Roman"/>
                <w:b/>
                <w:bCs/>
                <w:color w:val="auto"/>
                <w:sz w:val="21"/>
                <w:szCs w:val="21"/>
                <w:highlight w:val="none"/>
              </w:rPr>
            </w:pPr>
          </w:p>
        </w:tc>
        <w:tc>
          <w:tcPr>
            <w:tcW w:w="795" w:type="dxa"/>
            <w:vMerge w:val="continue"/>
            <w:tcBorders>
              <w:tl2br w:val="nil"/>
              <w:tr2bl w:val="nil"/>
            </w:tcBorders>
            <w:vAlign w:val="center"/>
          </w:tcPr>
          <w:p w14:paraId="4B745073">
            <w:pPr>
              <w:ind w:left="-105" w:right="-105"/>
              <w:jc w:val="center"/>
              <w:rPr>
                <w:rFonts w:ascii="Times New Roman" w:hAnsi="Times New Roman" w:cs="Times New Roman"/>
                <w:b/>
                <w:bCs/>
                <w:color w:val="auto"/>
                <w:sz w:val="21"/>
                <w:szCs w:val="21"/>
                <w:highlight w:val="none"/>
              </w:rPr>
            </w:pPr>
          </w:p>
        </w:tc>
        <w:tc>
          <w:tcPr>
            <w:tcW w:w="795" w:type="dxa"/>
            <w:vMerge w:val="continue"/>
            <w:tcBorders>
              <w:tl2br w:val="nil"/>
              <w:tr2bl w:val="nil"/>
            </w:tcBorders>
            <w:vAlign w:val="center"/>
          </w:tcPr>
          <w:p w14:paraId="79647DF1">
            <w:pPr>
              <w:ind w:left="-105" w:right="-105"/>
              <w:jc w:val="center"/>
              <w:rPr>
                <w:rFonts w:ascii="Times New Roman" w:hAnsi="Times New Roman" w:cs="Times New Roman"/>
                <w:b/>
                <w:bCs/>
                <w:color w:val="auto"/>
                <w:sz w:val="21"/>
                <w:szCs w:val="21"/>
                <w:highlight w:val="none"/>
              </w:rPr>
            </w:pPr>
          </w:p>
        </w:tc>
        <w:tc>
          <w:tcPr>
            <w:tcW w:w="840" w:type="dxa"/>
            <w:vMerge w:val="continue"/>
            <w:tcBorders>
              <w:tl2br w:val="nil"/>
              <w:tr2bl w:val="nil"/>
            </w:tcBorders>
            <w:vAlign w:val="center"/>
          </w:tcPr>
          <w:p w14:paraId="14222BC4">
            <w:pPr>
              <w:ind w:left="-105" w:right="-105"/>
              <w:jc w:val="center"/>
              <w:rPr>
                <w:rFonts w:ascii="Times New Roman" w:hAnsi="Times New Roman" w:cs="Times New Roman"/>
                <w:b/>
                <w:bCs/>
                <w:color w:val="auto"/>
                <w:sz w:val="21"/>
                <w:szCs w:val="21"/>
                <w:highlight w:val="none"/>
              </w:rPr>
            </w:pPr>
          </w:p>
        </w:tc>
        <w:tc>
          <w:tcPr>
            <w:tcW w:w="850" w:type="dxa"/>
            <w:tcBorders>
              <w:tl2br w:val="nil"/>
              <w:tr2bl w:val="nil"/>
            </w:tcBorders>
            <w:vAlign w:val="center"/>
          </w:tcPr>
          <w:p w14:paraId="4C705E62">
            <w:pPr>
              <w:ind w:left="-105" w:right="-105"/>
              <w:jc w:val="center"/>
              <w:rPr>
                <w:rFonts w:ascii="Times New Roman" w:hAnsi="Times New Roman" w:cs="Times New Roman"/>
                <w:b/>
                <w:bCs/>
                <w:color w:val="auto"/>
                <w:sz w:val="21"/>
                <w:szCs w:val="21"/>
                <w:highlight w:val="none"/>
              </w:rPr>
            </w:pPr>
            <w:r>
              <w:rPr>
                <w:rFonts w:hint="eastAsia" w:ascii="Times New Roman" w:hAnsi="Times New Roman" w:cs="Times New Roman"/>
                <w:b/>
                <w:bCs/>
                <w:color w:val="auto"/>
                <w:sz w:val="21"/>
                <w:szCs w:val="21"/>
                <w:highlight w:val="none"/>
              </w:rPr>
              <w:t>第一次</w:t>
            </w:r>
          </w:p>
        </w:tc>
        <w:tc>
          <w:tcPr>
            <w:tcW w:w="850" w:type="dxa"/>
            <w:tcBorders>
              <w:tl2br w:val="nil"/>
              <w:tr2bl w:val="nil"/>
            </w:tcBorders>
            <w:vAlign w:val="center"/>
          </w:tcPr>
          <w:p w14:paraId="71C7130F">
            <w:pPr>
              <w:ind w:left="-105" w:right="-105"/>
              <w:jc w:val="center"/>
              <w:rPr>
                <w:rFonts w:ascii="Times New Roman" w:hAnsi="Times New Roman" w:cs="Times New Roman"/>
                <w:b/>
                <w:bCs/>
                <w:color w:val="auto"/>
                <w:sz w:val="21"/>
                <w:szCs w:val="21"/>
                <w:highlight w:val="none"/>
              </w:rPr>
            </w:pPr>
            <w:r>
              <w:rPr>
                <w:rFonts w:hint="eastAsia" w:ascii="Times New Roman" w:hAnsi="Times New Roman" w:cs="Times New Roman"/>
                <w:b/>
                <w:bCs/>
                <w:color w:val="auto"/>
                <w:sz w:val="21"/>
                <w:szCs w:val="21"/>
                <w:highlight w:val="none"/>
              </w:rPr>
              <w:t>第二次</w:t>
            </w:r>
          </w:p>
        </w:tc>
        <w:tc>
          <w:tcPr>
            <w:tcW w:w="850" w:type="dxa"/>
            <w:tcBorders>
              <w:tl2br w:val="nil"/>
              <w:tr2bl w:val="nil"/>
            </w:tcBorders>
            <w:vAlign w:val="center"/>
          </w:tcPr>
          <w:p w14:paraId="6C933B76">
            <w:pPr>
              <w:ind w:left="-105" w:right="-105"/>
              <w:jc w:val="center"/>
              <w:rPr>
                <w:rFonts w:ascii="Times New Roman" w:hAnsi="Times New Roman" w:cs="Times New Roman"/>
                <w:b/>
                <w:bCs/>
                <w:color w:val="auto"/>
                <w:sz w:val="21"/>
                <w:szCs w:val="21"/>
                <w:highlight w:val="none"/>
              </w:rPr>
            </w:pPr>
            <w:r>
              <w:rPr>
                <w:rFonts w:hint="eastAsia" w:ascii="Times New Roman" w:hAnsi="Times New Roman" w:cs="Times New Roman"/>
                <w:b/>
                <w:bCs/>
                <w:color w:val="auto"/>
                <w:sz w:val="21"/>
                <w:szCs w:val="21"/>
                <w:highlight w:val="none"/>
              </w:rPr>
              <w:t>第三次</w:t>
            </w:r>
          </w:p>
        </w:tc>
        <w:tc>
          <w:tcPr>
            <w:tcW w:w="850" w:type="dxa"/>
            <w:tcBorders>
              <w:tl2br w:val="nil"/>
              <w:tr2bl w:val="nil"/>
            </w:tcBorders>
            <w:vAlign w:val="center"/>
          </w:tcPr>
          <w:p w14:paraId="2A02E261">
            <w:pPr>
              <w:ind w:left="-105" w:right="-105"/>
              <w:jc w:val="center"/>
              <w:rPr>
                <w:rFonts w:ascii="Times New Roman" w:hAnsi="Times New Roman" w:cs="Times New Roman"/>
                <w:b/>
                <w:bCs/>
                <w:color w:val="auto"/>
                <w:sz w:val="21"/>
                <w:szCs w:val="21"/>
                <w:highlight w:val="none"/>
              </w:rPr>
            </w:pPr>
            <w:r>
              <w:rPr>
                <w:rFonts w:hint="eastAsia" w:ascii="Times New Roman" w:hAnsi="Times New Roman" w:cs="Times New Roman"/>
                <w:b/>
                <w:bCs/>
                <w:color w:val="auto"/>
                <w:sz w:val="21"/>
                <w:szCs w:val="21"/>
                <w:highlight w:val="none"/>
              </w:rPr>
              <w:t>第一次</w:t>
            </w:r>
          </w:p>
        </w:tc>
        <w:tc>
          <w:tcPr>
            <w:tcW w:w="850" w:type="dxa"/>
            <w:tcBorders>
              <w:tl2br w:val="nil"/>
              <w:tr2bl w:val="nil"/>
            </w:tcBorders>
            <w:vAlign w:val="center"/>
          </w:tcPr>
          <w:p w14:paraId="1C7455B9">
            <w:pPr>
              <w:ind w:left="-105" w:right="-105"/>
              <w:jc w:val="center"/>
              <w:rPr>
                <w:rFonts w:ascii="Times New Roman" w:hAnsi="Times New Roman" w:cs="Times New Roman"/>
                <w:b/>
                <w:bCs/>
                <w:color w:val="auto"/>
                <w:sz w:val="21"/>
                <w:szCs w:val="21"/>
                <w:highlight w:val="none"/>
              </w:rPr>
            </w:pPr>
            <w:r>
              <w:rPr>
                <w:rFonts w:hint="eastAsia" w:ascii="Times New Roman" w:hAnsi="Times New Roman" w:cs="Times New Roman"/>
                <w:b/>
                <w:bCs/>
                <w:color w:val="auto"/>
                <w:sz w:val="21"/>
                <w:szCs w:val="21"/>
                <w:highlight w:val="none"/>
              </w:rPr>
              <w:t>第二次</w:t>
            </w:r>
          </w:p>
        </w:tc>
        <w:tc>
          <w:tcPr>
            <w:tcW w:w="852" w:type="dxa"/>
            <w:tcBorders>
              <w:tl2br w:val="nil"/>
              <w:tr2bl w:val="nil"/>
            </w:tcBorders>
            <w:vAlign w:val="center"/>
          </w:tcPr>
          <w:p w14:paraId="27EE10D7">
            <w:pPr>
              <w:ind w:left="-105" w:right="-105"/>
              <w:jc w:val="center"/>
              <w:rPr>
                <w:rFonts w:ascii="Times New Roman" w:hAnsi="Times New Roman" w:cs="Times New Roman"/>
                <w:b/>
                <w:bCs/>
                <w:color w:val="auto"/>
                <w:sz w:val="21"/>
                <w:szCs w:val="21"/>
                <w:highlight w:val="none"/>
              </w:rPr>
            </w:pPr>
            <w:r>
              <w:rPr>
                <w:rFonts w:hint="eastAsia" w:ascii="Times New Roman" w:hAnsi="Times New Roman" w:cs="Times New Roman"/>
                <w:b/>
                <w:bCs/>
                <w:color w:val="auto"/>
                <w:sz w:val="21"/>
                <w:szCs w:val="21"/>
                <w:highlight w:val="none"/>
              </w:rPr>
              <w:t>第三次</w:t>
            </w:r>
          </w:p>
        </w:tc>
      </w:tr>
      <w:tr w14:paraId="7A63EC7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188" w:type="dxa"/>
            <w:vMerge w:val="restart"/>
            <w:tcBorders>
              <w:tl2br w:val="nil"/>
              <w:tr2bl w:val="nil"/>
            </w:tcBorders>
            <w:vAlign w:val="center"/>
          </w:tcPr>
          <w:p w14:paraId="1FD4FDD7">
            <w:pPr>
              <w:ind w:left="-105" w:right="-105"/>
              <w:jc w:val="center"/>
              <w:rPr>
                <w:rFonts w:ascii="Times New Roman" w:hAnsi="Times New Roman" w:cs="Times New Roman"/>
                <w:b/>
                <w:bCs/>
                <w:color w:val="auto"/>
                <w:sz w:val="21"/>
                <w:szCs w:val="21"/>
                <w:highlight w:val="none"/>
              </w:rPr>
            </w:pPr>
            <w:r>
              <w:rPr>
                <w:rFonts w:hint="eastAsia" w:ascii="Times New Roman" w:hAnsi="Times New Roman" w:cs="Times New Roman"/>
                <w:b/>
                <w:bCs/>
                <w:color w:val="auto"/>
                <w:sz w:val="21"/>
                <w:szCs w:val="21"/>
                <w:highlight w:val="none"/>
              </w:rPr>
              <w:t>气象参数</w:t>
            </w:r>
          </w:p>
        </w:tc>
        <w:tc>
          <w:tcPr>
            <w:tcW w:w="795" w:type="dxa"/>
            <w:tcBorders>
              <w:tl2br w:val="nil"/>
              <w:tr2bl w:val="nil"/>
            </w:tcBorders>
            <w:vAlign w:val="center"/>
          </w:tcPr>
          <w:p w14:paraId="4E263D59">
            <w:pPr>
              <w:ind w:left="-105" w:right="-105"/>
              <w:jc w:val="center"/>
              <w:rPr>
                <w:rFonts w:ascii="Times New Roman" w:hAnsi="Times New Roman" w:cs="Times New Roman"/>
                <w:b/>
                <w:bCs/>
                <w:color w:val="auto"/>
                <w:sz w:val="21"/>
                <w:szCs w:val="21"/>
                <w:highlight w:val="none"/>
              </w:rPr>
            </w:pPr>
            <w:r>
              <w:rPr>
                <w:rFonts w:hint="eastAsia" w:ascii="Times New Roman" w:hAnsi="Times New Roman" w:cs="Times New Roman"/>
                <w:b/>
                <w:bCs/>
                <w:color w:val="auto"/>
                <w:sz w:val="21"/>
                <w:szCs w:val="21"/>
                <w:highlight w:val="none"/>
              </w:rPr>
              <w:t>风速</w:t>
            </w:r>
          </w:p>
        </w:tc>
        <w:tc>
          <w:tcPr>
            <w:tcW w:w="795" w:type="dxa"/>
            <w:tcBorders>
              <w:tl2br w:val="nil"/>
              <w:tr2bl w:val="nil"/>
            </w:tcBorders>
            <w:vAlign w:val="center"/>
          </w:tcPr>
          <w:p w14:paraId="21D8963C">
            <w:pPr>
              <w:ind w:left="-105" w:right="-105"/>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w:t>
            </w:r>
          </w:p>
        </w:tc>
        <w:tc>
          <w:tcPr>
            <w:tcW w:w="840" w:type="dxa"/>
            <w:tcBorders>
              <w:tl2br w:val="nil"/>
              <w:tr2bl w:val="nil"/>
            </w:tcBorders>
            <w:vAlign w:val="center"/>
          </w:tcPr>
          <w:p w14:paraId="62A79A72">
            <w:pPr>
              <w:ind w:left="-105" w:right="-105"/>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m/s</w:t>
            </w:r>
          </w:p>
        </w:tc>
        <w:tc>
          <w:tcPr>
            <w:tcW w:w="2551" w:type="dxa"/>
            <w:gridSpan w:val="3"/>
            <w:tcBorders>
              <w:tl2br w:val="nil"/>
              <w:tr2bl w:val="nil"/>
            </w:tcBorders>
            <w:vAlign w:val="center"/>
          </w:tcPr>
          <w:p w14:paraId="4C4328AA">
            <w:pPr>
              <w:ind w:left="-105" w:right="-105"/>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2.2~2.8</w:t>
            </w:r>
          </w:p>
        </w:tc>
        <w:tc>
          <w:tcPr>
            <w:tcW w:w="2551" w:type="dxa"/>
            <w:gridSpan w:val="3"/>
            <w:tcBorders>
              <w:tl2br w:val="nil"/>
              <w:tr2bl w:val="nil"/>
            </w:tcBorders>
            <w:vAlign w:val="center"/>
          </w:tcPr>
          <w:p w14:paraId="10D78DD2">
            <w:pPr>
              <w:ind w:left="-105" w:right="-105"/>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2.6~3.0</w:t>
            </w:r>
          </w:p>
        </w:tc>
      </w:tr>
      <w:tr w14:paraId="680C3F6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188" w:type="dxa"/>
            <w:vMerge w:val="continue"/>
            <w:tcBorders>
              <w:tl2br w:val="nil"/>
              <w:tr2bl w:val="nil"/>
            </w:tcBorders>
            <w:vAlign w:val="center"/>
          </w:tcPr>
          <w:p w14:paraId="409F0BDA">
            <w:pPr>
              <w:ind w:left="-105" w:right="-105"/>
              <w:jc w:val="center"/>
              <w:rPr>
                <w:rFonts w:ascii="Times New Roman" w:hAnsi="Times New Roman" w:cs="Times New Roman"/>
                <w:b/>
                <w:bCs/>
                <w:color w:val="auto"/>
                <w:sz w:val="21"/>
                <w:szCs w:val="21"/>
                <w:highlight w:val="none"/>
              </w:rPr>
            </w:pPr>
          </w:p>
        </w:tc>
        <w:tc>
          <w:tcPr>
            <w:tcW w:w="795" w:type="dxa"/>
            <w:tcBorders>
              <w:tl2br w:val="nil"/>
              <w:tr2bl w:val="nil"/>
            </w:tcBorders>
            <w:vAlign w:val="center"/>
          </w:tcPr>
          <w:p w14:paraId="30369228">
            <w:pPr>
              <w:ind w:left="-105" w:right="-105"/>
              <w:jc w:val="center"/>
              <w:rPr>
                <w:rFonts w:ascii="Times New Roman" w:hAnsi="Times New Roman" w:cs="Times New Roman"/>
                <w:b/>
                <w:bCs/>
                <w:color w:val="auto"/>
                <w:sz w:val="21"/>
                <w:szCs w:val="21"/>
                <w:highlight w:val="none"/>
              </w:rPr>
            </w:pPr>
            <w:r>
              <w:rPr>
                <w:rFonts w:hint="eastAsia" w:ascii="Times New Roman" w:hAnsi="Times New Roman" w:cs="Times New Roman"/>
                <w:b/>
                <w:bCs/>
                <w:color w:val="auto"/>
                <w:sz w:val="21"/>
                <w:szCs w:val="21"/>
                <w:highlight w:val="none"/>
              </w:rPr>
              <w:t>风向</w:t>
            </w:r>
          </w:p>
        </w:tc>
        <w:tc>
          <w:tcPr>
            <w:tcW w:w="795" w:type="dxa"/>
            <w:tcBorders>
              <w:tl2br w:val="nil"/>
              <w:tr2bl w:val="nil"/>
            </w:tcBorders>
            <w:vAlign w:val="center"/>
          </w:tcPr>
          <w:p w14:paraId="4DE365E4">
            <w:pPr>
              <w:ind w:left="-105" w:right="-105"/>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w:t>
            </w:r>
          </w:p>
        </w:tc>
        <w:tc>
          <w:tcPr>
            <w:tcW w:w="840" w:type="dxa"/>
            <w:tcBorders>
              <w:tl2br w:val="nil"/>
              <w:tr2bl w:val="nil"/>
            </w:tcBorders>
            <w:vAlign w:val="center"/>
          </w:tcPr>
          <w:p w14:paraId="6A89D6D0">
            <w:pPr>
              <w:ind w:left="-105" w:right="-105"/>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w:t>
            </w:r>
          </w:p>
        </w:tc>
        <w:tc>
          <w:tcPr>
            <w:tcW w:w="2551" w:type="dxa"/>
            <w:gridSpan w:val="3"/>
            <w:tcBorders>
              <w:tl2br w:val="nil"/>
              <w:tr2bl w:val="nil"/>
            </w:tcBorders>
            <w:vAlign w:val="center"/>
          </w:tcPr>
          <w:p w14:paraId="59CD5E7D">
            <w:pPr>
              <w:ind w:left="-105" w:right="-105"/>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南</w:t>
            </w:r>
          </w:p>
        </w:tc>
        <w:tc>
          <w:tcPr>
            <w:tcW w:w="2551" w:type="dxa"/>
            <w:gridSpan w:val="3"/>
            <w:tcBorders>
              <w:tl2br w:val="nil"/>
              <w:tr2bl w:val="nil"/>
            </w:tcBorders>
            <w:vAlign w:val="center"/>
          </w:tcPr>
          <w:p w14:paraId="34985F85">
            <w:pPr>
              <w:ind w:left="-105" w:right="-105"/>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南</w:t>
            </w:r>
          </w:p>
        </w:tc>
      </w:tr>
      <w:tr w14:paraId="7E2AD05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188" w:type="dxa"/>
            <w:vMerge w:val="continue"/>
            <w:tcBorders>
              <w:tl2br w:val="nil"/>
              <w:tr2bl w:val="nil"/>
            </w:tcBorders>
            <w:vAlign w:val="center"/>
          </w:tcPr>
          <w:p w14:paraId="715D9054">
            <w:pPr>
              <w:ind w:left="-105" w:right="-105"/>
              <w:jc w:val="center"/>
              <w:rPr>
                <w:rFonts w:ascii="Times New Roman" w:hAnsi="Times New Roman" w:cs="Times New Roman"/>
                <w:b/>
                <w:bCs/>
                <w:color w:val="auto"/>
                <w:sz w:val="21"/>
                <w:szCs w:val="21"/>
                <w:highlight w:val="none"/>
              </w:rPr>
            </w:pPr>
          </w:p>
        </w:tc>
        <w:tc>
          <w:tcPr>
            <w:tcW w:w="795" w:type="dxa"/>
            <w:tcBorders>
              <w:tl2br w:val="nil"/>
              <w:tr2bl w:val="nil"/>
            </w:tcBorders>
            <w:vAlign w:val="center"/>
          </w:tcPr>
          <w:p w14:paraId="489DD818">
            <w:pPr>
              <w:ind w:left="-105" w:right="-105"/>
              <w:jc w:val="center"/>
              <w:rPr>
                <w:rFonts w:ascii="Times New Roman" w:hAnsi="Times New Roman" w:cs="Times New Roman"/>
                <w:b/>
                <w:bCs/>
                <w:color w:val="auto"/>
                <w:sz w:val="21"/>
                <w:szCs w:val="21"/>
                <w:highlight w:val="none"/>
              </w:rPr>
            </w:pPr>
            <w:r>
              <w:rPr>
                <w:rFonts w:hint="eastAsia" w:ascii="Times New Roman" w:hAnsi="Times New Roman" w:cs="Times New Roman"/>
                <w:b/>
                <w:bCs/>
                <w:color w:val="auto"/>
                <w:sz w:val="21"/>
                <w:szCs w:val="21"/>
                <w:highlight w:val="none"/>
              </w:rPr>
              <w:t>气温</w:t>
            </w:r>
          </w:p>
        </w:tc>
        <w:tc>
          <w:tcPr>
            <w:tcW w:w="795" w:type="dxa"/>
            <w:tcBorders>
              <w:tl2br w:val="nil"/>
              <w:tr2bl w:val="nil"/>
            </w:tcBorders>
            <w:vAlign w:val="center"/>
          </w:tcPr>
          <w:p w14:paraId="2AD680FA">
            <w:pPr>
              <w:ind w:left="-105" w:right="-105"/>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w:t>
            </w:r>
          </w:p>
        </w:tc>
        <w:tc>
          <w:tcPr>
            <w:tcW w:w="840" w:type="dxa"/>
            <w:tcBorders>
              <w:tl2br w:val="nil"/>
              <w:tr2bl w:val="nil"/>
            </w:tcBorders>
            <w:vAlign w:val="center"/>
          </w:tcPr>
          <w:p w14:paraId="5AF20941">
            <w:pPr>
              <w:ind w:left="-105" w:right="-105"/>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w:t>
            </w:r>
          </w:p>
        </w:tc>
        <w:tc>
          <w:tcPr>
            <w:tcW w:w="850" w:type="dxa"/>
            <w:tcBorders>
              <w:tl2br w:val="nil"/>
              <w:tr2bl w:val="nil"/>
            </w:tcBorders>
            <w:vAlign w:val="center"/>
          </w:tcPr>
          <w:p w14:paraId="4C303539">
            <w:pPr>
              <w:ind w:left="-105" w:right="-105"/>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14.1</w:t>
            </w:r>
          </w:p>
        </w:tc>
        <w:tc>
          <w:tcPr>
            <w:tcW w:w="850" w:type="dxa"/>
            <w:tcBorders>
              <w:tl2br w:val="nil"/>
              <w:tr2bl w:val="nil"/>
            </w:tcBorders>
            <w:vAlign w:val="center"/>
          </w:tcPr>
          <w:p w14:paraId="078E5DC5">
            <w:pPr>
              <w:ind w:left="-105" w:right="-105"/>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14.6</w:t>
            </w:r>
          </w:p>
        </w:tc>
        <w:tc>
          <w:tcPr>
            <w:tcW w:w="850" w:type="dxa"/>
            <w:tcBorders>
              <w:tl2br w:val="nil"/>
              <w:tr2bl w:val="nil"/>
            </w:tcBorders>
            <w:vAlign w:val="center"/>
          </w:tcPr>
          <w:p w14:paraId="28EC3E02">
            <w:pPr>
              <w:ind w:left="-105" w:right="-105"/>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16.5</w:t>
            </w:r>
          </w:p>
        </w:tc>
        <w:tc>
          <w:tcPr>
            <w:tcW w:w="850" w:type="dxa"/>
            <w:tcBorders>
              <w:tl2br w:val="nil"/>
              <w:tr2bl w:val="nil"/>
            </w:tcBorders>
            <w:vAlign w:val="center"/>
          </w:tcPr>
          <w:p w14:paraId="1AC95B40">
            <w:pPr>
              <w:ind w:left="-105" w:right="-105"/>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9.1</w:t>
            </w:r>
          </w:p>
        </w:tc>
        <w:tc>
          <w:tcPr>
            <w:tcW w:w="850" w:type="dxa"/>
            <w:tcBorders>
              <w:tl2br w:val="nil"/>
              <w:tr2bl w:val="nil"/>
            </w:tcBorders>
            <w:vAlign w:val="center"/>
          </w:tcPr>
          <w:p w14:paraId="0BDFC95D">
            <w:pPr>
              <w:ind w:left="-105" w:right="-105"/>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9.6</w:t>
            </w:r>
          </w:p>
        </w:tc>
        <w:tc>
          <w:tcPr>
            <w:tcW w:w="852" w:type="dxa"/>
            <w:tcBorders>
              <w:tl2br w:val="nil"/>
              <w:tr2bl w:val="nil"/>
            </w:tcBorders>
            <w:vAlign w:val="center"/>
          </w:tcPr>
          <w:p w14:paraId="3CA08445">
            <w:pPr>
              <w:ind w:left="-105" w:right="-105"/>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11.4</w:t>
            </w:r>
          </w:p>
        </w:tc>
      </w:tr>
      <w:tr w14:paraId="52989D4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188" w:type="dxa"/>
            <w:vMerge w:val="continue"/>
            <w:tcBorders>
              <w:tl2br w:val="nil"/>
              <w:tr2bl w:val="nil"/>
            </w:tcBorders>
            <w:vAlign w:val="center"/>
          </w:tcPr>
          <w:p w14:paraId="58E1AB8C">
            <w:pPr>
              <w:ind w:left="-105" w:right="-105"/>
              <w:jc w:val="center"/>
              <w:rPr>
                <w:rFonts w:ascii="Times New Roman" w:hAnsi="Times New Roman" w:cs="Times New Roman"/>
                <w:b/>
                <w:bCs/>
                <w:color w:val="auto"/>
                <w:sz w:val="21"/>
                <w:szCs w:val="21"/>
                <w:highlight w:val="none"/>
              </w:rPr>
            </w:pPr>
          </w:p>
        </w:tc>
        <w:tc>
          <w:tcPr>
            <w:tcW w:w="795" w:type="dxa"/>
            <w:tcBorders>
              <w:tl2br w:val="nil"/>
              <w:tr2bl w:val="nil"/>
            </w:tcBorders>
            <w:vAlign w:val="center"/>
          </w:tcPr>
          <w:p w14:paraId="3CD3392F">
            <w:pPr>
              <w:ind w:left="-105" w:right="-105"/>
              <w:jc w:val="center"/>
              <w:rPr>
                <w:rFonts w:ascii="Times New Roman" w:hAnsi="Times New Roman" w:cs="Times New Roman"/>
                <w:b/>
                <w:bCs/>
                <w:color w:val="auto"/>
                <w:sz w:val="21"/>
                <w:szCs w:val="21"/>
                <w:highlight w:val="none"/>
              </w:rPr>
            </w:pPr>
            <w:r>
              <w:rPr>
                <w:rFonts w:hint="eastAsia" w:ascii="Times New Roman" w:hAnsi="Times New Roman" w:cs="Times New Roman"/>
                <w:b/>
                <w:bCs/>
                <w:color w:val="auto"/>
                <w:sz w:val="21"/>
                <w:szCs w:val="21"/>
                <w:highlight w:val="none"/>
              </w:rPr>
              <w:t>气压</w:t>
            </w:r>
          </w:p>
        </w:tc>
        <w:tc>
          <w:tcPr>
            <w:tcW w:w="795" w:type="dxa"/>
            <w:tcBorders>
              <w:tl2br w:val="nil"/>
              <w:tr2bl w:val="nil"/>
            </w:tcBorders>
            <w:vAlign w:val="center"/>
          </w:tcPr>
          <w:p w14:paraId="73BA0595">
            <w:pPr>
              <w:ind w:left="-105" w:right="-105"/>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w:t>
            </w:r>
          </w:p>
        </w:tc>
        <w:tc>
          <w:tcPr>
            <w:tcW w:w="840" w:type="dxa"/>
            <w:tcBorders>
              <w:tl2br w:val="nil"/>
              <w:tr2bl w:val="nil"/>
            </w:tcBorders>
            <w:vAlign w:val="center"/>
          </w:tcPr>
          <w:p w14:paraId="72FC5118">
            <w:pPr>
              <w:ind w:left="-105" w:right="-105"/>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kPa</w:t>
            </w:r>
          </w:p>
        </w:tc>
        <w:tc>
          <w:tcPr>
            <w:tcW w:w="850" w:type="dxa"/>
            <w:tcBorders>
              <w:tl2br w:val="nil"/>
              <w:tr2bl w:val="nil"/>
            </w:tcBorders>
            <w:vAlign w:val="center"/>
          </w:tcPr>
          <w:p w14:paraId="3AA70E21">
            <w:pPr>
              <w:ind w:left="-105" w:right="-105"/>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101.75</w:t>
            </w:r>
          </w:p>
        </w:tc>
        <w:tc>
          <w:tcPr>
            <w:tcW w:w="850" w:type="dxa"/>
            <w:tcBorders>
              <w:tl2br w:val="nil"/>
              <w:tr2bl w:val="nil"/>
            </w:tcBorders>
            <w:vAlign w:val="center"/>
          </w:tcPr>
          <w:p w14:paraId="64CA074F">
            <w:pPr>
              <w:ind w:left="-105" w:right="-105"/>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101.69</w:t>
            </w:r>
          </w:p>
        </w:tc>
        <w:tc>
          <w:tcPr>
            <w:tcW w:w="850" w:type="dxa"/>
            <w:tcBorders>
              <w:tl2br w:val="nil"/>
              <w:tr2bl w:val="nil"/>
            </w:tcBorders>
            <w:vAlign w:val="center"/>
          </w:tcPr>
          <w:p w14:paraId="3D63C498">
            <w:pPr>
              <w:ind w:left="-105" w:right="-105"/>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101.56</w:t>
            </w:r>
          </w:p>
        </w:tc>
        <w:tc>
          <w:tcPr>
            <w:tcW w:w="850" w:type="dxa"/>
            <w:tcBorders>
              <w:tl2br w:val="nil"/>
              <w:tr2bl w:val="nil"/>
            </w:tcBorders>
            <w:vAlign w:val="center"/>
          </w:tcPr>
          <w:p w14:paraId="52871FD9">
            <w:pPr>
              <w:ind w:left="-105" w:right="-105"/>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102.75</w:t>
            </w:r>
          </w:p>
        </w:tc>
        <w:tc>
          <w:tcPr>
            <w:tcW w:w="850" w:type="dxa"/>
            <w:tcBorders>
              <w:tl2br w:val="nil"/>
              <w:tr2bl w:val="nil"/>
            </w:tcBorders>
            <w:vAlign w:val="center"/>
          </w:tcPr>
          <w:p w14:paraId="6E355CBA">
            <w:pPr>
              <w:ind w:left="-105" w:right="-105"/>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102.71</w:t>
            </w:r>
          </w:p>
        </w:tc>
        <w:tc>
          <w:tcPr>
            <w:tcW w:w="852" w:type="dxa"/>
            <w:tcBorders>
              <w:tl2br w:val="nil"/>
              <w:tr2bl w:val="nil"/>
            </w:tcBorders>
            <w:vAlign w:val="center"/>
          </w:tcPr>
          <w:p w14:paraId="24460F00">
            <w:pPr>
              <w:ind w:left="-105" w:right="-105"/>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102.55</w:t>
            </w:r>
          </w:p>
        </w:tc>
      </w:tr>
      <w:tr w14:paraId="771F1A5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188" w:type="dxa"/>
            <w:tcBorders>
              <w:tl2br w:val="nil"/>
              <w:tr2bl w:val="nil"/>
            </w:tcBorders>
            <w:vAlign w:val="center"/>
          </w:tcPr>
          <w:p w14:paraId="316AA37B">
            <w:pPr>
              <w:ind w:left="-105" w:right="-105"/>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上风向G1</w:t>
            </w:r>
          </w:p>
        </w:tc>
        <w:tc>
          <w:tcPr>
            <w:tcW w:w="795" w:type="dxa"/>
            <w:vMerge w:val="restart"/>
            <w:tcBorders>
              <w:tl2br w:val="nil"/>
              <w:tr2bl w:val="nil"/>
            </w:tcBorders>
            <w:vAlign w:val="center"/>
          </w:tcPr>
          <w:p w14:paraId="3B54A004">
            <w:pPr>
              <w:ind w:left="-105" w:right="-105"/>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非甲烷总烃</w:t>
            </w:r>
          </w:p>
        </w:tc>
        <w:tc>
          <w:tcPr>
            <w:tcW w:w="795" w:type="dxa"/>
            <w:tcBorders>
              <w:tl2br w:val="nil"/>
              <w:tr2bl w:val="nil"/>
            </w:tcBorders>
            <w:vAlign w:val="center"/>
          </w:tcPr>
          <w:p w14:paraId="5D4A43E1">
            <w:pPr>
              <w:ind w:left="-105" w:right="-105"/>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w:t>
            </w:r>
          </w:p>
        </w:tc>
        <w:tc>
          <w:tcPr>
            <w:tcW w:w="840" w:type="dxa"/>
            <w:tcBorders>
              <w:tl2br w:val="nil"/>
              <w:tr2bl w:val="nil"/>
            </w:tcBorders>
            <w:vAlign w:val="center"/>
          </w:tcPr>
          <w:p w14:paraId="48080AB3">
            <w:pPr>
              <w:ind w:left="-105" w:right="-105"/>
              <w:jc w:val="center"/>
              <w:rPr>
                <w:rFonts w:ascii="Times New Roman" w:hAnsi="Times New Roman" w:cs="Times New Roman"/>
                <w:color w:val="auto"/>
                <w:sz w:val="21"/>
                <w:szCs w:val="21"/>
                <w:highlight w:val="none"/>
                <w:vertAlign w:val="superscript"/>
              </w:rPr>
            </w:pPr>
            <w:r>
              <w:rPr>
                <w:rFonts w:hint="eastAsia" w:ascii="Times New Roman" w:hAnsi="Times New Roman" w:cs="Times New Roman"/>
                <w:color w:val="auto"/>
                <w:sz w:val="21"/>
                <w:szCs w:val="21"/>
                <w:highlight w:val="none"/>
              </w:rPr>
              <w:t>mg/m</w:t>
            </w:r>
            <w:r>
              <w:rPr>
                <w:rFonts w:hint="eastAsia" w:ascii="Times New Roman" w:hAnsi="Times New Roman" w:cs="Times New Roman"/>
                <w:color w:val="auto"/>
                <w:sz w:val="21"/>
                <w:szCs w:val="21"/>
                <w:highlight w:val="none"/>
                <w:vertAlign w:val="superscript"/>
              </w:rPr>
              <w:t>3</w:t>
            </w:r>
          </w:p>
        </w:tc>
        <w:tc>
          <w:tcPr>
            <w:tcW w:w="850" w:type="dxa"/>
            <w:tcBorders>
              <w:tl2br w:val="nil"/>
              <w:tr2bl w:val="nil"/>
            </w:tcBorders>
            <w:vAlign w:val="center"/>
          </w:tcPr>
          <w:p w14:paraId="4F751E20">
            <w:pPr>
              <w:ind w:left="-105" w:right="-105"/>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1.14</w:t>
            </w:r>
          </w:p>
        </w:tc>
        <w:tc>
          <w:tcPr>
            <w:tcW w:w="850" w:type="dxa"/>
            <w:tcBorders>
              <w:tl2br w:val="nil"/>
              <w:tr2bl w:val="nil"/>
            </w:tcBorders>
            <w:vAlign w:val="center"/>
          </w:tcPr>
          <w:p w14:paraId="2D279A08">
            <w:pPr>
              <w:ind w:left="-105" w:right="-105"/>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1.10</w:t>
            </w:r>
          </w:p>
        </w:tc>
        <w:tc>
          <w:tcPr>
            <w:tcW w:w="850" w:type="dxa"/>
            <w:tcBorders>
              <w:tl2br w:val="nil"/>
              <w:tr2bl w:val="nil"/>
            </w:tcBorders>
            <w:vAlign w:val="center"/>
          </w:tcPr>
          <w:p w14:paraId="3076F746">
            <w:pPr>
              <w:ind w:left="-105" w:right="-105"/>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1.08</w:t>
            </w:r>
          </w:p>
        </w:tc>
        <w:tc>
          <w:tcPr>
            <w:tcW w:w="850" w:type="dxa"/>
            <w:tcBorders>
              <w:tl2br w:val="nil"/>
              <w:tr2bl w:val="nil"/>
            </w:tcBorders>
            <w:vAlign w:val="center"/>
          </w:tcPr>
          <w:p w14:paraId="4330BFB9">
            <w:pPr>
              <w:ind w:left="-105" w:right="-105"/>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1.06</w:t>
            </w:r>
          </w:p>
        </w:tc>
        <w:tc>
          <w:tcPr>
            <w:tcW w:w="850" w:type="dxa"/>
            <w:tcBorders>
              <w:tl2br w:val="nil"/>
              <w:tr2bl w:val="nil"/>
            </w:tcBorders>
            <w:vAlign w:val="center"/>
          </w:tcPr>
          <w:p w14:paraId="751E9D19">
            <w:pPr>
              <w:ind w:left="-105" w:right="-105"/>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1.13</w:t>
            </w:r>
          </w:p>
        </w:tc>
        <w:tc>
          <w:tcPr>
            <w:tcW w:w="852" w:type="dxa"/>
            <w:tcBorders>
              <w:tl2br w:val="nil"/>
              <w:tr2bl w:val="nil"/>
            </w:tcBorders>
            <w:vAlign w:val="center"/>
          </w:tcPr>
          <w:p w14:paraId="78369214">
            <w:pPr>
              <w:ind w:left="-105" w:right="-105"/>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1.09</w:t>
            </w:r>
          </w:p>
        </w:tc>
      </w:tr>
      <w:tr w14:paraId="08C3414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188" w:type="dxa"/>
            <w:tcBorders>
              <w:tl2br w:val="nil"/>
              <w:tr2bl w:val="nil"/>
            </w:tcBorders>
            <w:vAlign w:val="center"/>
          </w:tcPr>
          <w:p w14:paraId="437853C5">
            <w:pPr>
              <w:ind w:left="-105" w:right="-105"/>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上风向G2</w:t>
            </w:r>
          </w:p>
        </w:tc>
        <w:tc>
          <w:tcPr>
            <w:tcW w:w="795" w:type="dxa"/>
            <w:vMerge w:val="continue"/>
            <w:tcBorders>
              <w:tl2br w:val="nil"/>
              <w:tr2bl w:val="nil"/>
            </w:tcBorders>
            <w:vAlign w:val="center"/>
          </w:tcPr>
          <w:p w14:paraId="7EC34126">
            <w:pPr>
              <w:ind w:left="-105" w:right="-105"/>
              <w:jc w:val="center"/>
              <w:rPr>
                <w:rFonts w:ascii="Times New Roman" w:hAnsi="Times New Roman" w:cs="Times New Roman"/>
                <w:color w:val="auto"/>
                <w:sz w:val="21"/>
                <w:szCs w:val="21"/>
                <w:highlight w:val="none"/>
              </w:rPr>
            </w:pPr>
          </w:p>
        </w:tc>
        <w:tc>
          <w:tcPr>
            <w:tcW w:w="795" w:type="dxa"/>
            <w:vMerge w:val="restart"/>
            <w:tcBorders>
              <w:tl2br w:val="nil"/>
              <w:tr2bl w:val="nil"/>
            </w:tcBorders>
            <w:vAlign w:val="center"/>
          </w:tcPr>
          <w:p w14:paraId="4C2B786B">
            <w:pPr>
              <w:ind w:left="-105" w:right="-105"/>
              <w:jc w:val="center"/>
              <w:rPr>
                <w:rFonts w:ascii="Times New Roman" w:hAnsi="Times New Roman" w:cs="Times New Roman"/>
                <w:color w:val="auto"/>
                <w:sz w:val="21"/>
                <w:szCs w:val="21"/>
                <w:highlight w:val="none"/>
              </w:rPr>
            </w:pPr>
            <w:r>
              <w:rPr>
                <w:rFonts w:hint="eastAsia" w:ascii="Times New Roman" w:hAnsi="Times New Roman" w:cs="Times New Roman"/>
                <w:b/>
                <w:bCs/>
                <w:color w:val="auto"/>
                <w:sz w:val="21"/>
                <w:szCs w:val="21"/>
                <w:highlight w:val="none"/>
              </w:rPr>
              <w:t>4.0</w:t>
            </w:r>
          </w:p>
        </w:tc>
        <w:tc>
          <w:tcPr>
            <w:tcW w:w="840" w:type="dxa"/>
            <w:tcBorders>
              <w:tl2br w:val="nil"/>
              <w:tr2bl w:val="nil"/>
            </w:tcBorders>
            <w:vAlign w:val="center"/>
          </w:tcPr>
          <w:p w14:paraId="624704AF">
            <w:pPr>
              <w:ind w:left="-105" w:right="-105"/>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mg/m</w:t>
            </w:r>
            <w:r>
              <w:rPr>
                <w:rFonts w:hint="eastAsia" w:ascii="Times New Roman" w:hAnsi="Times New Roman" w:cs="Times New Roman"/>
                <w:color w:val="auto"/>
                <w:sz w:val="21"/>
                <w:szCs w:val="21"/>
                <w:highlight w:val="none"/>
                <w:vertAlign w:val="superscript"/>
              </w:rPr>
              <w:t>3</w:t>
            </w:r>
          </w:p>
        </w:tc>
        <w:tc>
          <w:tcPr>
            <w:tcW w:w="850" w:type="dxa"/>
            <w:tcBorders>
              <w:tl2br w:val="nil"/>
              <w:tr2bl w:val="nil"/>
            </w:tcBorders>
            <w:vAlign w:val="center"/>
          </w:tcPr>
          <w:p w14:paraId="19D42AF2">
            <w:pPr>
              <w:ind w:left="-105" w:right="-105"/>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1.19</w:t>
            </w:r>
          </w:p>
        </w:tc>
        <w:tc>
          <w:tcPr>
            <w:tcW w:w="850" w:type="dxa"/>
            <w:tcBorders>
              <w:tl2br w:val="nil"/>
              <w:tr2bl w:val="nil"/>
            </w:tcBorders>
            <w:vAlign w:val="center"/>
          </w:tcPr>
          <w:p w14:paraId="4556B469">
            <w:pPr>
              <w:ind w:left="-105" w:right="-105"/>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1.22</w:t>
            </w:r>
          </w:p>
        </w:tc>
        <w:tc>
          <w:tcPr>
            <w:tcW w:w="850" w:type="dxa"/>
            <w:tcBorders>
              <w:tl2br w:val="nil"/>
              <w:tr2bl w:val="nil"/>
            </w:tcBorders>
            <w:vAlign w:val="center"/>
          </w:tcPr>
          <w:p w14:paraId="4960FBE3">
            <w:pPr>
              <w:ind w:left="-105" w:right="-105"/>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1.32</w:t>
            </w:r>
          </w:p>
        </w:tc>
        <w:tc>
          <w:tcPr>
            <w:tcW w:w="850" w:type="dxa"/>
            <w:tcBorders>
              <w:tl2br w:val="nil"/>
              <w:tr2bl w:val="nil"/>
            </w:tcBorders>
            <w:vAlign w:val="center"/>
          </w:tcPr>
          <w:p w14:paraId="0357B273">
            <w:pPr>
              <w:ind w:left="-105" w:right="-105"/>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1.17</w:t>
            </w:r>
          </w:p>
        </w:tc>
        <w:tc>
          <w:tcPr>
            <w:tcW w:w="850" w:type="dxa"/>
            <w:tcBorders>
              <w:tl2br w:val="nil"/>
              <w:tr2bl w:val="nil"/>
            </w:tcBorders>
            <w:vAlign w:val="center"/>
          </w:tcPr>
          <w:p w14:paraId="3F616B94">
            <w:pPr>
              <w:ind w:left="-105" w:right="-105"/>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1.28</w:t>
            </w:r>
          </w:p>
        </w:tc>
        <w:tc>
          <w:tcPr>
            <w:tcW w:w="852" w:type="dxa"/>
            <w:tcBorders>
              <w:tl2br w:val="nil"/>
              <w:tr2bl w:val="nil"/>
            </w:tcBorders>
            <w:vAlign w:val="center"/>
          </w:tcPr>
          <w:p w14:paraId="55B0093A">
            <w:pPr>
              <w:ind w:left="-105" w:right="-105"/>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1.19</w:t>
            </w:r>
          </w:p>
        </w:tc>
      </w:tr>
      <w:tr w14:paraId="6684D6E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188" w:type="dxa"/>
            <w:tcBorders>
              <w:tl2br w:val="nil"/>
              <w:tr2bl w:val="nil"/>
            </w:tcBorders>
            <w:vAlign w:val="center"/>
          </w:tcPr>
          <w:p w14:paraId="7A2FD8A9">
            <w:pPr>
              <w:ind w:left="-105" w:right="-105"/>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上风向G3</w:t>
            </w:r>
          </w:p>
        </w:tc>
        <w:tc>
          <w:tcPr>
            <w:tcW w:w="795" w:type="dxa"/>
            <w:vMerge w:val="continue"/>
            <w:tcBorders>
              <w:tl2br w:val="nil"/>
              <w:tr2bl w:val="nil"/>
            </w:tcBorders>
            <w:vAlign w:val="center"/>
          </w:tcPr>
          <w:p w14:paraId="17EB917D">
            <w:pPr>
              <w:ind w:left="-105" w:right="-105"/>
              <w:jc w:val="center"/>
              <w:rPr>
                <w:rFonts w:ascii="Times New Roman" w:hAnsi="Times New Roman" w:cs="Times New Roman"/>
                <w:color w:val="auto"/>
                <w:sz w:val="21"/>
                <w:szCs w:val="21"/>
                <w:highlight w:val="none"/>
              </w:rPr>
            </w:pPr>
          </w:p>
        </w:tc>
        <w:tc>
          <w:tcPr>
            <w:tcW w:w="795" w:type="dxa"/>
            <w:vMerge w:val="continue"/>
            <w:tcBorders>
              <w:tl2br w:val="nil"/>
              <w:tr2bl w:val="nil"/>
            </w:tcBorders>
            <w:vAlign w:val="center"/>
          </w:tcPr>
          <w:p w14:paraId="04AD6674">
            <w:pPr>
              <w:ind w:left="-105" w:right="-105"/>
              <w:jc w:val="center"/>
              <w:rPr>
                <w:rFonts w:ascii="Times New Roman" w:hAnsi="Times New Roman" w:cs="Times New Roman"/>
                <w:color w:val="auto"/>
                <w:sz w:val="21"/>
                <w:szCs w:val="21"/>
                <w:highlight w:val="none"/>
              </w:rPr>
            </w:pPr>
          </w:p>
        </w:tc>
        <w:tc>
          <w:tcPr>
            <w:tcW w:w="840" w:type="dxa"/>
            <w:tcBorders>
              <w:tl2br w:val="nil"/>
              <w:tr2bl w:val="nil"/>
            </w:tcBorders>
            <w:vAlign w:val="center"/>
          </w:tcPr>
          <w:p w14:paraId="5A740144">
            <w:pPr>
              <w:ind w:left="-105" w:right="-105"/>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mg/m</w:t>
            </w:r>
            <w:r>
              <w:rPr>
                <w:rFonts w:hint="eastAsia" w:ascii="Times New Roman" w:hAnsi="Times New Roman" w:cs="Times New Roman"/>
                <w:color w:val="auto"/>
                <w:sz w:val="21"/>
                <w:szCs w:val="21"/>
                <w:highlight w:val="none"/>
                <w:vertAlign w:val="superscript"/>
              </w:rPr>
              <w:t>3</w:t>
            </w:r>
          </w:p>
        </w:tc>
        <w:tc>
          <w:tcPr>
            <w:tcW w:w="850" w:type="dxa"/>
            <w:tcBorders>
              <w:tl2br w:val="nil"/>
              <w:tr2bl w:val="nil"/>
            </w:tcBorders>
            <w:vAlign w:val="center"/>
          </w:tcPr>
          <w:p w14:paraId="796943A8">
            <w:pPr>
              <w:ind w:left="-105" w:right="-105"/>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1.31</w:t>
            </w:r>
          </w:p>
        </w:tc>
        <w:tc>
          <w:tcPr>
            <w:tcW w:w="850" w:type="dxa"/>
            <w:tcBorders>
              <w:tl2br w:val="nil"/>
              <w:tr2bl w:val="nil"/>
            </w:tcBorders>
            <w:vAlign w:val="center"/>
          </w:tcPr>
          <w:p w14:paraId="54F26BC9">
            <w:pPr>
              <w:ind w:left="-105" w:right="-105"/>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1.27</w:t>
            </w:r>
          </w:p>
        </w:tc>
        <w:tc>
          <w:tcPr>
            <w:tcW w:w="850" w:type="dxa"/>
            <w:tcBorders>
              <w:tl2br w:val="nil"/>
              <w:tr2bl w:val="nil"/>
            </w:tcBorders>
            <w:vAlign w:val="center"/>
          </w:tcPr>
          <w:p w14:paraId="463AB994">
            <w:pPr>
              <w:ind w:left="-105" w:right="-105"/>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1.25</w:t>
            </w:r>
          </w:p>
        </w:tc>
        <w:tc>
          <w:tcPr>
            <w:tcW w:w="850" w:type="dxa"/>
            <w:tcBorders>
              <w:tl2br w:val="nil"/>
              <w:tr2bl w:val="nil"/>
            </w:tcBorders>
            <w:vAlign w:val="center"/>
          </w:tcPr>
          <w:p w14:paraId="04770B11">
            <w:pPr>
              <w:ind w:left="-105" w:right="-105"/>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1.39</w:t>
            </w:r>
          </w:p>
        </w:tc>
        <w:tc>
          <w:tcPr>
            <w:tcW w:w="850" w:type="dxa"/>
            <w:tcBorders>
              <w:tl2br w:val="nil"/>
              <w:tr2bl w:val="nil"/>
            </w:tcBorders>
            <w:vAlign w:val="center"/>
          </w:tcPr>
          <w:p w14:paraId="6FD0655A">
            <w:pPr>
              <w:ind w:left="-105" w:right="-105"/>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1.30</w:t>
            </w:r>
          </w:p>
        </w:tc>
        <w:tc>
          <w:tcPr>
            <w:tcW w:w="852" w:type="dxa"/>
            <w:tcBorders>
              <w:tl2br w:val="nil"/>
              <w:tr2bl w:val="nil"/>
            </w:tcBorders>
            <w:vAlign w:val="center"/>
          </w:tcPr>
          <w:p w14:paraId="32B4A3C0">
            <w:pPr>
              <w:ind w:left="-105" w:right="-105"/>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1.24</w:t>
            </w:r>
          </w:p>
        </w:tc>
      </w:tr>
      <w:tr w14:paraId="22B9278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188" w:type="dxa"/>
            <w:tcBorders>
              <w:tl2br w:val="nil"/>
              <w:tr2bl w:val="nil"/>
            </w:tcBorders>
            <w:vAlign w:val="center"/>
          </w:tcPr>
          <w:p w14:paraId="448F1800">
            <w:pPr>
              <w:ind w:left="-105" w:right="-105"/>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上风向G4</w:t>
            </w:r>
          </w:p>
        </w:tc>
        <w:tc>
          <w:tcPr>
            <w:tcW w:w="795" w:type="dxa"/>
            <w:vMerge w:val="continue"/>
            <w:tcBorders>
              <w:tl2br w:val="nil"/>
              <w:tr2bl w:val="nil"/>
            </w:tcBorders>
            <w:vAlign w:val="center"/>
          </w:tcPr>
          <w:p w14:paraId="113DE99E">
            <w:pPr>
              <w:ind w:left="-105" w:right="-105"/>
              <w:jc w:val="center"/>
              <w:rPr>
                <w:rFonts w:ascii="Times New Roman" w:hAnsi="Times New Roman" w:cs="Times New Roman"/>
                <w:color w:val="auto"/>
                <w:sz w:val="21"/>
                <w:szCs w:val="21"/>
                <w:highlight w:val="none"/>
              </w:rPr>
            </w:pPr>
          </w:p>
        </w:tc>
        <w:tc>
          <w:tcPr>
            <w:tcW w:w="795" w:type="dxa"/>
            <w:vMerge w:val="continue"/>
            <w:tcBorders>
              <w:tl2br w:val="nil"/>
              <w:tr2bl w:val="nil"/>
            </w:tcBorders>
            <w:vAlign w:val="center"/>
          </w:tcPr>
          <w:p w14:paraId="6F253D2D">
            <w:pPr>
              <w:ind w:left="-105" w:right="-105"/>
              <w:jc w:val="center"/>
              <w:rPr>
                <w:rFonts w:ascii="Times New Roman" w:hAnsi="Times New Roman" w:cs="Times New Roman"/>
                <w:color w:val="auto"/>
                <w:sz w:val="21"/>
                <w:szCs w:val="21"/>
                <w:highlight w:val="none"/>
              </w:rPr>
            </w:pPr>
          </w:p>
        </w:tc>
        <w:tc>
          <w:tcPr>
            <w:tcW w:w="840" w:type="dxa"/>
            <w:tcBorders>
              <w:tl2br w:val="nil"/>
              <w:tr2bl w:val="nil"/>
            </w:tcBorders>
            <w:vAlign w:val="center"/>
          </w:tcPr>
          <w:p w14:paraId="7DA2B36B">
            <w:pPr>
              <w:ind w:left="-105" w:right="-105"/>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mg/m</w:t>
            </w:r>
            <w:r>
              <w:rPr>
                <w:rFonts w:hint="eastAsia" w:ascii="Times New Roman" w:hAnsi="Times New Roman" w:cs="Times New Roman"/>
                <w:color w:val="auto"/>
                <w:sz w:val="21"/>
                <w:szCs w:val="21"/>
                <w:highlight w:val="none"/>
                <w:vertAlign w:val="superscript"/>
              </w:rPr>
              <w:t>3</w:t>
            </w:r>
          </w:p>
        </w:tc>
        <w:tc>
          <w:tcPr>
            <w:tcW w:w="850" w:type="dxa"/>
            <w:tcBorders>
              <w:tl2br w:val="nil"/>
              <w:tr2bl w:val="nil"/>
            </w:tcBorders>
            <w:vAlign w:val="center"/>
          </w:tcPr>
          <w:p w14:paraId="18A28EAF">
            <w:pPr>
              <w:ind w:left="-105" w:right="-105"/>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1.34</w:t>
            </w:r>
          </w:p>
        </w:tc>
        <w:tc>
          <w:tcPr>
            <w:tcW w:w="850" w:type="dxa"/>
            <w:tcBorders>
              <w:tl2br w:val="nil"/>
              <w:tr2bl w:val="nil"/>
            </w:tcBorders>
            <w:vAlign w:val="center"/>
          </w:tcPr>
          <w:p w14:paraId="70154FB3">
            <w:pPr>
              <w:ind w:left="-105" w:right="-105"/>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1.37</w:t>
            </w:r>
          </w:p>
        </w:tc>
        <w:tc>
          <w:tcPr>
            <w:tcW w:w="850" w:type="dxa"/>
            <w:tcBorders>
              <w:tl2br w:val="nil"/>
              <w:tr2bl w:val="nil"/>
            </w:tcBorders>
            <w:vAlign w:val="center"/>
          </w:tcPr>
          <w:p w14:paraId="0FDEAC53">
            <w:pPr>
              <w:ind w:left="-105" w:right="-105"/>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1.29</w:t>
            </w:r>
          </w:p>
        </w:tc>
        <w:tc>
          <w:tcPr>
            <w:tcW w:w="850" w:type="dxa"/>
            <w:tcBorders>
              <w:tl2br w:val="nil"/>
              <w:tr2bl w:val="nil"/>
            </w:tcBorders>
            <w:vAlign w:val="center"/>
          </w:tcPr>
          <w:p w14:paraId="6163C81F">
            <w:pPr>
              <w:ind w:left="-105" w:right="-105"/>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1.21</w:t>
            </w:r>
          </w:p>
        </w:tc>
        <w:tc>
          <w:tcPr>
            <w:tcW w:w="850" w:type="dxa"/>
            <w:tcBorders>
              <w:tl2br w:val="nil"/>
              <w:tr2bl w:val="nil"/>
            </w:tcBorders>
            <w:vAlign w:val="center"/>
          </w:tcPr>
          <w:p w14:paraId="6A960421">
            <w:pPr>
              <w:ind w:left="-105" w:right="-105"/>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1.35</w:t>
            </w:r>
          </w:p>
        </w:tc>
        <w:tc>
          <w:tcPr>
            <w:tcW w:w="852" w:type="dxa"/>
            <w:tcBorders>
              <w:tl2br w:val="nil"/>
              <w:tr2bl w:val="nil"/>
            </w:tcBorders>
            <w:vAlign w:val="center"/>
          </w:tcPr>
          <w:p w14:paraId="60F78640">
            <w:pPr>
              <w:ind w:left="-105" w:right="-105"/>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1.26</w:t>
            </w:r>
          </w:p>
        </w:tc>
      </w:tr>
    </w:tbl>
    <w:p w14:paraId="2DF3D5A1">
      <w:pPr>
        <w:spacing w:line="360" w:lineRule="auto"/>
        <w:ind w:left="-105" w:right="-105" w:firstLine="480" w:firstLineChars="200"/>
        <w:rPr>
          <w:rFonts w:ascii="Times New Roman" w:hAnsi="Times New Roman"/>
          <w:color w:val="auto"/>
          <w:szCs w:val="22"/>
          <w:highlight w:val="none"/>
        </w:rPr>
      </w:pPr>
      <w:r>
        <w:rPr>
          <w:rFonts w:hint="eastAsia" w:ascii="Times New Roman" w:hAnsi="Times New Roman"/>
          <w:color w:val="auto"/>
          <w:szCs w:val="22"/>
          <w:highlight w:val="none"/>
        </w:rPr>
        <w:t>以上监测结果表明：验收监测期间，厂界无组织排放的非甲烷总烃（含2-乙二醇单乙醚醋酸酯、丁酮、异氰酸酯、丙烯酸）满足《合成树脂工业污染物排放标准》（GB31572-2015）表9标准。</w:t>
      </w:r>
    </w:p>
    <w:p w14:paraId="32E74FCD">
      <w:pPr>
        <w:spacing w:line="360" w:lineRule="auto"/>
        <w:ind w:left="-105" w:right="-105" w:firstLine="480" w:firstLineChars="200"/>
        <w:rPr>
          <w:rFonts w:ascii="Times New Roman" w:hAnsi="Times New Roman"/>
          <w:color w:val="auto"/>
          <w:szCs w:val="22"/>
          <w:highlight w:val="none"/>
        </w:rPr>
      </w:pPr>
      <w:r>
        <w:rPr>
          <w:rFonts w:hint="eastAsia" w:ascii="Times New Roman" w:hAnsi="Times New Roman"/>
          <w:color w:val="auto"/>
          <w:szCs w:val="22"/>
          <w:highlight w:val="none"/>
        </w:rPr>
        <w:t>根据《化药化工（无锡）有限公司年产聚氨酯丙烯酸酯5000t、丙烯酸酯组成物10000t和环氧丙烯酸树脂1200t生产线技改扩建项目（第二阶段：年产聚氨酯丙烯酸酯2000t、丙烯酸酯组成物5000t）竣工环境保护验收报告》，</w:t>
      </w:r>
      <w:r>
        <w:rPr>
          <w:rFonts w:ascii="Times New Roman" w:hAnsi="Times New Roman"/>
          <w:color w:val="auto"/>
          <w:szCs w:val="22"/>
          <w:highlight w:val="none"/>
        </w:rPr>
        <w:t>现有项目</w:t>
      </w:r>
      <w:r>
        <w:rPr>
          <w:rFonts w:hint="eastAsia" w:ascii="Times New Roman" w:hAnsi="Times New Roman"/>
          <w:color w:val="auto"/>
          <w:szCs w:val="22"/>
          <w:highlight w:val="none"/>
        </w:rPr>
        <w:t>厂区内</w:t>
      </w:r>
      <w:r>
        <w:rPr>
          <w:rFonts w:ascii="Times New Roman" w:hAnsi="Times New Roman"/>
          <w:color w:val="auto"/>
          <w:szCs w:val="22"/>
          <w:highlight w:val="none"/>
        </w:rPr>
        <w:t>无组织废气实际排放情况见下表。</w:t>
      </w:r>
    </w:p>
    <w:p w14:paraId="3C4C5E1A">
      <w:pPr>
        <w:pStyle w:val="15"/>
        <w:spacing w:line="360" w:lineRule="auto"/>
        <w:ind w:left="-105" w:right="-105" w:firstLine="482"/>
        <w:rPr>
          <w:color w:val="auto"/>
          <w:szCs w:val="22"/>
          <w:highlight w:val="none"/>
        </w:rPr>
      </w:pPr>
      <w:r>
        <w:rPr>
          <w:rFonts w:eastAsia="宋体" w:cs="Times New Roman"/>
          <w:bCs/>
          <w:color w:val="auto"/>
          <w:sz w:val="24"/>
          <w:szCs w:val="18"/>
          <w:highlight w:val="none"/>
        </w:rPr>
        <w:t>表</w:t>
      </w:r>
      <w:r>
        <w:rPr>
          <w:rFonts w:eastAsia="宋体" w:cs="Times New Roman"/>
          <w:bCs/>
          <w:color w:val="auto"/>
          <w:sz w:val="24"/>
          <w:szCs w:val="18"/>
          <w:highlight w:val="none"/>
        </w:rPr>
        <w:fldChar w:fldCharType="begin"/>
      </w:r>
      <w:r>
        <w:rPr>
          <w:rFonts w:eastAsia="宋体" w:cs="Times New Roman"/>
          <w:bCs/>
          <w:color w:val="auto"/>
          <w:sz w:val="24"/>
          <w:szCs w:val="18"/>
          <w:highlight w:val="none"/>
        </w:rPr>
        <w:instrText xml:space="preserve"> STYLEREF 2 \s </w:instrText>
      </w:r>
      <w:r>
        <w:rPr>
          <w:rFonts w:eastAsia="宋体" w:cs="Times New Roman"/>
          <w:bCs/>
          <w:color w:val="auto"/>
          <w:sz w:val="24"/>
          <w:szCs w:val="18"/>
          <w:highlight w:val="none"/>
        </w:rPr>
        <w:fldChar w:fldCharType="separate"/>
      </w:r>
      <w:r>
        <w:rPr>
          <w:rFonts w:eastAsia="宋体" w:cs="Times New Roman"/>
          <w:bCs/>
          <w:color w:val="auto"/>
          <w:sz w:val="24"/>
          <w:szCs w:val="18"/>
          <w:highlight w:val="none"/>
        </w:rPr>
        <w:t>3.3</w:t>
      </w:r>
      <w:r>
        <w:rPr>
          <w:rFonts w:eastAsia="宋体" w:cs="Times New Roman"/>
          <w:bCs/>
          <w:color w:val="auto"/>
          <w:sz w:val="24"/>
          <w:szCs w:val="18"/>
          <w:highlight w:val="none"/>
        </w:rPr>
        <w:fldChar w:fldCharType="end"/>
      </w:r>
      <w:r>
        <w:rPr>
          <w:rFonts w:eastAsia="宋体" w:cs="Times New Roman"/>
          <w:bCs/>
          <w:color w:val="auto"/>
          <w:sz w:val="24"/>
          <w:szCs w:val="18"/>
          <w:highlight w:val="none"/>
        </w:rPr>
        <w:noBreakHyphen/>
      </w:r>
      <w:r>
        <w:rPr>
          <w:rFonts w:eastAsia="宋体" w:cs="Times New Roman"/>
          <w:bCs/>
          <w:color w:val="auto"/>
          <w:sz w:val="24"/>
          <w:szCs w:val="18"/>
          <w:highlight w:val="none"/>
        </w:rPr>
        <w:fldChar w:fldCharType="begin"/>
      </w:r>
      <w:r>
        <w:rPr>
          <w:rFonts w:eastAsia="宋体" w:cs="Times New Roman"/>
          <w:bCs/>
          <w:color w:val="auto"/>
          <w:sz w:val="24"/>
          <w:szCs w:val="18"/>
          <w:highlight w:val="none"/>
        </w:rPr>
        <w:instrText xml:space="preserve"> SEQ 表 \* ARABIC \s 2 </w:instrText>
      </w:r>
      <w:r>
        <w:rPr>
          <w:rFonts w:eastAsia="宋体" w:cs="Times New Roman"/>
          <w:bCs/>
          <w:color w:val="auto"/>
          <w:sz w:val="24"/>
          <w:szCs w:val="18"/>
          <w:highlight w:val="none"/>
        </w:rPr>
        <w:fldChar w:fldCharType="separate"/>
      </w:r>
      <w:r>
        <w:rPr>
          <w:rFonts w:eastAsia="宋体" w:cs="Times New Roman"/>
          <w:bCs/>
          <w:color w:val="auto"/>
          <w:sz w:val="24"/>
          <w:szCs w:val="18"/>
          <w:highlight w:val="none"/>
        </w:rPr>
        <w:t>8</w:t>
      </w:r>
      <w:r>
        <w:rPr>
          <w:rFonts w:eastAsia="宋体" w:cs="Times New Roman"/>
          <w:bCs/>
          <w:color w:val="auto"/>
          <w:sz w:val="24"/>
          <w:szCs w:val="18"/>
          <w:highlight w:val="none"/>
        </w:rPr>
        <w:fldChar w:fldCharType="end"/>
      </w:r>
      <w:r>
        <w:rPr>
          <w:rFonts w:hint="eastAsia" w:eastAsia="宋体" w:cs="Times New Roman"/>
          <w:bCs/>
          <w:color w:val="auto"/>
          <w:sz w:val="24"/>
          <w:szCs w:val="18"/>
          <w:highlight w:val="none"/>
        </w:rPr>
        <w:t>厂区内无组织废气监测结果</w:t>
      </w:r>
      <w:r>
        <w:rPr>
          <w:rFonts w:eastAsia="宋体" w:cs="Times New Roman"/>
          <w:bCs/>
          <w:color w:val="auto"/>
          <w:sz w:val="24"/>
          <w:szCs w:val="18"/>
          <w:highlight w:val="none"/>
        </w:rPr>
        <w:t>一览表</w:t>
      </w:r>
    </w:p>
    <w:tbl>
      <w:tblPr>
        <w:tblStyle w:val="46"/>
        <w:tblW w:w="5096"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20"/>
        <w:gridCol w:w="721"/>
        <w:gridCol w:w="780"/>
        <w:gridCol w:w="824"/>
        <w:gridCol w:w="742"/>
        <w:gridCol w:w="742"/>
        <w:gridCol w:w="742"/>
        <w:gridCol w:w="742"/>
        <w:gridCol w:w="742"/>
        <w:gridCol w:w="742"/>
        <w:gridCol w:w="742"/>
        <w:gridCol w:w="744"/>
      </w:tblGrid>
      <w:tr w14:paraId="633E2B9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18" w:type="dxa"/>
            <w:vMerge w:val="restart"/>
            <w:tcBorders>
              <w:tl2br w:val="nil"/>
              <w:tr2bl w:val="nil"/>
            </w:tcBorders>
            <w:vAlign w:val="center"/>
          </w:tcPr>
          <w:p w14:paraId="12298EC1">
            <w:pPr>
              <w:ind w:left="-105" w:right="-105"/>
              <w:jc w:val="center"/>
              <w:rPr>
                <w:rFonts w:ascii="Times New Roman" w:hAnsi="Times New Roman" w:cs="Times New Roman"/>
                <w:b/>
                <w:bCs/>
                <w:color w:val="auto"/>
                <w:sz w:val="21"/>
                <w:szCs w:val="21"/>
                <w:highlight w:val="none"/>
              </w:rPr>
            </w:pPr>
            <w:r>
              <w:rPr>
                <w:rFonts w:hint="eastAsia" w:ascii="Times New Roman" w:hAnsi="Times New Roman" w:cs="Times New Roman"/>
                <w:b/>
                <w:bCs/>
                <w:color w:val="auto"/>
                <w:sz w:val="21"/>
                <w:szCs w:val="21"/>
                <w:highlight w:val="none"/>
              </w:rPr>
              <w:t>监测点</w:t>
            </w:r>
          </w:p>
        </w:tc>
        <w:tc>
          <w:tcPr>
            <w:tcW w:w="720" w:type="dxa"/>
            <w:vMerge w:val="restart"/>
            <w:tcBorders>
              <w:tl2br w:val="nil"/>
              <w:tr2bl w:val="nil"/>
            </w:tcBorders>
            <w:vAlign w:val="center"/>
          </w:tcPr>
          <w:p w14:paraId="4346FE9D">
            <w:pPr>
              <w:ind w:left="-105" w:right="-105"/>
              <w:jc w:val="center"/>
              <w:rPr>
                <w:rFonts w:ascii="Times New Roman" w:hAnsi="Times New Roman" w:cs="Times New Roman"/>
                <w:b/>
                <w:bCs/>
                <w:color w:val="auto"/>
                <w:sz w:val="21"/>
                <w:szCs w:val="21"/>
                <w:highlight w:val="none"/>
              </w:rPr>
            </w:pPr>
            <w:r>
              <w:rPr>
                <w:rFonts w:hint="eastAsia" w:ascii="Times New Roman" w:hAnsi="Times New Roman" w:cs="Times New Roman"/>
                <w:b/>
                <w:bCs/>
                <w:color w:val="auto"/>
                <w:sz w:val="21"/>
                <w:szCs w:val="21"/>
                <w:highlight w:val="none"/>
              </w:rPr>
              <w:t>监测项目</w:t>
            </w:r>
          </w:p>
        </w:tc>
        <w:tc>
          <w:tcPr>
            <w:tcW w:w="780" w:type="dxa"/>
            <w:vMerge w:val="restart"/>
            <w:tcBorders>
              <w:tl2br w:val="nil"/>
              <w:tr2bl w:val="nil"/>
            </w:tcBorders>
            <w:vAlign w:val="center"/>
          </w:tcPr>
          <w:p w14:paraId="7048B4F0">
            <w:pPr>
              <w:ind w:left="-105" w:right="-105"/>
              <w:jc w:val="center"/>
              <w:rPr>
                <w:rFonts w:ascii="Times New Roman" w:hAnsi="Times New Roman" w:cs="Times New Roman"/>
                <w:b/>
                <w:bCs/>
                <w:color w:val="auto"/>
                <w:sz w:val="21"/>
                <w:szCs w:val="21"/>
                <w:highlight w:val="none"/>
              </w:rPr>
            </w:pPr>
            <w:r>
              <w:rPr>
                <w:rFonts w:hint="eastAsia" w:ascii="Times New Roman" w:hAnsi="Times New Roman" w:cs="Times New Roman"/>
                <w:b/>
                <w:bCs/>
                <w:color w:val="auto"/>
                <w:sz w:val="21"/>
                <w:szCs w:val="21"/>
                <w:highlight w:val="none"/>
              </w:rPr>
              <w:t>标准限值</w:t>
            </w:r>
          </w:p>
        </w:tc>
        <w:tc>
          <w:tcPr>
            <w:tcW w:w="825" w:type="dxa"/>
            <w:vMerge w:val="restart"/>
            <w:tcBorders>
              <w:tl2br w:val="nil"/>
              <w:tr2bl w:val="nil"/>
            </w:tcBorders>
            <w:vAlign w:val="center"/>
          </w:tcPr>
          <w:p w14:paraId="27D97F5A">
            <w:pPr>
              <w:ind w:left="-105" w:right="-105"/>
              <w:jc w:val="center"/>
              <w:rPr>
                <w:rFonts w:ascii="Times New Roman" w:hAnsi="Times New Roman" w:cs="Times New Roman"/>
                <w:b/>
                <w:bCs/>
                <w:color w:val="auto"/>
                <w:sz w:val="21"/>
                <w:szCs w:val="21"/>
                <w:highlight w:val="none"/>
              </w:rPr>
            </w:pPr>
            <w:r>
              <w:rPr>
                <w:rFonts w:hint="eastAsia" w:ascii="Times New Roman" w:hAnsi="Times New Roman" w:cs="Times New Roman"/>
                <w:b/>
                <w:bCs/>
                <w:color w:val="auto"/>
                <w:sz w:val="21"/>
                <w:szCs w:val="21"/>
                <w:highlight w:val="none"/>
              </w:rPr>
              <w:t>单位</w:t>
            </w:r>
          </w:p>
        </w:tc>
        <w:tc>
          <w:tcPr>
            <w:tcW w:w="5946" w:type="dxa"/>
            <w:gridSpan w:val="8"/>
            <w:tcBorders>
              <w:tl2br w:val="nil"/>
              <w:tr2bl w:val="nil"/>
            </w:tcBorders>
            <w:vAlign w:val="center"/>
          </w:tcPr>
          <w:p w14:paraId="1CFCA0D2">
            <w:pPr>
              <w:ind w:left="-105" w:right="-105"/>
              <w:jc w:val="center"/>
              <w:rPr>
                <w:rFonts w:ascii="Times New Roman" w:hAnsi="Times New Roman" w:cs="Times New Roman"/>
                <w:b/>
                <w:bCs/>
                <w:color w:val="auto"/>
                <w:sz w:val="21"/>
                <w:szCs w:val="21"/>
                <w:highlight w:val="none"/>
              </w:rPr>
            </w:pPr>
            <w:r>
              <w:rPr>
                <w:rFonts w:hint="eastAsia" w:ascii="Times New Roman" w:hAnsi="Times New Roman" w:cs="Times New Roman"/>
                <w:b/>
                <w:bCs/>
                <w:color w:val="auto"/>
                <w:sz w:val="21"/>
                <w:szCs w:val="21"/>
                <w:highlight w:val="none"/>
              </w:rPr>
              <w:t>监测结果</w:t>
            </w:r>
          </w:p>
        </w:tc>
      </w:tr>
      <w:tr w14:paraId="0B193D6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18" w:type="dxa"/>
            <w:vMerge w:val="continue"/>
            <w:tcBorders>
              <w:tl2br w:val="nil"/>
              <w:tr2bl w:val="nil"/>
            </w:tcBorders>
            <w:vAlign w:val="center"/>
          </w:tcPr>
          <w:p w14:paraId="0E34F79E">
            <w:pPr>
              <w:ind w:left="-105" w:right="-105"/>
              <w:jc w:val="center"/>
              <w:rPr>
                <w:rFonts w:ascii="Times New Roman" w:hAnsi="Times New Roman" w:cs="Times New Roman"/>
                <w:b/>
                <w:bCs/>
                <w:color w:val="auto"/>
                <w:sz w:val="21"/>
                <w:szCs w:val="21"/>
                <w:highlight w:val="none"/>
              </w:rPr>
            </w:pPr>
          </w:p>
        </w:tc>
        <w:tc>
          <w:tcPr>
            <w:tcW w:w="720" w:type="dxa"/>
            <w:vMerge w:val="continue"/>
            <w:tcBorders>
              <w:tl2br w:val="nil"/>
              <w:tr2bl w:val="nil"/>
            </w:tcBorders>
            <w:vAlign w:val="center"/>
          </w:tcPr>
          <w:p w14:paraId="55F3C110">
            <w:pPr>
              <w:ind w:left="-105" w:right="-105"/>
              <w:jc w:val="center"/>
              <w:rPr>
                <w:rFonts w:ascii="Times New Roman" w:hAnsi="Times New Roman" w:cs="Times New Roman"/>
                <w:b/>
                <w:bCs/>
                <w:color w:val="auto"/>
                <w:sz w:val="21"/>
                <w:szCs w:val="21"/>
                <w:highlight w:val="none"/>
              </w:rPr>
            </w:pPr>
          </w:p>
        </w:tc>
        <w:tc>
          <w:tcPr>
            <w:tcW w:w="780" w:type="dxa"/>
            <w:vMerge w:val="continue"/>
            <w:tcBorders>
              <w:tl2br w:val="nil"/>
              <w:tr2bl w:val="nil"/>
            </w:tcBorders>
            <w:vAlign w:val="center"/>
          </w:tcPr>
          <w:p w14:paraId="450BCB6F">
            <w:pPr>
              <w:ind w:left="-105" w:right="-105"/>
              <w:jc w:val="center"/>
              <w:rPr>
                <w:rFonts w:ascii="Times New Roman" w:hAnsi="Times New Roman" w:cs="Times New Roman"/>
                <w:b/>
                <w:bCs/>
                <w:color w:val="auto"/>
                <w:sz w:val="21"/>
                <w:szCs w:val="21"/>
                <w:highlight w:val="none"/>
              </w:rPr>
            </w:pPr>
          </w:p>
        </w:tc>
        <w:tc>
          <w:tcPr>
            <w:tcW w:w="825" w:type="dxa"/>
            <w:vMerge w:val="continue"/>
            <w:tcBorders>
              <w:tl2br w:val="nil"/>
              <w:tr2bl w:val="nil"/>
            </w:tcBorders>
            <w:vAlign w:val="center"/>
          </w:tcPr>
          <w:p w14:paraId="60FF43B6">
            <w:pPr>
              <w:ind w:left="-105" w:right="-105"/>
              <w:jc w:val="center"/>
              <w:rPr>
                <w:rFonts w:ascii="Times New Roman" w:hAnsi="Times New Roman" w:cs="Times New Roman"/>
                <w:b/>
                <w:bCs/>
                <w:color w:val="auto"/>
                <w:sz w:val="21"/>
                <w:szCs w:val="21"/>
                <w:highlight w:val="none"/>
              </w:rPr>
            </w:pPr>
          </w:p>
        </w:tc>
        <w:tc>
          <w:tcPr>
            <w:tcW w:w="2972" w:type="dxa"/>
            <w:gridSpan w:val="4"/>
            <w:tcBorders>
              <w:tl2br w:val="nil"/>
              <w:tr2bl w:val="nil"/>
            </w:tcBorders>
            <w:vAlign w:val="center"/>
          </w:tcPr>
          <w:p w14:paraId="01BFA951">
            <w:pPr>
              <w:ind w:left="-105" w:right="-105"/>
              <w:jc w:val="center"/>
              <w:rPr>
                <w:rFonts w:ascii="Times New Roman" w:hAnsi="Times New Roman" w:cs="Times New Roman"/>
                <w:b/>
                <w:bCs/>
                <w:color w:val="auto"/>
                <w:sz w:val="21"/>
                <w:szCs w:val="21"/>
                <w:highlight w:val="none"/>
              </w:rPr>
            </w:pPr>
            <w:r>
              <w:rPr>
                <w:rFonts w:hint="eastAsia" w:ascii="Times New Roman" w:hAnsi="Times New Roman" w:cs="Times New Roman"/>
                <w:b/>
                <w:bCs/>
                <w:color w:val="auto"/>
                <w:sz w:val="21"/>
                <w:szCs w:val="21"/>
                <w:highlight w:val="none"/>
              </w:rPr>
              <w:t>2023.3.15</w:t>
            </w:r>
          </w:p>
        </w:tc>
        <w:tc>
          <w:tcPr>
            <w:tcW w:w="2974" w:type="dxa"/>
            <w:gridSpan w:val="4"/>
            <w:tcBorders>
              <w:tl2br w:val="nil"/>
              <w:tr2bl w:val="nil"/>
            </w:tcBorders>
            <w:vAlign w:val="center"/>
          </w:tcPr>
          <w:p w14:paraId="6499F58A">
            <w:pPr>
              <w:ind w:left="-105" w:right="-105"/>
              <w:jc w:val="center"/>
              <w:rPr>
                <w:rFonts w:ascii="Times New Roman" w:hAnsi="Times New Roman" w:cs="Times New Roman"/>
                <w:b/>
                <w:bCs/>
                <w:color w:val="auto"/>
                <w:sz w:val="21"/>
                <w:szCs w:val="21"/>
                <w:highlight w:val="none"/>
              </w:rPr>
            </w:pPr>
            <w:r>
              <w:rPr>
                <w:rFonts w:hint="eastAsia" w:ascii="Times New Roman" w:hAnsi="Times New Roman" w:cs="Times New Roman"/>
                <w:b/>
                <w:bCs/>
                <w:color w:val="auto"/>
                <w:sz w:val="21"/>
                <w:szCs w:val="21"/>
                <w:highlight w:val="none"/>
              </w:rPr>
              <w:t>2023.3.16</w:t>
            </w:r>
          </w:p>
        </w:tc>
      </w:tr>
      <w:tr w14:paraId="7C41DF1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18" w:type="dxa"/>
            <w:vMerge w:val="continue"/>
            <w:tcBorders>
              <w:tl2br w:val="nil"/>
              <w:tr2bl w:val="nil"/>
            </w:tcBorders>
            <w:vAlign w:val="center"/>
          </w:tcPr>
          <w:p w14:paraId="0CDA7E12">
            <w:pPr>
              <w:ind w:left="-105" w:right="-105"/>
              <w:jc w:val="center"/>
              <w:rPr>
                <w:rFonts w:ascii="Times New Roman" w:hAnsi="Times New Roman" w:cs="Times New Roman"/>
                <w:b/>
                <w:bCs/>
                <w:color w:val="auto"/>
                <w:sz w:val="21"/>
                <w:szCs w:val="21"/>
                <w:highlight w:val="none"/>
              </w:rPr>
            </w:pPr>
          </w:p>
        </w:tc>
        <w:tc>
          <w:tcPr>
            <w:tcW w:w="720" w:type="dxa"/>
            <w:vMerge w:val="continue"/>
            <w:tcBorders>
              <w:tl2br w:val="nil"/>
              <w:tr2bl w:val="nil"/>
            </w:tcBorders>
            <w:vAlign w:val="center"/>
          </w:tcPr>
          <w:p w14:paraId="0C11398D">
            <w:pPr>
              <w:ind w:left="-105" w:right="-105"/>
              <w:jc w:val="center"/>
              <w:rPr>
                <w:rFonts w:ascii="Times New Roman" w:hAnsi="Times New Roman" w:cs="Times New Roman"/>
                <w:b/>
                <w:bCs/>
                <w:color w:val="auto"/>
                <w:sz w:val="21"/>
                <w:szCs w:val="21"/>
                <w:highlight w:val="none"/>
              </w:rPr>
            </w:pPr>
          </w:p>
        </w:tc>
        <w:tc>
          <w:tcPr>
            <w:tcW w:w="780" w:type="dxa"/>
            <w:vMerge w:val="continue"/>
            <w:tcBorders>
              <w:tl2br w:val="nil"/>
              <w:tr2bl w:val="nil"/>
            </w:tcBorders>
            <w:vAlign w:val="center"/>
          </w:tcPr>
          <w:p w14:paraId="7B04760D">
            <w:pPr>
              <w:ind w:left="-105" w:right="-105"/>
              <w:jc w:val="center"/>
              <w:rPr>
                <w:rFonts w:ascii="Times New Roman" w:hAnsi="Times New Roman" w:cs="Times New Roman"/>
                <w:b/>
                <w:bCs/>
                <w:color w:val="auto"/>
                <w:sz w:val="21"/>
                <w:szCs w:val="21"/>
                <w:highlight w:val="none"/>
              </w:rPr>
            </w:pPr>
          </w:p>
        </w:tc>
        <w:tc>
          <w:tcPr>
            <w:tcW w:w="825" w:type="dxa"/>
            <w:vMerge w:val="continue"/>
            <w:tcBorders>
              <w:tl2br w:val="nil"/>
              <w:tr2bl w:val="nil"/>
            </w:tcBorders>
            <w:vAlign w:val="center"/>
          </w:tcPr>
          <w:p w14:paraId="2FC780EE">
            <w:pPr>
              <w:ind w:left="-105" w:right="-105"/>
              <w:jc w:val="center"/>
              <w:rPr>
                <w:rFonts w:ascii="Times New Roman" w:hAnsi="Times New Roman" w:cs="Times New Roman"/>
                <w:b/>
                <w:bCs/>
                <w:color w:val="auto"/>
                <w:sz w:val="21"/>
                <w:szCs w:val="21"/>
                <w:highlight w:val="none"/>
              </w:rPr>
            </w:pPr>
          </w:p>
        </w:tc>
        <w:tc>
          <w:tcPr>
            <w:tcW w:w="743" w:type="dxa"/>
            <w:tcBorders>
              <w:tl2br w:val="nil"/>
              <w:tr2bl w:val="nil"/>
            </w:tcBorders>
            <w:vAlign w:val="center"/>
          </w:tcPr>
          <w:p w14:paraId="60F684DB">
            <w:pPr>
              <w:ind w:left="-105" w:right="-105"/>
              <w:jc w:val="center"/>
              <w:rPr>
                <w:rFonts w:ascii="Times New Roman" w:hAnsi="Times New Roman" w:cs="Times New Roman"/>
                <w:b/>
                <w:bCs/>
                <w:color w:val="auto"/>
                <w:sz w:val="21"/>
                <w:szCs w:val="21"/>
                <w:highlight w:val="none"/>
              </w:rPr>
            </w:pPr>
            <w:r>
              <w:rPr>
                <w:rFonts w:hint="eastAsia" w:ascii="Times New Roman" w:hAnsi="Times New Roman" w:cs="Times New Roman"/>
                <w:b/>
                <w:bCs/>
                <w:color w:val="auto"/>
                <w:sz w:val="21"/>
                <w:szCs w:val="21"/>
                <w:highlight w:val="none"/>
              </w:rPr>
              <w:t>第一次</w:t>
            </w:r>
          </w:p>
        </w:tc>
        <w:tc>
          <w:tcPr>
            <w:tcW w:w="743" w:type="dxa"/>
            <w:tcBorders>
              <w:tl2br w:val="nil"/>
              <w:tr2bl w:val="nil"/>
            </w:tcBorders>
            <w:vAlign w:val="center"/>
          </w:tcPr>
          <w:p w14:paraId="3C6E50FD">
            <w:pPr>
              <w:ind w:left="-105" w:right="-105"/>
              <w:jc w:val="center"/>
              <w:rPr>
                <w:rFonts w:ascii="Times New Roman" w:hAnsi="Times New Roman" w:cs="Times New Roman"/>
                <w:b/>
                <w:bCs/>
                <w:color w:val="auto"/>
                <w:sz w:val="21"/>
                <w:szCs w:val="21"/>
                <w:highlight w:val="none"/>
              </w:rPr>
            </w:pPr>
            <w:r>
              <w:rPr>
                <w:rFonts w:hint="eastAsia" w:ascii="Times New Roman" w:hAnsi="Times New Roman" w:cs="Times New Roman"/>
                <w:b/>
                <w:bCs/>
                <w:color w:val="auto"/>
                <w:sz w:val="21"/>
                <w:szCs w:val="21"/>
                <w:highlight w:val="none"/>
              </w:rPr>
              <w:t>第二次</w:t>
            </w:r>
          </w:p>
        </w:tc>
        <w:tc>
          <w:tcPr>
            <w:tcW w:w="743" w:type="dxa"/>
            <w:tcBorders>
              <w:tl2br w:val="nil"/>
              <w:tr2bl w:val="nil"/>
            </w:tcBorders>
            <w:vAlign w:val="center"/>
          </w:tcPr>
          <w:p w14:paraId="6E81A8C6">
            <w:pPr>
              <w:ind w:left="-105" w:right="-105"/>
              <w:jc w:val="center"/>
              <w:rPr>
                <w:rFonts w:ascii="Times New Roman" w:hAnsi="Times New Roman" w:cs="Times New Roman"/>
                <w:b/>
                <w:bCs/>
                <w:color w:val="auto"/>
                <w:sz w:val="21"/>
                <w:szCs w:val="21"/>
                <w:highlight w:val="none"/>
              </w:rPr>
            </w:pPr>
            <w:r>
              <w:rPr>
                <w:rFonts w:hint="eastAsia" w:ascii="Times New Roman" w:hAnsi="Times New Roman" w:cs="Times New Roman"/>
                <w:b/>
                <w:bCs/>
                <w:color w:val="auto"/>
                <w:sz w:val="21"/>
                <w:szCs w:val="21"/>
                <w:highlight w:val="none"/>
              </w:rPr>
              <w:t>第三次</w:t>
            </w:r>
          </w:p>
        </w:tc>
        <w:tc>
          <w:tcPr>
            <w:tcW w:w="743" w:type="dxa"/>
            <w:tcBorders>
              <w:tl2br w:val="nil"/>
              <w:tr2bl w:val="nil"/>
            </w:tcBorders>
            <w:vAlign w:val="center"/>
          </w:tcPr>
          <w:p w14:paraId="6FCBE00D">
            <w:pPr>
              <w:ind w:left="-105" w:right="-105"/>
              <w:jc w:val="center"/>
              <w:rPr>
                <w:rFonts w:ascii="Times New Roman" w:hAnsi="Times New Roman" w:cs="Times New Roman"/>
                <w:b/>
                <w:bCs/>
                <w:color w:val="auto"/>
                <w:sz w:val="21"/>
                <w:szCs w:val="21"/>
                <w:highlight w:val="none"/>
              </w:rPr>
            </w:pPr>
            <w:r>
              <w:rPr>
                <w:rFonts w:hint="eastAsia" w:ascii="Times New Roman" w:hAnsi="Times New Roman" w:cs="Times New Roman"/>
                <w:b/>
                <w:bCs/>
                <w:color w:val="auto"/>
                <w:sz w:val="21"/>
                <w:szCs w:val="21"/>
                <w:highlight w:val="none"/>
              </w:rPr>
              <w:t>均值</w:t>
            </w:r>
          </w:p>
        </w:tc>
        <w:tc>
          <w:tcPr>
            <w:tcW w:w="743" w:type="dxa"/>
            <w:tcBorders>
              <w:tl2br w:val="nil"/>
              <w:tr2bl w:val="nil"/>
            </w:tcBorders>
            <w:vAlign w:val="center"/>
          </w:tcPr>
          <w:p w14:paraId="39A20EFF">
            <w:pPr>
              <w:ind w:left="-105" w:right="-105"/>
              <w:jc w:val="center"/>
              <w:rPr>
                <w:rFonts w:ascii="Times New Roman" w:hAnsi="Times New Roman" w:cs="Times New Roman"/>
                <w:b/>
                <w:bCs/>
                <w:color w:val="auto"/>
                <w:sz w:val="21"/>
                <w:szCs w:val="21"/>
                <w:highlight w:val="none"/>
              </w:rPr>
            </w:pPr>
            <w:r>
              <w:rPr>
                <w:rFonts w:hint="eastAsia" w:ascii="Times New Roman" w:hAnsi="Times New Roman" w:cs="Times New Roman"/>
                <w:b/>
                <w:bCs/>
                <w:color w:val="auto"/>
                <w:sz w:val="21"/>
                <w:szCs w:val="21"/>
                <w:highlight w:val="none"/>
              </w:rPr>
              <w:t>第一次</w:t>
            </w:r>
          </w:p>
        </w:tc>
        <w:tc>
          <w:tcPr>
            <w:tcW w:w="743" w:type="dxa"/>
            <w:tcBorders>
              <w:tl2br w:val="nil"/>
              <w:tr2bl w:val="nil"/>
            </w:tcBorders>
            <w:vAlign w:val="center"/>
          </w:tcPr>
          <w:p w14:paraId="1A029295">
            <w:pPr>
              <w:ind w:left="-105" w:right="-105"/>
              <w:jc w:val="center"/>
              <w:rPr>
                <w:rFonts w:ascii="Times New Roman" w:hAnsi="Times New Roman" w:cs="Times New Roman"/>
                <w:b/>
                <w:bCs/>
                <w:color w:val="auto"/>
                <w:sz w:val="21"/>
                <w:szCs w:val="21"/>
                <w:highlight w:val="none"/>
              </w:rPr>
            </w:pPr>
            <w:r>
              <w:rPr>
                <w:rFonts w:hint="eastAsia" w:ascii="Times New Roman" w:hAnsi="Times New Roman" w:cs="Times New Roman"/>
                <w:b/>
                <w:bCs/>
                <w:color w:val="auto"/>
                <w:sz w:val="21"/>
                <w:szCs w:val="21"/>
                <w:highlight w:val="none"/>
              </w:rPr>
              <w:t>第二次</w:t>
            </w:r>
          </w:p>
        </w:tc>
        <w:tc>
          <w:tcPr>
            <w:tcW w:w="743" w:type="dxa"/>
            <w:tcBorders>
              <w:tl2br w:val="nil"/>
              <w:tr2bl w:val="nil"/>
            </w:tcBorders>
            <w:vAlign w:val="center"/>
          </w:tcPr>
          <w:p w14:paraId="44253B1C">
            <w:pPr>
              <w:ind w:left="-105" w:right="-105"/>
              <w:jc w:val="center"/>
              <w:rPr>
                <w:rFonts w:ascii="Times New Roman" w:hAnsi="Times New Roman" w:cs="Times New Roman"/>
                <w:b/>
                <w:bCs/>
                <w:color w:val="auto"/>
                <w:sz w:val="21"/>
                <w:szCs w:val="21"/>
                <w:highlight w:val="none"/>
              </w:rPr>
            </w:pPr>
            <w:r>
              <w:rPr>
                <w:rFonts w:hint="eastAsia" w:ascii="Times New Roman" w:hAnsi="Times New Roman" w:cs="Times New Roman"/>
                <w:b/>
                <w:bCs/>
                <w:color w:val="auto"/>
                <w:sz w:val="21"/>
                <w:szCs w:val="21"/>
                <w:highlight w:val="none"/>
              </w:rPr>
              <w:t>第三次</w:t>
            </w:r>
          </w:p>
        </w:tc>
        <w:tc>
          <w:tcPr>
            <w:tcW w:w="745" w:type="dxa"/>
            <w:tcBorders>
              <w:tl2br w:val="nil"/>
              <w:tr2bl w:val="nil"/>
            </w:tcBorders>
            <w:vAlign w:val="center"/>
          </w:tcPr>
          <w:p w14:paraId="28347ED2">
            <w:pPr>
              <w:ind w:left="-105" w:right="-105"/>
              <w:jc w:val="center"/>
              <w:rPr>
                <w:rFonts w:ascii="Times New Roman" w:hAnsi="Times New Roman" w:cs="Times New Roman"/>
                <w:b/>
                <w:bCs/>
                <w:color w:val="auto"/>
                <w:sz w:val="21"/>
                <w:szCs w:val="21"/>
                <w:highlight w:val="none"/>
              </w:rPr>
            </w:pPr>
            <w:r>
              <w:rPr>
                <w:rFonts w:hint="eastAsia" w:ascii="Times New Roman" w:hAnsi="Times New Roman" w:cs="Times New Roman"/>
                <w:b/>
                <w:bCs/>
                <w:color w:val="auto"/>
                <w:sz w:val="21"/>
                <w:szCs w:val="21"/>
                <w:highlight w:val="none"/>
              </w:rPr>
              <w:t>均值</w:t>
            </w:r>
          </w:p>
        </w:tc>
      </w:tr>
      <w:tr w14:paraId="3950A6C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18" w:type="dxa"/>
            <w:vMerge w:val="restart"/>
            <w:tcBorders>
              <w:tl2br w:val="nil"/>
              <w:tr2bl w:val="nil"/>
            </w:tcBorders>
            <w:vAlign w:val="center"/>
          </w:tcPr>
          <w:p w14:paraId="5148B992">
            <w:pPr>
              <w:ind w:left="-105" w:right="-105"/>
              <w:jc w:val="center"/>
              <w:rPr>
                <w:rFonts w:ascii="Times New Roman" w:hAnsi="Times New Roman" w:cs="Times New Roman"/>
                <w:b/>
                <w:bCs/>
                <w:color w:val="auto"/>
                <w:sz w:val="21"/>
                <w:szCs w:val="21"/>
                <w:highlight w:val="none"/>
              </w:rPr>
            </w:pPr>
            <w:r>
              <w:rPr>
                <w:rFonts w:hint="eastAsia" w:ascii="Times New Roman" w:hAnsi="Times New Roman" w:cs="Times New Roman"/>
                <w:b/>
                <w:bCs/>
                <w:color w:val="auto"/>
                <w:sz w:val="21"/>
                <w:szCs w:val="21"/>
                <w:highlight w:val="none"/>
              </w:rPr>
              <w:t>气象参数</w:t>
            </w:r>
          </w:p>
        </w:tc>
        <w:tc>
          <w:tcPr>
            <w:tcW w:w="720" w:type="dxa"/>
            <w:tcBorders>
              <w:tl2br w:val="nil"/>
              <w:tr2bl w:val="nil"/>
            </w:tcBorders>
            <w:vAlign w:val="center"/>
          </w:tcPr>
          <w:p w14:paraId="09316B8B">
            <w:pPr>
              <w:ind w:left="-105" w:right="-105"/>
              <w:jc w:val="center"/>
              <w:rPr>
                <w:rFonts w:ascii="Times New Roman" w:hAnsi="Times New Roman" w:cs="Times New Roman"/>
                <w:b/>
                <w:bCs/>
                <w:color w:val="auto"/>
                <w:sz w:val="21"/>
                <w:szCs w:val="21"/>
                <w:highlight w:val="none"/>
              </w:rPr>
            </w:pPr>
            <w:r>
              <w:rPr>
                <w:rFonts w:hint="eastAsia" w:ascii="Times New Roman" w:hAnsi="Times New Roman" w:cs="Times New Roman"/>
                <w:b/>
                <w:bCs/>
                <w:color w:val="auto"/>
                <w:sz w:val="21"/>
                <w:szCs w:val="21"/>
                <w:highlight w:val="none"/>
              </w:rPr>
              <w:t>风速</w:t>
            </w:r>
          </w:p>
        </w:tc>
        <w:tc>
          <w:tcPr>
            <w:tcW w:w="780" w:type="dxa"/>
            <w:tcBorders>
              <w:tl2br w:val="nil"/>
              <w:tr2bl w:val="nil"/>
            </w:tcBorders>
            <w:vAlign w:val="center"/>
          </w:tcPr>
          <w:p w14:paraId="510BEE8C">
            <w:pPr>
              <w:ind w:left="-105" w:right="-105"/>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w:t>
            </w:r>
          </w:p>
        </w:tc>
        <w:tc>
          <w:tcPr>
            <w:tcW w:w="825" w:type="dxa"/>
            <w:tcBorders>
              <w:tl2br w:val="nil"/>
              <w:tr2bl w:val="nil"/>
            </w:tcBorders>
            <w:vAlign w:val="center"/>
          </w:tcPr>
          <w:p w14:paraId="30D7840F">
            <w:pPr>
              <w:ind w:left="-105" w:right="-105"/>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m/s</w:t>
            </w:r>
          </w:p>
        </w:tc>
        <w:tc>
          <w:tcPr>
            <w:tcW w:w="2972" w:type="dxa"/>
            <w:gridSpan w:val="4"/>
            <w:tcBorders>
              <w:tl2br w:val="nil"/>
              <w:tr2bl w:val="nil"/>
            </w:tcBorders>
            <w:vAlign w:val="center"/>
          </w:tcPr>
          <w:p w14:paraId="2800B0E4">
            <w:pPr>
              <w:ind w:left="-105" w:right="-105"/>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2.2~2.8</w:t>
            </w:r>
          </w:p>
        </w:tc>
        <w:tc>
          <w:tcPr>
            <w:tcW w:w="2974" w:type="dxa"/>
            <w:gridSpan w:val="4"/>
            <w:tcBorders>
              <w:tl2br w:val="nil"/>
              <w:tr2bl w:val="nil"/>
            </w:tcBorders>
            <w:vAlign w:val="center"/>
          </w:tcPr>
          <w:p w14:paraId="3B31B4EB">
            <w:pPr>
              <w:ind w:left="-105" w:right="-105"/>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2.6~3.0</w:t>
            </w:r>
          </w:p>
        </w:tc>
      </w:tr>
      <w:tr w14:paraId="60DB78B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18" w:type="dxa"/>
            <w:vMerge w:val="continue"/>
            <w:tcBorders>
              <w:tl2br w:val="nil"/>
              <w:tr2bl w:val="nil"/>
            </w:tcBorders>
            <w:vAlign w:val="center"/>
          </w:tcPr>
          <w:p w14:paraId="29819B85">
            <w:pPr>
              <w:ind w:left="-105" w:right="-105"/>
              <w:jc w:val="center"/>
              <w:rPr>
                <w:rFonts w:ascii="Times New Roman" w:hAnsi="Times New Roman" w:cs="Times New Roman"/>
                <w:b/>
                <w:bCs/>
                <w:color w:val="auto"/>
                <w:sz w:val="21"/>
                <w:szCs w:val="21"/>
                <w:highlight w:val="none"/>
              </w:rPr>
            </w:pPr>
          </w:p>
        </w:tc>
        <w:tc>
          <w:tcPr>
            <w:tcW w:w="720" w:type="dxa"/>
            <w:tcBorders>
              <w:tl2br w:val="nil"/>
              <w:tr2bl w:val="nil"/>
            </w:tcBorders>
            <w:vAlign w:val="center"/>
          </w:tcPr>
          <w:p w14:paraId="1AD187F7">
            <w:pPr>
              <w:ind w:left="-105" w:right="-105"/>
              <w:jc w:val="center"/>
              <w:rPr>
                <w:rFonts w:ascii="Times New Roman" w:hAnsi="Times New Roman" w:cs="Times New Roman"/>
                <w:b/>
                <w:bCs/>
                <w:color w:val="auto"/>
                <w:sz w:val="21"/>
                <w:szCs w:val="21"/>
                <w:highlight w:val="none"/>
              </w:rPr>
            </w:pPr>
            <w:r>
              <w:rPr>
                <w:rFonts w:hint="eastAsia" w:ascii="Times New Roman" w:hAnsi="Times New Roman" w:cs="Times New Roman"/>
                <w:b/>
                <w:bCs/>
                <w:color w:val="auto"/>
                <w:sz w:val="21"/>
                <w:szCs w:val="21"/>
                <w:highlight w:val="none"/>
              </w:rPr>
              <w:t>风向</w:t>
            </w:r>
          </w:p>
        </w:tc>
        <w:tc>
          <w:tcPr>
            <w:tcW w:w="780" w:type="dxa"/>
            <w:tcBorders>
              <w:tl2br w:val="nil"/>
              <w:tr2bl w:val="nil"/>
            </w:tcBorders>
            <w:vAlign w:val="center"/>
          </w:tcPr>
          <w:p w14:paraId="4A835EDA">
            <w:pPr>
              <w:ind w:left="-105" w:right="-105"/>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w:t>
            </w:r>
          </w:p>
        </w:tc>
        <w:tc>
          <w:tcPr>
            <w:tcW w:w="825" w:type="dxa"/>
            <w:tcBorders>
              <w:tl2br w:val="nil"/>
              <w:tr2bl w:val="nil"/>
            </w:tcBorders>
            <w:vAlign w:val="center"/>
          </w:tcPr>
          <w:p w14:paraId="173EAA4B">
            <w:pPr>
              <w:ind w:left="-105" w:right="-105"/>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w:t>
            </w:r>
          </w:p>
        </w:tc>
        <w:tc>
          <w:tcPr>
            <w:tcW w:w="2972" w:type="dxa"/>
            <w:gridSpan w:val="4"/>
            <w:tcBorders>
              <w:tl2br w:val="nil"/>
              <w:tr2bl w:val="nil"/>
            </w:tcBorders>
            <w:vAlign w:val="center"/>
          </w:tcPr>
          <w:p w14:paraId="0FA7FA9F">
            <w:pPr>
              <w:ind w:left="-105" w:right="-105"/>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南</w:t>
            </w:r>
          </w:p>
        </w:tc>
        <w:tc>
          <w:tcPr>
            <w:tcW w:w="2974" w:type="dxa"/>
            <w:gridSpan w:val="4"/>
            <w:tcBorders>
              <w:tl2br w:val="nil"/>
              <w:tr2bl w:val="nil"/>
            </w:tcBorders>
            <w:vAlign w:val="center"/>
          </w:tcPr>
          <w:p w14:paraId="34FA6887">
            <w:pPr>
              <w:ind w:left="-105" w:right="-105"/>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南</w:t>
            </w:r>
          </w:p>
        </w:tc>
      </w:tr>
      <w:tr w14:paraId="4404737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18" w:type="dxa"/>
            <w:vMerge w:val="continue"/>
            <w:tcBorders>
              <w:tl2br w:val="nil"/>
              <w:tr2bl w:val="nil"/>
            </w:tcBorders>
            <w:vAlign w:val="center"/>
          </w:tcPr>
          <w:p w14:paraId="70C50C36">
            <w:pPr>
              <w:ind w:left="-105" w:right="-105"/>
              <w:jc w:val="center"/>
              <w:rPr>
                <w:rFonts w:ascii="Times New Roman" w:hAnsi="Times New Roman" w:cs="Times New Roman"/>
                <w:b/>
                <w:bCs/>
                <w:color w:val="auto"/>
                <w:sz w:val="21"/>
                <w:szCs w:val="21"/>
                <w:highlight w:val="none"/>
              </w:rPr>
            </w:pPr>
          </w:p>
        </w:tc>
        <w:tc>
          <w:tcPr>
            <w:tcW w:w="720" w:type="dxa"/>
            <w:tcBorders>
              <w:tl2br w:val="nil"/>
              <w:tr2bl w:val="nil"/>
            </w:tcBorders>
            <w:vAlign w:val="center"/>
          </w:tcPr>
          <w:p w14:paraId="26FFA283">
            <w:pPr>
              <w:ind w:left="-105" w:right="-105"/>
              <w:jc w:val="center"/>
              <w:rPr>
                <w:rFonts w:ascii="Times New Roman" w:hAnsi="Times New Roman" w:cs="Times New Roman"/>
                <w:b/>
                <w:bCs/>
                <w:color w:val="auto"/>
                <w:sz w:val="21"/>
                <w:szCs w:val="21"/>
                <w:highlight w:val="none"/>
              </w:rPr>
            </w:pPr>
            <w:r>
              <w:rPr>
                <w:rFonts w:hint="eastAsia" w:ascii="Times New Roman" w:hAnsi="Times New Roman" w:cs="Times New Roman"/>
                <w:b/>
                <w:bCs/>
                <w:color w:val="auto"/>
                <w:sz w:val="21"/>
                <w:szCs w:val="21"/>
                <w:highlight w:val="none"/>
              </w:rPr>
              <w:t>气温</w:t>
            </w:r>
          </w:p>
        </w:tc>
        <w:tc>
          <w:tcPr>
            <w:tcW w:w="780" w:type="dxa"/>
            <w:tcBorders>
              <w:tl2br w:val="nil"/>
              <w:tr2bl w:val="nil"/>
            </w:tcBorders>
            <w:vAlign w:val="center"/>
          </w:tcPr>
          <w:p w14:paraId="6E324421">
            <w:pPr>
              <w:ind w:left="-105" w:right="-105"/>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w:t>
            </w:r>
          </w:p>
        </w:tc>
        <w:tc>
          <w:tcPr>
            <w:tcW w:w="825" w:type="dxa"/>
            <w:tcBorders>
              <w:tl2br w:val="nil"/>
              <w:tr2bl w:val="nil"/>
            </w:tcBorders>
            <w:vAlign w:val="center"/>
          </w:tcPr>
          <w:p w14:paraId="23DEC2BC">
            <w:pPr>
              <w:ind w:left="-105" w:right="-105"/>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w:t>
            </w:r>
          </w:p>
        </w:tc>
        <w:tc>
          <w:tcPr>
            <w:tcW w:w="2972" w:type="dxa"/>
            <w:gridSpan w:val="4"/>
            <w:tcBorders>
              <w:tl2br w:val="nil"/>
              <w:tr2bl w:val="nil"/>
            </w:tcBorders>
            <w:vAlign w:val="center"/>
          </w:tcPr>
          <w:p w14:paraId="6EDE05C2">
            <w:pPr>
              <w:ind w:left="-105" w:right="-105"/>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17.4</w:t>
            </w:r>
          </w:p>
        </w:tc>
        <w:tc>
          <w:tcPr>
            <w:tcW w:w="2974" w:type="dxa"/>
            <w:gridSpan w:val="4"/>
            <w:tcBorders>
              <w:tl2br w:val="nil"/>
              <w:tr2bl w:val="nil"/>
            </w:tcBorders>
            <w:vAlign w:val="center"/>
          </w:tcPr>
          <w:p w14:paraId="7E7EE987">
            <w:pPr>
              <w:ind w:left="-105" w:right="-105"/>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12.9</w:t>
            </w:r>
          </w:p>
        </w:tc>
      </w:tr>
      <w:tr w14:paraId="1AFA942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18" w:type="dxa"/>
            <w:vMerge w:val="continue"/>
            <w:tcBorders>
              <w:tl2br w:val="nil"/>
              <w:tr2bl w:val="nil"/>
            </w:tcBorders>
            <w:vAlign w:val="center"/>
          </w:tcPr>
          <w:p w14:paraId="1A9687DF">
            <w:pPr>
              <w:ind w:left="-105" w:right="-105"/>
              <w:jc w:val="center"/>
              <w:rPr>
                <w:rFonts w:ascii="Times New Roman" w:hAnsi="Times New Roman" w:cs="Times New Roman"/>
                <w:b/>
                <w:bCs/>
                <w:color w:val="auto"/>
                <w:sz w:val="21"/>
                <w:szCs w:val="21"/>
                <w:highlight w:val="none"/>
              </w:rPr>
            </w:pPr>
          </w:p>
        </w:tc>
        <w:tc>
          <w:tcPr>
            <w:tcW w:w="720" w:type="dxa"/>
            <w:tcBorders>
              <w:tl2br w:val="nil"/>
              <w:tr2bl w:val="nil"/>
            </w:tcBorders>
            <w:vAlign w:val="center"/>
          </w:tcPr>
          <w:p w14:paraId="62A01271">
            <w:pPr>
              <w:ind w:left="-105" w:right="-105"/>
              <w:jc w:val="center"/>
              <w:rPr>
                <w:rFonts w:ascii="Times New Roman" w:hAnsi="Times New Roman" w:cs="Times New Roman"/>
                <w:b/>
                <w:bCs/>
                <w:color w:val="auto"/>
                <w:sz w:val="21"/>
                <w:szCs w:val="21"/>
                <w:highlight w:val="none"/>
              </w:rPr>
            </w:pPr>
            <w:r>
              <w:rPr>
                <w:rFonts w:hint="eastAsia" w:ascii="Times New Roman" w:hAnsi="Times New Roman" w:cs="Times New Roman"/>
                <w:b/>
                <w:bCs/>
                <w:color w:val="auto"/>
                <w:sz w:val="21"/>
                <w:szCs w:val="21"/>
                <w:highlight w:val="none"/>
              </w:rPr>
              <w:t>气压</w:t>
            </w:r>
          </w:p>
        </w:tc>
        <w:tc>
          <w:tcPr>
            <w:tcW w:w="780" w:type="dxa"/>
            <w:tcBorders>
              <w:tl2br w:val="nil"/>
              <w:tr2bl w:val="nil"/>
            </w:tcBorders>
            <w:vAlign w:val="center"/>
          </w:tcPr>
          <w:p w14:paraId="171952E4">
            <w:pPr>
              <w:ind w:left="-105" w:right="-105"/>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w:t>
            </w:r>
          </w:p>
        </w:tc>
        <w:tc>
          <w:tcPr>
            <w:tcW w:w="825" w:type="dxa"/>
            <w:tcBorders>
              <w:tl2br w:val="nil"/>
              <w:tr2bl w:val="nil"/>
            </w:tcBorders>
            <w:vAlign w:val="center"/>
          </w:tcPr>
          <w:p w14:paraId="0F73BE87">
            <w:pPr>
              <w:ind w:left="-105" w:right="-105"/>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kPa</w:t>
            </w:r>
          </w:p>
        </w:tc>
        <w:tc>
          <w:tcPr>
            <w:tcW w:w="2972" w:type="dxa"/>
            <w:gridSpan w:val="4"/>
            <w:tcBorders>
              <w:tl2br w:val="nil"/>
              <w:tr2bl w:val="nil"/>
            </w:tcBorders>
            <w:vAlign w:val="center"/>
          </w:tcPr>
          <w:p w14:paraId="307DC13D">
            <w:pPr>
              <w:ind w:left="-105" w:right="-105"/>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101.49</w:t>
            </w:r>
          </w:p>
        </w:tc>
        <w:tc>
          <w:tcPr>
            <w:tcW w:w="2974" w:type="dxa"/>
            <w:gridSpan w:val="4"/>
            <w:tcBorders>
              <w:tl2br w:val="nil"/>
              <w:tr2bl w:val="nil"/>
            </w:tcBorders>
            <w:vAlign w:val="center"/>
          </w:tcPr>
          <w:p w14:paraId="1E5016F7">
            <w:pPr>
              <w:ind w:left="-105" w:right="-105"/>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102.42</w:t>
            </w:r>
          </w:p>
        </w:tc>
      </w:tr>
      <w:tr w14:paraId="31217E8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18" w:type="dxa"/>
            <w:tcBorders>
              <w:tl2br w:val="nil"/>
              <w:tr2bl w:val="nil"/>
            </w:tcBorders>
            <w:vAlign w:val="center"/>
          </w:tcPr>
          <w:p w14:paraId="2634307F">
            <w:pPr>
              <w:ind w:left="-105" w:right="-105"/>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G5</w:t>
            </w:r>
          </w:p>
        </w:tc>
        <w:tc>
          <w:tcPr>
            <w:tcW w:w="720" w:type="dxa"/>
            <w:vMerge w:val="restart"/>
            <w:tcBorders>
              <w:tl2br w:val="nil"/>
              <w:tr2bl w:val="nil"/>
            </w:tcBorders>
            <w:vAlign w:val="center"/>
          </w:tcPr>
          <w:p w14:paraId="11B279D5">
            <w:pPr>
              <w:ind w:left="-105" w:right="-105"/>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非甲烷总烃</w:t>
            </w:r>
          </w:p>
        </w:tc>
        <w:tc>
          <w:tcPr>
            <w:tcW w:w="780" w:type="dxa"/>
            <w:vMerge w:val="restart"/>
            <w:tcBorders>
              <w:tl2br w:val="nil"/>
              <w:tr2bl w:val="nil"/>
            </w:tcBorders>
            <w:vAlign w:val="center"/>
          </w:tcPr>
          <w:p w14:paraId="7320EC4C">
            <w:pPr>
              <w:ind w:left="-105" w:right="-105"/>
              <w:jc w:val="center"/>
              <w:rPr>
                <w:rFonts w:ascii="Times New Roman" w:hAnsi="Times New Roman" w:cs="Times New Roman"/>
                <w:color w:val="auto"/>
                <w:sz w:val="21"/>
                <w:szCs w:val="21"/>
                <w:highlight w:val="none"/>
              </w:rPr>
            </w:pPr>
            <w:r>
              <w:rPr>
                <w:rFonts w:hint="eastAsia" w:ascii="Times New Roman" w:hAnsi="Times New Roman" w:cs="Times New Roman"/>
                <w:b/>
                <w:bCs/>
                <w:color w:val="auto"/>
                <w:sz w:val="21"/>
                <w:szCs w:val="21"/>
                <w:highlight w:val="none"/>
              </w:rPr>
              <w:t>6.0</w:t>
            </w:r>
          </w:p>
        </w:tc>
        <w:tc>
          <w:tcPr>
            <w:tcW w:w="825" w:type="dxa"/>
            <w:tcBorders>
              <w:tl2br w:val="nil"/>
              <w:tr2bl w:val="nil"/>
            </w:tcBorders>
            <w:vAlign w:val="center"/>
          </w:tcPr>
          <w:p w14:paraId="03DEE6B9">
            <w:pPr>
              <w:ind w:left="-105" w:right="-105"/>
              <w:jc w:val="center"/>
              <w:rPr>
                <w:rFonts w:ascii="Times New Roman" w:hAnsi="Times New Roman" w:cs="Times New Roman"/>
                <w:color w:val="auto"/>
                <w:sz w:val="21"/>
                <w:szCs w:val="21"/>
                <w:highlight w:val="none"/>
                <w:vertAlign w:val="superscript"/>
              </w:rPr>
            </w:pPr>
            <w:r>
              <w:rPr>
                <w:rFonts w:hint="eastAsia" w:ascii="Times New Roman" w:hAnsi="Times New Roman" w:cs="Times New Roman"/>
                <w:color w:val="auto"/>
                <w:sz w:val="21"/>
                <w:szCs w:val="21"/>
                <w:highlight w:val="none"/>
              </w:rPr>
              <w:t>mg/m</w:t>
            </w:r>
            <w:r>
              <w:rPr>
                <w:rFonts w:hint="eastAsia" w:ascii="Times New Roman" w:hAnsi="Times New Roman" w:cs="Times New Roman"/>
                <w:color w:val="auto"/>
                <w:sz w:val="21"/>
                <w:szCs w:val="21"/>
                <w:highlight w:val="none"/>
                <w:vertAlign w:val="superscript"/>
              </w:rPr>
              <w:t>3</w:t>
            </w:r>
          </w:p>
        </w:tc>
        <w:tc>
          <w:tcPr>
            <w:tcW w:w="743" w:type="dxa"/>
            <w:tcBorders>
              <w:tl2br w:val="nil"/>
              <w:tr2bl w:val="nil"/>
            </w:tcBorders>
            <w:vAlign w:val="center"/>
          </w:tcPr>
          <w:p w14:paraId="48E0BC4D">
            <w:pPr>
              <w:ind w:left="-105" w:right="-105"/>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1.44</w:t>
            </w:r>
          </w:p>
        </w:tc>
        <w:tc>
          <w:tcPr>
            <w:tcW w:w="743" w:type="dxa"/>
            <w:tcBorders>
              <w:tl2br w:val="nil"/>
              <w:tr2bl w:val="nil"/>
            </w:tcBorders>
            <w:vAlign w:val="center"/>
          </w:tcPr>
          <w:p w14:paraId="7F7B5D2C">
            <w:pPr>
              <w:ind w:left="-105" w:right="-105"/>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1.41</w:t>
            </w:r>
          </w:p>
        </w:tc>
        <w:tc>
          <w:tcPr>
            <w:tcW w:w="743" w:type="dxa"/>
            <w:tcBorders>
              <w:tl2br w:val="nil"/>
              <w:tr2bl w:val="nil"/>
            </w:tcBorders>
            <w:vAlign w:val="center"/>
          </w:tcPr>
          <w:p w14:paraId="5A12DF90">
            <w:pPr>
              <w:ind w:left="-105" w:right="-105"/>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1.58</w:t>
            </w:r>
          </w:p>
        </w:tc>
        <w:tc>
          <w:tcPr>
            <w:tcW w:w="743" w:type="dxa"/>
            <w:tcBorders>
              <w:tl2br w:val="nil"/>
              <w:tr2bl w:val="nil"/>
            </w:tcBorders>
            <w:vAlign w:val="center"/>
          </w:tcPr>
          <w:p w14:paraId="0EF1A468">
            <w:pPr>
              <w:ind w:left="-105" w:right="-105"/>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1.48</w:t>
            </w:r>
          </w:p>
        </w:tc>
        <w:tc>
          <w:tcPr>
            <w:tcW w:w="743" w:type="dxa"/>
            <w:tcBorders>
              <w:tl2br w:val="nil"/>
              <w:tr2bl w:val="nil"/>
            </w:tcBorders>
            <w:vAlign w:val="center"/>
          </w:tcPr>
          <w:p w14:paraId="2A39B7D7">
            <w:pPr>
              <w:ind w:left="-105" w:right="-105"/>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1.42</w:t>
            </w:r>
          </w:p>
        </w:tc>
        <w:tc>
          <w:tcPr>
            <w:tcW w:w="743" w:type="dxa"/>
            <w:tcBorders>
              <w:tl2br w:val="nil"/>
              <w:tr2bl w:val="nil"/>
            </w:tcBorders>
            <w:vAlign w:val="center"/>
          </w:tcPr>
          <w:p w14:paraId="149B7CB7">
            <w:pPr>
              <w:ind w:left="-105" w:right="-105"/>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1.50</w:t>
            </w:r>
          </w:p>
        </w:tc>
        <w:tc>
          <w:tcPr>
            <w:tcW w:w="743" w:type="dxa"/>
            <w:tcBorders>
              <w:tl2br w:val="nil"/>
              <w:tr2bl w:val="nil"/>
            </w:tcBorders>
            <w:vAlign w:val="center"/>
          </w:tcPr>
          <w:p w14:paraId="74A9F79B">
            <w:pPr>
              <w:ind w:left="-105" w:right="-105"/>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1.46</w:t>
            </w:r>
          </w:p>
        </w:tc>
        <w:tc>
          <w:tcPr>
            <w:tcW w:w="745" w:type="dxa"/>
            <w:tcBorders>
              <w:tl2br w:val="nil"/>
              <w:tr2bl w:val="nil"/>
            </w:tcBorders>
            <w:vAlign w:val="center"/>
          </w:tcPr>
          <w:p w14:paraId="5B195484">
            <w:pPr>
              <w:ind w:left="-105" w:right="-105"/>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1.46</w:t>
            </w:r>
          </w:p>
        </w:tc>
      </w:tr>
      <w:tr w14:paraId="76756B6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18" w:type="dxa"/>
            <w:tcBorders>
              <w:tl2br w:val="nil"/>
              <w:tr2bl w:val="nil"/>
            </w:tcBorders>
            <w:vAlign w:val="center"/>
          </w:tcPr>
          <w:p w14:paraId="3232C992">
            <w:pPr>
              <w:ind w:left="-105" w:right="-105"/>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G6</w:t>
            </w:r>
          </w:p>
        </w:tc>
        <w:tc>
          <w:tcPr>
            <w:tcW w:w="720" w:type="dxa"/>
            <w:vMerge w:val="continue"/>
            <w:tcBorders>
              <w:tl2br w:val="nil"/>
              <w:tr2bl w:val="nil"/>
            </w:tcBorders>
            <w:vAlign w:val="center"/>
          </w:tcPr>
          <w:p w14:paraId="5D812BDD">
            <w:pPr>
              <w:ind w:left="-105" w:right="-105"/>
              <w:jc w:val="center"/>
              <w:rPr>
                <w:rFonts w:ascii="Times New Roman" w:hAnsi="Times New Roman" w:cs="Times New Roman"/>
                <w:color w:val="auto"/>
                <w:sz w:val="21"/>
                <w:szCs w:val="21"/>
                <w:highlight w:val="none"/>
              </w:rPr>
            </w:pPr>
          </w:p>
        </w:tc>
        <w:tc>
          <w:tcPr>
            <w:tcW w:w="780" w:type="dxa"/>
            <w:vMerge w:val="continue"/>
            <w:tcBorders>
              <w:tl2br w:val="nil"/>
              <w:tr2bl w:val="nil"/>
            </w:tcBorders>
            <w:vAlign w:val="center"/>
          </w:tcPr>
          <w:p w14:paraId="3721BAA2">
            <w:pPr>
              <w:ind w:left="-105" w:right="-105"/>
              <w:jc w:val="center"/>
              <w:rPr>
                <w:rFonts w:ascii="Times New Roman" w:hAnsi="Times New Roman" w:cs="Times New Roman"/>
                <w:color w:val="auto"/>
                <w:sz w:val="21"/>
                <w:szCs w:val="21"/>
                <w:highlight w:val="none"/>
              </w:rPr>
            </w:pPr>
          </w:p>
        </w:tc>
        <w:tc>
          <w:tcPr>
            <w:tcW w:w="825" w:type="dxa"/>
            <w:tcBorders>
              <w:tl2br w:val="nil"/>
              <w:tr2bl w:val="nil"/>
            </w:tcBorders>
            <w:vAlign w:val="center"/>
          </w:tcPr>
          <w:p w14:paraId="36252441">
            <w:pPr>
              <w:ind w:left="-105" w:right="-105"/>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mg/m</w:t>
            </w:r>
            <w:r>
              <w:rPr>
                <w:rFonts w:hint="eastAsia" w:ascii="Times New Roman" w:hAnsi="Times New Roman" w:cs="Times New Roman"/>
                <w:color w:val="auto"/>
                <w:sz w:val="21"/>
                <w:szCs w:val="21"/>
                <w:highlight w:val="none"/>
                <w:vertAlign w:val="superscript"/>
              </w:rPr>
              <w:t>3</w:t>
            </w:r>
          </w:p>
        </w:tc>
        <w:tc>
          <w:tcPr>
            <w:tcW w:w="743" w:type="dxa"/>
            <w:tcBorders>
              <w:tl2br w:val="nil"/>
              <w:tr2bl w:val="nil"/>
            </w:tcBorders>
            <w:vAlign w:val="center"/>
          </w:tcPr>
          <w:p w14:paraId="36E0CABA">
            <w:pPr>
              <w:ind w:left="-105" w:right="-105"/>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1.48</w:t>
            </w:r>
          </w:p>
        </w:tc>
        <w:tc>
          <w:tcPr>
            <w:tcW w:w="743" w:type="dxa"/>
            <w:tcBorders>
              <w:tl2br w:val="nil"/>
              <w:tr2bl w:val="nil"/>
            </w:tcBorders>
            <w:vAlign w:val="center"/>
          </w:tcPr>
          <w:p w14:paraId="52C75850">
            <w:pPr>
              <w:ind w:left="-105" w:right="-105"/>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1.45</w:t>
            </w:r>
          </w:p>
        </w:tc>
        <w:tc>
          <w:tcPr>
            <w:tcW w:w="743" w:type="dxa"/>
            <w:tcBorders>
              <w:tl2br w:val="nil"/>
              <w:tr2bl w:val="nil"/>
            </w:tcBorders>
            <w:vAlign w:val="center"/>
          </w:tcPr>
          <w:p w14:paraId="41F0208D">
            <w:pPr>
              <w:ind w:left="-105" w:right="-105"/>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1.42</w:t>
            </w:r>
          </w:p>
        </w:tc>
        <w:tc>
          <w:tcPr>
            <w:tcW w:w="743" w:type="dxa"/>
            <w:tcBorders>
              <w:tl2br w:val="nil"/>
              <w:tr2bl w:val="nil"/>
            </w:tcBorders>
            <w:vAlign w:val="center"/>
          </w:tcPr>
          <w:p w14:paraId="63823CF3">
            <w:pPr>
              <w:ind w:left="-105" w:right="-105"/>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1.45</w:t>
            </w:r>
          </w:p>
        </w:tc>
        <w:tc>
          <w:tcPr>
            <w:tcW w:w="743" w:type="dxa"/>
            <w:tcBorders>
              <w:tl2br w:val="nil"/>
              <w:tr2bl w:val="nil"/>
            </w:tcBorders>
            <w:vAlign w:val="center"/>
          </w:tcPr>
          <w:p w14:paraId="289B1A56">
            <w:pPr>
              <w:ind w:left="-105" w:right="-105"/>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1.44</w:t>
            </w:r>
          </w:p>
        </w:tc>
        <w:tc>
          <w:tcPr>
            <w:tcW w:w="743" w:type="dxa"/>
            <w:tcBorders>
              <w:tl2br w:val="nil"/>
              <w:tr2bl w:val="nil"/>
            </w:tcBorders>
            <w:vAlign w:val="center"/>
          </w:tcPr>
          <w:p w14:paraId="07DD21C9">
            <w:pPr>
              <w:ind w:left="-105" w:right="-105"/>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1.40</w:t>
            </w:r>
          </w:p>
        </w:tc>
        <w:tc>
          <w:tcPr>
            <w:tcW w:w="743" w:type="dxa"/>
            <w:tcBorders>
              <w:tl2br w:val="nil"/>
              <w:tr2bl w:val="nil"/>
            </w:tcBorders>
            <w:vAlign w:val="center"/>
          </w:tcPr>
          <w:p w14:paraId="1EE76D31">
            <w:pPr>
              <w:ind w:left="-105" w:right="-105"/>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1.48</w:t>
            </w:r>
          </w:p>
        </w:tc>
        <w:tc>
          <w:tcPr>
            <w:tcW w:w="745" w:type="dxa"/>
            <w:tcBorders>
              <w:tl2br w:val="nil"/>
              <w:tr2bl w:val="nil"/>
            </w:tcBorders>
            <w:vAlign w:val="center"/>
          </w:tcPr>
          <w:p w14:paraId="7C435804">
            <w:pPr>
              <w:ind w:left="-105" w:right="-105"/>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1.44</w:t>
            </w:r>
          </w:p>
        </w:tc>
      </w:tr>
      <w:tr w14:paraId="337E509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18" w:type="dxa"/>
            <w:tcBorders>
              <w:tl2br w:val="nil"/>
              <w:tr2bl w:val="nil"/>
            </w:tcBorders>
            <w:vAlign w:val="center"/>
          </w:tcPr>
          <w:p w14:paraId="7B97314F">
            <w:pPr>
              <w:ind w:left="-105" w:right="-105"/>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G7</w:t>
            </w:r>
          </w:p>
        </w:tc>
        <w:tc>
          <w:tcPr>
            <w:tcW w:w="720" w:type="dxa"/>
            <w:vMerge w:val="continue"/>
            <w:tcBorders>
              <w:tl2br w:val="nil"/>
              <w:tr2bl w:val="nil"/>
            </w:tcBorders>
            <w:vAlign w:val="center"/>
          </w:tcPr>
          <w:p w14:paraId="72A553DC">
            <w:pPr>
              <w:ind w:left="-105" w:right="-105"/>
              <w:jc w:val="center"/>
              <w:rPr>
                <w:rFonts w:ascii="Times New Roman" w:hAnsi="Times New Roman" w:cs="Times New Roman"/>
                <w:color w:val="auto"/>
                <w:sz w:val="21"/>
                <w:szCs w:val="21"/>
                <w:highlight w:val="none"/>
              </w:rPr>
            </w:pPr>
          </w:p>
        </w:tc>
        <w:tc>
          <w:tcPr>
            <w:tcW w:w="780" w:type="dxa"/>
            <w:vMerge w:val="continue"/>
            <w:tcBorders>
              <w:tl2br w:val="nil"/>
              <w:tr2bl w:val="nil"/>
            </w:tcBorders>
            <w:vAlign w:val="center"/>
          </w:tcPr>
          <w:p w14:paraId="007F7AD6">
            <w:pPr>
              <w:ind w:left="-105" w:right="-105"/>
              <w:jc w:val="center"/>
              <w:rPr>
                <w:rFonts w:ascii="Times New Roman" w:hAnsi="Times New Roman" w:cs="Times New Roman"/>
                <w:color w:val="auto"/>
                <w:sz w:val="21"/>
                <w:szCs w:val="21"/>
                <w:highlight w:val="none"/>
              </w:rPr>
            </w:pPr>
          </w:p>
        </w:tc>
        <w:tc>
          <w:tcPr>
            <w:tcW w:w="825" w:type="dxa"/>
            <w:tcBorders>
              <w:tl2br w:val="nil"/>
              <w:tr2bl w:val="nil"/>
            </w:tcBorders>
            <w:vAlign w:val="center"/>
          </w:tcPr>
          <w:p w14:paraId="6AEB588A">
            <w:pPr>
              <w:ind w:left="-105" w:right="-105"/>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mg/m</w:t>
            </w:r>
            <w:r>
              <w:rPr>
                <w:rFonts w:hint="eastAsia" w:ascii="Times New Roman" w:hAnsi="Times New Roman" w:cs="Times New Roman"/>
                <w:color w:val="auto"/>
                <w:sz w:val="21"/>
                <w:szCs w:val="21"/>
                <w:highlight w:val="none"/>
                <w:vertAlign w:val="superscript"/>
              </w:rPr>
              <w:t>3</w:t>
            </w:r>
          </w:p>
        </w:tc>
        <w:tc>
          <w:tcPr>
            <w:tcW w:w="743" w:type="dxa"/>
            <w:tcBorders>
              <w:tl2br w:val="nil"/>
              <w:tr2bl w:val="nil"/>
            </w:tcBorders>
            <w:vAlign w:val="center"/>
          </w:tcPr>
          <w:p w14:paraId="7A0F93A2">
            <w:pPr>
              <w:ind w:left="-105" w:right="-105"/>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1.59</w:t>
            </w:r>
          </w:p>
        </w:tc>
        <w:tc>
          <w:tcPr>
            <w:tcW w:w="743" w:type="dxa"/>
            <w:tcBorders>
              <w:tl2br w:val="nil"/>
              <w:tr2bl w:val="nil"/>
            </w:tcBorders>
            <w:vAlign w:val="center"/>
          </w:tcPr>
          <w:p w14:paraId="40700757">
            <w:pPr>
              <w:ind w:left="-105" w:right="-105"/>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1.61</w:t>
            </w:r>
          </w:p>
        </w:tc>
        <w:tc>
          <w:tcPr>
            <w:tcW w:w="743" w:type="dxa"/>
            <w:tcBorders>
              <w:tl2br w:val="nil"/>
              <w:tr2bl w:val="nil"/>
            </w:tcBorders>
            <w:vAlign w:val="center"/>
          </w:tcPr>
          <w:p w14:paraId="54E7B3DD">
            <w:pPr>
              <w:ind w:left="-105" w:right="-105"/>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1.54</w:t>
            </w:r>
          </w:p>
        </w:tc>
        <w:tc>
          <w:tcPr>
            <w:tcW w:w="743" w:type="dxa"/>
            <w:tcBorders>
              <w:tl2br w:val="nil"/>
              <w:tr2bl w:val="nil"/>
            </w:tcBorders>
            <w:vAlign w:val="center"/>
          </w:tcPr>
          <w:p w14:paraId="428BBD99">
            <w:pPr>
              <w:ind w:left="-105" w:right="-105"/>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1.58</w:t>
            </w:r>
          </w:p>
        </w:tc>
        <w:tc>
          <w:tcPr>
            <w:tcW w:w="743" w:type="dxa"/>
            <w:tcBorders>
              <w:tl2br w:val="nil"/>
              <w:tr2bl w:val="nil"/>
            </w:tcBorders>
            <w:vAlign w:val="center"/>
          </w:tcPr>
          <w:p w14:paraId="7F256C47">
            <w:pPr>
              <w:ind w:left="-105" w:right="-105"/>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1.64</w:t>
            </w:r>
          </w:p>
        </w:tc>
        <w:tc>
          <w:tcPr>
            <w:tcW w:w="743" w:type="dxa"/>
            <w:tcBorders>
              <w:tl2br w:val="nil"/>
              <w:tr2bl w:val="nil"/>
            </w:tcBorders>
            <w:vAlign w:val="center"/>
          </w:tcPr>
          <w:p w14:paraId="7C10D0AD">
            <w:pPr>
              <w:ind w:left="-105" w:right="-105"/>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1.66</w:t>
            </w:r>
          </w:p>
        </w:tc>
        <w:tc>
          <w:tcPr>
            <w:tcW w:w="743" w:type="dxa"/>
            <w:tcBorders>
              <w:tl2br w:val="nil"/>
              <w:tr2bl w:val="nil"/>
            </w:tcBorders>
            <w:vAlign w:val="center"/>
          </w:tcPr>
          <w:p w14:paraId="2AE4649C">
            <w:pPr>
              <w:ind w:left="-105" w:right="-105"/>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1.55</w:t>
            </w:r>
          </w:p>
        </w:tc>
        <w:tc>
          <w:tcPr>
            <w:tcW w:w="745" w:type="dxa"/>
            <w:tcBorders>
              <w:tl2br w:val="nil"/>
              <w:tr2bl w:val="nil"/>
            </w:tcBorders>
            <w:vAlign w:val="center"/>
          </w:tcPr>
          <w:p w14:paraId="1C7A3B99">
            <w:pPr>
              <w:ind w:left="-105" w:right="-105"/>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1.62</w:t>
            </w:r>
          </w:p>
        </w:tc>
      </w:tr>
      <w:tr w14:paraId="4345E93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18" w:type="dxa"/>
            <w:tcBorders>
              <w:tl2br w:val="nil"/>
              <w:tr2bl w:val="nil"/>
            </w:tcBorders>
            <w:vAlign w:val="center"/>
          </w:tcPr>
          <w:p w14:paraId="761B19D6">
            <w:pPr>
              <w:ind w:left="-105" w:right="-105"/>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G8</w:t>
            </w:r>
          </w:p>
        </w:tc>
        <w:tc>
          <w:tcPr>
            <w:tcW w:w="720" w:type="dxa"/>
            <w:vMerge w:val="continue"/>
            <w:tcBorders>
              <w:tl2br w:val="nil"/>
              <w:tr2bl w:val="nil"/>
            </w:tcBorders>
            <w:vAlign w:val="center"/>
          </w:tcPr>
          <w:p w14:paraId="18CC47C6">
            <w:pPr>
              <w:ind w:left="-105" w:right="-105"/>
              <w:jc w:val="center"/>
              <w:rPr>
                <w:rFonts w:ascii="Times New Roman" w:hAnsi="Times New Roman" w:cs="Times New Roman"/>
                <w:color w:val="auto"/>
                <w:sz w:val="21"/>
                <w:szCs w:val="21"/>
                <w:highlight w:val="none"/>
              </w:rPr>
            </w:pPr>
          </w:p>
        </w:tc>
        <w:tc>
          <w:tcPr>
            <w:tcW w:w="780" w:type="dxa"/>
            <w:vMerge w:val="continue"/>
            <w:tcBorders>
              <w:tl2br w:val="nil"/>
              <w:tr2bl w:val="nil"/>
            </w:tcBorders>
            <w:vAlign w:val="center"/>
          </w:tcPr>
          <w:p w14:paraId="5B8F1C59">
            <w:pPr>
              <w:ind w:left="-105" w:right="-105"/>
              <w:jc w:val="center"/>
              <w:rPr>
                <w:rFonts w:ascii="Times New Roman" w:hAnsi="Times New Roman" w:cs="Times New Roman"/>
                <w:color w:val="auto"/>
                <w:sz w:val="21"/>
                <w:szCs w:val="21"/>
                <w:highlight w:val="none"/>
              </w:rPr>
            </w:pPr>
          </w:p>
        </w:tc>
        <w:tc>
          <w:tcPr>
            <w:tcW w:w="825" w:type="dxa"/>
            <w:tcBorders>
              <w:tl2br w:val="nil"/>
              <w:tr2bl w:val="nil"/>
            </w:tcBorders>
            <w:vAlign w:val="center"/>
          </w:tcPr>
          <w:p w14:paraId="692358DD">
            <w:pPr>
              <w:ind w:left="-105" w:right="-105"/>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mg/m</w:t>
            </w:r>
            <w:r>
              <w:rPr>
                <w:rFonts w:hint="eastAsia" w:ascii="Times New Roman" w:hAnsi="Times New Roman" w:cs="Times New Roman"/>
                <w:color w:val="auto"/>
                <w:sz w:val="21"/>
                <w:szCs w:val="21"/>
                <w:highlight w:val="none"/>
                <w:vertAlign w:val="superscript"/>
              </w:rPr>
              <w:t>3</w:t>
            </w:r>
          </w:p>
        </w:tc>
        <w:tc>
          <w:tcPr>
            <w:tcW w:w="743" w:type="dxa"/>
            <w:tcBorders>
              <w:tl2br w:val="nil"/>
              <w:tr2bl w:val="nil"/>
            </w:tcBorders>
            <w:vAlign w:val="center"/>
          </w:tcPr>
          <w:p w14:paraId="0593B9E6">
            <w:pPr>
              <w:ind w:left="-105" w:right="-105"/>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1.49</w:t>
            </w:r>
          </w:p>
        </w:tc>
        <w:tc>
          <w:tcPr>
            <w:tcW w:w="743" w:type="dxa"/>
            <w:tcBorders>
              <w:tl2br w:val="nil"/>
              <w:tr2bl w:val="nil"/>
            </w:tcBorders>
            <w:vAlign w:val="center"/>
          </w:tcPr>
          <w:p w14:paraId="24AC855A">
            <w:pPr>
              <w:ind w:left="-105" w:right="-105"/>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1.62</w:t>
            </w:r>
          </w:p>
        </w:tc>
        <w:tc>
          <w:tcPr>
            <w:tcW w:w="743" w:type="dxa"/>
            <w:tcBorders>
              <w:tl2br w:val="nil"/>
              <w:tr2bl w:val="nil"/>
            </w:tcBorders>
            <w:vAlign w:val="center"/>
          </w:tcPr>
          <w:p w14:paraId="082FE717">
            <w:pPr>
              <w:ind w:left="-105" w:right="-105"/>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1.54</w:t>
            </w:r>
          </w:p>
        </w:tc>
        <w:tc>
          <w:tcPr>
            <w:tcW w:w="743" w:type="dxa"/>
            <w:tcBorders>
              <w:tl2br w:val="nil"/>
              <w:tr2bl w:val="nil"/>
            </w:tcBorders>
            <w:vAlign w:val="center"/>
          </w:tcPr>
          <w:p w14:paraId="3745FADB">
            <w:pPr>
              <w:ind w:left="-105" w:right="-105"/>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1.55</w:t>
            </w:r>
          </w:p>
        </w:tc>
        <w:tc>
          <w:tcPr>
            <w:tcW w:w="743" w:type="dxa"/>
            <w:tcBorders>
              <w:tl2br w:val="nil"/>
              <w:tr2bl w:val="nil"/>
            </w:tcBorders>
            <w:vAlign w:val="center"/>
          </w:tcPr>
          <w:p w14:paraId="63BA6554">
            <w:pPr>
              <w:ind w:left="-105" w:right="-105"/>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1.63</w:t>
            </w:r>
          </w:p>
        </w:tc>
        <w:tc>
          <w:tcPr>
            <w:tcW w:w="743" w:type="dxa"/>
            <w:tcBorders>
              <w:tl2br w:val="nil"/>
              <w:tr2bl w:val="nil"/>
            </w:tcBorders>
            <w:vAlign w:val="center"/>
          </w:tcPr>
          <w:p w14:paraId="13050B0C">
            <w:pPr>
              <w:ind w:left="-105" w:right="-105"/>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1.51</w:t>
            </w:r>
          </w:p>
        </w:tc>
        <w:tc>
          <w:tcPr>
            <w:tcW w:w="743" w:type="dxa"/>
            <w:tcBorders>
              <w:tl2br w:val="nil"/>
              <w:tr2bl w:val="nil"/>
            </w:tcBorders>
            <w:vAlign w:val="center"/>
          </w:tcPr>
          <w:p w14:paraId="02980AED">
            <w:pPr>
              <w:ind w:left="-105" w:right="-105"/>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1.48</w:t>
            </w:r>
          </w:p>
        </w:tc>
        <w:tc>
          <w:tcPr>
            <w:tcW w:w="745" w:type="dxa"/>
            <w:tcBorders>
              <w:tl2br w:val="nil"/>
              <w:tr2bl w:val="nil"/>
            </w:tcBorders>
            <w:vAlign w:val="center"/>
          </w:tcPr>
          <w:p w14:paraId="053F47CE">
            <w:pPr>
              <w:ind w:left="-105" w:right="-105"/>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1.54</w:t>
            </w:r>
          </w:p>
        </w:tc>
      </w:tr>
      <w:tr w14:paraId="162FCCB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18" w:type="dxa"/>
            <w:tcBorders>
              <w:tl2br w:val="nil"/>
              <w:tr2bl w:val="nil"/>
            </w:tcBorders>
            <w:vAlign w:val="center"/>
          </w:tcPr>
          <w:p w14:paraId="48DC13F3">
            <w:pPr>
              <w:ind w:left="-105" w:right="-105"/>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G9</w:t>
            </w:r>
          </w:p>
        </w:tc>
        <w:tc>
          <w:tcPr>
            <w:tcW w:w="720" w:type="dxa"/>
            <w:vMerge w:val="continue"/>
            <w:tcBorders>
              <w:tl2br w:val="nil"/>
              <w:tr2bl w:val="nil"/>
            </w:tcBorders>
            <w:vAlign w:val="center"/>
          </w:tcPr>
          <w:p w14:paraId="320BDF15">
            <w:pPr>
              <w:ind w:left="-105" w:right="-105"/>
              <w:jc w:val="center"/>
              <w:rPr>
                <w:rFonts w:ascii="Times New Roman" w:hAnsi="Times New Roman" w:cs="Times New Roman"/>
                <w:color w:val="auto"/>
                <w:sz w:val="21"/>
                <w:szCs w:val="21"/>
                <w:highlight w:val="none"/>
              </w:rPr>
            </w:pPr>
          </w:p>
        </w:tc>
        <w:tc>
          <w:tcPr>
            <w:tcW w:w="780" w:type="dxa"/>
            <w:vMerge w:val="continue"/>
            <w:tcBorders>
              <w:tl2br w:val="nil"/>
              <w:tr2bl w:val="nil"/>
            </w:tcBorders>
            <w:vAlign w:val="center"/>
          </w:tcPr>
          <w:p w14:paraId="52D7DBA9">
            <w:pPr>
              <w:ind w:left="-105" w:right="-105"/>
              <w:jc w:val="center"/>
              <w:rPr>
                <w:rFonts w:ascii="Times New Roman" w:hAnsi="Times New Roman" w:cs="Times New Roman"/>
                <w:color w:val="auto"/>
                <w:sz w:val="21"/>
                <w:szCs w:val="21"/>
                <w:highlight w:val="none"/>
              </w:rPr>
            </w:pPr>
          </w:p>
        </w:tc>
        <w:tc>
          <w:tcPr>
            <w:tcW w:w="825" w:type="dxa"/>
            <w:tcBorders>
              <w:tl2br w:val="nil"/>
              <w:tr2bl w:val="nil"/>
            </w:tcBorders>
            <w:vAlign w:val="center"/>
          </w:tcPr>
          <w:p w14:paraId="5D6BCA02">
            <w:pPr>
              <w:ind w:left="-105" w:right="-105"/>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mg/m</w:t>
            </w:r>
            <w:r>
              <w:rPr>
                <w:rFonts w:hint="eastAsia" w:ascii="Times New Roman" w:hAnsi="Times New Roman" w:cs="Times New Roman"/>
                <w:color w:val="auto"/>
                <w:sz w:val="21"/>
                <w:szCs w:val="21"/>
                <w:highlight w:val="none"/>
                <w:vertAlign w:val="superscript"/>
              </w:rPr>
              <w:t>3</w:t>
            </w:r>
          </w:p>
        </w:tc>
        <w:tc>
          <w:tcPr>
            <w:tcW w:w="743" w:type="dxa"/>
            <w:tcBorders>
              <w:tl2br w:val="nil"/>
              <w:tr2bl w:val="nil"/>
            </w:tcBorders>
            <w:vAlign w:val="center"/>
          </w:tcPr>
          <w:p w14:paraId="7707B292">
            <w:pPr>
              <w:ind w:left="-105" w:right="-105"/>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1.69</w:t>
            </w:r>
          </w:p>
        </w:tc>
        <w:tc>
          <w:tcPr>
            <w:tcW w:w="743" w:type="dxa"/>
            <w:tcBorders>
              <w:tl2br w:val="nil"/>
              <w:tr2bl w:val="nil"/>
            </w:tcBorders>
            <w:vAlign w:val="center"/>
          </w:tcPr>
          <w:p w14:paraId="5D5D0D77">
            <w:pPr>
              <w:ind w:left="-105" w:right="-105"/>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1.82</w:t>
            </w:r>
          </w:p>
        </w:tc>
        <w:tc>
          <w:tcPr>
            <w:tcW w:w="743" w:type="dxa"/>
            <w:tcBorders>
              <w:tl2br w:val="nil"/>
              <w:tr2bl w:val="nil"/>
            </w:tcBorders>
            <w:vAlign w:val="center"/>
          </w:tcPr>
          <w:p w14:paraId="5E84218D">
            <w:pPr>
              <w:ind w:left="-105" w:right="-105"/>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1.78</w:t>
            </w:r>
          </w:p>
        </w:tc>
        <w:tc>
          <w:tcPr>
            <w:tcW w:w="743" w:type="dxa"/>
            <w:tcBorders>
              <w:tl2br w:val="nil"/>
              <w:tr2bl w:val="nil"/>
            </w:tcBorders>
            <w:vAlign w:val="center"/>
          </w:tcPr>
          <w:p w14:paraId="27462535">
            <w:pPr>
              <w:ind w:left="-105" w:right="-105"/>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1.76</w:t>
            </w:r>
          </w:p>
        </w:tc>
        <w:tc>
          <w:tcPr>
            <w:tcW w:w="743" w:type="dxa"/>
            <w:tcBorders>
              <w:tl2br w:val="nil"/>
              <w:tr2bl w:val="nil"/>
            </w:tcBorders>
            <w:vAlign w:val="center"/>
          </w:tcPr>
          <w:p w14:paraId="5307DB71">
            <w:pPr>
              <w:ind w:left="-105" w:right="-105"/>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1.62</w:t>
            </w:r>
          </w:p>
        </w:tc>
        <w:tc>
          <w:tcPr>
            <w:tcW w:w="743" w:type="dxa"/>
            <w:tcBorders>
              <w:tl2br w:val="nil"/>
              <w:tr2bl w:val="nil"/>
            </w:tcBorders>
            <w:vAlign w:val="center"/>
          </w:tcPr>
          <w:p w14:paraId="707BCB51">
            <w:pPr>
              <w:ind w:left="-105" w:right="-105"/>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1.70</w:t>
            </w:r>
          </w:p>
        </w:tc>
        <w:tc>
          <w:tcPr>
            <w:tcW w:w="743" w:type="dxa"/>
            <w:tcBorders>
              <w:tl2br w:val="nil"/>
              <w:tr2bl w:val="nil"/>
            </w:tcBorders>
            <w:vAlign w:val="center"/>
          </w:tcPr>
          <w:p w14:paraId="76329EB3">
            <w:pPr>
              <w:ind w:left="-105" w:right="-105"/>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1.49</w:t>
            </w:r>
          </w:p>
        </w:tc>
        <w:tc>
          <w:tcPr>
            <w:tcW w:w="745" w:type="dxa"/>
            <w:tcBorders>
              <w:tl2br w:val="nil"/>
              <w:tr2bl w:val="nil"/>
            </w:tcBorders>
            <w:vAlign w:val="center"/>
          </w:tcPr>
          <w:p w14:paraId="3AF9D2FC">
            <w:pPr>
              <w:ind w:left="-105" w:right="-105"/>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1.60</w:t>
            </w:r>
          </w:p>
        </w:tc>
      </w:tr>
      <w:tr w14:paraId="0B69668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18" w:type="dxa"/>
            <w:tcBorders>
              <w:tl2br w:val="nil"/>
              <w:tr2bl w:val="nil"/>
            </w:tcBorders>
            <w:vAlign w:val="center"/>
          </w:tcPr>
          <w:p w14:paraId="05C04173">
            <w:pPr>
              <w:ind w:left="-105" w:right="-105"/>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G10</w:t>
            </w:r>
          </w:p>
        </w:tc>
        <w:tc>
          <w:tcPr>
            <w:tcW w:w="720" w:type="dxa"/>
            <w:vMerge w:val="continue"/>
            <w:tcBorders>
              <w:tl2br w:val="nil"/>
              <w:tr2bl w:val="nil"/>
            </w:tcBorders>
            <w:vAlign w:val="center"/>
          </w:tcPr>
          <w:p w14:paraId="1FCD98FA">
            <w:pPr>
              <w:ind w:left="-105" w:right="-105"/>
              <w:jc w:val="center"/>
              <w:rPr>
                <w:rFonts w:ascii="Times New Roman" w:hAnsi="Times New Roman" w:cs="Times New Roman"/>
                <w:color w:val="auto"/>
                <w:sz w:val="21"/>
                <w:szCs w:val="21"/>
                <w:highlight w:val="none"/>
              </w:rPr>
            </w:pPr>
          </w:p>
        </w:tc>
        <w:tc>
          <w:tcPr>
            <w:tcW w:w="780" w:type="dxa"/>
            <w:vMerge w:val="continue"/>
            <w:tcBorders>
              <w:tl2br w:val="nil"/>
              <w:tr2bl w:val="nil"/>
            </w:tcBorders>
            <w:vAlign w:val="center"/>
          </w:tcPr>
          <w:p w14:paraId="7CCEC4E5">
            <w:pPr>
              <w:ind w:left="-105" w:right="-105"/>
              <w:jc w:val="center"/>
              <w:rPr>
                <w:rFonts w:ascii="Times New Roman" w:hAnsi="Times New Roman" w:cs="Times New Roman"/>
                <w:color w:val="auto"/>
                <w:sz w:val="21"/>
                <w:szCs w:val="21"/>
                <w:highlight w:val="none"/>
              </w:rPr>
            </w:pPr>
          </w:p>
        </w:tc>
        <w:tc>
          <w:tcPr>
            <w:tcW w:w="825" w:type="dxa"/>
            <w:tcBorders>
              <w:tl2br w:val="nil"/>
              <w:tr2bl w:val="nil"/>
            </w:tcBorders>
            <w:vAlign w:val="center"/>
          </w:tcPr>
          <w:p w14:paraId="639C2B4C">
            <w:pPr>
              <w:ind w:left="-105" w:right="-105"/>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mg/m</w:t>
            </w:r>
            <w:r>
              <w:rPr>
                <w:rFonts w:hint="eastAsia" w:ascii="Times New Roman" w:hAnsi="Times New Roman" w:cs="Times New Roman"/>
                <w:color w:val="auto"/>
                <w:sz w:val="21"/>
                <w:szCs w:val="21"/>
                <w:highlight w:val="none"/>
                <w:vertAlign w:val="superscript"/>
              </w:rPr>
              <w:t>3</w:t>
            </w:r>
          </w:p>
        </w:tc>
        <w:tc>
          <w:tcPr>
            <w:tcW w:w="743" w:type="dxa"/>
            <w:tcBorders>
              <w:tl2br w:val="nil"/>
              <w:tr2bl w:val="nil"/>
            </w:tcBorders>
            <w:vAlign w:val="center"/>
          </w:tcPr>
          <w:p w14:paraId="7C13F2E4">
            <w:pPr>
              <w:ind w:left="-105" w:right="-105"/>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1.58</w:t>
            </w:r>
          </w:p>
        </w:tc>
        <w:tc>
          <w:tcPr>
            <w:tcW w:w="743" w:type="dxa"/>
            <w:tcBorders>
              <w:tl2br w:val="nil"/>
              <w:tr2bl w:val="nil"/>
            </w:tcBorders>
            <w:vAlign w:val="center"/>
          </w:tcPr>
          <w:p w14:paraId="0979846F">
            <w:pPr>
              <w:ind w:left="-105" w:right="-105"/>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1.70</w:t>
            </w:r>
          </w:p>
        </w:tc>
        <w:tc>
          <w:tcPr>
            <w:tcW w:w="743" w:type="dxa"/>
            <w:tcBorders>
              <w:tl2br w:val="nil"/>
              <w:tr2bl w:val="nil"/>
            </w:tcBorders>
            <w:vAlign w:val="center"/>
          </w:tcPr>
          <w:p w14:paraId="5DFF6428">
            <w:pPr>
              <w:ind w:left="-105" w:right="-105"/>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1.64</w:t>
            </w:r>
          </w:p>
        </w:tc>
        <w:tc>
          <w:tcPr>
            <w:tcW w:w="743" w:type="dxa"/>
            <w:tcBorders>
              <w:tl2br w:val="nil"/>
              <w:tr2bl w:val="nil"/>
            </w:tcBorders>
            <w:vAlign w:val="center"/>
          </w:tcPr>
          <w:p w14:paraId="18EDCC09">
            <w:pPr>
              <w:ind w:left="-105" w:right="-105"/>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1.64</w:t>
            </w:r>
          </w:p>
        </w:tc>
        <w:tc>
          <w:tcPr>
            <w:tcW w:w="743" w:type="dxa"/>
            <w:tcBorders>
              <w:tl2br w:val="nil"/>
              <w:tr2bl w:val="nil"/>
            </w:tcBorders>
            <w:vAlign w:val="center"/>
          </w:tcPr>
          <w:p w14:paraId="037FE486">
            <w:pPr>
              <w:ind w:left="-105" w:right="-105"/>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1.72</w:t>
            </w:r>
          </w:p>
        </w:tc>
        <w:tc>
          <w:tcPr>
            <w:tcW w:w="743" w:type="dxa"/>
            <w:tcBorders>
              <w:tl2br w:val="nil"/>
              <w:tr2bl w:val="nil"/>
            </w:tcBorders>
            <w:vAlign w:val="center"/>
          </w:tcPr>
          <w:p w14:paraId="47540B37">
            <w:pPr>
              <w:ind w:left="-105" w:right="-105"/>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1.75</w:t>
            </w:r>
          </w:p>
        </w:tc>
        <w:tc>
          <w:tcPr>
            <w:tcW w:w="743" w:type="dxa"/>
            <w:tcBorders>
              <w:tl2br w:val="nil"/>
              <w:tr2bl w:val="nil"/>
            </w:tcBorders>
            <w:vAlign w:val="center"/>
          </w:tcPr>
          <w:p w14:paraId="0A4F1C2A">
            <w:pPr>
              <w:ind w:left="-105" w:right="-105"/>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1.53</w:t>
            </w:r>
          </w:p>
        </w:tc>
        <w:tc>
          <w:tcPr>
            <w:tcW w:w="745" w:type="dxa"/>
            <w:tcBorders>
              <w:tl2br w:val="nil"/>
              <w:tr2bl w:val="nil"/>
            </w:tcBorders>
            <w:vAlign w:val="center"/>
          </w:tcPr>
          <w:p w14:paraId="265B0A68">
            <w:pPr>
              <w:ind w:left="-105" w:right="-105"/>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1.67</w:t>
            </w:r>
          </w:p>
        </w:tc>
      </w:tr>
    </w:tbl>
    <w:p w14:paraId="225921C2">
      <w:pPr>
        <w:spacing w:line="360" w:lineRule="auto"/>
        <w:ind w:left="-105" w:right="-105" w:firstLine="480" w:firstLineChars="200"/>
        <w:rPr>
          <w:rFonts w:ascii="Times New Roman" w:hAnsi="Times New Roman"/>
          <w:color w:val="auto"/>
          <w:szCs w:val="22"/>
          <w:highlight w:val="none"/>
        </w:rPr>
      </w:pPr>
      <w:r>
        <w:rPr>
          <w:rFonts w:hint="eastAsia" w:ascii="Times New Roman" w:hAnsi="Times New Roman"/>
          <w:color w:val="auto"/>
          <w:szCs w:val="22"/>
          <w:highlight w:val="none"/>
        </w:rPr>
        <w:t>以上监测结果表明：验收监测期间，厂区内无组织非甲烷总烃（含2-乙二醇单乙醚醋酸酯、丁酮、异氰酸酯、丙烯酸）的排放浓度满足江苏省地方标准《大气污染物综合排放标准》（DB32/4041-2021)中表2标准。</w:t>
      </w:r>
    </w:p>
    <w:p w14:paraId="3413EBF2">
      <w:pPr>
        <w:spacing w:line="360" w:lineRule="auto"/>
        <w:ind w:left="-105" w:right="-105" w:firstLine="480" w:firstLineChars="200"/>
        <w:rPr>
          <w:rFonts w:ascii="Times New Roman" w:hAnsi="Times New Roman"/>
          <w:color w:val="auto"/>
          <w:szCs w:val="22"/>
          <w:highlight w:val="none"/>
        </w:rPr>
      </w:pPr>
      <w:r>
        <w:rPr>
          <w:rFonts w:hint="eastAsia" w:ascii="Times New Roman" w:hAnsi="Times New Roman"/>
          <w:color w:val="auto"/>
          <w:szCs w:val="22"/>
          <w:highlight w:val="none"/>
        </w:rPr>
        <w:t>根据《关于化药化工（无锡）有限公司&lt;年产聚氨酯丙烯酸酯5000t、丙烯酸酯组成物10000t和环氧丙烯酸树脂1200t生产线技改扩建项目环境影响报告书&gt;的审批意见》（锡环管[2012]10号），现有项目设置环氧丙烯酸树脂收罐车间、丙烯酸酯组成物收罐车间卫生防护距离为100米、丁酮储罐区卫生防护距离为50米，上述卫生防护距离内不得设置环境敏感目标。由于企业已取消丁酮储罐的使用，改为废液收集罐，故取消丁酮储罐区50米卫生防护距离。</w:t>
      </w:r>
    </w:p>
    <w:p w14:paraId="0CBA2E3F">
      <w:pPr>
        <w:pStyle w:val="6"/>
        <w:keepLines w:val="0"/>
        <w:widowControl/>
        <w:numPr>
          <w:ilvl w:val="3"/>
          <w:numId w:val="6"/>
        </w:numPr>
        <w:spacing w:before="120" w:beforeLines="50" w:after="120" w:afterLines="50" w:line="360" w:lineRule="auto"/>
        <w:ind w:left="-105" w:right="-105"/>
        <w:rPr>
          <w:rFonts w:ascii="Times New Roman" w:hAnsi="Times New Roman"/>
          <w:color w:val="auto"/>
          <w:sz w:val="24"/>
          <w:szCs w:val="24"/>
          <w:highlight w:val="none"/>
        </w:rPr>
      </w:pPr>
      <w:r>
        <w:rPr>
          <w:rFonts w:ascii="Times New Roman" w:hAnsi="Times New Roman"/>
          <w:color w:val="auto"/>
          <w:sz w:val="24"/>
          <w:szCs w:val="24"/>
          <w:highlight w:val="none"/>
        </w:rPr>
        <w:t>废水</w:t>
      </w:r>
    </w:p>
    <w:p w14:paraId="17A64A4F">
      <w:pPr>
        <w:spacing w:line="360" w:lineRule="auto"/>
        <w:ind w:left="-105" w:right="-105" w:firstLine="482" w:firstLineChars="200"/>
        <w:rPr>
          <w:rFonts w:ascii="Times New Roman" w:hAnsi="Times New Roman"/>
          <w:b/>
          <w:bCs/>
          <w:color w:val="auto"/>
          <w:szCs w:val="22"/>
          <w:highlight w:val="none"/>
        </w:rPr>
      </w:pPr>
      <w:r>
        <w:rPr>
          <w:rFonts w:hint="eastAsia" w:ascii="Times New Roman" w:hAnsi="Times New Roman"/>
          <w:b/>
          <w:bCs/>
          <w:color w:val="auto"/>
          <w:szCs w:val="22"/>
          <w:highlight w:val="none"/>
        </w:rPr>
        <w:t>（1）现有项目废水处置、排放情况</w:t>
      </w:r>
    </w:p>
    <w:p w14:paraId="1313FED6">
      <w:pPr>
        <w:spacing w:line="360" w:lineRule="auto"/>
        <w:ind w:left="-105" w:right="-105" w:firstLine="480" w:firstLineChars="200"/>
        <w:rPr>
          <w:rFonts w:ascii="Times New Roman" w:hAnsi="Times New Roman"/>
          <w:color w:val="auto"/>
          <w:szCs w:val="22"/>
          <w:highlight w:val="none"/>
        </w:rPr>
      </w:pPr>
      <w:r>
        <w:rPr>
          <w:rFonts w:hint="eastAsia" w:ascii="Times New Roman" w:hAnsi="Times New Roman"/>
          <w:color w:val="auto"/>
          <w:szCs w:val="22"/>
          <w:highlight w:val="none"/>
        </w:rPr>
        <w:t>厂区已实施“雨污分流”。企业废气处理设施产生喷淋废液委托资质单位处置，无生产废水排放，生活污水经化粪池预处理后接入无锡先进化药化工有限公司污水处理厂处理后接管排入无锡市锡山云林污水处理有限公司处理。全厂只有1个污水接管口和1个雨水接管口，与其他单位共用。</w:t>
      </w:r>
    </w:p>
    <w:p w14:paraId="40F51555">
      <w:pPr>
        <w:spacing w:line="360" w:lineRule="auto"/>
        <w:ind w:left="-105" w:right="-105" w:firstLine="482" w:firstLineChars="200"/>
        <w:rPr>
          <w:rFonts w:ascii="Times New Roman" w:hAnsi="Times New Roman"/>
          <w:color w:val="auto"/>
          <w:szCs w:val="22"/>
          <w:highlight w:val="none"/>
        </w:rPr>
      </w:pPr>
      <w:r>
        <w:rPr>
          <w:rFonts w:hint="eastAsia" w:ascii="Times New Roman" w:hAnsi="Times New Roman"/>
          <w:b/>
          <w:bCs/>
          <w:color w:val="auto"/>
          <w:szCs w:val="22"/>
          <w:highlight w:val="none"/>
        </w:rPr>
        <w:t>（2）废水检测情况</w:t>
      </w:r>
    </w:p>
    <w:p w14:paraId="55680022">
      <w:pPr>
        <w:spacing w:line="360" w:lineRule="auto"/>
        <w:ind w:left="-105" w:right="-105" w:firstLine="480" w:firstLineChars="200"/>
        <w:rPr>
          <w:rFonts w:ascii="Times New Roman" w:hAnsi="Times New Roman"/>
          <w:color w:val="auto"/>
          <w:szCs w:val="22"/>
          <w:highlight w:val="none"/>
        </w:rPr>
      </w:pPr>
      <w:r>
        <w:rPr>
          <w:rFonts w:hint="eastAsia" w:ascii="Times New Roman" w:hAnsi="Times New Roman"/>
          <w:color w:val="auto"/>
          <w:szCs w:val="22"/>
          <w:highlight w:val="none"/>
        </w:rPr>
        <w:t>根据《化药化工（无锡）有限公司年产聚氨酯丙烯酸酯5000t、丙烯酸酯组成物10000t和环氧丙烯酸树脂1200t生产线技改扩建项目（第二阶段：年产聚氨酯丙烯酸酯2000t、丙烯酸酯组成物5000t）竣工环境保护验收报告》，现有项目污水接管口监测结果见下表：</w:t>
      </w:r>
    </w:p>
    <w:p w14:paraId="431B2D38">
      <w:pPr>
        <w:pStyle w:val="15"/>
        <w:spacing w:line="360" w:lineRule="auto"/>
        <w:ind w:left="-105" w:right="-105" w:firstLine="482"/>
        <w:rPr>
          <w:color w:val="auto"/>
          <w:szCs w:val="22"/>
          <w:highlight w:val="none"/>
        </w:rPr>
      </w:pPr>
      <w:r>
        <w:rPr>
          <w:rFonts w:eastAsia="宋体" w:cs="Times New Roman"/>
          <w:bCs/>
          <w:color w:val="auto"/>
          <w:sz w:val="24"/>
          <w:szCs w:val="18"/>
          <w:highlight w:val="none"/>
        </w:rPr>
        <w:t>表</w:t>
      </w:r>
      <w:r>
        <w:rPr>
          <w:rFonts w:eastAsia="宋体" w:cs="Times New Roman"/>
          <w:bCs/>
          <w:color w:val="auto"/>
          <w:sz w:val="24"/>
          <w:szCs w:val="18"/>
          <w:highlight w:val="none"/>
        </w:rPr>
        <w:fldChar w:fldCharType="begin"/>
      </w:r>
      <w:r>
        <w:rPr>
          <w:rFonts w:eastAsia="宋体" w:cs="Times New Roman"/>
          <w:bCs/>
          <w:color w:val="auto"/>
          <w:sz w:val="24"/>
          <w:szCs w:val="18"/>
          <w:highlight w:val="none"/>
        </w:rPr>
        <w:instrText xml:space="preserve"> STYLEREF 2 \s </w:instrText>
      </w:r>
      <w:r>
        <w:rPr>
          <w:rFonts w:eastAsia="宋体" w:cs="Times New Roman"/>
          <w:bCs/>
          <w:color w:val="auto"/>
          <w:sz w:val="24"/>
          <w:szCs w:val="18"/>
          <w:highlight w:val="none"/>
        </w:rPr>
        <w:fldChar w:fldCharType="separate"/>
      </w:r>
      <w:r>
        <w:rPr>
          <w:rFonts w:eastAsia="宋体" w:cs="Times New Roman"/>
          <w:bCs/>
          <w:color w:val="auto"/>
          <w:sz w:val="24"/>
          <w:szCs w:val="18"/>
          <w:highlight w:val="none"/>
        </w:rPr>
        <w:t>3.3</w:t>
      </w:r>
      <w:r>
        <w:rPr>
          <w:rFonts w:eastAsia="宋体" w:cs="Times New Roman"/>
          <w:bCs/>
          <w:color w:val="auto"/>
          <w:sz w:val="24"/>
          <w:szCs w:val="18"/>
          <w:highlight w:val="none"/>
        </w:rPr>
        <w:fldChar w:fldCharType="end"/>
      </w:r>
      <w:r>
        <w:rPr>
          <w:rFonts w:eastAsia="宋体" w:cs="Times New Roman"/>
          <w:bCs/>
          <w:color w:val="auto"/>
          <w:sz w:val="24"/>
          <w:szCs w:val="18"/>
          <w:highlight w:val="none"/>
        </w:rPr>
        <w:noBreakHyphen/>
      </w:r>
      <w:r>
        <w:rPr>
          <w:rFonts w:eastAsia="宋体" w:cs="Times New Roman"/>
          <w:bCs/>
          <w:color w:val="auto"/>
          <w:sz w:val="24"/>
          <w:szCs w:val="18"/>
          <w:highlight w:val="none"/>
        </w:rPr>
        <w:fldChar w:fldCharType="begin"/>
      </w:r>
      <w:r>
        <w:rPr>
          <w:rFonts w:eastAsia="宋体" w:cs="Times New Roman"/>
          <w:bCs/>
          <w:color w:val="auto"/>
          <w:sz w:val="24"/>
          <w:szCs w:val="18"/>
          <w:highlight w:val="none"/>
        </w:rPr>
        <w:instrText xml:space="preserve"> SEQ 表 \* ARABIC \s 2 </w:instrText>
      </w:r>
      <w:r>
        <w:rPr>
          <w:rFonts w:eastAsia="宋体" w:cs="Times New Roman"/>
          <w:bCs/>
          <w:color w:val="auto"/>
          <w:sz w:val="24"/>
          <w:szCs w:val="18"/>
          <w:highlight w:val="none"/>
        </w:rPr>
        <w:fldChar w:fldCharType="separate"/>
      </w:r>
      <w:r>
        <w:rPr>
          <w:rFonts w:eastAsia="宋体" w:cs="Times New Roman"/>
          <w:bCs/>
          <w:color w:val="auto"/>
          <w:sz w:val="24"/>
          <w:szCs w:val="18"/>
          <w:highlight w:val="none"/>
        </w:rPr>
        <w:t>9</w:t>
      </w:r>
      <w:r>
        <w:rPr>
          <w:rFonts w:eastAsia="宋体" w:cs="Times New Roman"/>
          <w:bCs/>
          <w:color w:val="auto"/>
          <w:sz w:val="24"/>
          <w:szCs w:val="18"/>
          <w:highlight w:val="none"/>
        </w:rPr>
        <w:fldChar w:fldCharType="end"/>
      </w:r>
      <w:r>
        <w:rPr>
          <w:rFonts w:hint="eastAsia" w:eastAsia="宋体" w:cs="Times New Roman"/>
          <w:bCs/>
          <w:color w:val="auto"/>
          <w:sz w:val="24"/>
          <w:szCs w:val="18"/>
          <w:highlight w:val="none"/>
        </w:rPr>
        <w:t>污水接管口废水水质监测结果</w:t>
      </w:r>
      <w:r>
        <w:rPr>
          <w:rFonts w:eastAsia="宋体" w:cs="Times New Roman"/>
          <w:bCs/>
          <w:color w:val="auto"/>
          <w:sz w:val="24"/>
          <w:szCs w:val="18"/>
          <w:highlight w:val="none"/>
        </w:rPr>
        <w:t>一览表</w:t>
      </w:r>
    </w:p>
    <w:tbl>
      <w:tblPr>
        <w:tblStyle w:val="46"/>
        <w:tblW w:w="5000"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039"/>
        <w:gridCol w:w="875"/>
        <w:gridCol w:w="1041"/>
        <w:gridCol w:w="962"/>
        <w:gridCol w:w="963"/>
        <w:gridCol w:w="958"/>
        <w:gridCol w:w="964"/>
        <w:gridCol w:w="959"/>
        <w:gridCol w:w="959"/>
      </w:tblGrid>
      <w:tr w14:paraId="03E73C4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36" w:type="dxa"/>
            <w:vMerge w:val="restart"/>
            <w:tcBorders>
              <w:tl2br w:val="nil"/>
              <w:tr2bl w:val="nil"/>
            </w:tcBorders>
            <w:vAlign w:val="center"/>
          </w:tcPr>
          <w:p w14:paraId="1CA57BC3">
            <w:pPr>
              <w:ind w:left="-105" w:right="-105"/>
              <w:jc w:val="center"/>
              <w:rPr>
                <w:rFonts w:ascii="Times New Roman" w:hAnsi="Times New Roman" w:cs="Times New Roman"/>
                <w:b/>
                <w:bCs/>
                <w:color w:val="auto"/>
                <w:sz w:val="18"/>
                <w:szCs w:val="18"/>
                <w:highlight w:val="none"/>
              </w:rPr>
            </w:pPr>
            <w:r>
              <w:rPr>
                <w:rFonts w:hint="eastAsia" w:ascii="Times New Roman" w:hAnsi="Times New Roman" w:cs="Times New Roman"/>
                <w:b/>
                <w:bCs/>
                <w:color w:val="auto"/>
                <w:sz w:val="18"/>
                <w:szCs w:val="18"/>
                <w:highlight w:val="none"/>
              </w:rPr>
              <w:t>监测日期</w:t>
            </w:r>
          </w:p>
        </w:tc>
        <w:tc>
          <w:tcPr>
            <w:tcW w:w="788" w:type="dxa"/>
            <w:vMerge w:val="restart"/>
            <w:tcBorders>
              <w:tl2br w:val="nil"/>
              <w:tr2bl w:val="nil"/>
            </w:tcBorders>
            <w:vAlign w:val="center"/>
          </w:tcPr>
          <w:p w14:paraId="0A96B028">
            <w:pPr>
              <w:ind w:left="-105" w:right="-105"/>
              <w:jc w:val="center"/>
              <w:rPr>
                <w:rFonts w:ascii="Times New Roman" w:hAnsi="Times New Roman" w:cs="Times New Roman"/>
                <w:b/>
                <w:bCs/>
                <w:color w:val="auto"/>
                <w:sz w:val="18"/>
                <w:szCs w:val="18"/>
                <w:highlight w:val="none"/>
              </w:rPr>
            </w:pPr>
            <w:r>
              <w:rPr>
                <w:rFonts w:hint="eastAsia" w:ascii="Times New Roman" w:hAnsi="Times New Roman" w:cs="Times New Roman"/>
                <w:b/>
                <w:bCs/>
                <w:color w:val="auto"/>
                <w:sz w:val="18"/>
                <w:szCs w:val="18"/>
                <w:highlight w:val="none"/>
              </w:rPr>
              <w:t>采样频次</w:t>
            </w:r>
          </w:p>
        </w:tc>
        <w:tc>
          <w:tcPr>
            <w:tcW w:w="6133" w:type="dxa"/>
            <w:gridSpan w:val="7"/>
            <w:tcBorders>
              <w:tl2br w:val="nil"/>
              <w:tr2bl w:val="nil"/>
            </w:tcBorders>
            <w:vAlign w:val="center"/>
          </w:tcPr>
          <w:p w14:paraId="523AACEC">
            <w:pPr>
              <w:ind w:left="-105" w:right="-105"/>
              <w:jc w:val="center"/>
              <w:rPr>
                <w:rFonts w:ascii="Times New Roman" w:hAnsi="Times New Roman" w:cs="Times New Roman"/>
                <w:b/>
                <w:bCs/>
                <w:color w:val="auto"/>
                <w:sz w:val="18"/>
                <w:szCs w:val="18"/>
                <w:highlight w:val="none"/>
              </w:rPr>
            </w:pPr>
            <w:r>
              <w:rPr>
                <w:rFonts w:hint="eastAsia" w:ascii="Times New Roman" w:hAnsi="Times New Roman" w:cs="Times New Roman"/>
                <w:b/>
                <w:bCs/>
                <w:color w:val="auto"/>
                <w:sz w:val="18"/>
                <w:szCs w:val="18"/>
                <w:highlight w:val="none"/>
              </w:rPr>
              <w:t>监测项目（单位：pH值为无量纲，其余为mg/L）</w:t>
            </w:r>
          </w:p>
        </w:tc>
      </w:tr>
      <w:tr w14:paraId="3AA158C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36" w:type="dxa"/>
            <w:vMerge w:val="continue"/>
            <w:tcBorders>
              <w:tl2br w:val="nil"/>
              <w:tr2bl w:val="nil"/>
            </w:tcBorders>
            <w:vAlign w:val="center"/>
          </w:tcPr>
          <w:p w14:paraId="2973E113">
            <w:pPr>
              <w:ind w:left="-105" w:right="-105"/>
              <w:jc w:val="center"/>
              <w:rPr>
                <w:rFonts w:ascii="Times New Roman" w:hAnsi="Times New Roman" w:cs="Times New Roman"/>
                <w:color w:val="auto"/>
                <w:sz w:val="18"/>
                <w:szCs w:val="18"/>
                <w:highlight w:val="none"/>
              </w:rPr>
            </w:pPr>
          </w:p>
        </w:tc>
        <w:tc>
          <w:tcPr>
            <w:tcW w:w="788" w:type="dxa"/>
            <w:vMerge w:val="continue"/>
            <w:tcBorders>
              <w:tl2br w:val="nil"/>
              <w:tr2bl w:val="nil"/>
            </w:tcBorders>
            <w:vAlign w:val="center"/>
          </w:tcPr>
          <w:p w14:paraId="47759729">
            <w:pPr>
              <w:ind w:left="-105" w:right="-105"/>
              <w:jc w:val="center"/>
              <w:rPr>
                <w:rFonts w:ascii="Times New Roman" w:hAnsi="Times New Roman" w:cs="Times New Roman"/>
                <w:color w:val="auto"/>
                <w:sz w:val="18"/>
                <w:szCs w:val="18"/>
                <w:highlight w:val="none"/>
              </w:rPr>
            </w:pPr>
          </w:p>
        </w:tc>
        <w:tc>
          <w:tcPr>
            <w:tcW w:w="938" w:type="dxa"/>
            <w:tcBorders>
              <w:tl2br w:val="nil"/>
              <w:tr2bl w:val="nil"/>
            </w:tcBorders>
            <w:vAlign w:val="center"/>
          </w:tcPr>
          <w:p w14:paraId="282905B6">
            <w:pPr>
              <w:ind w:left="-105" w:right="-105"/>
              <w:jc w:val="center"/>
              <w:rPr>
                <w:rFonts w:ascii="Times New Roman" w:hAnsi="Times New Roman" w:cs="Times New Roman"/>
                <w:b/>
                <w:bCs/>
                <w:color w:val="auto"/>
                <w:sz w:val="18"/>
                <w:szCs w:val="18"/>
                <w:highlight w:val="none"/>
              </w:rPr>
            </w:pPr>
            <w:r>
              <w:rPr>
                <w:rFonts w:hint="eastAsia" w:ascii="Times New Roman" w:hAnsi="Times New Roman" w:cs="Times New Roman"/>
                <w:b/>
                <w:bCs/>
                <w:color w:val="auto"/>
                <w:sz w:val="18"/>
                <w:szCs w:val="18"/>
                <w:highlight w:val="none"/>
              </w:rPr>
              <w:t>pH值</w:t>
            </w:r>
          </w:p>
        </w:tc>
        <w:tc>
          <w:tcPr>
            <w:tcW w:w="867" w:type="dxa"/>
            <w:tcBorders>
              <w:tl2br w:val="nil"/>
              <w:tr2bl w:val="nil"/>
            </w:tcBorders>
            <w:vAlign w:val="center"/>
          </w:tcPr>
          <w:p w14:paraId="34FD9ACD">
            <w:pPr>
              <w:ind w:left="-105" w:right="-105"/>
              <w:jc w:val="center"/>
              <w:rPr>
                <w:rFonts w:ascii="Times New Roman" w:hAnsi="Times New Roman" w:cs="Times New Roman"/>
                <w:b/>
                <w:bCs/>
                <w:color w:val="auto"/>
                <w:sz w:val="18"/>
                <w:szCs w:val="18"/>
                <w:highlight w:val="none"/>
              </w:rPr>
            </w:pPr>
            <w:r>
              <w:rPr>
                <w:rFonts w:hint="eastAsia" w:ascii="Times New Roman" w:hAnsi="Times New Roman" w:cs="Times New Roman"/>
                <w:b/>
                <w:bCs/>
                <w:color w:val="auto"/>
                <w:sz w:val="18"/>
                <w:szCs w:val="18"/>
                <w:highlight w:val="none"/>
              </w:rPr>
              <w:t>COD</w:t>
            </w:r>
          </w:p>
        </w:tc>
        <w:tc>
          <w:tcPr>
            <w:tcW w:w="868" w:type="dxa"/>
            <w:tcBorders>
              <w:tl2br w:val="nil"/>
              <w:tr2bl w:val="nil"/>
            </w:tcBorders>
            <w:vAlign w:val="center"/>
          </w:tcPr>
          <w:p w14:paraId="6E62E23A">
            <w:pPr>
              <w:ind w:left="-105" w:right="-105"/>
              <w:jc w:val="center"/>
              <w:rPr>
                <w:rFonts w:ascii="Times New Roman" w:hAnsi="Times New Roman" w:cs="Times New Roman"/>
                <w:b/>
                <w:bCs/>
                <w:color w:val="auto"/>
                <w:sz w:val="18"/>
                <w:szCs w:val="18"/>
                <w:highlight w:val="none"/>
              </w:rPr>
            </w:pPr>
            <w:r>
              <w:rPr>
                <w:rFonts w:hint="eastAsia" w:ascii="Times New Roman" w:hAnsi="Times New Roman" w:cs="Times New Roman"/>
                <w:b/>
                <w:bCs/>
                <w:color w:val="auto"/>
                <w:sz w:val="18"/>
                <w:szCs w:val="18"/>
                <w:highlight w:val="none"/>
              </w:rPr>
              <w:t>BOD</w:t>
            </w:r>
            <w:r>
              <w:rPr>
                <w:rFonts w:hint="eastAsia" w:ascii="Times New Roman" w:hAnsi="Times New Roman" w:cs="Times New Roman"/>
                <w:b/>
                <w:bCs/>
                <w:color w:val="auto"/>
                <w:sz w:val="18"/>
                <w:szCs w:val="18"/>
                <w:highlight w:val="none"/>
                <w:vertAlign w:val="subscript"/>
              </w:rPr>
              <w:t>5</w:t>
            </w:r>
          </w:p>
        </w:tc>
        <w:tc>
          <w:tcPr>
            <w:tcW w:w="863" w:type="dxa"/>
            <w:tcBorders>
              <w:tl2br w:val="nil"/>
              <w:tr2bl w:val="nil"/>
            </w:tcBorders>
            <w:vAlign w:val="center"/>
          </w:tcPr>
          <w:p w14:paraId="7478980F">
            <w:pPr>
              <w:ind w:left="-105" w:right="-105"/>
              <w:jc w:val="center"/>
              <w:rPr>
                <w:rFonts w:ascii="Times New Roman" w:hAnsi="Times New Roman" w:cs="Times New Roman"/>
                <w:b/>
                <w:bCs/>
                <w:color w:val="auto"/>
                <w:sz w:val="18"/>
                <w:szCs w:val="18"/>
                <w:highlight w:val="none"/>
              </w:rPr>
            </w:pPr>
            <w:r>
              <w:rPr>
                <w:rFonts w:hint="eastAsia" w:ascii="Times New Roman" w:hAnsi="Times New Roman" w:cs="Times New Roman"/>
                <w:b/>
                <w:bCs/>
                <w:color w:val="auto"/>
                <w:sz w:val="18"/>
                <w:szCs w:val="18"/>
                <w:highlight w:val="none"/>
              </w:rPr>
              <w:t>SS</w:t>
            </w:r>
          </w:p>
        </w:tc>
        <w:tc>
          <w:tcPr>
            <w:tcW w:w="869" w:type="dxa"/>
            <w:tcBorders>
              <w:tl2br w:val="nil"/>
              <w:tr2bl w:val="nil"/>
            </w:tcBorders>
            <w:vAlign w:val="center"/>
          </w:tcPr>
          <w:p w14:paraId="6A24DD19">
            <w:pPr>
              <w:ind w:left="-105" w:right="-105"/>
              <w:jc w:val="center"/>
              <w:rPr>
                <w:rFonts w:ascii="Times New Roman" w:hAnsi="Times New Roman" w:cs="Times New Roman"/>
                <w:b/>
                <w:bCs/>
                <w:color w:val="auto"/>
                <w:sz w:val="18"/>
                <w:szCs w:val="18"/>
                <w:highlight w:val="none"/>
              </w:rPr>
            </w:pPr>
            <w:r>
              <w:rPr>
                <w:rFonts w:hint="eastAsia" w:ascii="Times New Roman" w:hAnsi="Times New Roman" w:cs="Times New Roman"/>
                <w:b/>
                <w:bCs/>
                <w:color w:val="auto"/>
                <w:sz w:val="18"/>
                <w:szCs w:val="18"/>
                <w:highlight w:val="none"/>
              </w:rPr>
              <w:t>NH</w:t>
            </w:r>
            <w:r>
              <w:rPr>
                <w:rFonts w:hint="eastAsia" w:ascii="Times New Roman" w:hAnsi="Times New Roman" w:cs="Times New Roman"/>
                <w:b/>
                <w:bCs/>
                <w:color w:val="auto"/>
                <w:sz w:val="18"/>
                <w:szCs w:val="18"/>
                <w:highlight w:val="none"/>
                <w:vertAlign w:val="subscript"/>
              </w:rPr>
              <w:t>3</w:t>
            </w:r>
            <w:r>
              <w:rPr>
                <w:rFonts w:hint="eastAsia" w:ascii="Times New Roman" w:hAnsi="Times New Roman" w:cs="Times New Roman"/>
                <w:b/>
                <w:bCs/>
                <w:color w:val="auto"/>
                <w:sz w:val="18"/>
                <w:szCs w:val="18"/>
                <w:highlight w:val="none"/>
              </w:rPr>
              <w:t>-N</w:t>
            </w:r>
          </w:p>
        </w:tc>
        <w:tc>
          <w:tcPr>
            <w:tcW w:w="864" w:type="dxa"/>
            <w:tcBorders>
              <w:tl2br w:val="nil"/>
              <w:tr2bl w:val="nil"/>
            </w:tcBorders>
            <w:vAlign w:val="center"/>
          </w:tcPr>
          <w:p w14:paraId="5A756C40">
            <w:pPr>
              <w:ind w:left="-105" w:right="-105"/>
              <w:jc w:val="center"/>
              <w:rPr>
                <w:rFonts w:ascii="Times New Roman" w:hAnsi="Times New Roman" w:cs="Times New Roman"/>
                <w:b/>
                <w:bCs/>
                <w:color w:val="auto"/>
                <w:sz w:val="18"/>
                <w:szCs w:val="18"/>
                <w:highlight w:val="none"/>
              </w:rPr>
            </w:pPr>
            <w:r>
              <w:rPr>
                <w:rFonts w:hint="eastAsia" w:ascii="Times New Roman" w:hAnsi="Times New Roman" w:cs="Times New Roman"/>
                <w:b/>
                <w:bCs/>
                <w:color w:val="auto"/>
                <w:sz w:val="18"/>
                <w:szCs w:val="18"/>
                <w:highlight w:val="none"/>
              </w:rPr>
              <w:t>TP</w:t>
            </w:r>
          </w:p>
        </w:tc>
        <w:tc>
          <w:tcPr>
            <w:tcW w:w="864" w:type="dxa"/>
            <w:tcBorders>
              <w:tl2br w:val="nil"/>
              <w:tr2bl w:val="nil"/>
            </w:tcBorders>
            <w:vAlign w:val="center"/>
          </w:tcPr>
          <w:p w14:paraId="7B16834D">
            <w:pPr>
              <w:ind w:left="-105" w:right="-105"/>
              <w:jc w:val="center"/>
              <w:rPr>
                <w:rFonts w:ascii="Times New Roman" w:hAnsi="Times New Roman" w:cs="Times New Roman"/>
                <w:b/>
                <w:bCs/>
                <w:color w:val="auto"/>
                <w:sz w:val="18"/>
                <w:szCs w:val="18"/>
                <w:highlight w:val="none"/>
              </w:rPr>
            </w:pPr>
            <w:r>
              <w:rPr>
                <w:rFonts w:hint="eastAsia" w:ascii="Times New Roman" w:hAnsi="Times New Roman" w:cs="Times New Roman"/>
                <w:b/>
                <w:bCs/>
                <w:color w:val="auto"/>
                <w:sz w:val="18"/>
                <w:szCs w:val="18"/>
                <w:highlight w:val="none"/>
              </w:rPr>
              <w:t>TN</w:t>
            </w:r>
          </w:p>
        </w:tc>
      </w:tr>
      <w:tr w14:paraId="6D41765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36" w:type="dxa"/>
            <w:vMerge w:val="restart"/>
            <w:tcBorders>
              <w:tl2br w:val="nil"/>
              <w:tr2bl w:val="nil"/>
            </w:tcBorders>
            <w:vAlign w:val="center"/>
          </w:tcPr>
          <w:p w14:paraId="4DC3BEA0">
            <w:pPr>
              <w:ind w:left="-105" w:right="-105"/>
              <w:jc w:val="center"/>
              <w:rPr>
                <w:rFonts w:ascii="Times New Roman" w:hAnsi="Times New Roman" w:cs="Times New Roman"/>
                <w:color w:val="auto"/>
                <w:sz w:val="18"/>
                <w:szCs w:val="18"/>
                <w:highlight w:val="none"/>
              </w:rPr>
            </w:pPr>
            <w:r>
              <w:rPr>
                <w:rFonts w:hint="eastAsia" w:ascii="Times New Roman" w:hAnsi="Times New Roman" w:cs="Times New Roman"/>
                <w:color w:val="auto"/>
                <w:sz w:val="18"/>
                <w:szCs w:val="18"/>
                <w:highlight w:val="none"/>
              </w:rPr>
              <w:t>2023.3.15</w:t>
            </w:r>
          </w:p>
        </w:tc>
        <w:tc>
          <w:tcPr>
            <w:tcW w:w="788" w:type="dxa"/>
            <w:tcBorders>
              <w:tl2br w:val="nil"/>
              <w:tr2bl w:val="nil"/>
            </w:tcBorders>
            <w:vAlign w:val="center"/>
          </w:tcPr>
          <w:p w14:paraId="7D2E59D4">
            <w:pPr>
              <w:ind w:left="-105" w:right="-105"/>
              <w:jc w:val="center"/>
              <w:rPr>
                <w:rFonts w:ascii="Times New Roman" w:hAnsi="Times New Roman" w:cs="Times New Roman"/>
                <w:color w:val="auto"/>
                <w:sz w:val="18"/>
                <w:szCs w:val="18"/>
                <w:highlight w:val="none"/>
              </w:rPr>
            </w:pPr>
            <w:r>
              <w:rPr>
                <w:rFonts w:hint="eastAsia" w:ascii="Times New Roman" w:hAnsi="Times New Roman" w:cs="Times New Roman"/>
                <w:color w:val="auto"/>
                <w:sz w:val="18"/>
                <w:szCs w:val="18"/>
                <w:highlight w:val="none"/>
              </w:rPr>
              <w:t>第一次</w:t>
            </w:r>
          </w:p>
        </w:tc>
        <w:tc>
          <w:tcPr>
            <w:tcW w:w="938" w:type="dxa"/>
            <w:tcBorders>
              <w:tl2br w:val="nil"/>
              <w:tr2bl w:val="nil"/>
            </w:tcBorders>
            <w:vAlign w:val="center"/>
          </w:tcPr>
          <w:p w14:paraId="5D9D5E40">
            <w:pPr>
              <w:ind w:left="-105" w:right="-105"/>
              <w:jc w:val="center"/>
              <w:rPr>
                <w:rFonts w:ascii="Times New Roman" w:hAnsi="Times New Roman" w:cs="Times New Roman"/>
                <w:color w:val="auto"/>
                <w:sz w:val="18"/>
                <w:szCs w:val="18"/>
                <w:highlight w:val="none"/>
              </w:rPr>
            </w:pPr>
            <w:r>
              <w:rPr>
                <w:rFonts w:hint="eastAsia" w:ascii="Times New Roman" w:hAnsi="Times New Roman" w:cs="Times New Roman"/>
                <w:color w:val="auto"/>
                <w:sz w:val="18"/>
                <w:szCs w:val="18"/>
                <w:highlight w:val="none"/>
              </w:rPr>
              <w:t>7.2</w:t>
            </w:r>
          </w:p>
        </w:tc>
        <w:tc>
          <w:tcPr>
            <w:tcW w:w="867" w:type="dxa"/>
            <w:tcBorders>
              <w:tl2br w:val="nil"/>
              <w:tr2bl w:val="nil"/>
            </w:tcBorders>
            <w:vAlign w:val="center"/>
          </w:tcPr>
          <w:p w14:paraId="04782F03">
            <w:pPr>
              <w:ind w:left="-105" w:right="-105"/>
              <w:jc w:val="center"/>
              <w:rPr>
                <w:rFonts w:ascii="Times New Roman" w:hAnsi="Times New Roman" w:cs="Times New Roman"/>
                <w:color w:val="auto"/>
                <w:sz w:val="18"/>
                <w:szCs w:val="18"/>
                <w:highlight w:val="none"/>
              </w:rPr>
            </w:pPr>
            <w:r>
              <w:rPr>
                <w:rFonts w:hint="eastAsia" w:ascii="Times New Roman" w:hAnsi="Times New Roman" w:cs="Times New Roman"/>
                <w:color w:val="auto"/>
                <w:sz w:val="18"/>
                <w:szCs w:val="18"/>
                <w:highlight w:val="none"/>
              </w:rPr>
              <w:t>20</w:t>
            </w:r>
          </w:p>
        </w:tc>
        <w:tc>
          <w:tcPr>
            <w:tcW w:w="868" w:type="dxa"/>
            <w:tcBorders>
              <w:tl2br w:val="nil"/>
              <w:tr2bl w:val="nil"/>
            </w:tcBorders>
            <w:vAlign w:val="center"/>
          </w:tcPr>
          <w:p w14:paraId="32455765">
            <w:pPr>
              <w:ind w:left="-105" w:right="-105"/>
              <w:jc w:val="center"/>
              <w:rPr>
                <w:rFonts w:ascii="Times New Roman" w:hAnsi="Times New Roman" w:cs="Times New Roman"/>
                <w:color w:val="auto"/>
                <w:sz w:val="18"/>
                <w:szCs w:val="18"/>
                <w:highlight w:val="none"/>
              </w:rPr>
            </w:pPr>
            <w:r>
              <w:rPr>
                <w:rFonts w:hint="eastAsia" w:ascii="Times New Roman" w:hAnsi="Times New Roman" w:cs="Times New Roman"/>
                <w:color w:val="auto"/>
                <w:sz w:val="18"/>
                <w:szCs w:val="18"/>
                <w:highlight w:val="none"/>
              </w:rPr>
              <w:t>4.6</w:t>
            </w:r>
          </w:p>
        </w:tc>
        <w:tc>
          <w:tcPr>
            <w:tcW w:w="863" w:type="dxa"/>
            <w:tcBorders>
              <w:tl2br w:val="nil"/>
              <w:tr2bl w:val="nil"/>
            </w:tcBorders>
            <w:vAlign w:val="center"/>
          </w:tcPr>
          <w:p w14:paraId="50212D34">
            <w:pPr>
              <w:ind w:left="-105" w:right="-105"/>
              <w:jc w:val="center"/>
              <w:rPr>
                <w:rFonts w:ascii="Times New Roman" w:hAnsi="Times New Roman" w:cs="Times New Roman"/>
                <w:color w:val="auto"/>
                <w:sz w:val="18"/>
                <w:szCs w:val="18"/>
                <w:highlight w:val="none"/>
              </w:rPr>
            </w:pPr>
            <w:r>
              <w:rPr>
                <w:rFonts w:hint="eastAsia" w:ascii="Times New Roman" w:hAnsi="Times New Roman" w:cs="Times New Roman"/>
                <w:color w:val="auto"/>
                <w:sz w:val="18"/>
                <w:szCs w:val="18"/>
                <w:highlight w:val="none"/>
              </w:rPr>
              <w:t>15</w:t>
            </w:r>
          </w:p>
        </w:tc>
        <w:tc>
          <w:tcPr>
            <w:tcW w:w="869" w:type="dxa"/>
            <w:tcBorders>
              <w:tl2br w:val="nil"/>
              <w:tr2bl w:val="nil"/>
            </w:tcBorders>
            <w:vAlign w:val="center"/>
          </w:tcPr>
          <w:p w14:paraId="2CE0087B">
            <w:pPr>
              <w:ind w:left="-105" w:right="-105"/>
              <w:jc w:val="center"/>
              <w:rPr>
                <w:rFonts w:ascii="Times New Roman" w:hAnsi="Times New Roman" w:cs="Times New Roman"/>
                <w:color w:val="auto"/>
                <w:sz w:val="18"/>
                <w:szCs w:val="18"/>
                <w:highlight w:val="none"/>
              </w:rPr>
            </w:pPr>
            <w:r>
              <w:rPr>
                <w:rFonts w:hint="eastAsia" w:ascii="Times New Roman" w:hAnsi="Times New Roman" w:cs="Times New Roman"/>
                <w:color w:val="auto"/>
                <w:sz w:val="18"/>
                <w:szCs w:val="18"/>
                <w:highlight w:val="none"/>
              </w:rPr>
              <w:t>2.80</w:t>
            </w:r>
          </w:p>
        </w:tc>
        <w:tc>
          <w:tcPr>
            <w:tcW w:w="864" w:type="dxa"/>
            <w:tcBorders>
              <w:tl2br w:val="nil"/>
              <w:tr2bl w:val="nil"/>
            </w:tcBorders>
            <w:vAlign w:val="center"/>
          </w:tcPr>
          <w:p w14:paraId="0B961C1C">
            <w:pPr>
              <w:ind w:left="-105" w:right="-105"/>
              <w:jc w:val="center"/>
              <w:rPr>
                <w:rFonts w:ascii="Times New Roman" w:hAnsi="Times New Roman" w:cs="Times New Roman"/>
                <w:color w:val="auto"/>
                <w:sz w:val="18"/>
                <w:szCs w:val="18"/>
                <w:highlight w:val="none"/>
              </w:rPr>
            </w:pPr>
            <w:r>
              <w:rPr>
                <w:rFonts w:hint="eastAsia" w:ascii="Times New Roman" w:hAnsi="Times New Roman" w:cs="Times New Roman"/>
                <w:color w:val="auto"/>
                <w:sz w:val="18"/>
                <w:szCs w:val="18"/>
                <w:highlight w:val="none"/>
              </w:rPr>
              <w:t>0.33</w:t>
            </w:r>
          </w:p>
        </w:tc>
        <w:tc>
          <w:tcPr>
            <w:tcW w:w="864" w:type="dxa"/>
            <w:tcBorders>
              <w:tl2br w:val="nil"/>
              <w:tr2bl w:val="nil"/>
            </w:tcBorders>
            <w:vAlign w:val="center"/>
          </w:tcPr>
          <w:p w14:paraId="3AE4E21E">
            <w:pPr>
              <w:ind w:left="-105" w:right="-105"/>
              <w:jc w:val="center"/>
              <w:rPr>
                <w:rFonts w:ascii="Times New Roman" w:hAnsi="Times New Roman" w:cs="Times New Roman"/>
                <w:color w:val="auto"/>
                <w:sz w:val="18"/>
                <w:szCs w:val="18"/>
                <w:highlight w:val="none"/>
              </w:rPr>
            </w:pPr>
            <w:r>
              <w:rPr>
                <w:rFonts w:hint="eastAsia" w:ascii="Times New Roman" w:hAnsi="Times New Roman" w:cs="Times New Roman"/>
                <w:color w:val="auto"/>
                <w:sz w:val="18"/>
                <w:szCs w:val="18"/>
                <w:highlight w:val="none"/>
              </w:rPr>
              <w:t>10.1</w:t>
            </w:r>
          </w:p>
        </w:tc>
      </w:tr>
      <w:tr w14:paraId="157385F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36" w:type="dxa"/>
            <w:vMerge w:val="continue"/>
            <w:tcBorders>
              <w:tl2br w:val="nil"/>
              <w:tr2bl w:val="nil"/>
            </w:tcBorders>
            <w:vAlign w:val="center"/>
          </w:tcPr>
          <w:p w14:paraId="73286F34">
            <w:pPr>
              <w:ind w:left="-105" w:right="-105"/>
              <w:jc w:val="center"/>
              <w:rPr>
                <w:rFonts w:ascii="Times New Roman" w:hAnsi="Times New Roman" w:cs="Times New Roman"/>
                <w:color w:val="auto"/>
                <w:sz w:val="18"/>
                <w:szCs w:val="18"/>
                <w:highlight w:val="none"/>
              </w:rPr>
            </w:pPr>
          </w:p>
        </w:tc>
        <w:tc>
          <w:tcPr>
            <w:tcW w:w="788" w:type="dxa"/>
            <w:tcBorders>
              <w:tl2br w:val="nil"/>
              <w:tr2bl w:val="nil"/>
            </w:tcBorders>
            <w:vAlign w:val="center"/>
          </w:tcPr>
          <w:p w14:paraId="1F104CA2">
            <w:pPr>
              <w:ind w:left="-105" w:right="-105"/>
              <w:jc w:val="center"/>
              <w:rPr>
                <w:rFonts w:ascii="Times New Roman" w:hAnsi="Times New Roman" w:cs="Times New Roman"/>
                <w:color w:val="auto"/>
                <w:sz w:val="18"/>
                <w:szCs w:val="18"/>
                <w:highlight w:val="none"/>
              </w:rPr>
            </w:pPr>
            <w:r>
              <w:rPr>
                <w:rFonts w:hint="eastAsia" w:ascii="Times New Roman" w:hAnsi="Times New Roman" w:cs="Times New Roman"/>
                <w:color w:val="auto"/>
                <w:sz w:val="18"/>
                <w:szCs w:val="18"/>
                <w:highlight w:val="none"/>
              </w:rPr>
              <w:t>第二次</w:t>
            </w:r>
          </w:p>
        </w:tc>
        <w:tc>
          <w:tcPr>
            <w:tcW w:w="938" w:type="dxa"/>
            <w:tcBorders>
              <w:tl2br w:val="nil"/>
              <w:tr2bl w:val="nil"/>
            </w:tcBorders>
            <w:vAlign w:val="center"/>
          </w:tcPr>
          <w:p w14:paraId="0A13E4C8">
            <w:pPr>
              <w:ind w:left="-105" w:right="-105"/>
              <w:jc w:val="center"/>
              <w:rPr>
                <w:rFonts w:ascii="Times New Roman" w:hAnsi="Times New Roman" w:cs="Times New Roman"/>
                <w:color w:val="auto"/>
                <w:sz w:val="18"/>
                <w:szCs w:val="18"/>
                <w:highlight w:val="none"/>
              </w:rPr>
            </w:pPr>
            <w:r>
              <w:rPr>
                <w:rFonts w:hint="eastAsia" w:ascii="Times New Roman" w:hAnsi="Times New Roman" w:cs="Times New Roman"/>
                <w:color w:val="auto"/>
                <w:sz w:val="18"/>
                <w:szCs w:val="18"/>
                <w:highlight w:val="none"/>
              </w:rPr>
              <w:t>7.2</w:t>
            </w:r>
          </w:p>
        </w:tc>
        <w:tc>
          <w:tcPr>
            <w:tcW w:w="867" w:type="dxa"/>
            <w:tcBorders>
              <w:tl2br w:val="nil"/>
              <w:tr2bl w:val="nil"/>
            </w:tcBorders>
            <w:vAlign w:val="center"/>
          </w:tcPr>
          <w:p w14:paraId="1594707B">
            <w:pPr>
              <w:ind w:left="-105" w:right="-105"/>
              <w:jc w:val="center"/>
              <w:rPr>
                <w:rFonts w:ascii="Times New Roman" w:hAnsi="Times New Roman" w:cs="Times New Roman"/>
                <w:color w:val="auto"/>
                <w:sz w:val="18"/>
                <w:szCs w:val="18"/>
                <w:highlight w:val="none"/>
              </w:rPr>
            </w:pPr>
            <w:r>
              <w:rPr>
                <w:rFonts w:hint="eastAsia" w:ascii="Times New Roman" w:hAnsi="Times New Roman" w:cs="Times New Roman"/>
                <w:color w:val="auto"/>
                <w:sz w:val="18"/>
                <w:szCs w:val="18"/>
                <w:highlight w:val="none"/>
              </w:rPr>
              <w:t>26</w:t>
            </w:r>
          </w:p>
        </w:tc>
        <w:tc>
          <w:tcPr>
            <w:tcW w:w="868" w:type="dxa"/>
            <w:tcBorders>
              <w:tl2br w:val="nil"/>
              <w:tr2bl w:val="nil"/>
            </w:tcBorders>
            <w:vAlign w:val="center"/>
          </w:tcPr>
          <w:p w14:paraId="5C7030B4">
            <w:pPr>
              <w:ind w:left="-105" w:right="-105"/>
              <w:jc w:val="center"/>
              <w:rPr>
                <w:rFonts w:ascii="Times New Roman" w:hAnsi="Times New Roman" w:cs="Times New Roman"/>
                <w:color w:val="auto"/>
                <w:sz w:val="18"/>
                <w:szCs w:val="18"/>
                <w:highlight w:val="none"/>
              </w:rPr>
            </w:pPr>
            <w:r>
              <w:rPr>
                <w:rFonts w:hint="eastAsia" w:ascii="Times New Roman" w:hAnsi="Times New Roman" w:cs="Times New Roman"/>
                <w:color w:val="auto"/>
                <w:sz w:val="18"/>
                <w:szCs w:val="18"/>
                <w:highlight w:val="none"/>
              </w:rPr>
              <w:t>5.3</w:t>
            </w:r>
          </w:p>
        </w:tc>
        <w:tc>
          <w:tcPr>
            <w:tcW w:w="863" w:type="dxa"/>
            <w:tcBorders>
              <w:tl2br w:val="nil"/>
              <w:tr2bl w:val="nil"/>
            </w:tcBorders>
            <w:vAlign w:val="center"/>
          </w:tcPr>
          <w:p w14:paraId="1D6F423D">
            <w:pPr>
              <w:ind w:left="-105" w:right="-105"/>
              <w:jc w:val="center"/>
              <w:rPr>
                <w:rFonts w:ascii="Times New Roman" w:hAnsi="Times New Roman" w:cs="Times New Roman"/>
                <w:color w:val="auto"/>
                <w:sz w:val="18"/>
                <w:szCs w:val="18"/>
                <w:highlight w:val="none"/>
              </w:rPr>
            </w:pPr>
            <w:r>
              <w:rPr>
                <w:rFonts w:hint="eastAsia" w:ascii="Times New Roman" w:hAnsi="Times New Roman" w:cs="Times New Roman"/>
                <w:color w:val="auto"/>
                <w:sz w:val="18"/>
                <w:szCs w:val="18"/>
                <w:highlight w:val="none"/>
              </w:rPr>
              <w:t>16</w:t>
            </w:r>
          </w:p>
        </w:tc>
        <w:tc>
          <w:tcPr>
            <w:tcW w:w="869" w:type="dxa"/>
            <w:tcBorders>
              <w:tl2br w:val="nil"/>
              <w:tr2bl w:val="nil"/>
            </w:tcBorders>
            <w:vAlign w:val="center"/>
          </w:tcPr>
          <w:p w14:paraId="2E11466E">
            <w:pPr>
              <w:ind w:left="-105" w:right="-105"/>
              <w:jc w:val="center"/>
              <w:rPr>
                <w:rFonts w:ascii="Times New Roman" w:hAnsi="Times New Roman" w:cs="Times New Roman"/>
                <w:color w:val="auto"/>
                <w:sz w:val="18"/>
                <w:szCs w:val="18"/>
                <w:highlight w:val="none"/>
              </w:rPr>
            </w:pPr>
            <w:r>
              <w:rPr>
                <w:rFonts w:hint="eastAsia" w:ascii="Times New Roman" w:hAnsi="Times New Roman" w:cs="Times New Roman"/>
                <w:color w:val="auto"/>
                <w:sz w:val="18"/>
                <w:szCs w:val="18"/>
                <w:highlight w:val="none"/>
              </w:rPr>
              <w:t>3.07</w:t>
            </w:r>
          </w:p>
        </w:tc>
        <w:tc>
          <w:tcPr>
            <w:tcW w:w="864" w:type="dxa"/>
            <w:tcBorders>
              <w:tl2br w:val="nil"/>
              <w:tr2bl w:val="nil"/>
            </w:tcBorders>
            <w:vAlign w:val="center"/>
          </w:tcPr>
          <w:p w14:paraId="02C5F35D">
            <w:pPr>
              <w:ind w:left="-105" w:right="-105"/>
              <w:jc w:val="center"/>
              <w:rPr>
                <w:rFonts w:ascii="Times New Roman" w:hAnsi="Times New Roman" w:cs="Times New Roman"/>
                <w:color w:val="auto"/>
                <w:sz w:val="18"/>
                <w:szCs w:val="18"/>
                <w:highlight w:val="none"/>
              </w:rPr>
            </w:pPr>
            <w:r>
              <w:rPr>
                <w:rFonts w:hint="eastAsia" w:ascii="Times New Roman" w:hAnsi="Times New Roman" w:cs="Times New Roman"/>
                <w:color w:val="auto"/>
                <w:sz w:val="18"/>
                <w:szCs w:val="18"/>
                <w:highlight w:val="none"/>
              </w:rPr>
              <w:t>0.32</w:t>
            </w:r>
          </w:p>
        </w:tc>
        <w:tc>
          <w:tcPr>
            <w:tcW w:w="864" w:type="dxa"/>
            <w:tcBorders>
              <w:tl2br w:val="nil"/>
              <w:tr2bl w:val="nil"/>
            </w:tcBorders>
            <w:vAlign w:val="center"/>
          </w:tcPr>
          <w:p w14:paraId="1DAE6BF6">
            <w:pPr>
              <w:ind w:left="-105" w:right="-105"/>
              <w:jc w:val="center"/>
              <w:rPr>
                <w:rFonts w:ascii="Times New Roman" w:hAnsi="Times New Roman" w:cs="Times New Roman"/>
                <w:color w:val="auto"/>
                <w:sz w:val="18"/>
                <w:szCs w:val="18"/>
                <w:highlight w:val="none"/>
              </w:rPr>
            </w:pPr>
            <w:r>
              <w:rPr>
                <w:rFonts w:hint="eastAsia" w:ascii="Times New Roman" w:hAnsi="Times New Roman" w:cs="Times New Roman"/>
                <w:color w:val="auto"/>
                <w:sz w:val="18"/>
                <w:szCs w:val="18"/>
                <w:highlight w:val="none"/>
              </w:rPr>
              <w:t>13.1</w:t>
            </w:r>
          </w:p>
        </w:tc>
      </w:tr>
      <w:tr w14:paraId="28BC088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36" w:type="dxa"/>
            <w:vMerge w:val="continue"/>
            <w:tcBorders>
              <w:tl2br w:val="nil"/>
              <w:tr2bl w:val="nil"/>
            </w:tcBorders>
            <w:vAlign w:val="center"/>
          </w:tcPr>
          <w:p w14:paraId="13E04E9A">
            <w:pPr>
              <w:ind w:left="-105" w:right="-105"/>
              <w:jc w:val="center"/>
              <w:rPr>
                <w:rFonts w:ascii="Times New Roman" w:hAnsi="Times New Roman" w:cs="Times New Roman"/>
                <w:color w:val="auto"/>
                <w:sz w:val="18"/>
                <w:szCs w:val="18"/>
                <w:highlight w:val="none"/>
              </w:rPr>
            </w:pPr>
          </w:p>
        </w:tc>
        <w:tc>
          <w:tcPr>
            <w:tcW w:w="788" w:type="dxa"/>
            <w:tcBorders>
              <w:tl2br w:val="nil"/>
              <w:tr2bl w:val="nil"/>
            </w:tcBorders>
            <w:vAlign w:val="center"/>
          </w:tcPr>
          <w:p w14:paraId="5A9CF38C">
            <w:pPr>
              <w:ind w:left="-105" w:right="-105"/>
              <w:jc w:val="center"/>
              <w:rPr>
                <w:rFonts w:ascii="Times New Roman" w:hAnsi="Times New Roman" w:cs="Times New Roman"/>
                <w:color w:val="auto"/>
                <w:sz w:val="18"/>
                <w:szCs w:val="18"/>
                <w:highlight w:val="none"/>
              </w:rPr>
            </w:pPr>
            <w:r>
              <w:rPr>
                <w:rFonts w:hint="eastAsia" w:ascii="Times New Roman" w:hAnsi="Times New Roman" w:cs="Times New Roman"/>
                <w:color w:val="auto"/>
                <w:sz w:val="18"/>
                <w:szCs w:val="18"/>
                <w:highlight w:val="none"/>
              </w:rPr>
              <w:t>第三次</w:t>
            </w:r>
          </w:p>
        </w:tc>
        <w:tc>
          <w:tcPr>
            <w:tcW w:w="938" w:type="dxa"/>
            <w:tcBorders>
              <w:tl2br w:val="nil"/>
              <w:tr2bl w:val="nil"/>
            </w:tcBorders>
            <w:vAlign w:val="center"/>
          </w:tcPr>
          <w:p w14:paraId="562A30A9">
            <w:pPr>
              <w:ind w:left="-105" w:right="-105"/>
              <w:jc w:val="center"/>
              <w:rPr>
                <w:rFonts w:ascii="Times New Roman" w:hAnsi="Times New Roman" w:cs="Times New Roman"/>
                <w:color w:val="auto"/>
                <w:sz w:val="18"/>
                <w:szCs w:val="18"/>
                <w:highlight w:val="none"/>
              </w:rPr>
            </w:pPr>
            <w:r>
              <w:rPr>
                <w:rFonts w:hint="eastAsia" w:ascii="Times New Roman" w:hAnsi="Times New Roman" w:cs="Times New Roman"/>
                <w:color w:val="auto"/>
                <w:sz w:val="18"/>
                <w:szCs w:val="18"/>
                <w:highlight w:val="none"/>
              </w:rPr>
              <w:t>7.4</w:t>
            </w:r>
          </w:p>
        </w:tc>
        <w:tc>
          <w:tcPr>
            <w:tcW w:w="867" w:type="dxa"/>
            <w:tcBorders>
              <w:tl2br w:val="nil"/>
              <w:tr2bl w:val="nil"/>
            </w:tcBorders>
            <w:vAlign w:val="center"/>
          </w:tcPr>
          <w:p w14:paraId="71876613">
            <w:pPr>
              <w:ind w:left="-105" w:right="-105"/>
              <w:jc w:val="center"/>
              <w:rPr>
                <w:rFonts w:ascii="Times New Roman" w:hAnsi="Times New Roman" w:cs="Times New Roman"/>
                <w:color w:val="auto"/>
                <w:sz w:val="18"/>
                <w:szCs w:val="18"/>
                <w:highlight w:val="none"/>
              </w:rPr>
            </w:pPr>
            <w:r>
              <w:rPr>
                <w:rFonts w:hint="eastAsia" w:ascii="Times New Roman" w:hAnsi="Times New Roman" w:cs="Times New Roman"/>
                <w:color w:val="auto"/>
                <w:sz w:val="18"/>
                <w:szCs w:val="18"/>
                <w:highlight w:val="none"/>
              </w:rPr>
              <w:t>22</w:t>
            </w:r>
          </w:p>
        </w:tc>
        <w:tc>
          <w:tcPr>
            <w:tcW w:w="868" w:type="dxa"/>
            <w:tcBorders>
              <w:tl2br w:val="nil"/>
              <w:tr2bl w:val="nil"/>
            </w:tcBorders>
            <w:vAlign w:val="center"/>
          </w:tcPr>
          <w:p w14:paraId="1EFB7673">
            <w:pPr>
              <w:ind w:left="-105" w:right="-105"/>
              <w:jc w:val="center"/>
              <w:rPr>
                <w:rFonts w:ascii="Times New Roman" w:hAnsi="Times New Roman" w:cs="Times New Roman"/>
                <w:color w:val="auto"/>
                <w:sz w:val="18"/>
                <w:szCs w:val="18"/>
                <w:highlight w:val="none"/>
              </w:rPr>
            </w:pPr>
            <w:r>
              <w:rPr>
                <w:rFonts w:hint="eastAsia" w:ascii="Times New Roman" w:hAnsi="Times New Roman" w:cs="Times New Roman"/>
                <w:color w:val="auto"/>
                <w:sz w:val="18"/>
                <w:szCs w:val="18"/>
                <w:highlight w:val="none"/>
              </w:rPr>
              <w:t>3.2</w:t>
            </w:r>
          </w:p>
        </w:tc>
        <w:tc>
          <w:tcPr>
            <w:tcW w:w="863" w:type="dxa"/>
            <w:tcBorders>
              <w:tl2br w:val="nil"/>
              <w:tr2bl w:val="nil"/>
            </w:tcBorders>
            <w:vAlign w:val="center"/>
          </w:tcPr>
          <w:p w14:paraId="669AAC97">
            <w:pPr>
              <w:ind w:left="-105" w:right="-105"/>
              <w:jc w:val="center"/>
              <w:rPr>
                <w:rFonts w:ascii="Times New Roman" w:hAnsi="Times New Roman" w:cs="Times New Roman"/>
                <w:color w:val="auto"/>
                <w:sz w:val="18"/>
                <w:szCs w:val="18"/>
                <w:highlight w:val="none"/>
              </w:rPr>
            </w:pPr>
            <w:r>
              <w:rPr>
                <w:rFonts w:hint="eastAsia" w:ascii="Times New Roman" w:hAnsi="Times New Roman" w:cs="Times New Roman"/>
                <w:color w:val="auto"/>
                <w:sz w:val="18"/>
                <w:szCs w:val="18"/>
                <w:highlight w:val="none"/>
              </w:rPr>
              <w:t>18</w:t>
            </w:r>
          </w:p>
        </w:tc>
        <w:tc>
          <w:tcPr>
            <w:tcW w:w="869" w:type="dxa"/>
            <w:tcBorders>
              <w:tl2br w:val="nil"/>
              <w:tr2bl w:val="nil"/>
            </w:tcBorders>
            <w:vAlign w:val="center"/>
          </w:tcPr>
          <w:p w14:paraId="7320C560">
            <w:pPr>
              <w:ind w:left="-105" w:right="-105"/>
              <w:jc w:val="center"/>
              <w:rPr>
                <w:rFonts w:ascii="Times New Roman" w:hAnsi="Times New Roman" w:cs="Times New Roman"/>
                <w:color w:val="auto"/>
                <w:sz w:val="18"/>
                <w:szCs w:val="18"/>
                <w:highlight w:val="none"/>
              </w:rPr>
            </w:pPr>
            <w:r>
              <w:rPr>
                <w:rFonts w:hint="eastAsia" w:ascii="Times New Roman" w:hAnsi="Times New Roman" w:cs="Times New Roman"/>
                <w:color w:val="auto"/>
                <w:sz w:val="18"/>
                <w:szCs w:val="18"/>
                <w:highlight w:val="none"/>
              </w:rPr>
              <w:t>2.68</w:t>
            </w:r>
          </w:p>
        </w:tc>
        <w:tc>
          <w:tcPr>
            <w:tcW w:w="864" w:type="dxa"/>
            <w:tcBorders>
              <w:tl2br w:val="nil"/>
              <w:tr2bl w:val="nil"/>
            </w:tcBorders>
            <w:vAlign w:val="center"/>
          </w:tcPr>
          <w:p w14:paraId="5EEFDF9F">
            <w:pPr>
              <w:ind w:left="-105" w:right="-105"/>
              <w:jc w:val="center"/>
              <w:rPr>
                <w:rFonts w:ascii="Times New Roman" w:hAnsi="Times New Roman" w:cs="Times New Roman"/>
                <w:color w:val="auto"/>
                <w:sz w:val="18"/>
                <w:szCs w:val="18"/>
                <w:highlight w:val="none"/>
              </w:rPr>
            </w:pPr>
            <w:r>
              <w:rPr>
                <w:rFonts w:hint="eastAsia" w:ascii="Times New Roman" w:hAnsi="Times New Roman" w:cs="Times New Roman"/>
                <w:color w:val="auto"/>
                <w:sz w:val="18"/>
                <w:szCs w:val="18"/>
                <w:highlight w:val="none"/>
              </w:rPr>
              <w:t>0.32</w:t>
            </w:r>
          </w:p>
        </w:tc>
        <w:tc>
          <w:tcPr>
            <w:tcW w:w="864" w:type="dxa"/>
            <w:tcBorders>
              <w:tl2br w:val="nil"/>
              <w:tr2bl w:val="nil"/>
            </w:tcBorders>
            <w:vAlign w:val="center"/>
          </w:tcPr>
          <w:p w14:paraId="6FDDCAE3">
            <w:pPr>
              <w:ind w:left="-105" w:right="-105"/>
              <w:jc w:val="center"/>
              <w:rPr>
                <w:rFonts w:ascii="Times New Roman" w:hAnsi="Times New Roman" w:cs="Times New Roman"/>
                <w:color w:val="auto"/>
                <w:sz w:val="18"/>
                <w:szCs w:val="18"/>
                <w:highlight w:val="none"/>
              </w:rPr>
            </w:pPr>
            <w:r>
              <w:rPr>
                <w:rFonts w:hint="eastAsia" w:ascii="Times New Roman" w:hAnsi="Times New Roman" w:cs="Times New Roman"/>
                <w:color w:val="auto"/>
                <w:sz w:val="18"/>
                <w:szCs w:val="18"/>
                <w:highlight w:val="none"/>
              </w:rPr>
              <w:t>11.8</w:t>
            </w:r>
          </w:p>
        </w:tc>
      </w:tr>
      <w:tr w14:paraId="78E8D24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36" w:type="dxa"/>
            <w:vMerge w:val="continue"/>
            <w:tcBorders>
              <w:tl2br w:val="nil"/>
              <w:tr2bl w:val="nil"/>
            </w:tcBorders>
            <w:vAlign w:val="center"/>
          </w:tcPr>
          <w:p w14:paraId="74D8F362">
            <w:pPr>
              <w:ind w:left="-105" w:right="-105"/>
              <w:jc w:val="center"/>
              <w:rPr>
                <w:rFonts w:ascii="Times New Roman" w:hAnsi="Times New Roman" w:cs="Times New Roman"/>
                <w:color w:val="auto"/>
                <w:sz w:val="18"/>
                <w:szCs w:val="18"/>
                <w:highlight w:val="none"/>
              </w:rPr>
            </w:pPr>
          </w:p>
        </w:tc>
        <w:tc>
          <w:tcPr>
            <w:tcW w:w="788" w:type="dxa"/>
            <w:tcBorders>
              <w:tl2br w:val="nil"/>
              <w:tr2bl w:val="nil"/>
            </w:tcBorders>
            <w:vAlign w:val="center"/>
          </w:tcPr>
          <w:p w14:paraId="035A761E">
            <w:pPr>
              <w:ind w:left="-105" w:right="-105"/>
              <w:jc w:val="center"/>
              <w:rPr>
                <w:rFonts w:ascii="Times New Roman" w:hAnsi="Times New Roman" w:cs="Times New Roman"/>
                <w:color w:val="auto"/>
                <w:sz w:val="18"/>
                <w:szCs w:val="18"/>
                <w:highlight w:val="none"/>
              </w:rPr>
            </w:pPr>
            <w:r>
              <w:rPr>
                <w:rFonts w:hint="eastAsia" w:ascii="Times New Roman" w:hAnsi="Times New Roman" w:cs="Times New Roman"/>
                <w:color w:val="auto"/>
                <w:sz w:val="18"/>
                <w:szCs w:val="18"/>
                <w:highlight w:val="none"/>
              </w:rPr>
              <w:t>第四次</w:t>
            </w:r>
          </w:p>
        </w:tc>
        <w:tc>
          <w:tcPr>
            <w:tcW w:w="938" w:type="dxa"/>
            <w:tcBorders>
              <w:tl2br w:val="nil"/>
              <w:tr2bl w:val="nil"/>
            </w:tcBorders>
            <w:vAlign w:val="center"/>
          </w:tcPr>
          <w:p w14:paraId="3B25E13A">
            <w:pPr>
              <w:ind w:left="-105" w:right="-105"/>
              <w:jc w:val="center"/>
              <w:rPr>
                <w:rFonts w:ascii="Times New Roman" w:hAnsi="Times New Roman" w:cs="Times New Roman"/>
                <w:color w:val="auto"/>
                <w:sz w:val="18"/>
                <w:szCs w:val="18"/>
                <w:highlight w:val="none"/>
              </w:rPr>
            </w:pPr>
            <w:r>
              <w:rPr>
                <w:rFonts w:hint="eastAsia" w:ascii="Times New Roman" w:hAnsi="Times New Roman" w:cs="Times New Roman"/>
                <w:color w:val="auto"/>
                <w:sz w:val="18"/>
                <w:szCs w:val="18"/>
                <w:highlight w:val="none"/>
              </w:rPr>
              <w:t>7.4</w:t>
            </w:r>
          </w:p>
        </w:tc>
        <w:tc>
          <w:tcPr>
            <w:tcW w:w="867" w:type="dxa"/>
            <w:tcBorders>
              <w:tl2br w:val="nil"/>
              <w:tr2bl w:val="nil"/>
            </w:tcBorders>
            <w:vAlign w:val="center"/>
          </w:tcPr>
          <w:p w14:paraId="5748C76B">
            <w:pPr>
              <w:ind w:left="-105" w:right="-105"/>
              <w:jc w:val="center"/>
              <w:rPr>
                <w:rFonts w:ascii="Times New Roman" w:hAnsi="Times New Roman" w:cs="Times New Roman"/>
                <w:color w:val="auto"/>
                <w:sz w:val="18"/>
                <w:szCs w:val="18"/>
                <w:highlight w:val="none"/>
              </w:rPr>
            </w:pPr>
            <w:r>
              <w:rPr>
                <w:rFonts w:hint="eastAsia" w:ascii="Times New Roman" w:hAnsi="Times New Roman" w:cs="Times New Roman"/>
                <w:color w:val="auto"/>
                <w:sz w:val="18"/>
                <w:szCs w:val="18"/>
                <w:highlight w:val="none"/>
              </w:rPr>
              <w:t>19</w:t>
            </w:r>
          </w:p>
        </w:tc>
        <w:tc>
          <w:tcPr>
            <w:tcW w:w="868" w:type="dxa"/>
            <w:tcBorders>
              <w:tl2br w:val="nil"/>
              <w:tr2bl w:val="nil"/>
            </w:tcBorders>
            <w:vAlign w:val="center"/>
          </w:tcPr>
          <w:p w14:paraId="595638E5">
            <w:pPr>
              <w:ind w:left="-105" w:right="-105"/>
              <w:jc w:val="center"/>
              <w:rPr>
                <w:rFonts w:ascii="Times New Roman" w:hAnsi="Times New Roman" w:cs="Times New Roman"/>
                <w:color w:val="auto"/>
                <w:sz w:val="18"/>
                <w:szCs w:val="18"/>
                <w:highlight w:val="none"/>
              </w:rPr>
            </w:pPr>
            <w:r>
              <w:rPr>
                <w:rFonts w:hint="eastAsia" w:ascii="Times New Roman" w:hAnsi="Times New Roman" w:cs="Times New Roman"/>
                <w:color w:val="auto"/>
                <w:sz w:val="18"/>
                <w:szCs w:val="18"/>
                <w:highlight w:val="none"/>
              </w:rPr>
              <w:t>2.4</w:t>
            </w:r>
          </w:p>
        </w:tc>
        <w:tc>
          <w:tcPr>
            <w:tcW w:w="863" w:type="dxa"/>
            <w:tcBorders>
              <w:tl2br w:val="nil"/>
              <w:tr2bl w:val="nil"/>
            </w:tcBorders>
            <w:vAlign w:val="center"/>
          </w:tcPr>
          <w:p w14:paraId="02773762">
            <w:pPr>
              <w:ind w:left="-105" w:right="-105"/>
              <w:jc w:val="center"/>
              <w:rPr>
                <w:rFonts w:ascii="Times New Roman" w:hAnsi="Times New Roman" w:cs="Times New Roman"/>
                <w:color w:val="auto"/>
                <w:sz w:val="18"/>
                <w:szCs w:val="18"/>
                <w:highlight w:val="none"/>
              </w:rPr>
            </w:pPr>
            <w:r>
              <w:rPr>
                <w:rFonts w:hint="eastAsia" w:ascii="Times New Roman" w:hAnsi="Times New Roman" w:cs="Times New Roman"/>
                <w:color w:val="auto"/>
                <w:sz w:val="18"/>
                <w:szCs w:val="18"/>
                <w:highlight w:val="none"/>
              </w:rPr>
              <w:t>12</w:t>
            </w:r>
          </w:p>
        </w:tc>
        <w:tc>
          <w:tcPr>
            <w:tcW w:w="869" w:type="dxa"/>
            <w:tcBorders>
              <w:tl2br w:val="nil"/>
              <w:tr2bl w:val="nil"/>
            </w:tcBorders>
            <w:vAlign w:val="center"/>
          </w:tcPr>
          <w:p w14:paraId="74A96B73">
            <w:pPr>
              <w:ind w:left="-105" w:right="-105"/>
              <w:jc w:val="center"/>
              <w:rPr>
                <w:rFonts w:ascii="Times New Roman" w:hAnsi="Times New Roman" w:cs="Times New Roman"/>
                <w:color w:val="auto"/>
                <w:sz w:val="18"/>
                <w:szCs w:val="18"/>
                <w:highlight w:val="none"/>
              </w:rPr>
            </w:pPr>
            <w:r>
              <w:rPr>
                <w:rFonts w:hint="eastAsia" w:ascii="Times New Roman" w:hAnsi="Times New Roman" w:cs="Times New Roman"/>
                <w:color w:val="auto"/>
                <w:sz w:val="18"/>
                <w:szCs w:val="18"/>
                <w:highlight w:val="none"/>
              </w:rPr>
              <w:t>3.11</w:t>
            </w:r>
          </w:p>
        </w:tc>
        <w:tc>
          <w:tcPr>
            <w:tcW w:w="864" w:type="dxa"/>
            <w:tcBorders>
              <w:tl2br w:val="nil"/>
              <w:tr2bl w:val="nil"/>
            </w:tcBorders>
            <w:vAlign w:val="center"/>
          </w:tcPr>
          <w:p w14:paraId="12308104">
            <w:pPr>
              <w:ind w:left="-105" w:right="-105"/>
              <w:jc w:val="center"/>
              <w:rPr>
                <w:rFonts w:ascii="Times New Roman" w:hAnsi="Times New Roman" w:cs="Times New Roman"/>
                <w:color w:val="auto"/>
                <w:sz w:val="18"/>
                <w:szCs w:val="18"/>
                <w:highlight w:val="none"/>
              </w:rPr>
            </w:pPr>
            <w:r>
              <w:rPr>
                <w:rFonts w:hint="eastAsia" w:ascii="Times New Roman" w:hAnsi="Times New Roman" w:cs="Times New Roman"/>
                <w:color w:val="auto"/>
                <w:sz w:val="18"/>
                <w:szCs w:val="18"/>
                <w:highlight w:val="none"/>
              </w:rPr>
              <w:t>0.30</w:t>
            </w:r>
          </w:p>
        </w:tc>
        <w:tc>
          <w:tcPr>
            <w:tcW w:w="864" w:type="dxa"/>
            <w:tcBorders>
              <w:tl2br w:val="nil"/>
              <w:tr2bl w:val="nil"/>
            </w:tcBorders>
            <w:vAlign w:val="center"/>
          </w:tcPr>
          <w:p w14:paraId="42D49EE6">
            <w:pPr>
              <w:ind w:left="-105" w:right="-105"/>
              <w:jc w:val="center"/>
              <w:rPr>
                <w:rFonts w:ascii="Times New Roman" w:hAnsi="Times New Roman" w:cs="Times New Roman"/>
                <w:color w:val="auto"/>
                <w:sz w:val="18"/>
                <w:szCs w:val="18"/>
                <w:highlight w:val="none"/>
              </w:rPr>
            </w:pPr>
            <w:r>
              <w:rPr>
                <w:rFonts w:hint="eastAsia" w:ascii="Times New Roman" w:hAnsi="Times New Roman" w:cs="Times New Roman"/>
                <w:color w:val="auto"/>
                <w:sz w:val="18"/>
                <w:szCs w:val="18"/>
                <w:highlight w:val="none"/>
              </w:rPr>
              <w:t>10.9</w:t>
            </w:r>
          </w:p>
        </w:tc>
      </w:tr>
      <w:tr w14:paraId="5D9215C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36" w:type="dxa"/>
            <w:vMerge w:val="continue"/>
            <w:tcBorders>
              <w:tl2br w:val="nil"/>
              <w:tr2bl w:val="nil"/>
            </w:tcBorders>
            <w:vAlign w:val="center"/>
          </w:tcPr>
          <w:p w14:paraId="12FC8843">
            <w:pPr>
              <w:ind w:left="-105" w:right="-105"/>
              <w:jc w:val="center"/>
              <w:rPr>
                <w:rFonts w:ascii="Times New Roman" w:hAnsi="Times New Roman" w:cs="Times New Roman"/>
                <w:color w:val="auto"/>
                <w:sz w:val="18"/>
                <w:szCs w:val="18"/>
                <w:highlight w:val="none"/>
              </w:rPr>
            </w:pPr>
          </w:p>
        </w:tc>
        <w:tc>
          <w:tcPr>
            <w:tcW w:w="788" w:type="dxa"/>
            <w:tcBorders>
              <w:tl2br w:val="nil"/>
              <w:tr2bl w:val="nil"/>
            </w:tcBorders>
            <w:vAlign w:val="center"/>
          </w:tcPr>
          <w:p w14:paraId="4B39C74B">
            <w:pPr>
              <w:ind w:left="-105" w:right="-105"/>
              <w:jc w:val="center"/>
              <w:rPr>
                <w:rFonts w:ascii="Times New Roman" w:hAnsi="Times New Roman" w:cs="Times New Roman"/>
                <w:b/>
                <w:bCs/>
                <w:color w:val="auto"/>
                <w:sz w:val="18"/>
                <w:szCs w:val="18"/>
                <w:highlight w:val="none"/>
              </w:rPr>
            </w:pPr>
            <w:r>
              <w:rPr>
                <w:rFonts w:hint="eastAsia" w:ascii="Times New Roman" w:hAnsi="Times New Roman" w:cs="Times New Roman"/>
                <w:b/>
                <w:bCs/>
                <w:color w:val="auto"/>
                <w:sz w:val="18"/>
                <w:szCs w:val="18"/>
                <w:highlight w:val="none"/>
              </w:rPr>
              <w:t>均值或范围</w:t>
            </w:r>
          </w:p>
        </w:tc>
        <w:tc>
          <w:tcPr>
            <w:tcW w:w="938" w:type="dxa"/>
            <w:tcBorders>
              <w:tl2br w:val="nil"/>
              <w:tr2bl w:val="nil"/>
            </w:tcBorders>
            <w:vAlign w:val="center"/>
          </w:tcPr>
          <w:p w14:paraId="006B2569">
            <w:pPr>
              <w:ind w:left="-105" w:right="-105"/>
              <w:jc w:val="center"/>
              <w:rPr>
                <w:rFonts w:ascii="Times New Roman" w:hAnsi="Times New Roman" w:cs="Times New Roman"/>
                <w:b/>
                <w:bCs/>
                <w:color w:val="auto"/>
                <w:sz w:val="18"/>
                <w:szCs w:val="18"/>
                <w:highlight w:val="none"/>
              </w:rPr>
            </w:pPr>
            <w:r>
              <w:rPr>
                <w:rFonts w:hint="eastAsia" w:ascii="Times New Roman" w:hAnsi="Times New Roman" w:cs="Times New Roman"/>
                <w:b/>
                <w:bCs/>
                <w:color w:val="auto"/>
                <w:sz w:val="18"/>
                <w:szCs w:val="18"/>
                <w:highlight w:val="none"/>
              </w:rPr>
              <w:t>7.2~7.4</w:t>
            </w:r>
          </w:p>
        </w:tc>
        <w:tc>
          <w:tcPr>
            <w:tcW w:w="867" w:type="dxa"/>
            <w:tcBorders>
              <w:tl2br w:val="nil"/>
              <w:tr2bl w:val="nil"/>
            </w:tcBorders>
            <w:vAlign w:val="center"/>
          </w:tcPr>
          <w:p w14:paraId="0E0D996F">
            <w:pPr>
              <w:ind w:left="-105" w:right="-105"/>
              <w:jc w:val="center"/>
              <w:rPr>
                <w:rFonts w:ascii="Times New Roman" w:hAnsi="Times New Roman" w:cs="Times New Roman"/>
                <w:b/>
                <w:bCs/>
                <w:color w:val="auto"/>
                <w:sz w:val="18"/>
                <w:szCs w:val="18"/>
                <w:highlight w:val="none"/>
              </w:rPr>
            </w:pPr>
            <w:r>
              <w:rPr>
                <w:rFonts w:hint="eastAsia" w:ascii="Times New Roman" w:hAnsi="Times New Roman" w:cs="Times New Roman"/>
                <w:b/>
                <w:bCs/>
                <w:color w:val="auto"/>
                <w:sz w:val="18"/>
                <w:szCs w:val="18"/>
                <w:highlight w:val="none"/>
              </w:rPr>
              <w:t>22</w:t>
            </w:r>
          </w:p>
        </w:tc>
        <w:tc>
          <w:tcPr>
            <w:tcW w:w="868" w:type="dxa"/>
            <w:tcBorders>
              <w:tl2br w:val="nil"/>
              <w:tr2bl w:val="nil"/>
            </w:tcBorders>
            <w:vAlign w:val="center"/>
          </w:tcPr>
          <w:p w14:paraId="1B5EF034">
            <w:pPr>
              <w:ind w:left="-105" w:right="-105"/>
              <w:jc w:val="center"/>
              <w:rPr>
                <w:rFonts w:ascii="Times New Roman" w:hAnsi="Times New Roman" w:cs="Times New Roman"/>
                <w:b/>
                <w:bCs/>
                <w:color w:val="auto"/>
                <w:sz w:val="18"/>
                <w:szCs w:val="18"/>
                <w:highlight w:val="none"/>
              </w:rPr>
            </w:pPr>
            <w:r>
              <w:rPr>
                <w:rFonts w:hint="eastAsia" w:ascii="Times New Roman" w:hAnsi="Times New Roman" w:cs="Times New Roman"/>
                <w:b/>
                <w:bCs/>
                <w:color w:val="auto"/>
                <w:sz w:val="18"/>
                <w:szCs w:val="18"/>
                <w:highlight w:val="none"/>
              </w:rPr>
              <w:t>3.9</w:t>
            </w:r>
          </w:p>
        </w:tc>
        <w:tc>
          <w:tcPr>
            <w:tcW w:w="863" w:type="dxa"/>
            <w:tcBorders>
              <w:tl2br w:val="nil"/>
              <w:tr2bl w:val="nil"/>
            </w:tcBorders>
            <w:vAlign w:val="center"/>
          </w:tcPr>
          <w:p w14:paraId="6E43347B">
            <w:pPr>
              <w:ind w:left="-105" w:right="-105"/>
              <w:jc w:val="center"/>
              <w:rPr>
                <w:rFonts w:ascii="Times New Roman" w:hAnsi="Times New Roman" w:cs="Times New Roman"/>
                <w:b/>
                <w:bCs/>
                <w:color w:val="auto"/>
                <w:sz w:val="18"/>
                <w:szCs w:val="18"/>
                <w:highlight w:val="none"/>
              </w:rPr>
            </w:pPr>
            <w:r>
              <w:rPr>
                <w:rFonts w:hint="eastAsia" w:ascii="Times New Roman" w:hAnsi="Times New Roman" w:cs="Times New Roman"/>
                <w:b/>
                <w:bCs/>
                <w:color w:val="auto"/>
                <w:sz w:val="18"/>
                <w:szCs w:val="18"/>
                <w:highlight w:val="none"/>
              </w:rPr>
              <w:t>15</w:t>
            </w:r>
          </w:p>
        </w:tc>
        <w:tc>
          <w:tcPr>
            <w:tcW w:w="869" w:type="dxa"/>
            <w:tcBorders>
              <w:tl2br w:val="nil"/>
              <w:tr2bl w:val="nil"/>
            </w:tcBorders>
            <w:vAlign w:val="center"/>
          </w:tcPr>
          <w:p w14:paraId="53AC1881">
            <w:pPr>
              <w:ind w:left="-105" w:right="-105"/>
              <w:jc w:val="center"/>
              <w:rPr>
                <w:rFonts w:ascii="Times New Roman" w:hAnsi="Times New Roman" w:cs="Times New Roman"/>
                <w:b/>
                <w:bCs/>
                <w:color w:val="auto"/>
                <w:sz w:val="18"/>
                <w:szCs w:val="18"/>
                <w:highlight w:val="none"/>
              </w:rPr>
            </w:pPr>
            <w:r>
              <w:rPr>
                <w:rFonts w:hint="eastAsia" w:ascii="Times New Roman" w:hAnsi="Times New Roman" w:cs="Times New Roman"/>
                <w:b/>
                <w:bCs/>
                <w:color w:val="auto"/>
                <w:sz w:val="18"/>
                <w:szCs w:val="18"/>
                <w:highlight w:val="none"/>
              </w:rPr>
              <w:t>2.92</w:t>
            </w:r>
          </w:p>
        </w:tc>
        <w:tc>
          <w:tcPr>
            <w:tcW w:w="864" w:type="dxa"/>
            <w:tcBorders>
              <w:tl2br w:val="nil"/>
              <w:tr2bl w:val="nil"/>
            </w:tcBorders>
            <w:vAlign w:val="center"/>
          </w:tcPr>
          <w:p w14:paraId="0FD0F85E">
            <w:pPr>
              <w:ind w:left="-105" w:right="-105"/>
              <w:jc w:val="center"/>
              <w:rPr>
                <w:rFonts w:ascii="Times New Roman" w:hAnsi="Times New Roman" w:cs="Times New Roman"/>
                <w:b/>
                <w:bCs/>
                <w:color w:val="auto"/>
                <w:sz w:val="18"/>
                <w:szCs w:val="18"/>
                <w:highlight w:val="none"/>
              </w:rPr>
            </w:pPr>
            <w:r>
              <w:rPr>
                <w:rFonts w:hint="eastAsia" w:ascii="Times New Roman" w:hAnsi="Times New Roman" w:cs="Times New Roman"/>
                <w:b/>
                <w:bCs/>
                <w:color w:val="auto"/>
                <w:sz w:val="18"/>
                <w:szCs w:val="18"/>
                <w:highlight w:val="none"/>
              </w:rPr>
              <w:t>0.32</w:t>
            </w:r>
          </w:p>
        </w:tc>
        <w:tc>
          <w:tcPr>
            <w:tcW w:w="864" w:type="dxa"/>
            <w:tcBorders>
              <w:tl2br w:val="nil"/>
              <w:tr2bl w:val="nil"/>
            </w:tcBorders>
            <w:vAlign w:val="center"/>
          </w:tcPr>
          <w:p w14:paraId="3E93E4BE">
            <w:pPr>
              <w:ind w:left="-105" w:right="-105"/>
              <w:jc w:val="center"/>
              <w:rPr>
                <w:rFonts w:ascii="Times New Roman" w:hAnsi="Times New Roman" w:cs="Times New Roman"/>
                <w:b/>
                <w:bCs/>
                <w:color w:val="auto"/>
                <w:sz w:val="18"/>
                <w:szCs w:val="18"/>
                <w:highlight w:val="none"/>
              </w:rPr>
            </w:pPr>
            <w:r>
              <w:rPr>
                <w:rFonts w:hint="eastAsia" w:ascii="Times New Roman" w:hAnsi="Times New Roman" w:cs="Times New Roman"/>
                <w:b/>
                <w:bCs/>
                <w:color w:val="auto"/>
                <w:sz w:val="18"/>
                <w:szCs w:val="18"/>
                <w:highlight w:val="none"/>
              </w:rPr>
              <w:t>11.5</w:t>
            </w:r>
          </w:p>
        </w:tc>
      </w:tr>
      <w:tr w14:paraId="322EF60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36" w:type="dxa"/>
            <w:vMerge w:val="restart"/>
            <w:tcBorders>
              <w:tl2br w:val="nil"/>
              <w:tr2bl w:val="nil"/>
            </w:tcBorders>
            <w:vAlign w:val="center"/>
          </w:tcPr>
          <w:p w14:paraId="1875D83E">
            <w:pPr>
              <w:ind w:left="-105" w:right="-105"/>
              <w:jc w:val="center"/>
              <w:rPr>
                <w:rFonts w:ascii="Times New Roman" w:hAnsi="Times New Roman" w:cs="Times New Roman"/>
                <w:color w:val="auto"/>
                <w:sz w:val="18"/>
                <w:szCs w:val="18"/>
                <w:highlight w:val="none"/>
              </w:rPr>
            </w:pPr>
            <w:r>
              <w:rPr>
                <w:rFonts w:hint="eastAsia" w:ascii="Times New Roman" w:hAnsi="Times New Roman" w:cs="Times New Roman"/>
                <w:color w:val="auto"/>
                <w:sz w:val="18"/>
                <w:szCs w:val="18"/>
                <w:highlight w:val="none"/>
              </w:rPr>
              <w:t>2023.3.16</w:t>
            </w:r>
          </w:p>
        </w:tc>
        <w:tc>
          <w:tcPr>
            <w:tcW w:w="788" w:type="dxa"/>
            <w:tcBorders>
              <w:tl2br w:val="nil"/>
              <w:tr2bl w:val="nil"/>
            </w:tcBorders>
            <w:vAlign w:val="center"/>
          </w:tcPr>
          <w:p w14:paraId="2A5E2E49">
            <w:pPr>
              <w:ind w:left="-105" w:right="-105"/>
              <w:jc w:val="center"/>
              <w:rPr>
                <w:rFonts w:ascii="Times New Roman" w:hAnsi="Times New Roman" w:cs="Times New Roman"/>
                <w:color w:val="auto"/>
                <w:sz w:val="18"/>
                <w:szCs w:val="18"/>
                <w:highlight w:val="none"/>
              </w:rPr>
            </w:pPr>
            <w:r>
              <w:rPr>
                <w:rFonts w:hint="eastAsia" w:ascii="Times New Roman" w:hAnsi="Times New Roman" w:cs="Times New Roman"/>
                <w:color w:val="auto"/>
                <w:sz w:val="18"/>
                <w:szCs w:val="18"/>
                <w:highlight w:val="none"/>
              </w:rPr>
              <w:t>第一次</w:t>
            </w:r>
          </w:p>
        </w:tc>
        <w:tc>
          <w:tcPr>
            <w:tcW w:w="938" w:type="dxa"/>
            <w:tcBorders>
              <w:tl2br w:val="nil"/>
              <w:tr2bl w:val="nil"/>
            </w:tcBorders>
            <w:vAlign w:val="center"/>
          </w:tcPr>
          <w:p w14:paraId="00A67575">
            <w:pPr>
              <w:ind w:left="-105" w:right="-105"/>
              <w:jc w:val="center"/>
              <w:rPr>
                <w:rFonts w:ascii="Times New Roman" w:hAnsi="Times New Roman" w:cs="Times New Roman"/>
                <w:color w:val="auto"/>
                <w:sz w:val="18"/>
                <w:szCs w:val="18"/>
                <w:highlight w:val="none"/>
              </w:rPr>
            </w:pPr>
            <w:r>
              <w:rPr>
                <w:rFonts w:hint="eastAsia" w:ascii="Times New Roman" w:hAnsi="Times New Roman" w:cs="Times New Roman"/>
                <w:color w:val="auto"/>
                <w:sz w:val="18"/>
                <w:szCs w:val="18"/>
                <w:highlight w:val="none"/>
              </w:rPr>
              <w:t>7.4</w:t>
            </w:r>
          </w:p>
        </w:tc>
        <w:tc>
          <w:tcPr>
            <w:tcW w:w="867" w:type="dxa"/>
            <w:tcBorders>
              <w:tl2br w:val="nil"/>
              <w:tr2bl w:val="nil"/>
            </w:tcBorders>
            <w:vAlign w:val="center"/>
          </w:tcPr>
          <w:p w14:paraId="3849E4EB">
            <w:pPr>
              <w:ind w:left="-105" w:right="-105"/>
              <w:jc w:val="center"/>
              <w:rPr>
                <w:rFonts w:ascii="Times New Roman" w:hAnsi="Times New Roman" w:cs="Times New Roman"/>
                <w:color w:val="auto"/>
                <w:sz w:val="18"/>
                <w:szCs w:val="18"/>
                <w:highlight w:val="none"/>
              </w:rPr>
            </w:pPr>
            <w:r>
              <w:rPr>
                <w:rFonts w:hint="eastAsia" w:ascii="Times New Roman" w:hAnsi="Times New Roman" w:cs="Times New Roman"/>
                <w:color w:val="auto"/>
                <w:sz w:val="18"/>
                <w:szCs w:val="18"/>
                <w:highlight w:val="none"/>
              </w:rPr>
              <w:t>23</w:t>
            </w:r>
          </w:p>
        </w:tc>
        <w:tc>
          <w:tcPr>
            <w:tcW w:w="868" w:type="dxa"/>
            <w:tcBorders>
              <w:tl2br w:val="nil"/>
              <w:tr2bl w:val="nil"/>
            </w:tcBorders>
            <w:vAlign w:val="center"/>
          </w:tcPr>
          <w:p w14:paraId="61ECCA37">
            <w:pPr>
              <w:ind w:left="-105" w:right="-105"/>
              <w:jc w:val="center"/>
              <w:rPr>
                <w:rFonts w:ascii="Times New Roman" w:hAnsi="Times New Roman" w:cs="Times New Roman"/>
                <w:color w:val="auto"/>
                <w:sz w:val="18"/>
                <w:szCs w:val="18"/>
                <w:highlight w:val="none"/>
              </w:rPr>
            </w:pPr>
            <w:r>
              <w:rPr>
                <w:rFonts w:hint="eastAsia" w:ascii="Times New Roman" w:hAnsi="Times New Roman" w:cs="Times New Roman"/>
                <w:color w:val="auto"/>
                <w:sz w:val="18"/>
                <w:szCs w:val="18"/>
                <w:highlight w:val="none"/>
              </w:rPr>
              <w:t>3.8</w:t>
            </w:r>
          </w:p>
        </w:tc>
        <w:tc>
          <w:tcPr>
            <w:tcW w:w="863" w:type="dxa"/>
            <w:tcBorders>
              <w:tl2br w:val="nil"/>
              <w:tr2bl w:val="nil"/>
            </w:tcBorders>
            <w:vAlign w:val="center"/>
          </w:tcPr>
          <w:p w14:paraId="0C8E400C">
            <w:pPr>
              <w:ind w:left="-105" w:right="-105"/>
              <w:jc w:val="center"/>
              <w:rPr>
                <w:rFonts w:ascii="Times New Roman" w:hAnsi="Times New Roman" w:cs="Times New Roman"/>
                <w:color w:val="auto"/>
                <w:sz w:val="18"/>
                <w:szCs w:val="18"/>
                <w:highlight w:val="none"/>
              </w:rPr>
            </w:pPr>
            <w:r>
              <w:rPr>
                <w:rFonts w:hint="eastAsia" w:ascii="Times New Roman" w:hAnsi="Times New Roman" w:cs="Times New Roman"/>
                <w:color w:val="auto"/>
                <w:sz w:val="18"/>
                <w:szCs w:val="18"/>
                <w:highlight w:val="none"/>
              </w:rPr>
              <w:t>17</w:t>
            </w:r>
          </w:p>
        </w:tc>
        <w:tc>
          <w:tcPr>
            <w:tcW w:w="869" w:type="dxa"/>
            <w:tcBorders>
              <w:tl2br w:val="nil"/>
              <w:tr2bl w:val="nil"/>
            </w:tcBorders>
            <w:vAlign w:val="center"/>
          </w:tcPr>
          <w:p w14:paraId="2F0F8455">
            <w:pPr>
              <w:ind w:left="-105" w:right="-105"/>
              <w:jc w:val="center"/>
              <w:rPr>
                <w:rFonts w:ascii="Times New Roman" w:hAnsi="Times New Roman" w:cs="Times New Roman"/>
                <w:color w:val="auto"/>
                <w:sz w:val="18"/>
                <w:szCs w:val="18"/>
                <w:highlight w:val="none"/>
              </w:rPr>
            </w:pPr>
            <w:r>
              <w:rPr>
                <w:rFonts w:hint="eastAsia" w:ascii="Times New Roman" w:hAnsi="Times New Roman" w:cs="Times New Roman"/>
                <w:color w:val="auto"/>
                <w:sz w:val="18"/>
                <w:szCs w:val="18"/>
                <w:highlight w:val="none"/>
              </w:rPr>
              <w:t>3.09</w:t>
            </w:r>
          </w:p>
        </w:tc>
        <w:tc>
          <w:tcPr>
            <w:tcW w:w="864" w:type="dxa"/>
            <w:tcBorders>
              <w:tl2br w:val="nil"/>
              <w:tr2bl w:val="nil"/>
            </w:tcBorders>
            <w:vAlign w:val="center"/>
          </w:tcPr>
          <w:p w14:paraId="7E1BB5E9">
            <w:pPr>
              <w:ind w:left="-105" w:right="-105"/>
              <w:jc w:val="center"/>
              <w:rPr>
                <w:rFonts w:ascii="Times New Roman" w:hAnsi="Times New Roman" w:cs="Times New Roman"/>
                <w:color w:val="auto"/>
                <w:sz w:val="18"/>
                <w:szCs w:val="18"/>
                <w:highlight w:val="none"/>
              </w:rPr>
            </w:pPr>
            <w:r>
              <w:rPr>
                <w:rFonts w:hint="eastAsia" w:ascii="Times New Roman" w:hAnsi="Times New Roman" w:cs="Times New Roman"/>
                <w:color w:val="auto"/>
                <w:sz w:val="18"/>
                <w:szCs w:val="18"/>
                <w:highlight w:val="none"/>
              </w:rPr>
              <w:t>0.30</w:t>
            </w:r>
          </w:p>
        </w:tc>
        <w:tc>
          <w:tcPr>
            <w:tcW w:w="864" w:type="dxa"/>
            <w:tcBorders>
              <w:tl2br w:val="nil"/>
              <w:tr2bl w:val="nil"/>
            </w:tcBorders>
            <w:vAlign w:val="center"/>
          </w:tcPr>
          <w:p w14:paraId="39558B0C">
            <w:pPr>
              <w:ind w:left="-105" w:right="-105"/>
              <w:jc w:val="center"/>
              <w:rPr>
                <w:rFonts w:ascii="Times New Roman" w:hAnsi="Times New Roman" w:cs="Times New Roman"/>
                <w:color w:val="auto"/>
                <w:sz w:val="18"/>
                <w:szCs w:val="18"/>
                <w:highlight w:val="none"/>
              </w:rPr>
            </w:pPr>
            <w:r>
              <w:rPr>
                <w:rFonts w:hint="eastAsia" w:ascii="Times New Roman" w:hAnsi="Times New Roman" w:cs="Times New Roman"/>
                <w:color w:val="auto"/>
                <w:sz w:val="18"/>
                <w:szCs w:val="18"/>
                <w:highlight w:val="none"/>
              </w:rPr>
              <w:t>10.3</w:t>
            </w:r>
          </w:p>
        </w:tc>
      </w:tr>
      <w:tr w14:paraId="6B15E5B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36" w:type="dxa"/>
            <w:vMerge w:val="continue"/>
            <w:tcBorders>
              <w:tl2br w:val="nil"/>
              <w:tr2bl w:val="nil"/>
            </w:tcBorders>
            <w:vAlign w:val="center"/>
          </w:tcPr>
          <w:p w14:paraId="78C8C186">
            <w:pPr>
              <w:ind w:left="-105" w:right="-105"/>
              <w:jc w:val="center"/>
              <w:rPr>
                <w:rFonts w:ascii="Times New Roman" w:hAnsi="Times New Roman" w:cs="Times New Roman"/>
                <w:color w:val="auto"/>
                <w:sz w:val="18"/>
                <w:szCs w:val="18"/>
                <w:highlight w:val="none"/>
              </w:rPr>
            </w:pPr>
          </w:p>
        </w:tc>
        <w:tc>
          <w:tcPr>
            <w:tcW w:w="788" w:type="dxa"/>
            <w:tcBorders>
              <w:tl2br w:val="nil"/>
              <w:tr2bl w:val="nil"/>
            </w:tcBorders>
            <w:vAlign w:val="center"/>
          </w:tcPr>
          <w:p w14:paraId="7173BFCC">
            <w:pPr>
              <w:ind w:left="-105" w:right="-105"/>
              <w:jc w:val="center"/>
              <w:rPr>
                <w:rFonts w:ascii="Times New Roman" w:hAnsi="Times New Roman" w:cs="Times New Roman"/>
                <w:color w:val="auto"/>
                <w:sz w:val="18"/>
                <w:szCs w:val="18"/>
                <w:highlight w:val="none"/>
              </w:rPr>
            </w:pPr>
            <w:r>
              <w:rPr>
                <w:rFonts w:hint="eastAsia" w:ascii="Times New Roman" w:hAnsi="Times New Roman" w:cs="Times New Roman"/>
                <w:color w:val="auto"/>
                <w:sz w:val="18"/>
                <w:szCs w:val="18"/>
                <w:highlight w:val="none"/>
              </w:rPr>
              <w:t>第二次</w:t>
            </w:r>
          </w:p>
        </w:tc>
        <w:tc>
          <w:tcPr>
            <w:tcW w:w="938" w:type="dxa"/>
            <w:tcBorders>
              <w:tl2br w:val="nil"/>
              <w:tr2bl w:val="nil"/>
            </w:tcBorders>
            <w:vAlign w:val="center"/>
          </w:tcPr>
          <w:p w14:paraId="26B3E215">
            <w:pPr>
              <w:ind w:left="-105" w:right="-105"/>
              <w:jc w:val="center"/>
              <w:rPr>
                <w:rFonts w:ascii="Times New Roman" w:hAnsi="Times New Roman" w:cs="Times New Roman"/>
                <w:color w:val="auto"/>
                <w:sz w:val="18"/>
                <w:szCs w:val="18"/>
                <w:highlight w:val="none"/>
              </w:rPr>
            </w:pPr>
            <w:r>
              <w:rPr>
                <w:rFonts w:hint="eastAsia" w:ascii="Times New Roman" w:hAnsi="Times New Roman" w:cs="Times New Roman"/>
                <w:color w:val="auto"/>
                <w:sz w:val="18"/>
                <w:szCs w:val="18"/>
                <w:highlight w:val="none"/>
              </w:rPr>
              <w:t>7.2</w:t>
            </w:r>
          </w:p>
        </w:tc>
        <w:tc>
          <w:tcPr>
            <w:tcW w:w="867" w:type="dxa"/>
            <w:tcBorders>
              <w:tl2br w:val="nil"/>
              <w:tr2bl w:val="nil"/>
            </w:tcBorders>
            <w:vAlign w:val="center"/>
          </w:tcPr>
          <w:p w14:paraId="0F800438">
            <w:pPr>
              <w:ind w:left="-105" w:right="-105"/>
              <w:jc w:val="center"/>
              <w:rPr>
                <w:rFonts w:ascii="Times New Roman" w:hAnsi="Times New Roman" w:cs="Times New Roman"/>
                <w:color w:val="auto"/>
                <w:sz w:val="18"/>
                <w:szCs w:val="18"/>
                <w:highlight w:val="none"/>
              </w:rPr>
            </w:pPr>
            <w:r>
              <w:rPr>
                <w:rFonts w:hint="eastAsia" w:ascii="Times New Roman" w:hAnsi="Times New Roman" w:cs="Times New Roman"/>
                <w:color w:val="auto"/>
                <w:sz w:val="18"/>
                <w:szCs w:val="18"/>
                <w:highlight w:val="none"/>
              </w:rPr>
              <w:t>25</w:t>
            </w:r>
          </w:p>
        </w:tc>
        <w:tc>
          <w:tcPr>
            <w:tcW w:w="868" w:type="dxa"/>
            <w:tcBorders>
              <w:tl2br w:val="nil"/>
              <w:tr2bl w:val="nil"/>
            </w:tcBorders>
            <w:vAlign w:val="center"/>
          </w:tcPr>
          <w:p w14:paraId="17A9B4FA">
            <w:pPr>
              <w:ind w:left="-105" w:right="-105"/>
              <w:jc w:val="center"/>
              <w:rPr>
                <w:rFonts w:ascii="Times New Roman" w:hAnsi="Times New Roman" w:cs="Times New Roman"/>
                <w:color w:val="auto"/>
                <w:sz w:val="18"/>
                <w:szCs w:val="18"/>
                <w:highlight w:val="none"/>
              </w:rPr>
            </w:pPr>
            <w:r>
              <w:rPr>
                <w:rFonts w:hint="eastAsia" w:ascii="Times New Roman" w:hAnsi="Times New Roman" w:cs="Times New Roman"/>
                <w:color w:val="auto"/>
                <w:sz w:val="18"/>
                <w:szCs w:val="18"/>
                <w:highlight w:val="none"/>
              </w:rPr>
              <w:t>4.8</w:t>
            </w:r>
          </w:p>
        </w:tc>
        <w:tc>
          <w:tcPr>
            <w:tcW w:w="863" w:type="dxa"/>
            <w:tcBorders>
              <w:tl2br w:val="nil"/>
              <w:tr2bl w:val="nil"/>
            </w:tcBorders>
            <w:vAlign w:val="center"/>
          </w:tcPr>
          <w:p w14:paraId="49932886">
            <w:pPr>
              <w:ind w:left="-105" w:right="-105"/>
              <w:jc w:val="center"/>
              <w:rPr>
                <w:rFonts w:ascii="Times New Roman" w:hAnsi="Times New Roman" w:cs="Times New Roman"/>
                <w:color w:val="auto"/>
                <w:sz w:val="18"/>
                <w:szCs w:val="18"/>
                <w:highlight w:val="none"/>
              </w:rPr>
            </w:pPr>
            <w:r>
              <w:rPr>
                <w:rFonts w:hint="eastAsia" w:ascii="Times New Roman" w:hAnsi="Times New Roman" w:cs="Times New Roman"/>
                <w:color w:val="auto"/>
                <w:sz w:val="18"/>
                <w:szCs w:val="18"/>
                <w:highlight w:val="none"/>
              </w:rPr>
              <w:t>13</w:t>
            </w:r>
          </w:p>
        </w:tc>
        <w:tc>
          <w:tcPr>
            <w:tcW w:w="869" w:type="dxa"/>
            <w:tcBorders>
              <w:tl2br w:val="nil"/>
              <w:tr2bl w:val="nil"/>
            </w:tcBorders>
            <w:vAlign w:val="center"/>
          </w:tcPr>
          <w:p w14:paraId="6E5398C7">
            <w:pPr>
              <w:ind w:left="-105" w:right="-105"/>
              <w:jc w:val="center"/>
              <w:rPr>
                <w:rFonts w:ascii="Times New Roman" w:hAnsi="Times New Roman" w:cs="Times New Roman"/>
                <w:color w:val="auto"/>
                <w:sz w:val="18"/>
                <w:szCs w:val="18"/>
                <w:highlight w:val="none"/>
              </w:rPr>
            </w:pPr>
            <w:r>
              <w:rPr>
                <w:rFonts w:hint="eastAsia" w:ascii="Times New Roman" w:hAnsi="Times New Roman" w:cs="Times New Roman"/>
                <w:color w:val="auto"/>
                <w:sz w:val="18"/>
                <w:szCs w:val="18"/>
                <w:highlight w:val="none"/>
              </w:rPr>
              <w:t>3.27</w:t>
            </w:r>
          </w:p>
        </w:tc>
        <w:tc>
          <w:tcPr>
            <w:tcW w:w="864" w:type="dxa"/>
            <w:tcBorders>
              <w:tl2br w:val="nil"/>
              <w:tr2bl w:val="nil"/>
            </w:tcBorders>
            <w:vAlign w:val="center"/>
          </w:tcPr>
          <w:p w14:paraId="7E11E53F">
            <w:pPr>
              <w:ind w:left="-105" w:right="-105"/>
              <w:jc w:val="center"/>
              <w:rPr>
                <w:rFonts w:ascii="Times New Roman" w:hAnsi="Times New Roman" w:cs="Times New Roman"/>
                <w:color w:val="auto"/>
                <w:sz w:val="18"/>
                <w:szCs w:val="18"/>
                <w:highlight w:val="none"/>
              </w:rPr>
            </w:pPr>
            <w:r>
              <w:rPr>
                <w:rFonts w:hint="eastAsia" w:ascii="Times New Roman" w:hAnsi="Times New Roman" w:cs="Times New Roman"/>
                <w:color w:val="auto"/>
                <w:sz w:val="18"/>
                <w:szCs w:val="18"/>
                <w:highlight w:val="none"/>
              </w:rPr>
              <w:t>0.31</w:t>
            </w:r>
          </w:p>
        </w:tc>
        <w:tc>
          <w:tcPr>
            <w:tcW w:w="864" w:type="dxa"/>
            <w:tcBorders>
              <w:tl2br w:val="nil"/>
              <w:tr2bl w:val="nil"/>
            </w:tcBorders>
            <w:vAlign w:val="center"/>
          </w:tcPr>
          <w:p w14:paraId="41A33AE7">
            <w:pPr>
              <w:ind w:left="-105" w:right="-105"/>
              <w:jc w:val="center"/>
              <w:rPr>
                <w:rFonts w:ascii="Times New Roman" w:hAnsi="Times New Roman" w:cs="Times New Roman"/>
                <w:color w:val="auto"/>
                <w:sz w:val="18"/>
                <w:szCs w:val="18"/>
                <w:highlight w:val="none"/>
              </w:rPr>
            </w:pPr>
            <w:r>
              <w:rPr>
                <w:rFonts w:hint="eastAsia" w:ascii="Times New Roman" w:hAnsi="Times New Roman" w:cs="Times New Roman"/>
                <w:color w:val="auto"/>
                <w:sz w:val="18"/>
                <w:szCs w:val="18"/>
                <w:highlight w:val="none"/>
              </w:rPr>
              <w:t>13.3</w:t>
            </w:r>
          </w:p>
        </w:tc>
      </w:tr>
      <w:tr w14:paraId="44DF781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36" w:type="dxa"/>
            <w:vMerge w:val="continue"/>
            <w:tcBorders>
              <w:tl2br w:val="nil"/>
              <w:tr2bl w:val="nil"/>
            </w:tcBorders>
            <w:vAlign w:val="center"/>
          </w:tcPr>
          <w:p w14:paraId="15203AF0">
            <w:pPr>
              <w:ind w:left="-105" w:right="-105"/>
              <w:jc w:val="center"/>
              <w:rPr>
                <w:rFonts w:ascii="Times New Roman" w:hAnsi="Times New Roman" w:cs="Times New Roman"/>
                <w:color w:val="auto"/>
                <w:sz w:val="18"/>
                <w:szCs w:val="18"/>
                <w:highlight w:val="none"/>
              </w:rPr>
            </w:pPr>
          </w:p>
        </w:tc>
        <w:tc>
          <w:tcPr>
            <w:tcW w:w="788" w:type="dxa"/>
            <w:tcBorders>
              <w:tl2br w:val="nil"/>
              <w:tr2bl w:val="nil"/>
            </w:tcBorders>
            <w:vAlign w:val="center"/>
          </w:tcPr>
          <w:p w14:paraId="51A68A52">
            <w:pPr>
              <w:ind w:left="-105" w:right="-105"/>
              <w:jc w:val="center"/>
              <w:rPr>
                <w:rFonts w:ascii="Times New Roman" w:hAnsi="Times New Roman" w:cs="Times New Roman"/>
                <w:color w:val="auto"/>
                <w:sz w:val="18"/>
                <w:szCs w:val="18"/>
                <w:highlight w:val="none"/>
              </w:rPr>
            </w:pPr>
            <w:r>
              <w:rPr>
                <w:rFonts w:hint="eastAsia" w:ascii="Times New Roman" w:hAnsi="Times New Roman" w:cs="Times New Roman"/>
                <w:color w:val="auto"/>
                <w:sz w:val="18"/>
                <w:szCs w:val="18"/>
                <w:highlight w:val="none"/>
              </w:rPr>
              <w:t>第三次</w:t>
            </w:r>
          </w:p>
        </w:tc>
        <w:tc>
          <w:tcPr>
            <w:tcW w:w="938" w:type="dxa"/>
            <w:tcBorders>
              <w:tl2br w:val="nil"/>
              <w:tr2bl w:val="nil"/>
            </w:tcBorders>
            <w:vAlign w:val="center"/>
          </w:tcPr>
          <w:p w14:paraId="4823DA29">
            <w:pPr>
              <w:ind w:left="-105" w:right="-105"/>
              <w:jc w:val="center"/>
              <w:rPr>
                <w:rFonts w:ascii="Times New Roman" w:hAnsi="Times New Roman" w:cs="Times New Roman"/>
                <w:color w:val="auto"/>
                <w:sz w:val="18"/>
                <w:szCs w:val="18"/>
                <w:highlight w:val="none"/>
              </w:rPr>
            </w:pPr>
            <w:r>
              <w:rPr>
                <w:rFonts w:hint="eastAsia" w:ascii="Times New Roman" w:hAnsi="Times New Roman" w:cs="Times New Roman"/>
                <w:color w:val="auto"/>
                <w:sz w:val="18"/>
                <w:szCs w:val="18"/>
                <w:highlight w:val="none"/>
              </w:rPr>
              <w:t>7.2</w:t>
            </w:r>
          </w:p>
        </w:tc>
        <w:tc>
          <w:tcPr>
            <w:tcW w:w="867" w:type="dxa"/>
            <w:tcBorders>
              <w:tl2br w:val="nil"/>
              <w:tr2bl w:val="nil"/>
            </w:tcBorders>
            <w:vAlign w:val="center"/>
          </w:tcPr>
          <w:p w14:paraId="63E1BBEA">
            <w:pPr>
              <w:ind w:left="-105" w:right="-105"/>
              <w:jc w:val="center"/>
              <w:rPr>
                <w:rFonts w:ascii="Times New Roman" w:hAnsi="Times New Roman" w:cs="Times New Roman"/>
                <w:color w:val="auto"/>
                <w:sz w:val="18"/>
                <w:szCs w:val="18"/>
                <w:highlight w:val="none"/>
              </w:rPr>
            </w:pPr>
            <w:r>
              <w:rPr>
                <w:rFonts w:hint="eastAsia" w:ascii="Times New Roman" w:hAnsi="Times New Roman" w:cs="Times New Roman"/>
                <w:color w:val="auto"/>
                <w:sz w:val="18"/>
                <w:szCs w:val="18"/>
                <w:highlight w:val="none"/>
              </w:rPr>
              <w:t>21</w:t>
            </w:r>
          </w:p>
        </w:tc>
        <w:tc>
          <w:tcPr>
            <w:tcW w:w="868" w:type="dxa"/>
            <w:tcBorders>
              <w:tl2br w:val="nil"/>
              <w:tr2bl w:val="nil"/>
            </w:tcBorders>
            <w:vAlign w:val="center"/>
          </w:tcPr>
          <w:p w14:paraId="1045C3CC">
            <w:pPr>
              <w:ind w:left="-105" w:right="-105"/>
              <w:jc w:val="center"/>
              <w:rPr>
                <w:rFonts w:ascii="Times New Roman" w:hAnsi="Times New Roman" w:cs="Times New Roman"/>
                <w:color w:val="auto"/>
                <w:sz w:val="18"/>
                <w:szCs w:val="18"/>
                <w:highlight w:val="none"/>
              </w:rPr>
            </w:pPr>
            <w:r>
              <w:rPr>
                <w:rFonts w:hint="eastAsia" w:ascii="Times New Roman" w:hAnsi="Times New Roman" w:cs="Times New Roman"/>
                <w:color w:val="auto"/>
                <w:sz w:val="18"/>
                <w:szCs w:val="18"/>
                <w:highlight w:val="none"/>
              </w:rPr>
              <w:t>2.6</w:t>
            </w:r>
          </w:p>
        </w:tc>
        <w:tc>
          <w:tcPr>
            <w:tcW w:w="863" w:type="dxa"/>
            <w:tcBorders>
              <w:tl2br w:val="nil"/>
              <w:tr2bl w:val="nil"/>
            </w:tcBorders>
            <w:vAlign w:val="center"/>
          </w:tcPr>
          <w:p w14:paraId="3AEB29D7">
            <w:pPr>
              <w:ind w:left="-105" w:right="-105"/>
              <w:jc w:val="center"/>
              <w:rPr>
                <w:rFonts w:ascii="Times New Roman" w:hAnsi="Times New Roman" w:cs="Times New Roman"/>
                <w:color w:val="auto"/>
                <w:sz w:val="18"/>
                <w:szCs w:val="18"/>
                <w:highlight w:val="none"/>
              </w:rPr>
            </w:pPr>
            <w:r>
              <w:rPr>
                <w:rFonts w:hint="eastAsia" w:ascii="Times New Roman" w:hAnsi="Times New Roman" w:cs="Times New Roman"/>
                <w:color w:val="auto"/>
                <w:sz w:val="18"/>
                <w:szCs w:val="18"/>
                <w:highlight w:val="none"/>
              </w:rPr>
              <w:t>15</w:t>
            </w:r>
          </w:p>
        </w:tc>
        <w:tc>
          <w:tcPr>
            <w:tcW w:w="869" w:type="dxa"/>
            <w:tcBorders>
              <w:tl2br w:val="nil"/>
              <w:tr2bl w:val="nil"/>
            </w:tcBorders>
            <w:vAlign w:val="center"/>
          </w:tcPr>
          <w:p w14:paraId="0E382D72">
            <w:pPr>
              <w:ind w:left="-105" w:right="-105"/>
              <w:jc w:val="center"/>
              <w:rPr>
                <w:rFonts w:ascii="Times New Roman" w:hAnsi="Times New Roman" w:cs="Times New Roman"/>
                <w:color w:val="auto"/>
                <w:sz w:val="18"/>
                <w:szCs w:val="18"/>
                <w:highlight w:val="none"/>
              </w:rPr>
            </w:pPr>
            <w:r>
              <w:rPr>
                <w:rFonts w:hint="eastAsia" w:ascii="Times New Roman" w:hAnsi="Times New Roman" w:cs="Times New Roman"/>
                <w:color w:val="auto"/>
                <w:sz w:val="18"/>
                <w:szCs w:val="18"/>
                <w:highlight w:val="none"/>
              </w:rPr>
              <w:t>3.15</w:t>
            </w:r>
          </w:p>
        </w:tc>
        <w:tc>
          <w:tcPr>
            <w:tcW w:w="864" w:type="dxa"/>
            <w:tcBorders>
              <w:tl2br w:val="nil"/>
              <w:tr2bl w:val="nil"/>
            </w:tcBorders>
            <w:vAlign w:val="center"/>
          </w:tcPr>
          <w:p w14:paraId="5941A9BA">
            <w:pPr>
              <w:ind w:left="-105" w:right="-105"/>
              <w:jc w:val="center"/>
              <w:rPr>
                <w:rFonts w:ascii="Times New Roman" w:hAnsi="Times New Roman" w:cs="Times New Roman"/>
                <w:color w:val="auto"/>
                <w:sz w:val="18"/>
                <w:szCs w:val="18"/>
                <w:highlight w:val="none"/>
              </w:rPr>
            </w:pPr>
            <w:r>
              <w:rPr>
                <w:rFonts w:hint="eastAsia" w:ascii="Times New Roman" w:hAnsi="Times New Roman" w:cs="Times New Roman"/>
                <w:color w:val="auto"/>
                <w:sz w:val="18"/>
                <w:szCs w:val="18"/>
                <w:highlight w:val="none"/>
              </w:rPr>
              <w:t>0.28</w:t>
            </w:r>
          </w:p>
        </w:tc>
        <w:tc>
          <w:tcPr>
            <w:tcW w:w="864" w:type="dxa"/>
            <w:tcBorders>
              <w:tl2br w:val="nil"/>
              <w:tr2bl w:val="nil"/>
            </w:tcBorders>
            <w:vAlign w:val="center"/>
          </w:tcPr>
          <w:p w14:paraId="53435ED3">
            <w:pPr>
              <w:ind w:left="-105" w:right="-105"/>
              <w:jc w:val="center"/>
              <w:rPr>
                <w:rFonts w:ascii="Times New Roman" w:hAnsi="Times New Roman" w:cs="Times New Roman"/>
                <w:color w:val="auto"/>
                <w:sz w:val="18"/>
                <w:szCs w:val="18"/>
                <w:highlight w:val="none"/>
              </w:rPr>
            </w:pPr>
            <w:r>
              <w:rPr>
                <w:rFonts w:hint="eastAsia" w:ascii="Times New Roman" w:hAnsi="Times New Roman" w:cs="Times New Roman"/>
                <w:color w:val="auto"/>
                <w:sz w:val="18"/>
                <w:szCs w:val="18"/>
                <w:highlight w:val="none"/>
              </w:rPr>
              <w:t>12.2</w:t>
            </w:r>
          </w:p>
        </w:tc>
      </w:tr>
      <w:tr w14:paraId="5EFAB08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36" w:type="dxa"/>
            <w:vMerge w:val="continue"/>
            <w:tcBorders>
              <w:tl2br w:val="nil"/>
              <w:tr2bl w:val="nil"/>
            </w:tcBorders>
            <w:vAlign w:val="center"/>
          </w:tcPr>
          <w:p w14:paraId="26AEEBD1">
            <w:pPr>
              <w:ind w:left="-105" w:right="-105"/>
              <w:jc w:val="center"/>
              <w:rPr>
                <w:rFonts w:ascii="Times New Roman" w:hAnsi="Times New Roman" w:cs="Times New Roman"/>
                <w:color w:val="auto"/>
                <w:sz w:val="18"/>
                <w:szCs w:val="18"/>
                <w:highlight w:val="none"/>
              </w:rPr>
            </w:pPr>
          </w:p>
        </w:tc>
        <w:tc>
          <w:tcPr>
            <w:tcW w:w="788" w:type="dxa"/>
            <w:tcBorders>
              <w:tl2br w:val="nil"/>
              <w:tr2bl w:val="nil"/>
            </w:tcBorders>
            <w:vAlign w:val="center"/>
          </w:tcPr>
          <w:p w14:paraId="7FFDA96E">
            <w:pPr>
              <w:ind w:left="-105" w:right="-105"/>
              <w:jc w:val="center"/>
              <w:rPr>
                <w:rFonts w:ascii="Times New Roman" w:hAnsi="Times New Roman" w:cs="Times New Roman"/>
                <w:color w:val="auto"/>
                <w:sz w:val="18"/>
                <w:szCs w:val="18"/>
                <w:highlight w:val="none"/>
              </w:rPr>
            </w:pPr>
            <w:r>
              <w:rPr>
                <w:rFonts w:hint="eastAsia" w:ascii="Times New Roman" w:hAnsi="Times New Roman" w:cs="Times New Roman"/>
                <w:color w:val="auto"/>
                <w:sz w:val="18"/>
                <w:szCs w:val="18"/>
                <w:highlight w:val="none"/>
              </w:rPr>
              <w:t>第四次</w:t>
            </w:r>
          </w:p>
        </w:tc>
        <w:tc>
          <w:tcPr>
            <w:tcW w:w="938" w:type="dxa"/>
            <w:tcBorders>
              <w:tl2br w:val="nil"/>
              <w:tr2bl w:val="nil"/>
            </w:tcBorders>
            <w:vAlign w:val="center"/>
          </w:tcPr>
          <w:p w14:paraId="255FD0B1">
            <w:pPr>
              <w:ind w:left="-105" w:right="-105"/>
              <w:jc w:val="center"/>
              <w:rPr>
                <w:rFonts w:ascii="Times New Roman" w:hAnsi="Times New Roman" w:cs="Times New Roman"/>
                <w:color w:val="auto"/>
                <w:sz w:val="18"/>
                <w:szCs w:val="18"/>
                <w:highlight w:val="none"/>
              </w:rPr>
            </w:pPr>
            <w:r>
              <w:rPr>
                <w:rFonts w:hint="eastAsia" w:ascii="Times New Roman" w:hAnsi="Times New Roman" w:cs="Times New Roman"/>
                <w:color w:val="auto"/>
                <w:sz w:val="18"/>
                <w:szCs w:val="18"/>
                <w:highlight w:val="none"/>
              </w:rPr>
              <w:t>7.4</w:t>
            </w:r>
          </w:p>
        </w:tc>
        <w:tc>
          <w:tcPr>
            <w:tcW w:w="867" w:type="dxa"/>
            <w:tcBorders>
              <w:tl2br w:val="nil"/>
              <w:tr2bl w:val="nil"/>
            </w:tcBorders>
            <w:vAlign w:val="center"/>
          </w:tcPr>
          <w:p w14:paraId="76FAD38B">
            <w:pPr>
              <w:ind w:left="-105" w:right="-105"/>
              <w:jc w:val="center"/>
              <w:rPr>
                <w:rFonts w:ascii="Times New Roman" w:hAnsi="Times New Roman" w:cs="Times New Roman"/>
                <w:color w:val="auto"/>
                <w:sz w:val="18"/>
                <w:szCs w:val="18"/>
                <w:highlight w:val="none"/>
              </w:rPr>
            </w:pPr>
            <w:r>
              <w:rPr>
                <w:rFonts w:hint="eastAsia" w:ascii="Times New Roman" w:hAnsi="Times New Roman" w:cs="Times New Roman"/>
                <w:color w:val="auto"/>
                <w:sz w:val="18"/>
                <w:szCs w:val="18"/>
                <w:highlight w:val="none"/>
              </w:rPr>
              <w:t>26</w:t>
            </w:r>
          </w:p>
        </w:tc>
        <w:tc>
          <w:tcPr>
            <w:tcW w:w="868" w:type="dxa"/>
            <w:tcBorders>
              <w:tl2br w:val="nil"/>
              <w:tr2bl w:val="nil"/>
            </w:tcBorders>
            <w:vAlign w:val="center"/>
          </w:tcPr>
          <w:p w14:paraId="6C159600">
            <w:pPr>
              <w:ind w:left="-105" w:right="-105"/>
              <w:jc w:val="center"/>
              <w:rPr>
                <w:rFonts w:ascii="Times New Roman" w:hAnsi="Times New Roman" w:cs="Times New Roman"/>
                <w:color w:val="auto"/>
                <w:sz w:val="18"/>
                <w:szCs w:val="18"/>
                <w:highlight w:val="none"/>
              </w:rPr>
            </w:pPr>
            <w:r>
              <w:rPr>
                <w:rFonts w:hint="eastAsia" w:ascii="Times New Roman" w:hAnsi="Times New Roman" w:cs="Times New Roman"/>
                <w:color w:val="auto"/>
                <w:sz w:val="18"/>
                <w:szCs w:val="18"/>
                <w:highlight w:val="none"/>
              </w:rPr>
              <w:t>3.0</w:t>
            </w:r>
          </w:p>
        </w:tc>
        <w:tc>
          <w:tcPr>
            <w:tcW w:w="863" w:type="dxa"/>
            <w:tcBorders>
              <w:tl2br w:val="nil"/>
              <w:tr2bl w:val="nil"/>
            </w:tcBorders>
            <w:vAlign w:val="center"/>
          </w:tcPr>
          <w:p w14:paraId="618DCE38">
            <w:pPr>
              <w:ind w:left="-105" w:right="-105"/>
              <w:jc w:val="center"/>
              <w:rPr>
                <w:rFonts w:ascii="Times New Roman" w:hAnsi="Times New Roman" w:cs="Times New Roman"/>
                <w:color w:val="auto"/>
                <w:sz w:val="18"/>
                <w:szCs w:val="18"/>
                <w:highlight w:val="none"/>
              </w:rPr>
            </w:pPr>
            <w:r>
              <w:rPr>
                <w:rFonts w:hint="eastAsia" w:ascii="Times New Roman" w:hAnsi="Times New Roman" w:cs="Times New Roman"/>
                <w:color w:val="auto"/>
                <w:sz w:val="18"/>
                <w:szCs w:val="18"/>
                <w:highlight w:val="none"/>
              </w:rPr>
              <w:t>14</w:t>
            </w:r>
          </w:p>
        </w:tc>
        <w:tc>
          <w:tcPr>
            <w:tcW w:w="869" w:type="dxa"/>
            <w:tcBorders>
              <w:tl2br w:val="nil"/>
              <w:tr2bl w:val="nil"/>
            </w:tcBorders>
            <w:vAlign w:val="center"/>
          </w:tcPr>
          <w:p w14:paraId="7BB40205">
            <w:pPr>
              <w:ind w:left="-105" w:right="-105"/>
              <w:jc w:val="center"/>
              <w:rPr>
                <w:rFonts w:ascii="Times New Roman" w:hAnsi="Times New Roman" w:cs="Times New Roman"/>
                <w:color w:val="auto"/>
                <w:sz w:val="18"/>
                <w:szCs w:val="18"/>
                <w:highlight w:val="none"/>
              </w:rPr>
            </w:pPr>
            <w:r>
              <w:rPr>
                <w:rFonts w:hint="eastAsia" w:ascii="Times New Roman" w:hAnsi="Times New Roman" w:cs="Times New Roman"/>
                <w:color w:val="auto"/>
                <w:sz w:val="18"/>
                <w:szCs w:val="18"/>
                <w:highlight w:val="none"/>
              </w:rPr>
              <w:t>3.39</w:t>
            </w:r>
          </w:p>
        </w:tc>
        <w:tc>
          <w:tcPr>
            <w:tcW w:w="864" w:type="dxa"/>
            <w:tcBorders>
              <w:tl2br w:val="nil"/>
              <w:tr2bl w:val="nil"/>
            </w:tcBorders>
            <w:vAlign w:val="center"/>
          </w:tcPr>
          <w:p w14:paraId="1FE25459">
            <w:pPr>
              <w:ind w:left="-105" w:right="-105"/>
              <w:jc w:val="center"/>
              <w:rPr>
                <w:rFonts w:ascii="Times New Roman" w:hAnsi="Times New Roman" w:cs="Times New Roman"/>
                <w:color w:val="auto"/>
                <w:sz w:val="18"/>
                <w:szCs w:val="18"/>
                <w:highlight w:val="none"/>
              </w:rPr>
            </w:pPr>
            <w:r>
              <w:rPr>
                <w:rFonts w:hint="eastAsia" w:ascii="Times New Roman" w:hAnsi="Times New Roman" w:cs="Times New Roman"/>
                <w:color w:val="auto"/>
                <w:sz w:val="18"/>
                <w:szCs w:val="18"/>
                <w:highlight w:val="none"/>
              </w:rPr>
              <w:t>0.30</w:t>
            </w:r>
          </w:p>
        </w:tc>
        <w:tc>
          <w:tcPr>
            <w:tcW w:w="864" w:type="dxa"/>
            <w:tcBorders>
              <w:tl2br w:val="nil"/>
              <w:tr2bl w:val="nil"/>
            </w:tcBorders>
            <w:vAlign w:val="center"/>
          </w:tcPr>
          <w:p w14:paraId="67FC2F7F">
            <w:pPr>
              <w:ind w:left="-105" w:right="-105"/>
              <w:jc w:val="center"/>
              <w:rPr>
                <w:rFonts w:ascii="Times New Roman" w:hAnsi="Times New Roman" w:cs="Times New Roman"/>
                <w:color w:val="auto"/>
                <w:sz w:val="18"/>
                <w:szCs w:val="18"/>
                <w:highlight w:val="none"/>
              </w:rPr>
            </w:pPr>
            <w:r>
              <w:rPr>
                <w:rFonts w:hint="eastAsia" w:ascii="Times New Roman" w:hAnsi="Times New Roman" w:cs="Times New Roman"/>
                <w:color w:val="auto"/>
                <w:sz w:val="18"/>
                <w:szCs w:val="18"/>
                <w:highlight w:val="none"/>
              </w:rPr>
              <w:t>11.2</w:t>
            </w:r>
          </w:p>
        </w:tc>
      </w:tr>
      <w:tr w14:paraId="55C20A9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36" w:type="dxa"/>
            <w:vMerge w:val="continue"/>
            <w:tcBorders>
              <w:tl2br w:val="nil"/>
              <w:tr2bl w:val="nil"/>
            </w:tcBorders>
            <w:vAlign w:val="center"/>
          </w:tcPr>
          <w:p w14:paraId="1C1B0CE4">
            <w:pPr>
              <w:ind w:left="-105" w:right="-105"/>
              <w:jc w:val="center"/>
              <w:rPr>
                <w:rFonts w:ascii="Times New Roman" w:hAnsi="Times New Roman" w:cs="Times New Roman"/>
                <w:color w:val="auto"/>
                <w:sz w:val="18"/>
                <w:szCs w:val="18"/>
                <w:highlight w:val="none"/>
              </w:rPr>
            </w:pPr>
          </w:p>
        </w:tc>
        <w:tc>
          <w:tcPr>
            <w:tcW w:w="788" w:type="dxa"/>
            <w:tcBorders>
              <w:tl2br w:val="nil"/>
              <w:tr2bl w:val="nil"/>
            </w:tcBorders>
            <w:vAlign w:val="center"/>
          </w:tcPr>
          <w:p w14:paraId="73851130">
            <w:pPr>
              <w:ind w:left="-105" w:right="-105"/>
              <w:jc w:val="center"/>
              <w:rPr>
                <w:rFonts w:ascii="Times New Roman" w:hAnsi="Times New Roman" w:cs="Times New Roman"/>
                <w:b/>
                <w:bCs/>
                <w:color w:val="auto"/>
                <w:sz w:val="18"/>
                <w:szCs w:val="18"/>
                <w:highlight w:val="none"/>
              </w:rPr>
            </w:pPr>
            <w:r>
              <w:rPr>
                <w:rFonts w:hint="eastAsia" w:ascii="Times New Roman" w:hAnsi="Times New Roman" w:cs="Times New Roman"/>
                <w:b/>
                <w:bCs/>
                <w:color w:val="auto"/>
                <w:sz w:val="18"/>
                <w:szCs w:val="18"/>
                <w:highlight w:val="none"/>
              </w:rPr>
              <w:t>均值或范围</w:t>
            </w:r>
          </w:p>
        </w:tc>
        <w:tc>
          <w:tcPr>
            <w:tcW w:w="938" w:type="dxa"/>
            <w:tcBorders>
              <w:tl2br w:val="nil"/>
              <w:tr2bl w:val="nil"/>
            </w:tcBorders>
            <w:vAlign w:val="center"/>
          </w:tcPr>
          <w:p w14:paraId="52F49D32">
            <w:pPr>
              <w:ind w:left="-105" w:right="-105"/>
              <w:jc w:val="center"/>
              <w:rPr>
                <w:rFonts w:ascii="Times New Roman" w:hAnsi="Times New Roman" w:cs="Times New Roman"/>
                <w:b/>
                <w:bCs/>
                <w:color w:val="auto"/>
                <w:sz w:val="18"/>
                <w:szCs w:val="18"/>
                <w:highlight w:val="none"/>
              </w:rPr>
            </w:pPr>
            <w:r>
              <w:rPr>
                <w:rFonts w:hint="eastAsia" w:ascii="Times New Roman" w:hAnsi="Times New Roman" w:cs="Times New Roman"/>
                <w:b/>
                <w:bCs/>
                <w:color w:val="auto"/>
                <w:sz w:val="18"/>
                <w:szCs w:val="18"/>
                <w:highlight w:val="none"/>
              </w:rPr>
              <w:t>7.2~7.4</w:t>
            </w:r>
          </w:p>
        </w:tc>
        <w:tc>
          <w:tcPr>
            <w:tcW w:w="867" w:type="dxa"/>
            <w:tcBorders>
              <w:tl2br w:val="nil"/>
              <w:tr2bl w:val="nil"/>
            </w:tcBorders>
            <w:vAlign w:val="center"/>
          </w:tcPr>
          <w:p w14:paraId="225438A3">
            <w:pPr>
              <w:ind w:left="-105" w:right="-105"/>
              <w:jc w:val="center"/>
              <w:rPr>
                <w:rFonts w:ascii="Times New Roman" w:hAnsi="Times New Roman" w:cs="Times New Roman"/>
                <w:b/>
                <w:bCs/>
                <w:color w:val="auto"/>
                <w:sz w:val="18"/>
                <w:szCs w:val="18"/>
                <w:highlight w:val="none"/>
              </w:rPr>
            </w:pPr>
            <w:r>
              <w:rPr>
                <w:rFonts w:hint="eastAsia" w:ascii="Times New Roman" w:hAnsi="Times New Roman" w:cs="Times New Roman"/>
                <w:b/>
                <w:bCs/>
                <w:color w:val="auto"/>
                <w:sz w:val="18"/>
                <w:szCs w:val="18"/>
                <w:highlight w:val="none"/>
              </w:rPr>
              <w:t>24</w:t>
            </w:r>
          </w:p>
        </w:tc>
        <w:tc>
          <w:tcPr>
            <w:tcW w:w="868" w:type="dxa"/>
            <w:tcBorders>
              <w:tl2br w:val="nil"/>
              <w:tr2bl w:val="nil"/>
            </w:tcBorders>
            <w:vAlign w:val="center"/>
          </w:tcPr>
          <w:p w14:paraId="0430D551">
            <w:pPr>
              <w:ind w:left="-105" w:right="-105"/>
              <w:jc w:val="center"/>
              <w:rPr>
                <w:rFonts w:ascii="Times New Roman" w:hAnsi="Times New Roman" w:cs="Times New Roman"/>
                <w:b/>
                <w:bCs/>
                <w:color w:val="auto"/>
                <w:sz w:val="18"/>
                <w:szCs w:val="18"/>
                <w:highlight w:val="none"/>
              </w:rPr>
            </w:pPr>
            <w:r>
              <w:rPr>
                <w:rFonts w:hint="eastAsia" w:ascii="Times New Roman" w:hAnsi="Times New Roman" w:cs="Times New Roman"/>
                <w:b/>
                <w:bCs/>
                <w:color w:val="auto"/>
                <w:sz w:val="18"/>
                <w:szCs w:val="18"/>
                <w:highlight w:val="none"/>
              </w:rPr>
              <w:t>3.6</w:t>
            </w:r>
          </w:p>
        </w:tc>
        <w:tc>
          <w:tcPr>
            <w:tcW w:w="863" w:type="dxa"/>
            <w:tcBorders>
              <w:tl2br w:val="nil"/>
              <w:tr2bl w:val="nil"/>
            </w:tcBorders>
            <w:vAlign w:val="center"/>
          </w:tcPr>
          <w:p w14:paraId="0122BDC1">
            <w:pPr>
              <w:ind w:left="-105" w:right="-105"/>
              <w:jc w:val="center"/>
              <w:rPr>
                <w:rFonts w:ascii="Times New Roman" w:hAnsi="Times New Roman" w:cs="Times New Roman"/>
                <w:b/>
                <w:bCs/>
                <w:color w:val="auto"/>
                <w:sz w:val="18"/>
                <w:szCs w:val="18"/>
                <w:highlight w:val="none"/>
              </w:rPr>
            </w:pPr>
            <w:r>
              <w:rPr>
                <w:rFonts w:hint="eastAsia" w:ascii="Times New Roman" w:hAnsi="Times New Roman" w:cs="Times New Roman"/>
                <w:b/>
                <w:bCs/>
                <w:color w:val="auto"/>
                <w:sz w:val="18"/>
                <w:szCs w:val="18"/>
                <w:highlight w:val="none"/>
              </w:rPr>
              <w:t>15</w:t>
            </w:r>
          </w:p>
        </w:tc>
        <w:tc>
          <w:tcPr>
            <w:tcW w:w="869" w:type="dxa"/>
            <w:tcBorders>
              <w:tl2br w:val="nil"/>
              <w:tr2bl w:val="nil"/>
            </w:tcBorders>
            <w:vAlign w:val="center"/>
          </w:tcPr>
          <w:p w14:paraId="118C98F3">
            <w:pPr>
              <w:ind w:left="-105" w:right="-105"/>
              <w:jc w:val="center"/>
              <w:rPr>
                <w:rFonts w:ascii="Times New Roman" w:hAnsi="Times New Roman" w:cs="Times New Roman"/>
                <w:b/>
                <w:bCs/>
                <w:color w:val="auto"/>
                <w:sz w:val="18"/>
                <w:szCs w:val="18"/>
                <w:highlight w:val="none"/>
              </w:rPr>
            </w:pPr>
            <w:r>
              <w:rPr>
                <w:rFonts w:hint="eastAsia" w:ascii="Times New Roman" w:hAnsi="Times New Roman" w:cs="Times New Roman"/>
                <w:b/>
                <w:bCs/>
                <w:color w:val="auto"/>
                <w:sz w:val="18"/>
                <w:szCs w:val="18"/>
                <w:highlight w:val="none"/>
              </w:rPr>
              <w:t>3.23</w:t>
            </w:r>
          </w:p>
        </w:tc>
        <w:tc>
          <w:tcPr>
            <w:tcW w:w="864" w:type="dxa"/>
            <w:tcBorders>
              <w:tl2br w:val="nil"/>
              <w:tr2bl w:val="nil"/>
            </w:tcBorders>
            <w:vAlign w:val="center"/>
          </w:tcPr>
          <w:p w14:paraId="22CE4D8E">
            <w:pPr>
              <w:ind w:left="-105" w:right="-105"/>
              <w:jc w:val="center"/>
              <w:rPr>
                <w:rFonts w:ascii="Times New Roman" w:hAnsi="Times New Roman" w:cs="Times New Roman"/>
                <w:b/>
                <w:bCs/>
                <w:color w:val="auto"/>
                <w:sz w:val="18"/>
                <w:szCs w:val="18"/>
                <w:highlight w:val="none"/>
              </w:rPr>
            </w:pPr>
            <w:r>
              <w:rPr>
                <w:rFonts w:hint="eastAsia" w:ascii="Times New Roman" w:hAnsi="Times New Roman" w:cs="Times New Roman"/>
                <w:b/>
                <w:bCs/>
                <w:color w:val="auto"/>
                <w:sz w:val="18"/>
                <w:szCs w:val="18"/>
                <w:highlight w:val="none"/>
              </w:rPr>
              <w:t>0.30</w:t>
            </w:r>
          </w:p>
        </w:tc>
        <w:tc>
          <w:tcPr>
            <w:tcW w:w="864" w:type="dxa"/>
            <w:tcBorders>
              <w:tl2br w:val="nil"/>
              <w:tr2bl w:val="nil"/>
            </w:tcBorders>
            <w:vAlign w:val="center"/>
          </w:tcPr>
          <w:p w14:paraId="43303146">
            <w:pPr>
              <w:ind w:left="-105" w:right="-105"/>
              <w:jc w:val="center"/>
              <w:rPr>
                <w:rFonts w:ascii="Times New Roman" w:hAnsi="Times New Roman" w:cs="Times New Roman"/>
                <w:b/>
                <w:bCs/>
                <w:color w:val="auto"/>
                <w:sz w:val="18"/>
                <w:szCs w:val="18"/>
                <w:highlight w:val="none"/>
              </w:rPr>
            </w:pPr>
            <w:r>
              <w:rPr>
                <w:rFonts w:hint="eastAsia" w:ascii="Times New Roman" w:hAnsi="Times New Roman" w:cs="Times New Roman"/>
                <w:b/>
                <w:bCs/>
                <w:color w:val="auto"/>
                <w:sz w:val="18"/>
                <w:szCs w:val="18"/>
                <w:highlight w:val="none"/>
              </w:rPr>
              <w:t>11.8</w:t>
            </w:r>
          </w:p>
        </w:tc>
      </w:tr>
      <w:tr w14:paraId="1873106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724" w:type="dxa"/>
            <w:gridSpan w:val="2"/>
            <w:tcBorders>
              <w:tl2br w:val="nil"/>
              <w:tr2bl w:val="nil"/>
            </w:tcBorders>
            <w:vAlign w:val="center"/>
          </w:tcPr>
          <w:p w14:paraId="703C39E0">
            <w:pPr>
              <w:ind w:left="-105" w:right="-105"/>
              <w:jc w:val="center"/>
              <w:rPr>
                <w:rFonts w:ascii="Times New Roman" w:hAnsi="Times New Roman" w:cs="Times New Roman"/>
                <w:b/>
                <w:bCs/>
                <w:color w:val="auto"/>
                <w:sz w:val="18"/>
                <w:szCs w:val="18"/>
                <w:highlight w:val="none"/>
              </w:rPr>
            </w:pPr>
            <w:r>
              <w:rPr>
                <w:rFonts w:hint="eastAsia" w:ascii="Times New Roman" w:hAnsi="Times New Roman" w:cs="Times New Roman"/>
                <w:b/>
                <w:bCs/>
                <w:color w:val="auto"/>
                <w:sz w:val="18"/>
                <w:szCs w:val="18"/>
                <w:highlight w:val="none"/>
              </w:rPr>
              <w:t>标准限值</w:t>
            </w:r>
          </w:p>
        </w:tc>
        <w:tc>
          <w:tcPr>
            <w:tcW w:w="938" w:type="dxa"/>
            <w:tcBorders>
              <w:tl2br w:val="nil"/>
              <w:tr2bl w:val="nil"/>
            </w:tcBorders>
            <w:vAlign w:val="center"/>
          </w:tcPr>
          <w:p w14:paraId="07360B31">
            <w:pPr>
              <w:ind w:left="-105" w:right="-105"/>
              <w:jc w:val="center"/>
              <w:rPr>
                <w:rFonts w:ascii="Times New Roman" w:hAnsi="Times New Roman" w:cs="Times New Roman"/>
                <w:b/>
                <w:bCs/>
                <w:color w:val="auto"/>
                <w:sz w:val="18"/>
                <w:szCs w:val="18"/>
                <w:highlight w:val="none"/>
              </w:rPr>
            </w:pPr>
            <w:r>
              <w:rPr>
                <w:rFonts w:hint="eastAsia" w:ascii="Times New Roman" w:hAnsi="Times New Roman" w:cs="Times New Roman"/>
                <w:b/>
                <w:bCs/>
                <w:color w:val="auto"/>
                <w:sz w:val="18"/>
                <w:szCs w:val="18"/>
                <w:highlight w:val="none"/>
              </w:rPr>
              <w:t>6~9</w:t>
            </w:r>
          </w:p>
        </w:tc>
        <w:tc>
          <w:tcPr>
            <w:tcW w:w="867" w:type="dxa"/>
            <w:tcBorders>
              <w:tl2br w:val="nil"/>
              <w:tr2bl w:val="nil"/>
            </w:tcBorders>
            <w:vAlign w:val="center"/>
          </w:tcPr>
          <w:p w14:paraId="5755A15A">
            <w:pPr>
              <w:ind w:left="-105" w:right="-105"/>
              <w:jc w:val="center"/>
              <w:rPr>
                <w:rFonts w:ascii="Times New Roman" w:hAnsi="Times New Roman" w:cs="Times New Roman"/>
                <w:b/>
                <w:bCs/>
                <w:color w:val="auto"/>
                <w:sz w:val="18"/>
                <w:szCs w:val="18"/>
                <w:highlight w:val="none"/>
              </w:rPr>
            </w:pPr>
            <w:r>
              <w:rPr>
                <w:rFonts w:hint="eastAsia" w:ascii="Times New Roman" w:hAnsi="Times New Roman" w:cs="Times New Roman"/>
                <w:b/>
                <w:bCs/>
                <w:color w:val="auto"/>
                <w:sz w:val="18"/>
                <w:szCs w:val="18"/>
                <w:highlight w:val="none"/>
              </w:rPr>
              <w:t>50</w:t>
            </w:r>
          </w:p>
        </w:tc>
        <w:tc>
          <w:tcPr>
            <w:tcW w:w="868" w:type="dxa"/>
            <w:tcBorders>
              <w:tl2br w:val="nil"/>
              <w:tr2bl w:val="nil"/>
            </w:tcBorders>
            <w:vAlign w:val="center"/>
          </w:tcPr>
          <w:p w14:paraId="19C1C796">
            <w:pPr>
              <w:ind w:left="-105" w:right="-105"/>
              <w:jc w:val="center"/>
              <w:rPr>
                <w:rFonts w:ascii="Times New Roman" w:hAnsi="Times New Roman" w:cs="Times New Roman"/>
                <w:b/>
                <w:bCs/>
                <w:color w:val="auto"/>
                <w:sz w:val="18"/>
                <w:szCs w:val="18"/>
                <w:highlight w:val="none"/>
              </w:rPr>
            </w:pPr>
            <w:r>
              <w:rPr>
                <w:rFonts w:hint="eastAsia" w:ascii="Times New Roman" w:hAnsi="Times New Roman" w:cs="Times New Roman"/>
                <w:b/>
                <w:bCs/>
                <w:color w:val="auto"/>
                <w:sz w:val="18"/>
                <w:szCs w:val="18"/>
                <w:highlight w:val="none"/>
              </w:rPr>
              <w:t>10</w:t>
            </w:r>
          </w:p>
        </w:tc>
        <w:tc>
          <w:tcPr>
            <w:tcW w:w="863" w:type="dxa"/>
            <w:tcBorders>
              <w:tl2br w:val="nil"/>
              <w:tr2bl w:val="nil"/>
            </w:tcBorders>
            <w:vAlign w:val="center"/>
          </w:tcPr>
          <w:p w14:paraId="26FF73FA">
            <w:pPr>
              <w:ind w:left="-105" w:right="-105"/>
              <w:jc w:val="center"/>
              <w:rPr>
                <w:rFonts w:ascii="Times New Roman" w:hAnsi="Times New Roman" w:cs="Times New Roman"/>
                <w:b/>
                <w:bCs/>
                <w:color w:val="auto"/>
                <w:sz w:val="18"/>
                <w:szCs w:val="18"/>
                <w:highlight w:val="none"/>
              </w:rPr>
            </w:pPr>
            <w:r>
              <w:rPr>
                <w:rFonts w:hint="eastAsia" w:ascii="Times New Roman" w:hAnsi="Times New Roman" w:cs="Times New Roman"/>
                <w:b/>
                <w:bCs/>
                <w:color w:val="auto"/>
                <w:sz w:val="18"/>
                <w:szCs w:val="18"/>
                <w:highlight w:val="none"/>
              </w:rPr>
              <w:t>20</w:t>
            </w:r>
          </w:p>
        </w:tc>
        <w:tc>
          <w:tcPr>
            <w:tcW w:w="869" w:type="dxa"/>
            <w:tcBorders>
              <w:tl2br w:val="nil"/>
              <w:tr2bl w:val="nil"/>
            </w:tcBorders>
            <w:vAlign w:val="center"/>
          </w:tcPr>
          <w:p w14:paraId="01B092C4">
            <w:pPr>
              <w:ind w:left="-105" w:right="-105"/>
              <w:jc w:val="center"/>
              <w:rPr>
                <w:rFonts w:ascii="Times New Roman" w:hAnsi="Times New Roman" w:cs="Times New Roman"/>
                <w:b/>
                <w:bCs/>
                <w:color w:val="auto"/>
                <w:sz w:val="18"/>
                <w:szCs w:val="18"/>
                <w:highlight w:val="none"/>
              </w:rPr>
            </w:pPr>
            <w:r>
              <w:rPr>
                <w:rFonts w:hint="eastAsia" w:ascii="Times New Roman" w:hAnsi="Times New Roman" w:cs="Times New Roman"/>
                <w:b/>
                <w:bCs/>
                <w:color w:val="auto"/>
                <w:sz w:val="18"/>
                <w:szCs w:val="18"/>
                <w:highlight w:val="none"/>
              </w:rPr>
              <w:t>5</w:t>
            </w:r>
          </w:p>
        </w:tc>
        <w:tc>
          <w:tcPr>
            <w:tcW w:w="864" w:type="dxa"/>
            <w:tcBorders>
              <w:tl2br w:val="nil"/>
              <w:tr2bl w:val="nil"/>
            </w:tcBorders>
            <w:vAlign w:val="center"/>
          </w:tcPr>
          <w:p w14:paraId="5C643C70">
            <w:pPr>
              <w:ind w:left="-105" w:right="-105"/>
              <w:jc w:val="center"/>
              <w:rPr>
                <w:rFonts w:ascii="Times New Roman" w:hAnsi="Times New Roman" w:cs="Times New Roman"/>
                <w:b/>
                <w:bCs/>
                <w:color w:val="auto"/>
                <w:sz w:val="18"/>
                <w:szCs w:val="18"/>
                <w:highlight w:val="none"/>
              </w:rPr>
            </w:pPr>
            <w:r>
              <w:rPr>
                <w:rFonts w:hint="eastAsia" w:ascii="Times New Roman" w:hAnsi="Times New Roman" w:cs="Times New Roman"/>
                <w:b/>
                <w:bCs/>
                <w:color w:val="auto"/>
                <w:sz w:val="18"/>
                <w:szCs w:val="18"/>
                <w:highlight w:val="none"/>
              </w:rPr>
              <w:t>0.5</w:t>
            </w:r>
          </w:p>
        </w:tc>
        <w:tc>
          <w:tcPr>
            <w:tcW w:w="864" w:type="dxa"/>
            <w:tcBorders>
              <w:tl2br w:val="nil"/>
              <w:tr2bl w:val="nil"/>
            </w:tcBorders>
            <w:vAlign w:val="center"/>
          </w:tcPr>
          <w:p w14:paraId="0C9F76B3">
            <w:pPr>
              <w:ind w:left="-105" w:right="-105"/>
              <w:jc w:val="center"/>
              <w:rPr>
                <w:rFonts w:ascii="Times New Roman" w:hAnsi="Times New Roman" w:cs="Times New Roman"/>
                <w:b/>
                <w:bCs/>
                <w:color w:val="auto"/>
                <w:sz w:val="18"/>
                <w:szCs w:val="18"/>
                <w:highlight w:val="none"/>
              </w:rPr>
            </w:pPr>
            <w:r>
              <w:rPr>
                <w:rFonts w:hint="eastAsia" w:ascii="Times New Roman" w:hAnsi="Times New Roman" w:cs="Times New Roman"/>
                <w:b/>
                <w:bCs/>
                <w:color w:val="auto"/>
                <w:sz w:val="18"/>
                <w:szCs w:val="18"/>
                <w:highlight w:val="none"/>
              </w:rPr>
              <w:t>15</w:t>
            </w:r>
          </w:p>
        </w:tc>
      </w:tr>
      <w:tr w14:paraId="2808E53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724" w:type="dxa"/>
            <w:gridSpan w:val="2"/>
            <w:tcBorders>
              <w:tl2br w:val="nil"/>
              <w:tr2bl w:val="nil"/>
            </w:tcBorders>
            <w:vAlign w:val="center"/>
          </w:tcPr>
          <w:p w14:paraId="30B5A2F8">
            <w:pPr>
              <w:ind w:left="-105" w:right="-105"/>
              <w:jc w:val="center"/>
              <w:rPr>
                <w:rFonts w:ascii="Times New Roman" w:hAnsi="Times New Roman" w:cs="Times New Roman"/>
                <w:b/>
                <w:bCs/>
                <w:color w:val="auto"/>
                <w:sz w:val="18"/>
                <w:szCs w:val="18"/>
                <w:highlight w:val="none"/>
              </w:rPr>
            </w:pPr>
            <w:r>
              <w:rPr>
                <w:rFonts w:hint="eastAsia" w:ascii="Times New Roman" w:hAnsi="Times New Roman" w:cs="Times New Roman"/>
                <w:b/>
                <w:bCs/>
                <w:color w:val="auto"/>
                <w:sz w:val="18"/>
                <w:szCs w:val="18"/>
                <w:highlight w:val="none"/>
              </w:rPr>
              <w:t>评价</w:t>
            </w:r>
          </w:p>
        </w:tc>
        <w:tc>
          <w:tcPr>
            <w:tcW w:w="938" w:type="dxa"/>
            <w:tcBorders>
              <w:tl2br w:val="nil"/>
              <w:tr2bl w:val="nil"/>
            </w:tcBorders>
            <w:vAlign w:val="center"/>
          </w:tcPr>
          <w:p w14:paraId="54B79CB7">
            <w:pPr>
              <w:ind w:left="-105" w:right="-105"/>
              <w:jc w:val="center"/>
              <w:rPr>
                <w:rFonts w:ascii="Times New Roman" w:hAnsi="Times New Roman" w:cs="Times New Roman"/>
                <w:b/>
                <w:bCs/>
                <w:color w:val="auto"/>
                <w:sz w:val="18"/>
                <w:szCs w:val="18"/>
                <w:highlight w:val="none"/>
              </w:rPr>
            </w:pPr>
            <w:r>
              <w:rPr>
                <w:rFonts w:hint="eastAsia" w:ascii="Times New Roman" w:hAnsi="Times New Roman" w:cs="Times New Roman"/>
                <w:b/>
                <w:bCs/>
                <w:color w:val="auto"/>
                <w:sz w:val="18"/>
                <w:szCs w:val="18"/>
                <w:highlight w:val="none"/>
              </w:rPr>
              <w:t>合格</w:t>
            </w:r>
          </w:p>
        </w:tc>
        <w:tc>
          <w:tcPr>
            <w:tcW w:w="867" w:type="dxa"/>
            <w:tcBorders>
              <w:tl2br w:val="nil"/>
              <w:tr2bl w:val="nil"/>
            </w:tcBorders>
            <w:vAlign w:val="center"/>
          </w:tcPr>
          <w:p w14:paraId="5EFC181B">
            <w:pPr>
              <w:ind w:left="-105" w:right="-105"/>
              <w:jc w:val="center"/>
              <w:rPr>
                <w:rFonts w:ascii="Times New Roman" w:hAnsi="Times New Roman" w:cs="Times New Roman"/>
                <w:b/>
                <w:bCs/>
                <w:color w:val="auto"/>
                <w:sz w:val="18"/>
                <w:szCs w:val="18"/>
                <w:highlight w:val="none"/>
              </w:rPr>
            </w:pPr>
            <w:r>
              <w:rPr>
                <w:rFonts w:hint="eastAsia" w:ascii="Times New Roman" w:hAnsi="Times New Roman" w:cs="Times New Roman"/>
                <w:b/>
                <w:bCs/>
                <w:color w:val="auto"/>
                <w:sz w:val="18"/>
                <w:szCs w:val="18"/>
                <w:highlight w:val="none"/>
              </w:rPr>
              <w:t>合格</w:t>
            </w:r>
          </w:p>
        </w:tc>
        <w:tc>
          <w:tcPr>
            <w:tcW w:w="868" w:type="dxa"/>
            <w:tcBorders>
              <w:tl2br w:val="nil"/>
              <w:tr2bl w:val="nil"/>
            </w:tcBorders>
            <w:vAlign w:val="center"/>
          </w:tcPr>
          <w:p w14:paraId="28FF5A6D">
            <w:pPr>
              <w:ind w:left="-105" w:right="-105"/>
              <w:jc w:val="center"/>
              <w:rPr>
                <w:rFonts w:ascii="Times New Roman" w:hAnsi="Times New Roman" w:cs="Times New Roman"/>
                <w:b/>
                <w:bCs/>
                <w:color w:val="auto"/>
                <w:sz w:val="18"/>
                <w:szCs w:val="18"/>
                <w:highlight w:val="none"/>
              </w:rPr>
            </w:pPr>
            <w:r>
              <w:rPr>
                <w:rFonts w:hint="eastAsia" w:ascii="Times New Roman" w:hAnsi="Times New Roman" w:cs="Times New Roman"/>
                <w:b/>
                <w:bCs/>
                <w:color w:val="auto"/>
                <w:sz w:val="18"/>
                <w:szCs w:val="18"/>
                <w:highlight w:val="none"/>
              </w:rPr>
              <w:t>合格</w:t>
            </w:r>
          </w:p>
        </w:tc>
        <w:tc>
          <w:tcPr>
            <w:tcW w:w="863" w:type="dxa"/>
            <w:tcBorders>
              <w:tl2br w:val="nil"/>
              <w:tr2bl w:val="nil"/>
            </w:tcBorders>
            <w:vAlign w:val="center"/>
          </w:tcPr>
          <w:p w14:paraId="3E3EF1C4">
            <w:pPr>
              <w:ind w:left="-105" w:right="-105"/>
              <w:jc w:val="center"/>
              <w:rPr>
                <w:rFonts w:ascii="Times New Roman" w:hAnsi="Times New Roman" w:cs="Times New Roman"/>
                <w:b/>
                <w:bCs/>
                <w:color w:val="auto"/>
                <w:sz w:val="18"/>
                <w:szCs w:val="18"/>
                <w:highlight w:val="none"/>
              </w:rPr>
            </w:pPr>
            <w:r>
              <w:rPr>
                <w:rFonts w:hint="eastAsia" w:ascii="Times New Roman" w:hAnsi="Times New Roman" w:cs="Times New Roman"/>
                <w:b/>
                <w:bCs/>
                <w:color w:val="auto"/>
                <w:sz w:val="18"/>
                <w:szCs w:val="18"/>
                <w:highlight w:val="none"/>
              </w:rPr>
              <w:t>合格</w:t>
            </w:r>
          </w:p>
        </w:tc>
        <w:tc>
          <w:tcPr>
            <w:tcW w:w="869" w:type="dxa"/>
            <w:tcBorders>
              <w:tl2br w:val="nil"/>
              <w:tr2bl w:val="nil"/>
            </w:tcBorders>
            <w:vAlign w:val="center"/>
          </w:tcPr>
          <w:p w14:paraId="35AC6CD5">
            <w:pPr>
              <w:ind w:left="-105" w:right="-105"/>
              <w:jc w:val="center"/>
              <w:rPr>
                <w:rFonts w:ascii="Times New Roman" w:hAnsi="Times New Roman" w:cs="Times New Roman"/>
                <w:b/>
                <w:bCs/>
                <w:color w:val="auto"/>
                <w:sz w:val="18"/>
                <w:szCs w:val="18"/>
                <w:highlight w:val="none"/>
              </w:rPr>
            </w:pPr>
            <w:r>
              <w:rPr>
                <w:rFonts w:hint="eastAsia" w:ascii="Times New Roman" w:hAnsi="Times New Roman" w:cs="Times New Roman"/>
                <w:b/>
                <w:bCs/>
                <w:color w:val="auto"/>
                <w:sz w:val="18"/>
                <w:szCs w:val="18"/>
                <w:highlight w:val="none"/>
              </w:rPr>
              <w:t>合格</w:t>
            </w:r>
          </w:p>
        </w:tc>
        <w:tc>
          <w:tcPr>
            <w:tcW w:w="864" w:type="dxa"/>
            <w:tcBorders>
              <w:tl2br w:val="nil"/>
              <w:tr2bl w:val="nil"/>
            </w:tcBorders>
            <w:vAlign w:val="center"/>
          </w:tcPr>
          <w:p w14:paraId="588B76C3">
            <w:pPr>
              <w:ind w:left="-105" w:right="-105"/>
              <w:jc w:val="center"/>
              <w:rPr>
                <w:rFonts w:ascii="Times New Roman" w:hAnsi="Times New Roman" w:cs="Times New Roman"/>
                <w:b/>
                <w:bCs/>
                <w:color w:val="auto"/>
                <w:sz w:val="18"/>
                <w:szCs w:val="18"/>
                <w:highlight w:val="none"/>
              </w:rPr>
            </w:pPr>
            <w:r>
              <w:rPr>
                <w:rFonts w:hint="eastAsia" w:ascii="Times New Roman" w:hAnsi="Times New Roman" w:cs="Times New Roman"/>
                <w:b/>
                <w:bCs/>
                <w:color w:val="auto"/>
                <w:sz w:val="18"/>
                <w:szCs w:val="18"/>
                <w:highlight w:val="none"/>
              </w:rPr>
              <w:t>合格</w:t>
            </w:r>
          </w:p>
        </w:tc>
        <w:tc>
          <w:tcPr>
            <w:tcW w:w="864" w:type="dxa"/>
            <w:tcBorders>
              <w:tl2br w:val="nil"/>
              <w:tr2bl w:val="nil"/>
            </w:tcBorders>
            <w:vAlign w:val="center"/>
          </w:tcPr>
          <w:p w14:paraId="02390883">
            <w:pPr>
              <w:ind w:left="-105" w:right="-105"/>
              <w:jc w:val="center"/>
              <w:rPr>
                <w:rFonts w:ascii="Times New Roman" w:hAnsi="Times New Roman" w:cs="Times New Roman"/>
                <w:b/>
                <w:bCs/>
                <w:color w:val="auto"/>
                <w:sz w:val="18"/>
                <w:szCs w:val="18"/>
                <w:highlight w:val="none"/>
              </w:rPr>
            </w:pPr>
            <w:r>
              <w:rPr>
                <w:rFonts w:hint="eastAsia" w:ascii="Times New Roman" w:hAnsi="Times New Roman" w:cs="Times New Roman"/>
                <w:b/>
                <w:bCs/>
                <w:color w:val="auto"/>
                <w:sz w:val="18"/>
                <w:szCs w:val="18"/>
                <w:highlight w:val="none"/>
              </w:rPr>
              <w:t>合格</w:t>
            </w:r>
          </w:p>
        </w:tc>
      </w:tr>
    </w:tbl>
    <w:p w14:paraId="3E954647">
      <w:pPr>
        <w:spacing w:line="360" w:lineRule="auto"/>
        <w:ind w:left="-105" w:right="-105" w:firstLine="480" w:firstLineChars="200"/>
        <w:rPr>
          <w:rFonts w:ascii="Times New Roman" w:hAnsi="Times New Roman"/>
          <w:color w:val="auto"/>
          <w:szCs w:val="22"/>
          <w:highlight w:val="none"/>
        </w:rPr>
      </w:pPr>
      <w:r>
        <w:rPr>
          <w:rFonts w:hint="eastAsia" w:ascii="Times New Roman" w:hAnsi="Times New Roman"/>
          <w:color w:val="auto"/>
          <w:szCs w:val="22"/>
          <w:highlight w:val="none"/>
        </w:rPr>
        <w:t>以上监测结果表明：验收监测期间，污水接管口的废水中各因子排放浓度符合《合成树脂工业污染物排放标准》（GB31572-2015）表2中的“直接排放”标准限值。</w:t>
      </w:r>
    </w:p>
    <w:p w14:paraId="7CE2F799">
      <w:pPr>
        <w:pStyle w:val="6"/>
        <w:keepLines w:val="0"/>
        <w:widowControl/>
        <w:numPr>
          <w:ilvl w:val="3"/>
          <w:numId w:val="6"/>
        </w:numPr>
        <w:spacing w:before="120" w:beforeLines="50" w:after="120" w:afterLines="50" w:line="360" w:lineRule="auto"/>
        <w:ind w:left="-105" w:right="-105"/>
        <w:rPr>
          <w:rFonts w:ascii="Times New Roman" w:hAnsi="Times New Roman"/>
          <w:color w:val="auto"/>
          <w:sz w:val="24"/>
          <w:szCs w:val="24"/>
          <w:highlight w:val="none"/>
        </w:rPr>
      </w:pPr>
      <w:r>
        <w:rPr>
          <w:rFonts w:hint="eastAsia" w:ascii="Times New Roman" w:hAnsi="Times New Roman"/>
          <w:color w:val="auto"/>
          <w:sz w:val="24"/>
          <w:szCs w:val="24"/>
          <w:highlight w:val="none"/>
        </w:rPr>
        <w:t>固体废物</w:t>
      </w:r>
    </w:p>
    <w:p w14:paraId="7EC72A70">
      <w:pPr>
        <w:spacing w:line="360" w:lineRule="auto"/>
        <w:ind w:left="-105" w:right="-105" w:firstLine="480" w:firstLineChars="200"/>
        <w:rPr>
          <w:rFonts w:ascii="Times New Roman" w:hAnsi="Times New Roman"/>
          <w:color w:val="auto"/>
          <w:szCs w:val="22"/>
          <w:highlight w:val="none"/>
        </w:rPr>
      </w:pPr>
      <w:r>
        <w:rPr>
          <w:rFonts w:ascii="Times New Roman" w:hAnsi="Times New Roman"/>
          <w:color w:val="auto"/>
          <w:szCs w:val="22"/>
          <w:highlight w:val="none"/>
        </w:rPr>
        <w:t>现有项目的一般固废均妥善处置，危险废物委托</w:t>
      </w:r>
      <w:r>
        <w:rPr>
          <w:rFonts w:hint="eastAsia" w:ascii="Times New Roman" w:hAnsi="Times New Roman"/>
          <w:color w:val="auto"/>
          <w:szCs w:val="22"/>
          <w:highlight w:val="none"/>
        </w:rPr>
        <w:t>资质单位</w:t>
      </w:r>
      <w:r>
        <w:rPr>
          <w:rFonts w:ascii="Times New Roman" w:hAnsi="Times New Roman"/>
          <w:color w:val="auto"/>
          <w:szCs w:val="22"/>
          <w:highlight w:val="none"/>
        </w:rPr>
        <w:t>处置，</w:t>
      </w:r>
      <w:r>
        <w:rPr>
          <w:rFonts w:hint="eastAsia" w:ascii="Times New Roman" w:hAnsi="Times New Roman"/>
          <w:color w:val="auto"/>
          <w:szCs w:val="22"/>
          <w:highlight w:val="none"/>
        </w:rPr>
        <w:t>现有项目固体废物产生及处置情况见下表：</w:t>
      </w:r>
    </w:p>
    <w:p w14:paraId="6AA35627">
      <w:pPr>
        <w:pStyle w:val="15"/>
        <w:spacing w:line="360" w:lineRule="auto"/>
        <w:ind w:left="-105" w:right="-105" w:firstLine="482"/>
        <w:rPr>
          <w:rFonts w:eastAsia="宋体" w:cs="Times New Roman"/>
          <w:bCs/>
          <w:color w:val="auto"/>
          <w:sz w:val="24"/>
          <w:szCs w:val="18"/>
          <w:highlight w:val="none"/>
        </w:rPr>
      </w:pPr>
      <w:r>
        <w:rPr>
          <w:rFonts w:eastAsia="宋体" w:cs="Times New Roman"/>
          <w:bCs/>
          <w:color w:val="auto"/>
          <w:sz w:val="24"/>
          <w:szCs w:val="18"/>
          <w:highlight w:val="none"/>
        </w:rPr>
        <w:t>表</w:t>
      </w:r>
      <w:r>
        <w:rPr>
          <w:rFonts w:eastAsia="宋体" w:cs="Times New Roman"/>
          <w:bCs/>
          <w:color w:val="auto"/>
          <w:sz w:val="24"/>
          <w:szCs w:val="18"/>
          <w:highlight w:val="none"/>
        </w:rPr>
        <w:fldChar w:fldCharType="begin"/>
      </w:r>
      <w:r>
        <w:rPr>
          <w:rFonts w:eastAsia="宋体" w:cs="Times New Roman"/>
          <w:bCs/>
          <w:color w:val="auto"/>
          <w:sz w:val="24"/>
          <w:szCs w:val="18"/>
          <w:highlight w:val="none"/>
        </w:rPr>
        <w:instrText xml:space="preserve"> STYLEREF 2 \s </w:instrText>
      </w:r>
      <w:r>
        <w:rPr>
          <w:rFonts w:eastAsia="宋体" w:cs="Times New Roman"/>
          <w:bCs/>
          <w:color w:val="auto"/>
          <w:sz w:val="24"/>
          <w:szCs w:val="18"/>
          <w:highlight w:val="none"/>
        </w:rPr>
        <w:fldChar w:fldCharType="separate"/>
      </w:r>
      <w:r>
        <w:rPr>
          <w:rFonts w:eastAsia="宋体" w:cs="Times New Roman"/>
          <w:bCs/>
          <w:color w:val="auto"/>
          <w:sz w:val="24"/>
          <w:szCs w:val="18"/>
          <w:highlight w:val="none"/>
        </w:rPr>
        <w:t>3.3</w:t>
      </w:r>
      <w:r>
        <w:rPr>
          <w:rFonts w:eastAsia="宋体" w:cs="Times New Roman"/>
          <w:bCs/>
          <w:color w:val="auto"/>
          <w:sz w:val="24"/>
          <w:szCs w:val="18"/>
          <w:highlight w:val="none"/>
        </w:rPr>
        <w:fldChar w:fldCharType="end"/>
      </w:r>
      <w:r>
        <w:rPr>
          <w:rFonts w:hint="eastAsia" w:eastAsia="宋体" w:cs="Times New Roman"/>
          <w:bCs/>
          <w:color w:val="auto"/>
          <w:sz w:val="24"/>
          <w:szCs w:val="18"/>
          <w:highlight w:val="none"/>
        </w:rPr>
        <w:t>-</w:t>
      </w:r>
      <w:r>
        <w:rPr>
          <w:rFonts w:eastAsia="宋体" w:cs="Times New Roman"/>
          <w:bCs/>
          <w:color w:val="auto"/>
          <w:sz w:val="24"/>
          <w:szCs w:val="18"/>
          <w:highlight w:val="none"/>
        </w:rPr>
        <w:fldChar w:fldCharType="begin"/>
      </w:r>
      <w:r>
        <w:rPr>
          <w:rFonts w:eastAsia="宋体" w:cs="Times New Roman"/>
          <w:bCs/>
          <w:color w:val="auto"/>
          <w:sz w:val="24"/>
          <w:szCs w:val="18"/>
          <w:highlight w:val="none"/>
        </w:rPr>
        <w:instrText xml:space="preserve"> SEQ 表 \* ARABIC \s 2 </w:instrText>
      </w:r>
      <w:r>
        <w:rPr>
          <w:rFonts w:eastAsia="宋体" w:cs="Times New Roman"/>
          <w:bCs/>
          <w:color w:val="auto"/>
          <w:sz w:val="24"/>
          <w:szCs w:val="18"/>
          <w:highlight w:val="none"/>
        </w:rPr>
        <w:fldChar w:fldCharType="separate"/>
      </w:r>
      <w:r>
        <w:rPr>
          <w:rFonts w:eastAsia="宋体" w:cs="Times New Roman"/>
          <w:bCs/>
          <w:color w:val="auto"/>
          <w:sz w:val="24"/>
          <w:szCs w:val="18"/>
          <w:highlight w:val="none"/>
        </w:rPr>
        <w:t>10</w:t>
      </w:r>
      <w:r>
        <w:rPr>
          <w:rFonts w:eastAsia="宋体" w:cs="Times New Roman"/>
          <w:bCs/>
          <w:color w:val="auto"/>
          <w:sz w:val="24"/>
          <w:szCs w:val="18"/>
          <w:highlight w:val="none"/>
        </w:rPr>
        <w:fldChar w:fldCharType="end"/>
      </w:r>
      <w:r>
        <w:rPr>
          <w:rFonts w:hint="eastAsia" w:eastAsia="宋体" w:cs="Times New Roman"/>
          <w:bCs/>
          <w:color w:val="auto"/>
          <w:sz w:val="24"/>
          <w:szCs w:val="18"/>
          <w:highlight w:val="none"/>
        </w:rPr>
        <w:t>现有项目固体废物产生及处置情况表</w:t>
      </w:r>
    </w:p>
    <w:tbl>
      <w:tblPr>
        <w:tblStyle w:val="45"/>
        <w:tblW w:w="5000" w:type="pct"/>
        <w:tblInd w:w="0" w:type="dxa"/>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
      <w:tblGrid>
        <w:gridCol w:w="449"/>
        <w:gridCol w:w="1280"/>
        <w:gridCol w:w="1318"/>
        <w:gridCol w:w="811"/>
        <w:gridCol w:w="1318"/>
        <w:gridCol w:w="871"/>
        <w:gridCol w:w="886"/>
        <w:gridCol w:w="1094"/>
        <w:gridCol w:w="694"/>
      </w:tblGrid>
      <w:tr w14:paraId="5A071EC3">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40" w:hRule="atLeast"/>
        </w:trPr>
        <w:tc>
          <w:tcPr>
            <w:tcW w:w="446" w:type="dxa"/>
            <w:vMerge w:val="restart"/>
            <w:shd w:val="clear" w:color="auto" w:fill="auto"/>
            <w:vAlign w:val="center"/>
          </w:tcPr>
          <w:p w14:paraId="0A4AF876">
            <w:pPr>
              <w:ind w:left="-105" w:right="-105"/>
              <w:jc w:val="center"/>
              <w:rPr>
                <w:rFonts w:ascii="Times New Roman" w:hAnsi="Times New Roman" w:cs="Times New Roman"/>
                <w:b/>
                <w:bCs/>
                <w:color w:val="auto"/>
                <w:sz w:val="21"/>
                <w:szCs w:val="18"/>
                <w:highlight w:val="none"/>
              </w:rPr>
            </w:pPr>
            <w:r>
              <w:rPr>
                <w:rFonts w:ascii="Times New Roman" w:hAnsi="Times New Roman" w:cs="Times New Roman"/>
                <w:b/>
                <w:bCs/>
                <w:color w:val="auto"/>
                <w:sz w:val="21"/>
                <w:szCs w:val="18"/>
                <w:highlight w:val="none"/>
              </w:rPr>
              <w:t>序号</w:t>
            </w:r>
          </w:p>
        </w:tc>
        <w:tc>
          <w:tcPr>
            <w:tcW w:w="1282" w:type="dxa"/>
            <w:vMerge w:val="restart"/>
            <w:shd w:val="clear" w:color="auto" w:fill="auto"/>
            <w:vAlign w:val="center"/>
          </w:tcPr>
          <w:p w14:paraId="56D46E22">
            <w:pPr>
              <w:ind w:left="-105" w:right="-105"/>
              <w:jc w:val="center"/>
              <w:rPr>
                <w:rFonts w:ascii="Times New Roman" w:hAnsi="Times New Roman" w:cs="Times New Roman"/>
                <w:b/>
                <w:bCs/>
                <w:color w:val="auto"/>
                <w:sz w:val="21"/>
                <w:szCs w:val="18"/>
                <w:highlight w:val="none"/>
              </w:rPr>
            </w:pPr>
            <w:r>
              <w:rPr>
                <w:rFonts w:ascii="Times New Roman" w:hAnsi="Times New Roman" w:cs="Times New Roman"/>
                <w:b/>
                <w:bCs/>
                <w:color w:val="auto"/>
                <w:sz w:val="21"/>
                <w:szCs w:val="18"/>
                <w:highlight w:val="none"/>
              </w:rPr>
              <w:t>名称</w:t>
            </w:r>
          </w:p>
        </w:tc>
        <w:tc>
          <w:tcPr>
            <w:tcW w:w="1320" w:type="dxa"/>
            <w:vMerge w:val="restart"/>
            <w:shd w:val="clear" w:color="auto" w:fill="auto"/>
            <w:vAlign w:val="center"/>
          </w:tcPr>
          <w:p w14:paraId="79AB3D4E">
            <w:pPr>
              <w:ind w:left="-105" w:right="-105"/>
              <w:jc w:val="center"/>
              <w:rPr>
                <w:rFonts w:ascii="Times New Roman" w:hAnsi="Times New Roman" w:cs="Times New Roman"/>
                <w:b/>
                <w:bCs/>
                <w:color w:val="auto"/>
                <w:sz w:val="21"/>
                <w:szCs w:val="18"/>
                <w:highlight w:val="none"/>
              </w:rPr>
            </w:pPr>
            <w:r>
              <w:rPr>
                <w:rFonts w:hint="eastAsia" w:ascii="Times New Roman" w:hAnsi="Times New Roman" w:cs="Times New Roman"/>
                <w:b/>
                <w:bCs/>
                <w:color w:val="auto"/>
                <w:sz w:val="21"/>
                <w:szCs w:val="18"/>
                <w:highlight w:val="none"/>
              </w:rPr>
              <w:t>产生工序</w:t>
            </w:r>
          </w:p>
        </w:tc>
        <w:tc>
          <w:tcPr>
            <w:tcW w:w="810" w:type="dxa"/>
            <w:vMerge w:val="restart"/>
            <w:shd w:val="clear" w:color="auto" w:fill="auto"/>
            <w:vAlign w:val="center"/>
          </w:tcPr>
          <w:p w14:paraId="3EEBDE05">
            <w:pPr>
              <w:ind w:left="-105" w:right="-105"/>
              <w:jc w:val="center"/>
              <w:rPr>
                <w:rFonts w:ascii="Times New Roman" w:hAnsi="Times New Roman" w:cs="Times New Roman"/>
                <w:b/>
                <w:bCs/>
                <w:color w:val="auto"/>
                <w:sz w:val="21"/>
                <w:szCs w:val="18"/>
                <w:highlight w:val="none"/>
              </w:rPr>
            </w:pPr>
            <w:r>
              <w:rPr>
                <w:rFonts w:ascii="Times New Roman" w:hAnsi="Times New Roman" w:cs="Times New Roman"/>
                <w:b/>
                <w:bCs/>
                <w:color w:val="auto"/>
                <w:sz w:val="21"/>
                <w:szCs w:val="18"/>
                <w:highlight w:val="none"/>
              </w:rPr>
              <w:t>废物代码</w:t>
            </w:r>
          </w:p>
        </w:tc>
        <w:tc>
          <w:tcPr>
            <w:tcW w:w="1320" w:type="dxa"/>
            <w:vMerge w:val="restart"/>
            <w:shd w:val="clear" w:color="auto" w:fill="auto"/>
            <w:vAlign w:val="center"/>
          </w:tcPr>
          <w:p w14:paraId="55E4F0B6">
            <w:pPr>
              <w:ind w:left="-105" w:right="-105"/>
              <w:jc w:val="center"/>
              <w:rPr>
                <w:rFonts w:ascii="Times New Roman" w:hAnsi="Times New Roman" w:cs="Times New Roman"/>
                <w:b/>
                <w:bCs/>
                <w:color w:val="auto"/>
                <w:sz w:val="21"/>
                <w:szCs w:val="18"/>
                <w:highlight w:val="none"/>
              </w:rPr>
            </w:pPr>
            <w:r>
              <w:rPr>
                <w:rFonts w:hint="eastAsia" w:ascii="Times New Roman" w:hAnsi="Times New Roman" w:cs="Times New Roman"/>
                <w:b/>
                <w:bCs/>
                <w:color w:val="auto"/>
                <w:sz w:val="21"/>
                <w:szCs w:val="18"/>
                <w:highlight w:val="none"/>
              </w:rPr>
              <w:t>废物类别</w:t>
            </w:r>
          </w:p>
        </w:tc>
        <w:tc>
          <w:tcPr>
            <w:tcW w:w="1755" w:type="dxa"/>
            <w:gridSpan w:val="2"/>
            <w:tcBorders>
              <w:right w:val="single" w:color="auto" w:sz="4" w:space="0"/>
            </w:tcBorders>
            <w:shd w:val="clear" w:color="auto" w:fill="auto"/>
            <w:vAlign w:val="center"/>
          </w:tcPr>
          <w:p w14:paraId="17A6F4A6">
            <w:pPr>
              <w:ind w:left="-105" w:right="-105"/>
              <w:jc w:val="center"/>
              <w:rPr>
                <w:rFonts w:ascii="Times New Roman" w:hAnsi="Times New Roman" w:cs="Times New Roman"/>
                <w:b/>
                <w:bCs/>
                <w:color w:val="auto"/>
                <w:sz w:val="21"/>
                <w:szCs w:val="18"/>
                <w:highlight w:val="none"/>
              </w:rPr>
            </w:pPr>
            <w:r>
              <w:rPr>
                <w:rFonts w:ascii="Times New Roman" w:hAnsi="Times New Roman" w:cs="Times New Roman"/>
                <w:b/>
                <w:bCs/>
                <w:color w:val="auto"/>
                <w:sz w:val="21"/>
                <w:szCs w:val="18"/>
                <w:highlight w:val="none"/>
              </w:rPr>
              <w:t>产生量t/a</w:t>
            </w:r>
          </w:p>
        </w:tc>
        <w:tc>
          <w:tcPr>
            <w:tcW w:w="1095" w:type="dxa"/>
            <w:vMerge w:val="restart"/>
            <w:shd w:val="clear" w:color="auto" w:fill="auto"/>
            <w:vAlign w:val="center"/>
          </w:tcPr>
          <w:p w14:paraId="1B7E2C67">
            <w:pPr>
              <w:ind w:left="-105" w:right="-105"/>
              <w:jc w:val="center"/>
              <w:rPr>
                <w:rFonts w:ascii="Times New Roman" w:hAnsi="Times New Roman" w:cs="Times New Roman"/>
                <w:b/>
                <w:bCs/>
                <w:color w:val="auto"/>
                <w:sz w:val="21"/>
                <w:szCs w:val="18"/>
                <w:highlight w:val="none"/>
              </w:rPr>
            </w:pPr>
            <w:r>
              <w:rPr>
                <w:rFonts w:ascii="Times New Roman" w:hAnsi="Times New Roman" w:cs="Times New Roman"/>
                <w:b/>
                <w:bCs/>
                <w:color w:val="auto"/>
                <w:sz w:val="21"/>
                <w:szCs w:val="18"/>
                <w:highlight w:val="none"/>
              </w:rPr>
              <w:t>处理处置方式</w:t>
            </w:r>
          </w:p>
        </w:tc>
        <w:tc>
          <w:tcPr>
            <w:tcW w:w="692" w:type="dxa"/>
            <w:vMerge w:val="restart"/>
            <w:shd w:val="clear" w:color="auto" w:fill="auto"/>
            <w:vAlign w:val="center"/>
          </w:tcPr>
          <w:p w14:paraId="24B8A550">
            <w:pPr>
              <w:ind w:left="-105" w:right="-105"/>
              <w:jc w:val="center"/>
              <w:rPr>
                <w:rFonts w:ascii="Times New Roman" w:hAnsi="Times New Roman" w:cs="Times New Roman"/>
                <w:b/>
                <w:bCs/>
                <w:color w:val="auto"/>
                <w:sz w:val="21"/>
                <w:szCs w:val="18"/>
                <w:highlight w:val="none"/>
              </w:rPr>
            </w:pPr>
            <w:r>
              <w:rPr>
                <w:rFonts w:ascii="Times New Roman" w:hAnsi="Times New Roman" w:cs="Times New Roman"/>
                <w:b/>
                <w:bCs/>
                <w:color w:val="auto"/>
                <w:sz w:val="21"/>
                <w:szCs w:val="18"/>
                <w:highlight w:val="none"/>
              </w:rPr>
              <w:t>是否符合要求</w:t>
            </w:r>
          </w:p>
        </w:tc>
      </w:tr>
      <w:tr w14:paraId="0FC4E996">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40" w:hRule="atLeast"/>
        </w:trPr>
        <w:tc>
          <w:tcPr>
            <w:tcW w:w="446" w:type="dxa"/>
            <w:vMerge w:val="continue"/>
            <w:vAlign w:val="center"/>
          </w:tcPr>
          <w:p w14:paraId="573FC239">
            <w:pPr>
              <w:ind w:left="-105" w:right="-105"/>
              <w:rPr>
                <w:rFonts w:ascii="Times New Roman" w:hAnsi="Times New Roman" w:cs="Times New Roman"/>
                <w:b/>
                <w:bCs/>
                <w:color w:val="auto"/>
                <w:sz w:val="21"/>
                <w:szCs w:val="18"/>
                <w:highlight w:val="none"/>
              </w:rPr>
            </w:pPr>
          </w:p>
        </w:tc>
        <w:tc>
          <w:tcPr>
            <w:tcW w:w="1282" w:type="dxa"/>
            <w:vMerge w:val="continue"/>
            <w:vAlign w:val="center"/>
          </w:tcPr>
          <w:p w14:paraId="6B1ADC8E">
            <w:pPr>
              <w:ind w:left="-105" w:right="-105"/>
              <w:rPr>
                <w:rFonts w:ascii="Times New Roman" w:hAnsi="Times New Roman" w:cs="Times New Roman"/>
                <w:b/>
                <w:bCs/>
                <w:color w:val="auto"/>
                <w:sz w:val="21"/>
                <w:szCs w:val="18"/>
                <w:highlight w:val="none"/>
              </w:rPr>
            </w:pPr>
          </w:p>
        </w:tc>
        <w:tc>
          <w:tcPr>
            <w:tcW w:w="1320" w:type="dxa"/>
            <w:vMerge w:val="continue"/>
            <w:vAlign w:val="center"/>
          </w:tcPr>
          <w:p w14:paraId="0ABFD23F">
            <w:pPr>
              <w:ind w:left="-105" w:right="-105"/>
              <w:rPr>
                <w:rFonts w:ascii="Times New Roman" w:hAnsi="Times New Roman" w:cs="Times New Roman"/>
                <w:b/>
                <w:bCs/>
                <w:color w:val="auto"/>
                <w:sz w:val="21"/>
                <w:szCs w:val="18"/>
                <w:highlight w:val="none"/>
              </w:rPr>
            </w:pPr>
          </w:p>
        </w:tc>
        <w:tc>
          <w:tcPr>
            <w:tcW w:w="810" w:type="dxa"/>
            <w:vMerge w:val="continue"/>
            <w:vAlign w:val="center"/>
          </w:tcPr>
          <w:p w14:paraId="4605C706">
            <w:pPr>
              <w:ind w:left="-105" w:right="-105"/>
              <w:rPr>
                <w:rFonts w:ascii="Times New Roman" w:hAnsi="Times New Roman" w:cs="Times New Roman"/>
                <w:b/>
                <w:bCs/>
                <w:color w:val="auto"/>
                <w:sz w:val="21"/>
                <w:szCs w:val="18"/>
                <w:highlight w:val="none"/>
              </w:rPr>
            </w:pPr>
          </w:p>
        </w:tc>
        <w:tc>
          <w:tcPr>
            <w:tcW w:w="1320" w:type="dxa"/>
            <w:vMerge w:val="continue"/>
            <w:vAlign w:val="center"/>
          </w:tcPr>
          <w:p w14:paraId="46967891">
            <w:pPr>
              <w:ind w:left="-105" w:right="-105"/>
              <w:rPr>
                <w:rFonts w:ascii="Times New Roman" w:hAnsi="Times New Roman" w:cs="Times New Roman"/>
                <w:b/>
                <w:bCs/>
                <w:color w:val="auto"/>
                <w:sz w:val="21"/>
                <w:szCs w:val="18"/>
                <w:highlight w:val="none"/>
              </w:rPr>
            </w:pPr>
          </w:p>
        </w:tc>
        <w:tc>
          <w:tcPr>
            <w:tcW w:w="870" w:type="dxa"/>
            <w:shd w:val="clear" w:color="auto" w:fill="auto"/>
            <w:vAlign w:val="center"/>
          </w:tcPr>
          <w:p w14:paraId="4B7E1B81">
            <w:pPr>
              <w:ind w:left="-105" w:right="-105"/>
              <w:jc w:val="center"/>
              <w:rPr>
                <w:rFonts w:ascii="Times New Roman" w:hAnsi="Times New Roman" w:cs="Times New Roman"/>
                <w:b/>
                <w:bCs/>
                <w:color w:val="auto"/>
                <w:sz w:val="21"/>
                <w:szCs w:val="18"/>
                <w:highlight w:val="none"/>
              </w:rPr>
            </w:pPr>
            <w:r>
              <w:rPr>
                <w:rFonts w:hint="eastAsia" w:ascii="Times New Roman" w:hAnsi="Times New Roman" w:cs="Times New Roman"/>
                <w:b/>
                <w:bCs/>
                <w:color w:val="auto"/>
                <w:sz w:val="21"/>
                <w:szCs w:val="18"/>
                <w:highlight w:val="none"/>
              </w:rPr>
              <w:t>环评量</w:t>
            </w:r>
          </w:p>
        </w:tc>
        <w:tc>
          <w:tcPr>
            <w:tcW w:w="885" w:type="dxa"/>
            <w:tcBorders>
              <w:right w:val="single" w:color="auto" w:sz="4" w:space="0"/>
            </w:tcBorders>
            <w:shd w:val="clear" w:color="auto" w:fill="auto"/>
            <w:vAlign w:val="center"/>
          </w:tcPr>
          <w:p w14:paraId="60B28B43">
            <w:pPr>
              <w:ind w:left="-105" w:right="-105"/>
              <w:jc w:val="center"/>
              <w:rPr>
                <w:rFonts w:ascii="Times New Roman" w:hAnsi="Times New Roman" w:cs="Times New Roman"/>
                <w:b/>
                <w:bCs/>
                <w:color w:val="auto"/>
                <w:sz w:val="21"/>
                <w:szCs w:val="18"/>
                <w:highlight w:val="none"/>
              </w:rPr>
            </w:pPr>
            <w:r>
              <w:rPr>
                <w:rFonts w:hint="eastAsia" w:ascii="Times New Roman" w:hAnsi="Times New Roman" w:cs="Times New Roman"/>
                <w:b/>
                <w:bCs/>
                <w:color w:val="auto"/>
                <w:sz w:val="21"/>
                <w:szCs w:val="18"/>
                <w:highlight w:val="none"/>
              </w:rPr>
              <w:t>变动量</w:t>
            </w:r>
          </w:p>
        </w:tc>
        <w:tc>
          <w:tcPr>
            <w:tcW w:w="1095" w:type="dxa"/>
            <w:vMerge w:val="continue"/>
            <w:vAlign w:val="center"/>
          </w:tcPr>
          <w:p w14:paraId="6ED6A499">
            <w:pPr>
              <w:ind w:left="-105" w:right="-105"/>
              <w:rPr>
                <w:rFonts w:ascii="Times New Roman" w:hAnsi="Times New Roman" w:cs="Times New Roman"/>
                <w:b/>
                <w:bCs/>
                <w:color w:val="auto"/>
                <w:sz w:val="21"/>
                <w:szCs w:val="18"/>
                <w:highlight w:val="none"/>
              </w:rPr>
            </w:pPr>
          </w:p>
        </w:tc>
        <w:tc>
          <w:tcPr>
            <w:tcW w:w="692" w:type="dxa"/>
            <w:vMerge w:val="continue"/>
            <w:vAlign w:val="center"/>
          </w:tcPr>
          <w:p w14:paraId="68799960">
            <w:pPr>
              <w:ind w:left="-105" w:right="-105"/>
              <w:rPr>
                <w:rFonts w:ascii="Times New Roman" w:hAnsi="Times New Roman" w:cs="Times New Roman"/>
                <w:b/>
                <w:bCs/>
                <w:color w:val="auto"/>
                <w:sz w:val="21"/>
                <w:szCs w:val="18"/>
                <w:highlight w:val="none"/>
              </w:rPr>
            </w:pPr>
          </w:p>
        </w:tc>
      </w:tr>
      <w:tr w14:paraId="74A88BD6">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40" w:hRule="atLeast"/>
        </w:trPr>
        <w:tc>
          <w:tcPr>
            <w:tcW w:w="446" w:type="dxa"/>
            <w:shd w:val="clear" w:color="auto" w:fill="auto"/>
            <w:vAlign w:val="center"/>
          </w:tcPr>
          <w:p w14:paraId="00BB8C9E">
            <w:pPr>
              <w:ind w:left="-105" w:right="-105"/>
              <w:jc w:val="center"/>
              <w:rPr>
                <w:rFonts w:ascii="Times New Roman" w:hAnsi="Times New Roman" w:eastAsia="等线" w:cs="Times New Roman"/>
                <w:color w:val="auto"/>
                <w:sz w:val="21"/>
                <w:szCs w:val="18"/>
                <w:highlight w:val="none"/>
              </w:rPr>
            </w:pPr>
            <w:r>
              <w:rPr>
                <w:rFonts w:ascii="Times New Roman" w:hAnsi="Times New Roman" w:eastAsia="等线" w:cs="Times New Roman"/>
                <w:color w:val="auto"/>
                <w:sz w:val="21"/>
                <w:szCs w:val="18"/>
                <w:highlight w:val="none"/>
              </w:rPr>
              <w:t>1</w:t>
            </w:r>
          </w:p>
        </w:tc>
        <w:tc>
          <w:tcPr>
            <w:tcW w:w="1282" w:type="dxa"/>
            <w:shd w:val="clear" w:color="auto" w:fill="auto"/>
            <w:vAlign w:val="center"/>
          </w:tcPr>
          <w:p w14:paraId="18EE01E3">
            <w:pPr>
              <w:ind w:left="-105" w:right="-105"/>
              <w:jc w:val="center"/>
              <w:rPr>
                <w:rFonts w:ascii="Times New Roman" w:hAnsi="Times New Roman" w:cs="Times New Roman"/>
                <w:color w:val="auto"/>
                <w:sz w:val="21"/>
                <w:szCs w:val="18"/>
                <w:highlight w:val="none"/>
              </w:rPr>
            </w:pPr>
            <w:r>
              <w:rPr>
                <w:rFonts w:hint="eastAsia" w:ascii="Times New Roman" w:hAnsi="Times New Roman" w:cs="Times New Roman"/>
                <w:color w:val="auto"/>
                <w:sz w:val="21"/>
                <w:szCs w:val="18"/>
                <w:highlight w:val="none"/>
              </w:rPr>
              <w:t>过滤残渣、浸润废料</w:t>
            </w:r>
          </w:p>
        </w:tc>
        <w:tc>
          <w:tcPr>
            <w:tcW w:w="1320" w:type="dxa"/>
            <w:vMerge w:val="restart"/>
            <w:shd w:val="clear" w:color="auto" w:fill="auto"/>
            <w:vAlign w:val="center"/>
          </w:tcPr>
          <w:p w14:paraId="101A1DA3">
            <w:pPr>
              <w:ind w:left="-105" w:right="-105"/>
              <w:jc w:val="center"/>
              <w:rPr>
                <w:color w:val="auto"/>
                <w:sz w:val="21"/>
                <w:szCs w:val="18"/>
                <w:highlight w:val="none"/>
              </w:rPr>
            </w:pPr>
            <w:r>
              <w:rPr>
                <w:rFonts w:hint="eastAsia"/>
                <w:color w:val="auto"/>
                <w:sz w:val="21"/>
                <w:szCs w:val="18"/>
                <w:highlight w:val="none"/>
              </w:rPr>
              <w:t>过滤收罐</w:t>
            </w:r>
          </w:p>
        </w:tc>
        <w:tc>
          <w:tcPr>
            <w:tcW w:w="810" w:type="dxa"/>
            <w:shd w:val="clear" w:color="auto" w:fill="auto"/>
            <w:vAlign w:val="center"/>
          </w:tcPr>
          <w:p w14:paraId="06BC0D46">
            <w:pPr>
              <w:ind w:left="-105" w:right="-105"/>
              <w:jc w:val="center"/>
              <w:rPr>
                <w:rFonts w:ascii="Times New Roman" w:hAnsi="Times New Roman" w:eastAsia="等线" w:cs="Times New Roman"/>
                <w:color w:val="auto"/>
                <w:sz w:val="21"/>
                <w:szCs w:val="18"/>
                <w:highlight w:val="none"/>
              </w:rPr>
            </w:pPr>
            <w:r>
              <w:rPr>
                <w:rFonts w:hint="eastAsia" w:ascii="Times New Roman" w:hAnsi="Times New Roman" w:eastAsia="等线" w:cs="Times New Roman"/>
                <w:color w:val="auto"/>
                <w:sz w:val="21"/>
                <w:szCs w:val="18"/>
                <w:highlight w:val="none"/>
              </w:rPr>
              <w:t>HW13</w:t>
            </w:r>
          </w:p>
        </w:tc>
        <w:tc>
          <w:tcPr>
            <w:tcW w:w="1320" w:type="dxa"/>
            <w:shd w:val="clear" w:color="auto" w:fill="auto"/>
            <w:vAlign w:val="center"/>
          </w:tcPr>
          <w:p w14:paraId="306ECFDE">
            <w:pPr>
              <w:ind w:left="-105" w:right="-105"/>
              <w:jc w:val="center"/>
              <w:rPr>
                <w:rFonts w:ascii="Times New Roman" w:hAnsi="Times New Roman" w:eastAsia="等线" w:cs="Times New Roman"/>
                <w:color w:val="auto"/>
                <w:sz w:val="21"/>
                <w:szCs w:val="18"/>
                <w:highlight w:val="none"/>
              </w:rPr>
            </w:pPr>
            <w:r>
              <w:rPr>
                <w:rFonts w:hint="eastAsia" w:ascii="Times New Roman" w:hAnsi="Times New Roman" w:eastAsia="等线" w:cs="Times New Roman"/>
                <w:color w:val="auto"/>
                <w:sz w:val="21"/>
                <w:szCs w:val="18"/>
                <w:highlight w:val="none"/>
              </w:rPr>
              <w:t>265-103-13</w:t>
            </w:r>
          </w:p>
        </w:tc>
        <w:tc>
          <w:tcPr>
            <w:tcW w:w="870" w:type="dxa"/>
            <w:shd w:val="clear" w:color="auto" w:fill="auto"/>
            <w:vAlign w:val="center"/>
          </w:tcPr>
          <w:p w14:paraId="299EB6E0">
            <w:pPr>
              <w:ind w:left="-105" w:right="-105"/>
              <w:jc w:val="center"/>
              <w:rPr>
                <w:rFonts w:ascii="Times New Roman" w:hAnsi="Times New Roman" w:eastAsia="等线" w:cs="Times New Roman"/>
                <w:color w:val="auto"/>
                <w:sz w:val="21"/>
                <w:szCs w:val="18"/>
                <w:highlight w:val="none"/>
              </w:rPr>
            </w:pPr>
            <w:r>
              <w:rPr>
                <w:rFonts w:hint="eastAsia" w:ascii="Times New Roman" w:hAnsi="Times New Roman" w:eastAsia="等线" w:cs="Times New Roman"/>
                <w:color w:val="auto"/>
                <w:sz w:val="21"/>
                <w:szCs w:val="18"/>
                <w:highlight w:val="none"/>
              </w:rPr>
              <w:t>40</w:t>
            </w:r>
          </w:p>
        </w:tc>
        <w:tc>
          <w:tcPr>
            <w:tcW w:w="885" w:type="dxa"/>
            <w:tcBorders>
              <w:right w:val="single" w:color="auto" w:sz="4" w:space="0"/>
            </w:tcBorders>
            <w:shd w:val="clear" w:color="auto" w:fill="auto"/>
            <w:vAlign w:val="center"/>
          </w:tcPr>
          <w:p w14:paraId="6CB7B4F7">
            <w:pPr>
              <w:ind w:left="-105" w:right="-105"/>
              <w:jc w:val="center"/>
              <w:rPr>
                <w:rFonts w:ascii="Times New Roman" w:hAnsi="Times New Roman" w:eastAsia="等线" w:cs="Times New Roman"/>
                <w:color w:val="auto"/>
                <w:sz w:val="21"/>
                <w:szCs w:val="18"/>
                <w:highlight w:val="none"/>
              </w:rPr>
            </w:pPr>
            <w:r>
              <w:rPr>
                <w:rFonts w:hint="eastAsia" w:ascii="Times New Roman" w:hAnsi="Times New Roman" w:eastAsia="等线" w:cs="Times New Roman"/>
                <w:color w:val="auto"/>
                <w:sz w:val="21"/>
                <w:szCs w:val="18"/>
                <w:highlight w:val="none"/>
              </w:rPr>
              <w:t>40</w:t>
            </w:r>
          </w:p>
        </w:tc>
        <w:tc>
          <w:tcPr>
            <w:tcW w:w="1095" w:type="dxa"/>
            <w:vMerge w:val="restart"/>
            <w:shd w:val="clear" w:color="auto" w:fill="auto"/>
            <w:vAlign w:val="center"/>
          </w:tcPr>
          <w:p w14:paraId="6533739A">
            <w:pPr>
              <w:ind w:left="-105" w:right="-105"/>
              <w:jc w:val="center"/>
              <w:rPr>
                <w:rFonts w:ascii="Times New Roman" w:hAnsi="Times New Roman" w:cs="Times New Roman"/>
                <w:color w:val="auto"/>
                <w:sz w:val="21"/>
                <w:szCs w:val="18"/>
                <w:highlight w:val="none"/>
              </w:rPr>
            </w:pPr>
            <w:r>
              <w:rPr>
                <w:rFonts w:hint="eastAsia" w:ascii="Times New Roman" w:hAnsi="Times New Roman" w:cs="Times New Roman"/>
                <w:color w:val="auto"/>
                <w:sz w:val="21"/>
                <w:szCs w:val="18"/>
                <w:highlight w:val="none"/>
              </w:rPr>
              <w:t>委托资质单位处理</w:t>
            </w:r>
          </w:p>
        </w:tc>
        <w:tc>
          <w:tcPr>
            <w:tcW w:w="692" w:type="dxa"/>
            <w:vMerge w:val="restart"/>
            <w:shd w:val="clear" w:color="auto" w:fill="auto"/>
            <w:vAlign w:val="center"/>
          </w:tcPr>
          <w:p w14:paraId="6EF17BB8">
            <w:pPr>
              <w:ind w:left="-105" w:right="-105"/>
              <w:jc w:val="center"/>
              <w:rPr>
                <w:rFonts w:ascii="Times New Roman" w:hAnsi="Times New Roman" w:cs="Times New Roman"/>
                <w:color w:val="auto"/>
                <w:sz w:val="21"/>
                <w:szCs w:val="18"/>
                <w:highlight w:val="none"/>
              </w:rPr>
            </w:pPr>
            <w:r>
              <w:rPr>
                <w:rFonts w:ascii="Times New Roman" w:hAnsi="Times New Roman" w:cs="Times New Roman"/>
                <w:color w:val="auto"/>
                <w:sz w:val="21"/>
                <w:szCs w:val="18"/>
                <w:highlight w:val="none"/>
              </w:rPr>
              <w:t>符合</w:t>
            </w:r>
          </w:p>
        </w:tc>
      </w:tr>
      <w:tr w14:paraId="5BCABB12">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40" w:hRule="atLeast"/>
        </w:trPr>
        <w:tc>
          <w:tcPr>
            <w:tcW w:w="446" w:type="dxa"/>
            <w:shd w:val="clear" w:color="auto" w:fill="auto"/>
            <w:vAlign w:val="center"/>
          </w:tcPr>
          <w:p w14:paraId="66CE936C">
            <w:pPr>
              <w:ind w:left="-105" w:right="-105"/>
              <w:jc w:val="center"/>
              <w:rPr>
                <w:rFonts w:ascii="Times New Roman" w:hAnsi="Times New Roman" w:eastAsia="等线" w:cs="Times New Roman"/>
                <w:color w:val="auto"/>
                <w:sz w:val="21"/>
                <w:szCs w:val="18"/>
                <w:highlight w:val="none"/>
              </w:rPr>
            </w:pPr>
            <w:r>
              <w:rPr>
                <w:rFonts w:ascii="Times New Roman" w:hAnsi="Times New Roman" w:eastAsia="等线" w:cs="Times New Roman"/>
                <w:color w:val="auto"/>
                <w:sz w:val="21"/>
                <w:szCs w:val="18"/>
                <w:highlight w:val="none"/>
              </w:rPr>
              <w:t>2</w:t>
            </w:r>
          </w:p>
        </w:tc>
        <w:tc>
          <w:tcPr>
            <w:tcW w:w="1282" w:type="dxa"/>
            <w:vAlign w:val="center"/>
          </w:tcPr>
          <w:p w14:paraId="5F2D2E2C">
            <w:pPr>
              <w:ind w:left="-105" w:right="-105"/>
              <w:jc w:val="center"/>
              <w:rPr>
                <w:rFonts w:ascii="Times New Roman" w:hAnsi="Times New Roman" w:cs="Times New Roman"/>
                <w:color w:val="auto"/>
                <w:sz w:val="21"/>
                <w:szCs w:val="18"/>
                <w:highlight w:val="none"/>
              </w:rPr>
            </w:pPr>
            <w:r>
              <w:rPr>
                <w:rFonts w:hint="eastAsia" w:ascii="Times New Roman" w:hAnsi="Times New Roman" w:cs="Times New Roman"/>
                <w:color w:val="auto"/>
                <w:sz w:val="21"/>
                <w:szCs w:val="18"/>
                <w:highlight w:val="none"/>
              </w:rPr>
              <w:t>废滤芯</w:t>
            </w:r>
          </w:p>
        </w:tc>
        <w:tc>
          <w:tcPr>
            <w:tcW w:w="1320" w:type="dxa"/>
            <w:vMerge w:val="continue"/>
            <w:shd w:val="clear" w:color="auto" w:fill="auto"/>
            <w:vAlign w:val="center"/>
          </w:tcPr>
          <w:p w14:paraId="71E68C4F">
            <w:pPr>
              <w:ind w:left="-105" w:right="-105"/>
              <w:jc w:val="center"/>
              <w:rPr>
                <w:rFonts w:ascii="Times New Roman" w:hAnsi="Times New Roman" w:eastAsia="等线" w:cs="Times New Roman"/>
                <w:color w:val="auto"/>
                <w:sz w:val="21"/>
                <w:szCs w:val="18"/>
                <w:highlight w:val="none"/>
              </w:rPr>
            </w:pPr>
          </w:p>
        </w:tc>
        <w:tc>
          <w:tcPr>
            <w:tcW w:w="810" w:type="dxa"/>
            <w:shd w:val="clear" w:color="auto" w:fill="auto"/>
            <w:vAlign w:val="center"/>
          </w:tcPr>
          <w:p w14:paraId="34CC605A">
            <w:pPr>
              <w:ind w:left="-105" w:right="-105"/>
              <w:jc w:val="center"/>
              <w:rPr>
                <w:rFonts w:ascii="Times New Roman" w:hAnsi="Times New Roman" w:eastAsia="等线" w:cs="Times New Roman"/>
                <w:color w:val="auto"/>
                <w:sz w:val="21"/>
                <w:szCs w:val="18"/>
                <w:highlight w:val="none"/>
              </w:rPr>
            </w:pPr>
            <w:r>
              <w:rPr>
                <w:rFonts w:hint="eastAsia" w:ascii="Times New Roman" w:hAnsi="Times New Roman" w:eastAsia="等线" w:cs="Times New Roman"/>
                <w:color w:val="auto"/>
                <w:sz w:val="21"/>
                <w:szCs w:val="18"/>
                <w:highlight w:val="none"/>
              </w:rPr>
              <w:t>HW49</w:t>
            </w:r>
          </w:p>
        </w:tc>
        <w:tc>
          <w:tcPr>
            <w:tcW w:w="1320" w:type="dxa"/>
            <w:shd w:val="clear" w:color="auto" w:fill="auto"/>
            <w:vAlign w:val="center"/>
          </w:tcPr>
          <w:p w14:paraId="3A207BE3">
            <w:pPr>
              <w:ind w:left="-105" w:right="-105"/>
              <w:jc w:val="center"/>
              <w:rPr>
                <w:rFonts w:ascii="Times New Roman" w:hAnsi="Times New Roman" w:eastAsia="等线" w:cs="Times New Roman"/>
                <w:color w:val="auto"/>
                <w:sz w:val="21"/>
                <w:szCs w:val="18"/>
                <w:highlight w:val="none"/>
              </w:rPr>
            </w:pPr>
            <w:r>
              <w:rPr>
                <w:rFonts w:hint="eastAsia" w:ascii="Times New Roman" w:hAnsi="Times New Roman" w:eastAsia="等线" w:cs="Times New Roman"/>
                <w:color w:val="auto"/>
                <w:sz w:val="21"/>
                <w:szCs w:val="18"/>
                <w:highlight w:val="none"/>
              </w:rPr>
              <w:t>900-041-49</w:t>
            </w:r>
          </w:p>
        </w:tc>
        <w:tc>
          <w:tcPr>
            <w:tcW w:w="870" w:type="dxa"/>
            <w:shd w:val="clear" w:color="auto" w:fill="auto"/>
            <w:vAlign w:val="center"/>
          </w:tcPr>
          <w:p w14:paraId="7ACC7D69">
            <w:pPr>
              <w:ind w:left="-105" w:right="-105"/>
              <w:jc w:val="center"/>
              <w:rPr>
                <w:rFonts w:ascii="Times New Roman" w:hAnsi="Times New Roman" w:eastAsia="等线" w:cs="Times New Roman"/>
                <w:color w:val="auto"/>
                <w:sz w:val="21"/>
                <w:szCs w:val="18"/>
                <w:highlight w:val="none"/>
              </w:rPr>
            </w:pPr>
            <w:r>
              <w:rPr>
                <w:rFonts w:hint="eastAsia" w:ascii="Times New Roman" w:hAnsi="Times New Roman" w:eastAsia="等线" w:cs="Times New Roman"/>
                <w:color w:val="auto"/>
                <w:sz w:val="21"/>
                <w:szCs w:val="18"/>
                <w:highlight w:val="none"/>
              </w:rPr>
              <w:t>1</w:t>
            </w:r>
          </w:p>
        </w:tc>
        <w:tc>
          <w:tcPr>
            <w:tcW w:w="885" w:type="dxa"/>
            <w:shd w:val="clear" w:color="auto" w:fill="auto"/>
            <w:vAlign w:val="center"/>
          </w:tcPr>
          <w:p w14:paraId="4D146D85">
            <w:pPr>
              <w:ind w:left="-105" w:right="-105"/>
              <w:jc w:val="center"/>
              <w:rPr>
                <w:rFonts w:ascii="Times New Roman" w:hAnsi="Times New Roman" w:eastAsia="等线" w:cs="Times New Roman"/>
                <w:color w:val="auto"/>
                <w:sz w:val="21"/>
                <w:szCs w:val="18"/>
                <w:highlight w:val="none"/>
              </w:rPr>
            </w:pPr>
            <w:r>
              <w:rPr>
                <w:rFonts w:hint="eastAsia" w:ascii="Times New Roman" w:hAnsi="Times New Roman" w:eastAsia="等线" w:cs="Times New Roman"/>
                <w:color w:val="auto"/>
                <w:sz w:val="21"/>
                <w:szCs w:val="18"/>
                <w:highlight w:val="none"/>
              </w:rPr>
              <w:t>5</w:t>
            </w:r>
          </w:p>
        </w:tc>
        <w:tc>
          <w:tcPr>
            <w:tcW w:w="1095" w:type="dxa"/>
            <w:vMerge w:val="continue"/>
            <w:vAlign w:val="center"/>
          </w:tcPr>
          <w:p w14:paraId="267E46D2">
            <w:pPr>
              <w:ind w:left="-105" w:right="-105"/>
              <w:rPr>
                <w:rFonts w:ascii="Times New Roman" w:hAnsi="Times New Roman" w:cs="Times New Roman"/>
                <w:color w:val="auto"/>
                <w:sz w:val="21"/>
                <w:szCs w:val="18"/>
                <w:highlight w:val="none"/>
              </w:rPr>
            </w:pPr>
          </w:p>
        </w:tc>
        <w:tc>
          <w:tcPr>
            <w:tcW w:w="692" w:type="dxa"/>
            <w:vMerge w:val="continue"/>
            <w:vAlign w:val="center"/>
          </w:tcPr>
          <w:p w14:paraId="4F2FB34A">
            <w:pPr>
              <w:ind w:left="-105" w:right="-105"/>
              <w:rPr>
                <w:rFonts w:ascii="Times New Roman" w:hAnsi="Times New Roman" w:cs="Times New Roman"/>
                <w:color w:val="auto"/>
                <w:sz w:val="21"/>
                <w:szCs w:val="18"/>
                <w:highlight w:val="none"/>
              </w:rPr>
            </w:pPr>
          </w:p>
        </w:tc>
      </w:tr>
      <w:tr w14:paraId="4A58B919">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40" w:hRule="atLeast"/>
        </w:trPr>
        <w:tc>
          <w:tcPr>
            <w:tcW w:w="446" w:type="dxa"/>
            <w:shd w:val="clear" w:color="auto" w:fill="auto"/>
            <w:vAlign w:val="center"/>
          </w:tcPr>
          <w:p w14:paraId="22BBFBCA">
            <w:pPr>
              <w:ind w:left="-105" w:right="-105"/>
              <w:jc w:val="center"/>
              <w:rPr>
                <w:rFonts w:ascii="Times New Roman" w:hAnsi="Times New Roman" w:eastAsia="等线" w:cs="Times New Roman"/>
                <w:color w:val="auto"/>
                <w:sz w:val="21"/>
                <w:szCs w:val="18"/>
                <w:highlight w:val="none"/>
              </w:rPr>
            </w:pPr>
            <w:r>
              <w:rPr>
                <w:rFonts w:ascii="Times New Roman" w:hAnsi="Times New Roman" w:eastAsia="等线" w:cs="Times New Roman"/>
                <w:color w:val="auto"/>
                <w:sz w:val="21"/>
                <w:szCs w:val="18"/>
                <w:highlight w:val="none"/>
              </w:rPr>
              <w:t>3</w:t>
            </w:r>
          </w:p>
        </w:tc>
        <w:tc>
          <w:tcPr>
            <w:tcW w:w="1282" w:type="dxa"/>
            <w:vAlign w:val="center"/>
          </w:tcPr>
          <w:p w14:paraId="6BDBAD5F">
            <w:pPr>
              <w:ind w:left="-105" w:right="-105"/>
              <w:jc w:val="center"/>
              <w:rPr>
                <w:rFonts w:ascii="Times New Roman" w:hAnsi="Times New Roman" w:cs="Times New Roman"/>
                <w:color w:val="auto"/>
                <w:sz w:val="21"/>
                <w:szCs w:val="18"/>
                <w:highlight w:val="none"/>
              </w:rPr>
            </w:pPr>
            <w:r>
              <w:rPr>
                <w:rFonts w:hint="eastAsia" w:ascii="Times New Roman" w:hAnsi="Times New Roman" w:cs="Times New Roman"/>
                <w:color w:val="auto"/>
                <w:sz w:val="21"/>
                <w:szCs w:val="18"/>
                <w:highlight w:val="none"/>
              </w:rPr>
              <w:t>废丁酮（含废树脂）</w:t>
            </w:r>
          </w:p>
        </w:tc>
        <w:tc>
          <w:tcPr>
            <w:tcW w:w="1320" w:type="dxa"/>
            <w:shd w:val="clear" w:color="auto" w:fill="auto"/>
            <w:vAlign w:val="center"/>
          </w:tcPr>
          <w:p w14:paraId="22681987">
            <w:pPr>
              <w:ind w:left="-105" w:right="-105"/>
              <w:jc w:val="center"/>
              <w:rPr>
                <w:color w:val="auto"/>
                <w:sz w:val="21"/>
                <w:szCs w:val="18"/>
                <w:highlight w:val="none"/>
              </w:rPr>
            </w:pPr>
            <w:r>
              <w:rPr>
                <w:rFonts w:hint="eastAsia"/>
                <w:color w:val="auto"/>
                <w:sz w:val="21"/>
                <w:szCs w:val="18"/>
                <w:highlight w:val="none"/>
              </w:rPr>
              <w:t>清洗反应罐</w:t>
            </w:r>
          </w:p>
        </w:tc>
        <w:tc>
          <w:tcPr>
            <w:tcW w:w="810" w:type="dxa"/>
            <w:shd w:val="clear" w:color="auto" w:fill="auto"/>
            <w:vAlign w:val="center"/>
          </w:tcPr>
          <w:p w14:paraId="38554317">
            <w:pPr>
              <w:ind w:left="-105" w:right="-105"/>
              <w:jc w:val="center"/>
              <w:rPr>
                <w:rFonts w:ascii="Times New Roman" w:hAnsi="Times New Roman" w:eastAsia="等线" w:cs="Times New Roman"/>
                <w:color w:val="auto"/>
                <w:sz w:val="21"/>
                <w:szCs w:val="18"/>
                <w:highlight w:val="none"/>
              </w:rPr>
            </w:pPr>
            <w:r>
              <w:rPr>
                <w:rFonts w:hint="eastAsia" w:ascii="Times New Roman" w:hAnsi="Times New Roman" w:eastAsia="等线" w:cs="Times New Roman"/>
                <w:color w:val="auto"/>
                <w:sz w:val="21"/>
                <w:szCs w:val="18"/>
                <w:highlight w:val="none"/>
              </w:rPr>
              <w:t>HW06</w:t>
            </w:r>
          </w:p>
        </w:tc>
        <w:tc>
          <w:tcPr>
            <w:tcW w:w="1320" w:type="dxa"/>
            <w:shd w:val="clear" w:color="auto" w:fill="auto"/>
            <w:vAlign w:val="center"/>
          </w:tcPr>
          <w:p w14:paraId="77D331B8">
            <w:pPr>
              <w:ind w:left="-105" w:right="-105"/>
              <w:jc w:val="center"/>
              <w:rPr>
                <w:rFonts w:ascii="Times New Roman" w:hAnsi="Times New Roman" w:eastAsia="等线" w:cs="Times New Roman"/>
                <w:color w:val="auto"/>
                <w:sz w:val="21"/>
                <w:szCs w:val="18"/>
                <w:highlight w:val="none"/>
              </w:rPr>
            </w:pPr>
            <w:r>
              <w:rPr>
                <w:rFonts w:hint="eastAsia" w:ascii="Times New Roman" w:hAnsi="Times New Roman" w:eastAsia="等线" w:cs="Times New Roman"/>
                <w:color w:val="auto"/>
                <w:sz w:val="21"/>
                <w:szCs w:val="18"/>
                <w:highlight w:val="none"/>
              </w:rPr>
              <w:t>900-404-06</w:t>
            </w:r>
          </w:p>
        </w:tc>
        <w:tc>
          <w:tcPr>
            <w:tcW w:w="870" w:type="dxa"/>
            <w:shd w:val="clear" w:color="auto" w:fill="auto"/>
            <w:vAlign w:val="center"/>
          </w:tcPr>
          <w:p w14:paraId="0886DC82">
            <w:pPr>
              <w:ind w:left="-105" w:right="-105"/>
              <w:jc w:val="center"/>
              <w:rPr>
                <w:rFonts w:ascii="Times New Roman" w:hAnsi="Times New Roman" w:eastAsia="等线" w:cs="Times New Roman"/>
                <w:color w:val="auto"/>
                <w:sz w:val="21"/>
                <w:szCs w:val="18"/>
                <w:highlight w:val="none"/>
              </w:rPr>
            </w:pPr>
            <w:r>
              <w:rPr>
                <w:rFonts w:hint="eastAsia" w:ascii="Times New Roman" w:hAnsi="Times New Roman" w:eastAsia="等线" w:cs="Times New Roman"/>
                <w:color w:val="auto"/>
                <w:sz w:val="21"/>
                <w:szCs w:val="18"/>
                <w:highlight w:val="none"/>
              </w:rPr>
              <w:t>153.75</w:t>
            </w:r>
          </w:p>
        </w:tc>
        <w:tc>
          <w:tcPr>
            <w:tcW w:w="885" w:type="dxa"/>
            <w:shd w:val="clear" w:color="auto" w:fill="auto"/>
            <w:vAlign w:val="center"/>
          </w:tcPr>
          <w:p w14:paraId="307164EA">
            <w:pPr>
              <w:ind w:left="-105" w:right="-105"/>
              <w:jc w:val="center"/>
              <w:rPr>
                <w:rFonts w:ascii="Times New Roman" w:hAnsi="Times New Roman" w:eastAsia="等线" w:cs="Times New Roman"/>
                <w:color w:val="auto"/>
                <w:sz w:val="21"/>
                <w:szCs w:val="18"/>
                <w:highlight w:val="none"/>
              </w:rPr>
            </w:pPr>
            <w:r>
              <w:rPr>
                <w:rFonts w:hint="eastAsia" w:ascii="Times New Roman" w:hAnsi="Times New Roman" w:eastAsia="等线" w:cs="Times New Roman"/>
                <w:color w:val="auto"/>
                <w:sz w:val="21"/>
                <w:szCs w:val="18"/>
                <w:highlight w:val="none"/>
              </w:rPr>
              <w:t>153.75</w:t>
            </w:r>
          </w:p>
        </w:tc>
        <w:tc>
          <w:tcPr>
            <w:tcW w:w="1095" w:type="dxa"/>
            <w:vMerge w:val="continue"/>
            <w:vAlign w:val="center"/>
          </w:tcPr>
          <w:p w14:paraId="3AA760E3">
            <w:pPr>
              <w:ind w:left="-105" w:right="-105"/>
              <w:rPr>
                <w:rFonts w:ascii="Times New Roman" w:hAnsi="Times New Roman" w:cs="Times New Roman"/>
                <w:color w:val="auto"/>
                <w:sz w:val="21"/>
                <w:szCs w:val="18"/>
                <w:highlight w:val="none"/>
              </w:rPr>
            </w:pPr>
          </w:p>
        </w:tc>
        <w:tc>
          <w:tcPr>
            <w:tcW w:w="692" w:type="dxa"/>
            <w:vMerge w:val="continue"/>
            <w:vAlign w:val="center"/>
          </w:tcPr>
          <w:p w14:paraId="3A226A13">
            <w:pPr>
              <w:ind w:left="-105" w:right="-105"/>
              <w:rPr>
                <w:rFonts w:ascii="Times New Roman" w:hAnsi="Times New Roman" w:cs="Times New Roman"/>
                <w:color w:val="auto"/>
                <w:sz w:val="21"/>
                <w:szCs w:val="18"/>
                <w:highlight w:val="none"/>
              </w:rPr>
            </w:pPr>
          </w:p>
        </w:tc>
      </w:tr>
      <w:tr w14:paraId="1C6DCC2F">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40" w:hRule="atLeast"/>
        </w:trPr>
        <w:tc>
          <w:tcPr>
            <w:tcW w:w="446" w:type="dxa"/>
            <w:shd w:val="clear" w:color="auto" w:fill="auto"/>
            <w:vAlign w:val="center"/>
          </w:tcPr>
          <w:p w14:paraId="0C0C1ABE">
            <w:pPr>
              <w:ind w:left="-105" w:right="-105"/>
              <w:jc w:val="center"/>
              <w:rPr>
                <w:rFonts w:ascii="Times New Roman" w:hAnsi="Times New Roman" w:eastAsia="等线" w:cs="Times New Roman"/>
                <w:color w:val="auto"/>
                <w:sz w:val="21"/>
                <w:szCs w:val="18"/>
                <w:highlight w:val="none"/>
              </w:rPr>
            </w:pPr>
            <w:r>
              <w:rPr>
                <w:rFonts w:ascii="Times New Roman" w:hAnsi="Times New Roman" w:eastAsia="等线" w:cs="Times New Roman"/>
                <w:color w:val="auto"/>
                <w:sz w:val="21"/>
                <w:szCs w:val="18"/>
                <w:highlight w:val="none"/>
              </w:rPr>
              <w:t>4</w:t>
            </w:r>
          </w:p>
        </w:tc>
        <w:tc>
          <w:tcPr>
            <w:tcW w:w="1282" w:type="dxa"/>
            <w:vAlign w:val="center"/>
          </w:tcPr>
          <w:p w14:paraId="23FEFB91">
            <w:pPr>
              <w:ind w:left="-105" w:right="-105"/>
              <w:jc w:val="center"/>
              <w:rPr>
                <w:rFonts w:ascii="Times New Roman" w:hAnsi="Times New Roman" w:cs="Times New Roman"/>
                <w:color w:val="auto"/>
                <w:sz w:val="21"/>
                <w:szCs w:val="18"/>
                <w:highlight w:val="none"/>
              </w:rPr>
            </w:pPr>
            <w:r>
              <w:rPr>
                <w:rFonts w:hint="eastAsia" w:ascii="Times New Roman" w:hAnsi="Times New Roman" w:cs="Times New Roman"/>
                <w:color w:val="auto"/>
                <w:sz w:val="21"/>
                <w:szCs w:val="18"/>
                <w:highlight w:val="none"/>
              </w:rPr>
              <w:t>废活性炭</w:t>
            </w:r>
          </w:p>
        </w:tc>
        <w:tc>
          <w:tcPr>
            <w:tcW w:w="1320" w:type="dxa"/>
            <w:shd w:val="clear" w:color="auto" w:fill="auto"/>
            <w:vAlign w:val="center"/>
          </w:tcPr>
          <w:p w14:paraId="50601902">
            <w:pPr>
              <w:ind w:left="-105" w:right="-105"/>
              <w:jc w:val="center"/>
              <w:rPr>
                <w:color w:val="auto"/>
                <w:sz w:val="21"/>
                <w:szCs w:val="18"/>
                <w:highlight w:val="none"/>
              </w:rPr>
            </w:pPr>
            <w:r>
              <w:rPr>
                <w:rFonts w:hint="eastAsia"/>
                <w:color w:val="auto"/>
                <w:sz w:val="21"/>
                <w:szCs w:val="18"/>
                <w:highlight w:val="none"/>
              </w:rPr>
              <w:t>废气处理</w:t>
            </w:r>
          </w:p>
        </w:tc>
        <w:tc>
          <w:tcPr>
            <w:tcW w:w="810" w:type="dxa"/>
            <w:shd w:val="clear" w:color="auto" w:fill="auto"/>
            <w:vAlign w:val="center"/>
          </w:tcPr>
          <w:p w14:paraId="3A5F5ED6">
            <w:pPr>
              <w:ind w:left="-105" w:right="-105"/>
              <w:jc w:val="center"/>
              <w:rPr>
                <w:rFonts w:ascii="Times New Roman" w:hAnsi="Times New Roman" w:eastAsia="等线" w:cs="Times New Roman"/>
                <w:color w:val="auto"/>
                <w:sz w:val="21"/>
                <w:szCs w:val="18"/>
                <w:highlight w:val="none"/>
              </w:rPr>
            </w:pPr>
            <w:r>
              <w:rPr>
                <w:rFonts w:hint="eastAsia" w:ascii="Times New Roman" w:hAnsi="Times New Roman" w:eastAsia="等线" w:cs="Times New Roman"/>
                <w:color w:val="auto"/>
                <w:sz w:val="21"/>
                <w:szCs w:val="18"/>
                <w:highlight w:val="none"/>
              </w:rPr>
              <w:t>HW49</w:t>
            </w:r>
          </w:p>
        </w:tc>
        <w:tc>
          <w:tcPr>
            <w:tcW w:w="1320" w:type="dxa"/>
            <w:shd w:val="clear" w:color="auto" w:fill="auto"/>
            <w:vAlign w:val="center"/>
          </w:tcPr>
          <w:p w14:paraId="77961CBE">
            <w:pPr>
              <w:ind w:left="-105" w:right="-105"/>
              <w:jc w:val="center"/>
              <w:rPr>
                <w:rFonts w:ascii="Times New Roman" w:hAnsi="Times New Roman" w:eastAsia="等线" w:cs="Times New Roman"/>
                <w:color w:val="auto"/>
                <w:sz w:val="21"/>
                <w:szCs w:val="18"/>
                <w:highlight w:val="none"/>
              </w:rPr>
            </w:pPr>
            <w:r>
              <w:rPr>
                <w:rFonts w:hint="eastAsia" w:ascii="Times New Roman" w:hAnsi="Times New Roman" w:eastAsia="等线" w:cs="Times New Roman"/>
                <w:color w:val="auto"/>
                <w:sz w:val="21"/>
                <w:szCs w:val="18"/>
                <w:highlight w:val="none"/>
              </w:rPr>
              <w:t>900-039-49</w:t>
            </w:r>
          </w:p>
        </w:tc>
        <w:tc>
          <w:tcPr>
            <w:tcW w:w="870" w:type="dxa"/>
            <w:shd w:val="clear" w:color="auto" w:fill="auto"/>
            <w:vAlign w:val="center"/>
          </w:tcPr>
          <w:p w14:paraId="3A9D3244">
            <w:pPr>
              <w:ind w:left="-105" w:right="-105"/>
              <w:jc w:val="center"/>
              <w:rPr>
                <w:rFonts w:ascii="Times New Roman" w:hAnsi="Times New Roman" w:eastAsia="等线" w:cs="Times New Roman"/>
                <w:color w:val="auto"/>
                <w:sz w:val="21"/>
                <w:szCs w:val="18"/>
                <w:highlight w:val="none"/>
              </w:rPr>
            </w:pPr>
            <w:r>
              <w:rPr>
                <w:rFonts w:hint="eastAsia" w:ascii="Times New Roman" w:hAnsi="Times New Roman" w:eastAsia="等线" w:cs="Times New Roman"/>
                <w:color w:val="auto"/>
                <w:sz w:val="21"/>
                <w:szCs w:val="18"/>
                <w:highlight w:val="none"/>
              </w:rPr>
              <w:t>8</w:t>
            </w:r>
          </w:p>
        </w:tc>
        <w:tc>
          <w:tcPr>
            <w:tcW w:w="885" w:type="dxa"/>
            <w:shd w:val="clear" w:color="auto" w:fill="auto"/>
            <w:vAlign w:val="center"/>
          </w:tcPr>
          <w:p w14:paraId="56999FBC">
            <w:pPr>
              <w:ind w:left="-105" w:right="-105"/>
              <w:jc w:val="center"/>
              <w:rPr>
                <w:rFonts w:ascii="Times New Roman" w:hAnsi="Times New Roman" w:eastAsia="等线" w:cs="Times New Roman"/>
                <w:color w:val="auto"/>
                <w:sz w:val="21"/>
                <w:szCs w:val="18"/>
                <w:highlight w:val="none"/>
              </w:rPr>
            </w:pPr>
            <w:r>
              <w:rPr>
                <w:rFonts w:hint="eastAsia" w:ascii="Times New Roman" w:hAnsi="Times New Roman" w:eastAsia="等线" w:cs="Times New Roman"/>
                <w:color w:val="auto"/>
                <w:sz w:val="21"/>
                <w:szCs w:val="18"/>
                <w:highlight w:val="none"/>
              </w:rPr>
              <w:t>9.612</w:t>
            </w:r>
          </w:p>
        </w:tc>
        <w:tc>
          <w:tcPr>
            <w:tcW w:w="1095" w:type="dxa"/>
            <w:vMerge w:val="continue"/>
            <w:vAlign w:val="center"/>
          </w:tcPr>
          <w:p w14:paraId="02238271">
            <w:pPr>
              <w:ind w:left="-105" w:right="-105"/>
              <w:rPr>
                <w:rFonts w:ascii="Times New Roman" w:hAnsi="Times New Roman" w:cs="Times New Roman"/>
                <w:color w:val="auto"/>
                <w:sz w:val="21"/>
                <w:szCs w:val="18"/>
                <w:highlight w:val="none"/>
              </w:rPr>
            </w:pPr>
          </w:p>
        </w:tc>
        <w:tc>
          <w:tcPr>
            <w:tcW w:w="692" w:type="dxa"/>
            <w:vMerge w:val="continue"/>
            <w:vAlign w:val="center"/>
          </w:tcPr>
          <w:p w14:paraId="74EB42C4">
            <w:pPr>
              <w:ind w:left="-105" w:right="-105"/>
              <w:rPr>
                <w:rFonts w:ascii="Times New Roman" w:hAnsi="Times New Roman" w:cs="Times New Roman"/>
                <w:color w:val="auto"/>
                <w:sz w:val="21"/>
                <w:szCs w:val="18"/>
                <w:highlight w:val="none"/>
              </w:rPr>
            </w:pPr>
          </w:p>
        </w:tc>
      </w:tr>
      <w:tr w14:paraId="69A32813">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40" w:hRule="atLeast"/>
        </w:trPr>
        <w:tc>
          <w:tcPr>
            <w:tcW w:w="446" w:type="dxa"/>
            <w:shd w:val="clear" w:color="auto" w:fill="auto"/>
            <w:vAlign w:val="center"/>
          </w:tcPr>
          <w:p w14:paraId="23C6EA59">
            <w:pPr>
              <w:ind w:left="-105" w:right="-105"/>
              <w:jc w:val="center"/>
              <w:rPr>
                <w:rFonts w:ascii="Times New Roman" w:hAnsi="Times New Roman" w:eastAsia="等线" w:cs="Times New Roman"/>
                <w:color w:val="auto"/>
                <w:sz w:val="21"/>
                <w:szCs w:val="18"/>
                <w:highlight w:val="none"/>
              </w:rPr>
            </w:pPr>
            <w:r>
              <w:rPr>
                <w:rFonts w:ascii="Times New Roman" w:hAnsi="Times New Roman" w:eastAsia="等线" w:cs="Times New Roman"/>
                <w:color w:val="auto"/>
                <w:sz w:val="21"/>
                <w:szCs w:val="18"/>
                <w:highlight w:val="none"/>
              </w:rPr>
              <w:t>5</w:t>
            </w:r>
          </w:p>
        </w:tc>
        <w:tc>
          <w:tcPr>
            <w:tcW w:w="1282" w:type="dxa"/>
            <w:vAlign w:val="center"/>
          </w:tcPr>
          <w:p w14:paraId="432C7630">
            <w:pPr>
              <w:ind w:left="-105" w:right="-105"/>
              <w:jc w:val="center"/>
              <w:rPr>
                <w:rFonts w:ascii="Times New Roman" w:hAnsi="Times New Roman" w:cs="Times New Roman"/>
                <w:color w:val="auto"/>
                <w:sz w:val="21"/>
                <w:szCs w:val="18"/>
                <w:highlight w:val="none"/>
              </w:rPr>
            </w:pPr>
            <w:r>
              <w:rPr>
                <w:rFonts w:hint="eastAsia" w:ascii="Times New Roman" w:hAnsi="Times New Roman" w:cs="Times New Roman"/>
                <w:color w:val="auto"/>
                <w:sz w:val="21"/>
                <w:szCs w:val="18"/>
                <w:highlight w:val="none"/>
              </w:rPr>
              <w:t>废包装桶</w:t>
            </w:r>
          </w:p>
        </w:tc>
        <w:tc>
          <w:tcPr>
            <w:tcW w:w="1320" w:type="dxa"/>
            <w:shd w:val="clear" w:color="auto" w:fill="auto"/>
            <w:vAlign w:val="center"/>
          </w:tcPr>
          <w:p w14:paraId="09EF2078">
            <w:pPr>
              <w:ind w:left="-105" w:right="-105"/>
              <w:jc w:val="center"/>
              <w:rPr>
                <w:color w:val="auto"/>
                <w:sz w:val="21"/>
                <w:szCs w:val="18"/>
                <w:highlight w:val="none"/>
              </w:rPr>
            </w:pPr>
            <w:r>
              <w:rPr>
                <w:rFonts w:hint="eastAsia"/>
                <w:color w:val="auto"/>
                <w:sz w:val="21"/>
                <w:szCs w:val="18"/>
                <w:highlight w:val="none"/>
              </w:rPr>
              <w:t>材料包装</w:t>
            </w:r>
          </w:p>
        </w:tc>
        <w:tc>
          <w:tcPr>
            <w:tcW w:w="810" w:type="dxa"/>
            <w:shd w:val="clear" w:color="auto" w:fill="auto"/>
            <w:vAlign w:val="center"/>
          </w:tcPr>
          <w:p w14:paraId="6D582D33">
            <w:pPr>
              <w:ind w:left="-105" w:right="-105"/>
              <w:jc w:val="center"/>
              <w:rPr>
                <w:rFonts w:ascii="Times New Roman" w:hAnsi="Times New Roman" w:eastAsia="等线" w:cs="Times New Roman"/>
                <w:color w:val="auto"/>
                <w:sz w:val="21"/>
                <w:szCs w:val="18"/>
                <w:highlight w:val="none"/>
              </w:rPr>
            </w:pPr>
            <w:r>
              <w:rPr>
                <w:rFonts w:hint="eastAsia" w:ascii="Times New Roman" w:hAnsi="Times New Roman" w:eastAsia="等线" w:cs="Times New Roman"/>
                <w:color w:val="auto"/>
                <w:sz w:val="21"/>
                <w:szCs w:val="18"/>
                <w:highlight w:val="none"/>
              </w:rPr>
              <w:t>HW49</w:t>
            </w:r>
          </w:p>
        </w:tc>
        <w:tc>
          <w:tcPr>
            <w:tcW w:w="1320" w:type="dxa"/>
            <w:shd w:val="clear" w:color="auto" w:fill="auto"/>
            <w:vAlign w:val="center"/>
          </w:tcPr>
          <w:p w14:paraId="02CA8EF9">
            <w:pPr>
              <w:ind w:left="-105" w:right="-105"/>
              <w:jc w:val="center"/>
              <w:rPr>
                <w:rFonts w:ascii="Times New Roman" w:hAnsi="Times New Roman" w:eastAsia="等线" w:cs="Times New Roman"/>
                <w:color w:val="auto"/>
                <w:sz w:val="21"/>
                <w:szCs w:val="18"/>
                <w:highlight w:val="none"/>
              </w:rPr>
            </w:pPr>
            <w:r>
              <w:rPr>
                <w:rFonts w:hint="eastAsia" w:ascii="Times New Roman" w:hAnsi="Times New Roman" w:eastAsia="等线" w:cs="Times New Roman"/>
                <w:color w:val="auto"/>
                <w:sz w:val="21"/>
                <w:szCs w:val="18"/>
                <w:highlight w:val="none"/>
              </w:rPr>
              <w:t>900-041-49</w:t>
            </w:r>
          </w:p>
        </w:tc>
        <w:tc>
          <w:tcPr>
            <w:tcW w:w="870" w:type="dxa"/>
            <w:shd w:val="clear" w:color="auto" w:fill="auto"/>
            <w:vAlign w:val="center"/>
          </w:tcPr>
          <w:p w14:paraId="19FA8B0A">
            <w:pPr>
              <w:ind w:left="-105" w:right="-105"/>
              <w:jc w:val="center"/>
              <w:rPr>
                <w:rFonts w:ascii="Times New Roman" w:hAnsi="Times New Roman" w:eastAsia="等线" w:cs="Times New Roman"/>
                <w:color w:val="auto"/>
                <w:sz w:val="21"/>
                <w:szCs w:val="18"/>
                <w:highlight w:val="none"/>
              </w:rPr>
            </w:pPr>
            <w:r>
              <w:rPr>
                <w:rFonts w:hint="eastAsia" w:ascii="Times New Roman" w:hAnsi="Times New Roman" w:eastAsia="等线" w:cs="Times New Roman"/>
                <w:color w:val="auto"/>
                <w:sz w:val="21"/>
                <w:szCs w:val="18"/>
                <w:highlight w:val="none"/>
              </w:rPr>
              <w:t>0</w:t>
            </w:r>
          </w:p>
        </w:tc>
        <w:tc>
          <w:tcPr>
            <w:tcW w:w="885" w:type="dxa"/>
            <w:shd w:val="clear" w:color="auto" w:fill="auto"/>
            <w:vAlign w:val="center"/>
          </w:tcPr>
          <w:p w14:paraId="5A42BEF2">
            <w:pPr>
              <w:ind w:left="-105" w:right="-105"/>
              <w:jc w:val="center"/>
              <w:rPr>
                <w:rFonts w:ascii="Times New Roman" w:hAnsi="Times New Roman" w:eastAsia="等线" w:cs="Times New Roman"/>
                <w:color w:val="auto"/>
                <w:sz w:val="21"/>
                <w:szCs w:val="18"/>
                <w:highlight w:val="none"/>
              </w:rPr>
            </w:pPr>
            <w:r>
              <w:rPr>
                <w:rFonts w:hint="eastAsia" w:ascii="Times New Roman" w:hAnsi="Times New Roman" w:eastAsia="等线" w:cs="Times New Roman"/>
                <w:color w:val="auto"/>
                <w:sz w:val="21"/>
                <w:szCs w:val="18"/>
                <w:highlight w:val="none"/>
              </w:rPr>
              <w:t>184.135</w:t>
            </w:r>
          </w:p>
        </w:tc>
        <w:tc>
          <w:tcPr>
            <w:tcW w:w="1095" w:type="dxa"/>
            <w:vMerge w:val="continue"/>
            <w:vAlign w:val="center"/>
          </w:tcPr>
          <w:p w14:paraId="132DC98A">
            <w:pPr>
              <w:ind w:left="-105" w:right="-105"/>
              <w:rPr>
                <w:rFonts w:ascii="Times New Roman" w:hAnsi="Times New Roman" w:cs="Times New Roman"/>
                <w:color w:val="auto"/>
                <w:sz w:val="21"/>
                <w:szCs w:val="18"/>
                <w:highlight w:val="none"/>
              </w:rPr>
            </w:pPr>
          </w:p>
        </w:tc>
        <w:tc>
          <w:tcPr>
            <w:tcW w:w="692" w:type="dxa"/>
            <w:vMerge w:val="continue"/>
            <w:vAlign w:val="center"/>
          </w:tcPr>
          <w:p w14:paraId="5B76A393">
            <w:pPr>
              <w:ind w:left="-105" w:right="-105"/>
              <w:rPr>
                <w:rFonts w:ascii="Times New Roman" w:hAnsi="Times New Roman" w:cs="Times New Roman"/>
                <w:color w:val="auto"/>
                <w:sz w:val="21"/>
                <w:szCs w:val="18"/>
                <w:highlight w:val="none"/>
              </w:rPr>
            </w:pPr>
          </w:p>
        </w:tc>
      </w:tr>
      <w:tr w14:paraId="2D1C6307">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40" w:hRule="atLeast"/>
        </w:trPr>
        <w:tc>
          <w:tcPr>
            <w:tcW w:w="446" w:type="dxa"/>
            <w:shd w:val="clear" w:color="auto" w:fill="auto"/>
            <w:vAlign w:val="center"/>
          </w:tcPr>
          <w:p w14:paraId="4DDD1A1E">
            <w:pPr>
              <w:ind w:left="-105" w:right="-105"/>
              <w:jc w:val="center"/>
              <w:rPr>
                <w:rFonts w:ascii="Times New Roman" w:hAnsi="Times New Roman" w:eastAsia="等线" w:cs="Times New Roman"/>
                <w:color w:val="auto"/>
                <w:sz w:val="21"/>
                <w:szCs w:val="18"/>
                <w:highlight w:val="none"/>
              </w:rPr>
            </w:pPr>
            <w:r>
              <w:rPr>
                <w:rFonts w:ascii="Times New Roman" w:hAnsi="Times New Roman" w:eastAsia="等线" w:cs="Times New Roman"/>
                <w:color w:val="auto"/>
                <w:sz w:val="21"/>
                <w:szCs w:val="18"/>
                <w:highlight w:val="none"/>
              </w:rPr>
              <w:t>6</w:t>
            </w:r>
          </w:p>
        </w:tc>
        <w:tc>
          <w:tcPr>
            <w:tcW w:w="1282" w:type="dxa"/>
            <w:vAlign w:val="center"/>
          </w:tcPr>
          <w:p w14:paraId="16CE0CED">
            <w:pPr>
              <w:ind w:left="-105" w:right="-105"/>
              <w:jc w:val="center"/>
              <w:rPr>
                <w:rFonts w:ascii="Times New Roman" w:hAnsi="Times New Roman" w:cs="Times New Roman"/>
                <w:color w:val="auto"/>
                <w:sz w:val="21"/>
                <w:szCs w:val="18"/>
                <w:highlight w:val="none"/>
              </w:rPr>
            </w:pPr>
            <w:r>
              <w:rPr>
                <w:rFonts w:hint="eastAsia" w:ascii="Times New Roman" w:hAnsi="Times New Roman" w:cs="Times New Roman"/>
                <w:color w:val="auto"/>
                <w:sz w:val="21"/>
                <w:szCs w:val="18"/>
                <w:highlight w:val="none"/>
              </w:rPr>
              <w:t>喷淋废液</w:t>
            </w:r>
          </w:p>
        </w:tc>
        <w:tc>
          <w:tcPr>
            <w:tcW w:w="1320" w:type="dxa"/>
            <w:shd w:val="clear" w:color="auto" w:fill="auto"/>
            <w:vAlign w:val="center"/>
          </w:tcPr>
          <w:p w14:paraId="6FB11B65">
            <w:pPr>
              <w:ind w:left="-105" w:right="-105"/>
              <w:jc w:val="center"/>
              <w:rPr>
                <w:color w:val="auto"/>
                <w:sz w:val="21"/>
                <w:szCs w:val="18"/>
                <w:highlight w:val="none"/>
              </w:rPr>
            </w:pPr>
            <w:r>
              <w:rPr>
                <w:rFonts w:hint="eastAsia"/>
                <w:color w:val="auto"/>
                <w:sz w:val="21"/>
                <w:szCs w:val="18"/>
                <w:highlight w:val="none"/>
              </w:rPr>
              <w:t>废气处理</w:t>
            </w:r>
          </w:p>
        </w:tc>
        <w:tc>
          <w:tcPr>
            <w:tcW w:w="810" w:type="dxa"/>
            <w:shd w:val="clear" w:color="auto" w:fill="auto"/>
            <w:vAlign w:val="center"/>
          </w:tcPr>
          <w:p w14:paraId="425F997A">
            <w:pPr>
              <w:ind w:left="-105" w:right="-105"/>
              <w:jc w:val="center"/>
              <w:rPr>
                <w:rFonts w:ascii="Times New Roman" w:hAnsi="Times New Roman" w:eastAsia="等线" w:cs="Times New Roman"/>
                <w:color w:val="auto"/>
                <w:sz w:val="21"/>
                <w:szCs w:val="18"/>
                <w:highlight w:val="none"/>
              </w:rPr>
            </w:pPr>
            <w:r>
              <w:rPr>
                <w:rFonts w:hint="eastAsia" w:ascii="Times New Roman" w:hAnsi="Times New Roman" w:eastAsia="等线" w:cs="Times New Roman"/>
                <w:color w:val="auto"/>
                <w:sz w:val="21"/>
                <w:szCs w:val="18"/>
                <w:highlight w:val="none"/>
              </w:rPr>
              <w:t>HW35</w:t>
            </w:r>
          </w:p>
        </w:tc>
        <w:tc>
          <w:tcPr>
            <w:tcW w:w="1320" w:type="dxa"/>
            <w:shd w:val="clear" w:color="auto" w:fill="auto"/>
            <w:vAlign w:val="center"/>
          </w:tcPr>
          <w:p w14:paraId="10AE166F">
            <w:pPr>
              <w:ind w:left="-105" w:right="-105"/>
              <w:jc w:val="center"/>
              <w:rPr>
                <w:rFonts w:ascii="Times New Roman" w:hAnsi="Times New Roman" w:eastAsia="等线" w:cs="Times New Roman"/>
                <w:color w:val="auto"/>
                <w:sz w:val="21"/>
                <w:szCs w:val="18"/>
                <w:highlight w:val="none"/>
              </w:rPr>
            </w:pPr>
            <w:r>
              <w:rPr>
                <w:rFonts w:hint="eastAsia" w:ascii="Times New Roman" w:hAnsi="Times New Roman" w:eastAsia="等线" w:cs="Times New Roman"/>
                <w:color w:val="auto"/>
                <w:sz w:val="21"/>
                <w:szCs w:val="18"/>
                <w:highlight w:val="none"/>
              </w:rPr>
              <w:t>900-399-35</w:t>
            </w:r>
          </w:p>
        </w:tc>
        <w:tc>
          <w:tcPr>
            <w:tcW w:w="870" w:type="dxa"/>
            <w:shd w:val="clear" w:color="auto" w:fill="auto"/>
            <w:vAlign w:val="center"/>
          </w:tcPr>
          <w:p w14:paraId="5261FCFB">
            <w:pPr>
              <w:ind w:left="-105" w:right="-105"/>
              <w:jc w:val="center"/>
              <w:rPr>
                <w:rFonts w:ascii="Times New Roman" w:hAnsi="Times New Roman" w:eastAsia="等线" w:cs="Times New Roman"/>
                <w:color w:val="auto"/>
                <w:sz w:val="21"/>
                <w:szCs w:val="18"/>
                <w:highlight w:val="none"/>
              </w:rPr>
            </w:pPr>
            <w:r>
              <w:rPr>
                <w:rFonts w:hint="eastAsia" w:ascii="Times New Roman" w:hAnsi="Times New Roman" w:eastAsia="等线" w:cs="Times New Roman"/>
                <w:color w:val="auto"/>
                <w:sz w:val="21"/>
                <w:szCs w:val="18"/>
                <w:highlight w:val="none"/>
              </w:rPr>
              <w:t>0</w:t>
            </w:r>
          </w:p>
        </w:tc>
        <w:tc>
          <w:tcPr>
            <w:tcW w:w="885" w:type="dxa"/>
            <w:shd w:val="clear" w:color="auto" w:fill="auto"/>
            <w:vAlign w:val="center"/>
          </w:tcPr>
          <w:p w14:paraId="76BE8782">
            <w:pPr>
              <w:ind w:left="-105" w:right="-105"/>
              <w:jc w:val="center"/>
              <w:rPr>
                <w:rFonts w:ascii="Times New Roman" w:hAnsi="Times New Roman" w:eastAsia="等线" w:cs="Times New Roman"/>
                <w:color w:val="auto"/>
                <w:sz w:val="21"/>
                <w:szCs w:val="18"/>
                <w:highlight w:val="none"/>
              </w:rPr>
            </w:pPr>
            <w:r>
              <w:rPr>
                <w:rFonts w:hint="eastAsia" w:ascii="Times New Roman" w:hAnsi="Times New Roman" w:eastAsia="等线" w:cs="Times New Roman"/>
                <w:color w:val="auto"/>
                <w:sz w:val="21"/>
                <w:szCs w:val="18"/>
                <w:highlight w:val="none"/>
              </w:rPr>
              <w:t>600</w:t>
            </w:r>
          </w:p>
        </w:tc>
        <w:tc>
          <w:tcPr>
            <w:tcW w:w="1095" w:type="dxa"/>
            <w:vMerge w:val="continue"/>
            <w:vAlign w:val="center"/>
          </w:tcPr>
          <w:p w14:paraId="2C6AB000">
            <w:pPr>
              <w:ind w:left="-105" w:right="-105"/>
              <w:rPr>
                <w:rFonts w:ascii="Times New Roman" w:hAnsi="Times New Roman" w:cs="Times New Roman"/>
                <w:color w:val="auto"/>
                <w:sz w:val="21"/>
                <w:szCs w:val="18"/>
                <w:highlight w:val="none"/>
              </w:rPr>
            </w:pPr>
          </w:p>
        </w:tc>
        <w:tc>
          <w:tcPr>
            <w:tcW w:w="692" w:type="dxa"/>
            <w:vMerge w:val="continue"/>
            <w:vAlign w:val="center"/>
          </w:tcPr>
          <w:p w14:paraId="04D2E0AD">
            <w:pPr>
              <w:ind w:left="-105" w:right="-105"/>
              <w:rPr>
                <w:rFonts w:ascii="Times New Roman" w:hAnsi="Times New Roman" w:cs="Times New Roman"/>
                <w:color w:val="auto"/>
                <w:sz w:val="21"/>
                <w:szCs w:val="18"/>
                <w:highlight w:val="none"/>
              </w:rPr>
            </w:pPr>
          </w:p>
        </w:tc>
      </w:tr>
      <w:tr w14:paraId="0E2CFC69">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40" w:hRule="atLeast"/>
        </w:trPr>
        <w:tc>
          <w:tcPr>
            <w:tcW w:w="446" w:type="dxa"/>
            <w:shd w:val="clear" w:color="auto" w:fill="auto"/>
            <w:vAlign w:val="center"/>
          </w:tcPr>
          <w:p w14:paraId="55955545">
            <w:pPr>
              <w:ind w:left="-105" w:right="-105"/>
              <w:jc w:val="center"/>
              <w:rPr>
                <w:rFonts w:ascii="Times New Roman" w:hAnsi="Times New Roman" w:eastAsia="等线" w:cs="Times New Roman"/>
                <w:color w:val="auto"/>
                <w:sz w:val="21"/>
                <w:szCs w:val="18"/>
                <w:highlight w:val="none"/>
              </w:rPr>
            </w:pPr>
            <w:r>
              <w:rPr>
                <w:rFonts w:ascii="Times New Roman" w:hAnsi="Times New Roman" w:eastAsia="等线" w:cs="Times New Roman"/>
                <w:color w:val="auto"/>
                <w:sz w:val="21"/>
                <w:szCs w:val="18"/>
                <w:highlight w:val="none"/>
              </w:rPr>
              <w:t>7</w:t>
            </w:r>
          </w:p>
        </w:tc>
        <w:tc>
          <w:tcPr>
            <w:tcW w:w="1282" w:type="dxa"/>
            <w:vAlign w:val="center"/>
          </w:tcPr>
          <w:p w14:paraId="480706A4">
            <w:pPr>
              <w:ind w:left="-105" w:right="-105"/>
              <w:jc w:val="center"/>
              <w:rPr>
                <w:rFonts w:ascii="Times New Roman" w:hAnsi="Times New Roman" w:cs="Times New Roman"/>
                <w:color w:val="auto"/>
                <w:sz w:val="21"/>
                <w:szCs w:val="18"/>
                <w:highlight w:val="none"/>
              </w:rPr>
            </w:pPr>
            <w:r>
              <w:rPr>
                <w:rFonts w:hint="eastAsia" w:ascii="Times New Roman" w:hAnsi="Times New Roman" w:cs="Times New Roman"/>
                <w:color w:val="auto"/>
                <w:sz w:val="21"/>
                <w:szCs w:val="18"/>
                <w:highlight w:val="none"/>
              </w:rPr>
              <w:t>生活垃圾</w:t>
            </w:r>
          </w:p>
        </w:tc>
        <w:tc>
          <w:tcPr>
            <w:tcW w:w="1320" w:type="dxa"/>
            <w:shd w:val="clear" w:color="auto" w:fill="auto"/>
            <w:vAlign w:val="center"/>
          </w:tcPr>
          <w:p w14:paraId="48306ADC">
            <w:pPr>
              <w:ind w:left="-105" w:right="-105"/>
              <w:jc w:val="center"/>
              <w:rPr>
                <w:color w:val="auto"/>
                <w:sz w:val="21"/>
                <w:szCs w:val="18"/>
                <w:highlight w:val="none"/>
              </w:rPr>
            </w:pPr>
            <w:r>
              <w:rPr>
                <w:rFonts w:hint="eastAsia"/>
                <w:color w:val="auto"/>
                <w:sz w:val="21"/>
                <w:szCs w:val="18"/>
                <w:highlight w:val="none"/>
              </w:rPr>
              <w:t>员工生活</w:t>
            </w:r>
          </w:p>
        </w:tc>
        <w:tc>
          <w:tcPr>
            <w:tcW w:w="810" w:type="dxa"/>
            <w:shd w:val="clear" w:color="auto" w:fill="auto"/>
            <w:vAlign w:val="center"/>
          </w:tcPr>
          <w:p w14:paraId="394ED187">
            <w:pPr>
              <w:ind w:left="-105" w:right="-105"/>
              <w:jc w:val="center"/>
              <w:rPr>
                <w:rFonts w:ascii="Times New Roman" w:hAnsi="Times New Roman" w:eastAsia="仿宋" w:cs="Times New Roman"/>
                <w:color w:val="auto"/>
                <w:sz w:val="21"/>
                <w:szCs w:val="21"/>
                <w:highlight w:val="none"/>
              </w:rPr>
            </w:pPr>
            <w:r>
              <w:rPr>
                <w:rFonts w:ascii="Times New Roman" w:hAnsi="Times New Roman" w:eastAsia="仿宋" w:cs="Times New Roman"/>
                <w:color w:val="auto"/>
                <w:sz w:val="21"/>
                <w:szCs w:val="21"/>
                <w:highlight w:val="none"/>
              </w:rPr>
              <w:t>SW64</w:t>
            </w:r>
          </w:p>
        </w:tc>
        <w:tc>
          <w:tcPr>
            <w:tcW w:w="1320" w:type="dxa"/>
            <w:shd w:val="clear" w:color="auto" w:fill="auto"/>
            <w:vAlign w:val="center"/>
          </w:tcPr>
          <w:p w14:paraId="05BB83CB">
            <w:pPr>
              <w:ind w:left="-105" w:right="-105"/>
              <w:jc w:val="center"/>
              <w:rPr>
                <w:rFonts w:ascii="Times New Roman" w:hAnsi="Times New Roman" w:eastAsia="仿宋" w:cs="Times New Roman"/>
                <w:color w:val="auto"/>
                <w:sz w:val="21"/>
                <w:szCs w:val="21"/>
                <w:highlight w:val="none"/>
              </w:rPr>
            </w:pPr>
            <w:r>
              <w:rPr>
                <w:rFonts w:ascii="Times New Roman" w:hAnsi="Times New Roman" w:eastAsia="仿宋" w:cs="Times New Roman"/>
                <w:color w:val="auto"/>
                <w:sz w:val="21"/>
                <w:szCs w:val="21"/>
                <w:highlight w:val="none"/>
              </w:rPr>
              <w:t>900-099-S64</w:t>
            </w:r>
          </w:p>
        </w:tc>
        <w:tc>
          <w:tcPr>
            <w:tcW w:w="870" w:type="dxa"/>
            <w:shd w:val="clear" w:color="auto" w:fill="auto"/>
            <w:vAlign w:val="center"/>
          </w:tcPr>
          <w:p w14:paraId="651AADFD">
            <w:pPr>
              <w:ind w:left="-105" w:right="-105"/>
              <w:jc w:val="center"/>
              <w:rPr>
                <w:rFonts w:ascii="Times New Roman" w:hAnsi="Times New Roman" w:eastAsia="等线" w:cs="Times New Roman"/>
                <w:color w:val="auto"/>
                <w:sz w:val="21"/>
                <w:szCs w:val="18"/>
                <w:highlight w:val="none"/>
              </w:rPr>
            </w:pPr>
            <w:r>
              <w:rPr>
                <w:rFonts w:hint="eastAsia" w:ascii="Times New Roman" w:hAnsi="Times New Roman" w:eastAsia="等线" w:cs="Times New Roman"/>
                <w:color w:val="auto"/>
                <w:sz w:val="21"/>
                <w:szCs w:val="18"/>
                <w:highlight w:val="none"/>
              </w:rPr>
              <w:t>3</w:t>
            </w:r>
          </w:p>
        </w:tc>
        <w:tc>
          <w:tcPr>
            <w:tcW w:w="885" w:type="dxa"/>
            <w:shd w:val="clear" w:color="auto" w:fill="auto"/>
            <w:vAlign w:val="center"/>
          </w:tcPr>
          <w:p w14:paraId="2D553AD4">
            <w:pPr>
              <w:ind w:left="-105" w:right="-105"/>
              <w:jc w:val="center"/>
              <w:rPr>
                <w:rFonts w:ascii="Times New Roman" w:hAnsi="Times New Roman" w:eastAsia="等线" w:cs="Times New Roman"/>
                <w:color w:val="auto"/>
                <w:sz w:val="21"/>
                <w:szCs w:val="18"/>
                <w:highlight w:val="none"/>
              </w:rPr>
            </w:pPr>
            <w:r>
              <w:rPr>
                <w:rFonts w:hint="eastAsia" w:ascii="Times New Roman" w:hAnsi="Times New Roman" w:eastAsia="等线" w:cs="Times New Roman"/>
                <w:color w:val="auto"/>
                <w:sz w:val="21"/>
                <w:szCs w:val="18"/>
                <w:highlight w:val="none"/>
              </w:rPr>
              <w:t>3</w:t>
            </w:r>
          </w:p>
        </w:tc>
        <w:tc>
          <w:tcPr>
            <w:tcW w:w="1095" w:type="dxa"/>
            <w:vAlign w:val="center"/>
          </w:tcPr>
          <w:p w14:paraId="551E828E">
            <w:pPr>
              <w:ind w:left="-105" w:right="-105"/>
              <w:jc w:val="center"/>
              <w:rPr>
                <w:rFonts w:ascii="Times New Roman" w:hAnsi="Times New Roman" w:cs="Times New Roman"/>
                <w:color w:val="auto"/>
                <w:sz w:val="21"/>
                <w:szCs w:val="18"/>
                <w:highlight w:val="none"/>
              </w:rPr>
            </w:pPr>
            <w:r>
              <w:rPr>
                <w:rFonts w:hint="eastAsia" w:ascii="Times New Roman" w:hAnsi="Times New Roman" w:cs="Times New Roman"/>
                <w:color w:val="auto"/>
                <w:sz w:val="21"/>
                <w:szCs w:val="18"/>
                <w:highlight w:val="none"/>
              </w:rPr>
              <w:t>环卫清运</w:t>
            </w:r>
          </w:p>
        </w:tc>
        <w:tc>
          <w:tcPr>
            <w:tcW w:w="692" w:type="dxa"/>
            <w:vMerge w:val="continue"/>
            <w:vAlign w:val="center"/>
          </w:tcPr>
          <w:p w14:paraId="07A9BACC">
            <w:pPr>
              <w:ind w:left="-105" w:right="-105"/>
              <w:rPr>
                <w:rFonts w:ascii="Times New Roman" w:hAnsi="Times New Roman" w:cs="Times New Roman"/>
                <w:color w:val="auto"/>
                <w:sz w:val="21"/>
                <w:szCs w:val="18"/>
                <w:highlight w:val="none"/>
              </w:rPr>
            </w:pPr>
          </w:p>
        </w:tc>
      </w:tr>
    </w:tbl>
    <w:p w14:paraId="7B9F1081">
      <w:pPr>
        <w:spacing w:line="360" w:lineRule="auto"/>
        <w:ind w:left="-105" w:right="-105" w:firstLine="480" w:firstLineChars="200"/>
        <w:jc w:val="both"/>
        <w:rPr>
          <w:rFonts w:ascii="Times New Roman" w:hAnsi="Times New Roman"/>
          <w:color w:val="auto"/>
          <w:szCs w:val="22"/>
          <w:highlight w:val="none"/>
        </w:rPr>
      </w:pPr>
      <w:r>
        <w:rPr>
          <w:rFonts w:ascii="Times New Roman" w:hAnsi="Times New Roman"/>
          <w:color w:val="auto"/>
          <w:szCs w:val="22"/>
          <w:highlight w:val="none"/>
        </w:rPr>
        <w:t>暂存于危废仓库时严格按照规范《危险废物贮存污染控制标准》(GB18596-20</w:t>
      </w:r>
      <w:r>
        <w:rPr>
          <w:rFonts w:hint="eastAsia" w:ascii="Times New Roman" w:hAnsi="Times New Roman"/>
          <w:color w:val="auto"/>
          <w:szCs w:val="22"/>
          <w:highlight w:val="none"/>
        </w:rPr>
        <w:t>23</w:t>
      </w:r>
      <w:r>
        <w:rPr>
          <w:rFonts w:ascii="Times New Roman" w:hAnsi="Times New Roman"/>
          <w:color w:val="auto"/>
          <w:szCs w:val="22"/>
          <w:highlight w:val="none"/>
        </w:rPr>
        <w:t>)要求布置：</w:t>
      </w:r>
    </w:p>
    <w:p w14:paraId="30D679D5">
      <w:pPr>
        <w:pStyle w:val="15"/>
        <w:spacing w:line="360" w:lineRule="auto"/>
        <w:ind w:left="-105" w:right="-105" w:firstLine="482"/>
        <w:rPr>
          <w:rFonts w:eastAsia="宋体" w:cs="Times New Roman"/>
          <w:bCs/>
          <w:color w:val="auto"/>
          <w:sz w:val="24"/>
          <w:szCs w:val="18"/>
          <w:highlight w:val="none"/>
        </w:rPr>
      </w:pPr>
      <w:r>
        <w:rPr>
          <w:rFonts w:eastAsia="宋体" w:cs="Times New Roman"/>
          <w:bCs/>
          <w:color w:val="auto"/>
          <w:sz w:val="24"/>
          <w:szCs w:val="18"/>
          <w:highlight w:val="none"/>
        </w:rPr>
        <w:t>表</w:t>
      </w:r>
      <w:r>
        <w:rPr>
          <w:rFonts w:eastAsia="宋体" w:cs="Times New Roman"/>
          <w:bCs/>
          <w:color w:val="auto"/>
          <w:sz w:val="24"/>
          <w:szCs w:val="18"/>
          <w:highlight w:val="none"/>
        </w:rPr>
        <w:fldChar w:fldCharType="begin"/>
      </w:r>
      <w:r>
        <w:rPr>
          <w:rFonts w:eastAsia="宋体" w:cs="Times New Roman"/>
          <w:bCs/>
          <w:color w:val="auto"/>
          <w:sz w:val="24"/>
          <w:szCs w:val="18"/>
          <w:highlight w:val="none"/>
        </w:rPr>
        <w:instrText xml:space="preserve"> STYLEREF 2 \s </w:instrText>
      </w:r>
      <w:r>
        <w:rPr>
          <w:rFonts w:eastAsia="宋体" w:cs="Times New Roman"/>
          <w:bCs/>
          <w:color w:val="auto"/>
          <w:sz w:val="24"/>
          <w:szCs w:val="18"/>
          <w:highlight w:val="none"/>
        </w:rPr>
        <w:fldChar w:fldCharType="separate"/>
      </w:r>
      <w:r>
        <w:rPr>
          <w:rFonts w:eastAsia="宋体" w:cs="Times New Roman"/>
          <w:bCs/>
          <w:color w:val="auto"/>
          <w:sz w:val="24"/>
          <w:szCs w:val="18"/>
          <w:highlight w:val="none"/>
        </w:rPr>
        <w:t>3.3</w:t>
      </w:r>
      <w:r>
        <w:rPr>
          <w:rFonts w:eastAsia="宋体" w:cs="Times New Roman"/>
          <w:bCs/>
          <w:color w:val="auto"/>
          <w:sz w:val="24"/>
          <w:szCs w:val="18"/>
          <w:highlight w:val="none"/>
        </w:rPr>
        <w:fldChar w:fldCharType="end"/>
      </w:r>
      <w:r>
        <w:rPr>
          <w:rFonts w:hint="eastAsia" w:eastAsia="宋体" w:cs="Times New Roman"/>
          <w:bCs/>
          <w:color w:val="auto"/>
          <w:sz w:val="24"/>
          <w:szCs w:val="18"/>
          <w:highlight w:val="none"/>
        </w:rPr>
        <w:t>-</w:t>
      </w:r>
      <w:r>
        <w:rPr>
          <w:rFonts w:eastAsia="宋体" w:cs="Times New Roman"/>
          <w:bCs/>
          <w:color w:val="auto"/>
          <w:sz w:val="24"/>
          <w:szCs w:val="18"/>
          <w:highlight w:val="none"/>
        </w:rPr>
        <w:fldChar w:fldCharType="begin"/>
      </w:r>
      <w:r>
        <w:rPr>
          <w:rFonts w:eastAsia="宋体" w:cs="Times New Roman"/>
          <w:bCs/>
          <w:color w:val="auto"/>
          <w:sz w:val="24"/>
          <w:szCs w:val="18"/>
          <w:highlight w:val="none"/>
        </w:rPr>
        <w:instrText xml:space="preserve"> SEQ 表 \* ARABIC \s 2 </w:instrText>
      </w:r>
      <w:r>
        <w:rPr>
          <w:rFonts w:eastAsia="宋体" w:cs="Times New Roman"/>
          <w:bCs/>
          <w:color w:val="auto"/>
          <w:sz w:val="24"/>
          <w:szCs w:val="18"/>
          <w:highlight w:val="none"/>
        </w:rPr>
        <w:fldChar w:fldCharType="separate"/>
      </w:r>
      <w:r>
        <w:rPr>
          <w:rFonts w:eastAsia="宋体" w:cs="Times New Roman"/>
          <w:bCs/>
          <w:color w:val="auto"/>
          <w:sz w:val="24"/>
          <w:szCs w:val="18"/>
          <w:highlight w:val="none"/>
        </w:rPr>
        <w:t>11</w:t>
      </w:r>
      <w:r>
        <w:rPr>
          <w:rFonts w:eastAsia="宋体" w:cs="Times New Roman"/>
          <w:bCs/>
          <w:color w:val="auto"/>
          <w:sz w:val="24"/>
          <w:szCs w:val="18"/>
          <w:highlight w:val="none"/>
        </w:rPr>
        <w:fldChar w:fldCharType="end"/>
      </w:r>
      <w:r>
        <w:rPr>
          <w:rFonts w:hint="eastAsia" w:eastAsia="宋体" w:cs="Times New Roman"/>
          <w:bCs/>
          <w:color w:val="auto"/>
          <w:sz w:val="24"/>
          <w:szCs w:val="18"/>
          <w:highlight w:val="none"/>
        </w:rPr>
        <w:t>现有项目贮存设施建设要求相符性</w:t>
      </w:r>
    </w:p>
    <w:tbl>
      <w:tblPr>
        <w:tblStyle w:val="45"/>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456"/>
        <w:gridCol w:w="3792"/>
        <w:gridCol w:w="3226"/>
        <w:gridCol w:w="1030"/>
      </w:tblGrid>
      <w:tr w14:paraId="05190C9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268" w:type="pct"/>
            <w:vAlign w:val="center"/>
          </w:tcPr>
          <w:p w14:paraId="2EEF61C6">
            <w:pPr>
              <w:keepNext w:val="0"/>
              <w:keepLines w:val="0"/>
              <w:pageBreakBefore w:val="0"/>
              <w:kinsoku/>
              <w:wordWrap/>
              <w:overflowPunct/>
              <w:topLinePunct w:val="0"/>
              <w:autoSpaceDE/>
              <w:autoSpaceDN/>
              <w:bidi w:val="0"/>
              <w:ind w:left="0" w:right="0"/>
              <w:jc w:val="center"/>
              <w:textAlignment w:val="auto"/>
              <w:rPr>
                <w:rFonts w:ascii="Times New Roman" w:hAnsi="Times New Roman" w:cs="Times New Roman"/>
                <w:b/>
                <w:bCs/>
                <w:color w:val="auto"/>
                <w:sz w:val="21"/>
                <w:szCs w:val="21"/>
                <w:highlight w:val="none"/>
              </w:rPr>
            </w:pPr>
            <w:r>
              <w:rPr>
                <w:rFonts w:ascii="Times New Roman" w:hAnsi="Times New Roman" w:cs="Times New Roman"/>
                <w:b/>
                <w:bCs/>
                <w:color w:val="auto"/>
                <w:sz w:val="21"/>
                <w:szCs w:val="21"/>
                <w:highlight w:val="none"/>
              </w:rPr>
              <w:t>序号</w:t>
            </w:r>
          </w:p>
        </w:tc>
        <w:tc>
          <w:tcPr>
            <w:tcW w:w="2229" w:type="pct"/>
            <w:vAlign w:val="center"/>
          </w:tcPr>
          <w:p w14:paraId="03EF6D3D">
            <w:pPr>
              <w:keepNext w:val="0"/>
              <w:keepLines w:val="0"/>
              <w:pageBreakBefore w:val="0"/>
              <w:kinsoku/>
              <w:wordWrap/>
              <w:overflowPunct/>
              <w:topLinePunct w:val="0"/>
              <w:autoSpaceDE/>
              <w:autoSpaceDN/>
              <w:bidi w:val="0"/>
              <w:ind w:left="0" w:right="0"/>
              <w:jc w:val="center"/>
              <w:textAlignment w:val="auto"/>
              <w:rPr>
                <w:rFonts w:ascii="Times New Roman" w:hAnsi="Times New Roman" w:cs="Times New Roman"/>
                <w:b/>
                <w:bCs/>
                <w:color w:val="auto"/>
                <w:sz w:val="21"/>
                <w:szCs w:val="21"/>
                <w:highlight w:val="none"/>
              </w:rPr>
            </w:pPr>
            <w:r>
              <w:rPr>
                <w:rFonts w:ascii="Times New Roman" w:hAnsi="Times New Roman" w:cs="Times New Roman"/>
                <w:b/>
                <w:bCs/>
                <w:color w:val="auto"/>
                <w:sz w:val="21"/>
                <w:szCs w:val="21"/>
                <w:highlight w:val="none"/>
              </w:rPr>
              <w:t>贮存设施建设要求</w:t>
            </w:r>
          </w:p>
        </w:tc>
        <w:tc>
          <w:tcPr>
            <w:tcW w:w="1896" w:type="pct"/>
            <w:vAlign w:val="center"/>
          </w:tcPr>
          <w:p w14:paraId="70991367">
            <w:pPr>
              <w:keepNext w:val="0"/>
              <w:keepLines w:val="0"/>
              <w:pageBreakBefore w:val="0"/>
              <w:kinsoku/>
              <w:wordWrap/>
              <w:overflowPunct/>
              <w:topLinePunct w:val="0"/>
              <w:autoSpaceDE/>
              <w:autoSpaceDN/>
              <w:bidi w:val="0"/>
              <w:ind w:left="0" w:right="0"/>
              <w:jc w:val="center"/>
              <w:textAlignment w:val="auto"/>
              <w:rPr>
                <w:rFonts w:ascii="Times New Roman" w:hAnsi="Times New Roman" w:cs="Times New Roman"/>
                <w:b/>
                <w:bCs/>
                <w:color w:val="auto"/>
                <w:sz w:val="21"/>
                <w:szCs w:val="21"/>
                <w:highlight w:val="none"/>
              </w:rPr>
            </w:pPr>
            <w:r>
              <w:rPr>
                <w:rFonts w:ascii="Times New Roman" w:hAnsi="Times New Roman" w:cs="Times New Roman"/>
                <w:b/>
                <w:bCs/>
                <w:color w:val="auto"/>
                <w:sz w:val="21"/>
                <w:szCs w:val="21"/>
                <w:highlight w:val="none"/>
              </w:rPr>
              <w:t>建设单位应采取的应对措施</w:t>
            </w:r>
          </w:p>
        </w:tc>
        <w:tc>
          <w:tcPr>
            <w:tcW w:w="605" w:type="pct"/>
            <w:vAlign w:val="center"/>
          </w:tcPr>
          <w:p w14:paraId="6DF6594B">
            <w:pPr>
              <w:keepNext w:val="0"/>
              <w:keepLines w:val="0"/>
              <w:pageBreakBefore w:val="0"/>
              <w:kinsoku/>
              <w:wordWrap/>
              <w:overflowPunct/>
              <w:topLinePunct w:val="0"/>
              <w:autoSpaceDE/>
              <w:autoSpaceDN/>
              <w:bidi w:val="0"/>
              <w:ind w:left="0" w:right="0"/>
              <w:jc w:val="center"/>
              <w:textAlignment w:val="auto"/>
              <w:rPr>
                <w:rFonts w:ascii="Times New Roman" w:hAnsi="Times New Roman" w:cs="Times New Roman"/>
                <w:b/>
                <w:bCs/>
                <w:color w:val="auto"/>
                <w:sz w:val="21"/>
                <w:szCs w:val="21"/>
                <w:highlight w:val="none"/>
              </w:rPr>
            </w:pPr>
            <w:r>
              <w:rPr>
                <w:rFonts w:ascii="Times New Roman" w:hAnsi="Times New Roman" w:cs="Times New Roman"/>
                <w:b/>
                <w:bCs/>
                <w:color w:val="auto"/>
                <w:sz w:val="21"/>
                <w:szCs w:val="21"/>
                <w:highlight w:val="none"/>
              </w:rPr>
              <w:t>相符性</w:t>
            </w:r>
          </w:p>
        </w:tc>
      </w:tr>
      <w:tr w14:paraId="57D1D6A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268" w:type="pct"/>
            <w:vAlign w:val="center"/>
          </w:tcPr>
          <w:p w14:paraId="3FA28573">
            <w:pPr>
              <w:keepNext w:val="0"/>
              <w:keepLines w:val="0"/>
              <w:pageBreakBefore w:val="0"/>
              <w:kinsoku/>
              <w:wordWrap/>
              <w:overflowPunct/>
              <w:topLinePunct w:val="0"/>
              <w:autoSpaceDE/>
              <w:autoSpaceDN/>
              <w:bidi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1</w:t>
            </w:r>
          </w:p>
        </w:tc>
        <w:tc>
          <w:tcPr>
            <w:tcW w:w="2229" w:type="pct"/>
            <w:vAlign w:val="center"/>
          </w:tcPr>
          <w:p w14:paraId="77BE8A05">
            <w:pPr>
              <w:keepNext w:val="0"/>
              <w:keepLines w:val="0"/>
              <w:pageBreakBefore w:val="0"/>
              <w:widowControl w:val="0"/>
              <w:kinsoku/>
              <w:wordWrap/>
              <w:overflowPunct/>
              <w:topLinePunct w:val="0"/>
              <w:autoSpaceDE/>
              <w:autoSpaceDN/>
              <w:bidi w:val="0"/>
              <w:adjustRightInd w:val="0"/>
              <w:snapToGrid w:val="0"/>
              <w:ind w:left="0" w:right="0" w:firstLine="420" w:firstLineChars="200"/>
              <w:jc w:val="both"/>
              <w:textAlignment w:val="auto"/>
              <w:rPr>
                <w:rFonts w:ascii="Times New Roman" w:hAnsi="Times New Roman" w:cs="Times New Roman"/>
                <w:bCs/>
                <w:color w:val="auto"/>
                <w:sz w:val="21"/>
                <w:szCs w:val="21"/>
                <w:highlight w:val="none"/>
              </w:rPr>
            </w:pPr>
            <w:r>
              <w:rPr>
                <w:rFonts w:ascii="Times New Roman" w:hAnsi="Times New Roman" w:cs="Times New Roman"/>
                <w:bCs/>
                <w:color w:val="auto"/>
                <w:sz w:val="21"/>
                <w:szCs w:val="21"/>
                <w:highlight w:val="none"/>
              </w:rPr>
              <w:t>贮存设施应根据危险废物的形态、物理化学性质、包装形式和污染物迁移途径，采取必要的防风、防晒、防雨、防漏、防渗、防腐以及其他环境污染防治措施，不应露天堆放危险废物。</w:t>
            </w:r>
          </w:p>
        </w:tc>
        <w:tc>
          <w:tcPr>
            <w:tcW w:w="1896" w:type="pct"/>
            <w:vAlign w:val="center"/>
          </w:tcPr>
          <w:p w14:paraId="6E08BF7E">
            <w:pPr>
              <w:keepNext w:val="0"/>
              <w:keepLines w:val="0"/>
              <w:pageBreakBefore w:val="0"/>
              <w:widowControl w:val="0"/>
              <w:kinsoku/>
              <w:wordWrap/>
              <w:overflowPunct/>
              <w:topLinePunct w:val="0"/>
              <w:autoSpaceDE/>
              <w:autoSpaceDN/>
              <w:bidi w:val="0"/>
              <w:adjustRightInd w:val="0"/>
              <w:snapToGrid w:val="0"/>
              <w:ind w:left="0" w:right="0" w:firstLine="420" w:firstLineChars="200"/>
              <w:jc w:val="both"/>
              <w:textAlignment w:val="auto"/>
              <w:rPr>
                <w:rFonts w:ascii="Times New Roman" w:hAnsi="Times New Roman" w:cs="Times New Roman"/>
                <w:bCs/>
                <w:color w:val="auto"/>
                <w:sz w:val="21"/>
                <w:szCs w:val="21"/>
                <w:highlight w:val="none"/>
              </w:rPr>
            </w:pPr>
            <w:r>
              <w:rPr>
                <w:rFonts w:ascii="Times New Roman" w:hAnsi="Times New Roman" w:cs="Times New Roman"/>
                <w:bCs/>
                <w:color w:val="auto"/>
                <w:sz w:val="21"/>
                <w:szCs w:val="21"/>
                <w:highlight w:val="none"/>
              </w:rPr>
              <w:t>企业危废仓库为独立的库房，具备防风、防晒、防雨、防漏、防渗、防腐的功能，并设置有事故废水收集措施。</w:t>
            </w:r>
            <w:r>
              <w:rPr>
                <w:rFonts w:hint="eastAsia" w:ascii="Times New Roman" w:hAnsi="Times New Roman" w:cs="Times New Roman"/>
                <w:bCs/>
                <w:color w:val="auto"/>
                <w:sz w:val="21"/>
                <w:szCs w:val="21"/>
                <w:highlight w:val="none"/>
              </w:rPr>
              <w:t>废液储罐区有围堰，并与事故应急池连通。</w:t>
            </w:r>
          </w:p>
        </w:tc>
        <w:tc>
          <w:tcPr>
            <w:tcW w:w="605" w:type="pct"/>
            <w:vAlign w:val="center"/>
          </w:tcPr>
          <w:p w14:paraId="41877714">
            <w:pPr>
              <w:keepNext w:val="0"/>
              <w:keepLines w:val="0"/>
              <w:pageBreakBefore w:val="0"/>
              <w:kinsoku/>
              <w:wordWrap/>
              <w:overflowPunct/>
              <w:topLinePunct w:val="0"/>
              <w:autoSpaceDE/>
              <w:autoSpaceDN/>
              <w:bidi w:val="0"/>
              <w:ind w:left="0" w:right="0"/>
              <w:jc w:val="center"/>
              <w:textAlignment w:val="auto"/>
              <w:rPr>
                <w:rFonts w:ascii="Times New Roman" w:hAnsi="Times New Roman" w:cs="Times New Roman"/>
                <w:bCs/>
                <w:color w:val="auto"/>
                <w:sz w:val="21"/>
                <w:szCs w:val="21"/>
                <w:highlight w:val="none"/>
              </w:rPr>
            </w:pPr>
            <w:r>
              <w:rPr>
                <w:rFonts w:ascii="Times New Roman" w:hAnsi="Times New Roman" w:cs="Times New Roman"/>
                <w:bCs/>
                <w:color w:val="auto"/>
                <w:sz w:val="21"/>
                <w:szCs w:val="21"/>
                <w:highlight w:val="none"/>
              </w:rPr>
              <w:t>相符</w:t>
            </w:r>
          </w:p>
        </w:tc>
      </w:tr>
      <w:tr w14:paraId="7DC5BF4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268" w:type="pct"/>
            <w:vAlign w:val="center"/>
          </w:tcPr>
          <w:p w14:paraId="2FF32CBB">
            <w:pPr>
              <w:keepNext w:val="0"/>
              <w:keepLines w:val="0"/>
              <w:pageBreakBefore w:val="0"/>
              <w:kinsoku/>
              <w:wordWrap/>
              <w:overflowPunct/>
              <w:topLinePunct w:val="0"/>
              <w:autoSpaceDE/>
              <w:autoSpaceDN/>
              <w:bidi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2</w:t>
            </w:r>
          </w:p>
        </w:tc>
        <w:tc>
          <w:tcPr>
            <w:tcW w:w="2229" w:type="pct"/>
            <w:vAlign w:val="center"/>
          </w:tcPr>
          <w:p w14:paraId="670CF30E">
            <w:pPr>
              <w:keepNext w:val="0"/>
              <w:keepLines w:val="0"/>
              <w:pageBreakBefore w:val="0"/>
              <w:widowControl w:val="0"/>
              <w:kinsoku/>
              <w:wordWrap/>
              <w:overflowPunct/>
              <w:topLinePunct w:val="0"/>
              <w:autoSpaceDE/>
              <w:autoSpaceDN/>
              <w:bidi w:val="0"/>
              <w:adjustRightInd w:val="0"/>
              <w:snapToGrid w:val="0"/>
              <w:ind w:left="0" w:right="0" w:firstLine="420" w:firstLineChars="200"/>
              <w:jc w:val="both"/>
              <w:textAlignment w:val="auto"/>
              <w:rPr>
                <w:rFonts w:ascii="Times New Roman" w:hAnsi="Times New Roman" w:cs="Times New Roman"/>
                <w:bCs/>
                <w:color w:val="auto"/>
                <w:sz w:val="21"/>
                <w:szCs w:val="21"/>
                <w:highlight w:val="none"/>
              </w:rPr>
            </w:pPr>
            <w:r>
              <w:rPr>
                <w:rFonts w:ascii="Times New Roman" w:hAnsi="Times New Roman" w:cs="Times New Roman"/>
                <w:bCs/>
                <w:color w:val="auto"/>
                <w:sz w:val="21"/>
                <w:szCs w:val="21"/>
                <w:highlight w:val="none"/>
              </w:rPr>
              <w:t>贮存设施应根据危险废物的类别、数量、形态、物理化学性质和污染防治等要求设置必要的贮存分区，避免不相容的危险废物接触、混合。</w:t>
            </w:r>
          </w:p>
        </w:tc>
        <w:tc>
          <w:tcPr>
            <w:tcW w:w="1896" w:type="pct"/>
            <w:vAlign w:val="center"/>
          </w:tcPr>
          <w:p w14:paraId="12988DA8">
            <w:pPr>
              <w:keepNext w:val="0"/>
              <w:keepLines w:val="0"/>
              <w:pageBreakBefore w:val="0"/>
              <w:widowControl w:val="0"/>
              <w:kinsoku/>
              <w:wordWrap/>
              <w:overflowPunct/>
              <w:topLinePunct w:val="0"/>
              <w:autoSpaceDE/>
              <w:autoSpaceDN/>
              <w:bidi w:val="0"/>
              <w:adjustRightInd w:val="0"/>
              <w:snapToGrid w:val="0"/>
              <w:ind w:left="0" w:right="0" w:firstLine="420" w:firstLineChars="200"/>
              <w:jc w:val="both"/>
              <w:textAlignment w:val="auto"/>
              <w:rPr>
                <w:rFonts w:ascii="Times New Roman" w:hAnsi="Times New Roman" w:cs="Times New Roman"/>
                <w:bCs/>
                <w:color w:val="auto"/>
                <w:sz w:val="21"/>
                <w:szCs w:val="21"/>
                <w:highlight w:val="none"/>
              </w:rPr>
            </w:pPr>
            <w:r>
              <w:rPr>
                <w:rFonts w:ascii="Times New Roman" w:hAnsi="Times New Roman" w:cs="Times New Roman"/>
                <w:bCs/>
                <w:color w:val="auto"/>
                <w:sz w:val="21"/>
                <w:szCs w:val="21"/>
                <w:highlight w:val="none"/>
              </w:rPr>
              <w:t>企业将针对危险废物种类、数量形态、物理化学性质和污染防治等要求设置必要的贮存分区。</w:t>
            </w:r>
          </w:p>
          <w:p w14:paraId="28F7DAD8">
            <w:pPr>
              <w:keepNext w:val="0"/>
              <w:keepLines w:val="0"/>
              <w:pageBreakBefore w:val="0"/>
              <w:widowControl w:val="0"/>
              <w:kinsoku/>
              <w:wordWrap/>
              <w:overflowPunct/>
              <w:topLinePunct w:val="0"/>
              <w:autoSpaceDE/>
              <w:autoSpaceDN/>
              <w:bidi w:val="0"/>
              <w:adjustRightInd w:val="0"/>
              <w:snapToGrid w:val="0"/>
              <w:ind w:left="0" w:right="0" w:firstLine="420" w:firstLineChars="200"/>
              <w:jc w:val="both"/>
              <w:textAlignment w:val="auto"/>
              <w:rPr>
                <w:rFonts w:ascii="Times New Roman" w:hAnsi="Times New Roman" w:cs="Times New Roman"/>
                <w:bCs/>
                <w:color w:val="auto"/>
                <w:sz w:val="21"/>
                <w:szCs w:val="21"/>
                <w:highlight w:val="none"/>
              </w:rPr>
            </w:pPr>
            <w:r>
              <w:rPr>
                <w:rFonts w:ascii="Times New Roman" w:hAnsi="Times New Roman" w:cs="Times New Roman"/>
                <w:bCs/>
                <w:color w:val="auto"/>
                <w:sz w:val="21"/>
                <w:szCs w:val="21"/>
                <w:highlight w:val="none"/>
              </w:rPr>
              <w:t>危险废物采用合适的包装，危废仓库地面采取防渗措施。危废间内设置禁火标志，并布置灭火器、沙包等消防物资。</w:t>
            </w:r>
          </w:p>
        </w:tc>
        <w:tc>
          <w:tcPr>
            <w:tcW w:w="605" w:type="pct"/>
            <w:vAlign w:val="center"/>
          </w:tcPr>
          <w:p w14:paraId="5D25706E">
            <w:pPr>
              <w:keepNext w:val="0"/>
              <w:keepLines w:val="0"/>
              <w:pageBreakBefore w:val="0"/>
              <w:kinsoku/>
              <w:wordWrap/>
              <w:overflowPunct/>
              <w:topLinePunct w:val="0"/>
              <w:autoSpaceDE/>
              <w:autoSpaceDN/>
              <w:bidi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bCs/>
                <w:color w:val="auto"/>
                <w:sz w:val="21"/>
                <w:szCs w:val="21"/>
                <w:highlight w:val="none"/>
              </w:rPr>
              <w:t>相符</w:t>
            </w:r>
          </w:p>
        </w:tc>
      </w:tr>
      <w:tr w14:paraId="3BEAD2A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268" w:type="pct"/>
            <w:vAlign w:val="center"/>
          </w:tcPr>
          <w:p w14:paraId="3E65FC54">
            <w:pPr>
              <w:keepNext w:val="0"/>
              <w:keepLines w:val="0"/>
              <w:pageBreakBefore w:val="0"/>
              <w:kinsoku/>
              <w:wordWrap/>
              <w:overflowPunct/>
              <w:topLinePunct w:val="0"/>
              <w:autoSpaceDE/>
              <w:autoSpaceDN/>
              <w:bidi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3</w:t>
            </w:r>
          </w:p>
        </w:tc>
        <w:tc>
          <w:tcPr>
            <w:tcW w:w="2229" w:type="pct"/>
            <w:vAlign w:val="center"/>
          </w:tcPr>
          <w:p w14:paraId="5E22BAD4">
            <w:pPr>
              <w:keepNext w:val="0"/>
              <w:keepLines w:val="0"/>
              <w:pageBreakBefore w:val="0"/>
              <w:widowControl w:val="0"/>
              <w:kinsoku/>
              <w:wordWrap/>
              <w:overflowPunct/>
              <w:topLinePunct w:val="0"/>
              <w:autoSpaceDE/>
              <w:autoSpaceDN/>
              <w:bidi w:val="0"/>
              <w:adjustRightInd w:val="0"/>
              <w:snapToGrid w:val="0"/>
              <w:ind w:left="0" w:right="0" w:firstLine="420" w:firstLineChars="200"/>
              <w:jc w:val="both"/>
              <w:textAlignment w:val="auto"/>
              <w:rPr>
                <w:rFonts w:ascii="Times New Roman" w:hAnsi="Times New Roman" w:cs="Times New Roman"/>
                <w:bCs/>
                <w:color w:val="auto"/>
                <w:kern w:val="2"/>
                <w:sz w:val="21"/>
                <w:szCs w:val="21"/>
                <w:highlight w:val="none"/>
              </w:rPr>
            </w:pPr>
            <w:r>
              <w:rPr>
                <w:rFonts w:ascii="Times New Roman" w:hAnsi="Times New Roman" w:cs="Times New Roman"/>
                <w:bCs/>
                <w:color w:val="auto"/>
                <w:sz w:val="21"/>
                <w:szCs w:val="21"/>
                <w:highlight w:val="none"/>
              </w:rPr>
              <w:t>在贮存库内或通过贮存分区方式贮存液态危险废物的，应具有液体泄漏堵截设施，堵截设施最小容积不应低于对应贮存区域最大液态废物容器容积或液态废物总储量1/10（二者取较大者）；用于贮存可能产生渗滤液的危险废物的贮存库或贮存分区应设计渗滤液收集设施，收集设施容积应满足渗滤液的收集要求。</w:t>
            </w:r>
          </w:p>
        </w:tc>
        <w:tc>
          <w:tcPr>
            <w:tcW w:w="1896" w:type="pct"/>
            <w:vAlign w:val="center"/>
          </w:tcPr>
          <w:p w14:paraId="233661CA">
            <w:pPr>
              <w:keepNext w:val="0"/>
              <w:keepLines w:val="0"/>
              <w:pageBreakBefore w:val="0"/>
              <w:widowControl w:val="0"/>
              <w:kinsoku/>
              <w:wordWrap/>
              <w:overflowPunct/>
              <w:topLinePunct w:val="0"/>
              <w:autoSpaceDE/>
              <w:autoSpaceDN/>
              <w:bidi w:val="0"/>
              <w:adjustRightInd w:val="0"/>
              <w:snapToGrid w:val="0"/>
              <w:ind w:left="0" w:right="0" w:firstLine="420" w:firstLineChars="200"/>
              <w:jc w:val="both"/>
              <w:textAlignment w:val="auto"/>
              <w:rPr>
                <w:rFonts w:hint="eastAsia" w:ascii="Times New Roman" w:hAnsi="Times New Roman" w:cs="Times New Roman"/>
                <w:bCs/>
                <w:color w:val="auto"/>
                <w:sz w:val="21"/>
                <w:szCs w:val="21"/>
                <w:highlight w:val="none"/>
                <w:lang w:val="en-US" w:eastAsia="zh-CN"/>
              </w:rPr>
            </w:pPr>
            <w:r>
              <w:rPr>
                <w:rFonts w:ascii="Times New Roman" w:hAnsi="Times New Roman" w:cs="Times New Roman"/>
                <w:bCs/>
                <w:color w:val="auto"/>
                <w:sz w:val="21"/>
                <w:szCs w:val="21"/>
                <w:highlight w:val="none"/>
              </w:rPr>
              <w:t>企业危废仓库设立独立区域，</w:t>
            </w:r>
            <w:r>
              <w:rPr>
                <w:rFonts w:hint="eastAsia" w:ascii="Times New Roman" w:hAnsi="Times New Roman" w:cs="Times New Roman"/>
                <w:bCs/>
                <w:color w:val="auto"/>
                <w:sz w:val="21"/>
                <w:szCs w:val="21"/>
                <w:highlight w:val="none"/>
                <w:lang w:val="en-US" w:eastAsia="zh-CN"/>
              </w:rPr>
              <w:t>库内设置防泄漏托盘和收集沟，收集沟与收集坑相连通。</w:t>
            </w:r>
          </w:p>
          <w:p w14:paraId="1C7EC5DB">
            <w:pPr>
              <w:keepNext w:val="0"/>
              <w:keepLines w:val="0"/>
              <w:pageBreakBefore w:val="0"/>
              <w:widowControl w:val="0"/>
              <w:kinsoku/>
              <w:wordWrap/>
              <w:overflowPunct/>
              <w:topLinePunct w:val="0"/>
              <w:autoSpaceDE/>
              <w:autoSpaceDN/>
              <w:bidi w:val="0"/>
              <w:adjustRightInd w:val="0"/>
              <w:snapToGrid w:val="0"/>
              <w:ind w:left="0" w:right="0" w:firstLine="420" w:firstLineChars="200"/>
              <w:jc w:val="both"/>
              <w:textAlignment w:val="auto"/>
              <w:rPr>
                <w:rFonts w:ascii="Times New Roman" w:hAnsi="Times New Roman" w:cs="Times New Roman"/>
                <w:bCs/>
                <w:color w:val="auto"/>
                <w:kern w:val="2"/>
                <w:sz w:val="21"/>
                <w:szCs w:val="21"/>
                <w:highlight w:val="none"/>
              </w:rPr>
            </w:pPr>
            <w:r>
              <w:rPr>
                <w:rFonts w:hint="eastAsia" w:ascii="Times New Roman" w:hAnsi="Times New Roman" w:cs="Times New Roman"/>
                <w:bCs/>
                <w:color w:val="auto"/>
                <w:sz w:val="21"/>
                <w:szCs w:val="21"/>
                <w:highlight w:val="none"/>
                <w:lang w:val="en-US" w:eastAsia="zh-CN"/>
              </w:rPr>
              <w:t>废液储罐区有围堰，并于事故应急池连通</w:t>
            </w:r>
            <w:r>
              <w:rPr>
                <w:rFonts w:ascii="Times New Roman" w:hAnsi="Times New Roman" w:cs="Times New Roman"/>
                <w:bCs/>
                <w:color w:val="auto"/>
                <w:sz w:val="21"/>
                <w:szCs w:val="21"/>
                <w:highlight w:val="none"/>
              </w:rPr>
              <w:t>。</w:t>
            </w:r>
          </w:p>
        </w:tc>
        <w:tc>
          <w:tcPr>
            <w:tcW w:w="605" w:type="pct"/>
            <w:vAlign w:val="center"/>
          </w:tcPr>
          <w:p w14:paraId="59E0D9D9">
            <w:pPr>
              <w:keepNext w:val="0"/>
              <w:keepLines w:val="0"/>
              <w:pageBreakBefore w:val="0"/>
              <w:kinsoku/>
              <w:wordWrap/>
              <w:overflowPunct/>
              <w:topLinePunct w:val="0"/>
              <w:autoSpaceDE/>
              <w:autoSpaceDN/>
              <w:bidi w:val="0"/>
              <w:ind w:left="0" w:right="0"/>
              <w:jc w:val="center"/>
              <w:textAlignment w:val="auto"/>
              <w:rPr>
                <w:rFonts w:ascii="Times New Roman" w:hAnsi="Times New Roman" w:cs="Times New Roman"/>
                <w:color w:val="auto"/>
                <w:kern w:val="2"/>
                <w:sz w:val="21"/>
                <w:szCs w:val="21"/>
                <w:highlight w:val="none"/>
              </w:rPr>
            </w:pPr>
            <w:r>
              <w:rPr>
                <w:rFonts w:ascii="Times New Roman" w:hAnsi="Times New Roman" w:cs="Times New Roman"/>
                <w:bCs/>
                <w:color w:val="auto"/>
                <w:sz w:val="21"/>
                <w:szCs w:val="21"/>
                <w:highlight w:val="none"/>
              </w:rPr>
              <w:t>相符</w:t>
            </w:r>
          </w:p>
        </w:tc>
      </w:tr>
      <w:tr w14:paraId="7674CFA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268" w:type="pct"/>
            <w:vAlign w:val="center"/>
          </w:tcPr>
          <w:p w14:paraId="06C5334D">
            <w:pPr>
              <w:keepNext w:val="0"/>
              <w:keepLines w:val="0"/>
              <w:pageBreakBefore w:val="0"/>
              <w:kinsoku/>
              <w:wordWrap/>
              <w:overflowPunct/>
              <w:topLinePunct w:val="0"/>
              <w:autoSpaceDE/>
              <w:autoSpaceDN/>
              <w:bidi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4</w:t>
            </w:r>
          </w:p>
        </w:tc>
        <w:tc>
          <w:tcPr>
            <w:tcW w:w="2229" w:type="pct"/>
            <w:vAlign w:val="center"/>
          </w:tcPr>
          <w:p w14:paraId="270713AC">
            <w:pPr>
              <w:keepNext w:val="0"/>
              <w:keepLines w:val="0"/>
              <w:pageBreakBefore w:val="0"/>
              <w:widowControl w:val="0"/>
              <w:kinsoku/>
              <w:wordWrap/>
              <w:overflowPunct/>
              <w:topLinePunct w:val="0"/>
              <w:autoSpaceDE/>
              <w:autoSpaceDN/>
              <w:bidi w:val="0"/>
              <w:adjustRightInd w:val="0"/>
              <w:snapToGrid w:val="0"/>
              <w:ind w:left="0" w:right="0" w:firstLine="420" w:firstLineChars="200"/>
              <w:jc w:val="both"/>
              <w:textAlignment w:val="auto"/>
              <w:rPr>
                <w:rFonts w:ascii="Times New Roman" w:hAnsi="Times New Roman" w:cs="Times New Roman"/>
                <w:bCs/>
                <w:color w:val="auto"/>
                <w:kern w:val="2"/>
                <w:sz w:val="21"/>
                <w:szCs w:val="21"/>
                <w:highlight w:val="none"/>
              </w:rPr>
            </w:pPr>
            <w:r>
              <w:rPr>
                <w:rFonts w:ascii="Times New Roman" w:hAnsi="Times New Roman" w:cs="Times New Roman"/>
                <w:bCs/>
                <w:color w:val="auto"/>
                <w:sz w:val="21"/>
                <w:szCs w:val="21"/>
                <w:highlight w:val="none"/>
              </w:rPr>
              <w:t>贮存易产生粉尘、VOCs、酸雾、有毒有害大气污染物和刺激性气味气体的危险废物贮存库，应设置气体收集装置和气体净化设施。</w:t>
            </w:r>
          </w:p>
        </w:tc>
        <w:tc>
          <w:tcPr>
            <w:tcW w:w="1896" w:type="pct"/>
            <w:vAlign w:val="center"/>
          </w:tcPr>
          <w:p w14:paraId="0EBC91AF">
            <w:pPr>
              <w:keepNext w:val="0"/>
              <w:keepLines w:val="0"/>
              <w:pageBreakBefore w:val="0"/>
              <w:widowControl w:val="0"/>
              <w:kinsoku/>
              <w:wordWrap/>
              <w:overflowPunct/>
              <w:topLinePunct w:val="0"/>
              <w:autoSpaceDE/>
              <w:autoSpaceDN/>
              <w:bidi w:val="0"/>
              <w:adjustRightInd w:val="0"/>
              <w:snapToGrid w:val="0"/>
              <w:ind w:left="0" w:right="0" w:firstLine="420" w:firstLineChars="200"/>
              <w:jc w:val="both"/>
              <w:textAlignment w:val="auto"/>
              <w:rPr>
                <w:rFonts w:ascii="Times New Roman" w:hAnsi="Times New Roman" w:cs="Times New Roman"/>
                <w:bCs/>
                <w:color w:val="auto"/>
                <w:kern w:val="2"/>
                <w:sz w:val="21"/>
                <w:szCs w:val="21"/>
                <w:highlight w:val="none"/>
              </w:rPr>
            </w:pPr>
            <w:r>
              <w:rPr>
                <w:rFonts w:ascii="Times New Roman" w:hAnsi="Times New Roman" w:cs="Times New Roman"/>
                <w:bCs/>
                <w:color w:val="auto"/>
                <w:sz w:val="21"/>
                <w:szCs w:val="21"/>
                <w:highlight w:val="none"/>
              </w:rPr>
              <w:t>危险废物</w:t>
            </w:r>
            <w:r>
              <w:rPr>
                <w:rFonts w:hint="eastAsia" w:ascii="Times New Roman" w:hAnsi="Times New Roman" w:cs="Times New Roman"/>
                <w:bCs/>
                <w:color w:val="auto"/>
                <w:sz w:val="21"/>
                <w:szCs w:val="21"/>
                <w:highlight w:val="none"/>
              </w:rPr>
              <w:t>均通过密闭容器贮存，吨袋有内衬、袋口扎紧，</w:t>
            </w:r>
            <w:r>
              <w:rPr>
                <w:rFonts w:hint="eastAsia" w:ascii="Times New Roman" w:hAnsi="Times New Roman" w:cs="Times New Roman"/>
                <w:bCs/>
                <w:color w:val="auto"/>
                <w:sz w:val="21"/>
                <w:szCs w:val="21"/>
                <w:highlight w:val="none"/>
                <w:lang w:val="en-US" w:eastAsia="zh-CN"/>
              </w:rPr>
              <w:t>废丁酮</w:t>
            </w:r>
            <w:r>
              <w:rPr>
                <w:rFonts w:hint="eastAsia" w:ascii="Times New Roman" w:hAnsi="Times New Roman" w:cs="Times New Roman"/>
                <w:bCs/>
                <w:color w:val="auto"/>
                <w:sz w:val="21"/>
                <w:szCs w:val="21"/>
                <w:highlight w:val="none"/>
              </w:rPr>
              <w:t>包装桶均</w:t>
            </w:r>
            <w:r>
              <w:rPr>
                <w:rFonts w:hint="eastAsia" w:ascii="Times New Roman" w:hAnsi="Times New Roman" w:cs="Times New Roman"/>
                <w:bCs/>
                <w:color w:val="auto"/>
                <w:sz w:val="21"/>
                <w:szCs w:val="21"/>
                <w:highlight w:val="none"/>
                <w:lang w:val="en-US" w:eastAsia="zh-CN"/>
              </w:rPr>
              <w:t>盖紧</w:t>
            </w:r>
            <w:r>
              <w:rPr>
                <w:rFonts w:hint="eastAsia" w:ascii="Times New Roman" w:hAnsi="Times New Roman" w:cs="Times New Roman"/>
                <w:bCs/>
                <w:color w:val="auto"/>
                <w:sz w:val="21"/>
                <w:szCs w:val="21"/>
                <w:highlight w:val="none"/>
              </w:rPr>
              <w:t>桶盖并用塑料膜缠绕，故</w:t>
            </w:r>
            <w:r>
              <w:rPr>
                <w:rFonts w:hint="eastAsia" w:ascii="Times New Roman" w:hAnsi="Times New Roman" w:cs="Times New Roman"/>
                <w:bCs/>
                <w:color w:val="auto"/>
                <w:sz w:val="21"/>
                <w:szCs w:val="21"/>
                <w:highlight w:val="none"/>
              </w:rPr>
              <w:t>不</w:t>
            </w:r>
            <w:r>
              <w:rPr>
                <w:rFonts w:ascii="Times New Roman" w:hAnsi="Times New Roman" w:cs="Times New Roman"/>
                <w:bCs/>
                <w:color w:val="auto"/>
                <w:sz w:val="21"/>
                <w:szCs w:val="21"/>
                <w:highlight w:val="none"/>
              </w:rPr>
              <w:t>易产生粉尘、VOCs、酸雾、有毒有害大气污染物和刺激性气味气体</w:t>
            </w:r>
            <w:r>
              <w:rPr>
                <w:rFonts w:hint="eastAsia" w:ascii="Times New Roman" w:hAnsi="Times New Roman" w:cs="Times New Roman"/>
                <w:bCs/>
                <w:color w:val="auto"/>
                <w:sz w:val="21"/>
                <w:szCs w:val="21"/>
                <w:highlight w:val="none"/>
              </w:rPr>
              <w:t>，</w:t>
            </w:r>
            <w:r>
              <w:rPr>
                <w:rFonts w:ascii="Times New Roman" w:hAnsi="Times New Roman" w:cs="Times New Roman"/>
                <w:bCs/>
                <w:color w:val="auto"/>
                <w:sz w:val="21"/>
                <w:szCs w:val="21"/>
                <w:highlight w:val="none"/>
              </w:rPr>
              <w:t>仓库</w:t>
            </w:r>
            <w:r>
              <w:rPr>
                <w:rFonts w:hint="eastAsia" w:ascii="Times New Roman" w:hAnsi="Times New Roman" w:cs="Times New Roman"/>
                <w:bCs/>
                <w:color w:val="auto"/>
                <w:sz w:val="21"/>
                <w:szCs w:val="21"/>
                <w:highlight w:val="none"/>
              </w:rPr>
              <w:t>无需</w:t>
            </w:r>
            <w:r>
              <w:rPr>
                <w:rFonts w:ascii="Times New Roman" w:hAnsi="Times New Roman" w:cs="Times New Roman"/>
                <w:bCs/>
                <w:color w:val="auto"/>
                <w:sz w:val="21"/>
                <w:szCs w:val="21"/>
                <w:highlight w:val="none"/>
              </w:rPr>
              <w:t>设置气体收集装置和气体净化设施。</w:t>
            </w:r>
          </w:p>
        </w:tc>
        <w:tc>
          <w:tcPr>
            <w:tcW w:w="605" w:type="pct"/>
            <w:vAlign w:val="center"/>
          </w:tcPr>
          <w:p w14:paraId="058F62D2">
            <w:pPr>
              <w:keepNext w:val="0"/>
              <w:keepLines w:val="0"/>
              <w:pageBreakBefore w:val="0"/>
              <w:kinsoku/>
              <w:wordWrap/>
              <w:overflowPunct/>
              <w:topLinePunct w:val="0"/>
              <w:autoSpaceDE/>
              <w:autoSpaceDN/>
              <w:bidi w:val="0"/>
              <w:ind w:left="0" w:right="0"/>
              <w:jc w:val="center"/>
              <w:textAlignment w:val="auto"/>
              <w:rPr>
                <w:rFonts w:ascii="Times New Roman" w:hAnsi="Times New Roman" w:cs="Times New Roman"/>
                <w:color w:val="auto"/>
                <w:kern w:val="2"/>
                <w:sz w:val="21"/>
                <w:szCs w:val="21"/>
                <w:highlight w:val="none"/>
              </w:rPr>
            </w:pPr>
            <w:r>
              <w:rPr>
                <w:rFonts w:ascii="Times New Roman" w:hAnsi="Times New Roman" w:cs="Times New Roman"/>
                <w:bCs/>
                <w:color w:val="auto"/>
                <w:sz w:val="21"/>
                <w:szCs w:val="21"/>
                <w:highlight w:val="none"/>
              </w:rPr>
              <w:t>相符</w:t>
            </w:r>
          </w:p>
        </w:tc>
      </w:tr>
      <w:tr w14:paraId="554A1CF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268" w:type="pct"/>
            <w:vAlign w:val="center"/>
          </w:tcPr>
          <w:p w14:paraId="19604750">
            <w:pPr>
              <w:keepNext w:val="0"/>
              <w:keepLines w:val="0"/>
              <w:pageBreakBefore w:val="0"/>
              <w:kinsoku/>
              <w:wordWrap/>
              <w:overflowPunct/>
              <w:topLinePunct w:val="0"/>
              <w:autoSpaceDE/>
              <w:autoSpaceDN/>
              <w:bidi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5</w:t>
            </w:r>
          </w:p>
        </w:tc>
        <w:tc>
          <w:tcPr>
            <w:tcW w:w="2229" w:type="pct"/>
            <w:vAlign w:val="center"/>
          </w:tcPr>
          <w:p w14:paraId="47DBD291">
            <w:pPr>
              <w:keepNext w:val="0"/>
              <w:keepLines w:val="0"/>
              <w:pageBreakBefore w:val="0"/>
              <w:kinsoku/>
              <w:wordWrap/>
              <w:overflowPunct/>
              <w:topLinePunct w:val="0"/>
              <w:autoSpaceDE/>
              <w:autoSpaceDN/>
              <w:bidi w:val="0"/>
              <w:ind w:left="0" w:right="0" w:firstLine="420" w:firstLineChars="200"/>
              <w:jc w:val="both"/>
              <w:textAlignment w:val="auto"/>
              <w:rPr>
                <w:rFonts w:ascii="Times New Roman" w:hAnsi="Times New Roman" w:cs="Times New Roman"/>
                <w:bCs/>
                <w:color w:val="auto"/>
                <w:sz w:val="21"/>
                <w:szCs w:val="21"/>
                <w:highlight w:val="none"/>
              </w:rPr>
            </w:pPr>
            <w:r>
              <w:rPr>
                <w:rFonts w:ascii="Times New Roman" w:hAnsi="Times New Roman" w:cs="Times New Roman"/>
                <w:color w:val="auto"/>
                <w:sz w:val="21"/>
                <w:szCs w:val="21"/>
                <w:highlight w:val="none"/>
              </w:rPr>
              <w:t>贮存设施或场所、容器和包装物应按HJ1276要求设置危险废物贮存设施或场所标志、危险废物贮存分区标志和危险废物标签等危险废物识别标志。</w:t>
            </w:r>
          </w:p>
        </w:tc>
        <w:tc>
          <w:tcPr>
            <w:tcW w:w="1896" w:type="pct"/>
            <w:vAlign w:val="center"/>
          </w:tcPr>
          <w:p w14:paraId="5E70509A">
            <w:pPr>
              <w:keepNext w:val="0"/>
              <w:keepLines w:val="0"/>
              <w:pageBreakBefore w:val="0"/>
              <w:kinsoku/>
              <w:wordWrap/>
              <w:overflowPunct/>
              <w:topLinePunct w:val="0"/>
              <w:autoSpaceDE/>
              <w:autoSpaceDN/>
              <w:bidi w:val="0"/>
              <w:ind w:left="0" w:right="0" w:firstLine="420" w:firstLineChars="200"/>
              <w:jc w:val="both"/>
              <w:textAlignment w:val="auto"/>
              <w:rPr>
                <w:rFonts w:ascii="Times New Roman" w:hAnsi="Times New Roman" w:cs="Times New Roman"/>
                <w:bCs/>
                <w:color w:val="auto"/>
                <w:sz w:val="21"/>
                <w:szCs w:val="21"/>
                <w:highlight w:val="none"/>
              </w:rPr>
            </w:pPr>
            <w:r>
              <w:rPr>
                <w:rFonts w:ascii="Times New Roman" w:hAnsi="Times New Roman" w:cs="Times New Roman"/>
                <w:bCs/>
                <w:color w:val="auto"/>
                <w:sz w:val="21"/>
                <w:szCs w:val="21"/>
                <w:highlight w:val="none"/>
              </w:rPr>
              <w:t>企业</w:t>
            </w:r>
            <w:r>
              <w:rPr>
                <w:rFonts w:hint="eastAsia" w:ascii="Times New Roman" w:hAnsi="Times New Roman" w:cs="Times New Roman"/>
                <w:color w:val="auto"/>
                <w:sz w:val="21"/>
                <w:szCs w:val="21"/>
                <w:highlight w:val="none"/>
                <w:lang w:val="en-US" w:eastAsia="zh-CN"/>
              </w:rPr>
              <w:t>已</w:t>
            </w:r>
            <w:r>
              <w:rPr>
                <w:rFonts w:ascii="Times New Roman" w:hAnsi="Times New Roman" w:cs="Times New Roman"/>
                <w:color w:val="auto"/>
                <w:sz w:val="21"/>
                <w:szCs w:val="21"/>
                <w:highlight w:val="none"/>
              </w:rPr>
              <w:t>按要求设置危险废物识别标志。</w:t>
            </w:r>
          </w:p>
        </w:tc>
        <w:tc>
          <w:tcPr>
            <w:tcW w:w="605" w:type="pct"/>
            <w:vAlign w:val="center"/>
          </w:tcPr>
          <w:p w14:paraId="0E537D43">
            <w:pPr>
              <w:keepNext w:val="0"/>
              <w:keepLines w:val="0"/>
              <w:pageBreakBefore w:val="0"/>
              <w:kinsoku/>
              <w:wordWrap/>
              <w:overflowPunct/>
              <w:topLinePunct w:val="0"/>
              <w:autoSpaceDE/>
              <w:autoSpaceDN/>
              <w:bidi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符合</w:t>
            </w:r>
          </w:p>
        </w:tc>
      </w:tr>
      <w:tr w14:paraId="64F1A99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268" w:type="pct"/>
            <w:vAlign w:val="center"/>
          </w:tcPr>
          <w:p w14:paraId="5FDDC30E">
            <w:pPr>
              <w:keepNext w:val="0"/>
              <w:keepLines w:val="0"/>
              <w:pageBreakBefore w:val="0"/>
              <w:kinsoku/>
              <w:wordWrap/>
              <w:overflowPunct/>
              <w:topLinePunct w:val="0"/>
              <w:autoSpaceDE/>
              <w:autoSpaceDN/>
              <w:bidi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6</w:t>
            </w:r>
          </w:p>
        </w:tc>
        <w:tc>
          <w:tcPr>
            <w:tcW w:w="2229" w:type="pct"/>
            <w:vAlign w:val="center"/>
          </w:tcPr>
          <w:p w14:paraId="4208E7CC">
            <w:pPr>
              <w:keepNext w:val="0"/>
              <w:keepLines w:val="0"/>
              <w:pageBreakBefore w:val="0"/>
              <w:kinsoku/>
              <w:wordWrap/>
              <w:overflowPunct/>
              <w:topLinePunct w:val="0"/>
              <w:autoSpaceDE/>
              <w:autoSpaceDN/>
              <w:bidi w:val="0"/>
              <w:ind w:left="0" w:right="0" w:firstLine="420" w:firstLineChars="200"/>
              <w:jc w:val="both"/>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在常温常压下易爆、易燃及排出有毒气体的危险废物应进行预处理，使之稳定后贮存，否则应按易爆、易燃危险品贮存。</w:t>
            </w:r>
          </w:p>
        </w:tc>
        <w:tc>
          <w:tcPr>
            <w:tcW w:w="1896" w:type="pct"/>
            <w:vAlign w:val="center"/>
          </w:tcPr>
          <w:p w14:paraId="58037AA3">
            <w:pPr>
              <w:keepNext w:val="0"/>
              <w:keepLines w:val="0"/>
              <w:pageBreakBefore w:val="0"/>
              <w:kinsoku/>
              <w:wordWrap/>
              <w:overflowPunct/>
              <w:topLinePunct w:val="0"/>
              <w:autoSpaceDE/>
              <w:autoSpaceDN/>
              <w:bidi w:val="0"/>
              <w:ind w:left="0" w:right="0" w:firstLine="420" w:firstLineChars="200"/>
              <w:jc w:val="both"/>
              <w:textAlignment w:val="auto"/>
              <w:rPr>
                <w:rFonts w:ascii="Times New Roman" w:hAnsi="Times New Roman" w:cs="Times New Roman"/>
                <w:color w:val="auto"/>
                <w:sz w:val="21"/>
                <w:szCs w:val="21"/>
                <w:highlight w:val="none"/>
              </w:rPr>
            </w:pPr>
            <w:r>
              <w:rPr>
                <w:rFonts w:ascii="Times New Roman" w:hAnsi="Times New Roman" w:cs="Times New Roman"/>
                <w:bCs/>
                <w:color w:val="auto"/>
                <w:sz w:val="21"/>
                <w:szCs w:val="21"/>
                <w:highlight w:val="none"/>
              </w:rPr>
              <w:t>企业</w:t>
            </w:r>
            <w:r>
              <w:rPr>
                <w:rFonts w:ascii="Times New Roman" w:hAnsi="Times New Roman" w:cs="Times New Roman"/>
                <w:color w:val="auto"/>
                <w:sz w:val="21"/>
                <w:szCs w:val="21"/>
                <w:highlight w:val="none"/>
              </w:rPr>
              <w:t>不涉及易爆、易燃及排出有毒气体的危险废物。</w:t>
            </w:r>
          </w:p>
        </w:tc>
        <w:tc>
          <w:tcPr>
            <w:tcW w:w="605" w:type="pct"/>
            <w:vAlign w:val="center"/>
          </w:tcPr>
          <w:p w14:paraId="37B1C471">
            <w:pPr>
              <w:keepNext w:val="0"/>
              <w:keepLines w:val="0"/>
              <w:pageBreakBefore w:val="0"/>
              <w:kinsoku/>
              <w:wordWrap/>
              <w:overflowPunct/>
              <w:topLinePunct w:val="0"/>
              <w:autoSpaceDE/>
              <w:autoSpaceDN/>
              <w:bidi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符合</w:t>
            </w:r>
          </w:p>
        </w:tc>
      </w:tr>
      <w:tr w14:paraId="1BCA68E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268" w:type="pct"/>
            <w:vAlign w:val="center"/>
          </w:tcPr>
          <w:p w14:paraId="738A0322">
            <w:pPr>
              <w:keepNext w:val="0"/>
              <w:keepLines w:val="0"/>
              <w:pageBreakBefore w:val="0"/>
              <w:kinsoku/>
              <w:wordWrap/>
              <w:overflowPunct/>
              <w:topLinePunct w:val="0"/>
              <w:autoSpaceDE/>
              <w:autoSpaceDN/>
              <w:bidi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7</w:t>
            </w:r>
          </w:p>
        </w:tc>
        <w:tc>
          <w:tcPr>
            <w:tcW w:w="2229" w:type="pct"/>
            <w:vAlign w:val="center"/>
          </w:tcPr>
          <w:p w14:paraId="4B9537B5">
            <w:pPr>
              <w:keepNext w:val="0"/>
              <w:keepLines w:val="0"/>
              <w:pageBreakBefore w:val="0"/>
              <w:kinsoku/>
              <w:wordWrap/>
              <w:overflowPunct/>
              <w:topLinePunct w:val="0"/>
              <w:autoSpaceDE/>
              <w:autoSpaceDN/>
              <w:bidi w:val="0"/>
              <w:ind w:left="0" w:right="0" w:firstLine="420" w:firstLineChars="200"/>
              <w:jc w:val="both"/>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贮存设施所有者或运营者应按照国家有关规定编制突发环境事件应急预案，定期开展必要的培训和环境应急演练，并做好培训、演练记录。</w:t>
            </w:r>
          </w:p>
        </w:tc>
        <w:tc>
          <w:tcPr>
            <w:tcW w:w="1896" w:type="pct"/>
            <w:vAlign w:val="center"/>
          </w:tcPr>
          <w:p w14:paraId="41CB8B71">
            <w:pPr>
              <w:keepNext w:val="0"/>
              <w:keepLines w:val="0"/>
              <w:pageBreakBefore w:val="0"/>
              <w:kinsoku/>
              <w:wordWrap/>
              <w:overflowPunct/>
              <w:topLinePunct w:val="0"/>
              <w:autoSpaceDE/>
              <w:autoSpaceDN/>
              <w:bidi w:val="0"/>
              <w:ind w:left="0" w:right="0" w:firstLine="420" w:firstLineChars="200"/>
              <w:jc w:val="both"/>
              <w:textAlignment w:val="auto"/>
              <w:rPr>
                <w:rFonts w:ascii="Times New Roman" w:hAnsi="Times New Roman" w:cs="Times New Roman"/>
                <w:color w:val="auto"/>
                <w:sz w:val="21"/>
                <w:szCs w:val="21"/>
                <w:highlight w:val="none"/>
              </w:rPr>
            </w:pPr>
            <w:r>
              <w:rPr>
                <w:rFonts w:ascii="Times New Roman" w:hAnsi="Times New Roman" w:cs="Times New Roman"/>
                <w:bCs/>
                <w:color w:val="auto"/>
                <w:sz w:val="21"/>
                <w:szCs w:val="21"/>
                <w:highlight w:val="none"/>
              </w:rPr>
              <w:t>企业</w:t>
            </w:r>
            <w:r>
              <w:rPr>
                <w:rFonts w:ascii="Times New Roman" w:hAnsi="Times New Roman" w:cs="Times New Roman"/>
                <w:color w:val="auto"/>
                <w:sz w:val="21"/>
                <w:szCs w:val="21"/>
                <w:highlight w:val="none"/>
              </w:rPr>
              <w:t>将重新编制突发环境事件应急预案，定期开展必要的培训和环境应急演练。</w:t>
            </w:r>
          </w:p>
        </w:tc>
        <w:tc>
          <w:tcPr>
            <w:tcW w:w="605" w:type="pct"/>
            <w:vAlign w:val="center"/>
          </w:tcPr>
          <w:p w14:paraId="17A36104">
            <w:pPr>
              <w:keepNext w:val="0"/>
              <w:keepLines w:val="0"/>
              <w:pageBreakBefore w:val="0"/>
              <w:kinsoku/>
              <w:wordWrap/>
              <w:overflowPunct/>
              <w:topLinePunct w:val="0"/>
              <w:autoSpaceDE/>
              <w:autoSpaceDN/>
              <w:bidi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bCs/>
                <w:color w:val="auto"/>
                <w:sz w:val="21"/>
                <w:szCs w:val="21"/>
                <w:highlight w:val="none"/>
              </w:rPr>
              <w:t>相符</w:t>
            </w:r>
          </w:p>
        </w:tc>
      </w:tr>
      <w:tr w14:paraId="05DF7D2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268" w:type="pct"/>
            <w:vAlign w:val="center"/>
          </w:tcPr>
          <w:p w14:paraId="3D67CF86">
            <w:pPr>
              <w:keepNext w:val="0"/>
              <w:keepLines w:val="0"/>
              <w:pageBreakBefore w:val="0"/>
              <w:kinsoku/>
              <w:wordWrap/>
              <w:overflowPunct/>
              <w:topLinePunct w:val="0"/>
              <w:autoSpaceDE/>
              <w:autoSpaceDN/>
              <w:bidi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8</w:t>
            </w:r>
          </w:p>
        </w:tc>
        <w:tc>
          <w:tcPr>
            <w:tcW w:w="2229" w:type="pct"/>
            <w:vAlign w:val="center"/>
          </w:tcPr>
          <w:p w14:paraId="3A2D8754">
            <w:pPr>
              <w:keepNext w:val="0"/>
              <w:keepLines w:val="0"/>
              <w:pageBreakBefore w:val="0"/>
              <w:kinsoku/>
              <w:wordWrap/>
              <w:overflowPunct/>
              <w:topLinePunct w:val="0"/>
              <w:autoSpaceDE/>
              <w:autoSpaceDN/>
              <w:bidi w:val="0"/>
              <w:ind w:left="0" w:right="0" w:firstLine="420" w:firstLineChars="200"/>
              <w:jc w:val="both"/>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贮存设施所有者或运营者应配备满足其突发环境事件应急要求的应急人员、装备和物资，并应设置应急照明系统。</w:t>
            </w:r>
          </w:p>
        </w:tc>
        <w:tc>
          <w:tcPr>
            <w:tcW w:w="1896" w:type="pct"/>
            <w:vAlign w:val="center"/>
          </w:tcPr>
          <w:p w14:paraId="3A94FAE5">
            <w:pPr>
              <w:keepNext w:val="0"/>
              <w:keepLines w:val="0"/>
              <w:pageBreakBefore w:val="0"/>
              <w:kinsoku/>
              <w:wordWrap/>
              <w:overflowPunct/>
              <w:topLinePunct w:val="0"/>
              <w:autoSpaceDE/>
              <w:autoSpaceDN/>
              <w:bidi w:val="0"/>
              <w:ind w:left="0" w:right="0" w:firstLine="420" w:firstLineChars="200"/>
              <w:jc w:val="both"/>
              <w:textAlignment w:val="auto"/>
              <w:rPr>
                <w:rFonts w:ascii="Times New Roman" w:hAnsi="Times New Roman" w:cs="Times New Roman"/>
                <w:color w:val="auto"/>
                <w:sz w:val="21"/>
                <w:szCs w:val="21"/>
                <w:highlight w:val="none"/>
              </w:rPr>
            </w:pPr>
            <w:r>
              <w:rPr>
                <w:rFonts w:ascii="Times New Roman" w:hAnsi="Times New Roman" w:cs="Times New Roman"/>
                <w:bCs/>
                <w:color w:val="auto"/>
                <w:sz w:val="21"/>
                <w:szCs w:val="21"/>
                <w:highlight w:val="none"/>
              </w:rPr>
              <w:t>企业</w:t>
            </w:r>
            <w:r>
              <w:rPr>
                <w:rFonts w:ascii="Times New Roman" w:hAnsi="Times New Roman" w:cs="Times New Roman"/>
                <w:color w:val="auto"/>
                <w:sz w:val="21"/>
                <w:szCs w:val="21"/>
                <w:highlight w:val="none"/>
              </w:rPr>
              <w:t>危废仓库配备有满足突发环境事件应急要求的应急人员、装备和物资，并应设置应急照明系统。</w:t>
            </w:r>
          </w:p>
        </w:tc>
        <w:tc>
          <w:tcPr>
            <w:tcW w:w="605" w:type="pct"/>
            <w:vAlign w:val="center"/>
          </w:tcPr>
          <w:p w14:paraId="0BE7D61F">
            <w:pPr>
              <w:keepNext w:val="0"/>
              <w:keepLines w:val="0"/>
              <w:pageBreakBefore w:val="0"/>
              <w:kinsoku/>
              <w:wordWrap/>
              <w:overflowPunct/>
              <w:topLinePunct w:val="0"/>
              <w:autoSpaceDE/>
              <w:autoSpaceDN/>
              <w:bidi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bCs/>
                <w:color w:val="auto"/>
                <w:sz w:val="21"/>
                <w:szCs w:val="21"/>
                <w:highlight w:val="none"/>
              </w:rPr>
              <w:t>相符</w:t>
            </w:r>
          </w:p>
        </w:tc>
      </w:tr>
    </w:tbl>
    <w:p w14:paraId="3B979A34">
      <w:pPr>
        <w:spacing w:before="120" w:beforeLines="50" w:line="360" w:lineRule="auto"/>
        <w:ind w:left="-105" w:right="-105" w:firstLine="480" w:firstLineChars="200"/>
        <w:rPr>
          <w:rFonts w:ascii="Times New Roman" w:hAnsi="Times New Roman"/>
          <w:color w:val="auto"/>
          <w:szCs w:val="22"/>
          <w:highlight w:val="none"/>
        </w:rPr>
      </w:pPr>
      <w:r>
        <w:rPr>
          <w:rFonts w:ascii="Times New Roman" w:hAnsi="Times New Roman"/>
          <w:color w:val="auto"/>
          <w:szCs w:val="22"/>
          <w:highlight w:val="none"/>
        </w:rPr>
        <w:t>综上，现有项目采取以上措施可行，不会对周围环境产生影响。</w:t>
      </w:r>
    </w:p>
    <w:p w14:paraId="1D4D4A42">
      <w:pPr>
        <w:pStyle w:val="6"/>
        <w:keepLines w:val="0"/>
        <w:widowControl/>
        <w:numPr>
          <w:ilvl w:val="3"/>
          <w:numId w:val="6"/>
        </w:numPr>
        <w:spacing w:before="120" w:beforeLines="50" w:after="120" w:afterLines="50" w:line="360" w:lineRule="auto"/>
        <w:ind w:left="-105" w:right="-105"/>
        <w:rPr>
          <w:rFonts w:ascii="Times New Roman" w:hAnsi="Times New Roman"/>
          <w:color w:val="auto"/>
          <w:sz w:val="24"/>
          <w:szCs w:val="24"/>
          <w:highlight w:val="none"/>
        </w:rPr>
      </w:pPr>
      <w:r>
        <w:rPr>
          <w:rFonts w:ascii="Times New Roman" w:hAnsi="Times New Roman"/>
          <w:color w:val="auto"/>
          <w:sz w:val="24"/>
          <w:szCs w:val="24"/>
          <w:highlight w:val="none"/>
        </w:rPr>
        <w:t>噪声</w:t>
      </w:r>
    </w:p>
    <w:p w14:paraId="1469D408">
      <w:pPr>
        <w:spacing w:line="360" w:lineRule="auto"/>
        <w:ind w:left="-105" w:right="-105" w:firstLine="480" w:firstLineChars="200"/>
        <w:rPr>
          <w:rFonts w:ascii="Times New Roman" w:hAnsi="Times New Roman"/>
          <w:color w:val="auto"/>
          <w:szCs w:val="22"/>
          <w:highlight w:val="none"/>
        </w:rPr>
      </w:pPr>
      <w:r>
        <w:rPr>
          <w:rFonts w:ascii="Times New Roman" w:hAnsi="Times New Roman"/>
          <w:color w:val="auto"/>
          <w:szCs w:val="22"/>
          <w:highlight w:val="none"/>
        </w:rPr>
        <w:t>现有项目主要噪声源为</w:t>
      </w:r>
      <w:r>
        <w:rPr>
          <w:rFonts w:hint="eastAsia" w:ascii="Times New Roman" w:hAnsi="Times New Roman"/>
          <w:color w:val="auto"/>
          <w:szCs w:val="22"/>
          <w:highlight w:val="none"/>
        </w:rPr>
        <w:t>空压机、冷却塔</w:t>
      </w:r>
      <w:r>
        <w:rPr>
          <w:rFonts w:ascii="Times New Roman" w:hAnsi="Times New Roman"/>
          <w:color w:val="auto"/>
          <w:szCs w:val="22"/>
          <w:highlight w:val="none"/>
        </w:rPr>
        <w:t>、废气处理装置配套风机。</w:t>
      </w:r>
    </w:p>
    <w:p w14:paraId="25694E5B">
      <w:pPr>
        <w:spacing w:line="360" w:lineRule="auto"/>
        <w:ind w:left="-105" w:right="-105" w:firstLine="480" w:firstLineChars="200"/>
        <w:rPr>
          <w:rFonts w:ascii="Times New Roman" w:hAnsi="Times New Roman"/>
          <w:color w:val="auto"/>
          <w:szCs w:val="22"/>
          <w:highlight w:val="none"/>
        </w:rPr>
      </w:pPr>
      <w:r>
        <w:rPr>
          <w:rFonts w:ascii="Times New Roman" w:hAnsi="Times New Roman"/>
          <w:color w:val="auto"/>
          <w:szCs w:val="22"/>
          <w:highlight w:val="none"/>
        </w:rPr>
        <w:t>厂方在噪声控制方面主要采取的措施有：</w:t>
      </w:r>
    </w:p>
    <w:p w14:paraId="34C25B2E">
      <w:pPr>
        <w:spacing w:line="360" w:lineRule="auto"/>
        <w:ind w:left="-105" w:right="-105" w:firstLine="480" w:firstLineChars="200"/>
        <w:rPr>
          <w:rFonts w:ascii="Times New Roman" w:hAnsi="Times New Roman"/>
          <w:color w:val="auto"/>
          <w:szCs w:val="22"/>
          <w:highlight w:val="none"/>
        </w:rPr>
      </w:pPr>
      <w:r>
        <w:rPr>
          <w:rFonts w:ascii="Times New Roman" w:hAnsi="Times New Roman"/>
          <w:color w:val="auto"/>
          <w:szCs w:val="22"/>
          <w:highlight w:val="none"/>
        </w:rPr>
        <w:t>（1）建设单位厂房墙壁为实心砖墙，厚度为240mm，面密度为480kg/</w:t>
      </w:r>
      <w:r>
        <w:rPr>
          <w:rFonts w:hint="eastAsia" w:ascii="Times New Roman" w:hAnsi="Times New Roman"/>
          <w:color w:val="auto"/>
          <w:szCs w:val="22"/>
          <w:highlight w:val="none"/>
        </w:rPr>
        <w:t>m</w:t>
      </w:r>
      <w:r>
        <w:rPr>
          <w:rFonts w:hint="eastAsia" w:ascii="Times New Roman" w:hAnsi="Times New Roman"/>
          <w:color w:val="auto"/>
          <w:szCs w:val="22"/>
          <w:highlight w:val="none"/>
          <w:vertAlign w:val="superscript"/>
        </w:rPr>
        <w:t>2</w:t>
      </w:r>
      <w:r>
        <w:rPr>
          <w:rFonts w:ascii="Times New Roman" w:hAnsi="Times New Roman"/>
          <w:color w:val="auto"/>
          <w:szCs w:val="22"/>
          <w:highlight w:val="none"/>
        </w:rPr>
        <w:t>，根据《噪声与振动控制工程手册》（机械工业出版社）第289页：砖墙240mm，面密度为480kg/</w:t>
      </w:r>
      <w:r>
        <w:rPr>
          <w:rFonts w:hint="eastAsia" w:ascii="Times New Roman" w:hAnsi="Times New Roman"/>
          <w:color w:val="auto"/>
          <w:szCs w:val="22"/>
          <w:highlight w:val="none"/>
        </w:rPr>
        <w:t>m</w:t>
      </w:r>
      <w:r>
        <w:rPr>
          <w:rFonts w:hint="eastAsia" w:ascii="Times New Roman" w:hAnsi="Times New Roman"/>
          <w:color w:val="auto"/>
          <w:szCs w:val="22"/>
          <w:highlight w:val="none"/>
          <w:vertAlign w:val="superscript"/>
        </w:rPr>
        <w:t>2</w:t>
      </w:r>
      <w:r>
        <w:rPr>
          <w:rFonts w:ascii="Times New Roman" w:hAnsi="Times New Roman"/>
          <w:color w:val="auto"/>
          <w:szCs w:val="22"/>
          <w:highlight w:val="none"/>
        </w:rPr>
        <w:t>的平均隔声量为53dB(A)，考虑到门、窗会降低隔声效果，故厂房隔声量取30dB(A)。</w:t>
      </w:r>
    </w:p>
    <w:p w14:paraId="57414533">
      <w:pPr>
        <w:spacing w:line="360" w:lineRule="auto"/>
        <w:ind w:left="-105" w:right="-105" w:firstLine="480" w:firstLineChars="200"/>
        <w:rPr>
          <w:rFonts w:ascii="Times New Roman" w:hAnsi="Times New Roman"/>
          <w:color w:val="auto"/>
          <w:szCs w:val="22"/>
          <w:highlight w:val="none"/>
        </w:rPr>
      </w:pPr>
      <w:r>
        <w:rPr>
          <w:rFonts w:ascii="Times New Roman" w:hAnsi="Times New Roman"/>
          <w:color w:val="auto"/>
          <w:szCs w:val="22"/>
          <w:highlight w:val="none"/>
        </w:rPr>
        <w:t>（2）配套风机预计对厂界噪声影响较大，故拟安装隔声罩。隔声罩采用质轻、隔声性能好的复合结构。根据《噪声与振动控制工程手册》(机械工业出版社)P368：隔声罩罩内和罩外有通道相连，效果一般的在20dB(A)左右。</w:t>
      </w:r>
    </w:p>
    <w:p w14:paraId="73F62BDD">
      <w:pPr>
        <w:spacing w:line="360" w:lineRule="auto"/>
        <w:ind w:left="-105" w:right="-105" w:firstLine="480" w:firstLineChars="200"/>
        <w:jc w:val="both"/>
        <w:rPr>
          <w:rFonts w:ascii="Times New Roman" w:hAnsi="Times New Roman" w:cs="Times New Roman"/>
          <w:color w:val="auto"/>
          <w:szCs w:val="22"/>
          <w:highlight w:val="none"/>
        </w:rPr>
      </w:pPr>
      <w:r>
        <w:rPr>
          <w:rFonts w:hint="eastAsia" w:ascii="Times New Roman" w:hAnsi="Times New Roman"/>
          <w:color w:val="auto"/>
          <w:szCs w:val="22"/>
          <w:highlight w:val="none"/>
        </w:rPr>
        <w:t>根据《化药化工（无锡）有限公司年产聚氨酯丙烯酸酯5000t、丙烯酸酯组成物10000t和环氧丙烯酸树脂1200t生产线技改扩建项目（第二阶段：年产聚氨酯丙烯酸酯2000t、丙烯酸酯组成物5000t）竣工环境保护验收报告》</w:t>
      </w:r>
      <w:r>
        <w:rPr>
          <w:rFonts w:ascii="Times New Roman" w:hAnsi="Times New Roman"/>
          <w:color w:val="auto"/>
          <w:szCs w:val="22"/>
          <w:highlight w:val="none"/>
        </w:rPr>
        <w:t>，项目所在区域环境噪声</w:t>
      </w:r>
      <w:r>
        <w:rPr>
          <w:rFonts w:hint="eastAsia" w:ascii="Times New Roman" w:hAnsi="Times New Roman"/>
          <w:color w:val="auto"/>
          <w:szCs w:val="22"/>
          <w:highlight w:val="none"/>
        </w:rPr>
        <w:t>现状</w:t>
      </w:r>
      <w:r>
        <w:rPr>
          <w:rFonts w:ascii="Times New Roman" w:hAnsi="Times New Roman"/>
          <w:color w:val="auto"/>
          <w:szCs w:val="22"/>
          <w:highlight w:val="none"/>
        </w:rPr>
        <w:t>见</w:t>
      </w:r>
      <w:r>
        <w:rPr>
          <w:rFonts w:ascii="Times New Roman" w:hAnsi="Times New Roman" w:cs="Times New Roman"/>
          <w:color w:val="auto"/>
          <w:szCs w:val="22"/>
          <w:highlight w:val="none"/>
        </w:rPr>
        <w:fldChar w:fldCharType="begin"/>
      </w:r>
      <w:r>
        <w:rPr>
          <w:rFonts w:ascii="Times New Roman" w:hAnsi="Times New Roman" w:cs="Times New Roman"/>
          <w:color w:val="auto"/>
          <w:szCs w:val="22"/>
          <w:highlight w:val="none"/>
        </w:rPr>
        <w:instrText xml:space="preserve"> REF _Ref37166439 \h  \* MERGEFORMAT </w:instrText>
      </w:r>
      <w:r>
        <w:rPr>
          <w:rFonts w:ascii="Times New Roman" w:hAnsi="Times New Roman" w:cs="Times New Roman"/>
          <w:color w:val="auto"/>
          <w:szCs w:val="22"/>
          <w:highlight w:val="none"/>
        </w:rPr>
        <w:fldChar w:fldCharType="separate"/>
      </w:r>
      <w:r>
        <w:rPr>
          <w:rFonts w:ascii="Times New Roman" w:hAnsi="Times New Roman" w:cs="Times New Roman"/>
          <w:color w:val="auto"/>
          <w:highlight w:val="none"/>
        </w:rPr>
        <w:t>表</w:t>
      </w:r>
      <w:r>
        <w:rPr>
          <w:rFonts w:ascii="Times New Roman" w:hAnsi="Times New Roman" w:cs="Times New Roman"/>
          <w:color w:val="auto"/>
          <w:highlight w:val="none"/>
        </w:rPr>
        <w:fldChar w:fldCharType="begin"/>
      </w:r>
      <w:r>
        <w:rPr>
          <w:rFonts w:ascii="Times New Roman" w:hAnsi="Times New Roman" w:cs="Times New Roman"/>
          <w:color w:val="auto"/>
          <w:highlight w:val="none"/>
        </w:rPr>
        <w:instrText xml:space="preserve"> STYLEREF</w:instrText>
      </w:r>
      <w:r>
        <w:rPr>
          <w:rFonts w:ascii="Times New Roman" w:hAnsi="Times New Roman" w:cs="Times New Roman"/>
          <w:color w:val="auto"/>
          <w:highlight w:val="none"/>
        </w:rPr>
        <w:instrText xml:space="preserve"> 2 \s </w:instrText>
      </w:r>
      <w:r>
        <w:rPr>
          <w:rFonts w:ascii="Times New Roman" w:hAnsi="Times New Roman" w:cs="Times New Roman"/>
          <w:color w:val="auto"/>
          <w:highlight w:val="none"/>
        </w:rPr>
        <w:fldChar w:fldCharType="separate"/>
      </w:r>
      <w:r>
        <w:rPr>
          <w:rFonts w:ascii="Times New Roman" w:hAnsi="Times New Roman" w:cs="Times New Roman"/>
          <w:color w:val="auto"/>
          <w:highlight w:val="none"/>
        </w:rPr>
        <w:t>3.3</w:t>
      </w:r>
      <w:r>
        <w:rPr>
          <w:rFonts w:ascii="Times New Roman" w:hAnsi="Times New Roman" w:cs="Times New Roman"/>
          <w:color w:val="auto"/>
          <w:highlight w:val="none"/>
        </w:rPr>
        <w:fldChar w:fldCharType="end"/>
      </w:r>
      <w:r>
        <w:rPr>
          <w:rFonts w:ascii="Times New Roman" w:hAnsi="Times New Roman" w:cs="Times New Roman"/>
          <w:color w:val="auto"/>
          <w:highlight w:val="none"/>
        </w:rPr>
        <w:noBreakHyphen/>
      </w:r>
      <w:r>
        <w:rPr>
          <w:rFonts w:ascii="Times New Roman" w:hAnsi="Times New Roman" w:cs="Times New Roman"/>
          <w:color w:val="auto"/>
          <w:highlight w:val="none"/>
        </w:rPr>
        <w:t>12</w:t>
      </w:r>
      <w:r>
        <w:rPr>
          <w:rFonts w:ascii="Times New Roman" w:hAnsi="Times New Roman" w:cs="Times New Roman"/>
          <w:color w:val="auto"/>
          <w:szCs w:val="22"/>
          <w:highlight w:val="none"/>
        </w:rPr>
        <w:fldChar w:fldCharType="end"/>
      </w:r>
      <w:r>
        <w:rPr>
          <w:rFonts w:ascii="Times New Roman" w:hAnsi="Times New Roman" w:cs="Times New Roman"/>
          <w:color w:val="auto"/>
          <w:szCs w:val="22"/>
          <w:highlight w:val="none"/>
        </w:rPr>
        <w:t>。</w:t>
      </w:r>
    </w:p>
    <w:p w14:paraId="307DDFAE">
      <w:pPr>
        <w:ind w:left="-105" w:right="-105"/>
        <w:jc w:val="center"/>
        <w:rPr>
          <w:color w:val="auto"/>
          <w:highlight w:val="none"/>
        </w:rPr>
      </w:pPr>
      <w:r>
        <w:rPr>
          <w:color w:val="auto"/>
          <w:highlight w:val="none"/>
        </w:rPr>
        <w:drawing>
          <wp:inline distT="0" distB="0" distL="114300" distR="114300">
            <wp:extent cx="4037965" cy="5335270"/>
            <wp:effectExtent l="0" t="0" r="635" b="17780"/>
            <wp:docPr id="11"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30"/>
                    <pic:cNvPicPr>
                      <a:picLocks noChangeAspect="1"/>
                    </pic:cNvPicPr>
                  </pic:nvPicPr>
                  <pic:blipFill>
                    <a:blip r:embed="rId33"/>
                    <a:stretch>
                      <a:fillRect/>
                    </a:stretch>
                  </pic:blipFill>
                  <pic:spPr>
                    <a:xfrm>
                      <a:off x="0" y="0"/>
                      <a:ext cx="4037965" cy="5335270"/>
                    </a:xfrm>
                    <a:prstGeom prst="rect">
                      <a:avLst/>
                    </a:prstGeom>
                    <a:noFill/>
                    <a:ln>
                      <a:noFill/>
                    </a:ln>
                  </pic:spPr>
                </pic:pic>
              </a:graphicData>
            </a:graphic>
          </wp:inline>
        </w:drawing>
      </w:r>
    </w:p>
    <w:p w14:paraId="082AC0A2">
      <w:pPr>
        <w:pStyle w:val="15"/>
        <w:spacing w:line="360" w:lineRule="auto"/>
        <w:ind w:left="-105" w:right="-105" w:firstLine="482"/>
        <w:rPr>
          <w:rFonts w:eastAsia="宋体" w:cs="Times New Roman"/>
          <w:color w:val="auto"/>
          <w:sz w:val="24"/>
          <w:szCs w:val="24"/>
          <w:highlight w:val="none"/>
        </w:rPr>
      </w:pPr>
      <w:r>
        <w:rPr>
          <w:rFonts w:eastAsia="宋体" w:cs="Times New Roman"/>
          <w:color w:val="auto"/>
          <w:sz w:val="24"/>
          <w:szCs w:val="24"/>
          <w:highlight w:val="none"/>
        </w:rPr>
        <w:t>图</w:t>
      </w:r>
      <w:r>
        <w:rPr>
          <w:rFonts w:eastAsia="宋体" w:cs="Times New Roman"/>
          <w:color w:val="auto"/>
          <w:sz w:val="24"/>
          <w:szCs w:val="24"/>
          <w:highlight w:val="none"/>
        </w:rPr>
        <w:fldChar w:fldCharType="begin"/>
      </w:r>
      <w:r>
        <w:rPr>
          <w:rFonts w:eastAsia="宋体" w:cs="Times New Roman"/>
          <w:color w:val="auto"/>
          <w:sz w:val="24"/>
          <w:szCs w:val="24"/>
          <w:highlight w:val="none"/>
        </w:rPr>
        <w:instrText xml:space="preserve"> STYLEREF 2 \s </w:instrText>
      </w:r>
      <w:r>
        <w:rPr>
          <w:rFonts w:eastAsia="宋体" w:cs="Times New Roman"/>
          <w:color w:val="auto"/>
          <w:sz w:val="24"/>
          <w:szCs w:val="24"/>
          <w:highlight w:val="none"/>
        </w:rPr>
        <w:fldChar w:fldCharType="separate"/>
      </w:r>
      <w:r>
        <w:rPr>
          <w:rFonts w:eastAsia="宋体" w:cs="Times New Roman"/>
          <w:color w:val="auto"/>
          <w:sz w:val="24"/>
          <w:szCs w:val="24"/>
          <w:highlight w:val="none"/>
        </w:rPr>
        <w:t>3.3</w:t>
      </w:r>
      <w:r>
        <w:rPr>
          <w:rFonts w:eastAsia="宋体" w:cs="Times New Roman"/>
          <w:color w:val="auto"/>
          <w:sz w:val="24"/>
          <w:szCs w:val="24"/>
          <w:highlight w:val="none"/>
        </w:rPr>
        <w:fldChar w:fldCharType="end"/>
      </w:r>
      <w:r>
        <w:rPr>
          <w:rFonts w:hint="eastAsia" w:eastAsia="宋体" w:cs="Times New Roman"/>
          <w:color w:val="auto"/>
          <w:sz w:val="24"/>
          <w:szCs w:val="24"/>
          <w:highlight w:val="none"/>
        </w:rPr>
        <w:t>-</w:t>
      </w:r>
      <w:r>
        <w:rPr>
          <w:rFonts w:eastAsia="宋体" w:cs="Times New Roman"/>
          <w:color w:val="auto"/>
          <w:sz w:val="24"/>
          <w:szCs w:val="24"/>
          <w:highlight w:val="none"/>
        </w:rPr>
        <w:fldChar w:fldCharType="begin"/>
      </w:r>
      <w:r>
        <w:rPr>
          <w:rFonts w:eastAsia="宋体" w:cs="Times New Roman"/>
          <w:color w:val="auto"/>
          <w:sz w:val="24"/>
          <w:szCs w:val="24"/>
          <w:highlight w:val="none"/>
        </w:rPr>
        <w:instrText xml:space="preserve"> SEQ 图 \* ARABIC \s 2 </w:instrText>
      </w:r>
      <w:r>
        <w:rPr>
          <w:rFonts w:eastAsia="宋体" w:cs="Times New Roman"/>
          <w:color w:val="auto"/>
          <w:sz w:val="24"/>
          <w:szCs w:val="24"/>
          <w:highlight w:val="none"/>
        </w:rPr>
        <w:fldChar w:fldCharType="separate"/>
      </w:r>
      <w:r>
        <w:rPr>
          <w:rFonts w:eastAsia="宋体" w:cs="Times New Roman"/>
          <w:color w:val="auto"/>
          <w:sz w:val="24"/>
          <w:szCs w:val="24"/>
          <w:highlight w:val="none"/>
        </w:rPr>
        <w:t>5</w:t>
      </w:r>
      <w:r>
        <w:rPr>
          <w:rFonts w:eastAsia="宋体" w:cs="Times New Roman"/>
          <w:color w:val="auto"/>
          <w:sz w:val="24"/>
          <w:szCs w:val="24"/>
          <w:highlight w:val="none"/>
        </w:rPr>
        <w:fldChar w:fldCharType="end"/>
      </w:r>
      <w:r>
        <w:rPr>
          <w:rFonts w:hint="eastAsia" w:eastAsia="宋体" w:cs="Times New Roman"/>
          <w:color w:val="auto"/>
          <w:sz w:val="24"/>
          <w:szCs w:val="24"/>
          <w:highlight w:val="none"/>
        </w:rPr>
        <w:t>现有项目噪声例行监测点位图</w:t>
      </w:r>
    </w:p>
    <w:p w14:paraId="78450B0C">
      <w:pPr>
        <w:pStyle w:val="15"/>
        <w:spacing w:line="360" w:lineRule="auto"/>
        <w:ind w:left="-105" w:right="-105" w:firstLine="482"/>
        <w:rPr>
          <w:rFonts w:eastAsia="宋体" w:cs="Times New Roman"/>
          <w:bCs/>
          <w:snapToGrid w:val="0"/>
          <w:color w:val="auto"/>
          <w:kern w:val="0"/>
          <w:sz w:val="24"/>
          <w:szCs w:val="24"/>
          <w:highlight w:val="none"/>
        </w:rPr>
      </w:pPr>
      <w:bookmarkStart w:id="208" w:name="_Ref37166439"/>
      <w:r>
        <w:rPr>
          <w:rFonts w:eastAsia="宋体" w:cs="Times New Roman"/>
          <w:color w:val="auto"/>
          <w:sz w:val="24"/>
          <w:szCs w:val="24"/>
          <w:highlight w:val="none"/>
        </w:rPr>
        <w:t>表</w:t>
      </w:r>
      <w:r>
        <w:rPr>
          <w:rFonts w:eastAsia="宋体" w:cs="Times New Roman"/>
          <w:color w:val="auto"/>
          <w:sz w:val="24"/>
          <w:szCs w:val="24"/>
          <w:highlight w:val="none"/>
        </w:rPr>
        <w:fldChar w:fldCharType="begin"/>
      </w:r>
      <w:r>
        <w:rPr>
          <w:rFonts w:eastAsia="宋体" w:cs="Times New Roman"/>
          <w:color w:val="auto"/>
          <w:sz w:val="24"/>
          <w:szCs w:val="24"/>
          <w:highlight w:val="none"/>
        </w:rPr>
        <w:instrText xml:space="preserve"> STYLEREF 2 \s </w:instrText>
      </w:r>
      <w:r>
        <w:rPr>
          <w:rFonts w:eastAsia="宋体" w:cs="Times New Roman"/>
          <w:color w:val="auto"/>
          <w:sz w:val="24"/>
          <w:szCs w:val="24"/>
          <w:highlight w:val="none"/>
        </w:rPr>
        <w:fldChar w:fldCharType="separate"/>
      </w:r>
      <w:r>
        <w:rPr>
          <w:rFonts w:eastAsia="宋体" w:cs="Times New Roman"/>
          <w:color w:val="auto"/>
          <w:sz w:val="24"/>
          <w:szCs w:val="24"/>
          <w:highlight w:val="none"/>
        </w:rPr>
        <w:t>3.3</w:t>
      </w:r>
      <w:r>
        <w:rPr>
          <w:rFonts w:eastAsia="宋体" w:cs="Times New Roman"/>
          <w:color w:val="auto"/>
          <w:sz w:val="24"/>
          <w:szCs w:val="24"/>
          <w:highlight w:val="none"/>
        </w:rPr>
        <w:fldChar w:fldCharType="end"/>
      </w:r>
      <w:r>
        <w:rPr>
          <w:rFonts w:eastAsia="宋体" w:cs="Times New Roman"/>
          <w:color w:val="auto"/>
          <w:sz w:val="24"/>
          <w:szCs w:val="24"/>
          <w:highlight w:val="none"/>
        </w:rPr>
        <w:noBreakHyphen/>
      </w:r>
      <w:r>
        <w:rPr>
          <w:rFonts w:eastAsia="宋体" w:cs="Times New Roman"/>
          <w:color w:val="auto"/>
          <w:sz w:val="24"/>
          <w:szCs w:val="24"/>
          <w:highlight w:val="none"/>
        </w:rPr>
        <w:fldChar w:fldCharType="begin"/>
      </w:r>
      <w:r>
        <w:rPr>
          <w:rFonts w:eastAsia="宋体" w:cs="Times New Roman"/>
          <w:color w:val="auto"/>
          <w:sz w:val="24"/>
          <w:szCs w:val="24"/>
          <w:highlight w:val="none"/>
        </w:rPr>
        <w:instrText xml:space="preserve"> SEQ 表 \* ARABIC \s 2 </w:instrText>
      </w:r>
      <w:r>
        <w:rPr>
          <w:rFonts w:eastAsia="宋体" w:cs="Times New Roman"/>
          <w:color w:val="auto"/>
          <w:sz w:val="24"/>
          <w:szCs w:val="24"/>
          <w:highlight w:val="none"/>
        </w:rPr>
        <w:fldChar w:fldCharType="separate"/>
      </w:r>
      <w:r>
        <w:rPr>
          <w:rFonts w:eastAsia="宋体" w:cs="Times New Roman"/>
          <w:color w:val="auto"/>
          <w:sz w:val="24"/>
          <w:szCs w:val="24"/>
          <w:highlight w:val="none"/>
        </w:rPr>
        <w:t>12</w:t>
      </w:r>
      <w:r>
        <w:rPr>
          <w:rFonts w:eastAsia="宋体" w:cs="Times New Roman"/>
          <w:color w:val="auto"/>
          <w:sz w:val="24"/>
          <w:szCs w:val="24"/>
          <w:highlight w:val="none"/>
        </w:rPr>
        <w:fldChar w:fldCharType="end"/>
      </w:r>
      <w:bookmarkEnd w:id="208"/>
      <w:r>
        <w:rPr>
          <w:rFonts w:eastAsia="宋体" w:cs="Times New Roman"/>
          <w:bCs/>
          <w:snapToGrid w:val="0"/>
          <w:color w:val="auto"/>
          <w:kern w:val="0"/>
          <w:sz w:val="24"/>
          <w:szCs w:val="24"/>
          <w:highlight w:val="none"/>
        </w:rPr>
        <w:t>声环境质量现状监测结果单位：dB(A)</w:t>
      </w:r>
    </w:p>
    <w:tbl>
      <w:tblPr>
        <w:tblStyle w:val="46"/>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8"/>
        <w:gridCol w:w="1298"/>
        <w:gridCol w:w="765"/>
        <w:gridCol w:w="746"/>
        <w:gridCol w:w="748"/>
        <w:gridCol w:w="746"/>
        <w:gridCol w:w="748"/>
        <w:gridCol w:w="746"/>
        <w:gridCol w:w="748"/>
        <w:gridCol w:w="746"/>
        <w:gridCol w:w="751"/>
      </w:tblGrid>
      <w:tr w14:paraId="6CFB4F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983" w:type="dxa"/>
            <w:gridSpan w:val="2"/>
            <w:vMerge w:val="restart"/>
            <w:tcBorders>
              <w:top w:val="single" w:color="auto" w:sz="12" w:space="0"/>
              <w:left w:val="nil"/>
            </w:tcBorders>
            <w:vAlign w:val="center"/>
          </w:tcPr>
          <w:p w14:paraId="77E677E0">
            <w:pPr>
              <w:ind w:left="-105" w:right="-105"/>
              <w:jc w:val="center"/>
              <w:rPr>
                <w:rFonts w:ascii="Times New Roman" w:hAnsi="Times New Roman" w:cs="Times New Roman"/>
                <w:b/>
                <w:bCs/>
                <w:color w:val="auto"/>
                <w:sz w:val="21"/>
                <w:szCs w:val="21"/>
                <w:highlight w:val="none"/>
              </w:rPr>
            </w:pPr>
            <w:r>
              <w:rPr>
                <w:rFonts w:hint="eastAsia" w:ascii="Times New Roman" w:hAnsi="Times New Roman" w:cs="Times New Roman"/>
                <w:b/>
                <w:bCs/>
                <w:color w:val="auto"/>
                <w:sz w:val="21"/>
                <w:szCs w:val="21"/>
                <w:highlight w:val="none"/>
              </w:rPr>
              <w:t>监测结果dB(A)</w:t>
            </w:r>
          </w:p>
        </w:tc>
        <w:tc>
          <w:tcPr>
            <w:tcW w:w="765" w:type="dxa"/>
            <w:vMerge w:val="restart"/>
            <w:tcBorders>
              <w:top w:val="single" w:color="auto" w:sz="12" w:space="0"/>
            </w:tcBorders>
            <w:vAlign w:val="center"/>
          </w:tcPr>
          <w:p w14:paraId="56550F26">
            <w:pPr>
              <w:ind w:left="-105" w:right="-105"/>
              <w:jc w:val="center"/>
              <w:rPr>
                <w:rFonts w:ascii="Times New Roman" w:hAnsi="Times New Roman" w:cs="Times New Roman"/>
                <w:b/>
                <w:bCs/>
                <w:color w:val="auto"/>
                <w:sz w:val="21"/>
                <w:szCs w:val="21"/>
                <w:highlight w:val="none"/>
              </w:rPr>
            </w:pPr>
            <w:r>
              <w:rPr>
                <w:rFonts w:hint="eastAsia" w:ascii="Times New Roman" w:hAnsi="Times New Roman" w:cs="Times New Roman"/>
                <w:b/>
                <w:bCs/>
                <w:color w:val="auto"/>
                <w:sz w:val="21"/>
                <w:szCs w:val="21"/>
                <w:highlight w:val="none"/>
              </w:rPr>
              <w:t>标准限值</w:t>
            </w:r>
          </w:p>
        </w:tc>
        <w:tc>
          <w:tcPr>
            <w:tcW w:w="1493" w:type="dxa"/>
            <w:gridSpan w:val="2"/>
            <w:tcBorders>
              <w:top w:val="single" w:color="auto" w:sz="12" w:space="0"/>
            </w:tcBorders>
            <w:vAlign w:val="center"/>
          </w:tcPr>
          <w:p w14:paraId="4AF6DBC5">
            <w:pPr>
              <w:ind w:left="-105" w:right="-105"/>
              <w:jc w:val="center"/>
              <w:rPr>
                <w:rFonts w:ascii="Times New Roman" w:hAnsi="Times New Roman" w:cs="Times New Roman"/>
                <w:b/>
                <w:bCs/>
                <w:color w:val="auto"/>
                <w:sz w:val="21"/>
                <w:szCs w:val="21"/>
                <w:highlight w:val="none"/>
              </w:rPr>
            </w:pPr>
            <w:r>
              <w:rPr>
                <w:rFonts w:hint="eastAsia" w:ascii="Times New Roman" w:hAnsi="Times New Roman" w:cs="Times New Roman"/>
                <w:b/>
                <w:bCs/>
                <w:color w:val="auto"/>
                <w:sz w:val="21"/>
                <w:szCs w:val="21"/>
                <w:highlight w:val="none"/>
              </w:rPr>
              <w:t>厂界东1米处</w:t>
            </w:r>
          </w:p>
        </w:tc>
        <w:tc>
          <w:tcPr>
            <w:tcW w:w="1493" w:type="dxa"/>
            <w:gridSpan w:val="2"/>
            <w:tcBorders>
              <w:top w:val="single" w:color="auto" w:sz="12" w:space="0"/>
            </w:tcBorders>
            <w:vAlign w:val="center"/>
          </w:tcPr>
          <w:p w14:paraId="67DD114E">
            <w:pPr>
              <w:ind w:left="-105" w:right="-105"/>
              <w:jc w:val="center"/>
              <w:rPr>
                <w:rFonts w:ascii="Times New Roman" w:hAnsi="Times New Roman" w:cs="Times New Roman"/>
                <w:b/>
                <w:bCs/>
                <w:color w:val="auto"/>
                <w:sz w:val="21"/>
                <w:szCs w:val="21"/>
                <w:highlight w:val="none"/>
              </w:rPr>
            </w:pPr>
            <w:r>
              <w:rPr>
                <w:rFonts w:hint="eastAsia" w:ascii="Times New Roman" w:hAnsi="Times New Roman" w:cs="Times New Roman"/>
                <w:b/>
                <w:bCs/>
                <w:color w:val="auto"/>
                <w:sz w:val="21"/>
                <w:szCs w:val="21"/>
                <w:highlight w:val="none"/>
              </w:rPr>
              <w:t>厂界南1米处</w:t>
            </w:r>
          </w:p>
        </w:tc>
        <w:tc>
          <w:tcPr>
            <w:tcW w:w="1493" w:type="dxa"/>
            <w:gridSpan w:val="2"/>
            <w:tcBorders>
              <w:top w:val="single" w:color="auto" w:sz="12" w:space="0"/>
            </w:tcBorders>
            <w:vAlign w:val="center"/>
          </w:tcPr>
          <w:p w14:paraId="292F368C">
            <w:pPr>
              <w:ind w:left="-105" w:right="-105"/>
              <w:jc w:val="center"/>
              <w:rPr>
                <w:rFonts w:ascii="Times New Roman" w:hAnsi="Times New Roman" w:cs="Times New Roman"/>
                <w:b/>
                <w:bCs/>
                <w:color w:val="auto"/>
                <w:sz w:val="21"/>
                <w:szCs w:val="21"/>
                <w:highlight w:val="none"/>
              </w:rPr>
            </w:pPr>
            <w:r>
              <w:rPr>
                <w:rFonts w:hint="eastAsia" w:ascii="Times New Roman" w:hAnsi="Times New Roman" w:cs="Times New Roman"/>
                <w:b/>
                <w:bCs/>
                <w:color w:val="auto"/>
                <w:sz w:val="21"/>
                <w:szCs w:val="21"/>
                <w:highlight w:val="none"/>
              </w:rPr>
              <w:t>厂界西1米处</w:t>
            </w:r>
          </w:p>
        </w:tc>
        <w:tc>
          <w:tcPr>
            <w:tcW w:w="1493" w:type="dxa"/>
            <w:gridSpan w:val="2"/>
            <w:tcBorders>
              <w:top w:val="single" w:color="auto" w:sz="12" w:space="0"/>
              <w:right w:val="nil"/>
            </w:tcBorders>
            <w:vAlign w:val="center"/>
          </w:tcPr>
          <w:p w14:paraId="63CB8FDC">
            <w:pPr>
              <w:ind w:left="-105" w:right="-105"/>
              <w:jc w:val="center"/>
              <w:rPr>
                <w:rFonts w:ascii="Times New Roman" w:hAnsi="Times New Roman" w:cs="Times New Roman"/>
                <w:b/>
                <w:bCs/>
                <w:color w:val="auto"/>
                <w:sz w:val="21"/>
                <w:szCs w:val="21"/>
                <w:highlight w:val="none"/>
              </w:rPr>
            </w:pPr>
            <w:r>
              <w:rPr>
                <w:rFonts w:hint="eastAsia" w:ascii="Times New Roman" w:hAnsi="Times New Roman" w:cs="Times New Roman"/>
                <w:b/>
                <w:bCs/>
                <w:color w:val="auto"/>
                <w:sz w:val="21"/>
                <w:szCs w:val="21"/>
                <w:highlight w:val="none"/>
              </w:rPr>
              <w:t>厂界北1米处</w:t>
            </w:r>
          </w:p>
        </w:tc>
      </w:tr>
      <w:tr w14:paraId="503CF3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983" w:type="dxa"/>
            <w:gridSpan w:val="2"/>
            <w:vMerge w:val="continue"/>
            <w:tcBorders>
              <w:left w:val="nil"/>
            </w:tcBorders>
            <w:vAlign w:val="center"/>
          </w:tcPr>
          <w:p w14:paraId="5C6ADDA1">
            <w:pPr>
              <w:ind w:left="-105" w:right="-105"/>
              <w:jc w:val="center"/>
              <w:rPr>
                <w:rFonts w:ascii="Times New Roman" w:hAnsi="Times New Roman" w:cs="Times New Roman"/>
                <w:color w:val="auto"/>
                <w:sz w:val="21"/>
                <w:szCs w:val="21"/>
                <w:highlight w:val="none"/>
              </w:rPr>
            </w:pPr>
          </w:p>
        </w:tc>
        <w:tc>
          <w:tcPr>
            <w:tcW w:w="765" w:type="dxa"/>
            <w:vMerge w:val="continue"/>
            <w:vAlign w:val="center"/>
          </w:tcPr>
          <w:p w14:paraId="5190DF91">
            <w:pPr>
              <w:ind w:left="-105" w:right="-105"/>
              <w:jc w:val="center"/>
              <w:rPr>
                <w:rFonts w:ascii="Times New Roman" w:hAnsi="Times New Roman" w:cs="Times New Roman"/>
                <w:color w:val="auto"/>
                <w:sz w:val="21"/>
                <w:szCs w:val="21"/>
                <w:highlight w:val="none"/>
              </w:rPr>
            </w:pPr>
          </w:p>
        </w:tc>
        <w:tc>
          <w:tcPr>
            <w:tcW w:w="746" w:type="dxa"/>
            <w:vAlign w:val="center"/>
          </w:tcPr>
          <w:p w14:paraId="0C232FD4">
            <w:pPr>
              <w:ind w:left="-105" w:right="-105"/>
              <w:jc w:val="center"/>
              <w:rPr>
                <w:rFonts w:ascii="Times New Roman" w:hAnsi="Times New Roman" w:cs="Times New Roman"/>
                <w:b/>
                <w:bCs/>
                <w:color w:val="auto"/>
                <w:sz w:val="21"/>
                <w:szCs w:val="21"/>
                <w:highlight w:val="none"/>
              </w:rPr>
            </w:pPr>
            <w:r>
              <w:rPr>
                <w:rFonts w:hint="eastAsia" w:ascii="Times New Roman" w:hAnsi="Times New Roman" w:cs="Times New Roman"/>
                <w:b/>
                <w:bCs/>
                <w:color w:val="auto"/>
                <w:sz w:val="21"/>
                <w:szCs w:val="21"/>
                <w:highlight w:val="none"/>
              </w:rPr>
              <w:t>N1</w:t>
            </w:r>
          </w:p>
        </w:tc>
        <w:tc>
          <w:tcPr>
            <w:tcW w:w="746" w:type="dxa"/>
            <w:vAlign w:val="center"/>
          </w:tcPr>
          <w:p w14:paraId="37F30C26">
            <w:pPr>
              <w:ind w:left="-105" w:right="-105"/>
              <w:jc w:val="center"/>
              <w:rPr>
                <w:rFonts w:ascii="Times New Roman" w:hAnsi="Times New Roman" w:cs="Times New Roman"/>
                <w:b/>
                <w:bCs/>
                <w:color w:val="auto"/>
                <w:sz w:val="21"/>
                <w:szCs w:val="21"/>
                <w:highlight w:val="none"/>
              </w:rPr>
            </w:pPr>
            <w:r>
              <w:rPr>
                <w:rFonts w:hint="eastAsia" w:ascii="Times New Roman" w:hAnsi="Times New Roman" w:cs="Times New Roman"/>
                <w:b/>
                <w:bCs/>
                <w:color w:val="auto"/>
                <w:sz w:val="21"/>
                <w:szCs w:val="21"/>
                <w:highlight w:val="none"/>
              </w:rPr>
              <w:t>N2</w:t>
            </w:r>
          </w:p>
        </w:tc>
        <w:tc>
          <w:tcPr>
            <w:tcW w:w="746" w:type="dxa"/>
            <w:vAlign w:val="center"/>
          </w:tcPr>
          <w:p w14:paraId="767E4F06">
            <w:pPr>
              <w:ind w:left="-105" w:right="-105"/>
              <w:jc w:val="center"/>
              <w:rPr>
                <w:rFonts w:ascii="Times New Roman" w:hAnsi="Times New Roman" w:cs="Times New Roman"/>
                <w:b/>
                <w:bCs/>
                <w:color w:val="auto"/>
                <w:sz w:val="21"/>
                <w:szCs w:val="21"/>
                <w:highlight w:val="none"/>
              </w:rPr>
            </w:pPr>
            <w:r>
              <w:rPr>
                <w:rFonts w:hint="eastAsia" w:ascii="Times New Roman" w:hAnsi="Times New Roman" w:cs="Times New Roman"/>
                <w:b/>
                <w:bCs/>
                <w:color w:val="auto"/>
                <w:sz w:val="21"/>
                <w:szCs w:val="21"/>
                <w:highlight w:val="none"/>
              </w:rPr>
              <w:t>N3</w:t>
            </w:r>
          </w:p>
        </w:tc>
        <w:tc>
          <w:tcPr>
            <w:tcW w:w="746" w:type="dxa"/>
            <w:vAlign w:val="center"/>
          </w:tcPr>
          <w:p w14:paraId="1990CDCA">
            <w:pPr>
              <w:ind w:left="-105" w:right="-105"/>
              <w:jc w:val="center"/>
              <w:rPr>
                <w:rFonts w:ascii="Times New Roman" w:hAnsi="Times New Roman" w:cs="Times New Roman"/>
                <w:b/>
                <w:bCs/>
                <w:color w:val="auto"/>
                <w:sz w:val="21"/>
                <w:szCs w:val="21"/>
                <w:highlight w:val="none"/>
              </w:rPr>
            </w:pPr>
            <w:r>
              <w:rPr>
                <w:rFonts w:hint="eastAsia" w:ascii="Times New Roman" w:hAnsi="Times New Roman" w:cs="Times New Roman"/>
                <w:b/>
                <w:bCs/>
                <w:color w:val="auto"/>
                <w:sz w:val="21"/>
                <w:szCs w:val="21"/>
                <w:highlight w:val="none"/>
              </w:rPr>
              <w:t>N4</w:t>
            </w:r>
          </w:p>
        </w:tc>
        <w:tc>
          <w:tcPr>
            <w:tcW w:w="746" w:type="dxa"/>
            <w:vAlign w:val="center"/>
          </w:tcPr>
          <w:p w14:paraId="198926F6">
            <w:pPr>
              <w:ind w:left="-105" w:right="-105"/>
              <w:jc w:val="center"/>
              <w:rPr>
                <w:rFonts w:ascii="Times New Roman" w:hAnsi="Times New Roman" w:cs="Times New Roman"/>
                <w:b/>
                <w:bCs/>
                <w:color w:val="auto"/>
                <w:sz w:val="21"/>
                <w:szCs w:val="21"/>
                <w:highlight w:val="none"/>
              </w:rPr>
            </w:pPr>
            <w:r>
              <w:rPr>
                <w:rFonts w:hint="eastAsia" w:ascii="Times New Roman" w:hAnsi="Times New Roman" w:cs="Times New Roman"/>
                <w:b/>
                <w:bCs/>
                <w:color w:val="auto"/>
                <w:sz w:val="21"/>
                <w:szCs w:val="21"/>
                <w:highlight w:val="none"/>
              </w:rPr>
              <w:t>N5</w:t>
            </w:r>
          </w:p>
        </w:tc>
        <w:tc>
          <w:tcPr>
            <w:tcW w:w="746" w:type="dxa"/>
            <w:vAlign w:val="center"/>
          </w:tcPr>
          <w:p w14:paraId="78F502ED">
            <w:pPr>
              <w:ind w:left="-105" w:right="-105"/>
              <w:jc w:val="center"/>
              <w:rPr>
                <w:rFonts w:ascii="Times New Roman" w:hAnsi="Times New Roman" w:cs="Times New Roman"/>
                <w:b/>
                <w:bCs/>
                <w:color w:val="auto"/>
                <w:sz w:val="21"/>
                <w:szCs w:val="21"/>
                <w:highlight w:val="none"/>
              </w:rPr>
            </w:pPr>
            <w:r>
              <w:rPr>
                <w:rFonts w:hint="eastAsia" w:ascii="Times New Roman" w:hAnsi="Times New Roman" w:cs="Times New Roman"/>
                <w:b/>
                <w:bCs/>
                <w:color w:val="auto"/>
                <w:sz w:val="21"/>
                <w:szCs w:val="21"/>
                <w:highlight w:val="none"/>
              </w:rPr>
              <w:t>N6</w:t>
            </w:r>
          </w:p>
        </w:tc>
        <w:tc>
          <w:tcPr>
            <w:tcW w:w="746" w:type="dxa"/>
            <w:vAlign w:val="center"/>
          </w:tcPr>
          <w:p w14:paraId="321FDC16">
            <w:pPr>
              <w:ind w:left="-105" w:right="-105"/>
              <w:jc w:val="center"/>
              <w:rPr>
                <w:rFonts w:ascii="Times New Roman" w:hAnsi="Times New Roman" w:cs="Times New Roman"/>
                <w:b/>
                <w:bCs/>
                <w:color w:val="auto"/>
                <w:sz w:val="21"/>
                <w:szCs w:val="21"/>
                <w:highlight w:val="none"/>
              </w:rPr>
            </w:pPr>
            <w:r>
              <w:rPr>
                <w:rFonts w:hint="eastAsia" w:ascii="Times New Roman" w:hAnsi="Times New Roman" w:cs="Times New Roman"/>
                <w:b/>
                <w:bCs/>
                <w:color w:val="auto"/>
                <w:sz w:val="21"/>
                <w:szCs w:val="21"/>
                <w:highlight w:val="none"/>
              </w:rPr>
              <w:t>N7</w:t>
            </w:r>
          </w:p>
        </w:tc>
        <w:tc>
          <w:tcPr>
            <w:tcW w:w="750" w:type="dxa"/>
            <w:tcBorders>
              <w:right w:val="nil"/>
            </w:tcBorders>
            <w:vAlign w:val="center"/>
          </w:tcPr>
          <w:p w14:paraId="02E3BF95">
            <w:pPr>
              <w:ind w:left="-105" w:right="-105"/>
              <w:jc w:val="center"/>
              <w:rPr>
                <w:rFonts w:ascii="Times New Roman" w:hAnsi="Times New Roman" w:cs="Times New Roman"/>
                <w:b/>
                <w:bCs/>
                <w:color w:val="auto"/>
                <w:sz w:val="21"/>
                <w:szCs w:val="21"/>
                <w:highlight w:val="none"/>
              </w:rPr>
            </w:pPr>
            <w:r>
              <w:rPr>
                <w:rFonts w:hint="eastAsia" w:ascii="Times New Roman" w:hAnsi="Times New Roman" w:cs="Times New Roman"/>
                <w:b/>
                <w:bCs/>
                <w:color w:val="auto"/>
                <w:sz w:val="21"/>
                <w:szCs w:val="21"/>
                <w:highlight w:val="none"/>
              </w:rPr>
              <w:t>N8</w:t>
            </w:r>
          </w:p>
        </w:tc>
      </w:tr>
      <w:tr w14:paraId="03AC2B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78" w:type="dxa"/>
            <w:vMerge w:val="restart"/>
            <w:tcBorders>
              <w:left w:val="nil"/>
            </w:tcBorders>
            <w:vAlign w:val="center"/>
          </w:tcPr>
          <w:p w14:paraId="67EBF3C2">
            <w:pPr>
              <w:ind w:left="-105" w:right="-105"/>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2023.3.15</w:t>
            </w:r>
          </w:p>
        </w:tc>
        <w:tc>
          <w:tcPr>
            <w:tcW w:w="1305" w:type="dxa"/>
            <w:vAlign w:val="center"/>
          </w:tcPr>
          <w:p w14:paraId="568CE6B4">
            <w:pPr>
              <w:ind w:left="-105" w:right="-105"/>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Leq（昼间）</w:t>
            </w:r>
          </w:p>
        </w:tc>
        <w:tc>
          <w:tcPr>
            <w:tcW w:w="765" w:type="dxa"/>
            <w:vAlign w:val="center"/>
          </w:tcPr>
          <w:p w14:paraId="171C8CEA">
            <w:pPr>
              <w:ind w:left="-105" w:right="-105"/>
              <w:jc w:val="center"/>
              <w:rPr>
                <w:rFonts w:ascii="Times New Roman" w:hAnsi="Times New Roman" w:cs="Times New Roman"/>
                <w:b/>
                <w:bCs/>
                <w:color w:val="auto"/>
                <w:sz w:val="21"/>
                <w:szCs w:val="21"/>
                <w:highlight w:val="none"/>
              </w:rPr>
            </w:pPr>
            <w:r>
              <w:rPr>
                <w:rFonts w:hint="eastAsia" w:ascii="Times New Roman" w:hAnsi="Times New Roman" w:cs="Times New Roman"/>
                <w:b/>
                <w:bCs/>
                <w:color w:val="auto"/>
                <w:sz w:val="21"/>
                <w:szCs w:val="21"/>
                <w:highlight w:val="none"/>
              </w:rPr>
              <w:t>60</w:t>
            </w:r>
          </w:p>
        </w:tc>
        <w:tc>
          <w:tcPr>
            <w:tcW w:w="746" w:type="dxa"/>
            <w:vAlign w:val="center"/>
          </w:tcPr>
          <w:p w14:paraId="60243BFD">
            <w:pPr>
              <w:ind w:left="-105" w:right="-105"/>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58.5</w:t>
            </w:r>
          </w:p>
        </w:tc>
        <w:tc>
          <w:tcPr>
            <w:tcW w:w="746" w:type="dxa"/>
            <w:vAlign w:val="center"/>
          </w:tcPr>
          <w:p w14:paraId="2209E574">
            <w:pPr>
              <w:ind w:left="-105" w:right="-105"/>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58.3</w:t>
            </w:r>
          </w:p>
        </w:tc>
        <w:tc>
          <w:tcPr>
            <w:tcW w:w="746" w:type="dxa"/>
            <w:vAlign w:val="center"/>
          </w:tcPr>
          <w:p w14:paraId="5B59410C">
            <w:pPr>
              <w:ind w:left="-105" w:right="-105"/>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58.3</w:t>
            </w:r>
          </w:p>
        </w:tc>
        <w:tc>
          <w:tcPr>
            <w:tcW w:w="746" w:type="dxa"/>
            <w:vAlign w:val="center"/>
          </w:tcPr>
          <w:p w14:paraId="5C645778">
            <w:pPr>
              <w:ind w:left="-105" w:right="-105"/>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57.7</w:t>
            </w:r>
          </w:p>
        </w:tc>
        <w:tc>
          <w:tcPr>
            <w:tcW w:w="746" w:type="dxa"/>
            <w:vAlign w:val="center"/>
          </w:tcPr>
          <w:p w14:paraId="14FC36A8">
            <w:pPr>
              <w:ind w:left="-105" w:right="-105"/>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56.6</w:t>
            </w:r>
          </w:p>
        </w:tc>
        <w:tc>
          <w:tcPr>
            <w:tcW w:w="746" w:type="dxa"/>
            <w:vAlign w:val="center"/>
          </w:tcPr>
          <w:p w14:paraId="6C1A4550">
            <w:pPr>
              <w:ind w:left="-105" w:right="-105"/>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56.9</w:t>
            </w:r>
          </w:p>
        </w:tc>
        <w:tc>
          <w:tcPr>
            <w:tcW w:w="746" w:type="dxa"/>
            <w:vAlign w:val="center"/>
          </w:tcPr>
          <w:p w14:paraId="0A978B6B">
            <w:pPr>
              <w:ind w:left="-105" w:right="-105"/>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55.1</w:t>
            </w:r>
          </w:p>
        </w:tc>
        <w:tc>
          <w:tcPr>
            <w:tcW w:w="750" w:type="dxa"/>
            <w:tcBorders>
              <w:right w:val="nil"/>
            </w:tcBorders>
            <w:vAlign w:val="center"/>
          </w:tcPr>
          <w:p w14:paraId="268645F6">
            <w:pPr>
              <w:ind w:left="-105" w:right="-105"/>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55.6</w:t>
            </w:r>
          </w:p>
        </w:tc>
      </w:tr>
      <w:tr w14:paraId="39FA63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78" w:type="dxa"/>
            <w:vMerge w:val="continue"/>
            <w:tcBorders>
              <w:left w:val="nil"/>
            </w:tcBorders>
            <w:vAlign w:val="center"/>
          </w:tcPr>
          <w:p w14:paraId="39A72F3C">
            <w:pPr>
              <w:ind w:left="-105" w:right="-105"/>
              <w:jc w:val="center"/>
              <w:rPr>
                <w:rFonts w:ascii="Times New Roman" w:hAnsi="Times New Roman" w:cs="Times New Roman"/>
                <w:color w:val="auto"/>
                <w:sz w:val="21"/>
                <w:szCs w:val="21"/>
                <w:highlight w:val="none"/>
              </w:rPr>
            </w:pPr>
          </w:p>
        </w:tc>
        <w:tc>
          <w:tcPr>
            <w:tcW w:w="1305" w:type="dxa"/>
            <w:vAlign w:val="center"/>
          </w:tcPr>
          <w:p w14:paraId="18C39AA6">
            <w:pPr>
              <w:ind w:left="-105" w:right="-105"/>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Leq（夜间）</w:t>
            </w:r>
          </w:p>
        </w:tc>
        <w:tc>
          <w:tcPr>
            <w:tcW w:w="765" w:type="dxa"/>
            <w:vAlign w:val="center"/>
          </w:tcPr>
          <w:p w14:paraId="64FDC53C">
            <w:pPr>
              <w:ind w:left="-105" w:right="-105"/>
              <w:jc w:val="center"/>
              <w:rPr>
                <w:rFonts w:ascii="Times New Roman" w:hAnsi="Times New Roman" w:cs="Times New Roman"/>
                <w:b/>
                <w:bCs/>
                <w:color w:val="auto"/>
                <w:sz w:val="21"/>
                <w:szCs w:val="21"/>
                <w:highlight w:val="none"/>
              </w:rPr>
            </w:pPr>
            <w:r>
              <w:rPr>
                <w:rFonts w:hint="eastAsia" w:ascii="Times New Roman" w:hAnsi="Times New Roman" w:cs="Times New Roman"/>
                <w:b/>
                <w:bCs/>
                <w:color w:val="auto"/>
                <w:sz w:val="21"/>
                <w:szCs w:val="21"/>
                <w:highlight w:val="none"/>
              </w:rPr>
              <w:t>50</w:t>
            </w:r>
          </w:p>
        </w:tc>
        <w:tc>
          <w:tcPr>
            <w:tcW w:w="746" w:type="dxa"/>
            <w:vAlign w:val="center"/>
          </w:tcPr>
          <w:p w14:paraId="4664EDD2">
            <w:pPr>
              <w:ind w:left="-105" w:right="-105"/>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49.1</w:t>
            </w:r>
          </w:p>
        </w:tc>
        <w:tc>
          <w:tcPr>
            <w:tcW w:w="746" w:type="dxa"/>
            <w:vAlign w:val="center"/>
          </w:tcPr>
          <w:p w14:paraId="4E572099">
            <w:pPr>
              <w:ind w:left="-105" w:right="-105"/>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48.8</w:t>
            </w:r>
          </w:p>
        </w:tc>
        <w:tc>
          <w:tcPr>
            <w:tcW w:w="746" w:type="dxa"/>
            <w:vAlign w:val="center"/>
          </w:tcPr>
          <w:p w14:paraId="1CE9A2CC">
            <w:pPr>
              <w:ind w:left="-105" w:right="-105"/>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48.0</w:t>
            </w:r>
          </w:p>
        </w:tc>
        <w:tc>
          <w:tcPr>
            <w:tcW w:w="746" w:type="dxa"/>
            <w:vAlign w:val="center"/>
          </w:tcPr>
          <w:p w14:paraId="4F90646C">
            <w:pPr>
              <w:ind w:left="-105" w:right="-105"/>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47.2</w:t>
            </w:r>
          </w:p>
        </w:tc>
        <w:tc>
          <w:tcPr>
            <w:tcW w:w="746" w:type="dxa"/>
            <w:vAlign w:val="center"/>
          </w:tcPr>
          <w:p w14:paraId="4A876AB0">
            <w:pPr>
              <w:ind w:left="-105" w:right="-105"/>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46.9</w:t>
            </w:r>
          </w:p>
        </w:tc>
        <w:tc>
          <w:tcPr>
            <w:tcW w:w="746" w:type="dxa"/>
            <w:vAlign w:val="center"/>
          </w:tcPr>
          <w:p w14:paraId="1EBA6855">
            <w:pPr>
              <w:ind w:left="-105" w:right="-105"/>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47.3</w:t>
            </w:r>
          </w:p>
        </w:tc>
        <w:tc>
          <w:tcPr>
            <w:tcW w:w="746" w:type="dxa"/>
            <w:vAlign w:val="center"/>
          </w:tcPr>
          <w:p w14:paraId="15CCB9CA">
            <w:pPr>
              <w:ind w:left="-105" w:right="-105"/>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45.6</w:t>
            </w:r>
          </w:p>
        </w:tc>
        <w:tc>
          <w:tcPr>
            <w:tcW w:w="750" w:type="dxa"/>
            <w:tcBorders>
              <w:right w:val="nil"/>
            </w:tcBorders>
            <w:vAlign w:val="center"/>
          </w:tcPr>
          <w:p w14:paraId="2E827C5C">
            <w:pPr>
              <w:ind w:left="-105" w:right="-105"/>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45.1</w:t>
            </w:r>
          </w:p>
        </w:tc>
      </w:tr>
      <w:tr w14:paraId="6E2081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78" w:type="dxa"/>
            <w:vMerge w:val="restart"/>
            <w:tcBorders>
              <w:left w:val="nil"/>
            </w:tcBorders>
            <w:vAlign w:val="center"/>
          </w:tcPr>
          <w:p w14:paraId="231BF42C">
            <w:pPr>
              <w:ind w:left="-105" w:right="-105"/>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2023.3.16</w:t>
            </w:r>
          </w:p>
        </w:tc>
        <w:tc>
          <w:tcPr>
            <w:tcW w:w="1305" w:type="dxa"/>
            <w:vAlign w:val="center"/>
          </w:tcPr>
          <w:p w14:paraId="57A213CF">
            <w:pPr>
              <w:ind w:left="-105" w:right="-105"/>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Leq（昼间）</w:t>
            </w:r>
          </w:p>
        </w:tc>
        <w:tc>
          <w:tcPr>
            <w:tcW w:w="765" w:type="dxa"/>
            <w:vAlign w:val="center"/>
          </w:tcPr>
          <w:p w14:paraId="4AEA69E4">
            <w:pPr>
              <w:ind w:left="-105" w:right="-105"/>
              <w:jc w:val="center"/>
              <w:rPr>
                <w:rFonts w:ascii="Times New Roman" w:hAnsi="Times New Roman" w:cs="Times New Roman"/>
                <w:b/>
                <w:bCs/>
                <w:color w:val="auto"/>
                <w:sz w:val="21"/>
                <w:szCs w:val="21"/>
                <w:highlight w:val="none"/>
              </w:rPr>
            </w:pPr>
            <w:r>
              <w:rPr>
                <w:rFonts w:hint="eastAsia" w:ascii="Times New Roman" w:hAnsi="Times New Roman" w:cs="Times New Roman"/>
                <w:b/>
                <w:bCs/>
                <w:color w:val="auto"/>
                <w:sz w:val="21"/>
                <w:szCs w:val="21"/>
                <w:highlight w:val="none"/>
              </w:rPr>
              <w:t>60</w:t>
            </w:r>
          </w:p>
        </w:tc>
        <w:tc>
          <w:tcPr>
            <w:tcW w:w="746" w:type="dxa"/>
            <w:vAlign w:val="center"/>
          </w:tcPr>
          <w:p w14:paraId="6CC76E02">
            <w:pPr>
              <w:ind w:left="-105" w:right="-105"/>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58.6</w:t>
            </w:r>
          </w:p>
        </w:tc>
        <w:tc>
          <w:tcPr>
            <w:tcW w:w="746" w:type="dxa"/>
            <w:vAlign w:val="center"/>
          </w:tcPr>
          <w:p w14:paraId="5F110806">
            <w:pPr>
              <w:ind w:left="-105" w:right="-105"/>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58.2</w:t>
            </w:r>
          </w:p>
        </w:tc>
        <w:tc>
          <w:tcPr>
            <w:tcW w:w="746" w:type="dxa"/>
            <w:vAlign w:val="center"/>
          </w:tcPr>
          <w:p w14:paraId="4A74C9A0">
            <w:pPr>
              <w:ind w:left="-105" w:right="-105"/>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58.2</w:t>
            </w:r>
          </w:p>
        </w:tc>
        <w:tc>
          <w:tcPr>
            <w:tcW w:w="746" w:type="dxa"/>
            <w:vAlign w:val="center"/>
          </w:tcPr>
          <w:p w14:paraId="00778A90">
            <w:pPr>
              <w:ind w:left="-105" w:right="-105"/>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58.0</w:t>
            </w:r>
          </w:p>
        </w:tc>
        <w:tc>
          <w:tcPr>
            <w:tcW w:w="746" w:type="dxa"/>
            <w:vAlign w:val="center"/>
          </w:tcPr>
          <w:p w14:paraId="1A43CFCB">
            <w:pPr>
              <w:ind w:left="-105" w:right="-105"/>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56.9</w:t>
            </w:r>
          </w:p>
        </w:tc>
        <w:tc>
          <w:tcPr>
            <w:tcW w:w="746" w:type="dxa"/>
            <w:vAlign w:val="center"/>
          </w:tcPr>
          <w:p w14:paraId="6A379974">
            <w:pPr>
              <w:ind w:left="-105" w:right="-105"/>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57.2</w:t>
            </w:r>
          </w:p>
        </w:tc>
        <w:tc>
          <w:tcPr>
            <w:tcW w:w="746" w:type="dxa"/>
            <w:vAlign w:val="center"/>
          </w:tcPr>
          <w:p w14:paraId="09D353BE">
            <w:pPr>
              <w:ind w:left="-105" w:right="-105"/>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55.6</w:t>
            </w:r>
          </w:p>
        </w:tc>
        <w:tc>
          <w:tcPr>
            <w:tcW w:w="750" w:type="dxa"/>
            <w:tcBorders>
              <w:right w:val="nil"/>
            </w:tcBorders>
            <w:vAlign w:val="center"/>
          </w:tcPr>
          <w:p w14:paraId="7595D2B9">
            <w:pPr>
              <w:ind w:left="-105" w:right="-105"/>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55.1</w:t>
            </w:r>
          </w:p>
        </w:tc>
      </w:tr>
      <w:tr w14:paraId="4F1453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78" w:type="dxa"/>
            <w:vMerge w:val="continue"/>
            <w:tcBorders>
              <w:left w:val="nil"/>
            </w:tcBorders>
            <w:vAlign w:val="center"/>
          </w:tcPr>
          <w:p w14:paraId="57DCFBE4">
            <w:pPr>
              <w:ind w:left="-105" w:right="-105"/>
              <w:jc w:val="center"/>
              <w:rPr>
                <w:rFonts w:ascii="Times New Roman" w:hAnsi="Times New Roman" w:cs="Times New Roman"/>
                <w:color w:val="auto"/>
                <w:sz w:val="21"/>
                <w:szCs w:val="21"/>
                <w:highlight w:val="none"/>
              </w:rPr>
            </w:pPr>
          </w:p>
        </w:tc>
        <w:tc>
          <w:tcPr>
            <w:tcW w:w="1305" w:type="dxa"/>
            <w:vAlign w:val="center"/>
          </w:tcPr>
          <w:p w14:paraId="05354283">
            <w:pPr>
              <w:ind w:left="-105" w:right="-105"/>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Leq（夜间）</w:t>
            </w:r>
          </w:p>
        </w:tc>
        <w:tc>
          <w:tcPr>
            <w:tcW w:w="765" w:type="dxa"/>
            <w:vAlign w:val="center"/>
          </w:tcPr>
          <w:p w14:paraId="18BEC2C8">
            <w:pPr>
              <w:ind w:left="-105" w:right="-105"/>
              <w:jc w:val="center"/>
              <w:rPr>
                <w:rFonts w:ascii="Times New Roman" w:hAnsi="Times New Roman" w:cs="Times New Roman"/>
                <w:b/>
                <w:bCs/>
                <w:color w:val="auto"/>
                <w:sz w:val="21"/>
                <w:szCs w:val="21"/>
                <w:highlight w:val="none"/>
              </w:rPr>
            </w:pPr>
            <w:r>
              <w:rPr>
                <w:rFonts w:hint="eastAsia" w:ascii="Times New Roman" w:hAnsi="Times New Roman" w:cs="Times New Roman"/>
                <w:b/>
                <w:bCs/>
                <w:color w:val="auto"/>
                <w:sz w:val="21"/>
                <w:szCs w:val="21"/>
                <w:highlight w:val="none"/>
              </w:rPr>
              <w:t>50</w:t>
            </w:r>
          </w:p>
        </w:tc>
        <w:tc>
          <w:tcPr>
            <w:tcW w:w="746" w:type="dxa"/>
            <w:vAlign w:val="center"/>
          </w:tcPr>
          <w:p w14:paraId="20D2C76A">
            <w:pPr>
              <w:ind w:left="-105" w:right="-105"/>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49.3</w:t>
            </w:r>
          </w:p>
        </w:tc>
        <w:tc>
          <w:tcPr>
            <w:tcW w:w="746" w:type="dxa"/>
            <w:vAlign w:val="center"/>
          </w:tcPr>
          <w:p w14:paraId="4B4DF667">
            <w:pPr>
              <w:ind w:left="-105" w:right="-105"/>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48.5</w:t>
            </w:r>
          </w:p>
        </w:tc>
        <w:tc>
          <w:tcPr>
            <w:tcW w:w="746" w:type="dxa"/>
            <w:vAlign w:val="center"/>
          </w:tcPr>
          <w:p w14:paraId="1FAA1EB2">
            <w:pPr>
              <w:ind w:left="-105" w:right="-105"/>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47.7</w:t>
            </w:r>
          </w:p>
        </w:tc>
        <w:tc>
          <w:tcPr>
            <w:tcW w:w="746" w:type="dxa"/>
            <w:vAlign w:val="center"/>
          </w:tcPr>
          <w:p w14:paraId="36C3B301">
            <w:pPr>
              <w:ind w:left="-105" w:right="-105"/>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47.5</w:t>
            </w:r>
          </w:p>
        </w:tc>
        <w:tc>
          <w:tcPr>
            <w:tcW w:w="746" w:type="dxa"/>
            <w:vAlign w:val="center"/>
          </w:tcPr>
          <w:p w14:paraId="5D66F7FC">
            <w:pPr>
              <w:ind w:left="-105" w:right="-105"/>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47.2</w:t>
            </w:r>
          </w:p>
        </w:tc>
        <w:tc>
          <w:tcPr>
            <w:tcW w:w="746" w:type="dxa"/>
            <w:vAlign w:val="center"/>
          </w:tcPr>
          <w:p w14:paraId="1280AD6F">
            <w:pPr>
              <w:ind w:left="-105" w:right="-105"/>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46.8</w:t>
            </w:r>
          </w:p>
        </w:tc>
        <w:tc>
          <w:tcPr>
            <w:tcW w:w="746" w:type="dxa"/>
            <w:vAlign w:val="center"/>
          </w:tcPr>
          <w:p w14:paraId="316E800D">
            <w:pPr>
              <w:ind w:left="-105" w:right="-105"/>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45.6</w:t>
            </w:r>
          </w:p>
        </w:tc>
        <w:tc>
          <w:tcPr>
            <w:tcW w:w="750" w:type="dxa"/>
            <w:tcBorders>
              <w:right w:val="nil"/>
            </w:tcBorders>
            <w:vAlign w:val="center"/>
          </w:tcPr>
          <w:p w14:paraId="580A9971">
            <w:pPr>
              <w:ind w:left="-105" w:right="-105"/>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45.2</w:t>
            </w:r>
          </w:p>
        </w:tc>
      </w:tr>
      <w:tr w14:paraId="0F0209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983" w:type="dxa"/>
            <w:gridSpan w:val="2"/>
            <w:tcBorders>
              <w:left w:val="nil"/>
              <w:bottom w:val="single" w:color="auto" w:sz="12" w:space="0"/>
            </w:tcBorders>
            <w:vAlign w:val="center"/>
          </w:tcPr>
          <w:p w14:paraId="0560CBC2">
            <w:pPr>
              <w:ind w:left="-105" w:right="-105"/>
              <w:jc w:val="center"/>
              <w:rPr>
                <w:rFonts w:ascii="Times New Roman" w:hAnsi="Times New Roman" w:cs="Times New Roman"/>
                <w:b/>
                <w:bCs/>
                <w:color w:val="auto"/>
                <w:sz w:val="21"/>
                <w:szCs w:val="21"/>
                <w:highlight w:val="none"/>
              </w:rPr>
            </w:pPr>
            <w:r>
              <w:rPr>
                <w:rFonts w:hint="eastAsia" w:ascii="Times New Roman" w:hAnsi="Times New Roman" w:cs="Times New Roman"/>
                <w:b/>
                <w:bCs/>
                <w:color w:val="auto"/>
                <w:sz w:val="21"/>
                <w:szCs w:val="21"/>
                <w:highlight w:val="none"/>
              </w:rPr>
              <w:t>评价</w:t>
            </w:r>
          </w:p>
        </w:tc>
        <w:tc>
          <w:tcPr>
            <w:tcW w:w="765" w:type="dxa"/>
            <w:tcBorders>
              <w:bottom w:val="single" w:color="auto" w:sz="12" w:space="0"/>
            </w:tcBorders>
            <w:vAlign w:val="center"/>
          </w:tcPr>
          <w:p w14:paraId="4BC470A3">
            <w:pPr>
              <w:ind w:left="-105" w:right="-105"/>
              <w:jc w:val="center"/>
              <w:rPr>
                <w:rFonts w:ascii="Times New Roman" w:hAnsi="Times New Roman" w:cs="Times New Roman"/>
                <w:b/>
                <w:bCs/>
                <w:color w:val="auto"/>
                <w:sz w:val="21"/>
                <w:szCs w:val="21"/>
                <w:highlight w:val="none"/>
              </w:rPr>
            </w:pPr>
            <w:r>
              <w:rPr>
                <w:rFonts w:hint="eastAsia" w:ascii="Times New Roman" w:hAnsi="Times New Roman" w:cs="Times New Roman"/>
                <w:b/>
                <w:bCs/>
                <w:color w:val="auto"/>
                <w:sz w:val="21"/>
                <w:szCs w:val="21"/>
                <w:highlight w:val="none"/>
              </w:rPr>
              <w:t>/</w:t>
            </w:r>
          </w:p>
        </w:tc>
        <w:tc>
          <w:tcPr>
            <w:tcW w:w="746" w:type="dxa"/>
            <w:tcBorders>
              <w:bottom w:val="single" w:color="auto" w:sz="12" w:space="0"/>
            </w:tcBorders>
            <w:vAlign w:val="center"/>
          </w:tcPr>
          <w:p w14:paraId="0C7F815C">
            <w:pPr>
              <w:ind w:left="-105" w:right="-105"/>
              <w:jc w:val="center"/>
              <w:rPr>
                <w:rFonts w:ascii="Times New Roman" w:hAnsi="Times New Roman" w:cs="Times New Roman"/>
                <w:b/>
                <w:bCs/>
                <w:color w:val="auto"/>
                <w:sz w:val="21"/>
                <w:szCs w:val="21"/>
                <w:highlight w:val="none"/>
              </w:rPr>
            </w:pPr>
            <w:r>
              <w:rPr>
                <w:rFonts w:hint="eastAsia" w:ascii="Times New Roman" w:hAnsi="Times New Roman" w:cs="Times New Roman"/>
                <w:b/>
                <w:bCs/>
                <w:color w:val="auto"/>
                <w:sz w:val="21"/>
                <w:szCs w:val="21"/>
                <w:highlight w:val="none"/>
              </w:rPr>
              <w:t>合格</w:t>
            </w:r>
          </w:p>
        </w:tc>
        <w:tc>
          <w:tcPr>
            <w:tcW w:w="746" w:type="dxa"/>
            <w:tcBorders>
              <w:bottom w:val="single" w:color="auto" w:sz="12" w:space="0"/>
            </w:tcBorders>
            <w:vAlign w:val="center"/>
          </w:tcPr>
          <w:p w14:paraId="2EB4AB7A">
            <w:pPr>
              <w:ind w:left="-105" w:right="-105"/>
              <w:jc w:val="center"/>
              <w:rPr>
                <w:rFonts w:ascii="Times New Roman" w:hAnsi="Times New Roman" w:cs="Times New Roman"/>
                <w:b/>
                <w:bCs/>
                <w:color w:val="auto"/>
                <w:sz w:val="21"/>
                <w:szCs w:val="21"/>
                <w:highlight w:val="none"/>
              </w:rPr>
            </w:pPr>
            <w:r>
              <w:rPr>
                <w:rFonts w:hint="eastAsia" w:ascii="Times New Roman" w:hAnsi="Times New Roman" w:cs="Times New Roman"/>
                <w:b/>
                <w:bCs/>
                <w:color w:val="auto"/>
                <w:sz w:val="21"/>
                <w:szCs w:val="21"/>
                <w:highlight w:val="none"/>
              </w:rPr>
              <w:t>合格</w:t>
            </w:r>
          </w:p>
        </w:tc>
        <w:tc>
          <w:tcPr>
            <w:tcW w:w="746" w:type="dxa"/>
            <w:tcBorders>
              <w:bottom w:val="single" w:color="auto" w:sz="12" w:space="0"/>
            </w:tcBorders>
            <w:vAlign w:val="center"/>
          </w:tcPr>
          <w:p w14:paraId="7F10E7EA">
            <w:pPr>
              <w:ind w:left="-105" w:right="-105"/>
              <w:jc w:val="center"/>
              <w:rPr>
                <w:rFonts w:ascii="Times New Roman" w:hAnsi="Times New Roman" w:cs="Times New Roman"/>
                <w:b/>
                <w:bCs/>
                <w:color w:val="auto"/>
                <w:sz w:val="21"/>
                <w:szCs w:val="21"/>
                <w:highlight w:val="none"/>
              </w:rPr>
            </w:pPr>
            <w:r>
              <w:rPr>
                <w:rFonts w:hint="eastAsia" w:ascii="Times New Roman" w:hAnsi="Times New Roman" w:cs="Times New Roman"/>
                <w:b/>
                <w:bCs/>
                <w:color w:val="auto"/>
                <w:sz w:val="21"/>
                <w:szCs w:val="21"/>
                <w:highlight w:val="none"/>
              </w:rPr>
              <w:t>合格</w:t>
            </w:r>
          </w:p>
        </w:tc>
        <w:tc>
          <w:tcPr>
            <w:tcW w:w="746" w:type="dxa"/>
            <w:tcBorders>
              <w:bottom w:val="single" w:color="auto" w:sz="12" w:space="0"/>
            </w:tcBorders>
            <w:vAlign w:val="center"/>
          </w:tcPr>
          <w:p w14:paraId="2E92D484">
            <w:pPr>
              <w:ind w:left="-105" w:right="-105"/>
              <w:jc w:val="center"/>
              <w:rPr>
                <w:rFonts w:ascii="Times New Roman" w:hAnsi="Times New Roman" w:cs="Times New Roman"/>
                <w:b/>
                <w:bCs/>
                <w:color w:val="auto"/>
                <w:sz w:val="21"/>
                <w:szCs w:val="21"/>
                <w:highlight w:val="none"/>
              </w:rPr>
            </w:pPr>
            <w:r>
              <w:rPr>
                <w:rFonts w:hint="eastAsia" w:ascii="Times New Roman" w:hAnsi="Times New Roman" w:cs="Times New Roman"/>
                <w:b/>
                <w:bCs/>
                <w:color w:val="auto"/>
                <w:sz w:val="21"/>
                <w:szCs w:val="21"/>
                <w:highlight w:val="none"/>
              </w:rPr>
              <w:t>合格</w:t>
            </w:r>
          </w:p>
        </w:tc>
        <w:tc>
          <w:tcPr>
            <w:tcW w:w="746" w:type="dxa"/>
            <w:tcBorders>
              <w:bottom w:val="single" w:color="auto" w:sz="12" w:space="0"/>
            </w:tcBorders>
            <w:vAlign w:val="center"/>
          </w:tcPr>
          <w:p w14:paraId="618C1E99">
            <w:pPr>
              <w:ind w:left="-105" w:right="-105"/>
              <w:jc w:val="center"/>
              <w:rPr>
                <w:rFonts w:ascii="Times New Roman" w:hAnsi="Times New Roman" w:cs="Times New Roman"/>
                <w:b/>
                <w:bCs/>
                <w:color w:val="auto"/>
                <w:sz w:val="21"/>
                <w:szCs w:val="21"/>
                <w:highlight w:val="none"/>
              </w:rPr>
            </w:pPr>
            <w:r>
              <w:rPr>
                <w:rFonts w:hint="eastAsia" w:ascii="Times New Roman" w:hAnsi="Times New Roman" w:cs="Times New Roman"/>
                <w:b/>
                <w:bCs/>
                <w:color w:val="auto"/>
                <w:sz w:val="21"/>
                <w:szCs w:val="21"/>
                <w:highlight w:val="none"/>
              </w:rPr>
              <w:t>合格</w:t>
            </w:r>
          </w:p>
        </w:tc>
        <w:tc>
          <w:tcPr>
            <w:tcW w:w="746" w:type="dxa"/>
            <w:tcBorders>
              <w:bottom w:val="single" w:color="auto" w:sz="12" w:space="0"/>
            </w:tcBorders>
            <w:vAlign w:val="center"/>
          </w:tcPr>
          <w:p w14:paraId="227DD528">
            <w:pPr>
              <w:ind w:left="-105" w:right="-105"/>
              <w:jc w:val="center"/>
              <w:rPr>
                <w:rFonts w:ascii="Times New Roman" w:hAnsi="Times New Roman" w:cs="Times New Roman"/>
                <w:b/>
                <w:bCs/>
                <w:color w:val="auto"/>
                <w:sz w:val="21"/>
                <w:szCs w:val="21"/>
                <w:highlight w:val="none"/>
              </w:rPr>
            </w:pPr>
            <w:r>
              <w:rPr>
                <w:rFonts w:hint="eastAsia" w:ascii="Times New Roman" w:hAnsi="Times New Roman" w:cs="Times New Roman"/>
                <w:b/>
                <w:bCs/>
                <w:color w:val="auto"/>
                <w:sz w:val="21"/>
                <w:szCs w:val="21"/>
                <w:highlight w:val="none"/>
              </w:rPr>
              <w:t>合格</w:t>
            </w:r>
          </w:p>
        </w:tc>
        <w:tc>
          <w:tcPr>
            <w:tcW w:w="746" w:type="dxa"/>
            <w:tcBorders>
              <w:bottom w:val="single" w:color="auto" w:sz="12" w:space="0"/>
            </w:tcBorders>
            <w:vAlign w:val="center"/>
          </w:tcPr>
          <w:p w14:paraId="16601F93">
            <w:pPr>
              <w:ind w:left="-105" w:right="-105"/>
              <w:jc w:val="center"/>
              <w:rPr>
                <w:rFonts w:ascii="Times New Roman" w:hAnsi="Times New Roman" w:cs="Times New Roman"/>
                <w:b/>
                <w:bCs/>
                <w:color w:val="auto"/>
                <w:sz w:val="21"/>
                <w:szCs w:val="21"/>
                <w:highlight w:val="none"/>
              </w:rPr>
            </w:pPr>
            <w:r>
              <w:rPr>
                <w:rFonts w:hint="eastAsia" w:ascii="Times New Roman" w:hAnsi="Times New Roman" w:cs="Times New Roman"/>
                <w:b/>
                <w:bCs/>
                <w:color w:val="auto"/>
                <w:sz w:val="21"/>
                <w:szCs w:val="21"/>
                <w:highlight w:val="none"/>
              </w:rPr>
              <w:t>合格</w:t>
            </w:r>
          </w:p>
        </w:tc>
        <w:tc>
          <w:tcPr>
            <w:tcW w:w="750" w:type="dxa"/>
            <w:tcBorders>
              <w:bottom w:val="single" w:color="auto" w:sz="12" w:space="0"/>
              <w:right w:val="nil"/>
            </w:tcBorders>
            <w:vAlign w:val="center"/>
          </w:tcPr>
          <w:p w14:paraId="2A5DB116">
            <w:pPr>
              <w:ind w:left="-105" w:right="-105"/>
              <w:jc w:val="center"/>
              <w:rPr>
                <w:rFonts w:ascii="Times New Roman" w:hAnsi="Times New Roman" w:cs="Times New Roman"/>
                <w:b/>
                <w:bCs/>
                <w:color w:val="auto"/>
                <w:sz w:val="21"/>
                <w:szCs w:val="21"/>
                <w:highlight w:val="none"/>
              </w:rPr>
            </w:pPr>
            <w:r>
              <w:rPr>
                <w:rFonts w:hint="eastAsia" w:ascii="Times New Roman" w:hAnsi="Times New Roman" w:cs="Times New Roman"/>
                <w:b/>
                <w:bCs/>
                <w:color w:val="auto"/>
                <w:sz w:val="21"/>
                <w:szCs w:val="21"/>
                <w:highlight w:val="none"/>
              </w:rPr>
              <w:t>合格</w:t>
            </w:r>
          </w:p>
        </w:tc>
      </w:tr>
    </w:tbl>
    <w:p w14:paraId="304E460E">
      <w:pPr>
        <w:spacing w:line="360" w:lineRule="auto"/>
        <w:ind w:left="-105" w:right="-105" w:firstLine="480" w:firstLineChars="200"/>
        <w:jc w:val="both"/>
        <w:rPr>
          <w:rFonts w:ascii="Times New Roman" w:hAnsi="Times New Roman"/>
          <w:color w:val="auto"/>
          <w:szCs w:val="22"/>
          <w:highlight w:val="none"/>
        </w:rPr>
      </w:pPr>
      <w:bookmarkStart w:id="209" w:name="_Toc60653474"/>
      <w:r>
        <w:rPr>
          <w:rFonts w:hint="eastAsia" w:ascii="Times New Roman" w:hAnsi="Times New Roman"/>
          <w:color w:val="auto"/>
          <w:szCs w:val="22"/>
          <w:highlight w:val="none"/>
        </w:rPr>
        <w:t>根据上表，验收监测期间，厂界噪声测点昼、夜间监测结果均符合《工业企业厂界环境噪声排放标准》（GB12348-2008）中的2类标准。</w:t>
      </w:r>
    </w:p>
    <w:p w14:paraId="7C596BF7">
      <w:pPr>
        <w:pStyle w:val="5"/>
        <w:keepLines w:val="0"/>
        <w:numPr>
          <w:ilvl w:val="2"/>
          <w:numId w:val="6"/>
        </w:numPr>
        <w:tabs>
          <w:tab w:val="left" w:pos="567"/>
          <w:tab w:val="left" w:pos="709"/>
        </w:tabs>
        <w:spacing w:before="0" w:after="0" w:line="360" w:lineRule="auto"/>
        <w:ind w:left="-105" w:right="-105"/>
        <w:rPr>
          <w:rFonts w:eastAsia="宋体"/>
          <w:color w:val="auto"/>
          <w:sz w:val="28"/>
          <w:szCs w:val="28"/>
          <w:highlight w:val="none"/>
        </w:rPr>
      </w:pPr>
      <w:r>
        <w:rPr>
          <w:rFonts w:hint="eastAsia" w:eastAsia="宋体"/>
          <w:color w:val="auto"/>
          <w:sz w:val="28"/>
          <w:szCs w:val="28"/>
          <w:highlight w:val="none"/>
        </w:rPr>
        <w:t>现有项目污染物排放汇总</w:t>
      </w:r>
      <w:bookmarkEnd w:id="209"/>
    </w:p>
    <w:p w14:paraId="774AD18A">
      <w:pPr>
        <w:spacing w:line="360" w:lineRule="auto"/>
        <w:ind w:left="-105" w:right="-105" w:firstLine="480" w:firstLineChars="200"/>
        <w:rPr>
          <w:rFonts w:ascii="Times New Roman" w:hAnsi="Times New Roman"/>
          <w:color w:val="auto"/>
          <w:szCs w:val="22"/>
          <w:highlight w:val="none"/>
        </w:rPr>
      </w:pPr>
      <w:r>
        <w:rPr>
          <w:rFonts w:hint="eastAsia" w:ascii="Times New Roman" w:hAnsi="Times New Roman"/>
          <w:color w:val="auto"/>
          <w:szCs w:val="22"/>
          <w:highlight w:val="none"/>
        </w:rPr>
        <w:t>根据现有项目2023年排污许可执行报告年报，现有项目污染物排放情况见下表</w:t>
      </w:r>
      <w:r>
        <w:rPr>
          <w:rFonts w:ascii="Times New Roman" w:hAnsi="Times New Roman" w:cs="Times New Roman"/>
          <w:color w:val="auto"/>
          <w:szCs w:val="22"/>
          <w:highlight w:val="none"/>
        </w:rPr>
        <w:t>。</w:t>
      </w:r>
    </w:p>
    <w:p w14:paraId="024126F5">
      <w:pPr>
        <w:pStyle w:val="15"/>
        <w:spacing w:line="360" w:lineRule="auto"/>
        <w:ind w:left="-105" w:right="-105" w:firstLine="482"/>
        <w:rPr>
          <w:rFonts w:eastAsia="宋体" w:cs="Times New Roman"/>
          <w:color w:val="auto"/>
          <w:sz w:val="24"/>
          <w:szCs w:val="18"/>
          <w:highlight w:val="none"/>
        </w:rPr>
      </w:pPr>
      <w:bookmarkStart w:id="210" w:name="_Ref61956013"/>
      <w:r>
        <w:rPr>
          <w:rFonts w:eastAsia="宋体" w:cs="Times New Roman"/>
          <w:color w:val="auto"/>
          <w:sz w:val="24"/>
          <w:szCs w:val="18"/>
          <w:highlight w:val="none"/>
        </w:rPr>
        <w:t>表</w:t>
      </w:r>
      <w:r>
        <w:rPr>
          <w:rFonts w:eastAsia="宋体" w:cs="Times New Roman"/>
          <w:color w:val="auto"/>
          <w:sz w:val="24"/>
          <w:szCs w:val="18"/>
          <w:highlight w:val="none"/>
        </w:rPr>
        <w:fldChar w:fldCharType="begin"/>
      </w:r>
      <w:r>
        <w:rPr>
          <w:rFonts w:eastAsia="宋体" w:cs="Times New Roman"/>
          <w:color w:val="auto"/>
          <w:sz w:val="24"/>
          <w:szCs w:val="18"/>
          <w:highlight w:val="none"/>
        </w:rPr>
        <w:instrText xml:space="preserve"> STYLEREF 2 \s </w:instrText>
      </w:r>
      <w:r>
        <w:rPr>
          <w:rFonts w:eastAsia="宋体" w:cs="Times New Roman"/>
          <w:color w:val="auto"/>
          <w:sz w:val="24"/>
          <w:szCs w:val="18"/>
          <w:highlight w:val="none"/>
        </w:rPr>
        <w:fldChar w:fldCharType="separate"/>
      </w:r>
      <w:r>
        <w:rPr>
          <w:rFonts w:eastAsia="宋体" w:cs="Times New Roman"/>
          <w:color w:val="auto"/>
          <w:sz w:val="24"/>
          <w:szCs w:val="18"/>
          <w:highlight w:val="none"/>
        </w:rPr>
        <w:t>3.3</w:t>
      </w:r>
      <w:r>
        <w:rPr>
          <w:rFonts w:eastAsia="宋体" w:cs="Times New Roman"/>
          <w:color w:val="auto"/>
          <w:sz w:val="24"/>
          <w:szCs w:val="18"/>
          <w:highlight w:val="none"/>
        </w:rPr>
        <w:fldChar w:fldCharType="end"/>
      </w:r>
      <w:r>
        <w:rPr>
          <w:rFonts w:eastAsia="宋体" w:cs="Times New Roman"/>
          <w:color w:val="auto"/>
          <w:sz w:val="24"/>
          <w:szCs w:val="18"/>
          <w:highlight w:val="none"/>
        </w:rPr>
        <w:noBreakHyphen/>
      </w:r>
      <w:r>
        <w:rPr>
          <w:rFonts w:eastAsia="宋体" w:cs="Times New Roman"/>
          <w:color w:val="auto"/>
          <w:sz w:val="24"/>
          <w:szCs w:val="18"/>
          <w:highlight w:val="none"/>
        </w:rPr>
        <w:fldChar w:fldCharType="begin"/>
      </w:r>
      <w:r>
        <w:rPr>
          <w:rFonts w:eastAsia="宋体" w:cs="Times New Roman"/>
          <w:color w:val="auto"/>
          <w:sz w:val="24"/>
          <w:szCs w:val="18"/>
          <w:highlight w:val="none"/>
        </w:rPr>
        <w:instrText xml:space="preserve"> SEQ 表 \* ARABIC \s 2 </w:instrText>
      </w:r>
      <w:r>
        <w:rPr>
          <w:rFonts w:eastAsia="宋体" w:cs="Times New Roman"/>
          <w:color w:val="auto"/>
          <w:sz w:val="24"/>
          <w:szCs w:val="18"/>
          <w:highlight w:val="none"/>
        </w:rPr>
        <w:fldChar w:fldCharType="separate"/>
      </w:r>
      <w:r>
        <w:rPr>
          <w:rFonts w:eastAsia="宋体" w:cs="Times New Roman"/>
          <w:color w:val="auto"/>
          <w:sz w:val="24"/>
          <w:szCs w:val="18"/>
          <w:highlight w:val="none"/>
        </w:rPr>
        <w:t>13</w:t>
      </w:r>
      <w:r>
        <w:rPr>
          <w:rFonts w:eastAsia="宋体" w:cs="Times New Roman"/>
          <w:color w:val="auto"/>
          <w:sz w:val="24"/>
          <w:szCs w:val="18"/>
          <w:highlight w:val="none"/>
        </w:rPr>
        <w:fldChar w:fldCharType="end"/>
      </w:r>
      <w:bookmarkEnd w:id="210"/>
      <w:r>
        <w:rPr>
          <w:rFonts w:hint="eastAsia" w:eastAsia="宋体" w:cs="Times New Roman"/>
          <w:color w:val="auto"/>
          <w:sz w:val="24"/>
          <w:szCs w:val="18"/>
          <w:highlight w:val="none"/>
        </w:rPr>
        <w:t>现有项目污染物排放情况</w:t>
      </w:r>
      <w:r>
        <w:rPr>
          <w:rFonts w:eastAsia="宋体" w:cs="Times New Roman"/>
          <w:color w:val="auto"/>
          <w:sz w:val="24"/>
          <w:szCs w:val="18"/>
          <w:highlight w:val="none"/>
        </w:rPr>
        <w:t>表（单位：t/a）</w:t>
      </w:r>
    </w:p>
    <w:tbl>
      <w:tblPr>
        <w:tblStyle w:val="46"/>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422"/>
        <w:gridCol w:w="2060"/>
        <w:gridCol w:w="1890"/>
        <w:gridCol w:w="1725"/>
        <w:gridCol w:w="1620"/>
      </w:tblGrid>
      <w:tr w14:paraId="3A28BDE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422" w:type="dxa"/>
            <w:tcBorders>
              <w:tl2br w:val="nil"/>
              <w:tr2bl w:val="nil"/>
            </w:tcBorders>
            <w:vAlign w:val="center"/>
          </w:tcPr>
          <w:p w14:paraId="5B5FC234">
            <w:pPr>
              <w:keepNext w:val="0"/>
              <w:keepLines w:val="0"/>
              <w:pageBreakBefore w:val="0"/>
              <w:widowControl/>
              <w:kinsoku/>
              <w:wordWrap/>
              <w:overflowPunct/>
              <w:topLinePunct w:val="0"/>
              <w:autoSpaceDE/>
              <w:autoSpaceDN/>
              <w:bidi w:val="0"/>
              <w:adjustRightInd/>
              <w:snapToGrid/>
              <w:ind w:left="0" w:right="0"/>
              <w:jc w:val="center"/>
              <w:textAlignment w:val="auto"/>
              <w:rPr>
                <w:rFonts w:cs="Times New Roman"/>
                <w:b/>
                <w:bCs/>
                <w:color w:val="auto"/>
                <w:sz w:val="21"/>
                <w:szCs w:val="15"/>
                <w:highlight w:val="none"/>
              </w:rPr>
            </w:pPr>
            <w:r>
              <w:rPr>
                <w:rFonts w:hint="eastAsia" w:cs="Times New Roman"/>
                <w:b/>
                <w:bCs/>
                <w:color w:val="auto"/>
                <w:sz w:val="21"/>
                <w:szCs w:val="15"/>
                <w:highlight w:val="none"/>
              </w:rPr>
              <w:t>类别</w:t>
            </w:r>
          </w:p>
        </w:tc>
        <w:tc>
          <w:tcPr>
            <w:tcW w:w="2060" w:type="dxa"/>
            <w:tcBorders>
              <w:tl2br w:val="nil"/>
              <w:tr2bl w:val="nil"/>
            </w:tcBorders>
            <w:vAlign w:val="center"/>
          </w:tcPr>
          <w:p w14:paraId="711E0DF2">
            <w:pPr>
              <w:keepNext w:val="0"/>
              <w:keepLines w:val="0"/>
              <w:pageBreakBefore w:val="0"/>
              <w:widowControl/>
              <w:kinsoku/>
              <w:wordWrap/>
              <w:overflowPunct/>
              <w:topLinePunct w:val="0"/>
              <w:autoSpaceDE/>
              <w:autoSpaceDN/>
              <w:bidi w:val="0"/>
              <w:adjustRightInd/>
              <w:snapToGrid/>
              <w:ind w:left="0" w:right="0"/>
              <w:jc w:val="center"/>
              <w:textAlignment w:val="auto"/>
              <w:rPr>
                <w:rFonts w:cs="Times New Roman"/>
                <w:b/>
                <w:bCs/>
                <w:color w:val="auto"/>
                <w:sz w:val="21"/>
                <w:szCs w:val="15"/>
                <w:highlight w:val="none"/>
              </w:rPr>
            </w:pPr>
            <w:r>
              <w:rPr>
                <w:rFonts w:hint="eastAsia" w:cs="Times New Roman"/>
                <w:b/>
                <w:bCs/>
                <w:color w:val="auto"/>
                <w:sz w:val="21"/>
                <w:szCs w:val="15"/>
                <w:highlight w:val="none"/>
              </w:rPr>
              <w:t>污染物名称</w:t>
            </w:r>
          </w:p>
        </w:tc>
        <w:tc>
          <w:tcPr>
            <w:tcW w:w="1890" w:type="dxa"/>
            <w:tcBorders>
              <w:tl2br w:val="nil"/>
              <w:tr2bl w:val="nil"/>
            </w:tcBorders>
            <w:vAlign w:val="center"/>
          </w:tcPr>
          <w:p w14:paraId="7AAEABDF">
            <w:pPr>
              <w:keepNext w:val="0"/>
              <w:keepLines w:val="0"/>
              <w:pageBreakBefore w:val="0"/>
              <w:widowControl/>
              <w:kinsoku/>
              <w:wordWrap/>
              <w:overflowPunct/>
              <w:topLinePunct w:val="0"/>
              <w:autoSpaceDE/>
              <w:autoSpaceDN/>
              <w:bidi w:val="0"/>
              <w:adjustRightInd/>
              <w:snapToGrid/>
              <w:ind w:left="0" w:right="0"/>
              <w:jc w:val="center"/>
              <w:textAlignment w:val="auto"/>
              <w:rPr>
                <w:rFonts w:cs="Times New Roman"/>
                <w:b/>
                <w:bCs/>
                <w:color w:val="auto"/>
                <w:sz w:val="21"/>
                <w:szCs w:val="15"/>
                <w:highlight w:val="none"/>
              </w:rPr>
            </w:pPr>
            <w:r>
              <w:rPr>
                <w:rFonts w:hint="eastAsia" w:cs="Times New Roman"/>
                <w:b/>
                <w:bCs/>
                <w:color w:val="auto"/>
                <w:sz w:val="21"/>
                <w:szCs w:val="15"/>
                <w:highlight w:val="none"/>
              </w:rPr>
              <w:t>环评批复量</w:t>
            </w:r>
          </w:p>
        </w:tc>
        <w:tc>
          <w:tcPr>
            <w:tcW w:w="1725" w:type="dxa"/>
            <w:tcBorders>
              <w:tl2br w:val="nil"/>
              <w:tr2bl w:val="nil"/>
            </w:tcBorders>
            <w:vAlign w:val="center"/>
          </w:tcPr>
          <w:p w14:paraId="7B278302">
            <w:pPr>
              <w:keepNext w:val="0"/>
              <w:keepLines w:val="0"/>
              <w:pageBreakBefore w:val="0"/>
              <w:widowControl/>
              <w:kinsoku/>
              <w:wordWrap/>
              <w:overflowPunct/>
              <w:topLinePunct w:val="0"/>
              <w:autoSpaceDE/>
              <w:autoSpaceDN/>
              <w:bidi w:val="0"/>
              <w:adjustRightInd/>
              <w:snapToGrid/>
              <w:ind w:left="0" w:right="0"/>
              <w:jc w:val="center"/>
              <w:textAlignment w:val="auto"/>
              <w:rPr>
                <w:rFonts w:cs="Times New Roman"/>
                <w:b/>
                <w:bCs/>
                <w:color w:val="auto"/>
                <w:sz w:val="21"/>
                <w:szCs w:val="15"/>
                <w:highlight w:val="none"/>
              </w:rPr>
            </w:pPr>
            <w:r>
              <w:rPr>
                <w:rFonts w:hint="eastAsia" w:cs="Times New Roman"/>
                <w:b/>
                <w:bCs/>
                <w:color w:val="auto"/>
                <w:sz w:val="21"/>
                <w:szCs w:val="15"/>
                <w:highlight w:val="none"/>
              </w:rPr>
              <w:t>变动后总量</w:t>
            </w:r>
          </w:p>
        </w:tc>
        <w:tc>
          <w:tcPr>
            <w:tcW w:w="1620" w:type="dxa"/>
            <w:tcBorders>
              <w:tl2br w:val="nil"/>
              <w:tr2bl w:val="nil"/>
            </w:tcBorders>
            <w:vAlign w:val="center"/>
          </w:tcPr>
          <w:p w14:paraId="602A35B8">
            <w:pPr>
              <w:keepNext w:val="0"/>
              <w:keepLines w:val="0"/>
              <w:pageBreakBefore w:val="0"/>
              <w:widowControl/>
              <w:kinsoku/>
              <w:wordWrap/>
              <w:overflowPunct/>
              <w:topLinePunct w:val="0"/>
              <w:autoSpaceDE/>
              <w:autoSpaceDN/>
              <w:bidi w:val="0"/>
              <w:adjustRightInd/>
              <w:snapToGrid/>
              <w:ind w:left="0" w:right="0"/>
              <w:jc w:val="center"/>
              <w:textAlignment w:val="auto"/>
              <w:rPr>
                <w:rFonts w:cs="Times New Roman"/>
                <w:b/>
                <w:bCs/>
                <w:color w:val="auto"/>
                <w:sz w:val="21"/>
                <w:szCs w:val="15"/>
                <w:highlight w:val="none"/>
              </w:rPr>
            </w:pPr>
            <w:r>
              <w:rPr>
                <w:rFonts w:hint="eastAsia" w:cs="Times New Roman"/>
                <w:b/>
                <w:bCs/>
                <w:color w:val="auto"/>
                <w:sz w:val="21"/>
                <w:szCs w:val="15"/>
                <w:highlight w:val="none"/>
              </w:rPr>
              <w:t>实际排放量</w:t>
            </w:r>
          </w:p>
        </w:tc>
      </w:tr>
      <w:tr w14:paraId="30EAC26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422" w:type="dxa"/>
            <w:vMerge w:val="restart"/>
            <w:tcBorders>
              <w:tl2br w:val="nil"/>
              <w:tr2bl w:val="nil"/>
            </w:tcBorders>
            <w:vAlign w:val="center"/>
          </w:tcPr>
          <w:p w14:paraId="32CCA381">
            <w:pPr>
              <w:keepNext w:val="0"/>
              <w:keepLines w:val="0"/>
              <w:pageBreakBefore w:val="0"/>
              <w:widowControl/>
              <w:kinsoku/>
              <w:wordWrap/>
              <w:overflowPunct/>
              <w:topLinePunct w:val="0"/>
              <w:autoSpaceDE/>
              <w:autoSpaceDN/>
              <w:bidi w:val="0"/>
              <w:adjustRightInd/>
              <w:snapToGrid/>
              <w:ind w:left="0" w:right="0"/>
              <w:jc w:val="center"/>
              <w:textAlignment w:val="auto"/>
              <w:rPr>
                <w:rFonts w:cs="Times New Roman"/>
                <w:color w:val="auto"/>
                <w:sz w:val="21"/>
                <w:szCs w:val="15"/>
                <w:highlight w:val="none"/>
              </w:rPr>
            </w:pPr>
            <w:r>
              <w:rPr>
                <w:rFonts w:hint="eastAsia" w:cs="Times New Roman"/>
                <w:color w:val="auto"/>
                <w:sz w:val="21"/>
                <w:szCs w:val="15"/>
                <w:highlight w:val="none"/>
              </w:rPr>
              <w:t>废气</w:t>
            </w:r>
          </w:p>
          <w:p w14:paraId="73A87475">
            <w:pPr>
              <w:keepNext w:val="0"/>
              <w:keepLines w:val="0"/>
              <w:pageBreakBefore w:val="0"/>
              <w:widowControl/>
              <w:kinsoku/>
              <w:wordWrap/>
              <w:overflowPunct/>
              <w:topLinePunct w:val="0"/>
              <w:autoSpaceDE/>
              <w:autoSpaceDN/>
              <w:bidi w:val="0"/>
              <w:adjustRightInd/>
              <w:snapToGrid/>
              <w:ind w:left="0" w:right="0"/>
              <w:jc w:val="center"/>
              <w:textAlignment w:val="auto"/>
              <w:rPr>
                <w:rFonts w:cs="Times New Roman"/>
                <w:color w:val="auto"/>
                <w:sz w:val="21"/>
                <w:szCs w:val="15"/>
                <w:highlight w:val="none"/>
              </w:rPr>
            </w:pPr>
            <w:r>
              <w:rPr>
                <w:rFonts w:hint="eastAsia" w:cs="Times New Roman"/>
                <w:color w:val="auto"/>
                <w:sz w:val="21"/>
                <w:szCs w:val="15"/>
                <w:highlight w:val="none"/>
              </w:rPr>
              <w:t>（有组织）</w:t>
            </w:r>
          </w:p>
        </w:tc>
        <w:tc>
          <w:tcPr>
            <w:tcW w:w="2060" w:type="dxa"/>
            <w:tcBorders>
              <w:tl2br w:val="nil"/>
              <w:tr2bl w:val="nil"/>
            </w:tcBorders>
            <w:vAlign w:val="center"/>
          </w:tcPr>
          <w:p w14:paraId="07A69EC9">
            <w:pPr>
              <w:keepNext w:val="0"/>
              <w:keepLines w:val="0"/>
              <w:pageBreakBefore w:val="0"/>
              <w:widowControl/>
              <w:kinsoku/>
              <w:wordWrap/>
              <w:overflowPunct/>
              <w:topLinePunct w:val="0"/>
              <w:autoSpaceDE/>
              <w:autoSpaceDN/>
              <w:bidi w:val="0"/>
              <w:adjustRightInd/>
              <w:snapToGrid/>
              <w:ind w:left="0" w:right="0"/>
              <w:jc w:val="center"/>
              <w:textAlignment w:val="auto"/>
              <w:rPr>
                <w:rFonts w:cs="Times New Roman"/>
                <w:color w:val="auto"/>
                <w:sz w:val="21"/>
                <w:szCs w:val="15"/>
                <w:highlight w:val="none"/>
              </w:rPr>
            </w:pPr>
            <w:r>
              <w:rPr>
                <w:rFonts w:hint="eastAsia" w:cs="Times New Roman"/>
                <w:color w:val="auto"/>
                <w:sz w:val="21"/>
                <w:szCs w:val="15"/>
                <w:highlight w:val="none"/>
              </w:rPr>
              <w:t>非甲烷总烃</w:t>
            </w:r>
          </w:p>
        </w:tc>
        <w:tc>
          <w:tcPr>
            <w:tcW w:w="1890" w:type="dxa"/>
            <w:tcBorders>
              <w:tl2br w:val="nil"/>
              <w:tr2bl w:val="nil"/>
            </w:tcBorders>
            <w:vAlign w:val="center"/>
          </w:tcPr>
          <w:p w14:paraId="5E0E2FFD">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15"/>
                <w:highlight w:val="none"/>
              </w:rPr>
            </w:pPr>
            <w:r>
              <w:rPr>
                <w:rFonts w:ascii="Times New Roman" w:hAnsi="Times New Roman" w:cs="Times New Roman"/>
                <w:color w:val="auto"/>
                <w:sz w:val="21"/>
                <w:szCs w:val="15"/>
                <w:highlight w:val="none"/>
              </w:rPr>
              <w:t>0.667</w:t>
            </w:r>
          </w:p>
        </w:tc>
        <w:tc>
          <w:tcPr>
            <w:tcW w:w="1725" w:type="dxa"/>
            <w:tcBorders>
              <w:tl2br w:val="nil"/>
              <w:tr2bl w:val="nil"/>
            </w:tcBorders>
            <w:vAlign w:val="center"/>
          </w:tcPr>
          <w:p w14:paraId="792C98C9">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15"/>
                <w:highlight w:val="none"/>
              </w:rPr>
            </w:pPr>
            <w:r>
              <w:rPr>
                <w:rFonts w:ascii="Times New Roman" w:hAnsi="Times New Roman" w:cs="Times New Roman"/>
                <w:color w:val="auto"/>
                <w:sz w:val="21"/>
                <w:szCs w:val="15"/>
                <w:highlight w:val="none"/>
              </w:rPr>
              <w:t>0.667</w:t>
            </w:r>
          </w:p>
        </w:tc>
        <w:tc>
          <w:tcPr>
            <w:tcW w:w="1620" w:type="dxa"/>
            <w:tcBorders>
              <w:tl2br w:val="nil"/>
              <w:tr2bl w:val="nil"/>
            </w:tcBorders>
            <w:vAlign w:val="center"/>
          </w:tcPr>
          <w:p w14:paraId="3FA883A9">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15"/>
                <w:highlight w:val="none"/>
              </w:rPr>
            </w:pPr>
            <w:r>
              <w:rPr>
                <w:rFonts w:hint="eastAsia" w:ascii="Times New Roman" w:hAnsi="Times New Roman" w:cs="Times New Roman"/>
                <w:color w:val="auto"/>
                <w:sz w:val="21"/>
                <w:szCs w:val="15"/>
                <w:highlight w:val="none"/>
              </w:rPr>
              <w:t>/</w:t>
            </w:r>
          </w:p>
        </w:tc>
      </w:tr>
      <w:tr w14:paraId="37118BE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422" w:type="dxa"/>
            <w:vMerge w:val="continue"/>
            <w:tcBorders>
              <w:tl2br w:val="nil"/>
              <w:tr2bl w:val="nil"/>
            </w:tcBorders>
            <w:vAlign w:val="center"/>
          </w:tcPr>
          <w:p w14:paraId="3FC7FE01">
            <w:pPr>
              <w:keepNext w:val="0"/>
              <w:keepLines w:val="0"/>
              <w:pageBreakBefore w:val="0"/>
              <w:widowControl/>
              <w:kinsoku/>
              <w:wordWrap/>
              <w:overflowPunct/>
              <w:topLinePunct w:val="0"/>
              <w:autoSpaceDE/>
              <w:autoSpaceDN/>
              <w:bidi w:val="0"/>
              <w:adjustRightInd/>
              <w:snapToGrid/>
              <w:ind w:left="0" w:right="0"/>
              <w:jc w:val="center"/>
              <w:textAlignment w:val="auto"/>
              <w:rPr>
                <w:rFonts w:cs="Times New Roman"/>
                <w:color w:val="auto"/>
                <w:sz w:val="21"/>
                <w:szCs w:val="15"/>
                <w:highlight w:val="none"/>
              </w:rPr>
            </w:pPr>
          </w:p>
        </w:tc>
        <w:tc>
          <w:tcPr>
            <w:tcW w:w="2060" w:type="dxa"/>
            <w:tcBorders>
              <w:tl2br w:val="nil"/>
              <w:tr2bl w:val="nil"/>
            </w:tcBorders>
            <w:vAlign w:val="center"/>
          </w:tcPr>
          <w:p w14:paraId="32B94E53">
            <w:pPr>
              <w:keepNext w:val="0"/>
              <w:keepLines w:val="0"/>
              <w:pageBreakBefore w:val="0"/>
              <w:widowControl/>
              <w:kinsoku/>
              <w:wordWrap/>
              <w:overflowPunct/>
              <w:topLinePunct w:val="0"/>
              <w:autoSpaceDE/>
              <w:autoSpaceDN/>
              <w:bidi w:val="0"/>
              <w:adjustRightInd/>
              <w:snapToGrid/>
              <w:ind w:left="0" w:right="0"/>
              <w:jc w:val="center"/>
              <w:textAlignment w:val="auto"/>
              <w:rPr>
                <w:rFonts w:cs="Times New Roman"/>
                <w:color w:val="auto"/>
                <w:sz w:val="21"/>
                <w:szCs w:val="15"/>
                <w:highlight w:val="none"/>
              </w:rPr>
            </w:pPr>
            <w:r>
              <w:rPr>
                <w:rFonts w:hint="eastAsia" w:cs="Times New Roman"/>
                <w:color w:val="auto"/>
                <w:sz w:val="21"/>
                <w:szCs w:val="15"/>
                <w:highlight w:val="none"/>
              </w:rPr>
              <w:t>非甲烷总烃（含</w:t>
            </w:r>
            <w:r>
              <w:rPr>
                <w:rFonts w:ascii="Times New Roman" w:hAnsi="Times New Roman" w:cs="Times New Roman"/>
                <w:color w:val="auto"/>
                <w:sz w:val="21"/>
                <w:szCs w:val="15"/>
                <w:highlight w:val="none"/>
              </w:rPr>
              <w:t>2-</w:t>
            </w:r>
            <w:r>
              <w:rPr>
                <w:rFonts w:hint="eastAsia" w:cs="Times New Roman"/>
                <w:color w:val="auto"/>
                <w:sz w:val="21"/>
                <w:szCs w:val="15"/>
                <w:highlight w:val="none"/>
              </w:rPr>
              <w:t>乙二醇单乙醚醋酸酯、丁酮、异氰酸酯、丙烯酸）*</w:t>
            </w:r>
          </w:p>
        </w:tc>
        <w:tc>
          <w:tcPr>
            <w:tcW w:w="1890" w:type="dxa"/>
            <w:tcBorders>
              <w:tl2br w:val="nil"/>
              <w:tr2bl w:val="nil"/>
            </w:tcBorders>
            <w:vAlign w:val="center"/>
          </w:tcPr>
          <w:p w14:paraId="0E14CCAA">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15"/>
                <w:highlight w:val="none"/>
              </w:rPr>
            </w:pPr>
            <w:r>
              <w:rPr>
                <w:rFonts w:hint="eastAsia" w:ascii="Times New Roman" w:hAnsi="Times New Roman" w:cs="Times New Roman"/>
                <w:color w:val="auto"/>
                <w:sz w:val="21"/>
                <w:szCs w:val="15"/>
                <w:highlight w:val="none"/>
              </w:rPr>
              <w:t>1.959</w:t>
            </w:r>
          </w:p>
        </w:tc>
        <w:tc>
          <w:tcPr>
            <w:tcW w:w="1725" w:type="dxa"/>
            <w:tcBorders>
              <w:tl2br w:val="nil"/>
              <w:tr2bl w:val="nil"/>
            </w:tcBorders>
            <w:vAlign w:val="center"/>
          </w:tcPr>
          <w:p w14:paraId="5A1622F0">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15"/>
                <w:highlight w:val="none"/>
              </w:rPr>
            </w:pPr>
            <w:r>
              <w:rPr>
                <w:rFonts w:hint="eastAsia" w:ascii="Times New Roman" w:hAnsi="Times New Roman" w:cs="Times New Roman"/>
                <w:color w:val="auto"/>
                <w:sz w:val="21"/>
                <w:szCs w:val="15"/>
                <w:highlight w:val="none"/>
              </w:rPr>
              <w:t>1.9924</w:t>
            </w:r>
          </w:p>
        </w:tc>
        <w:tc>
          <w:tcPr>
            <w:tcW w:w="1620" w:type="dxa"/>
            <w:tcBorders>
              <w:tl2br w:val="nil"/>
              <w:tr2bl w:val="nil"/>
            </w:tcBorders>
            <w:vAlign w:val="center"/>
          </w:tcPr>
          <w:p w14:paraId="20C519BF">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15"/>
                <w:highlight w:val="none"/>
              </w:rPr>
            </w:pPr>
            <w:r>
              <w:rPr>
                <w:rFonts w:hint="eastAsia" w:ascii="Times New Roman" w:hAnsi="Times New Roman" w:cs="Times New Roman"/>
                <w:color w:val="auto"/>
                <w:sz w:val="21"/>
                <w:szCs w:val="15"/>
                <w:highlight w:val="none"/>
              </w:rPr>
              <w:t>0.697</w:t>
            </w:r>
          </w:p>
        </w:tc>
      </w:tr>
      <w:tr w14:paraId="72842C0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422" w:type="dxa"/>
            <w:tcBorders>
              <w:tl2br w:val="nil"/>
              <w:tr2bl w:val="nil"/>
            </w:tcBorders>
            <w:vAlign w:val="center"/>
          </w:tcPr>
          <w:p w14:paraId="129FB9B1">
            <w:pPr>
              <w:keepNext w:val="0"/>
              <w:keepLines w:val="0"/>
              <w:pageBreakBefore w:val="0"/>
              <w:widowControl/>
              <w:kinsoku/>
              <w:wordWrap/>
              <w:overflowPunct/>
              <w:topLinePunct w:val="0"/>
              <w:autoSpaceDE/>
              <w:autoSpaceDN/>
              <w:bidi w:val="0"/>
              <w:adjustRightInd/>
              <w:snapToGrid/>
              <w:ind w:left="0" w:right="0"/>
              <w:jc w:val="center"/>
              <w:textAlignment w:val="auto"/>
              <w:rPr>
                <w:rFonts w:cs="Times New Roman"/>
                <w:color w:val="auto"/>
                <w:sz w:val="21"/>
                <w:szCs w:val="15"/>
                <w:highlight w:val="none"/>
              </w:rPr>
            </w:pPr>
            <w:r>
              <w:rPr>
                <w:rFonts w:hint="eastAsia" w:cs="Times New Roman"/>
                <w:color w:val="auto"/>
                <w:sz w:val="21"/>
                <w:szCs w:val="15"/>
                <w:highlight w:val="none"/>
              </w:rPr>
              <w:t>废气</w:t>
            </w:r>
          </w:p>
          <w:p w14:paraId="4CF767F2">
            <w:pPr>
              <w:keepNext w:val="0"/>
              <w:keepLines w:val="0"/>
              <w:pageBreakBefore w:val="0"/>
              <w:widowControl/>
              <w:kinsoku/>
              <w:wordWrap/>
              <w:overflowPunct/>
              <w:topLinePunct w:val="0"/>
              <w:autoSpaceDE/>
              <w:autoSpaceDN/>
              <w:bidi w:val="0"/>
              <w:adjustRightInd/>
              <w:snapToGrid/>
              <w:ind w:left="0" w:right="0"/>
              <w:jc w:val="center"/>
              <w:textAlignment w:val="auto"/>
              <w:rPr>
                <w:rFonts w:cs="Times New Roman"/>
                <w:color w:val="auto"/>
                <w:sz w:val="21"/>
                <w:szCs w:val="15"/>
                <w:highlight w:val="none"/>
              </w:rPr>
            </w:pPr>
            <w:r>
              <w:rPr>
                <w:rFonts w:hint="eastAsia" w:cs="Times New Roman"/>
                <w:color w:val="auto"/>
                <w:sz w:val="21"/>
                <w:szCs w:val="15"/>
                <w:highlight w:val="none"/>
              </w:rPr>
              <w:t>（无组织）</w:t>
            </w:r>
          </w:p>
        </w:tc>
        <w:tc>
          <w:tcPr>
            <w:tcW w:w="2060" w:type="dxa"/>
            <w:tcBorders>
              <w:tl2br w:val="nil"/>
              <w:tr2bl w:val="nil"/>
            </w:tcBorders>
            <w:vAlign w:val="center"/>
          </w:tcPr>
          <w:p w14:paraId="32FC2E92">
            <w:pPr>
              <w:keepNext w:val="0"/>
              <w:keepLines w:val="0"/>
              <w:pageBreakBefore w:val="0"/>
              <w:widowControl/>
              <w:kinsoku/>
              <w:wordWrap/>
              <w:overflowPunct/>
              <w:topLinePunct w:val="0"/>
              <w:autoSpaceDE/>
              <w:autoSpaceDN/>
              <w:bidi w:val="0"/>
              <w:adjustRightInd/>
              <w:snapToGrid/>
              <w:ind w:left="0" w:right="0"/>
              <w:jc w:val="center"/>
              <w:textAlignment w:val="auto"/>
              <w:rPr>
                <w:rFonts w:cs="Times New Roman"/>
                <w:color w:val="auto"/>
                <w:sz w:val="21"/>
                <w:szCs w:val="15"/>
                <w:highlight w:val="none"/>
              </w:rPr>
            </w:pPr>
            <w:r>
              <w:rPr>
                <w:rFonts w:hint="eastAsia" w:cs="Times New Roman"/>
                <w:color w:val="auto"/>
                <w:sz w:val="21"/>
                <w:szCs w:val="15"/>
                <w:highlight w:val="none"/>
              </w:rPr>
              <w:t>非甲烷总烃（含</w:t>
            </w:r>
            <w:r>
              <w:rPr>
                <w:rFonts w:ascii="Times New Roman" w:hAnsi="Times New Roman" w:cs="Times New Roman"/>
                <w:color w:val="auto"/>
                <w:sz w:val="21"/>
                <w:szCs w:val="15"/>
                <w:highlight w:val="none"/>
              </w:rPr>
              <w:t>2-</w:t>
            </w:r>
            <w:r>
              <w:rPr>
                <w:rFonts w:hint="eastAsia" w:cs="Times New Roman"/>
                <w:color w:val="auto"/>
                <w:sz w:val="21"/>
                <w:szCs w:val="15"/>
                <w:highlight w:val="none"/>
              </w:rPr>
              <w:t>乙二醇单乙醚醋酸酯、丁酮、异氰酸酯、丙烯酸）*</w:t>
            </w:r>
          </w:p>
        </w:tc>
        <w:tc>
          <w:tcPr>
            <w:tcW w:w="1890" w:type="dxa"/>
            <w:tcBorders>
              <w:tl2br w:val="nil"/>
              <w:tr2bl w:val="nil"/>
            </w:tcBorders>
            <w:vAlign w:val="center"/>
          </w:tcPr>
          <w:p w14:paraId="48E2C608">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15"/>
                <w:highlight w:val="none"/>
              </w:rPr>
            </w:pPr>
            <w:r>
              <w:rPr>
                <w:rFonts w:hint="eastAsia" w:ascii="Times New Roman" w:hAnsi="Times New Roman" w:cs="Times New Roman"/>
                <w:color w:val="auto"/>
                <w:sz w:val="21"/>
                <w:szCs w:val="15"/>
                <w:highlight w:val="none"/>
              </w:rPr>
              <w:t>0.28016</w:t>
            </w:r>
          </w:p>
        </w:tc>
        <w:tc>
          <w:tcPr>
            <w:tcW w:w="1725" w:type="dxa"/>
            <w:tcBorders>
              <w:tl2br w:val="nil"/>
              <w:tr2bl w:val="nil"/>
            </w:tcBorders>
            <w:vAlign w:val="center"/>
          </w:tcPr>
          <w:p w14:paraId="6385EC99">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15"/>
                <w:highlight w:val="none"/>
              </w:rPr>
            </w:pPr>
            <w:r>
              <w:rPr>
                <w:rFonts w:hint="eastAsia" w:ascii="Times New Roman" w:hAnsi="Times New Roman" w:cs="Times New Roman"/>
                <w:color w:val="auto"/>
                <w:sz w:val="21"/>
                <w:szCs w:val="15"/>
                <w:highlight w:val="none"/>
              </w:rPr>
              <w:t>0.0275</w:t>
            </w:r>
          </w:p>
        </w:tc>
        <w:tc>
          <w:tcPr>
            <w:tcW w:w="1620" w:type="dxa"/>
            <w:tcBorders>
              <w:tl2br w:val="nil"/>
              <w:tr2bl w:val="nil"/>
            </w:tcBorders>
            <w:vAlign w:val="center"/>
          </w:tcPr>
          <w:p w14:paraId="0D0D2E86">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15"/>
                <w:highlight w:val="none"/>
              </w:rPr>
            </w:pPr>
            <w:r>
              <w:rPr>
                <w:rFonts w:hint="eastAsia" w:ascii="Times New Roman" w:hAnsi="Times New Roman" w:cs="Times New Roman"/>
                <w:color w:val="auto"/>
                <w:sz w:val="21"/>
                <w:szCs w:val="15"/>
                <w:highlight w:val="none"/>
              </w:rPr>
              <w:t>/</w:t>
            </w:r>
          </w:p>
        </w:tc>
      </w:tr>
      <w:tr w14:paraId="522F924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422" w:type="dxa"/>
            <w:vMerge w:val="restart"/>
            <w:tcBorders>
              <w:tl2br w:val="nil"/>
              <w:tr2bl w:val="nil"/>
            </w:tcBorders>
            <w:vAlign w:val="center"/>
          </w:tcPr>
          <w:p w14:paraId="11705D1F">
            <w:pPr>
              <w:keepNext w:val="0"/>
              <w:keepLines w:val="0"/>
              <w:pageBreakBefore w:val="0"/>
              <w:widowControl/>
              <w:kinsoku/>
              <w:wordWrap/>
              <w:overflowPunct/>
              <w:topLinePunct w:val="0"/>
              <w:autoSpaceDE/>
              <w:autoSpaceDN/>
              <w:bidi w:val="0"/>
              <w:adjustRightInd/>
              <w:snapToGrid/>
              <w:ind w:left="0" w:right="0"/>
              <w:jc w:val="center"/>
              <w:textAlignment w:val="auto"/>
              <w:rPr>
                <w:rFonts w:cs="Times New Roman"/>
                <w:color w:val="auto"/>
                <w:sz w:val="21"/>
                <w:szCs w:val="15"/>
                <w:highlight w:val="none"/>
              </w:rPr>
            </w:pPr>
            <w:r>
              <w:rPr>
                <w:rFonts w:hint="eastAsia" w:cs="Times New Roman"/>
                <w:color w:val="auto"/>
                <w:sz w:val="21"/>
                <w:szCs w:val="15"/>
                <w:highlight w:val="none"/>
              </w:rPr>
              <w:t>废水</w:t>
            </w:r>
          </w:p>
        </w:tc>
        <w:tc>
          <w:tcPr>
            <w:tcW w:w="2060" w:type="dxa"/>
            <w:tcBorders>
              <w:tl2br w:val="nil"/>
              <w:tr2bl w:val="nil"/>
            </w:tcBorders>
            <w:vAlign w:val="center"/>
          </w:tcPr>
          <w:p w14:paraId="004DED41">
            <w:pPr>
              <w:keepNext w:val="0"/>
              <w:keepLines w:val="0"/>
              <w:pageBreakBefore w:val="0"/>
              <w:widowControl/>
              <w:kinsoku/>
              <w:wordWrap/>
              <w:overflowPunct/>
              <w:topLinePunct w:val="0"/>
              <w:autoSpaceDE/>
              <w:autoSpaceDN/>
              <w:bidi w:val="0"/>
              <w:adjustRightInd/>
              <w:snapToGrid/>
              <w:ind w:left="0" w:right="0"/>
              <w:jc w:val="center"/>
              <w:textAlignment w:val="auto"/>
              <w:rPr>
                <w:rFonts w:cs="Times New Roman"/>
                <w:color w:val="auto"/>
                <w:sz w:val="21"/>
                <w:szCs w:val="15"/>
                <w:highlight w:val="none"/>
              </w:rPr>
            </w:pPr>
            <w:r>
              <w:rPr>
                <w:rFonts w:hint="eastAsia" w:cs="Times New Roman"/>
                <w:color w:val="auto"/>
                <w:sz w:val="21"/>
                <w:szCs w:val="15"/>
                <w:highlight w:val="none"/>
              </w:rPr>
              <w:t>水量</w:t>
            </w:r>
          </w:p>
        </w:tc>
        <w:tc>
          <w:tcPr>
            <w:tcW w:w="1890" w:type="dxa"/>
            <w:tcBorders>
              <w:tl2br w:val="nil"/>
              <w:tr2bl w:val="nil"/>
            </w:tcBorders>
            <w:vAlign w:val="center"/>
          </w:tcPr>
          <w:p w14:paraId="44DF2345">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15"/>
                <w:highlight w:val="none"/>
              </w:rPr>
            </w:pPr>
            <w:r>
              <w:rPr>
                <w:rFonts w:hint="eastAsia" w:ascii="Times New Roman" w:hAnsi="Times New Roman" w:cs="Times New Roman"/>
                <w:color w:val="auto"/>
                <w:sz w:val="21"/>
                <w:szCs w:val="15"/>
                <w:highlight w:val="none"/>
              </w:rPr>
              <w:t>4300</w:t>
            </w:r>
          </w:p>
        </w:tc>
        <w:tc>
          <w:tcPr>
            <w:tcW w:w="1725" w:type="dxa"/>
            <w:tcBorders>
              <w:tl2br w:val="nil"/>
              <w:tr2bl w:val="nil"/>
            </w:tcBorders>
            <w:vAlign w:val="center"/>
          </w:tcPr>
          <w:p w14:paraId="6CE3CF71">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15"/>
                <w:highlight w:val="none"/>
              </w:rPr>
            </w:pPr>
            <w:r>
              <w:rPr>
                <w:rFonts w:hint="eastAsia" w:ascii="Times New Roman" w:hAnsi="Times New Roman" w:cs="Times New Roman"/>
                <w:color w:val="auto"/>
                <w:sz w:val="21"/>
                <w:szCs w:val="15"/>
                <w:highlight w:val="none"/>
              </w:rPr>
              <w:t>3800</w:t>
            </w:r>
          </w:p>
        </w:tc>
        <w:tc>
          <w:tcPr>
            <w:tcW w:w="1620" w:type="dxa"/>
            <w:tcBorders>
              <w:tl2br w:val="nil"/>
              <w:tr2bl w:val="nil"/>
            </w:tcBorders>
            <w:vAlign w:val="center"/>
          </w:tcPr>
          <w:p w14:paraId="5A2F1D34">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15"/>
                <w:highlight w:val="none"/>
              </w:rPr>
            </w:pPr>
            <w:r>
              <w:rPr>
                <w:rFonts w:hint="eastAsia" w:ascii="Times New Roman" w:hAnsi="Times New Roman" w:cs="Times New Roman"/>
                <w:color w:val="auto"/>
                <w:sz w:val="21"/>
                <w:szCs w:val="15"/>
                <w:highlight w:val="none"/>
              </w:rPr>
              <w:t>/</w:t>
            </w:r>
          </w:p>
        </w:tc>
      </w:tr>
      <w:tr w14:paraId="3A9AC1D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422" w:type="dxa"/>
            <w:vMerge w:val="continue"/>
            <w:tcBorders>
              <w:tl2br w:val="nil"/>
              <w:tr2bl w:val="nil"/>
            </w:tcBorders>
            <w:vAlign w:val="center"/>
          </w:tcPr>
          <w:p w14:paraId="25EE32BB">
            <w:pPr>
              <w:keepNext w:val="0"/>
              <w:keepLines w:val="0"/>
              <w:pageBreakBefore w:val="0"/>
              <w:widowControl/>
              <w:kinsoku/>
              <w:wordWrap/>
              <w:overflowPunct/>
              <w:topLinePunct w:val="0"/>
              <w:autoSpaceDE/>
              <w:autoSpaceDN/>
              <w:bidi w:val="0"/>
              <w:adjustRightInd/>
              <w:snapToGrid/>
              <w:ind w:left="0" w:right="0"/>
              <w:jc w:val="center"/>
              <w:textAlignment w:val="auto"/>
              <w:rPr>
                <w:rFonts w:cs="Times New Roman"/>
                <w:color w:val="auto"/>
                <w:sz w:val="21"/>
                <w:szCs w:val="15"/>
                <w:highlight w:val="none"/>
              </w:rPr>
            </w:pPr>
          </w:p>
        </w:tc>
        <w:tc>
          <w:tcPr>
            <w:tcW w:w="2060" w:type="dxa"/>
            <w:tcBorders>
              <w:tl2br w:val="nil"/>
              <w:tr2bl w:val="nil"/>
            </w:tcBorders>
            <w:vAlign w:val="center"/>
          </w:tcPr>
          <w:p w14:paraId="628DA931">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15"/>
                <w:highlight w:val="none"/>
              </w:rPr>
            </w:pPr>
            <w:r>
              <w:rPr>
                <w:rFonts w:ascii="Times New Roman" w:hAnsi="Times New Roman" w:cs="Times New Roman"/>
                <w:color w:val="auto"/>
                <w:sz w:val="21"/>
                <w:szCs w:val="15"/>
                <w:highlight w:val="none"/>
              </w:rPr>
              <w:t>COD</w:t>
            </w:r>
          </w:p>
        </w:tc>
        <w:tc>
          <w:tcPr>
            <w:tcW w:w="1890" w:type="dxa"/>
            <w:tcBorders>
              <w:tl2br w:val="nil"/>
              <w:tr2bl w:val="nil"/>
            </w:tcBorders>
            <w:vAlign w:val="center"/>
          </w:tcPr>
          <w:p w14:paraId="4B1E60AF">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15"/>
                <w:highlight w:val="none"/>
              </w:rPr>
            </w:pPr>
            <w:r>
              <w:rPr>
                <w:rFonts w:hint="eastAsia" w:ascii="Times New Roman" w:hAnsi="Times New Roman" w:cs="Times New Roman"/>
                <w:color w:val="auto"/>
                <w:sz w:val="21"/>
                <w:szCs w:val="15"/>
                <w:highlight w:val="none"/>
              </w:rPr>
              <w:t>0.65</w:t>
            </w:r>
          </w:p>
        </w:tc>
        <w:tc>
          <w:tcPr>
            <w:tcW w:w="1725" w:type="dxa"/>
            <w:tcBorders>
              <w:tl2br w:val="nil"/>
              <w:tr2bl w:val="nil"/>
            </w:tcBorders>
            <w:vAlign w:val="center"/>
          </w:tcPr>
          <w:p w14:paraId="4E68538B">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15"/>
                <w:highlight w:val="none"/>
              </w:rPr>
            </w:pPr>
            <w:r>
              <w:rPr>
                <w:rFonts w:hint="eastAsia" w:ascii="Times New Roman" w:hAnsi="Times New Roman" w:cs="Times New Roman"/>
                <w:color w:val="auto"/>
                <w:sz w:val="21"/>
                <w:szCs w:val="15"/>
                <w:highlight w:val="none"/>
              </w:rPr>
              <w:t>0.5</w:t>
            </w:r>
          </w:p>
        </w:tc>
        <w:tc>
          <w:tcPr>
            <w:tcW w:w="1620" w:type="dxa"/>
            <w:tcBorders>
              <w:tl2br w:val="nil"/>
              <w:tr2bl w:val="nil"/>
            </w:tcBorders>
            <w:vAlign w:val="center"/>
          </w:tcPr>
          <w:p w14:paraId="0B2ED319">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15"/>
                <w:highlight w:val="none"/>
              </w:rPr>
            </w:pPr>
            <w:r>
              <w:rPr>
                <w:rFonts w:hint="eastAsia" w:ascii="Times New Roman" w:hAnsi="Times New Roman" w:cs="Times New Roman"/>
                <w:color w:val="auto"/>
                <w:sz w:val="21"/>
                <w:szCs w:val="15"/>
                <w:highlight w:val="none"/>
              </w:rPr>
              <w:t>0.126366</w:t>
            </w:r>
          </w:p>
        </w:tc>
      </w:tr>
      <w:tr w14:paraId="5950D0D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422" w:type="dxa"/>
            <w:vMerge w:val="continue"/>
            <w:tcBorders>
              <w:tl2br w:val="nil"/>
              <w:tr2bl w:val="nil"/>
            </w:tcBorders>
            <w:vAlign w:val="center"/>
          </w:tcPr>
          <w:p w14:paraId="216C5400">
            <w:pPr>
              <w:keepNext w:val="0"/>
              <w:keepLines w:val="0"/>
              <w:pageBreakBefore w:val="0"/>
              <w:widowControl/>
              <w:kinsoku/>
              <w:wordWrap/>
              <w:overflowPunct/>
              <w:topLinePunct w:val="0"/>
              <w:autoSpaceDE/>
              <w:autoSpaceDN/>
              <w:bidi w:val="0"/>
              <w:adjustRightInd/>
              <w:snapToGrid/>
              <w:ind w:left="0" w:right="0"/>
              <w:jc w:val="center"/>
              <w:textAlignment w:val="auto"/>
              <w:rPr>
                <w:rFonts w:cs="Times New Roman"/>
                <w:color w:val="auto"/>
                <w:sz w:val="21"/>
                <w:szCs w:val="15"/>
                <w:highlight w:val="none"/>
              </w:rPr>
            </w:pPr>
          </w:p>
        </w:tc>
        <w:tc>
          <w:tcPr>
            <w:tcW w:w="2060" w:type="dxa"/>
            <w:tcBorders>
              <w:tl2br w:val="nil"/>
              <w:tr2bl w:val="nil"/>
            </w:tcBorders>
            <w:vAlign w:val="center"/>
          </w:tcPr>
          <w:p w14:paraId="6CB53988">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15"/>
                <w:highlight w:val="none"/>
              </w:rPr>
            </w:pPr>
            <w:r>
              <w:rPr>
                <w:rFonts w:ascii="Times New Roman" w:hAnsi="Times New Roman" w:cs="Times New Roman"/>
                <w:color w:val="auto"/>
                <w:sz w:val="21"/>
                <w:szCs w:val="15"/>
                <w:highlight w:val="none"/>
              </w:rPr>
              <w:t>SS</w:t>
            </w:r>
          </w:p>
        </w:tc>
        <w:tc>
          <w:tcPr>
            <w:tcW w:w="1890" w:type="dxa"/>
            <w:tcBorders>
              <w:tl2br w:val="nil"/>
              <w:tr2bl w:val="nil"/>
            </w:tcBorders>
            <w:vAlign w:val="center"/>
          </w:tcPr>
          <w:p w14:paraId="645F688C">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15"/>
                <w:highlight w:val="none"/>
              </w:rPr>
            </w:pPr>
            <w:r>
              <w:rPr>
                <w:rFonts w:hint="eastAsia" w:ascii="Times New Roman" w:hAnsi="Times New Roman" w:cs="Times New Roman"/>
                <w:color w:val="auto"/>
                <w:sz w:val="21"/>
                <w:szCs w:val="15"/>
                <w:highlight w:val="none"/>
              </w:rPr>
              <w:t>0.268</w:t>
            </w:r>
          </w:p>
        </w:tc>
        <w:tc>
          <w:tcPr>
            <w:tcW w:w="1725" w:type="dxa"/>
            <w:tcBorders>
              <w:tl2br w:val="nil"/>
              <w:tr2bl w:val="nil"/>
            </w:tcBorders>
            <w:vAlign w:val="center"/>
          </w:tcPr>
          <w:p w14:paraId="3682AD19">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15"/>
                <w:highlight w:val="none"/>
              </w:rPr>
            </w:pPr>
            <w:r>
              <w:rPr>
                <w:rFonts w:hint="eastAsia" w:ascii="Times New Roman" w:hAnsi="Times New Roman" w:cs="Times New Roman"/>
                <w:color w:val="auto"/>
                <w:sz w:val="21"/>
                <w:szCs w:val="15"/>
                <w:highlight w:val="none"/>
              </w:rPr>
              <w:t>0.248</w:t>
            </w:r>
          </w:p>
        </w:tc>
        <w:tc>
          <w:tcPr>
            <w:tcW w:w="1620" w:type="dxa"/>
            <w:tcBorders>
              <w:tl2br w:val="nil"/>
              <w:tr2bl w:val="nil"/>
            </w:tcBorders>
            <w:vAlign w:val="center"/>
          </w:tcPr>
          <w:p w14:paraId="157965C7">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15"/>
                <w:highlight w:val="none"/>
              </w:rPr>
            </w:pPr>
            <w:r>
              <w:rPr>
                <w:rFonts w:hint="eastAsia" w:ascii="Times New Roman" w:hAnsi="Times New Roman" w:cs="Times New Roman"/>
                <w:color w:val="auto"/>
                <w:sz w:val="21"/>
                <w:szCs w:val="15"/>
                <w:highlight w:val="none"/>
              </w:rPr>
              <w:t>/</w:t>
            </w:r>
          </w:p>
        </w:tc>
      </w:tr>
      <w:tr w14:paraId="3FE782E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422" w:type="dxa"/>
            <w:vMerge w:val="continue"/>
            <w:tcBorders>
              <w:tl2br w:val="nil"/>
              <w:tr2bl w:val="nil"/>
            </w:tcBorders>
            <w:vAlign w:val="center"/>
          </w:tcPr>
          <w:p w14:paraId="4D3CDBB2">
            <w:pPr>
              <w:keepNext w:val="0"/>
              <w:keepLines w:val="0"/>
              <w:pageBreakBefore w:val="0"/>
              <w:widowControl/>
              <w:kinsoku/>
              <w:wordWrap/>
              <w:overflowPunct/>
              <w:topLinePunct w:val="0"/>
              <w:autoSpaceDE/>
              <w:autoSpaceDN/>
              <w:bidi w:val="0"/>
              <w:adjustRightInd/>
              <w:snapToGrid/>
              <w:ind w:left="0" w:right="0"/>
              <w:jc w:val="center"/>
              <w:textAlignment w:val="auto"/>
              <w:rPr>
                <w:rFonts w:cs="Times New Roman"/>
                <w:color w:val="auto"/>
                <w:sz w:val="21"/>
                <w:szCs w:val="15"/>
                <w:highlight w:val="none"/>
              </w:rPr>
            </w:pPr>
          </w:p>
        </w:tc>
        <w:tc>
          <w:tcPr>
            <w:tcW w:w="2060" w:type="dxa"/>
            <w:tcBorders>
              <w:tl2br w:val="nil"/>
              <w:tr2bl w:val="nil"/>
            </w:tcBorders>
            <w:vAlign w:val="center"/>
          </w:tcPr>
          <w:p w14:paraId="08438D5E">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15"/>
                <w:highlight w:val="none"/>
              </w:rPr>
            </w:pPr>
            <w:r>
              <w:rPr>
                <w:rFonts w:ascii="Times New Roman" w:hAnsi="Times New Roman" w:cs="Times New Roman"/>
                <w:color w:val="auto"/>
                <w:sz w:val="21"/>
                <w:szCs w:val="15"/>
                <w:highlight w:val="none"/>
              </w:rPr>
              <w:t>NH</w:t>
            </w:r>
            <w:r>
              <w:rPr>
                <w:rFonts w:ascii="Times New Roman" w:hAnsi="Times New Roman" w:cs="Times New Roman"/>
                <w:color w:val="auto"/>
                <w:sz w:val="21"/>
                <w:szCs w:val="15"/>
                <w:highlight w:val="none"/>
                <w:vertAlign w:val="subscript"/>
              </w:rPr>
              <w:t>3</w:t>
            </w:r>
            <w:r>
              <w:rPr>
                <w:rFonts w:ascii="Times New Roman" w:hAnsi="Times New Roman" w:cs="Times New Roman"/>
                <w:color w:val="auto"/>
                <w:sz w:val="21"/>
                <w:szCs w:val="15"/>
                <w:highlight w:val="none"/>
              </w:rPr>
              <w:t>-N</w:t>
            </w:r>
          </w:p>
        </w:tc>
        <w:tc>
          <w:tcPr>
            <w:tcW w:w="1890" w:type="dxa"/>
            <w:tcBorders>
              <w:tl2br w:val="nil"/>
              <w:tr2bl w:val="nil"/>
            </w:tcBorders>
            <w:vAlign w:val="center"/>
          </w:tcPr>
          <w:p w14:paraId="05B4B377">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15"/>
                <w:highlight w:val="none"/>
              </w:rPr>
            </w:pPr>
            <w:r>
              <w:rPr>
                <w:rFonts w:hint="eastAsia" w:ascii="Times New Roman" w:hAnsi="Times New Roman" w:cs="Times New Roman"/>
                <w:color w:val="auto"/>
                <w:sz w:val="21"/>
                <w:szCs w:val="15"/>
                <w:highlight w:val="none"/>
              </w:rPr>
              <w:t>0.06</w:t>
            </w:r>
          </w:p>
        </w:tc>
        <w:tc>
          <w:tcPr>
            <w:tcW w:w="1725" w:type="dxa"/>
            <w:tcBorders>
              <w:tl2br w:val="nil"/>
              <w:tr2bl w:val="nil"/>
            </w:tcBorders>
            <w:vAlign w:val="center"/>
          </w:tcPr>
          <w:p w14:paraId="714BA9DF">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15"/>
                <w:highlight w:val="none"/>
              </w:rPr>
            </w:pPr>
            <w:r>
              <w:rPr>
                <w:rFonts w:hint="eastAsia" w:ascii="Times New Roman" w:hAnsi="Times New Roman" w:cs="Times New Roman"/>
                <w:color w:val="auto"/>
                <w:sz w:val="21"/>
                <w:szCs w:val="15"/>
                <w:highlight w:val="none"/>
              </w:rPr>
              <w:t>0.06</w:t>
            </w:r>
          </w:p>
        </w:tc>
        <w:tc>
          <w:tcPr>
            <w:tcW w:w="1620" w:type="dxa"/>
            <w:tcBorders>
              <w:tl2br w:val="nil"/>
              <w:tr2bl w:val="nil"/>
            </w:tcBorders>
            <w:vAlign w:val="center"/>
          </w:tcPr>
          <w:p w14:paraId="509597E6">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15"/>
                <w:highlight w:val="none"/>
              </w:rPr>
            </w:pPr>
            <w:r>
              <w:rPr>
                <w:rFonts w:hint="eastAsia" w:ascii="Times New Roman" w:hAnsi="Times New Roman" w:cs="Times New Roman"/>
                <w:color w:val="auto"/>
                <w:sz w:val="21"/>
                <w:szCs w:val="15"/>
                <w:highlight w:val="none"/>
              </w:rPr>
              <w:t>0.005005</w:t>
            </w:r>
          </w:p>
        </w:tc>
      </w:tr>
      <w:tr w14:paraId="4522E4E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422" w:type="dxa"/>
            <w:vMerge w:val="continue"/>
            <w:tcBorders>
              <w:tl2br w:val="nil"/>
              <w:tr2bl w:val="nil"/>
            </w:tcBorders>
            <w:vAlign w:val="center"/>
          </w:tcPr>
          <w:p w14:paraId="706295B0">
            <w:pPr>
              <w:keepNext w:val="0"/>
              <w:keepLines w:val="0"/>
              <w:pageBreakBefore w:val="0"/>
              <w:widowControl/>
              <w:kinsoku/>
              <w:wordWrap/>
              <w:overflowPunct/>
              <w:topLinePunct w:val="0"/>
              <w:autoSpaceDE/>
              <w:autoSpaceDN/>
              <w:bidi w:val="0"/>
              <w:adjustRightInd/>
              <w:snapToGrid/>
              <w:ind w:left="0" w:right="0"/>
              <w:jc w:val="center"/>
              <w:textAlignment w:val="auto"/>
              <w:rPr>
                <w:rFonts w:cs="Times New Roman"/>
                <w:color w:val="auto"/>
                <w:sz w:val="21"/>
                <w:szCs w:val="15"/>
                <w:highlight w:val="none"/>
              </w:rPr>
            </w:pPr>
          </w:p>
        </w:tc>
        <w:tc>
          <w:tcPr>
            <w:tcW w:w="2060" w:type="dxa"/>
            <w:tcBorders>
              <w:tl2br w:val="nil"/>
              <w:tr2bl w:val="nil"/>
            </w:tcBorders>
            <w:vAlign w:val="center"/>
          </w:tcPr>
          <w:p w14:paraId="0BBE075B">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15"/>
                <w:highlight w:val="none"/>
              </w:rPr>
            </w:pPr>
            <w:r>
              <w:rPr>
                <w:rFonts w:ascii="Times New Roman" w:hAnsi="Times New Roman" w:cs="Times New Roman"/>
                <w:color w:val="auto"/>
                <w:sz w:val="21"/>
                <w:szCs w:val="15"/>
                <w:highlight w:val="none"/>
              </w:rPr>
              <w:t>TP</w:t>
            </w:r>
          </w:p>
        </w:tc>
        <w:tc>
          <w:tcPr>
            <w:tcW w:w="1890" w:type="dxa"/>
            <w:tcBorders>
              <w:tl2br w:val="nil"/>
              <w:tr2bl w:val="nil"/>
            </w:tcBorders>
            <w:vAlign w:val="center"/>
          </w:tcPr>
          <w:p w14:paraId="4C555936">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15"/>
                <w:highlight w:val="none"/>
              </w:rPr>
            </w:pPr>
            <w:r>
              <w:rPr>
                <w:rFonts w:hint="eastAsia" w:ascii="Times New Roman" w:hAnsi="Times New Roman" w:cs="Times New Roman"/>
                <w:color w:val="auto"/>
                <w:sz w:val="21"/>
                <w:szCs w:val="15"/>
                <w:highlight w:val="none"/>
              </w:rPr>
              <w:t>0.004</w:t>
            </w:r>
          </w:p>
        </w:tc>
        <w:tc>
          <w:tcPr>
            <w:tcW w:w="1725" w:type="dxa"/>
            <w:tcBorders>
              <w:tl2br w:val="nil"/>
              <w:tr2bl w:val="nil"/>
            </w:tcBorders>
            <w:vAlign w:val="center"/>
          </w:tcPr>
          <w:p w14:paraId="71886B5E">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15"/>
                <w:highlight w:val="none"/>
              </w:rPr>
            </w:pPr>
            <w:r>
              <w:rPr>
                <w:rFonts w:hint="eastAsia" w:ascii="Times New Roman" w:hAnsi="Times New Roman" w:cs="Times New Roman"/>
                <w:color w:val="auto"/>
                <w:sz w:val="21"/>
                <w:szCs w:val="15"/>
                <w:highlight w:val="none"/>
              </w:rPr>
              <w:t>0.004</w:t>
            </w:r>
          </w:p>
        </w:tc>
        <w:tc>
          <w:tcPr>
            <w:tcW w:w="1620" w:type="dxa"/>
            <w:tcBorders>
              <w:tl2br w:val="nil"/>
              <w:tr2bl w:val="nil"/>
            </w:tcBorders>
            <w:vAlign w:val="center"/>
          </w:tcPr>
          <w:p w14:paraId="7F0FE465">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15"/>
                <w:highlight w:val="none"/>
              </w:rPr>
            </w:pPr>
            <w:r>
              <w:rPr>
                <w:rFonts w:hint="eastAsia" w:ascii="Times New Roman" w:hAnsi="Times New Roman" w:cs="Times New Roman"/>
                <w:color w:val="auto"/>
                <w:sz w:val="21"/>
                <w:szCs w:val="15"/>
                <w:highlight w:val="none"/>
              </w:rPr>
              <w:t>0.00035</w:t>
            </w:r>
          </w:p>
        </w:tc>
      </w:tr>
      <w:tr w14:paraId="41A324C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422" w:type="dxa"/>
            <w:vMerge w:val="continue"/>
            <w:tcBorders>
              <w:tl2br w:val="nil"/>
              <w:tr2bl w:val="nil"/>
            </w:tcBorders>
            <w:vAlign w:val="center"/>
          </w:tcPr>
          <w:p w14:paraId="4912DA24">
            <w:pPr>
              <w:keepNext w:val="0"/>
              <w:keepLines w:val="0"/>
              <w:pageBreakBefore w:val="0"/>
              <w:widowControl/>
              <w:kinsoku/>
              <w:wordWrap/>
              <w:overflowPunct/>
              <w:topLinePunct w:val="0"/>
              <w:autoSpaceDE/>
              <w:autoSpaceDN/>
              <w:bidi w:val="0"/>
              <w:adjustRightInd/>
              <w:snapToGrid/>
              <w:ind w:left="0" w:right="0"/>
              <w:jc w:val="center"/>
              <w:textAlignment w:val="auto"/>
              <w:rPr>
                <w:rFonts w:cs="Times New Roman"/>
                <w:color w:val="auto"/>
                <w:sz w:val="21"/>
                <w:szCs w:val="15"/>
                <w:highlight w:val="none"/>
              </w:rPr>
            </w:pPr>
          </w:p>
        </w:tc>
        <w:tc>
          <w:tcPr>
            <w:tcW w:w="2060" w:type="dxa"/>
            <w:tcBorders>
              <w:tl2br w:val="nil"/>
              <w:tr2bl w:val="nil"/>
            </w:tcBorders>
            <w:vAlign w:val="center"/>
          </w:tcPr>
          <w:p w14:paraId="7B901A42">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15"/>
                <w:highlight w:val="none"/>
              </w:rPr>
            </w:pPr>
            <w:r>
              <w:rPr>
                <w:rFonts w:ascii="Times New Roman" w:hAnsi="Times New Roman" w:cs="Times New Roman"/>
                <w:color w:val="auto"/>
                <w:sz w:val="21"/>
                <w:szCs w:val="15"/>
                <w:highlight w:val="none"/>
              </w:rPr>
              <w:t>TN</w:t>
            </w:r>
          </w:p>
        </w:tc>
        <w:tc>
          <w:tcPr>
            <w:tcW w:w="1890" w:type="dxa"/>
            <w:tcBorders>
              <w:tl2br w:val="nil"/>
              <w:tr2bl w:val="nil"/>
            </w:tcBorders>
            <w:vAlign w:val="center"/>
          </w:tcPr>
          <w:p w14:paraId="18CA2505">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15"/>
                <w:highlight w:val="none"/>
              </w:rPr>
            </w:pPr>
            <w:r>
              <w:rPr>
                <w:rFonts w:hint="eastAsia" w:ascii="Times New Roman" w:hAnsi="Times New Roman" w:cs="Times New Roman"/>
                <w:color w:val="auto"/>
                <w:sz w:val="21"/>
                <w:szCs w:val="15"/>
                <w:highlight w:val="none"/>
              </w:rPr>
              <w:t>0.1188</w:t>
            </w:r>
          </w:p>
        </w:tc>
        <w:tc>
          <w:tcPr>
            <w:tcW w:w="1725" w:type="dxa"/>
            <w:tcBorders>
              <w:tl2br w:val="nil"/>
              <w:tr2bl w:val="nil"/>
            </w:tcBorders>
            <w:vAlign w:val="center"/>
          </w:tcPr>
          <w:p w14:paraId="1EA242D3">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15"/>
                <w:highlight w:val="none"/>
              </w:rPr>
            </w:pPr>
            <w:r>
              <w:rPr>
                <w:rFonts w:hint="eastAsia" w:ascii="Times New Roman" w:hAnsi="Times New Roman" w:cs="Times New Roman"/>
                <w:color w:val="auto"/>
                <w:sz w:val="21"/>
                <w:szCs w:val="15"/>
                <w:highlight w:val="none"/>
              </w:rPr>
              <w:t>0.1188</w:t>
            </w:r>
          </w:p>
        </w:tc>
        <w:tc>
          <w:tcPr>
            <w:tcW w:w="1620" w:type="dxa"/>
            <w:tcBorders>
              <w:tl2br w:val="nil"/>
              <w:tr2bl w:val="nil"/>
            </w:tcBorders>
            <w:vAlign w:val="center"/>
          </w:tcPr>
          <w:p w14:paraId="2214223D">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15"/>
                <w:highlight w:val="none"/>
              </w:rPr>
            </w:pPr>
            <w:r>
              <w:rPr>
                <w:rFonts w:hint="eastAsia" w:ascii="Times New Roman" w:hAnsi="Times New Roman" w:cs="Times New Roman"/>
                <w:color w:val="auto"/>
                <w:sz w:val="21"/>
                <w:szCs w:val="15"/>
                <w:highlight w:val="none"/>
              </w:rPr>
              <w:t>0.008735</w:t>
            </w:r>
          </w:p>
        </w:tc>
      </w:tr>
      <w:tr w14:paraId="06EDE05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422" w:type="dxa"/>
            <w:vMerge w:val="continue"/>
            <w:tcBorders>
              <w:tl2br w:val="nil"/>
              <w:tr2bl w:val="nil"/>
            </w:tcBorders>
            <w:vAlign w:val="center"/>
          </w:tcPr>
          <w:p w14:paraId="56B516AF">
            <w:pPr>
              <w:keepNext w:val="0"/>
              <w:keepLines w:val="0"/>
              <w:pageBreakBefore w:val="0"/>
              <w:widowControl/>
              <w:kinsoku/>
              <w:wordWrap/>
              <w:overflowPunct/>
              <w:topLinePunct w:val="0"/>
              <w:autoSpaceDE/>
              <w:autoSpaceDN/>
              <w:bidi w:val="0"/>
              <w:adjustRightInd/>
              <w:snapToGrid/>
              <w:ind w:left="0" w:right="0"/>
              <w:jc w:val="center"/>
              <w:textAlignment w:val="auto"/>
              <w:rPr>
                <w:rFonts w:cs="Times New Roman"/>
                <w:color w:val="auto"/>
                <w:sz w:val="21"/>
                <w:szCs w:val="15"/>
                <w:highlight w:val="none"/>
              </w:rPr>
            </w:pPr>
          </w:p>
        </w:tc>
        <w:tc>
          <w:tcPr>
            <w:tcW w:w="2060" w:type="dxa"/>
            <w:tcBorders>
              <w:tl2br w:val="nil"/>
              <w:tr2bl w:val="nil"/>
            </w:tcBorders>
            <w:vAlign w:val="center"/>
          </w:tcPr>
          <w:p w14:paraId="3C019B4B">
            <w:pPr>
              <w:keepNext w:val="0"/>
              <w:keepLines w:val="0"/>
              <w:pageBreakBefore w:val="0"/>
              <w:widowControl/>
              <w:kinsoku/>
              <w:wordWrap/>
              <w:overflowPunct/>
              <w:topLinePunct w:val="0"/>
              <w:autoSpaceDE/>
              <w:autoSpaceDN/>
              <w:bidi w:val="0"/>
              <w:adjustRightInd/>
              <w:snapToGrid/>
              <w:ind w:left="0" w:right="0"/>
              <w:jc w:val="center"/>
              <w:textAlignment w:val="auto"/>
              <w:rPr>
                <w:rFonts w:cs="Times New Roman"/>
                <w:color w:val="auto"/>
                <w:sz w:val="21"/>
                <w:szCs w:val="15"/>
                <w:highlight w:val="none"/>
              </w:rPr>
            </w:pPr>
            <w:r>
              <w:rPr>
                <w:rFonts w:hint="eastAsia" w:cs="Times New Roman"/>
                <w:color w:val="auto"/>
                <w:sz w:val="21"/>
                <w:szCs w:val="15"/>
                <w:highlight w:val="none"/>
              </w:rPr>
              <w:t>石油类</w:t>
            </w:r>
          </w:p>
        </w:tc>
        <w:tc>
          <w:tcPr>
            <w:tcW w:w="1890" w:type="dxa"/>
            <w:tcBorders>
              <w:tl2br w:val="nil"/>
              <w:tr2bl w:val="nil"/>
            </w:tcBorders>
            <w:vAlign w:val="center"/>
          </w:tcPr>
          <w:p w14:paraId="7920346A">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15"/>
                <w:highlight w:val="none"/>
              </w:rPr>
            </w:pPr>
            <w:r>
              <w:rPr>
                <w:rFonts w:hint="eastAsia" w:ascii="Times New Roman" w:hAnsi="Times New Roman" w:cs="Times New Roman"/>
                <w:color w:val="auto"/>
                <w:sz w:val="21"/>
                <w:szCs w:val="15"/>
                <w:highlight w:val="none"/>
              </w:rPr>
              <w:t>0.0135</w:t>
            </w:r>
          </w:p>
        </w:tc>
        <w:tc>
          <w:tcPr>
            <w:tcW w:w="1725" w:type="dxa"/>
            <w:tcBorders>
              <w:tl2br w:val="nil"/>
              <w:tr2bl w:val="nil"/>
            </w:tcBorders>
            <w:vAlign w:val="center"/>
          </w:tcPr>
          <w:p w14:paraId="42DF633E">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15"/>
                <w:highlight w:val="none"/>
              </w:rPr>
            </w:pPr>
            <w:r>
              <w:rPr>
                <w:rFonts w:hint="eastAsia" w:ascii="Times New Roman" w:hAnsi="Times New Roman" w:cs="Times New Roman"/>
                <w:color w:val="auto"/>
                <w:sz w:val="21"/>
                <w:szCs w:val="15"/>
                <w:highlight w:val="none"/>
              </w:rPr>
              <w:t>0</w:t>
            </w:r>
          </w:p>
        </w:tc>
        <w:tc>
          <w:tcPr>
            <w:tcW w:w="1620" w:type="dxa"/>
            <w:tcBorders>
              <w:tl2br w:val="nil"/>
              <w:tr2bl w:val="nil"/>
            </w:tcBorders>
            <w:vAlign w:val="center"/>
          </w:tcPr>
          <w:p w14:paraId="2519CE54">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15"/>
                <w:highlight w:val="none"/>
              </w:rPr>
            </w:pPr>
            <w:r>
              <w:rPr>
                <w:rFonts w:hint="eastAsia" w:ascii="Times New Roman" w:hAnsi="Times New Roman" w:cs="Times New Roman"/>
                <w:color w:val="auto"/>
                <w:sz w:val="21"/>
                <w:szCs w:val="15"/>
                <w:highlight w:val="none"/>
              </w:rPr>
              <w:t>0</w:t>
            </w:r>
          </w:p>
        </w:tc>
      </w:tr>
    </w:tbl>
    <w:p w14:paraId="302EFCC8">
      <w:pPr>
        <w:spacing w:line="360" w:lineRule="auto"/>
        <w:ind w:left="-105" w:right="-105" w:firstLine="422"/>
        <w:rPr>
          <w:rFonts w:ascii="Times New Roman" w:hAnsi="Times New Roman" w:cs="Times New Roman"/>
          <w:b/>
          <w:bCs/>
          <w:color w:val="auto"/>
          <w:sz w:val="21"/>
          <w:szCs w:val="21"/>
          <w:highlight w:val="none"/>
        </w:rPr>
      </w:pPr>
      <w:r>
        <w:rPr>
          <w:rFonts w:ascii="Times New Roman" w:hAnsi="Times New Roman" w:cs="Times New Roman"/>
          <w:b/>
          <w:bCs/>
          <w:color w:val="auto"/>
          <w:sz w:val="21"/>
          <w:szCs w:val="21"/>
          <w:highlight w:val="none"/>
        </w:rPr>
        <w:t>注：*数据来源《年产聚氨酯丙烯酸酯5000t、丙烯酸酯组成物10000t和环氧丙烯酸树脂1200t生产线技改扩建项目环境影响评价报告书》</w:t>
      </w:r>
      <w:r>
        <w:rPr>
          <w:rFonts w:hint="eastAsia" w:ascii="Times New Roman" w:hAnsi="Times New Roman" w:cs="Times New Roman"/>
          <w:b/>
          <w:bCs/>
          <w:color w:val="auto"/>
          <w:sz w:val="21"/>
          <w:szCs w:val="21"/>
          <w:highlight w:val="none"/>
        </w:rPr>
        <w:t>“污染物排放总量指标”</w:t>
      </w:r>
      <w:r>
        <w:rPr>
          <w:rFonts w:ascii="Times New Roman" w:hAnsi="Times New Roman" w:cs="Times New Roman"/>
          <w:b/>
          <w:bCs/>
          <w:color w:val="auto"/>
          <w:sz w:val="21"/>
          <w:szCs w:val="21"/>
          <w:highlight w:val="none"/>
        </w:rPr>
        <w:t>。</w:t>
      </w:r>
    </w:p>
    <w:p w14:paraId="1FFE24B0">
      <w:pPr>
        <w:spacing w:line="360" w:lineRule="auto"/>
        <w:ind w:left="-105" w:right="-105" w:firstLine="480" w:firstLineChars="200"/>
        <w:jc w:val="both"/>
        <w:rPr>
          <w:rFonts w:ascii="Times New Roman" w:hAnsi="Times New Roman"/>
          <w:color w:val="auto"/>
          <w:szCs w:val="22"/>
          <w:highlight w:val="none"/>
        </w:rPr>
      </w:pPr>
      <w:r>
        <w:rPr>
          <w:rFonts w:hint="eastAsia" w:ascii="Times New Roman" w:hAnsi="Times New Roman"/>
          <w:color w:val="auto"/>
          <w:szCs w:val="22"/>
          <w:highlight w:val="none"/>
        </w:rPr>
        <w:t>公司已编制了突发环境事件应急预案并完成备案（备案号：320205-2023-082-H），已取得了排污许可证（证书编号913202057394398127001P），现有项目已投内容已完成验收。</w:t>
      </w:r>
      <w:r>
        <w:rPr>
          <w:rFonts w:hint="eastAsia" w:ascii="Times New Roman" w:hAnsi="Times New Roman"/>
          <w:color w:val="auto"/>
          <w:szCs w:val="22"/>
          <w:highlight w:val="none"/>
        </w:rPr>
        <w:t>本项目建成后，应对新增生产线重新申领排污许可证，编制突发环境事件应急预案并完成备案。</w:t>
      </w:r>
    </w:p>
    <w:p w14:paraId="6C494A30">
      <w:pPr>
        <w:spacing w:line="360" w:lineRule="auto"/>
        <w:ind w:left="-105" w:right="-105" w:firstLine="480" w:firstLineChars="200"/>
        <w:rPr>
          <w:rFonts w:ascii="Times New Roman" w:hAnsi="Times New Roman"/>
          <w:color w:val="auto"/>
          <w:szCs w:val="22"/>
          <w:highlight w:val="none"/>
        </w:rPr>
      </w:pPr>
      <w:r>
        <w:rPr>
          <w:rFonts w:hint="eastAsia" w:ascii="Times New Roman" w:hAnsi="Times New Roman"/>
          <w:color w:val="auto"/>
          <w:szCs w:val="22"/>
          <w:highlight w:val="none"/>
        </w:rPr>
        <w:t>企业严格落实各项环境安全管理制度，定期对员工进行安全环保宣传和培训，运行至今没有发生过安全环保事故。现有项目污染防治措施均按报告执行；环境管理较好，设施管理良好、运行稳定，污染物达标排放；无环境污染事故、环境风险事故；与周边居民及企业无环保纠纷，无环保处罚及投诉举报问题。</w:t>
      </w:r>
    </w:p>
    <w:p w14:paraId="17DB0CFD">
      <w:pPr>
        <w:pStyle w:val="5"/>
        <w:keepLines w:val="0"/>
        <w:numPr>
          <w:ilvl w:val="2"/>
          <w:numId w:val="6"/>
        </w:numPr>
        <w:tabs>
          <w:tab w:val="left" w:pos="567"/>
          <w:tab w:val="left" w:pos="709"/>
        </w:tabs>
        <w:spacing w:before="0" w:after="0" w:line="360" w:lineRule="auto"/>
        <w:ind w:left="-105" w:right="-105"/>
        <w:rPr>
          <w:rFonts w:eastAsia="宋体"/>
          <w:color w:val="auto"/>
          <w:sz w:val="28"/>
          <w:szCs w:val="28"/>
          <w:highlight w:val="none"/>
        </w:rPr>
      </w:pPr>
      <w:r>
        <w:rPr>
          <w:rFonts w:hint="eastAsia" w:eastAsia="宋体"/>
          <w:color w:val="auto"/>
          <w:sz w:val="28"/>
          <w:szCs w:val="28"/>
          <w:highlight w:val="none"/>
        </w:rPr>
        <w:t>现有项目存在的主要环境问题及“以新带老”措施</w:t>
      </w:r>
    </w:p>
    <w:p w14:paraId="6C47DE96">
      <w:pPr>
        <w:spacing w:line="360" w:lineRule="auto"/>
        <w:ind w:left="-105" w:right="-105" w:firstLine="482" w:firstLineChars="200"/>
        <w:jc w:val="both"/>
        <w:rPr>
          <w:rFonts w:ascii="Times New Roman" w:hAnsi="Times New Roman"/>
          <w:b/>
          <w:bCs/>
          <w:color w:val="auto"/>
          <w:szCs w:val="22"/>
          <w:highlight w:val="none"/>
        </w:rPr>
      </w:pPr>
      <w:r>
        <w:rPr>
          <w:rFonts w:hint="eastAsia" w:ascii="Times New Roman" w:hAnsi="Times New Roman"/>
          <w:b/>
          <w:bCs/>
          <w:color w:val="auto"/>
          <w:szCs w:val="22"/>
          <w:highlight w:val="none"/>
        </w:rPr>
        <w:t>（1）存在的主要环境问题</w:t>
      </w:r>
    </w:p>
    <w:p w14:paraId="5A0FBE3F">
      <w:pPr>
        <w:spacing w:line="360" w:lineRule="auto"/>
        <w:ind w:left="-105" w:right="-105" w:firstLine="480" w:firstLineChars="200"/>
        <w:jc w:val="both"/>
        <w:rPr>
          <w:rFonts w:hint="eastAsia" w:ascii="Times New Roman" w:hAnsi="Times New Roman"/>
          <w:color w:val="auto"/>
          <w:szCs w:val="22"/>
          <w:highlight w:val="none"/>
        </w:rPr>
      </w:pPr>
      <w:r>
        <w:rPr>
          <w:rFonts w:hint="eastAsia" w:ascii="Times New Roman" w:hAnsi="Times New Roman"/>
          <w:color w:val="auto"/>
          <w:szCs w:val="22"/>
          <w:highlight w:val="none"/>
        </w:rPr>
        <w:t>由于现有项目环境影响报告书审批时间较早，废气特征因子无地方和国家排放标准，总量控制未考虑废气特征因子排放量（即总量控制中非甲烷总烃排放量不含废气特征因子的排放量）。由于目前有机废气均以非甲烷总烃计，实际检测废气排放情况时所有有机废气均计入非甲烷总烃，故实际排放的非甲烷总烃检出数据超过环评批复量。</w:t>
      </w:r>
    </w:p>
    <w:p w14:paraId="18F5EB3C">
      <w:pPr>
        <w:spacing w:line="360" w:lineRule="auto"/>
        <w:ind w:left="-105" w:right="-105" w:firstLine="480" w:firstLineChars="200"/>
        <w:jc w:val="both"/>
        <w:rPr>
          <w:rFonts w:ascii="Times New Roman" w:hAnsi="Times New Roman"/>
          <w:color w:val="auto"/>
          <w:szCs w:val="22"/>
          <w:highlight w:val="none"/>
        </w:rPr>
      </w:pPr>
      <w:r>
        <w:rPr>
          <w:rFonts w:hint="eastAsia"/>
          <w:color w:val="auto"/>
          <w:highlight w:val="none"/>
        </w:rPr>
        <w:t>根据挥发性有机物相关标准中术语和定义，本项目挥发性有机物以非甲烷总烃作为污染控物制项目。由于现有项目环境影响报告书审批时</w:t>
      </w:r>
      <w:r>
        <w:rPr>
          <w:rFonts w:hint="default" w:ascii="Times New Roman" w:hAnsi="Times New Roman" w:cs="Times New Roman"/>
          <w:color w:val="auto"/>
          <w:highlight w:val="none"/>
        </w:rPr>
        <w:t>间较早，废气特征因子丙烯酸、2-乙二醇单乙醚醋酸酯、异氰酸酯、丁酮、非甲烷总烃均单独分析评价，且丙烯酸、2-乙二醇单乙醚醋酸酯、异氰酸酯、丁酮未统计为有机废气并以非甲烷总烃作为污染控物制项目，因此环评报告和批复内的非甲烷总烃总量不含有机废气其他特征因子排放量，低于实际有机废气排放量，本报告将其进</w:t>
      </w:r>
      <w:r>
        <w:rPr>
          <w:rFonts w:hint="eastAsia"/>
          <w:color w:val="auto"/>
          <w:highlight w:val="none"/>
        </w:rPr>
        <w:t>行修正。</w:t>
      </w:r>
    </w:p>
    <w:p w14:paraId="1A6056DB">
      <w:pPr>
        <w:pStyle w:val="2"/>
        <w:ind w:left="-105" w:right="-105"/>
        <w:rPr>
          <w:color w:val="auto"/>
          <w:highlight w:val="none"/>
        </w:rPr>
      </w:pPr>
      <w:r>
        <w:rPr>
          <w:rFonts w:hint="eastAsia"/>
          <w:color w:val="auto"/>
          <w:highlight w:val="none"/>
        </w:rPr>
        <w:t>（2）“以新带老”措施</w:t>
      </w:r>
    </w:p>
    <w:p w14:paraId="226F2999">
      <w:pPr>
        <w:spacing w:line="360" w:lineRule="auto"/>
        <w:ind w:left="-105" w:right="-105" w:firstLine="480" w:firstLineChars="200"/>
        <w:rPr>
          <w:rFonts w:ascii="Times New Roman" w:hAnsi="Times New Roman"/>
          <w:color w:val="auto"/>
          <w:szCs w:val="22"/>
          <w:highlight w:val="none"/>
        </w:rPr>
      </w:pPr>
      <w:r>
        <w:rPr>
          <w:rFonts w:hint="eastAsia" w:ascii="Times New Roman" w:hAnsi="Times New Roman"/>
          <w:color w:val="auto"/>
          <w:szCs w:val="22"/>
          <w:highlight w:val="none"/>
        </w:rPr>
        <w:t>1）关于废气排放总量</w:t>
      </w:r>
    </w:p>
    <w:p w14:paraId="1A80C145">
      <w:pPr>
        <w:spacing w:line="360" w:lineRule="auto"/>
        <w:ind w:left="-105" w:right="-105" w:firstLine="480" w:firstLineChars="200"/>
        <w:rPr>
          <w:rFonts w:ascii="Times New Roman" w:hAnsi="Times New Roman"/>
          <w:color w:val="auto"/>
          <w:szCs w:val="22"/>
          <w:highlight w:val="none"/>
        </w:rPr>
      </w:pPr>
      <w:r>
        <w:rPr>
          <w:rFonts w:hint="eastAsia" w:ascii="Times New Roman" w:hAnsi="Times New Roman"/>
          <w:color w:val="auto"/>
          <w:szCs w:val="22"/>
          <w:highlight w:val="none"/>
        </w:rPr>
        <w:t>根据《年产聚氨酯丙烯酸酯5000t、丙烯酸酯组成物10000t和环氧丙烯酸树脂1200t生产线技改扩建项目环境影响评价报告书》中全厂废气排放总量指标将批复中未计入的废气特征因子排放量全部纳入本报告现有项目的核准排放量。</w:t>
      </w:r>
    </w:p>
    <w:p w14:paraId="1B31FFFB">
      <w:pPr>
        <w:spacing w:line="360" w:lineRule="auto"/>
        <w:ind w:left="-105" w:right="-105" w:firstLine="480" w:firstLineChars="200"/>
        <w:rPr>
          <w:rFonts w:ascii="Times New Roman" w:hAnsi="Times New Roman"/>
          <w:color w:val="auto"/>
          <w:szCs w:val="22"/>
          <w:highlight w:val="none"/>
        </w:rPr>
      </w:pPr>
      <w:r>
        <w:rPr>
          <w:rFonts w:hint="eastAsia" w:ascii="Times New Roman" w:hAnsi="Times New Roman"/>
          <w:color w:val="auto"/>
          <w:szCs w:val="22"/>
          <w:highlight w:val="none"/>
        </w:rPr>
        <w:t>2）关于产能削减</w:t>
      </w:r>
    </w:p>
    <w:p w14:paraId="4B01D66F">
      <w:pPr>
        <w:spacing w:line="360" w:lineRule="auto"/>
        <w:ind w:left="-105" w:right="-105" w:firstLine="480" w:firstLineChars="200"/>
        <w:rPr>
          <w:rFonts w:ascii="Times New Roman" w:hAnsi="Times New Roman"/>
          <w:color w:val="auto"/>
          <w:szCs w:val="22"/>
          <w:highlight w:val="none"/>
        </w:rPr>
      </w:pPr>
      <w:r>
        <w:rPr>
          <w:rFonts w:hint="eastAsia" w:ascii="Times New Roman" w:hAnsi="Times New Roman"/>
          <w:color w:val="auto"/>
          <w:szCs w:val="22"/>
          <w:highlight w:val="none"/>
        </w:rPr>
        <w:t>由于市场科技革新、下游企业产品更新，部分产品市场需求量急剧缩减，企业现有产品生产能力无法达到设计能力，</w:t>
      </w:r>
      <w:r>
        <w:rPr>
          <w:rFonts w:hint="eastAsia" w:ascii="Times New Roman" w:hAnsi="Times New Roman"/>
          <w:color w:val="auto"/>
          <w:szCs w:val="22"/>
          <w:highlight w:val="none"/>
          <w:lang w:val="en-US" w:eastAsia="zh-CN"/>
        </w:rPr>
        <w:t>根据企业出具的项目申请报告（见附件），</w:t>
      </w:r>
      <w:r>
        <w:rPr>
          <w:rFonts w:hint="eastAsia" w:ascii="Times New Roman" w:hAnsi="Times New Roman"/>
          <w:color w:val="auto"/>
          <w:szCs w:val="22"/>
          <w:highlight w:val="none"/>
        </w:rPr>
        <w:t>目前企业产能</w:t>
      </w:r>
      <w:r>
        <w:rPr>
          <w:rFonts w:hint="eastAsia" w:ascii="Times New Roman" w:hAnsi="Times New Roman"/>
          <w:color w:val="auto"/>
          <w:szCs w:val="22"/>
          <w:highlight w:val="none"/>
          <w:lang w:val="en-US" w:eastAsia="zh-CN"/>
        </w:rPr>
        <w:t>可削减</w:t>
      </w:r>
      <w:r>
        <w:rPr>
          <w:rFonts w:hint="eastAsia" w:ascii="Times New Roman" w:hAnsi="Times New Roman"/>
          <w:color w:val="auto"/>
          <w:szCs w:val="22"/>
          <w:highlight w:val="none"/>
        </w:rPr>
        <w:t>为：聚氨酯丙烯酸酯4600t/a、丙烯酸酯组成物9800t/a和环氧丙烯酸树脂2800t/a，</w:t>
      </w:r>
      <w:r>
        <w:rPr>
          <w:rFonts w:hint="eastAsia" w:ascii="Times New Roman" w:hAnsi="Times New Roman"/>
          <w:color w:val="auto"/>
          <w:szCs w:val="22"/>
          <w:highlight w:val="none"/>
        </w:rPr>
        <w:t>因此，削减了废气排放总量。</w:t>
      </w:r>
    </w:p>
    <w:p w14:paraId="2C532A2E">
      <w:pPr>
        <w:spacing w:line="360" w:lineRule="auto"/>
        <w:ind w:left="-105" w:right="-105" w:firstLine="480" w:firstLineChars="200"/>
        <w:rPr>
          <w:rFonts w:ascii="Times New Roman" w:hAnsi="Times New Roman"/>
          <w:color w:val="auto"/>
          <w:szCs w:val="22"/>
          <w:highlight w:val="none"/>
        </w:rPr>
      </w:pPr>
      <w:r>
        <w:rPr>
          <w:rFonts w:hint="eastAsia" w:ascii="Times New Roman" w:hAnsi="Times New Roman"/>
          <w:color w:val="auto"/>
          <w:szCs w:val="22"/>
          <w:highlight w:val="none"/>
        </w:rPr>
        <w:t>根据《年产聚氨酯丙烯酸酯5000t、丙烯酸酯组成物10000t和环氧丙烯酸树脂1200t生产线技改扩建项目环境影响评价报告书》及《化药化工（无锡）有限公司年产聚氨酯丙烯酸酯5000t、丙烯酸酯组成物10000t和环氧丙烯酸树脂1200t生产线技改扩建项目一般变动环境影响分析报告》，全厂废气排放如下：</w:t>
      </w:r>
    </w:p>
    <w:p w14:paraId="55AC9EBE">
      <w:pPr>
        <w:pStyle w:val="15"/>
        <w:spacing w:line="360" w:lineRule="auto"/>
        <w:ind w:left="-105" w:right="-105" w:firstLine="482"/>
        <w:rPr>
          <w:rFonts w:eastAsia="宋体" w:cs="Times New Roman"/>
          <w:color w:val="auto"/>
          <w:sz w:val="24"/>
          <w:szCs w:val="18"/>
          <w:highlight w:val="none"/>
        </w:rPr>
      </w:pPr>
      <w:r>
        <w:rPr>
          <w:rFonts w:eastAsia="宋体" w:cs="Times New Roman"/>
          <w:color w:val="auto"/>
          <w:sz w:val="24"/>
          <w:szCs w:val="18"/>
          <w:highlight w:val="none"/>
        </w:rPr>
        <w:t>表</w:t>
      </w:r>
      <w:r>
        <w:rPr>
          <w:rFonts w:eastAsia="宋体" w:cs="Times New Roman"/>
          <w:color w:val="auto"/>
          <w:sz w:val="24"/>
          <w:szCs w:val="18"/>
          <w:highlight w:val="none"/>
        </w:rPr>
        <w:fldChar w:fldCharType="begin"/>
      </w:r>
      <w:r>
        <w:rPr>
          <w:rFonts w:eastAsia="宋体" w:cs="Times New Roman"/>
          <w:color w:val="auto"/>
          <w:sz w:val="24"/>
          <w:szCs w:val="18"/>
          <w:highlight w:val="none"/>
        </w:rPr>
        <w:instrText xml:space="preserve"> STYLEREF 2 \s </w:instrText>
      </w:r>
      <w:r>
        <w:rPr>
          <w:rFonts w:eastAsia="宋体" w:cs="Times New Roman"/>
          <w:color w:val="auto"/>
          <w:sz w:val="24"/>
          <w:szCs w:val="18"/>
          <w:highlight w:val="none"/>
        </w:rPr>
        <w:fldChar w:fldCharType="separate"/>
      </w:r>
      <w:r>
        <w:rPr>
          <w:rFonts w:eastAsia="宋体" w:cs="Times New Roman"/>
          <w:color w:val="auto"/>
          <w:sz w:val="24"/>
          <w:szCs w:val="18"/>
          <w:highlight w:val="none"/>
        </w:rPr>
        <w:t>3.3</w:t>
      </w:r>
      <w:r>
        <w:rPr>
          <w:rFonts w:eastAsia="宋体" w:cs="Times New Roman"/>
          <w:color w:val="auto"/>
          <w:sz w:val="24"/>
          <w:szCs w:val="18"/>
          <w:highlight w:val="none"/>
        </w:rPr>
        <w:fldChar w:fldCharType="end"/>
      </w:r>
      <w:r>
        <w:rPr>
          <w:rFonts w:eastAsia="宋体" w:cs="Times New Roman"/>
          <w:color w:val="auto"/>
          <w:sz w:val="24"/>
          <w:szCs w:val="18"/>
          <w:highlight w:val="none"/>
        </w:rPr>
        <w:noBreakHyphen/>
      </w:r>
      <w:r>
        <w:rPr>
          <w:rFonts w:eastAsia="宋体" w:cs="Times New Roman"/>
          <w:color w:val="auto"/>
          <w:sz w:val="24"/>
          <w:szCs w:val="18"/>
          <w:highlight w:val="none"/>
        </w:rPr>
        <w:fldChar w:fldCharType="begin"/>
      </w:r>
      <w:r>
        <w:rPr>
          <w:rFonts w:eastAsia="宋体" w:cs="Times New Roman"/>
          <w:color w:val="auto"/>
          <w:sz w:val="24"/>
          <w:szCs w:val="18"/>
          <w:highlight w:val="none"/>
        </w:rPr>
        <w:instrText xml:space="preserve"> SEQ 表 \* ARABIC \s 2 </w:instrText>
      </w:r>
      <w:r>
        <w:rPr>
          <w:rFonts w:eastAsia="宋体" w:cs="Times New Roman"/>
          <w:color w:val="auto"/>
          <w:sz w:val="24"/>
          <w:szCs w:val="18"/>
          <w:highlight w:val="none"/>
        </w:rPr>
        <w:fldChar w:fldCharType="separate"/>
      </w:r>
      <w:r>
        <w:rPr>
          <w:rFonts w:eastAsia="宋体" w:cs="Times New Roman"/>
          <w:color w:val="auto"/>
          <w:sz w:val="24"/>
          <w:szCs w:val="18"/>
          <w:highlight w:val="none"/>
        </w:rPr>
        <w:t>14</w:t>
      </w:r>
      <w:r>
        <w:rPr>
          <w:rFonts w:eastAsia="宋体" w:cs="Times New Roman"/>
          <w:color w:val="auto"/>
          <w:sz w:val="24"/>
          <w:szCs w:val="18"/>
          <w:highlight w:val="none"/>
        </w:rPr>
        <w:fldChar w:fldCharType="end"/>
      </w:r>
      <w:r>
        <w:rPr>
          <w:rFonts w:hint="eastAsia" w:eastAsia="宋体" w:cs="Times New Roman"/>
          <w:color w:val="auto"/>
          <w:sz w:val="24"/>
          <w:szCs w:val="18"/>
          <w:highlight w:val="none"/>
        </w:rPr>
        <w:t>现有项目变动后废气污染物排放总量</w:t>
      </w:r>
      <w:r>
        <w:rPr>
          <w:rFonts w:eastAsia="宋体" w:cs="Times New Roman"/>
          <w:color w:val="auto"/>
          <w:sz w:val="24"/>
          <w:szCs w:val="18"/>
          <w:highlight w:val="none"/>
        </w:rPr>
        <w:t>表（单位：t/a）</w:t>
      </w:r>
    </w:p>
    <w:tbl>
      <w:tblPr>
        <w:tblStyle w:val="46"/>
        <w:tblW w:w="5000"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404"/>
        <w:gridCol w:w="4339"/>
        <w:gridCol w:w="2977"/>
      </w:tblGrid>
      <w:tr w14:paraId="461A1B6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404" w:type="dxa"/>
            <w:tcBorders>
              <w:tl2br w:val="nil"/>
              <w:tr2bl w:val="nil"/>
            </w:tcBorders>
            <w:vAlign w:val="center"/>
          </w:tcPr>
          <w:p w14:paraId="69C9ADDA">
            <w:pPr>
              <w:pStyle w:val="2"/>
              <w:keepNext w:val="0"/>
              <w:keepLines w:val="0"/>
              <w:pageBreakBefore w:val="0"/>
              <w:widowControl/>
              <w:kinsoku/>
              <w:wordWrap/>
              <w:overflowPunct/>
              <w:topLinePunct w:val="0"/>
              <w:autoSpaceDE/>
              <w:autoSpaceDN/>
              <w:bidi w:val="0"/>
              <w:spacing w:line="240" w:lineRule="auto"/>
              <w:ind w:left="0" w:right="0" w:firstLine="0" w:firstLineChars="0"/>
              <w:jc w:val="center"/>
              <w:rPr>
                <w:rFonts w:cs="Times New Roman"/>
                <w:b/>
                <w:bCs/>
                <w:color w:val="auto"/>
                <w:sz w:val="21"/>
                <w:szCs w:val="21"/>
                <w:highlight w:val="none"/>
              </w:rPr>
            </w:pPr>
            <w:r>
              <w:rPr>
                <w:rFonts w:cs="Times New Roman"/>
                <w:b/>
                <w:bCs/>
                <w:color w:val="auto"/>
                <w:sz w:val="21"/>
                <w:szCs w:val="21"/>
                <w:highlight w:val="none"/>
              </w:rPr>
              <w:t>类别</w:t>
            </w:r>
          </w:p>
        </w:tc>
        <w:tc>
          <w:tcPr>
            <w:tcW w:w="4339" w:type="dxa"/>
            <w:tcBorders>
              <w:tl2br w:val="nil"/>
              <w:tr2bl w:val="nil"/>
            </w:tcBorders>
            <w:vAlign w:val="center"/>
          </w:tcPr>
          <w:p w14:paraId="568DF433">
            <w:pPr>
              <w:pStyle w:val="2"/>
              <w:keepNext w:val="0"/>
              <w:keepLines w:val="0"/>
              <w:pageBreakBefore w:val="0"/>
              <w:widowControl/>
              <w:kinsoku/>
              <w:wordWrap/>
              <w:overflowPunct/>
              <w:topLinePunct w:val="0"/>
              <w:autoSpaceDE/>
              <w:autoSpaceDN/>
              <w:bidi w:val="0"/>
              <w:spacing w:line="240" w:lineRule="auto"/>
              <w:ind w:left="0" w:right="0" w:firstLine="0" w:firstLineChars="0"/>
              <w:jc w:val="center"/>
              <w:rPr>
                <w:rFonts w:cs="Times New Roman"/>
                <w:b/>
                <w:bCs/>
                <w:color w:val="auto"/>
                <w:sz w:val="21"/>
                <w:szCs w:val="21"/>
                <w:highlight w:val="none"/>
              </w:rPr>
            </w:pPr>
            <w:r>
              <w:rPr>
                <w:rFonts w:cs="Times New Roman"/>
                <w:b/>
                <w:bCs/>
                <w:color w:val="auto"/>
                <w:sz w:val="21"/>
                <w:szCs w:val="21"/>
                <w:highlight w:val="none"/>
              </w:rPr>
              <w:t>项目</w:t>
            </w:r>
          </w:p>
        </w:tc>
        <w:tc>
          <w:tcPr>
            <w:tcW w:w="2977" w:type="dxa"/>
            <w:tcBorders>
              <w:tl2br w:val="nil"/>
              <w:tr2bl w:val="nil"/>
            </w:tcBorders>
            <w:vAlign w:val="center"/>
          </w:tcPr>
          <w:p w14:paraId="20EF1888">
            <w:pPr>
              <w:pStyle w:val="2"/>
              <w:keepNext w:val="0"/>
              <w:keepLines w:val="0"/>
              <w:pageBreakBefore w:val="0"/>
              <w:widowControl/>
              <w:kinsoku/>
              <w:wordWrap/>
              <w:overflowPunct/>
              <w:topLinePunct w:val="0"/>
              <w:autoSpaceDE/>
              <w:autoSpaceDN/>
              <w:bidi w:val="0"/>
              <w:spacing w:line="240" w:lineRule="auto"/>
              <w:ind w:left="0" w:right="0" w:firstLine="0" w:firstLineChars="0"/>
              <w:jc w:val="center"/>
              <w:rPr>
                <w:rFonts w:cs="Times New Roman"/>
                <w:b/>
                <w:bCs/>
                <w:color w:val="auto"/>
                <w:sz w:val="21"/>
                <w:szCs w:val="21"/>
                <w:highlight w:val="none"/>
              </w:rPr>
            </w:pPr>
            <w:r>
              <w:rPr>
                <w:rFonts w:cs="Times New Roman"/>
                <w:b/>
                <w:bCs/>
                <w:color w:val="auto"/>
                <w:sz w:val="21"/>
                <w:szCs w:val="21"/>
                <w:highlight w:val="none"/>
              </w:rPr>
              <w:t>项目排放量</w:t>
            </w:r>
          </w:p>
        </w:tc>
      </w:tr>
      <w:tr w14:paraId="213B373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404" w:type="dxa"/>
            <w:vMerge w:val="restart"/>
            <w:tcBorders>
              <w:tl2br w:val="nil"/>
              <w:tr2bl w:val="nil"/>
            </w:tcBorders>
            <w:vAlign w:val="center"/>
          </w:tcPr>
          <w:p w14:paraId="2EABF5C5">
            <w:pPr>
              <w:pStyle w:val="2"/>
              <w:keepNext w:val="0"/>
              <w:keepLines w:val="0"/>
              <w:pageBreakBefore w:val="0"/>
              <w:widowControl/>
              <w:kinsoku/>
              <w:wordWrap/>
              <w:overflowPunct/>
              <w:topLinePunct w:val="0"/>
              <w:autoSpaceDE/>
              <w:autoSpaceDN/>
              <w:bidi w:val="0"/>
              <w:spacing w:line="240" w:lineRule="auto"/>
              <w:ind w:left="0" w:right="0" w:firstLine="0" w:firstLineChars="0"/>
              <w:jc w:val="center"/>
              <w:rPr>
                <w:rFonts w:cs="Times New Roman"/>
                <w:color w:val="auto"/>
                <w:sz w:val="21"/>
                <w:szCs w:val="21"/>
                <w:highlight w:val="none"/>
              </w:rPr>
            </w:pPr>
            <w:r>
              <w:rPr>
                <w:rFonts w:cs="Times New Roman"/>
                <w:color w:val="auto"/>
                <w:sz w:val="21"/>
                <w:szCs w:val="21"/>
                <w:highlight w:val="none"/>
              </w:rPr>
              <w:t>有组织</w:t>
            </w:r>
          </w:p>
        </w:tc>
        <w:tc>
          <w:tcPr>
            <w:tcW w:w="4339" w:type="dxa"/>
            <w:tcBorders>
              <w:tl2br w:val="nil"/>
              <w:tr2bl w:val="nil"/>
            </w:tcBorders>
            <w:vAlign w:val="center"/>
          </w:tcPr>
          <w:p w14:paraId="72B9EE4D">
            <w:pPr>
              <w:keepNext w:val="0"/>
              <w:keepLines w:val="0"/>
              <w:pageBreakBefore w:val="0"/>
              <w:widowControl/>
              <w:kinsoku/>
              <w:wordWrap/>
              <w:overflowPunct/>
              <w:topLinePunct w:val="0"/>
              <w:autoSpaceDE/>
              <w:autoSpaceDN/>
              <w:bidi w:val="0"/>
              <w:ind w:left="0" w:right="0"/>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2-乙二醇单乙醚醋酸酯</w:t>
            </w:r>
          </w:p>
        </w:tc>
        <w:tc>
          <w:tcPr>
            <w:tcW w:w="2977" w:type="dxa"/>
            <w:tcBorders>
              <w:tl2br w:val="nil"/>
              <w:tr2bl w:val="nil"/>
            </w:tcBorders>
            <w:vAlign w:val="center"/>
          </w:tcPr>
          <w:p w14:paraId="63DA6176">
            <w:pPr>
              <w:pStyle w:val="2"/>
              <w:keepNext w:val="0"/>
              <w:keepLines w:val="0"/>
              <w:pageBreakBefore w:val="0"/>
              <w:widowControl/>
              <w:kinsoku/>
              <w:wordWrap/>
              <w:overflowPunct/>
              <w:topLinePunct w:val="0"/>
              <w:autoSpaceDE/>
              <w:autoSpaceDN/>
              <w:bidi w:val="0"/>
              <w:spacing w:line="240" w:lineRule="auto"/>
              <w:ind w:left="0" w:right="0" w:firstLine="0" w:firstLineChars="0"/>
              <w:jc w:val="center"/>
              <w:rPr>
                <w:rFonts w:cs="Times New Roman"/>
                <w:color w:val="auto"/>
                <w:sz w:val="21"/>
                <w:szCs w:val="21"/>
                <w:highlight w:val="none"/>
              </w:rPr>
            </w:pPr>
            <w:r>
              <w:rPr>
                <w:rFonts w:cs="Times New Roman"/>
                <w:color w:val="auto"/>
                <w:sz w:val="21"/>
                <w:szCs w:val="21"/>
                <w:highlight w:val="none"/>
              </w:rPr>
              <w:t>0.2175</w:t>
            </w:r>
          </w:p>
        </w:tc>
      </w:tr>
      <w:tr w14:paraId="27D625A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404" w:type="dxa"/>
            <w:vMerge w:val="continue"/>
            <w:tcBorders>
              <w:tl2br w:val="nil"/>
              <w:tr2bl w:val="nil"/>
            </w:tcBorders>
            <w:vAlign w:val="center"/>
          </w:tcPr>
          <w:p w14:paraId="3BF84607">
            <w:pPr>
              <w:pStyle w:val="2"/>
              <w:keepNext w:val="0"/>
              <w:keepLines w:val="0"/>
              <w:pageBreakBefore w:val="0"/>
              <w:widowControl/>
              <w:kinsoku/>
              <w:wordWrap/>
              <w:overflowPunct/>
              <w:topLinePunct w:val="0"/>
              <w:autoSpaceDE/>
              <w:autoSpaceDN/>
              <w:bidi w:val="0"/>
              <w:spacing w:line="240" w:lineRule="auto"/>
              <w:ind w:left="0" w:right="0" w:firstLine="0" w:firstLineChars="0"/>
              <w:jc w:val="center"/>
              <w:rPr>
                <w:rFonts w:cs="Times New Roman"/>
                <w:color w:val="auto"/>
                <w:sz w:val="21"/>
                <w:szCs w:val="21"/>
                <w:highlight w:val="none"/>
              </w:rPr>
            </w:pPr>
          </w:p>
        </w:tc>
        <w:tc>
          <w:tcPr>
            <w:tcW w:w="4339" w:type="dxa"/>
            <w:tcBorders>
              <w:tl2br w:val="nil"/>
              <w:tr2bl w:val="nil"/>
            </w:tcBorders>
            <w:vAlign w:val="center"/>
          </w:tcPr>
          <w:p w14:paraId="1084C107">
            <w:pPr>
              <w:keepNext w:val="0"/>
              <w:keepLines w:val="0"/>
              <w:pageBreakBefore w:val="0"/>
              <w:widowControl/>
              <w:kinsoku/>
              <w:wordWrap/>
              <w:overflowPunct/>
              <w:topLinePunct w:val="0"/>
              <w:autoSpaceDE/>
              <w:autoSpaceDN/>
              <w:bidi w:val="0"/>
              <w:ind w:left="0" w:right="0"/>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丁酮</w:t>
            </w:r>
          </w:p>
        </w:tc>
        <w:tc>
          <w:tcPr>
            <w:tcW w:w="2977" w:type="dxa"/>
            <w:tcBorders>
              <w:tl2br w:val="nil"/>
              <w:tr2bl w:val="nil"/>
            </w:tcBorders>
            <w:vAlign w:val="center"/>
          </w:tcPr>
          <w:p w14:paraId="1C55CF75">
            <w:pPr>
              <w:pStyle w:val="2"/>
              <w:keepNext w:val="0"/>
              <w:keepLines w:val="0"/>
              <w:pageBreakBefore w:val="0"/>
              <w:widowControl/>
              <w:kinsoku/>
              <w:wordWrap/>
              <w:overflowPunct/>
              <w:topLinePunct w:val="0"/>
              <w:autoSpaceDE/>
              <w:autoSpaceDN/>
              <w:bidi w:val="0"/>
              <w:spacing w:line="240" w:lineRule="auto"/>
              <w:ind w:left="0" w:right="0" w:firstLine="0" w:firstLineChars="0"/>
              <w:jc w:val="center"/>
              <w:rPr>
                <w:rFonts w:cs="Times New Roman"/>
                <w:color w:val="auto"/>
                <w:sz w:val="21"/>
                <w:szCs w:val="21"/>
                <w:highlight w:val="none"/>
              </w:rPr>
            </w:pPr>
            <w:r>
              <w:rPr>
                <w:rFonts w:cs="Times New Roman"/>
                <w:color w:val="auto"/>
                <w:sz w:val="21"/>
                <w:szCs w:val="21"/>
                <w:highlight w:val="none"/>
              </w:rPr>
              <w:t>0.905</w:t>
            </w:r>
          </w:p>
        </w:tc>
      </w:tr>
      <w:tr w14:paraId="5A024CE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404" w:type="dxa"/>
            <w:vMerge w:val="continue"/>
            <w:tcBorders>
              <w:tl2br w:val="nil"/>
              <w:tr2bl w:val="nil"/>
            </w:tcBorders>
            <w:vAlign w:val="center"/>
          </w:tcPr>
          <w:p w14:paraId="576DB137">
            <w:pPr>
              <w:pStyle w:val="2"/>
              <w:keepNext w:val="0"/>
              <w:keepLines w:val="0"/>
              <w:pageBreakBefore w:val="0"/>
              <w:widowControl/>
              <w:kinsoku/>
              <w:wordWrap/>
              <w:overflowPunct/>
              <w:topLinePunct w:val="0"/>
              <w:autoSpaceDE/>
              <w:autoSpaceDN/>
              <w:bidi w:val="0"/>
              <w:spacing w:line="240" w:lineRule="auto"/>
              <w:ind w:left="0" w:right="0" w:firstLine="0" w:firstLineChars="0"/>
              <w:jc w:val="center"/>
              <w:rPr>
                <w:rFonts w:cs="Times New Roman"/>
                <w:color w:val="auto"/>
                <w:sz w:val="21"/>
                <w:szCs w:val="21"/>
                <w:highlight w:val="none"/>
              </w:rPr>
            </w:pPr>
          </w:p>
        </w:tc>
        <w:tc>
          <w:tcPr>
            <w:tcW w:w="4339" w:type="dxa"/>
            <w:tcBorders>
              <w:tl2br w:val="nil"/>
              <w:tr2bl w:val="nil"/>
            </w:tcBorders>
            <w:vAlign w:val="center"/>
          </w:tcPr>
          <w:p w14:paraId="1BCDB307">
            <w:pPr>
              <w:keepNext w:val="0"/>
              <w:keepLines w:val="0"/>
              <w:pageBreakBefore w:val="0"/>
              <w:widowControl/>
              <w:kinsoku/>
              <w:wordWrap/>
              <w:overflowPunct/>
              <w:topLinePunct w:val="0"/>
              <w:autoSpaceDE/>
              <w:autoSpaceDN/>
              <w:bidi w:val="0"/>
              <w:ind w:left="0" w:right="0"/>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异氰酸酯</w:t>
            </w:r>
          </w:p>
        </w:tc>
        <w:tc>
          <w:tcPr>
            <w:tcW w:w="2977" w:type="dxa"/>
            <w:tcBorders>
              <w:tl2br w:val="nil"/>
              <w:tr2bl w:val="nil"/>
            </w:tcBorders>
            <w:vAlign w:val="center"/>
          </w:tcPr>
          <w:p w14:paraId="39E02CA5">
            <w:pPr>
              <w:pStyle w:val="2"/>
              <w:keepNext w:val="0"/>
              <w:keepLines w:val="0"/>
              <w:pageBreakBefore w:val="0"/>
              <w:widowControl/>
              <w:kinsoku/>
              <w:wordWrap/>
              <w:overflowPunct/>
              <w:topLinePunct w:val="0"/>
              <w:autoSpaceDE/>
              <w:autoSpaceDN/>
              <w:bidi w:val="0"/>
              <w:spacing w:line="240" w:lineRule="auto"/>
              <w:ind w:left="0" w:right="0" w:firstLine="0" w:firstLineChars="0"/>
              <w:jc w:val="center"/>
              <w:rPr>
                <w:rFonts w:cs="Times New Roman"/>
                <w:color w:val="auto"/>
                <w:sz w:val="21"/>
                <w:szCs w:val="21"/>
                <w:highlight w:val="none"/>
              </w:rPr>
            </w:pPr>
            <w:r>
              <w:rPr>
                <w:rFonts w:cs="Times New Roman"/>
                <w:color w:val="auto"/>
                <w:sz w:val="21"/>
                <w:szCs w:val="21"/>
                <w:highlight w:val="none"/>
              </w:rPr>
              <w:t>0.008</w:t>
            </w:r>
          </w:p>
        </w:tc>
      </w:tr>
      <w:tr w14:paraId="0D4BA13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404" w:type="dxa"/>
            <w:vMerge w:val="continue"/>
            <w:tcBorders>
              <w:tl2br w:val="nil"/>
              <w:tr2bl w:val="nil"/>
            </w:tcBorders>
            <w:vAlign w:val="center"/>
          </w:tcPr>
          <w:p w14:paraId="382CD543">
            <w:pPr>
              <w:pStyle w:val="2"/>
              <w:keepNext w:val="0"/>
              <w:keepLines w:val="0"/>
              <w:pageBreakBefore w:val="0"/>
              <w:widowControl/>
              <w:kinsoku/>
              <w:wordWrap/>
              <w:overflowPunct/>
              <w:topLinePunct w:val="0"/>
              <w:autoSpaceDE/>
              <w:autoSpaceDN/>
              <w:bidi w:val="0"/>
              <w:spacing w:line="240" w:lineRule="auto"/>
              <w:ind w:left="0" w:right="0" w:firstLine="0" w:firstLineChars="0"/>
              <w:jc w:val="center"/>
              <w:rPr>
                <w:rFonts w:cs="Times New Roman"/>
                <w:color w:val="auto"/>
                <w:sz w:val="21"/>
                <w:szCs w:val="21"/>
                <w:highlight w:val="none"/>
              </w:rPr>
            </w:pPr>
          </w:p>
        </w:tc>
        <w:tc>
          <w:tcPr>
            <w:tcW w:w="4339" w:type="dxa"/>
            <w:tcBorders>
              <w:tl2br w:val="nil"/>
              <w:tr2bl w:val="nil"/>
            </w:tcBorders>
            <w:vAlign w:val="center"/>
          </w:tcPr>
          <w:p w14:paraId="554ECD5D">
            <w:pPr>
              <w:keepNext w:val="0"/>
              <w:keepLines w:val="0"/>
              <w:pageBreakBefore w:val="0"/>
              <w:widowControl/>
              <w:kinsoku/>
              <w:wordWrap/>
              <w:overflowPunct/>
              <w:topLinePunct w:val="0"/>
              <w:autoSpaceDE/>
              <w:autoSpaceDN/>
              <w:bidi w:val="0"/>
              <w:ind w:left="0" w:right="0"/>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丙烯酸</w:t>
            </w:r>
          </w:p>
        </w:tc>
        <w:tc>
          <w:tcPr>
            <w:tcW w:w="2977" w:type="dxa"/>
            <w:tcBorders>
              <w:tl2br w:val="nil"/>
              <w:tr2bl w:val="nil"/>
            </w:tcBorders>
            <w:vAlign w:val="center"/>
          </w:tcPr>
          <w:p w14:paraId="3063E6F7">
            <w:pPr>
              <w:pStyle w:val="2"/>
              <w:keepNext w:val="0"/>
              <w:keepLines w:val="0"/>
              <w:pageBreakBefore w:val="0"/>
              <w:widowControl/>
              <w:kinsoku/>
              <w:wordWrap/>
              <w:overflowPunct/>
              <w:topLinePunct w:val="0"/>
              <w:autoSpaceDE/>
              <w:autoSpaceDN/>
              <w:bidi w:val="0"/>
              <w:spacing w:line="240" w:lineRule="auto"/>
              <w:ind w:left="0" w:right="0" w:firstLine="0" w:firstLineChars="0"/>
              <w:jc w:val="center"/>
              <w:rPr>
                <w:rFonts w:cs="Times New Roman"/>
                <w:color w:val="auto"/>
                <w:sz w:val="21"/>
                <w:szCs w:val="21"/>
                <w:highlight w:val="none"/>
              </w:rPr>
            </w:pPr>
            <w:r>
              <w:rPr>
                <w:rFonts w:cs="Times New Roman"/>
                <w:color w:val="auto"/>
                <w:sz w:val="21"/>
                <w:szCs w:val="21"/>
                <w:highlight w:val="none"/>
              </w:rPr>
              <w:t>0.1819</w:t>
            </w:r>
          </w:p>
        </w:tc>
      </w:tr>
      <w:tr w14:paraId="4B0B7E8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404" w:type="dxa"/>
            <w:vMerge w:val="continue"/>
            <w:tcBorders>
              <w:tl2br w:val="nil"/>
              <w:tr2bl w:val="nil"/>
            </w:tcBorders>
            <w:vAlign w:val="center"/>
          </w:tcPr>
          <w:p w14:paraId="5A11C835">
            <w:pPr>
              <w:pStyle w:val="2"/>
              <w:keepNext w:val="0"/>
              <w:keepLines w:val="0"/>
              <w:pageBreakBefore w:val="0"/>
              <w:widowControl/>
              <w:kinsoku/>
              <w:wordWrap/>
              <w:overflowPunct/>
              <w:topLinePunct w:val="0"/>
              <w:autoSpaceDE/>
              <w:autoSpaceDN/>
              <w:bidi w:val="0"/>
              <w:spacing w:line="240" w:lineRule="auto"/>
              <w:ind w:left="0" w:right="0" w:firstLine="0" w:firstLineChars="0"/>
              <w:jc w:val="center"/>
              <w:rPr>
                <w:rFonts w:cs="Times New Roman"/>
                <w:color w:val="auto"/>
                <w:sz w:val="21"/>
                <w:szCs w:val="21"/>
                <w:highlight w:val="none"/>
              </w:rPr>
            </w:pPr>
          </w:p>
        </w:tc>
        <w:tc>
          <w:tcPr>
            <w:tcW w:w="4339" w:type="dxa"/>
            <w:tcBorders>
              <w:tl2br w:val="nil"/>
              <w:tr2bl w:val="nil"/>
            </w:tcBorders>
            <w:vAlign w:val="center"/>
          </w:tcPr>
          <w:p w14:paraId="058D33B1">
            <w:pPr>
              <w:keepNext w:val="0"/>
              <w:keepLines w:val="0"/>
              <w:pageBreakBefore w:val="0"/>
              <w:widowControl/>
              <w:kinsoku/>
              <w:wordWrap/>
              <w:overflowPunct/>
              <w:topLinePunct w:val="0"/>
              <w:autoSpaceDE/>
              <w:autoSpaceDN/>
              <w:bidi w:val="0"/>
              <w:ind w:left="0" w:right="0"/>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非甲烷总烃</w:t>
            </w:r>
          </w:p>
        </w:tc>
        <w:tc>
          <w:tcPr>
            <w:tcW w:w="2977" w:type="dxa"/>
            <w:tcBorders>
              <w:tl2br w:val="nil"/>
              <w:tr2bl w:val="nil"/>
            </w:tcBorders>
            <w:vAlign w:val="center"/>
          </w:tcPr>
          <w:p w14:paraId="4C638F03">
            <w:pPr>
              <w:pStyle w:val="2"/>
              <w:keepNext w:val="0"/>
              <w:keepLines w:val="0"/>
              <w:pageBreakBefore w:val="0"/>
              <w:widowControl/>
              <w:kinsoku/>
              <w:wordWrap/>
              <w:overflowPunct/>
              <w:topLinePunct w:val="0"/>
              <w:autoSpaceDE/>
              <w:autoSpaceDN/>
              <w:bidi w:val="0"/>
              <w:spacing w:line="240" w:lineRule="auto"/>
              <w:ind w:left="0" w:right="0" w:firstLine="0" w:firstLineChars="0"/>
              <w:jc w:val="center"/>
              <w:rPr>
                <w:rFonts w:cs="Times New Roman"/>
                <w:color w:val="auto"/>
                <w:sz w:val="21"/>
                <w:szCs w:val="21"/>
                <w:highlight w:val="none"/>
              </w:rPr>
            </w:pPr>
            <w:r>
              <w:rPr>
                <w:rFonts w:cs="Times New Roman"/>
                <w:color w:val="auto"/>
                <w:sz w:val="21"/>
                <w:szCs w:val="21"/>
                <w:highlight w:val="none"/>
              </w:rPr>
              <w:t>0.68</w:t>
            </w:r>
          </w:p>
        </w:tc>
      </w:tr>
      <w:tr w14:paraId="4343307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404" w:type="dxa"/>
            <w:vMerge w:val="continue"/>
            <w:tcBorders>
              <w:tl2br w:val="nil"/>
              <w:tr2bl w:val="nil"/>
            </w:tcBorders>
            <w:vAlign w:val="center"/>
          </w:tcPr>
          <w:p w14:paraId="29FD9109">
            <w:pPr>
              <w:pStyle w:val="2"/>
              <w:keepNext w:val="0"/>
              <w:keepLines w:val="0"/>
              <w:pageBreakBefore w:val="0"/>
              <w:widowControl/>
              <w:kinsoku/>
              <w:wordWrap/>
              <w:overflowPunct/>
              <w:topLinePunct w:val="0"/>
              <w:autoSpaceDE/>
              <w:autoSpaceDN/>
              <w:bidi w:val="0"/>
              <w:spacing w:line="240" w:lineRule="auto"/>
              <w:ind w:left="0" w:right="0" w:firstLine="0" w:firstLineChars="0"/>
              <w:jc w:val="center"/>
              <w:rPr>
                <w:rFonts w:cs="Times New Roman"/>
                <w:color w:val="auto"/>
                <w:sz w:val="21"/>
                <w:szCs w:val="21"/>
                <w:highlight w:val="none"/>
              </w:rPr>
            </w:pPr>
          </w:p>
        </w:tc>
        <w:tc>
          <w:tcPr>
            <w:tcW w:w="4339" w:type="dxa"/>
            <w:tcBorders>
              <w:tl2br w:val="nil"/>
              <w:tr2bl w:val="nil"/>
            </w:tcBorders>
            <w:shd w:val="clear" w:color="auto" w:fill="BEBEBE" w:themeFill="background1" w:themeFillShade="BF"/>
            <w:vAlign w:val="center"/>
          </w:tcPr>
          <w:p w14:paraId="444419B1">
            <w:pPr>
              <w:keepNext w:val="0"/>
              <w:keepLines w:val="0"/>
              <w:pageBreakBefore w:val="0"/>
              <w:widowControl/>
              <w:kinsoku/>
              <w:wordWrap/>
              <w:overflowPunct/>
              <w:topLinePunct w:val="0"/>
              <w:autoSpaceDE/>
              <w:autoSpaceDN/>
              <w:bidi w:val="0"/>
              <w:ind w:left="0" w:right="0"/>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非甲烷总烃（含2-乙二醇单乙醚醋酸酯、丁酮、异氰酸酯、丙烯酸）</w:t>
            </w:r>
          </w:p>
        </w:tc>
        <w:tc>
          <w:tcPr>
            <w:tcW w:w="2977" w:type="dxa"/>
            <w:tcBorders>
              <w:tl2br w:val="nil"/>
              <w:tr2bl w:val="nil"/>
            </w:tcBorders>
            <w:shd w:val="clear" w:color="auto" w:fill="BEBEBE" w:themeFill="background1" w:themeFillShade="BF"/>
            <w:vAlign w:val="center"/>
          </w:tcPr>
          <w:p w14:paraId="25941D3B">
            <w:pPr>
              <w:pStyle w:val="2"/>
              <w:keepNext w:val="0"/>
              <w:keepLines w:val="0"/>
              <w:pageBreakBefore w:val="0"/>
              <w:widowControl/>
              <w:kinsoku/>
              <w:wordWrap/>
              <w:overflowPunct/>
              <w:topLinePunct w:val="0"/>
              <w:autoSpaceDE/>
              <w:autoSpaceDN/>
              <w:bidi w:val="0"/>
              <w:spacing w:line="240" w:lineRule="auto"/>
              <w:ind w:left="0" w:right="0" w:firstLine="0" w:firstLineChars="0"/>
              <w:jc w:val="center"/>
              <w:rPr>
                <w:rFonts w:cs="Times New Roman"/>
                <w:color w:val="auto"/>
                <w:sz w:val="21"/>
                <w:szCs w:val="21"/>
                <w:highlight w:val="none"/>
              </w:rPr>
            </w:pPr>
            <w:r>
              <w:rPr>
                <w:rFonts w:cs="Times New Roman"/>
                <w:color w:val="auto"/>
                <w:sz w:val="21"/>
                <w:szCs w:val="21"/>
                <w:highlight w:val="none"/>
              </w:rPr>
              <w:t>1.9924</w:t>
            </w:r>
          </w:p>
        </w:tc>
      </w:tr>
      <w:tr w14:paraId="121C854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404" w:type="dxa"/>
            <w:vMerge w:val="restart"/>
            <w:tcBorders>
              <w:tl2br w:val="nil"/>
              <w:tr2bl w:val="nil"/>
            </w:tcBorders>
            <w:vAlign w:val="center"/>
          </w:tcPr>
          <w:p w14:paraId="70CA7507">
            <w:pPr>
              <w:pStyle w:val="2"/>
              <w:keepNext w:val="0"/>
              <w:keepLines w:val="0"/>
              <w:pageBreakBefore w:val="0"/>
              <w:widowControl/>
              <w:kinsoku/>
              <w:wordWrap/>
              <w:overflowPunct/>
              <w:topLinePunct w:val="0"/>
              <w:autoSpaceDE/>
              <w:autoSpaceDN/>
              <w:bidi w:val="0"/>
              <w:spacing w:line="240" w:lineRule="auto"/>
              <w:ind w:left="0" w:right="0" w:firstLine="0" w:firstLineChars="0"/>
              <w:jc w:val="center"/>
              <w:rPr>
                <w:rFonts w:cs="Times New Roman"/>
                <w:color w:val="auto"/>
                <w:sz w:val="21"/>
                <w:szCs w:val="21"/>
                <w:highlight w:val="none"/>
              </w:rPr>
            </w:pPr>
            <w:r>
              <w:rPr>
                <w:rFonts w:cs="Times New Roman"/>
                <w:color w:val="auto"/>
                <w:sz w:val="21"/>
                <w:szCs w:val="21"/>
                <w:highlight w:val="none"/>
              </w:rPr>
              <w:t>无组织</w:t>
            </w:r>
          </w:p>
        </w:tc>
        <w:tc>
          <w:tcPr>
            <w:tcW w:w="4339" w:type="dxa"/>
            <w:tcBorders>
              <w:tl2br w:val="nil"/>
              <w:tr2bl w:val="nil"/>
            </w:tcBorders>
            <w:vAlign w:val="center"/>
          </w:tcPr>
          <w:p w14:paraId="070D0A96">
            <w:pPr>
              <w:keepNext w:val="0"/>
              <w:keepLines w:val="0"/>
              <w:pageBreakBefore w:val="0"/>
              <w:widowControl/>
              <w:kinsoku/>
              <w:wordWrap/>
              <w:overflowPunct/>
              <w:topLinePunct w:val="0"/>
              <w:autoSpaceDE/>
              <w:autoSpaceDN/>
              <w:bidi w:val="0"/>
              <w:ind w:left="0" w:right="0"/>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丙烯酸</w:t>
            </w:r>
          </w:p>
        </w:tc>
        <w:tc>
          <w:tcPr>
            <w:tcW w:w="2977" w:type="dxa"/>
            <w:tcBorders>
              <w:tl2br w:val="nil"/>
              <w:tr2bl w:val="nil"/>
            </w:tcBorders>
            <w:vAlign w:val="center"/>
          </w:tcPr>
          <w:p w14:paraId="79A4289F">
            <w:pPr>
              <w:pStyle w:val="2"/>
              <w:keepNext w:val="0"/>
              <w:keepLines w:val="0"/>
              <w:pageBreakBefore w:val="0"/>
              <w:widowControl/>
              <w:kinsoku/>
              <w:wordWrap/>
              <w:overflowPunct/>
              <w:topLinePunct w:val="0"/>
              <w:autoSpaceDE/>
              <w:autoSpaceDN/>
              <w:bidi w:val="0"/>
              <w:spacing w:line="240" w:lineRule="auto"/>
              <w:ind w:left="0" w:right="0" w:firstLine="0" w:firstLineChars="0"/>
              <w:jc w:val="center"/>
              <w:rPr>
                <w:rFonts w:cs="Times New Roman"/>
                <w:color w:val="auto"/>
                <w:sz w:val="21"/>
                <w:szCs w:val="21"/>
                <w:highlight w:val="none"/>
              </w:rPr>
            </w:pPr>
            <w:r>
              <w:rPr>
                <w:rFonts w:cs="Times New Roman"/>
                <w:color w:val="auto"/>
                <w:sz w:val="21"/>
                <w:szCs w:val="21"/>
                <w:highlight w:val="none"/>
              </w:rPr>
              <w:t>0.0175</w:t>
            </w:r>
          </w:p>
        </w:tc>
      </w:tr>
      <w:tr w14:paraId="180F778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404" w:type="dxa"/>
            <w:vMerge w:val="continue"/>
            <w:tcBorders>
              <w:tl2br w:val="nil"/>
              <w:tr2bl w:val="nil"/>
            </w:tcBorders>
            <w:vAlign w:val="center"/>
          </w:tcPr>
          <w:p w14:paraId="15E80589">
            <w:pPr>
              <w:pStyle w:val="2"/>
              <w:keepNext w:val="0"/>
              <w:keepLines w:val="0"/>
              <w:pageBreakBefore w:val="0"/>
              <w:widowControl/>
              <w:kinsoku/>
              <w:wordWrap/>
              <w:overflowPunct/>
              <w:topLinePunct w:val="0"/>
              <w:autoSpaceDE/>
              <w:autoSpaceDN/>
              <w:bidi w:val="0"/>
              <w:spacing w:line="240" w:lineRule="auto"/>
              <w:ind w:left="0" w:right="0" w:firstLine="0" w:firstLineChars="0"/>
              <w:jc w:val="center"/>
              <w:rPr>
                <w:rFonts w:cs="Times New Roman"/>
                <w:color w:val="auto"/>
                <w:sz w:val="21"/>
                <w:szCs w:val="21"/>
                <w:highlight w:val="none"/>
              </w:rPr>
            </w:pPr>
          </w:p>
        </w:tc>
        <w:tc>
          <w:tcPr>
            <w:tcW w:w="4339" w:type="dxa"/>
            <w:tcBorders>
              <w:tl2br w:val="nil"/>
              <w:tr2bl w:val="nil"/>
            </w:tcBorders>
            <w:vAlign w:val="center"/>
          </w:tcPr>
          <w:p w14:paraId="58B1D8C3">
            <w:pPr>
              <w:keepNext w:val="0"/>
              <w:keepLines w:val="0"/>
              <w:pageBreakBefore w:val="0"/>
              <w:widowControl/>
              <w:kinsoku/>
              <w:wordWrap/>
              <w:overflowPunct/>
              <w:topLinePunct w:val="0"/>
              <w:autoSpaceDE/>
              <w:autoSpaceDN/>
              <w:bidi w:val="0"/>
              <w:ind w:left="0" w:right="0"/>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2-乙二醇单乙醚醋酸酯</w:t>
            </w:r>
          </w:p>
        </w:tc>
        <w:tc>
          <w:tcPr>
            <w:tcW w:w="2977" w:type="dxa"/>
            <w:tcBorders>
              <w:tl2br w:val="nil"/>
              <w:tr2bl w:val="nil"/>
            </w:tcBorders>
            <w:vAlign w:val="center"/>
          </w:tcPr>
          <w:p w14:paraId="202517FC">
            <w:pPr>
              <w:pStyle w:val="2"/>
              <w:keepNext w:val="0"/>
              <w:keepLines w:val="0"/>
              <w:pageBreakBefore w:val="0"/>
              <w:widowControl/>
              <w:kinsoku/>
              <w:wordWrap/>
              <w:overflowPunct/>
              <w:topLinePunct w:val="0"/>
              <w:autoSpaceDE/>
              <w:autoSpaceDN/>
              <w:bidi w:val="0"/>
              <w:spacing w:line="240" w:lineRule="auto"/>
              <w:ind w:left="0" w:right="0" w:firstLine="0" w:firstLineChars="0"/>
              <w:jc w:val="center"/>
              <w:rPr>
                <w:rFonts w:cs="Times New Roman"/>
                <w:color w:val="auto"/>
                <w:sz w:val="21"/>
                <w:szCs w:val="21"/>
                <w:highlight w:val="none"/>
              </w:rPr>
            </w:pPr>
            <w:r>
              <w:rPr>
                <w:rFonts w:cs="Times New Roman"/>
                <w:color w:val="auto"/>
                <w:sz w:val="21"/>
                <w:szCs w:val="21"/>
                <w:highlight w:val="none"/>
              </w:rPr>
              <w:t>0.007</w:t>
            </w:r>
          </w:p>
        </w:tc>
      </w:tr>
      <w:tr w14:paraId="43EBBAA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404" w:type="dxa"/>
            <w:vMerge w:val="continue"/>
            <w:tcBorders>
              <w:tl2br w:val="nil"/>
              <w:tr2bl w:val="nil"/>
            </w:tcBorders>
            <w:vAlign w:val="center"/>
          </w:tcPr>
          <w:p w14:paraId="3243D1E0">
            <w:pPr>
              <w:pStyle w:val="2"/>
              <w:keepNext w:val="0"/>
              <w:keepLines w:val="0"/>
              <w:pageBreakBefore w:val="0"/>
              <w:widowControl/>
              <w:kinsoku/>
              <w:wordWrap/>
              <w:overflowPunct/>
              <w:topLinePunct w:val="0"/>
              <w:autoSpaceDE/>
              <w:autoSpaceDN/>
              <w:bidi w:val="0"/>
              <w:spacing w:line="240" w:lineRule="auto"/>
              <w:ind w:left="0" w:right="0" w:firstLine="0" w:firstLineChars="0"/>
              <w:jc w:val="center"/>
              <w:rPr>
                <w:rFonts w:cs="Times New Roman"/>
                <w:color w:val="auto"/>
                <w:sz w:val="21"/>
                <w:szCs w:val="21"/>
                <w:highlight w:val="none"/>
              </w:rPr>
            </w:pPr>
          </w:p>
        </w:tc>
        <w:tc>
          <w:tcPr>
            <w:tcW w:w="4339" w:type="dxa"/>
            <w:tcBorders>
              <w:tl2br w:val="nil"/>
              <w:tr2bl w:val="nil"/>
            </w:tcBorders>
            <w:vAlign w:val="center"/>
          </w:tcPr>
          <w:p w14:paraId="3F287670">
            <w:pPr>
              <w:keepNext w:val="0"/>
              <w:keepLines w:val="0"/>
              <w:pageBreakBefore w:val="0"/>
              <w:widowControl/>
              <w:kinsoku/>
              <w:wordWrap/>
              <w:overflowPunct/>
              <w:topLinePunct w:val="0"/>
              <w:autoSpaceDE/>
              <w:autoSpaceDN/>
              <w:bidi w:val="0"/>
              <w:ind w:left="0" w:right="0"/>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非甲烷总烃</w:t>
            </w:r>
          </w:p>
        </w:tc>
        <w:tc>
          <w:tcPr>
            <w:tcW w:w="2977" w:type="dxa"/>
            <w:tcBorders>
              <w:tl2br w:val="nil"/>
              <w:tr2bl w:val="nil"/>
            </w:tcBorders>
            <w:vAlign w:val="center"/>
          </w:tcPr>
          <w:p w14:paraId="34C1377D">
            <w:pPr>
              <w:pStyle w:val="2"/>
              <w:keepNext w:val="0"/>
              <w:keepLines w:val="0"/>
              <w:pageBreakBefore w:val="0"/>
              <w:widowControl/>
              <w:kinsoku/>
              <w:wordWrap/>
              <w:overflowPunct/>
              <w:topLinePunct w:val="0"/>
              <w:autoSpaceDE/>
              <w:autoSpaceDN/>
              <w:bidi w:val="0"/>
              <w:spacing w:line="240" w:lineRule="auto"/>
              <w:ind w:left="0" w:right="0" w:firstLine="0" w:firstLineChars="0"/>
              <w:jc w:val="center"/>
              <w:rPr>
                <w:rFonts w:cs="Times New Roman"/>
                <w:color w:val="auto"/>
                <w:sz w:val="21"/>
                <w:szCs w:val="21"/>
                <w:highlight w:val="none"/>
              </w:rPr>
            </w:pPr>
            <w:r>
              <w:rPr>
                <w:rFonts w:cs="Times New Roman"/>
                <w:color w:val="auto"/>
                <w:sz w:val="21"/>
                <w:szCs w:val="21"/>
                <w:highlight w:val="none"/>
              </w:rPr>
              <w:t>0.003</w:t>
            </w:r>
          </w:p>
        </w:tc>
      </w:tr>
      <w:tr w14:paraId="6C03567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404" w:type="dxa"/>
            <w:vMerge w:val="continue"/>
            <w:tcBorders>
              <w:tl2br w:val="nil"/>
              <w:tr2bl w:val="nil"/>
            </w:tcBorders>
            <w:vAlign w:val="center"/>
          </w:tcPr>
          <w:p w14:paraId="7F48A6AF">
            <w:pPr>
              <w:pStyle w:val="2"/>
              <w:keepNext w:val="0"/>
              <w:keepLines w:val="0"/>
              <w:pageBreakBefore w:val="0"/>
              <w:widowControl/>
              <w:kinsoku/>
              <w:wordWrap/>
              <w:overflowPunct/>
              <w:topLinePunct w:val="0"/>
              <w:autoSpaceDE/>
              <w:autoSpaceDN/>
              <w:bidi w:val="0"/>
              <w:spacing w:line="240" w:lineRule="auto"/>
              <w:ind w:left="0" w:right="0" w:firstLine="0" w:firstLineChars="0"/>
              <w:jc w:val="center"/>
              <w:rPr>
                <w:rFonts w:cs="Times New Roman"/>
                <w:color w:val="auto"/>
                <w:sz w:val="21"/>
                <w:szCs w:val="21"/>
                <w:highlight w:val="none"/>
              </w:rPr>
            </w:pPr>
          </w:p>
        </w:tc>
        <w:tc>
          <w:tcPr>
            <w:tcW w:w="4339" w:type="dxa"/>
            <w:tcBorders>
              <w:tl2br w:val="nil"/>
              <w:tr2bl w:val="nil"/>
            </w:tcBorders>
            <w:shd w:val="clear" w:color="auto" w:fill="BEBEBE" w:themeFill="background1" w:themeFillShade="BF"/>
            <w:vAlign w:val="center"/>
          </w:tcPr>
          <w:p w14:paraId="42DB10D4">
            <w:pPr>
              <w:keepNext w:val="0"/>
              <w:keepLines w:val="0"/>
              <w:pageBreakBefore w:val="0"/>
              <w:widowControl/>
              <w:kinsoku/>
              <w:wordWrap/>
              <w:overflowPunct/>
              <w:topLinePunct w:val="0"/>
              <w:autoSpaceDE/>
              <w:autoSpaceDN/>
              <w:bidi w:val="0"/>
              <w:ind w:left="0" w:right="0"/>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非甲烷总烃（含2-乙二醇单乙醚醋酸酯、丁酮、异氰酸酯、丙烯酸）</w:t>
            </w:r>
          </w:p>
        </w:tc>
        <w:tc>
          <w:tcPr>
            <w:tcW w:w="2977" w:type="dxa"/>
            <w:tcBorders>
              <w:tl2br w:val="nil"/>
              <w:tr2bl w:val="nil"/>
            </w:tcBorders>
            <w:shd w:val="clear" w:color="auto" w:fill="BEBEBE" w:themeFill="background1" w:themeFillShade="BF"/>
            <w:vAlign w:val="center"/>
          </w:tcPr>
          <w:p w14:paraId="56F9CDF6">
            <w:pPr>
              <w:pStyle w:val="2"/>
              <w:keepNext w:val="0"/>
              <w:keepLines w:val="0"/>
              <w:pageBreakBefore w:val="0"/>
              <w:widowControl/>
              <w:kinsoku/>
              <w:wordWrap/>
              <w:overflowPunct/>
              <w:topLinePunct w:val="0"/>
              <w:autoSpaceDE/>
              <w:autoSpaceDN/>
              <w:bidi w:val="0"/>
              <w:spacing w:line="240" w:lineRule="auto"/>
              <w:ind w:left="0" w:right="0" w:firstLine="0" w:firstLineChars="0"/>
              <w:jc w:val="center"/>
              <w:rPr>
                <w:rFonts w:cs="Times New Roman"/>
                <w:color w:val="auto"/>
                <w:sz w:val="21"/>
                <w:szCs w:val="21"/>
                <w:highlight w:val="none"/>
              </w:rPr>
            </w:pPr>
            <w:r>
              <w:rPr>
                <w:rFonts w:cs="Times New Roman"/>
                <w:color w:val="auto"/>
                <w:sz w:val="21"/>
                <w:szCs w:val="21"/>
                <w:highlight w:val="none"/>
              </w:rPr>
              <w:t>0.0275</w:t>
            </w:r>
          </w:p>
        </w:tc>
      </w:tr>
    </w:tbl>
    <w:p w14:paraId="551DDA4B">
      <w:pPr>
        <w:spacing w:before="120" w:beforeLines="50" w:line="360" w:lineRule="auto"/>
        <w:ind w:left="-105" w:right="-105" w:firstLine="480" w:firstLineChars="200"/>
        <w:rPr>
          <w:rFonts w:ascii="Times New Roman" w:hAnsi="Times New Roman"/>
          <w:color w:val="auto"/>
          <w:szCs w:val="22"/>
          <w:highlight w:val="none"/>
        </w:rPr>
      </w:pPr>
      <w:r>
        <w:rPr>
          <w:rFonts w:hint="eastAsia" w:ascii="Times New Roman" w:hAnsi="Times New Roman"/>
          <w:color w:val="auto"/>
          <w:szCs w:val="22"/>
          <w:highlight w:val="none"/>
        </w:rPr>
        <w:t>由于各产品产能削减</w:t>
      </w:r>
      <w:r>
        <w:rPr>
          <w:rFonts w:hint="eastAsia" w:ascii="Times New Roman" w:hAnsi="Times New Roman"/>
          <w:color w:val="auto"/>
          <w:szCs w:val="22"/>
          <w:highlight w:val="none"/>
          <w:lang w:val="en-US" w:eastAsia="zh-CN"/>
        </w:rPr>
        <w:t>2%~10%</w:t>
      </w:r>
      <w:r>
        <w:rPr>
          <w:rFonts w:hint="eastAsia" w:ascii="Times New Roman" w:hAnsi="Times New Roman"/>
          <w:color w:val="auto"/>
          <w:szCs w:val="22"/>
          <w:highlight w:val="none"/>
        </w:rPr>
        <w:t>，</w:t>
      </w:r>
      <w:r>
        <w:rPr>
          <w:rFonts w:hint="eastAsia" w:ascii="Times New Roman" w:hAnsi="Times New Roman"/>
          <w:color w:val="auto"/>
          <w:szCs w:val="22"/>
          <w:highlight w:val="none"/>
          <w:lang w:val="en-US" w:eastAsia="zh-CN"/>
        </w:rPr>
        <w:t>根据</w:t>
      </w:r>
      <w:r>
        <w:rPr>
          <w:rFonts w:hint="eastAsia" w:ascii="Times New Roman" w:hAnsi="Times New Roman"/>
          <w:color w:val="auto"/>
          <w:szCs w:val="22"/>
          <w:highlight w:val="none"/>
        </w:rPr>
        <w:t>《年产聚氨酯丙烯酸酯5000t、丙烯酸酯组成物10000t和环氧丙烯酸树脂1200t生产线技改扩建项目环境影响评价报告书》及《化药化工（无锡）有限公司年产聚氨酯丙烯酸酯5000t、丙烯酸酯组成物10000t和环氧丙烯酸树脂1200t生产线技改扩建项目一般变动环境影响分析报告》</w:t>
      </w:r>
      <w:r>
        <w:rPr>
          <w:rFonts w:hint="eastAsia" w:ascii="Times New Roman" w:hAnsi="Times New Roman"/>
          <w:color w:val="auto"/>
          <w:szCs w:val="22"/>
          <w:highlight w:val="none"/>
          <w:lang w:val="en-US" w:eastAsia="zh-CN"/>
        </w:rPr>
        <w:t>中源强核算情况，本报告核算削减量按</w:t>
      </w:r>
      <w:r>
        <w:rPr>
          <w:rFonts w:hint="eastAsia" w:ascii="Times New Roman" w:hAnsi="Times New Roman"/>
          <w:color w:val="auto"/>
          <w:szCs w:val="22"/>
          <w:highlight w:val="none"/>
        </w:rPr>
        <w:t>原辅料与废气、固废均同比例削减</w:t>
      </w:r>
      <w:r>
        <w:rPr>
          <w:rFonts w:hint="eastAsia" w:ascii="Times New Roman" w:hAnsi="Times New Roman"/>
          <w:color w:val="auto"/>
          <w:szCs w:val="22"/>
          <w:highlight w:val="none"/>
          <w:lang w:val="en-US" w:eastAsia="zh-CN"/>
        </w:rPr>
        <w:t>10%</w:t>
      </w:r>
      <w:r>
        <w:rPr>
          <w:rFonts w:hint="eastAsia" w:ascii="Times New Roman" w:hAnsi="Times New Roman"/>
          <w:color w:val="auto"/>
          <w:szCs w:val="22"/>
          <w:highlight w:val="none"/>
        </w:rPr>
        <w:t>，削减量计入“以新带老”量。</w:t>
      </w:r>
    </w:p>
    <w:p w14:paraId="6F1AC8D9">
      <w:pPr>
        <w:pStyle w:val="2"/>
        <w:ind w:left="-105" w:right="-105"/>
        <w:rPr>
          <w:snapToGrid/>
          <w:color w:val="auto"/>
          <w:highlight w:val="none"/>
        </w:rPr>
      </w:pPr>
      <w:r>
        <w:rPr>
          <w:rFonts w:hint="eastAsia"/>
          <w:snapToGrid/>
          <w:color w:val="auto"/>
          <w:highlight w:val="none"/>
        </w:rPr>
        <w:t>3）关于DA005废活性炭产生量</w:t>
      </w:r>
    </w:p>
    <w:p w14:paraId="05A3C2C8">
      <w:pPr>
        <w:pStyle w:val="2"/>
        <w:ind w:left="-105" w:right="-105"/>
        <w:rPr>
          <w:snapToGrid/>
          <w:color w:val="auto"/>
          <w:highlight w:val="none"/>
        </w:rPr>
      </w:pPr>
      <w:r>
        <w:rPr>
          <w:rFonts w:hint="eastAsia"/>
          <w:snapToGrid/>
          <w:color w:val="auto"/>
          <w:highlight w:val="none"/>
        </w:rPr>
        <w:t>由于本项目生产线产生的废气依托现有项目DA005废气处理设施及排气筒，废活性炭更换情况有所变动（具体见4.6.4章节），故该设施现有项目产生的废活性炭量计入“以新带老”量。</w:t>
      </w:r>
    </w:p>
    <w:p w14:paraId="6F827AFD">
      <w:pPr>
        <w:spacing w:before="120" w:beforeLines="50" w:line="360" w:lineRule="auto"/>
        <w:ind w:left="-105" w:right="-105" w:firstLine="480" w:firstLineChars="200"/>
        <w:rPr>
          <w:rFonts w:ascii="Times New Roman" w:hAnsi="Times New Roman"/>
          <w:color w:val="auto"/>
          <w:szCs w:val="22"/>
          <w:highlight w:val="none"/>
        </w:rPr>
      </w:pPr>
      <w:r>
        <w:rPr>
          <w:rFonts w:hint="eastAsia" w:ascii="Times New Roman" w:hAnsi="Times New Roman"/>
          <w:color w:val="auto"/>
          <w:szCs w:val="22"/>
          <w:highlight w:val="none"/>
        </w:rPr>
        <w:t>具体见下表：</w:t>
      </w:r>
    </w:p>
    <w:p w14:paraId="565E1E32">
      <w:pPr>
        <w:pStyle w:val="15"/>
        <w:spacing w:line="360" w:lineRule="auto"/>
        <w:ind w:left="-105" w:right="-105" w:firstLine="482"/>
        <w:rPr>
          <w:rFonts w:eastAsia="宋体" w:cs="Times New Roman"/>
          <w:color w:val="auto"/>
          <w:sz w:val="24"/>
          <w:szCs w:val="18"/>
          <w:highlight w:val="none"/>
        </w:rPr>
      </w:pPr>
      <w:r>
        <w:rPr>
          <w:rFonts w:eastAsia="宋体" w:cs="Times New Roman"/>
          <w:color w:val="auto"/>
          <w:sz w:val="24"/>
          <w:szCs w:val="18"/>
          <w:highlight w:val="none"/>
        </w:rPr>
        <w:t>表</w:t>
      </w:r>
      <w:r>
        <w:rPr>
          <w:rFonts w:eastAsia="宋体" w:cs="Times New Roman"/>
          <w:color w:val="auto"/>
          <w:sz w:val="24"/>
          <w:szCs w:val="18"/>
          <w:highlight w:val="none"/>
        </w:rPr>
        <w:fldChar w:fldCharType="begin"/>
      </w:r>
      <w:r>
        <w:rPr>
          <w:rFonts w:eastAsia="宋体" w:cs="Times New Roman"/>
          <w:color w:val="auto"/>
          <w:sz w:val="24"/>
          <w:szCs w:val="18"/>
          <w:highlight w:val="none"/>
        </w:rPr>
        <w:instrText xml:space="preserve"> STYLEREF 2 \s </w:instrText>
      </w:r>
      <w:r>
        <w:rPr>
          <w:rFonts w:eastAsia="宋体" w:cs="Times New Roman"/>
          <w:color w:val="auto"/>
          <w:sz w:val="24"/>
          <w:szCs w:val="18"/>
          <w:highlight w:val="none"/>
        </w:rPr>
        <w:fldChar w:fldCharType="separate"/>
      </w:r>
      <w:r>
        <w:rPr>
          <w:rFonts w:eastAsia="宋体" w:cs="Times New Roman"/>
          <w:color w:val="auto"/>
          <w:sz w:val="24"/>
          <w:szCs w:val="18"/>
          <w:highlight w:val="none"/>
        </w:rPr>
        <w:t>3.3</w:t>
      </w:r>
      <w:r>
        <w:rPr>
          <w:rFonts w:eastAsia="宋体" w:cs="Times New Roman"/>
          <w:color w:val="auto"/>
          <w:sz w:val="24"/>
          <w:szCs w:val="18"/>
          <w:highlight w:val="none"/>
        </w:rPr>
        <w:fldChar w:fldCharType="end"/>
      </w:r>
      <w:r>
        <w:rPr>
          <w:rFonts w:eastAsia="宋体" w:cs="Times New Roman"/>
          <w:color w:val="auto"/>
          <w:sz w:val="24"/>
          <w:szCs w:val="18"/>
          <w:highlight w:val="none"/>
        </w:rPr>
        <w:noBreakHyphen/>
      </w:r>
      <w:r>
        <w:rPr>
          <w:rFonts w:eastAsia="宋体" w:cs="Times New Roman"/>
          <w:color w:val="auto"/>
          <w:sz w:val="24"/>
          <w:szCs w:val="18"/>
          <w:highlight w:val="none"/>
        </w:rPr>
        <w:fldChar w:fldCharType="begin"/>
      </w:r>
      <w:r>
        <w:rPr>
          <w:rFonts w:eastAsia="宋体" w:cs="Times New Roman"/>
          <w:color w:val="auto"/>
          <w:sz w:val="24"/>
          <w:szCs w:val="18"/>
          <w:highlight w:val="none"/>
        </w:rPr>
        <w:instrText xml:space="preserve"> SEQ 表 \* ARABIC \s 2 </w:instrText>
      </w:r>
      <w:r>
        <w:rPr>
          <w:rFonts w:eastAsia="宋体" w:cs="Times New Roman"/>
          <w:color w:val="auto"/>
          <w:sz w:val="24"/>
          <w:szCs w:val="18"/>
          <w:highlight w:val="none"/>
        </w:rPr>
        <w:fldChar w:fldCharType="separate"/>
      </w:r>
      <w:r>
        <w:rPr>
          <w:rFonts w:eastAsia="宋体" w:cs="Times New Roman"/>
          <w:color w:val="auto"/>
          <w:sz w:val="24"/>
          <w:szCs w:val="18"/>
          <w:highlight w:val="none"/>
        </w:rPr>
        <w:t>15</w:t>
      </w:r>
      <w:r>
        <w:rPr>
          <w:rFonts w:eastAsia="宋体" w:cs="Times New Roman"/>
          <w:color w:val="auto"/>
          <w:sz w:val="24"/>
          <w:szCs w:val="18"/>
          <w:highlight w:val="none"/>
        </w:rPr>
        <w:fldChar w:fldCharType="end"/>
      </w:r>
      <w:r>
        <w:rPr>
          <w:rFonts w:hint="eastAsia" w:eastAsia="宋体" w:cs="Times New Roman"/>
          <w:color w:val="auto"/>
          <w:sz w:val="24"/>
          <w:szCs w:val="18"/>
          <w:highlight w:val="none"/>
        </w:rPr>
        <w:t>“以新带老”排放量表</w:t>
      </w:r>
      <w:r>
        <w:rPr>
          <w:rFonts w:eastAsia="宋体" w:cs="Times New Roman"/>
          <w:color w:val="auto"/>
          <w:sz w:val="24"/>
          <w:szCs w:val="18"/>
          <w:highlight w:val="none"/>
        </w:rPr>
        <w:t>（单位：t/a）</w:t>
      </w:r>
    </w:p>
    <w:tbl>
      <w:tblPr>
        <w:tblStyle w:val="45"/>
        <w:tblW w:w="4998" w:type="pct"/>
        <w:tblInd w:w="0" w:type="dxa"/>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autofit"/>
        <w:tblCellMar>
          <w:top w:w="0" w:type="dxa"/>
          <w:left w:w="108" w:type="dxa"/>
          <w:bottom w:w="0" w:type="dxa"/>
          <w:right w:w="108" w:type="dxa"/>
        </w:tblCellMar>
      </w:tblPr>
      <w:tblGrid>
        <w:gridCol w:w="1111"/>
        <w:gridCol w:w="1113"/>
        <w:gridCol w:w="1877"/>
        <w:gridCol w:w="1408"/>
        <w:gridCol w:w="1604"/>
        <w:gridCol w:w="1604"/>
      </w:tblGrid>
      <w:tr w14:paraId="36A20CA1">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642" w:hRule="atLeast"/>
        </w:trPr>
        <w:tc>
          <w:tcPr>
            <w:tcW w:w="2225" w:type="dxa"/>
            <w:gridSpan w:val="2"/>
            <w:shd w:val="clear" w:color="auto" w:fill="auto"/>
            <w:vAlign w:val="center"/>
          </w:tcPr>
          <w:p w14:paraId="5180B98A">
            <w:pPr>
              <w:keepNext w:val="0"/>
              <w:keepLines w:val="0"/>
              <w:pageBreakBefore w:val="0"/>
              <w:widowControl/>
              <w:kinsoku/>
              <w:wordWrap/>
              <w:overflowPunct/>
              <w:topLinePunct w:val="0"/>
              <w:autoSpaceDE/>
              <w:autoSpaceDN/>
              <w:bidi w:val="0"/>
              <w:adjustRightInd w:val="0"/>
              <w:snapToGrid w:val="0"/>
              <w:ind w:left="0" w:right="0"/>
              <w:jc w:val="center"/>
              <w:rPr>
                <w:rFonts w:ascii="Times New Roman" w:hAnsi="Times New Roman" w:cs="Times New Roman"/>
                <w:b/>
                <w:bCs/>
                <w:color w:val="auto"/>
                <w:sz w:val="21"/>
                <w:szCs w:val="21"/>
                <w:highlight w:val="none"/>
              </w:rPr>
            </w:pPr>
            <w:r>
              <w:rPr>
                <w:rFonts w:ascii="Times New Roman" w:hAnsi="Times New Roman" w:cs="Times New Roman"/>
                <w:b/>
                <w:bCs/>
                <w:color w:val="auto"/>
                <w:sz w:val="21"/>
                <w:szCs w:val="21"/>
                <w:highlight w:val="none"/>
              </w:rPr>
              <w:t>种类</w:t>
            </w:r>
          </w:p>
        </w:tc>
        <w:tc>
          <w:tcPr>
            <w:tcW w:w="1877" w:type="dxa"/>
            <w:shd w:val="clear" w:color="auto" w:fill="auto"/>
            <w:vAlign w:val="center"/>
          </w:tcPr>
          <w:p w14:paraId="51951D08">
            <w:pPr>
              <w:keepNext w:val="0"/>
              <w:keepLines w:val="0"/>
              <w:pageBreakBefore w:val="0"/>
              <w:widowControl/>
              <w:kinsoku/>
              <w:wordWrap/>
              <w:overflowPunct/>
              <w:topLinePunct w:val="0"/>
              <w:autoSpaceDE/>
              <w:autoSpaceDN/>
              <w:bidi w:val="0"/>
              <w:adjustRightInd w:val="0"/>
              <w:snapToGrid w:val="0"/>
              <w:ind w:left="0" w:right="0"/>
              <w:jc w:val="center"/>
              <w:rPr>
                <w:rFonts w:ascii="Times New Roman" w:hAnsi="Times New Roman" w:cs="Times New Roman"/>
                <w:b/>
                <w:bCs/>
                <w:color w:val="auto"/>
                <w:sz w:val="21"/>
                <w:szCs w:val="21"/>
                <w:highlight w:val="none"/>
              </w:rPr>
            </w:pPr>
            <w:r>
              <w:rPr>
                <w:rFonts w:ascii="Times New Roman" w:hAnsi="Times New Roman" w:cs="Times New Roman"/>
                <w:b/>
                <w:bCs/>
                <w:color w:val="auto"/>
                <w:sz w:val="21"/>
                <w:szCs w:val="21"/>
                <w:highlight w:val="none"/>
              </w:rPr>
              <w:t>污染物</w:t>
            </w:r>
          </w:p>
          <w:p w14:paraId="4A8C0FA4">
            <w:pPr>
              <w:keepNext w:val="0"/>
              <w:keepLines w:val="0"/>
              <w:pageBreakBefore w:val="0"/>
              <w:widowControl/>
              <w:kinsoku/>
              <w:wordWrap/>
              <w:overflowPunct/>
              <w:topLinePunct w:val="0"/>
              <w:autoSpaceDE/>
              <w:autoSpaceDN/>
              <w:bidi w:val="0"/>
              <w:adjustRightInd w:val="0"/>
              <w:snapToGrid w:val="0"/>
              <w:ind w:left="0" w:right="0"/>
              <w:jc w:val="center"/>
              <w:rPr>
                <w:rFonts w:ascii="Times New Roman" w:hAnsi="Times New Roman" w:cs="Times New Roman"/>
                <w:b/>
                <w:bCs/>
                <w:color w:val="auto"/>
                <w:sz w:val="21"/>
                <w:szCs w:val="21"/>
                <w:highlight w:val="none"/>
              </w:rPr>
            </w:pPr>
            <w:r>
              <w:rPr>
                <w:rFonts w:ascii="Times New Roman" w:hAnsi="Times New Roman" w:cs="Times New Roman"/>
                <w:b/>
                <w:bCs/>
                <w:color w:val="auto"/>
                <w:sz w:val="21"/>
                <w:szCs w:val="21"/>
                <w:highlight w:val="none"/>
              </w:rPr>
              <w:t>名称</w:t>
            </w:r>
          </w:p>
        </w:tc>
        <w:tc>
          <w:tcPr>
            <w:tcW w:w="1408" w:type="dxa"/>
            <w:shd w:val="clear" w:color="auto" w:fill="auto"/>
            <w:vAlign w:val="center"/>
          </w:tcPr>
          <w:p w14:paraId="7EF1D5A4">
            <w:pPr>
              <w:keepNext w:val="0"/>
              <w:keepLines w:val="0"/>
              <w:pageBreakBefore w:val="0"/>
              <w:widowControl/>
              <w:kinsoku/>
              <w:wordWrap/>
              <w:overflowPunct/>
              <w:topLinePunct w:val="0"/>
              <w:autoSpaceDE/>
              <w:autoSpaceDN/>
              <w:bidi w:val="0"/>
              <w:adjustRightInd w:val="0"/>
              <w:snapToGrid w:val="0"/>
              <w:ind w:left="0" w:right="0"/>
              <w:jc w:val="center"/>
              <w:rPr>
                <w:rFonts w:ascii="Times New Roman" w:hAnsi="Times New Roman" w:cs="Times New Roman"/>
                <w:b/>
                <w:bCs/>
                <w:color w:val="auto"/>
                <w:sz w:val="21"/>
                <w:szCs w:val="21"/>
                <w:highlight w:val="none"/>
              </w:rPr>
            </w:pPr>
            <w:r>
              <w:rPr>
                <w:rFonts w:ascii="Times New Roman" w:hAnsi="Times New Roman" w:cs="Times New Roman"/>
                <w:b/>
                <w:bCs/>
                <w:color w:val="auto"/>
                <w:sz w:val="21"/>
                <w:szCs w:val="21"/>
                <w:highlight w:val="none"/>
              </w:rPr>
              <w:t>原有项目排放量</w:t>
            </w:r>
          </w:p>
        </w:tc>
        <w:tc>
          <w:tcPr>
            <w:tcW w:w="1604" w:type="dxa"/>
            <w:shd w:val="clear" w:color="auto" w:fill="auto"/>
            <w:vAlign w:val="center"/>
          </w:tcPr>
          <w:p w14:paraId="67DC86A4">
            <w:pPr>
              <w:keepNext w:val="0"/>
              <w:keepLines w:val="0"/>
              <w:pageBreakBefore w:val="0"/>
              <w:widowControl/>
              <w:kinsoku/>
              <w:wordWrap/>
              <w:overflowPunct/>
              <w:topLinePunct w:val="0"/>
              <w:autoSpaceDE/>
              <w:autoSpaceDN/>
              <w:bidi w:val="0"/>
              <w:adjustRightInd w:val="0"/>
              <w:snapToGrid w:val="0"/>
              <w:ind w:left="0" w:right="0"/>
              <w:jc w:val="center"/>
              <w:rPr>
                <w:rFonts w:ascii="Times New Roman" w:hAnsi="Times New Roman" w:cs="Times New Roman"/>
                <w:b/>
                <w:bCs/>
                <w:color w:val="auto"/>
                <w:sz w:val="21"/>
                <w:szCs w:val="21"/>
                <w:highlight w:val="none"/>
              </w:rPr>
            </w:pPr>
            <w:r>
              <w:rPr>
                <w:rFonts w:ascii="Times New Roman" w:hAnsi="Times New Roman" w:cs="Times New Roman"/>
                <w:b/>
                <w:bCs/>
                <w:color w:val="auto"/>
                <w:sz w:val="21"/>
                <w:szCs w:val="21"/>
                <w:highlight w:val="none"/>
              </w:rPr>
              <w:t>“以新带老”量</w:t>
            </w:r>
          </w:p>
        </w:tc>
        <w:tc>
          <w:tcPr>
            <w:tcW w:w="1604" w:type="dxa"/>
            <w:shd w:val="clear" w:color="auto" w:fill="auto"/>
            <w:vAlign w:val="center"/>
          </w:tcPr>
          <w:p w14:paraId="2108D76F">
            <w:pPr>
              <w:keepNext w:val="0"/>
              <w:keepLines w:val="0"/>
              <w:pageBreakBefore w:val="0"/>
              <w:widowControl/>
              <w:kinsoku/>
              <w:wordWrap/>
              <w:overflowPunct/>
              <w:topLinePunct w:val="0"/>
              <w:autoSpaceDE/>
              <w:autoSpaceDN/>
              <w:bidi w:val="0"/>
              <w:adjustRightInd w:val="0"/>
              <w:snapToGrid w:val="0"/>
              <w:ind w:left="0" w:right="0"/>
              <w:jc w:val="center"/>
              <w:rPr>
                <w:rFonts w:ascii="Times New Roman" w:hAnsi="Times New Roman" w:cs="Times New Roman"/>
                <w:b/>
                <w:bCs/>
                <w:color w:val="auto"/>
                <w:sz w:val="21"/>
                <w:szCs w:val="21"/>
                <w:highlight w:val="none"/>
              </w:rPr>
            </w:pPr>
            <w:r>
              <w:rPr>
                <w:rFonts w:hint="eastAsia" w:ascii="Times New Roman" w:hAnsi="Times New Roman" w:cs="Times New Roman"/>
                <w:b/>
                <w:bCs/>
                <w:color w:val="auto"/>
                <w:sz w:val="21"/>
                <w:szCs w:val="21"/>
                <w:highlight w:val="none"/>
              </w:rPr>
              <w:t>排放量</w:t>
            </w:r>
          </w:p>
        </w:tc>
      </w:tr>
      <w:tr w14:paraId="20D552AA">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36" w:hRule="atLeast"/>
        </w:trPr>
        <w:tc>
          <w:tcPr>
            <w:tcW w:w="1112" w:type="dxa"/>
            <w:vMerge w:val="restart"/>
            <w:shd w:val="clear" w:color="auto" w:fill="auto"/>
            <w:vAlign w:val="center"/>
          </w:tcPr>
          <w:p w14:paraId="2710F10D">
            <w:pPr>
              <w:keepNext w:val="0"/>
              <w:keepLines w:val="0"/>
              <w:pageBreakBefore w:val="0"/>
              <w:widowControl/>
              <w:kinsoku/>
              <w:wordWrap/>
              <w:overflowPunct/>
              <w:topLinePunct w:val="0"/>
              <w:autoSpaceDE/>
              <w:autoSpaceDN/>
              <w:bidi w:val="0"/>
              <w:adjustRightInd w:val="0"/>
              <w:snapToGrid w:val="0"/>
              <w:ind w:left="0" w:right="0"/>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废气</w:t>
            </w:r>
          </w:p>
        </w:tc>
        <w:tc>
          <w:tcPr>
            <w:tcW w:w="1113" w:type="dxa"/>
            <w:vMerge w:val="restart"/>
            <w:shd w:val="clear" w:color="auto" w:fill="auto"/>
            <w:vAlign w:val="center"/>
          </w:tcPr>
          <w:p w14:paraId="1EC8142F">
            <w:pPr>
              <w:keepNext w:val="0"/>
              <w:keepLines w:val="0"/>
              <w:pageBreakBefore w:val="0"/>
              <w:widowControl/>
              <w:kinsoku/>
              <w:wordWrap/>
              <w:overflowPunct/>
              <w:topLinePunct w:val="0"/>
              <w:autoSpaceDE/>
              <w:autoSpaceDN/>
              <w:bidi w:val="0"/>
              <w:adjustRightInd w:val="0"/>
              <w:snapToGrid w:val="0"/>
              <w:ind w:left="0" w:right="0"/>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有组织</w:t>
            </w:r>
          </w:p>
        </w:tc>
        <w:tc>
          <w:tcPr>
            <w:tcW w:w="1877" w:type="dxa"/>
            <w:shd w:val="clear" w:color="auto" w:fill="auto"/>
            <w:vAlign w:val="center"/>
          </w:tcPr>
          <w:p w14:paraId="6A39FEA0">
            <w:pPr>
              <w:keepNext w:val="0"/>
              <w:keepLines w:val="0"/>
              <w:pageBreakBefore w:val="0"/>
              <w:widowControl/>
              <w:kinsoku/>
              <w:wordWrap/>
              <w:overflowPunct/>
              <w:topLinePunct w:val="0"/>
              <w:autoSpaceDE/>
              <w:autoSpaceDN/>
              <w:bidi w:val="0"/>
              <w:ind w:left="0" w:right="0"/>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2-乙二醇单乙醚醋酸酯</w:t>
            </w:r>
          </w:p>
        </w:tc>
        <w:tc>
          <w:tcPr>
            <w:tcW w:w="1408" w:type="dxa"/>
            <w:shd w:val="clear" w:color="auto" w:fill="auto"/>
            <w:vAlign w:val="center"/>
          </w:tcPr>
          <w:p w14:paraId="4CFF3A5D">
            <w:pPr>
              <w:keepNext w:val="0"/>
              <w:keepLines w:val="0"/>
              <w:pageBreakBefore w:val="0"/>
              <w:widowControl/>
              <w:kinsoku/>
              <w:wordWrap/>
              <w:overflowPunct/>
              <w:topLinePunct w:val="0"/>
              <w:autoSpaceDE/>
              <w:autoSpaceDN/>
              <w:bidi w:val="0"/>
              <w:ind w:left="0" w:right="0"/>
              <w:jc w:val="center"/>
              <w:textAlignment w:val="center"/>
              <w:rPr>
                <w:rFonts w:ascii="Times New Roman" w:hAnsi="Times New Roman" w:eastAsia="等线" w:cs="Times New Roman"/>
                <w:color w:val="auto"/>
                <w:sz w:val="21"/>
                <w:szCs w:val="21"/>
                <w:highlight w:val="none"/>
              </w:rPr>
            </w:pPr>
            <w:r>
              <w:rPr>
                <w:rFonts w:ascii="Times New Roman" w:hAnsi="Times New Roman" w:cs="Times New Roman"/>
                <w:color w:val="auto"/>
                <w:sz w:val="21"/>
                <w:szCs w:val="21"/>
                <w:highlight w:val="none"/>
                <w:lang w:bidi="ar"/>
              </w:rPr>
              <w:t>0.2175</w:t>
            </w:r>
          </w:p>
        </w:tc>
        <w:tc>
          <w:tcPr>
            <w:tcW w:w="1604" w:type="dxa"/>
            <w:shd w:val="clear" w:color="auto" w:fill="auto"/>
            <w:vAlign w:val="center"/>
          </w:tcPr>
          <w:p w14:paraId="4C067C85">
            <w:pPr>
              <w:keepNext w:val="0"/>
              <w:keepLines w:val="0"/>
              <w:pageBreakBefore w:val="0"/>
              <w:widowControl/>
              <w:kinsoku/>
              <w:wordWrap/>
              <w:overflowPunct/>
              <w:topLinePunct w:val="0"/>
              <w:autoSpaceDE/>
              <w:autoSpaceDN/>
              <w:bidi w:val="0"/>
              <w:ind w:left="0" w:right="0"/>
              <w:jc w:val="center"/>
              <w:textAlignment w:val="center"/>
              <w:rPr>
                <w:rFonts w:ascii="Times New Roman" w:hAnsi="Times New Roman" w:eastAsia="等线" w:cs="Times New Roman"/>
                <w:color w:val="auto"/>
                <w:sz w:val="21"/>
                <w:szCs w:val="21"/>
                <w:highlight w:val="none"/>
              </w:rPr>
            </w:pPr>
            <w:r>
              <w:rPr>
                <w:rFonts w:ascii="Times New Roman" w:hAnsi="Times New Roman" w:cs="Times New Roman"/>
                <w:color w:val="auto"/>
                <w:sz w:val="21"/>
                <w:szCs w:val="21"/>
                <w:highlight w:val="none"/>
                <w:lang w:bidi="ar"/>
              </w:rPr>
              <w:t>0.02175</w:t>
            </w:r>
          </w:p>
        </w:tc>
        <w:tc>
          <w:tcPr>
            <w:tcW w:w="1604" w:type="dxa"/>
            <w:shd w:val="clear" w:color="auto" w:fill="auto"/>
            <w:vAlign w:val="center"/>
          </w:tcPr>
          <w:p w14:paraId="35B8B31C">
            <w:pPr>
              <w:keepNext w:val="0"/>
              <w:keepLines w:val="0"/>
              <w:pageBreakBefore w:val="0"/>
              <w:widowControl/>
              <w:kinsoku/>
              <w:wordWrap/>
              <w:overflowPunct/>
              <w:topLinePunct w:val="0"/>
              <w:autoSpaceDE/>
              <w:autoSpaceDN/>
              <w:bidi w:val="0"/>
              <w:ind w:left="0" w:right="0"/>
              <w:jc w:val="center"/>
              <w:textAlignment w:val="center"/>
              <w:rPr>
                <w:rFonts w:ascii="Times New Roman" w:hAnsi="Times New Roman" w:eastAsia="等线" w:cs="Times New Roman"/>
                <w:color w:val="auto"/>
                <w:sz w:val="21"/>
                <w:szCs w:val="21"/>
                <w:highlight w:val="none"/>
              </w:rPr>
            </w:pPr>
            <w:r>
              <w:rPr>
                <w:rFonts w:ascii="Times New Roman" w:hAnsi="Times New Roman" w:cs="Times New Roman"/>
                <w:color w:val="auto"/>
                <w:sz w:val="21"/>
                <w:szCs w:val="21"/>
                <w:highlight w:val="none"/>
                <w:lang w:bidi="ar"/>
              </w:rPr>
              <w:t>0.19575</w:t>
            </w:r>
          </w:p>
        </w:tc>
      </w:tr>
      <w:tr w14:paraId="55F04D0C">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36" w:hRule="atLeast"/>
        </w:trPr>
        <w:tc>
          <w:tcPr>
            <w:tcW w:w="1112" w:type="dxa"/>
            <w:vMerge w:val="continue"/>
            <w:vAlign w:val="center"/>
          </w:tcPr>
          <w:p w14:paraId="6BDB358B">
            <w:pPr>
              <w:keepNext w:val="0"/>
              <w:keepLines w:val="0"/>
              <w:pageBreakBefore w:val="0"/>
              <w:widowControl/>
              <w:kinsoku/>
              <w:wordWrap/>
              <w:overflowPunct/>
              <w:topLinePunct w:val="0"/>
              <w:autoSpaceDE/>
              <w:autoSpaceDN/>
              <w:bidi w:val="0"/>
              <w:adjustRightInd w:val="0"/>
              <w:snapToGrid w:val="0"/>
              <w:ind w:left="0" w:right="0"/>
              <w:jc w:val="center"/>
              <w:rPr>
                <w:rFonts w:ascii="Times New Roman" w:hAnsi="Times New Roman" w:cs="Times New Roman"/>
                <w:color w:val="auto"/>
                <w:sz w:val="21"/>
                <w:szCs w:val="21"/>
                <w:highlight w:val="none"/>
              </w:rPr>
            </w:pPr>
          </w:p>
        </w:tc>
        <w:tc>
          <w:tcPr>
            <w:tcW w:w="1113" w:type="dxa"/>
            <w:vMerge w:val="continue"/>
            <w:vAlign w:val="center"/>
          </w:tcPr>
          <w:p w14:paraId="53ED0BAC">
            <w:pPr>
              <w:keepNext w:val="0"/>
              <w:keepLines w:val="0"/>
              <w:pageBreakBefore w:val="0"/>
              <w:widowControl/>
              <w:kinsoku/>
              <w:wordWrap/>
              <w:overflowPunct/>
              <w:topLinePunct w:val="0"/>
              <w:autoSpaceDE/>
              <w:autoSpaceDN/>
              <w:bidi w:val="0"/>
              <w:adjustRightInd w:val="0"/>
              <w:snapToGrid w:val="0"/>
              <w:ind w:left="0" w:right="0"/>
              <w:jc w:val="center"/>
              <w:rPr>
                <w:rFonts w:ascii="Times New Roman" w:hAnsi="Times New Roman" w:cs="Times New Roman"/>
                <w:color w:val="auto"/>
                <w:sz w:val="21"/>
                <w:szCs w:val="21"/>
                <w:highlight w:val="none"/>
              </w:rPr>
            </w:pPr>
          </w:p>
        </w:tc>
        <w:tc>
          <w:tcPr>
            <w:tcW w:w="1877" w:type="dxa"/>
            <w:shd w:val="clear" w:color="auto" w:fill="auto"/>
            <w:vAlign w:val="center"/>
          </w:tcPr>
          <w:p w14:paraId="0D9C32FB">
            <w:pPr>
              <w:keepNext w:val="0"/>
              <w:keepLines w:val="0"/>
              <w:pageBreakBefore w:val="0"/>
              <w:widowControl/>
              <w:kinsoku/>
              <w:wordWrap/>
              <w:overflowPunct/>
              <w:topLinePunct w:val="0"/>
              <w:autoSpaceDE/>
              <w:autoSpaceDN/>
              <w:bidi w:val="0"/>
              <w:ind w:left="0" w:right="0"/>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丁酮</w:t>
            </w:r>
          </w:p>
        </w:tc>
        <w:tc>
          <w:tcPr>
            <w:tcW w:w="1408" w:type="dxa"/>
            <w:shd w:val="clear" w:color="auto" w:fill="auto"/>
            <w:vAlign w:val="center"/>
          </w:tcPr>
          <w:p w14:paraId="219A77E6">
            <w:pPr>
              <w:keepNext w:val="0"/>
              <w:keepLines w:val="0"/>
              <w:pageBreakBefore w:val="0"/>
              <w:widowControl/>
              <w:kinsoku/>
              <w:wordWrap/>
              <w:overflowPunct/>
              <w:topLinePunct w:val="0"/>
              <w:autoSpaceDE/>
              <w:autoSpaceDN/>
              <w:bidi w:val="0"/>
              <w:ind w:left="0" w:right="0"/>
              <w:jc w:val="center"/>
              <w:textAlignment w:val="center"/>
              <w:rPr>
                <w:rFonts w:ascii="Times New Roman" w:hAnsi="Times New Roman" w:eastAsia="等线" w:cs="Times New Roman"/>
                <w:color w:val="auto"/>
                <w:sz w:val="21"/>
                <w:szCs w:val="21"/>
                <w:highlight w:val="none"/>
              </w:rPr>
            </w:pPr>
            <w:r>
              <w:rPr>
                <w:rFonts w:ascii="Times New Roman" w:hAnsi="Times New Roman" w:cs="Times New Roman"/>
                <w:color w:val="auto"/>
                <w:sz w:val="21"/>
                <w:szCs w:val="21"/>
                <w:highlight w:val="none"/>
                <w:lang w:bidi="ar"/>
              </w:rPr>
              <w:t>0.905</w:t>
            </w:r>
          </w:p>
        </w:tc>
        <w:tc>
          <w:tcPr>
            <w:tcW w:w="1604" w:type="dxa"/>
            <w:shd w:val="clear" w:color="auto" w:fill="auto"/>
            <w:vAlign w:val="center"/>
          </w:tcPr>
          <w:p w14:paraId="6A9C61A5">
            <w:pPr>
              <w:keepNext w:val="0"/>
              <w:keepLines w:val="0"/>
              <w:pageBreakBefore w:val="0"/>
              <w:widowControl/>
              <w:kinsoku/>
              <w:wordWrap/>
              <w:overflowPunct/>
              <w:topLinePunct w:val="0"/>
              <w:autoSpaceDE/>
              <w:autoSpaceDN/>
              <w:bidi w:val="0"/>
              <w:ind w:left="0" w:right="0"/>
              <w:jc w:val="center"/>
              <w:textAlignment w:val="center"/>
              <w:rPr>
                <w:rFonts w:ascii="Times New Roman" w:hAnsi="Times New Roman" w:eastAsia="等线" w:cs="Times New Roman"/>
                <w:color w:val="auto"/>
                <w:sz w:val="21"/>
                <w:szCs w:val="21"/>
                <w:highlight w:val="none"/>
              </w:rPr>
            </w:pPr>
            <w:r>
              <w:rPr>
                <w:rFonts w:ascii="Times New Roman" w:hAnsi="Times New Roman" w:cs="Times New Roman"/>
                <w:color w:val="auto"/>
                <w:sz w:val="21"/>
                <w:szCs w:val="21"/>
                <w:highlight w:val="none"/>
                <w:lang w:bidi="ar"/>
              </w:rPr>
              <w:t>0.0905</w:t>
            </w:r>
          </w:p>
        </w:tc>
        <w:tc>
          <w:tcPr>
            <w:tcW w:w="1604" w:type="dxa"/>
            <w:shd w:val="clear" w:color="auto" w:fill="auto"/>
            <w:vAlign w:val="center"/>
          </w:tcPr>
          <w:p w14:paraId="54459A63">
            <w:pPr>
              <w:keepNext w:val="0"/>
              <w:keepLines w:val="0"/>
              <w:pageBreakBefore w:val="0"/>
              <w:widowControl/>
              <w:kinsoku/>
              <w:wordWrap/>
              <w:overflowPunct/>
              <w:topLinePunct w:val="0"/>
              <w:autoSpaceDE/>
              <w:autoSpaceDN/>
              <w:bidi w:val="0"/>
              <w:ind w:left="0" w:right="0"/>
              <w:jc w:val="center"/>
              <w:textAlignment w:val="center"/>
              <w:rPr>
                <w:rFonts w:ascii="Times New Roman" w:hAnsi="Times New Roman" w:eastAsia="等线" w:cs="Times New Roman"/>
                <w:color w:val="auto"/>
                <w:sz w:val="21"/>
                <w:szCs w:val="21"/>
                <w:highlight w:val="none"/>
              </w:rPr>
            </w:pPr>
            <w:r>
              <w:rPr>
                <w:rFonts w:ascii="Times New Roman" w:hAnsi="Times New Roman" w:cs="Times New Roman"/>
                <w:color w:val="auto"/>
                <w:sz w:val="21"/>
                <w:szCs w:val="21"/>
                <w:highlight w:val="none"/>
                <w:lang w:bidi="ar"/>
              </w:rPr>
              <w:t>0.8145</w:t>
            </w:r>
          </w:p>
        </w:tc>
      </w:tr>
      <w:tr w14:paraId="69B7C0E9">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36" w:hRule="atLeast"/>
        </w:trPr>
        <w:tc>
          <w:tcPr>
            <w:tcW w:w="1112" w:type="dxa"/>
            <w:vMerge w:val="continue"/>
            <w:vAlign w:val="center"/>
          </w:tcPr>
          <w:p w14:paraId="36D47CEA">
            <w:pPr>
              <w:keepNext w:val="0"/>
              <w:keepLines w:val="0"/>
              <w:pageBreakBefore w:val="0"/>
              <w:widowControl/>
              <w:kinsoku/>
              <w:wordWrap/>
              <w:overflowPunct/>
              <w:topLinePunct w:val="0"/>
              <w:autoSpaceDE/>
              <w:autoSpaceDN/>
              <w:bidi w:val="0"/>
              <w:adjustRightInd w:val="0"/>
              <w:snapToGrid w:val="0"/>
              <w:ind w:left="0" w:right="0"/>
              <w:jc w:val="center"/>
              <w:rPr>
                <w:rFonts w:ascii="Times New Roman" w:hAnsi="Times New Roman" w:cs="Times New Roman"/>
                <w:color w:val="auto"/>
                <w:sz w:val="21"/>
                <w:szCs w:val="21"/>
                <w:highlight w:val="none"/>
              </w:rPr>
            </w:pPr>
          </w:p>
        </w:tc>
        <w:tc>
          <w:tcPr>
            <w:tcW w:w="1113" w:type="dxa"/>
            <w:vMerge w:val="continue"/>
            <w:vAlign w:val="center"/>
          </w:tcPr>
          <w:p w14:paraId="6717712D">
            <w:pPr>
              <w:keepNext w:val="0"/>
              <w:keepLines w:val="0"/>
              <w:pageBreakBefore w:val="0"/>
              <w:widowControl/>
              <w:kinsoku/>
              <w:wordWrap/>
              <w:overflowPunct/>
              <w:topLinePunct w:val="0"/>
              <w:autoSpaceDE/>
              <w:autoSpaceDN/>
              <w:bidi w:val="0"/>
              <w:adjustRightInd w:val="0"/>
              <w:snapToGrid w:val="0"/>
              <w:ind w:left="0" w:right="0"/>
              <w:jc w:val="center"/>
              <w:rPr>
                <w:rFonts w:ascii="Times New Roman" w:hAnsi="Times New Roman" w:cs="Times New Roman"/>
                <w:color w:val="auto"/>
                <w:sz w:val="21"/>
                <w:szCs w:val="21"/>
                <w:highlight w:val="none"/>
              </w:rPr>
            </w:pPr>
          </w:p>
        </w:tc>
        <w:tc>
          <w:tcPr>
            <w:tcW w:w="1877" w:type="dxa"/>
            <w:shd w:val="clear" w:color="auto" w:fill="auto"/>
            <w:vAlign w:val="center"/>
          </w:tcPr>
          <w:p w14:paraId="44CCE617">
            <w:pPr>
              <w:keepNext w:val="0"/>
              <w:keepLines w:val="0"/>
              <w:pageBreakBefore w:val="0"/>
              <w:widowControl/>
              <w:kinsoku/>
              <w:wordWrap/>
              <w:overflowPunct/>
              <w:topLinePunct w:val="0"/>
              <w:autoSpaceDE/>
              <w:autoSpaceDN/>
              <w:bidi w:val="0"/>
              <w:ind w:left="0" w:right="0"/>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异氰酸酯</w:t>
            </w:r>
          </w:p>
        </w:tc>
        <w:tc>
          <w:tcPr>
            <w:tcW w:w="1408" w:type="dxa"/>
            <w:shd w:val="clear" w:color="auto" w:fill="auto"/>
            <w:vAlign w:val="center"/>
          </w:tcPr>
          <w:p w14:paraId="6B8FBA54">
            <w:pPr>
              <w:keepNext w:val="0"/>
              <w:keepLines w:val="0"/>
              <w:pageBreakBefore w:val="0"/>
              <w:widowControl/>
              <w:kinsoku/>
              <w:wordWrap/>
              <w:overflowPunct/>
              <w:topLinePunct w:val="0"/>
              <w:autoSpaceDE/>
              <w:autoSpaceDN/>
              <w:bidi w:val="0"/>
              <w:ind w:left="0" w:right="0"/>
              <w:jc w:val="center"/>
              <w:textAlignment w:val="center"/>
              <w:rPr>
                <w:rFonts w:ascii="Times New Roman" w:hAnsi="Times New Roman" w:eastAsia="等线" w:cs="Times New Roman"/>
                <w:color w:val="auto"/>
                <w:sz w:val="21"/>
                <w:szCs w:val="21"/>
                <w:highlight w:val="none"/>
              </w:rPr>
            </w:pPr>
            <w:r>
              <w:rPr>
                <w:rFonts w:ascii="Times New Roman" w:hAnsi="Times New Roman" w:cs="Times New Roman"/>
                <w:color w:val="auto"/>
                <w:sz w:val="21"/>
                <w:szCs w:val="21"/>
                <w:highlight w:val="none"/>
                <w:lang w:bidi="ar"/>
              </w:rPr>
              <w:t>0.008</w:t>
            </w:r>
          </w:p>
        </w:tc>
        <w:tc>
          <w:tcPr>
            <w:tcW w:w="1604" w:type="dxa"/>
            <w:shd w:val="clear" w:color="auto" w:fill="auto"/>
            <w:vAlign w:val="center"/>
          </w:tcPr>
          <w:p w14:paraId="531F120C">
            <w:pPr>
              <w:keepNext w:val="0"/>
              <w:keepLines w:val="0"/>
              <w:pageBreakBefore w:val="0"/>
              <w:widowControl/>
              <w:kinsoku/>
              <w:wordWrap/>
              <w:overflowPunct/>
              <w:topLinePunct w:val="0"/>
              <w:autoSpaceDE/>
              <w:autoSpaceDN/>
              <w:bidi w:val="0"/>
              <w:ind w:left="0" w:right="0"/>
              <w:jc w:val="center"/>
              <w:textAlignment w:val="center"/>
              <w:rPr>
                <w:rFonts w:ascii="Times New Roman" w:hAnsi="Times New Roman" w:eastAsia="等线" w:cs="Times New Roman"/>
                <w:color w:val="auto"/>
                <w:sz w:val="21"/>
                <w:szCs w:val="21"/>
                <w:highlight w:val="none"/>
              </w:rPr>
            </w:pPr>
            <w:r>
              <w:rPr>
                <w:rFonts w:ascii="Times New Roman" w:hAnsi="Times New Roman" w:cs="Times New Roman"/>
                <w:color w:val="auto"/>
                <w:sz w:val="21"/>
                <w:szCs w:val="21"/>
                <w:highlight w:val="none"/>
                <w:lang w:bidi="ar"/>
              </w:rPr>
              <w:t>0.00064</w:t>
            </w:r>
          </w:p>
        </w:tc>
        <w:tc>
          <w:tcPr>
            <w:tcW w:w="1604" w:type="dxa"/>
            <w:shd w:val="clear" w:color="auto" w:fill="auto"/>
            <w:vAlign w:val="center"/>
          </w:tcPr>
          <w:p w14:paraId="74C24599">
            <w:pPr>
              <w:keepNext w:val="0"/>
              <w:keepLines w:val="0"/>
              <w:pageBreakBefore w:val="0"/>
              <w:widowControl/>
              <w:kinsoku/>
              <w:wordWrap/>
              <w:overflowPunct/>
              <w:topLinePunct w:val="0"/>
              <w:autoSpaceDE/>
              <w:autoSpaceDN/>
              <w:bidi w:val="0"/>
              <w:ind w:left="0" w:right="0"/>
              <w:jc w:val="center"/>
              <w:textAlignment w:val="center"/>
              <w:rPr>
                <w:rFonts w:ascii="Times New Roman" w:hAnsi="Times New Roman" w:eastAsia="等线" w:cs="Times New Roman"/>
                <w:color w:val="auto"/>
                <w:sz w:val="21"/>
                <w:szCs w:val="21"/>
                <w:highlight w:val="none"/>
              </w:rPr>
            </w:pPr>
            <w:r>
              <w:rPr>
                <w:rFonts w:ascii="Times New Roman" w:hAnsi="Times New Roman" w:cs="Times New Roman"/>
                <w:color w:val="auto"/>
                <w:sz w:val="21"/>
                <w:szCs w:val="21"/>
                <w:highlight w:val="none"/>
                <w:lang w:bidi="ar"/>
              </w:rPr>
              <w:t>0.00736</w:t>
            </w:r>
          </w:p>
        </w:tc>
      </w:tr>
      <w:tr w14:paraId="73BB5F5B">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36" w:hRule="atLeast"/>
        </w:trPr>
        <w:tc>
          <w:tcPr>
            <w:tcW w:w="1112" w:type="dxa"/>
            <w:vMerge w:val="continue"/>
            <w:vAlign w:val="center"/>
          </w:tcPr>
          <w:p w14:paraId="44D01EC3">
            <w:pPr>
              <w:keepNext w:val="0"/>
              <w:keepLines w:val="0"/>
              <w:pageBreakBefore w:val="0"/>
              <w:widowControl/>
              <w:kinsoku/>
              <w:wordWrap/>
              <w:overflowPunct/>
              <w:topLinePunct w:val="0"/>
              <w:autoSpaceDE/>
              <w:autoSpaceDN/>
              <w:bidi w:val="0"/>
              <w:adjustRightInd w:val="0"/>
              <w:snapToGrid w:val="0"/>
              <w:ind w:left="0" w:right="0"/>
              <w:jc w:val="center"/>
              <w:rPr>
                <w:rFonts w:ascii="Times New Roman" w:hAnsi="Times New Roman" w:cs="Times New Roman"/>
                <w:color w:val="auto"/>
                <w:sz w:val="21"/>
                <w:szCs w:val="21"/>
                <w:highlight w:val="none"/>
              </w:rPr>
            </w:pPr>
          </w:p>
        </w:tc>
        <w:tc>
          <w:tcPr>
            <w:tcW w:w="1113" w:type="dxa"/>
            <w:vMerge w:val="continue"/>
            <w:vAlign w:val="center"/>
          </w:tcPr>
          <w:p w14:paraId="7E4C1963">
            <w:pPr>
              <w:keepNext w:val="0"/>
              <w:keepLines w:val="0"/>
              <w:pageBreakBefore w:val="0"/>
              <w:widowControl/>
              <w:kinsoku/>
              <w:wordWrap/>
              <w:overflowPunct/>
              <w:topLinePunct w:val="0"/>
              <w:autoSpaceDE/>
              <w:autoSpaceDN/>
              <w:bidi w:val="0"/>
              <w:adjustRightInd w:val="0"/>
              <w:snapToGrid w:val="0"/>
              <w:ind w:left="0" w:right="0"/>
              <w:jc w:val="center"/>
              <w:rPr>
                <w:rFonts w:ascii="Times New Roman" w:hAnsi="Times New Roman" w:cs="Times New Roman"/>
                <w:color w:val="auto"/>
                <w:sz w:val="21"/>
                <w:szCs w:val="21"/>
                <w:highlight w:val="none"/>
              </w:rPr>
            </w:pPr>
          </w:p>
        </w:tc>
        <w:tc>
          <w:tcPr>
            <w:tcW w:w="1877" w:type="dxa"/>
            <w:shd w:val="clear" w:color="auto" w:fill="auto"/>
            <w:vAlign w:val="center"/>
          </w:tcPr>
          <w:p w14:paraId="5936325A">
            <w:pPr>
              <w:keepNext w:val="0"/>
              <w:keepLines w:val="0"/>
              <w:pageBreakBefore w:val="0"/>
              <w:widowControl/>
              <w:kinsoku/>
              <w:wordWrap/>
              <w:overflowPunct/>
              <w:topLinePunct w:val="0"/>
              <w:autoSpaceDE/>
              <w:autoSpaceDN/>
              <w:bidi w:val="0"/>
              <w:ind w:left="0" w:right="0"/>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丙烯酸</w:t>
            </w:r>
          </w:p>
        </w:tc>
        <w:tc>
          <w:tcPr>
            <w:tcW w:w="1408" w:type="dxa"/>
            <w:shd w:val="clear" w:color="auto" w:fill="auto"/>
            <w:vAlign w:val="center"/>
          </w:tcPr>
          <w:p w14:paraId="3A1D07DA">
            <w:pPr>
              <w:keepNext w:val="0"/>
              <w:keepLines w:val="0"/>
              <w:pageBreakBefore w:val="0"/>
              <w:widowControl/>
              <w:kinsoku/>
              <w:wordWrap/>
              <w:overflowPunct/>
              <w:topLinePunct w:val="0"/>
              <w:autoSpaceDE/>
              <w:autoSpaceDN/>
              <w:bidi w:val="0"/>
              <w:ind w:left="0" w:right="0"/>
              <w:jc w:val="center"/>
              <w:textAlignment w:val="center"/>
              <w:rPr>
                <w:rFonts w:ascii="Times New Roman" w:hAnsi="Times New Roman" w:eastAsia="等线" w:cs="Times New Roman"/>
                <w:color w:val="auto"/>
                <w:sz w:val="21"/>
                <w:szCs w:val="21"/>
                <w:highlight w:val="none"/>
              </w:rPr>
            </w:pPr>
            <w:r>
              <w:rPr>
                <w:rFonts w:ascii="Times New Roman" w:hAnsi="Times New Roman" w:cs="Times New Roman"/>
                <w:color w:val="auto"/>
                <w:sz w:val="21"/>
                <w:szCs w:val="21"/>
                <w:highlight w:val="none"/>
                <w:lang w:bidi="ar"/>
              </w:rPr>
              <w:t>0.1819</w:t>
            </w:r>
          </w:p>
        </w:tc>
        <w:tc>
          <w:tcPr>
            <w:tcW w:w="1604" w:type="dxa"/>
            <w:shd w:val="clear" w:color="auto" w:fill="auto"/>
            <w:vAlign w:val="center"/>
          </w:tcPr>
          <w:p w14:paraId="638E8C21">
            <w:pPr>
              <w:keepNext w:val="0"/>
              <w:keepLines w:val="0"/>
              <w:pageBreakBefore w:val="0"/>
              <w:widowControl/>
              <w:kinsoku/>
              <w:wordWrap/>
              <w:overflowPunct/>
              <w:topLinePunct w:val="0"/>
              <w:autoSpaceDE/>
              <w:autoSpaceDN/>
              <w:bidi w:val="0"/>
              <w:ind w:left="0" w:right="0"/>
              <w:jc w:val="center"/>
              <w:textAlignment w:val="center"/>
              <w:rPr>
                <w:rFonts w:ascii="Times New Roman" w:hAnsi="Times New Roman" w:eastAsia="等线" w:cs="Times New Roman"/>
                <w:color w:val="auto"/>
                <w:sz w:val="21"/>
                <w:szCs w:val="21"/>
                <w:highlight w:val="none"/>
              </w:rPr>
            </w:pPr>
            <w:r>
              <w:rPr>
                <w:rFonts w:ascii="Times New Roman" w:hAnsi="Times New Roman" w:cs="Times New Roman"/>
                <w:color w:val="auto"/>
                <w:sz w:val="21"/>
                <w:szCs w:val="21"/>
                <w:highlight w:val="none"/>
                <w:lang w:bidi="ar"/>
              </w:rPr>
              <w:t>0.01819</w:t>
            </w:r>
          </w:p>
        </w:tc>
        <w:tc>
          <w:tcPr>
            <w:tcW w:w="1604" w:type="dxa"/>
            <w:shd w:val="clear" w:color="auto" w:fill="auto"/>
            <w:vAlign w:val="center"/>
          </w:tcPr>
          <w:p w14:paraId="78339B04">
            <w:pPr>
              <w:keepNext w:val="0"/>
              <w:keepLines w:val="0"/>
              <w:pageBreakBefore w:val="0"/>
              <w:widowControl/>
              <w:kinsoku/>
              <w:wordWrap/>
              <w:overflowPunct/>
              <w:topLinePunct w:val="0"/>
              <w:autoSpaceDE/>
              <w:autoSpaceDN/>
              <w:bidi w:val="0"/>
              <w:ind w:left="0" w:right="0"/>
              <w:jc w:val="center"/>
              <w:textAlignment w:val="center"/>
              <w:rPr>
                <w:rFonts w:ascii="Times New Roman" w:hAnsi="Times New Roman" w:eastAsia="等线" w:cs="Times New Roman"/>
                <w:color w:val="auto"/>
                <w:sz w:val="21"/>
                <w:szCs w:val="21"/>
                <w:highlight w:val="none"/>
              </w:rPr>
            </w:pPr>
            <w:r>
              <w:rPr>
                <w:rFonts w:ascii="Times New Roman" w:hAnsi="Times New Roman" w:cs="Times New Roman"/>
                <w:color w:val="auto"/>
                <w:sz w:val="21"/>
                <w:szCs w:val="21"/>
                <w:highlight w:val="none"/>
                <w:lang w:bidi="ar"/>
              </w:rPr>
              <w:t>0.16371</w:t>
            </w:r>
          </w:p>
        </w:tc>
      </w:tr>
      <w:tr w14:paraId="1B4C9C42">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36" w:hRule="atLeast"/>
        </w:trPr>
        <w:tc>
          <w:tcPr>
            <w:tcW w:w="1112" w:type="dxa"/>
            <w:vMerge w:val="continue"/>
            <w:vAlign w:val="center"/>
          </w:tcPr>
          <w:p w14:paraId="2F2F98E8">
            <w:pPr>
              <w:keepNext w:val="0"/>
              <w:keepLines w:val="0"/>
              <w:pageBreakBefore w:val="0"/>
              <w:widowControl/>
              <w:kinsoku/>
              <w:wordWrap/>
              <w:overflowPunct/>
              <w:topLinePunct w:val="0"/>
              <w:autoSpaceDE/>
              <w:autoSpaceDN/>
              <w:bidi w:val="0"/>
              <w:adjustRightInd w:val="0"/>
              <w:snapToGrid w:val="0"/>
              <w:ind w:left="0" w:right="0"/>
              <w:jc w:val="center"/>
              <w:rPr>
                <w:rFonts w:ascii="Times New Roman" w:hAnsi="Times New Roman" w:cs="Times New Roman"/>
                <w:color w:val="auto"/>
                <w:sz w:val="21"/>
                <w:szCs w:val="21"/>
                <w:highlight w:val="none"/>
              </w:rPr>
            </w:pPr>
          </w:p>
        </w:tc>
        <w:tc>
          <w:tcPr>
            <w:tcW w:w="1113" w:type="dxa"/>
            <w:vMerge w:val="continue"/>
            <w:vAlign w:val="center"/>
          </w:tcPr>
          <w:p w14:paraId="29238042">
            <w:pPr>
              <w:keepNext w:val="0"/>
              <w:keepLines w:val="0"/>
              <w:pageBreakBefore w:val="0"/>
              <w:widowControl/>
              <w:kinsoku/>
              <w:wordWrap/>
              <w:overflowPunct/>
              <w:topLinePunct w:val="0"/>
              <w:autoSpaceDE/>
              <w:autoSpaceDN/>
              <w:bidi w:val="0"/>
              <w:adjustRightInd w:val="0"/>
              <w:snapToGrid w:val="0"/>
              <w:ind w:left="0" w:right="0"/>
              <w:jc w:val="center"/>
              <w:rPr>
                <w:rFonts w:ascii="Times New Roman" w:hAnsi="Times New Roman" w:cs="Times New Roman"/>
                <w:color w:val="auto"/>
                <w:sz w:val="21"/>
                <w:szCs w:val="21"/>
                <w:highlight w:val="none"/>
              </w:rPr>
            </w:pPr>
          </w:p>
        </w:tc>
        <w:tc>
          <w:tcPr>
            <w:tcW w:w="1877" w:type="dxa"/>
            <w:shd w:val="clear" w:color="auto" w:fill="auto"/>
            <w:vAlign w:val="center"/>
          </w:tcPr>
          <w:p w14:paraId="3BA1BBF5">
            <w:pPr>
              <w:keepNext w:val="0"/>
              <w:keepLines w:val="0"/>
              <w:pageBreakBefore w:val="0"/>
              <w:widowControl/>
              <w:kinsoku/>
              <w:wordWrap/>
              <w:overflowPunct/>
              <w:topLinePunct w:val="0"/>
              <w:autoSpaceDE/>
              <w:autoSpaceDN/>
              <w:bidi w:val="0"/>
              <w:ind w:left="0" w:right="0"/>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非甲烷总烃</w:t>
            </w:r>
          </w:p>
        </w:tc>
        <w:tc>
          <w:tcPr>
            <w:tcW w:w="1408" w:type="dxa"/>
            <w:shd w:val="clear" w:color="auto" w:fill="auto"/>
            <w:vAlign w:val="center"/>
          </w:tcPr>
          <w:p w14:paraId="183C656D">
            <w:pPr>
              <w:keepNext w:val="0"/>
              <w:keepLines w:val="0"/>
              <w:pageBreakBefore w:val="0"/>
              <w:widowControl/>
              <w:kinsoku/>
              <w:wordWrap/>
              <w:overflowPunct/>
              <w:topLinePunct w:val="0"/>
              <w:autoSpaceDE/>
              <w:autoSpaceDN/>
              <w:bidi w:val="0"/>
              <w:ind w:left="0" w:right="0"/>
              <w:jc w:val="center"/>
              <w:textAlignment w:val="center"/>
              <w:rPr>
                <w:rFonts w:ascii="Times New Roman" w:hAnsi="Times New Roman" w:eastAsia="等线" w:cs="Times New Roman"/>
                <w:color w:val="auto"/>
                <w:sz w:val="21"/>
                <w:szCs w:val="21"/>
                <w:highlight w:val="none"/>
              </w:rPr>
            </w:pPr>
            <w:r>
              <w:rPr>
                <w:rFonts w:ascii="Times New Roman" w:hAnsi="Times New Roman" w:cs="Times New Roman"/>
                <w:color w:val="auto"/>
                <w:sz w:val="21"/>
                <w:szCs w:val="21"/>
                <w:highlight w:val="none"/>
                <w:lang w:bidi="ar"/>
              </w:rPr>
              <w:t>0.68</w:t>
            </w:r>
          </w:p>
        </w:tc>
        <w:tc>
          <w:tcPr>
            <w:tcW w:w="1604" w:type="dxa"/>
            <w:shd w:val="clear" w:color="auto" w:fill="auto"/>
            <w:vAlign w:val="center"/>
          </w:tcPr>
          <w:p w14:paraId="0413A844">
            <w:pPr>
              <w:keepNext w:val="0"/>
              <w:keepLines w:val="0"/>
              <w:pageBreakBefore w:val="0"/>
              <w:widowControl/>
              <w:kinsoku/>
              <w:wordWrap/>
              <w:overflowPunct/>
              <w:topLinePunct w:val="0"/>
              <w:autoSpaceDE/>
              <w:autoSpaceDN/>
              <w:bidi w:val="0"/>
              <w:ind w:left="0" w:right="0"/>
              <w:jc w:val="center"/>
              <w:textAlignment w:val="center"/>
              <w:rPr>
                <w:rFonts w:ascii="Times New Roman" w:hAnsi="Times New Roman" w:eastAsia="等线" w:cs="Times New Roman"/>
                <w:color w:val="auto"/>
                <w:sz w:val="21"/>
                <w:szCs w:val="21"/>
                <w:highlight w:val="none"/>
              </w:rPr>
            </w:pPr>
            <w:r>
              <w:rPr>
                <w:rFonts w:ascii="Times New Roman" w:hAnsi="Times New Roman" w:cs="Times New Roman"/>
                <w:color w:val="auto"/>
                <w:sz w:val="21"/>
                <w:szCs w:val="21"/>
                <w:highlight w:val="none"/>
                <w:lang w:bidi="ar"/>
              </w:rPr>
              <w:t>0.068</w:t>
            </w:r>
          </w:p>
        </w:tc>
        <w:tc>
          <w:tcPr>
            <w:tcW w:w="1604" w:type="dxa"/>
            <w:shd w:val="clear" w:color="auto" w:fill="auto"/>
            <w:vAlign w:val="center"/>
          </w:tcPr>
          <w:p w14:paraId="66BB1AD5">
            <w:pPr>
              <w:keepNext w:val="0"/>
              <w:keepLines w:val="0"/>
              <w:pageBreakBefore w:val="0"/>
              <w:widowControl/>
              <w:kinsoku/>
              <w:wordWrap/>
              <w:overflowPunct/>
              <w:topLinePunct w:val="0"/>
              <w:autoSpaceDE/>
              <w:autoSpaceDN/>
              <w:bidi w:val="0"/>
              <w:ind w:left="0" w:right="0"/>
              <w:jc w:val="center"/>
              <w:textAlignment w:val="center"/>
              <w:rPr>
                <w:rFonts w:ascii="Times New Roman" w:hAnsi="Times New Roman" w:eastAsia="等线" w:cs="Times New Roman"/>
                <w:color w:val="auto"/>
                <w:sz w:val="21"/>
                <w:szCs w:val="21"/>
                <w:highlight w:val="none"/>
              </w:rPr>
            </w:pPr>
            <w:r>
              <w:rPr>
                <w:rFonts w:ascii="Times New Roman" w:hAnsi="Times New Roman" w:cs="Times New Roman"/>
                <w:color w:val="auto"/>
                <w:sz w:val="21"/>
                <w:szCs w:val="21"/>
                <w:highlight w:val="none"/>
                <w:lang w:bidi="ar"/>
              </w:rPr>
              <w:t>0.612</w:t>
            </w:r>
          </w:p>
        </w:tc>
      </w:tr>
      <w:tr w14:paraId="4E2F5DA5">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36" w:hRule="atLeast"/>
        </w:trPr>
        <w:tc>
          <w:tcPr>
            <w:tcW w:w="1112" w:type="dxa"/>
            <w:vMerge w:val="continue"/>
            <w:vAlign w:val="center"/>
          </w:tcPr>
          <w:p w14:paraId="644FFC70">
            <w:pPr>
              <w:keepNext w:val="0"/>
              <w:keepLines w:val="0"/>
              <w:pageBreakBefore w:val="0"/>
              <w:widowControl/>
              <w:kinsoku/>
              <w:wordWrap/>
              <w:overflowPunct/>
              <w:topLinePunct w:val="0"/>
              <w:autoSpaceDE/>
              <w:autoSpaceDN/>
              <w:bidi w:val="0"/>
              <w:adjustRightInd w:val="0"/>
              <w:snapToGrid w:val="0"/>
              <w:ind w:left="0" w:right="0"/>
              <w:jc w:val="center"/>
              <w:rPr>
                <w:rFonts w:ascii="Times New Roman" w:hAnsi="Times New Roman" w:cs="Times New Roman"/>
                <w:color w:val="auto"/>
                <w:sz w:val="21"/>
                <w:szCs w:val="21"/>
                <w:highlight w:val="none"/>
              </w:rPr>
            </w:pPr>
          </w:p>
        </w:tc>
        <w:tc>
          <w:tcPr>
            <w:tcW w:w="1113" w:type="dxa"/>
            <w:vMerge w:val="continue"/>
            <w:vAlign w:val="center"/>
          </w:tcPr>
          <w:p w14:paraId="35EB8CAB">
            <w:pPr>
              <w:keepNext w:val="0"/>
              <w:keepLines w:val="0"/>
              <w:pageBreakBefore w:val="0"/>
              <w:widowControl/>
              <w:kinsoku/>
              <w:wordWrap/>
              <w:overflowPunct/>
              <w:topLinePunct w:val="0"/>
              <w:autoSpaceDE/>
              <w:autoSpaceDN/>
              <w:bidi w:val="0"/>
              <w:adjustRightInd w:val="0"/>
              <w:snapToGrid w:val="0"/>
              <w:ind w:left="0" w:right="0"/>
              <w:jc w:val="center"/>
              <w:rPr>
                <w:rFonts w:ascii="Times New Roman" w:hAnsi="Times New Roman" w:cs="Times New Roman"/>
                <w:color w:val="auto"/>
                <w:sz w:val="21"/>
                <w:szCs w:val="21"/>
                <w:highlight w:val="none"/>
              </w:rPr>
            </w:pPr>
          </w:p>
        </w:tc>
        <w:tc>
          <w:tcPr>
            <w:tcW w:w="1877" w:type="dxa"/>
            <w:shd w:val="clear" w:color="auto" w:fill="BEBEBE" w:themeFill="background1" w:themeFillShade="BF"/>
            <w:vAlign w:val="center"/>
          </w:tcPr>
          <w:p w14:paraId="0CE38452">
            <w:pPr>
              <w:keepNext w:val="0"/>
              <w:keepLines w:val="0"/>
              <w:pageBreakBefore w:val="0"/>
              <w:widowControl/>
              <w:kinsoku/>
              <w:wordWrap/>
              <w:overflowPunct/>
              <w:topLinePunct w:val="0"/>
              <w:autoSpaceDE/>
              <w:autoSpaceDN/>
              <w:bidi w:val="0"/>
              <w:ind w:left="0" w:right="0"/>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非甲烷总烃（含2-乙二醇单乙醚醋酸酯、丁酮、异氰酸酯、丙烯酸）</w:t>
            </w:r>
          </w:p>
        </w:tc>
        <w:tc>
          <w:tcPr>
            <w:tcW w:w="1408" w:type="dxa"/>
            <w:shd w:val="clear" w:color="auto" w:fill="BEBEBE" w:themeFill="background1" w:themeFillShade="BF"/>
            <w:vAlign w:val="center"/>
          </w:tcPr>
          <w:p w14:paraId="2DB79DD5">
            <w:pPr>
              <w:keepNext w:val="0"/>
              <w:keepLines w:val="0"/>
              <w:pageBreakBefore w:val="0"/>
              <w:widowControl/>
              <w:kinsoku/>
              <w:wordWrap/>
              <w:overflowPunct/>
              <w:topLinePunct w:val="0"/>
              <w:autoSpaceDE/>
              <w:autoSpaceDN/>
              <w:bidi w:val="0"/>
              <w:ind w:left="0" w:right="0"/>
              <w:jc w:val="center"/>
              <w:textAlignment w:val="center"/>
              <w:rPr>
                <w:rFonts w:ascii="Times New Roman" w:hAnsi="Times New Roman" w:eastAsia="等线" w:cs="Times New Roman"/>
                <w:color w:val="auto"/>
                <w:sz w:val="21"/>
                <w:szCs w:val="21"/>
                <w:highlight w:val="none"/>
              </w:rPr>
            </w:pPr>
            <w:r>
              <w:rPr>
                <w:rFonts w:ascii="Times New Roman" w:hAnsi="Times New Roman" w:cs="Times New Roman"/>
                <w:color w:val="auto"/>
                <w:sz w:val="21"/>
                <w:szCs w:val="21"/>
                <w:highlight w:val="none"/>
                <w:lang w:bidi="ar"/>
              </w:rPr>
              <w:t>1.9924</w:t>
            </w:r>
          </w:p>
        </w:tc>
        <w:tc>
          <w:tcPr>
            <w:tcW w:w="1604" w:type="dxa"/>
            <w:shd w:val="clear" w:color="auto" w:fill="BEBEBE" w:themeFill="background1" w:themeFillShade="BF"/>
            <w:vAlign w:val="center"/>
          </w:tcPr>
          <w:p w14:paraId="5792C1EA">
            <w:pPr>
              <w:keepNext w:val="0"/>
              <w:keepLines w:val="0"/>
              <w:pageBreakBefore w:val="0"/>
              <w:widowControl/>
              <w:kinsoku/>
              <w:wordWrap/>
              <w:overflowPunct/>
              <w:topLinePunct w:val="0"/>
              <w:autoSpaceDE/>
              <w:autoSpaceDN/>
              <w:bidi w:val="0"/>
              <w:ind w:left="0" w:right="0"/>
              <w:jc w:val="center"/>
              <w:textAlignment w:val="center"/>
              <w:rPr>
                <w:rFonts w:ascii="Times New Roman" w:hAnsi="Times New Roman" w:eastAsia="等线" w:cs="Times New Roman"/>
                <w:color w:val="auto"/>
                <w:sz w:val="21"/>
                <w:szCs w:val="21"/>
                <w:highlight w:val="none"/>
              </w:rPr>
            </w:pPr>
            <w:r>
              <w:rPr>
                <w:rFonts w:ascii="Times New Roman" w:hAnsi="Times New Roman" w:cs="Times New Roman"/>
                <w:color w:val="auto"/>
                <w:sz w:val="21"/>
                <w:szCs w:val="21"/>
                <w:highlight w:val="none"/>
                <w:lang w:bidi="ar"/>
              </w:rPr>
              <w:t>0.19924</w:t>
            </w:r>
          </w:p>
        </w:tc>
        <w:tc>
          <w:tcPr>
            <w:tcW w:w="1604" w:type="dxa"/>
            <w:shd w:val="clear" w:color="auto" w:fill="BEBEBE" w:themeFill="background1" w:themeFillShade="BF"/>
            <w:vAlign w:val="center"/>
          </w:tcPr>
          <w:p w14:paraId="5BBF13B1">
            <w:pPr>
              <w:keepNext w:val="0"/>
              <w:keepLines w:val="0"/>
              <w:pageBreakBefore w:val="0"/>
              <w:widowControl/>
              <w:kinsoku/>
              <w:wordWrap/>
              <w:overflowPunct/>
              <w:topLinePunct w:val="0"/>
              <w:autoSpaceDE/>
              <w:autoSpaceDN/>
              <w:bidi w:val="0"/>
              <w:ind w:left="0" w:right="0"/>
              <w:jc w:val="center"/>
              <w:textAlignment w:val="center"/>
              <w:rPr>
                <w:rFonts w:ascii="Times New Roman" w:hAnsi="Times New Roman" w:eastAsia="等线" w:cs="Times New Roman"/>
                <w:color w:val="auto"/>
                <w:sz w:val="21"/>
                <w:szCs w:val="21"/>
                <w:highlight w:val="none"/>
              </w:rPr>
            </w:pPr>
            <w:r>
              <w:rPr>
                <w:rFonts w:ascii="Times New Roman" w:hAnsi="Times New Roman" w:cs="Times New Roman"/>
                <w:color w:val="auto"/>
                <w:sz w:val="21"/>
                <w:szCs w:val="21"/>
                <w:highlight w:val="none"/>
                <w:lang w:bidi="ar"/>
              </w:rPr>
              <w:t>1.79316</w:t>
            </w:r>
          </w:p>
        </w:tc>
      </w:tr>
      <w:tr w14:paraId="6B344BDF">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36" w:hRule="atLeast"/>
        </w:trPr>
        <w:tc>
          <w:tcPr>
            <w:tcW w:w="1112" w:type="dxa"/>
            <w:vMerge w:val="continue"/>
            <w:vAlign w:val="center"/>
          </w:tcPr>
          <w:p w14:paraId="2507B2D8">
            <w:pPr>
              <w:keepNext w:val="0"/>
              <w:keepLines w:val="0"/>
              <w:pageBreakBefore w:val="0"/>
              <w:widowControl/>
              <w:kinsoku/>
              <w:wordWrap/>
              <w:overflowPunct/>
              <w:topLinePunct w:val="0"/>
              <w:autoSpaceDE/>
              <w:autoSpaceDN/>
              <w:bidi w:val="0"/>
              <w:adjustRightInd w:val="0"/>
              <w:snapToGrid w:val="0"/>
              <w:ind w:left="0" w:right="0"/>
              <w:jc w:val="center"/>
              <w:rPr>
                <w:rFonts w:ascii="Times New Roman" w:hAnsi="Times New Roman" w:cs="Times New Roman"/>
                <w:color w:val="auto"/>
                <w:sz w:val="21"/>
                <w:szCs w:val="21"/>
                <w:highlight w:val="none"/>
              </w:rPr>
            </w:pPr>
          </w:p>
        </w:tc>
        <w:tc>
          <w:tcPr>
            <w:tcW w:w="1113" w:type="dxa"/>
            <w:vMerge w:val="restart"/>
            <w:vAlign w:val="center"/>
          </w:tcPr>
          <w:p w14:paraId="6688BE13">
            <w:pPr>
              <w:keepNext w:val="0"/>
              <w:keepLines w:val="0"/>
              <w:pageBreakBefore w:val="0"/>
              <w:widowControl/>
              <w:kinsoku/>
              <w:wordWrap/>
              <w:overflowPunct/>
              <w:topLinePunct w:val="0"/>
              <w:autoSpaceDE/>
              <w:autoSpaceDN/>
              <w:bidi w:val="0"/>
              <w:adjustRightInd w:val="0"/>
              <w:snapToGrid w:val="0"/>
              <w:ind w:left="0" w:right="0"/>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无组织</w:t>
            </w:r>
          </w:p>
        </w:tc>
        <w:tc>
          <w:tcPr>
            <w:tcW w:w="1877" w:type="dxa"/>
            <w:shd w:val="clear" w:color="auto" w:fill="auto"/>
            <w:vAlign w:val="center"/>
          </w:tcPr>
          <w:p w14:paraId="708F280C">
            <w:pPr>
              <w:keepNext w:val="0"/>
              <w:keepLines w:val="0"/>
              <w:pageBreakBefore w:val="0"/>
              <w:widowControl/>
              <w:kinsoku/>
              <w:wordWrap/>
              <w:overflowPunct/>
              <w:topLinePunct w:val="0"/>
              <w:autoSpaceDE/>
              <w:autoSpaceDN/>
              <w:bidi w:val="0"/>
              <w:ind w:left="0" w:right="0"/>
              <w:jc w:val="center"/>
              <w:textAlignment w:val="center"/>
              <w:rPr>
                <w:rFonts w:ascii="Times New Roman" w:hAnsi="Times New Roman" w:cs="Times New Roman"/>
                <w:color w:val="auto"/>
                <w:sz w:val="21"/>
                <w:szCs w:val="21"/>
                <w:highlight w:val="none"/>
              </w:rPr>
            </w:pPr>
            <w:r>
              <w:rPr>
                <w:rFonts w:hint="eastAsia" w:ascii="Times New Roman" w:hAnsi="Times New Roman"/>
                <w:color w:val="auto"/>
                <w:sz w:val="21"/>
                <w:szCs w:val="21"/>
                <w:highlight w:val="none"/>
              </w:rPr>
              <w:t>丙烯酸</w:t>
            </w:r>
          </w:p>
        </w:tc>
        <w:tc>
          <w:tcPr>
            <w:tcW w:w="1408" w:type="dxa"/>
            <w:shd w:val="clear" w:color="auto" w:fill="auto"/>
            <w:vAlign w:val="center"/>
          </w:tcPr>
          <w:p w14:paraId="605E2286">
            <w:pPr>
              <w:keepNext w:val="0"/>
              <w:keepLines w:val="0"/>
              <w:pageBreakBefore w:val="0"/>
              <w:widowControl/>
              <w:kinsoku/>
              <w:wordWrap/>
              <w:overflowPunct/>
              <w:topLinePunct w:val="0"/>
              <w:autoSpaceDE/>
              <w:autoSpaceDN/>
              <w:bidi w:val="0"/>
              <w:ind w:left="0" w:right="0"/>
              <w:jc w:val="center"/>
              <w:textAlignment w:val="center"/>
              <w:rPr>
                <w:rFonts w:ascii="Times New Roman" w:hAnsi="Times New Roman" w:eastAsia="等线" w:cs="Times New Roman"/>
                <w:color w:val="auto"/>
                <w:sz w:val="21"/>
                <w:szCs w:val="21"/>
                <w:highlight w:val="none"/>
              </w:rPr>
            </w:pPr>
            <w:r>
              <w:rPr>
                <w:rFonts w:ascii="Times New Roman" w:hAnsi="Times New Roman" w:cs="Times New Roman"/>
                <w:color w:val="auto"/>
                <w:sz w:val="21"/>
                <w:szCs w:val="21"/>
                <w:highlight w:val="none"/>
                <w:lang w:bidi="ar"/>
              </w:rPr>
              <w:t>0.0175</w:t>
            </w:r>
          </w:p>
        </w:tc>
        <w:tc>
          <w:tcPr>
            <w:tcW w:w="1604" w:type="dxa"/>
            <w:shd w:val="clear" w:color="auto" w:fill="auto"/>
            <w:vAlign w:val="center"/>
          </w:tcPr>
          <w:p w14:paraId="0D42ECB0">
            <w:pPr>
              <w:keepNext w:val="0"/>
              <w:keepLines w:val="0"/>
              <w:pageBreakBefore w:val="0"/>
              <w:widowControl/>
              <w:kinsoku/>
              <w:wordWrap/>
              <w:overflowPunct/>
              <w:topLinePunct w:val="0"/>
              <w:autoSpaceDE/>
              <w:autoSpaceDN/>
              <w:bidi w:val="0"/>
              <w:ind w:left="0" w:right="0"/>
              <w:jc w:val="center"/>
              <w:textAlignment w:val="center"/>
              <w:rPr>
                <w:rFonts w:ascii="Times New Roman" w:hAnsi="Times New Roman" w:eastAsia="等线" w:cs="Times New Roman"/>
                <w:color w:val="auto"/>
                <w:sz w:val="21"/>
                <w:szCs w:val="21"/>
                <w:highlight w:val="none"/>
              </w:rPr>
            </w:pPr>
            <w:r>
              <w:rPr>
                <w:rFonts w:ascii="Times New Roman" w:hAnsi="Times New Roman" w:cs="Times New Roman"/>
                <w:color w:val="auto"/>
                <w:sz w:val="21"/>
                <w:szCs w:val="21"/>
                <w:highlight w:val="none"/>
                <w:lang w:bidi="ar"/>
              </w:rPr>
              <w:t>0.00175</w:t>
            </w:r>
          </w:p>
        </w:tc>
        <w:tc>
          <w:tcPr>
            <w:tcW w:w="1604" w:type="dxa"/>
            <w:shd w:val="clear" w:color="auto" w:fill="auto"/>
            <w:vAlign w:val="center"/>
          </w:tcPr>
          <w:p w14:paraId="279174A7">
            <w:pPr>
              <w:keepNext w:val="0"/>
              <w:keepLines w:val="0"/>
              <w:pageBreakBefore w:val="0"/>
              <w:widowControl/>
              <w:kinsoku/>
              <w:wordWrap/>
              <w:overflowPunct/>
              <w:topLinePunct w:val="0"/>
              <w:autoSpaceDE/>
              <w:autoSpaceDN/>
              <w:bidi w:val="0"/>
              <w:ind w:left="0" w:right="0"/>
              <w:jc w:val="center"/>
              <w:textAlignment w:val="center"/>
              <w:rPr>
                <w:rFonts w:ascii="Times New Roman" w:hAnsi="Times New Roman" w:eastAsia="等线" w:cs="Times New Roman"/>
                <w:color w:val="auto"/>
                <w:sz w:val="21"/>
                <w:szCs w:val="21"/>
                <w:highlight w:val="none"/>
              </w:rPr>
            </w:pPr>
            <w:r>
              <w:rPr>
                <w:rFonts w:ascii="Times New Roman" w:hAnsi="Times New Roman" w:cs="Times New Roman"/>
                <w:color w:val="auto"/>
                <w:sz w:val="21"/>
                <w:szCs w:val="21"/>
                <w:highlight w:val="none"/>
                <w:lang w:bidi="ar"/>
              </w:rPr>
              <w:t>0.01575</w:t>
            </w:r>
          </w:p>
        </w:tc>
      </w:tr>
      <w:tr w14:paraId="4190E7E4">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36" w:hRule="atLeast"/>
        </w:trPr>
        <w:tc>
          <w:tcPr>
            <w:tcW w:w="1112" w:type="dxa"/>
            <w:vMerge w:val="continue"/>
            <w:vAlign w:val="center"/>
          </w:tcPr>
          <w:p w14:paraId="54F0170B">
            <w:pPr>
              <w:keepNext w:val="0"/>
              <w:keepLines w:val="0"/>
              <w:pageBreakBefore w:val="0"/>
              <w:widowControl/>
              <w:kinsoku/>
              <w:wordWrap/>
              <w:overflowPunct/>
              <w:topLinePunct w:val="0"/>
              <w:autoSpaceDE/>
              <w:autoSpaceDN/>
              <w:bidi w:val="0"/>
              <w:adjustRightInd w:val="0"/>
              <w:snapToGrid w:val="0"/>
              <w:ind w:left="0" w:right="0"/>
              <w:jc w:val="center"/>
              <w:rPr>
                <w:rFonts w:ascii="Times New Roman" w:hAnsi="Times New Roman" w:cs="Times New Roman"/>
                <w:color w:val="auto"/>
                <w:sz w:val="21"/>
                <w:szCs w:val="21"/>
                <w:highlight w:val="none"/>
              </w:rPr>
            </w:pPr>
          </w:p>
        </w:tc>
        <w:tc>
          <w:tcPr>
            <w:tcW w:w="1113" w:type="dxa"/>
            <w:vMerge w:val="continue"/>
            <w:vAlign w:val="center"/>
          </w:tcPr>
          <w:p w14:paraId="35F07174">
            <w:pPr>
              <w:keepNext w:val="0"/>
              <w:keepLines w:val="0"/>
              <w:pageBreakBefore w:val="0"/>
              <w:widowControl/>
              <w:kinsoku/>
              <w:wordWrap/>
              <w:overflowPunct/>
              <w:topLinePunct w:val="0"/>
              <w:autoSpaceDE/>
              <w:autoSpaceDN/>
              <w:bidi w:val="0"/>
              <w:adjustRightInd w:val="0"/>
              <w:snapToGrid w:val="0"/>
              <w:ind w:left="0" w:right="0"/>
              <w:jc w:val="center"/>
              <w:rPr>
                <w:rFonts w:ascii="Times New Roman" w:hAnsi="Times New Roman" w:cs="Times New Roman"/>
                <w:color w:val="auto"/>
                <w:sz w:val="21"/>
                <w:szCs w:val="21"/>
                <w:highlight w:val="none"/>
              </w:rPr>
            </w:pPr>
          </w:p>
        </w:tc>
        <w:tc>
          <w:tcPr>
            <w:tcW w:w="1877" w:type="dxa"/>
            <w:shd w:val="clear" w:color="auto" w:fill="auto"/>
            <w:vAlign w:val="center"/>
          </w:tcPr>
          <w:p w14:paraId="46CF48E5">
            <w:pPr>
              <w:keepNext w:val="0"/>
              <w:keepLines w:val="0"/>
              <w:pageBreakBefore w:val="0"/>
              <w:widowControl/>
              <w:kinsoku/>
              <w:wordWrap/>
              <w:overflowPunct/>
              <w:topLinePunct w:val="0"/>
              <w:autoSpaceDE/>
              <w:autoSpaceDN/>
              <w:bidi w:val="0"/>
              <w:ind w:left="0" w:right="0"/>
              <w:jc w:val="center"/>
              <w:textAlignment w:val="center"/>
              <w:rPr>
                <w:rFonts w:ascii="Times New Roman" w:hAnsi="Times New Roman" w:cs="Times New Roman"/>
                <w:color w:val="auto"/>
                <w:sz w:val="21"/>
                <w:szCs w:val="21"/>
                <w:highlight w:val="none"/>
              </w:rPr>
            </w:pPr>
            <w:r>
              <w:rPr>
                <w:rFonts w:hint="eastAsia" w:ascii="Times New Roman" w:hAnsi="Times New Roman"/>
                <w:color w:val="auto"/>
                <w:sz w:val="21"/>
                <w:szCs w:val="21"/>
                <w:highlight w:val="none"/>
              </w:rPr>
              <w:t>2-乙二醇单乙醚醋酸酯</w:t>
            </w:r>
          </w:p>
        </w:tc>
        <w:tc>
          <w:tcPr>
            <w:tcW w:w="1408" w:type="dxa"/>
            <w:shd w:val="clear" w:color="auto" w:fill="auto"/>
            <w:vAlign w:val="center"/>
          </w:tcPr>
          <w:p w14:paraId="13D91067">
            <w:pPr>
              <w:keepNext w:val="0"/>
              <w:keepLines w:val="0"/>
              <w:pageBreakBefore w:val="0"/>
              <w:widowControl/>
              <w:kinsoku/>
              <w:wordWrap/>
              <w:overflowPunct/>
              <w:topLinePunct w:val="0"/>
              <w:autoSpaceDE/>
              <w:autoSpaceDN/>
              <w:bidi w:val="0"/>
              <w:ind w:left="0" w:right="0"/>
              <w:jc w:val="center"/>
              <w:textAlignment w:val="center"/>
              <w:rPr>
                <w:rFonts w:ascii="Times New Roman" w:hAnsi="Times New Roman" w:eastAsia="等线" w:cs="Times New Roman"/>
                <w:color w:val="auto"/>
                <w:sz w:val="21"/>
                <w:szCs w:val="21"/>
                <w:highlight w:val="none"/>
              </w:rPr>
            </w:pPr>
            <w:r>
              <w:rPr>
                <w:rFonts w:ascii="Times New Roman" w:hAnsi="Times New Roman" w:cs="Times New Roman"/>
                <w:color w:val="auto"/>
                <w:sz w:val="21"/>
                <w:szCs w:val="21"/>
                <w:highlight w:val="none"/>
                <w:lang w:bidi="ar"/>
              </w:rPr>
              <w:t>0.007</w:t>
            </w:r>
          </w:p>
        </w:tc>
        <w:tc>
          <w:tcPr>
            <w:tcW w:w="1604" w:type="dxa"/>
            <w:shd w:val="clear" w:color="auto" w:fill="auto"/>
            <w:vAlign w:val="center"/>
          </w:tcPr>
          <w:p w14:paraId="31A9CD79">
            <w:pPr>
              <w:keepNext w:val="0"/>
              <w:keepLines w:val="0"/>
              <w:pageBreakBefore w:val="0"/>
              <w:widowControl/>
              <w:kinsoku/>
              <w:wordWrap/>
              <w:overflowPunct/>
              <w:topLinePunct w:val="0"/>
              <w:autoSpaceDE/>
              <w:autoSpaceDN/>
              <w:bidi w:val="0"/>
              <w:ind w:left="0" w:right="0"/>
              <w:jc w:val="center"/>
              <w:textAlignment w:val="center"/>
              <w:rPr>
                <w:rFonts w:ascii="Times New Roman" w:hAnsi="Times New Roman" w:eastAsia="等线" w:cs="Times New Roman"/>
                <w:color w:val="auto"/>
                <w:sz w:val="21"/>
                <w:szCs w:val="21"/>
                <w:highlight w:val="none"/>
              </w:rPr>
            </w:pPr>
            <w:r>
              <w:rPr>
                <w:rFonts w:ascii="Times New Roman" w:hAnsi="Times New Roman" w:cs="Times New Roman"/>
                <w:color w:val="auto"/>
                <w:sz w:val="21"/>
                <w:szCs w:val="21"/>
                <w:highlight w:val="none"/>
                <w:lang w:bidi="ar"/>
              </w:rPr>
              <w:t>0.0007</w:t>
            </w:r>
          </w:p>
        </w:tc>
        <w:tc>
          <w:tcPr>
            <w:tcW w:w="1604" w:type="dxa"/>
            <w:shd w:val="clear" w:color="auto" w:fill="auto"/>
            <w:vAlign w:val="center"/>
          </w:tcPr>
          <w:p w14:paraId="6C19FE31">
            <w:pPr>
              <w:keepNext w:val="0"/>
              <w:keepLines w:val="0"/>
              <w:pageBreakBefore w:val="0"/>
              <w:widowControl/>
              <w:kinsoku/>
              <w:wordWrap/>
              <w:overflowPunct/>
              <w:topLinePunct w:val="0"/>
              <w:autoSpaceDE/>
              <w:autoSpaceDN/>
              <w:bidi w:val="0"/>
              <w:ind w:left="0" w:right="0"/>
              <w:jc w:val="center"/>
              <w:textAlignment w:val="center"/>
              <w:rPr>
                <w:rFonts w:ascii="Times New Roman" w:hAnsi="Times New Roman" w:eastAsia="等线" w:cs="Times New Roman"/>
                <w:color w:val="auto"/>
                <w:sz w:val="21"/>
                <w:szCs w:val="21"/>
                <w:highlight w:val="none"/>
              </w:rPr>
            </w:pPr>
            <w:r>
              <w:rPr>
                <w:rFonts w:ascii="Times New Roman" w:hAnsi="Times New Roman" w:cs="Times New Roman"/>
                <w:color w:val="auto"/>
                <w:sz w:val="21"/>
                <w:szCs w:val="21"/>
                <w:highlight w:val="none"/>
                <w:lang w:bidi="ar"/>
              </w:rPr>
              <w:t>0.0063</w:t>
            </w:r>
          </w:p>
        </w:tc>
      </w:tr>
      <w:tr w14:paraId="119A9A75">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36" w:hRule="atLeast"/>
        </w:trPr>
        <w:tc>
          <w:tcPr>
            <w:tcW w:w="1112" w:type="dxa"/>
            <w:vMerge w:val="continue"/>
            <w:vAlign w:val="center"/>
          </w:tcPr>
          <w:p w14:paraId="628B7C16">
            <w:pPr>
              <w:keepNext w:val="0"/>
              <w:keepLines w:val="0"/>
              <w:pageBreakBefore w:val="0"/>
              <w:widowControl/>
              <w:kinsoku/>
              <w:wordWrap/>
              <w:overflowPunct/>
              <w:topLinePunct w:val="0"/>
              <w:autoSpaceDE/>
              <w:autoSpaceDN/>
              <w:bidi w:val="0"/>
              <w:adjustRightInd w:val="0"/>
              <w:snapToGrid w:val="0"/>
              <w:ind w:left="0" w:right="0"/>
              <w:jc w:val="center"/>
              <w:rPr>
                <w:rFonts w:ascii="Times New Roman" w:hAnsi="Times New Roman" w:cs="Times New Roman"/>
                <w:color w:val="auto"/>
                <w:sz w:val="21"/>
                <w:szCs w:val="21"/>
                <w:highlight w:val="none"/>
              </w:rPr>
            </w:pPr>
          </w:p>
        </w:tc>
        <w:tc>
          <w:tcPr>
            <w:tcW w:w="1113" w:type="dxa"/>
            <w:vMerge w:val="continue"/>
            <w:vAlign w:val="center"/>
          </w:tcPr>
          <w:p w14:paraId="60C97E1C">
            <w:pPr>
              <w:keepNext w:val="0"/>
              <w:keepLines w:val="0"/>
              <w:pageBreakBefore w:val="0"/>
              <w:widowControl/>
              <w:kinsoku/>
              <w:wordWrap/>
              <w:overflowPunct/>
              <w:topLinePunct w:val="0"/>
              <w:autoSpaceDE/>
              <w:autoSpaceDN/>
              <w:bidi w:val="0"/>
              <w:adjustRightInd w:val="0"/>
              <w:snapToGrid w:val="0"/>
              <w:ind w:left="0" w:right="0"/>
              <w:jc w:val="center"/>
              <w:rPr>
                <w:rFonts w:ascii="Times New Roman" w:hAnsi="Times New Roman" w:cs="Times New Roman"/>
                <w:color w:val="auto"/>
                <w:sz w:val="21"/>
                <w:szCs w:val="21"/>
                <w:highlight w:val="none"/>
              </w:rPr>
            </w:pPr>
          </w:p>
        </w:tc>
        <w:tc>
          <w:tcPr>
            <w:tcW w:w="1877" w:type="dxa"/>
            <w:shd w:val="clear" w:color="auto" w:fill="auto"/>
            <w:vAlign w:val="center"/>
          </w:tcPr>
          <w:p w14:paraId="49AFC5EF">
            <w:pPr>
              <w:keepNext w:val="0"/>
              <w:keepLines w:val="0"/>
              <w:pageBreakBefore w:val="0"/>
              <w:widowControl/>
              <w:kinsoku/>
              <w:wordWrap/>
              <w:overflowPunct/>
              <w:topLinePunct w:val="0"/>
              <w:autoSpaceDE/>
              <w:autoSpaceDN/>
              <w:bidi w:val="0"/>
              <w:ind w:left="0" w:right="0"/>
              <w:jc w:val="center"/>
              <w:textAlignment w:val="center"/>
              <w:rPr>
                <w:rFonts w:ascii="Times New Roman" w:hAnsi="Times New Roman" w:cs="Times New Roman"/>
                <w:color w:val="auto"/>
                <w:sz w:val="21"/>
                <w:szCs w:val="21"/>
                <w:highlight w:val="none"/>
              </w:rPr>
            </w:pPr>
            <w:r>
              <w:rPr>
                <w:rFonts w:hint="eastAsia" w:ascii="Times New Roman" w:hAnsi="Times New Roman"/>
                <w:color w:val="auto"/>
                <w:sz w:val="21"/>
                <w:szCs w:val="21"/>
                <w:highlight w:val="none"/>
              </w:rPr>
              <w:t>非甲烷总烃</w:t>
            </w:r>
          </w:p>
        </w:tc>
        <w:tc>
          <w:tcPr>
            <w:tcW w:w="1408" w:type="dxa"/>
            <w:shd w:val="clear" w:color="auto" w:fill="auto"/>
            <w:vAlign w:val="center"/>
          </w:tcPr>
          <w:p w14:paraId="0D80E595">
            <w:pPr>
              <w:keepNext w:val="0"/>
              <w:keepLines w:val="0"/>
              <w:pageBreakBefore w:val="0"/>
              <w:widowControl/>
              <w:kinsoku/>
              <w:wordWrap/>
              <w:overflowPunct/>
              <w:topLinePunct w:val="0"/>
              <w:autoSpaceDE/>
              <w:autoSpaceDN/>
              <w:bidi w:val="0"/>
              <w:ind w:left="0" w:right="0"/>
              <w:jc w:val="center"/>
              <w:textAlignment w:val="center"/>
              <w:rPr>
                <w:rFonts w:ascii="Times New Roman" w:hAnsi="Times New Roman" w:eastAsia="等线" w:cs="Times New Roman"/>
                <w:color w:val="auto"/>
                <w:sz w:val="21"/>
                <w:szCs w:val="21"/>
                <w:highlight w:val="none"/>
              </w:rPr>
            </w:pPr>
            <w:r>
              <w:rPr>
                <w:rFonts w:ascii="Times New Roman" w:hAnsi="Times New Roman" w:cs="Times New Roman"/>
                <w:color w:val="auto"/>
                <w:sz w:val="21"/>
                <w:szCs w:val="21"/>
                <w:highlight w:val="none"/>
                <w:lang w:bidi="ar"/>
              </w:rPr>
              <w:t>0.003</w:t>
            </w:r>
          </w:p>
        </w:tc>
        <w:tc>
          <w:tcPr>
            <w:tcW w:w="1604" w:type="dxa"/>
            <w:shd w:val="clear" w:color="auto" w:fill="auto"/>
            <w:vAlign w:val="center"/>
          </w:tcPr>
          <w:p w14:paraId="071E228F">
            <w:pPr>
              <w:keepNext w:val="0"/>
              <w:keepLines w:val="0"/>
              <w:pageBreakBefore w:val="0"/>
              <w:widowControl/>
              <w:kinsoku/>
              <w:wordWrap/>
              <w:overflowPunct/>
              <w:topLinePunct w:val="0"/>
              <w:autoSpaceDE/>
              <w:autoSpaceDN/>
              <w:bidi w:val="0"/>
              <w:ind w:left="0" w:right="0"/>
              <w:jc w:val="center"/>
              <w:textAlignment w:val="center"/>
              <w:rPr>
                <w:rFonts w:ascii="Times New Roman" w:hAnsi="Times New Roman" w:eastAsia="等线" w:cs="Times New Roman"/>
                <w:color w:val="auto"/>
                <w:sz w:val="21"/>
                <w:szCs w:val="21"/>
                <w:highlight w:val="none"/>
              </w:rPr>
            </w:pPr>
            <w:r>
              <w:rPr>
                <w:rFonts w:ascii="Times New Roman" w:hAnsi="Times New Roman" w:cs="Times New Roman"/>
                <w:color w:val="auto"/>
                <w:sz w:val="21"/>
                <w:szCs w:val="21"/>
                <w:highlight w:val="none"/>
                <w:lang w:bidi="ar"/>
              </w:rPr>
              <w:t>0.0003</w:t>
            </w:r>
          </w:p>
        </w:tc>
        <w:tc>
          <w:tcPr>
            <w:tcW w:w="1604" w:type="dxa"/>
            <w:shd w:val="clear" w:color="auto" w:fill="auto"/>
            <w:vAlign w:val="center"/>
          </w:tcPr>
          <w:p w14:paraId="0EC1D6A4">
            <w:pPr>
              <w:keepNext w:val="0"/>
              <w:keepLines w:val="0"/>
              <w:pageBreakBefore w:val="0"/>
              <w:widowControl/>
              <w:kinsoku/>
              <w:wordWrap/>
              <w:overflowPunct/>
              <w:topLinePunct w:val="0"/>
              <w:autoSpaceDE/>
              <w:autoSpaceDN/>
              <w:bidi w:val="0"/>
              <w:ind w:left="0" w:right="0"/>
              <w:jc w:val="center"/>
              <w:textAlignment w:val="center"/>
              <w:rPr>
                <w:rFonts w:ascii="Times New Roman" w:hAnsi="Times New Roman" w:eastAsia="等线" w:cs="Times New Roman"/>
                <w:color w:val="auto"/>
                <w:sz w:val="21"/>
                <w:szCs w:val="21"/>
                <w:highlight w:val="none"/>
              </w:rPr>
            </w:pPr>
            <w:r>
              <w:rPr>
                <w:rFonts w:ascii="Times New Roman" w:hAnsi="Times New Roman" w:cs="Times New Roman"/>
                <w:color w:val="auto"/>
                <w:sz w:val="21"/>
                <w:szCs w:val="21"/>
                <w:highlight w:val="none"/>
                <w:lang w:bidi="ar"/>
              </w:rPr>
              <w:t>0.0027</w:t>
            </w:r>
          </w:p>
        </w:tc>
      </w:tr>
      <w:tr w14:paraId="5651233B">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36" w:hRule="atLeast"/>
        </w:trPr>
        <w:tc>
          <w:tcPr>
            <w:tcW w:w="1112" w:type="dxa"/>
            <w:vMerge w:val="continue"/>
            <w:vAlign w:val="center"/>
          </w:tcPr>
          <w:p w14:paraId="113BF166">
            <w:pPr>
              <w:keepNext w:val="0"/>
              <w:keepLines w:val="0"/>
              <w:pageBreakBefore w:val="0"/>
              <w:widowControl/>
              <w:kinsoku/>
              <w:wordWrap/>
              <w:overflowPunct/>
              <w:topLinePunct w:val="0"/>
              <w:autoSpaceDE/>
              <w:autoSpaceDN/>
              <w:bidi w:val="0"/>
              <w:adjustRightInd w:val="0"/>
              <w:snapToGrid w:val="0"/>
              <w:ind w:left="0" w:right="0"/>
              <w:jc w:val="center"/>
              <w:rPr>
                <w:rFonts w:ascii="Times New Roman" w:hAnsi="Times New Roman" w:cs="Times New Roman"/>
                <w:color w:val="auto"/>
                <w:sz w:val="21"/>
                <w:szCs w:val="21"/>
                <w:highlight w:val="none"/>
              </w:rPr>
            </w:pPr>
          </w:p>
        </w:tc>
        <w:tc>
          <w:tcPr>
            <w:tcW w:w="1113" w:type="dxa"/>
            <w:vMerge w:val="continue"/>
            <w:vAlign w:val="center"/>
          </w:tcPr>
          <w:p w14:paraId="711699A2">
            <w:pPr>
              <w:keepNext w:val="0"/>
              <w:keepLines w:val="0"/>
              <w:pageBreakBefore w:val="0"/>
              <w:widowControl/>
              <w:kinsoku/>
              <w:wordWrap/>
              <w:overflowPunct/>
              <w:topLinePunct w:val="0"/>
              <w:autoSpaceDE/>
              <w:autoSpaceDN/>
              <w:bidi w:val="0"/>
              <w:adjustRightInd w:val="0"/>
              <w:snapToGrid w:val="0"/>
              <w:ind w:left="0" w:right="0"/>
              <w:jc w:val="center"/>
              <w:rPr>
                <w:rFonts w:ascii="Times New Roman" w:hAnsi="Times New Roman" w:cs="Times New Roman"/>
                <w:color w:val="auto"/>
                <w:sz w:val="21"/>
                <w:szCs w:val="21"/>
                <w:highlight w:val="none"/>
              </w:rPr>
            </w:pPr>
          </w:p>
        </w:tc>
        <w:tc>
          <w:tcPr>
            <w:tcW w:w="1877" w:type="dxa"/>
            <w:shd w:val="clear" w:color="auto" w:fill="BEBEBE" w:themeFill="background1" w:themeFillShade="BF"/>
            <w:vAlign w:val="center"/>
          </w:tcPr>
          <w:p w14:paraId="27C3C45D">
            <w:pPr>
              <w:keepNext w:val="0"/>
              <w:keepLines w:val="0"/>
              <w:pageBreakBefore w:val="0"/>
              <w:widowControl/>
              <w:kinsoku/>
              <w:wordWrap/>
              <w:overflowPunct/>
              <w:topLinePunct w:val="0"/>
              <w:autoSpaceDE/>
              <w:autoSpaceDN/>
              <w:bidi w:val="0"/>
              <w:ind w:left="0" w:right="0"/>
              <w:jc w:val="center"/>
              <w:textAlignment w:val="center"/>
              <w:rPr>
                <w:rFonts w:ascii="Times New Roman" w:hAnsi="Times New Roman" w:cs="Times New Roman"/>
                <w:color w:val="auto"/>
                <w:sz w:val="21"/>
                <w:szCs w:val="21"/>
                <w:highlight w:val="none"/>
              </w:rPr>
            </w:pPr>
            <w:r>
              <w:rPr>
                <w:rFonts w:hint="eastAsia" w:ascii="Times New Roman" w:hAnsi="Times New Roman"/>
                <w:color w:val="auto"/>
                <w:sz w:val="21"/>
                <w:szCs w:val="21"/>
                <w:highlight w:val="none"/>
              </w:rPr>
              <w:t>非甲烷总烃（含2-乙二醇单乙醚醋酸酯、丁酮、异氰酸酯、丙烯酸）</w:t>
            </w:r>
          </w:p>
        </w:tc>
        <w:tc>
          <w:tcPr>
            <w:tcW w:w="1408" w:type="dxa"/>
            <w:shd w:val="clear" w:color="auto" w:fill="BEBEBE" w:themeFill="background1" w:themeFillShade="BF"/>
            <w:vAlign w:val="center"/>
          </w:tcPr>
          <w:p w14:paraId="001908EA">
            <w:pPr>
              <w:keepNext w:val="0"/>
              <w:keepLines w:val="0"/>
              <w:pageBreakBefore w:val="0"/>
              <w:widowControl/>
              <w:kinsoku/>
              <w:wordWrap/>
              <w:overflowPunct/>
              <w:topLinePunct w:val="0"/>
              <w:autoSpaceDE/>
              <w:autoSpaceDN/>
              <w:bidi w:val="0"/>
              <w:ind w:left="0" w:right="0"/>
              <w:jc w:val="center"/>
              <w:textAlignment w:val="center"/>
              <w:rPr>
                <w:rFonts w:ascii="Times New Roman" w:hAnsi="Times New Roman" w:eastAsia="等线" w:cs="Times New Roman"/>
                <w:color w:val="auto"/>
                <w:sz w:val="21"/>
                <w:szCs w:val="21"/>
                <w:highlight w:val="none"/>
              </w:rPr>
            </w:pPr>
            <w:r>
              <w:rPr>
                <w:rFonts w:ascii="Times New Roman" w:hAnsi="Times New Roman" w:cs="Times New Roman"/>
                <w:color w:val="auto"/>
                <w:sz w:val="21"/>
                <w:szCs w:val="21"/>
                <w:highlight w:val="none"/>
                <w:lang w:bidi="ar"/>
              </w:rPr>
              <w:t>0.0275</w:t>
            </w:r>
          </w:p>
        </w:tc>
        <w:tc>
          <w:tcPr>
            <w:tcW w:w="1604" w:type="dxa"/>
            <w:shd w:val="clear" w:color="auto" w:fill="BEBEBE" w:themeFill="background1" w:themeFillShade="BF"/>
            <w:vAlign w:val="center"/>
          </w:tcPr>
          <w:p w14:paraId="5341866D">
            <w:pPr>
              <w:keepNext w:val="0"/>
              <w:keepLines w:val="0"/>
              <w:pageBreakBefore w:val="0"/>
              <w:widowControl/>
              <w:kinsoku/>
              <w:wordWrap/>
              <w:overflowPunct/>
              <w:topLinePunct w:val="0"/>
              <w:autoSpaceDE/>
              <w:autoSpaceDN/>
              <w:bidi w:val="0"/>
              <w:ind w:left="0" w:right="0"/>
              <w:jc w:val="center"/>
              <w:textAlignment w:val="center"/>
              <w:rPr>
                <w:rFonts w:ascii="Times New Roman" w:hAnsi="Times New Roman" w:eastAsia="等线" w:cs="Times New Roman"/>
                <w:color w:val="auto"/>
                <w:sz w:val="21"/>
                <w:szCs w:val="21"/>
                <w:highlight w:val="none"/>
              </w:rPr>
            </w:pPr>
            <w:r>
              <w:rPr>
                <w:rFonts w:ascii="Times New Roman" w:hAnsi="Times New Roman" w:cs="Times New Roman"/>
                <w:color w:val="auto"/>
                <w:sz w:val="21"/>
                <w:szCs w:val="21"/>
                <w:highlight w:val="none"/>
                <w:lang w:bidi="ar"/>
              </w:rPr>
              <w:t>0.00275</w:t>
            </w:r>
          </w:p>
        </w:tc>
        <w:tc>
          <w:tcPr>
            <w:tcW w:w="1604" w:type="dxa"/>
            <w:shd w:val="clear" w:color="auto" w:fill="BEBEBE" w:themeFill="background1" w:themeFillShade="BF"/>
            <w:vAlign w:val="center"/>
          </w:tcPr>
          <w:p w14:paraId="48089641">
            <w:pPr>
              <w:keepNext w:val="0"/>
              <w:keepLines w:val="0"/>
              <w:pageBreakBefore w:val="0"/>
              <w:widowControl/>
              <w:kinsoku/>
              <w:wordWrap/>
              <w:overflowPunct/>
              <w:topLinePunct w:val="0"/>
              <w:autoSpaceDE/>
              <w:autoSpaceDN/>
              <w:bidi w:val="0"/>
              <w:ind w:left="0" w:right="0"/>
              <w:jc w:val="center"/>
              <w:textAlignment w:val="center"/>
              <w:rPr>
                <w:rFonts w:ascii="Times New Roman" w:hAnsi="Times New Roman" w:eastAsia="等线" w:cs="Times New Roman"/>
                <w:color w:val="auto"/>
                <w:sz w:val="21"/>
                <w:szCs w:val="21"/>
                <w:highlight w:val="none"/>
              </w:rPr>
            </w:pPr>
            <w:r>
              <w:rPr>
                <w:rFonts w:ascii="Times New Roman" w:hAnsi="Times New Roman" w:cs="Times New Roman"/>
                <w:color w:val="auto"/>
                <w:sz w:val="21"/>
                <w:szCs w:val="21"/>
                <w:highlight w:val="none"/>
                <w:lang w:bidi="ar"/>
              </w:rPr>
              <w:t>0.02475</w:t>
            </w:r>
          </w:p>
        </w:tc>
      </w:tr>
      <w:tr w14:paraId="66744338">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36" w:hRule="atLeast"/>
        </w:trPr>
        <w:tc>
          <w:tcPr>
            <w:tcW w:w="2225" w:type="dxa"/>
            <w:gridSpan w:val="2"/>
            <w:vMerge w:val="restart"/>
            <w:shd w:val="clear" w:color="auto" w:fill="auto"/>
            <w:vAlign w:val="center"/>
          </w:tcPr>
          <w:p w14:paraId="4A40055A">
            <w:pPr>
              <w:keepNext w:val="0"/>
              <w:keepLines w:val="0"/>
              <w:pageBreakBefore w:val="0"/>
              <w:widowControl/>
              <w:kinsoku/>
              <w:wordWrap/>
              <w:overflowPunct/>
              <w:topLinePunct w:val="0"/>
              <w:autoSpaceDE/>
              <w:autoSpaceDN/>
              <w:bidi w:val="0"/>
              <w:adjustRightInd w:val="0"/>
              <w:snapToGrid w:val="0"/>
              <w:ind w:left="0" w:right="0"/>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固体废物</w:t>
            </w:r>
          </w:p>
        </w:tc>
        <w:tc>
          <w:tcPr>
            <w:tcW w:w="1877" w:type="dxa"/>
            <w:shd w:val="clear" w:color="auto" w:fill="auto"/>
            <w:vAlign w:val="center"/>
          </w:tcPr>
          <w:p w14:paraId="0B57B23E">
            <w:pPr>
              <w:keepNext w:val="0"/>
              <w:keepLines w:val="0"/>
              <w:pageBreakBefore w:val="0"/>
              <w:widowControl/>
              <w:kinsoku/>
              <w:wordWrap/>
              <w:overflowPunct/>
              <w:topLinePunct w:val="0"/>
              <w:autoSpaceDE/>
              <w:autoSpaceDN/>
              <w:bidi w:val="0"/>
              <w:ind w:left="0" w:right="0"/>
              <w:jc w:val="center"/>
              <w:rPr>
                <w:rFonts w:ascii="Times New Roman" w:hAnsi="Times New Roman" w:cs="Times New Roman"/>
                <w:color w:val="auto"/>
                <w:sz w:val="21"/>
                <w:szCs w:val="18"/>
                <w:highlight w:val="none"/>
              </w:rPr>
            </w:pPr>
            <w:r>
              <w:rPr>
                <w:rFonts w:hint="eastAsia" w:ascii="Times New Roman" w:hAnsi="Times New Roman" w:cs="Times New Roman"/>
                <w:color w:val="auto"/>
                <w:sz w:val="21"/>
                <w:szCs w:val="18"/>
                <w:highlight w:val="none"/>
              </w:rPr>
              <w:t>过滤残渣、浸润废料</w:t>
            </w:r>
          </w:p>
        </w:tc>
        <w:tc>
          <w:tcPr>
            <w:tcW w:w="1408" w:type="dxa"/>
            <w:shd w:val="clear" w:color="auto" w:fill="auto"/>
            <w:vAlign w:val="center"/>
          </w:tcPr>
          <w:p w14:paraId="37149E2B">
            <w:pPr>
              <w:keepNext w:val="0"/>
              <w:keepLines w:val="0"/>
              <w:pageBreakBefore w:val="0"/>
              <w:widowControl/>
              <w:kinsoku/>
              <w:wordWrap/>
              <w:overflowPunct/>
              <w:topLinePunct w:val="0"/>
              <w:autoSpaceDE/>
              <w:autoSpaceDN/>
              <w:bidi w:val="0"/>
              <w:ind w:left="0" w:right="0"/>
              <w:jc w:val="center"/>
              <w:textAlignment w:val="center"/>
              <w:rPr>
                <w:rFonts w:ascii="Times New Roman" w:hAnsi="Times New Roman" w:eastAsia="等线" w:cs="Times New Roman"/>
                <w:color w:val="auto"/>
                <w:sz w:val="21"/>
                <w:szCs w:val="21"/>
                <w:highlight w:val="none"/>
              </w:rPr>
            </w:pPr>
            <w:r>
              <w:rPr>
                <w:rFonts w:ascii="Times New Roman" w:hAnsi="Times New Roman" w:cs="Times New Roman"/>
                <w:color w:val="auto"/>
                <w:sz w:val="21"/>
                <w:szCs w:val="21"/>
                <w:highlight w:val="none"/>
                <w:lang w:bidi="ar"/>
              </w:rPr>
              <w:t>40</w:t>
            </w:r>
          </w:p>
        </w:tc>
        <w:tc>
          <w:tcPr>
            <w:tcW w:w="1604" w:type="dxa"/>
            <w:shd w:val="clear" w:color="auto" w:fill="auto"/>
            <w:vAlign w:val="center"/>
          </w:tcPr>
          <w:p w14:paraId="2BC1ADAB">
            <w:pPr>
              <w:keepNext w:val="0"/>
              <w:keepLines w:val="0"/>
              <w:pageBreakBefore w:val="0"/>
              <w:widowControl/>
              <w:kinsoku/>
              <w:wordWrap/>
              <w:overflowPunct/>
              <w:topLinePunct w:val="0"/>
              <w:autoSpaceDE/>
              <w:autoSpaceDN/>
              <w:bidi w:val="0"/>
              <w:ind w:left="0" w:right="0"/>
              <w:jc w:val="center"/>
              <w:textAlignment w:val="center"/>
              <w:rPr>
                <w:rFonts w:ascii="Times New Roman" w:hAnsi="Times New Roman" w:eastAsia="等线" w:cs="Times New Roman"/>
                <w:color w:val="auto"/>
                <w:sz w:val="21"/>
                <w:szCs w:val="21"/>
                <w:highlight w:val="none"/>
              </w:rPr>
            </w:pPr>
            <w:r>
              <w:rPr>
                <w:rFonts w:ascii="Times New Roman" w:hAnsi="Times New Roman" w:cs="Times New Roman"/>
                <w:color w:val="auto"/>
                <w:sz w:val="21"/>
                <w:szCs w:val="21"/>
                <w:highlight w:val="none"/>
                <w:lang w:bidi="ar"/>
              </w:rPr>
              <w:t>4</w:t>
            </w:r>
          </w:p>
        </w:tc>
        <w:tc>
          <w:tcPr>
            <w:tcW w:w="1604" w:type="dxa"/>
            <w:shd w:val="clear" w:color="auto" w:fill="auto"/>
            <w:vAlign w:val="center"/>
          </w:tcPr>
          <w:p w14:paraId="7A228165">
            <w:pPr>
              <w:keepNext w:val="0"/>
              <w:keepLines w:val="0"/>
              <w:pageBreakBefore w:val="0"/>
              <w:widowControl/>
              <w:kinsoku/>
              <w:wordWrap/>
              <w:overflowPunct/>
              <w:topLinePunct w:val="0"/>
              <w:autoSpaceDE/>
              <w:autoSpaceDN/>
              <w:bidi w:val="0"/>
              <w:ind w:left="0" w:right="0"/>
              <w:jc w:val="center"/>
              <w:textAlignment w:val="center"/>
              <w:rPr>
                <w:rFonts w:ascii="Times New Roman" w:hAnsi="Times New Roman" w:eastAsia="等线" w:cs="Times New Roman"/>
                <w:color w:val="auto"/>
                <w:sz w:val="21"/>
                <w:szCs w:val="21"/>
                <w:highlight w:val="none"/>
              </w:rPr>
            </w:pPr>
            <w:r>
              <w:rPr>
                <w:rFonts w:ascii="Times New Roman" w:hAnsi="Times New Roman" w:cs="Times New Roman"/>
                <w:color w:val="auto"/>
                <w:sz w:val="21"/>
                <w:szCs w:val="21"/>
                <w:highlight w:val="none"/>
                <w:lang w:bidi="ar"/>
              </w:rPr>
              <w:t>36</w:t>
            </w:r>
          </w:p>
        </w:tc>
      </w:tr>
      <w:tr w14:paraId="7C4B9889">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36" w:hRule="atLeast"/>
        </w:trPr>
        <w:tc>
          <w:tcPr>
            <w:tcW w:w="2225" w:type="dxa"/>
            <w:gridSpan w:val="2"/>
            <w:vMerge w:val="continue"/>
            <w:vAlign w:val="center"/>
          </w:tcPr>
          <w:p w14:paraId="42E2571A">
            <w:pPr>
              <w:keepNext w:val="0"/>
              <w:keepLines w:val="0"/>
              <w:pageBreakBefore w:val="0"/>
              <w:widowControl/>
              <w:kinsoku/>
              <w:wordWrap/>
              <w:overflowPunct/>
              <w:topLinePunct w:val="0"/>
              <w:autoSpaceDE/>
              <w:autoSpaceDN/>
              <w:bidi w:val="0"/>
              <w:adjustRightInd w:val="0"/>
              <w:snapToGrid w:val="0"/>
              <w:ind w:left="0" w:right="0"/>
              <w:jc w:val="center"/>
              <w:rPr>
                <w:rFonts w:ascii="Times New Roman" w:hAnsi="Times New Roman" w:cs="Times New Roman"/>
                <w:color w:val="auto"/>
                <w:sz w:val="21"/>
                <w:szCs w:val="21"/>
                <w:highlight w:val="none"/>
              </w:rPr>
            </w:pPr>
          </w:p>
        </w:tc>
        <w:tc>
          <w:tcPr>
            <w:tcW w:w="1877" w:type="dxa"/>
            <w:shd w:val="clear" w:color="auto" w:fill="auto"/>
            <w:vAlign w:val="center"/>
          </w:tcPr>
          <w:p w14:paraId="26F6060B">
            <w:pPr>
              <w:keepNext w:val="0"/>
              <w:keepLines w:val="0"/>
              <w:pageBreakBefore w:val="0"/>
              <w:widowControl/>
              <w:kinsoku/>
              <w:wordWrap/>
              <w:overflowPunct/>
              <w:topLinePunct w:val="0"/>
              <w:autoSpaceDE/>
              <w:autoSpaceDN/>
              <w:bidi w:val="0"/>
              <w:ind w:left="0" w:right="0"/>
              <w:jc w:val="center"/>
              <w:rPr>
                <w:rFonts w:ascii="Times New Roman" w:hAnsi="Times New Roman" w:cs="Times New Roman"/>
                <w:color w:val="auto"/>
                <w:sz w:val="21"/>
                <w:szCs w:val="18"/>
                <w:highlight w:val="none"/>
              </w:rPr>
            </w:pPr>
            <w:r>
              <w:rPr>
                <w:rFonts w:hint="eastAsia" w:ascii="Times New Roman" w:hAnsi="Times New Roman" w:cs="Times New Roman"/>
                <w:color w:val="auto"/>
                <w:sz w:val="21"/>
                <w:szCs w:val="18"/>
                <w:highlight w:val="none"/>
              </w:rPr>
              <w:t>废滤芯</w:t>
            </w:r>
          </w:p>
        </w:tc>
        <w:tc>
          <w:tcPr>
            <w:tcW w:w="1408" w:type="dxa"/>
            <w:shd w:val="clear" w:color="auto" w:fill="auto"/>
            <w:vAlign w:val="center"/>
          </w:tcPr>
          <w:p w14:paraId="4932F283">
            <w:pPr>
              <w:keepNext w:val="0"/>
              <w:keepLines w:val="0"/>
              <w:pageBreakBefore w:val="0"/>
              <w:widowControl/>
              <w:kinsoku/>
              <w:wordWrap/>
              <w:overflowPunct/>
              <w:topLinePunct w:val="0"/>
              <w:autoSpaceDE/>
              <w:autoSpaceDN/>
              <w:bidi w:val="0"/>
              <w:ind w:left="0" w:right="0"/>
              <w:jc w:val="center"/>
              <w:textAlignment w:val="center"/>
              <w:rPr>
                <w:rFonts w:ascii="Times New Roman" w:hAnsi="Times New Roman" w:eastAsia="等线" w:cs="Times New Roman"/>
                <w:color w:val="auto"/>
                <w:sz w:val="21"/>
                <w:szCs w:val="21"/>
                <w:highlight w:val="none"/>
              </w:rPr>
            </w:pPr>
            <w:r>
              <w:rPr>
                <w:rFonts w:ascii="Times New Roman" w:hAnsi="Times New Roman" w:cs="Times New Roman"/>
                <w:color w:val="auto"/>
                <w:sz w:val="21"/>
                <w:szCs w:val="21"/>
                <w:highlight w:val="none"/>
                <w:lang w:bidi="ar"/>
              </w:rPr>
              <w:t>5</w:t>
            </w:r>
          </w:p>
        </w:tc>
        <w:tc>
          <w:tcPr>
            <w:tcW w:w="1604" w:type="dxa"/>
            <w:shd w:val="clear" w:color="auto" w:fill="auto"/>
            <w:vAlign w:val="center"/>
          </w:tcPr>
          <w:p w14:paraId="5E97DF63">
            <w:pPr>
              <w:keepNext w:val="0"/>
              <w:keepLines w:val="0"/>
              <w:pageBreakBefore w:val="0"/>
              <w:widowControl/>
              <w:kinsoku/>
              <w:wordWrap/>
              <w:overflowPunct/>
              <w:topLinePunct w:val="0"/>
              <w:autoSpaceDE/>
              <w:autoSpaceDN/>
              <w:bidi w:val="0"/>
              <w:ind w:left="0" w:right="0"/>
              <w:jc w:val="center"/>
              <w:textAlignment w:val="center"/>
              <w:rPr>
                <w:rFonts w:ascii="Times New Roman" w:hAnsi="Times New Roman" w:eastAsia="等线" w:cs="Times New Roman"/>
                <w:color w:val="auto"/>
                <w:sz w:val="21"/>
                <w:szCs w:val="21"/>
                <w:highlight w:val="none"/>
              </w:rPr>
            </w:pPr>
            <w:r>
              <w:rPr>
                <w:rFonts w:ascii="Times New Roman" w:hAnsi="Times New Roman" w:cs="Times New Roman"/>
                <w:color w:val="auto"/>
                <w:sz w:val="21"/>
                <w:szCs w:val="21"/>
                <w:highlight w:val="none"/>
                <w:lang w:bidi="ar"/>
              </w:rPr>
              <w:t>0</w:t>
            </w:r>
          </w:p>
        </w:tc>
        <w:tc>
          <w:tcPr>
            <w:tcW w:w="1604" w:type="dxa"/>
            <w:shd w:val="clear" w:color="auto" w:fill="auto"/>
            <w:vAlign w:val="center"/>
          </w:tcPr>
          <w:p w14:paraId="695D1140">
            <w:pPr>
              <w:keepNext w:val="0"/>
              <w:keepLines w:val="0"/>
              <w:pageBreakBefore w:val="0"/>
              <w:widowControl/>
              <w:kinsoku/>
              <w:wordWrap/>
              <w:overflowPunct/>
              <w:topLinePunct w:val="0"/>
              <w:autoSpaceDE/>
              <w:autoSpaceDN/>
              <w:bidi w:val="0"/>
              <w:ind w:left="0" w:right="0"/>
              <w:jc w:val="center"/>
              <w:textAlignment w:val="center"/>
              <w:rPr>
                <w:rFonts w:ascii="Times New Roman" w:hAnsi="Times New Roman" w:eastAsia="等线" w:cs="Times New Roman"/>
                <w:color w:val="auto"/>
                <w:sz w:val="21"/>
                <w:szCs w:val="21"/>
                <w:highlight w:val="none"/>
              </w:rPr>
            </w:pPr>
            <w:r>
              <w:rPr>
                <w:rFonts w:ascii="Times New Roman" w:hAnsi="Times New Roman" w:cs="Times New Roman"/>
                <w:color w:val="auto"/>
                <w:sz w:val="21"/>
                <w:szCs w:val="21"/>
                <w:highlight w:val="none"/>
                <w:lang w:bidi="ar"/>
              </w:rPr>
              <w:t>5</w:t>
            </w:r>
          </w:p>
        </w:tc>
      </w:tr>
      <w:tr w14:paraId="6414D377">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36" w:hRule="atLeast"/>
        </w:trPr>
        <w:tc>
          <w:tcPr>
            <w:tcW w:w="2225" w:type="dxa"/>
            <w:gridSpan w:val="2"/>
            <w:vMerge w:val="continue"/>
            <w:vAlign w:val="center"/>
          </w:tcPr>
          <w:p w14:paraId="32C348DD">
            <w:pPr>
              <w:keepNext w:val="0"/>
              <w:keepLines w:val="0"/>
              <w:pageBreakBefore w:val="0"/>
              <w:widowControl/>
              <w:kinsoku/>
              <w:wordWrap/>
              <w:overflowPunct/>
              <w:topLinePunct w:val="0"/>
              <w:autoSpaceDE/>
              <w:autoSpaceDN/>
              <w:bidi w:val="0"/>
              <w:adjustRightInd w:val="0"/>
              <w:snapToGrid w:val="0"/>
              <w:ind w:left="0" w:right="0"/>
              <w:jc w:val="center"/>
              <w:rPr>
                <w:rFonts w:ascii="Times New Roman" w:hAnsi="Times New Roman" w:cs="Times New Roman"/>
                <w:color w:val="auto"/>
                <w:sz w:val="21"/>
                <w:szCs w:val="21"/>
                <w:highlight w:val="none"/>
              </w:rPr>
            </w:pPr>
          </w:p>
        </w:tc>
        <w:tc>
          <w:tcPr>
            <w:tcW w:w="1877" w:type="dxa"/>
            <w:shd w:val="clear" w:color="auto" w:fill="auto"/>
            <w:vAlign w:val="center"/>
          </w:tcPr>
          <w:p w14:paraId="618DA5CC">
            <w:pPr>
              <w:keepNext w:val="0"/>
              <w:keepLines w:val="0"/>
              <w:pageBreakBefore w:val="0"/>
              <w:widowControl/>
              <w:kinsoku/>
              <w:wordWrap/>
              <w:overflowPunct/>
              <w:topLinePunct w:val="0"/>
              <w:autoSpaceDE/>
              <w:autoSpaceDN/>
              <w:bidi w:val="0"/>
              <w:ind w:left="0" w:right="0"/>
              <w:jc w:val="center"/>
              <w:rPr>
                <w:rFonts w:ascii="Times New Roman" w:hAnsi="Times New Roman" w:cs="Times New Roman"/>
                <w:color w:val="auto"/>
                <w:sz w:val="21"/>
                <w:szCs w:val="18"/>
                <w:highlight w:val="none"/>
              </w:rPr>
            </w:pPr>
            <w:r>
              <w:rPr>
                <w:rFonts w:hint="eastAsia" w:ascii="Times New Roman" w:hAnsi="Times New Roman" w:cs="Times New Roman"/>
                <w:color w:val="auto"/>
                <w:sz w:val="21"/>
                <w:szCs w:val="18"/>
                <w:highlight w:val="none"/>
              </w:rPr>
              <w:t>废丁酮（含废树脂）</w:t>
            </w:r>
          </w:p>
        </w:tc>
        <w:tc>
          <w:tcPr>
            <w:tcW w:w="1408" w:type="dxa"/>
            <w:shd w:val="clear" w:color="auto" w:fill="auto"/>
            <w:vAlign w:val="center"/>
          </w:tcPr>
          <w:p w14:paraId="22998716">
            <w:pPr>
              <w:keepNext w:val="0"/>
              <w:keepLines w:val="0"/>
              <w:pageBreakBefore w:val="0"/>
              <w:widowControl/>
              <w:kinsoku/>
              <w:wordWrap/>
              <w:overflowPunct/>
              <w:topLinePunct w:val="0"/>
              <w:autoSpaceDE/>
              <w:autoSpaceDN/>
              <w:bidi w:val="0"/>
              <w:ind w:left="0" w:right="0"/>
              <w:jc w:val="center"/>
              <w:textAlignment w:val="center"/>
              <w:rPr>
                <w:rFonts w:ascii="Times New Roman" w:hAnsi="Times New Roman" w:eastAsia="等线" w:cs="Times New Roman"/>
                <w:color w:val="auto"/>
                <w:sz w:val="21"/>
                <w:szCs w:val="21"/>
                <w:highlight w:val="none"/>
              </w:rPr>
            </w:pPr>
            <w:r>
              <w:rPr>
                <w:rFonts w:ascii="Times New Roman" w:hAnsi="Times New Roman" w:cs="Times New Roman"/>
                <w:color w:val="auto"/>
                <w:sz w:val="21"/>
                <w:szCs w:val="21"/>
                <w:highlight w:val="none"/>
                <w:lang w:bidi="ar"/>
              </w:rPr>
              <w:t>153.75</w:t>
            </w:r>
          </w:p>
        </w:tc>
        <w:tc>
          <w:tcPr>
            <w:tcW w:w="1604" w:type="dxa"/>
            <w:shd w:val="clear" w:color="auto" w:fill="auto"/>
            <w:vAlign w:val="center"/>
          </w:tcPr>
          <w:p w14:paraId="60A72398">
            <w:pPr>
              <w:keepNext w:val="0"/>
              <w:keepLines w:val="0"/>
              <w:pageBreakBefore w:val="0"/>
              <w:widowControl/>
              <w:kinsoku/>
              <w:wordWrap/>
              <w:overflowPunct/>
              <w:topLinePunct w:val="0"/>
              <w:autoSpaceDE/>
              <w:autoSpaceDN/>
              <w:bidi w:val="0"/>
              <w:ind w:left="0" w:right="0"/>
              <w:jc w:val="center"/>
              <w:textAlignment w:val="center"/>
              <w:rPr>
                <w:rFonts w:ascii="Times New Roman" w:hAnsi="Times New Roman" w:eastAsia="等线" w:cs="Times New Roman"/>
                <w:color w:val="auto"/>
                <w:sz w:val="21"/>
                <w:szCs w:val="21"/>
                <w:highlight w:val="none"/>
              </w:rPr>
            </w:pPr>
            <w:r>
              <w:rPr>
                <w:rFonts w:ascii="Times New Roman" w:hAnsi="Times New Roman" w:cs="Times New Roman"/>
                <w:color w:val="auto"/>
                <w:sz w:val="21"/>
                <w:szCs w:val="21"/>
                <w:highlight w:val="none"/>
                <w:lang w:bidi="ar"/>
              </w:rPr>
              <w:t>15.375</w:t>
            </w:r>
          </w:p>
        </w:tc>
        <w:tc>
          <w:tcPr>
            <w:tcW w:w="1604" w:type="dxa"/>
            <w:shd w:val="clear" w:color="auto" w:fill="auto"/>
            <w:vAlign w:val="center"/>
          </w:tcPr>
          <w:p w14:paraId="05C1594C">
            <w:pPr>
              <w:keepNext w:val="0"/>
              <w:keepLines w:val="0"/>
              <w:pageBreakBefore w:val="0"/>
              <w:widowControl/>
              <w:kinsoku/>
              <w:wordWrap/>
              <w:overflowPunct/>
              <w:topLinePunct w:val="0"/>
              <w:autoSpaceDE/>
              <w:autoSpaceDN/>
              <w:bidi w:val="0"/>
              <w:ind w:left="0" w:right="0"/>
              <w:jc w:val="center"/>
              <w:textAlignment w:val="center"/>
              <w:rPr>
                <w:rFonts w:ascii="Times New Roman" w:hAnsi="Times New Roman" w:eastAsia="等线" w:cs="Times New Roman"/>
                <w:color w:val="auto"/>
                <w:sz w:val="21"/>
                <w:szCs w:val="21"/>
                <w:highlight w:val="none"/>
              </w:rPr>
            </w:pPr>
            <w:r>
              <w:rPr>
                <w:rFonts w:ascii="Times New Roman" w:hAnsi="Times New Roman" w:cs="Times New Roman"/>
                <w:color w:val="auto"/>
                <w:sz w:val="21"/>
                <w:szCs w:val="21"/>
                <w:highlight w:val="none"/>
                <w:lang w:bidi="ar"/>
              </w:rPr>
              <w:t>138.375</w:t>
            </w:r>
          </w:p>
        </w:tc>
      </w:tr>
      <w:tr w14:paraId="79C4C4A2">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36" w:hRule="atLeast"/>
        </w:trPr>
        <w:tc>
          <w:tcPr>
            <w:tcW w:w="2225" w:type="dxa"/>
            <w:gridSpan w:val="2"/>
            <w:vMerge w:val="continue"/>
            <w:vAlign w:val="center"/>
          </w:tcPr>
          <w:p w14:paraId="7DEE7997">
            <w:pPr>
              <w:keepNext w:val="0"/>
              <w:keepLines w:val="0"/>
              <w:pageBreakBefore w:val="0"/>
              <w:widowControl/>
              <w:kinsoku/>
              <w:wordWrap/>
              <w:overflowPunct/>
              <w:topLinePunct w:val="0"/>
              <w:autoSpaceDE/>
              <w:autoSpaceDN/>
              <w:bidi w:val="0"/>
              <w:adjustRightInd w:val="0"/>
              <w:snapToGrid w:val="0"/>
              <w:ind w:left="0" w:right="0"/>
              <w:jc w:val="center"/>
              <w:rPr>
                <w:rFonts w:ascii="Times New Roman" w:hAnsi="Times New Roman" w:cs="Times New Roman"/>
                <w:color w:val="auto"/>
                <w:sz w:val="21"/>
                <w:szCs w:val="21"/>
                <w:highlight w:val="none"/>
              </w:rPr>
            </w:pPr>
          </w:p>
        </w:tc>
        <w:tc>
          <w:tcPr>
            <w:tcW w:w="1877" w:type="dxa"/>
            <w:shd w:val="clear" w:color="auto" w:fill="auto"/>
            <w:vAlign w:val="center"/>
          </w:tcPr>
          <w:p w14:paraId="4862CA80">
            <w:pPr>
              <w:keepNext w:val="0"/>
              <w:keepLines w:val="0"/>
              <w:pageBreakBefore w:val="0"/>
              <w:widowControl/>
              <w:kinsoku/>
              <w:wordWrap/>
              <w:overflowPunct/>
              <w:topLinePunct w:val="0"/>
              <w:autoSpaceDE/>
              <w:autoSpaceDN/>
              <w:bidi w:val="0"/>
              <w:ind w:left="0" w:right="0"/>
              <w:jc w:val="center"/>
              <w:rPr>
                <w:rFonts w:ascii="Times New Roman" w:hAnsi="Times New Roman" w:cs="Times New Roman"/>
                <w:color w:val="auto"/>
                <w:sz w:val="21"/>
                <w:szCs w:val="18"/>
                <w:highlight w:val="none"/>
              </w:rPr>
            </w:pPr>
            <w:r>
              <w:rPr>
                <w:rFonts w:hint="eastAsia" w:ascii="Times New Roman" w:hAnsi="Times New Roman" w:cs="Times New Roman"/>
                <w:color w:val="auto"/>
                <w:sz w:val="21"/>
                <w:szCs w:val="18"/>
                <w:highlight w:val="none"/>
              </w:rPr>
              <w:t>废活性炭</w:t>
            </w:r>
          </w:p>
        </w:tc>
        <w:tc>
          <w:tcPr>
            <w:tcW w:w="1408" w:type="dxa"/>
            <w:shd w:val="clear" w:color="auto" w:fill="auto"/>
            <w:vAlign w:val="center"/>
          </w:tcPr>
          <w:p w14:paraId="32FBA7C8">
            <w:pPr>
              <w:keepNext w:val="0"/>
              <w:keepLines w:val="0"/>
              <w:pageBreakBefore w:val="0"/>
              <w:widowControl/>
              <w:kinsoku/>
              <w:wordWrap/>
              <w:overflowPunct/>
              <w:topLinePunct w:val="0"/>
              <w:autoSpaceDE/>
              <w:autoSpaceDN/>
              <w:bidi w:val="0"/>
              <w:ind w:left="0" w:right="0"/>
              <w:jc w:val="center"/>
              <w:textAlignment w:val="center"/>
              <w:rPr>
                <w:rFonts w:ascii="Times New Roman" w:hAnsi="Times New Roman" w:eastAsia="等线" w:cs="Times New Roman"/>
                <w:color w:val="auto"/>
                <w:sz w:val="21"/>
                <w:szCs w:val="21"/>
                <w:highlight w:val="none"/>
              </w:rPr>
            </w:pPr>
            <w:r>
              <w:rPr>
                <w:rFonts w:ascii="Times New Roman" w:hAnsi="Times New Roman" w:cs="Times New Roman"/>
                <w:color w:val="auto"/>
                <w:sz w:val="21"/>
                <w:szCs w:val="21"/>
                <w:highlight w:val="none"/>
                <w:lang w:bidi="ar"/>
              </w:rPr>
              <w:t>9.612</w:t>
            </w:r>
          </w:p>
        </w:tc>
        <w:tc>
          <w:tcPr>
            <w:tcW w:w="1604" w:type="dxa"/>
            <w:shd w:val="clear" w:color="auto" w:fill="auto"/>
            <w:vAlign w:val="center"/>
          </w:tcPr>
          <w:p w14:paraId="44097C53">
            <w:pPr>
              <w:keepNext w:val="0"/>
              <w:keepLines w:val="0"/>
              <w:pageBreakBefore w:val="0"/>
              <w:widowControl/>
              <w:kinsoku/>
              <w:wordWrap/>
              <w:overflowPunct/>
              <w:topLinePunct w:val="0"/>
              <w:autoSpaceDE/>
              <w:autoSpaceDN/>
              <w:bidi w:val="0"/>
              <w:ind w:left="0" w:right="0"/>
              <w:jc w:val="center"/>
              <w:textAlignment w:val="center"/>
              <w:rPr>
                <w:rFonts w:ascii="Times New Roman" w:hAnsi="Times New Roman" w:eastAsia="等线" w:cs="Times New Roman"/>
                <w:color w:val="auto"/>
                <w:sz w:val="21"/>
                <w:szCs w:val="21"/>
                <w:highlight w:val="none"/>
              </w:rPr>
            </w:pPr>
            <w:r>
              <w:rPr>
                <w:rFonts w:hint="eastAsia" w:ascii="Times New Roman" w:hAnsi="Times New Roman" w:cs="Times New Roman"/>
                <w:color w:val="auto"/>
                <w:sz w:val="21"/>
                <w:szCs w:val="21"/>
                <w:highlight w:val="none"/>
                <w:lang w:bidi="ar"/>
              </w:rPr>
              <w:t>1.612</w:t>
            </w:r>
          </w:p>
        </w:tc>
        <w:tc>
          <w:tcPr>
            <w:tcW w:w="1604" w:type="dxa"/>
            <w:shd w:val="clear" w:color="auto" w:fill="auto"/>
            <w:vAlign w:val="center"/>
          </w:tcPr>
          <w:p w14:paraId="0AD11DB4">
            <w:pPr>
              <w:keepNext w:val="0"/>
              <w:keepLines w:val="0"/>
              <w:pageBreakBefore w:val="0"/>
              <w:widowControl/>
              <w:kinsoku/>
              <w:wordWrap/>
              <w:overflowPunct/>
              <w:topLinePunct w:val="0"/>
              <w:autoSpaceDE/>
              <w:autoSpaceDN/>
              <w:bidi w:val="0"/>
              <w:ind w:left="0" w:right="0"/>
              <w:jc w:val="center"/>
              <w:textAlignment w:val="center"/>
              <w:rPr>
                <w:rFonts w:ascii="Times New Roman" w:hAnsi="Times New Roman" w:eastAsia="等线" w:cs="Times New Roman"/>
                <w:color w:val="auto"/>
                <w:sz w:val="21"/>
                <w:szCs w:val="21"/>
                <w:highlight w:val="none"/>
              </w:rPr>
            </w:pPr>
            <w:r>
              <w:rPr>
                <w:rFonts w:hint="eastAsia" w:ascii="Times New Roman" w:hAnsi="Times New Roman" w:cs="Times New Roman"/>
                <w:color w:val="auto"/>
                <w:sz w:val="21"/>
                <w:szCs w:val="21"/>
                <w:highlight w:val="none"/>
                <w:lang w:bidi="ar"/>
              </w:rPr>
              <w:t>8</w:t>
            </w:r>
          </w:p>
        </w:tc>
      </w:tr>
      <w:tr w14:paraId="169480F8">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36" w:hRule="atLeast"/>
        </w:trPr>
        <w:tc>
          <w:tcPr>
            <w:tcW w:w="2225" w:type="dxa"/>
            <w:gridSpan w:val="2"/>
            <w:vMerge w:val="continue"/>
            <w:vAlign w:val="center"/>
          </w:tcPr>
          <w:p w14:paraId="72E3E941">
            <w:pPr>
              <w:keepNext w:val="0"/>
              <w:keepLines w:val="0"/>
              <w:pageBreakBefore w:val="0"/>
              <w:widowControl/>
              <w:kinsoku/>
              <w:wordWrap/>
              <w:overflowPunct/>
              <w:topLinePunct w:val="0"/>
              <w:autoSpaceDE/>
              <w:autoSpaceDN/>
              <w:bidi w:val="0"/>
              <w:adjustRightInd w:val="0"/>
              <w:snapToGrid w:val="0"/>
              <w:ind w:left="0" w:right="0"/>
              <w:jc w:val="center"/>
              <w:rPr>
                <w:rFonts w:ascii="Times New Roman" w:hAnsi="Times New Roman" w:cs="Times New Roman"/>
                <w:color w:val="auto"/>
                <w:sz w:val="21"/>
                <w:szCs w:val="21"/>
                <w:highlight w:val="none"/>
              </w:rPr>
            </w:pPr>
          </w:p>
        </w:tc>
        <w:tc>
          <w:tcPr>
            <w:tcW w:w="1877" w:type="dxa"/>
            <w:shd w:val="clear" w:color="auto" w:fill="auto"/>
            <w:vAlign w:val="center"/>
          </w:tcPr>
          <w:p w14:paraId="785B3F62">
            <w:pPr>
              <w:keepNext w:val="0"/>
              <w:keepLines w:val="0"/>
              <w:pageBreakBefore w:val="0"/>
              <w:widowControl/>
              <w:kinsoku/>
              <w:wordWrap/>
              <w:overflowPunct/>
              <w:topLinePunct w:val="0"/>
              <w:autoSpaceDE/>
              <w:autoSpaceDN/>
              <w:bidi w:val="0"/>
              <w:ind w:left="0" w:right="0"/>
              <w:jc w:val="center"/>
              <w:rPr>
                <w:rFonts w:ascii="Times New Roman" w:hAnsi="Times New Roman" w:cs="Times New Roman"/>
                <w:color w:val="auto"/>
                <w:sz w:val="21"/>
                <w:szCs w:val="18"/>
                <w:highlight w:val="none"/>
              </w:rPr>
            </w:pPr>
            <w:r>
              <w:rPr>
                <w:rFonts w:hint="eastAsia" w:ascii="Times New Roman" w:hAnsi="Times New Roman" w:cs="Times New Roman"/>
                <w:color w:val="auto"/>
                <w:sz w:val="21"/>
                <w:szCs w:val="18"/>
                <w:highlight w:val="none"/>
              </w:rPr>
              <w:t>废包装桶</w:t>
            </w:r>
          </w:p>
        </w:tc>
        <w:tc>
          <w:tcPr>
            <w:tcW w:w="1408" w:type="dxa"/>
            <w:shd w:val="clear" w:color="auto" w:fill="auto"/>
            <w:vAlign w:val="center"/>
          </w:tcPr>
          <w:p w14:paraId="48D51374">
            <w:pPr>
              <w:keepNext w:val="0"/>
              <w:keepLines w:val="0"/>
              <w:pageBreakBefore w:val="0"/>
              <w:widowControl/>
              <w:kinsoku/>
              <w:wordWrap/>
              <w:overflowPunct/>
              <w:topLinePunct w:val="0"/>
              <w:autoSpaceDE/>
              <w:autoSpaceDN/>
              <w:bidi w:val="0"/>
              <w:ind w:left="0" w:right="0"/>
              <w:jc w:val="center"/>
              <w:textAlignment w:val="center"/>
              <w:rPr>
                <w:rFonts w:ascii="Times New Roman" w:hAnsi="Times New Roman" w:eastAsia="等线" w:cs="Times New Roman"/>
                <w:color w:val="auto"/>
                <w:sz w:val="21"/>
                <w:szCs w:val="21"/>
                <w:highlight w:val="none"/>
              </w:rPr>
            </w:pPr>
            <w:r>
              <w:rPr>
                <w:rFonts w:ascii="Times New Roman" w:hAnsi="Times New Roman" w:cs="Times New Roman"/>
                <w:color w:val="auto"/>
                <w:sz w:val="21"/>
                <w:szCs w:val="21"/>
                <w:highlight w:val="none"/>
                <w:lang w:bidi="ar"/>
              </w:rPr>
              <w:t>184.135</w:t>
            </w:r>
          </w:p>
        </w:tc>
        <w:tc>
          <w:tcPr>
            <w:tcW w:w="1604" w:type="dxa"/>
            <w:shd w:val="clear" w:color="auto" w:fill="auto"/>
            <w:vAlign w:val="center"/>
          </w:tcPr>
          <w:p w14:paraId="76624BC6">
            <w:pPr>
              <w:keepNext w:val="0"/>
              <w:keepLines w:val="0"/>
              <w:pageBreakBefore w:val="0"/>
              <w:widowControl/>
              <w:kinsoku/>
              <w:wordWrap/>
              <w:overflowPunct/>
              <w:topLinePunct w:val="0"/>
              <w:autoSpaceDE/>
              <w:autoSpaceDN/>
              <w:bidi w:val="0"/>
              <w:ind w:left="0" w:right="0"/>
              <w:jc w:val="center"/>
              <w:textAlignment w:val="center"/>
              <w:rPr>
                <w:rFonts w:ascii="Times New Roman" w:hAnsi="Times New Roman" w:eastAsia="等线" w:cs="Times New Roman"/>
                <w:color w:val="auto"/>
                <w:sz w:val="21"/>
                <w:szCs w:val="21"/>
                <w:highlight w:val="none"/>
              </w:rPr>
            </w:pPr>
            <w:r>
              <w:rPr>
                <w:rFonts w:ascii="Times New Roman" w:hAnsi="Times New Roman" w:cs="Times New Roman"/>
                <w:color w:val="auto"/>
                <w:sz w:val="21"/>
                <w:szCs w:val="21"/>
                <w:highlight w:val="none"/>
                <w:lang w:bidi="ar"/>
              </w:rPr>
              <w:t>18.4135</w:t>
            </w:r>
          </w:p>
        </w:tc>
        <w:tc>
          <w:tcPr>
            <w:tcW w:w="1604" w:type="dxa"/>
            <w:shd w:val="clear" w:color="auto" w:fill="auto"/>
            <w:vAlign w:val="center"/>
          </w:tcPr>
          <w:p w14:paraId="4B159AE0">
            <w:pPr>
              <w:keepNext w:val="0"/>
              <w:keepLines w:val="0"/>
              <w:pageBreakBefore w:val="0"/>
              <w:widowControl/>
              <w:kinsoku/>
              <w:wordWrap/>
              <w:overflowPunct/>
              <w:topLinePunct w:val="0"/>
              <w:autoSpaceDE/>
              <w:autoSpaceDN/>
              <w:bidi w:val="0"/>
              <w:ind w:left="0" w:right="0"/>
              <w:jc w:val="center"/>
              <w:textAlignment w:val="center"/>
              <w:rPr>
                <w:rFonts w:ascii="Times New Roman" w:hAnsi="Times New Roman" w:eastAsia="等线" w:cs="Times New Roman"/>
                <w:color w:val="auto"/>
                <w:sz w:val="21"/>
                <w:szCs w:val="21"/>
                <w:highlight w:val="none"/>
              </w:rPr>
            </w:pPr>
            <w:r>
              <w:rPr>
                <w:rFonts w:ascii="Times New Roman" w:hAnsi="Times New Roman" w:cs="Times New Roman"/>
                <w:color w:val="auto"/>
                <w:sz w:val="21"/>
                <w:szCs w:val="21"/>
                <w:highlight w:val="none"/>
                <w:lang w:bidi="ar"/>
              </w:rPr>
              <w:t>165.7215</w:t>
            </w:r>
          </w:p>
        </w:tc>
      </w:tr>
      <w:tr w14:paraId="23D2F81F">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36" w:hRule="atLeast"/>
        </w:trPr>
        <w:tc>
          <w:tcPr>
            <w:tcW w:w="2225" w:type="dxa"/>
            <w:gridSpan w:val="2"/>
            <w:vMerge w:val="continue"/>
            <w:vAlign w:val="center"/>
          </w:tcPr>
          <w:p w14:paraId="2F1715FE">
            <w:pPr>
              <w:keepNext w:val="0"/>
              <w:keepLines w:val="0"/>
              <w:pageBreakBefore w:val="0"/>
              <w:widowControl/>
              <w:kinsoku/>
              <w:wordWrap/>
              <w:overflowPunct/>
              <w:topLinePunct w:val="0"/>
              <w:autoSpaceDE/>
              <w:autoSpaceDN/>
              <w:bidi w:val="0"/>
              <w:adjustRightInd w:val="0"/>
              <w:snapToGrid w:val="0"/>
              <w:ind w:left="0" w:right="0"/>
              <w:jc w:val="center"/>
              <w:rPr>
                <w:rFonts w:ascii="Times New Roman" w:hAnsi="Times New Roman" w:cs="Times New Roman"/>
                <w:color w:val="auto"/>
                <w:sz w:val="21"/>
                <w:szCs w:val="21"/>
                <w:highlight w:val="none"/>
              </w:rPr>
            </w:pPr>
          </w:p>
        </w:tc>
        <w:tc>
          <w:tcPr>
            <w:tcW w:w="1877" w:type="dxa"/>
            <w:shd w:val="clear" w:color="auto" w:fill="auto"/>
            <w:vAlign w:val="center"/>
          </w:tcPr>
          <w:p w14:paraId="71C25F9C">
            <w:pPr>
              <w:keepNext w:val="0"/>
              <w:keepLines w:val="0"/>
              <w:pageBreakBefore w:val="0"/>
              <w:widowControl/>
              <w:kinsoku/>
              <w:wordWrap/>
              <w:overflowPunct/>
              <w:topLinePunct w:val="0"/>
              <w:autoSpaceDE/>
              <w:autoSpaceDN/>
              <w:bidi w:val="0"/>
              <w:ind w:left="0" w:right="0"/>
              <w:jc w:val="center"/>
              <w:rPr>
                <w:rFonts w:ascii="Times New Roman" w:hAnsi="Times New Roman" w:cs="Times New Roman"/>
                <w:color w:val="auto"/>
                <w:sz w:val="21"/>
                <w:szCs w:val="18"/>
                <w:highlight w:val="none"/>
              </w:rPr>
            </w:pPr>
            <w:r>
              <w:rPr>
                <w:rFonts w:hint="eastAsia" w:ascii="Times New Roman" w:hAnsi="Times New Roman" w:cs="Times New Roman"/>
                <w:color w:val="auto"/>
                <w:sz w:val="21"/>
                <w:szCs w:val="18"/>
                <w:highlight w:val="none"/>
              </w:rPr>
              <w:t>喷淋废液</w:t>
            </w:r>
          </w:p>
        </w:tc>
        <w:tc>
          <w:tcPr>
            <w:tcW w:w="1408" w:type="dxa"/>
            <w:shd w:val="clear" w:color="auto" w:fill="auto"/>
            <w:vAlign w:val="center"/>
          </w:tcPr>
          <w:p w14:paraId="340B8C96">
            <w:pPr>
              <w:keepNext w:val="0"/>
              <w:keepLines w:val="0"/>
              <w:pageBreakBefore w:val="0"/>
              <w:widowControl/>
              <w:kinsoku/>
              <w:wordWrap/>
              <w:overflowPunct/>
              <w:topLinePunct w:val="0"/>
              <w:autoSpaceDE/>
              <w:autoSpaceDN/>
              <w:bidi w:val="0"/>
              <w:ind w:left="0" w:right="0"/>
              <w:jc w:val="center"/>
              <w:textAlignment w:val="center"/>
              <w:rPr>
                <w:rFonts w:ascii="Times New Roman" w:hAnsi="Times New Roman" w:eastAsia="等线" w:cs="Times New Roman"/>
                <w:color w:val="auto"/>
                <w:sz w:val="21"/>
                <w:szCs w:val="21"/>
                <w:highlight w:val="none"/>
              </w:rPr>
            </w:pPr>
            <w:r>
              <w:rPr>
                <w:rFonts w:ascii="Times New Roman" w:hAnsi="Times New Roman" w:cs="Times New Roman"/>
                <w:color w:val="auto"/>
                <w:sz w:val="21"/>
                <w:szCs w:val="21"/>
                <w:highlight w:val="none"/>
                <w:lang w:bidi="ar"/>
              </w:rPr>
              <w:t>600</w:t>
            </w:r>
          </w:p>
        </w:tc>
        <w:tc>
          <w:tcPr>
            <w:tcW w:w="1604" w:type="dxa"/>
            <w:shd w:val="clear" w:color="auto" w:fill="auto"/>
            <w:vAlign w:val="center"/>
          </w:tcPr>
          <w:p w14:paraId="359F4430">
            <w:pPr>
              <w:keepNext w:val="0"/>
              <w:keepLines w:val="0"/>
              <w:pageBreakBefore w:val="0"/>
              <w:widowControl/>
              <w:kinsoku/>
              <w:wordWrap/>
              <w:overflowPunct/>
              <w:topLinePunct w:val="0"/>
              <w:autoSpaceDE/>
              <w:autoSpaceDN/>
              <w:bidi w:val="0"/>
              <w:ind w:left="0" w:right="0"/>
              <w:jc w:val="center"/>
              <w:textAlignment w:val="center"/>
              <w:rPr>
                <w:rFonts w:ascii="Times New Roman" w:hAnsi="Times New Roman" w:eastAsia="等线" w:cs="Times New Roman"/>
                <w:color w:val="auto"/>
                <w:sz w:val="21"/>
                <w:szCs w:val="21"/>
                <w:highlight w:val="none"/>
              </w:rPr>
            </w:pPr>
            <w:r>
              <w:rPr>
                <w:rFonts w:ascii="Times New Roman" w:hAnsi="Times New Roman" w:cs="Times New Roman"/>
                <w:color w:val="auto"/>
                <w:sz w:val="21"/>
                <w:szCs w:val="21"/>
                <w:highlight w:val="none"/>
                <w:lang w:bidi="ar"/>
              </w:rPr>
              <w:t>0</w:t>
            </w:r>
          </w:p>
        </w:tc>
        <w:tc>
          <w:tcPr>
            <w:tcW w:w="1604" w:type="dxa"/>
            <w:shd w:val="clear" w:color="auto" w:fill="auto"/>
            <w:vAlign w:val="center"/>
          </w:tcPr>
          <w:p w14:paraId="07D513F1">
            <w:pPr>
              <w:keepNext w:val="0"/>
              <w:keepLines w:val="0"/>
              <w:pageBreakBefore w:val="0"/>
              <w:widowControl/>
              <w:kinsoku/>
              <w:wordWrap/>
              <w:overflowPunct/>
              <w:topLinePunct w:val="0"/>
              <w:autoSpaceDE/>
              <w:autoSpaceDN/>
              <w:bidi w:val="0"/>
              <w:ind w:left="0" w:right="0"/>
              <w:jc w:val="center"/>
              <w:textAlignment w:val="center"/>
              <w:rPr>
                <w:rFonts w:ascii="Times New Roman" w:hAnsi="Times New Roman" w:eastAsia="等线" w:cs="Times New Roman"/>
                <w:color w:val="auto"/>
                <w:sz w:val="21"/>
                <w:szCs w:val="21"/>
                <w:highlight w:val="none"/>
              </w:rPr>
            </w:pPr>
            <w:r>
              <w:rPr>
                <w:rFonts w:ascii="Times New Roman" w:hAnsi="Times New Roman" w:cs="Times New Roman"/>
                <w:color w:val="auto"/>
                <w:sz w:val="21"/>
                <w:szCs w:val="21"/>
                <w:highlight w:val="none"/>
                <w:lang w:bidi="ar"/>
              </w:rPr>
              <w:t>600</w:t>
            </w:r>
          </w:p>
        </w:tc>
      </w:tr>
    </w:tbl>
    <w:p w14:paraId="197BBBC7">
      <w:pPr>
        <w:spacing w:line="360" w:lineRule="auto"/>
        <w:ind w:left="-105" w:right="-105" w:firstLine="480" w:firstLineChars="200"/>
        <w:rPr>
          <w:rFonts w:ascii="Times New Roman" w:hAnsi="Times New Roman"/>
          <w:color w:val="auto"/>
          <w:szCs w:val="22"/>
          <w:highlight w:val="none"/>
        </w:rPr>
      </w:pPr>
    </w:p>
    <w:p w14:paraId="03812A7D">
      <w:pPr>
        <w:spacing w:line="360" w:lineRule="auto"/>
        <w:ind w:left="-105" w:right="-105"/>
        <w:rPr>
          <w:rFonts w:ascii="Times New Roman" w:hAnsi="Times New Roman"/>
          <w:color w:val="auto"/>
          <w:szCs w:val="22"/>
          <w:highlight w:val="none"/>
        </w:rPr>
        <w:sectPr>
          <w:pgSz w:w="11906" w:h="16838"/>
          <w:pgMar w:top="1440" w:right="1701" w:bottom="1440" w:left="1701" w:header="851" w:footer="851" w:gutter="0"/>
          <w:pgBorders>
            <w:top w:val="none" w:sz="0" w:space="0"/>
            <w:left w:val="none" w:sz="0" w:space="0"/>
            <w:bottom w:val="none" w:sz="0" w:space="0"/>
            <w:right w:val="none" w:sz="0" w:space="0"/>
          </w:pgBorders>
          <w:cols w:space="720" w:num="1"/>
          <w:docGrid w:linePitch="498" w:charSpace="-2336"/>
        </w:sectPr>
      </w:pPr>
    </w:p>
    <w:p w14:paraId="54277DEE">
      <w:pPr>
        <w:pStyle w:val="3"/>
        <w:numPr>
          <w:ilvl w:val="0"/>
          <w:numId w:val="6"/>
        </w:numPr>
        <w:spacing w:before="120" w:beforeLines="50" w:afterLines="50" w:line="360" w:lineRule="auto"/>
        <w:ind w:left="-105" w:right="-105"/>
        <w:rPr>
          <w:rFonts w:ascii="Times New Roman" w:eastAsia="宋体"/>
          <w:color w:val="auto"/>
          <w:sz w:val="32"/>
          <w:szCs w:val="32"/>
          <w:highlight w:val="none"/>
        </w:rPr>
      </w:pPr>
      <w:bookmarkStart w:id="211" w:name="_Toc60653486"/>
      <w:bookmarkStart w:id="212" w:name="_Toc3286"/>
      <w:r>
        <w:rPr>
          <w:rFonts w:ascii="Times New Roman" w:eastAsia="宋体"/>
          <w:color w:val="auto"/>
          <w:sz w:val="32"/>
          <w:szCs w:val="32"/>
          <w:highlight w:val="none"/>
        </w:rPr>
        <w:t>本项目</w:t>
      </w:r>
      <w:bookmarkEnd w:id="185"/>
      <w:bookmarkEnd w:id="186"/>
      <w:bookmarkEnd w:id="187"/>
      <w:bookmarkEnd w:id="188"/>
      <w:bookmarkEnd w:id="211"/>
      <w:r>
        <w:rPr>
          <w:rFonts w:ascii="Times New Roman" w:eastAsia="宋体"/>
          <w:color w:val="auto"/>
          <w:sz w:val="32"/>
          <w:szCs w:val="32"/>
          <w:highlight w:val="none"/>
        </w:rPr>
        <w:t>概况与工程分析</w:t>
      </w:r>
      <w:bookmarkEnd w:id="212"/>
    </w:p>
    <w:p w14:paraId="18DD6D22">
      <w:pPr>
        <w:pStyle w:val="4"/>
        <w:numPr>
          <w:ilvl w:val="1"/>
          <w:numId w:val="6"/>
        </w:numPr>
        <w:tabs>
          <w:tab w:val="left" w:pos="426"/>
        </w:tabs>
        <w:spacing w:before="120" w:beforeLines="50" w:after="120" w:afterLines="50" w:line="360" w:lineRule="auto"/>
        <w:ind w:left="-105" w:right="-105"/>
        <w:rPr>
          <w:rFonts w:ascii="Times New Roman" w:eastAsia="宋体"/>
          <w:color w:val="auto"/>
          <w:sz w:val="28"/>
          <w:szCs w:val="28"/>
          <w:highlight w:val="none"/>
        </w:rPr>
      </w:pPr>
      <w:bookmarkStart w:id="213" w:name="_Toc23552"/>
      <w:bookmarkStart w:id="214" w:name="_Toc24317"/>
      <w:bookmarkStart w:id="215" w:name="_Toc60653487"/>
      <w:r>
        <w:rPr>
          <w:rFonts w:ascii="Times New Roman" w:eastAsia="宋体"/>
          <w:color w:val="auto"/>
          <w:sz w:val="28"/>
          <w:szCs w:val="28"/>
          <w:highlight w:val="none"/>
        </w:rPr>
        <w:t>项目概况</w:t>
      </w:r>
      <w:bookmarkEnd w:id="213"/>
      <w:bookmarkEnd w:id="214"/>
      <w:bookmarkEnd w:id="215"/>
    </w:p>
    <w:p w14:paraId="0A3BFDF1">
      <w:pPr>
        <w:pStyle w:val="5"/>
        <w:keepLines w:val="0"/>
        <w:numPr>
          <w:ilvl w:val="2"/>
          <w:numId w:val="6"/>
        </w:numPr>
        <w:tabs>
          <w:tab w:val="left" w:pos="567"/>
          <w:tab w:val="left" w:pos="709"/>
        </w:tabs>
        <w:spacing w:before="120" w:beforeLines="50" w:after="120" w:afterLines="50" w:line="360" w:lineRule="auto"/>
        <w:ind w:left="-105" w:right="-105"/>
        <w:rPr>
          <w:rFonts w:eastAsia="宋体"/>
          <w:color w:val="auto"/>
          <w:sz w:val="28"/>
          <w:szCs w:val="28"/>
          <w:highlight w:val="none"/>
        </w:rPr>
      </w:pPr>
      <w:bookmarkStart w:id="216" w:name="_Toc60653488"/>
      <w:r>
        <w:rPr>
          <w:rFonts w:eastAsia="宋体"/>
          <w:color w:val="auto"/>
          <w:sz w:val="28"/>
          <w:szCs w:val="28"/>
          <w:highlight w:val="none"/>
        </w:rPr>
        <w:t>项目基本情况</w:t>
      </w:r>
      <w:bookmarkEnd w:id="216"/>
    </w:p>
    <w:p w14:paraId="29D45933">
      <w:pPr>
        <w:spacing w:line="360" w:lineRule="auto"/>
        <w:ind w:left="-105" w:right="-105" w:firstLine="480"/>
        <w:rPr>
          <w:rFonts w:ascii="Times New Roman" w:hAnsi="Times New Roman"/>
          <w:color w:val="auto"/>
          <w:szCs w:val="18"/>
          <w:highlight w:val="none"/>
        </w:rPr>
      </w:pPr>
      <w:r>
        <w:rPr>
          <w:rFonts w:ascii="Times New Roman" w:hAnsi="Times New Roman"/>
          <w:color w:val="auto"/>
          <w:szCs w:val="18"/>
          <w:highlight w:val="none"/>
        </w:rPr>
        <w:t>企业名称：</w:t>
      </w:r>
      <w:r>
        <w:rPr>
          <w:rFonts w:hint="eastAsia" w:ascii="Times New Roman" w:hAnsi="Times New Roman"/>
          <w:color w:val="auto"/>
          <w:szCs w:val="18"/>
          <w:highlight w:val="none"/>
        </w:rPr>
        <w:t>化药化工（无锡）有限公司</w:t>
      </w:r>
    </w:p>
    <w:p w14:paraId="5627D186">
      <w:pPr>
        <w:spacing w:line="360" w:lineRule="auto"/>
        <w:ind w:left="-105" w:right="-105" w:firstLine="480"/>
        <w:rPr>
          <w:rFonts w:ascii="Times New Roman" w:hAnsi="Times New Roman"/>
          <w:color w:val="auto"/>
          <w:szCs w:val="18"/>
          <w:highlight w:val="none"/>
        </w:rPr>
      </w:pPr>
      <w:r>
        <w:rPr>
          <w:rFonts w:ascii="Times New Roman" w:hAnsi="Times New Roman"/>
          <w:color w:val="auto"/>
          <w:szCs w:val="18"/>
          <w:highlight w:val="none"/>
        </w:rPr>
        <w:t>项目名称：</w:t>
      </w:r>
      <w:r>
        <w:rPr>
          <w:rFonts w:hint="eastAsia" w:ascii="Times New Roman" w:hAnsi="Times New Roman"/>
          <w:color w:val="auto"/>
          <w:szCs w:val="18"/>
          <w:highlight w:val="none"/>
        </w:rPr>
        <w:t>年产剥离液800t</w:t>
      </w:r>
      <w:r>
        <w:rPr>
          <w:rFonts w:ascii="Times New Roman" w:hAnsi="Times New Roman"/>
          <w:color w:val="auto"/>
          <w:szCs w:val="18"/>
          <w:highlight w:val="none"/>
        </w:rPr>
        <w:t>项目</w:t>
      </w:r>
    </w:p>
    <w:p w14:paraId="5752144C">
      <w:pPr>
        <w:spacing w:line="360" w:lineRule="auto"/>
        <w:ind w:left="-105" w:right="-105" w:firstLine="480"/>
        <w:rPr>
          <w:rFonts w:ascii="Times New Roman" w:hAnsi="Times New Roman"/>
          <w:color w:val="auto"/>
          <w:szCs w:val="18"/>
          <w:highlight w:val="none"/>
        </w:rPr>
      </w:pPr>
      <w:r>
        <w:rPr>
          <w:rFonts w:ascii="Times New Roman" w:hAnsi="Times New Roman"/>
          <w:color w:val="auto"/>
          <w:szCs w:val="18"/>
          <w:highlight w:val="none"/>
        </w:rPr>
        <w:t>项目性质：</w:t>
      </w:r>
      <w:r>
        <w:rPr>
          <w:rFonts w:hint="eastAsia" w:ascii="Times New Roman" w:hAnsi="Times New Roman"/>
          <w:color w:val="auto"/>
          <w:szCs w:val="18"/>
          <w:highlight w:val="none"/>
        </w:rPr>
        <w:t>扩</w:t>
      </w:r>
      <w:r>
        <w:rPr>
          <w:rFonts w:ascii="Times New Roman" w:hAnsi="Times New Roman"/>
          <w:color w:val="auto"/>
          <w:szCs w:val="18"/>
          <w:highlight w:val="none"/>
        </w:rPr>
        <w:t>建</w:t>
      </w:r>
    </w:p>
    <w:p w14:paraId="41FC32E6">
      <w:pPr>
        <w:spacing w:line="360" w:lineRule="auto"/>
        <w:ind w:left="-105" w:right="-105" w:firstLine="480"/>
        <w:rPr>
          <w:rFonts w:ascii="Times New Roman" w:hAnsi="Times New Roman"/>
          <w:color w:val="auto"/>
          <w:szCs w:val="18"/>
          <w:highlight w:val="none"/>
        </w:rPr>
      </w:pPr>
      <w:r>
        <w:rPr>
          <w:rFonts w:ascii="Times New Roman" w:hAnsi="Times New Roman"/>
          <w:color w:val="auto"/>
          <w:szCs w:val="18"/>
          <w:highlight w:val="none"/>
        </w:rPr>
        <w:t>行业类别：</w:t>
      </w:r>
      <w:r>
        <w:rPr>
          <w:rFonts w:hint="eastAsia" w:ascii="Times New Roman" w:hAnsi="Times New Roman"/>
          <w:color w:val="auto"/>
          <w:szCs w:val="18"/>
          <w:highlight w:val="none"/>
        </w:rPr>
        <w:t>电子专用材料制造</w:t>
      </w:r>
      <w:r>
        <w:rPr>
          <w:rFonts w:ascii="Times New Roman" w:hAnsi="Times New Roman"/>
          <w:color w:val="auto"/>
          <w:szCs w:val="18"/>
          <w:highlight w:val="none"/>
        </w:rPr>
        <w:t>【</w:t>
      </w:r>
      <w:r>
        <w:rPr>
          <w:rFonts w:hint="eastAsia" w:ascii="Times New Roman" w:hAnsi="Times New Roman"/>
          <w:color w:val="auto"/>
          <w:szCs w:val="18"/>
          <w:highlight w:val="none"/>
        </w:rPr>
        <w:t>C3985</w:t>
      </w:r>
      <w:r>
        <w:rPr>
          <w:rFonts w:ascii="Times New Roman" w:hAnsi="Times New Roman"/>
          <w:color w:val="auto"/>
          <w:szCs w:val="18"/>
          <w:highlight w:val="none"/>
        </w:rPr>
        <w:t>】</w:t>
      </w:r>
    </w:p>
    <w:p w14:paraId="491E323F">
      <w:pPr>
        <w:spacing w:line="360" w:lineRule="auto"/>
        <w:ind w:left="-105" w:right="-105" w:firstLine="480"/>
        <w:rPr>
          <w:rFonts w:ascii="Times New Roman" w:hAnsi="Times New Roman"/>
          <w:color w:val="auto"/>
          <w:szCs w:val="18"/>
          <w:highlight w:val="none"/>
        </w:rPr>
      </w:pPr>
      <w:r>
        <w:rPr>
          <w:rFonts w:hint="eastAsia" w:ascii="Times New Roman" w:hAnsi="Times New Roman"/>
          <w:color w:val="auto"/>
          <w:szCs w:val="18"/>
          <w:highlight w:val="none"/>
        </w:rPr>
        <w:t>项目代码：2303-320205-89-05-489711</w:t>
      </w:r>
    </w:p>
    <w:p w14:paraId="27A28A21">
      <w:pPr>
        <w:spacing w:line="360" w:lineRule="auto"/>
        <w:ind w:left="-105" w:right="-105" w:firstLine="480"/>
        <w:rPr>
          <w:rFonts w:ascii="Times New Roman" w:hAnsi="Times New Roman"/>
          <w:color w:val="auto"/>
          <w:szCs w:val="18"/>
          <w:highlight w:val="none"/>
        </w:rPr>
      </w:pPr>
      <w:r>
        <w:rPr>
          <w:rFonts w:ascii="Times New Roman" w:hAnsi="Times New Roman"/>
          <w:color w:val="auto"/>
          <w:szCs w:val="18"/>
          <w:highlight w:val="none"/>
        </w:rPr>
        <w:t>建设地点：</w:t>
      </w:r>
      <w:bookmarkStart w:id="217" w:name="_Hlk35170513"/>
      <w:r>
        <w:rPr>
          <w:rFonts w:hint="eastAsia" w:ascii="Times New Roman" w:hAnsi="Times New Roman"/>
          <w:color w:val="auto"/>
          <w:szCs w:val="18"/>
          <w:highlight w:val="none"/>
        </w:rPr>
        <w:t>江苏省</w:t>
      </w:r>
      <w:r>
        <w:rPr>
          <w:rFonts w:ascii="Times New Roman" w:hAnsi="Times New Roman"/>
          <w:color w:val="auto"/>
          <w:szCs w:val="18"/>
          <w:highlight w:val="none"/>
        </w:rPr>
        <w:t>无锡市锡山区</w:t>
      </w:r>
      <w:r>
        <w:rPr>
          <w:rFonts w:hint="eastAsia" w:ascii="Times New Roman" w:hAnsi="Times New Roman"/>
          <w:color w:val="auto"/>
          <w:szCs w:val="18"/>
          <w:highlight w:val="none"/>
        </w:rPr>
        <w:t>锡北</w:t>
      </w:r>
      <w:r>
        <w:rPr>
          <w:rFonts w:ascii="Times New Roman" w:hAnsi="Times New Roman"/>
          <w:color w:val="auto"/>
          <w:szCs w:val="18"/>
          <w:highlight w:val="none"/>
        </w:rPr>
        <w:t>镇</w:t>
      </w:r>
      <w:bookmarkEnd w:id="217"/>
      <w:r>
        <w:rPr>
          <w:rFonts w:hint="eastAsia" w:ascii="Times New Roman" w:hAnsi="Times New Roman"/>
          <w:color w:val="auto"/>
          <w:szCs w:val="18"/>
          <w:highlight w:val="none"/>
        </w:rPr>
        <w:t>新坝村新达路6号</w:t>
      </w:r>
    </w:p>
    <w:p w14:paraId="3927CCDA">
      <w:pPr>
        <w:spacing w:line="360" w:lineRule="auto"/>
        <w:ind w:left="-105" w:right="-105" w:firstLine="480"/>
        <w:rPr>
          <w:rFonts w:ascii="Times New Roman" w:hAnsi="Times New Roman"/>
          <w:color w:val="auto"/>
          <w:szCs w:val="18"/>
          <w:highlight w:val="none"/>
        </w:rPr>
      </w:pPr>
      <w:r>
        <w:rPr>
          <w:rFonts w:ascii="Times New Roman" w:hAnsi="Times New Roman"/>
          <w:color w:val="auto"/>
          <w:szCs w:val="18"/>
          <w:highlight w:val="none"/>
        </w:rPr>
        <w:t>投资总额：</w:t>
      </w:r>
      <w:r>
        <w:rPr>
          <w:rFonts w:hint="eastAsia" w:ascii="Times New Roman" w:hAnsi="Times New Roman"/>
          <w:color w:val="auto"/>
          <w:szCs w:val="18"/>
          <w:highlight w:val="none"/>
        </w:rPr>
        <w:t>1000</w:t>
      </w:r>
      <w:r>
        <w:rPr>
          <w:rFonts w:ascii="Times New Roman" w:hAnsi="Times New Roman"/>
          <w:color w:val="auto"/>
          <w:szCs w:val="18"/>
          <w:highlight w:val="none"/>
        </w:rPr>
        <w:t>万元</w:t>
      </w:r>
    </w:p>
    <w:p w14:paraId="1D2EDC88">
      <w:pPr>
        <w:spacing w:line="360" w:lineRule="auto"/>
        <w:ind w:left="-105" w:right="-105" w:firstLine="480"/>
        <w:rPr>
          <w:rFonts w:ascii="Times New Roman" w:hAnsi="Times New Roman"/>
          <w:color w:val="auto"/>
          <w:szCs w:val="18"/>
          <w:highlight w:val="none"/>
        </w:rPr>
      </w:pPr>
      <w:r>
        <w:rPr>
          <w:rFonts w:ascii="Times New Roman" w:hAnsi="Times New Roman"/>
          <w:color w:val="auto"/>
          <w:szCs w:val="18"/>
          <w:highlight w:val="none"/>
        </w:rPr>
        <w:t>占地面积：</w:t>
      </w:r>
      <w:r>
        <w:rPr>
          <w:rFonts w:hint="eastAsia" w:ascii="Times New Roman" w:hAnsi="Times New Roman"/>
          <w:color w:val="auto"/>
          <w:szCs w:val="18"/>
          <w:highlight w:val="none"/>
        </w:rPr>
        <w:t>5353.28</w:t>
      </w:r>
      <w:r>
        <w:rPr>
          <w:rFonts w:ascii="Times New Roman" w:hAnsi="Times New Roman"/>
          <w:color w:val="auto"/>
          <w:szCs w:val="18"/>
          <w:highlight w:val="none"/>
        </w:rPr>
        <w:t>平方米</w:t>
      </w:r>
    </w:p>
    <w:p w14:paraId="18A8D28C">
      <w:pPr>
        <w:spacing w:line="360" w:lineRule="auto"/>
        <w:ind w:left="-105" w:right="-105" w:firstLine="480"/>
        <w:rPr>
          <w:rFonts w:ascii="Times New Roman" w:hAnsi="Times New Roman"/>
          <w:color w:val="auto"/>
          <w:szCs w:val="18"/>
          <w:highlight w:val="none"/>
        </w:rPr>
      </w:pPr>
      <w:r>
        <w:rPr>
          <w:rFonts w:ascii="Times New Roman" w:hAnsi="Times New Roman"/>
          <w:color w:val="auto"/>
          <w:szCs w:val="18"/>
          <w:highlight w:val="none"/>
        </w:rPr>
        <w:t>建设规模：</w:t>
      </w:r>
      <w:r>
        <w:rPr>
          <w:rFonts w:hint="eastAsia" w:ascii="Times New Roman" w:hAnsi="Times New Roman"/>
          <w:color w:val="auto"/>
          <w:szCs w:val="18"/>
          <w:highlight w:val="none"/>
        </w:rPr>
        <w:t>根据市场需求，公司投资1000万元，利用现有厂房，购置混合槽、反渗透装置等设备，建设年产剥离液800t项目，并配套相关检测实验室</w:t>
      </w:r>
      <w:r>
        <w:rPr>
          <w:rFonts w:ascii="Times New Roman" w:hAnsi="Times New Roman"/>
          <w:color w:val="auto"/>
          <w:szCs w:val="18"/>
          <w:highlight w:val="none"/>
        </w:rPr>
        <w:t>。</w:t>
      </w:r>
    </w:p>
    <w:p w14:paraId="279CAA73">
      <w:pPr>
        <w:spacing w:line="360" w:lineRule="auto"/>
        <w:ind w:left="-105" w:right="-105" w:firstLine="480"/>
        <w:rPr>
          <w:rFonts w:ascii="Times New Roman" w:hAnsi="Times New Roman"/>
          <w:color w:val="auto"/>
          <w:szCs w:val="18"/>
          <w:highlight w:val="none"/>
        </w:rPr>
      </w:pPr>
      <w:r>
        <w:rPr>
          <w:rFonts w:ascii="Times New Roman" w:hAnsi="Times New Roman"/>
          <w:color w:val="auto"/>
          <w:szCs w:val="18"/>
          <w:highlight w:val="none"/>
        </w:rPr>
        <w:t>职工人数：本项目</w:t>
      </w:r>
      <w:r>
        <w:rPr>
          <w:rFonts w:hint="eastAsia" w:ascii="Times New Roman" w:hAnsi="Times New Roman"/>
          <w:color w:val="auto"/>
          <w:szCs w:val="18"/>
          <w:highlight w:val="none"/>
        </w:rPr>
        <w:t>不</w:t>
      </w:r>
      <w:r>
        <w:rPr>
          <w:rFonts w:ascii="Times New Roman" w:hAnsi="Times New Roman"/>
          <w:color w:val="auto"/>
          <w:szCs w:val="18"/>
          <w:highlight w:val="none"/>
        </w:rPr>
        <w:t>新增员工</w:t>
      </w:r>
      <w:r>
        <w:rPr>
          <w:rFonts w:hint="eastAsia" w:ascii="Times New Roman" w:hAnsi="Times New Roman"/>
          <w:color w:val="auto"/>
          <w:szCs w:val="18"/>
          <w:highlight w:val="none"/>
        </w:rPr>
        <w:t>，全厂员工85</w:t>
      </w:r>
      <w:r>
        <w:rPr>
          <w:rFonts w:ascii="Times New Roman" w:hAnsi="Times New Roman"/>
          <w:color w:val="auto"/>
          <w:szCs w:val="18"/>
          <w:highlight w:val="none"/>
        </w:rPr>
        <w:t>人</w:t>
      </w:r>
      <w:r>
        <w:rPr>
          <w:rFonts w:hint="eastAsia" w:ascii="Times New Roman" w:hAnsi="Times New Roman"/>
          <w:color w:val="auto"/>
          <w:szCs w:val="18"/>
          <w:highlight w:val="none"/>
        </w:rPr>
        <w:t>；厂内</w:t>
      </w:r>
      <w:r>
        <w:rPr>
          <w:rFonts w:ascii="Times New Roman" w:hAnsi="Times New Roman"/>
          <w:color w:val="auto"/>
          <w:szCs w:val="18"/>
          <w:highlight w:val="none"/>
        </w:rPr>
        <w:t>不设宿舍，设食堂为员工提供用餐场所</w:t>
      </w:r>
      <w:r>
        <w:rPr>
          <w:rFonts w:hint="eastAsia" w:ascii="Times New Roman" w:hAnsi="Times New Roman"/>
          <w:color w:val="auto"/>
          <w:szCs w:val="18"/>
          <w:highlight w:val="none"/>
        </w:rPr>
        <w:t>、</w:t>
      </w:r>
      <w:r>
        <w:rPr>
          <w:rFonts w:ascii="Times New Roman" w:hAnsi="Times New Roman"/>
          <w:color w:val="auto"/>
          <w:szCs w:val="18"/>
          <w:highlight w:val="none"/>
        </w:rPr>
        <w:t>用餐外购</w:t>
      </w:r>
      <w:r>
        <w:rPr>
          <w:rFonts w:hint="eastAsia" w:ascii="Times New Roman" w:hAnsi="Times New Roman"/>
          <w:color w:val="auto"/>
          <w:szCs w:val="18"/>
          <w:highlight w:val="none"/>
        </w:rPr>
        <w:t>，</w:t>
      </w:r>
      <w:r>
        <w:rPr>
          <w:rFonts w:hint="eastAsia" w:ascii="Times New Roman" w:hAnsi="Times New Roman"/>
          <w:color w:val="auto"/>
          <w:szCs w:val="22"/>
          <w:highlight w:val="none"/>
        </w:rPr>
        <w:t>设</w:t>
      </w:r>
      <w:r>
        <w:rPr>
          <w:rFonts w:ascii="Times New Roman" w:hAnsi="Times New Roman"/>
          <w:color w:val="auto"/>
          <w:szCs w:val="22"/>
          <w:highlight w:val="none"/>
        </w:rPr>
        <w:t>浴室</w:t>
      </w:r>
      <w:r>
        <w:rPr>
          <w:rFonts w:hint="eastAsia" w:ascii="Times New Roman" w:hAnsi="Times New Roman"/>
          <w:color w:val="auto"/>
          <w:szCs w:val="22"/>
          <w:highlight w:val="none"/>
        </w:rPr>
        <w:t>供员工淋浴</w:t>
      </w:r>
      <w:r>
        <w:rPr>
          <w:rFonts w:ascii="Times New Roman" w:hAnsi="Times New Roman"/>
          <w:color w:val="auto"/>
          <w:szCs w:val="18"/>
          <w:highlight w:val="none"/>
        </w:rPr>
        <w:t>。</w:t>
      </w:r>
    </w:p>
    <w:p w14:paraId="5C54955B">
      <w:pPr>
        <w:spacing w:line="360" w:lineRule="auto"/>
        <w:ind w:left="-105" w:right="-105" w:firstLine="480"/>
        <w:rPr>
          <w:rFonts w:ascii="Times New Roman" w:hAnsi="Times New Roman"/>
          <w:color w:val="auto"/>
          <w:szCs w:val="18"/>
          <w:highlight w:val="none"/>
        </w:rPr>
      </w:pPr>
      <w:r>
        <w:rPr>
          <w:rFonts w:ascii="Times New Roman" w:hAnsi="Times New Roman"/>
          <w:color w:val="auto"/>
          <w:szCs w:val="18"/>
          <w:highlight w:val="none"/>
        </w:rPr>
        <w:t>工作制度：</w:t>
      </w:r>
      <w:r>
        <w:rPr>
          <w:rFonts w:hint="eastAsia" w:ascii="Times New Roman" w:hAnsi="Times New Roman"/>
          <w:color w:val="auto"/>
          <w:szCs w:val="18"/>
          <w:highlight w:val="none"/>
        </w:rPr>
        <w:t>本项目实行一</w:t>
      </w:r>
      <w:r>
        <w:rPr>
          <w:rFonts w:ascii="Times New Roman" w:hAnsi="Times New Roman"/>
          <w:color w:val="auto"/>
          <w:szCs w:val="18"/>
          <w:highlight w:val="none"/>
        </w:rPr>
        <w:t>班制，</w:t>
      </w:r>
      <w:r>
        <w:rPr>
          <w:rFonts w:hint="eastAsia" w:ascii="Times New Roman" w:hAnsi="Times New Roman"/>
          <w:color w:val="auto"/>
          <w:szCs w:val="18"/>
          <w:highlight w:val="none"/>
        </w:rPr>
        <w:t>8</w:t>
      </w:r>
      <w:r>
        <w:rPr>
          <w:rFonts w:ascii="Times New Roman" w:hAnsi="Times New Roman"/>
          <w:color w:val="auto"/>
          <w:szCs w:val="18"/>
          <w:highlight w:val="none"/>
        </w:rPr>
        <w:t>小时/班，年工作</w:t>
      </w:r>
      <w:r>
        <w:rPr>
          <w:rFonts w:hint="eastAsia" w:ascii="Times New Roman" w:hAnsi="Times New Roman"/>
          <w:color w:val="auto"/>
          <w:szCs w:val="18"/>
          <w:highlight w:val="none"/>
        </w:rPr>
        <w:t>250</w:t>
      </w:r>
      <w:r>
        <w:rPr>
          <w:rFonts w:ascii="Times New Roman" w:hAnsi="Times New Roman"/>
          <w:color w:val="auto"/>
          <w:szCs w:val="18"/>
          <w:highlight w:val="none"/>
        </w:rPr>
        <w:t>天</w:t>
      </w:r>
      <w:r>
        <w:rPr>
          <w:rFonts w:hint="eastAsia" w:ascii="Times New Roman" w:hAnsi="Times New Roman"/>
          <w:color w:val="auto"/>
          <w:szCs w:val="18"/>
          <w:highlight w:val="none"/>
        </w:rPr>
        <w:t>；</w:t>
      </w:r>
      <w:r>
        <w:rPr>
          <w:rFonts w:hint="eastAsia" w:ascii="Times New Roman" w:hAnsi="Times New Roman"/>
          <w:color w:val="auto"/>
          <w:szCs w:val="18"/>
          <w:highlight w:val="none"/>
          <w:lang w:val="en-US" w:eastAsia="zh-CN"/>
        </w:rPr>
        <w:t>实验室按需工作；</w:t>
      </w:r>
      <w:r>
        <w:rPr>
          <w:rFonts w:hint="eastAsia" w:ascii="Times New Roman" w:hAnsi="Times New Roman"/>
          <w:color w:val="auto"/>
          <w:szCs w:val="18"/>
          <w:highlight w:val="none"/>
        </w:rPr>
        <w:t>现有项目实行三</w:t>
      </w:r>
      <w:r>
        <w:rPr>
          <w:rFonts w:ascii="Times New Roman" w:hAnsi="Times New Roman"/>
          <w:color w:val="auto"/>
          <w:szCs w:val="18"/>
          <w:highlight w:val="none"/>
        </w:rPr>
        <w:t>班制，</w:t>
      </w:r>
      <w:r>
        <w:rPr>
          <w:rFonts w:hint="eastAsia" w:ascii="Times New Roman" w:hAnsi="Times New Roman"/>
          <w:color w:val="auto"/>
          <w:szCs w:val="18"/>
          <w:highlight w:val="none"/>
        </w:rPr>
        <w:t>8</w:t>
      </w:r>
      <w:r>
        <w:rPr>
          <w:rFonts w:ascii="Times New Roman" w:hAnsi="Times New Roman"/>
          <w:color w:val="auto"/>
          <w:szCs w:val="18"/>
          <w:highlight w:val="none"/>
        </w:rPr>
        <w:t>小时/班，年工作</w:t>
      </w:r>
      <w:r>
        <w:rPr>
          <w:rFonts w:hint="eastAsia" w:ascii="Times New Roman" w:hAnsi="Times New Roman"/>
          <w:color w:val="auto"/>
          <w:szCs w:val="18"/>
          <w:highlight w:val="none"/>
        </w:rPr>
        <w:t>350</w:t>
      </w:r>
      <w:r>
        <w:rPr>
          <w:rFonts w:ascii="Times New Roman" w:hAnsi="Times New Roman"/>
          <w:color w:val="auto"/>
          <w:szCs w:val="18"/>
          <w:highlight w:val="none"/>
        </w:rPr>
        <w:t>天。</w:t>
      </w:r>
    </w:p>
    <w:p w14:paraId="057F02FA">
      <w:pPr>
        <w:spacing w:line="360" w:lineRule="auto"/>
        <w:ind w:left="-105" w:right="-105" w:firstLine="480"/>
        <w:rPr>
          <w:rFonts w:ascii="Times New Roman" w:hAnsi="Times New Roman"/>
          <w:color w:val="auto"/>
          <w:szCs w:val="18"/>
          <w:highlight w:val="none"/>
        </w:rPr>
      </w:pPr>
      <w:r>
        <w:rPr>
          <w:rFonts w:ascii="Times New Roman" w:hAnsi="Times New Roman"/>
          <w:color w:val="auto"/>
          <w:szCs w:val="18"/>
          <w:highlight w:val="none"/>
        </w:rPr>
        <w:t>预计投产日期：202</w:t>
      </w:r>
      <w:r>
        <w:rPr>
          <w:rFonts w:hint="eastAsia" w:ascii="Times New Roman" w:hAnsi="Times New Roman"/>
          <w:color w:val="auto"/>
          <w:szCs w:val="18"/>
          <w:highlight w:val="none"/>
        </w:rPr>
        <w:t>5</w:t>
      </w:r>
      <w:r>
        <w:rPr>
          <w:rFonts w:ascii="Times New Roman" w:hAnsi="Times New Roman"/>
          <w:color w:val="auto"/>
          <w:szCs w:val="18"/>
          <w:highlight w:val="none"/>
        </w:rPr>
        <w:t>年</w:t>
      </w:r>
    </w:p>
    <w:p w14:paraId="6DB50659">
      <w:pPr>
        <w:pStyle w:val="5"/>
        <w:keepLines w:val="0"/>
        <w:numPr>
          <w:ilvl w:val="2"/>
          <w:numId w:val="6"/>
        </w:numPr>
        <w:tabs>
          <w:tab w:val="left" w:pos="567"/>
          <w:tab w:val="left" w:pos="709"/>
        </w:tabs>
        <w:spacing w:before="120" w:beforeLines="50" w:after="120" w:afterLines="50" w:line="360" w:lineRule="auto"/>
        <w:ind w:left="-105" w:right="-105"/>
        <w:rPr>
          <w:rFonts w:eastAsia="宋体"/>
          <w:color w:val="auto"/>
          <w:sz w:val="28"/>
          <w:szCs w:val="28"/>
          <w:highlight w:val="none"/>
        </w:rPr>
      </w:pPr>
      <w:bookmarkStart w:id="218" w:name="_Toc60653489"/>
      <w:r>
        <w:rPr>
          <w:rFonts w:eastAsia="宋体"/>
          <w:color w:val="auto"/>
          <w:sz w:val="28"/>
          <w:szCs w:val="28"/>
          <w:highlight w:val="none"/>
        </w:rPr>
        <w:t>项目地理位置、周围环境、厂区及车间平面布置</w:t>
      </w:r>
      <w:bookmarkEnd w:id="218"/>
    </w:p>
    <w:p w14:paraId="40E28E88">
      <w:pPr>
        <w:spacing w:line="360" w:lineRule="auto"/>
        <w:ind w:left="-105" w:right="-105" w:firstLine="480"/>
        <w:rPr>
          <w:rFonts w:ascii="Times New Roman" w:hAnsi="Times New Roman"/>
          <w:color w:val="auto"/>
          <w:szCs w:val="18"/>
          <w:highlight w:val="none"/>
        </w:rPr>
      </w:pPr>
      <w:r>
        <w:rPr>
          <w:rFonts w:ascii="Times New Roman" w:hAnsi="Times New Roman"/>
          <w:color w:val="auto"/>
          <w:szCs w:val="18"/>
          <w:highlight w:val="none"/>
        </w:rPr>
        <w:t>本项目位于</w:t>
      </w:r>
      <w:r>
        <w:rPr>
          <w:rFonts w:hint="eastAsia" w:ascii="Times New Roman" w:hAnsi="Times New Roman"/>
          <w:color w:val="auto"/>
          <w:szCs w:val="18"/>
          <w:highlight w:val="none"/>
        </w:rPr>
        <w:t>江苏省无锡市锡山区锡北镇新坝村新达路6号</w:t>
      </w:r>
      <w:r>
        <w:rPr>
          <w:rFonts w:ascii="Times New Roman" w:hAnsi="Times New Roman"/>
          <w:color w:val="auto"/>
          <w:szCs w:val="18"/>
          <w:highlight w:val="none"/>
        </w:rPr>
        <w:t>，详细地理位置见附图</w:t>
      </w:r>
      <w:r>
        <w:rPr>
          <w:rFonts w:hint="eastAsia" w:ascii="Times New Roman" w:hAnsi="Times New Roman"/>
          <w:color w:val="auto"/>
          <w:szCs w:val="18"/>
          <w:highlight w:val="none"/>
        </w:rPr>
        <w:t>1</w:t>
      </w:r>
      <w:r>
        <w:rPr>
          <w:rFonts w:ascii="Times New Roman" w:hAnsi="Times New Roman"/>
          <w:color w:val="auto"/>
          <w:szCs w:val="18"/>
          <w:highlight w:val="none"/>
        </w:rPr>
        <w:t>-1。</w:t>
      </w:r>
    </w:p>
    <w:p w14:paraId="3FD348D6">
      <w:pPr>
        <w:spacing w:line="360" w:lineRule="auto"/>
        <w:ind w:left="-105" w:right="-105" w:firstLine="480"/>
        <w:rPr>
          <w:rFonts w:ascii="Times New Roman" w:hAnsi="Times New Roman"/>
          <w:color w:val="auto"/>
          <w:szCs w:val="18"/>
          <w:highlight w:val="none"/>
        </w:rPr>
      </w:pPr>
      <w:r>
        <w:rPr>
          <w:rFonts w:ascii="Times New Roman" w:hAnsi="Times New Roman"/>
          <w:color w:val="auto"/>
          <w:szCs w:val="18"/>
          <w:highlight w:val="none"/>
        </w:rPr>
        <w:t>本项目东侧隔</w:t>
      </w:r>
      <w:r>
        <w:rPr>
          <w:rFonts w:hint="eastAsia" w:ascii="Times New Roman" w:hAnsi="Times New Roman"/>
          <w:color w:val="auto"/>
          <w:szCs w:val="18"/>
          <w:highlight w:val="none"/>
        </w:rPr>
        <w:t>八达大道</w:t>
      </w:r>
      <w:r>
        <w:rPr>
          <w:rFonts w:ascii="Times New Roman" w:hAnsi="Times New Roman"/>
          <w:color w:val="auto"/>
          <w:szCs w:val="18"/>
          <w:highlight w:val="none"/>
        </w:rPr>
        <w:t>为无锡</w:t>
      </w:r>
      <w:r>
        <w:rPr>
          <w:rFonts w:hint="eastAsia" w:ascii="Times New Roman" w:hAnsi="Times New Roman"/>
          <w:color w:val="auto"/>
          <w:szCs w:val="18"/>
          <w:highlight w:val="none"/>
        </w:rPr>
        <w:t>佳腾磁性粉</w:t>
      </w:r>
      <w:r>
        <w:rPr>
          <w:rFonts w:ascii="Times New Roman" w:hAnsi="Times New Roman"/>
          <w:color w:val="auto"/>
          <w:szCs w:val="18"/>
          <w:highlight w:val="none"/>
        </w:rPr>
        <w:t>有限公司，南侧隔</w:t>
      </w:r>
      <w:r>
        <w:rPr>
          <w:rFonts w:hint="eastAsia" w:ascii="Times New Roman" w:hAnsi="Times New Roman"/>
          <w:color w:val="auto"/>
          <w:szCs w:val="18"/>
          <w:highlight w:val="none"/>
        </w:rPr>
        <w:t>新达</w:t>
      </w:r>
      <w:r>
        <w:rPr>
          <w:rFonts w:ascii="Times New Roman" w:hAnsi="Times New Roman"/>
          <w:color w:val="auto"/>
          <w:szCs w:val="18"/>
          <w:highlight w:val="none"/>
        </w:rPr>
        <w:t>路为</w:t>
      </w:r>
      <w:r>
        <w:rPr>
          <w:rFonts w:hint="eastAsia" w:ascii="Times New Roman" w:hAnsi="Times New Roman"/>
          <w:color w:val="auto"/>
          <w:szCs w:val="18"/>
          <w:highlight w:val="none"/>
        </w:rPr>
        <w:t>无锡先进化药化工有限公司</w:t>
      </w:r>
      <w:r>
        <w:rPr>
          <w:rFonts w:ascii="Times New Roman" w:hAnsi="Times New Roman"/>
          <w:color w:val="auto"/>
          <w:szCs w:val="18"/>
          <w:highlight w:val="none"/>
        </w:rPr>
        <w:t>，西侧</w:t>
      </w:r>
      <w:r>
        <w:rPr>
          <w:rFonts w:hint="eastAsia" w:ascii="Times New Roman" w:hAnsi="Times New Roman"/>
          <w:color w:val="auto"/>
          <w:szCs w:val="18"/>
          <w:highlight w:val="none"/>
        </w:rPr>
        <w:t>为无锡市中汇线缆有限公司，</w:t>
      </w:r>
      <w:r>
        <w:rPr>
          <w:rFonts w:ascii="Times New Roman" w:hAnsi="Times New Roman"/>
          <w:color w:val="auto"/>
          <w:szCs w:val="18"/>
          <w:highlight w:val="none"/>
        </w:rPr>
        <w:t>北侧为</w:t>
      </w:r>
      <w:r>
        <w:rPr>
          <w:rFonts w:hint="eastAsia" w:ascii="Times New Roman" w:hAnsi="Times New Roman"/>
          <w:color w:val="auto"/>
          <w:szCs w:val="18"/>
          <w:highlight w:val="none"/>
        </w:rPr>
        <w:t>无锡宝来光学科技有限公司</w:t>
      </w:r>
      <w:r>
        <w:rPr>
          <w:rFonts w:ascii="Times New Roman" w:hAnsi="Times New Roman"/>
          <w:color w:val="auto"/>
          <w:szCs w:val="18"/>
          <w:highlight w:val="none"/>
        </w:rPr>
        <w:t>，周围环境详见附图</w:t>
      </w:r>
      <w:r>
        <w:rPr>
          <w:rFonts w:hint="eastAsia" w:ascii="Times New Roman" w:hAnsi="Times New Roman"/>
          <w:color w:val="auto"/>
          <w:szCs w:val="18"/>
          <w:highlight w:val="none"/>
        </w:rPr>
        <w:t>2-1</w:t>
      </w:r>
      <w:r>
        <w:rPr>
          <w:rFonts w:ascii="Times New Roman" w:hAnsi="Times New Roman"/>
          <w:color w:val="auto"/>
          <w:szCs w:val="18"/>
          <w:highlight w:val="none"/>
        </w:rPr>
        <w:t>。</w:t>
      </w:r>
    </w:p>
    <w:p w14:paraId="1715ECCA">
      <w:pPr>
        <w:spacing w:line="360" w:lineRule="auto"/>
        <w:ind w:left="-105" w:right="-105" w:firstLine="480"/>
        <w:rPr>
          <w:rFonts w:ascii="Times New Roman" w:hAnsi="Times New Roman"/>
          <w:color w:val="auto"/>
          <w:szCs w:val="18"/>
          <w:highlight w:val="none"/>
        </w:rPr>
        <w:sectPr>
          <w:headerReference r:id="rId19" w:type="even"/>
          <w:pgSz w:w="11906" w:h="16838"/>
          <w:pgMar w:top="1440" w:right="1701" w:bottom="1440" w:left="1701" w:header="851" w:footer="851" w:gutter="0"/>
          <w:pgBorders>
            <w:top w:val="none" w:sz="0" w:space="0"/>
            <w:left w:val="none" w:sz="0" w:space="0"/>
            <w:bottom w:val="none" w:sz="0" w:space="0"/>
            <w:right w:val="none" w:sz="0" w:space="0"/>
          </w:pgBorders>
          <w:cols w:space="720" w:num="1"/>
          <w:docGrid w:linePitch="498" w:charSpace="-2336"/>
        </w:sectPr>
      </w:pPr>
      <w:r>
        <w:rPr>
          <w:rFonts w:ascii="Times New Roman" w:hAnsi="Times New Roman"/>
          <w:color w:val="auto"/>
          <w:szCs w:val="18"/>
          <w:highlight w:val="none"/>
        </w:rPr>
        <w:t>本项目</w:t>
      </w:r>
      <w:r>
        <w:rPr>
          <w:rFonts w:hint="eastAsia" w:ascii="Times New Roman" w:hAnsi="Times New Roman"/>
          <w:color w:val="auto"/>
          <w:szCs w:val="18"/>
          <w:highlight w:val="none"/>
        </w:rPr>
        <w:t>位于现有厂区内第二工场一层、二层预留位置，不新增占地，</w:t>
      </w:r>
      <w:r>
        <w:rPr>
          <w:rFonts w:ascii="Times New Roman" w:hAnsi="Times New Roman"/>
          <w:color w:val="auto"/>
          <w:szCs w:val="18"/>
          <w:highlight w:val="none"/>
        </w:rPr>
        <w:t>具体厂区平面布置见</w:t>
      </w:r>
      <w:r>
        <w:rPr>
          <w:rFonts w:hint="eastAsia" w:ascii="Times New Roman" w:hAnsi="Times New Roman"/>
          <w:color w:val="auto"/>
          <w:szCs w:val="18"/>
          <w:highlight w:val="none"/>
        </w:rPr>
        <w:t>附</w:t>
      </w:r>
      <w:r>
        <w:rPr>
          <w:rFonts w:ascii="Times New Roman" w:hAnsi="Times New Roman"/>
          <w:color w:val="auto"/>
          <w:szCs w:val="18"/>
          <w:highlight w:val="none"/>
        </w:rPr>
        <w:t>图</w:t>
      </w:r>
      <w:r>
        <w:rPr>
          <w:rFonts w:hint="eastAsia" w:ascii="Times New Roman" w:hAnsi="Times New Roman"/>
          <w:color w:val="auto"/>
          <w:szCs w:val="18"/>
          <w:highlight w:val="none"/>
        </w:rPr>
        <w:t>3</w:t>
      </w:r>
      <w:r>
        <w:rPr>
          <w:rFonts w:ascii="Times New Roman" w:hAnsi="Times New Roman"/>
          <w:color w:val="auto"/>
          <w:szCs w:val="18"/>
          <w:highlight w:val="none"/>
        </w:rPr>
        <w:t>。</w:t>
      </w:r>
    </w:p>
    <w:p w14:paraId="0886DA7A">
      <w:pPr>
        <w:pStyle w:val="5"/>
        <w:keepLines w:val="0"/>
        <w:numPr>
          <w:ilvl w:val="2"/>
          <w:numId w:val="6"/>
        </w:numPr>
        <w:tabs>
          <w:tab w:val="left" w:pos="567"/>
          <w:tab w:val="left" w:pos="709"/>
        </w:tabs>
        <w:spacing w:before="120" w:beforeLines="50" w:after="120" w:afterLines="50" w:line="360" w:lineRule="auto"/>
        <w:ind w:left="-105" w:right="-105"/>
        <w:rPr>
          <w:rFonts w:eastAsia="宋体"/>
          <w:color w:val="auto"/>
          <w:sz w:val="28"/>
          <w:szCs w:val="28"/>
          <w:highlight w:val="none"/>
        </w:rPr>
      </w:pPr>
      <w:bookmarkStart w:id="219" w:name="_Toc60653490"/>
      <w:r>
        <w:rPr>
          <w:rFonts w:eastAsia="宋体"/>
          <w:color w:val="auto"/>
          <w:sz w:val="28"/>
          <w:szCs w:val="28"/>
          <w:highlight w:val="none"/>
        </w:rPr>
        <w:t>主体工程与产品方案</w:t>
      </w:r>
      <w:bookmarkEnd w:id="219"/>
    </w:p>
    <w:p w14:paraId="3EA6B1AF">
      <w:pPr>
        <w:pStyle w:val="4"/>
        <w:numPr>
          <w:ilvl w:val="1"/>
          <w:numId w:val="6"/>
        </w:numPr>
        <w:tabs>
          <w:tab w:val="left" w:pos="426"/>
        </w:tabs>
        <w:spacing w:before="120" w:beforeLines="50" w:after="120" w:afterLines="50" w:line="360" w:lineRule="auto"/>
        <w:ind w:left="-105" w:right="-105"/>
        <w:rPr>
          <w:rFonts w:ascii="Times New Roman" w:eastAsia="宋体"/>
          <w:color w:val="auto"/>
          <w:sz w:val="28"/>
          <w:szCs w:val="28"/>
          <w:highlight w:val="none"/>
        </w:rPr>
      </w:pPr>
      <w:bookmarkStart w:id="220" w:name="_Toc11571"/>
      <w:bookmarkStart w:id="221" w:name="_Toc60653492"/>
      <w:r>
        <w:rPr>
          <w:rFonts w:ascii="Times New Roman" w:eastAsia="宋体"/>
          <w:color w:val="auto"/>
          <w:sz w:val="28"/>
          <w:szCs w:val="28"/>
          <w:highlight w:val="none"/>
        </w:rPr>
        <w:t>营运期工艺流程及产污环节分析</w:t>
      </w:r>
      <w:bookmarkEnd w:id="220"/>
      <w:bookmarkEnd w:id="221"/>
    </w:p>
    <w:p w14:paraId="7A3E8C90">
      <w:pPr>
        <w:pStyle w:val="5"/>
        <w:keepLines w:val="0"/>
        <w:numPr>
          <w:ilvl w:val="2"/>
          <w:numId w:val="6"/>
        </w:numPr>
        <w:tabs>
          <w:tab w:val="left" w:pos="141"/>
          <w:tab w:val="left" w:pos="567"/>
          <w:tab w:val="left" w:pos="709"/>
        </w:tabs>
        <w:spacing w:before="120" w:beforeLines="50" w:after="120" w:afterLines="50" w:line="360" w:lineRule="auto"/>
        <w:ind w:left="-105" w:right="-105"/>
        <w:rPr>
          <w:rFonts w:eastAsia="宋体"/>
          <w:color w:val="auto"/>
          <w:sz w:val="28"/>
          <w:szCs w:val="28"/>
          <w:highlight w:val="none"/>
        </w:rPr>
      </w:pPr>
      <w:r>
        <w:rPr>
          <w:rFonts w:hint="eastAsia" w:eastAsia="宋体"/>
          <w:color w:val="auto"/>
          <w:sz w:val="28"/>
          <w:szCs w:val="28"/>
          <w:highlight w:val="none"/>
        </w:rPr>
        <w:t>生产工艺流程及产污环节分析</w:t>
      </w:r>
    </w:p>
    <w:p w14:paraId="7A6454E6">
      <w:pPr>
        <w:pStyle w:val="5"/>
        <w:keepLines w:val="0"/>
        <w:numPr>
          <w:ilvl w:val="2"/>
          <w:numId w:val="6"/>
        </w:numPr>
        <w:tabs>
          <w:tab w:val="left" w:pos="141"/>
          <w:tab w:val="left" w:pos="567"/>
          <w:tab w:val="left" w:pos="709"/>
        </w:tabs>
        <w:spacing w:before="120" w:beforeLines="50" w:after="120" w:afterLines="50" w:line="360" w:lineRule="auto"/>
        <w:ind w:left="-105" w:right="-105"/>
        <w:rPr>
          <w:rFonts w:eastAsia="宋体"/>
          <w:color w:val="auto"/>
          <w:sz w:val="28"/>
          <w:szCs w:val="28"/>
          <w:highlight w:val="none"/>
        </w:rPr>
      </w:pPr>
      <w:r>
        <w:rPr>
          <w:rFonts w:eastAsia="宋体"/>
          <w:color w:val="auto"/>
          <w:sz w:val="28"/>
          <w:szCs w:val="28"/>
          <w:highlight w:val="none"/>
        </w:rPr>
        <w:t>产污环节汇总</w:t>
      </w:r>
    </w:p>
    <w:p w14:paraId="0C761970">
      <w:pPr>
        <w:pStyle w:val="4"/>
        <w:numPr>
          <w:ilvl w:val="1"/>
          <w:numId w:val="6"/>
        </w:numPr>
        <w:tabs>
          <w:tab w:val="left" w:pos="426"/>
        </w:tabs>
        <w:spacing w:before="120" w:beforeLines="50" w:after="120" w:afterLines="50" w:line="360" w:lineRule="auto"/>
        <w:ind w:left="-105" w:right="-105"/>
        <w:rPr>
          <w:rFonts w:ascii="Times New Roman" w:eastAsia="宋体"/>
          <w:color w:val="auto"/>
          <w:sz w:val="28"/>
          <w:szCs w:val="28"/>
          <w:highlight w:val="none"/>
        </w:rPr>
      </w:pPr>
      <w:bookmarkStart w:id="222" w:name="_Toc28735"/>
      <w:bookmarkStart w:id="223" w:name="_Toc60653495"/>
      <w:r>
        <w:rPr>
          <w:rFonts w:ascii="Times New Roman" w:eastAsia="宋体"/>
          <w:color w:val="auto"/>
          <w:sz w:val="28"/>
          <w:szCs w:val="28"/>
          <w:highlight w:val="none"/>
        </w:rPr>
        <w:t>主要原辅材料与资源能源消耗</w:t>
      </w:r>
      <w:bookmarkEnd w:id="222"/>
      <w:bookmarkEnd w:id="223"/>
    </w:p>
    <w:p w14:paraId="79D8AC49">
      <w:pPr>
        <w:pStyle w:val="4"/>
        <w:numPr>
          <w:ilvl w:val="1"/>
          <w:numId w:val="6"/>
        </w:numPr>
        <w:tabs>
          <w:tab w:val="left" w:pos="426"/>
        </w:tabs>
        <w:spacing w:before="120" w:beforeLines="50" w:after="120" w:afterLines="50" w:line="360" w:lineRule="auto"/>
        <w:ind w:left="-105" w:right="-105"/>
        <w:rPr>
          <w:rFonts w:ascii="Times New Roman" w:eastAsia="宋体"/>
          <w:color w:val="auto"/>
          <w:sz w:val="28"/>
          <w:szCs w:val="28"/>
          <w:highlight w:val="none"/>
        </w:rPr>
      </w:pPr>
      <w:bookmarkStart w:id="224" w:name="_Toc60653496"/>
      <w:bookmarkStart w:id="225" w:name="_Toc27392"/>
      <w:r>
        <w:rPr>
          <w:rFonts w:ascii="Times New Roman" w:eastAsia="宋体"/>
          <w:color w:val="auto"/>
          <w:sz w:val="28"/>
          <w:szCs w:val="28"/>
          <w:highlight w:val="none"/>
        </w:rPr>
        <w:t>主要生产设备及辅助设备</w:t>
      </w:r>
      <w:bookmarkEnd w:id="224"/>
      <w:bookmarkEnd w:id="225"/>
    </w:p>
    <w:p w14:paraId="18B7DC7B">
      <w:pPr>
        <w:pStyle w:val="4"/>
        <w:numPr>
          <w:ilvl w:val="1"/>
          <w:numId w:val="6"/>
        </w:numPr>
        <w:tabs>
          <w:tab w:val="left" w:pos="426"/>
        </w:tabs>
        <w:spacing w:before="120" w:beforeLines="50" w:after="120" w:afterLines="50" w:line="360" w:lineRule="auto"/>
        <w:ind w:left="-105" w:right="-105"/>
        <w:rPr>
          <w:rFonts w:ascii="Times New Roman" w:eastAsia="宋体"/>
          <w:color w:val="auto"/>
          <w:sz w:val="28"/>
          <w:szCs w:val="28"/>
          <w:highlight w:val="none"/>
        </w:rPr>
      </w:pPr>
      <w:bookmarkStart w:id="226" w:name="_Toc60653497"/>
      <w:bookmarkStart w:id="227" w:name="_Toc2111"/>
      <w:r>
        <w:rPr>
          <w:rFonts w:hint="eastAsia" w:ascii="Times New Roman" w:eastAsia="宋体"/>
          <w:color w:val="auto"/>
          <w:sz w:val="28"/>
          <w:szCs w:val="28"/>
          <w:highlight w:val="none"/>
        </w:rPr>
        <w:t>物料平衡及</w:t>
      </w:r>
      <w:r>
        <w:rPr>
          <w:rFonts w:ascii="Times New Roman" w:eastAsia="宋体"/>
          <w:color w:val="auto"/>
          <w:sz w:val="28"/>
          <w:szCs w:val="28"/>
          <w:highlight w:val="none"/>
        </w:rPr>
        <w:t>水（汽）平衡</w:t>
      </w:r>
      <w:bookmarkEnd w:id="226"/>
      <w:bookmarkEnd w:id="227"/>
    </w:p>
    <w:p w14:paraId="58E1734D">
      <w:pPr>
        <w:pStyle w:val="5"/>
        <w:keepLines w:val="0"/>
        <w:numPr>
          <w:ilvl w:val="2"/>
          <w:numId w:val="6"/>
        </w:numPr>
        <w:tabs>
          <w:tab w:val="left" w:pos="141"/>
          <w:tab w:val="left" w:pos="567"/>
          <w:tab w:val="left" w:pos="709"/>
        </w:tabs>
        <w:spacing w:before="120" w:beforeLines="50" w:after="120" w:afterLines="50" w:line="360" w:lineRule="auto"/>
        <w:ind w:left="-105" w:right="-105"/>
        <w:rPr>
          <w:rFonts w:eastAsia="宋体"/>
          <w:color w:val="auto"/>
          <w:sz w:val="28"/>
          <w:szCs w:val="28"/>
          <w:highlight w:val="none"/>
        </w:rPr>
      </w:pPr>
      <w:bookmarkStart w:id="228" w:name="_Toc60653498"/>
      <w:r>
        <w:rPr>
          <w:rFonts w:eastAsia="宋体"/>
          <w:color w:val="auto"/>
          <w:sz w:val="28"/>
          <w:szCs w:val="28"/>
          <w:highlight w:val="none"/>
        </w:rPr>
        <w:t>物料平衡</w:t>
      </w:r>
      <w:bookmarkEnd w:id="228"/>
    </w:p>
    <w:p w14:paraId="5F36AE26">
      <w:pPr>
        <w:pStyle w:val="5"/>
        <w:keepLines w:val="0"/>
        <w:numPr>
          <w:ilvl w:val="2"/>
          <w:numId w:val="6"/>
        </w:numPr>
        <w:tabs>
          <w:tab w:val="left" w:pos="141"/>
          <w:tab w:val="left" w:pos="567"/>
          <w:tab w:val="left" w:pos="709"/>
        </w:tabs>
        <w:spacing w:before="120" w:beforeLines="50" w:after="120" w:afterLines="50" w:line="360" w:lineRule="auto"/>
        <w:ind w:left="-105" w:right="-105"/>
        <w:rPr>
          <w:rFonts w:eastAsia="宋体"/>
          <w:color w:val="auto"/>
          <w:sz w:val="28"/>
          <w:szCs w:val="28"/>
          <w:highlight w:val="none"/>
        </w:rPr>
      </w:pPr>
      <w:r>
        <w:rPr>
          <w:rFonts w:eastAsia="宋体"/>
          <w:color w:val="auto"/>
          <w:sz w:val="28"/>
          <w:szCs w:val="28"/>
          <w:highlight w:val="none"/>
        </w:rPr>
        <w:t>水（汽）</w:t>
      </w:r>
      <w:r>
        <w:rPr>
          <w:rFonts w:eastAsia="宋体"/>
          <w:color w:val="auto"/>
          <w:sz w:val="28"/>
          <w:szCs w:val="28"/>
          <w:highlight w:val="none"/>
        </w:rPr>
        <w:t>平衡</w:t>
      </w:r>
    </w:p>
    <w:p w14:paraId="7FDF8689">
      <w:pPr>
        <w:pStyle w:val="4"/>
        <w:numPr>
          <w:ilvl w:val="1"/>
          <w:numId w:val="6"/>
        </w:numPr>
        <w:tabs>
          <w:tab w:val="left" w:pos="426"/>
        </w:tabs>
        <w:spacing w:before="120" w:beforeLines="50" w:after="120" w:afterLines="50" w:line="360" w:lineRule="auto"/>
        <w:ind w:left="-105" w:right="-105"/>
        <w:rPr>
          <w:rFonts w:ascii="Times New Roman" w:eastAsia="宋体"/>
          <w:color w:val="auto"/>
          <w:sz w:val="28"/>
          <w:szCs w:val="28"/>
          <w:highlight w:val="none"/>
        </w:rPr>
      </w:pPr>
      <w:bookmarkStart w:id="229" w:name="_Toc60653501"/>
      <w:bookmarkStart w:id="230" w:name="_Toc15469"/>
      <w:r>
        <w:rPr>
          <w:rFonts w:ascii="Times New Roman" w:eastAsia="宋体"/>
          <w:color w:val="auto"/>
          <w:sz w:val="28"/>
          <w:szCs w:val="28"/>
          <w:highlight w:val="none"/>
        </w:rPr>
        <w:t>项目污染物源强核算</w:t>
      </w:r>
      <w:bookmarkEnd w:id="229"/>
      <w:bookmarkEnd w:id="230"/>
    </w:p>
    <w:p w14:paraId="524950A1">
      <w:pPr>
        <w:pStyle w:val="5"/>
        <w:keepLines w:val="0"/>
        <w:numPr>
          <w:ilvl w:val="2"/>
          <w:numId w:val="6"/>
        </w:numPr>
        <w:tabs>
          <w:tab w:val="left" w:pos="141"/>
          <w:tab w:val="left" w:pos="567"/>
          <w:tab w:val="left" w:pos="709"/>
        </w:tabs>
        <w:spacing w:before="120" w:beforeLines="50" w:after="120" w:afterLines="50" w:line="360" w:lineRule="auto"/>
        <w:ind w:left="-105" w:right="-105"/>
        <w:rPr>
          <w:rFonts w:eastAsia="宋体"/>
          <w:color w:val="auto"/>
          <w:sz w:val="28"/>
          <w:szCs w:val="28"/>
          <w:highlight w:val="none"/>
        </w:rPr>
      </w:pPr>
      <w:bookmarkStart w:id="231" w:name="_Toc60653502"/>
      <w:r>
        <w:rPr>
          <w:rFonts w:hint="eastAsia" w:eastAsia="宋体"/>
          <w:color w:val="auto"/>
          <w:sz w:val="28"/>
          <w:szCs w:val="28"/>
          <w:highlight w:val="none"/>
        </w:rPr>
        <w:t>废气污染源强分析</w:t>
      </w:r>
      <w:bookmarkEnd w:id="231"/>
    </w:p>
    <w:p w14:paraId="58A9596A">
      <w:pPr>
        <w:spacing w:line="360" w:lineRule="auto"/>
        <w:ind w:left="-105" w:right="-105" w:firstLine="480" w:firstLineChars="200"/>
        <w:rPr>
          <w:rFonts w:ascii="Times New Roman" w:hAnsi="Times New Roman"/>
          <w:color w:val="auto"/>
          <w:szCs w:val="22"/>
          <w:highlight w:val="none"/>
        </w:rPr>
      </w:pPr>
      <w:r>
        <w:rPr>
          <w:rFonts w:hint="eastAsia" w:ascii="Times New Roman" w:hAnsi="Times New Roman"/>
          <w:color w:val="auto"/>
          <w:szCs w:val="22"/>
          <w:highlight w:val="none"/>
        </w:rPr>
        <w:t>本项目各废气排放环节主要包括：①工艺废气（G1-1、G1-3）、②实验废气（G1-2）。</w:t>
      </w:r>
    </w:p>
    <w:p w14:paraId="4E5C4998">
      <w:pPr>
        <w:spacing w:line="360" w:lineRule="auto"/>
        <w:ind w:left="-105" w:right="-105" w:firstLine="480" w:firstLineChars="200"/>
        <w:jc w:val="both"/>
        <w:rPr>
          <w:rFonts w:ascii="Times New Roman" w:hAnsi="Times New Roman"/>
          <w:color w:val="auto"/>
          <w:szCs w:val="22"/>
          <w:highlight w:val="none"/>
        </w:rPr>
      </w:pPr>
      <w:r>
        <w:rPr>
          <w:rFonts w:hint="eastAsia" w:ascii="Times New Roman" w:hAnsi="Times New Roman"/>
          <w:color w:val="auto"/>
          <w:szCs w:val="22"/>
          <w:highlight w:val="none"/>
        </w:rPr>
        <w:t>（1）工艺废气</w:t>
      </w:r>
    </w:p>
    <w:p w14:paraId="3B1631C3">
      <w:pPr>
        <w:spacing w:line="360" w:lineRule="auto"/>
        <w:ind w:left="-105" w:right="-105" w:firstLine="480" w:firstLineChars="200"/>
        <w:jc w:val="both"/>
        <w:rPr>
          <w:rFonts w:ascii="Times New Roman" w:hAnsi="Times New Roman"/>
          <w:color w:val="auto"/>
          <w:szCs w:val="22"/>
          <w:highlight w:val="none"/>
        </w:rPr>
      </w:pPr>
      <w:r>
        <w:rPr>
          <w:rFonts w:hint="eastAsia" w:ascii="Times New Roman" w:hAnsi="Times New Roman"/>
          <w:color w:val="auto"/>
          <w:szCs w:val="22"/>
          <w:highlight w:val="none"/>
        </w:rPr>
        <w:t>本项目在</w:t>
      </w:r>
      <w:bookmarkStart w:id="572" w:name="_GoBack"/>
      <w:bookmarkEnd w:id="572"/>
      <w:r>
        <w:rPr>
          <w:rFonts w:hint="eastAsia" w:ascii="Times New Roman" w:hAnsi="Times New Roman"/>
          <w:color w:val="auto"/>
          <w:szCs w:val="22"/>
          <w:highlight w:val="none"/>
        </w:rPr>
        <w:t>混合过滤、取样分析以及收缸等生产环节会产生工艺废气，</w:t>
      </w:r>
      <w:r>
        <w:rPr>
          <w:rFonts w:hint="eastAsia" w:ascii="Times New Roman" w:hAnsi="Times New Roman"/>
          <w:color w:val="auto"/>
          <w:szCs w:val="22"/>
          <w:highlight w:val="none"/>
        </w:rPr>
        <w:t>生产</w:t>
      </w:r>
      <w:r>
        <w:rPr>
          <w:rFonts w:hint="eastAsia" w:ascii="Times New Roman" w:hAnsi="Times New Roman"/>
          <w:color w:val="auto"/>
          <w:szCs w:val="22"/>
          <w:highlight w:val="none"/>
          <w:lang w:val="en-US" w:eastAsia="zh-CN"/>
        </w:rPr>
        <w:t>车间</w:t>
      </w:r>
      <w:r>
        <w:rPr>
          <w:rFonts w:hint="eastAsia" w:ascii="Times New Roman" w:hAnsi="Times New Roman"/>
          <w:color w:val="auto"/>
          <w:szCs w:val="22"/>
          <w:highlight w:val="none"/>
        </w:rPr>
        <w:t>按照《电子工业洁净厂房设计规范》（GB50472-2008）等设计规范进行设计，生产车间为洁净室，采用新风系统循环出风保障车间内空气环境并补充因工艺排风系统带走的气量。工艺设备均在洁净室内，各道工序均在独立机台内进行全封闭式操作，各机台均配备相应的</w:t>
      </w:r>
      <w:r>
        <w:rPr>
          <w:rFonts w:hint="eastAsia" w:ascii="Times New Roman" w:hAnsi="Times New Roman"/>
          <w:color w:val="auto"/>
          <w:szCs w:val="22"/>
          <w:highlight w:val="none"/>
          <w:lang w:val="en-US" w:eastAsia="zh-CN"/>
        </w:rPr>
        <w:t>液体</w:t>
      </w:r>
      <w:r>
        <w:rPr>
          <w:rFonts w:hint="eastAsia" w:ascii="Times New Roman" w:hAnsi="Times New Roman"/>
          <w:color w:val="auto"/>
          <w:szCs w:val="22"/>
          <w:highlight w:val="none"/>
        </w:rPr>
        <w:t>供应装置、抽排装置及管道，与对应的使用点直接连接，产生的废气直接通过</w:t>
      </w:r>
      <w:r>
        <w:rPr>
          <w:rFonts w:hint="eastAsia" w:ascii="Times New Roman" w:hAnsi="Times New Roman"/>
          <w:color w:val="auto"/>
          <w:szCs w:val="22"/>
          <w:highlight w:val="none"/>
          <w:lang w:val="en-US" w:eastAsia="zh-CN"/>
        </w:rPr>
        <w:t>洁净室排风系统</w:t>
      </w:r>
      <w:r>
        <w:rPr>
          <w:rFonts w:hint="eastAsia" w:ascii="Times New Roman" w:hAnsi="Times New Roman"/>
          <w:color w:val="auto"/>
          <w:szCs w:val="22"/>
          <w:highlight w:val="none"/>
        </w:rPr>
        <w:t>对应管道，送入</w:t>
      </w:r>
      <w:r>
        <w:rPr>
          <w:rFonts w:hint="eastAsia" w:ascii="Times New Roman" w:hAnsi="Times New Roman"/>
          <w:color w:val="auto"/>
          <w:szCs w:val="22"/>
          <w:highlight w:val="none"/>
          <w:lang w:val="en-US" w:eastAsia="zh-CN"/>
        </w:rPr>
        <w:t>相应</w:t>
      </w:r>
      <w:r>
        <w:rPr>
          <w:rFonts w:hint="eastAsia" w:ascii="Times New Roman" w:hAnsi="Times New Roman"/>
          <w:color w:val="auto"/>
          <w:szCs w:val="22"/>
          <w:highlight w:val="none"/>
        </w:rPr>
        <w:t>废气处理系统。</w:t>
      </w:r>
      <w:r>
        <w:rPr>
          <w:rFonts w:hint="eastAsia" w:ascii="Times New Roman" w:hAnsi="Times New Roman"/>
          <w:color w:val="auto"/>
          <w:szCs w:val="22"/>
          <w:highlight w:val="none"/>
          <w:lang w:val="en-US" w:eastAsia="zh-CN"/>
        </w:rPr>
        <w:t>仅有车间出入口有少量逸散废气</w:t>
      </w:r>
      <w:r>
        <w:rPr>
          <w:rFonts w:hint="eastAsia" w:ascii="Times New Roman" w:hAnsi="Times New Roman"/>
          <w:color w:val="auto"/>
          <w:szCs w:val="22"/>
          <w:highlight w:val="none"/>
        </w:rPr>
        <w:t>以无组织形式排放外环境。</w:t>
      </w:r>
      <w:r>
        <w:rPr>
          <w:rFonts w:hint="eastAsia" w:ascii="Times New Roman" w:hAnsi="Times New Roman"/>
          <w:color w:val="auto"/>
          <w:szCs w:val="22"/>
          <w:highlight w:val="none"/>
        </w:rPr>
        <w:t>本项目</w:t>
      </w:r>
      <w:r>
        <w:rPr>
          <w:rFonts w:hint="eastAsia" w:ascii="Times New Roman" w:hAnsi="Times New Roman"/>
          <w:color w:val="auto"/>
          <w:szCs w:val="22"/>
          <w:highlight w:val="none"/>
          <w:lang w:val="en-US" w:eastAsia="zh-CN"/>
        </w:rPr>
        <w:t>废气依托</w:t>
      </w:r>
      <w:r>
        <w:rPr>
          <w:rFonts w:hint="eastAsia" w:ascii="Times New Roman" w:hAnsi="Times New Roman"/>
          <w:color w:val="auto"/>
          <w:szCs w:val="22"/>
          <w:highlight w:val="none"/>
        </w:rPr>
        <w:t>一套3级碱液喷淋+二级活性炭吸附处理设施处理后经20m高排气筒DA005排放，年工作时间为2000h。</w:t>
      </w:r>
      <w:r>
        <w:rPr>
          <w:rFonts w:hint="eastAsia" w:ascii="Times New Roman" w:hAnsi="Times New Roman"/>
          <w:color w:val="auto"/>
          <w:szCs w:val="22"/>
          <w:highlight w:val="none"/>
          <w:lang w:val="en-US" w:eastAsia="zh-CN"/>
        </w:rPr>
        <w:t>捕集率取98%，去除率取90%。</w:t>
      </w:r>
    </w:p>
    <w:p w14:paraId="572CF902">
      <w:pPr>
        <w:spacing w:line="360" w:lineRule="auto"/>
        <w:ind w:left="-105" w:right="-105" w:firstLine="480" w:firstLineChars="200"/>
        <w:jc w:val="both"/>
        <w:rPr>
          <w:rFonts w:ascii="Times New Roman" w:hAnsi="Times New Roman"/>
          <w:color w:val="auto"/>
          <w:szCs w:val="22"/>
          <w:highlight w:val="none"/>
        </w:rPr>
      </w:pPr>
      <w:r>
        <w:rPr>
          <w:rFonts w:hint="eastAsia" w:ascii="Times New Roman" w:hAnsi="Times New Roman"/>
          <w:color w:val="auto"/>
          <w:szCs w:val="22"/>
          <w:highlight w:val="none"/>
        </w:rPr>
        <w:t>本项目使用的原辅材料在常温下进行物理复配生产，类比《南通赛可特电子有限公司PCB、封装基板及芯片专用材料扩改项目环境影响报告表》，该项目产品方案有金属保护液、电子用剥离液、蚀刻液、酸性孔金属化试剂和碱性孔金属化试剂等，工艺流程为投料、混合搅拌和检验包装，属于常温下物理复配（无化学反应），投料工序、搅拌工序和检验包装工序废气产污系数均为0.05%。</w:t>
      </w:r>
    </w:p>
    <w:p w14:paraId="5C6B9C96">
      <w:pPr>
        <w:spacing w:line="360" w:lineRule="auto"/>
        <w:ind w:left="-105" w:right="-105" w:firstLine="480" w:firstLineChars="200"/>
        <w:jc w:val="both"/>
        <w:rPr>
          <w:rFonts w:hint="eastAsia" w:ascii="Times New Roman" w:hAnsi="Times New Roman"/>
          <w:color w:val="auto"/>
          <w:szCs w:val="22"/>
          <w:highlight w:val="none"/>
        </w:rPr>
      </w:pPr>
      <w:r>
        <w:rPr>
          <w:rFonts w:hint="eastAsia" w:ascii="Times New Roman" w:hAnsi="Times New Roman"/>
          <w:color w:val="auto"/>
          <w:szCs w:val="22"/>
          <w:highlight w:val="none"/>
        </w:rPr>
        <w:t>本项目产品、工艺和原料与其类同，故本项目废气产生量类比《南通赛可特电子有限公司PCB、封装基板及芯片专用材料扩改项目环境影响报告表》中相关产污系数可行，即</w:t>
      </w:r>
      <w:r>
        <w:rPr>
          <w:rFonts w:hint="eastAsia" w:ascii="Times New Roman" w:hAnsi="Times New Roman"/>
          <w:color w:val="auto"/>
          <w:szCs w:val="22"/>
          <w:highlight w:val="none"/>
          <w:lang w:val="en-US" w:eastAsia="zh-CN"/>
        </w:rPr>
        <w:t>投料、</w:t>
      </w:r>
      <w:r>
        <w:rPr>
          <w:rFonts w:hint="eastAsia" w:ascii="Times New Roman" w:hAnsi="Times New Roman"/>
          <w:color w:val="auto"/>
          <w:szCs w:val="22"/>
          <w:highlight w:val="none"/>
        </w:rPr>
        <w:t>混合</w:t>
      </w:r>
      <w:r>
        <w:rPr>
          <w:rFonts w:hint="eastAsia" w:ascii="Times New Roman" w:hAnsi="Times New Roman"/>
          <w:color w:val="auto"/>
          <w:szCs w:val="22"/>
          <w:highlight w:val="none"/>
          <w:lang w:val="en-US" w:eastAsia="zh-CN"/>
        </w:rPr>
        <w:t>搅拌</w:t>
      </w:r>
      <w:r>
        <w:rPr>
          <w:rFonts w:hint="eastAsia" w:ascii="Times New Roman" w:hAnsi="Times New Roman"/>
          <w:color w:val="auto"/>
          <w:szCs w:val="22"/>
          <w:highlight w:val="none"/>
        </w:rPr>
        <w:t>和收缸产污环节产污系数均为0.05%，其中取样分析时在出料口采样产生的有机废气计入收缸产污环节。</w:t>
      </w:r>
    </w:p>
    <w:p w14:paraId="60C2E955">
      <w:pPr>
        <w:spacing w:line="360" w:lineRule="auto"/>
        <w:ind w:left="-105" w:right="-105" w:firstLine="480" w:firstLineChars="200"/>
        <w:jc w:val="both"/>
        <w:rPr>
          <w:rFonts w:ascii="Times New Roman" w:hAnsi="Times New Roman"/>
          <w:color w:val="auto"/>
          <w:szCs w:val="22"/>
          <w:highlight w:val="none"/>
        </w:rPr>
      </w:pPr>
      <w:r>
        <w:rPr>
          <w:rFonts w:hint="eastAsia" w:ascii="Times New Roman" w:hAnsi="Times New Roman"/>
          <w:color w:val="auto"/>
          <w:szCs w:val="22"/>
          <w:highlight w:val="none"/>
        </w:rPr>
        <w:t>因此工艺废气产生情况见下表。</w:t>
      </w:r>
    </w:p>
    <w:p w14:paraId="3B9FEDD9">
      <w:pPr>
        <w:pStyle w:val="15"/>
        <w:spacing w:line="360" w:lineRule="auto"/>
        <w:ind w:left="-105" w:right="-105" w:firstLine="482"/>
        <w:rPr>
          <w:rFonts w:eastAsia="宋体" w:cs="Times New Roman"/>
          <w:color w:val="auto"/>
          <w:sz w:val="24"/>
          <w:szCs w:val="24"/>
          <w:highlight w:val="none"/>
        </w:rPr>
      </w:pPr>
      <w:r>
        <w:rPr>
          <w:rFonts w:eastAsia="宋体" w:cs="Times New Roman"/>
          <w:color w:val="auto"/>
          <w:sz w:val="24"/>
          <w:szCs w:val="24"/>
          <w:highlight w:val="none"/>
        </w:rPr>
        <w:t>表</w:t>
      </w:r>
      <w:r>
        <w:rPr>
          <w:rFonts w:eastAsia="宋体" w:cs="Times New Roman"/>
          <w:color w:val="auto"/>
          <w:sz w:val="24"/>
          <w:szCs w:val="24"/>
          <w:highlight w:val="none"/>
        </w:rPr>
        <w:fldChar w:fldCharType="begin"/>
      </w:r>
      <w:r>
        <w:rPr>
          <w:rFonts w:eastAsia="宋体" w:cs="Times New Roman"/>
          <w:color w:val="auto"/>
          <w:sz w:val="24"/>
          <w:szCs w:val="24"/>
          <w:highlight w:val="none"/>
        </w:rPr>
        <w:instrText xml:space="preserve"> STYLEREF 2 \s </w:instrText>
      </w:r>
      <w:r>
        <w:rPr>
          <w:rFonts w:eastAsia="宋体" w:cs="Times New Roman"/>
          <w:color w:val="auto"/>
          <w:sz w:val="24"/>
          <w:szCs w:val="24"/>
          <w:highlight w:val="none"/>
        </w:rPr>
        <w:fldChar w:fldCharType="separate"/>
      </w:r>
      <w:r>
        <w:rPr>
          <w:rFonts w:eastAsia="宋体" w:cs="Times New Roman"/>
          <w:color w:val="auto"/>
          <w:sz w:val="24"/>
          <w:szCs w:val="24"/>
          <w:highlight w:val="none"/>
        </w:rPr>
        <w:t>4.6</w:t>
      </w:r>
      <w:r>
        <w:rPr>
          <w:rFonts w:eastAsia="宋体" w:cs="Times New Roman"/>
          <w:color w:val="auto"/>
          <w:sz w:val="24"/>
          <w:szCs w:val="24"/>
          <w:highlight w:val="none"/>
        </w:rPr>
        <w:fldChar w:fldCharType="end"/>
      </w:r>
      <w:r>
        <w:rPr>
          <w:rFonts w:eastAsia="宋体" w:cs="Times New Roman"/>
          <w:color w:val="auto"/>
          <w:sz w:val="24"/>
          <w:szCs w:val="24"/>
          <w:highlight w:val="none"/>
        </w:rPr>
        <w:noBreakHyphen/>
      </w:r>
      <w:r>
        <w:rPr>
          <w:rFonts w:eastAsia="宋体" w:cs="Times New Roman"/>
          <w:color w:val="auto"/>
          <w:sz w:val="24"/>
          <w:szCs w:val="24"/>
          <w:highlight w:val="none"/>
        </w:rPr>
        <w:fldChar w:fldCharType="begin"/>
      </w:r>
      <w:r>
        <w:rPr>
          <w:rFonts w:eastAsia="宋体" w:cs="Times New Roman"/>
          <w:color w:val="auto"/>
          <w:sz w:val="24"/>
          <w:szCs w:val="24"/>
          <w:highlight w:val="none"/>
        </w:rPr>
        <w:instrText xml:space="preserve"> SEQ 表 \* ARABIC \s 2 </w:instrText>
      </w:r>
      <w:r>
        <w:rPr>
          <w:rFonts w:eastAsia="宋体" w:cs="Times New Roman"/>
          <w:color w:val="auto"/>
          <w:sz w:val="24"/>
          <w:szCs w:val="24"/>
          <w:highlight w:val="none"/>
        </w:rPr>
        <w:fldChar w:fldCharType="separate"/>
      </w:r>
      <w:r>
        <w:rPr>
          <w:rFonts w:eastAsia="宋体" w:cs="Times New Roman"/>
          <w:color w:val="auto"/>
          <w:sz w:val="24"/>
          <w:szCs w:val="24"/>
          <w:highlight w:val="none"/>
        </w:rPr>
        <w:t>1</w:t>
      </w:r>
      <w:r>
        <w:rPr>
          <w:rFonts w:eastAsia="宋体" w:cs="Times New Roman"/>
          <w:color w:val="auto"/>
          <w:sz w:val="24"/>
          <w:szCs w:val="24"/>
          <w:highlight w:val="none"/>
        </w:rPr>
        <w:fldChar w:fldCharType="end"/>
      </w:r>
      <w:r>
        <w:rPr>
          <w:rFonts w:eastAsia="宋体" w:cs="Times New Roman"/>
          <w:color w:val="auto"/>
          <w:sz w:val="24"/>
          <w:szCs w:val="24"/>
          <w:highlight w:val="none"/>
        </w:rPr>
        <w:t>本项目</w:t>
      </w:r>
      <w:r>
        <w:rPr>
          <w:rFonts w:hint="eastAsia" w:eastAsia="宋体" w:cs="Times New Roman"/>
          <w:color w:val="auto"/>
          <w:sz w:val="24"/>
          <w:szCs w:val="24"/>
          <w:highlight w:val="none"/>
        </w:rPr>
        <w:t>工艺</w:t>
      </w:r>
      <w:r>
        <w:rPr>
          <w:rFonts w:eastAsia="宋体" w:cs="Times New Roman"/>
          <w:color w:val="auto"/>
          <w:sz w:val="24"/>
          <w:szCs w:val="24"/>
          <w:highlight w:val="none"/>
        </w:rPr>
        <w:t>废气产生情况</w:t>
      </w:r>
      <w:r>
        <w:rPr>
          <w:rFonts w:hint="eastAsia" w:eastAsia="宋体" w:cs="Times New Roman"/>
          <w:color w:val="auto"/>
          <w:sz w:val="24"/>
          <w:szCs w:val="24"/>
          <w:highlight w:val="none"/>
        </w:rPr>
        <w:t>汇总表</w:t>
      </w:r>
    </w:p>
    <w:tbl>
      <w:tblPr>
        <w:tblStyle w:val="46"/>
        <w:tblW w:w="5000"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158"/>
        <w:gridCol w:w="1230"/>
        <w:gridCol w:w="930"/>
        <w:gridCol w:w="855"/>
        <w:gridCol w:w="675"/>
        <w:gridCol w:w="968"/>
        <w:gridCol w:w="968"/>
        <w:gridCol w:w="968"/>
        <w:gridCol w:w="968"/>
      </w:tblGrid>
      <w:tr w14:paraId="40BFA66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158" w:type="dxa"/>
            <w:vMerge w:val="restart"/>
            <w:tcBorders>
              <w:tl2br w:val="nil"/>
              <w:tr2bl w:val="nil"/>
            </w:tcBorders>
            <w:vAlign w:val="center"/>
          </w:tcPr>
          <w:p w14:paraId="2163553A">
            <w:pPr>
              <w:pStyle w:val="21"/>
              <w:ind w:left="-105" w:right="-105" w:firstLine="0"/>
              <w:jc w:val="center"/>
              <w:rPr>
                <w:rFonts w:eastAsia="宋体"/>
                <w:b/>
                <w:bCs/>
                <w:color w:val="auto"/>
                <w:sz w:val="21"/>
                <w:szCs w:val="21"/>
                <w:highlight w:val="none"/>
              </w:rPr>
            </w:pPr>
            <w:r>
              <w:rPr>
                <w:rFonts w:hint="eastAsia" w:eastAsia="宋体"/>
                <w:b/>
                <w:bCs/>
                <w:color w:val="auto"/>
                <w:sz w:val="21"/>
                <w:szCs w:val="21"/>
                <w:highlight w:val="none"/>
              </w:rPr>
              <w:t>污染源</w:t>
            </w:r>
          </w:p>
        </w:tc>
        <w:tc>
          <w:tcPr>
            <w:tcW w:w="1230" w:type="dxa"/>
            <w:vMerge w:val="restart"/>
            <w:tcBorders>
              <w:tl2br w:val="nil"/>
              <w:tr2bl w:val="nil"/>
            </w:tcBorders>
            <w:vAlign w:val="center"/>
          </w:tcPr>
          <w:p w14:paraId="6CA50C82">
            <w:pPr>
              <w:pStyle w:val="21"/>
              <w:ind w:left="-105" w:right="-105" w:firstLine="0"/>
              <w:jc w:val="center"/>
              <w:rPr>
                <w:rFonts w:eastAsia="宋体"/>
                <w:b/>
                <w:bCs/>
                <w:color w:val="auto"/>
                <w:sz w:val="21"/>
                <w:szCs w:val="21"/>
                <w:highlight w:val="none"/>
              </w:rPr>
            </w:pPr>
            <w:r>
              <w:rPr>
                <w:rFonts w:hint="eastAsia" w:eastAsia="宋体"/>
                <w:b/>
                <w:bCs/>
                <w:color w:val="auto"/>
                <w:sz w:val="21"/>
                <w:szCs w:val="21"/>
                <w:highlight w:val="none"/>
              </w:rPr>
              <w:t>污染因子</w:t>
            </w:r>
          </w:p>
        </w:tc>
        <w:tc>
          <w:tcPr>
            <w:tcW w:w="930" w:type="dxa"/>
            <w:vMerge w:val="restart"/>
            <w:tcBorders>
              <w:tl2br w:val="nil"/>
              <w:tr2bl w:val="nil"/>
            </w:tcBorders>
            <w:vAlign w:val="center"/>
          </w:tcPr>
          <w:p w14:paraId="213CEFE6">
            <w:pPr>
              <w:pStyle w:val="21"/>
              <w:ind w:left="-105" w:right="-105" w:firstLine="0"/>
              <w:jc w:val="center"/>
              <w:rPr>
                <w:rFonts w:eastAsia="宋体"/>
                <w:b/>
                <w:bCs/>
                <w:color w:val="auto"/>
                <w:sz w:val="21"/>
                <w:szCs w:val="21"/>
                <w:highlight w:val="none"/>
              </w:rPr>
            </w:pPr>
            <w:r>
              <w:rPr>
                <w:rFonts w:hint="eastAsia" w:eastAsia="宋体"/>
                <w:b/>
                <w:bCs/>
                <w:color w:val="auto"/>
                <w:sz w:val="21"/>
                <w:szCs w:val="21"/>
                <w:highlight w:val="none"/>
              </w:rPr>
              <w:t>总产生量t/a</w:t>
            </w:r>
          </w:p>
        </w:tc>
        <w:tc>
          <w:tcPr>
            <w:tcW w:w="855" w:type="dxa"/>
            <w:vMerge w:val="restart"/>
            <w:tcBorders>
              <w:tl2br w:val="nil"/>
              <w:tr2bl w:val="nil"/>
            </w:tcBorders>
            <w:vAlign w:val="center"/>
          </w:tcPr>
          <w:p w14:paraId="670D50C0">
            <w:pPr>
              <w:pStyle w:val="21"/>
              <w:ind w:left="-105" w:right="-105" w:firstLine="0"/>
              <w:jc w:val="center"/>
              <w:rPr>
                <w:rFonts w:eastAsia="宋体"/>
                <w:b/>
                <w:bCs/>
                <w:color w:val="auto"/>
                <w:sz w:val="21"/>
                <w:szCs w:val="21"/>
                <w:highlight w:val="none"/>
              </w:rPr>
            </w:pPr>
            <w:r>
              <w:rPr>
                <w:rFonts w:hint="eastAsia" w:eastAsia="宋体"/>
                <w:b/>
                <w:bCs/>
                <w:color w:val="auto"/>
                <w:sz w:val="21"/>
                <w:szCs w:val="21"/>
                <w:highlight w:val="none"/>
              </w:rPr>
              <w:t>排放时间h/a</w:t>
            </w:r>
          </w:p>
        </w:tc>
        <w:tc>
          <w:tcPr>
            <w:tcW w:w="675" w:type="dxa"/>
            <w:vMerge w:val="restart"/>
            <w:tcBorders>
              <w:tl2br w:val="nil"/>
              <w:tr2bl w:val="nil"/>
            </w:tcBorders>
            <w:vAlign w:val="center"/>
          </w:tcPr>
          <w:p w14:paraId="23A016B1">
            <w:pPr>
              <w:pStyle w:val="21"/>
              <w:ind w:left="-105" w:right="-105" w:firstLine="0"/>
              <w:jc w:val="center"/>
              <w:rPr>
                <w:rFonts w:eastAsia="宋体"/>
                <w:b/>
                <w:bCs/>
                <w:color w:val="auto"/>
                <w:sz w:val="21"/>
                <w:szCs w:val="21"/>
                <w:highlight w:val="none"/>
              </w:rPr>
            </w:pPr>
            <w:r>
              <w:rPr>
                <w:rFonts w:hint="eastAsia" w:eastAsia="宋体"/>
                <w:b/>
                <w:bCs/>
                <w:color w:val="auto"/>
                <w:sz w:val="21"/>
                <w:szCs w:val="21"/>
                <w:highlight w:val="none"/>
              </w:rPr>
              <w:t>收集率</w:t>
            </w:r>
          </w:p>
        </w:tc>
        <w:tc>
          <w:tcPr>
            <w:tcW w:w="1936" w:type="dxa"/>
            <w:gridSpan w:val="2"/>
            <w:tcBorders>
              <w:tl2br w:val="nil"/>
              <w:tr2bl w:val="nil"/>
            </w:tcBorders>
            <w:vAlign w:val="center"/>
          </w:tcPr>
          <w:p w14:paraId="0D64100A">
            <w:pPr>
              <w:pStyle w:val="21"/>
              <w:ind w:left="-105" w:right="-105" w:firstLine="0"/>
              <w:jc w:val="center"/>
              <w:rPr>
                <w:rFonts w:eastAsia="宋体"/>
                <w:b/>
                <w:bCs/>
                <w:color w:val="auto"/>
                <w:sz w:val="21"/>
                <w:szCs w:val="21"/>
                <w:highlight w:val="none"/>
              </w:rPr>
            </w:pPr>
            <w:r>
              <w:rPr>
                <w:rFonts w:hint="eastAsia" w:eastAsia="宋体"/>
                <w:b/>
                <w:bCs/>
                <w:color w:val="auto"/>
                <w:sz w:val="21"/>
                <w:szCs w:val="21"/>
                <w:highlight w:val="none"/>
              </w:rPr>
              <w:t>有组织产生量</w:t>
            </w:r>
          </w:p>
        </w:tc>
        <w:tc>
          <w:tcPr>
            <w:tcW w:w="1936" w:type="dxa"/>
            <w:gridSpan w:val="2"/>
            <w:tcBorders>
              <w:tl2br w:val="nil"/>
              <w:tr2bl w:val="nil"/>
            </w:tcBorders>
            <w:vAlign w:val="center"/>
          </w:tcPr>
          <w:p w14:paraId="35D9DFED">
            <w:pPr>
              <w:pStyle w:val="21"/>
              <w:ind w:left="-105" w:right="-105" w:firstLine="0"/>
              <w:jc w:val="center"/>
              <w:rPr>
                <w:rFonts w:eastAsia="宋体"/>
                <w:b/>
                <w:bCs/>
                <w:color w:val="auto"/>
                <w:sz w:val="21"/>
                <w:szCs w:val="21"/>
                <w:highlight w:val="none"/>
              </w:rPr>
            </w:pPr>
            <w:r>
              <w:rPr>
                <w:rFonts w:hint="eastAsia" w:eastAsia="宋体"/>
                <w:b/>
                <w:bCs/>
                <w:color w:val="auto"/>
                <w:sz w:val="21"/>
                <w:szCs w:val="21"/>
                <w:highlight w:val="none"/>
              </w:rPr>
              <w:t>无组织产生量</w:t>
            </w:r>
          </w:p>
        </w:tc>
      </w:tr>
      <w:tr w14:paraId="0182EE3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158" w:type="dxa"/>
            <w:vMerge w:val="continue"/>
            <w:tcBorders>
              <w:tl2br w:val="nil"/>
              <w:tr2bl w:val="nil"/>
            </w:tcBorders>
            <w:vAlign w:val="center"/>
          </w:tcPr>
          <w:p w14:paraId="4DA5190F">
            <w:pPr>
              <w:pStyle w:val="21"/>
              <w:ind w:left="-105" w:right="-105" w:firstLine="0"/>
              <w:jc w:val="center"/>
              <w:rPr>
                <w:rFonts w:eastAsia="宋体"/>
                <w:color w:val="auto"/>
                <w:sz w:val="21"/>
                <w:szCs w:val="21"/>
                <w:highlight w:val="none"/>
              </w:rPr>
            </w:pPr>
          </w:p>
        </w:tc>
        <w:tc>
          <w:tcPr>
            <w:tcW w:w="1230" w:type="dxa"/>
            <w:vMerge w:val="continue"/>
            <w:tcBorders>
              <w:tl2br w:val="nil"/>
              <w:tr2bl w:val="nil"/>
            </w:tcBorders>
            <w:vAlign w:val="center"/>
          </w:tcPr>
          <w:p w14:paraId="10710E7A">
            <w:pPr>
              <w:pStyle w:val="21"/>
              <w:ind w:left="-105" w:right="-105" w:firstLine="0"/>
              <w:jc w:val="center"/>
              <w:rPr>
                <w:rFonts w:eastAsia="宋体"/>
                <w:color w:val="auto"/>
                <w:sz w:val="21"/>
                <w:szCs w:val="21"/>
                <w:highlight w:val="none"/>
              </w:rPr>
            </w:pPr>
          </w:p>
        </w:tc>
        <w:tc>
          <w:tcPr>
            <w:tcW w:w="930" w:type="dxa"/>
            <w:vMerge w:val="continue"/>
            <w:tcBorders>
              <w:tl2br w:val="nil"/>
              <w:tr2bl w:val="nil"/>
            </w:tcBorders>
            <w:vAlign w:val="center"/>
          </w:tcPr>
          <w:p w14:paraId="659B0610">
            <w:pPr>
              <w:pStyle w:val="21"/>
              <w:ind w:left="-105" w:right="-105" w:firstLine="0"/>
              <w:jc w:val="center"/>
              <w:rPr>
                <w:rFonts w:eastAsia="宋体"/>
                <w:color w:val="auto"/>
                <w:sz w:val="21"/>
                <w:szCs w:val="21"/>
                <w:highlight w:val="none"/>
              </w:rPr>
            </w:pPr>
          </w:p>
        </w:tc>
        <w:tc>
          <w:tcPr>
            <w:tcW w:w="855" w:type="dxa"/>
            <w:vMerge w:val="continue"/>
            <w:tcBorders>
              <w:tl2br w:val="nil"/>
              <w:tr2bl w:val="nil"/>
            </w:tcBorders>
            <w:vAlign w:val="center"/>
          </w:tcPr>
          <w:p w14:paraId="09E5074F">
            <w:pPr>
              <w:pStyle w:val="21"/>
              <w:ind w:left="-105" w:right="-105" w:firstLine="0"/>
              <w:jc w:val="center"/>
              <w:rPr>
                <w:rFonts w:eastAsia="宋体"/>
                <w:color w:val="auto"/>
                <w:sz w:val="21"/>
                <w:szCs w:val="21"/>
                <w:highlight w:val="none"/>
              </w:rPr>
            </w:pPr>
          </w:p>
        </w:tc>
        <w:tc>
          <w:tcPr>
            <w:tcW w:w="675" w:type="dxa"/>
            <w:vMerge w:val="continue"/>
            <w:tcBorders>
              <w:tl2br w:val="nil"/>
              <w:tr2bl w:val="nil"/>
            </w:tcBorders>
            <w:vAlign w:val="center"/>
          </w:tcPr>
          <w:p w14:paraId="3C094C70">
            <w:pPr>
              <w:pStyle w:val="21"/>
              <w:ind w:left="-105" w:right="-105" w:firstLine="0"/>
              <w:jc w:val="center"/>
              <w:rPr>
                <w:rFonts w:eastAsia="宋体"/>
                <w:color w:val="auto"/>
                <w:sz w:val="21"/>
                <w:szCs w:val="21"/>
                <w:highlight w:val="none"/>
              </w:rPr>
            </w:pPr>
          </w:p>
        </w:tc>
        <w:tc>
          <w:tcPr>
            <w:tcW w:w="968" w:type="dxa"/>
            <w:tcBorders>
              <w:tl2br w:val="nil"/>
              <w:tr2bl w:val="nil"/>
            </w:tcBorders>
            <w:vAlign w:val="center"/>
          </w:tcPr>
          <w:p w14:paraId="38C36840">
            <w:pPr>
              <w:pStyle w:val="21"/>
              <w:ind w:left="-105" w:right="-105" w:firstLine="0"/>
              <w:jc w:val="center"/>
              <w:rPr>
                <w:rFonts w:eastAsia="宋体"/>
                <w:b/>
                <w:bCs/>
                <w:color w:val="auto"/>
                <w:sz w:val="21"/>
                <w:szCs w:val="21"/>
                <w:highlight w:val="none"/>
              </w:rPr>
            </w:pPr>
            <w:r>
              <w:rPr>
                <w:rFonts w:hint="eastAsia" w:eastAsia="宋体"/>
                <w:b/>
                <w:bCs/>
                <w:color w:val="auto"/>
                <w:sz w:val="21"/>
                <w:szCs w:val="21"/>
                <w:highlight w:val="none"/>
              </w:rPr>
              <w:t>产生速率kg/h</w:t>
            </w:r>
          </w:p>
        </w:tc>
        <w:tc>
          <w:tcPr>
            <w:tcW w:w="968" w:type="dxa"/>
            <w:tcBorders>
              <w:tl2br w:val="nil"/>
              <w:tr2bl w:val="nil"/>
            </w:tcBorders>
            <w:vAlign w:val="center"/>
          </w:tcPr>
          <w:p w14:paraId="08D3F656">
            <w:pPr>
              <w:pStyle w:val="21"/>
              <w:ind w:left="-105" w:right="-105" w:firstLine="0"/>
              <w:jc w:val="center"/>
              <w:rPr>
                <w:rFonts w:eastAsia="宋体"/>
                <w:b/>
                <w:bCs/>
                <w:color w:val="auto"/>
                <w:sz w:val="21"/>
                <w:szCs w:val="21"/>
                <w:highlight w:val="none"/>
              </w:rPr>
            </w:pPr>
            <w:r>
              <w:rPr>
                <w:rFonts w:hint="eastAsia" w:eastAsia="宋体"/>
                <w:b/>
                <w:bCs/>
                <w:color w:val="auto"/>
                <w:sz w:val="21"/>
                <w:szCs w:val="21"/>
                <w:highlight w:val="none"/>
              </w:rPr>
              <w:t>产生量t/a</w:t>
            </w:r>
          </w:p>
        </w:tc>
        <w:tc>
          <w:tcPr>
            <w:tcW w:w="968" w:type="dxa"/>
            <w:tcBorders>
              <w:tl2br w:val="nil"/>
              <w:tr2bl w:val="nil"/>
            </w:tcBorders>
            <w:vAlign w:val="center"/>
          </w:tcPr>
          <w:p w14:paraId="64C8BBF6">
            <w:pPr>
              <w:pStyle w:val="21"/>
              <w:ind w:left="-105" w:right="-105" w:firstLine="0"/>
              <w:jc w:val="center"/>
              <w:rPr>
                <w:rFonts w:eastAsia="宋体"/>
                <w:b/>
                <w:bCs/>
                <w:color w:val="auto"/>
                <w:sz w:val="21"/>
                <w:szCs w:val="21"/>
                <w:highlight w:val="none"/>
              </w:rPr>
            </w:pPr>
            <w:r>
              <w:rPr>
                <w:rFonts w:hint="eastAsia" w:eastAsia="宋体"/>
                <w:b/>
                <w:bCs/>
                <w:color w:val="auto"/>
                <w:sz w:val="21"/>
                <w:szCs w:val="21"/>
                <w:highlight w:val="none"/>
              </w:rPr>
              <w:t>产生速率kg/h</w:t>
            </w:r>
          </w:p>
        </w:tc>
        <w:tc>
          <w:tcPr>
            <w:tcW w:w="968" w:type="dxa"/>
            <w:tcBorders>
              <w:tl2br w:val="nil"/>
              <w:tr2bl w:val="nil"/>
            </w:tcBorders>
            <w:vAlign w:val="center"/>
          </w:tcPr>
          <w:p w14:paraId="13D244ED">
            <w:pPr>
              <w:pStyle w:val="21"/>
              <w:ind w:left="-105" w:right="-105" w:firstLine="0"/>
              <w:jc w:val="center"/>
              <w:rPr>
                <w:rFonts w:eastAsia="宋体"/>
                <w:b/>
                <w:bCs/>
                <w:color w:val="auto"/>
                <w:sz w:val="21"/>
                <w:szCs w:val="21"/>
                <w:highlight w:val="none"/>
              </w:rPr>
            </w:pPr>
            <w:r>
              <w:rPr>
                <w:rFonts w:hint="eastAsia" w:eastAsia="宋体"/>
                <w:b/>
                <w:bCs/>
                <w:color w:val="auto"/>
                <w:sz w:val="21"/>
                <w:szCs w:val="21"/>
                <w:highlight w:val="none"/>
              </w:rPr>
              <w:t>产生量t/a</w:t>
            </w:r>
          </w:p>
        </w:tc>
      </w:tr>
      <w:tr w14:paraId="56B3C4C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158" w:type="dxa"/>
            <w:tcBorders>
              <w:tl2br w:val="nil"/>
              <w:tr2bl w:val="nil"/>
            </w:tcBorders>
            <w:vAlign w:val="center"/>
          </w:tcPr>
          <w:p w14:paraId="5A5F3455">
            <w:pPr>
              <w:pStyle w:val="21"/>
              <w:ind w:left="-105" w:right="-105" w:firstLine="0"/>
              <w:jc w:val="center"/>
              <w:rPr>
                <w:rFonts w:eastAsia="宋体"/>
                <w:color w:val="auto"/>
                <w:spacing w:val="-8"/>
                <w:sz w:val="21"/>
                <w:szCs w:val="21"/>
                <w:highlight w:val="none"/>
              </w:rPr>
            </w:pPr>
            <w:r>
              <w:rPr>
                <w:rFonts w:hint="eastAsia" w:eastAsia="宋体"/>
                <w:color w:val="auto"/>
                <w:spacing w:val="-8"/>
                <w:sz w:val="21"/>
                <w:szCs w:val="21"/>
                <w:highlight w:val="none"/>
              </w:rPr>
              <w:t>混合G1-1</w:t>
            </w:r>
          </w:p>
        </w:tc>
        <w:tc>
          <w:tcPr>
            <w:tcW w:w="1230" w:type="dxa"/>
            <w:tcBorders>
              <w:tl2br w:val="nil"/>
              <w:tr2bl w:val="nil"/>
            </w:tcBorders>
            <w:vAlign w:val="center"/>
          </w:tcPr>
          <w:p w14:paraId="0895B671">
            <w:pPr>
              <w:pStyle w:val="21"/>
              <w:ind w:left="-105" w:right="-105" w:firstLine="0"/>
              <w:jc w:val="center"/>
              <w:rPr>
                <w:rFonts w:eastAsia="宋体"/>
                <w:color w:val="auto"/>
                <w:spacing w:val="-8"/>
                <w:sz w:val="21"/>
                <w:szCs w:val="21"/>
                <w:highlight w:val="none"/>
              </w:rPr>
            </w:pPr>
            <w:r>
              <w:rPr>
                <w:rFonts w:hint="eastAsia" w:eastAsia="宋体"/>
                <w:color w:val="auto"/>
                <w:spacing w:val="-8"/>
                <w:sz w:val="21"/>
                <w:szCs w:val="21"/>
                <w:highlight w:val="none"/>
              </w:rPr>
              <w:t>非甲烷总烃</w:t>
            </w:r>
          </w:p>
        </w:tc>
        <w:tc>
          <w:tcPr>
            <w:tcW w:w="930" w:type="dxa"/>
            <w:tcBorders>
              <w:tl2br w:val="nil"/>
              <w:tr2bl w:val="nil"/>
            </w:tcBorders>
            <w:vAlign w:val="center"/>
          </w:tcPr>
          <w:p w14:paraId="65B34384">
            <w:pPr>
              <w:pStyle w:val="21"/>
              <w:ind w:left="-105" w:right="-105" w:firstLine="0"/>
              <w:jc w:val="center"/>
              <w:rPr>
                <w:rFonts w:eastAsia="宋体"/>
                <w:color w:val="auto"/>
                <w:spacing w:val="-8"/>
                <w:sz w:val="21"/>
                <w:szCs w:val="21"/>
                <w:highlight w:val="none"/>
              </w:rPr>
            </w:pPr>
            <w:r>
              <w:rPr>
                <w:rFonts w:hint="eastAsia" w:eastAsia="宋体"/>
                <w:color w:val="auto"/>
                <w:spacing w:val="-8"/>
                <w:sz w:val="21"/>
                <w:szCs w:val="21"/>
                <w:highlight w:val="none"/>
              </w:rPr>
              <w:t>0.</w:t>
            </w:r>
            <w:r>
              <w:rPr>
                <w:rFonts w:hint="eastAsia" w:eastAsia="宋体"/>
                <w:color w:val="auto"/>
                <w:spacing w:val="-8"/>
                <w:sz w:val="21"/>
                <w:szCs w:val="21"/>
                <w:highlight w:val="none"/>
                <w:lang w:val="en-US" w:eastAsia="zh-CN"/>
              </w:rPr>
              <w:t>78</w:t>
            </w:r>
            <w:r>
              <w:rPr>
                <w:rFonts w:hint="eastAsia" w:eastAsia="宋体"/>
                <w:color w:val="auto"/>
                <w:spacing w:val="-8"/>
                <w:sz w:val="21"/>
                <w:szCs w:val="21"/>
                <w:highlight w:val="none"/>
              </w:rPr>
              <w:t>5</w:t>
            </w:r>
          </w:p>
        </w:tc>
        <w:tc>
          <w:tcPr>
            <w:tcW w:w="855" w:type="dxa"/>
            <w:tcBorders>
              <w:tl2br w:val="nil"/>
              <w:tr2bl w:val="nil"/>
            </w:tcBorders>
            <w:vAlign w:val="center"/>
          </w:tcPr>
          <w:p w14:paraId="023D6DFF">
            <w:pPr>
              <w:pStyle w:val="21"/>
              <w:ind w:left="-105" w:right="-105" w:firstLine="0"/>
              <w:jc w:val="center"/>
              <w:rPr>
                <w:rFonts w:eastAsia="宋体"/>
                <w:color w:val="auto"/>
                <w:spacing w:val="-8"/>
                <w:sz w:val="21"/>
                <w:szCs w:val="21"/>
                <w:highlight w:val="none"/>
              </w:rPr>
            </w:pPr>
            <w:r>
              <w:rPr>
                <w:rFonts w:hint="eastAsia" w:eastAsia="宋体"/>
                <w:color w:val="auto"/>
                <w:spacing w:val="-8"/>
                <w:sz w:val="21"/>
                <w:szCs w:val="21"/>
                <w:highlight w:val="none"/>
              </w:rPr>
              <w:t>2000</w:t>
            </w:r>
          </w:p>
        </w:tc>
        <w:tc>
          <w:tcPr>
            <w:tcW w:w="675" w:type="dxa"/>
            <w:tcBorders>
              <w:tl2br w:val="nil"/>
              <w:tr2bl w:val="nil"/>
            </w:tcBorders>
            <w:vAlign w:val="center"/>
          </w:tcPr>
          <w:p w14:paraId="6EB88E29">
            <w:pPr>
              <w:pStyle w:val="21"/>
              <w:ind w:left="-105" w:right="-105" w:firstLine="0"/>
              <w:jc w:val="center"/>
              <w:rPr>
                <w:rFonts w:eastAsia="宋体"/>
                <w:color w:val="auto"/>
                <w:spacing w:val="-8"/>
                <w:sz w:val="21"/>
                <w:szCs w:val="21"/>
                <w:highlight w:val="none"/>
              </w:rPr>
            </w:pPr>
            <w:r>
              <w:rPr>
                <w:rFonts w:hint="eastAsia" w:eastAsia="宋体"/>
                <w:color w:val="auto"/>
                <w:spacing w:val="-8"/>
                <w:sz w:val="21"/>
                <w:szCs w:val="21"/>
                <w:highlight w:val="none"/>
              </w:rPr>
              <w:t>9</w:t>
            </w:r>
            <w:r>
              <w:rPr>
                <w:rFonts w:hint="eastAsia" w:eastAsia="宋体"/>
                <w:color w:val="auto"/>
                <w:spacing w:val="-8"/>
                <w:sz w:val="21"/>
                <w:szCs w:val="21"/>
                <w:highlight w:val="none"/>
                <w:lang w:val="en-US" w:eastAsia="zh-CN"/>
              </w:rPr>
              <w:t>8</w:t>
            </w:r>
            <w:r>
              <w:rPr>
                <w:rFonts w:hint="eastAsia" w:eastAsia="宋体"/>
                <w:color w:val="auto"/>
                <w:spacing w:val="-8"/>
                <w:sz w:val="21"/>
                <w:szCs w:val="21"/>
                <w:highlight w:val="none"/>
              </w:rPr>
              <w:t>%</w:t>
            </w:r>
          </w:p>
        </w:tc>
        <w:tc>
          <w:tcPr>
            <w:tcW w:w="968" w:type="dxa"/>
            <w:tcBorders>
              <w:tl2br w:val="nil"/>
              <w:tr2bl w:val="nil"/>
            </w:tcBorders>
            <w:vAlign w:val="center"/>
          </w:tcPr>
          <w:p w14:paraId="104D703E">
            <w:pPr>
              <w:keepNext w:val="0"/>
              <w:keepLines w:val="0"/>
              <w:widowControl/>
              <w:suppressLineNumbers w:val="0"/>
              <w:jc w:val="center"/>
              <w:textAlignment w:val="center"/>
              <w:rPr>
                <w:rFonts w:ascii="Times New Roman" w:hAnsi="Times New Roman" w:cs="Times New Roman"/>
                <w:color w:val="auto"/>
                <w:spacing w:val="-8"/>
                <w:sz w:val="21"/>
                <w:szCs w:val="21"/>
                <w:highlight w:val="none"/>
              </w:rPr>
            </w:pPr>
            <w:r>
              <w:rPr>
                <w:rFonts w:hint="default" w:ascii="Times New Roman" w:hAnsi="Times New Roman" w:eastAsia="等线" w:cs="Times New Roman"/>
                <w:i w:val="0"/>
                <w:iCs w:val="0"/>
                <w:color w:val="auto"/>
                <w:kern w:val="0"/>
                <w:sz w:val="21"/>
                <w:szCs w:val="21"/>
                <w:highlight w:val="none"/>
                <w:u w:val="none"/>
                <w:lang w:val="en-US" w:eastAsia="zh-CN" w:bidi="ar"/>
              </w:rPr>
              <w:t xml:space="preserve">0.3847 </w:t>
            </w:r>
          </w:p>
        </w:tc>
        <w:tc>
          <w:tcPr>
            <w:tcW w:w="968" w:type="dxa"/>
            <w:tcBorders>
              <w:tl2br w:val="nil"/>
              <w:tr2bl w:val="nil"/>
            </w:tcBorders>
            <w:vAlign w:val="center"/>
          </w:tcPr>
          <w:p w14:paraId="107EBF13">
            <w:pPr>
              <w:keepNext w:val="0"/>
              <w:keepLines w:val="0"/>
              <w:widowControl/>
              <w:suppressLineNumbers w:val="0"/>
              <w:jc w:val="center"/>
              <w:textAlignment w:val="center"/>
              <w:rPr>
                <w:rFonts w:hint="eastAsia" w:eastAsia="宋体"/>
                <w:color w:val="auto"/>
                <w:spacing w:val="-8"/>
                <w:sz w:val="21"/>
                <w:szCs w:val="21"/>
                <w:highlight w:val="none"/>
                <w:lang w:val="en-US" w:eastAsia="zh-CN"/>
              </w:rPr>
            </w:pPr>
            <w:r>
              <w:rPr>
                <w:rFonts w:hint="default" w:ascii="Times New Roman" w:hAnsi="Times New Roman" w:eastAsia="等线" w:cs="Times New Roman"/>
                <w:i w:val="0"/>
                <w:iCs w:val="0"/>
                <w:color w:val="auto"/>
                <w:kern w:val="0"/>
                <w:sz w:val="21"/>
                <w:szCs w:val="21"/>
                <w:highlight w:val="none"/>
                <w:u w:val="none"/>
                <w:lang w:val="en-US" w:eastAsia="zh-CN" w:bidi="ar"/>
              </w:rPr>
              <w:t xml:space="preserve">0.7693 </w:t>
            </w:r>
          </w:p>
        </w:tc>
        <w:tc>
          <w:tcPr>
            <w:tcW w:w="968" w:type="dxa"/>
            <w:tcBorders>
              <w:tl2br w:val="nil"/>
              <w:tr2bl w:val="nil"/>
            </w:tcBorders>
            <w:vAlign w:val="center"/>
          </w:tcPr>
          <w:p w14:paraId="6CA5EDDB">
            <w:pPr>
              <w:keepNext w:val="0"/>
              <w:keepLines w:val="0"/>
              <w:widowControl/>
              <w:suppressLineNumbers w:val="0"/>
              <w:jc w:val="center"/>
              <w:textAlignment w:val="center"/>
              <w:rPr>
                <w:rFonts w:ascii="Times New Roman" w:hAnsi="Times New Roman" w:cs="Times New Roman"/>
                <w:color w:val="auto"/>
                <w:spacing w:val="-8"/>
                <w:sz w:val="21"/>
                <w:szCs w:val="21"/>
                <w:highlight w:val="none"/>
              </w:rPr>
            </w:pPr>
            <w:r>
              <w:rPr>
                <w:rFonts w:hint="default" w:ascii="Times New Roman" w:hAnsi="Times New Roman" w:eastAsia="等线" w:cs="Times New Roman"/>
                <w:i w:val="0"/>
                <w:iCs w:val="0"/>
                <w:color w:val="auto"/>
                <w:kern w:val="0"/>
                <w:sz w:val="21"/>
                <w:szCs w:val="21"/>
                <w:highlight w:val="none"/>
                <w:u w:val="none"/>
                <w:lang w:val="en-US" w:eastAsia="zh-CN" w:bidi="ar"/>
              </w:rPr>
              <w:t xml:space="preserve">0.0079 </w:t>
            </w:r>
          </w:p>
        </w:tc>
        <w:tc>
          <w:tcPr>
            <w:tcW w:w="968" w:type="dxa"/>
            <w:tcBorders>
              <w:tl2br w:val="nil"/>
              <w:tr2bl w:val="nil"/>
            </w:tcBorders>
            <w:vAlign w:val="center"/>
          </w:tcPr>
          <w:p w14:paraId="132BEA41">
            <w:pPr>
              <w:keepNext w:val="0"/>
              <w:keepLines w:val="0"/>
              <w:widowControl/>
              <w:suppressLineNumbers w:val="0"/>
              <w:jc w:val="center"/>
              <w:textAlignment w:val="center"/>
              <w:rPr>
                <w:rFonts w:eastAsia="宋体"/>
                <w:color w:val="auto"/>
                <w:spacing w:val="-8"/>
                <w:sz w:val="21"/>
                <w:szCs w:val="21"/>
                <w:highlight w:val="none"/>
              </w:rPr>
            </w:pPr>
            <w:r>
              <w:rPr>
                <w:rFonts w:hint="default" w:ascii="Times New Roman" w:hAnsi="Times New Roman" w:eastAsia="等线" w:cs="Times New Roman"/>
                <w:i w:val="0"/>
                <w:iCs w:val="0"/>
                <w:color w:val="auto"/>
                <w:kern w:val="0"/>
                <w:sz w:val="21"/>
                <w:szCs w:val="21"/>
                <w:highlight w:val="none"/>
                <w:u w:val="none"/>
                <w:lang w:val="en-US" w:eastAsia="zh-CN" w:bidi="ar"/>
              </w:rPr>
              <w:t xml:space="preserve">0.0157 </w:t>
            </w:r>
          </w:p>
        </w:tc>
      </w:tr>
      <w:tr w14:paraId="34D020F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158" w:type="dxa"/>
            <w:tcBorders>
              <w:tl2br w:val="nil"/>
              <w:tr2bl w:val="nil"/>
            </w:tcBorders>
            <w:vAlign w:val="center"/>
          </w:tcPr>
          <w:p w14:paraId="666885CD">
            <w:pPr>
              <w:pStyle w:val="21"/>
              <w:ind w:left="-105" w:right="-105" w:firstLine="0"/>
              <w:jc w:val="center"/>
              <w:rPr>
                <w:rFonts w:eastAsia="宋体"/>
                <w:color w:val="auto"/>
                <w:spacing w:val="-8"/>
                <w:sz w:val="21"/>
                <w:szCs w:val="21"/>
                <w:highlight w:val="none"/>
              </w:rPr>
            </w:pPr>
            <w:r>
              <w:rPr>
                <w:rFonts w:hint="eastAsia" w:eastAsia="宋体"/>
                <w:color w:val="auto"/>
                <w:spacing w:val="-8"/>
                <w:sz w:val="21"/>
                <w:szCs w:val="21"/>
                <w:highlight w:val="none"/>
              </w:rPr>
              <w:t>收缸G1-3</w:t>
            </w:r>
          </w:p>
        </w:tc>
        <w:tc>
          <w:tcPr>
            <w:tcW w:w="1230" w:type="dxa"/>
            <w:tcBorders>
              <w:tl2br w:val="nil"/>
              <w:tr2bl w:val="nil"/>
            </w:tcBorders>
            <w:vAlign w:val="center"/>
          </w:tcPr>
          <w:p w14:paraId="4672CACC">
            <w:pPr>
              <w:pStyle w:val="21"/>
              <w:ind w:left="-105" w:right="-105" w:firstLine="0"/>
              <w:jc w:val="center"/>
              <w:rPr>
                <w:rFonts w:eastAsia="宋体"/>
                <w:color w:val="auto"/>
                <w:spacing w:val="-8"/>
                <w:sz w:val="21"/>
                <w:szCs w:val="21"/>
                <w:highlight w:val="none"/>
              </w:rPr>
            </w:pPr>
            <w:r>
              <w:rPr>
                <w:rFonts w:hint="eastAsia" w:eastAsia="宋体"/>
                <w:color w:val="auto"/>
                <w:spacing w:val="-8"/>
                <w:sz w:val="21"/>
                <w:szCs w:val="21"/>
                <w:highlight w:val="none"/>
              </w:rPr>
              <w:t>非甲烷总烃</w:t>
            </w:r>
          </w:p>
        </w:tc>
        <w:tc>
          <w:tcPr>
            <w:tcW w:w="930" w:type="dxa"/>
            <w:tcBorders>
              <w:tl2br w:val="nil"/>
              <w:tr2bl w:val="nil"/>
            </w:tcBorders>
            <w:vAlign w:val="center"/>
          </w:tcPr>
          <w:p w14:paraId="1F7480C5">
            <w:pPr>
              <w:pStyle w:val="21"/>
              <w:ind w:left="-105" w:right="-105" w:firstLine="0"/>
              <w:jc w:val="center"/>
              <w:rPr>
                <w:rFonts w:eastAsia="宋体"/>
                <w:color w:val="auto"/>
                <w:spacing w:val="-8"/>
                <w:sz w:val="21"/>
                <w:szCs w:val="21"/>
                <w:highlight w:val="none"/>
              </w:rPr>
            </w:pPr>
            <w:r>
              <w:rPr>
                <w:rFonts w:hint="eastAsia" w:eastAsia="宋体"/>
                <w:color w:val="auto"/>
                <w:spacing w:val="-8"/>
                <w:sz w:val="21"/>
                <w:szCs w:val="21"/>
                <w:highlight w:val="none"/>
              </w:rPr>
              <w:t>0.3925</w:t>
            </w:r>
          </w:p>
        </w:tc>
        <w:tc>
          <w:tcPr>
            <w:tcW w:w="855" w:type="dxa"/>
            <w:tcBorders>
              <w:tl2br w:val="nil"/>
              <w:tr2bl w:val="nil"/>
            </w:tcBorders>
            <w:vAlign w:val="center"/>
          </w:tcPr>
          <w:p w14:paraId="274CE907">
            <w:pPr>
              <w:pStyle w:val="21"/>
              <w:ind w:left="-105" w:right="-105" w:firstLine="0"/>
              <w:jc w:val="center"/>
              <w:rPr>
                <w:rFonts w:eastAsia="宋体"/>
                <w:color w:val="auto"/>
                <w:spacing w:val="-8"/>
                <w:sz w:val="21"/>
                <w:szCs w:val="21"/>
                <w:highlight w:val="none"/>
              </w:rPr>
            </w:pPr>
            <w:r>
              <w:rPr>
                <w:rFonts w:hint="eastAsia" w:eastAsia="宋体"/>
                <w:color w:val="auto"/>
                <w:spacing w:val="-8"/>
                <w:sz w:val="21"/>
                <w:szCs w:val="21"/>
                <w:highlight w:val="none"/>
              </w:rPr>
              <w:t>2000</w:t>
            </w:r>
          </w:p>
        </w:tc>
        <w:tc>
          <w:tcPr>
            <w:tcW w:w="675" w:type="dxa"/>
            <w:tcBorders>
              <w:tl2br w:val="nil"/>
              <w:tr2bl w:val="nil"/>
            </w:tcBorders>
            <w:vAlign w:val="center"/>
          </w:tcPr>
          <w:p w14:paraId="6EA2EB9F">
            <w:pPr>
              <w:pStyle w:val="21"/>
              <w:ind w:left="-105" w:right="-105" w:firstLine="0"/>
              <w:jc w:val="center"/>
              <w:rPr>
                <w:rFonts w:eastAsia="宋体"/>
                <w:color w:val="auto"/>
                <w:spacing w:val="-8"/>
                <w:sz w:val="21"/>
                <w:szCs w:val="21"/>
                <w:highlight w:val="none"/>
              </w:rPr>
            </w:pPr>
            <w:r>
              <w:rPr>
                <w:rFonts w:hint="eastAsia" w:eastAsia="宋体"/>
                <w:color w:val="auto"/>
                <w:spacing w:val="-8"/>
                <w:sz w:val="21"/>
                <w:szCs w:val="21"/>
                <w:highlight w:val="none"/>
              </w:rPr>
              <w:t>9</w:t>
            </w:r>
            <w:r>
              <w:rPr>
                <w:rFonts w:hint="eastAsia" w:eastAsia="宋体"/>
                <w:color w:val="auto"/>
                <w:spacing w:val="-8"/>
                <w:sz w:val="21"/>
                <w:szCs w:val="21"/>
                <w:highlight w:val="none"/>
                <w:lang w:val="en-US" w:eastAsia="zh-CN"/>
              </w:rPr>
              <w:t>8</w:t>
            </w:r>
            <w:r>
              <w:rPr>
                <w:rFonts w:hint="eastAsia" w:eastAsia="宋体"/>
                <w:color w:val="auto"/>
                <w:spacing w:val="-8"/>
                <w:sz w:val="21"/>
                <w:szCs w:val="21"/>
                <w:highlight w:val="none"/>
              </w:rPr>
              <w:t>%</w:t>
            </w:r>
          </w:p>
        </w:tc>
        <w:tc>
          <w:tcPr>
            <w:tcW w:w="968" w:type="dxa"/>
            <w:tcBorders>
              <w:tl2br w:val="nil"/>
              <w:tr2bl w:val="nil"/>
            </w:tcBorders>
            <w:vAlign w:val="center"/>
          </w:tcPr>
          <w:p w14:paraId="171B3855">
            <w:pPr>
              <w:keepNext w:val="0"/>
              <w:keepLines w:val="0"/>
              <w:widowControl/>
              <w:suppressLineNumbers w:val="0"/>
              <w:jc w:val="center"/>
              <w:textAlignment w:val="center"/>
              <w:rPr>
                <w:rFonts w:ascii="Times New Roman" w:hAnsi="Times New Roman" w:cs="Times New Roman"/>
                <w:color w:val="auto"/>
                <w:spacing w:val="-8"/>
                <w:sz w:val="21"/>
                <w:szCs w:val="21"/>
                <w:highlight w:val="none"/>
              </w:rPr>
            </w:pPr>
            <w:r>
              <w:rPr>
                <w:rFonts w:hint="default" w:ascii="Times New Roman" w:hAnsi="Times New Roman" w:eastAsia="等线" w:cs="Times New Roman"/>
                <w:i w:val="0"/>
                <w:iCs w:val="0"/>
                <w:color w:val="auto"/>
                <w:kern w:val="0"/>
                <w:sz w:val="21"/>
                <w:szCs w:val="21"/>
                <w:highlight w:val="none"/>
                <w:u w:val="none"/>
                <w:lang w:val="en-US" w:eastAsia="zh-CN" w:bidi="ar"/>
              </w:rPr>
              <w:t xml:space="preserve">0.1923 </w:t>
            </w:r>
          </w:p>
        </w:tc>
        <w:tc>
          <w:tcPr>
            <w:tcW w:w="968" w:type="dxa"/>
            <w:tcBorders>
              <w:tl2br w:val="nil"/>
              <w:tr2bl w:val="nil"/>
            </w:tcBorders>
            <w:vAlign w:val="center"/>
          </w:tcPr>
          <w:p w14:paraId="387D9431">
            <w:pPr>
              <w:keepNext w:val="0"/>
              <w:keepLines w:val="0"/>
              <w:widowControl/>
              <w:suppressLineNumbers w:val="0"/>
              <w:jc w:val="center"/>
              <w:textAlignment w:val="center"/>
              <w:rPr>
                <w:rFonts w:eastAsia="宋体"/>
                <w:color w:val="auto"/>
                <w:spacing w:val="-8"/>
                <w:sz w:val="21"/>
                <w:szCs w:val="21"/>
                <w:highlight w:val="none"/>
              </w:rPr>
            </w:pPr>
            <w:r>
              <w:rPr>
                <w:rFonts w:hint="default" w:ascii="Times New Roman" w:hAnsi="Times New Roman" w:eastAsia="等线" w:cs="Times New Roman"/>
                <w:i w:val="0"/>
                <w:iCs w:val="0"/>
                <w:color w:val="auto"/>
                <w:kern w:val="0"/>
                <w:sz w:val="21"/>
                <w:szCs w:val="21"/>
                <w:highlight w:val="none"/>
                <w:u w:val="none"/>
                <w:lang w:val="en-US" w:eastAsia="zh-CN" w:bidi="ar"/>
              </w:rPr>
              <w:t xml:space="preserve">0.3847 </w:t>
            </w:r>
          </w:p>
        </w:tc>
        <w:tc>
          <w:tcPr>
            <w:tcW w:w="968" w:type="dxa"/>
            <w:tcBorders>
              <w:tl2br w:val="nil"/>
              <w:tr2bl w:val="nil"/>
            </w:tcBorders>
            <w:vAlign w:val="center"/>
          </w:tcPr>
          <w:p w14:paraId="09334971">
            <w:pPr>
              <w:keepNext w:val="0"/>
              <w:keepLines w:val="0"/>
              <w:widowControl/>
              <w:suppressLineNumbers w:val="0"/>
              <w:jc w:val="center"/>
              <w:textAlignment w:val="center"/>
              <w:rPr>
                <w:rFonts w:ascii="Times New Roman" w:hAnsi="Times New Roman" w:cs="Times New Roman"/>
                <w:color w:val="auto"/>
                <w:spacing w:val="-8"/>
                <w:sz w:val="21"/>
                <w:szCs w:val="21"/>
                <w:highlight w:val="none"/>
              </w:rPr>
            </w:pPr>
            <w:r>
              <w:rPr>
                <w:rFonts w:hint="default" w:ascii="Times New Roman" w:hAnsi="Times New Roman" w:eastAsia="等线" w:cs="Times New Roman"/>
                <w:i w:val="0"/>
                <w:iCs w:val="0"/>
                <w:color w:val="auto"/>
                <w:kern w:val="0"/>
                <w:sz w:val="21"/>
                <w:szCs w:val="21"/>
                <w:highlight w:val="none"/>
                <w:u w:val="none"/>
                <w:lang w:val="en-US" w:eastAsia="zh-CN" w:bidi="ar"/>
              </w:rPr>
              <w:t xml:space="preserve">0.0039 </w:t>
            </w:r>
          </w:p>
        </w:tc>
        <w:tc>
          <w:tcPr>
            <w:tcW w:w="968" w:type="dxa"/>
            <w:tcBorders>
              <w:tl2br w:val="nil"/>
              <w:tr2bl w:val="nil"/>
            </w:tcBorders>
            <w:vAlign w:val="center"/>
          </w:tcPr>
          <w:p w14:paraId="0BFB49AF">
            <w:pPr>
              <w:keepNext w:val="0"/>
              <w:keepLines w:val="0"/>
              <w:widowControl/>
              <w:suppressLineNumbers w:val="0"/>
              <w:jc w:val="center"/>
              <w:textAlignment w:val="center"/>
              <w:rPr>
                <w:rFonts w:eastAsia="宋体"/>
                <w:color w:val="auto"/>
                <w:spacing w:val="-8"/>
                <w:sz w:val="21"/>
                <w:szCs w:val="21"/>
                <w:highlight w:val="none"/>
              </w:rPr>
            </w:pPr>
            <w:r>
              <w:rPr>
                <w:rFonts w:hint="default" w:ascii="Times New Roman" w:hAnsi="Times New Roman" w:eastAsia="等线" w:cs="Times New Roman"/>
                <w:i w:val="0"/>
                <w:iCs w:val="0"/>
                <w:color w:val="auto"/>
                <w:kern w:val="0"/>
                <w:sz w:val="21"/>
                <w:szCs w:val="21"/>
                <w:highlight w:val="none"/>
                <w:u w:val="none"/>
                <w:lang w:val="en-US" w:eastAsia="zh-CN" w:bidi="ar"/>
              </w:rPr>
              <w:t>0.007</w:t>
            </w:r>
            <w:r>
              <w:rPr>
                <w:rFonts w:hint="eastAsia" w:ascii="Times New Roman" w:hAnsi="Times New Roman" w:eastAsia="等线" w:cs="Times New Roman"/>
                <w:i w:val="0"/>
                <w:iCs w:val="0"/>
                <w:color w:val="auto"/>
                <w:kern w:val="0"/>
                <w:sz w:val="21"/>
                <w:szCs w:val="21"/>
                <w:highlight w:val="none"/>
                <w:u w:val="none"/>
                <w:lang w:val="en-US" w:eastAsia="zh-CN" w:bidi="ar"/>
              </w:rPr>
              <w:t>8</w:t>
            </w:r>
            <w:r>
              <w:rPr>
                <w:rFonts w:hint="default" w:ascii="Times New Roman" w:hAnsi="Times New Roman" w:eastAsia="等线" w:cs="Times New Roman"/>
                <w:i w:val="0"/>
                <w:iCs w:val="0"/>
                <w:color w:val="auto"/>
                <w:kern w:val="0"/>
                <w:sz w:val="21"/>
                <w:szCs w:val="21"/>
                <w:highlight w:val="none"/>
                <w:u w:val="none"/>
                <w:lang w:val="en-US" w:eastAsia="zh-CN" w:bidi="ar"/>
              </w:rPr>
              <w:t xml:space="preserve"> </w:t>
            </w:r>
          </w:p>
        </w:tc>
      </w:tr>
      <w:tr w14:paraId="156EA66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158" w:type="dxa"/>
            <w:tcBorders>
              <w:tl2br w:val="nil"/>
              <w:tr2bl w:val="nil"/>
            </w:tcBorders>
            <w:vAlign w:val="center"/>
          </w:tcPr>
          <w:p w14:paraId="7CB3067C">
            <w:pPr>
              <w:pStyle w:val="21"/>
              <w:ind w:left="-105" w:right="-105" w:firstLine="0"/>
              <w:jc w:val="center"/>
              <w:rPr>
                <w:rFonts w:eastAsia="宋体"/>
                <w:color w:val="auto"/>
                <w:spacing w:val="-8"/>
                <w:sz w:val="21"/>
                <w:szCs w:val="21"/>
                <w:highlight w:val="none"/>
              </w:rPr>
            </w:pPr>
            <w:r>
              <w:rPr>
                <w:rFonts w:hint="eastAsia" w:eastAsia="宋体"/>
                <w:color w:val="auto"/>
                <w:spacing w:val="-8"/>
                <w:sz w:val="21"/>
                <w:szCs w:val="21"/>
                <w:highlight w:val="none"/>
              </w:rPr>
              <w:t>合计</w:t>
            </w:r>
          </w:p>
        </w:tc>
        <w:tc>
          <w:tcPr>
            <w:tcW w:w="1230" w:type="dxa"/>
            <w:tcBorders>
              <w:tl2br w:val="nil"/>
              <w:tr2bl w:val="nil"/>
            </w:tcBorders>
            <w:vAlign w:val="center"/>
          </w:tcPr>
          <w:p w14:paraId="63FD35ED">
            <w:pPr>
              <w:pStyle w:val="21"/>
              <w:ind w:left="-105" w:right="-105" w:firstLine="0"/>
              <w:jc w:val="center"/>
              <w:rPr>
                <w:rFonts w:eastAsia="宋体"/>
                <w:color w:val="auto"/>
                <w:spacing w:val="-8"/>
                <w:sz w:val="21"/>
                <w:szCs w:val="21"/>
                <w:highlight w:val="none"/>
              </w:rPr>
            </w:pPr>
            <w:r>
              <w:rPr>
                <w:rFonts w:hint="eastAsia" w:eastAsia="宋体"/>
                <w:color w:val="auto"/>
                <w:spacing w:val="-8"/>
                <w:sz w:val="21"/>
                <w:szCs w:val="21"/>
                <w:highlight w:val="none"/>
              </w:rPr>
              <w:t>非甲烷总烃</w:t>
            </w:r>
          </w:p>
        </w:tc>
        <w:tc>
          <w:tcPr>
            <w:tcW w:w="930" w:type="dxa"/>
            <w:tcBorders>
              <w:tl2br w:val="nil"/>
              <w:tr2bl w:val="nil"/>
            </w:tcBorders>
            <w:vAlign w:val="center"/>
          </w:tcPr>
          <w:p w14:paraId="66499A79">
            <w:pPr>
              <w:pStyle w:val="21"/>
              <w:ind w:left="-105" w:right="-105" w:firstLine="0"/>
              <w:jc w:val="center"/>
              <w:rPr>
                <w:rFonts w:hint="default" w:eastAsia="宋体"/>
                <w:color w:val="auto"/>
                <w:spacing w:val="-8"/>
                <w:sz w:val="21"/>
                <w:szCs w:val="21"/>
                <w:highlight w:val="none"/>
                <w:lang w:val="en-US" w:eastAsia="zh-CN"/>
              </w:rPr>
            </w:pPr>
            <w:r>
              <w:rPr>
                <w:rFonts w:hint="eastAsia" w:eastAsia="宋体"/>
                <w:color w:val="auto"/>
                <w:spacing w:val="-8"/>
                <w:sz w:val="21"/>
                <w:szCs w:val="21"/>
                <w:highlight w:val="none"/>
                <w:lang w:val="en-US" w:eastAsia="zh-CN"/>
              </w:rPr>
              <w:t>1.1775</w:t>
            </w:r>
          </w:p>
        </w:tc>
        <w:tc>
          <w:tcPr>
            <w:tcW w:w="855" w:type="dxa"/>
            <w:tcBorders>
              <w:tl2br w:val="nil"/>
              <w:tr2bl w:val="nil"/>
            </w:tcBorders>
            <w:vAlign w:val="center"/>
          </w:tcPr>
          <w:p w14:paraId="41AFC8B2">
            <w:pPr>
              <w:pStyle w:val="21"/>
              <w:ind w:left="-105" w:right="-105" w:firstLine="0"/>
              <w:jc w:val="center"/>
              <w:rPr>
                <w:rFonts w:eastAsia="宋体"/>
                <w:color w:val="auto"/>
                <w:spacing w:val="-8"/>
                <w:sz w:val="21"/>
                <w:szCs w:val="21"/>
                <w:highlight w:val="none"/>
              </w:rPr>
            </w:pPr>
            <w:r>
              <w:rPr>
                <w:rFonts w:hint="eastAsia" w:eastAsia="宋体"/>
                <w:color w:val="auto"/>
                <w:spacing w:val="-8"/>
                <w:sz w:val="21"/>
                <w:szCs w:val="21"/>
                <w:highlight w:val="none"/>
              </w:rPr>
              <w:t>2000</w:t>
            </w:r>
          </w:p>
        </w:tc>
        <w:tc>
          <w:tcPr>
            <w:tcW w:w="675" w:type="dxa"/>
            <w:tcBorders>
              <w:tl2br w:val="nil"/>
              <w:tr2bl w:val="nil"/>
            </w:tcBorders>
            <w:vAlign w:val="center"/>
          </w:tcPr>
          <w:p w14:paraId="6CA4B45D">
            <w:pPr>
              <w:pStyle w:val="21"/>
              <w:ind w:left="-105" w:right="-105" w:firstLine="0"/>
              <w:jc w:val="center"/>
              <w:rPr>
                <w:rFonts w:eastAsia="宋体"/>
                <w:color w:val="auto"/>
                <w:spacing w:val="-8"/>
                <w:sz w:val="21"/>
                <w:szCs w:val="21"/>
                <w:highlight w:val="none"/>
              </w:rPr>
            </w:pPr>
            <w:r>
              <w:rPr>
                <w:rFonts w:hint="eastAsia" w:eastAsia="宋体"/>
                <w:color w:val="auto"/>
                <w:spacing w:val="-8"/>
                <w:sz w:val="21"/>
                <w:szCs w:val="21"/>
                <w:highlight w:val="none"/>
              </w:rPr>
              <w:t>9</w:t>
            </w:r>
            <w:r>
              <w:rPr>
                <w:rFonts w:hint="eastAsia" w:eastAsia="宋体"/>
                <w:color w:val="auto"/>
                <w:spacing w:val="-8"/>
                <w:sz w:val="21"/>
                <w:szCs w:val="21"/>
                <w:highlight w:val="none"/>
                <w:lang w:val="en-US" w:eastAsia="zh-CN"/>
              </w:rPr>
              <w:t>8</w:t>
            </w:r>
            <w:r>
              <w:rPr>
                <w:rFonts w:hint="eastAsia" w:eastAsia="宋体"/>
                <w:color w:val="auto"/>
                <w:spacing w:val="-8"/>
                <w:sz w:val="21"/>
                <w:szCs w:val="21"/>
                <w:highlight w:val="none"/>
              </w:rPr>
              <w:t>%</w:t>
            </w:r>
          </w:p>
        </w:tc>
        <w:tc>
          <w:tcPr>
            <w:tcW w:w="968" w:type="dxa"/>
            <w:tcBorders>
              <w:tl2br w:val="nil"/>
              <w:tr2bl w:val="nil"/>
            </w:tcBorders>
            <w:vAlign w:val="center"/>
          </w:tcPr>
          <w:p w14:paraId="10DF1BB2">
            <w:pPr>
              <w:keepNext w:val="0"/>
              <w:keepLines w:val="0"/>
              <w:widowControl/>
              <w:suppressLineNumbers w:val="0"/>
              <w:jc w:val="center"/>
              <w:textAlignment w:val="center"/>
              <w:rPr>
                <w:rFonts w:ascii="Times New Roman" w:hAnsi="Times New Roman" w:cs="Times New Roman"/>
                <w:color w:val="auto"/>
                <w:spacing w:val="-8"/>
                <w:sz w:val="21"/>
                <w:szCs w:val="21"/>
                <w:highlight w:val="none"/>
              </w:rPr>
            </w:pPr>
            <w:r>
              <w:rPr>
                <w:rFonts w:hint="default" w:ascii="Times New Roman" w:hAnsi="Times New Roman" w:eastAsia="等线" w:cs="Times New Roman"/>
                <w:i w:val="0"/>
                <w:iCs w:val="0"/>
                <w:color w:val="auto"/>
                <w:kern w:val="0"/>
                <w:sz w:val="21"/>
                <w:szCs w:val="21"/>
                <w:highlight w:val="none"/>
                <w:u w:val="none"/>
                <w:lang w:val="en-US" w:eastAsia="zh-CN" w:bidi="ar"/>
              </w:rPr>
              <w:t xml:space="preserve">0.5770 </w:t>
            </w:r>
          </w:p>
        </w:tc>
        <w:tc>
          <w:tcPr>
            <w:tcW w:w="968" w:type="dxa"/>
            <w:tcBorders>
              <w:tl2br w:val="nil"/>
              <w:tr2bl w:val="nil"/>
            </w:tcBorders>
            <w:vAlign w:val="center"/>
          </w:tcPr>
          <w:p w14:paraId="3436AAAB">
            <w:pPr>
              <w:keepNext w:val="0"/>
              <w:keepLines w:val="0"/>
              <w:widowControl/>
              <w:suppressLineNumbers w:val="0"/>
              <w:jc w:val="center"/>
              <w:textAlignment w:val="center"/>
              <w:rPr>
                <w:rFonts w:eastAsia="宋体"/>
                <w:color w:val="auto"/>
                <w:spacing w:val="-8"/>
                <w:sz w:val="21"/>
                <w:szCs w:val="21"/>
                <w:highlight w:val="none"/>
              </w:rPr>
            </w:pPr>
            <w:r>
              <w:rPr>
                <w:rFonts w:hint="default" w:ascii="Times New Roman" w:hAnsi="Times New Roman" w:eastAsia="等线" w:cs="Times New Roman"/>
                <w:i w:val="0"/>
                <w:iCs w:val="0"/>
                <w:color w:val="auto"/>
                <w:kern w:val="0"/>
                <w:sz w:val="21"/>
                <w:szCs w:val="21"/>
                <w:highlight w:val="none"/>
                <w:u w:val="none"/>
                <w:lang w:val="en-US" w:eastAsia="zh-CN" w:bidi="ar"/>
              </w:rPr>
              <w:t xml:space="preserve">1.1540 </w:t>
            </w:r>
          </w:p>
        </w:tc>
        <w:tc>
          <w:tcPr>
            <w:tcW w:w="968" w:type="dxa"/>
            <w:tcBorders>
              <w:tl2br w:val="nil"/>
              <w:tr2bl w:val="nil"/>
            </w:tcBorders>
            <w:vAlign w:val="center"/>
          </w:tcPr>
          <w:p w14:paraId="53EB2619">
            <w:pPr>
              <w:keepNext w:val="0"/>
              <w:keepLines w:val="0"/>
              <w:widowControl/>
              <w:suppressLineNumbers w:val="0"/>
              <w:jc w:val="center"/>
              <w:textAlignment w:val="center"/>
              <w:rPr>
                <w:rFonts w:ascii="Times New Roman" w:hAnsi="Times New Roman" w:cs="Times New Roman"/>
                <w:color w:val="auto"/>
                <w:spacing w:val="-8"/>
                <w:sz w:val="21"/>
                <w:szCs w:val="21"/>
                <w:highlight w:val="none"/>
              </w:rPr>
            </w:pPr>
            <w:r>
              <w:rPr>
                <w:rFonts w:hint="default" w:ascii="Times New Roman" w:hAnsi="Times New Roman" w:eastAsia="等线" w:cs="Times New Roman"/>
                <w:i w:val="0"/>
                <w:iCs w:val="0"/>
                <w:color w:val="auto"/>
                <w:kern w:val="0"/>
                <w:sz w:val="21"/>
                <w:szCs w:val="21"/>
                <w:highlight w:val="none"/>
                <w:u w:val="none"/>
                <w:lang w:val="en-US" w:eastAsia="zh-CN" w:bidi="ar"/>
              </w:rPr>
              <w:t xml:space="preserve">0.0118 </w:t>
            </w:r>
          </w:p>
        </w:tc>
        <w:tc>
          <w:tcPr>
            <w:tcW w:w="968" w:type="dxa"/>
            <w:tcBorders>
              <w:tl2br w:val="nil"/>
              <w:tr2bl w:val="nil"/>
            </w:tcBorders>
            <w:vAlign w:val="center"/>
          </w:tcPr>
          <w:p w14:paraId="67EE2FB8">
            <w:pPr>
              <w:keepNext w:val="0"/>
              <w:keepLines w:val="0"/>
              <w:widowControl/>
              <w:suppressLineNumbers w:val="0"/>
              <w:jc w:val="center"/>
              <w:textAlignment w:val="center"/>
              <w:rPr>
                <w:rFonts w:eastAsia="宋体"/>
                <w:color w:val="auto"/>
                <w:spacing w:val="-8"/>
                <w:sz w:val="21"/>
                <w:szCs w:val="21"/>
                <w:highlight w:val="none"/>
              </w:rPr>
            </w:pPr>
            <w:r>
              <w:rPr>
                <w:rFonts w:hint="default" w:ascii="Times New Roman" w:hAnsi="Times New Roman" w:eastAsia="等线" w:cs="Times New Roman"/>
                <w:i w:val="0"/>
                <w:iCs w:val="0"/>
                <w:color w:val="auto"/>
                <w:kern w:val="0"/>
                <w:sz w:val="21"/>
                <w:szCs w:val="21"/>
                <w:highlight w:val="none"/>
                <w:u w:val="none"/>
                <w:lang w:val="en-US" w:eastAsia="zh-CN" w:bidi="ar"/>
              </w:rPr>
              <w:t>0.023</w:t>
            </w:r>
            <w:r>
              <w:rPr>
                <w:rFonts w:hint="eastAsia" w:ascii="Times New Roman" w:hAnsi="Times New Roman" w:eastAsia="等线" w:cs="Times New Roman"/>
                <w:i w:val="0"/>
                <w:iCs w:val="0"/>
                <w:color w:val="auto"/>
                <w:kern w:val="0"/>
                <w:sz w:val="21"/>
                <w:szCs w:val="21"/>
                <w:highlight w:val="none"/>
                <w:u w:val="none"/>
                <w:lang w:val="en-US" w:eastAsia="zh-CN" w:bidi="ar"/>
              </w:rPr>
              <w:t>5</w:t>
            </w:r>
            <w:r>
              <w:rPr>
                <w:rFonts w:hint="default" w:ascii="Times New Roman" w:hAnsi="Times New Roman" w:eastAsia="等线" w:cs="Times New Roman"/>
                <w:i w:val="0"/>
                <w:iCs w:val="0"/>
                <w:color w:val="auto"/>
                <w:kern w:val="0"/>
                <w:sz w:val="21"/>
                <w:szCs w:val="21"/>
                <w:highlight w:val="none"/>
                <w:u w:val="none"/>
                <w:lang w:val="en-US" w:eastAsia="zh-CN" w:bidi="ar"/>
              </w:rPr>
              <w:t xml:space="preserve"> </w:t>
            </w:r>
          </w:p>
        </w:tc>
      </w:tr>
    </w:tbl>
    <w:p w14:paraId="72CF644F">
      <w:pPr>
        <w:spacing w:before="120" w:beforeLines="50" w:line="360" w:lineRule="auto"/>
        <w:ind w:left="-105" w:right="-105" w:firstLine="480" w:firstLineChars="200"/>
        <w:rPr>
          <w:rFonts w:ascii="Times New Roman" w:hAnsi="Times New Roman"/>
          <w:color w:val="auto"/>
          <w:szCs w:val="22"/>
          <w:highlight w:val="none"/>
        </w:rPr>
      </w:pPr>
      <w:r>
        <w:rPr>
          <w:rFonts w:hint="eastAsia" w:ascii="Times New Roman" w:hAnsi="Times New Roman"/>
          <w:color w:val="auto"/>
          <w:szCs w:val="22"/>
          <w:highlight w:val="none"/>
        </w:rPr>
        <w:t>（2）实验废气</w:t>
      </w:r>
    </w:p>
    <w:p w14:paraId="5086A450">
      <w:pPr>
        <w:spacing w:line="360" w:lineRule="auto"/>
        <w:ind w:left="-105" w:right="-105" w:firstLine="480" w:firstLineChars="200"/>
        <w:jc w:val="both"/>
        <w:rPr>
          <w:rFonts w:ascii="Times New Roman" w:hAnsi="Times New Roman"/>
          <w:color w:val="auto"/>
          <w:szCs w:val="22"/>
          <w:highlight w:val="none"/>
        </w:rPr>
      </w:pPr>
      <w:r>
        <w:rPr>
          <w:rFonts w:ascii="Times New Roman" w:hAnsi="Times New Roman"/>
          <w:color w:val="auto"/>
          <w:szCs w:val="22"/>
          <w:highlight w:val="none"/>
        </w:rPr>
        <w:t>本项目设一座生产检测</w:t>
      </w:r>
      <w:r>
        <w:rPr>
          <w:rFonts w:hint="eastAsia" w:ascii="Times New Roman" w:hAnsi="Times New Roman"/>
          <w:color w:val="auto"/>
          <w:szCs w:val="22"/>
          <w:highlight w:val="none"/>
        </w:rPr>
        <w:t>实验楼</w:t>
      </w:r>
      <w:r>
        <w:rPr>
          <w:rFonts w:ascii="Times New Roman" w:hAnsi="Times New Roman"/>
          <w:color w:val="auto"/>
          <w:szCs w:val="22"/>
          <w:highlight w:val="none"/>
        </w:rPr>
        <w:t>，使用甲醇、</w:t>
      </w:r>
      <w:r>
        <w:rPr>
          <w:rFonts w:hint="eastAsia" w:ascii="Times New Roman" w:hAnsi="Times New Roman"/>
          <w:color w:val="auto"/>
          <w:szCs w:val="22"/>
          <w:highlight w:val="none"/>
        </w:rPr>
        <w:t>硝酸</w:t>
      </w:r>
      <w:r>
        <w:rPr>
          <w:rFonts w:ascii="Times New Roman" w:hAnsi="Times New Roman"/>
          <w:color w:val="auto"/>
          <w:szCs w:val="22"/>
          <w:highlight w:val="none"/>
        </w:rPr>
        <w:t>等试剂和少量产品进行质量分析和检测，试剂使用过程中挥发产生废气</w:t>
      </w:r>
      <w:r>
        <w:rPr>
          <w:rFonts w:hint="eastAsia" w:ascii="Times New Roman" w:hAnsi="Times New Roman"/>
          <w:color w:val="auto"/>
          <w:szCs w:val="22"/>
          <w:highlight w:val="none"/>
          <w:lang w:eastAsia="zh-CN"/>
        </w:rPr>
        <w:t>（</w:t>
      </w:r>
      <w:r>
        <w:rPr>
          <w:rFonts w:hint="eastAsia" w:ascii="Times New Roman" w:hAnsi="Times New Roman"/>
          <w:color w:val="auto"/>
          <w:szCs w:val="22"/>
          <w:highlight w:val="none"/>
          <w:lang w:val="en-US" w:eastAsia="zh-CN"/>
        </w:rPr>
        <w:t>有机废气以非甲烷总烃表征</w:t>
      </w:r>
      <w:r>
        <w:rPr>
          <w:rFonts w:hint="eastAsia" w:ascii="Times New Roman" w:hAnsi="Times New Roman"/>
          <w:color w:val="auto"/>
          <w:szCs w:val="22"/>
          <w:highlight w:val="none"/>
          <w:lang w:eastAsia="zh-CN"/>
        </w:rPr>
        <w:t>）</w:t>
      </w:r>
      <w:r>
        <w:rPr>
          <w:rFonts w:ascii="Times New Roman" w:hAnsi="Times New Roman"/>
          <w:color w:val="auto"/>
          <w:szCs w:val="22"/>
          <w:highlight w:val="none"/>
        </w:rPr>
        <w:t>。</w:t>
      </w:r>
    </w:p>
    <w:p w14:paraId="0796F600">
      <w:pPr>
        <w:spacing w:line="360" w:lineRule="auto"/>
        <w:ind w:left="-105" w:right="-105" w:firstLine="480" w:firstLineChars="200"/>
        <w:jc w:val="both"/>
        <w:rPr>
          <w:rFonts w:hint="default" w:ascii="Times New Roman" w:hAnsi="Times New Roman" w:eastAsia="宋体"/>
          <w:color w:val="auto"/>
          <w:szCs w:val="22"/>
          <w:highlight w:val="none"/>
          <w:lang w:val="en-US" w:eastAsia="zh-CN"/>
        </w:rPr>
      </w:pPr>
      <w:r>
        <w:rPr>
          <w:rFonts w:hint="eastAsia" w:ascii="Times New Roman" w:hAnsi="Times New Roman"/>
          <w:color w:val="auto"/>
          <w:szCs w:val="22"/>
          <w:highlight w:val="none"/>
        </w:rPr>
        <w:t>每批次产品抽取</w:t>
      </w:r>
      <w:r>
        <w:rPr>
          <w:rFonts w:hint="eastAsia" w:ascii="Times New Roman" w:hAnsi="Times New Roman"/>
          <w:color w:val="auto"/>
          <w:szCs w:val="22"/>
          <w:highlight w:val="none"/>
          <w:lang w:val="en-US" w:eastAsia="zh-CN"/>
        </w:rPr>
        <w:t>10</w:t>
      </w:r>
      <w:r>
        <w:rPr>
          <w:rFonts w:hint="eastAsia" w:ascii="Times New Roman" w:hAnsi="Times New Roman"/>
          <w:color w:val="auto"/>
          <w:szCs w:val="22"/>
          <w:highlight w:val="none"/>
        </w:rPr>
        <w:t>0mL样品进行质量分析，全年全线作134批次，合计抽取样品0.0</w:t>
      </w:r>
      <w:r>
        <w:rPr>
          <w:rFonts w:hint="eastAsia" w:ascii="Times New Roman" w:hAnsi="Times New Roman"/>
          <w:color w:val="auto"/>
          <w:szCs w:val="22"/>
          <w:highlight w:val="none"/>
          <w:lang w:val="en-US" w:eastAsia="zh-CN"/>
        </w:rPr>
        <w:t>134</w:t>
      </w:r>
      <w:r>
        <w:rPr>
          <w:rFonts w:hint="eastAsia" w:ascii="Times New Roman" w:hAnsi="Times New Roman"/>
          <w:color w:val="auto"/>
          <w:szCs w:val="22"/>
          <w:highlight w:val="none"/>
        </w:rPr>
        <w:t>吨。</w:t>
      </w:r>
      <w:r>
        <w:rPr>
          <w:rFonts w:hint="eastAsia" w:ascii="Times New Roman" w:hAnsi="Times New Roman"/>
          <w:color w:val="auto"/>
          <w:szCs w:val="22"/>
          <w:highlight w:val="none"/>
          <w:lang w:val="en-US" w:eastAsia="zh-CN"/>
        </w:rPr>
        <w:t>根据物料平衡，本项目实验废气产生情况如下：</w:t>
      </w:r>
    </w:p>
    <w:p w14:paraId="502EE63B">
      <w:pPr>
        <w:pStyle w:val="15"/>
        <w:spacing w:line="360" w:lineRule="auto"/>
        <w:ind w:left="-105" w:right="-105" w:firstLine="482"/>
        <w:rPr>
          <w:rFonts w:eastAsia="宋体" w:cs="Times New Roman"/>
          <w:color w:val="auto"/>
          <w:sz w:val="24"/>
          <w:szCs w:val="24"/>
          <w:highlight w:val="none"/>
        </w:rPr>
      </w:pPr>
      <w:r>
        <w:rPr>
          <w:rFonts w:eastAsia="宋体" w:cs="Times New Roman"/>
          <w:color w:val="auto"/>
          <w:sz w:val="24"/>
          <w:szCs w:val="24"/>
          <w:highlight w:val="none"/>
        </w:rPr>
        <w:t>表</w:t>
      </w:r>
      <w:r>
        <w:rPr>
          <w:rFonts w:eastAsia="宋体" w:cs="Times New Roman"/>
          <w:color w:val="auto"/>
          <w:sz w:val="24"/>
          <w:szCs w:val="24"/>
          <w:highlight w:val="none"/>
        </w:rPr>
        <w:fldChar w:fldCharType="begin"/>
      </w:r>
      <w:r>
        <w:rPr>
          <w:rFonts w:eastAsia="宋体" w:cs="Times New Roman"/>
          <w:color w:val="auto"/>
          <w:sz w:val="24"/>
          <w:szCs w:val="24"/>
          <w:highlight w:val="none"/>
        </w:rPr>
        <w:instrText xml:space="preserve"> STYLEREF 2 \s </w:instrText>
      </w:r>
      <w:r>
        <w:rPr>
          <w:rFonts w:eastAsia="宋体" w:cs="Times New Roman"/>
          <w:color w:val="auto"/>
          <w:sz w:val="24"/>
          <w:szCs w:val="24"/>
          <w:highlight w:val="none"/>
        </w:rPr>
        <w:fldChar w:fldCharType="separate"/>
      </w:r>
      <w:r>
        <w:rPr>
          <w:rFonts w:eastAsia="宋体" w:cs="Times New Roman"/>
          <w:color w:val="auto"/>
          <w:sz w:val="24"/>
          <w:szCs w:val="24"/>
          <w:highlight w:val="none"/>
        </w:rPr>
        <w:t>4.6</w:t>
      </w:r>
      <w:r>
        <w:rPr>
          <w:rFonts w:eastAsia="宋体" w:cs="Times New Roman"/>
          <w:color w:val="auto"/>
          <w:sz w:val="24"/>
          <w:szCs w:val="24"/>
          <w:highlight w:val="none"/>
        </w:rPr>
        <w:fldChar w:fldCharType="end"/>
      </w:r>
      <w:r>
        <w:rPr>
          <w:rFonts w:eastAsia="宋体" w:cs="Times New Roman"/>
          <w:color w:val="auto"/>
          <w:sz w:val="24"/>
          <w:szCs w:val="24"/>
          <w:highlight w:val="none"/>
        </w:rPr>
        <w:noBreakHyphen/>
      </w:r>
      <w:r>
        <w:rPr>
          <w:rFonts w:eastAsia="宋体" w:cs="Times New Roman"/>
          <w:color w:val="auto"/>
          <w:sz w:val="24"/>
          <w:szCs w:val="24"/>
          <w:highlight w:val="none"/>
        </w:rPr>
        <w:fldChar w:fldCharType="begin"/>
      </w:r>
      <w:r>
        <w:rPr>
          <w:rFonts w:eastAsia="宋体" w:cs="Times New Roman"/>
          <w:color w:val="auto"/>
          <w:sz w:val="24"/>
          <w:szCs w:val="24"/>
          <w:highlight w:val="none"/>
        </w:rPr>
        <w:instrText xml:space="preserve"> SEQ 表 \* ARABIC \s 2 </w:instrText>
      </w:r>
      <w:r>
        <w:rPr>
          <w:rFonts w:eastAsia="宋体" w:cs="Times New Roman"/>
          <w:color w:val="auto"/>
          <w:sz w:val="24"/>
          <w:szCs w:val="24"/>
          <w:highlight w:val="none"/>
        </w:rPr>
        <w:fldChar w:fldCharType="separate"/>
      </w:r>
      <w:r>
        <w:rPr>
          <w:rFonts w:eastAsia="宋体" w:cs="Times New Roman"/>
          <w:color w:val="auto"/>
          <w:sz w:val="24"/>
          <w:szCs w:val="24"/>
          <w:highlight w:val="none"/>
        </w:rPr>
        <w:t>2</w:t>
      </w:r>
      <w:r>
        <w:rPr>
          <w:rFonts w:eastAsia="宋体" w:cs="Times New Roman"/>
          <w:color w:val="auto"/>
          <w:sz w:val="24"/>
          <w:szCs w:val="24"/>
          <w:highlight w:val="none"/>
        </w:rPr>
        <w:fldChar w:fldCharType="end"/>
      </w:r>
      <w:r>
        <w:rPr>
          <w:rFonts w:eastAsia="宋体" w:cs="Times New Roman"/>
          <w:color w:val="auto"/>
          <w:sz w:val="24"/>
          <w:szCs w:val="24"/>
          <w:highlight w:val="none"/>
        </w:rPr>
        <w:t>本项目</w:t>
      </w:r>
      <w:r>
        <w:rPr>
          <w:rFonts w:hint="eastAsia" w:eastAsia="宋体" w:cs="Times New Roman"/>
          <w:color w:val="auto"/>
          <w:sz w:val="24"/>
          <w:szCs w:val="24"/>
          <w:highlight w:val="none"/>
        </w:rPr>
        <w:t>实验</w:t>
      </w:r>
      <w:r>
        <w:rPr>
          <w:rFonts w:eastAsia="宋体" w:cs="Times New Roman"/>
          <w:color w:val="auto"/>
          <w:sz w:val="24"/>
          <w:szCs w:val="24"/>
          <w:highlight w:val="none"/>
        </w:rPr>
        <w:t>废气产生情况</w:t>
      </w:r>
      <w:r>
        <w:rPr>
          <w:rFonts w:hint="eastAsia" w:eastAsia="宋体" w:cs="Times New Roman"/>
          <w:color w:val="auto"/>
          <w:sz w:val="24"/>
          <w:szCs w:val="24"/>
          <w:highlight w:val="none"/>
        </w:rPr>
        <w:t>汇总表</w:t>
      </w:r>
    </w:p>
    <w:tbl>
      <w:tblPr>
        <w:tblStyle w:val="46"/>
        <w:tblW w:w="5000"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2457"/>
        <w:gridCol w:w="1902"/>
        <w:gridCol w:w="2180"/>
        <w:gridCol w:w="2181"/>
      </w:tblGrid>
      <w:tr w14:paraId="6101562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638" w:type="dxa"/>
            <w:tcBorders>
              <w:tl2br w:val="nil"/>
              <w:tr2bl w:val="nil"/>
            </w:tcBorders>
            <w:vAlign w:val="center"/>
          </w:tcPr>
          <w:p w14:paraId="1C3B1FC9">
            <w:pPr>
              <w:keepNext w:val="0"/>
              <w:keepLines w:val="0"/>
              <w:pageBreakBefore w:val="0"/>
              <w:widowControl/>
              <w:kinsoku/>
              <w:wordWrap/>
              <w:overflowPunct/>
              <w:topLinePunct w:val="0"/>
              <w:autoSpaceDE/>
              <w:autoSpaceDN/>
              <w:bidi w:val="0"/>
              <w:adjustRightInd/>
              <w:snapToGrid/>
              <w:ind w:left="0" w:right="0"/>
              <w:jc w:val="center"/>
              <w:rPr>
                <w:rFonts w:ascii="Times New Roman" w:hAnsi="Times New Roman"/>
                <w:b/>
                <w:bCs/>
                <w:color w:val="auto"/>
                <w:sz w:val="21"/>
                <w:szCs w:val="21"/>
                <w:highlight w:val="none"/>
              </w:rPr>
            </w:pPr>
            <w:r>
              <w:rPr>
                <w:rFonts w:hint="eastAsia" w:ascii="Times New Roman" w:hAnsi="Times New Roman"/>
                <w:b/>
                <w:bCs/>
                <w:color w:val="auto"/>
                <w:sz w:val="21"/>
                <w:szCs w:val="21"/>
                <w:highlight w:val="none"/>
              </w:rPr>
              <w:t>来源</w:t>
            </w:r>
          </w:p>
        </w:tc>
        <w:tc>
          <w:tcPr>
            <w:tcW w:w="1268" w:type="dxa"/>
            <w:tcBorders>
              <w:tl2br w:val="nil"/>
              <w:tr2bl w:val="nil"/>
            </w:tcBorders>
            <w:vAlign w:val="center"/>
          </w:tcPr>
          <w:p w14:paraId="1D25CAD5">
            <w:pPr>
              <w:keepNext w:val="0"/>
              <w:keepLines w:val="0"/>
              <w:pageBreakBefore w:val="0"/>
              <w:widowControl/>
              <w:kinsoku/>
              <w:wordWrap/>
              <w:overflowPunct/>
              <w:topLinePunct w:val="0"/>
              <w:autoSpaceDE/>
              <w:autoSpaceDN/>
              <w:bidi w:val="0"/>
              <w:adjustRightInd/>
              <w:snapToGrid/>
              <w:ind w:left="0" w:right="0"/>
              <w:jc w:val="center"/>
              <w:rPr>
                <w:rFonts w:ascii="Times New Roman" w:hAnsi="Times New Roman"/>
                <w:b/>
                <w:bCs/>
                <w:color w:val="auto"/>
                <w:sz w:val="21"/>
                <w:szCs w:val="21"/>
                <w:highlight w:val="none"/>
              </w:rPr>
            </w:pPr>
            <w:r>
              <w:rPr>
                <w:rFonts w:hint="eastAsia" w:ascii="Times New Roman" w:hAnsi="Times New Roman"/>
                <w:b/>
                <w:bCs/>
                <w:color w:val="auto"/>
                <w:sz w:val="21"/>
                <w:szCs w:val="21"/>
                <w:highlight w:val="none"/>
              </w:rPr>
              <w:t>年用量</w:t>
            </w:r>
          </w:p>
        </w:tc>
        <w:tc>
          <w:tcPr>
            <w:tcW w:w="1453" w:type="dxa"/>
            <w:tcBorders>
              <w:tl2br w:val="nil"/>
              <w:tr2bl w:val="nil"/>
            </w:tcBorders>
            <w:vAlign w:val="center"/>
          </w:tcPr>
          <w:p w14:paraId="790893EA">
            <w:pPr>
              <w:keepNext w:val="0"/>
              <w:keepLines w:val="0"/>
              <w:pageBreakBefore w:val="0"/>
              <w:widowControl/>
              <w:kinsoku/>
              <w:wordWrap/>
              <w:overflowPunct/>
              <w:topLinePunct w:val="0"/>
              <w:autoSpaceDE/>
              <w:autoSpaceDN/>
              <w:bidi w:val="0"/>
              <w:adjustRightInd/>
              <w:snapToGrid/>
              <w:ind w:left="0" w:right="0"/>
              <w:jc w:val="center"/>
              <w:rPr>
                <w:rFonts w:ascii="Times New Roman" w:hAnsi="Times New Roman"/>
                <w:b/>
                <w:bCs/>
                <w:color w:val="auto"/>
                <w:sz w:val="21"/>
                <w:szCs w:val="21"/>
                <w:highlight w:val="none"/>
              </w:rPr>
            </w:pPr>
            <w:r>
              <w:rPr>
                <w:rFonts w:hint="eastAsia" w:ascii="Times New Roman" w:hAnsi="Times New Roman"/>
                <w:b/>
                <w:bCs/>
                <w:color w:val="auto"/>
                <w:sz w:val="21"/>
                <w:szCs w:val="21"/>
                <w:highlight w:val="none"/>
              </w:rPr>
              <w:t>污染物</w:t>
            </w:r>
          </w:p>
        </w:tc>
        <w:tc>
          <w:tcPr>
            <w:tcW w:w="1454" w:type="dxa"/>
            <w:tcBorders>
              <w:tl2br w:val="nil"/>
              <w:tr2bl w:val="nil"/>
            </w:tcBorders>
            <w:vAlign w:val="center"/>
          </w:tcPr>
          <w:p w14:paraId="0B389202">
            <w:pPr>
              <w:keepNext w:val="0"/>
              <w:keepLines w:val="0"/>
              <w:pageBreakBefore w:val="0"/>
              <w:widowControl/>
              <w:kinsoku/>
              <w:wordWrap/>
              <w:overflowPunct/>
              <w:topLinePunct w:val="0"/>
              <w:autoSpaceDE/>
              <w:autoSpaceDN/>
              <w:bidi w:val="0"/>
              <w:adjustRightInd/>
              <w:snapToGrid/>
              <w:ind w:left="0" w:right="0"/>
              <w:jc w:val="center"/>
              <w:rPr>
                <w:rFonts w:ascii="Times New Roman" w:hAnsi="Times New Roman"/>
                <w:b/>
                <w:bCs/>
                <w:color w:val="auto"/>
                <w:sz w:val="21"/>
                <w:szCs w:val="21"/>
                <w:highlight w:val="none"/>
              </w:rPr>
            </w:pPr>
            <w:r>
              <w:rPr>
                <w:rFonts w:hint="eastAsia" w:ascii="Times New Roman" w:hAnsi="Times New Roman"/>
                <w:b/>
                <w:bCs/>
                <w:color w:val="auto"/>
                <w:sz w:val="21"/>
                <w:szCs w:val="21"/>
                <w:highlight w:val="none"/>
              </w:rPr>
              <w:t>废气产生量（t/a）</w:t>
            </w:r>
          </w:p>
        </w:tc>
      </w:tr>
      <w:tr w14:paraId="181D508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638" w:type="dxa"/>
            <w:tcBorders>
              <w:tl2br w:val="nil"/>
              <w:tr2bl w:val="nil"/>
            </w:tcBorders>
            <w:vAlign w:val="center"/>
          </w:tcPr>
          <w:p w14:paraId="119CB4B8">
            <w:pPr>
              <w:keepNext w:val="0"/>
              <w:keepLines w:val="0"/>
              <w:pageBreakBefore w:val="0"/>
              <w:widowControl/>
              <w:kinsoku/>
              <w:wordWrap/>
              <w:overflowPunct/>
              <w:topLinePunct w:val="0"/>
              <w:autoSpaceDE/>
              <w:autoSpaceDN/>
              <w:bidi w:val="0"/>
              <w:adjustRightInd/>
              <w:snapToGrid/>
              <w:ind w:left="0" w:right="0"/>
              <w:jc w:val="center"/>
              <w:rPr>
                <w:rFonts w:ascii="Times New Roman" w:hAnsi="Times New Roman"/>
                <w:color w:val="auto"/>
                <w:sz w:val="21"/>
                <w:szCs w:val="21"/>
                <w:highlight w:val="none"/>
              </w:rPr>
            </w:pPr>
            <w:r>
              <w:rPr>
                <w:rFonts w:ascii="Times New Roman" w:hAnsi="Times New Roman" w:cs="Times New Roman"/>
                <w:color w:val="auto"/>
                <w:sz w:val="21"/>
                <w:szCs w:val="21"/>
                <w:highlight w:val="none"/>
              </w:rPr>
              <w:t>甲醇</w:t>
            </w:r>
          </w:p>
        </w:tc>
        <w:tc>
          <w:tcPr>
            <w:tcW w:w="1268" w:type="dxa"/>
            <w:tcBorders>
              <w:tl2br w:val="nil"/>
              <w:tr2bl w:val="nil"/>
            </w:tcBorders>
            <w:vAlign w:val="center"/>
          </w:tcPr>
          <w:p w14:paraId="35B57EA0">
            <w:pPr>
              <w:keepNext w:val="0"/>
              <w:keepLines w:val="0"/>
              <w:pageBreakBefore w:val="0"/>
              <w:widowControl/>
              <w:kinsoku/>
              <w:wordWrap/>
              <w:overflowPunct/>
              <w:topLinePunct w:val="0"/>
              <w:autoSpaceDE/>
              <w:autoSpaceDN/>
              <w:bidi w:val="0"/>
              <w:adjustRightInd/>
              <w:snapToGrid/>
              <w:ind w:left="0" w:right="0"/>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0.005t/a</w:t>
            </w:r>
          </w:p>
        </w:tc>
        <w:tc>
          <w:tcPr>
            <w:tcW w:w="1453" w:type="dxa"/>
            <w:tcBorders>
              <w:tl2br w:val="nil"/>
              <w:tr2bl w:val="nil"/>
            </w:tcBorders>
            <w:vAlign w:val="center"/>
          </w:tcPr>
          <w:p w14:paraId="5846FD04">
            <w:pPr>
              <w:keepNext w:val="0"/>
              <w:keepLines w:val="0"/>
              <w:pageBreakBefore w:val="0"/>
              <w:widowControl/>
              <w:kinsoku/>
              <w:wordWrap/>
              <w:overflowPunct/>
              <w:topLinePunct w:val="0"/>
              <w:autoSpaceDE/>
              <w:autoSpaceDN/>
              <w:bidi w:val="0"/>
              <w:adjustRightInd/>
              <w:snapToGrid/>
              <w:ind w:left="0" w:right="0"/>
              <w:jc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甲醇</w:t>
            </w:r>
          </w:p>
        </w:tc>
        <w:tc>
          <w:tcPr>
            <w:tcW w:w="1454" w:type="dxa"/>
            <w:tcBorders>
              <w:tl2br w:val="nil"/>
              <w:tr2bl w:val="nil"/>
            </w:tcBorders>
            <w:vAlign w:val="center"/>
          </w:tcPr>
          <w:p w14:paraId="3364F30D">
            <w:pPr>
              <w:keepNext w:val="0"/>
              <w:keepLines w:val="0"/>
              <w:pageBreakBefore w:val="0"/>
              <w:widowControl/>
              <w:kinsoku/>
              <w:wordWrap/>
              <w:overflowPunct/>
              <w:topLinePunct w:val="0"/>
              <w:autoSpaceDE/>
              <w:autoSpaceDN/>
              <w:bidi w:val="0"/>
              <w:adjustRightInd/>
              <w:snapToGrid/>
              <w:ind w:left="0" w:right="0"/>
              <w:jc w:val="center"/>
              <w:textAlignment w:val="center"/>
              <w:rPr>
                <w:rFonts w:hint="default" w:ascii="Times New Roman" w:hAnsi="Times New Roman" w:eastAsia="宋体"/>
                <w:color w:val="auto"/>
                <w:sz w:val="21"/>
                <w:szCs w:val="21"/>
                <w:highlight w:val="none"/>
                <w:lang w:val="en-US" w:eastAsia="zh-CN"/>
              </w:rPr>
            </w:pPr>
            <w:r>
              <w:rPr>
                <w:rFonts w:hint="eastAsia" w:ascii="Times New Roman" w:hAnsi="Times New Roman"/>
                <w:color w:val="auto"/>
                <w:sz w:val="21"/>
                <w:szCs w:val="21"/>
                <w:highlight w:val="none"/>
                <w:lang w:val="en-US" w:eastAsia="zh-CN"/>
              </w:rPr>
              <w:t>0.0005</w:t>
            </w:r>
          </w:p>
        </w:tc>
      </w:tr>
      <w:tr w14:paraId="7DF145C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638" w:type="dxa"/>
            <w:tcBorders>
              <w:tl2br w:val="nil"/>
              <w:tr2bl w:val="nil"/>
            </w:tcBorders>
            <w:vAlign w:val="center"/>
          </w:tcPr>
          <w:p w14:paraId="0D940C6A">
            <w:pPr>
              <w:keepNext w:val="0"/>
              <w:keepLines w:val="0"/>
              <w:pageBreakBefore w:val="0"/>
              <w:widowControl/>
              <w:kinsoku/>
              <w:wordWrap/>
              <w:overflowPunct/>
              <w:topLinePunct w:val="0"/>
              <w:autoSpaceDE/>
              <w:autoSpaceDN/>
              <w:bidi w:val="0"/>
              <w:adjustRightInd/>
              <w:snapToGrid/>
              <w:ind w:left="0" w:right="0"/>
              <w:jc w:val="center"/>
              <w:rPr>
                <w:rFonts w:ascii="Times New Roman" w:hAnsi="Times New Roman"/>
                <w:color w:val="auto"/>
                <w:sz w:val="21"/>
                <w:szCs w:val="21"/>
                <w:highlight w:val="none"/>
              </w:rPr>
            </w:pPr>
            <w:r>
              <w:rPr>
                <w:rFonts w:ascii="Times New Roman" w:hAnsi="Times New Roman" w:cs="Times New Roman"/>
                <w:color w:val="auto"/>
                <w:sz w:val="21"/>
                <w:szCs w:val="21"/>
                <w:highlight w:val="none"/>
              </w:rPr>
              <w:t>硝酸</w:t>
            </w:r>
            <w:r>
              <w:rPr>
                <w:rFonts w:hint="eastAsia" w:ascii="Times New Roman" w:hAnsi="Times New Roman" w:cs="Times New Roman"/>
                <w:color w:val="auto"/>
                <w:sz w:val="21"/>
                <w:szCs w:val="21"/>
                <w:highlight w:val="none"/>
              </w:rPr>
              <w:t>（55%）</w:t>
            </w:r>
          </w:p>
        </w:tc>
        <w:tc>
          <w:tcPr>
            <w:tcW w:w="1268" w:type="dxa"/>
            <w:tcBorders>
              <w:tl2br w:val="nil"/>
              <w:tr2bl w:val="nil"/>
            </w:tcBorders>
            <w:vAlign w:val="center"/>
          </w:tcPr>
          <w:p w14:paraId="1F968D16">
            <w:pPr>
              <w:keepNext w:val="0"/>
              <w:keepLines w:val="0"/>
              <w:pageBreakBefore w:val="0"/>
              <w:widowControl/>
              <w:kinsoku/>
              <w:wordWrap/>
              <w:overflowPunct/>
              <w:topLinePunct w:val="0"/>
              <w:autoSpaceDE/>
              <w:autoSpaceDN/>
              <w:bidi w:val="0"/>
              <w:adjustRightInd/>
              <w:snapToGrid/>
              <w:ind w:left="0" w:right="0"/>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0.003t/a</w:t>
            </w:r>
          </w:p>
        </w:tc>
        <w:tc>
          <w:tcPr>
            <w:tcW w:w="1453" w:type="dxa"/>
            <w:tcBorders>
              <w:tl2br w:val="nil"/>
              <w:tr2bl w:val="nil"/>
            </w:tcBorders>
            <w:vAlign w:val="center"/>
          </w:tcPr>
          <w:p w14:paraId="090ACFA2">
            <w:pPr>
              <w:keepNext w:val="0"/>
              <w:keepLines w:val="0"/>
              <w:pageBreakBefore w:val="0"/>
              <w:widowControl/>
              <w:kinsoku/>
              <w:wordWrap/>
              <w:overflowPunct/>
              <w:topLinePunct w:val="0"/>
              <w:autoSpaceDE/>
              <w:autoSpaceDN/>
              <w:bidi w:val="0"/>
              <w:adjustRightInd/>
              <w:snapToGrid/>
              <w:ind w:left="0" w:right="0"/>
              <w:jc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氮氧化物</w:t>
            </w:r>
          </w:p>
        </w:tc>
        <w:tc>
          <w:tcPr>
            <w:tcW w:w="1454" w:type="dxa"/>
            <w:tcBorders>
              <w:tl2br w:val="nil"/>
              <w:tr2bl w:val="nil"/>
            </w:tcBorders>
            <w:vAlign w:val="center"/>
          </w:tcPr>
          <w:p w14:paraId="7C313C86">
            <w:pPr>
              <w:keepNext w:val="0"/>
              <w:keepLines w:val="0"/>
              <w:pageBreakBefore w:val="0"/>
              <w:widowControl/>
              <w:kinsoku/>
              <w:wordWrap/>
              <w:overflowPunct/>
              <w:topLinePunct w:val="0"/>
              <w:autoSpaceDE/>
              <w:autoSpaceDN/>
              <w:bidi w:val="0"/>
              <w:adjustRightInd/>
              <w:snapToGrid/>
              <w:ind w:left="0" w:right="0"/>
              <w:jc w:val="center"/>
              <w:textAlignment w:val="center"/>
              <w:rPr>
                <w:rFonts w:hint="default" w:ascii="Times New Roman" w:hAnsi="Times New Roman" w:eastAsia="宋体"/>
                <w:color w:val="auto"/>
                <w:sz w:val="21"/>
                <w:szCs w:val="21"/>
                <w:highlight w:val="none"/>
                <w:lang w:val="en-US" w:eastAsia="zh-CN"/>
              </w:rPr>
            </w:pPr>
            <w:r>
              <w:rPr>
                <w:rFonts w:hint="eastAsia" w:ascii="Times New Roman" w:hAnsi="Times New Roman"/>
                <w:color w:val="auto"/>
                <w:sz w:val="21"/>
                <w:szCs w:val="21"/>
                <w:highlight w:val="none"/>
                <w:lang w:val="en-US" w:eastAsia="zh-CN"/>
              </w:rPr>
              <w:t>0.003</w:t>
            </w:r>
          </w:p>
        </w:tc>
      </w:tr>
      <w:tr w14:paraId="3C44D7E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638" w:type="dxa"/>
            <w:tcBorders>
              <w:tl2br w:val="nil"/>
              <w:tr2bl w:val="nil"/>
            </w:tcBorders>
            <w:vAlign w:val="center"/>
          </w:tcPr>
          <w:p w14:paraId="5640ECB0">
            <w:pPr>
              <w:keepNext w:val="0"/>
              <w:keepLines w:val="0"/>
              <w:pageBreakBefore w:val="0"/>
              <w:widowControl/>
              <w:kinsoku/>
              <w:wordWrap/>
              <w:overflowPunct/>
              <w:topLinePunct w:val="0"/>
              <w:autoSpaceDE/>
              <w:autoSpaceDN/>
              <w:bidi w:val="0"/>
              <w:adjustRightInd/>
              <w:snapToGrid/>
              <w:ind w:left="0" w:right="0"/>
              <w:jc w:val="center"/>
              <w:rPr>
                <w:rFonts w:ascii="Times New Roman" w:hAnsi="Times New Roman"/>
                <w:color w:val="auto"/>
                <w:sz w:val="21"/>
                <w:szCs w:val="21"/>
                <w:highlight w:val="none"/>
              </w:rPr>
            </w:pPr>
            <w:r>
              <w:rPr>
                <w:rFonts w:ascii="Times New Roman" w:hAnsi="Times New Roman" w:cs="Times New Roman"/>
                <w:color w:val="auto"/>
                <w:sz w:val="21"/>
                <w:szCs w:val="21"/>
                <w:highlight w:val="none"/>
              </w:rPr>
              <w:t>卡尔费休试剂</w:t>
            </w:r>
          </w:p>
        </w:tc>
        <w:tc>
          <w:tcPr>
            <w:tcW w:w="1268" w:type="dxa"/>
            <w:tcBorders>
              <w:tl2br w:val="nil"/>
              <w:tr2bl w:val="nil"/>
            </w:tcBorders>
            <w:vAlign w:val="center"/>
          </w:tcPr>
          <w:p w14:paraId="6659B209">
            <w:pPr>
              <w:keepNext w:val="0"/>
              <w:keepLines w:val="0"/>
              <w:pageBreakBefore w:val="0"/>
              <w:widowControl/>
              <w:kinsoku/>
              <w:wordWrap/>
              <w:overflowPunct/>
              <w:topLinePunct w:val="0"/>
              <w:autoSpaceDE/>
              <w:autoSpaceDN/>
              <w:bidi w:val="0"/>
              <w:adjustRightInd/>
              <w:snapToGrid/>
              <w:ind w:left="0" w:right="0"/>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0.005t/a</w:t>
            </w:r>
          </w:p>
        </w:tc>
        <w:tc>
          <w:tcPr>
            <w:tcW w:w="1453" w:type="dxa"/>
            <w:tcBorders>
              <w:tl2br w:val="nil"/>
              <w:tr2bl w:val="nil"/>
            </w:tcBorders>
            <w:vAlign w:val="center"/>
          </w:tcPr>
          <w:p w14:paraId="64CB04BD">
            <w:pPr>
              <w:keepNext w:val="0"/>
              <w:keepLines w:val="0"/>
              <w:pageBreakBefore w:val="0"/>
              <w:widowControl/>
              <w:kinsoku/>
              <w:wordWrap/>
              <w:overflowPunct/>
              <w:topLinePunct w:val="0"/>
              <w:autoSpaceDE/>
              <w:autoSpaceDN/>
              <w:bidi w:val="0"/>
              <w:adjustRightInd/>
              <w:snapToGrid/>
              <w:ind w:left="0" w:right="0"/>
              <w:jc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甲醇</w:t>
            </w:r>
          </w:p>
        </w:tc>
        <w:tc>
          <w:tcPr>
            <w:tcW w:w="1454" w:type="dxa"/>
            <w:tcBorders>
              <w:tl2br w:val="nil"/>
              <w:tr2bl w:val="nil"/>
            </w:tcBorders>
            <w:vAlign w:val="center"/>
          </w:tcPr>
          <w:p w14:paraId="576A3246">
            <w:pPr>
              <w:keepNext w:val="0"/>
              <w:keepLines w:val="0"/>
              <w:pageBreakBefore w:val="0"/>
              <w:widowControl/>
              <w:kinsoku/>
              <w:wordWrap/>
              <w:overflowPunct/>
              <w:topLinePunct w:val="0"/>
              <w:autoSpaceDE/>
              <w:autoSpaceDN/>
              <w:bidi w:val="0"/>
              <w:adjustRightInd/>
              <w:snapToGrid/>
              <w:ind w:left="0" w:right="0"/>
              <w:jc w:val="center"/>
              <w:textAlignment w:val="center"/>
              <w:rPr>
                <w:rFonts w:hint="default" w:ascii="Times New Roman" w:hAnsi="Times New Roman" w:eastAsia="宋体"/>
                <w:color w:val="auto"/>
                <w:sz w:val="21"/>
                <w:szCs w:val="21"/>
                <w:highlight w:val="none"/>
                <w:lang w:val="en-US" w:eastAsia="zh-CN"/>
              </w:rPr>
            </w:pPr>
            <w:r>
              <w:rPr>
                <w:rFonts w:hint="eastAsia" w:ascii="Times New Roman" w:hAnsi="Times New Roman"/>
                <w:color w:val="auto"/>
                <w:sz w:val="21"/>
                <w:szCs w:val="21"/>
                <w:highlight w:val="none"/>
                <w:lang w:val="en-US" w:eastAsia="zh-CN"/>
              </w:rPr>
              <w:t>0.0003</w:t>
            </w:r>
          </w:p>
        </w:tc>
      </w:tr>
      <w:tr w14:paraId="40C0FF2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638" w:type="dxa"/>
            <w:tcBorders>
              <w:tl2br w:val="nil"/>
              <w:tr2bl w:val="nil"/>
            </w:tcBorders>
            <w:vAlign w:val="center"/>
          </w:tcPr>
          <w:p w14:paraId="2903AD09">
            <w:pPr>
              <w:keepNext w:val="0"/>
              <w:keepLines w:val="0"/>
              <w:pageBreakBefore w:val="0"/>
              <w:widowControl/>
              <w:kinsoku/>
              <w:wordWrap/>
              <w:overflowPunct/>
              <w:topLinePunct w:val="0"/>
              <w:autoSpaceDE/>
              <w:autoSpaceDN/>
              <w:bidi w:val="0"/>
              <w:adjustRightInd/>
              <w:snapToGrid/>
              <w:ind w:left="0" w:right="0"/>
              <w:jc w:val="center"/>
              <w:rPr>
                <w:rFonts w:ascii="Times New Roman" w:hAnsi="Times New Roman"/>
                <w:color w:val="auto"/>
                <w:sz w:val="21"/>
                <w:szCs w:val="21"/>
                <w:highlight w:val="none"/>
              </w:rPr>
            </w:pPr>
            <w:r>
              <w:rPr>
                <w:rFonts w:ascii="Times New Roman" w:hAnsi="Times New Roman" w:cs="Times New Roman"/>
                <w:color w:val="auto"/>
                <w:sz w:val="21"/>
                <w:szCs w:val="21"/>
                <w:highlight w:val="none"/>
              </w:rPr>
              <w:t>异丙醇</w:t>
            </w:r>
          </w:p>
        </w:tc>
        <w:tc>
          <w:tcPr>
            <w:tcW w:w="1268" w:type="dxa"/>
            <w:tcBorders>
              <w:tl2br w:val="nil"/>
              <w:tr2bl w:val="nil"/>
            </w:tcBorders>
            <w:vAlign w:val="center"/>
          </w:tcPr>
          <w:p w14:paraId="3E3B1F9A">
            <w:pPr>
              <w:keepNext w:val="0"/>
              <w:keepLines w:val="0"/>
              <w:pageBreakBefore w:val="0"/>
              <w:widowControl/>
              <w:kinsoku/>
              <w:wordWrap/>
              <w:overflowPunct/>
              <w:topLinePunct w:val="0"/>
              <w:autoSpaceDE/>
              <w:autoSpaceDN/>
              <w:bidi w:val="0"/>
              <w:adjustRightInd/>
              <w:snapToGrid/>
              <w:ind w:left="0" w:right="0"/>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0.005t/a</w:t>
            </w:r>
          </w:p>
        </w:tc>
        <w:tc>
          <w:tcPr>
            <w:tcW w:w="1453" w:type="dxa"/>
            <w:tcBorders>
              <w:tl2br w:val="nil"/>
              <w:tr2bl w:val="nil"/>
            </w:tcBorders>
            <w:vAlign w:val="center"/>
          </w:tcPr>
          <w:p w14:paraId="5E6203FF">
            <w:pPr>
              <w:keepNext w:val="0"/>
              <w:keepLines w:val="0"/>
              <w:pageBreakBefore w:val="0"/>
              <w:widowControl/>
              <w:kinsoku/>
              <w:wordWrap/>
              <w:overflowPunct/>
              <w:topLinePunct w:val="0"/>
              <w:autoSpaceDE/>
              <w:autoSpaceDN/>
              <w:bidi w:val="0"/>
              <w:adjustRightInd/>
              <w:snapToGrid/>
              <w:ind w:left="0" w:right="0"/>
              <w:jc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非甲烷总烃</w:t>
            </w:r>
          </w:p>
        </w:tc>
        <w:tc>
          <w:tcPr>
            <w:tcW w:w="1454" w:type="dxa"/>
            <w:tcBorders>
              <w:tl2br w:val="nil"/>
              <w:tr2bl w:val="nil"/>
            </w:tcBorders>
            <w:vAlign w:val="center"/>
          </w:tcPr>
          <w:p w14:paraId="724B6B54">
            <w:pPr>
              <w:keepNext w:val="0"/>
              <w:keepLines w:val="0"/>
              <w:pageBreakBefore w:val="0"/>
              <w:widowControl/>
              <w:kinsoku/>
              <w:wordWrap/>
              <w:overflowPunct/>
              <w:topLinePunct w:val="0"/>
              <w:autoSpaceDE/>
              <w:autoSpaceDN/>
              <w:bidi w:val="0"/>
              <w:adjustRightInd/>
              <w:snapToGrid/>
              <w:ind w:left="0" w:right="0"/>
              <w:jc w:val="center"/>
              <w:textAlignment w:val="center"/>
              <w:rPr>
                <w:rFonts w:hint="default" w:ascii="Times New Roman" w:hAnsi="Times New Roman" w:eastAsia="宋体"/>
                <w:color w:val="auto"/>
                <w:sz w:val="21"/>
                <w:szCs w:val="21"/>
                <w:highlight w:val="none"/>
                <w:lang w:val="en-US" w:eastAsia="zh-CN"/>
              </w:rPr>
            </w:pPr>
            <w:r>
              <w:rPr>
                <w:rFonts w:hint="eastAsia" w:ascii="Times New Roman" w:hAnsi="Times New Roman"/>
                <w:color w:val="auto"/>
                <w:sz w:val="21"/>
                <w:szCs w:val="21"/>
                <w:highlight w:val="none"/>
                <w:lang w:val="en-US" w:eastAsia="zh-CN"/>
              </w:rPr>
              <w:t>0.0005</w:t>
            </w:r>
          </w:p>
        </w:tc>
      </w:tr>
      <w:tr w14:paraId="53FFF54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638" w:type="dxa"/>
            <w:tcBorders>
              <w:tl2br w:val="nil"/>
              <w:tr2bl w:val="nil"/>
            </w:tcBorders>
            <w:vAlign w:val="center"/>
          </w:tcPr>
          <w:p w14:paraId="6047BD8B">
            <w:pPr>
              <w:pStyle w:val="236"/>
              <w:keepNext w:val="0"/>
              <w:keepLines w:val="0"/>
              <w:pageBreakBefore w:val="0"/>
              <w:widowControl/>
              <w:kinsoku/>
              <w:wordWrap/>
              <w:overflowPunct/>
              <w:topLinePunct w:val="0"/>
              <w:autoSpaceDE/>
              <w:autoSpaceDN/>
              <w:bidi w:val="0"/>
              <w:adjustRightInd/>
              <w:snapToGrid/>
              <w:ind w:left="0" w:right="0"/>
              <w:jc w:val="center"/>
              <w:rPr>
                <w:rFonts w:ascii="Times New Roman" w:hAnsi="Times New Roman" w:eastAsia="宋体" w:cs="Times New Roman"/>
                <w:color w:val="auto"/>
                <w:sz w:val="21"/>
                <w:szCs w:val="21"/>
                <w:highlight w:val="none"/>
                <w:lang w:eastAsia="zh-CN"/>
              </w:rPr>
            </w:pPr>
            <w:r>
              <w:rPr>
                <w:rFonts w:hint="eastAsia" w:ascii="Times New Roman" w:hAnsi="Times New Roman" w:eastAsia="宋体" w:cs="Times New Roman"/>
                <w:color w:val="auto"/>
                <w:sz w:val="21"/>
                <w:szCs w:val="21"/>
                <w:highlight w:val="none"/>
                <w:lang w:eastAsia="zh-CN"/>
              </w:rPr>
              <w:t>产品</w:t>
            </w:r>
          </w:p>
        </w:tc>
        <w:tc>
          <w:tcPr>
            <w:tcW w:w="1268" w:type="dxa"/>
            <w:tcBorders>
              <w:tl2br w:val="nil"/>
              <w:tr2bl w:val="nil"/>
            </w:tcBorders>
            <w:vAlign w:val="center"/>
          </w:tcPr>
          <w:p w14:paraId="07197FE8">
            <w:pPr>
              <w:keepNext w:val="0"/>
              <w:keepLines w:val="0"/>
              <w:pageBreakBefore w:val="0"/>
              <w:widowControl/>
              <w:kinsoku/>
              <w:wordWrap/>
              <w:overflowPunct/>
              <w:topLinePunct w:val="0"/>
              <w:autoSpaceDE/>
              <w:autoSpaceDN/>
              <w:bidi w:val="0"/>
              <w:adjustRightInd/>
              <w:snapToGrid/>
              <w:ind w:left="0" w:right="0"/>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0.0</w:t>
            </w:r>
            <w:r>
              <w:rPr>
                <w:rFonts w:hint="eastAsia" w:ascii="Times New Roman" w:hAnsi="Times New Roman" w:cs="Times New Roman"/>
                <w:color w:val="auto"/>
                <w:sz w:val="21"/>
                <w:szCs w:val="21"/>
                <w:highlight w:val="none"/>
                <w:lang w:val="en-US" w:eastAsia="zh-CN"/>
              </w:rPr>
              <w:t>134</w:t>
            </w:r>
            <w:r>
              <w:rPr>
                <w:rFonts w:hint="eastAsia" w:ascii="Times New Roman" w:hAnsi="Times New Roman" w:cs="Times New Roman"/>
                <w:color w:val="auto"/>
                <w:sz w:val="21"/>
                <w:szCs w:val="21"/>
                <w:highlight w:val="none"/>
              </w:rPr>
              <w:t>t/a</w:t>
            </w:r>
          </w:p>
        </w:tc>
        <w:tc>
          <w:tcPr>
            <w:tcW w:w="1453" w:type="dxa"/>
            <w:tcBorders>
              <w:tl2br w:val="nil"/>
              <w:tr2bl w:val="nil"/>
            </w:tcBorders>
            <w:vAlign w:val="center"/>
          </w:tcPr>
          <w:p w14:paraId="6DDBD97F">
            <w:pPr>
              <w:keepNext w:val="0"/>
              <w:keepLines w:val="0"/>
              <w:pageBreakBefore w:val="0"/>
              <w:widowControl/>
              <w:kinsoku/>
              <w:wordWrap/>
              <w:overflowPunct/>
              <w:topLinePunct w:val="0"/>
              <w:autoSpaceDE/>
              <w:autoSpaceDN/>
              <w:bidi w:val="0"/>
              <w:adjustRightInd/>
              <w:snapToGrid/>
              <w:ind w:left="0" w:right="0"/>
              <w:jc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非甲烷总烃</w:t>
            </w:r>
          </w:p>
        </w:tc>
        <w:tc>
          <w:tcPr>
            <w:tcW w:w="1454" w:type="dxa"/>
            <w:tcBorders>
              <w:tl2br w:val="nil"/>
              <w:tr2bl w:val="nil"/>
            </w:tcBorders>
            <w:vAlign w:val="center"/>
          </w:tcPr>
          <w:p w14:paraId="4E0CE030">
            <w:pPr>
              <w:keepNext w:val="0"/>
              <w:keepLines w:val="0"/>
              <w:pageBreakBefore w:val="0"/>
              <w:widowControl/>
              <w:kinsoku/>
              <w:wordWrap/>
              <w:overflowPunct/>
              <w:topLinePunct w:val="0"/>
              <w:autoSpaceDE/>
              <w:autoSpaceDN/>
              <w:bidi w:val="0"/>
              <w:adjustRightInd/>
              <w:snapToGrid/>
              <w:ind w:left="0" w:right="0"/>
              <w:jc w:val="center"/>
              <w:textAlignment w:val="center"/>
              <w:rPr>
                <w:rFonts w:hint="default" w:ascii="Times New Roman" w:hAnsi="Times New Roman" w:eastAsia="宋体"/>
                <w:color w:val="auto"/>
                <w:sz w:val="21"/>
                <w:szCs w:val="21"/>
                <w:highlight w:val="none"/>
                <w:lang w:val="en-US" w:eastAsia="zh-CN"/>
              </w:rPr>
            </w:pPr>
            <w:r>
              <w:rPr>
                <w:rFonts w:hint="eastAsia" w:ascii="Times New Roman" w:hAnsi="Times New Roman"/>
                <w:color w:val="auto"/>
                <w:sz w:val="21"/>
                <w:szCs w:val="21"/>
                <w:highlight w:val="none"/>
                <w:lang w:val="en-US" w:eastAsia="zh-CN"/>
              </w:rPr>
              <w:t>0.0062</w:t>
            </w:r>
          </w:p>
        </w:tc>
      </w:tr>
      <w:tr w14:paraId="6862158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906" w:type="dxa"/>
            <w:gridSpan w:val="2"/>
            <w:vMerge w:val="restart"/>
            <w:tcBorders>
              <w:tl2br w:val="nil"/>
              <w:tr2bl w:val="nil"/>
            </w:tcBorders>
            <w:vAlign w:val="center"/>
          </w:tcPr>
          <w:p w14:paraId="232A6A65">
            <w:pPr>
              <w:keepNext w:val="0"/>
              <w:keepLines w:val="0"/>
              <w:pageBreakBefore w:val="0"/>
              <w:widowControl/>
              <w:kinsoku/>
              <w:wordWrap/>
              <w:overflowPunct/>
              <w:topLinePunct w:val="0"/>
              <w:autoSpaceDE/>
              <w:autoSpaceDN/>
              <w:bidi w:val="0"/>
              <w:adjustRightInd/>
              <w:snapToGrid/>
              <w:ind w:left="0" w:right="0"/>
              <w:jc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合计</w:t>
            </w:r>
          </w:p>
        </w:tc>
        <w:tc>
          <w:tcPr>
            <w:tcW w:w="1453" w:type="dxa"/>
            <w:tcBorders>
              <w:tl2br w:val="nil"/>
              <w:tr2bl w:val="nil"/>
            </w:tcBorders>
            <w:vAlign w:val="center"/>
          </w:tcPr>
          <w:p w14:paraId="31699A36">
            <w:pPr>
              <w:keepNext w:val="0"/>
              <w:keepLines w:val="0"/>
              <w:pageBreakBefore w:val="0"/>
              <w:widowControl/>
              <w:kinsoku/>
              <w:wordWrap/>
              <w:overflowPunct/>
              <w:topLinePunct w:val="0"/>
              <w:autoSpaceDE/>
              <w:autoSpaceDN/>
              <w:bidi w:val="0"/>
              <w:adjustRightInd/>
              <w:snapToGrid/>
              <w:ind w:left="0" w:right="0"/>
              <w:jc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甲醇</w:t>
            </w:r>
          </w:p>
        </w:tc>
        <w:tc>
          <w:tcPr>
            <w:tcW w:w="1454" w:type="dxa"/>
            <w:tcBorders>
              <w:tl2br w:val="nil"/>
              <w:tr2bl w:val="nil"/>
            </w:tcBorders>
            <w:vAlign w:val="center"/>
          </w:tcPr>
          <w:p w14:paraId="799A0D9A">
            <w:pPr>
              <w:keepNext w:val="0"/>
              <w:keepLines w:val="0"/>
              <w:pageBreakBefore w:val="0"/>
              <w:widowControl/>
              <w:kinsoku/>
              <w:wordWrap/>
              <w:overflowPunct/>
              <w:topLinePunct w:val="0"/>
              <w:autoSpaceDE/>
              <w:autoSpaceDN/>
              <w:bidi w:val="0"/>
              <w:adjustRightInd/>
              <w:snapToGrid/>
              <w:ind w:left="0" w:right="0"/>
              <w:jc w:val="center"/>
              <w:textAlignment w:val="center"/>
              <w:rPr>
                <w:rFonts w:hint="default" w:ascii="Times New Roman" w:hAnsi="Times New Roman" w:eastAsia="宋体"/>
                <w:color w:val="auto"/>
                <w:sz w:val="21"/>
                <w:szCs w:val="21"/>
                <w:highlight w:val="none"/>
                <w:lang w:val="en-US" w:eastAsia="zh-CN"/>
              </w:rPr>
            </w:pPr>
            <w:r>
              <w:rPr>
                <w:rFonts w:hint="eastAsia" w:ascii="Times New Roman" w:hAnsi="Times New Roman"/>
                <w:color w:val="auto"/>
                <w:sz w:val="21"/>
                <w:szCs w:val="21"/>
                <w:highlight w:val="none"/>
                <w:lang w:val="en-US" w:eastAsia="zh-CN"/>
              </w:rPr>
              <w:t>0.0008</w:t>
            </w:r>
          </w:p>
        </w:tc>
      </w:tr>
      <w:tr w14:paraId="08B3EE1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906" w:type="dxa"/>
            <w:gridSpan w:val="2"/>
            <w:vMerge w:val="continue"/>
            <w:tcBorders>
              <w:tl2br w:val="nil"/>
              <w:tr2bl w:val="nil"/>
            </w:tcBorders>
            <w:vAlign w:val="center"/>
          </w:tcPr>
          <w:p w14:paraId="5FBDBFD5">
            <w:pPr>
              <w:keepNext w:val="0"/>
              <w:keepLines w:val="0"/>
              <w:pageBreakBefore w:val="0"/>
              <w:widowControl/>
              <w:kinsoku/>
              <w:wordWrap/>
              <w:overflowPunct/>
              <w:topLinePunct w:val="0"/>
              <w:autoSpaceDE/>
              <w:autoSpaceDN/>
              <w:bidi w:val="0"/>
              <w:adjustRightInd/>
              <w:snapToGrid/>
              <w:ind w:left="0" w:right="0"/>
              <w:jc w:val="center"/>
              <w:rPr>
                <w:rFonts w:ascii="Times New Roman" w:hAnsi="Times New Roman"/>
                <w:color w:val="auto"/>
                <w:sz w:val="21"/>
                <w:szCs w:val="21"/>
                <w:highlight w:val="none"/>
              </w:rPr>
            </w:pPr>
          </w:p>
        </w:tc>
        <w:tc>
          <w:tcPr>
            <w:tcW w:w="1453" w:type="dxa"/>
            <w:tcBorders>
              <w:tl2br w:val="nil"/>
              <w:tr2bl w:val="nil"/>
            </w:tcBorders>
            <w:vAlign w:val="center"/>
          </w:tcPr>
          <w:p w14:paraId="16A92E3C">
            <w:pPr>
              <w:keepNext w:val="0"/>
              <w:keepLines w:val="0"/>
              <w:pageBreakBefore w:val="0"/>
              <w:widowControl/>
              <w:kinsoku/>
              <w:wordWrap/>
              <w:overflowPunct/>
              <w:topLinePunct w:val="0"/>
              <w:autoSpaceDE/>
              <w:autoSpaceDN/>
              <w:bidi w:val="0"/>
              <w:adjustRightInd/>
              <w:snapToGrid/>
              <w:ind w:left="0" w:right="0"/>
              <w:jc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氮氧化物</w:t>
            </w:r>
          </w:p>
        </w:tc>
        <w:tc>
          <w:tcPr>
            <w:tcW w:w="1454" w:type="dxa"/>
            <w:tcBorders>
              <w:tl2br w:val="nil"/>
              <w:tr2bl w:val="nil"/>
            </w:tcBorders>
            <w:vAlign w:val="center"/>
          </w:tcPr>
          <w:p w14:paraId="1A868842">
            <w:pPr>
              <w:keepNext w:val="0"/>
              <w:keepLines w:val="0"/>
              <w:pageBreakBefore w:val="0"/>
              <w:widowControl/>
              <w:kinsoku/>
              <w:wordWrap/>
              <w:overflowPunct/>
              <w:topLinePunct w:val="0"/>
              <w:autoSpaceDE/>
              <w:autoSpaceDN/>
              <w:bidi w:val="0"/>
              <w:adjustRightInd/>
              <w:snapToGrid/>
              <w:ind w:left="0" w:right="0"/>
              <w:jc w:val="center"/>
              <w:textAlignment w:val="center"/>
              <w:rPr>
                <w:rFonts w:hint="default" w:ascii="Times New Roman" w:hAnsi="Times New Roman" w:eastAsia="宋体"/>
                <w:color w:val="auto"/>
                <w:sz w:val="21"/>
                <w:szCs w:val="21"/>
                <w:highlight w:val="none"/>
                <w:lang w:val="en-US" w:eastAsia="zh-CN"/>
              </w:rPr>
            </w:pPr>
            <w:r>
              <w:rPr>
                <w:rFonts w:hint="eastAsia" w:ascii="Times New Roman" w:hAnsi="Times New Roman"/>
                <w:color w:val="auto"/>
                <w:sz w:val="21"/>
                <w:szCs w:val="21"/>
                <w:highlight w:val="none"/>
                <w:lang w:val="en-US" w:eastAsia="zh-CN"/>
              </w:rPr>
              <w:t>0.003</w:t>
            </w:r>
          </w:p>
        </w:tc>
      </w:tr>
      <w:tr w14:paraId="477EA49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906" w:type="dxa"/>
            <w:gridSpan w:val="2"/>
            <w:vMerge w:val="continue"/>
            <w:tcBorders>
              <w:tl2br w:val="nil"/>
              <w:tr2bl w:val="nil"/>
            </w:tcBorders>
            <w:vAlign w:val="center"/>
          </w:tcPr>
          <w:p w14:paraId="7E2C8EBE">
            <w:pPr>
              <w:keepNext w:val="0"/>
              <w:keepLines w:val="0"/>
              <w:pageBreakBefore w:val="0"/>
              <w:widowControl/>
              <w:kinsoku/>
              <w:wordWrap/>
              <w:overflowPunct/>
              <w:topLinePunct w:val="0"/>
              <w:autoSpaceDE/>
              <w:autoSpaceDN/>
              <w:bidi w:val="0"/>
              <w:adjustRightInd/>
              <w:snapToGrid/>
              <w:ind w:left="0" w:right="0"/>
              <w:jc w:val="center"/>
              <w:rPr>
                <w:rFonts w:ascii="Times New Roman" w:hAnsi="Times New Roman"/>
                <w:color w:val="auto"/>
                <w:sz w:val="21"/>
                <w:szCs w:val="21"/>
                <w:highlight w:val="none"/>
              </w:rPr>
            </w:pPr>
          </w:p>
        </w:tc>
        <w:tc>
          <w:tcPr>
            <w:tcW w:w="1453" w:type="dxa"/>
            <w:tcBorders>
              <w:tl2br w:val="nil"/>
              <w:tr2bl w:val="nil"/>
            </w:tcBorders>
            <w:vAlign w:val="center"/>
          </w:tcPr>
          <w:p w14:paraId="562E3A67">
            <w:pPr>
              <w:keepNext w:val="0"/>
              <w:keepLines w:val="0"/>
              <w:pageBreakBefore w:val="0"/>
              <w:widowControl/>
              <w:kinsoku/>
              <w:wordWrap/>
              <w:overflowPunct/>
              <w:topLinePunct w:val="0"/>
              <w:autoSpaceDE/>
              <w:autoSpaceDN/>
              <w:bidi w:val="0"/>
              <w:adjustRightInd/>
              <w:snapToGrid/>
              <w:ind w:left="0" w:right="0"/>
              <w:jc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非甲烷总烃</w:t>
            </w:r>
          </w:p>
        </w:tc>
        <w:tc>
          <w:tcPr>
            <w:tcW w:w="1454" w:type="dxa"/>
            <w:tcBorders>
              <w:tl2br w:val="nil"/>
              <w:tr2bl w:val="nil"/>
            </w:tcBorders>
            <w:vAlign w:val="center"/>
          </w:tcPr>
          <w:p w14:paraId="1449CFC5">
            <w:pPr>
              <w:keepNext w:val="0"/>
              <w:keepLines w:val="0"/>
              <w:pageBreakBefore w:val="0"/>
              <w:widowControl/>
              <w:kinsoku/>
              <w:wordWrap/>
              <w:overflowPunct/>
              <w:topLinePunct w:val="0"/>
              <w:autoSpaceDE/>
              <w:autoSpaceDN/>
              <w:bidi w:val="0"/>
              <w:adjustRightInd/>
              <w:snapToGrid/>
              <w:ind w:left="0" w:right="0"/>
              <w:jc w:val="center"/>
              <w:textAlignment w:val="center"/>
              <w:rPr>
                <w:rFonts w:hint="default" w:ascii="Times New Roman" w:hAnsi="Times New Roman" w:eastAsia="宋体"/>
                <w:color w:val="auto"/>
                <w:sz w:val="21"/>
                <w:szCs w:val="21"/>
                <w:highlight w:val="none"/>
                <w:lang w:val="en-US" w:eastAsia="zh-CN"/>
              </w:rPr>
            </w:pPr>
            <w:r>
              <w:rPr>
                <w:rFonts w:hint="eastAsia" w:ascii="Times New Roman" w:hAnsi="Times New Roman"/>
                <w:color w:val="auto"/>
                <w:sz w:val="21"/>
                <w:szCs w:val="21"/>
                <w:highlight w:val="none"/>
                <w:lang w:val="en-US" w:eastAsia="zh-CN"/>
              </w:rPr>
              <w:t>0.0067</w:t>
            </w:r>
          </w:p>
        </w:tc>
      </w:tr>
    </w:tbl>
    <w:p w14:paraId="6BC9B6E4">
      <w:pPr>
        <w:spacing w:line="360" w:lineRule="auto"/>
        <w:ind w:left="-105" w:right="-105" w:firstLine="480" w:firstLineChars="200"/>
        <w:jc w:val="both"/>
        <w:rPr>
          <w:rFonts w:ascii="Times New Roman" w:hAnsi="Times New Roman"/>
          <w:color w:val="auto"/>
          <w:szCs w:val="22"/>
          <w:highlight w:val="none"/>
        </w:rPr>
        <w:sectPr>
          <w:headerReference r:id="rId20" w:type="even"/>
          <w:pgSz w:w="11906" w:h="16838"/>
          <w:pgMar w:top="1440" w:right="1701" w:bottom="1440" w:left="1701" w:header="851" w:footer="851" w:gutter="0"/>
          <w:pgBorders>
            <w:top w:val="none" w:sz="0" w:space="0"/>
            <w:left w:val="none" w:sz="0" w:space="0"/>
            <w:bottom w:val="none" w:sz="0" w:space="0"/>
            <w:right w:val="none" w:sz="0" w:space="0"/>
          </w:pgBorders>
          <w:cols w:space="720" w:num="1"/>
          <w:docGrid w:linePitch="498" w:charSpace="-2336"/>
        </w:sectPr>
      </w:pPr>
      <w:r>
        <w:rPr>
          <w:rFonts w:hint="eastAsia" w:ascii="Times New Roman" w:hAnsi="Times New Roman"/>
          <w:color w:val="auto"/>
          <w:szCs w:val="22"/>
          <w:highlight w:val="none"/>
          <w:lang w:val="en-US" w:eastAsia="zh-CN"/>
        </w:rPr>
        <w:t>根据企业介绍，</w:t>
      </w:r>
      <w:r>
        <w:rPr>
          <w:rFonts w:hint="eastAsia" w:ascii="Times New Roman" w:hAnsi="Times New Roman"/>
          <w:color w:val="auto"/>
          <w:szCs w:val="22"/>
          <w:highlight w:val="none"/>
        </w:rPr>
        <w:t>实验间一</w:t>
      </w:r>
      <w:r>
        <w:rPr>
          <w:rFonts w:hint="eastAsia" w:ascii="Times New Roman" w:hAnsi="Times New Roman"/>
          <w:color w:val="auto"/>
          <w:szCs w:val="22"/>
          <w:highlight w:val="none"/>
          <w:lang w:val="en-US" w:eastAsia="zh-CN"/>
        </w:rPr>
        <w:t>设置</w:t>
      </w:r>
      <w:r>
        <w:rPr>
          <w:rFonts w:ascii="Times New Roman" w:hAnsi="Times New Roman"/>
          <w:color w:val="auto"/>
          <w:szCs w:val="22"/>
          <w:highlight w:val="none"/>
        </w:rPr>
        <w:t>通风橱</w:t>
      </w:r>
      <w:r>
        <w:rPr>
          <w:rFonts w:hint="eastAsia" w:ascii="Times New Roman" w:hAnsi="Times New Roman"/>
          <w:color w:val="auto"/>
          <w:szCs w:val="22"/>
          <w:highlight w:val="none"/>
          <w:lang w:eastAsia="zh-CN"/>
        </w:rPr>
        <w:t>，</w:t>
      </w:r>
      <w:r>
        <w:rPr>
          <w:rFonts w:hint="eastAsia" w:ascii="Times New Roman" w:hAnsi="Times New Roman"/>
          <w:color w:val="auto"/>
          <w:szCs w:val="22"/>
          <w:highlight w:val="none"/>
          <w:lang w:val="en-US" w:eastAsia="zh-CN"/>
        </w:rPr>
        <w:t>但该实验室目前仅进行卡尔费休水分测试，废液转移至收集罐不在通风橱内进行，故废气在实验间一内无组织排放</w:t>
      </w:r>
      <w:r>
        <w:rPr>
          <w:rFonts w:hint="eastAsia" w:ascii="Times New Roman" w:hAnsi="Times New Roman"/>
          <w:color w:val="auto"/>
          <w:szCs w:val="22"/>
          <w:highlight w:val="none"/>
        </w:rPr>
        <w:t>；实验间二</w:t>
      </w:r>
      <w:r>
        <w:rPr>
          <w:rFonts w:hint="eastAsia" w:ascii="Times New Roman" w:hAnsi="Times New Roman"/>
          <w:color w:val="auto"/>
          <w:szCs w:val="22"/>
          <w:highlight w:val="none"/>
          <w:lang w:val="en-US" w:eastAsia="zh-CN"/>
        </w:rPr>
        <w:t>进行粒子计数和质谱测试，硝酸稀释和粒子计数器在通风橱内进行，</w:t>
      </w:r>
      <w:r>
        <w:rPr>
          <w:rFonts w:hint="eastAsia" w:ascii="Times New Roman" w:hAnsi="Times New Roman"/>
          <w:color w:val="auto"/>
          <w:szCs w:val="22"/>
          <w:highlight w:val="none"/>
        </w:rPr>
        <w:t>收集效率</w:t>
      </w:r>
      <w:r>
        <w:rPr>
          <w:rFonts w:hint="eastAsia" w:ascii="Times New Roman" w:hAnsi="Times New Roman"/>
          <w:color w:val="auto"/>
          <w:szCs w:val="22"/>
          <w:highlight w:val="none"/>
          <w:lang w:val="en-US" w:eastAsia="zh-CN"/>
        </w:rPr>
        <w:t>取90</w:t>
      </w:r>
      <w:r>
        <w:rPr>
          <w:rFonts w:hint="eastAsia" w:ascii="Times New Roman" w:hAnsi="Times New Roman"/>
          <w:color w:val="auto"/>
          <w:szCs w:val="22"/>
          <w:highlight w:val="none"/>
        </w:rPr>
        <w:t>%，</w:t>
      </w:r>
      <w:r>
        <w:rPr>
          <w:rFonts w:hint="eastAsia" w:ascii="Times New Roman" w:hAnsi="Times New Roman"/>
          <w:color w:val="auto"/>
          <w:szCs w:val="22"/>
          <w:highlight w:val="none"/>
          <w:lang w:val="en-US" w:eastAsia="zh-CN"/>
        </w:rPr>
        <w:t>质谱仪有引风管直接收集废气至废气处理设施，收集率取100%。为方便计算，硝酸稀释时挥发的废气量按10%计，</w:t>
      </w:r>
      <w:r>
        <w:rPr>
          <w:rFonts w:hint="eastAsia" w:ascii="Times New Roman" w:hAnsi="Times New Roman"/>
          <w:color w:val="auto"/>
          <w:szCs w:val="22"/>
          <w:highlight w:val="none"/>
        </w:rPr>
        <w:t>实验室年工作时间为500h。</w:t>
      </w:r>
      <w:r>
        <w:rPr>
          <w:rFonts w:hint="eastAsia" w:ascii="Times New Roman" w:hAnsi="Times New Roman"/>
          <w:color w:val="auto"/>
          <w:szCs w:val="22"/>
          <w:highlight w:val="none"/>
        </w:rPr>
        <w:t>两间实验室</w:t>
      </w:r>
      <w:r>
        <w:rPr>
          <w:rFonts w:ascii="Times New Roman" w:hAnsi="Times New Roman"/>
          <w:color w:val="auto"/>
          <w:szCs w:val="22"/>
          <w:highlight w:val="none"/>
        </w:rPr>
        <w:t>废气收集后由通风管道</w:t>
      </w:r>
      <w:r>
        <w:rPr>
          <w:rFonts w:hint="eastAsia" w:ascii="Times New Roman" w:hAnsi="Times New Roman"/>
          <w:color w:val="auto"/>
          <w:szCs w:val="22"/>
          <w:highlight w:val="none"/>
        </w:rPr>
        <w:t>分别</w:t>
      </w:r>
      <w:r>
        <w:rPr>
          <w:rFonts w:ascii="Times New Roman" w:hAnsi="Times New Roman"/>
          <w:color w:val="auto"/>
          <w:szCs w:val="22"/>
          <w:highlight w:val="none"/>
        </w:rPr>
        <w:t>接入两级活性炭吸附装置处理，处理效率为90%，处理达标后</w:t>
      </w:r>
      <w:r>
        <w:rPr>
          <w:rFonts w:hint="eastAsia" w:ascii="Times New Roman" w:hAnsi="Times New Roman"/>
          <w:color w:val="auto"/>
          <w:szCs w:val="22"/>
          <w:highlight w:val="none"/>
        </w:rPr>
        <w:t>合并至一根15</w:t>
      </w:r>
      <w:r>
        <w:rPr>
          <w:rFonts w:ascii="Times New Roman" w:hAnsi="Times New Roman"/>
          <w:color w:val="auto"/>
          <w:szCs w:val="22"/>
          <w:highlight w:val="none"/>
        </w:rPr>
        <w:t>米排气筒</w:t>
      </w:r>
      <w:r>
        <w:rPr>
          <w:rFonts w:hint="eastAsia" w:ascii="Times New Roman" w:hAnsi="Times New Roman"/>
          <w:color w:val="auto"/>
          <w:szCs w:val="22"/>
          <w:highlight w:val="none"/>
        </w:rPr>
        <w:t>DA006</w:t>
      </w:r>
      <w:r>
        <w:rPr>
          <w:rFonts w:ascii="Times New Roman" w:hAnsi="Times New Roman"/>
          <w:color w:val="auto"/>
          <w:szCs w:val="22"/>
          <w:highlight w:val="none"/>
        </w:rPr>
        <w:t>排放，未收集废气以无组织形式排放。</w:t>
      </w:r>
    </w:p>
    <w:p w14:paraId="26F0EF9B">
      <w:pPr>
        <w:spacing w:line="360" w:lineRule="auto"/>
        <w:ind w:left="-105" w:right="-105" w:firstLine="480" w:firstLineChars="200"/>
        <w:jc w:val="both"/>
        <w:rPr>
          <w:rFonts w:ascii="Times New Roman" w:hAnsi="Times New Roman"/>
          <w:color w:val="auto"/>
          <w:highlight w:val="none"/>
        </w:rPr>
      </w:pPr>
      <w:r>
        <w:rPr>
          <w:rFonts w:ascii="Times New Roman" w:hAnsi="Times New Roman"/>
          <w:color w:val="auto"/>
          <w:szCs w:val="22"/>
          <w:highlight w:val="none"/>
        </w:rPr>
        <w:t>经收集处理后的废气产生和排放情况见</w:t>
      </w:r>
      <w:r>
        <w:rPr>
          <w:rFonts w:hint="eastAsia" w:ascii="Times New Roman" w:hAnsi="Times New Roman"/>
          <w:color w:val="auto"/>
          <w:highlight w:val="none"/>
        </w:rPr>
        <w:t>下表</w:t>
      </w:r>
      <w:r>
        <w:rPr>
          <w:rFonts w:ascii="Times New Roman" w:hAnsi="Times New Roman"/>
          <w:color w:val="auto"/>
          <w:highlight w:val="none"/>
        </w:rPr>
        <w:t>。</w:t>
      </w:r>
      <w:bookmarkStart w:id="232" w:name="_Ref37170131"/>
    </w:p>
    <w:p w14:paraId="1123768B">
      <w:pPr>
        <w:pStyle w:val="15"/>
        <w:spacing w:line="360" w:lineRule="auto"/>
        <w:ind w:left="-105" w:right="-105" w:firstLine="482"/>
        <w:rPr>
          <w:rFonts w:eastAsia="宋体" w:cs="Times New Roman"/>
          <w:color w:val="auto"/>
          <w:sz w:val="24"/>
          <w:szCs w:val="24"/>
          <w:highlight w:val="none"/>
        </w:rPr>
      </w:pPr>
      <w:r>
        <w:rPr>
          <w:rFonts w:eastAsia="宋体" w:cs="Times New Roman"/>
          <w:color w:val="auto"/>
          <w:sz w:val="24"/>
          <w:szCs w:val="24"/>
          <w:highlight w:val="none"/>
        </w:rPr>
        <w:t>表</w:t>
      </w:r>
      <w:r>
        <w:rPr>
          <w:rFonts w:eastAsia="宋体" w:cs="Times New Roman"/>
          <w:color w:val="auto"/>
          <w:sz w:val="24"/>
          <w:szCs w:val="24"/>
          <w:highlight w:val="none"/>
        </w:rPr>
        <w:fldChar w:fldCharType="begin"/>
      </w:r>
      <w:r>
        <w:rPr>
          <w:rFonts w:eastAsia="宋体" w:cs="Times New Roman"/>
          <w:color w:val="auto"/>
          <w:sz w:val="24"/>
          <w:szCs w:val="24"/>
          <w:highlight w:val="none"/>
        </w:rPr>
        <w:instrText xml:space="preserve"> STYLEREF 2 \s </w:instrText>
      </w:r>
      <w:r>
        <w:rPr>
          <w:rFonts w:eastAsia="宋体" w:cs="Times New Roman"/>
          <w:color w:val="auto"/>
          <w:sz w:val="24"/>
          <w:szCs w:val="24"/>
          <w:highlight w:val="none"/>
        </w:rPr>
        <w:fldChar w:fldCharType="separate"/>
      </w:r>
      <w:r>
        <w:rPr>
          <w:rFonts w:eastAsia="宋体" w:cs="Times New Roman"/>
          <w:color w:val="auto"/>
          <w:sz w:val="24"/>
          <w:szCs w:val="24"/>
          <w:highlight w:val="none"/>
        </w:rPr>
        <w:t>4.6</w:t>
      </w:r>
      <w:r>
        <w:rPr>
          <w:rFonts w:eastAsia="宋体" w:cs="Times New Roman"/>
          <w:color w:val="auto"/>
          <w:sz w:val="24"/>
          <w:szCs w:val="24"/>
          <w:highlight w:val="none"/>
        </w:rPr>
        <w:fldChar w:fldCharType="end"/>
      </w:r>
      <w:r>
        <w:rPr>
          <w:rFonts w:eastAsia="宋体" w:cs="Times New Roman"/>
          <w:color w:val="auto"/>
          <w:sz w:val="24"/>
          <w:szCs w:val="24"/>
          <w:highlight w:val="none"/>
        </w:rPr>
        <w:noBreakHyphen/>
      </w:r>
      <w:r>
        <w:rPr>
          <w:rFonts w:eastAsia="宋体" w:cs="Times New Roman"/>
          <w:color w:val="auto"/>
          <w:sz w:val="24"/>
          <w:szCs w:val="24"/>
          <w:highlight w:val="none"/>
        </w:rPr>
        <w:fldChar w:fldCharType="begin"/>
      </w:r>
      <w:r>
        <w:rPr>
          <w:rFonts w:eastAsia="宋体" w:cs="Times New Roman"/>
          <w:color w:val="auto"/>
          <w:sz w:val="24"/>
          <w:szCs w:val="24"/>
          <w:highlight w:val="none"/>
        </w:rPr>
        <w:instrText xml:space="preserve"> SEQ 表 \* ARABIC \s 2 </w:instrText>
      </w:r>
      <w:r>
        <w:rPr>
          <w:rFonts w:eastAsia="宋体" w:cs="Times New Roman"/>
          <w:color w:val="auto"/>
          <w:sz w:val="24"/>
          <w:szCs w:val="24"/>
          <w:highlight w:val="none"/>
        </w:rPr>
        <w:fldChar w:fldCharType="separate"/>
      </w:r>
      <w:r>
        <w:rPr>
          <w:rFonts w:eastAsia="宋体" w:cs="Times New Roman"/>
          <w:color w:val="auto"/>
          <w:sz w:val="24"/>
          <w:szCs w:val="24"/>
          <w:highlight w:val="none"/>
        </w:rPr>
        <w:t>3</w:t>
      </w:r>
      <w:r>
        <w:rPr>
          <w:rFonts w:eastAsia="宋体" w:cs="Times New Roman"/>
          <w:color w:val="auto"/>
          <w:sz w:val="24"/>
          <w:szCs w:val="24"/>
          <w:highlight w:val="none"/>
        </w:rPr>
        <w:fldChar w:fldCharType="end"/>
      </w:r>
      <w:bookmarkEnd w:id="232"/>
      <w:r>
        <w:rPr>
          <w:rFonts w:eastAsia="宋体" w:cs="Times New Roman"/>
          <w:color w:val="auto"/>
          <w:sz w:val="24"/>
          <w:szCs w:val="24"/>
          <w:highlight w:val="none"/>
        </w:rPr>
        <w:t>本项目</w:t>
      </w:r>
      <w:r>
        <w:rPr>
          <w:rFonts w:hint="eastAsia" w:eastAsia="宋体" w:cs="Times New Roman"/>
          <w:color w:val="auto"/>
          <w:sz w:val="24"/>
          <w:szCs w:val="24"/>
          <w:highlight w:val="none"/>
        </w:rPr>
        <w:t>大气污染物有组织排放</w:t>
      </w:r>
      <w:r>
        <w:rPr>
          <w:rFonts w:eastAsia="宋体" w:cs="Times New Roman"/>
          <w:color w:val="auto"/>
          <w:sz w:val="24"/>
          <w:szCs w:val="24"/>
          <w:highlight w:val="none"/>
        </w:rPr>
        <w:t>情况</w:t>
      </w:r>
    </w:p>
    <w:tbl>
      <w:tblPr>
        <w:tblStyle w:val="45"/>
        <w:tblW w:w="5000" w:type="pct"/>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
      <w:tblGrid>
        <w:gridCol w:w="716"/>
        <w:gridCol w:w="947"/>
        <w:gridCol w:w="688"/>
        <w:gridCol w:w="809"/>
        <w:gridCol w:w="809"/>
        <w:gridCol w:w="809"/>
        <w:gridCol w:w="809"/>
        <w:gridCol w:w="1070"/>
        <w:gridCol w:w="625"/>
        <w:gridCol w:w="863"/>
        <w:gridCol w:w="863"/>
        <w:gridCol w:w="863"/>
        <w:gridCol w:w="781"/>
        <w:gridCol w:w="706"/>
        <w:gridCol w:w="815"/>
        <w:gridCol w:w="829"/>
        <w:gridCol w:w="650"/>
      </w:tblGrid>
      <w:tr w14:paraId="6550C4E9">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454" w:hRule="atLeast"/>
          <w:tblHeader/>
          <w:jc w:val="center"/>
        </w:trPr>
        <w:tc>
          <w:tcPr>
            <w:tcW w:w="737" w:type="dxa"/>
            <w:vMerge w:val="restart"/>
            <w:vAlign w:val="center"/>
          </w:tcPr>
          <w:p w14:paraId="3AC47F1D">
            <w:pPr>
              <w:keepNext w:val="0"/>
              <w:keepLines w:val="0"/>
              <w:pageBreakBefore w:val="0"/>
              <w:widowControl/>
              <w:kinsoku/>
              <w:wordWrap/>
              <w:overflowPunct/>
              <w:topLinePunct w:val="0"/>
              <w:autoSpaceDE/>
              <w:autoSpaceDN/>
              <w:bidi w:val="0"/>
              <w:adjustRightInd/>
              <w:snapToGrid/>
              <w:ind w:left="0" w:right="0"/>
              <w:jc w:val="center"/>
              <w:rPr>
                <w:rFonts w:ascii="Times New Roman" w:hAnsi="Times New Roman" w:cs="Times New Roman"/>
                <w:b/>
                <w:bCs/>
                <w:color w:val="auto"/>
                <w:sz w:val="21"/>
                <w:szCs w:val="21"/>
                <w:highlight w:val="none"/>
              </w:rPr>
            </w:pPr>
            <w:r>
              <w:rPr>
                <w:rFonts w:hint="eastAsia" w:ascii="Times New Roman" w:hAnsi="Times New Roman" w:cs="Times New Roman"/>
                <w:b/>
                <w:bCs/>
                <w:color w:val="auto"/>
                <w:sz w:val="21"/>
                <w:szCs w:val="21"/>
                <w:highlight w:val="none"/>
              </w:rPr>
              <w:t>产污环节</w:t>
            </w:r>
          </w:p>
        </w:tc>
        <w:tc>
          <w:tcPr>
            <w:tcW w:w="978" w:type="dxa"/>
            <w:vMerge w:val="restart"/>
            <w:vAlign w:val="center"/>
          </w:tcPr>
          <w:p w14:paraId="4E8E4282">
            <w:pPr>
              <w:keepNext w:val="0"/>
              <w:keepLines w:val="0"/>
              <w:pageBreakBefore w:val="0"/>
              <w:widowControl/>
              <w:kinsoku/>
              <w:wordWrap/>
              <w:overflowPunct/>
              <w:topLinePunct w:val="0"/>
              <w:autoSpaceDE/>
              <w:autoSpaceDN/>
              <w:bidi w:val="0"/>
              <w:adjustRightInd/>
              <w:snapToGrid/>
              <w:ind w:left="0" w:right="0"/>
              <w:jc w:val="center"/>
              <w:rPr>
                <w:rFonts w:ascii="Times New Roman" w:hAnsi="Times New Roman" w:cs="Times New Roman"/>
                <w:b/>
                <w:bCs/>
                <w:color w:val="auto"/>
                <w:sz w:val="21"/>
                <w:szCs w:val="21"/>
                <w:highlight w:val="none"/>
              </w:rPr>
            </w:pPr>
            <w:r>
              <w:rPr>
                <w:rFonts w:ascii="Times New Roman" w:hAnsi="Times New Roman" w:cs="Times New Roman"/>
                <w:b/>
                <w:bCs/>
                <w:color w:val="auto"/>
                <w:sz w:val="21"/>
                <w:szCs w:val="21"/>
                <w:highlight w:val="none"/>
              </w:rPr>
              <w:t>污染物</w:t>
            </w:r>
          </w:p>
        </w:tc>
        <w:tc>
          <w:tcPr>
            <w:tcW w:w="4044" w:type="dxa"/>
            <w:gridSpan w:val="5"/>
            <w:vAlign w:val="center"/>
          </w:tcPr>
          <w:p w14:paraId="09BDB3D9">
            <w:pPr>
              <w:keepNext w:val="0"/>
              <w:keepLines w:val="0"/>
              <w:pageBreakBefore w:val="0"/>
              <w:widowControl/>
              <w:kinsoku/>
              <w:wordWrap/>
              <w:overflowPunct/>
              <w:topLinePunct w:val="0"/>
              <w:autoSpaceDE/>
              <w:autoSpaceDN/>
              <w:bidi w:val="0"/>
              <w:adjustRightInd/>
              <w:snapToGrid/>
              <w:ind w:left="0" w:right="0"/>
              <w:jc w:val="center"/>
              <w:rPr>
                <w:rFonts w:ascii="Times New Roman" w:hAnsi="Times New Roman" w:cs="Times New Roman"/>
                <w:b/>
                <w:bCs/>
                <w:color w:val="auto"/>
                <w:sz w:val="21"/>
                <w:szCs w:val="21"/>
                <w:highlight w:val="none"/>
              </w:rPr>
            </w:pPr>
            <w:r>
              <w:rPr>
                <w:rFonts w:ascii="Times New Roman" w:hAnsi="Times New Roman" w:cs="Times New Roman"/>
                <w:b/>
                <w:bCs/>
                <w:color w:val="auto"/>
                <w:sz w:val="21"/>
                <w:szCs w:val="21"/>
                <w:highlight w:val="none"/>
              </w:rPr>
              <w:t>污染物产生情况</w:t>
            </w:r>
          </w:p>
        </w:tc>
        <w:tc>
          <w:tcPr>
            <w:tcW w:w="1748" w:type="dxa"/>
            <w:gridSpan w:val="2"/>
            <w:vAlign w:val="center"/>
          </w:tcPr>
          <w:p w14:paraId="7DC689CF">
            <w:pPr>
              <w:keepNext w:val="0"/>
              <w:keepLines w:val="0"/>
              <w:pageBreakBefore w:val="0"/>
              <w:widowControl/>
              <w:kinsoku/>
              <w:wordWrap/>
              <w:overflowPunct/>
              <w:topLinePunct w:val="0"/>
              <w:autoSpaceDE/>
              <w:autoSpaceDN/>
              <w:bidi w:val="0"/>
              <w:adjustRightInd/>
              <w:snapToGrid/>
              <w:ind w:left="0" w:right="0"/>
              <w:jc w:val="center"/>
              <w:rPr>
                <w:rFonts w:ascii="Times New Roman" w:hAnsi="Times New Roman" w:cs="Times New Roman"/>
                <w:b/>
                <w:bCs/>
                <w:color w:val="auto"/>
                <w:sz w:val="21"/>
                <w:szCs w:val="21"/>
                <w:highlight w:val="none"/>
              </w:rPr>
            </w:pPr>
            <w:r>
              <w:rPr>
                <w:rFonts w:ascii="Times New Roman" w:hAnsi="Times New Roman" w:cs="Times New Roman"/>
                <w:b/>
                <w:bCs/>
                <w:color w:val="auto"/>
                <w:sz w:val="21"/>
                <w:szCs w:val="21"/>
                <w:highlight w:val="none"/>
              </w:rPr>
              <w:t>治理措施</w:t>
            </w:r>
          </w:p>
        </w:tc>
        <w:tc>
          <w:tcPr>
            <w:tcW w:w="3475" w:type="dxa"/>
            <w:gridSpan w:val="4"/>
            <w:vAlign w:val="center"/>
          </w:tcPr>
          <w:p w14:paraId="198A4266">
            <w:pPr>
              <w:keepNext w:val="0"/>
              <w:keepLines w:val="0"/>
              <w:pageBreakBefore w:val="0"/>
              <w:widowControl/>
              <w:kinsoku/>
              <w:wordWrap/>
              <w:overflowPunct/>
              <w:topLinePunct w:val="0"/>
              <w:autoSpaceDE/>
              <w:autoSpaceDN/>
              <w:bidi w:val="0"/>
              <w:adjustRightInd/>
              <w:snapToGrid/>
              <w:ind w:left="0" w:right="0"/>
              <w:jc w:val="center"/>
              <w:rPr>
                <w:rFonts w:ascii="Times New Roman" w:hAnsi="Times New Roman" w:cs="Times New Roman"/>
                <w:b/>
                <w:bCs/>
                <w:color w:val="auto"/>
                <w:sz w:val="21"/>
                <w:szCs w:val="21"/>
                <w:highlight w:val="none"/>
              </w:rPr>
            </w:pPr>
            <w:r>
              <w:rPr>
                <w:rFonts w:ascii="Times New Roman" w:hAnsi="Times New Roman" w:cs="Times New Roman"/>
                <w:b/>
                <w:bCs/>
                <w:color w:val="auto"/>
                <w:sz w:val="21"/>
                <w:szCs w:val="21"/>
                <w:highlight w:val="none"/>
              </w:rPr>
              <w:t>污染物排放情况</w:t>
            </w:r>
          </w:p>
        </w:tc>
        <w:tc>
          <w:tcPr>
            <w:tcW w:w="706" w:type="dxa"/>
            <w:vMerge w:val="restart"/>
            <w:noWrap/>
            <w:vAlign w:val="center"/>
          </w:tcPr>
          <w:p w14:paraId="791837A0">
            <w:pPr>
              <w:keepNext w:val="0"/>
              <w:keepLines w:val="0"/>
              <w:pageBreakBefore w:val="0"/>
              <w:widowControl/>
              <w:kinsoku/>
              <w:wordWrap/>
              <w:overflowPunct/>
              <w:topLinePunct w:val="0"/>
              <w:autoSpaceDE/>
              <w:autoSpaceDN/>
              <w:bidi w:val="0"/>
              <w:adjustRightInd/>
              <w:snapToGrid/>
              <w:ind w:left="0" w:right="0"/>
              <w:jc w:val="center"/>
              <w:rPr>
                <w:rFonts w:ascii="Times New Roman" w:hAnsi="Times New Roman" w:cs="Times New Roman"/>
                <w:color w:val="auto"/>
                <w:sz w:val="21"/>
                <w:szCs w:val="21"/>
                <w:highlight w:val="none"/>
              </w:rPr>
            </w:pPr>
            <w:r>
              <w:rPr>
                <w:rFonts w:ascii="Times New Roman" w:hAnsi="Times New Roman" w:cs="Times New Roman"/>
                <w:b/>
                <w:bCs/>
                <w:color w:val="auto"/>
                <w:sz w:val="21"/>
                <w:szCs w:val="21"/>
                <w:highlight w:val="none"/>
              </w:rPr>
              <w:t>工作时间h</w:t>
            </w:r>
          </w:p>
        </w:tc>
        <w:tc>
          <w:tcPr>
            <w:tcW w:w="840" w:type="dxa"/>
            <w:vMerge w:val="restart"/>
            <w:vAlign w:val="center"/>
          </w:tcPr>
          <w:p w14:paraId="0EF727B0">
            <w:pPr>
              <w:keepNext w:val="0"/>
              <w:keepLines w:val="0"/>
              <w:pageBreakBefore w:val="0"/>
              <w:widowControl/>
              <w:kinsoku/>
              <w:wordWrap/>
              <w:overflowPunct/>
              <w:topLinePunct w:val="0"/>
              <w:autoSpaceDE/>
              <w:autoSpaceDN/>
              <w:bidi w:val="0"/>
              <w:adjustRightInd/>
              <w:snapToGrid/>
              <w:ind w:left="0" w:right="0"/>
              <w:jc w:val="center"/>
              <w:rPr>
                <w:rFonts w:ascii="Times New Roman" w:hAnsi="Times New Roman" w:cs="Times New Roman"/>
                <w:b/>
                <w:bCs/>
                <w:color w:val="auto"/>
                <w:sz w:val="21"/>
                <w:szCs w:val="21"/>
                <w:highlight w:val="none"/>
              </w:rPr>
            </w:pPr>
            <w:r>
              <w:rPr>
                <w:rFonts w:hint="eastAsia" w:ascii="Times New Roman" w:hAnsi="Times New Roman" w:cs="Times New Roman"/>
                <w:b/>
                <w:bCs/>
                <w:color w:val="auto"/>
                <w:sz w:val="21"/>
                <w:szCs w:val="21"/>
                <w:highlight w:val="none"/>
              </w:rPr>
              <w:t>排气筒</w:t>
            </w:r>
          </w:p>
        </w:tc>
        <w:tc>
          <w:tcPr>
            <w:tcW w:w="1523" w:type="dxa"/>
            <w:gridSpan w:val="2"/>
            <w:vAlign w:val="center"/>
          </w:tcPr>
          <w:p w14:paraId="0BB3A823">
            <w:pPr>
              <w:keepNext w:val="0"/>
              <w:keepLines w:val="0"/>
              <w:pageBreakBefore w:val="0"/>
              <w:widowControl/>
              <w:kinsoku/>
              <w:wordWrap/>
              <w:overflowPunct/>
              <w:topLinePunct w:val="0"/>
              <w:autoSpaceDE/>
              <w:autoSpaceDN/>
              <w:bidi w:val="0"/>
              <w:adjustRightInd/>
              <w:snapToGrid/>
              <w:ind w:left="0" w:right="0"/>
              <w:jc w:val="center"/>
              <w:rPr>
                <w:rFonts w:ascii="Times New Roman" w:hAnsi="Times New Roman" w:cs="Times New Roman"/>
                <w:b/>
                <w:bCs/>
                <w:color w:val="auto"/>
                <w:sz w:val="21"/>
                <w:szCs w:val="21"/>
                <w:highlight w:val="none"/>
              </w:rPr>
            </w:pPr>
            <w:r>
              <w:rPr>
                <w:rFonts w:ascii="Times New Roman" w:hAnsi="Times New Roman" w:cs="Times New Roman"/>
                <w:b/>
                <w:bCs/>
                <w:color w:val="auto"/>
                <w:sz w:val="21"/>
                <w:szCs w:val="21"/>
                <w:highlight w:val="none"/>
              </w:rPr>
              <w:t>排放标准</w:t>
            </w:r>
          </w:p>
        </w:tc>
      </w:tr>
      <w:tr w14:paraId="2023A116">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tblHeader/>
          <w:jc w:val="center"/>
        </w:trPr>
        <w:tc>
          <w:tcPr>
            <w:tcW w:w="737" w:type="dxa"/>
            <w:vMerge w:val="continue"/>
            <w:vAlign w:val="center"/>
          </w:tcPr>
          <w:p w14:paraId="7B50596A">
            <w:pPr>
              <w:keepNext w:val="0"/>
              <w:keepLines w:val="0"/>
              <w:pageBreakBefore w:val="0"/>
              <w:widowControl/>
              <w:kinsoku/>
              <w:wordWrap/>
              <w:overflowPunct/>
              <w:topLinePunct w:val="0"/>
              <w:autoSpaceDE/>
              <w:autoSpaceDN/>
              <w:bidi w:val="0"/>
              <w:adjustRightInd/>
              <w:snapToGrid/>
              <w:ind w:left="0" w:right="0"/>
              <w:jc w:val="center"/>
              <w:rPr>
                <w:rFonts w:ascii="Times New Roman" w:hAnsi="Times New Roman" w:cs="Times New Roman"/>
                <w:b/>
                <w:bCs/>
                <w:color w:val="auto"/>
                <w:sz w:val="21"/>
                <w:szCs w:val="21"/>
                <w:highlight w:val="none"/>
              </w:rPr>
            </w:pPr>
          </w:p>
        </w:tc>
        <w:tc>
          <w:tcPr>
            <w:tcW w:w="978" w:type="dxa"/>
            <w:vMerge w:val="continue"/>
            <w:vAlign w:val="center"/>
          </w:tcPr>
          <w:p w14:paraId="38CA004B">
            <w:pPr>
              <w:keepNext w:val="0"/>
              <w:keepLines w:val="0"/>
              <w:pageBreakBefore w:val="0"/>
              <w:widowControl/>
              <w:kinsoku/>
              <w:wordWrap/>
              <w:overflowPunct/>
              <w:topLinePunct w:val="0"/>
              <w:autoSpaceDE/>
              <w:autoSpaceDN/>
              <w:bidi w:val="0"/>
              <w:adjustRightInd/>
              <w:snapToGrid/>
              <w:ind w:left="0" w:right="0"/>
              <w:jc w:val="center"/>
              <w:rPr>
                <w:rFonts w:ascii="Times New Roman" w:hAnsi="Times New Roman" w:cs="Times New Roman"/>
                <w:b/>
                <w:bCs/>
                <w:color w:val="auto"/>
                <w:sz w:val="21"/>
                <w:szCs w:val="21"/>
                <w:highlight w:val="none"/>
              </w:rPr>
            </w:pPr>
          </w:p>
        </w:tc>
        <w:tc>
          <w:tcPr>
            <w:tcW w:w="708" w:type="dxa"/>
            <w:vAlign w:val="center"/>
          </w:tcPr>
          <w:p w14:paraId="5B0B69AF">
            <w:pPr>
              <w:keepNext w:val="0"/>
              <w:keepLines w:val="0"/>
              <w:pageBreakBefore w:val="0"/>
              <w:widowControl/>
              <w:kinsoku/>
              <w:wordWrap/>
              <w:overflowPunct/>
              <w:topLinePunct w:val="0"/>
              <w:autoSpaceDE/>
              <w:autoSpaceDN/>
              <w:bidi w:val="0"/>
              <w:adjustRightInd/>
              <w:snapToGrid/>
              <w:ind w:left="0" w:right="0"/>
              <w:jc w:val="center"/>
              <w:rPr>
                <w:rFonts w:ascii="Times New Roman" w:hAnsi="Times New Roman" w:cs="Times New Roman"/>
                <w:b/>
                <w:bCs/>
                <w:color w:val="auto"/>
                <w:sz w:val="21"/>
                <w:szCs w:val="21"/>
                <w:highlight w:val="none"/>
              </w:rPr>
            </w:pPr>
            <w:r>
              <w:rPr>
                <w:rFonts w:ascii="Times New Roman" w:hAnsi="Times New Roman" w:cs="Times New Roman"/>
                <w:b/>
                <w:bCs/>
                <w:color w:val="auto"/>
                <w:sz w:val="21"/>
                <w:szCs w:val="21"/>
                <w:highlight w:val="none"/>
              </w:rPr>
              <w:t>核算方法</w:t>
            </w:r>
          </w:p>
        </w:tc>
        <w:tc>
          <w:tcPr>
            <w:tcW w:w="834" w:type="dxa"/>
            <w:vAlign w:val="center"/>
          </w:tcPr>
          <w:p w14:paraId="0AC11E18">
            <w:pPr>
              <w:keepNext w:val="0"/>
              <w:keepLines w:val="0"/>
              <w:pageBreakBefore w:val="0"/>
              <w:widowControl/>
              <w:kinsoku/>
              <w:wordWrap/>
              <w:overflowPunct/>
              <w:topLinePunct w:val="0"/>
              <w:autoSpaceDE/>
              <w:autoSpaceDN/>
              <w:bidi w:val="0"/>
              <w:adjustRightInd/>
              <w:snapToGrid/>
              <w:ind w:left="0" w:right="0"/>
              <w:jc w:val="center"/>
              <w:rPr>
                <w:rFonts w:ascii="Times New Roman" w:hAnsi="Times New Roman" w:cs="Times New Roman"/>
                <w:b/>
                <w:bCs/>
                <w:color w:val="auto"/>
                <w:sz w:val="21"/>
                <w:szCs w:val="21"/>
                <w:highlight w:val="none"/>
              </w:rPr>
            </w:pPr>
            <w:r>
              <w:rPr>
                <w:rFonts w:ascii="Times New Roman" w:hAnsi="Times New Roman" w:cs="Times New Roman"/>
                <w:b/>
                <w:bCs/>
                <w:color w:val="auto"/>
                <w:sz w:val="21"/>
                <w:szCs w:val="21"/>
                <w:highlight w:val="none"/>
              </w:rPr>
              <w:t>废气产生量m</w:t>
            </w:r>
            <w:r>
              <w:rPr>
                <w:rFonts w:ascii="Times New Roman" w:hAnsi="Times New Roman" w:cs="Times New Roman"/>
                <w:b/>
                <w:bCs/>
                <w:color w:val="auto"/>
                <w:sz w:val="21"/>
                <w:szCs w:val="21"/>
                <w:highlight w:val="none"/>
                <w:vertAlign w:val="superscript"/>
              </w:rPr>
              <w:t>3</w:t>
            </w:r>
            <w:r>
              <w:rPr>
                <w:rFonts w:ascii="Times New Roman" w:hAnsi="Times New Roman" w:cs="Times New Roman"/>
                <w:b/>
                <w:bCs/>
                <w:color w:val="auto"/>
                <w:sz w:val="21"/>
                <w:szCs w:val="21"/>
                <w:highlight w:val="none"/>
              </w:rPr>
              <w:t>/h</w:t>
            </w:r>
          </w:p>
        </w:tc>
        <w:tc>
          <w:tcPr>
            <w:tcW w:w="834" w:type="dxa"/>
            <w:vAlign w:val="center"/>
          </w:tcPr>
          <w:p w14:paraId="54870541">
            <w:pPr>
              <w:keepNext w:val="0"/>
              <w:keepLines w:val="0"/>
              <w:pageBreakBefore w:val="0"/>
              <w:widowControl/>
              <w:kinsoku/>
              <w:wordWrap/>
              <w:overflowPunct/>
              <w:topLinePunct w:val="0"/>
              <w:autoSpaceDE/>
              <w:autoSpaceDN/>
              <w:bidi w:val="0"/>
              <w:adjustRightInd/>
              <w:snapToGrid/>
              <w:ind w:left="0" w:right="0"/>
              <w:jc w:val="center"/>
              <w:rPr>
                <w:rFonts w:ascii="Times New Roman" w:hAnsi="Times New Roman" w:cs="Times New Roman"/>
                <w:b/>
                <w:bCs/>
                <w:color w:val="auto"/>
                <w:sz w:val="21"/>
                <w:szCs w:val="21"/>
                <w:highlight w:val="none"/>
              </w:rPr>
            </w:pPr>
            <w:r>
              <w:rPr>
                <w:rFonts w:ascii="Times New Roman" w:hAnsi="Times New Roman" w:cs="Times New Roman"/>
                <w:b/>
                <w:bCs/>
                <w:color w:val="auto"/>
                <w:sz w:val="21"/>
                <w:szCs w:val="21"/>
                <w:highlight w:val="none"/>
              </w:rPr>
              <w:t>产生浓度mg/m</w:t>
            </w:r>
            <w:r>
              <w:rPr>
                <w:rFonts w:ascii="Times New Roman" w:hAnsi="Times New Roman" w:cs="Times New Roman"/>
                <w:b/>
                <w:bCs/>
                <w:color w:val="auto"/>
                <w:sz w:val="21"/>
                <w:szCs w:val="21"/>
                <w:highlight w:val="none"/>
                <w:vertAlign w:val="superscript"/>
              </w:rPr>
              <w:t>3</w:t>
            </w:r>
          </w:p>
        </w:tc>
        <w:tc>
          <w:tcPr>
            <w:tcW w:w="834" w:type="dxa"/>
            <w:vAlign w:val="center"/>
          </w:tcPr>
          <w:p w14:paraId="2A578BBD">
            <w:pPr>
              <w:keepNext w:val="0"/>
              <w:keepLines w:val="0"/>
              <w:pageBreakBefore w:val="0"/>
              <w:widowControl/>
              <w:kinsoku/>
              <w:wordWrap/>
              <w:overflowPunct/>
              <w:topLinePunct w:val="0"/>
              <w:autoSpaceDE/>
              <w:autoSpaceDN/>
              <w:bidi w:val="0"/>
              <w:adjustRightInd/>
              <w:snapToGrid/>
              <w:ind w:left="0" w:right="0"/>
              <w:jc w:val="center"/>
              <w:rPr>
                <w:rFonts w:ascii="Times New Roman" w:hAnsi="Times New Roman" w:cs="Times New Roman"/>
                <w:b/>
                <w:bCs/>
                <w:color w:val="auto"/>
                <w:sz w:val="21"/>
                <w:szCs w:val="21"/>
                <w:highlight w:val="none"/>
              </w:rPr>
            </w:pPr>
            <w:r>
              <w:rPr>
                <w:rFonts w:ascii="Times New Roman" w:hAnsi="Times New Roman" w:cs="Times New Roman"/>
                <w:b/>
                <w:bCs/>
                <w:color w:val="auto"/>
                <w:sz w:val="21"/>
                <w:szCs w:val="21"/>
                <w:highlight w:val="none"/>
              </w:rPr>
              <w:t>产生速率kg/h</w:t>
            </w:r>
          </w:p>
        </w:tc>
        <w:tc>
          <w:tcPr>
            <w:tcW w:w="834" w:type="dxa"/>
            <w:vAlign w:val="center"/>
          </w:tcPr>
          <w:p w14:paraId="6AE89C12">
            <w:pPr>
              <w:keepNext w:val="0"/>
              <w:keepLines w:val="0"/>
              <w:pageBreakBefore w:val="0"/>
              <w:widowControl/>
              <w:kinsoku/>
              <w:wordWrap/>
              <w:overflowPunct/>
              <w:topLinePunct w:val="0"/>
              <w:autoSpaceDE/>
              <w:autoSpaceDN/>
              <w:bidi w:val="0"/>
              <w:adjustRightInd/>
              <w:snapToGrid/>
              <w:ind w:left="0" w:right="0"/>
              <w:jc w:val="center"/>
              <w:rPr>
                <w:rFonts w:ascii="Times New Roman" w:hAnsi="Times New Roman" w:cs="Times New Roman"/>
                <w:b/>
                <w:bCs/>
                <w:color w:val="auto"/>
                <w:sz w:val="21"/>
                <w:szCs w:val="21"/>
                <w:highlight w:val="none"/>
              </w:rPr>
            </w:pPr>
            <w:r>
              <w:rPr>
                <w:rFonts w:ascii="Times New Roman" w:hAnsi="Times New Roman" w:cs="Times New Roman"/>
                <w:b/>
                <w:bCs/>
                <w:color w:val="auto"/>
                <w:sz w:val="21"/>
                <w:szCs w:val="21"/>
                <w:highlight w:val="none"/>
              </w:rPr>
              <w:t>产生量t/a</w:t>
            </w:r>
          </w:p>
        </w:tc>
        <w:tc>
          <w:tcPr>
            <w:tcW w:w="1106" w:type="dxa"/>
            <w:vAlign w:val="center"/>
          </w:tcPr>
          <w:p w14:paraId="7C98937E">
            <w:pPr>
              <w:keepNext w:val="0"/>
              <w:keepLines w:val="0"/>
              <w:pageBreakBefore w:val="0"/>
              <w:widowControl/>
              <w:kinsoku/>
              <w:wordWrap/>
              <w:overflowPunct/>
              <w:topLinePunct w:val="0"/>
              <w:autoSpaceDE/>
              <w:autoSpaceDN/>
              <w:bidi w:val="0"/>
              <w:adjustRightInd/>
              <w:snapToGrid/>
              <w:ind w:left="0" w:right="0"/>
              <w:jc w:val="center"/>
              <w:rPr>
                <w:rFonts w:ascii="Times New Roman" w:hAnsi="Times New Roman" w:cs="Times New Roman"/>
                <w:b/>
                <w:bCs/>
                <w:color w:val="auto"/>
                <w:sz w:val="21"/>
                <w:szCs w:val="21"/>
                <w:highlight w:val="none"/>
              </w:rPr>
            </w:pPr>
            <w:r>
              <w:rPr>
                <w:rFonts w:ascii="Times New Roman" w:hAnsi="Times New Roman" w:cs="Times New Roman"/>
                <w:b/>
                <w:bCs/>
                <w:color w:val="auto"/>
                <w:sz w:val="21"/>
                <w:szCs w:val="21"/>
                <w:highlight w:val="none"/>
              </w:rPr>
              <w:t>工艺</w:t>
            </w:r>
          </w:p>
        </w:tc>
        <w:tc>
          <w:tcPr>
            <w:tcW w:w="642" w:type="dxa"/>
            <w:vAlign w:val="center"/>
          </w:tcPr>
          <w:p w14:paraId="137EBBF3">
            <w:pPr>
              <w:keepNext w:val="0"/>
              <w:keepLines w:val="0"/>
              <w:pageBreakBefore w:val="0"/>
              <w:widowControl/>
              <w:kinsoku/>
              <w:wordWrap/>
              <w:overflowPunct/>
              <w:topLinePunct w:val="0"/>
              <w:autoSpaceDE/>
              <w:autoSpaceDN/>
              <w:bidi w:val="0"/>
              <w:adjustRightInd/>
              <w:snapToGrid/>
              <w:ind w:left="0" w:right="0"/>
              <w:jc w:val="center"/>
              <w:rPr>
                <w:rFonts w:ascii="Times New Roman" w:hAnsi="Times New Roman" w:cs="Times New Roman"/>
                <w:b/>
                <w:bCs/>
                <w:color w:val="auto"/>
                <w:sz w:val="21"/>
                <w:szCs w:val="21"/>
                <w:highlight w:val="none"/>
              </w:rPr>
            </w:pPr>
            <w:r>
              <w:rPr>
                <w:rFonts w:ascii="Times New Roman" w:hAnsi="Times New Roman" w:cs="Times New Roman"/>
                <w:b/>
                <w:bCs/>
                <w:color w:val="auto"/>
                <w:sz w:val="21"/>
                <w:szCs w:val="21"/>
                <w:highlight w:val="none"/>
              </w:rPr>
              <w:t>去除率%</w:t>
            </w:r>
          </w:p>
        </w:tc>
        <w:tc>
          <w:tcPr>
            <w:tcW w:w="890" w:type="dxa"/>
            <w:vAlign w:val="center"/>
          </w:tcPr>
          <w:p w14:paraId="46E56713">
            <w:pPr>
              <w:keepNext w:val="0"/>
              <w:keepLines w:val="0"/>
              <w:pageBreakBefore w:val="0"/>
              <w:widowControl/>
              <w:kinsoku/>
              <w:wordWrap/>
              <w:overflowPunct/>
              <w:topLinePunct w:val="0"/>
              <w:autoSpaceDE/>
              <w:autoSpaceDN/>
              <w:bidi w:val="0"/>
              <w:adjustRightInd/>
              <w:snapToGrid/>
              <w:ind w:left="0" w:right="0"/>
              <w:jc w:val="center"/>
              <w:rPr>
                <w:rFonts w:ascii="Times New Roman" w:hAnsi="Times New Roman" w:cs="Times New Roman"/>
                <w:b/>
                <w:bCs/>
                <w:color w:val="auto"/>
                <w:sz w:val="21"/>
                <w:szCs w:val="21"/>
                <w:highlight w:val="none"/>
              </w:rPr>
            </w:pPr>
            <w:r>
              <w:rPr>
                <w:rFonts w:ascii="Times New Roman" w:hAnsi="Times New Roman" w:cs="Times New Roman"/>
                <w:b/>
                <w:bCs/>
                <w:color w:val="auto"/>
                <w:sz w:val="21"/>
                <w:szCs w:val="21"/>
                <w:highlight w:val="none"/>
              </w:rPr>
              <w:t>核算方法</w:t>
            </w:r>
          </w:p>
        </w:tc>
        <w:tc>
          <w:tcPr>
            <w:tcW w:w="890" w:type="dxa"/>
            <w:vAlign w:val="center"/>
          </w:tcPr>
          <w:p w14:paraId="0A3334FA">
            <w:pPr>
              <w:keepNext w:val="0"/>
              <w:keepLines w:val="0"/>
              <w:pageBreakBefore w:val="0"/>
              <w:widowControl/>
              <w:kinsoku/>
              <w:wordWrap/>
              <w:overflowPunct/>
              <w:topLinePunct w:val="0"/>
              <w:autoSpaceDE/>
              <w:autoSpaceDN/>
              <w:bidi w:val="0"/>
              <w:adjustRightInd/>
              <w:snapToGrid/>
              <w:ind w:left="0" w:right="0"/>
              <w:jc w:val="center"/>
              <w:rPr>
                <w:rFonts w:ascii="Times New Roman" w:hAnsi="Times New Roman" w:cs="Times New Roman"/>
                <w:b/>
                <w:bCs/>
                <w:color w:val="auto"/>
                <w:sz w:val="21"/>
                <w:szCs w:val="21"/>
                <w:highlight w:val="none"/>
              </w:rPr>
            </w:pPr>
            <w:r>
              <w:rPr>
                <w:rFonts w:ascii="Times New Roman" w:hAnsi="Times New Roman" w:cs="Times New Roman"/>
                <w:b/>
                <w:bCs/>
                <w:color w:val="auto"/>
                <w:sz w:val="21"/>
                <w:szCs w:val="21"/>
                <w:highlight w:val="none"/>
              </w:rPr>
              <w:t>排放浓度mg/m</w:t>
            </w:r>
            <w:r>
              <w:rPr>
                <w:rFonts w:ascii="Times New Roman" w:hAnsi="Times New Roman" w:cs="Times New Roman"/>
                <w:b/>
                <w:bCs/>
                <w:color w:val="auto"/>
                <w:sz w:val="21"/>
                <w:szCs w:val="21"/>
                <w:highlight w:val="none"/>
                <w:vertAlign w:val="superscript"/>
              </w:rPr>
              <w:t>3</w:t>
            </w:r>
          </w:p>
        </w:tc>
        <w:tc>
          <w:tcPr>
            <w:tcW w:w="890" w:type="dxa"/>
            <w:vAlign w:val="center"/>
          </w:tcPr>
          <w:p w14:paraId="587E9B63">
            <w:pPr>
              <w:keepNext w:val="0"/>
              <w:keepLines w:val="0"/>
              <w:pageBreakBefore w:val="0"/>
              <w:widowControl/>
              <w:kinsoku/>
              <w:wordWrap/>
              <w:overflowPunct/>
              <w:topLinePunct w:val="0"/>
              <w:autoSpaceDE/>
              <w:autoSpaceDN/>
              <w:bidi w:val="0"/>
              <w:adjustRightInd/>
              <w:snapToGrid/>
              <w:ind w:left="0" w:right="0"/>
              <w:jc w:val="center"/>
              <w:rPr>
                <w:rFonts w:ascii="Times New Roman" w:hAnsi="Times New Roman" w:cs="Times New Roman"/>
                <w:b/>
                <w:bCs/>
                <w:color w:val="auto"/>
                <w:sz w:val="21"/>
                <w:szCs w:val="21"/>
                <w:highlight w:val="none"/>
              </w:rPr>
            </w:pPr>
            <w:r>
              <w:rPr>
                <w:rFonts w:ascii="Times New Roman" w:hAnsi="Times New Roman" w:cs="Times New Roman"/>
                <w:b/>
                <w:bCs/>
                <w:color w:val="auto"/>
                <w:sz w:val="21"/>
                <w:szCs w:val="21"/>
                <w:highlight w:val="none"/>
              </w:rPr>
              <w:t>排放速率kg/h</w:t>
            </w:r>
          </w:p>
        </w:tc>
        <w:tc>
          <w:tcPr>
            <w:tcW w:w="805" w:type="dxa"/>
            <w:vAlign w:val="center"/>
          </w:tcPr>
          <w:p w14:paraId="1D3323FB">
            <w:pPr>
              <w:keepNext w:val="0"/>
              <w:keepLines w:val="0"/>
              <w:pageBreakBefore w:val="0"/>
              <w:widowControl/>
              <w:kinsoku/>
              <w:wordWrap/>
              <w:overflowPunct/>
              <w:topLinePunct w:val="0"/>
              <w:autoSpaceDE/>
              <w:autoSpaceDN/>
              <w:bidi w:val="0"/>
              <w:adjustRightInd/>
              <w:snapToGrid/>
              <w:ind w:left="0" w:right="0"/>
              <w:jc w:val="center"/>
              <w:rPr>
                <w:rFonts w:ascii="Times New Roman" w:hAnsi="Times New Roman" w:cs="Times New Roman"/>
                <w:b/>
                <w:bCs/>
                <w:color w:val="auto"/>
                <w:sz w:val="21"/>
                <w:szCs w:val="21"/>
                <w:highlight w:val="none"/>
              </w:rPr>
            </w:pPr>
            <w:r>
              <w:rPr>
                <w:rFonts w:ascii="Times New Roman" w:hAnsi="Times New Roman" w:cs="Times New Roman"/>
                <w:b/>
                <w:bCs/>
                <w:color w:val="auto"/>
                <w:sz w:val="21"/>
                <w:szCs w:val="21"/>
                <w:highlight w:val="none"/>
              </w:rPr>
              <w:t>排放量t/a</w:t>
            </w:r>
          </w:p>
        </w:tc>
        <w:tc>
          <w:tcPr>
            <w:tcW w:w="706" w:type="dxa"/>
            <w:vMerge w:val="continue"/>
            <w:vAlign w:val="center"/>
          </w:tcPr>
          <w:p w14:paraId="35A97F04">
            <w:pPr>
              <w:keepNext w:val="0"/>
              <w:keepLines w:val="0"/>
              <w:pageBreakBefore w:val="0"/>
              <w:widowControl/>
              <w:kinsoku/>
              <w:wordWrap/>
              <w:overflowPunct/>
              <w:topLinePunct w:val="0"/>
              <w:autoSpaceDE/>
              <w:autoSpaceDN/>
              <w:bidi w:val="0"/>
              <w:adjustRightInd/>
              <w:snapToGrid/>
              <w:ind w:left="0" w:right="0"/>
              <w:jc w:val="center"/>
              <w:rPr>
                <w:rFonts w:ascii="Times New Roman" w:hAnsi="Times New Roman" w:cs="Times New Roman"/>
                <w:b/>
                <w:bCs/>
                <w:color w:val="auto"/>
                <w:sz w:val="21"/>
                <w:szCs w:val="21"/>
                <w:highlight w:val="none"/>
              </w:rPr>
            </w:pPr>
          </w:p>
        </w:tc>
        <w:tc>
          <w:tcPr>
            <w:tcW w:w="840" w:type="dxa"/>
            <w:vMerge w:val="continue"/>
            <w:vAlign w:val="center"/>
          </w:tcPr>
          <w:p w14:paraId="5849D86B">
            <w:pPr>
              <w:keepNext w:val="0"/>
              <w:keepLines w:val="0"/>
              <w:pageBreakBefore w:val="0"/>
              <w:widowControl/>
              <w:kinsoku/>
              <w:wordWrap/>
              <w:overflowPunct/>
              <w:topLinePunct w:val="0"/>
              <w:autoSpaceDE/>
              <w:autoSpaceDN/>
              <w:bidi w:val="0"/>
              <w:adjustRightInd/>
              <w:snapToGrid/>
              <w:ind w:left="0" w:right="0"/>
              <w:jc w:val="center"/>
              <w:rPr>
                <w:rFonts w:ascii="Times New Roman" w:hAnsi="Times New Roman" w:cs="Times New Roman"/>
                <w:b/>
                <w:bCs/>
                <w:color w:val="auto"/>
                <w:sz w:val="21"/>
                <w:szCs w:val="21"/>
                <w:highlight w:val="none"/>
              </w:rPr>
            </w:pPr>
          </w:p>
        </w:tc>
        <w:tc>
          <w:tcPr>
            <w:tcW w:w="855" w:type="dxa"/>
            <w:vAlign w:val="center"/>
          </w:tcPr>
          <w:p w14:paraId="6C82CA63">
            <w:pPr>
              <w:keepNext w:val="0"/>
              <w:keepLines w:val="0"/>
              <w:pageBreakBefore w:val="0"/>
              <w:widowControl/>
              <w:kinsoku/>
              <w:wordWrap/>
              <w:overflowPunct/>
              <w:topLinePunct w:val="0"/>
              <w:autoSpaceDE/>
              <w:autoSpaceDN/>
              <w:bidi w:val="0"/>
              <w:adjustRightInd/>
              <w:snapToGrid/>
              <w:ind w:left="0" w:right="0"/>
              <w:jc w:val="center"/>
              <w:rPr>
                <w:rFonts w:ascii="Times New Roman" w:hAnsi="Times New Roman" w:cs="Times New Roman"/>
                <w:b/>
                <w:bCs/>
                <w:color w:val="auto"/>
                <w:sz w:val="21"/>
                <w:szCs w:val="21"/>
                <w:highlight w:val="none"/>
              </w:rPr>
            </w:pPr>
            <w:r>
              <w:rPr>
                <w:rFonts w:ascii="Times New Roman" w:hAnsi="Times New Roman" w:cs="Times New Roman"/>
                <w:b/>
                <w:bCs/>
                <w:color w:val="auto"/>
                <w:sz w:val="21"/>
                <w:szCs w:val="21"/>
                <w:highlight w:val="none"/>
              </w:rPr>
              <w:t>浓度mg/m</w:t>
            </w:r>
            <w:r>
              <w:rPr>
                <w:rFonts w:ascii="Times New Roman" w:hAnsi="Times New Roman" w:cs="Times New Roman"/>
                <w:b/>
                <w:bCs/>
                <w:color w:val="auto"/>
                <w:sz w:val="21"/>
                <w:szCs w:val="21"/>
                <w:highlight w:val="none"/>
                <w:vertAlign w:val="superscript"/>
              </w:rPr>
              <w:t>3</w:t>
            </w:r>
          </w:p>
        </w:tc>
        <w:tc>
          <w:tcPr>
            <w:tcW w:w="668" w:type="dxa"/>
            <w:vAlign w:val="center"/>
          </w:tcPr>
          <w:p w14:paraId="52ED47AC">
            <w:pPr>
              <w:keepNext w:val="0"/>
              <w:keepLines w:val="0"/>
              <w:pageBreakBefore w:val="0"/>
              <w:widowControl/>
              <w:kinsoku/>
              <w:wordWrap/>
              <w:overflowPunct/>
              <w:topLinePunct w:val="0"/>
              <w:autoSpaceDE/>
              <w:autoSpaceDN/>
              <w:bidi w:val="0"/>
              <w:adjustRightInd/>
              <w:snapToGrid/>
              <w:ind w:left="0" w:right="0"/>
              <w:jc w:val="center"/>
              <w:rPr>
                <w:b/>
                <w:bCs/>
                <w:color w:val="auto"/>
                <w:sz w:val="21"/>
                <w:szCs w:val="21"/>
                <w:highlight w:val="none"/>
              </w:rPr>
            </w:pPr>
            <w:r>
              <w:rPr>
                <w:rFonts w:hint="eastAsia"/>
                <w:b/>
                <w:bCs/>
                <w:color w:val="auto"/>
                <w:sz w:val="21"/>
                <w:szCs w:val="21"/>
                <w:highlight w:val="none"/>
              </w:rPr>
              <w:t>速率</w:t>
            </w:r>
            <w:r>
              <w:rPr>
                <w:rFonts w:ascii="Times New Roman" w:hAnsi="Times New Roman" w:cs="Times New Roman"/>
                <w:b/>
                <w:bCs/>
                <w:color w:val="auto"/>
                <w:sz w:val="21"/>
                <w:szCs w:val="21"/>
                <w:highlight w:val="none"/>
              </w:rPr>
              <w:t>kg/h</w:t>
            </w:r>
          </w:p>
        </w:tc>
      </w:tr>
      <w:tr w14:paraId="4C231CF4">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737" w:type="dxa"/>
            <w:shd w:val="clear" w:color="auto" w:fill="auto"/>
            <w:vAlign w:val="center"/>
          </w:tcPr>
          <w:p w14:paraId="4F61F0C2">
            <w:pPr>
              <w:keepNext w:val="0"/>
              <w:keepLines w:val="0"/>
              <w:pageBreakBefore w:val="0"/>
              <w:widowControl/>
              <w:kinsoku/>
              <w:wordWrap/>
              <w:overflowPunct/>
              <w:topLinePunct w:val="0"/>
              <w:autoSpaceDE/>
              <w:autoSpaceDN/>
              <w:bidi w:val="0"/>
              <w:adjustRightInd/>
              <w:snapToGrid/>
              <w:ind w:left="0" w:right="0"/>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生产工艺</w:t>
            </w:r>
          </w:p>
        </w:tc>
        <w:tc>
          <w:tcPr>
            <w:tcW w:w="978" w:type="dxa"/>
            <w:shd w:val="clear" w:color="auto" w:fill="auto"/>
            <w:vAlign w:val="center"/>
          </w:tcPr>
          <w:p w14:paraId="42F75E2F">
            <w:pPr>
              <w:keepNext w:val="0"/>
              <w:keepLines w:val="0"/>
              <w:pageBreakBefore w:val="0"/>
              <w:widowControl/>
              <w:kinsoku/>
              <w:wordWrap/>
              <w:overflowPunct/>
              <w:topLinePunct w:val="0"/>
              <w:autoSpaceDE/>
              <w:autoSpaceDN/>
              <w:bidi w:val="0"/>
              <w:adjustRightInd/>
              <w:snapToGrid/>
              <w:ind w:left="0" w:right="0"/>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非甲烷总烃</w:t>
            </w:r>
          </w:p>
        </w:tc>
        <w:tc>
          <w:tcPr>
            <w:tcW w:w="708" w:type="dxa"/>
            <w:shd w:val="clear" w:color="auto" w:fill="auto"/>
            <w:vAlign w:val="center"/>
          </w:tcPr>
          <w:p w14:paraId="329DB636">
            <w:pPr>
              <w:keepNext w:val="0"/>
              <w:keepLines w:val="0"/>
              <w:pageBreakBefore w:val="0"/>
              <w:widowControl/>
              <w:kinsoku/>
              <w:wordWrap/>
              <w:overflowPunct/>
              <w:topLinePunct w:val="0"/>
              <w:autoSpaceDE/>
              <w:autoSpaceDN/>
              <w:bidi w:val="0"/>
              <w:adjustRightInd/>
              <w:snapToGrid/>
              <w:ind w:left="0" w:right="0"/>
              <w:jc w:val="center"/>
              <w:rPr>
                <w:rFonts w:ascii="Times New Roman" w:hAnsi="Times New Roman" w:cs="Times New Roman"/>
                <w:color w:val="auto"/>
                <w:sz w:val="21"/>
                <w:szCs w:val="21"/>
                <w:highlight w:val="none"/>
              </w:rPr>
            </w:pPr>
            <w:r>
              <w:rPr>
                <w:rFonts w:hint="eastAsia"/>
                <w:color w:val="auto"/>
                <w:sz w:val="21"/>
                <w:szCs w:val="21"/>
                <w:highlight w:val="none"/>
              </w:rPr>
              <w:t>类比法</w:t>
            </w:r>
          </w:p>
        </w:tc>
        <w:tc>
          <w:tcPr>
            <w:tcW w:w="834" w:type="dxa"/>
            <w:shd w:val="clear" w:color="auto" w:fill="auto"/>
            <w:vAlign w:val="center"/>
          </w:tcPr>
          <w:p w14:paraId="1CA23FF0">
            <w:pPr>
              <w:keepNext w:val="0"/>
              <w:keepLines w:val="0"/>
              <w:pageBreakBefore w:val="0"/>
              <w:widowControl/>
              <w:kinsoku/>
              <w:wordWrap/>
              <w:overflowPunct/>
              <w:topLinePunct w:val="0"/>
              <w:autoSpaceDE/>
              <w:autoSpaceDN/>
              <w:bidi w:val="0"/>
              <w:adjustRightInd/>
              <w:snapToGrid/>
              <w:ind w:left="0" w:right="0"/>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20000</w:t>
            </w:r>
          </w:p>
        </w:tc>
        <w:tc>
          <w:tcPr>
            <w:tcW w:w="834" w:type="dxa"/>
            <w:shd w:val="clear" w:color="auto" w:fill="auto"/>
            <w:vAlign w:val="center"/>
          </w:tcPr>
          <w:p w14:paraId="1FFEC762">
            <w:pPr>
              <w:keepNext w:val="0"/>
              <w:keepLines w:val="0"/>
              <w:pageBreakBefore w:val="0"/>
              <w:widowControl/>
              <w:suppressLineNumbers w:val="0"/>
              <w:kinsoku/>
              <w:wordWrap/>
              <w:overflowPunct/>
              <w:topLinePunct w:val="0"/>
              <w:autoSpaceDE/>
              <w:autoSpaceDN/>
              <w:bidi w:val="0"/>
              <w:adjustRightInd/>
              <w:snapToGrid/>
              <w:ind w:left="0" w:right="0"/>
              <w:jc w:val="center"/>
              <w:textAlignment w:val="center"/>
              <w:rPr>
                <w:rFonts w:ascii="Times New Roman" w:hAnsi="Times New Roman" w:cs="Times New Roman"/>
                <w:color w:val="auto"/>
                <w:sz w:val="21"/>
                <w:szCs w:val="21"/>
                <w:highlight w:val="none"/>
              </w:rPr>
            </w:pPr>
            <w:r>
              <w:rPr>
                <w:rFonts w:hint="default" w:ascii="Times New Roman" w:hAnsi="Times New Roman" w:eastAsia="等线" w:cs="Times New Roman"/>
                <w:i w:val="0"/>
                <w:iCs w:val="0"/>
                <w:color w:val="auto"/>
                <w:kern w:val="0"/>
                <w:sz w:val="21"/>
                <w:szCs w:val="21"/>
                <w:highlight w:val="none"/>
                <w:u w:val="none"/>
                <w:lang w:val="en-US" w:eastAsia="zh-CN" w:bidi="ar"/>
              </w:rPr>
              <w:t>28.8488</w:t>
            </w:r>
          </w:p>
        </w:tc>
        <w:tc>
          <w:tcPr>
            <w:tcW w:w="834" w:type="dxa"/>
            <w:shd w:val="clear" w:color="auto" w:fill="auto"/>
            <w:vAlign w:val="center"/>
          </w:tcPr>
          <w:p w14:paraId="2B8B4063">
            <w:pPr>
              <w:keepNext w:val="0"/>
              <w:keepLines w:val="0"/>
              <w:pageBreakBefore w:val="0"/>
              <w:widowControl/>
              <w:suppressLineNumbers w:val="0"/>
              <w:kinsoku/>
              <w:wordWrap/>
              <w:overflowPunct/>
              <w:topLinePunct w:val="0"/>
              <w:autoSpaceDE/>
              <w:autoSpaceDN/>
              <w:bidi w:val="0"/>
              <w:adjustRightInd/>
              <w:snapToGrid/>
              <w:ind w:left="0" w:right="0"/>
              <w:jc w:val="center"/>
              <w:textAlignment w:val="center"/>
              <w:rPr>
                <w:rFonts w:ascii="Times New Roman" w:hAnsi="Times New Roman" w:cs="Times New Roman"/>
                <w:color w:val="auto"/>
                <w:sz w:val="21"/>
                <w:szCs w:val="21"/>
                <w:highlight w:val="none"/>
              </w:rPr>
            </w:pPr>
            <w:r>
              <w:rPr>
                <w:rFonts w:hint="default" w:ascii="Times New Roman" w:hAnsi="Times New Roman" w:eastAsia="等线" w:cs="Times New Roman"/>
                <w:i w:val="0"/>
                <w:iCs w:val="0"/>
                <w:color w:val="auto"/>
                <w:kern w:val="0"/>
                <w:sz w:val="21"/>
                <w:szCs w:val="21"/>
                <w:highlight w:val="none"/>
                <w:u w:val="none"/>
                <w:lang w:val="en-US" w:eastAsia="zh-CN" w:bidi="ar"/>
              </w:rPr>
              <w:t>0.5770</w:t>
            </w:r>
          </w:p>
        </w:tc>
        <w:tc>
          <w:tcPr>
            <w:tcW w:w="834" w:type="dxa"/>
            <w:shd w:val="clear" w:color="auto" w:fill="auto"/>
            <w:vAlign w:val="center"/>
          </w:tcPr>
          <w:p w14:paraId="7C4697F1">
            <w:pPr>
              <w:keepNext w:val="0"/>
              <w:keepLines w:val="0"/>
              <w:pageBreakBefore w:val="0"/>
              <w:widowControl/>
              <w:suppressLineNumbers w:val="0"/>
              <w:kinsoku/>
              <w:wordWrap/>
              <w:overflowPunct/>
              <w:topLinePunct w:val="0"/>
              <w:autoSpaceDE/>
              <w:autoSpaceDN/>
              <w:bidi w:val="0"/>
              <w:adjustRightInd/>
              <w:snapToGrid/>
              <w:ind w:left="0" w:right="0"/>
              <w:jc w:val="center"/>
              <w:textAlignment w:val="center"/>
              <w:rPr>
                <w:rFonts w:ascii="Times New Roman" w:hAnsi="Times New Roman" w:cs="Times New Roman"/>
                <w:color w:val="auto"/>
                <w:sz w:val="21"/>
                <w:szCs w:val="21"/>
                <w:highlight w:val="none"/>
              </w:rPr>
            </w:pPr>
            <w:r>
              <w:rPr>
                <w:rFonts w:hint="default" w:ascii="Times New Roman" w:hAnsi="Times New Roman" w:eastAsia="等线" w:cs="Times New Roman"/>
                <w:i w:val="0"/>
                <w:iCs w:val="0"/>
                <w:color w:val="auto"/>
                <w:kern w:val="0"/>
                <w:sz w:val="21"/>
                <w:szCs w:val="21"/>
                <w:highlight w:val="none"/>
                <w:u w:val="none"/>
                <w:lang w:val="en-US" w:eastAsia="zh-CN" w:bidi="ar"/>
              </w:rPr>
              <w:t>1.1540</w:t>
            </w:r>
          </w:p>
        </w:tc>
        <w:tc>
          <w:tcPr>
            <w:tcW w:w="1106" w:type="dxa"/>
            <w:shd w:val="clear" w:color="auto" w:fill="auto"/>
            <w:vAlign w:val="center"/>
          </w:tcPr>
          <w:p w14:paraId="3D797D8B">
            <w:pPr>
              <w:keepNext w:val="0"/>
              <w:keepLines w:val="0"/>
              <w:pageBreakBefore w:val="0"/>
              <w:widowControl/>
              <w:kinsoku/>
              <w:wordWrap/>
              <w:overflowPunct/>
              <w:topLinePunct w:val="0"/>
              <w:autoSpaceDE/>
              <w:autoSpaceDN/>
              <w:bidi w:val="0"/>
              <w:adjustRightInd/>
              <w:snapToGrid/>
              <w:ind w:left="0" w:right="0"/>
              <w:jc w:val="center"/>
              <w:rPr>
                <w:rFonts w:ascii="Times New Roman" w:hAnsi="Times New Roman" w:cs="Times New Roman"/>
                <w:color w:val="auto"/>
                <w:sz w:val="21"/>
                <w:szCs w:val="21"/>
                <w:highlight w:val="none"/>
              </w:rPr>
            </w:pPr>
            <w:r>
              <w:rPr>
                <w:rFonts w:hint="eastAsia" w:ascii="Times New Roman" w:hAnsi="Times New Roman"/>
                <w:color w:val="auto"/>
                <w:sz w:val="21"/>
                <w:szCs w:val="21"/>
                <w:highlight w:val="none"/>
              </w:rPr>
              <w:t>3级碱液喷淋+二级活性炭吸附</w:t>
            </w:r>
          </w:p>
        </w:tc>
        <w:tc>
          <w:tcPr>
            <w:tcW w:w="642" w:type="dxa"/>
            <w:shd w:val="clear" w:color="auto" w:fill="auto"/>
            <w:vAlign w:val="center"/>
          </w:tcPr>
          <w:p w14:paraId="664EDB18">
            <w:pPr>
              <w:keepNext w:val="0"/>
              <w:keepLines w:val="0"/>
              <w:pageBreakBefore w:val="0"/>
              <w:widowControl/>
              <w:kinsoku/>
              <w:wordWrap/>
              <w:overflowPunct/>
              <w:topLinePunct w:val="0"/>
              <w:autoSpaceDE/>
              <w:autoSpaceDN/>
              <w:bidi w:val="0"/>
              <w:adjustRightInd/>
              <w:snapToGrid/>
              <w:ind w:left="0" w:right="0"/>
              <w:jc w:val="center"/>
              <w:rPr>
                <w:rFonts w:ascii="Times New Roman" w:hAnsi="Times New Roman" w:cs="Times New Roman"/>
                <w:color w:val="auto"/>
                <w:sz w:val="21"/>
                <w:szCs w:val="21"/>
                <w:highlight w:val="none"/>
              </w:rPr>
            </w:pPr>
            <w:r>
              <w:rPr>
                <w:rFonts w:hint="eastAsia" w:ascii="Times New Roman" w:hAnsi="Times New Roman" w:eastAsia="等线" w:cs="Times New Roman"/>
                <w:color w:val="auto"/>
                <w:sz w:val="21"/>
                <w:szCs w:val="21"/>
                <w:highlight w:val="none"/>
              </w:rPr>
              <w:t>90</w:t>
            </w:r>
          </w:p>
        </w:tc>
        <w:tc>
          <w:tcPr>
            <w:tcW w:w="890" w:type="dxa"/>
            <w:shd w:val="clear" w:color="auto" w:fill="auto"/>
            <w:vAlign w:val="center"/>
          </w:tcPr>
          <w:p w14:paraId="791630C2">
            <w:pPr>
              <w:keepNext w:val="0"/>
              <w:keepLines w:val="0"/>
              <w:pageBreakBefore w:val="0"/>
              <w:widowControl/>
              <w:kinsoku/>
              <w:wordWrap/>
              <w:overflowPunct/>
              <w:topLinePunct w:val="0"/>
              <w:autoSpaceDE/>
              <w:autoSpaceDN/>
              <w:bidi w:val="0"/>
              <w:adjustRightInd/>
              <w:snapToGrid/>
              <w:ind w:left="0" w:right="0"/>
              <w:jc w:val="center"/>
              <w:rPr>
                <w:rFonts w:ascii="Times New Roman" w:hAnsi="Times New Roman" w:cs="Times New Roman"/>
                <w:color w:val="auto"/>
                <w:sz w:val="21"/>
                <w:szCs w:val="21"/>
                <w:highlight w:val="none"/>
              </w:rPr>
            </w:pPr>
            <w:r>
              <w:rPr>
                <w:rFonts w:hint="eastAsia"/>
                <w:color w:val="auto"/>
                <w:sz w:val="21"/>
                <w:szCs w:val="21"/>
                <w:highlight w:val="none"/>
              </w:rPr>
              <w:t>类比法</w:t>
            </w:r>
          </w:p>
        </w:tc>
        <w:tc>
          <w:tcPr>
            <w:tcW w:w="890" w:type="dxa"/>
            <w:shd w:val="clear" w:color="auto" w:fill="auto"/>
            <w:vAlign w:val="center"/>
          </w:tcPr>
          <w:p w14:paraId="62490C8D">
            <w:pPr>
              <w:keepNext w:val="0"/>
              <w:keepLines w:val="0"/>
              <w:widowControl/>
              <w:suppressLineNumbers w:val="0"/>
              <w:jc w:val="center"/>
              <w:textAlignment w:val="center"/>
              <w:rPr>
                <w:rFonts w:ascii="Times New Roman" w:hAnsi="Times New Roman" w:cs="Times New Roman"/>
                <w:color w:val="auto"/>
                <w:sz w:val="21"/>
                <w:szCs w:val="21"/>
                <w:highlight w:val="none"/>
              </w:rPr>
            </w:pPr>
            <w:r>
              <w:rPr>
                <w:rFonts w:hint="default" w:ascii="Times New Roman" w:hAnsi="Times New Roman" w:eastAsia="等线" w:cs="Times New Roman"/>
                <w:i w:val="0"/>
                <w:iCs w:val="0"/>
                <w:color w:val="auto"/>
                <w:kern w:val="0"/>
                <w:sz w:val="21"/>
                <w:szCs w:val="21"/>
                <w:highlight w:val="none"/>
                <w:u w:val="none"/>
                <w:lang w:val="en-US" w:eastAsia="zh-CN" w:bidi="ar"/>
              </w:rPr>
              <w:t>2.8849</w:t>
            </w:r>
          </w:p>
        </w:tc>
        <w:tc>
          <w:tcPr>
            <w:tcW w:w="890" w:type="dxa"/>
            <w:shd w:val="clear" w:color="auto" w:fill="auto"/>
            <w:vAlign w:val="center"/>
          </w:tcPr>
          <w:p w14:paraId="43D3175D">
            <w:pPr>
              <w:keepNext w:val="0"/>
              <w:keepLines w:val="0"/>
              <w:widowControl/>
              <w:suppressLineNumbers w:val="0"/>
              <w:jc w:val="center"/>
              <w:textAlignment w:val="center"/>
              <w:rPr>
                <w:rFonts w:ascii="Times New Roman" w:hAnsi="Times New Roman" w:cs="Times New Roman"/>
                <w:color w:val="auto"/>
                <w:sz w:val="21"/>
                <w:szCs w:val="21"/>
                <w:highlight w:val="none"/>
              </w:rPr>
            </w:pPr>
            <w:r>
              <w:rPr>
                <w:rFonts w:hint="default" w:ascii="Times New Roman" w:hAnsi="Times New Roman" w:eastAsia="等线" w:cs="Times New Roman"/>
                <w:i w:val="0"/>
                <w:iCs w:val="0"/>
                <w:color w:val="auto"/>
                <w:kern w:val="0"/>
                <w:sz w:val="21"/>
                <w:szCs w:val="21"/>
                <w:highlight w:val="none"/>
                <w:u w:val="none"/>
                <w:lang w:val="en-US" w:eastAsia="zh-CN" w:bidi="ar"/>
              </w:rPr>
              <w:t>0.0577</w:t>
            </w:r>
          </w:p>
        </w:tc>
        <w:tc>
          <w:tcPr>
            <w:tcW w:w="805" w:type="dxa"/>
            <w:shd w:val="clear" w:color="auto" w:fill="auto"/>
            <w:vAlign w:val="center"/>
          </w:tcPr>
          <w:p w14:paraId="3559D527">
            <w:pPr>
              <w:keepNext w:val="0"/>
              <w:keepLines w:val="0"/>
              <w:widowControl/>
              <w:suppressLineNumbers w:val="0"/>
              <w:jc w:val="center"/>
              <w:textAlignment w:val="center"/>
              <w:rPr>
                <w:rFonts w:ascii="Times New Roman" w:hAnsi="Times New Roman" w:cs="Times New Roman"/>
                <w:color w:val="auto"/>
                <w:sz w:val="21"/>
                <w:szCs w:val="21"/>
                <w:highlight w:val="none"/>
              </w:rPr>
            </w:pPr>
            <w:r>
              <w:rPr>
                <w:rFonts w:hint="default" w:ascii="Times New Roman" w:hAnsi="Times New Roman" w:eastAsia="等线" w:cs="Times New Roman"/>
                <w:i w:val="0"/>
                <w:iCs w:val="0"/>
                <w:color w:val="auto"/>
                <w:kern w:val="0"/>
                <w:sz w:val="21"/>
                <w:szCs w:val="21"/>
                <w:highlight w:val="none"/>
                <w:u w:val="none"/>
                <w:lang w:val="en-US" w:eastAsia="zh-CN" w:bidi="ar"/>
              </w:rPr>
              <w:t>0.1154</w:t>
            </w:r>
          </w:p>
        </w:tc>
        <w:tc>
          <w:tcPr>
            <w:tcW w:w="706" w:type="dxa"/>
            <w:shd w:val="clear" w:color="auto" w:fill="auto"/>
            <w:vAlign w:val="center"/>
          </w:tcPr>
          <w:p w14:paraId="3C7F8125">
            <w:pPr>
              <w:keepNext w:val="0"/>
              <w:keepLines w:val="0"/>
              <w:pageBreakBefore w:val="0"/>
              <w:widowControl/>
              <w:kinsoku/>
              <w:wordWrap/>
              <w:overflowPunct/>
              <w:topLinePunct w:val="0"/>
              <w:autoSpaceDE/>
              <w:autoSpaceDN/>
              <w:bidi w:val="0"/>
              <w:adjustRightInd/>
              <w:snapToGrid/>
              <w:ind w:left="0" w:right="0"/>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2000</w:t>
            </w:r>
          </w:p>
        </w:tc>
        <w:tc>
          <w:tcPr>
            <w:tcW w:w="840" w:type="dxa"/>
            <w:shd w:val="clear" w:color="000000" w:fill="FFFFFF"/>
            <w:vAlign w:val="center"/>
          </w:tcPr>
          <w:p w14:paraId="40CCA3B5">
            <w:pPr>
              <w:keepNext w:val="0"/>
              <w:keepLines w:val="0"/>
              <w:pageBreakBefore w:val="0"/>
              <w:widowControl/>
              <w:kinsoku/>
              <w:wordWrap/>
              <w:overflowPunct/>
              <w:topLinePunct w:val="0"/>
              <w:autoSpaceDE/>
              <w:autoSpaceDN/>
              <w:bidi w:val="0"/>
              <w:adjustRightInd/>
              <w:snapToGrid/>
              <w:ind w:left="0" w:right="0"/>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DA005</w:t>
            </w:r>
          </w:p>
        </w:tc>
        <w:tc>
          <w:tcPr>
            <w:tcW w:w="855" w:type="dxa"/>
            <w:shd w:val="clear" w:color="000000" w:fill="FFFFFF"/>
            <w:vAlign w:val="center"/>
          </w:tcPr>
          <w:p w14:paraId="58550CAD">
            <w:pPr>
              <w:keepNext w:val="0"/>
              <w:keepLines w:val="0"/>
              <w:pageBreakBefore w:val="0"/>
              <w:widowControl/>
              <w:kinsoku/>
              <w:wordWrap/>
              <w:overflowPunct/>
              <w:topLinePunct w:val="0"/>
              <w:autoSpaceDE/>
              <w:autoSpaceDN/>
              <w:bidi w:val="0"/>
              <w:adjustRightInd/>
              <w:snapToGrid/>
              <w:ind w:left="0" w:right="0"/>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60</w:t>
            </w:r>
          </w:p>
        </w:tc>
        <w:tc>
          <w:tcPr>
            <w:tcW w:w="668" w:type="dxa"/>
            <w:vAlign w:val="center"/>
          </w:tcPr>
          <w:p w14:paraId="46322ED5">
            <w:pPr>
              <w:keepNext w:val="0"/>
              <w:keepLines w:val="0"/>
              <w:pageBreakBefore w:val="0"/>
              <w:widowControl/>
              <w:kinsoku/>
              <w:wordWrap/>
              <w:overflowPunct/>
              <w:topLinePunct w:val="0"/>
              <w:autoSpaceDE/>
              <w:autoSpaceDN/>
              <w:bidi w:val="0"/>
              <w:adjustRightInd/>
              <w:snapToGrid/>
              <w:ind w:left="0" w:right="0"/>
              <w:jc w:val="center"/>
              <w:rPr>
                <w:rFonts w:ascii="Times New Roman" w:hAnsi="Times New Roman" w:cs="Times New Roman"/>
                <w:color w:val="auto"/>
                <w:sz w:val="21"/>
                <w:szCs w:val="21"/>
                <w:highlight w:val="none"/>
              </w:rPr>
            </w:pPr>
            <w:r>
              <w:rPr>
                <w:rFonts w:hint="eastAsia" w:ascii="Times New Roman" w:hAnsi="Times New Roman" w:eastAsia="等线" w:cs="Times New Roman"/>
                <w:color w:val="auto"/>
                <w:sz w:val="21"/>
                <w:szCs w:val="21"/>
                <w:highlight w:val="none"/>
              </w:rPr>
              <w:t>3</w:t>
            </w:r>
          </w:p>
        </w:tc>
      </w:tr>
      <w:tr w14:paraId="11FDF019">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463" w:hRule="atLeast"/>
          <w:jc w:val="center"/>
        </w:trPr>
        <w:tc>
          <w:tcPr>
            <w:tcW w:w="737" w:type="dxa"/>
            <w:vMerge w:val="restart"/>
            <w:shd w:val="clear" w:color="auto" w:fill="auto"/>
            <w:vAlign w:val="center"/>
          </w:tcPr>
          <w:p w14:paraId="0982CD72">
            <w:pPr>
              <w:keepNext w:val="0"/>
              <w:keepLines w:val="0"/>
              <w:pageBreakBefore w:val="0"/>
              <w:widowControl/>
              <w:kinsoku/>
              <w:wordWrap/>
              <w:overflowPunct/>
              <w:topLinePunct w:val="0"/>
              <w:autoSpaceDE/>
              <w:autoSpaceDN/>
              <w:bidi w:val="0"/>
              <w:adjustRightInd/>
              <w:snapToGrid/>
              <w:ind w:left="0" w:right="0"/>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实验间一</w:t>
            </w:r>
          </w:p>
        </w:tc>
        <w:tc>
          <w:tcPr>
            <w:tcW w:w="978" w:type="dxa"/>
            <w:shd w:val="clear" w:color="auto" w:fill="auto"/>
            <w:vAlign w:val="center"/>
          </w:tcPr>
          <w:p w14:paraId="1630E403">
            <w:pPr>
              <w:keepNext w:val="0"/>
              <w:keepLines w:val="0"/>
              <w:pageBreakBefore w:val="0"/>
              <w:widowControl/>
              <w:kinsoku/>
              <w:wordWrap/>
              <w:overflowPunct/>
              <w:topLinePunct w:val="0"/>
              <w:autoSpaceDE/>
              <w:autoSpaceDN/>
              <w:bidi w:val="0"/>
              <w:adjustRightInd/>
              <w:snapToGrid/>
              <w:ind w:left="0" w:right="0"/>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非甲烷总烃</w:t>
            </w:r>
          </w:p>
        </w:tc>
        <w:tc>
          <w:tcPr>
            <w:tcW w:w="708" w:type="dxa"/>
            <w:shd w:val="clear" w:color="auto" w:fill="auto"/>
            <w:vAlign w:val="center"/>
          </w:tcPr>
          <w:p w14:paraId="3E13688F">
            <w:pPr>
              <w:keepNext w:val="0"/>
              <w:keepLines w:val="0"/>
              <w:pageBreakBefore w:val="0"/>
              <w:widowControl/>
              <w:kinsoku/>
              <w:wordWrap/>
              <w:overflowPunct/>
              <w:topLinePunct w:val="0"/>
              <w:autoSpaceDE/>
              <w:autoSpaceDN/>
              <w:bidi w:val="0"/>
              <w:adjustRightInd/>
              <w:snapToGrid/>
              <w:ind w:left="0" w:right="0"/>
              <w:jc w:val="center"/>
              <w:rPr>
                <w:rFonts w:ascii="Times New Roman" w:hAnsi="Times New Roman" w:cs="Times New Roman"/>
                <w:color w:val="auto"/>
                <w:sz w:val="21"/>
                <w:szCs w:val="21"/>
                <w:highlight w:val="none"/>
              </w:rPr>
            </w:pPr>
            <w:r>
              <w:rPr>
                <w:rFonts w:hint="eastAsia"/>
                <w:color w:val="auto"/>
                <w:sz w:val="21"/>
                <w:szCs w:val="21"/>
                <w:highlight w:val="none"/>
              </w:rPr>
              <w:t>类比法</w:t>
            </w:r>
          </w:p>
        </w:tc>
        <w:tc>
          <w:tcPr>
            <w:tcW w:w="834" w:type="dxa"/>
            <w:shd w:val="clear" w:color="auto" w:fill="auto"/>
            <w:vAlign w:val="center"/>
          </w:tcPr>
          <w:p w14:paraId="641D0BB4">
            <w:pPr>
              <w:keepNext w:val="0"/>
              <w:keepLines w:val="0"/>
              <w:pageBreakBefore w:val="0"/>
              <w:widowControl/>
              <w:kinsoku/>
              <w:wordWrap/>
              <w:overflowPunct/>
              <w:topLinePunct w:val="0"/>
              <w:autoSpaceDE/>
              <w:autoSpaceDN/>
              <w:bidi w:val="0"/>
              <w:adjustRightInd/>
              <w:snapToGrid/>
              <w:ind w:left="0" w:right="0"/>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4000</w:t>
            </w:r>
          </w:p>
        </w:tc>
        <w:tc>
          <w:tcPr>
            <w:tcW w:w="834" w:type="dxa"/>
            <w:shd w:val="clear" w:color="auto" w:fill="auto"/>
            <w:vAlign w:val="center"/>
          </w:tcPr>
          <w:p w14:paraId="3DC136F5">
            <w:pPr>
              <w:keepNext w:val="0"/>
              <w:keepLines w:val="0"/>
              <w:pageBreakBefore w:val="0"/>
              <w:widowControl/>
              <w:suppressLineNumbers w:val="0"/>
              <w:kinsoku/>
              <w:wordWrap/>
              <w:overflowPunct/>
              <w:topLinePunct w:val="0"/>
              <w:autoSpaceDE/>
              <w:autoSpaceDN/>
              <w:bidi w:val="0"/>
              <w:adjustRightInd/>
              <w:snapToGrid/>
              <w:ind w:left="0" w:right="0"/>
              <w:jc w:val="center"/>
              <w:textAlignment w:val="center"/>
              <w:rPr>
                <w:rFonts w:ascii="Times New Roman" w:hAnsi="Times New Roman" w:cs="Times New Roman"/>
                <w:color w:val="auto"/>
                <w:sz w:val="21"/>
                <w:szCs w:val="21"/>
                <w:highlight w:val="none"/>
              </w:rPr>
            </w:pPr>
            <w:r>
              <w:rPr>
                <w:rFonts w:hint="default" w:ascii="Times New Roman" w:hAnsi="Times New Roman" w:eastAsia="等线" w:cs="Times New Roman"/>
                <w:i w:val="0"/>
                <w:iCs w:val="0"/>
                <w:color w:val="auto"/>
                <w:kern w:val="0"/>
                <w:sz w:val="21"/>
                <w:szCs w:val="21"/>
                <w:highlight w:val="none"/>
                <w:u w:val="none"/>
                <w:lang w:val="en-US" w:eastAsia="zh-CN" w:bidi="ar"/>
              </w:rPr>
              <w:t>3.0859</w:t>
            </w:r>
          </w:p>
        </w:tc>
        <w:tc>
          <w:tcPr>
            <w:tcW w:w="834" w:type="dxa"/>
            <w:shd w:val="clear" w:color="auto" w:fill="auto"/>
            <w:vAlign w:val="center"/>
          </w:tcPr>
          <w:p w14:paraId="57F90E0B">
            <w:pPr>
              <w:keepNext w:val="0"/>
              <w:keepLines w:val="0"/>
              <w:pageBreakBefore w:val="0"/>
              <w:widowControl/>
              <w:suppressLineNumbers w:val="0"/>
              <w:kinsoku/>
              <w:wordWrap/>
              <w:overflowPunct/>
              <w:topLinePunct w:val="0"/>
              <w:autoSpaceDE/>
              <w:autoSpaceDN/>
              <w:bidi w:val="0"/>
              <w:adjustRightInd/>
              <w:snapToGrid/>
              <w:ind w:left="0" w:right="0"/>
              <w:jc w:val="center"/>
              <w:textAlignment w:val="center"/>
              <w:rPr>
                <w:rFonts w:ascii="Times New Roman" w:hAnsi="Times New Roman" w:cs="Times New Roman"/>
                <w:color w:val="auto"/>
                <w:sz w:val="21"/>
                <w:szCs w:val="21"/>
                <w:highlight w:val="none"/>
              </w:rPr>
            </w:pPr>
            <w:r>
              <w:rPr>
                <w:rFonts w:hint="default" w:ascii="Times New Roman" w:hAnsi="Times New Roman" w:eastAsia="等线" w:cs="Times New Roman"/>
                <w:i w:val="0"/>
                <w:iCs w:val="0"/>
                <w:color w:val="auto"/>
                <w:kern w:val="0"/>
                <w:sz w:val="21"/>
                <w:szCs w:val="21"/>
                <w:highlight w:val="none"/>
                <w:u w:val="none"/>
                <w:lang w:val="en-US" w:eastAsia="zh-CN" w:bidi="ar"/>
              </w:rPr>
              <w:t>0.0123</w:t>
            </w:r>
          </w:p>
        </w:tc>
        <w:tc>
          <w:tcPr>
            <w:tcW w:w="834" w:type="dxa"/>
            <w:shd w:val="clear" w:color="auto" w:fill="auto"/>
            <w:vAlign w:val="center"/>
          </w:tcPr>
          <w:p w14:paraId="59077C9E">
            <w:pPr>
              <w:keepNext w:val="0"/>
              <w:keepLines w:val="0"/>
              <w:pageBreakBefore w:val="0"/>
              <w:widowControl/>
              <w:suppressLineNumbers w:val="0"/>
              <w:kinsoku/>
              <w:wordWrap/>
              <w:overflowPunct/>
              <w:topLinePunct w:val="0"/>
              <w:autoSpaceDE/>
              <w:autoSpaceDN/>
              <w:bidi w:val="0"/>
              <w:adjustRightInd/>
              <w:snapToGrid/>
              <w:ind w:left="0" w:right="0"/>
              <w:jc w:val="center"/>
              <w:textAlignment w:val="center"/>
              <w:rPr>
                <w:rFonts w:ascii="Times New Roman" w:hAnsi="Times New Roman" w:cs="Times New Roman"/>
                <w:color w:val="auto"/>
                <w:sz w:val="21"/>
                <w:szCs w:val="21"/>
                <w:highlight w:val="none"/>
              </w:rPr>
            </w:pPr>
            <w:r>
              <w:rPr>
                <w:rFonts w:hint="default" w:ascii="Times New Roman" w:hAnsi="Times New Roman" w:eastAsia="等线" w:cs="Times New Roman"/>
                <w:i w:val="0"/>
                <w:iCs w:val="0"/>
                <w:color w:val="auto"/>
                <w:kern w:val="0"/>
                <w:sz w:val="21"/>
                <w:szCs w:val="21"/>
                <w:highlight w:val="none"/>
                <w:u w:val="none"/>
                <w:lang w:val="en-US" w:eastAsia="zh-CN" w:bidi="ar"/>
              </w:rPr>
              <w:t>0.0062</w:t>
            </w:r>
          </w:p>
        </w:tc>
        <w:tc>
          <w:tcPr>
            <w:tcW w:w="1106" w:type="dxa"/>
            <w:vMerge w:val="restart"/>
            <w:shd w:val="clear" w:color="auto" w:fill="auto"/>
            <w:vAlign w:val="center"/>
          </w:tcPr>
          <w:p w14:paraId="6CACE36B">
            <w:pPr>
              <w:keepNext w:val="0"/>
              <w:keepLines w:val="0"/>
              <w:pageBreakBefore w:val="0"/>
              <w:widowControl/>
              <w:kinsoku/>
              <w:wordWrap/>
              <w:overflowPunct/>
              <w:topLinePunct w:val="0"/>
              <w:autoSpaceDE/>
              <w:autoSpaceDN/>
              <w:bidi w:val="0"/>
              <w:adjustRightInd/>
              <w:snapToGrid/>
              <w:ind w:left="0" w:right="0"/>
              <w:jc w:val="center"/>
              <w:rPr>
                <w:rFonts w:ascii="Times New Roman" w:hAnsi="Times New Roman" w:cs="Times New Roman"/>
                <w:color w:val="auto"/>
                <w:sz w:val="21"/>
                <w:szCs w:val="21"/>
                <w:highlight w:val="none"/>
              </w:rPr>
            </w:pPr>
            <w:r>
              <w:rPr>
                <w:rFonts w:hint="eastAsia"/>
                <w:color w:val="auto"/>
                <w:sz w:val="21"/>
                <w:szCs w:val="21"/>
                <w:highlight w:val="none"/>
              </w:rPr>
              <w:t>两级活性炭吸附</w:t>
            </w:r>
          </w:p>
        </w:tc>
        <w:tc>
          <w:tcPr>
            <w:tcW w:w="642" w:type="dxa"/>
            <w:shd w:val="clear" w:color="auto" w:fill="auto"/>
            <w:vAlign w:val="center"/>
          </w:tcPr>
          <w:p w14:paraId="4E072677">
            <w:pPr>
              <w:keepNext w:val="0"/>
              <w:keepLines w:val="0"/>
              <w:pageBreakBefore w:val="0"/>
              <w:widowControl/>
              <w:kinsoku/>
              <w:wordWrap/>
              <w:overflowPunct/>
              <w:topLinePunct w:val="0"/>
              <w:autoSpaceDE/>
              <w:autoSpaceDN/>
              <w:bidi w:val="0"/>
              <w:adjustRightInd/>
              <w:snapToGrid/>
              <w:ind w:left="0" w:right="0"/>
              <w:jc w:val="center"/>
              <w:rPr>
                <w:rFonts w:ascii="Times New Roman" w:hAnsi="Times New Roman" w:eastAsia="等线" w:cs="Times New Roman"/>
                <w:color w:val="auto"/>
                <w:sz w:val="21"/>
                <w:szCs w:val="21"/>
                <w:highlight w:val="none"/>
              </w:rPr>
            </w:pPr>
            <w:r>
              <w:rPr>
                <w:rFonts w:ascii="Times New Roman" w:hAnsi="Times New Roman" w:eastAsia="等线" w:cs="Times New Roman"/>
                <w:color w:val="auto"/>
                <w:sz w:val="21"/>
                <w:szCs w:val="21"/>
                <w:highlight w:val="none"/>
              </w:rPr>
              <w:t>9</w:t>
            </w:r>
            <w:r>
              <w:rPr>
                <w:rFonts w:hint="eastAsia" w:ascii="Times New Roman" w:hAnsi="Times New Roman" w:eastAsia="等线" w:cs="Times New Roman"/>
                <w:color w:val="auto"/>
                <w:sz w:val="21"/>
                <w:szCs w:val="21"/>
                <w:highlight w:val="none"/>
              </w:rPr>
              <w:t>0</w:t>
            </w:r>
          </w:p>
        </w:tc>
        <w:tc>
          <w:tcPr>
            <w:tcW w:w="890" w:type="dxa"/>
            <w:shd w:val="clear" w:color="auto" w:fill="auto"/>
            <w:vAlign w:val="center"/>
          </w:tcPr>
          <w:p w14:paraId="0C5C6C7B">
            <w:pPr>
              <w:keepNext w:val="0"/>
              <w:keepLines w:val="0"/>
              <w:pageBreakBefore w:val="0"/>
              <w:widowControl/>
              <w:kinsoku/>
              <w:wordWrap/>
              <w:overflowPunct/>
              <w:topLinePunct w:val="0"/>
              <w:autoSpaceDE/>
              <w:autoSpaceDN/>
              <w:bidi w:val="0"/>
              <w:adjustRightInd/>
              <w:snapToGrid/>
              <w:ind w:left="0" w:right="0"/>
              <w:jc w:val="center"/>
              <w:rPr>
                <w:rFonts w:ascii="Times New Roman" w:hAnsi="Times New Roman" w:cs="Times New Roman"/>
                <w:color w:val="auto"/>
                <w:sz w:val="21"/>
                <w:szCs w:val="21"/>
                <w:highlight w:val="none"/>
              </w:rPr>
            </w:pPr>
            <w:r>
              <w:rPr>
                <w:rFonts w:hint="eastAsia"/>
                <w:color w:val="auto"/>
                <w:sz w:val="21"/>
                <w:szCs w:val="21"/>
                <w:highlight w:val="none"/>
              </w:rPr>
              <w:t>类比法</w:t>
            </w:r>
          </w:p>
        </w:tc>
        <w:tc>
          <w:tcPr>
            <w:tcW w:w="890" w:type="dxa"/>
            <w:shd w:val="clear" w:color="auto" w:fill="auto"/>
            <w:vAlign w:val="center"/>
          </w:tcPr>
          <w:p w14:paraId="1A70B691">
            <w:pPr>
              <w:keepNext w:val="0"/>
              <w:keepLines w:val="0"/>
              <w:pageBreakBefore w:val="0"/>
              <w:widowControl/>
              <w:suppressLineNumbers w:val="0"/>
              <w:kinsoku/>
              <w:wordWrap/>
              <w:overflowPunct/>
              <w:topLinePunct w:val="0"/>
              <w:autoSpaceDE/>
              <w:autoSpaceDN/>
              <w:bidi w:val="0"/>
              <w:adjustRightInd/>
              <w:snapToGrid/>
              <w:ind w:left="0" w:right="0"/>
              <w:jc w:val="center"/>
              <w:textAlignment w:val="center"/>
              <w:rPr>
                <w:rFonts w:ascii="Times New Roman" w:hAnsi="Times New Roman" w:cs="Times New Roman"/>
                <w:color w:val="auto"/>
                <w:sz w:val="21"/>
                <w:szCs w:val="21"/>
                <w:highlight w:val="none"/>
              </w:rPr>
            </w:pPr>
            <w:r>
              <w:rPr>
                <w:rFonts w:hint="default" w:ascii="Times New Roman" w:hAnsi="Times New Roman" w:eastAsia="等线" w:cs="Times New Roman"/>
                <w:i w:val="0"/>
                <w:iCs w:val="0"/>
                <w:color w:val="auto"/>
                <w:kern w:val="0"/>
                <w:sz w:val="21"/>
                <w:szCs w:val="21"/>
                <w:highlight w:val="none"/>
                <w:u w:val="none"/>
                <w:lang w:val="en-US" w:eastAsia="zh-CN" w:bidi="ar"/>
              </w:rPr>
              <w:t>0.3086</w:t>
            </w:r>
          </w:p>
        </w:tc>
        <w:tc>
          <w:tcPr>
            <w:tcW w:w="890" w:type="dxa"/>
            <w:shd w:val="clear" w:color="auto" w:fill="auto"/>
            <w:vAlign w:val="center"/>
          </w:tcPr>
          <w:p w14:paraId="3DFF7A55">
            <w:pPr>
              <w:keepNext w:val="0"/>
              <w:keepLines w:val="0"/>
              <w:pageBreakBefore w:val="0"/>
              <w:widowControl/>
              <w:suppressLineNumbers w:val="0"/>
              <w:kinsoku/>
              <w:wordWrap/>
              <w:overflowPunct/>
              <w:topLinePunct w:val="0"/>
              <w:autoSpaceDE/>
              <w:autoSpaceDN/>
              <w:bidi w:val="0"/>
              <w:adjustRightInd/>
              <w:snapToGrid/>
              <w:ind w:left="0" w:right="0"/>
              <w:jc w:val="right"/>
              <w:textAlignment w:val="center"/>
              <w:rPr>
                <w:rFonts w:ascii="Times New Roman" w:hAnsi="Times New Roman" w:cs="Times New Roman"/>
                <w:color w:val="auto"/>
                <w:sz w:val="21"/>
                <w:szCs w:val="21"/>
                <w:highlight w:val="none"/>
              </w:rPr>
            </w:pPr>
            <w:r>
              <w:rPr>
                <w:rFonts w:hint="default" w:ascii="Times New Roman" w:hAnsi="Times New Roman" w:eastAsia="等线" w:cs="Times New Roman"/>
                <w:i w:val="0"/>
                <w:iCs w:val="0"/>
                <w:color w:val="auto"/>
                <w:kern w:val="0"/>
                <w:sz w:val="21"/>
                <w:szCs w:val="21"/>
                <w:highlight w:val="none"/>
                <w:u w:val="none"/>
                <w:lang w:val="en-US" w:eastAsia="zh-CN" w:bidi="ar"/>
              </w:rPr>
              <w:t>0.0012</w:t>
            </w:r>
          </w:p>
        </w:tc>
        <w:tc>
          <w:tcPr>
            <w:tcW w:w="805" w:type="dxa"/>
            <w:shd w:val="clear" w:color="auto" w:fill="auto"/>
            <w:vAlign w:val="center"/>
          </w:tcPr>
          <w:p w14:paraId="06ECF93D">
            <w:pPr>
              <w:keepNext w:val="0"/>
              <w:keepLines w:val="0"/>
              <w:pageBreakBefore w:val="0"/>
              <w:widowControl/>
              <w:suppressLineNumbers w:val="0"/>
              <w:kinsoku/>
              <w:wordWrap/>
              <w:overflowPunct/>
              <w:topLinePunct w:val="0"/>
              <w:autoSpaceDE/>
              <w:autoSpaceDN/>
              <w:bidi w:val="0"/>
              <w:adjustRightInd/>
              <w:snapToGrid/>
              <w:ind w:left="0" w:right="0"/>
              <w:jc w:val="center"/>
              <w:textAlignment w:val="center"/>
              <w:rPr>
                <w:rFonts w:ascii="Times New Roman" w:hAnsi="Times New Roman" w:cs="Times New Roman"/>
                <w:color w:val="auto"/>
                <w:sz w:val="21"/>
                <w:szCs w:val="21"/>
                <w:highlight w:val="none"/>
              </w:rPr>
            </w:pPr>
            <w:r>
              <w:rPr>
                <w:rFonts w:hint="default" w:ascii="Times New Roman" w:hAnsi="Times New Roman" w:eastAsia="等线" w:cs="Times New Roman"/>
                <w:i w:val="0"/>
                <w:iCs w:val="0"/>
                <w:color w:val="auto"/>
                <w:kern w:val="0"/>
                <w:sz w:val="21"/>
                <w:szCs w:val="21"/>
                <w:highlight w:val="none"/>
                <w:u w:val="none"/>
                <w:lang w:val="en-US" w:eastAsia="zh-CN" w:bidi="ar"/>
              </w:rPr>
              <w:t>0.0006</w:t>
            </w:r>
          </w:p>
        </w:tc>
        <w:tc>
          <w:tcPr>
            <w:tcW w:w="706" w:type="dxa"/>
            <w:shd w:val="clear" w:color="auto" w:fill="auto"/>
            <w:vAlign w:val="center"/>
          </w:tcPr>
          <w:p w14:paraId="7064382A">
            <w:pPr>
              <w:keepNext w:val="0"/>
              <w:keepLines w:val="0"/>
              <w:pageBreakBefore w:val="0"/>
              <w:widowControl/>
              <w:kinsoku/>
              <w:wordWrap/>
              <w:overflowPunct/>
              <w:topLinePunct w:val="0"/>
              <w:autoSpaceDE/>
              <w:autoSpaceDN/>
              <w:bidi w:val="0"/>
              <w:adjustRightInd/>
              <w:snapToGrid/>
              <w:ind w:left="0" w:right="0"/>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500</w:t>
            </w:r>
          </w:p>
        </w:tc>
        <w:tc>
          <w:tcPr>
            <w:tcW w:w="840" w:type="dxa"/>
            <w:vMerge w:val="restart"/>
            <w:shd w:val="clear" w:color="000000" w:fill="FFFFFF"/>
            <w:vAlign w:val="center"/>
          </w:tcPr>
          <w:p w14:paraId="3B1A3064">
            <w:pPr>
              <w:keepNext w:val="0"/>
              <w:keepLines w:val="0"/>
              <w:pageBreakBefore w:val="0"/>
              <w:widowControl/>
              <w:kinsoku/>
              <w:wordWrap/>
              <w:overflowPunct/>
              <w:topLinePunct w:val="0"/>
              <w:autoSpaceDE/>
              <w:autoSpaceDN/>
              <w:bidi w:val="0"/>
              <w:adjustRightInd/>
              <w:snapToGrid/>
              <w:ind w:left="0" w:right="0"/>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DA006</w:t>
            </w:r>
          </w:p>
        </w:tc>
        <w:tc>
          <w:tcPr>
            <w:tcW w:w="855" w:type="dxa"/>
            <w:shd w:val="clear" w:color="000000" w:fill="FFFFFF"/>
            <w:vAlign w:val="center"/>
          </w:tcPr>
          <w:p w14:paraId="5131C871">
            <w:pPr>
              <w:keepNext w:val="0"/>
              <w:keepLines w:val="0"/>
              <w:pageBreakBefore w:val="0"/>
              <w:widowControl/>
              <w:kinsoku/>
              <w:wordWrap/>
              <w:overflowPunct/>
              <w:topLinePunct w:val="0"/>
              <w:autoSpaceDE/>
              <w:autoSpaceDN/>
              <w:bidi w:val="0"/>
              <w:adjustRightInd/>
              <w:snapToGrid/>
              <w:ind w:left="0" w:right="0"/>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60</w:t>
            </w:r>
          </w:p>
        </w:tc>
        <w:tc>
          <w:tcPr>
            <w:tcW w:w="668" w:type="dxa"/>
            <w:vAlign w:val="center"/>
          </w:tcPr>
          <w:p w14:paraId="14859198">
            <w:pPr>
              <w:keepNext w:val="0"/>
              <w:keepLines w:val="0"/>
              <w:pageBreakBefore w:val="0"/>
              <w:widowControl/>
              <w:kinsoku/>
              <w:wordWrap/>
              <w:overflowPunct/>
              <w:topLinePunct w:val="0"/>
              <w:autoSpaceDE/>
              <w:autoSpaceDN/>
              <w:bidi w:val="0"/>
              <w:adjustRightInd/>
              <w:snapToGrid/>
              <w:ind w:left="0" w:right="0"/>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3</w:t>
            </w:r>
          </w:p>
        </w:tc>
      </w:tr>
      <w:tr w14:paraId="44857012">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463" w:hRule="atLeast"/>
          <w:jc w:val="center"/>
        </w:trPr>
        <w:tc>
          <w:tcPr>
            <w:tcW w:w="737" w:type="dxa"/>
            <w:vMerge w:val="continue"/>
            <w:tcBorders>
              <w:bottom w:val="single" w:color="auto" w:sz="4" w:space="0"/>
            </w:tcBorders>
            <w:shd w:val="clear" w:color="auto" w:fill="auto"/>
            <w:vAlign w:val="center"/>
          </w:tcPr>
          <w:p w14:paraId="3788F2B4">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cs="Times New Roman"/>
                <w:color w:val="auto"/>
                <w:sz w:val="21"/>
                <w:szCs w:val="21"/>
                <w:highlight w:val="none"/>
              </w:rPr>
            </w:pPr>
          </w:p>
        </w:tc>
        <w:tc>
          <w:tcPr>
            <w:tcW w:w="978" w:type="dxa"/>
            <w:tcBorders>
              <w:bottom w:val="single" w:color="auto" w:sz="4" w:space="0"/>
            </w:tcBorders>
            <w:shd w:val="clear" w:color="auto" w:fill="auto"/>
            <w:vAlign w:val="center"/>
          </w:tcPr>
          <w:p w14:paraId="5A567007">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氮氧化物</w:t>
            </w:r>
          </w:p>
        </w:tc>
        <w:tc>
          <w:tcPr>
            <w:tcW w:w="708" w:type="dxa"/>
            <w:tcBorders>
              <w:bottom w:val="single" w:color="auto" w:sz="4" w:space="0"/>
            </w:tcBorders>
            <w:shd w:val="clear" w:color="auto" w:fill="auto"/>
            <w:vAlign w:val="center"/>
          </w:tcPr>
          <w:p w14:paraId="78C1A729">
            <w:pPr>
              <w:keepNext w:val="0"/>
              <w:keepLines w:val="0"/>
              <w:pageBreakBefore w:val="0"/>
              <w:widowControl/>
              <w:kinsoku/>
              <w:wordWrap/>
              <w:overflowPunct/>
              <w:topLinePunct w:val="0"/>
              <w:autoSpaceDE/>
              <w:autoSpaceDN/>
              <w:bidi w:val="0"/>
              <w:adjustRightInd/>
              <w:snapToGrid/>
              <w:ind w:left="0" w:leftChars="0" w:right="0" w:rightChars="0"/>
              <w:jc w:val="center"/>
              <w:rPr>
                <w:rFonts w:hint="eastAsia" w:ascii="Times New Roman" w:hAnsi="Times New Roman" w:eastAsia="宋体" w:cs="Times New Roman"/>
                <w:color w:val="auto"/>
                <w:sz w:val="21"/>
                <w:szCs w:val="21"/>
                <w:highlight w:val="none"/>
                <w:lang w:val="en-US" w:eastAsia="zh-CN" w:bidi="ar-SA"/>
              </w:rPr>
            </w:pPr>
            <w:r>
              <w:rPr>
                <w:rFonts w:hint="eastAsia"/>
                <w:color w:val="auto"/>
                <w:sz w:val="21"/>
                <w:szCs w:val="21"/>
                <w:highlight w:val="none"/>
              </w:rPr>
              <w:t>类比法</w:t>
            </w:r>
          </w:p>
        </w:tc>
        <w:tc>
          <w:tcPr>
            <w:tcW w:w="834" w:type="dxa"/>
            <w:tcBorders>
              <w:bottom w:val="single" w:color="auto" w:sz="4" w:space="0"/>
            </w:tcBorders>
            <w:shd w:val="clear" w:color="auto" w:fill="auto"/>
            <w:vAlign w:val="center"/>
          </w:tcPr>
          <w:p w14:paraId="40A2E402">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4000</w:t>
            </w:r>
          </w:p>
        </w:tc>
        <w:tc>
          <w:tcPr>
            <w:tcW w:w="834" w:type="dxa"/>
            <w:tcBorders>
              <w:bottom w:val="single" w:color="auto" w:sz="4" w:space="0"/>
            </w:tcBorders>
            <w:shd w:val="clear" w:color="auto" w:fill="auto"/>
            <w:vAlign w:val="center"/>
          </w:tcPr>
          <w:p w14:paraId="788FD334">
            <w:pPr>
              <w:keepNext w:val="0"/>
              <w:keepLines w:val="0"/>
              <w:pageBreakBefore w:val="0"/>
              <w:widowControl/>
              <w:suppressLineNumbers w:val="0"/>
              <w:kinsoku/>
              <w:wordWrap/>
              <w:overflowPunct/>
              <w:topLinePunct w:val="0"/>
              <w:autoSpaceDE/>
              <w:autoSpaceDN/>
              <w:bidi w:val="0"/>
              <w:adjustRightInd/>
              <w:snapToGrid/>
              <w:ind w:left="0" w:right="0"/>
              <w:jc w:val="center"/>
              <w:textAlignment w:val="center"/>
              <w:rPr>
                <w:rFonts w:ascii="Times New Roman" w:hAnsi="Times New Roman" w:eastAsia="等线" w:cs="Times New Roman"/>
                <w:color w:val="auto"/>
                <w:sz w:val="21"/>
                <w:szCs w:val="21"/>
                <w:highlight w:val="none"/>
                <w:lang w:bidi="ar"/>
              </w:rPr>
            </w:pPr>
            <w:r>
              <w:rPr>
                <w:rFonts w:hint="default" w:ascii="Times New Roman" w:hAnsi="Times New Roman" w:eastAsia="等线" w:cs="Times New Roman"/>
                <w:i w:val="0"/>
                <w:iCs w:val="0"/>
                <w:color w:val="auto"/>
                <w:kern w:val="0"/>
                <w:sz w:val="21"/>
                <w:szCs w:val="21"/>
                <w:highlight w:val="none"/>
                <w:u w:val="none"/>
                <w:lang w:val="en-US" w:eastAsia="zh-CN" w:bidi="ar"/>
              </w:rPr>
              <w:t>1.4850</w:t>
            </w:r>
          </w:p>
        </w:tc>
        <w:tc>
          <w:tcPr>
            <w:tcW w:w="834" w:type="dxa"/>
            <w:tcBorders>
              <w:bottom w:val="single" w:color="auto" w:sz="4" w:space="0"/>
            </w:tcBorders>
            <w:shd w:val="clear" w:color="auto" w:fill="auto"/>
            <w:vAlign w:val="center"/>
          </w:tcPr>
          <w:p w14:paraId="148567F4">
            <w:pPr>
              <w:keepNext w:val="0"/>
              <w:keepLines w:val="0"/>
              <w:pageBreakBefore w:val="0"/>
              <w:widowControl/>
              <w:suppressLineNumbers w:val="0"/>
              <w:kinsoku/>
              <w:wordWrap/>
              <w:overflowPunct/>
              <w:topLinePunct w:val="0"/>
              <w:autoSpaceDE/>
              <w:autoSpaceDN/>
              <w:bidi w:val="0"/>
              <w:adjustRightInd/>
              <w:snapToGrid/>
              <w:ind w:left="0" w:right="0"/>
              <w:jc w:val="center"/>
              <w:textAlignment w:val="center"/>
              <w:rPr>
                <w:rFonts w:ascii="Times New Roman" w:hAnsi="Times New Roman" w:eastAsia="等线" w:cs="Times New Roman"/>
                <w:color w:val="auto"/>
                <w:sz w:val="21"/>
                <w:szCs w:val="21"/>
                <w:highlight w:val="none"/>
                <w:lang w:bidi="ar"/>
              </w:rPr>
            </w:pPr>
            <w:r>
              <w:rPr>
                <w:rFonts w:hint="default" w:ascii="Times New Roman" w:hAnsi="Times New Roman" w:eastAsia="等线" w:cs="Times New Roman"/>
                <w:i w:val="0"/>
                <w:iCs w:val="0"/>
                <w:color w:val="auto"/>
                <w:kern w:val="0"/>
                <w:sz w:val="21"/>
                <w:szCs w:val="21"/>
                <w:highlight w:val="none"/>
                <w:u w:val="none"/>
                <w:lang w:val="en-US" w:eastAsia="zh-CN" w:bidi="ar"/>
              </w:rPr>
              <w:t>0.0059</w:t>
            </w:r>
          </w:p>
        </w:tc>
        <w:tc>
          <w:tcPr>
            <w:tcW w:w="834" w:type="dxa"/>
            <w:tcBorders>
              <w:bottom w:val="single" w:color="auto" w:sz="4" w:space="0"/>
            </w:tcBorders>
            <w:shd w:val="clear" w:color="auto" w:fill="auto"/>
            <w:vAlign w:val="center"/>
          </w:tcPr>
          <w:p w14:paraId="0FC2FFB3">
            <w:pPr>
              <w:keepNext w:val="0"/>
              <w:keepLines w:val="0"/>
              <w:pageBreakBefore w:val="0"/>
              <w:widowControl/>
              <w:suppressLineNumbers w:val="0"/>
              <w:kinsoku/>
              <w:wordWrap/>
              <w:overflowPunct/>
              <w:topLinePunct w:val="0"/>
              <w:autoSpaceDE/>
              <w:autoSpaceDN/>
              <w:bidi w:val="0"/>
              <w:adjustRightInd/>
              <w:snapToGrid/>
              <w:ind w:left="0" w:right="0"/>
              <w:jc w:val="center"/>
              <w:textAlignment w:val="center"/>
              <w:rPr>
                <w:rFonts w:hint="default" w:ascii="Times New Roman" w:hAnsi="Times New Roman" w:eastAsia="等线" w:cs="Times New Roman"/>
                <w:color w:val="auto"/>
                <w:sz w:val="21"/>
                <w:szCs w:val="21"/>
                <w:highlight w:val="none"/>
                <w:lang w:val="en-US" w:bidi="ar"/>
              </w:rPr>
            </w:pPr>
            <w:r>
              <w:rPr>
                <w:rFonts w:hint="default" w:ascii="Times New Roman" w:hAnsi="Times New Roman" w:eastAsia="等线" w:cs="Times New Roman"/>
                <w:i w:val="0"/>
                <w:iCs w:val="0"/>
                <w:color w:val="auto"/>
                <w:kern w:val="0"/>
                <w:sz w:val="21"/>
                <w:szCs w:val="21"/>
                <w:highlight w:val="none"/>
                <w:u w:val="none"/>
                <w:lang w:val="en-US" w:eastAsia="zh-CN" w:bidi="ar"/>
              </w:rPr>
              <w:t>0.00</w:t>
            </w:r>
            <w:r>
              <w:rPr>
                <w:rFonts w:hint="eastAsia" w:ascii="Times New Roman" w:hAnsi="Times New Roman" w:eastAsia="等线" w:cs="Times New Roman"/>
                <w:i w:val="0"/>
                <w:iCs w:val="0"/>
                <w:color w:val="auto"/>
                <w:kern w:val="0"/>
                <w:sz w:val="21"/>
                <w:szCs w:val="21"/>
                <w:highlight w:val="none"/>
                <w:u w:val="none"/>
                <w:lang w:val="en-US" w:eastAsia="zh-CN" w:bidi="ar"/>
              </w:rPr>
              <w:t>297</w:t>
            </w:r>
          </w:p>
        </w:tc>
        <w:tc>
          <w:tcPr>
            <w:tcW w:w="1106" w:type="dxa"/>
            <w:vMerge w:val="continue"/>
            <w:tcBorders>
              <w:bottom w:val="single" w:color="auto" w:sz="4" w:space="0"/>
            </w:tcBorders>
            <w:shd w:val="clear" w:color="auto" w:fill="auto"/>
            <w:vAlign w:val="center"/>
          </w:tcPr>
          <w:p w14:paraId="41E4EDAD">
            <w:pPr>
              <w:keepNext w:val="0"/>
              <w:keepLines w:val="0"/>
              <w:pageBreakBefore w:val="0"/>
              <w:widowControl/>
              <w:kinsoku/>
              <w:wordWrap/>
              <w:overflowPunct/>
              <w:topLinePunct w:val="0"/>
              <w:autoSpaceDE/>
              <w:autoSpaceDN/>
              <w:bidi w:val="0"/>
              <w:adjustRightInd/>
              <w:snapToGrid/>
              <w:ind w:left="0" w:right="0"/>
              <w:jc w:val="center"/>
              <w:rPr>
                <w:rFonts w:hint="eastAsia"/>
                <w:color w:val="auto"/>
                <w:sz w:val="21"/>
                <w:szCs w:val="21"/>
                <w:highlight w:val="none"/>
              </w:rPr>
            </w:pPr>
          </w:p>
        </w:tc>
        <w:tc>
          <w:tcPr>
            <w:tcW w:w="642" w:type="dxa"/>
            <w:shd w:val="clear" w:color="auto" w:fill="auto"/>
            <w:vAlign w:val="center"/>
          </w:tcPr>
          <w:p w14:paraId="0DC2D9CC">
            <w:pPr>
              <w:keepNext w:val="0"/>
              <w:keepLines w:val="0"/>
              <w:pageBreakBefore w:val="0"/>
              <w:widowControl/>
              <w:kinsoku/>
              <w:wordWrap/>
              <w:overflowPunct/>
              <w:topLinePunct w:val="0"/>
              <w:autoSpaceDE/>
              <w:autoSpaceDN/>
              <w:bidi w:val="0"/>
              <w:adjustRightInd/>
              <w:snapToGrid/>
              <w:ind w:left="0" w:leftChars="0" w:right="0" w:rightChars="0"/>
              <w:jc w:val="center"/>
              <w:rPr>
                <w:rFonts w:ascii="Times New Roman" w:hAnsi="Times New Roman" w:eastAsia="等线" w:cs="Times New Roman"/>
                <w:color w:val="auto"/>
                <w:sz w:val="21"/>
                <w:szCs w:val="21"/>
                <w:highlight w:val="none"/>
              </w:rPr>
            </w:pPr>
            <w:r>
              <w:rPr>
                <w:rFonts w:ascii="Times New Roman" w:hAnsi="Times New Roman" w:eastAsia="等线" w:cs="Times New Roman"/>
                <w:color w:val="auto"/>
                <w:sz w:val="21"/>
                <w:szCs w:val="21"/>
                <w:highlight w:val="none"/>
              </w:rPr>
              <w:t>9</w:t>
            </w:r>
            <w:r>
              <w:rPr>
                <w:rFonts w:hint="eastAsia" w:ascii="Times New Roman" w:hAnsi="Times New Roman" w:eastAsia="等线" w:cs="Times New Roman"/>
                <w:color w:val="auto"/>
                <w:sz w:val="21"/>
                <w:szCs w:val="21"/>
                <w:highlight w:val="none"/>
              </w:rPr>
              <w:t>0</w:t>
            </w:r>
          </w:p>
        </w:tc>
        <w:tc>
          <w:tcPr>
            <w:tcW w:w="890" w:type="dxa"/>
            <w:shd w:val="clear" w:color="auto" w:fill="auto"/>
            <w:vAlign w:val="center"/>
          </w:tcPr>
          <w:p w14:paraId="1C3A9FB4">
            <w:pPr>
              <w:keepNext w:val="0"/>
              <w:keepLines w:val="0"/>
              <w:pageBreakBefore w:val="0"/>
              <w:widowControl/>
              <w:kinsoku/>
              <w:wordWrap/>
              <w:overflowPunct/>
              <w:topLinePunct w:val="0"/>
              <w:autoSpaceDE/>
              <w:autoSpaceDN/>
              <w:bidi w:val="0"/>
              <w:adjustRightInd/>
              <w:snapToGrid/>
              <w:ind w:left="0" w:leftChars="0" w:right="0" w:rightChars="0"/>
              <w:jc w:val="center"/>
              <w:rPr>
                <w:rFonts w:hint="eastAsia"/>
                <w:color w:val="auto"/>
                <w:sz w:val="21"/>
                <w:szCs w:val="21"/>
                <w:highlight w:val="none"/>
              </w:rPr>
            </w:pPr>
            <w:r>
              <w:rPr>
                <w:rFonts w:hint="eastAsia"/>
                <w:color w:val="auto"/>
                <w:sz w:val="21"/>
                <w:szCs w:val="21"/>
                <w:highlight w:val="none"/>
              </w:rPr>
              <w:t>类比法</w:t>
            </w:r>
          </w:p>
        </w:tc>
        <w:tc>
          <w:tcPr>
            <w:tcW w:w="890" w:type="dxa"/>
            <w:shd w:val="clear" w:color="auto" w:fill="auto"/>
            <w:vAlign w:val="center"/>
          </w:tcPr>
          <w:p w14:paraId="26699988">
            <w:pPr>
              <w:keepNext w:val="0"/>
              <w:keepLines w:val="0"/>
              <w:pageBreakBefore w:val="0"/>
              <w:widowControl/>
              <w:suppressLineNumbers w:val="0"/>
              <w:kinsoku/>
              <w:wordWrap/>
              <w:overflowPunct/>
              <w:topLinePunct w:val="0"/>
              <w:autoSpaceDE/>
              <w:autoSpaceDN/>
              <w:bidi w:val="0"/>
              <w:adjustRightInd/>
              <w:snapToGrid/>
              <w:ind w:left="0" w:right="0"/>
              <w:jc w:val="center"/>
              <w:textAlignment w:val="center"/>
              <w:rPr>
                <w:rFonts w:ascii="Times New Roman" w:hAnsi="Times New Roman" w:eastAsia="等线" w:cs="Times New Roman"/>
                <w:color w:val="auto"/>
                <w:sz w:val="21"/>
                <w:szCs w:val="21"/>
                <w:highlight w:val="none"/>
                <w:lang w:bidi="ar"/>
              </w:rPr>
            </w:pPr>
            <w:r>
              <w:rPr>
                <w:rFonts w:hint="default" w:ascii="Times New Roman" w:hAnsi="Times New Roman" w:eastAsia="等线" w:cs="Times New Roman"/>
                <w:i w:val="0"/>
                <w:iCs w:val="0"/>
                <w:color w:val="auto"/>
                <w:kern w:val="0"/>
                <w:sz w:val="21"/>
                <w:szCs w:val="21"/>
                <w:highlight w:val="none"/>
                <w:u w:val="none"/>
                <w:lang w:val="en-US" w:eastAsia="zh-CN" w:bidi="ar"/>
              </w:rPr>
              <w:t>0.1485</w:t>
            </w:r>
          </w:p>
        </w:tc>
        <w:tc>
          <w:tcPr>
            <w:tcW w:w="890" w:type="dxa"/>
            <w:shd w:val="clear" w:color="auto" w:fill="auto"/>
            <w:vAlign w:val="center"/>
          </w:tcPr>
          <w:p w14:paraId="1ED89700">
            <w:pPr>
              <w:keepNext w:val="0"/>
              <w:keepLines w:val="0"/>
              <w:pageBreakBefore w:val="0"/>
              <w:widowControl/>
              <w:suppressLineNumbers w:val="0"/>
              <w:kinsoku/>
              <w:wordWrap/>
              <w:overflowPunct/>
              <w:topLinePunct w:val="0"/>
              <w:autoSpaceDE/>
              <w:autoSpaceDN/>
              <w:bidi w:val="0"/>
              <w:adjustRightInd/>
              <w:snapToGrid/>
              <w:ind w:left="0" w:right="0"/>
              <w:jc w:val="right"/>
              <w:textAlignment w:val="center"/>
              <w:rPr>
                <w:rFonts w:ascii="Times New Roman" w:hAnsi="Times New Roman" w:eastAsia="等线" w:cs="Times New Roman"/>
                <w:color w:val="auto"/>
                <w:sz w:val="21"/>
                <w:szCs w:val="21"/>
                <w:highlight w:val="none"/>
                <w:lang w:bidi="ar"/>
              </w:rPr>
            </w:pPr>
            <w:r>
              <w:rPr>
                <w:rFonts w:hint="default" w:ascii="Times New Roman" w:hAnsi="Times New Roman" w:eastAsia="等线" w:cs="Times New Roman"/>
                <w:i w:val="0"/>
                <w:iCs w:val="0"/>
                <w:color w:val="auto"/>
                <w:kern w:val="0"/>
                <w:sz w:val="21"/>
                <w:szCs w:val="21"/>
                <w:highlight w:val="none"/>
                <w:u w:val="none"/>
                <w:lang w:val="en-US" w:eastAsia="zh-CN" w:bidi="ar"/>
              </w:rPr>
              <w:t>0.0006</w:t>
            </w:r>
          </w:p>
        </w:tc>
        <w:tc>
          <w:tcPr>
            <w:tcW w:w="805" w:type="dxa"/>
            <w:shd w:val="clear" w:color="auto" w:fill="auto"/>
            <w:vAlign w:val="center"/>
          </w:tcPr>
          <w:p w14:paraId="60E919C7">
            <w:pPr>
              <w:keepNext w:val="0"/>
              <w:keepLines w:val="0"/>
              <w:pageBreakBefore w:val="0"/>
              <w:widowControl/>
              <w:suppressLineNumbers w:val="0"/>
              <w:kinsoku/>
              <w:wordWrap/>
              <w:overflowPunct/>
              <w:topLinePunct w:val="0"/>
              <w:autoSpaceDE/>
              <w:autoSpaceDN/>
              <w:bidi w:val="0"/>
              <w:adjustRightInd/>
              <w:snapToGrid/>
              <w:ind w:left="0" w:right="0"/>
              <w:jc w:val="center"/>
              <w:textAlignment w:val="center"/>
              <w:rPr>
                <w:rFonts w:ascii="Times New Roman" w:hAnsi="Times New Roman" w:eastAsia="等线" w:cs="Times New Roman"/>
                <w:color w:val="auto"/>
                <w:sz w:val="21"/>
                <w:szCs w:val="21"/>
                <w:highlight w:val="none"/>
                <w:lang w:bidi="ar"/>
              </w:rPr>
            </w:pPr>
            <w:r>
              <w:rPr>
                <w:rFonts w:hint="default" w:ascii="Times New Roman" w:hAnsi="Times New Roman" w:eastAsia="等线" w:cs="Times New Roman"/>
                <w:i w:val="0"/>
                <w:iCs w:val="0"/>
                <w:color w:val="auto"/>
                <w:kern w:val="0"/>
                <w:sz w:val="21"/>
                <w:szCs w:val="21"/>
                <w:highlight w:val="none"/>
                <w:u w:val="none"/>
                <w:lang w:val="en-US" w:eastAsia="zh-CN" w:bidi="ar"/>
              </w:rPr>
              <w:t>0.0003</w:t>
            </w:r>
          </w:p>
        </w:tc>
        <w:tc>
          <w:tcPr>
            <w:tcW w:w="706" w:type="dxa"/>
            <w:shd w:val="clear" w:color="auto" w:fill="auto"/>
            <w:vAlign w:val="center"/>
          </w:tcPr>
          <w:p w14:paraId="58482C27">
            <w:pPr>
              <w:keepNext w:val="0"/>
              <w:keepLines w:val="0"/>
              <w:pageBreakBefore w:val="0"/>
              <w:widowControl/>
              <w:kinsoku/>
              <w:wordWrap/>
              <w:overflowPunct/>
              <w:topLinePunct w:val="0"/>
              <w:autoSpaceDE/>
              <w:autoSpaceDN/>
              <w:bidi w:val="0"/>
              <w:adjustRightInd/>
              <w:snapToGrid/>
              <w:ind w:left="0" w:right="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500</w:t>
            </w:r>
          </w:p>
        </w:tc>
        <w:tc>
          <w:tcPr>
            <w:tcW w:w="840" w:type="dxa"/>
            <w:vMerge w:val="continue"/>
            <w:shd w:val="clear" w:color="000000" w:fill="FFFFFF"/>
            <w:vAlign w:val="center"/>
          </w:tcPr>
          <w:p w14:paraId="28A4C8F0">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cs="Times New Roman"/>
                <w:color w:val="auto"/>
                <w:sz w:val="21"/>
                <w:szCs w:val="21"/>
                <w:highlight w:val="none"/>
              </w:rPr>
            </w:pPr>
          </w:p>
        </w:tc>
        <w:tc>
          <w:tcPr>
            <w:tcW w:w="855" w:type="dxa"/>
            <w:shd w:val="clear" w:color="000000" w:fill="FFFFFF"/>
            <w:vAlign w:val="center"/>
          </w:tcPr>
          <w:p w14:paraId="5E355A8C">
            <w:pPr>
              <w:keepNext w:val="0"/>
              <w:keepLines w:val="0"/>
              <w:pageBreakBefore w:val="0"/>
              <w:widowControl/>
              <w:kinsoku/>
              <w:wordWrap/>
              <w:overflowPunct/>
              <w:topLinePunct w:val="0"/>
              <w:autoSpaceDE/>
              <w:autoSpaceDN/>
              <w:bidi w:val="0"/>
              <w:adjustRightInd/>
              <w:snapToGrid/>
              <w:ind w:left="0" w:right="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100</w:t>
            </w:r>
          </w:p>
        </w:tc>
        <w:tc>
          <w:tcPr>
            <w:tcW w:w="668" w:type="dxa"/>
            <w:vAlign w:val="center"/>
          </w:tcPr>
          <w:p w14:paraId="2C26C1BA">
            <w:pPr>
              <w:keepNext w:val="0"/>
              <w:keepLines w:val="0"/>
              <w:pageBreakBefore w:val="0"/>
              <w:widowControl/>
              <w:kinsoku/>
              <w:wordWrap/>
              <w:overflowPunct/>
              <w:topLinePunct w:val="0"/>
              <w:autoSpaceDE/>
              <w:autoSpaceDN/>
              <w:bidi w:val="0"/>
              <w:adjustRightInd/>
              <w:snapToGrid/>
              <w:ind w:left="0" w:right="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0.47</w:t>
            </w:r>
          </w:p>
        </w:tc>
      </w:tr>
    </w:tbl>
    <w:p w14:paraId="2CC87D03">
      <w:pPr>
        <w:pStyle w:val="15"/>
        <w:spacing w:line="360" w:lineRule="auto"/>
        <w:ind w:left="-105" w:right="-105" w:firstLine="482"/>
        <w:rPr>
          <w:rFonts w:eastAsia="宋体" w:cs="Times New Roman"/>
          <w:color w:val="auto"/>
          <w:sz w:val="24"/>
          <w:szCs w:val="24"/>
          <w:highlight w:val="none"/>
        </w:rPr>
      </w:pPr>
      <w:r>
        <w:rPr>
          <w:rFonts w:eastAsia="宋体" w:cs="Times New Roman"/>
          <w:color w:val="auto"/>
          <w:sz w:val="24"/>
          <w:szCs w:val="24"/>
          <w:highlight w:val="none"/>
        </w:rPr>
        <w:t>表</w:t>
      </w:r>
      <w:r>
        <w:rPr>
          <w:rFonts w:eastAsia="宋体" w:cs="Times New Roman"/>
          <w:color w:val="auto"/>
          <w:sz w:val="24"/>
          <w:szCs w:val="24"/>
          <w:highlight w:val="none"/>
        </w:rPr>
        <w:fldChar w:fldCharType="begin"/>
      </w:r>
      <w:r>
        <w:rPr>
          <w:rFonts w:eastAsia="宋体" w:cs="Times New Roman"/>
          <w:color w:val="auto"/>
          <w:sz w:val="24"/>
          <w:szCs w:val="24"/>
          <w:highlight w:val="none"/>
        </w:rPr>
        <w:instrText xml:space="preserve"> STYLEREF 2 \s </w:instrText>
      </w:r>
      <w:r>
        <w:rPr>
          <w:rFonts w:eastAsia="宋体" w:cs="Times New Roman"/>
          <w:color w:val="auto"/>
          <w:sz w:val="24"/>
          <w:szCs w:val="24"/>
          <w:highlight w:val="none"/>
        </w:rPr>
        <w:fldChar w:fldCharType="separate"/>
      </w:r>
      <w:r>
        <w:rPr>
          <w:rFonts w:eastAsia="宋体" w:cs="Times New Roman"/>
          <w:color w:val="auto"/>
          <w:sz w:val="24"/>
          <w:szCs w:val="24"/>
          <w:highlight w:val="none"/>
        </w:rPr>
        <w:t>4.6</w:t>
      </w:r>
      <w:r>
        <w:rPr>
          <w:rFonts w:eastAsia="宋体" w:cs="Times New Roman"/>
          <w:color w:val="auto"/>
          <w:sz w:val="24"/>
          <w:szCs w:val="24"/>
          <w:highlight w:val="none"/>
        </w:rPr>
        <w:fldChar w:fldCharType="end"/>
      </w:r>
      <w:r>
        <w:rPr>
          <w:rFonts w:eastAsia="宋体" w:cs="Times New Roman"/>
          <w:color w:val="auto"/>
          <w:sz w:val="24"/>
          <w:szCs w:val="24"/>
          <w:highlight w:val="none"/>
        </w:rPr>
        <w:noBreakHyphen/>
      </w:r>
      <w:r>
        <w:rPr>
          <w:rFonts w:eastAsia="宋体" w:cs="Times New Roman"/>
          <w:color w:val="auto"/>
          <w:sz w:val="24"/>
          <w:szCs w:val="24"/>
          <w:highlight w:val="none"/>
        </w:rPr>
        <w:fldChar w:fldCharType="begin"/>
      </w:r>
      <w:r>
        <w:rPr>
          <w:rFonts w:eastAsia="宋体" w:cs="Times New Roman"/>
          <w:color w:val="auto"/>
          <w:sz w:val="24"/>
          <w:szCs w:val="24"/>
          <w:highlight w:val="none"/>
        </w:rPr>
        <w:instrText xml:space="preserve"> SEQ 表 \* ARABIC \s 2 </w:instrText>
      </w:r>
      <w:r>
        <w:rPr>
          <w:rFonts w:eastAsia="宋体" w:cs="Times New Roman"/>
          <w:color w:val="auto"/>
          <w:sz w:val="24"/>
          <w:szCs w:val="24"/>
          <w:highlight w:val="none"/>
        </w:rPr>
        <w:fldChar w:fldCharType="separate"/>
      </w:r>
      <w:r>
        <w:rPr>
          <w:rFonts w:eastAsia="宋体" w:cs="Times New Roman"/>
          <w:color w:val="auto"/>
          <w:sz w:val="24"/>
          <w:szCs w:val="24"/>
          <w:highlight w:val="none"/>
        </w:rPr>
        <w:t>4</w:t>
      </w:r>
      <w:r>
        <w:rPr>
          <w:rFonts w:eastAsia="宋体" w:cs="Times New Roman"/>
          <w:color w:val="auto"/>
          <w:sz w:val="24"/>
          <w:szCs w:val="24"/>
          <w:highlight w:val="none"/>
        </w:rPr>
        <w:fldChar w:fldCharType="end"/>
      </w:r>
      <w:r>
        <w:rPr>
          <w:rFonts w:eastAsia="宋体" w:cs="Times New Roman"/>
          <w:color w:val="auto"/>
          <w:sz w:val="24"/>
          <w:szCs w:val="24"/>
          <w:highlight w:val="none"/>
        </w:rPr>
        <w:t>本项目</w:t>
      </w:r>
      <w:r>
        <w:rPr>
          <w:rFonts w:hint="eastAsia" w:eastAsia="宋体" w:cs="Times New Roman"/>
          <w:color w:val="auto"/>
          <w:sz w:val="24"/>
          <w:szCs w:val="24"/>
          <w:highlight w:val="none"/>
        </w:rPr>
        <w:t>大气污染物有组织废气依托排放</w:t>
      </w:r>
      <w:r>
        <w:rPr>
          <w:rFonts w:eastAsia="宋体" w:cs="Times New Roman"/>
          <w:color w:val="auto"/>
          <w:sz w:val="24"/>
          <w:szCs w:val="24"/>
          <w:highlight w:val="none"/>
        </w:rPr>
        <w:t>情况</w:t>
      </w:r>
    </w:p>
    <w:tbl>
      <w:tblPr>
        <w:tblStyle w:val="45"/>
        <w:tblW w:w="5000" w:type="pct"/>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
      <w:tblGrid>
        <w:gridCol w:w="852"/>
        <w:gridCol w:w="1550"/>
        <w:gridCol w:w="1786"/>
        <w:gridCol w:w="1261"/>
        <w:gridCol w:w="1411"/>
        <w:gridCol w:w="1503"/>
        <w:gridCol w:w="1322"/>
        <w:gridCol w:w="1322"/>
        <w:gridCol w:w="1322"/>
        <w:gridCol w:w="1323"/>
      </w:tblGrid>
      <w:tr w14:paraId="2FF4730A">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850" w:type="dxa"/>
            <w:vMerge w:val="restart"/>
            <w:vAlign w:val="center"/>
          </w:tcPr>
          <w:p w14:paraId="7326F0D1">
            <w:pPr>
              <w:pStyle w:val="237"/>
              <w:ind w:left="-105" w:right="-105"/>
              <w:rPr>
                <w:rFonts w:ascii="Times New Roman" w:hAnsi="Times New Roman" w:eastAsia="宋体" w:cs="Times New Roman"/>
                <w:b/>
                <w:bCs/>
                <w:color w:val="auto"/>
                <w:sz w:val="21"/>
                <w:highlight w:val="none"/>
                <w:lang w:val="en-US"/>
              </w:rPr>
            </w:pPr>
            <w:r>
              <w:rPr>
                <w:rFonts w:ascii="Times New Roman" w:hAnsi="Times New Roman" w:eastAsia="宋体" w:cs="Times New Roman"/>
                <w:b/>
                <w:bCs/>
                <w:color w:val="auto"/>
                <w:sz w:val="21"/>
                <w:highlight w:val="none"/>
                <w:lang w:val="en-US"/>
              </w:rPr>
              <w:t>点源编号</w:t>
            </w:r>
          </w:p>
        </w:tc>
        <w:tc>
          <w:tcPr>
            <w:tcW w:w="1550" w:type="dxa"/>
            <w:vMerge w:val="restart"/>
            <w:vAlign w:val="center"/>
          </w:tcPr>
          <w:p w14:paraId="65F14FD4">
            <w:pPr>
              <w:pStyle w:val="237"/>
              <w:ind w:left="-105" w:right="-105"/>
              <w:rPr>
                <w:rFonts w:ascii="Times New Roman" w:hAnsi="Times New Roman" w:eastAsia="宋体" w:cs="Times New Roman"/>
                <w:b/>
                <w:bCs/>
                <w:color w:val="auto"/>
                <w:sz w:val="21"/>
                <w:highlight w:val="none"/>
                <w:lang w:val="en-US"/>
              </w:rPr>
            </w:pPr>
            <w:r>
              <w:rPr>
                <w:rFonts w:ascii="Times New Roman" w:hAnsi="Times New Roman" w:eastAsia="宋体" w:cs="Times New Roman"/>
                <w:b/>
                <w:bCs/>
                <w:color w:val="auto"/>
                <w:sz w:val="21"/>
                <w:highlight w:val="none"/>
                <w:lang w:val="en-US"/>
              </w:rPr>
              <w:t>产污环节</w:t>
            </w:r>
          </w:p>
        </w:tc>
        <w:tc>
          <w:tcPr>
            <w:tcW w:w="1788" w:type="dxa"/>
            <w:vMerge w:val="restart"/>
            <w:vAlign w:val="center"/>
          </w:tcPr>
          <w:p w14:paraId="78999F03">
            <w:pPr>
              <w:pStyle w:val="237"/>
              <w:ind w:left="-105" w:right="-105"/>
              <w:rPr>
                <w:rFonts w:ascii="Times New Roman" w:hAnsi="Times New Roman" w:eastAsia="宋体" w:cs="Times New Roman"/>
                <w:b/>
                <w:bCs/>
                <w:color w:val="auto"/>
                <w:sz w:val="21"/>
                <w:highlight w:val="none"/>
                <w:lang w:val="en-US"/>
              </w:rPr>
            </w:pPr>
            <w:r>
              <w:rPr>
                <w:rFonts w:ascii="Times New Roman" w:hAnsi="Times New Roman" w:eastAsia="宋体" w:cs="Times New Roman"/>
                <w:b/>
                <w:bCs/>
                <w:color w:val="auto"/>
                <w:sz w:val="21"/>
                <w:highlight w:val="none"/>
                <w:lang w:val="en-US"/>
              </w:rPr>
              <w:t>污染物种类</w:t>
            </w:r>
          </w:p>
        </w:tc>
        <w:tc>
          <w:tcPr>
            <w:tcW w:w="1261" w:type="dxa"/>
            <w:vMerge w:val="restart"/>
            <w:vAlign w:val="center"/>
          </w:tcPr>
          <w:p w14:paraId="3F074BED">
            <w:pPr>
              <w:pStyle w:val="237"/>
              <w:ind w:left="-105" w:right="-105"/>
              <w:rPr>
                <w:rFonts w:ascii="Times New Roman" w:hAnsi="Times New Roman" w:eastAsia="宋体" w:cs="Times New Roman"/>
                <w:b/>
                <w:bCs/>
                <w:color w:val="auto"/>
                <w:sz w:val="21"/>
                <w:highlight w:val="none"/>
                <w:lang w:val="en-US"/>
              </w:rPr>
            </w:pPr>
            <w:r>
              <w:rPr>
                <w:rFonts w:ascii="Times New Roman" w:hAnsi="Times New Roman" w:eastAsia="宋体" w:cs="Times New Roman"/>
                <w:b/>
                <w:bCs/>
                <w:color w:val="auto"/>
                <w:sz w:val="21"/>
                <w:highlight w:val="none"/>
                <w:lang w:val="en-US"/>
              </w:rPr>
              <w:t>设计风量m</w:t>
            </w:r>
            <w:r>
              <w:rPr>
                <w:rFonts w:ascii="Times New Roman" w:hAnsi="Times New Roman" w:eastAsia="宋体" w:cs="Times New Roman"/>
                <w:b/>
                <w:bCs/>
                <w:color w:val="auto"/>
                <w:sz w:val="21"/>
                <w:highlight w:val="none"/>
                <w:vertAlign w:val="superscript"/>
                <w:lang w:val="en-US"/>
              </w:rPr>
              <w:t>3</w:t>
            </w:r>
            <w:r>
              <w:rPr>
                <w:rFonts w:ascii="Times New Roman" w:hAnsi="Times New Roman" w:eastAsia="宋体" w:cs="Times New Roman"/>
                <w:b/>
                <w:bCs/>
                <w:color w:val="auto"/>
                <w:sz w:val="21"/>
                <w:highlight w:val="none"/>
                <w:lang w:val="en-US"/>
              </w:rPr>
              <w:t>/h</w:t>
            </w:r>
          </w:p>
        </w:tc>
        <w:tc>
          <w:tcPr>
            <w:tcW w:w="2914" w:type="dxa"/>
            <w:gridSpan w:val="2"/>
            <w:vAlign w:val="center"/>
          </w:tcPr>
          <w:p w14:paraId="2D86DB16">
            <w:pPr>
              <w:pStyle w:val="237"/>
              <w:ind w:left="-105" w:right="-105"/>
              <w:rPr>
                <w:rFonts w:ascii="Times New Roman" w:hAnsi="Times New Roman" w:eastAsia="宋体" w:cs="Times New Roman"/>
                <w:b/>
                <w:bCs/>
                <w:color w:val="auto"/>
                <w:sz w:val="21"/>
                <w:highlight w:val="none"/>
                <w:lang w:val="en-US"/>
              </w:rPr>
            </w:pPr>
            <w:r>
              <w:rPr>
                <w:rFonts w:hint="eastAsia" w:eastAsia="宋体"/>
                <w:b/>
                <w:bCs/>
                <w:color w:val="auto"/>
                <w:sz w:val="21"/>
                <w:highlight w:val="none"/>
              </w:rPr>
              <w:t>污染物</w:t>
            </w:r>
            <w:r>
              <w:rPr>
                <w:rFonts w:hint="eastAsia" w:ascii="Times New Roman" w:hAnsi="Times New Roman" w:eastAsia="宋体" w:cs="Times New Roman"/>
                <w:b/>
                <w:bCs/>
                <w:color w:val="auto"/>
                <w:sz w:val="21"/>
                <w:highlight w:val="none"/>
                <w:lang w:val="en-US"/>
              </w:rPr>
              <w:t>产生情况</w:t>
            </w:r>
          </w:p>
        </w:tc>
        <w:tc>
          <w:tcPr>
            <w:tcW w:w="3966" w:type="dxa"/>
            <w:gridSpan w:val="3"/>
            <w:vAlign w:val="center"/>
          </w:tcPr>
          <w:p w14:paraId="507C8BB3">
            <w:pPr>
              <w:ind w:left="-105" w:right="-105"/>
              <w:jc w:val="center"/>
              <w:rPr>
                <w:rFonts w:ascii="Times New Roman" w:hAnsi="Times New Roman" w:cs="Times New Roman"/>
                <w:b/>
                <w:bCs/>
                <w:color w:val="auto"/>
                <w:sz w:val="21"/>
                <w:szCs w:val="21"/>
                <w:highlight w:val="none"/>
              </w:rPr>
            </w:pPr>
            <w:r>
              <w:rPr>
                <w:rFonts w:ascii="Times New Roman" w:hAnsi="Times New Roman" w:cs="Times New Roman"/>
                <w:b/>
                <w:bCs/>
                <w:color w:val="auto"/>
                <w:sz w:val="21"/>
                <w:szCs w:val="21"/>
                <w:highlight w:val="none"/>
              </w:rPr>
              <w:t>污染物排放情况</w:t>
            </w:r>
          </w:p>
        </w:tc>
        <w:tc>
          <w:tcPr>
            <w:tcW w:w="1323" w:type="dxa"/>
            <w:vMerge w:val="restart"/>
            <w:vAlign w:val="center"/>
          </w:tcPr>
          <w:p w14:paraId="3016EF75">
            <w:pPr>
              <w:pStyle w:val="237"/>
              <w:ind w:left="-105" w:right="-105"/>
              <w:rPr>
                <w:rFonts w:ascii="Times New Roman" w:hAnsi="Times New Roman" w:eastAsia="宋体" w:cs="Times New Roman"/>
                <w:b/>
                <w:bCs/>
                <w:color w:val="auto"/>
                <w:sz w:val="21"/>
                <w:highlight w:val="none"/>
                <w:lang w:val="en-US"/>
              </w:rPr>
            </w:pPr>
            <w:r>
              <w:rPr>
                <w:rFonts w:ascii="Times New Roman" w:hAnsi="Times New Roman" w:eastAsia="宋体" w:cs="Times New Roman"/>
                <w:b/>
                <w:bCs/>
                <w:color w:val="auto"/>
                <w:sz w:val="21"/>
                <w:highlight w:val="none"/>
                <w:lang w:val="en-US"/>
              </w:rPr>
              <w:t>工作时间h</w:t>
            </w:r>
          </w:p>
        </w:tc>
      </w:tr>
      <w:tr w14:paraId="440D9B8D">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850" w:type="dxa"/>
            <w:vMerge w:val="continue"/>
            <w:vAlign w:val="center"/>
          </w:tcPr>
          <w:p w14:paraId="2B557FB6">
            <w:pPr>
              <w:pStyle w:val="237"/>
              <w:ind w:left="-105" w:right="-105"/>
              <w:rPr>
                <w:rFonts w:ascii="Times New Roman" w:hAnsi="Times New Roman" w:eastAsia="宋体" w:cs="Times New Roman"/>
                <w:b/>
                <w:bCs/>
                <w:color w:val="auto"/>
                <w:sz w:val="21"/>
                <w:highlight w:val="none"/>
                <w:lang w:val="en-US"/>
              </w:rPr>
            </w:pPr>
          </w:p>
        </w:tc>
        <w:tc>
          <w:tcPr>
            <w:tcW w:w="1550" w:type="dxa"/>
            <w:vMerge w:val="continue"/>
            <w:vAlign w:val="center"/>
          </w:tcPr>
          <w:p w14:paraId="4415DEDA">
            <w:pPr>
              <w:pStyle w:val="237"/>
              <w:ind w:left="-105" w:right="-105"/>
              <w:rPr>
                <w:rFonts w:ascii="Times New Roman" w:hAnsi="Times New Roman" w:eastAsia="宋体" w:cs="Times New Roman"/>
                <w:b/>
                <w:bCs/>
                <w:color w:val="auto"/>
                <w:sz w:val="21"/>
                <w:highlight w:val="none"/>
                <w:lang w:val="en-US"/>
              </w:rPr>
            </w:pPr>
          </w:p>
        </w:tc>
        <w:tc>
          <w:tcPr>
            <w:tcW w:w="1788" w:type="dxa"/>
            <w:vMerge w:val="continue"/>
            <w:vAlign w:val="center"/>
          </w:tcPr>
          <w:p w14:paraId="39DEB194">
            <w:pPr>
              <w:pStyle w:val="237"/>
              <w:ind w:left="-105" w:right="-105"/>
              <w:rPr>
                <w:rFonts w:ascii="Times New Roman" w:hAnsi="Times New Roman" w:eastAsia="宋体" w:cs="Times New Roman"/>
                <w:b/>
                <w:bCs/>
                <w:color w:val="auto"/>
                <w:sz w:val="21"/>
                <w:highlight w:val="none"/>
                <w:lang w:val="en-US"/>
              </w:rPr>
            </w:pPr>
          </w:p>
        </w:tc>
        <w:tc>
          <w:tcPr>
            <w:tcW w:w="1261" w:type="dxa"/>
            <w:vMerge w:val="continue"/>
            <w:vAlign w:val="center"/>
          </w:tcPr>
          <w:p w14:paraId="5042DBC6">
            <w:pPr>
              <w:pStyle w:val="237"/>
              <w:ind w:left="-105" w:right="-105"/>
              <w:rPr>
                <w:rFonts w:ascii="Times New Roman" w:hAnsi="Times New Roman" w:eastAsia="宋体" w:cs="Times New Roman"/>
                <w:b/>
                <w:bCs/>
                <w:color w:val="auto"/>
                <w:sz w:val="21"/>
                <w:highlight w:val="none"/>
                <w:lang w:val="en-US"/>
              </w:rPr>
            </w:pPr>
          </w:p>
        </w:tc>
        <w:tc>
          <w:tcPr>
            <w:tcW w:w="1411" w:type="dxa"/>
            <w:vAlign w:val="center"/>
          </w:tcPr>
          <w:p w14:paraId="46C348C2">
            <w:pPr>
              <w:pStyle w:val="237"/>
              <w:ind w:left="-105" w:right="-105"/>
              <w:rPr>
                <w:rFonts w:ascii="Times New Roman" w:hAnsi="Times New Roman" w:eastAsia="宋体" w:cs="Times New Roman"/>
                <w:b/>
                <w:bCs/>
                <w:color w:val="auto"/>
                <w:sz w:val="21"/>
                <w:highlight w:val="none"/>
                <w:lang w:val="en-US"/>
              </w:rPr>
            </w:pPr>
            <w:r>
              <w:rPr>
                <w:rFonts w:ascii="Times New Roman" w:hAnsi="Times New Roman" w:eastAsia="宋体" w:cs="Times New Roman"/>
                <w:b/>
                <w:bCs/>
                <w:color w:val="auto"/>
                <w:sz w:val="21"/>
                <w:highlight w:val="none"/>
                <w:lang w:val="en-US"/>
              </w:rPr>
              <w:t>产生浓度</w:t>
            </w:r>
            <w:r>
              <w:rPr>
                <w:rFonts w:hint="eastAsia" w:ascii="Times New Roman" w:hAnsi="Times New Roman" w:eastAsia="宋体" w:cs="Times New Roman"/>
                <w:b/>
                <w:bCs/>
                <w:color w:val="auto"/>
                <w:sz w:val="21"/>
                <w:highlight w:val="none"/>
                <w:lang w:val="en-US"/>
              </w:rPr>
              <w:t>*</w:t>
            </w:r>
          </w:p>
          <w:p w14:paraId="05A39CB2">
            <w:pPr>
              <w:pStyle w:val="237"/>
              <w:ind w:left="-105" w:right="-105"/>
              <w:rPr>
                <w:rFonts w:ascii="Times New Roman" w:hAnsi="Times New Roman" w:eastAsia="宋体" w:cs="Times New Roman"/>
                <w:b/>
                <w:bCs/>
                <w:color w:val="auto"/>
                <w:sz w:val="21"/>
                <w:highlight w:val="none"/>
                <w:lang w:val="en-US"/>
              </w:rPr>
            </w:pPr>
            <w:r>
              <w:rPr>
                <w:rFonts w:ascii="Times New Roman" w:hAnsi="Times New Roman" w:eastAsia="宋体" w:cs="Times New Roman"/>
                <w:b/>
                <w:bCs/>
                <w:color w:val="auto"/>
                <w:sz w:val="21"/>
                <w:highlight w:val="none"/>
                <w:lang w:val="en-US"/>
              </w:rPr>
              <w:t>mg/m</w:t>
            </w:r>
            <w:r>
              <w:rPr>
                <w:rFonts w:ascii="Times New Roman" w:hAnsi="Times New Roman" w:eastAsia="宋体" w:cs="Times New Roman"/>
                <w:b/>
                <w:bCs/>
                <w:color w:val="auto"/>
                <w:sz w:val="21"/>
                <w:highlight w:val="none"/>
                <w:vertAlign w:val="superscript"/>
                <w:lang w:val="en-US"/>
              </w:rPr>
              <w:t>3</w:t>
            </w:r>
          </w:p>
        </w:tc>
        <w:tc>
          <w:tcPr>
            <w:tcW w:w="1503" w:type="dxa"/>
            <w:vAlign w:val="center"/>
          </w:tcPr>
          <w:p w14:paraId="4C6D657D">
            <w:pPr>
              <w:pStyle w:val="237"/>
              <w:ind w:left="-105" w:right="-105"/>
              <w:rPr>
                <w:rFonts w:ascii="Times New Roman" w:hAnsi="Times New Roman" w:eastAsia="宋体" w:cs="Times New Roman"/>
                <w:b/>
                <w:bCs/>
                <w:color w:val="auto"/>
                <w:sz w:val="21"/>
                <w:highlight w:val="none"/>
                <w:lang w:val="en-US"/>
              </w:rPr>
            </w:pPr>
            <w:r>
              <w:rPr>
                <w:rFonts w:ascii="Times New Roman" w:hAnsi="Times New Roman" w:eastAsia="宋体" w:cs="Times New Roman"/>
                <w:b/>
                <w:bCs/>
                <w:color w:val="auto"/>
                <w:sz w:val="21"/>
                <w:highlight w:val="none"/>
                <w:lang w:val="en-US"/>
              </w:rPr>
              <w:t>产生量</w:t>
            </w:r>
            <w:r>
              <w:rPr>
                <w:rFonts w:ascii="Times New Roman" w:hAnsi="Times New Roman" w:eastAsia="宋体" w:cs="Times New Roman"/>
                <w:b/>
                <w:bCs/>
                <w:snapToGrid w:val="0"/>
                <w:color w:val="auto"/>
                <w:sz w:val="21"/>
                <w:highlight w:val="none"/>
                <w:lang w:val="en-US"/>
              </w:rPr>
              <w:t>t/a</w:t>
            </w:r>
          </w:p>
        </w:tc>
        <w:tc>
          <w:tcPr>
            <w:tcW w:w="1322" w:type="dxa"/>
            <w:vAlign w:val="center"/>
          </w:tcPr>
          <w:p w14:paraId="4C7E978D">
            <w:pPr>
              <w:ind w:left="-105" w:right="-105"/>
              <w:jc w:val="center"/>
              <w:rPr>
                <w:rFonts w:ascii="Times New Roman" w:hAnsi="Times New Roman" w:cs="Times New Roman"/>
                <w:b/>
                <w:bCs/>
                <w:color w:val="auto"/>
                <w:sz w:val="21"/>
                <w:szCs w:val="21"/>
                <w:highlight w:val="none"/>
              </w:rPr>
            </w:pPr>
            <w:r>
              <w:rPr>
                <w:rFonts w:ascii="Times New Roman" w:hAnsi="Times New Roman" w:cs="Times New Roman"/>
                <w:b/>
                <w:bCs/>
                <w:color w:val="auto"/>
                <w:sz w:val="21"/>
                <w:szCs w:val="21"/>
                <w:highlight w:val="none"/>
              </w:rPr>
              <w:t>排放浓度</w:t>
            </w:r>
            <w:r>
              <w:rPr>
                <w:rFonts w:hint="eastAsia" w:ascii="Times New Roman" w:hAnsi="Times New Roman" w:cs="Times New Roman"/>
                <w:b/>
                <w:bCs/>
                <w:color w:val="auto"/>
                <w:sz w:val="21"/>
                <w:szCs w:val="21"/>
                <w:highlight w:val="none"/>
              </w:rPr>
              <w:t>*</w:t>
            </w:r>
            <w:r>
              <w:rPr>
                <w:rFonts w:ascii="Times New Roman" w:hAnsi="Times New Roman" w:cs="Times New Roman"/>
                <w:b/>
                <w:bCs/>
                <w:color w:val="auto"/>
                <w:sz w:val="21"/>
                <w:szCs w:val="21"/>
                <w:highlight w:val="none"/>
              </w:rPr>
              <w:t>mg/m</w:t>
            </w:r>
            <w:r>
              <w:rPr>
                <w:rFonts w:ascii="Times New Roman" w:hAnsi="Times New Roman" w:cs="Times New Roman"/>
                <w:b/>
                <w:bCs/>
                <w:color w:val="auto"/>
                <w:sz w:val="21"/>
                <w:szCs w:val="21"/>
                <w:highlight w:val="none"/>
                <w:vertAlign w:val="superscript"/>
              </w:rPr>
              <w:t>3</w:t>
            </w:r>
          </w:p>
        </w:tc>
        <w:tc>
          <w:tcPr>
            <w:tcW w:w="1322" w:type="dxa"/>
            <w:vAlign w:val="center"/>
          </w:tcPr>
          <w:p w14:paraId="60BC4099">
            <w:pPr>
              <w:ind w:left="-105" w:right="-105"/>
              <w:jc w:val="center"/>
              <w:rPr>
                <w:rFonts w:ascii="Times New Roman" w:hAnsi="Times New Roman" w:cs="Times New Roman"/>
                <w:b/>
                <w:bCs/>
                <w:color w:val="auto"/>
                <w:sz w:val="21"/>
                <w:szCs w:val="21"/>
                <w:highlight w:val="none"/>
              </w:rPr>
            </w:pPr>
            <w:r>
              <w:rPr>
                <w:rFonts w:ascii="Times New Roman" w:hAnsi="Times New Roman" w:cs="Times New Roman"/>
                <w:b/>
                <w:bCs/>
                <w:color w:val="auto"/>
                <w:sz w:val="21"/>
                <w:szCs w:val="21"/>
                <w:highlight w:val="none"/>
              </w:rPr>
              <w:t>排放速率kg/h</w:t>
            </w:r>
          </w:p>
        </w:tc>
        <w:tc>
          <w:tcPr>
            <w:tcW w:w="1322" w:type="dxa"/>
            <w:vAlign w:val="center"/>
          </w:tcPr>
          <w:p w14:paraId="0D1A2C1A">
            <w:pPr>
              <w:ind w:left="-105" w:right="-105"/>
              <w:jc w:val="center"/>
              <w:rPr>
                <w:rFonts w:ascii="Times New Roman" w:hAnsi="Times New Roman" w:cs="Times New Roman"/>
                <w:b/>
                <w:bCs/>
                <w:color w:val="auto"/>
                <w:sz w:val="21"/>
                <w:szCs w:val="21"/>
                <w:highlight w:val="none"/>
              </w:rPr>
            </w:pPr>
            <w:r>
              <w:rPr>
                <w:rFonts w:ascii="Times New Roman" w:hAnsi="Times New Roman" w:cs="Times New Roman"/>
                <w:b/>
                <w:bCs/>
                <w:color w:val="auto"/>
                <w:sz w:val="21"/>
                <w:szCs w:val="21"/>
                <w:highlight w:val="none"/>
              </w:rPr>
              <w:t>排放量t/a</w:t>
            </w:r>
          </w:p>
        </w:tc>
        <w:tc>
          <w:tcPr>
            <w:tcW w:w="1323" w:type="dxa"/>
            <w:vMerge w:val="continue"/>
            <w:vAlign w:val="center"/>
          </w:tcPr>
          <w:p w14:paraId="59D6298B">
            <w:pPr>
              <w:pStyle w:val="237"/>
              <w:ind w:left="-105" w:right="-105"/>
              <w:rPr>
                <w:rFonts w:ascii="Times New Roman" w:hAnsi="Times New Roman" w:eastAsia="宋体" w:cs="Times New Roman"/>
                <w:b/>
                <w:bCs/>
                <w:color w:val="auto"/>
                <w:sz w:val="21"/>
                <w:highlight w:val="none"/>
                <w:lang w:val="en-US"/>
              </w:rPr>
            </w:pPr>
          </w:p>
        </w:tc>
      </w:tr>
      <w:tr w14:paraId="622F0877">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850" w:type="dxa"/>
            <w:vAlign w:val="center"/>
          </w:tcPr>
          <w:p w14:paraId="294B0162">
            <w:pPr>
              <w:pStyle w:val="237"/>
              <w:ind w:left="-105" w:right="-105"/>
              <w:rPr>
                <w:rFonts w:ascii="Times New Roman" w:hAnsi="Times New Roman" w:eastAsia="宋体" w:cs="Times New Roman"/>
                <w:color w:val="auto"/>
                <w:sz w:val="21"/>
                <w:highlight w:val="none"/>
                <w:lang w:val="en-US"/>
              </w:rPr>
            </w:pPr>
            <w:r>
              <w:rPr>
                <w:rFonts w:hint="eastAsia" w:ascii="Times New Roman" w:hAnsi="Times New Roman" w:eastAsia="宋体" w:cs="Times New Roman"/>
                <w:color w:val="auto"/>
                <w:sz w:val="21"/>
                <w:highlight w:val="none"/>
                <w:lang w:val="en-US"/>
              </w:rPr>
              <w:t>DA005</w:t>
            </w:r>
          </w:p>
        </w:tc>
        <w:tc>
          <w:tcPr>
            <w:tcW w:w="1550" w:type="dxa"/>
            <w:vAlign w:val="center"/>
          </w:tcPr>
          <w:p w14:paraId="7307876F">
            <w:pPr>
              <w:pStyle w:val="237"/>
              <w:ind w:left="-105" w:right="-105"/>
              <w:rPr>
                <w:rFonts w:ascii="Times New Roman" w:hAnsi="Times New Roman" w:eastAsia="宋体" w:cs="Times New Roman"/>
                <w:color w:val="auto"/>
                <w:sz w:val="21"/>
                <w:highlight w:val="none"/>
                <w:lang w:val="en-US"/>
              </w:rPr>
            </w:pPr>
            <w:r>
              <w:rPr>
                <w:rFonts w:hint="eastAsia" w:ascii="Times New Roman" w:hAnsi="Times New Roman" w:eastAsia="宋体" w:cs="Times New Roman"/>
                <w:color w:val="auto"/>
                <w:sz w:val="21"/>
                <w:highlight w:val="none"/>
                <w:lang w:val="en-US"/>
              </w:rPr>
              <w:t>二工场所有反应釜</w:t>
            </w:r>
          </w:p>
        </w:tc>
        <w:tc>
          <w:tcPr>
            <w:tcW w:w="1788" w:type="dxa"/>
            <w:vAlign w:val="center"/>
          </w:tcPr>
          <w:p w14:paraId="3E365444">
            <w:pPr>
              <w:ind w:left="-105" w:right="-105"/>
              <w:jc w:val="center"/>
              <w:textAlignment w:val="center"/>
              <w:rPr>
                <w:rFonts w:ascii="Times New Roman" w:hAnsi="Times New Roman" w:cs="Times New Roman"/>
                <w:color w:val="auto"/>
                <w:sz w:val="21"/>
                <w:szCs w:val="21"/>
                <w:highlight w:val="none"/>
              </w:rPr>
            </w:pPr>
            <w:r>
              <w:rPr>
                <w:rFonts w:hint="eastAsia" w:ascii="Times New Roman" w:hAnsi="Times New Roman"/>
                <w:color w:val="auto"/>
                <w:sz w:val="21"/>
                <w:szCs w:val="21"/>
                <w:highlight w:val="none"/>
              </w:rPr>
              <w:t>非甲烷总烃</w:t>
            </w:r>
          </w:p>
        </w:tc>
        <w:tc>
          <w:tcPr>
            <w:tcW w:w="1261" w:type="dxa"/>
            <w:vAlign w:val="center"/>
          </w:tcPr>
          <w:p w14:paraId="295617F8">
            <w:pPr>
              <w:pStyle w:val="237"/>
              <w:ind w:left="-105" w:right="-105"/>
              <w:rPr>
                <w:rFonts w:ascii="Times New Roman" w:hAnsi="Times New Roman" w:eastAsia="宋体" w:cs="Times New Roman"/>
                <w:color w:val="auto"/>
                <w:sz w:val="21"/>
                <w:highlight w:val="none"/>
                <w:lang w:val="en-US"/>
              </w:rPr>
            </w:pPr>
            <w:r>
              <w:rPr>
                <w:rFonts w:hint="eastAsia" w:ascii="Times New Roman" w:hAnsi="Times New Roman" w:eastAsia="宋体" w:cs="Times New Roman"/>
                <w:color w:val="auto"/>
                <w:sz w:val="21"/>
                <w:highlight w:val="none"/>
                <w:lang w:val="en-US"/>
              </w:rPr>
              <w:t>20000</w:t>
            </w:r>
          </w:p>
        </w:tc>
        <w:tc>
          <w:tcPr>
            <w:tcW w:w="1411" w:type="dxa"/>
            <w:vAlign w:val="center"/>
          </w:tcPr>
          <w:p w14:paraId="78882C1B">
            <w:pPr>
              <w:pStyle w:val="237"/>
              <w:ind w:left="-105" w:right="-105"/>
              <w:rPr>
                <w:rFonts w:hint="default" w:ascii="Times New Roman" w:hAnsi="Times New Roman" w:eastAsia="宋体" w:cs="Times New Roman"/>
                <w:color w:val="auto"/>
                <w:sz w:val="21"/>
                <w:highlight w:val="none"/>
                <w:lang w:val="en-US" w:eastAsia="zh-CN"/>
              </w:rPr>
            </w:pPr>
            <w:r>
              <w:rPr>
                <w:rFonts w:hint="eastAsia" w:ascii="Times New Roman" w:hAnsi="Times New Roman" w:eastAsia="宋体" w:cs="Times New Roman"/>
                <w:color w:val="auto"/>
                <w:sz w:val="21"/>
                <w:highlight w:val="none"/>
                <w:lang w:val="en-US" w:eastAsia="zh-CN"/>
              </w:rPr>
              <w:t>29.6815</w:t>
            </w:r>
          </w:p>
        </w:tc>
        <w:tc>
          <w:tcPr>
            <w:tcW w:w="1503" w:type="dxa"/>
            <w:vAlign w:val="center"/>
          </w:tcPr>
          <w:p w14:paraId="1BEC642C">
            <w:pPr>
              <w:pStyle w:val="237"/>
              <w:ind w:left="-105" w:right="-105"/>
              <w:rPr>
                <w:rFonts w:hint="default" w:ascii="Times New Roman" w:hAnsi="Times New Roman" w:eastAsia="宋体" w:cs="Times New Roman"/>
                <w:color w:val="auto"/>
                <w:sz w:val="21"/>
                <w:highlight w:val="none"/>
                <w:lang w:val="en-US" w:eastAsia="zh-CN"/>
              </w:rPr>
            </w:pPr>
            <w:r>
              <w:rPr>
                <w:rFonts w:hint="eastAsia" w:ascii="Times New Roman" w:hAnsi="Times New Roman" w:eastAsia="宋体" w:cs="Times New Roman"/>
                <w:color w:val="auto"/>
                <w:sz w:val="21"/>
                <w:highlight w:val="none"/>
                <w:lang w:val="en-US" w:eastAsia="zh-CN"/>
              </w:rPr>
              <w:t>1.2939</w:t>
            </w:r>
          </w:p>
        </w:tc>
        <w:tc>
          <w:tcPr>
            <w:tcW w:w="1322" w:type="dxa"/>
            <w:vAlign w:val="center"/>
          </w:tcPr>
          <w:p w14:paraId="32641A15">
            <w:pPr>
              <w:pStyle w:val="237"/>
              <w:ind w:left="-105" w:right="-105"/>
              <w:rPr>
                <w:rFonts w:hint="default" w:ascii="Times New Roman" w:hAnsi="Times New Roman" w:eastAsia="等线" w:cs="Times New Roman"/>
                <w:color w:val="auto"/>
                <w:sz w:val="21"/>
                <w:highlight w:val="none"/>
                <w:lang w:val="en-US" w:eastAsia="zh-CN"/>
              </w:rPr>
            </w:pPr>
            <w:r>
              <w:rPr>
                <w:rFonts w:hint="eastAsia" w:ascii="Times New Roman" w:hAnsi="Times New Roman" w:eastAsia="等线" w:cs="Times New Roman"/>
                <w:color w:val="auto"/>
                <w:sz w:val="21"/>
                <w:highlight w:val="none"/>
                <w:lang w:val="en-US" w:eastAsia="zh-CN"/>
              </w:rPr>
              <w:t>3.0509</w:t>
            </w:r>
          </w:p>
        </w:tc>
        <w:tc>
          <w:tcPr>
            <w:tcW w:w="1322" w:type="dxa"/>
            <w:vAlign w:val="center"/>
          </w:tcPr>
          <w:p w14:paraId="06109FEE">
            <w:pPr>
              <w:pStyle w:val="237"/>
              <w:ind w:left="-105" w:right="-105"/>
              <w:rPr>
                <w:rFonts w:hint="default" w:ascii="Times New Roman" w:hAnsi="Times New Roman" w:eastAsia="等线" w:cs="Times New Roman"/>
                <w:color w:val="auto"/>
                <w:sz w:val="21"/>
                <w:highlight w:val="none"/>
                <w:lang w:val="en-US" w:eastAsia="zh-CN"/>
              </w:rPr>
            </w:pPr>
            <w:r>
              <w:rPr>
                <w:rFonts w:hint="eastAsia" w:ascii="Times New Roman" w:hAnsi="Times New Roman" w:eastAsia="等线" w:cs="Times New Roman"/>
                <w:color w:val="auto"/>
                <w:sz w:val="21"/>
                <w:highlight w:val="none"/>
                <w:lang w:val="en-US" w:eastAsia="zh-CN"/>
              </w:rPr>
              <w:t>0.0610</w:t>
            </w:r>
          </w:p>
        </w:tc>
        <w:tc>
          <w:tcPr>
            <w:tcW w:w="1322" w:type="dxa"/>
            <w:vAlign w:val="center"/>
          </w:tcPr>
          <w:p w14:paraId="78C8DDE6">
            <w:pPr>
              <w:pStyle w:val="237"/>
              <w:ind w:left="-105" w:right="-105"/>
              <w:rPr>
                <w:rFonts w:hint="default" w:ascii="Times New Roman" w:hAnsi="Times New Roman" w:eastAsia="等线" w:cs="Times New Roman"/>
                <w:color w:val="auto"/>
                <w:sz w:val="21"/>
                <w:highlight w:val="none"/>
                <w:lang w:val="en-US" w:eastAsia="zh-CN"/>
              </w:rPr>
            </w:pPr>
            <w:r>
              <w:rPr>
                <w:rFonts w:hint="eastAsia" w:ascii="Times New Roman" w:hAnsi="Times New Roman" w:eastAsia="等线" w:cs="Times New Roman"/>
                <w:color w:val="auto"/>
                <w:sz w:val="21"/>
                <w:highlight w:val="none"/>
                <w:lang w:val="en-US" w:eastAsia="zh-CN"/>
              </w:rPr>
              <w:t>0.1433</w:t>
            </w:r>
          </w:p>
        </w:tc>
        <w:tc>
          <w:tcPr>
            <w:tcW w:w="1323" w:type="dxa"/>
            <w:vAlign w:val="center"/>
          </w:tcPr>
          <w:p w14:paraId="2161A884">
            <w:pPr>
              <w:pStyle w:val="237"/>
              <w:ind w:left="-105" w:right="-105"/>
              <w:rPr>
                <w:rFonts w:ascii="Times New Roman" w:hAnsi="Times New Roman" w:eastAsia="宋体" w:cs="Times New Roman"/>
                <w:color w:val="auto"/>
                <w:sz w:val="21"/>
                <w:highlight w:val="none"/>
                <w:lang w:val="en-US"/>
              </w:rPr>
            </w:pPr>
            <w:r>
              <w:rPr>
                <w:rFonts w:hint="eastAsia" w:ascii="Times New Roman" w:hAnsi="Times New Roman" w:eastAsia="宋体" w:cs="Times New Roman"/>
                <w:color w:val="auto"/>
                <w:sz w:val="21"/>
                <w:highlight w:val="none"/>
                <w:lang w:val="en-US"/>
              </w:rPr>
              <w:t>8400</w:t>
            </w:r>
          </w:p>
        </w:tc>
      </w:tr>
    </w:tbl>
    <w:p w14:paraId="0AF98D13">
      <w:pPr>
        <w:pStyle w:val="15"/>
        <w:spacing w:line="360" w:lineRule="auto"/>
        <w:ind w:left="-105" w:right="-105" w:firstLine="422"/>
        <w:jc w:val="both"/>
        <w:rPr>
          <w:rFonts w:eastAsia="宋体" w:cs="Times New Roman"/>
          <w:color w:val="auto"/>
          <w:sz w:val="21"/>
          <w:szCs w:val="21"/>
          <w:highlight w:val="none"/>
        </w:rPr>
      </w:pPr>
      <w:r>
        <w:rPr>
          <w:rFonts w:hint="eastAsia" w:eastAsia="宋体" w:cs="Times New Roman"/>
          <w:color w:val="auto"/>
          <w:sz w:val="21"/>
          <w:szCs w:val="21"/>
          <w:highlight w:val="none"/>
        </w:rPr>
        <w:t>注：（1）非甲烷总烃为异氰酸酯、丁酮、丙烯酸等有机废气的总和；（2）浓度按两个工序同时排放的最不利情况计。</w:t>
      </w:r>
    </w:p>
    <w:p w14:paraId="0CAD66C7">
      <w:pPr>
        <w:pStyle w:val="15"/>
        <w:spacing w:line="360" w:lineRule="auto"/>
        <w:ind w:left="-105" w:right="-105" w:firstLine="482"/>
        <w:rPr>
          <w:rFonts w:eastAsia="宋体" w:cs="Times New Roman"/>
          <w:color w:val="auto"/>
          <w:sz w:val="24"/>
          <w:szCs w:val="24"/>
          <w:highlight w:val="none"/>
        </w:rPr>
      </w:pPr>
    </w:p>
    <w:p w14:paraId="3D11B594">
      <w:pPr>
        <w:pStyle w:val="15"/>
        <w:spacing w:line="360" w:lineRule="auto"/>
        <w:ind w:left="-105" w:right="-105" w:firstLine="482"/>
        <w:rPr>
          <w:rFonts w:eastAsia="宋体" w:cs="Times New Roman"/>
          <w:color w:val="auto"/>
          <w:sz w:val="24"/>
          <w:szCs w:val="24"/>
          <w:highlight w:val="none"/>
        </w:rPr>
      </w:pPr>
    </w:p>
    <w:p w14:paraId="4830F80A">
      <w:pPr>
        <w:pStyle w:val="15"/>
        <w:spacing w:line="360" w:lineRule="auto"/>
        <w:ind w:left="-105" w:right="-105" w:firstLine="482"/>
        <w:rPr>
          <w:rFonts w:eastAsia="宋体" w:cs="Times New Roman"/>
          <w:color w:val="auto"/>
          <w:sz w:val="24"/>
          <w:szCs w:val="24"/>
          <w:highlight w:val="none"/>
        </w:rPr>
      </w:pPr>
    </w:p>
    <w:p w14:paraId="1A3CC8D8">
      <w:pPr>
        <w:pStyle w:val="15"/>
        <w:spacing w:line="360" w:lineRule="auto"/>
        <w:ind w:left="-105" w:right="-105" w:firstLine="482"/>
        <w:rPr>
          <w:rFonts w:eastAsia="宋体" w:cs="Times New Roman"/>
          <w:color w:val="auto"/>
          <w:sz w:val="24"/>
          <w:szCs w:val="24"/>
          <w:highlight w:val="none"/>
        </w:rPr>
      </w:pPr>
      <w:r>
        <w:rPr>
          <w:rFonts w:eastAsia="宋体" w:cs="Times New Roman"/>
          <w:color w:val="auto"/>
          <w:sz w:val="24"/>
          <w:szCs w:val="24"/>
          <w:highlight w:val="none"/>
        </w:rPr>
        <w:t>表</w:t>
      </w:r>
      <w:r>
        <w:rPr>
          <w:rFonts w:eastAsia="宋体" w:cs="Times New Roman"/>
          <w:color w:val="auto"/>
          <w:sz w:val="24"/>
          <w:szCs w:val="24"/>
          <w:highlight w:val="none"/>
        </w:rPr>
        <w:fldChar w:fldCharType="begin"/>
      </w:r>
      <w:r>
        <w:rPr>
          <w:rFonts w:eastAsia="宋体" w:cs="Times New Roman"/>
          <w:color w:val="auto"/>
          <w:sz w:val="24"/>
          <w:szCs w:val="24"/>
          <w:highlight w:val="none"/>
        </w:rPr>
        <w:instrText xml:space="preserve"> STYLEREF 2 \s </w:instrText>
      </w:r>
      <w:r>
        <w:rPr>
          <w:rFonts w:eastAsia="宋体" w:cs="Times New Roman"/>
          <w:color w:val="auto"/>
          <w:sz w:val="24"/>
          <w:szCs w:val="24"/>
          <w:highlight w:val="none"/>
        </w:rPr>
        <w:fldChar w:fldCharType="separate"/>
      </w:r>
      <w:r>
        <w:rPr>
          <w:rFonts w:eastAsia="宋体" w:cs="Times New Roman"/>
          <w:color w:val="auto"/>
          <w:sz w:val="24"/>
          <w:szCs w:val="24"/>
          <w:highlight w:val="none"/>
        </w:rPr>
        <w:t>4.6</w:t>
      </w:r>
      <w:r>
        <w:rPr>
          <w:rFonts w:eastAsia="宋体" w:cs="Times New Roman"/>
          <w:color w:val="auto"/>
          <w:sz w:val="24"/>
          <w:szCs w:val="24"/>
          <w:highlight w:val="none"/>
        </w:rPr>
        <w:fldChar w:fldCharType="end"/>
      </w:r>
      <w:r>
        <w:rPr>
          <w:rFonts w:eastAsia="宋体" w:cs="Times New Roman"/>
          <w:color w:val="auto"/>
          <w:sz w:val="24"/>
          <w:szCs w:val="24"/>
          <w:highlight w:val="none"/>
        </w:rPr>
        <w:noBreakHyphen/>
      </w:r>
      <w:r>
        <w:rPr>
          <w:rFonts w:eastAsia="宋体" w:cs="Times New Roman"/>
          <w:color w:val="auto"/>
          <w:sz w:val="24"/>
          <w:szCs w:val="24"/>
          <w:highlight w:val="none"/>
        </w:rPr>
        <w:fldChar w:fldCharType="begin"/>
      </w:r>
      <w:r>
        <w:rPr>
          <w:rFonts w:eastAsia="宋体" w:cs="Times New Roman"/>
          <w:color w:val="auto"/>
          <w:sz w:val="24"/>
          <w:szCs w:val="24"/>
          <w:highlight w:val="none"/>
        </w:rPr>
        <w:instrText xml:space="preserve"> SEQ 表 \* ARABIC \s 2 </w:instrText>
      </w:r>
      <w:r>
        <w:rPr>
          <w:rFonts w:eastAsia="宋体" w:cs="Times New Roman"/>
          <w:color w:val="auto"/>
          <w:sz w:val="24"/>
          <w:szCs w:val="24"/>
          <w:highlight w:val="none"/>
        </w:rPr>
        <w:fldChar w:fldCharType="separate"/>
      </w:r>
      <w:r>
        <w:rPr>
          <w:rFonts w:eastAsia="宋体" w:cs="Times New Roman"/>
          <w:color w:val="auto"/>
          <w:sz w:val="24"/>
          <w:szCs w:val="24"/>
          <w:highlight w:val="none"/>
        </w:rPr>
        <w:t>5</w:t>
      </w:r>
      <w:r>
        <w:rPr>
          <w:rFonts w:eastAsia="宋体" w:cs="Times New Roman"/>
          <w:color w:val="auto"/>
          <w:sz w:val="24"/>
          <w:szCs w:val="24"/>
          <w:highlight w:val="none"/>
        </w:rPr>
        <w:fldChar w:fldCharType="end"/>
      </w:r>
      <w:r>
        <w:rPr>
          <w:rFonts w:eastAsia="宋体" w:cs="Times New Roman"/>
          <w:color w:val="auto"/>
          <w:sz w:val="24"/>
          <w:szCs w:val="24"/>
          <w:highlight w:val="none"/>
        </w:rPr>
        <w:t>本项目</w:t>
      </w:r>
      <w:r>
        <w:rPr>
          <w:rFonts w:hint="eastAsia" w:eastAsia="宋体" w:cs="Times New Roman"/>
          <w:color w:val="auto"/>
          <w:sz w:val="24"/>
          <w:szCs w:val="24"/>
          <w:highlight w:val="none"/>
        </w:rPr>
        <w:t>大气污染物无组织排放</w:t>
      </w:r>
      <w:r>
        <w:rPr>
          <w:rFonts w:eastAsia="宋体" w:cs="Times New Roman"/>
          <w:color w:val="auto"/>
          <w:sz w:val="24"/>
          <w:szCs w:val="24"/>
          <w:highlight w:val="none"/>
        </w:rPr>
        <w:t>情况</w:t>
      </w:r>
    </w:p>
    <w:tbl>
      <w:tblPr>
        <w:tblStyle w:val="46"/>
        <w:tblW w:w="5000"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740"/>
        <w:gridCol w:w="2159"/>
        <w:gridCol w:w="1950"/>
        <w:gridCol w:w="1950"/>
        <w:gridCol w:w="1951"/>
        <w:gridCol w:w="1951"/>
        <w:gridCol w:w="1951"/>
      </w:tblGrid>
      <w:tr w14:paraId="478D920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740" w:type="dxa"/>
            <w:vMerge w:val="restart"/>
            <w:tcBorders>
              <w:tl2br w:val="nil"/>
              <w:tr2bl w:val="nil"/>
            </w:tcBorders>
            <w:vAlign w:val="center"/>
          </w:tcPr>
          <w:p w14:paraId="7643B8EA">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b/>
                <w:bCs/>
                <w:color w:val="auto"/>
                <w:sz w:val="21"/>
                <w:szCs w:val="21"/>
                <w:highlight w:val="none"/>
              </w:rPr>
            </w:pPr>
            <w:r>
              <w:rPr>
                <w:rFonts w:hint="eastAsia" w:ascii="Times New Roman" w:hAnsi="Times New Roman" w:cs="Times New Roman"/>
                <w:b/>
                <w:bCs/>
                <w:color w:val="auto"/>
                <w:sz w:val="21"/>
                <w:szCs w:val="21"/>
                <w:highlight w:val="none"/>
              </w:rPr>
              <w:t>污染源位置</w:t>
            </w:r>
          </w:p>
        </w:tc>
        <w:tc>
          <w:tcPr>
            <w:tcW w:w="2159" w:type="dxa"/>
            <w:vMerge w:val="restart"/>
            <w:tcBorders>
              <w:tl2br w:val="nil"/>
              <w:tr2bl w:val="nil"/>
            </w:tcBorders>
            <w:vAlign w:val="center"/>
          </w:tcPr>
          <w:p w14:paraId="69B2B26B">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b/>
                <w:bCs/>
                <w:color w:val="auto"/>
                <w:sz w:val="21"/>
                <w:szCs w:val="21"/>
                <w:highlight w:val="none"/>
              </w:rPr>
            </w:pPr>
            <w:r>
              <w:rPr>
                <w:rFonts w:hint="eastAsia" w:ascii="Times New Roman" w:hAnsi="Times New Roman" w:cs="Times New Roman"/>
                <w:b/>
                <w:bCs/>
                <w:color w:val="auto"/>
                <w:sz w:val="21"/>
                <w:szCs w:val="21"/>
                <w:highlight w:val="none"/>
              </w:rPr>
              <w:t>污染物名称</w:t>
            </w:r>
          </w:p>
        </w:tc>
        <w:tc>
          <w:tcPr>
            <w:tcW w:w="3900" w:type="dxa"/>
            <w:gridSpan w:val="2"/>
            <w:tcBorders>
              <w:tl2br w:val="nil"/>
              <w:tr2bl w:val="nil"/>
            </w:tcBorders>
            <w:vAlign w:val="center"/>
          </w:tcPr>
          <w:p w14:paraId="4D2255E1">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b/>
                <w:bCs/>
                <w:color w:val="auto"/>
                <w:sz w:val="21"/>
                <w:szCs w:val="21"/>
                <w:highlight w:val="none"/>
              </w:rPr>
            </w:pPr>
            <w:r>
              <w:rPr>
                <w:rFonts w:hint="eastAsia" w:ascii="Times New Roman" w:hAnsi="Times New Roman" w:cs="Times New Roman"/>
                <w:b/>
                <w:bCs/>
                <w:color w:val="auto"/>
                <w:sz w:val="21"/>
                <w:szCs w:val="21"/>
                <w:highlight w:val="none"/>
              </w:rPr>
              <w:t>排放情况</w:t>
            </w:r>
          </w:p>
        </w:tc>
        <w:tc>
          <w:tcPr>
            <w:tcW w:w="1951" w:type="dxa"/>
            <w:vMerge w:val="restart"/>
            <w:tcBorders>
              <w:tl2br w:val="nil"/>
              <w:tr2bl w:val="nil"/>
            </w:tcBorders>
            <w:vAlign w:val="center"/>
          </w:tcPr>
          <w:p w14:paraId="5A552BBB">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b/>
                <w:bCs/>
                <w:color w:val="auto"/>
                <w:sz w:val="21"/>
                <w:szCs w:val="21"/>
                <w:highlight w:val="none"/>
              </w:rPr>
            </w:pPr>
            <w:r>
              <w:rPr>
                <w:rFonts w:hint="eastAsia" w:ascii="Times New Roman" w:hAnsi="Times New Roman" w:cs="Times New Roman"/>
                <w:b/>
                <w:bCs/>
                <w:color w:val="auto"/>
                <w:sz w:val="21"/>
                <w:szCs w:val="21"/>
                <w:highlight w:val="none"/>
              </w:rPr>
              <w:t>面源面积m</w:t>
            </w:r>
            <w:r>
              <w:rPr>
                <w:rFonts w:hint="eastAsia" w:ascii="Times New Roman" w:hAnsi="Times New Roman" w:cs="Times New Roman"/>
                <w:b/>
                <w:bCs/>
                <w:color w:val="auto"/>
                <w:sz w:val="21"/>
                <w:szCs w:val="21"/>
                <w:highlight w:val="none"/>
                <w:vertAlign w:val="superscript"/>
              </w:rPr>
              <w:t>2</w:t>
            </w:r>
          </w:p>
        </w:tc>
        <w:tc>
          <w:tcPr>
            <w:tcW w:w="1951" w:type="dxa"/>
            <w:vMerge w:val="restart"/>
            <w:tcBorders>
              <w:tl2br w:val="nil"/>
              <w:tr2bl w:val="nil"/>
            </w:tcBorders>
            <w:vAlign w:val="center"/>
          </w:tcPr>
          <w:p w14:paraId="1A092A4B">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b/>
                <w:bCs/>
                <w:color w:val="auto"/>
                <w:sz w:val="21"/>
                <w:szCs w:val="21"/>
                <w:highlight w:val="none"/>
              </w:rPr>
            </w:pPr>
            <w:r>
              <w:rPr>
                <w:rFonts w:hint="eastAsia" w:ascii="Times New Roman" w:hAnsi="Times New Roman" w:cs="Times New Roman"/>
                <w:b/>
                <w:bCs/>
                <w:color w:val="auto"/>
                <w:sz w:val="21"/>
                <w:szCs w:val="21"/>
                <w:highlight w:val="none"/>
              </w:rPr>
              <w:t>面源高度m</w:t>
            </w:r>
          </w:p>
        </w:tc>
        <w:tc>
          <w:tcPr>
            <w:tcW w:w="1951" w:type="dxa"/>
            <w:vMerge w:val="restart"/>
            <w:tcBorders>
              <w:tl2br w:val="nil"/>
              <w:tr2bl w:val="nil"/>
            </w:tcBorders>
            <w:vAlign w:val="center"/>
          </w:tcPr>
          <w:p w14:paraId="65CDCEBE">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b/>
                <w:bCs/>
                <w:color w:val="auto"/>
                <w:sz w:val="21"/>
                <w:szCs w:val="21"/>
                <w:highlight w:val="none"/>
              </w:rPr>
            </w:pPr>
            <w:r>
              <w:rPr>
                <w:rFonts w:hint="eastAsia" w:ascii="Times New Roman" w:hAnsi="Times New Roman" w:cs="Times New Roman"/>
                <w:b/>
                <w:bCs/>
                <w:color w:val="auto"/>
                <w:sz w:val="21"/>
                <w:szCs w:val="21"/>
                <w:highlight w:val="none"/>
              </w:rPr>
              <w:t>无组织排放监控浓度限值mg/m</w:t>
            </w:r>
            <w:r>
              <w:rPr>
                <w:rFonts w:hint="eastAsia" w:ascii="Times New Roman" w:hAnsi="Times New Roman" w:cs="Times New Roman"/>
                <w:b/>
                <w:bCs/>
                <w:color w:val="auto"/>
                <w:sz w:val="21"/>
                <w:szCs w:val="21"/>
                <w:highlight w:val="none"/>
                <w:vertAlign w:val="superscript"/>
              </w:rPr>
              <w:t>3</w:t>
            </w:r>
          </w:p>
        </w:tc>
      </w:tr>
      <w:tr w14:paraId="44965BC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740" w:type="dxa"/>
            <w:vMerge w:val="continue"/>
            <w:tcBorders>
              <w:tl2br w:val="nil"/>
              <w:tr2bl w:val="nil"/>
            </w:tcBorders>
            <w:vAlign w:val="center"/>
          </w:tcPr>
          <w:p w14:paraId="17547AA7">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b/>
                <w:bCs/>
                <w:color w:val="auto"/>
                <w:sz w:val="21"/>
                <w:szCs w:val="21"/>
                <w:highlight w:val="none"/>
              </w:rPr>
            </w:pPr>
          </w:p>
        </w:tc>
        <w:tc>
          <w:tcPr>
            <w:tcW w:w="2159" w:type="dxa"/>
            <w:vMerge w:val="continue"/>
            <w:tcBorders>
              <w:tl2br w:val="nil"/>
              <w:tr2bl w:val="nil"/>
            </w:tcBorders>
            <w:vAlign w:val="center"/>
          </w:tcPr>
          <w:p w14:paraId="11C296E5">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b/>
                <w:bCs/>
                <w:color w:val="auto"/>
                <w:sz w:val="21"/>
                <w:szCs w:val="21"/>
                <w:highlight w:val="none"/>
              </w:rPr>
            </w:pPr>
          </w:p>
        </w:tc>
        <w:tc>
          <w:tcPr>
            <w:tcW w:w="1950" w:type="dxa"/>
            <w:tcBorders>
              <w:tl2br w:val="nil"/>
              <w:tr2bl w:val="nil"/>
            </w:tcBorders>
            <w:vAlign w:val="center"/>
          </w:tcPr>
          <w:p w14:paraId="521055C4">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b/>
                <w:bCs/>
                <w:color w:val="auto"/>
                <w:sz w:val="21"/>
                <w:szCs w:val="21"/>
                <w:highlight w:val="none"/>
              </w:rPr>
            </w:pPr>
            <w:r>
              <w:rPr>
                <w:rFonts w:hint="eastAsia" w:ascii="Times New Roman" w:hAnsi="Times New Roman" w:cs="Times New Roman"/>
                <w:b/>
                <w:bCs/>
                <w:color w:val="auto"/>
                <w:sz w:val="21"/>
                <w:szCs w:val="21"/>
                <w:highlight w:val="none"/>
              </w:rPr>
              <w:t>排放量（t/a）</w:t>
            </w:r>
          </w:p>
        </w:tc>
        <w:tc>
          <w:tcPr>
            <w:tcW w:w="1950" w:type="dxa"/>
            <w:tcBorders>
              <w:tl2br w:val="nil"/>
              <w:tr2bl w:val="nil"/>
            </w:tcBorders>
            <w:vAlign w:val="center"/>
          </w:tcPr>
          <w:p w14:paraId="64CA1752">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b/>
                <w:bCs/>
                <w:color w:val="auto"/>
                <w:sz w:val="21"/>
                <w:szCs w:val="21"/>
                <w:highlight w:val="none"/>
              </w:rPr>
            </w:pPr>
            <w:r>
              <w:rPr>
                <w:rFonts w:hint="eastAsia" w:ascii="Times New Roman" w:hAnsi="Times New Roman" w:cs="Times New Roman"/>
                <w:b/>
                <w:bCs/>
                <w:color w:val="auto"/>
                <w:sz w:val="21"/>
                <w:szCs w:val="21"/>
                <w:highlight w:val="none"/>
              </w:rPr>
              <w:t>时间h</w:t>
            </w:r>
          </w:p>
        </w:tc>
        <w:tc>
          <w:tcPr>
            <w:tcW w:w="1951" w:type="dxa"/>
            <w:vMerge w:val="continue"/>
            <w:tcBorders>
              <w:tl2br w:val="nil"/>
              <w:tr2bl w:val="nil"/>
            </w:tcBorders>
            <w:vAlign w:val="center"/>
          </w:tcPr>
          <w:p w14:paraId="0E45EB8D">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b/>
                <w:bCs/>
                <w:color w:val="auto"/>
                <w:sz w:val="21"/>
                <w:szCs w:val="21"/>
                <w:highlight w:val="none"/>
              </w:rPr>
            </w:pPr>
          </w:p>
        </w:tc>
        <w:tc>
          <w:tcPr>
            <w:tcW w:w="1951" w:type="dxa"/>
            <w:vMerge w:val="continue"/>
            <w:tcBorders>
              <w:tl2br w:val="nil"/>
              <w:tr2bl w:val="nil"/>
            </w:tcBorders>
            <w:vAlign w:val="center"/>
          </w:tcPr>
          <w:p w14:paraId="1EADD095">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b/>
                <w:bCs/>
                <w:color w:val="auto"/>
                <w:sz w:val="21"/>
                <w:szCs w:val="21"/>
                <w:highlight w:val="none"/>
              </w:rPr>
            </w:pPr>
          </w:p>
        </w:tc>
        <w:tc>
          <w:tcPr>
            <w:tcW w:w="1951" w:type="dxa"/>
            <w:vMerge w:val="continue"/>
            <w:tcBorders>
              <w:tl2br w:val="nil"/>
              <w:tr2bl w:val="nil"/>
            </w:tcBorders>
            <w:vAlign w:val="center"/>
          </w:tcPr>
          <w:p w14:paraId="7F74D1B7">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b/>
                <w:bCs/>
                <w:color w:val="auto"/>
                <w:sz w:val="21"/>
                <w:szCs w:val="21"/>
                <w:highlight w:val="none"/>
              </w:rPr>
            </w:pPr>
          </w:p>
        </w:tc>
      </w:tr>
      <w:tr w14:paraId="5E73C68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740" w:type="dxa"/>
            <w:tcBorders>
              <w:tl2br w:val="nil"/>
              <w:tr2bl w:val="nil"/>
            </w:tcBorders>
            <w:vAlign w:val="center"/>
          </w:tcPr>
          <w:p w14:paraId="753E2AAC">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二工场车间</w:t>
            </w:r>
          </w:p>
        </w:tc>
        <w:tc>
          <w:tcPr>
            <w:tcW w:w="2159" w:type="dxa"/>
            <w:tcBorders>
              <w:tl2br w:val="nil"/>
              <w:tr2bl w:val="nil"/>
            </w:tcBorders>
            <w:vAlign w:val="center"/>
          </w:tcPr>
          <w:p w14:paraId="0E621E94">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非甲烷总烃</w:t>
            </w:r>
          </w:p>
        </w:tc>
        <w:tc>
          <w:tcPr>
            <w:tcW w:w="1950" w:type="dxa"/>
            <w:tcBorders>
              <w:tl2br w:val="nil"/>
              <w:tr2bl w:val="nil"/>
            </w:tcBorders>
            <w:vAlign w:val="center"/>
          </w:tcPr>
          <w:p w14:paraId="73D4E525">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0.0235</w:t>
            </w:r>
          </w:p>
        </w:tc>
        <w:tc>
          <w:tcPr>
            <w:tcW w:w="1950" w:type="dxa"/>
            <w:tcBorders>
              <w:tl2br w:val="nil"/>
              <w:tr2bl w:val="nil"/>
            </w:tcBorders>
            <w:vAlign w:val="center"/>
          </w:tcPr>
          <w:p w14:paraId="7C3F9611">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2000</w:t>
            </w:r>
          </w:p>
        </w:tc>
        <w:tc>
          <w:tcPr>
            <w:tcW w:w="1951" w:type="dxa"/>
            <w:tcBorders>
              <w:tl2br w:val="nil"/>
              <w:tr2bl w:val="nil"/>
            </w:tcBorders>
            <w:vAlign w:val="center"/>
          </w:tcPr>
          <w:p w14:paraId="237BCF3E">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630</w:t>
            </w:r>
          </w:p>
        </w:tc>
        <w:tc>
          <w:tcPr>
            <w:tcW w:w="1951" w:type="dxa"/>
            <w:tcBorders>
              <w:tl2br w:val="nil"/>
              <w:tr2bl w:val="nil"/>
            </w:tcBorders>
            <w:vAlign w:val="center"/>
          </w:tcPr>
          <w:p w14:paraId="02182E8E">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12.4</w:t>
            </w:r>
          </w:p>
        </w:tc>
        <w:tc>
          <w:tcPr>
            <w:tcW w:w="1951" w:type="dxa"/>
            <w:tcBorders>
              <w:tl2br w:val="nil"/>
              <w:tr2bl w:val="nil"/>
            </w:tcBorders>
            <w:vAlign w:val="center"/>
          </w:tcPr>
          <w:p w14:paraId="566F4B83">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4</w:t>
            </w:r>
          </w:p>
        </w:tc>
      </w:tr>
      <w:tr w14:paraId="16EA179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740" w:type="dxa"/>
            <w:vMerge w:val="restart"/>
            <w:tcBorders>
              <w:tl2br w:val="nil"/>
              <w:tr2bl w:val="nil"/>
            </w:tcBorders>
            <w:vAlign w:val="center"/>
          </w:tcPr>
          <w:p w14:paraId="33FE7F97">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实验室</w:t>
            </w:r>
          </w:p>
        </w:tc>
        <w:tc>
          <w:tcPr>
            <w:tcW w:w="2159" w:type="dxa"/>
            <w:tcBorders>
              <w:tl2br w:val="nil"/>
              <w:tr2bl w:val="nil"/>
            </w:tcBorders>
            <w:vAlign w:val="center"/>
          </w:tcPr>
          <w:p w14:paraId="3D93FDA7">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非甲烷总烃</w:t>
            </w:r>
            <w:r>
              <w:rPr>
                <w:rFonts w:hint="eastAsia" w:ascii="Times New Roman" w:hAnsi="Times New Roman"/>
                <w:color w:val="auto"/>
                <w:sz w:val="21"/>
                <w:szCs w:val="21"/>
                <w:highlight w:val="none"/>
              </w:rPr>
              <w:t>（含甲醇）</w:t>
            </w:r>
          </w:p>
        </w:tc>
        <w:tc>
          <w:tcPr>
            <w:tcW w:w="1950" w:type="dxa"/>
            <w:tcBorders>
              <w:tl2br w:val="nil"/>
              <w:tr2bl w:val="nil"/>
            </w:tcBorders>
            <w:vAlign w:val="center"/>
          </w:tcPr>
          <w:p w14:paraId="3923718A">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0.00</w:t>
            </w:r>
            <w:r>
              <w:rPr>
                <w:rFonts w:hint="eastAsia" w:ascii="Times New Roman" w:hAnsi="Times New Roman" w:cs="Times New Roman"/>
                <w:color w:val="auto"/>
                <w:sz w:val="21"/>
                <w:szCs w:val="21"/>
                <w:highlight w:val="none"/>
                <w:lang w:val="en-US" w:eastAsia="zh-CN"/>
              </w:rPr>
              <w:t>1</w:t>
            </w:r>
            <w:r>
              <w:rPr>
                <w:rFonts w:hint="eastAsia" w:ascii="Times New Roman" w:hAnsi="Times New Roman" w:cs="Times New Roman"/>
                <w:color w:val="auto"/>
                <w:sz w:val="21"/>
                <w:szCs w:val="21"/>
                <w:highlight w:val="none"/>
              </w:rPr>
              <w:t>3</w:t>
            </w:r>
          </w:p>
        </w:tc>
        <w:tc>
          <w:tcPr>
            <w:tcW w:w="1950" w:type="dxa"/>
            <w:vMerge w:val="restart"/>
            <w:tcBorders>
              <w:tl2br w:val="nil"/>
              <w:tr2bl w:val="nil"/>
            </w:tcBorders>
            <w:vAlign w:val="center"/>
          </w:tcPr>
          <w:p w14:paraId="456BB15B">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500</w:t>
            </w:r>
          </w:p>
        </w:tc>
        <w:tc>
          <w:tcPr>
            <w:tcW w:w="1951" w:type="dxa"/>
            <w:vMerge w:val="restart"/>
            <w:tcBorders>
              <w:tl2br w:val="nil"/>
              <w:tr2bl w:val="nil"/>
            </w:tcBorders>
            <w:vAlign w:val="center"/>
          </w:tcPr>
          <w:p w14:paraId="3A02E59B">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348</w:t>
            </w:r>
          </w:p>
        </w:tc>
        <w:tc>
          <w:tcPr>
            <w:tcW w:w="1951" w:type="dxa"/>
            <w:vMerge w:val="restart"/>
            <w:tcBorders>
              <w:tl2br w:val="nil"/>
              <w:tr2bl w:val="nil"/>
            </w:tcBorders>
            <w:vAlign w:val="center"/>
          </w:tcPr>
          <w:p w14:paraId="3D0BC182">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8.7</w:t>
            </w:r>
          </w:p>
        </w:tc>
        <w:tc>
          <w:tcPr>
            <w:tcW w:w="1951" w:type="dxa"/>
            <w:vMerge w:val="restart"/>
            <w:tcBorders>
              <w:tl2br w:val="nil"/>
              <w:tr2bl w:val="nil"/>
            </w:tcBorders>
            <w:vAlign w:val="center"/>
          </w:tcPr>
          <w:p w14:paraId="1C20E3B1">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4</w:t>
            </w:r>
          </w:p>
        </w:tc>
      </w:tr>
      <w:tr w14:paraId="08F0150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740" w:type="dxa"/>
            <w:vMerge w:val="continue"/>
            <w:tcBorders>
              <w:tl2br w:val="nil"/>
              <w:tr2bl w:val="nil"/>
            </w:tcBorders>
            <w:vAlign w:val="center"/>
          </w:tcPr>
          <w:p w14:paraId="3D0CAE4B">
            <w:pPr>
              <w:keepNext w:val="0"/>
              <w:keepLines w:val="0"/>
              <w:pageBreakBefore w:val="0"/>
              <w:widowControl/>
              <w:kinsoku/>
              <w:wordWrap/>
              <w:overflowPunct/>
              <w:topLinePunct w:val="0"/>
              <w:autoSpaceDE/>
              <w:autoSpaceDN/>
              <w:bidi w:val="0"/>
              <w:adjustRightInd/>
              <w:snapToGrid/>
              <w:ind w:left="0" w:right="0"/>
              <w:jc w:val="center"/>
              <w:textAlignment w:val="auto"/>
              <w:rPr>
                <w:rFonts w:hint="eastAsia" w:ascii="Times New Roman" w:hAnsi="Times New Roman" w:cs="Times New Roman"/>
                <w:color w:val="auto"/>
                <w:sz w:val="21"/>
                <w:szCs w:val="21"/>
                <w:highlight w:val="none"/>
              </w:rPr>
            </w:pPr>
            <w:bookmarkStart w:id="233" w:name="_Ref21341"/>
          </w:p>
        </w:tc>
        <w:tc>
          <w:tcPr>
            <w:tcW w:w="2159" w:type="dxa"/>
            <w:tcBorders>
              <w:tl2br w:val="nil"/>
              <w:tr2bl w:val="nil"/>
            </w:tcBorders>
            <w:vAlign w:val="center"/>
          </w:tcPr>
          <w:p w14:paraId="7CC45051">
            <w:pPr>
              <w:keepNext w:val="0"/>
              <w:keepLines w:val="0"/>
              <w:pageBreakBefore w:val="0"/>
              <w:widowControl/>
              <w:kinsoku/>
              <w:wordWrap/>
              <w:overflowPunct/>
              <w:topLinePunct w:val="0"/>
              <w:autoSpaceDE/>
              <w:autoSpaceDN/>
              <w:bidi w:val="0"/>
              <w:adjustRightInd/>
              <w:snapToGrid/>
              <w:ind w:left="0" w:right="0"/>
              <w:jc w:val="center"/>
              <w:textAlignment w:val="auto"/>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氮氧化物</w:t>
            </w:r>
          </w:p>
        </w:tc>
        <w:tc>
          <w:tcPr>
            <w:tcW w:w="1950" w:type="dxa"/>
            <w:tcBorders>
              <w:tl2br w:val="nil"/>
              <w:tr2bl w:val="nil"/>
            </w:tcBorders>
            <w:vAlign w:val="center"/>
          </w:tcPr>
          <w:p w14:paraId="32BB9994">
            <w:pPr>
              <w:keepNext w:val="0"/>
              <w:keepLines w:val="0"/>
              <w:pageBreakBefore w:val="0"/>
              <w:widowControl/>
              <w:kinsoku/>
              <w:wordWrap/>
              <w:overflowPunct/>
              <w:topLinePunct w:val="0"/>
              <w:autoSpaceDE/>
              <w:autoSpaceDN/>
              <w:bidi w:val="0"/>
              <w:adjustRightInd/>
              <w:snapToGrid/>
              <w:ind w:left="0" w:right="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0.00003</w:t>
            </w:r>
          </w:p>
        </w:tc>
        <w:tc>
          <w:tcPr>
            <w:tcW w:w="1950" w:type="dxa"/>
            <w:vMerge w:val="continue"/>
            <w:tcBorders>
              <w:tl2br w:val="nil"/>
              <w:tr2bl w:val="nil"/>
            </w:tcBorders>
            <w:vAlign w:val="center"/>
          </w:tcPr>
          <w:p w14:paraId="3961EBB7">
            <w:pPr>
              <w:keepNext w:val="0"/>
              <w:keepLines w:val="0"/>
              <w:pageBreakBefore w:val="0"/>
              <w:widowControl/>
              <w:kinsoku/>
              <w:wordWrap/>
              <w:overflowPunct/>
              <w:topLinePunct w:val="0"/>
              <w:autoSpaceDE/>
              <w:autoSpaceDN/>
              <w:bidi w:val="0"/>
              <w:adjustRightInd/>
              <w:snapToGrid/>
              <w:ind w:left="0" w:right="0"/>
              <w:jc w:val="center"/>
              <w:textAlignment w:val="auto"/>
              <w:rPr>
                <w:rFonts w:hint="eastAsia" w:ascii="Times New Roman" w:hAnsi="Times New Roman" w:cs="Times New Roman"/>
                <w:color w:val="auto"/>
                <w:sz w:val="21"/>
                <w:szCs w:val="21"/>
                <w:highlight w:val="none"/>
              </w:rPr>
            </w:pPr>
          </w:p>
        </w:tc>
        <w:tc>
          <w:tcPr>
            <w:tcW w:w="1951" w:type="dxa"/>
            <w:vMerge w:val="continue"/>
            <w:tcBorders>
              <w:tl2br w:val="nil"/>
              <w:tr2bl w:val="nil"/>
            </w:tcBorders>
            <w:vAlign w:val="center"/>
          </w:tcPr>
          <w:p w14:paraId="686EB24D">
            <w:pPr>
              <w:keepNext w:val="0"/>
              <w:keepLines w:val="0"/>
              <w:pageBreakBefore w:val="0"/>
              <w:widowControl/>
              <w:kinsoku/>
              <w:wordWrap/>
              <w:overflowPunct/>
              <w:topLinePunct w:val="0"/>
              <w:autoSpaceDE/>
              <w:autoSpaceDN/>
              <w:bidi w:val="0"/>
              <w:adjustRightInd/>
              <w:snapToGrid/>
              <w:ind w:left="0" w:right="0"/>
              <w:jc w:val="center"/>
              <w:textAlignment w:val="auto"/>
              <w:rPr>
                <w:rFonts w:hint="eastAsia" w:ascii="Times New Roman" w:hAnsi="Times New Roman" w:cs="Times New Roman"/>
                <w:color w:val="auto"/>
                <w:sz w:val="21"/>
                <w:szCs w:val="21"/>
                <w:highlight w:val="none"/>
              </w:rPr>
            </w:pPr>
          </w:p>
        </w:tc>
        <w:tc>
          <w:tcPr>
            <w:tcW w:w="1951" w:type="dxa"/>
            <w:vMerge w:val="continue"/>
            <w:tcBorders>
              <w:tl2br w:val="nil"/>
              <w:tr2bl w:val="nil"/>
            </w:tcBorders>
            <w:vAlign w:val="center"/>
          </w:tcPr>
          <w:p w14:paraId="2E94D95E">
            <w:pPr>
              <w:keepNext w:val="0"/>
              <w:keepLines w:val="0"/>
              <w:pageBreakBefore w:val="0"/>
              <w:widowControl/>
              <w:kinsoku/>
              <w:wordWrap/>
              <w:overflowPunct/>
              <w:topLinePunct w:val="0"/>
              <w:autoSpaceDE/>
              <w:autoSpaceDN/>
              <w:bidi w:val="0"/>
              <w:adjustRightInd/>
              <w:snapToGrid/>
              <w:ind w:left="0" w:right="0"/>
              <w:jc w:val="center"/>
              <w:textAlignment w:val="auto"/>
              <w:rPr>
                <w:rFonts w:hint="eastAsia" w:ascii="Times New Roman" w:hAnsi="Times New Roman" w:cs="Times New Roman"/>
                <w:color w:val="auto"/>
                <w:sz w:val="21"/>
                <w:szCs w:val="21"/>
                <w:highlight w:val="none"/>
              </w:rPr>
            </w:pPr>
          </w:p>
        </w:tc>
        <w:tc>
          <w:tcPr>
            <w:tcW w:w="1951" w:type="dxa"/>
            <w:vMerge w:val="continue"/>
            <w:tcBorders>
              <w:tl2br w:val="nil"/>
              <w:tr2bl w:val="nil"/>
            </w:tcBorders>
            <w:vAlign w:val="center"/>
          </w:tcPr>
          <w:p w14:paraId="48BD355D">
            <w:pPr>
              <w:keepNext w:val="0"/>
              <w:keepLines w:val="0"/>
              <w:pageBreakBefore w:val="0"/>
              <w:widowControl/>
              <w:kinsoku/>
              <w:wordWrap/>
              <w:overflowPunct/>
              <w:topLinePunct w:val="0"/>
              <w:autoSpaceDE/>
              <w:autoSpaceDN/>
              <w:bidi w:val="0"/>
              <w:adjustRightInd/>
              <w:snapToGrid/>
              <w:ind w:left="0" w:right="0"/>
              <w:jc w:val="center"/>
              <w:textAlignment w:val="auto"/>
              <w:rPr>
                <w:rFonts w:hint="eastAsia" w:ascii="Times New Roman" w:hAnsi="Times New Roman" w:cs="Times New Roman"/>
                <w:color w:val="auto"/>
                <w:sz w:val="21"/>
                <w:szCs w:val="21"/>
                <w:highlight w:val="none"/>
              </w:rPr>
            </w:pPr>
          </w:p>
        </w:tc>
      </w:tr>
      <w:tr w14:paraId="4B735B2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740" w:type="dxa"/>
            <w:vMerge w:val="continue"/>
            <w:tcBorders>
              <w:tl2br w:val="nil"/>
              <w:tr2bl w:val="nil"/>
            </w:tcBorders>
            <w:vAlign w:val="center"/>
          </w:tcPr>
          <w:p w14:paraId="1381F2AD">
            <w:pPr>
              <w:keepNext w:val="0"/>
              <w:keepLines w:val="0"/>
              <w:pageBreakBefore w:val="0"/>
              <w:widowControl/>
              <w:kinsoku/>
              <w:wordWrap/>
              <w:overflowPunct/>
              <w:topLinePunct w:val="0"/>
              <w:autoSpaceDE/>
              <w:autoSpaceDN/>
              <w:bidi w:val="0"/>
              <w:adjustRightInd/>
              <w:snapToGrid/>
              <w:ind w:left="0" w:right="0"/>
              <w:jc w:val="center"/>
              <w:textAlignment w:val="auto"/>
              <w:rPr>
                <w:rFonts w:hint="eastAsia" w:ascii="Times New Roman" w:hAnsi="Times New Roman" w:cs="Times New Roman"/>
                <w:color w:val="auto"/>
                <w:sz w:val="21"/>
                <w:szCs w:val="21"/>
                <w:highlight w:val="none"/>
              </w:rPr>
            </w:pPr>
          </w:p>
        </w:tc>
        <w:tc>
          <w:tcPr>
            <w:tcW w:w="2159" w:type="dxa"/>
            <w:tcBorders>
              <w:tl2br w:val="nil"/>
              <w:tr2bl w:val="nil"/>
            </w:tcBorders>
            <w:vAlign w:val="center"/>
          </w:tcPr>
          <w:p w14:paraId="1540E484">
            <w:pPr>
              <w:keepNext w:val="0"/>
              <w:keepLines w:val="0"/>
              <w:pageBreakBefore w:val="0"/>
              <w:widowControl/>
              <w:kinsoku/>
              <w:wordWrap/>
              <w:overflowPunct/>
              <w:topLinePunct w:val="0"/>
              <w:autoSpaceDE/>
              <w:autoSpaceDN/>
              <w:bidi w:val="0"/>
              <w:adjustRightInd/>
              <w:snapToGrid/>
              <w:ind w:left="0" w:right="0"/>
              <w:jc w:val="center"/>
              <w:textAlignment w:val="auto"/>
              <w:rPr>
                <w:rFonts w:hint="eastAsia" w:ascii="Times New Roman" w:hAnsi="Times New Roman" w:cs="Times New Roman"/>
                <w:color w:val="auto"/>
                <w:sz w:val="21"/>
                <w:szCs w:val="21"/>
                <w:highlight w:val="none"/>
                <w:lang w:val="en-US" w:eastAsia="zh-CN"/>
              </w:rPr>
            </w:pPr>
            <w:r>
              <w:rPr>
                <w:rFonts w:hint="eastAsia" w:ascii="Times New Roman" w:hAnsi="Times New Roman"/>
                <w:color w:val="auto"/>
                <w:sz w:val="21"/>
                <w:szCs w:val="21"/>
                <w:highlight w:val="none"/>
              </w:rPr>
              <w:t>甲醇</w:t>
            </w:r>
          </w:p>
        </w:tc>
        <w:tc>
          <w:tcPr>
            <w:tcW w:w="1950" w:type="dxa"/>
            <w:tcBorders>
              <w:tl2br w:val="nil"/>
              <w:tr2bl w:val="nil"/>
            </w:tcBorders>
            <w:vAlign w:val="center"/>
          </w:tcPr>
          <w:p w14:paraId="6C66E7AC">
            <w:pPr>
              <w:keepNext w:val="0"/>
              <w:keepLines w:val="0"/>
              <w:pageBreakBefore w:val="0"/>
              <w:widowControl/>
              <w:kinsoku/>
              <w:wordWrap/>
              <w:overflowPunct/>
              <w:topLinePunct w:val="0"/>
              <w:autoSpaceDE/>
              <w:autoSpaceDN/>
              <w:bidi w:val="0"/>
              <w:adjustRightInd/>
              <w:snapToGrid/>
              <w:ind w:left="0" w:right="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0.0008</w:t>
            </w:r>
          </w:p>
        </w:tc>
        <w:tc>
          <w:tcPr>
            <w:tcW w:w="1950" w:type="dxa"/>
            <w:vMerge w:val="continue"/>
            <w:tcBorders>
              <w:tl2br w:val="nil"/>
              <w:tr2bl w:val="nil"/>
            </w:tcBorders>
            <w:vAlign w:val="center"/>
          </w:tcPr>
          <w:p w14:paraId="4D3F690F">
            <w:pPr>
              <w:keepNext w:val="0"/>
              <w:keepLines w:val="0"/>
              <w:pageBreakBefore w:val="0"/>
              <w:widowControl/>
              <w:kinsoku/>
              <w:wordWrap/>
              <w:overflowPunct/>
              <w:topLinePunct w:val="0"/>
              <w:autoSpaceDE/>
              <w:autoSpaceDN/>
              <w:bidi w:val="0"/>
              <w:adjustRightInd/>
              <w:snapToGrid/>
              <w:ind w:left="0" w:right="0"/>
              <w:jc w:val="center"/>
              <w:textAlignment w:val="auto"/>
              <w:rPr>
                <w:rFonts w:hint="eastAsia" w:ascii="Times New Roman" w:hAnsi="Times New Roman" w:cs="Times New Roman"/>
                <w:color w:val="auto"/>
                <w:sz w:val="21"/>
                <w:szCs w:val="21"/>
                <w:highlight w:val="none"/>
              </w:rPr>
            </w:pPr>
          </w:p>
        </w:tc>
        <w:tc>
          <w:tcPr>
            <w:tcW w:w="1951" w:type="dxa"/>
            <w:vMerge w:val="continue"/>
            <w:tcBorders>
              <w:tl2br w:val="nil"/>
              <w:tr2bl w:val="nil"/>
            </w:tcBorders>
            <w:vAlign w:val="center"/>
          </w:tcPr>
          <w:p w14:paraId="22B62B49">
            <w:pPr>
              <w:keepNext w:val="0"/>
              <w:keepLines w:val="0"/>
              <w:pageBreakBefore w:val="0"/>
              <w:widowControl/>
              <w:kinsoku/>
              <w:wordWrap/>
              <w:overflowPunct/>
              <w:topLinePunct w:val="0"/>
              <w:autoSpaceDE/>
              <w:autoSpaceDN/>
              <w:bidi w:val="0"/>
              <w:adjustRightInd/>
              <w:snapToGrid/>
              <w:ind w:left="0" w:right="0"/>
              <w:jc w:val="center"/>
              <w:textAlignment w:val="auto"/>
              <w:rPr>
                <w:rFonts w:hint="eastAsia" w:ascii="Times New Roman" w:hAnsi="Times New Roman" w:cs="Times New Roman"/>
                <w:color w:val="auto"/>
                <w:sz w:val="21"/>
                <w:szCs w:val="21"/>
                <w:highlight w:val="none"/>
              </w:rPr>
            </w:pPr>
          </w:p>
        </w:tc>
        <w:tc>
          <w:tcPr>
            <w:tcW w:w="1951" w:type="dxa"/>
            <w:vMerge w:val="continue"/>
            <w:tcBorders>
              <w:tl2br w:val="nil"/>
              <w:tr2bl w:val="nil"/>
            </w:tcBorders>
            <w:vAlign w:val="center"/>
          </w:tcPr>
          <w:p w14:paraId="20EDA24D">
            <w:pPr>
              <w:keepNext w:val="0"/>
              <w:keepLines w:val="0"/>
              <w:pageBreakBefore w:val="0"/>
              <w:widowControl/>
              <w:kinsoku/>
              <w:wordWrap/>
              <w:overflowPunct/>
              <w:topLinePunct w:val="0"/>
              <w:autoSpaceDE/>
              <w:autoSpaceDN/>
              <w:bidi w:val="0"/>
              <w:adjustRightInd/>
              <w:snapToGrid/>
              <w:ind w:left="0" w:right="0"/>
              <w:jc w:val="center"/>
              <w:textAlignment w:val="auto"/>
              <w:rPr>
                <w:rFonts w:hint="eastAsia" w:ascii="Times New Roman" w:hAnsi="Times New Roman" w:cs="Times New Roman"/>
                <w:color w:val="auto"/>
                <w:sz w:val="21"/>
                <w:szCs w:val="21"/>
                <w:highlight w:val="none"/>
              </w:rPr>
            </w:pPr>
          </w:p>
        </w:tc>
        <w:tc>
          <w:tcPr>
            <w:tcW w:w="1951" w:type="dxa"/>
            <w:vMerge w:val="continue"/>
            <w:tcBorders>
              <w:tl2br w:val="nil"/>
              <w:tr2bl w:val="nil"/>
            </w:tcBorders>
            <w:vAlign w:val="center"/>
          </w:tcPr>
          <w:p w14:paraId="5453E2BD">
            <w:pPr>
              <w:keepNext w:val="0"/>
              <w:keepLines w:val="0"/>
              <w:pageBreakBefore w:val="0"/>
              <w:widowControl/>
              <w:kinsoku/>
              <w:wordWrap/>
              <w:overflowPunct/>
              <w:topLinePunct w:val="0"/>
              <w:autoSpaceDE/>
              <w:autoSpaceDN/>
              <w:bidi w:val="0"/>
              <w:adjustRightInd/>
              <w:snapToGrid/>
              <w:ind w:left="0" w:right="0"/>
              <w:jc w:val="center"/>
              <w:textAlignment w:val="auto"/>
              <w:rPr>
                <w:rFonts w:hint="eastAsia" w:ascii="Times New Roman" w:hAnsi="Times New Roman" w:cs="Times New Roman"/>
                <w:color w:val="auto"/>
                <w:sz w:val="21"/>
                <w:szCs w:val="21"/>
                <w:highlight w:val="none"/>
              </w:rPr>
            </w:pPr>
          </w:p>
        </w:tc>
      </w:tr>
    </w:tbl>
    <w:p w14:paraId="3C87B426">
      <w:pPr>
        <w:pStyle w:val="15"/>
        <w:spacing w:line="360" w:lineRule="auto"/>
        <w:ind w:left="-105" w:right="-105" w:firstLine="482"/>
        <w:rPr>
          <w:rFonts w:eastAsia="宋体" w:cs="Times New Roman"/>
          <w:color w:val="auto"/>
          <w:sz w:val="24"/>
          <w:szCs w:val="24"/>
          <w:highlight w:val="none"/>
        </w:rPr>
      </w:pPr>
      <w:r>
        <w:rPr>
          <w:rFonts w:eastAsia="宋体" w:cs="Times New Roman"/>
          <w:color w:val="auto"/>
          <w:sz w:val="24"/>
          <w:szCs w:val="24"/>
          <w:highlight w:val="none"/>
        </w:rPr>
        <w:t>表</w:t>
      </w:r>
      <w:r>
        <w:rPr>
          <w:rFonts w:eastAsia="宋体" w:cs="Times New Roman"/>
          <w:color w:val="auto"/>
          <w:sz w:val="24"/>
          <w:szCs w:val="24"/>
          <w:highlight w:val="none"/>
        </w:rPr>
        <w:fldChar w:fldCharType="begin"/>
      </w:r>
      <w:r>
        <w:rPr>
          <w:rFonts w:eastAsia="宋体" w:cs="Times New Roman"/>
          <w:color w:val="auto"/>
          <w:sz w:val="24"/>
          <w:szCs w:val="24"/>
          <w:highlight w:val="none"/>
        </w:rPr>
        <w:instrText xml:space="preserve"> STYLEREF 2 \s </w:instrText>
      </w:r>
      <w:r>
        <w:rPr>
          <w:rFonts w:eastAsia="宋体" w:cs="Times New Roman"/>
          <w:color w:val="auto"/>
          <w:sz w:val="24"/>
          <w:szCs w:val="24"/>
          <w:highlight w:val="none"/>
        </w:rPr>
        <w:fldChar w:fldCharType="separate"/>
      </w:r>
      <w:r>
        <w:rPr>
          <w:rFonts w:eastAsia="宋体" w:cs="Times New Roman"/>
          <w:color w:val="auto"/>
          <w:sz w:val="24"/>
          <w:szCs w:val="24"/>
          <w:highlight w:val="none"/>
        </w:rPr>
        <w:t>4.6</w:t>
      </w:r>
      <w:r>
        <w:rPr>
          <w:rFonts w:eastAsia="宋体" w:cs="Times New Roman"/>
          <w:color w:val="auto"/>
          <w:sz w:val="24"/>
          <w:szCs w:val="24"/>
          <w:highlight w:val="none"/>
        </w:rPr>
        <w:fldChar w:fldCharType="end"/>
      </w:r>
      <w:r>
        <w:rPr>
          <w:rFonts w:eastAsia="宋体" w:cs="Times New Roman"/>
          <w:color w:val="auto"/>
          <w:sz w:val="24"/>
          <w:szCs w:val="24"/>
          <w:highlight w:val="none"/>
        </w:rPr>
        <w:noBreakHyphen/>
      </w:r>
      <w:r>
        <w:rPr>
          <w:rFonts w:eastAsia="宋体" w:cs="Times New Roman"/>
          <w:color w:val="auto"/>
          <w:sz w:val="24"/>
          <w:szCs w:val="24"/>
          <w:highlight w:val="none"/>
        </w:rPr>
        <w:fldChar w:fldCharType="begin"/>
      </w:r>
      <w:r>
        <w:rPr>
          <w:rFonts w:eastAsia="宋体" w:cs="Times New Roman"/>
          <w:color w:val="auto"/>
          <w:sz w:val="24"/>
          <w:szCs w:val="24"/>
          <w:highlight w:val="none"/>
        </w:rPr>
        <w:instrText xml:space="preserve"> SEQ 表 \* ARABIC \s 2 </w:instrText>
      </w:r>
      <w:r>
        <w:rPr>
          <w:rFonts w:eastAsia="宋体" w:cs="Times New Roman"/>
          <w:color w:val="auto"/>
          <w:sz w:val="24"/>
          <w:szCs w:val="24"/>
          <w:highlight w:val="none"/>
        </w:rPr>
        <w:fldChar w:fldCharType="separate"/>
      </w:r>
      <w:r>
        <w:rPr>
          <w:rFonts w:eastAsia="宋体" w:cs="Times New Roman"/>
          <w:color w:val="auto"/>
          <w:sz w:val="24"/>
          <w:szCs w:val="24"/>
          <w:highlight w:val="none"/>
        </w:rPr>
        <w:t>6</w:t>
      </w:r>
      <w:r>
        <w:rPr>
          <w:rFonts w:eastAsia="宋体" w:cs="Times New Roman"/>
          <w:color w:val="auto"/>
          <w:sz w:val="24"/>
          <w:szCs w:val="24"/>
          <w:highlight w:val="none"/>
        </w:rPr>
        <w:fldChar w:fldCharType="end"/>
      </w:r>
      <w:bookmarkEnd w:id="233"/>
      <w:r>
        <w:rPr>
          <w:rFonts w:hint="eastAsia" w:eastAsia="宋体" w:cs="Times New Roman"/>
          <w:color w:val="auto"/>
          <w:sz w:val="24"/>
          <w:szCs w:val="24"/>
          <w:highlight w:val="none"/>
        </w:rPr>
        <w:t>二工场大气污染物无组织排放</w:t>
      </w:r>
      <w:r>
        <w:rPr>
          <w:rFonts w:eastAsia="宋体" w:cs="Times New Roman"/>
          <w:color w:val="auto"/>
          <w:sz w:val="24"/>
          <w:szCs w:val="24"/>
          <w:highlight w:val="none"/>
        </w:rPr>
        <w:t>情况</w:t>
      </w:r>
    </w:p>
    <w:tbl>
      <w:tblPr>
        <w:tblStyle w:val="46"/>
        <w:tblW w:w="5000"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740"/>
        <w:gridCol w:w="2159"/>
        <w:gridCol w:w="1950"/>
        <w:gridCol w:w="1950"/>
        <w:gridCol w:w="1951"/>
        <w:gridCol w:w="1951"/>
        <w:gridCol w:w="1951"/>
      </w:tblGrid>
      <w:tr w14:paraId="626F6BC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740" w:type="dxa"/>
            <w:vMerge w:val="restart"/>
            <w:tcBorders>
              <w:tl2br w:val="nil"/>
              <w:tr2bl w:val="nil"/>
            </w:tcBorders>
            <w:vAlign w:val="center"/>
          </w:tcPr>
          <w:p w14:paraId="54DA8F64">
            <w:pPr>
              <w:ind w:left="-105" w:right="-105"/>
              <w:jc w:val="center"/>
              <w:rPr>
                <w:rFonts w:ascii="Times New Roman" w:hAnsi="Times New Roman" w:cs="Times New Roman"/>
                <w:b/>
                <w:bCs/>
                <w:color w:val="auto"/>
                <w:sz w:val="21"/>
                <w:szCs w:val="21"/>
                <w:highlight w:val="none"/>
              </w:rPr>
            </w:pPr>
            <w:r>
              <w:rPr>
                <w:rFonts w:hint="eastAsia" w:ascii="Times New Roman" w:hAnsi="Times New Roman" w:cs="Times New Roman"/>
                <w:b/>
                <w:bCs/>
                <w:color w:val="auto"/>
                <w:sz w:val="21"/>
                <w:szCs w:val="21"/>
                <w:highlight w:val="none"/>
              </w:rPr>
              <w:t>污染源位置</w:t>
            </w:r>
          </w:p>
        </w:tc>
        <w:tc>
          <w:tcPr>
            <w:tcW w:w="2159" w:type="dxa"/>
            <w:vMerge w:val="restart"/>
            <w:tcBorders>
              <w:tl2br w:val="nil"/>
              <w:tr2bl w:val="nil"/>
            </w:tcBorders>
            <w:vAlign w:val="center"/>
          </w:tcPr>
          <w:p w14:paraId="1919D3CE">
            <w:pPr>
              <w:ind w:left="-105" w:right="-105"/>
              <w:jc w:val="center"/>
              <w:rPr>
                <w:rFonts w:ascii="Times New Roman" w:hAnsi="Times New Roman" w:cs="Times New Roman"/>
                <w:b/>
                <w:bCs/>
                <w:color w:val="auto"/>
                <w:sz w:val="21"/>
                <w:szCs w:val="21"/>
                <w:highlight w:val="none"/>
              </w:rPr>
            </w:pPr>
            <w:r>
              <w:rPr>
                <w:rFonts w:hint="eastAsia" w:ascii="Times New Roman" w:hAnsi="Times New Roman" w:cs="Times New Roman"/>
                <w:b/>
                <w:bCs/>
                <w:color w:val="auto"/>
                <w:sz w:val="21"/>
                <w:szCs w:val="21"/>
                <w:highlight w:val="none"/>
              </w:rPr>
              <w:t>污染物名称</w:t>
            </w:r>
          </w:p>
        </w:tc>
        <w:tc>
          <w:tcPr>
            <w:tcW w:w="3900" w:type="dxa"/>
            <w:gridSpan w:val="2"/>
            <w:tcBorders>
              <w:tl2br w:val="nil"/>
              <w:tr2bl w:val="nil"/>
            </w:tcBorders>
            <w:vAlign w:val="center"/>
          </w:tcPr>
          <w:p w14:paraId="6A48D57E">
            <w:pPr>
              <w:ind w:left="-105" w:right="-105"/>
              <w:jc w:val="center"/>
              <w:rPr>
                <w:rFonts w:ascii="Times New Roman" w:hAnsi="Times New Roman" w:cs="Times New Roman"/>
                <w:b/>
                <w:bCs/>
                <w:color w:val="auto"/>
                <w:sz w:val="21"/>
                <w:szCs w:val="21"/>
                <w:highlight w:val="none"/>
              </w:rPr>
            </w:pPr>
            <w:r>
              <w:rPr>
                <w:rFonts w:hint="eastAsia" w:ascii="Times New Roman" w:hAnsi="Times New Roman" w:cs="Times New Roman"/>
                <w:b/>
                <w:bCs/>
                <w:color w:val="auto"/>
                <w:sz w:val="21"/>
                <w:szCs w:val="21"/>
                <w:highlight w:val="none"/>
              </w:rPr>
              <w:t>排放情况</w:t>
            </w:r>
          </w:p>
        </w:tc>
        <w:tc>
          <w:tcPr>
            <w:tcW w:w="1951" w:type="dxa"/>
            <w:vMerge w:val="restart"/>
            <w:tcBorders>
              <w:tl2br w:val="nil"/>
              <w:tr2bl w:val="nil"/>
            </w:tcBorders>
            <w:vAlign w:val="center"/>
          </w:tcPr>
          <w:p w14:paraId="0E21085E">
            <w:pPr>
              <w:ind w:left="-105" w:right="-105"/>
              <w:jc w:val="center"/>
              <w:rPr>
                <w:rFonts w:ascii="Times New Roman" w:hAnsi="Times New Roman" w:cs="Times New Roman"/>
                <w:b/>
                <w:bCs/>
                <w:color w:val="auto"/>
                <w:sz w:val="21"/>
                <w:szCs w:val="21"/>
                <w:highlight w:val="none"/>
              </w:rPr>
            </w:pPr>
            <w:r>
              <w:rPr>
                <w:rFonts w:hint="eastAsia" w:ascii="Times New Roman" w:hAnsi="Times New Roman" w:cs="Times New Roman"/>
                <w:b/>
                <w:bCs/>
                <w:color w:val="auto"/>
                <w:sz w:val="21"/>
                <w:szCs w:val="21"/>
                <w:highlight w:val="none"/>
              </w:rPr>
              <w:t>面源面积m</w:t>
            </w:r>
            <w:r>
              <w:rPr>
                <w:rFonts w:hint="eastAsia" w:ascii="Times New Roman" w:hAnsi="Times New Roman" w:cs="Times New Roman"/>
                <w:b/>
                <w:bCs/>
                <w:color w:val="auto"/>
                <w:sz w:val="21"/>
                <w:szCs w:val="21"/>
                <w:highlight w:val="none"/>
                <w:vertAlign w:val="superscript"/>
              </w:rPr>
              <w:t>2</w:t>
            </w:r>
          </w:p>
        </w:tc>
        <w:tc>
          <w:tcPr>
            <w:tcW w:w="1951" w:type="dxa"/>
            <w:vMerge w:val="restart"/>
            <w:tcBorders>
              <w:tl2br w:val="nil"/>
              <w:tr2bl w:val="nil"/>
            </w:tcBorders>
            <w:vAlign w:val="center"/>
          </w:tcPr>
          <w:p w14:paraId="6371A4AC">
            <w:pPr>
              <w:ind w:left="-105" w:right="-105"/>
              <w:jc w:val="center"/>
              <w:rPr>
                <w:rFonts w:ascii="Times New Roman" w:hAnsi="Times New Roman" w:cs="Times New Roman"/>
                <w:b/>
                <w:bCs/>
                <w:color w:val="auto"/>
                <w:sz w:val="21"/>
                <w:szCs w:val="21"/>
                <w:highlight w:val="none"/>
              </w:rPr>
            </w:pPr>
            <w:r>
              <w:rPr>
                <w:rFonts w:hint="eastAsia" w:ascii="Times New Roman" w:hAnsi="Times New Roman" w:cs="Times New Roman"/>
                <w:b/>
                <w:bCs/>
                <w:color w:val="auto"/>
                <w:sz w:val="21"/>
                <w:szCs w:val="21"/>
                <w:highlight w:val="none"/>
              </w:rPr>
              <w:t>面源高度m</w:t>
            </w:r>
          </w:p>
        </w:tc>
        <w:tc>
          <w:tcPr>
            <w:tcW w:w="1951" w:type="dxa"/>
            <w:vMerge w:val="restart"/>
            <w:tcBorders>
              <w:tl2br w:val="nil"/>
              <w:tr2bl w:val="nil"/>
            </w:tcBorders>
            <w:vAlign w:val="center"/>
          </w:tcPr>
          <w:p w14:paraId="0C12C764">
            <w:pPr>
              <w:ind w:left="-105" w:right="-105"/>
              <w:jc w:val="center"/>
              <w:rPr>
                <w:rFonts w:ascii="Times New Roman" w:hAnsi="Times New Roman" w:cs="Times New Roman"/>
                <w:b/>
                <w:bCs/>
                <w:color w:val="auto"/>
                <w:sz w:val="21"/>
                <w:szCs w:val="21"/>
                <w:highlight w:val="none"/>
              </w:rPr>
            </w:pPr>
            <w:r>
              <w:rPr>
                <w:rFonts w:hint="eastAsia" w:ascii="Times New Roman" w:hAnsi="Times New Roman" w:cs="Times New Roman"/>
                <w:b/>
                <w:bCs/>
                <w:color w:val="auto"/>
                <w:sz w:val="21"/>
                <w:szCs w:val="21"/>
                <w:highlight w:val="none"/>
              </w:rPr>
              <w:t>无组织排放监控浓度限值mg/m</w:t>
            </w:r>
            <w:r>
              <w:rPr>
                <w:rFonts w:hint="eastAsia" w:ascii="Times New Roman" w:hAnsi="Times New Roman" w:cs="Times New Roman"/>
                <w:b/>
                <w:bCs/>
                <w:color w:val="auto"/>
                <w:sz w:val="21"/>
                <w:szCs w:val="21"/>
                <w:highlight w:val="none"/>
                <w:vertAlign w:val="superscript"/>
              </w:rPr>
              <w:t>3</w:t>
            </w:r>
          </w:p>
        </w:tc>
      </w:tr>
      <w:tr w14:paraId="26F8DD2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740" w:type="dxa"/>
            <w:vMerge w:val="continue"/>
            <w:tcBorders>
              <w:tl2br w:val="nil"/>
              <w:tr2bl w:val="nil"/>
            </w:tcBorders>
            <w:vAlign w:val="center"/>
          </w:tcPr>
          <w:p w14:paraId="60C7524A">
            <w:pPr>
              <w:ind w:left="-105" w:right="-105"/>
              <w:jc w:val="center"/>
              <w:rPr>
                <w:rFonts w:ascii="Times New Roman" w:hAnsi="Times New Roman" w:cs="Times New Roman"/>
                <w:b/>
                <w:bCs/>
                <w:color w:val="auto"/>
                <w:sz w:val="21"/>
                <w:szCs w:val="21"/>
                <w:highlight w:val="none"/>
              </w:rPr>
            </w:pPr>
          </w:p>
        </w:tc>
        <w:tc>
          <w:tcPr>
            <w:tcW w:w="2159" w:type="dxa"/>
            <w:vMerge w:val="continue"/>
            <w:tcBorders>
              <w:tl2br w:val="nil"/>
              <w:tr2bl w:val="nil"/>
            </w:tcBorders>
            <w:vAlign w:val="center"/>
          </w:tcPr>
          <w:p w14:paraId="7D489517">
            <w:pPr>
              <w:ind w:left="-105" w:right="-105"/>
              <w:jc w:val="center"/>
              <w:rPr>
                <w:rFonts w:ascii="Times New Roman" w:hAnsi="Times New Roman" w:cs="Times New Roman"/>
                <w:b/>
                <w:bCs/>
                <w:color w:val="auto"/>
                <w:sz w:val="21"/>
                <w:szCs w:val="21"/>
                <w:highlight w:val="none"/>
              </w:rPr>
            </w:pPr>
          </w:p>
        </w:tc>
        <w:tc>
          <w:tcPr>
            <w:tcW w:w="1950" w:type="dxa"/>
            <w:tcBorders>
              <w:tl2br w:val="nil"/>
              <w:tr2bl w:val="nil"/>
            </w:tcBorders>
            <w:vAlign w:val="center"/>
          </w:tcPr>
          <w:p w14:paraId="2BC18405">
            <w:pPr>
              <w:ind w:left="-105" w:right="-105"/>
              <w:jc w:val="center"/>
              <w:rPr>
                <w:rFonts w:ascii="Times New Roman" w:hAnsi="Times New Roman" w:cs="Times New Roman"/>
                <w:b/>
                <w:bCs/>
                <w:color w:val="auto"/>
                <w:sz w:val="21"/>
                <w:szCs w:val="21"/>
                <w:highlight w:val="none"/>
              </w:rPr>
            </w:pPr>
            <w:r>
              <w:rPr>
                <w:rFonts w:hint="eastAsia" w:ascii="Times New Roman" w:hAnsi="Times New Roman" w:cs="Times New Roman"/>
                <w:b/>
                <w:bCs/>
                <w:color w:val="auto"/>
                <w:sz w:val="21"/>
                <w:szCs w:val="21"/>
                <w:highlight w:val="none"/>
              </w:rPr>
              <w:t>排放量（t/a）</w:t>
            </w:r>
          </w:p>
        </w:tc>
        <w:tc>
          <w:tcPr>
            <w:tcW w:w="1950" w:type="dxa"/>
            <w:tcBorders>
              <w:tl2br w:val="nil"/>
              <w:tr2bl w:val="nil"/>
            </w:tcBorders>
            <w:vAlign w:val="center"/>
          </w:tcPr>
          <w:p w14:paraId="47C61FC4">
            <w:pPr>
              <w:ind w:left="-105" w:right="-105"/>
              <w:jc w:val="center"/>
              <w:rPr>
                <w:rFonts w:ascii="Times New Roman" w:hAnsi="Times New Roman" w:cs="Times New Roman"/>
                <w:b/>
                <w:bCs/>
                <w:color w:val="auto"/>
                <w:sz w:val="21"/>
                <w:szCs w:val="21"/>
                <w:highlight w:val="none"/>
              </w:rPr>
            </w:pPr>
            <w:r>
              <w:rPr>
                <w:rFonts w:hint="eastAsia" w:ascii="Times New Roman" w:hAnsi="Times New Roman" w:cs="Times New Roman"/>
                <w:b/>
                <w:bCs/>
                <w:color w:val="auto"/>
                <w:sz w:val="21"/>
                <w:szCs w:val="21"/>
                <w:highlight w:val="none"/>
              </w:rPr>
              <w:t>时间h</w:t>
            </w:r>
          </w:p>
        </w:tc>
        <w:tc>
          <w:tcPr>
            <w:tcW w:w="1951" w:type="dxa"/>
            <w:vMerge w:val="continue"/>
            <w:tcBorders>
              <w:tl2br w:val="nil"/>
              <w:tr2bl w:val="nil"/>
            </w:tcBorders>
            <w:vAlign w:val="center"/>
          </w:tcPr>
          <w:p w14:paraId="6444E12E">
            <w:pPr>
              <w:ind w:left="-105" w:right="-105"/>
              <w:jc w:val="center"/>
              <w:rPr>
                <w:rFonts w:ascii="Times New Roman" w:hAnsi="Times New Roman" w:cs="Times New Roman"/>
                <w:b/>
                <w:bCs/>
                <w:color w:val="auto"/>
                <w:sz w:val="21"/>
                <w:szCs w:val="21"/>
                <w:highlight w:val="none"/>
              </w:rPr>
            </w:pPr>
          </w:p>
        </w:tc>
        <w:tc>
          <w:tcPr>
            <w:tcW w:w="1951" w:type="dxa"/>
            <w:vMerge w:val="continue"/>
            <w:tcBorders>
              <w:tl2br w:val="nil"/>
              <w:tr2bl w:val="nil"/>
            </w:tcBorders>
            <w:vAlign w:val="center"/>
          </w:tcPr>
          <w:p w14:paraId="42D8EE65">
            <w:pPr>
              <w:ind w:left="-105" w:right="-105"/>
              <w:jc w:val="center"/>
              <w:rPr>
                <w:rFonts w:ascii="Times New Roman" w:hAnsi="Times New Roman" w:cs="Times New Roman"/>
                <w:b/>
                <w:bCs/>
                <w:color w:val="auto"/>
                <w:sz w:val="21"/>
                <w:szCs w:val="21"/>
                <w:highlight w:val="none"/>
              </w:rPr>
            </w:pPr>
          </w:p>
        </w:tc>
        <w:tc>
          <w:tcPr>
            <w:tcW w:w="1951" w:type="dxa"/>
            <w:vMerge w:val="continue"/>
            <w:tcBorders>
              <w:tl2br w:val="nil"/>
              <w:tr2bl w:val="nil"/>
            </w:tcBorders>
            <w:vAlign w:val="center"/>
          </w:tcPr>
          <w:p w14:paraId="52A231BD">
            <w:pPr>
              <w:ind w:left="-105" w:right="-105"/>
              <w:jc w:val="center"/>
              <w:rPr>
                <w:rFonts w:ascii="Times New Roman" w:hAnsi="Times New Roman" w:cs="Times New Roman"/>
                <w:b/>
                <w:bCs/>
                <w:color w:val="auto"/>
                <w:sz w:val="21"/>
                <w:szCs w:val="21"/>
                <w:highlight w:val="none"/>
              </w:rPr>
            </w:pPr>
          </w:p>
        </w:tc>
      </w:tr>
      <w:tr w14:paraId="1F7670D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740" w:type="dxa"/>
            <w:tcBorders>
              <w:tl2br w:val="nil"/>
              <w:tr2bl w:val="nil"/>
            </w:tcBorders>
            <w:vAlign w:val="center"/>
          </w:tcPr>
          <w:p w14:paraId="0556315E">
            <w:pPr>
              <w:ind w:left="-105" w:right="-105"/>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二工场车间</w:t>
            </w:r>
          </w:p>
        </w:tc>
        <w:tc>
          <w:tcPr>
            <w:tcW w:w="2159" w:type="dxa"/>
            <w:tcBorders>
              <w:tl2br w:val="nil"/>
              <w:tr2bl w:val="nil"/>
            </w:tcBorders>
            <w:vAlign w:val="center"/>
          </w:tcPr>
          <w:p w14:paraId="2F9169EE">
            <w:pPr>
              <w:ind w:left="-105" w:right="-105"/>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非甲烷总烃</w:t>
            </w:r>
          </w:p>
        </w:tc>
        <w:tc>
          <w:tcPr>
            <w:tcW w:w="1950" w:type="dxa"/>
            <w:tcBorders>
              <w:tl2br w:val="nil"/>
              <w:tr2bl w:val="nil"/>
            </w:tcBorders>
            <w:vAlign w:val="center"/>
          </w:tcPr>
          <w:p w14:paraId="302CBD9F">
            <w:pPr>
              <w:ind w:left="-105" w:right="-105"/>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0.0395</w:t>
            </w:r>
          </w:p>
        </w:tc>
        <w:tc>
          <w:tcPr>
            <w:tcW w:w="1950" w:type="dxa"/>
            <w:tcBorders>
              <w:tl2br w:val="nil"/>
              <w:tr2bl w:val="nil"/>
            </w:tcBorders>
            <w:vAlign w:val="center"/>
          </w:tcPr>
          <w:p w14:paraId="0C11093A">
            <w:pPr>
              <w:ind w:left="-105" w:right="-105"/>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8400</w:t>
            </w:r>
          </w:p>
        </w:tc>
        <w:tc>
          <w:tcPr>
            <w:tcW w:w="1951" w:type="dxa"/>
            <w:tcBorders>
              <w:tl2br w:val="nil"/>
              <w:tr2bl w:val="nil"/>
            </w:tcBorders>
            <w:vAlign w:val="center"/>
          </w:tcPr>
          <w:p w14:paraId="5A1EB799">
            <w:pPr>
              <w:ind w:left="-105" w:right="-105"/>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630</w:t>
            </w:r>
          </w:p>
        </w:tc>
        <w:tc>
          <w:tcPr>
            <w:tcW w:w="1951" w:type="dxa"/>
            <w:tcBorders>
              <w:tl2br w:val="nil"/>
              <w:tr2bl w:val="nil"/>
            </w:tcBorders>
            <w:vAlign w:val="center"/>
          </w:tcPr>
          <w:p w14:paraId="3360B10A">
            <w:pPr>
              <w:ind w:left="-105" w:right="-105"/>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12.4</w:t>
            </w:r>
          </w:p>
        </w:tc>
        <w:tc>
          <w:tcPr>
            <w:tcW w:w="1951" w:type="dxa"/>
            <w:tcBorders>
              <w:tl2br w:val="nil"/>
              <w:tr2bl w:val="nil"/>
            </w:tcBorders>
            <w:vAlign w:val="center"/>
          </w:tcPr>
          <w:p w14:paraId="5F272897">
            <w:pPr>
              <w:ind w:left="-105" w:right="-105"/>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4</w:t>
            </w:r>
          </w:p>
        </w:tc>
      </w:tr>
    </w:tbl>
    <w:p w14:paraId="737DD2DF">
      <w:pPr>
        <w:spacing w:line="360" w:lineRule="auto"/>
        <w:ind w:left="-105" w:right="-105"/>
        <w:rPr>
          <w:rFonts w:ascii="Times New Roman" w:hAnsi="Times New Roman"/>
          <w:color w:val="auto"/>
          <w:highlight w:val="none"/>
        </w:rPr>
      </w:pPr>
    </w:p>
    <w:p w14:paraId="676E6448">
      <w:pPr>
        <w:pStyle w:val="20"/>
        <w:ind w:left="-105" w:right="-105" w:firstLine="560"/>
        <w:rPr>
          <w:rFonts w:ascii="Times New Roman" w:hAnsi="Times New Roman"/>
          <w:color w:val="auto"/>
          <w:highlight w:val="none"/>
        </w:rPr>
      </w:pPr>
    </w:p>
    <w:p w14:paraId="1CDD0A3E">
      <w:pPr>
        <w:pStyle w:val="21"/>
        <w:ind w:left="-105" w:right="-105" w:firstLine="560"/>
        <w:rPr>
          <w:color w:val="auto"/>
          <w:highlight w:val="none"/>
        </w:rPr>
      </w:pPr>
    </w:p>
    <w:p w14:paraId="22FFBC9B">
      <w:pPr>
        <w:pStyle w:val="21"/>
        <w:ind w:left="-105" w:right="-105" w:firstLine="560"/>
        <w:rPr>
          <w:color w:val="auto"/>
          <w:highlight w:val="none"/>
        </w:rPr>
      </w:pPr>
    </w:p>
    <w:p w14:paraId="6BA453BF">
      <w:pPr>
        <w:pStyle w:val="21"/>
        <w:ind w:left="-105" w:right="-105" w:firstLine="560"/>
        <w:rPr>
          <w:color w:val="auto"/>
          <w:highlight w:val="none"/>
        </w:rPr>
        <w:sectPr>
          <w:pgSz w:w="16838" w:h="11906" w:orient="landscape"/>
          <w:pgMar w:top="1797" w:right="1701" w:bottom="1514" w:left="1701" w:header="851" w:footer="851" w:gutter="0"/>
          <w:pgBorders>
            <w:top w:val="none" w:sz="0" w:space="0"/>
            <w:left w:val="none" w:sz="0" w:space="0"/>
            <w:bottom w:val="none" w:sz="0" w:space="0"/>
            <w:right w:val="none" w:sz="0" w:space="0"/>
          </w:pgBorders>
          <w:cols w:space="720" w:num="1"/>
          <w:docGrid w:linePitch="498" w:charSpace="-2336"/>
        </w:sectPr>
      </w:pPr>
    </w:p>
    <w:p w14:paraId="0130A15D">
      <w:pPr>
        <w:pStyle w:val="5"/>
        <w:keepLines w:val="0"/>
        <w:numPr>
          <w:ilvl w:val="2"/>
          <w:numId w:val="6"/>
        </w:numPr>
        <w:tabs>
          <w:tab w:val="left" w:pos="141"/>
          <w:tab w:val="left" w:pos="567"/>
          <w:tab w:val="left" w:pos="709"/>
        </w:tabs>
        <w:spacing w:before="120" w:beforeLines="50" w:after="120" w:afterLines="50" w:line="360" w:lineRule="auto"/>
        <w:ind w:left="-105" w:right="-105"/>
        <w:rPr>
          <w:rFonts w:eastAsia="宋体"/>
          <w:color w:val="auto"/>
          <w:sz w:val="28"/>
          <w:szCs w:val="28"/>
          <w:highlight w:val="none"/>
        </w:rPr>
      </w:pPr>
      <w:bookmarkStart w:id="234" w:name="_Toc60653503"/>
      <w:r>
        <w:rPr>
          <w:rFonts w:hint="eastAsia" w:eastAsia="宋体"/>
          <w:color w:val="auto"/>
          <w:sz w:val="28"/>
          <w:szCs w:val="28"/>
          <w:highlight w:val="none"/>
        </w:rPr>
        <w:t>废水污染源强分析</w:t>
      </w:r>
      <w:bookmarkEnd w:id="234"/>
    </w:p>
    <w:p w14:paraId="5054C6AF">
      <w:pPr>
        <w:spacing w:line="360" w:lineRule="auto"/>
        <w:ind w:left="-105" w:right="-105" w:firstLine="480" w:firstLineChars="200"/>
        <w:rPr>
          <w:rFonts w:ascii="Times New Roman" w:hAnsi="Times New Roman"/>
          <w:color w:val="auto"/>
          <w:highlight w:val="none"/>
        </w:rPr>
      </w:pPr>
      <w:r>
        <w:rPr>
          <w:rFonts w:hint="eastAsia" w:ascii="Times New Roman" w:hAnsi="Times New Roman"/>
          <w:color w:val="auto"/>
          <w:highlight w:val="none"/>
        </w:rPr>
        <w:t>本项目废水主要为超纯水制备过程产生的RO浓水和系统反冲洗水</w:t>
      </w:r>
      <w:r>
        <w:rPr>
          <w:rFonts w:hint="eastAsia" w:ascii="Times New Roman" w:hAnsi="Times New Roman"/>
          <w:color w:val="auto"/>
          <w:highlight w:val="none"/>
          <w:lang w:val="en-US" w:eastAsia="zh-CN"/>
        </w:rPr>
        <w:t>12.5</w:t>
      </w:r>
      <w:r>
        <w:rPr>
          <w:rFonts w:hint="eastAsia" w:ascii="Times New Roman" w:hAnsi="Times New Roman"/>
          <w:color w:val="auto"/>
          <w:highlight w:val="none"/>
        </w:rPr>
        <w:t>t/a，由于该水水质简单，类比同类项目废水污染物源强，具体见下表：</w:t>
      </w:r>
    </w:p>
    <w:p w14:paraId="50DC7C58">
      <w:pPr>
        <w:pStyle w:val="15"/>
        <w:spacing w:line="360" w:lineRule="auto"/>
        <w:ind w:left="-105" w:right="-105" w:firstLine="482"/>
        <w:rPr>
          <w:rFonts w:eastAsia="宋体" w:cs="Times New Roman"/>
          <w:color w:val="auto"/>
          <w:sz w:val="24"/>
          <w:szCs w:val="24"/>
          <w:highlight w:val="none"/>
        </w:rPr>
      </w:pPr>
      <w:r>
        <w:rPr>
          <w:rFonts w:eastAsia="宋体" w:cs="Times New Roman"/>
          <w:color w:val="auto"/>
          <w:sz w:val="24"/>
          <w:szCs w:val="24"/>
          <w:highlight w:val="none"/>
        </w:rPr>
        <w:t>表</w:t>
      </w:r>
      <w:r>
        <w:rPr>
          <w:rFonts w:eastAsia="宋体" w:cs="Times New Roman"/>
          <w:color w:val="auto"/>
          <w:sz w:val="24"/>
          <w:szCs w:val="24"/>
          <w:highlight w:val="none"/>
        </w:rPr>
        <w:fldChar w:fldCharType="begin"/>
      </w:r>
      <w:r>
        <w:rPr>
          <w:rFonts w:eastAsia="宋体" w:cs="Times New Roman"/>
          <w:color w:val="auto"/>
          <w:sz w:val="24"/>
          <w:szCs w:val="24"/>
          <w:highlight w:val="none"/>
        </w:rPr>
        <w:instrText xml:space="preserve"> STYLEREF 2 \s </w:instrText>
      </w:r>
      <w:r>
        <w:rPr>
          <w:rFonts w:eastAsia="宋体" w:cs="Times New Roman"/>
          <w:color w:val="auto"/>
          <w:sz w:val="24"/>
          <w:szCs w:val="24"/>
          <w:highlight w:val="none"/>
        </w:rPr>
        <w:fldChar w:fldCharType="separate"/>
      </w:r>
      <w:r>
        <w:rPr>
          <w:rFonts w:eastAsia="宋体" w:cs="Times New Roman"/>
          <w:color w:val="auto"/>
          <w:sz w:val="24"/>
          <w:szCs w:val="24"/>
          <w:highlight w:val="none"/>
        </w:rPr>
        <w:t>4.6</w:t>
      </w:r>
      <w:r>
        <w:rPr>
          <w:rFonts w:eastAsia="宋体" w:cs="Times New Roman"/>
          <w:color w:val="auto"/>
          <w:sz w:val="24"/>
          <w:szCs w:val="24"/>
          <w:highlight w:val="none"/>
        </w:rPr>
        <w:fldChar w:fldCharType="end"/>
      </w:r>
      <w:r>
        <w:rPr>
          <w:rFonts w:eastAsia="宋体" w:cs="Times New Roman"/>
          <w:color w:val="auto"/>
          <w:sz w:val="24"/>
          <w:szCs w:val="24"/>
          <w:highlight w:val="none"/>
        </w:rPr>
        <w:noBreakHyphen/>
      </w:r>
      <w:r>
        <w:rPr>
          <w:rFonts w:eastAsia="宋体" w:cs="Times New Roman"/>
          <w:color w:val="auto"/>
          <w:sz w:val="24"/>
          <w:szCs w:val="24"/>
          <w:highlight w:val="none"/>
        </w:rPr>
        <w:fldChar w:fldCharType="begin"/>
      </w:r>
      <w:r>
        <w:rPr>
          <w:rFonts w:eastAsia="宋体" w:cs="Times New Roman"/>
          <w:color w:val="auto"/>
          <w:sz w:val="24"/>
          <w:szCs w:val="24"/>
          <w:highlight w:val="none"/>
        </w:rPr>
        <w:instrText xml:space="preserve"> SEQ 表 \* ARABIC \s 2 </w:instrText>
      </w:r>
      <w:r>
        <w:rPr>
          <w:rFonts w:eastAsia="宋体" w:cs="Times New Roman"/>
          <w:color w:val="auto"/>
          <w:sz w:val="24"/>
          <w:szCs w:val="24"/>
          <w:highlight w:val="none"/>
        </w:rPr>
        <w:fldChar w:fldCharType="separate"/>
      </w:r>
      <w:r>
        <w:rPr>
          <w:rFonts w:eastAsia="宋体" w:cs="Times New Roman"/>
          <w:color w:val="auto"/>
          <w:sz w:val="24"/>
          <w:szCs w:val="24"/>
          <w:highlight w:val="none"/>
        </w:rPr>
        <w:t>7</w:t>
      </w:r>
      <w:r>
        <w:rPr>
          <w:rFonts w:eastAsia="宋体" w:cs="Times New Roman"/>
          <w:color w:val="auto"/>
          <w:sz w:val="24"/>
          <w:szCs w:val="24"/>
          <w:highlight w:val="none"/>
        </w:rPr>
        <w:fldChar w:fldCharType="end"/>
      </w:r>
      <w:r>
        <w:rPr>
          <w:rFonts w:hint="eastAsia" w:eastAsia="宋体" w:cs="Times New Roman"/>
          <w:color w:val="auto"/>
          <w:sz w:val="24"/>
          <w:szCs w:val="24"/>
          <w:highlight w:val="none"/>
        </w:rPr>
        <w:t>本项目废水污染物产生源强表</w:t>
      </w:r>
    </w:p>
    <w:tbl>
      <w:tblPr>
        <w:tblStyle w:val="45"/>
        <w:tblW w:w="5000" w:type="pct"/>
        <w:tblInd w:w="0" w:type="dxa"/>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autofit"/>
        <w:tblCellMar>
          <w:top w:w="0" w:type="dxa"/>
          <w:left w:w="108" w:type="dxa"/>
          <w:bottom w:w="0" w:type="dxa"/>
          <w:right w:w="108" w:type="dxa"/>
        </w:tblCellMar>
      </w:tblPr>
      <w:tblGrid>
        <w:gridCol w:w="1651"/>
        <w:gridCol w:w="1772"/>
        <w:gridCol w:w="1558"/>
        <w:gridCol w:w="1898"/>
        <w:gridCol w:w="1841"/>
      </w:tblGrid>
      <w:tr w14:paraId="2B87518C">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tblHeader/>
        </w:trPr>
        <w:tc>
          <w:tcPr>
            <w:tcW w:w="1651" w:type="dxa"/>
            <w:vAlign w:val="center"/>
          </w:tcPr>
          <w:p w14:paraId="26214BB2">
            <w:pPr>
              <w:ind w:left="-105" w:right="-105"/>
              <w:jc w:val="center"/>
              <w:rPr>
                <w:rFonts w:ascii="Times New Roman" w:hAnsi="Times New Roman" w:cs="Times New Roman"/>
                <w:b/>
                <w:bCs/>
                <w:color w:val="auto"/>
                <w:sz w:val="21"/>
                <w:szCs w:val="21"/>
                <w:highlight w:val="none"/>
              </w:rPr>
            </w:pPr>
            <w:r>
              <w:rPr>
                <w:rFonts w:ascii="Times New Roman" w:hAnsi="Times New Roman" w:cs="Times New Roman"/>
                <w:b/>
                <w:bCs/>
                <w:color w:val="auto"/>
                <w:sz w:val="21"/>
                <w:szCs w:val="21"/>
                <w:highlight w:val="none"/>
              </w:rPr>
              <w:t>种类</w:t>
            </w:r>
          </w:p>
        </w:tc>
        <w:tc>
          <w:tcPr>
            <w:tcW w:w="1772" w:type="dxa"/>
            <w:vAlign w:val="center"/>
          </w:tcPr>
          <w:p w14:paraId="4BE93A18">
            <w:pPr>
              <w:ind w:left="-105" w:right="-105"/>
              <w:jc w:val="center"/>
              <w:rPr>
                <w:rFonts w:ascii="Times New Roman" w:hAnsi="Times New Roman" w:cs="Times New Roman"/>
                <w:b/>
                <w:bCs/>
                <w:color w:val="auto"/>
                <w:sz w:val="21"/>
                <w:szCs w:val="21"/>
                <w:highlight w:val="none"/>
              </w:rPr>
            </w:pPr>
            <w:r>
              <w:rPr>
                <w:rFonts w:ascii="Times New Roman" w:hAnsi="Times New Roman" w:cs="Times New Roman"/>
                <w:b/>
                <w:bCs/>
                <w:color w:val="auto"/>
                <w:sz w:val="21"/>
                <w:szCs w:val="21"/>
                <w:highlight w:val="none"/>
              </w:rPr>
              <w:t>水量（t/a）</w:t>
            </w:r>
          </w:p>
        </w:tc>
        <w:tc>
          <w:tcPr>
            <w:tcW w:w="1558" w:type="dxa"/>
            <w:vAlign w:val="center"/>
          </w:tcPr>
          <w:p w14:paraId="6F285E7C">
            <w:pPr>
              <w:ind w:left="-105" w:right="-105"/>
              <w:jc w:val="center"/>
              <w:rPr>
                <w:rFonts w:ascii="Times New Roman" w:hAnsi="Times New Roman" w:cs="Times New Roman"/>
                <w:b/>
                <w:bCs/>
                <w:color w:val="auto"/>
                <w:sz w:val="21"/>
                <w:szCs w:val="21"/>
                <w:highlight w:val="none"/>
              </w:rPr>
            </w:pPr>
            <w:r>
              <w:rPr>
                <w:rFonts w:ascii="Times New Roman" w:hAnsi="Times New Roman" w:cs="Times New Roman"/>
                <w:b/>
                <w:bCs/>
                <w:color w:val="auto"/>
                <w:sz w:val="21"/>
                <w:szCs w:val="21"/>
                <w:highlight w:val="none"/>
              </w:rPr>
              <w:t>污染物</w:t>
            </w:r>
          </w:p>
        </w:tc>
        <w:tc>
          <w:tcPr>
            <w:tcW w:w="1898" w:type="dxa"/>
            <w:vAlign w:val="center"/>
          </w:tcPr>
          <w:p w14:paraId="6C875629">
            <w:pPr>
              <w:ind w:left="-105" w:right="-105"/>
              <w:jc w:val="center"/>
              <w:rPr>
                <w:rFonts w:ascii="Times New Roman" w:hAnsi="Times New Roman" w:cs="Times New Roman"/>
                <w:b/>
                <w:bCs/>
                <w:color w:val="auto"/>
                <w:sz w:val="21"/>
                <w:szCs w:val="21"/>
                <w:highlight w:val="none"/>
              </w:rPr>
            </w:pPr>
            <w:r>
              <w:rPr>
                <w:rFonts w:ascii="Times New Roman" w:hAnsi="Times New Roman" w:cs="Times New Roman"/>
                <w:b/>
                <w:bCs/>
                <w:color w:val="auto"/>
                <w:sz w:val="21"/>
                <w:szCs w:val="21"/>
                <w:highlight w:val="none"/>
              </w:rPr>
              <w:t>产生浓度（mg/L）</w:t>
            </w:r>
          </w:p>
        </w:tc>
        <w:tc>
          <w:tcPr>
            <w:tcW w:w="1841" w:type="dxa"/>
            <w:vAlign w:val="center"/>
          </w:tcPr>
          <w:p w14:paraId="6C5794F9">
            <w:pPr>
              <w:ind w:left="-105" w:right="-105"/>
              <w:jc w:val="center"/>
              <w:rPr>
                <w:rFonts w:ascii="Times New Roman" w:hAnsi="Times New Roman" w:cs="Times New Roman"/>
                <w:b/>
                <w:bCs/>
                <w:color w:val="auto"/>
                <w:sz w:val="21"/>
                <w:szCs w:val="21"/>
                <w:highlight w:val="none"/>
              </w:rPr>
            </w:pPr>
            <w:r>
              <w:rPr>
                <w:rFonts w:ascii="Times New Roman" w:hAnsi="Times New Roman" w:cs="Times New Roman"/>
                <w:b/>
                <w:bCs/>
                <w:color w:val="auto"/>
                <w:sz w:val="21"/>
                <w:szCs w:val="21"/>
                <w:highlight w:val="none"/>
              </w:rPr>
              <w:t>产生量（t/a）</w:t>
            </w:r>
          </w:p>
        </w:tc>
      </w:tr>
      <w:tr w14:paraId="498F0A72">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1651" w:type="dxa"/>
            <w:vMerge w:val="restart"/>
            <w:vAlign w:val="center"/>
          </w:tcPr>
          <w:p w14:paraId="6390D570">
            <w:pPr>
              <w:ind w:left="-105" w:right="-105"/>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制纯浓水、反冲洗水</w:t>
            </w:r>
          </w:p>
        </w:tc>
        <w:tc>
          <w:tcPr>
            <w:tcW w:w="1772" w:type="dxa"/>
            <w:vMerge w:val="restart"/>
            <w:vAlign w:val="center"/>
          </w:tcPr>
          <w:p w14:paraId="1697AD5F">
            <w:pPr>
              <w:ind w:left="-105" w:right="-105"/>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12.5</w:t>
            </w:r>
          </w:p>
        </w:tc>
        <w:tc>
          <w:tcPr>
            <w:tcW w:w="1558" w:type="dxa"/>
            <w:vAlign w:val="center"/>
          </w:tcPr>
          <w:p w14:paraId="61CF2F9C">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COD</w:t>
            </w:r>
          </w:p>
        </w:tc>
        <w:tc>
          <w:tcPr>
            <w:tcW w:w="1898" w:type="dxa"/>
            <w:vAlign w:val="center"/>
          </w:tcPr>
          <w:p w14:paraId="398ACF17">
            <w:pPr>
              <w:ind w:left="-105" w:right="-105"/>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60</w:t>
            </w:r>
          </w:p>
        </w:tc>
        <w:tc>
          <w:tcPr>
            <w:tcW w:w="1841" w:type="dxa"/>
            <w:vAlign w:val="center"/>
          </w:tcPr>
          <w:p w14:paraId="2CAB08F6">
            <w:pPr>
              <w:ind w:left="-105" w:right="-105"/>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0.00</w:t>
            </w:r>
            <w:r>
              <w:rPr>
                <w:rFonts w:hint="eastAsia" w:ascii="Times New Roman" w:hAnsi="Times New Roman" w:cs="Times New Roman"/>
                <w:color w:val="auto"/>
                <w:sz w:val="21"/>
                <w:szCs w:val="21"/>
                <w:highlight w:val="none"/>
                <w:lang w:val="en-US" w:eastAsia="zh-CN"/>
              </w:rPr>
              <w:t>0</w:t>
            </w:r>
            <w:r>
              <w:rPr>
                <w:rFonts w:hint="eastAsia" w:ascii="Times New Roman" w:hAnsi="Times New Roman" w:cs="Times New Roman"/>
                <w:color w:val="auto"/>
                <w:sz w:val="21"/>
                <w:szCs w:val="21"/>
                <w:highlight w:val="none"/>
              </w:rPr>
              <w:t>8</w:t>
            </w:r>
          </w:p>
        </w:tc>
      </w:tr>
      <w:tr w14:paraId="5F9980A5">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1651" w:type="dxa"/>
            <w:vMerge w:val="continue"/>
            <w:vAlign w:val="center"/>
          </w:tcPr>
          <w:p w14:paraId="3CDC8D50">
            <w:pPr>
              <w:ind w:left="-105" w:right="-105"/>
              <w:jc w:val="center"/>
              <w:rPr>
                <w:rFonts w:ascii="Times New Roman" w:hAnsi="Times New Roman" w:cs="Times New Roman"/>
                <w:color w:val="auto"/>
                <w:sz w:val="21"/>
                <w:szCs w:val="21"/>
                <w:highlight w:val="none"/>
              </w:rPr>
            </w:pPr>
          </w:p>
        </w:tc>
        <w:tc>
          <w:tcPr>
            <w:tcW w:w="1772" w:type="dxa"/>
            <w:vMerge w:val="continue"/>
            <w:vAlign w:val="center"/>
          </w:tcPr>
          <w:p w14:paraId="7D245978">
            <w:pPr>
              <w:ind w:left="-105" w:right="-105"/>
              <w:jc w:val="center"/>
              <w:rPr>
                <w:rFonts w:ascii="Times New Roman" w:hAnsi="Times New Roman" w:cs="Times New Roman"/>
                <w:color w:val="auto"/>
                <w:sz w:val="21"/>
                <w:szCs w:val="21"/>
                <w:highlight w:val="none"/>
              </w:rPr>
            </w:pPr>
          </w:p>
        </w:tc>
        <w:tc>
          <w:tcPr>
            <w:tcW w:w="1558" w:type="dxa"/>
            <w:vAlign w:val="center"/>
          </w:tcPr>
          <w:p w14:paraId="3F865F84">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SS</w:t>
            </w:r>
          </w:p>
        </w:tc>
        <w:tc>
          <w:tcPr>
            <w:tcW w:w="1898" w:type="dxa"/>
            <w:vAlign w:val="center"/>
          </w:tcPr>
          <w:p w14:paraId="6E48DB64">
            <w:pPr>
              <w:ind w:left="-105" w:right="-105"/>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30</w:t>
            </w:r>
          </w:p>
        </w:tc>
        <w:tc>
          <w:tcPr>
            <w:tcW w:w="1841" w:type="dxa"/>
            <w:vAlign w:val="center"/>
          </w:tcPr>
          <w:p w14:paraId="71B17049">
            <w:pPr>
              <w:ind w:left="-105" w:right="-105"/>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rPr>
              <w:t>0.00</w:t>
            </w:r>
            <w:r>
              <w:rPr>
                <w:rFonts w:hint="eastAsia" w:ascii="Times New Roman" w:hAnsi="Times New Roman" w:cs="Times New Roman"/>
                <w:color w:val="auto"/>
                <w:sz w:val="21"/>
                <w:szCs w:val="21"/>
                <w:highlight w:val="none"/>
                <w:lang w:val="en-US" w:eastAsia="zh-CN"/>
              </w:rPr>
              <w:t>04</w:t>
            </w:r>
          </w:p>
        </w:tc>
      </w:tr>
    </w:tbl>
    <w:p w14:paraId="13217C27">
      <w:pPr>
        <w:spacing w:line="360" w:lineRule="auto"/>
        <w:ind w:left="-105" w:right="-105" w:firstLine="480" w:firstLineChars="200"/>
        <w:rPr>
          <w:rFonts w:ascii="Times New Roman" w:hAnsi="Times New Roman"/>
          <w:color w:val="auto"/>
          <w:highlight w:val="none"/>
        </w:rPr>
      </w:pPr>
      <w:r>
        <w:rPr>
          <w:rFonts w:hint="eastAsia" w:ascii="Times New Roman" w:hAnsi="Times New Roman"/>
          <w:color w:val="auto"/>
          <w:highlight w:val="none"/>
        </w:rPr>
        <w:t>本项目纯水制备过程中不添加任何药剂，纯水制备浓水、反冲洗水污染较轻，少量污染主要来源于自来水，主要污染因子是COD、SS，根据同类项目调查，纯水制备浓水、反冲洗水完全可用于冲厕，且基本不会影响生活污水的产生情况，因此本报告不再对其进行分析评价。</w:t>
      </w:r>
    </w:p>
    <w:p w14:paraId="589C4367">
      <w:pPr>
        <w:spacing w:line="360" w:lineRule="auto"/>
        <w:ind w:left="-105" w:right="-105" w:firstLine="480" w:firstLineChars="200"/>
        <w:rPr>
          <w:rFonts w:hint="default" w:ascii="Times New Roman" w:hAnsi="Times New Roman" w:eastAsia="宋体"/>
          <w:color w:val="auto"/>
          <w:highlight w:val="none"/>
          <w:lang w:val="en-US" w:eastAsia="zh-CN"/>
        </w:rPr>
      </w:pPr>
      <w:r>
        <w:rPr>
          <w:rFonts w:hint="eastAsia"/>
          <w:color w:val="auto"/>
          <w:highlight w:val="none"/>
          <w:lang w:val="en-US" w:eastAsia="zh-CN"/>
        </w:rPr>
        <w:t>由于本项目不新增员工，故生活污水不新增；本项目亦不新增用地面积，故初期雨水预估量不变。综上所述，本项目建成后，生活污水和初期雨水量不变，故本报告不再开展评价分析。</w:t>
      </w:r>
    </w:p>
    <w:p w14:paraId="67DBFE98">
      <w:pPr>
        <w:pStyle w:val="5"/>
        <w:keepLines w:val="0"/>
        <w:numPr>
          <w:ilvl w:val="2"/>
          <w:numId w:val="6"/>
        </w:numPr>
        <w:tabs>
          <w:tab w:val="left" w:pos="141"/>
          <w:tab w:val="left" w:pos="567"/>
          <w:tab w:val="left" w:pos="709"/>
        </w:tabs>
        <w:spacing w:before="120" w:beforeLines="50" w:after="120" w:afterLines="50" w:line="360" w:lineRule="auto"/>
        <w:ind w:left="-105" w:right="-105"/>
        <w:rPr>
          <w:rFonts w:eastAsia="宋体"/>
          <w:color w:val="auto"/>
          <w:sz w:val="28"/>
          <w:szCs w:val="28"/>
          <w:highlight w:val="none"/>
        </w:rPr>
      </w:pPr>
      <w:bookmarkStart w:id="235" w:name="_Toc60653504"/>
      <w:r>
        <w:rPr>
          <w:rFonts w:hint="eastAsia" w:eastAsia="宋体"/>
          <w:color w:val="auto"/>
          <w:sz w:val="28"/>
          <w:szCs w:val="28"/>
          <w:highlight w:val="none"/>
        </w:rPr>
        <w:t>噪声污染源强分析</w:t>
      </w:r>
      <w:bookmarkEnd w:id="235"/>
    </w:p>
    <w:p w14:paraId="31BBFEB0">
      <w:pPr>
        <w:spacing w:line="360" w:lineRule="auto"/>
        <w:ind w:left="-105" w:right="-105" w:firstLine="480"/>
        <w:jc w:val="both"/>
        <w:rPr>
          <w:rFonts w:ascii="Times New Roman" w:hAnsi="Times New Roman" w:cs="Times New Roman"/>
          <w:color w:val="auto"/>
          <w:highlight w:val="none"/>
        </w:rPr>
      </w:pPr>
      <w:r>
        <w:rPr>
          <w:rFonts w:hint="eastAsia"/>
          <w:color w:val="auto"/>
          <w:highlight w:val="none"/>
        </w:rPr>
        <w:t>本项目主要</w:t>
      </w:r>
      <w:r>
        <w:rPr>
          <w:rFonts w:ascii="Times New Roman" w:hAnsi="Times New Roman" w:cs="Times New Roman"/>
          <w:color w:val="auto"/>
          <w:highlight w:val="none"/>
        </w:rPr>
        <w:t>生产设备主要集中在</w:t>
      </w:r>
      <w:r>
        <w:rPr>
          <w:rFonts w:hint="eastAsia" w:ascii="Times New Roman" w:hAnsi="Times New Roman" w:cs="Times New Roman"/>
          <w:color w:val="auto"/>
          <w:highlight w:val="none"/>
        </w:rPr>
        <w:t>二工场车间内，实验室设备在实验楼</w:t>
      </w:r>
      <w:r>
        <w:rPr>
          <w:rFonts w:ascii="Times New Roman" w:hAnsi="Times New Roman" w:cs="Times New Roman"/>
          <w:color w:val="auto"/>
          <w:highlight w:val="none"/>
        </w:rPr>
        <w:t>内，公辅工程布置在厂区内车间外</w:t>
      </w:r>
      <w:r>
        <w:rPr>
          <w:rFonts w:hint="eastAsia" w:ascii="Times New Roman" w:hAnsi="Times New Roman" w:cs="Times New Roman"/>
          <w:color w:val="auto"/>
          <w:highlight w:val="none"/>
        </w:rPr>
        <w:t>。本项目主要噪声设备为</w:t>
      </w:r>
      <w:r>
        <w:rPr>
          <w:rFonts w:hint="eastAsia" w:ascii="Times New Roman" w:hAnsi="Times New Roman" w:cs="Times New Roman"/>
          <w:color w:val="auto"/>
          <w:highlight w:val="none"/>
          <w:lang w:val="en-US" w:eastAsia="zh-CN"/>
        </w:rPr>
        <w:t>新增</w:t>
      </w:r>
      <w:r>
        <w:rPr>
          <w:rFonts w:hint="eastAsia" w:ascii="Times New Roman" w:hAnsi="Times New Roman" w:cs="Times New Roman"/>
          <w:color w:val="auto"/>
          <w:highlight w:val="none"/>
        </w:rPr>
        <w:t>的二工场</w:t>
      </w:r>
      <w:r>
        <w:rPr>
          <w:rFonts w:hint="eastAsia" w:ascii="Times New Roman" w:hAnsi="Times New Roman" w:cs="Times New Roman"/>
          <w:color w:val="auto"/>
          <w:highlight w:val="none"/>
          <w:lang w:val="en-US" w:eastAsia="zh-CN"/>
        </w:rPr>
        <w:t>洁净室引风风机</w:t>
      </w:r>
      <w:r>
        <w:rPr>
          <w:rFonts w:hint="eastAsia" w:ascii="Times New Roman" w:hAnsi="Times New Roman" w:cs="Times New Roman"/>
          <w:color w:val="auto"/>
          <w:highlight w:val="none"/>
        </w:rPr>
        <w:t>和实验楼DA006废气处理设施及配套风机。</w:t>
      </w:r>
      <w:r>
        <w:rPr>
          <w:rFonts w:ascii="Times New Roman" w:hAnsi="Times New Roman" w:cs="Times New Roman"/>
          <w:color w:val="auto"/>
          <w:highlight w:val="none"/>
        </w:rPr>
        <w:t>具体各噪声源强详见</w:t>
      </w:r>
      <w:r>
        <w:rPr>
          <w:rFonts w:hint="eastAsia" w:ascii="Times New Roman" w:hAnsi="Times New Roman" w:cs="Times New Roman"/>
          <w:color w:val="auto"/>
          <w:highlight w:val="none"/>
        </w:rPr>
        <w:t>下表。</w:t>
      </w:r>
    </w:p>
    <w:p w14:paraId="33F5A323">
      <w:pPr>
        <w:pStyle w:val="15"/>
        <w:ind w:left="-105" w:right="-105" w:firstLine="482"/>
        <w:rPr>
          <w:rFonts w:eastAsia="宋体" w:cs="Times New Roman"/>
          <w:color w:val="auto"/>
          <w:sz w:val="24"/>
          <w:szCs w:val="18"/>
          <w:highlight w:val="none"/>
        </w:rPr>
      </w:pPr>
      <w:bookmarkStart w:id="236" w:name="_Ref61965174"/>
      <w:r>
        <w:rPr>
          <w:rFonts w:eastAsia="宋体" w:cs="Times New Roman"/>
          <w:color w:val="auto"/>
          <w:sz w:val="24"/>
          <w:szCs w:val="18"/>
          <w:highlight w:val="none"/>
        </w:rPr>
        <w:t>表</w:t>
      </w:r>
      <w:r>
        <w:rPr>
          <w:rFonts w:eastAsia="宋体" w:cs="Times New Roman"/>
          <w:color w:val="auto"/>
          <w:sz w:val="24"/>
          <w:szCs w:val="18"/>
          <w:highlight w:val="none"/>
        </w:rPr>
        <w:fldChar w:fldCharType="begin"/>
      </w:r>
      <w:r>
        <w:rPr>
          <w:rFonts w:eastAsia="宋体" w:cs="Times New Roman"/>
          <w:color w:val="auto"/>
          <w:sz w:val="24"/>
          <w:szCs w:val="18"/>
          <w:highlight w:val="none"/>
        </w:rPr>
        <w:instrText xml:space="preserve"> STYLEREF 2 \s </w:instrText>
      </w:r>
      <w:r>
        <w:rPr>
          <w:rFonts w:eastAsia="宋体" w:cs="Times New Roman"/>
          <w:color w:val="auto"/>
          <w:sz w:val="24"/>
          <w:szCs w:val="18"/>
          <w:highlight w:val="none"/>
        </w:rPr>
        <w:fldChar w:fldCharType="separate"/>
      </w:r>
      <w:r>
        <w:rPr>
          <w:rFonts w:eastAsia="宋体" w:cs="Times New Roman"/>
          <w:color w:val="auto"/>
          <w:sz w:val="24"/>
          <w:szCs w:val="18"/>
          <w:highlight w:val="none"/>
        </w:rPr>
        <w:t>4.6</w:t>
      </w:r>
      <w:r>
        <w:rPr>
          <w:rFonts w:eastAsia="宋体" w:cs="Times New Roman"/>
          <w:color w:val="auto"/>
          <w:sz w:val="24"/>
          <w:szCs w:val="18"/>
          <w:highlight w:val="none"/>
        </w:rPr>
        <w:fldChar w:fldCharType="end"/>
      </w:r>
      <w:r>
        <w:rPr>
          <w:rFonts w:eastAsia="宋体" w:cs="Times New Roman"/>
          <w:color w:val="auto"/>
          <w:sz w:val="24"/>
          <w:szCs w:val="18"/>
          <w:highlight w:val="none"/>
        </w:rPr>
        <w:noBreakHyphen/>
      </w:r>
      <w:r>
        <w:rPr>
          <w:rFonts w:eastAsia="宋体" w:cs="Times New Roman"/>
          <w:color w:val="auto"/>
          <w:sz w:val="24"/>
          <w:szCs w:val="18"/>
          <w:highlight w:val="none"/>
        </w:rPr>
        <w:fldChar w:fldCharType="begin"/>
      </w:r>
      <w:r>
        <w:rPr>
          <w:rFonts w:eastAsia="宋体" w:cs="Times New Roman"/>
          <w:color w:val="auto"/>
          <w:sz w:val="24"/>
          <w:szCs w:val="18"/>
          <w:highlight w:val="none"/>
        </w:rPr>
        <w:instrText xml:space="preserve"> SEQ 表 \* ARABIC \s 2 </w:instrText>
      </w:r>
      <w:r>
        <w:rPr>
          <w:rFonts w:eastAsia="宋体" w:cs="Times New Roman"/>
          <w:color w:val="auto"/>
          <w:sz w:val="24"/>
          <w:szCs w:val="18"/>
          <w:highlight w:val="none"/>
        </w:rPr>
        <w:fldChar w:fldCharType="separate"/>
      </w:r>
      <w:r>
        <w:rPr>
          <w:rFonts w:eastAsia="宋体" w:cs="Times New Roman"/>
          <w:color w:val="auto"/>
          <w:sz w:val="24"/>
          <w:szCs w:val="18"/>
          <w:highlight w:val="none"/>
        </w:rPr>
        <w:t>8</w:t>
      </w:r>
      <w:r>
        <w:rPr>
          <w:rFonts w:eastAsia="宋体" w:cs="Times New Roman"/>
          <w:color w:val="auto"/>
          <w:sz w:val="24"/>
          <w:szCs w:val="18"/>
          <w:highlight w:val="none"/>
        </w:rPr>
        <w:fldChar w:fldCharType="end"/>
      </w:r>
      <w:bookmarkEnd w:id="236"/>
      <w:r>
        <w:rPr>
          <w:rFonts w:eastAsia="宋体" w:cs="Times New Roman"/>
          <w:color w:val="auto"/>
          <w:sz w:val="24"/>
          <w:szCs w:val="18"/>
          <w:highlight w:val="none"/>
        </w:rPr>
        <w:t>本项目</w:t>
      </w:r>
      <w:r>
        <w:rPr>
          <w:rFonts w:hint="eastAsia" w:eastAsia="宋体" w:cs="Times New Roman"/>
          <w:color w:val="auto"/>
          <w:sz w:val="24"/>
          <w:szCs w:val="18"/>
          <w:highlight w:val="none"/>
        </w:rPr>
        <w:t>噪声源强调查清单（室外声源）</w:t>
      </w:r>
    </w:p>
    <w:tbl>
      <w:tblPr>
        <w:tblStyle w:val="45"/>
        <w:tblW w:w="5056" w:type="pct"/>
        <w:tblInd w:w="0" w:type="dxa"/>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Layout w:type="fixed"/>
        <w:tblCellMar>
          <w:top w:w="0" w:type="dxa"/>
          <w:left w:w="108" w:type="dxa"/>
          <w:bottom w:w="0" w:type="dxa"/>
          <w:right w:w="108" w:type="dxa"/>
        </w:tblCellMar>
      </w:tblPr>
      <w:tblGrid>
        <w:gridCol w:w="573"/>
        <w:gridCol w:w="2289"/>
        <w:gridCol w:w="468"/>
        <w:gridCol w:w="454"/>
        <w:gridCol w:w="494"/>
        <w:gridCol w:w="576"/>
        <w:gridCol w:w="643"/>
        <w:gridCol w:w="1508"/>
        <w:gridCol w:w="1089"/>
        <w:gridCol w:w="724"/>
      </w:tblGrid>
      <w:tr w14:paraId="415EB870">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340" w:hRule="atLeast"/>
        </w:trPr>
        <w:tc>
          <w:tcPr>
            <w:tcW w:w="573" w:type="dxa"/>
            <w:vMerge w:val="restart"/>
            <w:noWrap/>
            <w:vAlign w:val="center"/>
          </w:tcPr>
          <w:p w14:paraId="46EB5B32">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b/>
                <w:bCs/>
                <w:color w:val="auto"/>
                <w:sz w:val="21"/>
                <w:szCs w:val="21"/>
                <w:highlight w:val="none"/>
              </w:rPr>
            </w:pPr>
            <w:r>
              <w:rPr>
                <w:rFonts w:ascii="Times New Roman" w:hAnsi="Times New Roman" w:cs="Times New Roman"/>
                <w:b/>
                <w:bCs/>
                <w:color w:val="auto"/>
                <w:sz w:val="21"/>
                <w:szCs w:val="21"/>
                <w:highlight w:val="none"/>
              </w:rPr>
              <w:t>序号</w:t>
            </w:r>
          </w:p>
        </w:tc>
        <w:tc>
          <w:tcPr>
            <w:tcW w:w="2289" w:type="dxa"/>
            <w:vMerge w:val="restart"/>
            <w:noWrap/>
            <w:vAlign w:val="center"/>
          </w:tcPr>
          <w:p w14:paraId="17116464">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b/>
                <w:bCs/>
                <w:color w:val="auto"/>
                <w:sz w:val="21"/>
                <w:szCs w:val="21"/>
                <w:highlight w:val="none"/>
              </w:rPr>
            </w:pPr>
            <w:r>
              <w:rPr>
                <w:rFonts w:ascii="Times New Roman" w:hAnsi="Times New Roman" w:cs="Times New Roman"/>
                <w:b/>
                <w:bCs/>
                <w:color w:val="auto"/>
                <w:sz w:val="21"/>
                <w:szCs w:val="21"/>
                <w:highlight w:val="none"/>
              </w:rPr>
              <w:t>声源名称</w:t>
            </w:r>
          </w:p>
        </w:tc>
        <w:tc>
          <w:tcPr>
            <w:tcW w:w="468" w:type="dxa"/>
            <w:vMerge w:val="restart"/>
            <w:noWrap/>
            <w:vAlign w:val="center"/>
          </w:tcPr>
          <w:p w14:paraId="338A1BB1">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b/>
                <w:bCs/>
                <w:color w:val="auto"/>
                <w:sz w:val="21"/>
                <w:szCs w:val="21"/>
                <w:highlight w:val="none"/>
              </w:rPr>
            </w:pPr>
            <w:r>
              <w:rPr>
                <w:rFonts w:ascii="Times New Roman" w:hAnsi="Times New Roman" w:cs="Times New Roman"/>
                <w:b/>
                <w:bCs/>
                <w:color w:val="auto"/>
                <w:sz w:val="21"/>
                <w:szCs w:val="21"/>
                <w:highlight w:val="none"/>
              </w:rPr>
              <w:t>数量</w:t>
            </w:r>
          </w:p>
        </w:tc>
        <w:tc>
          <w:tcPr>
            <w:tcW w:w="454" w:type="dxa"/>
            <w:vMerge w:val="restart"/>
            <w:noWrap/>
            <w:vAlign w:val="center"/>
          </w:tcPr>
          <w:p w14:paraId="3E9E4FCB">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b/>
                <w:bCs/>
                <w:color w:val="auto"/>
                <w:sz w:val="21"/>
                <w:szCs w:val="21"/>
                <w:highlight w:val="none"/>
              </w:rPr>
            </w:pPr>
            <w:r>
              <w:rPr>
                <w:rFonts w:ascii="Times New Roman" w:hAnsi="Times New Roman" w:cs="Times New Roman"/>
                <w:b/>
                <w:bCs/>
                <w:color w:val="auto"/>
                <w:sz w:val="21"/>
                <w:szCs w:val="21"/>
                <w:highlight w:val="none"/>
              </w:rPr>
              <w:t>型号</w:t>
            </w:r>
          </w:p>
        </w:tc>
        <w:tc>
          <w:tcPr>
            <w:tcW w:w="1713" w:type="dxa"/>
            <w:gridSpan w:val="3"/>
            <w:noWrap/>
            <w:vAlign w:val="center"/>
          </w:tcPr>
          <w:p w14:paraId="23FF3761">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b/>
                <w:bCs/>
                <w:color w:val="auto"/>
                <w:sz w:val="21"/>
                <w:szCs w:val="21"/>
                <w:highlight w:val="none"/>
              </w:rPr>
            </w:pPr>
            <w:r>
              <w:rPr>
                <w:rFonts w:ascii="Times New Roman" w:hAnsi="Times New Roman" w:cs="Times New Roman"/>
                <w:b/>
                <w:bCs/>
                <w:color w:val="auto"/>
                <w:sz w:val="21"/>
                <w:szCs w:val="21"/>
                <w:highlight w:val="none"/>
              </w:rPr>
              <w:t>空间相对位置/m</w:t>
            </w:r>
          </w:p>
        </w:tc>
        <w:tc>
          <w:tcPr>
            <w:tcW w:w="1508" w:type="dxa"/>
            <w:noWrap/>
            <w:vAlign w:val="center"/>
          </w:tcPr>
          <w:p w14:paraId="64309CC8">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b/>
                <w:bCs/>
                <w:color w:val="auto"/>
                <w:sz w:val="21"/>
                <w:szCs w:val="21"/>
                <w:highlight w:val="none"/>
              </w:rPr>
            </w:pPr>
            <w:r>
              <w:rPr>
                <w:rFonts w:ascii="Times New Roman" w:hAnsi="Times New Roman" w:cs="Times New Roman"/>
                <w:b/>
                <w:bCs/>
                <w:color w:val="auto"/>
                <w:sz w:val="21"/>
                <w:szCs w:val="21"/>
                <w:highlight w:val="none"/>
              </w:rPr>
              <w:t>声源源强</w:t>
            </w:r>
          </w:p>
        </w:tc>
        <w:tc>
          <w:tcPr>
            <w:tcW w:w="1089" w:type="dxa"/>
            <w:vMerge w:val="restart"/>
            <w:noWrap/>
            <w:vAlign w:val="center"/>
          </w:tcPr>
          <w:p w14:paraId="6B9F75E9">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b/>
                <w:bCs/>
                <w:color w:val="auto"/>
                <w:sz w:val="21"/>
                <w:szCs w:val="21"/>
                <w:highlight w:val="none"/>
              </w:rPr>
            </w:pPr>
            <w:r>
              <w:rPr>
                <w:rFonts w:ascii="Times New Roman" w:hAnsi="Times New Roman" w:cs="Times New Roman"/>
                <w:b/>
                <w:bCs/>
                <w:color w:val="auto"/>
                <w:sz w:val="21"/>
                <w:szCs w:val="21"/>
                <w:highlight w:val="none"/>
              </w:rPr>
              <w:t>声源控制措施</w:t>
            </w:r>
          </w:p>
        </w:tc>
        <w:tc>
          <w:tcPr>
            <w:tcW w:w="724" w:type="dxa"/>
            <w:vMerge w:val="restart"/>
            <w:noWrap/>
            <w:vAlign w:val="center"/>
          </w:tcPr>
          <w:p w14:paraId="65390E3F">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b/>
                <w:bCs/>
                <w:color w:val="auto"/>
                <w:sz w:val="21"/>
                <w:szCs w:val="21"/>
                <w:highlight w:val="none"/>
              </w:rPr>
            </w:pPr>
            <w:r>
              <w:rPr>
                <w:rFonts w:ascii="Times New Roman" w:hAnsi="Times New Roman" w:cs="Times New Roman"/>
                <w:b/>
                <w:bCs/>
                <w:color w:val="auto"/>
                <w:sz w:val="21"/>
                <w:szCs w:val="21"/>
                <w:highlight w:val="none"/>
              </w:rPr>
              <w:t>运行时段/h</w:t>
            </w:r>
          </w:p>
        </w:tc>
      </w:tr>
      <w:tr w14:paraId="76EA5EFC">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340" w:hRule="atLeast"/>
        </w:trPr>
        <w:tc>
          <w:tcPr>
            <w:tcW w:w="573" w:type="dxa"/>
            <w:vMerge w:val="continue"/>
            <w:vAlign w:val="center"/>
          </w:tcPr>
          <w:p w14:paraId="31FE52DC">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b/>
                <w:bCs/>
                <w:color w:val="auto"/>
                <w:sz w:val="21"/>
                <w:szCs w:val="21"/>
                <w:highlight w:val="none"/>
              </w:rPr>
            </w:pPr>
          </w:p>
        </w:tc>
        <w:tc>
          <w:tcPr>
            <w:tcW w:w="2289" w:type="dxa"/>
            <w:vMerge w:val="continue"/>
            <w:vAlign w:val="center"/>
          </w:tcPr>
          <w:p w14:paraId="0A982914">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b/>
                <w:bCs/>
                <w:color w:val="auto"/>
                <w:sz w:val="21"/>
                <w:szCs w:val="21"/>
                <w:highlight w:val="none"/>
              </w:rPr>
            </w:pPr>
          </w:p>
        </w:tc>
        <w:tc>
          <w:tcPr>
            <w:tcW w:w="468" w:type="dxa"/>
            <w:vMerge w:val="continue"/>
            <w:vAlign w:val="center"/>
          </w:tcPr>
          <w:p w14:paraId="4F3B8CAA">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b/>
                <w:bCs/>
                <w:color w:val="auto"/>
                <w:sz w:val="21"/>
                <w:szCs w:val="21"/>
                <w:highlight w:val="none"/>
              </w:rPr>
            </w:pPr>
          </w:p>
        </w:tc>
        <w:tc>
          <w:tcPr>
            <w:tcW w:w="454" w:type="dxa"/>
            <w:vMerge w:val="continue"/>
            <w:vAlign w:val="center"/>
          </w:tcPr>
          <w:p w14:paraId="195C77F0">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b/>
                <w:bCs/>
                <w:color w:val="auto"/>
                <w:sz w:val="21"/>
                <w:szCs w:val="21"/>
                <w:highlight w:val="none"/>
              </w:rPr>
            </w:pPr>
          </w:p>
        </w:tc>
        <w:tc>
          <w:tcPr>
            <w:tcW w:w="494" w:type="dxa"/>
            <w:noWrap/>
            <w:vAlign w:val="center"/>
          </w:tcPr>
          <w:p w14:paraId="58B64245">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b/>
                <w:bCs/>
                <w:color w:val="auto"/>
                <w:sz w:val="21"/>
                <w:szCs w:val="21"/>
                <w:highlight w:val="none"/>
              </w:rPr>
            </w:pPr>
            <w:r>
              <w:rPr>
                <w:rFonts w:ascii="Times New Roman" w:hAnsi="Times New Roman" w:cs="Times New Roman"/>
                <w:b/>
                <w:bCs/>
                <w:color w:val="auto"/>
                <w:sz w:val="21"/>
                <w:szCs w:val="21"/>
                <w:highlight w:val="none"/>
              </w:rPr>
              <w:t>X</w:t>
            </w:r>
          </w:p>
        </w:tc>
        <w:tc>
          <w:tcPr>
            <w:tcW w:w="576" w:type="dxa"/>
            <w:noWrap/>
            <w:vAlign w:val="center"/>
          </w:tcPr>
          <w:p w14:paraId="77DE510B">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b/>
                <w:bCs/>
                <w:color w:val="auto"/>
                <w:sz w:val="21"/>
                <w:szCs w:val="21"/>
                <w:highlight w:val="none"/>
              </w:rPr>
            </w:pPr>
            <w:r>
              <w:rPr>
                <w:rFonts w:ascii="Times New Roman" w:hAnsi="Times New Roman" w:cs="Times New Roman"/>
                <w:b/>
                <w:bCs/>
                <w:color w:val="auto"/>
                <w:sz w:val="21"/>
                <w:szCs w:val="21"/>
                <w:highlight w:val="none"/>
              </w:rPr>
              <w:t>Y</w:t>
            </w:r>
          </w:p>
        </w:tc>
        <w:tc>
          <w:tcPr>
            <w:tcW w:w="643" w:type="dxa"/>
            <w:noWrap/>
            <w:vAlign w:val="center"/>
          </w:tcPr>
          <w:p w14:paraId="6F4B911E">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b/>
                <w:bCs/>
                <w:color w:val="auto"/>
                <w:sz w:val="21"/>
                <w:szCs w:val="21"/>
                <w:highlight w:val="none"/>
              </w:rPr>
            </w:pPr>
            <w:r>
              <w:rPr>
                <w:rFonts w:ascii="Times New Roman" w:hAnsi="Times New Roman" w:cs="Times New Roman"/>
                <w:b/>
                <w:bCs/>
                <w:color w:val="auto"/>
                <w:sz w:val="21"/>
                <w:szCs w:val="21"/>
                <w:highlight w:val="none"/>
              </w:rPr>
              <w:t>Z</w:t>
            </w:r>
          </w:p>
        </w:tc>
        <w:tc>
          <w:tcPr>
            <w:tcW w:w="1508" w:type="dxa"/>
            <w:noWrap/>
            <w:vAlign w:val="center"/>
          </w:tcPr>
          <w:p w14:paraId="225643DE">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b/>
                <w:bCs/>
                <w:color w:val="auto"/>
                <w:sz w:val="21"/>
                <w:szCs w:val="21"/>
                <w:highlight w:val="none"/>
              </w:rPr>
            </w:pPr>
            <w:r>
              <w:rPr>
                <w:rFonts w:hint="eastAsia" w:ascii="Times New Roman" w:hAnsi="Times New Roman" w:cs="Times New Roman"/>
                <w:b/>
                <w:bCs/>
                <w:color w:val="auto"/>
                <w:sz w:val="21"/>
                <w:szCs w:val="21"/>
                <w:highlight w:val="none"/>
              </w:rPr>
              <w:t>(</w:t>
            </w:r>
            <w:r>
              <w:rPr>
                <w:rFonts w:ascii="Times New Roman" w:hAnsi="Times New Roman" w:cs="Times New Roman"/>
                <w:b/>
                <w:bCs/>
                <w:color w:val="auto"/>
                <w:sz w:val="21"/>
                <w:szCs w:val="21"/>
                <w:highlight w:val="none"/>
              </w:rPr>
              <w:t>声压级/距声源距离</w:t>
            </w:r>
            <w:r>
              <w:rPr>
                <w:rFonts w:hint="eastAsia" w:ascii="Times New Roman" w:hAnsi="Times New Roman" w:cs="Times New Roman"/>
                <w:b/>
                <w:bCs/>
                <w:color w:val="auto"/>
                <w:sz w:val="21"/>
                <w:szCs w:val="21"/>
                <w:highlight w:val="none"/>
              </w:rPr>
              <w:t>)</w:t>
            </w:r>
            <w:r>
              <w:rPr>
                <w:rFonts w:ascii="Times New Roman" w:hAnsi="Times New Roman" w:cs="Times New Roman"/>
                <w:b/>
                <w:bCs/>
                <w:color w:val="auto"/>
                <w:sz w:val="21"/>
                <w:szCs w:val="21"/>
                <w:highlight w:val="none"/>
              </w:rPr>
              <w:t>/</w:t>
            </w:r>
            <w:r>
              <w:rPr>
                <w:rFonts w:hint="eastAsia" w:ascii="Times New Roman" w:hAnsi="Times New Roman" w:cs="Times New Roman"/>
                <w:b/>
                <w:bCs/>
                <w:color w:val="auto"/>
                <w:sz w:val="21"/>
                <w:szCs w:val="21"/>
                <w:highlight w:val="none"/>
              </w:rPr>
              <w:t>(</w:t>
            </w:r>
            <w:r>
              <w:rPr>
                <w:rFonts w:ascii="Times New Roman" w:hAnsi="Times New Roman" w:cs="Times New Roman"/>
                <w:b/>
                <w:bCs/>
                <w:color w:val="auto"/>
                <w:sz w:val="21"/>
                <w:szCs w:val="21"/>
                <w:highlight w:val="none"/>
              </w:rPr>
              <w:t>dB(A)/m</w:t>
            </w:r>
            <w:r>
              <w:rPr>
                <w:rFonts w:hint="eastAsia" w:ascii="Times New Roman" w:hAnsi="Times New Roman" w:cs="Times New Roman"/>
                <w:b/>
                <w:bCs/>
                <w:color w:val="auto"/>
                <w:sz w:val="21"/>
                <w:szCs w:val="21"/>
                <w:highlight w:val="none"/>
              </w:rPr>
              <w:t>)</w:t>
            </w:r>
          </w:p>
        </w:tc>
        <w:tc>
          <w:tcPr>
            <w:tcW w:w="1089" w:type="dxa"/>
            <w:vMerge w:val="continue"/>
            <w:vAlign w:val="center"/>
          </w:tcPr>
          <w:p w14:paraId="03358B64">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21"/>
                <w:highlight w:val="none"/>
              </w:rPr>
            </w:pPr>
          </w:p>
        </w:tc>
        <w:tc>
          <w:tcPr>
            <w:tcW w:w="724" w:type="dxa"/>
            <w:vMerge w:val="continue"/>
            <w:vAlign w:val="center"/>
          </w:tcPr>
          <w:p w14:paraId="3A46D5FC">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21"/>
                <w:highlight w:val="none"/>
              </w:rPr>
            </w:pPr>
          </w:p>
        </w:tc>
      </w:tr>
      <w:tr w14:paraId="5A7FB7C0">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340" w:hRule="atLeast"/>
        </w:trPr>
        <w:tc>
          <w:tcPr>
            <w:tcW w:w="573" w:type="dxa"/>
            <w:noWrap/>
            <w:vAlign w:val="center"/>
          </w:tcPr>
          <w:p w14:paraId="099E9F1B">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1</w:t>
            </w:r>
          </w:p>
        </w:tc>
        <w:tc>
          <w:tcPr>
            <w:tcW w:w="2289" w:type="dxa"/>
            <w:noWrap/>
            <w:vAlign w:val="center"/>
          </w:tcPr>
          <w:p w14:paraId="596C2652">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洁净室引风风机</w:t>
            </w:r>
          </w:p>
        </w:tc>
        <w:tc>
          <w:tcPr>
            <w:tcW w:w="468" w:type="dxa"/>
            <w:noWrap/>
            <w:vAlign w:val="center"/>
          </w:tcPr>
          <w:p w14:paraId="06D96564">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1</w:t>
            </w:r>
          </w:p>
        </w:tc>
        <w:tc>
          <w:tcPr>
            <w:tcW w:w="454" w:type="dxa"/>
            <w:noWrap/>
            <w:vAlign w:val="center"/>
          </w:tcPr>
          <w:p w14:paraId="52B86098">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w:t>
            </w:r>
          </w:p>
        </w:tc>
        <w:tc>
          <w:tcPr>
            <w:tcW w:w="494" w:type="dxa"/>
            <w:noWrap/>
            <w:vAlign w:val="center"/>
          </w:tcPr>
          <w:p w14:paraId="26A7486A">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75</w:t>
            </w:r>
          </w:p>
        </w:tc>
        <w:tc>
          <w:tcPr>
            <w:tcW w:w="576" w:type="dxa"/>
            <w:noWrap/>
            <w:vAlign w:val="center"/>
          </w:tcPr>
          <w:p w14:paraId="726C0813">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122</w:t>
            </w:r>
          </w:p>
        </w:tc>
        <w:tc>
          <w:tcPr>
            <w:tcW w:w="643" w:type="dxa"/>
            <w:noWrap/>
            <w:vAlign w:val="center"/>
          </w:tcPr>
          <w:p w14:paraId="40829517">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12.4</w:t>
            </w:r>
          </w:p>
        </w:tc>
        <w:tc>
          <w:tcPr>
            <w:tcW w:w="1508" w:type="dxa"/>
            <w:noWrap/>
            <w:vAlign w:val="center"/>
          </w:tcPr>
          <w:p w14:paraId="7CF9D479">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95/1</w:t>
            </w:r>
          </w:p>
        </w:tc>
        <w:tc>
          <w:tcPr>
            <w:tcW w:w="1089" w:type="dxa"/>
            <w:vMerge w:val="restart"/>
            <w:vAlign w:val="center"/>
          </w:tcPr>
          <w:p w14:paraId="5C821957">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安装减振垫</w:t>
            </w:r>
            <w:r>
              <w:rPr>
                <w:rFonts w:hint="eastAsia" w:ascii="Times New Roman" w:hAnsi="Times New Roman" w:cs="Times New Roman"/>
                <w:color w:val="auto"/>
                <w:sz w:val="21"/>
                <w:szCs w:val="21"/>
                <w:highlight w:val="none"/>
              </w:rPr>
              <w:t>\</w:t>
            </w:r>
            <w:r>
              <w:rPr>
                <w:rFonts w:ascii="Times New Roman" w:hAnsi="Times New Roman" w:cs="Times New Roman"/>
                <w:color w:val="auto"/>
                <w:sz w:val="21"/>
                <w:szCs w:val="21"/>
                <w:highlight w:val="none"/>
              </w:rPr>
              <w:t>隔声罩，降噪25dB(A)</w:t>
            </w:r>
          </w:p>
        </w:tc>
        <w:tc>
          <w:tcPr>
            <w:tcW w:w="724" w:type="dxa"/>
            <w:noWrap/>
            <w:vAlign w:val="center"/>
          </w:tcPr>
          <w:p w14:paraId="2F6D6DD3">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lang w:val="en-US" w:eastAsia="zh-CN"/>
              </w:rPr>
              <w:t>20</w:t>
            </w:r>
            <w:r>
              <w:rPr>
                <w:rFonts w:ascii="Times New Roman" w:hAnsi="Times New Roman" w:cs="Times New Roman"/>
                <w:color w:val="auto"/>
                <w:sz w:val="21"/>
                <w:szCs w:val="21"/>
                <w:highlight w:val="none"/>
              </w:rPr>
              <w:t>00</w:t>
            </w:r>
          </w:p>
        </w:tc>
      </w:tr>
      <w:tr w14:paraId="3214678C">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340" w:hRule="atLeast"/>
        </w:trPr>
        <w:tc>
          <w:tcPr>
            <w:tcW w:w="573" w:type="dxa"/>
            <w:noWrap/>
            <w:vAlign w:val="center"/>
          </w:tcPr>
          <w:p w14:paraId="799F89AF">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2</w:t>
            </w:r>
          </w:p>
        </w:tc>
        <w:tc>
          <w:tcPr>
            <w:tcW w:w="2289" w:type="dxa"/>
            <w:noWrap/>
            <w:vAlign w:val="center"/>
          </w:tcPr>
          <w:p w14:paraId="42394D0C">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2套二级活性炭吸附</w:t>
            </w:r>
            <w:r>
              <w:rPr>
                <w:rFonts w:ascii="Times New Roman" w:hAnsi="Times New Roman" w:cs="Times New Roman"/>
                <w:color w:val="auto"/>
                <w:sz w:val="21"/>
                <w:szCs w:val="21"/>
                <w:highlight w:val="none"/>
              </w:rPr>
              <w:t>装置及配套风机</w:t>
            </w:r>
            <w:r>
              <w:rPr>
                <w:rFonts w:hint="eastAsia" w:ascii="Times New Roman" w:hAnsi="Times New Roman" w:cs="Times New Roman"/>
                <w:color w:val="auto"/>
                <w:sz w:val="21"/>
                <w:szCs w:val="21"/>
                <w:highlight w:val="none"/>
              </w:rPr>
              <w:t>（DA006）</w:t>
            </w:r>
          </w:p>
        </w:tc>
        <w:tc>
          <w:tcPr>
            <w:tcW w:w="468" w:type="dxa"/>
            <w:noWrap/>
            <w:vAlign w:val="center"/>
          </w:tcPr>
          <w:p w14:paraId="0646D24A">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2</w:t>
            </w:r>
          </w:p>
        </w:tc>
        <w:tc>
          <w:tcPr>
            <w:tcW w:w="454" w:type="dxa"/>
            <w:noWrap/>
            <w:vAlign w:val="center"/>
          </w:tcPr>
          <w:p w14:paraId="34A8FCA7">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w:t>
            </w:r>
          </w:p>
        </w:tc>
        <w:tc>
          <w:tcPr>
            <w:tcW w:w="494" w:type="dxa"/>
            <w:noWrap/>
            <w:vAlign w:val="center"/>
          </w:tcPr>
          <w:p w14:paraId="61E2EE68">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96</w:t>
            </w:r>
          </w:p>
        </w:tc>
        <w:tc>
          <w:tcPr>
            <w:tcW w:w="576" w:type="dxa"/>
            <w:noWrap/>
            <w:vAlign w:val="center"/>
          </w:tcPr>
          <w:p w14:paraId="1D8629F4">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3.5</w:t>
            </w:r>
          </w:p>
        </w:tc>
        <w:tc>
          <w:tcPr>
            <w:tcW w:w="643" w:type="dxa"/>
            <w:noWrap/>
            <w:vAlign w:val="center"/>
          </w:tcPr>
          <w:p w14:paraId="23C9D677">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8.7</w:t>
            </w:r>
          </w:p>
        </w:tc>
        <w:tc>
          <w:tcPr>
            <w:tcW w:w="1508" w:type="dxa"/>
            <w:noWrap/>
            <w:vAlign w:val="center"/>
          </w:tcPr>
          <w:p w14:paraId="7912F170">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95/1</w:t>
            </w:r>
          </w:p>
        </w:tc>
        <w:tc>
          <w:tcPr>
            <w:tcW w:w="1089" w:type="dxa"/>
            <w:vMerge w:val="continue"/>
            <w:vAlign w:val="center"/>
          </w:tcPr>
          <w:p w14:paraId="567FFE35">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21"/>
                <w:highlight w:val="none"/>
              </w:rPr>
            </w:pPr>
          </w:p>
        </w:tc>
        <w:tc>
          <w:tcPr>
            <w:tcW w:w="724" w:type="dxa"/>
            <w:noWrap/>
            <w:vAlign w:val="center"/>
          </w:tcPr>
          <w:p w14:paraId="0F1D52DC">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5</w:t>
            </w:r>
            <w:r>
              <w:rPr>
                <w:rFonts w:ascii="Times New Roman" w:hAnsi="Times New Roman" w:cs="Times New Roman"/>
                <w:color w:val="auto"/>
                <w:sz w:val="21"/>
                <w:szCs w:val="21"/>
                <w:highlight w:val="none"/>
              </w:rPr>
              <w:t>00</w:t>
            </w:r>
          </w:p>
        </w:tc>
      </w:tr>
    </w:tbl>
    <w:p w14:paraId="7EF34E08">
      <w:pPr>
        <w:spacing w:line="360" w:lineRule="auto"/>
        <w:ind w:left="-105" w:right="-105" w:firstLine="422"/>
        <w:rPr>
          <w:rFonts w:ascii="Times New Roman" w:hAnsi="Times New Roman" w:cs="Times New Roman"/>
          <w:b/>
          <w:color w:val="auto"/>
          <w:sz w:val="21"/>
          <w:szCs w:val="21"/>
          <w:highlight w:val="none"/>
        </w:rPr>
      </w:pPr>
      <w:r>
        <w:rPr>
          <w:rFonts w:hint="eastAsia" w:ascii="Times New Roman" w:hAnsi="Times New Roman" w:cs="Times New Roman"/>
          <w:b/>
          <w:color w:val="auto"/>
          <w:sz w:val="21"/>
          <w:szCs w:val="21"/>
          <w:highlight w:val="none"/>
        </w:rPr>
        <w:t>注：以厂界西南角为原点（0,0,0）。</w:t>
      </w:r>
    </w:p>
    <w:p w14:paraId="35D96DC6">
      <w:pPr>
        <w:spacing w:line="360" w:lineRule="auto"/>
        <w:ind w:left="-105" w:right="-105" w:firstLine="480" w:firstLineChars="200"/>
        <w:rPr>
          <w:rFonts w:ascii="Times New Roman" w:hAnsi="Times New Roman" w:cs="Times New Roman"/>
          <w:bCs/>
          <w:color w:val="auto"/>
          <w:highlight w:val="none"/>
        </w:rPr>
      </w:pPr>
      <w:r>
        <w:rPr>
          <w:rFonts w:ascii="Times New Roman" w:hAnsi="Times New Roman" w:cs="Times New Roman"/>
          <w:bCs/>
          <w:color w:val="auto"/>
          <w:highlight w:val="none"/>
        </w:rPr>
        <w:t>根据《环境影响评价技术导则声环境》（HJ2.4-2021），点声源组可以用处在组的中部的等效点声源来描述，特别是声源具有：</w:t>
      </w:r>
    </w:p>
    <w:p w14:paraId="7C44C143">
      <w:pPr>
        <w:spacing w:line="360" w:lineRule="auto"/>
        <w:ind w:left="-105" w:right="-105" w:firstLine="480" w:firstLineChars="200"/>
        <w:rPr>
          <w:rFonts w:ascii="Times New Roman" w:hAnsi="Times New Roman" w:cs="Times New Roman"/>
          <w:bCs/>
          <w:color w:val="auto"/>
          <w:highlight w:val="none"/>
        </w:rPr>
      </w:pPr>
      <w:r>
        <w:rPr>
          <w:rFonts w:ascii="Times New Roman" w:hAnsi="Times New Roman" w:cs="Times New Roman"/>
          <w:bCs/>
          <w:color w:val="auto"/>
          <w:highlight w:val="none"/>
        </w:rPr>
        <w:t>a）有大致相同的强度和离地面高度；</w:t>
      </w:r>
    </w:p>
    <w:p w14:paraId="0725C668">
      <w:pPr>
        <w:spacing w:line="360" w:lineRule="auto"/>
        <w:ind w:left="-105" w:right="-105" w:firstLine="480" w:firstLineChars="200"/>
        <w:rPr>
          <w:rFonts w:ascii="Times New Roman" w:hAnsi="Times New Roman" w:cs="Times New Roman"/>
          <w:bCs/>
          <w:color w:val="auto"/>
          <w:highlight w:val="none"/>
        </w:rPr>
      </w:pPr>
      <w:r>
        <w:rPr>
          <w:rFonts w:ascii="Times New Roman" w:hAnsi="Times New Roman" w:cs="Times New Roman"/>
          <w:bCs/>
          <w:color w:val="auto"/>
          <w:highlight w:val="none"/>
        </w:rPr>
        <w:t>b）到接收点有相同的传播条件；</w:t>
      </w:r>
    </w:p>
    <w:p w14:paraId="40E3BE35">
      <w:pPr>
        <w:spacing w:line="360" w:lineRule="auto"/>
        <w:ind w:left="-105" w:right="-105" w:firstLine="480" w:firstLineChars="200"/>
        <w:rPr>
          <w:rFonts w:ascii="Times New Roman" w:hAnsi="Times New Roman" w:cs="Times New Roman"/>
          <w:bCs/>
          <w:color w:val="auto"/>
          <w:highlight w:val="none"/>
        </w:rPr>
      </w:pPr>
      <w:r>
        <w:rPr>
          <w:rFonts w:ascii="Times New Roman" w:hAnsi="Times New Roman" w:cs="Times New Roman"/>
          <w:bCs/>
          <w:color w:val="auto"/>
          <w:highlight w:val="none"/>
        </w:rPr>
        <w:t>c）从单一等效点声源到接收点间的距离d超过声源的最大尺寸Hmax二倍（d＞2Hmax）。</w:t>
      </w:r>
    </w:p>
    <w:p w14:paraId="08CC84D9">
      <w:pPr>
        <w:spacing w:line="360" w:lineRule="auto"/>
        <w:ind w:left="-105" w:right="-105" w:firstLine="480" w:firstLineChars="200"/>
        <w:rPr>
          <w:rFonts w:ascii="Times New Roman" w:hAnsi="Times New Roman" w:cs="Times New Roman"/>
          <w:bCs/>
          <w:color w:val="auto"/>
          <w:highlight w:val="none"/>
        </w:rPr>
      </w:pPr>
      <w:r>
        <w:rPr>
          <w:rFonts w:ascii="Times New Roman" w:hAnsi="Times New Roman" w:cs="Times New Roman"/>
          <w:bCs/>
          <w:color w:val="auto"/>
          <w:highlight w:val="none"/>
        </w:rPr>
        <w:t>建设项目室外声源能满足以上条件，根据各室外声源分布情况，以</w:t>
      </w:r>
      <w:r>
        <w:rPr>
          <w:rFonts w:hint="eastAsia" w:ascii="Times New Roman" w:hAnsi="Times New Roman" w:cs="Times New Roman"/>
          <w:bCs/>
          <w:color w:val="auto"/>
          <w:highlight w:val="none"/>
        </w:rPr>
        <w:t>洁净室引风风机</w:t>
      </w:r>
      <w:r>
        <w:rPr>
          <w:rFonts w:hint="eastAsia" w:ascii="Times New Roman" w:hAnsi="Times New Roman" w:cs="Times New Roman"/>
          <w:bCs/>
          <w:color w:val="auto"/>
          <w:highlight w:val="none"/>
        </w:rPr>
        <w:t>和二级活性炭吸附装置及配套风机（DA006）</w:t>
      </w:r>
      <w:r>
        <w:rPr>
          <w:rFonts w:ascii="Times New Roman" w:hAnsi="Times New Roman" w:cs="Times New Roman"/>
          <w:bCs/>
          <w:color w:val="auto"/>
          <w:highlight w:val="none"/>
        </w:rPr>
        <w:t>作为室外等效声源。具体各噪声源与各厂界的距离见</w:t>
      </w:r>
      <w:r>
        <w:rPr>
          <w:rFonts w:hint="eastAsia" w:ascii="Times New Roman" w:hAnsi="Times New Roman" w:cs="Times New Roman"/>
          <w:bCs/>
          <w:color w:val="auto"/>
          <w:highlight w:val="none"/>
        </w:rPr>
        <w:t>下表</w:t>
      </w:r>
      <w:r>
        <w:rPr>
          <w:rFonts w:ascii="Times New Roman" w:hAnsi="Times New Roman" w:cs="Times New Roman"/>
          <w:bCs/>
          <w:color w:val="auto"/>
          <w:highlight w:val="none"/>
        </w:rPr>
        <w:t>。</w:t>
      </w:r>
    </w:p>
    <w:p w14:paraId="6B32F67F">
      <w:pPr>
        <w:pStyle w:val="15"/>
        <w:ind w:left="-105" w:right="-105" w:firstLine="482"/>
        <w:rPr>
          <w:rFonts w:eastAsia="宋体"/>
          <w:b w:val="0"/>
          <w:bCs/>
          <w:color w:val="auto"/>
          <w:sz w:val="24"/>
          <w:szCs w:val="18"/>
          <w:highlight w:val="none"/>
        </w:rPr>
      </w:pPr>
      <w:bookmarkStart w:id="237" w:name="_Ref98335614"/>
      <w:r>
        <w:rPr>
          <w:rFonts w:eastAsia="宋体"/>
          <w:color w:val="auto"/>
          <w:sz w:val="24"/>
          <w:szCs w:val="18"/>
          <w:highlight w:val="none"/>
        </w:rPr>
        <w:t>表</w:t>
      </w:r>
      <w:r>
        <w:rPr>
          <w:rFonts w:eastAsia="宋体"/>
          <w:color w:val="auto"/>
          <w:sz w:val="24"/>
          <w:szCs w:val="18"/>
          <w:highlight w:val="none"/>
        </w:rPr>
        <w:fldChar w:fldCharType="begin"/>
      </w:r>
      <w:r>
        <w:rPr>
          <w:rFonts w:eastAsia="宋体"/>
          <w:color w:val="auto"/>
          <w:sz w:val="24"/>
          <w:szCs w:val="18"/>
          <w:highlight w:val="none"/>
        </w:rPr>
        <w:instrText xml:space="preserve"> STYLEREF 2 \s </w:instrText>
      </w:r>
      <w:r>
        <w:rPr>
          <w:rFonts w:eastAsia="宋体"/>
          <w:color w:val="auto"/>
          <w:sz w:val="24"/>
          <w:szCs w:val="18"/>
          <w:highlight w:val="none"/>
        </w:rPr>
        <w:fldChar w:fldCharType="separate"/>
      </w:r>
      <w:r>
        <w:rPr>
          <w:rFonts w:eastAsia="宋体"/>
          <w:color w:val="auto"/>
          <w:sz w:val="24"/>
          <w:szCs w:val="18"/>
          <w:highlight w:val="none"/>
        </w:rPr>
        <w:t>4.6</w:t>
      </w:r>
      <w:r>
        <w:rPr>
          <w:rFonts w:eastAsia="宋体"/>
          <w:color w:val="auto"/>
          <w:sz w:val="24"/>
          <w:szCs w:val="18"/>
          <w:highlight w:val="none"/>
        </w:rPr>
        <w:fldChar w:fldCharType="end"/>
      </w:r>
      <w:r>
        <w:rPr>
          <w:rFonts w:eastAsia="宋体"/>
          <w:color w:val="auto"/>
          <w:sz w:val="24"/>
          <w:szCs w:val="18"/>
          <w:highlight w:val="none"/>
        </w:rPr>
        <w:noBreakHyphen/>
      </w:r>
      <w:r>
        <w:rPr>
          <w:rFonts w:eastAsia="宋体"/>
          <w:color w:val="auto"/>
          <w:sz w:val="24"/>
          <w:szCs w:val="18"/>
          <w:highlight w:val="none"/>
        </w:rPr>
        <w:fldChar w:fldCharType="begin"/>
      </w:r>
      <w:r>
        <w:rPr>
          <w:rFonts w:eastAsia="宋体"/>
          <w:color w:val="auto"/>
          <w:sz w:val="24"/>
          <w:szCs w:val="18"/>
          <w:highlight w:val="none"/>
        </w:rPr>
        <w:instrText xml:space="preserve"> SEQ 表 \* ARABIC \s 2 </w:instrText>
      </w:r>
      <w:r>
        <w:rPr>
          <w:rFonts w:eastAsia="宋体"/>
          <w:color w:val="auto"/>
          <w:sz w:val="24"/>
          <w:szCs w:val="18"/>
          <w:highlight w:val="none"/>
        </w:rPr>
        <w:fldChar w:fldCharType="separate"/>
      </w:r>
      <w:r>
        <w:rPr>
          <w:rFonts w:eastAsia="宋体"/>
          <w:color w:val="auto"/>
          <w:sz w:val="24"/>
          <w:szCs w:val="18"/>
          <w:highlight w:val="none"/>
        </w:rPr>
        <w:t>9</w:t>
      </w:r>
      <w:r>
        <w:rPr>
          <w:rFonts w:eastAsia="宋体"/>
          <w:color w:val="auto"/>
          <w:sz w:val="24"/>
          <w:szCs w:val="18"/>
          <w:highlight w:val="none"/>
        </w:rPr>
        <w:fldChar w:fldCharType="end"/>
      </w:r>
      <w:bookmarkEnd w:id="237"/>
      <w:r>
        <w:rPr>
          <w:rFonts w:eastAsia="宋体"/>
          <w:bCs/>
          <w:color w:val="auto"/>
          <w:sz w:val="24"/>
          <w:szCs w:val="18"/>
          <w:highlight w:val="none"/>
        </w:rPr>
        <w:t>噪声产生源强汇总表</w:t>
      </w:r>
    </w:p>
    <w:tbl>
      <w:tblPr>
        <w:tblStyle w:val="45"/>
        <w:tblW w:w="5000" w:type="pct"/>
        <w:tblInd w:w="-15"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440"/>
        <w:gridCol w:w="1420"/>
        <w:gridCol w:w="830"/>
        <w:gridCol w:w="830"/>
        <w:gridCol w:w="830"/>
        <w:gridCol w:w="831"/>
        <w:gridCol w:w="830"/>
        <w:gridCol w:w="830"/>
        <w:gridCol w:w="830"/>
        <w:gridCol w:w="833"/>
      </w:tblGrid>
      <w:tr w14:paraId="5C178F4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3" w:hRule="atLeast"/>
          <w:tblHeader/>
        </w:trPr>
        <w:tc>
          <w:tcPr>
            <w:tcW w:w="441" w:type="dxa"/>
            <w:vMerge w:val="restart"/>
            <w:vAlign w:val="center"/>
          </w:tcPr>
          <w:p w14:paraId="3C44D6CB">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b/>
                <w:bCs/>
                <w:color w:val="auto"/>
                <w:sz w:val="21"/>
                <w:szCs w:val="21"/>
                <w:highlight w:val="none"/>
              </w:rPr>
            </w:pPr>
            <w:r>
              <w:rPr>
                <w:rFonts w:ascii="Times New Roman" w:hAnsi="Times New Roman" w:cs="Times New Roman"/>
                <w:b/>
                <w:bCs/>
                <w:color w:val="auto"/>
                <w:sz w:val="21"/>
                <w:szCs w:val="21"/>
                <w:highlight w:val="none"/>
              </w:rPr>
              <w:t>序号</w:t>
            </w:r>
          </w:p>
        </w:tc>
        <w:tc>
          <w:tcPr>
            <w:tcW w:w="1420" w:type="dxa"/>
            <w:vMerge w:val="restart"/>
            <w:vAlign w:val="center"/>
          </w:tcPr>
          <w:p w14:paraId="70CC5903">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b/>
                <w:bCs/>
                <w:color w:val="auto"/>
                <w:sz w:val="21"/>
                <w:szCs w:val="21"/>
                <w:highlight w:val="none"/>
              </w:rPr>
            </w:pPr>
            <w:r>
              <w:rPr>
                <w:rFonts w:ascii="Times New Roman" w:hAnsi="Times New Roman" w:cs="Times New Roman"/>
                <w:b/>
                <w:bCs/>
                <w:color w:val="auto"/>
                <w:sz w:val="21"/>
                <w:szCs w:val="21"/>
                <w:highlight w:val="none"/>
              </w:rPr>
              <w:t>噪声源名称</w:t>
            </w:r>
          </w:p>
        </w:tc>
        <w:tc>
          <w:tcPr>
            <w:tcW w:w="3321" w:type="dxa"/>
            <w:gridSpan w:val="4"/>
            <w:vAlign w:val="center"/>
          </w:tcPr>
          <w:p w14:paraId="2685BDDB">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b/>
                <w:bCs/>
                <w:color w:val="auto"/>
                <w:sz w:val="21"/>
                <w:szCs w:val="21"/>
                <w:highlight w:val="none"/>
              </w:rPr>
            </w:pPr>
            <w:r>
              <w:rPr>
                <w:rFonts w:ascii="Times New Roman" w:hAnsi="Times New Roman" w:cs="Times New Roman"/>
                <w:b/>
                <w:bCs/>
                <w:color w:val="auto"/>
                <w:sz w:val="21"/>
                <w:szCs w:val="21"/>
                <w:highlight w:val="none"/>
              </w:rPr>
              <w:t>采取措施后等效噪声源强/dB（A）</w:t>
            </w:r>
          </w:p>
        </w:tc>
        <w:tc>
          <w:tcPr>
            <w:tcW w:w="3322" w:type="dxa"/>
            <w:gridSpan w:val="4"/>
            <w:tcBorders>
              <w:left w:val="single" w:color="000000" w:sz="6" w:space="0"/>
            </w:tcBorders>
            <w:vAlign w:val="center"/>
          </w:tcPr>
          <w:p w14:paraId="47049DCE">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b/>
                <w:bCs/>
                <w:color w:val="auto"/>
                <w:sz w:val="21"/>
                <w:szCs w:val="21"/>
                <w:highlight w:val="none"/>
              </w:rPr>
            </w:pPr>
            <w:r>
              <w:rPr>
                <w:rFonts w:ascii="Times New Roman" w:hAnsi="Times New Roman" w:cs="Times New Roman"/>
                <w:b/>
                <w:bCs/>
                <w:color w:val="auto"/>
                <w:sz w:val="21"/>
                <w:szCs w:val="21"/>
                <w:highlight w:val="none"/>
              </w:rPr>
              <w:t>距离厂界最近距离/m</w:t>
            </w:r>
          </w:p>
        </w:tc>
      </w:tr>
      <w:tr w14:paraId="2C804A8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3" w:hRule="atLeast"/>
          <w:tblHeader/>
        </w:trPr>
        <w:tc>
          <w:tcPr>
            <w:tcW w:w="441" w:type="dxa"/>
            <w:vMerge w:val="continue"/>
            <w:vAlign w:val="center"/>
          </w:tcPr>
          <w:p w14:paraId="6020A43D">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b/>
                <w:bCs/>
                <w:color w:val="auto"/>
                <w:sz w:val="21"/>
                <w:szCs w:val="21"/>
                <w:highlight w:val="none"/>
              </w:rPr>
            </w:pPr>
          </w:p>
        </w:tc>
        <w:tc>
          <w:tcPr>
            <w:tcW w:w="1420" w:type="dxa"/>
            <w:vMerge w:val="continue"/>
            <w:vAlign w:val="center"/>
          </w:tcPr>
          <w:p w14:paraId="4064FFC6">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b/>
                <w:bCs/>
                <w:color w:val="auto"/>
                <w:sz w:val="21"/>
                <w:szCs w:val="21"/>
                <w:highlight w:val="none"/>
              </w:rPr>
            </w:pPr>
          </w:p>
        </w:tc>
        <w:tc>
          <w:tcPr>
            <w:tcW w:w="830" w:type="dxa"/>
            <w:vAlign w:val="center"/>
          </w:tcPr>
          <w:p w14:paraId="5A58A582">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b/>
                <w:bCs/>
                <w:color w:val="auto"/>
                <w:sz w:val="21"/>
                <w:szCs w:val="21"/>
                <w:highlight w:val="none"/>
              </w:rPr>
            </w:pPr>
            <w:r>
              <w:rPr>
                <w:rFonts w:ascii="Times New Roman" w:hAnsi="Times New Roman" w:cs="Times New Roman"/>
                <w:b/>
                <w:bCs/>
                <w:color w:val="auto"/>
                <w:sz w:val="21"/>
                <w:szCs w:val="21"/>
                <w:highlight w:val="none"/>
              </w:rPr>
              <w:t>东</w:t>
            </w:r>
          </w:p>
        </w:tc>
        <w:tc>
          <w:tcPr>
            <w:tcW w:w="830" w:type="dxa"/>
            <w:vAlign w:val="center"/>
          </w:tcPr>
          <w:p w14:paraId="0AF306BB">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b/>
                <w:bCs/>
                <w:color w:val="auto"/>
                <w:sz w:val="21"/>
                <w:szCs w:val="21"/>
                <w:highlight w:val="none"/>
              </w:rPr>
            </w:pPr>
            <w:r>
              <w:rPr>
                <w:rFonts w:ascii="Times New Roman" w:hAnsi="Times New Roman" w:cs="Times New Roman"/>
                <w:b/>
                <w:bCs/>
                <w:color w:val="auto"/>
                <w:sz w:val="21"/>
                <w:szCs w:val="21"/>
                <w:highlight w:val="none"/>
              </w:rPr>
              <w:t>南</w:t>
            </w:r>
          </w:p>
        </w:tc>
        <w:tc>
          <w:tcPr>
            <w:tcW w:w="830" w:type="dxa"/>
            <w:vAlign w:val="center"/>
          </w:tcPr>
          <w:p w14:paraId="262EB298">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b/>
                <w:bCs/>
                <w:color w:val="auto"/>
                <w:sz w:val="21"/>
                <w:szCs w:val="21"/>
                <w:highlight w:val="none"/>
              </w:rPr>
            </w:pPr>
            <w:r>
              <w:rPr>
                <w:rFonts w:ascii="Times New Roman" w:hAnsi="Times New Roman" w:cs="Times New Roman"/>
                <w:b/>
                <w:bCs/>
                <w:color w:val="auto"/>
                <w:sz w:val="21"/>
                <w:szCs w:val="21"/>
                <w:highlight w:val="none"/>
              </w:rPr>
              <w:t>西</w:t>
            </w:r>
          </w:p>
        </w:tc>
        <w:tc>
          <w:tcPr>
            <w:tcW w:w="830" w:type="dxa"/>
            <w:vAlign w:val="center"/>
          </w:tcPr>
          <w:p w14:paraId="505A8743">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b/>
                <w:bCs/>
                <w:color w:val="auto"/>
                <w:sz w:val="21"/>
                <w:szCs w:val="21"/>
                <w:highlight w:val="none"/>
              </w:rPr>
            </w:pPr>
            <w:r>
              <w:rPr>
                <w:rFonts w:ascii="Times New Roman" w:hAnsi="Times New Roman" w:cs="Times New Roman"/>
                <w:b/>
                <w:bCs/>
                <w:color w:val="auto"/>
                <w:sz w:val="21"/>
                <w:szCs w:val="21"/>
                <w:highlight w:val="none"/>
              </w:rPr>
              <w:t>北</w:t>
            </w:r>
          </w:p>
        </w:tc>
        <w:tc>
          <w:tcPr>
            <w:tcW w:w="830" w:type="dxa"/>
            <w:tcBorders>
              <w:left w:val="single" w:color="000000" w:sz="6" w:space="0"/>
            </w:tcBorders>
            <w:vAlign w:val="center"/>
          </w:tcPr>
          <w:p w14:paraId="40DD1C4A">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b/>
                <w:bCs/>
                <w:color w:val="auto"/>
                <w:sz w:val="21"/>
                <w:szCs w:val="21"/>
                <w:highlight w:val="none"/>
              </w:rPr>
            </w:pPr>
            <w:r>
              <w:rPr>
                <w:rFonts w:ascii="Times New Roman" w:hAnsi="Times New Roman" w:cs="Times New Roman"/>
                <w:b/>
                <w:bCs/>
                <w:color w:val="auto"/>
                <w:sz w:val="21"/>
                <w:szCs w:val="21"/>
                <w:highlight w:val="none"/>
              </w:rPr>
              <w:t>东</w:t>
            </w:r>
          </w:p>
        </w:tc>
        <w:tc>
          <w:tcPr>
            <w:tcW w:w="830" w:type="dxa"/>
            <w:vAlign w:val="center"/>
          </w:tcPr>
          <w:p w14:paraId="4A8D2176">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b/>
                <w:bCs/>
                <w:color w:val="auto"/>
                <w:sz w:val="21"/>
                <w:szCs w:val="21"/>
                <w:highlight w:val="none"/>
              </w:rPr>
            </w:pPr>
            <w:r>
              <w:rPr>
                <w:rFonts w:ascii="Times New Roman" w:hAnsi="Times New Roman" w:cs="Times New Roman"/>
                <w:b/>
                <w:bCs/>
                <w:color w:val="auto"/>
                <w:sz w:val="21"/>
                <w:szCs w:val="21"/>
                <w:highlight w:val="none"/>
              </w:rPr>
              <w:t>南</w:t>
            </w:r>
          </w:p>
        </w:tc>
        <w:tc>
          <w:tcPr>
            <w:tcW w:w="830" w:type="dxa"/>
            <w:vAlign w:val="center"/>
          </w:tcPr>
          <w:p w14:paraId="30579C5F">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b/>
                <w:bCs/>
                <w:color w:val="auto"/>
                <w:sz w:val="21"/>
                <w:szCs w:val="21"/>
                <w:highlight w:val="none"/>
              </w:rPr>
            </w:pPr>
            <w:r>
              <w:rPr>
                <w:rFonts w:ascii="Times New Roman" w:hAnsi="Times New Roman" w:cs="Times New Roman"/>
                <w:b/>
                <w:bCs/>
                <w:color w:val="auto"/>
                <w:sz w:val="21"/>
                <w:szCs w:val="21"/>
                <w:highlight w:val="none"/>
              </w:rPr>
              <w:t>西</w:t>
            </w:r>
          </w:p>
        </w:tc>
        <w:tc>
          <w:tcPr>
            <w:tcW w:w="833" w:type="dxa"/>
            <w:vAlign w:val="center"/>
          </w:tcPr>
          <w:p w14:paraId="1A10A3FF">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b/>
                <w:bCs/>
                <w:color w:val="auto"/>
                <w:sz w:val="21"/>
                <w:szCs w:val="21"/>
                <w:highlight w:val="none"/>
              </w:rPr>
            </w:pPr>
            <w:r>
              <w:rPr>
                <w:rFonts w:ascii="Times New Roman" w:hAnsi="Times New Roman" w:cs="Times New Roman"/>
                <w:b/>
                <w:bCs/>
                <w:color w:val="auto"/>
                <w:sz w:val="21"/>
                <w:szCs w:val="21"/>
                <w:highlight w:val="none"/>
              </w:rPr>
              <w:t>北</w:t>
            </w:r>
          </w:p>
        </w:tc>
      </w:tr>
      <w:tr w14:paraId="4FB0442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3" w:hRule="atLeast"/>
        </w:trPr>
        <w:tc>
          <w:tcPr>
            <w:tcW w:w="441" w:type="dxa"/>
            <w:vAlign w:val="center"/>
          </w:tcPr>
          <w:p w14:paraId="38B89953">
            <w:pPr>
              <w:keepNext w:val="0"/>
              <w:keepLines w:val="0"/>
              <w:pageBreakBefore w:val="0"/>
              <w:widowControl/>
              <w:numPr>
                <w:ilvl w:val="0"/>
                <w:numId w:val="16"/>
              </w:numPr>
              <w:kinsoku/>
              <w:wordWrap/>
              <w:overflowPunct/>
              <w:topLinePunct w:val="0"/>
              <w:autoSpaceDE/>
              <w:autoSpaceDN/>
              <w:bidi w:val="0"/>
              <w:adjustRightInd/>
              <w:snapToGrid/>
              <w:ind w:left="0" w:right="0" w:firstLine="0"/>
              <w:jc w:val="center"/>
              <w:textAlignment w:val="auto"/>
              <w:rPr>
                <w:rFonts w:ascii="Times New Roman" w:hAnsi="Times New Roman" w:cs="Times New Roman"/>
                <w:color w:val="auto"/>
                <w:sz w:val="21"/>
                <w:szCs w:val="21"/>
                <w:highlight w:val="none"/>
              </w:rPr>
            </w:pPr>
          </w:p>
        </w:tc>
        <w:tc>
          <w:tcPr>
            <w:tcW w:w="1420" w:type="dxa"/>
            <w:vAlign w:val="center"/>
          </w:tcPr>
          <w:p w14:paraId="78AF7F78">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snapToGrid w:val="0"/>
                <w:color w:val="auto"/>
                <w:sz w:val="21"/>
                <w:szCs w:val="21"/>
                <w:highlight w:val="none"/>
              </w:rPr>
            </w:pPr>
            <w:r>
              <w:rPr>
                <w:rFonts w:hint="eastAsia" w:ascii="Times New Roman" w:hAnsi="Times New Roman" w:cs="Times New Roman"/>
                <w:color w:val="auto"/>
                <w:sz w:val="21"/>
                <w:szCs w:val="21"/>
                <w:highlight w:val="none"/>
              </w:rPr>
              <w:t>洁净室引风风机</w:t>
            </w:r>
          </w:p>
        </w:tc>
        <w:tc>
          <w:tcPr>
            <w:tcW w:w="830" w:type="dxa"/>
            <w:vAlign w:val="center"/>
          </w:tcPr>
          <w:p w14:paraId="3B1805F0">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70</w:t>
            </w:r>
          </w:p>
        </w:tc>
        <w:tc>
          <w:tcPr>
            <w:tcW w:w="830" w:type="dxa"/>
            <w:vAlign w:val="center"/>
          </w:tcPr>
          <w:p w14:paraId="05C69C6C">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70</w:t>
            </w:r>
          </w:p>
        </w:tc>
        <w:tc>
          <w:tcPr>
            <w:tcW w:w="830" w:type="dxa"/>
            <w:vAlign w:val="center"/>
          </w:tcPr>
          <w:p w14:paraId="4B2F6919">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70</w:t>
            </w:r>
          </w:p>
        </w:tc>
        <w:tc>
          <w:tcPr>
            <w:tcW w:w="830" w:type="dxa"/>
            <w:vAlign w:val="center"/>
          </w:tcPr>
          <w:p w14:paraId="6CFFA303">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70</w:t>
            </w:r>
          </w:p>
        </w:tc>
        <w:tc>
          <w:tcPr>
            <w:tcW w:w="830" w:type="dxa"/>
            <w:vAlign w:val="center"/>
          </w:tcPr>
          <w:p w14:paraId="11B0BC57">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100</w:t>
            </w:r>
          </w:p>
        </w:tc>
        <w:tc>
          <w:tcPr>
            <w:tcW w:w="830" w:type="dxa"/>
            <w:vAlign w:val="center"/>
          </w:tcPr>
          <w:p w14:paraId="4E423689">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140</w:t>
            </w:r>
          </w:p>
        </w:tc>
        <w:tc>
          <w:tcPr>
            <w:tcW w:w="830" w:type="dxa"/>
            <w:vAlign w:val="center"/>
          </w:tcPr>
          <w:p w14:paraId="3A844D91">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29</w:t>
            </w:r>
          </w:p>
        </w:tc>
        <w:tc>
          <w:tcPr>
            <w:tcW w:w="833" w:type="dxa"/>
            <w:vAlign w:val="center"/>
          </w:tcPr>
          <w:p w14:paraId="55665361">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64</w:t>
            </w:r>
          </w:p>
        </w:tc>
      </w:tr>
      <w:tr w14:paraId="0120533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3" w:hRule="atLeast"/>
        </w:trPr>
        <w:tc>
          <w:tcPr>
            <w:tcW w:w="441" w:type="dxa"/>
            <w:vAlign w:val="center"/>
          </w:tcPr>
          <w:p w14:paraId="2D5250AF">
            <w:pPr>
              <w:keepNext w:val="0"/>
              <w:keepLines w:val="0"/>
              <w:pageBreakBefore w:val="0"/>
              <w:widowControl/>
              <w:numPr>
                <w:ilvl w:val="0"/>
                <w:numId w:val="16"/>
              </w:numPr>
              <w:kinsoku/>
              <w:wordWrap/>
              <w:overflowPunct/>
              <w:topLinePunct w:val="0"/>
              <w:autoSpaceDE/>
              <w:autoSpaceDN/>
              <w:bidi w:val="0"/>
              <w:adjustRightInd/>
              <w:snapToGrid/>
              <w:ind w:left="0" w:right="0" w:firstLine="0"/>
              <w:jc w:val="center"/>
              <w:textAlignment w:val="auto"/>
              <w:rPr>
                <w:rFonts w:ascii="Times New Roman" w:hAnsi="Times New Roman" w:cs="Times New Roman"/>
                <w:color w:val="auto"/>
                <w:sz w:val="21"/>
                <w:szCs w:val="21"/>
                <w:highlight w:val="none"/>
              </w:rPr>
            </w:pPr>
          </w:p>
        </w:tc>
        <w:tc>
          <w:tcPr>
            <w:tcW w:w="1420" w:type="dxa"/>
            <w:vAlign w:val="center"/>
          </w:tcPr>
          <w:p w14:paraId="0B365F45">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snapToGrid w:val="0"/>
                <w:color w:val="auto"/>
                <w:sz w:val="21"/>
                <w:szCs w:val="21"/>
                <w:highlight w:val="none"/>
              </w:rPr>
            </w:pPr>
            <w:r>
              <w:rPr>
                <w:rFonts w:hint="eastAsia" w:ascii="Times New Roman" w:hAnsi="Times New Roman" w:cs="Times New Roman"/>
                <w:color w:val="auto"/>
                <w:sz w:val="21"/>
                <w:szCs w:val="21"/>
                <w:highlight w:val="none"/>
              </w:rPr>
              <w:t>二级活性炭吸附装置及配套风机（DA006）</w:t>
            </w:r>
          </w:p>
        </w:tc>
        <w:tc>
          <w:tcPr>
            <w:tcW w:w="830" w:type="dxa"/>
            <w:vAlign w:val="center"/>
          </w:tcPr>
          <w:p w14:paraId="6D4472EE">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73</w:t>
            </w:r>
          </w:p>
        </w:tc>
        <w:tc>
          <w:tcPr>
            <w:tcW w:w="830" w:type="dxa"/>
            <w:vAlign w:val="center"/>
          </w:tcPr>
          <w:p w14:paraId="61050EB2">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73</w:t>
            </w:r>
          </w:p>
        </w:tc>
        <w:tc>
          <w:tcPr>
            <w:tcW w:w="830" w:type="dxa"/>
            <w:vAlign w:val="center"/>
          </w:tcPr>
          <w:p w14:paraId="0F115EC6">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73</w:t>
            </w:r>
          </w:p>
        </w:tc>
        <w:tc>
          <w:tcPr>
            <w:tcW w:w="830" w:type="dxa"/>
            <w:vAlign w:val="center"/>
          </w:tcPr>
          <w:p w14:paraId="4398EF36">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73</w:t>
            </w:r>
          </w:p>
        </w:tc>
        <w:tc>
          <w:tcPr>
            <w:tcW w:w="830" w:type="dxa"/>
            <w:vAlign w:val="center"/>
          </w:tcPr>
          <w:p w14:paraId="60672E61">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41</w:t>
            </w:r>
          </w:p>
        </w:tc>
        <w:tc>
          <w:tcPr>
            <w:tcW w:w="830" w:type="dxa"/>
            <w:vAlign w:val="center"/>
          </w:tcPr>
          <w:p w14:paraId="27909CF4">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37</w:t>
            </w:r>
          </w:p>
        </w:tc>
        <w:tc>
          <w:tcPr>
            <w:tcW w:w="830" w:type="dxa"/>
            <w:vAlign w:val="center"/>
          </w:tcPr>
          <w:p w14:paraId="5632EEDE">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90</w:t>
            </w:r>
          </w:p>
        </w:tc>
        <w:tc>
          <w:tcPr>
            <w:tcW w:w="833" w:type="dxa"/>
            <w:vAlign w:val="center"/>
          </w:tcPr>
          <w:p w14:paraId="02D404E4">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118</w:t>
            </w:r>
          </w:p>
        </w:tc>
      </w:tr>
    </w:tbl>
    <w:p w14:paraId="4D707003">
      <w:pPr>
        <w:pStyle w:val="5"/>
        <w:keepLines w:val="0"/>
        <w:numPr>
          <w:ilvl w:val="2"/>
          <w:numId w:val="6"/>
        </w:numPr>
        <w:tabs>
          <w:tab w:val="left" w:pos="141"/>
          <w:tab w:val="left" w:pos="567"/>
          <w:tab w:val="left" w:pos="709"/>
        </w:tabs>
        <w:spacing w:before="120" w:beforeLines="50" w:after="120" w:afterLines="50" w:line="360" w:lineRule="auto"/>
        <w:ind w:left="-105" w:right="-105"/>
        <w:rPr>
          <w:rFonts w:eastAsia="宋体"/>
          <w:color w:val="auto"/>
          <w:sz w:val="28"/>
          <w:szCs w:val="28"/>
          <w:highlight w:val="none"/>
        </w:rPr>
      </w:pPr>
      <w:bookmarkStart w:id="238" w:name="_Toc60653505"/>
      <w:r>
        <w:rPr>
          <w:rFonts w:hint="eastAsia" w:eastAsia="宋体"/>
          <w:color w:val="auto"/>
          <w:sz w:val="28"/>
          <w:szCs w:val="28"/>
          <w:highlight w:val="none"/>
        </w:rPr>
        <w:t>固体废弃物污染源强分析</w:t>
      </w:r>
      <w:bookmarkEnd w:id="238"/>
    </w:p>
    <w:p w14:paraId="45B32CE4">
      <w:pPr>
        <w:spacing w:line="360" w:lineRule="auto"/>
        <w:ind w:left="-105" w:right="-105" w:firstLine="480" w:firstLineChars="200"/>
        <w:jc w:val="both"/>
        <w:rPr>
          <w:rFonts w:ascii="Times New Roman" w:hAnsi="Times New Roman" w:cs="Times New Roman"/>
          <w:color w:val="auto"/>
          <w:highlight w:val="none"/>
        </w:rPr>
      </w:pPr>
      <w:r>
        <w:rPr>
          <w:rFonts w:ascii="Times New Roman" w:hAnsi="Times New Roman" w:cs="Times New Roman"/>
          <w:color w:val="auto"/>
          <w:highlight w:val="none"/>
        </w:rPr>
        <w:t>根据《建设项目危险废物环境影响评价指南》的相关技术要求，结合本项目主辅工程的原辅材料使用情况及生产工艺，全面分析各类固体废物的产生环节、主要成分、理化性质及其产生、利用和处置量。</w:t>
      </w:r>
    </w:p>
    <w:p w14:paraId="30A7D194">
      <w:pPr>
        <w:spacing w:line="360" w:lineRule="auto"/>
        <w:ind w:left="-105" w:right="-105" w:firstLine="480" w:firstLineChars="200"/>
        <w:jc w:val="both"/>
        <w:rPr>
          <w:rFonts w:ascii="Times New Roman" w:hAnsi="Times New Roman" w:cs="Times New Roman"/>
          <w:color w:val="auto"/>
          <w:highlight w:val="none"/>
        </w:rPr>
      </w:pPr>
      <w:r>
        <w:rPr>
          <w:rFonts w:ascii="Times New Roman" w:hAnsi="Times New Roman" w:cs="Times New Roman"/>
          <w:color w:val="auto"/>
          <w:highlight w:val="none"/>
        </w:rPr>
        <w:t>本项目产生的固体废物主要包括</w:t>
      </w:r>
      <w:r>
        <w:rPr>
          <w:rFonts w:hint="eastAsia" w:ascii="Times New Roman" w:hAnsi="Times New Roman" w:cs="Times New Roman"/>
          <w:color w:val="auto"/>
          <w:highlight w:val="none"/>
        </w:rPr>
        <w:t>生产工艺产生的废滤芯，实验分析产生的实验废液、废实验耗材</w:t>
      </w:r>
      <w:r>
        <w:rPr>
          <w:rFonts w:hint="eastAsia" w:ascii="Times New Roman" w:hAnsi="Times New Roman" w:cs="Times New Roman"/>
          <w:color w:val="auto"/>
          <w:highlight w:val="none"/>
          <w:lang w:eastAsia="zh-CN"/>
        </w:rPr>
        <w:t>、</w:t>
      </w:r>
      <w:r>
        <w:rPr>
          <w:rFonts w:hint="eastAsia" w:ascii="Times New Roman" w:hAnsi="Times New Roman" w:cs="Times New Roman"/>
          <w:color w:val="auto"/>
          <w:highlight w:val="none"/>
          <w:lang w:val="en-US" w:eastAsia="zh-CN"/>
        </w:rPr>
        <w:t>实验清洗废水</w:t>
      </w:r>
      <w:r>
        <w:rPr>
          <w:rFonts w:hint="eastAsia" w:ascii="Times New Roman" w:hAnsi="Times New Roman" w:cs="Times New Roman"/>
          <w:color w:val="auto"/>
          <w:highlight w:val="none"/>
        </w:rPr>
        <w:t>，超纯水制备产生的废过滤介质、废活性炭、废RO膜，原料包装产生的废包装桶（瓶）、废包装袋</w:t>
      </w:r>
      <w:r>
        <w:rPr>
          <w:rFonts w:hint="eastAsia" w:ascii="Times New Roman" w:hAnsi="Times New Roman" w:cs="Times New Roman"/>
          <w:color w:val="auto"/>
          <w:highlight w:val="none"/>
          <w:lang w:eastAsia="zh-CN"/>
        </w:rPr>
        <w:t>，</w:t>
      </w:r>
      <w:r>
        <w:rPr>
          <w:rFonts w:hint="eastAsia" w:ascii="Times New Roman" w:hAnsi="Times New Roman" w:cs="Times New Roman"/>
          <w:color w:val="auto"/>
          <w:highlight w:val="none"/>
        </w:rPr>
        <w:t>废气处理设施产生的废活性炭</w:t>
      </w:r>
      <w:r>
        <w:rPr>
          <w:rFonts w:hint="eastAsia" w:ascii="Times New Roman" w:hAnsi="Times New Roman" w:cs="Times New Roman"/>
          <w:color w:val="auto"/>
          <w:highlight w:val="none"/>
          <w:lang w:eastAsia="zh-CN"/>
        </w:rPr>
        <w:t>、</w:t>
      </w:r>
      <w:r>
        <w:rPr>
          <w:rFonts w:hint="eastAsia" w:ascii="Times New Roman" w:hAnsi="Times New Roman" w:cs="Times New Roman"/>
          <w:color w:val="auto"/>
          <w:highlight w:val="none"/>
          <w:lang w:val="en-US" w:eastAsia="zh-CN"/>
        </w:rPr>
        <w:t>喷淋废液</w:t>
      </w:r>
      <w:r>
        <w:rPr>
          <w:rFonts w:ascii="Times New Roman" w:hAnsi="Times New Roman" w:cs="Times New Roman"/>
          <w:color w:val="auto"/>
          <w:highlight w:val="none"/>
        </w:rPr>
        <w:t>。</w:t>
      </w:r>
    </w:p>
    <w:p w14:paraId="5CF137E6">
      <w:pPr>
        <w:spacing w:line="360" w:lineRule="auto"/>
        <w:ind w:left="-105" w:right="-105" w:firstLine="480" w:firstLineChars="200"/>
        <w:jc w:val="both"/>
        <w:rPr>
          <w:rFonts w:ascii="Times New Roman" w:hAnsi="Times New Roman" w:cs="Times New Roman"/>
          <w:color w:val="auto"/>
          <w:highlight w:val="none"/>
        </w:rPr>
      </w:pPr>
      <w:r>
        <w:rPr>
          <w:rFonts w:hint="eastAsia" w:ascii="Times New Roman" w:hAnsi="Times New Roman" w:cs="Times New Roman"/>
          <w:color w:val="auto"/>
          <w:highlight w:val="none"/>
        </w:rPr>
        <w:t>（1）</w:t>
      </w:r>
      <w:r>
        <w:rPr>
          <w:rFonts w:ascii="Times New Roman" w:hAnsi="Times New Roman" w:cs="Times New Roman"/>
          <w:color w:val="auto"/>
          <w:highlight w:val="none"/>
        </w:rPr>
        <w:t>废滤芯S</w:t>
      </w:r>
      <w:r>
        <w:rPr>
          <w:rFonts w:hint="eastAsia" w:ascii="Times New Roman" w:hAnsi="Times New Roman" w:cs="Times New Roman"/>
          <w:color w:val="auto"/>
          <w:highlight w:val="none"/>
        </w:rPr>
        <w:t>1-1</w:t>
      </w:r>
    </w:p>
    <w:p w14:paraId="3628A2F3">
      <w:pPr>
        <w:spacing w:line="360" w:lineRule="auto"/>
        <w:ind w:left="-105" w:right="-105" w:firstLine="480" w:firstLineChars="200"/>
        <w:jc w:val="both"/>
        <w:rPr>
          <w:rFonts w:ascii="Times New Roman" w:hAnsi="Times New Roman" w:cs="Times New Roman"/>
          <w:color w:val="auto"/>
          <w:highlight w:val="none"/>
        </w:rPr>
      </w:pPr>
      <w:r>
        <w:rPr>
          <w:rFonts w:hint="eastAsia" w:ascii="Times New Roman" w:hAnsi="Times New Roman" w:cs="Times New Roman"/>
          <w:color w:val="auto"/>
          <w:highlight w:val="none"/>
        </w:rPr>
        <w:t>生产装置反应釜中的过滤器定期更换，预计产生量为2t/a。</w:t>
      </w:r>
    </w:p>
    <w:p w14:paraId="1702306F">
      <w:pPr>
        <w:spacing w:line="360" w:lineRule="auto"/>
        <w:ind w:left="-105" w:right="-105" w:firstLine="480" w:firstLineChars="200"/>
        <w:jc w:val="both"/>
        <w:rPr>
          <w:rFonts w:ascii="Times New Roman" w:hAnsi="Times New Roman" w:cs="Times New Roman"/>
          <w:color w:val="auto"/>
          <w:highlight w:val="none"/>
        </w:rPr>
      </w:pPr>
      <w:r>
        <w:rPr>
          <w:rFonts w:hint="eastAsia" w:ascii="Times New Roman" w:hAnsi="Times New Roman" w:cs="Times New Roman"/>
          <w:color w:val="auto"/>
          <w:highlight w:val="none"/>
        </w:rPr>
        <w:t>（2）实验废液S1-2、废实验耗材S1-3</w:t>
      </w:r>
    </w:p>
    <w:p w14:paraId="66F69D31">
      <w:pPr>
        <w:spacing w:line="360" w:lineRule="auto"/>
        <w:ind w:left="-105" w:right="-105" w:firstLine="480" w:firstLineChars="200"/>
        <w:jc w:val="both"/>
        <w:rPr>
          <w:rFonts w:ascii="Times New Roman" w:hAnsi="Times New Roman" w:cs="Times New Roman"/>
          <w:color w:val="auto"/>
          <w:highlight w:val="none"/>
        </w:rPr>
      </w:pPr>
      <w:r>
        <w:rPr>
          <w:rFonts w:hint="eastAsia" w:ascii="Times New Roman" w:hAnsi="Times New Roman" w:cs="Times New Roman"/>
          <w:color w:val="auto"/>
          <w:highlight w:val="none"/>
        </w:rPr>
        <w:t>实验室分析采样后预计产生少量实验废液和废实验耗材，预计产生量分别为</w:t>
      </w:r>
      <w:r>
        <w:rPr>
          <w:rFonts w:hint="eastAsia" w:ascii="Times New Roman" w:hAnsi="Times New Roman" w:cs="Times New Roman"/>
          <w:color w:val="auto"/>
          <w:highlight w:val="none"/>
        </w:rPr>
        <w:t>0.</w:t>
      </w:r>
      <w:r>
        <w:rPr>
          <w:rFonts w:hint="eastAsia" w:ascii="Times New Roman" w:hAnsi="Times New Roman" w:cs="Times New Roman"/>
          <w:color w:val="auto"/>
          <w:highlight w:val="none"/>
          <w:lang w:val="en-US" w:eastAsia="zh-CN"/>
        </w:rPr>
        <w:t>02</w:t>
      </w:r>
      <w:r>
        <w:rPr>
          <w:rFonts w:hint="eastAsia" w:ascii="Times New Roman" w:hAnsi="Times New Roman" w:cs="Times New Roman"/>
          <w:color w:val="auto"/>
          <w:highlight w:val="none"/>
        </w:rPr>
        <w:t>t/a</w:t>
      </w:r>
      <w:r>
        <w:rPr>
          <w:rFonts w:hint="eastAsia" w:ascii="Times New Roman" w:hAnsi="Times New Roman" w:cs="Times New Roman"/>
          <w:color w:val="auto"/>
          <w:highlight w:val="none"/>
        </w:rPr>
        <w:t>、0.5t/a。</w:t>
      </w:r>
    </w:p>
    <w:p w14:paraId="489C21E7">
      <w:pPr>
        <w:spacing w:line="360" w:lineRule="auto"/>
        <w:ind w:left="-105" w:right="-105" w:firstLine="480" w:firstLineChars="200"/>
        <w:jc w:val="both"/>
        <w:rPr>
          <w:rFonts w:ascii="Times New Roman" w:hAnsi="Times New Roman" w:cs="Times New Roman"/>
          <w:color w:val="auto"/>
          <w:highlight w:val="none"/>
        </w:rPr>
      </w:pPr>
      <w:r>
        <w:rPr>
          <w:rFonts w:hint="eastAsia" w:ascii="Times New Roman" w:hAnsi="Times New Roman" w:cs="Times New Roman"/>
          <w:color w:val="auto"/>
          <w:highlight w:val="none"/>
        </w:rPr>
        <w:t>（3）废过滤介质S2-1、废活性炭S2-2、废RO膜S2-3</w:t>
      </w:r>
    </w:p>
    <w:p w14:paraId="50B2E8F4">
      <w:pPr>
        <w:spacing w:line="360" w:lineRule="auto"/>
        <w:ind w:left="-105" w:right="-105" w:firstLine="480" w:firstLineChars="200"/>
        <w:jc w:val="both"/>
        <w:rPr>
          <w:rFonts w:ascii="Times New Roman" w:hAnsi="Times New Roman" w:cs="Times New Roman"/>
          <w:color w:val="auto"/>
          <w:highlight w:val="none"/>
        </w:rPr>
      </w:pPr>
      <w:r>
        <w:rPr>
          <w:rFonts w:hint="eastAsia" w:ascii="Times New Roman" w:hAnsi="Times New Roman" w:cs="Times New Roman"/>
          <w:color w:val="auto"/>
          <w:highlight w:val="none"/>
        </w:rPr>
        <w:t>超</w:t>
      </w:r>
      <w:r>
        <w:rPr>
          <w:rFonts w:ascii="Times New Roman" w:hAnsi="Times New Roman" w:cs="Times New Roman"/>
          <w:color w:val="auto"/>
          <w:highlight w:val="none"/>
        </w:rPr>
        <w:t>纯水制备工艺产生废</w:t>
      </w:r>
      <w:r>
        <w:rPr>
          <w:rFonts w:hint="eastAsia" w:ascii="Times New Roman" w:hAnsi="Times New Roman" w:cs="Times New Roman"/>
          <w:color w:val="auto"/>
          <w:highlight w:val="none"/>
        </w:rPr>
        <w:t>过滤介质</w:t>
      </w:r>
      <w:r>
        <w:rPr>
          <w:rFonts w:ascii="Times New Roman" w:hAnsi="Times New Roman" w:cs="Times New Roman"/>
          <w:color w:val="auto"/>
          <w:highlight w:val="none"/>
        </w:rPr>
        <w:t>、</w:t>
      </w:r>
      <w:r>
        <w:rPr>
          <w:rFonts w:hint="eastAsia" w:ascii="Times New Roman" w:hAnsi="Times New Roman" w:cs="Times New Roman"/>
          <w:color w:val="auto"/>
          <w:highlight w:val="none"/>
        </w:rPr>
        <w:t>废活性炭、废RO膜</w:t>
      </w:r>
      <w:r>
        <w:rPr>
          <w:rFonts w:ascii="Times New Roman" w:hAnsi="Times New Roman" w:cs="Times New Roman"/>
          <w:color w:val="auto"/>
          <w:highlight w:val="none"/>
        </w:rPr>
        <w:t>，</w:t>
      </w:r>
      <w:r>
        <w:rPr>
          <w:rFonts w:hint="eastAsia" w:ascii="Times New Roman" w:hAnsi="Times New Roman" w:cs="Times New Roman"/>
          <w:color w:val="auto"/>
          <w:highlight w:val="none"/>
        </w:rPr>
        <w:t>预计</w:t>
      </w:r>
      <w:r>
        <w:rPr>
          <w:rFonts w:ascii="Times New Roman" w:hAnsi="Times New Roman" w:cs="Times New Roman"/>
          <w:color w:val="auto"/>
          <w:highlight w:val="none"/>
        </w:rPr>
        <w:t>产生量</w:t>
      </w:r>
      <w:r>
        <w:rPr>
          <w:rFonts w:hint="eastAsia" w:ascii="Times New Roman" w:hAnsi="Times New Roman" w:cs="Times New Roman"/>
          <w:color w:val="auto"/>
          <w:highlight w:val="none"/>
        </w:rPr>
        <w:t>分别</w:t>
      </w:r>
      <w:r>
        <w:rPr>
          <w:rFonts w:ascii="Times New Roman" w:hAnsi="Times New Roman" w:cs="Times New Roman"/>
          <w:color w:val="auto"/>
          <w:highlight w:val="none"/>
        </w:rPr>
        <w:t>为</w:t>
      </w:r>
      <w:r>
        <w:rPr>
          <w:rFonts w:hint="eastAsia" w:ascii="Times New Roman" w:hAnsi="Times New Roman" w:cs="Times New Roman"/>
          <w:color w:val="auto"/>
          <w:highlight w:val="none"/>
        </w:rPr>
        <w:t>2</w:t>
      </w:r>
      <w:r>
        <w:rPr>
          <w:rFonts w:ascii="Times New Roman" w:hAnsi="Times New Roman" w:cs="Times New Roman"/>
          <w:color w:val="auto"/>
          <w:highlight w:val="none"/>
        </w:rPr>
        <w:t>t/a、</w:t>
      </w:r>
      <w:r>
        <w:rPr>
          <w:rFonts w:hint="eastAsia" w:ascii="Times New Roman" w:hAnsi="Times New Roman" w:cs="Times New Roman"/>
          <w:color w:val="auto"/>
          <w:highlight w:val="none"/>
        </w:rPr>
        <w:t>1</w:t>
      </w:r>
      <w:r>
        <w:rPr>
          <w:rFonts w:ascii="Times New Roman" w:hAnsi="Times New Roman" w:cs="Times New Roman"/>
          <w:color w:val="auto"/>
          <w:highlight w:val="none"/>
        </w:rPr>
        <w:t>t/a</w:t>
      </w:r>
      <w:r>
        <w:rPr>
          <w:rFonts w:hint="eastAsia" w:ascii="Times New Roman" w:hAnsi="Times New Roman" w:cs="Times New Roman"/>
          <w:color w:val="auto"/>
          <w:highlight w:val="none"/>
        </w:rPr>
        <w:t>、0.5t/a</w:t>
      </w:r>
      <w:r>
        <w:rPr>
          <w:rFonts w:ascii="Times New Roman" w:hAnsi="Times New Roman" w:cs="Times New Roman"/>
          <w:color w:val="auto"/>
          <w:highlight w:val="none"/>
        </w:rPr>
        <w:t>；</w:t>
      </w:r>
    </w:p>
    <w:p w14:paraId="3CA1A12C">
      <w:pPr>
        <w:spacing w:line="360" w:lineRule="auto"/>
        <w:ind w:left="-105" w:right="-105" w:firstLine="480" w:firstLineChars="200"/>
        <w:jc w:val="both"/>
        <w:rPr>
          <w:rFonts w:ascii="Times New Roman" w:hAnsi="Times New Roman" w:cs="Times New Roman"/>
          <w:color w:val="auto"/>
          <w:highlight w:val="none"/>
        </w:rPr>
      </w:pPr>
      <w:r>
        <w:rPr>
          <w:rFonts w:hint="eastAsia" w:ascii="Times New Roman" w:hAnsi="Times New Roman" w:cs="Times New Roman"/>
          <w:color w:val="auto"/>
          <w:highlight w:val="none"/>
        </w:rPr>
        <w:t>（4）废包装桶（瓶）S3、废包装袋S4</w:t>
      </w:r>
    </w:p>
    <w:p w14:paraId="0FD2E545">
      <w:pPr>
        <w:spacing w:line="360" w:lineRule="auto"/>
        <w:ind w:left="-105" w:right="-105" w:firstLine="480" w:firstLineChars="200"/>
        <w:jc w:val="both"/>
        <w:rPr>
          <w:rFonts w:ascii="Times New Roman" w:hAnsi="Times New Roman" w:cs="Times New Roman"/>
          <w:color w:val="auto"/>
          <w:highlight w:val="none"/>
        </w:rPr>
      </w:pPr>
      <w:r>
        <w:rPr>
          <w:rFonts w:hint="eastAsia" w:ascii="Times New Roman" w:hAnsi="Times New Roman" w:cs="Times New Roman"/>
          <w:color w:val="auto"/>
          <w:highlight w:val="none"/>
        </w:rPr>
        <w:t>本项目原料、试剂使用过程中产生废包装桶（瓶）和废包装袋，产生量分别为</w:t>
      </w:r>
      <w:r>
        <w:rPr>
          <w:rFonts w:hint="eastAsia" w:ascii="Times New Roman" w:hAnsi="Times New Roman" w:cs="Times New Roman"/>
          <w:color w:val="auto"/>
          <w:highlight w:val="none"/>
        </w:rPr>
        <w:t>7.</w:t>
      </w:r>
      <w:r>
        <w:rPr>
          <w:rFonts w:hint="eastAsia" w:ascii="Times New Roman" w:hAnsi="Times New Roman" w:cs="Times New Roman"/>
          <w:color w:val="auto"/>
          <w:highlight w:val="none"/>
          <w:lang w:val="en-US" w:eastAsia="zh-CN"/>
        </w:rPr>
        <w:t>79</w:t>
      </w:r>
      <w:r>
        <w:rPr>
          <w:rFonts w:hint="eastAsia" w:ascii="Times New Roman" w:hAnsi="Times New Roman" w:cs="Times New Roman"/>
          <w:color w:val="auto"/>
          <w:highlight w:val="none"/>
        </w:rPr>
        <w:t>t/a</w:t>
      </w:r>
      <w:r>
        <w:rPr>
          <w:rFonts w:hint="eastAsia" w:ascii="Times New Roman" w:hAnsi="Times New Roman" w:cs="Times New Roman"/>
          <w:color w:val="auto"/>
          <w:highlight w:val="none"/>
        </w:rPr>
        <w:t>（3</w:t>
      </w:r>
      <w:r>
        <w:rPr>
          <w:rFonts w:hint="eastAsia" w:ascii="Times New Roman" w:hAnsi="Times New Roman" w:cs="Times New Roman"/>
          <w:color w:val="auto"/>
          <w:highlight w:val="none"/>
          <w:lang w:val="en-US" w:eastAsia="zh-CN"/>
        </w:rPr>
        <w:t>895</w:t>
      </w:r>
      <w:r>
        <w:rPr>
          <w:rFonts w:hint="eastAsia" w:ascii="Times New Roman" w:hAnsi="Times New Roman" w:cs="Times New Roman"/>
          <w:color w:val="auto"/>
          <w:highlight w:val="none"/>
        </w:rPr>
        <w:t>个，平均每个</w:t>
      </w:r>
      <w:r>
        <w:rPr>
          <w:rFonts w:hint="eastAsia" w:ascii="Times New Roman" w:hAnsi="Times New Roman" w:cs="Times New Roman"/>
          <w:color w:val="auto"/>
          <w:highlight w:val="none"/>
          <w:lang w:val="en-US" w:eastAsia="zh-CN"/>
        </w:rPr>
        <w:t>2</w:t>
      </w:r>
      <w:r>
        <w:rPr>
          <w:rFonts w:hint="eastAsia" w:ascii="Times New Roman" w:hAnsi="Times New Roman" w:cs="Times New Roman"/>
          <w:color w:val="auto"/>
          <w:highlight w:val="none"/>
        </w:rPr>
        <w:t>kg）、0.2t/a。</w:t>
      </w:r>
    </w:p>
    <w:p w14:paraId="79D1C747">
      <w:pPr>
        <w:spacing w:line="360" w:lineRule="auto"/>
        <w:ind w:left="-105" w:right="-105" w:firstLine="480" w:firstLineChars="200"/>
        <w:jc w:val="both"/>
        <w:rPr>
          <w:rFonts w:ascii="Times New Roman" w:hAnsi="Times New Roman" w:cs="Times New Roman"/>
          <w:color w:val="auto"/>
          <w:highlight w:val="none"/>
        </w:rPr>
      </w:pPr>
      <w:r>
        <w:rPr>
          <w:rFonts w:hint="eastAsia" w:ascii="Times New Roman" w:hAnsi="Times New Roman" w:cs="Times New Roman"/>
          <w:color w:val="auto"/>
          <w:highlight w:val="none"/>
        </w:rPr>
        <w:t>（5）废活性炭S5</w:t>
      </w:r>
    </w:p>
    <w:p w14:paraId="01D63253">
      <w:pPr>
        <w:spacing w:line="360" w:lineRule="auto"/>
        <w:ind w:left="-105" w:right="-105" w:firstLine="480" w:firstLineChars="200"/>
        <w:jc w:val="both"/>
        <w:rPr>
          <w:color w:val="auto"/>
          <w:szCs w:val="21"/>
          <w:highlight w:val="none"/>
        </w:rPr>
      </w:pPr>
      <w:r>
        <w:rPr>
          <w:rFonts w:hint="eastAsia" w:ascii="Times New Roman" w:hAnsi="Times New Roman" w:cs="Times New Roman"/>
          <w:color w:val="auto"/>
          <w:highlight w:val="none"/>
        </w:rPr>
        <w:t>本项目工艺废气和实验废气均采用活性炭吸附装置，有组织捕集量</w:t>
      </w:r>
      <w:r>
        <w:rPr>
          <w:rFonts w:hint="eastAsia" w:ascii="Times New Roman" w:hAnsi="Times New Roman" w:cs="Times New Roman"/>
          <w:color w:val="auto"/>
          <w:highlight w:val="none"/>
        </w:rPr>
        <w:t>分别为</w:t>
      </w:r>
      <w:r>
        <w:rPr>
          <w:rFonts w:hint="eastAsia" w:ascii="Times New Roman" w:hAnsi="Times New Roman" w:cs="Times New Roman"/>
          <w:color w:val="auto"/>
          <w:highlight w:val="none"/>
          <w:lang w:val="en-US" w:eastAsia="zh-CN"/>
        </w:rPr>
        <w:t>1.2939</w:t>
      </w:r>
      <w:r>
        <w:rPr>
          <w:rFonts w:hint="eastAsia" w:ascii="Times New Roman" w:hAnsi="Times New Roman" w:cs="Times New Roman"/>
          <w:color w:val="auto"/>
          <w:highlight w:val="none"/>
        </w:rPr>
        <w:t>t/a、</w:t>
      </w:r>
      <w:r>
        <w:rPr>
          <w:rFonts w:hint="eastAsia" w:ascii="Times New Roman" w:hAnsi="Times New Roman" w:cs="Times New Roman"/>
          <w:color w:val="auto"/>
          <w:highlight w:val="none"/>
          <w:lang w:val="en-US" w:eastAsia="zh-CN"/>
        </w:rPr>
        <w:t>0.0092</w:t>
      </w:r>
      <w:r>
        <w:rPr>
          <w:rFonts w:hint="eastAsia" w:ascii="Times New Roman" w:hAnsi="Times New Roman" w:cs="Times New Roman"/>
          <w:color w:val="auto"/>
          <w:highlight w:val="none"/>
        </w:rPr>
        <w:t>t/a</w:t>
      </w:r>
      <w:r>
        <w:rPr>
          <w:rFonts w:hint="eastAsia" w:ascii="Times New Roman" w:hAnsi="Times New Roman" w:cs="Times New Roman"/>
          <w:color w:val="auto"/>
          <w:highlight w:val="none"/>
        </w:rPr>
        <w:t>，</w:t>
      </w:r>
      <w:r>
        <w:rPr>
          <w:rFonts w:hint="eastAsia" w:ascii="Times New Roman" w:hAnsi="Times New Roman" w:cs="Times New Roman"/>
          <w:color w:val="auto"/>
          <w:highlight w:val="none"/>
        </w:rPr>
        <w:t>分别</w:t>
      </w:r>
      <w:r>
        <w:rPr>
          <w:rFonts w:ascii="Times New Roman" w:hAnsi="Times New Roman" w:cs="Times New Roman"/>
          <w:color w:val="auto"/>
          <w:highlight w:val="none"/>
        </w:rPr>
        <w:t>采用</w:t>
      </w:r>
      <w:r>
        <w:rPr>
          <w:rFonts w:hint="eastAsia" w:ascii="Times New Roman" w:hAnsi="Times New Roman" w:cs="Times New Roman"/>
          <w:color w:val="auto"/>
          <w:highlight w:val="none"/>
          <w:lang w:val="en-US" w:eastAsia="zh-CN"/>
        </w:rPr>
        <w:t>一套</w:t>
      </w:r>
      <w:r>
        <w:rPr>
          <w:rFonts w:hint="eastAsia" w:ascii="Times New Roman" w:hAnsi="Times New Roman" w:cs="Times New Roman"/>
          <w:color w:val="auto"/>
          <w:highlight w:val="none"/>
        </w:rPr>
        <w:t>3级碱液喷淋+二级活性炭吸附</w:t>
      </w:r>
      <w:r>
        <w:rPr>
          <w:rFonts w:hint="eastAsia" w:ascii="Times New Roman" w:hAnsi="Times New Roman" w:cs="Times New Roman"/>
          <w:color w:val="auto"/>
          <w:highlight w:val="none"/>
          <w:lang w:val="en-US" w:eastAsia="zh-CN"/>
        </w:rPr>
        <w:t>和一套</w:t>
      </w:r>
      <w:r>
        <w:rPr>
          <w:rFonts w:ascii="Times New Roman" w:hAnsi="Times New Roman" w:cs="Times New Roman"/>
          <w:color w:val="auto"/>
          <w:highlight w:val="none"/>
        </w:rPr>
        <w:t>二级活性炭吸附处理，</w:t>
      </w:r>
      <w:r>
        <w:rPr>
          <w:rFonts w:hint="eastAsia" w:ascii="Times New Roman" w:hAnsi="Times New Roman" w:cs="Times New Roman"/>
          <w:color w:val="auto"/>
          <w:highlight w:val="none"/>
          <w:lang w:val="en-US" w:eastAsia="zh-CN"/>
        </w:rPr>
        <w:t>其中工艺废气按40%由</w:t>
      </w:r>
      <w:r>
        <w:rPr>
          <w:rFonts w:hint="eastAsia" w:ascii="Times New Roman" w:hAnsi="Times New Roman" w:cs="Times New Roman"/>
          <w:color w:val="auto"/>
          <w:highlight w:val="none"/>
        </w:rPr>
        <w:t>3级碱液喷淋</w:t>
      </w:r>
      <w:r>
        <w:rPr>
          <w:rFonts w:hint="eastAsia" w:ascii="Times New Roman" w:hAnsi="Times New Roman" w:cs="Times New Roman"/>
          <w:color w:val="auto"/>
          <w:highlight w:val="none"/>
          <w:lang w:val="en-US" w:eastAsia="zh-CN"/>
        </w:rPr>
        <w:t>去除、50%由二级活性炭吸附去除，实验废气</w:t>
      </w:r>
      <w:r>
        <w:rPr>
          <w:rFonts w:ascii="Times New Roman" w:hAnsi="Times New Roman" w:cs="Times New Roman"/>
          <w:color w:val="auto"/>
          <w:highlight w:val="none"/>
        </w:rPr>
        <w:t>处理率按90%计，产生</w:t>
      </w:r>
      <w:r>
        <w:rPr>
          <w:rFonts w:hint="eastAsia" w:ascii="Times New Roman" w:hAnsi="Times New Roman" w:cs="Times New Roman"/>
          <w:color w:val="auto"/>
          <w:highlight w:val="none"/>
          <w:lang w:val="en-US" w:eastAsia="zh-CN"/>
        </w:rPr>
        <w:t>的</w:t>
      </w:r>
      <w:r>
        <w:rPr>
          <w:rFonts w:ascii="Times New Roman" w:hAnsi="Times New Roman" w:cs="Times New Roman"/>
          <w:color w:val="auto"/>
          <w:highlight w:val="none"/>
        </w:rPr>
        <w:t>废活性炭</w:t>
      </w:r>
      <w:r>
        <w:rPr>
          <w:rFonts w:hint="eastAsia"/>
          <w:color w:val="auto"/>
          <w:szCs w:val="21"/>
          <w:highlight w:val="none"/>
        </w:rPr>
        <w:t>根据《省生态环境厅关于将排污单位活性炭使用更换纳入排污许可管理的通知》中活性炭更换周期计算公式</w:t>
      </w:r>
      <w:r>
        <w:rPr>
          <w:rFonts w:hint="eastAsia"/>
          <w:color w:val="auto"/>
          <w:szCs w:val="21"/>
          <w:highlight w:val="none"/>
          <w:lang w:val="en-US" w:eastAsia="zh-CN"/>
        </w:rPr>
        <w:t>计算</w:t>
      </w:r>
      <w:r>
        <w:rPr>
          <w:rFonts w:hint="eastAsia"/>
          <w:color w:val="auto"/>
          <w:szCs w:val="21"/>
          <w:highlight w:val="none"/>
        </w:rPr>
        <w:t>：</w:t>
      </w:r>
    </w:p>
    <w:p w14:paraId="09837342">
      <w:pPr>
        <w:spacing w:line="360" w:lineRule="auto"/>
        <w:ind w:left="-105" w:right="-105" w:firstLine="480" w:firstLineChars="200"/>
        <w:jc w:val="center"/>
        <w:rPr>
          <w:rFonts w:ascii="Times New Roman" w:hAnsi="Times New Roman" w:cs="Times New Roman"/>
          <w:color w:val="auto"/>
          <w:szCs w:val="21"/>
          <w:highlight w:val="none"/>
        </w:rPr>
      </w:pPr>
      <w:r>
        <w:rPr>
          <w:rFonts w:ascii="Times New Roman" w:hAnsi="Times New Roman" w:cs="Times New Roman"/>
          <w:color w:val="auto"/>
          <w:szCs w:val="21"/>
          <w:highlight w:val="none"/>
        </w:rPr>
        <w:t>T=m×s÷（c×10</w:t>
      </w:r>
      <w:r>
        <w:rPr>
          <w:rFonts w:ascii="Times New Roman" w:hAnsi="Times New Roman" w:cs="Times New Roman"/>
          <w:color w:val="auto"/>
          <w:szCs w:val="21"/>
          <w:highlight w:val="none"/>
          <w:vertAlign w:val="superscript"/>
        </w:rPr>
        <w:t>-6</w:t>
      </w:r>
      <w:r>
        <w:rPr>
          <w:rFonts w:ascii="Times New Roman" w:hAnsi="Times New Roman" w:cs="Times New Roman"/>
          <w:color w:val="auto"/>
          <w:szCs w:val="21"/>
          <w:highlight w:val="none"/>
        </w:rPr>
        <w:t>×Q×t）</w:t>
      </w:r>
    </w:p>
    <w:p w14:paraId="77FE7A3A">
      <w:pPr>
        <w:spacing w:line="360" w:lineRule="auto"/>
        <w:ind w:left="-105" w:right="-105" w:firstLine="480" w:firstLineChars="200"/>
        <w:rPr>
          <w:rFonts w:ascii="Times New Roman" w:hAnsi="Times New Roman" w:cs="Times New Roman"/>
          <w:color w:val="auto"/>
          <w:szCs w:val="21"/>
          <w:highlight w:val="none"/>
        </w:rPr>
      </w:pPr>
      <w:r>
        <w:rPr>
          <w:rFonts w:ascii="Times New Roman" w:hAnsi="Times New Roman" w:cs="Times New Roman"/>
          <w:color w:val="auto"/>
          <w:szCs w:val="21"/>
          <w:highlight w:val="none"/>
        </w:rPr>
        <w:t>式中：T—更换周期，天；</w:t>
      </w:r>
    </w:p>
    <w:p w14:paraId="76FA7EF5">
      <w:pPr>
        <w:spacing w:line="360" w:lineRule="auto"/>
        <w:ind w:left="-105" w:right="-105" w:firstLine="1200" w:firstLineChars="500"/>
        <w:rPr>
          <w:rFonts w:ascii="Times New Roman" w:hAnsi="Times New Roman" w:cs="Times New Roman"/>
          <w:color w:val="auto"/>
          <w:szCs w:val="21"/>
          <w:highlight w:val="none"/>
        </w:rPr>
      </w:pPr>
      <w:r>
        <w:rPr>
          <w:rFonts w:ascii="Times New Roman" w:hAnsi="Times New Roman" w:cs="Times New Roman"/>
          <w:color w:val="auto"/>
          <w:szCs w:val="21"/>
          <w:highlight w:val="none"/>
        </w:rPr>
        <w:t>m—活性炭的用量，kg；</w:t>
      </w:r>
    </w:p>
    <w:p w14:paraId="7888196D">
      <w:pPr>
        <w:spacing w:line="360" w:lineRule="auto"/>
        <w:ind w:left="-105" w:right="-105" w:firstLine="1200" w:firstLineChars="500"/>
        <w:rPr>
          <w:rFonts w:ascii="Times New Roman" w:hAnsi="Times New Roman" w:cs="Times New Roman"/>
          <w:color w:val="auto"/>
          <w:szCs w:val="21"/>
          <w:highlight w:val="none"/>
        </w:rPr>
      </w:pPr>
      <w:r>
        <w:rPr>
          <w:rFonts w:ascii="Times New Roman" w:hAnsi="Times New Roman" w:cs="Times New Roman"/>
          <w:color w:val="auto"/>
          <w:szCs w:val="21"/>
          <w:highlight w:val="none"/>
        </w:rPr>
        <w:t>s—动态吸附量，%；（一般取值10%）</w:t>
      </w:r>
    </w:p>
    <w:p w14:paraId="65BADC76">
      <w:pPr>
        <w:spacing w:line="360" w:lineRule="auto"/>
        <w:ind w:left="-105" w:right="-105" w:firstLine="1200" w:firstLineChars="500"/>
        <w:rPr>
          <w:rFonts w:ascii="Times New Roman" w:hAnsi="Times New Roman" w:cs="Times New Roman"/>
          <w:color w:val="auto"/>
          <w:szCs w:val="21"/>
          <w:highlight w:val="none"/>
        </w:rPr>
      </w:pPr>
      <w:r>
        <w:rPr>
          <w:rFonts w:ascii="Times New Roman" w:hAnsi="Times New Roman" w:cs="Times New Roman"/>
          <w:color w:val="auto"/>
          <w:szCs w:val="21"/>
          <w:highlight w:val="none"/>
        </w:rPr>
        <w:t>c—活性炭削减的VOCs浓度，mg/m</w:t>
      </w:r>
      <w:r>
        <w:rPr>
          <w:rFonts w:ascii="Times New Roman" w:hAnsi="Times New Roman" w:cs="Times New Roman"/>
          <w:color w:val="auto"/>
          <w:szCs w:val="21"/>
          <w:highlight w:val="none"/>
          <w:vertAlign w:val="superscript"/>
        </w:rPr>
        <w:t>3</w:t>
      </w:r>
      <w:r>
        <w:rPr>
          <w:rFonts w:ascii="Times New Roman" w:hAnsi="Times New Roman" w:cs="Times New Roman"/>
          <w:color w:val="auto"/>
          <w:szCs w:val="21"/>
          <w:highlight w:val="none"/>
        </w:rPr>
        <w:t>；</w:t>
      </w:r>
    </w:p>
    <w:p w14:paraId="50A09015">
      <w:pPr>
        <w:spacing w:line="360" w:lineRule="auto"/>
        <w:ind w:left="-105" w:right="-105" w:firstLine="1200" w:firstLineChars="500"/>
        <w:rPr>
          <w:rFonts w:ascii="Times New Roman" w:hAnsi="Times New Roman" w:cs="Times New Roman"/>
          <w:color w:val="auto"/>
          <w:szCs w:val="21"/>
          <w:highlight w:val="none"/>
        </w:rPr>
      </w:pPr>
      <w:r>
        <w:rPr>
          <w:rFonts w:ascii="Times New Roman" w:hAnsi="Times New Roman" w:cs="Times New Roman"/>
          <w:color w:val="auto"/>
          <w:szCs w:val="21"/>
          <w:highlight w:val="none"/>
        </w:rPr>
        <w:t>Q—风量，单位m</w:t>
      </w:r>
      <w:r>
        <w:rPr>
          <w:rFonts w:ascii="Times New Roman" w:hAnsi="Times New Roman" w:cs="Times New Roman"/>
          <w:color w:val="auto"/>
          <w:szCs w:val="21"/>
          <w:highlight w:val="none"/>
          <w:vertAlign w:val="superscript"/>
        </w:rPr>
        <w:t>3</w:t>
      </w:r>
      <w:r>
        <w:rPr>
          <w:rFonts w:ascii="Times New Roman" w:hAnsi="Times New Roman" w:cs="Times New Roman"/>
          <w:color w:val="auto"/>
          <w:szCs w:val="21"/>
          <w:highlight w:val="none"/>
        </w:rPr>
        <w:t>/h；</w:t>
      </w:r>
    </w:p>
    <w:p w14:paraId="6B4633E7">
      <w:pPr>
        <w:spacing w:line="360" w:lineRule="auto"/>
        <w:ind w:left="-105" w:right="-105" w:firstLine="1200" w:firstLineChars="500"/>
        <w:rPr>
          <w:rFonts w:ascii="Times New Roman" w:hAnsi="Times New Roman" w:cs="Times New Roman"/>
          <w:color w:val="auto"/>
          <w:szCs w:val="21"/>
          <w:highlight w:val="none"/>
        </w:rPr>
      </w:pPr>
      <w:r>
        <w:rPr>
          <w:rFonts w:ascii="Times New Roman" w:hAnsi="Times New Roman" w:cs="Times New Roman"/>
          <w:color w:val="auto"/>
          <w:szCs w:val="21"/>
          <w:highlight w:val="none"/>
        </w:rPr>
        <w:t>t—运行时间，单位h/d；</w:t>
      </w:r>
    </w:p>
    <w:p w14:paraId="34CEE2AB">
      <w:pPr>
        <w:spacing w:line="360" w:lineRule="auto"/>
        <w:ind w:left="-105" w:right="-105" w:firstLine="480" w:firstLineChars="200"/>
        <w:jc w:val="both"/>
        <w:rPr>
          <w:rFonts w:hint="default" w:ascii="Times New Roman" w:hAnsi="Times New Roman" w:cs="Times New Roman"/>
          <w:color w:val="auto"/>
          <w:highlight w:val="none"/>
          <w:lang w:val="en-US"/>
        </w:rPr>
      </w:pPr>
      <w:r>
        <w:rPr>
          <w:rFonts w:hint="eastAsia" w:ascii="Times New Roman" w:hAnsi="Times New Roman" w:cs="Times New Roman"/>
          <w:color w:val="auto"/>
          <w:highlight w:val="none"/>
        </w:rPr>
        <w:t>企业年工作</w:t>
      </w:r>
      <w:r>
        <w:rPr>
          <w:rFonts w:hint="eastAsia" w:ascii="Times New Roman" w:hAnsi="Times New Roman" w:cs="Times New Roman"/>
          <w:color w:val="auto"/>
          <w:highlight w:val="none"/>
          <w:lang w:val="en-US" w:eastAsia="zh-CN"/>
        </w:rPr>
        <w:t>350</w:t>
      </w:r>
      <w:r>
        <w:rPr>
          <w:rFonts w:hint="eastAsia" w:ascii="Times New Roman" w:hAnsi="Times New Roman" w:cs="Times New Roman"/>
          <w:color w:val="auto"/>
          <w:highlight w:val="none"/>
        </w:rPr>
        <w:t>天、实验室年工作200天，则对应更换频次分别为6次和1次，则DA005、DA006的废活性炭产生量为</w:t>
      </w:r>
      <w:r>
        <w:rPr>
          <w:rFonts w:hint="eastAsia" w:ascii="Times New Roman" w:hAnsi="Times New Roman" w:cs="Times New Roman"/>
          <w:color w:val="auto"/>
          <w:highlight w:val="none"/>
          <w:lang w:val="en-US" w:eastAsia="zh-CN"/>
        </w:rPr>
        <w:t>10.3089</w:t>
      </w:r>
      <w:r>
        <w:rPr>
          <w:rFonts w:hint="eastAsia" w:ascii="Times New Roman" w:hAnsi="Times New Roman" w:cs="Times New Roman"/>
          <w:color w:val="auto"/>
          <w:highlight w:val="none"/>
        </w:rPr>
        <w:t>t/a</w:t>
      </w:r>
      <w:r>
        <w:rPr>
          <w:rFonts w:hint="eastAsia" w:ascii="Times New Roman" w:hAnsi="Times New Roman" w:cs="Times New Roman"/>
          <w:color w:val="auto"/>
          <w:highlight w:val="none"/>
        </w:rPr>
        <w:t>（含有机废气</w:t>
      </w:r>
      <w:r>
        <w:rPr>
          <w:rFonts w:hint="eastAsia" w:ascii="Times New Roman" w:hAnsi="Times New Roman" w:cs="Times New Roman"/>
          <w:color w:val="auto"/>
          <w:highlight w:val="none"/>
          <w:lang w:val="en-US" w:eastAsia="zh-CN"/>
        </w:rPr>
        <w:t>1.1589</w:t>
      </w:r>
      <w:r>
        <w:rPr>
          <w:rFonts w:hint="eastAsia" w:ascii="Times New Roman" w:hAnsi="Times New Roman" w:cs="Times New Roman"/>
          <w:color w:val="auto"/>
          <w:highlight w:val="none"/>
        </w:rPr>
        <w:t>t/a</w:t>
      </w:r>
      <w:r>
        <w:rPr>
          <w:rFonts w:hint="eastAsia" w:ascii="Times New Roman" w:hAnsi="Times New Roman" w:cs="Times New Roman"/>
          <w:color w:val="auto"/>
          <w:highlight w:val="none"/>
        </w:rPr>
        <w:t>）</w:t>
      </w:r>
      <w:r>
        <w:rPr>
          <w:rFonts w:ascii="Times New Roman" w:hAnsi="Times New Roman" w:cs="Times New Roman"/>
          <w:color w:val="auto"/>
          <w:highlight w:val="none"/>
        </w:rPr>
        <w:t>。</w:t>
      </w:r>
      <w:r>
        <w:rPr>
          <w:rFonts w:hint="eastAsia"/>
          <w:color w:val="auto"/>
          <w:highlight w:val="none"/>
          <w:lang w:val="en-US" w:eastAsia="zh-CN"/>
        </w:rPr>
        <w:t>由于实验间一预设置了通风橱且单独设置了一套二级活性炭吸附装置，本项目实验间一无实验在该通风橱内进行，但为确保该装置在后续使用时不影响活性炭吸附能力，故该套装置的活性炭目前按一年更换一次的频率更新活性炭，根据填充量产生废活性炭</w:t>
      </w:r>
      <w:r>
        <w:rPr>
          <w:rFonts w:hint="default" w:ascii="Times New Roman" w:hAnsi="Times New Roman" w:cs="Times New Roman"/>
          <w:color w:val="auto"/>
          <w:highlight w:val="none"/>
          <w:lang w:val="en-US" w:eastAsia="zh-CN"/>
        </w:rPr>
        <w:t>0.1t/a</w:t>
      </w:r>
      <w:r>
        <w:rPr>
          <w:rFonts w:hint="eastAsia"/>
          <w:color w:val="auto"/>
          <w:highlight w:val="none"/>
          <w:lang w:val="en-US" w:eastAsia="zh-CN"/>
        </w:rPr>
        <w:t>。综上，本项目共产生废活性炭量</w:t>
      </w:r>
      <w:r>
        <w:rPr>
          <w:rFonts w:hint="default" w:ascii="Times New Roman" w:hAnsi="Times New Roman" w:cs="Times New Roman"/>
          <w:color w:val="auto"/>
          <w:highlight w:val="none"/>
          <w:lang w:val="en-US" w:eastAsia="zh-CN"/>
        </w:rPr>
        <w:t>10.</w:t>
      </w:r>
      <w:r>
        <w:rPr>
          <w:rFonts w:hint="eastAsia" w:ascii="Times New Roman" w:hAnsi="Times New Roman" w:cs="Times New Roman"/>
          <w:color w:val="auto"/>
          <w:highlight w:val="none"/>
          <w:lang w:val="en-US" w:eastAsia="zh-CN"/>
        </w:rPr>
        <w:t>4089</w:t>
      </w:r>
      <w:r>
        <w:rPr>
          <w:rFonts w:hint="default" w:ascii="Times New Roman" w:hAnsi="Times New Roman" w:cs="Times New Roman"/>
          <w:color w:val="auto"/>
          <w:highlight w:val="none"/>
          <w:lang w:val="en-US" w:eastAsia="zh-CN"/>
        </w:rPr>
        <w:t>t/a</w:t>
      </w:r>
      <w:r>
        <w:rPr>
          <w:rFonts w:hint="eastAsia"/>
          <w:color w:val="auto"/>
          <w:highlight w:val="none"/>
          <w:lang w:val="en-US" w:eastAsia="zh-CN"/>
        </w:rPr>
        <w:t>。</w:t>
      </w:r>
    </w:p>
    <w:p w14:paraId="5BBF3463">
      <w:pPr>
        <w:numPr>
          <w:ilvl w:val="0"/>
          <w:numId w:val="17"/>
        </w:numPr>
        <w:spacing w:line="360" w:lineRule="auto"/>
        <w:ind w:left="-105" w:right="-105" w:firstLine="480" w:firstLineChars="200"/>
        <w:jc w:val="both"/>
        <w:rPr>
          <w:rFonts w:hint="eastAsia"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喷淋废液（S6）</w:t>
      </w:r>
    </w:p>
    <w:p w14:paraId="6C9C1958">
      <w:pPr>
        <w:keepNext w:val="0"/>
        <w:keepLines w:val="0"/>
        <w:pageBreakBefore w:val="0"/>
        <w:widowControl/>
        <w:numPr>
          <w:ilvl w:val="0"/>
          <w:numId w:val="0"/>
        </w:numPr>
        <w:kinsoku/>
        <w:wordWrap/>
        <w:overflowPunct/>
        <w:topLinePunct w:val="0"/>
        <w:autoSpaceDE/>
        <w:autoSpaceDN/>
        <w:bidi w:val="0"/>
        <w:adjustRightInd/>
        <w:snapToGrid/>
        <w:spacing w:line="360" w:lineRule="auto"/>
        <w:ind w:leftChars="0" w:right="0" w:rightChars="0" w:firstLine="480" w:firstLineChars="200"/>
        <w:jc w:val="both"/>
        <w:textAlignment w:val="auto"/>
        <w:rPr>
          <w:rFonts w:hint="default" w:ascii="Times New Roman" w:hAnsi="Times New Roman" w:eastAsia="宋体" w:cs="Times New Roman"/>
          <w:color w:val="auto"/>
          <w:highlight w:val="none"/>
          <w:lang w:val="en-US" w:eastAsia="zh-CN"/>
        </w:rPr>
      </w:pPr>
      <w:r>
        <w:rPr>
          <w:rFonts w:hint="eastAsia" w:ascii="Times New Roman" w:hAnsi="Times New Roman" w:cs="Times New Roman"/>
          <w:color w:val="auto"/>
          <w:highlight w:val="none"/>
          <w:lang w:val="en-US" w:eastAsia="zh-CN"/>
        </w:rPr>
        <w:t>本项目工艺废气依托现有项目</w:t>
      </w:r>
      <w:r>
        <w:rPr>
          <w:rFonts w:hint="eastAsia" w:ascii="Times New Roman" w:hAnsi="Times New Roman" w:cs="Times New Roman"/>
          <w:color w:val="auto"/>
          <w:highlight w:val="none"/>
        </w:rPr>
        <w:t>3级碱液喷淋+二级活性炭吸附</w:t>
      </w:r>
      <w:r>
        <w:rPr>
          <w:rFonts w:hint="eastAsia" w:ascii="Times New Roman" w:hAnsi="Times New Roman" w:cs="Times New Roman"/>
          <w:color w:val="auto"/>
          <w:highlight w:val="none"/>
          <w:lang w:val="en-US" w:eastAsia="zh-CN"/>
        </w:rPr>
        <w:t>装置处理后由DA005排气筒排放，</w:t>
      </w:r>
      <w:r>
        <w:rPr>
          <w:rFonts w:hint="eastAsia" w:ascii="Times New Roman" w:hAnsi="Times New Roman" w:eastAsia="宋体" w:cs="宋体"/>
          <w:color w:val="auto"/>
          <w:highlight w:val="none"/>
          <w:lang w:val="en-US" w:eastAsia="zh-CN"/>
        </w:rPr>
        <w:t>根据企业提供的工程改造方案，不新增现有设施排风量（具体分析见第7.1.2章节），故本项目喷淋废液产生量不新增。</w:t>
      </w:r>
    </w:p>
    <w:p w14:paraId="269AD7E9">
      <w:pPr>
        <w:numPr>
          <w:ilvl w:val="0"/>
          <w:numId w:val="17"/>
        </w:numPr>
        <w:spacing w:line="360" w:lineRule="auto"/>
        <w:ind w:left="-105" w:leftChars="0" w:right="-105" w:firstLine="480" w:firstLineChars="200"/>
        <w:jc w:val="both"/>
        <w:rPr>
          <w:rFonts w:hint="eastAsia"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实验室清洗废水（S7）</w:t>
      </w:r>
    </w:p>
    <w:p w14:paraId="3CE33079">
      <w:pPr>
        <w:keepNext w:val="0"/>
        <w:keepLines w:val="0"/>
        <w:pageBreakBefore w:val="0"/>
        <w:widowControl/>
        <w:numPr>
          <w:ilvl w:val="0"/>
          <w:numId w:val="0"/>
        </w:numPr>
        <w:kinsoku/>
        <w:wordWrap/>
        <w:overflowPunct/>
        <w:topLinePunct w:val="0"/>
        <w:autoSpaceDE/>
        <w:autoSpaceDN/>
        <w:bidi w:val="0"/>
        <w:adjustRightInd/>
        <w:snapToGrid/>
        <w:spacing w:line="360" w:lineRule="auto"/>
        <w:ind w:leftChars="0" w:right="0" w:rightChars="0" w:firstLine="480" w:firstLineChars="200"/>
        <w:jc w:val="both"/>
        <w:textAlignment w:val="auto"/>
        <w:rPr>
          <w:rFonts w:hint="default"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根据水平衡分析，本项目实验人员在进入实验室前需使用自来水清洗双手，且有少量实验器皿需要清洗，产生实验室清洗废水约0.1t/a。</w:t>
      </w:r>
    </w:p>
    <w:p w14:paraId="6E6CBEAD">
      <w:pPr>
        <w:spacing w:line="360" w:lineRule="auto"/>
        <w:ind w:left="-105" w:right="-105" w:firstLine="480" w:firstLineChars="200"/>
        <w:jc w:val="both"/>
        <w:rPr>
          <w:rFonts w:ascii="Times New Roman" w:hAnsi="Times New Roman" w:cs="Times New Roman"/>
          <w:color w:val="auto"/>
          <w:highlight w:val="none"/>
        </w:rPr>
      </w:pPr>
      <w:r>
        <w:rPr>
          <w:rFonts w:ascii="Times New Roman" w:hAnsi="Times New Roman" w:cs="Times New Roman"/>
          <w:color w:val="auto"/>
          <w:highlight w:val="none"/>
        </w:rPr>
        <w:t>根据《固体废物鉴别标准通则》（GB34330-2017）判断项目生产过程中产生的副产物是否属于固体废物及结果见</w:t>
      </w:r>
      <w:r>
        <w:rPr>
          <w:rFonts w:ascii="Times New Roman" w:hAnsi="Times New Roman" w:cs="Times New Roman"/>
          <w:color w:val="auto"/>
          <w:highlight w:val="none"/>
        </w:rPr>
        <w:fldChar w:fldCharType="begin"/>
      </w:r>
      <w:r>
        <w:rPr>
          <w:rFonts w:ascii="Times New Roman" w:hAnsi="Times New Roman" w:cs="Times New Roman"/>
          <w:color w:val="auto"/>
          <w:highlight w:val="none"/>
        </w:rPr>
        <w:instrText xml:space="preserve"> REF _Ref61965451 \h </w:instrText>
      </w:r>
      <w:r>
        <w:rPr>
          <w:rFonts w:ascii="Times New Roman" w:hAnsi="Times New Roman" w:cs="Times New Roman"/>
          <w:color w:val="auto"/>
          <w:highlight w:val="none"/>
        </w:rPr>
        <w:fldChar w:fldCharType="separate"/>
      </w:r>
      <w:r>
        <w:rPr>
          <w:rFonts w:ascii="Times New Roman" w:hAnsi="Times New Roman" w:cs="Times New Roman"/>
          <w:color w:val="auto"/>
          <w:szCs w:val="22"/>
          <w:highlight w:val="none"/>
        </w:rPr>
        <w:t>表</w:t>
      </w:r>
      <w:r>
        <w:rPr>
          <w:rFonts w:ascii="Times New Roman" w:hAnsi="Times New Roman" w:cs="Times New Roman"/>
          <w:color w:val="auto"/>
          <w:szCs w:val="22"/>
          <w:highlight w:val="none"/>
        </w:rPr>
        <w:fldChar w:fldCharType="begin"/>
      </w:r>
      <w:r>
        <w:rPr>
          <w:rFonts w:ascii="Times New Roman" w:hAnsi="Times New Roman" w:cs="Times New Roman"/>
          <w:color w:val="auto"/>
          <w:szCs w:val="22"/>
          <w:highlight w:val="none"/>
        </w:rPr>
        <w:instrText xml:space="preserve"> STYLEREF 2 \s </w:instrText>
      </w:r>
      <w:r>
        <w:rPr>
          <w:rFonts w:ascii="Times New Roman" w:hAnsi="Times New Roman" w:cs="Times New Roman"/>
          <w:color w:val="auto"/>
          <w:szCs w:val="22"/>
          <w:highlight w:val="none"/>
        </w:rPr>
        <w:fldChar w:fldCharType="separate"/>
      </w:r>
      <w:r>
        <w:rPr>
          <w:rFonts w:ascii="Times New Roman" w:hAnsi="Times New Roman" w:cs="Times New Roman"/>
          <w:color w:val="auto"/>
          <w:szCs w:val="22"/>
          <w:highlight w:val="none"/>
        </w:rPr>
        <w:t>4.6</w:t>
      </w:r>
      <w:r>
        <w:rPr>
          <w:rFonts w:ascii="Times New Roman" w:hAnsi="Times New Roman" w:cs="Times New Roman"/>
          <w:color w:val="auto"/>
          <w:szCs w:val="22"/>
          <w:highlight w:val="none"/>
        </w:rPr>
        <w:fldChar w:fldCharType="end"/>
      </w:r>
      <w:r>
        <w:rPr>
          <w:rFonts w:ascii="Times New Roman" w:hAnsi="Times New Roman" w:cs="Times New Roman"/>
          <w:color w:val="auto"/>
          <w:szCs w:val="22"/>
          <w:highlight w:val="none"/>
        </w:rPr>
        <w:noBreakHyphen/>
      </w:r>
      <w:r>
        <w:rPr>
          <w:rFonts w:ascii="Times New Roman" w:hAnsi="Times New Roman" w:cs="Times New Roman"/>
          <w:color w:val="auto"/>
          <w:szCs w:val="22"/>
          <w:highlight w:val="none"/>
        </w:rPr>
        <w:t>10</w:t>
      </w:r>
      <w:r>
        <w:rPr>
          <w:rFonts w:ascii="Times New Roman" w:hAnsi="Times New Roman" w:cs="Times New Roman"/>
          <w:color w:val="auto"/>
          <w:highlight w:val="none"/>
        </w:rPr>
        <w:fldChar w:fldCharType="end"/>
      </w:r>
      <w:r>
        <w:rPr>
          <w:rFonts w:ascii="Times New Roman" w:hAnsi="Times New Roman" w:cs="Times New Roman"/>
          <w:color w:val="auto"/>
          <w:highlight w:val="none"/>
        </w:rPr>
        <w:t>。</w:t>
      </w:r>
    </w:p>
    <w:p w14:paraId="13B89B2A">
      <w:pPr>
        <w:pStyle w:val="15"/>
        <w:ind w:left="-105" w:right="-105" w:firstLine="482"/>
        <w:rPr>
          <w:rFonts w:hint="eastAsia" w:eastAsia="宋体"/>
          <w:color w:val="auto"/>
          <w:sz w:val="24"/>
          <w:szCs w:val="22"/>
          <w:highlight w:val="none"/>
        </w:rPr>
      </w:pPr>
      <w:bookmarkStart w:id="239" w:name="_Ref61965451"/>
      <w:bookmarkStart w:id="240" w:name="_Ref22827"/>
    </w:p>
    <w:p w14:paraId="7B9334CE">
      <w:pPr>
        <w:pStyle w:val="15"/>
        <w:ind w:left="-105" w:right="-105" w:firstLine="482"/>
        <w:rPr>
          <w:rFonts w:hint="eastAsia" w:eastAsia="宋体"/>
          <w:color w:val="auto"/>
          <w:sz w:val="24"/>
          <w:szCs w:val="22"/>
          <w:highlight w:val="none"/>
        </w:rPr>
      </w:pPr>
    </w:p>
    <w:p w14:paraId="4816C47A">
      <w:pPr>
        <w:pStyle w:val="15"/>
        <w:ind w:left="-105" w:right="-105" w:firstLine="482"/>
        <w:rPr>
          <w:rFonts w:hint="eastAsia" w:eastAsia="宋体"/>
          <w:color w:val="auto"/>
          <w:sz w:val="24"/>
          <w:szCs w:val="22"/>
          <w:highlight w:val="none"/>
        </w:rPr>
      </w:pPr>
    </w:p>
    <w:p w14:paraId="3853E544">
      <w:pPr>
        <w:pStyle w:val="15"/>
        <w:ind w:left="-105" w:right="-105" w:firstLine="482"/>
        <w:rPr>
          <w:rFonts w:eastAsia="宋体" w:cs="Times New Roman"/>
          <w:color w:val="auto"/>
          <w:sz w:val="24"/>
          <w:szCs w:val="22"/>
          <w:highlight w:val="none"/>
        </w:rPr>
      </w:pPr>
      <w:r>
        <w:rPr>
          <w:rFonts w:hint="eastAsia" w:eastAsia="宋体"/>
          <w:color w:val="auto"/>
          <w:sz w:val="24"/>
          <w:szCs w:val="22"/>
          <w:highlight w:val="none"/>
        </w:rPr>
        <w:t>表</w:t>
      </w:r>
      <w:r>
        <w:rPr>
          <w:rFonts w:eastAsia="宋体"/>
          <w:color w:val="auto"/>
          <w:sz w:val="24"/>
          <w:szCs w:val="22"/>
          <w:highlight w:val="none"/>
        </w:rPr>
        <w:fldChar w:fldCharType="begin"/>
      </w:r>
      <w:r>
        <w:rPr>
          <w:rFonts w:eastAsia="宋体"/>
          <w:color w:val="auto"/>
          <w:sz w:val="24"/>
          <w:szCs w:val="22"/>
          <w:highlight w:val="none"/>
        </w:rPr>
        <w:instrText xml:space="preserve"> </w:instrText>
      </w:r>
      <w:r>
        <w:rPr>
          <w:rFonts w:hint="eastAsia" w:eastAsia="宋体"/>
          <w:color w:val="auto"/>
          <w:sz w:val="24"/>
          <w:szCs w:val="22"/>
          <w:highlight w:val="none"/>
        </w:rPr>
        <w:instrText xml:space="preserve">STYLEREF 2 \s</w:instrText>
      </w:r>
      <w:r>
        <w:rPr>
          <w:rFonts w:eastAsia="宋体"/>
          <w:color w:val="auto"/>
          <w:sz w:val="24"/>
          <w:szCs w:val="22"/>
          <w:highlight w:val="none"/>
        </w:rPr>
        <w:instrText xml:space="preserve"> </w:instrText>
      </w:r>
      <w:r>
        <w:rPr>
          <w:rFonts w:eastAsia="宋体"/>
          <w:color w:val="auto"/>
          <w:sz w:val="24"/>
          <w:szCs w:val="22"/>
          <w:highlight w:val="none"/>
        </w:rPr>
        <w:fldChar w:fldCharType="separate"/>
      </w:r>
      <w:r>
        <w:rPr>
          <w:rFonts w:hint="eastAsia" w:eastAsia="宋体"/>
          <w:color w:val="auto"/>
          <w:sz w:val="24"/>
          <w:szCs w:val="22"/>
          <w:highlight w:val="none"/>
        </w:rPr>
        <w:t>4.6</w:t>
      </w:r>
      <w:r>
        <w:rPr>
          <w:rFonts w:eastAsia="宋体"/>
          <w:color w:val="auto"/>
          <w:sz w:val="24"/>
          <w:szCs w:val="22"/>
          <w:highlight w:val="none"/>
        </w:rPr>
        <w:fldChar w:fldCharType="end"/>
      </w:r>
      <w:r>
        <w:rPr>
          <w:rFonts w:eastAsia="宋体"/>
          <w:color w:val="auto"/>
          <w:sz w:val="24"/>
          <w:szCs w:val="22"/>
          <w:highlight w:val="none"/>
        </w:rPr>
        <w:noBreakHyphen/>
      </w:r>
      <w:r>
        <w:rPr>
          <w:rFonts w:eastAsia="宋体"/>
          <w:color w:val="auto"/>
          <w:sz w:val="24"/>
          <w:szCs w:val="22"/>
          <w:highlight w:val="none"/>
        </w:rPr>
        <w:fldChar w:fldCharType="begin"/>
      </w:r>
      <w:r>
        <w:rPr>
          <w:rFonts w:eastAsia="宋体"/>
          <w:color w:val="auto"/>
          <w:sz w:val="24"/>
          <w:szCs w:val="22"/>
          <w:highlight w:val="none"/>
        </w:rPr>
        <w:instrText xml:space="preserve"> </w:instrText>
      </w:r>
      <w:r>
        <w:rPr>
          <w:rFonts w:hint="eastAsia" w:eastAsia="宋体"/>
          <w:color w:val="auto"/>
          <w:sz w:val="24"/>
          <w:szCs w:val="22"/>
          <w:highlight w:val="none"/>
        </w:rPr>
        <w:instrText xml:space="preserve">SEQ 表 \* ARABIC \s 2</w:instrText>
      </w:r>
      <w:r>
        <w:rPr>
          <w:rFonts w:eastAsia="宋体"/>
          <w:color w:val="auto"/>
          <w:sz w:val="24"/>
          <w:szCs w:val="22"/>
          <w:highlight w:val="none"/>
        </w:rPr>
        <w:instrText xml:space="preserve"> </w:instrText>
      </w:r>
      <w:r>
        <w:rPr>
          <w:rFonts w:eastAsia="宋体"/>
          <w:color w:val="auto"/>
          <w:sz w:val="24"/>
          <w:szCs w:val="22"/>
          <w:highlight w:val="none"/>
        </w:rPr>
        <w:fldChar w:fldCharType="separate"/>
      </w:r>
      <w:r>
        <w:rPr>
          <w:rFonts w:hint="eastAsia" w:eastAsia="宋体"/>
          <w:color w:val="auto"/>
          <w:sz w:val="24"/>
          <w:szCs w:val="22"/>
          <w:highlight w:val="none"/>
        </w:rPr>
        <w:t>10</w:t>
      </w:r>
      <w:r>
        <w:rPr>
          <w:rFonts w:eastAsia="宋体"/>
          <w:color w:val="auto"/>
          <w:sz w:val="24"/>
          <w:szCs w:val="22"/>
          <w:highlight w:val="none"/>
        </w:rPr>
        <w:fldChar w:fldCharType="end"/>
      </w:r>
      <w:bookmarkEnd w:id="239"/>
      <w:r>
        <w:rPr>
          <w:rFonts w:eastAsia="宋体" w:cs="Times New Roman"/>
          <w:color w:val="auto"/>
          <w:sz w:val="24"/>
          <w:szCs w:val="22"/>
          <w:highlight w:val="none"/>
        </w:rPr>
        <w:t>本项目副产物产生情况汇总表</w:t>
      </w:r>
      <w:bookmarkEnd w:id="240"/>
    </w:p>
    <w:tbl>
      <w:tblPr>
        <w:tblStyle w:val="45"/>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395"/>
        <w:gridCol w:w="1095"/>
        <w:gridCol w:w="1225"/>
        <w:gridCol w:w="560"/>
        <w:gridCol w:w="1243"/>
        <w:gridCol w:w="1066"/>
        <w:gridCol w:w="927"/>
        <w:gridCol w:w="927"/>
        <w:gridCol w:w="1066"/>
      </w:tblGrid>
      <w:tr w14:paraId="56D1EB6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232" w:type="pct"/>
            <w:vMerge w:val="restart"/>
            <w:tcBorders>
              <w:tl2br w:val="nil"/>
              <w:tr2bl w:val="nil"/>
            </w:tcBorders>
            <w:vAlign w:val="center"/>
          </w:tcPr>
          <w:p w14:paraId="16DA43F1">
            <w:pPr>
              <w:keepNext w:val="0"/>
              <w:keepLines w:val="0"/>
              <w:pageBreakBefore w:val="0"/>
              <w:kinsoku/>
              <w:wordWrap/>
              <w:overflowPunct/>
              <w:autoSpaceDE/>
              <w:autoSpaceDN/>
              <w:bidi w:val="0"/>
              <w:ind w:left="0" w:right="0"/>
              <w:jc w:val="center"/>
              <w:textAlignment w:val="auto"/>
              <w:rPr>
                <w:rFonts w:ascii="Times New Roman" w:hAnsi="Times New Roman" w:cs="Times New Roman"/>
                <w:b/>
                <w:bCs/>
                <w:color w:val="auto"/>
                <w:sz w:val="21"/>
                <w:szCs w:val="21"/>
                <w:highlight w:val="none"/>
              </w:rPr>
            </w:pPr>
            <w:r>
              <w:rPr>
                <w:rFonts w:ascii="Times New Roman" w:hAnsi="Times New Roman" w:cs="Times New Roman"/>
                <w:b/>
                <w:bCs/>
                <w:color w:val="auto"/>
                <w:sz w:val="21"/>
                <w:szCs w:val="21"/>
                <w:highlight w:val="none"/>
              </w:rPr>
              <w:t>序号</w:t>
            </w:r>
          </w:p>
        </w:tc>
        <w:tc>
          <w:tcPr>
            <w:tcW w:w="643" w:type="pct"/>
            <w:vMerge w:val="restart"/>
            <w:tcBorders>
              <w:tl2br w:val="nil"/>
              <w:tr2bl w:val="nil"/>
            </w:tcBorders>
            <w:vAlign w:val="center"/>
          </w:tcPr>
          <w:p w14:paraId="613CB73D">
            <w:pPr>
              <w:keepNext w:val="0"/>
              <w:keepLines w:val="0"/>
              <w:pageBreakBefore w:val="0"/>
              <w:kinsoku/>
              <w:wordWrap/>
              <w:overflowPunct/>
              <w:autoSpaceDE/>
              <w:autoSpaceDN/>
              <w:bidi w:val="0"/>
              <w:ind w:left="0" w:right="0"/>
              <w:jc w:val="center"/>
              <w:textAlignment w:val="auto"/>
              <w:rPr>
                <w:rFonts w:ascii="Times New Roman" w:hAnsi="Times New Roman" w:cs="Times New Roman"/>
                <w:b/>
                <w:bCs/>
                <w:color w:val="auto"/>
                <w:sz w:val="21"/>
                <w:szCs w:val="21"/>
                <w:highlight w:val="none"/>
              </w:rPr>
            </w:pPr>
            <w:r>
              <w:rPr>
                <w:rFonts w:ascii="Times New Roman" w:hAnsi="Times New Roman" w:cs="Times New Roman"/>
                <w:b/>
                <w:bCs/>
                <w:color w:val="auto"/>
                <w:sz w:val="21"/>
                <w:szCs w:val="21"/>
                <w:highlight w:val="none"/>
              </w:rPr>
              <w:t>副产物名称</w:t>
            </w:r>
          </w:p>
        </w:tc>
        <w:tc>
          <w:tcPr>
            <w:tcW w:w="720" w:type="pct"/>
            <w:vMerge w:val="restart"/>
            <w:tcBorders>
              <w:tl2br w:val="nil"/>
              <w:tr2bl w:val="nil"/>
            </w:tcBorders>
            <w:vAlign w:val="center"/>
          </w:tcPr>
          <w:p w14:paraId="6D3814BA">
            <w:pPr>
              <w:keepNext w:val="0"/>
              <w:keepLines w:val="0"/>
              <w:pageBreakBefore w:val="0"/>
              <w:kinsoku/>
              <w:wordWrap/>
              <w:overflowPunct/>
              <w:autoSpaceDE/>
              <w:autoSpaceDN/>
              <w:bidi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b/>
                <w:bCs/>
                <w:color w:val="auto"/>
                <w:sz w:val="21"/>
                <w:szCs w:val="21"/>
                <w:highlight w:val="none"/>
              </w:rPr>
              <w:t>产生工序</w:t>
            </w:r>
          </w:p>
        </w:tc>
        <w:tc>
          <w:tcPr>
            <w:tcW w:w="329" w:type="pct"/>
            <w:vMerge w:val="restart"/>
            <w:tcBorders>
              <w:tl2br w:val="nil"/>
              <w:tr2bl w:val="nil"/>
            </w:tcBorders>
            <w:vAlign w:val="center"/>
          </w:tcPr>
          <w:p w14:paraId="3506F543">
            <w:pPr>
              <w:keepNext w:val="0"/>
              <w:keepLines w:val="0"/>
              <w:pageBreakBefore w:val="0"/>
              <w:kinsoku/>
              <w:wordWrap/>
              <w:overflowPunct/>
              <w:autoSpaceDE/>
              <w:autoSpaceDN/>
              <w:bidi w:val="0"/>
              <w:ind w:left="0" w:right="0"/>
              <w:jc w:val="center"/>
              <w:textAlignment w:val="auto"/>
              <w:rPr>
                <w:rFonts w:ascii="Times New Roman" w:hAnsi="Times New Roman" w:cs="Times New Roman"/>
                <w:b/>
                <w:bCs/>
                <w:color w:val="auto"/>
                <w:sz w:val="21"/>
                <w:szCs w:val="21"/>
                <w:highlight w:val="none"/>
              </w:rPr>
            </w:pPr>
            <w:r>
              <w:rPr>
                <w:rFonts w:ascii="Times New Roman" w:hAnsi="Times New Roman" w:cs="Times New Roman"/>
                <w:b/>
                <w:bCs/>
                <w:color w:val="auto"/>
                <w:sz w:val="21"/>
                <w:szCs w:val="21"/>
                <w:highlight w:val="none"/>
              </w:rPr>
              <w:t>形态</w:t>
            </w:r>
          </w:p>
        </w:tc>
        <w:tc>
          <w:tcPr>
            <w:tcW w:w="730" w:type="pct"/>
            <w:vMerge w:val="restart"/>
            <w:tcBorders>
              <w:tl2br w:val="nil"/>
              <w:tr2bl w:val="nil"/>
            </w:tcBorders>
            <w:vAlign w:val="center"/>
          </w:tcPr>
          <w:p w14:paraId="0784263A">
            <w:pPr>
              <w:keepNext w:val="0"/>
              <w:keepLines w:val="0"/>
              <w:pageBreakBefore w:val="0"/>
              <w:kinsoku/>
              <w:wordWrap/>
              <w:overflowPunct/>
              <w:autoSpaceDE/>
              <w:autoSpaceDN/>
              <w:bidi w:val="0"/>
              <w:ind w:left="0" w:right="0"/>
              <w:jc w:val="center"/>
              <w:textAlignment w:val="auto"/>
              <w:rPr>
                <w:rFonts w:ascii="Times New Roman" w:hAnsi="Times New Roman" w:cs="Times New Roman"/>
                <w:b/>
                <w:bCs/>
                <w:color w:val="auto"/>
                <w:sz w:val="21"/>
                <w:szCs w:val="21"/>
                <w:highlight w:val="none"/>
              </w:rPr>
            </w:pPr>
            <w:r>
              <w:rPr>
                <w:rFonts w:ascii="Times New Roman" w:hAnsi="Times New Roman" w:cs="Times New Roman"/>
                <w:b/>
                <w:bCs/>
                <w:color w:val="auto"/>
                <w:sz w:val="21"/>
                <w:szCs w:val="21"/>
                <w:highlight w:val="none"/>
              </w:rPr>
              <w:t>主要成分</w:t>
            </w:r>
          </w:p>
        </w:tc>
        <w:tc>
          <w:tcPr>
            <w:tcW w:w="626" w:type="pct"/>
            <w:vMerge w:val="restart"/>
            <w:tcBorders>
              <w:tl2br w:val="nil"/>
              <w:tr2bl w:val="nil"/>
            </w:tcBorders>
            <w:vAlign w:val="center"/>
          </w:tcPr>
          <w:p w14:paraId="6F98AA61">
            <w:pPr>
              <w:keepNext w:val="0"/>
              <w:keepLines w:val="0"/>
              <w:pageBreakBefore w:val="0"/>
              <w:kinsoku/>
              <w:wordWrap/>
              <w:overflowPunct/>
              <w:autoSpaceDE/>
              <w:autoSpaceDN/>
              <w:bidi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b/>
                <w:bCs/>
                <w:color w:val="auto"/>
                <w:sz w:val="21"/>
                <w:szCs w:val="21"/>
                <w:highlight w:val="none"/>
              </w:rPr>
              <w:t>预测产生量(t/a)</w:t>
            </w:r>
          </w:p>
        </w:tc>
        <w:tc>
          <w:tcPr>
            <w:tcW w:w="1716" w:type="pct"/>
            <w:gridSpan w:val="3"/>
            <w:tcBorders>
              <w:tl2br w:val="nil"/>
              <w:tr2bl w:val="nil"/>
            </w:tcBorders>
            <w:vAlign w:val="center"/>
          </w:tcPr>
          <w:p w14:paraId="42743398">
            <w:pPr>
              <w:keepNext w:val="0"/>
              <w:keepLines w:val="0"/>
              <w:pageBreakBefore w:val="0"/>
              <w:kinsoku/>
              <w:wordWrap/>
              <w:overflowPunct/>
              <w:autoSpaceDE/>
              <w:autoSpaceDN/>
              <w:bidi w:val="0"/>
              <w:ind w:left="0" w:right="0"/>
              <w:jc w:val="center"/>
              <w:textAlignment w:val="auto"/>
              <w:rPr>
                <w:rFonts w:ascii="Times New Roman" w:hAnsi="Times New Roman" w:cs="Times New Roman"/>
                <w:b/>
                <w:bCs/>
                <w:color w:val="auto"/>
                <w:sz w:val="21"/>
                <w:szCs w:val="21"/>
                <w:highlight w:val="none"/>
              </w:rPr>
            </w:pPr>
            <w:r>
              <w:rPr>
                <w:rFonts w:ascii="Times New Roman" w:hAnsi="Times New Roman" w:cs="Times New Roman"/>
                <w:b/>
                <w:bCs/>
                <w:color w:val="auto"/>
                <w:sz w:val="21"/>
                <w:szCs w:val="21"/>
                <w:highlight w:val="none"/>
              </w:rPr>
              <w:t>种类判定</w:t>
            </w:r>
          </w:p>
        </w:tc>
      </w:tr>
      <w:tr w14:paraId="27FC8C3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232" w:type="pct"/>
            <w:vMerge w:val="continue"/>
            <w:tcBorders>
              <w:tl2br w:val="nil"/>
              <w:tr2bl w:val="nil"/>
            </w:tcBorders>
            <w:vAlign w:val="center"/>
          </w:tcPr>
          <w:p w14:paraId="0E39B9AF">
            <w:pPr>
              <w:keepNext w:val="0"/>
              <w:keepLines w:val="0"/>
              <w:pageBreakBefore w:val="0"/>
              <w:kinsoku/>
              <w:wordWrap/>
              <w:overflowPunct/>
              <w:autoSpaceDE/>
              <w:autoSpaceDN/>
              <w:bidi w:val="0"/>
              <w:ind w:left="0" w:right="0"/>
              <w:jc w:val="center"/>
              <w:textAlignment w:val="auto"/>
              <w:rPr>
                <w:rFonts w:ascii="Times New Roman" w:hAnsi="Times New Roman" w:cs="Times New Roman"/>
                <w:b/>
                <w:bCs/>
                <w:color w:val="auto"/>
                <w:sz w:val="21"/>
                <w:szCs w:val="21"/>
                <w:highlight w:val="none"/>
              </w:rPr>
            </w:pPr>
          </w:p>
        </w:tc>
        <w:tc>
          <w:tcPr>
            <w:tcW w:w="643" w:type="pct"/>
            <w:vMerge w:val="continue"/>
            <w:tcBorders>
              <w:tl2br w:val="nil"/>
              <w:tr2bl w:val="nil"/>
            </w:tcBorders>
            <w:vAlign w:val="center"/>
          </w:tcPr>
          <w:p w14:paraId="1C4BD2E8">
            <w:pPr>
              <w:keepNext w:val="0"/>
              <w:keepLines w:val="0"/>
              <w:pageBreakBefore w:val="0"/>
              <w:kinsoku/>
              <w:wordWrap/>
              <w:overflowPunct/>
              <w:autoSpaceDE/>
              <w:autoSpaceDN/>
              <w:bidi w:val="0"/>
              <w:ind w:left="0" w:right="0"/>
              <w:jc w:val="center"/>
              <w:textAlignment w:val="auto"/>
              <w:rPr>
                <w:rFonts w:ascii="Times New Roman" w:hAnsi="Times New Roman" w:cs="Times New Roman"/>
                <w:b/>
                <w:bCs/>
                <w:color w:val="auto"/>
                <w:sz w:val="21"/>
                <w:szCs w:val="21"/>
                <w:highlight w:val="none"/>
              </w:rPr>
            </w:pPr>
          </w:p>
        </w:tc>
        <w:tc>
          <w:tcPr>
            <w:tcW w:w="720" w:type="pct"/>
            <w:vMerge w:val="continue"/>
            <w:tcBorders>
              <w:tl2br w:val="nil"/>
              <w:tr2bl w:val="nil"/>
            </w:tcBorders>
            <w:vAlign w:val="center"/>
          </w:tcPr>
          <w:p w14:paraId="542CB37E">
            <w:pPr>
              <w:keepNext w:val="0"/>
              <w:keepLines w:val="0"/>
              <w:pageBreakBefore w:val="0"/>
              <w:kinsoku/>
              <w:wordWrap/>
              <w:overflowPunct/>
              <w:autoSpaceDE/>
              <w:autoSpaceDN/>
              <w:bidi w:val="0"/>
              <w:ind w:left="0" w:right="0"/>
              <w:jc w:val="center"/>
              <w:textAlignment w:val="auto"/>
              <w:rPr>
                <w:rFonts w:ascii="Times New Roman" w:hAnsi="Times New Roman" w:cs="Times New Roman"/>
                <w:color w:val="auto"/>
                <w:sz w:val="21"/>
                <w:szCs w:val="21"/>
                <w:highlight w:val="none"/>
              </w:rPr>
            </w:pPr>
          </w:p>
        </w:tc>
        <w:tc>
          <w:tcPr>
            <w:tcW w:w="329" w:type="pct"/>
            <w:vMerge w:val="continue"/>
            <w:tcBorders>
              <w:tl2br w:val="nil"/>
              <w:tr2bl w:val="nil"/>
            </w:tcBorders>
            <w:vAlign w:val="center"/>
          </w:tcPr>
          <w:p w14:paraId="34334EC8">
            <w:pPr>
              <w:keepNext w:val="0"/>
              <w:keepLines w:val="0"/>
              <w:pageBreakBefore w:val="0"/>
              <w:kinsoku/>
              <w:wordWrap/>
              <w:overflowPunct/>
              <w:autoSpaceDE/>
              <w:autoSpaceDN/>
              <w:bidi w:val="0"/>
              <w:ind w:left="0" w:right="0"/>
              <w:jc w:val="center"/>
              <w:textAlignment w:val="auto"/>
              <w:rPr>
                <w:rFonts w:ascii="Times New Roman" w:hAnsi="Times New Roman" w:cs="Times New Roman"/>
                <w:b/>
                <w:bCs/>
                <w:color w:val="auto"/>
                <w:sz w:val="21"/>
                <w:szCs w:val="21"/>
                <w:highlight w:val="none"/>
              </w:rPr>
            </w:pPr>
          </w:p>
        </w:tc>
        <w:tc>
          <w:tcPr>
            <w:tcW w:w="730" w:type="pct"/>
            <w:vMerge w:val="continue"/>
            <w:tcBorders>
              <w:tl2br w:val="nil"/>
              <w:tr2bl w:val="nil"/>
            </w:tcBorders>
            <w:vAlign w:val="center"/>
          </w:tcPr>
          <w:p w14:paraId="0EC098ED">
            <w:pPr>
              <w:keepNext w:val="0"/>
              <w:keepLines w:val="0"/>
              <w:pageBreakBefore w:val="0"/>
              <w:kinsoku/>
              <w:wordWrap/>
              <w:overflowPunct/>
              <w:autoSpaceDE/>
              <w:autoSpaceDN/>
              <w:bidi w:val="0"/>
              <w:ind w:left="0" w:right="0"/>
              <w:jc w:val="center"/>
              <w:textAlignment w:val="auto"/>
              <w:rPr>
                <w:rFonts w:ascii="Times New Roman" w:hAnsi="Times New Roman" w:cs="Times New Roman"/>
                <w:b/>
                <w:bCs/>
                <w:color w:val="auto"/>
                <w:sz w:val="21"/>
                <w:szCs w:val="21"/>
                <w:highlight w:val="none"/>
              </w:rPr>
            </w:pPr>
          </w:p>
        </w:tc>
        <w:tc>
          <w:tcPr>
            <w:tcW w:w="626" w:type="pct"/>
            <w:vMerge w:val="continue"/>
            <w:tcBorders>
              <w:tl2br w:val="nil"/>
              <w:tr2bl w:val="nil"/>
            </w:tcBorders>
            <w:vAlign w:val="center"/>
          </w:tcPr>
          <w:p w14:paraId="17477037">
            <w:pPr>
              <w:keepNext w:val="0"/>
              <w:keepLines w:val="0"/>
              <w:pageBreakBefore w:val="0"/>
              <w:kinsoku/>
              <w:wordWrap/>
              <w:overflowPunct/>
              <w:autoSpaceDE/>
              <w:autoSpaceDN/>
              <w:bidi w:val="0"/>
              <w:ind w:left="0" w:right="0"/>
              <w:jc w:val="center"/>
              <w:textAlignment w:val="auto"/>
              <w:rPr>
                <w:rFonts w:ascii="Times New Roman" w:hAnsi="Times New Roman" w:cs="Times New Roman"/>
                <w:color w:val="auto"/>
                <w:sz w:val="21"/>
                <w:szCs w:val="21"/>
                <w:highlight w:val="none"/>
              </w:rPr>
            </w:pPr>
          </w:p>
        </w:tc>
        <w:tc>
          <w:tcPr>
            <w:tcW w:w="545" w:type="pct"/>
            <w:tcBorders>
              <w:tl2br w:val="nil"/>
              <w:tr2bl w:val="nil"/>
            </w:tcBorders>
            <w:vAlign w:val="center"/>
          </w:tcPr>
          <w:p w14:paraId="47CB6BC0">
            <w:pPr>
              <w:keepNext w:val="0"/>
              <w:keepLines w:val="0"/>
              <w:pageBreakBefore w:val="0"/>
              <w:kinsoku/>
              <w:wordWrap/>
              <w:overflowPunct/>
              <w:autoSpaceDE/>
              <w:autoSpaceDN/>
              <w:bidi w:val="0"/>
              <w:ind w:left="0" w:right="0"/>
              <w:jc w:val="center"/>
              <w:textAlignment w:val="auto"/>
              <w:rPr>
                <w:rFonts w:ascii="Times New Roman" w:hAnsi="Times New Roman" w:cs="Times New Roman"/>
                <w:b/>
                <w:bCs/>
                <w:color w:val="auto"/>
                <w:sz w:val="21"/>
                <w:szCs w:val="21"/>
                <w:highlight w:val="none"/>
              </w:rPr>
            </w:pPr>
            <w:r>
              <w:rPr>
                <w:rFonts w:ascii="Times New Roman" w:hAnsi="Times New Roman" w:cs="Times New Roman"/>
                <w:b/>
                <w:bCs/>
                <w:color w:val="auto"/>
                <w:sz w:val="21"/>
                <w:szCs w:val="21"/>
                <w:highlight w:val="none"/>
              </w:rPr>
              <w:t>固体废物</w:t>
            </w:r>
          </w:p>
        </w:tc>
        <w:tc>
          <w:tcPr>
            <w:tcW w:w="545" w:type="pct"/>
            <w:tcBorders>
              <w:tl2br w:val="nil"/>
              <w:tr2bl w:val="nil"/>
            </w:tcBorders>
            <w:vAlign w:val="center"/>
          </w:tcPr>
          <w:p w14:paraId="5547F170">
            <w:pPr>
              <w:keepNext w:val="0"/>
              <w:keepLines w:val="0"/>
              <w:pageBreakBefore w:val="0"/>
              <w:kinsoku/>
              <w:wordWrap/>
              <w:overflowPunct/>
              <w:autoSpaceDE/>
              <w:autoSpaceDN/>
              <w:bidi w:val="0"/>
              <w:ind w:left="0" w:right="0"/>
              <w:jc w:val="center"/>
              <w:textAlignment w:val="auto"/>
              <w:rPr>
                <w:rFonts w:ascii="Times New Roman" w:hAnsi="Times New Roman" w:cs="Times New Roman"/>
                <w:b/>
                <w:bCs/>
                <w:color w:val="auto"/>
                <w:sz w:val="21"/>
                <w:szCs w:val="21"/>
                <w:highlight w:val="none"/>
              </w:rPr>
            </w:pPr>
            <w:r>
              <w:rPr>
                <w:rFonts w:ascii="Times New Roman" w:hAnsi="Times New Roman" w:cs="Times New Roman"/>
                <w:b/>
                <w:bCs/>
                <w:color w:val="auto"/>
                <w:sz w:val="21"/>
                <w:szCs w:val="21"/>
                <w:highlight w:val="none"/>
              </w:rPr>
              <w:t>副产品</w:t>
            </w:r>
          </w:p>
        </w:tc>
        <w:tc>
          <w:tcPr>
            <w:tcW w:w="626" w:type="pct"/>
            <w:tcBorders>
              <w:tl2br w:val="nil"/>
              <w:tr2bl w:val="nil"/>
            </w:tcBorders>
            <w:vAlign w:val="center"/>
          </w:tcPr>
          <w:p w14:paraId="1FF4DD9A">
            <w:pPr>
              <w:keepNext w:val="0"/>
              <w:keepLines w:val="0"/>
              <w:pageBreakBefore w:val="0"/>
              <w:kinsoku/>
              <w:wordWrap/>
              <w:overflowPunct/>
              <w:autoSpaceDE/>
              <w:autoSpaceDN/>
              <w:bidi w:val="0"/>
              <w:ind w:left="0" w:right="0"/>
              <w:jc w:val="center"/>
              <w:textAlignment w:val="auto"/>
              <w:rPr>
                <w:rFonts w:ascii="Times New Roman" w:hAnsi="Times New Roman" w:cs="Times New Roman"/>
                <w:b/>
                <w:bCs/>
                <w:color w:val="auto"/>
                <w:sz w:val="21"/>
                <w:szCs w:val="21"/>
                <w:highlight w:val="none"/>
              </w:rPr>
            </w:pPr>
            <w:r>
              <w:rPr>
                <w:rFonts w:ascii="Times New Roman" w:hAnsi="Times New Roman" w:cs="Times New Roman"/>
                <w:b/>
                <w:bCs/>
                <w:color w:val="auto"/>
                <w:sz w:val="21"/>
                <w:szCs w:val="21"/>
                <w:highlight w:val="none"/>
              </w:rPr>
              <w:t>种类判定</w:t>
            </w:r>
          </w:p>
        </w:tc>
      </w:tr>
      <w:tr w14:paraId="331BA27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232" w:type="pct"/>
            <w:tcBorders>
              <w:tl2br w:val="nil"/>
              <w:tr2bl w:val="nil"/>
            </w:tcBorders>
            <w:vAlign w:val="center"/>
          </w:tcPr>
          <w:p w14:paraId="520DA9C8">
            <w:pPr>
              <w:keepNext w:val="0"/>
              <w:keepLines w:val="0"/>
              <w:pageBreakBefore w:val="0"/>
              <w:widowControl w:val="0"/>
              <w:numPr>
                <w:ilvl w:val="0"/>
                <w:numId w:val="18"/>
              </w:numPr>
              <w:kinsoku/>
              <w:wordWrap/>
              <w:overflowPunct/>
              <w:autoSpaceDE/>
              <w:autoSpaceDN/>
              <w:bidi w:val="0"/>
              <w:ind w:left="0" w:right="0"/>
              <w:jc w:val="center"/>
              <w:textAlignment w:val="auto"/>
              <w:rPr>
                <w:rFonts w:ascii="Times New Roman" w:hAnsi="Times New Roman" w:cs="Times New Roman"/>
                <w:color w:val="auto"/>
                <w:sz w:val="21"/>
                <w:szCs w:val="21"/>
                <w:highlight w:val="none"/>
              </w:rPr>
            </w:pPr>
          </w:p>
        </w:tc>
        <w:tc>
          <w:tcPr>
            <w:tcW w:w="643" w:type="pct"/>
            <w:tcBorders>
              <w:tl2br w:val="nil"/>
              <w:tr2bl w:val="nil"/>
            </w:tcBorders>
            <w:vAlign w:val="center"/>
          </w:tcPr>
          <w:p w14:paraId="067AEBDC">
            <w:pPr>
              <w:pStyle w:val="98"/>
              <w:keepNext w:val="0"/>
              <w:keepLines w:val="0"/>
              <w:pageBreakBefore w:val="0"/>
              <w:kinsoku/>
              <w:wordWrap/>
              <w:overflowPunct/>
              <w:autoSpaceDE/>
              <w:autoSpaceDN/>
              <w:bidi w:val="0"/>
              <w:adjustRightInd w:val="0"/>
              <w:snapToGrid w:val="0"/>
              <w:ind w:left="0" w:right="0"/>
              <w:textAlignment w:val="auto"/>
              <w:rPr>
                <w:rFonts w:eastAsia="宋体"/>
                <w:color w:val="auto"/>
                <w:sz w:val="21"/>
                <w:szCs w:val="21"/>
                <w:highlight w:val="none"/>
                <w:lang w:val="en-US"/>
              </w:rPr>
            </w:pPr>
            <w:r>
              <w:rPr>
                <w:rFonts w:hint="eastAsia" w:ascii="宋体" w:hAnsi="宋体" w:eastAsia="宋体" w:cs="宋体"/>
                <w:color w:val="auto"/>
                <w:sz w:val="21"/>
                <w:szCs w:val="18"/>
                <w:highlight w:val="none"/>
                <w:lang w:val="en-US"/>
              </w:rPr>
              <w:t>废</w:t>
            </w:r>
            <w:r>
              <w:rPr>
                <w:rFonts w:hint="eastAsia"/>
                <w:color w:val="auto"/>
                <w:sz w:val="21"/>
                <w:szCs w:val="18"/>
                <w:highlight w:val="none"/>
                <w:lang w:val="en-US"/>
              </w:rPr>
              <w:t>滤芯</w:t>
            </w:r>
          </w:p>
        </w:tc>
        <w:tc>
          <w:tcPr>
            <w:tcW w:w="720" w:type="pct"/>
            <w:tcBorders>
              <w:tl2br w:val="nil"/>
              <w:tr2bl w:val="nil"/>
            </w:tcBorders>
            <w:vAlign w:val="center"/>
          </w:tcPr>
          <w:p w14:paraId="23BD2C95">
            <w:pPr>
              <w:keepNext w:val="0"/>
              <w:keepLines w:val="0"/>
              <w:pageBreakBefore w:val="0"/>
              <w:kinsoku/>
              <w:wordWrap/>
              <w:overflowPunct/>
              <w:autoSpaceDE/>
              <w:autoSpaceDN/>
              <w:bidi w:val="0"/>
              <w:ind w:left="0" w:right="0"/>
              <w:jc w:val="center"/>
              <w:textAlignment w:val="auto"/>
              <w:rPr>
                <w:color w:val="auto"/>
                <w:sz w:val="21"/>
                <w:szCs w:val="21"/>
                <w:highlight w:val="none"/>
              </w:rPr>
            </w:pPr>
            <w:r>
              <w:rPr>
                <w:rFonts w:hint="eastAsia"/>
                <w:color w:val="auto"/>
                <w:sz w:val="21"/>
                <w:szCs w:val="18"/>
                <w:highlight w:val="none"/>
              </w:rPr>
              <w:t>过滤器</w:t>
            </w:r>
          </w:p>
        </w:tc>
        <w:tc>
          <w:tcPr>
            <w:tcW w:w="329" w:type="pct"/>
            <w:tcBorders>
              <w:tl2br w:val="nil"/>
              <w:tr2bl w:val="nil"/>
            </w:tcBorders>
            <w:vAlign w:val="center"/>
          </w:tcPr>
          <w:p w14:paraId="2FF3010C">
            <w:pPr>
              <w:pStyle w:val="98"/>
              <w:keepNext w:val="0"/>
              <w:keepLines w:val="0"/>
              <w:pageBreakBefore w:val="0"/>
              <w:kinsoku/>
              <w:wordWrap/>
              <w:overflowPunct/>
              <w:autoSpaceDE/>
              <w:autoSpaceDN/>
              <w:bidi w:val="0"/>
              <w:adjustRightInd w:val="0"/>
              <w:snapToGrid w:val="0"/>
              <w:ind w:left="0" w:right="0"/>
              <w:textAlignment w:val="auto"/>
              <w:rPr>
                <w:rFonts w:eastAsia="宋体"/>
                <w:color w:val="auto"/>
                <w:sz w:val="21"/>
                <w:szCs w:val="21"/>
                <w:highlight w:val="none"/>
              </w:rPr>
            </w:pPr>
            <w:r>
              <w:rPr>
                <w:rFonts w:eastAsia="宋体"/>
                <w:color w:val="auto"/>
                <w:sz w:val="21"/>
                <w:szCs w:val="21"/>
                <w:highlight w:val="none"/>
                <w:lang w:val="en-US"/>
              </w:rPr>
              <w:t>固态</w:t>
            </w:r>
          </w:p>
        </w:tc>
        <w:tc>
          <w:tcPr>
            <w:tcW w:w="730" w:type="pct"/>
            <w:tcBorders>
              <w:tl2br w:val="nil"/>
              <w:tr2bl w:val="nil"/>
            </w:tcBorders>
            <w:vAlign w:val="center"/>
          </w:tcPr>
          <w:p w14:paraId="70E63ACD">
            <w:pPr>
              <w:keepNext w:val="0"/>
              <w:keepLines w:val="0"/>
              <w:pageBreakBefore w:val="0"/>
              <w:kinsoku/>
              <w:wordWrap/>
              <w:overflowPunct/>
              <w:autoSpaceDE/>
              <w:autoSpaceDN/>
              <w:bidi w:val="0"/>
              <w:adjustRightInd w:val="0"/>
              <w:snapToGrid w:val="0"/>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树脂、固形物等</w:t>
            </w:r>
          </w:p>
        </w:tc>
        <w:tc>
          <w:tcPr>
            <w:tcW w:w="626" w:type="pct"/>
            <w:tcBorders>
              <w:tl2br w:val="nil"/>
              <w:tr2bl w:val="nil"/>
            </w:tcBorders>
            <w:vAlign w:val="center"/>
          </w:tcPr>
          <w:p w14:paraId="1CAC0D31">
            <w:pPr>
              <w:keepNext w:val="0"/>
              <w:keepLines w:val="0"/>
              <w:pageBreakBefore w:val="0"/>
              <w:kinsoku/>
              <w:wordWrap/>
              <w:overflowPunct/>
              <w:autoSpaceDE/>
              <w:autoSpaceDN/>
              <w:bidi w:val="0"/>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2</w:t>
            </w:r>
          </w:p>
        </w:tc>
        <w:tc>
          <w:tcPr>
            <w:tcW w:w="545" w:type="pct"/>
            <w:tcBorders>
              <w:tl2br w:val="nil"/>
              <w:tr2bl w:val="nil"/>
            </w:tcBorders>
            <w:vAlign w:val="center"/>
          </w:tcPr>
          <w:p w14:paraId="47AB4A3B">
            <w:pPr>
              <w:keepNext w:val="0"/>
              <w:keepLines w:val="0"/>
              <w:pageBreakBefore w:val="0"/>
              <w:kinsoku/>
              <w:wordWrap/>
              <w:overflowPunct/>
              <w:autoSpaceDE/>
              <w:autoSpaceDN/>
              <w:bidi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w:t>
            </w:r>
          </w:p>
        </w:tc>
        <w:tc>
          <w:tcPr>
            <w:tcW w:w="545" w:type="pct"/>
            <w:tcBorders>
              <w:tl2br w:val="nil"/>
              <w:tr2bl w:val="nil"/>
            </w:tcBorders>
            <w:vAlign w:val="center"/>
          </w:tcPr>
          <w:p w14:paraId="7A0266AB">
            <w:pPr>
              <w:keepNext w:val="0"/>
              <w:keepLines w:val="0"/>
              <w:pageBreakBefore w:val="0"/>
              <w:kinsoku/>
              <w:wordWrap/>
              <w:overflowPunct/>
              <w:autoSpaceDE/>
              <w:autoSpaceDN/>
              <w:bidi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w:t>
            </w:r>
          </w:p>
        </w:tc>
        <w:tc>
          <w:tcPr>
            <w:tcW w:w="626" w:type="pct"/>
            <w:vMerge w:val="restart"/>
            <w:tcBorders>
              <w:tl2br w:val="nil"/>
              <w:tr2bl w:val="nil"/>
            </w:tcBorders>
            <w:vAlign w:val="center"/>
          </w:tcPr>
          <w:p w14:paraId="31E12B5B">
            <w:pPr>
              <w:keepNext w:val="0"/>
              <w:keepLines w:val="0"/>
              <w:pageBreakBefore w:val="0"/>
              <w:kinsoku/>
              <w:wordWrap/>
              <w:overflowPunct/>
              <w:topLinePunct/>
              <w:autoSpaceDE/>
              <w:autoSpaceDN/>
              <w:bidi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《固体废物鉴别标准通则（GB34330-2017）》</w:t>
            </w:r>
          </w:p>
        </w:tc>
      </w:tr>
      <w:tr w14:paraId="5F3E875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232" w:type="pct"/>
            <w:tcBorders>
              <w:tl2br w:val="nil"/>
              <w:tr2bl w:val="nil"/>
            </w:tcBorders>
            <w:vAlign w:val="center"/>
          </w:tcPr>
          <w:p w14:paraId="632931B5">
            <w:pPr>
              <w:keepNext w:val="0"/>
              <w:keepLines w:val="0"/>
              <w:pageBreakBefore w:val="0"/>
              <w:widowControl w:val="0"/>
              <w:numPr>
                <w:ilvl w:val="0"/>
                <w:numId w:val="18"/>
              </w:numPr>
              <w:kinsoku/>
              <w:wordWrap/>
              <w:overflowPunct/>
              <w:autoSpaceDE/>
              <w:autoSpaceDN/>
              <w:bidi w:val="0"/>
              <w:ind w:left="0" w:right="0"/>
              <w:jc w:val="center"/>
              <w:textAlignment w:val="auto"/>
              <w:rPr>
                <w:rFonts w:ascii="Times New Roman" w:hAnsi="Times New Roman" w:cs="Times New Roman"/>
                <w:color w:val="auto"/>
                <w:sz w:val="21"/>
                <w:szCs w:val="21"/>
                <w:highlight w:val="none"/>
              </w:rPr>
            </w:pPr>
          </w:p>
        </w:tc>
        <w:tc>
          <w:tcPr>
            <w:tcW w:w="643" w:type="pct"/>
            <w:tcBorders>
              <w:tl2br w:val="nil"/>
              <w:tr2bl w:val="nil"/>
            </w:tcBorders>
            <w:vAlign w:val="center"/>
          </w:tcPr>
          <w:p w14:paraId="64F9AFF8">
            <w:pPr>
              <w:keepNext w:val="0"/>
              <w:keepLines w:val="0"/>
              <w:pageBreakBefore w:val="0"/>
              <w:kinsoku/>
              <w:wordWrap/>
              <w:overflowPunct/>
              <w:autoSpaceDE/>
              <w:autoSpaceDN/>
              <w:bidi w:val="0"/>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18"/>
                <w:highlight w:val="none"/>
              </w:rPr>
              <w:t>实验废液</w:t>
            </w:r>
          </w:p>
        </w:tc>
        <w:tc>
          <w:tcPr>
            <w:tcW w:w="720" w:type="pct"/>
            <w:vMerge w:val="restart"/>
            <w:tcBorders>
              <w:tl2br w:val="nil"/>
              <w:tr2bl w:val="nil"/>
            </w:tcBorders>
            <w:vAlign w:val="center"/>
          </w:tcPr>
          <w:p w14:paraId="5E901AC8">
            <w:pPr>
              <w:keepNext w:val="0"/>
              <w:keepLines w:val="0"/>
              <w:pageBreakBefore w:val="0"/>
              <w:kinsoku/>
              <w:wordWrap/>
              <w:overflowPunct/>
              <w:autoSpaceDE/>
              <w:autoSpaceDN/>
              <w:bidi w:val="0"/>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实验</w:t>
            </w:r>
          </w:p>
        </w:tc>
        <w:tc>
          <w:tcPr>
            <w:tcW w:w="329" w:type="pct"/>
            <w:tcBorders>
              <w:tl2br w:val="nil"/>
              <w:tr2bl w:val="nil"/>
            </w:tcBorders>
            <w:vAlign w:val="center"/>
          </w:tcPr>
          <w:p w14:paraId="3E1A65F0">
            <w:pPr>
              <w:pStyle w:val="98"/>
              <w:keepNext w:val="0"/>
              <w:keepLines w:val="0"/>
              <w:pageBreakBefore w:val="0"/>
              <w:kinsoku/>
              <w:wordWrap/>
              <w:overflowPunct/>
              <w:autoSpaceDE/>
              <w:autoSpaceDN/>
              <w:bidi w:val="0"/>
              <w:adjustRightInd w:val="0"/>
              <w:snapToGrid w:val="0"/>
              <w:ind w:left="0" w:right="0"/>
              <w:textAlignment w:val="auto"/>
              <w:rPr>
                <w:rFonts w:eastAsia="宋体"/>
                <w:color w:val="auto"/>
                <w:sz w:val="21"/>
                <w:szCs w:val="21"/>
                <w:highlight w:val="none"/>
              </w:rPr>
            </w:pPr>
            <w:r>
              <w:rPr>
                <w:rFonts w:hint="eastAsia" w:eastAsia="宋体"/>
                <w:color w:val="auto"/>
                <w:sz w:val="21"/>
                <w:szCs w:val="21"/>
                <w:highlight w:val="none"/>
                <w:lang w:val="en-US"/>
              </w:rPr>
              <w:t>液</w:t>
            </w:r>
            <w:r>
              <w:rPr>
                <w:rFonts w:eastAsia="宋体"/>
                <w:color w:val="auto"/>
                <w:sz w:val="21"/>
                <w:szCs w:val="21"/>
                <w:highlight w:val="none"/>
                <w:lang w:val="en-US"/>
              </w:rPr>
              <w:t>态</w:t>
            </w:r>
          </w:p>
        </w:tc>
        <w:tc>
          <w:tcPr>
            <w:tcW w:w="730" w:type="pct"/>
            <w:tcBorders>
              <w:tl2br w:val="nil"/>
              <w:tr2bl w:val="nil"/>
            </w:tcBorders>
            <w:vAlign w:val="center"/>
          </w:tcPr>
          <w:p w14:paraId="1D85E224">
            <w:pPr>
              <w:pStyle w:val="98"/>
              <w:keepNext w:val="0"/>
              <w:keepLines w:val="0"/>
              <w:pageBreakBefore w:val="0"/>
              <w:kinsoku/>
              <w:wordWrap/>
              <w:overflowPunct/>
              <w:autoSpaceDE/>
              <w:autoSpaceDN/>
              <w:bidi w:val="0"/>
              <w:adjustRightInd w:val="0"/>
              <w:snapToGrid w:val="0"/>
              <w:ind w:left="0" w:right="0"/>
              <w:textAlignment w:val="auto"/>
              <w:rPr>
                <w:rFonts w:eastAsia="宋体"/>
                <w:color w:val="auto"/>
                <w:sz w:val="21"/>
                <w:szCs w:val="21"/>
                <w:highlight w:val="none"/>
                <w:lang w:val="en-US"/>
              </w:rPr>
            </w:pPr>
            <w:r>
              <w:rPr>
                <w:rFonts w:hint="eastAsia" w:eastAsia="宋体"/>
                <w:color w:val="auto"/>
                <w:sz w:val="21"/>
                <w:szCs w:val="21"/>
                <w:highlight w:val="none"/>
                <w:lang w:val="en-US"/>
              </w:rPr>
              <w:t>化学试剂等</w:t>
            </w:r>
          </w:p>
        </w:tc>
        <w:tc>
          <w:tcPr>
            <w:tcW w:w="626" w:type="pct"/>
            <w:tcBorders>
              <w:tl2br w:val="nil"/>
              <w:tr2bl w:val="nil"/>
            </w:tcBorders>
            <w:vAlign w:val="center"/>
          </w:tcPr>
          <w:p w14:paraId="74FE7D32">
            <w:pPr>
              <w:keepNext w:val="0"/>
              <w:keepLines w:val="0"/>
              <w:pageBreakBefore w:val="0"/>
              <w:kinsoku/>
              <w:wordWrap/>
              <w:overflowPunct/>
              <w:autoSpaceDE/>
              <w:autoSpaceDN/>
              <w:bidi w:val="0"/>
              <w:ind w:left="0" w:right="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0.02</w:t>
            </w:r>
          </w:p>
        </w:tc>
        <w:tc>
          <w:tcPr>
            <w:tcW w:w="545" w:type="pct"/>
            <w:tcBorders>
              <w:tl2br w:val="nil"/>
              <w:tr2bl w:val="nil"/>
            </w:tcBorders>
            <w:vAlign w:val="center"/>
          </w:tcPr>
          <w:p w14:paraId="3701F9F4">
            <w:pPr>
              <w:keepNext w:val="0"/>
              <w:keepLines w:val="0"/>
              <w:pageBreakBefore w:val="0"/>
              <w:kinsoku/>
              <w:wordWrap/>
              <w:overflowPunct/>
              <w:autoSpaceDE/>
              <w:autoSpaceDN/>
              <w:bidi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w:t>
            </w:r>
          </w:p>
        </w:tc>
        <w:tc>
          <w:tcPr>
            <w:tcW w:w="545" w:type="pct"/>
            <w:tcBorders>
              <w:tl2br w:val="nil"/>
              <w:tr2bl w:val="nil"/>
            </w:tcBorders>
            <w:vAlign w:val="center"/>
          </w:tcPr>
          <w:p w14:paraId="3F9D7078">
            <w:pPr>
              <w:keepNext w:val="0"/>
              <w:keepLines w:val="0"/>
              <w:pageBreakBefore w:val="0"/>
              <w:kinsoku/>
              <w:wordWrap/>
              <w:overflowPunct/>
              <w:autoSpaceDE/>
              <w:autoSpaceDN/>
              <w:bidi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w:t>
            </w:r>
          </w:p>
        </w:tc>
        <w:tc>
          <w:tcPr>
            <w:tcW w:w="626" w:type="pct"/>
            <w:vMerge w:val="continue"/>
            <w:tcBorders>
              <w:tl2br w:val="nil"/>
              <w:tr2bl w:val="nil"/>
            </w:tcBorders>
            <w:vAlign w:val="center"/>
          </w:tcPr>
          <w:p w14:paraId="290FA72E">
            <w:pPr>
              <w:keepNext w:val="0"/>
              <w:keepLines w:val="0"/>
              <w:pageBreakBefore w:val="0"/>
              <w:kinsoku/>
              <w:wordWrap/>
              <w:overflowPunct/>
              <w:autoSpaceDE/>
              <w:autoSpaceDN/>
              <w:bidi w:val="0"/>
              <w:ind w:left="0" w:right="0"/>
              <w:jc w:val="center"/>
              <w:textAlignment w:val="auto"/>
              <w:rPr>
                <w:rFonts w:ascii="Times New Roman" w:hAnsi="Times New Roman" w:cs="Times New Roman"/>
                <w:color w:val="auto"/>
                <w:sz w:val="21"/>
                <w:szCs w:val="21"/>
                <w:highlight w:val="none"/>
              </w:rPr>
            </w:pPr>
          </w:p>
        </w:tc>
      </w:tr>
      <w:tr w14:paraId="49D3AD4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232" w:type="pct"/>
            <w:tcBorders>
              <w:tl2br w:val="nil"/>
              <w:tr2bl w:val="nil"/>
            </w:tcBorders>
            <w:vAlign w:val="center"/>
          </w:tcPr>
          <w:p w14:paraId="0D8D0CDD">
            <w:pPr>
              <w:keepNext w:val="0"/>
              <w:keepLines w:val="0"/>
              <w:pageBreakBefore w:val="0"/>
              <w:widowControl w:val="0"/>
              <w:numPr>
                <w:ilvl w:val="0"/>
                <w:numId w:val="18"/>
              </w:numPr>
              <w:kinsoku/>
              <w:wordWrap/>
              <w:overflowPunct/>
              <w:autoSpaceDE/>
              <w:autoSpaceDN/>
              <w:bidi w:val="0"/>
              <w:ind w:left="0" w:right="0"/>
              <w:jc w:val="center"/>
              <w:textAlignment w:val="auto"/>
              <w:rPr>
                <w:rFonts w:ascii="Times New Roman" w:hAnsi="Times New Roman" w:cs="Times New Roman"/>
                <w:color w:val="auto"/>
                <w:sz w:val="21"/>
                <w:szCs w:val="21"/>
                <w:highlight w:val="none"/>
              </w:rPr>
            </w:pPr>
          </w:p>
        </w:tc>
        <w:tc>
          <w:tcPr>
            <w:tcW w:w="643" w:type="pct"/>
            <w:tcBorders>
              <w:tl2br w:val="nil"/>
              <w:tr2bl w:val="nil"/>
            </w:tcBorders>
            <w:vAlign w:val="center"/>
          </w:tcPr>
          <w:p w14:paraId="7D8A5EDF">
            <w:pPr>
              <w:keepNext w:val="0"/>
              <w:keepLines w:val="0"/>
              <w:pageBreakBefore w:val="0"/>
              <w:kinsoku/>
              <w:wordWrap/>
              <w:overflowPunct/>
              <w:autoSpaceDE/>
              <w:autoSpaceDN/>
              <w:bidi w:val="0"/>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18"/>
                <w:highlight w:val="none"/>
              </w:rPr>
              <w:t>废实验耗材</w:t>
            </w:r>
          </w:p>
        </w:tc>
        <w:tc>
          <w:tcPr>
            <w:tcW w:w="720" w:type="pct"/>
            <w:vMerge w:val="continue"/>
            <w:tcBorders>
              <w:tl2br w:val="nil"/>
              <w:tr2bl w:val="nil"/>
            </w:tcBorders>
            <w:vAlign w:val="center"/>
          </w:tcPr>
          <w:p w14:paraId="14796AAC">
            <w:pPr>
              <w:keepNext w:val="0"/>
              <w:keepLines w:val="0"/>
              <w:pageBreakBefore w:val="0"/>
              <w:kinsoku/>
              <w:wordWrap/>
              <w:overflowPunct/>
              <w:autoSpaceDE/>
              <w:autoSpaceDN/>
              <w:bidi w:val="0"/>
              <w:ind w:left="0" w:right="0"/>
              <w:jc w:val="center"/>
              <w:textAlignment w:val="auto"/>
              <w:rPr>
                <w:color w:val="auto"/>
                <w:sz w:val="21"/>
                <w:szCs w:val="21"/>
                <w:highlight w:val="none"/>
              </w:rPr>
            </w:pPr>
          </w:p>
        </w:tc>
        <w:tc>
          <w:tcPr>
            <w:tcW w:w="329" w:type="pct"/>
            <w:tcBorders>
              <w:tl2br w:val="nil"/>
              <w:tr2bl w:val="nil"/>
            </w:tcBorders>
            <w:vAlign w:val="center"/>
          </w:tcPr>
          <w:p w14:paraId="67C4320A">
            <w:pPr>
              <w:pStyle w:val="98"/>
              <w:keepNext w:val="0"/>
              <w:keepLines w:val="0"/>
              <w:pageBreakBefore w:val="0"/>
              <w:kinsoku/>
              <w:wordWrap/>
              <w:overflowPunct/>
              <w:autoSpaceDE/>
              <w:autoSpaceDN/>
              <w:bidi w:val="0"/>
              <w:adjustRightInd w:val="0"/>
              <w:snapToGrid w:val="0"/>
              <w:ind w:left="0" w:right="0"/>
              <w:textAlignment w:val="auto"/>
              <w:rPr>
                <w:rFonts w:eastAsia="宋体"/>
                <w:color w:val="auto"/>
                <w:sz w:val="21"/>
                <w:szCs w:val="21"/>
                <w:highlight w:val="none"/>
              </w:rPr>
            </w:pPr>
            <w:r>
              <w:rPr>
                <w:rFonts w:eastAsia="宋体"/>
                <w:color w:val="auto"/>
                <w:sz w:val="21"/>
                <w:szCs w:val="21"/>
                <w:highlight w:val="none"/>
                <w:lang w:val="en-US"/>
              </w:rPr>
              <w:t>固态</w:t>
            </w:r>
          </w:p>
        </w:tc>
        <w:tc>
          <w:tcPr>
            <w:tcW w:w="730" w:type="pct"/>
            <w:tcBorders>
              <w:tl2br w:val="nil"/>
              <w:tr2bl w:val="nil"/>
            </w:tcBorders>
            <w:vAlign w:val="center"/>
          </w:tcPr>
          <w:p w14:paraId="606562FC">
            <w:pPr>
              <w:pStyle w:val="98"/>
              <w:keepNext w:val="0"/>
              <w:keepLines w:val="0"/>
              <w:pageBreakBefore w:val="0"/>
              <w:kinsoku/>
              <w:wordWrap/>
              <w:overflowPunct/>
              <w:autoSpaceDE/>
              <w:autoSpaceDN/>
              <w:bidi w:val="0"/>
              <w:adjustRightInd w:val="0"/>
              <w:snapToGrid w:val="0"/>
              <w:ind w:left="0" w:right="0"/>
              <w:textAlignment w:val="auto"/>
              <w:rPr>
                <w:rFonts w:eastAsia="宋体"/>
                <w:color w:val="auto"/>
                <w:sz w:val="21"/>
                <w:szCs w:val="21"/>
                <w:highlight w:val="none"/>
                <w:lang w:val="en-US"/>
              </w:rPr>
            </w:pPr>
            <w:r>
              <w:rPr>
                <w:rFonts w:hint="eastAsia" w:eastAsia="宋体"/>
                <w:color w:val="auto"/>
                <w:sz w:val="21"/>
                <w:szCs w:val="21"/>
                <w:highlight w:val="none"/>
                <w:lang w:val="en-US"/>
              </w:rPr>
              <w:t>玻璃、化学试剂</w:t>
            </w:r>
          </w:p>
        </w:tc>
        <w:tc>
          <w:tcPr>
            <w:tcW w:w="626" w:type="pct"/>
            <w:tcBorders>
              <w:tl2br w:val="nil"/>
              <w:tr2bl w:val="nil"/>
            </w:tcBorders>
            <w:vAlign w:val="center"/>
          </w:tcPr>
          <w:p w14:paraId="2F1B9430">
            <w:pPr>
              <w:keepNext w:val="0"/>
              <w:keepLines w:val="0"/>
              <w:pageBreakBefore w:val="0"/>
              <w:kinsoku/>
              <w:wordWrap/>
              <w:overflowPunct/>
              <w:autoSpaceDE/>
              <w:autoSpaceDN/>
              <w:bidi w:val="0"/>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0.5</w:t>
            </w:r>
          </w:p>
        </w:tc>
        <w:tc>
          <w:tcPr>
            <w:tcW w:w="545" w:type="pct"/>
            <w:tcBorders>
              <w:tl2br w:val="nil"/>
              <w:tr2bl w:val="nil"/>
            </w:tcBorders>
            <w:vAlign w:val="center"/>
          </w:tcPr>
          <w:p w14:paraId="13394DFA">
            <w:pPr>
              <w:keepNext w:val="0"/>
              <w:keepLines w:val="0"/>
              <w:pageBreakBefore w:val="0"/>
              <w:kinsoku/>
              <w:wordWrap/>
              <w:overflowPunct/>
              <w:autoSpaceDE/>
              <w:autoSpaceDN/>
              <w:bidi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w:t>
            </w:r>
          </w:p>
        </w:tc>
        <w:tc>
          <w:tcPr>
            <w:tcW w:w="545" w:type="pct"/>
            <w:tcBorders>
              <w:tl2br w:val="nil"/>
              <w:tr2bl w:val="nil"/>
            </w:tcBorders>
            <w:vAlign w:val="center"/>
          </w:tcPr>
          <w:p w14:paraId="11D43A40">
            <w:pPr>
              <w:keepNext w:val="0"/>
              <w:keepLines w:val="0"/>
              <w:pageBreakBefore w:val="0"/>
              <w:kinsoku/>
              <w:wordWrap/>
              <w:overflowPunct/>
              <w:autoSpaceDE/>
              <w:autoSpaceDN/>
              <w:bidi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w:t>
            </w:r>
          </w:p>
        </w:tc>
        <w:tc>
          <w:tcPr>
            <w:tcW w:w="626" w:type="pct"/>
            <w:vMerge w:val="continue"/>
            <w:tcBorders>
              <w:tl2br w:val="nil"/>
              <w:tr2bl w:val="nil"/>
            </w:tcBorders>
            <w:vAlign w:val="center"/>
          </w:tcPr>
          <w:p w14:paraId="346F9C81">
            <w:pPr>
              <w:keepNext w:val="0"/>
              <w:keepLines w:val="0"/>
              <w:pageBreakBefore w:val="0"/>
              <w:kinsoku/>
              <w:wordWrap/>
              <w:overflowPunct/>
              <w:autoSpaceDE/>
              <w:autoSpaceDN/>
              <w:bidi w:val="0"/>
              <w:ind w:left="0" w:right="0"/>
              <w:jc w:val="center"/>
              <w:textAlignment w:val="auto"/>
              <w:rPr>
                <w:rFonts w:ascii="Times New Roman" w:hAnsi="Times New Roman" w:cs="Times New Roman"/>
                <w:color w:val="auto"/>
                <w:sz w:val="21"/>
                <w:szCs w:val="21"/>
                <w:highlight w:val="none"/>
              </w:rPr>
            </w:pPr>
          </w:p>
        </w:tc>
      </w:tr>
      <w:tr w14:paraId="209EEE7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232" w:type="pct"/>
            <w:tcBorders>
              <w:tl2br w:val="nil"/>
              <w:tr2bl w:val="nil"/>
            </w:tcBorders>
            <w:vAlign w:val="center"/>
          </w:tcPr>
          <w:p w14:paraId="14EA326A">
            <w:pPr>
              <w:keepNext w:val="0"/>
              <w:keepLines w:val="0"/>
              <w:pageBreakBefore w:val="0"/>
              <w:widowControl w:val="0"/>
              <w:numPr>
                <w:ilvl w:val="0"/>
                <w:numId w:val="18"/>
              </w:numPr>
              <w:kinsoku/>
              <w:wordWrap/>
              <w:overflowPunct/>
              <w:autoSpaceDE/>
              <w:autoSpaceDN/>
              <w:bidi w:val="0"/>
              <w:ind w:left="0" w:right="0"/>
              <w:jc w:val="center"/>
              <w:textAlignment w:val="auto"/>
              <w:rPr>
                <w:rFonts w:ascii="Times New Roman" w:hAnsi="Times New Roman" w:cs="Times New Roman"/>
                <w:color w:val="auto"/>
                <w:sz w:val="21"/>
                <w:szCs w:val="21"/>
                <w:highlight w:val="none"/>
              </w:rPr>
            </w:pPr>
          </w:p>
        </w:tc>
        <w:tc>
          <w:tcPr>
            <w:tcW w:w="643" w:type="pct"/>
            <w:tcBorders>
              <w:tl2br w:val="nil"/>
              <w:tr2bl w:val="nil"/>
            </w:tcBorders>
            <w:vAlign w:val="center"/>
          </w:tcPr>
          <w:p w14:paraId="2C60C5E7">
            <w:pPr>
              <w:keepNext w:val="0"/>
              <w:keepLines w:val="0"/>
              <w:pageBreakBefore w:val="0"/>
              <w:kinsoku/>
              <w:wordWrap/>
              <w:overflowPunct/>
              <w:autoSpaceDE/>
              <w:autoSpaceDN/>
              <w:bidi w:val="0"/>
              <w:ind w:left="0" w:right="0"/>
              <w:jc w:val="center"/>
              <w:textAlignment w:val="auto"/>
              <w:rPr>
                <w:rFonts w:ascii="Times New Roman" w:hAnsi="Times New Roman" w:cs="Times New Roman"/>
                <w:color w:val="auto"/>
                <w:sz w:val="21"/>
                <w:szCs w:val="18"/>
                <w:highlight w:val="none"/>
              </w:rPr>
            </w:pPr>
            <w:r>
              <w:rPr>
                <w:rFonts w:hint="eastAsia" w:ascii="Times New Roman" w:hAnsi="Times New Roman" w:cs="Times New Roman"/>
                <w:color w:val="auto"/>
                <w:sz w:val="21"/>
                <w:szCs w:val="18"/>
                <w:highlight w:val="none"/>
              </w:rPr>
              <w:t>废过滤介质</w:t>
            </w:r>
          </w:p>
        </w:tc>
        <w:tc>
          <w:tcPr>
            <w:tcW w:w="720" w:type="pct"/>
            <w:vMerge w:val="restart"/>
            <w:tcBorders>
              <w:tl2br w:val="nil"/>
              <w:tr2bl w:val="nil"/>
            </w:tcBorders>
            <w:vAlign w:val="center"/>
          </w:tcPr>
          <w:p w14:paraId="59EA3B55">
            <w:pPr>
              <w:keepNext w:val="0"/>
              <w:keepLines w:val="0"/>
              <w:pageBreakBefore w:val="0"/>
              <w:kinsoku/>
              <w:wordWrap/>
              <w:overflowPunct/>
              <w:autoSpaceDE/>
              <w:autoSpaceDN/>
              <w:bidi w:val="0"/>
              <w:ind w:left="0" w:right="0"/>
              <w:jc w:val="center"/>
              <w:textAlignment w:val="auto"/>
              <w:rPr>
                <w:color w:val="auto"/>
                <w:sz w:val="21"/>
                <w:szCs w:val="18"/>
                <w:highlight w:val="none"/>
              </w:rPr>
            </w:pPr>
            <w:r>
              <w:rPr>
                <w:rFonts w:hint="eastAsia"/>
                <w:color w:val="auto"/>
                <w:sz w:val="21"/>
                <w:szCs w:val="18"/>
                <w:highlight w:val="none"/>
              </w:rPr>
              <w:t>超纯水制备</w:t>
            </w:r>
          </w:p>
        </w:tc>
        <w:tc>
          <w:tcPr>
            <w:tcW w:w="329" w:type="pct"/>
            <w:tcBorders>
              <w:tl2br w:val="nil"/>
              <w:tr2bl w:val="nil"/>
            </w:tcBorders>
            <w:vAlign w:val="center"/>
          </w:tcPr>
          <w:p w14:paraId="0E24D8F4">
            <w:pPr>
              <w:pStyle w:val="98"/>
              <w:keepNext w:val="0"/>
              <w:keepLines w:val="0"/>
              <w:pageBreakBefore w:val="0"/>
              <w:kinsoku/>
              <w:wordWrap/>
              <w:overflowPunct/>
              <w:autoSpaceDE/>
              <w:autoSpaceDN/>
              <w:bidi w:val="0"/>
              <w:adjustRightInd w:val="0"/>
              <w:snapToGrid w:val="0"/>
              <w:ind w:left="0" w:right="0"/>
              <w:textAlignment w:val="auto"/>
              <w:rPr>
                <w:rFonts w:eastAsia="宋体"/>
                <w:color w:val="auto"/>
                <w:sz w:val="21"/>
                <w:szCs w:val="21"/>
                <w:highlight w:val="none"/>
                <w:lang w:val="en-US"/>
              </w:rPr>
            </w:pPr>
            <w:r>
              <w:rPr>
                <w:rFonts w:eastAsia="宋体"/>
                <w:color w:val="auto"/>
                <w:sz w:val="21"/>
                <w:szCs w:val="21"/>
                <w:highlight w:val="none"/>
                <w:lang w:val="en-US"/>
              </w:rPr>
              <w:t>固态</w:t>
            </w:r>
          </w:p>
        </w:tc>
        <w:tc>
          <w:tcPr>
            <w:tcW w:w="730" w:type="pct"/>
            <w:tcBorders>
              <w:tl2br w:val="nil"/>
              <w:tr2bl w:val="nil"/>
            </w:tcBorders>
            <w:vAlign w:val="center"/>
          </w:tcPr>
          <w:p w14:paraId="1AC306A4">
            <w:pPr>
              <w:pStyle w:val="98"/>
              <w:keepNext w:val="0"/>
              <w:keepLines w:val="0"/>
              <w:pageBreakBefore w:val="0"/>
              <w:kinsoku/>
              <w:wordWrap/>
              <w:overflowPunct/>
              <w:autoSpaceDE/>
              <w:autoSpaceDN/>
              <w:bidi w:val="0"/>
              <w:adjustRightInd w:val="0"/>
              <w:snapToGrid w:val="0"/>
              <w:ind w:left="0" w:right="0"/>
              <w:textAlignment w:val="auto"/>
              <w:rPr>
                <w:rFonts w:eastAsia="宋体"/>
                <w:color w:val="auto"/>
                <w:sz w:val="21"/>
                <w:szCs w:val="21"/>
                <w:highlight w:val="none"/>
                <w:lang w:val="en-US"/>
              </w:rPr>
            </w:pPr>
            <w:r>
              <w:rPr>
                <w:rFonts w:hint="eastAsia" w:eastAsia="宋体"/>
                <w:color w:val="auto"/>
                <w:sz w:val="21"/>
                <w:szCs w:val="21"/>
                <w:highlight w:val="none"/>
                <w:lang w:val="en-US"/>
              </w:rPr>
              <w:t>塑料、砂等</w:t>
            </w:r>
          </w:p>
        </w:tc>
        <w:tc>
          <w:tcPr>
            <w:tcW w:w="626" w:type="pct"/>
            <w:tcBorders>
              <w:tl2br w:val="nil"/>
              <w:tr2bl w:val="nil"/>
            </w:tcBorders>
            <w:vAlign w:val="center"/>
          </w:tcPr>
          <w:p w14:paraId="75C69B92">
            <w:pPr>
              <w:keepNext w:val="0"/>
              <w:keepLines w:val="0"/>
              <w:pageBreakBefore w:val="0"/>
              <w:kinsoku/>
              <w:wordWrap/>
              <w:overflowPunct/>
              <w:autoSpaceDE/>
              <w:autoSpaceDN/>
              <w:bidi w:val="0"/>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2</w:t>
            </w:r>
          </w:p>
        </w:tc>
        <w:tc>
          <w:tcPr>
            <w:tcW w:w="545" w:type="pct"/>
            <w:tcBorders>
              <w:tl2br w:val="nil"/>
              <w:tr2bl w:val="nil"/>
            </w:tcBorders>
            <w:vAlign w:val="center"/>
          </w:tcPr>
          <w:p w14:paraId="0A555BDA">
            <w:pPr>
              <w:keepNext w:val="0"/>
              <w:keepLines w:val="0"/>
              <w:pageBreakBefore w:val="0"/>
              <w:kinsoku/>
              <w:wordWrap/>
              <w:overflowPunct/>
              <w:autoSpaceDE/>
              <w:autoSpaceDN/>
              <w:bidi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w:t>
            </w:r>
          </w:p>
        </w:tc>
        <w:tc>
          <w:tcPr>
            <w:tcW w:w="545" w:type="pct"/>
            <w:tcBorders>
              <w:tl2br w:val="nil"/>
              <w:tr2bl w:val="nil"/>
            </w:tcBorders>
            <w:vAlign w:val="center"/>
          </w:tcPr>
          <w:p w14:paraId="448AF167">
            <w:pPr>
              <w:keepNext w:val="0"/>
              <w:keepLines w:val="0"/>
              <w:pageBreakBefore w:val="0"/>
              <w:kinsoku/>
              <w:wordWrap/>
              <w:overflowPunct/>
              <w:autoSpaceDE/>
              <w:autoSpaceDN/>
              <w:bidi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w:t>
            </w:r>
          </w:p>
        </w:tc>
        <w:tc>
          <w:tcPr>
            <w:tcW w:w="626" w:type="pct"/>
            <w:vMerge w:val="continue"/>
            <w:tcBorders>
              <w:tl2br w:val="nil"/>
              <w:tr2bl w:val="nil"/>
            </w:tcBorders>
            <w:vAlign w:val="center"/>
          </w:tcPr>
          <w:p w14:paraId="4FF00F63">
            <w:pPr>
              <w:keepNext w:val="0"/>
              <w:keepLines w:val="0"/>
              <w:pageBreakBefore w:val="0"/>
              <w:kinsoku/>
              <w:wordWrap/>
              <w:overflowPunct/>
              <w:autoSpaceDE/>
              <w:autoSpaceDN/>
              <w:bidi w:val="0"/>
              <w:ind w:left="0" w:right="0"/>
              <w:jc w:val="center"/>
              <w:textAlignment w:val="auto"/>
              <w:rPr>
                <w:rFonts w:ascii="Times New Roman" w:hAnsi="Times New Roman" w:cs="Times New Roman"/>
                <w:color w:val="auto"/>
                <w:sz w:val="21"/>
                <w:szCs w:val="21"/>
                <w:highlight w:val="none"/>
              </w:rPr>
            </w:pPr>
          </w:p>
        </w:tc>
      </w:tr>
      <w:tr w14:paraId="60C5781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232" w:type="pct"/>
            <w:tcBorders>
              <w:tl2br w:val="nil"/>
              <w:tr2bl w:val="nil"/>
            </w:tcBorders>
            <w:vAlign w:val="center"/>
          </w:tcPr>
          <w:p w14:paraId="179ECEB1">
            <w:pPr>
              <w:keepNext w:val="0"/>
              <w:keepLines w:val="0"/>
              <w:pageBreakBefore w:val="0"/>
              <w:widowControl w:val="0"/>
              <w:numPr>
                <w:ilvl w:val="0"/>
                <w:numId w:val="18"/>
              </w:numPr>
              <w:kinsoku/>
              <w:wordWrap/>
              <w:overflowPunct/>
              <w:autoSpaceDE/>
              <w:autoSpaceDN/>
              <w:bidi w:val="0"/>
              <w:ind w:left="0" w:right="0"/>
              <w:jc w:val="center"/>
              <w:textAlignment w:val="auto"/>
              <w:rPr>
                <w:rFonts w:ascii="Times New Roman" w:hAnsi="Times New Roman" w:cs="Times New Roman"/>
                <w:color w:val="auto"/>
                <w:sz w:val="21"/>
                <w:szCs w:val="21"/>
                <w:highlight w:val="none"/>
              </w:rPr>
            </w:pPr>
          </w:p>
        </w:tc>
        <w:tc>
          <w:tcPr>
            <w:tcW w:w="643" w:type="pct"/>
            <w:tcBorders>
              <w:tl2br w:val="nil"/>
              <w:tr2bl w:val="nil"/>
            </w:tcBorders>
            <w:vAlign w:val="center"/>
          </w:tcPr>
          <w:p w14:paraId="5F081E5B">
            <w:pPr>
              <w:keepNext w:val="0"/>
              <w:keepLines w:val="0"/>
              <w:pageBreakBefore w:val="0"/>
              <w:kinsoku/>
              <w:wordWrap/>
              <w:overflowPunct/>
              <w:autoSpaceDE/>
              <w:autoSpaceDN/>
              <w:bidi w:val="0"/>
              <w:ind w:left="0" w:right="0"/>
              <w:jc w:val="center"/>
              <w:textAlignment w:val="auto"/>
              <w:rPr>
                <w:rFonts w:ascii="Times New Roman" w:hAnsi="Times New Roman" w:cs="Times New Roman"/>
                <w:color w:val="auto"/>
                <w:sz w:val="21"/>
                <w:szCs w:val="18"/>
                <w:highlight w:val="none"/>
              </w:rPr>
            </w:pPr>
            <w:r>
              <w:rPr>
                <w:rFonts w:hint="eastAsia" w:ascii="Times New Roman" w:hAnsi="Times New Roman" w:cs="Times New Roman"/>
                <w:color w:val="auto"/>
                <w:sz w:val="21"/>
                <w:szCs w:val="18"/>
                <w:highlight w:val="none"/>
              </w:rPr>
              <w:t>废活性炭</w:t>
            </w:r>
          </w:p>
        </w:tc>
        <w:tc>
          <w:tcPr>
            <w:tcW w:w="720" w:type="pct"/>
            <w:vMerge w:val="continue"/>
            <w:tcBorders>
              <w:tl2br w:val="nil"/>
              <w:tr2bl w:val="nil"/>
            </w:tcBorders>
            <w:vAlign w:val="center"/>
          </w:tcPr>
          <w:p w14:paraId="127D49B7">
            <w:pPr>
              <w:keepNext w:val="0"/>
              <w:keepLines w:val="0"/>
              <w:pageBreakBefore w:val="0"/>
              <w:kinsoku/>
              <w:wordWrap/>
              <w:overflowPunct/>
              <w:autoSpaceDE/>
              <w:autoSpaceDN/>
              <w:bidi w:val="0"/>
              <w:ind w:left="0" w:right="0"/>
              <w:jc w:val="center"/>
              <w:textAlignment w:val="auto"/>
              <w:rPr>
                <w:color w:val="auto"/>
                <w:sz w:val="21"/>
                <w:szCs w:val="18"/>
                <w:highlight w:val="none"/>
              </w:rPr>
            </w:pPr>
          </w:p>
        </w:tc>
        <w:tc>
          <w:tcPr>
            <w:tcW w:w="329" w:type="pct"/>
            <w:tcBorders>
              <w:tl2br w:val="nil"/>
              <w:tr2bl w:val="nil"/>
            </w:tcBorders>
            <w:vAlign w:val="center"/>
          </w:tcPr>
          <w:p w14:paraId="4D4D1408">
            <w:pPr>
              <w:pStyle w:val="98"/>
              <w:keepNext w:val="0"/>
              <w:keepLines w:val="0"/>
              <w:pageBreakBefore w:val="0"/>
              <w:kinsoku/>
              <w:wordWrap/>
              <w:overflowPunct/>
              <w:autoSpaceDE/>
              <w:autoSpaceDN/>
              <w:bidi w:val="0"/>
              <w:adjustRightInd w:val="0"/>
              <w:snapToGrid w:val="0"/>
              <w:ind w:left="0" w:right="0"/>
              <w:textAlignment w:val="auto"/>
              <w:rPr>
                <w:rFonts w:eastAsia="宋体"/>
                <w:color w:val="auto"/>
                <w:sz w:val="21"/>
                <w:szCs w:val="21"/>
                <w:highlight w:val="none"/>
                <w:lang w:val="en-US"/>
              </w:rPr>
            </w:pPr>
            <w:r>
              <w:rPr>
                <w:rFonts w:eastAsia="宋体"/>
                <w:color w:val="auto"/>
                <w:sz w:val="21"/>
                <w:szCs w:val="21"/>
                <w:highlight w:val="none"/>
                <w:lang w:val="en-US"/>
              </w:rPr>
              <w:t>固态</w:t>
            </w:r>
          </w:p>
        </w:tc>
        <w:tc>
          <w:tcPr>
            <w:tcW w:w="730" w:type="pct"/>
            <w:tcBorders>
              <w:tl2br w:val="nil"/>
              <w:tr2bl w:val="nil"/>
            </w:tcBorders>
            <w:vAlign w:val="center"/>
          </w:tcPr>
          <w:p w14:paraId="4519999A">
            <w:pPr>
              <w:pStyle w:val="98"/>
              <w:keepNext w:val="0"/>
              <w:keepLines w:val="0"/>
              <w:pageBreakBefore w:val="0"/>
              <w:kinsoku/>
              <w:wordWrap/>
              <w:overflowPunct/>
              <w:autoSpaceDE/>
              <w:autoSpaceDN/>
              <w:bidi w:val="0"/>
              <w:adjustRightInd w:val="0"/>
              <w:snapToGrid w:val="0"/>
              <w:ind w:left="0" w:right="0"/>
              <w:textAlignment w:val="auto"/>
              <w:rPr>
                <w:rFonts w:eastAsia="宋体"/>
                <w:color w:val="auto"/>
                <w:sz w:val="21"/>
                <w:szCs w:val="21"/>
                <w:highlight w:val="none"/>
                <w:lang w:val="en-US"/>
              </w:rPr>
            </w:pPr>
            <w:r>
              <w:rPr>
                <w:rFonts w:hint="eastAsia" w:eastAsia="宋体"/>
                <w:color w:val="auto"/>
                <w:sz w:val="21"/>
                <w:szCs w:val="21"/>
                <w:highlight w:val="none"/>
                <w:lang w:val="en-US"/>
              </w:rPr>
              <w:t>活性炭</w:t>
            </w:r>
          </w:p>
        </w:tc>
        <w:tc>
          <w:tcPr>
            <w:tcW w:w="626" w:type="pct"/>
            <w:tcBorders>
              <w:tl2br w:val="nil"/>
              <w:tr2bl w:val="nil"/>
            </w:tcBorders>
            <w:vAlign w:val="center"/>
          </w:tcPr>
          <w:p w14:paraId="49FAC2C1">
            <w:pPr>
              <w:keepNext w:val="0"/>
              <w:keepLines w:val="0"/>
              <w:pageBreakBefore w:val="0"/>
              <w:kinsoku/>
              <w:wordWrap/>
              <w:overflowPunct/>
              <w:autoSpaceDE/>
              <w:autoSpaceDN/>
              <w:bidi w:val="0"/>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1</w:t>
            </w:r>
          </w:p>
        </w:tc>
        <w:tc>
          <w:tcPr>
            <w:tcW w:w="545" w:type="pct"/>
            <w:tcBorders>
              <w:tl2br w:val="nil"/>
              <w:tr2bl w:val="nil"/>
            </w:tcBorders>
            <w:vAlign w:val="center"/>
          </w:tcPr>
          <w:p w14:paraId="627AC298">
            <w:pPr>
              <w:keepNext w:val="0"/>
              <w:keepLines w:val="0"/>
              <w:pageBreakBefore w:val="0"/>
              <w:kinsoku/>
              <w:wordWrap/>
              <w:overflowPunct/>
              <w:autoSpaceDE/>
              <w:autoSpaceDN/>
              <w:bidi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w:t>
            </w:r>
          </w:p>
        </w:tc>
        <w:tc>
          <w:tcPr>
            <w:tcW w:w="545" w:type="pct"/>
            <w:tcBorders>
              <w:tl2br w:val="nil"/>
              <w:tr2bl w:val="nil"/>
            </w:tcBorders>
            <w:vAlign w:val="center"/>
          </w:tcPr>
          <w:p w14:paraId="01ED46BC">
            <w:pPr>
              <w:keepNext w:val="0"/>
              <w:keepLines w:val="0"/>
              <w:pageBreakBefore w:val="0"/>
              <w:kinsoku/>
              <w:wordWrap/>
              <w:overflowPunct/>
              <w:autoSpaceDE/>
              <w:autoSpaceDN/>
              <w:bidi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w:t>
            </w:r>
          </w:p>
        </w:tc>
        <w:tc>
          <w:tcPr>
            <w:tcW w:w="626" w:type="pct"/>
            <w:vMerge w:val="continue"/>
            <w:tcBorders>
              <w:tl2br w:val="nil"/>
              <w:tr2bl w:val="nil"/>
            </w:tcBorders>
            <w:vAlign w:val="center"/>
          </w:tcPr>
          <w:p w14:paraId="33DCD999">
            <w:pPr>
              <w:keepNext w:val="0"/>
              <w:keepLines w:val="0"/>
              <w:pageBreakBefore w:val="0"/>
              <w:kinsoku/>
              <w:wordWrap/>
              <w:overflowPunct/>
              <w:autoSpaceDE/>
              <w:autoSpaceDN/>
              <w:bidi w:val="0"/>
              <w:ind w:left="0" w:right="0"/>
              <w:jc w:val="center"/>
              <w:textAlignment w:val="auto"/>
              <w:rPr>
                <w:rFonts w:ascii="Times New Roman" w:hAnsi="Times New Roman" w:cs="Times New Roman"/>
                <w:color w:val="auto"/>
                <w:sz w:val="21"/>
                <w:szCs w:val="21"/>
                <w:highlight w:val="none"/>
              </w:rPr>
            </w:pPr>
          </w:p>
        </w:tc>
      </w:tr>
      <w:tr w14:paraId="0C25B37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232" w:type="pct"/>
            <w:tcBorders>
              <w:tl2br w:val="nil"/>
              <w:tr2bl w:val="nil"/>
            </w:tcBorders>
            <w:vAlign w:val="center"/>
          </w:tcPr>
          <w:p w14:paraId="502272DF">
            <w:pPr>
              <w:keepNext w:val="0"/>
              <w:keepLines w:val="0"/>
              <w:pageBreakBefore w:val="0"/>
              <w:widowControl w:val="0"/>
              <w:numPr>
                <w:ilvl w:val="0"/>
                <w:numId w:val="18"/>
              </w:numPr>
              <w:kinsoku/>
              <w:wordWrap/>
              <w:overflowPunct/>
              <w:autoSpaceDE/>
              <w:autoSpaceDN/>
              <w:bidi w:val="0"/>
              <w:ind w:left="0" w:right="0"/>
              <w:jc w:val="center"/>
              <w:textAlignment w:val="auto"/>
              <w:rPr>
                <w:rFonts w:ascii="Times New Roman" w:hAnsi="Times New Roman" w:cs="Times New Roman"/>
                <w:color w:val="auto"/>
                <w:sz w:val="21"/>
                <w:szCs w:val="21"/>
                <w:highlight w:val="none"/>
              </w:rPr>
            </w:pPr>
          </w:p>
        </w:tc>
        <w:tc>
          <w:tcPr>
            <w:tcW w:w="643" w:type="pct"/>
            <w:tcBorders>
              <w:tl2br w:val="nil"/>
              <w:tr2bl w:val="nil"/>
            </w:tcBorders>
            <w:vAlign w:val="center"/>
          </w:tcPr>
          <w:p w14:paraId="6005F38F">
            <w:pPr>
              <w:keepNext w:val="0"/>
              <w:keepLines w:val="0"/>
              <w:pageBreakBefore w:val="0"/>
              <w:kinsoku/>
              <w:wordWrap/>
              <w:overflowPunct/>
              <w:autoSpaceDE/>
              <w:autoSpaceDN/>
              <w:bidi w:val="0"/>
              <w:ind w:left="0" w:right="0"/>
              <w:jc w:val="center"/>
              <w:textAlignment w:val="auto"/>
              <w:rPr>
                <w:rFonts w:ascii="Times New Roman" w:hAnsi="Times New Roman" w:cs="Times New Roman"/>
                <w:color w:val="auto"/>
                <w:sz w:val="21"/>
                <w:szCs w:val="18"/>
                <w:highlight w:val="none"/>
              </w:rPr>
            </w:pPr>
            <w:r>
              <w:rPr>
                <w:rFonts w:hint="eastAsia" w:ascii="Times New Roman" w:hAnsi="Times New Roman" w:cs="Times New Roman"/>
                <w:color w:val="auto"/>
                <w:sz w:val="21"/>
                <w:szCs w:val="18"/>
                <w:highlight w:val="none"/>
              </w:rPr>
              <w:t>废RO膜</w:t>
            </w:r>
          </w:p>
        </w:tc>
        <w:tc>
          <w:tcPr>
            <w:tcW w:w="720" w:type="pct"/>
            <w:vMerge w:val="continue"/>
            <w:tcBorders>
              <w:tl2br w:val="nil"/>
              <w:tr2bl w:val="nil"/>
            </w:tcBorders>
            <w:vAlign w:val="center"/>
          </w:tcPr>
          <w:p w14:paraId="3320FB1B">
            <w:pPr>
              <w:keepNext w:val="0"/>
              <w:keepLines w:val="0"/>
              <w:pageBreakBefore w:val="0"/>
              <w:kinsoku/>
              <w:wordWrap/>
              <w:overflowPunct/>
              <w:autoSpaceDE/>
              <w:autoSpaceDN/>
              <w:bidi w:val="0"/>
              <w:ind w:left="0" w:right="0"/>
              <w:jc w:val="center"/>
              <w:textAlignment w:val="auto"/>
              <w:rPr>
                <w:color w:val="auto"/>
                <w:sz w:val="21"/>
                <w:szCs w:val="18"/>
                <w:highlight w:val="none"/>
              </w:rPr>
            </w:pPr>
          </w:p>
        </w:tc>
        <w:tc>
          <w:tcPr>
            <w:tcW w:w="329" w:type="pct"/>
            <w:tcBorders>
              <w:tl2br w:val="nil"/>
              <w:tr2bl w:val="nil"/>
            </w:tcBorders>
            <w:vAlign w:val="center"/>
          </w:tcPr>
          <w:p w14:paraId="3DB3323A">
            <w:pPr>
              <w:pStyle w:val="98"/>
              <w:keepNext w:val="0"/>
              <w:keepLines w:val="0"/>
              <w:pageBreakBefore w:val="0"/>
              <w:kinsoku/>
              <w:wordWrap/>
              <w:overflowPunct/>
              <w:autoSpaceDE/>
              <w:autoSpaceDN/>
              <w:bidi w:val="0"/>
              <w:adjustRightInd w:val="0"/>
              <w:snapToGrid w:val="0"/>
              <w:ind w:left="0" w:right="0"/>
              <w:textAlignment w:val="auto"/>
              <w:rPr>
                <w:rFonts w:eastAsia="宋体"/>
                <w:color w:val="auto"/>
                <w:sz w:val="21"/>
                <w:szCs w:val="21"/>
                <w:highlight w:val="none"/>
                <w:lang w:val="en-US"/>
              </w:rPr>
            </w:pPr>
            <w:r>
              <w:rPr>
                <w:rFonts w:eastAsia="宋体"/>
                <w:color w:val="auto"/>
                <w:sz w:val="21"/>
                <w:szCs w:val="21"/>
                <w:highlight w:val="none"/>
                <w:lang w:val="en-US"/>
              </w:rPr>
              <w:t>固态</w:t>
            </w:r>
          </w:p>
        </w:tc>
        <w:tc>
          <w:tcPr>
            <w:tcW w:w="730" w:type="pct"/>
            <w:tcBorders>
              <w:tl2br w:val="nil"/>
              <w:tr2bl w:val="nil"/>
            </w:tcBorders>
            <w:vAlign w:val="center"/>
          </w:tcPr>
          <w:p w14:paraId="278B7508">
            <w:pPr>
              <w:pStyle w:val="98"/>
              <w:keepNext w:val="0"/>
              <w:keepLines w:val="0"/>
              <w:pageBreakBefore w:val="0"/>
              <w:kinsoku/>
              <w:wordWrap/>
              <w:overflowPunct/>
              <w:autoSpaceDE/>
              <w:autoSpaceDN/>
              <w:bidi w:val="0"/>
              <w:adjustRightInd w:val="0"/>
              <w:snapToGrid w:val="0"/>
              <w:ind w:left="0" w:right="0"/>
              <w:textAlignment w:val="auto"/>
              <w:rPr>
                <w:rFonts w:eastAsia="宋体"/>
                <w:color w:val="auto"/>
                <w:sz w:val="21"/>
                <w:szCs w:val="21"/>
                <w:highlight w:val="none"/>
                <w:lang w:val="en-US"/>
              </w:rPr>
            </w:pPr>
            <w:r>
              <w:rPr>
                <w:rFonts w:hint="eastAsia" w:eastAsia="宋体"/>
                <w:color w:val="auto"/>
                <w:sz w:val="21"/>
                <w:szCs w:val="21"/>
                <w:highlight w:val="none"/>
                <w:lang w:val="en-US"/>
              </w:rPr>
              <w:t>RO膜</w:t>
            </w:r>
          </w:p>
        </w:tc>
        <w:tc>
          <w:tcPr>
            <w:tcW w:w="626" w:type="pct"/>
            <w:tcBorders>
              <w:tl2br w:val="nil"/>
              <w:tr2bl w:val="nil"/>
            </w:tcBorders>
            <w:vAlign w:val="center"/>
          </w:tcPr>
          <w:p w14:paraId="677EF08C">
            <w:pPr>
              <w:keepNext w:val="0"/>
              <w:keepLines w:val="0"/>
              <w:pageBreakBefore w:val="0"/>
              <w:kinsoku/>
              <w:wordWrap/>
              <w:overflowPunct/>
              <w:autoSpaceDE/>
              <w:autoSpaceDN/>
              <w:bidi w:val="0"/>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0.5</w:t>
            </w:r>
          </w:p>
        </w:tc>
        <w:tc>
          <w:tcPr>
            <w:tcW w:w="545" w:type="pct"/>
            <w:tcBorders>
              <w:tl2br w:val="nil"/>
              <w:tr2bl w:val="nil"/>
            </w:tcBorders>
            <w:vAlign w:val="center"/>
          </w:tcPr>
          <w:p w14:paraId="07D11081">
            <w:pPr>
              <w:keepNext w:val="0"/>
              <w:keepLines w:val="0"/>
              <w:pageBreakBefore w:val="0"/>
              <w:kinsoku/>
              <w:wordWrap/>
              <w:overflowPunct/>
              <w:autoSpaceDE/>
              <w:autoSpaceDN/>
              <w:bidi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w:t>
            </w:r>
          </w:p>
        </w:tc>
        <w:tc>
          <w:tcPr>
            <w:tcW w:w="545" w:type="pct"/>
            <w:tcBorders>
              <w:tl2br w:val="nil"/>
              <w:tr2bl w:val="nil"/>
            </w:tcBorders>
            <w:vAlign w:val="center"/>
          </w:tcPr>
          <w:p w14:paraId="7A1472C6">
            <w:pPr>
              <w:keepNext w:val="0"/>
              <w:keepLines w:val="0"/>
              <w:pageBreakBefore w:val="0"/>
              <w:kinsoku/>
              <w:wordWrap/>
              <w:overflowPunct/>
              <w:autoSpaceDE/>
              <w:autoSpaceDN/>
              <w:bidi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w:t>
            </w:r>
          </w:p>
        </w:tc>
        <w:tc>
          <w:tcPr>
            <w:tcW w:w="626" w:type="pct"/>
            <w:vMerge w:val="continue"/>
            <w:tcBorders>
              <w:tl2br w:val="nil"/>
              <w:tr2bl w:val="nil"/>
            </w:tcBorders>
            <w:vAlign w:val="center"/>
          </w:tcPr>
          <w:p w14:paraId="32F99A6E">
            <w:pPr>
              <w:keepNext w:val="0"/>
              <w:keepLines w:val="0"/>
              <w:pageBreakBefore w:val="0"/>
              <w:kinsoku/>
              <w:wordWrap/>
              <w:overflowPunct/>
              <w:autoSpaceDE/>
              <w:autoSpaceDN/>
              <w:bidi w:val="0"/>
              <w:ind w:left="0" w:right="0"/>
              <w:jc w:val="center"/>
              <w:textAlignment w:val="auto"/>
              <w:rPr>
                <w:rFonts w:ascii="Times New Roman" w:hAnsi="Times New Roman" w:cs="Times New Roman"/>
                <w:color w:val="auto"/>
                <w:sz w:val="21"/>
                <w:szCs w:val="21"/>
                <w:highlight w:val="none"/>
              </w:rPr>
            </w:pPr>
          </w:p>
        </w:tc>
      </w:tr>
      <w:tr w14:paraId="62D4049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232" w:type="pct"/>
            <w:tcBorders>
              <w:tl2br w:val="nil"/>
              <w:tr2bl w:val="nil"/>
            </w:tcBorders>
            <w:vAlign w:val="center"/>
          </w:tcPr>
          <w:p w14:paraId="5E1B77D9">
            <w:pPr>
              <w:keepNext w:val="0"/>
              <w:keepLines w:val="0"/>
              <w:pageBreakBefore w:val="0"/>
              <w:widowControl w:val="0"/>
              <w:numPr>
                <w:ilvl w:val="0"/>
                <w:numId w:val="18"/>
              </w:numPr>
              <w:kinsoku/>
              <w:wordWrap/>
              <w:overflowPunct/>
              <w:autoSpaceDE/>
              <w:autoSpaceDN/>
              <w:bidi w:val="0"/>
              <w:ind w:left="0" w:right="0"/>
              <w:jc w:val="center"/>
              <w:textAlignment w:val="auto"/>
              <w:rPr>
                <w:rFonts w:ascii="Times New Roman" w:hAnsi="Times New Roman" w:cs="Times New Roman"/>
                <w:color w:val="auto"/>
                <w:sz w:val="21"/>
                <w:szCs w:val="21"/>
                <w:highlight w:val="none"/>
              </w:rPr>
            </w:pPr>
          </w:p>
        </w:tc>
        <w:tc>
          <w:tcPr>
            <w:tcW w:w="643" w:type="pct"/>
            <w:tcBorders>
              <w:tl2br w:val="nil"/>
              <w:tr2bl w:val="nil"/>
            </w:tcBorders>
            <w:vAlign w:val="center"/>
          </w:tcPr>
          <w:p w14:paraId="6EEA7D62">
            <w:pPr>
              <w:keepNext w:val="0"/>
              <w:keepLines w:val="0"/>
              <w:pageBreakBefore w:val="0"/>
              <w:kinsoku/>
              <w:wordWrap/>
              <w:overflowPunct/>
              <w:autoSpaceDE/>
              <w:autoSpaceDN/>
              <w:bidi w:val="0"/>
              <w:ind w:left="0" w:right="0"/>
              <w:jc w:val="center"/>
              <w:textAlignment w:val="auto"/>
              <w:rPr>
                <w:rFonts w:ascii="Times New Roman" w:hAnsi="Times New Roman" w:cs="Times New Roman"/>
                <w:color w:val="auto"/>
                <w:sz w:val="21"/>
                <w:szCs w:val="21"/>
                <w:highlight w:val="none"/>
                <w:lang w:bidi="ar"/>
              </w:rPr>
            </w:pPr>
            <w:r>
              <w:rPr>
                <w:rFonts w:hint="eastAsia" w:ascii="Times New Roman" w:hAnsi="Times New Roman" w:cs="Times New Roman"/>
                <w:color w:val="auto"/>
                <w:sz w:val="21"/>
                <w:szCs w:val="18"/>
                <w:highlight w:val="none"/>
              </w:rPr>
              <w:t>废包装桶（瓶）</w:t>
            </w:r>
          </w:p>
        </w:tc>
        <w:tc>
          <w:tcPr>
            <w:tcW w:w="720" w:type="pct"/>
            <w:vMerge w:val="restart"/>
            <w:tcBorders>
              <w:tl2br w:val="nil"/>
              <w:tr2bl w:val="nil"/>
            </w:tcBorders>
            <w:vAlign w:val="center"/>
          </w:tcPr>
          <w:p w14:paraId="196289A1">
            <w:pPr>
              <w:keepNext w:val="0"/>
              <w:keepLines w:val="0"/>
              <w:pageBreakBefore w:val="0"/>
              <w:kinsoku/>
              <w:wordWrap/>
              <w:overflowPunct/>
              <w:autoSpaceDE/>
              <w:autoSpaceDN/>
              <w:bidi w:val="0"/>
              <w:ind w:left="0" w:right="0"/>
              <w:jc w:val="center"/>
              <w:textAlignment w:val="auto"/>
              <w:rPr>
                <w:color w:val="auto"/>
                <w:sz w:val="21"/>
                <w:szCs w:val="21"/>
                <w:highlight w:val="none"/>
              </w:rPr>
            </w:pPr>
            <w:r>
              <w:rPr>
                <w:rFonts w:hint="eastAsia"/>
                <w:color w:val="auto"/>
                <w:sz w:val="21"/>
                <w:szCs w:val="18"/>
                <w:highlight w:val="none"/>
              </w:rPr>
              <w:t>材料包装</w:t>
            </w:r>
          </w:p>
        </w:tc>
        <w:tc>
          <w:tcPr>
            <w:tcW w:w="329" w:type="pct"/>
            <w:tcBorders>
              <w:tl2br w:val="nil"/>
              <w:tr2bl w:val="nil"/>
            </w:tcBorders>
            <w:vAlign w:val="center"/>
          </w:tcPr>
          <w:p w14:paraId="0F6B4FFC">
            <w:pPr>
              <w:keepNext w:val="0"/>
              <w:keepLines w:val="0"/>
              <w:pageBreakBefore w:val="0"/>
              <w:kinsoku/>
              <w:wordWrap/>
              <w:overflowPunct/>
              <w:autoSpaceDE/>
              <w:autoSpaceDN/>
              <w:bidi w:val="0"/>
              <w:adjustRightInd w:val="0"/>
              <w:snapToGrid w:val="0"/>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固</w:t>
            </w:r>
            <w:r>
              <w:rPr>
                <w:rFonts w:ascii="Times New Roman" w:hAnsi="Times New Roman" w:cs="Times New Roman"/>
                <w:color w:val="auto"/>
                <w:sz w:val="21"/>
                <w:szCs w:val="21"/>
                <w:highlight w:val="none"/>
              </w:rPr>
              <w:t>态</w:t>
            </w:r>
          </w:p>
        </w:tc>
        <w:tc>
          <w:tcPr>
            <w:tcW w:w="730" w:type="pct"/>
            <w:tcBorders>
              <w:tl2br w:val="nil"/>
              <w:tr2bl w:val="nil"/>
            </w:tcBorders>
            <w:vAlign w:val="center"/>
          </w:tcPr>
          <w:p w14:paraId="1425E643">
            <w:pPr>
              <w:pStyle w:val="98"/>
              <w:keepNext w:val="0"/>
              <w:keepLines w:val="0"/>
              <w:pageBreakBefore w:val="0"/>
              <w:kinsoku/>
              <w:wordWrap/>
              <w:overflowPunct/>
              <w:autoSpaceDE/>
              <w:autoSpaceDN/>
              <w:bidi w:val="0"/>
              <w:adjustRightInd w:val="0"/>
              <w:snapToGrid w:val="0"/>
              <w:ind w:left="0" w:right="0"/>
              <w:textAlignment w:val="auto"/>
              <w:rPr>
                <w:rFonts w:eastAsia="宋体"/>
                <w:color w:val="auto"/>
                <w:sz w:val="21"/>
                <w:szCs w:val="21"/>
                <w:highlight w:val="none"/>
                <w:lang w:val="en-US"/>
              </w:rPr>
            </w:pPr>
            <w:r>
              <w:rPr>
                <w:rFonts w:hint="eastAsia" w:eastAsia="宋体"/>
                <w:color w:val="auto"/>
                <w:sz w:val="21"/>
                <w:szCs w:val="21"/>
                <w:highlight w:val="none"/>
                <w:lang w:val="en-US"/>
              </w:rPr>
              <w:t>塑料桶、有机物</w:t>
            </w:r>
          </w:p>
        </w:tc>
        <w:tc>
          <w:tcPr>
            <w:tcW w:w="626" w:type="pct"/>
            <w:tcBorders>
              <w:tl2br w:val="nil"/>
              <w:tr2bl w:val="nil"/>
            </w:tcBorders>
            <w:vAlign w:val="center"/>
          </w:tcPr>
          <w:p w14:paraId="1293279A">
            <w:pPr>
              <w:keepNext w:val="0"/>
              <w:keepLines w:val="0"/>
              <w:pageBreakBefore w:val="0"/>
              <w:kinsoku/>
              <w:wordWrap/>
              <w:overflowPunct/>
              <w:autoSpaceDE/>
              <w:autoSpaceDN/>
              <w:bidi w:val="0"/>
              <w:ind w:left="0" w:right="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7.79</w:t>
            </w:r>
          </w:p>
        </w:tc>
        <w:tc>
          <w:tcPr>
            <w:tcW w:w="545" w:type="pct"/>
            <w:tcBorders>
              <w:tl2br w:val="nil"/>
              <w:tr2bl w:val="nil"/>
            </w:tcBorders>
            <w:vAlign w:val="center"/>
          </w:tcPr>
          <w:p w14:paraId="21AA35E4">
            <w:pPr>
              <w:keepNext w:val="0"/>
              <w:keepLines w:val="0"/>
              <w:pageBreakBefore w:val="0"/>
              <w:kinsoku/>
              <w:wordWrap/>
              <w:overflowPunct/>
              <w:autoSpaceDE/>
              <w:autoSpaceDN/>
              <w:bidi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w:t>
            </w:r>
          </w:p>
        </w:tc>
        <w:tc>
          <w:tcPr>
            <w:tcW w:w="545" w:type="pct"/>
            <w:tcBorders>
              <w:tl2br w:val="nil"/>
              <w:tr2bl w:val="nil"/>
            </w:tcBorders>
            <w:vAlign w:val="center"/>
          </w:tcPr>
          <w:p w14:paraId="09C0E0AE">
            <w:pPr>
              <w:keepNext w:val="0"/>
              <w:keepLines w:val="0"/>
              <w:pageBreakBefore w:val="0"/>
              <w:kinsoku/>
              <w:wordWrap/>
              <w:overflowPunct/>
              <w:autoSpaceDE/>
              <w:autoSpaceDN/>
              <w:bidi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w:t>
            </w:r>
          </w:p>
        </w:tc>
        <w:tc>
          <w:tcPr>
            <w:tcW w:w="626" w:type="pct"/>
            <w:vMerge w:val="continue"/>
            <w:tcBorders>
              <w:tl2br w:val="nil"/>
              <w:tr2bl w:val="nil"/>
            </w:tcBorders>
            <w:vAlign w:val="center"/>
          </w:tcPr>
          <w:p w14:paraId="476F1360">
            <w:pPr>
              <w:keepNext w:val="0"/>
              <w:keepLines w:val="0"/>
              <w:pageBreakBefore w:val="0"/>
              <w:kinsoku/>
              <w:wordWrap/>
              <w:overflowPunct/>
              <w:autoSpaceDE/>
              <w:autoSpaceDN/>
              <w:bidi w:val="0"/>
              <w:ind w:left="0" w:right="0"/>
              <w:jc w:val="center"/>
              <w:textAlignment w:val="auto"/>
              <w:rPr>
                <w:rFonts w:ascii="Times New Roman" w:hAnsi="Times New Roman" w:cs="Times New Roman"/>
                <w:color w:val="auto"/>
                <w:sz w:val="21"/>
                <w:szCs w:val="21"/>
                <w:highlight w:val="none"/>
              </w:rPr>
            </w:pPr>
          </w:p>
        </w:tc>
      </w:tr>
      <w:tr w14:paraId="798FFEF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232" w:type="pct"/>
            <w:tcBorders>
              <w:tl2br w:val="nil"/>
              <w:tr2bl w:val="nil"/>
            </w:tcBorders>
            <w:vAlign w:val="center"/>
          </w:tcPr>
          <w:p w14:paraId="0B14DE87">
            <w:pPr>
              <w:keepNext w:val="0"/>
              <w:keepLines w:val="0"/>
              <w:pageBreakBefore w:val="0"/>
              <w:widowControl w:val="0"/>
              <w:numPr>
                <w:ilvl w:val="0"/>
                <w:numId w:val="18"/>
              </w:numPr>
              <w:kinsoku/>
              <w:wordWrap/>
              <w:overflowPunct/>
              <w:autoSpaceDE/>
              <w:autoSpaceDN/>
              <w:bidi w:val="0"/>
              <w:ind w:left="0" w:right="0"/>
              <w:jc w:val="center"/>
              <w:textAlignment w:val="auto"/>
              <w:rPr>
                <w:rFonts w:ascii="Times New Roman" w:hAnsi="Times New Roman" w:cs="Times New Roman"/>
                <w:color w:val="auto"/>
                <w:sz w:val="21"/>
                <w:szCs w:val="21"/>
                <w:highlight w:val="none"/>
              </w:rPr>
            </w:pPr>
          </w:p>
        </w:tc>
        <w:tc>
          <w:tcPr>
            <w:tcW w:w="643" w:type="pct"/>
            <w:tcBorders>
              <w:tl2br w:val="nil"/>
              <w:tr2bl w:val="nil"/>
            </w:tcBorders>
            <w:vAlign w:val="center"/>
          </w:tcPr>
          <w:p w14:paraId="5CB53BD1">
            <w:pPr>
              <w:keepNext w:val="0"/>
              <w:keepLines w:val="0"/>
              <w:pageBreakBefore w:val="0"/>
              <w:kinsoku/>
              <w:wordWrap/>
              <w:overflowPunct/>
              <w:autoSpaceDE/>
              <w:autoSpaceDN/>
              <w:bidi w:val="0"/>
              <w:ind w:left="0" w:right="0"/>
              <w:jc w:val="center"/>
              <w:textAlignment w:val="auto"/>
              <w:rPr>
                <w:rFonts w:ascii="Times New Roman" w:hAnsi="Times New Roman" w:cs="Times New Roman"/>
                <w:color w:val="auto"/>
                <w:sz w:val="21"/>
                <w:szCs w:val="18"/>
                <w:highlight w:val="none"/>
              </w:rPr>
            </w:pPr>
            <w:r>
              <w:rPr>
                <w:rFonts w:hint="eastAsia" w:ascii="Times New Roman" w:hAnsi="Times New Roman" w:cs="Times New Roman"/>
                <w:color w:val="auto"/>
                <w:sz w:val="21"/>
                <w:szCs w:val="21"/>
                <w:highlight w:val="none"/>
              </w:rPr>
              <w:t>废包装袋</w:t>
            </w:r>
          </w:p>
        </w:tc>
        <w:tc>
          <w:tcPr>
            <w:tcW w:w="720" w:type="pct"/>
            <w:vMerge w:val="continue"/>
            <w:tcBorders>
              <w:tl2br w:val="nil"/>
              <w:tr2bl w:val="nil"/>
            </w:tcBorders>
            <w:vAlign w:val="center"/>
          </w:tcPr>
          <w:p w14:paraId="6B011080">
            <w:pPr>
              <w:keepNext w:val="0"/>
              <w:keepLines w:val="0"/>
              <w:pageBreakBefore w:val="0"/>
              <w:kinsoku/>
              <w:wordWrap/>
              <w:overflowPunct/>
              <w:autoSpaceDE/>
              <w:autoSpaceDN/>
              <w:bidi w:val="0"/>
              <w:ind w:left="0" w:right="0"/>
              <w:jc w:val="center"/>
              <w:textAlignment w:val="auto"/>
              <w:rPr>
                <w:color w:val="auto"/>
                <w:sz w:val="21"/>
                <w:szCs w:val="18"/>
                <w:highlight w:val="none"/>
              </w:rPr>
            </w:pPr>
          </w:p>
        </w:tc>
        <w:tc>
          <w:tcPr>
            <w:tcW w:w="329" w:type="pct"/>
            <w:tcBorders>
              <w:tl2br w:val="nil"/>
              <w:tr2bl w:val="nil"/>
            </w:tcBorders>
            <w:vAlign w:val="center"/>
          </w:tcPr>
          <w:p w14:paraId="337952B7">
            <w:pPr>
              <w:keepNext w:val="0"/>
              <w:keepLines w:val="0"/>
              <w:pageBreakBefore w:val="0"/>
              <w:kinsoku/>
              <w:wordWrap/>
              <w:overflowPunct/>
              <w:autoSpaceDE/>
              <w:autoSpaceDN/>
              <w:bidi w:val="0"/>
              <w:adjustRightInd w:val="0"/>
              <w:snapToGrid w:val="0"/>
              <w:ind w:left="0" w:right="0"/>
              <w:jc w:val="center"/>
              <w:textAlignment w:val="auto"/>
              <w:rPr>
                <w:rFonts w:ascii="Times New Roman" w:hAnsi="Times New Roman" w:cs="Times New Roman"/>
                <w:color w:val="auto"/>
                <w:sz w:val="21"/>
                <w:szCs w:val="21"/>
                <w:highlight w:val="none"/>
              </w:rPr>
            </w:pPr>
            <w:r>
              <w:rPr>
                <w:color w:val="auto"/>
                <w:sz w:val="21"/>
                <w:szCs w:val="21"/>
                <w:highlight w:val="none"/>
              </w:rPr>
              <w:t>固态</w:t>
            </w:r>
          </w:p>
        </w:tc>
        <w:tc>
          <w:tcPr>
            <w:tcW w:w="730" w:type="pct"/>
            <w:tcBorders>
              <w:tl2br w:val="nil"/>
              <w:tr2bl w:val="nil"/>
            </w:tcBorders>
            <w:vAlign w:val="center"/>
          </w:tcPr>
          <w:p w14:paraId="208B10AB">
            <w:pPr>
              <w:pStyle w:val="98"/>
              <w:keepNext w:val="0"/>
              <w:keepLines w:val="0"/>
              <w:pageBreakBefore w:val="0"/>
              <w:kinsoku/>
              <w:wordWrap/>
              <w:overflowPunct/>
              <w:autoSpaceDE/>
              <w:autoSpaceDN/>
              <w:bidi w:val="0"/>
              <w:adjustRightInd w:val="0"/>
              <w:snapToGrid w:val="0"/>
              <w:ind w:left="0" w:right="0"/>
              <w:textAlignment w:val="auto"/>
              <w:rPr>
                <w:rFonts w:eastAsia="宋体"/>
                <w:color w:val="auto"/>
                <w:sz w:val="21"/>
                <w:szCs w:val="21"/>
                <w:highlight w:val="none"/>
                <w:lang w:val="en-US"/>
              </w:rPr>
            </w:pPr>
            <w:r>
              <w:rPr>
                <w:rFonts w:hint="eastAsia" w:eastAsia="宋体"/>
                <w:color w:val="auto"/>
                <w:sz w:val="21"/>
                <w:szCs w:val="21"/>
                <w:highlight w:val="none"/>
                <w:lang w:val="en-US"/>
              </w:rPr>
              <w:t>塑料、有机物</w:t>
            </w:r>
          </w:p>
        </w:tc>
        <w:tc>
          <w:tcPr>
            <w:tcW w:w="626" w:type="pct"/>
            <w:tcBorders>
              <w:tl2br w:val="nil"/>
              <w:tr2bl w:val="nil"/>
            </w:tcBorders>
            <w:vAlign w:val="center"/>
          </w:tcPr>
          <w:p w14:paraId="34A3E87F">
            <w:pPr>
              <w:keepNext w:val="0"/>
              <w:keepLines w:val="0"/>
              <w:pageBreakBefore w:val="0"/>
              <w:kinsoku/>
              <w:wordWrap/>
              <w:overflowPunct/>
              <w:autoSpaceDE/>
              <w:autoSpaceDN/>
              <w:bidi w:val="0"/>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0.2</w:t>
            </w:r>
          </w:p>
        </w:tc>
        <w:tc>
          <w:tcPr>
            <w:tcW w:w="545" w:type="pct"/>
            <w:tcBorders>
              <w:tl2br w:val="nil"/>
              <w:tr2bl w:val="nil"/>
            </w:tcBorders>
            <w:vAlign w:val="center"/>
          </w:tcPr>
          <w:p w14:paraId="1CFA9A84">
            <w:pPr>
              <w:keepNext w:val="0"/>
              <w:keepLines w:val="0"/>
              <w:pageBreakBefore w:val="0"/>
              <w:kinsoku/>
              <w:wordWrap/>
              <w:overflowPunct/>
              <w:autoSpaceDE/>
              <w:autoSpaceDN/>
              <w:bidi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w:t>
            </w:r>
          </w:p>
        </w:tc>
        <w:tc>
          <w:tcPr>
            <w:tcW w:w="545" w:type="pct"/>
            <w:tcBorders>
              <w:tl2br w:val="nil"/>
              <w:tr2bl w:val="nil"/>
            </w:tcBorders>
            <w:vAlign w:val="center"/>
          </w:tcPr>
          <w:p w14:paraId="4F23328D">
            <w:pPr>
              <w:keepNext w:val="0"/>
              <w:keepLines w:val="0"/>
              <w:pageBreakBefore w:val="0"/>
              <w:kinsoku/>
              <w:wordWrap/>
              <w:overflowPunct/>
              <w:autoSpaceDE/>
              <w:autoSpaceDN/>
              <w:bidi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w:t>
            </w:r>
          </w:p>
        </w:tc>
        <w:tc>
          <w:tcPr>
            <w:tcW w:w="626" w:type="pct"/>
            <w:vMerge w:val="continue"/>
            <w:tcBorders>
              <w:tl2br w:val="nil"/>
              <w:tr2bl w:val="nil"/>
            </w:tcBorders>
            <w:vAlign w:val="center"/>
          </w:tcPr>
          <w:p w14:paraId="76722F1D">
            <w:pPr>
              <w:keepNext w:val="0"/>
              <w:keepLines w:val="0"/>
              <w:pageBreakBefore w:val="0"/>
              <w:kinsoku/>
              <w:wordWrap/>
              <w:overflowPunct/>
              <w:autoSpaceDE/>
              <w:autoSpaceDN/>
              <w:bidi w:val="0"/>
              <w:ind w:left="0" w:right="0"/>
              <w:jc w:val="center"/>
              <w:textAlignment w:val="auto"/>
              <w:rPr>
                <w:rFonts w:ascii="Times New Roman" w:hAnsi="Times New Roman" w:cs="Times New Roman"/>
                <w:color w:val="auto"/>
                <w:sz w:val="21"/>
                <w:szCs w:val="21"/>
                <w:highlight w:val="none"/>
              </w:rPr>
            </w:pPr>
          </w:p>
        </w:tc>
      </w:tr>
      <w:tr w14:paraId="3512293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232" w:type="pct"/>
            <w:tcBorders>
              <w:tl2br w:val="nil"/>
              <w:tr2bl w:val="nil"/>
            </w:tcBorders>
            <w:vAlign w:val="center"/>
          </w:tcPr>
          <w:p w14:paraId="4B6F9A3F">
            <w:pPr>
              <w:keepNext w:val="0"/>
              <w:keepLines w:val="0"/>
              <w:pageBreakBefore w:val="0"/>
              <w:widowControl w:val="0"/>
              <w:numPr>
                <w:ilvl w:val="0"/>
                <w:numId w:val="18"/>
              </w:numPr>
              <w:kinsoku/>
              <w:wordWrap/>
              <w:overflowPunct/>
              <w:autoSpaceDE/>
              <w:autoSpaceDN/>
              <w:bidi w:val="0"/>
              <w:ind w:left="0" w:right="0"/>
              <w:jc w:val="center"/>
              <w:textAlignment w:val="auto"/>
              <w:rPr>
                <w:rFonts w:ascii="Times New Roman" w:hAnsi="Times New Roman" w:cs="Times New Roman"/>
                <w:color w:val="auto"/>
                <w:sz w:val="21"/>
                <w:szCs w:val="21"/>
                <w:highlight w:val="none"/>
              </w:rPr>
            </w:pPr>
          </w:p>
        </w:tc>
        <w:tc>
          <w:tcPr>
            <w:tcW w:w="643" w:type="pct"/>
            <w:tcBorders>
              <w:tl2br w:val="nil"/>
              <w:tr2bl w:val="nil"/>
            </w:tcBorders>
            <w:vAlign w:val="center"/>
          </w:tcPr>
          <w:p w14:paraId="6243E5C1">
            <w:pPr>
              <w:keepNext w:val="0"/>
              <w:keepLines w:val="0"/>
              <w:pageBreakBefore w:val="0"/>
              <w:kinsoku/>
              <w:wordWrap/>
              <w:overflowPunct/>
              <w:autoSpaceDE/>
              <w:autoSpaceDN/>
              <w:bidi w:val="0"/>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18"/>
                <w:highlight w:val="none"/>
              </w:rPr>
              <w:t>废活性炭</w:t>
            </w:r>
          </w:p>
        </w:tc>
        <w:tc>
          <w:tcPr>
            <w:tcW w:w="720" w:type="pct"/>
            <w:tcBorders>
              <w:tl2br w:val="nil"/>
              <w:tr2bl w:val="nil"/>
            </w:tcBorders>
            <w:vAlign w:val="center"/>
          </w:tcPr>
          <w:p w14:paraId="5B541A07">
            <w:pPr>
              <w:keepNext w:val="0"/>
              <w:keepLines w:val="0"/>
              <w:pageBreakBefore w:val="0"/>
              <w:kinsoku/>
              <w:wordWrap/>
              <w:overflowPunct/>
              <w:autoSpaceDE/>
              <w:autoSpaceDN/>
              <w:bidi w:val="0"/>
              <w:ind w:left="0" w:right="0"/>
              <w:jc w:val="center"/>
              <w:textAlignment w:val="auto"/>
              <w:rPr>
                <w:color w:val="auto"/>
                <w:sz w:val="21"/>
                <w:szCs w:val="21"/>
                <w:highlight w:val="none"/>
              </w:rPr>
            </w:pPr>
            <w:r>
              <w:rPr>
                <w:rFonts w:hint="eastAsia"/>
                <w:color w:val="auto"/>
                <w:sz w:val="21"/>
                <w:szCs w:val="18"/>
                <w:highlight w:val="none"/>
              </w:rPr>
              <w:t>废气处理</w:t>
            </w:r>
          </w:p>
        </w:tc>
        <w:tc>
          <w:tcPr>
            <w:tcW w:w="329" w:type="pct"/>
            <w:tcBorders>
              <w:tl2br w:val="nil"/>
              <w:tr2bl w:val="nil"/>
            </w:tcBorders>
            <w:vAlign w:val="center"/>
          </w:tcPr>
          <w:p w14:paraId="75B8940B">
            <w:pPr>
              <w:pStyle w:val="98"/>
              <w:keepNext w:val="0"/>
              <w:keepLines w:val="0"/>
              <w:pageBreakBefore w:val="0"/>
              <w:kinsoku/>
              <w:wordWrap/>
              <w:overflowPunct/>
              <w:autoSpaceDE/>
              <w:autoSpaceDN/>
              <w:bidi w:val="0"/>
              <w:adjustRightInd w:val="0"/>
              <w:snapToGrid w:val="0"/>
              <w:ind w:left="0" w:right="0"/>
              <w:textAlignment w:val="auto"/>
              <w:rPr>
                <w:rFonts w:eastAsia="宋体"/>
                <w:color w:val="auto"/>
                <w:sz w:val="21"/>
                <w:szCs w:val="21"/>
                <w:highlight w:val="none"/>
                <w:lang w:val="en-US"/>
              </w:rPr>
            </w:pPr>
            <w:r>
              <w:rPr>
                <w:rFonts w:eastAsia="宋体"/>
                <w:color w:val="auto"/>
                <w:sz w:val="21"/>
                <w:szCs w:val="21"/>
                <w:highlight w:val="none"/>
                <w:lang w:val="en-US"/>
              </w:rPr>
              <w:t>固态</w:t>
            </w:r>
          </w:p>
        </w:tc>
        <w:tc>
          <w:tcPr>
            <w:tcW w:w="730" w:type="pct"/>
            <w:tcBorders>
              <w:tl2br w:val="nil"/>
              <w:tr2bl w:val="nil"/>
            </w:tcBorders>
            <w:vAlign w:val="center"/>
          </w:tcPr>
          <w:p w14:paraId="6A045F9D">
            <w:pPr>
              <w:pStyle w:val="98"/>
              <w:keepNext w:val="0"/>
              <w:keepLines w:val="0"/>
              <w:pageBreakBefore w:val="0"/>
              <w:kinsoku/>
              <w:wordWrap/>
              <w:overflowPunct/>
              <w:autoSpaceDE/>
              <w:autoSpaceDN/>
              <w:bidi w:val="0"/>
              <w:adjustRightInd w:val="0"/>
              <w:snapToGrid w:val="0"/>
              <w:ind w:left="0" w:right="0"/>
              <w:textAlignment w:val="auto"/>
              <w:rPr>
                <w:rFonts w:eastAsia="宋体"/>
                <w:color w:val="auto"/>
                <w:sz w:val="21"/>
                <w:szCs w:val="21"/>
                <w:highlight w:val="none"/>
                <w:lang w:val="en-US"/>
              </w:rPr>
            </w:pPr>
            <w:r>
              <w:rPr>
                <w:rFonts w:hint="eastAsia" w:eastAsia="宋体"/>
                <w:color w:val="auto"/>
                <w:sz w:val="21"/>
                <w:szCs w:val="21"/>
                <w:highlight w:val="none"/>
                <w:lang w:val="en-US"/>
              </w:rPr>
              <w:t>活性炭、有机物</w:t>
            </w:r>
          </w:p>
        </w:tc>
        <w:tc>
          <w:tcPr>
            <w:tcW w:w="626" w:type="pct"/>
            <w:tcBorders>
              <w:tl2br w:val="nil"/>
              <w:tr2bl w:val="nil"/>
            </w:tcBorders>
            <w:vAlign w:val="center"/>
          </w:tcPr>
          <w:p w14:paraId="4F14DE12">
            <w:pPr>
              <w:keepNext w:val="0"/>
              <w:keepLines w:val="0"/>
              <w:pageBreakBefore w:val="0"/>
              <w:kinsoku/>
              <w:wordWrap/>
              <w:overflowPunct/>
              <w:autoSpaceDE/>
              <w:autoSpaceDN/>
              <w:bidi w:val="0"/>
              <w:ind w:left="0" w:right="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10.4089</w:t>
            </w:r>
          </w:p>
        </w:tc>
        <w:tc>
          <w:tcPr>
            <w:tcW w:w="545" w:type="pct"/>
            <w:tcBorders>
              <w:tl2br w:val="nil"/>
              <w:tr2bl w:val="nil"/>
            </w:tcBorders>
            <w:vAlign w:val="center"/>
          </w:tcPr>
          <w:p w14:paraId="3472CC44">
            <w:pPr>
              <w:keepNext w:val="0"/>
              <w:keepLines w:val="0"/>
              <w:pageBreakBefore w:val="0"/>
              <w:kinsoku/>
              <w:wordWrap/>
              <w:overflowPunct/>
              <w:autoSpaceDE/>
              <w:autoSpaceDN/>
              <w:bidi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w:t>
            </w:r>
          </w:p>
        </w:tc>
        <w:tc>
          <w:tcPr>
            <w:tcW w:w="545" w:type="pct"/>
            <w:tcBorders>
              <w:tl2br w:val="nil"/>
              <w:tr2bl w:val="nil"/>
            </w:tcBorders>
            <w:vAlign w:val="center"/>
          </w:tcPr>
          <w:p w14:paraId="60CA4BF3">
            <w:pPr>
              <w:keepNext w:val="0"/>
              <w:keepLines w:val="0"/>
              <w:pageBreakBefore w:val="0"/>
              <w:kinsoku/>
              <w:wordWrap/>
              <w:overflowPunct/>
              <w:autoSpaceDE/>
              <w:autoSpaceDN/>
              <w:bidi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w:t>
            </w:r>
          </w:p>
        </w:tc>
        <w:tc>
          <w:tcPr>
            <w:tcW w:w="626" w:type="pct"/>
            <w:vMerge w:val="continue"/>
            <w:tcBorders>
              <w:tl2br w:val="nil"/>
              <w:tr2bl w:val="nil"/>
            </w:tcBorders>
            <w:vAlign w:val="center"/>
          </w:tcPr>
          <w:p w14:paraId="4B317203">
            <w:pPr>
              <w:keepNext w:val="0"/>
              <w:keepLines w:val="0"/>
              <w:pageBreakBefore w:val="0"/>
              <w:kinsoku/>
              <w:wordWrap/>
              <w:overflowPunct/>
              <w:autoSpaceDE/>
              <w:autoSpaceDN/>
              <w:bidi w:val="0"/>
              <w:ind w:left="0" w:right="0"/>
              <w:jc w:val="center"/>
              <w:textAlignment w:val="auto"/>
              <w:rPr>
                <w:rFonts w:ascii="Times New Roman" w:hAnsi="Times New Roman" w:cs="Times New Roman"/>
                <w:color w:val="auto"/>
                <w:sz w:val="21"/>
                <w:szCs w:val="21"/>
                <w:highlight w:val="none"/>
              </w:rPr>
            </w:pPr>
          </w:p>
        </w:tc>
      </w:tr>
      <w:tr w14:paraId="0977B5C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232" w:type="pct"/>
            <w:tcBorders>
              <w:tl2br w:val="nil"/>
              <w:tr2bl w:val="nil"/>
            </w:tcBorders>
            <w:vAlign w:val="center"/>
          </w:tcPr>
          <w:p w14:paraId="06A91EFE">
            <w:pPr>
              <w:keepNext w:val="0"/>
              <w:keepLines w:val="0"/>
              <w:pageBreakBefore w:val="0"/>
              <w:widowControl w:val="0"/>
              <w:numPr>
                <w:ilvl w:val="0"/>
                <w:numId w:val="18"/>
              </w:numPr>
              <w:kinsoku/>
              <w:wordWrap/>
              <w:overflowPunct/>
              <w:autoSpaceDE/>
              <w:autoSpaceDN/>
              <w:bidi w:val="0"/>
              <w:ind w:left="0" w:right="0"/>
              <w:jc w:val="center"/>
              <w:textAlignment w:val="auto"/>
              <w:rPr>
                <w:rFonts w:ascii="Times New Roman" w:hAnsi="Times New Roman" w:cs="Times New Roman"/>
                <w:color w:val="auto"/>
                <w:sz w:val="21"/>
                <w:szCs w:val="21"/>
                <w:highlight w:val="none"/>
              </w:rPr>
            </w:pPr>
          </w:p>
        </w:tc>
        <w:tc>
          <w:tcPr>
            <w:tcW w:w="643" w:type="pct"/>
            <w:tcBorders>
              <w:tl2br w:val="nil"/>
              <w:tr2bl w:val="nil"/>
            </w:tcBorders>
            <w:vAlign w:val="center"/>
          </w:tcPr>
          <w:p w14:paraId="11157D34">
            <w:pPr>
              <w:keepNext w:val="0"/>
              <w:keepLines w:val="0"/>
              <w:pageBreakBefore w:val="0"/>
              <w:kinsoku/>
              <w:wordWrap/>
              <w:overflowPunct/>
              <w:autoSpaceDE/>
              <w:autoSpaceDN/>
              <w:bidi w:val="0"/>
              <w:ind w:left="0" w:right="0"/>
              <w:jc w:val="center"/>
              <w:textAlignment w:val="auto"/>
              <w:rPr>
                <w:rFonts w:hint="default" w:ascii="Times New Roman" w:hAnsi="Times New Roman" w:eastAsia="宋体" w:cs="Times New Roman"/>
                <w:color w:val="auto"/>
                <w:sz w:val="21"/>
                <w:szCs w:val="18"/>
                <w:highlight w:val="none"/>
                <w:lang w:val="en-US" w:eastAsia="zh-CN"/>
              </w:rPr>
            </w:pPr>
            <w:r>
              <w:rPr>
                <w:rFonts w:hint="eastAsia" w:ascii="Times New Roman" w:hAnsi="Times New Roman" w:cs="Times New Roman"/>
                <w:color w:val="auto"/>
                <w:sz w:val="21"/>
                <w:szCs w:val="18"/>
                <w:highlight w:val="none"/>
                <w:lang w:val="en-US" w:eastAsia="zh-CN"/>
              </w:rPr>
              <w:t>实验室清洗废水</w:t>
            </w:r>
          </w:p>
        </w:tc>
        <w:tc>
          <w:tcPr>
            <w:tcW w:w="720" w:type="pct"/>
            <w:tcBorders>
              <w:tl2br w:val="nil"/>
              <w:tr2bl w:val="nil"/>
            </w:tcBorders>
            <w:vAlign w:val="center"/>
          </w:tcPr>
          <w:p w14:paraId="4FB6B8A8">
            <w:pPr>
              <w:keepNext w:val="0"/>
              <w:keepLines w:val="0"/>
              <w:pageBreakBefore w:val="0"/>
              <w:kinsoku/>
              <w:wordWrap/>
              <w:overflowPunct/>
              <w:autoSpaceDE/>
              <w:autoSpaceDN/>
              <w:bidi w:val="0"/>
              <w:ind w:left="0" w:right="0"/>
              <w:jc w:val="center"/>
              <w:textAlignment w:val="auto"/>
              <w:rPr>
                <w:rFonts w:hint="eastAsia" w:eastAsia="宋体"/>
                <w:color w:val="auto"/>
                <w:sz w:val="21"/>
                <w:szCs w:val="18"/>
                <w:highlight w:val="none"/>
                <w:lang w:val="en-US" w:eastAsia="zh-CN"/>
              </w:rPr>
            </w:pPr>
            <w:r>
              <w:rPr>
                <w:rFonts w:hint="eastAsia"/>
                <w:color w:val="auto"/>
                <w:sz w:val="21"/>
                <w:szCs w:val="18"/>
                <w:highlight w:val="none"/>
                <w:lang w:val="en-US" w:eastAsia="zh-CN"/>
              </w:rPr>
              <w:t>实验</w:t>
            </w:r>
          </w:p>
        </w:tc>
        <w:tc>
          <w:tcPr>
            <w:tcW w:w="329" w:type="pct"/>
            <w:tcBorders>
              <w:tl2br w:val="nil"/>
              <w:tr2bl w:val="nil"/>
            </w:tcBorders>
            <w:vAlign w:val="center"/>
          </w:tcPr>
          <w:p w14:paraId="34A217D6">
            <w:pPr>
              <w:pStyle w:val="98"/>
              <w:keepNext w:val="0"/>
              <w:keepLines w:val="0"/>
              <w:pageBreakBefore w:val="0"/>
              <w:kinsoku/>
              <w:wordWrap/>
              <w:overflowPunct/>
              <w:autoSpaceDE/>
              <w:autoSpaceDN/>
              <w:bidi w:val="0"/>
              <w:adjustRightInd w:val="0"/>
              <w:snapToGrid w:val="0"/>
              <w:ind w:left="0" w:right="0"/>
              <w:textAlignment w:val="auto"/>
              <w:rPr>
                <w:rFonts w:hint="eastAsia" w:eastAsia="宋体"/>
                <w:color w:val="auto"/>
                <w:sz w:val="21"/>
                <w:szCs w:val="21"/>
                <w:highlight w:val="none"/>
                <w:lang w:val="en-US" w:eastAsia="zh-CN"/>
              </w:rPr>
            </w:pPr>
            <w:r>
              <w:rPr>
                <w:rFonts w:hint="eastAsia" w:eastAsia="宋体"/>
                <w:color w:val="auto"/>
                <w:sz w:val="21"/>
                <w:szCs w:val="21"/>
                <w:highlight w:val="none"/>
                <w:lang w:val="en-US" w:eastAsia="zh-CN"/>
              </w:rPr>
              <w:t>液态</w:t>
            </w:r>
          </w:p>
        </w:tc>
        <w:tc>
          <w:tcPr>
            <w:tcW w:w="730" w:type="pct"/>
            <w:tcBorders>
              <w:tl2br w:val="nil"/>
              <w:tr2bl w:val="nil"/>
            </w:tcBorders>
            <w:vAlign w:val="center"/>
          </w:tcPr>
          <w:p w14:paraId="6751DBC1">
            <w:pPr>
              <w:pStyle w:val="98"/>
              <w:keepNext w:val="0"/>
              <w:keepLines w:val="0"/>
              <w:pageBreakBefore w:val="0"/>
              <w:kinsoku/>
              <w:wordWrap/>
              <w:overflowPunct/>
              <w:autoSpaceDE/>
              <w:autoSpaceDN/>
              <w:bidi w:val="0"/>
              <w:adjustRightInd w:val="0"/>
              <w:snapToGrid w:val="0"/>
              <w:ind w:left="0" w:right="0"/>
              <w:textAlignment w:val="auto"/>
              <w:rPr>
                <w:rFonts w:hint="eastAsia" w:eastAsia="宋体"/>
                <w:color w:val="auto"/>
                <w:sz w:val="21"/>
                <w:szCs w:val="21"/>
                <w:highlight w:val="none"/>
                <w:lang w:val="en-US" w:eastAsia="zh-CN"/>
              </w:rPr>
            </w:pPr>
            <w:r>
              <w:rPr>
                <w:rFonts w:hint="eastAsia" w:eastAsia="宋体"/>
                <w:color w:val="auto"/>
                <w:sz w:val="21"/>
                <w:szCs w:val="21"/>
                <w:highlight w:val="none"/>
                <w:lang w:val="en-US" w:eastAsia="zh-CN"/>
              </w:rPr>
              <w:t>杂质</w:t>
            </w:r>
          </w:p>
        </w:tc>
        <w:tc>
          <w:tcPr>
            <w:tcW w:w="626" w:type="pct"/>
            <w:tcBorders>
              <w:tl2br w:val="nil"/>
              <w:tr2bl w:val="nil"/>
            </w:tcBorders>
            <w:vAlign w:val="center"/>
          </w:tcPr>
          <w:p w14:paraId="15AC8415">
            <w:pPr>
              <w:keepNext w:val="0"/>
              <w:keepLines w:val="0"/>
              <w:pageBreakBefore w:val="0"/>
              <w:kinsoku/>
              <w:wordWrap/>
              <w:overflowPunct/>
              <w:autoSpaceDE/>
              <w:autoSpaceDN/>
              <w:bidi w:val="0"/>
              <w:ind w:left="0" w:right="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0.1</w:t>
            </w:r>
          </w:p>
        </w:tc>
        <w:tc>
          <w:tcPr>
            <w:tcW w:w="927" w:type="dxa"/>
            <w:tcBorders>
              <w:tl2br w:val="nil"/>
              <w:tr2bl w:val="nil"/>
            </w:tcBorders>
            <w:vAlign w:val="center"/>
          </w:tcPr>
          <w:p w14:paraId="68D9F054">
            <w:pPr>
              <w:keepNext w:val="0"/>
              <w:keepLines w:val="0"/>
              <w:pageBreakBefore w:val="0"/>
              <w:kinsoku/>
              <w:wordWrap/>
              <w:overflowPunct/>
              <w:autoSpaceDE/>
              <w:autoSpaceDN/>
              <w:bidi w:val="0"/>
              <w:ind w:left="0" w:leftChars="0" w:right="0" w:rightChars="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w:t>
            </w:r>
          </w:p>
        </w:tc>
        <w:tc>
          <w:tcPr>
            <w:tcW w:w="927" w:type="dxa"/>
            <w:tcBorders>
              <w:tl2br w:val="nil"/>
              <w:tr2bl w:val="nil"/>
            </w:tcBorders>
            <w:vAlign w:val="center"/>
          </w:tcPr>
          <w:p w14:paraId="0CFDAC54">
            <w:pPr>
              <w:keepNext w:val="0"/>
              <w:keepLines w:val="0"/>
              <w:pageBreakBefore w:val="0"/>
              <w:kinsoku/>
              <w:wordWrap/>
              <w:overflowPunct/>
              <w:autoSpaceDE/>
              <w:autoSpaceDN/>
              <w:bidi w:val="0"/>
              <w:ind w:left="0" w:leftChars="0" w:right="0" w:rightChars="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w:t>
            </w:r>
          </w:p>
        </w:tc>
        <w:tc>
          <w:tcPr>
            <w:tcW w:w="626" w:type="pct"/>
            <w:vMerge w:val="continue"/>
            <w:tcBorders>
              <w:tl2br w:val="nil"/>
              <w:tr2bl w:val="nil"/>
            </w:tcBorders>
            <w:vAlign w:val="center"/>
          </w:tcPr>
          <w:p w14:paraId="18C5786F">
            <w:pPr>
              <w:keepNext w:val="0"/>
              <w:keepLines w:val="0"/>
              <w:pageBreakBefore w:val="0"/>
              <w:kinsoku/>
              <w:wordWrap/>
              <w:overflowPunct/>
              <w:autoSpaceDE/>
              <w:autoSpaceDN/>
              <w:bidi w:val="0"/>
              <w:ind w:left="0" w:right="0"/>
              <w:jc w:val="center"/>
              <w:textAlignment w:val="auto"/>
              <w:rPr>
                <w:rFonts w:ascii="Times New Roman" w:hAnsi="Times New Roman" w:cs="Times New Roman"/>
                <w:color w:val="auto"/>
                <w:sz w:val="21"/>
                <w:szCs w:val="21"/>
                <w:highlight w:val="none"/>
              </w:rPr>
            </w:pPr>
          </w:p>
        </w:tc>
      </w:tr>
    </w:tbl>
    <w:p w14:paraId="1F2636D1">
      <w:pPr>
        <w:spacing w:before="120" w:beforeLines="50" w:line="360" w:lineRule="auto"/>
        <w:ind w:left="-105" w:right="-105" w:firstLine="480" w:firstLineChars="200"/>
        <w:rPr>
          <w:rFonts w:ascii="Times New Roman" w:hAnsi="Times New Roman" w:cs="Times New Roman"/>
          <w:color w:val="auto"/>
          <w:highlight w:val="none"/>
        </w:rPr>
      </w:pPr>
      <w:r>
        <w:rPr>
          <w:rFonts w:hint="eastAsia"/>
          <w:color w:val="auto"/>
          <w:highlight w:val="none"/>
          <w:lang w:bidi="ar"/>
        </w:rPr>
        <w:t>根据上述分析，本项目营运期固废</w:t>
      </w:r>
      <w:r>
        <w:rPr>
          <w:rFonts w:ascii="Times New Roman" w:hAnsi="Times New Roman" w:cs="Times New Roman"/>
          <w:color w:val="auto"/>
          <w:highlight w:val="none"/>
          <w:lang w:bidi="ar"/>
        </w:rPr>
        <w:t>产生情况见</w:t>
      </w:r>
      <w:r>
        <w:rPr>
          <w:rFonts w:ascii="Times New Roman" w:hAnsi="Times New Roman" w:cs="Times New Roman"/>
          <w:color w:val="auto"/>
          <w:highlight w:val="none"/>
          <w:lang w:bidi="ar"/>
        </w:rPr>
        <w:fldChar w:fldCharType="begin"/>
      </w:r>
      <w:r>
        <w:rPr>
          <w:rFonts w:ascii="Times New Roman" w:hAnsi="Times New Roman" w:cs="Times New Roman"/>
          <w:color w:val="auto"/>
          <w:highlight w:val="none"/>
          <w:lang w:bidi="ar"/>
        </w:rPr>
        <w:instrText xml:space="preserve"> REF _Ref61965508 \h  \* MERGEFORMAT </w:instrText>
      </w:r>
      <w:r>
        <w:rPr>
          <w:rFonts w:ascii="Times New Roman" w:hAnsi="Times New Roman" w:cs="Times New Roman"/>
          <w:color w:val="auto"/>
          <w:highlight w:val="none"/>
          <w:lang w:bidi="ar"/>
        </w:rPr>
        <w:fldChar w:fldCharType="separate"/>
      </w:r>
      <w:r>
        <w:rPr>
          <w:rFonts w:ascii="Times New Roman" w:hAnsi="Times New Roman" w:cs="Times New Roman"/>
          <w:color w:val="auto"/>
          <w:highlight w:val="none"/>
        </w:rPr>
        <w:t>表</w:t>
      </w:r>
      <w:r>
        <w:rPr>
          <w:rFonts w:ascii="Times New Roman" w:hAnsi="Times New Roman" w:cs="Times New Roman"/>
          <w:color w:val="auto"/>
          <w:highlight w:val="none"/>
        </w:rPr>
        <w:fldChar w:fldCharType="begin"/>
      </w:r>
      <w:r>
        <w:rPr>
          <w:rFonts w:ascii="Times New Roman" w:hAnsi="Times New Roman" w:cs="Times New Roman"/>
          <w:color w:val="auto"/>
          <w:highlight w:val="none"/>
        </w:rPr>
        <w:instrText xml:space="preserve"> STYLEREF</w:instrText>
      </w:r>
      <w:r>
        <w:rPr>
          <w:rFonts w:ascii="Times New Roman" w:hAnsi="Times New Roman" w:cs="Times New Roman"/>
          <w:color w:val="auto"/>
          <w:highlight w:val="none"/>
        </w:rPr>
        <w:instrText xml:space="preserve"> 2 \s </w:instrText>
      </w:r>
      <w:r>
        <w:rPr>
          <w:rFonts w:ascii="Times New Roman" w:hAnsi="Times New Roman" w:cs="Times New Roman"/>
          <w:color w:val="auto"/>
          <w:highlight w:val="none"/>
        </w:rPr>
        <w:fldChar w:fldCharType="separate"/>
      </w:r>
      <w:r>
        <w:rPr>
          <w:rFonts w:ascii="Times New Roman" w:hAnsi="Times New Roman" w:cs="Times New Roman"/>
          <w:color w:val="auto"/>
          <w:highlight w:val="none"/>
        </w:rPr>
        <w:t>4.6</w:t>
      </w:r>
      <w:r>
        <w:rPr>
          <w:rFonts w:ascii="Times New Roman" w:hAnsi="Times New Roman" w:cs="Times New Roman"/>
          <w:color w:val="auto"/>
          <w:highlight w:val="none"/>
        </w:rPr>
        <w:fldChar w:fldCharType="end"/>
      </w:r>
      <w:r>
        <w:rPr>
          <w:rFonts w:ascii="Times New Roman" w:hAnsi="Times New Roman" w:cs="Times New Roman"/>
          <w:color w:val="auto"/>
          <w:highlight w:val="none"/>
        </w:rPr>
        <w:noBreakHyphen/>
      </w:r>
      <w:r>
        <w:rPr>
          <w:rFonts w:ascii="Times New Roman" w:hAnsi="Times New Roman" w:cs="Times New Roman"/>
          <w:color w:val="auto"/>
          <w:highlight w:val="none"/>
        </w:rPr>
        <w:t>11</w:t>
      </w:r>
      <w:r>
        <w:rPr>
          <w:rFonts w:ascii="Times New Roman" w:hAnsi="Times New Roman" w:cs="Times New Roman"/>
          <w:color w:val="auto"/>
          <w:highlight w:val="none"/>
          <w:lang w:bidi="ar"/>
        </w:rPr>
        <w:fldChar w:fldCharType="end"/>
      </w:r>
      <w:r>
        <w:rPr>
          <w:rFonts w:ascii="Times New Roman" w:hAnsi="Times New Roman" w:cs="Times New Roman"/>
          <w:color w:val="auto"/>
          <w:highlight w:val="none"/>
          <w:lang w:bidi="ar"/>
        </w:rPr>
        <w:t>，处理排放情况见</w:t>
      </w:r>
      <w:r>
        <w:rPr>
          <w:rFonts w:ascii="Times New Roman" w:hAnsi="Times New Roman" w:cs="Times New Roman"/>
          <w:color w:val="auto"/>
          <w:highlight w:val="none"/>
          <w:lang w:bidi="ar"/>
        </w:rPr>
        <w:fldChar w:fldCharType="begin"/>
      </w:r>
      <w:r>
        <w:rPr>
          <w:rFonts w:ascii="Times New Roman" w:hAnsi="Times New Roman" w:cs="Times New Roman"/>
          <w:color w:val="auto"/>
          <w:highlight w:val="none"/>
          <w:lang w:bidi="ar"/>
        </w:rPr>
        <w:instrText xml:space="preserve"> REF _Ref23722 \h </w:instrText>
      </w:r>
      <w:r>
        <w:rPr>
          <w:rFonts w:ascii="Times New Roman" w:hAnsi="Times New Roman" w:cs="Times New Roman"/>
          <w:color w:val="auto"/>
          <w:highlight w:val="none"/>
          <w:lang w:bidi="ar"/>
        </w:rPr>
        <w:fldChar w:fldCharType="separate"/>
      </w:r>
      <w:r>
        <w:rPr>
          <w:rFonts w:ascii="Times New Roman" w:hAnsi="Times New Roman" w:cs="Times New Roman"/>
          <w:color w:val="auto"/>
          <w:szCs w:val="18"/>
          <w:highlight w:val="none"/>
        </w:rPr>
        <w:t>表</w:t>
      </w:r>
      <w:r>
        <w:rPr>
          <w:rFonts w:ascii="Times New Roman" w:hAnsi="Times New Roman" w:cs="Times New Roman"/>
          <w:color w:val="auto"/>
          <w:szCs w:val="18"/>
          <w:highlight w:val="none"/>
        </w:rPr>
        <w:fldChar w:fldCharType="begin"/>
      </w:r>
      <w:r>
        <w:rPr>
          <w:rFonts w:ascii="Times New Roman" w:hAnsi="Times New Roman" w:cs="Times New Roman"/>
          <w:color w:val="auto"/>
          <w:szCs w:val="18"/>
          <w:highlight w:val="none"/>
        </w:rPr>
        <w:instrText xml:space="preserve"> STYLEREF 2 \s </w:instrText>
      </w:r>
      <w:r>
        <w:rPr>
          <w:rFonts w:ascii="Times New Roman" w:hAnsi="Times New Roman" w:cs="Times New Roman"/>
          <w:color w:val="auto"/>
          <w:szCs w:val="18"/>
          <w:highlight w:val="none"/>
        </w:rPr>
        <w:fldChar w:fldCharType="separate"/>
      </w:r>
      <w:r>
        <w:rPr>
          <w:rFonts w:ascii="Times New Roman" w:hAnsi="Times New Roman" w:cs="Times New Roman"/>
          <w:color w:val="auto"/>
          <w:szCs w:val="18"/>
          <w:highlight w:val="none"/>
        </w:rPr>
        <w:t>4.6</w:t>
      </w:r>
      <w:r>
        <w:rPr>
          <w:rFonts w:ascii="Times New Roman" w:hAnsi="Times New Roman" w:cs="Times New Roman"/>
          <w:color w:val="auto"/>
          <w:szCs w:val="18"/>
          <w:highlight w:val="none"/>
        </w:rPr>
        <w:fldChar w:fldCharType="end"/>
      </w:r>
      <w:r>
        <w:rPr>
          <w:rFonts w:ascii="Times New Roman" w:hAnsi="Times New Roman" w:cs="Times New Roman"/>
          <w:color w:val="auto"/>
          <w:szCs w:val="18"/>
          <w:highlight w:val="none"/>
        </w:rPr>
        <w:noBreakHyphen/>
      </w:r>
      <w:r>
        <w:rPr>
          <w:rFonts w:ascii="Times New Roman" w:hAnsi="Times New Roman" w:cs="Times New Roman"/>
          <w:color w:val="auto"/>
          <w:szCs w:val="18"/>
          <w:highlight w:val="none"/>
        </w:rPr>
        <w:t>12</w:t>
      </w:r>
      <w:r>
        <w:rPr>
          <w:rFonts w:ascii="Times New Roman" w:hAnsi="Times New Roman" w:cs="Times New Roman"/>
          <w:color w:val="auto"/>
          <w:highlight w:val="none"/>
          <w:lang w:bidi="ar"/>
        </w:rPr>
        <w:fldChar w:fldCharType="end"/>
      </w:r>
      <w:r>
        <w:rPr>
          <w:rFonts w:ascii="Times New Roman" w:hAnsi="Times New Roman" w:cs="Times New Roman"/>
          <w:color w:val="auto"/>
          <w:highlight w:val="none"/>
          <w:lang w:bidi="ar"/>
        </w:rPr>
        <w:t>，危险废物情况见</w:t>
      </w:r>
      <w:r>
        <w:rPr>
          <w:rFonts w:ascii="Times New Roman" w:hAnsi="Times New Roman" w:cs="Times New Roman"/>
          <w:color w:val="auto"/>
          <w:highlight w:val="none"/>
          <w:lang w:bidi="ar"/>
        </w:rPr>
        <w:fldChar w:fldCharType="begin"/>
      </w:r>
      <w:r>
        <w:rPr>
          <w:rFonts w:ascii="Times New Roman" w:hAnsi="Times New Roman" w:cs="Times New Roman"/>
          <w:color w:val="auto"/>
          <w:highlight w:val="none"/>
          <w:lang w:bidi="ar"/>
        </w:rPr>
        <w:instrText xml:space="preserve"> REF _Ref23768 \h </w:instrText>
      </w:r>
      <w:r>
        <w:rPr>
          <w:rFonts w:ascii="Times New Roman" w:hAnsi="Times New Roman" w:cs="Times New Roman"/>
          <w:color w:val="auto"/>
          <w:highlight w:val="none"/>
          <w:lang w:bidi="ar"/>
        </w:rPr>
        <w:fldChar w:fldCharType="separate"/>
      </w:r>
      <w:r>
        <w:rPr>
          <w:rFonts w:ascii="Times New Roman" w:hAnsi="Times New Roman" w:cs="Times New Roman"/>
          <w:color w:val="auto"/>
          <w:szCs w:val="18"/>
          <w:highlight w:val="none"/>
        </w:rPr>
        <w:t>表</w:t>
      </w:r>
      <w:r>
        <w:rPr>
          <w:rFonts w:ascii="Times New Roman" w:hAnsi="Times New Roman" w:cs="Times New Roman"/>
          <w:color w:val="auto"/>
          <w:szCs w:val="18"/>
          <w:highlight w:val="none"/>
        </w:rPr>
        <w:fldChar w:fldCharType="begin"/>
      </w:r>
      <w:r>
        <w:rPr>
          <w:rFonts w:ascii="Times New Roman" w:hAnsi="Times New Roman" w:cs="Times New Roman"/>
          <w:color w:val="auto"/>
          <w:szCs w:val="18"/>
          <w:highlight w:val="none"/>
        </w:rPr>
        <w:instrText xml:space="preserve"> STYLEREF 2 \s </w:instrText>
      </w:r>
      <w:r>
        <w:rPr>
          <w:rFonts w:ascii="Times New Roman" w:hAnsi="Times New Roman" w:cs="Times New Roman"/>
          <w:color w:val="auto"/>
          <w:szCs w:val="18"/>
          <w:highlight w:val="none"/>
        </w:rPr>
        <w:fldChar w:fldCharType="separate"/>
      </w:r>
      <w:r>
        <w:rPr>
          <w:rFonts w:ascii="Times New Roman" w:hAnsi="Times New Roman" w:cs="Times New Roman"/>
          <w:color w:val="auto"/>
          <w:szCs w:val="18"/>
          <w:highlight w:val="none"/>
        </w:rPr>
        <w:t>4.6</w:t>
      </w:r>
      <w:r>
        <w:rPr>
          <w:rFonts w:ascii="Times New Roman" w:hAnsi="Times New Roman" w:cs="Times New Roman"/>
          <w:color w:val="auto"/>
          <w:szCs w:val="18"/>
          <w:highlight w:val="none"/>
        </w:rPr>
        <w:fldChar w:fldCharType="end"/>
      </w:r>
      <w:r>
        <w:rPr>
          <w:rFonts w:ascii="Times New Roman" w:hAnsi="Times New Roman" w:cs="Times New Roman"/>
          <w:color w:val="auto"/>
          <w:szCs w:val="18"/>
          <w:highlight w:val="none"/>
        </w:rPr>
        <w:noBreakHyphen/>
      </w:r>
      <w:r>
        <w:rPr>
          <w:rFonts w:ascii="Times New Roman" w:hAnsi="Times New Roman" w:cs="Times New Roman"/>
          <w:color w:val="auto"/>
          <w:szCs w:val="18"/>
          <w:highlight w:val="none"/>
        </w:rPr>
        <w:t>13</w:t>
      </w:r>
      <w:r>
        <w:rPr>
          <w:rFonts w:ascii="Times New Roman" w:hAnsi="Times New Roman" w:cs="Times New Roman"/>
          <w:color w:val="auto"/>
          <w:highlight w:val="none"/>
          <w:lang w:bidi="ar"/>
        </w:rPr>
        <w:fldChar w:fldCharType="end"/>
      </w:r>
      <w:r>
        <w:rPr>
          <w:rFonts w:ascii="Times New Roman" w:hAnsi="Times New Roman" w:cs="Times New Roman"/>
          <w:color w:val="auto"/>
          <w:highlight w:val="none"/>
          <w:lang w:bidi="ar"/>
        </w:rPr>
        <w:t>。</w:t>
      </w:r>
    </w:p>
    <w:p w14:paraId="21EBA920">
      <w:pPr>
        <w:pStyle w:val="15"/>
        <w:spacing w:after="120" w:afterLines="50"/>
        <w:ind w:left="-105" w:right="-105" w:firstLine="482"/>
        <w:rPr>
          <w:rFonts w:eastAsia="宋体" w:cs="Times New Roman"/>
          <w:color w:val="auto"/>
          <w:sz w:val="24"/>
          <w:szCs w:val="24"/>
          <w:highlight w:val="none"/>
        </w:rPr>
      </w:pPr>
      <w:bookmarkStart w:id="241" w:name="_Ref61965508"/>
      <w:bookmarkStart w:id="242" w:name="_Ref23946"/>
      <w:r>
        <w:rPr>
          <w:rFonts w:eastAsia="宋体" w:cs="Times New Roman"/>
          <w:color w:val="auto"/>
          <w:sz w:val="24"/>
          <w:szCs w:val="24"/>
          <w:highlight w:val="none"/>
        </w:rPr>
        <w:t>表</w:t>
      </w:r>
      <w:r>
        <w:rPr>
          <w:rFonts w:eastAsia="宋体" w:cs="Times New Roman"/>
          <w:color w:val="auto"/>
          <w:sz w:val="24"/>
          <w:szCs w:val="24"/>
          <w:highlight w:val="none"/>
        </w:rPr>
        <w:fldChar w:fldCharType="begin"/>
      </w:r>
      <w:r>
        <w:rPr>
          <w:rFonts w:eastAsia="宋体" w:cs="Times New Roman"/>
          <w:color w:val="auto"/>
          <w:sz w:val="24"/>
          <w:szCs w:val="24"/>
          <w:highlight w:val="none"/>
        </w:rPr>
        <w:instrText xml:space="preserve"> STYLEREF 2 \s </w:instrText>
      </w:r>
      <w:r>
        <w:rPr>
          <w:rFonts w:eastAsia="宋体" w:cs="Times New Roman"/>
          <w:color w:val="auto"/>
          <w:sz w:val="24"/>
          <w:szCs w:val="24"/>
          <w:highlight w:val="none"/>
        </w:rPr>
        <w:fldChar w:fldCharType="separate"/>
      </w:r>
      <w:r>
        <w:rPr>
          <w:rFonts w:eastAsia="宋体" w:cs="Times New Roman"/>
          <w:color w:val="auto"/>
          <w:sz w:val="24"/>
          <w:szCs w:val="24"/>
          <w:highlight w:val="none"/>
        </w:rPr>
        <w:t>4.6</w:t>
      </w:r>
      <w:r>
        <w:rPr>
          <w:rFonts w:eastAsia="宋体" w:cs="Times New Roman"/>
          <w:color w:val="auto"/>
          <w:sz w:val="24"/>
          <w:szCs w:val="24"/>
          <w:highlight w:val="none"/>
        </w:rPr>
        <w:fldChar w:fldCharType="end"/>
      </w:r>
      <w:r>
        <w:rPr>
          <w:rFonts w:eastAsia="宋体" w:cs="Times New Roman"/>
          <w:color w:val="auto"/>
          <w:sz w:val="24"/>
          <w:szCs w:val="24"/>
          <w:highlight w:val="none"/>
        </w:rPr>
        <w:noBreakHyphen/>
      </w:r>
      <w:r>
        <w:rPr>
          <w:rFonts w:eastAsia="宋体" w:cs="Times New Roman"/>
          <w:color w:val="auto"/>
          <w:sz w:val="24"/>
          <w:szCs w:val="24"/>
          <w:highlight w:val="none"/>
        </w:rPr>
        <w:fldChar w:fldCharType="begin"/>
      </w:r>
      <w:r>
        <w:rPr>
          <w:rFonts w:eastAsia="宋体" w:cs="Times New Roman"/>
          <w:color w:val="auto"/>
          <w:sz w:val="24"/>
          <w:szCs w:val="24"/>
          <w:highlight w:val="none"/>
        </w:rPr>
        <w:instrText xml:space="preserve"> SEQ 表 \* ARABIC \s 2 </w:instrText>
      </w:r>
      <w:r>
        <w:rPr>
          <w:rFonts w:eastAsia="宋体" w:cs="Times New Roman"/>
          <w:color w:val="auto"/>
          <w:sz w:val="24"/>
          <w:szCs w:val="24"/>
          <w:highlight w:val="none"/>
        </w:rPr>
        <w:fldChar w:fldCharType="separate"/>
      </w:r>
      <w:r>
        <w:rPr>
          <w:rFonts w:eastAsia="宋体" w:cs="Times New Roman"/>
          <w:color w:val="auto"/>
          <w:sz w:val="24"/>
          <w:szCs w:val="24"/>
          <w:highlight w:val="none"/>
        </w:rPr>
        <w:t>11</w:t>
      </w:r>
      <w:r>
        <w:rPr>
          <w:rFonts w:eastAsia="宋体" w:cs="Times New Roman"/>
          <w:color w:val="auto"/>
          <w:sz w:val="24"/>
          <w:szCs w:val="24"/>
          <w:highlight w:val="none"/>
        </w:rPr>
        <w:fldChar w:fldCharType="end"/>
      </w:r>
      <w:bookmarkEnd w:id="241"/>
      <w:r>
        <w:rPr>
          <w:rFonts w:eastAsia="宋体" w:cs="Times New Roman"/>
          <w:color w:val="auto"/>
          <w:sz w:val="24"/>
          <w:szCs w:val="24"/>
          <w:highlight w:val="none"/>
        </w:rPr>
        <w:t>本项目固体废物分析结果汇总表</w:t>
      </w:r>
      <w:bookmarkEnd w:id="242"/>
    </w:p>
    <w:tbl>
      <w:tblPr>
        <w:tblStyle w:val="45"/>
        <w:tblW w:w="4997"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0" w:type="dxa"/>
          <w:bottom w:w="0" w:type="dxa"/>
          <w:right w:w="0" w:type="dxa"/>
        </w:tblCellMar>
      </w:tblPr>
      <w:tblGrid>
        <w:gridCol w:w="355"/>
        <w:gridCol w:w="845"/>
        <w:gridCol w:w="488"/>
        <w:gridCol w:w="936"/>
        <w:gridCol w:w="533"/>
        <w:gridCol w:w="1368"/>
        <w:gridCol w:w="664"/>
        <w:gridCol w:w="635"/>
        <w:gridCol w:w="1108"/>
        <w:gridCol w:w="781"/>
        <w:gridCol w:w="786"/>
      </w:tblGrid>
      <w:tr w14:paraId="0ED1B37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209" w:type="pct"/>
            <w:tcBorders>
              <w:tl2br w:val="nil"/>
              <w:tr2bl w:val="nil"/>
            </w:tcBorders>
            <w:vAlign w:val="center"/>
          </w:tcPr>
          <w:p w14:paraId="30B2D645">
            <w:pPr>
              <w:pStyle w:val="98"/>
              <w:keepNext w:val="0"/>
              <w:keepLines w:val="0"/>
              <w:pageBreakBefore w:val="0"/>
              <w:kinsoku/>
              <w:wordWrap/>
              <w:overflowPunct/>
              <w:topLinePunct w:val="0"/>
              <w:autoSpaceDE/>
              <w:autoSpaceDN/>
              <w:bidi w:val="0"/>
              <w:adjustRightInd w:val="0"/>
              <w:snapToGrid w:val="0"/>
              <w:ind w:left="0" w:right="0"/>
              <w:rPr>
                <w:rFonts w:eastAsia="宋体"/>
                <w:b/>
                <w:bCs/>
                <w:color w:val="auto"/>
                <w:sz w:val="21"/>
                <w:szCs w:val="21"/>
                <w:highlight w:val="none"/>
              </w:rPr>
            </w:pPr>
            <w:r>
              <w:rPr>
                <w:rFonts w:eastAsia="宋体"/>
                <w:b/>
                <w:bCs/>
                <w:color w:val="auto"/>
                <w:sz w:val="21"/>
                <w:szCs w:val="21"/>
                <w:highlight w:val="none"/>
              </w:rPr>
              <w:t>序号</w:t>
            </w:r>
          </w:p>
        </w:tc>
        <w:tc>
          <w:tcPr>
            <w:tcW w:w="497" w:type="pct"/>
            <w:tcBorders>
              <w:tl2br w:val="nil"/>
              <w:tr2bl w:val="nil"/>
            </w:tcBorders>
            <w:vAlign w:val="center"/>
          </w:tcPr>
          <w:p w14:paraId="19CAE785">
            <w:pPr>
              <w:pStyle w:val="98"/>
              <w:keepNext w:val="0"/>
              <w:keepLines w:val="0"/>
              <w:pageBreakBefore w:val="0"/>
              <w:kinsoku/>
              <w:wordWrap/>
              <w:overflowPunct/>
              <w:topLinePunct w:val="0"/>
              <w:autoSpaceDE/>
              <w:autoSpaceDN/>
              <w:bidi w:val="0"/>
              <w:adjustRightInd w:val="0"/>
              <w:snapToGrid w:val="0"/>
              <w:ind w:left="0" w:right="0"/>
              <w:rPr>
                <w:rFonts w:eastAsia="宋体"/>
                <w:b/>
                <w:bCs/>
                <w:color w:val="auto"/>
                <w:sz w:val="21"/>
                <w:szCs w:val="21"/>
                <w:highlight w:val="none"/>
              </w:rPr>
            </w:pPr>
            <w:r>
              <w:rPr>
                <w:rFonts w:eastAsia="宋体"/>
                <w:b/>
                <w:bCs/>
                <w:color w:val="auto"/>
                <w:sz w:val="21"/>
                <w:szCs w:val="21"/>
                <w:highlight w:val="none"/>
              </w:rPr>
              <w:t>固废名称</w:t>
            </w:r>
          </w:p>
        </w:tc>
        <w:tc>
          <w:tcPr>
            <w:tcW w:w="287" w:type="pct"/>
            <w:tcBorders>
              <w:tl2br w:val="nil"/>
              <w:tr2bl w:val="nil"/>
            </w:tcBorders>
            <w:vAlign w:val="center"/>
          </w:tcPr>
          <w:p w14:paraId="29103023">
            <w:pPr>
              <w:pStyle w:val="98"/>
              <w:keepNext w:val="0"/>
              <w:keepLines w:val="0"/>
              <w:pageBreakBefore w:val="0"/>
              <w:kinsoku/>
              <w:wordWrap/>
              <w:overflowPunct/>
              <w:topLinePunct w:val="0"/>
              <w:autoSpaceDE/>
              <w:autoSpaceDN/>
              <w:bidi w:val="0"/>
              <w:adjustRightInd w:val="0"/>
              <w:snapToGrid w:val="0"/>
              <w:ind w:left="0" w:right="0"/>
              <w:rPr>
                <w:rFonts w:eastAsia="宋体"/>
                <w:b/>
                <w:bCs/>
                <w:color w:val="auto"/>
                <w:sz w:val="21"/>
                <w:szCs w:val="21"/>
                <w:highlight w:val="none"/>
              </w:rPr>
            </w:pPr>
            <w:r>
              <w:rPr>
                <w:rFonts w:eastAsia="宋体"/>
                <w:b/>
                <w:bCs/>
                <w:color w:val="auto"/>
                <w:sz w:val="21"/>
                <w:szCs w:val="21"/>
                <w:highlight w:val="none"/>
              </w:rPr>
              <w:t>属性</w:t>
            </w:r>
          </w:p>
        </w:tc>
        <w:tc>
          <w:tcPr>
            <w:tcW w:w="550" w:type="pct"/>
            <w:tcBorders>
              <w:tl2br w:val="nil"/>
              <w:tr2bl w:val="nil"/>
            </w:tcBorders>
            <w:vAlign w:val="center"/>
          </w:tcPr>
          <w:p w14:paraId="77721ABC">
            <w:pPr>
              <w:pStyle w:val="98"/>
              <w:keepNext w:val="0"/>
              <w:keepLines w:val="0"/>
              <w:pageBreakBefore w:val="0"/>
              <w:kinsoku/>
              <w:wordWrap/>
              <w:overflowPunct/>
              <w:topLinePunct w:val="0"/>
              <w:autoSpaceDE/>
              <w:autoSpaceDN/>
              <w:bidi w:val="0"/>
              <w:adjustRightInd w:val="0"/>
              <w:snapToGrid w:val="0"/>
              <w:ind w:left="0" w:right="0"/>
              <w:rPr>
                <w:rFonts w:eastAsia="宋体"/>
                <w:b/>
                <w:bCs/>
                <w:color w:val="auto"/>
                <w:sz w:val="21"/>
                <w:szCs w:val="21"/>
                <w:highlight w:val="none"/>
              </w:rPr>
            </w:pPr>
            <w:r>
              <w:rPr>
                <w:rFonts w:eastAsia="宋体"/>
                <w:b/>
                <w:bCs/>
                <w:color w:val="auto"/>
                <w:sz w:val="21"/>
                <w:szCs w:val="21"/>
                <w:highlight w:val="none"/>
              </w:rPr>
              <w:t>产生工序</w:t>
            </w:r>
          </w:p>
        </w:tc>
        <w:tc>
          <w:tcPr>
            <w:tcW w:w="313" w:type="pct"/>
            <w:tcBorders>
              <w:tl2br w:val="nil"/>
              <w:tr2bl w:val="nil"/>
            </w:tcBorders>
            <w:vAlign w:val="center"/>
          </w:tcPr>
          <w:p w14:paraId="3AECAC5E">
            <w:pPr>
              <w:pStyle w:val="98"/>
              <w:keepNext w:val="0"/>
              <w:keepLines w:val="0"/>
              <w:pageBreakBefore w:val="0"/>
              <w:kinsoku/>
              <w:wordWrap/>
              <w:overflowPunct/>
              <w:topLinePunct w:val="0"/>
              <w:autoSpaceDE/>
              <w:autoSpaceDN/>
              <w:bidi w:val="0"/>
              <w:adjustRightInd w:val="0"/>
              <w:snapToGrid w:val="0"/>
              <w:ind w:left="0" w:right="0"/>
              <w:rPr>
                <w:rFonts w:eastAsia="宋体"/>
                <w:b/>
                <w:bCs/>
                <w:color w:val="auto"/>
                <w:sz w:val="21"/>
                <w:szCs w:val="21"/>
                <w:highlight w:val="none"/>
              </w:rPr>
            </w:pPr>
            <w:r>
              <w:rPr>
                <w:rFonts w:eastAsia="宋体"/>
                <w:b/>
                <w:bCs/>
                <w:color w:val="auto"/>
                <w:sz w:val="21"/>
                <w:szCs w:val="21"/>
                <w:highlight w:val="none"/>
              </w:rPr>
              <w:t>形态</w:t>
            </w:r>
          </w:p>
        </w:tc>
        <w:tc>
          <w:tcPr>
            <w:tcW w:w="804" w:type="pct"/>
            <w:tcBorders>
              <w:tl2br w:val="nil"/>
              <w:tr2bl w:val="nil"/>
            </w:tcBorders>
            <w:vAlign w:val="center"/>
          </w:tcPr>
          <w:p w14:paraId="2F476D5D">
            <w:pPr>
              <w:pStyle w:val="98"/>
              <w:keepNext w:val="0"/>
              <w:keepLines w:val="0"/>
              <w:pageBreakBefore w:val="0"/>
              <w:kinsoku/>
              <w:wordWrap/>
              <w:overflowPunct/>
              <w:topLinePunct w:val="0"/>
              <w:autoSpaceDE/>
              <w:autoSpaceDN/>
              <w:bidi w:val="0"/>
              <w:adjustRightInd w:val="0"/>
              <w:snapToGrid w:val="0"/>
              <w:ind w:left="0" w:right="0"/>
              <w:rPr>
                <w:rFonts w:eastAsia="宋体"/>
                <w:b/>
                <w:bCs/>
                <w:color w:val="auto"/>
                <w:sz w:val="21"/>
                <w:szCs w:val="21"/>
                <w:highlight w:val="none"/>
              </w:rPr>
            </w:pPr>
            <w:r>
              <w:rPr>
                <w:rFonts w:eastAsia="宋体"/>
                <w:b/>
                <w:bCs/>
                <w:color w:val="auto"/>
                <w:sz w:val="21"/>
                <w:szCs w:val="21"/>
                <w:highlight w:val="none"/>
              </w:rPr>
              <w:t>主要成分</w:t>
            </w:r>
          </w:p>
        </w:tc>
        <w:tc>
          <w:tcPr>
            <w:tcW w:w="390" w:type="pct"/>
            <w:tcBorders>
              <w:tl2br w:val="nil"/>
              <w:tr2bl w:val="nil"/>
            </w:tcBorders>
            <w:vAlign w:val="center"/>
          </w:tcPr>
          <w:p w14:paraId="57BA7951">
            <w:pPr>
              <w:pStyle w:val="98"/>
              <w:keepNext w:val="0"/>
              <w:keepLines w:val="0"/>
              <w:pageBreakBefore w:val="0"/>
              <w:kinsoku/>
              <w:wordWrap/>
              <w:overflowPunct/>
              <w:topLinePunct w:val="0"/>
              <w:autoSpaceDE/>
              <w:autoSpaceDN/>
              <w:bidi w:val="0"/>
              <w:adjustRightInd w:val="0"/>
              <w:snapToGrid w:val="0"/>
              <w:ind w:left="0" w:right="0"/>
              <w:rPr>
                <w:rFonts w:eastAsia="宋体"/>
                <w:b/>
                <w:bCs/>
                <w:color w:val="auto"/>
                <w:sz w:val="21"/>
                <w:szCs w:val="21"/>
                <w:highlight w:val="none"/>
              </w:rPr>
            </w:pPr>
            <w:r>
              <w:rPr>
                <w:rFonts w:eastAsia="宋体"/>
                <w:b/>
                <w:bCs/>
                <w:color w:val="auto"/>
                <w:sz w:val="21"/>
                <w:szCs w:val="21"/>
                <w:highlight w:val="none"/>
              </w:rPr>
              <w:t>危险特性</w:t>
            </w:r>
          </w:p>
        </w:tc>
        <w:tc>
          <w:tcPr>
            <w:tcW w:w="373" w:type="pct"/>
            <w:tcBorders>
              <w:tl2br w:val="nil"/>
              <w:tr2bl w:val="nil"/>
            </w:tcBorders>
            <w:vAlign w:val="center"/>
          </w:tcPr>
          <w:p w14:paraId="7D7CB75A">
            <w:pPr>
              <w:pStyle w:val="98"/>
              <w:keepNext w:val="0"/>
              <w:keepLines w:val="0"/>
              <w:pageBreakBefore w:val="0"/>
              <w:kinsoku/>
              <w:wordWrap/>
              <w:overflowPunct/>
              <w:topLinePunct w:val="0"/>
              <w:autoSpaceDE/>
              <w:autoSpaceDN/>
              <w:bidi w:val="0"/>
              <w:adjustRightInd w:val="0"/>
              <w:snapToGrid w:val="0"/>
              <w:ind w:left="0" w:right="0"/>
              <w:rPr>
                <w:rFonts w:eastAsia="宋体"/>
                <w:b/>
                <w:bCs/>
                <w:color w:val="auto"/>
                <w:sz w:val="21"/>
                <w:szCs w:val="21"/>
                <w:highlight w:val="none"/>
              </w:rPr>
            </w:pPr>
            <w:r>
              <w:rPr>
                <w:rFonts w:eastAsia="宋体"/>
                <w:b/>
                <w:bCs/>
                <w:color w:val="auto"/>
                <w:sz w:val="21"/>
                <w:szCs w:val="21"/>
                <w:highlight w:val="none"/>
              </w:rPr>
              <w:t>废物类别</w:t>
            </w:r>
          </w:p>
        </w:tc>
        <w:tc>
          <w:tcPr>
            <w:tcW w:w="651" w:type="pct"/>
            <w:tcBorders>
              <w:tl2br w:val="nil"/>
              <w:tr2bl w:val="nil"/>
            </w:tcBorders>
            <w:vAlign w:val="center"/>
          </w:tcPr>
          <w:p w14:paraId="310E1CA0">
            <w:pPr>
              <w:pStyle w:val="98"/>
              <w:keepNext w:val="0"/>
              <w:keepLines w:val="0"/>
              <w:pageBreakBefore w:val="0"/>
              <w:kinsoku/>
              <w:wordWrap/>
              <w:overflowPunct/>
              <w:topLinePunct w:val="0"/>
              <w:autoSpaceDE/>
              <w:autoSpaceDN/>
              <w:bidi w:val="0"/>
              <w:adjustRightInd w:val="0"/>
              <w:snapToGrid w:val="0"/>
              <w:ind w:left="0" w:right="0"/>
              <w:rPr>
                <w:rFonts w:eastAsia="宋体"/>
                <w:b/>
                <w:bCs/>
                <w:color w:val="auto"/>
                <w:sz w:val="21"/>
                <w:szCs w:val="21"/>
                <w:highlight w:val="none"/>
              </w:rPr>
            </w:pPr>
            <w:r>
              <w:rPr>
                <w:rFonts w:eastAsia="宋体"/>
                <w:b/>
                <w:bCs/>
                <w:color w:val="auto"/>
                <w:sz w:val="21"/>
                <w:szCs w:val="21"/>
                <w:highlight w:val="none"/>
              </w:rPr>
              <w:t>废物代码</w:t>
            </w:r>
          </w:p>
        </w:tc>
        <w:tc>
          <w:tcPr>
            <w:tcW w:w="459" w:type="pct"/>
            <w:tcBorders>
              <w:tl2br w:val="nil"/>
              <w:tr2bl w:val="nil"/>
            </w:tcBorders>
            <w:vAlign w:val="center"/>
          </w:tcPr>
          <w:p w14:paraId="29C66E5D">
            <w:pPr>
              <w:pStyle w:val="98"/>
              <w:keepNext w:val="0"/>
              <w:keepLines w:val="0"/>
              <w:pageBreakBefore w:val="0"/>
              <w:kinsoku/>
              <w:wordWrap/>
              <w:overflowPunct/>
              <w:topLinePunct w:val="0"/>
              <w:autoSpaceDE/>
              <w:autoSpaceDN/>
              <w:bidi w:val="0"/>
              <w:adjustRightInd w:val="0"/>
              <w:snapToGrid w:val="0"/>
              <w:ind w:left="0" w:right="0"/>
              <w:rPr>
                <w:rFonts w:eastAsia="宋体"/>
                <w:b/>
                <w:bCs/>
                <w:color w:val="auto"/>
                <w:sz w:val="21"/>
                <w:szCs w:val="21"/>
                <w:highlight w:val="none"/>
                <w:lang w:val="en-US"/>
              </w:rPr>
            </w:pPr>
            <w:r>
              <w:rPr>
                <w:rFonts w:eastAsia="宋体"/>
                <w:b/>
                <w:bCs/>
                <w:color w:val="auto"/>
                <w:sz w:val="21"/>
                <w:szCs w:val="21"/>
                <w:highlight w:val="none"/>
                <w:lang w:val="en-US"/>
              </w:rPr>
              <w:t>年</w:t>
            </w:r>
            <w:r>
              <w:rPr>
                <w:rFonts w:eastAsia="宋体"/>
                <w:b/>
                <w:bCs/>
                <w:color w:val="auto"/>
                <w:sz w:val="21"/>
                <w:szCs w:val="21"/>
                <w:highlight w:val="none"/>
              </w:rPr>
              <w:t>产量</w:t>
            </w:r>
            <w:r>
              <w:rPr>
                <w:rFonts w:eastAsia="宋体"/>
                <w:b/>
                <w:bCs/>
                <w:color w:val="auto"/>
                <w:sz w:val="21"/>
                <w:szCs w:val="21"/>
                <w:highlight w:val="none"/>
                <w:lang w:val="en-US"/>
              </w:rPr>
              <w:t>（t/a）</w:t>
            </w:r>
          </w:p>
        </w:tc>
        <w:tc>
          <w:tcPr>
            <w:tcW w:w="462" w:type="pct"/>
            <w:tcBorders>
              <w:tl2br w:val="nil"/>
              <w:tr2bl w:val="nil"/>
            </w:tcBorders>
            <w:vAlign w:val="center"/>
          </w:tcPr>
          <w:p w14:paraId="5F58B9DC">
            <w:pPr>
              <w:pStyle w:val="98"/>
              <w:keepNext w:val="0"/>
              <w:keepLines w:val="0"/>
              <w:pageBreakBefore w:val="0"/>
              <w:kinsoku/>
              <w:wordWrap/>
              <w:overflowPunct/>
              <w:topLinePunct w:val="0"/>
              <w:autoSpaceDE/>
              <w:autoSpaceDN/>
              <w:bidi w:val="0"/>
              <w:adjustRightInd w:val="0"/>
              <w:snapToGrid w:val="0"/>
              <w:ind w:left="0" w:right="0"/>
              <w:rPr>
                <w:rFonts w:eastAsia="宋体"/>
                <w:b/>
                <w:bCs/>
                <w:color w:val="auto"/>
                <w:sz w:val="21"/>
                <w:szCs w:val="21"/>
                <w:highlight w:val="none"/>
                <w:lang w:val="en-US"/>
              </w:rPr>
            </w:pPr>
            <w:r>
              <w:rPr>
                <w:rFonts w:eastAsia="宋体"/>
                <w:b/>
                <w:bCs/>
                <w:color w:val="auto"/>
                <w:sz w:val="21"/>
                <w:szCs w:val="21"/>
                <w:highlight w:val="none"/>
                <w:lang w:val="en-US"/>
              </w:rPr>
              <w:t>最大储存量（t）</w:t>
            </w:r>
          </w:p>
        </w:tc>
      </w:tr>
      <w:tr w14:paraId="0077D32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209" w:type="pct"/>
            <w:tcBorders>
              <w:tl2br w:val="nil"/>
              <w:tr2bl w:val="nil"/>
            </w:tcBorders>
            <w:vAlign w:val="center"/>
          </w:tcPr>
          <w:p w14:paraId="0758F802">
            <w:pPr>
              <w:keepNext w:val="0"/>
              <w:keepLines w:val="0"/>
              <w:pageBreakBefore w:val="0"/>
              <w:numPr>
                <w:ilvl w:val="0"/>
                <w:numId w:val="19"/>
              </w:numPr>
              <w:kinsoku/>
              <w:wordWrap/>
              <w:overflowPunct/>
              <w:topLinePunct w:val="0"/>
              <w:autoSpaceDE/>
              <w:autoSpaceDN/>
              <w:bidi w:val="0"/>
              <w:ind w:left="0" w:right="0"/>
              <w:jc w:val="center"/>
              <w:textAlignment w:val="center"/>
              <w:rPr>
                <w:rFonts w:ascii="Times New Roman" w:hAnsi="Times New Roman" w:cs="Times New Roman"/>
                <w:color w:val="auto"/>
                <w:sz w:val="21"/>
                <w:szCs w:val="21"/>
                <w:highlight w:val="none"/>
              </w:rPr>
            </w:pPr>
          </w:p>
        </w:tc>
        <w:tc>
          <w:tcPr>
            <w:tcW w:w="497" w:type="pct"/>
            <w:tcBorders>
              <w:tl2br w:val="nil"/>
              <w:tr2bl w:val="nil"/>
            </w:tcBorders>
            <w:vAlign w:val="center"/>
          </w:tcPr>
          <w:p w14:paraId="0E163737">
            <w:pPr>
              <w:pStyle w:val="98"/>
              <w:keepNext w:val="0"/>
              <w:keepLines w:val="0"/>
              <w:pageBreakBefore w:val="0"/>
              <w:kinsoku/>
              <w:wordWrap/>
              <w:overflowPunct/>
              <w:topLinePunct w:val="0"/>
              <w:autoSpaceDE/>
              <w:autoSpaceDN/>
              <w:bidi w:val="0"/>
              <w:adjustRightInd w:val="0"/>
              <w:snapToGrid w:val="0"/>
              <w:ind w:left="0" w:right="0"/>
              <w:rPr>
                <w:rFonts w:eastAsia="宋体"/>
                <w:color w:val="auto"/>
                <w:sz w:val="21"/>
                <w:szCs w:val="21"/>
                <w:highlight w:val="none"/>
              </w:rPr>
            </w:pPr>
            <w:r>
              <w:rPr>
                <w:rFonts w:hint="eastAsia" w:ascii="宋体" w:hAnsi="宋体" w:eastAsia="宋体" w:cs="宋体"/>
                <w:color w:val="auto"/>
                <w:sz w:val="21"/>
                <w:szCs w:val="18"/>
                <w:highlight w:val="none"/>
                <w:lang w:val="en-US"/>
              </w:rPr>
              <w:t>废</w:t>
            </w:r>
            <w:r>
              <w:rPr>
                <w:rFonts w:hint="eastAsia"/>
                <w:color w:val="auto"/>
                <w:sz w:val="21"/>
                <w:szCs w:val="18"/>
                <w:highlight w:val="none"/>
                <w:lang w:val="en-US"/>
              </w:rPr>
              <w:t>滤芯</w:t>
            </w:r>
          </w:p>
        </w:tc>
        <w:tc>
          <w:tcPr>
            <w:tcW w:w="287" w:type="pct"/>
            <w:vMerge w:val="restart"/>
            <w:tcBorders>
              <w:tl2br w:val="nil"/>
              <w:tr2bl w:val="nil"/>
            </w:tcBorders>
            <w:vAlign w:val="center"/>
          </w:tcPr>
          <w:p w14:paraId="63AD16CC">
            <w:pPr>
              <w:keepNext w:val="0"/>
              <w:keepLines w:val="0"/>
              <w:pageBreakBefore w:val="0"/>
              <w:kinsoku/>
              <w:wordWrap/>
              <w:overflowPunct/>
              <w:topLinePunct w:val="0"/>
              <w:autoSpaceDE/>
              <w:autoSpaceDN/>
              <w:bidi w:val="0"/>
              <w:adjustRightInd w:val="0"/>
              <w:snapToGrid w:val="0"/>
              <w:ind w:left="0" w:right="0"/>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危险</w:t>
            </w:r>
          </w:p>
          <w:p w14:paraId="7FEA9CDF">
            <w:pPr>
              <w:keepNext w:val="0"/>
              <w:keepLines w:val="0"/>
              <w:pageBreakBefore w:val="0"/>
              <w:kinsoku/>
              <w:wordWrap/>
              <w:overflowPunct/>
              <w:topLinePunct w:val="0"/>
              <w:autoSpaceDE/>
              <w:autoSpaceDN/>
              <w:bidi w:val="0"/>
              <w:adjustRightInd w:val="0"/>
              <w:snapToGrid w:val="0"/>
              <w:ind w:left="0" w:right="0"/>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固废</w:t>
            </w:r>
          </w:p>
        </w:tc>
        <w:tc>
          <w:tcPr>
            <w:tcW w:w="550" w:type="pct"/>
            <w:tcBorders>
              <w:tl2br w:val="nil"/>
              <w:tr2bl w:val="nil"/>
            </w:tcBorders>
            <w:vAlign w:val="center"/>
          </w:tcPr>
          <w:p w14:paraId="110B47D8">
            <w:pPr>
              <w:keepNext w:val="0"/>
              <w:keepLines w:val="0"/>
              <w:pageBreakBefore w:val="0"/>
              <w:kinsoku/>
              <w:wordWrap/>
              <w:overflowPunct/>
              <w:topLinePunct w:val="0"/>
              <w:autoSpaceDE/>
              <w:autoSpaceDN/>
              <w:bidi w:val="0"/>
              <w:ind w:left="0" w:right="0"/>
              <w:jc w:val="center"/>
              <w:rPr>
                <w:color w:val="auto"/>
                <w:sz w:val="21"/>
                <w:szCs w:val="21"/>
                <w:highlight w:val="none"/>
              </w:rPr>
            </w:pPr>
            <w:r>
              <w:rPr>
                <w:rFonts w:hint="eastAsia"/>
                <w:color w:val="auto"/>
                <w:sz w:val="21"/>
                <w:szCs w:val="18"/>
                <w:highlight w:val="none"/>
              </w:rPr>
              <w:t>过滤器</w:t>
            </w:r>
          </w:p>
        </w:tc>
        <w:tc>
          <w:tcPr>
            <w:tcW w:w="313" w:type="pct"/>
            <w:tcBorders>
              <w:tl2br w:val="nil"/>
              <w:tr2bl w:val="nil"/>
            </w:tcBorders>
            <w:vAlign w:val="center"/>
          </w:tcPr>
          <w:p w14:paraId="6675290E">
            <w:pPr>
              <w:pStyle w:val="98"/>
              <w:keepNext w:val="0"/>
              <w:keepLines w:val="0"/>
              <w:pageBreakBefore w:val="0"/>
              <w:kinsoku/>
              <w:wordWrap/>
              <w:overflowPunct/>
              <w:topLinePunct w:val="0"/>
              <w:autoSpaceDE/>
              <w:autoSpaceDN/>
              <w:bidi w:val="0"/>
              <w:adjustRightInd w:val="0"/>
              <w:snapToGrid w:val="0"/>
              <w:ind w:left="0" w:right="0"/>
              <w:rPr>
                <w:rFonts w:eastAsia="宋体"/>
                <w:color w:val="auto"/>
                <w:sz w:val="21"/>
                <w:szCs w:val="21"/>
                <w:highlight w:val="none"/>
                <w:lang w:val="en-US"/>
              </w:rPr>
            </w:pPr>
            <w:r>
              <w:rPr>
                <w:rFonts w:eastAsia="宋体"/>
                <w:color w:val="auto"/>
                <w:sz w:val="21"/>
                <w:szCs w:val="21"/>
                <w:highlight w:val="none"/>
                <w:lang w:val="en-US"/>
              </w:rPr>
              <w:t>固态</w:t>
            </w:r>
          </w:p>
        </w:tc>
        <w:tc>
          <w:tcPr>
            <w:tcW w:w="804" w:type="pct"/>
            <w:tcBorders>
              <w:tl2br w:val="nil"/>
              <w:tr2bl w:val="nil"/>
            </w:tcBorders>
            <w:vAlign w:val="center"/>
          </w:tcPr>
          <w:p w14:paraId="37DDF07D">
            <w:pPr>
              <w:keepNext w:val="0"/>
              <w:keepLines w:val="0"/>
              <w:pageBreakBefore w:val="0"/>
              <w:kinsoku/>
              <w:wordWrap/>
              <w:overflowPunct/>
              <w:topLinePunct w:val="0"/>
              <w:autoSpaceDE/>
              <w:autoSpaceDN/>
              <w:bidi w:val="0"/>
              <w:adjustRightInd w:val="0"/>
              <w:snapToGrid w:val="0"/>
              <w:ind w:left="0" w:right="0"/>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树脂、固形物等</w:t>
            </w:r>
          </w:p>
        </w:tc>
        <w:tc>
          <w:tcPr>
            <w:tcW w:w="390" w:type="pct"/>
            <w:tcBorders>
              <w:tl2br w:val="nil"/>
              <w:tr2bl w:val="nil"/>
            </w:tcBorders>
            <w:vAlign w:val="center"/>
          </w:tcPr>
          <w:p w14:paraId="624C2F06">
            <w:pPr>
              <w:pStyle w:val="98"/>
              <w:keepNext w:val="0"/>
              <w:keepLines w:val="0"/>
              <w:pageBreakBefore w:val="0"/>
              <w:kinsoku/>
              <w:wordWrap/>
              <w:overflowPunct/>
              <w:topLinePunct w:val="0"/>
              <w:autoSpaceDE/>
              <w:autoSpaceDN/>
              <w:bidi w:val="0"/>
              <w:adjustRightInd w:val="0"/>
              <w:snapToGrid w:val="0"/>
              <w:ind w:left="0" w:right="0"/>
              <w:rPr>
                <w:rFonts w:eastAsia="宋体"/>
                <w:color w:val="auto"/>
                <w:sz w:val="21"/>
                <w:szCs w:val="21"/>
                <w:highlight w:val="none"/>
                <w:lang w:val="en-US"/>
              </w:rPr>
            </w:pPr>
            <w:r>
              <w:rPr>
                <w:rFonts w:eastAsia="宋体"/>
                <w:color w:val="auto"/>
                <w:sz w:val="21"/>
                <w:szCs w:val="21"/>
                <w:highlight w:val="none"/>
                <w:lang w:val="en-US"/>
              </w:rPr>
              <w:t>T/In</w:t>
            </w:r>
          </w:p>
        </w:tc>
        <w:tc>
          <w:tcPr>
            <w:tcW w:w="373" w:type="pct"/>
            <w:tcBorders>
              <w:tl2br w:val="nil"/>
              <w:tr2bl w:val="nil"/>
            </w:tcBorders>
            <w:vAlign w:val="center"/>
          </w:tcPr>
          <w:p w14:paraId="2AD6E8D6">
            <w:pPr>
              <w:pStyle w:val="98"/>
              <w:keepNext w:val="0"/>
              <w:keepLines w:val="0"/>
              <w:pageBreakBefore w:val="0"/>
              <w:kinsoku/>
              <w:wordWrap/>
              <w:overflowPunct/>
              <w:topLinePunct w:val="0"/>
              <w:autoSpaceDE/>
              <w:autoSpaceDN/>
              <w:bidi w:val="0"/>
              <w:adjustRightInd w:val="0"/>
              <w:snapToGrid w:val="0"/>
              <w:ind w:left="0" w:right="0"/>
              <w:rPr>
                <w:rFonts w:eastAsia="宋体"/>
                <w:color w:val="auto"/>
                <w:sz w:val="21"/>
                <w:szCs w:val="21"/>
                <w:highlight w:val="none"/>
                <w:lang w:val="en-US"/>
              </w:rPr>
            </w:pPr>
            <w:r>
              <w:rPr>
                <w:rFonts w:eastAsia="宋体"/>
                <w:color w:val="auto"/>
                <w:sz w:val="21"/>
                <w:szCs w:val="21"/>
                <w:highlight w:val="none"/>
                <w:lang w:val="en-US"/>
              </w:rPr>
              <w:t>HW49</w:t>
            </w:r>
          </w:p>
        </w:tc>
        <w:tc>
          <w:tcPr>
            <w:tcW w:w="651" w:type="pct"/>
            <w:tcBorders>
              <w:tl2br w:val="nil"/>
              <w:tr2bl w:val="nil"/>
            </w:tcBorders>
            <w:vAlign w:val="center"/>
          </w:tcPr>
          <w:p w14:paraId="49DBC5AD">
            <w:pPr>
              <w:pStyle w:val="98"/>
              <w:keepNext w:val="0"/>
              <w:keepLines w:val="0"/>
              <w:pageBreakBefore w:val="0"/>
              <w:kinsoku/>
              <w:wordWrap/>
              <w:overflowPunct/>
              <w:topLinePunct w:val="0"/>
              <w:autoSpaceDE/>
              <w:autoSpaceDN/>
              <w:bidi w:val="0"/>
              <w:adjustRightInd w:val="0"/>
              <w:snapToGrid w:val="0"/>
              <w:ind w:left="0" w:right="0"/>
              <w:rPr>
                <w:rFonts w:eastAsia="宋体"/>
                <w:color w:val="auto"/>
                <w:sz w:val="21"/>
                <w:szCs w:val="21"/>
                <w:highlight w:val="none"/>
                <w:lang w:val="en-US"/>
              </w:rPr>
            </w:pPr>
            <w:r>
              <w:rPr>
                <w:rFonts w:eastAsia="宋体"/>
                <w:color w:val="auto"/>
                <w:sz w:val="21"/>
                <w:szCs w:val="21"/>
                <w:highlight w:val="none"/>
                <w:lang w:val="en-US"/>
              </w:rPr>
              <w:t>900-041-49</w:t>
            </w:r>
          </w:p>
        </w:tc>
        <w:tc>
          <w:tcPr>
            <w:tcW w:w="781" w:type="dxa"/>
            <w:tcBorders>
              <w:tl2br w:val="nil"/>
              <w:tr2bl w:val="nil"/>
            </w:tcBorders>
            <w:vAlign w:val="center"/>
          </w:tcPr>
          <w:p w14:paraId="2FCA9D3B">
            <w:pPr>
              <w:keepNext w:val="0"/>
              <w:keepLines w:val="0"/>
              <w:pageBreakBefore w:val="0"/>
              <w:kinsoku/>
              <w:wordWrap/>
              <w:overflowPunct/>
              <w:autoSpaceDE/>
              <w:autoSpaceDN/>
              <w:bidi w:val="0"/>
              <w:ind w:left="0" w:leftChars="0" w:right="0" w:rightChars="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2</w:t>
            </w:r>
          </w:p>
        </w:tc>
        <w:tc>
          <w:tcPr>
            <w:tcW w:w="462" w:type="pct"/>
            <w:tcBorders>
              <w:tl2br w:val="nil"/>
              <w:tr2bl w:val="nil"/>
            </w:tcBorders>
            <w:vAlign w:val="center"/>
          </w:tcPr>
          <w:p w14:paraId="60E3257C">
            <w:pPr>
              <w:keepNext w:val="0"/>
              <w:keepLines w:val="0"/>
              <w:pageBreakBefore w:val="0"/>
              <w:kinsoku/>
              <w:wordWrap/>
              <w:overflowPunct/>
              <w:topLinePunct w:val="0"/>
              <w:autoSpaceDE/>
              <w:autoSpaceDN/>
              <w:bidi w:val="0"/>
              <w:ind w:left="0" w:right="0"/>
              <w:jc w:val="center"/>
              <w:textAlignment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1.25</w:t>
            </w:r>
          </w:p>
        </w:tc>
      </w:tr>
      <w:tr w14:paraId="3DCDA9A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209" w:type="pct"/>
            <w:tcBorders>
              <w:tl2br w:val="nil"/>
              <w:tr2bl w:val="nil"/>
            </w:tcBorders>
            <w:vAlign w:val="center"/>
          </w:tcPr>
          <w:p w14:paraId="3E4C3BA2">
            <w:pPr>
              <w:keepNext w:val="0"/>
              <w:keepLines w:val="0"/>
              <w:pageBreakBefore w:val="0"/>
              <w:numPr>
                <w:ilvl w:val="0"/>
                <w:numId w:val="19"/>
              </w:numPr>
              <w:kinsoku/>
              <w:wordWrap/>
              <w:overflowPunct/>
              <w:topLinePunct w:val="0"/>
              <w:autoSpaceDE/>
              <w:autoSpaceDN/>
              <w:bidi w:val="0"/>
              <w:ind w:left="0" w:right="0"/>
              <w:jc w:val="center"/>
              <w:textAlignment w:val="center"/>
              <w:rPr>
                <w:rFonts w:ascii="Times New Roman" w:hAnsi="Times New Roman" w:cs="Times New Roman"/>
                <w:color w:val="auto"/>
                <w:sz w:val="21"/>
                <w:szCs w:val="21"/>
                <w:highlight w:val="none"/>
              </w:rPr>
            </w:pPr>
          </w:p>
        </w:tc>
        <w:tc>
          <w:tcPr>
            <w:tcW w:w="497" w:type="pct"/>
            <w:tcBorders>
              <w:tl2br w:val="nil"/>
              <w:tr2bl w:val="nil"/>
            </w:tcBorders>
            <w:vAlign w:val="center"/>
          </w:tcPr>
          <w:p w14:paraId="5EAEABE6">
            <w:pPr>
              <w:keepNext w:val="0"/>
              <w:keepLines w:val="0"/>
              <w:pageBreakBefore w:val="0"/>
              <w:kinsoku/>
              <w:wordWrap/>
              <w:overflowPunct/>
              <w:topLinePunct w:val="0"/>
              <w:autoSpaceDE/>
              <w:autoSpaceDN/>
              <w:bidi w:val="0"/>
              <w:ind w:left="0" w:right="0"/>
              <w:jc w:val="center"/>
              <w:rPr>
                <w:color w:val="auto"/>
                <w:sz w:val="21"/>
                <w:szCs w:val="21"/>
                <w:highlight w:val="none"/>
              </w:rPr>
            </w:pPr>
            <w:r>
              <w:rPr>
                <w:rFonts w:hint="eastAsia" w:ascii="Times New Roman" w:hAnsi="Times New Roman" w:cs="Times New Roman"/>
                <w:color w:val="auto"/>
                <w:sz w:val="21"/>
                <w:szCs w:val="18"/>
                <w:highlight w:val="none"/>
              </w:rPr>
              <w:t>实验废液</w:t>
            </w:r>
          </w:p>
        </w:tc>
        <w:tc>
          <w:tcPr>
            <w:tcW w:w="287" w:type="pct"/>
            <w:vMerge w:val="continue"/>
            <w:tcBorders>
              <w:tl2br w:val="nil"/>
              <w:tr2bl w:val="nil"/>
            </w:tcBorders>
            <w:vAlign w:val="center"/>
          </w:tcPr>
          <w:p w14:paraId="04ABAC3F">
            <w:pPr>
              <w:pStyle w:val="98"/>
              <w:keepNext w:val="0"/>
              <w:keepLines w:val="0"/>
              <w:pageBreakBefore w:val="0"/>
              <w:kinsoku/>
              <w:wordWrap/>
              <w:overflowPunct/>
              <w:topLinePunct w:val="0"/>
              <w:autoSpaceDE/>
              <w:autoSpaceDN/>
              <w:bidi w:val="0"/>
              <w:adjustRightInd w:val="0"/>
              <w:snapToGrid w:val="0"/>
              <w:ind w:left="0" w:right="0"/>
              <w:rPr>
                <w:rFonts w:eastAsia="宋体"/>
                <w:color w:val="auto"/>
                <w:sz w:val="21"/>
                <w:szCs w:val="21"/>
                <w:highlight w:val="none"/>
              </w:rPr>
            </w:pPr>
          </w:p>
        </w:tc>
        <w:tc>
          <w:tcPr>
            <w:tcW w:w="550" w:type="pct"/>
            <w:vMerge w:val="restart"/>
            <w:tcBorders>
              <w:tl2br w:val="nil"/>
              <w:tr2bl w:val="nil"/>
            </w:tcBorders>
            <w:vAlign w:val="center"/>
          </w:tcPr>
          <w:p w14:paraId="3EAFDA2F">
            <w:pPr>
              <w:keepNext w:val="0"/>
              <w:keepLines w:val="0"/>
              <w:pageBreakBefore w:val="0"/>
              <w:kinsoku/>
              <w:wordWrap/>
              <w:overflowPunct/>
              <w:topLinePunct w:val="0"/>
              <w:autoSpaceDE/>
              <w:autoSpaceDN/>
              <w:bidi w:val="0"/>
              <w:ind w:left="0" w:right="0"/>
              <w:jc w:val="center"/>
              <w:rPr>
                <w:color w:val="auto"/>
                <w:sz w:val="21"/>
                <w:szCs w:val="21"/>
                <w:highlight w:val="none"/>
              </w:rPr>
            </w:pPr>
            <w:r>
              <w:rPr>
                <w:rFonts w:hint="eastAsia" w:ascii="Times New Roman" w:hAnsi="Times New Roman" w:cs="Times New Roman"/>
                <w:color w:val="auto"/>
                <w:sz w:val="21"/>
                <w:szCs w:val="21"/>
                <w:highlight w:val="none"/>
              </w:rPr>
              <w:t>实验</w:t>
            </w:r>
          </w:p>
        </w:tc>
        <w:tc>
          <w:tcPr>
            <w:tcW w:w="313" w:type="pct"/>
            <w:tcBorders>
              <w:tl2br w:val="nil"/>
              <w:tr2bl w:val="nil"/>
            </w:tcBorders>
            <w:vAlign w:val="center"/>
          </w:tcPr>
          <w:p w14:paraId="442D9F54">
            <w:pPr>
              <w:pStyle w:val="98"/>
              <w:keepNext w:val="0"/>
              <w:keepLines w:val="0"/>
              <w:pageBreakBefore w:val="0"/>
              <w:kinsoku/>
              <w:wordWrap/>
              <w:overflowPunct/>
              <w:topLinePunct w:val="0"/>
              <w:autoSpaceDE/>
              <w:autoSpaceDN/>
              <w:bidi w:val="0"/>
              <w:adjustRightInd w:val="0"/>
              <w:snapToGrid w:val="0"/>
              <w:ind w:left="0" w:right="0"/>
              <w:rPr>
                <w:rFonts w:eastAsia="宋体"/>
                <w:color w:val="auto"/>
                <w:sz w:val="21"/>
                <w:szCs w:val="21"/>
                <w:highlight w:val="none"/>
                <w:lang w:val="en-US"/>
              </w:rPr>
            </w:pPr>
            <w:r>
              <w:rPr>
                <w:rFonts w:hint="eastAsia" w:eastAsia="宋体"/>
                <w:color w:val="auto"/>
                <w:sz w:val="21"/>
                <w:szCs w:val="21"/>
                <w:highlight w:val="none"/>
                <w:lang w:val="en-US"/>
              </w:rPr>
              <w:t>液</w:t>
            </w:r>
            <w:r>
              <w:rPr>
                <w:rFonts w:eastAsia="宋体"/>
                <w:color w:val="auto"/>
                <w:sz w:val="21"/>
                <w:szCs w:val="21"/>
                <w:highlight w:val="none"/>
                <w:lang w:val="en-US"/>
              </w:rPr>
              <w:t>态</w:t>
            </w:r>
          </w:p>
        </w:tc>
        <w:tc>
          <w:tcPr>
            <w:tcW w:w="804" w:type="pct"/>
            <w:tcBorders>
              <w:tl2br w:val="nil"/>
              <w:tr2bl w:val="nil"/>
            </w:tcBorders>
            <w:vAlign w:val="center"/>
          </w:tcPr>
          <w:p w14:paraId="487201F8">
            <w:pPr>
              <w:pStyle w:val="98"/>
              <w:keepNext w:val="0"/>
              <w:keepLines w:val="0"/>
              <w:pageBreakBefore w:val="0"/>
              <w:kinsoku/>
              <w:wordWrap/>
              <w:overflowPunct/>
              <w:topLinePunct w:val="0"/>
              <w:autoSpaceDE/>
              <w:autoSpaceDN/>
              <w:bidi w:val="0"/>
              <w:adjustRightInd w:val="0"/>
              <w:snapToGrid w:val="0"/>
              <w:ind w:left="0" w:right="0"/>
              <w:rPr>
                <w:rFonts w:eastAsia="宋体"/>
                <w:color w:val="auto"/>
                <w:sz w:val="21"/>
                <w:szCs w:val="21"/>
                <w:highlight w:val="none"/>
                <w:lang w:val="en-US"/>
              </w:rPr>
            </w:pPr>
            <w:r>
              <w:rPr>
                <w:rFonts w:hint="eastAsia" w:eastAsia="宋体"/>
                <w:color w:val="auto"/>
                <w:sz w:val="21"/>
                <w:szCs w:val="21"/>
                <w:highlight w:val="none"/>
                <w:lang w:val="en-US"/>
              </w:rPr>
              <w:t>化学试剂等</w:t>
            </w:r>
          </w:p>
        </w:tc>
        <w:tc>
          <w:tcPr>
            <w:tcW w:w="390" w:type="pct"/>
            <w:tcBorders>
              <w:tl2br w:val="nil"/>
              <w:tr2bl w:val="nil"/>
            </w:tcBorders>
            <w:vAlign w:val="center"/>
          </w:tcPr>
          <w:p w14:paraId="41A8A7A1">
            <w:pPr>
              <w:pStyle w:val="98"/>
              <w:keepNext w:val="0"/>
              <w:keepLines w:val="0"/>
              <w:pageBreakBefore w:val="0"/>
              <w:kinsoku/>
              <w:wordWrap/>
              <w:overflowPunct/>
              <w:topLinePunct w:val="0"/>
              <w:autoSpaceDE/>
              <w:autoSpaceDN/>
              <w:bidi w:val="0"/>
              <w:adjustRightInd w:val="0"/>
              <w:snapToGrid w:val="0"/>
              <w:ind w:left="0" w:right="0"/>
              <w:rPr>
                <w:rFonts w:eastAsia="宋体"/>
                <w:color w:val="auto"/>
                <w:sz w:val="21"/>
                <w:szCs w:val="21"/>
                <w:highlight w:val="none"/>
                <w:lang w:val="en-US"/>
              </w:rPr>
            </w:pPr>
            <w:r>
              <w:rPr>
                <w:rFonts w:eastAsia="宋体"/>
                <w:color w:val="auto"/>
                <w:sz w:val="21"/>
                <w:szCs w:val="21"/>
                <w:highlight w:val="none"/>
                <w:lang w:val="en-US"/>
              </w:rPr>
              <w:t>T/</w:t>
            </w:r>
            <w:r>
              <w:rPr>
                <w:rFonts w:hint="eastAsia" w:eastAsia="宋体"/>
                <w:color w:val="auto"/>
                <w:sz w:val="21"/>
                <w:szCs w:val="21"/>
                <w:highlight w:val="none"/>
                <w:lang w:val="en-US"/>
              </w:rPr>
              <w:t>C/</w:t>
            </w:r>
            <w:r>
              <w:rPr>
                <w:rFonts w:eastAsia="宋体"/>
                <w:color w:val="auto"/>
                <w:sz w:val="21"/>
                <w:szCs w:val="21"/>
                <w:highlight w:val="none"/>
                <w:lang w:val="en-US"/>
              </w:rPr>
              <w:t>I</w:t>
            </w:r>
            <w:r>
              <w:rPr>
                <w:rFonts w:hint="eastAsia" w:eastAsia="宋体"/>
                <w:color w:val="auto"/>
                <w:sz w:val="21"/>
                <w:szCs w:val="21"/>
                <w:highlight w:val="none"/>
                <w:lang w:val="en-US"/>
              </w:rPr>
              <w:t>/R</w:t>
            </w:r>
          </w:p>
        </w:tc>
        <w:tc>
          <w:tcPr>
            <w:tcW w:w="373" w:type="pct"/>
            <w:tcBorders>
              <w:tl2br w:val="nil"/>
              <w:tr2bl w:val="nil"/>
            </w:tcBorders>
            <w:vAlign w:val="center"/>
          </w:tcPr>
          <w:p w14:paraId="586011C2">
            <w:pPr>
              <w:pStyle w:val="98"/>
              <w:keepNext w:val="0"/>
              <w:keepLines w:val="0"/>
              <w:pageBreakBefore w:val="0"/>
              <w:kinsoku/>
              <w:wordWrap/>
              <w:overflowPunct/>
              <w:topLinePunct w:val="0"/>
              <w:autoSpaceDE/>
              <w:autoSpaceDN/>
              <w:bidi w:val="0"/>
              <w:adjustRightInd w:val="0"/>
              <w:snapToGrid w:val="0"/>
              <w:ind w:left="0" w:right="0"/>
              <w:rPr>
                <w:rFonts w:eastAsia="宋体"/>
                <w:color w:val="auto"/>
                <w:kern w:val="2"/>
                <w:sz w:val="21"/>
                <w:szCs w:val="21"/>
                <w:highlight w:val="none"/>
                <w:lang w:val="en-US"/>
              </w:rPr>
            </w:pPr>
            <w:r>
              <w:rPr>
                <w:rFonts w:eastAsia="宋体"/>
                <w:color w:val="auto"/>
                <w:sz w:val="21"/>
                <w:szCs w:val="21"/>
                <w:highlight w:val="none"/>
                <w:lang w:val="en-US"/>
              </w:rPr>
              <w:t>HW49</w:t>
            </w:r>
          </w:p>
        </w:tc>
        <w:tc>
          <w:tcPr>
            <w:tcW w:w="651" w:type="pct"/>
            <w:tcBorders>
              <w:tl2br w:val="nil"/>
              <w:tr2bl w:val="nil"/>
            </w:tcBorders>
            <w:vAlign w:val="center"/>
          </w:tcPr>
          <w:p w14:paraId="4D2E0E82">
            <w:pPr>
              <w:pStyle w:val="98"/>
              <w:keepNext w:val="0"/>
              <w:keepLines w:val="0"/>
              <w:pageBreakBefore w:val="0"/>
              <w:kinsoku/>
              <w:wordWrap/>
              <w:overflowPunct/>
              <w:topLinePunct w:val="0"/>
              <w:autoSpaceDE/>
              <w:autoSpaceDN/>
              <w:bidi w:val="0"/>
              <w:adjustRightInd w:val="0"/>
              <w:snapToGrid w:val="0"/>
              <w:ind w:left="0" w:right="0"/>
              <w:rPr>
                <w:rFonts w:eastAsia="宋体"/>
                <w:color w:val="auto"/>
                <w:kern w:val="2"/>
                <w:sz w:val="21"/>
                <w:szCs w:val="21"/>
                <w:highlight w:val="none"/>
                <w:lang w:val="en-US"/>
              </w:rPr>
            </w:pPr>
            <w:r>
              <w:rPr>
                <w:rFonts w:eastAsia="宋体"/>
                <w:color w:val="auto"/>
                <w:sz w:val="21"/>
                <w:szCs w:val="21"/>
                <w:highlight w:val="none"/>
                <w:lang w:val="en-US"/>
              </w:rPr>
              <w:t>900-04</w:t>
            </w:r>
            <w:r>
              <w:rPr>
                <w:rFonts w:hint="eastAsia" w:eastAsia="宋体"/>
                <w:color w:val="auto"/>
                <w:sz w:val="21"/>
                <w:szCs w:val="21"/>
                <w:highlight w:val="none"/>
                <w:lang w:val="en-US"/>
              </w:rPr>
              <w:t>7</w:t>
            </w:r>
            <w:r>
              <w:rPr>
                <w:rFonts w:eastAsia="宋体"/>
                <w:color w:val="auto"/>
                <w:sz w:val="21"/>
                <w:szCs w:val="21"/>
                <w:highlight w:val="none"/>
                <w:lang w:val="en-US"/>
              </w:rPr>
              <w:t>-49</w:t>
            </w:r>
          </w:p>
        </w:tc>
        <w:tc>
          <w:tcPr>
            <w:tcW w:w="781" w:type="dxa"/>
            <w:tcBorders>
              <w:tl2br w:val="nil"/>
              <w:tr2bl w:val="nil"/>
            </w:tcBorders>
            <w:vAlign w:val="center"/>
          </w:tcPr>
          <w:p w14:paraId="3ECA03EE">
            <w:pPr>
              <w:keepNext w:val="0"/>
              <w:keepLines w:val="0"/>
              <w:pageBreakBefore w:val="0"/>
              <w:kinsoku/>
              <w:wordWrap/>
              <w:overflowPunct/>
              <w:autoSpaceDE/>
              <w:autoSpaceDN/>
              <w:bidi w:val="0"/>
              <w:ind w:left="0" w:leftChars="0" w:right="0" w:rightChars="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lang w:val="en-US" w:eastAsia="zh-CN"/>
              </w:rPr>
              <w:t>0.02</w:t>
            </w:r>
          </w:p>
        </w:tc>
        <w:tc>
          <w:tcPr>
            <w:tcW w:w="462" w:type="pct"/>
            <w:tcBorders>
              <w:tl2br w:val="nil"/>
              <w:tr2bl w:val="nil"/>
            </w:tcBorders>
            <w:vAlign w:val="center"/>
          </w:tcPr>
          <w:p w14:paraId="16564F98">
            <w:pPr>
              <w:keepNext w:val="0"/>
              <w:keepLines w:val="0"/>
              <w:pageBreakBefore w:val="0"/>
              <w:kinsoku/>
              <w:wordWrap/>
              <w:overflowPunct/>
              <w:topLinePunct w:val="0"/>
              <w:autoSpaceDE/>
              <w:autoSpaceDN/>
              <w:bidi w:val="0"/>
              <w:ind w:left="0" w:right="0"/>
              <w:jc w:val="center"/>
              <w:textAlignment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rPr>
              <w:t>0.</w:t>
            </w:r>
            <w:r>
              <w:rPr>
                <w:rFonts w:hint="eastAsia" w:ascii="Times New Roman" w:hAnsi="Times New Roman" w:cs="Times New Roman"/>
                <w:color w:val="auto"/>
                <w:sz w:val="21"/>
                <w:szCs w:val="21"/>
                <w:highlight w:val="none"/>
                <w:lang w:val="en-US" w:eastAsia="zh-CN"/>
              </w:rPr>
              <w:t>02</w:t>
            </w:r>
          </w:p>
        </w:tc>
      </w:tr>
      <w:tr w14:paraId="0FE3473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209" w:type="pct"/>
            <w:tcBorders>
              <w:tl2br w:val="nil"/>
              <w:tr2bl w:val="nil"/>
            </w:tcBorders>
            <w:vAlign w:val="center"/>
          </w:tcPr>
          <w:p w14:paraId="57F421EA">
            <w:pPr>
              <w:keepNext w:val="0"/>
              <w:keepLines w:val="0"/>
              <w:pageBreakBefore w:val="0"/>
              <w:numPr>
                <w:ilvl w:val="0"/>
                <w:numId w:val="19"/>
              </w:numPr>
              <w:kinsoku/>
              <w:wordWrap/>
              <w:overflowPunct/>
              <w:topLinePunct w:val="0"/>
              <w:autoSpaceDE/>
              <w:autoSpaceDN/>
              <w:bidi w:val="0"/>
              <w:ind w:left="0" w:right="0"/>
              <w:jc w:val="center"/>
              <w:textAlignment w:val="center"/>
              <w:rPr>
                <w:rFonts w:ascii="Times New Roman" w:hAnsi="Times New Roman" w:cs="Times New Roman"/>
                <w:color w:val="auto"/>
                <w:sz w:val="21"/>
                <w:szCs w:val="21"/>
                <w:highlight w:val="none"/>
                <w:lang w:bidi="ar"/>
              </w:rPr>
            </w:pPr>
          </w:p>
        </w:tc>
        <w:tc>
          <w:tcPr>
            <w:tcW w:w="497" w:type="pct"/>
            <w:tcBorders>
              <w:tl2br w:val="nil"/>
              <w:tr2bl w:val="nil"/>
            </w:tcBorders>
            <w:vAlign w:val="center"/>
          </w:tcPr>
          <w:p w14:paraId="181B7FC6">
            <w:pPr>
              <w:keepNext w:val="0"/>
              <w:keepLines w:val="0"/>
              <w:pageBreakBefore w:val="0"/>
              <w:kinsoku/>
              <w:wordWrap/>
              <w:overflowPunct/>
              <w:topLinePunct w:val="0"/>
              <w:autoSpaceDE/>
              <w:autoSpaceDN/>
              <w:bidi w:val="0"/>
              <w:ind w:left="0" w:right="0"/>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18"/>
                <w:highlight w:val="none"/>
              </w:rPr>
              <w:t>废实验耗材</w:t>
            </w:r>
          </w:p>
        </w:tc>
        <w:tc>
          <w:tcPr>
            <w:tcW w:w="287" w:type="pct"/>
            <w:vMerge w:val="continue"/>
            <w:tcBorders>
              <w:tl2br w:val="nil"/>
              <w:tr2bl w:val="nil"/>
            </w:tcBorders>
            <w:vAlign w:val="center"/>
          </w:tcPr>
          <w:p w14:paraId="73199DB4">
            <w:pPr>
              <w:pStyle w:val="98"/>
              <w:keepNext w:val="0"/>
              <w:keepLines w:val="0"/>
              <w:pageBreakBefore w:val="0"/>
              <w:kinsoku/>
              <w:wordWrap/>
              <w:overflowPunct/>
              <w:topLinePunct w:val="0"/>
              <w:autoSpaceDE/>
              <w:autoSpaceDN/>
              <w:bidi w:val="0"/>
              <w:adjustRightInd w:val="0"/>
              <w:snapToGrid w:val="0"/>
              <w:ind w:left="0" w:right="0"/>
              <w:rPr>
                <w:rFonts w:eastAsia="宋体"/>
                <w:color w:val="auto"/>
                <w:sz w:val="21"/>
                <w:szCs w:val="21"/>
                <w:highlight w:val="none"/>
              </w:rPr>
            </w:pPr>
          </w:p>
        </w:tc>
        <w:tc>
          <w:tcPr>
            <w:tcW w:w="550" w:type="pct"/>
            <w:vMerge w:val="continue"/>
            <w:tcBorders>
              <w:tl2br w:val="nil"/>
              <w:tr2bl w:val="nil"/>
            </w:tcBorders>
            <w:vAlign w:val="center"/>
          </w:tcPr>
          <w:p w14:paraId="6F784A43">
            <w:pPr>
              <w:pStyle w:val="98"/>
              <w:keepNext w:val="0"/>
              <w:keepLines w:val="0"/>
              <w:pageBreakBefore w:val="0"/>
              <w:kinsoku/>
              <w:wordWrap/>
              <w:overflowPunct/>
              <w:topLinePunct w:val="0"/>
              <w:autoSpaceDE/>
              <w:autoSpaceDN/>
              <w:bidi w:val="0"/>
              <w:adjustRightInd w:val="0"/>
              <w:snapToGrid w:val="0"/>
              <w:ind w:left="0" w:right="0"/>
              <w:rPr>
                <w:rFonts w:eastAsia="宋体"/>
                <w:color w:val="auto"/>
                <w:sz w:val="21"/>
                <w:szCs w:val="21"/>
                <w:highlight w:val="none"/>
              </w:rPr>
            </w:pPr>
          </w:p>
        </w:tc>
        <w:tc>
          <w:tcPr>
            <w:tcW w:w="313" w:type="pct"/>
            <w:tcBorders>
              <w:tl2br w:val="nil"/>
              <w:tr2bl w:val="nil"/>
            </w:tcBorders>
            <w:vAlign w:val="center"/>
          </w:tcPr>
          <w:p w14:paraId="02DA3282">
            <w:pPr>
              <w:pStyle w:val="98"/>
              <w:keepNext w:val="0"/>
              <w:keepLines w:val="0"/>
              <w:pageBreakBefore w:val="0"/>
              <w:kinsoku/>
              <w:wordWrap/>
              <w:overflowPunct/>
              <w:topLinePunct w:val="0"/>
              <w:autoSpaceDE/>
              <w:autoSpaceDN/>
              <w:bidi w:val="0"/>
              <w:adjustRightInd w:val="0"/>
              <w:snapToGrid w:val="0"/>
              <w:ind w:left="0" w:right="0"/>
              <w:rPr>
                <w:rFonts w:eastAsia="宋体"/>
                <w:color w:val="auto"/>
                <w:sz w:val="21"/>
                <w:szCs w:val="21"/>
                <w:highlight w:val="none"/>
                <w:lang w:val="en-US"/>
              </w:rPr>
            </w:pPr>
            <w:r>
              <w:rPr>
                <w:rFonts w:eastAsia="宋体"/>
                <w:color w:val="auto"/>
                <w:sz w:val="21"/>
                <w:szCs w:val="21"/>
                <w:highlight w:val="none"/>
                <w:lang w:val="en-US"/>
              </w:rPr>
              <w:t>固态</w:t>
            </w:r>
          </w:p>
        </w:tc>
        <w:tc>
          <w:tcPr>
            <w:tcW w:w="804" w:type="pct"/>
            <w:tcBorders>
              <w:tl2br w:val="nil"/>
              <w:tr2bl w:val="nil"/>
            </w:tcBorders>
            <w:vAlign w:val="center"/>
          </w:tcPr>
          <w:p w14:paraId="1FF26128">
            <w:pPr>
              <w:pStyle w:val="98"/>
              <w:keepNext w:val="0"/>
              <w:keepLines w:val="0"/>
              <w:pageBreakBefore w:val="0"/>
              <w:kinsoku/>
              <w:wordWrap/>
              <w:overflowPunct/>
              <w:topLinePunct w:val="0"/>
              <w:autoSpaceDE/>
              <w:autoSpaceDN/>
              <w:bidi w:val="0"/>
              <w:adjustRightInd w:val="0"/>
              <w:snapToGrid w:val="0"/>
              <w:ind w:left="0" w:right="0"/>
              <w:rPr>
                <w:rFonts w:eastAsia="宋体"/>
                <w:color w:val="auto"/>
                <w:sz w:val="21"/>
                <w:szCs w:val="21"/>
                <w:highlight w:val="none"/>
                <w:lang w:val="en-US"/>
              </w:rPr>
            </w:pPr>
            <w:r>
              <w:rPr>
                <w:rFonts w:hint="eastAsia" w:eastAsia="宋体"/>
                <w:color w:val="auto"/>
                <w:sz w:val="21"/>
                <w:szCs w:val="21"/>
                <w:highlight w:val="none"/>
                <w:lang w:val="en-US"/>
              </w:rPr>
              <w:t>玻璃、化学试剂</w:t>
            </w:r>
          </w:p>
        </w:tc>
        <w:tc>
          <w:tcPr>
            <w:tcW w:w="390" w:type="pct"/>
            <w:tcBorders>
              <w:tl2br w:val="nil"/>
              <w:tr2bl w:val="nil"/>
            </w:tcBorders>
            <w:vAlign w:val="center"/>
          </w:tcPr>
          <w:p w14:paraId="4C5B7E2F">
            <w:pPr>
              <w:pStyle w:val="98"/>
              <w:keepNext w:val="0"/>
              <w:keepLines w:val="0"/>
              <w:pageBreakBefore w:val="0"/>
              <w:kinsoku/>
              <w:wordWrap/>
              <w:overflowPunct/>
              <w:topLinePunct w:val="0"/>
              <w:autoSpaceDE/>
              <w:autoSpaceDN/>
              <w:bidi w:val="0"/>
              <w:adjustRightInd w:val="0"/>
              <w:snapToGrid w:val="0"/>
              <w:ind w:left="0" w:right="0"/>
              <w:rPr>
                <w:rFonts w:eastAsia="宋体"/>
                <w:color w:val="auto"/>
                <w:sz w:val="21"/>
                <w:szCs w:val="21"/>
                <w:highlight w:val="none"/>
              </w:rPr>
            </w:pPr>
            <w:r>
              <w:rPr>
                <w:rFonts w:eastAsia="宋体"/>
                <w:color w:val="auto"/>
                <w:sz w:val="21"/>
                <w:szCs w:val="21"/>
                <w:highlight w:val="none"/>
                <w:lang w:val="en-US"/>
              </w:rPr>
              <w:t>T/</w:t>
            </w:r>
            <w:r>
              <w:rPr>
                <w:rFonts w:hint="eastAsia" w:eastAsia="宋体"/>
                <w:color w:val="auto"/>
                <w:sz w:val="21"/>
                <w:szCs w:val="21"/>
                <w:highlight w:val="none"/>
                <w:lang w:val="en-US"/>
              </w:rPr>
              <w:t>C/</w:t>
            </w:r>
            <w:r>
              <w:rPr>
                <w:rFonts w:eastAsia="宋体"/>
                <w:color w:val="auto"/>
                <w:sz w:val="21"/>
                <w:szCs w:val="21"/>
                <w:highlight w:val="none"/>
                <w:lang w:val="en-US"/>
              </w:rPr>
              <w:t>I</w:t>
            </w:r>
            <w:r>
              <w:rPr>
                <w:rFonts w:hint="eastAsia" w:eastAsia="宋体"/>
                <w:color w:val="auto"/>
                <w:sz w:val="21"/>
                <w:szCs w:val="21"/>
                <w:highlight w:val="none"/>
                <w:lang w:val="en-US"/>
              </w:rPr>
              <w:t>/R</w:t>
            </w:r>
          </w:p>
        </w:tc>
        <w:tc>
          <w:tcPr>
            <w:tcW w:w="373" w:type="pct"/>
            <w:tcBorders>
              <w:tl2br w:val="nil"/>
              <w:tr2bl w:val="nil"/>
            </w:tcBorders>
            <w:vAlign w:val="center"/>
          </w:tcPr>
          <w:p w14:paraId="7A7E1712">
            <w:pPr>
              <w:pStyle w:val="98"/>
              <w:keepNext w:val="0"/>
              <w:keepLines w:val="0"/>
              <w:pageBreakBefore w:val="0"/>
              <w:kinsoku/>
              <w:wordWrap/>
              <w:overflowPunct/>
              <w:topLinePunct w:val="0"/>
              <w:autoSpaceDE/>
              <w:autoSpaceDN/>
              <w:bidi w:val="0"/>
              <w:adjustRightInd w:val="0"/>
              <w:snapToGrid w:val="0"/>
              <w:ind w:left="0" w:right="0"/>
              <w:rPr>
                <w:rFonts w:eastAsia="宋体"/>
                <w:color w:val="auto"/>
                <w:sz w:val="21"/>
                <w:szCs w:val="21"/>
                <w:highlight w:val="none"/>
                <w:lang w:val="en-US"/>
              </w:rPr>
            </w:pPr>
            <w:r>
              <w:rPr>
                <w:rFonts w:eastAsia="宋体"/>
                <w:color w:val="auto"/>
                <w:sz w:val="21"/>
                <w:szCs w:val="21"/>
                <w:highlight w:val="none"/>
                <w:lang w:val="en-US"/>
              </w:rPr>
              <w:t>HW49</w:t>
            </w:r>
          </w:p>
        </w:tc>
        <w:tc>
          <w:tcPr>
            <w:tcW w:w="651" w:type="pct"/>
            <w:tcBorders>
              <w:tl2br w:val="nil"/>
              <w:tr2bl w:val="nil"/>
            </w:tcBorders>
            <w:vAlign w:val="center"/>
          </w:tcPr>
          <w:p w14:paraId="38C56975">
            <w:pPr>
              <w:pStyle w:val="98"/>
              <w:keepNext w:val="0"/>
              <w:keepLines w:val="0"/>
              <w:pageBreakBefore w:val="0"/>
              <w:kinsoku/>
              <w:wordWrap/>
              <w:overflowPunct/>
              <w:topLinePunct w:val="0"/>
              <w:autoSpaceDE/>
              <w:autoSpaceDN/>
              <w:bidi w:val="0"/>
              <w:adjustRightInd w:val="0"/>
              <w:snapToGrid w:val="0"/>
              <w:ind w:left="0" w:right="0"/>
              <w:rPr>
                <w:rFonts w:eastAsia="宋体"/>
                <w:color w:val="auto"/>
                <w:sz w:val="21"/>
                <w:szCs w:val="21"/>
                <w:highlight w:val="none"/>
                <w:lang w:val="en-US"/>
              </w:rPr>
            </w:pPr>
            <w:r>
              <w:rPr>
                <w:rFonts w:eastAsia="宋体"/>
                <w:color w:val="auto"/>
                <w:sz w:val="21"/>
                <w:szCs w:val="21"/>
                <w:highlight w:val="none"/>
                <w:lang w:val="en-US"/>
              </w:rPr>
              <w:t>900-04</w:t>
            </w:r>
            <w:r>
              <w:rPr>
                <w:rFonts w:hint="eastAsia" w:eastAsia="宋体"/>
                <w:color w:val="auto"/>
                <w:sz w:val="21"/>
                <w:szCs w:val="21"/>
                <w:highlight w:val="none"/>
                <w:lang w:val="en-US"/>
              </w:rPr>
              <w:t>7</w:t>
            </w:r>
            <w:r>
              <w:rPr>
                <w:rFonts w:eastAsia="宋体"/>
                <w:color w:val="auto"/>
                <w:sz w:val="21"/>
                <w:szCs w:val="21"/>
                <w:highlight w:val="none"/>
                <w:lang w:val="en-US"/>
              </w:rPr>
              <w:t>-49</w:t>
            </w:r>
          </w:p>
        </w:tc>
        <w:tc>
          <w:tcPr>
            <w:tcW w:w="781" w:type="dxa"/>
            <w:tcBorders>
              <w:tl2br w:val="nil"/>
              <w:tr2bl w:val="nil"/>
            </w:tcBorders>
            <w:vAlign w:val="center"/>
          </w:tcPr>
          <w:p w14:paraId="473CC529">
            <w:pPr>
              <w:keepNext w:val="0"/>
              <w:keepLines w:val="0"/>
              <w:pageBreakBefore w:val="0"/>
              <w:kinsoku/>
              <w:wordWrap/>
              <w:overflowPunct/>
              <w:autoSpaceDE/>
              <w:autoSpaceDN/>
              <w:bidi w:val="0"/>
              <w:ind w:left="0" w:leftChars="0" w:right="0" w:rightChars="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0.5</w:t>
            </w:r>
          </w:p>
        </w:tc>
        <w:tc>
          <w:tcPr>
            <w:tcW w:w="462" w:type="pct"/>
            <w:tcBorders>
              <w:tl2br w:val="nil"/>
              <w:tr2bl w:val="nil"/>
            </w:tcBorders>
            <w:vAlign w:val="center"/>
          </w:tcPr>
          <w:p w14:paraId="55AE4DB9">
            <w:pPr>
              <w:keepNext w:val="0"/>
              <w:keepLines w:val="0"/>
              <w:pageBreakBefore w:val="0"/>
              <w:kinsoku/>
              <w:wordWrap/>
              <w:overflowPunct/>
              <w:topLinePunct w:val="0"/>
              <w:autoSpaceDE/>
              <w:autoSpaceDN/>
              <w:bidi w:val="0"/>
              <w:ind w:left="0" w:right="0"/>
              <w:jc w:val="center"/>
              <w:textAlignment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0.5</w:t>
            </w:r>
          </w:p>
        </w:tc>
      </w:tr>
      <w:tr w14:paraId="5B837BF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209" w:type="pct"/>
            <w:tcBorders>
              <w:tl2br w:val="nil"/>
              <w:tr2bl w:val="nil"/>
            </w:tcBorders>
            <w:vAlign w:val="center"/>
          </w:tcPr>
          <w:p w14:paraId="34EF3158">
            <w:pPr>
              <w:keepNext w:val="0"/>
              <w:keepLines w:val="0"/>
              <w:pageBreakBefore w:val="0"/>
              <w:numPr>
                <w:ilvl w:val="0"/>
                <w:numId w:val="19"/>
              </w:numPr>
              <w:kinsoku/>
              <w:wordWrap/>
              <w:overflowPunct/>
              <w:topLinePunct w:val="0"/>
              <w:autoSpaceDE/>
              <w:autoSpaceDN/>
              <w:bidi w:val="0"/>
              <w:ind w:left="0" w:right="0"/>
              <w:jc w:val="center"/>
              <w:textAlignment w:val="center"/>
              <w:rPr>
                <w:rFonts w:ascii="Times New Roman" w:hAnsi="Times New Roman" w:cs="Times New Roman"/>
                <w:color w:val="auto"/>
                <w:sz w:val="21"/>
                <w:szCs w:val="21"/>
                <w:highlight w:val="none"/>
                <w:lang w:bidi="ar"/>
              </w:rPr>
            </w:pPr>
          </w:p>
        </w:tc>
        <w:tc>
          <w:tcPr>
            <w:tcW w:w="497" w:type="pct"/>
            <w:tcBorders>
              <w:tl2br w:val="nil"/>
              <w:tr2bl w:val="nil"/>
            </w:tcBorders>
            <w:vAlign w:val="center"/>
          </w:tcPr>
          <w:p w14:paraId="119A556A">
            <w:pPr>
              <w:keepNext w:val="0"/>
              <w:keepLines w:val="0"/>
              <w:pageBreakBefore w:val="0"/>
              <w:kinsoku/>
              <w:wordWrap/>
              <w:overflowPunct/>
              <w:topLinePunct w:val="0"/>
              <w:autoSpaceDE/>
              <w:autoSpaceDN/>
              <w:bidi w:val="0"/>
              <w:ind w:left="0" w:right="0"/>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18"/>
                <w:highlight w:val="none"/>
              </w:rPr>
              <w:t>废过滤介质</w:t>
            </w:r>
          </w:p>
        </w:tc>
        <w:tc>
          <w:tcPr>
            <w:tcW w:w="287" w:type="pct"/>
            <w:vMerge w:val="restart"/>
            <w:tcBorders>
              <w:tl2br w:val="nil"/>
              <w:tr2bl w:val="nil"/>
            </w:tcBorders>
            <w:vAlign w:val="center"/>
          </w:tcPr>
          <w:p w14:paraId="79D8B1AD">
            <w:pPr>
              <w:pStyle w:val="98"/>
              <w:keepNext w:val="0"/>
              <w:keepLines w:val="0"/>
              <w:pageBreakBefore w:val="0"/>
              <w:kinsoku/>
              <w:wordWrap/>
              <w:overflowPunct/>
              <w:topLinePunct w:val="0"/>
              <w:autoSpaceDE/>
              <w:autoSpaceDN/>
              <w:bidi w:val="0"/>
              <w:adjustRightInd w:val="0"/>
              <w:snapToGrid w:val="0"/>
              <w:ind w:left="0" w:right="0"/>
              <w:rPr>
                <w:rFonts w:eastAsia="宋体"/>
                <w:color w:val="auto"/>
                <w:sz w:val="21"/>
                <w:szCs w:val="21"/>
                <w:highlight w:val="none"/>
                <w:lang w:val="en-US"/>
              </w:rPr>
            </w:pPr>
            <w:r>
              <w:rPr>
                <w:rFonts w:hint="eastAsia" w:eastAsia="宋体"/>
                <w:color w:val="auto"/>
                <w:sz w:val="21"/>
                <w:szCs w:val="21"/>
                <w:highlight w:val="none"/>
                <w:lang w:val="en-US"/>
              </w:rPr>
              <w:t>一般固废</w:t>
            </w:r>
          </w:p>
        </w:tc>
        <w:tc>
          <w:tcPr>
            <w:tcW w:w="550" w:type="pct"/>
            <w:vMerge w:val="restart"/>
            <w:tcBorders>
              <w:tl2br w:val="nil"/>
              <w:tr2bl w:val="nil"/>
            </w:tcBorders>
            <w:vAlign w:val="center"/>
          </w:tcPr>
          <w:p w14:paraId="2223399E">
            <w:pPr>
              <w:keepNext w:val="0"/>
              <w:keepLines w:val="0"/>
              <w:pageBreakBefore w:val="0"/>
              <w:kinsoku/>
              <w:wordWrap/>
              <w:overflowPunct/>
              <w:topLinePunct w:val="0"/>
              <w:autoSpaceDE/>
              <w:autoSpaceDN/>
              <w:bidi w:val="0"/>
              <w:ind w:left="0" w:right="0"/>
              <w:jc w:val="center"/>
              <w:rPr>
                <w:color w:val="auto"/>
                <w:sz w:val="21"/>
                <w:szCs w:val="21"/>
                <w:highlight w:val="none"/>
              </w:rPr>
            </w:pPr>
            <w:r>
              <w:rPr>
                <w:rFonts w:hint="eastAsia"/>
                <w:color w:val="auto"/>
                <w:sz w:val="21"/>
                <w:szCs w:val="18"/>
                <w:highlight w:val="none"/>
              </w:rPr>
              <w:t>超纯水制备</w:t>
            </w:r>
          </w:p>
        </w:tc>
        <w:tc>
          <w:tcPr>
            <w:tcW w:w="313" w:type="pct"/>
            <w:tcBorders>
              <w:tl2br w:val="nil"/>
              <w:tr2bl w:val="nil"/>
            </w:tcBorders>
            <w:vAlign w:val="center"/>
          </w:tcPr>
          <w:p w14:paraId="7F028457">
            <w:pPr>
              <w:pStyle w:val="98"/>
              <w:keepNext w:val="0"/>
              <w:keepLines w:val="0"/>
              <w:pageBreakBefore w:val="0"/>
              <w:kinsoku/>
              <w:wordWrap/>
              <w:overflowPunct/>
              <w:topLinePunct w:val="0"/>
              <w:autoSpaceDE/>
              <w:autoSpaceDN/>
              <w:bidi w:val="0"/>
              <w:adjustRightInd w:val="0"/>
              <w:snapToGrid w:val="0"/>
              <w:ind w:left="0" w:right="0"/>
              <w:rPr>
                <w:rFonts w:eastAsia="宋体"/>
                <w:color w:val="auto"/>
                <w:sz w:val="21"/>
                <w:szCs w:val="21"/>
                <w:highlight w:val="none"/>
              </w:rPr>
            </w:pPr>
            <w:r>
              <w:rPr>
                <w:rFonts w:eastAsia="宋体"/>
                <w:color w:val="auto"/>
                <w:sz w:val="21"/>
                <w:szCs w:val="21"/>
                <w:highlight w:val="none"/>
                <w:lang w:val="en-US"/>
              </w:rPr>
              <w:t>固态</w:t>
            </w:r>
          </w:p>
        </w:tc>
        <w:tc>
          <w:tcPr>
            <w:tcW w:w="804" w:type="pct"/>
            <w:tcBorders>
              <w:tl2br w:val="nil"/>
              <w:tr2bl w:val="nil"/>
            </w:tcBorders>
            <w:vAlign w:val="center"/>
          </w:tcPr>
          <w:p w14:paraId="317D852D">
            <w:pPr>
              <w:pStyle w:val="98"/>
              <w:keepNext w:val="0"/>
              <w:keepLines w:val="0"/>
              <w:pageBreakBefore w:val="0"/>
              <w:kinsoku/>
              <w:wordWrap/>
              <w:overflowPunct/>
              <w:topLinePunct w:val="0"/>
              <w:autoSpaceDE/>
              <w:autoSpaceDN/>
              <w:bidi w:val="0"/>
              <w:adjustRightInd w:val="0"/>
              <w:snapToGrid w:val="0"/>
              <w:ind w:left="0" w:right="0"/>
              <w:rPr>
                <w:rFonts w:eastAsia="宋体"/>
                <w:color w:val="auto"/>
                <w:sz w:val="21"/>
                <w:szCs w:val="21"/>
                <w:highlight w:val="none"/>
                <w:lang w:val="en-US"/>
              </w:rPr>
            </w:pPr>
            <w:r>
              <w:rPr>
                <w:rFonts w:hint="eastAsia" w:eastAsia="宋体"/>
                <w:color w:val="auto"/>
                <w:sz w:val="21"/>
                <w:szCs w:val="21"/>
                <w:highlight w:val="none"/>
                <w:lang w:val="en-US"/>
              </w:rPr>
              <w:t>塑料、砂等</w:t>
            </w:r>
          </w:p>
        </w:tc>
        <w:tc>
          <w:tcPr>
            <w:tcW w:w="390" w:type="pct"/>
            <w:tcBorders>
              <w:tl2br w:val="nil"/>
              <w:tr2bl w:val="nil"/>
            </w:tcBorders>
            <w:vAlign w:val="center"/>
          </w:tcPr>
          <w:p w14:paraId="60568028">
            <w:pPr>
              <w:keepNext w:val="0"/>
              <w:keepLines w:val="0"/>
              <w:pageBreakBefore w:val="0"/>
              <w:kinsoku/>
              <w:wordWrap/>
              <w:overflowPunct/>
              <w:topLinePunct w:val="0"/>
              <w:autoSpaceDE/>
              <w:autoSpaceDN/>
              <w:bidi w:val="0"/>
              <w:adjustRightInd w:val="0"/>
              <w:snapToGrid w:val="0"/>
              <w:ind w:left="0" w:right="0"/>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w:t>
            </w:r>
          </w:p>
        </w:tc>
        <w:tc>
          <w:tcPr>
            <w:tcW w:w="373" w:type="pct"/>
            <w:tcBorders>
              <w:tl2br w:val="nil"/>
              <w:tr2bl w:val="nil"/>
            </w:tcBorders>
            <w:vAlign w:val="center"/>
          </w:tcPr>
          <w:p w14:paraId="287E1E64">
            <w:pPr>
              <w:keepNext w:val="0"/>
              <w:keepLines w:val="0"/>
              <w:pageBreakBefore w:val="0"/>
              <w:kinsoku/>
              <w:wordWrap/>
              <w:overflowPunct/>
              <w:topLinePunct w:val="0"/>
              <w:autoSpaceDE/>
              <w:autoSpaceDN/>
              <w:bidi w:val="0"/>
              <w:adjustRightInd w:val="0"/>
              <w:snapToGrid w:val="0"/>
              <w:ind w:left="0" w:right="0"/>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SW59</w:t>
            </w:r>
          </w:p>
        </w:tc>
        <w:tc>
          <w:tcPr>
            <w:tcW w:w="651" w:type="pct"/>
            <w:tcBorders>
              <w:tl2br w:val="nil"/>
              <w:tr2bl w:val="nil"/>
            </w:tcBorders>
            <w:vAlign w:val="center"/>
          </w:tcPr>
          <w:p w14:paraId="6ED16DBC">
            <w:pPr>
              <w:pStyle w:val="98"/>
              <w:keepNext w:val="0"/>
              <w:keepLines w:val="0"/>
              <w:pageBreakBefore w:val="0"/>
              <w:kinsoku/>
              <w:wordWrap/>
              <w:overflowPunct/>
              <w:topLinePunct w:val="0"/>
              <w:autoSpaceDE/>
              <w:autoSpaceDN/>
              <w:bidi w:val="0"/>
              <w:adjustRightInd w:val="0"/>
              <w:snapToGrid w:val="0"/>
              <w:ind w:left="0" w:right="0"/>
              <w:rPr>
                <w:rFonts w:eastAsia="宋体"/>
                <w:color w:val="auto"/>
                <w:sz w:val="21"/>
                <w:szCs w:val="21"/>
                <w:highlight w:val="none"/>
                <w:lang w:val="en-US"/>
              </w:rPr>
            </w:pPr>
            <w:r>
              <w:rPr>
                <w:rFonts w:hint="eastAsia" w:eastAsia="宋体"/>
                <w:color w:val="auto"/>
                <w:sz w:val="21"/>
                <w:szCs w:val="21"/>
                <w:highlight w:val="none"/>
                <w:lang w:val="en-US"/>
              </w:rPr>
              <w:t>900-009-S59</w:t>
            </w:r>
          </w:p>
        </w:tc>
        <w:tc>
          <w:tcPr>
            <w:tcW w:w="781" w:type="dxa"/>
            <w:tcBorders>
              <w:tl2br w:val="nil"/>
              <w:tr2bl w:val="nil"/>
            </w:tcBorders>
            <w:vAlign w:val="center"/>
          </w:tcPr>
          <w:p w14:paraId="035BC31A">
            <w:pPr>
              <w:keepNext w:val="0"/>
              <w:keepLines w:val="0"/>
              <w:pageBreakBefore w:val="0"/>
              <w:kinsoku/>
              <w:wordWrap/>
              <w:overflowPunct/>
              <w:autoSpaceDE/>
              <w:autoSpaceDN/>
              <w:bidi w:val="0"/>
              <w:ind w:left="0" w:leftChars="0" w:right="0" w:rightChars="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2</w:t>
            </w:r>
          </w:p>
        </w:tc>
        <w:tc>
          <w:tcPr>
            <w:tcW w:w="462" w:type="pct"/>
            <w:tcBorders>
              <w:tl2br w:val="nil"/>
              <w:tr2bl w:val="nil"/>
            </w:tcBorders>
            <w:vAlign w:val="center"/>
          </w:tcPr>
          <w:p w14:paraId="707B5D1B">
            <w:pPr>
              <w:keepNext w:val="0"/>
              <w:keepLines w:val="0"/>
              <w:pageBreakBefore w:val="0"/>
              <w:kinsoku/>
              <w:wordWrap/>
              <w:overflowPunct/>
              <w:topLinePunct w:val="0"/>
              <w:autoSpaceDE/>
              <w:autoSpaceDN/>
              <w:bidi w:val="0"/>
              <w:ind w:left="0" w:right="0"/>
              <w:jc w:val="center"/>
              <w:textAlignment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2</w:t>
            </w:r>
          </w:p>
        </w:tc>
      </w:tr>
      <w:tr w14:paraId="2C5E93F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209" w:type="pct"/>
            <w:tcBorders>
              <w:tl2br w:val="nil"/>
              <w:tr2bl w:val="nil"/>
            </w:tcBorders>
            <w:vAlign w:val="center"/>
          </w:tcPr>
          <w:p w14:paraId="54D4260B">
            <w:pPr>
              <w:keepNext w:val="0"/>
              <w:keepLines w:val="0"/>
              <w:pageBreakBefore w:val="0"/>
              <w:numPr>
                <w:ilvl w:val="0"/>
                <w:numId w:val="19"/>
              </w:numPr>
              <w:kinsoku/>
              <w:wordWrap/>
              <w:overflowPunct/>
              <w:topLinePunct w:val="0"/>
              <w:autoSpaceDE/>
              <w:autoSpaceDN/>
              <w:bidi w:val="0"/>
              <w:ind w:left="0" w:right="0"/>
              <w:jc w:val="center"/>
              <w:textAlignment w:val="center"/>
              <w:rPr>
                <w:rFonts w:ascii="Times New Roman" w:hAnsi="Times New Roman" w:cs="Times New Roman"/>
                <w:color w:val="auto"/>
                <w:sz w:val="21"/>
                <w:szCs w:val="21"/>
                <w:highlight w:val="none"/>
                <w:lang w:bidi="ar"/>
              </w:rPr>
            </w:pPr>
          </w:p>
        </w:tc>
        <w:tc>
          <w:tcPr>
            <w:tcW w:w="497" w:type="pct"/>
            <w:tcBorders>
              <w:tl2br w:val="nil"/>
              <w:tr2bl w:val="nil"/>
            </w:tcBorders>
            <w:vAlign w:val="center"/>
          </w:tcPr>
          <w:p w14:paraId="5A07E46E">
            <w:pPr>
              <w:keepNext w:val="0"/>
              <w:keepLines w:val="0"/>
              <w:pageBreakBefore w:val="0"/>
              <w:kinsoku/>
              <w:wordWrap/>
              <w:overflowPunct/>
              <w:topLinePunct w:val="0"/>
              <w:autoSpaceDE/>
              <w:autoSpaceDN/>
              <w:bidi w:val="0"/>
              <w:ind w:left="0" w:right="0"/>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18"/>
                <w:highlight w:val="none"/>
              </w:rPr>
              <w:t>废活性炭</w:t>
            </w:r>
          </w:p>
        </w:tc>
        <w:tc>
          <w:tcPr>
            <w:tcW w:w="287" w:type="pct"/>
            <w:vMerge w:val="continue"/>
            <w:tcBorders>
              <w:tl2br w:val="nil"/>
              <w:tr2bl w:val="nil"/>
            </w:tcBorders>
            <w:vAlign w:val="center"/>
          </w:tcPr>
          <w:p w14:paraId="5258867F">
            <w:pPr>
              <w:pStyle w:val="98"/>
              <w:keepNext w:val="0"/>
              <w:keepLines w:val="0"/>
              <w:pageBreakBefore w:val="0"/>
              <w:kinsoku/>
              <w:wordWrap/>
              <w:overflowPunct/>
              <w:topLinePunct w:val="0"/>
              <w:autoSpaceDE/>
              <w:autoSpaceDN/>
              <w:bidi w:val="0"/>
              <w:adjustRightInd w:val="0"/>
              <w:snapToGrid w:val="0"/>
              <w:ind w:left="0" w:right="0"/>
              <w:rPr>
                <w:rFonts w:eastAsia="宋体"/>
                <w:color w:val="auto"/>
                <w:sz w:val="21"/>
                <w:szCs w:val="21"/>
                <w:highlight w:val="none"/>
              </w:rPr>
            </w:pPr>
          </w:p>
        </w:tc>
        <w:tc>
          <w:tcPr>
            <w:tcW w:w="550" w:type="pct"/>
            <w:vMerge w:val="continue"/>
            <w:tcBorders>
              <w:tl2br w:val="nil"/>
              <w:tr2bl w:val="nil"/>
            </w:tcBorders>
            <w:vAlign w:val="center"/>
          </w:tcPr>
          <w:p w14:paraId="6B89CBB4">
            <w:pPr>
              <w:pStyle w:val="98"/>
              <w:keepNext w:val="0"/>
              <w:keepLines w:val="0"/>
              <w:pageBreakBefore w:val="0"/>
              <w:kinsoku/>
              <w:wordWrap/>
              <w:overflowPunct/>
              <w:topLinePunct w:val="0"/>
              <w:autoSpaceDE/>
              <w:autoSpaceDN/>
              <w:bidi w:val="0"/>
              <w:adjustRightInd w:val="0"/>
              <w:snapToGrid w:val="0"/>
              <w:ind w:left="0" w:right="0"/>
              <w:rPr>
                <w:rFonts w:eastAsia="宋体"/>
                <w:color w:val="auto"/>
                <w:sz w:val="21"/>
                <w:szCs w:val="21"/>
                <w:highlight w:val="none"/>
                <w:lang w:val="en-US"/>
              </w:rPr>
            </w:pPr>
          </w:p>
        </w:tc>
        <w:tc>
          <w:tcPr>
            <w:tcW w:w="313" w:type="pct"/>
            <w:tcBorders>
              <w:tl2br w:val="nil"/>
              <w:tr2bl w:val="nil"/>
            </w:tcBorders>
            <w:vAlign w:val="center"/>
          </w:tcPr>
          <w:p w14:paraId="3D97CBEF">
            <w:pPr>
              <w:pStyle w:val="98"/>
              <w:keepNext w:val="0"/>
              <w:keepLines w:val="0"/>
              <w:pageBreakBefore w:val="0"/>
              <w:kinsoku/>
              <w:wordWrap/>
              <w:overflowPunct/>
              <w:topLinePunct w:val="0"/>
              <w:autoSpaceDE/>
              <w:autoSpaceDN/>
              <w:bidi w:val="0"/>
              <w:adjustRightInd w:val="0"/>
              <w:snapToGrid w:val="0"/>
              <w:ind w:left="0" w:right="0"/>
              <w:rPr>
                <w:color w:val="auto"/>
                <w:sz w:val="21"/>
                <w:szCs w:val="21"/>
                <w:highlight w:val="none"/>
              </w:rPr>
            </w:pPr>
            <w:r>
              <w:rPr>
                <w:rFonts w:eastAsia="宋体"/>
                <w:color w:val="auto"/>
                <w:sz w:val="21"/>
                <w:szCs w:val="21"/>
                <w:highlight w:val="none"/>
                <w:lang w:val="en-US"/>
              </w:rPr>
              <w:t>固态</w:t>
            </w:r>
          </w:p>
        </w:tc>
        <w:tc>
          <w:tcPr>
            <w:tcW w:w="804" w:type="pct"/>
            <w:tcBorders>
              <w:tl2br w:val="nil"/>
              <w:tr2bl w:val="nil"/>
            </w:tcBorders>
            <w:vAlign w:val="center"/>
          </w:tcPr>
          <w:p w14:paraId="78CCB2B3">
            <w:pPr>
              <w:pStyle w:val="98"/>
              <w:keepNext w:val="0"/>
              <w:keepLines w:val="0"/>
              <w:pageBreakBefore w:val="0"/>
              <w:kinsoku/>
              <w:wordWrap/>
              <w:overflowPunct/>
              <w:topLinePunct w:val="0"/>
              <w:autoSpaceDE/>
              <w:autoSpaceDN/>
              <w:bidi w:val="0"/>
              <w:adjustRightInd w:val="0"/>
              <w:snapToGrid w:val="0"/>
              <w:ind w:left="0" w:right="0"/>
              <w:rPr>
                <w:rFonts w:eastAsia="宋体"/>
                <w:color w:val="auto"/>
                <w:sz w:val="21"/>
                <w:szCs w:val="21"/>
                <w:highlight w:val="none"/>
                <w:lang w:val="en-US"/>
              </w:rPr>
            </w:pPr>
            <w:r>
              <w:rPr>
                <w:rFonts w:hint="eastAsia" w:eastAsia="宋体"/>
                <w:color w:val="auto"/>
                <w:sz w:val="21"/>
                <w:szCs w:val="21"/>
                <w:highlight w:val="none"/>
                <w:lang w:val="en-US"/>
              </w:rPr>
              <w:t>活性炭</w:t>
            </w:r>
          </w:p>
        </w:tc>
        <w:tc>
          <w:tcPr>
            <w:tcW w:w="390" w:type="pct"/>
            <w:tcBorders>
              <w:tl2br w:val="nil"/>
              <w:tr2bl w:val="nil"/>
            </w:tcBorders>
            <w:vAlign w:val="center"/>
          </w:tcPr>
          <w:p w14:paraId="4AD6F574">
            <w:pPr>
              <w:pStyle w:val="98"/>
              <w:keepNext w:val="0"/>
              <w:keepLines w:val="0"/>
              <w:pageBreakBefore w:val="0"/>
              <w:kinsoku/>
              <w:wordWrap/>
              <w:overflowPunct/>
              <w:topLinePunct w:val="0"/>
              <w:autoSpaceDE/>
              <w:autoSpaceDN/>
              <w:bidi w:val="0"/>
              <w:adjustRightInd w:val="0"/>
              <w:snapToGrid w:val="0"/>
              <w:ind w:left="0" w:right="0"/>
              <w:rPr>
                <w:rFonts w:eastAsia="宋体"/>
                <w:color w:val="auto"/>
                <w:sz w:val="21"/>
                <w:szCs w:val="21"/>
                <w:highlight w:val="none"/>
                <w:lang w:val="en-US"/>
              </w:rPr>
            </w:pPr>
            <w:r>
              <w:rPr>
                <w:rFonts w:hint="eastAsia" w:eastAsia="宋体"/>
                <w:color w:val="auto"/>
                <w:sz w:val="21"/>
                <w:szCs w:val="21"/>
                <w:highlight w:val="none"/>
                <w:lang w:val="en-US"/>
              </w:rPr>
              <w:t>/</w:t>
            </w:r>
          </w:p>
        </w:tc>
        <w:tc>
          <w:tcPr>
            <w:tcW w:w="373" w:type="pct"/>
            <w:tcBorders>
              <w:tl2br w:val="nil"/>
              <w:tr2bl w:val="nil"/>
            </w:tcBorders>
            <w:vAlign w:val="center"/>
          </w:tcPr>
          <w:p w14:paraId="703FA520">
            <w:pPr>
              <w:keepNext w:val="0"/>
              <w:keepLines w:val="0"/>
              <w:pageBreakBefore w:val="0"/>
              <w:kinsoku/>
              <w:wordWrap/>
              <w:overflowPunct/>
              <w:topLinePunct w:val="0"/>
              <w:autoSpaceDE/>
              <w:autoSpaceDN/>
              <w:bidi w:val="0"/>
              <w:adjustRightInd w:val="0"/>
              <w:snapToGrid w:val="0"/>
              <w:ind w:left="0" w:right="0"/>
              <w:jc w:val="center"/>
              <w:rPr>
                <w:color w:val="auto"/>
                <w:sz w:val="21"/>
                <w:szCs w:val="21"/>
                <w:highlight w:val="none"/>
              </w:rPr>
            </w:pPr>
            <w:r>
              <w:rPr>
                <w:rFonts w:hint="eastAsia" w:ascii="Times New Roman" w:hAnsi="Times New Roman" w:cs="Times New Roman"/>
                <w:color w:val="auto"/>
                <w:sz w:val="21"/>
                <w:szCs w:val="21"/>
                <w:highlight w:val="none"/>
              </w:rPr>
              <w:t>SW59</w:t>
            </w:r>
          </w:p>
        </w:tc>
        <w:tc>
          <w:tcPr>
            <w:tcW w:w="651" w:type="pct"/>
            <w:tcBorders>
              <w:tl2br w:val="nil"/>
              <w:tr2bl w:val="nil"/>
            </w:tcBorders>
            <w:vAlign w:val="center"/>
          </w:tcPr>
          <w:p w14:paraId="3742770F">
            <w:pPr>
              <w:keepNext w:val="0"/>
              <w:keepLines w:val="0"/>
              <w:pageBreakBefore w:val="0"/>
              <w:kinsoku/>
              <w:wordWrap/>
              <w:overflowPunct/>
              <w:topLinePunct w:val="0"/>
              <w:autoSpaceDE/>
              <w:autoSpaceDN/>
              <w:bidi w:val="0"/>
              <w:adjustRightInd w:val="0"/>
              <w:snapToGrid w:val="0"/>
              <w:ind w:left="0" w:right="0"/>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900-009-S59</w:t>
            </w:r>
          </w:p>
        </w:tc>
        <w:tc>
          <w:tcPr>
            <w:tcW w:w="781" w:type="dxa"/>
            <w:tcBorders>
              <w:tl2br w:val="nil"/>
              <w:tr2bl w:val="nil"/>
            </w:tcBorders>
            <w:vAlign w:val="center"/>
          </w:tcPr>
          <w:p w14:paraId="4935457D">
            <w:pPr>
              <w:keepNext w:val="0"/>
              <w:keepLines w:val="0"/>
              <w:pageBreakBefore w:val="0"/>
              <w:kinsoku/>
              <w:wordWrap/>
              <w:overflowPunct/>
              <w:autoSpaceDE/>
              <w:autoSpaceDN/>
              <w:bidi w:val="0"/>
              <w:ind w:left="0" w:leftChars="0" w:right="0" w:rightChars="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1</w:t>
            </w:r>
          </w:p>
        </w:tc>
        <w:tc>
          <w:tcPr>
            <w:tcW w:w="462" w:type="pct"/>
            <w:tcBorders>
              <w:tl2br w:val="nil"/>
              <w:tr2bl w:val="nil"/>
            </w:tcBorders>
            <w:vAlign w:val="center"/>
          </w:tcPr>
          <w:p w14:paraId="0597E306">
            <w:pPr>
              <w:keepNext w:val="0"/>
              <w:keepLines w:val="0"/>
              <w:pageBreakBefore w:val="0"/>
              <w:kinsoku/>
              <w:wordWrap/>
              <w:overflowPunct/>
              <w:topLinePunct w:val="0"/>
              <w:autoSpaceDE/>
              <w:autoSpaceDN/>
              <w:bidi w:val="0"/>
              <w:ind w:left="0" w:right="0"/>
              <w:jc w:val="center"/>
              <w:textAlignment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1</w:t>
            </w:r>
          </w:p>
        </w:tc>
      </w:tr>
      <w:tr w14:paraId="05F8DAD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209" w:type="pct"/>
            <w:tcBorders>
              <w:tl2br w:val="nil"/>
              <w:tr2bl w:val="nil"/>
            </w:tcBorders>
            <w:vAlign w:val="center"/>
          </w:tcPr>
          <w:p w14:paraId="17666280">
            <w:pPr>
              <w:keepNext w:val="0"/>
              <w:keepLines w:val="0"/>
              <w:pageBreakBefore w:val="0"/>
              <w:numPr>
                <w:ilvl w:val="0"/>
                <w:numId w:val="19"/>
              </w:numPr>
              <w:kinsoku/>
              <w:wordWrap/>
              <w:overflowPunct/>
              <w:topLinePunct w:val="0"/>
              <w:autoSpaceDE/>
              <w:autoSpaceDN/>
              <w:bidi w:val="0"/>
              <w:ind w:left="0" w:right="0"/>
              <w:jc w:val="center"/>
              <w:textAlignment w:val="center"/>
              <w:rPr>
                <w:rFonts w:ascii="Times New Roman" w:hAnsi="Times New Roman" w:cs="Times New Roman"/>
                <w:color w:val="auto"/>
                <w:sz w:val="21"/>
                <w:szCs w:val="21"/>
                <w:highlight w:val="none"/>
                <w:lang w:bidi="ar"/>
              </w:rPr>
            </w:pPr>
          </w:p>
        </w:tc>
        <w:tc>
          <w:tcPr>
            <w:tcW w:w="497" w:type="pct"/>
            <w:tcBorders>
              <w:tl2br w:val="nil"/>
              <w:tr2bl w:val="nil"/>
            </w:tcBorders>
            <w:vAlign w:val="center"/>
          </w:tcPr>
          <w:p w14:paraId="0167F03A">
            <w:pPr>
              <w:keepNext w:val="0"/>
              <w:keepLines w:val="0"/>
              <w:pageBreakBefore w:val="0"/>
              <w:kinsoku/>
              <w:wordWrap/>
              <w:overflowPunct/>
              <w:topLinePunct w:val="0"/>
              <w:autoSpaceDE/>
              <w:autoSpaceDN/>
              <w:bidi w:val="0"/>
              <w:ind w:left="0" w:right="0"/>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18"/>
                <w:highlight w:val="none"/>
              </w:rPr>
              <w:t>废RO膜</w:t>
            </w:r>
          </w:p>
        </w:tc>
        <w:tc>
          <w:tcPr>
            <w:tcW w:w="287" w:type="pct"/>
            <w:vMerge w:val="continue"/>
            <w:tcBorders>
              <w:tl2br w:val="nil"/>
              <w:tr2bl w:val="nil"/>
            </w:tcBorders>
            <w:vAlign w:val="center"/>
          </w:tcPr>
          <w:p w14:paraId="1CD1CF28">
            <w:pPr>
              <w:pStyle w:val="98"/>
              <w:keepNext w:val="0"/>
              <w:keepLines w:val="0"/>
              <w:pageBreakBefore w:val="0"/>
              <w:kinsoku/>
              <w:wordWrap/>
              <w:overflowPunct/>
              <w:topLinePunct w:val="0"/>
              <w:autoSpaceDE/>
              <w:autoSpaceDN/>
              <w:bidi w:val="0"/>
              <w:adjustRightInd w:val="0"/>
              <w:snapToGrid w:val="0"/>
              <w:ind w:left="0" w:right="0"/>
              <w:rPr>
                <w:rFonts w:eastAsia="宋体"/>
                <w:color w:val="auto"/>
                <w:sz w:val="21"/>
                <w:szCs w:val="21"/>
                <w:highlight w:val="none"/>
              </w:rPr>
            </w:pPr>
          </w:p>
        </w:tc>
        <w:tc>
          <w:tcPr>
            <w:tcW w:w="550" w:type="pct"/>
            <w:vMerge w:val="continue"/>
            <w:tcBorders>
              <w:tl2br w:val="nil"/>
              <w:tr2bl w:val="nil"/>
            </w:tcBorders>
            <w:vAlign w:val="center"/>
          </w:tcPr>
          <w:p w14:paraId="7F24380A">
            <w:pPr>
              <w:pStyle w:val="98"/>
              <w:keepNext w:val="0"/>
              <w:keepLines w:val="0"/>
              <w:pageBreakBefore w:val="0"/>
              <w:kinsoku/>
              <w:wordWrap/>
              <w:overflowPunct/>
              <w:topLinePunct w:val="0"/>
              <w:autoSpaceDE/>
              <w:autoSpaceDN/>
              <w:bidi w:val="0"/>
              <w:adjustRightInd w:val="0"/>
              <w:snapToGrid w:val="0"/>
              <w:ind w:left="0" w:right="0"/>
              <w:rPr>
                <w:rFonts w:eastAsia="宋体"/>
                <w:color w:val="auto"/>
                <w:sz w:val="21"/>
                <w:szCs w:val="21"/>
                <w:highlight w:val="none"/>
                <w:lang w:val="en-US"/>
              </w:rPr>
            </w:pPr>
          </w:p>
        </w:tc>
        <w:tc>
          <w:tcPr>
            <w:tcW w:w="313" w:type="pct"/>
            <w:tcBorders>
              <w:tl2br w:val="nil"/>
              <w:tr2bl w:val="nil"/>
            </w:tcBorders>
            <w:vAlign w:val="center"/>
          </w:tcPr>
          <w:p w14:paraId="759042DC">
            <w:pPr>
              <w:pStyle w:val="98"/>
              <w:keepNext w:val="0"/>
              <w:keepLines w:val="0"/>
              <w:pageBreakBefore w:val="0"/>
              <w:kinsoku/>
              <w:wordWrap/>
              <w:overflowPunct/>
              <w:topLinePunct w:val="0"/>
              <w:autoSpaceDE/>
              <w:autoSpaceDN/>
              <w:bidi w:val="0"/>
              <w:adjustRightInd w:val="0"/>
              <w:snapToGrid w:val="0"/>
              <w:ind w:left="0" w:right="0"/>
              <w:rPr>
                <w:rFonts w:eastAsia="宋体"/>
                <w:color w:val="auto"/>
                <w:sz w:val="21"/>
                <w:szCs w:val="21"/>
                <w:highlight w:val="none"/>
              </w:rPr>
            </w:pPr>
            <w:r>
              <w:rPr>
                <w:rFonts w:eastAsia="宋体"/>
                <w:color w:val="auto"/>
                <w:sz w:val="21"/>
                <w:szCs w:val="21"/>
                <w:highlight w:val="none"/>
                <w:lang w:val="en-US"/>
              </w:rPr>
              <w:t>固态</w:t>
            </w:r>
          </w:p>
        </w:tc>
        <w:tc>
          <w:tcPr>
            <w:tcW w:w="804" w:type="pct"/>
            <w:tcBorders>
              <w:tl2br w:val="nil"/>
              <w:tr2bl w:val="nil"/>
            </w:tcBorders>
            <w:vAlign w:val="center"/>
          </w:tcPr>
          <w:p w14:paraId="1D287574">
            <w:pPr>
              <w:pStyle w:val="98"/>
              <w:keepNext w:val="0"/>
              <w:keepLines w:val="0"/>
              <w:pageBreakBefore w:val="0"/>
              <w:kinsoku/>
              <w:wordWrap/>
              <w:overflowPunct/>
              <w:topLinePunct w:val="0"/>
              <w:autoSpaceDE/>
              <w:autoSpaceDN/>
              <w:bidi w:val="0"/>
              <w:adjustRightInd w:val="0"/>
              <w:snapToGrid w:val="0"/>
              <w:ind w:left="0" w:right="0"/>
              <w:rPr>
                <w:rFonts w:eastAsia="宋体"/>
                <w:color w:val="auto"/>
                <w:sz w:val="21"/>
                <w:szCs w:val="21"/>
                <w:highlight w:val="none"/>
              </w:rPr>
            </w:pPr>
            <w:r>
              <w:rPr>
                <w:rFonts w:hint="eastAsia" w:eastAsia="宋体"/>
                <w:color w:val="auto"/>
                <w:sz w:val="21"/>
                <w:szCs w:val="21"/>
                <w:highlight w:val="none"/>
                <w:lang w:val="en-US"/>
              </w:rPr>
              <w:t>RO膜</w:t>
            </w:r>
          </w:p>
        </w:tc>
        <w:tc>
          <w:tcPr>
            <w:tcW w:w="390" w:type="pct"/>
            <w:tcBorders>
              <w:tl2br w:val="nil"/>
              <w:tr2bl w:val="nil"/>
            </w:tcBorders>
            <w:vAlign w:val="center"/>
          </w:tcPr>
          <w:p w14:paraId="05250B22">
            <w:pPr>
              <w:pStyle w:val="98"/>
              <w:keepNext w:val="0"/>
              <w:keepLines w:val="0"/>
              <w:pageBreakBefore w:val="0"/>
              <w:kinsoku/>
              <w:wordWrap/>
              <w:overflowPunct/>
              <w:topLinePunct w:val="0"/>
              <w:autoSpaceDE/>
              <w:autoSpaceDN/>
              <w:bidi w:val="0"/>
              <w:adjustRightInd w:val="0"/>
              <w:snapToGrid w:val="0"/>
              <w:ind w:left="0" w:right="0"/>
              <w:rPr>
                <w:rFonts w:eastAsia="宋体"/>
                <w:color w:val="auto"/>
                <w:sz w:val="21"/>
                <w:szCs w:val="21"/>
                <w:highlight w:val="none"/>
                <w:lang w:val="en-US"/>
              </w:rPr>
            </w:pPr>
            <w:r>
              <w:rPr>
                <w:rFonts w:hint="eastAsia" w:eastAsia="宋体"/>
                <w:color w:val="auto"/>
                <w:sz w:val="21"/>
                <w:szCs w:val="21"/>
                <w:highlight w:val="none"/>
                <w:lang w:val="en-US"/>
              </w:rPr>
              <w:t>/</w:t>
            </w:r>
          </w:p>
        </w:tc>
        <w:tc>
          <w:tcPr>
            <w:tcW w:w="373" w:type="pct"/>
            <w:tcBorders>
              <w:tl2br w:val="nil"/>
              <w:tr2bl w:val="nil"/>
            </w:tcBorders>
            <w:vAlign w:val="center"/>
          </w:tcPr>
          <w:p w14:paraId="18B48D2B">
            <w:pPr>
              <w:keepNext w:val="0"/>
              <w:keepLines w:val="0"/>
              <w:pageBreakBefore w:val="0"/>
              <w:kinsoku/>
              <w:wordWrap/>
              <w:overflowPunct/>
              <w:topLinePunct w:val="0"/>
              <w:autoSpaceDE/>
              <w:autoSpaceDN/>
              <w:bidi w:val="0"/>
              <w:adjustRightInd w:val="0"/>
              <w:snapToGrid w:val="0"/>
              <w:ind w:left="0" w:right="0"/>
              <w:jc w:val="center"/>
              <w:rPr>
                <w:color w:val="auto"/>
                <w:sz w:val="21"/>
                <w:szCs w:val="21"/>
                <w:highlight w:val="none"/>
              </w:rPr>
            </w:pPr>
            <w:r>
              <w:rPr>
                <w:rFonts w:hint="eastAsia" w:ascii="Times New Roman" w:hAnsi="Times New Roman" w:cs="Times New Roman"/>
                <w:color w:val="auto"/>
                <w:sz w:val="21"/>
                <w:szCs w:val="21"/>
                <w:highlight w:val="none"/>
              </w:rPr>
              <w:t>SW59</w:t>
            </w:r>
          </w:p>
        </w:tc>
        <w:tc>
          <w:tcPr>
            <w:tcW w:w="651" w:type="pct"/>
            <w:tcBorders>
              <w:tl2br w:val="nil"/>
              <w:tr2bl w:val="nil"/>
            </w:tcBorders>
            <w:vAlign w:val="center"/>
          </w:tcPr>
          <w:p w14:paraId="3ECE2C02">
            <w:pPr>
              <w:keepNext w:val="0"/>
              <w:keepLines w:val="0"/>
              <w:pageBreakBefore w:val="0"/>
              <w:kinsoku/>
              <w:wordWrap/>
              <w:overflowPunct/>
              <w:topLinePunct w:val="0"/>
              <w:autoSpaceDE/>
              <w:autoSpaceDN/>
              <w:bidi w:val="0"/>
              <w:adjustRightInd w:val="0"/>
              <w:snapToGrid w:val="0"/>
              <w:ind w:left="0" w:right="0"/>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900-009-S59</w:t>
            </w:r>
          </w:p>
        </w:tc>
        <w:tc>
          <w:tcPr>
            <w:tcW w:w="781" w:type="dxa"/>
            <w:tcBorders>
              <w:tl2br w:val="nil"/>
              <w:tr2bl w:val="nil"/>
            </w:tcBorders>
            <w:vAlign w:val="center"/>
          </w:tcPr>
          <w:p w14:paraId="3D1DB705">
            <w:pPr>
              <w:keepNext w:val="0"/>
              <w:keepLines w:val="0"/>
              <w:pageBreakBefore w:val="0"/>
              <w:kinsoku/>
              <w:wordWrap/>
              <w:overflowPunct/>
              <w:autoSpaceDE/>
              <w:autoSpaceDN/>
              <w:bidi w:val="0"/>
              <w:ind w:left="0" w:leftChars="0" w:right="0" w:rightChars="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0.5</w:t>
            </w:r>
          </w:p>
        </w:tc>
        <w:tc>
          <w:tcPr>
            <w:tcW w:w="462" w:type="pct"/>
            <w:tcBorders>
              <w:tl2br w:val="nil"/>
              <w:tr2bl w:val="nil"/>
            </w:tcBorders>
            <w:vAlign w:val="center"/>
          </w:tcPr>
          <w:p w14:paraId="1C6BB4CF">
            <w:pPr>
              <w:keepNext w:val="0"/>
              <w:keepLines w:val="0"/>
              <w:pageBreakBefore w:val="0"/>
              <w:kinsoku/>
              <w:wordWrap/>
              <w:overflowPunct/>
              <w:topLinePunct w:val="0"/>
              <w:autoSpaceDE/>
              <w:autoSpaceDN/>
              <w:bidi w:val="0"/>
              <w:ind w:left="0" w:right="0"/>
              <w:jc w:val="center"/>
              <w:textAlignment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0.5</w:t>
            </w:r>
          </w:p>
        </w:tc>
      </w:tr>
      <w:tr w14:paraId="72DF8D9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209" w:type="pct"/>
            <w:tcBorders>
              <w:tl2br w:val="nil"/>
              <w:tr2bl w:val="nil"/>
            </w:tcBorders>
            <w:vAlign w:val="center"/>
          </w:tcPr>
          <w:p w14:paraId="18671458">
            <w:pPr>
              <w:keepNext w:val="0"/>
              <w:keepLines w:val="0"/>
              <w:pageBreakBefore w:val="0"/>
              <w:numPr>
                <w:ilvl w:val="0"/>
                <w:numId w:val="19"/>
              </w:numPr>
              <w:kinsoku/>
              <w:wordWrap/>
              <w:overflowPunct/>
              <w:topLinePunct w:val="0"/>
              <w:autoSpaceDE/>
              <w:autoSpaceDN/>
              <w:bidi w:val="0"/>
              <w:ind w:left="0" w:right="0"/>
              <w:jc w:val="center"/>
              <w:textAlignment w:val="center"/>
              <w:rPr>
                <w:rFonts w:ascii="Times New Roman" w:hAnsi="Times New Roman" w:cs="Times New Roman"/>
                <w:color w:val="auto"/>
                <w:sz w:val="21"/>
                <w:szCs w:val="21"/>
                <w:highlight w:val="none"/>
                <w:lang w:bidi="ar"/>
              </w:rPr>
            </w:pPr>
          </w:p>
        </w:tc>
        <w:tc>
          <w:tcPr>
            <w:tcW w:w="497" w:type="pct"/>
            <w:tcBorders>
              <w:tl2br w:val="nil"/>
              <w:tr2bl w:val="nil"/>
            </w:tcBorders>
            <w:vAlign w:val="center"/>
          </w:tcPr>
          <w:p w14:paraId="66AC0289">
            <w:pPr>
              <w:keepNext w:val="0"/>
              <w:keepLines w:val="0"/>
              <w:pageBreakBefore w:val="0"/>
              <w:kinsoku/>
              <w:wordWrap/>
              <w:overflowPunct/>
              <w:topLinePunct w:val="0"/>
              <w:autoSpaceDE/>
              <w:autoSpaceDN/>
              <w:bidi w:val="0"/>
              <w:ind w:left="0" w:right="0"/>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18"/>
                <w:highlight w:val="none"/>
              </w:rPr>
              <w:t>废包装桶（瓶）</w:t>
            </w:r>
          </w:p>
        </w:tc>
        <w:tc>
          <w:tcPr>
            <w:tcW w:w="287" w:type="pct"/>
            <w:vMerge w:val="restart"/>
            <w:tcBorders>
              <w:tl2br w:val="nil"/>
              <w:tr2bl w:val="nil"/>
            </w:tcBorders>
            <w:vAlign w:val="center"/>
          </w:tcPr>
          <w:p w14:paraId="0DABF3A6">
            <w:pPr>
              <w:keepNext w:val="0"/>
              <w:keepLines w:val="0"/>
              <w:pageBreakBefore w:val="0"/>
              <w:kinsoku/>
              <w:wordWrap/>
              <w:overflowPunct/>
              <w:topLinePunct w:val="0"/>
              <w:autoSpaceDE/>
              <w:autoSpaceDN/>
              <w:bidi w:val="0"/>
              <w:adjustRightInd w:val="0"/>
              <w:snapToGrid w:val="0"/>
              <w:ind w:left="0" w:right="0"/>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危险</w:t>
            </w:r>
          </w:p>
          <w:p w14:paraId="39BD02AE">
            <w:pPr>
              <w:pStyle w:val="98"/>
              <w:keepNext w:val="0"/>
              <w:keepLines w:val="0"/>
              <w:pageBreakBefore w:val="0"/>
              <w:kinsoku/>
              <w:wordWrap/>
              <w:overflowPunct/>
              <w:topLinePunct w:val="0"/>
              <w:autoSpaceDE/>
              <w:autoSpaceDN/>
              <w:bidi w:val="0"/>
              <w:adjustRightInd w:val="0"/>
              <w:snapToGrid w:val="0"/>
              <w:ind w:left="0" w:right="0"/>
              <w:rPr>
                <w:rFonts w:eastAsia="宋体"/>
                <w:color w:val="auto"/>
                <w:sz w:val="21"/>
                <w:szCs w:val="21"/>
                <w:highlight w:val="none"/>
              </w:rPr>
            </w:pPr>
            <w:r>
              <w:rPr>
                <w:rFonts w:hint="eastAsia" w:ascii="宋体" w:hAnsi="宋体" w:eastAsia="宋体" w:cs="宋体"/>
                <w:color w:val="auto"/>
                <w:sz w:val="21"/>
                <w:szCs w:val="21"/>
                <w:highlight w:val="none"/>
              </w:rPr>
              <w:t>固</w:t>
            </w:r>
            <w:r>
              <w:rPr>
                <w:color w:val="auto"/>
                <w:sz w:val="21"/>
                <w:szCs w:val="21"/>
                <w:highlight w:val="none"/>
              </w:rPr>
              <w:t>废</w:t>
            </w:r>
          </w:p>
        </w:tc>
        <w:tc>
          <w:tcPr>
            <w:tcW w:w="550" w:type="pct"/>
            <w:vMerge w:val="restart"/>
            <w:tcBorders>
              <w:tl2br w:val="nil"/>
              <w:tr2bl w:val="nil"/>
            </w:tcBorders>
            <w:vAlign w:val="center"/>
          </w:tcPr>
          <w:p w14:paraId="6D1172D4">
            <w:pPr>
              <w:keepNext w:val="0"/>
              <w:keepLines w:val="0"/>
              <w:pageBreakBefore w:val="0"/>
              <w:kinsoku/>
              <w:wordWrap/>
              <w:overflowPunct/>
              <w:topLinePunct w:val="0"/>
              <w:autoSpaceDE/>
              <w:autoSpaceDN/>
              <w:bidi w:val="0"/>
              <w:ind w:left="0" w:right="0"/>
              <w:jc w:val="center"/>
              <w:rPr>
                <w:color w:val="auto"/>
                <w:sz w:val="21"/>
                <w:szCs w:val="21"/>
                <w:highlight w:val="none"/>
              </w:rPr>
            </w:pPr>
            <w:r>
              <w:rPr>
                <w:rFonts w:hint="eastAsia"/>
                <w:color w:val="auto"/>
                <w:sz w:val="21"/>
                <w:szCs w:val="18"/>
                <w:highlight w:val="none"/>
              </w:rPr>
              <w:t>材料包装</w:t>
            </w:r>
          </w:p>
        </w:tc>
        <w:tc>
          <w:tcPr>
            <w:tcW w:w="313" w:type="pct"/>
            <w:tcBorders>
              <w:tl2br w:val="nil"/>
              <w:tr2bl w:val="nil"/>
            </w:tcBorders>
            <w:vAlign w:val="center"/>
          </w:tcPr>
          <w:p w14:paraId="46C0A4E6">
            <w:pPr>
              <w:keepNext w:val="0"/>
              <w:keepLines w:val="0"/>
              <w:pageBreakBefore w:val="0"/>
              <w:kinsoku/>
              <w:wordWrap/>
              <w:overflowPunct/>
              <w:topLinePunct w:val="0"/>
              <w:autoSpaceDE/>
              <w:autoSpaceDN/>
              <w:bidi w:val="0"/>
              <w:adjustRightInd w:val="0"/>
              <w:snapToGrid w:val="0"/>
              <w:ind w:left="0" w:right="0"/>
              <w:jc w:val="center"/>
              <w:rPr>
                <w:color w:val="auto"/>
                <w:sz w:val="21"/>
                <w:szCs w:val="21"/>
                <w:highlight w:val="none"/>
              </w:rPr>
            </w:pPr>
            <w:r>
              <w:rPr>
                <w:rFonts w:hint="eastAsia" w:ascii="Times New Roman" w:hAnsi="Times New Roman" w:cs="Times New Roman"/>
                <w:color w:val="auto"/>
                <w:sz w:val="21"/>
                <w:szCs w:val="21"/>
                <w:highlight w:val="none"/>
              </w:rPr>
              <w:t>固</w:t>
            </w:r>
            <w:r>
              <w:rPr>
                <w:rFonts w:ascii="Times New Roman" w:hAnsi="Times New Roman" w:cs="Times New Roman"/>
                <w:color w:val="auto"/>
                <w:sz w:val="21"/>
                <w:szCs w:val="21"/>
                <w:highlight w:val="none"/>
              </w:rPr>
              <w:t>态</w:t>
            </w:r>
          </w:p>
        </w:tc>
        <w:tc>
          <w:tcPr>
            <w:tcW w:w="804" w:type="pct"/>
            <w:tcBorders>
              <w:tl2br w:val="nil"/>
              <w:tr2bl w:val="nil"/>
            </w:tcBorders>
            <w:vAlign w:val="center"/>
          </w:tcPr>
          <w:p w14:paraId="6D719B0F">
            <w:pPr>
              <w:pStyle w:val="98"/>
              <w:keepNext w:val="0"/>
              <w:keepLines w:val="0"/>
              <w:pageBreakBefore w:val="0"/>
              <w:kinsoku/>
              <w:wordWrap/>
              <w:overflowPunct/>
              <w:topLinePunct w:val="0"/>
              <w:autoSpaceDE/>
              <w:autoSpaceDN/>
              <w:bidi w:val="0"/>
              <w:adjustRightInd w:val="0"/>
              <w:snapToGrid w:val="0"/>
              <w:ind w:left="0" w:right="0"/>
              <w:rPr>
                <w:rFonts w:eastAsia="宋体"/>
                <w:color w:val="auto"/>
                <w:sz w:val="21"/>
                <w:szCs w:val="21"/>
                <w:highlight w:val="none"/>
                <w:lang w:val="en-US"/>
              </w:rPr>
            </w:pPr>
            <w:r>
              <w:rPr>
                <w:rFonts w:hint="eastAsia" w:eastAsia="宋体"/>
                <w:color w:val="auto"/>
                <w:sz w:val="21"/>
                <w:szCs w:val="21"/>
                <w:highlight w:val="none"/>
                <w:lang w:val="en-US"/>
              </w:rPr>
              <w:t>塑料桶、有机物</w:t>
            </w:r>
          </w:p>
        </w:tc>
        <w:tc>
          <w:tcPr>
            <w:tcW w:w="390" w:type="pct"/>
            <w:tcBorders>
              <w:tl2br w:val="nil"/>
              <w:tr2bl w:val="nil"/>
            </w:tcBorders>
            <w:vAlign w:val="center"/>
          </w:tcPr>
          <w:p w14:paraId="58BB405F">
            <w:pPr>
              <w:pStyle w:val="98"/>
              <w:keepNext w:val="0"/>
              <w:keepLines w:val="0"/>
              <w:pageBreakBefore w:val="0"/>
              <w:kinsoku/>
              <w:wordWrap/>
              <w:overflowPunct/>
              <w:topLinePunct w:val="0"/>
              <w:autoSpaceDE/>
              <w:autoSpaceDN/>
              <w:bidi w:val="0"/>
              <w:adjustRightInd w:val="0"/>
              <w:snapToGrid w:val="0"/>
              <w:ind w:left="0" w:right="0"/>
              <w:rPr>
                <w:rFonts w:eastAsia="宋体"/>
                <w:color w:val="auto"/>
                <w:sz w:val="21"/>
                <w:szCs w:val="21"/>
                <w:highlight w:val="none"/>
                <w:lang w:val="en-US"/>
              </w:rPr>
            </w:pPr>
            <w:r>
              <w:rPr>
                <w:rFonts w:eastAsia="宋体"/>
                <w:color w:val="auto"/>
                <w:sz w:val="21"/>
                <w:szCs w:val="21"/>
                <w:highlight w:val="none"/>
                <w:lang w:val="en-US"/>
              </w:rPr>
              <w:t>T/In</w:t>
            </w:r>
          </w:p>
        </w:tc>
        <w:tc>
          <w:tcPr>
            <w:tcW w:w="373" w:type="pct"/>
            <w:tcBorders>
              <w:tl2br w:val="nil"/>
              <w:tr2bl w:val="nil"/>
            </w:tcBorders>
            <w:vAlign w:val="center"/>
          </w:tcPr>
          <w:p w14:paraId="55242665">
            <w:pPr>
              <w:pStyle w:val="98"/>
              <w:keepNext w:val="0"/>
              <w:keepLines w:val="0"/>
              <w:pageBreakBefore w:val="0"/>
              <w:kinsoku/>
              <w:wordWrap/>
              <w:overflowPunct/>
              <w:topLinePunct w:val="0"/>
              <w:autoSpaceDE/>
              <w:autoSpaceDN/>
              <w:bidi w:val="0"/>
              <w:adjustRightInd w:val="0"/>
              <w:snapToGrid w:val="0"/>
              <w:ind w:left="0" w:right="0"/>
              <w:rPr>
                <w:rFonts w:eastAsia="宋体"/>
                <w:color w:val="auto"/>
                <w:sz w:val="21"/>
                <w:szCs w:val="21"/>
                <w:highlight w:val="none"/>
                <w:lang w:val="en-US"/>
              </w:rPr>
            </w:pPr>
            <w:r>
              <w:rPr>
                <w:rFonts w:eastAsia="宋体"/>
                <w:color w:val="auto"/>
                <w:sz w:val="21"/>
                <w:szCs w:val="21"/>
                <w:highlight w:val="none"/>
                <w:lang w:val="en-US"/>
              </w:rPr>
              <w:t>HW49</w:t>
            </w:r>
          </w:p>
        </w:tc>
        <w:tc>
          <w:tcPr>
            <w:tcW w:w="651" w:type="pct"/>
            <w:tcBorders>
              <w:tl2br w:val="nil"/>
              <w:tr2bl w:val="nil"/>
            </w:tcBorders>
            <w:vAlign w:val="center"/>
          </w:tcPr>
          <w:p w14:paraId="650F1DE0">
            <w:pPr>
              <w:pStyle w:val="98"/>
              <w:keepNext w:val="0"/>
              <w:keepLines w:val="0"/>
              <w:pageBreakBefore w:val="0"/>
              <w:kinsoku/>
              <w:wordWrap/>
              <w:overflowPunct/>
              <w:topLinePunct w:val="0"/>
              <w:autoSpaceDE/>
              <w:autoSpaceDN/>
              <w:bidi w:val="0"/>
              <w:adjustRightInd w:val="0"/>
              <w:snapToGrid w:val="0"/>
              <w:ind w:left="0" w:right="0"/>
              <w:rPr>
                <w:rFonts w:eastAsia="宋体"/>
                <w:color w:val="auto"/>
                <w:sz w:val="21"/>
                <w:szCs w:val="21"/>
                <w:highlight w:val="none"/>
                <w:lang w:val="en-US"/>
              </w:rPr>
            </w:pPr>
            <w:r>
              <w:rPr>
                <w:rFonts w:eastAsia="宋体"/>
                <w:color w:val="auto"/>
                <w:sz w:val="21"/>
                <w:szCs w:val="21"/>
                <w:highlight w:val="none"/>
                <w:lang w:val="en-US"/>
              </w:rPr>
              <w:t>900-041-49</w:t>
            </w:r>
          </w:p>
        </w:tc>
        <w:tc>
          <w:tcPr>
            <w:tcW w:w="781" w:type="dxa"/>
            <w:tcBorders>
              <w:tl2br w:val="nil"/>
              <w:tr2bl w:val="nil"/>
            </w:tcBorders>
            <w:vAlign w:val="center"/>
          </w:tcPr>
          <w:p w14:paraId="75681C4F">
            <w:pPr>
              <w:keepNext w:val="0"/>
              <w:keepLines w:val="0"/>
              <w:pageBreakBefore w:val="0"/>
              <w:kinsoku/>
              <w:wordWrap/>
              <w:overflowPunct/>
              <w:autoSpaceDE/>
              <w:autoSpaceDN/>
              <w:bidi w:val="0"/>
              <w:ind w:left="0" w:leftChars="0" w:right="0" w:rightChars="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lang w:val="en-US" w:eastAsia="zh-CN"/>
              </w:rPr>
              <w:t>7.79</w:t>
            </w:r>
          </w:p>
        </w:tc>
        <w:tc>
          <w:tcPr>
            <w:tcW w:w="462" w:type="pct"/>
            <w:tcBorders>
              <w:tl2br w:val="nil"/>
              <w:tr2bl w:val="nil"/>
            </w:tcBorders>
            <w:vAlign w:val="center"/>
          </w:tcPr>
          <w:p w14:paraId="626A947A">
            <w:pPr>
              <w:keepNext w:val="0"/>
              <w:keepLines w:val="0"/>
              <w:pageBreakBefore w:val="0"/>
              <w:kinsoku/>
              <w:wordWrap/>
              <w:overflowPunct/>
              <w:topLinePunct w:val="0"/>
              <w:autoSpaceDE/>
              <w:autoSpaceDN/>
              <w:bidi w:val="0"/>
              <w:ind w:left="0" w:right="0"/>
              <w:jc w:val="center"/>
              <w:textAlignment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15.35</w:t>
            </w:r>
          </w:p>
        </w:tc>
      </w:tr>
      <w:tr w14:paraId="15F0167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209" w:type="pct"/>
            <w:tcBorders>
              <w:tl2br w:val="nil"/>
              <w:tr2bl w:val="nil"/>
            </w:tcBorders>
            <w:vAlign w:val="center"/>
          </w:tcPr>
          <w:p w14:paraId="09B3716E">
            <w:pPr>
              <w:keepNext w:val="0"/>
              <w:keepLines w:val="0"/>
              <w:pageBreakBefore w:val="0"/>
              <w:numPr>
                <w:ilvl w:val="0"/>
                <w:numId w:val="19"/>
              </w:numPr>
              <w:kinsoku/>
              <w:wordWrap/>
              <w:overflowPunct/>
              <w:topLinePunct w:val="0"/>
              <w:autoSpaceDE/>
              <w:autoSpaceDN/>
              <w:bidi w:val="0"/>
              <w:ind w:left="0" w:right="0"/>
              <w:jc w:val="center"/>
              <w:textAlignment w:val="center"/>
              <w:rPr>
                <w:rFonts w:ascii="Times New Roman" w:hAnsi="Times New Roman" w:cs="Times New Roman"/>
                <w:color w:val="auto"/>
                <w:sz w:val="21"/>
                <w:szCs w:val="21"/>
                <w:highlight w:val="none"/>
                <w:lang w:bidi="ar"/>
              </w:rPr>
            </w:pPr>
          </w:p>
        </w:tc>
        <w:tc>
          <w:tcPr>
            <w:tcW w:w="497" w:type="pct"/>
            <w:tcBorders>
              <w:tl2br w:val="nil"/>
              <w:tr2bl w:val="nil"/>
            </w:tcBorders>
            <w:vAlign w:val="center"/>
          </w:tcPr>
          <w:p w14:paraId="43AD4A1C">
            <w:pPr>
              <w:keepNext w:val="0"/>
              <w:keepLines w:val="0"/>
              <w:pageBreakBefore w:val="0"/>
              <w:kinsoku/>
              <w:wordWrap/>
              <w:overflowPunct/>
              <w:topLinePunct w:val="0"/>
              <w:autoSpaceDE/>
              <w:autoSpaceDN/>
              <w:bidi w:val="0"/>
              <w:ind w:left="0" w:right="0"/>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废包装袋</w:t>
            </w:r>
          </w:p>
        </w:tc>
        <w:tc>
          <w:tcPr>
            <w:tcW w:w="287" w:type="pct"/>
            <w:vMerge w:val="continue"/>
            <w:tcBorders>
              <w:tl2br w:val="nil"/>
              <w:tr2bl w:val="nil"/>
            </w:tcBorders>
            <w:vAlign w:val="center"/>
          </w:tcPr>
          <w:p w14:paraId="379FEFCA">
            <w:pPr>
              <w:pStyle w:val="98"/>
              <w:keepNext w:val="0"/>
              <w:keepLines w:val="0"/>
              <w:pageBreakBefore w:val="0"/>
              <w:kinsoku/>
              <w:wordWrap/>
              <w:overflowPunct/>
              <w:topLinePunct w:val="0"/>
              <w:autoSpaceDE/>
              <w:autoSpaceDN/>
              <w:bidi w:val="0"/>
              <w:adjustRightInd w:val="0"/>
              <w:snapToGrid w:val="0"/>
              <w:ind w:left="0" w:right="0"/>
              <w:rPr>
                <w:rFonts w:eastAsia="宋体"/>
                <w:color w:val="auto"/>
                <w:sz w:val="21"/>
                <w:szCs w:val="21"/>
                <w:highlight w:val="none"/>
              </w:rPr>
            </w:pPr>
          </w:p>
        </w:tc>
        <w:tc>
          <w:tcPr>
            <w:tcW w:w="550" w:type="pct"/>
            <w:vMerge w:val="continue"/>
            <w:tcBorders>
              <w:tl2br w:val="nil"/>
              <w:tr2bl w:val="nil"/>
            </w:tcBorders>
            <w:vAlign w:val="center"/>
          </w:tcPr>
          <w:p w14:paraId="158014F6">
            <w:pPr>
              <w:pStyle w:val="98"/>
              <w:keepNext w:val="0"/>
              <w:keepLines w:val="0"/>
              <w:pageBreakBefore w:val="0"/>
              <w:kinsoku/>
              <w:wordWrap/>
              <w:overflowPunct/>
              <w:topLinePunct w:val="0"/>
              <w:autoSpaceDE/>
              <w:autoSpaceDN/>
              <w:bidi w:val="0"/>
              <w:adjustRightInd w:val="0"/>
              <w:snapToGrid w:val="0"/>
              <w:ind w:left="0" w:right="0"/>
              <w:rPr>
                <w:rFonts w:eastAsia="宋体"/>
                <w:color w:val="auto"/>
                <w:sz w:val="21"/>
                <w:szCs w:val="21"/>
                <w:highlight w:val="none"/>
                <w:lang w:val="en-US"/>
              </w:rPr>
            </w:pPr>
          </w:p>
        </w:tc>
        <w:tc>
          <w:tcPr>
            <w:tcW w:w="313" w:type="pct"/>
            <w:tcBorders>
              <w:tl2br w:val="nil"/>
              <w:tr2bl w:val="nil"/>
            </w:tcBorders>
            <w:vAlign w:val="center"/>
          </w:tcPr>
          <w:p w14:paraId="12869C83">
            <w:pPr>
              <w:keepNext w:val="0"/>
              <w:keepLines w:val="0"/>
              <w:pageBreakBefore w:val="0"/>
              <w:kinsoku/>
              <w:wordWrap/>
              <w:overflowPunct/>
              <w:topLinePunct w:val="0"/>
              <w:autoSpaceDE/>
              <w:autoSpaceDN/>
              <w:bidi w:val="0"/>
              <w:adjustRightInd w:val="0"/>
              <w:snapToGrid w:val="0"/>
              <w:ind w:left="0" w:right="0"/>
              <w:jc w:val="center"/>
              <w:rPr>
                <w:color w:val="auto"/>
                <w:sz w:val="21"/>
                <w:szCs w:val="21"/>
                <w:highlight w:val="none"/>
              </w:rPr>
            </w:pPr>
            <w:r>
              <w:rPr>
                <w:color w:val="auto"/>
                <w:sz w:val="21"/>
                <w:szCs w:val="21"/>
                <w:highlight w:val="none"/>
              </w:rPr>
              <w:t>固态</w:t>
            </w:r>
          </w:p>
        </w:tc>
        <w:tc>
          <w:tcPr>
            <w:tcW w:w="804" w:type="pct"/>
            <w:tcBorders>
              <w:tl2br w:val="nil"/>
              <w:tr2bl w:val="nil"/>
            </w:tcBorders>
            <w:vAlign w:val="center"/>
          </w:tcPr>
          <w:p w14:paraId="783EC8E0">
            <w:pPr>
              <w:pStyle w:val="98"/>
              <w:keepNext w:val="0"/>
              <w:keepLines w:val="0"/>
              <w:pageBreakBefore w:val="0"/>
              <w:kinsoku/>
              <w:wordWrap/>
              <w:overflowPunct/>
              <w:topLinePunct w:val="0"/>
              <w:autoSpaceDE/>
              <w:autoSpaceDN/>
              <w:bidi w:val="0"/>
              <w:adjustRightInd w:val="0"/>
              <w:snapToGrid w:val="0"/>
              <w:ind w:left="0" w:right="0"/>
              <w:rPr>
                <w:rFonts w:eastAsia="宋体"/>
                <w:color w:val="auto"/>
                <w:sz w:val="21"/>
                <w:szCs w:val="21"/>
                <w:highlight w:val="none"/>
                <w:lang w:val="en-US"/>
              </w:rPr>
            </w:pPr>
            <w:r>
              <w:rPr>
                <w:rFonts w:hint="eastAsia" w:eastAsia="宋体"/>
                <w:color w:val="auto"/>
                <w:sz w:val="21"/>
                <w:szCs w:val="21"/>
                <w:highlight w:val="none"/>
                <w:lang w:val="en-US"/>
              </w:rPr>
              <w:t>塑料、有机物</w:t>
            </w:r>
          </w:p>
        </w:tc>
        <w:tc>
          <w:tcPr>
            <w:tcW w:w="390" w:type="pct"/>
            <w:tcBorders>
              <w:tl2br w:val="nil"/>
              <w:tr2bl w:val="nil"/>
            </w:tcBorders>
            <w:vAlign w:val="center"/>
          </w:tcPr>
          <w:p w14:paraId="6A181203">
            <w:pPr>
              <w:pStyle w:val="98"/>
              <w:keepNext w:val="0"/>
              <w:keepLines w:val="0"/>
              <w:pageBreakBefore w:val="0"/>
              <w:kinsoku/>
              <w:wordWrap/>
              <w:overflowPunct/>
              <w:topLinePunct w:val="0"/>
              <w:autoSpaceDE/>
              <w:autoSpaceDN/>
              <w:bidi w:val="0"/>
              <w:adjustRightInd w:val="0"/>
              <w:snapToGrid w:val="0"/>
              <w:ind w:left="0" w:right="0"/>
              <w:rPr>
                <w:rFonts w:eastAsia="宋体"/>
                <w:color w:val="auto"/>
                <w:sz w:val="21"/>
                <w:szCs w:val="21"/>
                <w:highlight w:val="none"/>
              </w:rPr>
            </w:pPr>
            <w:r>
              <w:rPr>
                <w:rFonts w:eastAsia="宋体"/>
                <w:color w:val="auto"/>
                <w:sz w:val="21"/>
                <w:szCs w:val="21"/>
                <w:highlight w:val="none"/>
                <w:lang w:val="en-US"/>
              </w:rPr>
              <w:t>T/In</w:t>
            </w:r>
          </w:p>
        </w:tc>
        <w:tc>
          <w:tcPr>
            <w:tcW w:w="373" w:type="pct"/>
            <w:tcBorders>
              <w:tl2br w:val="nil"/>
              <w:tr2bl w:val="nil"/>
            </w:tcBorders>
            <w:vAlign w:val="center"/>
          </w:tcPr>
          <w:p w14:paraId="5D681484">
            <w:pPr>
              <w:pStyle w:val="98"/>
              <w:keepNext w:val="0"/>
              <w:keepLines w:val="0"/>
              <w:pageBreakBefore w:val="0"/>
              <w:kinsoku/>
              <w:wordWrap/>
              <w:overflowPunct/>
              <w:topLinePunct w:val="0"/>
              <w:autoSpaceDE/>
              <w:autoSpaceDN/>
              <w:bidi w:val="0"/>
              <w:adjustRightInd w:val="0"/>
              <w:snapToGrid w:val="0"/>
              <w:ind w:left="0" w:right="0"/>
              <w:rPr>
                <w:rFonts w:eastAsia="宋体"/>
                <w:color w:val="auto"/>
                <w:sz w:val="21"/>
                <w:szCs w:val="21"/>
                <w:highlight w:val="none"/>
              </w:rPr>
            </w:pPr>
            <w:r>
              <w:rPr>
                <w:rFonts w:eastAsia="宋体"/>
                <w:color w:val="auto"/>
                <w:sz w:val="21"/>
                <w:szCs w:val="21"/>
                <w:highlight w:val="none"/>
                <w:lang w:val="en-US"/>
              </w:rPr>
              <w:t>HW49</w:t>
            </w:r>
          </w:p>
        </w:tc>
        <w:tc>
          <w:tcPr>
            <w:tcW w:w="651" w:type="pct"/>
            <w:tcBorders>
              <w:tl2br w:val="nil"/>
              <w:tr2bl w:val="nil"/>
            </w:tcBorders>
            <w:vAlign w:val="center"/>
          </w:tcPr>
          <w:p w14:paraId="12326E4B">
            <w:pPr>
              <w:pStyle w:val="98"/>
              <w:keepNext w:val="0"/>
              <w:keepLines w:val="0"/>
              <w:pageBreakBefore w:val="0"/>
              <w:kinsoku/>
              <w:wordWrap/>
              <w:overflowPunct/>
              <w:topLinePunct w:val="0"/>
              <w:autoSpaceDE/>
              <w:autoSpaceDN/>
              <w:bidi w:val="0"/>
              <w:adjustRightInd w:val="0"/>
              <w:snapToGrid w:val="0"/>
              <w:ind w:left="0" w:right="0"/>
              <w:rPr>
                <w:rFonts w:eastAsia="宋体"/>
                <w:color w:val="auto"/>
                <w:sz w:val="21"/>
                <w:szCs w:val="21"/>
                <w:highlight w:val="none"/>
              </w:rPr>
            </w:pPr>
            <w:r>
              <w:rPr>
                <w:rFonts w:eastAsia="宋体"/>
                <w:color w:val="auto"/>
                <w:sz w:val="21"/>
                <w:szCs w:val="21"/>
                <w:highlight w:val="none"/>
                <w:lang w:val="en-US"/>
              </w:rPr>
              <w:t>900-041-49</w:t>
            </w:r>
          </w:p>
        </w:tc>
        <w:tc>
          <w:tcPr>
            <w:tcW w:w="781" w:type="dxa"/>
            <w:tcBorders>
              <w:tl2br w:val="nil"/>
              <w:tr2bl w:val="nil"/>
            </w:tcBorders>
            <w:vAlign w:val="center"/>
          </w:tcPr>
          <w:p w14:paraId="4919A41A">
            <w:pPr>
              <w:keepNext w:val="0"/>
              <w:keepLines w:val="0"/>
              <w:pageBreakBefore w:val="0"/>
              <w:kinsoku/>
              <w:wordWrap/>
              <w:overflowPunct/>
              <w:autoSpaceDE/>
              <w:autoSpaceDN/>
              <w:bidi w:val="0"/>
              <w:ind w:left="0" w:leftChars="0" w:right="0" w:rightChars="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0.2</w:t>
            </w:r>
          </w:p>
        </w:tc>
        <w:tc>
          <w:tcPr>
            <w:tcW w:w="462" w:type="pct"/>
            <w:tcBorders>
              <w:tl2br w:val="nil"/>
              <w:tr2bl w:val="nil"/>
            </w:tcBorders>
            <w:vAlign w:val="center"/>
          </w:tcPr>
          <w:p w14:paraId="0828F247">
            <w:pPr>
              <w:keepNext w:val="0"/>
              <w:keepLines w:val="0"/>
              <w:pageBreakBefore w:val="0"/>
              <w:kinsoku/>
              <w:wordWrap/>
              <w:overflowPunct/>
              <w:topLinePunct w:val="0"/>
              <w:autoSpaceDE/>
              <w:autoSpaceDN/>
              <w:bidi w:val="0"/>
              <w:ind w:left="0" w:right="0"/>
              <w:jc w:val="center"/>
              <w:textAlignment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0.02</w:t>
            </w:r>
          </w:p>
        </w:tc>
      </w:tr>
      <w:tr w14:paraId="410428B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209" w:type="pct"/>
            <w:tcBorders>
              <w:tl2br w:val="nil"/>
              <w:tr2bl w:val="nil"/>
            </w:tcBorders>
            <w:vAlign w:val="center"/>
          </w:tcPr>
          <w:p w14:paraId="61035120">
            <w:pPr>
              <w:keepNext w:val="0"/>
              <w:keepLines w:val="0"/>
              <w:pageBreakBefore w:val="0"/>
              <w:numPr>
                <w:ilvl w:val="0"/>
                <w:numId w:val="19"/>
              </w:numPr>
              <w:kinsoku/>
              <w:wordWrap/>
              <w:overflowPunct/>
              <w:topLinePunct w:val="0"/>
              <w:autoSpaceDE/>
              <w:autoSpaceDN/>
              <w:bidi w:val="0"/>
              <w:ind w:left="0" w:right="0"/>
              <w:jc w:val="center"/>
              <w:textAlignment w:val="center"/>
              <w:rPr>
                <w:rFonts w:ascii="Times New Roman" w:hAnsi="Times New Roman" w:cs="Times New Roman"/>
                <w:color w:val="auto"/>
                <w:sz w:val="21"/>
                <w:szCs w:val="21"/>
                <w:highlight w:val="none"/>
                <w:lang w:bidi="ar"/>
              </w:rPr>
            </w:pPr>
          </w:p>
        </w:tc>
        <w:tc>
          <w:tcPr>
            <w:tcW w:w="497" w:type="pct"/>
            <w:tcBorders>
              <w:tl2br w:val="nil"/>
              <w:tr2bl w:val="nil"/>
            </w:tcBorders>
            <w:vAlign w:val="center"/>
          </w:tcPr>
          <w:p w14:paraId="333E2470">
            <w:pPr>
              <w:keepNext w:val="0"/>
              <w:keepLines w:val="0"/>
              <w:pageBreakBefore w:val="0"/>
              <w:kinsoku/>
              <w:wordWrap/>
              <w:overflowPunct/>
              <w:topLinePunct w:val="0"/>
              <w:autoSpaceDE/>
              <w:autoSpaceDN/>
              <w:bidi w:val="0"/>
              <w:ind w:left="0" w:right="0"/>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18"/>
                <w:highlight w:val="none"/>
              </w:rPr>
              <w:t>废活性炭</w:t>
            </w:r>
          </w:p>
        </w:tc>
        <w:tc>
          <w:tcPr>
            <w:tcW w:w="287" w:type="pct"/>
            <w:vMerge w:val="continue"/>
            <w:tcBorders>
              <w:tl2br w:val="nil"/>
              <w:tr2bl w:val="nil"/>
            </w:tcBorders>
            <w:vAlign w:val="center"/>
          </w:tcPr>
          <w:p w14:paraId="6BD20DE9">
            <w:pPr>
              <w:pStyle w:val="98"/>
              <w:keepNext w:val="0"/>
              <w:keepLines w:val="0"/>
              <w:pageBreakBefore w:val="0"/>
              <w:kinsoku/>
              <w:wordWrap/>
              <w:overflowPunct/>
              <w:topLinePunct w:val="0"/>
              <w:autoSpaceDE/>
              <w:autoSpaceDN/>
              <w:bidi w:val="0"/>
              <w:adjustRightInd w:val="0"/>
              <w:snapToGrid w:val="0"/>
              <w:ind w:left="0" w:right="0"/>
              <w:rPr>
                <w:rFonts w:eastAsia="宋体"/>
                <w:color w:val="auto"/>
                <w:sz w:val="21"/>
                <w:szCs w:val="21"/>
                <w:highlight w:val="none"/>
              </w:rPr>
            </w:pPr>
          </w:p>
        </w:tc>
        <w:tc>
          <w:tcPr>
            <w:tcW w:w="550" w:type="pct"/>
            <w:tcBorders>
              <w:tl2br w:val="nil"/>
              <w:tr2bl w:val="nil"/>
            </w:tcBorders>
            <w:vAlign w:val="center"/>
          </w:tcPr>
          <w:p w14:paraId="61E936DD">
            <w:pPr>
              <w:keepNext w:val="0"/>
              <w:keepLines w:val="0"/>
              <w:pageBreakBefore w:val="0"/>
              <w:kinsoku/>
              <w:wordWrap/>
              <w:overflowPunct/>
              <w:topLinePunct w:val="0"/>
              <w:autoSpaceDE/>
              <w:autoSpaceDN/>
              <w:bidi w:val="0"/>
              <w:ind w:left="0" w:right="0"/>
              <w:jc w:val="center"/>
              <w:rPr>
                <w:color w:val="auto"/>
                <w:sz w:val="21"/>
                <w:szCs w:val="21"/>
                <w:highlight w:val="none"/>
              </w:rPr>
            </w:pPr>
            <w:r>
              <w:rPr>
                <w:rFonts w:hint="eastAsia"/>
                <w:color w:val="auto"/>
                <w:sz w:val="21"/>
                <w:szCs w:val="18"/>
                <w:highlight w:val="none"/>
              </w:rPr>
              <w:t>废气处理</w:t>
            </w:r>
          </w:p>
        </w:tc>
        <w:tc>
          <w:tcPr>
            <w:tcW w:w="313" w:type="pct"/>
            <w:tcBorders>
              <w:tl2br w:val="nil"/>
              <w:tr2bl w:val="nil"/>
            </w:tcBorders>
            <w:vAlign w:val="center"/>
          </w:tcPr>
          <w:p w14:paraId="7D36C5F5">
            <w:pPr>
              <w:pStyle w:val="98"/>
              <w:keepNext w:val="0"/>
              <w:keepLines w:val="0"/>
              <w:pageBreakBefore w:val="0"/>
              <w:kinsoku/>
              <w:wordWrap/>
              <w:overflowPunct/>
              <w:topLinePunct w:val="0"/>
              <w:autoSpaceDE/>
              <w:autoSpaceDN/>
              <w:bidi w:val="0"/>
              <w:adjustRightInd w:val="0"/>
              <w:snapToGrid w:val="0"/>
              <w:ind w:left="0" w:right="0"/>
              <w:rPr>
                <w:rFonts w:eastAsia="宋体"/>
                <w:color w:val="auto"/>
                <w:sz w:val="21"/>
                <w:szCs w:val="21"/>
                <w:highlight w:val="none"/>
              </w:rPr>
            </w:pPr>
            <w:r>
              <w:rPr>
                <w:rFonts w:eastAsia="宋体"/>
                <w:color w:val="auto"/>
                <w:sz w:val="21"/>
                <w:szCs w:val="21"/>
                <w:highlight w:val="none"/>
                <w:lang w:val="en-US"/>
              </w:rPr>
              <w:t>固态</w:t>
            </w:r>
          </w:p>
        </w:tc>
        <w:tc>
          <w:tcPr>
            <w:tcW w:w="804" w:type="pct"/>
            <w:tcBorders>
              <w:tl2br w:val="nil"/>
              <w:tr2bl w:val="nil"/>
            </w:tcBorders>
            <w:vAlign w:val="center"/>
          </w:tcPr>
          <w:p w14:paraId="637109E5">
            <w:pPr>
              <w:pStyle w:val="98"/>
              <w:keepNext w:val="0"/>
              <w:keepLines w:val="0"/>
              <w:pageBreakBefore w:val="0"/>
              <w:kinsoku/>
              <w:wordWrap/>
              <w:overflowPunct/>
              <w:topLinePunct w:val="0"/>
              <w:autoSpaceDE/>
              <w:autoSpaceDN/>
              <w:bidi w:val="0"/>
              <w:adjustRightInd w:val="0"/>
              <w:snapToGrid w:val="0"/>
              <w:ind w:left="0" w:right="0"/>
              <w:rPr>
                <w:rFonts w:eastAsia="宋体"/>
                <w:color w:val="auto"/>
                <w:sz w:val="21"/>
                <w:szCs w:val="21"/>
                <w:highlight w:val="none"/>
                <w:lang w:val="en-US"/>
              </w:rPr>
            </w:pPr>
            <w:r>
              <w:rPr>
                <w:rFonts w:hint="eastAsia" w:eastAsia="宋体"/>
                <w:color w:val="auto"/>
                <w:sz w:val="21"/>
                <w:szCs w:val="21"/>
                <w:highlight w:val="none"/>
                <w:lang w:val="en-US"/>
              </w:rPr>
              <w:t>活性炭、有机物</w:t>
            </w:r>
          </w:p>
        </w:tc>
        <w:tc>
          <w:tcPr>
            <w:tcW w:w="390" w:type="pct"/>
            <w:tcBorders>
              <w:tl2br w:val="nil"/>
              <w:tr2bl w:val="nil"/>
            </w:tcBorders>
            <w:vAlign w:val="center"/>
          </w:tcPr>
          <w:p w14:paraId="50FDC65D">
            <w:pPr>
              <w:pStyle w:val="98"/>
              <w:keepNext w:val="0"/>
              <w:keepLines w:val="0"/>
              <w:pageBreakBefore w:val="0"/>
              <w:kinsoku/>
              <w:wordWrap/>
              <w:overflowPunct/>
              <w:topLinePunct w:val="0"/>
              <w:autoSpaceDE/>
              <w:autoSpaceDN/>
              <w:bidi w:val="0"/>
              <w:adjustRightInd w:val="0"/>
              <w:snapToGrid w:val="0"/>
              <w:ind w:left="0" w:right="0"/>
              <w:rPr>
                <w:rFonts w:eastAsia="宋体"/>
                <w:color w:val="auto"/>
                <w:sz w:val="21"/>
                <w:szCs w:val="21"/>
                <w:highlight w:val="none"/>
              </w:rPr>
            </w:pPr>
            <w:r>
              <w:rPr>
                <w:rFonts w:eastAsia="宋体"/>
                <w:color w:val="auto"/>
                <w:sz w:val="21"/>
                <w:szCs w:val="21"/>
                <w:highlight w:val="none"/>
                <w:lang w:val="en-US"/>
              </w:rPr>
              <w:t>T/In</w:t>
            </w:r>
          </w:p>
        </w:tc>
        <w:tc>
          <w:tcPr>
            <w:tcW w:w="373" w:type="pct"/>
            <w:tcBorders>
              <w:tl2br w:val="nil"/>
              <w:tr2bl w:val="nil"/>
            </w:tcBorders>
            <w:vAlign w:val="center"/>
          </w:tcPr>
          <w:p w14:paraId="56BF9AF3">
            <w:pPr>
              <w:pStyle w:val="98"/>
              <w:keepNext w:val="0"/>
              <w:keepLines w:val="0"/>
              <w:pageBreakBefore w:val="0"/>
              <w:kinsoku/>
              <w:wordWrap/>
              <w:overflowPunct/>
              <w:topLinePunct w:val="0"/>
              <w:autoSpaceDE/>
              <w:autoSpaceDN/>
              <w:bidi w:val="0"/>
              <w:adjustRightInd w:val="0"/>
              <w:snapToGrid w:val="0"/>
              <w:ind w:left="0" w:right="0"/>
              <w:rPr>
                <w:rFonts w:eastAsia="宋体"/>
                <w:color w:val="auto"/>
                <w:sz w:val="21"/>
                <w:szCs w:val="21"/>
                <w:highlight w:val="none"/>
              </w:rPr>
            </w:pPr>
            <w:r>
              <w:rPr>
                <w:rFonts w:eastAsia="宋体"/>
                <w:color w:val="auto"/>
                <w:sz w:val="21"/>
                <w:szCs w:val="21"/>
                <w:highlight w:val="none"/>
                <w:lang w:val="en-US"/>
              </w:rPr>
              <w:t>HW49</w:t>
            </w:r>
          </w:p>
        </w:tc>
        <w:tc>
          <w:tcPr>
            <w:tcW w:w="651" w:type="pct"/>
            <w:tcBorders>
              <w:tl2br w:val="nil"/>
              <w:tr2bl w:val="nil"/>
            </w:tcBorders>
            <w:vAlign w:val="center"/>
          </w:tcPr>
          <w:p w14:paraId="58C38539">
            <w:pPr>
              <w:pStyle w:val="98"/>
              <w:keepNext w:val="0"/>
              <w:keepLines w:val="0"/>
              <w:pageBreakBefore w:val="0"/>
              <w:kinsoku/>
              <w:wordWrap/>
              <w:overflowPunct/>
              <w:topLinePunct w:val="0"/>
              <w:autoSpaceDE/>
              <w:autoSpaceDN/>
              <w:bidi w:val="0"/>
              <w:adjustRightInd w:val="0"/>
              <w:snapToGrid w:val="0"/>
              <w:ind w:left="0" w:right="0"/>
              <w:rPr>
                <w:rFonts w:eastAsia="宋体"/>
                <w:color w:val="auto"/>
                <w:sz w:val="21"/>
                <w:szCs w:val="21"/>
                <w:highlight w:val="none"/>
              </w:rPr>
            </w:pPr>
            <w:r>
              <w:rPr>
                <w:rFonts w:eastAsia="宋体"/>
                <w:color w:val="auto"/>
                <w:sz w:val="21"/>
                <w:szCs w:val="21"/>
                <w:highlight w:val="none"/>
                <w:lang w:val="en-US"/>
              </w:rPr>
              <w:t>900-0</w:t>
            </w:r>
            <w:r>
              <w:rPr>
                <w:rFonts w:hint="eastAsia" w:eastAsia="宋体"/>
                <w:color w:val="auto"/>
                <w:sz w:val="21"/>
                <w:szCs w:val="21"/>
                <w:highlight w:val="none"/>
                <w:lang w:val="en-US"/>
              </w:rPr>
              <w:t>39</w:t>
            </w:r>
            <w:r>
              <w:rPr>
                <w:rFonts w:eastAsia="宋体"/>
                <w:color w:val="auto"/>
                <w:sz w:val="21"/>
                <w:szCs w:val="21"/>
                <w:highlight w:val="none"/>
                <w:lang w:val="en-US"/>
              </w:rPr>
              <w:t>-49</w:t>
            </w:r>
          </w:p>
        </w:tc>
        <w:tc>
          <w:tcPr>
            <w:tcW w:w="781" w:type="dxa"/>
            <w:tcBorders>
              <w:tl2br w:val="nil"/>
              <w:tr2bl w:val="nil"/>
            </w:tcBorders>
            <w:vAlign w:val="center"/>
          </w:tcPr>
          <w:p w14:paraId="19ACBA97">
            <w:pPr>
              <w:keepNext w:val="0"/>
              <w:keepLines w:val="0"/>
              <w:pageBreakBefore w:val="0"/>
              <w:kinsoku/>
              <w:wordWrap/>
              <w:overflowPunct/>
              <w:autoSpaceDE/>
              <w:autoSpaceDN/>
              <w:bidi w:val="0"/>
              <w:ind w:left="0" w:leftChars="0" w:right="0" w:rightChars="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lang w:val="en-US" w:eastAsia="zh-CN"/>
              </w:rPr>
              <w:t>10.4089</w:t>
            </w:r>
          </w:p>
        </w:tc>
        <w:tc>
          <w:tcPr>
            <w:tcW w:w="462" w:type="pct"/>
            <w:tcBorders>
              <w:tl2br w:val="nil"/>
              <w:tr2bl w:val="nil"/>
            </w:tcBorders>
            <w:vAlign w:val="center"/>
          </w:tcPr>
          <w:p w14:paraId="51778BAC">
            <w:pPr>
              <w:keepNext w:val="0"/>
              <w:keepLines w:val="0"/>
              <w:pageBreakBefore w:val="0"/>
              <w:kinsoku/>
              <w:wordWrap/>
              <w:overflowPunct/>
              <w:topLinePunct w:val="0"/>
              <w:autoSpaceDE/>
              <w:autoSpaceDN/>
              <w:bidi w:val="0"/>
              <w:ind w:left="0" w:right="0"/>
              <w:jc w:val="center"/>
              <w:textAlignment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18.4089</w:t>
            </w:r>
          </w:p>
        </w:tc>
      </w:tr>
      <w:tr w14:paraId="44ACA42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209" w:type="pct"/>
            <w:tcBorders>
              <w:tl2br w:val="nil"/>
              <w:tr2bl w:val="nil"/>
            </w:tcBorders>
            <w:vAlign w:val="center"/>
          </w:tcPr>
          <w:p w14:paraId="57FEE9EB">
            <w:pPr>
              <w:keepNext w:val="0"/>
              <w:keepLines w:val="0"/>
              <w:pageBreakBefore w:val="0"/>
              <w:numPr>
                <w:ilvl w:val="0"/>
                <w:numId w:val="19"/>
              </w:numPr>
              <w:kinsoku/>
              <w:wordWrap/>
              <w:overflowPunct/>
              <w:topLinePunct w:val="0"/>
              <w:autoSpaceDE/>
              <w:autoSpaceDN/>
              <w:bidi w:val="0"/>
              <w:ind w:left="0" w:right="0"/>
              <w:jc w:val="center"/>
              <w:textAlignment w:val="center"/>
              <w:rPr>
                <w:rFonts w:ascii="Times New Roman" w:hAnsi="Times New Roman" w:cs="Times New Roman"/>
                <w:color w:val="auto"/>
                <w:sz w:val="21"/>
                <w:szCs w:val="21"/>
                <w:highlight w:val="none"/>
                <w:lang w:bidi="ar"/>
              </w:rPr>
            </w:pPr>
            <w:bookmarkStart w:id="243" w:name="_Ref23722"/>
          </w:p>
        </w:tc>
        <w:tc>
          <w:tcPr>
            <w:tcW w:w="497" w:type="pct"/>
            <w:tcBorders>
              <w:tl2br w:val="nil"/>
              <w:tr2bl w:val="nil"/>
            </w:tcBorders>
            <w:vAlign w:val="center"/>
          </w:tcPr>
          <w:p w14:paraId="4209B74B">
            <w:pPr>
              <w:keepNext w:val="0"/>
              <w:keepLines w:val="0"/>
              <w:pageBreakBefore w:val="0"/>
              <w:kinsoku/>
              <w:wordWrap/>
              <w:overflowPunct/>
              <w:topLinePunct w:val="0"/>
              <w:autoSpaceDE/>
              <w:autoSpaceDN/>
              <w:bidi w:val="0"/>
              <w:ind w:left="0" w:right="0"/>
              <w:jc w:val="center"/>
              <w:rPr>
                <w:rFonts w:hint="eastAsia" w:ascii="Times New Roman" w:hAnsi="Times New Roman" w:cs="Times New Roman"/>
                <w:color w:val="auto"/>
                <w:sz w:val="21"/>
                <w:szCs w:val="18"/>
                <w:highlight w:val="none"/>
              </w:rPr>
            </w:pPr>
            <w:r>
              <w:rPr>
                <w:rFonts w:hint="eastAsia" w:ascii="Times New Roman" w:hAnsi="Times New Roman" w:cs="Times New Roman"/>
                <w:color w:val="auto"/>
                <w:sz w:val="21"/>
                <w:szCs w:val="18"/>
                <w:highlight w:val="none"/>
                <w:lang w:val="en-US" w:eastAsia="zh-CN"/>
              </w:rPr>
              <w:t>实验室清洗废水</w:t>
            </w:r>
          </w:p>
        </w:tc>
        <w:tc>
          <w:tcPr>
            <w:tcW w:w="287" w:type="pct"/>
            <w:vMerge w:val="continue"/>
            <w:tcBorders>
              <w:tl2br w:val="nil"/>
              <w:tr2bl w:val="nil"/>
            </w:tcBorders>
            <w:vAlign w:val="center"/>
          </w:tcPr>
          <w:p w14:paraId="28D3E335">
            <w:pPr>
              <w:pStyle w:val="98"/>
              <w:keepNext w:val="0"/>
              <w:keepLines w:val="0"/>
              <w:pageBreakBefore w:val="0"/>
              <w:kinsoku/>
              <w:wordWrap/>
              <w:overflowPunct/>
              <w:topLinePunct w:val="0"/>
              <w:autoSpaceDE/>
              <w:autoSpaceDN/>
              <w:bidi w:val="0"/>
              <w:adjustRightInd w:val="0"/>
              <w:snapToGrid w:val="0"/>
              <w:ind w:left="0" w:right="0"/>
              <w:rPr>
                <w:rFonts w:eastAsia="宋体"/>
                <w:color w:val="auto"/>
                <w:sz w:val="21"/>
                <w:szCs w:val="21"/>
                <w:highlight w:val="none"/>
              </w:rPr>
            </w:pPr>
          </w:p>
        </w:tc>
        <w:tc>
          <w:tcPr>
            <w:tcW w:w="550" w:type="pct"/>
            <w:tcBorders>
              <w:tl2br w:val="nil"/>
              <w:tr2bl w:val="nil"/>
            </w:tcBorders>
            <w:vAlign w:val="center"/>
          </w:tcPr>
          <w:p w14:paraId="2D4069B5">
            <w:pPr>
              <w:keepNext w:val="0"/>
              <w:keepLines w:val="0"/>
              <w:pageBreakBefore w:val="0"/>
              <w:kinsoku/>
              <w:wordWrap/>
              <w:overflowPunct/>
              <w:topLinePunct w:val="0"/>
              <w:autoSpaceDE/>
              <w:autoSpaceDN/>
              <w:bidi w:val="0"/>
              <w:ind w:left="0" w:right="0"/>
              <w:jc w:val="center"/>
              <w:rPr>
                <w:rFonts w:hint="default" w:eastAsia="宋体"/>
                <w:color w:val="auto"/>
                <w:sz w:val="21"/>
                <w:szCs w:val="18"/>
                <w:highlight w:val="none"/>
                <w:lang w:val="en-US" w:eastAsia="zh-CN"/>
              </w:rPr>
            </w:pPr>
            <w:r>
              <w:rPr>
                <w:rFonts w:hint="eastAsia"/>
                <w:color w:val="auto"/>
                <w:sz w:val="21"/>
                <w:szCs w:val="18"/>
                <w:highlight w:val="none"/>
                <w:lang w:val="en-US" w:eastAsia="zh-CN"/>
              </w:rPr>
              <w:t>实验</w:t>
            </w:r>
          </w:p>
        </w:tc>
        <w:tc>
          <w:tcPr>
            <w:tcW w:w="313" w:type="pct"/>
            <w:tcBorders>
              <w:tl2br w:val="nil"/>
              <w:tr2bl w:val="nil"/>
            </w:tcBorders>
            <w:vAlign w:val="center"/>
          </w:tcPr>
          <w:p w14:paraId="7E6CE1D9">
            <w:pPr>
              <w:pStyle w:val="98"/>
              <w:keepNext w:val="0"/>
              <w:keepLines w:val="0"/>
              <w:pageBreakBefore w:val="0"/>
              <w:kinsoku/>
              <w:wordWrap/>
              <w:overflowPunct/>
              <w:topLinePunct w:val="0"/>
              <w:autoSpaceDE/>
              <w:autoSpaceDN/>
              <w:bidi w:val="0"/>
              <w:adjustRightInd w:val="0"/>
              <w:snapToGrid w:val="0"/>
              <w:ind w:left="0" w:right="0"/>
              <w:rPr>
                <w:rFonts w:hint="eastAsia" w:eastAsia="宋体"/>
                <w:color w:val="auto"/>
                <w:sz w:val="21"/>
                <w:szCs w:val="21"/>
                <w:highlight w:val="none"/>
                <w:lang w:val="en-US" w:eastAsia="zh-CN"/>
              </w:rPr>
            </w:pPr>
            <w:r>
              <w:rPr>
                <w:rFonts w:hint="eastAsia" w:eastAsia="宋体"/>
                <w:color w:val="auto"/>
                <w:sz w:val="21"/>
                <w:szCs w:val="21"/>
                <w:highlight w:val="none"/>
                <w:lang w:val="en-US" w:eastAsia="zh-CN"/>
              </w:rPr>
              <w:t>液态</w:t>
            </w:r>
          </w:p>
        </w:tc>
        <w:tc>
          <w:tcPr>
            <w:tcW w:w="804" w:type="pct"/>
            <w:tcBorders>
              <w:tl2br w:val="nil"/>
              <w:tr2bl w:val="nil"/>
            </w:tcBorders>
            <w:vAlign w:val="center"/>
          </w:tcPr>
          <w:p w14:paraId="51485A94">
            <w:pPr>
              <w:pStyle w:val="98"/>
              <w:keepNext w:val="0"/>
              <w:keepLines w:val="0"/>
              <w:pageBreakBefore w:val="0"/>
              <w:kinsoku/>
              <w:wordWrap/>
              <w:overflowPunct/>
              <w:topLinePunct w:val="0"/>
              <w:autoSpaceDE/>
              <w:autoSpaceDN/>
              <w:bidi w:val="0"/>
              <w:adjustRightInd w:val="0"/>
              <w:snapToGrid w:val="0"/>
              <w:ind w:left="0" w:right="0"/>
              <w:rPr>
                <w:rFonts w:hint="eastAsia" w:eastAsia="宋体"/>
                <w:color w:val="auto"/>
                <w:sz w:val="21"/>
                <w:szCs w:val="21"/>
                <w:highlight w:val="none"/>
                <w:lang w:val="en-US" w:eastAsia="zh-CN"/>
              </w:rPr>
            </w:pPr>
            <w:r>
              <w:rPr>
                <w:rFonts w:hint="eastAsia" w:eastAsia="宋体"/>
                <w:color w:val="auto"/>
                <w:sz w:val="21"/>
                <w:szCs w:val="21"/>
                <w:highlight w:val="none"/>
                <w:lang w:val="en-US" w:eastAsia="zh-CN"/>
              </w:rPr>
              <w:t>杂质</w:t>
            </w:r>
          </w:p>
        </w:tc>
        <w:tc>
          <w:tcPr>
            <w:tcW w:w="664" w:type="dxa"/>
            <w:tcBorders>
              <w:tl2br w:val="nil"/>
              <w:tr2bl w:val="nil"/>
            </w:tcBorders>
            <w:vAlign w:val="center"/>
          </w:tcPr>
          <w:p w14:paraId="2CC58A8A">
            <w:pPr>
              <w:pStyle w:val="98"/>
              <w:keepNext w:val="0"/>
              <w:keepLines w:val="0"/>
              <w:pageBreakBefore w:val="0"/>
              <w:kinsoku/>
              <w:wordWrap/>
              <w:overflowPunct/>
              <w:topLinePunct w:val="0"/>
              <w:autoSpaceDE/>
              <w:autoSpaceDN/>
              <w:bidi w:val="0"/>
              <w:adjustRightInd w:val="0"/>
              <w:snapToGrid w:val="0"/>
              <w:ind w:left="0" w:leftChars="0" w:right="0" w:rightChars="0"/>
              <w:rPr>
                <w:rFonts w:eastAsia="宋体"/>
                <w:color w:val="auto"/>
                <w:sz w:val="21"/>
                <w:szCs w:val="21"/>
                <w:highlight w:val="none"/>
                <w:lang w:val="en-US"/>
              </w:rPr>
            </w:pPr>
            <w:r>
              <w:rPr>
                <w:rFonts w:eastAsia="宋体"/>
                <w:color w:val="auto"/>
                <w:sz w:val="21"/>
                <w:szCs w:val="21"/>
                <w:highlight w:val="none"/>
                <w:lang w:val="en-US"/>
              </w:rPr>
              <w:t>T/</w:t>
            </w:r>
            <w:r>
              <w:rPr>
                <w:rFonts w:hint="eastAsia" w:eastAsia="宋体"/>
                <w:color w:val="auto"/>
                <w:sz w:val="21"/>
                <w:szCs w:val="21"/>
                <w:highlight w:val="none"/>
                <w:lang w:val="en-US"/>
              </w:rPr>
              <w:t>C/</w:t>
            </w:r>
            <w:r>
              <w:rPr>
                <w:rFonts w:eastAsia="宋体"/>
                <w:color w:val="auto"/>
                <w:sz w:val="21"/>
                <w:szCs w:val="21"/>
                <w:highlight w:val="none"/>
                <w:lang w:val="en-US"/>
              </w:rPr>
              <w:t>I</w:t>
            </w:r>
            <w:r>
              <w:rPr>
                <w:rFonts w:hint="eastAsia" w:eastAsia="宋体"/>
                <w:color w:val="auto"/>
                <w:sz w:val="21"/>
                <w:szCs w:val="21"/>
                <w:highlight w:val="none"/>
                <w:lang w:val="en-US"/>
              </w:rPr>
              <w:t>/R</w:t>
            </w:r>
          </w:p>
        </w:tc>
        <w:tc>
          <w:tcPr>
            <w:tcW w:w="635" w:type="dxa"/>
            <w:tcBorders>
              <w:tl2br w:val="nil"/>
              <w:tr2bl w:val="nil"/>
            </w:tcBorders>
            <w:vAlign w:val="center"/>
          </w:tcPr>
          <w:p w14:paraId="2FF7E5F0">
            <w:pPr>
              <w:pStyle w:val="98"/>
              <w:keepNext w:val="0"/>
              <w:keepLines w:val="0"/>
              <w:pageBreakBefore w:val="0"/>
              <w:kinsoku/>
              <w:wordWrap/>
              <w:overflowPunct/>
              <w:topLinePunct w:val="0"/>
              <w:autoSpaceDE/>
              <w:autoSpaceDN/>
              <w:bidi w:val="0"/>
              <w:adjustRightInd w:val="0"/>
              <w:snapToGrid w:val="0"/>
              <w:ind w:left="0" w:leftChars="0" w:right="0" w:rightChars="0"/>
              <w:rPr>
                <w:rFonts w:eastAsia="宋体"/>
                <w:color w:val="auto"/>
                <w:sz w:val="21"/>
                <w:szCs w:val="21"/>
                <w:highlight w:val="none"/>
                <w:lang w:val="en-US"/>
              </w:rPr>
            </w:pPr>
            <w:r>
              <w:rPr>
                <w:rFonts w:eastAsia="宋体"/>
                <w:color w:val="auto"/>
                <w:sz w:val="21"/>
                <w:szCs w:val="21"/>
                <w:highlight w:val="none"/>
                <w:lang w:val="en-US"/>
              </w:rPr>
              <w:t>HW49</w:t>
            </w:r>
          </w:p>
        </w:tc>
        <w:tc>
          <w:tcPr>
            <w:tcW w:w="1108" w:type="dxa"/>
            <w:tcBorders>
              <w:tl2br w:val="nil"/>
              <w:tr2bl w:val="nil"/>
            </w:tcBorders>
            <w:vAlign w:val="center"/>
          </w:tcPr>
          <w:p w14:paraId="015863C0">
            <w:pPr>
              <w:pStyle w:val="98"/>
              <w:keepNext w:val="0"/>
              <w:keepLines w:val="0"/>
              <w:pageBreakBefore w:val="0"/>
              <w:kinsoku/>
              <w:wordWrap/>
              <w:overflowPunct/>
              <w:topLinePunct w:val="0"/>
              <w:autoSpaceDE/>
              <w:autoSpaceDN/>
              <w:bidi w:val="0"/>
              <w:adjustRightInd w:val="0"/>
              <w:snapToGrid w:val="0"/>
              <w:ind w:left="0" w:leftChars="0" w:right="0" w:rightChars="0"/>
              <w:rPr>
                <w:rFonts w:eastAsia="宋体"/>
                <w:color w:val="auto"/>
                <w:sz w:val="21"/>
                <w:szCs w:val="21"/>
                <w:highlight w:val="none"/>
                <w:lang w:val="en-US"/>
              </w:rPr>
            </w:pPr>
            <w:r>
              <w:rPr>
                <w:rFonts w:eastAsia="宋体"/>
                <w:color w:val="auto"/>
                <w:sz w:val="21"/>
                <w:szCs w:val="21"/>
                <w:highlight w:val="none"/>
                <w:lang w:val="en-US"/>
              </w:rPr>
              <w:t>900-04</w:t>
            </w:r>
            <w:r>
              <w:rPr>
                <w:rFonts w:hint="eastAsia" w:eastAsia="宋体"/>
                <w:color w:val="auto"/>
                <w:sz w:val="21"/>
                <w:szCs w:val="21"/>
                <w:highlight w:val="none"/>
                <w:lang w:val="en-US"/>
              </w:rPr>
              <w:t>7</w:t>
            </w:r>
            <w:r>
              <w:rPr>
                <w:rFonts w:eastAsia="宋体"/>
                <w:color w:val="auto"/>
                <w:sz w:val="21"/>
                <w:szCs w:val="21"/>
                <w:highlight w:val="none"/>
                <w:lang w:val="en-US"/>
              </w:rPr>
              <w:t>-49</w:t>
            </w:r>
          </w:p>
        </w:tc>
        <w:tc>
          <w:tcPr>
            <w:tcW w:w="781" w:type="dxa"/>
            <w:tcBorders>
              <w:tl2br w:val="nil"/>
              <w:tr2bl w:val="nil"/>
            </w:tcBorders>
            <w:vAlign w:val="center"/>
          </w:tcPr>
          <w:p w14:paraId="7EA94066">
            <w:pPr>
              <w:keepNext w:val="0"/>
              <w:keepLines w:val="0"/>
              <w:pageBreakBefore w:val="0"/>
              <w:kinsoku/>
              <w:wordWrap/>
              <w:overflowPunct/>
              <w:autoSpaceDE/>
              <w:autoSpaceDN/>
              <w:bidi w:val="0"/>
              <w:ind w:left="0" w:leftChars="0" w:right="0" w:rightChars="0"/>
              <w:jc w:val="center"/>
              <w:textAlignment w:val="auto"/>
              <w:rPr>
                <w:rFonts w:hint="eastAsia"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lang w:val="en-US" w:eastAsia="zh-CN"/>
              </w:rPr>
              <w:t>0.1</w:t>
            </w:r>
          </w:p>
        </w:tc>
        <w:tc>
          <w:tcPr>
            <w:tcW w:w="462" w:type="pct"/>
            <w:tcBorders>
              <w:tl2br w:val="nil"/>
              <w:tr2bl w:val="nil"/>
            </w:tcBorders>
            <w:vAlign w:val="center"/>
          </w:tcPr>
          <w:p w14:paraId="0A95CF50">
            <w:pPr>
              <w:keepNext w:val="0"/>
              <w:keepLines w:val="0"/>
              <w:pageBreakBefore w:val="0"/>
              <w:kinsoku/>
              <w:wordWrap/>
              <w:overflowPunct/>
              <w:topLinePunct w:val="0"/>
              <w:autoSpaceDE/>
              <w:autoSpaceDN/>
              <w:bidi w:val="0"/>
              <w:ind w:left="0" w:right="0"/>
              <w:jc w:val="center"/>
              <w:textAlignment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0.1</w:t>
            </w:r>
          </w:p>
        </w:tc>
      </w:tr>
    </w:tbl>
    <w:p w14:paraId="2045F0A9">
      <w:pPr>
        <w:pStyle w:val="15"/>
        <w:spacing w:before="120" w:beforeLines="50" w:after="120" w:afterLines="50"/>
        <w:ind w:left="-105" w:right="-105" w:firstLine="482"/>
        <w:rPr>
          <w:rFonts w:eastAsia="宋体" w:cs="Times New Roman"/>
          <w:color w:val="auto"/>
          <w:sz w:val="24"/>
          <w:szCs w:val="18"/>
          <w:highlight w:val="none"/>
        </w:rPr>
      </w:pPr>
    </w:p>
    <w:p w14:paraId="410F1342">
      <w:pPr>
        <w:pStyle w:val="15"/>
        <w:spacing w:before="120" w:beforeLines="50" w:after="120" w:afterLines="50"/>
        <w:ind w:left="-105" w:right="-105" w:firstLine="482"/>
        <w:rPr>
          <w:rFonts w:eastAsia="宋体" w:cs="Times New Roman"/>
          <w:color w:val="auto"/>
          <w:sz w:val="24"/>
          <w:szCs w:val="18"/>
          <w:highlight w:val="none"/>
        </w:rPr>
      </w:pPr>
      <w:r>
        <w:rPr>
          <w:rFonts w:eastAsia="宋体" w:cs="Times New Roman"/>
          <w:color w:val="auto"/>
          <w:sz w:val="24"/>
          <w:szCs w:val="18"/>
          <w:highlight w:val="none"/>
        </w:rPr>
        <w:t>表</w:t>
      </w:r>
      <w:r>
        <w:rPr>
          <w:rFonts w:eastAsia="宋体" w:cs="Times New Roman"/>
          <w:color w:val="auto"/>
          <w:sz w:val="24"/>
          <w:szCs w:val="18"/>
          <w:highlight w:val="none"/>
        </w:rPr>
        <w:fldChar w:fldCharType="begin"/>
      </w:r>
      <w:r>
        <w:rPr>
          <w:rFonts w:eastAsia="宋体" w:cs="Times New Roman"/>
          <w:color w:val="auto"/>
          <w:sz w:val="24"/>
          <w:szCs w:val="18"/>
          <w:highlight w:val="none"/>
        </w:rPr>
        <w:instrText xml:space="preserve"> STYLEREF 2 \s </w:instrText>
      </w:r>
      <w:r>
        <w:rPr>
          <w:rFonts w:eastAsia="宋体" w:cs="Times New Roman"/>
          <w:color w:val="auto"/>
          <w:sz w:val="24"/>
          <w:szCs w:val="18"/>
          <w:highlight w:val="none"/>
        </w:rPr>
        <w:fldChar w:fldCharType="separate"/>
      </w:r>
      <w:r>
        <w:rPr>
          <w:rFonts w:eastAsia="宋体" w:cs="Times New Roman"/>
          <w:color w:val="auto"/>
          <w:sz w:val="24"/>
          <w:szCs w:val="18"/>
          <w:highlight w:val="none"/>
        </w:rPr>
        <w:t>4.6</w:t>
      </w:r>
      <w:r>
        <w:rPr>
          <w:rFonts w:eastAsia="宋体" w:cs="Times New Roman"/>
          <w:color w:val="auto"/>
          <w:sz w:val="24"/>
          <w:szCs w:val="18"/>
          <w:highlight w:val="none"/>
        </w:rPr>
        <w:fldChar w:fldCharType="end"/>
      </w:r>
      <w:r>
        <w:rPr>
          <w:rFonts w:eastAsia="宋体" w:cs="Times New Roman"/>
          <w:color w:val="auto"/>
          <w:sz w:val="24"/>
          <w:szCs w:val="18"/>
          <w:highlight w:val="none"/>
        </w:rPr>
        <w:noBreakHyphen/>
      </w:r>
      <w:r>
        <w:rPr>
          <w:rFonts w:eastAsia="宋体" w:cs="Times New Roman"/>
          <w:color w:val="auto"/>
          <w:sz w:val="24"/>
          <w:szCs w:val="18"/>
          <w:highlight w:val="none"/>
        </w:rPr>
        <w:fldChar w:fldCharType="begin"/>
      </w:r>
      <w:r>
        <w:rPr>
          <w:rFonts w:eastAsia="宋体" w:cs="Times New Roman"/>
          <w:color w:val="auto"/>
          <w:sz w:val="24"/>
          <w:szCs w:val="18"/>
          <w:highlight w:val="none"/>
        </w:rPr>
        <w:instrText xml:space="preserve"> SEQ 表 \* ARABIC \s 2 </w:instrText>
      </w:r>
      <w:r>
        <w:rPr>
          <w:rFonts w:eastAsia="宋体" w:cs="Times New Roman"/>
          <w:color w:val="auto"/>
          <w:sz w:val="24"/>
          <w:szCs w:val="18"/>
          <w:highlight w:val="none"/>
        </w:rPr>
        <w:fldChar w:fldCharType="separate"/>
      </w:r>
      <w:r>
        <w:rPr>
          <w:rFonts w:eastAsia="宋体" w:cs="Times New Roman"/>
          <w:color w:val="auto"/>
          <w:sz w:val="24"/>
          <w:szCs w:val="18"/>
          <w:highlight w:val="none"/>
        </w:rPr>
        <w:t>12</w:t>
      </w:r>
      <w:r>
        <w:rPr>
          <w:rFonts w:eastAsia="宋体" w:cs="Times New Roman"/>
          <w:color w:val="auto"/>
          <w:sz w:val="24"/>
          <w:szCs w:val="18"/>
          <w:highlight w:val="none"/>
        </w:rPr>
        <w:fldChar w:fldCharType="end"/>
      </w:r>
      <w:bookmarkEnd w:id="243"/>
      <w:r>
        <w:rPr>
          <w:rFonts w:eastAsia="宋体" w:cs="Times New Roman"/>
          <w:color w:val="auto"/>
          <w:sz w:val="24"/>
          <w:szCs w:val="18"/>
          <w:highlight w:val="none"/>
        </w:rPr>
        <w:t>本项目固体废物污染源强核算结果及相关参数一览表</w:t>
      </w:r>
    </w:p>
    <w:tbl>
      <w:tblPr>
        <w:tblStyle w:val="45"/>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6" w:type="dxa"/>
          <w:bottom w:w="0" w:type="dxa"/>
          <w:right w:w="6" w:type="dxa"/>
        </w:tblCellMar>
      </w:tblPr>
      <w:tblGrid>
        <w:gridCol w:w="411"/>
        <w:gridCol w:w="972"/>
        <w:gridCol w:w="762"/>
        <w:gridCol w:w="1140"/>
        <w:gridCol w:w="755"/>
        <w:gridCol w:w="1205"/>
        <w:gridCol w:w="883"/>
        <w:gridCol w:w="782"/>
        <w:gridCol w:w="805"/>
        <w:gridCol w:w="801"/>
      </w:tblGrid>
      <w:tr w14:paraId="44E38B4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6" w:type="dxa"/>
            <w:bottom w:w="0" w:type="dxa"/>
            <w:right w:w="6" w:type="dxa"/>
          </w:tblCellMar>
        </w:tblPrEx>
        <w:trPr>
          <w:cantSplit/>
          <w:trHeight w:val="307" w:hRule="atLeast"/>
          <w:jc w:val="center"/>
        </w:trPr>
        <w:tc>
          <w:tcPr>
            <w:tcW w:w="241" w:type="pct"/>
            <w:vMerge w:val="restart"/>
            <w:tcBorders>
              <w:top w:val="single" w:color="auto" w:sz="12" w:space="0"/>
              <w:left w:val="nil"/>
              <w:right w:val="single" w:color="auto" w:sz="4" w:space="0"/>
            </w:tcBorders>
            <w:vAlign w:val="center"/>
          </w:tcPr>
          <w:p w14:paraId="6485A954">
            <w:pPr>
              <w:keepNext w:val="0"/>
              <w:keepLines w:val="0"/>
              <w:pageBreakBefore w:val="0"/>
              <w:kinsoku/>
              <w:wordWrap/>
              <w:overflowPunct/>
              <w:topLinePunct w:val="0"/>
              <w:autoSpaceDE/>
              <w:autoSpaceDN/>
              <w:bidi w:val="0"/>
              <w:adjustRightInd w:val="0"/>
              <w:snapToGrid w:val="0"/>
              <w:ind w:left="0" w:right="0"/>
              <w:jc w:val="center"/>
              <w:textAlignment w:val="auto"/>
              <w:rPr>
                <w:rFonts w:ascii="Times New Roman" w:hAnsi="Times New Roman" w:cs="Times New Roman"/>
                <w:b/>
                <w:color w:val="auto"/>
                <w:sz w:val="21"/>
                <w:szCs w:val="21"/>
                <w:highlight w:val="none"/>
              </w:rPr>
            </w:pPr>
            <w:r>
              <w:rPr>
                <w:rFonts w:ascii="Times New Roman" w:hAnsi="Times New Roman" w:cs="Times New Roman"/>
                <w:b/>
                <w:color w:val="auto"/>
                <w:sz w:val="21"/>
                <w:szCs w:val="21"/>
                <w:highlight w:val="none"/>
              </w:rPr>
              <w:t>序号</w:t>
            </w:r>
          </w:p>
        </w:tc>
        <w:tc>
          <w:tcPr>
            <w:tcW w:w="570" w:type="pct"/>
            <w:vMerge w:val="restart"/>
            <w:tcBorders>
              <w:top w:val="single" w:color="auto" w:sz="12" w:space="0"/>
              <w:left w:val="nil"/>
              <w:bottom w:val="single" w:color="auto" w:sz="4" w:space="0"/>
              <w:right w:val="single" w:color="auto" w:sz="4" w:space="0"/>
            </w:tcBorders>
            <w:vAlign w:val="center"/>
          </w:tcPr>
          <w:p w14:paraId="2EAF5FA2">
            <w:pPr>
              <w:keepNext w:val="0"/>
              <w:keepLines w:val="0"/>
              <w:pageBreakBefore w:val="0"/>
              <w:kinsoku/>
              <w:wordWrap/>
              <w:overflowPunct/>
              <w:topLinePunct w:val="0"/>
              <w:autoSpaceDE/>
              <w:autoSpaceDN/>
              <w:bidi w:val="0"/>
              <w:adjustRightInd w:val="0"/>
              <w:snapToGrid w:val="0"/>
              <w:ind w:left="0" w:right="0"/>
              <w:jc w:val="center"/>
              <w:textAlignment w:val="auto"/>
              <w:rPr>
                <w:rFonts w:ascii="Times New Roman" w:hAnsi="Times New Roman" w:cs="Times New Roman"/>
                <w:b/>
                <w:color w:val="auto"/>
                <w:sz w:val="21"/>
                <w:szCs w:val="21"/>
                <w:highlight w:val="none"/>
              </w:rPr>
            </w:pPr>
            <w:r>
              <w:rPr>
                <w:rFonts w:ascii="Times New Roman" w:hAnsi="Times New Roman" w:cs="Times New Roman"/>
                <w:b/>
                <w:color w:val="auto"/>
                <w:sz w:val="21"/>
                <w:szCs w:val="21"/>
                <w:highlight w:val="none"/>
              </w:rPr>
              <w:t>工序</w:t>
            </w:r>
          </w:p>
        </w:tc>
        <w:tc>
          <w:tcPr>
            <w:tcW w:w="447" w:type="pct"/>
            <w:vMerge w:val="restart"/>
            <w:tcBorders>
              <w:top w:val="single" w:color="auto" w:sz="12" w:space="0"/>
              <w:left w:val="single" w:color="auto" w:sz="4" w:space="0"/>
              <w:bottom w:val="single" w:color="auto" w:sz="4" w:space="0"/>
              <w:right w:val="single" w:color="auto" w:sz="4" w:space="0"/>
            </w:tcBorders>
            <w:vAlign w:val="center"/>
          </w:tcPr>
          <w:p w14:paraId="1785841B">
            <w:pPr>
              <w:keepNext w:val="0"/>
              <w:keepLines w:val="0"/>
              <w:pageBreakBefore w:val="0"/>
              <w:kinsoku/>
              <w:wordWrap/>
              <w:overflowPunct/>
              <w:topLinePunct w:val="0"/>
              <w:autoSpaceDE/>
              <w:autoSpaceDN/>
              <w:bidi w:val="0"/>
              <w:adjustRightInd w:val="0"/>
              <w:snapToGrid w:val="0"/>
              <w:ind w:left="0" w:right="0"/>
              <w:jc w:val="center"/>
              <w:textAlignment w:val="auto"/>
              <w:rPr>
                <w:rFonts w:ascii="Times New Roman" w:hAnsi="Times New Roman" w:cs="Times New Roman"/>
                <w:b/>
                <w:color w:val="auto"/>
                <w:sz w:val="21"/>
                <w:szCs w:val="21"/>
                <w:highlight w:val="none"/>
              </w:rPr>
            </w:pPr>
            <w:r>
              <w:rPr>
                <w:rFonts w:ascii="Times New Roman" w:hAnsi="Times New Roman" w:cs="Times New Roman"/>
                <w:b/>
                <w:color w:val="auto"/>
                <w:sz w:val="21"/>
                <w:szCs w:val="21"/>
                <w:highlight w:val="none"/>
              </w:rPr>
              <w:t>装置</w:t>
            </w:r>
          </w:p>
        </w:tc>
        <w:tc>
          <w:tcPr>
            <w:tcW w:w="669" w:type="pct"/>
            <w:vMerge w:val="restart"/>
            <w:tcBorders>
              <w:top w:val="single" w:color="auto" w:sz="12" w:space="0"/>
              <w:left w:val="single" w:color="auto" w:sz="4" w:space="0"/>
              <w:bottom w:val="single" w:color="auto" w:sz="4" w:space="0"/>
              <w:right w:val="single" w:color="auto" w:sz="4" w:space="0"/>
            </w:tcBorders>
            <w:vAlign w:val="center"/>
          </w:tcPr>
          <w:p w14:paraId="2F8A2529">
            <w:pPr>
              <w:keepNext w:val="0"/>
              <w:keepLines w:val="0"/>
              <w:pageBreakBefore w:val="0"/>
              <w:kinsoku/>
              <w:wordWrap/>
              <w:overflowPunct/>
              <w:topLinePunct w:val="0"/>
              <w:autoSpaceDE/>
              <w:autoSpaceDN/>
              <w:bidi w:val="0"/>
              <w:adjustRightInd w:val="0"/>
              <w:snapToGrid w:val="0"/>
              <w:ind w:left="0" w:right="0"/>
              <w:jc w:val="center"/>
              <w:textAlignment w:val="auto"/>
              <w:rPr>
                <w:rFonts w:ascii="Times New Roman" w:hAnsi="Times New Roman" w:cs="Times New Roman"/>
                <w:b/>
                <w:color w:val="auto"/>
                <w:sz w:val="21"/>
                <w:szCs w:val="21"/>
                <w:highlight w:val="none"/>
              </w:rPr>
            </w:pPr>
            <w:r>
              <w:rPr>
                <w:rFonts w:ascii="Times New Roman" w:hAnsi="Times New Roman" w:cs="Times New Roman"/>
                <w:b/>
                <w:color w:val="auto"/>
                <w:sz w:val="21"/>
                <w:szCs w:val="21"/>
                <w:highlight w:val="none"/>
              </w:rPr>
              <w:t>固体废物名称</w:t>
            </w:r>
          </w:p>
        </w:tc>
        <w:tc>
          <w:tcPr>
            <w:tcW w:w="443" w:type="pct"/>
            <w:vMerge w:val="restart"/>
            <w:tcBorders>
              <w:top w:val="single" w:color="auto" w:sz="12" w:space="0"/>
              <w:left w:val="single" w:color="auto" w:sz="4" w:space="0"/>
              <w:bottom w:val="single" w:color="auto" w:sz="4" w:space="0"/>
              <w:right w:val="single" w:color="auto" w:sz="4" w:space="0"/>
            </w:tcBorders>
            <w:vAlign w:val="center"/>
          </w:tcPr>
          <w:p w14:paraId="7D02C9CC">
            <w:pPr>
              <w:keepNext w:val="0"/>
              <w:keepLines w:val="0"/>
              <w:pageBreakBefore w:val="0"/>
              <w:kinsoku/>
              <w:wordWrap/>
              <w:overflowPunct/>
              <w:topLinePunct w:val="0"/>
              <w:autoSpaceDE/>
              <w:autoSpaceDN/>
              <w:bidi w:val="0"/>
              <w:adjustRightInd w:val="0"/>
              <w:snapToGrid w:val="0"/>
              <w:ind w:left="0" w:right="0"/>
              <w:jc w:val="center"/>
              <w:textAlignment w:val="auto"/>
              <w:rPr>
                <w:rFonts w:ascii="Times New Roman" w:hAnsi="Times New Roman" w:cs="Times New Roman"/>
                <w:b/>
                <w:color w:val="auto"/>
                <w:sz w:val="21"/>
                <w:szCs w:val="21"/>
                <w:highlight w:val="none"/>
              </w:rPr>
            </w:pPr>
            <w:r>
              <w:rPr>
                <w:rFonts w:ascii="Times New Roman" w:hAnsi="Times New Roman" w:cs="Times New Roman"/>
                <w:b/>
                <w:color w:val="auto"/>
                <w:sz w:val="21"/>
                <w:szCs w:val="21"/>
                <w:highlight w:val="none"/>
              </w:rPr>
              <w:t>固废</w:t>
            </w:r>
          </w:p>
          <w:p w14:paraId="4989E036">
            <w:pPr>
              <w:keepNext w:val="0"/>
              <w:keepLines w:val="0"/>
              <w:pageBreakBefore w:val="0"/>
              <w:kinsoku/>
              <w:wordWrap/>
              <w:overflowPunct/>
              <w:topLinePunct w:val="0"/>
              <w:autoSpaceDE/>
              <w:autoSpaceDN/>
              <w:bidi w:val="0"/>
              <w:adjustRightInd w:val="0"/>
              <w:snapToGrid w:val="0"/>
              <w:ind w:left="0" w:right="0"/>
              <w:jc w:val="center"/>
              <w:textAlignment w:val="auto"/>
              <w:rPr>
                <w:rFonts w:ascii="Times New Roman" w:hAnsi="Times New Roman" w:cs="Times New Roman"/>
                <w:b/>
                <w:color w:val="auto"/>
                <w:sz w:val="21"/>
                <w:szCs w:val="21"/>
                <w:highlight w:val="none"/>
              </w:rPr>
            </w:pPr>
            <w:r>
              <w:rPr>
                <w:rFonts w:ascii="Times New Roman" w:hAnsi="Times New Roman" w:cs="Times New Roman"/>
                <w:b/>
                <w:color w:val="auto"/>
                <w:sz w:val="21"/>
                <w:szCs w:val="21"/>
                <w:highlight w:val="none"/>
              </w:rPr>
              <w:t>属性</w:t>
            </w:r>
          </w:p>
        </w:tc>
        <w:tc>
          <w:tcPr>
            <w:tcW w:w="1225" w:type="pct"/>
            <w:gridSpan w:val="2"/>
            <w:tcBorders>
              <w:top w:val="single" w:color="auto" w:sz="12" w:space="0"/>
              <w:left w:val="single" w:color="auto" w:sz="4" w:space="0"/>
              <w:bottom w:val="single" w:color="auto" w:sz="4" w:space="0"/>
              <w:right w:val="single" w:color="auto" w:sz="4" w:space="0"/>
            </w:tcBorders>
            <w:vAlign w:val="center"/>
          </w:tcPr>
          <w:p w14:paraId="35C375DD">
            <w:pPr>
              <w:keepNext w:val="0"/>
              <w:keepLines w:val="0"/>
              <w:pageBreakBefore w:val="0"/>
              <w:kinsoku/>
              <w:wordWrap/>
              <w:overflowPunct/>
              <w:topLinePunct w:val="0"/>
              <w:autoSpaceDE/>
              <w:autoSpaceDN/>
              <w:bidi w:val="0"/>
              <w:adjustRightInd w:val="0"/>
              <w:snapToGrid w:val="0"/>
              <w:ind w:left="0" w:right="0"/>
              <w:jc w:val="center"/>
              <w:textAlignment w:val="auto"/>
              <w:rPr>
                <w:rFonts w:ascii="Times New Roman" w:hAnsi="Times New Roman" w:cs="Times New Roman"/>
                <w:b/>
                <w:color w:val="auto"/>
                <w:sz w:val="21"/>
                <w:szCs w:val="21"/>
                <w:highlight w:val="none"/>
              </w:rPr>
            </w:pPr>
            <w:r>
              <w:rPr>
                <w:rFonts w:ascii="Times New Roman" w:hAnsi="Times New Roman" w:cs="Times New Roman"/>
                <w:b/>
                <w:color w:val="auto"/>
                <w:sz w:val="21"/>
                <w:szCs w:val="21"/>
                <w:highlight w:val="none"/>
              </w:rPr>
              <w:t>产生情况</w:t>
            </w:r>
          </w:p>
        </w:tc>
        <w:tc>
          <w:tcPr>
            <w:tcW w:w="931" w:type="pct"/>
            <w:gridSpan w:val="2"/>
            <w:tcBorders>
              <w:top w:val="single" w:color="auto" w:sz="12" w:space="0"/>
              <w:left w:val="single" w:color="auto" w:sz="4" w:space="0"/>
              <w:bottom w:val="single" w:color="auto" w:sz="4" w:space="0"/>
              <w:right w:val="single" w:color="auto" w:sz="4" w:space="0"/>
            </w:tcBorders>
            <w:vAlign w:val="center"/>
          </w:tcPr>
          <w:p w14:paraId="7941FC0C">
            <w:pPr>
              <w:keepNext w:val="0"/>
              <w:keepLines w:val="0"/>
              <w:pageBreakBefore w:val="0"/>
              <w:kinsoku/>
              <w:wordWrap/>
              <w:overflowPunct/>
              <w:topLinePunct w:val="0"/>
              <w:autoSpaceDE/>
              <w:autoSpaceDN/>
              <w:bidi w:val="0"/>
              <w:adjustRightInd w:val="0"/>
              <w:snapToGrid w:val="0"/>
              <w:ind w:left="0" w:right="0"/>
              <w:jc w:val="center"/>
              <w:textAlignment w:val="auto"/>
              <w:rPr>
                <w:rFonts w:ascii="Times New Roman" w:hAnsi="Times New Roman" w:cs="Times New Roman"/>
                <w:b/>
                <w:color w:val="auto"/>
                <w:sz w:val="21"/>
                <w:szCs w:val="21"/>
                <w:highlight w:val="none"/>
              </w:rPr>
            </w:pPr>
            <w:r>
              <w:rPr>
                <w:rFonts w:ascii="Times New Roman" w:hAnsi="Times New Roman" w:cs="Times New Roman"/>
                <w:b/>
                <w:color w:val="auto"/>
                <w:sz w:val="21"/>
                <w:szCs w:val="21"/>
                <w:highlight w:val="none"/>
              </w:rPr>
              <w:t>处置措施</w:t>
            </w:r>
          </w:p>
        </w:tc>
        <w:tc>
          <w:tcPr>
            <w:tcW w:w="470" w:type="pct"/>
            <w:vMerge w:val="restart"/>
            <w:tcBorders>
              <w:top w:val="single" w:color="auto" w:sz="12" w:space="0"/>
              <w:left w:val="single" w:color="auto" w:sz="4" w:space="0"/>
              <w:bottom w:val="single" w:color="auto" w:sz="4" w:space="0"/>
              <w:right w:val="nil"/>
            </w:tcBorders>
            <w:vAlign w:val="center"/>
          </w:tcPr>
          <w:p w14:paraId="5BE7A362">
            <w:pPr>
              <w:keepNext w:val="0"/>
              <w:keepLines w:val="0"/>
              <w:pageBreakBefore w:val="0"/>
              <w:kinsoku/>
              <w:wordWrap/>
              <w:overflowPunct/>
              <w:topLinePunct w:val="0"/>
              <w:autoSpaceDE/>
              <w:autoSpaceDN/>
              <w:bidi w:val="0"/>
              <w:adjustRightInd w:val="0"/>
              <w:snapToGrid w:val="0"/>
              <w:ind w:left="0" w:right="0"/>
              <w:jc w:val="center"/>
              <w:textAlignment w:val="auto"/>
              <w:rPr>
                <w:rFonts w:ascii="Times New Roman" w:hAnsi="Times New Roman" w:cs="Times New Roman"/>
                <w:b/>
                <w:color w:val="auto"/>
                <w:sz w:val="21"/>
                <w:szCs w:val="21"/>
                <w:highlight w:val="none"/>
              </w:rPr>
            </w:pPr>
            <w:r>
              <w:rPr>
                <w:rFonts w:ascii="Times New Roman" w:hAnsi="Times New Roman" w:cs="Times New Roman"/>
                <w:b/>
                <w:color w:val="auto"/>
                <w:sz w:val="21"/>
                <w:szCs w:val="21"/>
                <w:highlight w:val="none"/>
              </w:rPr>
              <w:t>最终</w:t>
            </w:r>
          </w:p>
          <w:p w14:paraId="65C603E9">
            <w:pPr>
              <w:keepNext w:val="0"/>
              <w:keepLines w:val="0"/>
              <w:pageBreakBefore w:val="0"/>
              <w:kinsoku/>
              <w:wordWrap/>
              <w:overflowPunct/>
              <w:topLinePunct w:val="0"/>
              <w:autoSpaceDE/>
              <w:autoSpaceDN/>
              <w:bidi w:val="0"/>
              <w:adjustRightInd w:val="0"/>
              <w:snapToGrid w:val="0"/>
              <w:ind w:left="0" w:right="0"/>
              <w:jc w:val="center"/>
              <w:textAlignment w:val="auto"/>
              <w:rPr>
                <w:rFonts w:ascii="Times New Roman" w:hAnsi="Times New Roman" w:cs="Times New Roman"/>
                <w:b/>
                <w:color w:val="auto"/>
                <w:sz w:val="21"/>
                <w:szCs w:val="21"/>
                <w:highlight w:val="none"/>
              </w:rPr>
            </w:pPr>
            <w:r>
              <w:rPr>
                <w:rFonts w:ascii="Times New Roman" w:hAnsi="Times New Roman" w:cs="Times New Roman"/>
                <w:b/>
                <w:color w:val="auto"/>
                <w:sz w:val="21"/>
                <w:szCs w:val="21"/>
                <w:highlight w:val="none"/>
              </w:rPr>
              <w:t>去向</w:t>
            </w:r>
          </w:p>
        </w:tc>
      </w:tr>
      <w:tr w14:paraId="00D7E55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6" w:type="dxa"/>
            <w:bottom w:w="0" w:type="dxa"/>
            <w:right w:w="6" w:type="dxa"/>
          </w:tblCellMar>
        </w:tblPrEx>
        <w:trPr>
          <w:cantSplit/>
          <w:trHeight w:val="307" w:hRule="atLeast"/>
          <w:jc w:val="center"/>
        </w:trPr>
        <w:tc>
          <w:tcPr>
            <w:tcW w:w="241" w:type="pct"/>
            <w:vMerge w:val="continue"/>
            <w:tcBorders>
              <w:left w:val="nil"/>
              <w:bottom w:val="single" w:color="auto" w:sz="4" w:space="0"/>
              <w:right w:val="single" w:color="auto" w:sz="4" w:space="0"/>
            </w:tcBorders>
            <w:vAlign w:val="center"/>
          </w:tcPr>
          <w:p w14:paraId="7B709FED">
            <w:pPr>
              <w:keepNext w:val="0"/>
              <w:keepLines w:val="0"/>
              <w:pageBreakBefore w:val="0"/>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sz w:val="21"/>
                <w:szCs w:val="21"/>
                <w:highlight w:val="none"/>
              </w:rPr>
            </w:pPr>
          </w:p>
        </w:tc>
        <w:tc>
          <w:tcPr>
            <w:tcW w:w="570" w:type="pct"/>
            <w:vMerge w:val="continue"/>
            <w:tcBorders>
              <w:top w:val="single" w:color="auto" w:sz="4" w:space="0"/>
              <w:left w:val="nil"/>
              <w:bottom w:val="single" w:color="auto" w:sz="4" w:space="0"/>
              <w:right w:val="single" w:color="auto" w:sz="4" w:space="0"/>
            </w:tcBorders>
            <w:vAlign w:val="center"/>
          </w:tcPr>
          <w:p w14:paraId="0EB13969">
            <w:pPr>
              <w:keepNext w:val="0"/>
              <w:keepLines w:val="0"/>
              <w:pageBreakBefore w:val="0"/>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sz w:val="21"/>
                <w:szCs w:val="21"/>
                <w:highlight w:val="none"/>
              </w:rPr>
            </w:pPr>
          </w:p>
        </w:tc>
        <w:tc>
          <w:tcPr>
            <w:tcW w:w="447" w:type="pct"/>
            <w:vMerge w:val="continue"/>
            <w:tcBorders>
              <w:top w:val="single" w:color="auto" w:sz="4" w:space="0"/>
              <w:left w:val="single" w:color="auto" w:sz="4" w:space="0"/>
              <w:bottom w:val="single" w:color="auto" w:sz="4" w:space="0"/>
              <w:right w:val="single" w:color="auto" w:sz="4" w:space="0"/>
            </w:tcBorders>
            <w:vAlign w:val="center"/>
          </w:tcPr>
          <w:p w14:paraId="53F8BC57">
            <w:pPr>
              <w:keepNext w:val="0"/>
              <w:keepLines w:val="0"/>
              <w:pageBreakBefore w:val="0"/>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sz w:val="21"/>
                <w:szCs w:val="21"/>
                <w:highlight w:val="none"/>
              </w:rPr>
            </w:pPr>
          </w:p>
        </w:tc>
        <w:tc>
          <w:tcPr>
            <w:tcW w:w="669" w:type="pct"/>
            <w:vMerge w:val="continue"/>
            <w:tcBorders>
              <w:top w:val="single" w:color="auto" w:sz="4" w:space="0"/>
              <w:left w:val="single" w:color="auto" w:sz="4" w:space="0"/>
              <w:bottom w:val="single" w:color="auto" w:sz="4" w:space="0"/>
              <w:right w:val="single" w:color="auto" w:sz="4" w:space="0"/>
            </w:tcBorders>
            <w:vAlign w:val="center"/>
          </w:tcPr>
          <w:p w14:paraId="41AC6CA0">
            <w:pPr>
              <w:keepNext w:val="0"/>
              <w:keepLines w:val="0"/>
              <w:pageBreakBefore w:val="0"/>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sz w:val="21"/>
                <w:szCs w:val="21"/>
                <w:highlight w:val="none"/>
              </w:rPr>
            </w:pPr>
          </w:p>
        </w:tc>
        <w:tc>
          <w:tcPr>
            <w:tcW w:w="443" w:type="pct"/>
            <w:vMerge w:val="continue"/>
            <w:tcBorders>
              <w:top w:val="single" w:color="auto" w:sz="4" w:space="0"/>
              <w:left w:val="single" w:color="auto" w:sz="4" w:space="0"/>
              <w:bottom w:val="single" w:color="auto" w:sz="4" w:space="0"/>
              <w:right w:val="single" w:color="auto" w:sz="4" w:space="0"/>
            </w:tcBorders>
            <w:vAlign w:val="center"/>
          </w:tcPr>
          <w:p w14:paraId="6D65FBCC">
            <w:pPr>
              <w:keepNext w:val="0"/>
              <w:keepLines w:val="0"/>
              <w:pageBreakBefore w:val="0"/>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sz w:val="21"/>
                <w:szCs w:val="21"/>
                <w:highlight w:val="none"/>
              </w:rPr>
            </w:pPr>
          </w:p>
        </w:tc>
        <w:tc>
          <w:tcPr>
            <w:tcW w:w="707" w:type="pct"/>
            <w:tcBorders>
              <w:top w:val="single" w:color="auto" w:sz="4" w:space="0"/>
              <w:left w:val="single" w:color="auto" w:sz="4" w:space="0"/>
              <w:bottom w:val="single" w:color="auto" w:sz="4" w:space="0"/>
              <w:right w:val="single" w:color="auto" w:sz="4" w:space="0"/>
            </w:tcBorders>
            <w:vAlign w:val="center"/>
          </w:tcPr>
          <w:p w14:paraId="6E5034C4">
            <w:pPr>
              <w:keepNext w:val="0"/>
              <w:keepLines w:val="0"/>
              <w:pageBreakBefore w:val="0"/>
              <w:kinsoku/>
              <w:wordWrap/>
              <w:overflowPunct/>
              <w:topLinePunct w:val="0"/>
              <w:autoSpaceDE/>
              <w:autoSpaceDN/>
              <w:bidi w:val="0"/>
              <w:adjustRightInd w:val="0"/>
              <w:snapToGrid w:val="0"/>
              <w:ind w:left="0" w:right="0"/>
              <w:jc w:val="center"/>
              <w:textAlignment w:val="auto"/>
              <w:rPr>
                <w:rFonts w:ascii="Times New Roman" w:hAnsi="Times New Roman" w:cs="Times New Roman"/>
                <w:b/>
                <w:color w:val="auto"/>
                <w:sz w:val="21"/>
                <w:szCs w:val="21"/>
                <w:highlight w:val="none"/>
              </w:rPr>
            </w:pPr>
            <w:r>
              <w:rPr>
                <w:rFonts w:ascii="Times New Roman" w:hAnsi="Times New Roman" w:cs="Times New Roman"/>
                <w:b/>
                <w:color w:val="auto"/>
                <w:sz w:val="21"/>
                <w:szCs w:val="21"/>
                <w:highlight w:val="none"/>
              </w:rPr>
              <w:t>核算方法</w:t>
            </w:r>
          </w:p>
        </w:tc>
        <w:tc>
          <w:tcPr>
            <w:tcW w:w="518" w:type="pct"/>
            <w:tcBorders>
              <w:top w:val="single" w:color="auto" w:sz="4" w:space="0"/>
              <w:left w:val="single" w:color="auto" w:sz="4" w:space="0"/>
              <w:bottom w:val="single" w:color="auto" w:sz="4" w:space="0"/>
              <w:right w:val="single" w:color="auto" w:sz="4" w:space="0"/>
            </w:tcBorders>
            <w:vAlign w:val="center"/>
          </w:tcPr>
          <w:p w14:paraId="73BA8690">
            <w:pPr>
              <w:keepNext w:val="0"/>
              <w:keepLines w:val="0"/>
              <w:pageBreakBefore w:val="0"/>
              <w:kinsoku/>
              <w:wordWrap/>
              <w:overflowPunct/>
              <w:topLinePunct w:val="0"/>
              <w:autoSpaceDE/>
              <w:autoSpaceDN/>
              <w:bidi w:val="0"/>
              <w:adjustRightInd w:val="0"/>
              <w:snapToGrid w:val="0"/>
              <w:ind w:left="0" w:right="0"/>
              <w:jc w:val="center"/>
              <w:textAlignment w:val="auto"/>
              <w:rPr>
                <w:rFonts w:ascii="Times New Roman" w:hAnsi="Times New Roman" w:cs="Times New Roman"/>
                <w:b/>
                <w:color w:val="auto"/>
                <w:sz w:val="21"/>
                <w:szCs w:val="21"/>
                <w:highlight w:val="none"/>
              </w:rPr>
            </w:pPr>
            <w:r>
              <w:rPr>
                <w:rFonts w:ascii="Times New Roman" w:hAnsi="Times New Roman" w:cs="Times New Roman"/>
                <w:b/>
                <w:color w:val="auto"/>
                <w:sz w:val="21"/>
                <w:szCs w:val="21"/>
                <w:highlight w:val="none"/>
              </w:rPr>
              <w:t>产生量（t/a）</w:t>
            </w:r>
          </w:p>
        </w:tc>
        <w:tc>
          <w:tcPr>
            <w:tcW w:w="459" w:type="pct"/>
            <w:tcBorders>
              <w:top w:val="single" w:color="auto" w:sz="4" w:space="0"/>
              <w:left w:val="single" w:color="auto" w:sz="4" w:space="0"/>
              <w:bottom w:val="single" w:color="auto" w:sz="4" w:space="0"/>
              <w:right w:val="single" w:color="auto" w:sz="4" w:space="0"/>
            </w:tcBorders>
            <w:vAlign w:val="center"/>
          </w:tcPr>
          <w:p w14:paraId="3C266AF4">
            <w:pPr>
              <w:keepNext w:val="0"/>
              <w:keepLines w:val="0"/>
              <w:pageBreakBefore w:val="0"/>
              <w:kinsoku/>
              <w:wordWrap/>
              <w:overflowPunct/>
              <w:topLinePunct w:val="0"/>
              <w:autoSpaceDE/>
              <w:autoSpaceDN/>
              <w:bidi w:val="0"/>
              <w:adjustRightInd w:val="0"/>
              <w:snapToGrid w:val="0"/>
              <w:ind w:left="0" w:right="0"/>
              <w:jc w:val="center"/>
              <w:textAlignment w:val="auto"/>
              <w:rPr>
                <w:rFonts w:ascii="Times New Roman" w:hAnsi="Times New Roman" w:cs="Times New Roman"/>
                <w:b/>
                <w:color w:val="auto"/>
                <w:sz w:val="21"/>
                <w:szCs w:val="21"/>
                <w:highlight w:val="none"/>
              </w:rPr>
            </w:pPr>
            <w:r>
              <w:rPr>
                <w:rFonts w:ascii="Times New Roman" w:hAnsi="Times New Roman" w:cs="Times New Roman"/>
                <w:b/>
                <w:color w:val="auto"/>
                <w:sz w:val="21"/>
                <w:szCs w:val="21"/>
                <w:highlight w:val="none"/>
              </w:rPr>
              <w:t>工艺</w:t>
            </w:r>
          </w:p>
        </w:tc>
        <w:tc>
          <w:tcPr>
            <w:tcW w:w="472" w:type="pct"/>
            <w:tcBorders>
              <w:top w:val="single" w:color="auto" w:sz="4" w:space="0"/>
              <w:left w:val="single" w:color="auto" w:sz="4" w:space="0"/>
              <w:bottom w:val="single" w:color="auto" w:sz="4" w:space="0"/>
              <w:right w:val="single" w:color="auto" w:sz="4" w:space="0"/>
            </w:tcBorders>
            <w:vAlign w:val="center"/>
          </w:tcPr>
          <w:p w14:paraId="6A52B18A">
            <w:pPr>
              <w:keepNext w:val="0"/>
              <w:keepLines w:val="0"/>
              <w:pageBreakBefore w:val="0"/>
              <w:kinsoku/>
              <w:wordWrap/>
              <w:overflowPunct/>
              <w:topLinePunct w:val="0"/>
              <w:autoSpaceDE/>
              <w:autoSpaceDN/>
              <w:bidi w:val="0"/>
              <w:adjustRightInd w:val="0"/>
              <w:snapToGrid w:val="0"/>
              <w:ind w:left="0" w:right="0"/>
              <w:jc w:val="center"/>
              <w:textAlignment w:val="auto"/>
              <w:rPr>
                <w:rFonts w:ascii="Times New Roman" w:hAnsi="Times New Roman" w:cs="Times New Roman"/>
                <w:b/>
                <w:color w:val="auto"/>
                <w:sz w:val="21"/>
                <w:szCs w:val="21"/>
                <w:highlight w:val="none"/>
              </w:rPr>
            </w:pPr>
            <w:r>
              <w:rPr>
                <w:rFonts w:ascii="Times New Roman" w:hAnsi="Times New Roman" w:cs="Times New Roman"/>
                <w:b/>
                <w:color w:val="auto"/>
                <w:sz w:val="21"/>
                <w:szCs w:val="21"/>
                <w:highlight w:val="none"/>
              </w:rPr>
              <w:t>处置量（t/a）</w:t>
            </w:r>
          </w:p>
        </w:tc>
        <w:tc>
          <w:tcPr>
            <w:tcW w:w="470" w:type="pct"/>
            <w:vMerge w:val="continue"/>
            <w:tcBorders>
              <w:top w:val="single" w:color="auto" w:sz="4" w:space="0"/>
              <w:left w:val="single" w:color="auto" w:sz="4" w:space="0"/>
              <w:bottom w:val="single" w:color="auto" w:sz="4" w:space="0"/>
              <w:right w:val="nil"/>
            </w:tcBorders>
            <w:vAlign w:val="center"/>
          </w:tcPr>
          <w:p w14:paraId="3F5A5AD4">
            <w:pPr>
              <w:keepNext w:val="0"/>
              <w:keepLines w:val="0"/>
              <w:pageBreakBefore w:val="0"/>
              <w:kinsoku/>
              <w:wordWrap/>
              <w:overflowPunct/>
              <w:topLinePunct w:val="0"/>
              <w:autoSpaceDE/>
              <w:autoSpaceDN/>
              <w:bidi w:val="0"/>
              <w:adjustRightInd w:val="0"/>
              <w:snapToGrid w:val="0"/>
              <w:ind w:left="0" w:right="0"/>
              <w:jc w:val="center"/>
              <w:textAlignment w:val="auto"/>
              <w:rPr>
                <w:rFonts w:ascii="Times New Roman" w:hAnsi="Times New Roman" w:cs="Times New Roman"/>
                <w:b/>
                <w:color w:val="auto"/>
                <w:sz w:val="21"/>
                <w:szCs w:val="21"/>
                <w:highlight w:val="none"/>
              </w:rPr>
            </w:pPr>
          </w:p>
        </w:tc>
      </w:tr>
      <w:tr w14:paraId="389A219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6" w:type="dxa"/>
            <w:bottom w:w="0" w:type="dxa"/>
            <w:right w:w="6" w:type="dxa"/>
          </w:tblCellMar>
        </w:tblPrEx>
        <w:trPr>
          <w:cantSplit/>
          <w:trHeight w:val="340" w:hRule="atLeast"/>
          <w:jc w:val="center"/>
        </w:trPr>
        <w:tc>
          <w:tcPr>
            <w:tcW w:w="241" w:type="pct"/>
            <w:tcBorders>
              <w:top w:val="single" w:color="auto" w:sz="4" w:space="0"/>
              <w:left w:val="nil"/>
              <w:bottom w:val="single" w:color="auto" w:sz="4" w:space="0"/>
              <w:right w:val="single" w:color="auto" w:sz="4" w:space="0"/>
            </w:tcBorders>
            <w:vAlign w:val="center"/>
          </w:tcPr>
          <w:p w14:paraId="31695836">
            <w:pPr>
              <w:keepNext w:val="0"/>
              <w:keepLines w:val="0"/>
              <w:pageBreakBefore w:val="0"/>
              <w:widowControl w:val="0"/>
              <w:numPr>
                <w:ilvl w:val="0"/>
                <w:numId w:val="20"/>
              </w:numPr>
              <w:tabs>
                <w:tab w:val="left" w:pos="0"/>
              </w:tabs>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sz w:val="21"/>
                <w:szCs w:val="21"/>
                <w:highlight w:val="none"/>
              </w:rPr>
            </w:pPr>
          </w:p>
        </w:tc>
        <w:tc>
          <w:tcPr>
            <w:tcW w:w="570" w:type="pct"/>
            <w:tcBorders>
              <w:top w:val="single" w:color="auto" w:sz="4" w:space="0"/>
              <w:left w:val="nil"/>
              <w:right w:val="single" w:color="auto" w:sz="4" w:space="0"/>
            </w:tcBorders>
            <w:vAlign w:val="center"/>
          </w:tcPr>
          <w:p w14:paraId="372199C0">
            <w:pPr>
              <w:pStyle w:val="98"/>
              <w:keepNext w:val="0"/>
              <w:keepLines w:val="0"/>
              <w:pageBreakBefore w:val="0"/>
              <w:kinsoku/>
              <w:wordWrap/>
              <w:overflowPunct/>
              <w:topLinePunct w:val="0"/>
              <w:autoSpaceDE/>
              <w:autoSpaceDN/>
              <w:bidi w:val="0"/>
              <w:adjustRightInd w:val="0"/>
              <w:snapToGrid w:val="0"/>
              <w:ind w:left="0" w:right="0"/>
              <w:textAlignment w:val="auto"/>
              <w:rPr>
                <w:rFonts w:eastAsia="宋体"/>
                <w:color w:val="auto"/>
                <w:sz w:val="21"/>
                <w:szCs w:val="21"/>
                <w:highlight w:val="none"/>
                <w:lang w:val="en-US"/>
              </w:rPr>
            </w:pPr>
            <w:r>
              <w:rPr>
                <w:rFonts w:hint="eastAsia" w:eastAsia="宋体"/>
                <w:color w:val="auto"/>
                <w:sz w:val="21"/>
                <w:szCs w:val="21"/>
                <w:highlight w:val="none"/>
                <w:lang w:val="en-US"/>
              </w:rPr>
              <w:t>过滤</w:t>
            </w:r>
          </w:p>
        </w:tc>
        <w:tc>
          <w:tcPr>
            <w:tcW w:w="447" w:type="pct"/>
            <w:tcBorders>
              <w:top w:val="single" w:color="auto" w:sz="4" w:space="0"/>
              <w:left w:val="single" w:color="auto" w:sz="4" w:space="0"/>
              <w:right w:val="single" w:color="auto" w:sz="4" w:space="0"/>
            </w:tcBorders>
            <w:vAlign w:val="center"/>
          </w:tcPr>
          <w:p w14:paraId="081EE541">
            <w:pPr>
              <w:keepNext w:val="0"/>
              <w:keepLines w:val="0"/>
              <w:pageBreakBefore w:val="0"/>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过滤器</w:t>
            </w:r>
          </w:p>
        </w:tc>
        <w:tc>
          <w:tcPr>
            <w:tcW w:w="669" w:type="pct"/>
            <w:tcBorders>
              <w:top w:val="single" w:color="auto" w:sz="4" w:space="0"/>
              <w:left w:val="single" w:color="auto" w:sz="4" w:space="0"/>
              <w:bottom w:val="single" w:color="auto" w:sz="4" w:space="0"/>
              <w:right w:val="single" w:color="auto" w:sz="4" w:space="0"/>
            </w:tcBorders>
            <w:vAlign w:val="center"/>
          </w:tcPr>
          <w:p w14:paraId="58ED2DB1">
            <w:pPr>
              <w:pStyle w:val="98"/>
              <w:keepNext w:val="0"/>
              <w:keepLines w:val="0"/>
              <w:pageBreakBefore w:val="0"/>
              <w:kinsoku/>
              <w:wordWrap/>
              <w:overflowPunct/>
              <w:topLinePunct w:val="0"/>
              <w:autoSpaceDE/>
              <w:autoSpaceDN/>
              <w:bidi w:val="0"/>
              <w:adjustRightInd w:val="0"/>
              <w:snapToGrid w:val="0"/>
              <w:ind w:left="0" w:right="0"/>
              <w:textAlignment w:val="auto"/>
              <w:rPr>
                <w:rFonts w:eastAsia="宋体"/>
                <w:color w:val="auto"/>
                <w:sz w:val="21"/>
                <w:szCs w:val="21"/>
                <w:highlight w:val="none"/>
              </w:rPr>
            </w:pPr>
            <w:r>
              <w:rPr>
                <w:rFonts w:hint="eastAsia" w:ascii="宋体" w:hAnsi="宋体" w:eastAsia="宋体" w:cs="宋体"/>
                <w:color w:val="auto"/>
                <w:sz w:val="21"/>
                <w:szCs w:val="21"/>
                <w:highlight w:val="none"/>
                <w:lang w:val="en-US"/>
              </w:rPr>
              <w:t>废</w:t>
            </w:r>
            <w:r>
              <w:rPr>
                <w:rFonts w:hint="eastAsia"/>
                <w:color w:val="auto"/>
                <w:sz w:val="21"/>
                <w:szCs w:val="21"/>
                <w:highlight w:val="none"/>
                <w:lang w:val="en-US"/>
              </w:rPr>
              <w:t>滤芯</w:t>
            </w:r>
          </w:p>
        </w:tc>
        <w:tc>
          <w:tcPr>
            <w:tcW w:w="443" w:type="pct"/>
            <w:vMerge w:val="restart"/>
            <w:tcBorders>
              <w:top w:val="single" w:color="auto" w:sz="4" w:space="0"/>
              <w:left w:val="single" w:color="auto" w:sz="4" w:space="0"/>
              <w:right w:val="single" w:color="auto" w:sz="4" w:space="0"/>
            </w:tcBorders>
            <w:vAlign w:val="center"/>
          </w:tcPr>
          <w:p w14:paraId="15E8D455">
            <w:pPr>
              <w:keepNext w:val="0"/>
              <w:keepLines w:val="0"/>
              <w:pageBreakBefore w:val="0"/>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危险废物</w:t>
            </w:r>
          </w:p>
        </w:tc>
        <w:tc>
          <w:tcPr>
            <w:tcW w:w="707" w:type="pct"/>
            <w:tcBorders>
              <w:top w:val="single" w:color="auto" w:sz="4" w:space="0"/>
              <w:left w:val="single" w:color="auto" w:sz="4" w:space="0"/>
              <w:bottom w:val="single" w:color="auto" w:sz="4" w:space="0"/>
              <w:right w:val="single" w:color="auto" w:sz="4" w:space="0"/>
            </w:tcBorders>
            <w:vAlign w:val="center"/>
          </w:tcPr>
          <w:p w14:paraId="0E3A5C45">
            <w:pPr>
              <w:keepNext w:val="0"/>
              <w:keepLines w:val="0"/>
              <w:pageBreakBefore w:val="0"/>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排污系数法</w:t>
            </w:r>
          </w:p>
        </w:tc>
        <w:tc>
          <w:tcPr>
            <w:tcW w:w="518" w:type="pct"/>
            <w:tcBorders>
              <w:top w:val="single" w:color="auto" w:sz="4" w:space="0"/>
              <w:left w:val="single" w:color="auto" w:sz="4" w:space="0"/>
              <w:bottom w:val="single" w:color="auto" w:sz="4" w:space="0"/>
              <w:right w:val="single" w:color="auto" w:sz="4" w:space="0"/>
            </w:tcBorders>
            <w:vAlign w:val="center"/>
          </w:tcPr>
          <w:p w14:paraId="6CD259B5">
            <w:pPr>
              <w:keepNext w:val="0"/>
              <w:keepLines w:val="0"/>
              <w:pageBreakBefore w:val="0"/>
              <w:kinsoku/>
              <w:wordWrap/>
              <w:overflowPunct/>
              <w:autoSpaceDE/>
              <w:autoSpaceDN/>
              <w:bidi w:val="0"/>
              <w:ind w:left="0" w:leftChars="0" w:right="0" w:rightChars="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2</w:t>
            </w:r>
          </w:p>
        </w:tc>
        <w:tc>
          <w:tcPr>
            <w:tcW w:w="459" w:type="pct"/>
            <w:vMerge w:val="restart"/>
            <w:tcBorders>
              <w:top w:val="single" w:color="auto" w:sz="4" w:space="0"/>
              <w:left w:val="single" w:color="auto" w:sz="4" w:space="0"/>
              <w:right w:val="single" w:color="auto" w:sz="4" w:space="0"/>
            </w:tcBorders>
            <w:vAlign w:val="center"/>
          </w:tcPr>
          <w:p w14:paraId="53D7FD4F">
            <w:pPr>
              <w:keepNext w:val="0"/>
              <w:keepLines w:val="0"/>
              <w:pageBreakBefore w:val="0"/>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委托资质单位处置</w:t>
            </w:r>
          </w:p>
        </w:tc>
        <w:tc>
          <w:tcPr>
            <w:tcW w:w="472" w:type="pct"/>
            <w:tcBorders>
              <w:top w:val="single" w:color="auto" w:sz="4" w:space="0"/>
              <w:left w:val="single" w:color="auto" w:sz="4" w:space="0"/>
              <w:bottom w:val="single" w:color="auto" w:sz="4" w:space="0"/>
              <w:right w:val="single" w:color="auto" w:sz="4" w:space="0"/>
            </w:tcBorders>
            <w:vAlign w:val="center"/>
          </w:tcPr>
          <w:p w14:paraId="792CD00C">
            <w:pPr>
              <w:keepNext w:val="0"/>
              <w:keepLines w:val="0"/>
              <w:pageBreakBefore w:val="0"/>
              <w:kinsoku/>
              <w:wordWrap/>
              <w:overflowPunct/>
              <w:autoSpaceDE/>
              <w:autoSpaceDN/>
              <w:bidi w:val="0"/>
              <w:ind w:left="0" w:leftChars="0" w:right="0" w:rightChars="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2</w:t>
            </w:r>
          </w:p>
        </w:tc>
        <w:tc>
          <w:tcPr>
            <w:tcW w:w="470" w:type="pct"/>
            <w:vMerge w:val="restart"/>
            <w:tcBorders>
              <w:top w:val="single" w:color="auto" w:sz="4" w:space="0"/>
              <w:left w:val="single" w:color="auto" w:sz="4" w:space="0"/>
              <w:right w:val="nil"/>
            </w:tcBorders>
            <w:vAlign w:val="center"/>
          </w:tcPr>
          <w:p w14:paraId="5CBB6A7D">
            <w:pPr>
              <w:keepNext w:val="0"/>
              <w:keepLines w:val="0"/>
              <w:pageBreakBefore w:val="0"/>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委托资质单位处置</w:t>
            </w:r>
          </w:p>
        </w:tc>
      </w:tr>
      <w:tr w14:paraId="3D54C6B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6" w:type="dxa"/>
            <w:bottom w:w="0" w:type="dxa"/>
            <w:right w:w="6" w:type="dxa"/>
          </w:tblCellMar>
        </w:tblPrEx>
        <w:trPr>
          <w:cantSplit/>
          <w:trHeight w:val="151" w:hRule="atLeast"/>
          <w:jc w:val="center"/>
        </w:trPr>
        <w:tc>
          <w:tcPr>
            <w:tcW w:w="241" w:type="pct"/>
            <w:vAlign w:val="center"/>
          </w:tcPr>
          <w:p w14:paraId="3B4AE243">
            <w:pPr>
              <w:keepNext w:val="0"/>
              <w:keepLines w:val="0"/>
              <w:pageBreakBefore w:val="0"/>
              <w:widowControl w:val="0"/>
              <w:numPr>
                <w:ilvl w:val="0"/>
                <w:numId w:val="20"/>
              </w:numPr>
              <w:tabs>
                <w:tab w:val="left" w:pos="0"/>
              </w:tabs>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sz w:val="21"/>
                <w:szCs w:val="21"/>
                <w:highlight w:val="none"/>
              </w:rPr>
            </w:pPr>
          </w:p>
        </w:tc>
        <w:tc>
          <w:tcPr>
            <w:tcW w:w="570" w:type="pct"/>
            <w:vMerge w:val="restart"/>
            <w:tcBorders>
              <w:left w:val="nil"/>
              <w:right w:val="single" w:color="auto" w:sz="4" w:space="0"/>
            </w:tcBorders>
            <w:vAlign w:val="center"/>
          </w:tcPr>
          <w:p w14:paraId="46450636">
            <w:pPr>
              <w:pStyle w:val="98"/>
              <w:keepNext w:val="0"/>
              <w:keepLines w:val="0"/>
              <w:pageBreakBefore w:val="0"/>
              <w:kinsoku/>
              <w:wordWrap/>
              <w:overflowPunct/>
              <w:topLinePunct w:val="0"/>
              <w:autoSpaceDE/>
              <w:autoSpaceDN/>
              <w:bidi w:val="0"/>
              <w:adjustRightInd w:val="0"/>
              <w:snapToGrid w:val="0"/>
              <w:ind w:left="0" w:right="0"/>
              <w:textAlignment w:val="auto"/>
              <w:rPr>
                <w:rFonts w:eastAsia="宋体"/>
                <w:color w:val="auto"/>
                <w:sz w:val="21"/>
                <w:szCs w:val="21"/>
                <w:highlight w:val="none"/>
                <w:lang w:val="en-US"/>
              </w:rPr>
            </w:pPr>
            <w:r>
              <w:rPr>
                <w:rFonts w:hint="eastAsia" w:eastAsia="宋体"/>
                <w:color w:val="auto"/>
                <w:sz w:val="21"/>
                <w:szCs w:val="21"/>
                <w:highlight w:val="none"/>
                <w:lang w:val="en-US"/>
              </w:rPr>
              <w:t>取样分析</w:t>
            </w:r>
          </w:p>
        </w:tc>
        <w:tc>
          <w:tcPr>
            <w:tcW w:w="447" w:type="pct"/>
            <w:vMerge w:val="restart"/>
            <w:tcBorders>
              <w:left w:val="single" w:color="auto" w:sz="4" w:space="0"/>
              <w:right w:val="single" w:color="auto" w:sz="4" w:space="0"/>
            </w:tcBorders>
            <w:vAlign w:val="center"/>
          </w:tcPr>
          <w:p w14:paraId="5834A896">
            <w:pPr>
              <w:keepNext w:val="0"/>
              <w:keepLines w:val="0"/>
              <w:pageBreakBefore w:val="0"/>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实验室</w:t>
            </w:r>
          </w:p>
        </w:tc>
        <w:tc>
          <w:tcPr>
            <w:tcW w:w="669" w:type="pct"/>
            <w:vAlign w:val="center"/>
          </w:tcPr>
          <w:p w14:paraId="58CFA616">
            <w:pPr>
              <w:keepNext w:val="0"/>
              <w:keepLines w:val="0"/>
              <w:pageBreakBefore w:val="0"/>
              <w:kinsoku/>
              <w:wordWrap/>
              <w:overflowPunct/>
              <w:topLinePunct w:val="0"/>
              <w:autoSpaceDE/>
              <w:autoSpaceDN/>
              <w:bidi w:val="0"/>
              <w:ind w:left="0" w:right="0"/>
              <w:jc w:val="center"/>
              <w:textAlignment w:val="auto"/>
              <w:rPr>
                <w:color w:val="auto"/>
                <w:sz w:val="21"/>
                <w:szCs w:val="21"/>
                <w:highlight w:val="none"/>
              </w:rPr>
            </w:pPr>
            <w:r>
              <w:rPr>
                <w:rFonts w:hint="eastAsia" w:ascii="Times New Roman" w:hAnsi="Times New Roman" w:cs="Times New Roman"/>
                <w:color w:val="auto"/>
                <w:sz w:val="21"/>
                <w:szCs w:val="21"/>
                <w:highlight w:val="none"/>
              </w:rPr>
              <w:t>实验废液</w:t>
            </w:r>
          </w:p>
        </w:tc>
        <w:tc>
          <w:tcPr>
            <w:tcW w:w="443" w:type="pct"/>
            <w:vMerge w:val="continue"/>
            <w:tcBorders>
              <w:left w:val="single" w:color="auto" w:sz="4" w:space="0"/>
              <w:right w:val="single" w:color="auto" w:sz="4" w:space="0"/>
            </w:tcBorders>
            <w:vAlign w:val="center"/>
          </w:tcPr>
          <w:p w14:paraId="258E7E92">
            <w:pPr>
              <w:keepNext w:val="0"/>
              <w:keepLines w:val="0"/>
              <w:pageBreakBefore w:val="0"/>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sz w:val="21"/>
                <w:szCs w:val="21"/>
                <w:highlight w:val="none"/>
              </w:rPr>
            </w:pPr>
          </w:p>
        </w:tc>
        <w:tc>
          <w:tcPr>
            <w:tcW w:w="707" w:type="pct"/>
            <w:vAlign w:val="center"/>
          </w:tcPr>
          <w:p w14:paraId="6CCA6EEF">
            <w:pPr>
              <w:keepNext w:val="0"/>
              <w:keepLines w:val="0"/>
              <w:pageBreakBefore w:val="0"/>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排污系数法</w:t>
            </w:r>
          </w:p>
        </w:tc>
        <w:tc>
          <w:tcPr>
            <w:tcW w:w="518" w:type="pct"/>
            <w:vAlign w:val="center"/>
          </w:tcPr>
          <w:p w14:paraId="022FF6E0">
            <w:pPr>
              <w:keepNext w:val="0"/>
              <w:keepLines w:val="0"/>
              <w:pageBreakBefore w:val="0"/>
              <w:kinsoku/>
              <w:wordWrap/>
              <w:overflowPunct/>
              <w:autoSpaceDE/>
              <w:autoSpaceDN/>
              <w:bidi w:val="0"/>
              <w:ind w:left="0" w:leftChars="0" w:right="0" w:rightChars="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lang w:val="en-US" w:eastAsia="zh-CN"/>
              </w:rPr>
              <w:t>0.02</w:t>
            </w:r>
          </w:p>
        </w:tc>
        <w:tc>
          <w:tcPr>
            <w:tcW w:w="459" w:type="pct"/>
            <w:vMerge w:val="continue"/>
            <w:tcBorders>
              <w:left w:val="single" w:color="auto" w:sz="4" w:space="0"/>
              <w:right w:val="single" w:color="auto" w:sz="4" w:space="0"/>
            </w:tcBorders>
            <w:vAlign w:val="center"/>
          </w:tcPr>
          <w:p w14:paraId="4B44904A">
            <w:pPr>
              <w:keepNext w:val="0"/>
              <w:keepLines w:val="0"/>
              <w:pageBreakBefore w:val="0"/>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sz w:val="21"/>
                <w:szCs w:val="21"/>
                <w:highlight w:val="none"/>
              </w:rPr>
            </w:pPr>
          </w:p>
        </w:tc>
        <w:tc>
          <w:tcPr>
            <w:tcW w:w="472" w:type="pct"/>
            <w:vAlign w:val="center"/>
          </w:tcPr>
          <w:p w14:paraId="33486E36">
            <w:pPr>
              <w:keepNext w:val="0"/>
              <w:keepLines w:val="0"/>
              <w:pageBreakBefore w:val="0"/>
              <w:kinsoku/>
              <w:wordWrap/>
              <w:overflowPunct/>
              <w:autoSpaceDE/>
              <w:autoSpaceDN/>
              <w:bidi w:val="0"/>
              <w:ind w:left="0" w:leftChars="0" w:right="0" w:rightChars="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lang w:val="en-US" w:eastAsia="zh-CN"/>
              </w:rPr>
              <w:t>0.02</w:t>
            </w:r>
          </w:p>
        </w:tc>
        <w:tc>
          <w:tcPr>
            <w:tcW w:w="470" w:type="pct"/>
            <w:vMerge w:val="continue"/>
            <w:tcBorders>
              <w:left w:val="single" w:color="auto" w:sz="4" w:space="0"/>
              <w:right w:val="nil"/>
            </w:tcBorders>
            <w:vAlign w:val="center"/>
          </w:tcPr>
          <w:p w14:paraId="6E8C6EBC">
            <w:pPr>
              <w:keepNext w:val="0"/>
              <w:keepLines w:val="0"/>
              <w:pageBreakBefore w:val="0"/>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sz w:val="21"/>
                <w:szCs w:val="21"/>
                <w:highlight w:val="none"/>
              </w:rPr>
            </w:pPr>
          </w:p>
        </w:tc>
      </w:tr>
      <w:tr w14:paraId="55DE7C4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6" w:type="dxa"/>
            <w:bottom w:w="0" w:type="dxa"/>
            <w:right w:w="6" w:type="dxa"/>
          </w:tblCellMar>
        </w:tblPrEx>
        <w:trPr>
          <w:cantSplit/>
          <w:trHeight w:val="151" w:hRule="atLeast"/>
          <w:jc w:val="center"/>
        </w:trPr>
        <w:tc>
          <w:tcPr>
            <w:tcW w:w="241" w:type="pct"/>
            <w:vAlign w:val="center"/>
          </w:tcPr>
          <w:p w14:paraId="36F8E5F7">
            <w:pPr>
              <w:keepNext w:val="0"/>
              <w:keepLines w:val="0"/>
              <w:pageBreakBefore w:val="0"/>
              <w:widowControl w:val="0"/>
              <w:numPr>
                <w:ilvl w:val="0"/>
                <w:numId w:val="20"/>
              </w:numPr>
              <w:tabs>
                <w:tab w:val="left" w:pos="0"/>
              </w:tabs>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sz w:val="21"/>
                <w:szCs w:val="21"/>
                <w:highlight w:val="none"/>
              </w:rPr>
            </w:pPr>
          </w:p>
        </w:tc>
        <w:tc>
          <w:tcPr>
            <w:tcW w:w="570" w:type="pct"/>
            <w:vMerge w:val="continue"/>
            <w:tcBorders>
              <w:left w:val="nil"/>
              <w:right w:val="single" w:color="auto" w:sz="4" w:space="0"/>
            </w:tcBorders>
            <w:vAlign w:val="center"/>
          </w:tcPr>
          <w:p w14:paraId="4100B2A6">
            <w:pPr>
              <w:keepNext w:val="0"/>
              <w:keepLines w:val="0"/>
              <w:pageBreakBefore w:val="0"/>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sz w:val="21"/>
                <w:szCs w:val="21"/>
                <w:highlight w:val="none"/>
              </w:rPr>
            </w:pPr>
          </w:p>
        </w:tc>
        <w:tc>
          <w:tcPr>
            <w:tcW w:w="447" w:type="pct"/>
            <w:vMerge w:val="continue"/>
            <w:tcBorders>
              <w:left w:val="single" w:color="auto" w:sz="4" w:space="0"/>
              <w:right w:val="single" w:color="auto" w:sz="4" w:space="0"/>
            </w:tcBorders>
            <w:vAlign w:val="center"/>
          </w:tcPr>
          <w:p w14:paraId="2356013B">
            <w:pPr>
              <w:keepNext w:val="0"/>
              <w:keepLines w:val="0"/>
              <w:pageBreakBefore w:val="0"/>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sz w:val="21"/>
                <w:szCs w:val="21"/>
                <w:highlight w:val="none"/>
              </w:rPr>
            </w:pPr>
          </w:p>
        </w:tc>
        <w:tc>
          <w:tcPr>
            <w:tcW w:w="669" w:type="pct"/>
            <w:vAlign w:val="center"/>
          </w:tcPr>
          <w:p w14:paraId="66A92046">
            <w:pPr>
              <w:keepNext w:val="0"/>
              <w:keepLines w:val="0"/>
              <w:pageBreakBefore w:val="0"/>
              <w:kinsoku/>
              <w:wordWrap/>
              <w:overflowPunct/>
              <w:topLinePunct w:val="0"/>
              <w:autoSpaceDE/>
              <w:autoSpaceDN/>
              <w:bidi w:val="0"/>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废实验耗材</w:t>
            </w:r>
          </w:p>
        </w:tc>
        <w:tc>
          <w:tcPr>
            <w:tcW w:w="443" w:type="pct"/>
            <w:vMerge w:val="continue"/>
            <w:tcBorders>
              <w:left w:val="single" w:color="auto" w:sz="4" w:space="0"/>
              <w:right w:val="single" w:color="auto" w:sz="4" w:space="0"/>
            </w:tcBorders>
            <w:vAlign w:val="center"/>
          </w:tcPr>
          <w:p w14:paraId="37C4A1AA">
            <w:pPr>
              <w:keepNext w:val="0"/>
              <w:keepLines w:val="0"/>
              <w:pageBreakBefore w:val="0"/>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sz w:val="21"/>
                <w:szCs w:val="21"/>
                <w:highlight w:val="none"/>
              </w:rPr>
            </w:pPr>
          </w:p>
        </w:tc>
        <w:tc>
          <w:tcPr>
            <w:tcW w:w="707" w:type="pct"/>
            <w:vAlign w:val="center"/>
          </w:tcPr>
          <w:p w14:paraId="01E00DB1">
            <w:pPr>
              <w:keepNext w:val="0"/>
              <w:keepLines w:val="0"/>
              <w:pageBreakBefore w:val="0"/>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排污系数法</w:t>
            </w:r>
          </w:p>
        </w:tc>
        <w:tc>
          <w:tcPr>
            <w:tcW w:w="518" w:type="pct"/>
            <w:vAlign w:val="center"/>
          </w:tcPr>
          <w:p w14:paraId="10665FE1">
            <w:pPr>
              <w:keepNext w:val="0"/>
              <w:keepLines w:val="0"/>
              <w:pageBreakBefore w:val="0"/>
              <w:kinsoku/>
              <w:wordWrap/>
              <w:overflowPunct/>
              <w:autoSpaceDE/>
              <w:autoSpaceDN/>
              <w:bidi w:val="0"/>
              <w:ind w:left="0" w:leftChars="0" w:right="0" w:rightChars="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0.5</w:t>
            </w:r>
          </w:p>
        </w:tc>
        <w:tc>
          <w:tcPr>
            <w:tcW w:w="459" w:type="pct"/>
            <w:vMerge w:val="continue"/>
            <w:tcBorders>
              <w:left w:val="single" w:color="auto" w:sz="4" w:space="0"/>
              <w:right w:val="single" w:color="auto" w:sz="4" w:space="0"/>
            </w:tcBorders>
            <w:vAlign w:val="center"/>
          </w:tcPr>
          <w:p w14:paraId="5081190F">
            <w:pPr>
              <w:keepNext w:val="0"/>
              <w:keepLines w:val="0"/>
              <w:pageBreakBefore w:val="0"/>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sz w:val="21"/>
                <w:szCs w:val="21"/>
                <w:highlight w:val="none"/>
              </w:rPr>
            </w:pPr>
          </w:p>
        </w:tc>
        <w:tc>
          <w:tcPr>
            <w:tcW w:w="472" w:type="pct"/>
            <w:vAlign w:val="center"/>
          </w:tcPr>
          <w:p w14:paraId="0258EC30">
            <w:pPr>
              <w:keepNext w:val="0"/>
              <w:keepLines w:val="0"/>
              <w:pageBreakBefore w:val="0"/>
              <w:kinsoku/>
              <w:wordWrap/>
              <w:overflowPunct/>
              <w:autoSpaceDE/>
              <w:autoSpaceDN/>
              <w:bidi w:val="0"/>
              <w:ind w:left="0" w:leftChars="0" w:right="0" w:rightChars="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0.5</w:t>
            </w:r>
          </w:p>
        </w:tc>
        <w:tc>
          <w:tcPr>
            <w:tcW w:w="470" w:type="pct"/>
            <w:vMerge w:val="continue"/>
            <w:tcBorders>
              <w:left w:val="single" w:color="auto" w:sz="4" w:space="0"/>
              <w:right w:val="nil"/>
            </w:tcBorders>
            <w:vAlign w:val="center"/>
          </w:tcPr>
          <w:p w14:paraId="7E1DFC07">
            <w:pPr>
              <w:keepNext w:val="0"/>
              <w:keepLines w:val="0"/>
              <w:pageBreakBefore w:val="0"/>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sz w:val="21"/>
                <w:szCs w:val="21"/>
                <w:highlight w:val="none"/>
              </w:rPr>
            </w:pPr>
          </w:p>
        </w:tc>
      </w:tr>
      <w:tr w14:paraId="4756227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6" w:type="dxa"/>
            <w:bottom w:w="0" w:type="dxa"/>
            <w:right w:w="6" w:type="dxa"/>
          </w:tblCellMar>
        </w:tblPrEx>
        <w:trPr>
          <w:cantSplit/>
          <w:trHeight w:val="151" w:hRule="atLeast"/>
          <w:jc w:val="center"/>
        </w:trPr>
        <w:tc>
          <w:tcPr>
            <w:tcW w:w="241" w:type="pct"/>
            <w:vAlign w:val="center"/>
          </w:tcPr>
          <w:p w14:paraId="2D89CB31">
            <w:pPr>
              <w:keepNext w:val="0"/>
              <w:keepLines w:val="0"/>
              <w:pageBreakBefore w:val="0"/>
              <w:widowControl w:val="0"/>
              <w:numPr>
                <w:ilvl w:val="0"/>
                <w:numId w:val="20"/>
              </w:numPr>
              <w:tabs>
                <w:tab w:val="left" w:pos="0"/>
              </w:tabs>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sz w:val="21"/>
                <w:szCs w:val="21"/>
                <w:highlight w:val="none"/>
              </w:rPr>
            </w:pPr>
          </w:p>
        </w:tc>
        <w:tc>
          <w:tcPr>
            <w:tcW w:w="570" w:type="pct"/>
            <w:vMerge w:val="restart"/>
            <w:vAlign w:val="center"/>
          </w:tcPr>
          <w:p w14:paraId="3DB48A02">
            <w:pPr>
              <w:pStyle w:val="98"/>
              <w:keepNext w:val="0"/>
              <w:keepLines w:val="0"/>
              <w:pageBreakBefore w:val="0"/>
              <w:kinsoku/>
              <w:wordWrap/>
              <w:overflowPunct/>
              <w:topLinePunct w:val="0"/>
              <w:autoSpaceDE/>
              <w:autoSpaceDN/>
              <w:bidi w:val="0"/>
              <w:adjustRightInd w:val="0"/>
              <w:snapToGrid w:val="0"/>
              <w:ind w:left="0" w:right="0"/>
              <w:textAlignment w:val="auto"/>
              <w:rPr>
                <w:rFonts w:eastAsia="宋体"/>
                <w:color w:val="auto"/>
                <w:sz w:val="21"/>
                <w:szCs w:val="21"/>
                <w:highlight w:val="none"/>
                <w:lang w:val="en-US"/>
              </w:rPr>
            </w:pPr>
            <w:r>
              <w:rPr>
                <w:rFonts w:hint="eastAsia" w:eastAsia="宋体"/>
                <w:color w:val="auto"/>
                <w:sz w:val="21"/>
                <w:szCs w:val="21"/>
                <w:highlight w:val="none"/>
                <w:lang w:val="en-US"/>
              </w:rPr>
              <w:t>超纯水制备</w:t>
            </w:r>
          </w:p>
        </w:tc>
        <w:tc>
          <w:tcPr>
            <w:tcW w:w="447" w:type="pct"/>
            <w:vMerge w:val="restart"/>
            <w:vAlign w:val="center"/>
          </w:tcPr>
          <w:p w14:paraId="26463C8F">
            <w:pPr>
              <w:keepNext w:val="0"/>
              <w:keepLines w:val="0"/>
              <w:pageBreakBefore w:val="0"/>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超纯水制备系统</w:t>
            </w:r>
          </w:p>
        </w:tc>
        <w:tc>
          <w:tcPr>
            <w:tcW w:w="669" w:type="pct"/>
            <w:vAlign w:val="center"/>
          </w:tcPr>
          <w:p w14:paraId="0C2BBD3B">
            <w:pPr>
              <w:keepNext w:val="0"/>
              <w:keepLines w:val="0"/>
              <w:pageBreakBefore w:val="0"/>
              <w:kinsoku/>
              <w:wordWrap/>
              <w:overflowPunct/>
              <w:topLinePunct w:val="0"/>
              <w:autoSpaceDE/>
              <w:autoSpaceDN/>
              <w:bidi w:val="0"/>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废过滤介质</w:t>
            </w:r>
          </w:p>
        </w:tc>
        <w:tc>
          <w:tcPr>
            <w:tcW w:w="443" w:type="pct"/>
            <w:vMerge w:val="restart"/>
            <w:tcBorders>
              <w:left w:val="single" w:color="auto" w:sz="4" w:space="0"/>
              <w:right w:val="single" w:color="auto" w:sz="4" w:space="0"/>
            </w:tcBorders>
            <w:vAlign w:val="center"/>
          </w:tcPr>
          <w:p w14:paraId="199CD8D2">
            <w:pPr>
              <w:keepNext w:val="0"/>
              <w:keepLines w:val="0"/>
              <w:pageBreakBefore w:val="0"/>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一般固废</w:t>
            </w:r>
          </w:p>
        </w:tc>
        <w:tc>
          <w:tcPr>
            <w:tcW w:w="707" w:type="pct"/>
            <w:vAlign w:val="center"/>
          </w:tcPr>
          <w:p w14:paraId="1F4DCC92">
            <w:pPr>
              <w:keepNext w:val="0"/>
              <w:keepLines w:val="0"/>
              <w:pageBreakBefore w:val="0"/>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排污系数法</w:t>
            </w:r>
          </w:p>
        </w:tc>
        <w:tc>
          <w:tcPr>
            <w:tcW w:w="518" w:type="pct"/>
            <w:vAlign w:val="center"/>
          </w:tcPr>
          <w:p w14:paraId="1D6C0D27">
            <w:pPr>
              <w:keepNext w:val="0"/>
              <w:keepLines w:val="0"/>
              <w:pageBreakBefore w:val="0"/>
              <w:kinsoku/>
              <w:wordWrap/>
              <w:overflowPunct/>
              <w:autoSpaceDE/>
              <w:autoSpaceDN/>
              <w:bidi w:val="0"/>
              <w:ind w:left="0" w:leftChars="0" w:right="0" w:rightChars="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2</w:t>
            </w:r>
          </w:p>
        </w:tc>
        <w:tc>
          <w:tcPr>
            <w:tcW w:w="459" w:type="pct"/>
            <w:vMerge w:val="restart"/>
            <w:tcBorders>
              <w:left w:val="single" w:color="auto" w:sz="4" w:space="0"/>
              <w:right w:val="single" w:color="auto" w:sz="4" w:space="0"/>
            </w:tcBorders>
            <w:vAlign w:val="center"/>
          </w:tcPr>
          <w:p w14:paraId="0AA0980F">
            <w:pPr>
              <w:keepNext w:val="0"/>
              <w:keepLines w:val="0"/>
              <w:pageBreakBefore w:val="0"/>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外卖或回收</w:t>
            </w:r>
          </w:p>
        </w:tc>
        <w:tc>
          <w:tcPr>
            <w:tcW w:w="472" w:type="pct"/>
            <w:vAlign w:val="center"/>
          </w:tcPr>
          <w:p w14:paraId="2DA6AE39">
            <w:pPr>
              <w:keepNext w:val="0"/>
              <w:keepLines w:val="0"/>
              <w:pageBreakBefore w:val="0"/>
              <w:kinsoku/>
              <w:wordWrap/>
              <w:overflowPunct/>
              <w:autoSpaceDE/>
              <w:autoSpaceDN/>
              <w:bidi w:val="0"/>
              <w:ind w:left="0" w:leftChars="0" w:right="0" w:rightChars="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2</w:t>
            </w:r>
          </w:p>
        </w:tc>
        <w:tc>
          <w:tcPr>
            <w:tcW w:w="470" w:type="pct"/>
            <w:vMerge w:val="restart"/>
            <w:tcBorders>
              <w:left w:val="single" w:color="auto" w:sz="4" w:space="0"/>
              <w:right w:val="nil"/>
            </w:tcBorders>
            <w:vAlign w:val="center"/>
          </w:tcPr>
          <w:p w14:paraId="36583990">
            <w:pPr>
              <w:keepNext w:val="0"/>
              <w:keepLines w:val="0"/>
              <w:pageBreakBefore w:val="0"/>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外卖或回收</w:t>
            </w:r>
          </w:p>
        </w:tc>
      </w:tr>
      <w:tr w14:paraId="6A115A4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6" w:type="dxa"/>
            <w:bottom w:w="0" w:type="dxa"/>
            <w:right w:w="6" w:type="dxa"/>
          </w:tblCellMar>
        </w:tblPrEx>
        <w:trPr>
          <w:cantSplit/>
          <w:trHeight w:val="483" w:hRule="atLeast"/>
          <w:jc w:val="center"/>
        </w:trPr>
        <w:tc>
          <w:tcPr>
            <w:tcW w:w="241" w:type="pct"/>
            <w:vAlign w:val="center"/>
          </w:tcPr>
          <w:p w14:paraId="40340ECA">
            <w:pPr>
              <w:keepNext w:val="0"/>
              <w:keepLines w:val="0"/>
              <w:pageBreakBefore w:val="0"/>
              <w:widowControl w:val="0"/>
              <w:numPr>
                <w:ilvl w:val="0"/>
                <w:numId w:val="20"/>
              </w:numPr>
              <w:tabs>
                <w:tab w:val="left" w:pos="0"/>
              </w:tabs>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sz w:val="21"/>
                <w:szCs w:val="21"/>
                <w:highlight w:val="none"/>
              </w:rPr>
            </w:pPr>
          </w:p>
        </w:tc>
        <w:tc>
          <w:tcPr>
            <w:tcW w:w="570" w:type="pct"/>
            <w:vMerge w:val="continue"/>
            <w:vAlign w:val="center"/>
          </w:tcPr>
          <w:p w14:paraId="633B23DE">
            <w:pPr>
              <w:pStyle w:val="98"/>
              <w:keepNext w:val="0"/>
              <w:keepLines w:val="0"/>
              <w:pageBreakBefore w:val="0"/>
              <w:kinsoku/>
              <w:wordWrap/>
              <w:overflowPunct/>
              <w:topLinePunct w:val="0"/>
              <w:autoSpaceDE/>
              <w:autoSpaceDN/>
              <w:bidi w:val="0"/>
              <w:adjustRightInd w:val="0"/>
              <w:snapToGrid w:val="0"/>
              <w:ind w:left="0" w:right="0"/>
              <w:textAlignment w:val="auto"/>
              <w:rPr>
                <w:rFonts w:eastAsia="宋体"/>
                <w:color w:val="auto"/>
                <w:sz w:val="21"/>
                <w:szCs w:val="21"/>
                <w:highlight w:val="none"/>
              </w:rPr>
            </w:pPr>
          </w:p>
        </w:tc>
        <w:tc>
          <w:tcPr>
            <w:tcW w:w="447" w:type="pct"/>
            <w:vMerge w:val="continue"/>
            <w:vAlign w:val="center"/>
          </w:tcPr>
          <w:p w14:paraId="14EB8E8A">
            <w:pPr>
              <w:keepNext w:val="0"/>
              <w:keepLines w:val="0"/>
              <w:pageBreakBefore w:val="0"/>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sz w:val="21"/>
                <w:szCs w:val="21"/>
                <w:highlight w:val="none"/>
              </w:rPr>
            </w:pPr>
          </w:p>
        </w:tc>
        <w:tc>
          <w:tcPr>
            <w:tcW w:w="669" w:type="pct"/>
            <w:vAlign w:val="center"/>
          </w:tcPr>
          <w:p w14:paraId="24E5050D">
            <w:pPr>
              <w:keepNext w:val="0"/>
              <w:keepLines w:val="0"/>
              <w:pageBreakBefore w:val="0"/>
              <w:kinsoku/>
              <w:wordWrap/>
              <w:overflowPunct/>
              <w:topLinePunct w:val="0"/>
              <w:autoSpaceDE/>
              <w:autoSpaceDN/>
              <w:bidi w:val="0"/>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废活性炭</w:t>
            </w:r>
          </w:p>
        </w:tc>
        <w:tc>
          <w:tcPr>
            <w:tcW w:w="443" w:type="pct"/>
            <w:vMerge w:val="continue"/>
            <w:tcBorders>
              <w:left w:val="single" w:color="auto" w:sz="4" w:space="0"/>
              <w:right w:val="single" w:color="auto" w:sz="4" w:space="0"/>
            </w:tcBorders>
            <w:vAlign w:val="center"/>
          </w:tcPr>
          <w:p w14:paraId="0280DF8C">
            <w:pPr>
              <w:keepNext w:val="0"/>
              <w:keepLines w:val="0"/>
              <w:pageBreakBefore w:val="0"/>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sz w:val="21"/>
                <w:szCs w:val="21"/>
                <w:highlight w:val="none"/>
              </w:rPr>
            </w:pPr>
          </w:p>
        </w:tc>
        <w:tc>
          <w:tcPr>
            <w:tcW w:w="707" w:type="pct"/>
            <w:vAlign w:val="center"/>
          </w:tcPr>
          <w:p w14:paraId="128ABC32">
            <w:pPr>
              <w:keepNext w:val="0"/>
              <w:keepLines w:val="0"/>
              <w:pageBreakBefore w:val="0"/>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排污系数法</w:t>
            </w:r>
          </w:p>
        </w:tc>
        <w:tc>
          <w:tcPr>
            <w:tcW w:w="518" w:type="pct"/>
            <w:vAlign w:val="center"/>
          </w:tcPr>
          <w:p w14:paraId="6A47D414">
            <w:pPr>
              <w:keepNext w:val="0"/>
              <w:keepLines w:val="0"/>
              <w:pageBreakBefore w:val="0"/>
              <w:kinsoku/>
              <w:wordWrap/>
              <w:overflowPunct/>
              <w:autoSpaceDE/>
              <w:autoSpaceDN/>
              <w:bidi w:val="0"/>
              <w:ind w:left="0" w:leftChars="0" w:right="0" w:rightChars="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1</w:t>
            </w:r>
          </w:p>
        </w:tc>
        <w:tc>
          <w:tcPr>
            <w:tcW w:w="459" w:type="pct"/>
            <w:vMerge w:val="continue"/>
            <w:tcBorders>
              <w:left w:val="single" w:color="auto" w:sz="4" w:space="0"/>
              <w:right w:val="single" w:color="auto" w:sz="4" w:space="0"/>
            </w:tcBorders>
            <w:vAlign w:val="center"/>
          </w:tcPr>
          <w:p w14:paraId="2973746D">
            <w:pPr>
              <w:keepNext w:val="0"/>
              <w:keepLines w:val="0"/>
              <w:pageBreakBefore w:val="0"/>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sz w:val="21"/>
                <w:szCs w:val="21"/>
                <w:highlight w:val="none"/>
              </w:rPr>
            </w:pPr>
          </w:p>
        </w:tc>
        <w:tc>
          <w:tcPr>
            <w:tcW w:w="472" w:type="pct"/>
            <w:vAlign w:val="center"/>
          </w:tcPr>
          <w:p w14:paraId="7FA6FA51">
            <w:pPr>
              <w:keepNext w:val="0"/>
              <w:keepLines w:val="0"/>
              <w:pageBreakBefore w:val="0"/>
              <w:kinsoku/>
              <w:wordWrap/>
              <w:overflowPunct/>
              <w:autoSpaceDE/>
              <w:autoSpaceDN/>
              <w:bidi w:val="0"/>
              <w:ind w:left="0" w:leftChars="0" w:right="0" w:rightChars="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1</w:t>
            </w:r>
          </w:p>
        </w:tc>
        <w:tc>
          <w:tcPr>
            <w:tcW w:w="470" w:type="pct"/>
            <w:vMerge w:val="continue"/>
            <w:tcBorders>
              <w:left w:val="single" w:color="auto" w:sz="4" w:space="0"/>
              <w:right w:val="nil"/>
            </w:tcBorders>
            <w:vAlign w:val="center"/>
          </w:tcPr>
          <w:p w14:paraId="7D4F7FDA">
            <w:pPr>
              <w:keepNext w:val="0"/>
              <w:keepLines w:val="0"/>
              <w:pageBreakBefore w:val="0"/>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sz w:val="21"/>
                <w:szCs w:val="21"/>
                <w:highlight w:val="none"/>
              </w:rPr>
            </w:pPr>
          </w:p>
        </w:tc>
      </w:tr>
      <w:tr w14:paraId="1999788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6" w:type="dxa"/>
            <w:bottom w:w="0" w:type="dxa"/>
            <w:right w:w="6" w:type="dxa"/>
          </w:tblCellMar>
        </w:tblPrEx>
        <w:trPr>
          <w:cantSplit/>
          <w:trHeight w:val="247" w:hRule="atLeast"/>
          <w:jc w:val="center"/>
        </w:trPr>
        <w:tc>
          <w:tcPr>
            <w:tcW w:w="241" w:type="pct"/>
            <w:vAlign w:val="center"/>
          </w:tcPr>
          <w:p w14:paraId="43691343">
            <w:pPr>
              <w:keepNext w:val="0"/>
              <w:keepLines w:val="0"/>
              <w:pageBreakBefore w:val="0"/>
              <w:widowControl w:val="0"/>
              <w:numPr>
                <w:ilvl w:val="0"/>
                <w:numId w:val="20"/>
              </w:numPr>
              <w:tabs>
                <w:tab w:val="left" w:pos="0"/>
              </w:tabs>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sz w:val="21"/>
                <w:szCs w:val="21"/>
                <w:highlight w:val="none"/>
              </w:rPr>
            </w:pPr>
          </w:p>
        </w:tc>
        <w:tc>
          <w:tcPr>
            <w:tcW w:w="570" w:type="pct"/>
            <w:vMerge w:val="continue"/>
            <w:vAlign w:val="center"/>
          </w:tcPr>
          <w:p w14:paraId="78130FB6">
            <w:pPr>
              <w:pStyle w:val="98"/>
              <w:keepNext w:val="0"/>
              <w:keepLines w:val="0"/>
              <w:pageBreakBefore w:val="0"/>
              <w:kinsoku/>
              <w:wordWrap/>
              <w:overflowPunct/>
              <w:topLinePunct w:val="0"/>
              <w:autoSpaceDE/>
              <w:autoSpaceDN/>
              <w:bidi w:val="0"/>
              <w:adjustRightInd w:val="0"/>
              <w:snapToGrid w:val="0"/>
              <w:ind w:left="0" w:right="0"/>
              <w:textAlignment w:val="auto"/>
              <w:rPr>
                <w:rFonts w:eastAsia="宋体"/>
                <w:color w:val="auto"/>
                <w:sz w:val="21"/>
                <w:szCs w:val="21"/>
                <w:highlight w:val="none"/>
              </w:rPr>
            </w:pPr>
          </w:p>
        </w:tc>
        <w:tc>
          <w:tcPr>
            <w:tcW w:w="447" w:type="pct"/>
            <w:vMerge w:val="continue"/>
            <w:vAlign w:val="center"/>
          </w:tcPr>
          <w:p w14:paraId="4FDD079C">
            <w:pPr>
              <w:keepNext w:val="0"/>
              <w:keepLines w:val="0"/>
              <w:pageBreakBefore w:val="0"/>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sz w:val="21"/>
                <w:szCs w:val="21"/>
                <w:highlight w:val="none"/>
              </w:rPr>
            </w:pPr>
          </w:p>
        </w:tc>
        <w:tc>
          <w:tcPr>
            <w:tcW w:w="669" w:type="pct"/>
            <w:vAlign w:val="center"/>
          </w:tcPr>
          <w:p w14:paraId="353A1563">
            <w:pPr>
              <w:keepNext w:val="0"/>
              <w:keepLines w:val="0"/>
              <w:pageBreakBefore w:val="0"/>
              <w:kinsoku/>
              <w:wordWrap/>
              <w:overflowPunct/>
              <w:topLinePunct w:val="0"/>
              <w:autoSpaceDE/>
              <w:autoSpaceDN/>
              <w:bidi w:val="0"/>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废RO膜</w:t>
            </w:r>
          </w:p>
        </w:tc>
        <w:tc>
          <w:tcPr>
            <w:tcW w:w="443" w:type="pct"/>
            <w:vMerge w:val="continue"/>
            <w:tcBorders>
              <w:left w:val="single" w:color="auto" w:sz="4" w:space="0"/>
              <w:right w:val="single" w:color="auto" w:sz="4" w:space="0"/>
            </w:tcBorders>
            <w:vAlign w:val="center"/>
          </w:tcPr>
          <w:p w14:paraId="3C297B48">
            <w:pPr>
              <w:keepNext w:val="0"/>
              <w:keepLines w:val="0"/>
              <w:pageBreakBefore w:val="0"/>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sz w:val="21"/>
                <w:szCs w:val="21"/>
                <w:highlight w:val="none"/>
              </w:rPr>
            </w:pPr>
          </w:p>
        </w:tc>
        <w:tc>
          <w:tcPr>
            <w:tcW w:w="707" w:type="pct"/>
            <w:vAlign w:val="center"/>
          </w:tcPr>
          <w:p w14:paraId="4192FB79">
            <w:pPr>
              <w:keepNext w:val="0"/>
              <w:keepLines w:val="0"/>
              <w:pageBreakBefore w:val="0"/>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排污系数法</w:t>
            </w:r>
          </w:p>
        </w:tc>
        <w:tc>
          <w:tcPr>
            <w:tcW w:w="518" w:type="pct"/>
            <w:vAlign w:val="center"/>
          </w:tcPr>
          <w:p w14:paraId="376440FE">
            <w:pPr>
              <w:keepNext w:val="0"/>
              <w:keepLines w:val="0"/>
              <w:pageBreakBefore w:val="0"/>
              <w:kinsoku/>
              <w:wordWrap/>
              <w:overflowPunct/>
              <w:autoSpaceDE/>
              <w:autoSpaceDN/>
              <w:bidi w:val="0"/>
              <w:ind w:left="0" w:leftChars="0" w:right="0" w:rightChars="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0.5</w:t>
            </w:r>
          </w:p>
        </w:tc>
        <w:tc>
          <w:tcPr>
            <w:tcW w:w="459" w:type="pct"/>
            <w:vMerge w:val="continue"/>
            <w:tcBorders>
              <w:left w:val="single" w:color="auto" w:sz="4" w:space="0"/>
              <w:right w:val="single" w:color="auto" w:sz="4" w:space="0"/>
            </w:tcBorders>
            <w:vAlign w:val="center"/>
          </w:tcPr>
          <w:p w14:paraId="672B1AAA">
            <w:pPr>
              <w:keepNext w:val="0"/>
              <w:keepLines w:val="0"/>
              <w:pageBreakBefore w:val="0"/>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sz w:val="21"/>
                <w:szCs w:val="21"/>
                <w:highlight w:val="none"/>
              </w:rPr>
            </w:pPr>
          </w:p>
        </w:tc>
        <w:tc>
          <w:tcPr>
            <w:tcW w:w="472" w:type="pct"/>
            <w:vAlign w:val="center"/>
          </w:tcPr>
          <w:p w14:paraId="11A7F0D3">
            <w:pPr>
              <w:keepNext w:val="0"/>
              <w:keepLines w:val="0"/>
              <w:pageBreakBefore w:val="0"/>
              <w:kinsoku/>
              <w:wordWrap/>
              <w:overflowPunct/>
              <w:autoSpaceDE/>
              <w:autoSpaceDN/>
              <w:bidi w:val="0"/>
              <w:ind w:left="0" w:leftChars="0" w:right="0" w:rightChars="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0.5</w:t>
            </w:r>
          </w:p>
        </w:tc>
        <w:tc>
          <w:tcPr>
            <w:tcW w:w="470" w:type="pct"/>
            <w:vMerge w:val="continue"/>
            <w:tcBorders>
              <w:left w:val="single" w:color="auto" w:sz="4" w:space="0"/>
              <w:right w:val="nil"/>
            </w:tcBorders>
            <w:vAlign w:val="center"/>
          </w:tcPr>
          <w:p w14:paraId="6F3C38D9">
            <w:pPr>
              <w:keepNext w:val="0"/>
              <w:keepLines w:val="0"/>
              <w:pageBreakBefore w:val="0"/>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sz w:val="21"/>
                <w:szCs w:val="21"/>
                <w:highlight w:val="none"/>
              </w:rPr>
            </w:pPr>
          </w:p>
        </w:tc>
      </w:tr>
      <w:tr w14:paraId="4B8ADA8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6" w:type="dxa"/>
            <w:bottom w:w="0" w:type="dxa"/>
            <w:right w:w="6" w:type="dxa"/>
          </w:tblCellMar>
        </w:tblPrEx>
        <w:trPr>
          <w:cantSplit/>
          <w:trHeight w:val="151" w:hRule="atLeast"/>
          <w:jc w:val="center"/>
        </w:trPr>
        <w:tc>
          <w:tcPr>
            <w:tcW w:w="241" w:type="pct"/>
            <w:vAlign w:val="center"/>
          </w:tcPr>
          <w:p w14:paraId="16E0A51C">
            <w:pPr>
              <w:keepNext w:val="0"/>
              <w:keepLines w:val="0"/>
              <w:pageBreakBefore w:val="0"/>
              <w:widowControl w:val="0"/>
              <w:numPr>
                <w:ilvl w:val="0"/>
                <w:numId w:val="20"/>
              </w:numPr>
              <w:tabs>
                <w:tab w:val="left" w:pos="0"/>
              </w:tabs>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sz w:val="21"/>
                <w:szCs w:val="21"/>
                <w:highlight w:val="none"/>
              </w:rPr>
            </w:pPr>
          </w:p>
        </w:tc>
        <w:tc>
          <w:tcPr>
            <w:tcW w:w="570" w:type="pct"/>
            <w:vMerge w:val="restart"/>
            <w:vAlign w:val="center"/>
          </w:tcPr>
          <w:p w14:paraId="035471E7">
            <w:pPr>
              <w:pStyle w:val="98"/>
              <w:keepNext w:val="0"/>
              <w:keepLines w:val="0"/>
              <w:pageBreakBefore w:val="0"/>
              <w:kinsoku/>
              <w:wordWrap/>
              <w:overflowPunct/>
              <w:topLinePunct w:val="0"/>
              <w:autoSpaceDE/>
              <w:autoSpaceDN/>
              <w:bidi w:val="0"/>
              <w:adjustRightInd w:val="0"/>
              <w:snapToGrid w:val="0"/>
              <w:ind w:left="0" w:right="0"/>
              <w:textAlignment w:val="auto"/>
              <w:rPr>
                <w:rFonts w:eastAsia="宋体"/>
                <w:color w:val="auto"/>
                <w:sz w:val="21"/>
                <w:szCs w:val="21"/>
                <w:highlight w:val="none"/>
                <w:lang w:val="en-US"/>
              </w:rPr>
            </w:pPr>
            <w:r>
              <w:rPr>
                <w:rFonts w:hint="eastAsia" w:eastAsia="宋体"/>
                <w:color w:val="auto"/>
                <w:sz w:val="21"/>
                <w:szCs w:val="21"/>
                <w:highlight w:val="none"/>
                <w:lang w:val="en-US"/>
              </w:rPr>
              <w:t>原辅料</w:t>
            </w:r>
          </w:p>
        </w:tc>
        <w:tc>
          <w:tcPr>
            <w:tcW w:w="447" w:type="pct"/>
            <w:vMerge w:val="restart"/>
            <w:vAlign w:val="center"/>
          </w:tcPr>
          <w:p w14:paraId="528F4F21">
            <w:pPr>
              <w:keepNext w:val="0"/>
              <w:keepLines w:val="0"/>
              <w:pageBreakBefore w:val="0"/>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w:t>
            </w:r>
          </w:p>
        </w:tc>
        <w:tc>
          <w:tcPr>
            <w:tcW w:w="669" w:type="pct"/>
            <w:vAlign w:val="center"/>
          </w:tcPr>
          <w:p w14:paraId="4EAF663B">
            <w:pPr>
              <w:keepNext w:val="0"/>
              <w:keepLines w:val="0"/>
              <w:pageBreakBefore w:val="0"/>
              <w:kinsoku/>
              <w:wordWrap/>
              <w:overflowPunct/>
              <w:topLinePunct w:val="0"/>
              <w:autoSpaceDE/>
              <w:autoSpaceDN/>
              <w:bidi w:val="0"/>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18"/>
                <w:highlight w:val="none"/>
              </w:rPr>
              <w:t>废包装桶（瓶）</w:t>
            </w:r>
          </w:p>
        </w:tc>
        <w:tc>
          <w:tcPr>
            <w:tcW w:w="443" w:type="pct"/>
            <w:vMerge w:val="restart"/>
            <w:tcBorders>
              <w:left w:val="single" w:color="auto" w:sz="4" w:space="0"/>
              <w:right w:val="single" w:color="auto" w:sz="4" w:space="0"/>
            </w:tcBorders>
            <w:vAlign w:val="center"/>
          </w:tcPr>
          <w:p w14:paraId="58265425">
            <w:pPr>
              <w:keepNext w:val="0"/>
              <w:keepLines w:val="0"/>
              <w:pageBreakBefore w:val="0"/>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危险废物</w:t>
            </w:r>
          </w:p>
        </w:tc>
        <w:tc>
          <w:tcPr>
            <w:tcW w:w="707" w:type="pct"/>
            <w:vAlign w:val="center"/>
          </w:tcPr>
          <w:p w14:paraId="052C4E49">
            <w:pPr>
              <w:keepNext w:val="0"/>
              <w:keepLines w:val="0"/>
              <w:pageBreakBefore w:val="0"/>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排污系数法</w:t>
            </w:r>
          </w:p>
        </w:tc>
        <w:tc>
          <w:tcPr>
            <w:tcW w:w="518" w:type="pct"/>
            <w:vAlign w:val="center"/>
          </w:tcPr>
          <w:p w14:paraId="6A80B381">
            <w:pPr>
              <w:keepNext w:val="0"/>
              <w:keepLines w:val="0"/>
              <w:pageBreakBefore w:val="0"/>
              <w:kinsoku/>
              <w:wordWrap/>
              <w:overflowPunct/>
              <w:autoSpaceDE/>
              <w:autoSpaceDN/>
              <w:bidi w:val="0"/>
              <w:ind w:left="0" w:leftChars="0" w:right="0" w:rightChars="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lang w:val="en-US" w:eastAsia="zh-CN"/>
              </w:rPr>
              <w:t>7.79</w:t>
            </w:r>
          </w:p>
        </w:tc>
        <w:tc>
          <w:tcPr>
            <w:tcW w:w="459" w:type="pct"/>
            <w:vMerge w:val="restart"/>
            <w:tcBorders>
              <w:left w:val="single" w:color="auto" w:sz="4" w:space="0"/>
              <w:right w:val="single" w:color="auto" w:sz="4" w:space="0"/>
            </w:tcBorders>
            <w:vAlign w:val="center"/>
          </w:tcPr>
          <w:p w14:paraId="6E62F419">
            <w:pPr>
              <w:keepNext w:val="0"/>
              <w:keepLines w:val="0"/>
              <w:pageBreakBefore w:val="0"/>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委托资质单位处置</w:t>
            </w:r>
          </w:p>
        </w:tc>
        <w:tc>
          <w:tcPr>
            <w:tcW w:w="472" w:type="pct"/>
            <w:vAlign w:val="center"/>
          </w:tcPr>
          <w:p w14:paraId="06AE34E9">
            <w:pPr>
              <w:keepNext w:val="0"/>
              <w:keepLines w:val="0"/>
              <w:pageBreakBefore w:val="0"/>
              <w:kinsoku/>
              <w:wordWrap/>
              <w:overflowPunct/>
              <w:autoSpaceDE/>
              <w:autoSpaceDN/>
              <w:bidi w:val="0"/>
              <w:ind w:left="0" w:leftChars="0" w:right="0" w:rightChars="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lang w:val="en-US" w:eastAsia="zh-CN"/>
              </w:rPr>
              <w:t>7.79</w:t>
            </w:r>
          </w:p>
        </w:tc>
        <w:tc>
          <w:tcPr>
            <w:tcW w:w="470" w:type="pct"/>
            <w:vMerge w:val="restart"/>
            <w:tcBorders>
              <w:left w:val="single" w:color="auto" w:sz="4" w:space="0"/>
              <w:right w:val="nil"/>
            </w:tcBorders>
            <w:vAlign w:val="center"/>
          </w:tcPr>
          <w:p w14:paraId="6B4428E3">
            <w:pPr>
              <w:keepNext w:val="0"/>
              <w:keepLines w:val="0"/>
              <w:pageBreakBefore w:val="0"/>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委托资质单位处置</w:t>
            </w:r>
          </w:p>
        </w:tc>
      </w:tr>
      <w:tr w14:paraId="462630E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6" w:type="dxa"/>
            <w:bottom w:w="0" w:type="dxa"/>
            <w:right w:w="6" w:type="dxa"/>
          </w:tblCellMar>
        </w:tblPrEx>
        <w:trPr>
          <w:cantSplit/>
          <w:trHeight w:val="151" w:hRule="atLeast"/>
          <w:jc w:val="center"/>
        </w:trPr>
        <w:tc>
          <w:tcPr>
            <w:tcW w:w="241" w:type="pct"/>
            <w:vAlign w:val="center"/>
          </w:tcPr>
          <w:p w14:paraId="5CBABD79">
            <w:pPr>
              <w:keepNext w:val="0"/>
              <w:keepLines w:val="0"/>
              <w:pageBreakBefore w:val="0"/>
              <w:widowControl w:val="0"/>
              <w:numPr>
                <w:ilvl w:val="0"/>
                <w:numId w:val="20"/>
              </w:numPr>
              <w:tabs>
                <w:tab w:val="left" w:pos="0"/>
              </w:tabs>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sz w:val="21"/>
                <w:szCs w:val="21"/>
                <w:highlight w:val="none"/>
              </w:rPr>
            </w:pPr>
          </w:p>
        </w:tc>
        <w:tc>
          <w:tcPr>
            <w:tcW w:w="570" w:type="pct"/>
            <w:vMerge w:val="continue"/>
            <w:vAlign w:val="center"/>
          </w:tcPr>
          <w:p w14:paraId="60623F00">
            <w:pPr>
              <w:keepNext w:val="0"/>
              <w:keepLines w:val="0"/>
              <w:pageBreakBefore w:val="0"/>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sz w:val="21"/>
                <w:szCs w:val="21"/>
                <w:highlight w:val="none"/>
              </w:rPr>
            </w:pPr>
          </w:p>
        </w:tc>
        <w:tc>
          <w:tcPr>
            <w:tcW w:w="447" w:type="pct"/>
            <w:vMerge w:val="continue"/>
            <w:vAlign w:val="center"/>
          </w:tcPr>
          <w:p w14:paraId="63DDE64B">
            <w:pPr>
              <w:keepNext w:val="0"/>
              <w:keepLines w:val="0"/>
              <w:pageBreakBefore w:val="0"/>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sz w:val="21"/>
                <w:szCs w:val="21"/>
                <w:highlight w:val="none"/>
              </w:rPr>
            </w:pPr>
          </w:p>
        </w:tc>
        <w:tc>
          <w:tcPr>
            <w:tcW w:w="669" w:type="pct"/>
            <w:vAlign w:val="center"/>
          </w:tcPr>
          <w:p w14:paraId="7C24AA58">
            <w:pPr>
              <w:keepNext w:val="0"/>
              <w:keepLines w:val="0"/>
              <w:pageBreakBefore w:val="0"/>
              <w:kinsoku/>
              <w:wordWrap/>
              <w:overflowPunct/>
              <w:topLinePunct w:val="0"/>
              <w:autoSpaceDE/>
              <w:autoSpaceDN/>
              <w:bidi w:val="0"/>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废包装袋</w:t>
            </w:r>
          </w:p>
        </w:tc>
        <w:tc>
          <w:tcPr>
            <w:tcW w:w="443" w:type="pct"/>
            <w:vMerge w:val="continue"/>
            <w:tcBorders>
              <w:left w:val="single" w:color="auto" w:sz="4" w:space="0"/>
              <w:right w:val="single" w:color="auto" w:sz="4" w:space="0"/>
            </w:tcBorders>
            <w:vAlign w:val="center"/>
          </w:tcPr>
          <w:p w14:paraId="0A92EE28">
            <w:pPr>
              <w:keepNext w:val="0"/>
              <w:keepLines w:val="0"/>
              <w:pageBreakBefore w:val="0"/>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sz w:val="21"/>
                <w:szCs w:val="21"/>
                <w:highlight w:val="none"/>
              </w:rPr>
            </w:pPr>
          </w:p>
        </w:tc>
        <w:tc>
          <w:tcPr>
            <w:tcW w:w="707" w:type="pct"/>
            <w:vAlign w:val="center"/>
          </w:tcPr>
          <w:p w14:paraId="06BC3194">
            <w:pPr>
              <w:keepNext w:val="0"/>
              <w:keepLines w:val="0"/>
              <w:pageBreakBefore w:val="0"/>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排污系数法</w:t>
            </w:r>
          </w:p>
        </w:tc>
        <w:tc>
          <w:tcPr>
            <w:tcW w:w="518" w:type="pct"/>
            <w:vAlign w:val="center"/>
          </w:tcPr>
          <w:p w14:paraId="3B94CF5F">
            <w:pPr>
              <w:keepNext w:val="0"/>
              <w:keepLines w:val="0"/>
              <w:pageBreakBefore w:val="0"/>
              <w:kinsoku/>
              <w:wordWrap/>
              <w:overflowPunct/>
              <w:autoSpaceDE/>
              <w:autoSpaceDN/>
              <w:bidi w:val="0"/>
              <w:ind w:left="0" w:leftChars="0" w:right="0" w:rightChars="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0.2</w:t>
            </w:r>
          </w:p>
        </w:tc>
        <w:tc>
          <w:tcPr>
            <w:tcW w:w="459" w:type="pct"/>
            <w:vMerge w:val="continue"/>
            <w:tcBorders>
              <w:left w:val="single" w:color="auto" w:sz="4" w:space="0"/>
              <w:right w:val="single" w:color="auto" w:sz="4" w:space="0"/>
            </w:tcBorders>
            <w:vAlign w:val="center"/>
          </w:tcPr>
          <w:p w14:paraId="62BC52DF">
            <w:pPr>
              <w:keepNext w:val="0"/>
              <w:keepLines w:val="0"/>
              <w:pageBreakBefore w:val="0"/>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sz w:val="21"/>
                <w:szCs w:val="21"/>
                <w:highlight w:val="none"/>
              </w:rPr>
            </w:pPr>
          </w:p>
        </w:tc>
        <w:tc>
          <w:tcPr>
            <w:tcW w:w="472" w:type="pct"/>
            <w:vAlign w:val="center"/>
          </w:tcPr>
          <w:p w14:paraId="4C617AC3">
            <w:pPr>
              <w:keepNext w:val="0"/>
              <w:keepLines w:val="0"/>
              <w:pageBreakBefore w:val="0"/>
              <w:kinsoku/>
              <w:wordWrap/>
              <w:overflowPunct/>
              <w:autoSpaceDE/>
              <w:autoSpaceDN/>
              <w:bidi w:val="0"/>
              <w:ind w:left="0" w:leftChars="0" w:right="0" w:rightChars="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0.2</w:t>
            </w:r>
          </w:p>
        </w:tc>
        <w:tc>
          <w:tcPr>
            <w:tcW w:w="470" w:type="pct"/>
            <w:vMerge w:val="continue"/>
            <w:tcBorders>
              <w:left w:val="single" w:color="auto" w:sz="4" w:space="0"/>
              <w:right w:val="nil"/>
            </w:tcBorders>
            <w:vAlign w:val="center"/>
          </w:tcPr>
          <w:p w14:paraId="1CDA95CD">
            <w:pPr>
              <w:keepNext w:val="0"/>
              <w:keepLines w:val="0"/>
              <w:pageBreakBefore w:val="0"/>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sz w:val="21"/>
                <w:szCs w:val="21"/>
                <w:highlight w:val="none"/>
              </w:rPr>
            </w:pPr>
          </w:p>
        </w:tc>
      </w:tr>
      <w:tr w14:paraId="3B3EBCF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6" w:type="dxa"/>
            <w:bottom w:w="0" w:type="dxa"/>
            <w:right w:w="6" w:type="dxa"/>
          </w:tblCellMar>
        </w:tblPrEx>
        <w:trPr>
          <w:cantSplit/>
          <w:trHeight w:val="151" w:hRule="atLeast"/>
          <w:jc w:val="center"/>
        </w:trPr>
        <w:tc>
          <w:tcPr>
            <w:tcW w:w="241" w:type="pct"/>
            <w:vAlign w:val="center"/>
          </w:tcPr>
          <w:p w14:paraId="0F0497CC">
            <w:pPr>
              <w:keepNext w:val="0"/>
              <w:keepLines w:val="0"/>
              <w:pageBreakBefore w:val="0"/>
              <w:widowControl w:val="0"/>
              <w:numPr>
                <w:ilvl w:val="0"/>
                <w:numId w:val="20"/>
              </w:numPr>
              <w:tabs>
                <w:tab w:val="left" w:pos="0"/>
              </w:tabs>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sz w:val="21"/>
                <w:szCs w:val="21"/>
                <w:highlight w:val="none"/>
              </w:rPr>
            </w:pPr>
          </w:p>
        </w:tc>
        <w:tc>
          <w:tcPr>
            <w:tcW w:w="570" w:type="pct"/>
            <w:vAlign w:val="center"/>
          </w:tcPr>
          <w:p w14:paraId="2CA96339">
            <w:pPr>
              <w:pStyle w:val="98"/>
              <w:keepNext w:val="0"/>
              <w:keepLines w:val="0"/>
              <w:pageBreakBefore w:val="0"/>
              <w:kinsoku/>
              <w:wordWrap/>
              <w:overflowPunct/>
              <w:topLinePunct w:val="0"/>
              <w:autoSpaceDE/>
              <w:autoSpaceDN/>
              <w:bidi w:val="0"/>
              <w:adjustRightInd w:val="0"/>
              <w:snapToGrid w:val="0"/>
              <w:ind w:left="0" w:right="0"/>
              <w:textAlignment w:val="auto"/>
              <w:rPr>
                <w:rFonts w:eastAsia="宋体"/>
                <w:color w:val="auto"/>
                <w:sz w:val="21"/>
                <w:szCs w:val="21"/>
                <w:highlight w:val="none"/>
                <w:lang w:val="en-US"/>
              </w:rPr>
            </w:pPr>
            <w:r>
              <w:rPr>
                <w:rFonts w:hint="eastAsia" w:eastAsia="宋体"/>
                <w:color w:val="auto"/>
                <w:sz w:val="21"/>
                <w:szCs w:val="21"/>
                <w:highlight w:val="none"/>
                <w:lang w:val="en-US"/>
              </w:rPr>
              <w:t>废气处理</w:t>
            </w:r>
          </w:p>
        </w:tc>
        <w:tc>
          <w:tcPr>
            <w:tcW w:w="447" w:type="pct"/>
            <w:vAlign w:val="center"/>
          </w:tcPr>
          <w:p w14:paraId="20FF3C21">
            <w:pPr>
              <w:keepNext w:val="0"/>
              <w:keepLines w:val="0"/>
              <w:pageBreakBefore w:val="0"/>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废气处理设施</w:t>
            </w:r>
          </w:p>
        </w:tc>
        <w:tc>
          <w:tcPr>
            <w:tcW w:w="669" w:type="pct"/>
            <w:vAlign w:val="center"/>
          </w:tcPr>
          <w:p w14:paraId="08AF654B">
            <w:pPr>
              <w:keepNext w:val="0"/>
              <w:keepLines w:val="0"/>
              <w:pageBreakBefore w:val="0"/>
              <w:kinsoku/>
              <w:wordWrap/>
              <w:overflowPunct/>
              <w:topLinePunct w:val="0"/>
              <w:autoSpaceDE/>
              <w:autoSpaceDN/>
              <w:bidi w:val="0"/>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废活性炭</w:t>
            </w:r>
          </w:p>
        </w:tc>
        <w:tc>
          <w:tcPr>
            <w:tcW w:w="443" w:type="pct"/>
            <w:vMerge w:val="continue"/>
            <w:tcBorders>
              <w:left w:val="single" w:color="auto" w:sz="4" w:space="0"/>
              <w:right w:val="single" w:color="auto" w:sz="4" w:space="0"/>
            </w:tcBorders>
            <w:vAlign w:val="center"/>
          </w:tcPr>
          <w:p w14:paraId="5333CF23">
            <w:pPr>
              <w:keepNext w:val="0"/>
              <w:keepLines w:val="0"/>
              <w:pageBreakBefore w:val="0"/>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sz w:val="21"/>
                <w:szCs w:val="21"/>
                <w:highlight w:val="none"/>
              </w:rPr>
            </w:pPr>
          </w:p>
        </w:tc>
        <w:tc>
          <w:tcPr>
            <w:tcW w:w="707" w:type="pct"/>
            <w:vAlign w:val="center"/>
          </w:tcPr>
          <w:p w14:paraId="28BF3A9B">
            <w:pPr>
              <w:keepNext w:val="0"/>
              <w:keepLines w:val="0"/>
              <w:pageBreakBefore w:val="0"/>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排污系数法</w:t>
            </w:r>
          </w:p>
        </w:tc>
        <w:tc>
          <w:tcPr>
            <w:tcW w:w="518" w:type="pct"/>
            <w:vAlign w:val="center"/>
          </w:tcPr>
          <w:p w14:paraId="7848A20C">
            <w:pPr>
              <w:keepNext w:val="0"/>
              <w:keepLines w:val="0"/>
              <w:pageBreakBefore w:val="0"/>
              <w:kinsoku/>
              <w:wordWrap/>
              <w:overflowPunct/>
              <w:autoSpaceDE/>
              <w:autoSpaceDN/>
              <w:bidi w:val="0"/>
              <w:ind w:left="0" w:leftChars="0" w:right="0" w:rightChars="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lang w:val="en-US" w:eastAsia="zh-CN"/>
              </w:rPr>
              <w:t>10.4089</w:t>
            </w:r>
          </w:p>
        </w:tc>
        <w:tc>
          <w:tcPr>
            <w:tcW w:w="459" w:type="pct"/>
            <w:vMerge w:val="continue"/>
            <w:tcBorders>
              <w:left w:val="single" w:color="auto" w:sz="4" w:space="0"/>
              <w:right w:val="single" w:color="auto" w:sz="4" w:space="0"/>
            </w:tcBorders>
            <w:vAlign w:val="center"/>
          </w:tcPr>
          <w:p w14:paraId="39C7B94F">
            <w:pPr>
              <w:keepNext w:val="0"/>
              <w:keepLines w:val="0"/>
              <w:pageBreakBefore w:val="0"/>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sz w:val="21"/>
                <w:szCs w:val="21"/>
                <w:highlight w:val="none"/>
              </w:rPr>
            </w:pPr>
          </w:p>
        </w:tc>
        <w:tc>
          <w:tcPr>
            <w:tcW w:w="472" w:type="pct"/>
            <w:vAlign w:val="center"/>
          </w:tcPr>
          <w:p w14:paraId="3899FA61">
            <w:pPr>
              <w:keepNext w:val="0"/>
              <w:keepLines w:val="0"/>
              <w:pageBreakBefore w:val="0"/>
              <w:kinsoku/>
              <w:wordWrap/>
              <w:overflowPunct/>
              <w:autoSpaceDE/>
              <w:autoSpaceDN/>
              <w:bidi w:val="0"/>
              <w:ind w:left="0" w:leftChars="0" w:right="0" w:rightChars="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lang w:val="en-US" w:eastAsia="zh-CN"/>
              </w:rPr>
              <w:t>10.4089</w:t>
            </w:r>
          </w:p>
        </w:tc>
        <w:tc>
          <w:tcPr>
            <w:tcW w:w="470" w:type="pct"/>
            <w:vMerge w:val="continue"/>
            <w:tcBorders>
              <w:left w:val="single" w:color="auto" w:sz="4" w:space="0"/>
              <w:right w:val="nil"/>
            </w:tcBorders>
            <w:vAlign w:val="center"/>
          </w:tcPr>
          <w:p w14:paraId="2187F566">
            <w:pPr>
              <w:keepNext w:val="0"/>
              <w:keepLines w:val="0"/>
              <w:pageBreakBefore w:val="0"/>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sz w:val="21"/>
                <w:szCs w:val="21"/>
                <w:highlight w:val="none"/>
              </w:rPr>
            </w:pPr>
          </w:p>
        </w:tc>
      </w:tr>
      <w:tr w14:paraId="056B584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6" w:type="dxa"/>
            <w:bottom w:w="0" w:type="dxa"/>
            <w:right w:w="6" w:type="dxa"/>
          </w:tblCellMar>
        </w:tblPrEx>
        <w:trPr>
          <w:cantSplit/>
          <w:trHeight w:val="151" w:hRule="atLeast"/>
          <w:jc w:val="center"/>
        </w:trPr>
        <w:tc>
          <w:tcPr>
            <w:tcW w:w="241" w:type="pct"/>
            <w:vAlign w:val="center"/>
          </w:tcPr>
          <w:p w14:paraId="74CAAD67">
            <w:pPr>
              <w:keepNext w:val="0"/>
              <w:keepLines w:val="0"/>
              <w:pageBreakBefore w:val="0"/>
              <w:widowControl w:val="0"/>
              <w:numPr>
                <w:ilvl w:val="0"/>
                <w:numId w:val="20"/>
              </w:numPr>
              <w:tabs>
                <w:tab w:val="left" w:pos="0"/>
              </w:tabs>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sz w:val="21"/>
                <w:szCs w:val="21"/>
                <w:highlight w:val="none"/>
              </w:rPr>
            </w:pPr>
            <w:bookmarkStart w:id="244" w:name="_Ref23768"/>
          </w:p>
        </w:tc>
        <w:tc>
          <w:tcPr>
            <w:tcW w:w="570" w:type="pct"/>
            <w:vAlign w:val="center"/>
          </w:tcPr>
          <w:p w14:paraId="21C61903">
            <w:pPr>
              <w:pStyle w:val="98"/>
              <w:keepNext w:val="0"/>
              <w:keepLines w:val="0"/>
              <w:pageBreakBefore w:val="0"/>
              <w:kinsoku/>
              <w:wordWrap/>
              <w:overflowPunct/>
              <w:topLinePunct w:val="0"/>
              <w:autoSpaceDE/>
              <w:autoSpaceDN/>
              <w:bidi w:val="0"/>
              <w:adjustRightInd w:val="0"/>
              <w:snapToGrid w:val="0"/>
              <w:ind w:left="0" w:right="0"/>
              <w:textAlignment w:val="auto"/>
              <w:rPr>
                <w:rFonts w:hint="eastAsia" w:eastAsia="宋体"/>
                <w:color w:val="auto"/>
                <w:sz w:val="21"/>
                <w:szCs w:val="21"/>
                <w:highlight w:val="none"/>
                <w:lang w:val="en-US" w:eastAsia="zh-CN"/>
              </w:rPr>
            </w:pPr>
            <w:r>
              <w:rPr>
                <w:rFonts w:hint="eastAsia" w:eastAsia="宋体"/>
                <w:color w:val="auto"/>
                <w:sz w:val="21"/>
                <w:szCs w:val="21"/>
                <w:highlight w:val="none"/>
                <w:lang w:val="en-US" w:eastAsia="zh-CN"/>
              </w:rPr>
              <w:t>取样分析</w:t>
            </w:r>
          </w:p>
        </w:tc>
        <w:tc>
          <w:tcPr>
            <w:tcW w:w="447" w:type="pct"/>
            <w:vAlign w:val="center"/>
          </w:tcPr>
          <w:p w14:paraId="69328502">
            <w:pPr>
              <w:keepNext w:val="0"/>
              <w:keepLines w:val="0"/>
              <w:pageBreakBefore w:val="0"/>
              <w:kinsoku/>
              <w:wordWrap/>
              <w:overflowPunct/>
              <w:topLinePunct w:val="0"/>
              <w:autoSpaceDE/>
              <w:autoSpaceDN/>
              <w:bidi w:val="0"/>
              <w:adjustRightInd w:val="0"/>
              <w:snapToGrid w:val="0"/>
              <w:ind w:left="0" w:right="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实验室</w:t>
            </w:r>
          </w:p>
        </w:tc>
        <w:tc>
          <w:tcPr>
            <w:tcW w:w="669" w:type="pct"/>
            <w:vAlign w:val="center"/>
          </w:tcPr>
          <w:p w14:paraId="4D11E5A4">
            <w:pPr>
              <w:keepNext w:val="0"/>
              <w:keepLines w:val="0"/>
              <w:pageBreakBefore w:val="0"/>
              <w:kinsoku/>
              <w:wordWrap/>
              <w:overflowPunct/>
              <w:topLinePunct w:val="0"/>
              <w:autoSpaceDE/>
              <w:autoSpaceDN/>
              <w:bidi w:val="0"/>
              <w:ind w:left="0" w:right="0"/>
              <w:jc w:val="center"/>
              <w:textAlignment w:val="auto"/>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实验室清洗废水</w:t>
            </w:r>
          </w:p>
        </w:tc>
        <w:tc>
          <w:tcPr>
            <w:tcW w:w="443" w:type="pct"/>
            <w:vMerge w:val="continue"/>
            <w:tcBorders>
              <w:left w:val="single" w:color="auto" w:sz="4" w:space="0"/>
              <w:right w:val="single" w:color="auto" w:sz="4" w:space="0"/>
            </w:tcBorders>
            <w:vAlign w:val="center"/>
          </w:tcPr>
          <w:p w14:paraId="0F1A47F6">
            <w:pPr>
              <w:keepNext w:val="0"/>
              <w:keepLines w:val="0"/>
              <w:pageBreakBefore w:val="0"/>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sz w:val="21"/>
                <w:szCs w:val="21"/>
                <w:highlight w:val="none"/>
              </w:rPr>
            </w:pPr>
          </w:p>
        </w:tc>
        <w:tc>
          <w:tcPr>
            <w:tcW w:w="707" w:type="pct"/>
            <w:vAlign w:val="center"/>
          </w:tcPr>
          <w:p w14:paraId="52485788">
            <w:pPr>
              <w:keepNext w:val="0"/>
              <w:keepLines w:val="0"/>
              <w:pageBreakBefore w:val="0"/>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排污系数法</w:t>
            </w:r>
          </w:p>
        </w:tc>
        <w:tc>
          <w:tcPr>
            <w:tcW w:w="518" w:type="pct"/>
            <w:vAlign w:val="center"/>
          </w:tcPr>
          <w:p w14:paraId="54114FB9">
            <w:pPr>
              <w:keepNext w:val="0"/>
              <w:keepLines w:val="0"/>
              <w:pageBreakBefore w:val="0"/>
              <w:kinsoku/>
              <w:wordWrap/>
              <w:overflowPunct/>
              <w:autoSpaceDE/>
              <w:autoSpaceDN/>
              <w:bidi w:val="0"/>
              <w:ind w:left="0" w:leftChars="0" w:right="0" w:rightChars="0"/>
              <w:jc w:val="center"/>
              <w:textAlignment w:val="auto"/>
              <w:rPr>
                <w:rFonts w:hint="eastAsia"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lang w:val="en-US" w:eastAsia="zh-CN"/>
              </w:rPr>
              <w:t>0.1</w:t>
            </w:r>
          </w:p>
        </w:tc>
        <w:tc>
          <w:tcPr>
            <w:tcW w:w="459" w:type="pct"/>
            <w:vMerge w:val="continue"/>
            <w:tcBorders>
              <w:left w:val="single" w:color="auto" w:sz="4" w:space="0"/>
              <w:right w:val="single" w:color="auto" w:sz="4" w:space="0"/>
            </w:tcBorders>
            <w:vAlign w:val="center"/>
          </w:tcPr>
          <w:p w14:paraId="7F91A0F2">
            <w:pPr>
              <w:keepNext w:val="0"/>
              <w:keepLines w:val="0"/>
              <w:pageBreakBefore w:val="0"/>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sz w:val="21"/>
                <w:szCs w:val="21"/>
                <w:highlight w:val="none"/>
              </w:rPr>
            </w:pPr>
          </w:p>
        </w:tc>
        <w:tc>
          <w:tcPr>
            <w:tcW w:w="472" w:type="pct"/>
            <w:vAlign w:val="center"/>
          </w:tcPr>
          <w:p w14:paraId="4DEB8090">
            <w:pPr>
              <w:keepNext w:val="0"/>
              <w:keepLines w:val="0"/>
              <w:pageBreakBefore w:val="0"/>
              <w:kinsoku/>
              <w:wordWrap/>
              <w:overflowPunct/>
              <w:autoSpaceDE/>
              <w:autoSpaceDN/>
              <w:bidi w:val="0"/>
              <w:ind w:left="0" w:leftChars="0" w:right="0" w:rightChars="0"/>
              <w:jc w:val="center"/>
              <w:textAlignment w:val="auto"/>
              <w:rPr>
                <w:rFonts w:hint="eastAsia"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lang w:val="en-US" w:eastAsia="zh-CN"/>
              </w:rPr>
              <w:t>0.1</w:t>
            </w:r>
          </w:p>
        </w:tc>
        <w:tc>
          <w:tcPr>
            <w:tcW w:w="470" w:type="pct"/>
            <w:vMerge w:val="continue"/>
            <w:tcBorders>
              <w:left w:val="single" w:color="auto" w:sz="4" w:space="0"/>
              <w:right w:val="nil"/>
            </w:tcBorders>
            <w:vAlign w:val="center"/>
          </w:tcPr>
          <w:p w14:paraId="5BF4470F">
            <w:pPr>
              <w:keepNext w:val="0"/>
              <w:keepLines w:val="0"/>
              <w:pageBreakBefore w:val="0"/>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sz w:val="21"/>
                <w:szCs w:val="21"/>
                <w:highlight w:val="none"/>
              </w:rPr>
            </w:pPr>
          </w:p>
        </w:tc>
      </w:tr>
    </w:tbl>
    <w:p w14:paraId="591F414E">
      <w:pPr>
        <w:pStyle w:val="15"/>
        <w:spacing w:before="120" w:beforeLines="50" w:after="120" w:afterLines="50"/>
        <w:ind w:left="-105" w:right="-105" w:firstLine="482"/>
        <w:rPr>
          <w:rFonts w:eastAsia="宋体" w:cs="Times New Roman"/>
          <w:color w:val="auto"/>
          <w:sz w:val="24"/>
          <w:szCs w:val="18"/>
          <w:highlight w:val="none"/>
        </w:rPr>
      </w:pPr>
      <w:r>
        <w:rPr>
          <w:rFonts w:eastAsia="宋体" w:cs="Times New Roman"/>
          <w:color w:val="auto"/>
          <w:sz w:val="24"/>
          <w:szCs w:val="18"/>
          <w:highlight w:val="none"/>
        </w:rPr>
        <w:t>表</w:t>
      </w:r>
      <w:r>
        <w:rPr>
          <w:rFonts w:eastAsia="宋体" w:cs="Times New Roman"/>
          <w:color w:val="auto"/>
          <w:sz w:val="24"/>
          <w:szCs w:val="18"/>
          <w:highlight w:val="none"/>
        </w:rPr>
        <w:fldChar w:fldCharType="begin"/>
      </w:r>
      <w:r>
        <w:rPr>
          <w:rFonts w:eastAsia="宋体" w:cs="Times New Roman"/>
          <w:color w:val="auto"/>
          <w:sz w:val="24"/>
          <w:szCs w:val="18"/>
          <w:highlight w:val="none"/>
        </w:rPr>
        <w:instrText xml:space="preserve"> STYLEREF 2 \s </w:instrText>
      </w:r>
      <w:r>
        <w:rPr>
          <w:rFonts w:eastAsia="宋体" w:cs="Times New Roman"/>
          <w:color w:val="auto"/>
          <w:sz w:val="24"/>
          <w:szCs w:val="18"/>
          <w:highlight w:val="none"/>
        </w:rPr>
        <w:fldChar w:fldCharType="separate"/>
      </w:r>
      <w:r>
        <w:rPr>
          <w:rFonts w:eastAsia="宋体" w:cs="Times New Roman"/>
          <w:color w:val="auto"/>
          <w:sz w:val="24"/>
          <w:szCs w:val="18"/>
          <w:highlight w:val="none"/>
        </w:rPr>
        <w:t>4.6</w:t>
      </w:r>
      <w:r>
        <w:rPr>
          <w:rFonts w:eastAsia="宋体" w:cs="Times New Roman"/>
          <w:color w:val="auto"/>
          <w:sz w:val="24"/>
          <w:szCs w:val="18"/>
          <w:highlight w:val="none"/>
        </w:rPr>
        <w:fldChar w:fldCharType="end"/>
      </w:r>
      <w:r>
        <w:rPr>
          <w:rFonts w:eastAsia="宋体" w:cs="Times New Roman"/>
          <w:color w:val="auto"/>
          <w:sz w:val="24"/>
          <w:szCs w:val="18"/>
          <w:highlight w:val="none"/>
        </w:rPr>
        <w:noBreakHyphen/>
      </w:r>
      <w:r>
        <w:rPr>
          <w:rFonts w:eastAsia="宋体" w:cs="Times New Roman"/>
          <w:color w:val="auto"/>
          <w:sz w:val="24"/>
          <w:szCs w:val="18"/>
          <w:highlight w:val="none"/>
        </w:rPr>
        <w:fldChar w:fldCharType="begin"/>
      </w:r>
      <w:r>
        <w:rPr>
          <w:rFonts w:eastAsia="宋体" w:cs="Times New Roman"/>
          <w:color w:val="auto"/>
          <w:sz w:val="24"/>
          <w:szCs w:val="18"/>
          <w:highlight w:val="none"/>
        </w:rPr>
        <w:instrText xml:space="preserve"> SEQ 表 \* ARABIC \s 2 </w:instrText>
      </w:r>
      <w:r>
        <w:rPr>
          <w:rFonts w:eastAsia="宋体" w:cs="Times New Roman"/>
          <w:color w:val="auto"/>
          <w:sz w:val="24"/>
          <w:szCs w:val="18"/>
          <w:highlight w:val="none"/>
        </w:rPr>
        <w:fldChar w:fldCharType="separate"/>
      </w:r>
      <w:r>
        <w:rPr>
          <w:rFonts w:eastAsia="宋体" w:cs="Times New Roman"/>
          <w:color w:val="auto"/>
          <w:sz w:val="24"/>
          <w:szCs w:val="18"/>
          <w:highlight w:val="none"/>
        </w:rPr>
        <w:t>13</w:t>
      </w:r>
      <w:r>
        <w:rPr>
          <w:rFonts w:eastAsia="宋体" w:cs="Times New Roman"/>
          <w:color w:val="auto"/>
          <w:sz w:val="24"/>
          <w:szCs w:val="18"/>
          <w:highlight w:val="none"/>
        </w:rPr>
        <w:fldChar w:fldCharType="end"/>
      </w:r>
      <w:bookmarkEnd w:id="244"/>
      <w:r>
        <w:rPr>
          <w:rFonts w:eastAsia="宋体" w:cs="Times New Roman"/>
          <w:color w:val="auto"/>
          <w:sz w:val="24"/>
          <w:szCs w:val="18"/>
          <w:highlight w:val="none"/>
        </w:rPr>
        <w:t>本项目营运期危险废物汇总表</w:t>
      </w:r>
    </w:p>
    <w:tbl>
      <w:tblPr>
        <w:tblStyle w:val="45"/>
        <w:tblW w:w="4994"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432"/>
        <w:gridCol w:w="1022"/>
        <w:gridCol w:w="775"/>
        <w:gridCol w:w="902"/>
        <w:gridCol w:w="793"/>
        <w:gridCol w:w="873"/>
        <w:gridCol w:w="571"/>
        <w:gridCol w:w="805"/>
        <w:gridCol w:w="657"/>
        <w:gridCol w:w="678"/>
        <w:gridCol w:w="518"/>
        <w:gridCol w:w="685"/>
      </w:tblGrid>
      <w:tr w14:paraId="59210DF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79" w:hRule="atLeast"/>
        </w:trPr>
        <w:tc>
          <w:tcPr>
            <w:tcW w:w="247" w:type="pct"/>
            <w:vAlign w:val="center"/>
          </w:tcPr>
          <w:p w14:paraId="71FC16D5">
            <w:pPr>
              <w:keepNext w:val="0"/>
              <w:keepLines w:val="0"/>
              <w:pageBreakBefore w:val="0"/>
              <w:kinsoku/>
              <w:wordWrap/>
              <w:overflowPunct/>
              <w:topLinePunct w:val="0"/>
              <w:autoSpaceDE/>
              <w:autoSpaceDN/>
              <w:bidi w:val="0"/>
              <w:adjustRightInd w:val="0"/>
              <w:snapToGrid w:val="0"/>
              <w:ind w:left="0" w:right="0"/>
              <w:jc w:val="center"/>
              <w:textAlignment w:val="auto"/>
              <w:rPr>
                <w:rFonts w:ascii="Times New Roman" w:hAnsi="Times New Roman" w:cs="Times New Roman"/>
                <w:b/>
                <w:color w:val="auto"/>
                <w:sz w:val="21"/>
                <w:szCs w:val="21"/>
                <w:highlight w:val="none"/>
              </w:rPr>
            </w:pPr>
            <w:r>
              <w:rPr>
                <w:rFonts w:ascii="Times New Roman" w:hAnsi="Times New Roman" w:cs="Times New Roman"/>
                <w:b/>
                <w:color w:val="auto"/>
                <w:sz w:val="21"/>
                <w:szCs w:val="21"/>
                <w:highlight w:val="none"/>
              </w:rPr>
              <w:t>序号</w:t>
            </w:r>
          </w:p>
        </w:tc>
        <w:tc>
          <w:tcPr>
            <w:tcW w:w="586" w:type="pct"/>
            <w:vAlign w:val="center"/>
          </w:tcPr>
          <w:p w14:paraId="3C74E9BB">
            <w:pPr>
              <w:keepNext w:val="0"/>
              <w:keepLines w:val="0"/>
              <w:pageBreakBefore w:val="0"/>
              <w:kinsoku/>
              <w:wordWrap/>
              <w:overflowPunct/>
              <w:topLinePunct w:val="0"/>
              <w:autoSpaceDE/>
              <w:autoSpaceDN/>
              <w:bidi w:val="0"/>
              <w:adjustRightInd w:val="0"/>
              <w:snapToGrid w:val="0"/>
              <w:ind w:left="0" w:right="0"/>
              <w:jc w:val="center"/>
              <w:textAlignment w:val="auto"/>
              <w:rPr>
                <w:rFonts w:ascii="Times New Roman" w:hAnsi="Times New Roman" w:cs="Times New Roman"/>
                <w:b/>
                <w:color w:val="auto"/>
                <w:sz w:val="21"/>
                <w:szCs w:val="21"/>
                <w:highlight w:val="none"/>
              </w:rPr>
            </w:pPr>
            <w:r>
              <w:rPr>
                <w:rFonts w:ascii="Times New Roman" w:hAnsi="Times New Roman" w:cs="Times New Roman"/>
                <w:b/>
                <w:color w:val="auto"/>
                <w:sz w:val="21"/>
                <w:szCs w:val="21"/>
                <w:highlight w:val="none"/>
              </w:rPr>
              <w:t>危险废物名称</w:t>
            </w:r>
          </w:p>
        </w:tc>
        <w:tc>
          <w:tcPr>
            <w:tcW w:w="444" w:type="pct"/>
            <w:vAlign w:val="center"/>
          </w:tcPr>
          <w:p w14:paraId="3B067B42">
            <w:pPr>
              <w:keepNext w:val="0"/>
              <w:keepLines w:val="0"/>
              <w:pageBreakBefore w:val="0"/>
              <w:kinsoku/>
              <w:wordWrap/>
              <w:overflowPunct/>
              <w:topLinePunct w:val="0"/>
              <w:autoSpaceDE/>
              <w:autoSpaceDN/>
              <w:bidi w:val="0"/>
              <w:adjustRightInd w:val="0"/>
              <w:snapToGrid w:val="0"/>
              <w:ind w:left="0" w:right="0"/>
              <w:jc w:val="center"/>
              <w:textAlignment w:val="auto"/>
              <w:rPr>
                <w:rFonts w:ascii="Times New Roman" w:hAnsi="Times New Roman" w:cs="Times New Roman"/>
                <w:b/>
                <w:color w:val="auto"/>
                <w:sz w:val="21"/>
                <w:szCs w:val="21"/>
                <w:highlight w:val="none"/>
              </w:rPr>
            </w:pPr>
            <w:r>
              <w:rPr>
                <w:rFonts w:ascii="Times New Roman" w:hAnsi="Times New Roman" w:cs="Times New Roman"/>
                <w:b/>
                <w:color w:val="auto"/>
                <w:sz w:val="21"/>
                <w:szCs w:val="21"/>
                <w:highlight w:val="none"/>
              </w:rPr>
              <w:t>危险废物类别</w:t>
            </w:r>
          </w:p>
        </w:tc>
        <w:tc>
          <w:tcPr>
            <w:tcW w:w="517" w:type="pct"/>
            <w:vAlign w:val="center"/>
          </w:tcPr>
          <w:p w14:paraId="09AE3FF9">
            <w:pPr>
              <w:keepNext w:val="0"/>
              <w:keepLines w:val="0"/>
              <w:pageBreakBefore w:val="0"/>
              <w:kinsoku/>
              <w:wordWrap/>
              <w:overflowPunct/>
              <w:topLinePunct w:val="0"/>
              <w:autoSpaceDE/>
              <w:autoSpaceDN/>
              <w:bidi w:val="0"/>
              <w:adjustRightInd w:val="0"/>
              <w:snapToGrid w:val="0"/>
              <w:ind w:left="0" w:right="0"/>
              <w:jc w:val="center"/>
              <w:textAlignment w:val="auto"/>
              <w:rPr>
                <w:rFonts w:ascii="Times New Roman" w:hAnsi="Times New Roman" w:cs="Times New Roman"/>
                <w:b/>
                <w:color w:val="auto"/>
                <w:sz w:val="21"/>
                <w:szCs w:val="21"/>
                <w:highlight w:val="none"/>
              </w:rPr>
            </w:pPr>
            <w:r>
              <w:rPr>
                <w:rFonts w:ascii="Times New Roman" w:hAnsi="Times New Roman" w:cs="Times New Roman"/>
                <w:b/>
                <w:color w:val="auto"/>
                <w:sz w:val="21"/>
                <w:szCs w:val="21"/>
                <w:highlight w:val="none"/>
              </w:rPr>
              <w:t>危险废物代码</w:t>
            </w:r>
          </w:p>
        </w:tc>
        <w:tc>
          <w:tcPr>
            <w:tcW w:w="455" w:type="pct"/>
            <w:vAlign w:val="center"/>
          </w:tcPr>
          <w:p w14:paraId="7F0F05FC">
            <w:pPr>
              <w:keepNext w:val="0"/>
              <w:keepLines w:val="0"/>
              <w:pageBreakBefore w:val="0"/>
              <w:kinsoku/>
              <w:wordWrap/>
              <w:overflowPunct/>
              <w:topLinePunct w:val="0"/>
              <w:autoSpaceDE/>
              <w:autoSpaceDN/>
              <w:bidi w:val="0"/>
              <w:adjustRightInd w:val="0"/>
              <w:snapToGrid w:val="0"/>
              <w:ind w:left="0" w:right="0"/>
              <w:jc w:val="center"/>
              <w:textAlignment w:val="auto"/>
              <w:rPr>
                <w:rFonts w:ascii="Times New Roman" w:hAnsi="Times New Roman" w:cs="Times New Roman"/>
                <w:b/>
                <w:color w:val="auto"/>
                <w:sz w:val="21"/>
                <w:szCs w:val="21"/>
                <w:highlight w:val="none"/>
              </w:rPr>
            </w:pPr>
            <w:r>
              <w:rPr>
                <w:rFonts w:ascii="Times New Roman" w:hAnsi="Times New Roman" w:cs="Times New Roman"/>
                <w:b/>
                <w:color w:val="auto"/>
                <w:sz w:val="21"/>
                <w:szCs w:val="21"/>
                <w:highlight w:val="none"/>
              </w:rPr>
              <w:t>产生量（t/a）</w:t>
            </w:r>
          </w:p>
        </w:tc>
        <w:tc>
          <w:tcPr>
            <w:tcW w:w="501" w:type="pct"/>
            <w:vAlign w:val="center"/>
          </w:tcPr>
          <w:p w14:paraId="310086B6">
            <w:pPr>
              <w:keepNext w:val="0"/>
              <w:keepLines w:val="0"/>
              <w:pageBreakBefore w:val="0"/>
              <w:kinsoku/>
              <w:wordWrap/>
              <w:overflowPunct/>
              <w:topLinePunct w:val="0"/>
              <w:autoSpaceDE/>
              <w:autoSpaceDN/>
              <w:bidi w:val="0"/>
              <w:adjustRightInd w:val="0"/>
              <w:snapToGrid w:val="0"/>
              <w:ind w:left="0" w:right="0"/>
              <w:jc w:val="center"/>
              <w:textAlignment w:val="auto"/>
              <w:rPr>
                <w:rFonts w:ascii="Times New Roman" w:hAnsi="Times New Roman" w:cs="Times New Roman"/>
                <w:b/>
                <w:color w:val="auto"/>
                <w:sz w:val="21"/>
                <w:szCs w:val="21"/>
                <w:highlight w:val="none"/>
              </w:rPr>
            </w:pPr>
            <w:r>
              <w:rPr>
                <w:rFonts w:ascii="Times New Roman" w:hAnsi="Times New Roman" w:cs="Times New Roman"/>
                <w:b/>
                <w:color w:val="auto"/>
                <w:sz w:val="21"/>
                <w:szCs w:val="21"/>
                <w:highlight w:val="none"/>
              </w:rPr>
              <w:t>产生工序及装置</w:t>
            </w:r>
          </w:p>
        </w:tc>
        <w:tc>
          <w:tcPr>
            <w:tcW w:w="327" w:type="pct"/>
            <w:vAlign w:val="center"/>
          </w:tcPr>
          <w:p w14:paraId="7E683157">
            <w:pPr>
              <w:keepNext w:val="0"/>
              <w:keepLines w:val="0"/>
              <w:pageBreakBefore w:val="0"/>
              <w:kinsoku/>
              <w:wordWrap/>
              <w:overflowPunct/>
              <w:topLinePunct w:val="0"/>
              <w:autoSpaceDE/>
              <w:autoSpaceDN/>
              <w:bidi w:val="0"/>
              <w:adjustRightInd w:val="0"/>
              <w:snapToGrid w:val="0"/>
              <w:ind w:left="0" w:right="0"/>
              <w:jc w:val="center"/>
              <w:textAlignment w:val="auto"/>
              <w:rPr>
                <w:rFonts w:ascii="Times New Roman" w:hAnsi="Times New Roman" w:cs="Times New Roman"/>
                <w:b/>
                <w:color w:val="auto"/>
                <w:sz w:val="21"/>
                <w:szCs w:val="21"/>
                <w:highlight w:val="none"/>
              </w:rPr>
            </w:pPr>
            <w:r>
              <w:rPr>
                <w:rFonts w:ascii="Times New Roman" w:hAnsi="Times New Roman" w:cs="Times New Roman"/>
                <w:b/>
                <w:color w:val="auto"/>
                <w:sz w:val="21"/>
                <w:szCs w:val="21"/>
                <w:highlight w:val="none"/>
              </w:rPr>
              <w:t>形态</w:t>
            </w:r>
          </w:p>
        </w:tc>
        <w:tc>
          <w:tcPr>
            <w:tcW w:w="462" w:type="pct"/>
            <w:vAlign w:val="center"/>
          </w:tcPr>
          <w:p w14:paraId="1A3FC1D7">
            <w:pPr>
              <w:keepNext w:val="0"/>
              <w:keepLines w:val="0"/>
              <w:pageBreakBefore w:val="0"/>
              <w:kinsoku/>
              <w:wordWrap/>
              <w:overflowPunct/>
              <w:topLinePunct w:val="0"/>
              <w:autoSpaceDE/>
              <w:autoSpaceDN/>
              <w:bidi w:val="0"/>
              <w:adjustRightInd w:val="0"/>
              <w:snapToGrid w:val="0"/>
              <w:ind w:left="0" w:right="0"/>
              <w:jc w:val="center"/>
              <w:textAlignment w:val="auto"/>
              <w:rPr>
                <w:rFonts w:ascii="Times New Roman" w:hAnsi="Times New Roman" w:cs="Times New Roman"/>
                <w:b/>
                <w:color w:val="auto"/>
                <w:sz w:val="21"/>
                <w:szCs w:val="21"/>
                <w:highlight w:val="none"/>
              </w:rPr>
            </w:pPr>
            <w:r>
              <w:rPr>
                <w:rFonts w:ascii="Times New Roman" w:hAnsi="Times New Roman" w:cs="Times New Roman"/>
                <w:b/>
                <w:color w:val="auto"/>
                <w:sz w:val="21"/>
                <w:szCs w:val="21"/>
                <w:highlight w:val="none"/>
              </w:rPr>
              <w:t>主要成分</w:t>
            </w:r>
          </w:p>
        </w:tc>
        <w:tc>
          <w:tcPr>
            <w:tcW w:w="377" w:type="pct"/>
            <w:vAlign w:val="center"/>
          </w:tcPr>
          <w:p w14:paraId="76CB8873">
            <w:pPr>
              <w:keepNext w:val="0"/>
              <w:keepLines w:val="0"/>
              <w:pageBreakBefore w:val="0"/>
              <w:kinsoku/>
              <w:wordWrap/>
              <w:overflowPunct/>
              <w:topLinePunct w:val="0"/>
              <w:autoSpaceDE/>
              <w:autoSpaceDN/>
              <w:bidi w:val="0"/>
              <w:adjustRightInd w:val="0"/>
              <w:snapToGrid w:val="0"/>
              <w:ind w:left="0" w:right="0"/>
              <w:jc w:val="center"/>
              <w:textAlignment w:val="auto"/>
              <w:rPr>
                <w:rFonts w:ascii="Times New Roman" w:hAnsi="Times New Roman" w:cs="Times New Roman"/>
                <w:b/>
                <w:color w:val="auto"/>
                <w:sz w:val="21"/>
                <w:szCs w:val="21"/>
                <w:highlight w:val="none"/>
              </w:rPr>
            </w:pPr>
            <w:r>
              <w:rPr>
                <w:rFonts w:ascii="Times New Roman" w:hAnsi="Times New Roman" w:cs="Times New Roman"/>
                <w:b/>
                <w:color w:val="auto"/>
                <w:sz w:val="21"/>
                <w:szCs w:val="21"/>
                <w:highlight w:val="none"/>
              </w:rPr>
              <w:t>有害成分</w:t>
            </w:r>
          </w:p>
        </w:tc>
        <w:tc>
          <w:tcPr>
            <w:tcW w:w="389" w:type="pct"/>
            <w:vAlign w:val="center"/>
          </w:tcPr>
          <w:p w14:paraId="29CE630A">
            <w:pPr>
              <w:keepNext w:val="0"/>
              <w:keepLines w:val="0"/>
              <w:pageBreakBefore w:val="0"/>
              <w:kinsoku/>
              <w:wordWrap/>
              <w:overflowPunct/>
              <w:topLinePunct w:val="0"/>
              <w:autoSpaceDE/>
              <w:autoSpaceDN/>
              <w:bidi w:val="0"/>
              <w:adjustRightInd w:val="0"/>
              <w:snapToGrid w:val="0"/>
              <w:ind w:left="0" w:right="0"/>
              <w:jc w:val="center"/>
              <w:textAlignment w:val="auto"/>
              <w:rPr>
                <w:rFonts w:ascii="Times New Roman" w:hAnsi="Times New Roman" w:cs="Times New Roman"/>
                <w:b/>
                <w:color w:val="auto"/>
                <w:sz w:val="21"/>
                <w:szCs w:val="21"/>
                <w:highlight w:val="none"/>
              </w:rPr>
            </w:pPr>
            <w:r>
              <w:rPr>
                <w:rFonts w:ascii="Times New Roman" w:hAnsi="Times New Roman" w:cs="Times New Roman"/>
                <w:b/>
                <w:color w:val="auto"/>
                <w:sz w:val="21"/>
                <w:szCs w:val="21"/>
                <w:highlight w:val="none"/>
              </w:rPr>
              <w:t>产废周期</w:t>
            </w:r>
          </w:p>
        </w:tc>
        <w:tc>
          <w:tcPr>
            <w:tcW w:w="297" w:type="pct"/>
            <w:vAlign w:val="center"/>
          </w:tcPr>
          <w:p w14:paraId="5303584C">
            <w:pPr>
              <w:keepNext w:val="0"/>
              <w:keepLines w:val="0"/>
              <w:pageBreakBefore w:val="0"/>
              <w:kinsoku/>
              <w:wordWrap/>
              <w:overflowPunct/>
              <w:topLinePunct w:val="0"/>
              <w:autoSpaceDE/>
              <w:autoSpaceDN/>
              <w:bidi w:val="0"/>
              <w:adjustRightInd w:val="0"/>
              <w:snapToGrid w:val="0"/>
              <w:ind w:left="0" w:right="0"/>
              <w:jc w:val="center"/>
              <w:textAlignment w:val="auto"/>
              <w:rPr>
                <w:rFonts w:ascii="Times New Roman" w:hAnsi="Times New Roman" w:cs="Times New Roman"/>
                <w:b/>
                <w:color w:val="auto"/>
                <w:sz w:val="21"/>
                <w:szCs w:val="21"/>
                <w:highlight w:val="none"/>
              </w:rPr>
            </w:pPr>
            <w:r>
              <w:rPr>
                <w:rFonts w:ascii="Times New Roman" w:hAnsi="Times New Roman" w:cs="Times New Roman"/>
                <w:b/>
                <w:color w:val="auto"/>
                <w:sz w:val="21"/>
                <w:szCs w:val="21"/>
                <w:highlight w:val="none"/>
              </w:rPr>
              <w:t>危险特性</w:t>
            </w:r>
          </w:p>
        </w:tc>
        <w:tc>
          <w:tcPr>
            <w:tcW w:w="393" w:type="pct"/>
            <w:vAlign w:val="center"/>
          </w:tcPr>
          <w:p w14:paraId="7B8DFE5B">
            <w:pPr>
              <w:keepNext w:val="0"/>
              <w:keepLines w:val="0"/>
              <w:pageBreakBefore w:val="0"/>
              <w:kinsoku/>
              <w:wordWrap/>
              <w:overflowPunct/>
              <w:topLinePunct w:val="0"/>
              <w:autoSpaceDE/>
              <w:autoSpaceDN/>
              <w:bidi w:val="0"/>
              <w:adjustRightInd w:val="0"/>
              <w:snapToGrid w:val="0"/>
              <w:ind w:left="0" w:right="0"/>
              <w:jc w:val="center"/>
              <w:textAlignment w:val="auto"/>
              <w:rPr>
                <w:rFonts w:ascii="Times New Roman" w:hAnsi="Times New Roman" w:cs="Times New Roman"/>
                <w:b/>
                <w:color w:val="auto"/>
                <w:sz w:val="21"/>
                <w:szCs w:val="21"/>
                <w:highlight w:val="none"/>
              </w:rPr>
            </w:pPr>
            <w:r>
              <w:rPr>
                <w:rFonts w:ascii="Times New Roman" w:hAnsi="Times New Roman" w:cs="Times New Roman"/>
                <w:b/>
                <w:color w:val="auto"/>
                <w:sz w:val="21"/>
                <w:szCs w:val="21"/>
                <w:highlight w:val="none"/>
              </w:rPr>
              <w:t>污染防治措施</w:t>
            </w:r>
          </w:p>
        </w:tc>
      </w:tr>
      <w:tr w14:paraId="15EDF5E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79" w:hRule="atLeast"/>
        </w:trPr>
        <w:tc>
          <w:tcPr>
            <w:tcW w:w="247" w:type="pct"/>
            <w:vAlign w:val="center"/>
          </w:tcPr>
          <w:p w14:paraId="06326417">
            <w:pPr>
              <w:keepNext w:val="0"/>
              <w:keepLines w:val="0"/>
              <w:pageBreakBefore w:val="0"/>
              <w:widowControl w:val="0"/>
              <w:numPr>
                <w:ilvl w:val="0"/>
                <w:numId w:val="21"/>
              </w:numPr>
              <w:tabs>
                <w:tab w:val="left" w:pos="0"/>
                <w:tab w:val="left" w:pos="284"/>
              </w:tabs>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sz w:val="21"/>
                <w:szCs w:val="21"/>
                <w:highlight w:val="none"/>
              </w:rPr>
            </w:pPr>
          </w:p>
        </w:tc>
        <w:tc>
          <w:tcPr>
            <w:tcW w:w="586" w:type="pct"/>
            <w:vAlign w:val="center"/>
          </w:tcPr>
          <w:p w14:paraId="176D9BF7">
            <w:pPr>
              <w:pStyle w:val="98"/>
              <w:keepNext w:val="0"/>
              <w:keepLines w:val="0"/>
              <w:pageBreakBefore w:val="0"/>
              <w:kinsoku/>
              <w:wordWrap/>
              <w:overflowPunct/>
              <w:topLinePunct w:val="0"/>
              <w:autoSpaceDE/>
              <w:autoSpaceDN/>
              <w:bidi w:val="0"/>
              <w:adjustRightInd w:val="0"/>
              <w:snapToGrid w:val="0"/>
              <w:ind w:left="0" w:right="0"/>
              <w:textAlignment w:val="auto"/>
              <w:rPr>
                <w:rFonts w:eastAsia="宋体"/>
                <w:color w:val="auto"/>
                <w:sz w:val="21"/>
                <w:szCs w:val="21"/>
                <w:highlight w:val="none"/>
              </w:rPr>
            </w:pPr>
            <w:r>
              <w:rPr>
                <w:rFonts w:hint="eastAsia" w:ascii="宋体" w:hAnsi="宋体" w:eastAsia="宋体" w:cs="宋体"/>
                <w:color w:val="auto"/>
                <w:sz w:val="21"/>
                <w:szCs w:val="18"/>
                <w:highlight w:val="none"/>
                <w:lang w:val="en-US"/>
              </w:rPr>
              <w:t>废</w:t>
            </w:r>
            <w:r>
              <w:rPr>
                <w:rFonts w:hint="eastAsia"/>
                <w:color w:val="auto"/>
                <w:sz w:val="21"/>
                <w:szCs w:val="18"/>
                <w:highlight w:val="none"/>
                <w:lang w:val="en-US"/>
              </w:rPr>
              <w:t>滤芯</w:t>
            </w:r>
          </w:p>
        </w:tc>
        <w:tc>
          <w:tcPr>
            <w:tcW w:w="444" w:type="pct"/>
            <w:vAlign w:val="center"/>
          </w:tcPr>
          <w:p w14:paraId="49018E1E">
            <w:pPr>
              <w:pStyle w:val="98"/>
              <w:keepNext w:val="0"/>
              <w:keepLines w:val="0"/>
              <w:pageBreakBefore w:val="0"/>
              <w:kinsoku/>
              <w:wordWrap/>
              <w:overflowPunct/>
              <w:topLinePunct w:val="0"/>
              <w:autoSpaceDE/>
              <w:autoSpaceDN/>
              <w:bidi w:val="0"/>
              <w:adjustRightInd w:val="0"/>
              <w:snapToGrid w:val="0"/>
              <w:ind w:left="0" w:right="0"/>
              <w:textAlignment w:val="auto"/>
              <w:rPr>
                <w:rFonts w:eastAsia="宋体"/>
                <w:color w:val="auto"/>
                <w:sz w:val="21"/>
                <w:szCs w:val="21"/>
                <w:highlight w:val="none"/>
              </w:rPr>
            </w:pPr>
            <w:r>
              <w:rPr>
                <w:rFonts w:eastAsia="宋体"/>
                <w:color w:val="auto"/>
                <w:sz w:val="21"/>
                <w:szCs w:val="21"/>
                <w:highlight w:val="none"/>
                <w:lang w:val="en-US"/>
              </w:rPr>
              <w:t>HW49</w:t>
            </w:r>
          </w:p>
        </w:tc>
        <w:tc>
          <w:tcPr>
            <w:tcW w:w="517" w:type="pct"/>
            <w:vAlign w:val="center"/>
          </w:tcPr>
          <w:p w14:paraId="4FB1871C">
            <w:pPr>
              <w:pStyle w:val="98"/>
              <w:keepNext w:val="0"/>
              <w:keepLines w:val="0"/>
              <w:pageBreakBefore w:val="0"/>
              <w:kinsoku/>
              <w:wordWrap/>
              <w:overflowPunct/>
              <w:topLinePunct w:val="0"/>
              <w:autoSpaceDE/>
              <w:autoSpaceDN/>
              <w:bidi w:val="0"/>
              <w:adjustRightInd w:val="0"/>
              <w:snapToGrid w:val="0"/>
              <w:ind w:left="0" w:right="0"/>
              <w:textAlignment w:val="auto"/>
              <w:rPr>
                <w:rFonts w:eastAsia="宋体"/>
                <w:color w:val="auto"/>
                <w:sz w:val="21"/>
                <w:szCs w:val="21"/>
                <w:highlight w:val="none"/>
              </w:rPr>
            </w:pPr>
            <w:r>
              <w:rPr>
                <w:rFonts w:eastAsia="宋体"/>
                <w:color w:val="auto"/>
                <w:sz w:val="21"/>
                <w:szCs w:val="21"/>
                <w:highlight w:val="none"/>
                <w:lang w:val="en-US"/>
              </w:rPr>
              <w:t>900-041-49</w:t>
            </w:r>
          </w:p>
        </w:tc>
        <w:tc>
          <w:tcPr>
            <w:tcW w:w="455" w:type="pct"/>
            <w:vAlign w:val="center"/>
          </w:tcPr>
          <w:p w14:paraId="4D37495E">
            <w:pPr>
              <w:keepNext w:val="0"/>
              <w:keepLines w:val="0"/>
              <w:pageBreakBefore w:val="0"/>
              <w:kinsoku/>
              <w:wordWrap/>
              <w:overflowPunct/>
              <w:topLinePunct w:val="0"/>
              <w:autoSpaceDE/>
              <w:autoSpaceDN/>
              <w:bidi w:val="0"/>
              <w:ind w:left="0" w:leftChars="0" w:right="0" w:rightChars="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2</w:t>
            </w:r>
          </w:p>
        </w:tc>
        <w:tc>
          <w:tcPr>
            <w:tcW w:w="501" w:type="pct"/>
            <w:vAlign w:val="center"/>
          </w:tcPr>
          <w:p w14:paraId="2CCF44E6">
            <w:pPr>
              <w:pStyle w:val="98"/>
              <w:keepNext w:val="0"/>
              <w:keepLines w:val="0"/>
              <w:pageBreakBefore w:val="0"/>
              <w:kinsoku/>
              <w:wordWrap/>
              <w:overflowPunct/>
              <w:topLinePunct w:val="0"/>
              <w:autoSpaceDE/>
              <w:autoSpaceDN/>
              <w:bidi w:val="0"/>
              <w:adjustRightInd w:val="0"/>
              <w:snapToGrid w:val="0"/>
              <w:ind w:left="0" w:right="0"/>
              <w:textAlignment w:val="auto"/>
              <w:rPr>
                <w:rFonts w:eastAsia="宋体"/>
                <w:color w:val="auto"/>
                <w:sz w:val="21"/>
                <w:szCs w:val="21"/>
                <w:highlight w:val="none"/>
                <w:lang w:val="en-US"/>
              </w:rPr>
            </w:pPr>
            <w:r>
              <w:rPr>
                <w:rFonts w:hint="eastAsia" w:eastAsia="宋体"/>
                <w:color w:val="auto"/>
                <w:sz w:val="21"/>
                <w:szCs w:val="21"/>
                <w:highlight w:val="none"/>
                <w:lang w:val="en-US"/>
              </w:rPr>
              <w:t>过滤</w:t>
            </w:r>
          </w:p>
        </w:tc>
        <w:tc>
          <w:tcPr>
            <w:tcW w:w="327" w:type="pct"/>
            <w:vAlign w:val="center"/>
          </w:tcPr>
          <w:p w14:paraId="7CF355E6">
            <w:pPr>
              <w:pStyle w:val="98"/>
              <w:keepNext w:val="0"/>
              <w:keepLines w:val="0"/>
              <w:pageBreakBefore w:val="0"/>
              <w:kinsoku/>
              <w:wordWrap/>
              <w:overflowPunct/>
              <w:topLinePunct w:val="0"/>
              <w:autoSpaceDE/>
              <w:autoSpaceDN/>
              <w:bidi w:val="0"/>
              <w:adjustRightInd w:val="0"/>
              <w:snapToGrid w:val="0"/>
              <w:ind w:left="0" w:right="0"/>
              <w:textAlignment w:val="auto"/>
              <w:rPr>
                <w:rFonts w:eastAsia="宋体"/>
                <w:color w:val="auto"/>
                <w:sz w:val="21"/>
                <w:szCs w:val="21"/>
                <w:highlight w:val="none"/>
              </w:rPr>
            </w:pPr>
            <w:r>
              <w:rPr>
                <w:rFonts w:eastAsia="宋体"/>
                <w:color w:val="auto"/>
                <w:sz w:val="21"/>
                <w:szCs w:val="21"/>
                <w:highlight w:val="none"/>
                <w:lang w:val="en-US"/>
              </w:rPr>
              <w:t>固态</w:t>
            </w:r>
          </w:p>
        </w:tc>
        <w:tc>
          <w:tcPr>
            <w:tcW w:w="462" w:type="pct"/>
            <w:vAlign w:val="center"/>
          </w:tcPr>
          <w:p w14:paraId="700803F3">
            <w:pPr>
              <w:keepNext w:val="0"/>
              <w:keepLines w:val="0"/>
              <w:pageBreakBefore w:val="0"/>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有机物等</w:t>
            </w:r>
          </w:p>
        </w:tc>
        <w:tc>
          <w:tcPr>
            <w:tcW w:w="377" w:type="pct"/>
            <w:vAlign w:val="center"/>
          </w:tcPr>
          <w:p w14:paraId="45942AE2">
            <w:pPr>
              <w:keepNext w:val="0"/>
              <w:keepLines w:val="0"/>
              <w:pageBreakBefore w:val="0"/>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有机物</w:t>
            </w:r>
          </w:p>
        </w:tc>
        <w:tc>
          <w:tcPr>
            <w:tcW w:w="389" w:type="pct"/>
            <w:vAlign w:val="center"/>
          </w:tcPr>
          <w:p w14:paraId="745EB65C">
            <w:pPr>
              <w:keepNext w:val="0"/>
              <w:keepLines w:val="0"/>
              <w:pageBreakBefore w:val="0"/>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1次/季</w:t>
            </w:r>
          </w:p>
        </w:tc>
        <w:tc>
          <w:tcPr>
            <w:tcW w:w="297" w:type="pct"/>
            <w:vAlign w:val="center"/>
          </w:tcPr>
          <w:p w14:paraId="0986AD17">
            <w:pPr>
              <w:pStyle w:val="98"/>
              <w:keepNext w:val="0"/>
              <w:keepLines w:val="0"/>
              <w:pageBreakBefore w:val="0"/>
              <w:kinsoku/>
              <w:wordWrap/>
              <w:overflowPunct/>
              <w:topLinePunct w:val="0"/>
              <w:autoSpaceDE/>
              <w:autoSpaceDN/>
              <w:bidi w:val="0"/>
              <w:adjustRightInd w:val="0"/>
              <w:snapToGrid w:val="0"/>
              <w:ind w:left="0" w:right="0"/>
              <w:textAlignment w:val="auto"/>
              <w:rPr>
                <w:rFonts w:eastAsia="宋体"/>
                <w:color w:val="auto"/>
                <w:sz w:val="21"/>
                <w:szCs w:val="21"/>
                <w:highlight w:val="none"/>
              </w:rPr>
            </w:pPr>
            <w:r>
              <w:rPr>
                <w:rFonts w:eastAsia="宋体"/>
                <w:color w:val="auto"/>
                <w:sz w:val="21"/>
                <w:szCs w:val="21"/>
                <w:highlight w:val="none"/>
                <w:lang w:val="en-US"/>
              </w:rPr>
              <w:t>T/In</w:t>
            </w:r>
          </w:p>
        </w:tc>
        <w:tc>
          <w:tcPr>
            <w:tcW w:w="393" w:type="pct"/>
            <w:vMerge w:val="restart"/>
            <w:vAlign w:val="center"/>
          </w:tcPr>
          <w:p w14:paraId="011798AE">
            <w:pPr>
              <w:keepNext w:val="0"/>
              <w:keepLines w:val="0"/>
              <w:pageBreakBefore w:val="0"/>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分类安全存放，委托资质单位处置</w:t>
            </w:r>
          </w:p>
        </w:tc>
      </w:tr>
      <w:tr w14:paraId="3DECF34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79" w:hRule="atLeast"/>
        </w:trPr>
        <w:tc>
          <w:tcPr>
            <w:tcW w:w="247" w:type="pct"/>
            <w:vAlign w:val="center"/>
          </w:tcPr>
          <w:p w14:paraId="68CB41F9">
            <w:pPr>
              <w:keepNext w:val="0"/>
              <w:keepLines w:val="0"/>
              <w:pageBreakBefore w:val="0"/>
              <w:widowControl w:val="0"/>
              <w:numPr>
                <w:ilvl w:val="0"/>
                <w:numId w:val="21"/>
              </w:numPr>
              <w:tabs>
                <w:tab w:val="left" w:pos="0"/>
                <w:tab w:val="left" w:pos="284"/>
              </w:tabs>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sz w:val="21"/>
                <w:szCs w:val="21"/>
                <w:highlight w:val="none"/>
              </w:rPr>
            </w:pPr>
          </w:p>
        </w:tc>
        <w:tc>
          <w:tcPr>
            <w:tcW w:w="586" w:type="pct"/>
            <w:vAlign w:val="center"/>
          </w:tcPr>
          <w:p w14:paraId="5D7BEFCA">
            <w:pPr>
              <w:keepNext w:val="0"/>
              <w:keepLines w:val="0"/>
              <w:pageBreakBefore w:val="0"/>
              <w:kinsoku/>
              <w:wordWrap/>
              <w:overflowPunct/>
              <w:topLinePunct w:val="0"/>
              <w:autoSpaceDE/>
              <w:autoSpaceDN/>
              <w:bidi w:val="0"/>
              <w:ind w:left="0" w:right="0"/>
              <w:jc w:val="center"/>
              <w:textAlignment w:val="auto"/>
              <w:rPr>
                <w:color w:val="auto"/>
                <w:sz w:val="21"/>
                <w:szCs w:val="21"/>
                <w:highlight w:val="none"/>
              </w:rPr>
            </w:pPr>
            <w:r>
              <w:rPr>
                <w:rFonts w:hint="eastAsia" w:ascii="Times New Roman" w:hAnsi="Times New Roman" w:cs="Times New Roman"/>
                <w:color w:val="auto"/>
                <w:sz w:val="21"/>
                <w:szCs w:val="18"/>
                <w:highlight w:val="none"/>
              </w:rPr>
              <w:t>实验废液</w:t>
            </w:r>
          </w:p>
        </w:tc>
        <w:tc>
          <w:tcPr>
            <w:tcW w:w="444" w:type="pct"/>
            <w:vAlign w:val="center"/>
          </w:tcPr>
          <w:p w14:paraId="004E85B7">
            <w:pPr>
              <w:pStyle w:val="98"/>
              <w:keepNext w:val="0"/>
              <w:keepLines w:val="0"/>
              <w:pageBreakBefore w:val="0"/>
              <w:kinsoku/>
              <w:wordWrap/>
              <w:overflowPunct/>
              <w:topLinePunct w:val="0"/>
              <w:autoSpaceDE/>
              <w:autoSpaceDN/>
              <w:bidi w:val="0"/>
              <w:adjustRightInd w:val="0"/>
              <w:snapToGrid w:val="0"/>
              <w:ind w:left="0" w:right="0"/>
              <w:textAlignment w:val="auto"/>
              <w:rPr>
                <w:rFonts w:eastAsia="宋体"/>
                <w:color w:val="auto"/>
                <w:sz w:val="21"/>
                <w:szCs w:val="21"/>
                <w:highlight w:val="none"/>
              </w:rPr>
            </w:pPr>
            <w:r>
              <w:rPr>
                <w:rFonts w:eastAsia="宋体"/>
                <w:color w:val="auto"/>
                <w:sz w:val="21"/>
                <w:szCs w:val="21"/>
                <w:highlight w:val="none"/>
                <w:lang w:val="en-US"/>
              </w:rPr>
              <w:t>HW49</w:t>
            </w:r>
          </w:p>
        </w:tc>
        <w:tc>
          <w:tcPr>
            <w:tcW w:w="517" w:type="pct"/>
            <w:vAlign w:val="center"/>
          </w:tcPr>
          <w:p w14:paraId="49497DA9">
            <w:pPr>
              <w:pStyle w:val="98"/>
              <w:keepNext w:val="0"/>
              <w:keepLines w:val="0"/>
              <w:pageBreakBefore w:val="0"/>
              <w:kinsoku/>
              <w:wordWrap/>
              <w:overflowPunct/>
              <w:topLinePunct w:val="0"/>
              <w:autoSpaceDE/>
              <w:autoSpaceDN/>
              <w:bidi w:val="0"/>
              <w:adjustRightInd w:val="0"/>
              <w:snapToGrid w:val="0"/>
              <w:ind w:left="0" w:right="0"/>
              <w:textAlignment w:val="auto"/>
              <w:rPr>
                <w:rFonts w:eastAsia="宋体"/>
                <w:color w:val="auto"/>
                <w:sz w:val="21"/>
                <w:szCs w:val="21"/>
                <w:highlight w:val="none"/>
              </w:rPr>
            </w:pPr>
            <w:r>
              <w:rPr>
                <w:rFonts w:eastAsia="宋体"/>
                <w:color w:val="auto"/>
                <w:sz w:val="21"/>
                <w:szCs w:val="21"/>
                <w:highlight w:val="none"/>
                <w:lang w:val="en-US"/>
              </w:rPr>
              <w:t>900-04</w:t>
            </w:r>
            <w:r>
              <w:rPr>
                <w:rFonts w:hint="eastAsia" w:eastAsia="宋体"/>
                <w:color w:val="auto"/>
                <w:sz w:val="21"/>
                <w:szCs w:val="21"/>
                <w:highlight w:val="none"/>
                <w:lang w:val="en-US"/>
              </w:rPr>
              <w:t>7</w:t>
            </w:r>
            <w:r>
              <w:rPr>
                <w:rFonts w:eastAsia="宋体"/>
                <w:color w:val="auto"/>
                <w:sz w:val="21"/>
                <w:szCs w:val="21"/>
                <w:highlight w:val="none"/>
                <w:lang w:val="en-US"/>
              </w:rPr>
              <w:t>-49</w:t>
            </w:r>
          </w:p>
        </w:tc>
        <w:tc>
          <w:tcPr>
            <w:tcW w:w="455" w:type="pct"/>
            <w:vAlign w:val="center"/>
          </w:tcPr>
          <w:p w14:paraId="5FCFE628">
            <w:pPr>
              <w:keepNext w:val="0"/>
              <w:keepLines w:val="0"/>
              <w:pageBreakBefore w:val="0"/>
              <w:kinsoku/>
              <w:wordWrap/>
              <w:overflowPunct/>
              <w:topLinePunct w:val="0"/>
              <w:autoSpaceDE/>
              <w:autoSpaceDN/>
              <w:bidi w:val="0"/>
              <w:ind w:left="0" w:leftChars="0" w:right="0" w:rightChars="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lang w:val="en-US" w:eastAsia="zh-CN"/>
              </w:rPr>
              <w:t>0.02</w:t>
            </w:r>
          </w:p>
        </w:tc>
        <w:tc>
          <w:tcPr>
            <w:tcW w:w="501" w:type="pct"/>
            <w:vMerge w:val="restart"/>
            <w:vAlign w:val="center"/>
          </w:tcPr>
          <w:p w14:paraId="56A36A79">
            <w:pPr>
              <w:keepNext w:val="0"/>
              <w:keepLines w:val="0"/>
              <w:pageBreakBefore w:val="0"/>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实验</w:t>
            </w:r>
          </w:p>
        </w:tc>
        <w:tc>
          <w:tcPr>
            <w:tcW w:w="327" w:type="pct"/>
            <w:vAlign w:val="center"/>
          </w:tcPr>
          <w:p w14:paraId="1623289D">
            <w:pPr>
              <w:pStyle w:val="98"/>
              <w:keepNext w:val="0"/>
              <w:keepLines w:val="0"/>
              <w:pageBreakBefore w:val="0"/>
              <w:kinsoku/>
              <w:wordWrap/>
              <w:overflowPunct/>
              <w:topLinePunct w:val="0"/>
              <w:autoSpaceDE/>
              <w:autoSpaceDN/>
              <w:bidi w:val="0"/>
              <w:adjustRightInd w:val="0"/>
              <w:snapToGrid w:val="0"/>
              <w:ind w:left="0" w:right="0"/>
              <w:textAlignment w:val="auto"/>
              <w:rPr>
                <w:rFonts w:eastAsia="宋体"/>
                <w:color w:val="auto"/>
                <w:sz w:val="21"/>
                <w:szCs w:val="21"/>
                <w:highlight w:val="none"/>
              </w:rPr>
            </w:pPr>
            <w:r>
              <w:rPr>
                <w:rFonts w:hint="eastAsia" w:eastAsia="宋体"/>
                <w:color w:val="auto"/>
                <w:sz w:val="21"/>
                <w:szCs w:val="21"/>
                <w:highlight w:val="none"/>
                <w:lang w:val="en-US"/>
              </w:rPr>
              <w:t>液</w:t>
            </w:r>
            <w:r>
              <w:rPr>
                <w:rFonts w:eastAsia="宋体"/>
                <w:color w:val="auto"/>
                <w:sz w:val="21"/>
                <w:szCs w:val="21"/>
                <w:highlight w:val="none"/>
                <w:lang w:val="en-US"/>
              </w:rPr>
              <w:t>态</w:t>
            </w:r>
          </w:p>
        </w:tc>
        <w:tc>
          <w:tcPr>
            <w:tcW w:w="462" w:type="pct"/>
            <w:vAlign w:val="center"/>
          </w:tcPr>
          <w:p w14:paraId="482AEAFD">
            <w:pPr>
              <w:pStyle w:val="98"/>
              <w:keepNext w:val="0"/>
              <w:keepLines w:val="0"/>
              <w:pageBreakBefore w:val="0"/>
              <w:kinsoku/>
              <w:wordWrap/>
              <w:overflowPunct/>
              <w:topLinePunct w:val="0"/>
              <w:autoSpaceDE/>
              <w:autoSpaceDN/>
              <w:bidi w:val="0"/>
              <w:adjustRightInd w:val="0"/>
              <w:snapToGrid w:val="0"/>
              <w:ind w:left="0" w:right="0"/>
              <w:textAlignment w:val="auto"/>
              <w:rPr>
                <w:rFonts w:eastAsia="宋体"/>
                <w:color w:val="auto"/>
                <w:sz w:val="21"/>
                <w:szCs w:val="21"/>
                <w:highlight w:val="none"/>
              </w:rPr>
            </w:pPr>
            <w:r>
              <w:rPr>
                <w:rFonts w:hint="eastAsia" w:eastAsia="宋体"/>
                <w:color w:val="auto"/>
                <w:sz w:val="21"/>
                <w:szCs w:val="21"/>
                <w:highlight w:val="none"/>
                <w:lang w:val="en-US"/>
              </w:rPr>
              <w:t>化学试剂等</w:t>
            </w:r>
          </w:p>
        </w:tc>
        <w:tc>
          <w:tcPr>
            <w:tcW w:w="377" w:type="pct"/>
            <w:vAlign w:val="center"/>
          </w:tcPr>
          <w:p w14:paraId="535F41B5">
            <w:pPr>
              <w:keepNext w:val="0"/>
              <w:keepLines w:val="0"/>
              <w:pageBreakBefore w:val="0"/>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sz w:val="21"/>
                <w:szCs w:val="21"/>
                <w:highlight w:val="none"/>
              </w:rPr>
            </w:pPr>
            <w:r>
              <w:rPr>
                <w:rFonts w:hint="eastAsia"/>
                <w:color w:val="auto"/>
                <w:sz w:val="21"/>
                <w:szCs w:val="21"/>
                <w:highlight w:val="none"/>
              </w:rPr>
              <w:t>化学试剂</w:t>
            </w:r>
          </w:p>
        </w:tc>
        <w:tc>
          <w:tcPr>
            <w:tcW w:w="389" w:type="pct"/>
            <w:vAlign w:val="center"/>
          </w:tcPr>
          <w:p w14:paraId="4A90E693">
            <w:pPr>
              <w:keepNext w:val="0"/>
              <w:keepLines w:val="0"/>
              <w:pageBreakBefore w:val="0"/>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1次/</w:t>
            </w:r>
            <w:r>
              <w:rPr>
                <w:rFonts w:hint="eastAsia" w:ascii="Times New Roman" w:hAnsi="Times New Roman" w:cs="Times New Roman"/>
                <w:color w:val="auto"/>
                <w:sz w:val="21"/>
                <w:szCs w:val="21"/>
                <w:highlight w:val="none"/>
              </w:rPr>
              <w:t>天</w:t>
            </w:r>
          </w:p>
        </w:tc>
        <w:tc>
          <w:tcPr>
            <w:tcW w:w="297" w:type="pct"/>
            <w:vAlign w:val="center"/>
          </w:tcPr>
          <w:p w14:paraId="60DDF4DC">
            <w:pPr>
              <w:pStyle w:val="98"/>
              <w:keepNext w:val="0"/>
              <w:keepLines w:val="0"/>
              <w:pageBreakBefore w:val="0"/>
              <w:kinsoku/>
              <w:wordWrap/>
              <w:overflowPunct/>
              <w:topLinePunct w:val="0"/>
              <w:autoSpaceDE/>
              <w:autoSpaceDN/>
              <w:bidi w:val="0"/>
              <w:adjustRightInd w:val="0"/>
              <w:snapToGrid w:val="0"/>
              <w:ind w:left="0" w:right="0"/>
              <w:textAlignment w:val="auto"/>
              <w:rPr>
                <w:rFonts w:eastAsia="宋体"/>
                <w:color w:val="auto"/>
                <w:sz w:val="21"/>
                <w:szCs w:val="21"/>
                <w:highlight w:val="none"/>
              </w:rPr>
            </w:pPr>
            <w:r>
              <w:rPr>
                <w:rFonts w:eastAsia="宋体"/>
                <w:color w:val="auto"/>
                <w:sz w:val="21"/>
                <w:szCs w:val="21"/>
                <w:highlight w:val="none"/>
                <w:lang w:val="en-US"/>
              </w:rPr>
              <w:t>T/</w:t>
            </w:r>
            <w:r>
              <w:rPr>
                <w:rFonts w:hint="eastAsia" w:eastAsia="宋体"/>
                <w:color w:val="auto"/>
                <w:sz w:val="21"/>
                <w:szCs w:val="21"/>
                <w:highlight w:val="none"/>
                <w:lang w:val="en-US"/>
              </w:rPr>
              <w:t>C/</w:t>
            </w:r>
            <w:r>
              <w:rPr>
                <w:rFonts w:eastAsia="宋体"/>
                <w:color w:val="auto"/>
                <w:sz w:val="21"/>
                <w:szCs w:val="21"/>
                <w:highlight w:val="none"/>
                <w:lang w:val="en-US"/>
              </w:rPr>
              <w:t>I</w:t>
            </w:r>
            <w:r>
              <w:rPr>
                <w:rFonts w:hint="eastAsia" w:eastAsia="宋体"/>
                <w:color w:val="auto"/>
                <w:sz w:val="21"/>
                <w:szCs w:val="21"/>
                <w:highlight w:val="none"/>
                <w:lang w:val="en-US"/>
              </w:rPr>
              <w:t>/R</w:t>
            </w:r>
          </w:p>
        </w:tc>
        <w:tc>
          <w:tcPr>
            <w:tcW w:w="393" w:type="pct"/>
            <w:vMerge w:val="continue"/>
            <w:vAlign w:val="center"/>
          </w:tcPr>
          <w:p w14:paraId="5558198C">
            <w:pPr>
              <w:keepNext w:val="0"/>
              <w:keepLines w:val="0"/>
              <w:pageBreakBefore w:val="0"/>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sz w:val="21"/>
                <w:szCs w:val="21"/>
                <w:highlight w:val="none"/>
              </w:rPr>
            </w:pPr>
          </w:p>
        </w:tc>
      </w:tr>
      <w:tr w14:paraId="3998055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79" w:hRule="atLeast"/>
        </w:trPr>
        <w:tc>
          <w:tcPr>
            <w:tcW w:w="247" w:type="pct"/>
            <w:vAlign w:val="center"/>
          </w:tcPr>
          <w:p w14:paraId="358F675F">
            <w:pPr>
              <w:keepNext w:val="0"/>
              <w:keepLines w:val="0"/>
              <w:pageBreakBefore w:val="0"/>
              <w:widowControl w:val="0"/>
              <w:numPr>
                <w:ilvl w:val="0"/>
                <w:numId w:val="21"/>
              </w:numPr>
              <w:tabs>
                <w:tab w:val="left" w:pos="0"/>
                <w:tab w:val="left" w:pos="284"/>
              </w:tabs>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sz w:val="21"/>
                <w:szCs w:val="21"/>
                <w:highlight w:val="none"/>
              </w:rPr>
            </w:pPr>
          </w:p>
        </w:tc>
        <w:tc>
          <w:tcPr>
            <w:tcW w:w="586" w:type="pct"/>
            <w:vAlign w:val="center"/>
          </w:tcPr>
          <w:p w14:paraId="58FB0B5C">
            <w:pPr>
              <w:keepNext w:val="0"/>
              <w:keepLines w:val="0"/>
              <w:pageBreakBefore w:val="0"/>
              <w:kinsoku/>
              <w:wordWrap/>
              <w:overflowPunct/>
              <w:topLinePunct w:val="0"/>
              <w:autoSpaceDE/>
              <w:autoSpaceDN/>
              <w:bidi w:val="0"/>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18"/>
                <w:highlight w:val="none"/>
              </w:rPr>
              <w:t>废实验耗材</w:t>
            </w:r>
          </w:p>
        </w:tc>
        <w:tc>
          <w:tcPr>
            <w:tcW w:w="444" w:type="pct"/>
            <w:vAlign w:val="center"/>
          </w:tcPr>
          <w:p w14:paraId="68176A3E">
            <w:pPr>
              <w:pStyle w:val="98"/>
              <w:keepNext w:val="0"/>
              <w:keepLines w:val="0"/>
              <w:pageBreakBefore w:val="0"/>
              <w:kinsoku/>
              <w:wordWrap/>
              <w:overflowPunct/>
              <w:topLinePunct w:val="0"/>
              <w:autoSpaceDE/>
              <w:autoSpaceDN/>
              <w:bidi w:val="0"/>
              <w:adjustRightInd w:val="0"/>
              <w:snapToGrid w:val="0"/>
              <w:ind w:left="0" w:right="0"/>
              <w:textAlignment w:val="auto"/>
              <w:rPr>
                <w:rFonts w:eastAsia="宋体"/>
                <w:color w:val="auto"/>
                <w:sz w:val="21"/>
                <w:szCs w:val="21"/>
                <w:highlight w:val="none"/>
              </w:rPr>
            </w:pPr>
            <w:r>
              <w:rPr>
                <w:rFonts w:eastAsia="宋体"/>
                <w:color w:val="auto"/>
                <w:sz w:val="21"/>
                <w:szCs w:val="21"/>
                <w:highlight w:val="none"/>
                <w:lang w:val="en-US"/>
              </w:rPr>
              <w:t>HW49</w:t>
            </w:r>
          </w:p>
        </w:tc>
        <w:tc>
          <w:tcPr>
            <w:tcW w:w="517" w:type="pct"/>
            <w:vAlign w:val="center"/>
          </w:tcPr>
          <w:p w14:paraId="038B7846">
            <w:pPr>
              <w:pStyle w:val="98"/>
              <w:keepNext w:val="0"/>
              <w:keepLines w:val="0"/>
              <w:pageBreakBefore w:val="0"/>
              <w:kinsoku/>
              <w:wordWrap/>
              <w:overflowPunct/>
              <w:topLinePunct w:val="0"/>
              <w:autoSpaceDE/>
              <w:autoSpaceDN/>
              <w:bidi w:val="0"/>
              <w:adjustRightInd w:val="0"/>
              <w:snapToGrid w:val="0"/>
              <w:ind w:left="0" w:right="0"/>
              <w:textAlignment w:val="auto"/>
              <w:rPr>
                <w:rFonts w:eastAsia="宋体"/>
                <w:color w:val="auto"/>
                <w:sz w:val="21"/>
                <w:szCs w:val="21"/>
                <w:highlight w:val="none"/>
              </w:rPr>
            </w:pPr>
            <w:r>
              <w:rPr>
                <w:rFonts w:eastAsia="宋体"/>
                <w:color w:val="auto"/>
                <w:sz w:val="21"/>
                <w:szCs w:val="21"/>
                <w:highlight w:val="none"/>
                <w:lang w:val="en-US"/>
              </w:rPr>
              <w:t>900-04</w:t>
            </w:r>
            <w:r>
              <w:rPr>
                <w:rFonts w:hint="eastAsia" w:eastAsia="宋体"/>
                <w:color w:val="auto"/>
                <w:sz w:val="21"/>
                <w:szCs w:val="21"/>
                <w:highlight w:val="none"/>
                <w:lang w:val="en-US"/>
              </w:rPr>
              <w:t>7</w:t>
            </w:r>
            <w:r>
              <w:rPr>
                <w:rFonts w:eastAsia="宋体"/>
                <w:color w:val="auto"/>
                <w:sz w:val="21"/>
                <w:szCs w:val="21"/>
                <w:highlight w:val="none"/>
                <w:lang w:val="en-US"/>
              </w:rPr>
              <w:t>-49</w:t>
            </w:r>
          </w:p>
        </w:tc>
        <w:tc>
          <w:tcPr>
            <w:tcW w:w="455" w:type="pct"/>
            <w:vAlign w:val="center"/>
          </w:tcPr>
          <w:p w14:paraId="0DD45AD6">
            <w:pPr>
              <w:keepNext w:val="0"/>
              <w:keepLines w:val="0"/>
              <w:pageBreakBefore w:val="0"/>
              <w:kinsoku/>
              <w:wordWrap/>
              <w:overflowPunct/>
              <w:topLinePunct w:val="0"/>
              <w:autoSpaceDE/>
              <w:autoSpaceDN/>
              <w:bidi w:val="0"/>
              <w:ind w:left="0" w:leftChars="0" w:right="0" w:rightChars="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0.5</w:t>
            </w:r>
          </w:p>
        </w:tc>
        <w:tc>
          <w:tcPr>
            <w:tcW w:w="501" w:type="pct"/>
            <w:vMerge w:val="continue"/>
            <w:vAlign w:val="center"/>
          </w:tcPr>
          <w:p w14:paraId="283591D0">
            <w:pPr>
              <w:keepNext w:val="0"/>
              <w:keepLines w:val="0"/>
              <w:pageBreakBefore w:val="0"/>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sz w:val="21"/>
                <w:szCs w:val="21"/>
                <w:highlight w:val="none"/>
              </w:rPr>
            </w:pPr>
          </w:p>
        </w:tc>
        <w:tc>
          <w:tcPr>
            <w:tcW w:w="327" w:type="pct"/>
            <w:vAlign w:val="center"/>
          </w:tcPr>
          <w:p w14:paraId="4D9D715D">
            <w:pPr>
              <w:pStyle w:val="98"/>
              <w:keepNext w:val="0"/>
              <w:keepLines w:val="0"/>
              <w:pageBreakBefore w:val="0"/>
              <w:kinsoku/>
              <w:wordWrap/>
              <w:overflowPunct/>
              <w:topLinePunct w:val="0"/>
              <w:autoSpaceDE/>
              <w:autoSpaceDN/>
              <w:bidi w:val="0"/>
              <w:adjustRightInd w:val="0"/>
              <w:snapToGrid w:val="0"/>
              <w:ind w:left="0" w:right="0"/>
              <w:textAlignment w:val="auto"/>
              <w:rPr>
                <w:rFonts w:eastAsia="宋体"/>
                <w:color w:val="auto"/>
                <w:sz w:val="21"/>
                <w:szCs w:val="21"/>
                <w:highlight w:val="none"/>
              </w:rPr>
            </w:pPr>
            <w:r>
              <w:rPr>
                <w:rFonts w:eastAsia="宋体"/>
                <w:color w:val="auto"/>
                <w:sz w:val="21"/>
                <w:szCs w:val="21"/>
                <w:highlight w:val="none"/>
                <w:lang w:val="en-US"/>
              </w:rPr>
              <w:t>固态</w:t>
            </w:r>
          </w:p>
        </w:tc>
        <w:tc>
          <w:tcPr>
            <w:tcW w:w="462" w:type="pct"/>
            <w:vAlign w:val="center"/>
          </w:tcPr>
          <w:p w14:paraId="221602B5">
            <w:pPr>
              <w:pStyle w:val="98"/>
              <w:keepNext w:val="0"/>
              <w:keepLines w:val="0"/>
              <w:pageBreakBefore w:val="0"/>
              <w:kinsoku/>
              <w:wordWrap/>
              <w:overflowPunct/>
              <w:topLinePunct w:val="0"/>
              <w:autoSpaceDE/>
              <w:autoSpaceDN/>
              <w:bidi w:val="0"/>
              <w:adjustRightInd w:val="0"/>
              <w:snapToGrid w:val="0"/>
              <w:ind w:left="0" w:right="0"/>
              <w:textAlignment w:val="auto"/>
              <w:rPr>
                <w:rFonts w:eastAsia="宋体"/>
                <w:color w:val="auto"/>
                <w:sz w:val="21"/>
                <w:szCs w:val="21"/>
                <w:highlight w:val="none"/>
              </w:rPr>
            </w:pPr>
            <w:r>
              <w:rPr>
                <w:rFonts w:hint="eastAsia" w:eastAsia="宋体"/>
                <w:color w:val="auto"/>
                <w:sz w:val="21"/>
                <w:szCs w:val="21"/>
                <w:highlight w:val="none"/>
                <w:lang w:val="en-US"/>
              </w:rPr>
              <w:t>玻璃、化学试剂</w:t>
            </w:r>
          </w:p>
        </w:tc>
        <w:tc>
          <w:tcPr>
            <w:tcW w:w="377" w:type="pct"/>
            <w:vAlign w:val="center"/>
          </w:tcPr>
          <w:p w14:paraId="488C3719">
            <w:pPr>
              <w:keepNext w:val="0"/>
              <w:keepLines w:val="0"/>
              <w:pageBreakBefore w:val="0"/>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sz w:val="21"/>
                <w:szCs w:val="21"/>
                <w:highlight w:val="none"/>
              </w:rPr>
            </w:pPr>
            <w:r>
              <w:rPr>
                <w:rFonts w:hint="eastAsia"/>
                <w:color w:val="auto"/>
                <w:sz w:val="21"/>
                <w:szCs w:val="21"/>
                <w:highlight w:val="none"/>
              </w:rPr>
              <w:t>化学试剂</w:t>
            </w:r>
          </w:p>
        </w:tc>
        <w:tc>
          <w:tcPr>
            <w:tcW w:w="389" w:type="pct"/>
            <w:vAlign w:val="center"/>
          </w:tcPr>
          <w:p w14:paraId="0243766C">
            <w:pPr>
              <w:keepNext w:val="0"/>
              <w:keepLines w:val="0"/>
              <w:pageBreakBefore w:val="0"/>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1</w:t>
            </w:r>
            <w:r>
              <w:rPr>
                <w:rFonts w:ascii="Times New Roman" w:hAnsi="Times New Roman" w:cs="Times New Roman"/>
                <w:color w:val="auto"/>
                <w:sz w:val="21"/>
                <w:szCs w:val="21"/>
                <w:highlight w:val="none"/>
              </w:rPr>
              <w:t>次/</w:t>
            </w:r>
            <w:r>
              <w:rPr>
                <w:rFonts w:hint="eastAsia" w:ascii="Times New Roman" w:hAnsi="Times New Roman" w:cs="Times New Roman"/>
                <w:color w:val="auto"/>
                <w:sz w:val="21"/>
                <w:szCs w:val="21"/>
                <w:highlight w:val="none"/>
              </w:rPr>
              <w:t>天</w:t>
            </w:r>
          </w:p>
        </w:tc>
        <w:tc>
          <w:tcPr>
            <w:tcW w:w="297" w:type="pct"/>
            <w:vAlign w:val="center"/>
          </w:tcPr>
          <w:p w14:paraId="5D0C0D13">
            <w:pPr>
              <w:pStyle w:val="98"/>
              <w:keepNext w:val="0"/>
              <w:keepLines w:val="0"/>
              <w:pageBreakBefore w:val="0"/>
              <w:kinsoku/>
              <w:wordWrap/>
              <w:overflowPunct/>
              <w:topLinePunct w:val="0"/>
              <w:autoSpaceDE/>
              <w:autoSpaceDN/>
              <w:bidi w:val="0"/>
              <w:adjustRightInd w:val="0"/>
              <w:snapToGrid w:val="0"/>
              <w:ind w:left="0" w:right="0"/>
              <w:textAlignment w:val="auto"/>
              <w:rPr>
                <w:rFonts w:eastAsia="宋体"/>
                <w:color w:val="auto"/>
                <w:sz w:val="21"/>
                <w:szCs w:val="21"/>
                <w:highlight w:val="none"/>
              </w:rPr>
            </w:pPr>
            <w:r>
              <w:rPr>
                <w:rFonts w:eastAsia="宋体"/>
                <w:color w:val="auto"/>
                <w:sz w:val="21"/>
                <w:szCs w:val="21"/>
                <w:highlight w:val="none"/>
                <w:lang w:val="en-US"/>
              </w:rPr>
              <w:t>T/</w:t>
            </w:r>
            <w:r>
              <w:rPr>
                <w:rFonts w:hint="eastAsia" w:eastAsia="宋体"/>
                <w:color w:val="auto"/>
                <w:sz w:val="21"/>
                <w:szCs w:val="21"/>
                <w:highlight w:val="none"/>
                <w:lang w:val="en-US"/>
              </w:rPr>
              <w:t>C/</w:t>
            </w:r>
            <w:r>
              <w:rPr>
                <w:rFonts w:eastAsia="宋体"/>
                <w:color w:val="auto"/>
                <w:sz w:val="21"/>
                <w:szCs w:val="21"/>
                <w:highlight w:val="none"/>
                <w:lang w:val="en-US"/>
              </w:rPr>
              <w:t>I</w:t>
            </w:r>
            <w:r>
              <w:rPr>
                <w:rFonts w:hint="eastAsia" w:eastAsia="宋体"/>
                <w:color w:val="auto"/>
                <w:sz w:val="21"/>
                <w:szCs w:val="21"/>
                <w:highlight w:val="none"/>
                <w:lang w:val="en-US"/>
              </w:rPr>
              <w:t>/R</w:t>
            </w:r>
          </w:p>
        </w:tc>
        <w:tc>
          <w:tcPr>
            <w:tcW w:w="393" w:type="pct"/>
            <w:vMerge w:val="continue"/>
            <w:vAlign w:val="center"/>
          </w:tcPr>
          <w:p w14:paraId="00FC294B">
            <w:pPr>
              <w:keepNext w:val="0"/>
              <w:keepLines w:val="0"/>
              <w:pageBreakBefore w:val="0"/>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sz w:val="21"/>
                <w:szCs w:val="21"/>
                <w:highlight w:val="none"/>
              </w:rPr>
            </w:pPr>
          </w:p>
        </w:tc>
      </w:tr>
      <w:tr w14:paraId="779C97D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79" w:hRule="atLeast"/>
        </w:trPr>
        <w:tc>
          <w:tcPr>
            <w:tcW w:w="247" w:type="pct"/>
            <w:vAlign w:val="center"/>
          </w:tcPr>
          <w:p w14:paraId="08E9E5F2">
            <w:pPr>
              <w:keepNext w:val="0"/>
              <w:keepLines w:val="0"/>
              <w:pageBreakBefore w:val="0"/>
              <w:widowControl w:val="0"/>
              <w:numPr>
                <w:ilvl w:val="0"/>
                <w:numId w:val="21"/>
              </w:numPr>
              <w:tabs>
                <w:tab w:val="left" w:pos="0"/>
                <w:tab w:val="left" w:pos="284"/>
              </w:tabs>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sz w:val="21"/>
                <w:szCs w:val="21"/>
                <w:highlight w:val="none"/>
              </w:rPr>
            </w:pPr>
          </w:p>
        </w:tc>
        <w:tc>
          <w:tcPr>
            <w:tcW w:w="586" w:type="pct"/>
            <w:vAlign w:val="center"/>
          </w:tcPr>
          <w:p w14:paraId="3B679CE4">
            <w:pPr>
              <w:keepNext w:val="0"/>
              <w:keepLines w:val="0"/>
              <w:pageBreakBefore w:val="0"/>
              <w:kinsoku/>
              <w:wordWrap/>
              <w:overflowPunct/>
              <w:topLinePunct w:val="0"/>
              <w:autoSpaceDE/>
              <w:autoSpaceDN/>
              <w:bidi w:val="0"/>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18"/>
                <w:highlight w:val="none"/>
              </w:rPr>
              <w:t>废包装桶（瓶）</w:t>
            </w:r>
          </w:p>
        </w:tc>
        <w:tc>
          <w:tcPr>
            <w:tcW w:w="444" w:type="pct"/>
            <w:vAlign w:val="center"/>
          </w:tcPr>
          <w:p w14:paraId="6AF311B3">
            <w:pPr>
              <w:pStyle w:val="98"/>
              <w:keepNext w:val="0"/>
              <w:keepLines w:val="0"/>
              <w:pageBreakBefore w:val="0"/>
              <w:kinsoku/>
              <w:wordWrap/>
              <w:overflowPunct/>
              <w:topLinePunct w:val="0"/>
              <w:autoSpaceDE/>
              <w:autoSpaceDN/>
              <w:bidi w:val="0"/>
              <w:adjustRightInd w:val="0"/>
              <w:snapToGrid w:val="0"/>
              <w:ind w:left="0" w:right="0"/>
              <w:textAlignment w:val="auto"/>
              <w:rPr>
                <w:color w:val="auto"/>
                <w:sz w:val="21"/>
                <w:szCs w:val="21"/>
                <w:highlight w:val="none"/>
              </w:rPr>
            </w:pPr>
            <w:r>
              <w:rPr>
                <w:rFonts w:eastAsia="宋体"/>
                <w:color w:val="auto"/>
                <w:sz w:val="21"/>
                <w:szCs w:val="21"/>
                <w:highlight w:val="none"/>
                <w:lang w:val="en-US"/>
              </w:rPr>
              <w:t>HW49</w:t>
            </w:r>
          </w:p>
        </w:tc>
        <w:tc>
          <w:tcPr>
            <w:tcW w:w="517" w:type="pct"/>
            <w:vAlign w:val="center"/>
          </w:tcPr>
          <w:p w14:paraId="1ABE73D5">
            <w:pPr>
              <w:pStyle w:val="98"/>
              <w:keepNext w:val="0"/>
              <w:keepLines w:val="0"/>
              <w:pageBreakBefore w:val="0"/>
              <w:kinsoku/>
              <w:wordWrap/>
              <w:overflowPunct/>
              <w:topLinePunct w:val="0"/>
              <w:autoSpaceDE/>
              <w:autoSpaceDN/>
              <w:bidi w:val="0"/>
              <w:adjustRightInd w:val="0"/>
              <w:snapToGrid w:val="0"/>
              <w:ind w:left="0" w:right="0"/>
              <w:textAlignment w:val="auto"/>
              <w:rPr>
                <w:rFonts w:eastAsia="宋体"/>
                <w:color w:val="auto"/>
                <w:sz w:val="21"/>
                <w:szCs w:val="21"/>
                <w:highlight w:val="none"/>
              </w:rPr>
            </w:pPr>
            <w:r>
              <w:rPr>
                <w:rFonts w:eastAsia="宋体"/>
                <w:color w:val="auto"/>
                <w:sz w:val="21"/>
                <w:szCs w:val="21"/>
                <w:highlight w:val="none"/>
                <w:lang w:val="en-US"/>
              </w:rPr>
              <w:t>900-041-49</w:t>
            </w:r>
          </w:p>
        </w:tc>
        <w:tc>
          <w:tcPr>
            <w:tcW w:w="455" w:type="pct"/>
            <w:vAlign w:val="center"/>
          </w:tcPr>
          <w:p w14:paraId="0FAB93D6">
            <w:pPr>
              <w:keepNext w:val="0"/>
              <w:keepLines w:val="0"/>
              <w:pageBreakBefore w:val="0"/>
              <w:kinsoku/>
              <w:wordWrap/>
              <w:overflowPunct/>
              <w:topLinePunct w:val="0"/>
              <w:autoSpaceDE/>
              <w:autoSpaceDN/>
              <w:bidi w:val="0"/>
              <w:ind w:left="0" w:leftChars="0" w:right="0" w:rightChars="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lang w:val="en-US" w:eastAsia="zh-CN"/>
              </w:rPr>
              <w:t>7.79</w:t>
            </w:r>
          </w:p>
        </w:tc>
        <w:tc>
          <w:tcPr>
            <w:tcW w:w="501" w:type="pct"/>
            <w:vMerge w:val="restart"/>
            <w:vAlign w:val="center"/>
          </w:tcPr>
          <w:p w14:paraId="1E612043">
            <w:pPr>
              <w:pStyle w:val="98"/>
              <w:keepNext w:val="0"/>
              <w:keepLines w:val="0"/>
              <w:pageBreakBefore w:val="0"/>
              <w:kinsoku/>
              <w:wordWrap/>
              <w:overflowPunct/>
              <w:topLinePunct w:val="0"/>
              <w:autoSpaceDE/>
              <w:autoSpaceDN/>
              <w:bidi w:val="0"/>
              <w:adjustRightInd w:val="0"/>
              <w:snapToGrid w:val="0"/>
              <w:ind w:left="0" w:right="0"/>
              <w:textAlignment w:val="auto"/>
              <w:rPr>
                <w:rFonts w:eastAsia="宋体"/>
                <w:color w:val="auto"/>
                <w:sz w:val="21"/>
                <w:szCs w:val="21"/>
                <w:highlight w:val="none"/>
                <w:lang w:val="en-US"/>
              </w:rPr>
            </w:pPr>
            <w:r>
              <w:rPr>
                <w:rFonts w:hint="eastAsia" w:eastAsia="宋体"/>
                <w:color w:val="auto"/>
                <w:sz w:val="21"/>
                <w:szCs w:val="21"/>
                <w:highlight w:val="none"/>
                <w:lang w:val="en-US"/>
              </w:rPr>
              <w:t>原料包装</w:t>
            </w:r>
          </w:p>
        </w:tc>
        <w:tc>
          <w:tcPr>
            <w:tcW w:w="327" w:type="pct"/>
            <w:vAlign w:val="center"/>
          </w:tcPr>
          <w:p w14:paraId="1E0009CB">
            <w:pPr>
              <w:keepNext w:val="0"/>
              <w:keepLines w:val="0"/>
              <w:pageBreakBefore w:val="0"/>
              <w:kinsoku/>
              <w:wordWrap/>
              <w:overflowPunct/>
              <w:topLinePunct w:val="0"/>
              <w:autoSpaceDE/>
              <w:autoSpaceDN/>
              <w:bidi w:val="0"/>
              <w:adjustRightInd w:val="0"/>
              <w:snapToGrid w:val="0"/>
              <w:ind w:left="0" w:right="0"/>
              <w:jc w:val="center"/>
              <w:textAlignment w:val="auto"/>
              <w:rPr>
                <w:color w:val="auto"/>
                <w:sz w:val="21"/>
                <w:szCs w:val="21"/>
                <w:highlight w:val="none"/>
              </w:rPr>
            </w:pPr>
            <w:r>
              <w:rPr>
                <w:color w:val="auto"/>
                <w:sz w:val="21"/>
                <w:szCs w:val="21"/>
                <w:highlight w:val="none"/>
              </w:rPr>
              <w:t>固态</w:t>
            </w:r>
          </w:p>
        </w:tc>
        <w:tc>
          <w:tcPr>
            <w:tcW w:w="462" w:type="pct"/>
            <w:vAlign w:val="center"/>
          </w:tcPr>
          <w:p w14:paraId="53219FF1">
            <w:pPr>
              <w:pStyle w:val="98"/>
              <w:keepNext w:val="0"/>
              <w:keepLines w:val="0"/>
              <w:pageBreakBefore w:val="0"/>
              <w:kinsoku/>
              <w:wordWrap/>
              <w:overflowPunct/>
              <w:topLinePunct w:val="0"/>
              <w:autoSpaceDE/>
              <w:autoSpaceDN/>
              <w:bidi w:val="0"/>
              <w:adjustRightInd w:val="0"/>
              <w:snapToGrid w:val="0"/>
              <w:ind w:left="0" w:right="0"/>
              <w:textAlignment w:val="auto"/>
              <w:rPr>
                <w:rFonts w:eastAsia="宋体"/>
                <w:color w:val="auto"/>
                <w:sz w:val="21"/>
                <w:szCs w:val="21"/>
                <w:highlight w:val="none"/>
              </w:rPr>
            </w:pPr>
            <w:r>
              <w:rPr>
                <w:rFonts w:hint="eastAsia" w:eastAsia="宋体"/>
                <w:color w:val="auto"/>
                <w:sz w:val="21"/>
                <w:szCs w:val="21"/>
                <w:highlight w:val="none"/>
                <w:lang w:val="en-US"/>
              </w:rPr>
              <w:t>塑料桶、有机物</w:t>
            </w:r>
          </w:p>
        </w:tc>
        <w:tc>
          <w:tcPr>
            <w:tcW w:w="377" w:type="pct"/>
            <w:vAlign w:val="center"/>
          </w:tcPr>
          <w:p w14:paraId="2BDBE0A2">
            <w:pPr>
              <w:keepNext w:val="0"/>
              <w:keepLines w:val="0"/>
              <w:pageBreakBefore w:val="0"/>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有机物</w:t>
            </w:r>
          </w:p>
        </w:tc>
        <w:tc>
          <w:tcPr>
            <w:tcW w:w="389" w:type="pct"/>
            <w:vAlign w:val="center"/>
          </w:tcPr>
          <w:p w14:paraId="4FFFC269">
            <w:pPr>
              <w:keepNext w:val="0"/>
              <w:keepLines w:val="0"/>
              <w:pageBreakBefore w:val="0"/>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2次/月</w:t>
            </w:r>
          </w:p>
        </w:tc>
        <w:tc>
          <w:tcPr>
            <w:tcW w:w="297" w:type="pct"/>
            <w:vAlign w:val="center"/>
          </w:tcPr>
          <w:p w14:paraId="40E92B9C">
            <w:pPr>
              <w:pStyle w:val="98"/>
              <w:keepNext w:val="0"/>
              <w:keepLines w:val="0"/>
              <w:pageBreakBefore w:val="0"/>
              <w:kinsoku/>
              <w:wordWrap/>
              <w:overflowPunct/>
              <w:topLinePunct w:val="0"/>
              <w:autoSpaceDE/>
              <w:autoSpaceDN/>
              <w:bidi w:val="0"/>
              <w:adjustRightInd w:val="0"/>
              <w:snapToGrid w:val="0"/>
              <w:ind w:left="0" w:right="0"/>
              <w:textAlignment w:val="auto"/>
              <w:rPr>
                <w:color w:val="auto"/>
                <w:sz w:val="21"/>
                <w:szCs w:val="21"/>
                <w:highlight w:val="none"/>
              </w:rPr>
            </w:pPr>
            <w:r>
              <w:rPr>
                <w:rFonts w:eastAsia="宋体"/>
                <w:color w:val="auto"/>
                <w:sz w:val="21"/>
                <w:szCs w:val="21"/>
                <w:highlight w:val="none"/>
                <w:lang w:val="en-US"/>
              </w:rPr>
              <w:t>T/In</w:t>
            </w:r>
          </w:p>
        </w:tc>
        <w:tc>
          <w:tcPr>
            <w:tcW w:w="393" w:type="pct"/>
            <w:vMerge w:val="continue"/>
            <w:vAlign w:val="center"/>
          </w:tcPr>
          <w:p w14:paraId="64F68CE3">
            <w:pPr>
              <w:keepNext w:val="0"/>
              <w:keepLines w:val="0"/>
              <w:pageBreakBefore w:val="0"/>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sz w:val="21"/>
                <w:szCs w:val="21"/>
                <w:highlight w:val="none"/>
              </w:rPr>
            </w:pPr>
          </w:p>
        </w:tc>
      </w:tr>
      <w:tr w14:paraId="1D8FE51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79" w:hRule="atLeast"/>
        </w:trPr>
        <w:tc>
          <w:tcPr>
            <w:tcW w:w="247" w:type="pct"/>
            <w:vAlign w:val="center"/>
          </w:tcPr>
          <w:p w14:paraId="505723C6">
            <w:pPr>
              <w:keepNext w:val="0"/>
              <w:keepLines w:val="0"/>
              <w:pageBreakBefore w:val="0"/>
              <w:widowControl w:val="0"/>
              <w:numPr>
                <w:ilvl w:val="0"/>
                <w:numId w:val="21"/>
              </w:numPr>
              <w:tabs>
                <w:tab w:val="left" w:pos="0"/>
                <w:tab w:val="left" w:pos="284"/>
              </w:tabs>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sz w:val="21"/>
                <w:szCs w:val="21"/>
                <w:highlight w:val="none"/>
              </w:rPr>
            </w:pPr>
          </w:p>
        </w:tc>
        <w:tc>
          <w:tcPr>
            <w:tcW w:w="586" w:type="pct"/>
            <w:vAlign w:val="center"/>
          </w:tcPr>
          <w:p w14:paraId="277B75C5">
            <w:pPr>
              <w:keepNext w:val="0"/>
              <w:keepLines w:val="0"/>
              <w:pageBreakBefore w:val="0"/>
              <w:kinsoku/>
              <w:wordWrap/>
              <w:overflowPunct/>
              <w:topLinePunct w:val="0"/>
              <w:autoSpaceDE/>
              <w:autoSpaceDN/>
              <w:bidi w:val="0"/>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废包装袋</w:t>
            </w:r>
          </w:p>
        </w:tc>
        <w:tc>
          <w:tcPr>
            <w:tcW w:w="444" w:type="pct"/>
            <w:vAlign w:val="center"/>
          </w:tcPr>
          <w:p w14:paraId="2F1DC3FE">
            <w:pPr>
              <w:pStyle w:val="98"/>
              <w:keepNext w:val="0"/>
              <w:keepLines w:val="0"/>
              <w:pageBreakBefore w:val="0"/>
              <w:kinsoku/>
              <w:wordWrap/>
              <w:overflowPunct/>
              <w:topLinePunct w:val="0"/>
              <w:autoSpaceDE/>
              <w:autoSpaceDN/>
              <w:bidi w:val="0"/>
              <w:adjustRightInd w:val="0"/>
              <w:snapToGrid w:val="0"/>
              <w:ind w:left="0" w:right="0"/>
              <w:textAlignment w:val="auto"/>
              <w:rPr>
                <w:rFonts w:eastAsia="宋体"/>
                <w:color w:val="auto"/>
                <w:sz w:val="21"/>
                <w:szCs w:val="21"/>
                <w:highlight w:val="none"/>
              </w:rPr>
            </w:pPr>
            <w:r>
              <w:rPr>
                <w:rFonts w:eastAsia="宋体"/>
                <w:color w:val="auto"/>
                <w:sz w:val="21"/>
                <w:szCs w:val="21"/>
                <w:highlight w:val="none"/>
                <w:lang w:val="en-US"/>
              </w:rPr>
              <w:t>HW49</w:t>
            </w:r>
          </w:p>
        </w:tc>
        <w:tc>
          <w:tcPr>
            <w:tcW w:w="517" w:type="pct"/>
            <w:vAlign w:val="center"/>
          </w:tcPr>
          <w:p w14:paraId="03565993">
            <w:pPr>
              <w:pStyle w:val="98"/>
              <w:keepNext w:val="0"/>
              <w:keepLines w:val="0"/>
              <w:pageBreakBefore w:val="0"/>
              <w:kinsoku/>
              <w:wordWrap/>
              <w:overflowPunct/>
              <w:topLinePunct w:val="0"/>
              <w:autoSpaceDE/>
              <w:autoSpaceDN/>
              <w:bidi w:val="0"/>
              <w:adjustRightInd w:val="0"/>
              <w:snapToGrid w:val="0"/>
              <w:ind w:left="0" w:right="0"/>
              <w:textAlignment w:val="auto"/>
              <w:rPr>
                <w:rFonts w:eastAsia="宋体"/>
                <w:color w:val="auto"/>
                <w:sz w:val="21"/>
                <w:szCs w:val="21"/>
                <w:highlight w:val="none"/>
              </w:rPr>
            </w:pPr>
            <w:r>
              <w:rPr>
                <w:rFonts w:eastAsia="宋体"/>
                <w:color w:val="auto"/>
                <w:sz w:val="21"/>
                <w:szCs w:val="21"/>
                <w:highlight w:val="none"/>
                <w:lang w:val="en-US"/>
              </w:rPr>
              <w:t>900-041-49</w:t>
            </w:r>
          </w:p>
        </w:tc>
        <w:tc>
          <w:tcPr>
            <w:tcW w:w="455" w:type="pct"/>
            <w:vAlign w:val="center"/>
          </w:tcPr>
          <w:p w14:paraId="4FCAB471">
            <w:pPr>
              <w:keepNext w:val="0"/>
              <w:keepLines w:val="0"/>
              <w:pageBreakBefore w:val="0"/>
              <w:kinsoku/>
              <w:wordWrap/>
              <w:overflowPunct/>
              <w:topLinePunct w:val="0"/>
              <w:autoSpaceDE/>
              <w:autoSpaceDN/>
              <w:bidi w:val="0"/>
              <w:ind w:left="0" w:leftChars="0" w:right="0" w:rightChars="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0.2</w:t>
            </w:r>
          </w:p>
        </w:tc>
        <w:tc>
          <w:tcPr>
            <w:tcW w:w="501" w:type="pct"/>
            <w:vMerge w:val="continue"/>
            <w:vAlign w:val="center"/>
          </w:tcPr>
          <w:p w14:paraId="04198631">
            <w:pPr>
              <w:pStyle w:val="98"/>
              <w:keepNext w:val="0"/>
              <w:keepLines w:val="0"/>
              <w:pageBreakBefore w:val="0"/>
              <w:kinsoku/>
              <w:wordWrap/>
              <w:overflowPunct/>
              <w:topLinePunct w:val="0"/>
              <w:autoSpaceDE/>
              <w:autoSpaceDN/>
              <w:bidi w:val="0"/>
              <w:adjustRightInd w:val="0"/>
              <w:snapToGrid w:val="0"/>
              <w:ind w:left="0" w:right="0"/>
              <w:textAlignment w:val="auto"/>
              <w:rPr>
                <w:rFonts w:eastAsia="宋体"/>
                <w:color w:val="auto"/>
                <w:sz w:val="21"/>
                <w:szCs w:val="21"/>
                <w:highlight w:val="none"/>
              </w:rPr>
            </w:pPr>
          </w:p>
        </w:tc>
        <w:tc>
          <w:tcPr>
            <w:tcW w:w="327" w:type="pct"/>
            <w:vAlign w:val="center"/>
          </w:tcPr>
          <w:p w14:paraId="6ED3B0B7">
            <w:pPr>
              <w:keepNext w:val="0"/>
              <w:keepLines w:val="0"/>
              <w:pageBreakBefore w:val="0"/>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sz w:val="21"/>
                <w:szCs w:val="21"/>
                <w:highlight w:val="none"/>
              </w:rPr>
            </w:pPr>
            <w:r>
              <w:rPr>
                <w:color w:val="auto"/>
                <w:sz w:val="21"/>
                <w:szCs w:val="21"/>
                <w:highlight w:val="none"/>
              </w:rPr>
              <w:t>固态</w:t>
            </w:r>
          </w:p>
        </w:tc>
        <w:tc>
          <w:tcPr>
            <w:tcW w:w="462" w:type="pct"/>
            <w:vAlign w:val="center"/>
          </w:tcPr>
          <w:p w14:paraId="35C33ECD">
            <w:pPr>
              <w:pStyle w:val="98"/>
              <w:keepNext w:val="0"/>
              <w:keepLines w:val="0"/>
              <w:pageBreakBefore w:val="0"/>
              <w:kinsoku/>
              <w:wordWrap/>
              <w:overflowPunct/>
              <w:topLinePunct w:val="0"/>
              <w:autoSpaceDE/>
              <w:autoSpaceDN/>
              <w:bidi w:val="0"/>
              <w:adjustRightInd w:val="0"/>
              <w:snapToGrid w:val="0"/>
              <w:ind w:left="0" w:right="0"/>
              <w:textAlignment w:val="auto"/>
              <w:rPr>
                <w:rFonts w:eastAsia="宋体"/>
                <w:color w:val="auto"/>
                <w:sz w:val="21"/>
                <w:szCs w:val="21"/>
                <w:highlight w:val="none"/>
              </w:rPr>
            </w:pPr>
            <w:r>
              <w:rPr>
                <w:rFonts w:hint="eastAsia" w:eastAsia="宋体"/>
                <w:color w:val="auto"/>
                <w:sz w:val="21"/>
                <w:szCs w:val="21"/>
                <w:highlight w:val="none"/>
                <w:lang w:val="en-US"/>
              </w:rPr>
              <w:t>塑料、有机物</w:t>
            </w:r>
          </w:p>
        </w:tc>
        <w:tc>
          <w:tcPr>
            <w:tcW w:w="377" w:type="pct"/>
            <w:vAlign w:val="center"/>
          </w:tcPr>
          <w:p w14:paraId="60D02116">
            <w:pPr>
              <w:keepNext w:val="0"/>
              <w:keepLines w:val="0"/>
              <w:pageBreakBefore w:val="0"/>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有机物</w:t>
            </w:r>
          </w:p>
        </w:tc>
        <w:tc>
          <w:tcPr>
            <w:tcW w:w="389" w:type="pct"/>
            <w:vAlign w:val="center"/>
          </w:tcPr>
          <w:p w14:paraId="7C2FE7B1">
            <w:pPr>
              <w:keepNext w:val="0"/>
              <w:keepLines w:val="0"/>
              <w:pageBreakBefore w:val="0"/>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1次/月</w:t>
            </w:r>
          </w:p>
        </w:tc>
        <w:tc>
          <w:tcPr>
            <w:tcW w:w="297" w:type="pct"/>
            <w:vAlign w:val="center"/>
          </w:tcPr>
          <w:p w14:paraId="31479BD9">
            <w:pPr>
              <w:pStyle w:val="98"/>
              <w:keepNext w:val="0"/>
              <w:keepLines w:val="0"/>
              <w:pageBreakBefore w:val="0"/>
              <w:kinsoku/>
              <w:wordWrap/>
              <w:overflowPunct/>
              <w:topLinePunct w:val="0"/>
              <w:autoSpaceDE/>
              <w:autoSpaceDN/>
              <w:bidi w:val="0"/>
              <w:adjustRightInd w:val="0"/>
              <w:snapToGrid w:val="0"/>
              <w:ind w:left="0" w:right="0"/>
              <w:textAlignment w:val="auto"/>
              <w:rPr>
                <w:rFonts w:eastAsia="宋体"/>
                <w:color w:val="auto"/>
                <w:sz w:val="21"/>
                <w:szCs w:val="21"/>
                <w:highlight w:val="none"/>
              </w:rPr>
            </w:pPr>
            <w:r>
              <w:rPr>
                <w:rFonts w:eastAsia="宋体"/>
                <w:color w:val="auto"/>
                <w:sz w:val="21"/>
                <w:szCs w:val="21"/>
                <w:highlight w:val="none"/>
                <w:lang w:val="en-US"/>
              </w:rPr>
              <w:t>T/In</w:t>
            </w:r>
          </w:p>
        </w:tc>
        <w:tc>
          <w:tcPr>
            <w:tcW w:w="393" w:type="pct"/>
            <w:vMerge w:val="continue"/>
            <w:vAlign w:val="center"/>
          </w:tcPr>
          <w:p w14:paraId="7B8933D4">
            <w:pPr>
              <w:keepNext w:val="0"/>
              <w:keepLines w:val="0"/>
              <w:pageBreakBefore w:val="0"/>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sz w:val="21"/>
                <w:szCs w:val="21"/>
                <w:highlight w:val="none"/>
              </w:rPr>
            </w:pPr>
          </w:p>
        </w:tc>
      </w:tr>
      <w:tr w14:paraId="731A748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79" w:hRule="atLeast"/>
        </w:trPr>
        <w:tc>
          <w:tcPr>
            <w:tcW w:w="247" w:type="pct"/>
            <w:vAlign w:val="center"/>
          </w:tcPr>
          <w:p w14:paraId="708BA8D3">
            <w:pPr>
              <w:keepNext w:val="0"/>
              <w:keepLines w:val="0"/>
              <w:pageBreakBefore w:val="0"/>
              <w:widowControl w:val="0"/>
              <w:numPr>
                <w:ilvl w:val="0"/>
                <w:numId w:val="21"/>
              </w:numPr>
              <w:tabs>
                <w:tab w:val="left" w:pos="0"/>
                <w:tab w:val="left" w:pos="284"/>
              </w:tabs>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sz w:val="21"/>
                <w:szCs w:val="21"/>
                <w:highlight w:val="none"/>
              </w:rPr>
            </w:pPr>
          </w:p>
        </w:tc>
        <w:tc>
          <w:tcPr>
            <w:tcW w:w="586" w:type="pct"/>
            <w:vAlign w:val="center"/>
          </w:tcPr>
          <w:p w14:paraId="6044D635">
            <w:pPr>
              <w:keepNext w:val="0"/>
              <w:keepLines w:val="0"/>
              <w:pageBreakBefore w:val="0"/>
              <w:kinsoku/>
              <w:wordWrap/>
              <w:overflowPunct/>
              <w:topLinePunct w:val="0"/>
              <w:autoSpaceDE/>
              <w:autoSpaceDN/>
              <w:bidi w:val="0"/>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18"/>
                <w:highlight w:val="none"/>
              </w:rPr>
              <w:t>废活性炭（废气处理）</w:t>
            </w:r>
          </w:p>
        </w:tc>
        <w:tc>
          <w:tcPr>
            <w:tcW w:w="444" w:type="pct"/>
            <w:vAlign w:val="center"/>
          </w:tcPr>
          <w:p w14:paraId="35B93D48">
            <w:pPr>
              <w:pStyle w:val="98"/>
              <w:keepNext w:val="0"/>
              <w:keepLines w:val="0"/>
              <w:pageBreakBefore w:val="0"/>
              <w:kinsoku/>
              <w:wordWrap/>
              <w:overflowPunct/>
              <w:topLinePunct w:val="0"/>
              <w:autoSpaceDE/>
              <w:autoSpaceDN/>
              <w:bidi w:val="0"/>
              <w:adjustRightInd w:val="0"/>
              <w:snapToGrid w:val="0"/>
              <w:ind w:left="0" w:right="0"/>
              <w:textAlignment w:val="auto"/>
              <w:rPr>
                <w:rFonts w:eastAsia="宋体"/>
                <w:color w:val="auto"/>
                <w:sz w:val="21"/>
                <w:szCs w:val="21"/>
                <w:highlight w:val="none"/>
              </w:rPr>
            </w:pPr>
            <w:r>
              <w:rPr>
                <w:rFonts w:eastAsia="宋体"/>
                <w:color w:val="auto"/>
                <w:sz w:val="21"/>
                <w:szCs w:val="21"/>
                <w:highlight w:val="none"/>
                <w:lang w:val="en-US"/>
              </w:rPr>
              <w:t>HW49</w:t>
            </w:r>
          </w:p>
        </w:tc>
        <w:tc>
          <w:tcPr>
            <w:tcW w:w="517" w:type="pct"/>
            <w:vAlign w:val="center"/>
          </w:tcPr>
          <w:p w14:paraId="2D03B59F">
            <w:pPr>
              <w:pStyle w:val="98"/>
              <w:keepNext w:val="0"/>
              <w:keepLines w:val="0"/>
              <w:pageBreakBefore w:val="0"/>
              <w:kinsoku/>
              <w:wordWrap/>
              <w:overflowPunct/>
              <w:topLinePunct w:val="0"/>
              <w:autoSpaceDE/>
              <w:autoSpaceDN/>
              <w:bidi w:val="0"/>
              <w:adjustRightInd w:val="0"/>
              <w:snapToGrid w:val="0"/>
              <w:ind w:left="0" w:right="0"/>
              <w:textAlignment w:val="auto"/>
              <w:rPr>
                <w:rFonts w:eastAsia="宋体"/>
                <w:color w:val="auto"/>
                <w:sz w:val="21"/>
                <w:szCs w:val="21"/>
                <w:highlight w:val="none"/>
              </w:rPr>
            </w:pPr>
            <w:r>
              <w:rPr>
                <w:rFonts w:eastAsia="宋体"/>
                <w:color w:val="auto"/>
                <w:sz w:val="21"/>
                <w:szCs w:val="21"/>
                <w:highlight w:val="none"/>
                <w:lang w:val="en-US"/>
              </w:rPr>
              <w:t>900-0</w:t>
            </w:r>
            <w:r>
              <w:rPr>
                <w:rFonts w:hint="eastAsia" w:eastAsia="宋体"/>
                <w:color w:val="auto"/>
                <w:sz w:val="21"/>
                <w:szCs w:val="21"/>
                <w:highlight w:val="none"/>
                <w:lang w:val="en-US"/>
              </w:rPr>
              <w:t>39</w:t>
            </w:r>
            <w:r>
              <w:rPr>
                <w:rFonts w:eastAsia="宋体"/>
                <w:color w:val="auto"/>
                <w:sz w:val="21"/>
                <w:szCs w:val="21"/>
                <w:highlight w:val="none"/>
                <w:lang w:val="en-US"/>
              </w:rPr>
              <w:t>-49</w:t>
            </w:r>
          </w:p>
        </w:tc>
        <w:tc>
          <w:tcPr>
            <w:tcW w:w="455" w:type="pct"/>
            <w:vAlign w:val="center"/>
          </w:tcPr>
          <w:p w14:paraId="67BBB186">
            <w:pPr>
              <w:keepNext w:val="0"/>
              <w:keepLines w:val="0"/>
              <w:pageBreakBefore w:val="0"/>
              <w:kinsoku/>
              <w:wordWrap/>
              <w:overflowPunct/>
              <w:topLinePunct w:val="0"/>
              <w:autoSpaceDE/>
              <w:autoSpaceDN/>
              <w:bidi w:val="0"/>
              <w:ind w:left="0" w:leftChars="0" w:right="0" w:rightChars="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lang w:val="en-US" w:eastAsia="zh-CN"/>
              </w:rPr>
              <w:t>10.4089</w:t>
            </w:r>
          </w:p>
        </w:tc>
        <w:tc>
          <w:tcPr>
            <w:tcW w:w="501" w:type="pct"/>
            <w:vAlign w:val="center"/>
          </w:tcPr>
          <w:p w14:paraId="21A4C2EF">
            <w:pPr>
              <w:pStyle w:val="98"/>
              <w:keepNext w:val="0"/>
              <w:keepLines w:val="0"/>
              <w:pageBreakBefore w:val="0"/>
              <w:kinsoku/>
              <w:wordWrap/>
              <w:overflowPunct/>
              <w:topLinePunct w:val="0"/>
              <w:autoSpaceDE/>
              <w:autoSpaceDN/>
              <w:bidi w:val="0"/>
              <w:adjustRightInd w:val="0"/>
              <w:snapToGrid w:val="0"/>
              <w:ind w:left="0" w:right="0"/>
              <w:textAlignment w:val="auto"/>
              <w:rPr>
                <w:rFonts w:eastAsia="宋体"/>
                <w:color w:val="auto"/>
                <w:sz w:val="21"/>
                <w:szCs w:val="21"/>
                <w:highlight w:val="none"/>
                <w:lang w:val="en-US"/>
              </w:rPr>
            </w:pPr>
            <w:r>
              <w:rPr>
                <w:rFonts w:hint="eastAsia" w:eastAsia="宋体"/>
                <w:color w:val="auto"/>
                <w:sz w:val="21"/>
                <w:szCs w:val="21"/>
                <w:highlight w:val="none"/>
                <w:lang w:val="en-US"/>
              </w:rPr>
              <w:t>废气处理</w:t>
            </w:r>
          </w:p>
        </w:tc>
        <w:tc>
          <w:tcPr>
            <w:tcW w:w="327" w:type="pct"/>
            <w:vAlign w:val="center"/>
          </w:tcPr>
          <w:p w14:paraId="76DFD53E">
            <w:pPr>
              <w:keepNext w:val="0"/>
              <w:keepLines w:val="0"/>
              <w:pageBreakBefore w:val="0"/>
              <w:kinsoku/>
              <w:wordWrap/>
              <w:overflowPunct/>
              <w:topLinePunct w:val="0"/>
              <w:autoSpaceDE/>
              <w:autoSpaceDN/>
              <w:bidi w:val="0"/>
              <w:adjustRightInd w:val="0"/>
              <w:snapToGrid w:val="0"/>
              <w:ind w:left="0" w:right="0"/>
              <w:jc w:val="center"/>
              <w:textAlignment w:val="auto"/>
              <w:rPr>
                <w:color w:val="auto"/>
                <w:sz w:val="21"/>
                <w:szCs w:val="21"/>
                <w:highlight w:val="none"/>
              </w:rPr>
            </w:pPr>
            <w:r>
              <w:rPr>
                <w:color w:val="auto"/>
                <w:sz w:val="21"/>
                <w:szCs w:val="21"/>
                <w:highlight w:val="none"/>
              </w:rPr>
              <w:t>固态</w:t>
            </w:r>
          </w:p>
        </w:tc>
        <w:tc>
          <w:tcPr>
            <w:tcW w:w="462" w:type="pct"/>
            <w:vAlign w:val="center"/>
          </w:tcPr>
          <w:p w14:paraId="5270F216">
            <w:pPr>
              <w:pStyle w:val="98"/>
              <w:keepNext w:val="0"/>
              <w:keepLines w:val="0"/>
              <w:pageBreakBefore w:val="0"/>
              <w:kinsoku/>
              <w:wordWrap/>
              <w:overflowPunct/>
              <w:topLinePunct w:val="0"/>
              <w:autoSpaceDE/>
              <w:autoSpaceDN/>
              <w:bidi w:val="0"/>
              <w:adjustRightInd w:val="0"/>
              <w:snapToGrid w:val="0"/>
              <w:ind w:left="0" w:right="0"/>
              <w:textAlignment w:val="auto"/>
              <w:rPr>
                <w:rFonts w:eastAsia="宋体"/>
                <w:color w:val="auto"/>
                <w:sz w:val="21"/>
                <w:szCs w:val="21"/>
                <w:highlight w:val="none"/>
              </w:rPr>
            </w:pPr>
            <w:r>
              <w:rPr>
                <w:rFonts w:hint="eastAsia" w:eastAsia="宋体"/>
                <w:color w:val="auto"/>
                <w:sz w:val="21"/>
                <w:szCs w:val="21"/>
                <w:highlight w:val="none"/>
                <w:lang w:val="en-US"/>
              </w:rPr>
              <w:t>活性炭、有机物</w:t>
            </w:r>
          </w:p>
        </w:tc>
        <w:tc>
          <w:tcPr>
            <w:tcW w:w="377" w:type="pct"/>
            <w:vAlign w:val="center"/>
          </w:tcPr>
          <w:p w14:paraId="3C89812F">
            <w:pPr>
              <w:keepNext w:val="0"/>
              <w:keepLines w:val="0"/>
              <w:pageBreakBefore w:val="0"/>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有机物</w:t>
            </w:r>
          </w:p>
        </w:tc>
        <w:tc>
          <w:tcPr>
            <w:tcW w:w="389" w:type="pct"/>
            <w:vAlign w:val="center"/>
          </w:tcPr>
          <w:p w14:paraId="606E0F20">
            <w:pPr>
              <w:keepNext w:val="0"/>
              <w:keepLines w:val="0"/>
              <w:pageBreakBefore w:val="0"/>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1</w:t>
            </w:r>
            <w:r>
              <w:rPr>
                <w:rFonts w:ascii="Times New Roman" w:hAnsi="Times New Roman" w:cs="Times New Roman"/>
                <w:color w:val="auto"/>
                <w:sz w:val="21"/>
                <w:szCs w:val="21"/>
                <w:highlight w:val="none"/>
              </w:rPr>
              <w:t>次/</w:t>
            </w:r>
            <w:r>
              <w:rPr>
                <w:rFonts w:hint="eastAsia" w:ascii="Times New Roman" w:hAnsi="Times New Roman" w:cs="Times New Roman"/>
                <w:color w:val="auto"/>
                <w:sz w:val="21"/>
                <w:szCs w:val="21"/>
                <w:highlight w:val="none"/>
              </w:rPr>
              <w:t>2</w:t>
            </w:r>
            <w:r>
              <w:rPr>
                <w:rFonts w:ascii="Times New Roman" w:hAnsi="Times New Roman" w:cs="Times New Roman"/>
                <w:color w:val="auto"/>
                <w:sz w:val="21"/>
                <w:szCs w:val="21"/>
                <w:highlight w:val="none"/>
              </w:rPr>
              <w:t>月</w:t>
            </w:r>
          </w:p>
        </w:tc>
        <w:tc>
          <w:tcPr>
            <w:tcW w:w="297" w:type="pct"/>
            <w:vAlign w:val="center"/>
          </w:tcPr>
          <w:p w14:paraId="3DC36536">
            <w:pPr>
              <w:pStyle w:val="98"/>
              <w:keepNext w:val="0"/>
              <w:keepLines w:val="0"/>
              <w:pageBreakBefore w:val="0"/>
              <w:kinsoku/>
              <w:wordWrap/>
              <w:overflowPunct/>
              <w:topLinePunct w:val="0"/>
              <w:autoSpaceDE/>
              <w:autoSpaceDN/>
              <w:bidi w:val="0"/>
              <w:adjustRightInd w:val="0"/>
              <w:snapToGrid w:val="0"/>
              <w:ind w:left="0" w:right="0"/>
              <w:textAlignment w:val="auto"/>
              <w:rPr>
                <w:rFonts w:eastAsia="宋体"/>
                <w:color w:val="auto"/>
                <w:sz w:val="21"/>
                <w:szCs w:val="21"/>
                <w:highlight w:val="none"/>
              </w:rPr>
            </w:pPr>
            <w:r>
              <w:rPr>
                <w:rFonts w:eastAsia="宋体"/>
                <w:color w:val="auto"/>
                <w:sz w:val="21"/>
                <w:szCs w:val="21"/>
                <w:highlight w:val="none"/>
                <w:lang w:val="en-US"/>
              </w:rPr>
              <w:t>T/In</w:t>
            </w:r>
          </w:p>
        </w:tc>
        <w:tc>
          <w:tcPr>
            <w:tcW w:w="393" w:type="pct"/>
            <w:vMerge w:val="continue"/>
            <w:vAlign w:val="center"/>
          </w:tcPr>
          <w:p w14:paraId="3593F46E">
            <w:pPr>
              <w:keepNext w:val="0"/>
              <w:keepLines w:val="0"/>
              <w:pageBreakBefore w:val="0"/>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sz w:val="21"/>
                <w:szCs w:val="21"/>
                <w:highlight w:val="none"/>
              </w:rPr>
            </w:pPr>
          </w:p>
        </w:tc>
      </w:tr>
      <w:tr w14:paraId="4355AB0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79" w:hRule="atLeast"/>
        </w:trPr>
        <w:tc>
          <w:tcPr>
            <w:tcW w:w="247" w:type="pct"/>
            <w:vAlign w:val="center"/>
          </w:tcPr>
          <w:p w14:paraId="3008A849">
            <w:pPr>
              <w:keepNext w:val="0"/>
              <w:keepLines w:val="0"/>
              <w:pageBreakBefore w:val="0"/>
              <w:widowControl w:val="0"/>
              <w:numPr>
                <w:ilvl w:val="0"/>
                <w:numId w:val="21"/>
              </w:numPr>
              <w:tabs>
                <w:tab w:val="left" w:pos="0"/>
                <w:tab w:val="left" w:pos="284"/>
              </w:tabs>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sz w:val="21"/>
                <w:szCs w:val="21"/>
                <w:highlight w:val="none"/>
              </w:rPr>
            </w:pPr>
            <w:bookmarkStart w:id="245" w:name="_Toc60653506"/>
          </w:p>
        </w:tc>
        <w:tc>
          <w:tcPr>
            <w:tcW w:w="586" w:type="pct"/>
            <w:vAlign w:val="center"/>
          </w:tcPr>
          <w:p w14:paraId="7C7AA4F9">
            <w:pPr>
              <w:keepNext w:val="0"/>
              <w:keepLines w:val="0"/>
              <w:pageBreakBefore w:val="0"/>
              <w:kinsoku/>
              <w:wordWrap/>
              <w:overflowPunct/>
              <w:topLinePunct w:val="0"/>
              <w:autoSpaceDE/>
              <w:autoSpaceDN/>
              <w:bidi w:val="0"/>
              <w:ind w:left="0" w:right="0"/>
              <w:jc w:val="center"/>
              <w:textAlignment w:val="auto"/>
              <w:rPr>
                <w:rFonts w:hint="eastAsia" w:ascii="Times New Roman" w:hAnsi="Times New Roman" w:cs="Times New Roman"/>
                <w:color w:val="auto"/>
                <w:sz w:val="21"/>
                <w:szCs w:val="18"/>
                <w:highlight w:val="none"/>
              </w:rPr>
            </w:pPr>
            <w:r>
              <w:rPr>
                <w:rFonts w:hint="eastAsia" w:ascii="Times New Roman" w:hAnsi="Times New Roman" w:cs="Times New Roman"/>
                <w:color w:val="auto"/>
                <w:sz w:val="21"/>
                <w:szCs w:val="21"/>
                <w:highlight w:val="none"/>
                <w:lang w:val="en-US" w:eastAsia="zh-CN"/>
              </w:rPr>
              <w:t>实验室清洗废水</w:t>
            </w:r>
          </w:p>
        </w:tc>
        <w:tc>
          <w:tcPr>
            <w:tcW w:w="444" w:type="pct"/>
            <w:vAlign w:val="center"/>
          </w:tcPr>
          <w:p w14:paraId="2F8E09FB">
            <w:pPr>
              <w:pStyle w:val="98"/>
              <w:keepNext w:val="0"/>
              <w:keepLines w:val="0"/>
              <w:pageBreakBefore w:val="0"/>
              <w:kinsoku/>
              <w:wordWrap/>
              <w:overflowPunct/>
              <w:topLinePunct w:val="0"/>
              <w:autoSpaceDE/>
              <w:autoSpaceDN/>
              <w:bidi w:val="0"/>
              <w:adjustRightInd w:val="0"/>
              <w:snapToGrid w:val="0"/>
              <w:ind w:left="0" w:leftChars="0" w:right="0" w:rightChars="0"/>
              <w:textAlignment w:val="auto"/>
              <w:rPr>
                <w:rFonts w:eastAsia="宋体"/>
                <w:color w:val="auto"/>
                <w:sz w:val="21"/>
                <w:szCs w:val="21"/>
                <w:highlight w:val="none"/>
                <w:lang w:val="en-US"/>
              </w:rPr>
            </w:pPr>
            <w:r>
              <w:rPr>
                <w:rFonts w:eastAsia="宋体"/>
                <w:color w:val="auto"/>
                <w:sz w:val="21"/>
                <w:szCs w:val="21"/>
                <w:highlight w:val="none"/>
                <w:lang w:val="en-US"/>
              </w:rPr>
              <w:t>HW49</w:t>
            </w:r>
          </w:p>
        </w:tc>
        <w:tc>
          <w:tcPr>
            <w:tcW w:w="517" w:type="pct"/>
            <w:vAlign w:val="center"/>
          </w:tcPr>
          <w:p w14:paraId="12F17B7D">
            <w:pPr>
              <w:pStyle w:val="98"/>
              <w:keepNext w:val="0"/>
              <w:keepLines w:val="0"/>
              <w:pageBreakBefore w:val="0"/>
              <w:kinsoku/>
              <w:wordWrap/>
              <w:overflowPunct/>
              <w:topLinePunct w:val="0"/>
              <w:autoSpaceDE/>
              <w:autoSpaceDN/>
              <w:bidi w:val="0"/>
              <w:adjustRightInd w:val="0"/>
              <w:snapToGrid w:val="0"/>
              <w:ind w:left="0" w:leftChars="0" w:right="0" w:rightChars="0"/>
              <w:textAlignment w:val="auto"/>
              <w:rPr>
                <w:rFonts w:eastAsia="宋体"/>
                <w:color w:val="auto"/>
                <w:sz w:val="21"/>
                <w:szCs w:val="21"/>
                <w:highlight w:val="none"/>
                <w:lang w:val="en-US"/>
              </w:rPr>
            </w:pPr>
            <w:r>
              <w:rPr>
                <w:rFonts w:eastAsia="宋体"/>
                <w:color w:val="auto"/>
                <w:sz w:val="21"/>
                <w:szCs w:val="21"/>
                <w:highlight w:val="none"/>
                <w:lang w:val="en-US"/>
              </w:rPr>
              <w:t>900-04</w:t>
            </w:r>
            <w:r>
              <w:rPr>
                <w:rFonts w:hint="eastAsia" w:eastAsia="宋体"/>
                <w:color w:val="auto"/>
                <w:sz w:val="21"/>
                <w:szCs w:val="21"/>
                <w:highlight w:val="none"/>
                <w:lang w:val="en-US"/>
              </w:rPr>
              <w:t>7</w:t>
            </w:r>
            <w:r>
              <w:rPr>
                <w:rFonts w:eastAsia="宋体"/>
                <w:color w:val="auto"/>
                <w:sz w:val="21"/>
                <w:szCs w:val="21"/>
                <w:highlight w:val="none"/>
                <w:lang w:val="en-US"/>
              </w:rPr>
              <w:t>-49</w:t>
            </w:r>
          </w:p>
        </w:tc>
        <w:tc>
          <w:tcPr>
            <w:tcW w:w="455" w:type="pct"/>
            <w:vAlign w:val="center"/>
          </w:tcPr>
          <w:p w14:paraId="2FF526E4">
            <w:pPr>
              <w:keepNext w:val="0"/>
              <w:keepLines w:val="0"/>
              <w:pageBreakBefore w:val="0"/>
              <w:kinsoku/>
              <w:wordWrap/>
              <w:overflowPunct/>
              <w:topLinePunct w:val="0"/>
              <w:autoSpaceDE/>
              <w:autoSpaceDN/>
              <w:bidi w:val="0"/>
              <w:ind w:left="0" w:leftChars="0" w:right="0" w:rightChars="0"/>
              <w:jc w:val="center"/>
              <w:textAlignment w:val="auto"/>
              <w:rPr>
                <w:rFonts w:hint="eastAsia"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lang w:val="en-US" w:eastAsia="zh-CN"/>
              </w:rPr>
              <w:t>0.1</w:t>
            </w:r>
          </w:p>
        </w:tc>
        <w:tc>
          <w:tcPr>
            <w:tcW w:w="501" w:type="pct"/>
            <w:vAlign w:val="center"/>
          </w:tcPr>
          <w:p w14:paraId="5924424B">
            <w:pPr>
              <w:pStyle w:val="98"/>
              <w:keepNext w:val="0"/>
              <w:keepLines w:val="0"/>
              <w:pageBreakBefore w:val="0"/>
              <w:kinsoku/>
              <w:wordWrap/>
              <w:overflowPunct/>
              <w:topLinePunct w:val="0"/>
              <w:autoSpaceDE/>
              <w:autoSpaceDN/>
              <w:bidi w:val="0"/>
              <w:adjustRightInd w:val="0"/>
              <w:snapToGrid w:val="0"/>
              <w:ind w:left="0" w:right="0"/>
              <w:textAlignment w:val="auto"/>
              <w:rPr>
                <w:rFonts w:hint="eastAsia" w:eastAsia="宋体"/>
                <w:color w:val="auto"/>
                <w:sz w:val="21"/>
                <w:szCs w:val="21"/>
                <w:highlight w:val="none"/>
                <w:lang w:val="en-US" w:eastAsia="zh-CN"/>
              </w:rPr>
            </w:pPr>
            <w:r>
              <w:rPr>
                <w:rFonts w:hint="eastAsia" w:eastAsia="宋体"/>
                <w:color w:val="auto"/>
                <w:sz w:val="21"/>
                <w:szCs w:val="21"/>
                <w:highlight w:val="none"/>
                <w:lang w:val="en-US" w:eastAsia="zh-CN"/>
              </w:rPr>
              <w:t>实验</w:t>
            </w:r>
          </w:p>
        </w:tc>
        <w:tc>
          <w:tcPr>
            <w:tcW w:w="327" w:type="pct"/>
            <w:vAlign w:val="center"/>
          </w:tcPr>
          <w:p w14:paraId="5202AB8C">
            <w:pPr>
              <w:keepNext w:val="0"/>
              <w:keepLines w:val="0"/>
              <w:pageBreakBefore w:val="0"/>
              <w:kinsoku/>
              <w:wordWrap/>
              <w:overflowPunct/>
              <w:topLinePunct w:val="0"/>
              <w:autoSpaceDE/>
              <w:autoSpaceDN/>
              <w:bidi w:val="0"/>
              <w:adjustRightInd w:val="0"/>
              <w:snapToGrid w:val="0"/>
              <w:ind w:left="0" w:right="0"/>
              <w:jc w:val="center"/>
              <w:textAlignment w:val="auto"/>
              <w:rPr>
                <w:color w:val="auto"/>
                <w:sz w:val="21"/>
                <w:szCs w:val="21"/>
                <w:highlight w:val="none"/>
              </w:rPr>
            </w:pPr>
            <w:r>
              <w:rPr>
                <w:rFonts w:hint="eastAsia" w:eastAsia="宋体"/>
                <w:color w:val="auto"/>
                <w:sz w:val="21"/>
                <w:szCs w:val="21"/>
                <w:highlight w:val="none"/>
                <w:lang w:val="en-US"/>
              </w:rPr>
              <w:t>液</w:t>
            </w:r>
            <w:r>
              <w:rPr>
                <w:rFonts w:eastAsia="宋体"/>
                <w:color w:val="auto"/>
                <w:sz w:val="21"/>
                <w:szCs w:val="21"/>
                <w:highlight w:val="none"/>
                <w:lang w:val="en-US"/>
              </w:rPr>
              <w:t>态</w:t>
            </w:r>
          </w:p>
        </w:tc>
        <w:tc>
          <w:tcPr>
            <w:tcW w:w="462" w:type="pct"/>
            <w:vAlign w:val="center"/>
          </w:tcPr>
          <w:p w14:paraId="79C81414">
            <w:pPr>
              <w:pStyle w:val="98"/>
              <w:keepNext w:val="0"/>
              <w:keepLines w:val="0"/>
              <w:pageBreakBefore w:val="0"/>
              <w:kinsoku/>
              <w:wordWrap/>
              <w:overflowPunct/>
              <w:topLinePunct w:val="0"/>
              <w:autoSpaceDE/>
              <w:autoSpaceDN/>
              <w:bidi w:val="0"/>
              <w:adjustRightInd w:val="0"/>
              <w:snapToGrid w:val="0"/>
              <w:ind w:left="0" w:right="0"/>
              <w:textAlignment w:val="auto"/>
              <w:rPr>
                <w:rFonts w:hint="eastAsia" w:eastAsia="宋体"/>
                <w:color w:val="auto"/>
                <w:sz w:val="21"/>
                <w:szCs w:val="21"/>
                <w:highlight w:val="none"/>
                <w:lang w:val="en-US" w:eastAsia="zh-CN"/>
              </w:rPr>
            </w:pPr>
            <w:r>
              <w:rPr>
                <w:rFonts w:hint="eastAsia" w:eastAsia="宋体"/>
                <w:color w:val="auto"/>
                <w:sz w:val="21"/>
                <w:szCs w:val="21"/>
                <w:highlight w:val="none"/>
                <w:lang w:val="en-US" w:eastAsia="zh-CN"/>
              </w:rPr>
              <w:t>杂质</w:t>
            </w:r>
          </w:p>
        </w:tc>
        <w:tc>
          <w:tcPr>
            <w:tcW w:w="377" w:type="pct"/>
            <w:vAlign w:val="center"/>
          </w:tcPr>
          <w:p w14:paraId="30F098F7">
            <w:pPr>
              <w:keepNext w:val="0"/>
              <w:keepLines w:val="0"/>
              <w:pageBreakBefore w:val="0"/>
              <w:kinsoku/>
              <w:wordWrap/>
              <w:overflowPunct/>
              <w:topLinePunct w:val="0"/>
              <w:autoSpaceDE/>
              <w:autoSpaceDN/>
              <w:bidi w:val="0"/>
              <w:adjustRightInd w:val="0"/>
              <w:snapToGrid w:val="0"/>
              <w:ind w:left="0" w:right="0"/>
              <w:jc w:val="center"/>
              <w:textAlignment w:val="auto"/>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杂质</w:t>
            </w:r>
          </w:p>
        </w:tc>
        <w:tc>
          <w:tcPr>
            <w:tcW w:w="389" w:type="pct"/>
            <w:vAlign w:val="center"/>
          </w:tcPr>
          <w:p w14:paraId="61B7F987">
            <w:pPr>
              <w:keepNext w:val="0"/>
              <w:keepLines w:val="0"/>
              <w:pageBreakBefore w:val="0"/>
              <w:kinsoku/>
              <w:wordWrap/>
              <w:overflowPunct/>
              <w:topLinePunct w:val="0"/>
              <w:autoSpaceDE/>
              <w:autoSpaceDN/>
              <w:bidi w:val="0"/>
              <w:adjustRightInd w:val="0"/>
              <w:snapToGrid w:val="0"/>
              <w:ind w:left="0" w:right="0"/>
              <w:jc w:val="center"/>
              <w:textAlignment w:val="auto"/>
              <w:rPr>
                <w:rFonts w:hint="eastAsia"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1次/</w:t>
            </w:r>
            <w:r>
              <w:rPr>
                <w:rFonts w:hint="eastAsia" w:ascii="Times New Roman" w:hAnsi="Times New Roman" w:cs="Times New Roman"/>
                <w:color w:val="auto"/>
                <w:sz w:val="21"/>
                <w:szCs w:val="21"/>
                <w:highlight w:val="none"/>
              </w:rPr>
              <w:t>天</w:t>
            </w:r>
          </w:p>
        </w:tc>
        <w:tc>
          <w:tcPr>
            <w:tcW w:w="297" w:type="pct"/>
            <w:vAlign w:val="center"/>
          </w:tcPr>
          <w:p w14:paraId="2B530E97">
            <w:pPr>
              <w:pStyle w:val="98"/>
              <w:keepNext w:val="0"/>
              <w:keepLines w:val="0"/>
              <w:pageBreakBefore w:val="0"/>
              <w:kinsoku/>
              <w:wordWrap/>
              <w:overflowPunct/>
              <w:topLinePunct w:val="0"/>
              <w:autoSpaceDE/>
              <w:autoSpaceDN/>
              <w:bidi w:val="0"/>
              <w:adjustRightInd w:val="0"/>
              <w:snapToGrid w:val="0"/>
              <w:ind w:left="0" w:right="0"/>
              <w:textAlignment w:val="auto"/>
              <w:rPr>
                <w:rFonts w:eastAsia="宋体"/>
                <w:color w:val="auto"/>
                <w:sz w:val="21"/>
                <w:szCs w:val="21"/>
                <w:highlight w:val="none"/>
                <w:lang w:val="en-US"/>
              </w:rPr>
            </w:pPr>
            <w:r>
              <w:rPr>
                <w:rFonts w:eastAsia="宋体"/>
                <w:color w:val="auto"/>
                <w:sz w:val="21"/>
                <w:szCs w:val="21"/>
                <w:highlight w:val="none"/>
                <w:lang w:val="en-US"/>
              </w:rPr>
              <w:t>T/</w:t>
            </w:r>
            <w:r>
              <w:rPr>
                <w:rFonts w:hint="eastAsia" w:eastAsia="宋体"/>
                <w:color w:val="auto"/>
                <w:sz w:val="21"/>
                <w:szCs w:val="21"/>
                <w:highlight w:val="none"/>
                <w:lang w:val="en-US"/>
              </w:rPr>
              <w:t>C/</w:t>
            </w:r>
            <w:r>
              <w:rPr>
                <w:rFonts w:eastAsia="宋体"/>
                <w:color w:val="auto"/>
                <w:sz w:val="21"/>
                <w:szCs w:val="21"/>
                <w:highlight w:val="none"/>
                <w:lang w:val="en-US"/>
              </w:rPr>
              <w:t>I</w:t>
            </w:r>
            <w:r>
              <w:rPr>
                <w:rFonts w:hint="eastAsia" w:eastAsia="宋体"/>
                <w:color w:val="auto"/>
                <w:sz w:val="21"/>
                <w:szCs w:val="21"/>
                <w:highlight w:val="none"/>
                <w:lang w:val="en-US"/>
              </w:rPr>
              <w:t>/R</w:t>
            </w:r>
          </w:p>
        </w:tc>
        <w:tc>
          <w:tcPr>
            <w:tcW w:w="393" w:type="pct"/>
            <w:vMerge w:val="continue"/>
            <w:vAlign w:val="center"/>
          </w:tcPr>
          <w:p w14:paraId="0666E91D">
            <w:pPr>
              <w:keepNext w:val="0"/>
              <w:keepLines w:val="0"/>
              <w:pageBreakBefore w:val="0"/>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sz w:val="21"/>
                <w:szCs w:val="21"/>
                <w:highlight w:val="none"/>
              </w:rPr>
            </w:pPr>
          </w:p>
        </w:tc>
      </w:tr>
    </w:tbl>
    <w:p w14:paraId="3D3FBCBA">
      <w:pPr>
        <w:pStyle w:val="5"/>
        <w:keepLines w:val="0"/>
        <w:numPr>
          <w:ilvl w:val="2"/>
          <w:numId w:val="6"/>
        </w:numPr>
        <w:tabs>
          <w:tab w:val="left" w:pos="141"/>
          <w:tab w:val="left" w:pos="567"/>
          <w:tab w:val="left" w:pos="709"/>
        </w:tabs>
        <w:spacing w:before="120" w:beforeLines="50" w:after="120" w:afterLines="50" w:line="360" w:lineRule="auto"/>
        <w:ind w:left="-105" w:right="-105"/>
        <w:rPr>
          <w:rFonts w:eastAsia="宋体"/>
          <w:color w:val="auto"/>
          <w:sz w:val="28"/>
          <w:szCs w:val="28"/>
          <w:highlight w:val="none"/>
        </w:rPr>
      </w:pPr>
      <w:r>
        <w:rPr>
          <w:rFonts w:hint="eastAsia" w:eastAsia="宋体"/>
          <w:color w:val="auto"/>
          <w:sz w:val="28"/>
          <w:szCs w:val="28"/>
          <w:highlight w:val="none"/>
        </w:rPr>
        <w:t>非正常工况污染源分析</w:t>
      </w:r>
      <w:bookmarkEnd w:id="245"/>
    </w:p>
    <w:p w14:paraId="0BD88A5D">
      <w:pPr>
        <w:spacing w:line="360" w:lineRule="auto"/>
        <w:ind w:left="-105" w:right="-105" w:firstLine="480" w:firstLineChars="200"/>
        <w:jc w:val="both"/>
        <w:rPr>
          <w:rFonts w:ascii="Times New Roman" w:hAnsi="Times New Roman"/>
          <w:color w:val="auto"/>
          <w:highlight w:val="none"/>
        </w:rPr>
      </w:pPr>
      <w:r>
        <w:rPr>
          <w:rFonts w:hint="eastAsia" w:ascii="Times New Roman" w:hAnsi="Times New Roman"/>
          <w:color w:val="auto"/>
          <w:highlight w:val="none"/>
        </w:rPr>
        <w:t>根据对本项目生产和排污环节的分析，考虑本项目非正常排放情况主要是：设备开、停运行检修、设备管道非正常泄漏及突发性故障，其中，企业日常生产和设备检修及区域性计划停电时的停车，企业会事先安排好设备正常的停车。设备管道非正常泄漏的最严重情况会在风险评价中分析，本节重点分析突发性故障造成的废气排放，</w:t>
      </w:r>
      <w:r>
        <w:rPr>
          <w:rFonts w:hint="eastAsia" w:ascii="Times New Roman" w:hAnsi="Times New Roman"/>
          <w:color w:val="auto"/>
          <w:highlight w:val="none"/>
        </w:rPr>
        <w:t>即</w:t>
      </w:r>
      <w:r>
        <w:rPr>
          <w:rFonts w:hint="eastAsia" w:ascii="Times New Roman" w:hAnsi="Times New Roman"/>
          <w:color w:val="auto"/>
          <w:highlight w:val="none"/>
          <w:lang w:val="en-US" w:eastAsia="zh-CN"/>
        </w:rPr>
        <w:t>3级</w:t>
      </w:r>
      <w:r>
        <w:rPr>
          <w:rFonts w:hint="eastAsia" w:ascii="Times New Roman" w:hAnsi="Times New Roman"/>
          <w:color w:val="auto"/>
          <w:highlight w:val="none"/>
        </w:rPr>
        <w:t>碱喷淋+两级活性炭吸附废气处理系统</w:t>
      </w:r>
      <w:r>
        <w:rPr>
          <w:rFonts w:hint="eastAsia" w:ascii="Times New Roman" w:hAnsi="Times New Roman"/>
          <w:color w:val="auto"/>
          <w:highlight w:val="none"/>
          <w:lang w:val="en-US" w:eastAsia="zh-CN"/>
        </w:rPr>
        <w:t>和实验室两级活性炭吸附装置</w:t>
      </w:r>
      <w:r>
        <w:rPr>
          <w:rFonts w:hint="eastAsia" w:ascii="Times New Roman" w:hAnsi="Times New Roman"/>
          <w:color w:val="auto"/>
          <w:highlight w:val="none"/>
        </w:rPr>
        <w:t>故障，</w:t>
      </w:r>
      <w:r>
        <w:rPr>
          <w:rFonts w:hint="eastAsia" w:ascii="Times New Roman" w:hAnsi="Times New Roman"/>
          <w:color w:val="auto"/>
          <w:highlight w:val="none"/>
        </w:rPr>
        <w:t>废气直接排放。大气污染物非正常排放见下表。</w:t>
      </w:r>
    </w:p>
    <w:p w14:paraId="302708CB">
      <w:pPr>
        <w:pStyle w:val="15"/>
        <w:spacing w:line="360" w:lineRule="auto"/>
        <w:ind w:left="-105" w:right="-105" w:firstLine="482"/>
        <w:rPr>
          <w:rFonts w:eastAsia="宋体" w:cs="Times New Roman"/>
          <w:color w:val="auto"/>
          <w:sz w:val="24"/>
          <w:szCs w:val="24"/>
          <w:highlight w:val="none"/>
        </w:rPr>
      </w:pPr>
      <w:bookmarkStart w:id="246" w:name="_Ref38975774"/>
      <w:r>
        <w:rPr>
          <w:rFonts w:eastAsia="宋体" w:cs="Times New Roman"/>
          <w:color w:val="auto"/>
          <w:sz w:val="24"/>
          <w:szCs w:val="24"/>
          <w:highlight w:val="none"/>
        </w:rPr>
        <w:t>表</w:t>
      </w:r>
      <w:r>
        <w:rPr>
          <w:rFonts w:eastAsia="宋体" w:cs="Times New Roman"/>
          <w:color w:val="auto"/>
          <w:sz w:val="24"/>
          <w:szCs w:val="24"/>
          <w:highlight w:val="none"/>
        </w:rPr>
        <w:fldChar w:fldCharType="begin"/>
      </w:r>
      <w:r>
        <w:rPr>
          <w:rFonts w:eastAsia="宋体" w:cs="Times New Roman"/>
          <w:color w:val="auto"/>
          <w:sz w:val="24"/>
          <w:szCs w:val="24"/>
          <w:highlight w:val="none"/>
        </w:rPr>
        <w:instrText xml:space="preserve"> STYLEREF 2 \s </w:instrText>
      </w:r>
      <w:r>
        <w:rPr>
          <w:rFonts w:eastAsia="宋体" w:cs="Times New Roman"/>
          <w:color w:val="auto"/>
          <w:sz w:val="24"/>
          <w:szCs w:val="24"/>
          <w:highlight w:val="none"/>
        </w:rPr>
        <w:fldChar w:fldCharType="separate"/>
      </w:r>
      <w:r>
        <w:rPr>
          <w:rFonts w:eastAsia="宋体" w:cs="Times New Roman"/>
          <w:color w:val="auto"/>
          <w:sz w:val="24"/>
          <w:szCs w:val="24"/>
          <w:highlight w:val="none"/>
        </w:rPr>
        <w:t>4.6</w:t>
      </w:r>
      <w:r>
        <w:rPr>
          <w:rFonts w:eastAsia="宋体" w:cs="Times New Roman"/>
          <w:color w:val="auto"/>
          <w:sz w:val="24"/>
          <w:szCs w:val="24"/>
          <w:highlight w:val="none"/>
        </w:rPr>
        <w:fldChar w:fldCharType="end"/>
      </w:r>
      <w:r>
        <w:rPr>
          <w:rFonts w:eastAsia="宋体" w:cs="Times New Roman"/>
          <w:color w:val="auto"/>
          <w:sz w:val="24"/>
          <w:szCs w:val="24"/>
          <w:highlight w:val="none"/>
        </w:rPr>
        <w:noBreakHyphen/>
      </w:r>
      <w:r>
        <w:rPr>
          <w:rFonts w:eastAsia="宋体" w:cs="Times New Roman"/>
          <w:color w:val="auto"/>
          <w:sz w:val="24"/>
          <w:szCs w:val="24"/>
          <w:highlight w:val="none"/>
        </w:rPr>
        <w:fldChar w:fldCharType="begin"/>
      </w:r>
      <w:r>
        <w:rPr>
          <w:rFonts w:eastAsia="宋体" w:cs="Times New Roman"/>
          <w:color w:val="auto"/>
          <w:sz w:val="24"/>
          <w:szCs w:val="24"/>
          <w:highlight w:val="none"/>
        </w:rPr>
        <w:instrText xml:space="preserve"> SEQ 表 \* ARABIC \s 2 </w:instrText>
      </w:r>
      <w:r>
        <w:rPr>
          <w:rFonts w:eastAsia="宋体" w:cs="Times New Roman"/>
          <w:color w:val="auto"/>
          <w:sz w:val="24"/>
          <w:szCs w:val="24"/>
          <w:highlight w:val="none"/>
        </w:rPr>
        <w:fldChar w:fldCharType="separate"/>
      </w:r>
      <w:r>
        <w:rPr>
          <w:rFonts w:eastAsia="宋体" w:cs="Times New Roman"/>
          <w:color w:val="auto"/>
          <w:sz w:val="24"/>
          <w:szCs w:val="24"/>
          <w:highlight w:val="none"/>
        </w:rPr>
        <w:t>14</w:t>
      </w:r>
      <w:r>
        <w:rPr>
          <w:rFonts w:eastAsia="宋体" w:cs="Times New Roman"/>
          <w:color w:val="auto"/>
          <w:sz w:val="24"/>
          <w:szCs w:val="24"/>
          <w:highlight w:val="none"/>
        </w:rPr>
        <w:fldChar w:fldCharType="end"/>
      </w:r>
      <w:bookmarkEnd w:id="246"/>
      <w:r>
        <w:rPr>
          <w:rFonts w:hint="eastAsia" w:eastAsia="宋体" w:cs="Times New Roman"/>
          <w:color w:val="auto"/>
          <w:sz w:val="24"/>
          <w:szCs w:val="24"/>
          <w:highlight w:val="none"/>
        </w:rPr>
        <w:t>本项目</w:t>
      </w:r>
      <w:r>
        <w:rPr>
          <w:rFonts w:eastAsia="宋体"/>
          <w:color w:val="auto"/>
          <w:sz w:val="24"/>
          <w:szCs w:val="24"/>
          <w:highlight w:val="none"/>
        </w:rPr>
        <w:t>污染源非正常排放量核算表</w:t>
      </w:r>
    </w:p>
    <w:tbl>
      <w:tblPr>
        <w:tblStyle w:val="45"/>
        <w:tblW w:w="5000" w:type="pct"/>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autofit"/>
        <w:tblCellMar>
          <w:top w:w="0" w:type="dxa"/>
          <w:left w:w="108" w:type="dxa"/>
          <w:bottom w:w="0" w:type="dxa"/>
          <w:right w:w="108" w:type="dxa"/>
        </w:tblCellMar>
      </w:tblPr>
      <w:tblGrid>
        <w:gridCol w:w="1142"/>
        <w:gridCol w:w="1938"/>
        <w:gridCol w:w="915"/>
        <w:gridCol w:w="1155"/>
        <w:gridCol w:w="2083"/>
        <w:gridCol w:w="1487"/>
      </w:tblGrid>
      <w:tr w14:paraId="05872F91">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tblHeader/>
          <w:jc w:val="center"/>
        </w:trPr>
        <w:tc>
          <w:tcPr>
            <w:tcW w:w="1142" w:type="dxa"/>
            <w:vAlign w:val="center"/>
          </w:tcPr>
          <w:p w14:paraId="44668EB6">
            <w:pPr>
              <w:ind w:left="-105" w:right="-105"/>
              <w:jc w:val="center"/>
              <w:rPr>
                <w:rFonts w:ascii="Times New Roman" w:hAnsi="Times New Roman" w:cs="Times New Roman"/>
                <w:b/>
                <w:bCs/>
                <w:color w:val="auto"/>
                <w:sz w:val="21"/>
                <w:szCs w:val="21"/>
                <w:highlight w:val="none"/>
              </w:rPr>
            </w:pPr>
            <w:r>
              <w:rPr>
                <w:rFonts w:ascii="Times New Roman" w:hAnsi="Times New Roman" w:cs="Times New Roman"/>
                <w:b/>
                <w:bCs/>
                <w:color w:val="auto"/>
                <w:sz w:val="21"/>
                <w:szCs w:val="21"/>
                <w:highlight w:val="none"/>
              </w:rPr>
              <w:t>非正常排放源</w:t>
            </w:r>
          </w:p>
        </w:tc>
        <w:tc>
          <w:tcPr>
            <w:tcW w:w="1938" w:type="dxa"/>
            <w:vAlign w:val="center"/>
          </w:tcPr>
          <w:p w14:paraId="14889E62">
            <w:pPr>
              <w:ind w:left="-105" w:right="-105"/>
              <w:jc w:val="center"/>
              <w:rPr>
                <w:rFonts w:ascii="Times New Roman" w:hAnsi="Times New Roman" w:cs="Times New Roman"/>
                <w:b/>
                <w:bCs/>
                <w:color w:val="auto"/>
                <w:sz w:val="21"/>
                <w:szCs w:val="21"/>
                <w:highlight w:val="none"/>
              </w:rPr>
            </w:pPr>
            <w:r>
              <w:rPr>
                <w:rFonts w:ascii="Times New Roman" w:hAnsi="Times New Roman" w:cs="Times New Roman"/>
                <w:b/>
                <w:bCs/>
                <w:color w:val="auto"/>
                <w:sz w:val="21"/>
                <w:szCs w:val="21"/>
                <w:highlight w:val="none"/>
              </w:rPr>
              <w:t>非正常排放原因</w:t>
            </w:r>
          </w:p>
        </w:tc>
        <w:tc>
          <w:tcPr>
            <w:tcW w:w="915" w:type="dxa"/>
            <w:vAlign w:val="center"/>
          </w:tcPr>
          <w:p w14:paraId="32899EC3">
            <w:pPr>
              <w:ind w:left="-105" w:right="-105"/>
              <w:jc w:val="center"/>
              <w:rPr>
                <w:rFonts w:ascii="Times New Roman" w:hAnsi="Times New Roman" w:cs="Times New Roman"/>
                <w:b/>
                <w:bCs/>
                <w:color w:val="auto"/>
                <w:sz w:val="21"/>
                <w:szCs w:val="21"/>
                <w:highlight w:val="none"/>
              </w:rPr>
            </w:pPr>
            <w:r>
              <w:rPr>
                <w:rFonts w:ascii="Times New Roman" w:hAnsi="Times New Roman" w:cs="Times New Roman"/>
                <w:b/>
                <w:bCs/>
                <w:color w:val="auto"/>
                <w:sz w:val="21"/>
                <w:szCs w:val="21"/>
                <w:highlight w:val="none"/>
              </w:rPr>
              <w:t>年发生频次/次</w:t>
            </w:r>
          </w:p>
        </w:tc>
        <w:tc>
          <w:tcPr>
            <w:tcW w:w="1155" w:type="dxa"/>
            <w:vAlign w:val="center"/>
          </w:tcPr>
          <w:p w14:paraId="36297978">
            <w:pPr>
              <w:ind w:left="-105" w:right="-105"/>
              <w:jc w:val="center"/>
              <w:rPr>
                <w:rFonts w:ascii="Times New Roman" w:hAnsi="Times New Roman" w:cs="Times New Roman"/>
                <w:b/>
                <w:bCs/>
                <w:color w:val="auto"/>
                <w:sz w:val="21"/>
                <w:szCs w:val="21"/>
                <w:highlight w:val="none"/>
              </w:rPr>
            </w:pPr>
            <w:r>
              <w:rPr>
                <w:rFonts w:ascii="Times New Roman" w:hAnsi="Times New Roman" w:cs="Times New Roman"/>
                <w:b/>
                <w:bCs/>
                <w:color w:val="auto"/>
                <w:sz w:val="21"/>
                <w:szCs w:val="21"/>
                <w:highlight w:val="none"/>
              </w:rPr>
              <w:t>单次持续时间/h</w:t>
            </w:r>
          </w:p>
        </w:tc>
        <w:tc>
          <w:tcPr>
            <w:tcW w:w="2083" w:type="dxa"/>
            <w:vAlign w:val="center"/>
          </w:tcPr>
          <w:p w14:paraId="26CD36EA">
            <w:pPr>
              <w:ind w:left="-105" w:right="-105"/>
              <w:jc w:val="center"/>
              <w:rPr>
                <w:rFonts w:ascii="Times New Roman" w:hAnsi="Times New Roman" w:cs="Times New Roman"/>
                <w:b/>
                <w:bCs/>
                <w:color w:val="auto"/>
                <w:sz w:val="21"/>
                <w:szCs w:val="21"/>
                <w:highlight w:val="none"/>
              </w:rPr>
            </w:pPr>
            <w:r>
              <w:rPr>
                <w:rFonts w:ascii="Times New Roman" w:hAnsi="Times New Roman" w:cs="Times New Roman"/>
                <w:b/>
                <w:bCs/>
                <w:color w:val="auto"/>
                <w:sz w:val="21"/>
                <w:szCs w:val="21"/>
                <w:highlight w:val="none"/>
              </w:rPr>
              <w:t>污染物</w:t>
            </w:r>
          </w:p>
        </w:tc>
        <w:tc>
          <w:tcPr>
            <w:tcW w:w="1487" w:type="dxa"/>
            <w:vAlign w:val="center"/>
          </w:tcPr>
          <w:p w14:paraId="4B5E52B8">
            <w:pPr>
              <w:ind w:left="-105" w:right="-105"/>
              <w:jc w:val="center"/>
              <w:rPr>
                <w:rFonts w:ascii="Times New Roman" w:hAnsi="Times New Roman" w:cs="Times New Roman"/>
                <w:b/>
                <w:bCs/>
                <w:color w:val="auto"/>
                <w:sz w:val="21"/>
                <w:szCs w:val="21"/>
                <w:highlight w:val="none"/>
              </w:rPr>
            </w:pPr>
            <w:r>
              <w:rPr>
                <w:rFonts w:ascii="Times New Roman" w:hAnsi="Times New Roman" w:cs="Times New Roman"/>
                <w:b/>
                <w:bCs/>
                <w:color w:val="auto"/>
                <w:sz w:val="21"/>
                <w:szCs w:val="21"/>
                <w:highlight w:val="none"/>
              </w:rPr>
              <w:t>非正常排放量（kg/h)</w:t>
            </w:r>
          </w:p>
        </w:tc>
      </w:tr>
      <w:tr w14:paraId="15E1596A">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142" w:type="dxa"/>
            <w:vAlign w:val="center"/>
          </w:tcPr>
          <w:p w14:paraId="531ED7DF">
            <w:pPr>
              <w:ind w:left="-105" w:right="-105"/>
              <w:jc w:val="center"/>
              <w:rPr>
                <w:rFonts w:ascii="Times New Roman" w:hAnsi="Times New Roman" w:eastAsia="等线" w:cs="Times New Roman"/>
                <w:color w:val="auto"/>
                <w:sz w:val="21"/>
                <w:szCs w:val="21"/>
                <w:highlight w:val="none"/>
              </w:rPr>
            </w:pPr>
            <w:r>
              <w:rPr>
                <w:rFonts w:hint="eastAsia" w:ascii="Times New Roman" w:hAnsi="Times New Roman" w:eastAsia="等线" w:cs="Times New Roman"/>
                <w:color w:val="auto"/>
                <w:sz w:val="21"/>
                <w:szCs w:val="21"/>
                <w:highlight w:val="none"/>
              </w:rPr>
              <w:t>DA005</w:t>
            </w:r>
          </w:p>
        </w:tc>
        <w:tc>
          <w:tcPr>
            <w:tcW w:w="1938" w:type="dxa"/>
            <w:vAlign w:val="center"/>
          </w:tcPr>
          <w:p w14:paraId="102861CA">
            <w:pPr>
              <w:ind w:left="-105" w:right="-105"/>
              <w:jc w:val="center"/>
              <w:rPr>
                <w:rFonts w:hint="default" w:ascii="Times New Roman" w:hAnsi="Times New Roman" w:eastAsia="宋体" w:cs="Times New Roman"/>
                <w:color w:val="auto"/>
                <w:sz w:val="21"/>
                <w:szCs w:val="21"/>
                <w:highlight w:val="none"/>
                <w:lang w:val="en-US" w:eastAsia="zh-CN"/>
              </w:rPr>
            </w:pPr>
            <w:r>
              <w:rPr>
                <w:rFonts w:hint="eastAsia"/>
                <w:color w:val="auto"/>
                <w:sz w:val="21"/>
                <w:szCs w:val="21"/>
                <w:highlight w:val="none"/>
              </w:rPr>
              <w:t>活性炭未及时更换</w:t>
            </w:r>
            <w:r>
              <w:rPr>
                <w:rFonts w:hint="eastAsia"/>
                <w:color w:val="auto"/>
                <w:sz w:val="21"/>
                <w:szCs w:val="21"/>
                <w:highlight w:val="none"/>
                <w:lang w:val="en-US" w:eastAsia="zh-CN"/>
              </w:rPr>
              <w:t>或加药系统故障</w:t>
            </w:r>
          </w:p>
        </w:tc>
        <w:tc>
          <w:tcPr>
            <w:tcW w:w="915" w:type="dxa"/>
            <w:vAlign w:val="center"/>
          </w:tcPr>
          <w:p w14:paraId="610D8898">
            <w:pPr>
              <w:ind w:left="-105" w:right="-105"/>
              <w:jc w:val="center"/>
              <w:rPr>
                <w:rFonts w:ascii="Times New Roman" w:hAnsi="Times New Roman" w:eastAsia="等线" w:cs="Times New Roman"/>
                <w:color w:val="auto"/>
                <w:sz w:val="21"/>
                <w:szCs w:val="21"/>
                <w:highlight w:val="none"/>
              </w:rPr>
            </w:pPr>
            <w:r>
              <w:rPr>
                <w:rFonts w:ascii="Times New Roman" w:hAnsi="Times New Roman" w:eastAsia="等线" w:cs="Times New Roman"/>
                <w:color w:val="auto"/>
                <w:sz w:val="21"/>
                <w:szCs w:val="21"/>
                <w:highlight w:val="none"/>
              </w:rPr>
              <w:t>1</w:t>
            </w:r>
          </w:p>
        </w:tc>
        <w:tc>
          <w:tcPr>
            <w:tcW w:w="1155" w:type="dxa"/>
            <w:vAlign w:val="center"/>
          </w:tcPr>
          <w:p w14:paraId="245962A8">
            <w:pPr>
              <w:ind w:left="-105" w:right="-105"/>
              <w:jc w:val="center"/>
              <w:rPr>
                <w:rFonts w:ascii="Times New Roman" w:hAnsi="Times New Roman" w:eastAsia="等线" w:cs="Times New Roman"/>
                <w:color w:val="auto"/>
                <w:sz w:val="21"/>
                <w:szCs w:val="21"/>
                <w:highlight w:val="none"/>
              </w:rPr>
            </w:pPr>
            <w:r>
              <w:rPr>
                <w:rFonts w:ascii="Times New Roman" w:hAnsi="Times New Roman" w:eastAsia="等线" w:cs="Times New Roman"/>
                <w:color w:val="auto"/>
                <w:sz w:val="21"/>
                <w:szCs w:val="21"/>
                <w:highlight w:val="none"/>
              </w:rPr>
              <w:t>1</w:t>
            </w:r>
          </w:p>
        </w:tc>
        <w:tc>
          <w:tcPr>
            <w:tcW w:w="2083" w:type="dxa"/>
            <w:vAlign w:val="center"/>
          </w:tcPr>
          <w:p w14:paraId="3144C256">
            <w:pPr>
              <w:ind w:left="-105" w:right="-105"/>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非甲烷总烃</w:t>
            </w:r>
          </w:p>
        </w:tc>
        <w:tc>
          <w:tcPr>
            <w:tcW w:w="1487" w:type="dxa"/>
            <w:vAlign w:val="center"/>
          </w:tcPr>
          <w:p w14:paraId="1DEF3D50">
            <w:pPr>
              <w:ind w:left="-105" w:right="-105"/>
              <w:jc w:val="center"/>
              <w:rPr>
                <w:rFonts w:hint="default" w:ascii="Times New Roman" w:hAnsi="Times New Roman" w:eastAsia="等线" w:cs="Times New Roman"/>
                <w:color w:val="auto"/>
                <w:sz w:val="21"/>
                <w:szCs w:val="21"/>
                <w:highlight w:val="none"/>
                <w:lang w:val="en-US" w:eastAsia="zh-CN"/>
              </w:rPr>
            </w:pPr>
            <w:r>
              <w:rPr>
                <w:rFonts w:hint="eastAsia" w:ascii="Times New Roman" w:hAnsi="Times New Roman" w:eastAsia="等线" w:cs="Times New Roman"/>
                <w:color w:val="auto"/>
                <w:sz w:val="21"/>
                <w:szCs w:val="21"/>
                <w:highlight w:val="none"/>
                <w:lang w:val="en-US" w:eastAsia="zh-CN"/>
              </w:rPr>
              <w:t>0.5936</w:t>
            </w:r>
          </w:p>
        </w:tc>
      </w:tr>
      <w:tr w14:paraId="44211F58">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142" w:type="dxa"/>
            <w:vMerge w:val="restart"/>
            <w:vAlign w:val="center"/>
          </w:tcPr>
          <w:p w14:paraId="14E3EBDB">
            <w:pPr>
              <w:ind w:left="-105" w:right="-105"/>
              <w:jc w:val="center"/>
              <w:rPr>
                <w:rFonts w:ascii="Times New Roman" w:hAnsi="Times New Roman" w:eastAsia="等线" w:cs="Times New Roman"/>
                <w:color w:val="auto"/>
                <w:sz w:val="21"/>
                <w:szCs w:val="21"/>
                <w:highlight w:val="none"/>
              </w:rPr>
            </w:pPr>
            <w:r>
              <w:rPr>
                <w:rFonts w:hint="eastAsia" w:ascii="Times New Roman" w:hAnsi="Times New Roman" w:eastAsia="等线" w:cs="Times New Roman"/>
                <w:color w:val="auto"/>
                <w:sz w:val="21"/>
                <w:szCs w:val="21"/>
                <w:highlight w:val="none"/>
              </w:rPr>
              <w:t>DA006</w:t>
            </w:r>
          </w:p>
        </w:tc>
        <w:tc>
          <w:tcPr>
            <w:tcW w:w="1938" w:type="dxa"/>
            <w:vMerge w:val="restart"/>
            <w:vAlign w:val="center"/>
          </w:tcPr>
          <w:p w14:paraId="65ACCC1D">
            <w:pPr>
              <w:ind w:left="-105" w:right="-105"/>
              <w:jc w:val="center"/>
              <w:rPr>
                <w:rFonts w:ascii="Times New Roman" w:hAnsi="Times New Roman" w:cs="Times New Roman"/>
                <w:color w:val="auto"/>
                <w:sz w:val="21"/>
                <w:szCs w:val="21"/>
                <w:highlight w:val="none"/>
              </w:rPr>
            </w:pPr>
            <w:r>
              <w:rPr>
                <w:rFonts w:hint="eastAsia"/>
                <w:color w:val="auto"/>
                <w:sz w:val="21"/>
                <w:szCs w:val="21"/>
                <w:highlight w:val="none"/>
              </w:rPr>
              <w:t>活性炭未及时更换</w:t>
            </w:r>
          </w:p>
        </w:tc>
        <w:tc>
          <w:tcPr>
            <w:tcW w:w="915" w:type="dxa"/>
            <w:vMerge w:val="restart"/>
            <w:vAlign w:val="center"/>
          </w:tcPr>
          <w:p w14:paraId="6F6A88CB">
            <w:pPr>
              <w:ind w:left="-105" w:right="-105"/>
              <w:jc w:val="center"/>
              <w:rPr>
                <w:rFonts w:ascii="Times New Roman" w:hAnsi="Times New Roman" w:eastAsia="等线" w:cs="Times New Roman"/>
                <w:color w:val="auto"/>
                <w:sz w:val="21"/>
                <w:szCs w:val="21"/>
                <w:highlight w:val="none"/>
              </w:rPr>
            </w:pPr>
            <w:r>
              <w:rPr>
                <w:rFonts w:ascii="Times New Roman" w:hAnsi="Times New Roman" w:eastAsia="等线" w:cs="Times New Roman"/>
                <w:color w:val="auto"/>
                <w:sz w:val="21"/>
                <w:szCs w:val="21"/>
                <w:highlight w:val="none"/>
              </w:rPr>
              <w:t>1</w:t>
            </w:r>
          </w:p>
        </w:tc>
        <w:tc>
          <w:tcPr>
            <w:tcW w:w="1155" w:type="dxa"/>
            <w:vMerge w:val="restart"/>
            <w:vAlign w:val="center"/>
          </w:tcPr>
          <w:p w14:paraId="15377648">
            <w:pPr>
              <w:ind w:left="-105" w:right="-105"/>
              <w:jc w:val="center"/>
              <w:rPr>
                <w:rFonts w:ascii="Times New Roman" w:hAnsi="Times New Roman" w:eastAsia="等线" w:cs="Times New Roman"/>
                <w:color w:val="auto"/>
                <w:sz w:val="21"/>
                <w:szCs w:val="21"/>
                <w:highlight w:val="none"/>
              </w:rPr>
            </w:pPr>
            <w:r>
              <w:rPr>
                <w:rFonts w:ascii="Times New Roman" w:hAnsi="Times New Roman" w:eastAsia="等线" w:cs="Times New Roman"/>
                <w:color w:val="auto"/>
                <w:sz w:val="21"/>
                <w:szCs w:val="21"/>
                <w:highlight w:val="none"/>
              </w:rPr>
              <w:t>1</w:t>
            </w:r>
          </w:p>
        </w:tc>
        <w:tc>
          <w:tcPr>
            <w:tcW w:w="2083" w:type="dxa"/>
            <w:vAlign w:val="center"/>
          </w:tcPr>
          <w:p w14:paraId="743F33EC">
            <w:pPr>
              <w:ind w:left="-105" w:right="-105"/>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非甲烷总烃</w:t>
            </w:r>
          </w:p>
        </w:tc>
        <w:tc>
          <w:tcPr>
            <w:tcW w:w="1487" w:type="dxa"/>
            <w:vAlign w:val="center"/>
          </w:tcPr>
          <w:p w14:paraId="37F6D921">
            <w:pPr>
              <w:ind w:left="-105" w:right="-105"/>
              <w:jc w:val="center"/>
              <w:rPr>
                <w:rFonts w:hint="default" w:ascii="Times New Roman" w:hAnsi="Times New Roman" w:eastAsia="等线" w:cs="Times New Roman"/>
                <w:color w:val="auto"/>
                <w:sz w:val="21"/>
                <w:szCs w:val="21"/>
                <w:highlight w:val="none"/>
                <w:lang w:val="en-US" w:eastAsia="zh-CN"/>
              </w:rPr>
            </w:pPr>
            <w:r>
              <w:rPr>
                <w:rFonts w:hint="eastAsia" w:ascii="Times New Roman" w:hAnsi="Times New Roman" w:eastAsia="等线" w:cs="Times New Roman"/>
                <w:color w:val="auto"/>
                <w:sz w:val="21"/>
                <w:szCs w:val="21"/>
                <w:highlight w:val="none"/>
                <w:lang w:val="en-US" w:eastAsia="zh-CN"/>
              </w:rPr>
              <w:t>0.0123</w:t>
            </w:r>
          </w:p>
        </w:tc>
      </w:tr>
      <w:tr w14:paraId="67B038CF">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142" w:type="dxa"/>
            <w:vMerge w:val="continue"/>
            <w:vAlign w:val="center"/>
          </w:tcPr>
          <w:p w14:paraId="53B9DCF7">
            <w:pPr>
              <w:ind w:left="-105" w:right="-105"/>
              <w:jc w:val="center"/>
              <w:rPr>
                <w:rFonts w:hint="eastAsia" w:ascii="Times New Roman" w:hAnsi="Times New Roman" w:eastAsia="等线" w:cs="Times New Roman"/>
                <w:color w:val="auto"/>
                <w:sz w:val="21"/>
                <w:szCs w:val="21"/>
                <w:highlight w:val="none"/>
              </w:rPr>
            </w:pPr>
            <w:bookmarkStart w:id="247" w:name="_Toc60653507"/>
          </w:p>
        </w:tc>
        <w:tc>
          <w:tcPr>
            <w:tcW w:w="1938" w:type="dxa"/>
            <w:vMerge w:val="continue"/>
            <w:vAlign w:val="center"/>
          </w:tcPr>
          <w:p w14:paraId="091357BF">
            <w:pPr>
              <w:ind w:left="-105" w:right="-105"/>
              <w:jc w:val="center"/>
              <w:rPr>
                <w:rFonts w:hint="eastAsia"/>
                <w:color w:val="auto"/>
                <w:sz w:val="21"/>
                <w:szCs w:val="21"/>
                <w:highlight w:val="none"/>
              </w:rPr>
            </w:pPr>
          </w:p>
        </w:tc>
        <w:tc>
          <w:tcPr>
            <w:tcW w:w="915" w:type="dxa"/>
            <w:vMerge w:val="continue"/>
            <w:vAlign w:val="center"/>
          </w:tcPr>
          <w:p w14:paraId="527DB4FD">
            <w:pPr>
              <w:ind w:left="-105" w:right="-105"/>
              <w:jc w:val="center"/>
              <w:rPr>
                <w:rFonts w:ascii="Times New Roman" w:hAnsi="Times New Roman" w:eastAsia="等线" w:cs="Times New Roman"/>
                <w:color w:val="auto"/>
                <w:sz w:val="21"/>
                <w:szCs w:val="21"/>
                <w:highlight w:val="none"/>
              </w:rPr>
            </w:pPr>
          </w:p>
        </w:tc>
        <w:tc>
          <w:tcPr>
            <w:tcW w:w="1155" w:type="dxa"/>
            <w:vMerge w:val="continue"/>
            <w:vAlign w:val="center"/>
          </w:tcPr>
          <w:p w14:paraId="36E37EF4">
            <w:pPr>
              <w:ind w:left="-105" w:right="-105"/>
              <w:jc w:val="center"/>
              <w:rPr>
                <w:rFonts w:ascii="Times New Roman" w:hAnsi="Times New Roman" w:eastAsia="等线" w:cs="Times New Roman"/>
                <w:color w:val="auto"/>
                <w:sz w:val="21"/>
                <w:szCs w:val="21"/>
                <w:highlight w:val="none"/>
              </w:rPr>
            </w:pPr>
          </w:p>
        </w:tc>
        <w:tc>
          <w:tcPr>
            <w:tcW w:w="2083" w:type="dxa"/>
            <w:vAlign w:val="center"/>
          </w:tcPr>
          <w:p w14:paraId="63E5BC2D">
            <w:pPr>
              <w:ind w:left="-105" w:right="-105"/>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氮氧化物</w:t>
            </w:r>
          </w:p>
        </w:tc>
        <w:tc>
          <w:tcPr>
            <w:tcW w:w="1487" w:type="dxa"/>
            <w:vAlign w:val="center"/>
          </w:tcPr>
          <w:p w14:paraId="2580E19B">
            <w:pPr>
              <w:ind w:left="-105" w:right="-105"/>
              <w:jc w:val="center"/>
              <w:rPr>
                <w:rFonts w:hint="default" w:ascii="Times New Roman" w:hAnsi="Times New Roman" w:eastAsia="等线" w:cs="Times New Roman"/>
                <w:color w:val="auto"/>
                <w:sz w:val="21"/>
                <w:szCs w:val="21"/>
                <w:highlight w:val="none"/>
                <w:lang w:val="en-US" w:eastAsia="zh-CN"/>
              </w:rPr>
            </w:pPr>
            <w:r>
              <w:rPr>
                <w:rFonts w:hint="eastAsia" w:ascii="Times New Roman" w:hAnsi="Times New Roman" w:eastAsia="等线" w:cs="Times New Roman"/>
                <w:color w:val="auto"/>
                <w:sz w:val="21"/>
                <w:szCs w:val="21"/>
                <w:highlight w:val="none"/>
                <w:lang w:val="en-US" w:eastAsia="zh-CN"/>
              </w:rPr>
              <w:t>0.0059</w:t>
            </w:r>
          </w:p>
        </w:tc>
      </w:tr>
    </w:tbl>
    <w:p w14:paraId="4A33B26D">
      <w:pPr>
        <w:pStyle w:val="4"/>
        <w:numPr>
          <w:ilvl w:val="0"/>
          <w:numId w:val="0"/>
        </w:numPr>
        <w:tabs>
          <w:tab w:val="left" w:pos="426"/>
        </w:tabs>
        <w:spacing w:before="120" w:beforeLines="50" w:after="120" w:afterLines="50" w:line="360" w:lineRule="auto"/>
        <w:ind w:right="-105"/>
        <w:rPr>
          <w:rFonts w:ascii="Times New Roman" w:eastAsia="宋体"/>
          <w:color w:val="auto"/>
          <w:sz w:val="28"/>
          <w:szCs w:val="28"/>
          <w:highlight w:val="none"/>
        </w:rPr>
        <w:sectPr>
          <w:pgSz w:w="11906" w:h="16838"/>
          <w:pgMar w:top="1440" w:right="1701" w:bottom="1440" w:left="1701" w:header="851" w:footer="851" w:gutter="0"/>
          <w:pgBorders>
            <w:top w:val="none" w:sz="0" w:space="0"/>
            <w:left w:val="none" w:sz="0" w:space="0"/>
            <w:bottom w:val="none" w:sz="0" w:space="0"/>
            <w:right w:val="none" w:sz="0" w:space="0"/>
          </w:pgBorders>
          <w:cols w:space="720" w:num="1"/>
          <w:docGrid w:linePitch="498" w:charSpace="-2336"/>
        </w:sectPr>
      </w:pPr>
    </w:p>
    <w:p w14:paraId="450A2AB1">
      <w:pPr>
        <w:pStyle w:val="4"/>
        <w:numPr>
          <w:ilvl w:val="1"/>
          <w:numId w:val="6"/>
        </w:numPr>
        <w:tabs>
          <w:tab w:val="left" w:pos="426"/>
        </w:tabs>
        <w:spacing w:before="120" w:beforeLines="50" w:line="360" w:lineRule="auto"/>
        <w:ind w:left="-105" w:right="-105" w:firstLine="562"/>
        <w:rPr>
          <w:rFonts w:ascii="Times New Roman" w:eastAsia="宋体"/>
          <w:color w:val="auto"/>
          <w:sz w:val="28"/>
          <w:szCs w:val="28"/>
          <w:highlight w:val="none"/>
        </w:rPr>
      </w:pPr>
      <w:bookmarkStart w:id="248" w:name="_Toc7895"/>
      <w:r>
        <w:rPr>
          <w:rFonts w:ascii="Times New Roman" w:eastAsia="宋体"/>
          <w:color w:val="auto"/>
          <w:sz w:val="28"/>
          <w:szCs w:val="28"/>
          <w:highlight w:val="none"/>
        </w:rPr>
        <w:t>污染物产生及排放情况汇总</w:t>
      </w:r>
      <w:bookmarkEnd w:id="247"/>
      <w:bookmarkEnd w:id="248"/>
    </w:p>
    <w:p w14:paraId="0E881E2E">
      <w:pPr>
        <w:pStyle w:val="15"/>
        <w:adjustRightInd w:val="0"/>
        <w:snapToGrid w:val="0"/>
        <w:spacing w:line="360" w:lineRule="auto"/>
        <w:ind w:left="-105" w:right="-105" w:firstLine="482"/>
        <w:rPr>
          <w:rFonts w:eastAsia="宋体" w:cs="Times New Roman"/>
          <w:color w:val="auto"/>
          <w:sz w:val="24"/>
          <w:szCs w:val="24"/>
          <w:highlight w:val="none"/>
        </w:rPr>
      </w:pPr>
      <w:r>
        <w:rPr>
          <w:rFonts w:eastAsia="宋体" w:cs="Times New Roman"/>
          <w:color w:val="auto"/>
          <w:sz w:val="24"/>
          <w:szCs w:val="24"/>
          <w:highlight w:val="none"/>
        </w:rPr>
        <w:t>表</w:t>
      </w:r>
      <w:r>
        <w:rPr>
          <w:rFonts w:eastAsia="宋体" w:cs="Times New Roman"/>
          <w:color w:val="auto"/>
          <w:sz w:val="24"/>
          <w:szCs w:val="24"/>
          <w:highlight w:val="none"/>
        </w:rPr>
        <w:fldChar w:fldCharType="begin"/>
      </w:r>
      <w:r>
        <w:rPr>
          <w:rFonts w:eastAsia="宋体" w:cs="Times New Roman"/>
          <w:color w:val="auto"/>
          <w:sz w:val="24"/>
          <w:szCs w:val="24"/>
          <w:highlight w:val="none"/>
        </w:rPr>
        <w:instrText xml:space="preserve"> STYLEREF 2 \s </w:instrText>
      </w:r>
      <w:r>
        <w:rPr>
          <w:rFonts w:eastAsia="宋体" w:cs="Times New Roman"/>
          <w:color w:val="auto"/>
          <w:sz w:val="24"/>
          <w:szCs w:val="24"/>
          <w:highlight w:val="none"/>
        </w:rPr>
        <w:fldChar w:fldCharType="separate"/>
      </w:r>
      <w:r>
        <w:rPr>
          <w:rFonts w:eastAsia="宋体" w:cs="Times New Roman"/>
          <w:color w:val="auto"/>
          <w:sz w:val="24"/>
          <w:szCs w:val="24"/>
          <w:highlight w:val="none"/>
        </w:rPr>
        <w:t>4.7</w:t>
      </w:r>
      <w:r>
        <w:rPr>
          <w:rFonts w:eastAsia="宋体" w:cs="Times New Roman"/>
          <w:color w:val="auto"/>
          <w:sz w:val="24"/>
          <w:szCs w:val="24"/>
          <w:highlight w:val="none"/>
        </w:rPr>
        <w:fldChar w:fldCharType="end"/>
      </w:r>
      <w:r>
        <w:rPr>
          <w:rFonts w:eastAsia="宋体" w:cs="Times New Roman"/>
          <w:color w:val="auto"/>
          <w:sz w:val="24"/>
          <w:szCs w:val="24"/>
          <w:highlight w:val="none"/>
        </w:rPr>
        <w:noBreakHyphen/>
      </w:r>
      <w:r>
        <w:rPr>
          <w:rFonts w:eastAsia="宋体" w:cs="Times New Roman"/>
          <w:color w:val="auto"/>
          <w:sz w:val="24"/>
          <w:szCs w:val="24"/>
          <w:highlight w:val="none"/>
        </w:rPr>
        <w:fldChar w:fldCharType="begin"/>
      </w:r>
      <w:r>
        <w:rPr>
          <w:rFonts w:eastAsia="宋体" w:cs="Times New Roman"/>
          <w:color w:val="auto"/>
          <w:sz w:val="24"/>
          <w:szCs w:val="24"/>
          <w:highlight w:val="none"/>
        </w:rPr>
        <w:instrText xml:space="preserve"> SEQ 表 \* ARABIC \s 2 </w:instrText>
      </w:r>
      <w:r>
        <w:rPr>
          <w:rFonts w:eastAsia="宋体" w:cs="Times New Roman"/>
          <w:color w:val="auto"/>
          <w:sz w:val="24"/>
          <w:szCs w:val="24"/>
          <w:highlight w:val="none"/>
        </w:rPr>
        <w:fldChar w:fldCharType="separate"/>
      </w:r>
      <w:r>
        <w:rPr>
          <w:rFonts w:eastAsia="宋体" w:cs="Times New Roman"/>
          <w:color w:val="auto"/>
          <w:sz w:val="24"/>
          <w:szCs w:val="24"/>
          <w:highlight w:val="none"/>
        </w:rPr>
        <w:t>1</w:t>
      </w:r>
      <w:r>
        <w:rPr>
          <w:rFonts w:eastAsia="宋体" w:cs="Times New Roman"/>
          <w:color w:val="auto"/>
          <w:sz w:val="24"/>
          <w:szCs w:val="24"/>
          <w:highlight w:val="none"/>
        </w:rPr>
        <w:fldChar w:fldCharType="end"/>
      </w:r>
      <w:r>
        <w:rPr>
          <w:rFonts w:hint="eastAsia" w:eastAsia="宋体" w:cs="Times New Roman"/>
          <w:color w:val="auto"/>
          <w:sz w:val="24"/>
          <w:szCs w:val="24"/>
          <w:highlight w:val="none"/>
        </w:rPr>
        <w:t>本项目污染物产生及排放情况汇总</w:t>
      </w:r>
    </w:p>
    <w:tbl>
      <w:tblPr>
        <w:tblStyle w:val="45"/>
        <w:tblW w:w="1427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045"/>
        <w:gridCol w:w="601"/>
        <w:gridCol w:w="1127"/>
        <w:gridCol w:w="1965"/>
        <w:gridCol w:w="1361"/>
        <w:gridCol w:w="1256"/>
        <w:gridCol w:w="1470"/>
        <w:gridCol w:w="1253"/>
        <w:gridCol w:w="1399"/>
        <w:gridCol w:w="2799"/>
      </w:tblGrid>
      <w:tr w14:paraId="31150F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78" w:hRule="atLeast"/>
          <w:jc w:val="center"/>
        </w:trPr>
        <w:tc>
          <w:tcPr>
            <w:tcW w:w="1045" w:type="dxa"/>
            <w:tcBorders>
              <w:top w:val="single" w:color="auto" w:sz="4" w:space="0"/>
              <w:left w:val="single" w:color="auto" w:sz="4" w:space="0"/>
              <w:bottom w:val="single" w:color="auto" w:sz="4" w:space="0"/>
              <w:right w:val="single" w:color="auto" w:sz="4" w:space="0"/>
              <w:tl2br w:val="single" w:color="auto" w:sz="4" w:space="0"/>
            </w:tcBorders>
          </w:tcPr>
          <w:p w14:paraId="35A5C282">
            <w:pPr>
              <w:pStyle w:val="154"/>
              <w:keepNext w:val="0"/>
              <w:keepLines w:val="0"/>
              <w:pageBreakBefore w:val="0"/>
              <w:kinsoku/>
              <w:wordWrap/>
              <w:overflowPunct/>
              <w:topLinePunct w:val="0"/>
              <w:autoSpaceDE/>
              <w:autoSpaceDN/>
              <w:bidi w:val="0"/>
              <w:ind w:left="0" w:right="0"/>
              <w:rPr>
                <w:color w:val="auto"/>
                <w:sz w:val="21"/>
                <w:szCs w:val="21"/>
                <w:highlight w:val="none"/>
              </w:rPr>
            </w:pPr>
            <w:r>
              <w:rPr>
                <w:color w:val="auto"/>
                <w:sz w:val="21"/>
                <w:szCs w:val="21"/>
                <w:highlight w:val="none"/>
              </w:rPr>
              <mc:AlternateContent>
                <mc:Choice Requires="wps">
                  <w:drawing>
                    <wp:anchor distT="0" distB="0" distL="114300" distR="114300" simplePos="0" relativeHeight="251668480" behindDoc="0" locked="0" layoutInCell="1" allowOverlap="1">
                      <wp:simplePos x="0" y="0"/>
                      <wp:positionH relativeFrom="margin">
                        <wp:posOffset>82550</wp:posOffset>
                      </wp:positionH>
                      <wp:positionV relativeFrom="paragraph">
                        <wp:posOffset>42545</wp:posOffset>
                      </wp:positionV>
                      <wp:extent cx="575945" cy="492760"/>
                      <wp:effectExtent l="0" t="0" r="0" b="0"/>
                      <wp:wrapNone/>
                      <wp:docPr id="277" name="矩形 1"/>
                      <wp:cNvGraphicFramePr/>
                      <a:graphic xmlns:a="http://schemas.openxmlformats.org/drawingml/2006/main">
                        <a:graphicData uri="http://schemas.microsoft.com/office/word/2010/wordprocessingShape">
                          <wps:wsp>
                            <wps:cNvSpPr>
                              <a:spLocks noChangeArrowheads="1"/>
                            </wps:cNvSpPr>
                            <wps:spPr bwMode="auto">
                              <a:xfrm>
                                <a:off x="0" y="0"/>
                                <a:ext cx="575945" cy="492760"/>
                              </a:xfrm>
                              <a:prstGeom prst="rect">
                                <a:avLst/>
                              </a:prstGeom>
                              <a:noFill/>
                              <a:ln>
                                <a:noFill/>
                              </a:ln>
                            </wps:spPr>
                            <wps:txbx>
                              <w:txbxContent>
                                <w:p w14:paraId="3297E218">
                                  <w:pPr>
                                    <w:spacing w:line="240" w:lineRule="atLeast"/>
                                    <w:ind w:firstLine="422"/>
                                    <w:rPr>
                                      <w:b/>
                                      <w:bCs/>
                                      <w:sz w:val="21"/>
                                      <w:szCs w:val="21"/>
                                    </w:rPr>
                                  </w:pPr>
                                  <w:r>
                                    <w:rPr>
                                      <w:rFonts w:hint="eastAsia"/>
                                      <w:b/>
                                      <w:bCs/>
                                      <w:sz w:val="21"/>
                                      <w:szCs w:val="21"/>
                                    </w:rPr>
                                    <w:t>内容</w:t>
                                  </w:r>
                                </w:p>
                                <w:p w14:paraId="4BA3A192">
                                  <w:pPr>
                                    <w:spacing w:line="240" w:lineRule="atLeast"/>
                                    <w:rPr>
                                      <w:b/>
                                      <w:bCs/>
                                      <w:sz w:val="21"/>
                                      <w:szCs w:val="21"/>
                                    </w:rPr>
                                  </w:pPr>
                                  <w:r>
                                    <w:rPr>
                                      <w:rFonts w:hint="eastAsia"/>
                                      <w:b/>
                                      <w:bCs/>
                                      <w:sz w:val="21"/>
                                      <w:szCs w:val="21"/>
                                    </w:rPr>
                                    <w:t>类型</w:t>
                                  </w:r>
                                </w:p>
                              </w:txbxContent>
                            </wps:txbx>
                            <wps:bodyPr rot="0" vert="horz" wrap="square" lIns="0" tIns="0" rIns="0" bIns="0" anchor="t" anchorCtr="0" upright="1">
                              <a:noAutofit/>
                            </wps:bodyPr>
                          </wps:wsp>
                        </a:graphicData>
                      </a:graphic>
                    </wp:anchor>
                  </w:drawing>
                </mc:Choice>
                <mc:Fallback>
                  <w:pict>
                    <v:rect id="矩形 1" o:spid="_x0000_s1026" o:spt="1" style="position:absolute;left:0pt;margin-left:6.5pt;margin-top:3.35pt;height:38.8pt;width:45.35pt;mso-position-horizontal-relative:margin;z-index:251668480;mso-width-relative:page;mso-height-relative:page;" filled="f" stroked="f" coordsize="21600,21600" o:gfxdata="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&#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oo8Jp9cAAAAHAQAADwAAAAAAAAABACAAAAAiAAAAZHJz&#10;L2Rvd25yZXYueG1sUEsBAhQAFAAAAAgAh07iQIxYjcIFAgAA+QMAAA4AAAAAAAAAAQAgAAAAJgEA&#10;AGRycy9lMm9Eb2MueG1sUEsFBgAAAAAGAAYAWQEAAJ0FAAAAAA==&#10;">
                      <v:fill on="f" focussize="0,0"/>
                      <v:stroke on="f"/>
                      <v:imagedata o:title=""/>
                      <o:lock v:ext="edit" aspectratio="f"/>
                      <v:textbox inset="0mm,0mm,0mm,0mm">
                        <w:txbxContent>
                          <w:p w14:paraId="3297E218">
                            <w:pPr>
                              <w:spacing w:line="240" w:lineRule="atLeast"/>
                              <w:ind w:firstLine="422"/>
                              <w:rPr>
                                <w:b/>
                                <w:bCs/>
                                <w:sz w:val="21"/>
                                <w:szCs w:val="21"/>
                              </w:rPr>
                            </w:pPr>
                            <w:r>
                              <w:rPr>
                                <w:rFonts w:hint="eastAsia"/>
                                <w:b/>
                                <w:bCs/>
                                <w:sz w:val="21"/>
                                <w:szCs w:val="21"/>
                              </w:rPr>
                              <w:t>内容</w:t>
                            </w:r>
                          </w:p>
                          <w:p w14:paraId="4BA3A192">
                            <w:pPr>
                              <w:spacing w:line="240" w:lineRule="atLeast"/>
                              <w:rPr>
                                <w:b/>
                                <w:bCs/>
                                <w:sz w:val="21"/>
                                <w:szCs w:val="21"/>
                              </w:rPr>
                            </w:pPr>
                            <w:r>
                              <w:rPr>
                                <w:rFonts w:hint="eastAsia"/>
                                <w:b/>
                                <w:bCs/>
                                <w:sz w:val="21"/>
                                <w:szCs w:val="21"/>
                              </w:rPr>
                              <w:t>类型</w:t>
                            </w:r>
                          </w:p>
                        </w:txbxContent>
                      </v:textbox>
                    </v:rect>
                  </w:pict>
                </mc:Fallback>
              </mc:AlternateContent>
            </w:r>
          </w:p>
        </w:tc>
        <w:tc>
          <w:tcPr>
            <w:tcW w:w="1728"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335C46A6">
            <w:pPr>
              <w:pStyle w:val="154"/>
              <w:keepNext w:val="0"/>
              <w:keepLines w:val="0"/>
              <w:pageBreakBefore w:val="0"/>
              <w:kinsoku/>
              <w:wordWrap/>
              <w:overflowPunct/>
              <w:topLinePunct w:val="0"/>
              <w:autoSpaceDE/>
              <w:autoSpaceDN/>
              <w:bidi w:val="0"/>
              <w:ind w:left="0" w:right="0"/>
              <w:rPr>
                <w:b/>
                <w:bCs/>
                <w:color w:val="auto"/>
                <w:sz w:val="21"/>
                <w:szCs w:val="21"/>
                <w:highlight w:val="none"/>
              </w:rPr>
            </w:pPr>
            <w:r>
              <w:rPr>
                <w:b/>
                <w:bCs/>
                <w:color w:val="auto"/>
                <w:sz w:val="21"/>
                <w:szCs w:val="21"/>
                <w:highlight w:val="none"/>
              </w:rPr>
              <w:t>排放源</w:t>
            </w:r>
          </w:p>
        </w:tc>
        <w:tc>
          <w:tcPr>
            <w:tcW w:w="1965" w:type="dxa"/>
            <w:tcBorders>
              <w:top w:val="single" w:color="auto" w:sz="4" w:space="0"/>
              <w:left w:val="single" w:color="auto" w:sz="4" w:space="0"/>
              <w:bottom w:val="single" w:color="auto" w:sz="4" w:space="0"/>
              <w:right w:val="single" w:color="auto" w:sz="4" w:space="0"/>
            </w:tcBorders>
            <w:shd w:val="clear" w:color="auto" w:fill="auto"/>
            <w:vAlign w:val="center"/>
          </w:tcPr>
          <w:p w14:paraId="427503BA">
            <w:pPr>
              <w:pStyle w:val="154"/>
              <w:keepNext w:val="0"/>
              <w:keepLines w:val="0"/>
              <w:pageBreakBefore w:val="0"/>
              <w:kinsoku/>
              <w:wordWrap/>
              <w:overflowPunct/>
              <w:topLinePunct w:val="0"/>
              <w:autoSpaceDE/>
              <w:autoSpaceDN/>
              <w:bidi w:val="0"/>
              <w:ind w:left="0" w:right="0"/>
              <w:rPr>
                <w:b/>
                <w:bCs/>
                <w:color w:val="auto"/>
                <w:sz w:val="21"/>
                <w:szCs w:val="21"/>
                <w:highlight w:val="none"/>
              </w:rPr>
            </w:pPr>
            <w:r>
              <w:rPr>
                <w:b/>
                <w:bCs/>
                <w:color w:val="auto"/>
                <w:sz w:val="21"/>
                <w:szCs w:val="21"/>
                <w:highlight w:val="none"/>
              </w:rPr>
              <w:t>污染物</w:t>
            </w:r>
          </w:p>
        </w:tc>
        <w:tc>
          <w:tcPr>
            <w:tcW w:w="1361" w:type="dxa"/>
            <w:tcBorders>
              <w:top w:val="single" w:color="auto" w:sz="4" w:space="0"/>
              <w:left w:val="single" w:color="auto" w:sz="4" w:space="0"/>
              <w:bottom w:val="single" w:color="auto" w:sz="4" w:space="0"/>
              <w:right w:val="single" w:color="auto" w:sz="4" w:space="0"/>
            </w:tcBorders>
            <w:shd w:val="clear" w:color="auto" w:fill="auto"/>
            <w:vAlign w:val="center"/>
          </w:tcPr>
          <w:p w14:paraId="7E12C81A">
            <w:pPr>
              <w:pStyle w:val="154"/>
              <w:keepNext w:val="0"/>
              <w:keepLines w:val="0"/>
              <w:pageBreakBefore w:val="0"/>
              <w:kinsoku/>
              <w:wordWrap/>
              <w:overflowPunct/>
              <w:topLinePunct w:val="0"/>
              <w:autoSpaceDE/>
              <w:autoSpaceDN/>
              <w:bidi w:val="0"/>
              <w:ind w:left="0" w:right="0"/>
              <w:rPr>
                <w:b/>
                <w:bCs/>
                <w:color w:val="auto"/>
                <w:sz w:val="21"/>
                <w:szCs w:val="21"/>
                <w:highlight w:val="none"/>
              </w:rPr>
            </w:pPr>
            <w:r>
              <w:rPr>
                <w:b/>
                <w:bCs/>
                <w:color w:val="auto"/>
                <w:sz w:val="21"/>
                <w:szCs w:val="21"/>
                <w:highlight w:val="none"/>
              </w:rPr>
              <w:t>产生浓度</w:t>
            </w:r>
            <w:r>
              <w:rPr>
                <w:b/>
                <w:bCs/>
                <w:color w:val="auto"/>
                <w:spacing w:val="-6"/>
                <w:sz w:val="21"/>
                <w:szCs w:val="21"/>
                <w:highlight w:val="none"/>
              </w:rPr>
              <w:t>mg/m</w:t>
            </w:r>
            <w:r>
              <w:rPr>
                <w:b/>
                <w:bCs/>
                <w:color w:val="auto"/>
                <w:spacing w:val="-6"/>
                <w:sz w:val="21"/>
                <w:szCs w:val="21"/>
                <w:highlight w:val="none"/>
                <w:vertAlign w:val="superscript"/>
              </w:rPr>
              <w:t>3</w:t>
            </w:r>
          </w:p>
        </w:tc>
        <w:tc>
          <w:tcPr>
            <w:tcW w:w="1256" w:type="dxa"/>
            <w:tcBorders>
              <w:top w:val="single" w:color="auto" w:sz="4" w:space="0"/>
              <w:left w:val="single" w:color="auto" w:sz="4" w:space="0"/>
              <w:bottom w:val="single" w:color="auto" w:sz="4" w:space="0"/>
              <w:right w:val="single" w:color="auto" w:sz="4" w:space="0"/>
            </w:tcBorders>
            <w:shd w:val="clear" w:color="auto" w:fill="auto"/>
            <w:vAlign w:val="center"/>
          </w:tcPr>
          <w:p w14:paraId="3D4E9B20">
            <w:pPr>
              <w:pStyle w:val="154"/>
              <w:keepNext w:val="0"/>
              <w:keepLines w:val="0"/>
              <w:pageBreakBefore w:val="0"/>
              <w:kinsoku/>
              <w:wordWrap/>
              <w:overflowPunct/>
              <w:topLinePunct w:val="0"/>
              <w:autoSpaceDE/>
              <w:autoSpaceDN/>
              <w:bidi w:val="0"/>
              <w:ind w:left="0" w:right="0"/>
              <w:rPr>
                <w:b/>
                <w:bCs/>
                <w:color w:val="auto"/>
                <w:sz w:val="21"/>
                <w:szCs w:val="21"/>
                <w:highlight w:val="none"/>
              </w:rPr>
            </w:pPr>
            <w:r>
              <w:rPr>
                <w:b/>
                <w:bCs/>
                <w:color w:val="auto"/>
                <w:sz w:val="21"/>
                <w:szCs w:val="21"/>
                <w:highlight w:val="none"/>
              </w:rPr>
              <w:t>产生量t/a</w:t>
            </w:r>
          </w:p>
        </w:tc>
        <w:tc>
          <w:tcPr>
            <w:tcW w:w="1470" w:type="dxa"/>
            <w:tcBorders>
              <w:top w:val="single" w:color="auto" w:sz="4" w:space="0"/>
              <w:left w:val="single" w:color="auto" w:sz="4" w:space="0"/>
              <w:bottom w:val="single" w:color="auto" w:sz="4" w:space="0"/>
              <w:right w:val="single" w:color="auto" w:sz="4" w:space="0"/>
            </w:tcBorders>
            <w:shd w:val="clear" w:color="auto" w:fill="auto"/>
            <w:vAlign w:val="center"/>
          </w:tcPr>
          <w:p w14:paraId="1DEBAF6E">
            <w:pPr>
              <w:pStyle w:val="154"/>
              <w:keepNext w:val="0"/>
              <w:keepLines w:val="0"/>
              <w:pageBreakBefore w:val="0"/>
              <w:kinsoku/>
              <w:wordWrap/>
              <w:overflowPunct/>
              <w:topLinePunct w:val="0"/>
              <w:autoSpaceDE/>
              <w:autoSpaceDN/>
              <w:bidi w:val="0"/>
              <w:ind w:left="0" w:right="0"/>
              <w:rPr>
                <w:b/>
                <w:bCs/>
                <w:color w:val="auto"/>
                <w:sz w:val="21"/>
                <w:szCs w:val="21"/>
                <w:highlight w:val="none"/>
              </w:rPr>
            </w:pPr>
            <w:r>
              <w:rPr>
                <w:b/>
                <w:bCs/>
                <w:color w:val="auto"/>
                <w:sz w:val="21"/>
                <w:szCs w:val="21"/>
                <w:highlight w:val="none"/>
              </w:rPr>
              <w:t>排放浓度</w:t>
            </w:r>
            <w:r>
              <w:rPr>
                <w:b/>
                <w:bCs/>
                <w:color w:val="auto"/>
                <w:spacing w:val="-6"/>
                <w:sz w:val="21"/>
                <w:szCs w:val="21"/>
                <w:highlight w:val="none"/>
              </w:rPr>
              <w:t>mg/m</w:t>
            </w:r>
            <w:r>
              <w:rPr>
                <w:b/>
                <w:bCs/>
                <w:color w:val="auto"/>
                <w:spacing w:val="-6"/>
                <w:sz w:val="21"/>
                <w:szCs w:val="21"/>
                <w:highlight w:val="none"/>
                <w:vertAlign w:val="superscript"/>
              </w:rPr>
              <w:t>3</w:t>
            </w:r>
          </w:p>
        </w:tc>
        <w:tc>
          <w:tcPr>
            <w:tcW w:w="1253" w:type="dxa"/>
            <w:tcBorders>
              <w:top w:val="single" w:color="auto" w:sz="4" w:space="0"/>
              <w:left w:val="single" w:color="auto" w:sz="4" w:space="0"/>
              <w:bottom w:val="single" w:color="auto" w:sz="4" w:space="0"/>
              <w:right w:val="single" w:color="auto" w:sz="4" w:space="0"/>
            </w:tcBorders>
            <w:shd w:val="clear" w:color="auto" w:fill="auto"/>
            <w:vAlign w:val="center"/>
          </w:tcPr>
          <w:p w14:paraId="4CFCFB4F">
            <w:pPr>
              <w:pStyle w:val="154"/>
              <w:keepNext w:val="0"/>
              <w:keepLines w:val="0"/>
              <w:pageBreakBefore w:val="0"/>
              <w:kinsoku/>
              <w:wordWrap/>
              <w:overflowPunct/>
              <w:topLinePunct w:val="0"/>
              <w:autoSpaceDE/>
              <w:autoSpaceDN/>
              <w:bidi w:val="0"/>
              <w:ind w:left="0" w:right="0"/>
              <w:rPr>
                <w:b/>
                <w:bCs/>
                <w:color w:val="auto"/>
                <w:sz w:val="21"/>
                <w:szCs w:val="21"/>
                <w:highlight w:val="none"/>
              </w:rPr>
            </w:pPr>
            <w:r>
              <w:rPr>
                <w:b/>
                <w:bCs/>
                <w:color w:val="auto"/>
                <w:sz w:val="21"/>
                <w:szCs w:val="21"/>
                <w:highlight w:val="none"/>
              </w:rPr>
              <w:t>排放速率kg/h</w:t>
            </w:r>
          </w:p>
        </w:tc>
        <w:tc>
          <w:tcPr>
            <w:tcW w:w="1399" w:type="dxa"/>
            <w:tcBorders>
              <w:top w:val="single" w:color="auto" w:sz="4" w:space="0"/>
              <w:left w:val="single" w:color="auto" w:sz="4" w:space="0"/>
              <w:bottom w:val="single" w:color="auto" w:sz="4" w:space="0"/>
              <w:right w:val="single" w:color="auto" w:sz="4" w:space="0"/>
            </w:tcBorders>
            <w:shd w:val="clear" w:color="auto" w:fill="auto"/>
            <w:vAlign w:val="center"/>
          </w:tcPr>
          <w:p w14:paraId="0524E0B6">
            <w:pPr>
              <w:pStyle w:val="154"/>
              <w:keepNext w:val="0"/>
              <w:keepLines w:val="0"/>
              <w:pageBreakBefore w:val="0"/>
              <w:kinsoku/>
              <w:wordWrap/>
              <w:overflowPunct/>
              <w:topLinePunct w:val="0"/>
              <w:autoSpaceDE/>
              <w:autoSpaceDN/>
              <w:bidi w:val="0"/>
              <w:ind w:left="0" w:right="0"/>
              <w:rPr>
                <w:b/>
                <w:bCs/>
                <w:color w:val="auto"/>
                <w:sz w:val="21"/>
                <w:szCs w:val="21"/>
                <w:highlight w:val="none"/>
              </w:rPr>
            </w:pPr>
            <w:r>
              <w:rPr>
                <w:b/>
                <w:bCs/>
                <w:color w:val="auto"/>
                <w:sz w:val="21"/>
                <w:szCs w:val="21"/>
                <w:highlight w:val="none"/>
              </w:rPr>
              <w:t>排放量t/a</w:t>
            </w:r>
          </w:p>
        </w:tc>
        <w:tc>
          <w:tcPr>
            <w:tcW w:w="2799" w:type="dxa"/>
            <w:tcBorders>
              <w:top w:val="single" w:color="auto" w:sz="4" w:space="0"/>
              <w:left w:val="single" w:color="auto" w:sz="4" w:space="0"/>
              <w:bottom w:val="single" w:color="auto" w:sz="4" w:space="0"/>
              <w:right w:val="single" w:color="auto" w:sz="4" w:space="0"/>
            </w:tcBorders>
            <w:shd w:val="clear" w:color="auto" w:fill="auto"/>
            <w:vAlign w:val="center"/>
          </w:tcPr>
          <w:p w14:paraId="7F90893C">
            <w:pPr>
              <w:pStyle w:val="154"/>
              <w:keepNext w:val="0"/>
              <w:keepLines w:val="0"/>
              <w:pageBreakBefore w:val="0"/>
              <w:kinsoku/>
              <w:wordWrap/>
              <w:overflowPunct/>
              <w:topLinePunct w:val="0"/>
              <w:autoSpaceDE/>
              <w:autoSpaceDN/>
              <w:bidi w:val="0"/>
              <w:ind w:left="0" w:right="0"/>
              <w:rPr>
                <w:b/>
                <w:bCs/>
                <w:color w:val="auto"/>
                <w:sz w:val="21"/>
                <w:szCs w:val="21"/>
                <w:highlight w:val="none"/>
              </w:rPr>
            </w:pPr>
            <w:r>
              <w:rPr>
                <w:b/>
                <w:bCs/>
                <w:color w:val="auto"/>
                <w:sz w:val="21"/>
                <w:szCs w:val="21"/>
                <w:highlight w:val="none"/>
              </w:rPr>
              <w:t>排放去向</w:t>
            </w:r>
          </w:p>
        </w:tc>
      </w:tr>
      <w:tr w14:paraId="665406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1045" w:type="dxa"/>
            <w:vMerge w:val="restart"/>
            <w:tcBorders>
              <w:top w:val="single" w:color="auto" w:sz="4" w:space="0"/>
              <w:left w:val="single" w:color="auto" w:sz="4" w:space="0"/>
              <w:right w:val="single" w:color="auto" w:sz="4" w:space="0"/>
            </w:tcBorders>
            <w:vAlign w:val="center"/>
          </w:tcPr>
          <w:p w14:paraId="7AD0B6E8">
            <w:pPr>
              <w:pStyle w:val="154"/>
              <w:keepNext w:val="0"/>
              <w:keepLines w:val="0"/>
              <w:pageBreakBefore w:val="0"/>
              <w:kinsoku/>
              <w:wordWrap/>
              <w:overflowPunct/>
              <w:topLinePunct w:val="0"/>
              <w:autoSpaceDE/>
              <w:autoSpaceDN/>
              <w:bidi w:val="0"/>
              <w:ind w:left="0" w:right="0"/>
              <w:rPr>
                <w:color w:val="auto"/>
                <w:sz w:val="21"/>
                <w:szCs w:val="21"/>
                <w:highlight w:val="none"/>
              </w:rPr>
            </w:pPr>
            <w:r>
              <w:rPr>
                <w:color w:val="auto"/>
                <w:sz w:val="21"/>
                <w:szCs w:val="21"/>
                <w:highlight w:val="none"/>
              </w:rPr>
              <w:t>大气污染物</w:t>
            </w:r>
          </w:p>
        </w:tc>
        <w:tc>
          <w:tcPr>
            <w:tcW w:w="601" w:type="dxa"/>
            <w:vMerge w:val="restart"/>
            <w:tcBorders>
              <w:left w:val="single" w:color="auto" w:sz="4" w:space="0"/>
              <w:right w:val="single" w:color="auto" w:sz="4" w:space="0"/>
            </w:tcBorders>
            <w:vAlign w:val="center"/>
          </w:tcPr>
          <w:p w14:paraId="02E7D92B">
            <w:pPr>
              <w:pStyle w:val="154"/>
              <w:keepNext w:val="0"/>
              <w:keepLines w:val="0"/>
              <w:pageBreakBefore w:val="0"/>
              <w:kinsoku/>
              <w:wordWrap/>
              <w:overflowPunct/>
              <w:topLinePunct w:val="0"/>
              <w:autoSpaceDE/>
              <w:autoSpaceDN/>
              <w:bidi w:val="0"/>
              <w:ind w:left="0" w:right="0"/>
              <w:rPr>
                <w:color w:val="auto"/>
                <w:sz w:val="21"/>
                <w:szCs w:val="21"/>
                <w:highlight w:val="none"/>
              </w:rPr>
            </w:pPr>
            <w:r>
              <w:rPr>
                <w:color w:val="auto"/>
                <w:sz w:val="21"/>
                <w:szCs w:val="21"/>
                <w:highlight w:val="none"/>
              </w:rPr>
              <w:t>有组织</w:t>
            </w:r>
          </w:p>
        </w:tc>
        <w:tc>
          <w:tcPr>
            <w:tcW w:w="1127" w:type="dxa"/>
            <w:tcBorders>
              <w:top w:val="single" w:color="auto" w:sz="4" w:space="0"/>
              <w:left w:val="single" w:color="auto" w:sz="4" w:space="0"/>
              <w:right w:val="single" w:color="auto" w:sz="4" w:space="0"/>
            </w:tcBorders>
            <w:vAlign w:val="center"/>
          </w:tcPr>
          <w:p w14:paraId="0B074AA6">
            <w:pPr>
              <w:pStyle w:val="154"/>
              <w:keepNext w:val="0"/>
              <w:keepLines w:val="0"/>
              <w:pageBreakBefore w:val="0"/>
              <w:kinsoku/>
              <w:wordWrap/>
              <w:overflowPunct/>
              <w:topLinePunct w:val="0"/>
              <w:autoSpaceDE/>
              <w:autoSpaceDN/>
              <w:bidi w:val="0"/>
              <w:ind w:left="0" w:right="0"/>
              <w:rPr>
                <w:color w:val="auto"/>
                <w:sz w:val="21"/>
                <w:szCs w:val="21"/>
                <w:highlight w:val="none"/>
              </w:rPr>
            </w:pPr>
            <w:r>
              <w:rPr>
                <w:color w:val="auto"/>
                <w:sz w:val="21"/>
                <w:szCs w:val="21"/>
                <w:highlight w:val="none"/>
              </w:rPr>
              <w:t>G1-1、G1-3</w:t>
            </w:r>
          </w:p>
        </w:tc>
        <w:tc>
          <w:tcPr>
            <w:tcW w:w="1965" w:type="dxa"/>
            <w:tcBorders>
              <w:top w:val="single" w:color="auto" w:sz="4" w:space="0"/>
              <w:left w:val="single" w:color="auto" w:sz="4" w:space="0"/>
              <w:bottom w:val="single" w:color="auto" w:sz="4" w:space="0"/>
              <w:right w:val="single" w:color="auto" w:sz="4" w:space="0"/>
            </w:tcBorders>
            <w:vAlign w:val="center"/>
          </w:tcPr>
          <w:p w14:paraId="09A2EEE4">
            <w:pPr>
              <w:keepNext w:val="0"/>
              <w:keepLines w:val="0"/>
              <w:pageBreakBefore w:val="0"/>
              <w:kinsoku/>
              <w:wordWrap/>
              <w:overflowPunct/>
              <w:topLinePunct w:val="0"/>
              <w:autoSpaceDE/>
              <w:autoSpaceDN/>
              <w:bidi w:val="0"/>
              <w:ind w:left="0" w:right="0"/>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非甲烷总烃</w:t>
            </w:r>
          </w:p>
        </w:tc>
        <w:tc>
          <w:tcPr>
            <w:tcW w:w="1361" w:type="dxa"/>
            <w:tcBorders>
              <w:top w:val="single" w:color="auto" w:sz="4" w:space="0"/>
              <w:left w:val="single" w:color="auto" w:sz="4" w:space="0"/>
              <w:bottom w:val="single" w:color="auto" w:sz="4" w:space="0"/>
              <w:right w:val="single" w:color="auto" w:sz="4" w:space="0"/>
            </w:tcBorders>
            <w:vAlign w:val="center"/>
          </w:tcPr>
          <w:p w14:paraId="3117A670">
            <w:pPr>
              <w:keepNext w:val="0"/>
              <w:keepLines w:val="0"/>
              <w:pageBreakBefore w:val="0"/>
              <w:kinsoku/>
              <w:wordWrap/>
              <w:overflowPunct/>
              <w:topLinePunct w:val="0"/>
              <w:autoSpaceDE/>
              <w:autoSpaceDN/>
              <w:bidi w:val="0"/>
              <w:ind w:left="0" w:right="0"/>
              <w:jc w:val="center"/>
              <w:textAlignment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28.8488</w:t>
            </w:r>
          </w:p>
        </w:tc>
        <w:tc>
          <w:tcPr>
            <w:tcW w:w="1256" w:type="dxa"/>
            <w:tcBorders>
              <w:top w:val="single" w:color="auto" w:sz="4" w:space="0"/>
              <w:left w:val="single" w:color="auto" w:sz="4" w:space="0"/>
              <w:bottom w:val="single" w:color="auto" w:sz="4" w:space="0"/>
              <w:right w:val="single" w:color="auto" w:sz="4" w:space="0"/>
            </w:tcBorders>
            <w:vAlign w:val="center"/>
          </w:tcPr>
          <w:p w14:paraId="7D1625B6">
            <w:pPr>
              <w:keepNext w:val="0"/>
              <w:keepLines w:val="0"/>
              <w:pageBreakBefore w:val="0"/>
              <w:kinsoku/>
              <w:wordWrap/>
              <w:overflowPunct/>
              <w:topLinePunct w:val="0"/>
              <w:autoSpaceDE/>
              <w:autoSpaceDN/>
              <w:bidi w:val="0"/>
              <w:ind w:left="0" w:right="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1.1540</w:t>
            </w:r>
          </w:p>
        </w:tc>
        <w:tc>
          <w:tcPr>
            <w:tcW w:w="1470" w:type="dxa"/>
            <w:tcBorders>
              <w:top w:val="single" w:color="auto" w:sz="4" w:space="0"/>
              <w:left w:val="single" w:color="auto" w:sz="4" w:space="0"/>
              <w:bottom w:val="single" w:color="auto" w:sz="4" w:space="0"/>
              <w:right w:val="single" w:color="auto" w:sz="4" w:space="0"/>
            </w:tcBorders>
            <w:vAlign w:val="center"/>
          </w:tcPr>
          <w:p w14:paraId="64B3D969">
            <w:pPr>
              <w:keepNext w:val="0"/>
              <w:keepLines w:val="0"/>
              <w:pageBreakBefore w:val="0"/>
              <w:widowControl/>
              <w:suppressLineNumbers w:val="0"/>
              <w:kinsoku/>
              <w:wordWrap/>
              <w:overflowPunct/>
              <w:topLinePunct w:val="0"/>
              <w:autoSpaceDE/>
              <w:autoSpaceDN/>
              <w:bidi w:val="0"/>
              <w:jc w:val="center"/>
              <w:textAlignment w:val="center"/>
              <w:rPr>
                <w:rFonts w:ascii="Times New Roman" w:hAnsi="Times New Roman" w:cs="Times New Roman"/>
                <w:color w:val="auto"/>
                <w:sz w:val="21"/>
                <w:szCs w:val="21"/>
                <w:highlight w:val="none"/>
              </w:rPr>
            </w:pPr>
            <w:r>
              <w:rPr>
                <w:rFonts w:hint="default" w:ascii="Times New Roman" w:hAnsi="Times New Roman" w:eastAsia="等线" w:cs="Times New Roman"/>
                <w:i w:val="0"/>
                <w:iCs w:val="0"/>
                <w:color w:val="auto"/>
                <w:kern w:val="0"/>
                <w:sz w:val="21"/>
                <w:szCs w:val="21"/>
                <w:highlight w:val="none"/>
                <w:u w:val="none"/>
                <w:lang w:val="en-US" w:eastAsia="zh-CN" w:bidi="ar"/>
              </w:rPr>
              <w:t>2.8849</w:t>
            </w:r>
          </w:p>
        </w:tc>
        <w:tc>
          <w:tcPr>
            <w:tcW w:w="1253" w:type="dxa"/>
            <w:tcBorders>
              <w:top w:val="single" w:color="auto" w:sz="4" w:space="0"/>
              <w:left w:val="single" w:color="auto" w:sz="4" w:space="0"/>
              <w:bottom w:val="single" w:color="auto" w:sz="4" w:space="0"/>
              <w:right w:val="single" w:color="auto" w:sz="4" w:space="0"/>
            </w:tcBorders>
            <w:vAlign w:val="center"/>
          </w:tcPr>
          <w:p w14:paraId="6E4C6D1F">
            <w:pPr>
              <w:keepNext w:val="0"/>
              <w:keepLines w:val="0"/>
              <w:pageBreakBefore w:val="0"/>
              <w:widowControl/>
              <w:suppressLineNumbers w:val="0"/>
              <w:kinsoku/>
              <w:wordWrap/>
              <w:overflowPunct/>
              <w:topLinePunct w:val="0"/>
              <w:autoSpaceDE/>
              <w:autoSpaceDN/>
              <w:bidi w:val="0"/>
              <w:jc w:val="center"/>
              <w:textAlignment w:val="center"/>
              <w:rPr>
                <w:rFonts w:ascii="Times New Roman" w:hAnsi="Times New Roman" w:cs="Times New Roman"/>
                <w:color w:val="auto"/>
                <w:sz w:val="21"/>
                <w:szCs w:val="21"/>
                <w:highlight w:val="none"/>
              </w:rPr>
            </w:pPr>
            <w:r>
              <w:rPr>
                <w:rFonts w:hint="default" w:ascii="Times New Roman" w:hAnsi="Times New Roman" w:eastAsia="等线" w:cs="Times New Roman"/>
                <w:i w:val="0"/>
                <w:iCs w:val="0"/>
                <w:color w:val="auto"/>
                <w:kern w:val="0"/>
                <w:sz w:val="21"/>
                <w:szCs w:val="21"/>
                <w:highlight w:val="none"/>
                <w:u w:val="none"/>
                <w:lang w:val="en-US" w:eastAsia="zh-CN" w:bidi="ar"/>
              </w:rPr>
              <w:t>0.0577</w:t>
            </w:r>
          </w:p>
        </w:tc>
        <w:tc>
          <w:tcPr>
            <w:tcW w:w="1399" w:type="dxa"/>
            <w:tcBorders>
              <w:top w:val="single" w:color="auto" w:sz="4" w:space="0"/>
              <w:left w:val="single" w:color="auto" w:sz="4" w:space="0"/>
              <w:bottom w:val="single" w:color="auto" w:sz="4" w:space="0"/>
              <w:right w:val="single" w:color="auto" w:sz="4" w:space="0"/>
            </w:tcBorders>
            <w:vAlign w:val="center"/>
          </w:tcPr>
          <w:p w14:paraId="73BD77F3">
            <w:pPr>
              <w:keepNext w:val="0"/>
              <w:keepLines w:val="0"/>
              <w:pageBreakBefore w:val="0"/>
              <w:widowControl/>
              <w:suppressLineNumbers w:val="0"/>
              <w:kinsoku/>
              <w:wordWrap/>
              <w:overflowPunct/>
              <w:topLinePunct w:val="0"/>
              <w:autoSpaceDE/>
              <w:autoSpaceDN/>
              <w:bidi w:val="0"/>
              <w:jc w:val="center"/>
              <w:textAlignment w:val="center"/>
              <w:rPr>
                <w:rFonts w:ascii="Times New Roman" w:hAnsi="Times New Roman" w:cs="Times New Roman"/>
                <w:color w:val="auto"/>
                <w:sz w:val="21"/>
                <w:szCs w:val="21"/>
                <w:highlight w:val="none"/>
              </w:rPr>
            </w:pPr>
            <w:r>
              <w:rPr>
                <w:rFonts w:hint="default" w:ascii="Times New Roman" w:hAnsi="Times New Roman" w:eastAsia="等线" w:cs="Times New Roman"/>
                <w:i w:val="0"/>
                <w:iCs w:val="0"/>
                <w:color w:val="auto"/>
                <w:kern w:val="0"/>
                <w:sz w:val="21"/>
                <w:szCs w:val="21"/>
                <w:highlight w:val="none"/>
                <w:u w:val="none"/>
                <w:lang w:val="en-US" w:eastAsia="zh-CN" w:bidi="ar"/>
              </w:rPr>
              <w:t>0.1154</w:t>
            </w:r>
          </w:p>
        </w:tc>
        <w:tc>
          <w:tcPr>
            <w:tcW w:w="2799" w:type="dxa"/>
            <w:tcBorders>
              <w:top w:val="single" w:color="auto" w:sz="4" w:space="0"/>
              <w:left w:val="single" w:color="auto" w:sz="4" w:space="0"/>
              <w:right w:val="single" w:color="auto" w:sz="4" w:space="0"/>
            </w:tcBorders>
            <w:vAlign w:val="center"/>
          </w:tcPr>
          <w:p w14:paraId="451F61AF">
            <w:pPr>
              <w:pStyle w:val="154"/>
              <w:keepNext w:val="0"/>
              <w:keepLines w:val="0"/>
              <w:pageBreakBefore w:val="0"/>
              <w:kinsoku/>
              <w:wordWrap/>
              <w:overflowPunct/>
              <w:topLinePunct w:val="0"/>
              <w:autoSpaceDE/>
              <w:autoSpaceDN/>
              <w:bidi w:val="0"/>
              <w:ind w:left="0" w:right="0"/>
              <w:rPr>
                <w:color w:val="auto"/>
                <w:sz w:val="21"/>
                <w:szCs w:val="21"/>
                <w:highlight w:val="none"/>
              </w:rPr>
            </w:pPr>
            <w:r>
              <w:rPr>
                <w:rFonts w:hint="eastAsia"/>
                <w:color w:val="auto"/>
                <w:sz w:val="21"/>
                <w:szCs w:val="21"/>
                <w:highlight w:val="none"/>
              </w:rPr>
              <w:t>DA005高空排放</w:t>
            </w:r>
          </w:p>
        </w:tc>
      </w:tr>
      <w:tr w14:paraId="607F9F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1045" w:type="dxa"/>
            <w:vMerge w:val="continue"/>
            <w:tcBorders>
              <w:left w:val="single" w:color="auto" w:sz="4" w:space="0"/>
              <w:right w:val="single" w:color="auto" w:sz="4" w:space="0"/>
            </w:tcBorders>
            <w:vAlign w:val="center"/>
          </w:tcPr>
          <w:p w14:paraId="0CDCC5B4">
            <w:pPr>
              <w:pStyle w:val="154"/>
              <w:keepNext w:val="0"/>
              <w:keepLines w:val="0"/>
              <w:pageBreakBefore w:val="0"/>
              <w:kinsoku/>
              <w:wordWrap/>
              <w:overflowPunct/>
              <w:topLinePunct w:val="0"/>
              <w:autoSpaceDE/>
              <w:autoSpaceDN/>
              <w:bidi w:val="0"/>
              <w:ind w:left="0" w:right="0"/>
              <w:rPr>
                <w:color w:val="auto"/>
                <w:sz w:val="21"/>
                <w:szCs w:val="21"/>
                <w:highlight w:val="none"/>
              </w:rPr>
            </w:pPr>
          </w:p>
        </w:tc>
        <w:tc>
          <w:tcPr>
            <w:tcW w:w="601" w:type="dxa"/>
            <w:vMerge w:val="continue"/>
            <w:tcBorders>
              <w:left w:val="single" w:color="auto" w:sz="4" w:space="0"/>
              <w:right w:val="single" w:color="auto" w:sz="4" w:space="0"/>
            </w:tcBorders>
            <w:vAlign w:val="center"/>
          </w:tcPr>
          <w:p w14:paraId="4ABA1848">
            <w:pPr>
              <w:pStyle w:val="154"/>
              <w:keepNext w:val="0"/>
              <w:keepLines w:val="0"/>
              <w:pageBreakBefore w:val="0"/>
              <w:kinsoku/>
              <w:wordWrap/>
              <w:overflowPunct/>
              <w:topLinePunct w:val="0"/>
              <w:autoSpaceDE/>
              <w:autoSpaceDN/>
              <w:bidi w:val="0"/>
              <w:ind w:left="0" w:right="0"/>
              <w:rPr>
                <w:color w:val="auto"/>
                <w:sz w:val="21"/>
                <w:szCs w:val="21"/>
                <w:highlight w:val="none"/>
              </w:rPr>
            </w:pPr>
          </w:p>
        </w:tc>
        <w:tc>
          <w:tcPr>
            <w:tcW w:w="1127" w:type="dxa"/>
            <w:vMerge w:val="restart"/>
            <w:tcBorders>
              <w:top w:val="single" w:color="auto" w:sz="4" w:space="0"/>
              <w:left w:val="single" w:color="auto" w:sz="4" w:space="0"/>
              <w:right w:val="single" w:color="auto" w:sz="4" w:space="0"/>
            </w:tcBorders>
            <w:vAlign w:val="center"/>
          </w:tcPr>
          <w:p w14:paraId="6182E90A">
            <w:pPr>
              <w:pStyle w:val="154"/>
              <w:keepNext w:val="0"/>
              <w:keepLines w:val="0"/>
              <w:pageBreakBefore w:val="0"/>
              <w:kinsoku/>
              <w:wordWrap/>
              <w:overflowPunct/>
              <w:topLinePunct w:val="0"/>
              <w:autoSpaceDE/>
              <w:autoSpaceDN/>
              <w:bidi w:val="0"/>
              <w:ind w:left="0" w:right="0"/>
              <w:rPr>
                <w:color w:val="auto"/>
                <w:sz w:val="21"/>
                <w:szCs w:val="21"/>
                <w:highlight w:val="none"/>
              </w:rPr>
            </w:pPr>
            <w:r>
              <w:rPr>
                <w:color w:val="auto"/>
                <w:sz w:val="21"/>
                <w:szCs w:val="21"/>
                <w:highlight w:val="none"/>
              </w:rPr>
              <w:t>G1-2</w:t>
            </w:r>
          </w:p>
        </w:tc>
        <w:tc>
          <w:tcPr>
            <w:tcW w:w="1965" w:type="dxa"/>
            <w:tcBorders>
              <w:top w:val="single" w:color="auto" w:sz="4" w:space="0"/>
              <w:left w:val="single" w:color="auto" w:sz="4" w:space="0"/>
              <w:right w:val="single" w:color="auto" w:sz="4" w:space="0"/>
            </w:tcBorders>
            <w:vAlign w:val="center"/>
          </w:tcPr>
          <w:p w14:paraId="2F2A2247">
            <w:pPr>
              <w:keepNext w:val="0"/>
              <w:keepLines w:val="0"/>
              <w:pageBreakBefore w:val="0"/>
              <w:kinsoku/>
              <w:wordWrap/>
              <w:overflowPunct/>
              <w:topLinePunct w:val="0"/>
              <w:autoSpaceDE/>
              <w:autoSpaceDN/>
              <w:bidi w:val="0"/>
              <w:ind w:left="0" w:right="0"/>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非甲烷总烃</w:t>
            </w:r>
          </w:p>
        </w:tc>
        <w:tc>
          <w:tcPr>
            <w:tcW w:w="1361" w:type="dxa"/>
            <w:tcBorders>
              <w:top w:val="single" w:color="auto" w:sz="4" w:space="0"/>
              <w:left w:val="single" w:color="auto" w:sz="4" w:space="0"/>
              <w:bottom w:val="single" w:color="auto" w:sz="4" w:space="0"/>
              <w:right w:val="single" w:color="auto" w:sz="4" w:space="0"/>
            </w:tcBorders>
            <w:vAlign w:val="center"/>
          </w:tcPr>
          <w:p w14:paraId="1B6515F8">
            <w:pPr>
              <w:keepNext w:val="0"/>
              <w:keepLines w:val="0"/>
              <w:pageBreakBefore w:val="0"/>
              <w:kinsoku/>
              <w:wordWrap/>
              <w:overflowPunct/>
              <w:topLinePunct w:val="0"/>
              <w:autoSpaceDE/>
              <w:autoSpaceDN/>
              <w:bidi w:val="0"/>
              <w:ind w:left="0" w:right="0"/>
              <w:jc w:val="center"/>
              <w:textAlignment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3.0859</w:t>
            </w:r>
          </w:p>
        </w:tc>
        <w:tc>
          <w:tcPr>
            <w:tcW w:w="1256" w:type="dxa"/>
            <w:tcBorders>
              <w:top w:val="single" w:color="auto" w:sz="4" w:space="0"/>
              <w:left w:val="single" w:color="auto" w:sz="4" w:space="0"/>
              <w:bottom w:val="single" w:color="auto" w:sz="4" w:space="0"/>
              <w:right w:val="single" w:color="auto" w:sz="4" w:space="0"/>
            </w:tcBorders>
            <w:vAlign w:val="center"/>
          </w:tcPr>
          <w:p w14:paraId="24E850C3">
            <w:pPr>
              <w:keepNext w:val="0"/>
              <w:keepLines w:val="0"/>
              <w:pageBreakBefore w:val="0"/>
              <w:kinsoku/>
              <w:wordWrap/>
              <w:overflowPunct/>
              <w:topLinePunct w:val="0"/>
              <w:autoSpaceDE/>
              <w:autoSpaceDN/>
              <w:bidi w:val="0"/>
              <w:ind w:left="0" w:right="0"/>
              <w:jc w:val="center"/>
              <w:textAlignment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0.0062</w:t>
            </w:r>
          </w:p>
        </w:tc>
        <w:tc>
          <w:tcPr>
            <w:tcW w:w="1470" w:type="dxa"/>
            <w:tcBorders>
              <w:top w:val="single" w:color="auto" w:sz="4" w:space="0"/>
              <w:left w:val="single" w:color="auto" w:sz="4" w:space="0"/>
              <w:right w:val="single" w:color="auto" w:sz="4" w:space="0"/>
            </w:tcBorders>
            <w:vAlign w:val="center"/>
          </w:tcPr>
          <w:p w14:paraId="09E2BF6E">
            <w:pPr>
              <w:keepNext w:val="0"/>
              <w:keepLines w:val="0"/>
              <w:pageBreakBefore w:val="0"/>
              <w:widowControl/>
              <w:suppressLineNumbers w:val="0"/>
              <w:kinsoku/>
              <w:wordWrap/>
              <w:overflowPunct/>
              <w:topLinePunct w:val="0"/>
              <w:autoSpaceDE/>
              <w:autoSpaceDN/>
              <w:bidi w:val="0"/>
              <w:adjustRightInd/>
              <w:snapToGrid/>
              <w:ind w:left="0" w:leftChars="0" w:right="0" w:rightChars="0"/>
              <w:jc w:val="center"/>
              <w:textAlignment w:val="center"/>
              <w:rPr>
                <w:rFonts w:ascii="Times New Roman" w:hAnsi="Times New Roman" w:cs="Times New Roman"/>
                <w:color w:val="auto"/>
                <w:sz w:val="21"/>
                <w:szCs w:val="21"/>
                <w:highlight w:val="none"/>
              </w:rPr>
            </w:pPr>
            <w:r>
              <w:rPr>
                <w:rFonts w:hint="default" w:ascii="Times New Roman" w:hAnsi="Times New Roman" w:eastAsia="等线" w:cs="Times New Roman"/>
                <w:i w:val="0"/>
                <w:iCs w:val="0"/>
                <w:color w:val="auto"/>
                <w:kern w:val="0"/>
                <w:sz w:val="21"/>
                <w:szCs w:val="21"/>
                <w:highlight w:val="none"/>
                <w:u w:val="none"/>
                <w:lang w:val="en-US" w:eastAsia="zh-CN" w:bidi="ar"/>
              </w:rPr>
              <w:t>0.3086</w:t>
            </w:r>
          </w:p>
        </w:tc>
        <w:tc>
          <w:tcPr>
            <w:tcW w:w="1253" w:type="dxa"/>
            <w:tcBorders>
              <w:top w:val="single" w:color="auto" w:sz="4" w:space="0"/>
              <w:left w:val="single" w:color="auto" w:sz="4" w:space="0"/>
              <w:right w:val="single" w:color="auto" w:sz="4" w:space="0"/>
            </w:tcBorders>
            <w:vAlign w:val="center"/>
          </w:tcPr>
          <w:p w14:paraId="44D9B830">
            <w:pPr>
              <w:keepNext w:val="0"/>
              <w:keepLines w:val="0"/>
              <w:pageBreakBefore w:val="0"/>
              <w:widowControl/>
              <w:suppressLineNumbers w:val="0"/>
              <w:kinsoku/>
              <w:wordWrap/>
              <w:overflowPunct/>
              <w:topLinePunct w:val="0"/>
              <w:autoSpaceDE/>
              <w:autoSpaceDN/>
              <w:bidi w:val="0"/>
              <w:adjustRightInd/>
              <w:snapToGrid/>
              <w:ind w:left="0" w:leftChars="0" w:right="0" w:rightChars="0"/>
              <w:jc w:val="center"/>
              <w:textAlignment w:val="center"/>
              <w:rPr>
                <w:rFonts w:ascii="Times New Roman" w:hAnsi="Times New Roman" w:cs="Times New Roman"/>
                <w:color w:val="auto"/>
                <w:sz w:val="21"/>
                <w:szCs w:val="21"/>
                <w:highlight w:val="none"/>
              </w:rPr>
            </w:pPr>
            <w:r>
              <w:rPr>
                <w:rFonts w:hint="default" w:ascii="Times New Roman" w:hAnsi="Times New Roman" w:eastAsia="等线" w:cs="Times New Roman"/>
                <w:i w:val="0"/>
                <w:iCs w:val="0"/>
                <w:color w:val="auto"/>
                <w:kern w:val="0"/>
                <w:sz w:val="21"/>
                <w:szCs w:val="21"/>
                <w:highlight w:val="none"/>
                <w:u w:val="none"/>
                <w:lang w:val="en-US" w:eastAsia="zh-CN" w:bidi="ar"/>
              </w:rPr>
              <w:t>0.0012</w:t>
            </w:r>
          </w:p>
        </w:tc>
        <w:tc>
          <w:tcPr>
            <w:tcW w:w="1399" w:type="dxa"/>
            <w:tcBorders>
              <w:top w:val="single" w:color="auto" w:sz="4" w:space="0"/>
              <w:left w:val="single" w:color="auto" w:sz="4" w:space="0"/>
              <w:right w:val="single" w:color="auto" w:sz="4" w:space="0"/>
            </w:tcBorders>
            <w:vAlign w:val="center"/>
          </w:tcPr>
          <w:p w14:paraId="052AE17B">
            <w:pPr>
              <w:keepNext w:val="0"/>
              <w:keepLines w:val="0"/>
              <w:pageBreakBefore w:val="0"/>
              <w:widowControl/>
              <w:suppressLineNumbers w:val="0"/>
              <w:kinsoku/>
              <w:wordWrap/>
              <w:overflowPunct/>
              <w:topLinePunct w:val="0"/>
              <w:autoSpaceDE/>
              <w:autoSpaceDN/>
              <w:bidi w:val="0"/>
              <w:adjustRightInd/>
              <w:snapToGrid/>
              <w:ind w:left="0" w:leftChars="0" w:right="0" w:rightChars="0"/>
              <w:jc w:val="center"/>
              <w:textAlignment w:val="center"/>
              <w:rPr>
                <w:rFonts w:ascii="Times New Roman" w:hAnsi="Times New Roman" w:cs="Times New Roman"/>
                <w:color w:val="auto"/>
                <w:sz w:val="21"/>
                <w:szCs w:val="21"/>
                <w:highlight w:val="none"/>
              </w:rPr>
            </w:pPr>
            <w:r>
              <w:rPr>
                <w:rFonts w:hint="default" w:ascii="Times New Roman" w:hAnsi="Times New Roman" w:eastAsia="等线" w:cs="Times New Roman"/>
                <w:i w:val="0"/>
                <w:iCs w:val="0"/>
                <w:color w:val="auto"/>
                <w:kern w:val="0"/>
                <w:sz w:val="21"/>
                <w:szCs w:val="21"/>
                <w:highlight w:val="none"/>
                <w:u w:val="none"/>
                <w:lang w:val="en-US" w:eastAsia="zh-CN" w:bidi="ar"/>
              </w:rPr>
              <w:t>0.0006</w:t>
            </w:r>
          </w:p>
        </w:tc>
        <w:tc>
          <w:tcPr>
            <w:tcW w:w="2799" w:type="dxa"/>
            <w:vMerge w:val="restart"/>
            <w:tcBorders>
              <w:left w:val="single" w:color="auto" w:sz="4" w:space="0"/>
              <w:right w:val="single" w:color="auto" w:sz="4" w:space="0"/>
            </w:tcBorders>
            <w:vAlign w:val="center"/>
          </w:tcPr>
          <w:p w14:paraId="227BF655">
            <w:pPr>
              <w:pStyle w:val="154"/>
              <w:keepNext w:val="0"/>
              <w:keepLines w:val="0"/>
              <w:pageBreakBefore w:val="0"/>
              <w:kinsoku/>
              <w:wordWrap/>
              <w:overflowPunct/>
              <w:topLinePunct w:val="0"/>
              <w:autoSpaceDE/>
              <w:autoSpaceDN/>
              <w:bidi w:val="0"/>
              <w:ind w:left="0" w:right="0"/>
              <w:rPr>
                <w:color w:val="auto"/>
                <w:sz w:val="21"/>
                <w:szCs w:val="21"/>
                <w:highlight w:val="none"/>
              </w:rPr>
            </w:pPr>
            <w:r>
              <w:rPr>
                <w:rFonts w:hint="eastAsia"/>
                <w:color w:val="auto"/>
                <w:sz w:val="21"/>
                <w:szCs w:val="21"/>
                <w:highlight w:val="none"/>
              </w:rPr>
              <w:t>DA006高空排放</w:t>
            </w:r>
          </w:p>
        </w:tc>
      </w:tr>
      <w:tr w14:paraId="7070C7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1045" w:type="dxa"/>
            <w:vMerge w:val="continue"/>
            <w:tcBorders>
              <w:left w:val="single" w:color="auto" w:sz="4" w:space="0"/>
              <w:right w:val="single" w:color="auto" w:sz="4" w:space="0"/>
            </w:tcBorders>
            <w:vAlign w:val="center"/>
          </w:tcPr>
          <w:p w14:paraId="286E66BE">
            <w:pPr>
              <w:pStyle w:val="154"/>
              <w:keepNext w:val="0"/>
              <w:keepLines w:val="0"/>
              <w:pageBreakBefore w:val="0"/>
              <w:kinsoku/>
              <w:wordWrap/>
              <w:overflowPunct/>
              <w:topLinePunct w:val="0"/>
              <w:autoSpaceDE/>
              <w:autoSpaceDN/>
              <w:bidi w:val="0"/>
              <w:ind w:left="0" w:right="0"/>
              <w:rPr>
                <w:color w:val="auto"/>
                <w:sz w:val="21"/>
                <w:szCs w:val="21"/>
                <w:highlight w:val="none"/>
              </w:rPr>
            </w:pPr>
          </w:p>
        </w:tc>
        <w:tc>
          <w:tcPr>
            <w:tcW w:w="601" w:type="dxa"/>
            <w:vMerge w:val="continue"/>
            <w:tcBorders>
              <w:left w:val="single" w:color="auto" w:sz="4" w:space="0"/>
              <w:right w:val="single" w:color="auto" w:sz="4" w:space="0"/>
            </w:tcBorders>
            <w:vAlign w:val="center"/>
          </w:tcPr>
          <w:p w14:paraId="39BBBFCF">
            <w:pPr>
              <w:pStyle w:val="154"/>
              <w:keepNext w:val="0"/>
              <w:keepLines w:val="0"/>
              <w:pageBreakBefore w:val="0"/>
              <w:kinsoku/>
              <w:wordWrap/>
              <w:overflowPunct/>
              <w:topLinePunct w:val="0"/>
              <w:autoSpaceDE/>
              <w:autoSpaceDN/>
              <w:bidi w:val="0"/>
              <w:ind w:left="0" w:right="0"/>
              <w:rPr>
                <w:color w:val="auto"/>
                <w:sz w:val="21"/>
                <w:szCs w:val="21"/>
                <w:highlight w:val="none"/>
              </w:rPr>
            </w:pPr>
          </w:p>
        </w:tc>
        <w:tc>
          <w:tcPr>
            <w:tcW w:w="1127" w:type="dxa"/>
            <w:vMerge w:val="continue"/>
            <w:tcBorders>
              <w:left w:val="single" w:color="auto" w:sz="4" w:space="0"/>
              <w:right w:val="single" w:color="auto" w:sz="4" w:space="0"/>
            </w:tcBorders>
            <w:vAlign w:val="center"/>
          </w:tcPr>
          <w:p w14:paraId="15A2D986">
            <w:pPr>
              <w:pStyle w:val="154"/>
              <w:keepNext w:val="0"/>
              <w:keepLines w:val="0"/>
              <w:pageBreakBefore w:val="0"/>
              <w:kinsoku/>
              <w:wordWrap/>
              <w:overflowPunct/>
              <w:topLinePunct w:val="0"/>
              <w:autoSpaceDE/>
              <w:autoSpaceDN/>
              <w:bidi w:val="0"/>
              <w:ind w:left="0" w:right="0"/>
              <w:rPr>
                <w:color w:val="auto"/>
                <w:sz w:val="21"/>
                <w:szCs w:val="21"/>
                <w:highlight w:val="none"/>
              </w:rPr>
            </w:pPr>
          </w:p>
        </w:tc>
        <w:tc>
          <w:tcPr>
            <w:tcW w:w="1965" w:type="dxa"/>
            <w:tcBorders>
              <w:left w:val="single" w:color="auto" w:sz="4" w:space="0"/>
              <w:bottom w:val="single" w:color="auto" w:sz="4" w:space="0"/>
              <w:right w:val="single" w:color="auto" w:sz="4" w:space="0"/>
            </w:tcBorders>
            <w:vAlign w:val="center"/>
          </w:tcPr>
          <w:p w14:paraId="1541CB28">
            <w:pPr>
              <w:keepNext w:val="0"/>
              <w:keepLines w:val="0"/>
              <w:pageBreakBefore w:val="0"/>
              <w:kinsoku/>
              <w:wordWrap/>
              <w:overflowPunct/>
              <w:topLinePunct w:val="0"/>
              <w:autoSpaceDE/>
              <w:autoSpaceDN/>
              <w:bidi w:val="0"/>
              <w:ind w:left="0" w:right="0"/>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氮氧化物</w:t>
            </w:r>
          </w:p>
        </w:tc>
        <w:tc>
          <w:tcPr>
            <w:tcW w:w="1361" w:type="dxa"/>
            <w:tcBorders>
              <w:top w:val="single" w:color="auto" w:sz="4" w:space="0"/>
              <w:left w:val="single" w:color="auto" w:sz="4" w:space="0"/>
              <w:bottom w:val="single" w:color="auto" w:sz="4" w:space="0"/>
              <w:right w:val="single" w:color="auto" w:sz="4" w:space="0"/>
            </w:tcBorders>
            <w:vAlign w:val="center"/>
          </w:tcPr>
          <w:p w14:paraId="2B73020E">
            <w:pPr>
              <w:keepNext w:val="0"/>
              <w:keepLines w:val="0"/>
              <w:pageBreakBefore w:val="0"/>
              <w:kinsoku/>
              <w:wordWrap/>
              <w:overflowPunct/>
              <w:topLinePunct w:val="0"/>
              <w:autoSpaceDE/>
              <w:autoSpaceDN/>
              <w:bidi w:val="0"/>
              <w:ind w:left="0" w:right="0"/>
              <w:jc w:val="center"/>
              <w:textAlignment w:val="center"/>
              <w:rPr>
                <w:rFonts w:hint="default" w:ascii="Times New Roman" w:hAnsi="Times New Roman" w:eastAsia="等线" w:cs="Times New Roman"/>
                <w:color w:val="auto"/>
                <w:sz w:val="21"/>
                <w:szCs w:val="21"/>
                <w:highlight w:val="none"/>
                <w:lang w:val="en-US" w:eastAsia="zh-CN" w:bidi="ar"/>
              </w:rPr>
            </w:pPr>
            <w:r>
              <w:rPr>
                <w:rFonts w:hint="eastAsia" w:ascii="Times New Roman" w:hAnsi="Times New Roman" w:eastAsia="等线" w:cs="Times New Roman"/>
                <w:color w:val="auto"/>
                <w:sz w:val="21"/>
                <w:szCs w:val="21"/>
                <w:highlight w:val="none"/>
                <w:lang w:val="en-US" w:eastAsia="zh-CN" w:bidi="ar"/>
              </w:rPr>
              <w:t>1.4850</w:t>
            </w:r>
          </w:p>
        </w:tc>
        <w:tc>
          <w:tcPr>
            <w:tcW w:w="1256" w:type="dxa"/>
            <w:tcBorders>
              <w:top w:val="single" w:color="auto" w:sz="4" w:space="0"/>
              <w:left w:val="single" w:color="auto" w:sz="4" w:space="0"/>
              <w:bottom w:val="single" w:color="auto" w:sz="4" w:space="0"/>
              <w:right w:val="single" w:color="auto" w:sz="4" w:space="0"/>
            </w:tcBorders>
            <w:vAlign w:val="center"/>
          </w:tcPr>
          <w:p w14:paraId="4BD7136B">
            <w:pPr>
              <w:keepNext w:val="0"/>
              <w:keepLines w:val="0"/>
              <w:pageBreakBefore w:val="0"/>
              <w:kinsoku/>
              <w:wordWrap/>
              <w:overflowPunct/>
              <w:topLinePunct w:val="0"/>
              <w:autoSpaceDE/>
              <w:autoSpaceDN/>
              <w:bidi w:val="0"/>
              <w:ind w:left="0" w:right="0"/>
              <w:jc w:val="center"/>
              <w:textAlignment w:val="center"/>
              <w:rPr>
                <w:rFonts w:hint="default" w:ascii="Times New Roman" w:hAnsi="Times New Roman" w:eastAsia="等线" w:cs="Times New Roman"/>
                <w:color w:val="auto"/>
                <w:sz w:val="21"/>
                <w:szCs w:val="21"/>
                <w:highlight w:val="none"/>
                <w:lang w:val="en-US" w:eastAsia="zh-CN" w:bidi="ar"/>
              </w:rPr>
            </w:pPr>
            <w:r>
              <w:rPr>
                <w:rFonts w:hint="eastAsia" w:ascii="Times New Roman" w:hAnsi="Times New Roman" w:eastAsia="等线" w:cs="Times New Roman"/>
                <w:color w:val="auto"/>
                <w:sz w:val="21"/>
                <w:szCs w:val="21"/>
                <w:highlight w:val="none"/>
                <w:lang w:val="en-US" w:eastAsia="zh-CN" w:bidi="ar"/>
              </w:rPr>
              <w:t>0.00297</w:t>
            </w:r>
          </w:p>
        </w:tc>
        <w:tc>
          <w:tcPr>
            <w:tcW w:w="1470" w:type="dxa"/>
            <w:tcBorders>
              <w:left w:val="single" w:color="auto" w:sz="4" w:space="0"/>
              <w:bottom w:val="single" w:color="auto" w:sz="4" w:space="0"/>
              <w:right w:val="single" w:color="auto" w:sz="4" w:space="0"/>
            </w:tcBorders>
            <w:vAlign w:val="center"/>
          </w:tcPr>
          <w:p w14:paraId="18AF884D">
            <w:pPr>
              <w:keepNext w:val="0"/>
              <w:keepLines w:val="0"/>
              <w:pageBreakBefore w:val="0"/>
              <w:widowControl/>
              <w:suppressLineNumbers w:val="0"/>
              <w:kinsoku/>
              <w:wordWrap/>
              <w:overflowPunct/>
              <w:topLinePunct w:val="0"/>
              <w:autoSpaceDE/>
              <w:autoSpaceDN/>
              <w:bidi w:val="0"/>
              <w:adjustRightInd/>
              <w:snapToGrid/>
              <w:ind w:left="0" w:leftChars="0" w:right="0" w:rightChars="0"/>
              <w:jc w:val="center"/>
              <w:textAlignment w:val="center"/>
              <w:rPr>
                <w:rFonts w:ascii="Times New Roman" w:hAnsi="Times New Roman" w:eastAsia="等线" w:cs="Times New Roman"/>
                <w:color w:val="auto"/>
                <w:sz w:val="21"/>
                <w:szCs w:val="21"/>
                <w:highlight w:val="none"/>
                <w:lang w:bidi="ar"/>
              </w:rPr>
            </w:pPr>
            <w:r>
              <w:rPr>
                <w:rFonts w:hint="default" w:ascii="Times New Roman" w:hAnsi="Times New Roman" w:eastAsia="等线" w:cs="Times New Roman"/>
                <w:i w:val="0"/>
                <w:iCs w:val="0"/>
                <w:color w:val="auto"/>
                <w:kern w:val="0"/>
                <w:sz w:val="21"/>
                <w:szCs w:val="21"/>
                <w:highlight w:val="none"/>
                <w:u w:val="none"/>
                <w:lang w:val="en-US" w:eastAsia="zh-CN" w:bidi="ar"/>
              </w:rPr>
              <w:t>0.1485</w:t>
            </w:r>
          </w:p>
        </w:tc>
        <w:tc>
          <w:tcPr>
            <w:tcW w:w="1253" w:type="dxa"/>
            <w:tcBorders>
              <w:left w:val="single" w:color="auto" w:sz="4" w:space="0"/>
              <w:bottom w:val="single" w:color="auto" w:sz="4" w:space="0"/>
              <w:right w:val="single" w:color="auto" w:sz="4" w:space="0"/>
            </w:tcBorders>
            <w:vAlign w:val="center"/>
          </w:tcPr>
          <w:p w14:paraId="4F582A1A">
            <w:pPr>
              <w:keepNext w:val="0"/>
              <w:keepLines w:val="0"/>
              <w:pageBreakBefore w:val="0"/>
              <w:widowControl/>
              <w:suppressLineNumbers w:val="0"/>
              <w:kinsoku/>
              <w:wordWrap/>
              <w:overflowPunct/>
              <w:topLinePunct w:val="0"/>
              <w:autoSpaceDE/>
              <w:autoSpaceDN/>
              <w:bidi w:val="0"/>
              <w:adjustRightInd/>
              <w:snapToGrid/>
              <w:ind w:left="0" w:leftChars="0" w:right="0" w:rightChars="0"/>
              <w:jc w:val="center"/>
              <w:textAlignment w:val="center"/>
              <w:rPr>
                <w:rFonts w:ascii="Times New Roman" w:hAnsi="Times New Roman" w:eastAsia="等线" w:cs="Times New Roman"/>
                <w:color w:val="auto"/>
                <w:sz w:val="21"/>
                <w:szCs w:val="21"/>
                <w:highlight w:val="none"/>
                <w:lang w:bidi="ar"/>
              </w:rPr>
            </w:pPr>
            <w:r>
              <w:rPr>
                <w:rFonts w:hint="default" w:ascii="Times New Roman" w:hAnsi="Times New Roman" w:eastAsia="等线" w:cs="Times New Roman"/>
                <w:i w:val="0"/>
                <w:iCs w:val="0"/>
                <w:color w:val="auto"/>
                <w:kern w:val="0"/>
                <w:sz w:val="21"/>
                <w:szCs w:val="21"/>
                <w:highlight w:val="none"/>
                <w:u w:val="none"/>
                <w:lang w:val="en-US" w:eastAsia="zh-CN" w:bidi="ar"/>
              </w:rPr>
              <w:t>0.0006</w:t>
            </w:r>
          </w:p>
        </w:tc>
        <w:tc>
          <w:tcPr>
            <w:tcW w:w="1399" w:type="dxa"/>
            <w:tcBorders>
              <w:left w:val="single" w:color="auto" w:sz="4" w:space="0"/>
              <w:bottom w:val="single" w:color="auto" w:sz="4" w:space="0"/>
              <w:right w:val="single" w:color="auto" w:sz="4" w:space="0"/>
            </w:tcBorders>
            <w:vAlign w:val="center"/>
          </w:tcPr>
          <w:p w14:paraId="46C283F2">
            <w:pPr>
              <w:keepNext w:val="0"/>
              <w:keepLines w:val="0"/>
              <w:pageBreakBefore w:val="0"/>
              <w:widowControl/>
              <w:suppressLineNumbers w:val="0"/>
              <w:kinsoku/>
              <w:wordWrap/>
              <w:overflowPunct/>
              <w:topLinePunct w:val="0"/>
              <w:autoSpaceDE/>
              <w:autoSpaceDN/>
              <w:bidi w:val="0"/>
              <w:adjustRightInd/>
              <w:snapToGrid/>
              <w:ind w:left="0" w:leftChars="0" w:right="0" w:rightChars="0"/>
              <w:jc w:val="center"/>
              <w:textAlignment w:val="center"/>
              <w:rPr>
                <w:rFonts w:ascii="Times New Roman" w:hAnsi="Times New Roman" w:eastAsia="等线" w:cs="Times New Roman"/>
                <w:color w:val="auto"/>
                <w:sz w:val="21"/>
                <w:szCs w:val="21"/>
                <w:highlight w:val="none"/>
                <w:lang w:bidi="ar"/>
              </w:rPr>
            </w:pPr>
            <w:r>
              <w:rPr>
                <w:rFonts w:hint="default" w:ascii="Times New Roman" w:hAnsi="Times New Roman" w:eastAsia="等线" w:cs="Times New Roman"/>
                <w:i w:val="0"/>
                <w:iCs w:val="0"/>
                <w:color w:val="auto"/>
                <w:kern w:val="0"/>
                <w:sz w:val="21"/>
                <w:szCs w:val="21"/>
                <w:highlight w:val="none"/>
                <w:u w:val="none"/>
                <w:lang w:val="en-US" w:eastAsia="zh-CN" w:bidi="ar"/>
              </w:rPr>
              <w:t>0.0003</w:t>
            </w:r>
          </w:p>
        </w:tc>
        <w:tc>
          <w:tcPr>
            <w:tcW w:w="2799" w:type="dxa"/>
            <w:vMerge w:val="continue"/>
            <w:tcBorders>
              <w:left w:val="single" w:color="auto" w:sz="4" w:space="0"/>
              <w:right w:val="single" w:color="auto" w:sz="4" w:space="0"/>
            </w:tcBorders>
            <w:vAlign w:val="center"/>
          </w:tcPr>
          <w:p w14:paraId="2100F19D">
            <w:pPr>
              <w:pStyle w:val="154"/>
              <w:keepNext w:val="0"/>
              <w:keepLines w:val="0"/>
              <w:pageBreakBefore w:val="0"/>
              <w:kinsoku/>
              <w:wordWrap/>
              <w:overflowPunct/>
              <w:topLinePunct w:val="0"/>
              <w:autoSpaceDE/>
              <w:autoSpaceDN/>
              <w:bidi w:val="0"/>
              <w:ind w:left="0" w:right="0"/>
              <w:rPr>
                <w:color w:val="auto"/>
                <w:sz w:val="21"/>
                <w:szCs w:val="21"/>
                <w:highlight w:val="none"/>
              </w:rPr>
            </w:pPr>
          </w:p>
        </w:tc>
      </w:tr>
      <w:tr w14:paraId="446BB5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1045" w:type="dxa"/>
            <w:vMerge w:val="continue"/>
            <w:tcBorders>
              <w:left w:val="single" w:color="auto" w:sz="4" w:space="0"/>
              <w:right w:val="single" w:color="auto" w:sz="4" w:space="0"/>
            </w:tcBorders>
            <w:vAlign w:val="center"/>
          </w:tcPr>
          <w:p w14:paraId="0AB55EA8">
            <w:pPr>
              <w:pStyle w:val="154"/>
              <w:keepNext w:val="0"/>
              <w:keepLines w:val="0"/>
              <w:pageBreakBefore w:val="0"/>
              <w:kinsoku/>
              <w:wordWrap/>
              <w:overflowPunct/>
              <w:topLinePunct w:val="0"/>
              <w:autoSpaceDE/>
              <w:autoSpaceDN/>
              <w:bidi w:val="0"/>
              <w:ind w:left="0" w:right="0"/>
              <w:rPr>
                <w:color w:val="auto"/>
                <w:sz w:val="21"/>
                <w:szCs w:val="21"/>
                <w:highlight w:val="none"/>
              </w:rPr>
            </w:pPr>
          </w:p>
        </w:tc>
        <w:tc>
          <w:tcPr>
            <w:tcW w:w="3693" w:type="dxa"/>
            <w:gridSpan w:val="3"/>
            <w:tcBorders>
              <w:top w:val="single" w:color="auto" w:sz="4" w:space="0"/>
              <w:left w:val="single" w:color="auto" w:sz="4" w:space="0"/>
              <w:right w:val="single" w:color="auto" w:sz="4" w:space="0"/>
            </w:tcBorders>
            <w:vAlign w:val="center"/>
          </w:tcPr>
          <w:p w14:paraId="3B30697A">
            <w:pPr>
              <w:keepNext w:val="0"/>
              <w:keepLines w:val="0"/>
              <w:pageBreakBefore w:val="0"/>
              <w:kinsoku/>
              <w:wordWrap/>
              <w:overflowPunct/>
              <w:topLinePunct w:val="0"/>
              <w:autoSpaceDE/>
              <w:autoSpaceDN/>
              <w:bidi w:val="0"/>
              <w:ind w:left="0" w:right="0"/>
              <w:jc w:val="center"/>
              <w:rPr>
                <w:rFonts w:ascii="Times New Roman" w:hAnsi="Times New Roman"/>
                <w:b/>
                <w:bCs/>
                <w:color w:val="auto"/>
                <w:sz w:val="21"/>
                <w:szCs w:val="21"/>
                <w:highlight w:val="none"/>
              </w:rPr>
            </w:pPr>
            <w:r>
              <w:rPr>
                <w:rFonts w:hint="eastAsia" w:ascii="Times New Roman" w:hAnsi="Times New Roman" w:cs="Times New Roman"/>
                <w:b/>
                <w:bCs/>
                <w:color w:val="auto"/>
                <w:sz w:val="21"/>
                <w:szCs w:val="21"/>
                <w:highlight w:val="none"/>
              </w:rPr>
              <w:t>排放源</w:t>
            </w:r>
          </w:p>
        </w:tc>
        <w:tc>
          <w:tcPr>
            <w:tcW w:w="2617" w:type="dxa"/>
            <w:gridSpan w:val="2"/>
            <w:tcBorders>
              <w:top w:val="single" w:color="auto" w:sz="4" w:space="0"/>
              <w:left w:val="single" w:color="auto" w:sz="4" w:space="0"/>
              <w:right w:val="single" w:color="auto" w:sz="4" w:space="0"/>
            </w:tcBorders>
            <w:vAlign w:val="center"/>
          </w:tcPr>
          <w:p w14:paraId="6422918B">
            <w:pPr>
              <w:pStyle w:val="154"/>
              <w:keepNext w:val="0"/>
              <w:keepLines w:val="0"/>
              <w:pageBreakBefore w:val="0"/>
              <w:kinsoku/>
              <w:wordWrap/>
              <w:overflowPunct/>
              <w:topLinePunct w:val="0"/>
              <w:autoSpaceDE/>
              <w:autoSpaceDN/>
              <w:bidi w:val="0"/>
              <w:ind w:left="0" w:right="0"/>
              <w:rPr>
                <w:b/>
                <w:bCs/>
                <w:color w:val="auto"/>
                <w:sz w:val="21"/>
                <w:szCs w:val="21"/>
                <w:highlight w:val="none"/>
              </w:rPr>
            </w:pPr>
            <w:r>
              <w:rPr>
                <w:rFonts w:hint="eastAsia"/>
                <w:b/>
                <w:bCs/>
                <w:color w:val="auto"/>
                <w:sz w:val="21"/>
                <w:szCs w:val="21"/>
                <w:highlight w:val="none"/>
              </w:rPr>
              <w:t>产生量t/a</w:t>
            </w:r>
          </w:p>
        </w:tc>
        <w:tc>
          <w:tcPr>
            <w:tcW w:w="4122" w:type="dxa"/>
            <w:gridSpan w:val="3"/>
            <w:tcBorders>
              <w:top w:val="single" w:color="auto" w:sz="4" w:space="0"/>
              <w:left w:val="single" w:color="auto" w:sz="4" w:space="0"/>
              <w:right w:val="single" w:color="auto" w:sz="4" w:space="0"/>
            </w:tcBorders>
            <w:vAlign w:val="center"/>
          </w:tcPr>
          <w:p w14:paraId="22F4D6E4">
            <w:pPr>
              <w:pStyle w:val="154"/>
              <w:keepNext w:val="0"/>
              <w:keepLines w:val="0"/>
              <w:pageBreakBefore w:val="0"/>
              <w:kinsoku/>
              <w:wordWrap/>
              <w:overflowPunct/>
              <w:topLinePunct w:val="0"/>
              <w:autoSpaceDE/>
              <w:autoSpaceDN/>
              <w:bidi w:val="0"/>
              <w:ind w:left="0" w:right="0"/>
              <w:rPr>
                <w:b/>
                <w:bCs/>
                <w:color w:val="auto"/>
                <w:sz w:val="21"/>
                <w:szCs w:val="21"/>
                <w:highlight w:val="none"/>
              </w:rPr>
            </w:pPr>
            <w:r>
              <w:rPr>
                <w:rFonts w:hint="eastAsia"/>
                <w:b/>
                <w:bCs/>
                <w:color w:val="auto"/>
                <w:sz w:val="21"/>
                <w:szCs w:val="21"/>
                <w:highlight w:val="none"/>
              </w:rPr>
              <w:t>排放量t/a</w:t>
            </w:r>
          </w:p>
        </w:tc>
        <w:tc>
          <w:tcPr>
            <w:tcW w:w="2799" w:type="dxa"/>
            <w:tcBorders>
              <w:top w:val="single" w:color="auto" w:sz="4" w:space="0"/>
              <w:left w:val="single" w:color="auto" w:sz="4" w:space="0"/>
              <w:right w:val="single" w:color="auto" w:sz="4" w:space="0"/>
            </w:tcBorders>
            <w:vAlign w:val="center"/>
          </w:tcPr>
          <w:p w14:paraId="53222BD6">
            <w:pPr>
              <w:pStyle w:val="154"/>
              <w:keepNext w:val="0"/>
              <w:keepLines w:val="0"/>
              <w:pageBreakBefore w:val="0"/>
              <w:kinsoku/>
              <w:wordWrap/>
              <w:overflowPunct/>
              <w:topLinePunct w:val="0"/>
              <w:autoSpaceDE/>
              <w:autoSpaceDN/>
              <w:bidi w:val="0"/>
              <w:ind w:left="0" w:right="0"/>
              <w:rPr>
                <w:color w:val="auto"/>
                <w:sz w:val="21"/>
                <w:szCs w:val="21"/>
                <w:highlight w:val="none"/>
              </w:rPr>
            </w:pPr>
            <w:r>
              <w:rPr>
                <w:b/>
                <w:bCs/>
                <w:color w:val="auto"/>
                <w:sz w:val="21"/>
                <w:szCs w:val="21"/>
                <w:highlight w:val="none"/>
              </w:rPr>
              <w:t>排放去向</w:t>
            </w:r>
          </w:p>
        </w:tc>
      </w:tr>
      <w:tr w14:paraId="7F35FA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1045" w:type="dxa"/>
            <w:vMerge w:val="continue"/>
            <w:tcBorders>
              <w:left w:val="single" w:color="auto" w:sz="4" w:space="0"/>
              <w:right w:val="single" w:color="auto" w:sz="4" w:space="0"/>
            </w:tcBorders>
            <w:vAlign w:val="center"/>
          </w:tcPr>
          <w:p w14:paraId="187625C2">
            <w:pPr>
              <w:pStyle w:val="154"/>
              <w:keepNext w:val="0"/>
              <w:keepLines w:val="0"/>
              <w:pageBreakBefore w:val="0"/>
              <w:kinsoku/>
              <w:wordWrap/>
              <w:overflowPunct/>
              <w:topLinePunct w:val="0"/>
              <w:autoSpaceDE/>
              <w:autoSpaceDN/>
              <w:bidi w:val="0"/>
              <w:ind w:left="0" w:right="0"/>
              <w:rPr>
                <w:color w:val="auto"/>
                <w:sz w:val="21"/>
                <w:szCs w:val="21"/>
                <w:highlight w:val="none"/>
              </w:rPr>
            </w:pPr>
          </w:p>
        </w:tc>
        <w:tc>
          <w:tcPr>
            <w:tcW w:w="601" w:type="dxa"/>
            <w:vMerge w:val="restart"/>
            <w:tcBorders>
              <w:left w:val="single" w:color="auto" w:sz="4" w:space="0"/>
              <w:right w:val="single" w:color="auto" w:sz="4" w:space="0"/>
            </w:tcBorders>
            <w:vAlign w:val="center"/>
          </w:tcPr>
          <w:p w14:paraId="1810490C">
            <w:pPr>
              <w:pStyle w:val="154"/>
              <w:keepNext w:val="0"/>
              <w:keepLines w:val="0"/>
              <w:pageBreakBefore w:val="0"/>
              <w:kinsoku/>
              <w:wordWrap/>
              <w:overflowPunct/>
              <w:topLinePunct w:val="0"/>
              <w:autoSpaceDE/>
              <w:autoSpaceDN/>
              <w:bidi w:val="0"/>
              <w:ind w:left="0" w:right="0"/>
              <w:rPr>
                <w:color w:val="auto"/>
                <w:sz w:val="21"/>
                <w:szCs w:val="21"/>
                <w:highlight w:val="none"/>
              </w:rPr>
            </w:pPr>
            <w:r>
              <w:rPr>
                <w:color w:val="auto"/>
                <w:sz w:val="21"/>
                <w:szCs w:val="21"/>
                <w:highlight w:val="none"/>
              </w:rPr>
              <w:t>无组织</w:t>
            </w:r>
          </w:p>
        </w:tc>
        <w:tc>
          <w:tcPr>
            <w:tcW w:w="1127" w:type="dxa"/>
            <w:tcBorders>
              <w:top w:val="single" w:color="auto" w:sz="4" w:space="0"/>
              <w:left w:val="single" w:color="auto" w:sz="4" w:space="0"/>
              <w:right w:val="single" w:color="auto" w:sz="4" w:space="0"/>
            </w:tcBorders>
            <w:vAlign w:val="center"/>
          </w:tcPr>
          <w:p w14:paraId="06B617DA">
            <w:pPr>
              <w:pStyle w:val="154"/>
              <w:keepNext w:val="0"/>
              <w:keepLines w:val="0"/>
              <w:pageBreakBefore w:val="0"/>
              <w:kinsoku/>
              <w:wordWrap/>
              <w:overflowPunct/>
              <w:topLinePunct w:val="0"/>
              <w:autoSpaceDE/>
              <w:autoSpaceDN/>
              <w:bidi w:val="0"/>
              <w:ind w:left="0" w:right="0"/>
              <w:rPr>
                <w:color w:val="auto"/>
                <w:sz w:val="21"/>
                <w:szCs w:val="21"/>
                <w:highlight w:val="none"/>
              </w:rPr>
            </w:pPr>
            <w:r>
              <w:rPr>
                <w:color w:val="auto"/>
                <w:sz w:val="21"/>
                <w:szCs w:val="21"/>
                <w:highlight w:val="none"/>
              </w:rPr>
              <w:t>G1-1、G1-3</w:t>
            </w:r>
          </w:p>
        </w:tc>
        <w:tc>
          <w:tcPr>
            <w:tcW w:w="1965" w:type="dxa"/>
            <w:tcBorders>
              <w:top w:val="single" w:color="auto" w:sz="4" w:space="0"/>
              <w:left w:val="single" w:color="auto" w:sz="4" w:space="0"/>
              <w:bottom w:val="single" w:color="auto" w:sz="4" w:space="0"/>
              <w:right w:val="single" w:color="auto" w:sz="4" w:space="0"/>
            </w:tcBorders>
            <w:vAlign w:val="center"/>
          </w:tcPr>
          <w:p w14:paraId="26D1859C">
            <w:pPr>
              <w:keepNext w:val="0"/>
              <w:keepLines w:val="0"/>
              <w:pageBreakBefore w:val="0"/>
              <w:widowControl/>
              <w:kinsoku/>
              <w:wordWrap/>
              <w:overflowPunct/>
              <w:topLinePunct w:val="0"/>
              <w:autoSpaceDE/>
              <w:autoSpaceDN/>
              <w:bidi w:val="0"/>
              <w:adjustRightInd/>
              <w:snapToGrid/>
              <w:ind w:left="0" w:leftChars="0" w:right="0" w:rightChars="0"/>
              <w:jc w:val="center"/>
              <w:textAlignment w:val="auto"/>
              <w:rPr>
                <w:rFonts w:ascii="Times New Roman" w:hAnsi="Times New Roman"/>
                <w:color w:val="auto"/>
                <w:sz w:val="21"/>
                <w:szCs w:val="21"/>
                <w:highlight w:val="none"/>
              </w:rPr>
            </w:pPr>
            <w:r>
              <w:rPr>
                <w:rFonts w:hint="eastAsia" w:ascii="Times New Roman" w:hAnsi="Times New Roman" w:cs="Times New Roman"/>
                <w:color w:val="auto"/>
                <w:sz w:val="21"/>
                <w:szCs w:val="21"/>
                <w:highlight w:val="none"/>
              </w:rPr>
              <w:t>非甲烷总烃</w:t>
            </w:r>
          </w:p>
        </w:tc>
        <w:tc>
          <w:tcPr>
            <w:tcW w:w="2617" w:type="dxa"/>
            <w:gridSpan w:val="2"/>
            <w:tcBorders>
              <w:top w:val="single" w:color="auto" w:sz="4" w:space="0"/>
              <w:left w:val="single" w:color="auto" w:sz="4" w:space="0"/>
              <w:right w:val="single" w:color="auto" w:sz="4" w:space="0"/>
            </w:tcBorders>
            <w:vAlign w:val="center"/>
          </w:tcPr>
          <w:p w14:paraId="26E703A6">
            <w:pPr>
              <w:keepNext w:val="0"/>
              <w:keepLines w:val="0"/>
              <w:pageBreakBefore w:val="0"/>
              <w:widowControl/>
              <w:kinsoku/>
              <w:wordWrap/>
              <w:overflowPunct/>
              <w:topLinePunct w:val="0"/>
              <w:autoSpaceDE/>
              <w:autoSpaceDN/>
              <w:bidi w:val="0"/>
              <w:adjustRightInd/>
              <w:snapToGrid/>
              <w:ind w:left="0" w:leftChars="0" w:right="0" w:rightChars="0"/>
              <w:jc w:val="center"/>
              <w:textAlignment w:val="auto"/>
              <w:rPr>
                <w:rFonts w:ascii="Times New Roman" w:hAnsi="Times New Roman"/>
                <w:color w:val="auto"/>
                <w:sz w:val="21"/>
                <w:szCs w:val="20"/>
                <w:highlight w:val="none"/>
              </w:rPr>
            </w:pPr>
            <w:r>
              <w:rPr>
                <w:rFonts w:hint="eastAsia" w:ascii="Times New Roman" w:hAnsi="Times New Roman" w:cs="Times New Roman"/>
                <w:color w:val="auto"/>
                <w:sz w:val="21"/>
                <w:szCs w:val="21"/>
                <w:highlight w:val="none"/>
              </w:rPr>
              <w:t>0.0235</w:t>
            </w:r>
          </w:p>
        </w:tc>
        <w:tc>
          <w:tcPr>
            <w:tcW w:w="4122" w:type="dxa"/>
            <w:gridSpan w:val="3"/>
            <w:tcBorders>
              <w:top w:val="single" w:color="auto" w:sz="4" w:space="0"/>
              <w:left w:val="single" w:color="auto" w:sz="4" w:space="0"/>
              <w:right w:val="single" w:color="auto" w:sz="4" w:space="0"/>
            </w:tcBorders>
            <w:vAlign w:val="center"/>
          </w:tcPr>
          <w:p w14:paraId="162921BE">
            <w:pPr>
              <w:keepNext w:val="0"/>
              <w:keepLines w:val="0"/>
              <w:pageBreakBefore w:val="0"/>
              <w:widowControl/>
              <w:kinsoku/>
              <w:wordWrap/>
              <w:overflowPunct/>
              <w:topLinePunct w:val="0"/>
              <w:autoSpaceDE/>
              <w:autoSpaceDN/>
              <w:bidi w:val="0"/>
              <w:adjustRightInd/>
              <w:snapToGrid/>
              <w:ind w:left="0" w:leftChars="0" w:right="0" w:rightChars="0"/>
              <w:jc w:val="center"/>
              <w:textAlignment w:val="auto"/>
              <w:rPr>
                <w:rFonts w:ascii="Times New Roman" w:hAnsi="Times New Roman"/>
                <w:color w:val="auto"/>
                <w:sz w:val="21"/>
                <w:szCs w:val="20"/>
                <w:highlight w:val="none"/>
              </w:rPr>
            </w:pPr>
            <w:r>
              <w:rPr>
                <w:rFonts w:hint="eastAsia" w:ascii="Times New Roman" w:hAnsi="Times New Roman" w:cs="Times New Roman"/>
                <w:color w:val="auto"/>
                <w:sz w:val="21"/>
                <w:szCs w:val="21"/>
                <w:highlight w:val="none"/>
              </w:rPr>
              <w:t>0.0235</w:t>
            </w:r>
          </w:p>
        </w:tc>
        <w:tc>
          <w:tcPr>
            <w:tcW w:w="2799" w:type="dxa"/>
            <w:tcBorders>
              <w:left w:val="single" w:color="auto" w:sz="4" w:space="0"/>
              <w:right w:val="single" w:color="auto" w:sz="4" w:space="0"/>
            </w:tcBorders>
            <w:vAlign w:val="center"/>
          </w:tcPr>
          <w:p w14:paraId="61AE3C6C">
            <w:pPr>
              <w:pStyle w:val="154"/>
              <w:keepNext w:val="0"/>
              <w:keepLines w:val="0"/>
              <w:pageBreakBefore w:val="0"/>
              <w:kinsoku/>
              <w:wordWrap/>
              <w:overflowPunct/>
              <w:topLinePunct w:val="0"/>
              <w:autoSpaceDE/>
              <w:autoSpaceDN/>
              <w:bidi w:val="0"/>
              <w:ind w:left="0" w:right="0"/>
              <w:rPr>
                <w:color w:val="auto"/>
                <w:sz w:val="21"/>
                <w:szCs w:val="21"/>
                <w:highlight w:val="none"/>
              </w:rPr>
            </w:pPr>
            <w:r>
              <w:rPr>
                <w:color w:val="auto"/>
                <w:sz w:val="21"/>
                <w:szCs w:val="21"/>
                <w:highlight w:val="none"/>
              </w:rPr>
              <w:t>车间内无组织排放</w:t>
            </w:r>
          </w:p>
        </w:tc>
      </w:tr>
      <w:tr w14:paraId="3A4D03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1045" w:type="dxa"/>
            <w:vMerge w:val="continue"/>
            <w:tcBorders>
              <w:left w:val="single" w:color="auto" w:sz="4" w:space="0"/>
              <w:right w:val="single" w:color="auto" w:sz="4" w:space="0"/>
            </w:tcBorders>
            <w:vAlign w:val="center"/>
          </w:tcPr>
          <w:p w14:paraId="75F3D49A">
            <w:pPr>
              <w:pStyle w:val="154"/>
              <w:keepNext w:val="0"/>
              <w:keepLines w:val="0"/>
              <w:pageBreakBefore w:val="0"/>
              <w:kinsoku/>
              <w:wordWrap/>
              <w:overflowPunct/>
              <w:topLinePunct w:val="0"/>
              <w:autoSpaceDE/>
              <w:autoSpaceDN/>
              <w:bidi w:val="0"/>
              <w:ind w:left="0" w:right="0"/>
              <w:rPr>
                <w:color w:val="auto"/>
                <w:sz w:val="21"/>
                <w:szCs w:val="21"/>
                <w:highlight w:val="none"/>
              </w:rPr>
            </w:pPr>
          </w:p>
        </w:tc>
        <w:tc>
          <w:tcPr>
            <w:tcW w:w="601" w:type="dxa"/>
            <w:vMerge w:val="continue"/>
            <w:tcBorders>
              <w:left w:val="single" w:color="auto" w:sz="4" w:space="0"/>
              <w:right w:val="single" w:color="auto" w:sz="4" w:space="0"/>
            </w:tcBorders>
            <w:vAlign w:val="center"/>
          </w:tcPr>
          <w:p w14:paraId="278882FC">
            <w:pPr>
              <w:pStyle w:val="154"/>
              <w:keepNext w:val="0"/>
              <w:keepLines w:val="0"/>
              <w:pageBreakBefore w:val="0"/>
              <w:kinsoku/>
              <w:wordWrap/>
              <w:overflowPunct/>
              <w:topLinePunct w:val="0"/>
              <w:autoSpaceDE/>
              <w:autoSpaceDN/>
              <w:bidi w:val="0"/>
              <w:ind w:left="0" w:right="0"/>
              <w:rPr>
                <w:color w:val="auto"/>
                <w:sz w:val="21"/>
                <w:szCs w:val="21"/>
                <w:highlight w:val="none"/>
              </w:rPr>
            </w:pPr>
          </w:p>
        </w:tc>
        <w:tc>
          <w:tcPr>
            <w:tcW w:w="1127" w:type="dxa"/>
            <w:vMerge w:val="restart"/>
            <w:tcBorders>
              <w:top w:val="single" w:color="auto" w:sz="4" w:space="0"/>
              <w:left w:val="single" w:color="auto" w:sz="4" w:space="0"/>
              <w:right w:val="single" w:color="auto" w:sz="4" w:space="0"/>
            </w:tcBorders>
            <w:vAlign w:val="center"/>
          </w:tcPr>
          <w:p w14:paraId="1D47E5AF">
            <w:pPr>
              <w:pStyle w:val="154"/>
              <w:keepNext w:val="0"/>
              <w:keepLines w:val="0"/>
              <w:pageBreakBefore w:val="0"/>
              <w:kinsoku/>
              <w:wordWrap/>
              <w:overflowPunct/>
              <w:topLinePunct w:val="0"/>
              <w:autoSpaceDE/>
              <w:autoSpaceDN/>
              <w:bidi w:val="0"/>
              <w:ind w:left="0" w:right="0"/>
              <w:rPr>
                <w:color w:val="auto"/>
                <w:sz w:val="21"/>
                <w:szCs w:val="21"/>
                <w:highlight w:val="none"/>
              </w:rPr>
            </w:pPr>
            <w:r>
              <w:rPr>
                <w:color w:val="auto"/>
                <w:sz w:val="21"/>
                <w:szCs w:val="21"/>
                <w:highlight w:val="none"/>
              </w:rPr>
              <w:t>G1-2</w:t>
            </w:r>
          </w:p>
        </w:tc>
        <w:tc>
          <w:tcPr>
            <w:tcW w:w="1965" w:type="dxa"/>
            <w:tcBorders>
              <w:top w:val="single" w:color="auto" w:sz="4" w:space="0"/>
              <w:left w:val="single" w:color="auto" w:sz="4" w:space="0"/>
              <w:bottom w:val="single" w:color="auto" w:sz="4" w:space="0"/>
              <w:right w:val="single" w:color="auto" w:sz="4" w:space="0"/>
            </w:tcBorders>
            <w:vAlign w:val="center"/>
          </w:tcPr>
          <w:p w14:paraId="07334797">
            <w:pPr>
              <w:keepNext w:val="0"/>
              <w:keepLines w:val="0"/>
              <w:pageBreakBefore w:val="0"/>
              <w:widowControl/>
              <w:kinsoku/>
              <w:wordWrap/>
              <w:overflowPunct/>
              <w:topLinePunct w:val="0"/>
              <w:autoSpaceDE/>
              <w:autoSpaceDN/>
              <w:bidi w:val="0"/>
              <w:adjustRightInd/>
              <w:snapToGrid/>
              <w:ind w:left="0" w:leftChars="0" w:right="0" w:rightChars="0"/>
              <w:jc w:val="center"/>
              <w:textAlignment w:val="auto"/>
              <w:rPr>
                <w:rFonts w:ascii="Times New Roman" w:hAnsi="Times New Roman"/>
                <w:color w:val="auto"/>
                <w:sz w:val="21"/>
                <w:szCs w:val="21"/>
                <w:highlight w:val="none"/>
              </w:rPr>
            </w:pPr>
            <w:r>
              <w:rPr>
                <w:rFonts w:hint="eastAsia" w:ascii="Times New Roman" w:hAnsi="Times New Roman" w:cs="Times New Roman"/>
                <w:color w:val="auto"/>
                <w:sz w:val="21"/>
                <w:szCs w:val="21"/>
                <w:highlight w:val="none"/>
              </w:rPr>
              <w:t>非甲烷总烃</w:t>
            </w:r>
            <w:r>
              <w:rPr>
                <w:rFonts w:hint="eastAsia" w:ascii="Times New Roman" w:hAnsi="Times New Roman"/>
                <w:color w:val="auto"/>
                <w:sz w:val="21"/>
                <w:szCs w:val="21"/>
                <w:highlight w:val="none"/>
              </w:rPr>
              <w:t>（含甲醇）</w:t>
            </w:r>
          </w:p>
        </w:tc>
        <w:tc>
          <w:tcPr>
            <w:tcW w:w="2617" w:type="dxa"/>
            <w:gridSpan w:val="2"/>
            <w:tcBorders>
              <w:top w:val="single" w:color="auto" w:sz="4" w:space="0"/>
              <w:left w:val="single" w:color="auto" w:sz="4" w:space="0"/>
              <w:right w:val="single" w:color="auto" w:sz="4" w:space="0"/>
            </w:tcBorders>
            <w:vAlign w:val="center"/>
          </w:tcPr>
          <w:p w14:paraId="293A4760">
            <w:pPr>
              <w:keepNext w:val="0"/>
              <w:keepLines w:val="0"/>
              <w:pageBreakBefore w:val="0"/>
              <w:widowControl/>
              <w:kinsoku/>
              <w:wordWrap/>
              <w:overflowPunct/>
              <w:topLinePunct w:val="0"/>
              <w:autoSpaceDE/>
              <w:autoSpaceDN/>
              <w:bidi w:val="0"/>
              <w:adjustRightInd/>
              <w:snapToGrid/>
              <w:ind w:left="0" w:leftChars="0" w:right="0" w:rightChars="0"/>
              <w:jc w:val="center"/>
              <w:textAlignment w:val="auto"/>
              <w:rPr>
                <w:rFonts w:ascii="Times New Roman" w:hAnsi="Times New Roman" w:eastAsia="等线"/>
                <w:color w:val="auto"/>
                <w:sz w:val="21"/>
                <w:szCs w:val="20"/>
                <w:highlight w:val="none"/>
              </w:rPr>
            </w:pPr>
            <w:r>
              <w:rPr>
                <w:rFonts w:hint="eastAsia" w:ascii="Times New Roman" w:hAnsi="Times New Roman" w:cs="Times New Roman"/>
                <w:color w:val="auto"/>
                <w:sz w:val="21"/>
                <w:szCs w:val="21"/>
                <w:highlight w:val="none"/>
              </w:rPr>
              <w:t>0.00</w:t>
            </w:r>
            <w:r>
              <w:rPr>
                <w:rFonts w:hint="eastAsia" w:ascii="Times New Roman" w:hAnsi="Times New Roman" w:cs="Times New Roman"/>
                <w:color w:val="auto"/>
                <w:sz w:val="21"/>
                <w:szCs w:val="21"/>
                <w:highlight w:val="none"/>
                <w:lang w:val="en-US" w:eastAsia="zh-CN"/>
              </w:rPr>
              <w:t>1</w:t>
            </w:r>
            <w:r>
              <w:rPr>
                <w:rFonts w:hint="eastAsia" w:ascii="Times New Roman" w:hAnsi="Times New Roman" w:cs="Times New Roman"/>
                <w:color w:val="auto"/>
                <w:sz w:val="21"/>
                <w:szCs w:val="21"/>
                <w:highlight w:val="none"/>
              </w:rPr>
              <w:t>3</w:t>
            </w:r>
          </w:p>
        </w:tc>
        <w:tc>
          <w:tcPr>
            <w:tcW w:w="4122" w:type="dxa"/>
            <w:gridSpan w:val="3"/>
            <w:tcBorders>
              <w:top w:val="single" w:color="auto" w:sz="4" w:space="0"/>
              <w:left w:val="single" w:color="auto" w:sz="4" w:space="0"/>
              <w:right w:val="single" w:color="auto" w:sz="4" w:space="0"/>
            </w:tcBorders>
            <w:vAlign w:val="center"/>
          </w:tcPr>
          <w:p w14:paraId="20D1A501">
            <w:pPr>
              <w:keepNext w:val="0"/>
              <w:keepLines w:val="0"/>
              <w:pageBreakBefore w:val="0"/>
              <w:widowControl/>
              <w:kinsoku/>
              <w:wordWrap/>
              <w:overflowPunct/>
              <w:topLinePunct w:val="0"/>
              <w:autoSpaceDE/>
              <w:autoSpaceDN/>
              <w:bidi w:val="0"/>
              <w:adjustRightInd/>
              <w:snapToGrid/>
              <w:ind w:left="0" w:leftChars="0" w:right="0" w:rightChars="0"/>
              <w:jc w:val="center"/>
              <w:textAlignment w:val="auto"/>
              <w:rPr>
                <w:rFonts w:ascii="Times New Roman" w:hAnsi="Times New Roman" w:eastAsia="等线"/>
                <w:color w:val="auto"/>
                <w:sz w:val="21"/>
                <w:szCs w:val="20"/>
                <w:highlight w:val="none"/>
              </w:rPr>
            </w:pPr>
            <w:r>
              <w:rPr>
                <w:rFonts w:hint="eastAsia" w:ascii="Times New Roman" w:hAnsi="Times New Roman" w:cs="Times New Roman"/>
                <w:color w:val="auto"/>
                <w:sz w:val="21"/>
                <w:szCs w:val="21"/>
                <w:highlight w:val="none"/>
              </w:rPr>
              <w:t>0.00</w:t>
            </w:r>
            <w:r>
              <w:rPr>
                <w:rFonts w:hint="eastAsia" w:ascii="Times New Roman" w:hAnsi="Times New Roman" w:cs="Times New Roman"/>
                <w:color w:val="auto"/>
                <w:sz w:val="21"/>
                <w:szCs w:val="21"/>
                <w:highlight w:val="none"/>
                <w:lang w:val="en-US" w:eastAsia="zh-CN"/>
              </w:rPr>
              <w:t>1</w:t>
            </w:r>
            <w:r>
              <w:rPr>
                <w:rFonts w:hint="eastAsia" w:ascii="Times New Roman" w:hAnsi="Times New Roman" w:cs="Times New Roman"/>
                <w:color w:val="auto"/>
                <w:sz w:val="21"/>
                <w:szCs w:val="21"/>
                <w:highlight w:val="none"/>
              </w:rPr>
              <w:t>3</w:t>
            </w:r>
          </w:p>
        </w:tc>
        <w:tc>
          <w:tcPr>
            <w:tcW w:w="2799" w:type="dxa"/>
            <w:vMerge w:val="restart"/>
            <w:tcBorders>
              <w:left w:val="single" w:color="auto" w:sz="4" w:space="0"/>
              <w:right w:val="single" w:color="auto" w:sz="4" w:space="0"/>
            </w:tcBorders>
            <w:vAlign w:val="center"/>
          </w:tcPr>
          <w:p w14:paraId="08943A26">
            <w:pPr>
              <w:pStyle w:val="154"/>
              <w:keepNext w:val="0"/>
              <w:keepLines w:val="0"/>
              <w:pageBreakBefore w:val="0"/>
              <w:kinsoku/>
              <w:wordWrap/>
              <w:overflowPunct/>
              <w:topLinePunct w:val="0"/>
              <w:autoSpaceDE/>
              <w:autoSpaceDN/>
              <w:bidi w:val="0"/>
              <w:ind w:left="0" w:right="0"/>
              <w:rPr>
                <w:rFonts w:hint="default" w:eastAsia="宋体"/>
                <w:color w:val="auto"/>
                <w:sz w:val="21"/>
                <w:szCs w:val="21"/>
                <w:highlight w:val="none"/>
                <w:lang w:val="en-US" w:eastAsia="zh-CN"/>
              </w:rPr>
            </w:pPr>
            <w:r>
              <w:rPr>
                <w:rFonts w:hint="eastAsia"/>
                <w:color w:val="auto"/>
                <w:sz w:val="21"/>
                <w:szCs w:val="21"/>
                <w:highlight w:val="none"/>
                <w:lang w:val="en-US" w:eastAsia="zh-CN"/>
              </w:rPr>
              <w:t>实验楼内无组织排放</w:t>
            </w:r>
          </w:p>
        </w:tc>
      </w:tr>
      <w:tr w14:paraId="0CBFF8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1045" w:type="dxa"/>
            <w:vMerge w:val="continue"/>
            <w:tcBorders>
              <w:left w:val="single" w:color="auto" w:sz="4" w:space="0"/>
              <w:right w:val="single" w:color="auto" w:sz="4" w:space="0"/>
            </w:tcBorders>
            <w:vAlign w:val="center"/>
          </w:tcPr>
          <w:p w14:paraId="442EC22D">
            <w:pPr>
              <w:pStyle w:val="154"/>
              <w:keepNext w:val="0"/>
              <w:keepLines w:val="0"/>
              <w:pageBreakBefore w:val="0"/>
              <w:kinsoku/>
              <w:wordWrap/>
              <w:overflowPunct/>
              <w:topLinePunct w:val="0"/>
              <w:autoSpaceDE/>
              <w:autoSpaceDN/>
              <w:bidi w:val="0"/>
              <w:ind w:left="0" w:right="0"/>
              <w:rPr>
                <w:color w:val="auto"/>
                <w:sz w:val="21"/>
                <w:szCs w:val="21"/>
                <w:highlight w:val="none"/>
              </w:rPr>
            </w:pPr>
          </w:p>
        </w:tc>
        <w:tc>
          <w:tcPr>
            <w:tcW w:w="601" w:type="dxa"/>
            <w:vMerge w:val="continue"/>
            <w:tcBorders>
              <w:left w:val="single" w:color="auto" w:sz="4" w:space="0"/>
              <w:right w:val="single" w:color="auto" w:sz="4" w:space="0"/>
            </w:tcBorders>
            <w:vAlign w:val="center"/>
          </w:tcPr>
          <w:p w14:paraId="38776B71">
            <w:pPr>
              <w:pStyle w:val="154"/>
              <w:keepNext w:val="0"/>
              <w:keepLines w:val="0"/>
              <w:pageBreakBefore w:val="0"/>
              <w:kinsoku/>
              <w:wordWrap/>
              <w:overflowPunct/>
              <w:topLinePunct w:val="0"/>
              <w:autoSpaceDE/>
              <w:autoSpaceDN/>
              <w:bidi w:val="0"/>
              <w:ind w:left="0" w:right="0"/>
              <w:rPr>
                <w:color w:val="auto"/>
                <w:sz w:val="21"/>
                <w:szCs w:val="21"/>
                <w:highlight w:val="none"/>
              </w:rPr>
            </w:pPr>
          </w:p>
        </w:tc>
        <w:tc>
          <w:tcPr>
            <w:tcW w:w="1127" w:type="dxa"/>
            <w:vMerge w:val="continue"/>
            <w:tcBorders>
              <w:left w:val="single" w:color="auto" w:sz="4" w:space="0"/>
              <w:right w:val="single" w:color="auto" w:sz="4" w:space="0"/>
            </w:tcBorders>
            <w:vAlign w:val="center"/>
          </w:tcPr>
          <w:p w14:paraId="377F6EC5">
            <w:pPr>
              <w:pStyle w:val="154"/>
              <w:keepNext w:val="0"/>
              <w:keepLines w:val="0"/>
              <w:pageBreakBefore w:val="0"/>
              <w:kinsoku/>
              <w:wordWrap/>
              <w:overflowPunct/>
              <w:topLinePunct w:val="0"/>
              <w:autoSpaceDE/>
              <w:autoSpaceDN/>
              <w:bidi w:val="0"/>
              <w:ind w:left="0" w:right="0"/>
              <w:rPr>
                <w:color w:val="auto"/>
                <w:sz w:val="21"/>
                <w:szCs w:val="21"/>
                <w:highlight w:val="none"/>
              </w:rPr>
            </w:pPr>
          </w:p>
        </w:tc>
        <w:tc>
          <w:tcPr>
            <w:tcW w:w="1965" w:type="dxa"/>
            <w:tcBorders>
              <w:top w:val="single" w:color="auto" w:sz="4" w:space="0"/>
              <w:left w:val="single" w:color="auto" w:sz="4" w:space="0"/>
              <w:bottom w:val="single" w:color="auto" w:sz="4" w:space="0"/>
              <w:right w:val="single" w:color="auto" w:sz="4" w:space="0"/>
            </w:tcBorders>
            <w:vAlign w:val="center"/>
          </w:tcPr>
          <w:p w14:paraId="6F60ED0A">
            <w:pPr>
              <w:keepNext w:val="0"/>
              <w:keepLines w:val="0"/>
              <w:pageBreakBefore w:val="0"/>
              <w:widowControl/>
              <w:kinsoku/>
              <w:wordWrap/>
              <w:overflowPunct/>
              <w:topLinePunct w:val="0"/>
              <w:autoSpaceDE/>
              <w:autoSpaceDN/>
              <w:bidi w:val="0"/>
              <w:adjustRightInd/>
              <w:snapToGrid/>
              <w:ind w:left="0" w:leftChars="0" w:right="0" w:rightChars="0"/>
              <w:jc w:val="center"/>
              <w:textAlignment w:val="auto"/>
              <w:rPr>
                <w:rFonts w:hint="eastAsia"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lang w:val="en-US" w:eastAsia="zh-CN"/>
              </w:rPr>
              <w:t>氮氧化物</w:t>
            </w:r>
          </w:p>
        </w:tc>
        <w:tc>
          <w:tcPr>
            <w:tcW w:w="2617" w:type="dxa"/>
            <w:gridSpan w:val="2"/>
            <w:tcBorders>
              <w:top w:val="single" w:color="auto" w:sz="4" w:space="0"/>
              <w:left w:val="single" w:color="auto" w:sz="4" w:space="0"/>
              <w:right w:val="single" w:color="auto" w:sz="4" w:space="0"/>
            </w:tcBorders>
            <w:vAlign w:val="center"/>
          </w:tcPr>
          <w:p w14:paraId="4773AA54">
            <w:pPr>
              <w:keepNext w:val="0"/>
              <w:keepLines w:val="0"/>
              <w:pageBreakBefore w:val="0"/>
              <w:widowControl/>
              <w:kinsoku/>
              <w:wordWrap/>
              <w:overflowPunct/>
              <w:topLinePunct w:val="0"/>
              <w:autoSpaceDE/>
              <w:autoSpaceDN/>
              <w:bidi w:val="0"/>
              <w:adjustRightInd/>
              <w:snapToGrid/>
              <w:ind w:left="0" w:leftChars="0" w:right="0" w:rightChars="0"/>
              <w:jc w:val="center"/>
              <w:textAlignment w:val="auto"/>
              <w:rPr>
                <w:rFonts w:hint="eastAsia"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lang w:val="en-US" w:eastAsia="zh-CN"/>
              </w:rPr>
              <w:t>0.00003</w:t>
            </w:r>
          </w:p>
        </w:tc>
        <w:tc>
          <w:tcPr>
            <w:tcW w:w="4122" w:type="dxa"/>
            <w:gridSpan w:val="3"/>
            <w:tcBorders>
              <w:top w:val="single" w:color="auto" w:sz="4" w:space="0"/>
              <w:left w:val="single" w:color="auto" w:sz="4" w:space="0"/>
              <w:right w:val="single" w:color="auto" w:sz="4" w:space="0"/>
            </w:tcBorders>
            <w:vAlign w:val="center"/>
          </w:tcPr>
          <w:p w14:paraId="49C920CD">
            <w:pPr>
              <w:keepNext w:val="0"/>
              <w:keepLines w:val="0"/>
              <w:pageBreakBefore w:val="0"/>
              <w:widowControl/>
              <w:kinsoku/>
              <w:wordWrap/>
              <w:overflowPunct/>
              <w:topLinePunct w:val="0"/>
              <w:autoSpaceDE/>
              <w:autoSpaceDN/>
              <w:bidi w:val="0"/>
              <w:adjustRightInd/>
              <w:snapToGrid/>
              <w:ind w:left="0" w:leftChars="0" w:right="0" w:rightChars="0"/>
              <w:jc w:val="center"/>
              <w:textAlignment w:val="auto"/>
              <w:rPr>
                <w:rFonts w:hint="eastAsia"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lang w:val="en-US" w:eastAsia="zh-CN"/>
              </w:rPr>
              <w:t>0.00003</w:t>
            </w:r>
          </w:p>
        </w:tc>
        <w:tc>
          <w:tcPr>
            <w:tcW w:w="2799" w:type="dxa"/>
            <w:vMerge w:val="continue"/>
            <w:tcBorders>
              <w:left w:val="single" w:color="auto" w:sz="4" w:space="0"/>
              <w:right w:val="single" w:color="auto" w:sz="4" w:space="0"/>
            </w:tcBorders>
            <w:vAlign w:val="center"/>
          </w:tcPr>
          <w:p w14:paraId="3F11BFC0">
            <w:pPr>
              <w:pStyle w:val="154"/>
              <w:keepNext w:val="0"/>
              <w:keepLines w:val="0"/>
              <w:pageBreakBefore w:val="0"/>
              <w:kinsoku/>
              <w:wordWrap/>
              <w:overflowPunct/>
              <w:topLinePunct w:val="0"/>
              <w:autoSpaceDE/>
              <w:autoSpaceDN/>
              <w:bidi w:val="0"/>
              <w:ind w:left="0" w:right="0"/>
              <w:rPr>
                <w:color w:val="auto"/>
                <w:sz w:val="21"/>
                <w:szCs w:val="21"/>
                <w:highlight w:val="none"/>
              </w:rPr>
            </w:pPr>
          </w:p>
        </w:tc>
      </w:tr>
      <w:tr w14:paraId="171144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1045" w:type="dxa"/>
            <w:vMerge w:val="continue"/>
            <w:tcBorders>
              <w:left w:val="single" w:color="auto" w:sz="4" w:space="0"/>
              <w:right w:val="single" w:color="auto" w:sz="4" w:space="0"/>
            </w:tcBorders>
            <w:vAlign w:val="center"/>
          </w:tcPr>
          <w:p w14:paraId="5543E26D">
            <w:pPr>
              <w:pStyle w:val="154"/>
              <w:keepNext w:val="0"/>
              <w:keepLines w:val="0"/>
              <w:pageBreakBefore w:val="0"/>
              <w:kinsoku/>
              <w:wordWrap/>
              <w:overflowPunct/>
              <w:topLinePunct w:val="0"/>
              <w:autoSpaceDE/>
              <w:autoSpaceDN/>
              <w:bidi w:val="0"/>
              <w:ind w:left="0" w:right="0"/>
              <w:rPr>
                <w:color w:val="auto"/>
                <w:sz w:val="21"/>
                <w:szCs w:val="21"/>
                <w:highlight w:val="none"/>
              </w:rPr>
            </w:pPr>
          </w:p>
        </w:tc>
        <w:tc>
          <w:tcPr>
            <w:tcW w:w="601" w:type="dxa"/>
            <w:vMerge w:val="continue"/>
            <w:tcBorders>
              <w:left w:val="single" w:color="auto" w:sz="4" w:space="0"/>
              <w:right w:val="single" w:color="auto" w:sz="4" w:space="0"/>
            </w:tcBorders>
            <w:vAlign w:val="center"/>
          </w:tcPr>
          <w:p w14:paraId="6DC9CE7F">
            <w:pPr>
              <w:pStyle w:val="154"/>
              <w:keepNext w:val="0"/>
              <w:keepLines w:val="0"/>
              <w:pageBreakBefore w:val="0"/>
              <w:kinsoku/>
              <w:wordWrap/>
              <w:overflowPunct/>
              <w:topLinePunct w:val="0"/>
              <w:autoSpaceDE/>
              <w:autoSpaceDN/>
              <w:bidi w:val="0"/>
              <w:ind w:left="0" w:right="0"/>
              <w:rPr>
                <w:color w:val="auto"/>
                <w:sz w:val="21"/>
                <w:szCs w:val="21"/>
                <w:highlight w:val="none"/>
              </w:rPr>
            </w:pPr>
          </w:p>
        </w:tc>
        <w:tc>
          <w:tcPr>
            <w:tcW w:w="1127" w:type="dxa"/>
            <w:vMerge w:val="continue"/>
            <w:tcBorders>
              <w:left w:val="single" w:color="auto" w:sz="4" w:space="0"/>
              <w:right w:val="single" w:color="auto" w:sz="4" w:space="0"/>
            </w:tcBorders>
            <w:vAlign w:val="center"/>
          </w:tcPr>
          <w:p w14:paraId="3C934E86">
            <w:pPr>
              <w:pStyle w:val="154"/>
              <w:keepNext w:val="0"/>
              <w:keepLines w:val="0"/>
              <w:pageBreakBefore w:val="0"/>
              <w:kinsoku/>
              <w:wordWrap/>
              <w:overflowPunct/>
              <w:topLinePunct w:val="0"/>
              <w:autoSpaceDE/>
              <w:autoSpaceDN/>
              <w:bidi w:val="0"/>
              <w:ind w:left="0" w:right="0"/>
              <w:rPr>
                <w:color w:val="auto"/>
                <w:sz w:val="21"/>
                <w:szCs w:val="21"/>
                <w:highlight w:val="none"/>
              </w:rPr>
            </w:pPr>
          </w:p>
        </w:tc>
        <w:tc>
          <w:tcPr>
            <w:tcW w:w="1965" w:type="dxa"/>
            <w:tcBorders>
              <w:top w:val="single" w:color="auto" w:sz="4" w:space="0"/>
              <w:left w:val="single" w:color="auto" w:sz="4" w:space="0"/>
              <w:bottom w:val="single" w:color="auto" w:sz="4" w:space="0"/>
              <w:right w:val="single" w:color="auto" w:sz="4" w:space="0"/>
            </w:tcBorders>
            <w:vAlign w:val="center"/>
          </w:tcPr>
          <w:p w14:paraId="5D2D7C1C">
            <w:pPr>
              <w:keepNext w:val="0"/>
              <w:keepLines w:val="0"/>
              <w:pageBreakBefore w:val="0"/>
              <w:widowControl/>
              <w:kinsoku/>
              <w:wordWrap/>
              <w:overflowPunct/>
              <w:topLinePunct w:val="0"/>
              <w:autoSpaceDE/>
              <w:autoSpaceDN/>
              <w:bidi w:val="0"/>
              <w:adjustRightInd/>
              <w:snapToGrid/>
              <w:ind w:left="0" w:leftChars="0" w:right="0" w:rightChars="0"/>
              <w:jc w:val="center"/>
              <w:textAlignment w:val="auto"/>
              <w:rPr>
                <w:rFonts w:hint="eastAsia" w:ascii="Times New Roman" w:hAnsi="Times New Roman" w:cs="Times New Roman"/>
                <w:color w:val="auto"/>
                <w:sz w:val="21"/>
                <w:szCs w:val="21"/>
                <w:highlight w:val="none"/>
              </w:rPr>
            </w:pPr>
            <w:r>
              <w:rPr>
                <w:rFonts w:hint="eastAsia" w:ascii="Times New Roman" w:hAnsi="Times New Roman"/>
                <w:color w:val="auto"/>
                <w:sz w:val="21"/>
                <w:szCs w:val="21"/>
                <w:highlight w:val="none"/>
              </w:rPr>
              <w:t>甲醇</w:t>
            </w:r>
          </w:p>
        </w:tc>
        <w:tc>
          <w:tcPr>
            <w:tcW w:w="2617" w:type="dxa"/>
            <w:gridSpan w:val="2"/>
            <w:tcBorders>
              <w:top w:val="single" w:color="auto" w:sz="4" w:space="0"/>
              <w:left w:val="single" w:color="auto" w:sz="4" w:space="0"/>
              <w:right w:val="single" w:color="auto" w:sz="4" w:space="0"/>
            </w:tcBorders>
            <w:vAlign w:val="center"/>
          </w:tcPr>
          <w:p w14:paraId="153F1EF6">
            <w:pPr>
              <w:keepNext w:val="0"/>
              <w:keepLines w:val="0"/>
              <w:pageBreakBefore w:val="0"/>
              <w:widowControl/>
              <w:kinsoku/>
              <w:wordWrap/>
              <w:overflowPunct/>
              <w:topLinePunct w:val="0"/>
              <w:autoSpaceDE/>
              <w:autoSpaceDN/>
              <w:bidi w:val="0"/>
              <w:adjustRightInd/>
              <w:snapToGrid/>
              <w:ind w:left="0" w:leftChars="0" w:right="0" w:rightChars="0"/>
              <w:jc w:val="center"/>
              <w:textAlignment w:val="auto"/>
              <w:rPr>
                <w:rFonts w:hint="eastAsia"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lang w:val="en-US" w:eastAsia="zh-CN"/>
              </w:rPr>
              <w:t>0.0008</w:t>
            </w:r>
          </w:p>
        </w:tc>
        <w:tc>
          <w:tcPr>
            <w:tcW w:w="4122" w:type="dxa"/>
            <w:gridSpan w:val="3"/>
            <w:tcBorders>
              <w:top w:val="single" w:color="auto" w:sz="4" w:space="0"/>
              <w:left w:val="single" w:color="auto" w:sz="4" w:space="0"/>
              <w:right w:val="single" w:color="auto" w:sz="4" w:space="0"/>
            </w:tcBorders>
            <w:vAlign w:val="center"/>
          </w:tcPr>
          <w:p w14:paraId="1D5717BF">
            <w:pPr>
              <w:keepNext w:val="0"/>
              <w:keepLines w:val="0"/>
              <w:pageBreakBefore w:val="0"/>
              <w:widowControl/>
              <w:kinsoku/>
              <w:wordWrap/>
              <w:overflowPunct/>
              <w:topLinePunct w:val="0"/>
              <w:autoSpaceDE/>
              <w:autoSpaceDN/>
              <w:bidi w:val="0"/>
              <w:adjustRightInd/>
              <w:snapToGrid/>
              <w:ind w:left="0" w:leftChars="0" w:right="0" w:rightChars="0"/>
              <w:jc w:val="center"/>
              <w:textAlignment w:val="auto"/>
              <w:rPr>
                <w:rFonts w:hint="eastAsia"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lang w:val="en-US" w:eastAsia="zh-CN"/>
              </w:rPr>
              <w:t>0.0008</w:t>
            </w:r>
          </w:p>
        </w:tc>
        <w:tc>
          <w:tcPr>
            <w:tcW w:w="2799" w:type="dxa"/>
            <w:vMerge w:val="continue"/>
            <w:tcBorders>
              <w:left w:val="single" w:color="auto" w:sz="4" w:space="0"/>
              <w:right w:val="single" w:color="auto" w:sz="4" w:space="0"/>
            </w:tcBorders>
            <w:vAlign w:val="center"/>
          </w:tcPr>
          <w:p w14:paraId="4FF2AF60">
            <w:pPr>
              <w:pStyle w:val="154"/>
              <w:keepNext w:val="0"/>
              <w:keepLines w:val="0"/>
              <w:pageBreakBefore w:val="0"/>
              <w:kinsoku/>
              <w:wordWrap/>
              <w:overflowPunct/>
              <w:topLinePunct w:val="0"/>
              <w:autoSpaceDE/>
              <w:autoSpaceDN/>
              <w:bidi w:val="0"/>
              <w:ind w:left="0" w:right="0"/>
              <w:rPr>
                <w:color w:val="auto"/>
                <w:sz w:val="21"/>
                <w:szCs w:val="21"/>
                <w:highlight w:val="none"/>
              </w:rPr>
            </w:pPr>
          </w:p>
        </w:tc>
      </w:tr>
      <w:tr w14:paraId="06AA69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1045" w:type="dxa"/>
            <w:vMerge w:val="restart"/>
            <w:tcBorders>
              <w:top w:val="single" w:color="auto" w:sz="4" w:space="0"/>
              <w:left w:val="single" w:color="auto" w:sz="4" w:space="0"/>
              <w:right w:val="single" w:color="auto" w:sz="4" w:space="0"/>
            </w:tcBorders>
            <w:vAlign w:val="center"/>
          </w:tcPr>
          <w:p w14:paraId="6D92140A">
            <w:pPr>
              <w:pStyle w:val="154"/>
              <w:keepNext w:val="0"/>
              <w:keepLines w:val="0"/>
              <w:pageBreakBefore w:val="0"/>
              <w:kinsoku/>
              <w:wordWrap/>
              <w:overflowPunct/>
              <w:topLinePunct w:val="0"/>
              <w:autoSpaceDE/>
              <w:autoSpaceDN/>
              <w:bidi w:val="0"/>
              <w:ind w:left="0" w:right="0"/>
              <w:rPr>
                <w:color w:val="auto"/>
                <w:sz w:val="21"/>
                <w:szCs w:val="21"/>
                <w:highlight w:val="none"/>
              </w:rPr>
            </w:pPr>
            <w:r>
              <w:rPr>
                <w:color w:val="auto"/>
                <w:sz w:val="21"/>
                <w:szCs w:val="21"/>
                <w:highlight w:val="none"/>
              </w:rPr>
              <w:t>水污染物</w:t>
            </w:r>
          </w:p>
        </w:tc>
        <w:tc>
          <w:tcPr>
            <w:tcW w:w="1728"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00635ABA">
            <w:pPr>
              <w:pStyle w:val="154"/>
              <w:keepNext w:val="0"/>
              <w:keepLines w:val="0"/>
              <w:pageBreakBefore w:val="0"/>
              <w:kinsoku/>
              <w:wordWrap/>
              <w:overflowPunct/>
              <w:topLinePunct w:val="0"/>
              <w:autoSpaceDE/>
              <w:autoSpaceDN/>
              <w:bidi w:val="0"/>
              <w:ind w:left="0" w:right="0"/>
              <w:rPr>
                <w:b/>
                <w:bCs/>
                <w:color w:val="auto"/>
                <w:sz w:val="21"/>
                <w:szCs w:val="21"/>
                <w:highlight w:val="none"/>
              </w:rPr>
            </w:pPr>
            <w:r>
              <w:rPr>
                <w:b/>
                <w:bCs/>
                <w:color w:val="auto"/>
                <w:sz w:val="21"/>
                <w:szCs w:val="21"/>
                <w:highlight w:val="none"/>
              </w:rPr>
              <w:t>排放源</w:t>
            </w:r>
          </w:p>
        </w:tc>
        <w:tc>
          <w:tcPr>
            <w:tcW w:w="1965" w:type="dxa"/>
            <w:tcBorders>
              <w:top w:val="single" w:color="auto" w:sz="4" w:space="0"/>
              <w:left w:val="single" w:color="auto" w:sz="4" w:space="0"/>
              <w:bottom w:val="single" w:color="auto" w:sz="4" w:space="0"/>
              <w:right w:val="single" w:color="auto" w:sz="4" w:space="0"/>
            </w:tcBorders>
            <w:shd w:val="clear" w:color="auto" w:fill="auto"/>
            <w:vAlign w:val="center"/>
          </w:tcPr>
          <w:p w14:paraId="02F5E1DD">
            <w:pPr>
              <w:pStyle w:val="154"/>
              <w:keepNext w:val="0"/>
              <w:keepLines w:val="0"/>
              <w:pageBreakBefore w:val="0"/>
              <w:kinsoku/>
              <w:wordWrap/>
              <w:overflowPunct/>
              <w:topLinePunct w:val="0"/>
              <w:autoSpaceDE/>
              <w:autoSpaceDN/>
              <w:bidi w:val="0"/>
              <w:ind w:left="0" w:right="0"/>
              <w:rPr>
                <w:b/>
                <w:bCs/>
                <w:color w:val="auto"/>
                <w:sz w:val="21"/>
                <w:szCs w:val="21"/>
                <w:highlight w:val="none"/>
              </w:rPr>
            </w:pPr>
            <w:r>
              <w:rPr>
                <w:b/>
                <w:bCs/>
                <w:color w:val="auto"/>
                <w:sz w:val="21"/>
                <w:szCs w:val="21"/>
                <w:highlight w:val="none"/>
              </w:rPr>
              <w:t>污染物</w:t>
            </w:r>
          </w:p>
        </w:tc>
        <w:tc>
          <w:tcPr>
            <w:tcW w:w="1361" w:type="dxa"/>
            <w:tcBorders>
              <w:top w:val="single" w:color="auto" w:sz="4" w:space="0"/>
              <w:left w:val="single" w:color="auto" w:sz="4" w:space="0"/>
              <w:bottom w:val="single" w:color="auto" w:sz="4" w:space="0"/>
              <w:right w:val="single" w:color="auto" w:sz="4" w:space="0"/>
            </w:tcBorders>
            <w:shd w:val="clear" w:color="auto" w:fill="auto"/>
            <w:vAlign w:val="center"/>
          </w:tcPr>
          <w:p w14:paraId="23C0416C">
            <w:pPr>
              <w:pStyle w:val="154"/>
              <w:keepNext w:val="0"/>
              <w:keepLines w:val="0"/>
              <w:pageBreakBefore w:val="0"/>
              <w:kinsoku/>
              <w:wordWrap/>
              <w:overflowPunct/>
              <w:topLinePunct w:val="0"/>
              <w:autoSpaceDE/>
              <w:autoSpaceDN/>
              <w:bidi w:val="0"/>
              <w:ind w:left="0" w:right="0"/>
              <w:rPr>
                <w:b/>
                <w:bCs/>
                <w:color w:val="auto"/>
                <w:sz w:val="21"/>
                <w:szCs w:val="21"/>
                <w:highlight w:val="none"/>
              </w:rPr>
            </w:pPr>
            <w:r>
              <w:rPr>
                <w:b/>
                <w:bCs/>
                <w:color w:val="auto"/>
                <w:sz w:val="21"/>
                <w:szCs w:val="21"/>
                <w:highlight w:val="none"/>
              </w:rPr>
              <w:t>废水量</w:t>
            </w:r>
          </w:p>
          <w:p w14:paraId="080FB37B">
            <w:pPr>
              <w:pStyle w:val="154"/>
              <w:keepNext w:val="0"/>
              <w:keepLines w:val="0"/>
              <w:pageBreakBefore w:val="0"/>
              <w:kinsoku/>
              <w:wordWrap/>
              <w:overflowPunct/>
              <w:topLinePunct w:val="0"/>
              <w:autoSpaceDE/>
              <w:autoSpaceDN/>
              <w:bidi w:val="0"/>
              <w:ind w:left="0" w:right="0"/>
              <w:rPr>
                <w:b/>
                <w:bCs/>
                <w:color w:val="auto"/>
                <w:sz w:val="21"/>
                <w:szCs w:val="21"/>
                <w:highlight w:val="none"/>
              </w:rPr>
            </w:pPr>
            <w:r>
              <w:rPr>
                <w:b/>
                <w:bCs/>
                <w:color w:val="auto"/>
                <w:sz w:val="21"/>
                <w:szCs w:val="21"/>
                <w:highlight w:val="none"/>
              </w:rPr>
              <w:t>t/a</w:t>
            </w:r>
          </w:p>
        </w:tc>
        <w:tc>
          <w:tcPr>
            <w:tcW w:w="1256" w:type="dxa"/>
            <w:tcBorders>
              <w:top w:val="single" w:color="auto" w:sz="4" w:space="0"/>
              <w:left w:val="single" w:color="auto" w:sz="4" w:space="0"/>
              <w:bottom w:val="single" w:color="auto" w:sz="4" w:space="0"/>
              <w:right w:val="single" w:color="auto" w:sz="4" w:space="0"/>
            </w:tcBorders>
            <w:shd w:val="clear" w:color="auto" w:fill="auto"/>
            <w:vAlign w:val="center"/>
          </w:tcPr>
          <w:p w14:paraId="640492F7">
            <w:pPr>
              <w:pStyle w:val="154"/>
              <w:keepNext w:val="0"/>
              <w:keepLines w:val="0"/>
              <w:pageBreakBefore w:val="0"/>
              <w:kinsoku/>
              <w:wordWrap/>
              <w:overflowPunct/>
              <w:topLinePunct w:val="0"/>
              <w:autoSpaceDE/>
              <w:autoSpaceDN/>
              <w:bidi w:val="0"/>
              <w:ind w:left="0" w:right="0"/>
              <w:rPr>
                <w:b/>
                <w:bCs/>
                <w:color w:val="auto"/>
                <w:sz w:val="21"/>
                <w:szCs w:val="21"/>
                <w:highlight w:val="none"/>
              </w:rPr>
            </w:pPr>
            <w:r>
              <w:rPr>
                <w:b/>
                <w:bCs/>
                <w:color w:val="auto"/>
                <w:sz w:val="21"/>
                <w:szCs w:val="21"/>
                <w:highlight w:val="none"/>
              </w:rPr>
              <w:t>产生浓度mg/L</w:t>
            </w:r>
          </w:p>
        </w:tc>
        <w:tc>
          <w:tcPr>
            <w:tcW w:w="1470" w:type="dxa"/>
            <w:tcBorders>
              <w:top w:val="single" w:color="auto" w:sz="4" w:space="0"/>
              <w:left w:val="single" w:color="auto" w:sz="4" w:space="0"/>
              <w:bottom w:val="single" w:color="auto" w:sz="4" w:space="0"/>
              <w:right w:val="single" w:color="auto" w:sz="4" w:space="0"/>
            </w:tcBorders>
            <w:shd w:val="clear" w:color="auto" w:fill="auto"/>
            <w:vAlign w:val="center"/>
          </w:tcPr>
          <w:p w14:paraId="2AE81152">
            <w:pPr>
              <w:pStyle w:val="154"/>
              <w:keepNext w:val="0"/>
              <w:keepLines w:val="0"/>
              <w:pageBreakBefore w:val="0"/>
              <w:kinsoku/>
              <w:wordWrap/>
              <w:overflowPunct/>
              <w:topLinePunct w:val="0"/>
              <w:autoSpaceDE/>
              <w:autoSpaceDN/>
              <w:bidi w:val="0"/>
              <w:ind w:left="0" w:right="0"/>
              <w:rPr>
                <w:b/>
                <w:bCs/>
                <w:color w:val="auto"/>
                <w:sz w:val="21"/>
                <w:szCs w:val="21"/>
                <w:highlight w:val="none"/>
              </w:rPr>
            </w:pPr>
            <w:r>
              <w:rPr>
                <w:b/>
                <w:bCs/>
                <w:color w:val="auto"/>
                <w:sz w:val="21"/>
                <w:szCs w:val="21"/>
                <w:highlight w:val="none"/>
              </w:rPr>
              <w:t>产生量t/a</w:t>
            </w:r>
          </w:p>
        </w:tc>
        <w:tc>
          <w:tcPr>
            <w:tcW w:w="1253" w:type="dxa"/>
            <w:tcBorders>
              <w:top w:val="single" w:color="auto" w:sz="4" w:space="0"/>
              <w:left w:val="single" w:color="auto" w:sz="4" w:space="0"/>
              <w:bottom w:val="single" w:color="auto" w:sz="4" w:space="0"/>
              <w:right w:val="single" w:color="auto" w:sz="4" w:space="0"/>
            </w:tcBorders>
            <w:shd w:val="clear" w:color="auto" w:fill="auto"/>
            <w:vAlign w:val="center"/>
          </w:tcPr>
          <w:p w14:paraId="4D1004F1">
            <w:pPr>
              <w:pStyle w:val="154"/>
              <w:keepNext w:val="0"/>
              <w:keepLines w:val="0"/>
              <w:pageBreakBefore w:val="0"/>
              <w:kinsoku/>
              <w:wordWrap/>
              <w:overflowPunct/>
              <w:topLinePunct w:val="0"/>
              <w:autoSpaceDE/>
              <w:autoSpaceDN/>
              <w:bidi w:val="0"/>
              <w:ind w:left="0" w:right="0"/>
              <w:rPr>
                <w:b/>
                <w:bCs/>
                <w:color w:val="auto"/>
                <w:sz w:val="21"/>
                <w:szCs w:val="21"/>
                <w:highlight w:val="none"/>
              </w:rPr>
            </w:pPr>
            <w:r>
              <w:rPr>
                <w:b/>
                <w:bCs/>
                <w:color w:val="auto"/>
                <w:sz w:val="21"/>
                <w:szCs w:val="21"/>
                <w:highlight w:val="none"/>
              </w:rPr>
              <w:t>排放浓度mg/L</w:t>
            </w:r>
          </w:p>
        </w:tc>
        <w:tc>
          <w:tcPr>
            <w:tcW w:w="1399" w:type="dxa"/>
            <w:tcBorders>
              <w:top w:val="single" w:color="auto" w:sz="4" w:space="0"/>
              <w:left w:val="single" w:color="auto" w:sz="4" w:space="0"/>
              <w:bottom w:val="single" w:color="auto" w:sz="4" w:space="0"/>
              <w:right w:val="single" w:color="auto" w:sz="4" w:space="0"/>
            </w:tcBorders>
            <w:shd w:val="clear" w:color="auto" w:fill="auto"/>
            <w:vAlign w:val="center"/>
          </w:tcPr>
          <w:p w14:paraId="7DEE9D04">
            <w:pPr>
              <w:pStyle w:val="154"/>
              <w:keepNext w:val="0"/>
              <w:keepLines w:val="0"/>
              <w:pageBreakBefore w:val="0"/>
              <w:kinsoku/>
              <w:wordWrap/>
              <w:overflowPunct/>
              <w:topLinePunct w:val="0"/>
              <w:autoSpaceDE/>
              <w:autoSpaceDN/>
              <w:bidi w:val="0"/>
              <w:ind w:left="0" w:right="0"/>
              <w:rPr>
                <w:b/>
                <w:bCs/>
                <w:color w:val="auto"/>
                <w:sz w:val="21"/>
                <w:szCs w:val="21"/>
                <w:highlight w:val="none"/>
              </w:rPr>
            </w:pPr>
            <w:r>
              <w:rPr>
                <w:b/>
                <w:bCs/>
                <w:color w:val="auto"/>
                <w:sz w:val="21"/>
                <w:szCs w:val="21"/>
                <w:highlight w:val="none"/>
              </w:rPr>
              <w:t>排放量</w:t>
            </w:r>
            <w:r>
              <w:rPr>
                <w:b/>
                <w:bCs/>
                <w:color w:val="auto"/>
                <w:sz w:val="21"/>
                <w:szCs w:val="21"/>
                <w:highlight w:val="none"/>
                <w:vertAlign w:val="superscript"/>
              </w:rPr>
              <w:t>*</w:t>
            </w:r>
            <w:r>
              <w:rPr>
                <w:b/>
                <w:bCs/>
                <w:color w:val="auto"/>
                <w:sz w:val="21"/>
                <w:szCs w:val="21"/>
                <w:highlight w:val="none"/>
              </w:rPr>
              <w:t>t/a</w:t>
            </w:r>
          </w:p>
        </w:tc>
        <w:tc>
          <w:tcPr>
            <w:tcW w:w="2799" w:type="dxa"/>
            <w:tcBorders>
              <w:top w:val="single" w:color="auto" w:sz="4" w:space="0"/>
              <w:left w:val="single" w:color="auto" w:sz="4" w:space="0"/>
              <w:bottom w:val="single" w:color="auto" w:sz="4" w:space="0"/>
              <w:right w:val="single" w:color="auto" w:sz="4" w:space="0"/>
            </w:tcBorders>
            <w:shd w:val="clear" w:color="auto" w:fill="auto"/>
            <w:vAlign w:val="center"/>
          </w:tcPr>
          <w:p w14:paraId="7B932FA8">
            <w:pPr>
              <w:pStyle w:val="154"/>
              <w:keepNext w:val="0"/>
              <w:keepLines w:val="0"/>
              <w:pageBreakBefore w:val="0"/>
              <w:kinsoku/>
              <w:wordWrap/>
              <w:overflowPunct/>
              <w:topLinePunct w:val="0"/>
              <w:autoSpaceDE/>
              <w:autoSpaceDN/>
              <w:bidi w:val="0"/>
              <w:ind w:left="0" w:right="0"/>
              <w:rPr>
                <w:b/>
                <w:bCs/>
                <w:color w:val="auto"/>
                <w:sz w:val="21"/>
                <w:szCs w:val="21"/>
                <w:highlight w:val="none"/>
              </w:rPr>
            </w:pPr>
            <w:r>
              <w:rPr>
                <w:b/>
                <w:bCs/>
                <w:color w:val="auto"/>
                <w:sz w:val="21"/>
                <w:szCs w:val="21"/>
                <w:highlight w:val="none"/>
              </w:rPr>
              <w:t>排放去向</w:t>
            </w:r>
          </w:p>
        </w:tc>
      </w:tr>
      <w:tr w14:paraId="17CA3F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1045" w:type="dxa"/>
            <w:vMerge w:val="continue"/>
            <w:tcBorders>
              <w:left w:val="single" w:color="auto" w:sz="4" w:space="0"/>
              <w:right w:val="single" w:color="auto" w:sz="4" w:space="0"/>
            </w:tcBorders>
            <w:vAlign w:val="center"/>
          </w:tcPr>
          <w:p w14:paraId="79EA9DEC">
            <w:pPr>
              <w:pStyle w:val="154"/>
              <w:keepNext w:val="0"/>
              <w:keepLines w:val="0"/>
              <w:pageBreakBefore w:val="0"/>
              <w:kinsoku/>
              <w:wordWrap/>
              <w:overflowPunct/>
              <w:topLinePunct w:val="0"/>
              <w:autoSpaceDE/>
              <w:autoSpaceDN/>
              <w:bidi w:val="0"/>
              <w:ind w:left="0" w:right="0"/>
              <w:rPr>
                <w:color w:val="auto"/>
                <w:sz w:val="21"/>
                <w:szCs w:val="21"/>
                <w:highlight w:val="none"/>
              </w:rPr>
            </w:pPr>
          </w:p>
        </w:tc>
        <w:tc>
          <w:tcPr>
            <w:tcW w:w="1728" w:type="dxa"/>
            <w:gridSpan w:val="2"/>
            <w:tcBorders>
              <w:top w:val="single" w:color="auto" w:sz="4" w:space="0"/>
              <w:left w:val="single" w:color="auto" w:sz="4" w:space="0"/>
              <w:right w:val="single" w:color="auto" w:sz="4" w:space="0"/>
            </w:tcBorders>
            <w:vAlign w:val="center"/>
          </w:tcPr>
          <w:p w14:paraId="4CAA5C69">
            <w:pPr>
              <w:pStyle w:val="154"/>
              <w:keepNext w:val="0"/>
              <w:keepLines w:val="0"/>
              <w:pageBreakBefore w:val="0"/>
              <w:kinsoku/>
              <w:wordWrap/>
              <w:overflowPunct/>
              <w:topLinePunct w:val="0"/>
              <w:autoSpaceDE/>
              <w:autoSpaceDN/>
              <w:bidi w:val="0"/>
              <w:ind w:left="0" w:right="0"/>
              <w:rPr>
                <w:color w:val="auto"/>
                <w:sz w:val="21"/>
                <w:szCs w:val="21"/>
                <w:highlight w:val="none"/>
              </w:rPr>
            </w:pPr>
            <w:r>
              <w:rPr>
                <w:rFonts w:hint="eastAsia"/>
                <w:color w:val="auto"/>
                <w:sz w:val="21"/>
                <w:szCs w:val="21"/>
                <w:highlight w:val="none"/>
              </w:rPr>
              <w:t>/</w:t>
            </w:r>
          </w:p>
        </w:tc>
        <w:tc>
          <w:tcPr>
            <w:tcW w:w="1965" w:type="dxa"/>
            <w:tcBorders>
              <w:top w:val="single" w:color="auto" w:sz="4" w:space="0"/>
              <w:left w:val="single" w:color="auto" w:sz="4" w:space="0"/>
              <w:bottom w:val="single" w:color="auto" w:sz="4" w:space="0"/>
              <w:right w:val="single" w:color="auto" w:sz="4" w:space="0"/>
            </w:tcBorders>
            <w:vAlign w:val="center"/>
          </w:tcPr>
          <w:p w14:paraId="267BD64A">
            <w:pPr>
              <w:pStyle w:val="154"/>
              <w:keepNext w:val="0"/>
              <w:keepLines w:val="0"/>
              <w:pageBreakBefore w:val="0"/>
              <w:kinsoku/>
              <w:wordWrap/>
              <w:overflowPunct/>
              <w:topLinePunct w:val="0"/>
              <w:autoSpaceDE/>
              <w:autoSpaceDN/>
              <w:bidi w:val="0"/>
              <w:ind w:left="0" w:right="0"/>
              <w:rPr>
                <w:color w:val="auto"/>
                <w:sz w:val="21"/>
                <w:szCs w:val="21"/>
                <w:highlight w:val="none"/>
              </w:rPr>
            </w:pPr>
            <w:r>
              <w:rPr>
                <w:rFonts w:hint="eastAsia"/>
                <w:color w:val="auto"/>
                <w:sz w:val="21"/>
                <w:szCs w:val="21"/>
                <w:highlight w:val="none"/>
              </w:rPr>
              <w:t>/</w:t>
            </w:r>
          </w:p>
        </w:tc>
        <w:tc>
          <w:tcPr>
            <w:tcW w:w="1361" w:type="dxa"/>
            <w:tcBorders>
              <w:top w:val="single" w:color="auto" w:sz="4" w:space="0"/>
              <w:left w:val="single" w:color="auto" w:sz="4" w:space="0"/>
              <w:right w:val="single" w:color="auto" w:sz="4" w:space="0"/>
            </w:tcBorders>
            <w:vAlign w:val="center"/>
          </w:tcPr>
          <w:p w14:paraId="054EE10F">
            <w:pPr>
              <w:pStyle w:val="154"/>
              <w:keepNext w:val="0"/>
              <w:keepLines w:val="0"/>
              <w:pageBreakBefore w:val="0"/>
              <w:kinsoku/>
              <w:wordWrap/>
              <w:overflowPunct/>
              <w:topLinePunct w:val="0"/>
              <w:autoSpaceDE/>
              <w:autoSpaceDN/>
              <w:bidi w:val="0"/>
              <w:ind w:left="0" w:right="0"/>
              <w:rPr>
                <w:color w:val="auto"/>
                <w:sz w:val="21"/>
                <w:szCs w:val="21"/>
                <w:highlight w:val="none"/>
              </w:rPr>
            </w:pPr>
            <w:r>
              <w:rPr>
                <w:rFonts w:hint="eastAsia"/>
                <w:color w:val="auto"/>
                <w:sz w:val="21"/>
                <w:szCs w:val="21"/>
                <w:highlight w:val="none"/>
              </w:rPr>
              <w:t>/</w:t>
            </w:r>
          </w:p>
        </w:tc>
        <w:tc>
          <w:tcPr>
            <w:tcW w:w="1256" w:type="dxa"/>
            <w:tcBorders>
              <w:top w:val="single" w:color="auto" w:sz="4" w:space="0"/>
              <w:left w:val="single" w:color="auto" w:sz="4" w:space="0"/>
              <w:bottom w:val="single" w:color="auto" w:sz="4" w:space="0"/>
              <w:right w:val="single" w:color="auto" w:sz="4" w:space="0"/>
            </w:tcBorders>
            <w:vAlign w:val="center"/>
          </w:tcPr>
          <w:p w14:paraId="61ED262D">
            <w:pPr>
              <w:pStyle w:val="154"/>
              <w:keepNext w:val="0"/>
              <w:keepLines w:val="0"/>
              <w:pageBreakBefore w:val="0"/>
              <w:kinsoku/>
              <w:wordWrap/>
              <w:overflowPunct/>
              <w:topLinePunct w:val="0"/>
              <w:autoSpaceDE/>
              <w:autoSpaceDN/>
              <w:bidi w:val="0"/>
              <w:ind w:left="0" w:right="0"/>
              <w:rPr>
                <w:color w:val="auto"/>
                <w:sz w:val="21"/>
                <w:szCs w:val="21"/>
                <w:highlight w:val="none"/>
              </w:rPr>
            </w:pPr>
            <w:r>
              <w:rPr>
                <w:rFonts w:hint="eastAsia"/>
                <w:color w:val="auto"/>
                <w:sz w:val="21"/>
                <w:szCs w:val="21"/>
                <w:highlight w:val="none"/>
              </w:rPr>
              <w:t>/</w:t>
            </w:r>
          </w:p>
        </w:tc>
        <w:tc>
          <w:tcPr>
            <w:tcW w:w="1470" w:type="dxa"/>
            <w:tcBorders>
              <w:top w:val="single" w:color="auto" w:sz="4" w:space="0"/>
              <w:left w:val="single" w:color="auto" w:sz="4" w:space="0"/>
              <w:bottom w:val="single" w:color="auto" w:sz="4" w:space="0"/>
              <w:right w:val="single" w:color="auto" w:sz="4" w:space="0"/>
            </w:tcBorders>
            <w:vAlign w:val="center"/>
          </w:tcPr>
          <w:p w14:paraId="69D6DFE9">
            <w:pPr>
              <w:pStyle w:val="154"/>
              <w:keepNext w:val="0"/>
              <w:keepLines w:val="0"/>
              <w:pageBreakBefore w:val="0"/>
              <w:kinsoku/>
              <w:wordWrap/>
              <w:overflowPunct/>
              <w:topLinePunct w:val="0"/>
              <w:autoSpaceDE/>
              <w:autoSpaceDN/>
              <w:bidi w:val="0"/>
              <w:ind w:left="0" w:right="0"/>
              <w:rPr>
                <w:color w:val="auto"/>
                <w:sz w:val="21"/>
                <w:szCs w:val="21"/>
                <w:highlight w:val="none"/>
              </w:rPr>
            </w:pPr>
            <w:r>
              <w:rPr>
                <w:rFonts w:hint="eastAsia"/>
                <w:color w:val="auto"/>
                <w:sz w:val="21"/>
                <w:szCs w:val="21"/>
                <w:highlight w:val="none"/>
              </w:rPr>
              <w:t>/</w:t>
            </w:r>
          </w:p>
        </w:tc>
        <w:tc>
          <w:tcPr>
            <w:tcW w:w="1253" w:type="dxa"/>
            <w:tcBorders>
              <w:top w:val="single" w:color="auto" w:sz="4" w:space="0"/>
              <w:left w:val="single" w:color="auto" w:sz="4" w:space="0"/>
              <w:bottom w:val="single" w:color="auto" w:sz="4" w:space="0"/>
              <w:right w:val="single" w:color="auto" w:sz="4" w:space="0"/>
            </w:tcBorders>
            <w:vAlign w:val="center"/>
          </w:tcPr>
          <w:p w14:paraId="58764305">
            <w:pPr>
              <w:pStyle w:val="154"/>
              <w:keepNext w:val="0"/>
              <w:keepLines w:val="0"/>
              <w:pageBreakBefore w:val="0"/>
              <w:kinsoku/>
              <w:wordWrap/>
              <w:overflowPunct/>
              <w:topLinePunct w:val="0"/>
              <w:autoSpaceDE/>
              <w:autoSpaceDN/>
              <w:bidi w:val="0"/>
              <w:ind w:left="0" w:right="0"/>
              <w:rPr>
                <w:color w:val="auto"/>
                <w:sz w:val="21"/>
                <w:szCs w:val="21"/>
                <w:highlight w:val="none"/>
              </w:rPr>
            </w:pPr>
            <w:r>
              <w:rPr>
                <w:rFonts w:hint="eastAsia"/>
                <w:color w:val="auto"/>
                <w:sz w:val="21"/>
                <w:szCs w:val="21"/>
                <w:highlight w:val="none"/>
              </w:rPr>
              <w:t>/</w:t>
            </w:r>
          </w:p>
        </w:tc>
        <w:tc>
          <w:tcPr>
            <w:tcW w:w="1399" w:type="dxa"/>
            <w:tcBorders>
              <w:top w:val="single" w:color="auto" w:sz="4" w:space="0"/>
              <w:left w:val="single" w:color="auto" w:sz="4" w:space="0"/>
              <w:bottom w:val="single" w:color="auto" w:sz="4" w:space="0"/>
              <w:right w:val="single" w:color="auto" w:sz="4" w:space="0"/>
            </w:tcBorders>
            <w:vAlign w:val="center"/>
          </w:tcPr>
          <w:p w14:paraId="0D62CF45">
            <w:pPr>
              <w:pStyle w:val="154"/>
              <w:keepNext w:val="0"/>
              <w:keepLines w:val="0"/>
              <w:pageBreakBefore w:val="0"/>
              <w:kinsoku/>
              <w:wordWrap/>
              <w:overflowPunct/>
              <w:topLinePunct w:val="0"/>
              <w:autoSpaceDE/>
              <w:autoSpaceDN/>
              <w:bidi w:val="0"/>
              <w:ind w:left="0" w:right="0"/>
              <w:rPr>
                <w:color w:val="auto"/>
                <w:sz w:val="21"/>
                <w:szCs w:val="21"/>
                <w:highlight w:val="none"/>
              </w:rPr>
            </w:pPr>
            <w:r>
              <w:rPr>
                <w:rFonts w:hint="eastAsia"/>
                <w:color w:val="auto"/>
                <w:sz w:val="21"/>
                <w:szCs w:val="21"/>
                <w:highlight w:val="none"/>
              </w:rPr>
              <w:t>/</w:t>
            </w:r>
          </w:p>
        </w:tc>
        <w:tc>
          <w:tcPr>
            <w:tcW w:w="2799" w:type="dxa"/>
            <w:tcBorders>
              <w:left w:val="single" w:color="auto" w:sz="4" w:space="0"/>
              <w:right w:val="single" w:color="auto" w:sz="4" w:space="0"/>
            </w:tcBorders>
            <w:vAlign w:val="center"/>
          </w:tcPr>
          <w:p w14:paraId="07D27036">
            <w:pPr>
              <w:pStyle w:val="154"/>
              <w:keepNext w:val="0"/>
              <w:keepLines w:val="0"/>
              <w:pageBreakBefore w:val="0"/>
              <w:kinsoku/>
              <w:wordWrap/>
              <w:overflowPunct/>
              <w:topLinePunct w:val="0"/>
              <w:autoSpaceDE/>
              <w:autoSpaceDN/>
              <w:bidi w:val="0"/>
              <w:ind w:left="0" w:right="0"/>
              <w:rPr>
                <w:color w:val="auto"/>
                <w:sz w:val="21"/>
                <w:szCs w:val="21"/>
                <w:highlight w:val="none"/>
              </w:rPr>
            </w:pPr>
            <w:r>
              <w:rPr>
                <w:rFonts w:hint="eastAsia"/>
                <w:color w:val="auto"/>
                <w:sz w:val="21"/>
                <w:szCs w:val="21"/>
                <w:highlight w:val="none"/>
              </w:rPr>
              <w:t>/</w:t>
            </w:r>
          </w:p>
        </w:tc>
      </w:tr>
      <w:tr w14:paraId="788839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1045" w:type="dxa"/>
            <w:vMerge w:val="restart"/>
            <w:tcBorders>
              <w:top w:val="single" w:color="auto" w:sz="4" w:space="0"/>
              <w:left w:val="single" w:color="auto" w:sz="4" w:space="0"/>
              <w:right w:val="single" w:color="auto" w:sz="4" w:space="0"/>
            </w:tcBorders>
            <w:vAlign w:val="center"/>
          </w:tcPr>
          <w:p w14:paraId="43F75471">
            <w:pPr>
              <w:pStyle w:val="154"/>
              <w:keepNext w:val="0"/>
              <w:keepLines w:val="0"/>
              <w:pageBreakBefore w:val="0"/>
              <w:kinsoku/>
              <w:wordWrap/>
              <w:overflowPunct/>
              <w:topLinePunct w:val="0"/>
              <w:autoSpaceDE/>
              <w:autoSpaceDN/>
              <w:bidi w:val="0"/>
              <w:ind w:left="0" w:right="0"/>
              <w:rPr>
                <w:color w:val="auto"/>
                <w:sz w:val="21"/>
                <w:szCs w:val="21"/>
                <w:highlight w:val="none"/>
              </w:rPr>
            </w:pPr>
            <w:r>
              <w:rPr>
                <w:color w:val="auto"/>
                <w:sz w:val="21"/>
                <w:szCs w:val="21"/>
                <w:highlight w:val="none"/>
              </w:rPr>
              <w:t>固体</w:t>
            </w:r>
          </w:p>
          <w:p w14:paraId="1F29770B">
            <w:pPr>
              <w:pStyle w:val="154"/>
              <w:keepNext w:val="0"/>
              <w:keepLines w:val="0"/>
              <w:pageBreakBefore w:val="0"/>
              <w:kinsoku/>
              <w:wordWrap/>
              <w:overflowPunct/>
              <w:topLinePunct w:val="0"/>
              <w:autoSpaceDE/>
              <w:autoSpaceDN/>
              <w:bidi w:val="0"/>
              <w:ind w:left="0" w:right="0"/>
              <w:rPr>
                <w:color w:val="auto"/>
                <w:sz w:val="21"/>
                <w:szCs w:val="21"/>
                <w:highlight w:val="none"/>
              </w:rPr>
            </w:pPr>
            <w:r>
              <w:rPr>
                <w:color w:val="auto"/>
                <w:sz w:val="21"/>
                <w:szCs w:val="21"/>
                <w:highlight w:val="none"/>
              </w:rPr>
              <w:t>废物</w:t>
            </w:r>
          </w:p>
        </w:tc>
        <w:tc>
          <w:tcPr>
            <w:tcW w:w="1728"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1760CFD8">
            <w:pPr>
              <w:pStyle w:val="154"/>
              <w:keepNext w:val="0"/>
              <w:keepLines w:val="0"/>
              <w:pageBreakBefore w:val="0"/>
              <w:kinsoku/>
              <w:wordWrap/>
              <w:overflowPunct/>
              <w:topLinePunct w:val="0"/>
              <w:autoSpaceDE/>
              <w:autoSpaceDN/>
              <w:bidi w:val="0"/>
              <w:ind w:left="0" w:right="0"/>
              <w:rPr>
                <w:b/>
                <w:bCs/>
                <w:color w:val="auto"/>
                <w:sz w:val="21"/>
                <w:szCs w:val="21"/>
                <w:highlight w:val="none"/>
              </w:rPr>
            </w:pPr>
            <w:r>
              <w:rPr>
                <w:b/>
                <w:bCs/>
                <w:color w:val="auto"/>
                <w:sz w:val="21"/>
                <w:szCs w:val="21"/>
                <w:highlight w:val="none"/>
              </w:rPr>
              <w:t>类别</w:t>
            </w:r>
          </w:p>
        </w:tc>
        <w:tc>
          <w:tcPr>
            <w:tcW w:w="1965" w:type="dxa"/>
            <w:tcBorders>
              <w:top w:val="single" w:color="auto" w:sz="4" w:space="0"/>
              <w:left w:val="single" w:color="auto" w:sz="4" w:space="0"/>
              <w:bottom w:val="single" w:color="auto" w:sz="4" w:space="0"/>
              <w:right w:val="single" w:color="auto" w:sz="4" w:space="0"/>
            </w:tcBorders>
            <w:shd w:val="clear" w:color="auto" w:fill="auto"/>
            <w:vAlign w:val="center"/>
          </w:tcPr>
          <w:p w14:paraId="5C1EBBE7">
            <w:pPr>
              <w:pStyle w:val="154"/>
              <w:keepNext w:val="0"/>
              <w:keepLines w:val="0"/>
              <w:pageBreakBefore w:val="0"/>
              <w:kinsoku/>
              <w:wordWrap/>
              <w:overflowPunct/>
              <w:topLinePunct w:val="0"/>
              <w:autoSpaceDE/>
              <w:autoSpaceDN/>
              <w:bidi w:val="0"/>
              <w:ind w:left="0" w:right="0"/>
              <w:rPr>
                <w:b/>
                <w:bCs/>
                <w:color w:val="auto"/>
                <w:sz w:val="21"/>
                <w:szCs w:val="21"/>
                <w:highlight w:val="none"/>
              </w:rPr>
            </w:pPr>
            <w:r>
              <w:rPr>
                <w:b/>
                <w:bCs/>
                <w:color w:val="auto"/>
                <w:sz w:val="21"/>
                <w:szCs w:val="21"/>
                <w:highlight w:val="none"/>
              </w:rPr>
              <w:t>产生量t/a</w:t>
            </w:r>
          </w:p>
        </w:tc>
        <w:tc>
          <w:tcPr>
            <w:tcW w:w="261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4AC236C8">
            <w:pPr>
              <w:pStyle w:val="154"/>
              <w:keepNext w:val="0"/>
              <w:keepLines w:val="0"/>
              <w:pageBreakBefore w:val="0"/>
              <w:kinsoku/>
              <w:wordWrap/>
              <w:overflowPunct/>
              <w:topLinePunct w:val="0"/>
              <w:autoSpaceDE/>
              <w:autoSpaceDN/>
              <w:bidi w:val="0"/>
              <w:ind w:left="0" w:right="0"/>
              <w:rPr>
                <w:b/>
                <w:bCs/>
                <w:color w:val="auto"/>
                <w:sz w:val="21"/>
                <w:szCs w:val="21"/>
                <w:highlight w:val="none"/>
              </w:rPr>
            </w:pPr>
            <w:r>
              <w:rPr>
                <w:b/>
                <w:bCs/>
                <w:color w:val="auto"/>
                <w:sz w:val="21"/>
                <w:szCs w:val="21"/>
                <w:highlight w:val="none"/>
              </w:rPr>
              <w:t>处理处置t/a</w:t>
            </w:r>
          </w:p>
        </w:tc>
        <w:tc>
          <w:tcPr>
            <w:tcW w:w="2723"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3F14F671">
            <w:pPr>
              <w:pStyle w:val="154"/>
              <w:keepNext w:val="0"/>
              <w:keepLines w:val="0"/>
              <w:pageBreakBefore w:val="0"/>
              <w:kinsoku/>
              <w:wordWrap/>
              <w:overflowPunct/>
              <w:topLinePunct w:val="0"/>
              <w:autoSpaceDE/>
              <w:autoSpaceDN/>
              <w:bidi w:val="0"/>
              <w:ind w:left="0" w:right="0"/>
              <w:rPr>
                <w:b/>
                <w:bCs/>
                <w:color w:val="auto"/>
                <w:sz w:val="21"/>
                <w:szCs w:val="21"/>
                <w:highlight w:val="none"/>
              </w:rPr>
            </w:pPr>
            <w:r>
              <w:rPr>
                <w:b/>
                <w:bCs/>
                <w:color w:val="auto"/>
                <w:sz w:val="21"/>
                <w:szCs w:val="21"/>
                <w:highlight w:val="none"/>
              </w:rPr>
              <w:t>综合利用量t/a</w:t>
            </w:r>
          </w:p>
        </w:tc>
        <w:tc>
          <w:tcPr>
            <w:tcW w:w="4198"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4DDE191F">
            <w:pPr>
              <w:pStyle w:val="154"/>
              <w:keepNext w:val="0"/>
              <w:keepLines w:val="0"/>
              <w:pageBreakBefore w:val="0"/>
              <w:kinsoku/>
              <w:wordWrap/>
              <w:overflowPunct/>
              <w:topLinePunct w:val="0"/>
              <w:autoSpaceDE/>
              <w:autoSpaceDN/>
              <w:bidi w:val="0"/>
              <w:ind w:left="0" w:right="0"/>
              <w:rPr>
                <w:b/>
                <w:bCs/>
                <w:color w:val="auto"/>
                <w:sz w:val="21"/>
                <w:szCs w:val="21"/>
                <w:highlight w:val="none"/>
              </w:rPr>
            </w:pPr>
            <w:r>
              <w:rPr>
                <w:b/>
                <w:bCs/>
                <w:color w:val="auto"/>
                <w:sz w:val="21"/>
                <w:szCs w:val="21"/>
                <w:highlight w:val="none"/>
              </w:rPr>
              <w:t>外排量t/a</w:t>
            </w:r>
          </w:p>
        </w:tc>
      </w:tr>
      <w:tr w14:paraId="1A04FA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1045" w:type="dxa"/>
            <w:vMerge w:val="continue"/>
            <w:tcBorders>
              <w:left w:val="single" w:color="auto" w:sz="4" w:space="0"/>
              <w:right w:val="single" w:color="auto" w:sz="4" w:space="0"/>
            </w:tcBorders>
            <w:vAlign w:val="center"/>
          </w:tcPr>
          <w:p w14:paraId="5D73A981">
            <w:pPr>
              <w:pStyle w:val="154"/>
              <w:keepNext w:val="0"/>
              <w:keepLines w:val="0"/>
              <w:pageBreakBefore w:val="0"/>
              <w:kinsoku/>
              <w:wordWrap/>
              <w:overflowPunct/>
              <w:topLinePunct w:val="0"/>
              <w:autoSpaceDE/>
              <w:autoSpaceDN/>
              <w:bidi w:val="0"/>
              <w:ind w:left="0" w:right="0"/>
              <w:rPr>
                <w:color w:val="auto"/>
                <w:sz w:val="21"/>
                <w:szCs w:val="21"/>
                <w:highlight w:val="none"/>
              </w:rPr>
            </w:pPr>
          </w:p>
        </w:tc>
        <w:tc>
          <w:tcPr>
            <w:tcW w:w="1728" w:type="dxa"/>
            <w:gridSpan w:val="2"/>
            <w:tcBorders>
              <w:top w:val="single" w:color="auto" w:sz="4" w:space="0"/>
              <w:left w:val="single" w:color="auto" w:sz="4" w:space="0"/>
              <w:bottom w:val="single" w:color="auto" w:sz="4" w:space="0"/>
              <w:right w:val="single" w:color="auto" w:sz="4" w:space="0"/>
            </w:tcBorders>
            <w:vAlign w:val="center"/>
          </w:tcPr>
          <w:p w14:paraId="28FF2046">
            <w:pPr>
              <w:pStyle w:val="98"/>
              <w:keepNext w:val="0"/>
              <w:keepLines w:val="0"/>
              <w:pageBreakBefore w:val="0"/>
              <w:kinsoku/>
              <w:wordWrap/>
              <w:overflowPunct/>
              <w:topLinePunct w:val="0"/>
              <w:autoSpaceDE/>
              <w:autoSpaceDN/>
              <w:bidi w:val="0"/>
              <w:adjustRightInd w:val="0"/>
              <w:snapToGrid w:val="0"/>
              <w:ind w:left="0" w:right="0"/>
              <w:rPr>
                <w:color w:val="auto"/>
                <w:sz w:val="21"/>
                <w:szCs w:val="21"/>
                <w:highlight w:val="none"/>
              </w:rPr>
            </w:pPr>
            <w:r>
              <w:rPr>
                <w:rFonts w:hint="eastAsia" w:ascii="宋体" w:hAnsi="宋体" w:eastAsia="宋体" w:cs="宋体"/>
                <w:color w:val="auto"/>
                <w:sz w:val="21"/>
                <w:szCs w:val="18"/>
                <w:highlight w:val="none"/>
                <w:lang w:val="en-US"/>
              </w:rPr>
              <w:t>废</w:t>
            </w:r>
            <w:r>
              <w:rPr>
                <w:rFonts w:hint="eastAsia"/>
                <w:color w:val="auto"/>
                <w:sz w:val="21"/>
                <w:szCs w:val="18"/>
                <w:highlight w:val="none"/>
                <w:lang w:val="en-US"/>
              </w:rPr>
              <w:t>滤芯</w:t>
            </w:r>
          </w:p>
        </w:tc>
        <w:tc>
          <w:tcPr>
            <w:tcW w:w="1965" w:type="dxa"/>
            <w:tcBorders>
              <w:top w:val="single" w:color="auto" w:sz="4" w:space="0"/>
              <w:left w:val="single" w:color="auto" w:sz="4" w:space="0"/>
              <w:bottom w:val="single" w:color="auto" w:sz="4" w:space="0"/>
              <w:right w:val="single" w:color="auto" w:sz="4" w:space="0"/>
            </w:tcBorders>
            <w:vAlign w:val="center"/>
          </w:tcPr>
          <w:p w14:paraId="0D2AFE47">
            <w:pPr>
              <w:keepNext w:val="0"/>
              <w:keepLines w:val="0"/>
              <w:pageBreakBefore w:val="0"/>
              <w:kinsoku/>
              <w:wordWrap/>
              <w:overflowPunct/>
              <w:autoSpaceDE/>
              <w:autoSpaceDN/>
              <w:bidi w:val="0"/>
              <w:ind w:left="0" w:leftChars="0" w:right="0" w:rightChars="0"/>
              <w:jc w:val="center"/>
              <w:textAlignment w:val="auto"/>
              <w:rPr>
                <w:color w:val="auto"/>
                <w:sz w:val="21"/>
                <w:szCs w:val="21"/>
                <w:highlight w:val="none"/>
              </w:rPr>
            </w:pPr>
            <w:r>
              <w:rPr>
                <w:rFonts w:hint="eastAsia" w:ascii="Times New Roman" w:hAnsi="Times New Roman" w:cs="Times New Roman"/>
                <w:color w:val="auto"/>
                <w:sz w:val="21"/>
                <w:szCs w:val="21"/>
                <w:highlight w:val="none"/>
              </w:rPr>
              <w:t>2</w:t>
            </w:r>
          </w:p>
        </w:tc>
        <w:tc>
          <w:tcPr>
            <w:tcW w:w="2617" w:type="dxa"/>
            <w:gridSpan w:val="2"/>
            <w:tcBorders>
              <w:top w:val="single" w:color="auto" w:sz="4" w:space="0"/>
              <w:left w:val="single" w:color="auto" w:sz="4" w:space="0"/>
              <w:bottom w:val="single" w:color="auto" w:sz="4" w:space="0"/>
              <w:right w:val="single" w:color="auto" w:sz="4" w:space="0"/>
            </w:tcBorders>
            <w:vAlign w:val="center"/>
          </w:tcPr>
          <w:p w14:paraId="0AB04958">
            <w:pPr>
              <w:keepNext w:val="0"/>
              <w:keepLines w:val="0"/>
              <w:pageBreakBefore w:val="0"/>
              <w:kinsoku/>
              <w:wordWrap/>
              <w:overflowPunct/>
              <w:topLinePunct w:val="0"/>
              <w:autoSpaceDE/>
              <w:autoSpaceDN/>
              <w:bidi w:val="0"/>
              <w:ind w:left="0" w:right="0"/>
              <w:jc w:val="center"/>
              <w:rPr>
                <w:color w:val="auto"/>
                <w:sz w:val="21"/>
                <w:szCs w:val="21"/>
                <w:highlight w:val="none"/>
              </w:rPr>
            </w:pPr>
            <w:r>
              <w:rPr>
                <w:rFonts w:hint="eastAsia" w:ascii="Times New Roman" w:hAnsi="Times New Roman" w:cs="Times New Roman"/>
                <w:color w:val="auto"/>
                <w:sz w:val="21"/>
                <w:szCs w:val="21"/>
                <w:highlight w:val="none"/>
              </w:rPr>
              <w:t>2</w:t>
            </w:r>
          </w:p>
        </w:tc>
        <w:tc>
          <w:tcPr>
            <w:tcW w:w="2723" w:type="dxa"/>
            <w:gridSpan w:val="2"/>
            <w:tcBorders>
              <w:top w:val="single" w:color="auto" w:sz="4" w:space="0"/>
              <w:left w:val="single" w:color="auto" w:sz="4" w:space="0"/>
              <w:bottom w:val="single" w:color="auto" w:sz="4" w:space="0"/>
              <w:right w:val="single" w:color="auto" w:sz="4" w:space="0"/>
            </w:tcBorders>
            <w:vAlign w:val="center"/>
          </w:tcPr>
          <w:p w14:paraId="48383928">
            <w:pPr>
              <w:keepNext w:val="0"/>
              <w:keepLines w:val="0"/>
              <w:pageBreakBefore w:val="0"/>
              <w:kinsoku/>
              <w:wordWrap/>
              <w:overflowPunct/>
              <w:topLinePunct w:val="0"/>
              <w:autoSpaceDE/>
              <w:autoSpaceDN/>
              <w:bidi w:val="0"/>
              <w:ind w:left="0" w:right="0"/>
              <w:jc w:val="center"/>
              <w:rPr>
                <w:rFonts w:ascii="Times New Roman" w:hAnsi="Times New Roman" w:cs="Times New Roman"/>
                <w:color w:val="auto"/>
                <w:kern w:val="2"/>
                <w:sz w:val="21"/>
                <w:szCs w:val="21"/>
                <w:highlight w:val="none"/>
              </w:rPr>
            </w:pPr>
            <w:r>
              <w:rPr>
                <w:rFonts w:hint="eastAsia" w:ascii="Times New Roman" w:hAnsi="Times New Roman" w:cs="Times New Roman"/>
                <w:color w:val="auto"/>
                <w:kern w:val="2"/>
                <w:sz w:val="21"/>
                <w:szCs w:val="21"/>
                <w:highlight w:val="none"/>
              </w:rPr>
              <w:t>/</w:t>
            </w:r>
          </w:p>
        </w:tc>
        <w:tc>
          <w:tcPr>
            <w:tcW w:w="4198" w:type="dxa"/>
            <w:gridSpan w:val="2"/>
            <w:tcBorders>
              <w:top w:val="single" w:color="auto" w:sz="4" w:space="0"/>
              <w:left w:val="single" w:color="auto" w:sz="4" w:space="0"/>
              <w:bottom w:val="single" w:color="auto" w:sz="4" w:space="0"/>
              <w:right w:val="single" w:color="auto" w:sz="4" w:space="0"/>
            </w:tcBorders>
            <w:vAlign w:val="center"/>
          </w:tcPr>
          <w:p w14:paraId="1C320B1D">
            <w:pPr>
              <w:pStyle w:val="154"/>
              <w:keepNext w:val="0"/>
              <w:keepLines w:val="0"/>
              <w:pageBreakBefore w:val="0"/>
              <w:kinsoku/>
              <w:wordWrap/>
              <w:overflowPunct/>
              <w:topLinePunct w:val="0"/>
              <w:autoSpaceDE/>
              <w:autoSpaceDN/>
              <w:bidi w:val="0"/>
              <w:ind w:left="0" w:right="0"/>
              <w:rPr>
                <w:color w:val="auto"/>
                <w:sz w:val="21"/>
                <w:szCs w:val="21"/>
                <w:highlight w:val="none"/>
              </w:rPr>
            </w:pPr>
            <w:r>
              <w:rPr>
                <w:color w:val="auto"/>
                <w:sz w:val="21"/>
                <w:szCs w:val="21"/>
                <w:highlight w:val="none"/>
              </w:rPr>
              <w:t>0</w:t>
            </w:r>
          </w:p>
        </w:tc>
      </w:tr>
      <w:tr w14:paraId="5F7641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1045" w:type="dxa"/>
            <w:vMerge w:val="continue"/>
            <w:tcBorders>
              <w:left w:val="single" w:color="auto" w:sz="4" w:space="0"/>
              <w:right w:val="single" w:color="auto" w:sz="4" w:space="0"/>
            </w:tcBorders>
            <w:vAlign w:val="center"/>
          </w:tcPr>
          <w:p w14:paraId="7D9D4CE9">
            <w:pPr>
              <w:pStyle w:val="154"/>
              <w:keepNext w:val="0"/>
              <w:keepLines w:val="0"/>
              <w:pageBreakBefore w:val="0"/>
              <w:kinsoku/>
              <w:wordWrap/>
              <w:overflowPunct/>
              <w:topLinePunct w:val="0"/>
              <w:autoSpaceDE/>
              <w:autoSpaceDN/>
              <w:bidi w:val="0"/>
              <w:ind w:left="0" w:right="0"/>
              <w:rPr>
                <w:color w:val="auto"/>
                <w:sz w:val="21"/>
                <w:szCs w:val="21"/>
                <w:highlight w:val="none"/>
              </w:rPr>
            </w:pPr>
          </w:p>
        </w:tc>
        <w:tc>
          <w:tcPr>
            <w:tcW w:w="1728" w:type="dxa"/>
            <w:gridSpan w:val="2"/>
            <w:tcBorders>
              <w:top w:val="single" w:color="auto" w:sz="4" w:space="0"/>
              <w:left w:val="single" w:color="auto" w:sz="4" w:space="0"/>
              <w:bottom w:val="single" w:color="auto" w:sz="4" w:space="0"/>
              <w:right w:val="single" w:color="auto" w:sz="4" w:space="0"/>
            </w:tcBorders>
            <w:vAlign w:val="center"/>
          </w:tcPr>
          <w:p w14:paraId="72B7248F">
            <w:pPr>
              <w:keepNext w:val="0"/>
              <w:keepLines w:val="0"/>
              <w:pageBreakBefore w:val="0"/>
              <w:kinsoku/>
              <w:wordWrap/>
              <w:overflowPunct/>
              <w:topLinePunct w:val="0"/>
              <w:autoSpaceDE/>
              <w:autoSpaceDN/>
              <w:bidi w:val="0"/>
              <w:ind w:left="0" w:right="0"/>
              <w:jc w:val="center"/>
              <w:rPr>
                <w:color w:val="auto"/>
                <w:sz w:val="21"/>
                <w:szCs w:val="21"/>
                <w:highlight w:val="none"/>
              </w:rPr>
            </w:pPr>
            <w:r>
              <w:rPr>
                <w:rFonts w:hint="eastAsia" w:ascii="Times New Roman" w:hAnsi="Times New Roman" w:cs="Times New Roman"/>
                <w:color w:val="auto"/>
                <w:sz w:val="21"/>
                <w:szCs w:val="18"/>
                <w:highlight w:val="none"/>
              </w:rPr>
              <w:t>实验废液</w:t>
            </w:r>
          </w:p>
        </w:tc>
        <w:tc>
          <w:tcPr>
            <w:tcW w:w="1965" w:type="dxa"/>
            <w:tcBorders>
              <w:top w:val="single" w:color="auto" w:sz="4" w:space="0"/>
              <w:left w:val="single" w:color="auto" w:sz="4" w:space="0"/>
              <w:bottom w:val="single" w:color="auto" w:sz="4" w:space="0"/>
              <w:right w:val="single" w:color="auto" w:sz="4" w:space="0"/>
            </w:tcBorders>
            <w:vAlign w:val="center"/>
          </w:tcPr>
          <w:p w14:paraId="487D9F18">
            <w:pPr>
              <w:keepNext w:val="0"/>
              <w:keepLines w:val="0"/>
              <w:pageBreakBefore w:val="0"/>
              <w:kinsoku/>
              <w:wordWrap/>
              <w:overflowPunct/>
              <w:autoSpaceDE/>
              <w:autoSpaceDN/>
              <w:bidi w:val="0"/>
              <w:ind w:left="0" w:leftChars="0" w:right="0" w:rightChars="0"/>
              <w:jc w:val="center"/>
              <w:textAlignment w:val="auto"/>
              <w:rPr>
                <w:color w:val="auto"/>
                <w:sz w:val="21"/>
                <w:szCs w:val="21"/>
                <w:highlight w:val="none"/>
              </w:rPr>
            </w:pPr>
            <w:r>
              <w:rPr>
                <w:rFonts w:hint="eastAsia" w:ascii="Times New Roman" w:hAnsi="Times New Roman" w:cs="Times New Roman"/>
                <w:color w:val="auto"/>
                <w:sz w:val="21"/>
                <w:szCs w:val="21"/>
                <w:highlight w:val="none"/>
                <w:lang w:val="en-US" w:eastAsia="zh-CN"/>
              </w:rPr>
              <w:t>0.02</w:t>
            </w:r>
          </w:p>
        </w:tc>
        <w:tc>
          <w:tcPr>
            <w:tcW w:w="2617" w:type="dxa"/>
            <w:gridSpan w:val="2"/>
            <w:tcBorders>
              <w:top w:val="single" w:color="auto" w:sz="4" w:space="0"/>
              <w:left w:val="single" w:color="auto" w:sz="4" w:space="0"/>
              <w:bottom w:val="single" w:color="auto" w:sz="4" w:space="0"/>
              <w:right w:val="single" w:color="auto" w:sz="4" w:space="0"/>
            </w:tcBorders>
            <w:vAlign w:val="center"/>
          </w:tcPr>
          <w:p w14:paraId="152C04CA">
            <w:pPr>
              <w:keepNext w:val="0"/>
              <w:keepLines w:val="0"/>
              <w:pageBreakBefore w:val="0"/>
              <w:kinsoku/>
              <w:wordWrap/>
              <w:overflowPunct/>
              <w:topLinePunct w:val="0"/>
              <w:autoSpaceDE/>
              <w:autoSpaceDN/>
              <w:bidi w:val="0"/>
              <w:ind w:left="0" w:right="0"/>
              <w:jc w:val="center"/>
              <w:rPr>
                <w:rFonts w:hint="default" w:eastAsia="宋体"/>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0.02</w:t>
            </w:r>
          </w:p>
        </w:tc>
        <w:tc>
          <w:tcPr>
            <w:tcW w:w="2723" w:type="dxa"/>
            <w:gridSpan w:val="2"/>
            <w:tcBorders>
              <w:top w:val="single" w:color="auto" w:sz="4" w:space="0"/>
              <w:left w:val="single" w:color="auto" w:sz="4" w:space="0"/>
              <w:bottom w:val="single" w:color="auto" w:sz="4" w:space="0"/>
              <w:right w:val="single" w:color="auto" w:sz="4" w:space="0"/>
            </w:tcBorders>
            <w:vAlign w:val="center"/>
          </w:tcPr>
          <w:p w14:paraId="6208BB52">
            <w:pPr>
              <w:keepNext w:val="0"/>
              <w:keepLines w:val="0"/>
              <w:pageBreakBefore w:val="0"/>
              <w:kinsoku/>
              <w:wordWrap/>
              <w:overflowPunct/>
              <w:topLinePunct w:val="0"/>
              <w:autoSpaceDE/>
              <w:autoSpaceDN/>
              <w:bidi w:val="0"/>
              <w:ind w:left="0" w:right="0"/>
              <w:jc w:val="center"/>
              <w:rPr>
                <w:rFonts w:ascii="Times New Roman" w:hAnsi="Times New Roman" w:cs="Times New Roman"/>
                <w:color w:val="auto"/>
                <w:kern w:val="2"/>
                <w:sz w:val="21"/>
                <w:szCs w:val="21"/>
                <w:highlight w:val="none"/>
              </w:rPr>
            </w:pPr>
            <w:r>
              <w:rPr>
                <w:rFonts w:hint="eastAsia" w:ascii="Times New Roman" w:hAnsi="Times New Roman" w:cs="Times New Roman"/>
                <w:color w:val="auto"/>
                <w:kern w:val="2"/>
                <w:sz w:val="21"/>
                <w:szCs w:val="21"/>
                <w:highlight w:val="none"/>
              </w:rPr>
              <w:t>/</w:t>
            </w:r>
          </w:p>
        </w:tc>
        <w:tc>
          <w:tcPr>
            <w:tcW w:w="4198" w:type="dxa"/>
            <w:gridSpan w:val="2"/>
            <w:tcBorders>
              <w:top w:val="single" w:color="auto" w:sz="4" w:space="0"/>
              <w:left w:val="single" w:color="auto" w:sz="4" w:space="0"/>
              <w:bottom w:val="single" w:color="auto" w:sz="4" w:space="0"/>
              <w:right w:val="single" w:color="auto" w:sz="4" w:space="0"/>
            </w:tcBorders>
            <w:vAlign w:val="center"/>
          </w:tcPr>
          <w:p w14:paraId="3B71CCAD">
            <w:pPr>
              <w:pStyle w:val="154"/>
              <w:keepNext w:val="0"/>
              <w:keepLines w:val="0"/>
              <w:pageBreakBefore w:val="0"/>
              <w:kinsoku/>
              <w:wordWrap/>
              <w:overflowPunct/>
              <w:topLinePunct w:val="0"/>
              <w:autoSpaceDE/>
              <w:autoSpaceDN/>
              <w:bidi w:val="0"/>
              <w:ind w:left="0" w:right="0"/>
              <w:rPr>
                <w:color w:val="auto"/>
                <w:sz w:val="21"/>
                <w:szCs w:val="21"/>
                <w:highlight w:val="none"/>
              </w:rPr>
            </w:pPr>
            <w:r>
              <w:rPr>
                <w:color w:val="auto"/>
                <w:sz w:val="21"/>
                <w:szCs w:val="21"/>
                <w:highlight w:val="none"/>
              </w:rPr>
              <w:t>0</w:t>
            </w:r>
          </w:p>
        </w:tc>
      </w:tr>
      <w:tr w14:paraId="303B96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1045" w:type="dxa"/>
            <w:vMerge w:val="continue"/>
            <w:tcBorders>
              <w:left w:val="single" w:color="auto" w:sz="4" w:space="0"/>
              <w:right w:val="single" w:color="auto" w:sz="4" w:space="0"/>
            </w:tcBorders>
            <w:vAlign w:val="center"/>
          </w:tcPr>
          <w:p w14:paraId="08A60CE9">
            <w:pPr>
              <w:pStyle w:val="154"/>
              <w:keepNext w:val="0"/>
              <w:keepLines w:val="0"/>
              <w:pageBreakBefore w:val="0"/>
              <w:kinsoku/>
              <w:wordWrap/>
              <w:overflowPunct/>
              <w:topLinePunct w:val="0"/>
              <w:autoSpaceDE/>
              <w:autoSpaceDN/>
              <w:bidi w:val="0"/>
              <w:ind w:left="0" w:right="0"/>
              <w:rPr>
                <w:color w:val="auto"/>
                <w:sz w:val="21"/>
                <w:szCs w:val="21"/>
                <w:highlight w:val="none"/>
              </w:rPr>
            </w:pPr>
          </w:p>
        </w:tc>
        <w:tc>
          <w:tcPr>
            <w:tcW w:w="1728" w:type="dxa"/>
            <w:gridSpan w:val="2"/>
            <w:tcBorders>
              <w:top w:val="single" w:color="auto" w:sz="4" w:space="0"/>
              <w:left w:val="single" w:color="auto" w:sz="4" w:space="0"/>
              <w:bottom w:val="single" w:color="auto" w:sz="4" w:space="0"/>
              <w:right w:val="single" w:color="auto" w:sz="4" w:space="0"/>
            </w:tcBorders>
            <w:vAlign w:val="center"/>
          </w:tcPr>
          <w:p w14:paraId="746AA74C">
            <w:pPr>
              <w:keepNext w:val="0"/>
              <w:keepLines w:val="0"/>
              <w:pageBreakBefore w:val="0"/>
              <w:kinsoku/>
              <w:wordWrap/>
              <w:overflowPunct/>
              <w:topLinePunct w:val="0"/>
              <w:autoSpaceDE/>
              <w:autoSpaceDN/>
              <w:bidi w:val="0"/>
              <w:ind w:left="0" w:right="0"/>
              <w:jc w:val="center"/>
              <w:rPr>
                <w:color w:val="auto"/>
                <w:sz w:val="21"/>
                <w:szCs w:val="21"/>
                <w:highlight w:val="none"/>
              </w:rPr>
            </w:pPr>
            <w:r>
              <w:rPr>
                <w:rFonts w:hint="eastAsia" w:ascii="Times New Roman" w:hAnsi="Times New Roman" w:cs="Times New Roman"/>
                <w:color w:val="auto"/>
                <w:sz w:val="21"/>
                <w:szCs w:val="18"/>
                <w:highlight w:val="none"/>
              </w:rPr>
              <w:t>废实验耗材</w:t>
            </w:r>
          </w:p>
        </w:tc>
        <w:tc>
          <w:tcPr>
            <w:tcW w:w="1965" w:type="dxa"/>
            <w:tcBorders>
              <w:top w:val="single" w:color="auto" w:sz="4" w:space="0"/>
              <w:left w:val="single" w:color="auto" w:sz="4" w:space="0"/>
              <w:bottom w:val="single" w:color="auto" w:sz="4" w:space="0"/>
              <w:right w:val="single" w:color="auto" w:sz="4" w:space="0"/>
            </w:tcBorders>
            <w:vAlign w:val="center"/>
          </w:tcPr>
          <w:p w14:paraId="4A72CBDF">
            <w:pPr>
              <w:keepNext w:val="0"/>
              <w:keepLines w:val="0"/>
              <w:pageBreakBefore w:val="0"/>
              <w:kinsoku/>
              <w:wordWrap/>
              <w:overflowPunct/>
              <w:autoSpaceDE/>
              <w:autoSpaceDN/>
              <w:bidi w:val="0"/>
              <w:ind w:left="0" w:leftChars="0" w:right="0" w:rightChars="0"/>
              <w:jc w:val="center"/>
              <w:textAlignment w:val="auto"/>
              <w:rPr>
                <w:color w:val="auto"/>
                <w:sz w:val="21"/>
                <w:szCs w:val="21"/>
                <w:highlight w:val="none"/>
              </w:rPr>
            </w:pPr>
            <w:r>
              <w:rPr>
                <w:rFonts w:hint="eastAsia" w:ascii="Times New Roman" w:hAnsi="Times New Roman" w:cs="Times New Roman"/>
                <w:color w:val="auto"/>
                <w:sz w:val="21"/>
                <w:szCs w:val="21"/>
                <w:highlight w:val="none"/>
              </w:rPr>
              <w:t>0.5</w:t>
            </w:r>
          </w:p>
        </w:tc>
        <w:tc>
          <w:tcPr>
            <w:tcW w:w="2617" w:type="dxa"/>
            <w:gridSpan w:val="2"/>
            <w:tcBorders>
              <w:top w:val="single" w:color="auto" w:sz="4" w:space="0"/>
              <w:left w:val="single" w:color="auto" w:sz="4" w:space="0"/>
              <w:bottom w:val="single" w:color="auto" w:sz="4" w:space="0"/>
              <w:right w:val="single" w:color="auto" w:sz="4" w:space="0"/>
            </w:tcBorders>
            <w:vAlign w:val="center"/>
          </w:tcPr>
          <w:p w14:paraId="74A9FC28">
            <w:pPr>
              <w:keepNext w:val="0"/>
              <w:keepLines w:val="0"/>
              <w:pageBreakBefore w:val="0"/>
              <w:kinsoku/>
              <w:wordWrap/>
              <w:overflowPunct/>
              <w:topLinePunct w:val="0"/>
              <w:autoSpaceDE/>
              <w:autoSpaceDN/>
              <w:bidi w:val="0"/>
              <w:ind w:left="0" w:right="0"/>
              <w:jc w:val="center"/>
              <w:rPr>
                <w:color w:val="auto"/>
                <w:sz w:val="21"/>
                <w:szCs w:val="21"/>
                <w:highlight w:val="none"/>
              </w:rPr>
            </w:pPr>
            <w:r>
              <w:rPr>
                <w:rFonts w:hint="eastAsia" w:ascii="Times New Roman" w:hAnsi="Times New Roman" w:cs="Times New Roman"/>
                <w:color w:val="auto"/>
                <w:sz w:val="21"/>
                <w:szCs w:val="21"/>
                <w:highlight w:val="none"/>
              </w:rPr>
              <w:t>0.5</w:t>
            </w:r>
          </w:p>
        </w:tc>
        <w:tc>
          <w:tcPr>
            <w:tcW w:w="2723" w:type="dxa"/>
            <w:gridSpan w:val="2"/>
            <w:tcBorders>
              <w:top w:val="single" w:color="auto" w:sz="4" w:space="0"/>
              <w:left w:val="single" w:color="auto" w:sz="4" w:space="0"/>
              <w:bottom w:val="single" w:color="auto" w:sz="4" w:space="0"/>
              <w:right w:val="single" w:color="auto" w:sz="4" w:space="0"/>
            </w:tcBorders>
            <w:vAlign w:val="center"/>
          </w:tcPr>
          <w:p w14:paraId="536D0681">
            <w:pPr>
              <w:keepNext w:val="0"/>
              <w:keepLines w:val="0"/>
              <w:pageBreakBefore w:val="0"/>
              <w:kinsoku/>
              <w:wordWrap/>
              <w:overflowPunct/>
              <w:topLinePunct w:val="0"/>
              <w:autoSpaceDE/>
              <w:autoSpaceDN/>
              <w:bidi w:val="0"/>
              <w:ind w:left="0" w:right="0"/>
              <w:jc w:val="center"/>
              <w:rPr>
                <w:rFonts w:ascii="Times New Roman" w:hAnsi="Times New Roman" w:cs="Times New Roman"/>
                <w:color w:val="auto"/>
                <w:kern w:val="2"/>
                <w:sz w:val="21"/>
                <w:szCs w:val="21"/>
                <w:highlight w:val="none"/>
              </w:rPr>
            </w:pPr>
            <w:r>
              <w:rPr>
                <w:rFonts w:hint="eastAsia" w:ascii="Times New Roman" w:hAnsi="Times New Roman" w:cs="Times New Roman"/>
                <w:color w:val="auto"/>
                <w:kern w:val="2"/>
                <w:sz w:val="21"/>
                <w:szCs w:val="21"/>
                <w:highlight w:val="none"/>
              </w:rPr>
              <w:t>/</w:t>
            </w:r>
          </w:p>
        </w:tc>
        <w:tc>
          <w:tcPr>
            <w:tcW w:w="4198" w:type="dxa"/>
            <w:gridSpan w:val="2"/>
            <w:tcBorders>
              <w:top w:val="single" w:color="auto" w:sz="4" w:space="0"/>
              <w:left w:val="single" w:color="auto" w:sz="4" w:space="0"/>
              <w:bottom w:val="single" w:color="auto" w:sz="4" w:space="0"/>
              <w:right w:val="single" w:color="auto" w:sz="4" w:space="0"/>
            </w:tcBorders>
            <w:vAlign w:val="center"/>
          </w:tcPr>
          <w:p w14:paraId="4A4899AA">
            <w:pPr>
              <w:pStyle w:val="154"/>
              <w:keepNext w:val="0"/>
              <w:keepLines w:val="0"/>
              <w:pageBreakBefore w:val="0"/>
              <w:kinsoku/>
              <w:wordWrap/>
              <w:overflowPunct/>
              <w:topLinePunct w:val="0"/>
              <w:autoSpaceDE/>
              <w:autoSpaceDN/>
              <w:bidi w:val="0"/>
              <w:ind w:left="0" w:right="0"/>
              <w:rPr>
                <w:color w:val="auto"/>
                <w:sz w:val="21"/>
                <w:szCs w:val="21"/>
                <w:highlight w:val="none"/>
              </w:rPr>
            </w:pPr>
            <w:r>
              <w:rPr>
                <w:color w:val="auto"/>
                <w:sz w:val="21"/>
                <w:szCs w:val="21"/>
                <w:highlight w:val="none"/>
              </w:rPr>
              <w:t>0</w:t>
            </w:r>
          </w:p>
        </w:tc>
      </w:tr>
      <w:tr w14:paraId="0CB4AE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1045" w:type="dxa"/>
            <w:vMerge w:val="continue"/>
            <w:tcBorders>
              <w:left w:val="single" w:color="auto" w:sz="4" w:space="0"/>
              <w:right w:val="single" w:color="auto" w:sz="4" w:space="0"/>
            </w:tcBorders>
            <w:vAlign w:val="center"/>
          </w:tcPr>
          <w:p w14:paraId="317F3CF6">
            <w:pPr>
              <w:pStyle w:val="154"/>
              <w:keepNext w:val="0"/>
              <w:keepLines w:val="0"/>
              <w:pageBreakBefore w:val="0"/>
              <w:kinsoku/>
              <w:wordWrap/>
              <w:overflowPunct/>
              <w:topLinePunct w:val="0"/>
              <w:autoSpaceDE/>
              <w:autoSpaceDN/>
              <w:bidi w:val="0"/>
              <w:ind w:left="0" w:right="0"/>
              <w:rPr>
                <w:color w:val="auto"/>
                <w:sz w:val="21"/>
                <w:szCs w:val="21"/>
                <w:highlight w:val="none"/>
              </w:rPr>
            </w:pPr>
          </w:p>
        </w:tc>
        <w:tc>
          <w:tcPr>
            <w:tcW w:w="1728" w:type="dxa"/>
            <w:gridSpan w:val="2"/>
            <w:tcBorders>
              <w:top w:val="single" w:color="auto" w:sz="4" w:space="0"/>
              <w:left w:val="single" w:color="auto" w:sz="4" w:space="0"/>
              <w:bottom w:val="single" w:color="auto" w:sz="4" w:space="0"/>
              <w:right w:val="single" w:color="auto" w:sz="4" w:space="0"/>
            </w:tcBorders>
            <w:vAlign w:val="center"/>
          </w:tcPr>
          <w:p w14:paraId="798E0200">
            <w:pPr>
              <w:keepNext w:val="0"/>
              <w:keepLines w:val="0"/>
              <w:pageBreakBefore w:val="0"/>
              <w:kinsoku/>
              <w:wordWrap/>
              <w:overflowPunct/>
              <w:topLinePunct w:val="0"/>
              <w:autoSpaceDE/>
              <w:autoSpaceDN/>
              <w:bidi w:val="0"/>
              <w:ind w:left="0" w:right="0"/>
              <w:jc w:val="center"/>
              <w:rPr>
                <w:color w:val="auto"/>
                <w:sz w:val="21"/>
                <w:szCs w:val="21"/>
                <w:highlight w:val="none"/>
              </w:rPr>
            </w:pPr>
            <w:r>
              <w:rPr>
                <w:rFonts w:hint="eastAsia" w:ascii="Times New Roman" w:hAnsi="Times New Roman" w:cs="Times New Roman"/>
                <w:color w:val="auto"/>
                <w:sz w:val="21"/>
                <w:szCs w:val="18"/>
                <w:highlight w:val="none"/>
              </w:rPr>
              <w:t>废过滤介质</w:t>
            </w:r>
          </w:p>
        </w:tc>
        <w:tc>
          <w:tcPr>
            <w:tcW w:w="1965" w:type="dxa"/>
            <w:tcBorders>
              <w:top w:val="single" w:color="auto" w:sz="4" w:space="0"/>
              <w:left w:val="single" w:color="auto" w:sz="4" w:space="0"/>
              <w:bottom w:val="single" w:color="auto" w:sz="4" w:space="0"/>
              <w:right w:val="single" w:color="auto" w:sz="4" w:space="0"/>
            </w:tcBorders>
            <w:vAlign w:val="center"/>
          </w:tcPr>
          <w:p w14:paraId="3CCECCB2">
            <w:pPr>
              <w:keepNext w:val="0"/>
              <w:keepLines w:val="0"/>
              <w:pageBreakBefore w:val="0"/>
              <w:kinsoku/>
              <w:wordWrap/>
              <w:overflowPunct/>
              <w:autoSpaceDE/>
              <w:autoSpaceDN/>
              <w:bidi w:val="0"/>
              <w:ind w:left="0" w:leftChars="0" w:right="0" w:rightChars="0"/>
              <w:jc w:val="center"/>
              <w:textAlignment w:val="auto"/>
              <w:rPr>
                <w:color w:val="auto"/>
                <w:sz w:val="21"/>
                <w:szCs w:val="21"/>
                <w:highlight w:val="none"/>
              </w:rPr>
            </w:pPr>
            <w:r>
              <w:rPr>
                <w:rFonts w:hint="eastAsia" w:ascii="Times New Roman" w:hAnsi="Times New Roman" w:cs="Times New Roman"/>
                <w:color w:val="auto"/>
                <w:sz w:val="21"/>
                <w:szCs w:val="21"/>
                <w:highlight w:val="none"/>
              </w:rPr>
              <w:t>2</w:t>
            </w:r>
          </w:p>
        </w:tc>
        <w:tc>
          <w:tcPr>
            <w:tcW w:w="2617" w:type="dxa"/>
            <w:gridSpan w:val="2"/>
            <w:tcBorders>
              <w:top w:val="single" w:color="auto" w:sz="4" w:space="0"/>
              <w:left w:val="single" w:color="auto" w:sz="4" w:space="0"/>
              <w:bottom w:val="single" w:color="auto" w:sz="4" w:space="0"/>
              <w:right w:val="single" w:color="auto" w:sz="4" w:space="0"/>
            </w:tcBorders>
            <w:vAlign w:val="center"/>
          </w:tcPr>
          <w:p w14:paraId="1391C163">
            <w:pPr>
              <w:keepNext w:val="0"/>
              <w:keepLines w:val="0"/>
              <w:pageBreakBefore w:val="0"/>
              <w:kinsoku/>
              <w:wordWrap/>
              <w:overflowPunct/>
              <w:topLinePunct w:val="0"/>
              <w:autoSpaceDE/>
              <w:autoSpaceDN/>
              <w:bidi w:val="0"/>
              <w:ind w:left="0" w:right="0"/>
              <w:jc w:val="center"/>
              <w:rPr>
                <w:color w:val="auto"/>
                <w:sz w:val="21"/>
                <w:szCs w:val="21"/>
                <w:highlight w:val="none"/>
              </w:rPr>
            </w:pPr>
            <w:r>
              <w:rPr>
                <w:rFonts w:hint="eastAsia" w:ascii="Times New Roman" w:hAnsi="Times New Roman" w:cs="Times New Roman"/>
                <w:color w:val="auto"/>
                <w:kern w:val="2"/>
                <w:sz w:val="21"/>
                <w:szCs w:val="21"/>
                <w:highlight w:val="none"/>
              </w:rPr>
              <w:t>/</w:t>
            </w:r>
          </w:p>
        </w:tc>
        <w:tc>
          <w:tcPr>
            <w:tcW w:w="2723" w:type="dxa"/>
            <w:gridSpan w:val="2"/>
            <w:tcBorders>
              <w:top w:val="single" w:color="auto" w:sz="4" w:space="0"/>
              <w:left w:val="single" w:color="auto" w:sz="4" w:space="0"/>
              <w:bottom w:val="single" w:color="auto" w:sz="4" w:space="0"/>
              <w:right w:val="single" w:color="auto" w:sz="4" w:space="0"/>
            </w:tcBorders>
            <w:vAlign w:val="center"/>
          </w:tcPr>
          <w:p w14:paraId="2D9F1EE1">
            <w:pPr>
              <w:keepNext w:val="0"/>
              <w:keepLines w:val="0"/>
              <w:pageBreakBefore w:val="0"/>
              <w:kinsoku/>
              <w:wordWrap/>
              <w:overflowPunct/>
              <w:topLinePunct w:val="0"/>
              <w:autoSpaceDE/>
              <w:autoSpaceDN/>
              <w:bidi w:val="0"/>
              <w:ind w:left="0" w:right="0"/>
              <w:jc w:val="center"/>
              <w:rPr>
                <w:color w:val="auto"/>
                <w:sz w:val="21"/>
                <w:szCs w:val="21"/>
                <w:highlight w:val="none"/>
              </w:rPr>
            </w:pPr>
            <w:r>
              <w:rPr>
                <w:rFonts w:hint="eastAsia" w:ascii="Times New Roman" w:hAnsi="Times New Roman" w:cs="Times New Roman"/>
                <w:color w:val="auto"/>
                <w:sz w:val="21"/>
                <w:szCs w:val="21"/>
                <w:highlight w:val="none"/>
              </w:rPr>
              <w:t>2</w:t>
            </w:r>
          </w:p>
        </w:tc>
        <w:tc>
          <w:tcPr>
            <w:tcW w:w="4198" w:type="dxa"/>
            <w:gridSpan w:val="2"/>
            <w:tcBorders>
              <w:top w:val="single" w:color="auto" w:sz="4" w:space="0"/>
              <w:left w:val="single" w:color="auto" w:sz="4" w:space="0"/>
              <w:bottom w:val="single" w:color="auto" w:sz="4" w:space="0"/>
              <w:right w:val="single" w:color="auto" w:sz="4" w:space="0"/>
            </w:tcBorders>
            <w:vAlign w:val="center"/>
          </w:tcPr>
          <w:p w14:paraId="03D6BC9A">
            <w:pPr>
              <w:pStyle w:val="154"/>
              <w:keepNext w:val="0"/>
              <w:keepLines w:val="0"/>
              <w:pageBreakBefore w:val="0"/>
              <w:kinsoku/>
              <w:wordWrap/>
              <w:overflowPunct/>
              <w:topLinePunct w:val="0"/>
              <w:autoSpaceDE/>
              <w:autoSpaceDN/>
              <w:bidi w:val="0"/>
              <w:ind w:left="0" w:right="0"/>
              <w:rPr>
                <w:color w:val="auto"/>
                <w:sz w:val="21"/>
                <w:szCs w:val="21"/>
                <w:highlight w:val="none"/>
              </w:rPr>
            </w:pPr>
            <w:r>
              <w:rPr>
                <w:color w:val="auto"/>
                <w:sz w:val="21"/>
                <w:szCs w:val="21"/>
                <w:highlight w:val="none"/>
              </w:rPr>
              <w:t>0</w:t>
            </w:r>
          </w:p>
        </w:tc>
      </w:tr>
      <w:tr w14:paraId="08F221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1045" w:type="dxa"/>
            <w:vMerge w:val="continue"/>
            <w:tcBorders>
              <w:left w:val="single" w:color="auto" w:sz="4" w:space="0"/>
              <w:right w:val="single" w:color="auto" w:sz="4" w:space="0"/>
            </w:tcBorders>
            <w:vAlign w:val="center"/>
          </w:tcPr>
          <w:p w14:paraId="14AC02BE">
            <w:pPr>
              <w:pStyle w:val="154"/>
              <w:keepNext w:val="0"/>
              <w:keepLines w:val="0"/>
              <w:pageBreakBefore w:val="0"/>
              <w:kinsoku/>
              <w:wordWrap/>
              <w:overflowPunct/>
              <w:topLinePunct w:val="0"/>
              <w:autoSpaceDE/>
              <w:autoSpaceDN/>
              <w:bidi w:val="0"/>
              <w:ind w:left="0" w:right="0"/>
              <w:rPr>
                <w:color w:val="auto"/>
                <w:sz w:val="21"/>
                <w:szCs w:val="21"/>
                <w:highlight w:val="none"/>
              </w:rPr>
            </w:pPr>
          </w:p>
        </w:tc>
        <w:tc>
          <w:tcPr>
            <w:tcW w:w="1728" w:type="dxa"/>
            <w:gridSpan w:val="2"/>
            <w:tcBorders>
              <w:top w:val="single" w:color="auto" w:sz="4" w:space="0"/>
              <w:left w:val="single" w:color="auto" w:sz="4" w:space="0"/>
              <w:bottom w:val="single" w:color="auto" w:sz="4" w:space="0"/>
              <w:right w:val="single" w:color="auto" w:sz="4" w:space="0"/>
            </w:tcBorders>
            <w:vAlign w:val="center"/>
          </w:tcPr>
          <w:p w14:paraId="18337518">
            <w:pPr>
              <w:keepNext w:val="0"/>
              <w:keepLines w:val="0"/>
              <w:pageBreakBefore w:val="0"/>
              <w:kinsoku/>
              <w:wordWrap/>
              <w:overflowPunct/>
              <w:topLinePunct w:val="0"/>
              <w:autoSpaceDE/>
              <w:autoSpaceDN/>
              <w:bidi w:val="0"/>
              <w:ind w:left="0" w:right="0"/>
              <w:jc w:val="center"/>
              <w:rPr>
                <w:rFonts w:ascii="Times New Roman" w:hAnsi="Times New Roman" w:cs="Times New Roman"/>
                <w:color w:val="auto"/>
                <w:sz w:val="21"/>
                <w:szCs w:val="18"/>
                <w:highlight w:val="none"/>
              </w:rPr>
            </w:pPr>
            <w:r>
              <w:rPr>
                <w:rFonts w:hint="eastAsia" w:ascii="Times New Roman" w:hAnsi="Times New Roman" w:cs="Times New Roman"/>
                <w:color w:val="auto"/>
                <w:sz w:val="21"/>
                <w:szCs w:val="18"/>
                <w:highlight w:val="none"/>
              </w:rPr>
              <w:t>废活性炭</w:t>
            </w:r>
          </w:p>
          <w:p w14:paraId="5CE40D69">
            <w:pPr>
              <w:keepNext w:val="0"/>
              <w:keepLines w:val="0"/>
              <w:pageBreakBefore w:val="0"/>
              <w:kinsoku/>
              <w:wordWrap/>
              <w:overflowPunct/>
              <w:topLinePunct w:val="0"/>
              <w:autoSpaceDE/>
              <w:autoSpaceDN/>
              <w:bidi w:val="0"/>
              <w:ind w:left="0" w:right="0"/>
              <w:jc w:val="center"/>
              <w:rPr>
                <w:color w:val="auto"/>
                <w:sz w:val="21"/>
                <w:szCs w:val="21"/>
                <w:highlight w:val="none"/>
              </w:rPr>
            </w:pPr>
            <w:r>
              <w:rPr>
                <w:rFonts w:hint="eastAsia" w:ascii="Times New Roman" w:hAnsi="Times New Roman" w:cs="Times New Roman"/>
                <w:color w:val="auto"/>
                <w:sz w:val="21"/>
                <w:szCs w:val="18"/>
                <w:highlight w:val="none"/>
              </w:rPr>
              <w:t>（纯水制备）</w:t>
            </w:r>
          </w:p>
        </w:tc>
        <w:tc>
          <w:tcPr>
            <w:tcW w:w="1965" w:type="dxa"/>
            <w:tcBorders>
              <w:top w:val="single" w:color="auto" w:sz="4" w:space="0"/>
              <w:left w:val="single" w:color="auto" w:sz="4" w:space="0"/>
              <w:bottom w:val="single" w:color="auto" w:sz="4" w:space="0"/>
              <w:right w:val="single" w:color="auto" w:sz="4" w:space="0"/>
            </w:tcBorders>
            <w:vAlign w:val="center"/>
          </w:tcPr>
          <w:p w14:paraId="0FCE2FB2">
            <w:pPr>
              <w:keepNext w:val="0"/>
              <w:keepLines w:val="0"/>
              <w:pageBreakBefore w:val="0"/>
              <w:kinsoku/>
              <w:wordWrap/>
              <w:overflowPunct/>
              <w:autoSpaceDE/>
              <w:autoSpaceDN/>
              <w:bidi w:val="0"/>
              <w:ind w:left="0" w:leftChars="0" w:right="0" w:rightChars="0"/>
              <w:jc w:val="center"/>
              <w:textAlignment w:val="auto"/>
              <w:rPr>
                <w:color w:val="auto"/>
                <w:sz w:val="21"/>
                <w:szCs w:val="21"/>
                <w:highlight w:val="none"/>
              </w:rPr>
            </w:pPr>
            <w:r>
              <w:rPr>
                <w:rFonts w:hint="eastAsia" w:ascii="Times New Roman" w:hAnsi="Times New Roman" w:cs="Times New Roman"/>
                <w:color w:val="auto"/>
                <w:sz w:val="21"/>
                <w:szCs w:val="21"/>
                <w:highlight w:val="none"/>
              </w:rPr>
              <w:t>1</w:t>
            </w:r>
          </w:p>
        </w:tc>
        <w:tc>
          <w:tcPr>
            <w:tcW w:w="2617" w:type="dxa"/>
            <w:gridSpan w:val="2"/>
            <w:tcBorders>
              <w:top w:val="single" w:color="auto" w:sz="4" w:space="0"/>
              <w:left w:val="single" w:color="auto" w:sz="4" w:space="0"/>
              <w:bottom w:val="single" w:color="auto" w:sz="4" w:space="0"/>
              <w:right w:val="single" w:color="auto" w:sz="4" w:space="0"/>
            </w:tcBorders>
            <w:vAlign w:val="center"/>
          </w:tcPr>
          <w:p w14:paraId="43A889E9">
            <w:pPr>
              <w:keepNext w:val="0"/>
              <w:keepLines w:val="0"/>
              <w:pageBreakBefore w:val="0"/>
              <w:kinsoku/>
              <w:wordWrap/>
              <w:overflowPunct/>
              <w:topLinePunct w:val="0"/>
              <w:autoSpaceDE/>
              <w:autoSpaceDN/>
              <w:bidi w:val="0"/>
              <w:ind w:left="0" w:right="0"/>
              <w:jc w:val="center"/>
              <w:rPr>
                <w:color w:val="auto"/>
                <w:sz w:val="21"/>
                <w:szCs w:val="21"/>
                <w:highlight w:val="none"/>
              </w:rPr>
            </w:pPr>
            <w:r>
              <w:rPr>
                <w:rFonts w:hint="eastAsia" w:ascii="Times New Roman" w:hAnsi="Times New Roman" w:cs="Times New Roman"/>
                <w:color w:val="auto"/>
                <w:kern w:val="2"/>
                <w:sz w:val="21"/>
                <w:szCs w:val="21"/>
                <w:highlight w:val="none"/>
              </w:rPr>
              <w:t>/</w:t>
            </w:r>
          </w:p>
        </w:tc>
        <w:tc>
          <w:tcPr>
            <w:tcW w:w="2723" w:type="dxa"/>
            <w:gridSpan w:val="2"/>
            <w:tcBorders>
              <w:top w:val="single" w:color="auto" w:sz="4" w:space="0"/>
              <w:left w:val="single" w:color="auto" w:sz="4" w:space="0"/>
              <w:bottom w:val="single" w:color="auto" w:sz="4" w:space="0"/>
              <w:right w:val="single" w:color="auto" w:sz="4" w:space="0"/>
            </w:tcBorders>
            <w:vAlign w:val="center"/>
          </w:tcPr>
          <w:p w14:paraId="28542AB9">
            <w:pPr>
              <w:keepNext w:val="0"/>
              <w:keepLines w:val="0"/>
              <w:pageBreakBefore w:val="0"/>
              <w:kinsoku/>
              <w:wordWrap/>
              <w:overflowPunct/>
              <w:topLinePunct w:val="0"/>
              <w:autoSpaceDE/>
              <w:autoSpaceDN/>
              <w:bidi w:val="0"/>
              <w:ind w:left="0" w:right="0"/>
              <w:jc w:val="center"/>
              <w:rPr>
                <w:color w:val="auto"/>
                <w:sz w:val="21"/>
                <w:szCs w:val="21"/>
                <w:highlight w:val="none"/>
              </w:rPr>
            </w:pPr>
            <w:r>
              <w:rPr>
                <w:rFonts w:hint="eastAsia" w:ascii="Times New Roman" w:hAnsi="Times New Roman" w:cs="Times New Roman"/>
                <w:color w:val="auto"/>
                <w:sz w:val="21"/>
                <w:szCs w:val="21"/>
                <w:highlight w:val="none"/>
              </w:rPr>
              <w:t>1</w:t>
            </w:r>
          </w:p>
        </w:tc>
        <w:tc>
          <w:tcPr>
            <w:tcW w:w="4198" w:type="dxa"/>
            <w:gridSpan w:val="2"/>
            <w:tcBorders>
              <w:top w:val="single" w:color="auto" w:sz="4" w:space="0"/>
              <w:left w:val="single" w:color="auto" w:sz="4" w:space="0"/>
              <w:bottom w:val="single" w:color="auto" w:sz="4" w:space="0"/>
              <w:right w:val="single" w:color="auto" w:sz="4" w:space="0"/>
            </w:tcBorders>
            <w:vAlign w:val="center"/>
          </w:tcPr>
          <w:p w14:paraId="649474DB">
            <w:pPr>
              <w:pStyle w:val="154"/>
              <w:keepNext w:val="0"/>
              <w:keepLines w:val="0"/>
              <w:pageBreakBefore w:val="0"/>
              <w:kinsoku/>
              <w:wordWrap/>
              <w:overflowPunct/>
              <w:topLinePunct w:val="0"/>
              <w:autoSpaceDE/>
              <w:autoSpaceDN/>
              <w:bidi w:val="0"/>
              <w:ind w:left="0" w:right="0"/>
              <w:rPr>
                <w:color w:val="auto"/>
                <w:sz w:val="21"/>
                <w:szCs w:val="21"/>
                <w:highlight w:val="none"/>
              </w:rPr>
            </w:pPr>
            <w:r>
              <w:rPr>
                <w:color w:val="auto"/>
                <w:sz w:val="21"/>
                <w:szCs w:val="21"/>
                <w:highlight w:val="none"/>
              </w:rPr>
              <w:t>0</w:t>
            </w:r>
          </w:p>
        </w:tc>
      </w:tr>
      <w:tr w14:paraId="27955D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1045" w:type="dxa"/>
            <w:vMerge w:val="continue"/>
            <w:tcBorders>
              <w:left w:val="single" w:color="auto" w:sz="4" w:space="0"/>
              <w:right w:val="single" w:color="auto" w:sz="4" w:space="0"/>
            </w:tcBorders>
            <w:vAlign w:val="center"/>
          </w:tcPr>
          <w:p w14:paraId="1027B3C8">
            <w:pPr>
              <w:pStyle w:val="154"/>
              <w:keepNext w:val="0"/>
              <w:keepLines w:val="0"/>
              <w:pageBreakBefore w:val="0"/>
              <w:kinsoku/>
              <w:wordWrap/>
              <w:overflowPunct/>
              <w:topLinePunct w:val="0"/>
              <w:autoSpaceDE/>
              <w:autoSpaceDN/>
              <w:bidi w:val="0"/>
              <w:ind w:left="0" w:right="0"/>
              <w:rPr>
                <w:color w:val="auto"/>
                <w:sz w:val="21"/>
                <w:szCs w:val="21"/>
                <w:highlight w:val="none"/>
              </w:rPr>
            </w:pPr>
          </w:p>
        </w:tc>
        <w:tc>
          <w:tcPr>
            <w:tcW w:w="1728" w:type="dxa"/>
            <w:gridSpan w:val="2"/>
            <w:tcBorders>
              <w:top w:val="single" w:color="auto" w:sz="4" w:space="0"/>
              <w:left w:val="single" w:color="auto" w:sz="4" w:space="0"/>
              <w:bottom w:val="single" w:color="auto" w:sz="4" w:space="0"/>
              <w:right w:val="single" w:color="auto" w:sz="4" w:space="0"/>
            </w:tcBorders>
            <w:vAlign w:val="center"/>
          </w:tcPr>
          <w:p w14:paraId="65152C7E">
            <w:pPr>
              <w:keepNext w:val="0"/>
              <w:keepLines w:val="0"/>
              <w:pageBreakBefore w:val="0"/>
              <w:kinsoku/>
              <w:wordWrap/>
              <w:overflowPunct/>
              <w:topLinePunct w:val="0"/>
              <w:autoSpaceDE/>
              <w:autoSpaceDN/>
              <w:bidi w:val="0"/>
              <w:ind w:left="0" w:right="0"/>
              <w:jc w:val="center"/>
              <w:rPr>
                <w:color w:val="auto"/>
                <w:sz w:val="21"/>
                <w:szCs w:val="21"/>
                <w:highlight w:val="none"/>
              </w:rPr>
            </w:pPr>
            <w:r>
              <w:rPr>
                <w:rFonts w:hint="eastAsia" w:ascii="Times New Roman" w:hAnsi="Times New Roman" w:cs="Times New Roman"/>
                <w:color w:val="auto"/>
                <w:sz w:val="21"/>
                <w:szCs w:val="18"/>
                <w:highlight w:val="none"/>
              </w:rPr>
              <w:t>废RO膜</w:t>
            </w:r>
          </w:p>
        </w:tc>
        <w:tc>
          <w:tcPr>
            <w:tcW w:w="1965" w:type="dxa"/>
            <w:tcBorders>
              <w:top w:val="single" w:color="auto" w:sz="4" w:space="0"/>
              <w:left w:val="single" w:color="auto" w:sz="4" w:space="0"/>
              <w:bottom w:val="single" w:color="auto" w:sz="4" w:space="0"/>
              <w:right w:val="single" w:color="auto" w:sz="4" w:space="0"/>
            </w:tcBorders>
            <w:vAlign w:val="center"/>
          </w:tcPr>
          <w:p w14:paraId="1E231422">
            <w:pPr>
              <w:keepNext w:val="0"/>
              <w:keepLines w:val="0"/>
              <w:pageBreakBefore w:val="0"/>
              <w:kinsoku/>
              <w:wordWrap/>
              <w:overflowPunct/>
              <w:autoSpaceDE/>
              <w:autoSpaceDN/>
              <w:bidi w:val="0"/>
              <w:ind w:left="0" w:leftChars="0" w:right="0" w:rightChars="0"/>
              <w:jc w:val="center"/>
              <w:textAlignment w:val="auto"/>
              <w:rPr>
                <w:color w:val="auto"/>
                <w:sz w:val="21"/>
                <w:szCs w:val="21"/>
                <w:highlight w:val="none"/>
              </w:rPr>
            </w:pPr>
            <w:r>
              <w:rPr>
                <w:rFonts w:hint="eastAsia" w:ascii="Times New Roman" w:hAnsi="Times New Roman" w:cs="Times New Roman"/>
                <w:color w:val="auto"/>
                <w:sz w:val="21"/>
                <w:szCs w:val="21"/>
                <w:highlight w:val="none"/>
              </w:rPr>
              <w:t>0.5</w:t>
            </w:r>
          </w:p>
        </w:tc>
        <w:tc>
          <w:tcPr>
            <w:tcW w:w="2617" w:type="dxa"/>
            <w:gridSpan w:val="2"/>
            <w:tcBorders>
              <w:top w:val="single" w:color="auto" w:sz="4" w:space="0"/>
              <w:left w:val="single" w:color="auto" w:sz="4" w:space="0"/>
              <w:bottom w:val="single" w:color="auto" w:sz="4" w:space="0"/>
              <w:right w:val="single" w:color="auto" w:sz="4" w:space="0"/>
            </w:tcBorders>
            <w:vAlign w:val="center"/>
          </w:tcPr>
          <w:p w14:paraId="154894A0">
            <w:pPr>
              <w:keepNext w:val="0"/>
              <w:keepLines w:val="0"/>
              <w:pageBreakBefore w:val="0"/>
              <w:kinsoku/>
              <w:wordWrap/>
              <w:overflowPunct/>
              <w:topLinePunct w:val="0"/>
              <w:autoSpaceDE/>
              <w:autoSpaceDN/>
              <w:bidi w:val="0"/>
              <w:ind w:left="0" w:right="0"/>
              <w:jc w:val="center"/>
              <w:rPr>
                <w:color w:val="auto"/>
                <w:sz w:val="21"/>
                <w:szCs w:val="21"/>
                <w:highlight w:val="none"/>
              </w:rPr>
            </w:pPr>
            <w:r>
              <w:rPr>
                <w:rFonts w:hint="eastAsia" w:ascii="Times New Roman" w:hAnsi="Times New Roman" w:cs="Times New Roman"/>
                <w:color w:val="auto"/>
                <w:kern w:val="2"/>
                <w:sz w:val="21"/>
                <w:szCs w:val="21"/>
                <w:highlight w:val="none"/>
              </w:rPr>
              <w:t>/</w:t>
            </w:r>
          </w:p>
        </w:tc>
        <w:tc>
          <w:tcPr>
            <w:tcW w:w="2723" w:type="dxa"/>
            <w:gridSpan w:val="2"/>
            <w:tcBorders>
              <w:top w:val="single" w:color="auto" w:sz="4" w:space="0"/>
              <w:left w:val="single" w:color="auto" w:sz="4" w:space="0"/>
              <w:bottom w:val="single" w:color="auto" w:sz="4" w:space="0"/>
              <w:right w:val="single" w:color="auto" w:sz="4" w:space="0"/>
            </w:tcBorders>
            <w:vAlign w:val="center"/>
          </w:tcPr>
          <w:p w14:paraId="55D20D3F">
            <w:pPr>
              <w:keepNext w:val="0"/>
              <w:keepLines w:val="0"/>
              <w:pageBreakBefore w:val="0"/>
              <w:kinsoku/>
              <w:wordWrap/>
              <w:overflowPunct/>
              <w:topLinePunct w:val="0"/>
              <w:autoSpaceDE/>
              <w:autoSpaceDN/>
              <w:bidi w:val="0"/>
              <w:ind w:left="0" w:right="0"/>
              <w:jc w:val="center"/>
              <w:rPr>
                <w:color w:val="auto"/>
                <w:sz w:val="21"/>
                <w:szCs w:val="21"/>
                <w:highlight w:val="none"/>
              </w:rPr>
            </w:pPr>
            <w:r>
              <w:rPr>
                <w:rFonts w:hint="eastAsia" w:ascii="Times New Roman" w:hAnsi="Times New Roman" w:cs="Times New Roman"/>
                <w:color w:val="auto"/>
                <w:sz w:val="21"/>
                <w:szCs w:val="21"/>
                <w:highlight w:val="none"/>
              </w:rPr>
              <w:t>0.5</w:t>
            </w:r>
          </w:p>
        </w:tc>
        <w:tc>
          <w:tcPr>
            <w:tcW w:w="4198" w:type="dxa"/>
            <w:gridSpan w:val="2"/>
            <w:tcBorders>
              <w:top w:val="single" w:color="auto" w:sz="4" w:space="0"/>
              <w:left w:val="single" w:color="auto" w:sz="4" w:space="0"/>
              <w:bottom w:val="single" w:color="auto" w:sz="4" w:space="0"/>
              <w:right w:val="single" w:color="auto" w:sz="4" w:space="0"/>
            </w:tcBorders>
            <w:vAlign w:val="center"/>
          </w:tcPr>
          <w:p w14:paraId="7697CA7F">
            <w:pPr>
              <w:pStyle w:val="154"/>
              <w:keepNext w:val="0"/>
              <w:keepLines w:val="0"/>
              <w:pageBreakBefore w:val="0"/>
              <w:kinsoku/>
              <w:wordWrap/>
              <w:overflowPunct/>
              <w:topLinePunct w:val="0"/>
              <w:autoSpaceDE/>
              <w:autoSpaceDN/>
              <w:bidi w:val="0"/>
              <w:ind w:left="0" w:right="0"/>
              <w:rPr>
                <w:color w:val="auto"/>
                <w:sz w:val="21"/>
                <w:szCs w:val="21"/>
                <w:highlight w:val="none"/>
              </w:rPr>
            </w:pPr>
            <w:r>
              <w:rPr>
                <w:color w:val="auto"/>
                <w:sz w:val="21"/>
                <w:szCs w:val="21"/>
                <w:highlight w:val="none"/>
              </w:rPr>
              <w:t>0</w:t>
            </w:r>
          </w:p>
        </w:tc>
      </w:tr>
      <w:tr w14:paraId="0BBE6C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1045" w:type="dxa"/>
            <w:vMerge w:val="continue"/>
            <w:tcBorders>
              <w:left w:val="single" w:color="auto" w:sz="4" w:space="0"/>
              <w:right w:val="single" w:color="auto" w:sz="4" w:space="0"/>
            </w:tcBorders>
            <w:vAlign w:val="center"/>
          </w:tcPr>
          <w:p w14:paraId="78C34056">
            <w:pPr>
              <w:pStyle w:val="154"/>
              <w:keepNext w:val="0"/>
              <w:keepLines w:val="0"/>
              <w:pageBreakBefore w:val="0"/>
              <w:kinsoku/>
              <w:wordWrap/>
              <w:overflowPunct/>
              <w:topLinePunct w:val="0"/>
              <w:autoSpaceDE/>
              <w:autoSpaceDN/>
              <w:bidi w:val="0"/>
              <w:ind w:left="0" w:right="0"/>
              <w:rPr>
                <w:color w:val="auto"/>
                <w:sz w:val="21"/>
                <w:szCs w:val="21"/>
                <w:highlight w:val="none"/>
              </w:rPr>
            </w:pPr>
          </w:p>
        </w:tc>
        <w:tc>
          <w:tcPr>
            <w:tcW w:w="1728" w:type="dxa"/>
            <w:gridSpan w:val="2"/>
            <w:tcBorders>
              <w:top w:val="single" w:color="auto" w:sz="4" w:space="0"/>
              <w:left w:val="single" w:color="auto" w:sz="4" w:space="0"/>
              <w:bottom w:val="single" w:color="auto" w:sz="4" w:space="0"/>
              <w:right w:val="single" w:color="auto" w:sz="4" w:space="0"/>
            </w:tcBorders>
            <w:vAlign w:val="center"/>
          </w:tcPr>
          <w:p w14:paraId="55ED88C0">
            <w:pPr>
              <w:keepNext w:val="0"/>
              <w:keepLines w:val="0"/>
              <w:pageBreakBefore w:val="0"/>
              <w:kinsoku/>
              <w:wordWrap/>
              <w:overflowPunct/>
              <w:topLinePunct w:val="0"/>
              <w:autoSpaceDE/>
              <w:autoSpaceDN/>
              <w:bidi w:val="0"/>
              <w:ind w:left="0" w:right="0"/>
              <w:jc w:val="center"/>
              <w:rPr>
                <w:color w:val="auto"/>
                <w:sz w:val="21"/>
                <w:szCs w:val="21"/>
                <w:highlight w:val="none"/>
              </w:rPr>
            </w:pPr>
            <w:r>
              <w:rPr>
                <w:rFonts w:hint="eastAsia" w:ascii="Times New Roman" w:hAnsi="Times New Roman" w:cs="Times New Roman"/>
                <w:color w:val="auto"/>
                <w:sz w:val="21"/>
                <w:szCs w:val="18"/>
                <w:highlight w:val="none"/>
              </w:rPr>
              <w:t>废包装桶（瓶）</w:t>
            </w:r>
          </w:p>
        </w:tc>
        <w:tc>
          <w:tcPr>
            <w:tcW w:w="1965" w:type="dxa"/>
            <w:tcBorders>
              <w:top w:val="single" w:color="auto" w:sz="4" w:space="0"/>
              <w:left w:val="single" w:color="auto" w:sz="4" w:space="0"/>
              <w:bottom w:val="single" w:color="auto" w:sz="4" w:space="0"/>
              <w:right w:val="single" w:color="auto" w:sz="4" w:space="0"/>
            </w:tcBorders>
            <w:vAlign w:val="center"/>
          </w:tcPr>
          <w:p w14:paraId="5542C694">
            <w:pPr>
              <w:keepNext w:val="0"/>
              <w:keepLines w:val="0"/>
              <w:pageBreakBefore w:val="0"/>
              <w:kinsoku/>
              <w:wordWrap/>
              <w:overflowPunct/>
              <w:autoSpaceDE/>
              <w:autoSpaceDN/>
              <w:bidi w:val="0"/>
              <w:ind w:left="0" w:leftChars="0" w:right="0" w:rightChars="0"/>
              <w:jc w:val="center"/>
              <w:textAlignment w:val="auto"/>
              <w:rPr>
                <w:color w:val="auto"/>
                <w:sz w:val="21"/>
                <w:szCs w:val="21"/>
                <w:highlight w:val="none"/>
              </w:rPr>
            </w:pPr>
            <w:r>
              <w:rPr>
                <w:rFonts w:hint="eastAsia" w:ascii="Times New Roman" w:hAnsi="Times New Roman" w:cs="Times New Roman"/>
                <w:color w:val="auto"/>
                <w:sz w:val="21"/>
                <w:szCs w:val="21"/>
                <w:highlight w:val="none"/>
                <w:lang w:val="en-US" w:eastAsia="zh-CN"/>
              </w:rPr>
              <w:t>7.79</w:t>
            </w:r>
          </w:p>
        </w:tc>
        <w:tc>
          <w:tcPr>
            <w:tcW w:w="2617" w:type="dxa"/>
            <w:gridSpan w:val="2"/>
            <w:tcBorders>
              <w:top w:val="single" w:color="auto" w:sz="4" w:space="0"/>
              <w:left w:val="single" w:color="auto" w:sz="4" w:space="0"/>
              <w:bottom w:val="single" w:color="auto" w:sz="4" w:space="0"/>
              <w:right w:val="single" w:color="auto" w:sz="4" w:space="0"/>
            </w:tcBorders>
            <w:vAlign w:val="center"/>
          </w:tcPr>
          <w:p w14:paraId="1EA36973">
            <w:pPr>
              <w:keepNext w:val="0"/>
              <w:keepLines w:val="0"/>
              <w:pageBreakBefore w:val="0"/>
              <w:kinsoku/>
              <w:wordWrap/>
              <w:overflowPunct/>
              <w:topLinePunct w:val="0"/>
              <w:autoSpaceDE/>
              <w:autoSpaceDN/>
              <w:bidi w:val="0"/>
              <w:ind w:left="0" w:right="0"/>
              <w:jc w:val="center"/>
              <w:rPr>
                <w:rFonts w:hint="default" w:eastAsia="宋体"/>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7.79</w:t>
            </w:r>
          </w:p>
        </w:tc>
        <w:tc>
          <w:tcPr>
            <w:tcW w:w="2723" w:type="dxa"/>
            <w:gridSpan w:val="2"/>
            <w:tcBorders>
              <w:top w:val="single" w:color="auto" w:sz="4" w:space="0"/>
              <w:left w:val="single" w:color="auto" w:sz="4" w:space="0"/>
              <w:bottom w:val="single" w:color="auto" w:sz="4" w:space="0"/>
              <w:right w:val="single" w:color="auto" w:sz="4" w:space="0"/>
            </w:tcBorders>
            <w:vAlign w:val="center"/>
          </w:tcPr>
          <w:p w14:paraId="12371645">
            <w:pPr>
              <w:keepNext w:val="0"/>
              <w:keepLines w:val="0"/>
              <w:pageBreakBefore w:val="0"/>
              <w:kinsoku/>
              <w:wordWrap/>
              <w:overflowPunct/>
              <w:topLinePunct w:val="0"/>
              <w:autoSpaceDE/>
              <w:autoSpaceDN/>
              <w:bidi w:val="0"/>
              <w:ind w:left="0" w:right="0"/>
              <w:jc w:val="center"/>
              <w:rPr>
                <w:color w:val="auto"/>
                <w:sz w:val="21"/>
                <w:szCs w:val="21"/>
                <w:highlight w:val="none"/>
              </w:rPr>
            </w:pPr>
            <w:r>
              <w:rPr>
                <w:rFonts w:hint="eastAsia" w:ascii="Times New Roman" w:hAnsi="Times New Roman" w:cs="Times New Roman"/>
                <w:color w:val="auto"/>
                <w:kern w:val="2"/>
                <w:sz w:val="21"/>
                <w:szCs w:val="21"/>
                <w:highlight w:val="none"/>
              </w:rPr>
              <w:t>/</w:t>
            </w:r>
          </w:p>
        </w:tc>
        <w:tc>
          <w:tcPr>
            <w:tcW w:w="4198" w:type="dxa"/>
            <w:gridSpan w:val="2"/>
            <w:tcBorders>
              <w:top w:val="single" w:color="auto" w:sz="4" w:space="0"/>
              <w:left w:val="single" w:color="auto" w:sz="4" w:space="0"/>
              <w:bottom w:val="single" w:color="auto" w:sz="4" w:space="0"/>
              <w:right w:val="single" w:color="auto" w:sz="4" w:space="0"/>
            </w:tcBorders>
            <w:vAlign w:val="center"/>
          </w:tcPr>
          <w:p w14:paraId="6DE99AA6">
            <w:pPr>
              <w:pStyle w:val="154"/>
              <w:keepNext w:val="0"/>
              <w:keepLines w:val="0"/>
              <w:pageBreakBefore w:val="0"/>
              <w:kinsoku/>
              <w:wordWrap/>
              <w:overflowPunct/>
              <w:topLinePunct w:val="0"/>
              <w:autoSpaceDE/>
              <w:autoSpaceDN/>
              <w:bidi w:val="0"/>
              <w:ind w:left="0" w:right="0"/>
              <w:rPr>
                <w:color w:val="auto"/>
                <w:sz w:val="21"/>
                <w:szCs w:val="21"/>
                <w:highlight w:val="none"/>
              </w:rPr>
            </w:pPr>
            <w:r>
              <w:rPr>
                <w:color w:val="auto"/>
                <w:sz w:val="21"/>
                <w:szCs w:val="21"/>
                <w:highlight w:val="none"/>
              </w:rPr>
              <w:t>0</w:t>
            </w:r>
          </w:p>
        </w:tc>
      </w:tr>
      <w:tr w14:paraId="42D35F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1045" w:type="dxa"/>
            <w:vMerge w:val="continue"/>
            <w:tcBorders>
              <w:left w:val="single" w:color="auto" w:sz="4" w:space="0"/>
              <w:right w:val="single" w:color="auto" w:sz="4" w:space="0"/>
            </w:tcBorders>
            <w:vAlign w:val="center"/>
          </w:tcPr>
          <w:p w14:paraId="1C74BD5F">
            <w:pPr>
              <w:pStyle w:val="154"/>
              <w:keepNext w:val="0"/>
              <w:keepLines w:val="0"/>
              <w:pageBreakBefore w:val="0"/>
              <w:kinsoku/>
              <w:wordWrap/>
              <w:overflowPunct/>
              <w:topLinePunct w:val="0"/>
              <w:autoSpaceDE/>
              <w:autoSpaceDN/>
              <w:bidi w:val="0"/>
              <w:ind w:left="0" w:right="0"/>
              <w:rPr>
                <w:color w:val="auto"/>
                <w:sz w:val="21"/>
                <w:szCs w:val="21"/>
                <w:highlight w:val="none"/>
              </w:rPr>
            </w:pPr>
          </w:p>
        </w:tc>
        <w:tc>
          <w:tcPr>
            <w:tcW w:w="1728" w:type="dxa"/>
            <w:gridSpan w:val="2"/>
            <w:tcBorders>
              <w:top w:val="single" w:color="auto" w:sz="4" w:space="0"/>
              <w:left w:val="single" w:color="auto" w:sz="4" w:space="0"/>
              <w:bottom w:val="single" w:color="auto" w:sz="4" w:space="0"/>
              <w:right w:val="single" w:color="auto" w:sz="4" w:space="0"/>
            </w:tcBorders>
            <w:vAlign w:val="center"/>
          </w:tcPr>
          <w:p w14:paraId="4BFAA3AA">
            <w:pPr>
              <w:keepNext w:val="0"/>
              <w:keepLines w:val="0"/>
              <w:pageBreakBefore w:val="0"/>
              <w:kinsoku/>
              <w:wordWrap/>
              <w:overflowPunct/>
              <w:topLinePunct w:val="0"/>
              <w:autoSpaceDE/>
              <w:autoSpaceDN/>
              <w:bidi w:val="0"/>
              <w:ind w:left="0" w:right="0"/>
              <w:jc w:val="center"/>
              <w:rPr>
                <w:color w:val="auto"/>
                <w:sz w:val="21"/>
                <w:szCs w:val="21"/>
                <w:highlight w:val="none"/>
              </w:rPr>
            </w:pPr>
            <w:r>
              <w:rPr>
                <w:rFonts w:hint="eastAsia" w:ascii="Times New Roman" w:hAnsi="Times New Roman" w:cs="Times New Roman"/>
                <w:color w:val="auto"/>
                <w:sz w:val="21"/>
                <w:szCs w:val="21"/>
                <w:highlight w:val="none"/>
              </w:rPr>
              <w:t>废包装袋</w:t>
            </w:r>
          </w:p>
        </w:tc>
        <w:tc>
          <w:tcPr>
            <w:tcW w:w="1965" w:type="dxa"/>
            <w:tcBorders>
              <w:top w:val="single" w:color="auto" w:sz="4" w:space="0"/>
              <w:left w:val="single" w:color="auto" w:sz="4" w:space="0"/>
              <w:bottom w:val="single" w:color="auto" w:sz="4" w:space="0"/>
              <w:right w:val="single" w:color="auto" w:sz="4" w:space="0"/>
            </w:tcBorders>
            <w:vAlign w:val="center"/>
          </w:tcPr>
          <w:p w14:paraId="2FF80EC1">
            <w:pPr>
              <w:keepNext w:val="0"/>
              <w:keepLines w:val="0"/>
              <w:pageBreakBefore w:val="0"/>
              <w:kinsoku/>
              <w:wordWrap/>
              <w:overflowPunct/>
              <w:autoSpaceDE/>
              <w:autoSpaceDN/>
              <w:bidi w:val="0"/>
              <w:ind w:left="0" w:leftChars="0" w:right="0" w:rightChars="0"/>
              <w:jc w:val="center"/>
              <w:textAlignment w:val="auto"/>
              <w:rPr>
                <w:color w:val="auto"/>
                <w:sz w:val="21"/>
                <w:szCs w:val="21"/>
                <w:highlight w:val="none"/>
              </w:rPr>
            </w:pPr>
            <w:r>
              <w:rPr>
                <w:rFonts w:hint="eastAsia" w:ascii="Times New Roman" w:hAnsi="Times New Roman" w:cs="Times New Roman"/>
                <w:color w:val="auto"/>
                <w:sz w:val="21"/>
                <w:szCs w:val="21"/>
                <w:highlight w:val="none"/>
              </w:rPr>
              <w:t>0.2</w:t>
            </w:r>
          </w:p>
        </w:tc>
        <w:tc>
          <w:tcPr>
            <w:tcW w:w="2617" w:type="dxa"/>
            <w:gridSpan w:val="2"/>
            <w:tcBorders>
              <w:top w:val="single" w:color="auto" w:sz="4" w:space="0"/>
              <w:left w:val="single" w:color="auto" w:sz="4" w:space="0"/>
              <w:bottom w:val="single" w:color="auto" w:sz="4" w:space="0"/>
              <w:right w:val="single" w:color="auto" w:sz="4" w:space="0"/>
            </w:tcBorders>
            <w:vAlign w:val="center"/>
          </w:tcPr>
          <w:p w14:paraId="71062B5B">
            <w:pPr>
              <w:keepNext w:val="0"/>
              <w:keepLines w:val="0"/>
              <w:pageBreakBefore w:val="0"/>
              <w:kinsoku/>
              <w:wordWrap/>
              <w:overflowPunct/>
              <w:topLinePunct w:val="0"/>
              <w:autoSpaceDE/>
              <w:autoSpaceDN/>
              <w:bidi w:val="0"/>
              <w:ind w:left="0" w:right="0"/>
              <w:jc w:val="center"/>
              <w:rPr>
                <w:color w:val="auto"/>
                <w:sz w:val="21"/>
                <w:szCs w:val="21"/>
                <w:highlight w:val="none"/>
              </w:rPr>
            </w:pPr>
            <w:r>
              <w:rPr>
                <w:rFonts w:hint="eastAsia" w:ascii="Times New Roman" w:hAnsi="Times New Roman" w:cs="Times New Roman"/>
                <w:color w:val="auto"/>
                <w:sz w:val="21"/>
                <w:szCs w:val="21"/>
                <w:highlight w:val="none"/>
              </w:rPr>
              <w:t>0.2</w:t>
            </w:r>
          </w:p>
        </w:tc>
        <w:tc>
          <w:tcPr>
            <w:tcW w:w="2723" w:type="dxa"/>
            <w:gridSpan w:val="2"/>
            <w:tcBorders>
              <w:top w:val="single" w:color="auto" w:sz="4" w:space="0"/>
              <w:left w:val="single" w:color="auto" w:sz="4" w:space="0"/>
              <w:bottom w:val="single" w:color="auto" w:sz="4" w:space="0"/>
              <w:right w:val="single" w:color="auto" w:sz="4" w:space="0"/>
            </w:tcBorders>
            <w:vAlign w:val="center"/>
          </w:tcPr>
          <w:p w14:paraId="11F62422">
            <w:pPr>
              <w:keepNext w:val="0"/>
              <w:keepLines w:val="0"/>
              <w:pageBreakBefore w:val="0"/>
              <w:kinsoku/>
              <w:wordWrap/>
              <w:overflowPunct/>
              <w:topLinePunct w:val="0"/>
              <w:autoSpaceDE/>
              <w:autoSpaceDN/>
              <w:bidi w:val="0"/>
              <w:ind w:left="0" w:right="0"/>
              <w:jc w:val="center"/>
              <w:rPr>
                <w:color w:val="auto"/>
                <w:sz w:val="21"/>
                <w:szCs w:val="21"/>
                <w:highlight w:val="none"/>
              </w:rPr>
            </w:pPr>
            <w:r>
              <w:rPr>
                <w:rFonts w:hint="eastAsia" w:ascii="Times New Roman" w:hAnsi="Times New Roman" w:cs="Times New Roman"/>
                <w:color w:val="auto"/>
                <w:kern w:val="2"/>
                <w:sz w:val="21"/>
                <w:szCs w:val="21"/>
                <w:highlight w:val="none"/>
              </w:rPr>
              <w:t>/</w:t>
            </w:r>
          </w:p>
        </w:tc>
        <w:tc>
          <w:tcPr>
            <w:tcW w:w="4198" w:type="dxa"/>
            <w:gridSpan w:val="2"/>
            <w:tcBorders>
              <w:top w:val="single" w:color="auto" w:sz="4" w:space="0"/>
              <w:left w:val="single" w:color="auto" w:sz="4" w:space="0"/>
              <w:bottom w:val="single" w:color="auto" w:sz="4" w:space="0"/>
              <w:right w:val="single" w:color="auto" w:sz="4" w:space="0"/>
            </w:tcBorders>
            <w:vAlign w:val="center"/>
          </w:tcPr>
          <w:p w14:paraId="667309EC">
            <w:pPr>
              <w:pStyle w:val="154"/>
              <w:keepNext w:val="0"/>
              <w:keepLines w:val="0"/>
              <w:pageBreakBefore w:val="0"/>
              <w:kinsoku/>
              <w:wordWrap/>
              <w:overflowPunct/>
              <w:topLinePunct w:val="0"/>
              <w:autoSpaceDE/>
              <w:autoSpaceDN/>
              <w:bidi w:val="0"/>
              <w:ind w:left="0" w:right="0"/>
              <w:rPr>
                <w:color w:val="auto"/>
                <w:sz w:val="21"/>
                <w:szCs w:val="21"/>
                <w:highlight w:val="none"/>
              </w:rPr>
            </w:pPr>
            <w:r>
              <w:rPr>
                <w:color w:val="auto"/>
                <w:sz w:val="21"/>
                <w:szCs w:val="21"/>
                <w:highlight w:val="none"/>
              </w:rPr>
              <w:t>0</w:t>
            </w:r>
          </w:p>
        </w:tc>
      </w:tr>
      <w:tr w14:paraId="25C379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1045" w:type="dxa"/>
            <w:vMerge w:val="continue"/>
            <w:tcBorders>
              <w:left w:val="single" w:color="auto" w:sz="4" w:space="0"/>
              <w:right w:val="single" w:color="auto" w:sz="4" w:space="0"/>
            </w:tcBorders>
            <w:vAlign w:val="center"/>
          </w:tcPr>
          <w:p w14:paraId="41671F3E">
            <w:pPr>
              <w:pStyle w:val="154"/>
              <w:keepNext w:val="0"/>
              <w:keepLines w:val="0"/>
              <w:pageBreakBefore w:val="0"/>
              <w:kinsoku/>
              <w:wordWrap/>
              <w:overflowPunct/>
              <w:topLinePunct w:val="0"/>
              <w:autoSpaceDE/>
              <w:autoSpaceDN/>
              <w:bidi w:val="0"/>
              <w:ind w:left="0" w:right="0"/>
              <w:rPr>
                <w:color w:val="auto"/>
                <w:sz w:val="21"/>
                <w:szCs w:val="21"/>
                <w:highlight w:val="none"/>
              </w:rPr>
            </w:pPr>
          </w:p>
        </w:tc>
        <w:tc>
          <w:tcPr>
            <w:tcW w:w="1728" w:type="dxa"/>
            <w:gridSpan w:val="2"/>
            <w:tcBorders>
              <w:top w:val="single" w:color="auto" w:sz="4" w:space="0"/>
              <w:left w:val="single" w:color="auto" w:sz="4" w:space="0"/>
              <w:bottom w:val="single" w:color="auto" w:sz="4" w:space="0"/>
              <w:right w:val="single" w:color="auto" w:sz="4" w:space="0"/>
            </w:tcBorders>
            <w:vAlign w:val="center"/>
          </w:tcPr>
          <w:p w14:paraId="3010EB8E">
            <w:pPr>
              <w:keepNext w:val="0"/>
              <w:keepLines w:val="0"/>
              <w:pageBreakBefore w:val="0"/>
              <w:kinsoku/>
              <w:wordWrap/>
              <w:overflowPunct/>
              <w:topLinePunct w:val="0"/>
              <w:autoSpaceDE/>
              <w:autoSpaceDN/>
              <w:bidi w:val="0"/>
              <w:ind w:left="0" w:right="0"/>
              <w:jc w:val="center"/>
              <w:rPr>
                <w:rFonts w:ascii="Times New Roman" w:hAnsi="Times New Roman" w:cs="Times New Roman"/>
                <w:color w:val="auto"/>
                <w:sz w:val="21"/>
                <w:szCs w:val="18"/>
                <w:highlight w:val="none"/>
              </w:rPr>
            </w:pPr>
            <w:r>
              <w:rPr>
                <w:rFonts w:hint="eastAsia" w:ascii="Times New Roman" w:hAnsi="Times New Roman" w:cs="Times New Roman"/>
                <w:color w:val="auto"/>
                <w:sz w:val="21"/>
                <w:szCs w:val="18"/>
                <w:highlight w:val="none"/>
              </w:rPr>
              <w:t>废活性炭</w:t>
            </w:r>
          </w:p>
          <w:p w14:paraId="6B394EC9">
            <w:pPr>
              <w:keepNext w:val="0"/>
              <w:keepLines w:val="0"/>
              <w:pageBreakBefore w:val="0"/>
              <w:kinsoku/>
              <w:wordWrap/>
              <w:overflowPunct/>
              <w:topLinePunct w:val="0"/>
              <w:autoSpaceDE/>
              <w:autoSpaceDN/>
              <w:bidi w:val="0"/>
              <w:ind w:left="0" w:right="0"/>
              <w:jc w:val="center"/>
              <w:rPr>
                <w:color w:val="auto"/>
                <w:sz w:val="21"/>
                <w:szCs w:val="21"/>
                <w:highlight w:val="none"/>
              </w:rPr>
            </w:pPr>
            <w:r>
              <w:rPr>
                <w:rFonts w:hint="eastAsia" w:ascii="Times New Roman" w:hAnsi="Times New Roman" w:cs="Times New Roman"/>
                <w:color w:val="auto"/>
                <w:sz w:val="21"/>
                <w:szCs w:val="18"/>
                <w:highlight w:val="none"/>
              </w:rPr>
              <w:t>（废气处理）</w:t>
            </w:r>
          </w:p>
        </w:tc>
        <w:tc>
          <w:tcPr>
            <w:tcW w:w="1965" w:type="dxa"/>
            <w:tcBorders>
              <w:top w:val="single" w:color="auto" w:sz="4" w:space="0"/>
              <w:left w:val="single" w:color="auto" w:sz="4" w:space="0"/>
              <w:bottom w:val="single" w:color="auto" w:sz="4" w:space="0"/>
              <w:right w:val="single" w:color="auto" w:sz="4" w:space="0"/>
            </w:tcBorders>
            <w:vAlign w:val="center"/>
          </w:tcPr>
          <w:p w14:paraId="31719AF9">
            <w:pPr>
              <w:keepNext w:val="0"/>
              <w:keepLines w:val="0"/>
              <w:pageBreakBefore w:val="0"/>
              <w:kinsoku/>
              <w:wordWrap/>
              <w:overflowPunct/>
              <w:autoSpaceDE/>
              <w:autoSpaceDN/>
              <w:bidi w:val="0"/>
              <w:ind w:left="0" w:leftChars="0" w:right="0" w:rightChars="0"/>
              <w:jc w:val="center"/>
              <w:textAlignment w:val="auto"/>
              <w:rPr>
                <w:color w:val="auto"/>
                <w:sz w:val="21"/>
                <w:szCs w:val="21"/>
                <w:highlight w:val="none"/>
              </w:rPr>
            </w:pPr>
            <w:r>
              <w:rPr>
                <w:rFonts w:hint="eastAsia" w:ascii="Times New Roman" w:hAnsi="Times New Roman" w:cs="Times New Roman"/>
                <w:color w:val="auto"/>
                <w:sz w:val="21"/>
                <w:szCs w:val="21"/>
                <w:highlight w:val="none"/>
                <w:lang w:val="en-US" w:eastAsia="zh-CN"/>
              </w:rPr>
              <w:t>10.4089</w:t>
            </w:r>
          </w:p>
        </w:tc>
        <w:tc>
          <w:tcPr>
            <w:tcW w:w="2617" w:type="dxa"/>
            <w:gridSpan w:val="2"/>
            <w:tcBorders>
              <w:top w:val="single" w:color="auto" w:sz="4" w:space="0"/>
              <w:left w:val="single" w:color="auto" w:sz="4" w:space="0"/>
              <w:bottom w:val="single" w:color="auto" w:sz="4" w:space="0"/>
              <w:right w:val="single" w:color="auto" w:sz="4" w:space="0"/>
            </w:tcBorders>
            <w:vAlign w:val="center"/>
          </w:tcPr>
          <w:p w14:paraId="51C723CB">
            <w:pPr>
              <w:keepNext w:val="0"/>
              <w:keepLines w:val="0"/>
              <w:pageBreakBefore w:val="0"/>
              <w:kinsoku/>
              <w:wordWrap/>
              <w:overflowPunct/>
              <w:topLinePunct w:val="0"/>
              <w:autoSpaceDE/>
              <w:autoSpaceDN/>
              <w:bidi w:val="0"/>
              <w:ind w:left="0" w:right="0"/>
              <w:jc w:val="center"/>
              <w:rPr>
                <w:rFonts w:hint="default" w:eastAsia="宋体"/>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10.4089</w:t>
            </w:r>
          </w:p>
        </w:tc>
        <w:tc>
          <w:tcPr>
            <w:tcW w:w="2723" w:type="dxa"/>
            <w:gridSpan w:val="2"/>
            <w:tcBorders>
              <w:top w:val="single" w:color="auto" w:sz="4" w:space="0"/>
              <w:left w:val="single" w:color="auto" w:sz="4" w:space="0"/>
              <w:bottom w:val="single" w:color="auto" w:sz="4" w:space="0"/>
              <w:right w:val="single" w:color="auto" w:sz="4" w:space="0"/>
            </w:tcBorders>
            <w:vAlign w:val="center"/>
          </w:tcPr>
          <w:p w14:paraId="48E23DC0">
            <w:pPr>
              <w:keepNext w:val="0"/>
              <w:keepLines w:val="0"/>
              <w:pageBreakBefore w:val="0"/>
              <w:kinsoku/>
              <w:wordWrap/>
              <w:overflowPunct/>
              <w:topLinePunct w:val="0"/>
              <w:autoSpaceDE/>
              <w:autoSpaceDN/>
              <w:bidi w:val="0"/>
              <w:ind w:left="0" w:right="0"/>
              <w:jc w:val="center"/>
              <w:rPr>
                <w:color w:val="auto"/>
                <w:sz w:val="21"/>
                <w:szCs w:val="21"/>
                <w:highlight w:val="none"/>
              </w:rPr>
            </w:pPr>
            <w:r>
              <w:rPr>
                <w:rFonts w:hint="eastAsia" w:ascii="Times New Roman" w:hAnsi="Times New Roman" w:cs="Times New Roman"/>
                <w:color w:val="auto"/>
                <w:kern w:val="2"/>
                <w:sz w:val="21"/>
                <w:szCs w:val="21"/>
                <w:highlight w:val="none"/>
              </w:rPr>
              <w:t>/</w:t>
            </w:r>
          </w:p>
        </w:tc>
        <w:tc>
          <w:tcPr>
            <w:tcW w:w="4198" w:type="dxa"/>
            <w:gridSpan w:val="2"/>
            <w:tcBorders>
              <w:top w:val="single" w:color="auto" w:sz="4" w:space="0"/>
              <w:left w:val="single" w:color="auto" w:sz="4" w:space="0"/>
              <w:bottom w:val="single" w:color="auto" w:sz="4" w:space="0"/>
              <w:right w:val="single" w:color="auto" w:sz="4" w:space="0"/>
            </w:tcBorders>
            <w:vAlign w:val="center"/>
          </w:tcPr>
          <w:p w14:paraId="4E277F20">
            <w:pPr>
              <w:pStyle w:val="154"/>
              <w:keepNext w:val="0"/>
              <w:keepLines w:val="0"/>
              <w:pageBreakBefore w:val="0"/>
              <w:kinsoku/>
              <w:wordWrap/>
              <w:overflowPunct/>
              <w:topLinePunct w:val="0"/>
              <w:autoSpaceDE/>
              <w:autoSpaceDN/>
              <w:bidi w:val="0"/>
              <w:ind w:left="0" w:right="0"/>
              <w:rPr>
                <w:color w:val="auto"/>
                <w:sz w:val="21"/>
                <w:szCs w:val="21"/>
                <w:highlight w:val="none"/>
              </w:rPr>
            </w:pPr>
            <w:r>
              <w:rPr>
                <w:color w:val="auto"/>
                <w:sz w:val="21"/>
                <w:szCs w:val="21"/>
                <w:highlight w:val="none"/>
              </w:rPr>
              <w:t>0</w:t>
            </w:r>
          </w:p>
        </w:tc>
      </w:tr>
      <w:tr w14:paraId="19BABB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1045" w:type="dxa"/>
            <w:vMerge w:val="continue"/>
            <w:tcBorders>
              <w:left w:val="single" w:color="auto" w:sz="4" w:space="0"/>
              <w:right w:val="single" w:color="auto" w:sz="4" w:space="0"/>
            </w:tcBorders>
            <w:vAlign w:val="center"/>
          </w:tcPr>
          <w:p w14:paraId="19129D41">
            <w:pPr>
              <w:pStyle w:val="154"/>
              <w:keepNext w:val="0"/>
              <w:keepLines w:val="0"/>
              <w:pageBreakBefore w:val="0"/>
              <w:kinsoku/>
              <w:wordWrap/>
              <w:overflowPunct/>
              <w:topLinePunct w:val="0"/>
              <w:autoSpaceDE/>
              <w:autoSpaceDN/>
              <w:bidi w:val="0"/>
              <w:ind w:left="0" w:right="0"/>
              <w:rPr>
                <w:color w:val="auto"/>
                <w:sz w:val="21"/>
                <w:szCs w:val="21"/>
                <w:highlight w:val="none"/>
              </w:rPr>
            </w:pPr>
          </w:p>
        </w:tc>
        <w:tc>
          <w:tcPr>
            <w:tcW w:w="1728" w:type="dxa"/>
            <w:gridSpan w:val="2"/>
            <w:tcBorders>
              <w:top w:val="single" w:color="auto" w:sz="4" w:space="0"/>
              <w:left w:val="single" w:color="auto" w:sz="4" w:space="0"/>
              <w:bottom w:val="single" w:color="auto" w:sz="4" w:space="0"/>
              <w:right w:val="single" w:color="auto" w:sz="4" w:space="0"/>
            </w:tcBorders>
            <w:vAlign w:val="center"/>
          </w:tcPr>
          <w:p w14:paraId="1E759935">
            <w:pPr>
              <w:keepNext w:val="0"/>
              <w:keepLines w:val="0"/>
              <w:pageBreakBefore w:val="0"/>
              <w:kinsoku/>
              <w:wordWrap/>
              <w:overflowPunct/>
              <w:topLinePunct w:val="0"/>
              <w:autoSpaceDE/>
              <w:autoSpaceDN/>
              <w:bidi w:val="0"/>
              <w:ind w:left="0" w:right="0"/>
              <w:jc w:val="center"/>
              <w:rPr>
                <w:rFonts w:hint="eastAsia" w:ascii="Times New Roman" w:hAnsi="Times New Roman" w:cs="Times New Roman"/>
                <w:color w:val="auto"/>
                <w:sz w:val="21"/>
                <w:szCs w:val="18"/>
                <w:highlight w:val="none"/>
              </w:rPr>
            </w:pPr>
            <w:r>
              <w:rPr>
                <w:rFonts w:hint="eastAsia" w:ascii="Times New Roman" w:hAnsi="Times New Roman" w:cs="Times New Roman"/>
                <w:color w:val="auto"/>
                <w:sz w:val="21"/>
                <w:szCs w:val="18"/>
                <w:highlight w:val="none"/>
                <w:lang w:val="en-US" w:eastAsia="zh-CN"/>
              </w:rPr>
              <w:t>实验室清洗废水</w:t>
            </w:r>
          </w:p>
        </w:tc>
        <w:tc>
          <w:tcPr>
            <w:tcW w:w="1965" w:type="dxa"/>
            <w:tcBorders>
              <w:top w:val="single" w:color="auto" w:sz="4" w:space="0"/>
              <w:left w:val="single" w:color="auto" w:sz="4" w:space="0"/>
              <w:bottom w:val="single" w:color="auto" w:sz="4" w:space="0"/>
              <w:right w:val="single" w:color="auto" w:sz="4" w:space="0"/>
            </w:tcBorders>
            <w:vAlign w:val="center"/>
          </w:tcPr>
          <w:p w14:paraId="579A4B65">
            <w:pPr>
              <w:keepNext w:val="0"/>
              <w:keepLines w:val="0"/>
              <w:pageBreakBefore w:val="0"/>
              <w:kinsoku/>
              <w:wordWrap/>
              <w:overflowPunct/>
              <w:autoSpaceDE/>
              <w:autoSpaceDN/>
              <w:bidi w:val="0"/>
              <w:ind w:left="0" w:leftChars="0" w:right="0" w:rightChars="0"/>
              <w:jc w:val="center"/>
              <w:textAlignment w:val="auto"/>
              <w:rPr>
                <w:rFonts w:hint="eastAsia"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lang w:val="en-US" w:eastAsia="zh-CN"/>
              </w:rPr>
              <w:t>0.1</w:t>
            </w:r>
          </w:p>
        </w:tc>
        <w:tc>
          <w:tcPr>
            <w:tcW w:w="2617" w:type="dxa"/>
            <w:gridSpan w:val="2"/>
            <w:tcBorders>
              <w:top w:val="single" w:color="auto" w:sz="4" w:space="0"/>
              <w:left w:val="single" w:color="auto" w:sz="4" w:space="0"/>
              <w:bottom w:val="single" w:color="auto" w:sz="4" w:space="0"/>
              <w:right w:val="single" w:color="auto" w:sz="4" w:space="0"/>
            </w:tcBorders>
            <w:vAlign w:val="center"/>
          </w:tcPr>
          <w:p w14:paraId="35C74606">
            <w:pPr>
              <w:keepNext w:val="0"/>
              <w:keepLines w:val="0"/>
              <w:pageBreakBefore w:val="0"/>
              <w:kinsoku/>
              <w:wordWrap/>
              <w:overflowPunct/>
              <w:topLinePunct w:val="0"/>
              <w:autoSpaceDE/>
              <w:autoSpaceDN/>
              <w:bidi w:val="0"/>
              <w:ind w:left="0" w:right="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0.1</w:t>
            </w:r>
          </w:p>
        </w:tc>
        <w:tc>
          <w:tcPr>
            <w:tcW w:w="2723" w:type="dxa"/>
            <w:gridSpan w:val="2"/>
            <w:tcBorders>
              <w:top w:val="single" w:color="auto" w:sz="4" w:space="0"/>
              <w:left w:val="single" w:color="auto" w:sz="4" w:space="0"/>
              <w:bottom w:val="single" w:color="auto" w:sz="4" w:space="0"/>
              <w:right w:val="single" w:color="auto" w:sz="4" w:space="0"/>
            </w:tcBorders>
            <w:vAlign w:val="center"/>
          </w:tcPr>
          <w:p w14:paraId="30FA759D">
            <w:pPr>
              <w:keepNext w:val="0"/>
              <w:keepLines w:val="0"/>
              <w:pageBreakBefore w:val="0"/>
              <w:kinsoku/>
              <w:wordWrap/>
              <w:overflowPunct/>
              <w:topLinePunct w:val="0"/>
              <w:autoSpaceDE/>
              <w:autoSpaceDN/>
              <w:bidi w:val="0"/>
              <w:ind w:left="0" w:right="0"/>
              <w:jc w:val="center"/>
              <w:rPr>
                <w:rFonts w:hint="eastAsia" w:ascii="Times New Roman" w:hAnsi="Times New Roman" w:eastAsia="宋体" w:cs="Times New Roman"/>
                <w:color w:val="auto"/>
                <w:kern w:val="2"/>
                <w:sz w:val="21"/>
                <w:szCs w:val="21"/>
                <w:highlight w:val="none"/>
                <w:lang w:val="en-US" w:eastAsia="zh-CN"/>
              </w:rPr>
            </w:pPr>
            <w:r>
              <w:rPr>
                <w:rFonts w:hint="eastAsia" w:ascii="Times New Roman" w:hAnsi="Times New Roman" w:cs="Times New Roman"/>
                <w:color w:val="auto"/>
                <w:kern w:val="2"/>
                <w:sz w:val="21"/>
                <w:szCs w:val="21"/>
                <w:highlight w:val="none"/>
                <w:lang w:val="en-US" w:eastAsia="zh-CN"/>
              </w:rPr>
              <w:t>/</w:t>
            </w:r>
          </w:p>
        </w:tc>
        <w:tc>
          <w:tcPr>
            <w:tcW w:w="4198" w:type="dxa"/>
            <w:gridSpan w:val="2"/>
            <w:tcBorders>
              <w:top w:val="single" w:color="auto" w:sz="4" w:space="0"/>
              <w:left w:val="single" w:color="auto" w:sz="4" w:space="0"/>
              <w:bottom w:val="single" w:color="auto" w:sz="4" w:space="0"/>
              <w:right w:val="single" w:color="auto" w:sz="4" w:space="0"/>
            </w:tcBorders>
            <w:vAlign w:val="center"/>
          </w:tcPr>
          <w:p w14:paraId="69BCDB11">
            <w:pPr>
              <w:pStyle w:val="154"/>
              <w:keepNext w:val="0"/>
              <w:keepLines w:val="0"/>
              <w:pageBreakBefore w:val="0"/>
              <w:kinsoku/>
              <w:wordWrap/>
              <w:overflowPunct/>
              <w:topLinePunct w:val="0"/>
              <w:autoSpaceDE/>
              <w:autoSpaceDN/>
              <w:bidi w:val="0"/>
              <w:ind w:left="0" w:right="0"/>
              <w:rPr>
                <w:rFonts w:hint="default" w:eastAsia="宋体"/>
                <w:color w:val="auto"/>
                <w:sz w:val="21"/>
                <w:szCs w:val="21"/>
                <w:highlight w:val="none"/>
                <w:lang w:val="en-US" w:eastAsia="zh-CN"/>
              </w:rPr>
            </w:pPr>
            <w:r>
              <w:rPr>
                <w:rFonts w:hint="eastAsia"/>
                <w:color w:val="auto"/>
                <w:sz w:val="21"/>
                <w:szCs w:val="21"/>
                <w:highlight w:val="none"/>
                <w:lang w:val="en-US" w:eastAsia="zh-CN"/>
              </w:rPr>
              <w:t>0</w:t>
            </w:r>
          </w:p>
        </w:tc>
      </w:tr>
    </w:tbl>
    <w:p w14:paraId="57BC43BA">
      <w:pPr>
        <w:pStyle w:val="15"/>
        <w:spacing w:line="360" w:lineRule="auto"/>
        <w:ind w:left="-105" w:right="-105" w:firstLine="482"/>
        <w:rPr>
          <w:rFonts w:eastAsia="宋体" w:cs="Times New Roman"/>
          <w:color w:val="auto"/>
          <w:sz w:val="24"/>
          <w:szCs w:val="24"/>
          <w:highlight w:val="none"/>
        </w:rPr>
      </w:pPr>
      <w:r>
        <w:rPr>
          <w:rFonts w:eastAsia="宋体" w:cs="Times New Roman"/>
          <w:color w:val="auto"/>
          <w:sz w:val="24"/>
          <w:szCs w:val="24"/>
          <w:highlight w:val="none"/>
        </w:rPr>
        <w:t>表</w:t>
      </w:r>
      <w:r>
        <w:rPr>
          <w:rFonts w:eastAsia="宋体" w:cs="Times New Roman"/>
          <w:color w:val="auto"/>
          <w:sz w:val="24"/>
          <w:szCs w:val="24"/>
          <w:highlight w:val="none"/>
        </w:rPr>
        <w:fldChar w:fldCharType="begin"/>
      </w:r>
      <w:r>
        <w:rPr>
          <w:rFonts w:eastAsia="宋体" w:cs="Times New Roman"/>
          <w:color w:val="auto"/>
          <w:sz w:val="24"/>
          <w:szCs w:val="24"/>
          <w:highlight w:val="none"/>
        </w:rPr>
        <w:instrText xml:space="preserve"> STYLEREF 2 \s </w:instrText>
      </w:r>
      <w:r>
        <w:rPr>
          <w:rFonts w:eastAsia="宋体" w:cs="Times New Roman"/>
          <w:color w:val="auto"/>
          <w:sz w:val="24"/>
          <w:szCs w:val="24"/>
          <w:highlight w:val="none"/>
        </w:rPr>
        <w:fldChar w:fldCharType="separate"/>
      </w:r>
      <w:r>
        <w:rPr>
          <w:rFonts w:eastAsia="宋体" w:cs="Times New Roman"/>
          <w:color w:val="auto"/>
          <w:sz w:val="24"/>
          <w:szCs w:val="24"/>
          <w:highlight w:val="none"/>
        </w:rPr>
        <w:t>4.7</w:t>
      </w:r>
      <w:r>
        <w:rPr>
          <w:rFonts w:eastAsia="宋体" w:cs="Times New Roman"/>
          <w:color w:val="auto"/>
          <w:sz w:val="24"/>
          <w:szCs w:val="24"/>
          <w:highlight w:val="none"/>
        </w:rPr>
        <w:fldChar w:fldCharType="end"/>
      </w:r>
      <w:r>
        <w:rPr>
          <w:rFonts w:eastAsia="宋体" w:cs="Times New Roman"/>
          <w:color w:val="auto"/>
          <w:sz w:val="24"/>
          <w:szCs w:val="24"/>
          <w:highlight w:val="none"/>
        </w:rPr>
        <w:noBreakHyphen/>
      </w:r>
      <w:r>
        <w:rPr>
          <w:rFonts w:eastAsia="宋体" w:cs="Times New Roman"/>
          <w:color w:val="auto"/>
          <w:sz w:val="24"/>
          <w:szCs w:val="24"/>
          <w:highlight w:val="none"/>
        </w:rPr>
        <w:fldChar w:fldCharType="begin"/>
      </w:r>
      <w:r>
        <w:rPr>
          <w:rFonts w:eastAsia="宋体" w:cs="Times New Roman"/>
          <w:color w:val="auto"/>
          <w:sz w:val="24"/>
          <w:szCs w:val="24"/>
          <w:highlight w:val="none"/>
        </w:rPr>
        <w:instrText xml:space="preserve"> SEQ 表 \* ARABIC \s 2 </w:instrText>
      </w:r>
      <w:r>
        <w:rPr>
          <w:rFonts w:eastAsia="宋体" w:cs="Times New Roman"/>
          <w:color w:val="auto"/>
          <w:sz w:val="24"/>
          <w:szCs w:val="24"/>
          <w:highlight w:val="none"/>
        </w:rPr>
        <w:fldChar w:fldCharType="separate"/>
      </w:r>
      <w:r>
        <w:rPr>
          <w:rFonts w:eastAsia="宋体" w:cs="Times New Roman"/>
          <w:color w:val="auto"/>
          <w:sz w:val="24"/>
          <w:szCs w:val="24"/>
          <w:highlight w:val="none"/>
        </w:rPr>
        <w:t>2</w:t>
      </w:r>
      <w:r>
        <w:rPr>
          <w:rFonts w:eastAsia="宋体" w:cs="Times New Roman"/>
          <w:color w:val="auto"/>
          <w:sz w:val="24"/>
          <w:szCs w:val="24"/>
          <w:highlight w:val="none"/>
        </w:rPr>
        <w:fldChar w:fldCharType="end"/>
      </w:r>
      <w:r>
        <w:rPr>
          <w:rFonts w:hint="eastAsia" w:eastAsia="宋体" w:cs="Times New Roman"/>
          <w:color w:val="auto"/>
          <w:sz w:val="24"/>
          <w:szCs w:val="24"/>
          <w:highlight w:val="none"/>
        </w:rPr>
        <w:t>本项目建成后，全厂污染物排放“三本账”一览表单位：t/a</w:t>
      </w:r>
    </w:p>
    <w:tbl>
      <w:tblPr>
        <w:tblStyle w:val="46"/>
        <w:tblW w:w="5000"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012"/>
        <w:gridCol w:w="1012"/>
        <w:gridCol w:w="2025"/>
        <w:gridCol w:w="2025"/>
        <w:gridCol w:w="2025"/>
        <w:gridCol w:w="2025"/>
        <w:gridCol w:w="2025"/>
        <w:gridCol w:w="2025"/>
      </w:tblGrid>
      <w:tr w14:paraId="612923F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024" w:type="dxa"/>
            <w:gridSpan w:val="2"/>
            <w:tcBorders>
              <w:tl2br w:val="nil"/>
              <w:tr2bl w:val="nil"/>
            </w:tcBorders>
            <w:vAlign w:val="center"/>
          </w:tcPr>
          <w:p w14:paraId="32546488">
            <w:pPr>
              <w:keepNext w:val="0"/>
              <w:keepLines w:val="0"/>
              <w:pageBreakBefore w:val="0"/>
              <w:widowControl/>
              <w:kinsoku/>
              <w:wordWrap/>
              <w:overflowPunct/>
              <w:topLinePunct w:val="0"/>
              <w:autoSpaceDE/>
              <w:autoSpaceDN/>
              <w:bidi w:val="0"/>
              <w:adjustRightInd/>
              <w:snapToGrid/>
              <w:ind w:left="0" w:right="0"/>
              <w:jc w:val="center"/>
              <w:rPr>
                <w:rFonts w:ascii="Times New Roman" w:hAnsi="Times New Roman" w:cs="Times New Roman"/>
                <w:b/>
                <w:bCs/>
                <w:color w:val="auto"/>
                <w:sz w:val="21"/>
                <w:szCs w:val="21"/>
                <w:highlight w:val="none"/>
              </w:rPr>
            </w:pPr>
            <w:r>
              <w:rPr>
                <w:rFonts w:hint="eastAsia" w:ascii="Times New Roman" w:hAnsi="Times New Roman" w:cs="Times New Roman"/>
                <w:b/>
                <w:bCs/>
                <w:color w:val="auto"/>
                <w:sz w:val="21"/>
                <w:szCs w:val="21"/>
                <w:highlight w:val="none"/>
              </w:rPr>
              <w:t>污染物类别</w:t>
            </w:r>
          </w:p>
        </w:tc>
        <w:tc>
          <w:tcPr>
            <w:tcW w:w="2025" w:type="dxa"/>
            <w:tcBorders>
              <w:tl2br w:val="nil"/>
              <w:tr2bl w:val="nil"/>
            </w:tcBorders>
            <w:vAlign w:val="center"/>
          </w:tcPr>
          <w:p w14:paraId="1935E981">
            <w:pPr>
              <w:keepNext w:val="0"/>
              <w:keepLines w:val="0"/>
              <w:pageBreakBefore w:val="0"/>
              <w:widowControl/>
              <w:kinsoku/>
              <w:wordWrap/>
              <w:overflowPunct/>
              <w:topLinePunct w:val="0"/>
              <w:autoSpaceDE/>
              <w:autoSpaceDN/>
              <w:bidi w:val="0"/>
              <w:adjustRightInd/>
              <w:snapToGrid/>
              <w:ind w:left="0" w:right="0"/>
              <w:jc w:val="center"/>
              <w:rPr>
                <w:rFonts w:ascii="Times New Roman" w:hAnsi="Times New Roman" w:cs="Times New Roman"/>
                <w:b/>
                <w:bCs/>
                <w:color w:val="auto"/>
                <w:sz w:val="21"/>
                <w:szCs w:val="21"/>
                <w:highlight w:val="none"/>
              </w:rPr>
            </w:pPr>
            <w:r>
              <w:rPr>
                <w:rFonts w:hint="eastAsia" w:ascii="Times New Roman" w:hAnsi="Times New Roman" w:cs="Times New Roman"/>
                <w:b/>
                <w:bCs/>
                <w:color w:val="auto"/>
                <w:sz w:val="21"/>
                <w:szCs w:val="21"/>
                <w:highlight w:val="none"/>
              </w:rPr>
              <w:t>污染物名称</w:t>
            </w:r>
          </w:p>
        </w:tc>
        <w:tc>
          <w:tcPr>
            <w:tcW w:w="2025" w:type="dxa"/>
            <w:tcBorders>
              <w:tl2br w:val="nil"/>
              <w:tr2bl w:val="nil"/>
            </w:tcBorders>
            <w:vAlign w:val="center"/>
          </w:tcPr>
          <w:p w14:paraId="09FC4F04">
            <w:pPr>
              <w:keepNext w:val="0"/>
              <w:keepLines w:val="0"/>
              <w:pageBreakBefore w:val="0"/>
              <w:widowControl/>
              <w:kinsoku/>
              <w:wordWrap/>
              <w:overflowPunct/>
              <w:topLinePunct w:val="0"/>
              <w:autoSpaceDE/>
              <w:autoSpaceDN/>
              <w:bidi w:val="0"/>
              <w:adjustRightInd/>
              <w:snapToGrid/>
              <w:ind w:left="0" w:right="0"/>
              <w:jc w:val="center"/>
              <w:rPr>
                <w:rFonts w:ascii="Times New Roman" w:hAnsi="Times New Roman" w:cs="Times New Roman"/>
                <w:b/>
                <w:bCs/>
                <w:color w:val="auto"/>
                <w:sz w:val="21"/>
                <w:szCs w:val="21"/>
                <w:highlight w:val="none"/>
              </w:rPr>
            </w:pPr>
            <w:r>
              <w:rPr>
                <w:rFonts w:hint="eastAsia" w:ascii="Times New Roman" w:hAnsi="Times New Roman" w:cs="Times New Roman"/>
                <w:b/>
                <w:bCs/>
                <w:color w:val="auto"/>
                <w:sz w:val="21"/>
                <w:szCs w:val="21"/>
                <w:highlight w:val="none"/>
              </w:rPr>
              <w:t>现有项目排放量*</w:t>
            </w:r>
          </w:p>
        </w:tc>
        <w:tc>
          <w:tcPr>
            <w:tcW w:w="2025" w:type="dxa"/>
            <w:tcBorders>
              <w:tl2br w:val="nil"/>
              <w:tr2bl w:val="nil"/>
            </w:tcBorders>
            <w:vAlign w:val="center"/>
          </w:tcPr>
          <w:p w14:paraId="75FB80B2">
            <w:pPr>
              <w:keepNext w:val="0"/>
              <w:keepLines w:val="0"/>
              <w:pageBreakBefore w:val="0"/>
              <w:widowControl/>
              <w:kinsoku/>
              <w:wordWrap/>
              <w:overflowPunct/>
              <w:topLinePunct w:val="0"/>
              <w:autoSpaceDE/>
              <w:autoSpaceDN/>
              <w:bidi w:val="0"/>
              <w:adjustRightInd/>
              <w:snapToGrid/>
              <w:ind w:left="0" w:right="0"/>
              <w:jc w:val="center"/>
              <w:rPr>
                <w:rFonts w:ascii="Times New Roman" w:hAnsi="Times New Roman" w:cs="Times New Roman"/>
                <w:b/>
                <w:bCs/>
                <w:color w:val="auto"/>
                <w:sz w:val="21"/>
                <w:szCs w:val="21"/>
                <w:highlight w:val="none"/>
              </w:rPr>
            </w:pPr>
            <w:r>
              <w:rPr>
                <w:rFonts w:hint="eastAsia" w:ascii="Times New Roman" w:hAnsi="Times New Roman" w:cs="Times New Roman"/>
                <w:b/>
                <w:bCs/>
                <w:color w:val="auto"/>
                <w:sz w:val="21"/>
                <w:szCs w:val="21"/>
                <w:highlight w:val="none"/>
              </w:rPr>
              <w:t>以新带老削减量</w:t>
            </w:r>
          </w:p>
        </w:tc>
        <w:tc>
          <w:tcPr>
            <w:tcW w:w="2025" w:type="dxa"/>
            <w:tcBorders>
              <w:tl2br w:val="nil"/>
              <w:tr2bl w:val="nil"/>
            </w:tcBorders>
            <w:vAlign w:val="center"/>
          </w:tcPr>
          <w:p w14:paraId="03F9A3C8">
            <w:pPr>
              <w:keepNext w:val="0"/>
              <w:keepLines w:val="0"/>
              <w:pageBreakBefore w:val="0"/>
              <w:widowControl/>
              <w:kinsoku/>
              <w:wordWrap/>
              <w:overflowPunct/>
              <w:topLinePunct w:val="0"/>
              <w:autoSpaceDE/>
              <w:autoSpaceDN/>
              <w:bidi w:val="0"/>
              <w:adjustRightInd/>
              <w:snapToGrid/>
              <w:ind w:left="0" w:right="0"/>
              <w:jc w:val="center"/>
              <w:rPr>
                <w:rFonts w:ascii="Times New Roman" w:hAnsi="Times New Roman" w:cs="Times New Roman"/>
                <w:b/>
                <w:bCs/>
                <w:color w:val="auto"/>
                <w:sz w:val="21"/>
                <w:szCs w:val="21"/>
                <w:highlight w:val="none"/>
              </w:rPr>
            </w:pPr>
            <w:r>
              <w:rPr>
                <w:rFonts w:hint="eastAsia" w:ascii="Times New Roman" w:hAnsi="Times New Roman" w:cs="Times New Roman"/>
                <w:b/>
                <w:bCs/>
                <w:color w:val="auto"/>
                <w:sz w:val="21"/>
                <w:szCs w:val="21"/>
                <w:highlight w:val="none"/>
              </w:rPr>
              <w:t>本项目排放量</w:t>
            </w:r>
          </w:p>
        </w:tc>
        <w:tc>
          <w:tcPr>
            <w:tcW w:w="2025" w:type="dxa"/>
            <w:tcBorders>
              <w:tl2br w:val="nil"/>
              <w:tr2bl w:val="nil"/>
            </w:tcBorders>
            <w:vAlign w:val="center"/>
          </w:tcPr>
          <w:p w14:paraId="726DF705">
            <w:pPr>
              <w:keepNext w:val="0"/>
              <w:keepLines w:val="0"/>
              <w:pageBreakBefore w:val="0"/>
              <w:widowControl/>
              <w:kinsoku/>
              <w:wordWrap/>
              <w:overflowPunct/>
              <w:topLinePunct w:val="0"/>
              <w:autoSpaceDE/>
              <w:autoSpaceDN/>
              <w:bidi w:val="0"/>
              <w:adjustRightInd/>
              <w:snapToGrid/>
              <w:ind w:left="0" w:right="0"/>
              <w:jc w:val="center"/>
              <w:rPr>
                <w:rFonts w:ascii="Times New Roman" w:hAnsi="Times New Roman" w:cs="Times New Roman"/>
                <w:b/>
                <w:bCs/>
                <w:color w:val="auto"/>
                <w:sz w:val="21"/>
                <w:szCs w:val="21"/>
                <w:highlight w:val="none"/>
              </w:rPr>
            </w:pPr>
            <w:r>
              <w:rPr>
                <w:rFonts w:hint="eastAsia" w:ascii="Times New Roman" w:hAnsi="Times New Roman" w:cs="Times New Roman"/>
                <w:b/>
                <w:bCs/>
                <w:color w:val="auto"/>
                <w:sz w:val="21"/>
                <w:szCs w:val="21"/>
                <w:highlight w:val="none"/>
              </w:rPr>
              <w:t>全厂排放量</w:t>
            </w:r>
          </w:p>
        </w:tc>
        <w:tc>
          <w:tcPr>
            <w:tcW w:w="2025" w:type="dxa"/>
            <w:tcBorders>
              <w:tl2br w:val="nil"/>
              <w:tr2bl w:val="nil"/>
            </w:tcBorders>
            <w:vAlign w:val="center"/>
          </w:tcPr>
          <w:p w14:paraId="77EFACF3">
            <w:pPr>
              <w:keepNext w:val="0"/>
              <w:keepLines w:val="0"/>
              <w:pageBreakBefore w:val="0"/>
              <w:widowControl/>
              <w:kinsoku/>
              <w:wordWrap/>
              <w:overflowPunct/>
              <w:topLinePunct w:val="0"/>
              <w:autoSpaceDE/>
              <w:autoSpaceDN/>
              <w:bidi w:val="0"/>
              <w:adjustRightInd/>
              <w:snapToGrid/>
              <w:ind w:left="0" w:right="0"/>
              <w:jc w:val="center"/>
              <w:rPr>
                <w:rFonts w:ascii="Times New Roman" w:hAnsi="Times New Roman" w:cs="Times New Roman"/>
                <w:b/>
                <w:bCs/>
                <w:color w:val="auto"/>
                <w:sz w:val="21"/>
                <w:szCs w:val="21"/>
                <w:highlight w:val="none"/>
              </w:rPr>
            </w:pPr>
            <w:r>
              <w:rPr>
                <w:rFonts w:hint="eastAsia" w:ascii="Times New Roman" w:hAnsi="Times New Roman" w:cs="Times New Roman"/>
                <w:b/>
                <w:bCs/>
                <w:color w:val="auto"/>
                <w:sz w:val="21"/>
                <w:szCs w:val="21"/>
                <w:highlight w:val="none"/>
              </w:rPr>
              <w:t>增减量</w:t>
            </w:r>
          </w:p>
        </w:tc>
      </w:tr>
      <w:tr w14:paraId="3A6CBA8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12" w:type="dxa"/>
            <w:vMerge w:val="restart"/>
            <w:tcBorders>
              <w:tl2br w:val="nil"/>
              <w:tr2bl w:val="nil"/>
            </w:tcBorders>
            <w:vAlign w:val="center"/>
          </w:tcPr>
          <w:p w14:paraId="057CFB2A">
            <w:pPr>
              <w:keepNext w:val="0"/>
              <w:keepLines w:val="0"/>
              <w:pageBreakBefore w:val="0"/>
              <w:widowControl/>
              <w:kinsoku/>
              <w:wordWrap/>
              <w:overflowPunct/>
              <w:topLinePunct w:val="0"/>
              <w:autoSpaceDE/>
              <w:autoSpaceDN/>
              <w:bidi w:val="0"/>
              <w:adjustRightInd/>
              <w:snapToGrid/>
              <w:ind w:left="0" w:right="0"/>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废气</w:t>
            </w:r>
          </w:p>
        </w:tc>
        <w:tc>
          <w:tcPr>
            <w:tcW w:w="1012" w:type="dxa"/>
            <w:vMerge w:val="restart"/>
            <w:tcBorders>
              <w:tl2br w:val="nil"/>
              <w:tr2bl w:val="nil"/>
            </w:tcBorders>
            <w:vAlign w:val="center"/>
          </w:tcPr>
          <w:p w14:paraId="3CA3E355">
            <w:pPr>
              <w:keepNext w:val="0"/>
              <w:keepLines w:val="0"/>
              <w:pageBreakBefore w:val="0"/>
              <w:widowControl/>
              <w:kinsoku/>
              <w:wordWrap/>
              <w:overflowPunct/>
              <w:topLinePunct w:val="0"/>
              <w:autoSpaceDE/>
              <w:autoSpaceDN/>
              <w:bidi w:val="0"/>
              <w:adjustRightInd/>
              <w:snapToGrid/>
              <w:ind w:left="0" w:right="0"/>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有组织</w:t>
            </w:r>
          </w:p>
        </w:tc>
        <w:tc>
          <w:tcPr>
            <w:tcW w:w="2025" w:type="dxa"/>
            <w:tcBorders>
              <w:tl2br w:val="nil"/>
              <w:tr2bl w:val="nil"/>
            </w:tcBorders>
            <w:vAlign w:val="center"/>
          </w:tcPr>
          <w:p w14:paraId="26EFD1BB">
            <w:pPr>
              <w:keepNext w:val="0"/>
              <w:keepLines w:val="0"/>
              <w:pageBreakBefore w:val="0"/>
              <w:widowControl/>
              <w:kinsoku/>
              <w:wordWrap/>
              <w:overflowPunct/>
              <w:topLinePunct w:val="0"/>
              <w:autoSpaceDE/>
              <w:autoSpaceDN/>
              <w:bidi w:val="0"/>
              <w:adjustRightInd/>
              <w:snapToGrid/>
              <w:ind w:left="0" w:right="0"/>
              <w:jc w:val="center"/>
              <w:rPr>
                <w:rFonts w:ascii="Times New Roman" w:hAnsi="Times New Roman" w:cs="Times New Roman"/>
                <w:color w:val="auto"/>
                <w:sz w:val="21"/>
                <w:szCs w:val="21"/>
                <w:highlight w:val="none"/>
              </w:rPr>
            </w:pPr>
            <w:r>
              <w:rPr>
                <w:rFonts w:hint="eastAsia" w:cs="Times New Roman"/>
                <w:color w:val="auto"/>
                <w:sz w:val="21"/>
                <w:szCs w:val="15"/>
                <w:highlight w:val="none"/>
              </w:rPr>
              <w:t>非甲烷总烃（含</w:t>
            </w:r>
            <w:r>
              <w:rPr>
                <w:rFonts w:ascii="Times New Roman" w:hAnsi="Times New Roman" w:cs="Times New Roman"/>
                <w:color w:val="auto"/>
                <w:sz w:val="21"/>
                <w:szCs w:val="15"/>
                <w:highlight w:val="none"/>
              </w:rPr>
              <w:t>2-</w:t>
            </w:r>
            <w:r>
              <w:rPr>
                <w:rFonts w:hint="eastAsia" w:cs="Times New Roman"/>
                <w:color w:val="auto"/>
                <w:sz w:val="21"/>
                <w:szCs w:val="15"/>
                <w:highlight w:val="none"/>
              </w:rPr>
              <w:t>乙二醇单乙醚醋酸酯、丁酮、异氰酸酯、丙烯酸）</w:t>
            </w:r>
          </w:p>
        </w:tc>
        <w:tc>
          <w:tcPr>
            <w:tcW w:w="2025" w:type="dxa"/>
            <w:tcBorders>
              <w:tl2br w:val="nil"/>
              <w:tr2bl w:val="nil"/>
            </w:tcBorders>
            <w:vAlign w:val="center"/>
          </w:tcPr>
          <w:p w14:paraId="2D8D8423">
            <w:pPr>
              <w:keepNext w:val="0"/>
              <w:keepLines w:val="0"/>
              <w:pageBreakBefore w:val="0"/>
              <w:widowControl/>
              <w:kinsoku/>
              <w:wordWrap/>
              <w:overflowPunct/>
              <w:topLinePunct w:val="0"/>
              <w:autoSpaceDE/>
              <w:autoSpaceDN/>
              <w:bidi w:val="0"/>
              <w:adjustRightInd/>
              <w:snapToGrid/>
              <w:ind w:left="0" w:right="0"/>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15"/>
                <w:highlight w:val="none"/>
              </w:rPr>
              <w:t>1.9924</w:t>
            </w:r>
          </w:p>
        </w:tc>
        <w:tc>
          <w:tcPr>
            <w:tcW w:w="2025" w:type="dxa"/>
            <w:tcBorders>
              <w:tl2br w:val="nil"/>
              <w:tr2bl w:val="nil"/>
            </w:tcBorders>
            <w:vAlign w:val="center"/>
          </w:tcPr>
          <w:p w14:paraId="02AA86E1">
            <w:pPr>
              <w:keepNext w:val="0"/>
              <w:keepLines w:val="0"/>
              <w:pageBreakBefore w:val="0"/>
              <w:widowControl/>
              <w:kinsoku/>
              <w:wordWrap/>
              <w:overflowPunct/>
              <w:topLinePunct w:val="0"/>
              <w:autoSpaceDE/>
              <w:autoSpaceDN/>
              <w:bidi w:val="0"/>
              <w:adjustRightInd/>
              <w:snapToGrid/>
              <w:ind w:left="0" w:right="0"/>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0.19924</w:t>
            </w:r>
          </w:p>
        </w:tc>
        <w:tc>
          <w:tcPr>
            <w:tcW w:w="2025" w:type="dxa"/>
            <w:tcBorders>
              <w:tl2br w:val="nil"/>
              <w:tr2bl w:val="nil"/>
            </w:tcBorders>
            <w:vAlign w:val="center"/>
          </w:tcPr>
          <w:p w14:paraId="45AA8AA3">
            <w:pPr>
              <w:keepNext w:val="0"/>
              <w:keepLines w:val="0"/>
              <w:pageBreakBefore w:val="0"/>
              <w:widowControl/>
              <w:kinsoku/>
              <w:wordWrap/>
              <w:overflowPunct/>
              <w:topLinePunct w:val="0"/>
              <w:autoSpaceDE/>
              <w:autoSpaceDN/>
              <w:bidi w:val="0"/>
              <w:adjustRightInd/>
              <w:snapToGrid/>
              <w:ind w:left="0" w:right="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0.1160</w:t>
            </w:r>
          </w:p>
        </w:tc>
        <w:tc>
          <w:tcPr>
            <w:tcW w:w="2025" w:type="dxa"/>
            <w:tcBorders>
              <w:tl2br w:val="nil"/>
              <w:tr2bl w:val="nil"/>
            </w:tcBorders>
            <w:vAlign w:val="center"/>
          </w:tcPr>
          <w:p w14:paraId="35F7568F">
            <w:pPr>
              <w:keepNext w:val="0"/>
              <w:keepLines w:val="0"/>
              <w:pageBreakBefore w:val="0"/>
              <w:widowControl/>
              <w:kinsoku/>
              <w:wordWrap/>
              <w:overflowPunct/>
              <w:topLinePunct w:val="0"/>
              <w:autoSpaceDE/>
              <w:autoSpaceDN/>
              <w:bidi w:val="0"/>
              <w:adjustRightInd/>
              <w:snapToGrid/>
              <w:ind w:left="0" w:right="0"/>
              <w:jc w:val="center"/>
              <w:textAlignment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1.90916</w:t>
            </w:r>
          </w:p>
        </w:tc>
        <w:tc>
          <w:tcPr>
            <w:tcW w:w="2025" w:type="dxa"/>
            <w:tcBorders>
              <w:tl2br w:val="nil"/>
              <w:tr2bl w:val="nil"/>
            </w:tcBorders>
            <w:vAlign w:val="center"/>
          </w:tcPr>
          <w:p w14:paraId="55FA27E5">
            <w:pPr>
              <w:keepNext w:val="0"/>
              <w:keepLines w:val="0"/>
              <w:pageBreakBefore w:val="0"/>
              <w:widowControl/>
              <w:kinsoku/>
              <w:wordWrap/>
              <w:overflowPunct/>
              <w:topLinePunct w:val="0"/>
              <w:autoSpaceDE/>
              <w:autoSpaceDN/>
              <w:bidi w:val="0"/>
              <w:adjustRightInd/>
              <w:snapToGrid/>
              <w:ind w:left="0" w:right="0"/>
              <w:jc w:val="center"/>
              <w:textAlignment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-0.08324</w:t>
            </w:r>
          </w:p>
        </w:tc>
      </w:tr>
      <w:tr w14:paraId="0028936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12" w:type="dxa"/>
            <w:vMerge w:val="continue"/>
            <w:tcBorders>
              <w:tl2br w:val="nil"/>
              <w:tr2bl w:val="nil"/>
            </w:tcBorders>
            <w:vAlign w:val="center"/>
          </w:tcPr>
          <w:p w14:paraId="6095FCB5">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cs="Times New Roman"/>
                <w:color w:val="auto"/>
                <w:sz w:val="21"/>
                <w:szCs w:val="21"/>
                <w:highlight w:val="none"/>
              </w:rPr>
            </w:pPr>
          </w:p>
        </w:tc>
        <w:tc>
          <w:tcPr>
            <w:tcW w:w="1012" w:type="dxa"/>
            <w:vMerge w:val="continue"/>
            <w:tcBorders>
              <w:tl2br w:val="nil"/>
              <w:tr2bl w:val="nil"/>
            </w:tcBorders>
            <w:vAlign w:val="center"/>
          </w:tcPr>
          <w:p w14:paraId="0A5FA8E9">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cs="Times New Roman"/>
                <w:color w:val="auto"/>
                <w:sz w:val="21"/>
                <w:szCs w:val="21"/>
                <w:highlight w:val="none"/>
              </w:rPr>
            </w:pPr>
          </w:p>
        </w:tc>
        <w:tc>
          <w:tcPr>
            <w:tcW w:w="2025" w:type="dxa"/>
            <w:tcBorders>
              <w:tl2br w:val="nil"/>
              <w:tr2bl w:val="nil"/>
            </w:tcBorders>
            <w:vAlign w:val="center"/>
          </w:tcPr>
          <w:p w14:paraId="63BAC01B">
            <w:pPr>
              <w:keepNext w:val="0"/>
              <w:keepLines w:val="0"/>
              <w:pageBreakBefore w:val="0"/>
              <w:widowControl/>
              <w:kinsoku/>
              <w:wordWrap/>
              <w:overflowPunct/>
              <w:topLinePunct w:val="0"/>
              <w:autoSpaceDE/>
              <w:autoSpaceDN/>
              <w:bidi w:val="0"/>
              <w:adjustRightInd/>
              <w:snapToGrid/>
              <w:ind w:left="0" w:right="0"/>
              <w:jc w:val="center"/>
              <w:rPr>
                <w:rFonts w:hint="eastAsia" w:eastAsia="宋体" w:cs="Times New Roman"/>
                <w:color w:val="auto"/>
                <w:sz w:val="21"/>
                <w:szCs w:val="15"/>
                <w:highlight w:val="none"/>
                <w:lang w:val="en-US" w:eastAsia="zh-CN"/>
              </w:rPr>
            </w:pPr>
            <w:r>
              <w:rPr>
                <w:rFonts w:hint="eastAsia" w:cs="Times New Roman"/>
                <w:color w:val="auto"/>
                <w:sz w:val="21"/>
                <w:szCs w:val="15"/>
                <w:highlight w:val="none"/>
                <w:lang w:val="en-US" w:eastAsia="zh-CN"/>
              </w:rPr>
              <w:t>氮氧化物</w:t>
            </w:r>
          </w:p>
        </w:tc>
        <w:tc>
          <w:tcPr>
            <w:tcW w:w="2025" w:type="dxa"/>
            <w:tcBorders>
              <w:tl2br w:val="nil"/>
              <w:tr2bl w:val="nil"/>
            </w:tcBorders>
            <w:vAlign w:val="center"/>
          </w:tcPr>
          <w:p w14:paraId="44BFAEAD">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Times New Roman"/>
                <w:color w:val="auto"/>
                <w:sz w:val="21"/>
                <w:szCs w:val="15"/>
                <w:highlight w:val="none"/>
                <w:lang w:val="en-US" w:eastAsia="zh-CN"/>
              </w:rPr>
            </w:pPr>
            <w:r>
              <w:rPr>
                <w:rFonts w:hint="eastAsia" w:ascii="Times New Roman" w:hAnsi="Times New Roman" w:cs="Times New Roman"/>
                <w:color w:val="auto"/>
                <w:sz w:val="21"/>
                <w:szCs w:val="15"/>
                <w:highlight w:val="none"/>
                <w:lang w:val="en-US" w:eastAsia="zh-CN"/>
              </w:rPr>
              <w:t>0</w:t>
            </w:r>
          </w:p>
        </w:tc>
        <w:tc>
          <w:tcPr>
            <w:tcW w:w="2025" w:type="dxa"/>
            <w:tcBorders>
              <w:tl2br w:val="nil"/>
              <w:tr2bl w:val="nil"/>
            </w:tcBorders>
            <w:vAlign w:val="center"/>
          </w:tcPr>
          <w:p w14:paraId="75737A19">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Times New Roman"/>
                <w:color w:val="auto"/>
                <w:sz w:val="21"/>
                <w:szCs w:val="21"/>
                <w:highlight w:val="none"/>
                <w:lang w:val="en-US" w:eastAsia="zh-CN" w:bidi="ar"/>
              </w:rPr>
            </w:pPr>
            <w:r>
              <w:rPr>
                <w:rFonts w:hint="eastAsia" w:ascii="Times New Roman" w:hAnsi="Times New Roman" w:cs="Times New Roman"/>
                <w:color w:val="auto"/>
                <w:sz w:val="21"/>
                <w:szCs w:val="21"/>
                <w:highlight w:val="none"/>
                <w:lang w:val="en-US" w:eastAsia="zh-CN" w:bidi="ar"/>
              </w:rPr>
              <w:t>0</w:t>
            </w:r>
          </w:p>
        </w:tc>
        <w:tc>
          <w:tcPr>
            <w:tcW w:w="2025" w:type="dxa"/>
            <w:tcBorders>
              <w:tl2br w:val="nil"/>
              <w:tr2bl w:val="nil"/>
            </w:tcBorders>
            <w:vAlign w:val="center"/>
          </w:tcPr>
          <w:p w14:paraId="23323078">
            <w:pPr>
              <w:keepNext w:val="0"/>
              <w:keepLines w:val="0"/>
              <w:pageBreakBefore w:val="0"/>
              <w:widowControl/>
              <w:kinsoku/>
              <w:wordWrap/>
              <w:overflowPunct/>
              <w:topLinePunct w:val="0"/>
              <w:autoSpaceDE/>
              <w:autoSpaceDN/>
              <w:bidi w:val="0"/>
              <w:adjustRightInd/>
              <w:snapToGrid/>
              <w:ind w:left="0" w:right="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0.0003</w:t>
            </w:r>
          </w:p>
        </w:tc>
        <w:tc>
          <w:tcPr>
            <w:tcW w:w="2025" w:type="dxa"/>
            <w:tcBorders>
              <w:tl2br w:val="nil"/>
              <w:tr2bl w:val="nil"/>
            </w:tcBorders>
            <w:vAlign w:val="center"/>
          </w:tcPr>
          <w:p w14:paraId="2F3938B8">
            <w:pPr>
              <w:keepNext w:val="0"/>
              <w:keepLines w:val="0"/>
              <w:pageBreakBefore w:val="0"/>
              <w:widowControl/>
              <w:kinsoku/>
              <w:wordWrap/>
              <w:overflowPunct/>
              <w:topLinePunct w:val="0"/>
              <w:autoSpaceDE/>
              <w:autoSpaceDN/>
              <w:bidi w:val="0"/>
              <w:adjustRightInd/>
              <w:snapToGrid/>
              <w:ind w:left="0" w:right="0"/>
              <w:jc w:val="center"/>
              <w:textAlignment w:val="center"/>
              <w:rPr>
                <w:rFonts w:hint="default" w:ascii="Times New Roman" w:hAnsi="Times New Roman" w:eastAsia="等线" w:cs="Times New Roman"/>
                <w:color w:val="auto"/>
                <w:sz w:val="21"/>
                <w:szCs w:val="21"/>
                <w:highlight w:val="none"/>
                <w:lang w:val="en-US" w:eastAsia="zh-CN" w:bidi="ar"/>
              </w:rPr>
            </w:pPr>
            <w:r>
              <w:rPr>
                <w:rFonts w:hint="eastAsia" w:ascii="Times New Roman" w:hAnsi="Times New Roman" w:eastAsia="等线" w:cs="Times New Roman"/>
                <w:color w:val="auto"/>
                <w:sz w:val="21"/>
                <w:szCs w:val="21"/>
                <w:highlight w:val="none"/>
                <w:lang w:val="en-US" w:eastAsia="zh-CN" w:bidi="ar"/>
              </w:rPr>
              <w:t>0.0003</w:t>
            </w:r>
          </w:p>
        </w:tc>
        <w:tc>
          <w:tcPr>
            <w:tcW w:w="2025" w:type="dxa"/>
            <w:tcBorders>
              <w:tl2br w:val="nil"/>
              <w:tr2bl w:val="nil"/>
            </w:tcBorders>
            <w:vAlign w:val="center"/>
          </w:tcPr>
          <w:p w14:paraId="31B86564">
            <w:pPr>
              <w:keepNext w:val="0"/>
              <w:keepLines w:val="0"/>
              <w:pageBreakBefore w:val="0"/>
              <w:widowControl/>
              <w:kinsoku/>
              <w:wordWrap/>
              <w:overflowPunct/>
              <w:topLinePunct w:val="0"/>
              <w:autoSpaceDE/>
              <w:autoSpaceDN/>
              <w:bidi w:val="0"/>
              <w:adjustRightInd/>
              <w:snapToGrid/>
              <w:ind w:left="0" w:right="0"/>
              <w:jc w:val="center"/>
              <w:textAlignment w:val="center"/>
              <w:rPr>
                <w:rFonts w:hint="default" w:ascii="Times New Roman" w:hAnsi="Times New Roman" w:eastAsia="等线" w:cs="Times New Roman"/>
                <w:color w:val="auto"/>
                <w:sz w:val="21"/>
                <w:szCs w:val="21"/>
                <w:highlight w:val="none"/>
                <w:lang w:val="en-US" w:eastAsia="zh-CN" w:bidi="ar"/>
              </w:rPr>
            </w:pPr>
            <w:r>
              <w:rPr>
                <w:rFonts w:hint="eastAsia" w:ascii="Times New Roman" w:hAnsi="Times New Roman" w:eastAsia="等线" w:cs="Times New Roman"/>
                <w:color w:val="auto"/>
                <w:sz w:val="21"/>
                <w:szCs w:val="21"/>
                <w:highlight w:val="none"/>
                <w:lang w:val="en-US" w:eastAsia="zh-CN" w:bidi="ar"/>
              </w:rPr>
              <w:t>+0.0003</w:t>
            </w:r>
          </w:p>
        </w:tc>
      </w:tr>
      <w:tr w14:paraId="4B4CDE4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12" w:type="dxa"/>
            <w:vMerge w:val="continue"/>
            <w:tcBorders>
              <w:tl2br w:val="nil"/>
              <w:tr2bl w:val="nil"/>
            </w:tcBorders>
            <w:vAlign w:val="center"/>
          </w:tcPr>
          <w:p w14:paraId="771701EA">
            <w:pPr>
              <w:keepNext w:val="0"/>
              <w:keepLines w:val="0"/>
              <w:pageBreakBefore w:val="0"/>
              <w:widowControl/>
              <w:kinsoku/>
              <w:wordWrap/>
              <w:overflowPunct/>
              <w:topLinePunct w:val="0"/>
              <w:autoSpaceDE/>
              <w:autoSpaceDN/>
              <w:bidi w:val="0"/>
              <w:adjustRightInd/>
              <w:snapToGrid/>
              <w:ind w:left="0" w:right="0"/>
              <w:jc w:val="center"/>
              <w:rPr>
                <w:rFonts w:ascii="Times New Roman" w:hAnsi="Times New Roman" w:cs="Times New Roman"/>
                <w:color w:val="auto"/>
                <w:sz w:val="21"/>
                <w:szCs w:val="21"/>
                <w:highlight w:val="none"/>
              </w:rPr>
            </w:pPr>
          </w:p>
        </w:tc>
        <w:tc>
          <w:tcPr>
            <w:tcW w:w="1012" w:type="dxa"/>
            <w:vMerge w:val="restart"/>
            <w:tcBorders>
              <w:tl2br w:val="nil"/>
              <w:tr2bl w:val="nil"/>
            </w:tcBorders>
            <w:vAlign w:val="center"/>
          </w:tcPr>
          <w:p w14:paraId="6E190268">
            <w:pPr>
              <w:keepNext w:val="0"/>
              <w:keepLines w:val="0"/>
              <w:pageBreakBefore w:val="0"/>
              <w:widowControl/>
              <w:kinsoku/>
              <w:wordWrap/>
              <w:overflowPunct/>
              <w:topLinePunct w:val="0"/>
              <w:autoSpaceDE/>
              <w:autoSpaceDN/>
              <w:bidi w:val="0"/>
              <w:adjustRightInd/>
              <w:snapToGrid/>
              <w:ind w:left="0" w:right="0"/>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无组织</w:t>
            </w:r>
          </w:p>
        </w:tc>
        <w:tc>
          <w:tcPr>
            <w:tcW w:w="2025" w:type="dxa"/>
            <w:tcBorders>
              <w:tl2br w:val="nil"/>
              <w:tr2bl w:val="nil"/>
            </w:tcBorders>
            <w:vAlign w:val="center"/>
          </w:tcPr>
          <w:p w14:paraId="1F343CBE">
            <w:pPr>
              <w:keepNext w:val="0"/>
              <w:keepLines w:val="0"/>
              <w:pageBreakBefore w:val="0"/>
              <w:widowControl/>
              <w:kinsoku/>
              <w:wordWrap/>
              <w:overflowPunct/>
              <w:topLinePunct w:val="0"/>
              <w:autoSpaceDE/>
              <w:autoSpaceDN/>
              <w:bidi w:val="0"/>
              <w:adjustRightInd/>
              <w:snapToGrid/>
              <w:ind w:left="0" w:right="0"/>
              <w:jc w:val="center"/>
              <w:rPr>
                <w:rFonts w:ascii="Times New Roman" w:hAnsi="Times New Roman" w:cs="Times New Roman"/>
                <w:color w:val="auto"/>
                <w:sz w:val="21"/>
                <w:szCs w:val="21"/>
                <w:highlight w:val="none"/>
              </w:rPr>
            </w:pPr>
            <w:r>
              <w:rPr>
                <w:rFonts w:hint="eastAsia" w:cs="Times New Roman"/>
                <w:color w:val="auto"/>
                <w:sz w:val="21"/>
                <w:szCs w:val="15"/>
                <w:highlight w:val="none"/>
              </w:rPr>
              <w:t>非甲烷总烃（含</w:t>
            </w:r>
            <w:r>
              <w:rPr>
                <w:rFonts w:ascii="Times New Roman" w:hAnsi="Times New Roman" w:cs="Times New Roman"/>
                <w:color w:val="auto"/>
                <w:sz w:val="21"/>
                <w:szCs w:val="15"/>
                <w:highlight w:val="none"/>
              </w:rPr>
              <w:t>2-</w:t>
            </w:r>
            <w:r>
              <w:rPr>
                <w:rFonts w:hint="eastAsia" w:cs="Times New Roman"/>
                <w:color w:val="auto"/>
                <w:sz w:val="21"/>
                <w:szCs w:val="15"/>
                <w:highlight w:val="none"/>
              </w:rPr>
              <w:t>乙二醇单乙醚醋酸酯、丁酮、异氰酸酯、丙烯酸、甲醇）</w:t>
            </w:r>
          </w:p>
        </w:tc>
        <w:tc>
          <w:tcPr>
            <w:tcW w:w="2025" w:type="dxa"/>
            <w:tcBorders>
              <w:tl2br w:val="nil"/>
              <w:tr2bl w:val="nil"/>
            </w:tcBorders>
            <w:vAlign w:val="center"/>
          </w:tcPr>
          <w:p w14:paraId="2964A0BA">
            <w:pPr>
              <w:keepNext w:val="0"/>
              <w:keepLines w:val="0"/>
              <w:pageBreakBefore w:val="0"/>
              <w:widowControl/>
              <w:kinsoku/>
              <w:wordWrap/>
              <w:overflowPunct/>
              <w:topLinePunct w:val="0"/>
              <w:autoSpaceDE/>
              <w:autoSpaceDN/>
              <w:bidi w:val="0"/>
              <w:adjustRightInd/>
              <w:snapToGrid/>
              <w:ind w:left="0" w:right="0"/>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15"/>
                <w:highlight w:val="none"/>
              </w:rPr>
              <w:t>0.</w:t>
            </w:r>
            <w:r>
              <w:rPr>
                <w:rFonts w:hint="eastAsia" w:ascii="Times New Roman" w:hAnsi="Times New Roman" w:cs="Times New Roman"/>
                <w:color w:val="auto"/>
                <w:sz w:val="21"/>
                <w:szCs w:val="15"/>
                <w:highlight w:val="none"/>
                <w:lang w:val="en-US" w:eastAsia="zh-CN"/>
              </w:rPr>
              <w:t>0</w:t>
            </w:r>
            <w:r>
              <w:rPr>
                <w:rFonts w:hint="eastAsia" w:ascii="Times New Roman" w:hAnsi="Times New Roman" w:cs="Times New Roman"/>
                <w:color w:val="auto"/>
                <w:sz w:val="21"/>
                <w:szCs w:val="15"/>
                <w:highlight w:val="none"/>
              </w:rPr>
              <w:t>275</w:t>
            </w:r>
          </w:p>
        </w:tc>
        <w:tc>
          <w:tcPr>
            <w:tcW w:w="2025" w:type="dxa"/>
            <w:tcBorders>
              <w:tl2br w:val="nil"/>
              <w:tr2bl w:val="nil"/>
            </w:tcBorders>
            <w:vAlign w:val="center"/>
          </w:tcPr>
          <w:p w14:paraId="7FE29015">
            <w:pPr>
              <w:keepNext w:val="0"/>
              <w:keepLines w:val="0"/>
              <w:pageBreakBefore w:val="0"/>
              <w:widowControl/>
              <w:kinsoku/>
              <w:wordWrap/>
              <w:overflowPunct/>
              <w:topLinePunct w:val="0"/>
              <w:autoSpaceDE/>
              <w:autoSpaceDN/>
              <w:bidi w:val="0"/>
              <w:adjustRightInd/>
              <w:snapToGrid/>
              <w:ind w:left="0" w:right="0"/>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0.00275</w:t>
            </w:r>
          </w:p>
        </w:tc>
        <w:tc>
          <w:tcPr>
            <w:tcW w:w="2025" w:type="dxa"/>
            <w:tcBorders>
              <w:tl2br w:val="nil"/>
              <w:tr2bl w:val="nil"/>
            </w:tcBorders>
            <w:vAlign w:val="center"/>
          </w:tcPr>
          <w:p w14:paraId="2F14FE9F">
            <w:pPr>
              <w:keepNext w:val="0"/>
              <w:keepLines w:val="0"/>
              <w:pageBreakBefore w:val="0"/>
              <w:widowControl/>
              <w:kinsoku/>
              <w:wordWrap/>
              <w:overflowPunct/>
              <w:topLinePunct w:val="0"/>
              <w:autoSpaceDE/>
              <w:autoSpaceDN/>
              <w:bidi w:val="0"/>
              <w:adjustRightInd/>
              <w:snapToGrid/>
              <w:ind w:left="0" w:right="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0.0248</w:t>
            </w:r>
          </w:p>
        </w:tc>
        <w:tc>
          <w:tcPr>
            <w:tcW w:w="2025" w:type="dxa"/>
            <w:tcBorders>
              <w:tl2br w:val="nil"/>
              <w:tr2bl w:val="nil"/>
            </w:tcBorders>
            <w:vAlign w:val="center"/>
          </w:tcPr>
          <w:p w14:paraId="4455868B">
            <w:pPr>
              <w:keepNext w:val="0"/>
              <w:keepLines w:val="0"/>
              <w:pageBreakBefore w:val="0"/>
              <w:widowControl/>
              <w:kinsoku/>
              <w:wordWrap/>
              <w:overflowPunct/>
              <w:topLinePunct w:val="0"/>
              <w:autoSpaceDE/>
              <w:autoSpaceDN/>
              <w:bidi w:val="0"/>
              <w:adjustRightInd/>
              <w:snapToGrid/>
              <w:ind w:left="0" w:right="0"/>
              <w:jc w:val="center"/>
              <w:textAlignment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0.04955</w:t>
            </w:r>
          </w:p>
        </w:tc>
        <w:tc>
          <w:tcPr>
            <w:tcW w:w="2025" w:type="dxa"/>
            <w:tcBorders>
              <w:tl2br w:val="nil"/>
              <w:tr2bl w:val="nil"/>
            </w:tcBorders>
            <w:vAlign w:val="center"/>
          </w:tcPr>
          <w:p w14:paraId="16634996">
            <w:pPr>
              <w:keepNext w:val="0"/>
              <w:keepLines w:val="0"/>
              <w:pageBreakBefore w:val="0"/>
              <w:widowControl/>
              <w:kinsoku/>
              <w:wordWrap/>
              <w:overflowPunct/>
              <w:topLinePunct w:val="0"/>
              <w:autoSpaceDE/>
              <w:autoSpaceDN/>
              <w:bidi w:val="0"/>
              <w:adjustRightInd/>
              <w:snapToGrid/>
              <w:ind w:left="0" w:right="0"/>
              <w:jc w:val="center"/>
              <w:textAlignment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+0.02205</w:t>
            </w:r>
          </w:p>
        </w:tc>
      </w:tr>
      <w:tr w14:paraId="46F0573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12" w:type="dxa"/>
            <w:vMerge w:val="continue"/>
            <w:tcBorders>
              <w:tl2br w:val="nil"/>
              <w:tr2bl w:val="nil"/>
            </w:tcBorders>
            <w:vAlign w:val="center"/>
          </w:tcPr>
          <w:p w14:paraId="31B50373">
            <w:pPr>
              <w:keepNext w:val="0"/>
              <w:keepLines w:val="0"/>
              <w:pageBreakBefore w:val="0"/>
              <w:widowControl/>
              <w:kinsoku/>
              <w:wordWrap/>
              <w:overflowPunct/>
              <w:topLinePunct w:val="0"/>
              <w:autoSpaceDE/>
              <w:autoSpaceDN/>
              <w:bidi w:val="0"/>
              <w:adjustRightInd/>
              <w:snapToGrid/>
              <w:ind w:left="0" w:right="0"/>
              <w:jc w:val="center"/>
              <w:rPr>
                <w:rFonts w:ascii="Times New Roman" w:hAnsi="Times New Roman" w:cs="Times New Roman"/>
                <w:color w:val="auto"/>
                <w:sz w:val="21"/>
                <w:szCs w:val="21"/>
                <w:highlight w:val="none"/>
              </w:rPr>
            </w:pPr>
          </w:p>
        </w:tc>
        <w:tc>
          <w:tcPr>
            <w:tcW w:w="1012" w:type="dxa"/>
            <w:vMerge w:val="continue"/>
            <w:tcBorders>
              <w:tl2br w:val="nil"/>
              <w:tr2bl w:val="nil"/>
            </w:tcBorders>
            <w:vAlign w:val="center"/>
          </w:tcPr>
          <w:p w14:paraId="069004B8">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cs="Times New Roman"/>
                <w:color w:val="auto"/>
                <w:sz w:val="21"/>
                <w:szCs w:val="21"/>
                <w:highlight w:val="none"/>
              </w:rPr>
            </w:pPr>
          </w:p>
        </w:tc>
        <w:tc>
          <w:tcPr>
            <w:tcW w:w="2025" w:type="dxa"/>
            <w:tcBorders>
              <w:tl2br w:val="nil"/>
              <w:tr2bl w:val="nil"/>
            </w:tcBorders>
            <w:vAlign w:val="center"/>
          </w:tcPr>
          <w:p w14:paraId="05D8EAEE">
            <w:pPr>
              <w:keepNext w:val="0"/>
              <w:keepLines w:val="0"/>
              <w:pageBreakBefore w:val="0"/>
              <w:widowControl/>
              <w:kinsoku/>
              <w:wordWrap/>
              <w:overflowPunct/>
              <w:topLinePunct w:val="0"/>
              <w:autoSpaceDE/>
              <w:autoSpaceDN/>
              <w:bidi w:val="0"/>
              <w:adjustRightInd/>
              <w:snapToGrid/>
              <w:ind w:left="0" w:leftChars="0" w:right="0" w:rightChars="0"/>
              <w:jc w:val="center"/>
              <w:textAlignment w:val="auto"/>
              <w:rPr>
                <w:rFonts w:hint="eastAsia" w:cs="Times New Roman"/>
                <w:color w:val="auto"/>
                <w:sz w:val="21"/>
                <w:szCs w:val="15"/>
                <w:highlight w:val="none"/>
              </w:rPr>
            </w:pPr>
            <w:r>
              <w:rPr>
                <w:rFonts w:hint="eastAsia" w:ascii="Times New Roman" w:hAnsi="Times New Roman" w:cs="Times New Roman"/>
                <w:color w:val="auto"/>
                <w:sz w:val="21"/>
                <w:szCs w:val="21"/>
                <w:highlight w:val="none"/>
                <w:lang w:val="en-US" w:eastAsia="zh-CN"/>
              </w:rPr>
              <w:t>氮氧化物</w:t>
            </w:r>
          </w:p>
        </w:tc>
        <w:tc>
          <w:tcPr>
            <w:tcW w:w="2025" w:type="dxa"/>
            <w:tcBorders>
              <w:tl2br w:val="nil"/>
              <w:tr2bl w:val="nil"/>
            </w:tcBorders>
            <w:vAlign w:val="center"/>
          </w:tcPr>
          <w:p w14:paraId="2F74B450">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Times New Roman"/>
                <w:color w:val="auto"/>
                <w:sz w:val="21"/>
                <w:szCs w:val="15"/>
                <w:highlight w:val="none"/>
                <w:lang w:val="en-US" w:eastAsia="zh-CN"/>
              </w:rPr>
            </w:pPr>
            <w:r>
              <w:rPr>
                <w:rFonts w:hint="eastAsia" w:ascii="Times New Roman" w:hAnsi="Times New Roman" w:cs="Times New Roman"/>
                <w:color w:val="auto"/>
                <w:sz w:val="21"/>
                <w:szCs w:val="15"/>
                <w:highlight w:val="none"/>
                <w:lang w:val="en-US" w:eastAsia="zh-CN"/>
              </w:rPr>
              <w:t>0</w:t>
            </w:r>
          </w:p>
        </w:tc>
        <w:tc>
          <w:tcPr>
            <w:tcW w:w="2025" w:type="dxa"/>
            <w:tcBorders>
              <w:tl2br w:val="nil"/>
              <w:tr2bl w:val="nil"/>
            </w:tcBorders>
            <w:vAlign w:val="center"/>
          </w:tcPr>
          <w:p w14:paraId="487F774E">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Times New Roman"/>
                <w:color w:val="auto"/>
                <w:sz w:val="21"/>
                <w:szCs w:val="21"/>
                <w:highlight w:val="none"/>
                <w:lang w:val="en-US" w:eastAsia="zh-CN" w:bidi="ar"/>
              </w:rPr>
            </w:pPr>
            <w:r>
              <w:rPr>
                <w:rFonts w:hint="eastAsia" w:ascii="Times New Roman" w:hAnsi="Times New Roman" w:cs="Times New Roman"/>
                <w:color w:val="auto"/>
                <w:sz w:val="21"/>
                <w:szCs w:val="21"/>
                <w:highlight w:val="none"/>
                <w:lang w:val="en-US" w:eastAsia="zh-CN" w:bidi="ar"/>
              </w:rPr>
              <w:t>0</w:t>
            </w:r>
          </w:p>
        </w:tc>
        <w:tc>
          <w:tcPr>
            <w:tcW w:w="2025" w:type="dxa"/>
            <w:tcBorders>
              <w:tl2br w:val="nil"/>
              <w:tr2bl w:val="nil"/>
            </w:tcBorders>
            <w:vAlign w:val="center"/>
          </w:tcPr>
          <w:p w14:paraId="2A9DC78F">
            <w:pPr>
              <w:keepNext w:val="0"/>
              <w:keepLines w:val="0"/>
              <w:pageBreakBefore w:val="0"/>
              <w:widowControl/>
              <w:kinsoku/>
              <w:wordWrap/>
              <w:overflowPunct/>
              <w:topLinePunct w:val="0"/>
              <w:autoSpaceDE/>
              <w:autoSpaceDN/>
              <w:bidi w:val="0"/>
              <w:adjustRightInd/>
              <w:snapToGrid/>
              <w:ind w:left="0" w:right="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0.00003</w:t>
            </w:r>
          </w:p>
        </w:tc>
        <w:tc>
          <w:tcPr>
            <w:tcW w:w="2025" w:type="dxa"/>
            <w:tcBorders>
              <w:tl2br w:val="nil"/>
              <w:tr2bl w:val="nil"/>
            </w:tcBorders>
            <w:vAlign w:val="center"/>
          </w:tcPr>
          <w:p w14:paraId="4FC390CA">
            <w:pPr>
              <w:keepNext w:val="0"/>
              <w:keepLines w:val="0"/>
              <w:pageBreakBefore w:val="0"/>
              <w:widowControl/>
              <w:kinsoku/>
              <w:wordWrap/>
              <w:overflowPunct/>
              <w:topLinePunct w:val="0"/>
              <w:autoSpaceDE/>
              <w:autoSpaceDN/>
              <w:bidi w:val="0"/>
              <w:adjustRightInd/>
              <w:snapToGrid/>
              <w:ind w:left="0" w:right="0"/>
              <w:jc w:val="center"/>
              <w:textAlignment w:val="center"/>
              <w:rPr>
                <w:rFonts w:hint="default" w:ascii="Times New Roman" w:hAnsi="Times New Roman" w:eastAsia="等线" w:cs="Times New Roman"/>
                <w:color w:val="auto"/>
                <w:sz w:val="21"/>
                <w:szCs w:val="21"/>
                <w:highlight w:val="none"/>
                <w:lang w:val="en-US" w:eastAsia="zh-CN" w:bidi="ar"/>
              </w:rPr>
            </w:pPr>
            <w:r>
              <w:rPr>
                <w:rFonts w:hint="eastAsia" w:ascii="Times New Roman" w:hAnsi="Times New Roman" w:eastAsia="等线" w:cs="Times New Roman"/>
                <w:color w:val="auto"/>
                <w:sz w:val="21"/>
                <w:szCs w:val="21"/>
                <w:highlight w:val="none"/>
                <w:lang w:val="en-US" w:eastAsia="zh-CN" w:bidi="ar"/>
              </w:rPr>
              <w:t>0.00003</w:t>
            </w:r>
          </w:p>
        </w:tc>
        <w:tc>
          <w:tcPr>
            <w:tcW w:w="2025" w:type="dxa"/>
            <w:tcBorders>
              <w:tl2br w:val="nil"/>
              <w:tr2bl w:val="nil"/>
            </w:tcBorders>
            <w:vAlign w:val="center"/>
          </w:tcPr>
          <w:p w14:paraId="3ED5CBE8">
            <w:pPr>
              <w:keepNext w:val="0"/>
              <w:keepLines w:val="0"/>
              <w:pageBreakBefore w:val="0"/>
              <w:widowControl/>
              <w:kinsoku/>
              <w:wordWrap/>
              <w:overflowPunct/>
              <w:topLinePunct w:val="0"/>
              <w:autoSpaceDE/>
              <w:autoSpaceDN/>
              <w:bidi w:val="0"/>
              <w:adjustRightInd/>
              <w:snapToGrid/>
              <w:ind w:left="0" w:right="0"/>
              <w:jc w:val="center"/>
              <w:textAlignment w:val="center"/>
              <w:rPr>
                <w:rFonts w:hint="default" w:ascii="Times New Roman" w:hAnsi="Times New Roman" w:eastAsia="等线" w:cs="Times New Roman"/>
                <w:color w:val="auto"/>
                <w:sz w:val="21"/>
                <w:szCs w:val="21"/>
                <w:highlight w:val="none"/>
                <w:lang w:val="en-US" w:eastAsia="zh-CN" w:bidi="ar"/>
              </w:rPr>
            </w:pPr>
            <w:r>
              <w:rPr>
                <w:rFonts w:hint="eastAsia" w:ascii="Times New Roman" w:hAnsi="Times New Roman" w:eastAsia="等线" w:cs="Times New Roman"/>
                <w:color w:val="auto"/>
                <w:sz w:val="21"/>
                <w:szCs w:val="21"/>
                <w:highlight w:val="none"/>
                <w:lang w:val="en-US" w:eastAsia="zh-CN" w:bidi="ar"/>
              </w:rPr>
              <w:t>+0.00003</w:t>
            </w:r>
          </w:p>
        </w:tc>
      </w:tr>
      <w:tr w14:paraId="6C9FE24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12" w:type="dxa"/>
            <w:vMerge w:val="continue"/>
            <w:tcBorders>
              <w:tl2br w:val="nil"/>
              <w:tr2bl w:val="nil"/>
            </w:tcBorders>
            <w:vAlign w:val="center"/>
          </w:tcPr>
          <w:p w14:paraId="2E4F537C">
            <w:pPr>
              <w:keepNext w:val="0"/>
              <w:keepLines w:val="0"/>
              <w:pageBreakBefore w:val="0"/>
              <w:widowControl/>
              <w:kinsoku/>
              <w:wordWrap/>
              <w:overflowPunct/>
              <w:topLinePunct w:val="0"/>
              <w:autoSpaceDE/>
              <w:autoSpaceDN/>
              <w:bidi w:val="0"/>
              <w:adjustRightInd/>
              <w:snapToGrid/>
              <w:ind w:left="0" w:right="0"/>
              <w:jc w:val="center"/>
              <w:rPr>
                <w:rFonts w:ascii="Times New Roman" w:hAnsi="Times New Roman" w:cs="Times New Roman"/>
                <w:color w:val="auto"/>
                <w:sz w:val="21"/>
                <w:szCs w:val="21"/>
                <w:highlight w:val="none"/>
              </w:rPr>
            </w:pPr>
          </w:p>
        </w:tc>
        <w:tc>
          <w:tcPr>
            <w:tcW w:w="1012" w:type="dxa"/>
            <w:vMerge w:val="continue"/>
            <w:tcBorders>
              <w:tl2br w:val="nil"/>
              <w:tr2bl w:val="nil"/>
            </w:tcBorders>
            <w:vAlign w:val="center"/>
          </w:tcPr>
          <w:p w14:paraId="5FA916C4">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cs="Times New Roman"/>
                <w:color w:val="auto"/>
                <w:sz w:val="21"/>
                <w:szCs w:val="21"/>
                <w:highlight w:val="none"/>
              </w:rPr>
            </w:pPr>
          </w:p>
        </w:tc>
        <w:tc>
          <w:tcPr>
            <w:tcW w:w="2025" w:type="dxa"/>
            <w:tcBorders>
              <w:tl2br w:val="nil"/>
              <w:tr2bl w:val="nil"/>
            </w:tcBorders>
            <w:vAlign w:val="center"/>
          </w:tcPr>
          <w:p w14:paraId="49ABF9C8">
            <w:pPr>
              <w:keepNext w:val="0"/>
              <w:keepLines w:val="0"/>
              <w:pageBreakBefore w:val="0"/>
              <w:widowControl/>
              <w:kinsoku/>
              <w:wordWrap/>
              <w:overflowPunct/>
              <w:topLinePunct w:val="0"/>
              <w:autoSpaceDE/>
              <w:autoSpaceDN/>
              <w:bidi w:val="0"/>
              <w:adjustRightInd/>
              <w:snapToGrid/>
              <w:ind w:left="0" w:leftChars="0" w:right="0" w:rightChars="0"/>
              <w:jc w:val="center"/>
              <w:textAlignment w:val="auto"/>
              <w:rPr>
                <w:rFonts w:hint="eastAsia" w:cs="Times New Roman"/>
                <w:color w:val="auto"/>
                <w:sz w:val="21"/>
                <w:szCs w:val="15"/>
                <w:highlight w:val="none"/>
              </w:rPr>
            </w:pPr>
            <w:r>
              <w:rPr>
                <w:rFonts w:hint="eastAsia" w:ascii="Times New Roman" w:hAnsi="Times New Roman"/>
                <w:color w:val="auto"/>
                <w:sz w:val="21"/>
                <w:szCs w:val="21"/>
                <w:highlight w:val="none"/>
              </w:rPr>
              <w:t>甲醇</w:t>
            </w:r>
          </w:p>
        </w:tc>
        <w:tc>
          <w:tcPr>
            <w:tcW w:w="2025" w:type="dxa"/>
            <w:tcBorders>
              <w:tl2br w:val="nil"/>
              <w:tr2bl w:val="nil"/>
            </w:tcBorders>
            <w:vAlign w:val="center"/>
          </w:tcPr>
          <w:p w14:paraId="44A554A2">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Times New Roman"/>
                <w:color w:val="auto"/>
                <w:sz w:val="21"/>
                <w:szCs w:val="15"/>
                <w:highlight w:val="none"/>
                <w:lang w:val="en-US" w:eastAsia="zh-CN"/>
              </w:rPr>
            </w:pPr>
            <w:r>
              <w:rPr>
                <w:rFonts w:hint="eastAsia" w:ascii="Times New Roman" w:hAnsi="Times New Roman" w:cs="Times New Roman"/>
                <w:color w:val="auto"/>
                <w:sz w:val="21"/>
                <w:szCs w:val="15"/>
                <w:highlight w:val="none"/>
                <w:lang w:val="en-US" w:eastAsia="zh-CN"/>
              </w:rPr>
              <w:t>0</w:t>
            </w:r>
          </w:p>
        </w:tc>
        <w:tc>
          <w:tcPr>
            <w:tcW w:w="2025" w:type="dxa"/>
            <w:tcBorders>
              <w:tl2br w:val="nil"/>
              <w:tr2bl w:val="nil"/>
            </w:tcBorders>
            <w:vAlign w:val="center"/>
          </w:tcPr>
          <w:p w14:paraId="1D24DBB7">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Times New Roman"/>
                <w:color w:val="auto"/>
                <w:sz w:val="21"/>
                <w:szCs w:val="21"/>
                <w:highlight w:val="none"/>
                <w:lang w:val="en-US" w:eastAsia="zh-CN" w:bidi="ar"/>
              </w:rPr>
            </w:pPr>
            <w:r>
              <w:rPr>
                <w:rFonts w:hint="eastAsia" w:ascii="Times New Roman" w:hAnsi="Times New Roman" w:cs="Times New Roman"/>
                <w:color w:val="auto"/>
                <w:sz w:val="21"/>
                <w:szCs w:val="21"/>
                <w:highlight w:val="none"/>
                <w:lang w:val="en-US" w:eastAsia="zh-CN" w:bidi="ar"/>
              </w:rPr>
              <w:t>0</w:t>
            </w:r>
          </w:p>
        </w:tc>
        <w:tc>
          <w:tcPr>
            <w:tcW w:w="2025" w:type="dxa"/>
            <w:tcBorders>
              <w:tl2br w:val="nil"/>
              <w:tr2bl w:val="nil"/>
            </w:tcBorders>
            <w:vAlign w:val="center"/>
          </w:tcPr>
          <w:p w14:paraId="41400D51">
            <w:pPr>
              <w:keepNext w:val="0"/>
              <w:keepLines w:val="0"/>
              <w:pageBreakBefore w:val="0"/>
              <w:widowControl/>
              <w:kinsoku/>
              <w:wordWrap/>
              <w:overflowPunct/>
              <w:topLinePunct w:val="0"/>
              <w:autoSpaceDE/>
              <w:autoSpaceDN/>
              <w:bidi w:val="0"/>
              <w:adjustRightInd/>
              <w:snapToGrid/>
              <w:ind w:left="0" w:right="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0.0008</w:t>
            </w:r>
          </w:p>
        </w:tc>
        <w:tc>
          <w:tcPr>
            <w:tcW w:w="2025" w:type="dxa"/>
            <w:tcBorders>
              <w:tl2br w:val="nil"/>
              <w:tr2bl w:val="nil"/>
            </w:tcBorders>
            <w:vAlign w:val="center"/>
          </w:tcPr>
          <w:p w14:paraId="59A9E9F6">
            <w:pPr>
              <w:keepNext w:val="0"/>
              <w:keepLines w:val="0"/>
              <w:pageBreakBefore w:val="0"/>
              <w:widowControl/>
              <w:kinsoku/>
              <w:wordWrap/>
              <w:overflowPunct/>
              <w:topLinePunct w:val="0"/>
              <w:autoSpaceDE/>
              <w:autoSpaceDN/>
              <w:bidi w:val="0"/>
              <w:adjustRightInd/>
              <w:snapToGrid/>
              <w:ind w:left="0" w:right="0"/>
              <w:jc w:val="center"/>
              <w:textAlignment w:val="center"/>
              <w:rPr>
                <w:rFonts w:hint="default" w:ascii="Times New Roman" w:hAnsi="Times New Roman" w:eastAsia="等线" w:cs="Times New Roman"/>
                <w:color w:val="auto"/>
                <w:sz w:val="21"/>
                <w:szCs w:val="21"/>
                <w:highlight w:val="none"/>
                <w:lang w:val="en-US" w:eastAsia="zh-CN" w:bidi="ar"/>
              </w:rPr>
            </w:pPr>
            <w:r>
              <w:rPr>
                <w:rFonts w:hint="eastAsia" w:ascii="Times New Roman" w:hAnsi="Times New Roman" w:eastAsia="等线" w:cs="Times New Roman"/>
                <w:color w:val="auto"/>
                <w:sz w:val="21"/>
                <w:szCs w:val="21"/>
                <w:highlight w:val="none"/>
                <w:lang w:val="en-US" w:eastAsia="zh-CN" w:bidi="ar"/>
              </w:rPr>
              <w:t>0.0008</w:t>
            </w:r>
          </w:p>
        </w:tc>
        <w:tc>
          <w:tcPr>
            <w:tcW w:w="2025" w:type="dxa"/>
            <w:tcBorders>
              <w:tl2br w:val="nil"/>
              <w:tr2bl w:val="nil"/>
            </w:tcBorders>
            <w:vAlign w:val="center"/>
          </w:tcPr>
          <w:p w14:paraId="4FDDCD14">
            <w:pPr>
              <w:keepNext w:val="0"/>
              <w:keepLines w:val="0"/>
              <w:pageBreakBefore w:val="0"/>
              <w:widowControl/>
              <w:kinsoku/>
              <w:wordWrap/>
              <w:overflowPunct/>
              <w:topLinePunct w:val="0"/>
              <w:autoSpaceDE/>
              <w:autoSpaceDN/>
              <w:bidi w:val="0"/>
              <w:adjustRightInd/>
              <w:snapToGrid/>
              <w:ind w:left="0" w:right="0"/>
              <w:jc w:val="center"/>
              <w:textAlignment w:val="center"/>
              <w:rPr>
                <w:rFonts w:hint="default" w:ascii="Times New Roman" w:hAnsi="Times New Roman" w:eastAsia="等线" w:cs="Times New Roman"/>
                <w:color w:val="auto"/>
                <w:sz w:val="21"/>
                <w:szCs w:val="21"/>
                <w:highlight w:val="none"/>
                <w:lang w:val="en-US" w:eastAsia="zh-CN" w:bidi="ar"/>
              </w:rPr>
            </w:pPr>
            <w:r>
              <w:rPr>
                <w:rFonts w:hint="eastAsia" w:ascii="Times New Roman" w:hAnsi="Times New Roman" w:eastAsia="等线" w:cs="Times New Roman"/>
                <w:color w:val="auto"/>
                <w:sz w:val="21"/>
                <w:szCs w:val="21"/>
                <w:highlight w:val="none"/>
                <w:lang w:val="en-US" w:eastAsia="zh-CN" w:bidi="ar"/>
              </w:rPr>
              <w:t>+0.0008</w:t>
            </w:r>
          </w:p>
        </w:tc>
      </w:tr>
      <w:tr w14:paraId="5D2761C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024" w:type="dxa"/>
            <w:gridSpan w:val="2"/>
            <w:vMerge w:val="restart"/>
            <w:tcBorders>
              <w:tl2br w:val="nil"/>
              <w:tr2bl w:val="nil"/>
            </w:tcBorders>
            <w:vAlign w:val="center"/>
          </w:tcPr>
          <w:p w14:paraId="2689AC51">
            <w:pPr>
              <w:keepNext w:val="0"/>
              <w:keepLines w:val="0"/>
              <w:pageBreakBefore w:val="0"/>
              <w:widowControl/>
              <w:kinsoku/>
              <w:wordWrap/>
              <w:overflowPunct/>
              <w:topLinePunct w:val="0"/>
              <w:autoSpaceDE/>
              <w:autoSpaceDN/>
              <w:bidi w:val="0"/>
              <w:adjustRightInd/>
              <w:snapToGrid/>
              <w:ind w:left="0" w:right="0"/>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废水</w:t>
            </w:r>
          </w:p>
        </w:tc>
        <w:tc>
          <w:tcPr>
            <w:tcW w:w="2025" w:type="dxa"/>
            <w:tcBorders>
              <w:tl2br w:val="nil"/>
              <w:tr2bl w:val="nil"/>
            </w:tcBorders>
            <w:vAlign w:val="center"/>
          </w:tcPr>
          <w:p w14:paraId="2D1ACB7C">
            <w:pPr>
              <w:keepNext w:val="0"/>
              <w:keepLines w:val="0"/>
              <w:pageBreakBefore w:val="0"/>
              <w:widowControl/>
              <w:kinsoku/>
              <w:wordWrap/>
              <w:overflowPunct/>
              <w:topLinePunct w:val="0"/>
              <w:autoSpaceDE/>
              <w:autoSpaceDN/>
              <w:bidi w:val="0"/>
              <w:adjustRightInd/>
              <w:snapToGrid/>
              <w:ind w:left="0" w:right="0"/>
              <w:jc w:val="center"/>
              <w:rPr>
                <w:rFonts w:ascii="Times New Roman" w:hAnsi="Times New Roman" w:cs="Times New Roman"/>
                <w:color w:val="auto"/>
                <w:sz w:val="21"/>
                <w:szCs w:val="21"/>
                <w:highlight w:val="none"/>
              </w:rPr>
            </w:pPr>
            <w:r>
              <w:rPr>
                <w:rFonts w:hint="eastAsia" w:cs="Times New Roman"/>
                <w:color w:val="auto"/>
                <w:sz w:val="21"/>
                <w:szCs w:val="15"/>
                <w:highlight w:val="none"/>
              </w:rPr>
              <w:t>水量</w:t>
            </w:r>
          </w:p>
        </w:tc>
        <w:tc>
          <w:tcPr>
            <w:tcW w:w="2025" w:type="dxa"/>
            <w:tcBorders>
              <w:tl2br w:val="nil"/>
              <w:tr2bl w:val="nil"/>
            </w:tcBorders>
            <w:vAlign w:val="center"/>
          </w:tcPr>
          <w:p w14:paraId="08552877">
            <w:pPr>
              <w:keepNext w:val="0"/>
              <w:keepLines w:val="0"/>
              <w:pageBreakBefore w:val="0"/>
              <w:widowControl/>
              <w:kinsoku/>
              <w:wordWrap/>
              <w:overflowPunct/>
              <w:topLinePunct w:val="0"/>
              <w:autoSpaceDE/>
              <w:autoSpaceDN/>
              <w:bidi w:val="0"/>
              <w:adjustRightInd/>
              <w:snapToGrid/>
              <w:ind w:left="0" w:right="0"/>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15"/>
                <w:highlight w:val="none"/>
              </w:rPr>
              <w:t>3800</w:t>
            </w:r>
          </w:p>
        </w:tc>
        <w:tc>
          <w:tcPr>
            <w:tcW w:w="2025" w:type="dxa"/>
            <w:tcBorders>
              <w:tl2br w:val="nil"/>
              <w:tr2bl w:val="nil"/>
            </w:tcBorders>
            <w:vAlign w:val="center"/>
          </w:tcPr>
          <w:p w14:paraId="21742188">
            <w:pPr>
              <w:keepNext w:val="0"/>
              <w:keepLines w:val="0"/>
              <w:pageBreakBefore w:val="0"/>
              <w:widowControl/>
              <w:kinsoku/>
              <w:wordWrap/>
              <w:overflowPunct/>
              <w:topLinePunct w:val="0"/>
              <w:autoSpaceDE/>
              <w:autoSpaceDN/>
              <w:bidi w:val="0"/>
              <w:adjustRightInd/>
              <w:snapToGrid/>
              <w:ind w:left="0" w:right="0"/>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0</w:t>
            </w:r>
          </w:p>
        </w:tc>
        <w:tc>
          <w:tcPr>
            <w:tcW w:w="2025" w:type="dxa"/>
            <w:tcBorders>
              <w:tl2br w:val="nil"/>
              <w:tr2bl w:val="nil"/>
            </w:tcBorders>
            <w:vAlign w:val="center"/>
          </w:tcPr>
          <w:p w14:paraId="79DE473D">
            <w:pPr>
              <w:keepNext w:val="0"/>
              <w:keepLines w:val="0"/>
              <w:pageBreakBefore w:val="0"/>
              <w:widowControl/>
              <w:kinsoku/>
              <w:wordWrap/>
              <w:overflowPunct/>
              <w:topLinePunct w:val="0"/>
              <w:autoSpaceDE/>
              <w:autoSpaceDN/>
              <w:bidi w:val="0"/>
              <w:adjustRightInd/>
              <w:snapToGrid/>
              <w:ind w:left="0" w:right="0"/>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0</w:t>
            </w:r>
          </w:p>
        </w:tc>
        <w:tc>
          <w:tcPr>
            <w:tcW w:w="2025" w:type="dxa"/>
            <w:tcBorders>
              <w:tl2br w:val="nil"/>
              <w:tr2bl w:val="nil"/>
            </w:tcBorders>
            <w:vAlign w:val="center"/>
          </w:tcPr>
          <w:p w14:paraId="24DEC874">
            <w:pPr>
              <w:keepNext w:val="0"/>
              <w:keepLines w:val="0"/>
              <w:pageBreakBefore w:val="0"/>
              <w:widowControl/>
              <w:kinsoku/>
              <w:wordWrap/>
              <w:overflowPunct/>
              <w:topLinePunct w:val="0"/>
              <w:autoSpaceDE/>
              <w:autoSpaceDN/>
              <w:bidi w:val="0"/>
              <w:adjustRightInd/>
              <w:snapToGrid/>
              <w:ind w:left="0" w:right="0"/>
              <w:jc w:val="center"/>
              <w:textAlignment w:val="center"/>
              <w:rPr>
                <w:rFonts w:ascii="Times New Roman" w:hAnsi="Times New Roman" w:cs="Times New Roman"/>
                <w:color w:val="auto"/>
                <w:sz w:val="21"/>
                <w:szCs w:val="21"/>
                <w:highlight w:val="none"/>
              </w:rPr>
            </w:pPr>
            <w:r>
              <w:rPr>
                <w:rFonts w:ascii="Times New Roman" w:hAnsi="Times New Roman" w:eastAsia="等线" w:cs="Times New Roman"/>
                <w:color w:val="auto"/>
                <w:sz w:val="21"/>
                <w:szCs w:val="21"/>
                <w:highlight w:val="none"/>
                <w:lang w:bidi="ar"/>
              </w:rPr>
              <w:t>3800</w:t>
            </w:r>
          </w:p>
        </w:tc>
        <w:tc>
          <w:tcPr>
            <w:tcW w:w="2025" w:type="dxa"/>
            <w:tcBorders>
              <w:tl2br w:val="nil"/>
              <w:tr2bl w:val="nil"/>
            </w:tcBorders>
            <w:vAlign w:val="center"/>
          </w:tcPr>
          <w:p w14:paraId="19412753">
            <w:pPr>
              <w:keepNext w:val="0"/>
              <w:keepLines w:val="0"/>
              <w:pageBreakBefore w:val="0"/>
              <w:widowControl/>
              <w:kinsoku/>
              <w:wordWrap/>
              <w:overflowPunct/>
              <w:topLinePunct w:val="0"/>
              <w:autoSpaceDE/>
              <w:autoSpaceDN/>
              <w:bidi w:val="0"/>
              <w:adjustRightInd/>
              <w:snapToGrid/>
              <w:ind w:left="0" w:right="0"/>
              <w:jc w:val="center"/>
              <w:textAlignment w:val="center"/>
              <w:rPr>
                <w:rFonts w:ascii="Times New Roman" w:hAnsi="Times New Roman" w:cs="Times New Roman"/>
                <w:color w:val="auto"/>
                <w:sz w:val="21"/>
                <w:szCs w:val="21"/>
                <w:highlight w:val="none"/>
              </w:rPr>
            </w:pPr>
            <w:r>
              <w:rPr>
                <w:rFonts w:ascii="Times New Roman" w:hAnsi="Times New Roman" w:eastAsia="等线" w:cs="Times New Roman"/>
                <w:color w:val="auto"/>
                <w:sz w:val="21"/>
                <w:szCs w:val="21"/>
                <w:highlight w:val="none"/>
                <w:lang w:bidi="ar"/>
              </w:rPr>
              <w:t>0</w:t>
            </w:r>
          </w:p>
        </w:tc>
      </w:tr>
      <w:tr w14:paraId="0D4D23C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024" w:type="dxa"/>
            <w:gridSpan w:val="2"/>
            <w:vMerge w:val="continue"/>
            <w:tcBorders>
              <w:tl2br w:val="nil"/>
              <w:tr2bl w:val="nil"/>
            </w:tcBorders>
            <w:vAlign w:val="center"/>
          </w:tcPr>
          <w:p w14:paraId="388549E0">
            <w:pPr>
              <w:keepNext w:val="0"/>
              <w:keepLines w:val="0"/>
              <w:pageBreakBefore w:val="0"/>
              <w:widowControl/>
              <w:kinsoku/>
              <w:wordWrap/>
              <w:overflowPunct/>
              <w:topLinePunct w:val="0"/>
              <w:autoSpaceDE/>
              <w:autoSpaceDN/>
              <w:bidi w:val="0"/>
              <w:adjustRightInd/>
              <w:snapToGrid/>
              <w:ind w:left="0" w:right="0"/>
              <w:jc w:val="center"/>
              <w:rPr>
                <w:rFonts w:ascii="Times New Roman" w:hAnsi="Times New Roman" w:cs="Times New Roman"/>
                <w:color w:val="auto"/>
                <w:sz w:val="21"/>
                <w:szCs w:val="21"/>
                <w:highlight w:val="none"/>
              </w:rPr>
            </w:pPr>
          </w:p>
        </w:tc>
        <w:tc>
          <w:tcPr>
            <w:tcW w:w="2025" w:type="dxa"/>
            <w:tcBorders>
              <w:tl2br w:val="nil"/>
              <w:tr2bl w:val="nil"/>
            </w:tcBorders>
            <w:vAlign w:val="center"/>
          </w:tcPr>
          <w:p w14:paraId="4CEF6D8C">
            <w:pPr>
              <w:keepNext w:val="0"/>
              <w:keepLines w:val="0"/>
              <w:pageBreakBefore w:val="0"/>
              <w:widowControl/>
              <w:kinsoku/>
              <w:wordWrap/>
              <w:overflowPunct/>
              <w:topLinePunct w:val="0"/>
              <w:autoSpaceDE/>
              <w:autoSpaceDN/>
              <w:bidi w:val="0"/>
              <w:adjustRightInd/>
              <w:snapToGrid/>
              <w:ind w:left="0" w:right="0"/>
              <w:jc w:val="center"/>
              <w:rPr>
                <w:rFonts w:ascii="Times New Roman" w:hAnsi="Times New Roman" w:cs="Times New Roman"/>
                <w:color w:val="auto"/>
                <w:sz w:val="21"/>
                <w:szCs w:val="21"/>
                <w:highlight w:val="none"/>
              </w:rPr>
            </w:pPr>
            <w:r>
              <w:rPr>
                <w:rFonts w:ascii="Times New Roman" w:hAnsi="Times New Roman" w:cs="Times New Roman"/>
                <w:color w:val="auto"/>
                <w:sz w:val="21"/>
                <w:szCs w:val="15"/>
                <w:highlight w:val="none"/>
              </w:rPr>
              <w:t>COD</w:t>
            </w:r>
          </w:p>
        </w:tc>
        <w:tc>
          <w:tcPr>
            <w:tcW w:w="2025" w:type="dxa"/>
            <w:tcBorders>
              <w:tl2br w:val="nil"/>
              <w:tr2bl w:val="nil"/>
            </w:tcBorders>
            <w:vAlign w:val="center"/>
          </w:tcPr>
          <w:p w14:paraId="71842F81">
            <w:pPr>
              <w:keepNext w:val="0"/>
              <w:keepLines w:val="0"/>
              <w:pageBreakBefore w:val="0"/>
              <w:widowControl/>
              <w:kinsoku/>
              <w:wordWrap/>
              <w:overflowPunct/>
              <w:topLinePunct w:val="0"/>
              <w:autoSpaceDE/>
              <w:autoSpaceDN/>
              <w:bidi w:val="0"/>
              <w:adjustRightInd/>
              <w:snapToGrid/>
              <w:ind w:left="0" w:right="0"/>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15"/>
                <w:highlight w:val="none"/>
              </w:rPr>
              <w:t>0.5</w:t>
            </w:r>
          </w:p>
        </w:tc>
        <w:tc>
          <w:tcPr>
            <w:tcW w:w="2025" w:type="dxa"/>
            <w:tcBorders>
              <w:tl2br w:val="nil"/>
              <w:tr2bl w:val="nil"/>
            </w:tcBorders>
            <w:vAlign w:val="center"/>
          </w:tcPr>
          <w:p w14:paraId="62C68972">
            <w:pPr>
              <w:keepNext w:val="0"/>
              <w:keepLines w:val="0"/>
              <w:pageBreakBefore w:val="0"/>
              <w:widowControl/>
              <w:kinsoku/>
              <w:wordWrap/>
              <w:overflowPunct/>
              <w:topLinePunct w:val="0"/>
              <w:autoSpaceDE/>
              <w:autoSpaceDN/>
              <w:bidi w:val="0"/>
              <w:adjustRightInd/>
              <w:snapToGrid/>
              <w:ind w:left="0" w:right="0"/>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0</w:t>
            </w:r>
          </w:p>
        </w:tc>
        <w:tc>
          <w:tcPr>
            <w:tcW w:w="2025" w:type="dxa"/>
            <w:tcBorders>
              <w:tl2br w:val="nil"/>
              <w:tr2bl w:val="nil"/>
            </w:tcBorders>
            <w:vAlign w:val="center"/>
          </w:tcPr>
          <w:p w14:paraId="7B180114">
            <w:pPr>
              <w:keepNext w:val="0"/>
              <w:keepLines w:val="0"/>
              <w:pageBreakBefore w:val="0"/>
              <w:widowControl/>
              <w:kinsoku/>
              <w:wordWrap/>
              <w:overflowPunct/>
              <w:topLinePunct w:val="0"/>
              <w:autoSpaceDE/>
              <w:autoSpaceDN/>
              <w:bidi w:val="0"/>
              <w:adjustRightInd/>
              <w:snapToGrid/>
              <w:ind w:left="0" w:right="0"/>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0</w:t>
            </w:r>
          </w:p>
        </w:tc>
        <w:tc>
          <w:tcPr>
            <w:tcW w:w="2025" w:type="dxa"/>
            <w:tcBorders>
              <w:tl2br w:val="nil"/>
              <w:tr2bl w:val="nil"/>
            </w:tcBorders>
            <w:vAlign w:val="center"/>
          </w:tcPr>
          <w:p w14:paraId="72402759">
            <w:pPr>
              <w:keepNext w:val="0"/>
              <w:keepLines w:val="0"/>
              <w:pageBreakBefore w:val="0"/>
              <w:widowControl/>
              <w:kinsoku/>
              <w:wordWrap/>
              <w:overflowPunct/>
              <w:topLinePunct w:val="0"/>
              <w:autoSpaceDE/>
              <w:autoSpaceDN/>
              <w:bidi w:val="0"/>
              <w:adjustRightInd/>
              <w:snapToGrid/>
              <w:ind w:left="0" w:right="0"/>
              <w:jc w:val="center"/>
              <w:textAlignment w:val="center"/>
              <w:rPr>
                <w:rFonts w:ascii="Times New Roman" w:hAnsi="Times New Roman" w:cs="Times New Roman"/>
                <w:color w:val="auto"/>
                <w:sz w:val="21"/>
                <w:szCs w:val="21"/>
                <w:highlight w:val="none"/>
              </w:rPr>
            </w:pPr>
            <w:r>
              <w:rPr>
                <w:rFonts w:ascii="Times New Roman" w:hAnsi="Times New Roman" w:eastAsia="等线" w:cs="Times New Roman"/>
                <w:color w:val="auto"/>
                <w:sz w:val="21"/>
                <w:szCs w:val="21"/>
                <w:highlight w:val="none"/>
                <w:lang w:bidi="ar"/>
              </w:rPr>
              <w:t>0.5</w:t>
            </w:r>
          </w:p>
        </w:tc>
        <w:tc>
          <w:tcPr>
            <w:tcW w:w="2025" w:type="dxa"/>
            <w:tcBorders>
              <w:tl2br w:val="nil"/>
              <w:tr2bl w:val="nil"/>
            </w:tcBorders>
            <w:vAlign w:val="center"/>
          </w:tcPr>
          <w:p w14:paraId="47A6ACF4">
            <w:pPr>
              <w:keepNext w:val="0"/>
              <w:keepLines w:val="0"/>
              <w:pageBreakBefore w:val="0"/>
              <w:widowControl/>
              <w:kinsoku/>
              <w:wordWrap/>
              <w:overflowPunct/>
              <w:topLinePunct w:val="0"/>
              <w:autoSpaceDE/>
              <w:autoSpaceDN/>
              <w:bidi w:val="0"/>
              <w:adjustRightInd/>
              <w:snapToGrid/>
              <w:ind w:left="0" w:right="0"/>
              <w:jc w:val="center"/>
              <w:textAlignment w:val="center"/>
              <w:rPr>
                <w:rFonts w:ascii="Times New Roman" w:hAnsi="Times New Roman" w:cs="Times New Roman"/>
                <w:color w:val="auto"/>
                <w:sz w:val="21"/>
                <w:szCs w:val="21"/>
                <w:highlight w:val="none"/>
              </w:rPr>
            </w:pPr>
            <w:r>
              <w:rPr>
                <w:rFonts w:ascii="Times New Roman" w:hAnsi="Times New Roman" w:eastAsia="等线" w:cs="Times New Roman"/>
                <w:color w:val="auto"/>
                <w:sz w:val="21"/>
                <w:szCs w:val="21"/>
                <w:highlight w:val="none"/>
                <w:lang w:bidi="ar"/>
              </w:rPr>
              <w:t>0</w:t>
            </w:r>
          </w:p>
        </w:tc>
      </w:tr>
      <w:tr w14:paraId="2B802C8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024" w:type="dxa"/>
            <w:gridSpan w:val="2"/>
            <w:vMerge w:val="continue"/>
            <w:tcBorders>
              <w:tl2br w:val="nil"/>
              <w:tr2bl w:val="nil"/>
            </w:tcBorders>
            <w:vAlign w:val="center"/>
          </w:tcPr>
          <w:p w14:paraId="2DBCBE42">
            <w:pPr>
              <w:keepNext w:val="0"/>
              <w:keepLines w:val="0"/>
              <w:pageBreakBefore w:val="0"/>
              <w:widowControl/>
              <w:kinsoku/>
              <w:wordWrap/>
              <w:overflowPunct/>
              <w:topLinePunct w:val="0"/>
              <w:autoSpaceDE/>
              <w:autoSpaceDN/>
              <w:bidi w:val="0"/>
              <w:adjustRightInd/>
              <w:snapToGrid/>
              <w:ind w:left="0" w:right="0"/>
              <w:jc w:val="center"/>
              <w:rPr>
                <w:rFonts w:ascii="Times New Roman" w:hAnsi="Times New Roman" w:cs="Times New Roman"/>
                <w:color w:val="auto"/>
                <w:sz w:val="21"/>
                <w:szCs w:val="21"/>
                <w:highlight w:val="none"/>
              </w:rPr>
            </w:pPr>
          </w:p>
        </w:tc>
        <w:tc>
          <w:tcPr>
            <w:tcW w:w="2025" w:type="dxa"/>
            <w:tcBorders>
              <w:tl2br w:val="nil"/>
              <w:tr2bl w:val="nil"/>
            </w:tcBorders>
            <w:vAlign w:val="center"/>
          </w:tcPr>
          <w:p w14:paraId="3860422A">
            <w:pPr>
              <w:keepNext w:val="0"/>
              <w:keepLines w:val="0"/>
              <w:pageBreakBefore w:val="0"/>
              <w:widowControl/>
              <w:kinsoku/>
              <w:wordWrap/>
              <w:overflowPunct/>
              <w:topLinePunct w:val="0"/>
              <w:autoSpaceDE/>
              <w:autoSpaceDN/>
              <w:bidi w:val="0"/>
              <w:adjustRightInd/>
              <w:snapToGrid/>
              <w:ind w:left="0" w:right="0"/>
              <w:jc w:val="center"/>
              <w:rPr>
                <w:rFonts w:ascii="Times New Roman" w:hAnsi="Times New Roman" w:cs="Times New Roman"/>
                <w:color w:val="auto"/>
                <w:sz w:val="21"/>
                <w:szCs w:val="21"/>
                <w:highlight w:val="none"/>
              </w:rPr>
            </w:pPr>
            <w:r>
              <w:rPr>
                <w:rFonts w:ascii="Times New Roman" w:hAnsi="Times New Roman" w:cs="Times New Roman"/>
                <w:color w:val="auto"/>
                <w:sz w:val="21"/>
                <w:szCs w:val="15"/>
                <w:highlight w:val="none"/>
              </w:rPr>
              <w:t>SS</w:t>
            </w:r>
          </w:p>
        </w:tc>
        <w:tc>
          <w:tcPr>
            <w:tcW w:w="2025" w:type="dxa"/>
            <w:tcBorders>
              <w:tl2br w:val="nil"/>
              <w:tr2bl w:val="nil"/>
            </w:tcBorders>
            <w:vAlign w:val="center"/>
          </w:tcPr>
          <w:p w14:paraId="67738F65">
            <w:pPr>
              <w:keepNext w:val="0"/>
              <w:keepLines w:val="0"/>
              <w:pageBreakBefore w:val="0"/>
              <w:widowControl/>
              <w:kinsoku/>
              <w:wordWrap/>
              <w:overflowPunct/>
              <w:topLinePunct w:val="0"/>
              <w:autoSpaceDE/>
              <w:autoSpaceDN/>
              <w:bidi w:val="0"/>
              <w:adjustRightInd/>
              <w:snapToGrid/>
              <w:ind w:left="0" w:right="0"/>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15"/>
                <w:highlight w:val="none"/>
              </w:rPr>
              <w:t>0.248</w:t>
            </w:r>
          </w:p>
        </w:tc>
        <w:tc>
          <w:tcPr>
            <w:tcW w:w="2025" w:type="dxa"/>
            <w:tcBorders>
              <w:tl2br w:val="nil"/>
              <w:tr2bl w:val="nil"/>
            </w:tcBorders>
            <w:vAlign w:val="center"/>
          </w:tcPr>
          <w:p w14:paraId="301EC730">
            <w:pPr>
              <w:keepNext w:val="0"/>
              <w:keepLines w:val="0"/>
              <w:pageBreakBefore w:val="0"/>
              <w:widowControl/>
              <w:kinsoku/>
              <w:wordWrap/>
              <w:overflowPunct/>
              <w:topLinePunct w:val="0"/>
              <w:autoSpaceDE/>
              <w:autoSpaceDN/>
              <w:bidi w:val="0"/>
              <w:adjustRightInd/>
              <w:snapToGrid/>
              <w:ind w:left="0" w:right="0"/>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0</w:t>
            </w:r>
          </w:p>
        </w:tc>
        <w:tc>
          <w:tcPr>
            <w:tcW w:w="2025" w:type="dxa"/>
            <w:tcBorders>
              <w:tl2br w:val="nil"/>
              <w:tr2bl w:val="nil"/>
            </w:tcBorders>
            <w:vAlign w:val="center"/>
          </w:tcPr>
          <w:p w14:paraId="0E8E134D">
            <w:pPr>
              <w:keepNext w:val="0"/>
              <w:keepLines w:val="0"/>
              <w:pageBreakBefore w:val="0"/>
              <w:widowControl/>
              <w:kinsoku/>
              <w:wordWrap/>
              <w:overflowPunct/>
              <w:topLinePunct w:val="0"/>
              <w:autoSpaceDE/>
              <w:autoSpaceDN/>
              <w:bidi w:val="0"/>
              <w:adjustRightInd/>
              <w:snapToGrid/>
              <w:ind w:left="0" w:right="0"/>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0</w:t>
            </w:r>
          </w:p>
        </w:tc>
        <w:tc>
          <w:tcPr>
            <w:tcW w:w="2025" w:type="dxa"/>
            <w:tcBorders>
              <w:tl2br w:val="nil"/>
              <w:tr2bl w:val="nil"/>
            </w:tcBorders>
            <w:vAlign w:val="center"/>
          </w:tcPr>
          <w:p w14:paraId="4DDAE415">
            <w:pPr>
              <w:keepNext w:val="0"/>
              <w:keepLines w:val="0"/>
              <w:pageBreakBefore w:val="0"/>
              <w:widowControl/>
              <w:kinsoku/>
              <w:wordWrap/>
              <w:overflowPunct/>
              <w:topLinePunct w:val="0"/>
              <w:autoSpaceDE/>
              <w:autoSpaceDN/>
              <w:bidi w:val="0"/>
              <w:adjustRightInd/>
              <w:snapToGrid/>
              <w:ind w:left="0" w:right="0"/>
              <w:jc w:val="center"/>
              <w:textAlignment w:val="center"/>
              <w:rPr>
                <w:rFonts w:ascii="Times New Roman" w:hAnsi="Times New Roman" w:cs="Times New Roman"/>
                <w:color w:val="auto"/>
                <w:sz w:val="21"/>
                <w:szCs w:val="21"/>
                <w:highlight w:val="none"/>
              </w:rPr>
            </w:pPr>
            <w:r>
              <w:rPr>
                <w:rFonts w:ascii="Times New Roman" w:hAnsi="Times New Roman" w:eastAsia="等线" w:cs="Times New Roman"/>
                <w:color w:val="auto"/>
                <w:sz w:val="21"/>
                <w:szCs w:val="21"/>
                <w:highlight w:val="none"/>
                <w:lang w:bidi="ar"/>
              </w:rPr>
              <w:t>0.248</w:t>
            </w:r>
          </w:p>
        </w:tc>
        <w:tc>
          <w:tcPr>
            <w:tcW w:w="2025" w:type="dxa"/>
            <w:tcBorders>
              <w:tl2br w:val="nil"/>
              <w:tr2bl w:val="nil"/>
            </w:tcBorders>
            <w:vAlign w:val="center"/>
          </w:tcPr>
          <w:p w14:paraId="704FF4F7">
            <w:pPr>
              <w:keepNext w:val="0"/>
              <w:keepLines w:val="0"/>
              <w:pageBreakBefore w:val="0"/>
              <w:widowControl/>
              <w:kinsoku/>
              <w:wordWrap/>
              <w:overflowPunct/>
              <w:topLinePunct w:val="0"/>
              <w:autoSpaceDE/>
              <w:autoSpaceDN/>
              <w:bidi w:val="0"/>
              <w:adjustRightInd/>
              <w:snapToGrid/>
              <w:ind w:left="0" w:right="0"/>
              <w:jc w:val="center"/>
              <w:textAlignment w:val="center"/>
              <w:rPr>
                <w:rFonts w:ascii="Times New Roman" w:hAnsi="Times New Roman" w:cs="Times New Roman"/>
                <w:color w:val="auto"/>
                <w:sz w:val="21"/>
                <w:szCs w:val="21"/>
                <w:highlight w:val="none"/>
              </w:rPr>
            </w:pPr>
            <w:r>
              <w:rPr>
                <w:rFonts w:ascii="Times New Roman" w:hAnsi="Times New Roman" w:eastAsia="等线" w:cs="Times New Roman"/>
                <w:color w:val="auto"/>
                <w:sz w:val="21"/>
                <w:szCs w:val="21"/>
                <w:highlight w:val="none"/>
                <w:lang w:bidi="ar"/>
              </w:rPr>
              <w:t>0</w:t>
            </w:r>
          </w:p>
        </w:tc>
      </w:tr>
      <w:tr w14:paraId="7A58F19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024" w:type="dxa"/>
            <w:gridSpan w:val="2"/>
            <w:vMerge w:val="continue"/>
            <w:tcBorders>
              <w:tl2br w:val="nil"/>
              <w:tr2bl w:val="nil"/>
            </w:tcBorders>
            <w:vAlign w:val="center"/>
          </w:tcPr>
          <w:p w14:paraId="45818767">
            <w:pPr>
              <w:keepNext w:val="0"/>
              <w:keepLines w:val="0"/>
              <w:pageBreakBefore w:val="0"/>
              <w:widowControl/>
              <w:kinsoku/>
              <w:wordWrap/>
              <w:overflowPunct/>
              <w:topLinePunct w:val="0"/>
              <w:autoSpaceDE/>
              <w:autoSpaceDN/>
              <w:bidi w:val="0"/>
              <w:adjustRightInd/>
              <w:snapToGrid/>
              <w:ind w:left="0" w:right="0"/>
              <w:jc w:val="center"/>
              <w:rPr>
                <w:rFonts w:ascii="Times New Roman" w:hAnsi="Times New Roman" w:cs="Times New Roman"/>
                <w:color w:val="auto"/>
                <w:sz w:val="21"/>
                <w:szCs w:val="21"/>
                <w:highlight w:val="none"/>
              </w:rPr>
            </w:pPr>
          </w:p>
        </w:tc>
        <w:tc>
          <w:tcPr>
            <w:tcW w:w="2025" w:type="dxa"/>
            <w:tcBorders>
              <w:tl2br w:val="nil"/>
              <w:tr2bl w:val="nil"/>
            </w:tcBorders>
            <w:vAlign w:val="center"/>
          </w:tcPr>
          <w:p w14:paraId="4D67B673">
            <w:pPr>
              <w:keepNext w:val="0"/>
              <w:keepLines w:val="0"/>
              <w:pageBreakBefore w:val="0"/>
              <w:widowControl/>
              <w:kinsoku/>
              <w:wordWrap/>
              <w:overflowPunct/>
              <w:topLinePunct w:val="0"/>
              <w:autoSpaceDE/>
              <w:autoSpaceDN/>
              <w:bidi w:val="0"/>
              <w:adjustRightInd/>
              <w:snapToGrid/>
              <w:ind w:left="0" w:right="0"/>
              <w:jc w:val="center"/>
              <w:rPr>
                <w:rFonts w:ascii="Times New Roman" w:hAnsi="Times New Roman" w:cs="Times New Roman"/>
                <w:color w:val="auto"/>
                <w:sz w:val="21"/>
                <w:szCs w:val="21"/>
                <w:highlight w:val="none"/>
              </w:rPr>
            </w:pPr>
            <w:r>
              <w:rPr>
                <w:rFonts w:ascii="Times New Roman" w:hAnsi="Times New Roman" w:cs="Times New Roman"/>
                <w:color w:val="auto"/>
                <w:sz w:val="21"/>
                <w:szCs w:val="15"/>
                <w:highlight w:val="none"/>
              </w:rPr>
              <w:t>NH</w:t>
            </w:r>
            <w:r>
              <w:rPr>
                <w:rFonts w:ascii="Times New Roman" w:hAnsi="Times New Roman" w:cs="Times New Roman"/>
                <w:color w:val="auto"/>
                <w:sz w:val="21"/>
                <w:szCs w:val="15"/>
                <w:highlight w:val="none"/>
                <w:vertAlign w:val="subscript"/>
              </w:rPr>
              <w:t>3</w:t>
            </w:r>
            <w:r>
              <w:rPr>
                <w:rFonts w:ascii="Times New Roman" w:hAnsi="Times New Roman" w:cs="Times New Roman"/>
                <w:color w:val="auto"/>
                <w:sz w:val="21"/>
                <w:szCs w:val="15"/>
                <w:highlight w:val="none"/>
              </w:rPr>
              <w:t>-N</w:t>
            </w:r>
          </w:p>
        </w:tc>
        <w:tc>
          <w:tcPr>
            <w:tcW w:w="2025" w:type="dxa"/>
            <w:tcBorders>
              <w:tl2br w:val="nil"/>
              <w:tr2bl w:val="nil"/>
            </w:tcBorders>
            <w:vAlign w:val="center"/>
          </w:tcPr>
          <w:p w14:paraId="1E54F043">
            <w:pPr>
              <w:keepNext w:val="0"/>
              <w:keepLines w:val="0"/>
              <w:pageBreakBefore w:val="0"/>
              <w:widowControl/>
              <w:kinsoku/>
              <w:wordWrap/>
              <w:overflowPunct/>
              <w:topLinePunct w:val="0"/>
              <w:autoSpaceDE/>
              <w:autoSpaceDN/>
              <w:bidi w:val="0"/>
              <w:adjustRightInd/>
              <w:snapToGrid/>
              <w:ind w:left="0" w:right="0"/>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15"/>
                <w:highlight w:val="none"/>
              </w:rPr>
              <w:t>0.06</w:t>
            </w:r>
          </w:p>
        </w:tc>
        <w:tc>
          <w:tcPr>
            <w:tcW w:w="2025" w:type="dxa"/>
            <w:tcBorders>
              <w:tl2br w:val="nil"/>
              <w:tr2bl w:val="nil"/>
            </w:tcBorders>
            <w:vAlign w:val="center"/>
          </w:tcPr>
          <w:p w14:paraId="7D62BA52">
            <w:pPr>
              <w:keepNext w:val="0"/>
              <w:keepLines w:val="0"/>
              <w:pageBreakBefore w:val="0"/>
              <w:widowControl/>
              <w:kinsoku/>
              <w:wordWrap/>
              <w:overflowPunct/>
              <w:topLinePunct w:val="0"/>
              <w:autoSpaceDE/>
              <w:autoSpaceDN/>
              <w:bidi w:val="0"/>
              <w:adjustRightInd/>
              <w:snapToGrid/>
              <w:ind w:left="0" w:right="0"/>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0</w:t>
            </w:r>
          </w:p>
        </w:tc>
        <w:tc>
          <w:tcPr>
            <w:tcW w:w="2025" w:type="dxa"/>
            <w:tcBorders>
              <w:tl2br w:val="nil"/>
              <w:tr2bl w:val="nil"/>
            </w:tcBorders>
            <w:vAlign w:val="center"/>
          </w:tcPr>
          <w:p w14:paraId="26428215">
            <w:pPr>
              <w:keepNext w:val="0"/>
              <w:keepLines w:val="0"/>
              <w:pageBreakBefore w:val="0"/>
              <w:widowControl/>
              <w:kinsoku/>
              <w:wordWrap/>
              <w:overflowPunct/>
              <w:topLinePunct w:val="0"/>
              <w:autoSpaceDE/>
              <w:autoSpaceDN/>
              <w:bidi w:val="0"/>
              <w:adjustRightInd/>
              <w:snapToGrid/>
              <w:ind w:left="0" w:right="0"/>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0</w:t>
            </w:r>
          </w:p>
        </w:tc>
        <w:tc>
          <w:tcPr>
            <w:tcW w:w="2025" w:type="dxa"/>
            <w:tcBorders>
              <w:tl2br w:val="nil"/>
              <w:tr2bl w:val="nil"/>
            </w:tcBorders>
            <w:vAlign w:val="center"/>
          </w:tcPr>
          <w:p w14:paraId="3D7459FB">
            <w:pPr>
              <w:keepNext w:val="0"/>
              <w:keepLines w:val="0"/>
              <w:pageBreakBefore w:val="0"/>
              <w:widowControl/>
              <w:kinsoku/>
              <w:wordWrap/>
              <w:overflowPunct/>
              <w:topLinePunct w:val="0"/>
              <w:autoSpaceDE/>
              <w:autoSpaceDN/>
              <w:bidi w:val="0"/>
              <w:adjustRightInd/>
              <w:snapToGrid/>
              <w:ind w:left="0" w:right="0"/>
              <w:jc w:val="center"/>
              <w:textAlignment w:val="center"/>
              <w:rPr>
                <w:rFonts w:ascii="Times New Roman" w:hAnsi="Times New Roman" w:cs="Times New Roman"/>
                <w:color w:val="auto"/>
                <w:sz w:val="21"/>
                <w:szCs w:val="21"/>
                <w:highlight w:val="none"/>
              </w:rPr>
            </w:pPr>
            <w:r>
              <w:rPr>
                <w:rFonts w:ascii="Times New Roman" w:hAnsi="Times New Roman" w:eastAsia="等线" w:cs="Times New Roman"/>
                <w:color w:val="auto"/>
                <w:sz w:val="21"/>
                <w:szCs w:val="21"/>
                <w:highlight w:val="none"/>
                <w:lang w:bidi="ar"/>
              </w:rPr>
              <w:t>0.06</w:t>
            </w:r>
          </w:p>
        </w:tc>
        <w:tc>
          <w:tcPr>
            <w:tcW w:w="2025" w:type="dxa"/>
            <w:tcBorders>
              <w:tl2br w:val="nil"/>
              <w:tr2bl w:val="nil"/>
            </w:tcBorders>
            <w:vAlign w:val="center"/>
          </w:tcPr>
          <w:p w14:paraId="129D4386">
            <w:pPr>
              <w:keepNext w:val="0"/>
              <w:keepLines w:val="0"/>
              <w:pageBreakBefore w:val="0"/>
              <w:widowControl/>
              <w:kinsoku/>
              <w:wordWrap/>
              <w:overflowPunct/>
              <w:topLinePunct w:val="0"/>
              <w:autoSpaceDE/>
              <w:autoSpaceDN/>
              <w:bidi w:val="0"/>
              <w:adjustRightInd/>
              <w:snapToGrid/>
              <w:ind w:left="0" w:right="0"/>
              <w:jc w:val="center"/>
              <w:textAlignment w:val="center"/>
              <w:rPr>
                <w:rFonts w:ascii="Times New Roman" w:hAnsi="Times New Roman" w:cs="Times New Roman"/>
                <w:color w:val="auto"/>
                <w:sz w:val="21"/>
                <w:szCs w:val="21"/>
                <w:highlight w:val="none"/>
              </w:rPr>
            </w:pPr>
            <w:r>
              <w:rPr>
                <w:rFonts w:ascii="Times New Roman" w:hAnsi="Times New Roman" w:eastAsia="等线" w:cs="Times New Roman"/>
                <w:color w:val="auto"/>
                <w:sz w:val="21"/>
                <w:szCs w:val="21"/>
                <w:highlight w:val="none"/>
                <w:lang w:bidi="ar"/>
              </w:rPr>
              <w:t>0</w:t>
            </w:r>
          </w:p>
        </w:tc>
      </w:tr>
      <w:tr w14:paraId="3B7089D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024" w:type="dxa"/>
            <w:gridSpan w:val="2"/>
            <w:vMerge w:val="continue"/>
            <w:tcBorders>
              <w:tl2br w:val="nil"/>
              <w:tr2bl w:val="nil"/>
            </w:tcBorders>
            <w:vAlign w:val="center"/>
          </w:tcPr>
          <w:p w14:paraId="7AF1E1C2">
            <w:pPr>
              <w:keepNext w:val="0"/>
              <w:keepLines w:val="0"/>
              <w:pageBreakBefore w:val="0"/>
              <w:widowControl/>
              <w:kinsoku/>
              <w:wordWrap/>
              <w:overflowPunct/>
              <w:topLinePunct w:val="0"/>
              <w:autoSpaceDE/>
              <w:autoSpaceDN/>
              <w:bidi w:val="0"/>
              <w:adjustRightInd/>
              <w:snapToGrid/>
              <w:ind w:left="0" w:right="0"/>
              <w:jc w:val="center"/>
              <w:rPr>
                <w:rFonts w:ascii="Times New Roman" w:hAnsi="Times New Roman" w:cs="Times New Roman"/>
                <w:color w:val="auto"/>
                <w:sz w:val="21"/>
                <w:szCs w:val="21"/>
                <w:highlight w:val="none"/>
              </w:rPr>
            </w:pPr>
          </w:p>
        </w:tc>
        <w:tc>
          <w:tcPr>
            <w:tcW w:w="2025" w:type="dxa"/>
            <w:tcBorders>
              <w:tl2br w:val="nil"/>
              <w:tr2bl w:val="nil"/>
            </w:tcBorders>
            <w:vAlign w:val="center"/>
          </w:tcPr>
          <w:p w14:paraId="761BD503">
            <w:pPr>
              <w:keepNext w:val="0"/>
              <w:keepLines w:val="0"/>
              <w:pageBreakBefore w:val="0"/>
              <w:widowControl/>
              <w:kinsoku/>
              <w:wordWrap/>
              <w:overflowPunct/>
              <w:topLinePunct w:val="0"/>
              <w:autoSpaceDE/>
              <w:autoSpaceDN/>
              <w:bidi w:val="0"/>
              <w:adjustRightInd/>
              <w:snapToGrid/>
              <w:ind w:left="0" w:right="0"/>
              <w:jc w:val="center"/>
              <w:rPr>
                <w:rFonts w:ascii="Times New Roman" w:hAnsi="Times New Roman" w:cs="Times New Roman"/>
                <w:color w:val="auto"/>
                <w:sz w:val="21"/>
                <w:szCs w:val="21"/>
                <w:highlight w:val="none"/>
              </w:rPr>
            </w:pPr>
            <w:r>
              <w:rPr>
                <w:rFonts w:ascii="Times New Roman" w:hAnsi="Times New Roman" w:cs="Times New Roman"/>
                <w:color w:val="auto"/>
                <w:sz w:val="21"/>
                <w:szCs w:val="15"/>
                <w:highlight w:val="none"/>
              </w:rPr>
              <w:t>TP</w:t>
            </w:r>
          </w:p>
        </w:tc>
        <w:tc>
          <w:tcPr>
            <w:tcW w:w="2025" w:type="dxa"/>
            <w:tcBorders>
              <w:tl2br w:val="nil"/>
              <w:tr2bl w:val="nil"/>
            </w:tcBorders>
            <w:vAlign w:val="center"/>
          </w:tcPr>
          <w:p w14:paraId="2F362E4B">
            <w:pPr>
              <w:keepNext w:val="0"/>
              <w:keepLines w:val="0"/>
              <w:pageBreakBefore w:val="0"/>
              <w:widowControl/>
              <w:kinsoku/>
              <w:wordWrap/>
              <w:overflowPunct/>
              <w:topLinePunct w:val="0"/>
              <w:autoSpaceDE/>
              <w:autoSpaceDN/>
              <w:bidi w:val="0"/>
              <w:adjustRightInd/>
              <w:snapToGrid/>
              <w:ind w:left="0" w:right="0"/>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15"/>
                <w:highlight w:val="none"/>
              </w:rPr>
              <w:t>0.004</w:t>
            </w:r>
          </w:p>
        </w:tc>
        <w:tc>
          <w:tcPr>
            <w:tcW w:w="2025" w:type="dxa"/>
            <w:tcBorders>
              <w:tl2br w:val="nil"/>
              <w:tr2bl w:val="nil"/>
            </w:tcBorders>
            <w:vAlign w:val="center"/>
          </w:tcPr>
          <w:p w14:paraId="75107F3A">
            <w:pPr>
              <w:keepNext w:val="0"/>
              <w:keepLines w:val="0"/>
              <w:pageBreakBefore w:val="0"/>
              <w:widowControl/>
              <w:kinsoku/>
              <w:wordWrap/>
              <w:overflowPunct/>
              <w:topLinePunct w:val="0"/>
              <w:autoSpaceDE/>
              <w:autoSpaceDN/>
              <w:bidi w:val="0"/>
              <w:adjustRightInd/>
              <w:snapToGrid/>
              <w:ind w:left="0" w:right="0"/>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0</w:t>
            </w:r>
          </w:p>
        </w:tc>
        <w:tc>
          <w:tcPr>
            <w:tcW w:w="2025" w:type="dxa"/>
            <w:tcBorders>
              <w:tl2br w:val="nil"/>
              <w:tr2bl w:val="nil"/>
            </w:tcBorders>
            <w:vAlign w:val="center"/>
          </w:tcPr>
          <w:p w14:paraId="5423EB6A">
            <w:pPr>
              <w:keepNext w:val="0"/>
              <w:keepLines w:val="0"/>
              <w:pageBreakBefore w:val="0"/>
              <w:widowControl/>
              <w:kinsoku/>
              <w:wordWrap/>
              <w:overflowPunct/>
              <w:topLinePunct w:val="0"/>
              <w:autoSpaceDE/>
              <w:autoSpaceDN/>
              <w:bidi w:val="0"/>
              <w:adjustRightInd/>
              <w:snapToGrid/>
              <w:ind w:left="0" w:right="0"/>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0</w:t>
            </w:r>
          </w:p>
        </w:tc>
        <w:tc>
          <w:tcPr>
            <w:tcW w:w="2025" w:type="dxa"/>
            <w:tcBorders>
              <w:tl2br w:val="nil"/>
              <w:tr2bl w:val="nil"/>
            </w:tcBorders>
            <w:vAlign w:val="center"/>
          </w:tcPr>
          <w:p w14:paraId="07FE5142">
            <w:pPr>
              <w:keepNext w:val="0"/>
              <w:keepLines w:val="0"/>
              <w:pageBreakBefore w:val="0"/>
              <w:widowControl/>
              <w:kinsoku/>
              <w:wordWrap/>
              <w:overflowPunct/>
              <w:topLinePunct w:val="0"/>
              <w:autoSpaceDE/>
              <w:autoSpaceDN/>
              <w:bidi w:val="0"/>
              <w:adjustRightInd/>
              <w:snapToGrid/>
              <w:ind w:left="0" w:right="0"/>
              <w:jc w:val="center"/>
              <w:textAlignment w:val="center"/>
              <w:rPr>
                <w:rFonts w:ascii="Times New Roman" w:hAnsi="Times New Roman" w:cs="Times New Roman"/>
                <w:color w:val="auto"/>
                <w:sz w:val="21"/>
                <w:szCs w:val="21"/>
                <w:highlight w:val="none"/>
              </w:rPr>
            </w:pPr>
            <w:r>
              <w:rPr>
                <w:rFonts w:ascii="Times New Roman" w:hAnsi="Times New Roman" w:eastAsia="等线" w:cs="Times New Roman"/>
                <w:color w:val="auto"/>
                <w:sz w:val="21"/>
                <w:szCs w:val="21"/>
                <w:highlight w:val="none"/>
                <w:lang w:bidi="ar"/>
              </w:rPr>
              <w:t>0.004</w:t>
            </w:r>
          </w:p>
        </w:tc>
        <w:tc>
          <w:tcPr>
            <w:tcW w:w="2025" w:type="dxa"/>
            <w:tcBorders>
              <w:tl2br w:val="nil"/>
              <w:tr2bl w:val="nil"/>
            </w:tcBorders>
            <w:vAlign w:val="center"/>
          </w:tcPr>
          <w:p w14:paraId="19E89388">
            <w:pPr>
              <w:keepNext w:val="0"/>
              <w:keepLines w:val="0"/>
              <w:pageBreakBefore w:val="0"/>
              <w:widowControl/>
              <w:kinsoku/>
              <w:wordWrap/>
              <w:overflowPunct/>
              <w:topLinePunct w:val="0"/>
              <w:autoSpaceDE/>
              <w:autoSpaceDN/>
              <w:bidi w:val="0"/>
              <w:adjustRightInd/>
              <w:snapToGrid/>
              <w:ind w:left="0" w:right="0"/>
              <w:jc w:val="center"/>
              <w:textAlignment w:val="center"/>
              <w:rPr>
                <w:rFonts w:ascii="Times New Roman" w:hAnsi="Times New Roman" w:cs="Times New Roman"/>
                <w:color w:val="auto"/>
                <w:sz w:val="21"/>
                <w:szCs w:val="21"/>
                <w:highlight w:val="none"/>
              </w:rPr>
            </w:pPr>
            <w:r>
              <w:rPr>
                <w:rFonts w:ascii="Times New Roman" w:hAnsi="Times New Roman" w:eastAsia="等线" w:cs="Times New Roman"/>
                <w:color w:val="auto"/>
                <w:sz w:val="21"/>
                <w:szCs w:val="21"/>
                <w:highlight w:val="none"/>
                <w:lang w:bidi="ar"/>
              </w:rPr>
              <w:t>0</w:t>
            </w:r>
          </w:p>
        </w:tc>
      </w:tr>
      <w:tr w14:paraId="0F19155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024" w:type="dxa"/>
            <w:gridSpan w:val="2"/>
            <w:vMerge w:val="continue"/>
            <w:tcBorders>
              <w:tl2br w:val="nil"/>
              <w:tr2bl w:val="nil"/>
            </w:tcBorders>
            <w:vAlign w:val="center"/>
          </w:tcPr>
          <w:p w14:paraId="051656CD">
            <w:pPr>
              <w:keepNext w:val="0"/>
              <w:keepLines w:val="0"/>
              <w:pageBreakBefore w:val="0"/>
              <w:widowControl/>
              <w:kinsoku/>
              <w:wordWrap/>
              <w:overflowPunct/>
              <w:topLinePunct w:val="0"/>
              <w:autoSpaceDE/>
              <w:autoSpaceDN/>
              <w:bidi w:val="0"/>
              <w:adjustRightInd/>
              <w:snapToGrid/>
              <w:ind w:left="0" w:right="0"/>
              <w:jc w:val="center"/>
              <w:rPr>
                <w:rFonts w:ascii="Times New Roman" w:hAnsi="Times New Roman" w:cs="Times New Roman"/>
                <w:color w:val="auto"/>
                <w:sz w:val="21"/>
                <w:szCs w:val="21"/>
                <w:highlight w:val="none"/>
              </w:rPr>
            </w:pPr>
          </w:p>
        </w:tc>
        <w:tc>
          <w:tcPr>
            <w:tcW w:w="2025" w:type="dxa"/>
            <w:tcBorders>
              <w:tl2br w:val="nil"/>
              <w:tr2bl w:val="nil"/>
            </w:tcBorders>
            <w:vAlign w:val="center"/>
          </w:tcPr>
          <w:p w14:paraId="576BEA42">
            <w:pPr>
              <w:keepNext w:val="0"/>
              <w:keepLines w:val="0"/>
              <w:pageBreakBefore w:val="0"/>
              <w:widowControl/>
              <w:kinsoku/>
              <w:wordWrap/>
              <w:overflowPunct/>
              <w:topLinePunct w:val="0"/>
              <w:autoSpaceDE/>
              <w:autoSpaceDN/>
              <w:bidi w:val="0"/>
              <w:adjustRightInd/>
              <w:snapToGrid/>
              <w:ind w:left="0" w:right="0"/>
              <w:jc w:val="center"/>
              <w:rPr>
                <w:rFonts w:ascii="Times New Roman" w:hAnsi="Times New Roman" w:cs="Times New Roman"/>
                <w:color w:val="auto"/>
                <w:sz w:val="21"/>
                <w:szCs w:val="21"/>
                <w:highlight w:val="none"/>
              </w:rPr>
            </w:pPr>
            <w:r>
              <w:rPr>
                <w:rFonts w:ascii="Times New Roman" w:hAnsi="Times New Roman" w:cs="Times New Roman"/>
                <w:color w:val="auto"/>
                <w:sz w:val="21"/>
                <w:szCs w:val="15"/>
                <w:highlight w:val="none"/>
              </w:rPr>
              <w:t>TN</w:t>
            </w:r>
          </w:p>
        </w:tc>
        <w:tc>
          <w:tcPr>
            <w:tcW w:w="2025" w:type="dxa"/>
            <w:tcBorders>
              <w:tl2br w:val="nil"/>
              <w:tr2bl w:val="nil"/>
            </w:tcBorders>
            <w:vAlign w:val="center"/>
          </w:tcPr>
          <w:p w14:paraId="12739D37">
            <w:pPr>
              <w:keepNext w:val="0"/>
              <w:keepLines w:val="0"/>
              <w:pageBreakBefore w:val="0"/>
              <w:widowControl/>
              <w:kinsoku/>
              <w:wordWrap/>
              <w:overflowPunct/>
              <w:topLinePunct w:val="0"/>
              <w:autoSpaceDE/>
              <w:autoSpaceDN/>
              <w:bidi w:val="0"/>
              <w:adjustRightInd/>
              <w:snapToGrid/>
              <w:ind w:left="0" w:right="0"/>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15"/>
                <w:highlight w:val="none"/>
              </w:rPr>
              <w:t>0.1188</w:t>
            </w:r>
          </w:p>
        </w:tc>
        <w:tc>
          <w:tcPr>
            <w:tcW w:w="2025" w:type="dxa"/>
            <w:tcBorders>
              <w:tl2br w:val="nil"/>
              <w:tr2bl w:val="nil"/>
            </w:tcBorders>
            <w:vAlign w:val="center"/>
          </w:tcPr>
          <w:p w14:paraId="463D6AA9">
            <w:pPr>
              <w:keepNext w:val="0"/>
              <w:keepLines w:val="0"/>
              <w:pageBreakBefore w:val="0"/>
              <w:widowControl/>
              <w:kinsoku/>
              <w:wordWrap/>
              <w:overflowPunct/>
              <w:topLinePunct w:val="0"/>
              <w:autoSpaceDE/>
              <w:autoSpaceDN/>
              <w:bidi w:val="0"/>
              <w:adjustRightInd/>
              <w:snapToGrid/>
              <w:ind w:left="0" w:right="0"/>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0</w:t>
            </w:r>
          </w:p>
        </w:tc>
        <w:tc>
          <w:tcPr>
            <w:tcW w:w="2025" w:type="dxa"/>
            <w:tcBorders>
              <w:tl2br w:val="nil"/>
              <w:tr2bl w:val="nil"/>
            </w:tcBorders>
            <w:vAlign w:val="center"/>
          </w:tcPr>
          <w:p w14:paraId="576CD3D7">
            <w:pPr>
              <w:keepNext w:val="0"/>
              <w:keepLines w:val="0"/>
              <w:pageBreakBefore w:val="0"/>
              <w:widowControl/>
              <w:kinsoku/>
              <w:wordWrap/>
              <w:overflowPunct/>
              <w:topLinePunct w:val="0"/>
              <w:autoSpaceDE/>
              <w:autoSpaceDN/>
              <w:bidi w:val="0"/>
              <w:adjustRightInd/>
              <w:snapToGrid/>
              <w:ind w:left="0" w:right="0"/>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0</w:t>
            </w:r>
          </w:p>
        </w:tc>
        <w:tc>
          <w:tcPr>
            <w:tcW w:w="2025" w:type="dxa"/>
            <w:tcBorders>
              <w:tl2br w:val="nil"/>
              <w:tr2bl w:val="nil"/>
            </w:tcBorders>
            <w:vAlign w:val="center"/>
          </w:tcPr>
          <w:p w14:paraId="2CED4DC6">
            <w:pPr>
              <w:keepNext w:val="0"/>
              <w:keepLines w:val="0"/>
              <w:pageBreakBefore w:val="0"/>
              <w:widowControl/>
              <w:kinsoku/>
              <w:wordWrap/>
              <w:overflowPunct/>
              <w:topLinePunct w:val="0"/>
              <w:autoSpaceDE/>
              <w:autoSpaceDN/>
              <w:bidi w:val="0"/>
              <w:adjustRightInd/>
              <w:snapToGrid/>
              <w:ind w:left="0" w:right="0"/>
              <w:jc w:val="center"/>
              <w:textAlignment w:val="center"/>
              <w:rPr>
                <w:rFonts w:ascii="Times New Roman" w:hAnsi="Times New Roman" w:cs="Times New Roman"/>
                <w:color w:val="auto"/>
                <w:sz w:val="21"/>
                <w:szCs w:val="21"/>
                <w:highlight w:val="none"/>
              </w:rPr>
            </w:pPr>
            <w:r>
              <w:rPr>
                <w:rFonts w:ascii="Times New Roman" w:hAnsi="Times New Roman" w:eastAsia="等线" w:cs="Times New Roman"/>
                <w:color w:val="auto"/>
                <w:sz w:val="21"/>
                <w:szCs w:val="21"/>
                <w:highlight w:val="none"/>
                <w:lang w:bidi="ar"/>
              </w:rPr>
              <w:t>0.1188</w:t>
            </w:r>
          </w:p>
        </w:tc>
        <w:tc>
          <w:tcPr>
            <w:tcW w:w="2025" w:type="dxa"/>
            <w:tcBorders>
              <w:tl2br w:val="nil"/>
              <w:tr2bl w:val="nil"/>
            </w:tcBorders>
            <w:vAlign w:val="center"/>
          </w:tcPr>
          <w:p w14:paraId="5E3BD4EF">
            <w:pPr>
              <w:keepNext w:val="0"/>
              <w:keepLines w:val="0"/>
              <w:pageBreakBefore w:val="0"/>
              <w:widowControl/>
              <w:kinsoku/>
              <w:wordWrap/>
              <w:overflowPunct/>
              <w:topLinePunct w:val="0"/>
              <w:autoSpaceDE/>
              <w:autoSpaceDN/>
              <w:bidi w:val="0"/>
              <w:adjustRightInd/>
              <w:snapToGrid/>
              <w:ind w:left="0" w:right="0"/>
              <w:jc w:val="center"/>
              <w:textAlignment w:val="center"/>
              <w:rPr>
                <w:rFonts w:ascii="Times New Roman" w:hAnsi="Times New Roman" w:cs="Times New Roman"/>
                <w:color w:val="auto"/>
                <w:sz w:val="21"/>
                <w:szCs w:val="21"/>
                <w:highlight w:val="none"/>
              </w:rPr>
            </w:pPr>
            <w:r>
              <w:rPr>
                <w:rFonts w:ascii="Times New Roman" w:hAnsi="Times New Roman" w:eastAsia="等线" w:cs="Times New Roman"/>
                <w:color w:val="auto"/>
                <w:sz w:val="21"/>
                <w:szCs w:val="21"/>
                <w:highlight w:val="none"/>
                <w:lang w:bidi="ar"/>
              </w:rPr>
              <w:t>0</w:t>
            </w:r>
          </w:p>
        </w:tc>
      </w:tr>
      <w:tr w14:paraId="01A419E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024" w:type="dxa"/>
            <w:gridSpan w:val="2"/>
            <w:vMerge w:val="restart"/>
            <w:tcBorders>
              <w:tl2br w:val="nil"/>
              <w:tr2bl w:val="nil"/>
            </w:tcBorders>
            <w:vAlign w:val="center"/>
          </w:tcPr>
          <w:p w14:paraId="71C8FB0C">
            <w:pPr>
              <w:keepNext w:val="0"/>
              <w:keepLines w:val="0"/>
              <w:pageBreakBefore w:val="0"/>
              <w:widowControl/>
              <w:kinsoku/>
              <w:wordWrap/>
              <w:overflowPunct/>
              <w:topLinePunct w:val="0"/>
              <w:autoSpaceDE/>
              <w:autoSpaceDN/>
              <w:bidi w:val="0"/>
              <w:adjustRightInd/>
              <w:snapToGrid/>
              <w:ind w:left="0" w:right="0"/>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固体废物</w:t>
            </w:r>
          </w:p>
        </w:tc>
        <w:tc>
          <w:tcPr>
            <w:tcW w:w="2025" w:type="dxa"/>
            <w:tcBorders>
              <w:tl2br w:val="nil"/>
              <w:tr2bl w:val="nil"/>
            </w:tcBorders>
            <w:vAlign w:val="center"/>
          </w:tcPr>
          <w:p w14:paraId="23AEC7D9">
            <w:pPr>
              <w:keepNext w:val="0"/>
              <w:keepLines w:val="0"/>
              <w:pageBreakBefore w:val="0"/>
              <w:widowControl/>
              <w:kinsoku/>
              <w:wordWrap/>
              <w:overflowPunct/>
              <w:topLinePunct w:val="0"/>
              <w:autoSpaceDE/>
              <w:autoSpaceDN/>
              <w:bidi w:val="0"/>
              <w:adjustRightInd/>
              <w:snapToGrid/>
              <w:ind w:left="0" w:right="0"/>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18"/>
                <w:highlight w:val="none"/>
              </w:rPr>
              <w:t>过滤残渣、浸润废料</w:t>
            </w:r>
          </w:p>
        </w:tc>
        <w:tc>
          <w:tcPr>
            <w:tcW w:w="2025" w:type="dxa"/>
            <w:tcBorders>
              <w:tl2br w:val="nil"/>
              <w:tr2bl w:val="nil"/>
            </w:tcBorders>
            <w:vAlign w:val="center"/>
          </w:tcPr>
          <w:p w14:paraId="24088855">
            <w:pPr>
              <w:keepNext w:val="0"/>
              <w:keepLines w:val="0"/>
              <w:pageBreakBefore w:val="0"/>
              <w:widowControl/>
              <w:kinsoku/>
              <w:wordWrap/>
              <w:overflowPunct/>
              <w:topLinePunct w:val="0"/>
              <w:autoSpaceDE/>
              <w:autoSpaceDN/>
              <w:bidi w:val="0"/>
              <w:adjustRightInd/>
              <w:snapToGrid/>
              <w:ind w:left="0" w:right="0"/>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40</w:t>
            </w:r>
          </w:p>
        </w:tc>
        <w:tc>
          <w:tcPr>
            <w:tcW w:w="2025" w:type="dxa"/>
            <w:tcBorders>
              <w:tl2br w:val="nil"/>
              <w:tr2bl w:val="nil"/>
            </w:tcBorders>
            <w:vAlign w:val="center"/>
          </w:tcPr>
          <w:p w14:paraId="5D1693DB">
            <w:pPr>
              <w:keepNext w:val="0"/>
              <w:keepLines w:val="0"/>
              <w:pageBreakBefore w:val="0"/>
              <w:widowControl/>
              <w:kinsoku/>
              <w:wordWrap/>
              <w:overflowPunct/>
              <w:topLinePunct w:val="0"/>
              <w:autoSpaceDE/>
              <w:autoSpaceDN/>
              <w:bidi w:val="0"/>
              <w:adjustRightInd/>
              <w:snapToGrid/>
              <w:ind w:left="0" w:right="0"/>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4</w:t>
            </w:r>
          </w:p>
        </w:tc>
        <w:tc>
          <w:tcPr>
            <w:tcW w:w="2025" w:type="dxa"/>
            <w:tcBorders>
              <w:tl2br w:val="nil"/>
              <w:tr2bl w:val="nil"/>
            </w:tcBorders>
            <w:vAlign w:val="center"/>
          </w:tcPr>
          <w:p w14:paraId="214F7418">
            <w:pPr>
              <w:keepNext w:val="0"/>
              <w:keepLines w:val="0"/>
              <w:pageBreakBefore w:val="0"/>
              <w:widowControl/>
              <w:kinsoku/>
              <w:wordWrap/>
              <w:overflowPunct/>
              <w:topLinePunct w:val="0"/>
              <w:autoSpaceDE/>
              <w:autoSpaceDN/>
              <w:bidi w:val="0"/>
              <w:adjustRightInd/>
              <w:snapToGrid/>
              <w:ind w:left="0" w:right="0"/>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0</w:t>
            </w:r>
          </w:p>
        </w:tc>
        <w:tc>
          <w:tcPr>
            <w:tcW w:w="2025" w:type="dxa"/>
            <w:tcBorders>
              <w:tl2br w:val="nil"/>
              <w:tr2bl w:val="nil"/>
            </w:tcBorders>
            <w:vAlign w:val="center"/>
          </w:tcPr>
          <w:p w14:paraId="41D3B494">
            <w:pPr>
              <w:keepNext w:val="0"/>
              <w:keepLines w:val="0"/>
              <w:pageBreakBefore w:val="0"/>
              <w:widowControl/>
              <w:kinsoku/>
              <w:wordWrap/>
              <w:overflowPunct/>
              <w:topLinePunct w:val="0"/>
              <w:autoSpaceDE/>
              <w:autoSpaceDN/>
              <w:bidi w:val="0"/>
              <w:adjustRightInd/>
              <w:snapToGrid/>
              <w:ind w:left="0" w:right="0"/>
              <w:jc w:val="center"/>
              <w:textAlignment w:val="center"/>
              <w:rPr>
                <w:rFonts w:ascii="Times New Roman" w:hAnsi="Times New Roman" w:cs="Times New Roman"/>
                <w:color w:val="auto"/>
                <w:sz w:val="21"/>
                <w:szCs w:val="21"/>
                <w:highlight w:val="none"/>
              </w:rPr>
            </w:pPr>
            <w:r>
              <w:rPr>
                <w:rFonts w:ascii="Times New Roman" w:hAnsi="Times New Roman" w:eastAsia="等线" w:cs="Times New Roman"/>
                <w:color w:val="auto"/>
                <w:sz w:val="21"/>
                <w:szCs w:val="21"/>
                <w:highlight w:val="none"/>
                <w:lang w:bidi="ar"/>
              </w:rPr>
              <w:t>36</w:t>
            </w:r>
          </w:p>
        </w:tc>
        <w:tc>
          <w:tcPr>
            <w:tcW w:w="2025" w:type="dxa"/>
            <w:tcBorders>
              <w:tl2br w:val="nil"/>
              <w:tr2bl w:val="nil"/>
            </w:tcBorders>
            <w:vAlign w:val="center"/>
          </w:tcPr>
          <w:p w14:paraId="45A41605">
            <w:pPr>
              <w:keepNext w:val="0"/>
              <w:keepLines w:val="0"/>
              <w:pageBreakBefore w:val="0"/>
              <w:widowControl/>
              <w:kinsoku/>
              <w:wordWrap/>
              <w:overflowPunct/>
              <w:topLinePunct w:val="0"/>
              <w:autoSpaceDE/>
              <w:autoSpaceDN/>
              <w:bidi w:val="0"/>
              <w:adjustRightInd/>
              <w:snapToGrid/>
              <w:ind w:left="0" w:right="0"/>
              <w:jc w:val="center"/>
              <w:textAlignment w:val="center"/>
              <w:rPr>
                <w:rFonts w:ascii="Times New Roman" w:hAnsi="Times New Roman" w:cs="Times New Roman"/>
                <w:color w:val="auto"/>
                <w:sz w:val="21"/>
                <w:szCs w:val="21"/>
                <w:highlight w:val="none"/>
              </w:rPr>
            </w:pPr>
            <w:r>
              <w:rPr>
                <w:rFonts w:ascii="Times New Roman" w:hAnsi="Times New Roman" w:eastAsia="等线" w:cs="Times New Roman"/>
                <w:color w:val="auto"/>
                <w:sz w:val="21"/>
                <w:szCs w:val="21"/>
                <w:highlight w:val="none"/>
                <w:lang w:bidi="ar"/>
              </w:rPr>
              <w:t>-4</w:t>
            </w:r>
          </w:p>
        </w:tc>
      </w:tr>
      <w:tr w14:paraId="695E2D5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024" w:type="dxa"/>
            <w:gridSpan w:val="2"/>
            <w:vMerge w:val="continue"/>
            <w:tcBorders>
              <w:tl2br w:val="nil"/>
              <w:tr2bl w:val="nil"/>
            </w:tcBorders>
            <w:vAlign w:val="center"/>
          </w:tcPr>
          <w:p w14:paraId="1F212819">
            <w:pPr>
              <w:keepNext w:val="0"/>
              <w:keepLines w:val="0"/>
              <w:pageBreakBefore w:val="0"/>
              <w:widowControl/>
              <w:kinsoku/>
              <w:wordWrap/>
              <w:overflowPunct/>
              <w:topLinePunct w:val="0"/>
              <w:autoSpaceDE/>
              <w:autoSpaceDN/>
              <w:bidi w:val="0"/>
              <w:adjustRightInd/>
              <w:snapToGrid/>
              <w:ind w:left="0" w:right="0"/>
              <w:jc w:val="center"/>
              <w:rPr>
                <w:rFonts w:ascii="Times New Roman" w:hAnsi="Times New Roman" w:cs="Times New Roman"/>
                <w:color w:val="auto"/>
                <w:sz w:val="21"/>
                <w:szCs w:val="21"/>
                <w:highlight w:val="none"/>
              </w:rPr>
            </w:pPr>
          </w:p>
        </w:tc>
        <w:tc>
          <w:tcPr>
            <w:tcW w:w="2025" w:type="dxa"/>
            <w:tcBorders>
              <w:tl2br w:val="nil"/>
              <w:tr2bl w:val="nil"/>
            </w:tcBorders>
            <w:vAlign w:val="center"/>
          </w:tcPr>
          <w:p w14:paraId="7D99FF4D">
            <w:pPr>
              <w:keepNext w:val="0"/>
              <w:keepLines w:val="0"/>
              <w:pageBreakBefore w:val="0"/>
              <w:widowControl/>
              <w:kinsoku/>
              <w:wordWrap/>
              <w:overflowPunct/>
              <w:topLinePunct w:val="0"/>
              <w:autoSpaceDE/>
              <w:autoSpaceDN/>
              <w:bidi w:val="0"/>
              <w:adjustRightInd/>
              <w:snapToGrid/>
              <w:ind w:left="0" w:right="0"/>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18"/>
                <w:highlight w:val="none"/>
              </w:rPr>
              <w:t>废滤芯</w:t>
            </w:r>
          </w:p>
        </w:tc>
        <w:tc>
          <w:tcPr>
            <w:tcW w:w="2025" w:type="dxa"/>
            <w:tcBorders>
              <w:tl2br w:val="nil"/>
              <w:tr2bl w:val="nil"/>
            </w:tcBorders>
            <w:vAlign w:val="center"/>
          </w:tcPr>
          <w:p w14:paraId="286829E2">
            <w:pPr>
              <w:keepNext w:val="0"/>
              <w:keepLines w:val="0"/>
              <w:pageBreakBefore w:val="0"/>
              <w:widowControl/>
              <w:kinsoku/>
              <w:wordWrap/>
              <w:overflowPunct/>
              <w:topLinePunct w:val="0"/>
              <w:autoSpaceDE/>
              <w:autoSpaceDN/>
              <w:bidi w:val="0"/>
              <w:adjustRightInd/>
              <w:snapToGrid/>
              <w:ind w:left="0" w:right="0"/>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5</w:t>
            </w:r>
          </w:p>
        </w:tc>
        <w:tc>
          <w:tcPr>
            <w:tcW w:w="2025" w:type="dxa"/>
            <w:tcBorders>
              <w:tl2br w:val="nil"/>
              <w:tr2bl w:val="nil"/>
            </w:tcBorders>
            <w:vAlign w:val="center"/>
          </w:tcPr>
          <w:p w14:paraId="26E90EF3">
            <w:pPr>
              <w:keepNext w:val="0"/>
              <w:keepLines w:val="0"/>
              <w:pageBreakBefore w:val="0"/>
              <w:widowControl/>
              <w:kinsoku/>
              <w:wordWrap/>
              <w:overflowPunct/>
              <w:topLinePunct w:val="0"/>
              <w:autoSpaceDE/>
              <w:autoSpaceDN/>
              <w:bidi w:val="0"/>
              <w:adjustRightInd/>
              <w:snapToGrid/>
              <w:ind w:left="0" w:right="0"/>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0</w:t>
            </w:r>
          </w:p>
        </w:tc>
        <w:tc>
          <w:tcPr>
            <w:tcW w:w="2025" w:type="dxa"/>
            <w:tcBorders>
              <w:tl2br w:val="nil"/>
              <w:tr2bl w:val="nil"/>
            </w:tcBorders>
            <w:vAlign w:val="center"/>
          </w:tcPr>
          <w:p w14:paraId="7B62C9D1">
            <w:pPr>
              <w:keepNext w:val="0"/>
              <w:keepLines w:val="0"/>
              <w:pageBreakBefore w:val="0"/>
              <w:widowControl/>
              <w:kinsoku/>
              <w:wordWrap/>
              <w:overflowPunct/>
              <w:topLinePunct w:val="0"/>
              <w:autoSpaceDE/>
              <w:autoSpaceDN/>
              <w:bidi w:val="0"/>
              <w:adjustRightInd/>
              <w:snapToGrid/>
              <w:ind w:left="0" w:right="0"/>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2</w:t>
            </w:r>
          </w:p>
        </w:tc>
        <w:tc>
          <w:tcPr>
            <w:tcW w:w="2025" w:type="dxa"/>
            <w:tcBorders>
              <w:tl2br w:val="nil"/>
              <w:tr2bl w:val="nil"/>
            </w:tcBorders>
            <w:vAlign w:val="center"/>
          </w:tcPr>
          <w:p w14:paraId="34E1EE7D">
            <w:pPr>
              <w:keepNext w:val="0"/>
              <w:keepLines w:val="0"/>
              <w:pageBreakBefore w:val="0"/>
              <w:widowControl/>
              <w:kinsoku/>
              <w:wordWrap/>
              <w:overflowPunct/>
              <w:topLinePunct w:val="0"/>
              <w:autoSpaceDE/>
              <w:autoSpaceDN/>
              <w:bidi w:val="0"/>
              <w:adjustRightInd/>
              <w:snapToGrid/>
              <w:ind w:left="0" w:right="0"/>
              <w:jc w:val="center"/>
              <w:textAlignment w:val="center"/>
              <w:rPr>
                <w:rFonts w:ascii="Times New Roman" w:hAnsi="Times New Roman" w:cs="Times New Roman"/>
                <w:color w:val="auto"/>
                <w:sz w:val="21"/>
                <w:szCs w:val="21"/>
                <w:highlight w:val="none"/>
              </w:rPr>
            </w:pPr>
            <w:r>
              <w:rPr>
                <w:rFonts w:ascii="Times New Roman" w:hAnsi="Times New Roman" w:eastAsia="等线" w:cs="Times New Roman"/>
                <w:color w:val="auto"/>
                <w:sz w:val="21"/>
                <w:szCs w:val="21"/>
                <w:highlight w:val="none"/>
                <w:lang w:bidi="ar"/>
              </w:rPr>
              <w:t>7</w:t>
            </w:r>
          </w:p>
        </w:tc>
        <w:tc>
          <w:tcPr>
            <w:tcW w:w="2025" w:type="dxa"/>
            <w:tcBorders>
              <w:tl2br w:val="nil"/>
              <w:tr2bl w:val="nil"/>
            </w:tcBorders>
            <w:vAlign w:val="center"/>
          </w:tcPr>
          <w:p w14:paraId="74DA4F4D">
            <w:pPr>
              <w:keepNext w:val="0"/>
              <w:keepLines w:val="0"/>
              <w:pageBreakBefore w:val="0"/>
              <w:widowControl/>
              <w:kinsoku/>
              <w:wordWrap/>
              <w:overflowPunct/>
              <w:topLinePunct w:val="0"/>
              <w:autoSpaceDE/>
              <w:autoSpaceDN/>
              <w:bidi w:val="0"/>
              <w:adjustRightInd/>
              <w:snapToGrid/>
              <w:ind w:left="0" w:right="0"/>
              <w:jc w:val="center"/>
              <w:textAlignment w:val="center"/>
              <w:rPr>
                <w:rFonts w:ascii="Times New Roman" w:hAnsi="Times New Roman" w:cs="Times New Roman"/>
                <w:color w:val="auto"/>
                <w:sz w:val="21"/>
                <w:szCs w:val="21"/>
                <w:highlight w:val="none"/>
              </w:rPr>
            </w:pPr>
            <w:r>
              <w:rPr>
                <w:rFonts w:hint="eastAsia" w:ascii="Times New Roman" w:hAnsi="Times New Roman" w:eastAsia="等线" w:cs="Times New Roman"/>
                <w:color w:val="auto"/>
                <w:sz w:val="21"/>
                <w:szCs w:val="21"/>
                <w:highlight w:val="none"/>
                <w:lang w:val="en-US" w:eastAsia="zh-CN" w:bidi="ar"/>
              </w:rPr>
              <w:t>+</w:t>
            </w:r>
            <w:r>
              <w:rPr>
                <w:rFonts w:ascii="Times New Roman" w:hAnsi="Times New Roman" w:eastAsia="等线" w:cs="Times New Roman"/>
                <w:color w:val="auto"/>
                <w:sz w:val="21"/>
                <w:szCs w:val="21"/>
                <w:highlight w:val="none"/>
                <w:lang w:bidi="ar"/>
              </w:rPr>
              <w:t>2</w:t>
            </w:r>
          </w:p>
        </w:tc>
      </w:tr>
      <w:tr w14:paraId="19A9BD5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024" w:type="dxa"/>
            <w:gridSpan w:val="2"/>
            <w:vMerge w:val="continue"/>
            <w:tcBorders>
              <w:tl2br w:val="nil"/>
              <w:tr2bl w:val="nil"/>
            </w:tcBorders>
            <w:vAlign w:val="center"/>
          </w:tcPr>
          <w:p w14:paraId="640D5B5D">
            <w:pPr>
              <w:keepNext w:val="0"/>
              <w:keepLines w:val="0"/>
              <w:pageBreakBefore w:val="0"/>
              <w:widowControl/>
              <w:kinsoku/>
              <w:wordWrap/>
              <w:overflowPunct/>
              <w:topLinePunct w:val="0"/>
              <w:autoSpaceDE/>
              <w:autoSpaceDN/>
              <w:bidi w:val="0"/>
              <w:adjustRightInd/>
              <w:snapToGrid/>
              <w:ind w:left="0" w:right="0"/>
              <w:jc w:val="center"/>
              <w:rPr>
                <w:rFonts w:ascii="Times New Roman" w:hAnsi="Times New Roman" w:cs="Times New Roman"/>
                <w:color w:val="auto"/>
                <w:sz w:val="21"/>
                <w:szCs w:val="21"/>
                <w:highlight w:val="none"/>
              </w:rPr>
            </w:pPr>
          </w:p>
        </w:tc>
        <w:tc>
          <w:tcPr>
            <w:tcW w:w="2025" w:type="dxa"/>
            <w:tcBorders>
              <w:tl2br w:val="nil"/>
              <w:tr2bl w:val="nil"/>
            </w:tcBorders>
            <w:vAlign w:val="center"/>
          </w:tcPr>
          <w:p w14:paraId="56405F84">
            <w:pPr>
              <w:keepNext w:val="0"/>
              <w:keepLines w:val="0"/>
              <w:pageBreakBefore w:val="0"/>
              <w:widowControl/>
              <w:kinsoku/>
              <w:wordWrap/>
              <w:overflowPunct/>
              <w:topLinePunct w:val="0"/>
              <w:autoSpaceDE/>
              <w:autoSpaceDN/>
              <w:bidi w:val="0"/>
              <w:adjustRightInd/>
              <w:snapToGrid/>
              <w:ind w:left="0" w:right="0"/>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18"/>
                <w:highlight w:val="none"/>
              </w:rPr>
              <w:t>废丁酮（含废树脂）</w:t>
            </w:r>
          </w:p>
        </w:tc>
        <w:tc>
          <w:tcPr>
            <w:tcW w:w="2025" w:type="dxa"/>
            <w:tcBorders>
              <w:tl2br w:val="nil"/>
              <w:tr2bl w:val="nil"/>
            </w:tcBorders>
            <w:vAlign w:val="center"/>
          </w:tcPr>
          <w:p w14:paraId="47FE5AC9">
            <w:pPr>
              <w:keepNext w:val="0"/>
              <w:keepLines w:val="0"/>
              <w:pageBreakBefore w:val="0"/>
              <w:widowControl/>
              <w:kinsoku/>
              <w:wordWrap/>
              <w:overflowPunct/>
              <w:topLinePunct w:val="0"/>
              <w:autoSpaceDE/>
              <w:autoSpaceDN/>
              <w:bidi w:val="0"/>
              <w:adjustRightInd/>
              <w:snapToGrid/>
              <w:ind w:left="0" w:right="0"/>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153.75</w:t>
            </w:r>
          </w:p>
        </w:tc>
        <w:tc>
          <w:tcPr>
            <w:tcW w:w="2025" w:type="dxa"/>
            <w:tcBorders>
              <w:tl2br w:val="nil"/>
              <w:tr2bl w:val="nil"/>
            </w:tcBorders>
            <w:vAlign w:val="center"/>
          </w:tcPr>
          <w:p w14:paraId="40BD3663">
            <w:pPr>
              <w:keepNext w:val="0"/>
              <w:keepLines w:val="0"/>
              <w:pageBreakBefore w:val="0"/>
              <w:widowControl/>
              <w:kinsoku/>
              <w:wordWrap/>
              <w:overflowPunct/>
              <w:topLinePunct w:val="0"/>
              <w:autoSpaceDE/>
              <w:autoSpaceDN/>
              <w:bidi w:val="0"/>
              <w:adjustRightInd/>
              <w:snapToGrid/>
              <w:ind w:left="0" w:right="0"/>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15.375</w:t>
            </w:r>
          </w:p>
        </w:tc>
        <w:tc>
          <w:tcPr>
            <w:tcW w:w="2025" w:type="dxa"/>
            <w:tcBorders>
              <w:tl2br w:val="nil"/>
              <w:tr2bl w:val="nil"/>
            </w:tcBorders>
            <w:vAlign w:val="center"/>
          </w:tcPr>
          <w:p w14:paraId="0F4193EC">
            <w:pPr>
              <w:keepNext w:val="0"/>
              <w:keepLines w:val="0"/>
              <w:pageBreakBefore w:val="0"/>
              <w:widowControl/>
              <w:kinsoku/>
              <w:wordWrap/>
              <w:overflowPunct/>
              <w:topLinePunct w:val="0"/>
              <w:autoSpaceDE/>
              <w:autoSpaceDN/>
              <w:bidi w:val="0"/>
              <w:adjustRightInd/>
              <w:snapToGrid/>
              <w:ind w:left="0" w:right="0"/>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0</w:t>
            </w:r>
          </w:p>
        </w:tc>
        <w:tc>
          <w:tcPr>
            <w:tcW w:w="2025" w:type="dxa"/>
            <w:tcBorders>
              <w:tl2br w:val="nil"/>
              <w:tr2bl w:val="nil"/>
            </w:tcBorders>
            <w:vAlign w:val="center"/>
          </w:tcPr>
          <w:p w14:paraId="68E94E50">
            <w:pPr>
              <w:keepNext w:val="0"/>
              <w:keepLines w:val="0"/>
              <w:pageBreakBefore w:val="0"/>
              <w:widowControl/>
              <w:kinsoku/>
              <w:wordWrap/>
              <w:overflowPunct/>
              <w:topLinePunct w:val="0"/>
              <w:autoSpaceDE/>
              <w:autoSpaceDN/>
              <w:bidi w:val="0"/>
              <w:adjustRightInd/>
              <w:snapToGrid/>
              <w:ind w:left="0" w:right="0"/>
              <w:jc w:val="center"/>
              <w:textAlignment w:val="center"/>
              <w:rPr>
                <w:rFonts w:ascii="Times New Roman" w:hAnsi="Times New Roman" w:cs="Times New Roman"/>
                <w:color w:val="auto"/>
                <w:sz w:val="21"/>
                <w:szCs w:val="21"/>
                <w:highlight w:val="none"/>
              </w:rPr>
            </w:pPr>
            <w:r>
              <w:rPr>
                <w:rFonts w:ascii="Times New Roman" w:hAnsi="Times New Roman" w:eastAsia="等线" w:cs="Times New Roman"/>
                <w:color w:val="auto"/>
                <w:sz w:val="21"/>
                <w:szCs w:val="21"/>
                <w:highlight w:val="none"/>
                <w:lang w:bidi="ar"/>
              </w:rPr>
              <w:t>138.375</w:t>
            </w:r>
          </w:p>
        </w:tc>
        <w:tc>
          <w:tcPr>
            <w:tcW w:w="2025" w:type="dxa"/>
            <w:tcBorders>
              <w:tl2br w:val="nil"/>
              <w:tr2bl w:val="nil"/>
            </w:tcBorders>
            <w:vAlign w:val="center"/>
          </w:tcPr>
          <w:p w14:paraId="70C3F296">
            <w:pPr>
              <w:keepNext w:val="0"/>
              <w:keepLines w:val="0"/>
              <w:pageBreakBefore w:val="0"/>
              <w:widowControl/>
              <w:kinsoku/>
              <w:wordWrap/>
              <w:overflowPunct/>
              <w:topLinePunct w:val="0"/>
              <w:autoSpaceDE/>
              <w:autoSpaceDN/>
              <w:bidi w:val="0"/>
              <w:adjustRightInd/>
              <w:snapToGrid/>
              <w:ind w:left="0" w:right="0"/>
              <w:jc w:val="center"/>
              <w:textAlignment w:val="center"/>
              <w:rPr>
                <w:rFonts w:ascii="Times New Roman" w:hAnsi="Times New Roman" w:cs="Times New Roman"/>
                <w:color w:val="auto"/>
                <w:sz w:val="21"/>
                <w:szCs w:val="21"/>
                <w:highlight w:val="none"/>
              </w:rPr>
            </w:pPr>
            <w:r>
              <w:rPr>
                <w:rFonts w:ascii="Times New Roman" w:hAnsi="Times New Roman" w:eastAsia="等线" w:cs="Times New Roman"/>
                <w:color w:val="auto"/>
                <w:sz w:val="21"/>
                <w:szCs w:val="21"/>
                <w:highlight w:val="none"/>
                <w:lang w:bidi="ar"/>
              </w:rPr>
              <w:t>-15.375</w:t>
            </w:r>
          </w:p>
        </w:tc>
      </w:tr>
      <w:tr w14:paraId="54C76F2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024" w:type="dxa"/>
            <w:gridSpan w:val="2"/>
            <w:vMerge w:val="continue"/>
            <w:tcBorders>
              <w:tl2br w:val="nil"/>
              <w:tr2bl w:val="nil"/>
            </w:tcBorders>
            <w:vAlign w:val="center"/>
          </w:tcPr>
          <w:p w14:paraId="7EF99117">
            <w:pPr>
              <w:keepNext w:val="0"/>
              <w:keepLines w:val="0"/>
              <w:pageBreakBefore w:val="0"/>
              <w:widowControl/>
              <w:kinsoku/>
              <w:wordWrap/>
              <w:overflowPunct/>
              <w:topLinePunct w:val="0"/>
              <w:autoSpaceDE/>
              <w:autoSpaceDN/>
              <w:bidi w:val="0"/>
              <w:adjustRightInd/>
              <w:snapToGrid/>
              <w:ind w:left="0" w:right="0"/>
              <w:jc w:val="center"/>
              <w:rPr>
                <w:rFonts w:ascii="Times New Roman" w:hAnsi="Times New Roman" w:cs="Times New Roman"/>
                <w:color w:val="auto"/>
                <w:sz w:val="21"/>
                <w:szCs w:val="21"/>
                <w:highlight w:val="none"/>
              </w:rPr>
            </w:pPr>
          </w:p>
        </w:tc>
        <w:tc>
          <w:tcPr>
            <w:tcW w:w="2025" w:type="dxa"/>
            <w:tcBorders>
              <w:tl2br w:val="nil"/>
              <w:tr2bl w:val="nil"/>
            </w:tcBorders>
            <w:vAlign w:val="center"/>
          </w:tcPr>
          <w:p w14:paraId="54EB1B8B">
            <w:pPr>
              <w:keepNext w:val="0"/>
              <w:keepLines w:val="0"/>
              <w:pageBreakBefore w:val="0"/>
              <w:widowControl/>
              <w:kinsoku/>
              <w:wordWrap/>
              <w:overflowPunct/>
              <w:topLinePunct w:val="0"/>
              <w:autoSpaceDE/>
              <w:autoSpaceDN/>
              <w:bidi w:val="0"/>
              <w:adjustRightInd/>
              <w:snapToGrid/>
              <w:ind w:left="0" w:right="0"/>
              <w:jc w:val="center"/>
              <w:rPr>
                <w:rFonts w:ascii="Times New Roman" w:hAnsi="Times New Roman" w:cs="Times New Roman"/>
                <w:color w:val="auto"/>
                <w:sz w:val="21"/>
                <w:szCs w:val="18"/>
                <w:highlight w:val="none"/>
              </w:rPr>
            </w:pPr>
            <w:r>
              <w:rPr>
                <w:rFonts w:hint="eastAsia" w:ascii="Times New Roman" w:hAnsi="Times New Roman" w:cs="Times New Roman"/>
                <w:color w:val="auto"/>
                <w:sz w:val="21"/>
                <w:szCs w:val="18"/>
                <w:highlight w:val="none"/>
              </w:rPr>
              <w:t>废活性炭</w:t>
            </w:r>
          </w:p>
          <w:p w14:paraId="0730C4D7">
            <w:pPr>
              <w:keepNext w:val="0"/>
              <w:keepLines w:val="0"/>
              <w:pageBreakBefore w:val="0"/>
              <w:widowControl/>
              <w:kinsoku/>
              <w:wordWrap/>
              <w:overflowPunct/>
              <w:topLinePunct w:val="0"/>
              <w:autoSpaceDE/>
              <w:autoSpaceDN/>
              <w:bidi w:val="0"/>
              <w:adjustRightInd/>
              <w:snapToGrid/>
              <w:ind w:left="0" w:right="0"/>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18"/>
                <w:highlight w:val="none"/>
              </w:rPr>
              <w:t>（废气处理）</w:t>
            </w:r>
          </w:p>
        </w:tc>
        <w:tc>
          <w:tcPr>
            <w:tcW w:w="2025" w:type="dxa"/>
            <w:tcBorders>
              <w:tl2br w:val="nil"/>
              <w:tr2bl w:val="nil"/>
            </w:tcBorders>
            <w:vAlign w:val="center"/>
          </w:tcPr>
          <w:p w14:paraId="7CAC719C">
            <w:pPr>
              <w:keepNext w:val="0"/>
              <w:keepLines w:val="0"/>
              <w:pageBreakBefore w:val="0"/>
              <w:widowControl/>
              <w:kinsoku/>
              <w:wordWrap/>
              <w:overflowPunct/>
              <w:topLinePunct w:val="0"/>
              <w:autoSpaceDE/>
              <w:autoSpaceDN/>
              <w:bidi w:val="0"/>
              <w:adjustRightInd/>
              <w:snapToGrid/>
              <w:ind w:left="0" w:right="0"/>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9.612</w:t>
            </w:r>
          </w:p>
        </w:tc>
        <w:tc>
          <w:tcPr>
            <w:tcW w:w="2025" w:type="dxa"/>
            <w:tcBorders>
              <w:tl2br w:val="nil"/>
              <w:tr2bl w:val="nil"/>
            </w:tcBorders>
            <w:vAlign w:val="center"/>
          </w:tcPr>
          <w:p w14:paraId="5F9E6A9A">
            <w:pPr>
              <w:keepNext w:val="0"/>
              <w:keepLines w:val="0"/>
              <w:pageBreakBefore w:val="0"/>
              <w:widowControl/>
              <w:kinsoku/>
              <w:wordWrap/>
              <w:overflowPunct/>
              <w:topLinePunct w:val="0"/>
              <w:autoSpaceDE/>
              <w:autoSpaceDN/>
              <w:bidi w:val="0"/>
              <w:adjustRightInd/>
              <w:snapToGrid/>
              <w:ind w:left="0" w:right="0"/>
              <w:jc w:val="center"/>
              <w:textAlignment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lang w:bidi="ar"/>
              </w:rPr>
              <w:t>1.612</w:t>
            </w:r>
          </w:p>
        </w:tc>
        <w:tc>
          <w:tcPr>
            <w:tcW w:w="2025" w:type="dxa"/>
            <w:tcBorders>
              <w:tl2br w:val="nil"/>
              <w:tr2bl w:val="nil"/>
            </w:tcBorders>
            <w:vAlign w:val="center"/>
          </w:tcPr>
          <w:p w14:paraId="2872D5BB">
            <w:pPr>
              <w:keepNext w:val="0"/>
              <w:keepLines w:val="0"/>
              <w:pageBreakBefore w:val="0"/>
              <w:widowControl/>
              <w:kinsoku/>
              <w:wordWrap/>
              <w:overflowPunct/>
              <w:topLinePunct w:val="0"/>
              <w:autoSpaceDE/>
              <w:autoSpaceDN/>
              <w:bidi w:val="0"/>
              <w:adjustRightInd/>
              <w:snapToGrid/>
              <w:ind w:left="0" w:right="0"/>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lang w:val="en-US" w:eastAsia="zh-CN"/>
              </w:rPr>
              <w:t>10.4089</w:t>
            </w:r>
          </w:p>
        </w:tc>
        <w:tc>
          <w:tcPr>
            <w:tcW w:w="2025" w:type="dxa"/>
            <w:tcBorders>
              <w:tl2br w:val="nil"/>
              <w:tr2bl w:val="nil"/>
            </w:tcBorders>
            <w:vAlign w:val="center"/>
          </w:tcPr>
          <w:p w14:paraId="6861FB83">
            <w:pPr>
              <w:keepNext w:val="0"/>
              <w:keepLines w:val="0"/>
              <w:pageBreakBefore w:val="0"/>
              <w:widowControl/>
              <w:kinsoku/>
              <w:wordWrap/>
              <w:overflowPunct/>
              <w:topLinePunct w:val="0"/>
              <w:autoSpaceDE/>
              <w:autoSpaceDN/>
              <w:bidi w:val="0"/>
              <w:adjustRightInd/>
              <w:snapToGrid/>
              <w:ind w:left="0" w:right="0"/>
              <w:jc w:val="center"/>
              <w:textAlignment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18.4089</w:t>
            </w:r>
          </w:p>
        </w:tc>
        <w:tc>
          <w:tcPr>
            <w:tcW w:w="2025" w:type="dxa"/>
            <w:tcBorders>
              <w:tl2br w:val="nil"/>
              <w:tr2bl w:val="nil"/>
            </w:tcBorders>
            <w:vAlign w:val="center"/>
          </w:tcPr>
          <w:p w14:paraId="22CDB82C">
            <w:pPr>
              <w:keepNext w:val="0"/>
              <w:keepLines w:val="0"/>
              <w:pageBreakBefore w:val="0"/>
              <w:widowControl/>
              <w:kinsoku/>
              <w:wordWrap/>
              <w:overflowPunct/>
              <w:topLinePunct w:val="0"/>
              <w:autoSpaceDE/>
              <w:autoSpaceDN/>
              <w:bidi w:val="0"/>
              <w:adjustRightInd/>
              <w:snapToGrid/>
              <w:ind w:left="0" w:right="0"/>
              <w:jc w:val="center"/>
              <w:textAlignment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+8.7969</w:t>
            </w:r>
          </w:p>
        </w:tc>
      </w:tr>
      <w:tr w14:paraId="54C7170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024" w:type="dxa"/>
            <w:gridSpan w:val="2"/>
            <w:vMerge w:val="continue"/>
            <w:tcBorders>
              <w:tl2br w:val="nil"/>
              <w:tr2bl w:val="nil"/>
            </w:tcBorders>
            <w:vAlign w:val="center"/>
          </w:tcPr>
          <w:p w14:paraId="6430CD2B">
            <w:pPr>
              <w:keepNext w:val="0"/>
              <w:keepLines w:val="0"/>
              <w:pageBreakBefore w:val="0"/>
              <w:widowControl/>
              <w:kinsoku/>
              <w:wordWrap/>
              <w:overflowPunct/>
              <w:topLinePunct w:val="0"/>
              <w:autoSpaceDE/>
              <w:autoSpaceDN/>
              <w:bidi w:val="0"/>
              <w:adjustRightInd/>
              <w:snapToGrid/>
              <w:ind w:left="0" w:right="0"/>
              <w:jc w:val="center"/>
              <w:rPr>
                <w:rFonts w:ascii="Times New Roman" w:hAnsi="Times New Roman" w:cs="Times New Roman"/>
                <w:color w:val="auto"/>
                <w:sz w:val="21"/>
                <w:szCs w:val="21"/>
                <w:highlight w:val="none"/>
              </w:rPr>
            </w:pPr>
          </w:p>
        </w:tc>
        <w:tc>
          <w:tcPr>
            <w:tcW w:w="2025" w:type="dxa"/>
            <w:tcBorders>
              <w:tl2br w:val="nil"/>
              <w:tr2bl w:val="nil"/>
            </w:tcBorders>
            <w:vAlign w:val="center"/>
          </w:tcPr>
          <w:p w14:paraId="2C31B855">
            <w:pPr>
              <w:keepNext w:val="0"/>
              <w:keepLines w:val="0"/>
              <w:pageBreakBefore w:val="0"/>
              <w:widowControl/>
              <w:kinsoku/>
              <w:wordWrap/>
              <w:overflowPunct/>
              <w:topLinePunct w:val="0"/>
              <w:autoSpaceDE/>
              <w:autoSpaceDN/>
              <w:bidi w:val="0"/>
              <w:adjustRightInd/>
              <w:snapToGrid/>
              <w:ind w:left="0" w:right="0"/>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18"/>
                <w:highlight w:val="none"/>
              </w:rPr>
              <w:t>废包装桶（瓶）</w:t>
            </w:r>
          </w:p>
        </w:tc>
        <w:tc>
          <w:tcPr>
            <w:tcW w:w="2025" w:type="dxa"/>
            <w:tcBorders>
              <w:tl2br w:val="nil"/>
              <w:tr2bl w:val="nil"/>
            </w:tcBorders>
            <w:vAlign w:val="center"/>
          </w:tcPr>
          <w:p w14:paraId="0332A569">
            <w:pPr>
              <w:keepNext w:val="0"/>
              <w:keepLines w:val="0"/>
              <w:pageBreakBefore w:val="0"/>
              <w:widowControl/>
              <w:kinsoku/>
              <w:wordWrap/>
              <w:overflowPunct/>
              <w:topLinePunct w:val="0"/>
              <w:autoSpaceDE/>
              <w:autoSpaceDN/>
              <w:bidi w:val="0"/>
              <w:adjustRightInd/>
              <w:snapToGrid/>
              <w:ind w:left="0" w:right="0"/>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184.135</w:t>
            </w:r>
          </w:p>
        </w:tc>
        <w:tc>
          <w:tcPr>
            <w:tcW w:w="2025" w:type="dxa"/>
            <w:tcBorders>
              <w:tl2br w:val="nil"/>
              <w:tr2bl w:val="nil"/>
            </w:tcBorders>
            <w:vAlign w:val="center"/>
          </w:tcPr>
          <w:p w14:paraId="7F134F26">
            <w:pPr>
              <w:keepNext w:val="0"/>
              <w:keepLines w:val="0"/>
              <w:pageBreakBefore w:val="0"/>
              <w:widowControl/>
              <w:kinsoku/>
              <w:wordWrap/>
              <w:overflowPunct/>
              <w:topLinePunct w:val="0"/>
              <w:autoSpaceDE/>
              <w:autoSpaceDN/>
              <w:bidi w:val="0"/>
              <w:adjustRightInd/>
              <w:snapToGrid/>
              <w:ind w:left="0" w:right="0"/>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18.4135</w:t>
            </w:r>
          </w:p>
        </w:tc>
        <w:tc>
          <w:tcPr>
            <w:tcW w:w="2025" w:type="dxa"/>
            <w:tcBorders>
              <w:tl2br w:val="nil"/>
              <w:tr2bl w:val="nil"/>
            </w:tcBorders>
            <w:vAlign w:val="center"/>
          </w:tcPr>
          <w:p w14:paraId="4FCAE7ED">
            <w:pPr>
              <w:keepNext w:val="0"/>
              <w:keepLines w:val="0"/>
              <w:pageBreakBefore w:val="0"/>
              <w:widowControl/>
              <w:kinsoku/>
              <w:wordWrap/>
              <w:overflowPunct/>
              <w:topLinePunct w:val="0"/>
              <w:autoSpaceDE/>
              <w:autoSpaceDN/>
              <w:bidi w:val="0"/>
              <w:adjustRightInd/>
              <w:snapToGrid/>
              <w:ind w:left="0" w:right="0"/>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lang w:val="en-US" w:eastAsia="zh-CN"/>
              </w:rPr>
              <w:t>7.79</w:t>
            </w:r>
          </w:p>
        </w:tc>
        <w:tc>
          <w:tcPr>
            <w:tcW w:w="2025" w:type="dxa"/>
            <w:tcBorders>
              <w:tl2br w:val="nil"/>
              <w:tr2bl w:val="nil"/>
            </w:tcBorders>
            <w:vAlign w:val="center"/>
          </w:tcPr>
          <w:p w14:paraId="2A6CFD54">
            <w:pPr>
              <w:keepNext w:val="0"/>
              <w:keepLines w:val="0"/>
              <w:pageBreakBefore w:val="0"/>
              <w:widowControl/>
              <w:kinsoku/>
              <w:wordWrap/>
              <w:overflowPunct/>
              <w:topLinePunct w:val="0"/>
              <w:autoSpaceDE/>
              <w:autoSpaceDN/>
              <w:bidi w:val="0"/>
              <w:adjustRightInd/>
              <w:snapToGrid/>
              <w:ind w:left="0" w:right="0"/>
              <w:jc w:val="center"/>
              <w:textAlignment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173.5115</w:t>
            </w:r>
          </w:p>
        </w:tc>
        <w:tc>
          <w:tcPr>
            <w:tcW w:w="2025" w:type="dxa"/>
            <w:tcBorders>
              <w:tl2br w:val="nil"/>
              <w:tr2bl w:val="nil"/>
            </w:tcBorders>
            <w:vAlign w:val="center"/>
          </w:tcPr>
          <w:p w14:paraId="223B2E75">
            <w:pPr>
              <w:keepNext w:val="0"/>
              <w:keepLines w:val="0"/>
              <w:pageBreakBefore w:val="0"/>
              <w:widowControl/>
              <w:kinsoku/>
              <w:wordWrap/>
              <w:overflowPunct/>
              <w:topLinePunct w:val="0"/>
              <w:autoSpaceDE/>
              <w:autoSpaceDN/>
              <w:bidi w:val="0"/>
              <w:adjustRightInd/>
              <w:snapToGrid/>
              <w:ind w:left="0" w:right="0"/>
              <w:jc w:val="center"/>
              <w:textAlignment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-10.6235</w:t>
            </w:r>
          </w:p>
        </w:tc>
      </w:tr>
      <w:tr w14:paraId="0A9079B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024" w:type="dxa"/>
            <w:gridSpan w:val="2"/>
            <w:vMerge w:val="continue"/>
            <w:tcBorders>
              <w:tl2br w:val="nil"/>
              <w:tr2bl w:val="nil"/>
            </w:tcBorders>
            <w:vAlign w:val="center"/>
          </w:tcPr>
          <w:p w14:paraId="25649A16">
            <w:pPr>
              <w:keepNext w:val="0"/>
              <w:keepLines w:val="0"/>
              <w:pageBreakBefore w:val="0"/>
              <w:widowControl/>
              <w:kinsoku/>
              <w:wordWrap/>
              <w:overflowPunct/>
              <w:topLinePunct w:val="0"/>
              <w:autoSpaceDE/>
              <w:autoSpaceDN/>
              <w:bidi w:val="0"/>
              <w:adjustRightInd/>
              <w:snapToGrid/>
              <w:ind w:left="0" w:right="0"/>
              <w:jc w:val="center"/>
              <w:rPr>
                <w:rFonts w:ascii="Times New Roman" w:hAnsi="Times New Roman" w:cs="Times New Roman"/>
                <w:color w:val="auto"/>
                <w:sz w:val="21"/>
                <w:szCs w:val="21"/>
                <w:highlight w:val="none"/>
              </w:rPr>
            </w:pPr>
          </w:p>
        </w:tc>
        <w:tc>
          <w:tcPr>
            <w:tcW w:w="2025" w:type="dxa"/>
            <w:tcBorders>
              <w:tl2br w:val="nil"/>
              <w:tr2bl w:val="nil"/>
            </w:tcBorders>
            <w:vAlign w:val="center"/>
          </w:tcPr>
          <w:p w14:paraId="6FD5B8FC">
            <w:pPr>
              <w:keepNext w:val="0"/>
              <w:keepLines w:val="0"/>
              <w:pageBreakBefore w:val="0"/>
              <w:widowControl/>
              <w:kinsoku/>
              <w:wordWrap/>
              <w:overflowPunct/>
              <w:topLinePunct w:val="0"/>
              <w:autoSpaceDE/>
              <w:autoSpaceDN/>
              <w:bidi w:val="0"/>
              <w:adjustRightInd/>
              <w:snapToGrid/>
              <w:ind w:left="0" w:right="0"/>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18"/>
                <w:highlight w:val="none"/>
              </w:rPr>
              <w:t>喷淋废液</w:t>
            </w:r>
          </w:p>
        </w:tc>
        <w:tc>
          <w:tcPr>
            <w:tcW w:w="2025" w:type="dxa"/>
            <w:tcBorders>
              <w:tl2br w:val="nil"/>
              <w:tr2bl w:val="nil"/>
            </w:tcBorders>
            <w:vAlign w:val="center"/>
          </w:tcPr>
          <w:p w14:paraId="1600E003">
            <w:pPr>
              <w:keepNext w:val="0"/>
              <w:keepLines w:val="0"/>
              <w:pageBreakBefore w:val="0"/>
              <w:widowControl/>
              <w:kinsoku/>
              <w:wordWrap/>
              <w:overflowPunct/>
              <w:topLinePunct w:val="0"/>
              <w:autoSpaceDE/>
              <w:autoSpaceDN/>
              <w:bidi w:val="0"/>
              <w:adjustRightInd/>
              <w:snapToGrid/>
              <w:ind w:left="0" w:right="0"/>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600</w:t>
            </w:r>
          </w:p>
        </w:tc>
        <w:tc>
          <w:tcPr>
            <w:tcW w:w="2025" w:type="dxa"/>
            <w:tcBorders>
              <w:tl2br w:val="nil"/>
              <w:tr2bl w:val="nil"/>
            </w:tcBorders>
            <w:vAlign w:val="center"/>
          </w:tcPr>
          <w:p w14:paraId="3868452F">
            <w:pPr>
              <w:keepNext w:val="0"/>
              <w:keepLines w:val="0"/>
              <w:pageBreakBefore w:val="0"/>
              <w:widowControl/>
              <w:kinsoku/>
              <w:wordWrap/>
              <w:overflowPunct/>
              <w:topLinePunct w:val="0"/>
              <w:autoSpaceDE/>
              <w:autoSpaceDN/>
              <w:bidi w:val="0"/>
              <w:adjustRightInd/>
              <w:snapToGrid/>
              <w:ind w:left="0" w:right="0"/>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0</w:t>
            </w:r>
          </w:p>
        </w:tc>
        <w:tc>
          <w:tcPr>
            <w:tcW w:w="2025" w:type="dxa"/>
            <w:tcBorders>
              <w:tl2br w:val="nil"/>
              <w:tr2bl w:val="nil"/>
            </w:tcBorders>
            <w:vAlign w:val="center"/>
          </w:tcPr>
          <w:p w14:paraId="152762F9">
            <w:pPr>
              <w:keepNext w:val="0"/>
              <w:keepLines w:val="0"/>
              <w:pageBreakBefore w:val="0"/>
              <w:widowControl/>
              <w:kinsoku/>
              <w:wordWrap/>
              <w:overflowPunct/>
              <w:topLinePunct w:val="0"/>
              <w:autoSpaceDE/>
              <w:autoSpaceDN/>
              <w:bidi w:val="0"/>
              <w:adjustRightInd/>
              <w:snapToGrid/>
              <w:ind w:left="0" w:right="0"/>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0</w:t>
            </w:r>
          </w:p>
        </w:tc>
        <w:tc>
          <w:tcPr>
            <w:tcW w:w="2025" w:type="dxa"/>
            <w:tcBorders>
              <w:tl2br w:val="nil"/>
              <w:tr2bl w:val="nil"/>
            </w:tcBorders>
            <w:vAlign w:val="center"/>
          </w:tcPr>
          <w:p w14:paraId="0ADE05D8">
            <w:pPr>
              <w:keepNext w:val="0"/>
              <w:keepLines w:val="0"/>
              <w:pageBreakBefore w:val="0"/>
              <w:widowControl/>
              <w:kinsoku/>
              <w:wordWrap/>
              <w:overflowPunct/>
              <w:topLinePunct w:val="0"/>
              <w:autoSpaceDE/>
              <w:autoSpaceDN/>
              <w:bidi w:val="0"/>
              <w:adjustRightInd/>
              <w:snapToGrid/>
              <w:ind w:left="0" w:right="0"/>
              <w:jc w:val="center"/>
              <w:textAlignment w:val="center"/>
              <w:rPr>
                <w:rFonts w:ascii="Times New Roman" w:hAnsi="Times New Roman" w:cs="Times New Roman"/>
                <w:color w:val="auto"/>
                <w:sz w:val="21"/>
                <w:szCs w:val="21"/>
                <w:highlight w:val="none"/>
              </w:rPr>
            </w:pPr>
            <w:r>
              <w:rPr>
                <w:rFonts w:ascii="Times New Roman" w:hAnsi="Times New Roman" w:eastAsia="等线" w:cs="Times New Roman"/>
                <w:color w:val="auto"/>
                <w:sz w:val="21"/>
                <w:szCs w:val="21"/>
                <w:highlight w:val="none"/>
                <w:lang w:bidi="ar"/>
              </w:rPr>
              <w:t>600</w:t>
            </w:r>
          </w:p>
        </w:tc>
        <w:tc>
          <w:tcPr>
            <w:tcW w:w="2025" w:type="dxa"/>
            <w:tcBorders>
              <w:tl2br w:val="nil"/>
              <w:tr2bl w:val="nil"/>
            </w:tcBorders>
            <w:vAlign w:val="center"/>
          </w:tcPr>
          <w:p w14:paraId="27729C0B">
            <w:pPr>
              <w:keepNext w:val="0"/>
              <w:keepLines w:val="0"/>
              <w:pageBreakBefore w:val="0"/>
              <w:widowControl/>
              <w:kinsoku/>
              <w:wordWrap/>
              <w:overflowPunct/>
              <w:topLinePunct w:val="0"/>
              <w:autoSpaceDE/>
              <w:autoSpaceDN/>
              <w:bidi w:val="0"/>
              <w:adjustRightInd/>
              <w:snapToGrid/>
              <w:ind w:left="0" w:right="0"/>
              <w:jc w:val="center"/>
              <w:textAlignment w:val="center"/>
              <w:rPr>
                <w:rFonts w:ascii="Times New Roman" w:hAnsi="Times New Roman" w:cs="Times New Roman"/>
                <w:color w:val="auto"/>
                <w:sz w:val="21"/>
                <w:szCs w:val="21"/>
                <w:highlight w:val="none"/>
              </w:rPr>
            </w:pPr>
            <w:r>
              <w:rPr>
                <w:rFonts w:ascii="Times New Roman" w:hAnsi="Times New Roman" w:eastAsia="等线" w:cs="Times New Roman"/>
                <w:color w:val="auto"/>
                <w:sz w:val="21"/>
                <w:szCs w:val="21"/>
                <w:highlight w:val="none"/>
                <w:lang w:bidi="ar"/>
              </w:rPr>
              <w:t>0</w:t>
            </w:r>
          </w:p>
        </w:tc>
      </w:tr>
      <w:tr w14:paraId="75E3A73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024" w:type="dxa"/>
            <w:gridSpan w:val="2"/>
            <w:vMerge w:val="continue"/>
            <w:tcBorders>
              <w:tl2br w:val="nil"/>
              <w:tr2bl w:val="nil"/>
            </w:tcBorders>
            <w:vAlign w:val="center"/>
          </w:tcPr>
          <w:p w14:paraId="7BBEA635">
            <w:pPr>
              <w:keepNext w:val="0"/>
              <w:keepLines w:val="0"/>
              <w:pageBreakBefore w:val="0"/>
              <w:widowControl/>
              <w:kinsoku/>
              <w:wordWrap/>
              <w:overflowPunct/>
              <w:topLinePunct w:val="0"/>
              <w:autoSpaceDE/>
              <w:autoSpaceDN/>
              <w:bidi w:val="0"/>
              <w:adjustRightInd/>
              <w:snapToGrid/>
              <w:ind w:left="0" w:right="0"/>
              <w:jc w:val="center"/>
              <w:rPr>
                <w:rFonts w:ascii="Times New Roman" w:hAnsi="Times New Roman" w:cs="Times New Roman"/>
                <w:color w:val="auto"/>
                <w:sz w:val="21"/>
                <w:szCs w:val="21"/>
                <w:highlight w:val="none"/>
              </w:rPr>
            </w:pPr>
          </w:p>
        </w:tc>
        <w:tc>
          <w:tcPr>
            <w:tcW w:w="2025" w:type="dxa"/>
            <w:tcBorders>
              <w:tl2br w:val="nil"/>
              <w:tr2bl w:val="nil"/>
            </w:tcBorders>
            <w:vAlign w:val="center"/>
          </w:tcPr>
          <w:p w14:paraId="37D3EE24">
            <w:pPr>
              <w:keepNext w:val="0"/>
              <w:keepLines w:val="0"/>
              <w:pageBreakBefore w:val="0"/>
              <w:widowControl/>
              <w:kinsoku/>
              <w:wordWrap/>
              <w:overflowPunct/>
              <w:topLinePunct w:val="0"/>
              <w:autoSpaceDE/>
              <w:autoSpaceDN/>
              <w:bidi w:val="0"/>
              <w:adjustRightInd/>
              <w:snapToGrid/>
              <w:ind w:left="0" w:right="0"/>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18"/>
                <w:highlight w:val="none"/>
              </w:rPr>
              <w:t>实验废液</w:t>
            </w:r>
          </w:p>
        </w:tc>
        <w:tc>
          <w:tcPr>
            <w:tcW w:w="2025" w:type="dxa"/>
            <w:tcBorders>
              <w:tl2br w:val="nil"/>
              <w:tr2bl w:val="nil"/>
            </w:tcBorders>
            <w:vAlign w:val="center"/>
          </w:tcPr>
          <w:p w14:paraId="230E1B60">
            <w:pPr>
              <w:keepNext w:val="0"/>
              <w:keepLines w:val="0"/>
              <w:pageBreakBefore w:val="0"/>
              <w:widowControl/>
              <w:kinsoku/>
              <w:wordWrap/>
              <w:overflowPunct/>
              <w:topLinePunct w:val="0"/>
              <w:autoSpaceDE/>
              <w:autoSpaceDN/>
              <w:bidi w:val="0"/>
              <w:adjustRightInd/>
              <w:snapToGrid/>
              <w:ind w:left="0" w:right="0"/>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0</w:t>
            </w:r>
          </w:p>
        </w:tc>
        <w:tc>
          <w:tcPr>
            <w:tcW w:w="2025" w:type="dxa"/>
            <w:tcBorders>
              <w:tl2br w:val="nil"/>
              <w:tr2bl w:val="nil"/>
            </w:tcBorders>
            <w:vAlign w:val="center"/>
          </w:tcPr>
          <w:p w14:paraId="445E4A76">
            <w:pPr>
              <w:keepNext w:val="0"/>
              <w:keepLines w:val="0"/>
              <w:pageBreakBefore w:val="0"/>
              <w:widowControl/>
              <w:kinsoku/>
              <w:wordWrap/>
              <w:overflowPunct/>
              <w:topLinePunct w:val="0"/>
              <w:autoSpaceDE/>
              <w:autoSpaceDN/>
              <w:bidi w:val="0"/>
              <w:adjustRightInd/>
              <w:snapToGrid/>
              <w:ind w:left="0" w:right="0"/>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0</w:t>
            </w:r>
          </w:p>
        </w:tc>
        <w:tc>
          <w:tcPr>
            <w:tcW w:w="2025" w:type="dxa"/>
            <w:tcBorders>
              <w:tl2br w:val="nil"/>
              <w:tr2bl w:val="nil"/>
            </w:tcBorders>
            <w:vAlign w:val="center"/>
          </w:tcPr>
          <w:p w14:paraId="516999D9">
            <w:pPr>
              <w:keepNext w:val="0"/>
              <w:keepLines w:val="0"/>
              <w:pageBreakBefore w:val="0"/>
              <w:widowControl/>
              <w:kinsoku/>
              <w:wordWrap/>
              <w:overflowPunct/>
              <w:topLinePunct w:val="0"/>
              <w:autoSpaceDE/>
              <w:autoSpaceDN/>
              <w:bidi w:val="0"/>
              <w:adjustRightInd/>
              <w:snapToGrid/>
              <w:ind w:left="0" w:right="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0.02</w:t>
            </w:r>
          </w:p>
        </w:tc>
        <w:tc>
          <w:tcPr>
            <w:tcW w:w="2025" w:type="dxa"/>
            <w:tcBorders>
              <w:tl2br w:val="nil"/>
              <w:tr2bl w:val="nil"/>
            </w:tcBorders>
            <w:vAlign w:val="center"/>
          </w:tcPr>
          <w:p w14:paraId="193725B6">
            <w:pPr>
              <w:keepNext w:val="0"/>
              <w:keepLines w:val="0"/>
              <w:pageBreakBefore w:val="0"/>
              <w:widowControl/>
              <w:kinsoku/>
              <w:wordWrap/>
              <w:overflowPunct/>
              <w:topLinePunct w:val="0"/>
              <w:autoSpaceDE/>
              <w:autoSpaceDN/>
              <w:bidi w:val="0"/>
              <w:adjustRightInd/>
              <w:snapToGrid/>
              <w:ind w:left="0" w:right="0"/>
              <w:jc w:val="center"/>
              <w:textAlignment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lang w:val="en-US" w:eastAsia="zh-CN"/>
              </w:rPr>
              <w:t>0.02</w:t>
            </w:r>
          </w:p>
        </w:tc>
        <w:tc>
          <w:tcPr>
            <w:tcW w:w="2025" w:type="dxa"/>
            <w:tcBorders>
              <w:tl2br w:val="nil"/>
              <w:tr2bl w:val="nil"/>
            </w:tcBorders>
            <w:vAlign w:val="center"/>
          </w:tcPr>
          <w:p w14:paraId="0DE5F030">
            <w:pPr>
              <w:keepNext w:val="0"/>
              <w:keepLines w:val="0"/>
              <w:pageBreakBefore w:val="0"/>
              <w:widowControl/>
              <w:kinsoku/>
              <w:wordWrap/>
              <w:overflowPunct/>
              <w:topLinePunct w:val="0"/>
              <w:autoSpaceDE/>
              <w:autoSpaceDN/>
              <w:bidi w:val="0"/>
              <w:adjustRightInd/>
              <w:snapToGrid/>
              <w:ind w:left="0" w:right="0"/>
              <w:jc w:val="center"/>
              <w:textAlignment w:val="center"/>
              <w:rPr>
                <w:rFonts w:ascii="Times New Roman" w:hAnsi="Times New Roman" w:cs="Times New Roman"/>
                <w:color w:val="auto"/>
                <w:sz w:val="21"/>
                <w:szCs w:val="21"/>
                <w:highlight w:val="none"/>
              </w:rPr>
            </w:pPr>
            <w:r>
              <w:rPr>
                <w:rFonts w:hint="eastAsia" w:ascii="Times New Roman" w:hAnsi="Times New Roman" w:eastAsia="等线" w:cs="Times New Roman"/>
                <w:color w:val="auto"/>
                <w:sz w:val="21"/>
                <w:szCs w:val="21"/>
                <w:highlight w:val="none"/>
                <w:lang w:bidi="ar"/>
              </w:rPr>
              <w:t>+</w:t>
            </w:r>
            <w:r>
              <w:rPr>
                <w:rFonts w:hint="eastAsia" w:ascii="Times New Roman" w:hAnsi="Times New Roman" w:cs="Times New Roman"/>
                <w:color w:val="auto"/>
                <w:sz w:val="21"/>
                <w:szCs w:val="21"/>
                <w:highlight w:val="none"/>
                <w:lang w:val="en-US" w:eastAsia="zh-CN"/>
              </w:rPr>
              <w:t>0.02</w:t>
            </w:r>
          </w:p>
        </w:tc>
      </w:tr>
      <w:tr w14:paraId="0FED560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024" w:type="dxa"/>
            <w:gridSpan w:val="2"/>
            <w:vMerge w:val="continue"/>
            <w:tcBorders>
              <w:tl2br w:val="nil"/>
              <w:tr2bl w:val="nil"/>
            </w:tcBorders>
            <w:vAlign w:val="center"/>
          </w:tcPr>
          <w:p w14:paraId="4336CFE7">
            <w:pPr>
              <w:keepNext w:val="0"/>
              <w:keepLines w:val="0"/>
              <w:pageBreakBefore w:val="0"/>
              <w:widowControl/>
              <w:kinsoku/>
              <w:wordWrap/>
              <w:overflowPunct/>
              <w:topLinePunct w:val="0"/>
              <w:autoSpaceDE/>
              <w:autoSpaceDN/>
              <w:bidi w:val="0"/>
              <w:adjustRightInd/>
              <w:snapToGrid/>
              <w:ind w:left="0" w:right="0"/>
              <w:jc w:val="center"/>
              <w:rPr>
                <w:rFonts w:ascii="Times New Roman" w:hAnsi="Times New Roman" w:cs="Times New Roman"/>
                <w:color w:val="auto"/>
                <w:sz w:val="21"/>
                <w:szCs w:val="21"/>
                <w:highlight w:val="none"/>
              </w:rPr>
            </w:pPr>
          </w:p>
        </w:tc>
        <w:tc>
          <w:tcPr>
            <w:tcW w:w="2025" w:type="dxa"/>
            <w:tcBorders>
              <w:tl2br w:val="nil"/>
              <w:tr2bl w:val="nil"/>
            </w:tcBorders>
            <w:vAlign w:val="center"/>
          </w:tcPr>
          <w:p w14:paraId="25C36368">
            <w:pPr>
              <w:keepNext w:val="0"/>
              <w:keepLines w:val="0"/>
              <w:pageBreakBefore w:val="0"/>
              <w:widowControl/>
              <w:kinsoku/>
              <w:wordWrap/>
              <w:overflowPunct/>
              <w:topLinePunct w:val="0"/>
              <w:autoSpaceDE/>
              <w:autoSpaceDN/>
              <w:bidi w:val="0"/>
              <w:adjustRightInd/>
              <w:snapToGrid/>
              <w:ind w:left="0" w:right="0"/>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18"/>
                <w:highlight w:val="none"/>
              </w:rPr>
              <w:t>废实验耗材</w:t>
            </w:r>
          </w:p>
        </w:tc>
        <w:tc>
          <w:tcPr>
            <w:tcW w:w="2025" w:type="dxa"/>
            <w:tcBorders>
              <w:tl2br w:val="nil"/>
              <w:tr2bl w:val="nil"/>
            </w:tcBorders>
            <w:vAlign w:val="center"/>
          </w:tcPr>
          <w:p w14:paraId="2186FF35">
            <w:pPr>
              <w:keepNext w:val="0"/>
              <w:keepLines w:val="0"/>
              <w:pageBreakBefore w:val="0"/>
              <w:widowControl/>
              <w:kinsoku/>
              <w:wordWrap/>
              <w:overflowPunct/>
              <w:topLinePunct w:val="0"/>
              <w:autoSpaceDE/>
              <w:autoSpaceDN/>
              <w:bidi w:val="0"/>
              <w:adjustRightInd/>
              <w:snapToGrid/>
              <w:ind w:left="0" w:right="0"/>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0</w:t>
            </w:r>
          </w:p>
        </w:tc>
        <w:tc>
          <w:tcPr>
            <w:tcW w:w="2025" w:type="dxa"/>
            <w:tcBorders>
              <w:tl2br w:val="nil"/>
              <w:tr2bl w:val="nil"/>
            </w:tcBorders>
            <w:vAlign w:val="center"/>
          </w:tcPr>
          <w:p w14:paraId="6C7B93E6">
            <w:pPr>
              <w:keepNext w:val="0"/>
              <w:keepLines w:val="0"/>
              <w:pageBreakBefore w:val="0"/>
              <w:widowControl/>
              <w:kinsoku/>
              <w:wordWrap/>
              <w:overflowPunct/>
              <w:topLinePunct w:val="0"/>
              <w:autoSpaceDE/>
              <w:autoSpaceDN/>
              <w:bidi w:val="0"/>
              <w:adjustRightInd/>
              <w:snapToGrid/>
              <w:ind w:left="0" w:right="0"/>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0</w:t>
            </w:r>
          </w:p>
        </w:tc>
        <w:tc>
          <w:tcPr>
            <w:tcW w:w="2025" w:type="dxa"/>
            <w:tcBorders>
              <w:tl2br w:val="nil"/>
              <w:tr2bl w:val="nil"/>
            </w:tcBorders>
            <w:vAlign w:val="center"/>
          </w:tcPr>
          <w:p w14:paraId="3014FEE5">
            <w:pPr>
              <w:keepNext w:val="0"/>
              <w:keepLines w:val="0"/>
              <w:pageBreakBefore w:val="0"/>
              <w:widowControl/>
              <w:kinsoku/>
              <w:wordWrap/>
              <w:overflowPunct/>
              <w:topLinePunct w:val="0"/>
              <w:autoSpaceDE/>
              <w:autoSpaceDN/>
              <w:bidi w:val="0"/>
              <w:adjustRightInd/>
              <w:snapToGrid/>
              <w:ind w:left="0" w:right="0"/>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0.5</w:t>
            </w:r>
          </w:p>
        </w:tc>
        <w:tc>
          <w:tcPr>
            <w:tcW w:w="2025" w:type="dxa"/>
            <w:tcBorders>
              <w:tl2br w:val="nil"/>
              <w:tr2bl w:val="nil"/>
            </w:tcBorders>
            <w:vAlign w:val="center"/>
          </w:tcPr>
          <w:p w14:paraId="19AB624C">
            <w:pPr>
              <w:keepNext w:val="0"/>
              <w:keepLines w:val="0"/>
              <w:pageBreakBefore w:val="0"/>
              <w:widowControl/>
              <w:kinsoku/>
              <w:wordWrap/>
              <w:overflowPunct/>
              <w:topLinePunct w:val="0"/>
              <w:autoSpaceDE/>
              <w:autoSpaceDN/>
              <w:bidi w:val="0"/>
              <w:adjustRightInd/>
              <w:snapToGrid/>
              <w:ind w:left="0" w:right="0"/>
              <w:jc w:val="center"/>
              <w:textAlignment w:val="center"/>
              <w:rPr>
                <w:rFonts w:ascii="Times New Roman" w:hAnsi="Times New Roman" w:cs="Times New Roman"/>
                <w:color w:val="auto"/>
                <w:sz w:val="21"/>
                <w:szCs w:val="21"/>
                <w:highlight w:val="none"/>
              </w:rPr>
            </w:pPr>
            <w:r>
              <w:rPr>
                <w:rFonts w:ascii="Times New Roman" w:hAnsi="Times New Roman" w:eastAsia="等线" w:cs="Times New Roman"/>
                <w:color w:val="auto"/>
                <w:sz w:val="21"/>
                <w:szCs w:val="21"/>
                <w:highlight w:val="none"/>
                <w:lang w:bidi="ar"/>
              </w:rPr>
              <w:t>0.5</w:t>
            </w:r>
          </w:p>
        </w:tc>
        <w:tc>
          <w:tcPr>
            <w:tcW w:w="2025" w:type="dxa"/>
            <w:tcBorders>
              <w:tl2br w:val="nil"/>
              <w:tr2bl w:val="nil"/>
            </w:tcBorders>
            <w:vAlign w:val="center"/>
          </w:tcPr>
          <w:p w14:paraId="7C65F88C">
            <w:pPr>
              <w:keepNext w:val="0"/>
              <w:keepLines w:val="0"/>
              <w:pageBreakBefore w:val="0"/>
              <w:widowControl/>
              <w:kinsoku/>
              <w:wordWrap/>
              <w:overflowPunct/>
              <w:topLinePunct w:val="0"/>
              <w:autoSpaceDE/>
              <w:autoSpaceDN/>
              <w:bidi w:val="0"/>
              <w:adjustRightInd/>
              <w:snapToGrid/>
              <w:ind w:left="0" w:right="0"/>
              <w:jc w:val="center"/>
              <w:textAlignment w:val="center"/>
              <w:rPr>
                <w:rFonts w:ascii="Times New Roman" w:hAnsi="Times New Roman" w:cs="Times New Roman"/>
                <w:color w:val="auto"/>
                <w:sz w:val="21"/>
                <w:szCs w:val="21"/>
                <w:highlight w:val="none"/>
              </w:rPr>
            </w:pPr>
            <w:r>
              <w:rPr>
                <w:rFonts w:hint="eastAsia" w:ascii="Times New Roman" w:hAnsi="Times New Roman" w:eastAsia="等线" w:cs="Times New Roman"/>
                <w:color w:val="auto"/>
                <w:sz w:val="21"/>
                <w:szCs w:val="21"/>
                <w:highlight w:val="none"/>
                <w:lang w:bidi="ar"/>
              </w:rPr>
              <w:t>+</w:t>
            </w:r>
            <w:r>
              <w:rPr>
                <w:rFonts w:ascii="Times New Roman" w:hAnsi="Times New Roman" w:eastAsia="等线" w:cs="Times New Roman"/>
                <w:color w:val="auto"/>
                <w:sz w:val="21"/>
                <w:szCs w:val="21"/>
                <w:highlight w:val="none"/>
                <w:lang w:bidi="ar"/>
              </w:rPr>
              <w:t>0.5</w:t>
            </w:r>
          </w:p>
        </w:tc>
      </w:tr>
      <w:tr w14:paraId="285672A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024" w:type="dxa"/>
            <w:gridSpan w:val="2"/>
            <w:vMerge w:val="continue"/>
            <w:tcBorders>
              <w:tl2br w:val="nil"/>
              <w:tr2bl w:val="nil"/>
            </w:tcBorders>
            <w:vAlign w:val="center"/>
          </w:tcPr>
          <w:p w14:paraId="7A8C38E8">
            <w:pPr>
              <w:keepNext w:val="0"/>
              <w:keepLines w:val="0"/>
              <w:pageBreakBefore w:val="0"/>
              <w:widowControl/>
              <w:kinsoku/>
              <w:wordWrap/>
              <w:overflowPunct/>
              <w:topLinePunct w:val="0"/>
              <w:autoSpaceDE/>
              <w:autoSpaceDN/>
              <w:bidi w:val="0"/>
              <w:adjustRightInd/>
              <w:snapToGrid/>
              <w:ind w:left="0" w:right="0"/>
              <w:jc w:val="center"/>
              <w:rPr>
                <w:rFonts w:ascii="Times New Roman" w:hAnsi="Times New Roman" w:cs="Times New Roman"/>
                <w:color w:val="auto"/>
                <w:sz w:val="21"/>
                <w:szCs w:val="21"/>
                <w:highlight w:val="none"/>
              </w:rPr>
            </w:pPr>
          </w:p>
        </w:tc>
        <w:tc>
          <w:tcPr>
            <w:tcW w:w="2025" w:type="dxa"/>
            <w:tcBorders>
              <w:tl2br w:val="nil"/>
              <w:tr2bl w:val="nil"/>
            </w:tcBorders>
            <w:vAlign w:val="center"/>
          </w:tcPr>
          <w:p w14:paraId="638C8ACE">
            <w:pPr>
              <w:keepNext w:val="0"/>
              <w:keepLines w:val="0"/>
              <w:pageBreakBefore w:val="0"/>
              <w:widowControl/>
              <w:kinsoku/>
              <w:wordWrap/>
              <w:overflowPunct/>
              <w:topLinePunct w:val="0"/>
              <w:autoSpaceDE/>
              <w:autoSpaceDN/>
              <w:bidi w:val="0"/>
              <w:adjustRightInd/>
              <w:snapToGrid/>
              <w:ind w:left="0" w:right="0"/>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18"/>
                <w:highlight w:val="none"/>
              </w:rPr>
              <w:t>废过滤介质</w:t>
            </w:r>
          </w:p>
        </w:tc>
        <w:tc>
          <w:tcPr>
            <w:tcW w:w="2025" w:type="dxa"/>
            <w:tcBorders>
              <w:tl2br w:val="nil"/>
              <w:tr2bl w:val="nil"/>
            </w:tcBorders>
            <w:vAlign w:val="center"/>
          </w:tcPr>
          <w:p w14:paraId="16DCC87C">
            <w:pPr>
              <w:keepNext w:val="0"/>
              <w:keepLines w:val="0"/>
              <w:pageBreakBefore w:val="0"/>
              <w:widowControl/>
              <w:kinsoku/>
              <w:wordWrap/>
              <w:overflowPunct/>
              <w:topLinePunct w:val="0"/>
              <w:autoSpaceDE/>
              <w:autoSpaceDN/>
              <w:bidi w:val="0"/>
              <w:adjustRightInd/>
              <w:snapToGrid/>
              <w:ind w:left="0" w:right="0"/>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0</w:t>
            </w:r>
          </w:p>
        </w:tc>
        <w:tc>
          <w:tcPr>
            <w:tcW w:w="2025" w:type="dxa"/>
            <w:tcBorders>
              <w:tl2br w:val="nil"/>
              <w:tr2bl w:val="nil"/>
            </w:tcBorders>
            <w:vAlign w:val="center"/>
          </w:tcPr>
          <w:p w14:paraId="3EA7C12A">
            <w:pPr>
              <w:keepNext w:val="0"/>
              <w:keepLines w:val="0"/>
              <w:pageBreakBefore w:val="0"/>
              <w:widowControl/>
              <w:kinsoku/>
              <w:wordWrap/>
              <w:overflowPunct/>
              <w:topLinePunct w:val="0"/>
              <w:autoSpaceDE/>
              <w:autoSpaceDN/>
              <w:bidi w:val="0"/>
              <w:adjustRightInd/>
              <w:snapToGrid/>
              <w:ind w:left="0" w:right="0"/>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0</w:t>
            </w:r>
          </w:p>
        </w:tc>
        <w:tc>
          <w:tcPr>
            <w:tcW w:w="2025" w:type="dxa"/>
            <w:tcBorders>
              <w:tl2br w:val="nil"/>
              <w:tr2bl w:val="nil"/>
            </w:tcBorders>
            <w:vAlign w:val="center"/>
          </w:tcPr>
          <w:p w14:paraId="34454E24">
            <w:pPr>
              <w:keepNext w:val="0"/>
              <w:keepLines w:val="0"/>
              <w:pageBreakBefore w:val="0"/>
              <w:widowControl/>
              <w:kinsoku/>
              <w:wordWrap/>
              <w:overflowPunct/>
              <w:topLinePunct w:val="0"/>
              <w:autoSpaceDE/>
              <w:autoSpaceDN/>
              <w:bidi w:val="0"/>
              <w:adjustRightInd/>
              <w:snapToGrid/>
              <w:ind w:left="0" w:right="0"/>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2</w:t>
            </w:r>
          </w:p>
        </w:tc>
        <w:tc>
          <w:tcPr>
            <w:tcW w:w="2025" w:type="dxa"/>
            <w:tcBorders>
              <w:tl2br w:val="nil"/>
              <w:tr2bl w:val="nil"/>
            </w:tcBorders>
            <w:vAlign w:val="center"/>
          </w:tcPr>
          <w:p w14:paraId="5F19D954">
            <w:pPr>
              <w:keepNext w:val="0"/>
              <w:keepLines w:val="0"/>
              <w:pageBreakBefore w:val="0"/>
              <w:widowControl/>
              <w:kinsoku/>
              <w:wordWrap/>
              <w:overflowPunct/>
              <w:topLinePunct w:val="0"/>
              <w:autoSpaceDE/>
              <w:autoSpaceDN/>
              <w:bidi w:val="0"/>
              <w:adjustRightInd/>
              <w:snapToGrid/>
              <w:ind w:left="0" w:right="0"/>
              <w:jc w:val="center"/>
              <w:textAlignment w:val="center"/>
              <w:rPr>
                <w:rFonts w:ascii="Times New Roman" w:hAnsi="Times New Roman" w:cs="Times New Roman"/>
                <w:color w:val="auto"/>
                <w:sz w:val="21"/>
                <w:szCs w:val="21"/>
                <w:highlight w:val="none"/>
              </w:rPr>
            </w:pPr>
            <w:r>
              <w:rPr>
                <w:rFonts w:ascii="Times New Roman" w:hAnsi="Times New Roman" w:eastAsia="等线" w:cs="Times New Roman"/>
                <w:color w:val="auto"/>
                <w:sz w:val="21"/>
                <w:szCs w:val="21"/>
                <w:highlight w:val="none"/>
                <w:lang w:bidi="ar"/>
              </w:rPr>
              <w:t>2</w:t>
            </w:r>
          </w:p>
        </w:tc>
        <w:tc>
          <w:tcPr>
            <w:tcW w:w="2025" w:type="dxa"/>
            <w:tcBorders>
              <w:tl2br w:val="nil"/>
              <w:tr2bl w:val="nil"/>
            </w:tcBorders>
            <w:vAlign w:val="center"/>
          </w:tcPr>
          <w:p w14:paraId="69E0F477">
            <w:pPr>
              <w:keepNext w:val="0"/>
              <w:keepLines w:val="0"/>
              <w:pageBreakBefore w:val="0"/>
              <w:widowControl/>
              <w:kinsoku/>
              <w:wordWrap/>
              <w:overflowPunct/>
              <w:topLinePunct w:val="0"/>
              <w:autoSpaceDE/>
              <w:autoSpaceDN/>
              <w:bidi w:val="0"/>
              <w:adjustRightInd/>
              <w:snapToGrid/>
              <w:ind w:left="0" w:right="0"/>
              <w:jc w:val="center"/>
              <w:textAlignment w:val="center"/>
              <w:rPr>
                <w:rFonts w:ascii="Times New Roman" w:hAnsi="Times New Roman" w:cs="Times New Roman"/>
                <w:color w:val="auto"/>
                <w:sz w:val="21"/>
                <w:szCs w:val="21"/>
                <w:highlight w:val="none"/>
              </w:rPr>
            </w:pPr>
            <w:r>
              <w:rPr>
                <w:rFonts w:hint="eastAsia" w:ascii="Times New Roman" w:hAnsi="Times New Roman" w:eastAsia="等线" w:cs="Times New Roman"/>
                <w:color w:val="auto"/>
                <w:sz w:val="21"/>
                <w:szCs w:val="21"/>
                <w:highlight w:val="none"/>
                <w:lang w:bidi="ar"/>
              </w:rPr>
              <w:t>+</w:t>
            </w:r>
            <w:r>
              <w:rPr>
                <w:rFonts w:ascii="Times New Roman" w:hAnsi="Times New Roman" w:eastAsia="等线" w:cs="Times New Roman"/>
                <w:color w:val="auto"/>
                <w:sz w:val="21"/>
                <w:szCs w:val="21"/>
                <w:highlight w:val="none"/>
                <w:lang w:bidi="ar"/>
              </w:rPr>
              <w:t>2</w:t>
            </w:r>
          </w:p>
        </w:tc>
      </w:tr>
      <w:tr w14:paraId="59F7C06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024" w:type="dxa"/>
            <w:gridSpan w:val="2"/>
            <w:vMerge w:val="continue"/>
            <w:tcBorders>
              <w:tl2br w:val="nil"/>
              <w:tr2bl w:val="nil"/>
            </w:tcBorders>
            <w:vAlign w:val="center"/>
          </w:tcPr>
          <w:p w14:paraId="3EF361C1">
            <w:pPr>
              <w:keepNext w:val="0"/>
              <w:keepLines w:val="0"/>
              <w:pageBreakBefore w:val="0"/>
              <w:widowControl/>
              <w:kinsoku/>
              <w:wordWrap/>
              <w:overflowPunct/>
              <w:topLinePunct w:val="0"/>
              <w:autoSpaceDE/>
              <w:autoSpaceDN/>
              <w:bidi w:val="0"/>
              <w:adjustRightInd/>
              <w:snapToGrid/>
              <w:ind w:left="0" w:right="0"/>
              <w:jc w:val="center"/>
              <w:rPr>
                <w:rFonts w:ascii="Times New Roman" w:hAnsi="Times New Roman" w:cs="Times New Roman"/>
                <w:color w:val="auto"/>
                <w:sz w:val="21"/>
                <w:szCs w:val="21"/>
                <w:highlight w:val="none"/>
              </w:rPr>
            </w:pPr>
          </w:p>
        </w:tc>
        <w:tc>
          <w:tcPr>
            <w:tcW w:w="2025" w:type="dxa"/>
            <w:tcBorders>
              <w:tl2br w:val="nil"/>
              <w:tr2bl w:val="nil"/>
            </w:tcBorders>
            <w:vAlign w:val="center"/>
          </w:tcPr>
          <w:p w14:paraId="3BDD3045">
            <w:pPr>
              <w:keepNext w:val="0"/>
              <w:keepLines w:val="0"/>
              <w:pageBreakBefore w:val="0"/>
              <w:widowControl/>
              <w:kinsoku/>
              <w:wordWrap/>
              <w:overflowPunct/>
              <w:topLinePunct w:val="0"/>
              <w:autoSpaceDE/>
              <w:autoSpaceDN/>
              <w:bidi w:val="0"/>
              <w:adjustRightInd/>
              <w:snapToGrid/>
              <w:ind w:left="0" w:right="0"/>
              <w:jc w:val="center"/>
              <w:rPr>
                <w:rFonts w:ascii="Times New Roman" w:hAnsi="Times New Roman" w:cs="Times New Roman"/>
                <w:color w:val="auto"/>
                <w:sz w:val="21"/>
                <w:szCs w:val="18"/>
                <w:highlight w:val="none"/>
              </w:rPr>
            </w:pPr>
            <w:r>
              <w:rPr>
                <w:rFonts w:hint="eastAsia" w:ascii="Times New Roman" w:hAnsi="Times New Roman" w:cs="Times New Roman"/>
                <w:color w:val="auto"/>
                <w:sz w:val="21"/>
                <w:szCs w:val="18"/>
                <w:highlight w:val="none"/>
              </w:rPr>
              <w:t>废活性炭</w:t>
            </w:r>
          </w:p>
          <w:p w14:paraId="2FEF05B5">
            <w:pPr>
              <w:keepNext w:val="0"/>
              <w:keepLines w:val="0"/>
              <w:pageBreakBefore w:val="0"/>
              <w:widowControl/>
              <w:kinsoku/>
              <w:wordWrap/>
              <w:overflowPunct/>
              <w:topLinePunct w:val="0"/>
              <w:autoSpaceDE/>
              <w:autoSpaceDN/>
              <w:bidi w:val="0"/>
              <w:adjustRightInd/>
              <w:snapToGrid/>
              <w:ind w:left="0" w:right="0"/>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18"/>
                <w:highlight w:val="none"/>
              </w:rPr>
              <w:t>（纯水制备）</w:t>
            </w:r>
          </w:p>
        </w:tc>
        <w:tc>
          <w:tcPr>
            <w:tcW w:w="2025" w:type="dxa"/>
            <w:tcBorders>
              <w:tl2br w:val="nil"/>
              <w:tr2bl w:val="nil"/>
            </w:tcBorders>
            <w:vAlign w:val="center"/>
          </w:tcPr>
          <w:p w14:paraId="0BEBA433">
            <w:pPr>
              <w:keepNext w:val="0"/>
              <w:keepLines w:val="0"/>
              <w:pageBreakBefore w:val="0"/>
              <w:widowControl/>
              <w:kinsoku/>
              <w:wordWrap/>
              <w:overflowPunct/>
              <w:topLinePunct w:val="0"/>
              <w:autoSpaceDE/>
              <w:autoSpaceDN/>
              <w:bidi w:val="0"/>
              <w:adjustRightInd/>
              <w:snapToGrid/>
              <w:ind w:left="0" w:right="0"/>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0</w:t>
            </w:r>
          </w:p>
        </w:tc>
        <w:tc>
          <w:tcPr>
            <w:tcW w:w="2025" w:type="dxa"/>
            <w:tcBorders>
              <w:tl2br w:val="nil"/>
              <w:tr2bl w:val="nil"/>
            </w:tcBorders>
            <w:vAlign w:val="center"/>
          </w:tcPr>
          <w:p w14:paraId="44220251">
            <w:pPr>
              <w:keepNext w:val="0"/>
              <w:keepLines w:val="0"/>
              <w:pageBreakBefore w:val="0"/>
              <w:widowControl/>
              <w:kinsoku/>
              <w:wordWrap/>
              <w:overflowPunct/>
              <w:topLinePunct w:val="0"/>
              <w:autoSpaceDE/>
              <w:autoSpaceDN/>
              <w:bidi w:val="0"/>
              <w:adjustRightInd/>
              <w:snapToGrid/>
              <w:ind w:left="0" w:right="0"/>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0</w:t>
            </w:r>
          </w:p>
        </w:tc>
        <w:tc>
          <w:tcPr>
            <w:tcW w:w="2025" w:type="dxa"/>
            <w:tcBorders>
              <w:tl2br w:val="nil"/>
              <w:tr2bl w:val="nil"/>
            </w:tcBorders>
            <w:vAlign w:val="center"/>
          </w:tcPr>
          <w:p w14:paraId="578254C4">
            <w:pPr>
              <w:keepNext w:val="0"/>
              <w:keepLines w:val="0"/>
              <w:pageBreakBefore w:val="0"/>
              <w:widowControl/>
              <w:kinsoku/>
              <w:wordWrap/>
              <w:overflowPunct/>
              <w:topLinePunct w:val="0"/>
              <w:autoSpaceDE/>
              <w:autoSpaceDN/>
              <w:bidi w:val="0"/>
              <w:adjustRightInd/>
              <w:snapToGrid/>
              <w:ind w:left="0" w:right="0"/>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1</w:t>
            </w:r>
          </w:p>
        </w:tc>
        <w:tc>
          <w:tcPr>
            <w:tcW w:w="2025" w:type="dxa"/>
            <w:tcBorders>
              <w:tl2br w:val="nil"/>
              <w:tr2bl w:val="nil"/>
            </w:tcBorders>
            <w:vAlign w:val="center"/>
          </w:tcPr>
          <w:p w14:paraId="2F9B09B1">
            <w:pPr>
              <w:keepNext w:val="0"/>
              <w:keepLines w:val="0"/>
              <w:pageBreakBefore w:val="0"/>
              <w:widowControl/>
              <w:kinsoku/>
              <w:wordWrap/>
              <w:overflowPunct/>
              <w:topLinePunct w:val="0"/>
              <w:autoSpaceDE/>
              <w:autoSpaceDN/>
              <w:bidi w:val="0"/>
              <w:adjustRightInd/>
              <w:snapToGrid/>
              <w:ind w:left="0" w:right="0"/>
              <w:jc w:val="center"/>
              <w:textAlignment w:val="center"/>
              <w:rPr>
                <w:rFonts w:ascii="Times New Roman" w:hAnsi="Times New Roman" w:cs="Times New Roman"/>
                <w:color w:val="auto"/>
                <w:sz w:val="21"/>
                <w:szCs w:val="21"/>
                <w:highlight w:val="none"/>
              </w:rPr>
            </w:pPr>
            <w:r>
              <w:rPr>
                <w:rFonts w:ascii="Times New Roman" w:hAnsi="Times New Roman" w:eastAsia="等线" w:cs="Times New Roman"/>
                <w:color w:val="auto"/>
                <w:sz w:val="21"/>
                <w:szCs w:val="21"/>
                <w:highlight w:val="none"/>
                <w:lang w:bidi="ar"/>
              </w:rPr>
              <w:t>1</w:t>
            </w:r>
          </w:p>
        </w:tc>
        <w:tc>
          <w:tcPr>
            <w:tcW w:w="2025" w:type="dxa"/>
            <w:tcBorders>
              <w:tl2br w:val="nil"/>
              <w:tr2bl w:val="nil"/>
            </w:tcBorders>
            <w:vAlign w:val="center"/>
          </w:tcPr>
          <w:p w14:paraId="6A8FD99E">
            <w:pPr>
              <w:keepNext w:val="0"/>
              <w:keepLines w:val="0"/>
              <w:pageBreakBefore w:val="0"/>
              <w:widowControl/>
              <w:kinsoku/>
              <w:wordWrap/>
              <w:overflowPunct/>
              <w:topLinePunct w:val="0"/>
              <w:autoSpaceDE/>
              <w:autoSpaceDN/>
              <w:bidi w:val="0"/>
              <w:adjustRightInd/>
              <w:snapToGrid/>
              <w:ind w:left="0" w:right="0"/>
              <w:jc w:val="center"/>
              <w:textAlignment w:val="center"/>
              <w:rPr>
                <w:rFonts w:ascii="Times New Roman" w:hAnsi="Times New Roman" w:cs="Times New Roman"/>
                <w:color w:val="auto"/>
                <w:sz w:val="21"/>
                <w:szCs w:val="21"/>
                <w:highlight w:val="none"/>
              </w:rPr>
            </w:pPr>
            <w:r>
              <w:rPr>
                <w:rFonts w:hint="eastAsia" w:ascii="Times New Roman" w:hAnsi="Times New Roman" w:eastAsia="等线" w:cs="Times New Roman"/>
                <w:color w:val="auto"/>
                <w:sz w:val="21"/>
                <w:szCs w:val="21"/>
                <w:highlight w:val="none"/>
                <w:lang w:bidi="ar"/>
              </w:rPr>
              <w:t>+</w:t>
            </w:r>
            <w:r>
              <w:rPr>
                <w:rFonts w:ascii="Times New Roman" w:hAnsi="Times New Roman" w:eastAsia="等线" w:cs="Times New Roman"/>
                <w:color w:val="auto"/>
                <w:sz w:val="21"/>
                <w:szCs w:val="21"/>
                <w:highlight w:val="none"/>
                <w:lang w:bidi="ar"/>
              </w:rPr>
              <w:t>1</w:t>
            </w:r>
          </w:p>
        </w:tc>
      </w:tr>
      <w:tr w14:paraId="2C424A9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024" w:type="dxa"/>
            <w:gridSpan w:val="2"/>
            <w:vMerge w:val="continue"/>
            <w:tcBorders>
              <w:tl2br w:val="nil"/>
              <w:tr2bl w:val="nil"/>
            </w:tcBorders>
            <w:vAlign w:val="center"/>
          </w:tcPr>
          <w:p w14:paraId="591F3D3E">
            <w:pPr>
              <w:keepNext w:val="0"/>
              <w:keepLines w:val="0"/>
              <w:pageBreakBefore w:val="0"/>
              <w:widowControl/>
              <w:kinsoku/>
              <w:wordWrap/>
              <w:overflowPunct/>
              <w:topLinePunct w:val="0"/>
              <w:autoSpaceDE/>
              <w:autoSpaceDN/>
              <w:bidi w:val="0"/>
              <w:adjustRightInd/>
              <w:snapToGrid/>
              <w:ind w:left="0" w:right="0"/>
              <w:jc w:val="center"/>
              <w:rPr>
                <w:rFonts w:ascii="Times New Roman" w:hAnsi="Times New Roman" w:cs="Times New Roman"/>
                <w:color w:val="auto"/>
                <w:sz w:val="21"/>
                <w:szCs w:val="21"/>
                <w:highlight w:val="none"/>
              </w:rPr>
            </w:pPr>
          </w:p>
        </w:tc>
        <w:tc>
          <w:tcPr>
            <w:tcW w:w="2025" w:type="dxa"/>
            <w:tcBorders>
              <w:tl2br w:val="nil"/>
              <w:tr2bl w:val="nil"/>
            </w:tcBorders>
            <w:vAlign w:val="center"/>
          </w:tcPr>
          <w:p w14:paraId="2D1AA637">
            <w:pPr>
              <w:keepNext w:val="0"/>
              <w:keepLines w:val="0"/>
              <w:pageBreakBefore w:val="0"/>
              <w:widowControl/>
              <w:kinsoku/>
              <w:wordWrap/>
              <w:overflowPunct/>
              <w:topLinePunct w:val="0"/>
              <w:autoSpaceDE/>
              <w:autoSpaceDN/>
              <w:bidi w:val="0"/>
              <w:adjustRightInd/>
              <w:snapToGrid/>
              <w:ind w:left="0" w:right="0"/>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18"/>
                <w:highlight w:val="none"/>
              </w:rPr>
              <w:t>废RO膜</w:t>
            </w:r>
          </w:p>
        </w:tc>
        <w:tc>
          <w:tcPr>
            <w:tcW w:w="2025" w:type="dxa"/>
            <w:tcBorders>
              <w:tl2br w:val="nil"/>
              <w:tr2bl w:val="nil"/>
            </w:tcBorders>
            <w:vAlign w:val="center"/>
          </w:tcPr>
          <w:p w14:paraId="7140E3A8">
            <w:pPr>
              <w:keepNext w:val="0"/>
              <w:keepLines w:val="0"/>
              <w:pageBreakBefore w:val="0"/>
              <w:widowControl/>
              <w:kinsoku/>
              <w:wordWrap/>
              <w:overflowPunct/>
              <w:topLinePunct w:val="0"/>
              <w:autoSpaceDE/>
              <w:autoSpaceDN/>
              <w:bidi w:val="0"/>
              <w:adjustRightInd/>
              <w:snapToGrid/>
              <w:ind w:left="0" w:right="0"/>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0</w:t>
            </w:r>
          </w:p>
        </w:tc>
        <w:tc>
          <w:tcPr>
            <w:tcW w:w="2025" w:type="dxa"/>
            <w:tcBorders>
              <w:tl2br w:val="nil"/>
              <w:tr2bl w:val="nil"/>
            </w:tcBorders>
            <w:vAlign w:val="center"/>
          </w:tcPr>
          <w:p w14:paraId="05A18B5F">
            <w:pPr>
              <w:keepNext w:val="0"/>
              <w:keepLines w:val="0"/>
              <w:pageBreakBefore w:val="0"/>
              <w:widowControl/>
              <w:kinsoku/>
              <w:wordWrap/>
              <w:overflowPunct/>
              <w:topLinePunct w:val="0"/>
              <w:autoSpaceDE/>
              <w:autoSpaceDN/>
              <w:bidi w:val="0"/>
              <w:adjustRightInd/>
              <w:snapToGrid/>
              <w:ind w:left="0" w:right="0"/>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0</w:t>
            </w:r>
          </w:p>
        </w:tc>
        <w:tc>
          <w:tcPr>
            <w:tcW w:w="2025" w:type="dxa"/>
            <w:tcBorders>
              <w:tl2br w:val="nil"/>
              <w:tr2bl w:val="nil"/>
            </w:tcBorders>
            <w:vAlign w:val="center"/>
          </w:tcPr>
          <w:p w14:paraId="66A09D61">
            <w:pPr>
              <w:keepNext w:val="0"/>
              <w:keepLines w:val="0"/>
              <w:pageBreakBefore w:val="0"/>
              <w:widowControl/>
              <w:kinsoku/>
              <w:wordWrap/>
              <w:overflowPunct/>
              <w:topLinePunct w:val="0"/>
              <w:autoSpaceDE/>
              <w:autoSpaceDN/>
              <w:bidi w:val="0"/>
              <w:adjustRightInd/>
              <w:snapToGrid/>
              <w:ind w:left="0" w:right="0"/>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0.5</w:t>
            </w:r>
          </w:p>
        </w:tc>
        <w:tc>
          <w:tcPr>
            <w:tcW w:w="2025" w:type="dxa"/>
            <w:tcBorders>
              <w:tl2br w:val="nil"/>
              <w:tr2bl w:val="nil"/>
            </w:tcBorders>
            <w:vAlign w:val="center"/>
          </w:tcPr>
          <w:p w14:paraId="2B126723">
            <w:pPr>
              <w:keepNext w:val="0"/>
              <w:keepLines w:val="0"/>
              <w:pageBreakBefore w:val="0"/>
              <w:widowControl/>
              <w:kinsoku/>
              <w:wordWrap/>
              <w:overflowPunct/>
              <w:topLinePunct w:val="0"/>
              <w:autoSpaceDE/>
              <w:autoSpaceDN/>
              <w:bidi w:val="0"/>
              <w:adjustRightInd/>
              <w:snapToGrid/>
              <w:ind w:left="0" w:right="0"/>
              <w:jc w:val="center"/>
              <w:textAlignment w:val="center"/>
              <w:rPr>
                <w:rFonts w:ascii="Times New Roman" w:hAnsi="Times New Roman" w:cs="Times New Roman"/>
                <w:color w:val="auto"/>
                <w:sz w:val="21"/>
                <w:szCs w:val="21"/>
                <w:highlight w:val="none"/>
              </w:rPr>
            </w:pPr>
            <w:r>
              <w:rPr>
                <w:rFonts w:ascii="Times New Roman" w:hAnsi="Times New Roman" w:eastAsia="等线" w:cs="Times New Roman"/>
                <w:color w:val="auto"/>
                <w:sz w:val="21"/>
                <w:szCs w:val="21"/>
                <w:highlight w:val="none"/>
                <w:lang w:bidi="ar"/>
              </w:rPr>
              <w:t>0.5</w:t>
            </w:r>
          </w:p>
        </w:tc>
        <w:tc>
          <w:tcPr>
            <w:tcW w:w="2025" w:type="dxa"/>
            <w:tcBorders>
              <w:tl2br w:val="nil"/>
              <w:tr2bl w:val="nil"/>
            </w:tcBorders>
            <w:vAlign w:val="center"/>
          </w:tcPr>
          <w:p w14:paraId="6E261553">
            <w:pPr>
              <w:keepNext w:val="0"/>
              <w:keepLines w:val="0"/>
              <w:pageBreakBefore w:val="0"/>
              <w:widowControl/>
              <w:kinsoku/>
              <w:wordWrap/>
              <w:overflowPunct/>
              <w:topLinePunct w:val="0"/>
              <w:autoSpaceDE/>
              <w:autoSpaceDN/>
              <w:bidi w:val="0"/>
              <w:adjustRightInd/>
              <w:snapToGrid/>
              <w:ind w:left="0" w:right="0"/>
              <w:jc w:val="center"/>
              <w:textAlignment w:val="center"/>
              <w:rPr>
                <w:rFonts w:ascii="Times New Roman" w:hAnsi="Times New Roman" w:cs="Times New Roman"/>
                <w:color w:val="auto"/>
                <w:sz w:val="21"/>
                <w:szCs w:val="21"/>
                <w:highlight w:val="none"/>
              </w:rPr>
            </w:pPr>
            <w:r>
              <w:rPr>
                <w:rFonts w:hint="eastAsia" w:ascii="Times New Roman" w:hAnsi="Times New Roman" w:eastAsia="等线" w:cs="Times New Roman"/>
                <w:color w:val="auto"/>
                <w:sz w:val="21"/>
                <w:szCs w:val="21"/>
                <w:highlight w:val="none"/>
                <w:lang w:bidi="ar"/>
              </w:rPr>
              <w:t>+</w:t>
            </w:r>
            <w:r>
              <w:rPr>
                <w:rFonts w:ascii="Times New Roman" w:hAnsi="Times New Roman" w:eastAsia="等线" w:cs="Times New Roman"/>
                <w:color w:val="auto"/>
                <w:sz w:val="21"/>
                <w:szCs w:val="21"/>
                <w:highlight w:val="none"/>
                <w:lang w:bidi="ar"/>
              </w:rPr>
              <w:t>0.5</w:t>
            </w:r>
          </w:p>
        </w:tc>
      </w:tr>
      <w:tr w14:paraId="56C4F26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024" w:type="dxa"/>
            <w:gridSpan w:val="2"/>
            <w:vMerge w:val="continue"/>
            <w:tcBorders>
              <w:tl2br w:val="nil"/>
              <w:tr2bl w:val="nil"/>
            </w:tcBorders>
            <w:vAlign w:val="center"/>
          </w:tcPr>
          <w:p w14:paraId="1F126976">
            <w:pPr>
              <w:keepNext w:val="0"/>
              <w:keepLines w:val="0"/>
              <w:pageBreakBefore w:val="0"/>
              <w:widowControl/>
              <w:kinsoku/>
              <w:wordWrap/>
              <w:overflowPunct/>
              <w:topLinePunct w:val="0"/>
              <w:autoSpaceDE/>
              <w:autoSpaceDN/>
              <w:bidi w:val="0"/>
              <w:adjustRightInd/>
              <w:snapToGrid/>
              <w:ind w:left="0" w:right="0"/>
              <w:jc w:val="center"/>
              <w:rPr>
                <w:rFonts w:ascii="Times New Roman" w:hAnsi="Times New Roman" w:cs="Times New Roman"/>
                <w:color w:val="auto"/>
                <w:sz w:val="21"/>
                <w:szCs w:val="21"/>
                <w:highlight w:val="none"/>
              </w:rPr>
            </w:pPr>
          </w:p>
        </w:tc>
        <w:tc>
          <w:tcPr>
            <w:tcW w:w="2025" w:type="dxa"/>
            <w:tcBorders>
              <w:tl2br w:val="nil"/>
              <w:tr2bl w:val="nil"/>
            </w:tcBorders>
            <w:vAlign w:val="center"/>
          </w:tcPr>
          <w:p w14:paraId="330C2D9D">
            <w:pPr>
              <w:keepNext w:val="0"/>
              <w:keepLines w:val="0"/>
              <w:pageBreakBefore w:val="0"/>
              <w:widowControl/>
              <w:kinsoku/>
              <w:wordWrap/>
              <w:overflowPunct/>
              <w:topLinePunct w:val="0"/>
              <w:autoSpaceDE/>
              <w:autoSpaceDN/>
              <w:bidi w:val="0"/>
              <w:adjustRightInd/>
              <w:snapToGrid/>
              <w:ind w:left="0" w:right="0"/>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废包装袋</w:t>
            </w:r>
          </w:p>
        </w:tc>
        <w:tc>
          <w:tcPr>
            <w:tcW w:w="2025" w:type="dxa"/>
            <w:tcBorders>
              <w:tl2br w:val="nil"/>
              <w:tr2bl w:val="nil"/>
            </w:tcBorders>
            <w:vAlign w:val="center"/>
          </w:tcPr>
          <w:p w14:paraId="51477FCD">
            <w:pPr>
              <w:keepNext w:val="0"/>
              <w:keepLines w:val="0"/>
              <w:pageBreakBefore w:val="0"/>
              <w:widowControl/>
              <w:kinsoku/>
              <w:wordWrap/>
              <w:overflowPunct/>
              <w:topLinePunct w:val="0"/>
              <w:autoSpaceDE/>
              <w:autoSpaceDN/>
              <w:bidi w:val="0"/>
              <w:adjustRightInd/>
              <w:snapToGrid/>
              <w:ind w:left="0" w:right="0"/>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0</w:t>
            </w:r>
          </w:p>
        </w:tc>
        <w:tc>
          <w:tcPr>
            <w:tcW w:w="2025" w:type="dxa"/>
            <w:tcBorders>
              <w:tl2br w:val="nil"/>
              <w:tr2bl w:val="nil"/>
            </w:tcBorders>
            <w:vAlign w:val="center"/>
          </w:tcPr>
          <w:p w14:paraId="641A2F7D">
            <w:pPr>
              <w:keepNext w:val="0"/>
              <w:keepLines w:val="0"/>
              <w:pageBreakBefore w:val="0"/>
              <w:widowControl/>
              <w:kinsoku/>
              <w:wordWrap/>
              <w:overflowPunct/>
              <w:topLinePunct w:val="0"/>
              <w:autoSpaceDE/>
              <w:autoSpaceDN/>
              <w:bidi w:val="0"/>
              <w:adjustRightInd/>
              <w:snapToGrid/>
              <w:ind w:left="0" w:right="0"/>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0</w:t>
            </w:r>
          </w:p>
        </w:tc>
        <w:tc>
          <w:tcPr>
            <w:tcW w:w="2025" w:type="dxa"/>
            <w:tcBorders>
              <w:tl2br w:val="nil"/>
              <w:tr2bl w:val="nil"/>
            </w:tcBorders>
            <w:vAlign w:val="center"/>
          </w:tcPr>
          <w:p w14:paraId="4B84DA6D">
            <w:pPr>
              <w:keepNext w:val="0"/>
              <w:keepLines w:val="0"/>
              <w:pageBreakBefore w:val="0"/>
              <w:widowControl/>
              <w:kinsoku/>
              <w:wordWrap/>
              <w:overflowPunct/>
              <w:topLinePunct w:val="0"/>
              <w:autoSpaceDE/>
              <w:autoSpaceDN/>
              <w:bidi w:val="0"/>
              <w:adjustRightInd/>
              <w:snapToGrid/>
              <w:ind w:left="0" w:right="0"/>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0.2</w:t>
            </w:r>
          </w:p>
        </w:tc>
        <w:tc>
          <w:tcPr>
            <w:tcW w:w="2025" w:type="dxa"/>
            <w:tcBorders>
              <w:tl2br w:val="nil"/>
              <w:tr2bl w:val="nil"/>
            </w:tcBorders>
            <w:vAlign w:val="center"/>
          </w:tcPr>
          <w:p w14:paraId="464CE50C">
            <w:pPr>
              <w:keepNext w:val="0"/>
              <w:keepLines w:val="0"/>
              <w:pageBreakBefore w:val="0"/>
              <w:widowControl/>
              <w:kinsoku/>
              <w:wordWrap/>
              <w:overflowPunct/>
              <w:topLinePunct w:val="0"/>
              <w:autoSpaceDE/>
              <w:autoSpaceDN/>
              <w:bidi w:val="0"/>
              <w:adjustRightInd/>
              <w:snapToGrid/>
              <w:ind w:left="0" w:right="0"/>
              <w:jc w:val="center"/>
              <w:textAlignment w:val="center"/>
              <w:rPr>
                <w:rFonts w:ascii="Times New Roman" w:hAnsi="Times New Roman" w:cs="Times New Roman"/>
                <w:color w:val="auto"/>
                <w:sz w:val="21"/>
                <w:szCs w:val="21"/>
                <w:highlight w:val="none"/>
              </w:rPr>
            </w:pPr>
            <w:r>
              <w:rPr>
                <w:rFonts w:ascii="Times New Roman" w:hAnsi="Times New Roman" w:eastAsia="等线" w:cs="Times New Roman"/>
                <w:color w:val="auto"/>
                <w:sz w:val="21"/>
                <w:szCs w:val="21"/>
                <w:highlight w:val="none"/>
                <w:lang w:bidi="ar"/>
              </w:rPr>
              <w:t>0.2</w:t>
            </w:r>
          </w:p>
        </w:tc>
        <w:tc>
          <w:tcPr>
            <w:tcW w:w="2025" w:type="dxa"/>
            <w:tcBorders>
              <w:tl2br w:val="nil"/>
              <w:tr2bl w:val="nil"/>
            </w:tcBorders>
            <w:vAlign w:val="center"/>
          </w:tcPr>
          <w:p w14:paraId="47D61244">
            <w:pPr>
              <w:keepNext w:val="0"/>
              <w:keepLines w:val="0"/>
              <w:pageBreakBefore w:val="0"/>
              <w:widowControl/>
              <w:kinsoku/>
              <w:wordWrap/>
              <w:overflowPunct/>
              <w:topLinePunct w:val="0"/>
              <w:autoSpaceDE/>
              <w:autoSpaceDN/>
              <w:bidi w:val="0"/>
              <w:adjustRightInd/>
              <w:snapToGrid/>
              <w:ind w:left="0" w:right="0"/>
              <w:jc w:val="center"/>
              <w:textAlignment w:val="center"/>
              <w:rPr>
                <w:rFonts w:ascii="Times New Roman" w:hAnsi="Times New Roman" w:cs="Times New Roman"/>
                <w:color w:val="auto"/>
                <w:sz w:val="21"/>
                <w:szCs w:val="21"/>
                <w:highlight w:val="none"/>
              </w:rPr>
            </w:pPr>
            <w:r>
              <w:rPr>
                <w:rFonts w:hint="eastAsia" w:ascii="Times New Roman" w:hAnsi="Times New Roman" w:eastAsia="等线" w:cs="Times New Roman"/>
                <w:color w:val="auto"/>
                <w:sz w:val="21"/>
                <w:szCs w:val="21"/>
                <w:highlight w:val="none"/>
                <w:lang w:bidi="ar"/>
              </w:rPr>
              <w:t>+</w:t>
            </w:r>
            <w:r>
              <w:rPr>
                <w:rFonts w:ascii="Times New Roman" w:hAnsi="Times New Roman" w:eastAsia="等线" w:cs="Times New Roman"/>
                <w:color w:val="auto"/>
                <w:sz w:val="21"/>
                <w:szCs w:val="21"/>
                <w:highlight w:val="none"/>
                <w:lang w:bidi="ar"/>
              </w:rPr>
              <w:t>0.2</w:t>
            </w:r>
          </w:p>
        </w:tc>
      </w:tr>
      <w:tr w14:paraId="4A7B6B2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024" w:type="dxa"/>
            <w:gridSpan w:val="2"/>
            <w:vMerge w:val="continue"/>
            <w:tcBorders>
              <w:tl2br w:val="nil"/>
              <w:tr2bl w:val="nil"/>
            </w:tcBorders>
            <w:vAlign w:val="center"/>
          </w:tcPr>
          <w:p w14:paraId="51E277E0">
            <w:pPr>
              <w:keepNext w:val="0"/>
              <w:keepLines w:val="0"/>
              <w:pageBreakBefore w:val="0"/>
              <w:widowControl/>
              <w:kinsoku/>
              <w:wordWrap/>
              <w:overflowPunct/>
              <w:topLinePunct w:val="0"/>
              <w:autoSpaceDE/>
              <w:autoSpaceDN/>
              <w:bidi w:val="0"/>
              <w:adjustRightInd/>
              <w:snapToGrid/>
              <w:ind w:left="0" w:right="0"/>
              <w:jc w:val="center"/>
              <w:rPr>
                <w:rFonts w:ascii="Times New Roman" w:hAnsi="Times New Roman" w:cs="Times New Roman"/>
                <w:color w:val="auto"/>
                <w:sz w:val="21"/>
                <w:szCs w:val="21"/>
                <w:highlight w:val="none"/>
              </w:rPr>
            </w:pPr>
          </w:p>
        </w:tc>
        <w:tc>
          <w:tcPr>
            <w:tcW w:w="2025" w:type="dxa"/>
            <w:tcBorders>
              <w:tl2br w:val="nil"/>
              <w:tr2bl w:val="nil"/>
            </w:tcBorders>
            <w:vAlign w:val="center"/>
          </w:tcPr>
          <w:p w14:paraId="67039B05">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实验清洗废水</w:t>
            </w:r>
          </w:p>
        </w:tc>
        <w:tc>
          <w:tcPr>
            <w:tcW w:w="2025" w:type="dxa"/>
            <w:tcBorders>
              <w:tl2br w:val="nil"/>
              <w:tr2bl w:val="nil"/>
            </w:tcBorders>
            <w:vAlign w:val="center"/>
          </w:tcPr>
          <w:p w14:paraId="291BF1AF">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Times New Roman"/>
                <w:color w:val="auto"/>
                <w:sz w:val="21"/>
                <w:szCs w:val="21"/>
                <w:highlight w:val="none"/>
                <w:lang w:val="en-US" w:eastAsia="zh-CN" w:bidi="ar"/>
              </w:rPr>
            </w:pPr>
            <w:r>
              <w:rPr>
                <w:rFonts w:hint="eastAsia" w:ascii="Times New Roman" w:hAnsi="Times New Roman" w:cs="Times New Roman"/>
                <w:color w:val="auto"/>
                <w:sz w:val="21"/>
                <w:szCs w:val="21"/>
                <w:highlight w:val="none"/>
                <w:lang w:val="en-US" w:eastAsia="zh-CN" w:bidi="ar"/>
              </w:rPr>
              <w:t>0</w:t>
            </w:r>
          </w:p>
        </w:tc>
        <w:tc>
          <w:tcPr>
            <w:tcW w:w="2025" w:type="dxa"/>
            <w:tcBorders>
              <w:tl2br w:val="nil"/>
              <w:tr2bl w:val="nil"/>
            </w:tcBorders>
            <w:vAlign w:val="center"/>
          </w:tcPr>
          <w:p w14:paraId="0F1481A2">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Times New Roman"/>
                <w:color w:val="auto"/>
                <w:sz w:val="21"/>
                <w:szCs w:val="21"/>
                <w:highlight w:val="none"/>
                <w:lang w:val="en-US" w:eastAsia="zh-CN" w:bidi="ar"/>
              </w:rPr>
            </w:pPr>
            <w:r>
              <w:rPr>
                <w:rFonts w:hint="eastAsia" w:ascii="Times New Roman" w:hAnsi="Times New Roman" w:cs="Times New Roman"/>
                <w:color w:val="auto"/>
                <w:sz w:val="21"/>
                <w:szCs w:val="21"/>
                <w:highlight w:val="none"/>
                <w:lang w:val="en-US" w:eastAsia="zh-CN" w:bidi="ar"/>
              </w:rPr>
              <w:t>0</w:t>
            </w:r>
          </w:p>
        </w:tc>
        <w:tc>
          <w:tcPr>
            <w:tcW w:w="2025" w:type="dxa"/>
            <w:tcBorders>
              <w:tl2br w:val="nil"/>
              <w:tr2bl w:val="nil"/>
            </w:tcBorders>
            <w:vAlign w:val="center"/>
          </w:tcPr>
          <w:p w14:paraId="7FB9A049">
            <w:pPr>
              <w:keepNext w:val="0"/>
              <w:keepLines w:val="0"/>
              <w:pageBreakBefore w:val="0"/>
              <w:widowControl/>
              <w:kinsoku/>
              <w:wordWrap/>
              <w:overflowPunct/>
              <w:topLinePunct w:val="0"/>
              <w:autoSpaceDE/>
              <w:autoSpaceDN/>
              <w:bidi w:val="0"/>
              <w:adjustRightInd/>
              <w:snapToGrid/>
              <w:ind w:left="0" w:right="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0.1</w:t>
            </w:r>
          </w:p>
        </w:tc>
        <w:tc>
          <w:tcPr>
            <w:tcW w:w="2025" w:type="dxa"/>
            <w:tcBorders>
              <w:tl2br w:val="nil"/>
              <w:tr2bl w:val="nil"/>
            </w:tcBorders>
            <w:vAlign w:val="center"/>
          </w:tcPr>
          <w:p w14:paraId="2B2B74E2">
            <w:pPr>
              <w:keepNext w:val="0"/>
              <w:keepLines w:val="0"/>
              <w:pageBreakBefore w:val="0"/>
              <w:widowControl/>
              <w:kinsoku/>
              <w:wordWrap/>
              <w:overflowPunct/>
              <w:topLinePunct w:val="0"/>
              <w:autoSpaceDE/>
              <w:autoSpaceDN/>
              <w:bidi w:val="0"/>
              <w:adjustRightInd/>
              <w:snapToGrid/>
              <w:ind w:left="0" w:right="0"/>
              <w:jc w:val="center"/>
              <w:textAlignment w:val="center"/>
              <w:rPr>
                <w:rFonts w:hint="default" w:ascii="Times New Roman" w:hAnsi="Times New Roman" w:eastAsia="等线" w:cs="Times New Roman"/>
                <w:color w:val="auto"/>
                <w:sz w:val="21"/>
                <w:szCs w:val="21"/>
                <w:highlight w:val="none"/>
                <w:lang w:val="en-US" w:eastAsia="zh-CN" w:bidi="ar"/>
              </w:rPr>
            </w:pPr>
            <w:r>
              <w:rPr>
                <w:rFonts w:hint="eastAsia" w:ascii="Times New Roman" w:hAnsi="Times New Roman" w:eastAsia="等线" w:cs="Times New Roman"/>
                <w:color w:val="auto"/>
                <w:sz w:val="21"/>
                <w:szCs w:val="21"/>
                <w:highlight w:val="none"/>
                <w:lang w:val="en-US" w:eastAsia="zh-CN" w:bidi="ar"/>
              </w:rPr>
              <w:t>0.1</w:t>
            </w:r>
          </w:p>
        </w:tc>
        <w:tc>
          <w:tcPr>
            <w:tcW w:w="2025" w:type="dxa"/>
            <w:tcBorders>
              <w:tl2br w:val="nil"/>
              <w:tr2bl w:val="nil"/>
            </w:tcBorders>
            <w:vAlign w:val="center"/>
          </w:tcPr>
          <w:p w14:paraId="7AF12ECC">
            <w:pPr>
              <w:keepNext w:val="0"/>
              <w:keepLines w:val="0"/>
              <w:pageBreakBefore w:val="0"/>
              <w:widowControl/>
              <w:kinsoku/>
              <w:wordWrap/>
              <w:overflowPunct/>
              <w:topLinePunct w:val="0"/>
              <w:autoSpaceDE/>
              <w:autoSpaceDN/>
              <w:bidi w:val="0"/>
              <w:adjustRightInd/>
              <w:snapToGrid/>
              <w:ind w:left="0" w:right="0"/>
              <w:jc w:val="center"/>
              <w:textAlignment w:val="center"/>
              <w:rPr>
                <w:rFonts w:hint="default" w:ascii="Times New Roman" w:hAnsi="Times New Roman" w:eastAsia="等线" w:cs="Times New Roman"/>
                <w:color w:val="auto"/>
                <w:sz w:val="21"/>
                <w:szCs w:val="21"/>
                <w:highlight w:val="none"/>
                <w:lang w:val="en-US" w:eastAsia="zh-CN" w:bidi="ar"/>
              </w:rPr>
            </w:pPr>
            <w:r>
              <w:rPr>
                <w:rFonts w:hint="eastAsia" w:ascii="Times New Roman" w:hAnsi="Times New Roman" w:eastAsia="等线" w:cs="Times New Roman"/>
                <w:color w:val="auto"/>
                <w:sz w:val="21"/>
                <w:szCs w:val="21"/>
                <w:highlight w:val="none"/>
                <w:lang w:val="en-US" w:eastAsia="zh-CN" w:bidi="ar"/>
              </w:rPr>
              <w:t>+0.1</w:t>
            </w:r>
          </w:p>
        </w:tc>
      </w:tr>
      <w:tr w14:paraId="03C5669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024" w:type="dxa"/>
            <w:gridSpan w:val="2"/>
            <w:vMerge w:val="continue"/>
            <w:tcBorders>
              <w:tl2br w:val="nil"/>
              <w:tr2bl w:val="nil"/>
            </w:tcBorders>
            <w:vAlign w:val="center"/>
          </w:tcPr>
          <w:p w14:paraId="49037563">
            <w:pPr>
              <w:keepNext w:val="0"/>
              <w:keepLines w:val="0"/>
              <w:pageBreakBefore w:val="0"/>
              <w:widowControl/>
              <w:kinsoku/>
              <w:wordWrap/>
              <w:overflowPunct/>
              <w:topLinePunct w:val="0"/>
              <w:autoSpaceDE/>
              <w:autoSpaceDN/>
              <w:bidi w:val="0"/>
              <w:adjustRightInd/>
              <w:snapToGrid/>
              <w:ind w:left="0" w:right="0"/>
              <w:jc w:val="center"/>
              <w:rPr>
                <w:rFonts w:ascii="Times New Roman" w:hAnsi="Times New Roman" w:cs="Times New Roman"/>
                <w:color w:val="auto"/>
                <w:sz w:val="21"/>
                <w:szCs w:val="21"/>
                <w:highlight w:val="none"/>
              </w:rPr>
            </w:pPr>
          </w:p>
        </w:tc>
        <w:tc>
          <w:tcPr>
            <w:tcW w:w="2025" w:type="dxa"/>
            <w:tcBorders>
              <w:tl2br w:val="nil"/>
              <w:tr2bl w:val="nil"/>
            </w:tcBorders>
            <w:vAlign w:val="center"/>
          </w:tcPr>
          <w:p w14:paraId="173A23FB">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生活垃圾</w:t>
            </w:r>
          </w:p>
        </w:tc>
        <w:tc>
          <w:tcPr>
            <w:tcW w:w="2025" w:type="dxa"/>
            <w:tcBorders>
              <w:tl2br w:val="nil"/>
              <w:tr2bl w:val="nil"/>
            </w:tcBorders>
            <w:vAlign w:val="center"/>
          </w:tcPr>
          <w:p w14:paraId="56DBA1EE">
            <w:pPr>
              <w:keepNext w:val="0"/>
              <w:keepLines w:val="0"/>
              <w:pageBreakBefore w:val="0"/>
              <w:widowControl/>
              <w:kinsoku/>
              <w:wordWrap/>
              <w:overflowPunct/>
              <w:topLinePunct w:val="0"/>
              <w:autoSpaceDE/>
              <w:autoSpaceDN/>
              <w:bidi w:val="0"/>
              <w:adjustRightInd/>
              <w:snapToGrid/>
              <w:ind w:left="0" w:right="0"/>
              <w:jc w:val="center"/>
              <w:rPr>
                <w:rFonts w:hint="default" w:ascii="Times New Roman" w:hAnsi="Times New Roman" w:eastAsia="宋体" w:cs="Times New Roman"/>
                <w:color w:val="auto"/>
                <w:sz w:val="21"/>
                <w:szCs w:val="21"/>
                <w:highlight w:val="none"/>
                <w:lang w:val="en-US" w:eastAsia="zh-CN" w:bidi="ar"/>
              </w:rPr>
            </w:pPr>
            <w:r>
              <w:rPr>
                <w:rFonts w:hint="eastAsia" w:ascii="Times New Roman" w:hAnsi="Times New Roman" w:cs="Times New Roman"/>
                <w:color w:val="auto"/>
                <w:sz w:val="21"/>
                <w:szCs w:val="21"/>
                <w:highlight w:val="none"/>
                <w:lang w:val="en-US" w:eastAsia="zh-CN" w:bidi="ar"/>
              </w:rPr>
              <w:t>3</w:t>
            </w:r>
          </w:p>
        </w:tc>
        <w:tc>
          <w:tcPr>
            <w:tcW w:w="2025" w:type="dxa"/>
            <w:tcBorders>
              <w:tl2br w:val="nil"/>
              <w:tr2bl w:val="nil"/>
            </w:tcBorders>
            <w:vAlign w:val="center"/>
          </w:tcPr>
          <w:p w14:paraId="0918125D">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Times New Roman"/>
                <w:color w:val="auto"/>
                <w:sz w:val="21"/>
                <w:szCs w:val="21"/>
                <w:highlight w:val="none"/>
                <w:lang w:val="en-US" w:eastAsia="zh-CN" w:bidi="ar"/>
              </w:rPr>
            </w:pPr>
            <w:r>
              <w:rPr>
                <w:rFonts w:hint="eastAsia" w:ascii="Times New Roman" w:hAnsi="Times New Roman" w:cs="Times New Roman"/>
                <w:color w:val="auto"/>
                <w:sz w:val="21"/>
                <w:szCs w:val="21"/>
                <w:highlight w:val="none"/>
                <w:lang w:val="en-US" w:eastAsia="zh-CN" w:bidi="ar"/>
              </w:rPr>
              <w:t>0</w:t>
            </w:r>
          </w:p>
        </w:tc>
        <w:tc>
          <w:tcPr>
            <w:tcW w:w="2025" w:type="dxa"/>
            <w:tcBorders>
              <w:tl2br w:val="nil"/>
              <w:tr2bl w:val="nil"/>
            </w:tcBorders>
            <w:vAlign w:val="center"/>
          </w:tcPr>
          <w:p w14:paraId="57C2271B">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0</w:t>
            </w:r>
          </w:p>
        </w:tc>
        <w:tc>
          <w:tcPr>
            <w:tcW w:w="2025" w:type="dxa"/>
            <w:tcBorders>
              <w:tl2br w:val="nil"/>
              <w:tr2bl w:val="nil"/>
            </w:tcBorders>
            <w:vAlign w:val="center"/>
          </w:tcPr>
          <w:p w14:paraId="1D5F7B18">
            <w:pPr>
              <w:keepNext w:val="0"/>
              <w:keepLines w:val="0"/>
              <w:pageBreakBefore w:val="0"/>
              <w:widowControl/>
              <w:kinsoku/>
              <w:wordWrap/>
              <w:overflowPunct/>
              <w:topLinePunct w:val="0"/>
              <w:autoSpaceDE/>
              <w:autoSpaceDN/>
              <w:bidi w:val="0"/>
              <w:adjustRightInd/>
              <w:snapToGrid/>
              <w:ind w:left="0" w:right="0"/>
              <w:jc w:val="center"/>
              <w:textAlignment w:val="center"/>
              <w:rPr>
                <w:rFonts w:hint="eastAsia" w:ascii="Times New Roman" w:hAnsi="Times New Roman" w:eastAsia="等线" w:cs="Times New Roman"/>
                <w:color w:val="auto"/>
                <w:sz w:val="21"/>
                <w:szCs w:val="21"/>
                <w:highlight w:val="none"/>
                <w:lang w:val="en-US" w:eastAsia="zh-CN" w:bidi="ar"/>
              </w:rPr>
            </w:pPr>
            <w:r>
              <w:rPr>
                <w:rFonts w:hint="eastAsia" w:ascii="Times New Roman" w:hAnsi="Times New Roman" w:eastAsia="等线" w:cs="Times New Roman"/>
                <w:color w:val="auto"/>
                <w:sz w:val="21"/>
                <w:szCs w:val="21"/>
                <w:highlight w:val="none"/>
                <w:lang w:val="en-US" w:eastAsia="zh-CN" w:bidi="ar"/>
              </w:rPr>
              <w:t>3</w:t>
            </w:r>
          </w:p>
        </w:tc>
        <w:tc>
          <w:tcPr>
            <w:tcW w:w="2025" w:type="dxa"/>
            <w:tcBorders>
              <w:tl2br w:val="nil"/>
              <w:tr2bl w:val="nil"/>
            </w:tcBorders>
            <w:vAlign w:val="center"/>
          </w:tcPr>
          <w:p w14:paraId="04056C91">
            <w:pPr>
              <w:keepNext w:val="0"/>
              <w:keepLines w:val="0"/>
              <w:pageBreakBefore w:val="0"/>
              <w:widowControl/>
              <w:kinsoku/>
              <w:wordWrap/>
              <w:overflowPunct/>
              <w:topLinePunct w:val="0"/>
              <w:autoSpaceDE/>
              <w:autoSpaceDN/>
              <w:bidi w:val="0"/>
              <w:adjustRightInd/>
              <w:snapToGrid/>
              <w:ind w:left="0" w:right="0"/>
              <w:jc w:val="center"/>
              <w:textAlignment w:val="center"/>
              <w:rPr>
                <w:rFonts w:hint="eastAsia" w:ascii="Times New Roman" w:hAnsi="Times New Roman" w:eastAsia="等线" w:cs="Times New Roman"/>
                <w:color w:val="auto"/>
                <w:sz w:val="21"/>
                <w:szCs w:val="21"/>
                <w:highlight w:val="none"/>
                <w:lang w:val="en-US" w:eastAsia="zh-CN" w:bidi="ar"/>
              </w:rPr>
            </w:pPr>
            <w:r>
              <w:rPr>
                <w:rFonts w:hint="eastAsia" w:ascii="Times New Roman" w:hAnsi="Times New Roman" w:eastAsia="等线" w:cs="Times New Roman"/>
                <w:color w:val="auto"/>
                <w:sz w:val="21"/>
                <w:szCs w:val="21"/>
                <w:highlight w:val="none"/>
                <w:lang w:val="en-US" w:eastAsia="zh-CN" w:bidi="ar"/>
              </w:rPr>
              <w:t>0</w:t>
            </w:r>
          </w:p>
        </w:tc>
      </w:tr>
    </w:tbl>
    <w:p w14:paraId="45CEEEF7">
      <w:pPr>
        <w:spacing w:line="360" w:lineRule="auto"/>
        <w:ind w:left="-105" w:right="-105" w:firstLine="422" w:firstLineChars="200"/>
        <w:rPr>
          <w:rFonts w:ascii="Times New Roman" w:hAnsi="Times New Roman"/>
          <w:color w:val="auto"/>
          <w:szCs w:val="22"/>
          <w:highlight w:val="none"/>
        </w:rPr>
      </w:pPr>
      <w:r>
        <w:rPr>
          <w:rFonts w:ascii="Times New Roman" w:hAnsi="Times New Roman" w:cs="Times New Roman"/>
          <w:b/>
          <w:bCs/>
          <w:color w:val="auto"/>
          <w:sz w:val="21"/>
          <w:szCs w:val="21"/>
          <w:highlight w:val="none"/>
        </w:rPr>
        <w:t>注：*数据来源</w:t>
      </w:r>
      <w:r>
        <w:rPr>
          <w:rFonts w:hint="eastAsia" w:ascii="Times New Roman" w:hAnsi="Times New Roman" w:cs="Times New Roman"/>
          <w:b/>
          <w:bCs/>
          <w:color w:val="auto"/>
          <w:sz w:val="21"/>
          <w:szCs w:val="21"/>
          <w:highlight w:val="none"/>
        </w:rPr>
        <w:t>《化药化工（无锡）有限公司年产聚氨酯丙烯酸酯5000t、丙烯酸酯组成物10000t和环氧丙烯酸树脂1200t生产线技改扩建项目一般变动环境影响分析报告》</w:t>
      </w:r>
      <w:r>
        <w:rPr>
          <w:rFonts w:hint="eastAsia" w:ascii="Times New Roman" w:hAnsi="Times New Roman" w:cs="Times New Roman"/>
          <w:b/>
          <w:bCs/>
          <w:color w:val="auto"/>
          <w:sz w:val="21"/>
          <w:szCs w:val="21"/>
          <w:highlight w:val="none"/>
          <w:lang w:val="en-US" w:eastAsia="zh-CN"/>
        </w:rPr>
        <w:t>总量变动情况</w:t>
      </w:r>
      <w:r>
        <w:rPr>
          <w:rFonts w:ascii="Times New Roman" w:hAnsi="Times New Roman" w:cs="Times New Roman"/>
          <w:b/>
          <w:bCs/>
          <w:color w:val="auto"/>
          <w:sz w:val="21"/>
          <w:szCs w:val="21"/>
          <w:highlight w:val="none"/>
        </w:rPr>
        <w:t>。</w:t>
      </w:r>
    </w:p>
    <w:p w14:paraId="7F94485F">
      <w:pPr>
        <w:spacing w:line="360" w:lineRule="auto"/>
        <w:ind w:left="-105" w:right="-105" w:firstLine="422"/>
        <w:rPr>
          <w:rFonts w:ascii="Times New Roman" w:hAnsi="Times New Roman" w:cs="Times New Roman"/>
          <w:b/>
          <w:bCs/>
          <w:color w:val="auto"/>
          <w:sz w:val="21"/>
          <w:szCs w:val="21"/>
          <w:highlight w:val="none"/>
        </w:rPr>
      </w:pPr>
    </w:p>
    <w:p w14:paraId="6039E1EC">
      <w:pPr>
        <w:spacing w:line="360" w:lineRule="auto"/>
        <w:ind w:left="-105" w:right="-105"/>
        <w:rPr>
          <w:rFonts w:ascii="Times New Roman" w:hAnsi="Times New Roman"/>
          <w:color w:val="auto"/>
          <w:highlight w:val="none"/>
        </w:rPr>
      </w:pPr>
    </w:p>
    <w:p w14:paraId="58FA6071">
      <w:pPr>
        <w:spacing w:line="360" w:lineRule="auto"/>
        <w:ind w:left="-105" w:right="-105"/>
        <w:rPr>
          <w:rFonts w:ascii="Times New Roman" w:hAnsi="Times New Roman"/>
          <w:color w:val="auto"/>
          <w:highlight w:val="none"/>
        </w:rPr>
      </w:pPr>
    </w:p>
    <w:p w14:paraId="0A721465">
      <w:pPr>
        <w:spacing w:line="360" w:lineRule="auto"/>
        <w:ind w:left="-105" w:right="-105" w:firstLine="480" w:firstLineChars="200"/>
        <w:rPr>
          <w:rFonts w:ascii="Times New Roman" w:hAnsi="Times New Roman"/>
          <w:color w:val="auto"/>
          <w:highlight w:val="none"/>
        </w:rPr>
        <w:sectPr>
          <w:pgSz w:w="16838" w:h="11906" w:orient="landscape"/>
          <w:pgMar w:top="1701" w:right="1440" w:bottom="1701" w:left="1440" w:header="851" w:footer="851" w:gutter="0"/>
          <w:pgBorders>
            <w:top w:val="none" w:sz="0" w:space="0"/>
            <w:left w:val="none" w:sz="0" w:space="0"/>
            <w:bottom w:val="none" w:sz="0" w:space="0"/>
            <w:right w:val="none" w:sz="0" w:space="0"/>
          </w:pgBorders>
          <w:cols w:space="720" w:num="1"/>
          <w:docGrid w:linePitch="498" w:charSpace="-2336"/>
        </w:sectPr>
      </w:pPr>
    </w:p>
    <w:p w14:paraId="1327EA76">
      <w:pPr>
        <w:pStyle w:val="4"/>
        <w:numPr>
          <w:ilvl w:val="1"/>
          <w:numId w:val="6"/>
        </w:numPr>
        <w:tabs>
          <w:tab w:val="left" w:pos="426"/>
        </w:tabs>
        <w:spacing w:before="120" w:beforeLines="50" w:after="120" w:afterLines="50" w:line="360" w:lineRule="auto"/>
        <w:ind w:left="-105" w:right="-105"/>
        <w:rPr>
          <w:rFonts w:ascii="Times New Roman" w:eastAsia="宋体"/>
          <w:color w:val="auto"/>
          <w:sz w:val="28"/>
          <w:szCs w:val="28"/>
          <w:highlight w:val="none"/>
        </w:rPr>
      </w:pPr>
      <w:bookmarkStart w:id="249" w:name="_Toc21161"/>
      <w:bookmarkStart w:id="250" w:name="_Toc60653508"/>
      <w:r>
        <w:rPr>
          <w:rFonts w:ascii="Times New Roman" w:eastAsia="宋体"/>
          <w:color w:val="auto"/>
          <w:sz w:val="28"/>
          <w:szCs w:val="28"/>
          <w:highlight w:val="none"/>
        </w:rPr>
        <w:t>环境风险识别</w:t>
      </w:r>
      <w:bookmarkEnd w:id="249"/>
      <w:bookmarkEnd w:id="250"/>
    </w:p>
    <w:p w14:paraId="784C7C01">
      <w:pPr>
        <w:pStyle w:val="5"/>
        <w:keepLines w:val="0"/>
        <w:numPr>
          <w:ilvl w:val="2"/>
          <w:numId w:val="6"/>
        </w:numPr>
        <w:tabs>
          <w:tab w:val="left" w:pos="141"/>
          <w:tab w:val="left" w:pos="567"/>
          <w:tab w:val="left" w:pos="709"/>
        </w:tabs>
        <w:spacing w:before="120" w:beforeLines="50" w:after="120" w:afterLines="50" w:line="360" w:lineRule="auto"/>
        <w:ind w:left="-105" w:right="-105"/>
        <w:rPr>
          <w:rFonts w:eastAsia="宋体"/>
          <w:color w:val="auto"/>
          <w:sz w:val="28"/>
          <w:szCs w:val="28"/>
          <w:highlight w:val="none"/>
        </w:rPr>
      </w:pPr>
      <w:r>
        <w:rPr>
          <w:rFonts w:eastAsia="宋体"/>
          <w:color w:val="auto"/>
          <w:sz w:val="28"/>
          <w:szCs w:val="28"/>
          <w:highlight w:val="none"/>
        </w:rPr>
        <w:t>风险识别内容</w:t>
      </w:r>
    </w:p>
    <w:p w14:paraId="593F6629">
      <w:pPr>
        <w:spacing w:line="360" w:lineRule="auto"/>
        <w:ind w:left="-105" w:right="-105" w:firstLine="480" w:firstLineChars="200"/>
        <w:rPr>
          <w:rFonts w:ascii="Times New Roman" w:hAnsi="Times New Roman" w:cs="Times New Roman"/>
          <w:color w:val="auto"/>
          <w:highlight w:val="none"/>
        </w:rPr>
      </w:pPr>
      <w:r>
        <w:rPr>
          <w:rFonts w:ascii="Times New Roman" w:hAnsi="Times New Roman" w:cs="Times New Roman"/>
          <w:color w:val="auto"/>
          <w:highlight w:val="none"/>
        </w:rPr>
        <w:t>风险识别内容主要包括物质危险性识别，生产系统危险性识别，危险物质向环境转移的途径识别。</w:t>
      </w:r>
    </w:p>
    <w:p w14:paraId="62D8E130">
      <w:pPr>
        <w:autoSpaceDE w:val="0"/>
        <w:autoSpaceDN w:val="0"/>
        <w:adjustRightInd w:val="0"/>
        <w:snapToGrid w:val="0"/>
        <w:spacing w:line="360" w:lineRule="auto"/>
        <w:ind w:left="-105" w:right="-105" w:firstLine="480" w:firstLineChars="200"/>
        <w:rPr>
          <w:rFonts w:ascii="Times New Roman" w:hAnsi="Times New Roman" w:cs="Times New Roman"/>
          <w:color w:val="auto"/>
          <w:highlight w:val="none"/>
        </w:rPr>
      </w:pPr>
      <w:r>
        <w:rPr>
          <w:rFonts w:ascii="Times New Roman" w:hAnsi="Times New Roman" w:cs="Times New Roman"/>
          <w:color w:val="auto"/>
          <w:highlight w:val="none"/>
        </w:rPr>
        <w:t>物质危险性识别包括主要原辅材料、燃料、中间产品、副产品、最终产品、污染物、火灾和爆炸半生/次生物等。</w:t>
      </w:r>
    </w:p>
    <w:p w14:paraId="28106B88">
      <w:pPr>
        <w:autoSpaceDE w:val="0"/>
        <w:autoSpaceDN w:val="0"/>
        <w:adjustRightInd w:val="0"/>
        <w:snapToGrid w:val="0"/>
        <w:spacing w:line="360" w:lineRule="auto"/>
        <w:ind w:left="-105" w:right="-105" w:firstLine="480" w:firstLineChars="200"/>
        <w:rPr>
          <w:rFonts w:ascii="Times New Roman" w:hAnsi="Times New Roman" w:cs="Times New Roman"/>
          <w:color w:val="auto"/>
          <w:highlight w:val="none"/>
        </w:rPr>
      </w:pPr>
      <w:r>
        <w:rPr>
          <w:rFonts w:ascii="Times New Roman" w:hAnsi="Times New Roman" w:cs="Times New Roman"/>
          <w:color w:val="auto"/>
          <w:highlight w:val="none"/>
        </w:rPr>
        <w:t>生产系统危险性识别包括主要生产装置、储运设施、公用工程和辅助生产设施，以及环境保护设施等。</w:t>
      </w:r>
    </w:p>
    <w:p w14:paraId="52A4B4BA">
      <w:pPr>
        <w:spacing w:line="360" w:lineRule="auto"/>
        <w:ind w:left="-105" w:right="-105" w:firstLine="480" w:firstLineChars="200"/>
        <w:rPr>
          <w:rFonts w:ascii="Times New Roman" w:hAnsi="Times New Roman"/>
          <w:color w:val="auto"/>
          <w:highlight w:val="none"/>
        </w:rPr>
      </w:pPr>
      <w:r>
        <w:rPr>
          <w:rFonts w:ascii="Times New Roman" w:hAnsi="Times New Roman" w:cs="Times New Roman"/>
          <w:color w:val="auto"/>
          <w:highlight w:val="none"/>
        </w:rPr>
        <w:t>危险物质向环境转移的途径识别包括分析危险物质特性及可能的环境风险类型，识别危险物质影响环境的途径，分析可能影响的环境敏感目标。</w:t>
      </w:r>
    </w:p>
    <w:p w14:paraId="3044D808">
      <w:pPr>
        <w:pStyle w:val="5"/>
        <w:keepLines w:val="0"/>
        <w:numPr>
          <w:ilvl w:val="2"/>
          <w:numId w:val="6"/>
        </w:numPr>
        <w:tabs>
          <w:tab w:val="left" w:pos="141"/>
          <w:tab w:val="left" w:pos="567"/>
          <w:tab w:val="left" w:pos="709"/>
        </w:tabs>
        <w:spacing w:before="120" w:beforeLines="50" w:after="120" w:afterLines="50" w:line="360" w:lineRule="auto"/>
        <w:ind w:left="-105" w:right="-105"/>
        <w:rPr>
          <w:rFonts w:eastAsia="宋体"/>
          <w:color w:val="auto"/>
          <w:sz w:val="28"/>
          <w:szCs w:val="28"/>
          <w:highlight w:val="none"/>
        </w:rPr>
      </w:pPr>
      <w:r>
        <w:rPr>
          <w:rFonts w:eastAsia="宋体"/>
          <w:color w:val="auto"/>
          <w:sz w:val="28"/>
          <w:szCs w:val="28"/>
          <w:highlight w:val="none"/>
        </w:rPr>
        <w:t>风险识别范围</w:t>
      </w:r>
    </w:p>
    <w:p w14:paraId="5B5FC77B">
      <w:pPr>
        <w:autoSpaceDE w:val="0"/>
        <w:autoSpaceDN w:val="0"/>
        <w:adjustRightInd w:val="0"/>
        <w:snapToGrid w:val="0"/>
        <w:spacing w:line="360" w:lineRule="auto"/>
        <w:ind w:left="-105" w:right="-105" w:firstLine="480" w:firstLineChars="200"/>
        <w:rPr>
          <w:rFonts w:ascii="Times New Roman" w:hAnsi="Times New Roman" w:cs="Times New Roman"/>
          <w:color w:val="auto"/>
          <w:highlight w:val="none"/>
        </w:rPr>
      </w:pPr>
      <w:r>
        <w:rPr>
          <w:rFonts w:ascii="Times New Roman" w:hAnsi="Times New Roman" w:cs="Times New Roman"/>
          <w:color w:val="auto"/>
          <w:highlight w:val="none"/>
        </w:rPr>
        <w:t>风险识别范围包括全厂生产设施识别和可能涉及的物质风险识别。本次风险评价重点对全厂进行风险识别、后果评估，提出防范、应急与减缓措施。</w:t>
      </w:r>
    </w:p>
    <w:p w14:paraId="32F02B13">
      <w:pPr>
        <w:autoSpaceDE w:val="0"/>
        <w:autoSpaceDN w:val="0"/>
        <w:adjustRightInd w:val="0"/>
        <w:snapToGrid w:val="0"/>
        <w:spacing w:line="360" w:lineRule="auto"/>
        <w:ind w:left="-105" w:right="-105" w:firstLine="480" w:firstLineChars="200"/>
        <w:rPr>
          <w:rFonts w:ascii="Times New Roman" w:hAnsi="Times New Roman" w:cs="Times New Roman"/>
          <w:color w:val="auto"/>
          <w:highlight w:val="none"/>
        </w:rPr>
      </w:pPr>
      <w:r>
        <w:rPr>
          <w:rFonts w:ascii="Times New Roman" w:hAnsi="Times New Roman" w:cs="Times New Roman"/>
          <w:color w:val="auto"/>
          <w:highlight w:val="none"/>
        </w:rPr>
        <w:t>（1）生产设施识别范围包括：主要产生系统、贮运系统、公用工程系统、工程环保设施及辅助生产设施等；</w:t>
      </w:r>
    </w:p>
    <w:p w14:paraId="38558273">
      <w:pPr>
        <w:autoSpaceDE w:val="0"/>
        <w:autoSpaceDN w:val="0"/>
        <w:adjustRightInd w:val="0"/>
        <w:snapToGrid w:val="0"/>
        <w:spacing w:line="360" w:lineRule="auto"/>
        <w:ind w:left="-105" w:right="-105" w:firstLine="480" w:firstLineChars="200"/>
        <w:rPr>
          <w:rFonts w:ascii="Times New Roman" w:hAnsi="Times New Roman" w:cs="Times New Roman"/>
          <w:color w:val="auto"/>
          <w:highlight w:val="none"/>
        </w:rPr>
      </w:pPr>
      <w:r>
        <w:rPr>
          <w:rFonts w:ascii="Times New Roman" w:hAnsi="Times New Roman" w:cs="Times New Roman"/>
          <w:color w:val="auto"/>
          <w:highlight w:val="none"/>
        </w:rPr>
        <w:t>（2）物质风险识别范围包括：根据项目特点、项目所涉及的原料、燃料、产品、辅助料、三废等理化性质，确定本项目可能涉及的风险物质，以及发生火灾、爆炸产生的次生、伴生污染物。</w:t>
      </w:r>
    </w:p>
    <w:p w14:paraId="5AB50BB8">
      <w:pPr>
        <w:autoSpaceDE w:val="0"/>
        <w:autoSpaceDN w:val="0"/>
        <w:adjustRightInd w:val="0"/>
        <w:snapToGrid w:val="0"/>
        <w:spacing w:line="360" w:lineRule="auto"/>
        <w:ind w:left="-105" w:right="-105" w:firstLine="480" w:firstLineChars="200"/>
        <w:rPr>
          <w:rFonts w:ascii="Times New Roman" w:hAnsi="Times New Roman" w:cs="Times New Roman"/>
          <w:color w:val="auto"/>
          <w:highlight w:val="none"/>
        </w:rPr>
      </w:pPr>
      <w:r>
        <w:rPr>
          <w:rFonts w:ascii="Times New Roman" w:hAnsi="Times New Roman" w:cs="Times New Roman"/>
          <w:color w:val="auto"/>
          <w:highlight w:val="none"/>
        </w:rPr>
        <w:t>根据《建设项目环境风险评价技术导则》（HJ169-2018）中附录B对项目运营过程中涉及的物质进行风险识别，</w:t>
      </w:r>
      <w:r>
        <w:rPr>
          <w:rFonts w:ascii="Times New Roman" w:hAnsi="Times New Roman" w:cs="Times New Roman"/>
          <w:bCs/>
          <w:color w:val="auto"/>
          <w:highlight w:val="none"/>
        </w:rPr>
        <w:t>本项目涉及的环境风险物质为</w:t>
      </w:r>
      <w:r>
        <w:rPr>
          <w:rFonts w:hint="eastAsia" w:ascii="Times New Roman" w:hAnsi="Times New Roman" w:cs="Times New Roman"/>
          <w:bCs/>
          <w:color w:val="auto"/>
          <w:highlight w:val="none"/>
        </w:rPr>
        <w:t>二甲基亚砜、N-甲基吡咯烷酮、四甲基氢氧化铵</w:t>
      </w:r>
      <w:r>
        <w:rPr>
          <w:rFonts w:ascii="Times New Roman" w:hAnsi="Times New Roman" w:cs="Times New Roman"/>
          <w:bCs/>
          <w:color w:val="auto"/>
          <w:highlight w:val="none"/>
        </w:rPr>
        <w:t>等。</w:t>
      </w:r>
      <w:r>
        <w:rPr>
          <w:rFonts w:ascii="Times New Roman" w:hAnsi="Times New Roman" w:cs="Times New Roman"/>
          <w:color w:val="auto"/>
          <w:highlight w:val="none"/>
        </w:rPr>
        <w:t>项目各风险物品的理化性质见</w:t>
      </w:r>
      <w:r>
        <w:rPr>
          <w:rFonts w:ascii="Times New Roman" w:hAnsi="Times New Roman" w:cs="Times New Roman"/>
          <w:color w:val="auto"/>
          <w:szCs w:val="18"/>
          <w:highlight w:val="none"/>
        </w:rPr>
        <w:fldChar w:fldCharType="begin"/>
      </w:r>
      <w:r>
        <w:rPr>
          <w:rFonts w:ascii="Times New Roman" w:hAnsi="Times New Roman" w:cs="Times New Roman"/>
          <w:color w:val="auto"/>
          <w:szCs w:val="18"/>
          <w:highlight w:val="none"/>
        </w:rPr>
        <w:instrText xml:space="preserve"> REF _Ref30527 \h </w:instrText>
      </w:r>
      <w:r>
        <w:rPr>
          <w:rFonts w:ascii="Times New Roman" w:hAnsi="Times New Roman" w:cs="Times New Roman"/>
          <w:color w:val="auto"/>
          <w:szCs w:val="18"/>
          <w:highlight w:val="none"/>
        </w:rPr>
        <w:fldChar w:fldCharType="separate"/>
      </w:r>
      <w:r>
        <w:rPr>
          <w:rFonts w:ascii="Times New Roman" w:hAnsi="Times New Roman" w:cs="Times New Roman"/>
          <w:color w:val="auto"/>
          <w:szCs w:val="18"/>
          <w:highlight w:val="none"/>
        </w:rPr>
        <w:t>表</w:t>
      </w:r>
      <w:r>
        <w:rPr>
          <w:rFonts w:ascii="Times New Roman" w:hAnsi="Times New Roman" w:cs="Times New Roman"/>
          <w:color w:val="auto"/>
          <w:szCs w:val="18"/>
          <w:highlight w:val="none"/>
        </w:rPr>
        <w:fldChar w:fldCharType="begin"/>
      </w:r>
      <w:r>
        <w:rPr>
          <w:rFonts w:ascii="Times New Roman" w:hAnsi="Times New Roman" w:cs="Times New Roman"/>
          <w:color w:val="auto"/>
          <w:szCs w:val="18"/>
          <w:highlight w:val="none"/>
        </w:rPr>
        <w:instrText xml:space="preserve"> STYLEREF 2 \s </w:instrText>
      </w:r>
      <w:r>
        <w:rPr>
          <w:rFonts w:ascii="Times New Roman" w:hAnsi="Times New Roman" w:cs="Times New Roman"/>
          <w:color w:val="auto"/>
          <w:szCs w:val="18"/>
          <w:highlight w:val="none"/>
        </w:rPr>
        <w:fldChar w:fldCharType="separate"/>
      </w:r>
      <w:r>
        <w:rPr>
          <w:rFonts w:ascii="Times New Roman" w:hAnsi="Times New Roman" w:cs="Times New Roman"/>
          <w:color w:val="auto"/>
          <w:szCs w:val="18"/>
          <w:highlight w:val="none"/>
        </w:rPr>
        <w:t>4.3</w:t>
      </w:r>
      <w:r>
        <w:rPr>
          <w:rFonts w:ascii="Times New Roman" w:hAnsi="Times New Roman" w:cs="Times New Roman"/>
          <w:color w:val="auto"/>
          <w:szCs w:val="18"/>
          <w:highlight w:val="none"/>
        </w:rPr>
        <w:fldChar w:fldCharType="end"/>
      </w:r>
      <w:r>
        <w:rPr>
          <w:rFonts w:ascii="Times New Roman" w:hAnsi="Times New Roman" w:cs="Times New Roman"/>
          <w:color w:val="auto"/>
          <w:szCs w:val="18"/>
          <w:highlight w:val="none"/>
        </w:rPr>
        <w:noBreakHyphen/>
      </w:r>
      <w:r>
        <w:rPr>
          <w:rFonts w:ascii="Times New Roman" w:hAnsi="Times New Roman" w:cs="Times New Roman"/>
          <w:color w:val="auto"/>
          <w:szCs w:val="18"/>
          <w:highlight w:val="none"/>
        </w:rPr>
        <w:t>2</w:t>
      </w:r>
      <w:r>
        <w:rPr>
          <w:rFonts w:ascii="Times New Roman" w:hAnsi="Times New Roman" w:cs="Times New Roman"/>
          <w:color w:val="auto"/>
          <w:szCs w:val="18"/>
          <w:highlight w:val="none"/>
        </w:rPr>
        <w:fldChar w:fldCharType="end"/>
      </w:r>
      <w:r>
        <w:rPr>
          <w:rFonts w:ascii="Times New Roman" w:hAnsi="Times New Roman" w:cs="Times New Roman"/>
          <w:color w:val="auto"/>
          <w:highlight w:val="none"/>
        </w:rPr>
        <w:t>。</w:t>
      </w:r>
    </w:p>
    <w:p w14:paraId="11677BF0">
      <w:pPr>
        <w:spacing w:line="360" w:lineRule="auto"/>
        <w:ind w:left="-105" w:right="-105" w:firstLine="480" w:firstLineChars="200"/>
        <w:rPr>
          <w:rFonts w:ascii="Times New Roman" w:hAnsi="Times New Roman" w:cs="Times New Roman"/>
          <w:color w:val="auto"/>
          <w:highlight w:val="none"/>
        </w:rPr>
      </w:pPr>
      <w:r>
        <w:rPr>
          <w:rFonts w:ascii="Times New Roman" w:hAnsi="Times New Roman" w:cs="Times New Roman"/>
          <w:color w:val="auto"/>
          <w:highlight w:val="none"/>
        </w:rPr>
        <w:t>（3）风险类型</w:t>
      </w:r>
    </w:p>
    <w:p w14:paraId="2508685F">
      <w:pPr>
        <w:spacing w:line="360" w:lineRule="auto"/>
        <w:ind w:left="-105" w:right="-105" w:firstLine="480" w:firstLineChars="200"/>
        <w:rPr>
          <w:rFonts w:ascii="Times New Roman" w:hAnsi="Times New Roman" w:cs="Times New Roman"/>
          <w:color w:val="auto"/>
          <w:highlight w:val="none"/>
        </w:rPr>
      </w:pPr>
      <w:r>
        <w:rPr>
          <w:rFonts w:ascii="Times New Roman" w:hAnsi="Times New Roman" w:cs="Times New Roman"/>
          <w:color w:val="auto"/>
          <w:highlight w:val="none"/>
        </w:rPr>
        <w:t>根据有毒有害物质发生起因，分为火灾、爆炸和泄漏三种类型。</w:t>
      </w:r>
    </w:p>
    <w:p w14:paraId="7EE0EA3A">
      <w:pPr>
        <w:spacing w:line="360" w:lineRule="auto"/>
        <w:ind w:left="-105" w:right="-105" w:firstLine="480" w:firstLineChars="200"/>
        <w:rPr>
          <w:rFonts w:ascii="Times New Roman" w:hAnsi="Times New Roman" w:cs="Times New Roman"/>
          <w:color w:val="auto"/>
          <w:highlight w:val="none"/>
        </w:rPr>
      </w:pPr>
      <w:r>
        <w:rPr>
          <w:rFonts w:ascii="Times New Roman" w:hAnsi="Times New Roman" w:cs="Times New Roman"/>
          <w:color w:val="auto"/>
          <w:highlight w:val="none"/>
        </w:rPr>
        <w:t>全厂风险类型主要为生产过程中出现的物料泄漏、火灾、爆炸及因此而造成的事故排放，不考虑自然灾害如地震、洪水、台风等引起的事故风险。具体如下：</w:t>
      </w:r>
    </w:p>
    <w:p w14:paraId="7563CA5C">
      <w:pPr>
        <w:spacing w:line="360" w:lineRule="auto"/>
        <w:ind w:left="-105" w:right="-105" w:firstLine="480" w:firstLineChars="200"/>
        <w:rPr>
          <w:rFonts w:ascii="Times New Roman" w:hAnsi="Times New Roman" w:cs="Times New Roman"/>
          <w:color w:val="auto"/>
          <w:highlight w:val="none"/>
        </w:rPr>
      </w:pPr>
      <w:r>
        <w:rPr>
          <w:rFonts w:hint="eastAsia"/>
          <w:color w:val="auto"/>
          <w:highlight w:val="none"/>
        </w:rPr>
        <w:t>①</w:t>
      </w:r>
      <w:r>
        <w:rPr>
          <w:rFonts w:ascii="Times New Roman" w:hAnsi="Times New Roman" w:cs="Times New Roman"/>
          <w:color w:val="auto"/>
          <w:highlight w:val="none"/>
        </w:rPr>
        <w:t>危险化学品储存</w:t>
      </w:r>
      <w:r>
        <w:rPr>
          <w:rFonts w:hint="eastAsia" w:ascii="Times New Roman" w:hAnsi="Times New Roman" w:cs="Times New Roman"/>
          <w:color w:val="auto"/>
          <w:highlight w:val="none"/>
        </w:rPr>
        <w:t>、使用</w:t>
      </w:r>
      <w:r>
        <w:rPr>
          <w:rFonts w:ascii="Times New Roman" w:hAnsi="Times New Roman" w:cs="Times New Roman"/>
          <w:color w:val="auto"/>
          <w:highlight w:val="none"/>
        </w:rPr>
        <w:t>过程发生泄漏，引发火灾、爆炸及次生/伴生环境事故。</w:t>
      </w:r>
    </w:p>
    <w:p w14:paraId="7990E94C">
      <w:pPr>
        <w:spacing w:line="360" w:lineRule="auto"/>
        <w:ind w:left="-105" w:right="-105" w:firstLine="480" w:firstLineChars="200"/>
        <w:rPr>
          <w:rFonts w:ascii="Times New Roman" w:hAnsi="Times New Roman" w:cs="Times New Roman"/>
          <w:color w:val="auto"/>
          <w:highlight w:val="none"/>
        </w:rPr>
      </w:pPr>
      <w:r>
        <w:rPr>
          <w:rFonts w:hint="eastAsia"/>
          <w:color w:val="auto"/>
          <w:highlight w:val="none"/>
        </w:rPr>
        <w:t>②</w:t>
      </w:r>
      <w:r>
        <w:rPr>
          <w:rFonts w:ascii="Times New Roman" w:hAnsi="Times New Roman" w:cs="Times New Roman"/>
          <w:color w:val="auto"/>
          <w:highlight w:val="none"/>
        </w:rPr>
        <w:t>废气收集系统失效、废气处理装置发生故障，造成废气的事故性排放，对周围大气环境会产生一定的影响。</w:t>
      </w:r>
    </w:p>
    <w:p w14:paraId="443BF500">
      <w:pPr>
        <w:spacing w:line="360" w:lineRule="auto"/>
        <w:ind w:left="-105" w:right="-105" w:firstLine="480" w:firstLineChars="200"/>
        <w:rPr>
          <w:rFonts w:ascii="Times New Roman" w:hAnsi="Times New Roman" w:cs="Times New Roman"/>
          <w:color w:val="auto"/>
          <w:highlight w:val="none"/>
        </w:rPr>
      </w:pPr>
      <w:r>
        <w:rPr>
          <w:rFonts w:hint="eastAsia"/>
          <w:color w:val="auto"/>
          <w:highlight w:val="none"/>
        </w:rPr>
        <w:t>③</w:t>
      </w:r>
      <w:r>
        <w:rPr>
          <w:rFonts w:ascii="Times New Roman" w:hAnsi="Times New Roman" w:cs="Times New Roman"/>
          <w:color w:val="auto"/>
          <w:highlight w:val="none"/>
        </w:rPr>
        <w:t>废</w:t>
      </w:r>
      <w:r>
        <w:rPr>
          <w:rFonts w:hint="eastAsia" w:ascii="Times New Roman" w:hAnsi="Times New Roman" w:cs="Times New Roman"/>
          <w:color w:val="auto"/>
          <w:highlight w:val="none"/>
        </w:rPr>
        <w:t>液</w:t>
      </w:r>
      <w:r>
        <w:rPr>
          <w:rFonts w:ascii="Times New Roman" w:hAnsi="Times New Roman" w:cs="Times New Roman"/>
          <w:color w:val="auto"/>
          <w:highlight w:val="none"/>
        </w:rPr>
        <w:t>收集池破损造成</w:t>
      </w:r>
      <w:r>
        <w:rPr>
          <w:rFonts w:hint="eastAsia" w:ascii="Times New Roman" w:hAnsi="Times New Roman" w:cs="Times New Roman"/>
          <w:color w:val="auto"/>
          <w:highlight w:val="none"/>
          <w:lang w:val="en-US" w:eastAsia="zh-CN"/>
        </w:rPr>
        <w:t>实验清洗</w:t>
      </w:r>
      <w:r>
        <w:rPr>
          <w:rFonts w:ascii="Times New Roman" w:hAnsi="Times New Roman" w:cs="Times New Roman"/>
          <w:color w:val="auto"/>
          <w:highlight w:val="none"/>
        </w:rPr>
        <w:t>废水</w:t>
      </w:r>
      <w:r>
        <w:rPr>
          <w:rFonts w:ascii="Times New Roman" w:hAnsi="Times New Roman" w:cs="Times New Roman"/>
          <w:color w:val="auto"/>
          <w:highlight w:val="none"/>
        </w:rPr>
        <w:t>的泄漏，对周边地表水、地下水、土壤环境产生一定的影响。</w:t>
      </w:r>
    </w:p>
    <w:p w14:paraId="7BB51C95">
      <w:pPr>
        <w:spacing w:line="360" w:lineRule="auto"/>
        <w:ind w:left="-105" w:right="-105" w:firstLine="480" w:firstLineChars="200"/>
        <w:rPr>
          <w:rFonts w:ascii="Times New Roman" w:hAnsi="Times New Roman" w:cs="Times New Roman"/>
          <w:color w:val="auto"/>
          <w:highlight w:val="none"/>
        </w:rPr>
      </w:pPr>
      <w:r>
        <w:rPr>
          <w:rFonts w:hint="eastAsia"/>
          <w:color w:val="auto"/>
          <w:highlight w:val="none"/>
        </w:rPr>
        <w:t>④</w:t>
      </w:r>
      <w:r>
        <w:rPr>
          <w:rFonts w:ascii="Times New Roman" w:hAnsi="Times New Roman" w:cs="Times New Roman"/>
          <w:color w:val="auto"/>
          <w:highlight w:val="none"/>
        </w:rPr>
        <w:t>危废仓库内危废包装物破损造成危废物料泄漏，对周边大气、地表水、地下水、土壤环境产生一定的影响。</w:t>
      </w:r>
    </w:p>
    <w:p w14:paraId="4F03C3AB">
      <w:pPr>
        <w:pStyle w:val="5"/>
        <w:keepLines w:val="0"/>
        <w:numPr>
          <w:ilvl w:val="2"/>
          <w:numId w:val="6"/>
        </w:numPr>
        <w:tabs>
          <w:tab w:val="left" w:pos="141"/>
          <w:tab w:val="left" w:pos="567"/>
          <w:tab w:val="left" w:pos="709"/>
        </w:tabs>
        <w:spacing w:before="120" w:beforeLines="50" w:after="120" w:afterLines="50" w:line="360" w:lineRule="auto"/>
        <w:ind w:left="-105" w:right="-105"/>
        <w:rPr>
          <w:rFonts w:eastAsia="宋体"/>
          <w:color w:val="auto"/>
          <w:sz w:val="28"/>
          <w:szCs w:val="28"/>
          <w:highlight w:val="none"/>
        </w:rPr>
      </w:pPr>
      <w:bookmarkStart w:id="251" w:name="_Toc60653512"/>
      <w:r>
        <w:rPr>
          <w:rFonts w:eastAsia="宋体"/>
          <w:color w:val="auto"/>
          <w:sz w:val="28"/>
          <w:szCs w:val="28"/>
          <w:highlight w:val="none"/>
        </w:rPr>
        <w:t>物质危险性识别</w:t>
      </w:r>
      <w:bookmarkEnd w:id="251"/>
    </w:p>
    <w:p w14:paraId="1B0609AD">
      <w:pPr>
        <w:pStyle w:val="97"/>
        <w:spacing w:line="360" w:lineRule="auto"/>
        <w:ind w:left="-105" w:right="-105" w:firstLine="480"/>
        <w:jc w:val="left"/>
        <w:rPr>
          <w:rFonts w:eastAsia="宋体"/>
          <w:color w:val="auto"/>
          <w:sz w:val="24"/>
          <w:highlight w:val="none"/>
        </w:rPr>
      </w:pPr>
      <w:r>
        <w:rPr>
          <w:rFonts w:eastAsia="宋体"/>
          <w:color w:val="auto"/>
          <w:kern w:val="0"/>
          <w:sz w:val="24"/>
          <w:highlight w:val="none"/>
        </w:rPr>
        <w:t>根据《建设项目环境风险评价技术导则》（HJ169-2018）中附录B对项目运营过程中涉及的物质进行风险识别</w:t>
      </w:r>
      <w:r>
        <w:rPr>
          <w:rFonts w:eastAsia="宋体"/>
          <w:color w:val="auto"/>
          <w:sz w:val="24"/>
          <w:highlight w:val="none"/>
        </w:rPr>
        <w:t>。</w:t>
      </w:r>
      <w:r>
        <w:rPr>
          <w:rFonts w:hint="eastAsia" w:eastAsia="宋体"/>
          <w:color w:val="auto"/>
          <w:sz w:val="24"/>
          <w:highlight w:val="none"/>
          <w:lang w:val="en-US" w:eastAsia="zh-CN"/>
        </w:rPr>
        <w:t>企业生产过程中</w:t>
      </w:r>
      <w:r>
        <w:rPr>
          <w:rFonts w:eastAsia="宋体"/>
          <w:color w:val="auto"/>
          <w:sz w:val="24"/>
          <w:highlight w:val="none"/>
        </w:rPr>
        <w:t>无中间产品、副产品，最终产品属于危险物质，</w:t>
      </w:r>
      <w:r>
        <w:rPr>
          <w:rFonts w:eastAsia="宋体"/>
          <w:color w:val="auto"/>
          <w:sz w:val="24"/>
          <w:highlight w:val="none"/>
        </w:rPr>
        <w:t>物质危险性识别结果见下表。</w:t>
      </w:r>
    </w:p>
    <w:p w14:paraId="009A5851">
      <w:pPr>
        <w:pStyle w:val="97"/>
        <w:spacing w:line="360" w:lineRule="auto"/>
        <w:ind w:left="-105" w:right="-105" w:firstLine="0" w:firstLineChars="0"/>
        <w:jc w:val="center"/>
        <w:rPr>
          <w:rFonts w:eastAsia="宋体"/>
          <w:b/>
          <w:color w:val="auto"/>
          <w:sz w:val="24"/>
          <w:szCs w:val="18"/>
          <w:highlight w:val="none"/>
        </w:rPr>
      </w:pPr>
      <w:r>
        <w:rPr>
          <w:rFonts w:eastAsia="宋体"/>
          <w:b/>
          <w:bCs/>
          <w:color w:val="auto"/>
          <w:sz w:val="24"/>
          <w:szCs w:val="18"/>
          <w:highlight w:val="none"/>
        </w:rPr>
        <w:t>表</w:t>
      </w:r>
      <w:r>
        <w:rPr>
          <w:rFonts w:eastAsia="宋体"/>
          <w:b/>
          <w:bCs/>
          <w:color w:val="auto"/>
          <w:sz w:val="24"/>
          <w:szCs w:val="18"/>
          <w:highlight w:val="none"/>
        </w:rPr>
        <w:fldChar w:fldCharType="begin"/>
      </w:r>
      <w:r>
        <w:rPr>
          <w:rFonts w:eastAsia="宋体"/>
          <w:b/>
          <w:bCs/>
          <w:color w:val="auto"/>
          <w:sz w:val="24"/>
          <w:szCs w:val="18"/>
          <w:highlight w:val="none"/>
        </w:rPr>
        <w:instrText xml:space="preserve"> STYLEREF 2 \s </w:instrText>
      </w:r>
      <w:r>
        <w:rPr>
          <w:rFonts w:eastAsia="宋体"/>
          <w:b/>
          <w:bCs/>
          <w:color w:val="auto"/>
          <w:sz w:val="24"/>
          <w:szCs w:val="18"/>
          <w:highlight w:val="none"/>
        </w:rPr>
        <w:fldChar w:fldCharType="separate"/>
      </w:r>
      <w:r>
        <w:rPr>
          <w:rFonts w:eastAsia="宋体"/>
          <w:b/>
          <w:bCs/>
          <w:color w:val="auto"/>
          <w:sz w:val="24"/>
          <w:szCs w:val="18"/>
          <w:highlight w:val="none"/>
        </w:rPr>
        <w:t>4.8</w:t>
      </w:r>
      <w:r>
        <w:rPr>
          <w:rFonts w:eastAsia="宋体"/>
          <w:b/>
          <w:bCs/>
          <w:color w:val="auto"/>
          <w:sz w:val="24"/>
          <w:szCs w:val="18"/>
          <w:highlight w:val="none"/>
        </w:rPr>
        <w:fldChar w:fldCharType="end"/>
      </w:r>
      <w:r>
        <w:rPr>
          <w:rFonts w:eastAsia="宋体"/>
          <w:b/>
          <w:bCs/>
          <w:color w:val="auto"/>
          <w:sz w:val="24"/>
          <w:szCs w:val="18"/>
          <w:highlight w:val="none"/>
        </w:rPr>
        <w:noBreakHyphen/>
      </w:r>
      <w:r>
        <w:rPr>
          <w:rFonts w:eastAsia="宋体"/>
          <w:b/>
          <w:bCs/>
          <w:color w:val="auto"/>
          <w:sz w:val="24"/>
          <w:szCs w:val="18"/>
          <w:highlight w:val="none"/>
        </w:rPr>
        <w:fldChar w:fldCharType="begin"/>
      </w:r>
      <w:r>
        <w:rPr>
          <w:rFonts w:eastAsia="宋体"/>
          <w:b/>
          <w:bCs/>
          <w:color w:val="auto"/>
          <w:sz w:val="24"/>
          <w:szCs w:val="18"/>
          <w:highlight w:val="none"/>
        </w:rPr>
        <w:instrText xml:space="preserve"> SEQ 表 \* ARABIC \s 2 </w:instrText>
      </w:r>
      <w:r>
        <w:rPr>
          <w:rFonts w:eastAsia="宋体"/>
          <w:b/>
          <w:bCs/>
          <w:color w:val="auto"/>
          <w:sz w:val="24"/>
          <w:szCs w:val="18"/>
          <w:highlight w:val="none"/>
        </w:rPr>
        <w:fldChar w:fldCharType="separate"/>
      </w:r>
      <w:r>
        <w:rPr>
          <w:rFonts w:eastAsia="宋体"/>
          <w:b/>
          <w:bCs/>
          <w:color w:val="auto"/>
          <w:sz w:val="24"/>
          <w:szCs w:val="18"/>
          <w:highlight w:val="none"/>
        </w:rPr>
        <w:t>1</w:t>
      </w:r>
      <w:r>
        <w:rPr>
          <w:rFonts w:eastAsia="宋体"/>
          <w:b/>
          <w:bCs/>
          <w:color w:val="auto"/>
          <w:sz w:val="24"/>
          <w:szCs w:val="18"/>
          <w:highlight w:val="none"/>
        </w:rPr>
        <w:fldChar w:fldCharType="end"/>
      </w:r>
      <w:r>
        <w:rPr>
          <w:rFonts w:eastAsia="宋体"/>
          <w:b/>
          <w:color w:val="auto"/>
          <w:sz w:val="24"/>
          <w:szCs w:val="18"/>
          <w:highlight w:val="none"/>
        </w:rPr>
        <w:t>物质危险性识别表</w:t>
      </w:r>
    </w:p>
    <w:tbl>
      <w:tblPr>
        <w:tblStyle w:val="45"/>
        <w:tblW w:w="5000" w:type="pct"/>
        <w:tblInd w:w="0" w:type="dxa"/>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autofit"/>
        <w:tblCellMar>
          <w:top w:w="0" w:type="dxa"/>
          <w:left w:w="108" w:type="dxa"/>
          <w:bottom w:w="0" w:type="dxa"/>
          <w:right w:w="108" w:type="dxa"/>
        </w:tblCellMar>
      </w:tblPr>
      <w:tblGrid>
        <w:gridCol w:w="889"/>
        <w:gridCol w:w="1093"/>
        <w:gridCol w:w="1467"/>
        <w:gridCol w:w="912"/>
        <w:gridCol w:w="3084"/>
        <w:gridCol w:w="1275"/>
      </w:tblGrid>
      <w:tr w14:paraId="3A525324">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tblHeader/>
        </w:trPr>
        <w:tc>
          <w:tcPr>
            <w:tcW w:w="889" w:type="dxa"/>
            <w:vAlign w:val="center"/>
          </w:tcPr>
          <w:p w14:paraId="0700097B">
            <w:pPr>
              <w:pStyle w:val="97"/>
              <w:ind w:left="-105" w:right="-105" w:firstLine="0" w:firstLineChars="0"/>
              <w:jc w:val="center"/>
              <w:rPr>
                <w:rFonts w:eastAsia="宋体"/>
                <w:b/>
                <w:color w:val="auto"/>
                <w:sz w:val="21"/>
                <w:szCs w:val="21"/>
                <w:highlight w:val="none"/>
              </w:rPr>
            </w:pPr>
            <w:r>
              <w:rPr>
                <w:rFonts w:eastAsia="宋体"/>
                <w:b/>
                <w:color w:val="auto"/>
                <w:sz w:val="21"/>
                <w:szCs w:val="21"/>
                <w:highlight w:val="none"/>
              </w:rPr>
              <w:t>序号</w:t>
            </w:r>
          </w:p>
        </w:tc>
        <w:tc>
          <w:tcPr>
            <w:tcW w:w="1093" w:type="dxa"/>
            <w:vAlign w:val="center"/>
          </w:tcPr>
          <w:p w14:paraId="26EF38FD">
            <w:pPr>
              <w:pStyle w:val="97"/>
              <w:ind w:left="-105" w:right="-105" w:firstLine="0" w:firstLineChars="0"/>
              <w:jc w:val="center"/>
              <w:rPr>
                <w:rFonts w:eastAsia="宋体"/>
                <w:b/>
                <w:color w:val="auto"/>
                <w:sz w:val="21"/>
                <w:szCs w:val="21"/>
                <w:highlight w:val="none"/>
              </w:rPr>
            </w:pPr>
            <w:r>
              <w:rPr>
                <w:rFonts w:eastAsia="宋体"/>
                <w:b/>
                <w:color w:val="auto"/>
                <w:sz w:val="21"/>
                <w:szCs w:val="21"/>
                <w:highlight w:val="none"/>
              </w:rPr>
              <w:t>类别</w:t>
            </w:r>
          </w:p>
        </w:tc>
        <w:tc>
          <w:tcPr>
            <w:tcW w:w="1467" w:type="dxa"/>
            <w:vAlign w:val="center"/>
          </w:tcPr>
          <w:p w14:paraId="3A3935B7">
            <w:pPr>
              <w:pStyle w:val="97"/>
              <w:ind w:left="-105" w:right="-105" w:firstLine="0" w:firstLineChars="0"/>
              <w:jc w:val="center"/>
              <w:rPr>
                <w:rFonts w:eastAsia="宋体"/>
                <w:b/>
                <w:color w:val="auto"/>
                <w:sz w:val="21"/>
                <w:szCs w:val="21"/>
                <w:highlight w:val="none"/>
              </w:rPr>
            </w:pPr>
            <w:r>
              <w:rPr>
                <w:rFonts w:eastAsia="宋体"/>
                <w:b/>
                <w:color w:val="auto"/>
                <w:sz w:val="21"/>
                <w:szCs w:val="21"/>
                <w:highlight w:val="none"/>
              </w:rPr>
              <w:t>物质名称</w:t>
            </w:r>
          </w:p>
        </w:tc>
        <w:tc>
          <w:tcPr>
            <w:tcW w:w="912" w:type="dxa"/>
            <w:vAlign w:val="center"/>
          </w:tcPr>
          <w:p w14:paraId="2B62C784">
            <w:pPr>
              <w:pStyle w:val="97"/>
              <w:ind w:left="-105" w:right="-105" w:firstLine="0" w:firstLineChars="0"/>
              <w:jc w:val="center"/>
              <w:rPr>
                <w:rFonts w:eastAsia="宋体"/>
                <w:b/>
                <w:color w:val="auto"/>
                <w:sz w:val="21"/>
                <w:szCs w:val="21"/>
                <w:highlight w:val="none"/>
              </w:rPr>
            </w:pPr>
            <w:r>
              <w:rPr>
                <w:rFonts w:eastAsia="宋体"/>
                <w:b/>
                <w:color w:val="auto"/>
                <w:kern w:val="0"/>
                <w:sz w:val="21"/>
                <w:szCs w:val="21"/>
                <w:highlight w:val="none"/>
              </w:rPr>
              <w:t>燃烧爆炸性</w:t>
            </w:r>
          </w:p>
        </w:tc>
        <w:tc>
          <w:tcPr>
            <w:tcW w:w="3084" w:type="dxa"/>
            <w:vAlign w:val="center"/>
          </w:tcPr>
          <w:p w14:paraId="24C2A2B7">
            <w:pPr>
              <w:pStyle w:val="97"/>
              <w:ind w:left="-105" w:right="-105" w:firstLine="0" w:firstLineChars="0"/>
              <w:jc w:val="center"/>
              <w:rPr>
                <w:rFonts w:eastAsia="宋体"/>
                <w:b/>
                <w:color w:val="auto"/>
                <w:sz w:val="21"/>
                <w:szCs w:val="21"/>
                <w:highlight w:val="none"/>
              </w:rPr>
            </w:pPr>
            <w:r>
              <w:rPr>
                <w:rFonts w:eastAsia="宋体"/>
                <w:b/>
                <w:color w:val="auto"/>
                <w:sz w:val="21"/>
                <w:szCs w:val="21"/>
                <w:highlight w:val="none"/>
              </w:rPr>
              <w:t>毒理性质</w:t>
            </w:r>
          </w:p>
        </w:tc>
        <w:tc>
          <w:tcPr>
            <w:tcW w:w="1275" w:type="dxa"/>
            <w:vAlign w:val="center"/>
          </w:tcPr>
          <w:p w14:paraId="482CB452">
            <w:pPr>
              <w:pStyle w:val="97"/>
              <w:ind w:left="-105" w:right="-105" w:firstLine="0" w:firstLineChars="0"/>
              <w:jc w:val="center"/>
              <w:rPr>
                <w:rFonts w:eastAsia="宋体"/>
                <w:b/>
                <w:color w:val="auto"/>
                <w:sz w:val="21"/>
                <w:szCs w:val="21"/>
                <w:highlight w:val="none"/>
              </w:rPr>
            </w:pPr>
            <w:r>
              <w:rPr>
                <w:rFonts w:eastAsia="宋体"/>
                <w:b/>
                <w:color w:val="auto"/>
                <w:sz w:val="21"/>
                <w:szCs w:val="21"/>
                <w:highlight w:val="none"/>
              </w:rPr>
              <w:t>分布位置</w:t>
            </w:r>
          </w:p>
        </w:tc>
      </w:tr>
      <w:tr w14:paraId="0644B3BA">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889" w:type="dxa"/>
            <w:vAlign w:val="center"/>
          </w:tcPr>
          <w:p w14:paraId="4FCD108E">
            <w:pPr>
              <w:pStyle w:val="97"/>
              <w:numPr>
                <w:ilvl w:val="0"/>
                <w:numId w:val="22"/>
              </w:numPr>
              <w:ind w:left="-105" w:right="-105" w:firstLine="0" w:firstLineChars="0"/>
              <w:jc w:val="center"/>
              <w:rPr>
                <w:rFonts w:eastAsia="宋体"/>
                <w:bCs/>
                <w:color w:val="auto"/>
                <w:sz w:val="21"/>
                <w:szCs w:val="21"/>
                <w:highlight w:val="none"/>
              </w:rPr>
            </w:pPr>
          </w:p>
        </w:tc>
        <w:tc>
          <w:tcPr>
            <w:tcW w:w="1093" w:type="dxa"/>
            <w:vMerge w:val="restart"/>
            <w:vAlign w:val="center"/>
          </w:tcPr>
          <w:p w14:paraId="1A3CDAB3">
            <w:pPr>
              <w:pStyle w:val="97"/>
              <w:ind w:left="-105" w:right="-105" w:firstLine="0" w:firstLineChars="0"/>
              <w:jc w:val="center"/>
              <w:rPr>
                <w:rFonts w:eastAsia="宋体"/>
                <w:bCs/>
                <w:color w:val="auto"/>
                <w:sz w:val="21"/>
                <w:szCs w:val="21"/>
                <w:highlight w:val="none"/>
              </w:rPr>
            </w:pPr>
            <w:r>
              <w:rPr>
                <w:rFonts w:eastAsia="宋体"/>
                <w:bCs/>
                <w:color w:val="auto"/>
                <w:sz w:val="21"/>
                <w:szCs w:val="21"/>
                <w:highlight w:val="none"/>
              </w:rPr>
              <w:t>原辅材料</w:t>
            </w:r>
          </w:p>
        </w:tc>
        <w:tc>
          <w:tcPr>
            <w:tcW w:w="1467" w:type="dxa"/>
            <w:vAlign w:val="center"/>
          </w:tcPr>
          <w:p w14:paraId="4A2B07E0">
            <w:pPr>
              <w:pStyle w:val="236"/>
              <w:keepNext w:val="0"/>
              <w:keepLines w:val="0"/>
              <w:pageBreakBefore w:val="0"/>
              <w:widowControl/>
              <w:kinsoku/>
              <w:wordWrap/>
              <w:overflowPunct/>
              <w:topLinePunct w:val="0"/>
              <w:autoSpaceDE/>
              <w:autoSpaceDN/>
              <w:bidi w:val="0"/>
              <w:ind w:left="0" w:leftChars="0" w:right="0" w:rightChars="0"/>
              <w:jc w:val="center"/>
              <w:rPr>
                <w:rFonts w:ascii="Times New Roman" w:hAnsi="Times New Roman" w:cs="Times New Roman"/>
                <w:color w:val="auto"/>
                <w:sz w:val="21"/>
                <w:szCs w:val="21"/>
                <w:highlight w:val="none"/>
                <w:lang w:bidi="ar"/>
              </w:rPr>
            </w:pPr>
            <w:r>
              <w:rPr>
                <w:rFonts w:hint="eastAsia" w:ascii="Times New Roman" w:hAnsi="Times New Roman" w:eastAsia="宋体" w:cs="Times New Roman"/>
                <w:color w:val="auto"/>
                <w:sz w:val="21"/>
                <w:szCs w:val="21"/>
                <w:highlight w:val="none"/>
                <w:lang w:eastAsia="zh-CN"/>
              </w:rPr>
              <w:t>丙烯酸酯树脂</w:t>
            </w:r>
          </w:p>
        </w:tc>
        <w:tc>
          <w:tcPr>
            <w:tcW w:w="912" w:type="dxa"/>
            <w:vAlign w:val="center"/>
          </w:tcPr>
          <w:p w14:paraId="0E43C411">
            <w:pPr>
              <w:wordWrap w:val="0"/>
              <w:adjustRightInd w:val="0"/>
              <w:snapToGrid w:val="0"/>
              <w:ind w:left="-105" w:right="-105"/>
              <w:jc w:val="center"/>
              <w:textAlignment w:val="center"/>
              <w:rPr>
                <w:rFonts w:hint="default" w:ascii="Times New Roman" w:hAnsi="Times New Roman" w:eastAsia="宋体" w:cs="Times New Roman"/>
                <w:bCs/>
                <w:color w:val="auto"/>
                <w:sz w:val="21"/>
                <w:szCs w:val="21"/>
                <w:highlight w:val="none"/>
                <w:lang w:val="en-US" w:eastAsia="zh-CN"/>
              </w:rPr>
            </w:pPr>
            <w:r>
              <w:rPr>
                <w:rFonts w:hint="eastAsia" w:ascii="Times New Roman" w:hAnsi="Times New Roman" w:cs="Times New Roman"/>
                <w:bCs/>
                <w:color w:val="auto"/>
                <w:sz w:val="21"/>
                <w:szCs w:val="21"/>
                <w:highlight w:val="none"/>
                <w:lang w:val="en-US" w:eastAsia="zh-CN"/>
              </w:rPr>
              <w:t>易燃</w:t>
            </w:r>
          </w:p>
        </w:tc>
        <w:tc>
          <w:tcPr>
            <w:tcW w:w="3084" w:type="dxa"/>
            <w:vAlign w:val="center"/>
          </w:tcPr>
          <w:p w14:paraId="73D9D273">
            <w:pPr>
              <w:wordWrap w:val="0"/>
              <w:adjustRightInd w:val="0"/>
              <w:snapToGrid w:val="0"/>
              <w:ind w:left="-105" w:right="-105"/>
              <w:jc w:val="center"/>
              <w:textAlignment w:val="center"/>
              <w:rPr>
                <w:rFonts w:hint="eastAsia" w:ascii="Times New Roman" w:hAnsi="Times New Roman" w:cs="Times New Roman"/>
                <w:bCs/>
                <w:color w:val="auto"/>
                <w:sz w:val="21"/>
                <w:szCs w:val="21"/>
                <w:highlight w:val="none"/>
                <w:lang w:val="en-US" w:eastAsia="zh-CN"/>
              </w:rPr>
            </w:pPr>
            <w:r>
              <w:rPr>
                <w:rFonts w:hint="eastAsia" w:ascii="Times New Roman" w:hAnsi="Times New Roman" w:cs="Times New Roman"/>
                <w:bCs/>
                <w:color w:val="auto"/>
                <w:sz w:val="21"/>
                <w:szCs w:val="21"/>
                <w:highlight w:val="none"/>
                <w:lang w:val="en-US" w:eastAsia="zh-CN"/>
              </w:rPr>
              <w:t>LD</w:t>
            </w:r>
            <w:r>
              <w:rPr>
                <w:rFonts w:hint="eastAsia" w:ascii="Times New Roman" w:hAnsi="Times New Roman" w:cs="Times New Roman"/>
                <w:bCs/>
                <w:color w:val="auto"/>
                <w:sz w:val="21"/>
                <w:szCs w:val="21"/>
                <w:highlight w:val="none"/>
                <w:vertAlign w:val="subscript"/>
                <w:lang w:val="en-US" w:eastAsia="zh-CN"/>
              </w:rPr>
              <w:t>50</w:t>
            </w:r>
            <w:r>
              <w:rPr>
                <w:rFonts w:hint="eastAsia" w:ascii="Times New Roman" w:hAnsi="Times New Roman" w:cs="Times New Roman"/>
                <w:bCs/>
                <w:color w:val="auto"/>
                <w:sz w:val="21"/>
                <w:szCs w:val="21"/>
                <w:highlight w:val="none"/>
                <w:lang w:val="en-US" w:eastAsia="zh-CN"/>
              </w:rPr>
              <w:t>：＜870mg/kg（大鼠，吞食）</w:t>
            </w:r>
          </w:p>
          <w:p w14:paraId="44E5B2EC">
            <w:pPr>
              <w:wordWrap w:val="0"/>
              <w:adjustRightInd w:val="0"/>
              <w:snapToGrid w:val="0"/>
              <w:ind w:left="-105" w:right="-105"/>
              <w:jc w:val="center"/>
              <w:textAlignment w:val="center"/>
              <w:rPr>
                <w:rFonts w:hint="default" w:ascii="Times New Roman" w:hAnsi="Times New Roman" w:cs="Times New Roman"/>
                <w:bCs/>
                <w:color w:val="auto"/>
                <w:sz w:val="21"/>
                <w:szCs w:val="21"/>
                <w:highlight w:val="none"/>
                <w:lang w:val="en-US" w:eastAsia="zh-CN"/>
              </w:rPr>
            </w:pPr>
            <w:r>
              <w:rPr>
                <w:rFonts w:hint="eastAsia" w:ascii="Times New Roman" w:hAnsi="Times New Roman" w:cs="Times New Roman"/>
                <w:bCs/>
                <w:color w:val="auto"/>
                <w:sz w:val="21"/>
                <w:szCs w:val="21"/>
                <w:highlight w:val="none"/>
                <w:lang w:val="en-US" w:eastAsia="zh-CN"/>
              </w:rPr>
              <w:t>LD</w:t>
            </w:r>
            <w:r>
              <w:rPr>
                <w:rFonts w:hint="eastAsia" w:ascii="Times New Roman" w:hAnsi="Times New Roman" w:cs="Times New Roman"/>
                <w:bCs/>
                <w:color w:val="auto"/>
                <w:sz w:val="21"/>
                <w:szCs w:val="21"/>
                <w:highlight w:val="none"/>
                <w:vertAlign w:val="subscript"/>
                <w:lang w:val="en-US" w:eastAsia="zh-CN"/>
              </w:rPr>
              <w:t>50</w:t>
            </w:r>
            <w:r>
              <w:rPr>
                <w:rFonts w:hint="eastAsia" w:ascii="Times New Roman" w:hAnsi="Times New Roman" w:cs="Times New Roman"/>
                <w:bCs/>
                <w:color w:val="auto"/>
                <w:sz w:val="21"/>
                <w:szCs w:val="21"/>
                <w:highlight w:val="none"/>
                <w:lang w:val="en-US" w:eastAsia="zh-CN"/>
              </w:rPr>
              <w:t>:6000ppm/6h（大鼠，吸入）</w:t>
            </w:r>
          </w:p>
        </w:tc>
        <w:tc>
          <w:tcPr>
            <w:tcW w:w="1275" w:type="dxa"/>
            <w:vAlign w:val="center"/>
          </w:tcPr>
          <w:p w14:paraId="53BA1C9E">
            <w:pPr>
              <w:ind w:left="-105" w:right="-105"/>
              <w:jc w:val="center"/>
              <w:rPr>
                <w:rFonts w:hint="eastAsia" w:ascii="Times New Roman" w:hAnsi="Times New Roman" w:eastAsia="宋体" w:cs="Times New Roman"/>
                <w:color w:val="auto"/>
                <w:sz w:val="21"/>
                <w:szCs w:val="21"/>
                <w:highlight w:val="none"/>
                <w:lang w:eastAsia="zh-CN"/>
              </w:rPr>
            </w:pPr>
            <w:r>
              <w:rPr>
                <w:rFonts w:hint="eastAsia" w:ascii="Times New Roman" w:hAnsi="Times New Roman" w:cs="Times New Roman"/>
                <w:color w:val="auto"/>
                <w:sz w:val="21"/>
                <w:szCs w:val="21"/>
                <w:highlight w:val="none"/>
                <w:lang w:eastAsia="zh-CN"/>
              </w:rPr>
              <w:t>危险品仓库</w:t>
            </w:r>
          </w:p>
        </w:tc>
      </w:tr>
      <w:tr w14:paraId="3283EDF9">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889" w:type="dxa"/>
            <w:vAlign w:val="center"/>
          </w:tcPr>
          <w:p w14:paraId="093C0355">
            <w:pPr>
              <w:pStyle w:val="97"/>
              <w:numPr>
                <w:ilvl w:val="0"/>
                <w:numId w:val="22"/>
              </w:numPr>
              <w:ind w:left="-105" w:right="-105" w:firstLine="0" w:firstLineChars="0"/>
              <w:jc w:val="center"/>
              <w:rPr>
                <w:rFonts w:eastAsia="宋体"/>
                <w:bCs/>
                <w:color w:val="auto"/>
                <w:sz w:val="21"/>
                <w:szCs w:val="21"/>
                <w:highlight w:val="none"/>
              </w:rPr>
            </w:pPr>
          </w:p>
        </w:tc>
        <w:tc>
          <w:tcPr>
            <w:tcW w:w="1093" w:type="dxa"/>
            <w:vMerge w:val="continue"/>
            <w:vAlign w:val="center"/>
          </w:tcPr>
          <w:p w14:paraId="39AEBE2F">
            <w:pPr>
              <w:pStyle w:val="97"/>
              <w:ind w:left="-105" w:right="-105" w:firstLine="0" w:firstLineChars="0"/>
              <w:jc w:val="center"/>
              <w:rPr>
                <w:rFonts w:eastAsia="宋体"/>
                <w:bCs/>
                <w:color w:val="auto"/>
                <w:sz w:val="21"/>
                <w:szCs w:val="21"/>
                <w:highlight w:val="none"/>
              </w:rPr>
            </w:pPr>
          </w:p>
        </w:tc>
        <w:tc>
          <w:tcPr>
            <w:tcW w:w="1467" w:type="dxa"/>
            <w:vAlign w:val="center"/>
          </w:tcPr>
          <w:p w14:paraId="429F1FD1">
            <w:pPr>
              <w:pStyle w:val="236"/>
              <w:keepNext w:val="0"/>
              <w:keepLines w:val="0"/>
              <w:pageBreakBefore w:val="0"/>
              <w:widowControl/>
              <w:kinsoku/>
              <w:wordWrap/>
              <w:overflowPunct/>
              <w:topLinePunct w:val="0"/>
              <w:autoSpaceDE/>
              <w:autoSpaceDN/>
              <w:bidi w:val="0"/>
              <w:ind w:left="0" w:leftChars="0" w:right="0" w:rightChars="0"/>
              <w:jc w:val="center"/>
              <w:rPr>
                <w:rFonts w:ascii="Times New Roman" w:hAnsi="Times New Roman" w:cs="Times New Roman"/>
                <w:color w:val="auto"/>
                <w:sz w:val="21"/>
                <w:szCs w:val="21"/>
                <w:highlight w:val="none"/>
                <w:lang w:bidi="ar"/>
              </w:rPr>
            </w:pPr>
            <w:r>
              <w:rPr>
                <w:rFonts w:ascii="Times New Roman" w:hAnsi="Times New Roman" w:eastAsia="宋体" w:cs="Times New Roman"/>
                <w:color w:val="auto"/>
                <w:spacing w:val="8"/>
                <w:sz w:val="21"/>
                <w:szCs w:val="21"/>
                <w:highlight w:val="none"/>
                <w:lang w:eastAsia="zh-CN"/>
              </w:rPr>
              <w:t>异氰酸酯（六亚</w:t>
            </w:r>
            <w:r>
              <w:rPr>
                <w:rFonts w:ascii="Times New Roman" w:hAnsi="Times New Roman" w:eastAsia="宋体" w:cs="Times New Roman"/>
                <w:color w:val="auto"/>
                <w:spacing w:val="3"/>
                <w:sz w:val="21"/>
                <w:szCs w:val="21"/>
                <w:highlight w:val="none"/>
                <w:lang w:eastAsia="zh-CN"/>
              </w:rPr>
              <w:t>甲基-1,6-二异氰酸</w:t>
            </w:r>
            <w:r>
              <w:rPr>
                <w:rFonts w:ascii="Times New Roman" w:hAnsi="Times New Roman" w:eastAsia="宋体" w:cs="Times New Roman"/>
                <w:color w:val="auto"/>
                <w:spacing w:val="-1"/>
                <w:sz w:val="21"/>
                <w:szCs w:val="21"/>
                <w:highlight w:val="none"/>
                <w:lang w:eastAsia="zh-CN"/>
              </w:rPr>
              <w:t>酯）</w:t>
            </w:r>
          </w:p>
        </w:tc>
        <w:tc>
          <w:tcPr>
            <w:tcW w:w="912" w:type="dxa"/>
            <w:vAlign w:val="center"/>
          </w:tcPr>
          <w:p w14:paraId="4638112B">
            <w:pPr>
              <w:wordWrap w:val="0"/>
              <w:adjustRightInd w:val="0"/>
              <w:snapToGrid w:val="0"/>
              <w:ind w:left="-105" w:right="-105"/>
              <w:jc w:val="center"/>
              <w:textAlignment w:val="center"/>
              <w:rPr>
                <w:rFonts w:hint="eastAsia" w:ascii="Times New Roman" w:hAnsi="Times New Roman" w:eastAsia="宋体" w:cs="Times New Roman"/>
                <w:bCs/>
                <w:color w:val="auto"/>
                <w:sz w:val="21"/>
                <w:szCs w:val="21"/>
                <w:highlight w:val="none"/>
                <w:lang w:val="en-US" w:eastAsia="zh-CN"/>
              </w:rPr>
            </w:pPr>
            <w:r>
              <w:rPr>
                <w:rFonts w:hint="eastAsia" w:ascii="Times New Roman" w:hAnsi="Times New Roman" w:cs="Times New Roman"/>
                <w:bCs/>
                <w:color w:val="auto"/>
                <w:sz w:val="21"/>
                <w:szCs w:val="21"/>
                <w:highlight w:val="none"/>
                <w:lang w:val="en-US" w:eastAsia="zh-CN"/>
              </w:rPr>
              <w:t>可燃</w:t>
            </w:r>
          </w:p>
        </w:tc>
        <w:tc>
          <w:tcPr>
            <w:tcW w:w="3084" w:type="dxa"/>
            <w:vAlign w:val="center"/>
          </w:tcPr>
          <w:p w14:paraId="064227C6">
            <w:pPr>
              <w:wordWrap w:val="0"/>
              <w:adjustRightInd w:val="0"/>
              <w:snapToGrid w:val="0"/>
              <w:ind w:left="-105" w:right="-105"/>
              <w:jc w:val="center"/>
              <w:textAlignment w:val="center"/>
              <w:rPr>
                <w:rFonts w:hint="eastAsia" w:ascii="Times New Roman" w:hAnsi="Times New Roman" w:cs="Times New Roman"/>
                <w:bCs/>
                <w:color w:val="auto"/>
                <w:sz w:val="21"/>
                <w:szCs w:val="21"/>
                <w:highlight w:val="none"/>
                <w:lang w:val="en-US" w:eastAsia="zh-CN"/>
              </w:rPr>
            </w:pPr>
            <w:r>
              <w:rPr>
                <w:rFonts w:hint="eastAsia" w:ascii="Times New Roman" w:hAnsi="Times New Roman" w:cs="Times New Roman"/>
                <w:bCs/>
                <w:color w:val="auto"/>
                <w:sz w:val="21"/>
                <w:szCs w:val="21"/>
                <w:highlight w:val="none"/>
                <w:lang w:val="en-US" w:eastAsia="zh-CN"/>
              </w:rPr>
              <w:t>LD</w:t>
            </w:r>
            <w:r>
              <w:rPr>
                <w:rFonts w:hint="eastAsia" w:ascii="Times New Roman" w:hAnsi="Times New Roman" w:cs="Times New Roman"/>
                <w:bCs/>
                <w:color w:val="auto"/>
                <w:sz w:val="21"/>
                <w:szCs w:val="21"/>
                <w:highlight w:val="none"/>
                <w:vertAlign w:val="subscript"/>
                <w:lang w:val="en-US" w:eastAsia="zh-CN"/>
              </w:rPr>
              <w:t>50</w:t>
            </w:r>
            <w:r>
              <w:rPr>
                <w:rFonts w:hint="eastAsia" w:ascii="Times New Roman" w:hAnsi="Times New Roman" w:cs="Times New Roman"/>
                <w:bCs/>
                <w:color w:val="auto"/>
                <w:sz w:val="21"/>
                <w:szCs w:val="21"/>
                <w:highlight w:val="none"/>
                <w:lang w:val="en-US" w:eastAsia="zh-CN"/>
              </w:rPr>
              <w:t>：890mg/kg（小鼠经口）</w:t>
            </w:r>
          </w:p>
          <w:p w14:paraId="41467479">
            <w:pPr>
              <w:wordWrap w:val="0"/>
              <w:adjustRightInd w:val="0"/>
              <w:snapToGrid w:val="0"/>
              <w:ind w:left="-105" w:leftChars="0" w:right="-105" w:rightChars="0"/>
              <w:jc w:val="center"/>
              <w:textAlignment w:val="center"/>
              <w:rPr>
                <w:rFonts w:hint="eastAsia" w:ascii="Times New Roman" w:hAnsi="Times New Roman" w:cs="Times New Roman"/>
                <w:bCs/>
                <w:color w:val="auto"/>
                <w:sz w:val="21"/>
                <w:szCs w:val="21"/>
                <w:highlight w:val="none"/>
                <w:lang w:val="en-US" w:eastAsia="zh-CN"/>
              </w:rPr>
            </w:pPr>
            <w:r>
              <w:rPr>
                <w:rFonts w:hint="eastAsia" w:ascii="Times New Roman" w:hAnsi="Times New Roman" w:cs="Times New Roman"/>
                <w:bCs/>
                <w:color w:val="auto"/>
                <w:sz w:val="21"/>
                <w:szCs w:val="21"/>
                <w:highlight w:val="none"/>
                <w:lang w:val="en-US" w:eastAsia="zh-CN"/>
              </w:rPr>
              <w:t>LD</w:t>
            </w:r>
            <w:r>
              <w:rPr>
                <w:rFonts w:hint="eastAsia" w:ascii="Times New Roman" w:hAnsi="Times New Roman" w:cs="Times New Roman"/>
                <w:bCs/>
                <w:color w:val="auto"/>
                <w:sz w:val="21"/>
                <w:szCs w:val="21"/>
                <w:highlight w:val="none"/>
                <w:vertAlign w:val="subscript"/>
                <w:lang w:val="en-US" w:eastAsia="zh-CN"/>
              </w:rPr>
              <w:t>50</w:t>
            </w:r>
            <w:r>
              <w:rPr>
                <w:rFonts w:hint="eastAsia" w:ascii="Times New Roman" w:hAnsi="Times New Roman" w:cs="Times New Roman"/>
                <w:bCs/>
                <w:color w:val="auto"/>
                <w:sz w:val="21"/>
                <w:szCs w:val="21"/>
                <w:highlight w:val="none"/>
                <w:lang w:val="en-US" w:eastAsia="zh-CN"/>
              </w:rPr>
              <w:t>:710~910mg/kg（大鼠经口）</w:t>
            </w:r>
          </w:p>
          <w:p w14:paraId="35174023">
            <w:pPr>
              <w:wordWrap w:val="0"/>
              <w:adjustRightInd w:val="0"/>
              <w:snapToGrid w:val="0"/>
              <w:ind w:left="-105" w:leftChars="0" w:right="-105" w:rightChars="0"/>
              <w:jc w:val="center"/>
              <w:textAlignment w:val="center"/>
              <w:rPr>
                <w:rFonts w:hint="default" w:ascii="Times New Roman" w:hAnsi="Times New Roman" w:cs="Times New Roman"/>
                <w:bCs/>
                <w:color w:val="auto"/>
                <w:sz w:val="21"/>
                <w:szCs w:val="21"/>
                <w:highlight w:val="none"/>
                <w:vertAlign w:val="baseline"/>
                <w:lang w:val="en-US" w:eastAsia="zh-CN"/>
              </w:rPr>
            </w:pPr>
            <w:r>
              <w:rPr>
                <w:rFonts w:hint="eastAsia" w:ascii="Times New Roman" w:hAnsi="Times New Roman" w:cs="Times New Roman"/>
                <w:bCs/>
                <w:color w:val="auto"/>
                <w:sz w:val="21"/>
                <w:szCs w:val="21"/>
                <w:highlight w:val="none"/>
                <w:lang w:val="en-US" w:eastAsia="zh-CN"/>
              </w:rPr>
              <w:t>LC</w:t>
            </w:r>
            <w:r>
              <w:rPr>
                <w:rFonts w:hint="eastAsia" w:ascii="Times New Roman" w:hAnsi="Times New Roman" w:cs="Times New Roman"/>
                <w:bCs/>
                <w:color w:val="auto"/>
                <w:sz w:val="21"/>
                <w:szCs w:val="21"/>
                <w:highlight w:val="none"/>
                <w:vertAlign w:val="subscript"/>
                <w:lang w:val="en-US" w:eastAsia="zh-CN"/>
              </w:rPr>
              <w:t>50:</w:t>
            </w:r>
            <w:r>
              <w:rPr>
                <w:rFonts w:hint="eastAsia" w:ascii="Times New Roman" w:hAnsi="Times New Roman" w:cs="Times New Roman"/>
                <w:bCs/>
                <w:color w:val="auto"/>
                <w:sz w:val="21"/>
                <w:szCs w:val="21"/>
                <w:highlight w:val="none"/>
                <w:vertAlign w:val="baseline"/>
                <w:lang w:val="en-US" w:eastAsia="zh-CN"/>
              </w:rPr>
              <w:t>280mg/m</w:t>
            </w:r>
            <w:r>
              <w:rPr>
                <w:rFonts w:hint="eastAsia" w:ascii="Times New Roman" w:hAnsi="Times New Roman" w:cs="Times New Roman"/>
                <w:bCs/>
                <w:color w:val="auto"/>
                <w:sz w:val="21"/>
                <w:szCs w:val="21"/>
                <w:highlight w:val="none"/>
                <w:vertAlign w:val="superscript"/>
                <w:lang w:val="en-US" w:eastAsia="zh-CN"/>
              </w:rPr>
              <w:t>3</w:t>
            </w:r>
            <w:r>
              <w:rPr>
                <w:rFonts w:hint="eastAsia" w:ascii="Times New Roman" w:hAnsi="Times New Roman" w:cs="Times New Roman"/>
                <w:bCs/>
                <w:color w:val="auto"/>
                <w:sz w:val="21"/>
                <w:szCs w:val="21"/>
                <w:highlight w:val="none"/>
                <w:vertAlign w:val="baseline"/>
                <w:lang w:val="en-US" w:eastAsia="zh-CN"/>
              </w:rPr>
              <w:t>（1h，大鼠吸入）</w:t>
            </w:r>
          </w:p>
        </w:tc>
        <w:tc>
          <w:tcPr>
            <w:tcW w:w="1275" w:type="dxa"/>
            <w:vAlign w:val="center"/>
          </w:tcPr>
          <w:p w14:paraId="7A11F60A">
            <w:pPr>
              <w:ind w:left="-105" w:right="-105"/>
              <w:jc w:val="center"/>
              <w:rPr>
                <w:rFonts w:hint="eastAsia" w:ascii="Times New Roman" w:hAnsi="Times New Roman" w:eastAsia="宋体" w:cs="Times New Roman"/>
                <w:color w:val="auto"/>
                <w:sz w:val="21"/>
                <w:szCs w:val="21"/>
                <w:highlight w:val="none"/>
                <w:lang w:eastAsia="zh-CN"/>
              </w:rPr>
            </w:pPr>
            <w:r>
              <w:rPr>
                <w:rFonts w:hint="eastAsia" w:ascii="Times New Roman" w:hAnsi="Times New Roman" w:cs="Times New Roman"/>
                <w:color w:val="auto"/>
                <w:sz w:val="21"/>
                <w:szCs w:val="21"/>
                <w:highlight w:val="none"/>
                <w:lang w:eastAsia="zh-CN"/>
              </w:rPr>
              <w:t>危险品仓库</w:t>
            </w:r>
          </w:p>
        </w:tc>
      </w:tr>
      <w:tr w14:paraId="6CF56291">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889" w:type="dxa"/>
            <w:vAlign w:val="center"/>
          </w:tcPr>
          <w:p w14:paraId="27CE8EEE">
            <w:pPr>
              <w:pStyle w:val="97"/>
              <w:numPr>
                <w:ilvl w:val="0"/>
                <w:numId w:val="22"/>
              </w:numPr>
              <w:ind w:left="-105" w:right="-105" w:firstLine="0" w:firstLineChars="0"/>
              <w:jc w:val="center"/>
              <w:rPr>
                <w:rFonts w:eastAsia="宋体"/>
                <w:bCs/>
                <w:color w:val="auto"/>
                <w:sz w:val="21"/>
                <w:szCs w:val="21"/>
                <w:highlight w:val="none"/>
              </w:rPr>
            </w:pPr>
          </w:p>
        </w:tc>
        <w:tc>
          <w:tcPr>
            <w:tcW w:w="1093" w:type="dxa"/>
            <w:vMerge w:val="continue"/>
            <w:vAlign w:val="center"/>
          </w:tcPr>
          <w:p w14:paraId="60556771">
            <w:pPr>
              <w:pStyle w:val="97"/>
              <w:ind w:left="-105" w:right="-105" w:firstLine="0" w:firstLineChars="0"/>
              <w:jc w:val="center"/>
              <w:rPr>
                <w:rFonts w:eastAsia="宋体"/>
                <w:bCs/>
                <w:color w:val="auto"/>
                <w:sz w:val="21"/>
                <w:szCs w:val="21"/>
                <w:highlight w:val="none"/>
              </w:rPr>
            </w:pPr>
          </w:p>
        </w:tc>
        <w:tc>
          <w:tcPr>
            <w:tcW w:w="1467" w:type="dxa"/>
            <w:vAlign w:val="center"/>
          </w:tcPr>
          <w:p w14:paraId="04DAB7DF">
            <w:pPr>
              <w:pStyle w:val="236"/>
              <w:keepNext w:val="0"/>
              <w:keepLines w:val="0"/>
              <w:pageBreakBefore w:val="0"/>
              <w:widowControl/>
              <w:kinsoku/>
              <w:wordWrap/>
              <w:overflowPunct/>
              <w:topLinePunct w:val="0"/>
              <w:autoSpaceDE/>
              <w:autoSpaceDN/>
              <w:bidi w:val="0"/>
              <w:ind w:left="0" w:leftChars="0" w:right="0" w:rightChars="0"/>
              <w:jc w:val="center"/>
              <w:rPr>
                <w:rFonts w:ascii="Times New Roman" w:hAnsi="Times New Roman" w:cs="Times New Roman"/>
                <w:color w:val="auto"/>
                <w:sz w:val="21"/>
                <w:szCs w:val="21"/>
                <w:highlight w:val="none"/>
                <w:lang w:bidi="ar"/>
              </w:rPr>
            </w:pPr>
            <w:r>
              <w:rPr>
                <w:rFonts w:ascii="Times New Roman" w:hAnsi="Times New Roman" w:eastAsia="宋体" w:cs="Times New Roman"/>
                <w:color w:val="auto"/>
                <w:spacing w:val="7"/>
                <w:sz w:val="21"/>
                <w:szCs w:val="21"/>
                <w:highlight w:val="none"/>
              </w:rPr>
              <w:t>聚氨酯丙烯酸酯</w:t>
            </w:r>
          </w:p>
        </w:tc>
        <w:tc>
          <w:tcPr>
            <w:tcW w:w="912" w:type="dxa"/>
            <w:vAlign w:val="center"/>
          </w:tcPr>
          <w:p w14:paraId="3256A8ED">
            <w:pPr>
              <w:wordWrap w:val="0"/>
              <w:adjustRightInd w:val="0"/>
              <w:snapToGrid w:val="0"/>
              <w:ind w:left="-105" w:right="-105"/>
              <w:jc w:val="center"/>
              <w:textAlignment w:val="center"/>
              <w:rPr>
                <w:rFonts w:hint="eastAsia" w:ascii="Times New Roman" w:hAnsi="Times New Roman" w:eastAsia="宋体" w:cs="Times New Roman"/>
                <w:bCs/>
                <w:color w:val="auto"/>
                <w:sz w:val="21"/>
                <w:szCs w:val="21"/>
                <w:highlight w:val="none"/>
                <w:lang w:val="en-US" w:eastAsia="zh-CN"/>
              </w:rPr>
            </w:pPr>
            <w:r>
              <w:rPr>
                <w:rFonts w:hint="eastAsia" w:ascii="Times New Roman" w:hAnsi="Times New Roman" w:cs="Times New Roman"/>
                <w:bCs/>
                <w:color w:val="auto"/>
                <w:sz w:val="21"/>
                <w:szCs w:val="21"/>
                <w:highlight w:val="none"/>
                <w:lang w:val="en-US" w:eastAsia="zh-CN"/>
              </w:rPr>
              <w:t>可燃</w:t>
            </w:r>
          </w:p>
        </w:tc>
        <w:tc>
          <w:tcPr>
            <w:tcW w:w="3084" w:type="dxa"/>
            <w:vAlign w:val="center"/>
          </w:tcPr>
          <w:p w14:paraId="1B7A9426">
            <w:pPr>
              <w:wordWrap w:val="0"/>
              <w:adjustRightInd w:val="0"/>
              <w:snapToGrid w:val="0"/>
              <w:ind w:left="-105" w:right="-105"/>
              <w:jc w:val="center"/>
              <w:textAlignment w:val="center"/>
              <w:rPr>
                <w:rFonts w:hint="eastAsia" w:ascii="Times New Roman" w:hAnsi="Times New Roman" w:cs="Times New Roman"/>
                <w:bCs/>
                <w:color w:val="auto"/>
                <w:sz w:val="21"/>
                <w:szCs w:val="21"/>
                <w:highlight w:val="none"/>
                <w:lang w:val="en-US" w:eastAsia="zh-CN"/>
              </w:rPr>
            </w:pPr>
            <w:r>
              <w:rPr>
                <w:rFonts w:hint="eastAsia" w:ascii="Times New Roman" w:hAnsi="Times New Roman" w:cs="Times New Roman"/>
                <w:bCs/>
                <w:color w:val="auto"/>
                <w:sz w:val="21"/>
                <w:szCs w:val="21"/>
                <w:highlight w:val="none"/>
                <w:lang w:val="en-US" w:eastAsia="zh-CN"/>
              </w:rPr>
              <w:t>LD</w:t>
            </w:r>
            <w:r>
              <w:rPr>
                <w:rFonts w:hint="eastAsia" w:ascii="Times New Roman" w:hAnsi="Times New Roman" w:cs="Times New Roman"/>
                <w:bCs/>
                <w:color w:val="auto"/>
                <w:sz w:val="21"/>
                <w:szCs w:val="21"/>
                <w:highlight w:val="none"/>
                <w:vertAlign w:val="subscript"/>
                <w:lang w:val="en-US" w:eastAsia="zh-CN"/>
              </w:rPr>
              <w:t>50</w:t>
            </w:r>
            <w:r>
              <w:rPr>
                <w:rFonts w:hint="eastAsia" w:ascii="Times New Roman" w:hAnsi="Times New Roman" w:cs="Times New Roman"/>
                <w:bCs/>
                <w:color w:val="auto"/>
                <w:sz w:val="21"/>
                <w:szCs w:val="21"/>
                <w:highlight w:val="none"/>
                <w:lang w:val="en-US" w:eastAsia="zh-CN"/>
              </w:rPr>
              <w:t>：4300mg/kg（大鼠吞食）</w:t>
            </w:r>
          </w:p>
          <w:p w14:paraId="449B77F0">
            <w:pPr>
              <w:wordWrap w:val="0"/>
              <w:adjustRightInd w:val="0"/>
              <w:snapToGrid w:val="0"/>
              <w:ind w:left="-105" w:leftChars="0" w:right="-105" w:rightChars="0"/>
              <w:jc w:val="center"/>
              <w:textAlignment w:val="center"/>
              <w:rPr>
                <w:rFonts w:hint="eastAsia" w:ascii="Times New Roman" w:hAnsi="Times New Roman" w:eastAsia="宋体" w:cs="Times New Roman"/>
                <w:bCs/>
                <w:color w:val="auto"/>
                <w:sz w:val="21"/>
                <w:szCs w:val="21"/>
                <w:highlight w:val="none"/>
                <w:vertAlign w:val="baseline"/>
                <w:lang w:val="en-US" w:eastAsia="zh-CN" w:bidi="ar-SA"/>
              </w:rPr>
            </w:pPr>
            <w:r>
              <w:rPr>
                <w:rFonts w:hint="eastAsia" w:ascii="Times New Roman" w:hAnsi="Times New Roman" w:cs="Times New Roman"/>
                <w:bCs/>
                <w:color w:val="auto"/>
                <w:sz w:val="21"/>
                <w:szCs w:val="21"/>
                <w:highlight w:val="none"/>
                <w:lang w:val="en-US" w:eastAsia="zh-CN"/>
              </w:rPr>
              <w:t>LC</w:t>
            </w:r>
            <w:r>
              <w:rPr>
                <w:rFonts w:hint="eastAsia" w:ascii="Times New Roman" w:hAnsi="Times New Roman" w:cs="Times New Roman"/>
                <w:bCs/>
                <w:color w:val="auto"/>
                <w:sz w:val="21"/>
                <w:szCs w:val="21"/>
                <w:highlight w:val="none"/>
                <w:vertAlign w:val="subscript"/>
                <w:lang w:val="en-US" w:eastAsia="zh-CN"/>
              </w:rPr>
              <w:t>50:</w:t>
            </w:r>
            <w:r>
              <w:rPr>
                <w:rFonts w:hint="eastAsia" w:ascii="Times New Roman" w:hAnsi="Times New Roman" w:cs="Times New Roman"/>
                <w:bCs/>
                <w:color w:val="auto"/>
                <w:sz w:val="21"/>
                <w:szCs w:val="21"/>
                <w:highlight w:val="none"/>
                <w:vertAlign w:val="baseline"/>
                <w:lang w:val="en-US" w:eastAsia="zh-CN"/>
              </w:rPr>
              <w:t>5000ppm/4h（大鼠吸入）</w:t>
            </w:r>
          </w:p>
        </w:tc>
        <w:tc>
          <w:tcPr>
            <w:tcW w:w="1275" w:type="dxa"/>
            <w:vAlign w:val="center"/>
          </w:tcPr>
          <w:p w14:paraId="3F05B964">
            <w:pPr>
              <w:ind w:left="-105" w:right="-105"/>
              <w:jc w:val="center"/>
              <w:rPr>
                <w:rFonts w:hint="eastAsia" w:ascii="Times New Roman" w:hAnsi="Times New Roman" w:eastAsia="宋体" w:cs="Times New Roman"/>
                <w:color w:val="auto"/>
                <w:sz w:val="21"/>
                <w:szCs w:val="21"/>
                <w:highlight w:val="none"/>
                <w:lang w:eastAsia="zh-CN"/>
              </w:rPr>
            </w:pPr>
            <w:r>
              <w:rPr>
                <w:rFonts w:hint="eastAsia" w:ascii="Times New Roman" w:hAnsi="Times New Roman" w:cs="Times New Roman"/>
                <w:color w:val="auto"/>
                <w:sz w:val="21"/>
                <w:szCs w:val="21"/>
                <w:highlight w:val="none"/>
                <w:lang w:eastAsia="zh-CN"/>
              </w:rPr>
              <w:t>危险品仓库</w:t>
            </w:r>
          </w:p>
        </w:tc>
      </w:tr>
      <w:tr w14:paraId="28CC5221">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889" w:type="dxa"/>
            <w:vAlign w:val="center"/>
          </w:tcPr>
          <w:p w14:paraId="50D1DCBA">
            <w:pPr>
              <w:pStyle w:val="97"/>
              <w:numPr>
                <w:ilvl w:val="0"/>
                <w:numId w:val="22"/>
              </w:numPr>
              <w:ind w:left="-105" w:right="-105" w:firstLine="0" w:firstLineChars="0"/>
              <w:jc w:val="center"/>
              <w:rPr>
                <w:rFonts w:eastAsia="宋体"/>
                <w:bCs/>
                <w:color w:val="auto"/>
                <w:sz w:val="21"/>
                <w:szCs w:val="21"/>
                <w:highlight w:val="none"/>
              </w:rPr>
            </w:pPr>
          </w:p>
        </w:tc>
        <w:tc>
          <w:tcPr>
            <w:tcW w:w="1093" w:type="dxa"/>
            <w:vMerge w:val="continue"/>
            <w:vAlign w:val="center"/>
          </w:tcPr>
          <w:p w14:paraId="4828E46E">
            <w:pPr>
              <w:pStyle w:val="97"/>
              <w:ind w:left="-105" w:right="-105" w:firstLine="0" w:firstLineChars="0"/>
              <w:jc w:val="center"/>
              <w:rPr>
                <w:rFonts w:eastAsia="宋体"/>
                <w:bCs/>
                <w:color w:val="auto"/>
                <w:sz w:val="21"/>
                <w:szCs w:val="21"/>
                <w:highlight w:val="none"/>
              </w:rPr>
            </w:pPr>
          </w:p>
        </w:tc>
        <w:tc>
          <w:tcPr>
            <w:tcW w:w="1467" w:type="dxa"/>
            <w:vAlign w:val="center"/>
          </w:tcPr>
          <w:p w14:paraId="44159018">
            <w:pPr>
              <w:pStyle w:val="236"/>
              <w:keepNext w:val="0"/>
              <w:keepLines w:val="0"/>
              <w:pageBreakBefore w:val="0"/>
              <w:widowControl/>
              <w:kinsoku/>
              <w:wordWrap/>
              <w:overflowPunct/>
              <w:topLinePunct w:val="0"/>
              <w:autoSpaceDE/>
              <w:autoSpaceDN/>
              <w:bidi w:val="0"/>
              <w:ind w:left="0" w:leftChars="0" w:right="0" w:rightChars="0"/>
              <w:jc w:val="center"/>
              <w:rPr>
                <w:rFonts w:ascii="Times New Roman" w:hAnsi="Times New Roman" w:cs="Times New Roman"/>
                <w:color w:val="auto"/>
                <w:sz w:val="21"/>
                <w:szCs w:val="21"/>
                <w:highlight w:val="none"/>
                <w:lang w:bidi="ar"/>
              </w:rPr>
            </w:pPr>
            <w:r>
              <w:rPr>
                <w:rFonts w:ascii="Times New Roman" w:hAnsi="Times New Roman" w:eastAsia="宋体" w:cs="Times New Roman"/>
                <w:color w:val="auto"/>
                <w:spacing w:val="8"/>
                <w:sz w:val="21"/>
                <w:szCs w:val="21"/>
                <w:highlight w:val="none"/>
              </w:rPr>
              <w:t>环氧丙烯酸树脂</w:t>
            </w:r>
          </w:p>
        </w:tc>
        <w:tc>
          <w:tcPr>
            <w:tcW w:w="912" w:type="dxa"/>
            <w:vAlign w:val="center"/>
          </w:tcPr>
          <w:p w14:paraId="15A2DE8D">
            <w:pPr>
              <w:wordWrap w:val="0"/>
              <w:adjustRightInd w:val="0"/>
              <w:snapToGrid w:val="0"/>
              <w:ind w:left="-105" w:right="-105"/>
              <w:jc w:val="center"/>
              <w:textAlignment w:val="center"/>
              <w:rPr>
                <w:rFonts w:hint="eastAsia" w:ascii="Times New Roman" w:hAnsi="Times New Roman" w:eastAsia="宋体" w:cs="Times New Roman"/>
                <w:bCs/>
                <w:color w:val="auto"/>
                <w:sz w:val="21"/>
                <w:szCs w:val="21"/>
                <w:highlight w:val="none"/>
                <w:lang w:val="en-US" w:eastAsia="zh-CN"/>
              </w:rPr>
            </w:pPr>
            <w:r>
              <w:rPr>
                <w:rFonts w:hint="eastAsia" w:ascii="Times New Roman" w:hAnsi="Times New Roman" w:cs="Times New Roman"/>
                <w:bCs/>
                <w:color w:val="auto"/>
                <w:sz w:val="21"/>
                <w:szCs w:val="21"/>
                <w:highlight w:val="none"/>
                <w:lang w:val="en-US" w:eastAsia="zh-CN"/>
              </w:rPr>
              <w:t>易燃</w:t>
            </w:r>
          </w:p>
        </w:tc>
        <w:tc>
          <w:tcPr>
            <w:tcW w:w="3084" w:type="dxa"/>
            <w:vAlign w:val="center"/>
          </w:tcPr>
          <w:p w14:paraId="344264FF">
            <w:pPr>
              <w:wordWrap w:val="0"/>
              <w:adjustRightInd w:val="0"/>
              <w:snapToGrid w:val="0"/>
              <w:ind w:left="-105" w:right="-105"/>
              <w:jc w:val="center"/>
              <w:textAlignment w:val="center"/>
              <w:rPr>
                <w:rFonts w:hint="eastAsia" w:ascii="Times New Roman" w:hAnsi="Times New Roman" w:eastAsia="宋体" w:cs="Times New Roman"/>
                <w:bCs/>
                <w:color w:val="auto"/>
                <w:sz w:val="21"/>
                <w:szCs w:val="21"/>
                <w:highlight w:val="none"/>
                <w:lang w:val="en-US" w:eastAsia="zh-CN"/>
              </w:rPr>
            </w:pPr>
            <w:r>
              <w:rPr>
                <w:rFonts w:hint="eastAsia" w:ascii="Times New Roman" w:hAnsi="Times New Roman" w:cs="Times New Roman"/>
                <w:bCs/>
                <w:color w:val="auto"/>
                <w:sz w:val="21"/>
                <w:szCs w:val="21"/>
                <w:highlight w:val="none"/>
                <w:lang w:val="en-US" w:eastAsia="zh-CN"/>
              </w:rPr>
              <w:t>无资料</w:t>
            </w:r>
          </w:p>
        </w:tc>
        <w:tc>
          <w:tcPr>
            <w:tcW w:w="1275" w:type="dxa"/>
            <w:vAlign w:val="center"/>
          </w:tcPr>
          <w:p w14:paraId="6F780D1A">
            <w:pPr>
              <w:ind w:left="-105" w:right="-105"/>
              <w:jc w:val="center"/>
              <w:rPr>
                <w:rFonts w:hint="eastAsia" w:ascii="Times New Roman" w:hAnsi="Times New Roman" w:eastAsia="宋体" w:cs="Times New Roman"/>
                <w:color w:val="auto"/>
                <w:sz w:val="21"/>
                <w:szCs w:val="21"/>
                <w:highlight w:val="none"/>
                <w:lang w:eastAsia="zh-CN"/>
              </w:rPr>
            </w:pPr>
            <w:r>
              <w:rPr>
                <w:rFonts w:hint="eastAsia" w:ascii="Times New Roman" w:hAnsi="Times New Roman" w:cs="Times New Roman"/>
                <w:color w:val="auto"/>
                <w:sz w:val="21"/>
                <w:szCs w:val="21"/>
                <w:highlight w:val="none"/>
                <w:lang w:eastAsia="zh-CN"/>
              </w:rPr>
              <w:t>危险品仓库</w:t>
            </w:r>
          </w:p>
        </w:tc>
      </w:tr>
      <w:tr w14:paraId="6B96D600">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889" w:type="dxa"/>
            <w:vAlign w:val="center"/>
          </w:tcPr>
          <w:p w14:paraId="29896EB7">
            <w:pPr>
              <w:pStyle w:val="97"/>
              <w:numPr>
                <w:ilvl w:val="0"/>
                <w:numId w:val="22"/>
              </w:numPr>
              <w:ind w:left="-105" w:right="-105" w:firstLine="0" w:firstLineChars="0"/>
              <w:jc w:val="center"/>
              <w:rPr>
                <w:rFonts w:eastAsia="宋体"/>
                <w:bCs/>
                <w:color w:val="auto"/>
                <w:sz w:val="21"/>
                <w:szCs w:val="21"/>
                <w:highlight w:val="none"/>
              </w:rPr>
            </w:pPr>
          </w:p>
        </w:tc>
        <w:tc>
          <w:tcPr>
            <w:tcW w:w="1093" w:type="dxa"/>
            <w:vMerge w:val="continue"/>
            <w:vAlign w:val="center"/>
          </w:tcPr>
          <w:p w14:paraId="2EE427B0">
            <w:pPr>
              <w:pStyle w:val="97"/>
              <w:ind w:left="-105" w:right="-105" w:firstLine="0" w:firstLineChars="0"/>
              <w:jc w:val="center"/>
              <w:rPr>
                <w:rFonts w:eastAsia="宋体"/>
                <w:bCs/>
                <w:color w:val="auto"/>
                <w:sz w:val="21"/>
                <w:szCs w:val="21"/>
                <w:highlight w:val="none"/>
              </w:rPr>
            </w:pPr>
          </w:p>
        </w:tc>
        <w:tc>
          <w:tcPr>
            <w:tcW w:w="1467" w:type="dxa"/>
            <w:vAlign w:val="center"/>
          </w:tcPr>
          <w:p w14:paraId="131B9851">
            <w:pPr>
              <w:pStyle w:val="236"/>
              <w:keepNext w:val="0"/>
              <w:keepLines w:val="0"/>
              <w:pageBreakBefore w:val="0"/>
              <w:widowControl/>
              <w:kinsoku/>
              <w:wordWrap/>
              <w:overflowPunct/>
              <w:topLinePunct w:val="0"/>
              <w:autoSpaceDE/>
              <w:autoSpaceDN/>
              <w:bidi w:val="0"/>
              <w:ind w:left="0" w:leftChars="0" w:right="0" w:rightChars="0"/>
              <w:jc w:val="center"/>
              <w:rPr>
                <w:rFonts w:ascii="Times New Roman" w:hAnsi="Times New Roman" w:cs="Times New Roman"/>
                <w:color w:val="auto"/>
                <w:sz w:val="21"/>
                <w:szCs w:val="21"/>
                <w:highlight w:val="none"/>
                <w:lang w:bidi="ar"/>
              </w:rPr>
            </w:pPr>
            <w:r>
              <w:rPr>
                <w:rFonts w:hint="eastAsia" w:ascii="Times New Roman" w:hAnsi="Times New Roman" w:eastAsia="宋体" w:cs="Times New Roman"/>
                <w:color w:val="auto"/>
                <w:spacing w:val="8"/>
                <w:sz w:val="21"/>
                <w:szCs w:val="21"/>
                <w:highlight w:val="none"/>
                <w:lang w:eastAsia="zh-CN"/>
              </w:rPr>
              <w:t>单体（二缩三丙二醇二丙烯酸酯）</w:t>
            </w:r>
          </w:p>
        </w:tc>
        <w:tc>
          <w:tcPr>
            <w:tcW w:w="912" w:type="dxa"/>
            <w:vAlign w:val="center"/>
          </w:tcPr>
          <w:p w14:paraId="0E4DD926">
            <w:pPr>
              <w:wordWrap w:val="0"/>
              <w:adjustRightInd w:val="0"/>
              <w:snapToGrid w:val="0"/>
              <w:ind w:left="-105" w:right="-105"/>
              <w:jc w:val="center"/>
              <w:textAlignment w:val="center"/>
              <w:rPr>
                <w:rFonts w:hint="eastAsia" w:ascii="Times New Roman" w:hAnsi="Times New Roman" w:eastAsia="宋体" w:cs="Times New Roman"/>
                <w:bCs/>
                <w:color w:val="auto"/>
                <w:sz w:val="21"/>
                <w:szCs w:val="21"/>
                <w:highlight w:val="none"/>
                <w:lang w:val="en-US" w:eastAsia="zh-CN"/>
              </w:rPr>
            </w:pPr>
            <w:r>
              <w:rPr>
                <w:rFonts w:hint="eastAsia" w:ascii="Times New Roman" w:hAnsi="Times New Roman" w:cs="Times New Roman"/>
                <w:bCs/>
                <w:color w:val="auto"/>
                <w:sz w:val="21"/>
                <w:szCs w:val="21"/>
                <w:highlight w:val="none"/>
                <w:lang w:val="en-US" w:eastAsia="zh-CN"/>
              </w:rPr>
              <w:t>可燃</w:t>
            </w:r>
          </w:p>
        </w:tc>
        <w:tc>
          <w:tcPr>
            <w:tcW w:w="3084" w:type="dxa"/>
            <w:vAlign w:val="center"/>
          </w:tcPr>
          <w:p w14:paraId="14CC1C5A">
            <w:pPr>
              <w:wordWrap w:val="0"/>
              <w:adjustRightInd w:val="0"/>
              <w:snapToGrid w:val="0"/>
              <w:ind w:left="-105" w:right="-105"/>
              <w:jc w:val="center"/>
              <w:textAlignment w:val="center"/>
              <w:rPr>
                <w:rFonts w:hint="eastAsia" w:ascii="Times New Roman" w:hAnsi="Times New Roman" w:cs="Times New Roman"/>
                <w:bCs/>
                <w:color w:val="auto"/>
                <w:sz w:val="21"/>
                <w:szCs w:val="21"/>
                <w:highlight w:val="none"/>
              </w:rPr>
            </w:pPr>
            <w:r>
              <w:rPr>
                <w:rFonts w:hint="eastAsia" w:ascii="Times New Roman" w:hAnsi="Times New Roman" w:cs="Times New Roman"/>
                <w:bCs/>
                <w:color w:val="auto"/>
                <w:sz w:val="21"/>
                <w:szCs w:val="21"/>
                <w:highlight w:val="none"/>
              </w:rPr>
              <w:t>LD50</w:t>
            </w:r>
            <w:r>
              <w:rPr>
                <w:rFonts w:hint="eastAsia" w:ascii="Times New Roman" w:hAnsi="Times New Roman" w:cs="Times New Roman"/>
                <w:bCs/>
                <w:color w:val="auto"/>
                <w:sz w:val="21"/>
                <w:szCs w:val="21"/>
                <w:highlight w:val="none"/>
                <w:lang w:eastAsia="zh-CN"/>
              </w:rPr>
              <w:t>：</w:t>
            </w:r>
            <w:r>
              <w:rPr>
                <w:rFonts w:hint="eastAsia" w:ascii="Times New Roman" w:hAnsi="Times New Roman" w:cs="Times New Roman"/>
                <w:bCs/>
                <w:color w:val="auto"/>
                <w:sz w:val="21"/>
                <w:szCs w:val="21"/>
                <w:highlight w:val="none"/>
              </w:rPr>
              <w:t>经口</w:t>
            </w:r>
            <w:r>
              <w:rPr>
                <w:rFonts w:hint="eastAsia" w:ascii="Times New Roman" w:hAnsi="Times New Roman" w:cs="Times New Roman"/>
                <w:bCs/>
                <w:color w:val="auto"/>
                <w:sz w:val="21"/>
                <w:szCs w:val="21"/>
                <w:highlight w:val="none"/>
                <w:lang w:eastAsia="zh-CN"/>
              </w:rPr>
              <w:t>，</w:t>
            </w:r>
            <w:r>
              <w:rPr>
                <w:rFonts w:hint="eastAsia" w:ascii="Times New Roman" w:hAnsi="Times New Roman" w:cs="Times New Roman"/>
                <w:bCs/>
                <w:color w:val="auto"/>
                <w:sz w:val="21"/>
                <w:szCs w:val="21"/>
                <w:highlight w:val="none"/>
              </w:rPr>
              <w:t>大鼠</w:t>
            </w:r>
            <w:r>
              <w:rPr>
                <w:rFonts w:hint="eastAsia" w:ascii="Times New Roman" w:hAnsi="Times New Roman" w:cs="Times New Roman"/>
                <w:bCs/>
                <w:color w:val="auto"/>
                <w:sz w:val="21"/>
                <w:szCs w:val="21"/>
                <w:highlight w:val="none"/>
                <w:lang w:eastAsia="zh-CN"/>
              </w:rPr>
              <w:t>，</w:t>
            </w:r>
            <w:r>
              <w:rPr>
                <w:rFonts w:hint="eastAsia" w:ascii="Times New Roman" w:hAnsi="Times New Roman" w:cs="Times New Roman"/>
                <w:bCs/>
                <w:color w:val="auto"/>
                <w:sz w:val="21"/>
                <w:szCs w:val="21"/>
                <w:highlight w:val="none"/>
              </w:rPr>
              <w:t>6,800mg/kg</w:t>
            </w:r>
          </w:p>
          <w:p w14:paraId="6F99555F">
            <w:pPr>
              <w:wordWrap w:val="0"/>
              <w:adjustRightInd w:val="0"/>
              <w:snapToGrid w:val="0"/>
              <w:ind w:left="-105" w:right="-105"/>
              <w:jc w:val="center"/>
              <w:textAlignment w:val="center"/>
              <w:rPr>
                <w:rFonts w:hint="eastAsia" w:ascii="Times New Roman" w:hAnsi="Times New Roman" w:cs="Times New Roman"/>
                <w:bCs/>
                <w:color w:val="auto"/>
                <w:sz w:val="21"/>
                <w:szCs w:val="21"/>
                <w:highlight w:val="none"/>
              </w:rPr>
            </w:pPr>
            <w:r>
              <w:rPr>
                <w:rFonts w:hint="eastAsia" w:ascii="Times New Roman" w:hAnsi="Times New Roman" w:cs="Times New Roman"/>
                <w:bCs/>
                <w:color w:val="auto"/>
                <w:sz w:val="21"/>
                <w:szCs w:val="21"/>
                <w:highlight w:val="none"/>
              </w:rPr>
              <w:t>LD50</w:t>
            </w:r>
            <w:r>
              <w:rPr>
                <w:rFonts w:hint="eastAsia" w:ascii="Times New Roman" w:hAnsi="Times New Roman" w:cs="Times New Roman"/>
                <w:bCs/>
                <w:color w:val="auto"/>
                <w:sz w:val="21"/>
                <w:szCs w:val="21"/>
                <w:highlight w:val="none"/>
                <w:lang w:eastAsia="zh-CN"/>
              </w:rPr>
              <w:t>：</w:t>
            </w:r>
            <w:r>
              <w:rPr>
                <w:rFonts w:hint="eastAsia" w:ascii="Times New Roman" w:hAnsi="Times New Roman" w:cs="Times New Roman"/>
                <w:bCs/>
                <w:color w:val="auto"/>
                <w:sz w:val="21"/>
                <w:szCs w:val="21"/>
                <w:highlight w:val="none"/>
              </w:rPr>
              <w:t>经皮</w:t>
            </w:r>
            <w:r>
              <w:rPr>
                <w:rFonts w:hint="eastAsia" w:ascii="Times New Roman" w:hAnsi="Times New Roman" w:cs="Times New Roman"/>
                <w:bCs/>
                <w:color w:val="auto"/>
                <w:sz w:val="21"/>
                <w:szCs w:val="21"/>
                <w:highlight w:val="none"/>
                <w:lang w:eastAsia="zh-CN"/>
              </w:rPr>
              <w:t>，</w:t>
            </w:r>
            <w:r>
              <w:rPr>
                <w:rFonts w:hint="eastAsia" w:ascii="Times New Roman" w:hAnsi="Times New Roman" w:cs="Times New Roman"/>
                <w:bCs/>
                <w:color w:val="auto"/>
                <w:sz w:val="21"/>
                <w:szCs w:val="21"/>
                <w:highlight w:val="none"/>
              </w:rPr>
              <w:t>兔子</w:t>
            </w:r>
            <w:r>
              <w:rPr>
                <w:rFonts w:hint="eastAsia" w:ascii="Times New Roman" w:hAnsi="Times New Roman" w:cs="Times New Roman"/>
                <w:bCs/>
                <w:color w:val="auto"/>
                <w:sz w:val="21"/>
                <w:szCs w:val="21"/>
                <w:highlight w:val="none"/>
                <w:lang w:eastAsia="zh-CN"/>
              </w:rPr>
              <w:t>，</w:t>
            </w:r>
            <w:r>
              <w:rPr>
                <w:rFonts w:hint="eastAsia" w:ascii="Times New Roman" w:hAnsi="Times New Roman" w:cs="Times New Roman"/>
                <w:bCs/>
                <w:color w:val="auto"/>
                <w:sz w:val="21"/>
                <w:szCs w:val="21"/>
                <w:highlight w:val="none"/>
              </w:rPr>
              <w:t>&gt;2000mg/kg</w:t>
            </w:r>
          </w:p>
          <w:p w14:paraId="2029A01F">
            <w:pPr>
              <w:wordWrap w:val="0"/>
              <w:adjustRightInd w:val="0"/>
              <w:snapToGrid w:val="0"/>
              <w:ind w:left="-105" w:right="-105"/>
              <w:jc w:val="center"/>
              <w:textAlignment w:val="center"/>
              <w:rPr>
                <w:rFonts w:hint="eastAsia" w:ascii="Times New Roman" w:hAnsi="Times New Roman" w:cs="Times New Roman"/>
                <w:bCs/>
                <w:color w:val="auto"/>
                <w:sz w:val="21"/>
                <w:szCs w:val="21"/>
                <w:highlight w:val="none"/>
              </w:rPr>
            </w:pPr>
            <w:r>
              <w:rPr>
                <w:rFonts w:hint="eastAsia" w:ascii="Times New Roman" w:hAnsi="Times New Roman" w:cs="Times New Roman"/>
                <w:bCs/>
                <w:color w:val="auto"/>
                <w:sz w:val="21"/>
                <w:szCs w:val="21"/>
                <w:highlight w:val="none"/>
              </w:rPr>
              <w:t>LD50</w:t>
            </w:r>
            <w:r>
              <w:rPr>
                <w:rFonts w:hint="eastAsia" w:ascii="Times New Roman" w:hAnsi="Times New Roman" w:cs="Times New Roman"/>
                <w:bCs/>
                <w:color w:val="auto"/>
                <w:sz w:val="21"/>
                <w:szCs w:val="21"/>
                <w:highlight w:val="none"/>
                <w:lang w:eastAsia="zh-CN"/>
              </w:rPr>
              <w:t>：</w:t>
            </w:r>
            <w:r>
              <w:rPr>
                <w:rFonts w:hint="eastAsia" w:ascii="Times New Roman" w:hAnsi="Times New Roman" w:cs="Times New Roman"/>
                <w:bCs/>
                <w:color w:val="auto"/>
                <w:sz w:val="21"/>
                <w:szCs w:val="21"/>
                <w:highlight w:val="none"/>
              </w:rPr>
              <w:t>腹膜</w:t>
            </w:r>
            <w:r>
              <w:rPr>
                <w:rFonts w:hint="eastAsia" w:ascii="Times New Roman" w:hAnsi="Times New Roman" w:cs="Times New Roman"/>
                <w:bCs/>
                <w:color w:val="auto"/>
                <w:sz w:val="21"/>
                <w:szCs w:val="21"/>
                <w:highlight w:val="none"/>
                <w:lang w:eastAsia="zh-CN"/>
              </w:rPr>
              <w:t>，</w:t>
            </w:r>
            <w:r>
              <w:rPr>
                <w:rFonts w:hint="eastAsia" w:ascii="Times New Roman" w:hAnsi="Times New Roman" w:cs="Times New Roman"/>
                <w:bCs/>
                <w:color w:val="auto"/>
                <w:sz w:val="21"/>
                <w:szCs w:val="21"/>
                <w:highlight w:val="none"/>
              </w:rPr>
              <w:t>大鼠</w:t>
            </w:r>
            <w:r>
              <w:rPr>
                <w:rFonts w:hint="eastAsia" w:ascii="Times New Roman" w:hAnsi="Times New Roman" w:cs="Times New Roman"/>
                <w:bCs/>
                <w:color w:val="auto"/>
                <w:sz w:val="21"/>
                <w:szCs w:val="21"/>
                <w:highlight w:val="none"/>
                <w:lang w:eastAsia="zh-CN"/>
              </w:rPr>
              <w:t>，</w:t>
            </w:r>
            <w:r>
              <w:rPr>
                <w:rFonts w:hint="eastAsia" w:ascii="Times New Roman" w:hAnsi="Times New Roman" w:cs="Times New Roman"/>
                <w:bCs/>
                <w:color w:val="auto"/>
                <w:sz w:val="21"/>
                <w:szCs w:val="21"/>
                <w:highlight w:val="none"/>
              </w:rPr>
              <w:t>345mg/kg</w:t>
            </w:r>
          </w:p>
        </w:tc>
        <w:tc>
          <w:tcPr>
            <w:tcW w:w="1275" w:type="dxa"/>
            <w:vAlign w:val="center"/>
          </w:tcPr>
          <w:p w14:paraId="05D357BF">
            <w:pPr>
              <w:ind w:left="-105" w:right="-105"/>
              <w:jc w:val="center"/>
              <w:rPr>
                <w:rFonts w:hint="eastAsia" w:ascii="Times New Roman" w:hAnsi="Times New Roman" w:eastAsia="宋体" w:cs="Times New Roman"/>
                <w:color w:val="auto"/>
                <w:sz w:val="21"/>
                <w:szCs w:val="21"/>
                <w:highlight w:val="none"/>
                <w:lang w:eastAsia="zh-CN"/>
              </w:rPr>
            </w:pPr>
            <w:r>
              <w:rPr>
                <w:rFonts w:hint="eastAsia" w:ascii="Times New Roman" w:hAnsi="Times New Roman" w:cs="Times New Roman"/>
                <w:color w:val="auto"/>
                <w:sz w:val="21"/>
                <w:szCs w:val="21"/>
                <w:highlight w:val="none"/>
                <w:lang w:eastAsia="zh-CN"/>
              </w:rPr>
              <w:t>危险品仓库</w:t>
            </w:r>
          </w:p>
        </w:tc>
      </w:tr>
      <w:tr w14:paraId="0E3BEB21">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889" w:type="dxa"/>
            <w:vAlign w:val="center"/>
          </w:tcPr>
          <w:p w14:paraId="54A83DDF">
            <w:pPr>
              <w:pStyle w:val="97"/>
              <w:numPr>
                <w:ilvl w:val="0"/>
                <w:numId w:val="22"/>
              </w:numPr>
              <w:ind w:left="-105" w:right="-105" w:firstLine="0" w:firstLineChars="0"/>
              <w:jc w:val="center"/>
              <w:rPr>
                <w:rFonts w:eastAsia="宋体"/>
                <w:bCs/>
                <w:color w:val="auto"/>
                <w:sz w:val="21"/>
                <w:szCs w:val="21"/>
                <w:highlight w:val="none"/>
              </w:rPr>
            </w:pPr>
          </w:p>
        </w:tc>
        <w:tc>
          <w:tcPr>
            <w:tcW w:w="1093" w:type="dxa"/>
            <w:vMerge w:val="continue"/>
            <w:vAlign w:val="center"/>
          </w:tcPr>
          <w:p w14:paraId="43E6169E">
            <w:pPr>
              <w:pStyle w:val="97"/>
              <w:ind w:left="-105" w:right="-105" w:firstLine="0" w:firstLineChars="0"/>
              <w:jc w:val="center"/>
              <w:rPr>
                <w:rFonts w:eastAsia="宋体"/>
                <w:bCs/>
                <w:color w:val="auto"/>
                <w:sz w:val="21"/>
                <w:szCs w:val="21"/>
                <w:highlight w:val="none"/>
              </w:rPr>
            </w:pPr>
          </w:p>
        </w:tc>
        <w:tc>
          <w:tcPr>
            <w:tcW w:w="1467" w:type="dxa"/>
            <w:vAlign w:val="center"/>
          </w:tcPr>
          <w:p w14:paraId="3EBA7CC2">
            <w:pPr>
              <w:pStyle w:val="236"/>
              <w:keepNext w:val="0"/>
              <w:keepLines w:val="0"/>
              <w:pageBreakBefore w:val="0"/>
              <w:widowControl/>
              <w:kinsoku/>
              <w:wordWrap/>
              <w:overflowPunct/>
              <w:topLinePunct w:val="0"/>
              <w:autoSpaceDE/>
              <w:autoSpaceDN/>
              <w:bidi w:val="0"/>
              <w:ind w:left="0" w:leftChars="0" w:right="0" w:rightChars="0"/>
              <w:jc w:val="center"/>
              <w:rPr>
                <w:rFonts w:ascii="Times New Roman" w:hAnsi="Times New Roman" w:cs="Times New Roman"/>
                <w:color w:val="auto"/>
                <w:sz w:val="21"/>
                <w:szCs w:val="21"/>
                <w:highlight w:val="none"/>
                <w:lang w:bidi="ar"/>
              </w:rPr>
            </w:pPr>
            <w:r>
              <w:rPr>
                <w:rFonts w:hint="eastAsia" w:ascii="Times New Roman" w:hAnsi="Times New Roman" w:eastAsia="宋体" w:cs="Times New Roman"/>
                <w:color w:val="auto"/>
                <w:spacing w:val="8"/>
                <w:sz w:val="21"/>
                <w:szCs w:val="21"/>
                <w:highlight w:val="none"/>
                <w:lang w:eastAsia="zh-CN"/>
              </w:rPr>
              <w:t>光敏剂（1-羟环己基苯酮）</w:t>
            </w:r>
          </w:p>
        </w:tc>
        <w:tc>
          <w:tcPr>
            <w:tcW w:w="912" w:type="dxa"/>
            <w:vAlign w:val="center"/>
          </w:tcPr>
          <w:p w14:paraId="583A7D2E">
            <w:pPr>
              <w:wordWrap w:val="0"/>
              <w:adjustRightInd w:val="0"/>
              <w:snapToGrid w:val="0"/>
              <w:ind w:left="-105" w:right="-105"/>
              <w:jc w:val="center"/>
              <w:textAlignment w:val="center"/>
              <w:rPr>
                <w:rFonts w:hint="eastAsia" w:ascii="Times New Roman" w:hAnsi="Times New Roman" w:eastAsia="宋体" w:cs="Times New Roman"/>
                <w:bCs/>
                <w:color w:val="auto"/>
                <w:sz w:val="21"/>
                <w:szCs w:val="21"/>
                <w:highlight w:val="none"/>
                <w:lang w:val="en-US" w:eastAsia="zh-CN"/>
              </w:rPr>
            </w:pPr>
            <w:r>
              <w:rPr>
                <w:rFonts w:hint="eastAsia" w:ascii="Times New Roman" w:hAnsi="Times New Roman" w:cs="Times New Roman"/>
                <w:bCs/>
                <w:color w:val="auto"/>
                <w:sz w:val="21"/>
                <w:szCs w:val="21"/>
                <w:highlight w:val="none"/>
                <w:lang w:val="en-US" w:eastAsia="zh-CN"/>
              </w:rPr>
              <w:t>可燃</w:t>
            </w:r>
          </w:p>
        </w:tc>
        <w:tc>
          <w:tcPr>
            <w:tcW w:w="3084" w:type="dxa"/>
            <w:vAlign w:val="center"/>
          </w:tcPr>
          <w:p w14:paraId="0E106EFF">
            <w:pPr>
              <w:wordWrap w:val="0"/>
              <w:adjustRightInd w:val="0"/>
              <w:snapToGrid w:val="0"/>
              <w:ind w:left="-105" w:right="-105"/>
              <w:jc w:val="center"/>
              <w:textAlignment w:val="center"/>
              <w:rPr>
                <w:rFonts w:hint="eastAsia" w:ascii="Times New Roman" w:hAnsi="Times New Roman" w:eastAsia="宋体" w:cs="Times New Roman"/>
                <w:bCs/>
                <w:color w:val="auto"/>
                <w:sz w:val="21"/>
                <w:szCs w:val="21"/>
                <w:highlight w:val="none"/>
                <w:lang w:val="en-US" w:eastAsia="zh-CN"/>
              </w:rPr>
            </w:pPr>
            <w:r>
              <w:rPr>
                <w:rFonts w:hint="eastAsia" w:ascii="Times New Roman" w:hAnsi="Times New Roman" w:cs="Times New Roman"/>
                <w:bCs/>
                <w:color w:val="auto"/>
                <w:sz w:val="21"/>
                <w:szCs w:val="21"/>
                <w:highlight w:val="none"/>
                <w:lang w:val="en-US" w:eastAsia="zh-CN"/>
              </w:rPr>
              <w:t>无资料</w:t>
            </w:r>
          </w:p>
        </w:tc>
        <w:tc>
          <w:tcPr>
            <w:tcW w:w="1275" w:type="dxa"/>
            <w:vAlign w:val="center"/>
          </w:tcPr>
          <w:p w14:paraId="03516303">
            <w:pPr>
              <w:ind w:left="-105" w:right="-105"/>
              <w:jc w:val="center"/>
              <w:rPr>
                <w:rFonts w:hint="eastAsia" w:ascii="Times New Roman" w:hAnsi="Times New Roman" w:eastAsia="宋体" w:cs="Times New Roman"/>
                <w:color w:val="auto"/>
                <w:sz w:val="21"/>
                <w:szCs w:val="21"/>
                <w:highlight w:val="none"/>
                <w:lang w:eastAsia="zh-CN"/>
              </w:rPr>
            </w:pPr>
            <w:r>
              <w:rPr>
                <w:rFonts w:hint="eastAsia" w:ascii="Times New Roman" w:hAnsi="Times New Roman" w:cs="Times New Roman"/>
                <w:color w:val="auto"/>
                <w:sz w:val="21"/>
                <w:szCs w:val="21"/>
                <w:highlight w:val="none"/>
                <w:lang w:eastAsia="zh-CN"/>
              </w:rPr>
              <w:t>危险品仓库</w:t>
            </w:r>
          </w:p>
        </w:tc>
      </w:tr>
      <w:tr w14:paraId="175F440F">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889" w:type="dxa"/>
            <w:vAlign w:val="center"/>
          </w:tcPr>
          <w:p w14:paraId="7E0D0D84">
            <w:pPr>
              <w:pStyle w:val="97"/>
              <w:numPr>
                <w:ilvl w:val="0"/>
                <w:numId w:val="22"/>
              </w:numPr>
              <w:ind w:left="-105" w:right="-105" w:firstLine="0" w:firstLineChars="0"/>
              <w:jc w:val="center"/>
              <w:rPr>
                <w:rFonts w:eastAsia="宋体"/>
                <w:bCs/>
                <w:color w:val="auto"/>
                <w:sz w:val="21"/>
                <w:szCs w:val="21"/>
                <w:highlight w:val="none"/>
              </w:rPr>
            </w:pPr>
          </w:p>
        </w:tc>
        <w:tc>
          <w:tcPr>
            <w:tcW w:w="1093" w:type="dxa"/>
            <w:vMerge w:val="continue"/>
            <w:vAlign w:val="center"/>
          </w:tcPr>
          <w:p w14:paraId="7639E4EA">
            <w:pPr>
              <w:pStyle w:val="97"/>
              <w:ind w:left="-105" w:right="-105" w:firstLine="0" w:firstLineChars="0"/>
              <w:jc w:val="center"/>
              <w:rPr>
                <w:rFonts w:eastAsia="宋体"/>
                <w:bCs/>
                <w:color w:val="auto"/>
                <w:sz w:val="21"/>
                <w:szCs w:val="21"/>
                <w:highlight w:val="none"/>
              </w:rPr>
            </w:pPr>
          </w:p>
        </w:tc>
        <w:tc>
          <w:tcPr>
            <w:tcW w:w="1467" w:type="dxa"/>
            <w:vAlign w:val="center"/>
          </w:tcPr>
          <w:p w14:paraId="189ADA18">
            <w:pPr>
              <w:pStyle w:val="236"/>
              <w:keepNext w:val="0"/>
              <w:keepLines w:val="0"/>
              <w:pageBreakBefore w:val="0"/>
              <w:widowControl/>
              <w:kinsoku/>
              <w:wordWrap/>
              <w:overflowPunct/>
              <w:topLinePunct w:val="0"/>
              <w:autoSpaceDE/>
              <w:autoSpaceDN/>
              <w:bidi w:val="0"/>
              <w:ind w:left="0" w:leftChars="0" w:right="0" w:rightChars="0"/>
              <w:jc w:val="center"/>
              <w:rPr>
                <w:rFonts w:ascii="Times New Roman" w:hAnsi="Times New Roman" w:cs="Times New Roman"/>
                <w:color w:val="auto"/>
                <w:sz w:val="21"/>
                <w:szCs w:val="21"/>
                <w:highlight w:val="none"/>
                <w:lang w:bidi="ar"/>
              </w:rPr>
            </w:pPr>
            <w:r>
              <w:rPr>
                <w:rFonts w:ascii="Times New Roman" w:hAnsi="Times New Roman" w:eastAsia="宋体" w:cs="Times New Roman"/>
                <w:color w:val="auto"/>
                <w:spacing w:val="8"/>
                <w:sz w:val="21"/>
                <w:szCs w:val="21"/>
                <w:highlight w:val="none"/>
              </w:rPr>
              <w:t>酚醛环氧树脂</w:t>
            </w:r>
          </w:p>
        </w:tc>
        <w:tc>
          <w:tcPr>
            <w:tcW w:w="912" w:type="dxa"/>
            <w:vAlign w:val="center"/>
          </w:tcPr>
          <w:p w14:paraId="5047FDC4">
            <w:pPr>
              <w:wordWrap w:val="0"/>
              <w:adjustRightInd w:val="0"/>
              <w:snapToGrid w:val="0"/>
              <w:ind w:left="-105" w:leftChars="0" w:right="-105" w:rightChars="0"/>
              <w:jc w:val="center"/>
              <w:textAlignment w:val="center"/>
              <w:rPr>
                <w:rFonts w:hint="eastAsia" w:ascii="Times New Roman" w:hAnsi="Times New Roman" w:cs="Times New Roman"/>
                <w:bCs/>
                <w:color w:val="auto"/>
                <w:sz w:val="21"/>
                <w:szCs w:val="21"/>
                <w:highlight w:val="none"/>
              </w:rPr>
            </w:pPr>
            <w:r>
              <w:rPr>
                <w:rFonts w:hint="eastAsia" w:ascii="Times New Roman" w:hAnsi="Times New Roman" w:cs="Times New Roman"/>
                <w:bCs/>
                <w:color w:val="auto"/>
                <w:sz w:val="21"/>
                <w:szCs w:val="21"/>
                <w:highlight w:val="none"/>
                <w:lang w:val="en-US" w:eastAsia="zh-CN"/>
              </w:rPr>
              <w:t>易燃</w:t>
            </w:r>
          </w:p>
        </w:tc>
        <w:tc>
          <w:tcPr>
            <w:tcW w:w="3084" w:type="dxa"/>
            <w:vAlign w:val="center"/>
          </w:tcPr>
          <w:p w14:paraId="719ADC3E">
            <w:pPr>
              <w:wordWrap w:val="0"/>
              <w:adjustRightInd w:val="0"/>
              <w:snapToGrid w:val="0"/>
              <w:ind w:left="-105" w:leftChars="0" w:right="-105" w:rightChars="0"/>
              <w:jc w:val="center"/>
              <w:textAlignment w:val="center"/>
              <w:rPr>
                <w:rFonts w:hint="eastAsia" w:ascii="Times New Roman" w:hAnsi="Times New Roman" w:cs="Times New Roman"/>
                <w:bCs/>
                <w:color w:val="auto"/>
                <w:sz w:val="21"/>
                <w:szCs w:val="21"/>
                <w:highlight w:val="none"/>
              </w:rPr>
            </w:pPr>
            <w:r>
              <w:rPr>
                <w:rFonts w:hint="eastAsia" w:ascii="Times New Roman" w:hAnsi="Times New Roman" w:cs="Times New Roman"/>
                <w:bCs/>
                <w:color w:val="auto"/>
                <w:sz w:val="21"/>
                <w:szCs w:val="21"/>
                <w:highlight w:val="none"/>
                <w:lang w:val="en-US" w:eastAsia="zh-CN"/>
              </w:rPr>
              <w:t>无资料</w:t>
            </w:r>
          </w:p>
        </w:tc>
        <w:tc>
          <w:tcPr>
            <w:tcW w:w="1275" w:type="dxa"/>
            <w:vAlign w:val="center"/>
          </w:tcPr>
          <w:p w14:paraId="1C519C74">
            <w:pPr>
              <w:ind w:left="-105" w:right="-105"/>
              <w:jc w:val="center"/>
              <w:rPr>
                <w:rFonts w:hint="eastAsia" w:ascii="Times New Roman" w:hAnsi="Times New Roman" w:eastAsia="宋体" w:cs="Times New Roman"/>
                <w:color w:val="auto"/>
                <w:sz w:val="21"/>
                <w:szCs w:val="21"/>
                <w:highlight w:val="none"/>
                <w:lang w:eastAsia="zh-CN"/>
              </w:rPr>
            </w:pPr>
            <w:r>
              <w:rPr>
                <w:rFonts w:hint="eastAsia" w:ascii="Times New Roman" w:hAnsi="Times New Roman" w:cs="Times New Roman"/>
                <w:color w:val="auto"/>
                <w:sz w:val="21"/>
                <w:szCs w:val="21"/>
                <w:highlight w:val="none"/>
                <w:lang w:eastAsia="zh-CN"/>
              </w:rPr>
              <w:t>危险品仓库</w:t>
            </w:r>
          </w:p>
        </w:tc>
      </w:tr>
      <w:tr w14:paraId="203E6454">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889" w:type="dxa"/>
            <w:vAlign w:val="center"/>
          </w:tcPr>
          <w:p w14:paraId="58769043">
            <w:pPr>
              <w:pStyle w:val="97"/>
              <w:numPr>
                <w:ilvl w:val="0"/>
                <w:numId w:val="22"/>
              </w:numPr>
              <w:ind w:left="-105" w:right="-105" w:firstLine="0" w:firstLineChars="0"/>
              <w:jc w:val="center"/>
              <w:rPr>
                <w:rFonts w:eastAsia="宋体"/>
                <w:bCs/>
                <w:color w:val="auto"/>
                <w:sz w:val="21"/>
                <w:szCs w:val="21"/>
                <w:highlight w:val="none"/>
              </w:rPr>
            </w:pPr>
          </w:p>
        </w:tc>
        <w:tc>
          <w:tcPr>
            <w:tcW w:w="1093" w:type="dxa"/>
            <w:vMerge w:val="continue"/>
            <w:vAlign w:val="center"/>
          </w:tcPr>
          <w:p w14:paraId="0D40AA80">
            <w:pPr>
              <w:pStyle w:val="97"/>
              <w:ind w:left="-105" w:right="-105" w:firstLine="0" w:firstLineChars="0"/>
              <w:jc w:val="center"/>
              <w:rPr>
                <w:rFonts w:eastAsia="宋体"/>
                <w:bCs/>
                <w:color w:val="auto"/>
                <w:sz w:val="21"/>
                <w:szCs w:val="21"/>
                <w:highlight w:val="none"/>
              </w:rPr>
            </w:pPr>
          </w:p>
        </w:tc>
        <w:tc>
          <w:tcPr>
            <w:tcW w:w="1467" w:type="dxa"/>
            <w:vAlign w:val="center"/>
          </w:tcPr>
          <w:p w14:paraId="5027A565">
            <w:pPr>
              <w:pStyle w:val="236"/>
              <w:keepNext w:val="0"/>
              <w:keepLines w:val="0"/>
              <w:pageBreakBefore w:val="0"/>
              <w:widowControl/>
              <w:kinsoku/>
              <w:wordWrap/>
              <w:overflowPunct/>
              <w:topLinePunct w:val="0"/>
              <w:autoSpaceDE/>
              <w:autoSpaceDN/>
              <w:bidi w:val="0"/>
              <w:ind w:left="0" w:leftChars="0" w:right="0" w:rightChars="0"/>
              <w:jc w:val="center"/>
              <w:rPr>
                <w:rFonts w:ascii="Times New Roman" w:hAnsi="Times New Roman" w:cs="Times New Roman"/>
                <w:color w:val="auto"/>
                <w:sz w:val="21"/>
                <w:szCs w:val="21"/>
                <w:highlight w:val="none"/>
                <w:lang w:bidi="ar"/>
              </w:rPr>
            </w:pPr>
            <w:r>
              <w:rPr>
                <w:rFonts w:ascii="Times New Roman" w:hAnsi="Times New Roman" w:eastAsia="宋体" w:cs="Times New Roman"/>
                <w:color w:val="auto"/>
                <w:spacing w:val="5"/>
                <w:sz w:val="21"/>
                <w:szCs w:val="21"/>
                <w:highlight w:val="none"/>
              </w:rPr>
              <w:t>丙烯酸</w:t>
            </w:r>
          </w:p>
        </w:tc>
        <w:tc>
          <w:tcPr>
            <w:tcW w:w="912" w:type="dxa"/>
            <w:vAlign w:val="center"/>
          </w:tcPr>
          <w:p w14:paraId="2BA2B26C">
            <w:pPr>
              <w:wordWrap w:val="0"/>
              <w:adjustRightInd w:val="0"/>
              <w:snapToGrid w:val="0"/>
              <w:ind w:left="-105" w:right="-105"/>
              <w:jc w:val="center"/>
              <w:textAlignment w:val="center"/>
              <w:rPr>
                <w:rFonts w:hint="default" w:ascii="Times New Roman" w:hAnsi="Times New Roman" w:eastAsia="宋体" w:cs="Times New Roman"/>
                <w:bCs/>
                <w:color w:val="auto"/>
                <w:sz w:val="21"/>
                <w:szCs w:val="21"/>
                <w:highlight w:val="none"/>
                <w:lang w:val="en-US" w:eastAsia="zh-CN"/>
              </w:rPr>
            </w:pPr>
            <w:r>
              <w:rPr>
                <w:rFonts w:hint="eastAsia" w:ascii="Times New Roman" w:hAnsi="Times New Roman" w:cs="Times New Roman"/>
                <w:bCs/>
                <w:color w:val="auto"/>
                <w:sz w:val="21"/>
                <w:szCs w:val="21"/>
                <w:highlight w:val="none"/>
                <w:lang w:val="en-US" w:eastAsia="zh-CN"/>
              </w:rPr>
              <w:t>易燃</w:t>
            </w:r>
          </w:p>
        </w:tc>
        <w:tc>
          <w:tcPr>
            <w:tcW w:w="3084" w:type="dxa"/>
            <w:vAlign w:val="center"/>
          </w:tcPr>
          <w:p w14:paraId="63721D3A">
            <w:pPr>
              <w:wordWrap w:val="0"/>
              <w:adjustRightInd w:val="0"/>
              <w:snapToGrid w:val="0"/>
              <w:ind w:left="-105" w:right="-105"/>
              <w:jc w:val="center"/>
              <w:textAlignment w:val="center"/>
              <w:rPr>
                <w:rFonts w:hint="eastAsia" w:ascii="Times New Roman" w:hAnsi="Times New Roman" w:cs="Times New Roman"/>
                <w:bCs/>
                <w:color w:val="auto"/>
                <w:sz w:val="21"/>
                <w:szCs w:val="21"/>
                <w:highlight w:val="none"/>
                <w:lang w:val="en-US" w:eastAsia="zh-CN"/>
              </w:rPr>
            </w:pPr>
            <w:r>
              <w:rPr>
                <w:rFonts w:hint="eastAsia" w:ascii="Times New Roman" w:hAnsi="Times New Roman" w:cs="Times New Roman"/>
                <w:bCs/>
                <w:color w:val="auto"/>
                <w:sz w:val="21"/>
                <w:szCs w:val="21"/>
                <w:highlight w:val="none"/>
                <w:lang w:val="en-US" w:eastAsia="zh-CN"/>
              </w:rPr>
              <w:t>LD</w:t>
            </w:r>
            <w:r>
              <w:rPr>
                <w:rFonts w:hint="eastAsia" w:ascii="Times New Roman" w:hAnsi="Times New Roman" w:cs="Times New Roman"/>
                <w:bCs/>
                <w:color w:val="auto"/>
                <w:sz w:val="21"/>
                <w:szCs w:val="21"/>
                <w:highlight w:val="none"/>
                <w:vertAlign w:val="subscript"/>
                <w:lang w:val="en-US" w:eastAsia="zh-CN"/>
              </w:rPr>
              <w:t>50</w:t>
            </w:r>
            <w:r>
              <w:rPr>
                <w:rFonts w:hint="eastAsia" w:ascii="Times New Roman" w:hAnsi="Times New Roman" w:cs="Times New Roman"/>
                <w:bCs/>
                <w:color w:val="auto"/>
                <w:sz w:val="21"/>
                <w:szCs w:val="21"/>
                <w:highlight w:val="none"/>
                <w:lang w:val="en-US" w:eastAsia="zh-CN"/>
              </w:rPr>
              <w:t>：2520mg/kg（大鼠经口）</w:t>
            </w:r>
          </w:p>
          <w:p w14:paraId="540911D7">
            <w:pPr>
              <w:wordWrap w:val="0"/>
              <w:adjustRightInd w:val="0"/>
              <w:snapToGrid w:val="0"/>
              <w:ind w:left="-105" w:leftChars="0" w:right="-105" w:rightChars="0"/>
              <w:jc w:val="center"/>
              <w:textAlignment w:val="center"/>
              <w:rPr>
                <w:rFonts w:hint="eastAsia" w:ascii="Times New Roman" w:hAnsi="Times New Roman" w:cs="Times New Roman"/>
                <w:bCs/>
                <w:color w:val="auto"/>
                <w:sz w:val="21"/>
                <w:szCs w:val="21"/>
                <w:highlight w:val="none"/>
                <w:lang w:val="en-US" w:eastAsia="zh-CN"/>
              </w:rPr>
            </w:pPr>
            <w:r>
              <w:rPr>
                <w:rFonts w:hint="eastAsia" w:ascii="Times New Roman" w:hAnsi="Times New Roman" w:cs="Times New Roman"/>
                <w:bCs/>
                <w:color w:val="auto"/>
                <w:sz w:val="21"/>
                <w:szCs w:val="21"/>
                <w:highlight w:val="none"/>
                <w:lang w:val="en-US" w:eastAsia="zh-CN"/>
              </w:rPr>
              <w:t>LD</w:t>
            </w:r>
            <w:r>
              <w:rPr>
                <w:rFonts w:hint="eastAsia" w:ascii="Times New Roman" w:hAnsi="Times New Roman" w:cs="Times New Roman"/>
                <w:bCs/>
                <w:color w:val="auto"/>
                <w:sz w:val="21"/>
                <w:szCs w:val="21"/>
                <w:highlight w:val="none"/>
                <w:vertAlign w:val="subscript"/>
                <w:lang w:val="en-US" w:eastAsia="zh-CN"/>
              </w:rPr>
              <w:t>50</w:t>
            </w:r>
            <w:r>
              <w:rPr>
                <w:rFonts w:hint="eastAsia" w:ascii="Times New Roman" w:hAnsi="Times New Roman" w:cs="Times New Roman"/>
                <w:bCs/>
                <w:color w:val="auto"/>
                <w:sz w:val="21"/>
                <w:szCs w:val="21"/>
                <w:highlight w:val="none"/>
                <w:lang w:val="en-US" w:eastAsia="zh-CN"/>
              </w:rPr>
              <w:t>：950mg/kg（兔经皮）</w:t>
            </w:r>
          </w:p>
          <w:p w14:paraId="5C01C36C">
            <w:pPr>
              <w:wordWrap w:val="0"/>
              <w:adjustRightInd w:val="0"/>
              <w:snapToGrid w:val="0"/>
              <w:ind w:left="-105" w:leftChars="0" w:right="-105" w:rightChars="0"/>
              <w:jc w:val="center"/>
              <w:textAlignment w:val="center"/>
              <w:rPr>
                <w:rFonts w:hint="eastAsia" w:ascii="Times New Roman" w:hAnsi="Times New Roman" w:eastAsia="宋体" w:cs="Times New Roman"/>
                <w:bCs/>
                <w:color w:val="auto"/>
                <w:sz w:val="21"/>
                <w:szCs w:val="21"/>
                <w:highlight w:val="none"/>
                <w:vertAlign w:val="baseline"/>
                <w:lang w:val="en-US" w:eastAsia="zh-CN" w:bidi="ar-SA"/>
              </w:rPr>
            </w:pPr>
            <w:r>
              <w:rPr>
                <w:rFonts w:hint="eastAsia" w:ascii="Times New Roman" w:hAnsi="Times New Roman" w:cs="Times New Roman"/>
                <w:bCs/>
                <w:color w:val="auto"/>
                <w:sz w:val="21"/>
                <w:szCs w:val="21"/>
                <w:highlight w:val="none"/>
                <w:lang w:val="en-US" w:eastAsia="zh-CN"/>
              </w:rPr>
              <w:t>LC</w:t>
            </w:r>
            <w:r>
              <w:rPr>
                <w:rFonts w:hint="eastAsia" w:ascii="Times New Roman" w:hAnsi="Times New Roman" w:cs="Times New Roman"/>
                <w:bCs/>
                <w:color w:val="auto"/>
                <w:sz w:val="21"/>
                <w:szCs w:val="21"/>
                <w:highlight w:val="none"/>
                <w:vertAlign w:val="subscript"/>
                <w:lang w:val="en-US" w:eastAsia="zh-CN"/>
              </w:rPr>
              <w:t>50</w:t>
            </w:r>
            <w:r>
              <w:rPr>
                <w:rFonts w:hint="eastAsia" w:ascii="Times New Roman" w:hAnsi="Times New Roman" w:cs="Times New Roman"/>
                <w:bCs/>
                <w:color w:val="auto"/>
                <w:sz w:val="21"/>
                <w:szCs w:val="21"/>
                <w:highlight w:val="none"/>
                <w:vertAlign w:val="baseline"/>
                <w:lang w:val="en-US" w:eastAsia="zh-CN"/>
              </w:rPr>
              <w:t>：5300mg/m</w:t>
            </w:r>
            <w:r>
              <w:rPr>
                <w:rFonts w:hint="eastAsia" w:ascii="Times New Roman" w:hAnsi="Times New Roman" w:cs="Times New Roman"/>
                <w:bCs/>
                <w:color w:val="auto"/>
                <w:sz w:val="21"/>
                <w:szCs w:val="21"/>
                <w:highlight w:val="none"/>
                <w:vertAlign w:val="superscript"/>
                <w:lang w:val="en-US" w:eastAsia="zh-CN"/>
              </w:rPr>
              <w:t>3</w:t>
            </w:r>
            <w:r>
              <w:rPr>
                <w:rFonts w:hint="eastAsia" w:ascii="Times New Roman" w:hAnsi="Times New Roman" w:cs="Times New Roman"/>
                <w:bCs/>
                <w:color w:val="auto"/>
                <w:sz w:val="21"/>
                <w:szCs w:val="21"/>
                <w:highlight w:val="none"/>
                <w:vertAlign w:val="baseline"/>
                <w:lang w:val="en-US" w:eastAsia="zh-CN"/>
              </w:rPr>
              <w:t>（小鼠吸入）</w:t>
            </w:r>
          </w:p>
        </w:tc>
        <w:tc>
          <w:tcPr>
            <w:tcW w:w="1275" w:type="dxa"/>
            <w:vAlign w:val="center"/>
          </w:tcPr>
          <w:p w14:paraId="15C317DA">
            <w:pPr>
              <w:ind w:left="-105" w:right="-105"/>
              <w:jc w:val="center"/>
              <w:rPr>
                <w:rFonts w:hint="eastAsia" w:ascii="Times New Roman" w:hAnsi="Times New Roman" w:eastAsia="宋体" w:cs="Times New Roman"/>
                <w:color w:val="auto"/>
                <w:sz w:val="21"/>
                <w:szCs w:val="21"/>
                <w:highlight w:val="none"/>
                <w:lang w:eastAsia="zh-CN"/>
              </w:rPr>
            </w:pPr>
            <w:r>
              <w:rPr>
                <w:rFonts w:hint="eastAsia" w:ascii="Times New Roman" w:hAnsi="Times New Roman" w:cs="Times New Roman"/>
                <w:color w:val="auto"/>
                <w:sz w:val="21"/>
                <w:szCs w:val="21"/>
                <w:highlight w:val="none"/>
                <w:lang w:eastAsia="zh-CN"/>
              </w:rPr>
              <w:t>危险品仓库</w:t>
            </w:r>
          </w:p>
        </w:tc>
      </w:tr>
      <w:tr w14:paraId="595A0114">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889" w:type="dxa"/>
            <w:vAlign w:val="center"/>
          </w:tcPr>
          <w:p w14:paraId="6B94D18E">
            <w:pPr>
              <w:pStyle w:val="97"/>
              <w:numPr>
                <w:ilvl w:val="0"/>
                <w:numId w:val="22"/>
              </w:numPr>
              <w:ind w:left="-105" w:right="-105" w:firstLine="0" w:firstLineChars="0"/>
              <w:jc w:val="center"/>
              <w:rPr>
                <w:rFonts w:eastAsia="宋体"/>
                <w:bCs/>
                <w:color w:val="auto"/>
                <w:sz w:val="21"/>
                <w:szCs w:val="21"/>
                <w:highlight w:val="none"/>
              </w:rPr>
            </w:pPr>
          </w:p>
        </w:tc>
        <w:tc>
          <w:tcPr>
            <w:tcW w:w="1093" w:type="dxa"/>
            <w:vMerge w:val="continue"/>
            <w:vAlign w:val="center"/>
          </w:tcPr>
          <w:p w14:paraId="4A50250E">
            <w:pPr>
              <w:pStyle w:val="97"/>
              <w:ind w:left="-105" w:right="-105" w:firstLine="0" w:firstLineChars="0"/>
              <w:jc w:val="center"/>
              <w:rPr>
                <w:rFonts w:eastAsia="宋体"/>
                <w:bCs/>
                <w:color w:val="auto"/>
                <w:sz w:val="21"/>
                <w:szCs w:val="21"/>
                <w:highlight w:val="none"/>
              </w:rPr>
            </w:pPr>
          </w:p>
        </w:tc>
        <w:tc>
          <w:tcPr>
            <w:tcW w:w="1467" w:type="dxa"/>
            <w:vAlign w:val="center"/>
          </w:tcPr>
          <w:p w14:paraId="337AB232">
            <w:pPr>
              <w:pStyle w:val="236"/>
              <w:keepNext w:val="0"/>
              <w:keepLines w:val="0"/>
              <w:pageBreakBefore w:val="0"/>
              <w:widowControl/>
              <w:kinsoku/>
              <w:wordWrap/>
              <w:overflowPunct/>
              <w:topLinePunct w:val="0"/>
              <w:autoSpaceDE/>
              <w:autoSpaceDN/>
              <w:bidi w:val="0"/>
              <w:ind w:left="0" w:leftChars="0" w:right="0" w:rightChars="0"/>
              <w:jc w:val="center"/>
              <w:rPr>
                <w:rFonts w:ascii="Times New Roman" w:hAnsi="Times New Roman" w:cs="Times New Roman"/>
                <w:color w:val="auto"/>
                <w:sz w:val="21"/>
                <w:szCs w:val="21"/>
                <w:highlight w:val="none"/>
                <w:lang w:bidi="ar"/>
              </w:rPr>
            </w:pPr>
            <w:r>
              <w:rPr>
                <w:rFonts w:ascii="Times New Roman" w:hAnsi="Times New Roman" w:eastAsia="宋体" w:cs="Times New Roman"/>
                <w:color w:val="auto"/>
                <w:sz w:val="21"/>
                <w:szCs w:val="21"/>
                <w:highlight w:val="none"/>
                <w:lang w:eastAsia="zh-CN"/>
              </w:rPr>
              <w:t>2-乙二醇单乙醚醋酸酯（溶剂）</w:t>
            </w:r>
          </w:p>
        </w:tc>
        <w:tc>
          <w:tcPr>
            <w:tcW w:w="912" w:type="dxa"/>
            <w:vAlign w:val="center"/>
          </w:tcPr>
          <w:p w14:paraId="1D816B8D">
            <w:pPr>
              <w:wordWrap w:val="0"/>
              <w:adjustRightInd w:val="0"/>
              <w:snapToGrid w:val="0"/>
              <w:ind w:left="-105" w:right="-105"/>
              <w:jc w:val="center"/>
              <w:textAlignment w:val="center"/>
              <w:rPr>
                <w:rFonts w:hint="eastAsia" w:ascii="Times New Roman" w:hAnsi="Times New Roman" w:eastAsia="宋体" w:cs="Times New Roman"/>
                <w:bCs/>
                <w:color w:val="auto"/>
                <w:sz w:val="21"/>
                <w:szCs w:val="21"/>
                <w:highlight w:val="none"/>
                <w:lang w:val="en-US" w:eastAsia="zh-CN"/>
              </w:rPr>
            </w:pPr>
            <w:r>
              <w:rPr>
                <w:rFonts w:hint="eastAsia" w:ascii="Times New Roman" w:hAnsi="Times New Roman" w:cs="Times New Roman"/>
                <w:bCs/>
                <w:color w:val="auto"/>
                <w:sz w:val="21"/>
                <w:szCs w:val="21"/>
                <w:highlight w:val="none"/>
                <w:lang w:val="en-US" w:eastAsia="zh-CN"/>
              </w:rPr>
              <w:t>易燃</w:t>
            </w:r>
          </w:p>
        </w:tc>
        <w:tc>
          <w:tcPr>
            <w:tcW w:w="3084" w:type="dxa"/>
            <w:vAlign w:val="center"/>
          </w:tcPr>
          <w:p w14:paraId="14330E9D">
            <w:pPr>
              <w:wordWrap w:val="0"/>
              <w:adjustRightInd w:val="0"/>
              <w:snapToGrid w:val="0"/>
              <w:ind w:left="-105" w:right="-105"/>
              <w:jc w:val="center"/>
              <w:textAlignment w:val="center"/>
              <w:rPr>
                <w:rFonts w:hint="default" w:ascii="Times New Roman" w:hAnsi="Times New Roman" w:eastAsia="宋体" w:cs="Times New Roman"/>
                <w:bCs/>
                <w:color w:val="auto"/>
                <w:sz w:val="21"/>
                <w:szCs w:val="21"/>
                <w:highlight w:val="none"/>
                <w:lang w:val="en-US" w:eastAsia="zh-CN"/>
              </w:rPr>
            </w:pPr>
            <w:r>
              <w:rPr>
                <w:rFonts w:hint="eastAsia" w:ascii="Times New Roman" w:hAnsi="Times New Roman" w:cs="Times New Roman"/>
                <w:bCs/>
                <w:color w:val="auto"/>
                <w:sz w:val="21"/>
                <w:szCs w:val="21"/>
                <w:highlight w:val="none"/>
                <w:lang w:val="en-US" w:eastAsia="zh-CN"/>
              </w:rPr>
              <w:t>LD</w:t>
            </w:r>
            <w:r>
              <w:rPr>
                <w:rFonts w:hint="eastAsia" w:ascii="Times New Roman" w:hAnsi="Times New Roman" w:cs="Times New Roman"/>
                <w:bCs/>
                <w:color w:val="auto"/>
                <w:sz w:val="21"/>
                <w:szCs w:val="21"/>
                <w:highlight w:val="none"/>
                <w:vertAlign w:val="subscript"/>
                <w:lang w:val="en-US" w:eastAsia="zh-CN"/>
              </w:rPr>
              <w:t>50</w:t>
            </w:r>
            <w:r>
              <w:rPr>
                <w:rFonts w:hint="eastAsia" w:ascii="Times New Roman" w:hAnsi="Times New Roman" w:cs="Times New Roman"/>
                <w:bCs/>
                <w:color w:val="auto"/>
                <w:sz w:val="21"/>
                <w:szCs w:val="21"/>
                <w:highlight w:val="none"/>
                <w:lang w:val="en-US" w:eastAsia="zh-CN"/>
              </w:rPr>
              <w:t>:11000mg/kg（大鼠经口）</w:t>
            </w:r>
          </w:p>
        </w:tc>
        <w:tc>
          <w:tcPr>
            <w:tcW w:w="1275" w:type="dxa"/>
            <w:vAlign w:val="center"/>
          </w:tcPr>
          <w:p w14:paraId="0A5F4201">
            <w:pPr>
              <w:ind w:left="-105" w:right="-105"/>
              <w:jc w:val="center"/>
              <w:rPr>
                <w:rFonts w:hint="eastAsia" w:ascii="Times New Roman" w:hAnsi="Times New Roman" w:eastAsia="宋体" w:cs="Times New Roman"/>
                <w:color w:val="auto"/>
                <w:sz w:val="21"/>
                <w:szCs w:val="21"/>
                <w:highlight w:val="none"/>
                <w:lang w:eastAsia="zh-CN"/>
              </w:rPr>
            </w:pPr>
            <w:r>
              <w:rPr>
                <w:rFonts w:hint="eastAsia" w:ascii="Times New Roman" w:hAnsi="Times New Roman" w:cs="Times New Roman"/>
                <w:color w:val="auto"/>
                <w:sz w:val="21"/>
                <w:szCs w:val="21"/>
                <w:highlight w:val="none"/>
                <w:lang w:eastAsia="zh-CN"/>
              </w:rPr>
              <w:t>危险品仓库</w:t>
            </w:r>
          </w:p>
        </w:tc>
      </w:tr>
      <w:tr w14:paraId="79D9F6E6">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889" w:type="dxa"/>
            <w:vAlign w:val="center"/>
          </w:tcPr>
          <w:p w14:paraId="7E4E7440">
            <w:pPr>
              <w:pStyle w:val="97"/>
              <w:numPr>
                <w:ilvl w:val="0"/>
                <w:numId w:val="22"/>
              </w:numPr>
              <w:ind w:left="-105" w:right="-105" w:firstLine="0" w:firstLineChars="0"/>
              <w:jc w:val="center"/>
              <w:rPr>
                <w:rFonts w:eastAsia="宋体"/>
                <w:bCs/>
                <w:color w:val="auto"/>
                <w:sz w:val="21"/>
                <w:szCs w:val="21"/>
                <w:highlight w:val="none"/>
              </w:rPr>
            </w:pPr>
          </w:p>
        </w:tc>
        <w:tc>
          <w:tcPr>
            <w:tcW w:w="1093" w:type="dxa"/>
            <w:vMerge w:val="continue"/>
            <w:vAlign w:val="center"/>
          </w:tcPr>
          <w:p w14:paraId="0C5CE405">
            <w:pPr>
              <w:pStyle w:val="97"/>
              <w:ind w:left="-105" w:right="-105" w:firstLine="0" w:firstLineChars="0"/>
              <w:jc w:val="center"/>
              <w:rPr>
                <w:rFonts w:eastAsia="宋体"/>
                <w:bCs/>
                <w:color w:val="auto"/>
                <w:sz w:val="21"/>
                <w:szCs w:val="21"/>
                <w:highlight w:val="none"/>
              </w:rPr>
            </w:pPr>
          </w:p>
        </w:tc>
        <w:tc>
          <w:tcPr>
            <w:tcW w:w="1467" w:type="dxa"/>
            <w:vAlign w:val="center"/>
          </w:tcPr>
          <w:p w14:paraId="1EFF9F2F">
            <w:pPr>
              <w:pStyle w:val="236"/>
              <w:keepNext w:val="0"/>
              <w:keepLines w:val="0"/>
              <w:pageBreakBefore w:val="0"/>
              <w:widowControl/>
              <w:kinsoku/>
              <w:wordWrap/>
              <w:overflowPunct/>
              <w:topLinePunct w:val="0"/>
              <w:autoSpaceDE/>
              <w:autoSpaceDN/>
              <w:bidi w:val="0"/>
              <w:ind w:left="0" w:leftChars="0" w:right="0" w:rightChars="0"/>
              <w:jc w:val="center"/>
              <w:rPr>
                <w:rFonts w:ascii="Times New Roman" w:hAnsi="Times New Roman" w:cs="Times New Roman"/>
                <w:color w:val="auto"/>
                <w:sz w:val="21"/>
                <w:szCs w:val="21"/>
                <w:highlight w:val="none"/>
                <w:lang w:bidi="ar"/>
              </w:rPr>
            </w:pPr>
            <w:r>
              <w:rPr>
                <w:rFonts w:ascii="Times New Roman" w:hAnsi="Times New Roman" w:eastAsia="宋体" w:cs="Times New Roman"/>
                <w:color w:val="auto"/>
                <w:spacing w:val="7"/>
                <w:sz w:val="21"/>
                <w:szCs w:val="21"/>
                <w:highlight w:val="none"/>
              </w:rPr>
              <w:t>重溶剂油（溶剂）</w:t>
            </w:r>
          </w:p>
        </w:tc>
        <w:tc>
          <w:tcPr>
            <w:tcW w:w="912" w:type="dxa"/>
            <w:vAlign w:val="center"/>
          </w:tcPr>
          <w:p w14:paraId="48762B23">
            <w:pPr>
              <w:wordWrap w:val="0"/>
              <w:adjustRightInd w:val="0"/>
              <w:snapToGrid w:val="0"/>
              <w:ind w:left="-105" w:right="-105"/>
              <w:jc w:val="center"/>
              <w:textAlignment w:val="center"/>
              <w:rPr>
                <w:rFonts w:hint="eastAsia" w:ascii="Times New Roman" w:hAnsi="Times New Roman" w:eastAsia="宋体" w:cs="Times New Roman"/>
                <w:bCs/>
                <w:color w:val="auto"/>
                <w:sz w:val="21"/>
                <w:szCs w:val="21"/>
                <w:highlight w:val="none"/>
                <w:lang w:val="en-US" w:eastAsia="zh-CN"/>
              </w:rPr>
            </w:pPr>
            <w:r>
              <w:rPr>
                <w:rFonts w:hint="eastAsia" w:ascii="Times New Roman" w:hAnsi="Times New Roman" w:cs="Times New Roman"/>
                <w:bCs/>
                <w:color w:val="auto"/>
                <w:sz w:val="21"/>
                <w:szCs w:val="21"/>
                <w:highlight w:val="none"/>
                <w:lang w:val="en-US" w:eastAsia="zh-CN"/>
              </w:rPr>
              <w:t>易燃</w:t>
            </w:r>
          </w:p>
        </w:tc>
        <w:tc>
          <w:tcPr>
            <w:tcW w:w="3084" w:type="dxa"/>
            <w:vAlign w:val="center"/>
          </w:tcPr>
          <w:p w14:paraId="6ED6F666">
            <w:pPr>
              <w:wordWrap w:val="0"/>
              <w:adjustRightInd w:val="0"/>
              <w:snapToGrid w:val="0"/>
              <w:ind w:left="-105" w:right="-105"/>
              <w:jc w:val="center"/>
              <w:textAlignment w:val="center"/>
              <w:rPr>
                <w:rFonts w:hint="default" w:ascii="Times New Roman" w:hAnsi="Times New Roman" w:eastAsia="宋体" w:cs="Times New Roman"/>
                <w:bCs/>
                <w:color w:val="auto"/>
                <w:sz w:val="21"/>
                <w:szCs w:val="21"/>
                <w:highlight w:val="none"/>
                <w:lang w:val="en-US" w:eastAsia="zh-CN"/>
              </w:rPr>
            </w:pPr>
            <w:r>
              <w:rPr>
                <w:rFonts w:hint="eastAsia" w:ascii="Times New Roman" w:hAnsi="Times New Roman" w:cs="Times New Roman"/>
                <w:bCs/>
                <w:color w:val="auto"/>
                <w:sz w:val="21"/>
                <w:szCs w:val="21"/>
                <w:highlight w:val="none"/>
                <w:lang w:val="en-US" w:eastAsia="zh-CN"/>
              </w:rPr>
              <w:t>LD</w:t>
            </w:r>
            <w:r>
              <w:rPr>
                <w:rFonts w:hint="eastAsia" w:ascii="Times New Roman" w:hAnsi="Times New Roman" w:cs="Times New Roman"/>
                <w:bCs/>
                <w:color w:val="auto"/>
                <w:sz w:val="21"/>
                <w:szCs w:val="21"/>
                <w:highlight w:val="none"/>
                <w:vertAlign w:val="subscript"/>
                <w:lang w:val="en-US" w:eastAsia="zh-CN"/>
              </w:rPr>
              <w:t>50</w:t>
            </w:r>
            <w:r>
              <w:rPr>
                <w:rFonts w:hint="eastAsia" w:ascii="Times New Roman" w:hAnsi="Times New Roman" w:cs="Times New Roman"/>
                <w:bCs/>
                <w:color w:val="auto"/>
                <w:sz w:val="21"/>
                <w:szCs w:val="21"/>
                <w:highlight w:val="none"/>
                <w:lang w:val="en-US" w:eastAsia="zh-CN"/>
              </w:rPr>
              <w:t>:500~5000mg/kg（哺乳动物吸入）</w:t>
            </w:r>
          </w:p>
        </w:tc>
        <w:tc>
          <w:tcPr>
            <w:tcW w:w="1275" w:type="dxa"/>
            <w:vAlign w:val="center"/>
          </w:tcPr>
          <w:p w14:paraId="7F747C2A">
            <w:pPr>
              <w:ind w:left="-105" w:right="-105"/>
              <w:jc w:val="center"/>
              <w:rPr>
                <w:rFonts w:hint="eastAsia" w:ascii="Times New Roman" w:hAnsi="Times New Roman" w:eastAsia="宋体" w:cs="Times New Roman"/>
                <w:color w:val="auto"/>
                <w:sz w:val="21"/>
                <w:szCs w:val="21"/>
                <w:highlight w:val="none"/>
                <w:lang w:eastAsia="zh-CN"/>
              </w:rPr>
            </w:pPr>
            <w:r>
              <w:rPr>
                <w:rFonts w:hint="eastAsia" w:ascii="Times New Roman" w:hAnsi="Times New Roman" w:cs="Times New Roman"/>
                <w:color w:val="auto"/>
                <w:sz w:val="21"/>
                <w:szCs w:val="21"/>
                <w:highlight w:val="none"/>
                <w:lang w:eastAsia="zh-CN"/>
              </w:rPr>
              <w:t>危险品仓库</w:t>
            </w:r>
          </w:p>
        </w:tc>
      </w:tr>
      <w:tr w14:paraId="5C0993F6">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889" w:type="dxa"/>
            <w:vAlign w:val="center"/>
          </w:tcPr>
          <w:p w14:paraId="6D422276">
            <w:pPr>
              <w:pStyle w:val="97"/>
              <w:numPr>
                <w:ilvl w:val="0"/>
                <w:numId w:val="22"/>
              </w:numPr>
              <w:ind w:left="-105" w:right="-105" w:firstLine="0" w:firstLineChars="0"/>
              <w:jc w:val="center"/>
              <w:rPr>
                <w:rFonts w:eastAsia="宋体"/>
                <w:bCs/>
                <w:color w:val="auto"/>
                <w:sz w:val="21"/>
                <w:szCs w:val="21"/>
                <w:highlight w:val="none"/>
              </w:rPr>
            </w:pPr>
          </w:p>
        </w:tc>
        <w:tc>
          <w:tcPr>
            <w:tcW w:w="1093" w:type="dxa"/>
            <w:vMerge w:val="continue"/>
            <w:vAlign w:val="center"/>
          </w:tcPr>
          <w:p w14:paraId="030540D6">
            <w:pPr>
              <w:pStyle w:val="97"/>
              <w:ind w:left="-105" w:right="-105" w:firstLine="0" w:firstLineChars="0"/>
              <w:jc w:val="center"/>
              <w:rPr>
                <w:rFonts w:eastAsia="宋体"/>
                <w:bCs/>
                <w:color w:val="auto"/>
                <w:sz w:val="21"/>
                <w:szCs w:val="21"/>
                <w:highlight w:val="none"/>
              </w:rPr>
            </w:pPr>
          </w:p>
        </w:tc>
        <w:tc>
          <w:tcPr>
            <w:tcW w:w="1467" w:type="dxa"/>
            <w:vAlign w:val="center"/>
          </w:tcPr>
          <w:p w14:paraId="4C85CF7A">
            <w:pPr>
              <w:pStyle w:val="236"/>
              <w:keepNext w:val="0"/>
              <w:keepLines w:val="0"/>
              <w:pageBreakBefore w:val="0"/>
              <w:widowControl/>
              <w:kinsoku/>
              <w:wordWrap/>
              <w:overflowPunct/>
              <w:topLinePunct w:val="0"/>
              <w:autoSpaceDE/>
              <w:autoSpaceDN/>
              <w:bidi w:val="0"/>
              <w:ind w:left="0" w:leftChars="0" w:right="0" w:rightChars="0"/>
              <w:jc w:val="center"/>
              <w:rPr>
                <w:rFonts w:ascii="Times New Roman" w:hAnsi="Times New Roman" w:cs="Times New Roman"/>
                <w:color w:val="auto"/>
                <w:sz w:val="21"/>
                <w:szCs w:val="21"/>
                <w:highlight w:val="none"/>
                <w:lang w:bidi="ar"/>
              </w:rPr>
            </w:pPr>
            <w:r>
              <w:rPr>
                <w:rFonts w:ascii="Times New Roman" w:hAnsi="Times New Roman" w:eastAsia="宋体" w:cs="Times New Roman"/>
                <w:color w:val="auto"/>
                <w:spacing w:val="7"/>
                <w:sz w:val="21"/>
                <w:szCs w:val="21"/>
                <w:highlight w:val="none"/>
                <w:lang w:eastAsia="zh-CN"/>
              </w:rPr>
              <w:t>2-甲基对苯二酚</w:t>
            </w:r>
            <w:r>
              <w:rPr>
                <w:rFonts w:ascii="Times New Roman" w:hAnsi="Times New Roman" w:eastAsia="宋体" w:cs="Times New Roman"/>
                <w:color w:val="auto"/>
                <w:spacing w:val="4"/>
                <w:sz w:val="21"/>
                <w:szCs w:val="21"/>
                <w:highlight w:val="none"/>
                <w:lang w:eastAsia="zh-CN"/>
              </w:rPr>
              <w:t>（聚合阻止剂）</w:t>
            </w:r>
          </w:p>
        </w:tc>
        <w:tc>
          <w:tcPr>
            <w:tcW w:w="912" w:type="dxa"/>
            <w:vAlign w:val="center"/>
          </w:tcPr>
          <w:p w14:paraId="0BC49936">
            <w:pPr>
              <w:wordWrap w:val="0"/>
              <w:adjustRightInd w:val="0"/>
              <w:snapToGrid w:val="0"/>
              <w:ind w:left="-105" w:right="-105"/>
              <w:jc w:val="center"/>
              <w:textAlignment w:val="center"/>
              <w:rPr>
                <w:rFonts w:hint="eastAsia" w:ascii="Times New Roman" w:hAnsi="Times New Roman" w:eastAsia="宋体" w:cs="Times New Roman"/>
                <w:bCs/>
                <w:color w:val="auto"/>
                <w:sz w:val="21"/>
                <w:szCs w:val="21"/>
                <w:highlight w:val="none"/>
                <w:lang w:val="en-US" w:eastAsia="zh-CN"/>
              </w:rPr>
            </w:pPr>
            <w:r>
              <w:rPr>
                <w:rFonts w:hint="eastAsia" w:ascii="Times New Roman" w:hAnsi="Times New Roman" w:cs="Times New Roman"/>
                <w:bCs/>
                <w:color w:val="auto"/>
                <w:sz w:val="21"/>
                <w:szCs w:val="21"/>
                <w:highlight w:val="none"/>
                <w:lang w:val="en-US" w:eastAsia="zh-CN"/>
              </w:rPr>
              <w:t>可燃</w:t>
            </w:r>
          </w:p>
        </w:tc>
        <w:tc>
          <w:tcPr>
            <w:tcW w:w="3084" w:type="dxa"/>
            <w:vAlign w:val="center"/>
          </w:tcPr>
          <w:p w14:paraId="53329BAD">
            <w:pPr>
              <w:wordWrap w:val="0"/>
              <w:adjustRightInd w:val="0"/>
              <w:snapToGrid w:val="0"/>
              <w:ind w:left="-105" w:right="-105"/>
              <w:jc w:val="center"/>
              <w:textAlignment w:val="center"/>
              <w:rPr>
                <w:rFonts w:hint="eastAsia" w:ascii="Times New Roman" w:hAnsi="Times New Roman" w:eastAsia="宋体" w:cs="Times New Roman"/>
                <w:bCs/>
                <w:color w:val="auto"/>
                <w:sz w:val="21"/>
                <w:szCs w:val="21"/>
                <w:highlight w:val="none"/>
                <w:lang w:val="en-US" w:eastAsia="zh-CN"/>
              </w:rPr>
            </w:pPr>
            <w:r>
              <w:rPr>
                <w:rFonts w:hint="eastAsia" w:ascii="Times New Roman" w:hAnsi="Times New Roman" w:cs="Times New Roman"/>
                <w:bCs/>
                <w:color w:val="auto"/>
                <w:sz w:val="21"/>
                <w:szCs w:val="21"/>
                <w:highlight w:val="none"/>
                <w:lang w:val="en-US" w:eastAsia="zh-CN"/>
              </w:rPr>
              <w:t>无资料</w:t>
            </w:r>
          </w:p>
        </w:tc>
        <w:tc>
          <w:tcPr>
            <w:tcW w:w="1275" w:type="dxa"/>
            <w:vAlign w:val="center"/>
          </w:tcPr>
          <w:p w14:paraId="1B23DB41">
            <w:pPr>
              <w:ind w:left="-105" w:right="-105"/>
              <w:jc w:val="center"/>
              <w:rPr>
                <w:rFonts w:hint="eastAsia" w:ascii="Times New Roman" w:hAnsi="Times New Roman" w:eastAsia="宋体" w:cs="Times New Roman"/>
                <w:color w:val="auto"/>
                <w:sz w:val="21"/>
                <w:szCs w:val="21"/>
                <w:highlight w:val="none"/>
                <w:lang w:eastAsia="zh-CN"/>
              </w:rPr>
            </w:pPr>
            <w:r>
              <w:rPr>
                <w:rFonts w:hint="eastAsia" w:ascii="Times New Roman" w:hAnsi="Times New Roman" w:cs="Times New Roman"/>
                <w:color w:val="auto"/>
                <w:sz w:val="21"/>
                <w:szCs w:val="21"/>
                <w:highlight w:val="none"/>
                <w:lang w:eastAsia="zh-CN"/>
              </w:rPr>
              <w:t>危险品仓库</w:t>
            </w:r>
          </w:p>
        </w:tc>
      </w:tr>
      <w:tr w14:paraId="467A2C48">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889" w:type="dxa"/>
            <w:vAlign w:val="center"/>
          </w:tcPr>
          <w:p w14:paraId="57D4D44B">
            <w:pPr>
              <w:pStyle w:val="97"/>
              <w:numPr>
                <w:ilvl w:val="0"/>
                <w:numId w:val="22"/>
              </w:numPr>
              <w:ind w:left="-105" w:right="-105" w:firstLine="0" w:firstLineChars="0"/>
              <w:jc w:val="center"/>
              <w:rPr>
                <w:rFonts w:eastAsia="宋体"/>
                <w:bCs/>
                <w:color w:val="auto"/>
                <w:sz w:val="21"/>
                <w:szCs w:val="21"/>
                <w:highlight w:val="none"/>
              </w:rPr>
            </w:pPr>
          </w:p>
        </w:tc>
        <w:tc>
          <w:tcPr>
            <w:tcW w:w="1093" w:type="dxa"/>
            <w:vMerge w:val="continue"/>
            <w:vAlign w:val="center"/>
          </w:tcPr>
          <w:p w14:paraId="642CD7B8">
            <w:pPr>
              <w:pStyle w:val="97"/>
              <w:ind w:left="-105" w:right="-105" w:firstLine="0" w:firstLineChars="0"/>
              <w:jc w:val="center"/>
              <w:rPr>
                <w:rFonts w:eastAsia="宋体"/>
                <w:bCs/>
                <w:color w:val="auto"/>
                <w:sz w:val="21"/>
                <w:szCs w:val="21"/>
                <w:highlight w:val="none"/>
              </w:rPr>
            </w:pPr>
          </w:p>
        </w:tc>
        <w:tc>
          <w:tcPr>
            <w:tcW w:w="1467" w:type="dxa"/>
            <w:vAlign w:val="center"/>
          </w:tcPr>
          <w:p w14:paraId="225EC18D">
            <w:pPr>
              <w:pStyle w:val="236"/>
              <w:keepNext w:val="0"/>
              <w:keepLines w:val="0"/>
              <w:pageBreakBefore w:val="0"/>
              <w:widowControl/>
              <w:kinsoku/>
              <w:wordWrap/>
              <w:overflowPunct/>
              <w:topLinePunct w:val="0"/>
              <w:autoSpaceDE/>
              <w:autoSpaceDN/>
              <w:bidi w:val="0"/>
              <w:ind w:left="0" w:leftChars="0" w:right="0" w:rightChars="0"/>
              <w:jc w:val="center"/>
              <w:rPr>
                <w:rFonts w:ascii="Times New Roman" w:hAnsi="Times New Roman" w:cs="Times New Roman"/>
                <w:color w:val="auto"/>
                <w:sz w:val="21"/>
                <w:szCs w:val="21"/>
                <w:highlight w:val="none"/>
                <w:lang w:bidi="ar"/>
              </w:rPr>
            </w:pPr>
            <w:r>
              <w:rPr>
                <w:rFonts w:ascii="Times New Roman" w:hAnsi="Times New Roman" w:eastAsia="宋体" w:cs="Times New Roman"/>
                <w:color w:val="auto"/>
                <w:spacing w:val="8"/>
                <w:sz w:val="21"/>
                <w:szCs w:val="21"/>
                <w:highlight w:val="none"/>
              </w:rPr>
              <w:t>三苯基膦（催化</w:t>
            </w:r>
            <w:r>
              <w:rPr>
                <w:rFonts w:ascii="Times New Roman" w:hAnsi="Times New Roman" w:eastAsia="宋体" w:cs="Times New Roman"/>
                <w:color w:val="auto"/>
                <w:sz w:val="21"/>
                <w:szCs w:val="21"/>
                <w:highlight w:val="none"/>
              </w:rPr>
              <w:t>剂）</w:t>
            </w:r>
          </w:p>
        </w:tc>
        <w:tc>
          <w:tcPr>
            <w:tcW w:w="912" w:type="dxa"/>
            <w:vAlign w:val="center"/>
          </w:tcPr>
          <w:p w14:paraId="7A92D391">
            <w:pPr>
              <w:wordWrap w:val="0"/>
              <w:adjustRightInd w:val="0"/>
              <w:snapToGrid w:val="0"/>
              <w:ind w:left="-105" w:right="-105"/>
              <w:jc w:val="center"/>
              <w:textAlignment w:val="center"/>
              <w:rPr>
                <w:rFonts w:hint="eastAsia" w:ascii="Times New Roman" w:hAnsi="Times New Roman" w:eastAsia="宋体" w:cs="Times New Roman"/>
                <w:bCs/>
                <w:color w:val="auto"/>
                <w:sz w:val="21"/>
                <w:szCs w:val="21"/>
                <w:highlight w:val="none"/>
                <w:lang w:val="en-US" w:eastAsia="zh-CN"/>
              </w:rPr>
            </w:pPr>
            <w:r>
              <w:rPr>
                <w:rFonts w:hint="eastAsia" w:ascii="Times New Roman" w:hAnsi="Times New Roman" w:cs="Times New Roman"/>
                <w:bCs/>
                <w:color w:val="auto"/>
                <w:sz w:val="21"/>
                <w:szCs w:val="21"/>
                <w:highlight w:val="none"/>
                <w:lang w:val="en-US" w:eastAsia="zh-CN"/>
              </w:rPr>
              <w:t>可燃</w:t>
            </w:r>
          </w:p>
        </w:tc>
        <w:tc>
          <w:tcPr>
            <w:tcW w:w="3084" w:type="dxa"/>
            <w:vAlign w:val="center"/>
          </w:tcPr>
          <w:p w14:paraId="3FAF8E66">
            <w:pPr>
              <w:wordWrap w:val="0"/>
              <w:adjustRightInd w:val="0"/>
              <w:snapToGrid w:val="0"/>
              <w:ind w:left="-105" w:right="-105"/>
              <w:jc w:val="center"/>
              <w:textAlignment w:val="center"/>
              <w:rPr>
                <w:rFonts w:hint="eastAsia" w:ascii="Times New Roman" w:hAnsi="Times New Roman" w:cs="Times New Roman"/>
                <w:bCs/>
                <w:color w:val="auto"/>
                <w:sz w:val="21"/>
                <w:szCs w:val="21"/>
                <w:highlight w:val="none"/>
                <w:lang w:val="en-US" w:eastAsia="zh-CN"/>
              </w:rPr>
            </w:pPr>
            <w:r>
              <w:rPr>
                <w:rFonts w:hint="eastAsia" w:ascii="Times New Roman" w:hAnsi="Times New Roman" w:cs="Times New Roman"/>
                <w:bCs/>
                <w:color w:val="auto"/>
                <w:sz w:val="21"/>
                <w:szCs w:val="21"/>
                <w:highlight w:val="none"/>
                <w:lang w:val="en-US" w:eastAsia="zh-CN"/>
              </w:rPr>
              <w:t>LD</w:t>
            </w:r>
            <w:r>
              <w:rPr>
                <w:rFonts w:hint="eastAsia" w:ascii="Times New Roman" w:hAnsi="Times New Roman" w:cs="Times New Roman"/>
                <w:bCs/>
                <w:color w:val="auto"/>
                <w:sz w:val="21"/>
                <w:szCs w:val="21"/>
                <w:highlight w:val="none"/>
                <w:vertAlign w:val="subscript"/>
                <w:lang w:val="en-US" w:eastAsia="zh-CN"/>
              </w:rPr>
              <w:t>50</w:t>
            </w:r>
            <w:r>
              <w:rPr>
                <w:rFonts w:hint="eastAsia" w:ascii="Times New Roman" w:hAnsi="Times New Roman" w:cs="Times New Roman"/>
                <w:bCs/>
                <w:color w:val="auto"/>
                <w:sz w:val="21"/>
                <w:szCs w:val="21"/>
                <w:highlight w:val="none"/>
                <w:lang w:val="en-US" w:eastAsia="zh-CN"/>
              </w:rPr>
              <w:t>:700mg/kg（大鼠经口）</w:t>
            </w:r>
          </w:p>
          <w:p w14:paraId="4955C016">
            <w:pPr>
              <w:wordWrap w:val="0"/>
              <w:adjustRightInd w:val="0"/>
              <w:snapToGrid w:val="0"/>
              <w:ind w:left="-105" w:right="-105"/>
              <w:jc w:val="center"/>
              <w:textAlignment w:val="center"/>
              <w:rPr>
                <w:rFonts w:hint="default" w:ascii="Times New Roman" w:hAnsi="Times New Roman" w:eastAsia="宋体" w:cs="Times New Roman"/>
                <w:bCs/>
                <w:color w:val="auto"/>
                <w:sz w:val="21"/>
                <w:szCs w:val="21"/>
                <w:highlight w:val="none"/>
                <w:vertAlign w:val="baseline"/>
                <w:lang w:val="en-US" w:eastAsia="zh-CN"/>
              </w:rPr>
            </w:pPr>
            <w:r>
              <w:rPr>
                <w:rFonts w:hint="eastAsia" w:ascii="Times New Roman" w:hAnsi="Times New Roman" w:cs="Times New Roman"/>
                <w:bCs/>
                <w:color w:val="auto"/>
                <w:sz w:val="21"/>
                <w:szCs w:val="21"/>
                <w:highlight w:val="none"/>
                <w:lang w:val="en-US" w:eastAsia="zh-CN"/>
              </w:rPr>
              <w:t>LC</w:t>
            </w:r>
            <w:r>
              <w:rPr>
                <w:rFonts w:hint="eastAsia" w:ascii="Times New Roman" w:hAnsi="Times New Roman" w:cs="Times New Roman"/>
                <w:bCs/>
                <w:color w:val="auto"/>
                <w:sz w:val="21"/>
                <w:szCs w:val="21"/>
                <w:highlight w:val="none"/>
                <w:vertAlign w:val="subscript"/>
                <w:lang w:val="en-US" w:eastAsia="zh-CN"/>
              </w:rPr>
              <w:t>50</w:t>
            </w:r>
            <w:r>
              <w:rPr>
                <w:rFonts w:hint="eastAsia" w:ascii="Times New Roman" w:hAnsi="Times New Roman" w:cs="Times New Roman"/>
                <w:bCs/>
                <w:color w:val="auto"/>
                <w:sz w:val="21"/>
                <w:szCs w:val="21"/>
                <w:highlight w:val="none"/>
                <w:vertAlign w:val="baseline"/>
                <w:lang w:val="en-US" w:eastAsia="zh-CN"/>
              </w:rPr>
              <w:t>:12167mg/m</w:t>
            </w:r>
            <w:r>
              <w:rPr>
                <w:rFonts w:hint="eastAsia" w:ascii="Times New Roman" w:hAnsi="Times New Roman" w:cs="Times New Roman"/>
                <w:bCs/>
                <w:color w:val="auto"/>
                <w:sz w:val="21"/>
                <w:szCs w:val="21"/>
                <w:highlight w:val="none"/>
                <w:vertAlign w:val="superscript"/>
                <w:lang w:val="en-US" w:eastAsia="zh-CN"/>
              </w:rPr>
              <w:t>3</w:t>
            </w:r>
            <w:r>
              <w:rPr>
                <w:rFonts w:hint="eastAsia" w:ascii="Times New Roman" w:hAnsi="Times New Roman" w:cs="Times New Roman"/>
                <w:bCs/>
                <w:color w:val="auto"/>
                <w:sz w:val="21"/>
                <w:szCs w:val="21"/>
                <w:highlight w:val="none"/>
                <w:vertAlign w:val="baseline"/>
                <w:lang w:val="en-US" w:eastAsia="zh-CN"/>
              </w:rPr>
              <w:t>,4小时（大鼠吸入）</w:t>
            </w:r>
          </w:p>
        </w:tc>
        <w:tc>
          <w:tcPr>
            <w:tcW w:w="1275" w:type="dxa"/>
            <w:vAlign w:val="center"/>
          </w:tcPr>
          <w:p w14:paraId="57B6360D">
            <w:pPr>
              <w:ind w:left="-105" w:right="-105"/>
              <w:jc w:val="center"/>
              <w:rPr>
                <w:rFonts w:hint="eastAsia" w:ascii="Times New Roman" w:hAnsi="Times New Roman" w:eastAsia="宋体" w:cs="Times New Roman"/>
                <w:color w:val="auto"/>
                <w:sz w:val="21"/>
                <w:szCs w:val="21"/>
                <w:highlight w:val="none"/>
                <w:lang w:eastAsia="zh-CN"/>
              </w:rPr>
            </w:pPr>
            <w:r>
              <w:rPr>
                <w:rFonts w:hint="eastAsia" w:ascii="Times New Roman" w:hAnsi="Times New Roman" w:cs="Times New Roman"/>
                <w:color w:val="auto"/>
                <w:sz w:val="21"/>
                <w:szCs w:val="21"/>
                <w:highlight w:val="none"/>
                <w:lang w:eastAsia="zh-CN"/>
              </w:rPr>
              <w:t>危险品仓库</w:t>
            </w:r>
          </w:p>
        </w:tc>
      </w:tr>
      <w:tr w14:paraId="07EE49F7">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889" w:type="dxa"/>
            <w:vAlign w:val="center"/>
          </w:tcPr>
          <w:p w14:paraId="0748DFB0">
            <w:pPr>
              <w:pStyle w:val="97"/>
              <w:numPr>
                <w:ilvl w:val="0"/>
                <w:numId w:val="22"/>
              </w:numPr>
              <w:ind w:left="-105" w:right="-105" w:firstLine="0" w:firstLineChars="0"/>
              <w:jc w:val="center"/>
              <w:rPr>
                <w:rFonts w:eastAsia="宋体"/>
                <w:bCs/>
                <w:color w:val="auto"/>
                <w:sz w:val="21"/>
                <w:szCs w:val="21"/>
                <w:highlight w:val="none"/>
              </w:rPr>
            </w:pPr>
          </w:p>
        </w:tc>
        <w:tc>
          <w:tcPr>
            <w:tcW w:w="1093" w:type="dxa"/>
            <w:vMerge w:val="continue"/>
            <w:vAlign w:val="center"/>
          </w:tcPr>
          <w:p w14:paraId="23CA322F">
            <w:pPr>
              <w:pStyle w:val="97"/>
              <w:ind w:left="-105" w:right="-105" w:firstLine="0" w:firstLineChars="0"/>
              <w:jc w:val="center"/>
              <w:rPr>
                <w:rFonts w:eastAsia="宋体"/>
                <w:bCs/>
                <w:color w:val="auto"/>
                <w:sz w:val="21"/>
                <w:szCs w:val="21"/>
                <w:highlight w:val="none"/>
              </w:rPr>
            </w:pPr>
          </w:p>
        </w:tc>
        <w:tc>
          <w:tcPr>
            <w:tcW w:w="1467" w:type="dxa"/>
            <w:vAlign w:val="center"/>
          </w:tcPr>
          <w:p w14:paraId="546C25C5">
            <w:pPr>
              <w:pStyle w:val="236"/>
              <w:keepNext w:val="0"/>
              <w:keepLines w:val="0"/>
              <w:pageBreakBefore w:val="0"/>
              <w:widowControl/>
              <w:kinsoku/>
              <w:wordWrap/>
              <w:overflowPunct/>
              <w:topLinePunct w:val="0"/>
              <w:autoSpaceDE/>
              <w:autoSpaceDN/>
              <w:bidi w:val="0"/>
              <w:ind w:left="0" w:leftChars="0" w:right="0" w:rightChars="0"/>
              <w:jc w:val="center"/>
              <w:rPr>
                <w:rFonts w:ascii="Times New Roman" w:hAnsi="Times New Roman" w:cs="Times New Roman"/>
                <w:color w:val="auto"/>
                <w:sz w:val="21"/>
                <w:szCs w:val="21"/>
                <w:highlight w:val="none"/>
                <w:lang w:bidi="ar"/>
              </w:rPr>
            </w:pPr>
            <w:r>
              <w:rPr>
                <w:rFonts w:ascii="Times New Roman" w:hAnsi="Times New Roman" w:eastAsia="宋体" w:cs="Times New Roman"/>
                <w:color w:val="auto"/>
                <w:sz w:val="21"/>
                <w:szCs w:val="21"/>
                <w:highlight w:val="none"/>
                <w:lang w:eastAsia="zh-CN"/>
              </w:rPr>
              <w:t>2、6-二叔丁基对甲</w:t>
            </w:r>
            <w:r>
              <w:rPr>
                <w:rFonts w:ascii="Times New Roman" w:hAnsi="Times New Roman" w:eastAsia="宋体" w:cs="Times New Roman"/>
                <w:color w:val="auto"/>
                <w:spacing w:val="8"/>
                <w:sz w:val="21"/>
                <w:szCs w:val="21"/>
                <w:highlight w:val="none"/>
                <w:lang w:eastAsia="zh-CN"/>
              </w:rPr>
              <w:t>基苯酚（聚合阻止</w:t>
            </w:r>
            <w:r>
              <w:rPr>
                <w:rFonts w:ascii="Times New Roman" w:hAnsi="Times New Roman" w:eastAsia="宋体" w:cs="Times New Roman"/>
                <w:color w:val="auto"/>
                <w:sz w:val="21"/>
                <w:szCs w:val="21"/>
                <w:highlight w:val="none"/>
                <w:lang w:eastAsia="zh-CN"/>
              </w:rPr>
              <w:t>剂）</w:t>
            </w:r>
          </w:p>
        </w:tc>
        <w:tc>
          <w:tcPr>
            <w:tcW w:w="912" w:type="dxa"/>
            <w:vAlign w:val="center"/>
          </w:tcPr>
          <w:p w14:paraId="4C651596">
            <w:pPr>
              <w:wordWrap w:val="0"/>
              <w:adjustRightInd w:val="0"/>
              <w:snapToGrid w:val="0"/>
              <w:ind w:left="-105" w:right="-105"/>
              <w:jc w:val="center"/>
              <w:textAlignment w:val="center"/>
              <w:rPr>
                <w:rFonts w:hint="eastAsia" w:ascii="Times New Roman" w:hAnsi="Times New Roman" w:eastAsia="宋体" w:cs="Times New Roman"/>
                <w:bCs/>
                <w:color w:val="auto"/>
                <w:sz w:val="21"/>
                <w:szCs w:val="21"/>
                <w:highlight w:val="none"/>
                <w:lang w:val="en-US" w:eastAsia="zh-CN"/>
              </w:rPr>
            </w:pPr>
            <w:r>
              <w:rPr>
                <w:rFonts w:hint="eastAsia" w:ascii="Times New Roman" w:hAnsi="Times New Roman" w:cs="Times New Roman"/>
                <w:bCs/>
                <w:color w:val="auto"/>
                <w:sz w:val="21"/>
                <w:szCs w:val="21"/>
                <w:highlight w:val="none"/>
                <w:lang w:val="en-US" w:eastAsia="zh-CN"/>
              </w:rPr>
              <w:t>可燃</w:t>
            </w:r>
          </w:p>
        </w:tc>
        <w:tc>
          <w:tcPr>
            <w:tcW w:w="3084" w:type="dxa"/>
            <w:vAlign w:val="center"/>
          </w:tcPr>
          <w:p w14:paraId="52FD28A2">
            <w:pPr>
              <w:wordWrap w:val="0"/>
              <w:adjustRightInd w:val="0"/>
              <w:snapToGrid w:val="0"/>
              <w:ind w:left="-105" w:right="-105"/>
              <w:jc w:val="center"/>
              <w:textAlignment w:val="center"/>
              <w:rPr>
                <w:rFonts w:hint="default" w:ascii="Times New Roman" w:hAnsi="Times New Roman" w:eastAsia="宋体" w:cs="Times New Roman"/>
                <w:bCs/>
                <w:color w:val="auto"/>
                <w:sz w:val="21"/>
                <w:szCs w:val="21"/>
                <w:highlight w:val="none"/>
                <w:lang w:val="en-US" w:eastAsia="zh-CN"/>
              </w:rPr>
            </w:pPr>
            <w:r>
              <w:rPr>
                <w:rFonts w:hint="eastAsia" w:ascii="Times New Roman" w:hAnsi="Times New Roman" w:cs="Times New Roman"/>
                <w:bCs/>
                <w:color w:val="auto"/>
                <w:sz w:val="21"/>
                <w:szCs w:val="21"/>
                <w:highlight w:val="none"/>
                <w:lang w:val="en-US" w:eastAsia="zh-CN"/>
              </w:rPr>
              <w:t>LD</w:t>
            </w:r>
            <w:r>
              <w:rPr>
                <w:rFonts w:hint="eastAsia" w:ascii="Times New Roman" w:hAnsi="Times New Roman" w:cs="Times New Roman"/>
                <w:bCs/>
                <w:color w:val="auto"/>
                <w:sz w:val="21"/>
                <w:szCs w:val="21"/>
                <w:highlight w:val="none"/>
                <w:vertAlign w:val="subscript"/>
                <w:lang w:val="en-US" w:eastAsia="zh-CN"/>
              </w:rPr>
              <w:t>50</w:t>
            </w:r>
            <w:r>
              <w:rPr>
                <w:rFonts w:hint="eastAsia" w:ascii="Times New Roman" w:hAnsi="Times New Roman" w:cs="Times New Roman"/>
                <w:bCs/>
                <w:color w:val="auto"/>
                <w:sz w:val="21"/>
                <w:szCs w:val="21"/>
                <w:highlight w:val="none"/>
                <w:lang w:val="en-US" w:eastAsia="zh-CN"/>
              </w:rPr>
              <w:t>:890mg/kg（大鼠经口）</w:t>
            </w:r>
          </w:p>
        </w:tc>
        <w:tc>
          <w:tcPr>
            <w:tcW w:w="1275" w:type="dxa"/>
            <w:vAlign w:val="center"/>
          </w:tcPr>
          <w:p w14:paraId="2939D826">
            <w:pPr>
              <w:ind w:left="-105" w:right="-105"/>
              <w:jc w:val="center"/>
              <w:rPr>
                <w:rFonts w:hint="eastAsia" w:ascii="Times New Roman" w:hAnsi="Times New Roman" w:eastAsia="宋体" w:cs="Times New Roman"/>
                <w:color w:val="auto"/>
                <w:sz w:val="21"/>
                <w:szCs w:val="21"/>
                <w:highlight w:val="none"/>
                <w:lang w:eastAsia="zh-CN"/>
              </w:rPr>
            </w:pPr>
            <w:r>
              <w:rPr>
                <w:rFonts w:hint="eastAsia" w:ascii="Times New Roman" w:hAnsi="Times New Roman" w:cs="Times New Roman"/>
                <w:color w:val="auto"/>
                <w:sz w:val="21"/>
                <w:szCs w:val="21"/>
                <w:highlight w:val="none"/>
                <w:lang w:eastAsia="zh-CN"/>
              </w:rPr>
              <w:t>危险品仓库</w:t>
            </w:r>
          </w:p>
        </w:tc>
      </w:tr>
      <w:tr w14:paraId="6F0BE14E">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889" w:type="dxa"/>
            <w:vAlign w:val="center"/>
          </w:tcPr>
          <w:p w14:paraId="35398315">
            <w:pPr>
              <w:pStyle w:val="97"/>
              <w:numPr>
                <w:ilvl w:val="0"/>
                <w:numId w:val="22"/>
              </w:numPr>
              <w:ind w:left="-105" w:right="-105" w:firstLine="0" w:firstLineChars="0"/>
              <w:jc w:val="center"/>
              <w:rPr>
                <w:rFonts w:eastAsia="宋体"/>
                <w:bCs/>
                <w:color w:val="auto"/>
                <w:sz w:val="21"/>
                <w:szCs w:val="21"/>
                <w:highlight w:val="none"/>
              </w:rPr>
            </w:pPr>
          </w:p>
        </w:tc>
        <w:tc>
          <w:tcPr>
            <w:tcW w:w="1093" w:type="dxa"/>
            <w:vMerge w:val="continue"/>
            <w:vAlign w:val="center"/>
          </w:tcPr>
          <w:p w14:paraId="201FD081">
            <w:pPr>
              <w:pStyle w:val="97"/>
              <w:ind w:left="-105" w:right="-105" w:firstLine="0" w:firstLineChars="0"/>
              <w:jc w:val="center"/>
              <w:rPr>
                <w:rFonts w:eastAsia="宋体"/>
                <w:bCs/>
                <w:color w:val="auto"/>
                <w:sz w:val="21"/>
                <w:szCs w:val="21"/>
                <w:highlight w:val="none"/>
              </w:rPr>
            </w:pPr>
          </w:p>
        </w:tc>
        <w:tc>
          <w:tcPr>
            <w:tcW w:w="1467" w:type="dxa"/>
            <w:vAlign w:val="center"/>
          </w:tcPr>
          <w:p w14:paraId="6A48D1B2">
            <w:pPr>
              <w:pStyle w:val="236"/>
              <w:keepNext w:val="0"/>
              <w:keepLines w:val="0"/>
              <w:pageBreakBefore w:val="0"/>
              <w:widowControl/>
              <w:kinsoku/>
              <w:wordWrap/>
              <w:overflowPunct/>
              <w:topLinePunct w:val="0"/>
              <w:autoSpaceDE/>
              <w:autoSpaceDN/>
              <w:bidi w:val="0"/>
              <w:ind w:left="0" w:leftChars="0" w:right="0" w:rightChars="0"/>
              <w:jc w:val="center"/>
              <w:rPr>
                <w:rFonts w:ascii="Times New Roman" w:hAnsi="Times New Roman" w:cs="Times New Roman"/>
                <w:color w:val="auto"/>
                <w:sz w:val="21"/>
                <w:szCs w:val="21"/>
                <w:highlight w:val="none"/>
                <w:lang w:bidi="ar"/>
              </w:rPr>
            </w:pPr>
            <w:r>
              <w:rPr>
                <w:rFonts w:ascii="Times New Roman" w:hAnsi="Times New Roman" w:eastAsia="宋体" w:cs="Times New Roman"/>
                <w:color w:val="auto"/>
                <w:spacing w:val="5"/>
                <w:sz w:val="21"/>
                <w:szCs w:val="21"/>
                <w:highlight w:val="none"/>
              </w:rPr>
              <w:t>四氢化邻苯二甲</w:t>
            </w:r>
            <w:r>
              <w:rPr>
                <w:rFonts w:ascii="Times New Roman" w:hAnsi="Times New Roman" w:eastAsia="宋体" w:cs="Times New Roman"/>
                <w:color w:val="auto"/>
                <w:spacing w:val="4"/>
                <w:sz w:val="21"/>
                <w:szCs w:val="21"/>
                <w:highlight w:val="none"/>
              </w:rPr>
              <w:t>酸酐</w:t>
            </w:r>
          </w:p>
        </w:tc>
        <w:tc>
          <w:tcPr>
            <w:tcW w:w="912" w:type="dxa"/>
            <w:vAlign w:val="center"/>
          </w:tcPr>
          <w:p w14:paraId="025C34F3">
            <w:pPr>
              <w:wordWrap w:val="0"/>
              <w:adjustRightInd w:val="0"/>
              <w:snapToGrid w:val="0"/>
              <w:ind w:left="-105" w:right="-105"/>
              <w:jc w:val="center"/>
              <w:textAlignment w:val="center"/>
              <w:rPr>
                <w:rFonts w:hint="eastAsia" w:ascii="Times New Roman" w:hAnsi="Times New Roman" w:eastAsia="宋体" w:cs="Times New Roman"/>
                <w:bCs/>
                <w:color w:val="auto"/>
                <w:sz w:val="21"/>
                <w:szCs w:val="21"/>
                <w:highlight w:val="none"/>
                <w:lang w:val="en-US" w:eastAsia="zh-CN"/>
              </w:rPr>
            </w:pPr>
            <w:r>
              <w:rPr>
                <w:rFonts w:hint="eastAsia" w:ascii="Times New Roman" w:hAnsi="Times New Roman" w:cs="Times New Roman"/>
                <w:bCs/>
                <w:color w:val="auto"/>
                <w:sz w:val="21"/>
                <w:szCs w:val="21"/>
                <w:highlight w:val="none"/>
                <w:lang w:val="en-US" w:eastAsia="zh-CN"/>
              </w:rPr>
              <w:t>可燃</w:t>
            </w:r>
          </w:p>
        </w:tc>
        <w:tc>
          <w:tcPr>
            <w:tcW w:w="3084" w:type="dxa"/>
            <w:vAlign w:val="center"/>
          </w:tcPr>
          <w:p w14:paraId="22DE4B71">
            <w:pPr>
              <w:wordWrap w:val="0"/>
              <w:adjustRightInd w:val="0"/>
              <w:snapToGrid w:val="0"/>
              <w:ind w:left="-105" w:right="-105"/>
              <w:jc w:val="center"/>
              <w:textAlignment w:val="center"/>
              <w:rPr>
                <w:rFonts w:hint="eastAsia" w:ascii="Times New Roman" w:hAnsi="Times New Roman" w:cs="Times New Roman"/>
                <w:bCs/>
                <w:color w:val="auto"/>
                <w:sz w:val="21"/>
                <w:szCs w:val="21"/>
                <w:highlight w:val="none"/>
              </w:rPr>
            </w:pPr>
            <w:r>
              <w:rPr>
                <w:rFonts w:hint="eastAsia" w:ascii="Times New Roman" w:hAnsi="Times New Roman" w:cs="Times New Roman"/>
                <w:bCs/>
                <w:color w:val="auto"/>
                <w:sz w:val="21"/>
                <w:szCs w:val="21"/>
                <w:highlight w:val="none"/>
              </w:rPr>
              <w:t>大鼠吸入LC：&gt;294mg/kg；</w:t>
            </w:r>
          </w:p>
          <w:p w14:paraId="671AFCCE">
            <w:pPr>
              <w:wordWrap w:val="0"/>
              <w:adjustRightInd w:val="0"/>
              <w:snapToGrid w:val="0"/>
              <w:ind w:left="-105" w:right="-105"/>
              <w:jc w:val="center"/>
              <w:textAlignment w:val="center"/>
              <w:rPr>
                <w:rFonts w:hint="eastAsia" w:ascii="Times New Roman" w:hAnsi="Times New Roman" w:cs="Times New Roman"/>
                <w:bCs/>
                <w:color w:val="auto"/>
                <w:sz w:val="21"/>
                <w:szCs w:val="21"/>
                <w:highlight w:val="none"/>
              </w:rPr>
            </w:pPr>
            <w:r>
              <w:rPr>
                <w:rFonts w:hint="eastAsia" w:ascii="Times New Roman" w:hAnsi="Times New Roman" w:cs="Times New Roman"/>
                <w:bCs/>
                <w:color w:val="auto"/>
                <w:sz w:val="21"/>
                <w:szCs w:val="21"/>
                <w:highlight w:val="none"/>
              </w:rPr>
              <w:t>大鼠LD</w:t>
            </w:r>
            <w:r>
              <w:rPr>
                <w:rFonts w:hint="eastAsia" w:ascii="Times New Roman" w:hAnsi="Times New Roman" w:cs="Times New Roman"/>
                <w:bCs/>
                <w:color w:val="auto"/>
                <w:sz w:val="21"/>
                <w:szCs w:val="21"/>
                <w:highlight w:val="none"/>
                <w:vertAlign w:val="subscript"/>
              </w:rPr>
              <w:t>50</w:t>
            </w:r>
            <w:r>
              <w:rPr>
                <w:rFonts w:hint="eastAsia" w:ascii="Times New Roman" w:hAnsi="Times New Roman" w:cs="Times New Roman"/>
                <w:bCs/>
                <w:color w:val="auto"/>
                <w:sz w:val="21"/>
                <w:szCs w:val="21"/>
                <w:highlight w:val="none"/>
              </w:rPr>
              <w:t>：3mg/kg；</w:t>
            </w:r>
          </w:p>
          <w:p w14:paraId="28D30A5E">
            <w:pPr>
              <w:wordWrap w:val="0"/>
              <w:adjustRightInd w:val="0"/>
              <w:snapToGrid w:val="0"/>
              <w:ind w:left="-105" w:right="-105"/>
              <w:jc w:val="center"/>
              <w:textAlignment w:val="center"/>
              <w:rPr>
                <w:rFonts w:hint="eastAsia" w:ascii="Times New Roman" w:hAnsi="Times New Roman" w:cs="Times New Roman"/>
                <w:bCs/>
                <w:color w:val="auto"/>
                <w:sz w:val="21"/>
                <w:szCs w:val="21"/>
                <w:highlight w:val="none"/>
              </w:rPr>
            </w:pPr>
            <w:r>
              <w:rPr>
                <w:rFonts w:hint="eastAsia" w:ascii="Times New Roman" w:hAnsi="Times New Roman" w:cs="Times New Roman"/>
                <w:bCs/>
                <w:color w:val="auto"/>
                <w:sz w:val="21"/>
                <w:szCs w:val="21"/>
                <w:highlight w:val="none"/>
              </w:rPr>
              <w:t>小鼠吸入LC：&gt;294mg/kg；</w:t>
            </w:r>
          </w:p>
          <w:p w14:paraId="68A835E4">
            <w:pPr>
              <w:wordWrap w:val="0"/>
              <w:adjustRightInd w:val="0"/>
              <w:snapToGrid w:val="0"/>
              <w:ind w:left="-105" w:right="-105"/>
              <w:jc w:val="center"/>
              <w:textAlignment w:val="center"/>
              <w:rPr>
                <w:rFonts w:hint="eastAsia" w:ascii="Times New Roman" w:hAnsi="Times New Roman" w:cs="Times New Roman"/>
                <w:bCs/>
                <w:color w:val="auto"/>
                <w:sz w:val="21"/>
                <w:szCs w:val="21"/>
                <w:highlight w:val="none"/>
              </w:rPr>
            </w:pPr>
            <w:r>
              <w:rPr>
                <w:rFonts w:hint="eastAsia" w:ascii="Times New Roman" w:hAnsi="Times New Roman" w:cs="Times New Roman"/>
                <w:bCs/>
                <w:color w:val="auto"/>
                <w:sz w:val="21"/>
                <w:szCs w:val="21"/>
                <w:highlight w:val="none"/>
              </w:rPr>
              <w:t>小鼠腹腔LD</w:t>
            </w:r>
            <w:r>
              <w:rPr>
                <w:rFonts w:hint="eastAsia" w:ascii="Times New Roman" w:hAnsi="Times New Roman" w:cs="Times New Roman"/>
                <w:bCs/>
                <w:color w:val="auto"/>
                <w:sz w:val="21"/>
                <w:szCs w:val="21"/>
                <w:highlight w:val="none"/>
                <w:vertAlign w:val="subscript"/>
              </w:rPr>
              <w:t>50</w:t>
            </w:r>
            <w:r>
              <w:rPr>
                <w:rFonts w:hint="eastAsia" w:ascii="Times New Roman" w:hAnsi="Times New Roman" w:cs="Times New Roman"/>
                <w:bCs/>
                <w:color w:val="auto"/>
                <w:sz w:val="21"/>
                <w:szCs w:val="21"/>
                <w:highlight w:val="none"/>
              </w:rPr>
              <w:t>：500mg/kg；</w:t>
            </w:r>
          </w:p>
          <w:p w14:paraId="2CC11932">
            <w:pPr>
              <w:wordWrap w:val="0"/>
              <w:adjustRightInd w:val="0"/>
              <w:snapToGrid w:val="0"/>
              <w:ind w:left="-105" w:right="-105"/>
              <w:jc w:val="center"/>
              <w:textAlignment w:val="center"/>
              <w:rPr>
                <w:rFonts w:hint="eastAsia" w:ascii="Times New Roman" w:hAnsi="Times New Roman" w:cs="Times New Roman"/>
                <w:bCs/>
                <w:color w:val="auto"/>
                <w:sz w:val="21"/>
                <w:szCs w:val="21"/>
                <w:highlight w:val="none"/>
              </w:rPr>
            </w:pPr>
            <w:r>
              <w:rPr>
                <w:rFonts w:hint="eastAsia" w:ascii="Times New Roman" w:hAnsi="Times New Roman" w:cs="Times New Roman"/>
                <w:bCs/>
                <w:color w:val="auto"/>
                <w:sz w:val="21"/>
                <w:szCs w:val="21"/>
                <w:highlight w:val="none"/>
              </w:rPr>
              <w:t>小鼠LD</w:t>
            </w:r>
            <w:r>
              <w:rPr>
                <w:rFonts w:hint="eastAsia" w:ascii="Times New Roman" w:hAnsi="Times New Roman" w:cs="Times New Roman"/>
                <w:bCs/>
                <w:color w:val="auto"/>
                <w:sz w:val="21"/>
                <w:szCs w:val="21"/>
                <w:highlight w:val="none"/>
                <w:vertAlign w:val="subscript"/>
              </w:rPr>
              <w:t>50</w:t>
            </w:r>
            <w:r>
              <w:rPr>
                <w:rFonts w:hint="eastAsia" w:ascii="Times New Roman" w:hAnsi="Times New Roman" w:cs="Times New Roman"/>
                <w:bCs/>
                <w:color w:val="auto"/>
                <w:sz w:val="21"/>
                <w:szCs w:val="21"/>
                <w:highlight w:val="none"/>
              </w:rPr>
              <w:t>：3300mg/kg</w:t>
            </w:r>
          </w:p>
        </w:tc>
        <w:tc>
          <w:tcPr>
            <w:tcW w:w="1275" w:type="dxa"/>
            <w:vAlign w:val="center"/>
          </w:tcPr>
          <w:p w14:paraId="52E6B29D">
            <w:pPr>
              <w:ind w:left="-105" w:right="-105"/>
              <w:jc w:val="center"/>
              <w:rPr>
                <w:rFonts w:hint="eastAsia" w:ascii="Times New Roman" w:hAnsi="Times New Roman" w:eastAsia="宋体" w:cs="Times New Roman"/>
                <w:color w:val="auto"/>
                <w:sz w:val="21"/>
                <w:szCs w:val="21"/>
                <w:highlight w:val="none"/>
                <w:lang w:eastAsia="zh-CN"/>
              </w:rPr>
            </w:pPr>
            <w:r>
              <w:rPr>
                <w:rFonts w:hint="eastAsia" w:ascii="Times New Roman" w:hAnsi="Times New Roman" w:cs="Times New Roman"/>
                <w:color w:val="auto"/>
                <w:sz w:val="21"/>
                <w:szCs w:val="21"/>
                <w:highlight w:val="none"/>
                <w:lang w:eastAsia="zh-CN"/>
              </w:rPr>
              <w:t>危险品仓库</w:t>
            </w:r>
          </w:p>
        </w:tc>
      </w:tr>
      <w:tr w14:paraId="2FE51CE1">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889" w:type="dxa"/>
            <w:vAlign w:val="center"/>
          </w:tcPr>
          <w:p w14:paraId="618D5A3D">
            <w:pPr>
              <w:pStyle w:val="97"/>
              <w:numPr>
                <w:ilvl w:val="0"/>
                <w:numId w:val="22"/>
              </w:numPr>
              <w:ind w:left="-105" w:right="-105" w:firstLine="0" w:firstLineChars="0"/>
              <w:jc w:val="center"/>
              <w:rPr>
                <w:rFonts w:eastAsia="宋体"/>
                <w:bCs/>
                <w:color w:val="auto"/>
                <w:sz w:val="21"/>
                <w:szCs w:val="21"/>
                <w:highlight w:val="none"/>
              </w:rPr>
            </w:pPr>
          </w:p>
        </w:tc>
        <w:tc>
          <w:tcPr>
            <w:tcW w:w="1093" w:type="dxa"/>
            <w:vMerge w:val="continue"/>
            <w:vAlign w:val="center"/>
          </w:tcPr>
          <w:p w14:paraId="697595A6">
            <w:pPr>
              <w:pStyle w:val="97"/>
              <w:ind w:left="-105" w:right="-105" w:firstLine="0" w:firstLineChars="0"/>
              <w:jc w:val="center"/>
              <w:rPr>
                <w:rFonts w:eastAsia="宋体"/>
                <w:bCs/>
                <w:color w:val="auto"/>
                <w:sz w:val="21"/>
                <w:szCs w:val="21"/>
                <w:highlight w:val="none"/>
              </w:rPr>
            </w:pPr>
          </w:p>
        </w:tc>
        <w:tc>
          <w:tcPr>
            <w:tcW w:w="1467" w:type="dxa"/>
            <w:vAlign w:val="center"/>
          </w:tcPr>
          <w:p w14:paraId="7C643321">
            <w:pPr>
              <w:ind w:left="-105" w:right="-105"/>
              <w:jc w:val="center"/>
              <w:textAlignment w:val="center"/>
              <w:rPr>
                <w:rFonts w:hint="eastAsia" w:ascii="Times New Roman" w:hAnsi="Times New Roman" w:eastAsia="宋体" w:cs="Times New Roman"/>
                <w:color w:val="auto"/>
                <w:sz w:val="21"/>
                <w:szCs w:val="21"/>
                <w:highlight w:val="none"/>
                <w:lang w:val="en-US" w:eastAsia="zh-CN" w:bidi="ar"/>
              </w:rPr>
            </w:pPr>
            <w:r>
              <w:rPr>
                <w:rFonts w:hint="eastAsia" w:ascii="Times New Roman" w:hAnsi="Times New Roman" w:cs="Times New Roman"/>
                <w:color w:val="auto"/>
                <w:sz w:val="21"/>
                <w:szCs w:val="21"/>
                <w:highlight w:val="none"/>
                <w:lang w:val="en-US" w:eastAsia="zh-CN" w:bidi="ar"/>
              </w:rPr>
              <w:t>丁酮</w:t>
            </w:r>
          </w:p>
        </w:tc>
        <w:tc>
          <w:tcPr>
            <w:tcW w:w="912" w:type="dxa"/>
            <w:vAlign w:val="center"/>
          </w:tcPr>
          <w:p w14:paraId="1ADF0080">
            <w:pPr>
              <w:wordWrap w:val="0"/>
              <w:adjustRightInd w:val="0"/>
              <w:snapToGrid w:val="0"/>
              <w:ind w:left="-105" w:right="-105"/>
              <w:jc w:val="center"/>
              <w:textAlignment w:val="center"/>
              <w:rPr>
                <w:rFonts w:hint="eastAsia" w:ascii="Times New Roman" w:hAnsi="Times New Roman" w:eastAsia="宋体" w:cs="Times New Roman"/>
                <w:bCs/>
                <w:color w:val="auto"/>
                <w:sz w:val="21"/>
                <w:szCs w:val="21"/>
                <w:highlight w:val="none"/>
                <w:lang w:val="en-US" w:eastAsia="zh-CN"/>
              </w:rPr>
            </w:pPr>
            <w:r>
              <w:rPr>
                <w:rFonts w:hint="eastAsia" w:ascii="Times New Roman" w:hAnsi="Times New Roman" w:cs="Times New Roman"/>
                <w:bCs/>
                <w:color w:val="auto"/>
                <w:sz w:val="21"/>
                <w:szCs w:val="21"/>
                <w:highlight w:val="none"/>
                <w:lang w:val="en-US" w:eastAsia="zh-CN"/>
              </w:rPr>
              <w:t>易燃</w:t>
            </w:r>
          </w:p>
        </w:tc>
        <w:tc>
          <w:tcPr>
            <w:tcW w:w="3084" w:type="dxa"/>
            <w:vAlign w:val="center"/>
          </w:tcPr>
          <w:p w14:paraId="67866778">
            <w:pPr>
              <w:wordWrap w:val="0"/>
              <w:adjustRightInd w:val="0"/>
              <w:snapToGrid w:val="0"/>
              <w:ind w:left="-105" w:right="-105"/>
              <w:jc w:val="center"/>
              <w:textAlignment w:val="center"/>
              <w:rPr>
                <w:rFonts w:hint="eastAsia" w:ascii="Times New Roman" w:hAnsi="Times New Roman" w:cs="Times New Roman"/>
                <w:bCs/>
                <w:color w:val="auto"/>
                <w:sz w:val="21"/>
                <w:szCs w:val="21"/>
                <w:highlight w:val="none"/>
                <w:lang w:val="en-US" w:eastAsia="zh-CN"/>
              </w:rPr>
            </w:pPr>
            <w:r>
              <w:rPr>
                <w:rFonts w:hint="eastAsia" w:ascii="Times New Roman" w:hAnsi="Times New Roman" w:cs="Times New Roman"/>
                <w:bCs/>
                <w:color w:val="auto"/>
                <w:sz w:val="21"/>
                <w:szCs w:val="21"/>
                <w:highlight w:val="none"/>
                <w:lang w:val="en-US" w:eastAsia="zh-CN"/>
              </w:rPr>
              <w:t>LD</w:t>
            </w:r>
            <w:r>
              <w:rPr>
                <w:rFonts w:hint="eastAsia" w:ascii="Times New Roman" w:hAnsi="Times New Roman" w:cs="Times New Roman"/>
                <w:bCs/>
                <w:color w:val="auto"/>
                <w:sz w:val="21"/>
                <w:szCs w:val="21"/>
                <w:highlight w:val="none"/>
                <w:vertAlign w:val="subscript"/>
                <w:lang w:val="en-US" w:eastAsia="zh-CN"/>
              </w:rPr>
              <w:t>50</w:t>
            </w:r>
            <w:r>
              <w:rPr>
                <w:rFonts w:hint="eastAsia" w:ascii="Times New Roman" w:hAnsi="Times New Roman" w:cs="Times New Roman"/>
                <w:bCs/>
                <w:color w:val="auto"/>
                <w:sz w:val="21"/>
                <w:szCs w:val="21"/>
                <w:highlight w:val="none"/>
                <w:lang w:val="en-US" w:eastAsia="zh-CN"/>
              </w:rPr>
              <w:t>:3400mg/kg（大鼠经口）；6480mg/kg（兔经皮）</w:t>
            </w:r>
          </w:p>
          <w:p w14:paraId="017A11E2">
            <w:pPr>
              <w:wordWrap w:val="0"/>
              <w:adjustRightInd w:val="0"/>
              <w:snapToGrid w:val="0"/>
              <w:ind w:left="-105" w:right="-105"/>
              <w:jc w:val="center"/>
              <w:textAlignment w:val="center"/>
              <w:rPr>
                <w:rFonts w:hint="default" w:ascii="Times New Roman" w:hAnsi="Times New Roman" w:cs="Times New Roman"/>
                <w:bCs/>
                <w:color w:val="auto"/>
                <w:sz w:val="21"/>
                <w:szCs w:val="21"/>
                <w:highlight w:val="none"/>
                <w:lang w:val="en-US" w:eastAsia="zh-CN"/>
              </w:rPr>
            </w:pPr>
            <w:r>
              <w:rPr>
                <w:rFonts w:hint="eastAsia" w:ascii="Times New Roman" w:hAnsi="Times New Roman" w:cs="Times New Roman"/>
                <w:bCs/>
                <w:color w:val="auto"/>
                <w:sz w:val="21"/>
                <w:szCs w:val="21"/>
                <w:highlight w:val="none"/>
                <w:lang w:val="en-US" w:eastAsia="zh-CN"/>
              </w:rPr>
              <w:t>LC</w:t>
            </w:r>
            <w:r>
              <w:rPr>
                <w:rFonts w:hint="eastAsia" w:ascii="Times New Roman" w:hAnsi="Times New Roman" w:cs="Times New Roman"/>
                <w:bCs/>
                <w:color w:val="auto"/>
                <w:sz w:val="21"/>
                <w:szCs w:val="21"/>
                <w:highlight w:val="none"/>
                <w:vertAlign w:val="subscript"/>
                <w:lang w:val="en-US" w:eastAsia="zh-CN"/>
              </w:rPr>
              <w:t>50</w:t>
            </w:r>
            <w:r>
              <w:rPr>
                <w:rFonts w:hint="eastAsia" w:ascii="Times New Roman" w:hAnsi="Times New Roman" w:cs="Times New Roman"/>
                <w:bCs/>
                <w:color w:val="auto"/>
                <w:sz w:val="21"/>
                <w:szCs w:val="21"/>
                <w:highlight w:val="none"/>
                <w:lang w:val="en-US" w:eastAsia="zh-CN"/>
              </w:rPr>
              <w:t>:8000ppm8小时（大鼠吸入）</w:t>
            </w:r>
          </w:p>
        </w:tc>
        <w:tc>
          <w:tcPr>
            <w:tcW w:w="1275" w:type="dxa"/>
            <w:vAlign w:val="center"/>
          </w:tcPr>
          <w:p w14:paraId="0359C143">
            <w:pPr>
              <w:ind w:left="-105" w:right="-105"/>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现场不贮存</w:t>
            </w:r>
          </w:p>
        </w:tc>
      </w:tr>
      <w:tr w14:paraId="39B4D5F0">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889" w:type="dxa"/>
            <w:vAlign w:val="center"/>
          </w:tcPr>
          <w:p w14:paraId="2920C57D">
            <w:pPr>
              <w:pStyle w:val="97"/>
              <w:numPr>
                <w:ilvl w:val="0"/>
                <w:numId w:val="22"/>
              </w:numPr>
              <w:ind w:left="-105" w:right="-105" w:firstLine="0" w:firstLineChars="0"/>
              <w:jc w:val="center"/>
              <w:rPr>
                <w:rFonts w:eastAsia="宋体"/>
                <w:bCs/>
                <w:color w:val="auto"/>
                <w:sz w:val="21"/>
                <w:szCs w:val="21"/>
                <w:highlight w:val="none"/>
              </w:rPr>
            </w:pPr>
          </w:p>
        </w:tc>
        <w:tc>
          <w:tcPr>
            <w:tcW w:w="1093" w:type="dxa"/>
            <w:vMerge w:val="continue"/>
            <w:vAlign w:val="center"/>
          </w:tcPr>
          <w:p w14:paraId="47F39263">
            <w:pPr>
              <w:pStyle w:val="97"/>
              <w:ind w:left="-105" w:right="-105" w:firstLine="0" w:firstLineChars="0"/>
              <w:jc w:val="center"/>
              <w:rPr>
                <w:rFonts w:eastAsia="宋体"/>
                <w:bCs/>
                <w:color w:val="auto"/>
                <w:sz w:val="21"/>
                <w:szCs w:val="21"/>
                <w:highlight w:val="none"/>
              </w:rPr>
            </w:pPr>
          </w:p>
        </w:tc>
        <w:tc>
          <w:tcPr>
            <w:tcW w:w="1467" w:type="dxa"/>
            <w:vAlign w:val="center"/>
          </w:tcPr>
          <w:p w14:paraId="2639E0B3">
            <w:pPr>
              <w:ind w:left="-105" w:right="-105"/>
              <w:jc w:val="center"/>
              <w:textAlignment w:val="center"/>
              <w:rPr>
                <w:rFonts w:hint="eastAsia" w:ascii="Times New Roman" w:hAnsi="Times New Roman" w:eastAsia="宋体" w:cs="Times New Roman"/>
                <w:color w:val="auto"/>
                <w:sz w:val="21"/>
                <w:szCs w:val="21"/>
                <w:highlight w:val="none"/>
                <w:lang w:val="en-US" w:eastAsia="zh-CN" w:bidi="ar"/>
              </w:rPr>
            </w:pPr>
            <w:r>
              <w:rPr>
                <w:rFonts w:hint="eastAsia" w:ascii="Times New Roman" w:hAnsi="Times New Roman" w:cs="Times New Roman"/>
                <w:color w:val="auto"/>
                <w:sz w:val="21"/>
                <w:szCs w:val="21"/>
                <w:highlight w:val="none"/>
                <w:lang w:val="en-US" w:eastAsia="zh-CN" w:bidi="ar"/>
              </w:rPr>
              <w:t>柴油</w:t>
            </w:r>
          </w:p>
        </w:tc>
        <w:tc>
          <w:tcPr>
            <w:tcW w:w="912" w:type="dxa"/>
            <w:vAlign w:val="center"/>
          </w:tcPr>
          <w:p w14:paraId="29655987">
            <w:pPr>
              <w:wordWrap w:val="0"/>
              <w:adjustRightInd w:val="0"/>
              <w:snapToGrid w:val="0"/>
              <w:ind w:left="-105" w:right="-105"/>
              <w:jc w:val="center"/>
              <w:textAlignment w:val="center"/>
              <w:rPr>
                <w:rFonts w:hint="eastAsia" w:ascii="Times New Roman" w:hAnsi="Times New Roman" w:eastAsia="宋体" w:cs="Times New Roman"/>
                <w:bCs/>
                <w:color w:val="auto"/>
                <w:sz w:val="21"/>
                <w:szCs w:val="21"/>
                <w:highlight w:val="none"/>
                <w:lang w:val="en-US" w:eastAsia="zh-CN"/>
              </w:rPr>
            </w:pPr>
            <w:r>
              <w:rPr>
                <w:rFonts w:hint="eastAsia" w:ascii="Times New Roman" w:hAnsi="Times New Roman" w:cs="Times New Roman"/>
                <w:bCs/>
                <w:color w:val="auto"/>
                <w:sz w:val="21"/>
                <w:szCs w:val="21"/>
                <w:highlight w:val="none"/>
                <w:lang w:val="en-US" w:eastAsia="zh-CN"/>
              </w:rPr>
              <w:t>可燃</w:t>
            </w:r>
          </w:p>
        </w:tc>
        <w:tc>
          <w:tcPr>
            <w:tcW w:w="3084" w:type="dxa"/>
            <w:vAlign w:val="center"/>
          </w:tcPr>
          <w:p w14:paraId="5EBB8576">
            <w:pPr>
              <w:wordWrap w:val="0"/>
              <w:adjustRightInd w:val="0"/>
              <w:snapToGrid w:val="0"/>
              <w:ind w:left="-105" w:right="-105"/>
              <w:jc w:val="center"/>
              <w:textAlignment w:val="center"/>
              <w:rPr>
                <w:rFonts w:hint="eastAsia" w:ascii="Times New Roman" w:hAnsi="Times New Roman" w:eastAsia="宋体" w:cs="Times New Roman"/>
                <w:bCs/>
                <w:color w:val="auto"/>
                <w:sz w:val="21"/>
                <w:szCs w:val="21"/>
                <w:highlight w:val="none"/>
                <w:lang w:val="en-US" w:eastAsia="zh-CN"/>
              </w:rPr>
            </w:pPr>
            <w:r>
              <w:rPr>
                <w:rFonts w:hint="eastAsia" w:ascii="Times New Roman" w:hAnsi="Times New Roman" w:cs="Times New Roman"/>
                <w:bCs/>
                <w:color w:val="auto"/>
                <w:sz w:val="21"/>
                <w:szCs w:val="21"/>
                <w:highlight w:val="none"/>
                <w:lang w:val="en-US" w:eastAsia="zh-CN"/>
              </w:rPr>
              <w:t>无资料</w:t>
            </w:r>
          </w:p>
        </w:tc>
        <w:tc>
          <w:tcPr>
            <w:tcW w:w="1275" w:type="dxa"/>
            <w:vAlign w:val="center"/>
          </w:tcPr>
          <w:p w14:paraId="7A11D157">
            <w:pPr>
              <w:ind w:left="-105" w:right="-105"/>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地埋式储罐</w:t>
            </w:r>
          </w:p>
        </w:tc>
      </w:tr>
      <w:tr w14:paraId="0DD77D26">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889" w:type="dxa"/>
            <w:vAlign w:val="center"/>
          </w:tcPr>
          <w:p w14:paraId="7CCB42A9">
            <w:pPr>
              <w:pStyle w:val="97"/>
              <w:numPr>
                <w:ilvl w:val="0"/>
                <w:numId w:val="22"/>
              </w:numPr>
              <w:ind w:left="-105" w:right="-105" w:firstLine="0" w:firstLineChars="0"/>
              <w:jc w:val="center"/>
              <w:rPr>
                <w:rFonts w:eastAsia="宋体"/>
                <w:bCs/>
                <w:color w:val="auto"/>
                <w:sz w:val="21"/>
                <w:szCs w:val="21"/>
                <w:highlight w:val="none"/>
              </w:rPr>
            </w:pPr>
          </w:p>
        </w:tc>
        <w:tc>
          <w:tcPr>
            <w:tcW w:w="1093" w:type="dxa"/>
            <w:vMerge w:val="continue"/>
            <w:vAlign w:val="center"/>
          </w:tcPr>
          <w:p w14:paraId="149DDEF9">
            <w:pPr>
              <w:pStyle w:val="97"/>
              <w:ind w:left="-105" w:right="-105" w:firstLine="0" w:firstLineChars="0"/>
              <w:jc w:val="center"/>
              <w:rPr>
                <w:rFonts w:eastAsia="宋体"/>
                <w:bCs/>
                <w:color w:val="auto"/>
                <w:sz w:val="21"/>
                <w:szCs w:val="21"/>
                <w:highlight w:val="none"/>
              </w:rPr>
            </w:pPr>
          </w:p>
        </w:tc>
        <w:tc>
          <w:tcPr>
            <w:tcW w:w="1467" w:type="dxa"/>
            <w:vAlign w:val="center"/>
          </w:tcPr>
          <w:p w14:paraId="23A076B4">
            <w:pPr>
              <w:ind w:left="-105" w:right="-105"/>
              <w:jc w:val="center"/>
              <w:textAlignment w:val="center"/>
              <w:rPr>
                <w:bCs/>
                <w:color w:val="auto"/>
                <w:sz w:val="21"/>
                <w:szCs w:val="21"/>
                <w:highlight w:val="none"/>
              </w:rPr>
            </w:pPr>
            <w:r>
              <w:rPr>
                <w:rFonts w:ascii="Times New Roman" w:hAnsi="Times New Roman" w:cs="Times New Roman"/>
                <w:color w:val="auto"/>
                <w:sz w:val="21"/>
                <w:szCs w:val="21"/>
                <w:highlight w:val="none"/>
                <w:lang w:bidi="ar"/>
              </w:rPr>
              <w:t>二甲基亚砜</w:t>
            </w:r>
          </w:p>
        </w:tc>
        <w:tc>
          <w:tcPr>
            <w:tcW w:w="912" w:type="dxa"/>
            <w:vAlign w:val="center"/>
          </w:tcPr>
          <w:p w14:paraId="22E52870">
            <w:pPr>
              <w:wordWrap w:val="0"/>
              <w:adjustRightInd w:val="0"/>
              <w:snapToGrid w:val="0"/>
              <w:ind w:left="-105" w:right="-105"/>
              <w:jc w:val="center"/>
              <w:textAlignment w:val="center"/>
              <w:rPr>
                <w:bCs/>
                <w:color w:val="auto"/>
                <w:sz w:val="21"/>
                <w:szCs w:val="21"/>
                <w:highlight w:val="none"/>
              </w:rPr>
            </w:pPr>
            <w:r>
              <w:rPr>
                <w:rFonts w:hint="eastAsia" w:ascii="Times New Roman" w:hAnsi="Times New Roman" w:cs="Times New Roman"/>
                <w:bCs/>
                <w:color w:val="auto"/>
                <w:sz w:val="21"/>
                <w:szCs w:val="21"/>
                <w:highlight w:val="none"/>
              </w:rPr>
              <w:t>可燃</w:t>
            </w:r>
          </w:p>
        </w:tc>
        <w:tc>
          <w:tcPr>
            <w:tcW w:w="3084" w:type="dxa"/>
            <w:vAlign w:val="center"/>
          </w:tcPr>
          <w:p w14:paraId="293E2913">
            <w:pPr>
              <w:wordWrap w:val="0"/>
              <w:adjustRightInd w:val="0"/>
              <w:snapToGrid w:val="0"/>
              <w:ind w:left="-105" w:right="-105"/>
              <w:jc w:val="center"/>
              <w:textAlignment w:val="center"/>
              <w:rPr>
                <w:bCs/>
                <w:color w:val="auto"/>
                <w:sz w:val="21"/>
                <w:szCs w:val="21"/>
                <w:highlight w:val="none"/>
              </w:rPr>
            </w:pPr>
            <w:r>
              <w:rPr>
                <w:rFonts w:hint="eastAsia" w:ascii="Times New Roman" w:hAnsi="Times New Roman" w:cs="Times New Roman"/>
                <w:bCs/>
                <w:color w:val="auto"/>
                <w:sz w:val="21"/>
                <w:szCs w:val="21"/>
                <w:highlight w:val="none"/>
              </w:rPr>
              <w:t>LD</w:t>
            </w:r>
            <w:r>
              <w:rPr>
                <w:rFonts w:hint="eastAsia" w:ascii="Times New Roman" w:hAnsi="Times New Roman" w:cs="Times New Roman"/>
                <w:bCs/>
                <w:color w:val="auto"/>
                <w:sz w:val="21"/>
                <w:szCs w:val="21"/>
                <w:highlight w:val="none"/>
                <w:vertAlign w:val="subscript"/>
              </w:rPr>
              <w:t>50</w:t>
            </w:r>
            <w:r>
              <w:rPr>
                <w:rFonts w:hint="eastAsia" w:ascii="Times New Roman" w:hAnsi="Times New Roman" w:cs="Times New Roman"/>
                <w:bCs/>
                <w:color w:val="auto"/>
                <w:sz w:val="21"/>
                <w:szCs w:val="21"/>
                <w:highlight w:val="none"/>
              </w:rPr>
              <w:t>：13400~28300mg/kg（鼠，经口）；LD</w:t>
            </w:r>
            <w:r>
              <w:rPr>
                <w:rFonts w:hint="eastAsia" w:ascii="Times New Roman" w:hAnsi="Times New Roman" w:cs="Times New Roman"/>
                <w:bCs/>
                <w:color w:val="auto"/>
                <w:sz w:val="21"/>
                <w:szCs w:val="21"/>
                <w:highlight w:val="none"/>
                <w:vertAlign w:val="subscript"/>
              </w:rPr>
              <w:t>50</w:t>
            </w:r>
            <w:r>
              <w:rPr>
                <w:rFonts w:hint="eastAsia" w:ascii="Times New Roman" w:hAnsi="Times New Roman" w:cs="Times New Roman"/>
                <w:bCs/>
                <w:color w:val="auto"/>
                <w:sz w:val="21"/>
                <w:szCs w:val="21"/>
                <w:highlight w:val="none"/>
              </w:rPr>
              <w:t>：40000mg/kg（鼠，经皮）</w:t>
            </w:r>
          </w:p>
        </w:tc>
        <w:tc>
          <w:tcPr>
            <w:tcW w:w="1275" w:type="dxa"/>
            <w:vAlign w:val="center"/>
          </w:tcPr>
          <w:p w14:paraId="595E862A">
            <w:pPr>
              <w:ind w:left="-105" w:right="-105"/>
              <w:jc w:val="center"/>
              <w:rPr>
                <w:rFonts w:hint="eastAsia" w:eastAsia="宋体"/>
                <w:bCs/>
                <w:color w:val="auto"/>
                <w:sz w:val="21"/>
                <w:szCs w:val="21"/>
                <w:highlight w:val="none"/>
                <w:lang w:eastAsia="zh-CN"/>
              </w:rPr>
            </w:pPr>
            <w:r>
              <w:rPr>
                <w:rFonts w:hint="eastAsia" w:ascii="Times New Roman" w:hAnsi="Times New Roman" w:cs="Times New Roman"/>
                <w:color w:val="auto"/>
                <w:sz w:val="21"/>
                <w:szCs w:val="21"/>
                <w:highlight w:val="none"/>
                <w:lang w:eastAsia="zh-CN"/>
              </w:rPr>
              <w:t>危险品仓库</w:t>
            </w:r>
          </w:p>
        </w:tc>
      </w:tr>
      <w:tr w14:paraId="0094615E">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889" w:type="dxa"/>
            <w:vAlign w:val="center"/>
          </w:tcPr>
          <w:p w14:paraId="03F904AB">
            <w:pPr>
              <w:pStyle w:val="97"/>
              <w:numPr>
                <w:ilvl w:val="0"/>
                <w:numId w:val="22"/>
              </w:numPr>
              <w:ind w:left="-105" w:right="-105" w:firstLine="0" w:firstLineChars="0"/>
              <w:jc w:val="center"/>
              <w:rPr>
                <w:rFonts w:eastAsia="宋体"/>
                <w:bCs/>
                <w:color w:val="auto"/>
                <w:sz w:val="21"/>
                <w:szCs w:val="21"/>
                <w:highlight w:val="none"/>
              </w:rPr>
            </w:pPr>
          </w:p>
        </w:tc>
        <w:tc>
          <w:tcPr>
            <w:tcW w:w="1093" w:type="dxa"/>
            <w:vMerge w:val="continue"/>
            <w:vAlign w:val="center"/>
          </w:tcPr>
          <w:p w14:paraId="1E9DBB2D">
            <w:pPr>
              <w:pStyle w:val="97"/>
              <w:ind w:left="-105" w:right="-105" w:firstLine="0" w:firstLineChars="0"/>
              <w:jc w:val="center"/>
              <w:rPr>
                <w:rFonts w:eastAsia="宋体"/>
                <w:bCs/>
                <w:color w:val="auto"/>
                <w:sz w:val="21"/>
                <w:szCs w:val="21"/>
                <w:highlight w:val="none"/>
              </w:rPr>
            </w:pPr>
          </w:p>
        </w:tc>
        <w:tc>
          <w:tcPr>
            <w:tcW w:w="1467" w:type="dxa"/>
            <w:vAlign w:val="center"/>
          </w:tcPr>
          <w:p w14:paraId="4A3D8397">
            <w:pPr>
              <w:ind w:left="-105" w:right="-105"/>
              <w:jc w:val="center"/>
              <w:textAlignment w:val="center"/>
              <w:rPr>
                <w:bCs/>
                <w:color w:val="auto"/>
                <w:sz w:val="21"/>
                <w:szCs w:val="21"/>
                <w:highlight w:val="none"/>
              </w:rPr>
            </w:pPr>
            <w:r>
              <w:rPr>
                <w:rFonts w:ascii="Times New Roman" w:hAnsi="Times New Roman" w:cs="Times New Roman"/>
                <w:color w:val="auto"/>
                <w:sz w:val="21"/>
                <w:szCs w:val="21"/>
                <w:highlight w:val="none"/>
                <w:lang w:bidi="ar"/>
              </w:rPr>
              <w:t>N-甲基吡咯烷酮</w:t>
            </w:r>
          </w:p>
        </w:tc>
        <w:tc>
          <w:tcPr>
            <w:tcW w:w="912" w:type="dxa"/>
            <w:vAlign w:val="center"/>
          </w:tcPr>
          <w:p w14:paraId="410BDBB3">
            <w:pPr>
              <w:wordWrap w:val="0"/>
              <w:adjustRightInd w:val="0"/>
              <w:snapToGrid w:val="0"/>
              <w:ind w:left="-105" w:right="-105"/>
              <w:jc w:val="center"/>
              <w:textAlignment w:val="center"/>
              <w:rPr>
                <w:bCs/>
                <w:color w:val="auto"/>
                <w:sz w:val="21"/>
                <w:szCs w:val="21"/>
                <w:highlight w:val="none"/>
              </w:rPr>
            </w:pPr>
            <w:r>
              <w:rPr>
                <w:rFonts w:hint="eastAsia" w:ascii="Times New Roman" w:hAnsi="Times New Roman" w:cs="Times New Roman"/>
                <w:bCs/>
                <w:color w:val="auto"/>
                <w:sz w:val="21"/>
                <w:szCs w:val="21"/>
                <w:highlight w:val="none"/>
              </w:rPr>
              <w:t>可燃</w:t>
            </w:r>
          </w:p>
        </w:tc>
        <w:tc>
          <w:tcPr>
            <w:tcW w:w="3084" w:type="dxa"/>
            <w:vAlign w:val="center"/>
          </w:tcPr>
          <w:p w14:paraId="5FD78FC7">
            <w:pPr>
              <w:wordWrap w:val="0"/>
              <w:adjustRightInd w:val="0"/>
              <w:snapToGrid w:val="0"/>
              <w:ind w:left="-105" w:right="-105"/>
              <w:jc w:val="center"/>
              <w:textAlignment w:val="center"/>
              <w:rPr>
                <w:bCs/>
                <w:color w:val="auto"/>
                <w:sz w:val="21"/>
                <w:szCs w:val="21"/>
                <w:highlight w:val="none"/>
              </w:rPr>
            </w:pPr>
            <w:r>
              <w:rPr>
                <w:rFonts w:hint="eastAsia" w:ascii="Times New Roman" w:hAnsi="Times New Roman" w:cs="Times New Roman"/>
                <w:bCs/>
                <w:color w:val="auto"/>
                <w:sz w:val="21"/>
                <w:szCs w:val="21"/>
                <w:highlight w:val="none"/>
              </w:rPr>
              <w:t>LD</w:t>
            </w:r>
            <w:r>
              <w:rPr>
                <w:rFonts w:hint="eastAsia" w:ascii="Times New Roman" w:hAnsi="Times New Roman" w:cs="Times New Roman"/>
                <w:bCs/>
                <w:color w:val="auto"/>
                <w:sz w:val="21"/>
                <w:szCs w:val="21"/>
                <w:highlight w:val="none"/>
                <w:vertAlign w:val="subscript"/>
              </w:rPr>
              <w:t>50</w:t>
            </w:r>
            <w:r>
              <w:rPr>
                <w:rFonts w:hint="eastAsia" w:ascii="Times New Roman" w:hAnsi="Times New Roman" w:cs="Times New Roman"/>
                <w:bCs/>
                <w:color w:val="auto"/>
                <w:sz w:val="21"/>
                <w:szCs w:val="21"/>
                <w:highlight w:val="none"/>
              </w:rPr>
              <w:t>：3914mg/kg（鼠，经口）；LD</w:t>
            </w:r>
            <w:r>
              <w:rPr>
                <w:rFonts w:hint="eastAsia" w:ascii="Times New Roman" w:hAnsi="Times New Roman" w:cs="Times New Roman"/>
                <w:bCs/>
                <w:color w:val="auto"/>
                <w:sz w:val="21"/>
                <w:szCs w:val="21"/>
                <w:highlight w:val="none"/>
                <w:vertAlign w:val="subscript"/>
              </w:rPr>
              <w:t>50</w:t>
            </w:r>
            <w:r>
              <w:rPr>
                <w:rFonts w:hint="eastAsia" w:ascii="Times New Roman" w:hAnsi="Times New Roman" w:cs="Times New Roman"/>
                <w:bCs/>
                <w:color w:val="auto"/>
                <w:sz w:val="21"/>
                <w:szCs w:val="21"/>
                <w:highlight w:val="none"/>
              </w:rPr>
              <w:t>：＞5000mg/kg（鼠，经皮）</w:t>
            </w:r>
          </w:p>
        </w:tc>
        <w:tc>
          <w:tcPr>
            <w:tcW w:w="1275" w:type="dxa"/>
            <w:vAlign w:val="center"/>
          </w:tcPr>
          <w:p w14:paraId="34F6EF66">
            <w:pPr>
              <w:ind w:left="-105" w:right="-105"/>
              <w:jc w:val="center"/>
              <w:rPr>
                <w:rFonts w:hint="eastAsia" w:eastAsia="宋体"/>
                <w:bCs/>
                <w:color w:val="auto"/>
                <w:sz w:val="21"/>
                <w:szCs w:val="21"/>
                <w:highlight w:val="none"/>
                <w:lang w:eastAsia="zh-CN"/>
              </w:rPr>
            </w:pPr>
            <w:r>
              <w:rPr>
                <w:rFonts w:hint="eastAsia" w:ascii="Times New Roman" w:hAnsi="Times New Roman" w:cs="Times New Roman"/>
                <w:color w:val="auto"/>
                <w:sz w:val="21"/>
                <w:szCs w:val="21"/>
                <w:highlight w:val="none"/>
                <w:lang w:eastAsia="zh-CN"/>
              </w:rPr>
              <w:t>危险品仓库</w:t>
            </w:r>
          </w:p>
        </w:tc>
      </w:tr>
      <w:tr w14:paraId="13CA152B">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889" w:type="dxa"/>
            <w:vAlign w:val="center"/>
          </w:tcPr>
          <w:p w14:paraId="2A5E5D30">
            <w:pPr>
              <w:pStyle w:val="97"/>
              <w:numPr>
                <w:ilvl w:val="0"/>
                <w:numId w:val="22"/>
              </w:numPr>
              <w:ind w:left="-105" w:right="-105" w:firstLine="0" w:firstLineChars="0"/>
              <w:jc w:val="center"/>
              <w:rPr>
                <w:rFonts w:eastAsia="宋体"/>
                <w:bCs/>
                <w:color w:val="auto"/>
                <w:sz w:val="21"/>
                <w:szCs w:val="21"/>
                <w:highlight w:val="none"/>
              </w:rPr>
            </w:pPr>
          </w:p>
        </w:tc>
        <w:tc>
          <w:tcPr>
            <w:tcW w:w="1093" w:type="dxa"/>
            <w:vMerge w:val="continue"/>
            <w:vAlign w:val="center"/>
          </w:tcPr>
          <w:p w14:paraId="2DF682EE">
            <w:pPr>
              <w:pStyle w:val="97"/>
              <w:ind w:left="-105" w:right="-105" w:firstLine="0" w:firstLineChars="0"/>
              <w:jc w:val="center"/>
              <w:rPr>
                <w:rFonts w:eastAsia="宋体"/>
                <w:bCs/>
                <w:color w:val="auto"/>
                <w:sz w:val="21"/>
                <w:szCs w:val="21"/>
                <w:highlight w:val="none"/>
              </w:rPr>
            </w:pPr>
          </w:p>
        </w:tc>
        <w:tc>
          <w:tcPr>
            <w:tcW w:w="1467" w:type="dxa"/>
            <w:vAlign w:val="center"/>
          </w:tcPr>
          <w:p w14:paraId="41661239">
            <w:pPr>
              <w:ind w:left="-105" w:right="-105"/>
              <w:jc w:val="center"/>
              <w:textAlignment w:val="center"/>
              <w:rPr>
                <w:bCs/>
                <w:color w:val="auto"/>
                <w:sz w:val="21"/>
                <w:szCs w:val="21"/>
                <w:highlight w:val="none"/>
              </w:rPr>
            </w:pPr>
            <w:r>
              <w:rPr>
                <w:rFonts w:ascii="Times New Roman" w:hAnsi="Times New Roman" w:cs="Times New Roman"/>
                <w:color w:val="auto"/>
                <w:sz w:val="21"/>
                <w:szCs w:val="21"/>
                <w:highlight w:val="none"/>
                <w:lang w:bidi="ar"/>
              </w:rPr>
              <w:t>四甲基氢氧化铵</w:t>
            </w:r>
          </w:p>
        </w:tc>
        <w:tc>
          <w:tcPr>
            <w:tcW w:w="912" w:type="dxa"/>
            <w:vAlign w:val="center"/>
          </w:tcPr>
          <w:p w14:paraId="72D9DFFB">
            <w:pPr>
              <w:wordWrap w:val="0"/>
              <w:adjustRightInd w:val="0"/>
              <w:snapToGrid w:val="0"/>
              <w:ind w:left="-105" w:right="-105"/>
              <w:jc w:val="center"/>
              <w:textAlignment w:val="center"/>
              <w:rPr>
                <w:bCs/>
                <w:color w:val="auto"/>
                <w:sz w:val="21"/>
                <w:szCs w:val="21"/>
                <w:highlight w:val="none"/>
              </w:rPr>
            </w:pPr>
            <w:r>
              <w:rPr>
                <w:rFonts w:hint="eastAsia" w:ascii="Times New Roman" w:hAnsi="Times New Roman" w:cs="Times New Roman"/>
                <w:bCs/>
                <w:color w:val="auto"/>
                <w:sz w:val="21"/>
                <w:szCs w:val="21"/>
                <w:highlight w:val="none"/>
              </w:rPr>
              <w:t>不燃</w:t>
            </w:r>
          </w:p>
        </w:tc>
        <w:tc>
          <w:tcPr>
            <w:tcW w:w="3084" w:type="dxa"/>
            <w:vAlign w:val="center"/>
          </w:tcPr>
          <w:p w14:paraId="326AA634">
            <w:pPr>
              <w:wordWrap w:val="0"/>
              <w:adjustRightInd w:val="0"/>
              <w:snapToGrid w:val="0"/>
              <w:ind w:left="-105" w:right="-105"/>
              <w:jc w:val="center"/>
              <w:textAlignment w:val="center"/>
              <w:rPr>
                <w:bCs/>
                <w:color w:val="auto"/>
                <w:sz w:val="21"/>
                <w:szCs w:val="21"/>
                <w:highlight w:val="none"/>
              </w:rPr>
            </w:pPr>
            <w:r>
              <w:rPr>
                <w:rFonts w:ascii="Times New Roman" w:hAnsi="Times New Roman" w:cs="Times New Roman"/>
                <w:color w:val="auto"/>
                <w:sz w:val="21"/>
                <w:szCs w:val="21"/>
                <w:highlight w:val="none"/>
                <w:lang w:bidi="ar"/>
              </w:rPr>
              <w:t>四甲基氢氧化铵</w:t>
            </w:r>
            <w:r>
              <w:rPr>
                <w:rFonts w:hint="eastAsia" w:ascii="Times New Roman" w:hAnsi="Times New Roman" w:cs="Times New Roman"/>
                <w:color w:val="auto"/>
                <w:sz w:val="21"/>
                <w:szCs w:val="21"/>
                <w:highlight w:val="none"/>
                <w:lang w:bidi="ar"/>
              </w:rPr>
              <w:t>：</w:t>
            </w:r>
            <w:r>
              <w:rPr>
                <w:rFonts w:hint="eastAsia" w:ascii="Times New Roman" w:hAnsi="Times New Roman" w:cs="Times New Roman"/>
                <w:bCs/>
                <w:color w:val="auto"/>
                <w:sz w:val="21"/>
                <w:szCs w:val="21"/>
                <w:highlight w:val="none"/>
              </w:rPr>
              <w:t>LD</w:t>
            </w:r>
            <w:r>
              <w:rPr>
                <w:rFonts w:hint="eastAsia" w:ascii="Times New Roman" w:hAnsi="Times New Roman" w:cs="Times New Roman"/>
                <w:bCs/>
                <w:color w:val="auto"/>
                <w:sz w:val="21"/>
                <w:szCs w:val="21"/>
                <w:highlight w:val="none"/>
                <w:vertAlign w:val="subscript"/>
              </w:rPr>
              <w:t>50</w:t>
            </w:r>
            <w:r>
              <w:rPr>
                <w:rFonts w:hint="eastAsia" w:ascii="Times New Roman" w:hAnsi="Times New Roman" w:cs="Times New Roman"/>
                <w:bCs/>
                <w:color w:val="auto"/>
                <w:sz w:val="21"/>
                <w:szCs w:val="21"/>
                <w:highlight w:val="none"/>
              </w:rPr>
              <w:t>：50-300mg/kg（鼠，经口）；LD</w:t>
            </w:r>
            <w:r>
              <w:rPr>
                <w:rFonts w:hint="eastAsia" w:ascii="Times New Roman" w:hAnsi="Times New Roman" w:cs="Times New Roman"/>
                <w:bCs/>
                <w:color w:val="auto"/>
                <w:sz w:val="21"/>
                <w:szCs w:val="21"/>
                <w:highlight w:val="none"/>
                <w:vertAlign w:val="subscript"/>
              </w:rPr>
              <w:t>50</w:t>
            </w:r>
            <w:r>
              <w:rPr>
                <w:rFonts w:hint="eastAsia" w:ascii="Times New Roman" w:hAnsi="Times New Roman" w:cs="Times New Roman"/>
                <w:bCs/>
                <w:color w:val="auto"/>
                <w:sz w:val="21"/>
                <w:szCs w:val="21"/>
                <w:highlight w:val="none"/>
              </w:rPr>
              <w:t>：50-200mg/kg（鼠，经皮）</w:t>
            </w:r>
          </w:p>
        </w:tc>
        <w:tc>
          <w:tcPr>
            <w:tcW w:w="1275" w:type="dxa"/>
            <w:vAlign w:val="center"/>
          </w:tcPr>
          <w:p w14:paraId="35966E5E">
            <w:pPr>
              <w:ind w:left="-105" w:right="-105"/>
              <w:jc w:val="center"/>
              <w:rPr>
                <w:rFonts w:hint="eastAsia" w:eastAsia="宋体"/>
                <w:bCs/>
                <w:color w:val="auto"/>
                <w:sz w:val="21"/>
                <w:szCs w:val="21"/>
                <w:highlight w:val="none"/>
                <w:lang w:eastAsia="zh-CN"/>
              </w:rPr>
            </w:pPr>
            <w:r>
              <w:rPr>
                <w:rFonts w:hint="eastAsia" w:ascii="Times New Roman" w:hAnsi="Times New Roman" w:cs="Times New Roman"/>
                <w:color w:val="auto"/>
                <w:sz w:val="21"/>
                <w:szCs w:val="21"/>
                <w:highlight w:val="none"/>
                <w:lang w:eastAsia="zh-CN"/>
              </w:rPr>
              <w:t>危险品仓库</w:t>
            </w:r>
          </w:p>
        </w:tc>
      </w:tr>
      <w:tr w14:paraId="5E85C869">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889" w:type="dxa"/>
            <w:vAlign w:val="center"/>
          </w:tcPr>
          <w:p w14:paraId="4032FF47">
            <w:pPr>
              <w:pStyle w:val="97"/>
              <w:numPr>
                <w:ilvl w:val="0"/>
                <w:numId w:val="22"/>
              </w:numPr>
              <w:ind w:left="-105" w:right="-105" w:firstLine="0" w:firstLineChars="0"/>
              <w:jc w:val="center"/>
              <w:rPr>
                <w:rFonts w:eastAsia="宋体"/>
                <w:bCs/>
                <w:color w:val="auto"/>
                <w:sz w:val="21"/>
                <w:szCs w:val="21"/>
                <w:highlight w:val="none"/>
              </w:rPr>
            </w:pPr>
          </w:p>
        </w:tc>
        <w:tc>
          <w:tcPr>
            <w:tcW w:w="1093" w:type="dxa"/>
            <w:vMerge w:val="continue"/>
            <w:vAlign w:val="center"/>
          </w:tcPr>
          <w:p w14:paraId="39B1E44D">
            <w:pPr>
              <w:pStyle w:val="97"/>
              <w:ind w:left="-105" w:right="-105" w:firstLine="0" w:firstLineChars="0"/>
              <w:jc w:val="center"/>
              <w:rPr>
                <w:rFonts w:eastAsia="宋体"/>
                <w:bCs/>
                <w:color w:val="auto"/>
                <w:sz w:val="21"/>
                <w:szCs w:val="21"/>
                <w:highlight w:val="none"/>
              </w:rPr>
            </w:pPr>
          </w:p>
        </w:tc>
        <w:tc>
          <w:tcPr>
            <w:tcW w:w="1467" w:type="dxa"/>
            <w:vAlign w:val="center"/>
          </w:tcPr>
          <w:p w14:paraId="1856972B">
            <w:pPr>
              <w:ind w:left="-105" w:right="-105"/>
              <w:jc w:val="center"/>
              <w:textAlignment w:val="center"/>
              <w:rPr>
                <w:bCs/>
                <w:color w:val="auto"/>
                <w:sz w:val="21"/>
                <w:szCs w:val="21"/>
                <w:highlight w:val="none"/>
              </w:rPr>
            </w:pPr>
            <w:r>
              <w:rPr>
                <w:rFonts w:ascii="Times New Roman" w:hAnsi="Times New Roman" w:cs="Times New Roman"/>
                <w:color w:val="auto"/>
                <w:sz w:val="21"/>
                <w:szCs w:val="21"/>
                <w:highlight w:val="none"/>
                <w:lang w:bidi="ar"/>
              </w:rPr>
              <w:t>2-甲氨基乙醇</w:t>
            </w:r>
          </w:p>
        </w:tc>
        <w:tc>
          <w:tcPr>
            <w:tcW w:w="912" w:type="dxa"/>
            <w:vAlign w:val="center"/>
          </w:tcPr>
          <w:p w14:paraId="5A3C2D48">
            <w:pPr>
              <w:wordWrap w:val="0"/>
              <w:adjustRightInd w:val="0"/>
              <w:snapToGrid w:val="0"/>
              <w:ind w:left="-105" w:right="-105"/>
              <w:jc w:val="center"/>
              <w:textAlignment w:val="center"/>
              <w:rPr>
                <w:bCs/>
                <w:color w:val="auto"/>
                <w:sz w:val="21"/>
                <w:szCs w:val="21"/>
                <w:highlight w:val="none"/>
              </w:rPr>
            </w:pPr>
            <w:r>
              <w:rPr>
                <w:rFonts w:hint="eastAsia" w:ascii="Times New Roman" w:hAnsi="Times New Roman" w:cs="Times New Roman"/>
                <w:bCs/>
                <w:color w:val="auto"/>
                <w:sz w:val="21"/>
                <w:szCs w:val="21"/>
                <w:highlight w:val="none"/>
              </w:rPr>
              <w:t>可燃</w:t>
            </w:r>
          </w:p>
        </w:tc>
        <w:tc>
          <w:tcPr>
            <w:tcW w:w="3084" w:type="dxa"/>
            <w:vAlign w:val="center"/>
          </w:tcPr>
          <w:p w14:paraId="30757744">
            <w:pPr>
              <w:wordWrap w:val="0"/>
              <w:adjustRightInd w:val="0"/>
              <w:snapToGrid w:val="0"/>
              <w:ind w:left="-105" w:right="-105"/>
              <w:jc w:val="center"/>
              <w:textAlignment w:val="center"/>
              <w:rPr>
                <w:bCs/>
                <w:color w:val="auto"/>
                <w:sz w:val="21"/>
                <w:szCs w:val="21"/>
                <w:highlight w:val="none"/>
              </w:rPr>
            </w:pPr>
            <w:r>
              <w:rPr>
                <w:rFonts w:hint="eastAsia" w:ascii="Times New Roman" w:hAnsi="Times New Roman" w:cs="Times New Roman"/>
                <w:bCs/>
                <w:color w:val="auto"/>
                <w:sz w:val="21"/>
                <w:szCs w:val="21"/>
                <w:highlight w:val="none"/>
              </w:rPr>
              <w:t>LD</w:t>
            </w:r>
            <w:r>
              <w:rPr>
                <w:rFonts w:hint="eastAsia" w:ascii="Times New Roman" w:hAnsi="Times New Roman" w:cs="Times New Roman"/>
                <w:bCs/>
                <w:color w:val="auto"/>
                <w:sz w:val="21"/>
                <w:szCs w:val="21"/>
                <w:highlight w:val="none"/>
                <w:vertAlign w:val="subscript"/>
              </w:rPr>
              <w:t>50</w:t>
            </w:r>
            <w:r>
              <w:rPr>
                <w:rFonts w:hint="eastAsia" w:ascii="Times New Roman" w:hAnsi="Times New Roman" w:cs="Times New Roman"/>
                <w:bCs/>
                <w:color w:val="auto"/>
                <w:sz w:val="21"/>
                <w:szCs w:val="21"/>
                <w:highlight w:val="none"/>
              </w:rPr>
              <w:t>：1391mg/kg（鼠，经口）</w:t>
            </w:r>
          </w:p>
        </w:tc>
        <w:tc>
          <w:tcPr>
            <w:tcW w:w="1275" w:type="dxa"/>
            <w:vAlign w:val="center"/>
          </w:tcPr>
          <w:p w14:paraId="0EEEA85D">
            <w:pPr>
              <w:ind w:left="-105" w:right="-105"/>
              <w:jc w:val="center"/>
              <w:rPr>
                <w:rFonts w:hint="eastAsia" w:eastAsia="宋体"/>
                <w:bCs/>
                <w:color w:val="auto"/>
                <w:sz w:val="21"/>
                <w:szCs w:val="21"/>
                <w:highlight w:val="none"/>
                <w:lang w:eastAsia="zh-CN"/>
              </w:rPr>
            </w:pPr>
            <w:r>
              <w:rPr>
                <w:rFonts w:hint="eastAsia" w:ascii="Times New Roman" w:hAnsi="Times New Roman" w:cs="Times New Roman"/>
                <w:color w:val="auto"/>
                <w:sz w:val="21"/>
                <w:szCs w:val="21"/>
                <w:highlight w:val="none"/>
                <w:lang w:eastAsia="zh-CN"/>
              </w:rPr>
              <w:t>危险品仓库</w:t>
            </w:r>
          </w:p>
        </w:tc>
      </w:tr>
      <w:tr w14:paraId="37D32C37">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889" w:type="dxa"/>
            <w:vAlign w:val="center"/>
          </w:tcPr>
          <w:p w14:paraId="0E721FA4">
            <w:pPr>
              <w:pStyle w:val="97"/>
              <w:numPr>
                <w:ilvl w:val="0"/>
                <w:numId w:val="22"/>
              </w:numPr>
              <w:ind w:left="-105" w:right="-105" w:firstLine="0" w:firstLineChars="0"/>
              <w:jc w:val="center"/>
              <w:rPr>
                <w:rFonts w:eastAsia="宋体"/>
                <w:bCs/>
                <w:color w:val="auto"/>
                <w:sz w:val="21"/>
                <w:szCs w:val="21"/>
                <w:highlight w:val="none"/>
              </w:rPr>
            </w:pPr>
          </w:p>
        </w:tc>
        <w:tc>
          <w:tcPr>
            <w:tcW w:w="1093" w:type="dxa"/>
            <w:vMerge w:val="continue"/>
            <w:vAlign w:val="center"/>
          </w:tcPr>
          <w:p w14:paraId="59BEFC5A">
            <w:pPr>
              <w:pStyle w:val="97"/>
              <w:ind w:left="-105" w:right="-105" w:firstLine="0" w:firstLineChars="0"/>
              <w:jc w:val="center"/>
              <w:rPr>
                <w:rFonts w:eastAsia="宋体"/>
                <w:bCs/>
                <w:color w:val="auto"/>
                <w:sz w:val="21"/>
                <w:szCs w:val="21"/>
                <w:highlight w:val="none"/>
              </w:rPr>
            </w:pPr>
          </w:p>
        </w:tc>
        <w:tc>
          <w:tcPr>
            <w:tcW w:w="1467" w:type="dxa"/>
            <w:vAlign w:val="center"/>
          </w:tcPr>
          <w:p w14:paraId="767EEF86">
            <w:pPr>
              <w:ind w:left="-105" w:right="-105"/>
              <w:jc w:val="center"/>
              <w:rPr>
                <w:bCs/>
                <w:color w:val="auto"/>
                <w:sz w:val="21"/>
                <w:szCs w:val="21"/>
                <w:highlight w:val="none"/>
              </w:rPr>
            </w:pPr>
            <w:r>
              <w:rPr>
                <w:rFonts w:ascii="Times New Roman" w:hAnsi="Times New Roman" w:cs="Times New Roman"/>
                <w:color w:val="auto"/>
                <w:sz w:val="21"/>
                <w:szCs w:val="21"/>
                <w:highlight w:val="none"/>
              </w:rPr>
              <w:t>邻苯二酚</w:t>
            </w:r>
          </w:p>
        </w:tc>
        <w:tc>
          <w:tcPr>
            <w:tcW w:w="912" w:type="dxa"/>
            <w:vAlign w:val="center"/>
          </w:tcPr>
          <w:p w14:paraId="56275DBC">
            <w:pPr>
              <w:wordWrap w:val="0"/>
              <w:adjustRightInd w:val="0"/>
              <w:snapToGrid w:val="0"/>
              <w:ind w:left="-105" w:right="-105"/>
              <w:jc w:val="center"/>
              <w:textAlignment w:val="center"/>
              <w:rPr>
                <w:bCs/>
                <w:color w:val="auto"/>
                <w:sz w:val="21"/>
                <w:szCs w:val="21"/>
                <w:highlight w:val="none"/>
              </w:rPr>
            </w:pPr>
            <w:r>
              <w:rPr>
                <w:rFonts w:hint="eastAsia" w:ascii="Times New Roman" w:hAnsi="Times New Roman" w:cs="Times New Roman"/>
                <w:bCs/>
                <w:color w:val="auto"/>
                <w:sz w:val="21"/>
                <w:szCs w:val="21"/>
                <w:highlight w:val="none"/>
              </w:rPr>
              <w:t>不燃</w:t>
            </w:r>
          </w:p>
        </w:tc>
        <w:tc>
          <w:tcPr>
            <w:tcW w:w="3084" w:type="dxa"/>
            <w:vAlign w:val="center"/>
          </w:tcPr>
          <w:p w14:paraId="67423929">
            <w:pPr>
              <w:wordWrap w:val="0"/>
              <w:adjustRightInd w:val="0"/>
              <w:snapToGrid w:val="0"/>
              <w:ind w:left="-105" w:right="-105"/>
              <w:jc w:val="center"/>
              <w:textAlignment w:val="center"/>
              <w:rPr>
                <w:bCs/>
                <w:color w:val="auto"/>
                <w:sz w:val="21"/>
                <w:szCs w:val="21"/>
                <w:highlight w:val="none"/>
              </w:rPr>
            </w:pPr>
            <w:r>
              <w:rPr>
                <w:rFonts w:hint="eastAsia" w:ascii="Times New Roman" w:hAnsi="Times New Roman" w:cs="Times New Roman"/>
                <w:bCs/>
                <w:color w:val="auto"/>
                <w:sz w:val="21"/>
                <w:szCs w:val="21"/>
                <w:highlight w:val="none"/>
              </w:rPr>
              <w:t>LD</w:t>
            </w:r>
            <w:r>
              <w:rPr>
                <w:rFonts w:hint="eastAsia" w:ascii="Times New Roman" w:hAnsi="Times New Roman" w:cs="Times New Roman"/>
                <w:bCs/>
                <w:color w:val="auto"/>
                <w:sz w:val="21"/>
                <w:szCs w:val="21"/>
                <w:highlight w:val="none"/>
                <w:vertAlign w:val="subscript"/>
              </w:rPr>
              <w:t>50</w:t>
            </w:r>
            <w:r>
              <w:rPr>
                <w:rFonts w:hint="eastAsia" w:ascii="Times New Roman" w:hAnsi="Times New Roman" w:cs="Times New Roman"/>
                <w:bCs/>
                <w:color w:val="auto"/>
                <w:sz w:val="21"/>
                <w:szCs w:val="21"/>
                <w:highlight w:val="none"/>
              </w:rPr>
              <w:t>：260mg/kg（鼠，经口）</w:t>
            </w:r>
          </w:p>
        </w:tc>
        <w:tc>
          <w:tcPr>
            <w:tcW w:w="1275" w:type="dxa"/>
            <w:vAlign w:val="center"/>
          </w:tcPr>
          <w:p w14:paraId="5B7EBA6A">
            <w:pPr>
              <w:ind w:left="-105" w:right="-105"/>
              <w:jc w:val="center"/>
              <w:rPr>
                <w:rFonts w:hint="eastAsia" w:eastAsia="宋体"/>
                <w:bCs/>
                <w:color w:val="auto"/>
                <w:sz w:val="21"/>
                <w:szCs w:val="21"/>
                <w:highlight w:val="none"/>
                <w:lang w:eastAsia="zh-CN"/>
              </w:rPr>
            </w:pPr>
            <w:r>
              <w:rPr>
                <w:rFonts w:hint="eastAsia" w:ascii="Times New Roman" w:hAnsi="Times New Roman" w:cs="Times New Roman"/>
                <w:color w:val="auto"/>
                <w:sz w:val="21"/>
                <w:szCs w:val="21"/>
                <w:highlight w:val="none"/>
                <w:lang w:eastAsia="zh-CN"/>
              </w:rPr>
              <w:t>危险品仓库</w:t>
            </w:r>
          </w:p>
        </w:tc>
      </w:tr>
      <w:tr w14:paraId="67BCAD53">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889" w:type="dxa"/>
            <w:vAlign w:val="center"/>
          </w:tcPr>
          <w:p w14:paraId="62EB0077">
            <w:pPr>
              <w:pStyle w:val="97"/>
              <w:numPr>
                <w:ilvl w:val="0"/>
                <w:numId w:val="22"/>
              </w:numPr>
              <w:ind w:left="-105" w:right="-105" w:firstLine="0" w:firstLineChars="0"/>
              <w:jc w:val="center"/>
              <w:rPr>
                <w:rFonts w:eastAsia="宋体"/>
                <w:bCs/>
                <w:color w:val="auto"/>
                <w:sz w:val="21"/>
                <w:szCs w:val="21"/>
                <w:highlight w:val="none"/>
              </w:rPr>
            </w:pPr>
          </w:p>
        </w:tc>
        <w:tc>
          <w:tcPr>
            <w:tcW w:w="1093" w:type="dxa"/>
            <w:vMerge w:val="continue"/>
            <w:vAlign w:val="center"/>
          </w:tcPr>
          <w:p w14:paraId="700F8596">
            <w:pPr>
              <w:pStyle w:val="97"/>
              <w:ind w:left="-105" w:right="-105" w:firstLine="0" w:firstLineChars="0"/>
              <w:jc w:val="center"/>
              <w:rPr>
                <w:rFonts w:eastAsia="宋体"/>
                <w:bCs/>
                <w:color w:val="auto"/>
                <w:sz w:val="21"/>
                <w:szCs w:val="21"/>
                <w:highlight w:val="none"/>
              </w:rPr>
            </w:pPr>
          </w:p>
        </w:tc>
        <w:tc>
          <w:tcPr>
            <w:tcW w:w="1467" w:type="dxa"/>
            <w:vAlign w:val="center"/>
          </w:tcPr>
          <w:p w14:paraId="43E98A51">
            <w:pPr>
              <w:ind w:left="-105" w:right="-105"/>
              <w:jc w:val="center"/>
              <w:rPr>
                <w:bCs/>
                <w:color w:val="auto"/>
                <w:sz w:val="21"/>
                <w:szCs w:val="21"/>
                <w:highlight w:val="none"/>
              </w:rPr>
            </w:pPr>
            <w:r>
              <w:rPr>
                <w:rFonts w:ascii="Times New Roman" w:hAnsi="Times New Roman" w:cs="Times New Roman"/>
                <w:color w:val="auto"/>
                <w:sz w:val="21"/>
                <w:szCs w:val="21"/>
                <w:highlight w:val="none"/>
              </w:rPr>
              <w:t>乙醇胺</w:t>
            </w:r>
          </w:p>
        </w:tc>
        <w:tc>
          <w:tcPr>
            <w:tcW w:w="912" w:type="dxa"/>
            <w:vAlign w:val="center"/>
          </w:tcPr>
          <w:p w14:paraId="3B48D520">
            <w:pPr>
              <w:wordWrap w:val="0"/>
              <w:adjustRightInd w:val="0"/>
              <w:snapToGrid w:val="0"/>
              <w:ind w:left="-105" w:right="-105"/>
              <w:jc w:val="center"/>
              <w:textAlignment w:val="center"/>
              <w:rPr>
                <w:bCs/>
                <w:color w:val="auto"/>
                <w:sz w:val="21"/>
                <w:szCs w:val="21"/>
                <w:highlight w:val="none"/>
              </w:rPr>
            </w:pPr>
            <w:r>
              <w:rPr>
                <w:rFonts w:hint="eastAsia" w:ascii="Times New Roman" w:hAnsi="Times New Roman" w:cs="Times New Roman"/>
                <w:bCs/>
                <w:color w:val="auto"/>
                <w:sz w:val="21"/>
                <w:szCs w:val="21"/>
                <w:highlight w:val="none"/>
              </w:rPr>
              <w:t>可燃</w:t>
            </w:r>
          </w:p>
        </w:tc>
        <w:tc>
          <w:tcPr>
            <w:tcW w:w="3084" w:type="dxa"/>
            <w:vAlign w:val="center"/>
          </w:tcPr>
          <w:p w14:paraId="61242A95">
            <w:pPr>
              <w:wordWrap w:val="0"/>
              <w:adjustRightInd w:val="0"/>
              <w:snapToGrid w:val="0"/>
              <w:ind w:left="-105" w:right="-105"/>
              <w:jc w:val="center"/>
              <w:textAlignment w:val="center"/>
              <w:rPr>
                <w:bCs/>
                <w:color w:val="auto"/>
                <w:sz w:val="21"/>
                <w:szCs w:val="21"/>
                <w:highlight w:val="none"/>
              </w:rPr>
            </w:pPr>
            <w:r>
              <w:rPr>
                <w:rFonts w:hint="eastAsia" w:ascii="Times New Roman" w:hAnsi="Times New Roman" w:cs="Times New Roman"/>
                <w:bCs/>
                <w:color w:val="auto"/>
                <w:sz w:val="21"/>
                <w:szCs w:val="21"/>
                <w:highlight w:val="none"/>
              </w:rPr>
              <w:t>LD</w:t>
            </w:r>
            <w:r>
              <w:rPr>
                <w:rFonts w:hint="eastAsia" w:ascii="Times New Roman" w:hAnsi="Times New Roman" w:cs="Times New Roman"/>
                <w:bCs/>
                <w:color w:val="auto"/>
                <w:sz w:val="21"/>
                <w:szCs w:val="21"/>
                <w:highlight w:val="none"/>
                <w:vertAlign w:val="subscript"/>
              </w:rPr>
              <w:t>50</w:t>
            </w:r>
            <w:r>
              <w:rPr>
                <w:rFonts w:hint="eastAsia" w:ascii="Times New Roman" w:hAnsi="Times New Roman" w:cs="Times New Roman"/>
                <w:bCs/>
                <w:color w:val="auto"/>
                <w:sz w:val="21"/>
                <w:szCs w:val="21"/>
                <w:highlight w:val="none"/>
              </w:rPr>
              <w:t>：1515mg/kg（鼠，经口）</w:t>
            </w:r>
          </w:p>
        </w:tc>
        <w:tc>
          <w:tcPr>
            <w:tcW w:w="1275" w:type="dxa"/>
            <w:vAlign w:val="center"/>
          </w:tcPr>
          <w:p w14:paraId="19A8836C">
            <w:pPr>
              <w:ind w:left="-105" w:right="-105"/>
              <w:jc w:val="center"/>
              <w:rPr>
                <w:rFonts w:hint="eastAsia" w:eastAsia="宋体"/>
                <w:bCs/>
                <w:color w:val="auto"/>
                <w:sz w:val="21"/>
                <w:szCs w:val="21"/>
                <w:highlight w:val="none"/>
                <w:lang w:eastAsia="zh-CN"/>
              </w:rPr>
            </w:pPr>
            <w:r>
              <w:rPr>
                <w:rFonts w:hint="eastAsia" w:ascii="Times New Roman" w:hAnsi="Times New Roman" w:cs="Times New Roman"/>
                <w:color w:val="auto"/>
                <w:sz w:val="21"/>
                <w:szCs w:val="21"/>
                <w:highlight w:val="none"/>
                <w:lang w:eastAsia="zh-CN"/>
              </w:rPr>
              <w:t>危险品仓库</w:t>
            </w:r>
          </w:p>
        </w:tc>
      </w:tr>
      <w:tr w14:paraId="427CED25">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889" w:type="dxa"/>
            <w:vAlign w:val="center"/>
          </w:tcPr>
          <w:p w14:paraId="12812D30">
            <w:pPr>
              <w:pStyle w:val="97"/>
              <w:numPr>
                <w:ilvl w:val="0"/>
                <w:numId w:val="22"/>
              </w:numPr>
              <w:ind w:left="-105" w:right="-105" w:firstLine="0" w:firstLineChars="0"/>
              <w:jc w:val="center"/>
              <w:rPr>
                <w:rFonts w:eastAsia="宋体"/>
                <w:bCs/>
                <w:color w:val="auto"/>
                <w:sz w:val="21"/>
                <w:szCs w:val="21"/>
                <w:highlight w:val="none"/>
              </w:rPr>
            </w:pPr>
          </w:p>
        </w:tc>
        <w:tc>
          <w:tcPr>
            <w:tcW w:w="1093" w:type="dxa"/>
            <w:vMerge w:val="continue"/>
            <w:vAlign w:val="center"/>
          </w:tcPr>
          <w:p w14:paraId="615571C3">
            <w:pPr>
              <w:pStyle w:val="97"/>
              <w:ind w:left="-105" w:right="-105" w:firstLine="0" w:firstLineChars="0"/>
              <w:jc w:val="center"/>
              <w:rPr>
                <w:rFonts w:eastAsia="宋体"/>
                <w:bCs/>
                <w:color w:val="auto"/>
                <w:sz w:val="21"/>
                <w:szCs w:val="21"/>
                <w:highlight w:val="none"/>
              </w:rPr>
            </w:pPr>
          </w:p>
        </w:tc>
        <w:tc>
          <w:tcPr>
            <w:tcW w:w="1467" w:type="dxa"/>
            <w:vAlign w:val="center"/>
          </w:tcPr>
          <w:p w14:paraId="21BCF587">
            <w:pPr>
              <w:ind w:left="-105" w:right="-105"/>
              <w:jc w:val="center"/>
              <w:rPr>
                <w:bCs/>
                <w:color w:val="auto"/>
                <w:sz w:val="21"/>
                <w:szCs w:val="21"/>
                <w:highlight w:val="none"/>
              </w:rPr>
            </w:pPr>
            <w:r>
              <w:rPr>
                <w:rFonts w:ascii="Times New Roman" w:hAnsi="Times New Roman" w:cs="Times New Roman"/>
                <w:color w:val="auto"/>
                <w:sz w:val="21"/>
                <w:szCs w:val="21"/>
                <w:highlight w:val="none"/>
              </w:rPr>
              <w:t>甲醇</w:t>
            </w:r>
          </w:p>
        </w:tc>
        <w:tc>
          <w:tcPr>
            <w:tcW w:w="912" w:type="dxa"/>
            <w:vAlign w:val="center"/>
          </w:tcPr>
          <w:p w14:paraId="6FE8694F">
            <w:pPr>
              <w:wordWrap w:val="0"/>
              <w:adjustRightInd w:val="0"/>
              <w:snapToGrid w:val="0"/>
              <w:ind w:left="-105" w:right="-105"/>
              <w:jc w:val="center"/>
              <w:textAlignment w:val="center"/>
              <w:rPr>
                <w:bCs/>
                <w:color w:val="auto"/>
                <w:sz w:val="21"/>
                <w:szCs w:val="21"/>
                <w:highlight w:val="none"/>
              </w:rPr>
            </w:pPr>
            <w:r>
              <w:rPr>
                <w:rFonts w:hint="eastAsia" w:ascii="Times New Roman" w:hAnsi="Times New Roman" w:cs="Times New Roman"/>
                <w:bCs/>
                <w:color w:val="auto"/>
                <w:sz w:val="21"/>
                <w:szCs w:val="21"/>
                <w:highlight w:val="none"/>
              </w:rPr>
              <w:t>易燃</w:t>
            </w:r>
          </w:p>
        </w:tc>
        <w:tc>
          <w:tcPr>
            <w:tcW w:w="3084" w:type="dxa"/>
            <w:vAlign w:val="center"/>
          </w:tcPr>
          <w:p w14:paraId="224A32DA">
            <w:pPr>
              <w:wordWrap w:val="0"/>
              <w:adjustRightInd w:val="0"/>
              <w:snapToGrid w:val="0"/>
              <w:ind w:left="-105" w:right="-105"/>
              <w:jc w:val="center"/>
              <w:textAlignment w:val="center"/>
              <w:rPr>
                <w:bCs/>
                <w:color w:val="auto"/>
                <w:sz w:val="21"/>
                <w:szCs w:val="21"/>
                <w:highlight w:val="none"/>
              </w:rPr>
            </w:pPr>
            <w:r>
              <w:rPr>
                <w:rFonts w:hint="eastAsia"/>
                <w:bCs/>
                <w:color w:val="auto"/>
                <w:sz w:val="21"/>
                <w:szCs w:val="21"/>
                <w:highlight w:val="none"/>
              </w:rPr>
              <w:t>无资料</w:t>
            </w:r>
          </w:p>
        </w:tc>
        <w:tc>
          <w:tcPr>
            <w:tcW w:w="1275" w:type="dxa"/>
            <w:vAlign w:val="center"/>
          </w:tcPr>
          <w:p w14:paraId="3172703D">
            <w:pPr>
              <w:ind w:left="-105" w:right="-105"/>
              <w:jc w:val="center"/>
              <w:rPr>
                <w:bCs/>
                <w:color w:val="auto"/>
                <w:sz w:val="21"/>
                <w:szCs w:val="21"/>
                <w:highlight w:val="none"/>
              </w:rPr>
            </w:pPr>
            <w:r>
              <w:rPr>
                <w:rFonts w:hint="eastAsia" w:ascii="Times New Roman" w:hAnsi="Times New Roman" w:cs="Times New Roman"/>
                <w:color w:val="auto"/>
                <w:sz w:val="21"/>
                <w:szCs w:val="21"/>
                <w:highlight w:val="none"/>
              </w:rPr>
              <w:t>化学试剂柜</w:t>
            </w:r>
          </w:p>
        </w:tc>
      </w:tr>
      <w:tr w14:paraId="5113DB0E">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889" w:type="dxa"/>
            <w:vAlign w:val="center"/>
          </w:tcPr>
          <w:p w14:paraId="483B8767">
            <w:pPr>
              <w:pStyle w:val="97"/>
              <w:numPr>
                <w:ilvl w:val="0"/>
                <w:numId w:val="22"/>
              </w:numPr>
              <w:ind w:left="-105" w:right="-105" w:firstLine="0" w:firstLineChars="0"/>
              <w:jc w:val="center"/>
              <w:rPr>
                <w:rFonts w:eastAsia="宋体"/>
                <w:bCs/>
                <w:color w:val="auto"/>
                <w:sz w:val="21"/>
                <w:szCs w:val="21"/>
                <w:highlight w:val="none"/>
              </w:rPr>
            </w:pPr>
          </w:p>
        </w:tc>
        <w:tc>
          <w:tcPr>
            <w:tcW w:w="1093" w:type="dxa"/>
            <w:vMerge w:val="continue"/>
            <w:vAlign w:val="center"/>
          </w:tcPr>
          <w:p w14:paraId="20112FC6">
            <w:pPr>
              <w:pStyle w:val="97"/>
              <w:ind w:left="-105" w:right="-105" w:firstLine="0" w:firstLineChars="0"/>
              <w:jc w:val="center"/>
              <w:rPr>
                <w:rFonts w:eastAsia="宋体"/>
                <w:bCs/>
                <w:color w:val="auto"/>
                <w:sz w:val="21"/>
                <w:szCs w:val="21"/>
                <w:highlight w:val="none"/>
              </w:rPr>
            </w:pPr>
          </w:p>
        </w:tc>
        <w:tc>
          <w:tcPr>
            <w:tcW w:w="1467" w:type="dxa"/>
            <w:vAlign w:val="center"/>
          </w:tcPr>
          <w:p w14:paraId="6D5D00F2">
            <w:pPr>
              <w:ind w:left="-105" w:right="-105"/>
              <w:jc w:val="center"/>
              <w:rPr>
                <w:bCs/>
                <w:color w:val="auto"/>
                <w:sz w:val="21"/>
                <w:szCs w:val="21"/>
                <w:highlight w:val="none"/>
              </w:rPr>
            </w:pPr>
            <w:r>
              <w:rPr>
                <w:rFonts w:ascii="Times New Roman" w:hAnsi="Times New Roman" w:cs="Times New Roman"/>
                <w:color w:val="auto"/>
                <w:sz w:val="21"/>
                <w:szCs w:val="21"/>
                <w:highlight w:val="none"/>
              </w:rPr>
              <w:t>硝酸</w:t>
            </w:r>
            <w:r>
              <w:rPr>
                <w:rFonts w:hint="eastAsia" w:ascii="Times New Roman" w:hAnsi="Times New Roman" w:cs="Times New Roman"/>
                <w:color w:val="auto"/>
                <w:sz w:val="21"/>
                <w:szCs w:val="21"/>
                <w:highlight w:val="none"/>
              </w:rPr>
              <w:t>（55%）</w:t>
            </w:r>
          </w:p>
        </w:tc>
        <w:tc>
          <w:tcPr>
            <w:tcW w:w="912" w:type="dxa"/>
            <w:vAlign w:val="center"/>
          </w:tcPr>
          <w:p w14:paraId="17DB3359">
            <w:pPr>
              <w:wordWrap w:val="0"/>
              <w:adjustRightInd w:val="0"/>
              <w:snapToGrid w:val="0"/>
              <w:ind w:left="-105" w:right="-105"/>
              <w:jc w:val="center"/>
              <w:textAlignment w:val="center"/>
              <w:rPr>
                <w:bCs/>
                <w:color w:val="auto"/>
                <w:sz w:val="21"/>
                <w:szCs w:val="21"/>
                <w:highlight w:val="none"/>
              </w:rPr>
            </w:pPr>
            <w:r>
              <w:rPr>
                <w:rFonts w:hint="eastAsia" w:ascii="Times New Roman" w:hAnsi="Times New Roman" w:cs="Times New Roman"/>
                <w:bCs/>
                <w:color w:val="auto"/>
                <w:sz w:val="21"/>
                <w:szCs w:val="21"/>
                <w:highlight w:val="none"/>
              </w:rPr>
              <w:t>可燃</w:t>
            </w:r>
          </w:p>
        </w:tc>
        <w:tc>
          <w:tcPr>
            <w:tcW w:w="3084" w:type="dxa"/>
            <w:vAlign w:val="center"/>
          </w:tcPr>
          <w:p w14:paraId="469BD63E">
            <w:pPr>
              <w:wordWrap w:val="0"/>
              <w:adjustRightInd w:val="0"/>
              <w:snapToGrid w:val="0"/>
              <w:ind w:left="-105" w:right="-105"/>
              <w:jc w:val="center"/>
              <w:textAlignment w:val="center"/>
              <w:rPr>
                <w:bCs/>
                <w:color w:val="auto"/>
                <w:sz w:val="21"/>
                <w:szCs w:val="21"/>
                <w:highlight w:val="none"/>
              </w:rPr>
            </w:pPr>
            <w:r>
              <w:rPr>
                <w:rFonts w:hint="eastAsia"/>
                <w:bCs/>
                <w:color w:val="auto"/>
                <w:sz w:val="21"/>
                <w:szCs w:val="21"/>
                <w:highlight w:val="none"/>
              </w:rPr>
              <w:t>无资料</w:t>
            </w:r>
          </w:p>
        </w:tc>
        <w:tc>
          <w:tcPr>
            <w:tcW w:w="1275" w:type="dxa"/>
            <w:vAlign w:val="center"/>
          </w:tcPr>
          <w:p w14:paraId="3406F911">
            <w:pPr>
              <w:ind w:left="-105" w:right="-105"/>
              <w:jc w:val="center"/>
              <w:rPr>
                <w:rFonts w:hint="eastAsia" w:eastAsia="宋体"/>
                <w:bCs/>
                <w:color w:val="auto"/>
                <w:sz w:val="21"/>
                <w:szCs w:val="21"/>
                <w:highlight w:val="none"/>
                <w:lang w:eastAsia="zh-CN"/>
              </w:rPr>
            </w:pPr>
            <w:r>
              <w:rPr>
                <w:rFonts w:hint="eastAsia" w:ascii="Times New Roman" w:hAnsi="Times New Roman" w:cs="Times New Roman"/>
                <w:color w:val="auto"/>
                <w:sz w:val="21"/>
                <w:szCs w:val="21"/>
                <w:highlight w:val="none"/>
                <w:lang w:eastAsia="zh-CN"/>
              </w:rPr>
              <w:t>防爆间</w:t>
            </w:r>
          </w:p>
        </w:tc>
      </w:tr>
      <w:tr w14:paraId="5C226D18">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889" w:type="dxa"/>
            <w:vAlign w:val="center"/>
          </w:tcPr>
          <w:p w14:paraId="520E9278">
            <w:pPr>
              <w:pStyle w:val="97"/>
              <w:numPr>
                <w:ilvl w:val="0"/>
                <w:numId w:val="22"/>
              </w:numPr>
              <w:ind w:left="-105" w:right="-105" w:firstLine="0" w:firstLineChars="0"/>
              <w:jc w:val="center"/>
              <w:rPr>
                <w:rFonts w:eastAsia="宋体"/>
                <w:bCs/>
                <w:color w:val="auto"/>
                <w:sz w:val="21"/>
                <w:szCs w:val="21"/>
                <w:highlight w:val="none"/>
              </w:rPr>
            </w:pPr>
          </w:p>
        </w:tc>
        <w:tc>
          <w:tcPr>
            <w:tcW w:w="1093" w:type="dxa"/>
            <w:vMerge w:val="continue"/>
            <w:vAlign w:val="center"/>
          </w:tcPr>
          <w:p w14:paraId="46FA0F50">
            <w:pPr>
              <w:pStyle w:val="97"/>
              <w:ind w:left="-105" w:right="-105" w:firstLine="0" w:firstLineChars="0"/>
              <w:jc w:val="center"/>
              <w:rPr>
                <w:rFonts w:eastAsia="宋体"/>
                <w:bCs/>
                <w:color w:val="auto"/>
                <w:sz w:val="21"/>
                <w:szCs w:val="21"/>
                <w:highlight w:val="none"/>
              </w:rPr>
            </w:pPr>
          </w:p>
        </w:tc>
        <w:tc>
          <w:tcPr>
            <w:tcW w:w="1467" w:type="dxa"/>
            <w:vAlign w:val="center"/>
          </w:tcPr>
          <w:p w14:paraId="2509F12B">
            <w:pPr>
              <w:ind w:left="-105" w:right="-105"/>
              <w:jc w:val="center"/>
              <w:rPr>
                <w:bCs/>
                <w:color w:val="auto"/>
                <w:sz w:val="21"/>
                <w:szCs w:val="21"/>
                <w:highlight w:val="none"/>
              </w:rPr>
            </w:pPr>
            <w:r>
              <w:rPr>
                <w:rFonts w:ascii="Times New Roman" w:hAnsi="Times New Roman" w:cs="Times New Roman"/>
                <w:color w:val="auto"/>
                <w:sz w:val="21"/>
                <w:szCs w:val="21"/>
                <w:highlight w:val="none"/>
              </w:rPr>
              <w:t>卡尔费休试剂</w:t>
            </w:r>
          </w:p>
        </w:tc>
        <w:tc>
          <w:tcPr>
            <w:tcW w:w="912" w:type="dxa"/>
            <w:vAlign w:val="center"/>
          </w:tcPr>
          <w:p w14:paraId="1ED4CAD9">
            <w:pPr>
              <w:wordWrap w:val="0"/>
              <w:adjustRightInd w:val="0"/>
              <w:snapToGrid w:val="0"/>
              <w:ind w:left="-105" w:right="-105"/>
              <w:jc w:val="center"/>
              <w:textAlignment w:val="center"/>
              <w:rPr>
                <w:bCs/>
                <w:color w:val="auto"/>
                <w:sz w:val="21"/>
                <w:szCs w:val="21"/>
                <w:highlight w:val="none"/>
              </w:rPr>
            </w:pPr>
            <w:r>
              <w:rPr>
                <w:rFonts w:hint="eastAsia" w:ascii="Times New Roman" w:hAnsi="Times New Roman" w:cs="Times New Roman"/>
                <w:bCs/>
                <w:color w:val="auto"/>
                <w:sz w:val="21"/>
                <w:szCs w:val="21"/>
                <w:highlight w:val="none"/>
              </w:rPr>
              <w:t>可燃</w:t>
            </w:r>
          </w:p>
        </w:tc>
        <w:tc>
          <w:tcPr>
            <w:tcW w:w="3084" w:type="dxa"/>
            <w:vAlign w:val="center"/>
          </w:tcPr>
          <w:p w14:paraId="43E414EE">
            <w:pPr>
              <w:wordWrap w:val="0"/>
              <w:adjustRightInd w:val="0"/>
              <w:snapToGrid w:val="0"/>
              <w:ind w:left="-105" w:right="-105"/>
              <w:jc w:val="center"/>
              <w:textAlignment w:val="center"/>
              <w:rPr>
                <w:bCs/>
                <w:color w:val="auto"/>
                <w:sz w:val="21"/>
                <w:szCs w:val="21"/>
                <w:highlight w:val="none"/>
              </w:rPr>
            </w:pPr>
            <w:r>
              <w:rPr>
                <w:rFonts w:hint="eastAsia" w:ascii="Times New Roman" w:hAnsi="Times New Roman" w:cs="Times New Roman"/>
                <w:bCs/>
                <w:color w:val="auto"/>
                <w:sz w:val="21"/>
                <w:szCs w:val="21"/>
                <w:highlight w:val="none"/>
              </w:rPr>
              <w:t>LD</w:t>
            </w:r>
            <w:r>
              <w:rPr>
                <w:rFonts w:hint="eastAsia" w:ascii="Times New Roman" w:hAnsi="Times New Roman" w:cs="Times New Roman"/>
                <w:bCs/>
                <w:color w:val="auto"/>
                <w:sz w:val="21"/>
                <w:szCs w:val="21"/>
                <w:highlight w:val="none"/>
                <w:vertAlign w:val="subscript"/>
              </w:rPr>
              <w:t>50</w:t>
            </w:r>
            <w:r>
              <w:rPr>
                <w:rFonts w:hint="eastAsia" w:ascii="Times New Roman" w:hAnsi="Times New Roman" w:cs="Times New Roman"/>
                <w:bCs/>
                <w:color w:val="auto"/>
                <w:sz w:val="21"/>
                <w:szCs w:val="21"/>
                <w:highlight w:val="none"/>
              </w:rPr>
              <w:t>：100mg/kg(兔经皮)</w:t>
            </w:r>
          </w:p>
        </w:tc>
        <w:tc>
          <w:tcPr>
            <w:tcW w:w="1275" w:type="dxa"/>
            <w:vAlign w:val="center"/>
          </w:tcPr>
          <w:p w14:paraId="38C274D8">
            <w:pPr>
              <w:ind w:left="-105" w:right="-105"/>
              <w:jc w:val="center"/>
              <w:rPr>
                <w:bCs/>
                <w:color w:val="auto"/>
                <w:sz w:val="21"/>
                <w:szCs w:val="21"/>
                <w:highlight w:val="none"/>
              </w:rPr>
            </w:pPr>
            <w:r>
              <w:rPr>
                <w:rFonts w:hint="eastAsia" w:ascii="Times New Roman" w:hAnsi="Times New Roman" w:cs="Times New Roman"/>
                <w:color w:val="auto"/>
                <w:sz w:val="21"/>
                <w:szCs w:val="21"/>
                <w:highlight w:val="none"/>
              </w:rPr>
              <w:t>化学试剂柜</w:t>
            </w:r>
          </w:p>
        </w:tc>
      </w:tr>
      <w:tr w14:paraId="6FA16CA3">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889" w:type="dxa"/>
            <w:vAlign w:val="center"/>
          </w:tcPr>
          <w:p w14:paraId="06AA4D90">
            <w:pPr>
              <w:pStyle w:val="97"/>
              <w:numPr>
                <w:ilvl w:val="0"/>
                <w:numId w:val="22"/>
              </w:numPr>
              <w:ind w:left="-105" w:right="-105" w:firstLine="0" w:firstLineChars="0"/>
              <w:jc w:val="center"/>
              <w:rPr>
                <w:rFonts w:eastAsia="宋体"/>
                <w:bCs/>
                <w:color w:val="auto"/>
                <w:sz w:val="21"/>
                <w:szCs w:val="21"/>
                <w:highlight w:val="none"/>
              </w:rPr>
            </w:pPr>
          </w:p>
        </w:tc>
        <w:tc>
          <w:tcPr>
            <w:tcW w:w="1093" w:type="dxa"/>
            <w:vMerge w:val="continue"/>
            <w:vAlign w:val="center"/>
          </w:tcPr>
          <w:p w14:paraId="68041237">
            <w:pPr>
              <w:pStyle w:val="97"/>
              <w:ind w:left="-105" w:right="-105" w:firstLine="0" w:firstLineChars="0"/>
              <w:jc w:val="center"/>
              <w:rPr>
                <w:rFonts w:eastAsia="宋体"/>
                <w:bCs/>
                <w:color w:val="auto"/>
                <w:sz w:val="21"/>
                <w:szCs w:val="21"/>
                <w:highlight w:val="none"/>
              </w:rPr>
            </w:pPr>
          </w:p>
        </w:tc>
        <w:tc>
          <w:tcPr>
            <w:tcW w:w="1467" w:type="dxa"/>
            <w:vAlign w:val="center"/>
          </w:tcPr>
          <w:p w14:paraId="5CCAF2A3">
            <w:pPr>
              <w:ind w:left="-105" w:right="-105"/>
              <w:jc w:val="center"/>
              <w:rPr>
                <w:bCs/>
                <w:color w:val="auto"/>
                <w:sz w:val="21"/>
                <w:szCs w:val="21"/>
                <w:highlight w:val="none"/>
              </w:rPr>
            </w:pPr>
            <w:r>
              <w:rPr>
                <w:rFonts w:ascii="Times New Roman" w:hAnsi="Times New Roman" w:cs="Times New Roman"/>
                <w:color w:val="auto"/>
                <w:sz w:val="21"/>
                <w:szCs w:val="21"/>
                <w:highlight w:val="none"/>
              </w:rPr>
              <w:t>异丙醇</w:t>
            </w:r>
          </w:p>
        </w:tc>
        <w:tc>
          <w:tcPr>
            <w:tcW w:w="912" w:type="dxa"/>
            <w:vAlign w:val="center"/>
          </w:tcPr>
          <w:p w14:paraId="52EFDDA1">
            <w:pPr>
              <w:wordWrap w:val="0"/>
              <w:adjustRightInd w:val="0"/>
              <w:snapToGrid w:val="0"/>
              <w:ind w:left="-105" w:right="-105"/>
              <w:jc w:val="center"/>
              <w:textAlignment w:val="center"/>
              <w:rPr>
                <w:bCs/>
                <w:color w:val="auto"/>
                <w:sz w:val="21"/>
                <w:szCs w:val="21"/>
                <w:highlight w:val="none"/>
              </w:rPr>
            </w:pPr>
            <w:r>
              <w:rPr>
                <w:rFonts w:hint="eastAsia" w:ascii="Times New Roman" w:hAnsi="Times New Roman" w:cs="Times New Roman"/>
                <w:bCs/>
                <w:color w:val="auto"/>
                <w:sz w:val="21"/>
                <w:szCs w:val="21"/>
                <w:highlight w:val="none"/>
              </w:rPr>
              <w:t>易燃</w:t>
            </w:r>
          </w:p>
        </w:tc>
        <w:tc>
          <w:tcPr>
            <w:tcW w:w="3084" w:type="dxa"/>
            <w:vAlign w:val="center"/>
          </w:tcPr>
          <w:p w14:paraId="42EBE83E">
            <w:pPr>
              <w:wordWrap w:val="0"/>
              <w:adjustRightInd w:val="0"/>
              <w:snapToGrid w:val="0"/>
              <w:ind w:left="-105" w:right="-105"/>
              <w:jc w:val="center"/>
              <w:textAlignment w:val="center"/>
              <w:rPr>
                <w:rFonts w:ascii="Times New Roman" w:hAnsi="Times New Roman" w:cs="Times New Roman"/>
                <w:bCs/>
                <w:color w:val="auto"/>
                <w:sz w:val="21"/>
                <w:szCs w:val="21"/>
                <w:highlight w:val="none"/>
              </w:rPr>
            </w:pPr>
            <w:r>
              <w:rPr>
                <w:rFonts w:hint="eastAsia" w:ascii="Times New Roman" w:hAnsi="Times New Roman" w:cs="Times New Roman"/>
                <w:bCs/>
                <w:color w:val="auto"/>
                <w:sz w:val="21"/>
                <w:szCs w:val="21"/>
                <w:highlight w:val="none"/>
              </w:rPr>
              <w:t>LD</w:t>
            </w:r>
            <w:r>
              <w:rPr>
                <w:rFonts w:hint="eastAsia" w:ascii="Times New Roman" w:hAnsi="Times New Roman" w:cs="Times New Roman"/>
                <w:bCs/>
                <w:color w:val="auto"/>
                <w:sz w:val="21"/>
                <w:szCs w:val="21"/>
                <w:highlight w:val="none"/>
                <w:vertAlign w:val="subscript"/>
              </w:rPr>
              <w:t>50</w:t>
            </w:r>
            <w:r>
              <w:rPr>
                <w:rFonts w:hint="eastAsia" w:ascii="Times New Roman" w:hAnsi="Times New Roman" w:cs="Times New Roman"/>
                <w:bCs/>
                <w:color w:val="auto"/>
                <w:sz w:val="21"/>
                <w:szCs w:val="21"/>
                <w:highlight w:val="none"/>
              </w:rPr>
              <w:t>：5045mg/kg（鼠，经口）；</w:t>
            </w:r>
          </w:p>
          <w:p w14:paraId="467C128A">
            <w:pPr>
              <w:wordWrap w:val="0"/>
              <w:adjustRightInd w:val="0"/>
              <w:snapToGrid w:val="0"/>
              <w:ind w:left="-105" w:right="-105"/>
              <w:jc w:val="center"/>
              <w:textAlignment w:val="center"/>
              <w:rPr>
                <w:bCs/>
                <w:color w:val="auto"/>
                <w:sz w:val="21"/>
                <w:szCs w:val="21"/>
                <w:highlight w:val="none"/>
              </w:rPr>
            </w:pPr>
            <w:r>
              <w:rPr>
                <w:rFonts w:hint="eastAsia" w:ascii="Times New Roman" w:hAnsi="Times New Roman" w:cs="Times New Roman"/>
                <w:bCs/>
                <w:color w:val="auto"/>
                <w:sz w:val="21"/>
                <w:szCs w:val="21"/>
                <w:highlight w:val="none"/>
              </w:rPr>
              <w:t>LD</w:t>
            </w:r>
            <w:r>
              <w:rPr>
                <w:rFonts w:hint="eastAsia" w:ascii="Times New Roman" w:hAnsi="Times New Roman" w:cs="Times New Roman"/>
                <w:bCs/>
                <w:color w:val="auto"/>
                <w:sz w:val="21"/>
                <w:szCs w:val="21"/>
                <w:highlight w:val="none"/>
                <w:vertAlign w:val="subscript"/>
              </w:rPr>
              <w:t>50</w:t>
            </w:r>
            <w:r>
              <w:rPr>
                <w:rFonts w:hint="eastAsia" w:ascii="Times New Roman" w:hAnsi="Times New Roman" w:cs="Times New Roman"/>
                <w:bCs/>
                <w:color w:val="auto"/>
                <w:sz w:val="21"/>
                <w:szCs w:val="21"/>
                <w:highlight w:val="none"/>
              </w:rPr>
              <w:t>：12800mg/kg(兔经皮)</w:t>
            </w:r>
          </w:p>
        </w:tc>
        <w:tc>
          <w:tcPr>
            <w:tcW w:w="1275" w:type="dxa"/>
            <w:vAlign w:val="center"/>
          </w:tcPr>
          <w:p w14:paraId="3A960B5E">
            <w:pPr>
              <w:ind w:left="-105" w:right="-105"/>
              <w:jc w:val="center"/>
              <w:rPr>
                <w:bCs/>
                <w:color w:val="auto"/>
                <w:sz w:val="21"/>
                <w:szCs w:val="21"/>
                <w:highlight w:val="none"/>
              </w:rPr>
            </w:pPr>
            <w:r>
              <w:rPr>
                <w:rFonts w:hint="eastAsia" w:ascii="Times New Roman" w:hAnsi="Times New Roman" w:cs="Times New Roman"/>
                <w:color w:val="auto"/>
                <w:sz w:val="21"/>
                <w:szCs w:val="21"/>
                <w:highlight w:val="none"/>
              </w:rPr>
              <w:t>化学试剂柜</w:t>
            </w:r>
          </w:p>
        </w:tc>
      </w:tr>
      <w:tr w14:paraId="228110DD">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889" w:type="dxa"/>
            <w:vAlign w:val="center"/>
          </w:tcPr>
          <w:p w14:paraId="707C825F">
            <w:pPr>
              <w:pStyle w:val="97"/>
              <w:numPr>
                <w:ilvl w:val="0"/>
                <w:numId w:val="22"/>
              </w:numPr>
              <w:ind w:left="-105" w:right="-105" w:firstLine="0" w:firstLineChars="0"/>
              <w:jc w:val="center"/>
              <w:rPr>
                <w:rFonts w:eastAsia="宋体"/>
                <w:bCs/>
                <w:color w:val="auto"/>
                <w:sz w:val="21"/>
                <w:szCs w:val="21"/>
                <w:highlight w:val="none"/>
              </w:rPr>
            </w:pPr>
          </w:p>
        </w:tc>
        <w:tc>
          <w:tcPr>
            <w:tcW w:w="1093" w:type="dxa"/>
            <w:vMerge w:val="restart"/>
            <w:vAlign w:val="center"/>
          </w:tcPr>
          <w:p w14:paraId="40933785">
            <w:pPr>
              <w:pStyle w:val="97"/>
              <w:ind w:left="-105" w:right="-105" w:firstLine="0" w:firstLineChars="0"/>
              <w:jc w:val="center"/>
              <w:rPr>
                <w:rFonts w:hint="eastAsia" w:eastAsia="宋体"/>
                <w:bCs/>
                <w:color w:val="auto"/>
                <w:sz w:val="21"/>
                <w:szCs w:val="21"/>
                <w:highlight w:val="none"/>
                <w:lang w:val="en-US" w:eastAsia="zh-CN"/>
              </w:rPr>
            </w:pPr>
            <w:r>
              <w:rPr>
                <w:rFonts w:hint="eastAsia" w:eastAsia="宋体"/>
                <w:bCs/>
                <w:color w:val="auto"/>
                <w:sz w:val="21"/>
                <w:szCs w:val="21"/>
                <w:highlight w:val="none"/>
                <w:lang w:val="en-US" w:eastAsia="zh-CN"/>
              </w:rPr>
              <w:t>产品</w:t>
            </w:r>
          </w:p>
        </w:tc>
        <w:tc>
          <w:tcPr>
            <w:tcW w:w="1467" w:type="dxa"/>
            <w:vAlign w:val="center"/>
          </w:tcPr>
          <w:p w14:paraId="69C9033E">
            <w:pPr>
              <w:pStyle w:val="236"/>
              <w:keepNext w:val="0"/>
              <w:keepLines w:val="0"/>
              <w:pageBreakBefore w:val="0"/>
              <w:widowControl/>
              <w:kinsoku/>
              <w:wordWrap/>
              <w:overflowPunct/>
              <w:topLinePunct w:val="0"/>
              <w:autoSpaceDE/>
              <w:autoSpaceDN/>
              <w:bidi w:val="0"/>
              <w:ind w:left="0" w:leftChars="0" w:right="0" w:rightChars="0"/>
              <w:jc w:val="center"/>
              <w:rPr>
                <w:rFonts w:ascii="Times New Roman" w:hAnsi="Times New Roman" w:cs="Times New Roman"/>
                <w:color w:val="auto"/>
                <w:sz w:val="21"/>
                <w:szCs w:val="21"/>
                <w:highlight w:val="none"/>
              </w:rPr>
            </w:pPr>
            <w:r>
              <w:rPr>
                <w:rFonts w:ascii="Times New Roman" w:hAnsi="Times New Roman" w:eastAsia="宋体" w:cs="Times New Roman"/>
                <w:color w:val="auto"/>
                <w:spacing w:val="7"/>
                <w:sz w:val="21"/>
                <w:szCs w:val="21"/>
                <w:highlight w:val="none"/>
              </w:rPr>
              <w:t>聚氨酯丙烯酸酯</w:t>
            </w:r>
          </w:p>
        </w:tc>
        <w:tc>
          <w:tcPr>
            <w:tcW w:w="912" w:type="dxa"/>
            <w:vAlign w:val="center"/>
          </w:tcPr>
          <w:p w14:paraId="73EBC0C1">
            <w:pPr>
              <w:wordWrap w:val="0"/>
              <w:adjustRightInd w:val="0"/>
              <w:snapToGrid w:val="0"/>
              <w:ind w:left="-105" w:leftChars="0" w:right="-105" w:rightChars="0"/>
              <w:jc w:val="center"/>
              <w:textAlignment w:val="center"/>
              <w:rPr>
                <w:rFonts w:hint="eastAsia" w:ascii="Times New Roman" w:hAnsi="Times New Roman" w:cs="Times New Roman"/>
                <w:bCs/>
                <w:color w:val="auto"/>
                <w:sz w:val="21"/>
                <w:szCs w:val="21"/>
                <w:highlight w:val="none"/>
              </w:rPr>
            </w:pPr>
            <w:r>
              <w:rPr>
                <w:rFonts w:hint="eastAsia" w:ascii="Times New Roman" w:hAnsi="Times New Roman" w:cs="Times New Roman"/>
                <w:bCs/>
                <w:color w:val="auto"/>
                <w:sz w:val="21"/>
                <w:szCs w:val="21"/>
                <w:highlight w:val="none"/>
                <w:lang w:val="en-US" w:eastAsia="zh-CN"/>
              </w:rPr>
              <w:t>可燃</w:t>
            </w:r>
          </w:p>
        </w:tc>
        <w:tc>
          <w:tcPr>
            <w:tcW w:w="3084" w:type="dxa"/>
            <w:vAlign w:val="center"/>
          </w:tcPr>
          <w:p w14:paraId="644FB419">
            <w:pPr>
              <w:wordWrap w:val="0"/>
              <w:adjustRightInd w:val="0"/>
              <w:snapToGrid w:val="0"/>
              <w:ind w:left="-105" w:right="-105"/>
              <w:jc w:val="center"/>
              <w:textAlignment w:val="center"/>
              <w:rPr>
                <w:rFonts w:hint="eastAsia" w:ascii="Times New Roman" w:hAnsi="Times New Roman" w:cs="Times New Roman"/>
                <w:bCs/>
                <w:color w:val="auto"/>
                <w:sz w:val="21"/>
                <w:szCs w:val="21"/>
                <w:highlight w:val="none"/>
                <w:lang w:val="en-US" w:eastAsia="zh-CN"/>
              </w:rPr>
            </w:pPr>
            <w:r>
              <w:rPr>
                <w:rFonts w:hint="eastAsia" w:ascii="Times New Roman" w:hAnsi="Times New Roman" w:cs="Times New Roman"/>
                <w:bCs/>
                <w:color w:val="auto"/>
                <w:sz w:val="21"/>
                <w:szCs w:val="21"/>
                <w:highlight w:val="none"/>
                <w:lang w:val="en-US" w:eastAsia="zh-CN"/>
              </w:rPr>
              <w:t>LD</w:t>
            </w:r>
            <w:r>
              <w:rPr>
                <w:rFonts w:hint="eastAsia" w:ascii="Times New Roman" w:hAnsi="Times New Roman" w:cs="Times New Roman"/>
                <w:bCs/>
                <w:color w:val="auto"/>
                <w:sz w:val="21"/>
                <w:szCs w:val="21"/>
                <w:highlight w:val="none"/>
                <w:vertAlign w:val="subscript"/>
                <w:lang w:val="en-US" w:eastAsia="zh-CN"/>
              </w:rPr>
              <w:t>50</w:t>
            </w:r>
            <w:r>
              <w:rPr>
                <w:rFonts w:hint="eastAsia" w:ascii="Times New Roman" w:hAnsi="Times New Roman" w:cs="Times New Roman"/>
                <w:bCs/>
                <w:color w:val="auto"/>
                <w:sz w:val="21"/>
                <w:szCs w:val="21"/>
                <w:highlight w:val="none"/>
                <w:lang w:val="en-US" w:eastAsia="zh-CN"/>
              </w:rPr>
              <w:t>：4300mg/kg（大鼠吞食）</w:t>
            </w:r>
          </w:p>
          <w:p w14:paraId="364CE497">
            <w:pPr>
              <w:wordWrap w:val="0"/>
              <w:adjustRightInd w:val="0"/>
              <w:snapToGrid w:val="0"/>
              <w:ind w:left="-105" w:leftChars="0" w:right="-105" w:rightChars="0"/>
              <w:jc w:val="center"/>
              <w:textAlignment w:val="center"/>
              <w:rPr>
                <w:rFonts w:hint="eastAsia" w:ascii="Times New Roman" w:hAnsi="Times New Roman" w:cs="Times New Roman"/>
                <w:bCs/>
                <w:color w:val="auto"/>
                <w:sz w:val="21"/>
                <w:szCs w:val="21"/>
                <w:highlight w:val="none"/>
              </w:rPr>
            </w:pPr>
            <w:r>
              <w:rPr>
                <w:rFonts w:hint="eastAsia" w:ascii="Times New Roman" w:hAnsi="Times New Roman" w:cs="Times New Roman"/>
                <w:bCs/>
                <w:color w:val="auto"/>
                <w:sz w:val="21"/>
                <w:szCs w:val="21"/>
                <w:highlight w:val="none"/>
                <w:lang w:val="en-US" w:eastAsia="zh-CN"/>
              </w:rPr>
              <w:t>LC</w:t>
            </w:r>
            <w:r>
              <w:rPr>
                <w:rFonts w:hint="eastAsia" w:ascii="Times New Roman" w:hAnsi="Times New Roman" w:cs="Times New Roman"/>
                <w:bCs/>
                <w:color w:val="auto"/>
                <w:sz w:val="21"/>
                <w:szCs w:val="21"/>
                <w:highlight w:val="none"/>
                <w:vertAlign w:val="subscript"/>
                <w:lang w:val="en-US" w:eastAsia="zh-CN"/>
              </w:rPr>
              <w:t>50:</w:t>
            </w:r>
            <w:r>
              <w:rPr>
                <w:rFonts w:hint="eastAsia" w:ascii="Times New Roman" w:hAnsi="Times New Roman" w:cs="Times New Roman"/>
                <w:bCs/>
                <w:color w:val="auto"/>
                <w:sz w:val="21"/>
                <w:szCs w:val="21"/>
                <w:highlight w:val="none"/>
                <w:vertAlign w:val="baseline"/>
                <w:lang w:val="en-US" w:eastAsia="zh-CN"/>
              </w:rPr>
              <w:t>5000ppm/4h（大鼠吸入）</w:t>
            </w:r>
          </w:p>
        </w:tc>
        <w:tc>
          <w:tcPr>
            <w:tcW w:w="1275" w:type="dxa"/>
            <w:vAlign w:val="center"/>
          </w:tcPr>
          <w:p w14:paraId="59B563C2">
            <w:pPr>
              <w:ind w:left="-105" w:right="-105"/>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成品仓库</w:t>
            </w:r>
          </w:p>
        </w:tc>
      </w:tr>
      <w:tr w14:paraId="2A560476">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889" w:type="dxa"/>
            <w:vAlign w:val="center"/>
          </w:tcPr>
          <w:p w14:paraId="219DF3B8">
            <w:pPr>
              <w:pStyle w:val="97"/>
              <w:numPr>
                <w:ilvl w:val="0"/>
                <w:numId w:val="22"/>
              </w:numPr>
              <w:ind w:left="-105" w:right="-105" w:firstLine="0" w:firstLineChars="0"/>
              <w:jc w:val="center"/>
              <w:rPr>
                <w:rFonts w:eastAsia="宋体"/>
                <w:bCs/>
                <w:color w:val="auto"/>
                <w:sz w:val="21"/>
                <w:szCs w:val="21"/>
                <w:highlight w:val="none"/>
              </w:rPr>
            </w:pPr>
          </w:p>
        </w:tc>
        <w:tc>
          <w:tcPr>
            <w:tcW w:w="1093" w:type="dxa"/>
            <w:vMerge w:val="continue"/>
            <w:vAlign w:val="center"/>
          </w:tcPr>
          <w:p w14:paraId="4BBE8031">
            <w:pPr>
              <w:pStyle w:val="97"/>
              <w:ind w:left="-105" w:right="-105" w:firstLine="0" w:firstLineChars="0"/>
              <w:jc w:val="center"/>
              <w:rPr>
                <w:rFonts w:eastAsia="宋体"/>
                <w:bCs/>
                <w:color w:val="auto"/>
                <w:sz w:val="21"/>
                <w:szCs w:val="21"/>
                <w:highlight w:val="none"/>
              </w:rPr>
            </w:pPr>
          </w:p>
        </w:tc>
        <w:tc>
          <w:tcPr>
            <w:tcW w:w="1467" w:type="dxa"/>
            <w:vAlign w:val="center"/>
          </w:tcPr>
          <w:p w14:paraId="1A3D7D69">
            <w:pPr>
              <w:pStyle w:val="236"/>
              <w:keepNext w:val="0"/>
              <w:keepLines w:val="0"/>
              <w:pageBreakBefore w:val="0"/>
              <w:widowControl/>
              <w:kinsoku/>
              <w:wordWrap/>
              <w:overflowPunct/>
              <w:topLinePunct w:val="0"/>
              <w:autoSpaceDE/>
              <w:autoSpaceDN/>
              <w:bidi w:val="0"/>
              <w:ind w:left="0" w:leftChars="0" w:right="0" w:rightChars="0"/>
              <w:jc w:val="center"/>
              <w:rPr>
                <w:rFonts w:ascii="Times New Roman" w:hAnsi="Times New Roman" w:cs="Times New Roman"/>
                <w:color w:val="auto"/>
                <w:sz w:val="21"/>
                <w:szCs w:val="21"/>
                <w:highlight w:val="none"/>
              </w:rPr>
            </w:pPr>
            <w:r>
              <w:rPr>
                <w:rFonts w:ascii="Times New Roman" w:hAnsi="Times New Roman" w:eastAsia="宋体" w:cs="Times New Roman"/>
                <w:color w:val="auto"/>
                <w:spacing w:val="8"/>
                <w:sz w:val="21"/>
                <w:szCs w:val="21"/>
                <w:highlight w:val="none"/>
              </w:rPr>
              <w:t>丙烯酸酯组成物</w:t>
            </w:r>
          </w:p>
        </w:tc>
        <w:tc>
          <w:tcPr>
            <w:tcW w:w="912" w:type="dxa"/>
            <w:vAlign w:val="center"/>
          </w:tcPr>
          <w:p w14:paraId="55943AA8">
            <w:pPr>
              <w:wordWrap w:val="0"/>
              <w:adjustRightInd w:val="0"/>
              <w:snapToGrid w:val="0"/>
              <w:ind w:left="-105" w:right="-105"/>
              <w:jc w:val="center"/>
              <w:textAlignment w:val="center"/>
              <w:rPr>
                <w:rFonts w:hint="eastAsia" w:ascii="Times New Roman" w:hAnsi="Times New Roman" w:cs="Times New Roman"/>
                <w:bCs/>
                <w:color w:val="auto"/>
                <w:sz w:val="21"/>
                <w:szCs w:val="21"/>
                <w:highlight w:val="none"/>
              </w:rPr>
            </w:pPr>
            <w:r>
              <w:rPr>
                <w:rFonts w:hint="eastAsia" w:ascii="Times New Roman" w:hAnsi="Times New Roman" w:cs="Times New Roman"/>
                <w:bCs/>
                <w:color w:val="auto"/>
                <w:sz w:val="21"/>
                <w:szCs w:val="21"/>
                <w:highlight w:val="none"/>
                <w:lang w:val="en-US" w:eastAsia="zh-CN"/>
              </w:rPr>
              <w:t>可燃</w:t>
            </w:r>
          </w:p>
        </w:tc>
        <w:tc>
          <w:tcPr>
            <w:tcW w:w="3084" w:type="dxa"/>
            <w:vAlign w:val="center"/>
          </w:tcPr>
          <w:p w14:paraId="084494EE">
            <w:pPr>
              <w:wordWrap w:val="0"/>
              <w:adjustRightInd w:val="0"/>
              <w:snapToGrid w:val="0"/>
              <w:ind w:left="-105" w:right="-105"/>
              <w:jc w:val="center"/>
              <w:textAlignment w:val="center"/>
              <w:rPr>
                <w:rFonts w:hint="eastAsia" w:ascii="Times New Roman" w:hAnsi="Times New Roman" w:cs="Times New Roman"/>
                <w:bCs/>
                <w:color w:val="auto"/>
                <w:sz w:val="21"/>
                <w:szCs w:val="21"/>
                <w:highlight w:val="none"/>
              </w:rPr>
            </w:pPr>
            <w:r>
              <w:rPr>
                <w:rFonts w:hint="eastAsia" w:ascii="Times New Roman" w:hAnsi="Times New Roman" w:cs="Times New Roman"/>
                <w:bCs/>
                <w:color w:val="auto"/>
                <w:sz w:val="21"/>
                <w:szCs w:val="21"/>
                <w:highlight w:val="none"/>
                <w:lang w:val="en-US" w:eastAsia="zh-CN"/>
              </w:rPr>
              <w:t>无资料</w:t>
            </w:r>
          </w:p>
        </w:tc>
        <w:tc>
          <w:tcPr>
            <w:tcW w:w="1275" w:type="dxa"/>
            <w:vAlign w:val="center"/>
          </w:tcPr>
          <w:p w14:paraId="74F76E34">
            <w:pPr>
              <w:ind w:left="-105" w:right="-105"/>
              <w:jc w:val="center"/>
              <w:rPr>
                <w:rFonts w:hint="eastAsia"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lang w:val="en-US" w:eastAsia="zh-CN"/>
              </w:rPr>
              <w:t>成品仓库</w:t>
            </w:r>
          </w:p>
        </w:tc>
      </w:tr>
      <w:tr w14:paraId="1C478913">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889" w:type="dxa"/>
            <w:vAlign w:val="center"/>
          </w:tcPr>
          <w:p w14:paraId="441E767A">
            <w:pPr>
              <w:pStyle w:val="97"/>
              <w:numPr>
                <w:ilvl w:val="0"/>
                <w:numId w:val="22"/>
              </w:numPr>
              <w:ind w:left="-105" w:right="-105" w:firstLine="0" w:firstLineChars="0"/>
              <w:jc w:val="center"/>
              <w:rPr>
                <w:rFonts w:eastAsia="宋体"/>
                <w:bCs/>
                <w:color w:val="auto"/>
                <w:sz w:val="21"/>
                <w:szCs w:val="21"/>
                <w:highlight w:val="none"/>
              </w:rPr>
            </w:pPr>
          </w:p>
        </w:tc>
        <w:tc>
          <w:tcPr>
            <w:tcW w:w="1093" w:type="dxa"/>
            <w:vMerge w:val="continue"/>
            <w:vAlign w:val="center"/>
          </w:tcPr>
          <w:p w14:paraId="1467516E">
            <w:pPr>
              <w:pStyle w:val="97"/>
              <w:ind w:left="-105" w:right="-105" w:firstLine="0" w:firstLineChars="0"/>
              <w:jc w:val="center"/>
              <w:rPr>
                <w:rFonts w:eastAsia="宋体"/>
                <w:bCs/>
                <w:color w:val="auto"/>
                <w:sz w:val="21"/>
                <w:szCs w:val="21"/>
                <w:highlight w:val="none"/>
              </w:rPr>
            </w:pPr>
          </w:p>
        </w:tc>
        <w:tc>
          <w:tcPr>
            <w:tcW w:w="1467" w:type="dxa"/>
            <w:vAlign w:val="center"/>
          </w:tcPr>
          <w:p w14:paraId="4B890C1D">
            <w:pPr>
              <w:pStyle w:val="236"/>
              <w:keepNext w:val="0"/>
              <w:keepLines w:val="0"/>
              <w:pageBreakBefore w:val="0"/>
              <w:widowControl/>
              <w:kinsoku/>
              <w:wordWrap/>
              <w:overflowPunct/>
              <w:topLinePunct w:val="0"/>
              <w:autoSpaceDE/>
              <w:autoSpaceDN/>
              <w:bidi w:val="0"/>
              <w:ind w:left="0" w:leftChars="0" w:right="0" w:rightChars="0"/>
              <w:jc w:val="center"/>
              <w:rPr>
                <w:rFonts w:ascii="Times New Roman" w:hAnsi="Times New Roman" w:cs="Times New Roman"/>
                <w:color w:val="auto"/>
                <w:sz w:val="21"/>
                <w:szCs w:val="21"/>
                <w:highlight w:val="none"/>
              </w:rPr>
            </w:pPr>
            <w:r>
              <w:rPr>
                <w:rFonts w:ascii="Times New Roman" w:hAnsi="Times New Roman" w:eastAsia="宋体" w:cs="Times New Roman"/>
                <w:color w:val="auto"/>
                <w:spacing w:val="8"/>
                <w:sz w:val="21"/>
                <w:szCs w:val="21"/>
                <w:highlight w:val="none"/>
              </w:rPr>
              <w:t>环氧丙烯酸树脂</w:t>
            </w:r>
          </w:p>
        </w:tc>
        <w:tc>
          <w:tcPr>
            <w:tcW w:w="912" w:type="dxa"/>
            <w:vAlign w:val="center"/>
          </w:tcPr>
          <w:p w14:paraId="6E9CA6A8">
            <w:pPr>
              <w:wordWrap w:val="0"/>
              <w:adjustRightInd w:val="0"/>
              <w:snapToGrid w:val="0"/>
              <w:ind w:left="-105" w:leftChars="0" w:right="-105" w:rightChars="0"/>
              <w:jc w:val="center"/>
              <w:textAlignment w:val="center"/>
              <w:rPr>
                <w:rFonts w:hint="eastAsia" w:ascii="Times New Roman" w:hAnsi="Times New Roman" w:cs="Times New Roman"/>
                <w:bCs/>
                <w:color w:val="auto"/>
                <w:sz w:val="21"/>
                <w:szCs w:val="21"/>
                <w:highlight w:val="none"/>
              </w:rPr>
            </w:pPr>
            <w:r>
              <w:rPr>
                <w:rFonts w:hint="eastAsia" w:ascii="Times New Roman" w:hAnsi="Times New Roman" w:cs="Times New Roman"/>
                <w:bCs/>
                <w:color w:val="auto"/>
                <w:sz w:val="21"/>
                <w:szCs w:val="21"/>
                <w:highlight w:val="none"/>
                <w:lang w:val="en-US" w:eastAsia="zh-CN"/>
              </w:rPr>
              <w:t>易燃</w:t>
            </w:r>
          </w:p>
        </w:tc>
        <w:tc>
          <w:tcPr>
            <w:tcW w:w="3084" w:type="dxa"/>
            <w:vAlign w:val="center"/>
          </w:tcPr>
          <w:p w14:paraId="5C51EB38">
            <w:pPr>
              <w:wordWrap w:val="0"/>
              <w:adjustRightInd w:val="0"/>
              <w:snapToGrid w:val="0"/>
              <w:ind w:left="-105" w:leftChars="0" w:right="-105" w:rightChars="0"/>
              <w:jc w:val="center"/>
              <w:textAlignment w:val="center"/>
              <w:rPr>
                <w:rFonts w:hint="eastAsia" w:ascii="Times New Roman" w:hAnsi="Times New Roman" w:cs="Times New Roman"/>
                <w:bCs/>
                <w:color w:val="auto"/>
                <w:sz w:val="21"/>
                <w:szCs w:val="21"/>
                <w:highlight w:val="none"/>
              </w:rPr>
            </w:pPr>
            <w:r>
              <w:rPr>
                <w:rFonts w:hint="eastAsia" w:ascii="Times New Roman" w:hAnsi="Times New Roman" w:cs="Times New Roman"/>
                <w:bCs/>
                <w:color w:val="auto"/>
                <w:sz w:val="21"/>
                <w:szCs w:val="21"/>
                <w:highlight w:val="none"/>
                <w:lang w:val="en-US" w:eastAsia="zh-CN"/>
              </w:rPr>
              <w:t>无资料</w:t>
            </w:r>
          </w:p>
        </w:tc>
        <w:tc>
          <w:tcPr>
            <w:tcW w:w="1275" w:type="dxa"/>
            <w:vAlign w:val="center"/>
          </w:tcPr>
          <w:p w14:paraId="00ACEAD5">
            <w:pPr>
              <w:ind w:left="-105" w:right="-105"/>
              <w:jc w:val="center"/>
              <w:rPr>
                <w:rFonts w:hint="eastAsia"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lang w:val="en-US" w:eastAsia="zh-CN"/>
              </w:rPr>
              <w:t>成品仓库</w:t>
            </w:r>
          </w:p>
        </w:tc>
      </w:tr>
      <w:tr w14:paraId="6536B9C8">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889" w:type="dxa"/>
            <w:vAlign w:val="center"/>
          </w:tcPr>
          <w:p w14:paraId="19D10A40">
            <w:pPr>
              <w:pStyle w:val="97"/>
              <w:numPr>
                <w:ilvl w:val="0"/>
                <w:numId w:val="22"/>
              </w:numPr>
              <w:ind w:left="-105" w:right="-105" w:firstLine="0" w:firstLineChars="0"/>
              <w:jc w:val="center"/>
              <w:rPr>
                <w:rFonts w:eastAsia="宋体"/>
                <w:bCs/>
                <w:color w:val="auto"/>
                <w:sz w:val="21"/>
                <w:szCs w:val="21"/>
                <w:highlight w:val="none"/>
              </w:rPr>
            </w:pPr>
          </w:p>
        </w:tc>
        <w:tc>
          <w:tcPr>
            <w:tcW w:w="1093" w:type="dxa"/>
            <w:vMerge w:val="continue"/>
            <w:vAlign w:val="center"/>
          </w:tcPr>
          <w:p w14:paraId="43144080">
            <w:pPr>
              <w:pStyle w:val="97"/>
              <w:ind w:left="-105" w:right="-105" w:firstLine="0" w:firstLineChars="0"/>
              <w:jc w:val="center"/>
              <w:rPr>
                <w:rFonts w:eastAsia="宋体"/>
                <w:bCs/>
                <w:color w:val="auto"/>
                <w:sz w:val="21"/>
                <w:szCs w:val="21"/>
                <w:highlight w:val="none"/>
              </w:rPr>
            </w:pPr>
          </w:p>
        </w:tc>
        <w:tc>
          <w:tcPr>
            <w:tcW w:w="1467" w:type="dxa"/>
            <w:vAlign w:val="center"/>
          </w:tcPr>
          <w:p w14:paraId="09EA7D7B">
            <w:pPr>
              <w:pStyle w:val="236"/>
              <w:keepNext w:val="0"/>
              <w:keepLines w:val="0"/>
              <w:pageBreakBefore w:val="0"/>
              <w:widowControl/>
              <w:kinsoku/>
              <w:wordWrap/>
              <w:overflowPunct/>
              <w:topLinePunct w:val="0"/>
              <w:autoSpaceDE/>
              <w:autoSpaceDN/>
              <w:bidi w:val="0"/>
              <w:ind w:left="0" w:leftChars="0" w:right="0" w:rightChars="0"/>
              <w:jc w:val="center"/>
              <w:rPr>
                <w:rFonts w:ascii="Times New Roman" w:hAnsi="Times New Roman" w:cs="Times New Roman"/>
                <w:color w:val="auto"/>
                <w:sz w:val="21"/>
                <w:szCs w:val="21"/>
                <w:highlight w:val="none"/>
              </w:rPr>
            </w:pPr>
            <w:r>
              <w:rPr>
                <w:rFonts w:hint="eastAsia" w:ascii="Times New Roman" w:hAnsi="Times New Roman" w:eastAsia="宋体" w:cs="Times New Roman"/>
                <w:color w:val="auto"/>
                <w:spacing w:val="8"/>
                <w:sz w:val="21"/>
                <w:szCs w:val="21"/>
                <w:highlight w:val="none"/>
                <w:lang w:eastAsia="zh-CN"/>
              </w:rPr>
              <w:t>剥离液</w:t>
            </w:r>
          </w:p>
        </w:tc>
        <w:tc>
          <w:tcPr>
            <w:tcW w:w="912" w:type="dxa"/>
            <w:vAlign w:val="center"/>
          </w:tcPr>
          <w:p w14:paraId="7FF4568C">
            <w:pPr>
              <w:wordWrap w:val="0"/>
              <w:adjustRightInd w:val="0"/>
              <w:snapToGrid w:val="0"/>
              <w:ind w:left="-105" w:right="-105"/>
              <w:jc w:val="center"/>
              <w:textAlignment w:val="center"/>
              <w:rPr>
                <w:rFonts w:hint="default" w:ascii="Times New Roman" w:hAnsi="Times New Roman" w:eastAsia="宋体" w:cs="Times New Roman"/>
                <w:bCs/>
                <w:color w:val="auto"/>
                <w:sz w:val="21"/>
                <w:szCs w:val="21"/>
                <w:highlight w:val="none"/>
                <w:lang w:val="en-US" w:eastAsia="zh-CN"/>
              </w:rPr>
            </w:pPr>
            <w:r>
              <w:rPr>
                <w:rFonts w:hint="eastAsia" w:ascii="Times New Roman" w:hAnsi="Times New Roman" w:cs="Times New Roman"/>
                <w:bCs/>
                <w:color w:val="auto"/>
                <w:sz w:val="21"/>
                <w:szCs w:val="21"/>
                <w:highlight w:val="none"/>
                <w:lang w:val="en-US" w:eastAsia="zh-CN"/>
              </w:rPr>
              <w:t>不燃</w:t>
            </w:r>
          </w:p>
        </w:tc>
        <w:tc>
          <w:tcPr>
            <w:tcW w:w="3084" w:type="dxa"/>
            <w:vAlign w:val="center"/>
          </w:tcPr>
          <w:p w14:paraId="3855AA9C">
            <w:pPr>
              <w:wordWrap w:val="0"/>
              <w:adjustRightInd w:val="0"/>
              <w:snapToGrid w:val="0"/>
              <w:ind w:left="-105" w:right="-105"/>
              <w:jc w:val="center"/>
              <w:textAlignment w:val="center"/>
              <w:rPr>
                <w:rFonts w:hint="eastAsia" w:ascii="Times New Roman" w:hAnsi="Times New Roman" w:eastAsia="宋体" w:cs="Times New Roman"/>
                <w:bCs/>
                <w:color w:val="auto"/>
                <w:sz w:val="21"/>
                <w:szCs w:val="21"/>
                <w:highlight w:val="none"/>
                <w:lang w:val="en-US" w:eastAsia="zh-CN"/>
              </w:rPr>
            </w:pPr>
            <w:r>
              <w:rPr>
                <w:rFonts w:hint="eastAsia" w:ascii="Times New Roman" w:hAnsi="Times New Roman" w:cs="Times New Roman"/>
                <w:bCs/>
                <w:color w:val="auto"/>
                <w:sz w:val="21"/>
                <w:szCs w:val="21"/>
                <w:highlight w:val="none"/>
                <w:lang w:val="en-US" w:eastAsia="zh-CN"/>
              </w:rPr>
              <w:t>无资料</w:t>
            </w:r>
          </w:p>
        </w:tc>
        <w:tc>
          <w:tcPr>
            <w:tcW w:w="1275" w:type="dxa"/>
            <w:vAlign w:val="center"/>
          </w:tcPr>
          <w:p w14:paraId="3CAB229C">
            <w:pPr>
              <w:ind w:left="-105" w:right="-105"/>
              <w:jc w:val="center"/>
              <w:rPr>
                <w:rFonts w:hint="eastAsia"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lang w:val="en-US" w:eastAsia="zh-CN"/>
              </w:rPr>
              <w:t>成品仓库</w:t>
            </w:r>
          </w:p>
        </w:tc>
      </w:tr>
      <w:tr w14:paraId="2B91EA64">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889" w:type="dxa"/>
            <w:vAlign w:val="center"/>
          </w:tcPr>
          <w:p w14:paraId="613AEBAB">
            <w:pPr>
              <w:pStyle w:val="97"/>
              <w:numPr>
                <w:ilvl w:val="0"/>
                <w:numId w:val="22"/>
              </w:numPr>
              <w:ind w:left="-105" w:right="-105" w:firstLine="0" w:firstLineChars="0"/>
              <w:jc w:val="center"/>
              <w:rPr>
                <w:rFonts w:eastAsia="宋体"/>
                <w:bCs/>
                <w:color w:val="auto"/>
                <w:sz w:val="21"/>
                <w:szCs w:val="21"/>
                <w:highlight w:val="none"/>
              </w:rPr>
            </w:pPr>
          </w:p>
        </w:tc>
        <w:tc>
          <w:tcPr>
            <w:tcW w:w="1093" w:type="dxa"/>
            <w:vMerge w:val="restart"/>
            <w:vAlign w:val="center"/>
          </w:tcPr>
          <w:p w14:paraId="6CB4E541">
            <w:pPr>
              <w:pStyle w:val="97"/>
              <w:ind w:left="-105" w:right="-105" w:firstLine="0" w:firstLineChars="0"/>
              <w:jc w:val="center"/>
              <w:rPr>
                <w:rFonts w:eastAsia="宋体"/>
                <w:bCs/>
                <w:color w:val="auto"/>
                <w:sz w:val="21"/>
                <w:szCs w:val="21"/>
                <w:highlight w:val="none"/>
              </w:rPr>
            </w:pPr>
            <w:r>
              <w:rPr>
                <w:rFonts w:eastAsia="宋体"/>
                <w:bCs/>
                <w:color w:val="auto"/>
                <w:sz w:val="21"/>
                <w:szCs w:val="21"/>
                <w:highlight w:val="none"/>
              </w:rPr>
              <w:t>废气</w:t>
            </w:r>
          </w:p>
        </w:tc>
        <w:tc>
          <w:tcPr>
            <w:tcW w:w="1467" w:type="dxa"/>
            <w:vAlign w:val="center"/>
          </w:tcPr>
          <w:p w14:paraId="0C1AC16C">
            <w:pPr>
              <w:pStyle w:val="236"/>
              <w:keepNext w:val="0"/>
              <w:keepLines w:val="0"/>
              <w:pageBreakBefore w:val="0"/>
              <w:widowControl/>
              <w:kinsoku/>
              <w:wordWrap/>
              <w:overflowPunct/>
              <w:topLinePunct w:val="0"/>
              <w:autoSpaceDE/>
              <w:autoSpaceDN/>
              <w:bidi w:val="0"/>
              <w:ind w:left="0" w:leftChars="0" w:right="0" w:rightChars="0"/>
              <w:jc w:val="center"/>
              <w:rPr>
                <w:rFonts w:eastAsia="宋体"/>
                <w:bCs/>
                <w:color w:val="auto"/>
                <w:sz w:val="21"/>
                <w:szCs w:val="21"/>
                <w:highlight w:val="none"/>
              </w:rPr>
            </w:pPr>
            <w:r>
              <w:rPr>
                <w:rFonts w:hint="eastAsia" w:ascii="Times New Roman" w:hAnsi="Times New Roman" w:eastAsia="宋体" w:cs="Times New Roman"/>
                <w:color w:val="auto"/>
                <w:sz w:val="21"/>
                <w:szCs w:val="21"/>
                <w:highlight w:val="none"/>
                <w:lang w:eastAsia="zh-CN"/>
              </w:rPr>
              <w:t>2-乙二醇单乙醚醋酸酯</w:t>
            </w:r>
          </w:p>
        </w:tc>
        <w:tc>
          <w:tcPr>
            <w:tcW w:w="912" w:type="dxa"/>
            <w:vAlign w:val="center"/>
          </w:tcPr>
          <w:p w14:paraId="713AFB15">
            <w:pPr>
              <w:wordWrap w:val="0"/>
              <w:adjustRightInd w:val="0"/>
              <w:snapToGrid w:val="0"/>
              <w:ind w:left="-105" w:leftChars="0" w:right="-105" w:rightChars="0"/>
              <w:jc w:val="center"/>
              <w:textAlignment w:val="center"/>
              <w:rPr>
                <w:rFonts w:eastAsia="宋体"/>
                <w:bCs/>
                <w:color w:val="auto"/>
                <w:sz w:val="21"/>
                <w:szCs w:val="21"/>
                <w:highlight w:val="none"/>
              </w:rPr>
            </w:pPr>
            <w:r>
              <w:rPr>
                <w:rFonts w:hint="eastAsia" w:ascii="Times New Roman" w:hAnsi="Times New Roman" w:cs="Times New Roman"/>
                <w:bCs/>
                <w:color w:val="auto"/>
                <w:sz w:val="21"/>
                <w:szCs w:val="21"/>
                <w:highlight w:val="none"/>
                <w:lang w:val="en-US" w:eastAsia="zh-CN"/>
              </w:rPr>
              <w:t>易燃</w:t>
            </w:r>
          </w:p>
        </w:tc>
        <w:tc>
          <w:tcPr>
            <w:tcW w:w="3084" w:type="dxa"/>
            <w:vAlign w:val="center"/>
          </w:tcPr>
          <w:p w14:paraId="552F500C">
            <w:pPr>
              <w:wordWrap w:val="0"/>
              <w:adjustRightInd w:val="0"/>
              <w:snapToGrid w:val="0"/>
              <w:ind w:left="-105" w:leftChars="0" w:right="-105" w:rightChars="0"/>
              <w:jc w:val="center"/>
              <w:textAlignment w:val="center"/>
              <w:rPr>
                <w:rFonts w:eastAsia="宋体"/>
                <w:color w:val="auto"/>
                <w:sz w:val="21"/>
                <w:szCs w:val="21"/>
                <w:highlight w:val="none"/>
              </w:rPr>
            </w:pPr>
            <w:r>
              <w:rPr>
                <w:rFonts w:hint="eastAsia" w:ascii="Times New Roman" w:hAnsi="Times New Roman" w:cs="Times New Roman"/>
                <w:bCs/>
                <w:color w:val="auto"/>
                <w:sz w:val="21"/>
                <w:szCs w:val="21"/>
                <w:highlight w:val="none"/>
                <w:lang w:val="en-US" w:eastAsia="zh-CN"/>
              </w:rPr>
              <w:t>LD</w:t>
            </w:r>
            <w:r>
              <w:rPr>
                <w:rFonts w:hint="eastAsia" w:ascii="Times New Roman" w:hAnsi="Times New Roman" w:cs="Times New Roman"/>
                <w:bCs/>
                <w:color w:val="auto"/>
                <w:sz w:val="21"/>
                <w:szCs w:val="21"/>
                <w:highlight w:val="none"/>
                <w:vertAlign w:val="subscript"/>
                <w:lang w:val="en-US" w:eastAsia="zh-CN"/>
              </w:rPr>
              <w:t>50</w:t>
            </w:r>
            <w:r>
              <w:rPr>
                <w:rFonts w:hint="eastAsia" w:ascii="Times New Roman" w:hAnsi="Times New Roman" w:cs="Times New Roman"/>
                <w:bCs/>
                <w:color w:val="auto"/>
                <w:sz w:val="21"/>
                <w:szCs w:val="21"/>
                <w:highlight w:val="none"/>
                <w:lang w:val="en-US" w:eastAsia="zh-CN"/>
              </w:rPr>
              <w:t>:11000mg/kg（大鼠经口）</w:t>
            </w:r>
          </w:p>
        </w:tc>
        <w:tc>
          <w:tcPr>
            <w:tcW w:w="1275" w:type="dxa"/>
            <w:vAlign w:val="center"/>
          </w:tcPr>
          <w:p w14:paraId="54173175">
            <w:pPr>
              <w:ind w:left="-105" w:right="-105" w:firstLine="0" w:firstLineChars="0"/>
              <w:jc w:val="center"/>
              <w:rPr>
                <w:rFonts w:eastAsia="宋体"/>
                <w:bCs/>
                <w:color w:val="auto"/>
                <w:sz w:val="21"/>
                <w:szCs w:val="21"/>
                <w:highlight w:val="none"/>
              </w:rPr>
            </w:pPr>
            <w:r>
              <w:rPr>
                <w:rFonts w:eastAsia="宋体"/>
                <w:bCs/>
                <w:color w:val="auto"/>
                <w:sz w:val="21"/>
                <w:szCs w:val="21"/>
                <w:highlight w:val="none"/>
              </w:rPr>
              <w:t>排气筒</w:t>
            </w:r>
          </w:p>
        </w:tc>
      </w:tr>
      <w:tr w14:paraId="4238611C">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889" w:type="dxa"/>
            <w:vAlign w:val="center"/>
          </w:tcPr>
          <w:p w14:paraId="3B5BC40A">
            <w:pPr>
              <w:pStyle w:val="97"/>
              <w:numPr>
                <w:ilvl w:val="0"/>
                <w:numId w:val="22"/>
              </w:numPr>
              <w:ind w:left="-105" w:right="-105" w:firstLine="0" w:firstLineChars="0"/>
              <w:jc w:val="center"/>
              <w:rPr>
                <w:rFonts w:eastAsia="宋体"/>
                <w:bCs/>
                <w:color w:val="auto"/>
                <w:sz w:val="21"/>
                <w:szCs w:val="21"/>
                <w:highlight w:val="none"/>
              </w:rPr>
            </w:pPr>
          </w:p>
        </w:tc>
        <w:tc>
          <w:tcPr>
            <w:tcW w:w="1093" w:type="dxa"/>
            <w:vMerge w:val="continue"/>
            <w:vAlign w:val="center"/>
          </w:tcPr>
          <w:p w14:paraId="6FCE1879">
            <w:pPr>
              <w:pStyle w:val="97"/>
              <w:ind w:left="-105" w:right="-105" w:firstLine="0" w:firstLineChars="0"/>
              <w:jc w:val="center"/>
              <w:rPr>
                <w:rFonts w:eastAsia="宋体"/>
                <w:bCs/>
                <w:color w:val="auto"/>
                <w:sz w:val="21"/>
                <w:szCs w:val="21"/>
                <w:highlight w:val="none"/>
              </w:rPr>
            </w:pPr>
          </w:p>
        </w:tc>
        <w:tc>
          <w:tcPr>
            <w:tcW w:w="1467" w:type="dxa"/>
            <w:vAlign w:val="center"/>
          </w:tcPr>
          <w:p w14:paraId="36FF8A58">
            <w:pPr>
              <w:pStyle w:val="236"/>
              <w:keepNext w:val="0"/>
              <w:keepLines w:val="0"/>
              <w:pageBreakBefore w:val="0"/>
              <w:widowControl/>
              <w:kinsoku/>
              <w:wordWrap/>
              <w:overflowPunct/>
              <w:topLinePunct w:val="0"/>
              <w:autoSpaceDE/>
              <w:autoSpaceDN/>
              <w:bidi w:val="0"/>
              <w:ind w:left="0" w:leftChars="0" w:right="0" w:rightChars="0"/>
              <w:jc w:val="center"/>
              <w:rPr>
                <w:rFonts w:eastAsia="宋体"/>
                <w:bCs/>
                <w:color w:val="auto"/>
                <w:sz w:val="21"/>
                <w:szCs w:val="21"/>
                <w:highlight w:val="none"/>
              </w:rPr>
            </w:pPr>
            <w:r>
              <w:rPr>
                <w:rFonts w:ascii="Times New Roman" w:hAnsi="Times New Roman" w:eastAsia="宋体" w:cs="Times New Roman"/>
                <w:color w:val="auto"/>
                <w:spacing w:val="3"/>
                <w:sz w:val="21"/>
                <w:szCs w:val="21"/>
                <w:highlight w:val="none"/>
              </w:rPr>
              <w:t>丁酮</w:t>
            </w:r>
          </w:p>
        </w:tc>
        <w:tc>
          <w:tcPr>
            <w:tcW w:w="912" w:type="dxa"/>
            <w:vAlign w:val="center"/>
          </w:tcPr>
          <w:p w14:paraId="25BA61F0">
            <w:pPr>
              <w:wordWrap w:val="0"/>
              <w:adjustRightInd w:val="0"/>
              <w:snapToGrid w:val="0"/>
              <w:ind w:left="-105" w:leftChars="0" w:right="-105" w:rightChars="0"/>
              <w:jc w:val="center"/>
              <w:textAlignment w:val="center"/>
              <w:rPr>
                <w:rFonts w:eastAsia="宋体"/>
                <w:bCs/>
                <w:color w:val="auto"/>
                <w:sz w:val="21"/>
                <w:szCs w:val="21"/>
                <w:highlight w:val="none"/>
              </w:rPr>
            </w:pPr>
            <w:r>
              <w:rPr>
                <w:rFonts w:hint="eastAsia" w:ascii="Times New Roman" w:hAnsi="Times New Roman" w:cs="Times New Roman"/>
                <w:bCs/>
                <w:color w:val="auto"/>
                <w:sz w:val="21"/>
                <w:szCs w:val="21"/>
                <w:highlight w:val="none"/>
                <w:lang w:val="en-US" w:eastAsia="zh-CN"/>
              </w:rPr>
              <w:t>易燃</w:t>
            </w:r>
          </w:p>
        </w:tc>
        <w:tc>
          <w:tcPr>
            <w:tcW w:w="3084" w:type="dxa"/>
            <w:vAlign w:val="center"/>
          </w:tcPr>
          <w:p w14:paraId="22AF62B2">
            <w:pPr>
              <w:wordWrap w:val="0"/>
              <w:adjustRightInd w:val="0"/>
              <w:snapToGrid w:val="0"/>
              <w:ind w:left="-105" w:right="-105"/>
              <w:jc w:val="center"/>
              <w:textAlignment w:val="center"/>
              <w:rPr>
                <w:rFonts w:hint="eastAsia" w:ascii="Times New Roman" w:hAnsi="Times New Roman" w:cs="Times New Roman"/>
                <w:bCs/>
                <w:color w:val="auto"/>
                <w:sz w:val="21"/>
                <w:szCs w:val="21"/>
                <w:highlight w:val="none"/>
                <w:lang w:val="en-US" w:eastAsia="zh-CN"/>
              </w:rPr>
            </w:pPr>
            <w:r>
              <w:rPr>
                <w:rFonts w:hint="eastAsia" w:ascii="Times New Roman" w:hAnsi="Times New Roman" w:cs="Times New Roman"/>
                <w:bCs/>
                <w:color w:val="auto"/>
                <w:sz w:val="21"/>
                <w:szCs w:val="21"/>
                <w:highlight w:val="none"/>
                <w:lang w:val="en-US" w:eastAsia="zh-CN"/>
              </w:rPr>
              <w:t>LD</w:t>
            </w:r>
            <w:r>
              <w:rPr>
                <w:rFonts w:hint="eastAsia" w:ascii="Times New Roman" w:hAnsi="Times New Roman" w:cs="Times New Roman"/>
                <w:bCs/>
                <w:color w:val="auto"/>
                <w:sz w:val="21"/>
                <w:szCs w:val="21"/>
                <w:highlight w:val="none"/>
                <w:vertAlign w:val="subscript"/>
                <w:lang w:val="en-US" w:eastAsia="zh-CN"/>
              </w:rPr>
              <w:t>50</w:t>
            </w:r>
            <w:r>
              <w:rPr>
                <w:rFonts w:hint="eastAsia" w:ascii="Times New Roman" w:hAnsi="Times New Roman" w:cs="Times New Roman"/>
                <w:bCs/>
                <w:color w:val="auto"/>
                <w:sz w:val="21"/>
                <w:szCs w:val="21"/>
                <w:highlight w:val="none"/>
                <w:lang w:val="en-US" w:eastAsia="zh-CN"/>
              </w:rPr>
              <w:t>:3400mg/kg（大鼠经口）；6480mg/kg（兔经皮）</w:t>
            </w:r>
          </w:p>
          <w:p w14:paraId="195CCFA2">
            <w:pPr>
              <w:wordWrap w:val="0"/>
              <w:adjustRightInd w:val="0"/>
              <w:snapToGrid w:val="0"/>
              <w:ind w:left="-105" w:leftChars="0" w:right="-105" w:rightChars="0"/>
              <w:jc w:val="center"/>
              <w:textAlignment w:val="center"/>
              <w:rPr>
                <w:rFonts w:eastAsia="宋体"/>
                <w:color w:val="auto"/>
                <w:sz w:val="21"/>
                <w:szCs w:val="21"/>
                <w:highlight w:val="none"/>
              </w:rPr>
            </w:pPr>
            <w:r>
              <w:rPr>
                <w:rFonts w:hint="eastAsia" w:ascii="Times New Roman" w:hAnsi="Times New Roman" w:cs="Times New Roman"/>
                <w:bCs/>
                <w:color w:val="auto"/>
                <w:sz w:val="21"/>
                <w:szCs w:val="21"/>
                <w:highlight w:val="none"/>
                <w:lang w:val="en-US" w:eastAsia="zh-CN"/>
              </w:rPr>
              <w:t>LC</w:t>
            </w:r>
            <w:r>
              <w:rPr>
                <w:rFonts w:hint="eastAsia" w:ascii="Times New Roman" w:hAnsi="Times New Roman" w:cs="Times New Roman"/>
                <w:bCs/>
                <w:color w:val="auto"/>
                <w:sz w:val="21"/>
                <w:szCs w:val="21"/>
                <w:highlight w:val="none"/>
                <w:vertAlign w:val="subscript"/>
                <w:lang w:val="en-US" w:eastAsia="zh-CN"/>
              </w:rPr>
              <w:t>50</w:t>
            </w:r>
            <w:r>
              <w:rPr>
                <w:rFonts w:hint="eastAsia" w:ascii="Times New Roman" w:hAnsi="Times New Roman" w:cs="Times New Roman"/>
                <w:bCs/>
                <w:color w:val="auto"/>
                <w:sz w:val="21"/>
                <w:szCs w:val="21"/>
                <w:highlight w:val="none"/>
                <w:lang w:val="en-US" w:eastAsia="zh-CN"/>
              </w:rPr>
              <w:t>:8000ppm8小时（大鼠吸入）</w:t>
            </w:r>
          </w:p>
        </w:tc>
        <w:tc>
          <w:tcPr>
            <w:tcW w:w="1275" w:type="dxa"/>
            <w:vAlign w:val="center"/>
          </w:tcPr>
          <w:p w14:paraId="6BBE7FED">
            <w:pPr>
              <w:ind w:left="-105" w:right="-105" w:firstLine="0" w:firstLineChars="0"/>
              <w:jc w:val="center"/>
              <w:rPr>
                <w:rFonts w:eastAsia="宋体"/>
                <w:bCs/>
                <w:color w:val="auto"/>
                <w:sz w:val="21"/>
                <w:szCs w:val="21"/>
                <w:highlight w:val="none"/>
              </w:rPr>
            </w:pPr>
            <w:r>
              <w:rPr>
                <w:rFonts w:eastAsia="宋体"/>
                <w:bCs/>
                <w:color w:val="auto"/>
                <w:sz w:val="21"/>
                <w:szCs w:val="21"/>
                <w:highlight w:val="none"/>
              </w:rPr>
              <w:t>排气筒</w:t>
            </w:r>
          </w:p>
        </w:tc>
      </w:tr>
      <w:tr w14:paraId="6677F836">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889" w:type="dxa"/>
            <w:vAlign w:val="center"/>
          </w:tcPr>
          <w:p w14:paraId="0958B5DD">
            <w:pPr>
              <w:pStyle w:val="97"/>
              <w:numPr>
                <w:ilvl w:val="0"/>
                <w:numId w:val="22"/>
              </w:numPr>
              <w:ind w:left="-105" w:right="-105" w:firstLine="0" w:firstLineChars="0"/>
              <w:jc w:val="center"/>
              <w:rPr>
                <w:rFonts w:eastAsia="宋体"/>
                <w:bCs/>
                <w:color w:val="auto"/>
                <w:sz w:val="21"/>
                <w:szCs w:val="21"/>
                <w:highlight w:val="none"/>
              </w:rPr>
            </w:pPr>
          </w:p>
        </w:tc>
        <w:tc>
          <w:tcPr>
            <w:tcW w:w="1093" w:type="dxa"/>
            <w:vMerge w:val="continue"/>
            <w:vAlign w:val="center"/>
          </w:tcPr>
          <w:p w14:paraId="7A05987D">
            <w:pPr>
              <w:pStyle w:val="97"/>
              <w:ind w:left="-105" w:right="-105" w:firstLine="0" w:firstLineChars="0"/>
              <w:jc w:val="center"/>
              <w:rPr>
                <w:rFonts w:eastAsia="宋体"/>
                <w:bCs/>
                <w:color w:val="auto"/>
                <w:sz w:val="21"/>
                <w:szCs w:val="21"/>
                <w:highlight w:val="none"/>
              </w:rPr>
            </w:pPr>
          </w:p>
        </w:tc>
        <w:tc>
          <w:tcPr>
            <w:tcW w:w="1467" w:type="dxa"/>
            <w:vAlign w:val="center"/>
          </w:tcPr>
          <w:p w14:paraId="3E124C1E">
            <w:pPr>
              <w:pStyle w:val="236"/>
              <w:keepNext w:val="0"/>
              <w:keepLines w:val="0"/>
              <w:pageBreakBefore w:val="0"/>
              <w:widowControl/>
              <w:kinsoku/>
              <w:wordWrap/>
              <w:overflowPunct/>
              <w:topLinePunct w:val="0"/>
              <w:autoSpaceDE/>
              <w:autoSpaceDN/>
              <w:bidi w:val="0"/>
              <w:ind w:left="0" w:leftChars="0" w:right="0" w:rightChars="0"/>
              <w:jc w:val="center"/>
              <w:rPr>
                <w:rFonts w:eastAsia="宋体"/>
                <w:bCs/>
                <w:color w:val="auto"/>
                <w:sz w:val="21"/>
                <w:szCs w:val="21"/>
                <w:highlight w:val="none"/>
              </w:rPr>
            </w:pPr>
            <w:r>
              <w:rPr>
                <w:rFonts w:ascii="Times New Roman" w:hAnsi="Times New Roman" w:eastAsia="宋体" w:cs="Times New Roman"/>
                <w:color w:val="auto"/>
                <w:spacing w:val="6"/>
                <w:sz w:val="21"/>
                <w:szCs w:val="21"/>
                <w:highlight w:val="none"/>
              </w:rPr>
              <w:t>异氰酸酯</w:t>
            </w:r>
          </w:p>
        </w:tc>
        <w:tc>
          <w:tcPr>
            <w:tcW w:w="912" w:type="dxa"/>
            <w:vAlign w:val="center"/>
          </w:tcPr>
          <w:p w14:paraId="66B0D314">
            <w:pPr>
              <w:wordWrap w:val="0"/>
              <w:adjustRightInd w:val="0"/>
              <w:snapToGrid w:val="0"/>
              <w:ind w:left="-105" w:leftChars="0" w:right="-105" w:rightChars="0"/>
              <w:jc w:val="center"/>
              <w:textAlignment w:val="center"/>
              <w:rPr>
                <w:rFonts w:eastAsia="宋体"/>
                <w:bCs/>
                <w:color w:val="auto"/>
                <w:sz w:val="21"/>
                <w:szCs w:val="21"/>
                <w:highlight w:val="none"/>
              </w:rPr>
            </w:pPr>
            <w:r>
              <w:rPr>
                <w:rFonts w:hint="eastAsia" w:ascii="Times New Roman" w:hAnsi="Times New Roman" w:cs="Times New Roman"/>
                <w:bCs/>
                <w:color w:val="auto"/>
                <w:sz w:val="21"/>
                <w:szCs w:val="21"/>
                <w:highlight w:val="none"/>
                <w:lang w:val="en-US" w:eastAsia="zh-CN"/>
              </w:rPr>
              <w:t>可燃</w:t>
            </w:r>
          </w:p>
        </w:tc>
        <w:tc>
          <w:tcPr>
            <w:tcW w:w="3084" w:type="dxa"/>
            <w:vAlign w:val="center"/>
          </w:tcPr>
          <w:p w14:paraId="4697A23E">
            <w:pPr>
              <w:wordWrap w:val="0"/>
              <w:adjustRightInd w:val="0"/>
              <w:snapToGrid w:val="0"/>
              <w:ind w:left="-105" w:right="-105"/>
              <w:jc w:val="center"/>
              <w:textAlignment w:val="center"/>
              <w:rPr>
                <w:rFonts w:hint="eastAsia" w:ascii="Times New Roman" w:hAnsi="Times New Roman" w:cs="Times New Roman"/>
                <w:bCs/>
                <w:color w:val="auto"/>
                <w:sz w:val="21"/>
                <w:szCs w:val="21"/>
                <w:highlight w:val="none"/>
                <w:lang w:val="en-US" w:eastAsia="zh-CN"/>
              </w:rPr>
            </w:pPr>
            <w:r>
              <w:rPr>
                <w:rFonts w:hint="eastAsia" w:ascii="Times New Roman" w:hAnsi="Times New Roman" w:cs="Times New Roman"/>
                <w:bCs/>
                <w:color w:val="auto"/>
                <w:sz w:val="21"/>
                <w:szCs w:val="21"/>
                <w:highlight w:val="none"/>
                <w:lang w:val="en-US" w:eastAsia="zh-CN"/>
              </w:rPr>
              <w:t>LD</w:t>
            </w:r>
            <w:r>
              <w:rPr>
                <w:rFonts w:hint="eastAsia" w:ascii="Times New Roman" w:hAnsi="Times New Roman" w:cs="Times New Roman"/>
                <w:bCs/>
                <w:color w:val="auto"/>
                <w:sz w:val="21"/>
                <w:szCs w:val="21"/>
                <w:highlight w:val="none"/>
                <w:vertAlign w:val="subscript"/>
                <w:lang w:val="en-US" w:eastAsia="zh-CN"/>
              </w:rPr>
              <w:t>50</w:t>
            </w:r>
            <w:r>
              <w:rPr>
                <w:rFonts w:hint="eastAsia" w:ascii="Times New Roman" w:hAnsi="Times New Roman" w:cs="Times New Roman"/>
                <w:bCs/>
                <w:color w:val="auto"/>
                <w:sz w:val="21"/>
                <w:szCs w:val="21"/>
                <w:highlight w:val="none"/>
                <w:lang w:val="en-US" w:eastAsia="zh-CN"/>
              </w:rPr>
              <w:t>：890mg/kg（小鼠经口）</w:t>
            </w:r>
          </w:p>
          <w:p w14:paraId="4BC35A61">
            <w:pPr>
              <w:wordWrap w:val="0"/>
              <w:adjustRightInd w:val="0"/>
              <w:snapToGrid w:val="0"/>
              <w:ind w:left="-105" w:leftChars="0" w:right="-105" w:rightChars="0"/>
              <w:jc w:val="center"/>
              <w:textAlignment w:val="center"/>
              <w:rPr>
                <w:rFonts w:hint="eastAsia" w:ascii="Times New Roman" w:hAnsi="Times New Roman" w:cs="Times New Roman"/>
                <w:bCs/>
                <w:color w:val="auto"/>
                <w:sz w:val="21"/>
                <w:szCs w:val="21"/>
                <w:highlight w:val="none"/>
                <w:lang w:val="en-US" w:eastAsia="zh-CN"/>
              </w:rPr>
            </w:pPr>
            <w:r>
              <w:rPr>
                <w:rFonts w:hint="eastAsia" w:ascii="Times New Roman" w:hAnsi="Times New Roman" w:cs="Times New Roman"/>
                <w:bCs/>
                <w:color w:val="auto"/>
                <w:sz w:val="21"/>
                <w:szCs w:val="21"/>
                <w:highlight w:val="none"/>
                <w:lang w:val="en-US" w:eastAsia="zh-CN"/>
              </w:rPr>
              <w:t>LD</w:t>
            </w:r>
            <w:r>
              <w:rPr>
                <w:rFonts w:hint="eastAsia" w:ascii="Times New Roman" w:hAnsi="Times New Roman" w:cs="Times New Roman"/>
                <w:bCs/>
                <w:color w:val="auto"/>
                <w:sz w:val="21"/>
                <w:szCs w:val="21"/>
                <w:highlight w:val="none"/>
                <w:vertAlign w:val="subscript"/>
                <w:lang w:val="en-US" w:eastAsia="zh-CN"/>
              </w:rPr>
              <w:t>50</w:t>
            </w:r>
            <w:r>
              <w:rPr>
                <w:rFonts w:hint="eastAsia" w:ascii="Times New Roman" w:hAnsi="Times New Roman" w:cs="Times New Roman"/>
                <w:bCs/>
                <w:color w:val="auto"/>
                <w:sz w:val="21"/>
                <w:szCs w:val="21"/>
                <w:highlight w:val="none"/>
                <w:lang w:val="en-US" w:eastAsia="zh-CN"/>
              </w:rPr>
              <w:t>:710~910mg/kg（大鼠经口）</w:t>
            </w:r>
          </w:p>
          <w:p w14:paraId="414BCDAB">
            <w:pPr>
              <w:wordWrap w:val="0"/>
              <w:adjustRightInd w:val="0"/>
              <w:snapToGrid w:val="0"/>
              <w:ind w:left="-105" w:leftChars="0" w:right="-105" w:rightChars="0"/>
              <w:jc w:val="center"/>
              <w:textAlignment w:val="center"/>
              <w:rPr>
                <w:rFonts w:eastAsia="宋体"/>
                <w:color w:val="auto"/>
                <w:sz w:val="21"/>
                <w:szCs w:val="21"/>
                <w:highlight w:val="none"/>
              </w:rPr>
            </w:pPr>
            <w:r>
              <w:rPr>
                <w:rFonts w:hint="eastAsia" w:ascii="Times New Roman" w:hAnsi="Times New Roman" w:cs="Times New Roman"/>
                <w:bCs/>
                <w:color w:val="auto"/>
                <w:sz w:val="21"/>
                <w:szCs w:val="21"/>
                <w:highlight w:val="none"/>
                <w:lang w:val="en-US" w:eastAsia="zh-CN"/>
              </w:rPr>
              <w:t>LC</w:t>
            </w:r>
            <w:r>
              <w:rPr>
                <w:rFonts w:hint="eastAsia" w:ascii="Times New Roman" w:hAnsi="Times New Roman" w:cs="Times New Roman"/>
                <w:bCs/>
                <w:color w:val="auto"/>
                <w:sz w:val="21"/>
                <w:szCs w:val="21"/>
                <w:highlight w:val="none"/>
                <w:vertAlign w:val="subscript"/>
                <w:lang w:val="en-US" w:eastAsia="zh-CN"/>
              </w:rPr>
              <w:t>50:</w:t>
            </w:r>
            <w:r>
              <w:rPr>
                <w:rFonts w:hint="eastAsia" w:ascii="Times New Roman" w:hAnsi="Times New Roman" w:cs="Times New Roman"/>
                <w:bCs/>
                <w:color w:val="auto"/>
                <w:sz w:val="21"/>
                <w:szCs w:val="21"/>
                <w:highlight w:val="none"/>
                <w:vertAlign w:val="baseline"/>
                <w:lang w:val="en-US" w:eastAsia="zh-CN"/>
              </w:rPr>
              <w:t>280mg/m</w:t>
            </w:r>
            <w:r>
              <w:rPr>
                <w:rFonts w:hint="eastAsia" w:ascii="Times New Roman" w:hAnsi="Times New Roman" w:cs="Times New Roman"/>
                <w:bCs/>
                <w:color w:val="auto"/>
                <w:sz w:val="21"/>
                <w:szCs w:val="21"/>
                <w:highlight w:val="none"/>
                <w:vertAlign w:val="superscript"/>
                <w:lang w:val="en-US" w:eastAsia="zh-CN"/>
              </w:rPr>
              <w:t>3</w:t>
            </w:r>
            <w:r>
              <w:rPr>
                <w:rFonts w:hint="eastAsia" w:ascii="Times New Roman" w:hAnsi="Times New Roman" w:cs="Times New Roman"/>
                <w:bCs/>
                <w:color w:val="auto"/>
                <w:sz w:val="21"/>
                <w:szCs w:val="21"/>
                <w:highlight w:val="none"/>
                <w:vertAlign w:val="baseline"/>
                <w:lang w:val="en-US" w:eastAsia="zh-CN"/>
              </w:rPr>
              <w:t>（1h，大鼠吸入）</w:t>
            </w:r>
          </w:p>
        </w:tc>
        <w:tc>
          <w:tcPr>
            <w:tcW w:w="1275" w:type="dxa"/>
            <w:vAlign w:val="center"/>
          </w:tcPr>
          <w:p w14:paraId="59297DE1">
            <w:pPr>
              <w:ind w:left="-105" w:right="-105" w:firstLine="0" w:firstLineChars="0"/>
              <w:jc w:val="center"/>
              <w:rPr>
                <w:rFonts w:eastAsia="宋体"/>
                <w:bCs/>
                <w:color w:val="auto"/>
                <w:sz w:val="21"/>
                <w:szCs w:val="21"/>
                <w:highlight w:val="none"/>
              </w:rPr>
            </w:pPr>
            <w:r>
              <w:rPr>
                <w:rFonts w:eastAsia="宋体"/>
                <w:bCs/>
                <w:color w:val="auto"/>
                <w:sz w:val="21"/>
                <w:szCs w:val="21"/>
                <w:highlight w:val="none"/>
              </w:rPr>
              <w:t>排气筒</w:t>
            </w:r>
          </w:p>
        </w:tc>
      </w:tr>
      <w:tr w14:paraId="7130BCA0">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889" w:type="dxa"/>
            <w:vAlign w:val="center"/>
          </w:tcPr>
          <w:p w14:paraId="324BFC1E">
            <w:pPr>
              <w:pStyle w:val="97"/>
              <w:numPr>
                <w:ilvl w:val="0"/>
                <w:numId w:val="22"/>
              </w:numPr>
              <w:ind w:left="-105" w:right="-105" w:firstLine="0" w:firstLineChars="0"/>
              <w:jc w:val="center"/>
              <w:rPr>
                <w:rFonts w:eastAsia="宋体"/>
                <w:bCs/>
                <w:color w:val="auto"/>
                <w:sz w:val="21"/>
                <w:szCs w:val="21"/>
                <w:highlight w:val="none"/>
              </w:rPr>
            </w:pPr>
          </w:p>
        </w:tc>
        <w:tc>
          <w:tcPr>
            <w:tcW w:w="1093" w:type="dxa"/>
            <w:vMerge w:val="continue"/>
            <w:vAlign w:val="center"/>
          </w:tcPr>
          <w:p w14:paraId="61B11F38">
            <w:pPr>
              <w:pStyle w:val="97"/>
              <w:ind w:left="-105" w:right="-105" w:firstLine="0" w:firstLineChars="0"/>
              <w:jc w:val="center"/>
              <w:rPr>
                <w:rFonts w:eastAsia="宋体"/>
                <w:bCs/>
                <w:color w:val="auto"/>
                <w:sz w:val="21"/>
                <w:szCs w:val="21"/>
                <w:highlight w:val="none"/>
              </w:rPr>
            </w:pPr>
          </w:p>
        </w:tc>
        <w:tc>
          <w:tcPr>
            <w:tcW w:w="1467" w:type="dxa"/>
            <w:vAlign w:val="center"/>
          </w:tcPr>
          <w:p w14:paraId="64F92BCA">
            <w:pPr>
              <w:pStyle w:val="236"/>
              <w:keepNext w:val="0"/>
              <w:keepLines w:val="0"/>
              <w:pageBreakBefore w:val="0"/>
              <w:widowControl/>
              <w:kinsoku/>
              <w:wordWrap/>
              <w:overflowPunct/>
              <w:topLinePunct w:val="0"/>
              <w:autoSpaceDE/>
              <w:autoSpaceDN/>
              <w:bidi w:val="0"/>
              <w:ind w:left="0" w:leftChars="0" w:right="0" w:rightChars="0"/>
              <w:jc w:val="center"/>
              <w:rPr>
                <w:rFonts w:eastAsia="宋体"/>
                <w:color w:val="auto"/>
                <w:sz w:val="21"/>
                <w:szCs w:val="21"/>
                <w:highlight w:val="none"/>
              </w:rPr>
            </w:pPr>
            <w:r>
              <w:rPr>
                <w:rFonts w:ascii="Times New Roman" w:hAnsi="Times New Roman" w:eastAsia="宋体" w:cs="Times New Roman"/>
                <w:color w:val="auto"/>
                <w:spacing w:val="5"/>
                <w:sz w:val="21"/>
                <w:szCs w:val="21"/>
                <w:highlight w:val="none"/>
              </w:rPr>
              <w:t>丙烯酸</w:t>
            </w:r>
          </w:p>
        </w:tc>
        <w:tc>
          <w:tcPr>
            <w:tcW w:w="912" w:type="dxa"/>
            <w:vAlign w:val="center"/>
          </w:tcPr>
          <w:p w14:paraId="6055F47D">
            <w:pPr>
              <w:wordWrap w:val="0"/>
              <w:adjustRightInd w:val="0"/>
              <w:snapToGrid w:val="0"/>
              <w:ind w:left="-105" w:leftChars="0" w:right="-105" w:rightChars="0"/>
              <w:jc w:val="center"/>
              <w:textAlignment w:val="center"/>
              <w:rPr>
                <w:rFonts w:eastAsia="宋体"/>
                <w:bCs/>
                <w:color w:val="auto"/>
                <w:sz w:val="21"/>
                <w:szCs w:val="21"/>
                <w:highlight w:val="none"/>
              </w:rPr>
            </w:pPr>
            <w:r>
              <w:rPr>
                <w:rFonts w:hint="eastAsia" w:ascii="Times New Roman" w:hAnsi="Times New Roman" w:cs="Times New Roman"/>
                <w:bCs/>
                <w:color w:val="auto"/>
                <w:sz w:val="21"/>
                <w:szCs w:val="21"/>
                <w:highlight w:val="none"/>
                <w:lang w:val="en-US" w:eastAsia="zh-CN"/>
              </w:rPr>
              <w:t>易燃</w:t>
            </w:r>
          </w:p>
        </w:tc>
        <w:tc>
          <w:tcPr>
            <w:tcW w:w="3084" w:type="dxa"/>
            <w:vAlign w:val="center"/>
          </w:tcPr>
          <w:p w14:paraId="685E85E7">
            <w:pPr>
              <w:wordWrap w:val="0"/>
              <w:adjustRightInd w:val="0"/>
              <w:snapToGrid w:val="0"/>
              <w:ind w:left="-105" w:right="-105"/>
              <w:jc w:val="center"/>
              <w:textAlignment w:val="center"/>
              <w:rPr>
                <w:rFonts w:hint="eastAsia" w:ascii="Times New Roman" w:hAnsi="Times New Roman" w:cs="Times New Roman"/>
                <w:bCs/>
                <w:color w:val="auto"/>
                <w:sz w:val="21"/>
                <w:szCs w:val="21"/>
                <w:highlight w:val="none"/>
                <w:lang w:val="en-US" w:eastAsia="zh-CN"/>
              </w:rPr>
            </w:pPr>
            <w:r>
              <w:rPr>
                <w:rFonts w:hint="eastAsia" w:ascii="Times New Roman" w:hAnsi="Times New Roman" w:cs="Times New Roman"/>
                <w:bCs/>
                <w:color w:val="auto"/>
                <w:sz w:val="21"/>
                <w:szCs w:val="21"/>
                <w:highlight w:val="none"/>
                <w:lang w:val="en-US" w:eastAsia="zh-CN"/>
              </w:rPr>
              <w:t>LD</w:t>
            </w:r>
            <w:r>
              <w:rPr>
                <w:rFonts w:hint="eastAsia" w:ascii="Times New Roman" w:hAnsi="Times New Roman" w:cs="Times New Roman"/>
                <w:bCs/>
                <w:color w:val="auto"/>
                <w:sz w:val="21"/>
                <w:szCs w:val="21"/>
                <w:highlight w:val="none"/>
                <w:vertAlign w:val="subscript"/>
                <w:lang w:val="en-US" w:eastAsia="zh-CN"/>
              </w:rPr>
              <w:t>50</w:t>
            </w:r>
            <w:r>
              <w:rPr>
                <w:rFonts w:hint="eastAsia" w:ascii="Times New Roman" w:hAnsi="Times New Roman" w:cs="Times New Roman"/>
                <w:bCs/>
                <w:color w:val="auto"/>
                <w:sz w:val="21"/>
                <w:szCs w:val="21"/>
                <w:highlight w:val="none"/>
                <w:lang w:val="en-US" w:eastAsia="zh-CN"/>
              </w:rPr>
              <w:t>：2520mg/kg（大鼠经口）</w:t>
            </w:r>
          </w:p>
          <w:p w14:paraId="4EC05979">
            <w:pPr>
              <w:wordWrap w:val="0"/>
              <w:adjustRightInd w:val="0"/>
              <w:snapToGrid w:val="0"/>
              <w:ind w:left="-105" w:leftChars="0" w:right="-105" w:rightChars="0"/>
              <w:jc w:val="center"/>
              <w:textAlignment w:val="center"/>
              <w:rPr>
                <w:rFonts w:hint="eastAsia" w:ascii="Times New Roman" w:hAnsi="Times New Roman" w:cs="Times New Roman"/>
                <w:bCs/>
                <w:color w:val="auto"/>
                <w:sz w:val="21"/>
                <w:szCs w:val="21"/>
                <w:highlight w:val="none"/>
                <w:lang w:val="en-US" w:eastAsia="zh-CN"/>
              </w:rPr>
            </w:pPr>
            <w:r>
              <w:rPr>
                <w:rFonts w:hint="eastAsia" w:ascii="Times New Roman" w:hAnsi="Times New Roman" w:cs="Times New Roman"/>
                <w:bCs/>
                <w:color w:val="auto"/>
                <w:sz w:val="21"/>
                <w:szCs w:val="21"/>
                <w:highlight w:val="none"/>
                <w:lang w:val="en-US" w:eastAsia="zh-CN"/>
              </w:rPr>
              <w:t>LD</w:t>
            </w:r>
            <w:r>
              <w:rPr>
                <w:rFonts w:hint="eastAsia" w:ascii="Times New Roman" w:hAnsi="Times New Roman" w:cs="Times New Roman"/>
                <w:bCs/>
                <w:color w:val="auto"/>
                <w:sz w:val="21"/>
                <w:szCs w:val="21"/>
                <w:highlight w:val="none"/>
                <w:vertAlign w:val="subscript"/>
                <w:lang w:val="en-US" w:eastAsia="zh-CN"/>
              </w:rPr>
              <w:t>50</w:t>
            </w:r>
            <w:r>
              <w:rPr>
                <w:rFonts w:hint="eastAsia" w:ascii="Times New Roman" w:hAnsi="Times New Roman" w:cs="Times New Roman"/>
                <w:bCs/>
                <w:color w:val="auto"/>
                <w:sz w:val="21"/>
                <w:szCs w:val="21"/>
                <w:highlight w:val="none"/>
                <w:lang w:val="en-US" w:eastAsia="zh-CN"/>
              </w:rPr>
              <w:t>：950mg/kg（兔经皮）</w:t>
            </w:r>
          </w:p>
          <w:p w14:paraId="5A98D009">
            <w:pPr>
              <w:wordWrap w:val="0"/>
              <w:adjustRightInd w:val="0"/>
              <w:snapToGrid w:val="0"/>
              <w:ind w:left="-105" w:leftChars="0" w:right="-105" w:rightChars="0"/>
              <w:jc w:val="center"/>
              <w:textAlignment w:val="center"/>
              <w:rPr>
                <w:rFonts w:eastAsia="宋体"/>
                <w:bCs/>
                <w:color w:val="auto"/>
                <w:sz w:val="21"/>
                <w:szCs w:val="21"/>
                <w:highlight w:val="none"/>
              </w:rPr>
            </w:pPr>
            <w:r>
              <w:rPr>
                <w:rFonts w:hint="eastAsia" w:ascii="Times New Roman" w:hAnsi="Times New Roman" w:cs="Times New Roman"/>
                <w:bCs/>
                <w:color w:val="auto"/>
                <w:sz w:val="21"/>
                <w:szCs w:val="21"/>
                <w:highlight w:val="none"/>
                <w:lang w:val="en-US" w:eastAsia="zh-CN"/>
              </w:rPr>
              <w:t>LC</w:t>
            </w:r>
            <w:r>
              <w:rPr>
                <w:rFonts w:hint="eastAsia" w:ascii="Times New Roman" w:hAnsi="Times New Roman" w:cs="Times New Roman"/>
                <w:bCs/>
                <w:color w:val="auto"/>
                <w:sz w:val="21"/>
                <w:szCs w:val="21"/>
                <w:highlight w:val="none"/>
                <w:vertAlign w:val="subscript"/>
                <w:lang w:val="en-US" w:eastAsia="zh-CN"/>
              </w:rPr>
              <w:t>50</w:t>
            </w:r>
            <w:r>
              <w:rPr>
                <w:rFonts w:hint="eastAsia" w:ascii="Times New Roman" w:hAnsi="Times New Roman" w:cs="Times New Roman"/>
                <w:bCs/>
                <w:color w:val="auto"/>
                <w:sz w:val="21"/>
                <w:szCs w:val="21"/>
                <w:highlight w:val="none"/>
                <w:vertAlign w:val="baseline"/>
                <w:lang w:val="en-US" w:eastAsia="zh-CN"/>
              </w:rPr>
              <w:t>：5300mg/m</w:t>
            </w:r>
            <w:r>
              <w:rPr>
                <w:rFonts w:hint="eastAsia" w:ascii="Times New Roman" w:hAnsi="Times New Roman" w:cs="Times New Roman"/>
                <w:bCs/>
                <w:color w:val="auto"/>
                <w:sz w:val="21"/>
                <w:szCs w:val="21"/>
                <w:highlight w:val="none"/>
                <w:vertAlign w:val="superscript"/>
                <w:lang w:val="en-US" w:eastAsia="zh-CN"/>
              </w:rPr>
              <w:t>3</w:t>
            </w:r>
            <w:r>
              <w:rPr>
                <w:rFonts w:hint="eastAsia" w:ascii="Times New Roman" w:hAnsi="Times New Roman" w:cs="Times New Roman"/>
                <w:bCs/>
                <w:color w:val="auto"/>
                <w:sz w:val="21"/>
                <w:szCs w:val="21"/>
                <w:highlight w:val="none"/>
                <w:vertAlign w:val="baseline"/>
                <w:lang w:val="en-US" w:eastAsia="zh-CN"/>
              </w:rPr>
              <w:t>（小鼠吸入）</w:t>
            </w:r>
          </w:p>
        </w:tc>
        <w:tc>
          <w:tcPr>
            <w:tcW w:w="1275" w:type="dxa"/>
            <w:vAlign w:val="center"/>
          </w:tcPr>
          <w:p w14:paraId="75E49C6E">
            <w:pPr>
              <w:ind w:left="-105" w:right="-105" w:firstLine="0" w:firstLineChars="0"/>
              <w:jc w:val="center"/>
              <w:rPr>
                <w:rFonts w:eastAsia="宋体"/>
                <w:bCs/>
                <w:color w:val="auto"/>
                <w:sz w:val="21"/>
                <w:szCs w:val="21"/>
                <w:highlight w:val="none"/>
              </w:rPr>
            </w:pPr>
            <w:r>
              <w:rPr>
                <w:rFonts w:eastAsia="宋体"/>
                <w:bCs/>
                <w:color w:val="auto"/>
                <w:sz w:val="21"/>
                <w:szCs w:val="21"/>
                <w:highlight w:val="none"/>
              </w:rPr>
              <w:t>排气筒</w:t>
            </w:r>
          </w:p>
        </w:tc>
      </w:tr>
      <w:tr w14:paraId="2383B8C0">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889" w:type="dxa"/>
            <w:vAlign w:val="center"/>
          </w:tcPr>
          <w:p w14:paraId="388D90A8">
            <w:pPr>
              <w:pStyle w:val="97"/>
              <w:numPr>
                <w:ilvl w:val="0"/>
                <w:numId w:val="22"/>
              </w:numPr>
              <w:ind w:left="-105" w:right="-105" w:firstLine="0" w:firstLineChars="0"/>
              <w:jc w:val="center"/>
              <w:rPr>
                <w:rFonts w:eastAsia="宋体"/>
                <w:bCs/>
                <w:color w:val="auto"/>
                <w:sz w:val="21"/>
                <w:szCs w:val="21"/>
                <w:highlight w:val="none"/>
              </w:rPr>
            </w:pPr>
          </w:p>
        </w:tc>
        <w:tc>
          <w:tcPr>
            <w:tcW w:w="1093" w:type="dxa"/>
            <w:vMerge w:val="continue"/>
            <w:vAlign w:val="center"/>
          </w:tcPr>
          <w:p w14:paraId="3A5DBDFD">
            <w:pPr>
              <w:pStyle w:val="97"/>
              <w:ind w:left="-105" w:right="-105" w:firstLine="0" w:firstLineChars="0"/>
              <w:jc w:val="center"/>
              <w:rPr>
                <w:rFonts w:eastAsia="宋体"/>
                <w:bCs/>
                <w:color w:val="auto"/>
                <w:sz w:val="21"/>
                <w:szCs w:val="21"/>
                <w:highlight w:val="none"/>
              </w:rPr>
            </w:pPr>
          </w:p>
        </w:tc>
        <w:tc>
          <w:tcPr>
            <w:tcW w:w="1467" w:type="dxa"/>
            <w:vAlign w:val="center"/>
          </w:tcPr>
          <w:p w14:paraId="66545DA5">
            <w:pPr>
              <w:pStyle w:val="97"/>
              <w:ind w:left="-105" w:leftChars="0" w:right="-105" w:rightChars="0" w:firstLine="0" w:firstLineChars="0"/>
              <w:jc w:val="center"/>
              <w:rPr>
                <w:rFonts w:ascii="Times New Roman" w:hAnsi="Times New Roman" w:eastAsia="宋体" w:cs="Times New Roman"/>
                <w:bCs/>
                <w:color w:val="auto"/>
                <w:kern w:val="2"/>
                <w:sz w:val="21"/>
                <w:szCs w:val="21"/>
                <w:highlight w:val="none"/>
                <w:lang w:val="en-US" w:eastAsia="zh-CN" w:bidi="ar-SA"/>
              </w:rPr>
            </w:pPr>
            <w:r>
              <w:rPr>
                <w:rFonts w:eastAsia="宋体"/>
                <w:color w:val="auto"/>
                <w:sz w:val="21"/>
                <w:szCs w:val="21"/>
                <w:highlight w:val="none"/>
              </w:rPr>
              <w:t>非甲烷总烃</w:t>
            </w:r>
          </w:p>
        </w:tc>
        <w:tc>
          <w:tcPr>
            <w:tcW w:w="912" w:type="dxa"/>
            <w:vAlign w:val="center"/>
          </w:tcPr>
          <w:p w14:paraId="37E2BF9D">
            <w:pPr>
              <w:pStyle w:val="97"/>
              <w:ind w:left="-105" w:leftChars="0" w:right="-105" w:rightChars="0" w:firstLine="0" w:firstLineChars="0"/>
              <w:jc w:val="center"/>
              <w:rPr>
                <w:rFonts w:ascii="Times New Roman" w:hAnsi="Times New Roman" w:eastAsia="宋体" w:cs="Times New Roman"/>
                <w:bCs/>
                <w:color w:val="auto"/>
                <w:kern w:val="2"/>
                <w:sz w:val="21"/>
                <w:szCs w:val="21"/>
                <w:highlight w:val="none"/>
                <w:lang w:val="en-US" w:eastAsia="zh-CN" w:bidi="ar-SA"/>
              </w:rPr>
            </w:pPr>
            <w:r>
              <w:rPr>
                <w:rFonts w:eastAsia="宋体"/>
                <w:bCs/>
                <w:color w:val="auto"/>
                <w:sz w:val="21"/>
                <w:szCs w:val="21"/>
                <w:highlight w:val="none"/>
              </w:rPr>
              <w:t>/</w:t>
            </w:r>
          </w:p>
        </w:tc>
        <w:tc>
          <w:tcPr>
            <w:tcW w:w="3084" w:type="dxa"/>
            <w:vAlign w:val="center"/>
          </w:tcPr>
          <w:p w14:paraId="25ABFA17">
            <w:pPr>
              <w:pStyle w:val="97"/>
              <w:ind w:left="-105" w:leftChars="0" w:right="-105" w:rightChars="0" w:firstLine="0" w:firstLineChars="0"/>
              <w:jc w:val="center"/>
              <w:rPr>
                <w:rFonts w:ascii="Times New Roman" w:hAnsi="Times New Roman" w:eastAsia="宋体" w:cs="Times New Roman"/>
                <w:color w:val="auto"/>
                <w:kern w:val="2"/>
                <w:sz w:val="21"/>
                <w:szCs w:val="21"/>
                <w:highlight w:val="none"/>
                <w:lang w:val="en-US" w:eastAsia="zh-CN" w:bidi="ar-SA"/>
              </w:rPr>
            </w:pPr>
            <w:r>
              <w:rPr>
                <w:rFonts w:eastAsia="宋体"/>
                <w:bCs/>
                <w:color w:val="auto"/>
                <w:sz w:val="21"/>
                <w:szCs w:val="21"/>
                <w:highlight w:val="none"/>
              </w:rPr>
              <w:t>/</w:t>
            </w:r>
          </w:p>
        </w:tc>
        <w:tc>
          <w:tcPr>
            <w:tcW w:w="1275" w:type="dxa"/>
            <w:vAlign w:val="center"/>
          </w:tcPr>
          <w:p w14:paraId="1F55802E">
            <w:pPr>
              <w:pStyle w:val="97"/>
              <w:ind w:left="-105" w:leftChars="0" w:right="-105" w:rightChars="0" w:firstLine="0" w:firstLineChars="0"/>
              <w:jc w:val="center"/>
              <w:rPr>
                <w:rFonts w:ascii="Times New Roman" w:hAnsi="Times New Roman" w:eastAsia="宋体" w:cs="Times New Roman"/>
                <w:bCs/>
                <w:color w:val="auto"/>
                <w:kern w:val="2"/>
                <w:sz w:val="21"/>
                <w:szCs w:val="21"/>
                <w:highlight w:val="none"/>
                <w:lang w:val="en-US" w:eastAsia="zh-CN" w:bidi="ar-SA"/>
              </w:rPr>
            </w:pPr>
            <w:r>
              <w:rPr>
                <w:rFonts w:eastAsia="宋体"/>
                <w:bCs/>
                <w:color w:val="auto"/>
                <w:sz w:val="21"/>
                <w:szCs w:val="21"/>
                <w:highlight w:val="none"/>
              </w:rPr>
              <w:t>排气筒</w:t>
            </w:r>
          </w:p>
        </w:tc>
      </w:tr>
      <w:tr w14:paraId="7640A4E0">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889" w:type="dxa"/>
            <w:vAlign w:val="center"/>
          </w:tcPr>
          <w:p w14:paraId="3524B062">
            <w:pPr>
              <w:pStyle w:val="97"/>
              <w:numPr>
                <w:ilvl w:val="0"/>
                <w:numId w:val="22"/>
              </w:numPr>
              <w:ind w:left="-105" w:right="-105" w:firstLine="0" w:firstLineChars="0"/>
              <w:jc w:val="center"/>
              <w:rPr>
                <w:rFonts w:eastAsia="宋体"/>
                <w:bCs/>
                <w:color w:val="auto"/>
                <w:sz w:val="21"/>
                <w:szCs w:val="21"/>
                <w:highlight w:val="none"/>
              </w:rPr>
            </w:pPr>
          </w:p>
        </w:tc>
        <w:tc>
          <w:tcPr>
            <w:tcW w:w="1093" w:type="dxa"/>
            <w:vMerge w:val="continue"/>
            <w:vAlign w:val="center"/>
          </w:tcPr>
          <w:p w14:paraId="431CE822">
            <w:pPr>
              <w:pStyle w:val="97"/>
              <w:ind w:left="-105" w:right="-105" w:firstLine="0" w:firstLineChars="0"/>
              <w:jc w:val="center"/>
              <w:rPr>
                <w:rFonts w:eastAsia="宋体"/>
                <w:bCs/>
                <w:color w:val="auto"/>
                <w:sz w:val="21"/>
                <w:szCs w:val="21"/>
                <w:highlight w:val="none"/>
              </w:rPr>
            </w:pPr>
          </w:p>
        </w:tc>
        <w:tc>
          <w:tcPr>
            <w:tcW w:w="1467" w:type="dxa"/>
            <w:vAlign w:val="center"/>
          </w:tcPr>
          <w:p w14:paraId="094305FD">
            <w:pPr>
              <w:pStyle w:val="97"/>
              <w:ind w:left="-105" w:right="-105" w:firstLine="0" w:firstLineChars="0"/>
              <w:jc w:val="center"/>
              <w:rPr>
                <w:rFonts w:eastAsia="宋体"/>
                <w:color w:val="auto"/>
                <w:sz w:val="21"/>
                <w:szCs w:val="21"/>
                <w:highlight w:val="none"/>
              </w:rPr>
            </w:pPr>
            <w:r>
              <w:rPr>
                <w:rFonts w:hint="eastAsia" w:eastAsia="宋体"/>
                <w:color w:val="auto"/>
                <w:sz w:val="21"/>
                <w:szCs w:val="21"/>
                <w:highlight w:val="none"/>
              </w:rPr>
              <w:t>甲醇</w:t>
            </w:r>
          </w:p>
        </w:tc>
        <w:tc>
          <w:tcPr>
            <w:tcW w:w="912" w:type="dxa"/>
            <w:vAlign w:val="center"/>
          </w:tcPr>
          <w:p w14:paraId="56528FBB">
            <w:pPr>
              <w:wordWrap w:val="0"/>
              <w:adjustRightInd w:val="0"/>
              <w:snapToGrid w:val="0"/>
              <w:ind w:left="-105" w:leftChars="0" w:right="-105" w:rightChars="0"/>
              <w:jc w:val="center"/>
              <w:textAlignment w:val="center"/>
              <w:rPr>
                <w:rFonts w:eastAsia="宋体"/>
                <w:bCs/>
                <w:color w:val="auto"/>
                <w:sz w:val="21"/>
                <w:szCs w:val="21"/>
                <w:highlight w:val="none"/>
              </w:rPr>
            </w:pPr>
            <w:r>
              <w:rPr>
                <w:rFonts w:hint="eastAsia" w:ascii="Times New Roman" w:hAnsi="Times New Roman" w:cs="Times New Roman"/>
                <w:bCs/>
                <w:color w:val="auto"/>
                <w:sz w:val="21"/>
                <w:szCs w:val="21"/>
                <w:highlight w:val="none"/>
              </w:rPr>
              <w:t>易燃</w:t>
            </w:r>
          </w:p>
        </w:tc>
        <w:tc>
          <w:tcPr>
            <w:tcW w:w="3084" w:type="dxa"/>
            <w:vAlign w:val="center"/>
          </w:tcPr>
          <w:p w14:paraId="5C76DEDB">
            <w:pPr>
              <w:wordWrap w:val="0"/>
              <w:adjustRightInd w:val="0"/>
              <w:snapToGrid w:val="0"/>
              <w:ind w:left="-105" w:leftChars="0" w:right="-105" w:rightChars="0"/>
              <w:jc w:val="center"/>
              <w:textAlignment w:val="center"/>
              <w:rPr>
                <w:rFonts w:eastAsia="宋体"/>
                <w:bCs/>
                <w:color w:val="auto"/>
                <w:sz w:val="21"/>
                <w:szCs w:val="21"/>
                <w:highlight w:val="none"/>
              </w:rPr>
            </w:pPr>
            <w:r>
              <w:rPr>
                <w:rFonts w:hint="eastAsia"/>
                <w:bCs/>
                <w:color w:val="auto"/>
                <w:sz w:val="21"/>
                <w:szCs w:val="21"/>
                <w:highlight w:val="none"/>
              </w:rPr>
              <w:t>无资料</w:t>
            </w:r>
          </w:p>
        </w:tc>
        <w:tc>
          <w:tcPr>
            <w:tcW w:w="1275" w:type="dxa"/>
            <w:vAlign w:val="center"/>
          </w:tcPr>
          <w:p w14:paraId="7D5E3135">
            <w:pPr>
              <w:pStyle w:val="97"/>
              <w:ind w:left="-105" w:right="-105" w:firstLine="0" w:firstLineChars="0"/>
              <w:jc w:val="center"/>
              <w:rPr>
                <w:rFonts w:eastAsia="宋体"/>
                <w:bCs/>
                <w:color w:val="auto"/>
                <w:sz w:val="21"/>
                <w:szCs w:val="21"/>
                <w:highlight w:val="none"/>
              </w:rPr>
            </w:pPr>
            <w:r>
              <w:rPr>
                <w:rFonts w:eastAsia="宋体"/>
                <w:bCs/>
                <w:color w:val="auto"/>
                <w:sz w:val="21"/>
                <w:szCs w:val="21"/>
                <w:highlight w:val="none"/>
              </w:rPr>
              <w:t>排气筒</w:t>
            </w:r>
          </w:p>
        </w:tc>
      </w:tr>
      <w:tr w14:paraId="35EE8C19">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889" w:type="dxa"/>
            <w:vAlign w:val="center"/>
          </w:tcPr>
          <w:p w14:paraId="43831DDD">
            <w:pPr>
              <w:pStyle w:val="97"/>
              <w:numPr>
                <w:ilvl w:val="0"/>
                <w:numId w:val="22"/>
              </w:numPr>
              <w:ind w:left="-105" w:right="-105" w:firstLine="0" w:firstLineChars="0"/>
              <w:jc w:val="center"/>
              <w:rPr>
                <w:rFonts w:eastAsia="宋体"/>
                <w:bCs/>
                <w:color w:val="auto"/>
                <w:sz w:val="21"/>
                <w:szCs w:val="21"/>
                <w:highlight w:val="none"/>
              </w:rPr>
            </w:pPr>
          </w:p>
        </w:tc>
        <w:tc>
          <w:tcPr>
            <w:tcW w:w="1093" w:type="dxa"/>
            <w:vMerge w:val="continue"/>
            <w:vAlign w:val="center"/>
          </w:tcPr>
          <w:p w14:paraId="1224D3C6">
            <w:pPr>
              <w:pStyle w:val="97"/>
              <w:ind w:left="-105" w:right="-105" w:firstLine="0" w:firstLineChars="0"/>
              <w:jc w:val="center"/>
              <w:rPr>
                <w:rFonts w:eastAsia="宋体"/>
                <w:bCs/>
                <w:color w:val="auto"/>
                <w:sz w:val="21"/>
                <w:szCs w:val="21"/>
                <w:highlight w:val="none"/>
              </w:rPr>
            </w:pPr>
          </w:p>
        </w:tc>
        <w:tc>
          <w:tcPr>
            <w:tcW w:w="1467" w:type="dxa"/>
            <w:vAlign w:val="center"/>
          </w:tcPr>
          <w:p w14:paraId="3303FD9F">
            <w:pPr>
              <w:pStyle w:val="97"/>
              <w:ind w:left="-105" w:right="-105" w:firstLine="0" w:firstLineChars="0"/>
              <w:jc w:val="center"/>
              <w:rPr>
                <w:rFonts w:eastAsia="宋体"/>
                <w:color w:val="auto"/>
                <w:sz w:val="21"/>
                <w:szCs w:val="21"/>
                <w:highlight w:val="none"/>
              </w:rPr>
            </w:pPr>
            <w:r>
              <w:rPr>
                <w:rFonts w:hint="eastAsia" w:eastAsia="宋体"/>
                <w:color w:val="auto"/>
                <w:sz w:val="21"/>
                <w:szCs w:val="21"/>
                <w:highlight w:val="none"/>
              </w:rPr>
              <w:t>氮氧化物</w:t>
            </w:r>
          </w:p>
        </w:tc>
        <w:tc>
          <w:tcPr>
            <w:tcW w:w="912" w:type="dxa"/>
            <w:vAlign w:val="center"/>
          </w:tcPr>
          <w:p w14:paraId="6C33484E">
            <w:pPr>
              <w:autoSpaceDE w:val="0"/>
              <w:autoSpaceDN w:val="0"/>
              <w:jc w:val="center"/>
              <w:rPr>
                <w:rFonts w:eastAsia="宋体"/>
                <w:bCs/>
                <w:color w:val="auto"/>
                <w:sz w:val="21"/>
                <w:szCs w:val="21"/>
                <w:highlight w:val="none"/>
              </w:rPr>
            </w:pPr>
            <w:r>
              <w:rPr>
                <w:bCs/>
                <w:color w:val="auto"/>
                <w:kern w:val="0"/>
                <w:sz w:val="21"/>
                <w:szCs w:val="21"/>
                <w:highlight w:val="none"/>
                <w:lang w:val="zh-CN" w:bidi="zh-CN"/>
              </w:rPr>
              <w:t>不燃</w:t>
            </w:r>
          </w:p>
        </w:tc>
        <w:tc>
          <w:tcPr>
            <w:tcW w:w="3084" w:type="dxa"/>
            <w:vAlign w:val="center"/>
          </w:tcPr>
          <w:p w14:paraId="7AD1A57D">
            <w:pPr>
              <w:autoSpaceDE w:val="0"/>
              <w:autoSpaceDN w:val="0"/>
              <w:jc w:val="center"/>
              <w:rPr>
                <w:rFonts w:eastAsia="宋体"/>
                <w:bCs/>
                <w:color w:val="auto"/>
                <w:sz w:val="21"/>
                <w:szCs w:val="21"/>
                <w:highlight w:val="none"/>
              </w:rPr>
            </w:pPr>
            <w:r>
              <w:rPr>
                <w:color w:val="auto"/>
                <w:kern w:val="0"/>
                <w:sz w:val="21"/>
                <w:szCs w:val="21"/>
                <w:highlight w:val="none"/>
                <w:lang w:val="zh-CN" w:bidi="zh-CN"/>
              </w:rPr>
              <w:t>参照一氧化氮，毒性终点浓度-1：25mg/m</w:t>
            </w:r>
            <w:r>
              <w:rPr>
                <w:color w:val="auto"/>
                <w:kern w:val="0"/>
                <w:sz w:val="21"/>
                <w:szCs w:val="21"/>
                <w:highlight w:val="none"/>
                <w:vertAlign w:val="superscript"/>
                <w:lang w:val="zh-CN" w:bidi="zh-CN"/>
              </w:rPr>
              <w:t>3</w:t>
            </w:r>
            <w:r>
              <w:rPr>
                <w:color w:val="auto"/>
                <w:kern w:val="0"/>
                <w:sz w:val="21"/>
                <w:szCs w:val="21"/>
                <w:highlight w:val="none"/>
                <w:lang w:val="zh-CN" w:bidi="zh-CN"/>
              </w:rPr>
              <w:t>、毒性终点浓度-2：</w:t>
            </w:r>
            <w:r>
              <w:rPr>
                <w:rFonts w:hint="eastAsia"/>
                <w:color w:val="auto"/>
                <w:kern w:val="0"/>
                <w:sz w:val="21"/>
                <w:szCs w:val="21"/>
                <w:highlight w:val="none"/>
                <w:lang w:val="zh-CN" w:bidi="zh-CN"/>
              </w:rPr>
              <w:t>18m</w:t>
            </w:r>
            <w:r>
              <w:rPr>
                <w:color w:val="auto"/>
                <w:kern w:val="0"/>
                <w:sz w:val="21"/>
                <w:szCs w:val="21"/>
                <w:highlight w:val="none"/>
                <w:lang w:val="zh-CN" w:bidi="zh-CN"/>
              </w:rPr>
              <w:t>g/m</w:t>
            </w:r>
            <w:r>
              <w:rPr>
                <w:color w:val="auto"/>
                <w:kern w:val="0"/>
                <w:sz w:val="21"/>
                <w:szCs w:val="21"/>
                <w:highlight w:val="none"/>
                <w:vertAlign w:val="superscript"/>
                <w:lang w:val="zh-CN" w:bidi="zh-CN"/>
              </w:rPr>
              <w:t>3</w:t>
            </w:r>
          </w:p>
        </w:tc>
        <w:tc>
          <w:tcPr>
            <w:tcW w:w="1275" w:type="dxa"/>
            <w:vAlign w:val="center"/>
          </w:tcPr>
          <w:p w14:paraId="172BD9EC">
            <w:pPr>
              <w:pStyle w:val="97"/>
              <w:ind w:left="-105" w:right="-105" w:firstLine="0" w:firstLineChars="0"/>
              <w:jc w:val="center"/>
              <w:rPr>
                <w:rFonts w:eastAsia="宋体"/>
                <w:bCs/>
                <w:color w:val="auto"/>
                <w:sz w:val="21"/>
                <w:szCs w:val="21"/>
                <w:highlight w:val="none"/>
              </w:rPr>
            </w:pPr>
            <w:r>
              <w:rPr>
                <w:rFonts w:eastAsia="宋体"/>
                <w:bCs/>
                <w:color w:val="auto"/>
                <w:sz w:val="21"/>
                <w:szCs w:val="21"/>
                <w:highlight w:val="none"/>
              </w:rPr>
              <w:t>排气筒</w:t>
            </w:r>
          </w:p>
        </w:tc>
      </w:tr>
      <w:tr w14:paraId="6FA75D20">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889" w:type="dxa"/>
            <w:vAlign w:val="center"/>
          </w:tcPr>
          <w:p w14:paraId="2E6F8C14">
            <w:pPr>
              <w:pStyle w:val="97"/>
              <w:numPr>
                <w:ilvl w:val="0"/>
                <w:numId w:val="22"/>
              </w:numPr>
              <w:ind w:left="-105" w:right="-105" w:firstLine="0" w:firstLineChars="0"/>
              <w:jc w:val="center"/>
              <w:rPr>
                <w:rFonts w:eastAsia="宋体"/>
                <w:bCs/>
                <w:color w:val="auto"/>
                <w:sz w:val="21"/>
                <w:szCs w:val="21"/>
                <w:highlight w:val="none"/>
              </w:rPr>
            </w:pPr>
          </w:p>
        </w:tc>
        <w:tc>
          <w:tcPr>
            <w:tcW w:w="1093" w:type="dxa"/>
            <w:vMerge w:val="restart"/>
            <w:vAlign w:val="center"/>
          </w:tcPr>
          <w:p w14:paraId="20727B3F">
            <w:pPr>
              <w:pStyle w:val="97"/>
              <w:ind w:left="-105" w:right="-105" w:firstLine="0" w:firstLineChars="0"/>
              <w:jc w:val="center"/>
              <w:rPr>
                <w:rFonts w:eastAsia="宋体"/>
                <w:bCs/>
                <w:color w:val="auto"/>
                <w:sz w:val="21"/>
                <w:szCs w:val="21"/>
                <w:highlight w:val="none"/>
              </w:rPr>
            </w:pPr>
            <w:r>
              <w:rPr>
                <w:rFonts w:eastAsia="宋体"/>
                <w:bCs/>
                <w:color w:val="auto"/>
                <w:sz w:val="21"/>
                <w:szCs w:val="21"/>
                <w:highlight w:val="none"/>
              </w:rPr>
              <w:t>固体废物</w:t>
            </w:r>
          </w:p>
        </w:tc>
        <w:tc>
          <w:tcPr>
            <w:tcW w:w="1467" w:type="dxa"/>
            <w:vAlign w:val="center"/>
          </w:tcPr>
          <w:p w14:paraId="35CD265C">
            <w:pPr>
              <w:pStyle w:val="236"/>
              <w:keepNext w:val="0"/>
              <w:keepLines w:val="0"/>
              <w:pageBreakBefore w:val="0"/>
              <w:widowControl/>
              <w:kinsoku/>
              <w:wordWrap/>
              <w:overflowPunct/>
              <w:topLinePunct w:val="0"/>
              <w:autoSpaceDE/>
              <w:autoSpaceDN/>
              <w:bidi w:val="0"/>
              <w:ind w:left="0" w:leftChars="0" w:right="0" w:rightChars="0"/>
              <w:jc w:val="center"/>
              <w:rPr>
                <w:rFonts w:hint="eastAsia" w:ascii="宋体" w:hAnsi="宋体" w:eastAsia="宋体" w:cs="宋体"/>
                <w:color w:val="auto"/>
                <w:sz w:val="21"/>
                <w:szCs w:val="21"/>
                <w:highlight w:val="none"/>
                <w:lang w:val="en-US"/>
              </w:rPr>
            </w:pPr>
            <w:r>
              <w:rPr>
                <w:rFonts w:ascii="Times New Roman" w:hAnsi="Times New Roman" w:eastAsia="宋体" w:cs="Times New Roman"/>
                <w:color w:val="auto"/>
                <w:spacing w:val="8"/>
                <w:sz w:val="21"/>
                <w:szCs w:val="21"/>
                <w:highlight w:val="none"/>
              </w:rPr>
              <w:t>过滤残渣、浸润废料</w:t>
            </w:r>
          </w:p>
        </w:tc>
        <w:tc>
          <w:tcPr>
            <w:tcW w:w="912" w:type="dxa"/>
            <w:vAlign w:val="center"/>
          </w:tcPr>
          <w:p w14:paraId="5BAA0923">
            <w:pPr>
              <w:pStyle w:val="97"/>
              <w:ind w:left="-105" w:leftChars="0" w:right="-105" w:rightChars="0" w:firstLine="0" w:firstLineChars="0"/>
              <w:jc w:val="center"/>
              <w:rPr>
                <w:rFonts w:eastAsia="宋体"/>
                <w:bCs/>
                <w:color w:val="auto"/>
                <w:sz w:val="21"/>
                <w:szCs w:val="21"/>
                <w:highlight w:val="none"/>
              </w:rPr>
            </w:pPr>
            <w:r>
              <w:rPr>
                <w:rFonts w:eastAsia="宋体"/>
                <w:bCs/>
                <w:color w:val="auto"/>
                <w:sz w:val="21"/>
                <w:szCs w:val="21"/>
                <w:highlight w:val="none"/>
              </w:rPr>
              <w:t>可燃</w:t>
            </w:r>
          </w:p>
        </w:tc>
        <w:tc>
          <w:tcPr>
            <w:tcW w:w="3084" w:type="dxa"/>
            <w:vAlign w:val="center"/>
          </w:tcPr>
          <w:p w14:paraId="36CF456C">
            <w:pPr>
              <w:pStyle w:val="97"/>
              <w:ind w:left="-105" w:leftChars="0" w:right="-105" w:rightChars="0" w:firstLine="0" w:firstLineChars="0"/>
              <w:jc w:val="center"/>
              <w:rPr>
                <w:rFonts w:eastAsia="宋体"/>
                <w:color w:val="auto"/>
                <w:sz w:val="21"/>
                <w:szCs w:val="21"/>
                <w:highlight w:val="none"/>
              </w:rPr>
            </w:pPr>
            <w:r>
              <w:rPr>
                <w:rFonts w:eastAsia="宋体"/>
                <w:color w:val="auto"/>
                <w:sz w:val="21"/>
                <w:szCs w:val="21"/>
                <w:highlight w:val="none"/>
              </w:rPr>
              <w:t>无资料</w:t>
            </w:r>
          </w:p>
        </w:tc>
        <w:tc>
          <w:tcPr>
            <w:tcW w:w="1275" w:type="dxa"/>
            <w:vAlign w:val="center"/>
          </w:tcPr>
          <w:p w14:paraId="2B0C78CE">
            <w:pPr>
              <w:pStyle w:val="97"/>
              <w:ind w:left="-105" w:leftChars="0" w:right="-105" w:rightChars="0" w:firstLine="0" w:firstLineChars="0"/>
              <w:jc w:val="center"/>
              <w:rPr>
                <w:rFonts w:eastAsia="宋体"/>
                <w:bCs/>
                <w:color w:val="auto"/>
                <w:sz w:val="21"/>
                <w:szCs w:val="21"/>
                <w:highlight w:val="none"/>
              </w:rPr>
            </w:pPr>
            <w:r>
              <w:rPr>
                <w:rFonts w:eastAsia="宋体"/>
                <w:bCs/>
                <w:color w:val="auto"/>
                <w:sz w:val="21"/>
                <w:szCs w:val="21"/>
                <w:highlight w:val="none"/>
              </w:rPr>
              <w:t>危废仓库</w:t>
            </w:r>
          </w:p>
        </w:tc>
      </w:tr>
      <w:tr w14:paraId="780362DF">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889" w:type="dxa"/>
            <w:vAlign w:val="center"/>
          </w:tcPr>
          <w:p w14:paraId="73F88F92">
            <w:pPr>
              <w:pStyle w:val="97"/>
              <w:numPr>
                <w:ilvl w:val="0"/>
                <w:numId w:val="22"/>
              </w:numPr>
              <w:ind w:left="-105" w:right="-105" w:firstLine="0" w:firstLineChars="0"/>
              <w:jc w:val="center"/>
              <w:rPr>
                <w:rFonts w:eastAsia="宋体"/>
                <w:bCs/>
                <w:color w:val="auto"/>
                <w:sz w:val="21"/>
                <w:szCs w:val="21"/>
                <w:highlight w:val="none"/>
              </w:rPr>
            </w:pPr>
          </w:p>
        </w:tc>
        <w:tc>
          <w:tcPr>
            <w:tcW w:w="1093" w:type="dxa"/>
            <w:vMerge w:val="continue"/>
            <w:vAlign w:val="center"/>
          </w:tcPr>
          <w:p w14:paraId="4216D93C">
            <w:pPr>
              <w:pStyle w:val="97"/>
              <w:ind w:left="-105" w:right="-105" w:firstLine="0" w:firstLineChars="0"/>
              <w:jc w:val="center"/>
              <w:rPr>
                <w:rFonts w:eastAsia="宋体"/>
                <w:bCs/>
                <w:color w:val="auto"/>
                <w:sz w:val="21"/>
                <w:szCs w:val="21"/>
                <w:highlight w:val="none"/>
              </w:rPr>
            </w:pPr>
          </w:p>
        </w:tc>
        <w:tc>
          <w:tcPr>
            <w:tcW w:w="1467" w:type="dxa"/>
            <w:vAlign w:val="center"/>
          </w:tcPr>
          <w:p w14:paraId="6CF8B54F">
            <w:pPr>
              <w:pStyle w:val="236"/>
              <w:keepNext w:val="0"/>
              <w:keepLines w:val="0"/>
              <w:pageBreakBefore w:val="0"/>
              <w:widowControl/>
              <w:kinsoku/>
              <w:wordWrap/>
              <w:overflowPunct/>
              <w:topLinePunct w:val="0"/>
              <w:autoSpaceDE/>
              <w:autoSpaceDN/>
              <w:bidi w:val="0"/>
              <w:ind w:left="0" w:leftChars="0" w:right="0" w:rightChars="0"/>
              <w:jc w:val="center"/>
              <w:rPr>
                <w:rFonts w:ascii="Times New Roman" w:hAnsi="Times New Roman" w:eastAsia="宋体" w:cs="Times New Roman"/>
                <w:bCs/>
                <w:color w:val="auto"/>
                <w:sz w:val="21"/>
                <w:szCs w:val="21"/>
                <w:highlight w:val="none"/>
                <w:lang w:val="zh-CN" w:eastAsia="zh-CN" w:bidi="zh-CN"/>
              </w:rPr>
            </w:pPr>
            <w:r>
              <w:rPr>
                <w:rFonts w:ascii="Times New Roman" w:hAnsi="Times New Roman" w:eastAsia="宋体" w:cs="Times New Roman"/>
                <w:color w:val="auto"/>
                <w:spacing w:val="7"/>
                <w:sz w:val="21"/>
                <w:szCs w:val="21"/>
                <w:highlight w:val="none"/>
              </w:rPr>
              <w:t>废滤芯</w:t>
            </w:r>
          </w:p>
        </w:tc>
        <w:tc>
          <w:tcPr>
            <w:tcW w:w="912" w:type="dxa"/>
            <w:vAlign w:val="center"/>
          </w:tcPr>
          <w:p w14:paraId="008ACD53">
            <w:pPr>
              <w:pStyle w:val="97"/>
              <w:ind w:left="-105" w:leftChars="0" w:right="-105" w:rightChars="0" w:firstLine="0" w:firstLineChars="0"/>
              <w:jc w:val="center"/>
              <w:rPr>
                <w:rFonts w:ascii="Times New Roman" w:hAnsi="Times New Roman" w:eastAsia="宋体" w:cs="Times New Roman"/>
                <w:bCs/>
                <w:color w:val="auto"/>
                <w:kern w:val="2"/>
                <w:sz w:val="21"/>
                <w:szCs w:val="21"/>
                <w:highlight w:val="none"/>
                <w:lang w:val="en-US" w:eastAsia="zh-CN" w:bidi="ar-SA"/>
              </w:rPr>
            </w:pPr>
            <w:r>
              <w:rPr>
                <w:rFonts w:eastAsia="宋体"/>
                <w:bCs/>
                <w:color w:val="auto"/>
                <w:sz w:val="21"/>
                <w:szCs w:val="21"/>
                <w:highlight w:val="none"/>
              </w:rPr>
              <w:t>可燃</w:t>
            </w:r>
          </w:p>
        </w:tc>
        <w:tc>
          <w:tcPr>
            <w:tcW w:w="3084" w:type="dxa"/>
            <w:vAlign w:val="center"/>
          </w:tcPr>
          <w:p w14:paraId="4AC41C27">
            <w:pPr>
              <w:pStyle w:val="97"/>
              <w:ind w:left="-105" w:leftChars="0" w:right="-105" w:rightChars="0" w:firstLine="0" w:firstLineChars="0"/>
              <w:jc w:val="center"/>
              <w:rPr>
                <w:rFonts w:ascii="Times New Roman" w:hAnsi="Times New Roman" w:eastAsia="宋体" w:cs="Times New Roman"/>
                <w:bCs/>
                <w:color w:val="auto"/>
                <w:kern w:val="2"/>
                <w:sz w:val="21"/>
                <w:szCs w:val="21"/>
                <w:highlight w:val="none"/>
                <w:lang w:val="en-US" w:eastAsia="zh-CN" w:bidi="ar-SA"/>
              </w:rPr>
            </w:pPr>
            <w:r>
              <w:rPr>
                <w:rFonts w:eastAsia="宋体"/>
                <w:color w:val="auto"/>
                <w:sz w:val="21"/>
                <w:szCs w:val="21"/>
                <w:highlight w:val="none"/>
              </w:rPr>
              <w:t>无资料</w:t>
            </w:r>
          </w:p>
        </w:tc>
        <w:tc>
          <w:tcPr>
            <w:tcW w:w="1275" w:type="dxa"/>
            <w:vAlign w:val="center"/>
          </w:tcPr>
          <w:p w14:paraId="3B2376FF">
            <w:pPr>
              <w:pStyle w:val="97"/>
              <w:ind w:left="-105" w:leftChars="0" w:right="-105" w:rightChars="0" w:firstLine="0" w:firstLineChars="0"/>
              <w:jc w:val="center"/>
              <w:rPr>
                <w:rFonts w:ascii="Times New Roman" w:hAnsi="Times New Roman" w:eastAsia="宋体" w:cs="Times New Roman"/>
                <w:bCs/>
                <w:color w:val="auto"/>
                <w:kern w:val="2"/>
                <w:sz w:val="21"/>
                <w:szCs w:val="21"/>
                <w:highlight w:val="none"/>
                <w:lang w:val="en-US" w:eastAsia="zh-CN" w:bidi="ar-SA"/>
              </w:rPr>
            </w:pPr>
            <w:r>
              <w:rPr>
                <w:rFonts w:eastAsia="宋体"/>
                <w:bCs/>
                <w:color w:val="auto"/>
                <w:sz w:val="21"/>
                <w:szCs w:val="21"/>
                <w:highlight w:val="none"/>
              </w:rPr>
              <w:t>危废仓库</w:t>
            </w:r>
          </w:p>
        </w:tc>
      </w:tr>
      <w:tr w14:paraId="29321EFA">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889" w:type="dxa"/>
            <w:vAlign w:val="center"/>
          </w:tcPr>
          <w:p w14:paraId="0CB292D3">
            <w:pPr>
              <w:pStyle w:val="97"/>
              <w:numPr>
                <w:ilvl w:val="0"/>
                <w:numId w:val="22"/>
              </w:numPr>
              <w:ind w:left="-105" w:right="-105" w:firstLine="0" w:firstLineChars="0"/>
              <w:jc w:val="center"/>
              <w:rPr>
                <w:rFonts w:eastAsia="宋体"/>
                <w:bCs/>
                <w:color w:val="auto"/>
                <w:sz w:val="21"/>
                <w:szCs w:val="21"/>
                <w:highlight w:val="none"/>
              </w:rPr>
            </w:pPr>
          </w:p>
        </w:tc>
        <w:tc>
          <w:tcPr>
            <w:tcW w:w="1093" w:type="dxa"/>
            <w:vMerge w:val="continue"/>
            <w:vAlign w:val="center"/>
          </w:tcPr>
          <w:p w14:paraId="000DD9CD">
            <w:pPr>
              <w:pStyle w:val="97"/>
              <w:ind w:left="-105" w:right="-105" w:firstLine="0" w:firstLineChars="0"/>
              <w:jc w:val="center"/>
              <w:rPr>
                <w:rFonts w:eastAsia="宋体"/>
                <w:bCs/>
                <w:color w:val="auto"/>
                <w:sz w:val="21"/>
                <w:szCs w:val="21"/>
                <w:highlight w:val="none"/>
              </w:rPr>
            </w:pPr>
          </w:p>
        </w:tc>
        <w:tc>
          <w:tcPr>
            <w:tcW w:w="1467" w:type="dxa"/>
            <w:vAlign w:val="center"/>
          </w:tcPr>
          <w:p w14:paraId="4C5BD08C">
            <w:pPr>
              <w:pStyle w:val="236"/>
              <w:keepNext w:val="0"/>
              <w:keepLines w:val="0"/>
              <w:pageBreakBefore w:val="0"/>
              <w:widowControl/>
              <w:kinsoku/>
              <w:wordWrap/>
              <w:overflowPunct/>
              <w:topLinePunct w:val="0"/>
              <w:autoSpaceDE/>
              <w:autoSpaceDN/>
              <w:bidi w:val="0"/>
              <w:ind w:left="0" w:leftChars="0" w:right="0" w:rightChars="0"/>
              <w:jc w:val="center"/>
              <w:rPr>
                <w:rFonts w:hint="eastAsia" w:eastAsia="宋体"/>
                <w:bCs/>
                <w:color w:val="auto"/>
                <w:sz w:val="21"/>
                <w:szCs w:val="21"/>
                <w:highlight w:val="none"/>
                <w:lang w:val="en-US" w:eastAsia="zh-CN"/>
              </w:rPr>
            </w:pPr>
            <w:r>
              <w:rPr>
                <w:rFonts w:ascii="Times New Roman" w:hAnsi="Times New Roman" w:eastAsia="宋体" w:cs="Times New Roman"/>
                <w:color w:val="auto"/>
                <w:spacing w:val="7"/>
                <w:sz w:val="21"/>
                <w:szCs w:val="21"/>
                <w:highlight w:val="none"/>
              </w:rPr>
              <w:t>废丁酮</w:t>
            </w:r>
          </w:p>
        </w:tc>
        <w:tc>
          <w:tcPr>
            <w:tcW w:w="912" w:type="dxa"/>
            <w:vAlign w:val="center"/>
          </w:tcPr>
          <w:p w14:paraId="6A9AC35C">
            <w:pPr>
              <w:pStyle w:val="97"/>
              <w:ind w:left="-105" w:right="-105" w:firstLine="0" w:firstLineChars="0"/>
              <w:jc w:val="center"/>
              <w:rPr>
                <w:rFonts w:hint="eastAsia" w:eastAsia="宋体"/>
                <w:bCs/>
                <w:color w:val="auto"/>
                <w:sz w:val="21"/>
                <w:szCs w:val="21"/>
                <w:highlight w:val="none"/>
                <w:lang w:val="en-US" w:eastAsia="zh-CN"/>
              </w:rPr>
            </w:pPr>
            <w:r>
              <w:rPr>
                <w:rFonts w:hint="eastAsia" w:eastAsia="宋体"/>
                <w:bCs/>
                <w:color w:val="auto"/>
                <w:sz w:val="21"/>
                <w:szCs w:val="21"/>
                <w:highlight w:val="none"/>
                <w:lang w:val="en-US" w:eastAsia="zh-CN"/>
              </w:rPr>
              <w:t>易燃</w:t>
            </w:r>
          </w:p>
        </w:tc>
        <w:tc>
          <w:tcPr>
            <w:tcW w:w="3084" w:type="dxa"/>
            <w:vAlign w:val="center"/>
          </w:tcPr>
          <w:p w14:paraId="577E1EBE">
            <w:pPr>
              <w:pStyle w:val="97"/>
              <w:ind w:left="-105" w:right="-105" w:firstLine="0" w:firstLineChars="0"/>
              <w:jc w:val="center"/>
              <w:rPr>
                <w:rFonts w:hint="eastAsia" w:eastAsia="宋体"/>
                <w:bCs/>
                <w:color w:val="auto"/>
                <w:sz w:val="21"/>
                <w:szCs w:val="21"/>
                <w:highlight w:val="none"/>
                <w:lang w:val="en-US" w:eastAsia="zh-CN"/>
              </w:rPr>
            </w:pPr>
            <w:r>
              <w:rPr>
                <w:rFonts w:hint="eastAsia" w:eastAsia="宋体"/>
                <w:bCs/>
                <w:color w:val="auto"/>
                <w:sz w:val="21"/>
                <w:szCs w:val="21"/>
                <w:highlight w:val="none"/>
                <w:lang w:val="en-US" w:eastAsia="zh-CN"/>
              </w:rPr>
              <w:t>无资料</w:t>
            </w:r>
          </w:p>
        </w:tc>
        <w:tc>
          <w:tcPr>
            <w:tcW w:w="1275" w:type="dxa"/>
            <w:vAlign w:val="center"/>
          </w:tcPr>
          <w:p w14:paraId="6C3667BC">
            <w:pPr>
              <w:pStyle w:val="97"/>
              <w:ind w:left="-105" w:right="-105" w:firstLine="0" w:firstLineChars="0"/>
              <w:jc w:val="center"/>
              <w:rPr>
                <w:rFonts w:eastAsia="宋体"/>
                <w:bCs/>
                <w:color w:val="auto"/>
                <w:sz w:val="21"/>
                <w:szCs w:val="21"/>
                <w:highlight w:val="none"/>
              </w:rPr>
            </w:pPr>
            <w:r>
              <w:rPr>
                <w:rFonts w:eastAsia="宋体"/>
                <w:bCs/>
                <w:color w:val="auto"/>
                <w:sz w:val="21"/>
                <w:szCs w:val="21"/>
                <w:highlight w:val="none"/>
              </w:rPr>
              <w:t>危废仓库</w:t>
            </w:r>
          </w:p>
        </w:tc>
      </w:tr>
      <w:tr w14:paraId="3DBAFC80">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889" w:type="dxa"/>
            <w:vAlign w:val="center"/>
          </w:tcPr>
          <w:p w14:paraId="2BF53D0A">
            <w:pPr>
              <w:pStyle w:val="97"/>
              <w:numPr>
                <w:ilvl w:val="0"/>
                <w:numId w:val="22"/>
              </w:numPr>
              <w:ind w:left="-105" w:right="-105" w:firstLine="0" w:firstLineChars="0"/>
              <w:jc w:val="center"/>
              <w:rPr>
                <w:rFonts w:eastAsia="宋体"/>
                <w:bCs/>
                <w:color w:val="auto"/>
                <w:sz w:val="21"/>
                <w:szCs w:val="21"/>
                <w:highlight w:val="none"/>
              </w:rPr>
            </w:pPr>
          </w:p>
        </w:tc>
        <w:tc>
          <w:tcPr>
            <w:tcW w:w="1093" w:type="dxa"/>
            <w:vMerge w:val="continue"/>
            <w:vAlign w:val="center"/>
          </w:tcPr>
          <w:p w14:paraId="43823193">
            <w:pPr>
              <w:pStyle w:val="97"/>
              <w:ind w:left="-105" w:right="-105" w:firstLine="0" w:firstLineChars="0"/>
              <w:jc w:val="center"/>
              <w:rPr>
                <w:rFonts w:eastAsia="宋体"/>
                <w:bCs/>
                <w:color w:val="auto"/>
                <w:sz w:val="21"/>
                <w:szCs w:val="21"/>
                <w:highlight w:val="none"/>
              </w:rPr>
            </w:pPr>
          </w:p>
        </w:tc>
        <w:tc>
          <w:tcPr>
            <w:tcW w:w="1467" w:type="dxa"/>
            <w:vAlign w:val="center"/>
          </w:tcPr>
          <w:p w14:paraId="57784F7D">
            <w:pPr>
              <w:pStyle w:val="236"/>
              <w:keepNext w:val="0"/>
              <w:keepLines w:val="0"/>
              <w:pageBreakBefore w:val="0"/>
              <w:widowControl/>
              <w:kinsoku/>
              <w:wordWrap/>
              <w:overflowPunct/>
              <w:topLinePunct w:val="0"/>
              <w:autoSpaceDE/>
              <w:autoSpaceDN/>
              <w:bidi w:val="0"/>
              <w:ind w:left="0" w:leftChars="0" w:right="0" w:rightChars="0"/>
              <w:jc w:val="center"/>
              <w:rPr>
                <w:bCs/>
                <w:color w:val="auto"/>
                <w:sz w:val="21"/>
                <w:szCs w:val="21"/>
                <w:highlight w:val="none"/>
              </w:rPr>
            </w:pPr>
            <w:r>
              <w:rPr>
                <w:rFonts w:ascii="Times New Roman" w:hAnsi="Times New Roman" w:eastAsia="宋体" w:cs="Times New Roman"/>
                <w:color w:val="auto"/>
                <w:spacing w:val="7"/>
                <w:sz w:val="21"/>
                <w:szCs w:val="21"/>
                <w:highlight w:val="none"/>
              </w:rPr>
              <w:t>废活性炭</w:t>
            </w:r>
          </w:p>
        </w:tc>
        <w:tc>
          <w:tcPr>
            <w:tcW w:w="912" w:type="dxa"/>
            <w:vAlign w:val="center"/>
          </w:tcPr>
          <w:p w14:paraId="063F60B4">
            <w:pPr>
              <w:pStyle w:val="97"/>
              <w:ind w:left="-105" w:right="-105" w:firstLine="0" w:firstLineChars="0"/>
              <w:jc w:val="center"/>
              <w:rPr>
                <w:rFonts w:eastAsia="宋体"/>
                <w:bCs/>
                <w:color w:val="auto"/>
                <w:sz w:val="21"/>
                <w:szCs w:val="21"/>
                <w:highlight w:val="none"/>
              </w:rPr>
            </w:pPr>
            <w:r>
              <w:rPr>
                <w:rFonts w:hint="eastAsia" w:eastAsia="宋体"/>
                <w:bCs/>
                <w:color w:val="auto"/>
                <w:sz w:val="21"/>
                <w:szCs w:val="21"/>
                <w:highlight w:val="none"/>
              </w:rPr>
              <w:t>不</w:t>
            </w:r>
            <w:r>
              <w:rPr>
                <w:rFonts w:eastAsia="宋体"/>
                <w:bCs/>
                <w:color w:val="auto"/>
                <w:sz w:val="21"/>
                <w:szCs w:val="21"/>
                <w:highlight w:val="none"/>
              </w:rPr>
              <w:t>燃</w:t>
            </w:r>
          </w:p>
        </w:tc>
        <w:tc>
          <w:tcPr>
            <w:tcW w:w="3084" w:type="dxa"/>
            <w:vAlign w:val="center"/>
          </w:tcPr>
          <w:p w14:paraId="7A47951D">
            <w:pPr>
              <w:pStyle w:val="97"/>
              <w:ind w:left="-105" w:right="-105" w:firstLine="0" w:firstLineChars="0"/>
              <w:jc w:val="center"/>
              <w:rPr>
                <w:rFonts w:eastAsia="宋体"/>
                <w:bCs/>
                <w:color w:val="auto"/>
                <w:sz w:val="21"/>
                <w:szCs w:val="21"/>
                <w:highlight w:val="none"/>
              </w:rPr>
            </w:pPr>
            <w:r>
              <w:rPr>
                <w:rFonts w:eastAsia="宋体"/>
                <w:color w:val="auto"/>
                <w:sz w:val="21"/>
                <w:szCs w:val="21"/>
                <w:highlight w:val="none"/>
              </w:rPr>
              <w:t>无资料</w:t>
            </w:r>
          </w:p>
        </w:tc>
        <w:tc>
          <w:tcPr>
            <w:tcW w:w="1275" w:type="dxa"/>
            <w:vAlign w:val="center"/>
          </w:tcPr>
          <w:p w14:paraId="5F226795">
            <w:pPr>
              <w:pStyle w:val="97"/>
              <w:ind w:left="-105" w:right="-105" w:firstLine="0" w:firstLineChars="0"/>
              <w:jc w:val="center"/>
              <w:rPr>
                <w:rFonts w:eastAsia="宋体"/>
                <w:bCs/>
                <w:color w:val="auto"/>
                <w:sz w:val="21"/>
                <w:szCs w:val="21"/>
                <w:highlight w:val="none"/>
              </w:rPr>
            </w:pPr>
            <w:r>
              <w:rPr>
                <w:rFonts w:eastAsia="宋体"/>
                <w:bCs/>
                <w:color w:val="auto"/>
                <w:sz w:val="21"/>
                <w:szCs w:val="21"/>
                <w:highlight w:val="none"/>
              </w:rPr>
              <w:t>危废仓库</w:t>
            </w:r>
          </w:p>
        </w:tc>
      </w:tr>
      <w:tr w14:paraId="5A02C18A">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889" w:type="dxa"/>
            <w:vAlign w:val="center"/>
          </w:tcPr>
          <w:p w14:paraId="570A24C8">
            <w:pPr>
              <w:pStyle w:val="97"/>
              <w:numPr>
                <w:ilvl w:val="0"/>
                <w:numId w:val="22"/>
              </w:numPr>
              <w:ind w:left="-105" w:right="-105" w:firstLine="0" w:firstLineChars="0"/>
              <w:jc w:val="center"/>
              <w:rPr>
                <w:rFonts w:eastAsia="宋体"/>
                <w:bCs/>
                <w:color w:val="auto"/>
                <w:sz w:val="21"/>
                <w:szCs w:val="21"/>
                <w:highlight w:val="none"/>
              </w:rPr>
            </w:pPr>
          </w:p>
        </w:tc>
        <w:tc>
          <w:tcPr>
            <w:tcW w:w="1093" w:type="dxa"/>
            <w:vMerge w:val="continue"/>
            <w:vAlign w:val="center"/>
          </w:tcPr>
          <w:p w14:paraId="4B83DBE9">
            <w:pPr>
              <w:pStyle w:val="97"/>
              <w:ind w:left="-105" w:right="-105" w:firstLine="0" w:firstLineChars="0"/>
              <w:jc w:val="center"/>
              <w:rPr>
                <w:rFonts w:eastAsia="宋体"/>
                <w:bCs/>
                <w:color w:val="auto"/>
                <w:sz w:val="21"/>
                <w:szCs w:val="21"/>
                <w:highlight w:val="none"/>
              </w:rPr>
            </w:pPr>
          </w:p>
        </w:tc>
        <w:tc>
          <w:tcPr>
            <w:tcW w:w="1467" w:type="dxa"/>
            <w:vAlign w:val="center"/>
          </w:tcPr>
          <w:p w14:paraId="6467F237">
            <w:pPr>
              <w:pStyle w:val="236"/>
              <w:keepNext w:val="0"/>
              <w:keepLines w:val="0"/>
              <w:pageBreakBefore w:val="0"/>
              <w:widowControl/>
              <w:kinsoku/>
              <w:wordWrap/>
              <w:overflowPunct/>
              <w:topLinePunct w:val="0"/>
              <w:autoSpaceDE/>
              <w:autoSpaceDN/>
              <w:bidi w:val="0"/>
              <w:ind w:left="0" w:leftChars="0" w:right="0" w:rightChars="0"/>
              <w:jc w:val="center"/>
              <w:rPr>
                <w:bCs/>
                <w:color w:val="auto"/>
                <w:sz w:val="21"/>
                <w:szCs w:val="21"/>
                <w:highlight w:val="none"/>
              </w:rPr>
            </w:pPr>
            <w:r>
              <w:rPr>
                <w:rFonts w:hint="eastAsia" w:ascii="Times New Roman" w:hAnsi="Times New Roman" w:eastAsia="宋体" w:cs="Times New Roman"/>
                <w:color w:val="auto"/>
                <w:spacing w:val="7"/>
                <w:sz w:val="21"/>
                <w:szCs w:val="21"/>
                <w:highlight w:val="none"/>
                <w:lang w:eastAsia="zh-CN"/>
              </w:rPr>
              <w:t>废包装桶（</w:t>
            </w:r>
            <w:r>
              <w:rPr>
                <w:rFonts w:hint="eastAsia" w:ascii="Times New Roman" w:hAnsi="Times New Roman" w:eastAsia="宋体" w:cs="Times New Roman"/>
                <w:color w:val="auto"/>
                <w:spacing w:val="7"/>
                <w:sz w:val="21"/>
                <w:szCs w:val="21"/>
                <w:highlight w:val="none"/>
                <w:lang w:val="en-US" w:eastAsia="zh-CN"/>
              </w:rPr>
              <w:t>瓶</w:t>
            </w:r>
            <w:r>
              <w:rPr>
                <w:rFonts w:hint="eastAsia" w:ascii="Times New Roman" w:hAnsi="Times New Roman" w:eastAsia="宋体" w:cs="Times New Roman"/>
                <w:color w:val="auto"/>
                <w:spacing w:val="7"/>
                <w:sz w:val="21"/>
                <w:szCs w:val="21"/>
                <w:highlight w:val="none"/>
                <w:lang w:eastAsia="zh-CN"/>
              </w:rPr>
              <w:t>）</w:t>
            </w:r>
          </w:p>
        </w:tc>
        <w:tc>
          <w:tcPr>
            <w:tcW w:w="912" w:type="dxa"/>
            <w:vAlign w:val="center"/>
          </w:tcPr>
          <w:p w14:paraId="780AA05C">
            <w:pPr>
              <w:pStyle w:val="97"/>
              <w:ind w:left="-105" w:right="-105" w:firstLine="0" w:firstLineChars="0"/>
              <w:jc w:val="center"/>
              <w:rPr>
                <w:rFonts w:eastAsia="宋体"/>
                <w:bCs/>
                <w:color w:val="auto"/>
                <w:sz w:val="21"/>
                <w:szCs w:val="21"/>
                <w:highlight w:val="none"/>
              </w:rPr>
            </w:pPr>
            <w:r>
              <w:rPr>
                <w:rFonts w:eastAsia="宋体"/>
                <w:bCs/>
                <w:color w:val="auto"/>
                <w:sz w:val="21"/>
                <w:szCs w:val="21"/>
                <w:highlight w:val="none"/>
              </w:rPr>
              <w:t>不燃</w:t>
            </w:r>
          </w:p>
        </w:tc>
        <w:tc>
          <w:tcPr>
            <w:tcW w:w="3084" w:type="dxa"/>
            <w:vAlign w:val="center"/>
          </w:tcPr>
          <w:p w14:paraId="3836EFF6">
            <w:pPr>
              <w:pStyle w:val="97"/>
              <w:ind w:left="-105" w:right="-105" w:firstLine="0" w:firstLineChars="0"/>
              <w:jc w:val="center"/>
              <w:rPr>
                <w:rFonts w:eastAsia="宋体"/>
                <w:color w:val="auto"/>
                <w:sz w:val="21"/>
                <w:szCs w:val="21"/>
                <w:highlight w:val="none"/>
              </w:rPr>
            </w:pPr>
            <w:r>
              <w:rPr>
                <w:rFonts w:eastAsia="宋体"/>
                <w:color w:val="auto"/>
                <w:sz w:val="21"/>
                <w:szCs w:val="21"/>
                <w:highlight w:val="none"/>
              </w:rPr>
              <w:t>无资料</w:t>
            </w:r>
          </w:p>
        </w:tc>
        <w:tc>
          <w:tcPr>
            <w:tcW w:w="1275" w:type="dxa"/>
            <w:vAlign w:val="center"/>
          </w:tcPr>
          <w:p w14:paraId="33A600CB">
            <w:pPr>
              <w:pStyle w:val="97"/>
              <w:ind w:left="-105" w:right="-105" w:firstLine="0" w:firstLineChars="0"/>
              <w:jc w:val="center"/>
              <w:rPr>
                <w:rFonts w:eastAsia="宋体"/>
                <w:bCs/>
                <w:color w:val="auto"/>
                <w:sz w:val="21"/>
                <w:szCs w:val="21"/>
                <w:highlight w:val="none"/>
              </w:rPr>
            </w:pPr>
            <w:r>
              <w:rPr>
                <w:rFonts w:eastAsia="宋体"/>
                <w:bCs/>
                <w:color w:val="auto"/>
                <w:sz w:val="21"/>
                <w:szCs w:val="21"/>
                <w:highlight w:val="none"/>
              </w:rPr>
              <w:t>危废仓库</w:t>
            </w:r>
          </w:p>
        </w:tc>
      </w:tr>
      <w:tr w14:paraId="1166A88E">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889" w:type="dxa"/>
            <w:vAlign w:val="center"/>
          </w:tcPr>
          <w:p w14:paraId="2C36D7CC">
            <w:pPr>
              <w:pStyle w:val="97"/>
              <w:numPr>
                <w:ilvl w:val="0"/>
                <w:numId w:val="22"/>
              </w:numPr>
              <w:ind w:left="-105" w:right="-105" w:firstLine="0" w:firstLineChars="0"/>
              <w:jc w:val="center"/>
              <w:rPr>
                <w:rFonts w:eastAsia="宋体"/>
                <w:bCs/>
                <w:color w:val="auto"/>
                <w:sz w:val="21"/>
                <w:szCs w:val="21"/>
                <w:highlight w:val="none"/>
              </w:rPr>
            </w:pPr>
          </w:p>
        </w:tc>
        <w:tc>
          <w:tcPr>
            <w:tcW w:w="1093" w:type="dxa"/>
            <w:vMerge w:val="continue"/>
            <w:vAlign w:val="center"/>
          </w:tcPr>
          <w:p w14:paraId="459822CA">
            <w:pPr>
              <w:pStyle w:val="97"/>
              <w:ind w:left="-105" w:right="-105" w:firstLine="0" w:firstLineChars="0"/>
              <w:jc w:val="center"/>
              <w:rPr>
                <w:rFonts w:eastAsia="宋体"/>
                <w:bCs/>
                <w:color w:val="auto"/>
                <w:sz w:val="21"/>
                <w:szCs w:val="21"/>
                <w:highlight w:val="none"/>
              </w:rPr>
            </w:pPr>
          </w:p>
        </w:tc>
        <w:tc>
          <w:tcPr>
            <w:tcW w:w="1467" w:type="dxa"/>
            <w:vAlign w:val="center"/>
          </w:tcPr>
          <w:p w14:paraId="7CDE1450">
            <w:pPr>
              <w:pStyle w:val="236"/>
              <w:keepNext w:val="0"/>
              <w:keepLines w:val="0"/>
              <w:pageBreakBefore w:val="0"/>
              <w:widowControl/>
              <w:kinsoku/>
              <w:wordWrap/>
              <w:overflowPunct/>
              <w:topLinePunct w:val="0"/>
              <w:autoSpaceDE/>
              <w:autoSpaceDN/>
              <w:bidi w:val="0"/>
              <w:ind w:left="0" w:leftChars="0" w:right="0" w:rightChars="0"/>
              <w:jc w:val="center"/>
              <w:rPr>
                <w:bCs/>
                <w:color w:val="auto"/>
                <w:sz w:val="21"/>
                <w:szCs w:val="21"/>
                <w:highlight w:val="none"/>
              </w:rPr>
            </w:pPr>
            <w:r>
              <w:rPr>
                <w:rFonts w:ascii="Times New Roman" w:hAnsi="Times New Roman" w:eastAsia="宋体" w:cs="Times New Roman"/>
                <w:color w:val="auto"/>
                <w:spacing w:val="5"/>
                <w:sz w:val="21"/>
                <w:szCs w:val="21"/>
                <w:highlight w:val="none"/>
              </w:rPr>
              <w:t>喷淋废液</w:t>
            </w:r>
          </w:p>
        </w:tc>
        <w:tc>
          <w:tcPr>
            <w:tcW w:w="912" w:type="dxa"/>
            <w:vAlign w:val="center"/>
          </w:tcPr>
          <w:p w14:paraId="09CBB01C">
            <w:pPr>
              <w:pStyle w:val="97"/>
              <w:ind w:left="-105" w:right="-105" w:firstLine="0" w:firstLineChars="0"/>
              <w:jc w:val="center"/>
              <w:rPr>
                <w:rFonts w:eastAsia="宋体"/>
                <w:bCs/>
                <w:color w:val="auto"/>
                <w:sz w:val="21"/>
                <w:szCs w:val="21"/>
                <w:highlight w:val="none"/>
              </w:rPr>
            </w:pPr>
            <w:r>
              <w:rPr>
                <w:rFonts w:eastAsia="宋体"/>
                <w:bCs/>
                <w:color w:val="auto"/>
                <w:sz w:val="21"/>
                <w:szCs w:val="21"/>
                <w:highlight w:val="none"/>
              </w:rPr>
              <w:t>可燃</w:t>
            </w:r>
          </w:p>
        </w:tc>
        <w:tc>
          <w:tcPr>
            <w:tcW w:w="3084" w:type="dxa"/>
            <w:vAlign w:val="center"/>
          </w:tcPr>
          <w:p w14:paraId="3CD4E5F1">
            <w:pPr>
              <w:pStyle w:val="97"/>
              <w:ind w:left="-105" w:right="-105" w:firstLine="0" w:firstLineChars="0"/>
              <w:jc w:val="center"/>
              <w:rPr>
                <w:rFonts w:eastAsia="宋体"/>
                <w:bCs/>
                <w:color w:val="auto"/>
                <w:sz w:val="21"/>
                <w:szCs w:val="21"/>
                <w:highlight w:val="none"/>
              </w:rPr>
            </w:pPr>
            <w:r>
              <w:rPr>
                <w:rFonts w:eastAsia="宋体"/>
                <w:color w:val="auto"/>
                <w:sz w:val="21"/>
                <w:szCs w:val="21"/>
                <w:highlight w:val="none"/>
              </w:rPr>
              <w:t>无资料</w:t>
            </w:r>
          </w:p>
        </w:tc>
        <w:tc>
          <w:tcPr>
            <w:tcW w:w="1275" w:type="dxa"/>
            <w:vAlign w:val="center"/>
          </w:tcPr>
          <w:p w14:paraId="6CBB1555">
            <w:pPr>
              <w:pStyle w:val="97"/>
              <w:ind w:left="-105" w:right="-105" w:firstLine="0" w:firstLineChars="0"/>
              <w:jc w:val="center"/>
              <w:rPr>
                <w:rFonts w:hint="eastAsia" w:eastAsia="宋体"/>
                <w:bCs/>
                <w:color w:val="auto"/>
                <w:sz w:val="21"/>
                <w:szCs w:val="21"/>
                <w:highlight w:val="none"/>
                <w:lang w:eastAsia="zh-CN"/>
              </w:rPr>
            </w:pPr>
            <w:r>
              <w:rPr>
                <w:rFonts w:hint="eastAsia" w:eastAsia="宋体"/>
                <w:bCs/>
                <w:color w:val="auto"/>
                <w:sz w:val="21"/>
                <w:szCs w:val="21"/>
                <w:highlight w:val="none"/>
                <w:lang w:val="en-US" w:eastAsia="zh-CN"/>
              </w:rPr>
              <w:t>废液储罐</w:t>
            </w:r>
          </w:p>
        </w:tc>
      </w:tr>
      <w:tr w14:paraId="3309220A">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889" w:type="dxa"/>
            <w:vAlign w:val="center"/>
          </w:tcPr>
          <w:p w14:paraId="32828283">
            <w:pPr>
              <w:pStyle w:val="97"/>
              <w:numPr>
                <w:ilvl w:val="0"/>
                <w:numId w:val="22"/>
              </w:numPr>
              <w:ind w:left="-105" w:right="-105" w:firstLine="0" w:firstLineChars="0"/>
              <w:jc w:val="center"/>
              <w:rPr>
                <w:rFonts w:eastAsia="宋体"/>
                <w:bCs/>
                <w:color w:val="auto"/>
                <w:sz w:val="21"/>
                <w:szCs w:val="21"/>
                <w:highlight w:val="none"/>
              </w:rPr>
            </w:pPr>
          </w:p>
        </w:tc>
        <w:tc>
          <w:tcPr>
            <w:tcW w:w="1093" w:type="dxa"/>
            <w:vMerge w:val="continue"/>
            <w:vAlign w:val="center"/>
          </w:tcPr>
          <w:p w14:paraId="7E35B2BF">
            <w:pPr>
              <w:pStyle w:val="97"/>
              <w:ind w:left="-105" w:right="-105" w:firstLine="0" w:firstLineChars="0"/>
              <w:jc w:val="center"/>
              <w:rPr>
                <w:rFonts w:eastAsia="宋体"/>
                <w:bCs/>
                <w:color w:val="auto"/>
                <w:sz w:val="21"/>
                <w:szCs w:val="21"/>
                <w:highlight w:val="none"/>
              </w:rPr>
            </w:pPr>
          </w:p>
        </w:tc>
        <w:tc>
          <w:tcPr>
            <w:tcW w:w="1467" w:type="dxa"/>
            <w:vAlign w:val="center"/>
          </w:tcPr>
          <w:p w14:paraId="3B40B255">
            <w:pPr>
              <w:pStyle w:val="106"/>
              <w:keepNext w:val="0"/>
              <w:keepLines w:val="0"/>
              <w:pageBreakBefore w:val="0"/>
              <w:widowControl w:val="0"/>
              <w:kinsoku/>
              <w:wordWrap/>
              <w:overflowPunct/>
              <w:topLinePunct w:val="0"/>
              <w:autoSpaceDE w:val="0"/>
              <w:autoSpaceDN w:val="0"/>
              <w:bidi w:val="0"/>
              <w:ind w:left="0" w:leftChars="0" w:right="0" w:rightChars="0"/>
              <w:rPr>
                <w:rFonts w:hint="eastAsia" w:eastAsia="宋体"/>
                <w:bCs/>
                <w:color w:val="auto"/>
                <w:sz w:val="21"/>
                <w:szCs w:val="21"/>
                <w:highlight w:val="none"/>
                <w:lang w:eastAsia="zh-CN"/>
              </w:rPr>
            </w:pPr>
            <w:r>
              <w:rPr>
                <w:rFonts w:hint="eastAsia"/>
                <w:color w:val="auto"/>
                <w:sz w:val="21"/>
                <w:szCs w:val="21"/>
                <w:highlight w:val="none"/>
                <w:lang w:eastAsia="en-US"/>
              </w:rPr>
              <w:t>废包装袋</w:t>
            </w:r>
          </w:p>
        </w:tc>
        <w:tc>
          <w:tcPr>
            <w:tcW w:w="912" w:type="dxa"/>
            <w:vAlign w:val="center"/>
          </w:tcPr>
          <w:p w14:paraId="0F27E16E">
            <w:pPr>
              <w:pStyle w:val="97"/>
              <w:ind w:left="-105" w:right="-105" w:firstLine="0" w:firstLineChars="0"/>
              <w:jc w:val="center"/>
              <w:rPr>
                <w:rFonts w:eastAsia="宋体"/>
                <w:bCs/>
                <w:color w:val="auto"/>
                <w:sz w:val="21"/>
                <w:szCs w:val="21"/>
                <w:highlight w:val="none"/>
              </w:rPr>
            </w:pPr>
            <w:r>
              <w:rPr>
                <w:rFonts w:eastAsia="宋体"/>
                <w:bCs/>
                <w:color w:val="auto"/>
                <w:sz w:val="21"/>
                <w:szCs w:val="21"/>
                <w:highlight w:val="none"/>
              </w:rPr>
              <w:t>可燃</w:t>
            </w:r>
          </w:p>
        </w:tc>
        <w:tc>
          <w:tcPr>
            <w:tcW w:w="3084" w:type="dxa"/>
            <w:vAlign w:val="center"/>
          </w:tcPr>
          <w:p w14:paraId="6FD8C87F">
            <w:pPr>
              <w:pStyle w:val="97"/>
              <w:ind w:left="-105" w:right="-105" w:firstLine="0" w:firstLineChars="0"/>
              <w:jc w:val="center"/>
              <w:rPr>
                <w:rFonts w:eastAsia="宋体"/>
                <w:bCs/>
                <w:color w:val="auto"/>
                <w:sz w:val="21"/>
                <w:szCs w:val="21"/>
                <w:highlight w:val="none"/>
              </w:rPr>
            </w:pPr>
            <w:r>
              <w:rPr>
                <w:rFonts w:eastAsia="宋体"/>
                <w:color w:val="auto"/>
                <w:sz w:val="21"/>
                <w:szCs w:val="21"/>
                <w:highlight w:val="none"/>
              </w:rPr>
              <w:t>无资料</w:t>
            </w:r>
          </w:p>
        </w:tc>
        <w:tc>
          <w:tcPr>
            <w:tcW w:w="1275" w:type="dxa"/>
            <w:vAlign w:val="center"/>
          </w:tcPr>
          <w:p w14:paraId="4617A066">
            <w:pPr>
              <w:pStyle w:val="97"/>
              <w:ind w:left="-105" w:right="-105" w:firstLine="0" w:firstLineChars="0"/>
              <w:jc w:val="center"/>
              <w:rPr>
                <w:rFonts w:eastAsia="宋体"/>
                <w:bCs/>
                <w:color w:val="auto"/>
                <w:sz w:val="21"/>
                <w:szCs w:val="21"/>
                <w:highlight w:val="none"/>
              </w:rPr>
            </w:pPr>
            <w:r>
              <w:rPr>
                <w:rFonts w:eastAsia="宋体"/>
                <w:bCs/>
                <w:color w:val="auto"/>
                <w:sz w:val="21"/>
                <w:szCs w:val="21"/>
                <w:highlight w:val="none"/>
              </w:rPr>
              <w:t>危废仓库</w:t>
            </w:r>
          </w:p>
        </w:tc>
      </w:tr>
      <w:tr w14:paraId="2C811816">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889" w:type="dxa"/>
            <w:vAlign w:val="center"/>
          </w:tcPr>
          <w:p w14:paraId="0A0B436F">
            <w:pPr>
              <w:pStyle w:val="97"/>
              <w:numPr>
                <w:ilvl w:val="0"/>
                <w:numId w:val="22"/>
              </w:numPr>
              <w:ind w:left="-105" w:right="-105" w:firstLine="0" w:firstLineChars="0"/>
              <w:jc w:val="center"/>
              <w:rPr>
                <w:rFonts w:eastAsia="宋体"/>
                <w:bCs/>
                <w:color w:val="auto"/>
                <w:sz w:val="21"/>
                <w:szCs w:val="21"/>
                <w:highlight w:val="none"/>
              </w:rPr>
            </w:pPr>
          </w:p>
        </w:tc>
        <w:tc>
          <w:tcPr>
            <w:tcW w:w="1093" w:type="dxa"/>
            <w:vMerge w:val="continue"/>
            <w:vAlign w:val="center"/>
          </w:tcPr>
          <w:p w14:paraId="34311F94">
            <w:pPr>
              <w:pStyle w:val="97"/>
              <w:ind w:left="-105" w:right="-105" w:firstLine="0" w:firstLineChars="0"/>
              <w:jc w:val="center"/>
              <w:rPr>
                <w:rFonts w:eastAsia="宋体"/>
                <w:bCs/>
                <w:color w:val="auto"/>
                <w:sz w:val="21"/>
                <w:szCs w:val="21"/>
                <w:highlight w:val="none"/>
              </w:rPr>
            </w:pPr>
          </w:p>
        </w:tc>
        <w:tc>
          <w:tcPr>
            <w:tcW w:w="1467" w:type="dxa"/>
            <w:vAlign w:val="center"/>
          </w:tcPr>
          <w:p w14:paraId="7F309C05">
            <w:pPr>
              <w:pStyle w:val="106"/>
              <w:keepNext w:val="0"/>
              <w:keepLines w:val="0"/>
              <w:pageBreakBefore w:val="0"/>
              <w:widowControl w:val="0"/>
              <w:kinsoku/>
              <w:wordWrap/>
              <w:overflowPunct/>
              <w:topLinePunct w:val="0"/>
              <w:autoSpaceDE w:val="0"/>
              <w:autoSpaceDN w:val="0"/>
              <w:bidi w:val="0"/>
              <w:ind w:left="0" w:leftChars="0" w:right="0" w:rightChars="0"/>
              <w:rPr>
                <w:bCs/>
                <w:color w:val="auto"/>
                <w:sz w:val="21"/>
                <w:szCs w:val="21"/>
                <w:highlight w:val="none"/>
              </w:rPr>
            </w:pPr>
            <w:r>
              <w:rPr>
                <w:rFonts w:hint="eastAsia"/>
                <w:color w:val="auto"/>
                <w:sz w:val="21"/>
                <w:szCs w:val="21"/>
                <w:highlight w:val="none"/>
                <w:lang w:eastAsia="en-US"/>
              </w:rPr>
              <w:t>实验废液</w:t>
            </w:r>
          </w:p>
        </w:tc>
        <w:tc>
          <w:tcPr>
            <w:tcW w:w="912" w:type="dxa"/>
            <w:vAlign w:val="center"/>
          </w:tcPr>
          <w:p w14:paraId="55DC473D">
            <w:pPr>
              <w:pStyle w:val="97"/>
              <w:ind w:left="-105" w:right="-105" w:firstLine="0" w:firstLineChars="0"/>
              <w:jc w:val="center"/>
              <w:rPr>
                <w:rFonts w:eastAsia="宋体"/>
                <w:bCs/>
                <w:color w:val="auto"/>
                <w:sz w:val="21"/>
                <w:szCs w:val="21"/>
                <w:highlight w:val="none"/>
              </w:rPr>
            </w:pPr>
            <w:r>
              <w:rPr>
                <w:rFonts w:eastAsia="宋体"/>
                <w:bCs/>
                <w:color w:val="auto"/>
                <w:sz w:val="21"/>
                <w:szCs w:val="21"/>
                <w:highlight w:val="none"/>
              </w:rPr>
              <w:t>可燃</w:t>
            </w:r>
          </w:p>
        </w:tc>
        <w:tc>
          <w:tcPr>
            <w:tcW w:w="3084" w:type="dxa"/>
            <w:vAlign w:val="center"/>
          </w:tcPr>
          <w:p w14:paraId="0CE348DE">
            <w:pPr>
              <w:pStyle w:val="97"/>
              <w:ind w:left="-105" w:right="-105" w:firstLine="0" w:firstLineChars="0"/>
              <w:jc w:val="center"/>
              <w:rPr>
                <w:rFonts w:eastAsia="宋体"/>
                <w:bCs/>
                <w:color w:val="auto"/>
                <w:sz w:val="21"/>
                <w:szCs w:val="21"/>
                <w:highlight w:val="none"/>
              </w:rPr>
            </w:pPr>
            <w:r>
              <w:rPr>
                <w:rFonts w:eastAsia="宋体"/>
                <w:color w:val="auto"/>
                <w:sz w:val="21"/>
                <w:szCs w:val="21"/>
                <w:highlight w:val="none"/>
              </w:rPr>
              <w:t>无资料</w:t>
            </w:r>
          </w:p>
        </w:tc>
        <w:tc>
          <w:tcPr>
            <w:tcW w:w="1275" w:type="dxa"/>
            <w:vAlign w:val="center"/>
          </w:tcPr>
          <w:p w14:paraId="759E38B4">
            <w:pPr>
              <w:pStyle w:val="97"/>
              <w:ind w:left="-105" w:right="-105" w:firstLine="0" w:firstLineChars="0"/>
              <w:jc w:val="center"/>
              <w:rPr>
                <w:rFonts w:eastAsia="宋体"/>
                <w:bCs/>
                <w:color w:val="auto"/>
                <w:sz w:val="21"/>
                <w:szCs w:val="21"/>
                <w:highlight w:val="none"/>
              </w:rPr>
            </w:pPr>
            <w:r>
              <w:rPr>
                <w:rFonts w:eastAsia="宋体"/>
                <w:bCs/>
                <w:color w:val="auto"/>
                <w:sz w:val="21"/>
                <w:szCs w:val="21"/>
                <w:highlight w:val="none"/>
              </w:rPr>
              <w:t>危废仓库</w:t>
            </w:r>
          </w:p>
        </w:tc>
      </w:tr>
      <w:tr w14:paraId="6C4F28DE">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889" w:type="dxa"/>
            <w:vAlign w:val="center"/>
          </w:tcPr>
          <w:p w14:paraId="17124726">
            <w:pPr>
              <w:pStyle w:val="97"/>
              <w:numPr>
                <w:ilvl w:val="0"/>
                <w:numId w:val="22"/>
              </w:numPr>
              <w:ind w:left="-105" w:right="-105" w:firstLine="0" w:firstLineChars="0"/>
              <w:jc w:val="center"/>
              <w:rPr>
                <w:rFonts w:eastAsia="宋体"/>
                <w:bCs/>
                <w:color w:val="auto"/>
                <w:sz w:val="21"/>
                <w:szCs w:val="21"/>
                <w:highlight w:val="none"/>
              </w:rPr>
            </w:pPr>
          </w:p>
        </w:tc>
        <w:tc>
          <w:tcPr>
            <w:tcW w:w="1093" w:type="dxa"/>
            <w:vMerge w:val="continue"/>
            <w:vAlign w:val="center"/>
          </w:tcPr>
          <w:p w14:paraId="0B04BFEE">
            <w:pPr>
              <w:pStyle w:val="97"/>
              <w:ind w:left="-105" w:right="-105" w:firstLine="0" w:firstLineChars="0"/>
              <w:jc w:val="center"/>
              <w:rPr>
                <w:rFonts w:eastAsia="宋体"/>
                <w:bCs/>
                <w:color w:val="auto"/>
                <w:sz w:val="21"/>
                <w:szCs w:val="21"/>
                <w:highlight w:val="none"/>
              </w:rPr>
            </w:pPr>
          </w:p>
        </w:tc>
        <w:tc>
          <w:tcPr>
            <w:tcW w:w="1467" w:type="dxa"/>
            <w:vAlign w:val="center"/>
          </w:tcPr>
          <w:p w14:paraId="1211A278">
            <w:pPr>
              <w:pStyle w:val="106"/>
              <w:keepNext w:val="0"/>
              <w:keepLines w:val="0"/>
              <w:pageBreakBefore w:val="0"/>
              <w:widowControl w:val="0"/>
              <w:kinsoku/>
              <w:wordWrap/>
              <w:overflowPunct/>
              <w:topLinePunct w:val="0"/>
              <w:autoSpaceDE w:val="0"/>
              <w:autoSpaceDN w:val="0"/>
              <w:bidi w:val="0"/>
              <w:ind w:left="0" w:leftChars="0" w:right="0" w:rightChars="0"/>
              <w:rPr>
                <w:bCs/>
                <w:color w:val="auto"/>
                <w:sz w:val="21"/>
                <w:szCs w:val="21"/>
                <w:highlight w:val="none"/>
              </w:rPr>
            </w:pPr>
            <w:r>
              <w:rPr>
                <w:rFonts w:hint="eastAsia"/>
                <w:color w:val="auto"/>
                <w:sz w:val="21"/>
                <w:szCs w:val="21"/>
                <w:highlight w:val="none"/>
                <w:lang w:eastAsia="en-US"/>
              </w:rPr>
              <w:t>废实验耗材</w:t>
            </w:r>
          </w:p>
        </w:tc>
        <w:tc>
          <w:tcPr>
            <w:tcW w:w="912" w:type="dxa"/>
            <w:vAlign w:val="center"/>
          </w:tcPr>
          <w:p w14:paraId="66D39BC9">
            <w:pPr>
              <w:pStyle w:val="97"/>
              <w:ind w:left="-105" w:right="-105" w:firstLine="0" w:firstLineChars="0"/>
              <w:jc w:val="center"/>
              <w:rPr>
                <w:rFonts w:eastAsia="宋体"/>
                <w:bCs/>
                <w:color w:val="auto"/>
                <w:sz w:val="21"/>
                <w:szCs w:val="21"/>
                <w:highlight w:val="none"/>
              </w:rPr>
            </w:pPr>
            <w:r>
              <w:rPr>
                <w:rFonts w:eastAsia="宋体"/>
                <w:bCs/>
                <w:color w:val="auto"/>
                <w:sz w:val="21"/>
                <w:szCs w:val="21"/>
                <w:highlight w:val="none"/>
              </w:rPr>
              <w:t>可燃</w:t>
            </w:r>
          </w:p>
        </w:tc>
        <w:tc>
          <w:tcPr>
            <w:tcW w:w="3084" w:type="dxa"/>
            <w:vAlign w:val="center"/>
          </w:tcPr>
          <w:p w14:paraId="553B9D06">
            <w:pPr>
              <w:pStyle w:val="97"/>
              <w:ind w:left="-105" w:right="-105" w:firstLine="0" w:firstLineChars="0"/>
              <w:jc w:val="center"/>
              <w:rPr>
                <w:rFonts w:eastAsia="宋体"/>
                <w:bCs/>
                <w:color w:val="auto"/>
                <w:sz w:val="21"/>
                <w:szCs w:val="21"/>
                <w:highlight w:val="none"/>
              </w:rPr>
            </w:pPr>
            <w:r>
              <w:rPr>
                <w:rFonts w:eastAsia="宋体"/>
                <w:color w:val="auto"/>
                <w:sz w:val="21"/>
                <w:szCs w:val="21"/>
                <w:highlight w:val="none"/>
              </w:rPr>
              <w:t>无资料</w:t>
            </w:r>
          </w:p>
        </w:tc>
        <w:tc>
          <w:tcPr>
            <w:tcW w:w="1275" w:type="dxa"/>
            <w:vAlign w:val="center"/>
          </w:tcPr>
          <w:p w14:paraId="5916B22F">
            <w:pPr>
              <w:pStyle w:val="97"/>
              <w:ind w:left="-105" w:right="-105" w:firstLine="0" w:firstLineChars="0"/>
              <w:jc w:val="center"/>
              <w:rPr>
                <w:rFonts w:eastAsia="宋体"/>
                <w:bCs/>
                <w:color w:val="auto"/>
                <w:sz w:val="21"/>
                <w:szCs w:val="21"/>
                <w:highlight w:val="none"/>
              </w:rPr>
            </w:pPr>
            <w:r>
              <w:rPr>
                <w:rFonts w:eastAsia="宋体"/>
                <w:bCs/>
                <w:color w:val="auto"/>
                <w:sz w:val="21"/>
                <w:szCs w:val="21"/>
                <w:highlight w:val="none"/>
              </w:rPr>
              <w:t>危废仓库</w:t>
            </w:r>
          </w:p>
        </w:tc>
      </w:tr>
      <w:tr w14:paraId="46730960">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889" w:type="dxa"/>
            <w:vAlign w:val="center"/>
          </w:tcPr>
          <w:p w14:paraId="7E7B73FC">
            <w:pPr>
              <w:pStyle w:val="97"/>
              <w:numPr>
                <w:ilvl w:val="0"/>
                <w:numId w:val="22"/>
              </w:numPr>
              <w:ind w:left="-105" w:right="-105" w:firstLine="0" w:firstLineChars="0"/>
              <w:jc w:val="center"/>
              <w:rPr>
                <w:rFonts w:eastAsia="宋体"/>
                <w:bCs/>
                <w:color w:val="auto"/>
                <w:sz w:val="21"/>
                <w:szCs w:val="21"/>
                <w:highlight w:val="none"/>
              </w:rPr>
            </w:pPr>
          </w:p>
        </w:tc>
        <w:tc>
          <w:tcPr>
            <w:tcW w:w="1093" w:type="dxa"/>
            <w:vMerge w:val="continue"/>
            <w:vAlign w:val="center"/>
          </w:tcPr>
          <w:p w14:paraId="19541DD2">
            <w:pPr>
              <w:pStyle w:val="97"/>
              <w:ind w:left="-105" w:right="-105" w:firstLine="0" w:firstLineChars="0"/>
              <w:jc w:val="center"/>
              <w:rPr>
                <w:rFonts w:eastAsia="宋体"/>
                <w:bCs/>
                <w:color w:val="auto"/>
                <w:sz w:val="21"/>
                <w:szCs w:val="21"/>
                <w:highlight w:val="none"/>
              </w:rPr>
            </w:pPr>
          </w:p>
        </w:tc>
        <w:tc>
          <w:tcPr>
            <w:tcW w:w="1467" w:type="dxa"/>
            <w:vAlign w:val="center"/>
          </w:tcPr>
          <w:p w14:paraId="5808093E">
            <w:pPr>
              <w:pStyle w:val="106"/>
              <w:keepNext w:val="0"/>
              <w:keepLines w:val="0"/>
              <w:pageBreakBefore w:val="0"/>
              <w:widowControl w:val="0"/>
              <w:kinsoku/>
              <w:wordWrap/>
              <w:overflowPunct/>
              <w:topLinePunct w:val="0"/>
              <w:autoSpaceDE w:val="0"/>
              <w:autoSpaceDN w:val="0"/>
              <w:bidi w:val="0"/>
              <w:ind w:left="0" w:leftChars="0" w:right="0" w:rightChars="0"/>
              <w:rPr>
                <w:bCs/>
                <w:color w:val="auto"/>
                <w:sz w:val="21"/>
                <w:szCs w:val="21"/>
                <w:highlight w:val="none"/>
              </w:rPr>
            </w:pPr>
            <w:r>
              <w:rPr>
                <w:rFonts w:hint="eastAsia" w:ascii="Times New Roman" w:hAnsi="Times New Roman" w:cs="Times New Roman"/>
                <w:color w:val="auto"/>
                <w:sz w:val="21"/>
                <w:szCs w:val="21"/>
                <w:highlight w:val="none"/>
                <w:lang w:val="en-US" w:eastAsia="zh-CN"/>
              </w:rPr>
              <w:t>实验清洗废水</w:t>
            </w:r>
          </w:p>
        </w:tc>
        <w:tc>
          <w:tcPr>
            <w:tcW w:w="912" w:type="dxa"/>
            <w:vAlign w:val="center"/>
          </w:tcPr>
          <w:p w14:paraId="3CD1FBED">
            <w:pPr>
              <w:pStyle w:val="97"/>
              <w:ind w:left="-105" w:right="-105" w:firstLine="0" w:firstLineChars="0"/>
              <w:jc w:val="center"/>
              <w:rPr>
                <w:rFonts w:eastAsia="宋体"/>
                <w:bCs/>
                <w:color w:val="auto"/>
                <w:sz w:val="21"/>
                <w:szCs w:val="21"/>
                <w:highlight w:val="none"/>
              </w:rPr>
            </w:pPr>
            <w:r>
              <w:rPr>
                <w:rFonts w:hint="eastAsia" w:eastAsia="宋体"/>
                <w:bCs/>
                <w:color w:val="auto"/>
                <w:sz w:val="21"/>
                <w:szCs w:val="21"/>
                <w:highlight w:val="none"/>
              </w:rPr>
              <w:t>不</w:t>
            </w:r>
            <w:r>
              <w:rPr>
                <w:rFonts w:eastAsia="宋体"/>
                <w:bCs/>
                <w:color w:val="auto"/>
                <w:sz w:val="21"/>
                <w:szCs w:val="21"/>
                <w:highlight w:val="none"/>
              </w:rPr>
              <w:t>燃</w:t>
            </w:r>
          </w:p>
        </w:tc>
        <w:tc>
          <w:tcPr>
            <w:tcW w:w="3084" w:type="dxa"/>
            <w:vAlign w:val="center"/>
          </w:tcPr>
          <w:p w14:paraId="229BD02A">
            <w:pPr>
              <w:pStyle w:val="97"/>
              <w:ind w:left="-105" w:right="-105" w:firstLine="0" w:firstLineChars="0"/>
              <w:jc w:val="center"/>
              <w:rPr>
                <w:rFonts w:eastAsia="宋体"/>
                <w:bCs/>
                <w:color w:val="auto"/>
                <w:sz w:val="21"/>
                <w:szCs w:val="21"/>
                <w:highlight w:val="none"/>
              </w:rPr>
            </w:pPr>
            <w:r>
              <w:rPr>
                <w:rFonts w:eastAsia="宋体"/>
                <w:color w:val="auto"/>
                <w:sz w:val="21"/>
                <w:szCs w:val="21"/>
                <w:highlight w:val="none"/>
              </w:rPr>
              <w:t>无资料</w:t>
            </w:r>
          </w:p>
        </w:tc>
        <w:tc>
          <w:tcPr>
            <w:tcW w:w="1275" w:type="dxa"/>
            <w:vAlign w:val="center"/>
          </w:tcPr>
          <w:p w14:paraId="61B115EB">
            <w:pPr>
              <w:pStyle w:val="97"/>
              <w:ind w:left="-105" w:right="-105" w:firstLine="0" w:firstLineChars="0"/>
              <w:jc w:val="center"/>
              <w:rPr>
                <w:rFonts w:eastAsia="宋体"/>
                <w:bCs/>
                <w:color w:val="auto"/>
                <w:sz w:val="21"/>
                <w:szCs w:val="21"/>
                <w:highlight w:val="none"/>
              </w:rPr>
            </w:pPr>
            <w:r>
              <w:rPr>
                <w:rFonts w:hint="eastAsia" w:eastAsia="宋体"/>
                <w:bCs/>
                <w:color w:val="auto"/>
                <w:sz w:val="21"/>
                <w:szCs w:val="21"/>
                <w:highlight w:val="none"/>
                <w:lang w:val="en-US" w:eastAsia="zh-CN"/>
              </w:rPr>
              <w:t>废液储罐</w:t>
            </w:r>
          </w:p>
        </w:tc>
      </w:tr>
      <w:tr w14:paraId="1CECE2E3">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889" w:type="dxa"/>
            <w:vAlign w:val="center"/>
          </w:tcPr>
          <w:p w14:paraId="1098FBCA">
            <w:pPr>
              <w:pStyle w:val="97"/>
              <w:numPr>
                <w:ilvl w:val="0"/>
                <w:numId w:val="22"/>
              </w:numPr>
              <w:ind w:left="-105" w:right="-105" w:firstLine="0" w:firstLineChars="0"/>
              <w:jc w:val="center"/>
              <w:rPr>
                <w:rFonts w:eastAsia="宋体"/>
                <w:bCs/>
                <w:color w:val="auto"/>
                <w:sz w:val="21"/>
                <w:szCs w:val="21"/>
                <w:highlight w:val="none"/>
              </w:rPr>
            </w:pPr>
          </w:p>
        </w:tc>
        <w:tc>
          <w:tcPr>
            <w:tcW w:w="1093" w:type="dxa"/>
            <w:vMerge w:val="restart"/>
            <w:vAlign w:val="center"/>
          </w:tcPr>
          <w:p w14:paraId="1C0FF05D">
            <w:pPr>
              <w:pStyle w:val="97"/>
              <w:ind w:left="-105" w:right="-105" w:firstLine="0" w:firstLineChars="0"/>
              <w:jc w:val="center"/>
              <w:rPr>
                <w:rFonts w:eastAsia="宋体"/>
                <w:bCs/>
                <w:color w:val="auto"/>
                <w:sz w:val="21"/>
                <w:szCs w:val="21"/>
                <w:highlight w:val="none"/>
              </w:rPr>
            </w:pPr>
            <w:r>
              <w:rPr>
                <w:rFonts w:eastAsia="宋体"/>
                <w:bCs/>
                <w:color w:val="auto"/>
                <w:sz w:val="21"/>
                <w:szCs w:val="21"/>
                <w:highlight w:val="none"/>
              </w:rPr>
              <w:t>火灾和爆炸</w:t>
            </w:r>
            <w:r>
              <w:rPr>
                <w:rFonts w:hint="eastAsia" w:eastAsia="宋体"/>
                <w:bCs/>
                <w:color w:val="auto"/>
                <w:sz w:val="21"/>
                <w:szCs w:val="21"/>
                <w:highlight w:val="none"/>
              </w:rPr>
              <w:t>伴</w:t>
            </w:r>
            <w:r>
              <w:rPr>
                <w:rFonts w:eastAsia="宋体"/>
                <w:bCs/>
                <w:color w:val="auto"/>
                <w:sz w:val="21"/>
                <w:szCs w:val="21"/>
                <w:highlight w:val="none"/>
              </w:rPr>
              <w:t>生/次生污染物</w:t>
            </w:r>
          </w:p>
        </w:tc>
        <w:tc>
          <w:tcPr>
            <w:tcW w:w="1467" w:type="dxa"/>
            <w:vAlign w:val="center"/>
          </w:tcPr>
          <w:p w14:paraId="6F9A04ED">
            <w:pPr>
              <w:pStyle w:val="97"/>
              <w:ind w:left="-105" w:right="-105" w:firstLine="0" w:firstLineChars="0"/>
              <w:jc w:val="center"/>
              <w:rPr>
                <w:rFonts w:eastAsia="宋体"/>
                <w:bCs/>
                <w:color w:val="auto"/>
                <w:sz w:val="21"/>
                <w:szCs w:val="21"/>
                <w:highlight w:val="none"/>
              </w:rPr>
            </w:pPr>
            <w:r>
              <w:rPr>
                <w:rFonts w:eastAsia="宋体"/>
                <w:bCs/>
                <w:color w:val="auto"/>
                <w:sz w:val="21"/>
                <w:szCs w:val="21"/>
                <w:highlight w:val="none"/>
              </w:rPr>
              <w:t>一氧化碳</w:t>
            </w:r>
          </w:p>
        </w:tc>
        <w:tc>
          <w:tcPr>
            <w:tcW w:w="912" w:type="dxa"/>
            <w:vAlign w:val="center"/>
          </w:tcPr>
          <w:p w14:paraId="61FA501B">
            <w:pPr>
              <w:pStyle w:val="97"/>
              <w:ind w:left="-105" w:right="-105" w:firstLine="0" w:firstLineChars="0"/>
              <w:jc w:val="center"/>
              <w:rPr>
                <w:rFonts w:eastAsia="宋体"/>
                <w:bCs/>
                <w:color w:val="auto"/>
                <w:sz w:val="21"/>
                <w:szCs w:val="21"/>
                <w:highlight w:val="none"/>
              </w:rPr>
            </w:pPr>
            <w:r>
              <w:rPr>
                <w:rFonts w:eastAsia="宋体"/>
                <w:bCs/>
                <w:color w:val="auto"/>
                <w:sz w:val="21"/>
                <w:szCs w:val="21"/>
                <w:highlight w:val="none"/>
              </w:rPr>
              <w:t>可燃</w:t>
            </w:r>
          </w:p>
        </w:tc>
        <w:tc>
          <w:tcPr>
            <w:tcW w:w="3084" w:type="dxa"/>
            <w:vAlign w:val="center"/>
          </w:tcPr>
          <w:p w14:paraId="051E396D">
            <w:pPr>
              <w:pStyle w:val="97"/>
              <w:ind w:left="-105" w:right="-105" w:firstLine="0" w:firstLineChars="0"/>
              <w:jc w:val="center"/>
              <w:rPr>
                <w:rFonts w:eastAsia="宋体"/>
                <w:color w:val="auto"/>
                <w:sz w:val="21"/>
                <w:szCs w:val="21"/>
                <w:highlight w:val="none"/>
              </w:rPr>
            </w:pPr>
            <w:r>
              <w:rPr>
                <w:rFonts w:eastAsia="宋体"/>
                <w:color w:val="auto"/>
                <w:sz w:val="21"/>
                <w:szCs w:val="21"/>
                <w:highlight w:val="none"/>
              </w:rPr>
              <w:t>毒性终点浓度-1：380mg/m</w:t>
            </w:r>
            <w:r>
              <w:rPr>
                <w:rFonts w:eastAsia="宋体"/>
                <w:color w:val="auto"/>
                <w:sz w:val="21"/>
                <w:szCs w:val="21"/>
                <w:highlight w:val="none"/>
                <w:vertAlign w:val="superscript"/>
              </w:rPr>
              <w:t>3</w:t>
            </w:r>
            <w:r>
              <w:rPr>
                <w:rFonts w:eastAsia="宋体"/>
                <w:color w:val="auto"/>
                <w:sz w:val="21"/>
                <w:szCs w:val="21"/>
                <w:highlight w:val="none"/>
              </w:rPr>
              <w:t>、毒性终点浓度-2：95mg/m</w:t>
            </w:r>
            <w:r>
              <w:rPr>
                <w:rFonts w:eastAsia="宋体"/>
                <w:color w:val="auto"/>
                <w:sz w:val="21"/>
                <w:szCs w:val="21"/>
                <w:highlight w:val="none"/>
                <w:vertAlign w:val="superscript"/>
              </w:rPr>
              <w:t>3</w:t>
            </w:r>
          </w:p>
        </w:tc>
        <w:tc>
          <w:tcPr>
            <w:tcW w:w="1275" w:type="dxa"/>
            <w:vAlign w:val="center"/>
          </w:tcPr>
          <w:p w14:paraId="3CC7E83E">
            <w:pPr>
              <w:pStyle w:val="97"/>
              <w:ind w:left="-105" w:right="-105" w:firstLine="0" w:firstLineChars="0"/>
              <w:jc w:val="center"/>
              <w:rPr>
                <w:rFonts w:eastAsia="宋体"/>
                <w:bCs/>
                <w:color w:val="auto"/>
                <w:sz w:val="21"/>
                <w:szCs w:val="21"/>
                <w:highlight w:val="none"/>
              </w:rPr>
            </w:pPr>
            <w:r>
              <w:rPr>
                <w:rFonts w:eastAsia="宋体"/>
                <w:bCs/>
                <w:color w:val="auto"/>
                <w:sz w:val="21"/>
                <w:szCs w:val="21"/>
                <w:highlight w:val="none"/>
              </w:rPr>
              <w:t>/</w:t>
            </w:r>
          </w:p>
        </w:tc>
      </w:tr>
      <w:tr w14:paraId="2B9A6BED">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889" w:type="dxa"/>
            <w:vAlign w:val="center"/>
          </w:tcPr>
          <w:p w14:paraId="661EC345">
            <w:pPr>
              <w:pStyle w:val="97"/>
              <w:numPr>
                <w:ilvl w:val="0"/>
                <w:numId w:val="22"/>
              </w:numPr>
              <w:ind w:left="-105" w:right="-105" w:firstLine="0" w:firstLineChars="0"/>
              <w:jc w:val="center"/>
              <w:rPr>
                <w:rFonts w:eastAsia="宋体"/>
                <w:bCs/>
                <w:color w:val="auto"/>
                <w:sz w:val="21"/>
                <w:szCs w:val="21"/>
                <w:highlight w:val="none"/>
              </w:rPr>
            </w:pPr>
          </w:p>
        </w:tc>
        <w:tc>
          <w:tcPr>
            <w:tcW w:w="1093" w:type="dxa"/>
            <w:vMerge w:val="continue"/>
            <w:vAlign w:val="center"/>
          </w:tcPr>
          <w:p w14:paraId="7D64B767">
            <w:pPr>
              <w:pStyle w:val="97"/>
              <w:ind w:left="-105" w:right="-105" w:firstLine="0" w:firstLineChars="0"/>
              <w:jc w:val="center"/>
              <w:rPr>
                <w:rFonts w:eastAsia="宋体"/>
                <w:bCs/>
                <w:color w:val="auto"/>
                <w:sz w:val="21"/>
                <w:szCs w:val="21"/>
                <w:highlight w:val="none"/>
              </w:rPr>
            </w:pPr>
          </w:p>
        </w:tc>
        <w:tc>
          <w:tcPr>
            <w:tcW w:w="1467" w:type="dxa"/>
            <w:vAlign w:val="center"/>
          </w:tcPr>
          <w:p w14:paraId="20898A6E">
            <w:pPr>
              <w:pStyle w:val="97"/>
              <w:ind w:left="-105" w:right="-105" w:firstLine="0" w:firstLineChars="0"/>
              <w:jc w:val="center"/>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bCs/>
                <w:color w:val="auto"/>
                <w:sz w:val="21"/>
                <w:szCs w:val="21"/>
                <w:highlight w:val="none"/>
                <w:lang w:val="en-US" w:eastAsia="zh-CN"/>
              </w:rPr>
              <w:t>颗粒物</w:t>
            </w:r>
          </w:p>
        </w:tc>
        <w:tc>
          <w:tcPr>
            <w:tcW w:w="912" w:type="dxa"/>
            <w:vAlign w:val="center"/>
          </w:tcPr>
          <w:p w14:paraId="42B2A29B">
            <w:pPr>
              <w:autoSpaceDE w:val="0"/>
              <w:autoSpaceDN w:val="0"/>
              <w:jc w:val="center"/>
              <w:rPr>
                <w:rFonts w:hint="default" w:ascii="Times New Roman" w:hAnsi="Times New Roman" w:eastAsia="宋体" w:cs="Times New Roman"/>
                <w:bCs/>
                <w:color w:val="auto"/>
                <w:sz w:val="21"/>
                <w:szCs w:val="21"/>
                <w:highlight w:val="none"/>
              </w:rPr>
            </w:pPr>
            <w:r>
              <w:rPr>
                <w:rFonts w:hint="default" w:ascii="Times New Roman" w:hAnsi="Times New Roman" w:cs="Times New Roman"/>
                <w:bCs/>
                <w:color w:val="auto"/>
                <w:kern w:val="0"/>
                <w:sz w:val="21"/>
                <w:szCs w:val="21"/>
                <w:highlight w:val="none"/>
                <w:lang w:val="zh-CN" w:bidi="zh-CN"/>
              </w:rPr>
              <w:t>不燃</w:t>
            </w:r>
          </w:p>
        </w:tc>
        <w:tc>
          <w:tcPr>
            <w:tcW w:w="3084" w:type="dxa"/>
            <w:vAlign w:val="center"/>
          </w:tcPr>
          <w:p w14:paraId="4C0EC411">
            <w:pPr>
              <w:autoSpaceDE w:val="0"/>
              <w:autoSpaceDN w:val="0"/>
              <w:jc w:val="center"/>
              <w:rPr>
                <w:rFonts w:hint="default" w:ascii="Times New Roman" w:hAnsi="Times New Roman" w:eastAsia="宋体" w:cs="Times New Roman"/>
                <w:color w:val="auto"/>
                <w:sz w:val="21"/>
                <w:szCs w:val="21"/>
                <w:highlight w:val="none"/>
              </w:rPr>
            </w:pPr>
            <w:r>
              <w:rPr>
                <w:rFonts w:hint="default" w:ascii="Times New Roman" w:hAnsi="Times New Roman" w:cs="Times New Roman"/>
                <w:color w:val="auto"/>
                <w:kern w:val="0"/>
                <w:sz w:val="21"/>
                <w:szCs w:val="21"/>
                <w:highlight w:val="none"/>
                <w:lang w:val="zh-CN" w:bidi="zh-CN"/>
              </w:rPr>
              <w:t>无资料</w:t>
            </w:r>
          </w:p>
        </w:tc>
        <w:tc>
          <w:tcPr>
            <w:tcW w:w="1275" w:type="dxa"/>
            <w:vAlign w:val="center"/>
          </w:tcPr>
          <w:p w14:paraId="6A8E6556">
            <w:pPr>
              <w:ind w:left="-105" w:right="-105" w:firstLine="0" w:firstLineChars="0"/>
              <w:jc w:val="center"/>
              <w:rPr>
                <w:rFonts w:eastAsia="宋体"/>
                <w:bCs/>
                <w:color w:val="auto"/>
                <w:sz w:val="21"/>
                <w:szCs w:val="21"/>
                <w:highlight w:val="none"/>
              </w:rPr>
            </w:pPr>
            <w:r>
              <w:rPr>
                <w:rFonts w:eastAsia="宋体"/>
                <w:bCs/>
                <w:color w:val="auto"/>
                <w:sz w:val="21"/>
                <w:szCs w:val="21"/>
                <w:highlight w:val="none"/>
              </w:rPr>
              <w:t>/</w:t>
            </w:r>
          </w:p>
        </w:tc>
      </w:tr>
      <w:tr w14:paraId="7FD7B3D4">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889" w:type="dxa"/>
            <w:vAlign w:val="center"/>
          </w:tcPr>
          <w:p w14:paraId="107AD416">
            <w:pPr>
              <w:pStyle w:val="97"/>
              <w:numPr>
                <w:ilvl w:val="0"/>
                <w:numId w:val="22"/>
              </w:numPr>
              <w:ind w:left="-105" w:right="-105" w:firstLine="0" w:firstLineChars="0"/>
              <w:jc w:val="center"/>
              <w:rPr>
                <w:rFonts w:eastAsia="宋体"/>
                <w:bCs/>
                <w:color w:val="auto"/>
                <w:sz w:val="21"/>
                <w:szCs w:val="21"/>
                <w:highlight w:val="none"/>
              </w:rPr>
            </w:pPr>
          </w:p>
        </w:tc>
        <w:tc>
          <w:tcPr>
            <w:tcW w:w="1093" w:type="dxa"/>
            <w:vMerge w:val="continue"/>
            <w:vAlign w:val="center"/>
          </w:tcPr>
          <w:p w14:paraId="4A5A8CDD">
            <w:pPr>
              <w:pStyle w:val="97"/>
              <w:ind w:left="-105" w:right="-105" w:firstLine="0" w:firstLineChars="0"/>
              <w:jc w:val="center"/>
              <w:rPr>
                <w:rFonts w:eastAsia="宋体"/>
                <w:bCs/>
                <w:color w:val="auto"/>
                <w:sz w:val="21"/>
                <w:szCs w:val="21"/>
                <w:highlight w:val="none"/>
              </w:rPr>
            </w:pPr>
          </w:p>
        </w:tc>
        <w:tc>
          <w:tcPr>
            <w:tcW w:w="1467" w:type="dxa"/>
            <w:vAlign w:val="center"/>
          </w:tcPr>
          <w:p w14:paraId="63AF6787">
            <w:pPr>
              <w:pStyle w:val="97"/>
              <w:ind w:left="-105" w:right="-105" w:firstLine="0" w:firstLineChars="0"/>
              <w:jc w:val="center"/>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bCs/>
                <w:color w:val="auto"/>
                <w:sz w:val="21"/>
                <w:szCs w:val="21"/>
                <w:highlight w:val="none"/>
                <w:lang w:val="en-US" w:eastAsia="zh-CN"/>
              </w:rPr>
              <w:t>二氧化硫</w:t>
            </w:r>
          </w:p>
        </w:tc>
        <w:tc>
          <w:tcPr>
            <w:tcW w:w="912" w:type="dxa"/>
            <w:vAlign w:val="center"/>
          </w:tcPr>
          <w:p w14:paraId="033DD302">
            <w:pPr>
              <w:autoSpaceDE w:val="0"/>
              <w:autoSpaceDN w:val="0"/>
              <w:jc w:val="center"/>
              <w:rPr>
                <w:rFonts w:hint="default" w:ascii="Times New Roman" w:hAnsi="Times New Roman" w:eastAsia="宋体" w:cs="Times New Roman"/>
                <w:bCs/>
                <w:color w:val="auto"/>
                <w:sz w:val="21"/>
                <w:szCs w:val="21"/>
                <w:highlight w:val="none"/>
              </w:rPr>
            </w:pPr>
            <w:r>
              <w:rPr>
                <w:rFonts w:hint="default" w:ascii="Times New Roman" w:hAnsi="Times New Roman" w:cs="Times New Roman"/>
                <w:bCs/>
                <w:color w:val="auto"/>
                <w:kern w:val="0"/>
                <w:sz w:val="21"/>
                <w:szCs w:val="21"/>
                <w:highlight w:val="none"/>
                <w:lang w:val="zh-CN" w:bidi="zh-CN"/>
              </w:rPr>
              <w:t>不燃</w:t>
            </w:r>
          </w:p>
        </w:tc>
        <w:tc>
          <w:tcPr>
            <w:tcW w:w="3084" w:type="dxa"/>
            <w:vAlign w:val="center"/>
          </w:tcPr>
          <w:p w14:paraId="6B8AD090">
            <w:pPr>
              <w:autoSpaceDE w:val="0"/>
              <w:autoSpaceDN w:val="0"/>
              <w:jc w:val="center"/>
              <w:rPr>
                <w:rFonts w:hint="default" w:ascii="Times New Roman" w:hAnsi="Times New Roman" w:eastAsia="宋体" w:cs="Times New Roman"/>
                <w:color w:val="auto"/>
                <w:sz w:val="21"/>
                <w:szCs w:val="21"/>
                <w:highlight w:val="none"/>
              </w:rPr>
            </w:pPr>
            <w:r>
              <w:rPr>
                <w:rFonts w:hint="default" w:ascii="Times New Roman" w:hAnsi="Times New Roman" w:cs="Times New Roman"/>
                <w:color w:val="auto"/>
                <w:kern w:val="0"/>
                <w:sz w:val="21"/>
                <w:szCs w:val="21"/>
                <w:highlight w:val="none"/>
                <w:lang w:val="zh-CN" w:bidi="zh-CN"/>
              </w:rPr>
              <w:t>毒性终点浓度-1：79mg/m</w:t>
            </w:r>
            <w:r>
              <w:rPr>
                <w:rFonts w:hint="default" w:ascii="Times New Roman" w:hAnsi="Times New Roman" w:cs="Times New Roman"/>
                <w:color w:val="auto"/>
                <w:kern w:val="0"/>
                <w:sz w:val="21"/>
                <w:szCs w:val="21"/>
                <w:highlight w:val="none"/>
                <w:vertAlign w:val="superscript"/>
                <w:lang w:val="zh-CN" w:bidi="zh-CN"/>
              </w:rPr>
              <w:t>3</w:t>
            </w:r>
            <w:r>
              <w:rPr>
                <w:rFonts w:hint="default" w:ascii="Times New Roman" w:hAnsi="Times New Roman" w:cs="Times New Roman"/>
                <w:color w:val="auto"/>
                <w:kern w:val="0"/>
                <w:sz w:val="21"/>
                <w:szCs w:val="21"/>
                <w:highlight w:val="none"/>
                <w:lang w:val="zh-CN" w:bidi="zh-CN"/>
              </w:rPr>
              <w:t>、毒性终点浓度-2：2mg/m</w:t>
            </w:r>
            <w:r>
              <w:rPr>
                <w:rFonts w:hint="default" w:ascii="Times New Roman" w:hAnsi="Times New Roman" w:cs="Times New Roman"/>
                <w:color w:val="auto"/>
                <w:kern w:val="0"/>
                <w:sz w:val="21"/>
                <w:szCs w:val="21"/>
                <w:highlight w:val="none"/>
                <w:vertAlign w:val="superscript"/>
                <w:lang w:val="zh-CN" w:bidi="zh-CN"/>
              </w:rPr>
              <w:t>3</w:t>
            </w:r>
          </w:p>
        </w:tc>
        <w:tc>
          <w:tcPr>
            <w:tcW w:w="1275" w:type="dxa"/>
            <w:vAlign w:val="center"/>
          </w:tcPr>
          <w:p w14:paraId="5CBC184E">
            <w:pPr>
              <w:ind w:left="-105" w:right="-105" w:firstLine="0" w:firstLineChars="0"/>
              <w:jc w:val="center"/>
              <w:rPr>
                <w:rFonts w:eastAsia="宋体"/>
                <w:bCs/>
                <w:color w:val="auto"/>
                <w:sz w:val="21"/>
                <w:szCs w:val="21"/>
                <w:highlight w:val="none"/>
              </w:rPr>
            </w:pPr>
            <w:r>
              <w:rPr>
                <w:rFonts w:eastAsia="宋体"/>
                <w:bCs/>
                <w:color w:val="auto"/>
                <w:sz w:val="21"/>
                <w:szCs w:val="21"/>
                <w:highlight w:val="none"/>
              </w:rPr>
              <w:t>/</w:t>
            </w:r>
          </w:p>
        </w:tc>
      </w:tr>
      <w:tr w14:paraId="15CA6841">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889" w:type="dxa"/>
            <w:vAlign w:val="center"/>
          </w:tcPr>
          <w:p w14:paraId="07A51D40">
            <w:pPr>
              <w:pStyle w:val="97"/>
              <w:numPr>
                <w:ilvl w:val="0"/>
                <w:numId w:val="22"/>
              </w:numPr>
              <w:ind w:left="-105" w:right="-105" w:firstLine="0" w:firstLineChars="0"/>
              <w:jc w:val="center"/>
              <w:rPr>
                <w:rFonts w:eastAsia="宋体"/>
                <w:bCs/>
                <w:color w:val="auto"/>
                <w:sz w:val="21"/>
                <w:szCs w:val="21"/>
                <w:highlight w:val="none"/>
              </w:rPr>
            </w:pPr>
          </w:p>
        </w:tc>
        <w:tc>
          <w:tcPr>
            <w:tcW w:w="1093" w:type="dxa"/>
            <w:vMerge w:val="continue"/>
            <w:vAlign w:val="center"/>
          </w:tcPr>
          <w:p w14:paraId="5C86F6AF">
            <w:pPr>
              <w:pStyle w:val="97"/>
              <w:ind w:left="-105" w:right="-105" w:firstLine="0" w:firstLineChars="0"/>
              <w:jc w:val="center"/>
              <w:rPr>
                <w:rFonts w:eastAsia="宋体"/>
                <w:bCs/>
                <w:color w:val="auto"/>
                <w:sz w:val="21"/>
                <w:szCs w:val="21"/>
                <w:highlight w:val="none"/>
              </w:rPr>
            </w:pPr>
          </w:p>
        </w:tc>
        <w:tc>
          <w:tcPr>
            <w:tcW w:w="1467" w:type="dxa"/>
            <w:vAlign w:val="center"/>
          </w:tcPr>
          <w:p w14:paraId="73578688">
            <w:pPr>
              <w:pStyle w:val="97"/>
              <w:ind w:left="-105" w:right="-105" w:firstLine="0" w:firstLineChars="0"/>
              <w:jc w:val="center"/>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bCs/>
                <w:color w:val="auto"/>
                <w:sz w:val="21"/>
                <w:szCs w:val="21"/>
                <w:highlight w:val="none"/>
                <w:lang w:val="en-US" w:eastAsia="zh-CN"/>
              </w:rPr>
              <w:t>氮氧化物</w:t>
            </w:r>
          </w:p>
        </w:tc>
        <w:tc>
          <w:tcPr>
            <w:tcW w:w="912" w:type="dxa"/>
            <w:vAlign w:val="center"/>
          </w:tcPr>
          <w:p w14:paraId="42915CB3">
            <w:pPr>
              <w:autoSpaceDE w:val="0"/>
              <w:autoSpaceDN w:val="0"/>
              <w:jc w:val="center"/>
              <w:rPr>
                <w:rFonts w:hint="default" w:ascii="Times New Roman" w:hAnsi="Times New Roman" w:eastAsia="宋体" w:cs="Times New Roman"/>
                <w:bCs/>
                <w:color w:val="auto"/>
                <w:sz w:val="21"/>
                <w:szCs w:val="21"/>
                <w:highlight w:val="none"/>
              </w:rPr>
            </w:pPr>
            <w:r>
              <w:rPr>
                <w:rFonts w:hint="default" w:ascii="Times New Roman" w:hAnsi="Times New Roman" w:cs="Times New Roman"/>
                <w:bCs/>
                <w:color w:val="auto"/>
                <w:kern w:val="0"/>
                <w:sz w:val="21"/>
                <w:szCs w:val="21"/>
                <w:highlight w:val="none"/>
                <w:lang w:val="zh-CN" w:bidi="zh-CN"/>
              </w:rPr>
              <w:t>不燃</w:t>
            </w:r>
          </w:p>
        </w:tc>
        <w:tc>
          <w:tcPr>
            <w:tcW w:w="3084" w:type="dxa"/>
            <w:vAlign w:val="center"/>
          </w:tcPr>
          <w:p w14:paraId="6C40F8A6">
            <w:pPr>
              <w:autoSpaceDE w:val="0"/>
              <w:autoSpaceDN w:val="0"/>
              <w:jc w:val="center"/>
              <w:rPr>
                <w:rFonts w:hint="default" w:ascii="Times New Roman" w:hAnsi="Times New Roman" w:eastAsia="宋体" w:cs="Times New Roman"/>
                <w:color w:val="auto"/>
                <w:sz w:val="21"/>
                <w:szCs w:val="21"/>
                <w:highlight w:val="none"/>
              </w:rPr>
            </w:pPr>
            <w:r>
              <w:rPr>
                <w:rFonts w:hint="default" w:ascii="Times New Roman" w:hAnsi="Times New Roman" w:cs="Times New Roman"/>
                <w:color w:val="auto"/>
                <w:kern w:val="0"/>
                <w:sz w:val="21"/>
                <w:szCs w:val="21"/>
                <w:highlight w:val="none"/>
                <w:lang w:val="zh-CN" w:bidi="zh-CN"/>
              </w:rPr>
              <w:t>参照一氧化氮，毒性终点浓度-1：25mg/m</w:t>
            </w:r>
            <w:r>
              <w:rPr>
                <w:rFonts w:hint="default" w:ascii="Times New Roman" w:hAnsi="Times New Roman" w:cs="Times New Roman"/>
                <w:color w:val="auto"/>
                <w:kern w:val="0"/>
                <w:sz w:val="21"/>
                <w:szCs w:val="21"/>
                <w:highlight w:val="none"/>
                <w:vertAlign w:val="superscript"/>
                <w:lang w:val="zh-CN" w:bidi="zh-CN"/>
              </w:rPr>
              <w:t>3</w:t>
            </w:r>
            <w:r>
              <w:rPr>
                <w:rFonts w:hint="default" w:ascii="Times New Roman" w:hAnsi="Times New Roman" w:cs="Times New Roman"/>
                <w:color w:val="auto"/>
                <w:kern w:val="0"/>
                <w:sz w:val="21"/>
                <w:szCs w:val="21"/>
                <w:highlight w:val="none"/>
                <w:lang w:val="zh-CN" w:bidi="zh-CN"/>
              </w:rPr>
              <w:t>、毒性终点浓度-2：18mg/m</w:t>
            </w:r>
            <w:r>
              <w:rPr>
                <w:rFonts w:hint="default" w:ascii="Times New Roman" w:hAnsi="Times New Roman" w:cs="Times New Roman"/>
                <w:color w:val="auto"/>
                <w:kern w:val="0"/>
                <w:sz w:val="21"/>
                <w:szCs w:val="21"/>
                <w:highlight w:val="none"/>
                <w:vertAlign w:val="superscript"/>
                <w:lang w:val="zh-CN" w:bidi="zh-CN"/>
              </w:rPr>
              <w:t>3</w:t>
            </w:r>
          </w:p>
        </w:tc>
        <w:tc>
          <w:tcPr>
            <w:tcW w:w="1275" w:type="dxa"/>
            <w:vAlign w:val="center"/>
          </w:tcPr>
          <w:p w14:paraId="0478AFA4">
            <w:pPr>
              <w:ind w:left="-105" w:right="-105" w:firstLine="0" w:firstLineChars="0"/>
              <w:jc w:val="center"/>
              <w:rPr>
                <w:rFonts w:eastAsia="宋体"/>
                <w:bCs/>
                <w:color w:val="auto"/>
                <w:sz w:val="21"/>
                <w:szCs w:val="21"/>
                <w:highlight w:val="none"/>
              </w:rPr>
            </w:pPr>
            <w:r>
              <w:rPr>
                <w:rFonts w:eastAsia="宋体"/>
                <w:bCs/>
                <w:color w:val="auto"/>
                <w:sz w:val="21"/>
                <w:szCs w:val="21"/>
                <w:highlight w:val="none"/>
              </w:rPr>
              <w:t>/</w:t>
            </w:r>
          </w:p>
        </w:tc>
      </w:tr>
      <w:tr w14:paraId="1C25F3DC">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889" w:type="dxa"/>
            <w:vAlign w:val="center"/>
          </w:tcPr>
          <w:p w14:paraId="4DCC3AC8">
            <w:pPr>
              <w:pStyle w:val="97"/>
              <w:numPr>
                <w:ilvl w:val="0"/>
                <w:numId w:val="22"/>
              </w:numPr>
              <w:ind w:left="-105" w:right="-105" w:firstLine="0" w:firstLineChars="0"/>
              <w:jc w:val="center"/>
              <w:rPr>
                <w:rFonts w:eastAsia="宋体"/>
                <w:bCs/>
                <w:color w:val="auto"/>
                <w:sz w:val="21"/>
                <w:szCs w:val="21"/>
                <w:highlight w:val="none"/>
              </w:rPr>
            </w:pPr>
          </w:p>
        </w:tc>
        <w:tc>
          <w:tcPr>
            <w:tcW w:w="1093" w:type="dxa"/>
            <w:vMerge w:val="continue"/>
            <w:vAlign w:val="center"/>
          </w:tcPr>
          <w:p w14:paraId="3E64193E">
            <w:pPr>
              <w:pStyle w:val="97"/>
              <w:ind w:left="-105" w:right="-105" w:firstLine="0" w:firstLineChars="0"/>
              <w:jc w:val="center"/>
              <w:rPr>
                <w:rFonts w:eastAsia="宋体"/>
                <w:bCs/>
                <w:color w:val="auto"/>
                <w:sz w:val="21"/>
                <w:szCs w:val="21"/>
                <w:highlight w:val="none"/>
              </w:rPr>
            </w:pPr>
          </w:p>
        </w:tc>
        <w:tc>
          <w:tcPr>
            <w:tcW w:w="1467" w:type="dxa"/>
            <w:vAlign w:val="center"/>
          </w:tcPr>
          <w:p w14:paraId="5346BADD">
            <w:pPr>
              <w:pStyle w:val="97"/>
              <w:ind w:left="-105" w:right="-105" w:firstLine="0" w:firstLineChars="0"/>
              <w:jc w:val="center"/>
              <w:rPr>
                <w:rFonts w:eastAsia="宋体"/>
                <w:bCs/>
                <w:color w:val="auto"/>
                <w:sz w:val="21"/>
                <w:szCs w:val="21"/>
                <w:highlight w:val="none"/>
              </w:rPr>
            </w:pPr>
            <w:r>
              <w:rPr>
                <w:rFonts w:eastAsia="宋体"/>
                <w:bCs/>
                <w:color w:val="auto"/>
                <w:sz w:val="21"/>
                <w:szCs w:val="21"/>
                <w:highlight w:val="none"/>
              </w:rPr>
              <w:t>受污染雨水</w:t>
            </w:r>
          </w:p>
        </w:tc>
        <w:tc>
          <w:tcPr>
            <w:tcW w:w="912" w:type="dxa"/>
            <w:vAlign w:val="center"/>
          </w:tcPr>
          <w:p w14:paraId="6179074A">
            <w:pPr>
              <w:pStyle w:val="97"/>
              <w:ind w:left="-105" w:right="-105" w:firstLine="0" w:firstLineChars="0"/>
              <w:jc w:val="center"/>
              <w:rPr>
                <w:rFonts w:eastAsia="宋体"/>
                <w:bCs/>
                <w:color w:val="auto"/>
                <w:sz w:val="21"/>
                <w:szCs w:val="21"/>
                <w:highlight w:val="none"/>
              </w:rPr>
            </w:pPr>
            <w:r>
              <w:rPr>
                <w:rFonts w:eastAsia="宋体"/>
                <w:bCs/>
                <w:color w:val="auto"/>
                <w:sz w:val="21"/>
                <w:szCs w:val="21"/>
                <w:highlight w:val="none"/>
              </w:rPr>
              <w:t>不燃</w:t>
            </w:r>
          </w:p>
        </w:tc>
        <w:tc>
          <w:tcPr>
            <w:tcW w:w="3084" w:type="dxa"/>
            <w:vAlign w:val="center"/>
          </w:tcPr>
          <w:p w14:paraId="0B77EA18">
            <w:pPr>
              <w:pStyle w:val="97"/>
              <w:ind w:left="-105" w:right="-105" w:firstLine="0" w:firstLineChars="0"/>
              <w:jc w:val="center"/>
              <w:rPr>
                <w:rFonts w:eastAsia="宋体"/>
                <w:bCs/>
                <w:color w:val="auto"/>
                <w:sz w:val="21"/>
                <w:szCs w:val="21"/>
                <w:highlight w:val="none"/>
              </w:rPr>
            </w:pPr>
            <w:r>
              <w:rPr>
                <w:rFonts w:eastAsia="宋体"/>
                <w:color w:val="auto"/>
                <w:sz w:val="21"/>
                <w:szCs w:val="21"/>
                <w:highlight w:val="none"/>
              </w:rPr>
              <w:t>无资料</w:t>
            </w:r>
          </w:p>
        </w:tc>
        <w:tc>
          <w:tcPr>
            <w:tcW w:w="1275" w:type="dxa"/>
            <w:vAlign w:val="center"/>
          </w:tcPr>
          <w:p w14:paraId="59F9F579">
            <w:pPr>
              <w:pStyle w:val="97"/>
              <w:ind w:left="-105" w:right="-105" w:firstLine="0" w:firstLineChars="0"/>
              <w:jc w:val="center"/>
              <w:rPr>
                <w:rFonts w:eastAsia="宋体"/>
                <w:bCs/>
                <w:color w:val="auto"/>
                <w:sz w:val="21"/>
                <w:szCs w:val="21"/>
                <w:highlight w:val="none"/>
              </w:rPr>
            </w:pPr>
            <w:r>
              <w:rPr>
                <w:rFonts w:eastAsia="宋体"/>
                <w:bCs/>
                <w:color w:val="auto"/>
                <w:sz w:val="21"/>
                <w:szCs w:val="21"/>
                <w:highlight w:val="none"/>
              </w:rPr>
              <w:t>/</w:t>
            </w:r>
          </w:p>
        </w:tc>
      </w:tr>
      <w:tr w14:paraId="23BE2A59">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889" w:type="dxa"/>
            <w:vAlign w:val="center"/>
          </w:tcPr>
          <w:p w14:paraId="3B1CC424">
            <w:pPr>
              <w:pStyle w:val="97"/>
              <w:numPr>
                <w:ilvl w:val="0"/>
                <w:numId w:val="22"/>
              </w:numPr>
              <w:ind w:left="-105" w:right="-105" w:firstLine="0" w:firstLineChars="0"/>
              <w:jc w:val="center"/>
              <w:rPr>
                <w:rFonts w:eastAsia="宋体"/>
                <w:bCs/>
                <w:color w:val="auto"/>
                <w:sz w:val="21"/>
                <w:szCs w:val="21"/>
                <w:highlight w:val="none"/>
              </w:rPr>
            </w:pPr>
          </w:p>
        </w:tc>
        <w:tc>
          <w:tcPr>
            <w:tcW w:w="1093" w:type="dxa"/>
            <w:vMerge w:val="continue"/>
            <w:vAlign w:val="center"/>
          </w:tcPr>
          <w:p w14:paraId="16007CDA">
            <w:pPr>
              <w:pStyle w:val="97"/>
              <w:ind w:left="-105" w:right="-105" w:firstLine="0" w:firstLineChars="0"/>
              <w:jc w:val="center"/>
              <w:rPr>
                <w:rFonts w:eastAsia="宋体"/>
                <w:bCs/>
                <w:color w:val="auto"/>
                <w:sz w:val="21"/>
                <w:szCs w:val="21"/>
                <w:highlight w:val="none"/>
              </w:rPr>
            </w:pPr>
          </w:p>
        </w:tc>
        <w:tc>
          <w:tcPr>
            <w:tcW w:w="1467" w:type="dxa"/>
            <w:vAlign w:val="center"/>
          </w:tcPr>
          <w:p w14:paraId="138BC2FB">
            <w:pPr>
              <w:pStyle w:val="97"/>
              <w:ind w:left="-105" w:right="-105" w:firstLine="0" w:firstLineChars="0"/>
              <w:jc w:val="center"/>
              <w:rPr>
                <w:rFonts w:eastAsia="宋体"/>
                <w:bCs/>
                <w:color w:val="auto"/>
                <w:sz w:val="21"/>
                <w:szCs w:val="21"/>
                <w:highlight w:val="none"/>
              </w:rPr>
            </w:pPr>
            <w:r>
              <w:rPr>
                <w:rFonts w:eastAsia="宋体"/>
                <w:bCs/>
                <w:color w:val="auto"/>
                <w:sz w:val="21"/>
                <w:szCs w:val="21"/>
                <w:highlight w:val="none"/>
              </w:rPr>
              <w:t>消防废水</w:t>
            </w:r>
          </w:p>
        </w:tc>
        <w:tc>
          <w:tcPr>
            <w:tcW w:w="912" w:type="dxa"/>
            <w:vAlign w:val="center"/>
          </w:tcPr>
          <w:p w14:paraId="489CB71C">
            <w:pPr>
              <w:pStyle w:val="97"/>
              <w:ind w:left="-105" w:right="-105" w:firstLine="0" w:firstLineChars="0"/>
              <w:jc w:val="center"/>
              <w:rPr>
                <w:rFonts w:eastAsia="宋体"/>
                <w:bCs/>
                <w:color w:val="auto"/>
                <w:sz w:val="21"/>
                <w:szCs w:val="21"/>
                <w:highlight w:val="none"/>
              </w:rPr>
            </w:pPr>
            <w:r>
              <w:rPr>
                <w:rFonts w:eastAsia="宋体"/>
                <w:bCs/>
                <w:color w:val="auto"/>
                <w:sz w:val="21"/>
                <w:szCs w:val="21"/>
                <w:highlight w:val="none"/>
              </w:rPr>
              <w:t>不燃</w:t>
            </w:r>
          </w:p>
        </w:tc>
        <w:tc>
          <w:tcPr>
            <w:tcW w:w="3084" w:type="dxa"/>
            <w:vAlign w:val="center"/>
          </w:tcPr>
          <w:p w14:paraId="659799F2">
            <w:pPr>
              <w:pStyle w:val="97"/>
              <w:ind w:left="-105" w:right="-105" w:firstLine="0" w:firstLineChars="0"/>
              <w:jc w:val="center"/>
              <w:rPr>
                <w:rFonts w:eastAsia="宋体"/>
                <w:bCs/>
                <w:color w:val="auto"/>
                <w:sz w:val="21"/>
                <w:szCs w:val="21"/>
                <w:highlight w:val="none"/>
              </w:rPr>
            </w:pPr>
            <w:r>
              <w:rPr>
                <w:rFonts w:eastAsia="宋体"/>
                <w:color w:val="auto"/>
                <w:sz w:val="21"/>
                <w:szCs w:val="21"/>
                <w:highlight w:val="none"/>
              </w:rPr>
              <w:t>无资料</w:t>
            </w:r>
          </w:p>
        </w:tc>
        <w:tc>
          <w:tcPr>
            <w:tcW w:w="1275" w:type="dxa"/>
            <w:vAlign w:val="center"/>
          </w:tcPr>
          <w:p w14:paraId="5BF19BBB">
            <w:pPr>
              <w:pStyle w:val="97"/>
              <w:ind w:left="-105" w:right="-105" w:firstLine="0" w:firstLineChars="0"/>
              <w:jc w:val="center"/>
              <w:rPr>
                <w:rFonts w:eastAsia="宋体"/>
                <w:bCs/>
                <w:color w:val="auto"/>
                <w:sz w:val="21"/>
                <w:szCs w:val="21"/>
                <w:highlight w:val="none"/>
              </w:rPr>
            </w:pPr>
            <w:r>
              <w:rPr>
                <w:rFonts w:eastAsia="宋体"/>
                <w:bCs/>
                <w:color w:val="auto"/>
                <w:sz w:val="21"/>
                <w:szCs w:val="21"/>
                <w:highlight w:val="none"/>
              </w:rPr>
              <w:t>/</w:t>
            </w:r>
          </w:p>
        </w:tc>
      </w:tr>
      <w:tr w14:paraId="6C6AE7FC">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889" w:type="dxa"/>
            <w:vAlign w:val="center"/>
          </w:tcPr>
          <w:p w14:paraId="7A1EE8FA">
            <w:pPr>
              <w:pStyle w:val="97"/>
              <w:numPr>
                <w:ilvl w:val="0"/>
                <w:numId w:val="22"/>
              </w:numPr>
              <w:ind w:left="-105" w:right="-105" w:firstLine="0" w:firstLineChars="0"/>
              <w:jc w:val="center"/>
              <w:rPr>
                <w:rFonts w:eastAsia="宋体"/>
                <w:bCs/>
                <w:color w:val="auto"/>
                <w:sz w:val="21"/>
                <w:szCs w:val="21"/>
                <w:highlight w:val="none"/>
              </w:rPr>
            </w:pPr>
          </w:p>
        </w:tc>
        <w:tc>
          <w:tcPr>
            <w:tcW w:w="1093" w:type="dxa"/>
            <w:vMerge w:val="continue"/>
            <w:vAlign w:val="center"/>
          </w:tcPr>
          <w:p w14:paraId="3501BFAD">
            <w:pPr>
              <w:pStyle w:val="97"/>
              <w:ind w:left="-105" w:right="-105" w:firstLine="0" w:firstLineChars="0"/>
              <w:jc w:val="center"/>
              <w:rPr>
                <w:rFonts w:eastAsia="宋体"/>
                <w:bCs/>
                <w:color w:val="auto"/>
                <w:sz w:val="21"/>
                <w:szCs w:val="21"/>
                <w:highlight w:val="none"/>
              </w:rPr>
            </w:pPr>
          </w:p>
        </w:tc>
        <w:tc>
          <w:tcPr>
            <w:tcW w:w="1467" w:type="dxa"/>
            <w:vAlign w:val="center"/>
          </w:tcPr>
          <w:p w14:paraId="51B3FFC6">
            <w:pPr>
              <w:pStyle w:val="97"/>
              <w:ind w:left="-105" w:right="-105" w:firstLine="0" w:firstLineChars="0"/>
              <w:jc w:val="center"/>
              <w:rPr>
                <w:rFonts w:eastAsia="宋体"/>
                <w:bCs/>
                <w:color w:val="auto"/>
                <w:sz w:val="21"/>
                <w:szCs w:val="21"/>
                <w:highlight w:val="none"/>
              </w:rPr>
            </w:pPr>
            <w:r>
              <w:rPr>
                <w:rFonts w:eastAsia="宋体"/>
                <w:bCs/>
                <w:color w:val="auto"/>
                <w:sz w:val="21"/>
                <w:szCs w:val="21"/>
                <w:highlight w:val="none"/>
              </w:rPr>
              <w:t>洗消废液</w:t>
            </w:r>
          </w:p>
        </w:tc>
        <w:tc>
          <w:tcPr>
            <w:tcW w:w="912" w:type="dxa"/>
            <w:vAlign w:val="center"/>
          </w:tcPr>
          <w:p w14:paraId="62B5EA96">
            <w:pPr>
              <w:pStyle w:val="97"/>
              <w:ind w:left="-105" w:right="-105" w:firstLine="0" w:firstLineChars="0"/>
              <w:jc w:val="center"/>
              <w:rPr>
                <w:rFonts w:eastAsia="宋体"/>
                <w:bCs/>
                <w:color w:val="auto"/>
                <w:sz w:val="21"/>
                <w:szCs w:val="21"/>
                <w:highlight w:val="none"/>
              </w:rPr>
            </w:pPr>
            <w:r>
              <w:rPr>
                <w:rFonts w:eastAsia="宋体"/>
                <w:bCs/>
                <w:color w:val="auto"/>
                <w:sz w:val="21"/>
                <w:szCs w:val="21"/>
                <w:highlight w:val="none"/>
              </w:rPr>
              <w:t>不燃</w:t>
            </w:r>
          </w:p>
        </w:tc>
        <w:tc>
          <w:tcPr>
            <w:tcW w:w="3084" w:type="dxa"/>
            <w:vAlign w:val="center"/>
          </w:tcPr>
          <w:p w14:paraId="41379A28">
            <w:pPr>
              <w:pStyle w:val="97"/>
              <w:ind w:left="-105" w:right="-105" w:firstLine="0" w:firstLineChars="0"/>
              <w:jc w:val="center"/>
              <w:rPr>
                <w:rFonts w:eastAsia="宋体"/>
                <w:bCs/>
                <w:color w:val="auto"/>
                <w:sz w:val="21"/>
                <w:szCs w:val="21"/>
                <w:highlight w:val="none"/>
              </w:rPr>
            </w:pPr>
            <w:r>
              <w:rPr>
                <w:rFonts w:eastAsia="宋体"/>
                <w:color w:val="auto"/>
                <w:sz w:val="21"/>
                <w:szCs w:val="21"/>
                <w:highlight w:val="none"/>
              </w:rPr>
              <w:t>无资料</w:t>
            </w:r>
          </w:p>
        </w:tc>
        <w:tc>
          <w:tcPr>
            <w:tcW w:w="1275" w:type="dxa"/>
            <w:vAlign w:val="center"/>
          </w:tcPr>
          <w:p w14:paraId="25BE84B1">
            <w:pPr>
              <w:pStyle w:val="97"/>
              <w:ind w:left="-105" w:right="-105" w:firstLine="0" w:firstLineChars="0"/>
              <w:jc w:val="center"/>
              <w:rPr>
                <w:rFonts w:eastAsia="宋体"/>
                <w:bCs/>
                <w:color w:val="auto"/>
                <w:sz w:val="21"/>
                <w:szCs w:val="21"/>
                <w:highlight w:val="none"/>
              </w:rPr>
            </w:pPr>
            <w:r>
              <w:rPr>
                <w:rFonts w:eastAsia="宋体"/>
                <w:bCs/>
                <w:color w:val="auto"/>
                <w:sz w:val="21"/>
                <w:szCs w:val="21"/>
                <w:highlight w:val="none"/>
              </w:rPr>
              <w:t>/</w:t>
            </w:r>
          </w:p>
        </w:tc>
      </w:tr>
      <w:tr w14:paraId="4AD0769C">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889" w:type="dxa"/>
            <w:vAlign w:val="center"/>
          </w:tcPr>
          <w:p w14:paraId="6AD3A545">
            <w:pPr>
              <w:pStyle w:val="97"/>
              <w:numPr>
                <w:ilvl w:val="0"/>
                <w:numId w:val="22"/>
              </w:numPr>
              <w:ind w:left="-105" w:right="-105" w:firstLine="0" w:firstLineChars="0"/>
              <w:jc w:val="center"/>
              <w:rPr>
                <w:rFonts w:eastAsia="宋体"/>
                <w:bCs/>
                <w:color w:val="auto"/>
                <w:sz w:val="21"/>
                <w:szCs w:val="21"/>
                <w:highlight w:val="none"/>
              </w:rPr>
            </w:pPr>
          </w:p>
        </w:tc>
        <w:tc>
          <w:tcPr>
            <w:tcW w:w="1093" w:type="dxa"/>
            <w:vMerge w:val="continue"/>
            <w:vAlign w:val="center"/>
          </w:tcPr>
          <w:p w14:paraId="6C491E8E">
            <w:pPr>
              <w:pStyle w:val="97"/>
              <w:ind w:left="-105" w:right="-105" w:firstLine="0" w:firstLineChars="0"/>
              <w:jc w:val="center"/>
              <w:rPr>
                <w:rFonts w:eastAsia="宋体"/>
                <w:bCs/>
                <w:color w:val="auto"/>
                <w:sz w:val="21"/>
                <w:szCs w:val="21"/>
                <w:highlight w:val="none"/>
              </w:rPr>
            </w:pPr>
          </w:p>
        </w:tc>
        <w:tc>
          <w:tcPr>
            <w:tcW w:w="1467" w:type="dxa"/>
            <w:vAlign w:val="center"/>
          </w:tcPr>
          <w:p w14:paraId="73B43E88">
            <w:pPr>
              <w:pStyle w:val="97"/>
              <w:ind w:left="-105" w:right="-105" w:firstLine="0" w:firstLineChars="0"/>
              <w:jc w:val="center"/>
              <w:rPr>
                <w:rFonts w:eastAsia="宋体"/>
                <w:bCs/>
                <w:color w:val="auto"/>
                <w:sz w:val="21"/>
                <w:szCs w:val="21"/>
                <w:highlight w:val="none"/>
              </w:rPr>
            </w:pPr>
            <w:r>
              <w:rPr>
                <w:rFonts w:eastAsia="宋体"/>
                <w:bCs/>
                <w:color w:val="auto"/>
                <w:sz w:val="21"/>
                <w:szCs w:val="21"/>
                <w:highlight w:val="none"/>
              </w:rPr>
              <w:t>应急处置固体废物</w:t>
            </w:r>
          </w:p>
        </w:tc>
        <w:tc>
          <w:tcPr>
            <w:tcW w:w="912" w:type="dxa"/>
            <w:vAlign w:val="center"/>
          </w:tcPr>
          <w:p w14:paraId="707FF621">
            <w:pPr>
              <w:pStyle w:val="97"/>
              <w:ind w:left="-105" w:right="-105" w:firstLine="0" w:firstLineChars="0"/>
              <w:jc w:val="center"/>
              <w:rPr>
                <w:rFonts w:eastAsia="宋体"/>
                <w:bCs/>
                <w:color w:val="auto"/>
                <w:sz w:val="21"/>
                <w:szCs w:val="21"/>
                <w:highlight w:val="none"/>
              </w:rPr>
            </w:pPr>
            <w:r>
              <w:rPr>
                <w:rFonts w:eastAsia="宋体"/>
                <w:bCs/>
                <w:color w:val="auto"/>
                <w:sz w:val="21"/>
                <w:szCs w:val="21"/>
                <w:highlight w:val="none"/>
              </w:rPr>
              <w:t>/</w:t>
            </w:r>
          </w:p>
        </w:tc>
        <w:tc>
          <w:tcPr>
            <w:tcW w:w="3084" w:type="dxa"/>
            <w:vAlign w:val="center"/>
          </w:tcPr>
          <w:p w14:paraId="011465DB">
            <w:pPr>
              <w:pStyle w:val="97"/>
              <w:ind w:left="-105" w:right="-105" w:firstLine="0" w:firstLineChars="0"/>
              <w:jc w:val="center"/>
              <w:rPr>
                <w:rFonts w:eastAsia="宋体"/>
                <w:bCs/>
                <w:color w:val="auto"/>
                <w:sz w:val="21"/>
                <w:szCs w:val="21"/>
                <w:highlight w:val="none"/>
              </w:rPr>
            </w:pPr>
            <w:r>
              <w:rPr>
                <w:rFonts w:eastAsia="宋体"/>
                <w:color w:val="auto"/>
                <w:sz w:val="21"/>
                <w:szCs w:val="21"/>
                <w:highlight w:val="none"/>
              </w:rPr>
              <w:t>无资料</w:t>
            </w:r>
          </w:p>
        </w:tc>
        <w:tc>
          <w:tcPr>
            <w:tcW w:w="1275" w:type="dxa"/>
            <w:vAlign w:val="center"/>
          </w:tcPr>
          <w:p w14:paraId="292DBB5C">
            <w:pPr>
              <w:pStyle w:val="97"/>
              <w:ind w:left="-105" w:right="-105" w:firstLine="0" w:firstLineChars="0"/>
              <w:jc w:val="center"/>
              <w:rPr>
                <w:rFonts w:eastAsia="宋体"/>
                <w:bCs/>
                <w:color w:val="auto"/>
                <w:sz w:val="21"/>
                <w:szCs w:val="21"/>
                <w:highlight w:val="none"/>
              </w:rPr>
            </w:pPr>
            <w:r>
              <w:rPr>
                <w:rFonts w:eastAsia="宋体"/>
                <w:bCs/>
                <w:color w:val="auto"/>
                <w:sz w:val="21"/>
                <w:szCs w:val="21"/>
                <w:highlight w:val="none"/>
              </w:rPr>
              <w:t>/</w:t>
            </w:r>
          </w:p>
        </w:tc>
      </w:tr>
    </w:tbl>
    <w:p w14:paraId="392A88D3">
      <w:pPr>
        <w:pStyle w:val="5"/>
        <w:keepLines w:val="0"/>
        <w:numPr>
          <w:ilvl w:val="2"/>
          <w:numId w:val="6"/>
        </w:numPr>
        <w:tabs>
          <w:tab w:val="left" w:pos="141"/>
          <w:tab w:val="left" w:pos="567"/>
          <w:tab w:val="left" w:pos="709"/>
        </w:tabs>
        <w:spacing w:before="120" w:beforeLines="50" w:after="120" w:afterLines="50" w:line="360" w:lineRule="auto"/>
        <w:ind w:left="-105" w:right="-105"/>
        <w:rPr>
          <w:rFonts w:eastAsia="宋体"/>
          <w:color w:val="auto"/>
          <w:sz w:val="28"/>
          <w:szCs w:val="28"/>
          <w:highlight w:val="none"/>
        </w:rPr>
      </w:pPr>
      <w:r>
        <w:rPr>
          <w:rFonts w:eastAsia="宋体"/>
          <w:color w:val="auto"/>
          <w:sz w:val="28"/>
          <w:szCs w:val="28"/>
          <w:highlight w:val="none"/>
        </w:rPr>
        <w:t>生产系统危险性识别</w:t>
      </w:r>
    </w:p>
    <w:p w14:paraId="0F0D0C38">
      <w:pPr>
        <w:pStyle w:val="97"/>
        <w:autoSpaceDE w:val="0"/>
        <w:autoSpaceDN w:val="0"/>
        <w:spacing w:line="360" w:lineRule="auto"/>
        <w:ind w:left="-105" w:right="-105" w:firstLine="480"/>
        <w:jc w:val="left"/>
        <w:rPr>
          <w:rFonts w:eastAsia="宋体"/>
          <w:color w:val="auto"/>
          <w:sz w:val="24"/>
          <w:highlight w:val="none"/>
        </w:rPr>
      </w:pPr>
      <w:r>
        <w:rPr>
          <w:rFonts w:eastAsia="宋体"/>
          <w:color w:val="auto"/>
          <w:sz w:val="24"/>
          <w:highlight w:val="none"/>
        </w:rPr>
        <w:t>生产过程风险识别范围：主要生产装置、贮运系统、公用工程系统、工程环保设施及辅助生产设施等。</w:t>
      </w:r>
    </w:p>
    <w:p w14:paraId="3AC15AB8">
      <w:pPr>
        <w:pStyle w:val="97"/>
        <w:spacing w:line="360" w:lineRule="auto"/>
        <w:ind w:left="-105" w:right="-105" w:firstLine="0" w:firstLineChars="0"/>
        <w:rPr>
          <w:rFonts w:eastAsia="宋体"/>
          <w:color w:val="auto"/>
          <w:sz w:val="24"/>
          <w:highlight w:val="none"/>
        </w:rPr>
      </w:pPr>
      <w:r>
        <w:rPr>
          <w:rFonts w:hint="eastAsia" w:ascii="宋体" w:hAnsi="宋体" w:eastAsia="宋体" w:cs="宋体"/>
          <w:color w:val="auto"/>
          <w:sz w:val="24"/>
          <w:highlight w:val="none"/>
        </w:rPr>
        <w:t>①</w:t>
      </w:r>
      <w:r>
        <w:rPr>
          <w:rFonts w:eastAsia="宋体"/>
          <w:color w:val="auto"/>
          <w:sz w:val="24"/>
          <w:highlight w:val="none"/>
        </w:rPr>
        <w:t>生产设施风险识别</w:t>
      </w:r>
    </w:p>
    <w:p w14:paraId="2CBCFBF2">
      <w:pPr>
        <w:spacing w:line="360" w:lineRule="auto"/>
        <w:ind w:left="-105" w:right="-105" w:firstLine="480" w:firstLineChars="200"/>
        <w:rPr>
          <w:rFonts w:ascii="Times New Roman" w:hAnsi="Times New Roman" w:cs="Times New Roman"/>
          <w:color w:val="auto"/>
          <w:highlight w:val="none"/>
        </w:rPr>
      </w:pPr>
      <w:r>
        <w:rPr>
          <w:rFonts w:ascii="Times New Roman" w:hAnsi="Times New Roman" w:cs="Times New Roman"/>
          <w:color w:val="auto"/>
          <w:highlight w:val="none"/>
        </w:rPr>
        <w:t>本项目对涉及的生产设施风险类型进行识别，其中生产设施风险性分析见下表。</w:t>
      </w:r>
    </w:p>
    <w:p w14:paraId="48BE8089">
      <w:pPr>
        <w:pStyle w:val="15"/>
        <w:spacing w:line="360" w:lineRule="auto"/>
        <w:ind w:left="-105" w:right="-105" w:firstLine="482"/>
        <w:rPr>
          <w:rFonts w:eastAsia="宋体"/>
          <w:color w:val="auto"/>
          <w:sz w:val="24"/>
          <w:szCs w:val="18"/>
          <w:highlight w:val="none"/>
        </w:rPr>
      </w:pPr>
      <w:bookmarkStart w:id="252" w:name="_Hlk40120120"/>
    </w:p>
    <w:p w14:paraId="42C39A0B">
      <w:pPr>
        <w:pStyle w:val="15"/>
        <w:spacing w:line="360" w:lineRule="auto"/>
        <w:ind w:left="-105" w:right="-105" w:firstLine="482"/>
        <w:rPr>
          <w:rFonts w:eastAsia="宋体"/>
          <w:color w:val="auto"/>
          <w:sz w:val="24"/>
          <w:szCs w:val="24"/>
          <w:highlight w:val="none"/>
        </w:rPr>
      </w:pPr>
      <w:r>
        <w:rPr>
          <w:rFonts w:eastAsia="宋体"/>
          <w:color w:val="auto"/>
          <w:sz w:val="24"/>
          <w:szCs w:val="18"/>
          <w:highlight w:val="none"/>
        </w:rPr>
        <w:t>表</w:t>
      </w:r>
      <w:r>
        <w:rPr>
          <w:rFonts w:eastAsia="宋体"/>
          <w:color w:val="auto"/>
          <w:sz w:val="24"/>
          <w:szCs w:val="18"/>
          <w:highlight w:val="none"/>
        </w:rPr>
        <w:fldChar w:fldCharType="begin"/>
      </w:r>
      <w:r>
        <w:rPr>
          <w:rFonts w:eastAsia="宋体"/>
          <w:color w:val="auto"/>
          <w:sz w:val="24"/>
          <w:szCs w:val="18"/>
          <w:highlight w:val="none"/>
        </w:rPr>
        <w:instrText xml:space="preserve"> STYLEREF 2 \s </w:instrText>
      </w:r>
      <w:r>
        <w:rPr>
          <w:rFonts w:eastAsia="宋体"/>
          <w:color w:val="auto"/>
          <w:sz w:val="24"/>
          <w:szCs w:val="18"/>
          <w:highlight w:val="none"/>
        </w:rPr>
        <w:fldChar w:fldCharType="separate"/>
      </w:r>
      <w:r>
        <w:rPr>
          <w:rFonts w:eastAsia="宋体"/>
          <w:color w:val="auto"/>
          <w:sz w:val="24"/>
          <w:szCs w:val="18"/>
          <w:highlight w:val="none"/>
        </w:rPr>
        <w:t>4.8</w:t>
      </w:r>
      <w:r>
        <w:rPr>
          <w:rFonts w:eastAsia="宋体"/>
          <w:color w:val="auto"/>
          <w:sz w:val="24"/>
          <w:szCs w:val="18"/>
          <w:highlight w:val="none"/>
        </w:rPr>
        <w:fldChar w:fldCharType="end"/>
      </w:r>
      <w:r>
        <w:rPr>
          <w:rFonts w:eastAsia="宋体"/>
          <w:color w:val="auto"/>
          <w:sz w:val="24"/>
          <w:szCs w:val="18"/>
          <w:highlight w:val="none"/>
        </w:rPr>
        <w:noBreakHyphen/>
      </w:r>
      <w:r>
        <w:rPr>
          <w:rFonts w:eastAsia="宋体"/>
          <w:color w:val="auto"/>
          <w:sz w:val="24"/>
          <w:szCs w:val="18"/>
          <w:highlight w:val="none"/>
        </w:rPr>
        <w:fldChar w:fldCharType="begin"/>
      </w:r>
      <w:r>
        <w:rPr>
          <w:rFonts w:eastAsia="宋体"/>
          <w:color w:val="auto"/>
          <w:sz w:val="24"/>
          <w:szCs w:val="18"/>
          <w:highlight w:val="none"/>
        </w:rPr>
        <w:instrText xml:space="preserve"> SEQ 表 \* ARABIC \s 2 </w:instrText>
      </w:r>
      <w:r>
        <w:rPr>
          <w:rFonts w:eastAsia="宋体"/>
          <w:color w:val="auto"/>
          <w:sz w:val="24"/>
          <w:szCs w:val="18"/>
          <w:highlight w:val="none"/>
        </w:rPr>
        <w:fldChar w:fldCharType="separate"/>
      </w:r>
      <w:r>
        <w:rPr>
          <w:rFonts w:eastAsia="宋体"/>
          <w:color w:val="auto"/>
          <w:sz w:val="24"/>
          <w:szCs w:val="18"/>
          <w:highlight w:val="none"/>
        </w:rPr>
        <w:t>2</w:t>
      </w:r>
      <w:r>
        <w:rPr>
          <w:rFonts w:eastAsia="宋体"/>
          <w:color w:val="auto"/>
          <w:sz w:val="24"/>
          <w:szCs w:val="18"/>
          <w:highlight w:val="none"/>
        </w:rPr>
        <w:fldChar w:fldCharType="end"/>
      </w:r>
      <w:r>
        <w:rPr>
          <w:rFonts w:eastAsia="宋体"/>
          <w:bCs/>
          <w:color w:val="auto"/>
          <w:sz w:val="24"/>
          <w:szCs w:val="24"/>
          <w:highlight w:val="none"/>
        </w:rPr>
        <w:t>生产装置的主要风险分析</w:t>
      </w:r>
    </w:p>
    <w:bookmarkEnd w:id="252"/>
    <w:tbl>
      <w:tblPr>
        <w:tblStyle w:val="45"/>
        <w:tblW w:w="4876" w:type="pct"/>
        <w:tblInd w:w="0" w:type="dxa"/>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autofit"/>
        <w:tblCellMar>
          <w:top w:w="0" w:type="dxa"/>
          <w:left w:w="108" w:type="dxa"/>
          <w:bottom w:w="0" w:type="dxa"/>
          <w:right w:w="108" w:type="dxa"/>
        </w:tblCellMar>
      </w:tblPr>
      <w:tblGrid>
        <w:gridCol w:w="460"/>
        <w:gridCol w:w="814"/>
        <w:gridCol w:w="4019"/>
        <w:gridCol w:w="1302"/>
        <w:gridCol w:w="928"/>
        <w:gridCol w:w="981"/>
      </w:tblGrid>
      <w:tr w14:paraId="2F44BA1E">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tblHeader/>
        </w:trPr>
        <w:tc>
          <w:tcPr>
            <w:tcW w:w="461" w:type="dxa"/>
            <w:vAlign w:val="center"/>
          </w:tcPr>
          <w:p w14:paraId="012BD2EB">
            <w:pPr>
              <w:keepNext w:val="0"/>
              <w:keepLines w:val="0"/>
              <w:pageBreakBefore w:val="0"/>
              <w:widowControl w:val="0"/>
              <w:kinsoku/>
              <w:wordWrap/>
              <w:overflowPunct/>
              <w:topLinePunct w:val="0"/>
              <w:autoSpaceDE/>
              <w:autoSpaceDN/>
              <w:bidi w:val="0"/>
              <w:adjustRightInd/>
              <w:snapToGrid/>
              <w:ind w:left="0" w:right="0"/>
              <w:jc w:val="center"/>
              <w:rPr>
                <w:rFonts w:ascii="Times New Roman" w:hAnsi="Times New Roman" w:cs="Times New Roman"/>
                <w:b/>
                <w:color w:val="auto"/>
                <w:kern w:val="2"/>
                <w:sz w:val="21"/>
                <w:szCs w:val="21"/>
                <w:highlight w:val="none"/>
              </w:rPr>
            </w:pPr>
            <w:r>
              <w:rPr>
                <w:rFonts w:ascii="Times New Roman" w:hAnsi="Times New Roman" w:cs="Times New Roman"/>
                <w:b/>
                <w:color w:val="auto"/>
                <w:kern w:val="2"/>
                <w:sz w:val="21"/>
                <w:szCs w:val="21"/>
                <w:highlight w:val="none"/>
              </w:rPr>
              <w:t>序号</w:t>
            </w:r>
          </w:p>
        </w:tc>
        <w:tc>
          <w:tcPr>
            <w:tcW w:w="819" w:type="dxa"/>
            <w:vAlign w:val="center"/>
          </w:tcPr>
          <w:p w14:paraId="6C84E149">
            <w:pPr>
              <w:keepNext w:val="0"/>
              <w:keepLines w:val="0"/>
              <w:pageBreakBefore w:val="0"/>
              <w:widowControl w:val="0"/>
              <w:kinsoku/>
              <w:wordWrap/>
              <w:overflowPunct/>
              <w:topLinePunct w:val="0"/>
              <w:autoSpaceDE/>
              <w:autoSpaceDN/>
              <w:bidi w:val="0"/>
              <w:adjustRightInd/>
              <w:snapToGrid/>
              <w:ind w:left="0" w:right="0"/>
              <w:jc w:val="center"/>
              <w:rPr>
                <w:rFonts w:ascii="Times New Roman" w:hAnsi="Times New Roman" w:cs="Times New Roman"/>
                <w:b/>
                <w:color w:val="auto"/>
                <w:kern w:val="2"/>
                <w:sz w:val="21"/>
                <w:szCs w:val="21"/>
                <w:highlight w:val="none"/>
              </w:rPr>
            </w:pPr>
            <w:r>
              <w:rPr>
                <w:rFonts w:ascii="Times New Roman" w:hAnsi="Times New Roman" w:cs="Times New Roman"/>
                <w:b/>
                <w:color w:val="auto"/>
                <w:kern w:val="2"/>
                <w:sz w:val="21"/>
                <w:szCs w:val="21"/>
                <w:highlight w:val="none"/>
              </w:rPr>
              <w:t>生产工艺</w:t>
            </w:r>
          </w:p>
        </w:tc>
        <w:tc>
          <w:tcPr>
            <w:tcW w:w="3996" w:type="dxa"/>
            <w:vAlign w:val="center"/>
          </w:tcPr>
          <w:p w14:paraId="3DC52936">
            <w:pPr>
              <w:keepNext w:val="0"/>
              <w:keepLines w:val="0"/>
              <w:pageBreakBefore w:val="0"/>
              <w:widowControl w:val="0"/>
              <w:kinsoku/>
              <w:wordWrap/>
              <w:overflowPunct/>
              <w:topLinePunct w:val="0"/>
              <w:autoSpaceDE/>
              <w:autoSpaceDN/>
              <w:bidi w:val="0"/>
              <w:adjustRightInd/>
              <w:snapToGrid/>
              <w:ind w:left="0" w:right="0"/>
              <w:jc w:val="center"/>
              <w:rPr>
                <w:rFonts w:ascii="Times New Roman" w:hAnsi="Times New Roman" w:cs="Times New Roman"/>
                <w:b/>
                <w:color w:val="auto"/>
                <w:kern w:val="2"/>
                <w:sz w:val="21"/>
                <w:szCs w:val="21"/>
                <w:highlight w:val="none"/>
              </w:rPr>
            </w:pPr>
            <w:r>
              <w:rPr>
                <w:rFonts w:ascii="Times New Roman" w:hAnsi="Times New Roman" w:cs="Times New Roman"/>
                <w:b/>
                <w:color w:val="auto"/>
                <w:kern w:val="2"/>
                <w:sz w:val="21"/>
                <w:szCs w:val="21"/>
                <w:highlight w:val="none"/>
              </w:rPr>
              <w:t>危险物质</w:t>
            </w:r>
          </w:p>
        </w:tc>
        <w:tc>
          <w:tcPr>
            <w:tcW w:w="1311" w:type="dxa"/>
            <w:vAlign w:val="center"/>
          </w:tcPr>
          <w:p w14:paraId="75BA935C">
            <w:pPr>
              <w:keepNext w:val="0"/>
              <w:keepLines w:val="0"/>
              <w:pageBreakBefore w:val="0"/>
              <w:widowControl w:val="0"/>
              <w:kinsoku/>
              <w:wordWrap/>
              <w:overflowPunct/>
              <w:topLinePunct w:val="0"/>
              <w:autoSpaceDE/>
              <w:autoSpaceDN/>
              <w:bidi w:val="0"/>
              <w:adjustRightInd/>
              <w:snapToGrid/>
              <w:ind w:left="0" w:right="0"/>
              <w:jc w:val="center"/>
              <w:rPr>
                <w:rFonts w:ascii="Times New Roman" w:hAnsi="Times New Roman" w:cs="Times New Roman"/>
                <w:b/>
                <w:color w:val="auto"/>
                <w:kern w:val="2"/>
                <w:sz w:val="21"/>
                <w:szCs w:val="21"/>
                <w:highlight w:val="none"/>
              </w:rPr>
            </w:pPr>
            <w:r>
              <w:rPr>
                <w:rFonts w:ascii="Times New Roman" w:hAnsi="Times New Roman" w:cs="Times New Roman"/>
                <w:b/>
                <w:color w:val="auto"/>
                <w:kern w:val="2"/>
                <w:sz w:val="21"/>
                <w:szCs w:val="21"/>
                <w:highlight w:val="none"/>
              </w:rPr>
              <w:t>转化为事故的触发因素</w:t>
            </w:r>
          </w:p>
        </w:tc>
        <w:tc>
          <w:tcPr>
            <w:tcW w:w="932" w:type="dxa"/>
            <w:vAlign w:val="center"/>
          </w:tcPr>
          <w:p w14:paraId="4CB3AB81">
            <w:pPr>
              <w:keepNext w:val="0"/>
              <w:keepLines w:val="0"/>
              <w:pageBreakBefore w:val="0"/>
              <w:widowControl w:val="0"/>
              <w:kinsoku/>
              <w:wordWrap/>
              <w:overflowPunct/>
              <w:topLinePunct w:val="0"/>
              <w:autoSpaceDE/>
              <w:autoSpaceDN/>
              <w:bidi w:val="0"/>
              <w:adjustRightInd/>
              <w:snapToGrid/>
              <w:ind w:left="0" w:right="0"/>
              <w:jc w:val="center"/>
              <w:rPr>
                <w:rFonts w:ascii="Times New Roman" w:hAnsi="Times New Roman" w:cs="Times New Roman"/>
                <w:b/>
                <w:color w:val="auto"/>
                <w:kern w:val="2"/>
                <w:sz w:val="21"/>
                <w:szCs w:val="21"/>
                <w:highlight w:val="none"/>
              </w:rPr>
            </w:pPr>
            <w:r>
              <w:rPr>
                <w:rFonts w:ascii="Times New Roman" w:hAnsi="Times New Roman" w:cs="Times New Roman"/>
                <w:b/>
                <w:color w:val="auto"/>
                <w:kern w:val="2"/>
                <w:sz w:val="21"/>
                <w:szCs w:val="21"/>
                <w:highlight w:val="none"/>
              </w:rPr>
              <w:t>环境风险类型</w:t>
            </w:r>
          </w:p>
        </w:tc>
        <w:tc>
          <w:tcPr>
            <w:tcW w:w="985" w:type="dxa"/>
            <w:vAlign w:val="center"/>
          </w:tcPr>
          <w:p w14:paraId="06BEC0FB">
            <w:pPr>
              <w:keepNext w:val="0"/>
              <w:keepLines w:val="0"/>
              <w:pageBreakBefore w:val="0"/>
              <w:widowControl w:val="0"/>
              <w:kinsoku/>
              <w:wordWrap/>
              <w:overflowPunct/>
              <w:topLinePunct w:val="0"/>
              <w:autoSpaceDE/>
              <w:autoSpaceDN/>
              <w:bidi w:val="0"/>
              <w:adjustRightInd/>
              <w:snapToGrid/>
              <w:ind w:left="0" w:right="0"/>
              <w:jc w:val="center"/>
              <w:rPr>
                <w:rFonts w:ascii="Times New Roman" w:hAnsi="Times New Roman" w:cs="Times New Roman"/>
                <w:b/>
                <w:color w:val="auto"/>
                <w:kern w:val="2"/>
                <w:sz w:val="21"/>
                <w:szCs w:val="21"/>
                <w:highlight w:val="none"/>
              </w:rPr>
            </w:pPr>
            <w:r>
              <w:rPr>
                <w:rFonts w:ascii="Times New Roman" w:hAnsi="Times New Roman" w:cs="Times New Roman"/>
                <w:b/>
                <w:color w:val="auto"/>
                <w:kern w:val="2"/>
                <w:sz w:val="21"/>
                <w:szCs w:val="21"/>
                <w:highlight w:val="none"/>
              </w:rPr>
              <w:t>危险物质最大存在量（t）</w:t>
            </w:r>
          </w:p>
        </w:tc>
      </w:tr>
      <w:tr w14:paraId="3E5A29D6">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461" w:type="dxa"/>
            <w:vAlign w:val="center"/>
          </w:tcPr>
          <w:p w14:paraId="65B7B14F">
            <w:pPr>
              <w:keepNext w:val="0"/>
              <w:keepLines w:val="0"/>
              <w:pageBreakBefore w:val="0"/>
              <w:widowControl w:val="0"/>
              <w:numPr>
                <w:ilvl w:val="0"/>
                <w:numId w:val="23"/>
              </w:numPr>
              <w:kinsoku/>
              <w:wordWrap/>
              <w:overflowPunct/>
              <w:topLinePunct w:val="0"/>
              <w:autoSpaceDE/>
              <w:autoSpaceDN/>
              <w:bidi w:val="0"/>
              <w:adjustRightInd/>
              <w:snapToGrid/>
              <w:ind w:left="0" w:right="0"/>
              <w:jc w:val="center"/>
              <w:rPr>
                <w:rFonts w:ascii="Times New Roman" w:hAnsi="Times New Roman" w:cs="Times New Roman"/>
                <w:bCs/>
                <w:color w:val="auto"/>
                <w:kern w:val="2"/>
                <w:sz w:val="21"/>
                <w:szCs w:val="21"/>
                <w:highlight w:val="none"/>
              </w:rPr>
            </w:pPr>
          </w:p>
        </w:tc>
        <w:tc>
          <w:tcPr>
            <w:tcW w:w="819" w:type="dxa"/>
            <w:vMerge w:val="restart"/>
            <w:vAlign w:val="center"/>
          </w:tcPr>
          <w:p w14:paraId="4886D00F">
            <w:pPr>
              <w:keepNext w:val="0"/>
              <w:keepLines w:val="0"/>
              <w:pageBreakBefore w:val="0"/>
              <w:widowControl w:val="0"/>
              <w:kinsoku/>
              <w:wordWrap/>
              <w:overflowPunct/>
              <w:topLinePunct w:val="0"/>
              <w:autoSpaceDE/>
              <w:autoSpaceDN/>
              <w:bidi w:val="0"/>
              <w:adjustRightInd/>
              <w:snapToGrid/>
              <w:ind w:left="0" w:right="0"/>
              <w:jc w:val="center"/>
              <w:rPr>
                <w:rFonts w:hint="eastAsia" w:ascii="Times New Roman" w:hAnsi="Times New Roman" w:eastAsia="宋体" w:cs="Times New Roman"/>
                <w:bCs/>
                <w:color w:val="auto"/>
                <w:kern w:val="2"/>
                <w:sz w:val="21"/>
                <w:szCs w:val="21"/>
                <w:highlight w:val="none"/>
                <w:lang w:eastAsia="zh-CN"/>
              </w:rPr>
            </w:pPr>
            <w:r>
              <w:rPr>
                <w:rFonts w:hint="eastAsia" w:ascii="Times New Roman" w:hAnsi="Times New Roman" w:cs="Times New Roman"/>
                <w:bCs/>
                <w:color w:val="auto"/>
                <w:kern w:val="2"/>
                <w:sz w:val="21"/>
                <w:szCs w:val="21"/>
                <w:highlight w:val="none"/>
                <w:lang w:val="en-US" w:eastAsia="zh-CN"/>
              </w:rPr>
              <w:t>剥离液生产线</w:t>
            </w:r>
          </w:p>
        </w:tc>
        <w:tc>
          <w:tcPr>
            <w:tcW w:w="3996" w:type="dxa"/>
            <w:vAlign w:val="center"/>
          </w:tcPr>
          <w:p w14:paraId="69702C54">
            <w:pPr>
              <w:keepNext w:val="0"/>
              <w:keepLines w:val="0"/>
              <w:pageBreakBefore w:val="0"/>
              <w:kinsoku/>
              <w:wordWrap/>
              <w:overflowPunct/>
              <w:topLinePunct w:val="0"/>
              <w:autoSpaceDE/>
              <w:autoSpaceDN/>
              <w:bidi w:val="0"/>
              <w:adjustRightInd/>
              <w:snapToGrid/>
              <w:ind w:left="0" w:right="0"/>
              <w:jc w:val="center"/>
              <w:textAlignment w:val="center"/>
              <w:rPr>
                <w:rFonts w:ascii="Times New Roman" w:hAnsi="Times New Roman" w:cs="Times New Roman"/>
                <w:bCs/>
                <w:color w:val="auto"/>
                <w:kern w:val="2"/>
                <w:sz w:val="21"/>
                <w:szCs w:val="21"/>
                <w:highlight w:val="none"/>
              </w:rPr>
            </w:pPr>
            <w:r>
              <w:rPr>
                <w:rFonts w:ascii="Times New Roman" w:hAnsi="Times New Roman" w:cs="Times New Roman"/>
                <w:color w:val="auto"/>
                <w:sz w:val="21"/>
                <w:szCs w:val="21"/>
                <w:highlight w:val="none"/>
                <w:lang w:bidi="ar"/>
              </w:rPr>
              <w:t>二甲基亚砜</w:t>
            </w:r>
          </w:p>
        </w:tc>
        <w:tc>
          <w:tcPr>
            <w:tcW w:w="1311" w:type="dxa"/>
            <w:vMerge w:val="restart"/>
            <w:vAlign w:val="center"/>
          </w:tcPr>
          <w:p w14:paraId="7453EF7A">
            <w:pPr>
              <w:keepNext w:val="0"/>
              <w:keepLines w:val="0"/>
              <w:pageBreakBefore w:val="0"/>
              <w:widowControl w:val="0"/>
              <w:kinsoku/>
              <w:wordWrap/>
              <w:overflowPunct/>
              <w:topLinePunct w:val="0"/>
              <w:autoSpaceDE/>
              <w:autoSpaceDN/>
              <w:bidi w:val="0"/>
              <w:adjustRightInd/>
              <w:snapToGrid/>
              <w:ind w:left="0" w:right="0"/>
              <w:jc w:val="center"/>
              <w:rPr>
                <w:rFonts w:ascii="Times New Roman" w:hAnsi="Times New Roman" w:cs="Times New Roman"/>
                <w:bCs/>
                <w:color w:val="auto"/>
                <w:kern w:val="2"/>
                <w:sz w:val="21"/>
                <w:szCs w:val="21"/>
                <w:highlight w:val="none"/>
              </w:rPr>
            </w:pPr>
            <w:r>
              <w:rPr>
                <w:rFonts w:ascii="Times New Roman" w:hAnsi="Times New Roman" w:cs="Times New Roman"/>
                <w:bCs/>
                <w:color w:val="auto"/>
                <w:kern w:val="2"/>
                <w:sz w:val="21"/>
                <w:szCs w:val="21"/>
                <w:highlight w:val="none"/>
              </w:rPr>
              <w:t>违规操作、设备操作、电火花、高热、明火等</w:t>
            </w:r>
          </w:p>
        </w:tc>
        <w:tc>
          <w:tcPr>
            <w:tcW w:w="932" w:type="dxa"/>
            <w:vMerge w:val="restart"/>
            <w:vAlign w:val="center"/>
          </w:tcPr>
          <w:p w14:paraId="0503FED3">
            <w:pPr>
              <w:keepNext w:val="0"/>
              <w:keepLines w:val="0"/>
              <w:pageBreakBefore w:val="0"/>
              <w:widowControl w:val="0"/>
              <w:kinsoku/>
              <w:wordWrap/>
              <w:overflowPunct/>
              <w:topLinePunct w:val="0"/>
              <w:autoSpaceDE/>
              <w:autoSpaceDN/>
              <w:bidi w:val="0"/>
              <w:adjustRightInd/>
              <w:snapToGrid/>
              <w:ind w:left="0" w:right="0"/>
              <w:jc w:val="center"/>
              <w:rPr>
                <w:rFonts w:ascii="Times New Roman" w:hAnsi="Times New Roman" w:cs="Times New Roman"/>
                <w:bCs/>
                <w:color w:val="auto"/>
                <w:kern w:val="2"/>
                <w:sz w:val="21"/>
                <w:szCs w:val="21"/>
                <w:highlight w:val="none"/>
              </w:rPr>
            </w:pPr>
            <w:r>
              <w:rPr>
                <w:rFonts w:ascii="Times New Roman" w:hAnsi="Times New Roman" w:cs="Times New Roman"/>
                <w:bCs/>
                <w:color w:val="auto"/>
                <w:kern w:val="2"/>
                <w:sz w:val="21"/>
                <w:szCs w:val="21"/>
                <w:highlight w:val="none"/>
              </w:rPr>
              <w:t>泄漏、火灾</w:t>
            </w:r>
          </w:p>
        </w:tc>
        <w:tc>
          <w:tcPr>
            <w:tcW w:w="985" w:type="dxa"/>
            <w:vAlign w:val="center"/>
          </w:tcPr>
          <w:p w14:paraId="19EB71D6">
            <w:pPr>
              <w:keepNext w:val="0"/>
              <w:keepLines w:val="0"/>
              <w:pageBreakBefore w:val="0"/>
              <w:widowControl w:val="0"/>
              <w:kinsoku/>
              <w:wordWrap/>
              <w:overflowPunct/>
              <w:topLinePunct w:val="0"/>
              <w:autoSpaceDE/>
              <w:autoSpaceDN/>
              <w:bidi w:val="0"/>
              <w:adjustRightInd/>
              <w:snapToGrid/>
              <w:ind w:left="0" w:right="0"/>
              <w:jc w:val="center"/>
              <w:rPr>
                <w:rFonts w:ascii="Times New Roman" w:hAnsi="Times New Roman" w:cs="Times New Roman"/>
                <w:bCs/>
                <w:color w:val="auto"/>
                <w:kern w:val="2"/>
                <w:sz w:val="21"/>
                <w:szCs w:val="21"/>
                <w:highlight w:val="none"/>
              </w:rPr>
            </w:pPr>
            <w:r>
              <w:rPr>
                <w:rFonts w:hint="eastAsia" w:ascii="Times New Roman" w:hAnsi="Times New Roman" w:cs="Times New Roman"/>
                <w:bCs/>
                <w:color w:val="auto"/>
                <w:kern w:val="2"/>
                <w:sz w:val="21"/>
                <w:szCs w:val="21"/>
                <w:highlight w:val="none"/>
              </w:rPr>
              <w:t>0.5</w:t>
            </w:r>
          </w:p>
        </w:tc>
      </w:tr>
      <w:tr w14:paraId="709FF4DF">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461" w:type="dxa"/>
            <w:vAlign w:val="center"/>
          </w:tcPr>
          <w:p w14:paraId="1DC42910">
            <w:pPr>
              <w:keepNext w:val="0"/>
              <w:keepLines w:val="0"/>
              <w:pageBreakBefore w:val="0"/>
              <w:widowControl w:val="0"/>
              <w:numPr>
                <w:ilvl w:val="0"/>
                <w:numId w:val="23"/>
              </w:numPr>
              <w:kinsoku/>
              <w:wordWrap/>
              <w:overflowPunct/>
              <w:topLinePunct w:val="0"/>
              <w:autoSpaceDE/>
              <w:autoSpaceDN/>
              <w:bidi w:val="0"/>
              <w:adjustRightInd/>
              <w:snapToGrid/>
              <w:ind w:left="0" w:right="0"/>
              <w:jc w:val="center"/>
              <w:rPr>
                <w:rFonts w:ascii="Times New Roman" w:hAnsi="Times New Roman" w:cs="Times New Roman"/>
                <w:bCs/>
                <w:color w:val="auto"/>
                <w:kern w:val="2"/>
                <w:sz w:val="21"/>
                <w:szCs w:val="21"/>
                <w:highlight w:val="none"/>
              </w:rPr>
            </w:pPr>
          </w:p>
        </w:tc>
        <w:tc>
          <w:tcPr>
            <w:tcW w:w="819" w:type="dxa"/>
            <w:vMerge w:val="continue"/>
            <w:vAlign w:val="center"/>
          </w:tcPr>
          <w:p w14:paraId="082E4189">
            <w:pPr>
              <w:keepNext w:val="0"/>
              <w:keepLines w:val="0"/>
              <w:pageBreakBefore w:val="0"/>
              <w:widowControl w:val="0"/>
              <w:kinsoku/>
              <w:wordWrap/>
              <w:overflowPunct/>
              <w:topLinePunct w:val="0"/>
              <w:autoSpaceDE/>
              <w:autoSpaceDN/>
              <w:bidi w:val="0"/>
              <w:adjustRightInd/>
              <w:snapToGrid/>
              <w:ind w:left="0" w:right="0"/>
              <w:jc w:val="center"/>
              <w:rPr>
                <w:rFonts w:ascii="Times New Roman" w:hAnsi="Times New Roman" w:cs="Times New Roman"/>
                <w:bCs/>
                <w:color w:val="auto"/>
                <w:kern w:val="2"/>
                <w:sz w:val="21"/>
                <w:szCs w:val="21"/>
                <w:highlight w:val="none"/>
              </w:rPr>
            </w:pPr>
          </w:p>
        </w:tc>
        <w:tc>
          <w:tcPr>
            <w:tcW w:w="3996" w:type="dxa"/>
            <w:vAlign w:val="center"/>
          </w:tcPr>
          <w:p w14:paraId="2CBFC0AE">
            <w:pPr>
              <w:keepNext w:val="0"/>
              <w:keepLines w:val="0"/>
              <w:pageBreakBefore w:val="0"/>
              <w:kinsoku/>
              <w:wordWrap/>
              <w:overflowPunct/>
              <w:topLinePunct w:val="0"/>
              <w:autoSpaceDE/>
              <w:autoSpaceDN/>
              <w:bidi w:val="0"/>
              <w:adjustRightInd/>
              <w:snapToGrid/>
              <w:ind w:left="0" w:right="0"/>
              <w:jc w:val="center"/>
              <w:textAlignment w:val="center"/>
              <w:rPr>
                <w:rFonts w:ascii="Times New Roman" w:hAnsi="Times New Roman" w:cs="Times New Roman"/>
                <w:bCs/>
                <w:color w:val="auto"/>
                <w:kern w:val="2"/>
                <w:sz w:val="21"/>
                <w:szCs w:val="21"/>
                <w:highlight w:val="none"/>
              </w:rPr>
            </w:pPr>
            <w:r>
              <w:rPr>
                <w:rFonts w:ascii="Times New Roman" w:hAnsi="Times New Roman" w:cs="Times New Roman"/>
                <w:color w:val="auto"/>
                <w:sz w:val="21"/>
                <w:szCs w:val="21"/>
                <w:highlight w:val="none"/>
                <w:lang w:bidi="ar"/>
              </w:rPr>
              <w:t>N-甲基吡咯烷酮</w:t>
            </w:r>
          </w:p>
        </w:tc>
        <w:tc>
          <w:tcPr>
            <w:tcW w:w="1311" w:type="dxa"/>
            <w:vMerge w:val="continue"/>
            <w:vAlign w:val="center"/>
          </w:tcPr>
          <w:p w14:paraId="44239D0C">
            <w:pPr>
              <w:keepNext w:val="0"/>
              <w:keepLines w:val="0"/>
              <w:pageBreakBefore w:val="0"/>
              <w:widowControl w:val="0"/>
              <w:kinsoku/>
              <w:wordWrap/>
              <w:overflowPunct/>
              <w:topLinePunct w:val="0"/>
              <w:autoSpaceDE/>
              <w:autoSpaceDN/>
              <w:bidi w:val="0"/>
              <w:adjustRightInd/>
              <w:snapToGrid/>
              <w:ind w:left="0" w:right="0"/>
              <w:jc w:val="center"/>
              <w:rPr>
                <w:rFonts w:ascii="Times New Roman" w:hAnsi="Times New Roman" w:cs="Times New Roman"/>
                <w:bCs/>
                <w:color w:val="auto"/>
                <w:kern w:val="2"/>
                <w:sz w:val="21"/>
                <w:szCs w:val="21"/>
                <w:highlight w:val="none"/>
              </w:rPr>
            </w:pPr>
          </w:p>
        </w:tc>
        <w:tc>
          <w:tcPr>
            <w:tcW w:w="932" w:type="dxa"/>
            <w:vMerge w:val="continue"/>
            <w:vAlign w:val="center"/>
          </w:tcPr>
          <w:p w14:paraId="64C9B6EC">
            <w:pPr>
              <w:keepNext w:val="0"/>
              <w:keepLines w:val="0"/>
              <w:pageBreakBefore w:val="0"/>
              <w:widowControl w:val="0"/>
              <w:kinsoku/>
              <w:wordWrap/>
              <w:overflowPunct/>
              <w:topLinePunct w:val="0"/>
              <w:autoSpaceDE/>
              <w:autoSpaceDN/>
              <w:bidi w:val="0"/>
              <w:adjustRightInd/>
              <w:snapToGrid/>
              <w:ind w:left="0" w:right="0"/>
              <w:jc w:val="center"/>
              <w:rPr>
                <w:rFonts w:ascii="Times New Roman" w:hAnsi="Times New Roman" w:cs="Times New Roman"/>
                <w:bCs/>
                <w:color w:val="auto"/>
                <w:kern w:val="2"/>
                <w:sz w:val="21"/>
                <w:szCs w:val="21"/>
                <w:highlight w:val="none"/>
              </w:rPr>
            </w:pPr>
          </w:p>
        </w:tc>
        <w:tc>
          <w:tcPr>
            <w:tcW w:w="985" w:type="dxa"/>
            <w:vAlign w:val="center"/>
          </w:tcPr>
          <w:p w14:paraId="6379838D">
            <w:pPr>
              <w:keepNext w:val="0"/>
              <w:keepLines w:val="0"/>
              <w:pageBreakBefore w:val="0"/>
              <w:widowControl w:val="0"/>
              <w:kinsoku/>
              <w:wordWrap/>
              <w:overflowPunct/>
              <w:topLinePunct w:val="0"/>
              <w:autoSpaceDE/>
              <w:autoSpaceDN/>
              <w:bidi w:val="0"/>
              <w:adjustRightInd/>
              <w:snapToGrid/>
              <w:ind w:left="0" w:right="0"/>
              <w:jc w:val="center"/>
              <w:rPr>
                <w:rFonts w:ascii="Times New Roman" w:hAnsi="Times New Roman" w:cs="Times New Roman"/>
                <w:bCs/>
                <w:color w:val="auto"/>
                <w:kern w:val="2"/>
                <w:sz w:val="21"/>
                <w:szCs w:val="21"/>
                <w:highlight w:val="none"/>
              </w:rPr>
            </w:pPr>
            <w:r>
              <w:rPr>
                <w:rFonts w:hint="eastAsia" w:ascii="Times New Roman" w:hAnsi="Times New Roman" w:cs="Times New Roman"/>
                <w:bCs/>
                <w:color w:val="auto"/>
                <w:kern w:val="2"/>
                <w:sz w:val="21"/>
                <w:szCs w:val="21"/>
                <w:highlight w:val="none"/>
              </w:rPr>
              <w:t>0.36</w:t>
            </w:r>
          </w:p>
        </w:tc>
      </w:tr>
      <w:tr w14:paraId="3EFF273F">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461" w:type="dxa"/>
            <w:vAlign w:val="center"/>
          </w:tcPr>
          <w:p w14:paraId="5B599FFB">
            <w:pPr>
              <w:keepNext w:val="0"/>
              <w:keepLines w:val="0"/>
              <w:pageBreakBefore w:val="0"/>
              <w:widowControl w:val="0"/>
              <w:numPr>
                <w:ilvl w:val="0"/>
                <w:numId w:val="23"/>
              </w:numPr>
              <w:kinsoku/>
              <w:wordWrap/>
              <w:overflowPunct/>
              <w:topLinePunct w:val="0"/>
              <w:autoSpaceDE/>
              <w:autoSpaceDN/>
              <w:bidi w:val="0"/>
              <w:adjustRightInd/>
              <w:snapToGrid/>
              <w:ind w:left="0" w:right="0"/>
              <w:jc w:val="center"/>
              <w:rPr>
                <w:rFonts w:ascii="Times New Roman" w:hAnsi="Times New Roman" w:cs="Times New Roman"/>
                <w:bCs/>
                <w:color w:val="auto"/>
                <w:kern w:val="2"/>
                <w:sz w:val="21"/>
                <w:szCs w:val="21"/>
                <w:highlight w:val="none"/>
              </w:rPr>
            </w:pPr>
          </w:p>
        </w:tc>
        <w:tc>
          <w:tcPr>
            <w:tcW w:w="819" w:type="dxa"/>
            <w:vMerge w:val="continue"/>
            <w:vAlign w:val="center"/>
          </w:tcPr>
          <w:p w14:paraId="142442DD">
            <w:pPr>
              <w:keepNext w:val="0"/>
              <w:keepLines w:val="0"/>
              <w:pageBreakBefore w:val="0"/>
              <w:widowControl w:val="0"/>
              <w:kinsoku/>
              <w:wordWrap/>
              <w:overflowPunct/>
              <w:topLinePunct w:val="0"/>
              <w:autoSpaceDE/>
              <w:autoSpaceDN/>
              <w:bidi w:val="0"/>
              <w:adjustRightInd/>
              <w:snapToGrid/>
              <w:ind w:left="0" w:right="0"/>
              <w:jc w:val="center"/>
              <w:rPr>
                <w:rFonts w:ascii="Times New Roman" w:hAnsi="Times New Roman" w:cs="Times New Roman"/>
                <w:bCs/>
                <w:color w:val="auto"/>
                <w:kern w:val="2"/>
                <w:sz w:val="21"/>
                <w:szCs w:val="21"/>
                <w:highlight w:val="none"/>
              </w:rPr>
            </w:pPr>
          </w:p>
        </w:tc>
        <w:tc>
          <w:tcPr>
            <w:tcW w:w="3996" w:type="dxa"/>
            <w:vAlign w:val="center"/>
          </w:tcPr>
          <w:p w14:paraId="3B84592C">
            <w:pPr>
              <w:keepNext w:val="0"/>
              <w:keepLines w:val="0"/>
              <w:pageBreakBefore w:val="0"/>
              <w:kinsoku/>
              <w:wordWrap/>
              <w:overflowPunct/>
              <w:topLinePunct w:val="0"/>
              <w:autoSpaceDE/>
              <w:autoSpaceDN/>
              <w:bidi w:val="0"/>
              <w:adjustRightInd/>
              <w:snapToGrid/>
              <w:ind w:left="0" w:right="0"/>
              <w:jc w:val="center"/>
              <w:textAlignment w:val="center"/>
              <w:rPr>
                <w:rFonts w:ascii="Times New Roman" w:hAnsi="Times New Roman" w:cs="Times New Roman"/>
                <w:bCs/>
                <w:color w:val="auto"/>
                <w:kern w:val="2"/>
                <w:sz w:val="21"/>
                <w:szCs w:val="21"/>
                <w:highlight w:val="none"/>
              </w:rPr>
            </w:pPr>
            <w:r>
              <w:rPr>
                <w:rFonts w:ascii="Times New Roman" w:hAnsi="Times New Roman" w:cs="Times New Roman"/>
                <w:color w:val="auto"/>
                <w:sz w:val="21"/>
                <w:szCs w:val="21"/>
                <w:highlight w:val="none"/>
                <w:lang w:bidi="ar"/>
              </w:rPr>
              <w:t>四甲基氢氧化铵</w:t>
            </w:r>
          </w:p>
        </w:tc>
        <w:tc>
          <w:tcPr>
            <w:tcW w:w="1311" w:type="dxa"/>
            <w:vMerge w:val="continue"/>
            <w:vAlign w:val="center"/>
          </w:tcPr>
          <w:p w14:paraId="33269E9C">
            <w:pPr>
              <w:keepNext w:val="0"/>
              <w:keepLines w:val="0"/>
              <w:pageBreakBefore w:val="0"/>
              <w:widowControl w:val="0"/>
              <w:kinsoku/>
              <w:wordWrap/>
              <w:overflowPunct/>
              <w:topLinePunct w:val="0"/>
              <w:autoSpaceDE/>
              <w:autoSpaceDN/>
              <w:bidi w:val="0"/>
              <w:adjustRightInd/>
              <w:snapToGrid/>
              <w:ind w:left="0" w:right="0"/>
              <w:jc w:val="center"/>
              <w:rPr>
                <w:rFonts w:ascii="Times New Roman" w:hAnsi="Times New Roman" w:cs="Times New Roman"/>
                <w:bCs/>
                <w:color w:val="auto"/>
                <w:kern w:val="2"/>
                <w:sz w:val="21"/>
                <w:szCs w:val="21"/>
                <w:highlight w:val="none"/>
              </w:rPr>
            </w:pPr>
          </w:p>
        </w:tc>
        <w:tc>
          <w:tcPr>
            <w:tcW w:w="932" w:type="dxa"/>
            <w:vMerge w:val="continue"/>
            <w:vAlign w:val="center"/>
          </w:tcPr>
          <w:p w14:paraId="758A05C0">
            <w:pPr>
              <w:keepNext w:val="0"/>
              <w:keepLines w:val="0"/>
              <w:pageBreakBefore w:val="0"/>
              <w:widowControl w:val="0"/>
              <w:kinsoku/>
              <w:wordWrap/>
              <w:overflowPunct/>
              <w:topLinePunct w:val="0"/>
              <w:autoSpaceDE/>
              <w:autoSpaceDN/>
              <w:bidi w:val="0"/>
              <w:adjustRightInd/>
              <w:snapToGrid/>
              <w:ind w:left="0" w:right="0"/>
              <w:jc w:val="center"/>
              <w:rPr>
                <w:rFonts w:ascii="Times New Roman" w:hAnsi="Times New Roman" w:cs="Times New Roman"/>
                <w:bCs/>
                <w:color w:val="auto"/>
                <w:kern w:val="2"/>
                <w:sz w:val="21"/>
                <w:szCs w:val="21"/>
                <w:highlight w:val="none"/>
              </w:rPr>
            </w:pPr>
          </w:p>
        </w:tc>
        <w:tc>
          <w:tcPr>
            <w:tcW w:w="985" w:type="dxa"/>
            <w:vAlign w:val="center"/>
          </w:tcPr>
          <w:p w14:paraId="35BD88EF">
            <w:pPr>
              <w:keepNext w:val="0"/>
              <w:keepLines w:val="0"/>
              <w:pageBreakBefore w:val="0"/>
              <w:widowControl w:val="0"/>
              <w:kinsoku/>
              <w:wordWrap/>
              <w:overflowPunct/>
              <w:topLinePunct w:val="0"/>
              <w:autoSpaceDE/>
              <w:autoSpaceDN/>
              <w:bidi w:val="0"/>
              <w:adjustRightInd/>
              <w:snapToGrid/>
              <w:ind w:left="0" w:right="0"/>
              <w:jc w:val="center"/>
              <w:rPr>
                <w:rFonts w:ascii="Times New Roman" w:hAnsi="Times New Roman" w:cs="Times New Roman"/>
                <w:bCs/>
                <w:color w:val="auto"/>
                <w:kern w:val="2"/>
                <w:sz w:val="21"/>
                <w:szCs w:val="21"/>
                <w:highlight w:val="none"/>
              </w:rPr>
            </w:pPr>
            <w:r>
              <w:rPr>
                <w:rFonts w:hint="eastAsia" w:ascii="Times New Roman" w:hAnsi="Times New Roman" w:cs="Times New Roman"/>
                <w:bCs/>
                <w:color w:val="auto"/>
                <w:kern w:val="2"/>
                <w:sz w:val="21"/>
                <w:szCs w:val="21"/>
                <w:highlight w:val="none"/>
              </w:rPr>
              <w:t>0.019</w:t>
            </w:r>
          </w:p>
        </w:tc>
      </w:tr>
      <w:tr w14:paraId="0FFE2F1B">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461" w:type="dxa"/>
            <w:vAlign w:val="center"/>
          </w:tcPr>
          <w:p w14:paraId="379D436B">
            <w:pPr>
              <w:keepNext w:val="0"/>
              <w:keepLines w:val="0"/>
              <w:pageBreakBefore w:val="0"/>
              <w:widowControl w:val="0"/>
              <w:numPr>
                <w:ilvl w:val="0"/>
                <w:numId w:val="23"/>
              </w:numPr>
              <w:kinsoku/>
              <w:wordWrap/>
              <w:overflowPunct/>
              <w:topLinePunct w:val="0"/>
              <w:autoSpaceDE/>
              <w:autoSpaceDN/>
              <w:bidi w:val="0"/>
              <w:adjustRightInd/>
              <w:snapToGrid/>
              <w:ind w:left="0" w:right="0"/>
              <w:jc w:val="center"/>
              <w:rPr>
                <w:rFonts w:ascii="Times New Roman" w:hAnsi="Times New Roman" w:cs="Times New Roman"/>
                <w:bCs/>
                <w:color w:val="auto"/>
                <w:kern w:val="2"/>
                <w:sz w:val="21"/>
                <w:szCs w:val="21"/>
                <w:highlight w:val="none"/>
              </w:rPr>
            </w:pPr>
          </w:p>
        </w:tc>
        <w:tc>
          <w:tcPr>
            <w:tcW w:w="819" w:type="dxa"/>
            <w:vMerge w:val="continue"/>
            <w:vAlign w:val="center"/>
          </w:tcPr>
          <w:p w14:paraId="21E82A09">
            <w:pPr>
              <w:keepNext w:val="0"/>
              <w:keepLines w:val="0"/>
              <w:pageBreakBefore w:val="0"/>
              <w:widowControl w:val="0"/>
              <w:kinsoku/>
              <w:wordWrap/>
              <w:overflowPunct/>
              <w:topLinePunct w:val="0"/>
              <w:autoSpaceDE/>
              <w:autoSpaceDN/>
              <w:bidi w:val="0"/>
              <w:adjustRightInd/>
              <w:snapToGrid/>
              <w:ind w:left="0" w:right="0"/>
              <w:jc w:val="center"/>
              <w:rPr>
                <w:rFonts w:ascii="Times New Roman" w:hAnsi="Times New Roman" w:cs="Times New Roman"/>
                <w:bCs/>
                <w:color w:val="auto"/>
                <w:kern w:val="2"/>
                <w:sz w:val="21"/>
                <w:szCs w:val="21"/>
                <w:highlight w:val="none"/>
              </w:rPr>
            </w:pPr>
          </w:p>
        </w:tc>
        <w:tc>
          <w:tcPr>
            <w:tcW w:w="3996" w:type="dxa"/>
            <w:vAlign w:val="center"/>
          </w:tcPr>
          <w:p w14:paraId="0C0955AD">
            <w:pPr>
              <w:keepNext w:val="0"/>
              <w:keepLines w:val="0"/>
              <w:pageBreakBefore w:val="0"/>
              <w:kinsoku/>
              <w:wordWrap/>
              <w:overflowPunct/>
              <w:topLinePunct w:val="0"/>
              <w:autoSpaceDE/>
              <w:autoSpaceDN/>
              <w:bidi w:val="0"/>
              <w:adjustRightInd/>
              <w:snapToGrid/>
              <w:ind w:left="0" w:right="0"/>
              <w:jc w:val="center"/>
              <w:textAlignment w:val="center"/>
              <w:rPr>
                <w:rFonts w:ascii="Times New Roman" w:hAnsi="Times New Roman" w:cs="Times New Roman"/>
                <w:bCs/>
                <w:color w:val="auto"/>
                <w:kern w:val="2"/>
                <w:sz w:val="21"/>
                <w:szCs w:val="21"/>
                <w:highlight w:val="none"/>
              </w:rPr>
            </w:pPr>
            <w:r>
              <w:rPr>
                <w:rFonts w:ascii="Times New Roman" w:hAnsi="Times New Roman" w:cs="Times New Roman"/>
                <w:color w:val="auto"/>
                <w:sz w:val="21"/>
                <w:szCs w:val="21"/>
                <w:highlight w:val="none"/>
                <w:lang w:bidi="ar"/>
              </w:rPr>
              <w:t>2-甲氨基乙醇</w:t>
            </w:r>
          </w:p>
        </w:tc>
        <w:tc>
          <w:tcPr>
            <w:tcW w:w="1311" w:type="dxa"/>
            <w:vMerge w:val="continue"/>
            <w:vAlign w:val="center"/>
          </w:tcPr>
          <w:p w14:paraId="5F05ECC6">
            <w:pPr>
              <w:keepNext w:val="0"/>
              <w:keepLines w:val="0"/>
              <w:pageBreakBefore w:val="0"/>
              <w:widowControl w:val="0"/>
              <w:kinsoku/>
              <w:wordWrap/>
              <w:overflowPunct/>
              <w:topLinePunct w:val="0"/>
              <w:autoSpaceDE/>
              <w:autoSpaceDN/>
              <w:bidi w:val="0"/>
              <w:adjustRightInd/>
              <w:snapToGrid/>
              <w:ind w:left="0" w:right="0"/>
              <w:jc w:val="center"/>
              <w:rPr>
                <w:rFonts w:ascii="Times New Roman" w:hAnsi="Times New Roman" w:cs="Times New Roman"/>
                <w:bCs/>
                <w:color w:val="auto"/>
                <w:kern w:val="2"/>
                <w:sz w:val="21"/>
                <w:szCs w:val="21"/>
                <w:highlight w:val="none"/>
              </w:rPr>
            </w:pPr>
          </w:p>
        </w:tc>
        <w:tc>
          <w:tcPr>
            <w:tcW w:w="932" w:type="dxa"/>
            <w:vMerge w:val="continue"/>
            <w:vAlign w:val="center"/>
          </w:tcPr>
          <w:p w14:paraId="6E4D5DC2">
            <w:pPr>
              <w:keepNext w:val="0"/>
              <w:keepLines w:val="0"/>
              <w:pageBreakBefore w:val="0"/>
              <w:widowControl w:val="0"/>
              <w:kinsoku/>
              <w:wordWrap/>
              <w:overflowPunct/>
              <w:topLinePunct w:val="0"/>
              <w:autoSpaceDE/>
              <w:autoSpaceDN/>
              <w:bidi w:val="0"/>
              <w:adjustRightInd/>
              <w:snapToGrid/>
              <w:ind w:left="0" w:right="0"/>
              <w:jc w:val="center"/>
              <w:rPr>
                <w:rFonts w:ascii="Times New Roman" w:hAnsi="Times New Roman" w:cs="Times New Roman"/>
                <w:bCs/>
                <w:color w:val="auto"/>
                <w:kern w:val="2"/>
                <w:sz w:val="21"/>
                <w:szCs w:val="21"/>
                <w:highlight w:val="none"/>
              </w:rPr>
            </w:pPr>
          </w:p>
        </w:tc>
        <w:tc>
          <w:tcPr>
            <w:tcW w:w="985" w:type="dxa"/>
            <w:vAlign w:val="center"/>
          </w:tcPr>
          <w:p w14:paraId="6B589CCE">
            <w:pPr>
              <w:keepNext w:val="0"/>
              <w:keepLines w:val="0"/>
              <w:pageBreakBefore w:val="0"/>
              <w:widowControl w:val="0"/>
              <w:kinsoku/>
              <w:wordWrap/>
              <w:overflowPunct/>
              <w:topLinePunct w:val="0"/>
              <w:autoSpaceDE/>
              <w:autoSpaceDN/>
              <w:bidi w:val="0"/>
              <w:adjustRightInd/>
              <w:snapToGrid/>
              <w:ind w:left="0" w:right="0"/>
              <w:jc w:val="center"/>
              <w:rPr>
                <w:rFonts w:ascii="Times New Roman" w:hAnsi="Times New Roman" w:cs="Times New Roman"/>
                <w:bCs/>
                <w:color w:val="auto"/>
                <w:kern w:val="2"/>
                <w:sz w:val="21"/>
                <w:szCs w:val="21"/>
                <w:highlight w:val="none"/>
              </w:rPr>
            </w:pPr>
            <w:r>
              <w:rPr>
                <w:rFonts w:hint="eastAsia" w:ascii="Times New Roman" w:hAnsi="Times New Roman" w:cs="Times New Roman"/>
                <w:bCs/>
                <w:color w:val="auto"/>
                <w:kern w:val="2"/>
                <w:sz w:val="21"/>
                <w:szCs w:val="21"/>
                <w:highlight w:val="none"/>
              </w:rPr>
              <w:t>0.031</w:t>
            </w:r>
          </w:p>
        </w:tc>
      </w:tr>
      <w:tr w14:paraId="260EAAFA">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461" w:type="dxa"/>
            <w:vAlign w:val="center"/>
          </w:tcPr>
          <w:p w14:paraId="3D9850EA">
            <w:pPr>
              <w:keepNext w:val="0"/>
              <w:keepLines w:val="0"/>
              <w:pageBreakBefore w:val="0"/>
              <w:widowControl w:val="0"/>
              <w:numPr>
                <w:ilvl w:val="0"/>
                <w:numId w:val="23"/>
              </w:numPr>
              <w:kinsoku/>
              <w:wordWrap/>
              <w:overflowPunct/>
              <w:topLinePunct w:val="0"/>
              <w:autoSpaceDE/>
              <w:autoSpaceDN/>
              <w:bidi w:val="0"/>
              <w:adjustRightInd/>
              <w:snapToGrid/>
              <w:ind w:left="0" w:right="0"/>
              <w:jc w:val="center"/>
              <w:rPr>
                <w:rFonts w:ascii="Times New Roman" w:hAnsi="Times New Roman" w:cs="Times New Roman"/>
                <w:bCs/>
                <w:color w:val="auto"/>
                <w:kern w:val="2"/>
                <w:sz w:val="21"/>
                <w:szCs w:val="21"/>
                <w:highlight w:val="none"/>
              </w:rPr>
            </w:pPr>
          </w:p>
        </w:tc>
        <w:tc>
          <w:tcPr>
            <w:tcW w:w="819" w:type="dxa"/>
            <w:vMerge w:val="continue"/>
            <w:vAlign w:val="center"/>
          </w:tcPr>
          <w:p w14:paraId="44A05FE3">
            <w:pPr>
              <w:keepNext w:val="0"/>
              <w:keepLines w:val="0"/>
              <w:pageBreakBefore w:val="0"/>
              <w:widowControl w:val="0"/>
              <w:kinsoku/>
              <w:wordWrap/>
              <w:overflowPunct/>
              <w:topLinePunct w:val="0"/>
              <w:autoSpaceDE/>
              <w:autoSpaceDN/>
              <w:bidi w:val="0"/>
              <w:adjustRightInd/>
              <w:snapToGrid/>
              <w:ind w:left="0" w:right="0"/>
              <w:jc w:val="center"/>
              <w:rPr>
                <w:rFonts w:ascii="Times New Roman" w:hAnsi="Times New Roman" w:cs="Times New Roman"/>
                <w:bCs/>
                <w:color w:val="auto"/>
                <w:kern w:val="2"/>
                <w:sz w:val="21"/>
                <w:szCs w:val="21"/>
                <w:highlight w:val="none"/>
              </w:rPr>
            </w:pPr>
          </w:p>
        </w:tc>
        <w:tc>
          <w:tcPr>
            <w:tcW w:w="3996" w:type="dxa"/>
            <w:vAlign w:val="center"/>
          </w:tcPr>
          <w:p w14:paraId="17819FD0">
            <w:pPr>
              <w:keepNext w:val="0"/>
              <w:keepLines w:val="0"/>
              <w:pageBreakBefore w:val="0"/>
              <w:kinsoku/>
              <w:wordWrap/>
              <w:overflowPunct/>
              <w:topLinePunct w:val="0"/>
              <w:autoSpaceDE/>
              <w:autoSpaceDN/>
              <w:bidi w:val="0"/>
              <w:adjustRightInd/>
              <w:snapToGrid/>
              <w:ind w:left="0" w:right="0"/>
              <w:jc w:val="center"/>
              <w:rPr>
                <w:rFonts w:ascii="Times New Roman" w:hAnsi="Times New Roman" w:cs="Times New Roman"/>
                <w:bCs/>
                <w:color w:val="auto"/>
                <w:kern w:val="2"/>
                <w:sz w:val="21"/>
                <w:szCs w:val="21"/>
                <w:highlight w:val="none"/>
              </w:rPr>
            </w:pPr>
            <w:r>
              <w:rPr>
                <w:rFonts w:ascii="Times New Roman" w:hAnsi="Times New Roman" w:cs="Times New Roman"/>
                <w:color w:val="auto"/>
                <w:sz w:val="21"/>
                <w:szCs w:val="21"/>
                <w:highlight w:val="none"/>
              </w:rPr>
              <w:t>邻苯二酚</w:t>
            </w:r>
          </w:p>
        </w:tc>
        <w:tc>
          <w:tcPr>
            <w:tcW w:w="1311" w:type="dxa"/>
            <w:vMerge w:val="continue"/>
            <w:vAlign w:val="center"/>
          </w:tcPr>
          <w:p w14:paraId="0E5B9F27">
            <w:pPr>
              <w:keepNext w:val="0"/>
              <w:keepLines w:val="0"/>
              <w:pageBreakBefore w:val="0"/>
              <w:widowControl w:val="0"/>
              <w:kinsoku/>
              <w:wordWrap/>
              <w:overflowPunct/>
              <w:topLinePunct w:val="0"/>
              <w:autoSpaceDE/>
              <w:autoSpaceDN/>
              <w:bidi w:val="0"/>
              <w:adjustRightInd/>
              <w:snapToGrid/>
              <w:ind w:left="0" w:right="0"/>
              <w:jc w:val="center"/>
              <w:rPr>
                <w:rFonts w:ascii="Times New Roman" w:hAnsi="Times New Roman" w:cs="Times New Roman"/>
                <w:bCs/>
                <w:color w:val="auto"/>
                <w:kern w:val="2"/>
                <w:sz w:val="21"/>
                <w:szCs w:val="21"/>
                <w:highlight w:val="none"/>
              </w:rPr>
            </w:pPr>
          </w:p>
        </w:tc>
        <w:tc>
          <w:tcPr>
            <w:tcW w:w="932" w:type="dxa"/>
            <w:vMerge w:val="continue"/>
            <w:vAlign w:val="center"/>
          </w:tcPr>
          <w:p w14:paraId="564226F2">
            <w:pPr>
              <w:keepNext w:val="0"/>
              <w:keepLines w:val="0"/>
              <w:pageBreakBefore w:val="0"/>
              <w:widowControl w:val="0"/>
              <w:kinsoku/>
              <w:wordWrap/>
              <w:overflowPunct/>
              <w:topLinePunct w:val="0"/>
              <w:autoSpaceDE/>
              <w:autoSpaceDN/>
              <w:bidi w:val="0"/>
              <w:adjustRightInd/>
              <w:snapToGrid/>
              <w:ind w:left="0" w:right="0"/>
              <w:jc w:val="center"/>
              <w:rPr>
                <w:rFonts w:ascii="Times New Roman" w:hAnsi="Times New Roman" w:cs="Times New Roman"/>
                <w:bCs/>
                <w:color w:val="auto"/>
                <w:kern w:val="2"/>
                <w:sz w:val="21"/>
                <w:szCs w:val="21"/>
                <w:highlight w:val="none"/>
              </w:rPr>
            </w:pPr>
          </w:p>
        </w:tc>
        <w:tc>
          <w:tcPr>
            <w:tcW w:w="985" w:type="dxa"/>
            <w:vAlign w:val="center"/>
          </w:tcPr>
          <w:p w14:paraId="053E6358">
            <w:pPr>
              <w:keepNext w:val="0"/>
              <w:keepLines w:val="0"/>
              <w:pageBreakBefore w:val="0"/>
              <w:widowControl w:val="0"/>
              <w:kinsoku/>
              <w:wordWrap/>
              <w:overflowPunct/>
              <w:topLinePunct w:val="0"/>
              <w:autoSpaceDE/>
              <w:autoSpaceDN/>
              <w:bidi w:val="0"/>
              <w:adjustRightInd/>
              <w:snapToGrid/>
              <w:ind w:left="0" w:right="0"/>
              <w:jc w:val="center"/>
              <w:rPr>
                <w:rFonts w:ascii="Times New Roman" w:hAnsi="Times New Roman" w:cs="Times New Roman"/>
                <w:bCs/>
                <w:color w:val="auto"/>
                <w:kern w:val="2"/>
                <w:sz w:val="21"/>
                <w:szCs w:val="21"/>
                <w:highlight w:val="none"/>
              </w:rPr>
            </w:pPr>
            <w:r>
              <w:rPr>
                <w:rFonts w:hint="eastAsia" w:ascii="Times New Roman" w:hAnsi="Times New Roman" w:cs="Times New Roman"/>
                <w:bCs/>
                <w:color w:val="auto"/>
                <w:kern w:val="2"/>
                <w:sz w:val="21"/>
                <w:szCs w:val="21"/>
                <w:highlight w:val="none"/>
              </w:rPr>
              <w:t>0.006</w:t>
            </w:r>
          </w:p>
        </w:tc>
      </w:tr>
      <w:tr w14:paraId="51C4C0C9">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461" w:type="dxa"/>
            <w:vAlign w:val="center"/>
          </w:tcPr>
          <w:p w14:paraId="6575EFCD">
            <w:pPr>
              <w:keepNext w:val="0"/>
              <w:keepLines w:val="0"/>
              <w:pageBreakBefore w:val="0"/>
              <w:widowControl w:val="0"/>
              <w:numPr>
                <w:ilvl w:val="0"/>
                <w:numId w:val="23"/>
              </w:numPr>
              <w:kinsoku/>
              <w:wordWrap/>
              <w:overflowPunct/>
              <w:topLinePunct w:val="0"/>
              <w:autoSpaceDE/>
              <w:autoSpaceDN/>
              <w:bidi w:val="0"/>
              <w:adjustRightInd/>
              <w:snapToGrid/>
              <w:ind w:left="0" w:right="0"/>
              <w:jc w:val="center"/>
              <w:rPr>
                <w:rFonts w:ascii="Times New Roman" w:hAnsi="Times New Roman" w:cs="Times New Roman"/>
                <w:bCs/>
                <w:color w:val="auto"/>
                <w:kern w:val="2"/>
                <w:sz w:val="21"/>
                <w:szCs w:val="21"/>
                <w:highlight w:val="none"/>
              </w:rPr>
            </w:pPr>
          </w:p>
        </w:tc>
        <w:tc>
          <w:tcPr>
            <w:tcW w:w="819" w:type="dxa"/>
            <w:vMerge w:val="continue"/>
            <w:vAlign w:val="center"/>
          </w:tcPr>
          <w:p w14:paraId="7197B1CC">
            <w:pPr>
              <w:keepNext w:val="0"/>
              <w:keepLines w:val="0"/>
              <w:pageBreakBefore w:val="0"/>
              <w:widowControl w:val="0"/>
              <w:kinsoku/>
              <w:wordWrap/>
              <w:overflowPunct/>
              <w:topLinePunct w:val="0"/>
              <w:autoSpaceDE/>
              <w:autoSpaceDN/>
              <w:bidi w:val="0"/>
              <w:adjustRightInd/>
              <w:snapToGrid/>
              <w:ind w:left="0" w:right="0"/>
              <w:jc w:val="center"/>
              <w:rPr>
                <w:rFonts w:ascii="Times New Roman" w:hAnsi="Times New Roman" w:cs="Times New Roman"/>
                <w:bCs/>
                <w:color w:val="auto"/>
                <w:kern w:val="2"/>
                <w:sz w:val="21"/>
                <w:szCs w:val="21"/>
                <w:highlight w:val="none"/>
              </w:rPr>
            </w:pPr>
          </w:p>
        </w:tc>
        <w:tc>
          <w:tcPr>
            <w:tcW w:w="3996" w:type="dxa"/>
            <w:vAlign w:val="center"/>
          </w:tcPr>
          <w:p w14:paraId="41EAAAF8">
            <w:pPr>
              <w:keepNext w:val="0"/>
              <w:keepLines w:val="0"/>
              <w:pageBreakBefore w:val="0"/>
              <w:kinsoku/>
              <w:wordWrap/>
              <w:overflowPunct/>
              <w:topLinePunct w:val="0"/>
              <w:autoSpaceDE/>
              <w:autoSpaceDN/>
              <w:bidi w:val="0"/>
              <w:adjustRightInd/>
              <w:snapToGrid/>
              <w:ind w:left="0" w:right="0"/>
              <w:jc w:val="center"/>
              <w:rPr>
                <w:rFonts w:ascii="Times New Roman" w:hAnsi="Times New Roman" w:cs="Times New Roman"/>
                <w:bCs/>
                <w:color w:val="auto"/>
                <w:kern w:val="2"/>
                <w:sz w:val="21"/>
                <w:szCs w:val="21"/>
                <w:highlight w:val="none"/>
              </w:rPr>
            </w:pPr>
            <w:r>
              <w:rPr>
                <w:rFonts w:ascii="Times New Roman" w:hAnsi="Times New Roman" w:cs="Times New Roman"/>
                <w:color w:val="auto"/>
                <w:sz w:val="21"/>
                <w:szCs w:val="21"/>
                <w:highlight w:val="none"/>
              </w:rPr>
              <w:t>乙醇胺</w:t>
            </w:r>
          </w:p>
        </w:tc>
        <w:tc>
          <w:tcPr>
            <w:tcW w:w="1311" w:type="dxa"/>
            <w:vMerge w:val="continue"/>
            <w:vAlign w:val="center"/>
          </w:tcPr>
          <w:p w14:paraId="593A3CC3">
            <w:pPr>
              <w:keepNext w:val="0"/>
              <w:keepLines w:val="0"/>
              <w:pageBreakBefore w:val="0"/>
              <w:widowControl w:val="0"/>
              <w:kinsoku/>
              <w:wordWrap/>
              <w:overflowPunct/>
              <w:topLinePunct w:val="0"/>
              <w:autoSpaceDE/>
              <w:autoSpaceDN/>
              <w:bidi w:val="0"/>
              <w:adjustRightInd/>
              <w:snapToGrid/>
              <w:ind w:left="0" w:right="0"/>
              <w:jc w:val="center"/>
              <w:rPr>
                <w:rFonts w:ascii="Times New Roman" w:hAnsi="Times New Roman" w:cs="Times New Roman"/>
                <w:bCs/>
                <w:color w:val="auto"/>
                <w:kern w:val="2"/>
                <w:sz w:val="21"/>
                <w:szCs w:val="21"/>
                <w:highlight w:val="none"/>
              </w:rPr>
            </w:pPr>
          </w:p>
        </w:tc>
        <w:tc>
          <w:tcPr>
            <w:tcW w:w="932" w:type="dxa"/>
            <w:vMerge w:val="continue"/>
            <w:vAlign w:val="center"/>
          </w:tcPr>
          <w:p w14:paraId="4E80E99B">
            <w:pPr>
              <w:keepNext w:val="0"/>
              <w:keepLines w:val="0"/>
              <w:pageBreakBefore w:val="0"/>
              <w:widowControl w:val="0"/>
              <w:kinsoku/>
              <w:wordWrap/>
              <w:overflowPunct/>
              <w:topLinePunct w:val="0"/>
              <w:autoSpaceDE/>
              <w:autoSpaceDN/>
              <w:bidi w:val="0"/>
              <w:adjustRightInd/>
              <w:snapToGrid/>
              <w:ind w:left="0" w:right="0"/>
              <w:jc w:val="center"/>
              <w:rPr>
                <w:rFonts w:ascii="Times New Roman" w:hAnsi="Times New Roman" w:cs="Times New Roman"/>
                <w:bCs/>
                <w:color w:val="auto"/>
                <w:kern w:val="2"/>
                <w:sz w:val="21"/>
                <w:szCs w:val="21"/>
                <w:highlight w:val="none"/>
              </w:rPr>
            </w:pPr>
          </w:p>
        </w:tc>
        <w:tc>
          <w:tcPr>
            <w:tcW w:w="985" w:type="dxa"/>
            <w:vAlign w:val="center"/>
          </w:tcPr>
          <w:p w14:paraId="3791A617">
            <w:pPr>
              <w:keepNext w:val="0"/>
              <w:keepLines w:val="0"/>
              <w:pageBreakBefore w:val="0"/>
              <w:widowControl w:val="0"/>
              <w:kinsoku/>
              <w:wordWrap/>
              <w:overflowPunct/>
              <w:topLinePunct w:val="0"/>
              <w:autoSpaceDE/>
              <w:autoSpaceDN/>
              <w:bidi w:val="0"/>
              <w:adjustRightInd/>
              <w:snapToGrid/>
              <w:ind w:left="0" w:right="0"/>
              <w:jc w:val="center"/>
              <w:rPr>
                <w:rFonts w:ascii="Times New Roman" w:hAnsi="Times New Roman" w:cs="Times New Roman"/>
                <w:bCs/>
                <w:color w:val="auto"/>
                <w:kern w:val="2"/>
                <w:sz w:val="21"/>
                <w:szCs w:val="21"/>
                <w:highlight w:val="none"/>
              </w:rPr>
            </w:pPr>
            <w:r>
              <w:rPr>
                <w:rFonts w:hint="eastAsia" w:ascii="Times New Roman" w:hAnsi="Times New Roman" w:cs="Times New Roman"/>
                <w:bCs/>
                <w:color w:val="auto"/>
                <w:kern w:val="2"/>
                <w:sz w:val="21"/>
                <w:szCs w:val="21"/>
                <w:highlight w:val="none"/>
              </w:rPr>
              <w:t>0.06</w:t>
            </w:r>
          </w:p>
        </w:tc>
      </w:tr>
      <w:tr w14:paraId="255ABA1F">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461" w:type="dxa"/>
            <w:vAlign w:val="center"/>
          </w:tcPr>
          <w:p w14:paraId="669BFB91">
            <w:pPr>
              <w:keepNext w:val="0"/>
              <w:keepLines w:val="0"/>
              <w:pageBreakBefore w:val="0"/>
              <w:widowControl w:val="0"/>
              <w:numPr>
                <w:ilvl w:val="0"/>
                <w:numId w:val="23"/>
              </w:numPr>
              <w:kinsoku/>
              <w:wordWrap/>
              <w:overflowPunct/>
              <w:topLinePunct w:val="0"/>
              <w:autoSpaceDE/>
              <w:autoSpaceDN/>
              <w:bidi w:val="0"/>
              <w:adjustRightInd/>
              <w:snapToGrid/>
              <w:ind w:left="0" w:right="0"/>
              <w:jc w:val="center"/>
              <w:rPr>
                <w:rFonts w:ascii="Times New Roman" w:hAnsi="Times New Roman" w:cs="Times New Roman"/>
                <w:bCs/>
                <w:color w:val="auto"/>
                <w:kern w:val="2"/>
                <w:sz w:val="21"/>
                <w:szCs w:val="21"/>
                <w:highlight w:val="none"/>
              </w:rPr>
            </w:pPr>
          </w:p>
        </w:tc>
        <w:tc>
          <w:tcPr>
            <w:tcW w:w="819" w:type="dxa"/>
            <w:vMerge w:val="restart"/>
            <w:vAlign w:val="center"/>
          </w:tcPr>
          <w:p w14:paraId="6C3DD8A3">
            <w:pPr>
              <w:keepNext w:val="0"/>
              <w:keepLines w:val="0"/>
              <w:pageBreakBefore w:val="0"/>
              <w:widowControl w:val="0"/>
              <w:kinsoku/>
              <w:wordWrap/>
              <w:overflowPunct/>
              <w:topLinePunct w:val="0"/>
              <w:autoSpaceDE/>
              <w:autoSpaceDN/>
              <w:bidi w:val="0"/>
              <w:adjustRightInd/>
              <w:snapToGrid/>
              <w:ind w:left="0" w:right="0"/>
              <w:jc w:val="center"/>
              <w:rPr>
                <w:rFonts w:hint="eastAsia" w:ascii="Times New Roman" w:hAnsi="Times New Roman" w:eastAsia="宋体" w:cs="Times New Roman"/>
                <w:bCs/>
                <w:color w:val="auto"/>
                <w:kern w:val="2"/>
                <w:sz w:val="21"/>
                <w:szCs w:val="21"/>
                <w:highlight w:val="none"/>
                <w:lang w:val="en-US" w:eastAsia="zh-CN"/>
              </w:rPr>
            </w:pPr>
            <w:r>
              <w:rPr>
                <w:rFonts w:ascii="Times New Roman" w:hAnsi="Times New Roman" w:eastAsia="宋体" w:cs="Times New Roman"/>
                <w:color w:val="auto"/>
                <w:sz w:val="21"/>
                <w:szCs w:val="21"/>
                <w:highlight w:val="none"/>
              </w:rPr>
              <w:t>聚氨酯丙烯酸酯</w:t>
            </w:r>
            <w:r>
              <w:rPr>
                <w:rFonts w:hint="eastAsia" w:ascii="Times New Roman" w:hAnsi="Times New Roman" w:eastAsia="宋体" w:cs="Times New Roman"/>
                <w:color w:val="auto"/>
                <w:sz w:val="21"/>
                <w:szCs w:val="21"/>
                <w:highlight w:val="none"/>
                <w:lang w:val="en-US" w:eastAsia="zh-CN"/>
              </w:rPr>
              <w:t>生产线</w:t>
            </w:r>
          </w:p>
        </w:tc>
        <w:tc>
          <w:tcPr>
            <w:tcW w:w="3996" w:type="dxa"/>
            <w:vAlign w:val="center"/>
          </w:tcPr>
          <w:p w14:paraId="69FF5D83">
            <w:pPr>
              <w:pStyle w:val="236"/>
              <w:keepNext w:val="0"/>
              <w:keepLines w:val="0"/>
              <w:pageBreakBefore w:val="0"/>
              <w:widowControl/>
              <w:kinsoku/>
              <w:wordWrap/>
              <w:overflowPunct/>
              <w:topLinePunct w:val="0"/>
              <w:autoSpaceDE/>
              <w:autoSpaceDN/>
              <w:bidi w:val="0"/>
              <w:adjustRightInd/>
              <w:snapToGrid/>
              <w:ind w:left="0" w:leftChars="0" w:right="0" w:rightChars="0"/>
              <w:jc w:val="center"/>
              <w:textAlignment w:val="auto"/>
              <w:rPr>
                <w:rFonts w:ascii="Times New Roman" w:hAnsi="Times New Roman" w:eastAsia="宋体" w:cs="Times New Roman"/>
                <w:color w:val="auto"/>
                <w:sz w:val="21"/>
                <w:szCs w:val="21"/>
                <w:highlight w:val="none"/>
                <w:lang w:val="en-US" w:eastAsia="en-US" w:bidi="ar-SA"/>
              </w:rPr>
            </w:pPr>
            <w:r>
              <w:rPr>
                <w:rFonts w:ascii="Times New Roman" w:hAnsi="Times New Roman" w:eastAsia="宋体" w:cs="Times New Roman"/>
                <w:color w:val="auto"/>
                <w:sz w:val="21"/>
                <w:szCs w:val="21"/>
                <w:highlight w:val="none"/>
              </w:rPr>
              <w:t>丙烯酸酯树脂</w:t>
            </w:r>
          </w:p>
        </w:tc>
        <w:tc>
          <w:tcPr>
            <w:tcW w:w="1311" w:type="dxa"/>
            <w:vMerge w:val="continue"/>
            <w:vAlign w:val="center"/>
          </w:tcPr>
          <w:p w14:paraId="2BD3C8BB">
            <w:pPr>
              <w:keepNext w:val="0"/>
              <w:keepLines w:val="0"/>
              <w:pageBreakBefore w:val="0"/>
              <w:widowControl w:val="0"/>
              <w:kinsoku/>
              <w:wordWrap/>
              <w:overflowPunct/>
              <w:topLinePunct w:val="0"/>
              <w:autoSpaceDE/>
              <w:autoSpaceDN/>
              <w:bidi w:val="0"/>
              <w:adjustRightInd/>
              <w:snapToGrid/>
              <w:ind w:left="0" w:right="0"/>
              <w:jc w:val="center"/>
              <w:rPr>
                <w:rFonts w:ascii="Times New Roman" w:hAnsi="Times New Roman" w:cs="Times New Roman"/>
                <w:bCs/>
                <w:color w:val="auto"/>
                <w:kern w:val="2"/>
                <w:sz w:val="21"/>
                <w:szCs w:val="21"/>
                <w:highlight w:val="none"/>
              </w:rPr>
            </w:pPr>
          </w:p>
        </w:tc>
        <w:tc>
          <w:tcPr>
            <w:tcW w:w="932" w:type="dxa"/>
            <w:vMerge w:val="continue"/>
            <w:vAlign w:val="center"/>
          </w:tcPr>
          <w:p w14:paraId="661C75E8">
            <w:pPr>
              <w:keepNext w:val="0"/>
              <w:keepLines w:val="0"/>
              <w:pageBreakBefore w:val="0"/>
              <w:widowControl w:val="0"/>
              <w:kinsoku/>
              <w:wordWrap/>
              <w:overflowPunct/>
              <w:topLinePunct w:val="0"/>
              <w:autoSpaceDE/>
              <w:autoSpaceDN/>
              <w:bidi w:val="0"/>
              <w:adjustRightInd/>
              <w:snapToGrid/>
              <w:ind w:left="0" w:right="0"/>
              <w:jc w:val="center"/>
              <w:rPr>
                <w:rFonts w:ascii="Times New Roman" w:hAnsi="Times New Roman" w:cs="Times New Roman"/>
                <w:bCs/>
                <w:color w:val="auto"/>
                <w:kern w:val="2"/>
                <w:sz w:val="21"/>
                <w:szCs w:val="21"/>
                <w:highlight w:val="none"/>
              </w:rPr>
            </w:pPr>
          </w:p>
        </w:tc>
        <w:tc>
          <w:tcPr>
            <w:tcW w:w="985" w:type="dxa"/>
            <w:vAlign w:val="center"/>
          </w:tcPr>
          <w:p w14:paraId="43A26820">
            <w:pPr>
              <w:keepNext w:val="0"/>
              <w:keepLines w:val="0"/>
              <w:pageBreakBefore w:val="0"/>
              <w:widowControl w:val="0"/>
              <w:kinsoku/>
              <w:wordWrap/>
              <w:overflowPunct/>
              <w:topLinePunct w:val="0"/>
              <w:autoSpaceDE/>
              <w:autoSpaceDN/>
              <w:bidi w:val="0"/>
              <w:adjustRightInd/>
              <w:snapToGrid/>
              <w:ind w:left="0" w:right="0"/>
              <w:jc w:val="center"/>
              <w:rPr>
                <w:rFonts w:hint="eastAsia" w:ascii="Times New Roman" w:hAnsi="Times New Roman" w:eastAsia="宋体" w:cs="Times New Roman"/>
                <w:bCs/>
                <w:color w:val="auto"/>
                <w:kern w:val="2"/>
                <w:sz w:val="21"/>
                <w:szCs w:val="21"/>
                <w:highlight w:val="none"/>
                <w:lang w:val="en-US" w:eastAsia="zh-CN"/>
              </w:rPr>
            </w:pPr>
            <w:r>
              <w:rPr>
                <w:rFonts w:hint="eastAsia" w:ascii="Times New Roman" w:hAnsi="Times New Roman" w:cs="Times New Roman"/>
                <w:bCs/>
                <w:color w:val="auto"/>
                <w:kern w:val="2"/>
                <w:sz w:val="21"/>
                <w:szCs w:val="21"/>
                <w:highlight w:val="none"/>
                <w:lang w:val="en-US" w:eastAsia="zh-CN"/>
              </w:rPr>
              <w:t>4</w:t>
            </w:r>
          </w:p>
        </w:tc>
      </w:tr>
      <w:tr w14:paraId="4FFA551B">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461" w:type="dxa"/>
            <w:vAlign w:val="center"/>
          </w:tcPr>
          <w:p w14:paraId="1C58AE63">
            <w:pPr>
              <w:keepNext w:val="0"/>
              <w:keepLines w:val="0"/>
              <w:pageBreakBefore w:val="0"/>
              <w:widowControl w:val="0"/>
              <w:numPr>
                <w:ilvl w:val="0"/>
                <w:numId w:val="23"/>
              </w:numPr>
              <w:kinsoku/>
              <w:wordWrap/>
              <w:overflowPunct/>
              <w:topLinePunct w:val="0"/>
              <w:autoSpaceDE/>
              <w:autoSpaceDN/>
              <w:bidi w:val="0"/>
              <w:adjustRightInd/>
              <w:snapToGrid/>
              <w:ind w:left="0" w:right="0"/>
              <w:jc w:val="center"/>
              <w:rPr>
                <w:rFonts w:ascii="Times New Roman" w:hAnsi="Times New Roman" w:cs="Times New Roman"/>
                <w:bCs/>
                <w:color w:val="auto"/>
                <w:kern w:val="2"/>
                <w:sz w:val="21"/>
                <w:szCs w:val="21"/>
                <w:highlight w:val="none"/>
              </w:rPr>
            </w:pPr>
          </w:p>
        </w:tc>
        <w:tc>
          <w:tcPr>
            <w:tcW w:w="819" w:type="dxa"/>
            <w:vMerge w:val="continue"/>
            <w:vAlign w:val="center"/>
          </w:tcPr>
          <w:p w14:paraId="3CC10A48">
            <w:pPr>
              <w:keepNext w:val="0"/>
              <w:keepLines w:val="0"/>
              <w:pageBreakBefore w:val="0"/>
              <w:widowControl w:val="0"/>
              <w:kinsoku/>
              <w:wordWrap/>
              <w:overflowPunct/>
              <w:topLinePunct w:val="0"/>
              <w:autoSpaceDE/>
              <w:autoSpaceDN/>
              <w:bidi w:val="0"/>
              <w:adjustRightInd/>
              <w:snapToGrid/>
              <w:ind w:left="0" w:right="0"/>
              <w:jc w:val="center"/>
              <w:rPr>
                <w:rFonts w:ascii="Times New Roman" w:hAnsi="Times New Roman" w:cs="Times New Roman"/>
                <w:bCs/>
                <w:color w:val="auto"/>
                <w:kern w:val="2"/>
                <w:sz w:val="21"/>
                <w:szCs w:val="21"/>
                <w:highlight w:val="none"/>
              </w:rPr>
            </w:pPr>
          </w:p>
        </w:tc>
        <w:tc>
          <w:tcPr>
            <w:tcW w:w="3996" w:type="dxa"/>
            <w:vAlign w:val="center"/>
          </w:tcPr>
          <w:p w14:paraId="7D011C3C">
            <w:pPr>
              <w:pStyle w:val="236"/>
              <w:keepNext w:val="0"/>
              <w:keepLines w:val="0"/>
              <w:pageBreakBefore w:val="0"/>
              <w:widowControl/>
              <w:kinsoku/>
              <w:wordWrap/>
              <w:overflowPunct/>
              <w:topLinePunct w:val="0"/>
              <w:autoSpaceDE/>
              <w:autoSpaceDN/>
              <w:bidi w:val="0"/>
              <w:adjustRightInd/>
              <w:snapToGrid/>
              <w:ind w:left="0" w:leftChars="0" w:right="0" w:rightChars="0"/>
              <w:jc w:val="center"/>
              <w:textAlignment w:val="auto"/>
              <w:rPr>
                <w:rFonts w:ascii="Times New Roman" w:hAnsi="Times New Roman" w:eastAsia="宋体" w:cs="Times New Roman"/>
                <w:color w:val="auto"/>
                <w:sz w:val="21"/>
                <w:szCs w:val="21"/>
                <w:highlight w:val="none"/>
                <w:lang w:val="en-US" w:eastAsia="zh-CN" w:bidi="ar-SA"/>
              </w:rPr>
            </w:pPr>
            <w:r>
              <w:rPr>
                <w:rFonts w:ascii="Times New Roman" w:hAnsi="Times New Roman" w:eastAsia="宋体" w:cs="Times New Roman"/>
                <w:color w:val="auto"/>
                <w:sz w:val="21"/>
                <w:szCs w:val="21"/>
                <w:highlight w:val="none"/>
                <w:lang w:eastAsia="zh-CN"/>
              </w:rPr>
              <w:t>异氰酸酯（六亚甲基-1,6-二异氰酸酯)</w:t>
            </w:r>
          </w:p>
        </w:tc>
        <w:tc>
          <w:tcPr>
            <w:tcW w:w="1311" w:type="dxa"/>
            <w:vMerge w:val="continue"/>
            <w:vAlign w:val="center"/>
          </w:tcPr>
          <w:p w14:paraId="2DA6802A">
            <w:pPr>
              <w:keepNext w:val="0"/>
              <w:keepLines w:val="0"/>
              <w:pageBreakBefore w:val="0"/>
              <w:widowControl w:val="0"/>
              <w:kinsoku/>
              <w:wordWrap/>
              <w:overflowPunct/>
              <w:topLinePunct w:val="0"/>
              <w:autoSpaceDE/>
              <w:autoSpaceDN/>
              <w:bidi w:val="0"/>
              <w:adjustRightInd/>
              <w:snapToGrid/>
              <w:ind w:left="0" w:right="0"/>
              <w:jc w:val="center"/>
              <w:rPr>
                <w:rFonts w:ascii="Times New Roman" w:hAnsi="Times New Roman" w:cs="Times New Roman"/>
                <w:bCs/>
                <w:color w:val="auto"/>
                <w:kern w:val="2"/>
                <w:sz w:val="21"/>
                <w:szCs w:val="21"/>
                <w:highlight w:val="none"/>
              </w:rPr>
            </w:pPr>
          </w:p>
        </w:tc>
        <w:tc>
          <w:tcPr>
            <w:tcW w:w="932" w:type="dxa"/>
            <w:vMerge w:val="continue"/>
            <w:vAlign w:val="center"/>
          </w:tcPr>
          <w:p w14:paraId="10C89AE4">
            <w:pPr>
              <w:keepNext w:val="0"/>
              <w:keepLines w:val="0"/>
              <w:pageBreakBefore w:val="0"/>
              <w:widowControl w:val="0"/>
              <w:kinsoku/>
              <w:wordWrap/>
              <w:overflowPunct/>
              <w:topLinePunct w:val="0"/>
              <w:autoSpaceDE/>
              <w:autoSpaceDN/>
              <w:bidi w:val="0"/>
              <w:adjustRightInd/>
              <w:snapToGrid/>
              <w:ind w:left="0" w:right="0"/>
              <w:jc w:val="center"/>
              <w:rPr>
                <w:rFonts w:ascii="Times New Roman" w:hAnsi="Times New Roman" w:cs="Times New Roman"/>
                <w:bCs/>
                <w:color w:val="auto"/>
                <w:kern w:val="2"/>
                <w:sz w:val="21"/>
                <w:szCs w:val="21"/>
                <w:highlight w:val="none"/>
              </w:rPr>
            </w:pPr>
          </w:p>
        </w:tc>
        <w:tc>
          <w:tcPr>
            <w:tcW w:w="985" w:type="dxa"/>
            <w:vAlign w:val="center"/>
          </w:tcPr>
          <w:p w14:paraId="1353BEA4">
            <w:pPr>
              <w:keepNext w:val="0"/>
              <w:keepLines w:val="0"/>
              <w:pageBreakBefore w:val="0"/>
              <w:widowControl w:val="0"/>
              <w:kinsoku/>
              <w:wordWrap/>
              <w:overflowPunct/>
              <w:topLinePunct w:val="0"/>
              <w:autoSpaceDE/>
              <w:autoSpaceDN/>
              <w:bidi w:val="0"/>
              <w:adjustRightInd/>
              <w:snapToGrid/>
              <w:ind w:left="0" w:right="0"/>
              <w:jc w:val="center"/>
              <w:rPr>
                <w:rFonts w:hint="eastAsia" w:ascii="Times New Roman" w:hAnsi="Times New Roman" w:eastAsia="宋体" w:cs="Times New Roman"/>
                <w:bCs/>
                <w:color w:val="auto"/>
                <w:kern w:val="2"/>
                <w:sz w:val="21"/>
                <w:szCs w:val="21"/>
                <w:highlight w:val="none"/>
                <w:lang w:val="en-US" w:eastAsia="zh-CN"/>
              </w:rPr>
            </w:pPr>
            <w:r>
              <w:rPr>
                <w:rFonts w:hint="eastAsia" w:ascii="Times New Roman" w:hAnsi="Times New Roman" w:cs="Times New Roman"/>
                <w:bCs/>
                <w:color w:val="auto"/>
                <w:kern w:val="2"/>
                <w:sz w:val="21"/>
                <w:szCs w:val="21"/>
                <w:highlight w:val="none"/>
                <w:lang w:val="en-US" w:eastAsia="zh-CN"/>
              </w:rPr>
              <w:t>4</w:t>
            </w:r>
          </w:p>
        </w:tc>
      </w:tr>
      <w:tr w14:paraId="1868F867">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461" w:type="dxa"/>
            <w:vAlign w:val="center"/>
          </w:tcPr>
          <w:p w14:paraId="11AC3274">
            <w:pPr>
              <w:keepNext w:val="0"/>
              <w:keepLines w:val="0"/>
              <w:pageBreakBefore w:val="0"/>
              <w:widowControl w:val="0"/>
              <w:numPr>
                <w:ilvl w:val="0"/>
                <w:numId w:val="23"/>
              </w:numPr>
              <w:kinsoku/>
              <w:wordWrap/>
              <w:overflowPunct/>
              <w:topLinePunct w:val="0"/>
              <w:autoSpaceDE/>
              <w:autoSpaceDN/>
              <w:bidi w:val="0"/>
              <w:adjustRightInd/>
              <w:snapToGrid/>
              <w:ind w:left="0" w:right="0"/>
              <w:jc w:val="center"/>
              <w:rPr>
                <w:rFonts w:ascii="Times New Roman" w:hAnsi="Times New Roman" w:cs="Times New Roman"/>
                <w:bCs/>
                <w:color w:val="auto"/>
                <w:kern w:val="2"/>
                <w:sz w:val="21"/>
                <w:szCs w:val="21"/>
                <w:highlight w:val="none"/>
              </w:rPr>
            </w:pPr>
          </w:p>
        </w:tc>
        <w:tc>
          <w:tcPr>
            <w:tcW w:w="819" w:type="dxa"/>
            <w:vMerge w:val="restart"/>
            <w:vAlign w:val="center"/>
          </w:tcPr>
          <w:p w14:paraId="0D5B5E87">
            <w:pPr>
              <w:keepNext w:val="0"/>
              <w:keepLines w:val="0"/>
              <w:pageBreakBefore w:val="0"/>
              <w:widowControl w:val="0"/>
              <w:kinsoku/>
              <w:wordWrap/>
              <w:overflowPunct/>
              <w:topLinePunct w:val="0"/>
              <w:autoSpaceDE/>
              <w:autoSpaceDN/>
              <w:bidi w:val="0"/>
              <w:adjustRightInd/>
              <w:snapToGrid/>
              <w:ind w:left="0" w:right="0"/>
              <w:jc w:val="center"/>
              <w:rPr>
                <w:rFonts w:hint="eastAsia" w:ascii="Times New Roman" w:hAnsi="Times New Roman" w:eastAsia="宋体" w:cs="Times New Roman"/>
                <w:bCs/>
                <w:color w:val="auto"/>
                <w:kern w:val="2"/>
                <w:sz w:val="21"/>
                <w:szCs w:val="21"/>
                <w:highlight w:val="none"/>
                <w:lang w:val="en-US" w:eastAsia="zh-CN"/>
              </w:rPr>
            </w:pPr>
            <w:r>
              <w:rPr>
                <w:rFonts w:ascii="Times New Roman" w:hAnsi="Times New Roman" w:eastAsia="宋体" w:cs="Times New Roman"/>
                <w:color w:val="auto"/>
                <w:sz w:val="21"/>
                <w:szCs w:val="21"/>
                <w:highlight w:val="none"/>
              </w:rPr>
              <w:t>丙烯酸酯组成物</w:t>
            </w:r>
            <w:r>
              <w:rPr>
                <w:rFonts w:hint="eastAsia" w:ascii="Times New Roman" w:hAnsi="Times New Roman" w:eastAsia="宋体" w:cs="Times New Roman"/>
                <w:color w:val="auto"/>
                <w:sz w:val="21"/>
                <w:szCs w:val="21"/>
                <w:highlight w:val="none"/>
                <w:lang w:val="en-US" w:eastAsia="zh-CN"/>
              </w:rPr>
              <w:t>生产线</w:t>
            </w:r>
          </w:p>
        </w:tc>
        <w:tc>
          <w:tcPr>
            <w:tcW w:w="3996" w:type="dxa"/>
            <w:vAlign w:val="center"/>
          </w:tcPr>
          <w:p w14:paraId="57BB5204">
            <w:pPr>
              <w:pStyle w:val="236"/>
              <w:keepNext w:val="0"/>
              <w:keepLines w:val="0"/>
              <w:pageBreakBefore w:val="0"/>
              <w:widowControl/>
              <w:kinsoku/>
              <w:wordWrap/>
              <w:overflowPunct/>
              <w:topLinePunct w:val="0"/>
              <w:autoSpaceDE/>
              <w:autoSpaceDN/>
              <w:bidi w:val="0"/>
              <w:adjustRightInd/>
              <w:snapToGrid/>
              <w:ind w:left="0" w:leftChars="0" w:right="0" w:rightChars="0"/>
              <w:jc w:val="center"/>
              <w:textAlignment w:val="auto"/>
              <w:rPr>
                <w:rFonts w:ascii="Times New Roman" w:hAnsi="Times New Roman" w:eastAsia="宋体" w:cs="Times New Roman"/>
                <w:color w:val="auto"/>
                <w:sz w:val="21"/>
                <w:szCs w:val="21"/>
                <w:highlight w:val="none"/>
                <w:lang w:val="en-US" w:eastAsia="en-US" w:bidi="ar-SA"/>
              </w:rPr>
            </w:pPr>
            <w:r>
              <w:rPr>
                <w:rFonts w:ascii="Times New Roman" w:hAnsi="Times New Roman" w:eastAsia="宋体" w:cs="Times New Roman"/>
                <w:color w:val="auto"/>
                <w:sz w:val="21"/>
                <w:szCs w:val="21"/>
                <w:highlight w:val="none"/>
              </w:rPr>
              <w:t>聚氨酯丙烯酸酯</w:t>
            </w:r>
          </w:p>
        </w:tc>
        <w:tc>
          <w:tcPr>
            <w:tcW w:w="1311" w:type="dxa"/>
            <w:vMerge w:val="continue"/>
            <w:vAlign w:val="center"/>
          </w:tcPr>
          <w:p w14:paraId="5B0DA7A4">
            <w:pPr>
              <w:keepNext w:val="0"/>
              <w:keepLines w:val="0"/>
              <w:pageBreakBefore w:val="0"/>
              <w:widowControl w:val="0"/>
              <w:kinsoku/>
              <w:wordWrap/>
              <w:overflowPunct/>
              <w:topLinePunct w:val="0"/>
              <w:autoSpaceDE/>
              <w:autoSpaceDN/>
              <w:bidi w:val="0"/>
              <w:adjustRightInd/>
              <w:snapToGrid/>
              <w:ind w:left="0" w:right="0"/>
              <w:jc w:val="center"/>
              <w:rPr>
                <w:rFonts w:ascii="Times New Roman" w:hAnsi="Times New Roman" w:cs="Times New Roman"/>
                <w:bCs/>
                <w:color w:val="auto"/>
                <w:kern w:val="2"/>
                <w:sz w:val="21"/>
                <w:szCs w:val="21"/>
                <w:highlight w:val="none"/>
              </w:rPr>
            </w:pPr>
          </w:p>
        </w:tc>
        <w:tc>
          <w:tcPr>
            <w:tcW w:w="932" w:type="dxa"/>
            <w:vMerge w:val="continue"/>
            <w:vAlign w:val="center"/>
          </w:tcPr>
          <w:p w14:paraId="123F7296">
            <w:pPr>
              <w:keepNext w:val="0"/>
              <w:keepLines w:val="0"/>
              <w:pageBreakBefore w:val="0"/>
              <w:widowControl w:val="0"/>
              <w:kinsoku/>
              <w:wordWrap/>
              <w:overflowPunct/>
              <w:topLinePunct w:val="0"/>
              <w:autoSpaceDE/>
              <w:autoSpaceDN/>
              <w:bidi w:val="0"/>
              <w:adjustRightInd/>
              <w:snapToGrid/>
              <w:ind w:left="0" w:right="0"/>
              <w:jc w:val="center"/>
              <w:rPr>
                <w:rFonts w:ascii="Times New Roman" w:hAnsi="Times New Roman" w:cs="Times New Roman"/>
                <w:bCs/>
                <w:color w:val="auto"/>
                <w:kern w:val="2"/>
                <w:sz w:val="21"/>
                <w:szCs w:val="21"/>
                <w:highlight w:val="none"/>
              </w:rPr>
            </w:pPr>
          </w:p>
        </w:tc>
        <w:tc>
          <w:tcPr>
            <w:tcW w:w="985" w:type="dxa"/>
            <w:vAlign w:val="center"/>
          </w:tcPr>
          <w:p w14:paraId="0049E489">
            <w:pPr>
              <w:keepNext w:val="0"/>
              <w:keepLines w:val="0"/>
              <w:pageBreakBefore w:val="0"/>
              <w:widowControl w:val="0"/>
              <w:kinsoku/>
              <w:wordWrap/>
              <w:overflowPunct/>
              <w:topLinePunct w:val="0"/>
              <w:autoSpaceDE/>
              <w:autoSpaceDN/>
              <w:bidi w:val="0"/>
              <w:adjustRightInd/>
              <w:snapToGrid/>
              <w:ind w:left="0" w:right="0"/>
              <w:jc w:val="center"/>
              <w:rPr>
                <w:rFonts w:hint="default" w:ascii="Times New Roman" w:hAnsi="Times New Roman" w:eastAsia="宋体" w:cs="Times New Roman"/>
                <w:bCs/>
                <w:color w:val="auto"/>
                <w:kern w:val="2"/>
                <w:sz w:val="21"/>
                <w:szCs w:val="21"/>
                <w:highlight w:val="none"/>
                <w:lang w:val="en-US" w:eastAsia="zh-CN"/>
              </w:rPr>
            </w:pPr>
            <w:r>
              <w:rPr>
                <w:rFonts w:hint="eastAsia" w:ascii="Times New Roman" w:hAnsi="Times New Roman" w:cs="Times New Roman"/>
                <w:bCs/>
                <w:color w:val="auto"/>
                <w:kern w:val="2"/>
                <w:sz w:val="21"/>
                <w:szCs w:val="21"/>
                <w:highlight w:val="none"/>
                <w:lang w:val="en-US" w:eastAsia="zh-CN"/>
              </w:rPr>
              <w:t>1.25</w:t>
            </w:r>
          </w:p>
        </w:tc>
      </w:tr>
      <w:tr w14:paraId="24DE5787">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461" w:type="dxa"/>
            <w:vAlign w:val="center"/>
          </w:tcPr>
          <w:p w14:paraId="227D884F">
            <w:pPr>
              <w:keepNext w:val="0"/>
              <w:keepLines w:val="0"/>
              <w:pageBreakBefore w:val="0"/>
              <w:widowControl w:val="0"/>
              <w:numPr>
                <w:ilvl w:val="0"/>
                <w:numId w:val="23"/>
              </w:numPr>
              <w:kinsoku/>
              <w:wordWrap/>
              <w:overflowPunct/>
              <w:topLinePunct w:val="0"/>
              <w:autoSpaceDE/>
              <w:autoSpaceDN/>
              <w:bidi w:val="0"/>
              <w:adjustRightInd/>
              <w:snapToGrid/>
              <w:ind w:left="0" w:right="0"/>
              <w:jc w:val="center"/>
              <w:rPr>
                <w:rFonts w:ascii="Times New Roman" w:hAnsi="Times New Roman" w:cs="Times New Roman"/>
                <w:bCs/>
                <w:color w:val="auto"/>
                <w:kern w:val="2"/>
                <w:sz w:val="21"/>
                <w:szCs w:val="21"/>
                <w:highlight w:val="none"/>
              </w:rPr>
            </w:pPr>
          </w:p>
        </w:tc>
        <w:tc>
          <w:tcPr>
            <w:tcW w:w="819" w:type="dxa"/>
            <w:vMerge w:val="continue"/>
            <w:vAlign w:val="center"/>
          </w:tcPr>
          <w:p w14:paraId="17611108">
            <w:pPr>
              <w:keepNext w:val="0"/>
              <w:keepLines w:val="0"/>
              <w:pageBreakBefore w:val="0"/>
              <w:widowControl w:val="0"/>
              <w:kinsoku/>
              <w:wordWrap/>
              <w:overflowPunct/>
              <w:topLinePunct w:val="0"/>
              <w:autoSpaceDE/>
              <w:autoSpaceDN/>
              <w:bidi w:val="0"/>
              <w:adjustRightInd/>
              <w:snapToGrid/>
              <w:ind w:left="0" w:right="0"/>
              <w:jc w:val="center"/>
              <w:rPr>
                <w:rFonts w:ascii="Times New Roman" w:hAnsi="Times New Roman" w:cs="Times New Roman"/>
                <w:bCs/>
                <w:color w:val="auto"/>
                <w:kern w:val="2"/>
                <w:sz w:val="21"/>
                <w:szCs w:val="21"/>
                <w:highlight w:val="none"/>
              </w:rPr>
            </w:pPr>
          </w:p>
        </w:tc>
        <w:tc>
          <w:tcPr>
            <w:tcW w:w="3996" w:type="dxa"/>
            <w:vAlign w:val="center"/>
          </w:tcPr>
          <w:p w14:paraId="2FEEBBAB">
            <w:pPr>
              <w:pStyle w:val="236"/>
              <w:keepNext w:val="0"/>
              <w:keepLines w:val="0"/>
              <w:pageBreakBefore w:val="0"/>
              <w:widowControl/>
              <w:kinsoku/>
              <w:wordWrap/>
              <w:overflowPunct/>
              <w:topLinePunct w:val="0"/>
              <w:autoSpaceDE/>
              <w:autoSpaceDN/>
              <w:bidi w:val="0"/>
              <w:adjustRightInd/>
              <w:snapToGrid/>
              <w:ind w:left="0" w:leftChars="0" w:right="0" w:rightChars="0"/>
              <w:jc w:val="center"/>
              <w:textAlignment w:val="auto"/>
              <w:rPr>
                <w:rFonts w:ascii="Times New Roman" w:hAnsi="Times New Roman" w:eastAsia="宋体" w:cs="Times New Roman"/>
                <w:color w:val="auto"/>
                <w:sz w:val="21"/>
                <w:szCs w:val="21"/>
                <w:highlight w:val="none"/>
                <w:lang w:val="en-US" w:eastAsia="en-US" w:bidi="ar-SA"/>
              </w:rPr>
            </w:pPr>
            <w:r>
              <w:rPr>
                <w:rFonts w:ascii="Times New Roman" w:hAnsi="Times New Roman" w:eastAsia="宋体" w:cs="Times New Roman"/>
                <w:color w:val="auto"/>
                <w:sz w:val="21"/>
                <w:szCs w:val="21"/>
                <w:highlight w:val="none"/>
              </w:rPr>
              <w:t>环氧丙烯酸树脂</w:t>
            </w:r>
          </w:p>
        </w:tc>
        <w:tc>
          <w:tcPr>
            <w:tcW w:w="1311" w:type="dxa"/>
            <w:vMerge w:val="continue"/>
            <w:vAlign w:val="center"/>
          </w:tcPr>
          <w:p w14:paraId="66A43550">
            <w:pPr>
              <w:keepNext w:val="0"/>
              <w:keepLines w:val="0"/>
              <w:pageBreakBefore w:val="0"/>
              <w:widowControl w:val="0"/>
              <w:kinsoku/>
              <w:wordWrap/>
              <w:overflowPunct/>
              <w:topLinePunct w:val="0"/>
              <w:autoSpaceDE/>
              <w:autoSpaceDN/>
              <w:bidi w:val="0"/>
              <w:adjustRightInd/>
              <w:snapToGrid/>
              <w:ind w:left="0" w:right="0"/>
              <w:jc w:val="center"/>
              <w:rPr>
                <w:rFonts w:ascii="Times New Roman" w:hAnsi="Times New Roman" w:cs="Times New Roman"/>
                <w:bCs/>
                <w:color w:val="auto"/>
                <w:kern w:val="2"/>
                <w:sz w:val="21"/>
                <w:szCs w:val="21"/>
                <w:highlight w:val="none"/>
              </w:rPr>
            </w:pPr>
          </w:p>
        </w:tc>
        <w:tc>
          <w:tcPr>
            <w:tcW w:w="932" w:type="dxa"/>
            <w:vMerge w:val="continue"/>
            <w:vAlign w:val="center"/>
          </w:tcPr>
          <w:p w14:paraId="7F805933">
            <w:pPr>
              <w:keepNext w:val="0"/>
              <w:keepLines w:val="0"/>
              <w:pageBreakBefore w:val="0"/>
              <w:widowControl w:val="0"/>
              <w:kinsoku/>
              <w:wordWrap/>
              <w:overflowPunct/>
              <w:topLinePunct w:val="0"/>
              <w:autoSpaceDE/>
              <w:autoSpaceDN/>
              <w:bidi w:val="0"/>
              <w:adjustRightInd/>
              <w:snapToGrid/>
              <w:ind w:left="0" w:right="0"/>
              <w:jc w:val="center"/>
              <w:rPr>
                <w:rFonts w:ascii="Times New Roman" w:hAnsi="Times New Roman" w:cs="Times New Roman"/>
                <w:bCs/>
                <w:color w:val="auto"/>
                <w:kern w:val="2"/>
                <w:sz w:val="21"/>
                <w:szCs w:val="21"/>
                <w:highlight w:val="none"/>
              </w:rPr>
            </w:pPr>
          </w:p>
        </w:tc>
        <w:tc>
          <w:tcPr>
            <w:tcW w:w="985" w:type="dxa"/>
            <w:vAlign w:val="center"/>
          </w:tcPr>
          <w:p w14:paraId="72D22D30">
            <w:pPr>
              <w:keepNext w:val="0"/>
              <w:keepLines w:val="0"/>
              <w:pageBreakBefore w:val="0"/>
              <w:widowControl w:val="0"/>
              <w:kinsoku/>
              <w:wordWrap/>
              <w:overflowPunct/>
              <w:topLinePunct w:val="0"/>
              <w:autoSpaceDE/>
              <w:autoSpaceDN/>
              <w:bidi w:val="0"/>
              <w:adjustRightInd/>
              <w:snapToGrid/>
              <w:ind w:left="0" w:right="0"/>
              <w:jc w:val="center"/>
              <w:rPr>
                <w:rFonts w:hint="default" w:ascii="Times New Roman" w:hAnsi="Times New Roman" w:eastAsia="宋体" w:cs="Times New Roman"/>
                <w:bCs/>
                <w:color w:val="auto"/>
                <w:kern w:val="2"/>
                <w:sz w:val="21"/>
                <w:szCs w:val="21"/>
                <w:highlight w:val="none"/>
                <w:lang w:val="en-US" w:eastAsia="zh-CN"/>
              </w:rPr>
            </w:pPr>
            <w:r>
              <w:rPr>
                <w:rFonts w:hint="eastAsia" w:ascii="Times New Roman" w:hAnsi="Times New Roman" w:cs="Times New Roman"/>
                <w:bCs/>
                <w:color w:val="auto"/>
                <w:kern w:val="2"/>
                <w:sz w:val="21"/>
                <w:szCs w:val="21"/>
                <w:highlight w:val="none"/>
                <w:lang w:val="en-US" w:eastAsia="zh-CN"/>
              </w:rPr>
              <w:t>1.25</w:t>
            </w:r>
          </w:p>
        </w:tc>
      </w:tr>
      <w:tr w14:paraId="699346EF">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461" w:type="dxa"/>
            <w:vAlign w:val="center"/>
          </w:tcPr>
          <w:p w14:paraId="478A58B2">
            <w:pPr>
              <w:keepNext w:val="0"/>
              <w:keepLines w:val="0"/>
              <w:pageBreakBefore w:val="0"/>
              <w:widowControl w:val="0"/>
              <w:numPr>
                <w:ilvl w:val="0"/>
                <w:numId w:val="23"/>
              </w:numPr>
              <w:kinsoku/>
              <w:wordWrap/>
              <w:overflowPunct/>
              <w:topLinePunct w:val="0"/>
              <w:autoSpaceDE/>
              <w:autoSpaceDN/>
              <w:bidi w:val="0"/>
              <w:adjustRightInd/>
              <w:snapToGrid/>
              <w:ind w:left="0" w:right="0"/>
              <w:jc w:val="center"/>
              <w:rPr>
                <w:rFonts w:ascii="Times New Roman" w:hAnsi="Times New Roman" w:cs="Times New Roman"/>
                <w:bCs/>
                <w:color w:val="auto"/>
                <w:kern w:val="2"/>
                <w:sz w:val="21"/>
                <w:szCs w:val="21"/>
                <w:highlight w:val="none"/>
              </w:rPr>
            </w:pPr>
          </w:p>
        </w:tc>
        <w:tc>
          <w:tcPr>
            <w:tcW w:w="819" w:type="dxa"/>
            <w:vMerge w:val="continue"/>
            <w:vAlign w:val="center"/>
          </w:tcPr>
          <w:p w14:paraId="60B18662">
            <w:pPr>
              <w:keepNext w:val="0"/>
              <w:keepLines w:val="0"/>
              <w:pageBreakBefore w:val="0"/>
              <w:widowControl w:val="0"/>
              <w:kinsoku/>
              <w:wordWrap/>
              <w:overflowPunct/>
              <w:topLinePunct w:val="0"/>
              <w:autoSpaceDE/>
              <w:autoSpaceDN/>
              <w:bidi w:val="0"/>
              <w:adjustRightInd/>
              <w:snapToGrid/>
              <w:ind w:left="0" w:right="0"/>
              <w:jc w:val="center"/>
              <w:rPr>
                <w:rFonts w:ascii="Times New Roman" w:hAnsi="Times New Roman" w:cs="Times New Roman"/>
                <w:bCs/>
                <w:color w:val="auto"/>
                <w:kern w:val="2"/>
                <w:sz w:val="21"/>
                <w:szCs w:val="21"/>
                <w:highlight w:val="none"/>
              </w:rPr>
            </w:pPr>
          </w:p>
        </w:tc>
        <w:tc>
          <w:tcPr>
            <w:tcW w:w="3996" w:type="dxa"/>
            <w:vAlign w:val="center"/>
          </w:tcPr>
          <w:p w14:paraId="2C9DC695">
            <w:pPr>
              <w:pStyle w:val="236"/>
              <w:keepNext w:val="0"/>
              <w:keepLines w:val="0"/>
              <w:pageBreakBefore w:val="0"/>
              <w:widowControl/>
              <w:kinsoku/>
              <w:wordWrap/>
              <w:overflowPunct/>
              <w:topLinePunct w:val="0"/>
              <w:autoSpaceDE/>
              <w:autoSpaceDN/>
              <w:bidi w:val="0"/>
              <w:adjustRightInd/>
              <w:snapToGrid/>
              <w:ind w:left="0" w:leftChars="0" w:right="0" w:rightChars="0"/>
              <w:jc w:val="center"/>
              <w:textAlignment w:val="auto"/>
              <w:rPr>
                <w:rFonts w:ascii="Times New Roman" w:hAnsi="Times New Roman" w:eastAsia="宋体" w:cs="Times New Roman"/>
                <w:color w:val="auto"/>
                <w:sz w:val="21"/>
                <w:szCs w:val="21"/>
                <w:highlight w:val="none"/>
                <w:lang w:val="en-US" w:eastAsia="zh-CN" w:bidi="ar-SA"/>
              </w:rPr>
            </w:pPr>
            <w:r>
              <w:rPr>
                <w:rFonts w:ascii="Times New Roman" w:hAnsi="Times New Roman" w:eastAsia="宋体" w:cs="Times New Roman"/>
                <w:color w:val="auto"/>
                <w:sz w:val="21"/>
                <w:szCs w:val="21"/>
                <w:highlight w:val="none"/>
                <w:lang w:eastAsia="zh-CN"/>
              </w:rPr>
              <w:t>单体（二缩三丙二醇二丙烯酸酯）</w:t>
            </w:r>
          </w:p>
        </w:tc>
        <w:tc>
          <w:tcPr>
            <w:tcW w:w="1311" w:type="dxa"/>
            <w:vMerge w:val="continue"/>
            <w:vAlign w:val="center"/>
          </w:tcPr>
          <w:p w14:paraId="7DD25C13">
            <w:pPr>
              <w:keepNext w:val="0"/>
              <w:keepLines w:val="0"/>
              <w:pageBreakBefore w:val="0"/>
              <w:widowControl w:val="0"/>
              <w:kinsoku/>
              <w:wordWrap/>
              <w:overflowPunct/>
              <w:topLinePunct w:val="0"/>
              <w:autoSpaceDE/>
              <w:autoSpaceDN/>
              <w:bidi w:val="0"/>
              <w:adjustRightInd/>
              <w:snapToGrid/>
              <w:ind w:left="0" w:right="0"/>
              <w:jc w:val="center"/>
              <w:rPr>
                <w:rFonts w:ascii="Times New Roman" w:hAnsi="Times New Roman" w:cs="Times New Roman"/>
                <w:bCs/>
                <w:color w:val="auto"/>
                <w:kern w:val="2"/>
                <w:sz w:val="21"/>
                <w:szCs w:val="21"/>
                <w:highlight w:val="none"/>
              </w:rPr>
            </w:pPr>
          </w:p>
        </w:tc>
        <w:tc>
          <w:tcPr>
            <w:tcW w:w="932" w:type="dxa"/>
            <w:vMerge w:val="continue"/>
            <w:vAlign w:val="center"/>
          </w:tcPr>
          <w:p w14:paraId="36114CF3">
            <w:pPr>
              <w:keepNext w:val="0"/>
              <w:keepLines w:val="0"/>
              <w:pageBreakBefore w:val="0"/>
              <w:widowControl w:val="0"/>
              <w:kinsoku/>
              <w:wordWrap/>
              <w:overflowPunct/>
              <w:topLinePunct w:val="0"/>
              <w:autoSpaceDE/>
              <w:autoSpaceDN/>
              <w:bidi w:val="0"/>
              <w:adjustRightInd/>
              <w:snapToGrid/>
              <w:ind w:left="0" w:right="0"/>
              <w:jc w:val="center"/>
              <w:rPr>
                <w:rFonts w:ascii="Times New Roman" w:hAnsi="Times New Roman" w:cs="Times New Roman"/>
                <w:bCs/>
                <w:color w:val="auto"/>
                <w:kern w:val="2"/>
                <w:sz w:val="21"/>
                <w:szCs w:val="21"/>
                <w:highlight w:val="none"/>
              </w:rPr>
            </w:pPr>
          </w:p>
        </w:tc>
        <w:tc>
          <w:tcPr>
            <w:tcW w:w="985" w:type="dxa"/>
            <w:vAlign w:val="center"/>
          </w:tcPr>
          <w:p w14:paraId="106D1BF9">
            <w:pPr>
              <w:keepNext w:val="0"/>
              <w:keepLines w:val="0"/>
              <w:pageBreakBefore w:val="0"/>
              <w:widowControl w:val="0"/>
              <w:kinsoku/>
              <w:wordWrap/>
              <w:overflowPunct/>
              <w:topLinePunct w:val="0"/>
              <w:autoSpaceDE/>
              <w:autoSpaceDN/>
              <w:bidi w:val="0"/>
              <w:adjustRightInd/>
              <w:snapToGrid/>
              <w:ind w:left="0" w:right="0"/>
              <w:jc w:val="center"/>
              <w:rPr>
                <w:rFonts w:hint="default" w:ascii="Times New Roman" w:hAnsi="Times New Roman" w:eastAsia="宋体" w:cs="Times New Roman"/>
                <w:bCs/>
                <w:color w:val="auto"/>
                <w:kern w:val="2"/>
                <w:sz w:val="21"/>
                <w:szCs w:val="21"/>
                <w:highlight w:val="none"/>
                <w:lang w:val="en-US" w:eastAsia="zh-CN"/>
              </w:rPr>
            </w:pPr>
            <w:r>
              <w:rPr>
                <w:rFonts w:hint="eastAsia" w:ascii="Times New Roman" w:hAnsi="Times New Roman" w:cs="Times New Roman"/>
                <w:bCs/>
                <w:color w:val="auto"/>
                <w:kern w:val="2"/>
                <w:sz w:val="21"/>
                <w:szCs w:val="21"/>
                <w:highlight w:val="none"/>
                <w:lang w:val="en-US" w:eastAsia="zh-CN"/>
              </w:rPr>
              <w:t>1.25</w:t>
            </w:r>
          </w:p>
        </w:tc>
      </w:tr>
      <w:tr w14:paraId="286A90D4">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461" w:type="dxa"/>
            <w:vAlign w:val="center"/>
          </w:tcPr>
          <w:p w14:paraId="26C1BDD3">
            <w:pPr>
              <w:keepNext w:val="0"/>
              <w:keepLines w:val="0"/>
              <w:pageBreakBefore w:val="0"/>
              <w:widowControl w:val="0"/>
              <w:numPr>
                <w:ilvl w:val="0"/>
                <w:numId w:val="23"/>
              </w:numPr>
              <w:kinsoku/>
              <w:wordWrap/>
              <w:overflowPunct/>
              <w:topLinePunct w:val="0"/>
              <w:autoSpaceDE/>
              <w:autoSpaceDN/>
              <w:bidi w:val="0"/>
              <w:adjustRightInd/>
              <w:snapToGrid/>
              <w:ind w:left="0" w:right="0"/>
              <w:jc w:val="center"/>
              <w:rPr>
                <w:rFonts w:ascii="Times New Roman" w:hAnsi="Times New Roman" w:cs="Times New Roman"/>
                <w:bCs/>
                <w:color w:val="auto"/>
                <w:kern w:val="2"/>
                <w:sz w:val="21"/>
                <w:szCs w:val="21"/>
                <w:highlight w:val="none"/>
              </w:rPr>
            </w:pPr>
          </w:p>
        </w:tc>
        <w:tc>
          <w:tcPr>
            <w:tcW w:w="819" w:type="dxa"/>
            <w:vMerge w:val="continue"/>
            <w:vAlign w:val="center"/>
          </w:tcPr>
          <w:p w14:paraId="1460BE0F">
            <w:pPr>
              <w:keepNext w:val="0"/>
              <w:keepLines w:val="0"/>
              <w:pageBreakBefore w:val="0"/>
              <w:widowControl w:val="0"/>
              <w:kinsoku/>
              <w:wordWrap/>
              <w:overflowPunct/>
              <w:topLinePunct w:val="0"/>
              <w:autoSpaceDE/>
              <w:autoSpaceDN/>
              <w:bidi w:val="0"/>
              <w:adjustRightInd/>
              <w:snapToGrid/>
              <w:ind w:left="0" w:right="0"/>
              <w:jc w:val="center"/>
              <w:rPr>
                <w:rFonts w:ascii="Times New Roman" w:hAnsi="Times New Roman" w:cs="Times New Roman"/>
                <w:bCs/>
                <w:color w:val="auto"/>
                <w:kern w:val="2"/>
                <w:sz w:val="21"/>
                <w:szCs w:val="21"/>
                <w:highlight w:val="none"/>
              </w:rPr>
            </w:pPr>
          </w:p>
        </w:tc>
        <w:tc>
          <w:tcPr>
            <w:tcW w:w="3996" w:type="dxa"/>
            <w:vAlign w:val="center"/>
          </w:tcPr>
          <w:p w14:paraId="33560777">
            <w:pPr>
              <w:pStyle w:val="236"/>
              <w:keepNext w:val="0"/>
              <w:keepLines w:val="0"/>
              <w:pageBreakBefore w:val="0"/>
              <w:widowControl/>
              <w:kinsoku/>
              <w:wordWrap/>
              <w:overflowPunct/>
              <w:topLinePunct w:val="0"/>
              <w:autoSpaceDE/>
              <w:autoSpaceDN/>
              <w:bidi w:val="0"/>
              <w:adjustRightInd/>
              <w:snapToGrid/>
              <w:ind w:left="0" w:leftChars="0" w:right="0" w:rightChars="0"/>
              <w:jc w:val="center"/>
              <w:textAlignment w:val="auto"/>
              <w:rPr>
                <w:rFonts w:ascii="Times New Roman" w:hAnsi="Times New Roman" w:eastAsia="宋体" w:cs="Times New Roman"/>
                <w:color w:val="auto"/>
                <w:sz w:val="21"/>
                <w:szCs w:val="21"/>
                <w:highlight w:val="none"/>
                <w:lang w:val="en-US" w:eastAsia="zh-CN" w:bidi="ar-SA"/>
              </w:rPr>
            </w:pPr>
            <w:r>
              <w:rPr>
                <w:rFonts w:ascii="Times New Roman" w:hAnsi="Times New Roman" w:eastAsia="宋体" w:cs="Times New Roman"/>
                <w:color w:val="auto"/>
                <w:sz w:val="21"/>
                <w:szCs w:val="21"/>
                <w:highlight w:val="none"/>
                <w:lang w:eastAsia="zh-CN"/>
              </w:rPr>
              <w:t>光敏剂（1-羟环己基苯酮）</w:t>
            </w:r>
          </w:p>
        </w:tc>
        <w:tc>
          <w:tcPr>
            <w:tcW w:w="1311" w:type="dxa"/>
            <w:vMerge w:val="continue"/>
            <w:vAlign w:val="center"/>
          </w:tcPr>
          <w:p w14:paraId="26ED3D30">
            <w:pPr>
              <w:keepNext w:val="0"/>
              <w:keepLines w:val="0"/>
              <w:pageBreakBefore w:val="0"/>
              <w:widowControl w:val="0"/>
              <w:kinsoku/>
              <w:wordWrap/>
              <w:overflowPunct/>
              <w:topLinePunct w:val="0"/>
              <w:autoSpaceDE/>
              <w:autoSpaceDN/>
              <w:bidi w:val="0"/>
              <w:adjustRightInd/>
              <w:snapToGrid/>
              <w:ind w:left="0" w:right="0"/>
              <w:jc w:val="center"/>
              <w:rPr>
                <w:rFonts w:ascii="Times New Roman" w:hAnsi="Times New Roman" w:cs="Times New Roman"/>
                <w:bCs/>
                <w:color w:val="auto"/>
                <w:kern w:val="2"/>
                <w:sz w:val="21"/>
                <w:szCs w:val="21"/>
                <w:highlight w:val="none"/>
              </w:rPr>
            </w:pPr>
          </w:p>
        </w:tc>
        <w:tc>
          <w:tcPr>
            <w:tcW w:w="932" w:type="dxa"/>
            <w:vMerge w:val="continue"/>
            <w:vAlign w:val="center"/>
          </w:tcPr>
          <w:p w14:paraId="0D8507CB">
            <w:pPr>
              <w:keepNext w:val="0"/>
              <w:keepLines w:val="0"/>
              <w:pageBreakBefore w:val="0"/>
              <w:widowControl w:val="0"/>
              <w:kinsoku/>
              <w:wordWrap/>
              <w:overflowPunct/>
              <w:topLinePunct w:val="0"/>
              <w:autoSpaceDE/>
              <w:autoSpaceDN/>
              <w:bidi w:val="0"/>
              <w:adjustRightInd/>
              <w:snapToGrid/>
              <w:ind w:left="0" w:right="0"/>
              <w:jc w:val="center"/>
              <w:rPr>
                <w:rFonts w:ascii="Times New Roman" w:hAnsi="Times New Roman" w:cs="Times New Roman"/>
                <w:bCs/>
                <w:color w:val="auto"/>
                <w:kern w:val="2"/>
                <w:sz w:val="21"/>
                <w:szCs w:val="21"/>
                <w:highlight w:val="none"/>
              </w:rPr>
            </w:pPr>
          </w:p>
        </w:tc>
        <w:tc>
          <w:tcPr>
            <w:tcW w:w="985" w:type="dxa"/>
            <w:vAlign w:val="center"/>
          </w:tcPr>
          <w:p w14:paraId="28761DE3">
            <w:pPr>
              <w:keepNext w:val="0"/>
              <w:keepLines w:val="0"/>
              <w:pageBreakBefore w:val="0"/>
              <w:widowControl w:val="0"/>
              <w:kinsoku/>
              <w:wordWrap/>
              <w:overflowPunct/>
              <w:topLinePunct w:val="0"/>
              <w:autoSpaceDE/>
              <w:autoSpaceDN/>
              <w:bidi w:val="0"/>
              <w:adjustRightInd/>
              <w:snapToGrid/>
              <w:ind w:left="0" w:right="0"/>
              <w:jc w:val="center"/>
              <w:rPr>
                <w:rFonts w:hint="default" w:ascii="Times New Roman" w:hAnsi="Times New Roman" w:eastAsia="宋体" w:cs="Times New Roman"/>
                <w:bCs/>
                <w:color w:val="auto"/>
                <w:kern w:val="2"/>
                <w:sz w:val="21"/>
                <w:szCs w:val="21"/>
                <w:highlight w:val="none"/>
                <w:lang w:val="en-US" w:eastAsia="zh-CN"/>
              </w:rPr>
            </w:pPr>
            <w:r>
              <w:rPr>
                <w:rFonts w:hint="eastAsia" w:ascii="Times New Roman" w:hAnsi="Times New Roman" w:cs="Times New Roman"/>
                <w:bCs/>
                <w:color w:val="auto"/>
                <w:kern w:val="2"/>
                <w:sz w:val="21"/>
                <w:szCs w:val="21"/>
                <w:highlight w:val="none"/>
                <w:lang w:val="en-US" w:eastAsia="zh-CN"/>
              </w:rPr>
              <w:t>1.25</w:t>
            </w:r>
          </w:p>
        </w:tc>
      </w:tr>
      <w:tr w14:paraId="0364131F">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461" w:type="dxa"/>
            <w:vAlign w:val="center"/>
          </w:tcPr>
          <w:p w14:paraId="24849E85">
            <w:pPr>
              <w:keepNext w:val="0"/>
              <w:keepLines w:val="0"/>
              <w:pageBreakBefore w:val="0"/>
              <w:widowControl w:val="0"/>
              <w:numPr>
                <w:ilvl w:val="0"/>
                <w:numId w:val="23"/>
              </w:numPr>
              <w:kinsoku/>
              <w:wordWrap/>
              <w:overflowPunct/>
              <w:topLinePunct w:val="0"/>
              <w:autoSpaceDE/>
              <w:autoSpaceDN/>
              <w:bidi w:val="0"/>
              <w:adjustRightInd/>
              <w:snapToGrid/>
              <w:ind w:left="0" w:right="0"/>
              <w:jc w:val="center"/>
              <w:rPr>
                <w:rFonts w:ascii="Times New Roman" w:hAnsi="Times New Roman" w:cs="Times New Roman"/>
                <w:bCs/>
                <w:color w:val="auto"/>
                <w:kern w:val="2"/>
                <w:sz w:val="21"/>
                <w:szCs w:val="21"/>
                <w:highlight w:val="none"/>
              </w:rPr>
            </w:pPr>
          </w:p>
        </w:tc>
        <w:tc>
          <w:tcPr>
            <w:tcW w:w="819" w:type="dxa"/>
            <w:vMerge w:val="restart"/>
            <w:vAlign w:val="center"/>
          </w:tcPr>
          <w:p w14:paraId="2D62D312">
            <w:pPr>
              <w:keepNext w:val="0"/>
              <w:keepLines w:val="0"/>
              <w:pageBreakBefore w:val="0"/>
              <w:widowControl w:val="0"/>
              <w:kinsoku/>
              <w:wordWrap/>
              <w:overflowPunct/>
              <w:topLinePunct w:val="0"/>
              <w:autoSpaceDE/>
              <w:autoSpaceDN/>
              <w:bidi w:val="0"/>
              <w:adjustRightInd/>
              <w:snapToGrid/>
              <w:ind w:left="0" w:right="0"/>
              <w:jc w:val="center"/>
              <w:rPr>
                <w:rFonts w:hint="eastAsia" w:ascii="Times New Roman" w:hAnsi="Times New Roman" w:eastAsia="宋体" w:cs="Times New Roman"/>
                <w:bCs/>
                <w:color w:val="auto"/>
                <w:kern w:val="2"/>
                <w:sz w:val="21"/>
                <w:szCs w:val="21"/>
                <w:highlight w:val="none"/>
                <w:lang w:val="en-US" w:eastAsia="zh-CN"/>
              </w:rPr>
            </w:pPr>
            <w:r>
              <w:rPr>
                <w:rFonts w:ascii="Times New Roman" w:hAnsi="Times New Roman" w:eastAsia="宋体" w:cs="Times New Roman"/>
                <w:color w:val="auto"/>
                <w:sz w:val="21"/>
                <w:szCs w:val="21"/>
                <w:highlight w:val="none"/>
              </w:rPr>
              <w:t>环氧丙烯酸树脂</w:t>
            </w:r>
            <w:r>
              <w:rPr>
                <w:rFonts w:hint="eastAsia" w:ascii="Times New Roman" w:hAnsi="Times New Roman" w:eastAsia="宋体" w:cs="Times New Roman"/>
                <w:color w:val="auto"/>
                <w:sz w:val="21"/>
                <w:szCs w:val="21"/>
                <w:highlight w:val="none"/>
                <w:lang w:val="en-US" w:eastAsia="zh-CN"/>
              </w:rPr>
              <w:t>生产线</w:t>
            </w:r>
          </w:p>
        </w:tc>
        <w:tc>
          <w:tcPr>
            <w:tcW w:w="3996" w:type="dxa"/>
            <w:vAlign w:val="center"/>
          </w:tcPr>
          <w:p w14:paraId="773EA500">
            <w:pPr>
              <w:pStyle w:val="236"/>
              <w:keepNext w:val="0"/>
              <w:keepLines w:val="0"/>
              <w:pageBreakBefore w:val="0"/>
              <w:widowControl/>
              <w:kinsoku/>
              <w:wordWrap/>
              <w:overflowPunct/>
              <w:topLinePunct w:val="0"/>
              <w:autoSpaceDE/>
              <w:autoSpaceDN/>
              <w:bidi w:val="0"/>
              <w:adjustRightInd/>
              <w:snapToGrid/>
              <w:ind w:left="0" w:leftChars="0" w:right="0" w:rightChars="0"/>
              <w:jc w:val="center"/>
              <w:textAlignment w:val="auto"/>
              <w:rPr>
                <w:rFonts w:ascii="Times New Roman" w:hAnsi="Times New Roman" w:eastAsia="宋体" w:cs="Times New Roman"/>
                <w:color w:val="auto"/>
                <w:sz w:val="21"/>
                <w:szCs w:val="21"/>
                <w:highlight w:val="none"/>
                <w:lang w:val="en-US" w:eastAsia="en-US" w:bidi="ar-SA"/>
              </w:rPr>
            </w:pPr>
            <w:r>
              <w:rPr>
                <w:rFonts w:ascii="Times New Roman" w:hAnsi="Times New Roman" w:eastAsia="宋体" w:cs="Times New Roman"/>
                <w:color w:val="auto"/>
                <w:sz w:val="21"/>
                <w:szCs w:val="21"/>
                <w:highlight w:val="none"/>
              </w:rPr>
              <w:t>酚醛环氧树脂</w:t>
            </w:r>
          </w:p>
        </w:tc>
        <w:tc>
          <w:tcPr>
            <w:tcW w:w="1311" w:type="dxa"/>
            <w:vMerge w:val="continue"/>
            <w:vAlign w:val="center"/>
          </w:tcPr>
          <w:p w14:paraId="0464D022">
            <w:pPr>
              <w:keepNext w:val="0"/>
              <w:keepLines w:val="0"/>
              <w:pageBreakBefore w:val="0"/>
              <w:widowControl w:val="0"/>
              <w:kinsoku/>
              <w:wordWrap/>
              <w:overflowPunct/>
              <w:topLinePunct w:val="0"/>
              <w:autoSpaceDE/>
              <w:autoSpaceDN/>
              <w:bidi w:val="0"/>
              <w:adjustRightInd/>
              <w:snapToGrid/>
              <w:ind w:left="0" w:right="0"/>
              <w:jc w:val="center"/>
              <w:rPr>
                <w:rFonts w:ascii="Times New Roman" w:hAnsi="Times New Roman" w:cs="Times New Roman"/>
                <w:bCs/>
                <w:color w:val="auto"/>
                <w:kern w:val="2"/>
                <w:sz w:val="21"/>
                <w:szCs w:val="21"/>
                <w:highlight w:val="none"/>
              </w:rPr>
            </w:pPr>
          </w:p>
        </w:tc>
        <w:tc>
          <w:tcPr>
            <w:tcW w:w="932" w:type="dxa"/>
            <w:vMerge w:val="continue"/>
            <w:vAlign w:val="center"/>
          </w:tcPr>
          <w:p w14:paraId="0732CEC8">
            <w:pPr>
              <w:keepNext w:val="0"/>
              <w:keepLines w:val="0"/>
              <w:pageBreakBefore w:val="0"/>
              <w:widowControl w:val="0"/>
              <w:kinsoku/>
              <w:wordWrap/>
              <w:overflowPunct/>
              <w:topLinePunct w:val="0"/>
              <w:autoSpaceDE/>
              <w:autoSpaceDN/>
              <w:bidi w:val="0"/>
              <w:adjustRightInd/>
              <w:snapToGrid/>
              <w:ind w:left="0" w:right="0"/>
              <w:jc w:val="center"/>
              <w:rPr>
                <w:rFonts w:ascii="Times New Roman" w:hAnsi="Times New Roman" w:cs="Times New Roman"/>
                <w:bCs/>
                <w:color w:val="auto"/>
                <w:kern w:val="2"/>
                <w:sz w:val="21"/>
                <w:szCs w:val="21"/>
                <w:highlight w:val="none"/>
              </w:rPr>
            </w:pPr>
          </w:p>
        </w:tc>
        <w:tc>
          <w:tcPr>
            <w:tcW w:w="985" w:type="dxa"/>
            <w:vAlign w:val="center"/>
          </w:tcPr>
          <w:p w14:paraId="54C58BBF">
            <w:pPr>
              <w:keepNext w:val="0"/>
              <w:keepLines w:val="0"/>
              <w:pageBreakBefore w:val="0"/>
              <w:widowControl w:val="0"/>
              <w:kinsoku/>
              <w:wordWrap/>
              <w:overflowPunct/>
              <w:topLinePunct w:val="0"/>
              <w:autoSpaceDE/>
              <w:autoSpaceDN/>
              <w:bidi w:val="0"/>
              <w:adjustRightInd/>
              <w:snapToGrid/>
              <w:ind w:left="0" w:right="0"/>
              <w:jc w:val="center"/>
              <w:rPr>
                <w:rFonts w:hint="eastAsia" w:ascii="Times New Roman" w:hAnsi="Times New Roman" w:eastAsia="宋体" w:cs="Times New Roman"/>
                <w:bCs/>
                <w:color w:val="auto"/>
                <w:kern w:val="2"/>
                <w:sz w:val="21"/>
                <w:szCs w:val="21"/>
                <w:highlight w:val="none"/>
                <w:lang w:val="en-US" w:eastAsia="zh-CN"/>
              </w:rPr>
            </w:pPr>
            <w:r>
              <w:rPr>
                <w:rFonts w:hint="eastAsia" w:ascii="Times New Roman" w:hAnsi="Times New Roman" w:cs="Times New Roman"/>
                <w:bCs/>
                <w:color w:val="auto"/>
                <w:kern w:val="2"/>
                <w:sz w:val="21"/>
                <w:szCs w:val="21"/>
                <w:highlight w:val="none"/>
                <w:lang w:val="en-US" w:eastAsia="zh-CN"/>
              </w:rPr>
              <w:t>1</w:t>
            </w:r>
          </w:p>
        </w:tc>
      </w:tr>
      <w:tr w14:paraId="34509452">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461" w:type="dxa"/>
            <w:vAlign w:val="center"/>
          </w:tcPr>
          <w:p w14:paraId="7E11DA55">
            <w:pPr>
              <w:keepNext w:val="0"/>
              <w:keepLines w:val="0"/>
              <w:pageBreakBefore w:val="0"/>
              <w:widowControl w:val="0"/>
              <w:numPr>
                <w:ilvl w:val="0"/>
                <w:numId w:val="23"/>
              </w:numPr>
              <w:kinsoku/>
              <w:wordWrap/>
              <w:overflowPunct/>
              <w:topLinePunct w:val="0"/>
              <w:autoSpaceDE/>
              <w:autoSpaceDN/>
              <w:bidi w:val="0"/>
              <w:adjustRightInd/>
              <w:snapToGrid/>
              <w:ind w:left="0" w:right="0"/>
              <w:jc w:val="center"/>
              <w:rPr>
                <w:rFonts w:ascii="Times New Roman" w:hAnsi="Times New Roman" w:cs="Times New Roman"/>
                <w:bCs/>
                <w:color w:val="auto"/>
                <w:kern w:val="2"/>
                <w:sz w:val="21"/>
                <w:szCs w:val="21"/>
                <w:highlight w:val="none"/>
              </w:rPr>
            </w:pPr>
          </w:p>
        </w:tc>
        <w:tc>
          <w:tcPr>
            <w:tcW w:w="819" w:type="dxa"/>
            <w:vMerge w:val="continue"/>
            <w:vAlign w:val="center"/>
          </w:tcPr>
          <w:p w14:paraId="4D97423D">
            <w:pPr>
              <w:keepNext w:val="0"/>
              <w:keepLines w:val="0"/>
              <w:pageBreakBefore w:val="0"/>
              <w:widowControl w:val="0"/>
              <w:kinsoku/>
              <w:wordWrap/>
              <w:overflowPunct/>
              <w:topLinePunct w:val="0"/>
              <w:autoSpaceDE/>
              <w:autoSpaceDN/>
              <w:bidi w:val="0"/>
              <w:adjustRightInd/>
              <w:snapToGrid/>
              <w:ind w:left="0" w:right="0"/>
              <w:jc w:val="center"/>
              <w:rPr>
                <w:rFonts w:ascii="Times New Roman" w:hAnsi="Times New Roman" w:cs="Times New Roman"/>
                <w:bCs/>
                <w:color w:val="auto"/>
                <w:kern w:val="2"/>
                <w:sz w:val="21"/>
                <w:szCs w:val="21"/>
                <w:highlight w:val="none"/>
              </w:rPr>
            </w:pPr>
          </w:p>
        </w:tc>
        <w:tc>
          <w:tcPr>
            <w:tcW w:w="3996" w:type="dxa"/>
            <w:vAlign w:val="center"/>
          </w:tcPr>
          <w:p w14:paraId="59E2C294">
            <w:pPr>
              <w:pStyle w:val="236"/>
              <w:keepNext w:val="0"/>
              <w:keepLines w:val="0"/>
              <w:pageBreakBefore w:val="0"/>
              <w:widowControl/>
              <w:kinsoku/>
              <w:wordWrap/>
              <w:overflowPunct/>
              <w:topLinePunct w:val="0"/>
              <w:autoSpaceDE/>
              <w:autoSpaceDN/>
              <w:bidi w:val="0"/>
              <w:adjustRightInd/>
              <w:snapToGrid/>
              <w:ind w:left="0" w:leftChars="0" w:right="0" w:rightChars="0"/>
              <w:jc w:val="center"/>
              <w:textAlignment w:val="auto"/>
              <w:rPr>
                <w:rFonts w:ascii="Times New Roman" w:hAnsi="Times New Roman" w:eastAsia="宋体" w:cs="Times New Roman"/>
                <w:color w:val="auto"/>
                <w:sz w:val="21"/>
                <w:szCs w:val="21"/>
                <w:highlight w:val="none"/>
                <w:lang w:val="en-US" w:eastAsia="en-US" w:bidi="ar-SA"/>
              </w:rPr>
            </w:pPr>
            <w:r>
              <w:rPr>
                <w:rFonts w:ascii="Times New Roman" w:hAnsi="Times New Roman" w:eastAsia="宋体" w:cs="Times New Roman"/>
                <w:color w:val="auto"/>
                <w:sz w:val="21"/>
                <w:szCs w:val="21"/>
                <w:highlight w:val="none"/>
              </w:rPr>
              <w:t>丙烯酸</w:t>
            </w:r>
          </w:p>
        </w:tc>
        <w:tc>
          <w:tcPr>
            <w:tcW w:w="1311" w:type="dxa"/>
            <w:vMerge w:val="continue"/>
            <w:vAlign w:val="center"/>
          </w:tcPr>
          <w:p w14:paraId="02EFF6AB">
            <w:pPr>
              <w:keepNext w:val="0"/>
              <w:keepLines w:val="0"/>
              <w:pageBreakBefore w:val="0"/>
              <w:widowControl w:val="0"/>
              <w:kinsoku/>
              <w:wordWrap/>
              <w:overflowPunct/>
              <w:topLinePunct w:val="0"/>
              <w:autoSpaceDE/>
              <w:autoSpaceDN/>
              <w:bidi w:val="0"/>
              <w:adjustRightInd/>
              <w:snapToGrid/>
              <w:ind w:left="0" w:right="0"/>
              <w:jc w:val="center"/>
              <w:rPr>
                <w:rFonts w:ascii="Times New Roman" w:hAnsi="Times New Roman" w:cs="Times New Roman"/>
                <w:bCs/>
                <w:color w:val="auto"/>
                <w:kern w:val="2"/>
                <w:sz w:val="21"/>
                <w:szCs w:val="21"/>
                <w:highlight w:val="none"/>
              </w:rPr>
            </w:pPr>
          </w:p>
        </w:tc>
        <w:tc>
          <w:tcPr>
            <w:tcW w:w="932" w:type="dxa"/>
            <w:vMerge w:val="continue"/>
            <w:vAlign w:val="center"/>
          </w:tcPr>
          <w:p w14:paraId="11C5C417">
            <w:pPr>
              <w:keepNext w:val="0"/>
              <w:keepLines w:val="0"/>
              <w:pageBreakBefore w:val="0"/>
              <w:widowControl w:val="0"/>
              <w:kinsoku/>
              <w:wordWrap/>
              <w:overflowPunct/>
              <w:topLinePunct w:val="0"/>
              <w:autoSpaceDE/>
              <w:autoSpaceDN/>
              <w:bidi w:val="0"/>
              <w:adjustRightInd/>
              <w:snapToGrid/>
              <w:ind w:left="0" w:right="0"/>
              <w:jc w:val="center"/>
              <w:rPr>
                <w:rFonts w:ascii="Times New Roman" w:hAnsi="Times New Roman" w:cs="Times New Roman"/>
                <w:bCs/>
                <w:color w:val="auto"/>
                <w:kern w:val="2"/>
                <w:sz w:val="21"/>
                <w:szCs w:val="21"/>
                <w:highlight w:val="none"/>
              </w:rPr>
            </w:pPr>
          </w:p>
        </w:tc>
        <w:tc>
          <w:tcPr>
            <w:tcW w:w="985" w:type="dxa"/>
            <w:vAlign w:val="center"/>
          </w:tcPr>
          <w:p w14:paraId="1154A5A2">
            <w:pPr>
              <w:keepNext w:val="0"/>
              <w:keepLines w:val="0"/>
              <w:pageBreakBefore w:val="0"/>
              <w:widowControl w:val="0"/>
              <w:kinsoku/>
              <w:wordWrap/>
              <w:overflowPunct/>
              <w:topLinePunct w:val="0"/>
              <w:autoSpaceDE/>
              <w:autoSpaceDN/>
              <w:bidi w:val="0"/>
              <w:adjustRightInd/>
              <w:snapToGrid/>
              <w:ind w:left="0" w:right="0"/>
              <w:jc w:val="center"/>
              <w:rPr>
                <w:rFonts w:hint="eastAsia" w:ascii="Times New Roman" w:hAnsi="Times New Roman" w:eastAsia="宋体" w:cs="Times New Roman"/>
                <w:bCs/>
                <w:color w:val="auto"/>
                <w:kern w:val="2"/>
                <w:sz w:val="21"/>
                <w:szCs w:val="21"/>
                <w:highlight w:val="none"/>
                <w:lang w:val="en-US" w:eastAsia="zh-CN"/>
              </w:rPr>
            </w:pPr>
            <w:r>
              <w:rPr>
                <w:rFonts w:hint="eastAsia" w:ascii="Times New Roman" w:hAnsi="Times New Roman" w:cs="Times New Roman"/>
                <w:bCs/>
                <w:color w:val="auto"/>
                <w:kern w:val="2"/>
                <w:sz w:val="21"/>
                <w:szCs w:val="21"/>
                <w:highlight w:val="none"/>
                <w:lang w:val="en-US" w:eastAsia="zh-CN"/>
              </w:rPr>
              <w:t>1</w:t>
            </w:r>
          </w:p>
        </w:tc>
      </w:tr>
      <w:tr w14:paraId="3437AE12">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461" w:type="dxa"/>
            <w:vAlign w:val="center"/>
          </w:tcPr>
          <w:p w14:paraId="15887DA2">
            <w:pPr>
              <w:keepNext w:val="0"/>
              <w:keepLines w:val="0"/>
              <w:pageBreakBefore w:val="0"/>
              <w:widowControl w:val="0"/>
              <w:numPr>
                <w:ilvl w:val="0"/>
                <w:numId w:val="23"/>
              </w:numPr>
              <w:kinsoku/>
              <w:wordWrap/>
              <w:overflowPunct/>
              <w:topLinePunct w:val="0"/>
              <w:autoSpaceDE/>
              <w:autoSpaceDN/>
              <w:bidi w:val="0"/>
              <w:adjustRightInd/>
              <w:snapToGrid/>
              <w:ind w:left="0" w:right="0"/>
              <w:jc w:val="center"/>
              <w:rPr>
                <w:rFonts w:ascii="Times New Roman" w:hAnsi="Times New Roman" w:cs="Times New Roman"/>
                <w:bCs/>
                <w:color w:val="auto"/>
                <w:kern w:val="2"/>
                <w:sz w:val="21"/>
                <w:szCs w:val="21"/>
                <w:highlight w:val="none"/>
              </w:rPr>
            </w:pPr>
          </w:p>
        </w:tc>
        <w:tc>
          <w:tcPr>
            <w:tcW w:w="819" w:type="dxa"/>
            <w:vMerge w:val="continue"/>
            <w:vAlign w:val="center"/>
          </w:tcPr>
          <w:p w14:paraId="2CB84855">
            <w:pPr>
              <w:keepNext w:val="0"/>
              <w:keepLines w:val="0"/>
              <w:pageBreakBefore w:val="0"/>
              <w:widowControl w:val="0"/>
              <w:kinsoku/>
              <w:wordWrap/>
              <w:overflowPunct/>
              <w:topLinePunct w:val="0"/>
              <w:autoSpaceDE/>
              <w:autoSpaceDN/>
              <w:bidi w:val="0"/>
              <w:adjustRightInd/>
              <w:snapToGrid/>
              <w:ind w:left="0" w:right="0"/>
              <w:jc w:val="center"/>
              <w:rPr>
                <w:rFonts w:ascii="Times New Roman" w:hAnsi="Times New Roman" w:cs="Times New Roman"/>
                <w:bCs/>
                <w:color w:val="auto"/>
                <w:kern w:val="2"/>
                <w:sz w:val="21"/>
                <w:szCs w:val="21"/>
                <w:highlight w:val="none"/>
              </w:rPr>
            </w:pPr>
          </w:p>
        </w:tc>
        <w:tc>
          <w:tcPr>
            <w:tcW w:w="3996" w:type="dxa"/>
            <w:vAlign w:val="center"/>
          </w:tcPr>
          <w:p w14:paraId="715DA177">
            <w:pPr>
              <w:pStyle w:val="236"/>
              <w:keepNext w:val="0"/>
              <w:keepLines w:val="0"/>
              <w:pageBreakBefore w:val="0"/>
              <w:widowControl/>
              <w:kinsoku/>
              <w:wordWrap/>
              <w:overflowPunct/>
              <w:topLinePunct w:val="0"/>
              <w:autoSpaceDE/>
              <w:autoSpaceDN/>
              <w:bidi w:val="0"/>
              <w:adjustRightInd/>
              <w:snapToGrid/>
              <w:ind w:left="0" w:leftChars="0" w:right="0" w:rightChars="0"/>
              <w:jc w:val="center"/>
              <w:textAlignment w:val="auto"/>
              <w:rPr>
                <w:rFonts w:ascii="Times New Roman" w:hAnsi="Times New Roman" w:eastAsia="宋体" w:cs="Times New Roman"/>
                <w:color w:val="auto"/>
                <w:sz w:val="21"/>
                <w:szCs w:val="21"/>
                <w:highlight w:val="none"/>
                <w:lang w:val="en-US" w:eastAsia="zh-CN" w:bidi="ar-SA"/>
              </w:rPr>
            </w:pPr>
            <w:r>
              <w:rPr>
                <w:rFonts w:ascii="Times New Roman" w:hAnsi="Times New Roman" w:eastAsia="宋体" w:cs="Times New Roman"/>
                <w:color w:val="auto"/>
                <w:sz w:val="21"/>
                <w:szCs w:val="21"/>
                <w:highlight w:val="none"/>
                <w:lang w:eastAsia="zh-CN"/>
              </w:rPr>
              <w:t>2-乙二醇单乙醚醋酯（溶剂）</w:t>
            </w:r>
          </w:p>
        </w:tc>
        <w:tc>
          <w:tcPr>
            <w:tcW w:w="1311" w:type="dxa"/>
            <w:vMerge w:val="continue"/>
            <w:vAlign w:val="center"/>
          </w:tcPr>
          <w:p w14:paraId="13B258BF">
            <w:pPr>
              <w:keepNext w:val="0"/>
              <w:keepLines w:val="0"/>
              <w:pageBreakBefore w:val="0"/>
              <w:widowControl w:val="0"/>
              <w:kinsoku/>
              <w:wordWrap/>
              <w:overflowPunct/>
              <w:topLinePunct w:val="0"/>
              <w:autoSpaceDE/>
              <w:autoSpaceDN/>
              <w:bidi w:val="0"/>
              <w:adjustRightInd/>
              <w:snapToGrid/>
              <w:ind w:left="0" w:right="0"/>
              <w:jc w:val="center"/>
              <w:rPr>
                <w:rFonts w:ascii="Times New Roman" w:hAnsi="Times New Roman" w:cs="Times New Roman"/>
                <w:bCs/>
                <w:color w:val="auto"/>
                <w:kern w:val="2"/>
                <w:sz w:val="21"/>
                <w:szCs w:val="21"/>
                <w:highlight w:val="none"/>
              </w:rPr>
            </w:pPr>
          </w:p>
        </w:tc>
        <w:tc>
          <w:tcPr>
            <w:tcW w:w="932" w:type="dxa"/>
            <w:vMerge w:val="continue"/>
            <w:vAlign w:val="center"/>
          </w:tcPr>
          <w:p w14:paraId="4BCA5879">
            <w:pPr>
              <w:keepNext w:val="0"/>
              <w:keepLines w:val="0"/>
              <w:pageBreakBefore w:val="0"/>
              <w:widowControl w:val="0"/>
              <w:kinsoku/>
              <w:wordWrap/>
              <w:overflowPunct/>
              <w:topLinePunct w:val="0"/>
              <w:autoSpaceDE/>
              <w:autoSpaceDN/>
              <w:bidi w:val="0"/>
              <w:adjustRightInd/>
              <w:snapToGrid/>
              <w:ind w:left="0" w:right="0"/>
              <w:jc w:val="center"/>
              <w:rPr>
                <w:rFonts w:ascii="Times New Roman" w:hAnsi="Times New Roman" w:cs="Times New Roman"/>
                <w:bCs/>
                <w:color w:val="auto"/>
                <w:kern w:val="2"/>
                <w:sz w:val="21"/>
                <w:szCs w:val="21"/>
                <w:highlight w:val="none"/>
              </w:rPr>
            </w:pPr>
          </w:p>
        </w:tc>
        <w:tc>
          <w:tcPr>
            <w:tcW w:w="985" w:type="dxa"/>
            <w:vAlign w:val="center"/>
          </w:tcPr>
          <w:p w14:paraId="5B0F8DF8">
            <w:pPr>
              <w:keepNext w:val="0"/>
              <w:keepLines w:val="0"/>
              <w:pageBreakBefore w:val="0"/>
              <w:widowControl w:val="0"/>
              <w:kinsoku/>
              <w:wordWrap/>
              <w:overflowPunct/>
              <w:topLinePunct w:val="0"/>
              <w:autoSpaceDE/>
              <w:autoSpaceDN/>
              <w:bidi w:val="0"/>
              <w:adjustRightInd/>
              <w:snapToGrid/>
              <w:ind w:left="0" w:right="0"/>
              <w:jc w:val="center"/>
              <w:rPr>
                <w:rFonts w:hint="eastAsia" w:ascii="Times New Roman" w:hAnsi="Times New Roman" w:eastAsia="宋体" w:cs="Times New Roman"/>
                <w:bCs/>
                <w:color w:val="auto"/>
                <w:kern w:val="2"/>
                <w:sz w:val="21"/>
                <w:szCs w:val="21"/>
                <w:highlight w:val="none"/>
                <w:lang w:val="en-US" w:eastAsia="zh-CN"/>
              </w:rPr>
            </w:pPr>
            <w:r>
              <w:rPr>
                <w:rFonts w:hint="eastAsia" w:ascii="Times New Roman" w:hAnsi="Times New Roman" w:cs="Times New Roman"/>
                <w:bCs/>
                <w:color w:val="auto"/>
                <w:kern w:val="2"/>
                <w:sz w:val="21"/>
                <w:szCs w:val="21"/>
                <w:highlight w:val="none"/>
                <w:lang w:val="en-US" w:eastAsia="zh-CN"/>
              </w:rPr>
              <w:t>1</w:t>
            </w:r>
          </w:p>
        </w:tc>
      </w:tr>
      <w:tr w14:paraId="6797AB00">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461" w:type="dxa"/>
            <w:vAlign w:val="center"/>
          </w:tcPr>
          <w:p w14:paraId="521276FC">
            <w:pPr>
              <w:keepNext w:val="0"/>
              <w:keepLines w:val="0"/>
              <w:pageBreakBefore w:val="0"/>
              <w:widowControl w:val="0"/>
              <w:numPr>
                <w:ilvl w:val="0"/>
                <w:numId w:val="23"/>
              </w:numPr>
              <w:kinsoku/>
              <w:wordWrap/>
              <w:overflowPunct/>
              <w:topLinePunct w:val="0"/>
              <w:autoSpaceDE/>
              <w:autoSpaceDN/>
              <w:bidi w:val="0"/>
              <w:adjustRightInd/>
              <w:snapToGrid/>
              <w:ind w:left="0" w:right="0"/>
              <w:jc w:val="center"/>
              <w:rPr>
                <w:rFonts w:ascii="Times New Roman" w:hAnsi="Times New Roman" w:cs="Times New Roman"/>
                <w:bCs/>
                <w:color w:val="auto"/>
                <w:kern w:val="2"/>
                <w:sz w:val="21"/>
                <w:szCs w:val="21"/>
                <w:highlight w:val="none"/>
              </w:rPr>
            </w:pPr>
          </w:p>
        </w:tc>
        <w:tc>
          <w:tcPr>
            <w:tcW w:w="819" w:type="dxa"/>
            <w:vMerge w:val="continue"/>
            <w:vAlign w:val="center"/>
          </w:tcPr>
          <w:p w14:paraId="1EBE14C7">
            <w:pPr>
              <w:keepNext w:val="0"/>
              <w:keepLines w:val="0"/>
              <w:pageBreakBefore w:val="0"/>
              <w:widowControl w:val="0"/>
              <w:kinsoku/>
              <w:wordWrap/>
              <w:overflowPunct/>
              <w:topLinePunct w:val="0"/>
              <w:autoSpaceDE/>
              <w:autoSpaceDN/>
              <w:bidi w:val="0"/>
              <w:adjustRightInd/>
              <w:snapToGrid/>
              <w:ind w:left="0" w:right="0"/>
              <w:jc w:val="center"/>
              <w:rPr>
                <w:rFonts w:ascii="Times New Roman" w:hAnsi="Times New Roman" w:cs="Times New Roman"/>
                <w:bCs/>
                <w:color w:val="auto"/>
                <w:kern w:val="2"/>
                <w:sz w:val="21"/>
                <w:szCs w:val="21"/>
                <w:highlight w:val="none"/>
              </w:rPr>
            </w:pPr>
          </w:p>
        </w:tc>
        <w:tc>
          <w:tcPr>
            <w:tcW w:w="3996" w:type="dxa"/>
            <w:vAlign w:val="center"/>
          </w:tcPr>
          <w:p w14:paraId="680D5570">
            <w:pPr>
              <w:pStyle w:val="236"/>
              <w:keepNext w:val="0"/>
              <w:keepLines w:val="0"/>
              <w:pageBreakBefore w:val="0"/>
              <w:widowControl/>
              <w:kinsoku/>
              <w:wordWrap/>
              <w:overflowPunct/>
              <w:topLinePunct w:val="0"/>
              <w:autoSpaceDE/>
              <w:autoSpaceDN/>
              <w:bidi w:val="0"/>
              <w:adjustRightInd/>
              <w:snapToGrid/>
              <w:ind w:left="0" w:leftChars="0" w:right="0" w:rightChars="0"/>
              <w:jc w:val="center"/>
              <w:textAlignment w:val="auto"/>
              <w:rPr>
                <w:rFonts w:ascii="Times New Roman" w:hAnsi="Times New Roman" w:eastAsia="宋体" w:cs="Times New Roman"/>
                <w:color w:val="auto"/>
                <w:sz w:val="21"/>
                <w:szCs w:val="21"/>
                <w:highlight w:val="none"/>
                <w:lang w:val="en-US" w:eastAsia="en-US" w:bidi="ar-SA"/>
              </w:rPr>
            </w:pPr>
            <w:r>
              <w:rPr>
                <w:rFonts w:ascii="Times New Roman" w:hAnsi="Times New Roman" w:eastAsia="宋体" w:cs="Times New Roman"/>
                <w:color w:val="auto"/>
                <w:sz w:val="21"/>
                <w:szCs w:val="21"/>
                <w:highlight w:val="none"/>
              </w:rPr>
              <w:t>重溶剂油（溶剂）</w:t>
            </w:r>
          </w:p>
        </w:tc>
        <w:tc>
          <w:tcPr>
            <w:tcW w:w="1311" w:type="dxa"/>
            <w:vMerge w:val="continue"/>
            <w:vAlign w:val="center"/>
          </w:tcPr>
          <w:p w14:paraId="74165A98">
            <w:pPr>
              <w:keepNext w:val="0"/>
              <w:keepLines w:val="0"/>
              <w:pageBreakBefore w:val="0"/>
              <w:widowControl w:val="0"/>
              <w:kinsoku/>
              <w:wordWrap/>
              <w:overflowPunct/>
              <w:topLinePunct w:val="0"/>
              <w:autoSpaceDE/>
              <w:autoSpaceDN/>
              <w:bidi w:val="0"/>
              <w:adjustRightInd/>
              <w:snapToGrid/>
              <w:ind w:left="0" w:right="0"/>
              <w:jc w:val="center"/>
              <w:rPr>
                <w:rFonts w:ascii="Times New Roman" w:hAnsi="Times New Roman" w:cs="Times New Roman"/>
                <w:bCs/>
                <w:color w:val="auto"/>
                <w:kern w:val="2"/>
                <w:sz w:val="21"/>
                <w:szCs w:val="21"/>
                <w:highlight w:val="none"/>
              </w:rPr>
            </w:pPr>
          </w:p>
        </w:tc>
        <w:tc>
          <w:tcPr>
            <w:tcW w:w="932" w:type="dxa"/>
            <w:vMerge w:val="continue"/>
            <w:vAlign w:val="center"/>
          </w:tcPr>
          <w:p w14:paraId="4346B44B">
            <w:pPr>
              <w:keepNext w:val="0"/>
              <w:keepLines w:val="0"/>
              <w:pageBreakBefore w:val="0"/>
              <w:widowControl w:val="0"/>
              <w:kinsoku/>
              <w:wordWrap/>
              <w:overflowPunct/>
              <w:topLinePunct w:val="0"/>
              <w:autoSpaceDE/>
              <w:autoSpaceDN/>
              <w:bidi w:val="0"/>
              <w:adjustRightInd/>
              <w:snapToGrid/>
              <w:ind w:left="0" w:right="0"/>
              <w:jc w:val="center"/>
              <w:rPr>
                <w:rFonts w:ascii="Times New Roman" w:hAnsi="Times New Roman" w:cs="Times New Roman"/>
                <w:bCs/>
                <w:color w:val="auto"/>
                <w:kern w:val="2"/>
                <w:sz w:val="21"/>
                <w:szCs w:val="21"/>
                <w:highlight w:val="none"/>
              </w:rPr>
            </w:pPr>
          </w:p>
        </w:tc>
        <w:tc>
          <w:tcPr>
            <w:tcW w:w="985" w:type="dxa"/>
            <w:vAlign w:val="center"/>
          </w:tcPr>
          <w:p w14:paraId="1B91DD6D">
            <w:pPr>
              <w:keepNext w:val="0"/>
              <w:keepLines w:val="0"/>
              <w:pageBreakBefore w:val="0"/>
              <w:widowControl w:val="0"/>
              <w:kinsoku/>
              <w:wordWrap/>
              <w:overflowPunct/>
              <w:topLinePunct w:val="0"/>
              <w:autoSpaceDE/>
              <w:autoSpaceDN/>
              <w:bidi w:val="0"/>
              <w:adjustRightInd/>
              <w:snapToGrid/>
              <w:ind w:left="0" w:right="0"/>
              <w:jc w:val="center"/>
              <w:rPr>
                <w:rFonts w:hint="eastAsia" w:ascii="Times New Roman" w:hAnsi="Times New Roman" w:eastAsia="宋体" w:cs="Times New Roman"/>
                <w:bCs/>
                <w:color w:val="auto"/>
                <w:kern w:val="2"/>
                <w:sz w:val="21"/>
                <w:szCs w:val="21"/>
                <w:highlight w:val="none"/>
                <w:lang w:val="en-US" w:eastAsia="zh-CN"/>
              </w:rPr>
            </w:pPr>
            <w:r>
              <w:rPr>
                <w:rFonts w:hint="eastAsia" w:ascii="Times New Roman" w:hAnsi="Times New Roman" w:cs="Times New Roman"/>
                <w:bCs/>
                <w:color w:val="auto"/>
                <w:kern w:val="2"/>
                <w:sz w:val="21"/>
                <w:szCs w:val="21"/>
                <w:highlight w:val="none"/>
                <w:lang w:val="en-US" w:eastAsia="zh-CN"/>
              </w:rPr>
              <w:t>1</w:t>
            </w:r>
          </w:p>
        </w:tc>
      </w:tr>
      <w:tr w14:paraId="6C09877A">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461" w:type="dxa"/>
            <w:vAlign w:val="center"/>
          </w:tcPr>
          <w:p w14:paraId="165601C5">
            <w:pPr>
              <w:keepNext w:val="0"/>
              <w:keepLines w:val="0"/>
              <w:pageBreakBefore w:val="0"/>
              <w:widowControl w:val="0"/>
              <w:numPr>
                <w:ilvl w:val="0"/>
                <w:numId w:val="23"/>
              </w:numPr>
              <w:kinsoku/>
              <w:wordWrap/>
              <w:overflowPunct/>
              <w:topLinePunct w:val="0"/>
              <w:autoSpaceDE/>
              <w:autoSpaceDN/>
              <w:bidi w:val="0"/>
              <w:adjustRightInd/>
              <w:snapToGrid/>
              <w:ind w:left="0" w:right="0"/>
              <w:jc w:val="center"/>
              <w:rPr>
                <w:rFonts w:ascii="Times New Roman" w:hAnsi="Times New Roman" w:cs="Times New Roman"/>
                <w:bCs/>
                <w:color w:val="auto"/>
                <w:kern w:val="2"/>
                <w:sz w:val="21"/>
                <w:szCs w:val="21"/>
                <w:highlight w:val="none"/>
              </w:rPr>
            </w:pPr>
          </w:p>
        </w:tc>
        <w:tc>
          <w:tcPr>
            <w:tcW w:w="819" w:type="dxa"/>
            <w:vMerge w:val="continue"/>
            <w:vAlign w:val="center"/>
          </w:tcPr>
          <w:p w14:paraId="2B75625D">
            <w:pPr>
              <w:keepNext w:val="0"/>
              <w:keepLines w:val="0"/>
              <w:pageBreakBefore w:val="0"/>
              <w:widowControl w:val="0"/>
              <w:kinsoku/>
              <w:wordWrap/>
              <w:overflowPunct/>
              <w:topLinePunct w:val="0"/>
              <w:autoSpaceDE/>
              <w:autoSpaceDN/>
              <w:bidi w:val="0"/>
              <w:adjustRightInd/>
              <w:snapToGrid/>
              <w:ind w:left="0" w:right="0"/>
              <w:jc w:val="center"/>
              <w:rPr>
                <w:rFonts w:ascii="Times New Roman" w:hAnsi="Times New Roman" w:cs="Times New Roman"/>
                <w:bCs/>
                <w:color w:val="auto"/>
                <w:kern w:val="2"/>
                <w:sz w:val="21"/>
                <w:szCs w:val="21"/>
                <w:highlight w:val="none"/>
              </w:rPr>
            </w:pPr>
          </w:p>
        </w:tc>
        <w:tc>
          <w:tcPr>
            <w:tcW w:w="3996" w:type="dxa"/>
            <w:vAlign w:val="center"/>
          </w:tcPr>
          <w:p w14:paraId="2EA05087">
            <w:pPr>
              <w:pStyle w:val="236"/>
              <w:keepNext w:val="0"/>
              <w:keepLines w:val="0"/>
              <w:pageBreakBefore w:val="0"/>
              <w:widowControl/>
              <w:kinsoku/>
              <w:wordWrap/>
              <w:overflowPunct/>
              <w:topLinePunct w:val="0"/>
              <w:autoSpaceDE/>
              <w:autoSpaceDN/>
              <w:bidi w:val="0"/>
              <w:adjustRightInd/>
              <w:snapToGrid/>
              <w:ind w:left="0" w:leftChars="0" w:right="0" w:rightChars="0"/>
              <w:jc w:val="center"/>
              <w:textAlignment w:val="auto"/>
              <w:rPr>
                <w:rFonts w:ascii="Times New Roman" w:hAnsi="Times New Roman" w:eastAsia="宋体" w:cs="Times New Roman"/>
                <w:color w:val="auto"/>
                <w:sz w:val="21"/>
                <w:szCs w:val="21"/>
                <w:highlight w:val="none"/>
                <w:lang w:val="en-US" w:eastAsia="zh-CN" w:bidi="ar-SA"/>
              </w:rPr>
            </w:pPr>
            <w:r>
              <w:rPr>
                <w:rFonts w:ascii="Times New Roman" w:hAnsi="Times New Roman" w:eastAsia="宋体" w:cs="Times New Roman"/>
                <w:color w:val="auto"/>
                <w:sz w:val="21"/>
                <w:szCs w:val="21"/>
                <w:highlight w:val="none"/>
                <w:lang w:eastAsia="zh-CN"/>
              </w:rPr>
              <w:t>2-甲基对苯二酚</w:t>
            </w:r>
            <w:r>
              <w:rPr>
                <w:rFonts w:hint="eastAsia" w:ascii="Times New Roman" w:hAnsi="Times New Roman" w:eastAsia="宋体" w:cs="Times New Roman"/>
                <w:color w:val="auto"/>
                <w:sz w:val="21"/>
                <w:szCs w:val="21"/>
                <w:highlight w:val="none"/>
                <w:lang w:eastAsia="zh-CN"/>
              </w:rPr>
              <w:t>（</w:t>
            </w:r>
            <w:r>
              <w:rPr>
                <w:rFonts w:ascii="Times New Roman" w:hAnsi="Times New Roman" w:eastAsia="宋体" w:cs="Times New Roman"/>
                <w:color w:val="auto"/>
                <w:sz w:val="21"/>
                <w:szCs w:val="21"/>
                <w:highlight w:val="none"/>
                <w:lang w:eastAsia="zh-CN"/>
              </w:rPr>
              <w:t>聚合阻止剂）</w:t>
            </w:r>
          </w:p>
        </w:tc>
        <w:tc>
          <w:tcPr>
            <w:tcW w:w="1311" w:type="dxa"/>
            <w:vMerge w:val="continue"/>
            <w:vAlign w:val="center"/>
          </w:tcPr>
          <w:p w14:paraId="4DEE5F6F">
            <w:pPr>
              <w:keepNext w:val="0"/>
              <w:keepLines w:val="0"/>
              <w:pageBreakBefore w:val="0"/>
              <w:widowControl w:val="0"/>
              <w:kinsoku/>
              <w:wordWrap/>
              <w:overflowPunct/>
              <w:topLinePunct w:val="0"/>
              <w:autoSpaceDE/>
              <w:autoSpaceDN/>
              <w:bidi w:val="0"/>
              <w:adjustRightInd/>
              <w:snapToGrid/>
              <w:ind w:left="0" w:right="0"/>
              <w:jc w:val="center"/>
              <w:rPr>
                <w:rFonts w:ascii="Times New Roman" w:hAnsi="Times New Roman" w:cs="Times New Roman"/>
                <w:bCs/>
                <w:color w:val="auto"/>
                <w:kern w:val="2"/>
                <w:sz w:val="21"/>
                <w:szCs w:val="21"/>
                <w:highlight w:val="none"/>
              </w:rPr>
            </w:pPr>
          </w:p>
        </w:tc>
        <w:tc>
          <w:tcPr>
            <w:tcW w:w="932" w:type="dxa"/>
            <w:vMerge w:val="continue"/>
            <w:vAlign w:val="center"/>
          </w:tcPr>
          <w:p w14:paraId="4B6570A4">
            <w:pPr>
              <w:keepNext w:val="0"/>
              <w:keepLines w:val="0"/>
              <w:pageBreakBefore w:val="0"/>
              <w:widowControl w:val="0"/>
              <w:kinsoku/>
              <w:wordWrap/>
              <w:overflowPunct/>
              <w:topLinePunct w:val="0"/>
              <w:autoSpaceDE/>
              <w:autoSpaceDN/>
              <w:bidi w:val="0"/>
              <w:adjustRightInd/>
              <w:snapToGrid/>
              <w:ind w:left="0" w:right="0"/>
              <w:jc w:val="center"/>
              <w:rPr>
                <w:rFonts w:ascii="Times New Roman" w:hAnsi="Times New Roman" w:cs="Times New Roman"/>
                <w:bCs/>
                <w:color w:val="auto"/>
                <w:kern w:val="2"/>
                <w:sz w:val="21"/>
                <w:szCs w:val="21"/>
                <w:highlight w:val="none"/>
              </w:rPr>
            </w:pPr>
          </w:p>
        </w:tc>
        <w:tc>
          <w:tcPr>
            <w:tcW w:w="985" w:type="dxa"/>
            <w:vAlign w:val="center"/>
          </w:tcPr>
          <w:p w14:paraId="1027B1DE">
            <w:pPr>
              <w:keepNext w:val="0"/>
              <w:keepLines w:val="0"/>
              <w:pageBreakBefore w:val="0"/>
              <w:widowControl w:val="0"/>
              <w:kinsoku/>
              <w:wordWrap/>
              <w:overflowPunct/>
              <w:topLinePunct w:val="0"/>
              <w:autoSpaceDE/>
              <w:autoSpaceDN/>
              <w:bidi w:val="0"/>
              <w:adjustRightInd/>
              <w:snapToGrid/>
              <w:ind w:left="0" w:right="0"/>
              <w:jc w:val="center"/>
              <w:rPr>
                <w:rFonts w:hint="eastAsia" w:ascii="Times New Roman" w:hAnsi="Times New Roman" w:eastAsia="宋体" w:cs="Times New Roman"/>
                <w:bCs/>
                <w:color w:val="auto"/>
                <w:kern w:val="2"/>
                <w:sz w:val="21"/>
                <w:szCs w:val="21"/>
                <w:highlight w:val="none"/>
                <w:lang w:val="en-US" w:eastAsia="zh-CN"/>
              </w:rPr>
            </w:pPr>
            <w:r>
              <w:rPr>
                <w:rFonts w:hint="eastAsia" w:ascii="Times New Roman" w:hAnsi="Times New Roman" w:cs="Times New Roman"/>
                <w:bCs/>
                <w:color w:val="auto"/>
                <w:kern w:val="2"/>
                <w:sz w:val="21"/>
                <w:szCs w:val="21"/>
                <w:highlight w:val="none"/>
                <w:lang w:val="en-US" w:eastAsia="zh-CN"/>
              </w:rPr>
              <w:t>1</w:t>
            </w:r>
          </w:p>
        </w:tc>
      </w:tr>
      <w:tr w14:paraId="39EF9369">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0" w:type="auto"/>
          </w:tcPr>
          <w:p w14:paraId="63B4BCEF">
            <w:pPr>
              <w:keepNext w:val="0"/>
              <w:keepLines w:val="0"/>
              <w:pageBreakBefore w:val="0"/>
              <w:widowControl w:val="0"/>
              <w:numPr>
                <w:ilvl w:val="0"/>
                <w:numId w:val="23"/>
              </w:numPr>
              <w:kinsoku/>
              <w:wordWrap/>
              <w:overflowPunct/>
              <w:topLinePunct w:val="0"/>
              <w:autoSpaceDE/>
              <w:autoSpaceDN/>
              <w:bidi w:val="0"/>
              <w:adjustRightInd/>
              <w:snapToGrid/>
              <w:ind w:left="0" w:right="0"/>
              <w:jc w:val="center"/>
              <w:rPr>
                <w:rFonts w:ascii="Times New Roman" w:hAnsi="Times New Roman" w:cs="Times New Roman"/>
                <w:bCs/>
                <w:color w:val="auto"/>
                <w:kern w:val="2"/>
                <w:sz w:val="21"/>
                <w:szCs w:val="21"/>
                <w:highlight w:val="none"/>
              </w:rPr>
            </w:pPr>
          </w:p>
        </w:tc>
        <w:tc>
          <w:tcPr>
            <w:tcW w:w="819" w:type="dxa"/>
            <w:vMerge w:val="continue"/>
            <w:vAlign w:val="center"/>
          </w:tcPr>
          <w:p w14:paraId="0AE8EE81">
            <w:pPr>
              <w:keepNext w:val="0"/>
              <w:keepLines w:val="0"/>
              <w:pageBreakBefore w:val="0"/>
              <w:widowControl w:val="0"/>
              <w:kinsoku/>
              <w:wordWrap/>
              <w:overflowPunct/>
              <w:topLinePunct w:val="0"/>
              <w:autoSpaceDE/>
              <w:autoSpaceDN/>
              <w:bidi w:val="0"/>
              <w:adjustRightInd/>
              <w:snapToGrid/>
              <w:ind w:left="0" w:right="0"/>
              <w:jc w:val="center"/>
              <w:rPr>
                <w:rFonts w:ascii="Times New Roman" w:hAnsi="Times New Roman" w:cs="Times New Roman"/>
                <w:bCs/>
                <w:color w:val="auto"/>
                <w:kern w:val="2"/>
                <w:sz w:val="21"/>
                <w:szCs w:val="21"/>
                <w:highlight w:val="none"/>
              </w:rPr>
            </w:pPr>
          </w:p>
        </w:tc>
        <w:tc>
          <w:tcPr>
            <w:tcW w:w="0" w:type="auto"/>
            <w:vAlign w:val="center"/>
          </w:tcPr>
          <w:p w14:paraId="71A24066">
            <w:pPr>
              <w:pStyle w:val="236"/>
              <w:keepNext w:val="0"/>
              <w:keepLines w:val="0"/>
              <w:pageBreakBefore w:val="0"/>
              <w:widowControl/>
              <w:kinsoku/>
              <w:wordWrap/>
              <w:overflowPunct/>
              <w:topLinePunct w:val="0"/>
              <w:autoSpaceDE/>
              <w:autoSpaceDN/>
              <w:bidi w:val="0"/>
              <w:adjustRightInd/>
              <w:snapToGrid/>
              <w:ind w:left="0" w:leftChars="0" w:right="0" w:rightChars="0"/>
              <w:jc w:val="center"/>
              <w:textAlignment w:val="auto"/>
              <w:rPr>
                <w:rFonts w:ascii="Times New Roman" w:hAnsi="Times New Roman" w:eastAsia="宋体" w:cs="Times New Roman"/>
                <w:color w:val="auto"/>
                <w:sz w:val="21"/>
                <w:szCs w:val="21"/>
                <w:highlight w:val="none"/>
                <w:lang w:val="en-US" w:eastAsia="en-US" w:bidi="ar-SA"/>
              </w:rPr>
            </w:pPr>
            <w:r>
              <w:rPr>
                <w:rFonts w:ascii="Times New Roman" w:hAnsi="Times New Roman" w:eastAsia="宋体" w:cs="Times New Roman"/>
                <w:color w:val="auto"/>
                <w:sz w:val="21"/>
                <w:szCs w:val="21"/>
                <w:highlight w:val="none"/>
              </w:rPr>
              <w:t>三苯基膦（催化剂)</w:t>
            </w:r>
          </w:p>
        </w:tc>
        <w:tc>
          <w:tcPr>
            <w:tcW w:w="1311" w:type="dxa"/>
            <w:vMerge w:val="continue"/>
            <w:vAlign w:val="center"/>
          </w:tcPr>
          <w:p w14:paraId="756A86B7">
            <w:pPr>
              <w:keepNext w:val="0"/>
              <w:keepLines w:val="0"/>
              <w:pageBreakBefore w:val="0"/>
              <w:widowControl w:val="0"/>
              <w:kinsoku/>
              <w:wordWrap/>
              <w:overflowPunct/>
              <w:topLinePunct w:val="0"/>
              <w:autoSpaceDE/>
              <w:autoSpaceDN/>
              <w:bidi w:val="0"/>
              <w:adjustRightInd/>
              <w:snapToGrid/>
              <w:ind w:left="0" w:right="0"/>
              <w:jc w:val="center"/>
              <w:rPr>
                <w:rFonts w:ascii="Times New Roman" w:hAnsi="Times New Roman" w:cs="Times New Roman"/>
                <w:bCs/>
                <w:color w:val="auto"/>
                <w:kern w:val="2"/>
                <w:sz w:val="21"/>
                <w:szCs w:val="21"/>
                <w:highlight w:val="none"/>
              </w:rPr>
            </w:pPr>
          </w:p>
        </w:tc>
        <w:tc>
          <w:tcPr>
            <w:tcW w:w="932" w:type="dxa"/>
            <w:vMerge w:val="continue"/>
            <w:vAlign w:val="center"/>
          </w:tcPr>
          <w:p w14:paraId="1E317033">
            <w:pPr>
              <w:keepNext w:val="0"/>
              <w:keepLines w:val="0"/>
              <w:pageBreakBefore w:val="0"/>
              <w:widowControl w:val="0"/>
              <w:kinsoku/>
              <w:wordWrap/>
              <w:overflowPunct/>
              <w:topLinePunct w:val="0"/>
              <w:autoSpaceDE/>
              <w:autoSpaceDN/>
              <w:bidi w:val="0"/>
              <w:adjustRightInd/>
              <w:snapToGrid/>
              <w:ind w:left="0" w:right="0"/>
              <w:jc w:val="center"/>
              <w:rPr>
                <w:rFonts w:ascii="Times New Roman" w:hAnsi="Times New Roman" w:cs="Times New Roman"/>
                <w:bCs/>
                <w:color w:val="auto"/>
                <w:kern w:val="2"/>
                <w:sz w:val="21"/>
                <w:szCs w:val="21"/>
                <w:highlight w:val="none"/>
              </w:rPr>
            </w:pPr>
          </w:p>
        </w:tc>
        <w:tc>
          <w:tcPr>
            <w:tcW w:w="0" w:type="auto"/>
            <w:vAlign w:val="center"/>
          </w:tcPr>
          <w:p w14:paraId="025DA2D0">
            <w:pPr>
              <w:keepNext w:val="0"/>
              <w:keepLines w:val="0"/>
              <w:pageBreakBefore w:val="0"/>
              <w:widowControl w:val="0"/>
              <w:kinsoku/>
              <w:wordWrap/>
              <w:overflowPunct/>
              <w:topLinePunct w:val="0"/>
              <w:autoSpaceDE/>
              <w:autoSpaceDN/>
              <w:bidi w:val="0"/>
              <w:adjustRightInd/>
              <w:snapToGrid/>
              <w:ind w:left="0" w:right="0"/>
              <w:jc w:val="center"/>
              <w:rPr>
                <w:rFonts w:hint="eastAsia" w:ascii="Times New Roman" w:hAnsi="Times New Roman" w:eastAsia="宋体" w:cs="Times New Roman"/>
                <w:bCs/>
                <w:color w:val="auto"/>
                <w:kern w:val="2"/>
                <w:sz w:val="21"/>
                <w:szCs w:val="21"/>
                <w:highlight w:val="none"/>
                <w:lang w:val="en-US" w:eastAsia="zh-CN"/>
              </w:rPr>
            </w:pPr>
            <w:r>
              <w:rPr>
                <w:rFonts w:hint="eastAsia" w:ascii="Times New Roman" w:hAnsi="Times New Roman" w:cs="Times New Roman"/>
                <w:bCs/>
                <w:color w:val="auto"/>
                <w:kern w:val="2"/>
                <w:sz w:val="21"/>
                <w:szCs w:val="21"/>
                <w:highlight w:val="none"/>
                <w:lang w:val="en-US" w:eastAsia="zh-CN"/>
              </w:rPr>
              <w:t>1</w:t>
            </w:r>
          </w:p>
        </w:tc>
      </w:tr>
      <w:tr w14:paraId="58944A14">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0" w:type="auto"/>
          </w:tcPr>
          <w:p w14:paraId="2958CCCB">
            <w:pPr>
              <w:keepNext w:val="0"/>
              <w:keepLines w:val="0"/>
              <w:pageBreakBefore w:val="0"/>
              <w:widowControl w:val="0"/>
              <w:numPr>
                <w:ilvl w:val="0"/>
                <w:numId w:val="23"/>
              </w:numPr>
              <w:kinsoku/>
              <w:wordWrap/>
              <w:overflowPunct/>
              <w:topLinePunct w:val="0"/>
              <w:autoSpaceDE/>
              <w:autoSpaceDN/>
              <w:bidi w:val="0"/>
              <w:adjustRightInd/>
              <w:snapToGrid/>
              <w:ind w:left="0" w:right="0"/>
              <w:jc w:val="center"/>
              <w:rPr>
                <w:rFonts w:ascii="Times New Roman" w:hAnsi="Times New Roman" w:cs="Times New Roman"/>
                <w:bCs/>
                <w:color w:val="auto"/>
                <w:kern w:val="2"/>
                <w:sz w:val="21"/>
                <w:szCs w:val="21"/>
                <w:highlight w:val="none"/>
              </w:rPr>
            </w:pPr>
          </w:p>
        </w:tc>
        <w:tc>
          <w:tcPr>
            <w:tcW w:w="819" w:type="dxa"/>
            <w:vMerge w:val="continue"/>
            <w:vAlign w:val="center"/>
          </w:tcPr>
          <w:p w14:paraId="216D5968">
            <w:pPr>
              <w:keepNext w:val="0"/>
              <w:keepLines w:val="0"/>
              <w:pageBreakBefore w:val="0"/>
              <w:widowControl w:val="0"/>
              <w:kinsoku/>
              <w:wordWrap/>
              <w:overflowPunct/>
              <w:topLinePunct w:val="0"/>
              <w:autoSpaceDE/>
              <w:autoSpaceDN/>
              <w:bidi w:val="0"/>
              <w:adjustRightInd/>
              <w:snapToGrid/>
              <w:ind w:left="0" w:right="0"/>
              <w:jc w:val="center"/>
              <w:rPr>
                <w:rFonts w:ascii="Times New Roman" w:hAnsi="Times New Roman" w:cs="Times New Roman"/>
                <w:bCs/>
                <w:color w:val="auto"/>
                <w:kern w:val="2"/>
                <w:sz w:val="21"/>
                <w:szCs w:val="21"/>
                <w:highlight w:val="none"/>
              </w:rPr>
            </w:pPr>
          </w:p>
        </w:tc>
        <w:tc>
          <w:tcPr>
            <w:tcW w:w="0" w:type="auto"/>
            <w:vAlign w:val="center"/>
          </w:tcPr>
          <w:p w14:paraId="145C128A">
            <w:pPr>
              <w:pStyle w:val="236"/>
              <w:keepNext w:val="0"/>
              <w:keepLines w:val="0"/>
              <w:pageBreakBefore w:val="0"/>
              <w:widowControl/>
              <w:kinsoku/>
              <w:wordWrap/>
              <w:overflowPunct/>
              <w:topLinePunct w:val="0"/>
              <w:autoSpaceDE/>
              <w:autoSpaceDN/>
              <w:bidi w:val="0"/>
              <w:adjustRightInd/>
              <w:snapToGrid/>
              <w:ind w:left="0" w:leftChars="0" w:right="0" w:rightChars="0"/>
              <w:jc w:val="center"/>
              <w:textAlignment w:val="auto"/>
              <w:rPr>
                <w:rFonts w:ascii="Times New Roman" w:hAnsi="Times New Roman" w:eastAsia="宋体" w:cs="Times New Roman"/>
                <w:color w:val="auto"/>
                <w:sz w:val="21"/>
                <w:szCs w:val="21"/>
                <w:highlight w:val="none"/>
                <w:lang w:val="en-US" w:eastAsia="zh-CN" w:bidi="ar-SA"/>
              </w:rPr>
            </w:pPr>
            <w:r>
              <w:rPr>
                <w:rFonts w:ascii="Times New Roman" w:hAnsi="Times New Roman" w:eastAsia="宋体" w:cs="Times New Roman"/>
                <w:color w:val="auto"/>
                <w:sz w:val="21"/>
                <w:szCs w:val="21"/>
                <w:highlight w:val="none"/>
                <w:lang w:eastAsia="zh-CN"/>
              </w:rPr>
              <w:t>2、6-二叔丁基对甲基苯酚（聚合阻止剂）</w:t>
            </w:r>
          </w:p>
        </w:tc>
        <w:tc>
          <w:tcPr>
            <w:tcW w:w="1311" w:type="dxa"/>
            <w:vMerge w:val="continue"/>
            <w:vAlign w:val="center"/>
          </w:tcPr>
          <w:p w14:paraId="1B4F7EB8">
            <w:pPr>
              <w:keepNext w:val="0"/>
              <w:keepLines w:val="0"/>
              <w:pageBreakBefore w:val="0"/>
              <w:widowControl w:val="0"/>
              <w:kinsoku/>
              <w:wordWrap/>
              <w:overflowPunct/>
              <w:topLinePunct w:val="0"/>
              <w:autoSpaceDE/>
              <w:autoSpaceDN/>
              <w:bidi w:val="0"/>
              <w:adjustRightInd/>
              <w:snapToGrid/>
              <w:ind w:left="0" w:right="0"/>
              <w:jc w:val="center"/>
              <w:rPr>
                <w:rFonts w:ascii="Times New Roman" w:hAnsi="Times New Roman" w:cs="Times New Roman"/>
                <w:bCs/>
                <w:color w:val="auto"/>
                <w:kern w:val="2"/>
                <w:sz w:val="21"/>
                <w:szCs w:val="21"/>
                <w:highlight w:val="none"/>
              </w:rPr>
            </w:pPr>
          </w:p>
        </w:tc>
        <w:tc>
          <w:tcPr>
            <w:tcW w:w="932" w:type="dxa"/>
            <w:vMerge w:val="continue"/>
            <w:vAlign w:val="center"/>
          </w:tcPr>
          <w:p w14:paraId="661E8F91">
            <w:pPr>
              <w:keepNext w:val="0"/>
              <w:keepLines w:val="0"/>
              <w:pageBreakBefore w:val="0"/>
              <w:widowControl w:val="0"/>
              <w:kinsoku/>
              <w:wordWrap/>
              <w:overflowPunct/>
              <w:topLinePunct w:val="0"/>
              <w:autoSpaceDE/>
              <w:autoSpaceDN/>
              <w:bidi w:val="0"/>
              <w:adjustRightInd/>
              <w:snapToGrid/>
              <w:ind w:left="0" w:right="0"/>
              <w:jc w:val="center"/>
              <w:rPr>
                <w:rFonts w:ascii="Times New Roman" w:hAnsi="Times New Roman" w:cs="Times New Roman"/>
                <w:bCs/>
                <w:color w:val="auto"/>
                <w:kern w:val="2"/>
                <w:sz w:val="21"/>
                <w:szCs w:val="21"/>
                <w:highlight w:val="none"/>
              </w:rPr>
            </w:pPr>
          </w:p>
        </w:tc>
        <w:tc>
          <w:tcPr>
            <w:tcW w:w="0" w:type="auto"/>
            <w:vAlign w:val="center"/>
          </w:tcPr>
          <w:p w14:paraId="19BA0762">
            <w:pPr>
              <w:keepNext w:val="0"/>
              <w:keepLines w:val="0"/>
              <w:pageBreakBefore w:val="0"/>
              <w:widowControl w:val="0"/>
              <w:kinsoku/>
              <w:wordWrap/>
              <w:overflowPunct/>
              <w:topLinePunct w:val="0"/>
              <w:autoSpaceDE/>
              <w:autoSpaceDN/>
              <w:bidi w:val="0"/>
              <w:adjustRightInd/>
              <w:snapToGrid/>
              <w:ind w:left="0" w:right="0"/>
              <w:jc w:val="center"/>
              <w:rPr>
                <w:rFonts w:hint="eastAsia" w:ascii="Times New Roman" w:hAnsi="Times New Roman" w:eastAsia="宋体" w:cs="Times New Roman"/>
                <w:bCs/>
                <w:color w:val="auto"/>
                <w:kern w:val="2"/>
                <w:sz w:val="21"/>
                <w:szCs w:val="21"/>
                <w:highlight w:val="none"/>
                <w:lang w:val="en-US" w:eastAsia="zh-CN"/>
              </w:rPr>
            </w:pPr>
            <w:r>
              <w:rPr>
                <w:rFonts w:hint="eastAsia" w:ascii="Times New Roman" w:hAnsi="Times New Roman" w:cs="Times New Roman"/>
                <w:bCs/>
                <w:color w:val="auto"/>
                <w:kern w:val="2"/>
                <w:sz w:val="21"/>
                <w:szCs w:val="21"/>
                <w:highlight w:val="none"/>
                <w:lang w:val="en-US" w:eastAsia="zh-CN"/>
              </w:rPr>
              <w:t>1</w:t>
            </w:r>
          </w:p>
        </w:tc>
      </w:tr>
      <w:tr w14:paraId="0AA5C9D5">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0" w:type="auto"/>
          </w:tcPr>
          <w:p w14:paraId="7CF2E642">
            <w:pPr>
              <w:keepNext w:val="0"/>
              <w:keepLines w:val="0"/>
              <w:pageBreakBefore w:val="0"/>
              <w:widowControl w:val="0"/>
              <w:numPr>
                <w:ilvl w:val="0"/>
                <w:numId w:val="23"/>
              </w:numPr>
              <w:kinsoku/>
              <w:wordWrap/>
              <w:overflowPunct/>
              <w:topLinePunct w:val="0"/>
              <w:autoSpaceDE/>
              <w:autoSpaceDN/>
              <w:bidi w:val="0"/>
              <w:adjustRightInd/>
              <w:snapToGrid/>
              <w:ind w:left="0" w:right="0"/>
              <w:jc w:val="center"/>
              <w:rPr>
                <w:rFonts w:ascii="Times New Roman" w:hAnsi="Times New Roman" w:cs="Times New Roman"/>
                <w:bCs/>
                <w:color w:val="auto"/>
                <w:kern w:val="2"/>
                <w:sz w:val="21"/>
                <w:szCs w:val="21"/>
                <w:highlight w:val="none"/>
              </w:rPr>
            </w:pPr>
          </w:p>
        </w:tc>
        <w:tc>
          <w:tcPr>
            <w:tcW w:w="819" w:type="dxa"/>
            <w:vMerge w:val="continue"/>
            <w:vAlign w:val="center"/>
          </w:tcPr>
          <w:p w14:paraId="400D08D5">
            <w:pPr>
              <w:keepNext w:val="0"/>
              <w:keepLines w:val="0"/>
              <w:pageBreakBefore w:val="0"/>
              <w:widowControl w:val="0"/>
              <w:kinsoku/>
              <w:wordWrap/>
              <w:overflowPunct/>
              <w:topLinePunct w:val="0"/>
              <w:autoSpaceDE/>
              <w:autoSpaceDN/>
              <w:bidi w:val="0"/>
              <w:adjustRightInd/>
              <w:snapToGrid/>
              <w:ind w:left="0" w:right="0"/>
              <w:jc w:val="center"/>
              <w:rPr>
                <w:rFonts w:ascii="Times New Roman" w:hAnsi="Times New Roman" w:cs="Times New Roman"/>
                <w:bCs/>
                <w:color w:val="auto"/>
                <w:kern w:val="2"/>
                <w:sz w:val="21"/>
                <w:szCs w:val="21"/>
                <w:highlight w:val="none"/>
              </w:rPr>
            </w:pPr>
          </w:p>
        </w:tc>
        <w:tc>
          <w:tcPr>
            <w:tcW w:w="0" w:type="auto"/>
            <w:vAlign w:val="center"/>
          </w:tcPr>
          <w:p w14:paraId="0CAAF2E6">
            <w:pPr>
              <w:pStyle w:val="236"/>
              <w:keepNext w:val="0"/>
              <w:keepLines w:val="0"/>
              <w:pageBreakBefore w:val="0"/>
              <w:widowControl/>
              <w:kinsoku/>
              <w:wordWrap/>
              <w:overflowPunct/>
              <w:topLinePunct w:val="0"/>
              <w:autoSpaceDE/>
              <w:autoSpaceDN/>
              <w:bidi w:val="0"/>
              <w:adjustRightInd/>
              <w:snapToGrid/>
              <w:ind w:left="0" w:leftChars="0" w:right="0" w:rightChars="0"/>
              <w:jc w:val="center"/>
              <w:textAlignment w:val="auto"/>
              <w:rPr>
                <w:rFonts w:ascii="Times New Roman" w:hAnsi="Times New Roman" w:eastAsia="宋体" w:cs="Times New Roman"/>
                <w:color w:val="auto"/>
                <w:sz w:val="21"/>
                <w:szCs w:val="21"/>
                <w:highlight w:val="none"/>
                <w:lang w:val="en-US" w:eastAsia="en-US" w:bidi="ar-SA"/>
              </w:rPr>
            </w:pPr>
            <w:r>
              <w:rPr>
                <w:rFonts w:ascii="Times New Roman" w:hAnsi="Times New Roman" w:eastAsia="宋体" w:cs="Times New Roman"/>
                <w:color w:val="auto"/>
                <w:sz w:val="21"/>
                <w:szCs w:val="21"/>
                <w:highlight w:val="none"/>
              </w:rPr>
              <w:t>四氢化邻苯二甲酸酐</w:t>
            </w:r>
          </w:p>
        </w:tc>
        <w:tc>
          <w:tcPr>
            <w:tcW w:w="1311" w:type="dxa"/>
            <w:vMerge w:val="continue"/>
            <w:vAlign w:val="center"/>
          </w:tcPr>
          <w:p w14:paraId="68B402AC">
            <w:pPr>
              <w:keepNext w:val="0"/>
              <w:keepLines w:val="0"/>
              <w:pageBreakBefore w:val="0"/>
              <w:widowControl w:val="0"/>
              <w:kinsoku/>
              <w:wordWrap/>
              <w:overflowPunct/>
              <w:topLinePunct w:val="0"/>
              <w:autoSpaceDE/>
              <w:autoSpaceDN/>
              <w:bidi w:val="0"/>
              <w:adjustRightInd/>
              <w:snapToGrid/>
              <w:ind w:left="0" w:right="0"/>
              <w:jc w:val="center"/>
              <w:rPr>
                <w:rFonts w:ascii="Times New Roman" w:hAnsi="Times New Roman" w:cs="Times New Roman"/>
                <w:bCs/>
                <w:color w:val="auto"/>
                <w:kern w:val="2"/>
                <w:sz w:val="21"/>
                <w:szCs w:val="21"/>
                <w:highlight w:val="none"/>
              </w:rPr>
            </w:pPr>
          </w:p>
        </w:tc>
        <w:tc>
          <w:tcPr>
            <w:tcW w:w="932" w:type="dxa"/>
            <w:vMerge w:val="continue"/>
            <w:vAlign w:val="center"/>
          </w:tcPr>
          <w:p w14:paraId="53C4DA25">
            <w:pPr>
              <w:keepNext w:val="0"/>
              <w:keepLines w:val="0"/>
              <w:pageBreakBefore w:val="0"/>
              <w:widowControl w:val="0"/>
              <w:kinsoku/>
              <w:wordWrap/>
              <w:overflowPunct/>
              <w:topLinePunct w:val="0"/>
              <w:autoSpaceDE/>
              <w:autoSpaceDN/>
              <w:bidi w:val="0"/>
              <w:adjustRightInd/>
              <w:snapToGrid/>
              <w:ind w:left="0" w:right="0"/>
              <w:jc w:val="center"/>
              <w:rPr>
                <w:rFonts w:ascii="Times New Roman" w:hAnsi="Times New Roman" w:cs="Times New Roman"/>
                <w:bCs/>
                <w:color w:val="auto"/>
                <w:kern w:val="2"/>
                <w:sz w:val="21"/>
                <w:szCs w:val="21"/>
                <w:highlight w:val="none"/>
              </w:rPr>
            </w:pPr>
          </w:p>
        </w:tc>
        <w:tc>
          <w:tcPr>
            <w:tcW w:w="0" w:type="auto"/>
            <w:vAlign w:val="center"/>
          </w:tcPr>
          <w:p w14:paraId="5862B5FB">
            <w:pPr>
              <w:keepNext w:val="0"/>
              <w:keepLines w:val="0"/>
              <w:pageBreakBefore w:val="0"/>
              <w:widowControl w:val="0"/>
              <w:kinsoku/>
              <w:wordWrap/>
              <w:overflowPunct/>
              <w:topLinePunct w:val="0"/>
              <w:autoSpaceDE/>
              <w:autoSpaceDN/>
              <w:bidi w:val="0"/>
              <w:adjustRightInd/>
              <w:snapToGrid/>
              <w:ind w:left="0" w:right="0"/>
              <w:jc w:val="center"/>
              <w:rPr>
                <w:rFonts w:hint="eastAsia" w:ascii="Times New Roman" w:hAnsi="Times New Roman" w:eastAsia="宋体" w:cs="Times New Roman"/>
                <w:bCs/>
                <w:color w:val="auto"/>
                <w:kern w:val="2"/>
                <w:sz w:val="21"/>
                <w:szCs w:val="21"/>
                <w:highlight w:val="none"/>
                <w:lang w:val="en-US" w:eastAsia="zh-CN"/>
              </w:rPr>
            </w:pPr>
            <w:r>
              <w:rPr>
                <w:rFonts w:hint="eastAsia" w:ascii="Times New Roman" w:hAnsi="Times New Roman" w:cs="Times New Roman"/>
                <w:bCs/>
                <w:color w:val="auto"/>
                <w:kern w:val="2"/>
                <w:sz w:val="21"/>
                <w:szCs w:val="21"/>
                <w:highlight w:val="none"/>
                <w:lang w:val="en-US" w:eastAsia="zh-CN"/>
              </w:rPr>
              <w:t>1</w:t>
            </w:r>
          </w:p>
        </w:tc>
      </w:tr>
      <w:tr w14:paraId="56B13667">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0" w:type="auto"/>
          </w:tcPr>
          <w:p w14:paraId="4B6B78A8">
            <w:pPr>
              <w:keepNext w:val="0"/>
              <w:keepLines w:val="0"/>
              <w:pageBreakBefore w:val="0"/>
              <w:widowControl w:val="0"/>
              <w:numPr>
                <w:ilvl w:val="0"/>
                <w:numId w:val="23"/>
              </w:numPr>
              <w:kinsoku/>
              <w:wordWrap/>
              <w:overflowPunct/>
              <w:topLinePunct w:val="0"/>
              <w:autoSpaceDE/>
              <w:autoSpaceDN/>
              <w:bidi w:val="0"/>
              <w:adjustRightInd/>
              <w:snapToGrid/>
              <w:ind w:left="0" w:right="0"/>
              <w:jc w:val="center"/>
              <w:rPr>
                <w:rFonts w:ascii="Times New Roman" w:hAnsi="Times New Roman" w:cs="Times New Roman"/>
                <w:bCs/>
                <w:color w:val="auto"/>
                <w:kern w:val="2"/>
                <w:sz w:val="21"/>
                <w:szCs w:val="21"/>
                <w:highlight w:val="none"/>
              </w:rPr>
            </w:pPr>
          </w:p>
        </w:tc>
        <w:tc>
          <w:tcPr>
            <w:tcW w:w="819" w:type="dxa"/>
            <w:vAlign w:val="center"/>
          </w:tcPr>
          <w:p w14:paraId="184C4029">
            <w:pPr>
              <w:keepNext w:val="0"/>
              <w:keepLines w:val="0"/>
              <w:pageBreakBefore w:val="0"/>
              <w:widowControl w:val="0"/>
              <w:kinsoku/>
              <w:wordWrap/>
              <w:overflowPunct/>
              <w:topLinePunct w:val="0"/>
              <w:autoSpaceDE/>
              <w:autoSpaceDN/>
              <w:bidi w:val="0"/>
              <w:adjustRightInd/>
              <w:snapToGrid/>
              <w:ind w:left="0" w:right="0"/>
              <w:jc w:val="center"/>
              <w:rPr>
                <w:rFonts w:hint="eastAsia" w:ascii="Times New Roman" w:hAnsi="Times New Roman" w:eastAsia="宋体" w:cs="Times New Roman"/>
                <w:bCs/>
                <w:color w:val="auto"/>
                <w:kern w:val="2"/>
                <w:sz w:val="21"/>
                <w:szCs w:val="21"/>
                <w:highlight w:val="none"/>
                <w:lang w:val="en-US" w:eastAsia="zh-CN"/>
              </w:rPr>
            </w:pPr>
            <w:r>
              <w:rPr>
                <w:rFonts w:hint="eastAsia" w:ascii="Times New Roman" w:hAnsi="Times New Roman" w:cs="Times New Roman"/>
                <w:bCs/>
                <w:color w:val="auto"/>
                <w:kern w:val="2"/>
                <w:sz w:val="21"/>
                <w:szCs w:val="21"/>
                <w:highlight w:val="none"/>
                <w:lang w:val="en-US" w:eastAsia="zh-CN"/>
              </w:rPr>
              <w:t>清洗</w:t>
            </w:r>
          </w:p>
        </w:tc>
        <w:tc>
          <w:tcPr>
            <w:tcW w:w="0" w:type="auto"/>
            <w:vAlign w:val="center"/>
          </w:tcPr>
          <w:p w14:paraId="127F27A4">
            <w:pPr>
              <w:pStyle w:val="236"/>
              <w:keepNext w:val="0"/>
              <w:keepLines w:val="0"/>
              <w:pageBreakBefore w:val="0"/>
              <w:widowControl/>
              <w:kinsoku/>
              <w:wordWrap/>
              <w:overflowPunct/>
              <w:topLinePunct w:val="0"/>
              <w:autoSpaceDE/>
              <w:autoSpaceDN/>
              <w:bidi w:val="0"/>
              <w:adjustRightInd/>
              <w:snapToGrid/>
              <w:ind w:left="0" w:leftChars="0" w:right="0" w:rightChars="0"/>
              <w:jc w:val="center"/>
              <w:textAlignment w:val="auto"/>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丁酮</w:t>
            </w:r>
          </w:p>
        </w:tc>
        <w:tc>
          <w:tcPr>
            <w:tcW w:w="1311" w:type="dxa"/>
            <w:vMerge w:val="continue"/>
            <w:vAlign w:val="center"/>
          </w:tcPr>
          <w:p w14:paraId="6DFB8429">
            <w:pPr>
              <w:keepNext w:val="0"/>
              <w:keepLines w:val="0"/>
              <w:pageBreakBefore w:val="0"/>
              <w:widowControl w:val="0"/>
              <w:kinsoku/>
              <w:wordWrap/>
              <w:overflowPunct/>
              <w:topLinePunct w:val="0"/>
              <w:autoSpaceDE/>
              <w:autoSpaceDN/>
              <w:bidi w:val="0"/>
              <w:adjustRightInd/>
              <w:snapToGrid/>
              <w:ind w:left="0" w:right="0"/>
              <w:jc w:val="center"/>
              <w:rPr>
                <w:rFonts w:ascii="Times New Roman" w:hAnsi="Times New Roman" w:cs="Times New Roman"/>
                <w:bCs/>
                <w:color w:val="auto"/>
                <w:kern w:val="2"/>
                <w:sz w:val="21"/>
                <w:szCs w:val="21"/>
                <w:highlight w:val="none"/>
              </w:rPr>
            </w:pPr>
          </w:p>
        </w:tc>
        <w:tc>
          <w:tcPr>
            <w:tcW w:w="932" w:type="dxa"/>
            <w:vMerge w:val="continue"/>
            <w:vAlign w:val="center"/>
          </w:tcPr>
          <w:p w14:paraId="069FCD64">
            <w:pPr>
              <w:keepNext w:val="0"/>
              <w:keepLines w:val="0"/>
              <w:pageBreakBefore w:val="0"/>
              <w:widowControl w:val="0"/>
              <w:kinsoku/>
              <w:wordWrap/>
              <w:overflowPunct/>
              <w:topLinePunct w:val="0"/>
              <w:autoSpaceDE/>
              <w:autoSpaceDN/>
              <w:bidi w:val="0"/>
              <w:adjustRightInd/>
              <w:snapToGrid/>
              <w:ind w:left="0" w:right="0"/>
              <w:jc w:val="center"/>
              <w:rPr>
                <w:rFonts w:ascii="Times New Roman" w:hAnsi="Times New Roman" w:cs="Times New Roman"/>
                <w:bCs/>
                <w:color w:val="auto"/>
                <w:kern w:val="2"/>
                <w:sz w:val="21"/>
                <w:szCs w:val="21"/>
                <w:highlight w:val="none"/>
              </w:rPr>
            </w:pPr>
          </w:p>
        </w:tc>
        <w:tc>
          <w:tcPr>
            <w:tcW w:w="0" w:type="auto"/>
            <w:vAlign w:val="center"/>
          </w:tcPr>
          <w:p w14:paraId="144B9B6F">
            <w:pPr>
              <w:keepNext w:val="0"/>
              <w:keepLines w:val="0"/>
              <w:pageBreakBefore w:val="0"/>
              <w:widowControl w:val="0"/>
              <w:kinsoku/>
              <w:wordWrap/>
              <w:overflowPunct/>
              <w:topLinePunct w:val="0"/>
              <w:autoSpaceDE/>
              <w:autoSpaceDN/>
              <w:bidi w:val="0"/>
              <w:adjustRightInd/>
              <w:snapToGrid/>
              <w:ind w:left="0" w:right="0"/>
              <w:jc w:val="center"/>
              <w:rPr>
                <w:rFonts w:hint="default" w:ascii="Times New Roman" w:hAnsi="Times New Roman" w:cs="Times New Roman"/>
                <w:bCs/>
                <w:color w:val="auto"/>
                <w:kern w:val="2"/>
                <w:sz w:val="21"/>
                <w:szCs w:val="21"/>
                <w:highlight w:val="none"/>
                <w:lang w:val="en-US" w:eastAsia="zh-CN"/>
              </w:rPr>
            </w:pPr>
            <w:r>
              <w:rPr>
                <w:rFonts w:hint="eastAsia" w:ascii="Times New Roman" w:hAnsi="Times New Roman" w:cs="Times New Roman"/>
                <w:bCs/>
                <w:color w:val="auto"/>
                <w:kern w:val="2"/>
                <w:sz w:val="21"/>
                <w:szCs w:val="21"/>
                <w:highlight w:val="none"/>
                <w:lang w:val="en-US" w:eastAsia="zh-CN"/>
              </w:rPr>
              <w:t>0.5</w:t>
            </w:r>
          </w:p>
        </w:tc>
      </w:tr>
    </w:tbl>
    <w:p w14:paraId="1D202524">
      <w:pPr>
        <w:spacing w:line="360" w:lineRule="auto"/>
        <w:ind w:left="-105" w:right="-105" w:firstLine="480" w:firstLineChars="200"/>
        <w:rPr>
          <w:rFonts w:hint="eastAsia" w:ascii="Times New Roman" w:hAnsi="Times New Roman" w:eastAsia="宋体" w:cs="Times New Roman"/>
          <w:bCs/>
          <w:color w:val="auto"/>
          <w:highlight w:val="none"/>
          <w:lang w:val="en-US" w:eastAsia="zh-CN"/>
        </w:rPr>
      </w:pPr>
      <w:r>
        <w:rPr>
          <w:rFonts w:hint="eastAsia"/>
          <w:bCs/>
          <w:color w:val="auto"/>
          <w:highlight w:val="none"/>
        </w:rPr>
        <w:t>②</w:t>
      </w:r>
      <w:r>
        <w:rPr>
          <w:rFonts w:ascii="Times New Roman" w:hAnsi="Times New Roman" w:cs="Times New Roman"/>
          <w:bCs/>
          <w:color w:val="auto"/>
          <w:highlight w:val="none"/>
        </w:rPr>
        <w:t>储运设施风险识别</w:t>
      </w:r>
    </w:p>
    <w:p w14:paraId="11DBA6F6">
      <w:pPr>
        <w:spacing w:line="360" w:lineRule="auto"/>
        <w:ind w:left="-105" w:right="-105" w:firstLine="480"/>
        <w:rPr>
          <w:rFonts w:ascii="Times New Roman" w:hAnsi="Times New Roman" w:cs="Times New Roman"/>
          <w:bCs/>
          <w:color w:val="auto"/>
          <w:highlight w:val="none"/>
        </w:rPr>
      </w:pPr>
      <w:r>
        <w:rPr>
          <w:rFonts w:ascii="Times New Roman" w:hAnsi="Times New Roman" w:cs="Times New Roman"/>
          <w:bCs/>
          <w:color w:val="auto"/>
          <w:highlight w:val="none"/>
        </w:rPr>
        <w:t>本项目涉及主要储运设施的风险分析见下表。</w:t>
      </w:r>
    </w:p>
    <w:p w14:paraId="2FA3497D">
      <w:pPr>
        <w:pStyle w:val="15"/>
        <w:spacing w:line="360" w:lineRule="auto"/>
        <w:ind w:left="-105" w:right="-105" w:firstLine="482"/>
        <w:rPr>
          <w:rFonts w:eastAsia="宋体"/>
          <w:color w:val="auto"/>
          <w:sz w:val="24"/>
          <w:szCs w:val="24"/>
          <w:highlight w:val="none"/>
        </w:rPr>
      </w:pPr>
      <w:r>
        <w:rPr>
          <w:rFonts w:eastAsia="宋体"/>
          <w:color w:val="auto"/>
          <w:sz w:val="24"/>
          <w:szCs w:val="18"/>
          <w:highlight w:val="none"/>
        </w:rPr>
        <w:t>表</w:t>
      </w:r>
      <w:r>
        <w:rPr>
          <w:rFonts w:eastAsia="宋体"/>
          <w:color w:val="auto"/>
          <w:sz w:val="24"/>
          <w:szCs w:val="18"/>
          <w:highlight w:val="none"/>
        </w:rPr>
        <w:fldChar w:fldCharType="begin"/>
      </w:r>
      <w:r>
        <w:rPr>
          <w:rFonts w:eastAsia="宋体"/>
          <w:color w:val="auto"/>
          <w:sz w:val="24"/>
          <w:szCs w:val="18"/>
          <w:highlight w:val="none"/>
        </w:rPr>
        <w:instrText xml:space="preserve"> STYLEREF 2 \s </w:instrText>
      </w:r>
      <w:r>
        <w:rPr>
          <w:rFonts w:eastAsia="宋体"/>
          <w:color w:val="auto"/>
          <w:sz w:val="24"/>
          <w:szCs w:val="18"/>
          <w:highlight w:val="none"/>
        </w:rPr>
        <w:fldChar w:fldCharType="separate"/>
      </w:r>
      <w:r>
        <w:rPr>
          <w:rFonts w:eastAsia="宋体"/>
          <w:color w:val="auto"/>
          <w:sz w:val="24"/>
          <w:szCs w:val="18"/>
          <w:highlight w:val="none"/>
        </w:rPr>
        <w:t>4.8</w:t>
      </w:r>
      <w:r>
        <w:rPr>
          <w:rFonts w:eastAsia="宋体"/>
          <w:color w:val="auto"/>
          <w:sz w:val="24"/>
          <w:szCs w:val="18"/>
          <w:highlight w:val="none"/>
        </w:rPr>
        <w:fldChar w:fldCharType="end"/>
      </w:r>
      <w:r>
        <w:rPr>
          <w:rFonts w:eastAsia="宋体"/>
          <w:color w:val="auto"/>
          <w:sz w:val="24"/>
          <w:szCs w:val="18"/>
          <w:highlight w:val="none"/>
        </w:rPr>
        <w:noBreakHyphen/>
      </w:r>
      <w:r>
        <w:rPr>
          <w:rFonts w:eastAsia="宋体"/>
          <w:color w:val="auto"/>
          <w:sz w:val="24"/>
          <w:szCs w:val="18"/>
          <w:highlight w:val="none"/>
        </w:rPr>
        <w:fldChar w:fldCharType="begin"/>
      </w:r>
      <w:r>
        <w:rPr>
          <w:rFonts w:eastAsia="宋体"/>
          <w:color w:val="auto"/>
          <w:sz w:val="24"/>
          <w:szCs w:val="18"/>
          <w:highlight w:val="none"/>
        </w:rPr>
        <w:instrText xml:space="preserve"> SEQ 表 \* ARABIC \s 2 </w:instrText>
      </w:r>
      <w:r>
        <w:rPr>
          <w:rFonts w:eastAsia="宋体"/>
          <w:color w:val="auto"/>
          <w:sz w:val="24"/>
          <w:szCs w:val="18"/>
          <w:highlight w:val="none"/>
        </w:rPr>
        <w:fldChar w:fldCharType="separate"/>
      </w:r>
      <w:r>
        <w:rPr>
          <w:rFonts w:eastAsia="宋体"/>
          <w:color w:val="auto"/>
          <w:sz w:val="24"/>
          <w:szCs w:val="18"/>
          <w:highlight w:val="none"/>
        </w:rPr>
        <w:t>3</w:t>
      </w:r>
      <w:r>
        <w:rPr>
          <w:rFonts w:eastAsia="宋体"/>
          <w:color w:val="auto"/>
          <w:sz w:val="24"/>
          <w:szCs w:val="18"/>
          <w:highlight w:val="none"/>
        </w:rPr>
        <w:fldChar w:fldCharType="end"/>
      </w:r>
      <w:r>
        <w:rPr>
          <w:rFonts w:eastAsia="宋体"/>
          <w:color w:val="auto"/>
          <w:sz w:val="24"/>
          <w:szCs w:val="24"/>
          <w:highlight w:val="none"/>
        </w:rPr>
        <w:t>储运设施的主要风险分析</w:t>
      </w:r>
    </w:p>
    <w:tbl>
      <w:tblPr>
        <w:tblStyle w:val="45"/>
        <w:tblW w:w="5000"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570"/>
        <w:gridCol w:w="869"/>
        <w:gridCol w:w="772"/>
        <w:gridCol w:w="1578"/>
        <w:gridCol w:w="1555"/>
        <w:gridCol w:w="1530"/>
        <w:gridCol w:w="1846"/>
      </w:tblGrid>
      <w:tr w14:paraId="4D89CE3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blHeader/>
        </w:trPr>
        <w:tc>
          <w:tcPr>
            <w:tcW w:w="570" w:type="dxa"/>
            <w:vAlign w:val="center"/>
          </w:tcPr>
          <w:p w14:paraId="548E798E">
            <w:pPr>
              <w:widowControl w:val="0"/>
              <w:ind w:left="-105" w:right="-105"/>
              <w:jc w:val="center"/>
              <w:rPr>
                <w:rFonts w:ascii="Times New Roman" w:hAnsi="Times New Roman" w:cs="Times New Roman"/>
                <w:b/>
                <w:color w:val="auto"/>
                <w:kern w:val="2"/>
                <w:sz w:val="21"/>
                <w:szCs w:val="21"/>
                <w:highlight w:val="none"/>
              </w:rPr>
            </w:pPr>
            <w:r>
              <w:rPr>
                <w:rFonts w:ascii="Times New Roman" w:hAnsi="Times New Roman" w:cs="Times New Roman"/>
                <w:b/>
                <w:color w:val="auto"/>
                <w:kern w:val="2"/>
                <w:sz w:val="21"/>
                <w:szCs w:val="21"/>
                <w:highlight w:val="none"/>
              </w:rPr>
              <w:t>序号</w:t>
            </w:r>
          </w:p>
        </w:tc>
        <w:tc>
          <w:tcPr>
            <w:tcW w:w="869" w:type="dxa"/>
            <w:vAlign w:val="center"/>
          </w:tcPr>
          <w:p w14:paraId="2B1F281E">
            <w:pPr>
              <w:widowControl w:val="0"/>
              <w:ind w:left="-105" w:right="-105"/>
              <w:jc w:val="center"/>
              <w:rPr>
                <w:rFonts w:ascii="Times New Roman" w:hAnsi="Times New Roman" w:cs="Times New Roman"/>
                <w:b/>
                <w:color w:val="auto"/>
                <w:kern w:val="2"/>
                <w:sz w:val="21"/>
                <w:szCs w:val="21"/>
                <w:highlight w:val="none"/>
              </w:rPr>
            </w:pPr>
            <w:r>
              <w:rPr>
                <w:rFonts w:ascii="Times New Roman" w:hAnsi="Times New Roman" w:cs="Times New Roman"/>
                <w:b/>
                <w:color w:val="auto"/>
                <w:kern w:val="2"/>
                <w:sz w:val="21"/>
                <w:szCs w:val="21"/>
                <w:highlight w:val="none"/>
              </w:rPr>
              <w:t>危险单元</w:t>
            </w:r>
          </w:p>
        </w:tc>
        <w:tc>
          <w:tcPr>
            <w:tcW w:w="2350" w:type="dxa"/>
            <w:gridSpan w:val="2"/>
            <w:vAlign w:val="center"/>
          </w:tcPr>
          <w:p w14:paraId="220F6F07">
            <w:pPr>
              <w:widowControl w:val="0"/>
              <w:ind w:left="-105" w:right="-105"/>
              <w:jc w:val="center"/>
              <w:rPr>
                <w:rFonts w:ascii="Times New Roman" w:hAnsi="Times New Roman" w:cs="Times New Roman"/>
                <w:b/>
                <w:color w:val="auto"/>
                <w:kern w:val="2"/>
                <w:sz w:val="21"/>
                <w:szCs w:val="21"/>
                <w:highlight w:val="none"/>
              </w:rPr>
            </w:pPr>
            <w:r>
              <w:rPr>
                <w:rFonts w:ascii="Times New Roman" w:hAnsi="Times New Roman" w:cs="Times New Roman"/>
                <w:b/>
                <w:color w:val="auto"/>
                <w:kern w:val="2"/>
                <w:sz w:val="21"/>
                <w:szCs w:val="21"/>
                <w:highlight w:val="none"/>
              </w:rPr>
              <w:t>主要风险物质</w:t>
            </w:r>
          </w:p>
        </w:tc>
        <w:tc>
          <w:tcPr>
            <w:tcW w:w="1555" w:type="dxa"/>
            <w:vAlign w:val="center"/>
          </w:tcPr>
          <w:p w14:paraId="6BEFB097">
            <w:pPr>
              <w:widowControl w:val="0"/>
              <w:ind w:left="-105" w:right="-105"/>
              <w:jc w:val="center"/>
              <w:rPr>
                <w:rFonts w:ascii="Times New Roman" w:hAnsi="Times New Roman" w:cs="Times New Roman"/>
                <w:b/>
                <w:color w:val="auto"/>
                <w:kern w:val="2"/>
                <w:sz w:val="21"/>
                <w:szCs w:val="21"/>
                <w:highlight w:val="none"/>
              </w:rPr>
            </w:pPr>
            <w:r>
              <w:rPr>
                <w:rFonts w:ascii="Times New Roman" w:hAnsi="Times New Roman" w:cs="Times New Roman"/>
                <w:b/>
                <w:color w:val="auto"/>
                <w:kern w:val="2"/>
                <w:sz w:val="21"/>
                <w:szCs w:val="21"/>
                <w:highlight w:val="none"/>
              </w:rPr>
              <w:t>转化为事故的触发因素</w:t>
            </w:r>
          </w:p>
        </w:tc>
        <w:tc>
          <w:tcPr>
            <w:tcW w:w="1530" w:type="dxa"/>
            <w:vAlign w:val="center"/>
          </w:tcPr>
          <w:p w14:paraId="3E51CA1D">
            <w:pPr>
              <w:widowControl w:val="0"/>
              <w:ind w:left="-105" w:right="-105"/>
              <w:jc w:val="center"/>
              <w:rPr>
                <w:rFonts w:ascii="Times New Roman" w:hAnsi="Times New Roman" w:cs="Times New Roman"/>
                <w:b/>
                <w:color w:val="auto"/>
                <w:kern w:val="2"/>
                <w:sz w:val="21"/>
                <w:szCs w:val="21"/>
                <w:highlight w:val="none"/>
              </w:rPr>
            </w:pPr>
            <w:r>
              <w:rPr>
                <w:rFonts w:ascii="Times New Roman" w:hAnsi="Times New Roman" w:cs="Times New Roman"/>
                <w:b/>
                <w:color w:val="auto"/>
                <w:kern w:val="2"/>
                <w:sz w:val="21"/>
                <w:szCs w:val="21"/>
                <w:highlight w:val="none"/>
              </w:rPr>
              <w:t>环境风险类型</w:t>
            </w:r>
          </w:p>
        </w:tc>
        <w:tc>
          <w:tcPr>
            <w:tcW w:w="1846" w:type="dxa"/>
          </w:tcPr>
          <w:p w14:paraId="4CEBFB4B">
            <w:pPr>
              <w:widowControl w:val="0"/>
              <w:ind w:left="-105" w:right="-105"/>
              <w:jc w:val="center"/>
              <w:rPr>
                <w:rFonts w:ascii="Times New Roman" w:hAnsi="Times New Roman" w:cs="Times New Roman"/>
                <w:b/>
                <w:color w:val="auto"/>
                <w:kern w:val="2"/>
                <w:sz w:val="21"/>
                <w:szCs w:val="21"/>
                <w:highlight w:val="none"/>
              </w:rPr>
            </w:pPr>
            <w:r>
              <w:rPr>
                <w:rFonts w:ascii="Times New Roman" w:hAnsi="Times New Roman" w:cs="Times New Roman"/>
                <w:b/>
                <w:color w:val="auto"/>
                <w:kern w:val="2"/>
                <w:sz w:val="21"/>
                <w:szCs w:val="21"/>
                <w:highlight w:val="none"/>
              </w:rPr>
              <w:t>危险物质最大存在量（t）</w:t>
            </w:r>
          </w:p>
        </w:tc>
      </w:tr>
      <w:tr w14:paraId="7061EBC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70" w:type="dxa"/>
            <w:vMerge w:val="restart"/>
            <w:vAlign w:val="center"/>
          </w:tcPr>
          <w:p w14:paraId="2E42A758">
            <w:pPr>
              <w:widowControl w:val="0"/>
              <w:numPr>
                <w:ilvl w:val="0"/>
                <w:numId w:val="24"/>
              </w:numPr>
              <w:ind w:left="-105" w:right="-105"/>
              <w:jc w:val="center"/>
              <w:rPr>
                <w:rFonts w:ascii="Times New Roman" w:hAnsi="Times New Roman" w:cs="Times New Roman"/>
                <w:bCs/>
                <w:color w:val="auto"/>
                <w:kern w:val="2"/>
                <w:sz w:val="21"/>
                <w:szCs w:val="21"/>
                <w:highlight w:val="none"/>
              </w:rPr>
            </w:pPr>
          </w:p>
        </w:tc>
        <w:tc>
          <w:tcPr>
            <w:tcW w:w="869" w:type="dxa"/>
            <w:vMerge w:val="restart"/>
            <w:vAlign w:val="center"/>
          </w:tcPr>
          <w:p w14:paraId="2BEB5824">
            <w:pPr>
              <w:widowControl w:val="0"/>
              <w:ind w:left="-105" w:right="-105"/>
              <w:jc w:val="center"/>
              <w:rPr>
                <w:rFonts w:hint="eastAsia" w:ascii="Times New Roman" w:hAnsi="Times New Roman" w:eastAsia="宋体" w:cs="Times New Roman"/>
                <w:bCs/>
                <w:color w:val="auto"/>
                <w:kern w:val="2"/>
                <w:sz w:val="21"/>
                <w:szCs w:val="21"/>
                <w:highlight w:val="none"/>
                <w:lang w:eastAsia="zh-CN"/>
              </w:rPr>
            </w:pPr>
            <w:r>
              <w:rPr>
                <w:rFonts w:hint="eastAsia" w:ascii="Times New Roman" w:hAnsi="Times New Roman" w:cs="Times New Roman"/>
                <w:bCs/>
                <w:color w:val="auto"/>
                <w:kern w:val="2"/>
                <w:sz w:val="21"/>
                <w:szCs w:val="21"/>
                <w:highlight w:val="none"/>
                <w:lang w:eastAsia="zh-CN"/>
              </w:rPr>
              <w:t>危险品仓库</w:t>
            </w:r>
          </w:p>
        </w:tc>
        <w:tc>
          <w:tcPr>
            <w:tcW w:w="772" w:type="dxa"/>
            <w:vMerge w:val="restart"/>
            <w:vAlign w:val="center"/>
          </w:tcPr>
          <w:p w14:paraId="2F071851">
            <w:pPr>
              <w:pStyle w:val="236"/>
              <w:ind w:left="-105" w:right="-105"/>
              <w:jc w:val="center"/>
              <w:rPr>
                <w:rFonts w:ascii="Times New Roman" w:hAnsi="Times New Roman" w:cs="Times New Roman"/>
                <w:bCs/>
                <w:color w:val="auto"/>
                <w:kern w:val="2"/>
                <w:sz w:val="21"/>
                <w:szCs w:val="21"/>
                <w:highlight w:val="none"/>
              </w:rPr>
            </w:pPr>
            <w:r>
              <w:rPr>
                <w:rFonts w:ascii="Times New Roman" w:hAnsi="Times New Roman" w:eastAsia="宋体" w:cs="Times New Roman"/>
                <w:color w:val="auto"/>
                <w:sz w:val="21"/>
                <w:szCs w:val="21"/>
                <w:highlight w:val="none"/>
              </w:rPr>
              <w:t>聚氨</w:t>
            </w:r>
            <w:r>
              <w:rPr>
                <w:rFonts w:ascii="Times New Roman" w:hAnsi="Times New Roman" w:eastAsia="宋体" w:cs="Times New Roman"/>
                <w:color w:val="auto"/>
                <w:spacing w:val="3"/>
                <w:sz w:val="21"/>
                <w:szCs w:val="21"/>
                <w:highlight w:val="none"/>
              </w:rPr>
              <w:t>酯丙</w:t>
            </w:r>
            <w:r>
              <w:rPr>
                <w:rFonts w:ascii="Times New Roman" w:hAnsi="Times New Roman" w:eastAsia="宋体" w:cs="Times New Roman"/>
                <w:color w:val="auto"/>
                <w:spacing w:val="5"/>
                <w:sz w:val="21"/>
                <w:szCs w:val="21"/>
                <w:highlight w:val="none"/>
              </w:rPr>
              <w:t>烯酸</w:t>
            </w:r>
            <w:r>
              <w:rPr>
                <w:rFonts w:ascii="Times New Roman" w:hAnsi="Times New Roman" w:eastAsia="宋体" w:cs="Times New Roman"/>
                <w:color w:val="auto"/>
                <w:sz w:val="21"/>
                <w:szCs w:val="21"/>
                <w:highlight w:val="none"/>
              </w:rPr>
              <w:t>酯</w:t>
            </w:r>
          </w:p>
        </w:tc>
        <w:tc>
          <w:tcPr>
            <w:tcW w:w="1578" w:type="dxa"/>
            <w:vAlign w:val="center"/>
          </w:tcPr>
          <w:p w14:paraId="025414B1">
            <w:pPr>
              <w:pStyle w:val="236"/>
              <w:ind w:left="-105" w:right="-105"/>
              <w:jc w:val="center"/>
              <w:rPr>
                <w:rFonts w:ascii="Times New Roman" w:hAnsi="Times New Roman" w:eastAsia="宋体" w:cs="Times New Roman"/>
                <w:bCs/>
                <w:color w:val="auto"/>
                <w:kern w:val="2"/>
                <w:sz w:val="21"/>
                <w:szCs w:val="21"/>
                <w:highlight w:val="none"/>
                <w:lang w:eastAsia="zh-CN"/>
              </w:rPr>
            </w:pPr>
            <w:r>
              <w:rPr>
                <w:rFonts w:hint="eastAsia" w:ascii="Times New Roman" w:hAnsi="Times New Roman" w:eastAsia="宋体" w:cs="Times New Roman"/>
                <w:color w:val="auto"/>
                <w:sz w:val="21"/>
                <w:szCs w:val="21"/>
                <w:highlight w:val="none"/>
                <w:lang w:eastAsia="zh-CN"/>
              </w:rPr>
              <w:t>丙烯酸酯树脂</w:t>
            </w:r>
          </w:p>
        </w:tc>
        <w:tc>
          <w:tcPr>
            <w:tcW w:w="1555" w:type="dxa"/>
            <w:vMerge w:val="restart"/>
            <w:vAlign w:val="center"/>
          </w:tcPr>
          <w:p w14:paraId="38E2F485">
            <w:pPr>
              <w:widowControl w:val="0"/>
              <w:ind w:left="-105" w:right="-105"/>
              <w:jc w:val="center"/>
              <w:rPr>
                <w:rFonts w:ascii="Times New Roman" w:hAnsi="Times New Roman" w:cs="Times New Roman"/>
                <w:bCs/>
                <w:color w:val="auto"/>
                <w:kern w:val="2"/>
                <w:sz w:val="21"/>
                <w:szCs w:val="21"/>
                <w:highlight w:val="none"/>
              </w:rPr>
            </w:pPr>
            <w:r>
              <w:rPr>
                <w:rFonts w:ascii="Times New Roman" w:hAnsi="Times New Roman" w:cs="Times New Roman"/>
                <w:bCs/>
                <w:color w:val="auto"/>
                <w:kern w:val="2"/>
                <w:sz w:val="21"/>
                <w:szCs w:val="21"/>
                <w:highlight w:val="none"/>
              </w:rPr>
              <w:t>违规操作、高温、明火</w:t>
            </w:r>
          </w:p>
        </w:tc>
        <w:tc>
          <w:tcPr>
            <w:tcW w:w="1530" w:type="dxa"/>
            <w:vMerge w:val="restart"/>
            <w:vAlign w:val="center"/>
          </w:tcPr>
          <w:p w14:paraId="24D51FD2">
            <w:pPr>
              <w:widowControl w:val="0"/>
              <w:ind w:left="-105" w:right="-105"/>
              <w:jc w:val="center"/>
              <w:rPr>
                <w:rFonts w:ascii="Times New Roman" w:hAnsi="Times New Roman" w:cs="Times New Roman"/>
                <w:bCs/>
                <w:color w:val="auto"/>
                <w:kern w:val="2"/>
                <w:sz w:val="21"/>
                <w:szCs w:val="21"/>
                <w:highlight w:val="none"/>
              </w:rPr>
            </w:pPr>
            <w:r>
              <w:rPr>
                <w:rFonts w:ascii="Times New Roman" w:hAnsi="Times New Roman" w:cs="Times New Roman"/>
                <w:bCs/>
                <w:color w:val="auto"/>
                <w:sz w:val="21"/>
                <w:szCs w:val="18"/>
                <w:highlight w:val="none"/>
              </w:rPr>
              <w:t>泄漏、火灾、爆炸</w:t>
            </w:r>
          </w:p>
        </w:tc>
        <w:tc>
          <w:tcPr>
            <w:tcW w:w="1846" w:type="dxa"/>
            <w:vAlign w:val="center"/>
          </w:tcPr>
          <w:p w14:paraId="68116541">
            <w:pPr>
              <w:ind w:left="-105" w:right="-105"/>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32.34</w:t>
            </w:r>
          </w:p>
        </w:tc>
      </w:tr>
      <w:tr w14:paraId="6D362D3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70" w:type="dxa"/>
            <w:vMerge w:val="continue"/>
            <w:vAlign w:val="center"/>
          </w:tcPr>
          <w:p w14:paraId="20CA5ACE">
            <w:pPr>
              <w:widowControl w:val="0"/>
              <w:numPr>
                <w:ilvl w:val="0"/>
                <w:numId w:val="24"/>
              </w:numPr>
              <w:ind w:left="-105" w:right="-105"/>
              <w:jc w:val="center"/>
              <w:rPr>
                <w:rFonts w:ascii="Times New Roman" w:hAnsi="Times New Roman" w:cs="Times New Roman"/>
                <w:bCs/>
                <w:color w:val="auto"/>
                <w:kern w:val="2"/>
                <w:sz w:val="21"/>
                <w:szCs w:val="21"/>
                <w:highlight w:val="none"/>
              </w:rPr>
            </w:pPr>
          </w:p>
        </w:tc>
        <w:tc>
          <w:tcPr>
            <w:tcW w:w="869" w:type="dxa"/>
            <w:vMerge w:val="continue"/>
            <w:vAlign w:val="center"/>
          </w:tcPr>
          <w:p w14:paraId="6D83C74E">
            <w:pPr>
              <w:widowControl w:val="0"/>
              <w:ind w:left="-105" w:right="-105"/>
              <w:jc w:val="center"/>
              <w:rPr>
                <w:rFonts w:ascii="Times New Roman" w:hAnsi="Times New Roman" w:cs="Times New Roman"/>
                <w:bCs/>
                <w:color w:val="auto"/>
                <w:kern w:val="2"/>
                <w:sz w:val="21"/>
                <w:szCs w:val="21"/>
                <w:highlight w:val="none"/>
              </w:rPr>
            </w:pPr>
          </w:p>
        </w:tc>
        <w:tc>
          <w:tcPr>
            <w:tcW w:w="772" w:type="dxa"/>
            <w:vMerge w:val="continue"/>
            <w:vAlign w:val="center"/>
          </w:tcPr>
          <w:p w14:paraId="318A46CF">
            <w:pPr>
              <w:ind w:left="-105" w:right="-105"/>
              <w:jc w:val="center"/>
              <w:rPr>
                <w:rFonts w:ascii="Times New Roman" w:hAnsi="Times New Roman" w:cs="Times New Roman"/>
                <w:bCs/>
                <w:color w:val="auto"/>
                <w:kern w:val="2"/>
                <w:sz w:val="21"/>
                <w:szCs w:val="21"/>
                <w:highlight w:val="none"/>
              </w:rPr>
            </w:pPr>
          </w:p>
        </w:tc>
        <w:tc>
          <w:tcPr>
            <w:tcW w:w="1578" w:type="dxa"/>
            <w:vAlign w:val="center"/>
          </w:tcPr>
          <w:p w14:paraId="41D0AEE5">
            <w:pPr>
              <w:pStyle w:val="236"/>
              <w:ind w:left="-105" w:right="-105"/>
              <w:jc w:val="center"/>
              <w:rPr>
                <w:rFonts w:ascii="Times New Roman" w:hAnsi="Times New Roman" w:eastAsia="宋体" w:cs="Times New Roman"/>
                <w:color w:val="auto"/>
                <w:sz w:val="21"/>
                <w:szCs w:val="21"/>
                <w:highlight w:val="none"/>
                <w:lang w:eastAsia="zh-CN" w:bidi="ar"/>
              </w:rPr>
            </w:pPr>
            <w:r>
              <w:rPr>
                <w:rFonts w:ascii="Times New Roman" w:hAnsi="Times New Roman" w:eastAsia="宋体" w:cs="Times New Roman"/>
                <w:color w:val="auto"/>
                <w:spacing w:val="8"/>
                <w:sz w:val="21"/>
                <w:szCs w:val="21"/>
                <w:highlight w:val="none"/>
                <w:lang w:eastAsia="zh-CN"/>
              </w:rPr>
              <w:t>异氰酸酯（六亚</w:t>
            </w:r>
            <w:r>
              <w:rPr>
                <w:rFonts w:ascii="Times New Roman" w:hAnsi="Times New Roman" w:eastAsia="宋体" w:cs="Times New Roman"/>
                <w:color w:val="auto"/>
                <w:spacing w:val="3"/>
                <w:sz w:val="21"/>
                <w:szCs w:val="21"/>
                <w:highlight w:val="none"/>
                <w:lang w:eastAsia="zh-CN"/>
              </w:rPr>
              <w:t>甲基-1,6-二异氰酸</w:t>
            </w:r>
            <w:r>
              <w:rPr>
                <w:rFonts w:ascii="Times New Roman" w:hAnsi="Times New Roman" w:eastAsia="宋体" w:cs="Times New Roman"/>
                <w:color w:val="auto"/>
                <w:spacing w:val="-1"/>
                <w:sz w:val="21"/>
                <w:szCs w:val="21"/>
                <w:highlight w:val="none"/>
                <w:lang w:eastAsia="zh-CN"/>
              </w:rPr>
              <w:t>酯）</w:t>
            </w:r>
          </w:p>
        </w:tc>
        <w:tc>
          <w:tcPr>
            <w:tcW w:w="1555" w:type="dxa"/>
            <w:vMerge w:val="continue"/>
            <w:vAlign w:val="center"/>
          </w:tcPr>
          <w:p w14:paraId="7F7E45E9">
            <w:pPr>
              <w:widowControl w:val="0"/>
              <w:ind w:left="-105" w:right="-105"/>
              <w:jc w:val="center"/>
              <w:rPr>
                <w:rFonts w:ascii="Times New Roman" w:hAnsi="Times New Roman" w:cs="Times New Roman"/>
                <w:bCs/>
                <w:color w:val="auto"/>
                <w:kern w:val="2"/>
                <w:sz w:val="21"/>
                <w:szCs w:val="21"/>
                <w:highlight w:val="none"/>
              </w:rPr>
            </w:pPr>
          </w:p>
        </w:tc>
        <w:tc>
          <w:tcPr>
            <w:tcW w:w="1530" w:type="dxa"/>
            <w:vMerge w:val="continue"/>
            <w:vAlign w:val="center"/>
          </w:tcPr>
          <w:p w14:paraId="066BF77E">
            <w:pPr>
              <w:widowControl w:val="0"/>
              <w:ind w:left="-105" w:right="-105"/>
              <w:jc w:val="center"/>
              <w:rPr>
                <w:rFonts w:ascii="Times New Roman" w:hAnsi="Times New Roman" w:cs="Times New Roman"/>
                <w:bCs/>
                <w:color w:val="auto"/>
                <w:sz w:val="21"/>
                <w:szCs w:val="18"/>
                <w:highlight w:val="none"/>
              </w:rPr>
            </w:pPr>
          </w:p>
        </w:tc>
        <w:tc>
          <w:tcPr>
            <w:tcW w:w="1846" w:type="dxa"/>
            <w:vAlign w:val="center"/>
          </w:tcPr>
          <w:p w14:paraId="233AEB12">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pacing w:val="-2"/>
                <w:sz w:val="21"/>
                <w:szCs w:val="21"/>
                <w:highlight w:val="none"/>
              </w:rPr>
              <w:t>11.68</w:t>
            </w:r>
          </w:p>
        </w:tc>
      </w:tr>
      <w:tr w14:paraId="3A3CFF7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70" w:type="dxa"/>
            <w:vMerge w:val="continue"/>
            <w:vAlign w:val="center"/>
          </w:tcPr>
          <w:p w14:paraId="5EF83132">
            <w:pPr>
              <w:widowControl w:val="0"/>
              <w:numPr>
                <w:ilvl w:val="0"/>
                <w:numId w:val="24"/>
              </w:numPr>
              <w:ind w:left="-105" w:right="-105"/>
              <w:jc w:val="center"/>
              <w:rPr>
                <w:rFonts w:ascii="Times New Roman" w:hAnsi="Times New Roman" w:cs="Times New Roman"/>
                <w:bCs/>
                <w:color w:val="auto"/>
                <w:kern w:val="2"/>
                <w:sz w:val="21"/>
                <w:szCs w:val="21"/>
                <w:highlight w:val="none"/>
              </w:rPr>
            </w:pPr>
          </w:p>
        </w:tc>
        <w:tc>
          <w:tcPr>
            <w:tcW w:w="869" w:type="dxa"/>
            <w:vMerge w:val="continue"/>
            <w:vAlign w:val="center"/>
          </w:tcPr>
          <w:p w14:paraId="5B7B9053">
            <w:pPr>
              <w:widowControl w:val="0"/>
              <w:ind w:left="-105" w:right="-105"/>
              <w:jc w:val="center"/>
              <w:rPr>
                <w:rFonts w:ascii="Times New Roman" w:hAnsi="Times New Roman" w:cs="Times New Roman"/>
                <w:bCs/>
                <w:color w:val="auto"/>
                <w:kern w:val="2"/>
                <w:sz w:val="21"/>
                <w:szCs w:val="21"/>
                <w:highlight w:val="none"/>
              </w:rPr>
            </w:pPr>
          </w:p>
        </w:tc>
        <w:tc>
          <w:tcPr>
            <w:tcW w:w="772" w:type="dxa"/>
            <w:vMerge w:val="restart"/>
            <w:vAlign w:val="center"/>
          </w:tcPr>
          <w:p w14:paraId="65A72048">
            <w:pPr>
              <w:pStyle w:val="236"/>
              <w:ind w:left="-105" w:right="-105"/>
              <w:jc w:val="center"/>
              <w:rPr>
                <w:rFonts w:ascii="Times New Roman" w:hAnsi="Times New Roman" w:cs="Times New Roman"/>
                <w:bCs/>
                <w:color w:val="auto"/>
                <w:kern w:val="2"/>
                <w:sz w:val="21"/>
                <w:szCs w:val="21"/>
                <w:highlight w:val="none"/>
              </w:rPr>
            </w:pPr>
            <w:r>
              <w:rPr>
                <w:rFonts w:ascii="Times New Roman" w:hAnsi="Times New Roman" w:eastAsia="宋体" w:cs="Times New Roman"/>
                <w:color w:val="auto"/>
                <w:spacing w:val="2"/>
                <w:sz w:val="21"/>
                <w:szCs w:val="21"/>
                <w:highlight w:val="none"/>
              </w:rPr>
              <w:t>丙烯</w:t>
            </w:r>
            <w:r>
              <w:rPr>
                <w:rFonts w:ascii="Times New Roman" w:hAnsi="Times New Roman" w:eastAsia="宋体" w:cs="Times New Roman"/>
                <w:color w:val="auto"/>
                <w:spacing w:val="4"/>
                <w:sz w:val="21"/>
                <w:szCs w:val="21"/>
                <w:highlight w:val="none"/>
              </w:rPr>
              <w:t>酸酯</w:t>
            </w:r>
            <w:r>
              <w:rPr>
                <w:rFonts w:hint="eastAsia" w:ascii="Times New Roman" w:hAnsi="Times New Roman" w:eastAsia="宋体" w:cs="Times New Roman"/>
                <w:color w:val="auto"/>
                <w:spacing w:val="4"/>
                <w:sz w:val="21"/>
                <w:szCs w:val="21"/>
                <w:highlight w:val="none"/>
                <w:lang w:eastAsia="zh-CN"/>
              </w:rPr>
              <w:t>组成物</w:t>
            </w:r>
          </w:p>
        </w:tc>
        <w:tc>
          <w:tcPr>
            <w:tcW w:w="1578" w:type="dxa"/>
            <w:vAlign w:val="center"/>
          </w:tcPr>
          <w:p w14:paraId="05C36718">
            <w:pPr>
              <w:pStyle w:val="236"/>
              <w:ind w:left="-105" w:right="-105"/>
              <w:jc w:val="center"/>
              <w:rPr>
                <w:rFonts w:ascii="Times New Roman" w:hAnsi="Times New Roman" w:eastAsia="宋体" w:cs="Times New Roman"/>
                <w:color w:val="auto"/>
                <w:sz w:val="21"/>
                <w:szCs w:val="21"/>
                <w:highlight w:val="none"/>
                <w:lang w:bidi="ar"/>
              </w:rPr>
            </w:pPr>
            <w:r>
              <w:rPr>
                <w:rFonts w:ascii="Times New Roman" w:hAnsi="Times New Roman" w:eastAsia="宋体" w:cs="Times New Roman"/>
                <w:color w:val="auto"/>
                <w:spacing w:val="7"/>
                <w:sz w:val="21"/>
                <w:szCs w:val="21"/>
                <w:highlight w:val="none"/>
              </w:rPr>
              <w:t>聚氨酯丙烯酸酯</w:t>
            </w:r>
          </w:p>
        </w:tc>
        <w:tc>
          <w:tcPr>
            <w:tcW w:w="1555" w:type="dxa"/>
            <w:vMerge w:val="continue"/>
            <w:vAlign w:val="center"/>
          </w:tcPr>
          <w:p w14:paraId="62A2DA8E">
            <w:pPr>
              <w:widowControl w:val="0"/>
              <w:ind w:left="-105" w:right="-105"/>
              <w:jc w:val="center"/>
              <w:rPr>
                <w:rFonts w:ascii="Times New Roman" w:hAnsi="Times New Roman" w:cs="Times New Roman"/>
                <w:bCs/>
                <w:color w:val="auto"/>
                <w:kern w:val="2"/>
                <w:sz w:val="21"/>
                <w:szCs w:val="21"/>
                <w:highlight w:val="none"/>
              </w:rPr>
            </w:pPr>
          </w:p>
        </w:tc>
        <w:tc>
          <w:tcPr>
            <w:tcW w:w="1530" w:type="dxa"/>
            <w:vMerge w:val="continue"/>
            <w:vAlign w:val="center"/>
          </w:tcPr>
          <w:p w14:paraId="6DF48A0C">
            <w:pPr>
              <w:widowControl w:val="0"/>
              <w:ind w:left="-105" w:right="-105"/>
              <w:jc w:val="center"/>
              <w:rPr>
                <w:rFonts w:ascii="Times New Roman" w:hAnsi="Times New Roman" w:cs="Times New Roman"/>
                <w:bCs/>
                <w:color w:val="auto"/>
                <w:sz w:val="21"/>
                <w:szCs w:val="18"/>
                <w:highlight w:val="none"/>
              </w:rPr>
            </w:pPr>
          </w:p>
        </w:tc>
        <w:tc>
          <w:tcPr>
            <w:tcW w:w="1846" w:type="dxa"/>
            <w:vAlign w:val="center"/>
          </w:tcPr>
          <w:p w14:paraId="162922D4">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pacing w:val="-2"/>
                <w:sz w:val="21"/>
                <w:szCs w:val="21"/>
                <w:highlight w:val="none"/>
              </w:rPr>
              <w:t>11.33</w:t>
            </w:r>
          </w:p>
        </w:tc>
      </w:tr>
      <w:tr w14:paraId="293D395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70" w:type="dxa"/>
            <w:vMerge w:val="continue"/>
            <w:vAlign w:val="center"/>
          </w:tcPr>
          <w:p w14:paraId="643CD46A">
            <w:pPr>
              <w:widowControl w:val="0"/>
              <w:numPr>
                <w:ilvl w:val="0"/>
                <w:numId w:val="24"/>
              </w:numPr>
              <w:ind w:left="-105" w:right="-105"/>
              <w:jc w:val="center"/>
              <w:rPr>
                <w:rFonts w:ascii="Times New Roman" w:hAnsi="Times New Roman" w:cs="Times New Roman"/>
                <w:bCs/>
                <w:color w:val="auto"/>
                <w:kern w:val="2"/>
                <w:sz w:val="21"/>
                <w:szCs w:val="21"/>
                <w:highlight w:val="none"/>
              </w:rPr>
            </w:pPr>
          </w:p>
        </w:tc>
        <w:tc>
          <w:tcPr>
            <w:tcW w:w="869" w:type="dxa"/>
            <w:vMerge w:val="continue"/>
            <w:vAlign w:val="center"/>
          </w:tcPr>
          <w:p w14:paraId="7A4FA4A9">
            <w:pPr>
              <w:widowControl w:val="0"/>
              <w:ind w:left="-105" w:right="-105"/>
              <w:jc w:val="center"/>
              <w:rPr>
                <w:rFonts w:ascii="Times New Roman" w:hAnsi="Times New Roman" w:cs="Times New Roman"/>
                <w:bCs/>
                <w:color w:val="auto"/>
                <w:kern w:val="2"/>
                <w:sz w:val="21"/>
                <w:szCs w:val="21"/>
                <w:highlight w:val="none"/>
              </w:rPr>
            </w:pPr>
          </w:p>
        </w:tc>
        <w:tc>
          <w:tcPr>
            <w:tcW w:w="772" w:type="dxa"/>
            <w:vMerge w:val="continue"/>
            <w:vAlign w:val="center"/>
          </w:tcPr>
          <w:p w14:paraId="771A8735">
            <w:pPr>
              <w:ind w:left="-105" w:right="-105"/>
              <w:jc w:val="center"/>
              <w:rPr>
                <w:rFonts w:ascii="Times New Roman" w:hAnsi="Times New Roman" w:cs="Times New Roman"/>
                <w:bCs/>
                <w:color w:val="auto"/>
                <w:kern w:val="2"/>
                <w:sz w:val="21"/>
                <w:szCs w:val="21"/>
                <w:highlight w:val="none"/>
              </w:rPr>
            </w:pPr>
          </w:p>
        </w:tc>
        <w:tc>
          <w:tcPr>
            <w:tcW w:w="1578" w:type="dxa"/>
            <w:vAlign w:val="center"/>
          </w:tcPr>
          <w:p w14:paraId="1B8914D1">
            <w:pPr>
              <w:pStyle w:val="236"/>
              <w:ind w:left="-105" w:right="-105"/>
              <w:jc w:val="center"/>
              <w:rPr>
                <w:rFonts w:ascii="Times New Roman" w:hAnsi="Times New Roman" w:eastAsia="宋体" w:cs="Times New Roman"/>
                <w:color w:val="auto"/>
                <w:sz w:val="21"/>
                <w:szCs w:val="21"/>
                <w:highlight w:val="none"/>
                <w:lang w:bidi="ar"/>
              </w:rPr>
            </w:pPr>
            <w:r>
              <w:rPr>
                <w:rFonts w:ascii="Times New Roman" w:hAnsi="Times New Roman" w:eastAsia="宋体" w:cs="Times New Roman"/>
                <w:color w:val="auto"/>
                <w:spacing w:val="8"/>
                <w:sz w:val="21"/>
                <w:szCs w:val="21"/>
                <w:highlight w:val="none"/>
              </w:rPr>
              <w:t>环氧丙烯酸树脂</w:t>
            </w:r>
          </w:p>
        </w:tc>
        <w:tc>
          <w:tcPr>
            <w:tcW w:w="1555" w:type="dxa"/>
            <w:vMerge w:val="continue"/>
            <w:vAlign w:val="center"/>
          </w:tcPr>
          <w:p w14:paraId="6C0B826B">
            <w:pPr>
              <w:widowControl w:val="0"/>
              <w:ind w:left="-105" w:right="-105"/>
              <w:jc w:val="center"/>
              <w:rPr>
                <w:rFonts w:ascii="Times New Roman" w:hAnsi="Times New Roman" w:cs="Times New Roman"/>
                <w:bCs/>
                <w:color w:val="auto"/>
                <w:kern w:val="2"/>
                <w:sz w:val="21"/>
                <w:szCs w:val="21"/>
                <w:highlight w:val="none"/>
              </w:rPr>
            </w:pPr>
          </w:p>
        </w:tc>
        <w:tc>
          <w:tcPr>
            <w:tcW w:w="1530" w:type="dxa"/>
            <w:vMerge w:val="continue"/>
            <w:vAlign w:val="center"/>
          </w:tcPr>
          <w:p w14:paraId="2595762C">
            <w:pPr>
              <w:widowControl w:val="0"/>
              <w:ind w:left="-105" w:right="-105"/>
              <w:jc w:val="center"/>
              <w:rPr>
                <w:rFonts w:ascii="Times New Roman" w:hAnsi="Times New Roman" w:cs="Times New Roman"/>
                <w:bCs/>
                <w:color w:val="auto"/>
                <w:sz w:val="21"/>
                <w:szCs w:val="18"/>
                <w:highlight w:val="none"/>
              </w:rPr>
            </w:pPr>
          </w:p>
        </w:tc>
        <w:tc>
          <w:tcPr>
            <w:tcW w:w="1846" w:type="dxa"/>
            <w:vAlign w:val="center"/>
          </w:tcPr>
          <w:p w14:paraId="6693AAA6">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pacing w:val="3"/>
                <w:sz w:val="21"/>
                <w:szCs w:val="21"/>
                <w:highlight w:val="none"/>
              </w:rPr>
              <w:t>22.17</w:t>
            </w:r>
          </w:p>
        </w:tc>
      </w:tr>
      <w:tr w14:paraId="5296EA8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70" w:type="dxa"/>
            <w:vMerge w:val="continue"/>
            <w:vAlign w:val="center"/>
          </w:tcPr>
          <w:p w14:paraId="74A4087C">
            <w:pPr>
              <w:widowControl w:val="0"/>
              <w:numPr>
                <w:ilvl w:val="0"/>
                <w:numId w:val="24"/>
              </w:numPr>
              <w:ind w:left="-105" w:right="-105"/>
              <w:jc w:val="center"/>
              <w:rPr>
                <w:rFonts w:ascii="Times New Roman" w:hAnsi="Times New Roman" w:cs="Times New Roman"/>
                <w:bCs/>
                <w:color w:val="auto"/>
                <w:kern w:val="2"/>
                <w:sz w:val="21"/>
                <w:szCs w:val="21"/>
                <w:highlight w:val="none"/>
              </w:rPr>
            </w:pPr>
          </w:p>
        </w:tc>
        <w:tc>
          <w:tcPr>
            <w:tcW w:w="869" w:type="dxa"/>
            <w:vMerge w:val="continue"/>
            <w:vAlign w:val="center"/>
          </w:tcPr>
          <w:p w14:paraId="6BB8D5C3">
            <w:pPr>
              <w:widowControl w:val="0"/>
              <w:ind w:left="-105" w:right="-105"/>
              <w:jc w:val="center"/>
              <w:rPr>
                <w:rFonts w:ascii="Times New Roman" w:hAnsi="Times New Roman" w:cs="Times New Roman"/>
                <w:bCs/>
                <w:color w:val="auto"/>
                <w:kern w:val="2"/>
                <w:sz w:val="21"/>
                <w:szCs w:val="21"/>
                <w:highlight w:val="none"/>
              </w:rPr>
            </w:pPr>
          </w:p>
        </w:tc>
        <w:tc>
          <w:tcPr>
            <w:tcW w:w="772" w:type="dxa"/>
            <w:vMerge w:val="continue"/>
            <w:vAlign w:val="center"/>
          </w:tcPr>
          <w:p w14:paraId="5E8D5ACC">
            <w:pPr>
              <w:ind w:left="-105" w:right="-105"/>
              <w:jc w:val="center"/>
              <w:rPr>
                <w:rFonts w:ascii="Times New Roman" w:hAnsi="Times New Roman" w:cs="Times New Roman"/>
                <w:bCs/>
                <w:color w:val="auto"/>
                <w:kern w:val="2"/>
                <w:sz w:val="21"/>
                <w:szCs w:val="21"/>
                <w:highlight w:val="none"/>
              </w:rPr>
            </w:pPr>
          </w:p>
        </w:tc>
        <w:tc>
          <w:tcPr>
            <w:tcW w:w="1578" w:type="dxa"/>
            <w:vAlign w:val="center"/>
          </w:tcPr>
          <w:p w14:paraId="4193092A">
            <w:pPr>
              <w:pStyle w:val="236"/>
              <w:ind w:left="-105" w:right="-105"/>
              <w:jc w:val="center"/>
              <w:rPr>
                <w:rFonts w:ascii="Times New Roman" w:hAnsi="Times New Roman" w:eastAsia="宋体" w:cs="Times New Roman"/>
                <w:color w:val="auto"/>
                <w:sz w:val="21"/>
                <w:szCs w:val="21"/>
                <w:highlight w:val="none"/>
                <w:lang w:eastAsia="zh-CN" w:bidi="ar"/>
              </w:rPr>
            </w:pPr>
            <w:r>
              <w:rPr>
                <w:rFonts w:hint="eastAsia" w:ascii="Times New Roman" w:hAnsi="Times New Roman" w:eastAsia="宋体" w:cs="Times New Roman"/>
                <w:color w:val="auto"/>
                <w:spacing w:val="8"/>
                <w:sz w:val="21"/>
                <w:szCs w:val="21"/>
                <w:highlight w:val="none"/>
                <w:lang w:eastAsia="zh-CN"/>
              </w:rPr>
              <w:t>单体（二缩三丙二醇二丙烯酸酯）</w:t>
            </w:r>
          </w:p>
        </w:tc>
        <w:tc>
          <w:tcPr>
            <w:tcW w:w="1555" w:type="dxa"/>
            <w:vMerge w:val="continue"/>
            <w:vAlign w:val="center"/>
          </w:tcPr>
          <w:p w14:paraId="4BF55E65">
            <w:pPr>
              <w:widowControl w:val="0"/>
              <w:ind w:left="-105" w:right="-105"/>
              <w:jc w:val="center"/>
              <w:rPr>
                <w:rFonts w:ascii="Times New Roman" w:hAnsi="Times New Roman" w:cs="Times New Roman"/>
                <w:bCs/>
                <w:color w:val="auto"/>
                <w:kern w:val="2"/>
                <w:sz w:val="21"/>
                <w:szCs w:val="21"/>
                <w:highlight w:val="none"/>
              </w:rPr>
            </w:pPr>
          </w:p>
        </w:tc>
        <w:tc>
          <w:tcPr>
            <w:tcW w:w="1530" w:type="dxa"/>
            <w:vMerge w:val="continue"/>
            <w:vAlign w:val="center"/>
          </w:tcPr>
          <w:p w14:paraId="7639E434">
            <w:pPr>
              <w:widowControl w:val="0"/>
              <w:ind w:left="-105" w:right="-105"/>
              <w:jc w:val="center"/>
              <w:rPr>
                <w:rFonts w:ascii="Times New Roman" w:hAnsi="Times New Roman" w:cs="Times New Roman"/>
                <w:bCs/>
                <w:color w:val="auto"/>
                <w:sz w:val="21"/>
                <w:szCs w:val="18"/>
                <w:highlight w:val="none"/>
              </w:rPr>
            </w:pPr>
          </w:p>
        </w:tc>
        <w:tc>
          <w:tcPr>
            <w:tcW w:w="1846" w:type="dxa"/>
            <w:vAlign w:val="center"/>
          </w:tcPr>
          <w:p w14:paraId="729A320A">
            <w:pPr>
              <w:ind w:left="-105" w:right="-105"/>
              <w:jc w:val="center"/>
              <w:rPr>
                <w:rFonts w:ascii="Times New Roman" w:hAnsi="Times New Roman" w:cs="Times New Roman"/>
                <w:color w:val="auto"/>
                <w:spacing w:val="3"/>
                <w:sz w:val="21"/>
                <w:szCs w:val="21"/>
                <w:highlight w:val="none"/>
              </w:rPr>
            </w:pPr>
            <w:r>
              <w:rPr>
                <w:rFonts w:hint="eastAsia" w:ascii="Times New Roman" w:hAnsi="Times New Roman" w:cs="Times New Roman"/>
                <w:color w:val="auto"/>
                <w:spacing w:val="3"/>
                <w:sz w:val="21"/>
                <w:szCs w:val="21"/>
                <w:highlight w:val="none"/>
              </w:rPr>
              <w:t>23.16</w:t>
            </w:r>
          </w:p>
        </w:tc>
      </w:tr>
      <w:tr w14:paraId="2984016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70" w:type="dxa"/>
            <w:vMerge w:val="continue"/>
            <w:vAlign w:val="center"/>
          </w:tcPr>
          <w:p w14:paraId="41891FE2">
            <w:pPr>
              <w:widowControl w:val="0"/>
              <w:numPr>
                <w:ilvl w:val="0"/>
                <w:numId w:val="24"/>
              </w:numPr>
              <w:ind w:left="-105" w:right="-105"/>
              <w:jc w:val="center"/>
              <w:rPr>
                <w:rFonts w:ascii="Times New Roman" w:hAnsi="Times New Roman" w:cs="Times New Roman"/>
                <w:bCs/>
                <w:color w:val="auto"/>
                <w:kern w:val="2"/>
                <w:sz w:val="21"/>
                <w:szCs w:val="21"/>
                <w:highlight w:val="none"/>
              </w:rPr>
            </w:pPr>
          </w:p>
        </w:tc>
        <w:tc>
          <w:tcPr>
            <w:tcW w:w="869" w:type="dxa"/>
            <w:vMerge w:val="continue"/>
            <w:vAlign w:val="center"/>
          </w:tcPr>
          <w:p w14:paraId="24EBBD9D">
            <w:pPr>
              <w:widowControl w:val="0"/>
              <w:ind w:left="-105" w:right="-105"/>
              <w:jc w:val="center"/>
              <w:rPr>
                <w:rFonts w:ascii="Times New Roman" w:hAnsi="Times New Roman" w:cs="Times New Roman"/>
                <w:bCs/>
                <w:color w:val="auto"/>
                <w:kern w:val="2"/>
                <w:sz w:val="21"/>
                <w:szCs w:val="21"/>
                <w:highlight w:val="none"/>
              </w:rPr>
            </w:pPr>
          </w:p>
        </w:tc>
        <w:tc>
          <w:tcPr>
            <w:tcW w:w="772" w:type="dxa"/>
            <w:vMerge w:val="continue"/>
            <w:vAlign w:val="center"/>
          </w:tcPr>
          <w:p w14:paraId="37E07BAB">
            <w:pPr>
              <w:ind w:left="-105" w:right="-105"/>
              <w:jc w:val="center"/>
              <w:rPr>
                <w:rFonts w:ascii="Times New Roman" w:hAnsi="Times New Roman" w:cs="Times New Roman"/>
                <w:bCs/>
                <w:color w:val="auto"/>
                <w:kern w:val="2"/>
                <w:sz w:val="21"/>
                <w:szCs w:val="21"/>
                <w:highlight w:val="none"/>
              </w:rPr>
            </w:pPr>
          </w:p>
        </w:tc>
        <w:tc>
          <w:tcPr>
            <w:tcW w:w="1578" w:type="dxa"/>
            <w:vAlign w:val="center"/>
          </w:tcPr>
          <w:p w14:paraId="112F2F1B">
            <w:pPr>
              <w:pStyle w:val="236"/>
              <w:ind w:left="-105" w:right="-105"/>
              <w:jc w:val="center"/>
              <w:rPr>
                <w:rFonts w:ascii="Times New Roman" w:hAnsi="Times New Roman" w:eastAsia="宋体" w:cs="Times New Roman"/>
                <w:color w:val="auto"/>
                <w:sz w:val="21"/>
                <w:szCs w:val="21"/>
                <w:highlight w:val="none"/>
                <w:lang w:eastAsia="zh-CN" w:bidi="ar"/>
              </w:rPr>
            </w:pPr>
            <w:r>
              <w:rPr>
                <w:rFonts w:hint="eastAsia" w:ascii="Times New Roman" w:hAnsi="Times New Roman" w:eastAsia="宋体" w:cs="Times New Roman"/>
                <w:color w:val="auto"/>
                <w:spacing w:val="8"/>
                <w:sz w:val="21"/>
                <w:szCs w:val="21"/>
                <w:highlight w:val="none"/>
                <w:lang w:eastAsia="zh-CN"/>
              </w:rPr>
              <w:t>光敏剂（1-羟环己基苯酮）</w:t>
            </w:r>
          </w:p>
        </w:tc>
        <w:tc>
          <w:tcPr>
            <w:tcW w:w="1555" w:type="dxa"/>
            <w:vMerge w:val="continue"/>
            <w:vAlign w:val="center"/>
          </w:tcPr>
          <w:p w14:paraId="6AAEFEBD">
            <w:pPr>
              <w:widowControl w:val="0"/>
              <w:ind w:left="-105" w:right="-105"/>
              <w:jc w:val="center"/>
              <w:rPr>
                <w:rFonts w:ascii="Times New Roman" w:hAnsi="Times New Roman" w:cs="Times New Roman"/>
                <w:bCs/>
                <w:color w:val="auto"/>
                <w:kern w:val="2"/>
                <w:sz w:val="21"/>
                <w:szCs w:val="21"/>
                <w:highlight w:val="none"/>
              </w:rPr>
            </w:pPr>
          </w:p>
        </w:tc>
        <w:tc>
          <w:tcPr>
            <w:tcW w:w="1530" w:type="dxa"/>
            <w:vMerge w:val="continue"/>
            <w:vAlign w:val="center"/>
          </w:tcPr>
          <w:p w14:paraId="4F472F72">
            <w:pPr>
              <w:widowControl w:val="0"/>
              <w:ind w:left="-105" w:right="-105"/>
              <w:jc w:val="center"/>
              <w:rPr>
                <w:rFonts w:ascii="Times New Roman" w:hAnsi="Times New Roman" w:cs="Times New Roman"/>
                <w:bCs/>
                <w:color w:val="auto"/>
                <w:sz w:val="21"/>
                <w:szCs w:val="18"/>
                <w:highlight w:val="none"/>
              </w:rPr>
            </w:pPr>
          </w:p>
        </w:tc>
        <w:tc>
          <w:tcPr>
            <w:tcW w:w="1846" w:type="dxa"/>
            <w:vAlign w:val="center"/>
          </w:tcPr>
          <w:p w14:paraId="64264738">
            <w:pPr>
              <w:ind w:left="-105" w:right="-105"/>
              <w:jc w:val="center"/>
              <w:rPr>
                <w:rFonts w:ascii="Times New Roman" w:hAnsi="Times New Roman" w:cs="Times New Roman"/>
                <w:color w:val="auto"/>
                <w:spacing w:val="3"/>
                <w:sz w:val="21"/>
                <w:szCs w:val="21"/>
                <w:highlight w:val="none"/>
              </w:rPr>
            </w:pPr>
            <w:r>
              <w:rPr>
                <w:rFonts w:hint="eastAsia" w:ascii="Times New Roman" w:hAnsi="Times New Roman" w:cs="Times New Roman"/>
                <w:color w:val="auto"/>
                <w:spacing w:val="3"/>
                <w:sz w:val="21"/>
                <w:szCs w:val="21"/>
                <w:highlight w:val="none"/>
              </w:rPr>
              <w:t>10.36</w:t>
            </w:r>
          </w:p>
        </w:tc>
      </w:tr>
      <w:tr w14:paraId="542BE58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70" w:type="dxa"/>
            <w:vMerge w:val="continue"/>
            <w:vAlign w:val="center"/>
          </w:tcPr>
          <w:p w14:paraId="0C7AFD6C">
            <w:pPr>
              <w:widowControl w:val="0"/>
              <w:numPr>
                <w:ilvl w:val="0"/>
                <w:numId w:val="24"/>
              </w:numPr>
              <w:ind w:left="-105" w:right="-105"/>
              <w:jc w:val="center"/>
              <w:rPr>
                <w:rFonts w:ascii="Times New Roman" w:hAnsi="Times New Roman" w:cs="Times New Roman"/>
                <w:bCs/>
                <w:color w:val="auto"/>
                <w:kern w:val="2"/>
                <w:sz w:val="21"/>
                <w:szCs w:val="21"/>
                <w:highlight w:val="none"/>
              </w:rPr>
            </w:pPr>
          </w:p>
        </w:tc>
        <w:tc>
          <w:tcPr>
            <w:tcW w:w="869" w:type="dxa"/>
            <w:vMerge w:val="continue"/>
            <w:vAlign w:val="center"/>
          </w:tcPr>
          <w:p w14:paraId="2445448E">
            <w:pPr>
              <w:widowControl w:val="0"/>
              <w:ind w:left="-105" w:right="-105"/>
              <w:jc w:val="center"/>
              <w:rPr>
                <w:rFonts w:ascii="Times New Roman" w:hAnsi="Times New Roman" w:cs="Times New Roman"/>
                <w:bCs/>
                <w:color w:val="auto"/>
                <w:kern w:val="2"/>
                <w:sz w:val="21"/>
                <w:szCs w:val="21"/>
                <w:highlight w:val="none"/>
              </w:rPr>
            </w:pPr>
          </w:p>
        </w:tc>
        <w:tc>
          <w:tcPr>
            <w:tcW w:w="772" w:type="dxa"/>
            <w:vMerge w:val="restart"/>
            <w:vAlign w:val="center"/>
          </w:tcPr>
          <w:p w14:paraId="2D85A253">
            <w:pPr>
              <w:pStyle w:val="236"/>
              <w:ind w:left="-105" w:right="-105"/>
              <w:jc w:val="center"/>
              <w:rPr>
                <w:rFonts w:ascii="Times New Roman" w:hAnsi="Times New Roman" w:cs="Times New Roman"/>
                <w:bCs/>
                <w:color w:val="auto"/>
                <w:kern w:val="2"/>
                <w:sz w:val="21"/>
                <w:szCs w:val="21"/>
                <w:highlight w:val="none"/>
              </w:rPr>
            </w:pPr>
            <w:r>
              <w:rPr>
                <w:rFonts w:ascii="Times New Roman" w:hAnsi="Times New Roman" w:eastAsia="宋体" w:cs="Times New Roman"/>
                <w:color w:val="auto"/>
                <w:spacing w:val="4"/>
                <w:sz w:val="21"/>
                <w:szCs w:val="21"/>
                <w:highlight w:val="none"/>
              </w:rPr>
              <w:t>环氧</w:t>
            </w:r>
            <w:r>
              <w:rPr>
                <w:rFonts w:ascii="Times New Roman" w:hAnsi="Times New Roman" w:eastAsia="宋体" w:cs="Times New Roman"/>
                <w:color w:val="auto"/>
                <w:spacing w:val="2"/>
                <w:sz w:val="21"/>
                <w:szCs w:val="21"/>
                <w:highlight w:val="none"/>
              </w:rPr>
              <w:t>丙烯</w:t>
            </w:r>
            <w:r>
              <w:rPr>
                <w:rFonts w:ascii="Times New Roman" w:hAnsi="Times New Roman" w:eastAsia="宋体" w:cs="Times New Roman"/>
                <w:color w:val="auto"/>
                <w:spacing w:val="4"/>
                <w:sz w:val="21"/>
                <w:szCs w:val="21"/>
                <w:highlight w:val="none"/>
              </w:rPr>
              <w:t>酸</w:t>
            </w:r>
            <w:r>
              <w:rPr>
                <w:rFonts w:hint="eastAsia" w:ascii="Times New Roman" w:hAnsi="Times New Roman" w:eastAsia="宋体" w:cs="Times New Roman"/>
                <w:color w:val="auto"/>
                <w:spacing w:val="4"/>
                <w:sz w:val="21"/>
                <w:szCs w:val="21"/>
                <w:highlight w:val="none"/>
                <w:lang w:eastAsia="zh-CN"/>
              </w:rPr>
              <w:t>树脂</w:t>
            </w:r>
          </w:p>
        </w:tc>
        <w:tc>
          <w:tcPr>
            <w:tcW w:w="1578" w:type="dxa"/>
            <w:vAlign w:val="center"/>
          </w:tcPr>
          <w:p w14:paraId="76059675">
            <w:pPr>
              <w:pStyle w:val="236"/>
              <w:ind w:left="-105" w:right="-105"/>
              <w:jc w:val="center"/>
              <w:rPr>
                <w:rFonts w:ascii="Times New Roman" w:hAnsi="Times New Roman" w:eastAsia="宋体" w:cs="Times New Roman"/>
                <w:color w:val="auto"/>
                <w:sz w:val="21"/>
                <w:szCs w:val="21"/>
                <w:highlight w:val="none"/>
                <w:lang w:bidi="ar"/>
              </w:rPr>
            </w:pPr>
            <w:r>
              <w:rPr>
                <w:rFonts w:ascii="Times New Roman" w:hAnsi="Times New Roman" w:eastAsia="宋体" w:cs="Times New Roman"/>
                <w:color w:val="auto"/>
                <w:spacing w:val="8"/>
                <w:sz w:val="21"/>
                <w:szCs w:val="21"/>
                <w:highlight w:val="none"/>
              </w:rPr>
              <w:t>酚醛环氧树脂</w:t>
            </w:r>
          </w:p>
        </w:tc>
        <w:tc>
          <w:tcPr>
            <w:tcW w:w="1555" w:type="dxa"/>
            <w:vMerge w:val="continue"/>
            <w:vAlign w:val="center"/>
          </w:tcPr>
          <w:p w14:paraId="18A44969">
            <w:pPr>
              <w:widowControl w:val="0"/>
              <w:ind w:left="-105" w:right="-105"/>
              <w:jc w:val="center"/>
              <w:rPr>
                <w:rFonts w:ascii="Times New Roman" w:hAnsi="Times New Roman" w:cs="Times New Roman"/>
                <w:bCs/>
                <w:color w:val="auto"/>
                <w:kern w:val="2"/>
                <w:sz w:val="21"/>
                <w:szCs w:val="21"/>
                <w:highlight w:val="none"/>
              </w:rPr>
            </w:pPr>
          </w:p>
        </w:tc>
        <w:tc>
          <w:tcPr>
            <w:tcW w:w="1530" w:type="dxa"/>
            <w:vMerge w:val="continue"/>
            <w:vAlign w:val="center"/>
          </w:tcPr>
          <w:p w14:paraId="0AA5C56D">
            <w:pPr>
              <w:widowControl w:val="0"/>
              <w:ind w:left="-105" w:right="-105"/>
              <w:jc w:val="center"/>
              <w:rPr>
                <w:rFonts w:ascii="Times New Roman" w:hAnsi="Times New Roman" w:cs="Times New Roman"/>
                <w:bCs/>
                <w:color w:val="auto"/>
                <w:sz w:val="21"/>
                <w:szCs w:val="18"/>
                <w:highlight w:val="none"/>
              </w:rPr>
            </w:pPr>
          </w:p>
        </w:tc>
        <w:tc>
          <w:tcPr>
            <w:tcW w:w="1846" w:type="dxa"/>
            <w:vAlign w:val="center"/>
          </w:tcPr>
          <w:p w14:paraId="6539E7AB">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pacing w:val="-1"/>
                <w:sz w:val="21"/>
                <w:szCs w:val="21"/>
                <w:highlight w:val="none"/>
              </w:rPr>
              <w:t>12.43</w:t>
            </w:r>
          </w:p>
        </w:tc>
      </w:tr>
      <w:tr w14:paraId="24B1841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70" w:type="dxa"/>
            <w:vMerge w:val="continue"/>
            <w:vAlign w:val="center"/>
          </w:tcPr>
          <w:p w14:paraId="39AA572D">
            <w:pPr>
              <w:widowControl w:val="0"/>
              <w:numPr>
                <w:ilvl w:val="0"/>
                <w:numId w:val="24"/>
              </w:numPr>
              <w:ind w:left="-105" w:right="-105"/>
              <w:jc w:val="center"/>
              <w:rPr>
                <w:rFonts w:ascii="Times New Roman" w:hAnsi="Times New Roman" w:cs="Times New Roman"/>
                <w:bCs/>
                <w:color w:val="auto"/>
                <w:kern w:val="2"/>
                <w:sz w:val="21"/>
                <w:szCs w:val="21"/>
                <w:highlight w:val="none"/>
              </w:rPr>
            </w:pPr>
          </w:p>
        </w:tc>
        <w:tc>
          <w:tcPr>
            <w:tcW w:w="869" w:type="dxa"/>
            <w:vMerge w:val="continue"/>
            <w:vAlign w:val="center"/>
          </w:tcPr>
          <w:p w14:paraId="0D7162C4">
            <w:pPr>
              <w:widowControl w:val="0"/>
              <w:ind w:left="-105" w:right="-105"/>
              <w:jc w:val="center"/>
              <w:rPr>
                <w:rFonts w:ascii="Times New Roman" w:hAnsi="Times New Roman" w:cs="Times New Roman"/>
                <w:bCs/>
                <w:color w:val="auto"/>
                <w:kern w:val="2"/>
                <w:sz w:val="21"/>
                <w:szCs w:val="21"/>
                <w:highlight w:val="none"/>
              </w:rPr>
            </w:pPr>
          </w:p>
        </w:tc>
        <w:tc>
          <w:tcPr>
            <w:tcW w:w="772" w:type="dxa"/>
            <w:vMerge w:val="continue"/>
            <w:vAlign w:val="center"/>
          </w:tcPr>
          <w:p w14:paraId="40974F5B">
            <w:pPr>
              <w:pStyle w:val="236"/>
              <w:ind w:left="-105" w:right="-105"/>
              <w:jc w:val="center"/>
              <w:rPr>
                <w:rFonts w:ascii="Times New Roman" w:hAnsi="Times New Roman" w:cs="Times New Roman"/>
                <w:bCs/>
                <w:color w:val="auto"/>
                <w:kern w:val="2"/>
                <w:sz w:val="21"/>
                <w:szCs w:val="21"/>
                <w:highlight w:val="none"/>
              </w:rPr>
            </w:pPr>
          </w:p>
        </w:tc>
        <w:tc>
          <w:tcPr>
            <w:tcW w:w="1578" w:type="dxa"/>
            <w:vAlign w:val="center"/>
          </w:tcPr>
          <w:p w14:paraId="71DD2825">
            <w:pPr>
              <w:pStyle w:val="236"/>
              <w:ind w:left="-105" w:right="-105"/>
              <w:jc w:val="center"/>
              <w:rPr>
                <w:rFonts w:ascii="Times New Roman" w:hAnsi="Times New Roman" w:eastAsia="宋体" w:cs="Times New Roman"/>
                <w:color w:val="auto"/>
                <w:sz w:val="21"/>
                <w:szCs w:val="21"/>
                <w:highlight w:val="none"/>
                <w:lang w:bidi="ar"/>
              </w:rPr>
            </w:pPr>
            <w:r>
              <w:rPr>
                <w:rFonts w:ascii="Times New Roman" w:hAnsi="Times New Roman" w:eastAsia="宋体" w:cs="Times New Roman"/>
                <w:color w:val="auto"/>
                <w:spacing w:val="5"/>
                <w:sz w:val="21"/>
                <w:szCs w:val="21"/>
                <w:highlight w:val="none"/>
              </w:rPr>
              <w:t>丙烯酸</w:t>
            </w:r>
          </w:p>
        </w:tc>
        <w:tc>
          <w:tcPr>
            <w:tcW w:w="1555" w:type="dxa"/>
            <w:vMerge w:val="continue"/>
            <w:vAlign w:val="center"/>
          </w:tcPr>
          <w:p w14:paraId="17F10C5D">
            <w:pPr>
              <w:widowControl w:val="0"/>
              <w:ind w:left="-105" w:right="-105"/>
              <w:jc w:val="center"/>
              <w:rPr>
                <w:rFonts w:ascii="Times New Roman" w:hAnsi="Times New Roman" w:cs="Times New Roman"/>
                <w:bCs/>
                <w:color w:val="auto"/>
                <w:kern w:val="2"/>
                <w:sz w:val="21"/>
                <w:szCs w:val="21"/>
                <w:highlight w:val="none"/>
              </w:rPr>
            </w:pPr>
          </w:p>
        </w:tc>
        <w:tc>
          <w:tcPr>
            <w:tcW w:w="1530" w:type="dxa"/>
            <w:vMerge w:val="continue"/>
            <w:vAlign w:val="center"/>
          </w:tcPr>
          <w:p w14:paraId="1254AABB">
            <w:pPr>
              <w:widowControl w:val="0"/>
              <w:ind w:left="-105" w:right="-105"/>
              <w:jc w:val="center"/>
              <w:rPr>
                <w:rFonts w:ascii="Times New Roman" w:hAnsi="Times New Roman" w:cs="Times New Roman"/>
                <w:bCs/>
                <w:color w:val="auto"/>
                <w:sz w:val="21"/>
                <w:szCs w:val="18"/>
                <w:highlight w:val="none"/>
              </w:rPr>
            </w:pPr>
          </w:p>
        </w:tc>
        <w:tc>
          <w:tcPr>
            <w:tcW w:w="1846" w:type="dxa"/>
            <w:vAlign w:val="center"/>
          </w:tcPr>
          <w:p w14:paraId="2A4D8134">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pacing w:val="-1"/>
                <w:sz w:val="21"/>
                <w:szCs w:val="21"/>
                <w:highlight w:val="none"/>
              </w:rPr>
              <w:t>15.82</w:t>
            </w:r>
          </w:p>
        </w:tc>
      </w:tr>
      <w:tr w14:paraId="7E7DE79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70" w:type="dxa"/>
            <w:vMerge w:val="continue"/>
            <w:vAlign w:val="center"/>
          </w:tcPr>
          <w:p w14:paraId="7C55A451">
            <w:pPr>
              <w:widowControl w:val="0"/>
              <w:numPr>
                <w:ilvl w:val="0"/>
                <w:numId w:val="24"/>
              </w:numPr>
              <w:ind w:left="-105" w:right="-105"/>
              <w:jc w:val="center"/>
              <w:rPr>
                <w:rFonts w:ascii="Times New Roman" w:hAnsi="Times New Roman" w:cs="Times New Roman"/>
                <w:bCs/>
                <w:color w:val="auto"/>
                <w:kern w:val="2"/>
                <w:sz w:val="21"/>
                <w:szCs w:val="21"/>
                <w:highlight w:val="none"/>
              </w:rPr>
            </w:pPr>
          </w:p>
        </w:tc>
        <w:tc>
          <w:tcPr>
            <w:tcW w:w="869" w:type="dxa"/>
            <w:vMerge w:val="continue"/>
            <w:vAlign w:val="center"/>
          </w:tcPr>
          <w:p w14:paraId="3297F975">
            <w:pPr>
              <w:widowControl w:val="0"/>
              <w:ind w:left="-105" w:right="-105"/>
              <w:jc w:val="center"/>
              <w:rPr>
                <w:rFonts w:ascii="Times New Roman" w:hAnsi="Times New Roman" w:cs="Times New Roman"/>
                <w:bCs/>
                <w:color w:val="auto"/>
                <w:kern w:val="2"/>
                <w:sz w:val="21"/>
                <w:szCs w:val="21"/>
                <w:highlight w:val="none"/>
              </w:rPr>
            </w:pPr>
          </w:p>
        </w:tc>
        <w:tc>
          <w:tcPr>
            <w:tcW w:w="772" w:type="dxa"/>
            <w:vMerge w:val="continue"/>
            <w:vAlign w:val="center"/>
          </w:tcPr>
          <w:p w14:paraId="2EE42B68">
            <w:pPr>
              <w:pStyle w:val="236"/>
              <w:ind w:left="-105" w:right="-105"/>
              <w:jc w:val="center"/>
              <w:rPr>
                <w:rFonts w:ascii="Times New Roman" w:hAnsi="Times New Roman" w:cs="Times New Roman"/>
                <w:bCs/>
                <w:color w:val="auto"/>
                <w:kern w:val="2"/>
                <w:sz w:val="21"/>
                <w:szCs w:val="21"/>
                <w:highlight w:val="none"/>
              </w:rPr>
            </w:pPr>
          </w:p>
        </w:tc>
        <w:tc>
          <w:tcPr>
            <w:tcW w:w="1578" w:type="dxa"/>
            <w:vAlign w:val="center"/>
          </w:tcPr>
          <w:p w14:paraId="4863298D">
            <w:pPr>
              <w:pStyle w:val="236"/>
              <w:ind w:left="-105" w:right="-105"/>
              <w:jc w:val="center"/>
              <w:rPr>
                <w:rFonts w:ascii="Times New Roman" w:hAnsi="Times New Roman" w:eastAsia="宋体" w:cs="Times New Roman"/>
                <w:color w:val="auto"/>
                <w:sz w:val="21"/>
                <w:szCs w:val="21"/>
                <w:highlight w:val="none"/>
                <w:lang w:eastAsia="zh-CN" w:bidi="ar"/>
              </w:rPr>
            </w:pPr>
            <w:r>
              <w:rPr>
                <w:rFonts w:ascii="Times New Roman" w:hAnsi="Times New Roman" w:eastAsia="宋体" w:cs="Times New Roman"/>
                <w:color w:val="auto"/>
                <w:sz w:val="21"/>
                <w:szCs w:val="21"/>
                <w:highlight w:val="none"/>
                <w:lang w:eastAsia="zh-CN"/>
              </w:rPr>
              <w:t>2-乙二醇单乙醚醋酸酯（溶剂）</w:t>
            </w:r>
          </w:p>
        </w:tc>
        <w:tc>
          <w:tcPr>
            <w:tcW w:w="1555" w:type="dxa"/>
            <w:vMerge w:val="continue"/>
            <w:vAlign w:val="center"/>
          </w:tcPr>
          <w:p w14:paraId="4C8138B4">
            <w:pPr>
              <w:widowControl w:val="0"/>
              <w:ind w:left="-105" w:right="-105"/>
              <w:jc w:val="center"/>
              <w:rPr>
                <w:rFonts w:ascii="Times New Roman" w:hAnsi="Times New Roman" w:cs="Times New Roman"/>
                <w:bCs/>
                <w:color w:val="auto"/>
                <w:kern w:val="2"/>
                <w:sz w:val="21"/>
                <w:szCs w:val="21"/>
                <w:highlight w:val="none"/>
              </w:rPr>
            </w:pPr>
          </w:p>
        </w:tc>
        <w:tc>
          <w:tcPr>
            <w:tcW w:w="1530" w:type="dxa"/>
            <w:vMerge w:val="continue"/>
            <w:vAlign w:val="center"/>
          </w:tcPr>
          <w:p w14:paraId="7DB5B1C9">
            <w:pPr>
              <w:widowControl w:val="0"/>
              <w:ind w:left="-105" w:right="-105"/>
              <w:jc w:val="center"/>
              <w:rPr>
                <w:rFonts w:ascii="Times New Roman" w:hAnsi="Times New Roman" w:cs="Times New Roman"/>
                <w:bCs/>
                <w:color w:val="auto"/>
                <w:sz w:val="21"/>
                <w:szCs w:val="18"/>
                <w:highlight w:val="none"/>
              </w:rPr>
            </w:pPr>
          </w:p>
        </w:tc>
        <w:tc>
          <w:tcPr>
            <w:tcW w:w="1846" w:type="dxa"/>
            <w:vAlign w:val="center"/>
          </w:tcPr>
          <w:p w14:paraId="5D5380B6">
            <w:pPr>
              <w:ind w:left="-105" w:right="-105"/>
              <w:jc w:val="center"/>
              <w:rPr>
                <w:rFonts w:ascii="Times New Roman" w:hAnsi="Times New Roman" w:cs="Times New Roman"/>
                <w:color w:val="auto"/>
                <w:spacing w:val="-1"/>
                <w:sz w:val="21"/>
                <w:szCs w:val="21"/>
                <w:highlight w:val="none"/>
              </w:rPr>
            </w:pPr>
            <w:r>
              <w:rPr>
                <w:rFonts w:hint="eastAsia" w:ascii="Times New Roman" w:hAnsi="Times New Roman" w:cs="Times New Roman"/>
                <w:color w:val="auto"/>
                <w:spacing w:val="-1"/>
                <w:sz w:val="21"/>
                <w:szCs w:val="21"/>
                <w:highlight w:val="none"/>
              </w:rPr>
              <w:t>22.12</w:t>
            </w:r>
          </w:p>
        </w:tc>
      </w:tr>
      <w:tr w14:paraId="0294CB2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70" w:type="dxa"/>
            <w:vMerge w:val="continue"/>
            <w:vAlign w:val="center"/>
          </w:tcPr>
          <w:p w14:paraId="01D73917">
            <w:pPr>
              <w:widowControl w:val="0"/>
              <w:numPr>
                <w:ilvl w:val="0"/>
                <w:numId w:val="24"/>
              </w:numPr>
              <w:ind w:left="-105" w:right="-105"/>
              <w:jc w:val="center"/>
              <w:rPr>
                <w:rFonts w:ascii="Times New Roman" w:hAnsi="Times New Roman" w:cs="Times New Roman"/>
                <w:bCs/>
                <w:color w:val="auto"/>
                <w:kern w:val="2"/>
                <w:sz w:val="21"/>
                <w:szCs w:val="21"/>
                <w:highlight w:val="none"/>
              </w:rPr>
            </w:pPr>
          </w:p>
        </w:tc>
        <w:tc>
          <w:tcPr>
            <w:tcW w:w="869" w:type="dxa"/>
            <w:vMerge w:val="continue"/>
            <w:vAlign w:val="center"/>
          </w:tcPr>
          <w:p w14:paraId="39A1B715">
            <w:pPr>
              <w:widowControl w:val="0"/>
              <w:ind w:left="-105" w:right="-105"/>
              <w:jc w:val="center"/>
              <w:rPr>
                <w:rFonts w:ascii="Times New Roman" w:hAnsi="Times New Roman" w:cs="Times New Roman"/>
                <w:bCs/>
                <w:color w:val="auto"/>
                <w:kern w:val="2"/>
                <w:sz w:val="21"/>
                <w:szCs w:val="21"/>
                <w:highlight w:val="none"/>
              </w:rPr>
            </w:pPr>
          </w:p>
        </w:tc>
        <w:tc>
          <w:tcPr>
            <w:tcW w:w="772" w:type="dxa"/>
            <w:vMerge w:val="continue"/>
            <w:vAlign w:val="center"/>
          </w:tcPr>
          <w:p w14:paraId="70917084">
            <w:pPr>
              <w:ind w:left="-105" w:right="-105"/>
              <w:jc w:val="center"/>
              <w:rPr>
                <w:rFonts w:ascii="Times New Roman" w:hAnsi="Times New Roman" w:cs="Times New Roman"/>
                <w:bCs/>
                <w:color w:val="auto"/>
                <w:kern w:val="2"/>
                <w:sz w:val="21"/>
                <w:szCs w:val="21"/>
                <w:highlight w:val="none"/>
              </w:rPr>
            </w:pPr>
          </w:p>
        </w:tc>
        <w:tc>
          <w:tcPr>
            <w:tcW w:w="1578" w:type="dxa"/>
            <w:vAlign w:val="center"/>
          </w:tcPr>
          <w:p w14:paraId="4840C5A2">
            <w:pPr>
              <w:pStyle w:val="236"/>
              <w:ind w:left="-105" w:right="-105"/>
              <w:jc w:val="center"/>
              <w:rPr>
                <w:rFonts w:ascii="Times New Roman" w:hAnsi="Times New Roman" w:eastAsia="宋体" w:cs="Times New Roman"/>
                <w:color w:val="auto"/>
                <w:sz w:val="21"/>
                <w:szCs w:val="21"/>
                <w:highlight w:val="none"/>
                <w:lang w:bidi="ar"/>
              </w:rPr>
            </w:pPr>
            <w:r>
              <w:rPr>
                <w:rFonts w:ascii="Times New Roman" w:hAnsi="Times New Roman" w:eastAsia="宋体" w:cs="Times New Roman"/>
                <w:color w:val="auto"/>
                <w:spacing w:val="7"/>
                <w:sz w:val="21"/>
                <w:szCs w:val="21"/>
                <w:highlight w:val="none"/>
              </w:rPr>
              <w:t>重溶剂油（溶剂）</w:t>
            </w:r>
          </w:p>
        </w:tc>
        <w:tc>
          <w:tcPr>
            <w:tcW w:w="1555" w:type="dxa"/>
            <w:vMerge w:val="continue"/>
            <w:vAlign w:val="center"/>
          </w:tcPr>
          <w:p w14:paraId="70701668">
            <w:pPr>
              <w:widowControl w:val="0"/>
              <w:ind w:left="-105" w:right="-105"/>
              <w:jc w:val="center"/>
              <w:rPr>
                <w:rFonts w:ascii="Times New Roman" w:hAnsi="Times New Roman" w:cs="Times New Roman"/>
                <w:bCs/>
                <w:color w:val="auto"/>
                <w:kern w:val="2"/>
                <w:sz w:val="21"/>
                <w:szCs w:val="21"/>
                <w:highlight w:val="none"/>
              </w:rPr>
            </w:pPr>
          </w:p>
        </w:tc>
        <w:tc>
          <w:tcPr>
            <w:tcW w:w="1530" w:type="dxa"/>
            <w:vMerge w:val="continue"/>
            <w:vAlign w:val="center"/>
          </w:tcPr>
          <w:p w14:paraId="7FC065B3">
            <w:pPr>
              <w:widowControl w:val="0"/>
              <w:ind w:left="-105" w:right="-105"/>
              <w:jc w:val="center"/>
              <w:rPr>
                <w:rFonts w:ascii="Times New Roman" w:hAnsi="Times New Roman" w:cs="Times New Roman"/>
                <w:bCs/>
                <w:color w:val="auto"/>
                <w:sz w:val="21"/>
                <w:szCs w:val="18"/>
                <w:highlight w:val="none"/>
              </w:rPr>
            </w:pPr>
          </w:p>
        </w:tc>
        <w:tc>
          <w:tcPr>
            <w:tcW w:w="1846" w:type="dxa"/>
            <w:vAlign w:val="center"/>
          </w:tcPr>
          <w:p w14:paraId="2D1C3300">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pacing w:val="-1"/>
                <w:sz w:val="21"/>
                <w:szCs w:val="21"/>
                <w:highlight w:val="none"/>
              </w:rPr>
              <w:t>10.50</w:t>
            </w:r>
          </w:p>
        </w:tc>
      </w:tr>
      <w:tr w14:paraId="228C002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70" w:type="dxa"/>
            <w:vMerge w:val="continue"/>
            <w:vAlign w:val="center"/>
          </w:tcPr>
          <w:p w14:paraId="0E67C02A">
            <w:pPr>
              <w:widowControl w:val="0"/>
              <w:numPr>
                <w:ilvl w:val="0"/>
                <w:numId w:val="24"/>
              </w:numPr>
              <w:ind w:left="-105" w:right="-105"/>
              <w:jc w:val="center"/>
              <w:rPr>
                <w:rFonts w:ascii="Times New Roman" w:hAnsi="Times New Roman" w:cs="Times New Roman"/>
                <w:bCs/>
                <w:color w:val="auto"/>
                <w:kern w:val="2"/>
                <w:sz w:val="21"/>
                <w:szCs w:val="21"/>
                <w:highlight w:val="none"/>
              </w:rPr>
            </w:pPr>
          </w:p>
        </w:tc>
        <w:tc>
          <w:tcPr>
            <w:tcW w:w="869" w:type="dxa"/>
            <w:vMerge w:val="continue"/>
            <w:vAlign w:val="center"/>
          </w:tcPr>
          <w:p w14:paraId="4832F849">
            <w:pPr>
              <w:widowControl w:val="0"/>
              <w:ind w:left="-105" w:right="-105"/>
              <w:jc w:val="center"/>
              <w:rPr>
                <w:rFonts w:ascii="Times New Roman" w:hAnsi="Times New Roman" w:cs="Times New Roman"/>
                <w:bCs/>
                <w:color w:val="auto"/>
                <w:kern w:val="2"/>
                <w:sz w:val="21"/>
                <w:szCs w:val="21"/>
                <w:highlight w:val="none"/>
              </w:rPr>
            </w:pPr>
          </w:p>
        </w:tc>
        <w:tc>
          <w:tcPr>
            <w:tcW w:w="772" w:type="dxa"/>
            <w:vMerge w:val="continue"/>
            <w:vAlign w:val="center"/>
          </w:tcPr>
          <w:p w14:paraId="78AC33DD">
            <w:pPr>
              <w:ind w:left="-105" w:right="-105"/>
              <w:jc w:val="center"/>
              <w:rPr>
                <w:rFonts w:ascii="Times New Roman" w:hAnsi="Times New Roman" w:cs="Times New Roman"/>
                <w:bCs/>
                <w:color w:val="auto"/>
                <w:kern w:val="2"/>
                <w:sz w:val="21"/>
                <w:szCs w:val="21"/>
                <w:highlight w:val="none"/>
              </w:rPr>
            </w:pPr>
          </w:p>
        </w:tc>
        <w:tc>
          <w:tcPr>
            <w:tcW w:w="1578" w:type="dxa"/>
            <w:vAlign w:val="center"/>
          </w:tcPr>
          <w:p w14:paraId="6E5C5A91">
            <w:pPr>
              <w:pStyle w:val="236"/>
              <w:ind w:left="-105" w:right="-105"/>
              <w:jc w:val="center"/>
              <w:rPr>
                <w:rFonts w:ascii="Times New Roman" w:hAnsi="Times New Roman" w:eastAsia="宋体" w:cs="Times New Roman"/>
                <w:color w:val="auto"/>
                <w:sz w:val="21"/>
                <w:szCs w:val="21"/>
                <w:highlight w:val="none"/>
                <w:lang w:eastAsia="zh-CN" w:bidi="ar"/>
              </w:rPr>
            </w:pPr>
            <w:r>
              <w:rPr>
                <w:rFonts w:ascii="Times New Roman" w:hAnsi="Times New Roman" w:eastAsia="宋体" w:cs="Times New Roman"/>
                <w:color w:val="auto"/>
                <w:spacing w:val="7"/>
                <w:sz w:val="21"/>
                <w:szCs w:val="21"/>
                <w:highlight w:val="none"/>
                <w:lang w:eastAsia="zh-CN"/>
              </w:rPr>
              <w:t>2-甲基对苯二酚</w:t>
            </w:r>
            <w:r>
              <w:rPr>
                <w:rFonts w:ascii="Times New Roman" w:hAnsi="Times New Roman" w:eastAsia="宋体" w:cs="Times New Roman"/>
                <w:color w:val="auto"/>
                <w:spacing w:val="4"/>
                <w:sz w:val="21"/>
                <w:szCs w:val="21"/>
                <w:highlight w:val="none"/>
                <w:lang w:eastAsia="zh-CN"/>
              </w:rPr>
              <w:t>（聚合阻止剂）</w:t>
            </w:r>
          </w:p>
        </w:tc>
        <w:tc>
          <w:tcPr>
            <w:tcW w:w="1555" w:type="dxa"/>
            <w:vMerge w:val="continue"/>
            <w:vAlign w:val="center"/>
          </w:tcPr>
          <w:p w14:paraId="67063060">
            <w:pPr>
              <w:widowControl w:val="0"/>
              <w:ind w:left="-105" w:right="-105"/>
              <w:jc w:val="center"/>
              <w:rPr>
                <w:rFonts w:ascii="Times New Roman" w:hAnsi="Times New Roman" w:cs="Times New Roman"/>
                <w:bCs/>
                <w:color w:val="auto"/>
                <w:kern w:val="2"/>
                <w:sz w:val="21"/>
                <w:szCs w:val="21"/>
                <w:highlight w:val="none"/>
              </w:rPr>
            </w:pPr>
          </w:p>
        </w:tc>
        <w:tc>
          <w:tcPr>
            <w:tcW w:w="1530" w:type="dxa"/>
            <w:vMerge w:val="continue"/>
            <w:vAlign w:val="center"/>
          </w:tcPr>
          <w:p w14:paraId="3868FF34">
            <w:pPr>
              <w:widowControl w:val="0"/>
              <w:ind w:left="-105" w:right="-105"/>
              <w:jc w:val="center"/>
              <w:rPr>
                <w:rFonts w:ascii="Times New Roman" w:hAnsi="Times New Roman" w:cs="Times New Roman"/>
                <w:bCs/>
                <w:color w:val="auto"/>
                <w:sz w:val="21"/>
                <w:szCs w:val="18"/>
                <w:highlight w:val="none"/>
              </w:rPr>
            </w:pPr>
          </w:p>
        </w:tc>
        <w:tc>
          <w:tcPr>
            <w:tcW w:w="1846" w:type="dxa"/>
            <w:vAlign w:val="center"/>
          </w:tcPr>
          <w:p w14:paraId="7C273C63">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pacing w:val="3"/>
                <w:sz w:val="21"/>
                <w:szCs w:val="21"/>
                <w:highlight w:val="none"/>
              </w:rPr>
              <w:t>0.0101</w:t>
            </w:r>
          </w:p>
        </w:tc>
      </w:tr>
      <w:tr w14:paraId="0E2705D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70" w:type="dxa"/>
            <w:vMerge w:val="continue"/>
            <w:vAlign w:val="center"/>
          </w:tcPr>
          <w:p w14:paraId="2F7994A1">
            <w:pPr>
              <w:widowControl w:val="0"/>
              <w:numPr>
                <w:ilvl w:val="0"/>
                <w:numId w:val="24"/>
              </w:numPr>
              <w:ind w:left="-105" w:right="-105"/>
              <w:jc w:val="center"/>
              <w:rPr>
                <w:rFonts w:ascii="Times New Roman" w:hAnsi="Times New Roman" w:cs="Times New Roman"/>
                <w:bCs/>
                <w:color w:val="auto"/>
                <w:kern w:val="2"/>
                <w:sz w:val="21"/>
                <w:szCs w:val="21"/>
                <w:highlight w:val="none"/>
              </w:rPr>
            </w:pPr>
          </w:p>
        </w:tc>
        <w:tc>
          <w:tcPr>
            <w:tcW w:w="869" w:type="dxa"/>
            <w:vMerge w:val="continue"/>
            <w:vAlign w:val="center"/>
          </w:tcPr>
          <w:p w14:paraId="00551BF5">
            <w:pPr>
              <w:widowControl w:val="0"/>
              <w:ind w:left="-105" w:right="-105"/>
              <w:jc w:val="center"/>
              <w:rPr>
                <w:rFonts w:ascii="Times New Roman" w:hAnsi="Times New Roman" w:cs="Times New Roman"/>
                <w:bCs/>
                <w:color w:val="auto"/>
                <w:kern w:val="2"/>
                <w:sz w:val="21"/>
                <w:szCs w:val="21"/>
                <w:highlight w:val="none"/>
              </w:rPr>
            </w:pPr>
          </w:p>
        </w:tc>
        <w:tc>
          <w:tcPr>
            <w:tcW w:w="772" w:type="dxa"/>
            <w:vMerge w:val="continue"/>
            <w:vAlign w:val="center"/>
          </w:tcPr>
          <w:p w14:paraId="40CA127A">
            <w:pPr>
              <w:ind w:left="-105" w:right="-105"/>
              <w:jc w:val="center"/>
              <w:rPr>
                <w:rFonts w:ascii="Times New Roman" w:hAnsi="Times New Roman" w:cs="Times New Roman"/>
                <w:bCs/>
                <w:color w:val="auto"/>
                <w:kern w:val="2"/>
                <w:sz w:val="21"/>
                <w:szCs w:val="21"/>
                <w:highlight w:val="none"/>
              </w:rPr>
            </w:pPr>
          </w:p>
        </w:tc>
        <w:tc>
          <w:tcPr>
            <w:tcW w:w="1578" w:type="dxa"/>
            <w:vAlign w:val="center"/>
          </w:tcPr>
          <w:p w14:paraId="0088FE84">
            <w:pPr>
              <w:pStyle w:val="236"/>
              <w:ind w:left="-105" w:right="-105"/>
              <w:jc w:val="center"/>
              <w:rPr>
                <w:rFonts w:ascii="Times New Roman" w:hAnsi="Times New Roman" w:eastAsia="宋体" w:cs="Times New Roman"/>
                <w:color w:val="auto"/>
                <w:sz w:val="21"/>
                <w:szCs w:val="21"/>
                <w:highlight w:val="none"/>
                <w:lang w:bidi="ar"/>
              </w:rPr>
            </w:pPr>
            <w:r>
              <w:rPr>
                <w:rFonts w:ascii="Times New Roman" w:hAnsi="Times New Roman" w:eastAsia="宋体" w:cs="Times New Roman"/>
                <w:color w:val="auto"/>
                <w:spacing w:val="8"/>
                <w:sz w:val="21"/>
                <w:szCs w:val="21"/>
                <w:highlight w:val="none"/>
              </w:rPr>
              <w:t>三苯基膦（催化</w:t>
            </w:r>
            <w:r>
              <w:rPr>
                <w:rFonts w:ascii="Times New Roman" w:hAnsi="Times New Roman" w:eastAsia="宋体" w:cs="Times New Roman"/>
                <w:color w:val="auto"/>
                <w:sz w:val="21"/>
                <w:szCs w:val="21"/>
                <w:highlight w:val="none"/>
              </w:rPr>
              <w:t>剂）</w:t>
            </w:r>
          </w:p>
        </w:tc>
        <w:tc>
          <w:tcPr>
            <w:tcW w:w="1555" w:type="dxa"/>
            <w:vMerge w:val="continue"/>
            <w:vAlign w:val="center"/>
          </w:tcPr>
          <w:p w14:paraId="78B67765">
            <w:pPr>
              <w:widowControl w:val="0"/>
              <w:ind w:left="-105" w:right="-105"/>
              <w:jc w:val="center"/>
              <w:rPr>
                <w:rFonts w:ascii="Times New Roman" w:hAnsi="Times New Roman" w:cs="Times New Roman"/>
                <w:bCs/>
                <w:color w:val="auto"/>
                <w:kern w:val="2"/>
                <w:sz w:val="21"/>
                <w:szCs w:val="21"/>
                <w:highlight w:val="none"/>
              </w:rPr>
            </w:pPr>
          </w:p>
        </w:tc>
        <w:tc>
          <w:tcPr>
            <w:tcW w:w="1530" w:type="dxa"/>
            <w:vMerge w:val="continue"/>
            <w:vAlign w:val="center"/>
          </w:tcPr>
          <w:p w14:paraId="4E97787B">
            <w:pPr>
              <w:widowControl w:val="0"/>
              <w:ind w:left="-105" w:right="-105"/>
              <w:jc w:val="center"/>
              <w:rPr>
                <w:rFonts w:ascii="Times New Roman" w:hAnsi="Times New Roman" w:cs="Times New Roman"/>
                <w:bCs/>
                <w:color w:val="auto"/>
                <w:sz w:val="21"/>
                <w:szCs w:val="18"/>
                <w:highlight w:val="none"/>
              </w:rPr>
            </w:pPr>
          </w:p>
        </w:tc>
        <w:tc>
          <w:tcPr>
            <w:tcW w:w="1846" w:type="dxa"/>
            <w:vAlign w:val="center"/>
          </w:tcPr>
          <w:p w14:paraId="0E682A3F">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pacing w:val="-2"/>
                <w:sz w:val="21"/>
                <w:szCs w:val="21"/>
                <w:highlight w:val="none"/>
              </w:rPr>
              <w:t>1.01</w:t>
            </w:r>
          </w:p>
        </w:tc>
      </w:tr>
      <w:tr w14:paraId="55D06B5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70" w:type="dxa"/>
            <w:vMerge w:val="continue"/>
            <w:vAlign w:val="center"/>
          </w:tcPr>
          <w:p w14:paraId="6882FA81">
            <w:pPr>
              <w:widowControl w:val="0"/>
              <w:numPr>
                <w:ilvl w:val="0"/>
                <w:numId w:val="24"/>
              </w:numPr>
              <w:ind w:left="-105" w:right="-105"/>
              <w:jc w:val="center"/>
              <w:rPr>
                <w:rFonts w:ascii="Times New Roman" w:hAnsi="Times New Roman" w:cs="Times New Roman"/>
                <w:bCs/>
                <w:color w:val="auto"/>
                <w:kern w:val="2"/>
                <w:sz w:val="21"/>
                <w:szCs w:val="21"/>
                <w:highlight w:val="none"/>
              </w:rPr>
            </w:pPr>
          </w:p>
        </w:tc>
        <w:tc>
          <w:tcPr>
            <w:tcW w:w="869" w:type="dxa"/>
            <w:vMerge w:val="continue"/>
            <w:vAlign w:val="center"/>
          </w:tcPr>
          <w:p w14:paraId="4DDA1ED6">
            <w:pPr>
              <w:widowControl w:val="0"/>
              <w:ind w:left="-105" w:right="-105"/>
              <w:jc w:val="center"/>
              <w:rPr>
                <w:rFonts w:ascii="Times New Roman" w:hAnsi="Times New Roman" w:cs="Times New Roman"/>
                <w:bCs/>
                <w:color w:val="auto"/>
                <w:kern w:val="2"/>
                <w:sz w:val="21"/>
                <w:szCs w:val="21"/>
                <w:highlight w:val="none"/>
              </w:rPr>
            </w:pPr>
          </w:p>
        </w:tc>
        <w:tc>
          <w:tcPr>
            <w:tcW w:w="772" w:type="dxa"/>
            <w:vMerge w:val="continue"/>
            <w:vAlign w:val="center"/>
          </w:tcPr>
          <w:p w14:paraId="5B78CB29">
            <w:pPr>
              <w:ind w:left="-105" w:right="-105"/>
              <w:jc w:val="center"/>
              <w:rPr>
                <w:rFonts w:ascii="Times New Roman" w:hAnsi="Times New Roman" w:cs="Times New Roman"/>
                <w:bCs/>
                <w:color w:val="auto"/>
                <w:kern w:val="2"/>
                <w:sz w:val="21"/>
                <w:szCs w:val="21"/>
                <w:highlight w:val="none"/>
              </w:rPr>
            </w:pPr>
          </w:p>
        </w:tc>
        <w:tc>
          <w:tcPr>
            <w:tcW w:w="1578" w:type="dxa"/>
            <w:vAlign w:val="center"/>
          </w:tcPr>
          <w:p w14:paraId="59FD2DA2">
            <w:pPr>
              <w:pStyle w:val="236"/>
              <w:ind w:left="-105" w:right="-105"/>
              <w:jc w:val="center"/>
              <w:rPr>
                <w:rFonts w:ascii="Times New Roman" w:hAnsi="Times New Roman" w:eastAsia="宋体" w:cs="Times New Roman"/>
                <w:color w:val="auto"/>
                <w:sz w:val="21"/>
                <w:szCs w:val="21"/>
                <w:highlight w:val="none"/>
                <w:lang w:eastAsia="zh-CN" w:bidi="ar"/>
              </w:rPr>
            </w:pPr>
            <w:r>
              <w:rPr>
                <w:rFonts w:ascii="Times New Roman" w:hAnsi="Times New Roman" w:eastAsia="宋体" w:cs="Times New Roman"/>
                <w:color w:val="auto"/>
                <w:sz w:val="21"/>
                <w:szCs w:val="21"/>
                <w:highlight w:val="none"/>
                <w:lang w:eastAsia="zh-CN"/>
              </w:rPr>
              <w:t>2、6-二叔丁基对甲</w:t>
            </w:r>
            <w:r>
              <w:rPr>
                <w:rFonts w:ascii="Times New Roman" w:hAnsi="Times New Roman" w:eastAsia="宋体" w:cs="Times New Roman"/>
                <w:color w:val="auto"/>
                <w:spacing w:val="8"/>
                <w:sz w:val="21"/>
                <w:szCs w:val="21"/>
                <w:highlight w:val="none"/>
                <w:lang w:eastAsia="zh-CN"/>
              </w:rPr>
              <w:t>基苯酚（聚合阻止</w:t>
            </w:r>
            <w:r>
              <w:rPr>
                <w:rFonts w:ascii="Times New Roman" w:hAnsi="Times New Roman" w:eastAsia="宋体" w:cs="Times New Roman"/>
                <w:color w:val="auto"/>
                <w:sz w:val="21"/>
                <w:szCs w:val="21"/>
                <w:highlight w:val="none"/>
                <w:lang w:eastAsia="zh-CN"/>
              </w:rPr>
              <w:t>剂）</w:t>
            </w:r>
          </w:p>
        </w:tc>
        <w:tc>
          <w:tcPr>
            <w:tcW w:w="1555" w:type="dxa"/>
            <w:vMerge w:val="continue"/>
            <w:vAlign w:val="center"/>
          </w:tcPr>
          <w:p w14:paraId="3198A837">
            <w:pPr>
              <w:widowControl w:val="0"/>
              <w:ind w:left="-105" w:right="-105"/>
              <w:jc w:val="center"/>
              <w:rPr>
                <w:rFonts w:ascii="Times New Roman" w:hAnsi="Times New Roman" w:cs="Times New Roman"/>
                <w:bCs/>
                <w:color w:val="auto"/>
                <w:kern w:val="2"/>
                <w:sz w:val="21"/>
                <w:szCs w:val="21"/>
                <w:highlight w:val="none"/>
              </w:rPr>
            </w:pPr>
          </w:p>
        </w:tc>
        <w:tc>
          <w:tcPr>
            <w:tcW w:w="1530" w:type="dxa"/>
            <w:vMerge w:val="continue"/>
            <w:vAlign w:val="center"/>
          </w:tcPr>
          <w:p w14:paraId="7759E392">
            <w:pPr>
              <w:widowControl w:val="0"/>
              <w:ind w:left="-105" w:right="-105"/>
              <w:jc w:val="center"/>
              <w:rPr>
                <w:rFonts w:ascii="Times New Roman" w:hAnsi="Times New Roman" w:cs="Times New Roman"/>
                <w:bCs/>
                <w:color w:val="auto"/>
                <w:sz w:val="21"/>
                <w:szCs w:val="18"/>
                <w:highlight w:val="none"/>
              </w:rPr>
            </w:pPr>
          </w:p>
        </w:tc>
        <w:tc>
          <w:tcPr>
            <w:tcW w:w="1846" w:type="dxa"/>
            <w:vAlign w:val="center"/>
          </w:tcPr>
          <w:p w14:paraId="6DD91103">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pacing w:val="-2"/>
                <w:sz w:val="21"/>
                <w:szCs w:val="21"/>
                <w:highlight w:val="none"/>
              </w:rPr>
              <w:t>1.01</w:t>
            </w:r>
          </w:p>
        </w:tc>
      </w:tr>
      <w:tr w14:paraId="478535B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70" w:type="dxa"/>
            <w:vMerge w:val="continue"/>
            <w:vAlign w:val="center"/>
          </w:tcPr>
          <w:p w14:paraId="2C908DFF">
            <w:pPr>
              <w:widowControl w:val="0"/>
              <w:numPr>
                <w:ilvl w:val="0"/>
                <w:numId w:val="24"/>
              </w:numPr>
              <w:ind w:left="-105" w:right="-105"/>
              <w:jc w:val="center"/>
              <w:rPr>
                <w:rFonts w:ascii="Times New Roman" w:hAnsi="Times New Roman" w:cs="Times New Roman"/>
                <w:bCs/>
                <w:color w:val="auto"/>
                <w:kern w:val="2"/>
                <w:sz w:val="21"/>
                <w:szCs w:val="21"/>
                <w:highlight w:val="none"/>
              </w:rPr>
            </w:pPr>
          </w:p>
        </w:tc>
        <w:tc>
          <w:tcPr>
            <w:tcW w:w="869" w:type="dxa"/>
            <w:vMerge w:val="continue"/>
            <w:vAlign w:val="center"/>
          </w:tcPr>
          <w:p w14:paraId="40069A9B">
            <w:pPr>
              <w:widowControl w:val="0"/>
              <w:ind w:left="-105" w:right="-105"/>
              <w:jc w:val="center"/>
              <w:rPr>
                <w:rFonts w:ascii="Times New Roman" w:hAnsi="Times New Roman" w:cs="Times New Roman"/>
                <w:bCs/>
                <w:color w:val="auto"/>
                <w:kern w:val="2"/>
                <w:sz w:val="21"/>
                <w:szCs w:val="21"/>
                <w:highlight w:val="none"/>
              </w:rPr>
            </w:pPr>
          </w:p>
        </w:tc>
        <w:tc>
          <w:tcPr>
            <w:tcW w:w="772" w:type="dxa"/>
            <w:vMerge w:val="continue"/>
            <w:vAlign w:val="center"/>
          </w:tcPr>
          <w:p w14:paraId="3CA7F88A">
            <w:pPr>
              <w:ind w:left="-105" w:right="-105"/>
              <w:jc w:val="center"/>
              <w:rPr>
                <w:rFonts w:ascii="Times New Roman" w:hAnsi="Times New Roman" w:cs="Times New Roman"/>
                <w:bCs/>
                <w:color w:val="auto"/>
                <w:kern w:val="2"/>
                <w:sz w:val="21"/>
                <w:szCs w:val="21"/>
                <w:highlight w:val="none"/>
              </w:rPr>
            </w:pPr>
          </w:p>
        </w:tc>
        <w:tc>
          <w:tcPr>
            <w:tcW w:w="1578" w:type="dxa"/>
            <w:vAlign w:val="center"/>
          </w:tcPr>
          <w:p w14:paraId="3ED6C307">
            <w:pPr>
              <w:pStyle w:val="236"/>
              <w:ind w:left="-105" w:right="-105"/>
              <w:jc w:val="center"/>
              <w:rPr>
                <w:rFonts w:ascii="Times New Roman" w:hAnsi="Times New Roman" w:eastAsia="宋体" w:cs="Times New Roman"/>
                <w:color w:val="auto"/>
                <w:sz w:val="21"/>
                <w:szCs w:val="21"/>
                <w:highlight w:val="none"/>
                <w:lang w:bidi="ar"/>
              </w:rPr>
            </w:pPr>
            <w:r>
              <w:rPr>
                <w:rFonts w:ascii="Times New Roman" w:hAnsi="Times New Roman" w:eastAsia="宋体" w:cs="Times New Roman"/>
                <w:color w:val="auto"/>
                <w:spacing w:val="5"/>
                <w:sz w:val="21"/>
                <w:szCs w:val="21"/>
                <w:highlight w:val="none"/>
              </w:rPr>
              <w:t>四氢化邻苯二甲</w:t>
            </w:r>
            <w:r>
              <w:rPr>
                <w:rFonts w:ascii="Times New Roman" w:hAnsi="Times New Roman" w:eastAsia="宋体" w:cs="Times New Roman"/>
                <w:color w:val="auto"/>
                <w:spacing w:val="4"/>
                <w:sz w:val="21"/>
                <w:szCs w:val="21"/>
                <w:highlight w:val="none"/>
              </w:rPr>
              <w:t>酸酐</w:t>
            </w:r>
          </w:p>
        </w:tc>
        <w:tc>
          <w:tcPr>
            <w:tcW w:w="1555" w:type="dxa"/>
            <w:vMerge w:val="continue"/>
            <w:vAlign w:val="center"/>
          </w:tcPr>
          <w:p w14:paraId="4CDAAB5C">
            <w:pPr>
              <w:widowControl w:val="0"/>
              <w:ind w:left="-105" w:right="-105"/>
              <w:jc w:val="center"/>
              <w:rPr>
                <w:rFonts w:ascii="Times New Roman" w:hAnsi="Times New Roman" w:cs="Times New Roman"/>
                <w:bCs/>
                <w:color w:val="auto"/>
                <w:kern w:val="2"/>
                <w:sz w:val="21"/>
                <w:szCs w:val="21"/>
                <w:highlight w:val="none"/>
              </w:rPr>
            </w:pPr>
          </w:p>
        </w:tc>
        <w:tc>
          <w:tcPr>
            <w:tcW w:w="1530" w:type="dxa"/>
            <w:vMerge w:val="continue"/>
            <w:vAlign w:val="center"/>
          </w:tcPr>
          <w:p w14:paraId="3D62635D">
            <w:pPr>
              <w:widowControl w:val="0"/>
              <w:ind w:left="-105" w:right="-105"/>
              <w:jc w:val="center"/>
              <w:rPr>
                <w:rFonts w:ascii="Times New Roman" w:hAnsi="Times New Roman" w:cs="Times New Roman"/>
                <w:bCs/>
                <w:color w:val="auto"/>
                <w:sz w:val="21"/>
                <w:szCs w:val="18"/>
                <w:highlight w:val="none"/>
              </w:rPr>
            </w:pPr>
          </w:p>
        </w:tc>
        <w:tc>
          <w:tcPr>
            <w:tcW w:w="1846" w:type="dxa"/>
            <w:vAlign w:val="center"/>
          </w:tcPr>
          <w:p w14:paraId="6E65404F">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pacing w:val="-2"/>
                <w:sz w:val="21"/>
                <w:szCs w:val="21"/>
                <w:highlight w:val="none"/>
              </w:rPr>
              <w:t>11.12</w:t>
            </w:r>
          </w:p>
        </w:tc>
      </w:tr>
      <w:tr w14:paraId="5F1B5C7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70" w:type="dxa"/>
            <w:vMerge w:val="continue"/>
            <w:vAlign w:val="center"/>
          </w:tcPr>
          <w:p w14:paraId="151D48AE">
            <w:pPr>
              <w:widowControl w:val="0"/>
              <w:numPr>
                <w:ilvl w:val="0"/>
                <w:numId w:val="24"/>
              </w:numPr>
              <w:ind w:left="-105" w:right="-105"/>
              <w:jc w:val="center"/>
              <w:rPr>
                <w:rFonts w:ascii="Times New Roman" w:hAnsi="Times New Roman" w:cs="Times New Roman"/>
                <w:bCs/>
                <w:color w:val="auto"/>
                <w:kern w:val="2"/>
                <w:sz w:val="21"/>
                <w:szCs w:val="21"/>
                <w:highlight w:val="none"/>
              </w:rPr>
            </w:pPr>
          </w:p>
        </w:tc>
        <w:tc>
          <w:tcPr>
            <w:tcW w:w="869" w:type="dxa"/>
            <w:vMerge w:val="continue"/>
            <w:vAlign w:val="center"/>
          </w:tcPr>
          <w:p w14:paraId="1160952C">
            <w:pPr>
              <w:widowControl w:val="0"/>
              <w:ind w:left="-105" w:right="-105"/>
              <w:jc w:val="center"/>
              <w:rPr>
                <w:rFonts w:ascii="Times New Roman" w:hAnsi="Times New Roman" w:cs="Times New Roman"/>
                <w:bCs/>
                <w:color w:val="auto"/>
                <w:kern w:val="2"/>
                <w:sz w:val="21"/>
                <w:szCs w:val="21"/>
                <w:highlight w:val="none"/>
              </w:rPr>
            </w:pPr>
          </w:p>
        </w:tc>
        <w:tc>
          <w:tcPr>
            <w:tcW w:w="772" w:type="dxa"/>
            <w:vMerge w:val="restart"/>
            <w:vAlign w:val="center"/>
          </w:tcPr>
          <w:p w14:paraId="1AE2A9A4">
            <w:pPr>
              <w:ind w:left="-105" w:right="-105"/>
              <w:jc w:val="center"/>
              <w:textAlignment w:val="center"/>
              <w:rPr>
                <w:rFonts w:ascii="Times New Roman" w:hAnsi="Times New Roman" w:cs="Times New Roman"/>
                <w:bCs/>
                <w:color w:val="auto"/>
                <w:kern w:val="2"/>
                <w:sz w:val="21"/>
                <w:szCs w:val="21"/>
                <w:highlight w:val="none"/>
              </w:rPr>
            </w:pPr>
            <w:r>
              <w:rPr>
                <w:rFonts w:hint="eastAsia" w:ascii="Times New Roman" w:hAnsi="Times New Roman" w:cs="Times New Roman"/>
                <w:bCs/>
                <w:color w:val="auto"/>
                <w:kern w:val="2"/>
                <w:sz w:val="21"/>
                <w:szCs w:val="21"/>
                <w:highlight w:val="none"/>
              </w:rPr>
              <w:t>剥离液</w:t>
            </w:r>
          </w:p>
        </w:tc>
        <w:tc>
          <w:tcPr>
            <w:tcW w:w="1578" w:type="dxa"/>
            <w:vAlign w:val="center"/>
          </w:tcPr>
          <w:p w14:paraId="00776786">
            <w:pPr>
              <w:ind w:left="-105" w:right="-105"/>
              <w:jc w:val="center"/>
              <w:textAlignment w:val="center"/>
              <w:rPr>
                <w:rFonts w:ascii="Times New Roman" w:hAnsi="Times New Roman" w:cs="Times New Roman"/>
                <w:color w:val="auto"/>
                <w:sz w:val="21"/>
                <w:szCs w:val="21"/>
                <w:highlight w:val="none"/>
                <w:lang w:bidi="ar"/>
              </w:rPr>
            </w:pPr>
            <w:r>
              <w:rPr>
                <w:rFonts w:ascii="Times New Roman" w:hAnsi="Times New Roman" w:cs="Times New Roman"/>
                <w:color w:val="auto"/>
                <w:sz w:val="21"/>
                <w:szCs w:val="21"/>
                <w:highlight w:val="none"/>
                <w:lang w:bidi="ar"/>
              </w:rPr>
              <w:t>二甲基亚砜</w:t>
            </w:r>
          </w:p>
        </w:tc>
        <w:tc>
          <w:tcPr>
            <w:tcW w:w="1555" w:type="dxa"/>
            <w:vMerge w:val="continue"/>
            <w:vAlign w:val="center"/>
          </w:tcPr>
          <w:p w14:paraId="1A03D929">
            <w:pPr>
              <w:widowControl w:val="0"/>
              <w:ind w:left="-105" w:right="-105"/>
              <w:jc w:val="center"/>
              <w:rPr>
                <w:rFonts w:ascii="Times New Roman" w:hAnsi="Times New Roman" w:cs="Times New Roman"/>
                <w:bCs/>
                <w:color w:val="auto"/>
                <w:kern w:val="2"/>
                <w:sz w:val="21"/>
                <w:szCs w:val="21"/>
                <w:highlight w:val="none"/>
              </w:rPr>
            </w:pPr>
          </w:p>
        </w:tc>
        <w:tc>
          <w:tcPr>
            <w:tcW w:w="1530" w:type="dxa"/>
            <w:vMerge w:val="continue"/>
            <w:vAlign w:val="center"/>
          </w:tcPr>
          <w:p w14:paraId="099C185B">
            <w:pPr>
              <w:widowControl w:val="0"/>
              <w:ind w:left="-105" w:right="-105"/>
              <w:jc w:val="center"/>
              <w:rPr>
                <w:rFonts w:ascii="Times New Roman" w:hAnsi="Times New Roman" w:cs="Times New Roman"/>
                <w:bCs/>
                <w:color w:val="auto"/>
                <w:sz w:val="21"/>
                <w:szCs w:val="18"/>
                <w:highlight w:val="none"/>
              </w:rPr>
            </w:pPr>
          </w:p>
        </w:tc>
        <w:tc>
          <w:tcPr>
            <w:tcW w:w="1846" w:type="dxa"/>
            <w:vAlign w:val="center"/>
          </w:tcPr>
          <w:p w14:paraId="68050545">
            <w:pPr>
              <w:ind w:left="-105" w:right="-105"/>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33.58</w:t>
            </w:r>
          </w:p>
        </w:tc>
      </w:tr>
      <w:tr w14:paraId="04BC8D9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70" w:type="dxa"/>
            <w:vMerge w:val="continue"/>
            <w:vAlign w:val="center"/>
          </w:tcPr>
          <w:p w14:paraId="57CDA1C6">
            <w:pPr>
              <w:widowControl w:val="0"/>
              <w:numPr>
                <w:ilvl w:val="0"/>
                <w:numId w:val="24"/>
              </w:numPr>
              <w:ind w:left="-105" w:right="-105"/>
              <w:jc w:val="center"/>
              <w:rPr>
                <w:rFonts w:ascii="Times New Roman" w:hAnsi="Times New Roman" w:cs="Times New Roman"/>
                <w:bCs/>
                <w:color w:val="auto"/>
                <w:kern w:val="2"/>
                <w:sz w:val="21"/>
                <w:szCs w:val="21"/>
                <w:highlight w:val="none"/>
              </w:rPr>
            </w:pPr>
          </w:p>
        </w:tc>
        <w:tc>
          <w:tcPr>
            <w:tcW w:w="869" w:type="dxa"/>
            <w:vMerge w:val="continue"/>
            <w:vAlign w:val="center"/>
          </w:tcPr>
          <w:p w14:paraId="3A814A61">
            <w:pPr>
              <w:widowControl w:val="0"/>
              <w:ind w:left="-105" w:right="-105"/>
              <w:jc w:val="center"/>
              <w:rPr>
                <w:rFonts w:ascii="Times New Roman" w:hAnsi="Times New Roman" w:cs="Times New Roman"/>
                <w:bCs/>
                <w:color w:val="auto"/>
                <w:kern w:val="2"/>
                <w:sz w:val="21"/>
                <w:szCs w:val="21"/>
                <w:highlight w:val="none"/>
              </w:rPr>
            </w:pPr>
          </w:p>
        </w:tc>
        <w:tc>
          <w:tcPr>
            <w:tcW w:w="772" w:type="dxa"/>
            <w:vMerge w:val="continue"/>
            <w:vAlign w:val="center"/>
          </w:tcPr>
          <w:p w14:paraId="302B57E2">
            <w:pPr>
              <w:ind w:left="-105" w:right="-105"/>
              <w:jc w:val="center"/>
              <w:textAlignment w:val="center"/>
              <w:rPr>
                <w:rFonts w:ascii="Times New Roman" w:hAnsi="Times New Roman" w:cs="Times New Roman"/>
                <w:bCs/>
                <w:color w:val="auto"/>
                <w:kern w:val="2"/>
                <w:sz w:val="21"/>
                <w:szCs w:val="21"/>
                <w:highlight w:val="none"/>
              </w:rPr>
            </w:pPr>
          </w:p>
        </w:tc>
        <w:tc>
          <w:tcPr>
            <w:tcW w:w="1578" w:type="dxa"/>
            <w:vAlign w:val="center"/>
          </w:tcPr>
          <w:p w14:paraId="472B2F21">
            <w:pPr>
              <w:ind w:left="-105" w:right="-105"/>
              <w:jc w:val="center"/>
              <w:textAlignment w:val="center"/>
              <w:rPr>
                <w:rFonts w:ascii="Times New Roman" w:hAnsi="Times New Roman" w:cs="Times New Roman"/>
                <w:bCs/>
                <w:color w:val="auto"/>
                <w:kern w:val="2"/>
                <w:sz w:val="21"/>
                <w:szCs w:val="21"/>
                <w:highlight w:val="none"/>
              </w:rPr>
            </w:pPr>
            <w:r>
              <w:rPr>
                <w:rFonts w:ascii="Times New Roman" w:hAnsi="Times New Roman" w:cs="Times New Roman"/>
                <w:color w:val="auto"/>
                <w:sz w:val="21"/>
                <w:szCs w:val="21"/>
                <w:highlight w:val="none"/>
                <w:lang w:bidi="ar"/>
              </w:rPr>
              <w:t>N-甲基吡咯烷酮</w:t>
            </w:r>
          </w:p>
        </w:tc>
        <w:tc>
          <w:tcPr>
            <w:tcW w:w="1555" w:type="dxa"/>
            <w:vMerge w:val="continue"/>
            <w:vAlign w:val="center"/>
          </w:tcPr>
          <w:p w14:paraId="5CAAAEFC">
            <w:pPr>
              <w:widowControl w:val="0"/>
              <w:ind w:left="-105" w:right="-105"/>
              <w:jc w:val="center"/>
              <w:rPr>
                <w:rFonts w:ascii="Times New Roman" w:hAnsi="Times New Roman" w:cs="Times New Roman"/>
                <w:bCs/>
                <w:color w:val="auto"/>
                <w:kern w:val="2"/>
                <w:sz w:val="21"/>
                <w:szCs w:val="21"/>
                <w:highlight w:val="none"/>
              </w:rPr>
            </w:pPr>
          </w:p>
        </w:tc>
        <w:tc>
          <w:tcPr>
            <w:tcW w:w="1530" w:type="dxa"/>
            <w:vMerge w:val="continue"/>
            <w:vAlign w:val="center"/>
          </w:tcPr>
          <w:p w14:paraId="6E4E3A0E">
            <w:pPr>
              <w:widowControl w:val="0"/>
              <w:ind w:left="-105" w:right="-105"/>
              <w:jc w:val="both"/>
              <w:rPr>
                <w:rFonts w:ascii="Times New Roman" w:hAnsi="Times New Roman" w:cs="Times New Roman"/>
                <w:bCs/>
                <w:color w:val="auto"/>
                <w:kern w:val="2"/>
                <w:sz w:val="21"/>
                <w:szCs w:val="21"/>
                <w:highlight w:val="none"/>
              </w:rPr>
            </w:pPr>
          </w:p>
        </w:tc>
        <w:tc>
          <w:tcPr>
            <w:tcW w:w="1846" w:type="dxa"/>
            <w:vAlign w:val="center"/>
          </w:tcPr>
          <w:p w14:paraId="69737549">
            <w:pPr>
              <w:ind w:left="-105" w:right="-105"/>
              <w:jc w:val="center"/>
              <w:rPr>
                <w:rFonts w:ascii="Times New Roman" w:hAnsi="Times New Roman" w:cs="Times New Roman"/>
                <w:bCs/>
                <w:color w:val="auto"/>
                <w:kern w:val="2"/>
                <w:sz w:val="21"/>
                <w:szCs w:val="21"/>
                <w:highlight w:val="none"/>
              </w:rPr>
            </w:pPr>
            <w:r>
              <w:rPr>
                <w:rFonts w:hint="eastAsia" w:ascii="Times New Roman" w:hAnsi="Times New Roman" w:cs="Times New Roman"/>
                <w:color w:val="auto"/>
                <w:sz w:val="21"/>
                <w:szCs w:val="21"/>
                <w:highlight w:val="none"/>
              </w:rPr>
              <w:t>24</w:t>
            </w:r>
          </w:p>
        </w:tc>
      </w:tr>
      <w:tr w14:paraId="081D9E2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70" w:type="dxa"/>
            <w:vMerge w:val="continue"/>
            <w:vAlign w:val="center"/>
          </w:tcPr>
          <w:p w14:paraId="411C261B">
            <w:pPr>
              <w:widowControl w:val="0"/>
              <w:numPr>
                <w:ilvl w:val="0"/>
                <w:numId w:val="24"/>
              </w:numPr>
              <w:ind w:left="-105" w:right="-105"/>
              <w:jc w:val="center"/>
              <w:rPr>
                <w:rFonts w:ascii="Times New Roman" w:hAnsi="Times New Roman" w:cs="Times New Roman"/>
                <w:bCs/>
                <w:color w:val="auto"/>
                <w:kern w:val="2"/>
                <w:sz w:val="21"/>
                <w:szCs w:val="21"/>
                <w:highlight w:val="none"/>
              </w:rPr>
            </w:pPr>
          </w:p>
        </w:tc>
        <w:tc>
          <w:tcPr>
            <w:tcW w:w="869" w:type="dxa"/>
            <w:vMerge w:val="continue"/>
            <w:vAlign w:val="center"/>
          </w:tcPr>
          <w:p w14:paraId="611A5A0E">
            <w:pPr>
              <w:widowControl w:val="0"/>
              <w:ind w:left="-105" w:right="-105"/>
              <w:jc w:val="center"/>
              <w:rPr>
                <w:rFonts w:ascii="Times New Roman" w:hAnsi="Times New Roman" w:cs="Times New Roman"/>
                <w:bCs/>
                <w:color w:val="auto"/>
                <w:kern w:val="2"/>
                <w:sz w:val="21"/>
                <w:szCs w:val="21"/>
                <w:highlight w:val="none"/>
              </w:rPr>
            </w:pPr>
          </w:p>
        </w:tc>
        <w:tc>
          <w:tcPr>
            <w:tcW w:w="772" w:type="dxa"/>
            <w:vMerge w:val="continue"/>
            <w:vAlign w:val="center"/>
          </w:tcPr>
          <w:p w14:paraId="599D233F">
            <w:pPr>
              <w:ind w:left="-105" w:right="-105"/>
              <w:jc w:val="center"/>
              <w:textAlignment w:val="center"/>
              <w:rPr>
                <w:rFonts w:ascii="Times New Roman" w:hAnsi="Times New Roman" w:cs="Times New Roman"/>
                <w:bCs/>
                <w:color w:val="auto"/>
                <w:kern w:val="2"/>
                <w:sz w:val="21"/>
                <w:szCs w:val="21"/>
                <w:highlight w:val="none"/>
              </w:rPr>
            </w:pPr>
          </w:p>
        </w:tc>
        <w:tc>
          <w:tcPr>
            <w:tcW w:w="1578" w:type="dxa"/>
            <w:vAlign w:val="center"/>
          </w:tcPr>
          <w:p w14:paraId="0C3B2C47">
            <w:pPr>
              <w:ind w:left="-105" w:right="-105"/>
              <w:jc w:val="center"/>
              <w:textAlignment w:val="center"/>
              <w:rPr>
                <w:rFonts w:ascii="Times New Roman" w:hAnsi="Times New Roman" w:cs="Times New Roman"/>
                <w:bCs/>
                <w:color w:val="auto"/>
                <w:kern w:val="2"/>
                <w:sz w:val="21"/>
                <w:szCs w:val="21"/>
                <w:highlight w:val="none"/>
              </w:rPr>
            </w:pPr>
            <w:r>
              <w:rPr>
                <w:rFonts w:ascii="Times New Roman" w:hAnsi="Times New Roman" w:cs="Times New Roman"/>
                <w:color w:val="auto"/>
                <w:sz w:val="21"/>
                <w:szCs w:val="21"/>
                <w:highlight w:val="none"/>
                <w:lang w:bidi="ar"/>
              </w:rPr>
              <w:t>四甲基氢氧化铵</w:t>
            </w:r>
          </w:p>
        </w:tc>
        <w:tc>
          <w:tcPr>
            <w:tcW w:w="1555" w:type="dxa"/>
            <w:vMerge w:val="continue"/>
            <w:vAlign w:val="center"/>
          </w:tcPr>
          <w:p w14:paraId="20C441D1">
            <w:pPr>
              <w:widowControl w:val="0"/>
              <w:ind w:left="-105" w:right="-105"/>
              <w:jc w:val="center"/>
              <w:rPr>
                <w:rFonts w:ascii="Times New Roman" w:hAnsi="Times New Roman" w:cs="Times New Roman"/>
                <w:bCs/>
                <w:color w:val="auto"/>
                <w:kern w:val="2"/>
                <w:sz w:val="21"/>
                <w:szCs w:val="21"/>
                <w:highlight w:val="none"/>
              </w:rPr>
            </w:pPr>
          </w:p>
        </w:tc>
        <w:tc>
          <w:tcPr>
            <w:tcW w:w="1530" w:type="dxa"/>
            <w:vMerge w:val="continue"/>
            <w:vAlign w:val="center"/>
          </w:tcPr>
          <w:p w14:paraId="0F32B1D2">
            <w:pPr>
              <w:widowControl w:val="0"/>
              <w:ind w:left="-105" w:right="-105"/>
              <w:jc w:val="both"/>
              <w:rPr>
                <w:rFonts w:ascii="Times New Roman" w:hAnsi="Times New Roman" w:cs="Times New Roman"/>
                <w:bCs/>
                <w:color w:val="auto"/>
                <w:kern w:val="2"/>
                <w:sz w:val="21"/>
                <w:szCs w:val="21"/>
                <w:highlight w:val="none"/>
              </w:rPr>
            </w:pPr>
          </w:p>
        </w:tc>
        <w:tc>
          <w:tcPr>
            <w:tcW w:w="1846" w:type="dxa"/>
            <w:vAlign w:val="center"/>
          </w:tcPr>
          <w:p w14:paraId="1C44D4FB">
            <w:pPr>
              <w:ind w:left="-105" w:right="-105"/>
              <w:jc w:val="center"/>
              <w:rPr>
                <w:rFonts w:ascii="Times New Roman" w:hAnsi="Times New Roman" w:cs="Times New Roman"/>
                <w:bCs/>
                <w:color w:val="auto"/>
                <w:kern w:val="2"/>
                <w:sz w:val="21"/>
                <w:szCs w:val="21"/>
                <w:highlight w:val="none"/>
              </w:rPr>
            </w:pPr>
            <w:r>
              <w:rPr>
                <w:rFonts w:hint="eastAsia" w:ascii="Times New Roman" w:hAnsi="Times New Roman" w:cs="Times New Roman"/>
                <w:color w:val="auto"/>
                <w:sz w:val="21"/>
                <w:szCs w:val="21"/>
                <w:highlight w:val="none"/>
              </w:rPr>
              <w:t>1.02</w:t>
            </w:r>
          </w:p>
        </w:tc>
      </w:tr>
      <w:tr w14:paraId="30F6F7B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70" w:type="dxa"/>
            <w:vMerge w:val="continue"/>
            <w:vAlign w:val="center"/>
          </w:tcPr>
          <w:p w14:paraId="5BC8C299">
            <w:pPr>
              <w:widowControl w:val="0"/>
              <w:numPr>
                <w:ilvl w:val="0"/>
                <w:numId w:val="24"/>
              </w:numPr>
              <w:ind w:left="-105" w:right="-105"/>
              <w:jc w:val="center"/>
              <w:rPr>
                <w:rFonts w:ascii="Times New Roman" w:hAnsi="Times New Roman" w:cs="Times New Roman"/>
                <w:bCs/>
                <w:color w:val="auto"/>
                <w:kern w:val="2"/>
                <w:sz w:val="21"/>
                <w:szCs w:val="21"/>
                <w:highlight w:val="none"/>
              </w:rPr>
            </w:pPr>
          </w:p>
        </w:tc>
        <w:tc>
          <w:tcPr>
            <w:tcW w:w="869" w:type="dxa"/>
            <w:vMerge w:val="continue"/>
            <w:vAlign w:val="center"/>
          </w:tcPr>
          <w:p w14:paraId="4DE063BC">
            <w:pPr>
              <w:widowControl w:val="0"/>
              <w:ind w:left="-105" w:right="-105"/>
              <w:jc w:val="center"/>
              <w:rPr>
                <w:rFonts w:ascii="Times New Roman" w:hAnsi="Times New Roman" w:cs="Times New Roman"/>
                <w:bCs/>
                <w:color w:val="auto"/>
                <w:kern w:val="2"/>
                <w:sz w:val="21"/>
                <w:szCs w:val="21"/>
                <w:highlight w:val="none"/>
              </w:rPr>
            </w:pPr>
          </w:p>
        </w:tc>
        <w:tc>
          <w:tcPr>
            <w:tcW w:w="772" w:type="dxa"/>
            <w:vMerge w:val="continue"/>
            <w:vAlign w:val="center"/>
          </w:tcPr>
          <w:p w14:paraId="4D909951">
            <w:pPr>
              <w:ind w:left="-105" w:right="-105"/>
              <w:jc w:val="center"/>
              <w:textAlignment w:val="center"/>
              <w:rPr>
                <w:rFonts w:ascii="Times New Roman" w:hAnsi="Times New Roman" w:cs="Times New Roman"/>
                <w:bCs/>
                <w:color w:val="auto"/>
                <w:kern w:val="2"/>
                <w:sz w:val="21"/>
                <w:szCs w:val="21"/>
                <w:highlight w:val="none"/>
              </w:rPr>
            </w:pPr>
          </w:p>
        </w:tc>
        <w:tc>
          <w:tcPr>
            <w:tcW w:w="1578" w:type="dxa"/>
            <w:vAlign w:val="center"/>
          </w:tcPr>
          <w:p w14:paraId="5D863FA9">
            <w:pPr>
              <w:ind w:left="-105" w:right="-105"/>
              <w:jc w:val="center"/>
              <w:textAlignment w:val="center"/>
              <w:rPr>
                <w:rFonts w:ascii="Times New Roman" w:hAnsi="Times New Roman" w:cs="Times New Roman"/>
                <w:bCs/>
                <w:color w:val="auto"/>
                <w:kern w:val="2"/>
                <w:sz w:val="21"/>
                <w:szCs w:val="21"/>
                <w:highlight w:val="none"/>
              </w:rPr>
            </w:pPr>
            <w:r>
              <w:rPr>
                <w:rFonts w:ascii="Times New Roman" w:hAnsi="Times New Roman" w:cs="Times New Roman"/>
                <w:color w:val="auto"/>
                <w:sz w:val="21"/>
                <w:szCs w:val="21"/>
                <w:highlight w:val="none"/>
                <w:lang w:bidi="ar"/>
              </w:rPr>
              <w:t>2-甲氨基乙醇</w:t>
            </w:r>
          </w:p>
        </w:tc>
        <w:tc>
          <w:tcPr>
            <w:tcW w:w="1555" w:type="dxa"/>
            <w:vMerge w:val="continue"/>
            <w:vAlign w:val="center"/>
          </w:tcPr>
          <w:p w14:paraId="2C8A14EB">
            <w:pPr>
              <w:widowControl w:val="0"/>
              <w:ind w:left="-105" w:right="-105"/>
              <w:jc w:val="center"/>
              <w:rPr>
                <w:rFonts w:ascii="Times New Roman" w:hAnsi="Times New Roman" w:cs="Times New Roman"/>
                <w:bCs/>
                <w:color w:val="auto"/>
                <w:kern w:val="2"/>
                <w:sz w:val="21"/>
                <w:szCs w:val="21"/>
                <w:highlight w:val="none"/>
              </w:rPr>
            </w:pPr>
          </w:p>
        </w:tc>
        <w:tc>
          <w:tcPr>
            <w:tcW w:w="1530" w:type="dxa"/>
            <w:vMerge w:val="continue"/>
            <w:vAlign w:val="center"/>
          </w:tcPr>
          <w:p w14:paraId="5EC0458E">
            <w:pPr>
              <w:widowControl w:val="0"/>
              <w:ind w:left="-105" w:right="-105"/>
              <w:jc w:val="both"/>
              <w:rPr>
                <w:rFonts w:ascii="Times New Roman" w:hAnsi="Times New Roman" w:cs="Times New Roman"/>
                <w:bCs/>
                <w:color w:val="auto"/>
                <w:kern w:val="2"/>
                <w:sz w:val="21"/>
                <w:szCs w:val="21"/>
                <w:highlight w:val="none"/>
              </w:rPr>
            </w:pPr>
          </w:p>
        </w:tc>
        <w:tc>
          <w:tcPr>
            <w:tcW w:w="1846" w:type="dxa"/>
            <w:vAlign w:val="center"/>
          </w:tcPr>
          <w:p w14:paraId="058B51D4">
            <w:pPr>
              <w:ind w:left="-105" w:right="-105"/>
              <w:jc w:val="center"/>
              <w:rPr>
                <w:rFonts w:ascii="Times New Roman" w:hAnsi="Times New Roman" w:cs="Times New Roman"/>
                <w:bCs/>
                <w:color w:val="auto"/>
                <w:kern w:val="2"/>
                <w:sz w:val="21"/>
                <w:szCs w:val="21"/>
                <w:highlight w:val="none"/>
              </w:rPr>
            </w:pPr>
            <w:r>
              <w:rPr>
                <w:rFonts w:hint="eastAsia" w:ascii="Times New Roman" w:hAnsi="Times New Roman" w:cs="Times New Roman"/>
                <w:color w:val="auto"/>
                <w:sz w:val="21"/>
                <w:szCs w:val="21"/>
                <w:highlight w:val="none"/>
              </w:rPr>
              <w:t>2</w:t>
            </w:r>
          </w:p>
        </w:tc>
      </w:tr>
      <w:tr w14:paraId="51FE788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70" w:type="dxa"/>
            <w:vMerge w:val="continue"/>
            <w:vAlign w:val="center"/>
          </w:tcPr>
          <w:p w14:paraId="7979FFD4">
            <w:pPr>
              <w:widowControl w:val="0"/>
              <w:numPr>
                <w:ilvl w:val="0"/>
                <w:numId w:val="24"/>
              </w:numPr>
              <w:ind w:left="-105" w:right="-105"/>
              <w:jc w:val="center"/>
              <w:rPr>
                <w:rFonts w:ascii="Times New Roman" w:hAnsi="Times New Roman" w:cs="Times New Roman"/>
                <w:bCs/>
                <w:color w:val="auto"/>
                <w:kern w:val="2"/>
                <w:sz w:val="21"/>
                <w:szCs w:val="21"/>
                <w:highlight w:val="none"/>
              </w:rPr>
            </w:pPr>
          </w:p>
        </w:tc>
        <w:tc>
          <w:tcPr>
            <w:tcW w:w="869" w:type="dxa"/>
            <w:vMerge w:val="continue"/>
            <w:vAlign w:val="center"/>
          </w:tcPr>
          <w:p w14:paraId="5BF82537">
            <w:pPr>
              <w:widowControl w:val="0"/>
              <w:ind w:left="-105" w:right="-105"/>
              <w:jc w:val="center"/>
              <w:rPr>
                <w:rFonts w:ascii="Times New Roman" w:hAnsi="Times New Roman" w:cs="Times New Roman"/>
                <w:bCs/>
                <w:color w:val="auto"/>
                <w:kern w:val="2"/>
                <w:sz w:val="21"/>
                <w:szCs w:val="21"/>
                <w:highlight w:val="none"/>
              </w:rPr>
            </w:pPr>
          </w:p>
        </w:tc>
        <w:tc>
          <w:tcPr>
            <w:tcW w:w="772" w:type="dxa"/>
            <w:vMerge w:val="continue"/>
            <w:vAlign w:val="center"/>
          </w:tcPr>
          <w:p w14:paraId="1E24C740">
            <w:pPr>
              <w:ind w:left="-105" w:right="-105"/>
              <w:jc w:val="center"/>
              <w:rPr>
                <w:rFonts w:ascii="Times New Roman" w:hAnsi="Times New Roman" w:cs="Times New Roman"/>
                <w:bCs/>
                <w:color w:val="auto"/>
                <w:kern w:val="2"/>
                <w:sz w:val="21"/>
                <w:szCs w:val="21"/>
                <w:highlight w:val="none"/>
              </w:rPr>
            </w:pPr>
          </w:p>
        </w:tc>
        <w:tc>
          <w:tcPr>
            <w:tcW w:w="1578" w:type="dxa"/>
            <w:vAlign w:val="center"/>
          </w:tcPr>
          <w:p w14:paraId="5DBD7391">
            <w:pPr>
              <w:ind w:left="-105" w:right="-105"/>
              <w:jc w:val="center"/>
              <w:rPr>
                <w:rFonts w:ascii="Times New Roman" w:hAnsi="Times New Roman" w:cs="Times New Roman"/>
                <w:bCs/>
                <w:color w:val="auto"/>
                <w:kern w:val="2"/>
                <w:sz w:val="21"/>
                <w:szCs w:val="21"/>
                <w:highlight w:val="none"/>
              </w:rPr>
            </w:pPr>
            <w:r>
              <w:rPr>
                <w:rFonts w:ascii="Times New Roman" w:hAnsi="Times New Roman" w:cs="Times New Roman"/>
                <w:color w:val="auto"/>
                <w:sz w:val="21"/>
                <w:szCs w:val="21"/>
                <w:highlight w:val="none"/>
              </w:rPr>
              <w:t>邻苯二酚</w:t>
            </w:r>
          </w:p>
        </w:tc>
        <w:tc>
          <w:tcPr>
            <w:tcW w:w="1555" w:type="dxa"/>
            <w:vMerge w:val="continue"/>
            <w:vAlign w:val="center"/>
          </w:tcPr>
          <w:p w14:paraId="6FCCBF56">
            <w:pPr>
              <w:widowControl w:val="0"/>
              <w:ind w:left="-105" w:right="-105"/>
              <w:jc w:val="center"/>
              <w:rPr>
                <w:rFonts w:ascii="Times New Roman" w:hAnsi="Times New Roman" w:cs="Times New Roman"/>
                <w:bCs/>
                <w:color w:val="auto"/>
                <w:kern w:val="2"/>
                <w:sz w:val="21"/>
                <w:szCs w:val="21"/>
                <w:highlight w:val="none"/>
              </w:rPr>
            </w:pPr>
          </w:p>
        </w:tc>
        <w:tc>
          <w:tcPr>
            <w:tcW w:w="1530" w:type="dxa"/>
            <w:vMerge w:val="continue"/>
            <w:vAlign w:val="center"/>
          </w:tcPr>
          <w:p w14:paraId="00E20F05">
            <w:pPr>
              <w:widowControl w:val="0"/>
              <w:ind w:left="-105" w:right="-105"/>
              <w:jc w:val="both"/>
              <w:rPr>
                <w:rFonts w:ascii="Times New Roman" w:hAnsi="Times New Roman" w:cs="Times New Roman"/>
                <w:bCs/>
                <w:color w:val="auto"/>
                <w:kern w:val="2"/>
                <w:sz w:val="21"/>
                <w:szCs w:val="21"/>
                <w:highlight w:val="none"/>
              </w:rPr>
            </w:pPr>
          </w:p>
        </w:tc>
        <w:tc>
          <w:tcPr>
            <w:tcW w:w="1846" w:type="dxa"/>
            <w:vAlign w:val="center"/>
          </w:tcPr>
          <w:p w14:paraId="108B78E5">
            <w:pPr>
              <w:ind w:left="-105" w:right="-105"/>
              <w:jc w:val="center"/>
              <w:rPr>
                <w:rFonts w:ascii="Times New Roman" w:hAnsi="Times New Roman" w:cs="Times New Roman"/>
                <w:bCs/>
                <w:color w:val="auto"/>
                <w:kern w:val="2"/>
                <w:sz w:val="21"/>
                <w:szCs w:val="21"/>
                <w:highlight w:val="none"/>
              </w:rPr>
            </w:pPr>
            <w:r>
              <w:rPr>
                <w:rFonts w:hint="eastAsia" w:ascii="Times New Roman" w:hAnsi="Times New Roman" w:cs="Times New Roman"/>
                <w:color w:val="auto"/>
                <w:sz w:val="21"/>
                <w:szCs w:val="21"/>
                <w:highlight w:val="none"/>
              </w:rPr>
              <w:t>0.5</w:t>
            </w:r>
          </w:p>
        </w:tc>
      </w:tr>
      <w:tr w14:paraId="197D472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70" w:type="dxa"/>
            <w:vMerge w:val="continue"/>
            <w:vAlign w:val="center"/>
          </w:tcPr>
          <w:p w14:paraId="293B0452">
            <w:pPr>
              <w:widowControl w:val="0"/>
              <w:numPr>
                <w:ilvl w:val="0"/>
                <w:numId w:val="24"/>
              </w:numPr>
              <w:ind w:left="-105" w:right="-105"/>
              <w:jc w:val="center"/>
              <w:rPr>
                <w:rFonts w:ascii="Times New Roman" w:hAnsi="Times New Roman" w:cs="Times New Roman"/>
                <w:bCs/>
                <w:color w:val="auto"/>
                <w:kern w:val="2"/>
                <w:sz w:val="21"/>
                <w:szCs w:val="21"/>
                <w:highlight w:val="none"/>
              </w:rPr>
            </w:pPr>
          </w:p>
        </w:tc>
        <w:tc>
          <w:tcPr>
            <w:tcW w:w="869" w:type="dxa"/>
            <w:vMerge w:val="continue"/>
            <w:vAlign w:val="center"/>
          </w:tcPr>
          <w:p w14:paraId="6A7EE205">
            <w:pPr>
              <w:widowControl w:val="0"/>
              <w:ind w:left="-105" w:right="-105"/>
              <w:jc w:val="center"/>
              <w:rPr>
                <w:rFonts w:ascii="Times New Roman" w:hAnsi="Times New Roman" w:cs="Times New Roman"/>
                <w:bCs/>
                <w:color w:val="auto"/>
                <w:kern w:val="2"/>
                <w:sz w:val="21"/>
                <w:szCs w:val="21"/>
                <w:highlight w:val="none"/>
              </w:rPr>
            </w:pPr>
          </w:p>
        </w:tc>
        <w:tc>
          <w:tcPr>
            <w:tcW w:w="772" w:type="dxa"/>
            <w:vMerge w:val="continue"/>
            <w:vAlign w:val="center"/>
          </w:tcPr>
          <w:p w14:paraId="4EE9876D">
            <w:pPr>
              <w:ind w:left="-105" w:right="-105"/>
              <w:jc w:val="center"/>
              <w:rPr>
                <w:rFonts w:ascii="Times New Roman" w:hAnsi="Times New Roman" w:cs="Times New Roman"/>
                <w:bCs/>
                <w:color w:val="auto"/>
                <w:kern w:val="2"/>
                <w:sz w:val="21"/>
                <w:szCs w:val="21"/>
                <w:highlight w:val="none"/>
              </w:rPr>
            </w:pPr>
          </w:p>
        </w:tc>
        <w:tc>
          <w:tcPr>
            <w:tcW w:w="1578" w:type="dxa"/>
            <w:vAlign w:val="center"/>
          </w:tcPr>
          <w:p w14:paraId="685BEC85">
            <w:pPr>
              <w:ind w:left="-105" w:right="-105"/>
              <w:jc w:val="center"/>
              <w:rPr>
                <w:rFonts w:ascii="Times New Roman" w:hAnsi="Times New Roman" w:cs="Times New Roman"/>
                <w:bCs/>
                <w:color w:val="auto"/>
                <w:kern w:val="2"/>
                <w:sz w:val="21"/>
                <w:szCs w:val="21"/>
                <w:highlight w:val="none"/>
              </w:rPr>
            </w:pPr>
            <w:r>
              <w:rPr>
                <w:rFonts w:ascii="Times New Roman" w:hAnsi="Times New Roman" w:cs="Times New Roman"/>
                <w:color w:val="auto"/>
                <w:sz w:val="21"/>
                <w:szCs w:val="21"/>
                <w:highlight w:val="none"/>
              </w:rPr>
              <w:t>乙醇胺</w:t>
            </w:r>
          </w:p>
        </w:tc>
        <w:tc>
          <w:tcPr>
            <w:tcW w:w="1555" w:type="dxa"/>
            <w:vMerge w:val="continue"/>
            <w:vAlign w:val="center"/>
          </w:tcPr>
          <w:p w14:paraId="5A4928FD">
            <w:pPr>
              <w:widowControl w:val="0"/>
              <w:ind w:left="-105" w:right="-105"/>
              <w:jc w:val="center"/>
              <w:rPr>
                <w:rFonts w:ascii="Times New Roman" w:hAnsi="Times New Roman" w:cs="Times New Roman"/>
                <w:bCs/>
                <w:color w:val="auto"/>
                <w:kern w:val="2"/>
                <w:sz w:val="21"/>
                <w:szCs w:val="21"/>
                <w:highlight w:val="none"/>
              </w:rPr>
            </w:pPr>
          </w:p>
        </w:tc>
        <w:tc>
          <w:tcPr>
            <w:tcW w:w="1530" w:type="dxa"/>
            <w:vMerge w:val="continue"/>
            <w:vAlign w:val="center"/>
          </w:tcPr>
          <w:p w14:paraId="22D283ED">
            <w:pPr>
              <w:widowControl w:val="0"/>
              <w:ind w:left="-105" w:right="-105"/>
              <w:jc w:val="both"/>
              <w:rPr>
                <w:rFonts w:ascii="Times New Roman" w:hAnsi="Times New Roman" w:cs="Times New Roman"/>
                <w:bCs/>
                <w:color w:val="auto"/>
                <w:kern w:val="2"/>
                <w:sz w:val="21"/>
                <w:szCs w:val="21"/>
                <w:highlight w:val="none"/>
              </w:rPr>
            </w:pPr>
          </w:p>
        </w:tc>
        <w:tc>
          <w:tcPr>
            <w:tcW w:w="1846" w:type="dxa"/>
            <w:vAlign w:val="center"/>
          </w:tcPr>
          <w:p w14:paraId="4C1BF834">
            <w:pPr>
              <w:ind w:left="-105" w:right="-105"/>
              <w:jc w:val="center"/>
              <w:rPr>
                <w:rFonts w:ascii="Times New Roman" w:hAnsi="Times New Roman" w:cs="Times New Roman"/>
                <w:bCs/>
                <w:color w:val="auto"/>
                <w:kern w:val="2"/>
                <w:sz w:val="21"/>
                <w:szCs w:val="21"/>
                <w:highlight w:val="none"/>
              </w:rPr>
            </w:pPr>
            <w:r>
              <w:rPr>
                <w:rFonts w:hint="eastAsia" w:ascii="Times New Roman" w:hAnsi="Times New Roman" w:cs="Times New Roman"/>
                <w:color w:val="auto"/>
                <w:sz w:val="21"/>
                <w:szCs w:val="21"/>
                <w:highlight w:val="none"/>
              </w:rPr>
              <w:t>4</w:t>
            </w:r>
          </w:p>
        </w:tc>
      </w:tr>
      <w:tr w14:paraId="796F138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70" w:type="dxa"/>
            <w:vAlign w:val="center"/>
          </w:tcPr>
          <w:p w14:paraId="489BD7B1">
            <w:pPr>
              <w:widowControl w:val="0"/>
              <w:numPr>
                <w:ilvl w:val="0"/>
                <w:numId w:val="24"/>
              </w:numPr>
              <w:ind w:left="-105" w:right="-105"/>
              <w:jc w:val="center"/>
              <w:rPr>
                <w:rFonts w:ascii="Times New Roman" w:hAnsi="Times New Roman" w:cs="Times New Roman"/>
                <w:bCs/>
                <w:color w:val="auto"/>
                <w:kern w:val="2"/>
                <w:sz w:val="21"/>
                <w:szCs w:val="21"/>
                <w:highlight w:val="none"/>
              </w:rPr>
            </w:pPr>
          </w:p>
        </w:tc>
        <w:tc>
          <w:tcPr>
            <w:tcW w:w="869" w:type="dxa"/>
            <w:vAlign w:val="center"/>
          </w:tcPr>
          <w:p w14:paraId="57C9182C">
            <w:pPr>
              <w:widowControl w:val="0"/>
              <w:ind w:left="-105" w:right="-105"/>
              <w:jc w:val="center"/>
              <w:rPr>
                <w:rFonts w:hint="eastAsia" w:ascii="Times New Roman" w:hAnsi="Times New Roman" w:eastAsia="宋体" w:cs="Times New Roman"/>
                <w:bCs/>
                <w:color w:val="auto"/>
                <w:kern w:val="2"/>
                <w:sz w:val="21"/>
                <w:szCs w:val="21"/>
                <w:highlight w:val="none"/>
                <w:lang w:eastAsia="zh-CN"/>
              </w:rPr>
            </w:pPr>
            <w:r>
              <w:rPr>
                <w:rFonts w:hint="eastAsia" w:ascii="Times New Roman" w:hAnsi="Times New Roman" w:cs="Times New Roman"/>
                <w:bCs/>
                <w:color w:val="auto"/>
                <w:kern w:val="2"/>
                <w:sz w:val="21"/>
                <w:szCs w:val="21"/>
                <w:highlight w:val="none"/>
                <w:lang w:eastAsia="zh-CN"/>
              </w:rPr>
              <w:t>防爆间</w:t>
            </w:r>
          </w:p>
        </w:tc>
        <w:tc>
          <w:tcPr>
            <w:tcW w:w="2350" w:type="dxa"/>
            <w:gridSpan w:val="2"/>
            <w:vAlign w:val="center"/>
          </w:tcPr>
          <w:p w14:paraId="70BDA021">
            <w:pPr>
              <w:widowControl w:val="0"/>
              <w:ind w:left="-105" w:right="-105"/>
              <w:jc w:val="center"/>
              <w:rPr>
                <w:rFonts w:ascii="Times New Roman" w:hAnsi="Times New Roman" w:cs="Times New Roman"/>
                <w:bCs/>
                <w:color w:val="auto"/>
                <w:kern w:val="2"/>
                <w:sz w:val="21"/>
                <w:szCs w:val="21"/>
                <w:highlight w:val="none"/>
              </w:rPr>
            </w:pPr>
            <w:r>
              <w:rPr>
                <w:rFonts w:ascii="Times New Roman" w:hAnsi="Times New Roman" w:cs="Times New Roman"/>
                <w:color w:val="auto"/>
                <w:sz w:val="21"/>
                <w:szCs w:val="21"/>
                <w:highlight w:val="none"/>
              </w:rPr>
              <w:t>硝酸</w:t>
            </w:r>
            <w:r>
              <w:rPr>
                <w:rFonts w:hint="eastAsia" w:ascii="Times New Roman" w:hAnsi="Times New Roman" w:cs="Times New Roman"/>
                <w:color w:val="auto"/>
                <w:sz w:val="21"/>
                <w:szCs w:val="21"/>
                <w:highlight w:val="none"/>
              </w:rPr>
              <w:t>（55%）</w:t>
            </w:r>
          </w:p>
        </w:tc>
        <w:tc>
          <w:tcPr>
            <w:tcW w:w="1555" w:type="dxa"/>
            <w:vAlign w:val="center"/>
          </w:tcPr>
          <w:p w14:paraId="51C3E521">
            <w:pPr>
              <w:widowControl w:val="0"/>
              <w:ind w:left="-105" w:right="-105"/>
              <w:jc w:val="center"/>
              <w:rPr>
                <w:rFonts w:ascii="Times New Roman" w:hAnsi="Times New Roman" w:cs="Times New Roman"/>
                <w:bCs/>
                <w:color w:val="auto"/>
                <w:kern w:val="2"/>
                <w:sz w:val="21"/>
                <w:szCs w:val="21"/>
                <w:highlight w:val="none"/>
              </w:rPr>
            </w:pPr>
            <w:r>
              <w:rPr>
                <w:rFonts w:ascii="Times New Roman" w:hAnsi="Times New Roman" w:cs="Times New Roman"/>
                <w:bCs/>
                <w:color w:val="auto"/>
                <w:kern w:val="2"/>
                <w:sz w:val="21"/>
                <w:szCs w:val="21"/>
                <w:highlight w:val="none"/>
              </w:rPr>
              <w:t>违规操作</w:t>
            </w:r>
          </w:p>
        </w:tc>
        <w:tc>
          <w:tcPr>
            <w:tcW w:w="1530" w:type="dxa"/>
            <w:vAlign w:val="center"/>
          </w:tcPr>
          <w:p w14:paraId="2C275115">
            <w:pPr>
              <w:widowControl w:val="0"/>
              <w:ind w:left="-105" w:right="-105"/>
              <w:jc w:val="center"/>
              <w:rPr>
                <w:rFonts w:ascii="Times New Roman" w:hAnsi="Times New Roman" w:cs="Times New Roman"/>
                <w:bCs/>
                <w:color w:val="auto"/>
                <w:kern w:val="2"/>
                <w:sz w:val="21"/>
                <w:szCs w:val="21"/>
                <w:highlight w:val="none"/>
              </w:rPr>
            </w:pPr>
            <w:r>
              <w:rPr>
                <w:rFonts w:ascii="Times New Roman" w:hAnsi="Times New Roman" w:cs="Times New Roman"/>
                <w:bCs/>
                <w:color w:val="auto"/>
                <w:kern w:val="2"/>
                <w:sz w:val="21"/>
                <w:szCs w:val="21"/>
                <w:highlight w:val="none"/>
              </w:rPr>
              <w:t>泄漏</w:t>
            </w:r>
            <w:r>
              <w:rPr>
                <w:rFonts w:ascii="Times New Roman" w:hAnsi="Times New Roman" w:cs="Times New Roman"/>
                <w:bCs/>
                <w:color w:val="auto"/>
                <w:sz w:val="21"/>
                <w:szCs w:val="18"/>
                <w:highlight w:val="none"/>
              </w:rPr>
              <w:t>、火灾</w:t>
            </w:r>
            <w:r>
              <w:rPr>
                <w:rFonts w:hint="eastAsia" w:ascii="Times New Roman" w:hAnsi="Times New Roman" w:cs="Times New Roman"/>
                <w:bCs/>
                <w:color w:val="auto"/>
                <w:sz w:val="21"/>
                <w:szCs w:val="18"/>
                <w:highlight w:val="none"/>
              </w:rPr>
              <w:t>、爆炸</w:t>
            </w:r>
          </w:p>
        </w:tc>
        <w:tc>
          <w:tcPr>
            <w:tcW w:w="1846" w:type="dxa"/>
            <w:vAlign w:val="center"/>
          </w:tcPr>
          <w:p w14:paraId="6AB40A82">
            <w:pPr>
              <w:widowControl w:val="0"/>
              <w:ind w:left="-105" w:right="-105"/>
              <w:jc w:val="center"/>
              <w:rPr>
                <w:rFonts w:ascii="Times New Roman" w:hAnsi="Times New Roman" w:cs="Times New Roman"/>
                <w:bCs/>
                <w:color w:val="auto"/>
                <w:kern w:val="2"/>
                <w:sz w:val="21"/>
                <w:szCs w:val="21"/>
                <w:highlight w:val="none"/>
              </w:rPr>
            </w:pPr>
            <w:r>
              <w:rPr>
                <w:rFonts w:hint="eastAsia" w:ascii="Times New Roman" w:hAnsi="Times New Roman" w:cs="Times New Roman"/>
                <w:bCs/>
                <w:color w:val="auto"/>
                <w:kern w:val="2"/>
                <w:sz w:val="21"/>
                <w:szCs w:val="21"/>
                <w:highlight w:val="none"/>
              </w:rPr>
              <w:t>0.003</w:t>
            </w:r>
          </w:p>
        </w:tc>
      </w:tr>
      <w:tr w14:paraId="28C1BD6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70" w:type="dxa"/>
            <w:vAlign w:val="center"/>
          </w:tcPr>
          <w:p w14:paraId="09B51D97">
            <w:pPr>
              <w:widowControl w:val="0"/>
              <w:numPr>
                <w:ilvl w:val="0"/>
                <w:numId w:val="24"/>
              </w:numPr>
              <w:ind w:left="-105" w:right="-105"/>
              <w:jc w:val="center"/>
              <w:rPr>
                <w:rFonts w:ascii="Times New Roman" w:hAnsi="Times New Roman" w:cs="Times New Roman"/>
                <w:bCs/>
                <w:color w:val="auto"/>
                <w:kern w:val="2"/>
                <w:sz w:val="21"/>
                <w:szCs w:val="21"/>
                <w:highlight w:val="none"/>
              </w:rPr>
            </w:pPr>
          </w:p>
        </w:tc>
        <w:tc>
          <w:tcPr>
            <w:tcW w:w="869" w:type="dxa"/>
            <w:vMerge w:val="restart"/>
            <w:vAlign w:val="center"/>
          </w:tcPr>
          <w:p w14:paraId="26A39E7F">
            <w:pPr>
              <w:widowControl w:val="0"/>
              <w:ind w:left="-105" w:right="-105"/>
              <w:jc w:val="center"/>
              <w:rPr>
                <w:rFonts w:ascii="Times New Roman" w:hAnsi="Times New Roman" w:cs="Times New Roman"/>
                <w:bCs/>
                <w:color w:val="auto"/>
                <w:kern w:val="2"/>
                <w:sz w:val="21"/>
                <w:szCs w:val="21"/>
                <w:highlight w:val="none"/>
              </w:rPr>
            </w:pPr>
            <w:r>
              <w:rPr>
                <w:rFonts w:hint="eastAsia" w:ascii="Times New Roman" w:hAnsi="Times New Roman" w:cs="Times New Roman"/>
                <w:color w:val="auto"/>
                <w:sz w:val="21"/>
                <w:szCs w:val="21"/>
                <w:highlight w:val="none"/>
              </w:rPr>
              <w:t>化学试剂柜</w:t>
            </w:r>
          </w:p>
        </w:tc>
        <w:tc>
          <w:tcPr>
            <w:tcW w:w="2350" w:type="dxa"/>
            <w:gridSpan w:val="2"/>
            <w:vAlign w:val="center"/>
          </w:tcPr>
          <w:p w14:paraId="713DBC2F">
            <w:pPr>
              <w:widowControl w:val="0"/>
              <w:ind w:left="-105" w:right="-105"/>
              <w:jc w:val="center"/>
              <w:rPr>
                <w:rFonts w:ascii="Times New Roman" w:hAnsi="Times New Roman" w:cs="Times New Roman"/>
                <w:bCs/>
                <w:color w:val="auto"/>
                <w:kern w:val="2"/>
                <w:sz w:val="21"/>
                <w:szCs w:val="21"/>
                <w:highlight w:val="none"/>
              </w:rPr>
            </w:pPr>
            <w:r>
              <w:rPr>
                <w:rFonts w:ascii="Times New Roman" w:hAnsi="Times New Roman" w:cs="Times New Roman"/>
                <w:color w:val="auto"/>
                <w:sz w:val="21"/>
                <w:szCs w:val="21"/>
                <w:highlight w:val="none"/>
              </w:rPr>
              <w:t>甲醇</w:t>
            </w:r>
          </w:p>
        </w:tc>
        <w:tc>
          <w:tcPr>
            <w:tcW w:w="1555" w:type="dxa"/>
            <w:vMerge w:val="restart"/>
            <w:vAlign w:val="center"/>
          </w:tcPr>
          <w:p w14:paraId="6F0D56B2">
            <w:pPr>
              <w:widowControl w:val="0"/>
              <w:ind w:left="-105" w:right="-105"/>
              <w:jc w:val="center"/>
              <w:rPr>
                <w:rFonts w:ascii="Times New Roman" w:hAnsi="Times New Roman" w:cs="Times New Roman"/>
                <w:bCs/>
                <w:color w:val="auto"/>
                <w:kern w:val="2"/>
                <w:sz w:val="21"/>
                <w:szCs w:val="21"/>
                <w:highlight w:val="none"/>
              </w:rPr>
            </w:pPr>
            <w:r>
              <w:rPr>
                <w:rFonts w:ascii="Times New Roman" w:hAnsi="Times New Roman" w:cs="Times New Roman"/>
                <w:bCs/>
                <w:color w:val="auto"/>
                <w:kern w:val="2"/>
                <w:sz w:val="21"/>
                <w:szCs w:val="21"/>
                <w:highlight w:val="none"/>
              </w:rPr>
              <w:t>违规操作</w:t>
            </w:r>
          </w:p>
        </w:tc>
        <w:tc>
          <w:tcPr>
            <w:tcW w:w="1530" w:type="dxa"/>
            <w:vMerge w:val="restart"/>
            <w:vAlign w:val="center"/>
          </w:tcPr>
          <w:p w14:paraId="29322BD9">
            <w:pPr>
              <w:widowControl w:val="0"/>
              <w:ind w:left="-105" w:right="-105"/>
              <w:jc w:val="center"/>
              <w:rPr>
                <w:rFonts w:ascii="Times New Roman" w:hAnsi="Times New Roman" w:cs="Times New Roman"/>
                <w:bCs/>
                <w:color w:val="auto"/>
                <w:kern w:val="2"/>
                <w:sz w:val="21"/>
                <w:szCs w:val="21"/>
                <w:highlight w:val="none"/>
              </w:rPr>
            </w:pPr>
            <w:r>
              <w:rPr>
                <w:rFonts w:ascii="Times New Roman" w:hAnsi="Times New Roman" w:cs="Times New Roman"/>
                <w:bCs/>
                <w:color w:val="auto"/>
                <w:kern w:val="2"/>
                <w:sz w:val="21"/>
                <w:szCs w:val="21"/>
                <w:highlight w:val="none"/>
              </w:rPr>
              <w:t>泄漏</w:t>
            </w:r>
            <w:r>
              <w:rPr>
                <w:rFonts w:ascii="Times New Roman" w:hAnsi="Times New Roman" w:cs="Times New Roman"/>
                <w:bCs/>
                <w:color w:val="auto"/>
                <w:sz w:val="21"/>
                <w:szCs w:val="18"/>
                <w:highlight w:val="none"/>
              </w:rPr>
              <w:t>、火灾</w:t>
            </w:r>
          </w:p>
        </w:tc>
        <w:tc>
          <w:tcPr>
            <w:tcW w:w="1846" w:type="dxa"/>
            <w:vAlign w:val="center"/>
          </w:tcPr>
          <w:p w14:paraId="06B2B94E">
            <w:pPr>
              <w:widowControl w:val="0"/>
              <w:ind w:left="-105" w:right="-105"/>
              <w:jc w:val="center"/>
              <w:rPr>
                <w:rFonts w:ascii="Times New Roman" w:hAnsi="Times New Roman" w:cs="Times New Roman"/>
                <w:bCs/>
                <w:color w:val="auto"/>
                <w:kern w:val="2"/>
                <w:sz w:val="21"/>
                <w:szCs w:val="21"/>
                <w:highlight w:val="none"/>
              </w:rPr>
            </w:pPr>
            <w:r>
              <w:rPr>
                <w:rFonts w:hint="eastAsia" w:ascii="Times New Roman" w:hAnsi="Times New Roman" w:cs="Times New Roman"/>
                <w:bCs/>
                <w:color w:val="auto"/>
                <w:kern w:val="2"/>
                <w:sz w:val="21"/>
                <w:szCs w:val="21"/>
                <w:highlight w:val="none"/>
              </w:rPr>
              <w:t>0.001</w:t>
            </w:r>
          </w:p>
        </w:tc>
      </w:tr>
      <w:tr w14:paraId="70CE3B8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70" w:type="dxa"/>
            <w:vAlign w:val="center"/>
          </w:tcPr>
          <w:p w14:paraId="3B1E129B">
            <w:pPr>
              <w:widowControl w:val="0"/>
              <w:numPr>
                <w:ilvl w:val="0"/>
                <w:numId w:val="24"/>
              </w:numPr>
              <w:ind w:left="-105" w:right="-105"/>
              <w:jc w:val="center"/>
              <w:rPr>
                <w:rFonts w:ascii="Times New Roman" w:hAnsi="Times New Roman" w:cs="Times New Roman"/>
                <w:bCs/>
                <w:color w:val="auto"/>
                <w:kern w:val="2"/>
                <w:sz w:val="21"/>
                <w:szCs w:val="21"/>
                <w:highlight w:val="none"/>
              </w:rPr>
            </w:pPr>
          </w:p>
        </w:tc>
        <w:tc>
          <w:tcPr>
            <w:tcW w:w="869" w:type="dxa"/>
            <w:vMerge w:val="continue"/>
            <w:vAlign w:val="center"/>
          </w:tcPr>
          <w:p w14:paraId="09282F86">
            <w:pPr>
              <w:widowControl w:val="0"/>
              <w:ind w:left="-105" w:right="-105"/>
              <w:jc w:val="center"/>
              <w:rPr>
                <w:rFonts w:ascii="Times New Roman" w:hAnsi="Times New Roman" w:cs="Times New Roman"/>
                <w:bCs/>
                <w:color w:val="auto"/>
                <w:kern w:val="2"/>
                <w:sz w:val="21"/>
                <w:szCs w:val="21"/>
                <w:highlight w:val="none"/>
              </w:rPr>
            </w:pPr>
          </w:p>
        </w:tc>
        <w:tc>
          <w:tcPr>
            <w:tcW w:w="2350" w:type="dxa"/>
            <w:gridSpan w:val="2"/>
            <w:vAlign w:val="center"/>
          </w:tcPr>
          <w:p w14:paraId="155F36A9">
            <w:pPr>
              <w:ind w:left="-105" w:right="-105"/>
              <w:jc w:val="center"/>
              <w:rPr>
                <w:rFonts w:ascii="Times New Roman" w:hAnsi="Times New Roman" w:cs="Times New Roman"/>
                <w:bCs/>
                <w:color w:val="auto"/>
                <w:kern w:val="2"/>
                <w:sz w:val="21"/>
                <w:szCs w:val="21"/>
                <w:highlight w:val="none"/>
              </w:rPr>
            </w:pPr>
            <w:r>
              <w:rPr>
                <w:rFonts w:ascii="Times New Roman" w:hAnsi="Times New Roman" w:cs="Times New Roman"/>
                <w:color w:val="auto"/>
                <w:sz w:val="21"/>
                <w:szCs w:val="21"/>
                <w:highlight w:val="none"/>
              </w:rPr>
              <w:t>卡尔费休试剂</w:t>
            </w:r>
          </w:p>
        </w:tc>
        <w:tc>
          <w:tcPr>
            <w:tcW w:w="1555" w:type="dxa"/>
            <w:vMerge w:val="continue"/>
            <w:vAlign w:val="center"/>
          </w:tcPr>
          <w:p w14:paraId="1967E616">
            <w:pPr>
              <w:widowControl w:val="0"/>
              <w:ind w:left="-105" w:right="-105"/>
              <w:jc w:val="center"/>
              <w:rPr>
                <w:rFonts w:ascii="Times New Roman" w:hAnsi="Times New Roman" w:cs="Times New Roman"/>
                <w:bCs/>
                <w:color w:val="auto"/>
                <w:kern w:val="2"/>
                <w:sz w:val="21"/>
                <w:szCs w:val="21"/>
                <w:highlight w:val="none"/>
              </w:rPr>
            </w:pPr>
          </w:p>
        </w:tc>
        <w:tc>
          <w:tcPr>
            <w:tcW w:w="1530" w:type="dxa"/>
            <w:vMerge w:val="continue"/>
            <w:vAlign w:val="center"/>
          </w:tcPr>
          <w:p w14:paraId="5A4F02FB">
            <w:pPr>
              <w:widowControl w:val="0"/>
              <w:ind w:left="-105" w:right="-105"/>
              <w:jc w:val="both"/>
              <w:rPr>
                <w:rFonts w:ascii="Times New Roman" w:hAnsi="Times New Roman" w:cs="Times New Roman"/>
                <w:bCs/>
                <w:color w:val="auto"/>
                <w:kern w:val="2"/>
                <w:sz w:val="21"/>
                <w:szCs w:val="21"/>
                <w:highlight w:val="none"/>
              </w:rPr>
            </w:pPr>
          </w:p>
        </w:tc>
        <w:tc>
          <w:tcPr>
            <w:tcW w:w="1846" w:type="dxa"/>
            <w:vAlign w:val="center"/>
          </w:tcPr>
          <w:p w14:paraId="5DFB8EAB">
            <w:pPr>
              <w:ind w:left="-105" w:right="-105"/>
              <w:jc w:val="center"/>
              <w:rPr>
                <w:rFonts w:ascii="Times New Roman" w:hAnsi="Times New Roman" w:cs="Times New Roman"/>
                <w:bCs/>
                <w:color w:val="auto"/>
                <w:kern w:val="2"/>
                <w:sz w:val="21"/>
                <w:szCs w:val="21"/>
                <w:highlight w:val="none"/>
              </w:rPr>
            </w:pPr>
            <w:r>
              <w:rPr>
                <w:rFonts w:hint="eastAsia" w:ascii="Times New Roman" w:hAnsi="Times New Roman" w:cs="Times New Roman"/>
                <w:color w:val="auto"/>
                <w:sz w:val="21"/>
                <w:szCs w:val="21"/>
                <w:highlight w:val="none"/>
              </w:rPr>
              <w:t>0.0005</w:t>
            </w:r>
          </w:p>
        </w:tc>
      </w:tr>
      <w:tr w14:paraId="4A3E947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70" w:type="dxa"/>
            <w:vAlign w:val="center"/>
          </w:tcPr>
          <w:p w14:paraId="0E33B15E">
            <w:pPr>
              <w:widowControl w:val="0"/>
              <w:numPr>
                <w:ilvl w:val="0"/>
                <w:numId w:val="24"/>
              </w:numPr>
              <w:ind w:left="-105" w:right="-105"/>
              <w:jc w:val="center"/>
              <w:rPr>
                <w:rFonts w:ascii="Times New Roman" w:hAnsi="Times New Roman" w:cs="Times New Roman"/>
                <w:bCs/>
                <w:color w:val="auto"/>
                <w:kern w:val="2"/>
                <w:sz w:val="21"/>
                <w:szCs w:val="21"/>
                <w:highlight w:val="none"/>
              </w:rPr>
            </w:pPr>
          </w:p>
        </w:tc>
        <w:tc>
          <w:tcPr>
            <w:tcW w:w="869" w:type="dxa"/>
            <w:vMerge w:val="continue"/>
            <w:vAlign w:val="center"/>
          </w:tcPr>
          <w:p w14:paraId="7B514D36">
            <w:pPr>
              <w:widowControl w:val="0"/>
              <w:ind w:left="-105" w:right="-105"/>
              <w:jc w:val="center"/>
              <w:rPr>
                <w:rFonts w:ascii="Times New Roman" w:hAnsi="Times New Roman" w:cs="Times New Roman"/>
                <w:bCs/>
                <w:color w:val="auto"/>
                <w:kern w:val="2"/>
                <w:sz w:val="21"/>
                <w:szCs w:val="21"/>
                <w:highlight w:val="none"/>
              </w:rPr>
            </w:pPr>
          </w:p>
        </w:tc>
        <w:tc>
          <w:tcPr>
            <w:tcW w:w="2350" w:type="dxa"/>
            <w:gridSpan w:val="2"/>
            <w:vAlign w:val="center"/>
          </w:tcPr>
          <w:p w14:paraId="320C81A4">
            <w:pPr>
              <w:ind w:left="-105" w:right="-105"/>
              <w:jc w:val="center"/>
              <w:rPr>
                <w:rFonts w:ascii="Times New Roman" w:hAnsi="Times New Roman" w:cs="Times New Roman"/>
                <w:bCs/>
                <w:color w:val="auto"/>
                <w:kern w:val="2"/>
                <w:sz w:val="21"/>
                <w:szCs w:val="21"/>
                <w:highlight w:val="none"/>
              </w:rPr>
            </w:pPr>
            <w:r>
              <w:rPr>
                <w:rFonts w:ascii="Times New Roman" w:hAnsi="Times New Roman" w:cs="Times New Roman"/>
                <w:color w:val="auto"/>
                <w:sz w:val="21"/>
                <w:szCs w:val="21"/>
                <w:highlight w:val="none"/>
              </w:rPr>
              <w:t>异丙醇</w:t>
            </w:r>
          </w:p>
        </w:tc>
        <w:tc>
          <w:tcPr>
            <w:tcW w:w="1555" w:type="dxa"/>
            <w:vMerge w:val="continue"/>
            <w:vAlign w:val="center"/>
          </w:tcPr>
          <w:p w14:paraId="54405DD6">
            <w:pPr>
              <w:widowControl w:val="0"/>
              <w:ind w:left="-105" w:right="-105"/>
              <w:jc w:val="center"/>
              <w:rPr>
                <w:rFonts w:ascii="Times New Roman" w:hAnsi="Times New Roman" w:cs="Times New Roman"/>
                <w:bCs/>
                <w:color w:val="auto"/>
                <w:kern w:val="2"/>
                <w:sz w:val="21"/>
                <w:szCs w:val="21"/>
                <w:highlight w:val="none"/>
              </w:rPr>
            </w:pPr>
          </w:p>
        </w:tc>
        <w:tc>
          <w:tcPr>
            <w:tcW w:w="1530" w:type="dxa"/>
            <w:vMerge w:val="continue"/>
            <w:vAlign w:val="center"/>
          </w:tcPr>
          <w:p w14:paraId="0F9E62C8">
            <w:pPr>
              <w:widowControl w:val="0"/>
              <w:ind w:left="-105" w:right="-105"/>
              <w:jc w:val="both"/>
              <w:rPr>
                <w:rFonts w:ascii="Times New Roman" w:hAnsi="Times New Roman" w:cs="Times New Roman"/>
                <w:bCs/>
                <w:color w:val="auto"/>
                <w:kern w:val="2"/>
                <w:sz w:val="21"/>
                <w:szCs w:val="21"/>
                <w:highlight w:val="none"/>
              </w:rPr>
            </w:pPr>
          </w:p>
        </w:tc>
        <w:tc>
          <w:tcPr>
            <w:tcW w:w="1846" w:type="dxa"/>
            <w:vAlign w:val="center"/>
          </w:tcPr>
          <w:p w14:paraId="67D300F2">
            <w:pPr>
              <w:ind w:left="-105" w:right="-105"/>
              <w:jc w:val="center"/>
              <w:rPr>
                <w:rFonts w:ascii="Times New Roman" w:hAnsi="Times New Roman" w:cs="Times New Roman"/>
                <w:bCs/>
                <w:color w:val="auto"/>
                <w:kern w:val="2"/>
                <w:sz w:val="21"/>
                <w:szCs w:val="21"/>
                <w:highlight w:val="none"/>
              </w:rPr>
            </w:pPr>
            <w:r>
              <w:rPr>
                <w:rFonts w:hint="eastAsia" w:ascii="Times New Roman" w:hAnsi="Times New Roman" w:cs="Times New Roman"/>
                <w:color w:val="auto"/>
                <w:sz w:val="21"/>
                <w:szCs w:val="21"/>
                <w:highlight w:val="none"/>
              </w:rPr>
              <w:t>0.001</w:t>
            </w:r>
          </w:p>
        </w:tc>
      </w:tr>
      <w:tr w14:paraId="19A17EA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70" w:type="dxa"/>
            <w:vAlign w:val="center"/>
          </w:tcPr>
          <w:p w14:paraId="0F605A56">
            <w:pPr>
              <w:widowControl w:val="0"/>
              <w:numPr>
                <w:ilvl w:val="0"/>
                <w:numId w:val="24"/>
              </w:numPr>
              <w:ind w:left="-105" w:right="-105"/>
              <w:jc w:val="center"/>
              <w:rPr>
                <w:rFonts w:ascii="Times New Roman" w:hAnsi="Times New Roman" w:cs="Times New Roman"/>
                <w:bCs/>
                <w:color w:val="auto"/>
                <w:kern w:val="2"/>
                <w:sz w:val="21"/>
                <w:szCs w:val="21"/>
                <w:highlight w:val="none"/>
              </w:rPr>
            </w:pPr>
          </w:p>
        </w:tc>
        <w:tc>
          <w:tcPr>
            <w:tcW w:w="869" w:type="dxa"/>
            <w:vMerge w:val="restart"/>
            <w:vAlign w:val="center"/>
          </w:tcPr>
          <w:p w14:paraId="4DBB774C">
            <w:pPr>
              <w:widowControl w:val="0"/>
              <w:ind w:left="-105" w:right="-105"/>
              <w:jc w:val="center"/>
              <w:rPr>
                <w:rFonts w:ascii="Times New Roman" w:hAnsi="Times New Roman" w:cs="Times New Roman"/>
                <w:bCs/>
                <w:color w:val="auto"/>
                <w:kern w:val="2"/>
                <w:sz w:val="21"/>
                <w:szCs w:val="21"/>
                <w:highlight w:val="none"/>
              </w:rPr>
            </w:pPr>
            <w:r>
              <w:rPr>
                <w:rFonts w:hint="eastAsia" w:ascii="Times New Roman" w:hAnsi="Times New Roman" w:cs="Times New Roman"/>
                <w:bCs/>
                <w:color w:val="auto"/>
                <w:kern w:val="2"/>
                <w:sz w:val="21"/>
                <w:szCs w:val="21"/>
                <w:highlight w:val="none"/>
              </w:rPr>
              <w:t>成品</w:t>
            </w:r>
            <w:r>
              <w:rPr>
                <w:rFonts w:hint="eastAsia" w:ascii="Times New Roman" w:hAnsi="Times New Roman" w:cs="Times New Roman"/>
                <w:bCs/>
                <w:color w:val="auto"/>
                <w:kern w:val="2"/>
                <w:sz w:val="21"/>
                <w:szCs w:val="21"/>
                <w:highlight w:val="none"/>
                <w:lang w:val="en-US" w:eastAsia="zh-CN"/>
              </w:rPr>
              <w:t>仓</w:t>
            </w:r>
            <w:r>
              <w:rPr>
                <w:rFonts w:hint="eastAsia" w:ascii="Times New Roman" w:hAnsi="Times New Roman" w:cs="Times New Roman"/>
                <w:bCs/>
                <w:color w:val="auto"/>
                <w:kern w:val="2"/>
                <w:sz w:val="21"/>
                <w:szCs w:val="21"/>
                <w:highlight w:val="none"/>
              </w:rPr>
              <w:t>库</w:t>
            </w:r>
          </w:p>
        </w:tc>
        <w:tc>
          <w:tcPr>
            <w:tcW w:w="2350" w:type="dxa"/>
            <w:gridSpan w:val="2"/>
            <w:vAlign w:val="center"/>
          </w:tcPr>
          <w:p w14:paraId="34EECD98">
            <w:pPr>
              <w:pStyle w:val="236"/>
              <w:ind w:left="-105" w:right="-105"/>
              <w:jc w:val="center"/>
              <w:rPr>
                <w:rFonts w:ascii="Times New Roman" w:hAnsi="Times New Roman" w:eastAsia="宋体" w:cs="Times New Roman"/>
                <w:color w:val="auto"/>
                <w:sz w:val="21"/>
                <w:szCs w:val="21"/>
                <w:highlight w:val="none"/>
              </w:rPr>
            </w:pPr>
            <w:r>
              <w:rPr>
                <w:rFonts w:ascii="Times New Roman" w:hAnsi="Times New Roman" w:eastAsia="宋体" w:cs="Times New Roman"/>
                <w:color w:val="auto"/>
                <w:spacing w:val="7"/>
                <w:sz w:val="21"/>
                <w:szCs w:val="21"/>
                <w:highlight w:val="none"/>
              </w:rPr>
              <w:t>聚氨酯丙烯酸酯</w:t>
            </w:r>
          </w:p>
        </w:tc>
        <w:tc>
          <w:tcPr>
            <w:tcW w:w="1555" w:type="dxa"/>
            <w:vMerge w:val="restart"/>
            <w:vAlign w:val="center"/>
          </w:tcPr>
          <w:p w14:paraId="5BCB0D44">
            <w:pPr>
              <w:widowControl w:val="0"/>
              <w:ind w:left="-105" w:right="-105"/>
              <w:jc w:val="center"/>
              <w:rPr>
                <w:rFonts w:ascii="Times New Roman" w:hAnsi="Times New Roman" w:cs="Times New Roman"/>
                <w:bCs/>
                <w:color w:val="auto"/>
                <w:kern w:val="2"/>
                <w:sz w:val="21"/>
                <w:szCs w:val="21"/>
                <w:highlight w:val="none"/>
              </w:rPr>
            </w:pPr>
            <w:r>
              <w:rPr>
                <w:rFonts w:ascii="Times New Roman" w:hAnsi="Times New Roman" w:cs="Times New Roman"/>
                <w:bCs/>
                <w:color w:val="auto"/>
                <w:kern w:val="2"/>
                <w:sz w:val="21"/>
                <w:szCs w:val="21"/>
                <w:highlight w:val="none"/>
              </w:rPr>
              <w:t>违规操作</w:t>
            </w:r>
          </w:p>
        </w:tc>
        <w:tc>
          <w:tcPr>
            <w:tcW w:w="1530" w:type="dxa"/>
            <w:vMerge w:val="restart"/>
            <w:vAlign w:val="center"/>
          </w:tcPr>
          <w:p w14:paraId="0277DD48">
            <w:pPr>
              <w:widowControl w:val="0"/>
              <w:ind w:left="-105" w:right="-105"/>
              <w:jc w:val="center"/>
              <w:rPr>
                <w:rFonts w:ascii="Times New Roman" w:hAnsi="Times New Roman" w:cs="Times New Roman"/>
                <w:bCs/>
                <w:color w:val="auto"/>
                <w:kern w:val="2"/>
                <w:sz w:val="21"/>
                <w:szCs w:val="21"/>
                <w:highlight w:val="none"/>
              </w:rPr>
            </w:pPr>
            <w:r>
              <w:rPr>
                <w:rFonts w:ascii="Times New Roman" w:hAnsi="Times New Roman" w:cs="Times New Roman"/>
                <w:bCs/>
                <w:color w:val="auto"/>
                <w:kern w:val="2"/>
                <w:sz w:val="21"/>
                <w:szCs w:val="21"/>
                <w:highlight w:val="none"/>
              </w:rPr>
              <w:t>泄漏</w:t>
            </w:r>
            <w:r>
              <w:rPr>
                <w:rFonts w:ascii="Times New Roman" w:hAnsi="Times New Roman" w:cs="Times New Roman"/>
                <w:bCs/>
                <w:color w:val="auto"/>
                <w:sz w:val="21"/>
                <w:szCs w:val="18"/>
                <w:highlight w:val="none"/>
              </w:rPr>
              <w:t>、火灾</w:t>
            </w:r>
          </w:p>
        </w:tc>
        <w:tc>
          <w:tcPr>
            <w:tcW w:w="1846" w:type="dxa"/>
            <w:vAlign w:val="center"/>
          </w:tcPr>
          <w:p w14:paraId="7B5EA369">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pacing w:val="1"/>
                <w:sz w:val="21"/>
                <w:szCs w:val="21"/>
                <w:highlight w:val="none"/>
              </w:rPr>
              <w:t>72</w:t>
            </w:r>
          </w:p>
        </w:tc>
      </w:tr>
      <w:tr w14:paraId="6352796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70" w:type="dxa"/>
            <w:vAlign w:val="center"/>
          </w:tcPr>
          <w:p w14:paraId="734C1FB9">
            <w:pPr>
              <w:widowControl w:val="0"/>
              <w:numPr>
                <w:ilvl w:val="0"/>
                <w:numId w:val="24"/>
              </w:numPr>
              <w:ind w:left="-105" w:right="-105"/>
              <w:jc w:val="center"/>
              <w:rPr>
                <w:rFonts w:ascii="Times New Roman" w:hAnsi="Times New Roman" w:cs="Times New Roman"/>
                <w:bCs/>
                <w:color w:val="auto"/>
                <w:kern w:val="2"/>
                <w:sz w:val="21"/>
                <w:szCs w:val="21"/>
                <w:highlight w:val="none"/>
              </w:rPr>
            </w:pPr>
          </w:p>
        </w:tc>
        <w:tc>
          <w:tcPr>
            <w:tcW w:w="869" w:type="dxa"/>
            <w:vMerge w:val="continue"/>
            <w:vAlign w:val="center"/>
          </w:tcPr>
          <w:p w14:paraId="555CD6DE">
            <w:pPr>
              <w:widowControl w:val="0"/>
              <w:ind w:left="-105" w:right="-105"/>
              <w:jc w:val="center"/>
              <w:rPr>
                <w:rFonts w:ascii="Times New Roman" w:hAnsi="Times New Roman" w:cs="Times New Roman"/>
                <w:bCs/>
                <w:color w:val="auto"/>
                <w:kern w:val="2"/>
                <w:sz w:val="21"/>
                <w:szCs w:val="21"/>
                <w:highlight w:val="none"/>
              </w:rPr>
            </w:pPr>
          </w:p>
        </w:tc>
        <w:tc>
          <w:tcPr>
            <w:tcW w:w="2350" w:type="dxa"/>
            <w:gridSpan w:val="2"/>
            <w:vAlign w:val="center"/>
          </w:tcPr>
          <w:p w14:paraId="06699A2D">
            <w:pPr>
              <w:pStyle w:val="236"/>
              <w:ind w:left="-105" w:right="-105"/>
              <w:jc w:val="center"/>
              <w:rPr>
                <w:rFonts w:ascii="Times New Roman" w:hAnsi="Times New Roman" w:eastAsia="宋体" w:cs="Times New Roman"/>
                <w:color w:val="auto"/>
                <w:sz w:val="21"/>
                <w:szCs w:val="21"/>
                <w:highlight w:val="none"/>
              </w:rPr>
            </w:pPr>
            <w:r>
              <w:rPr>
                <w:rFonts w:ascii="Times New Roman" w:hAnsi="Times New Roman" w:eastAsia="宋体" w:cs="Times New Roman"/>
                <w:color w:val="auto"/>
                <w:spacing w:val="8"/>
                <w:sz w:val="21"/>
                <w:szCs w:val="21"/>
                <w:highlight w:val="none"/>
              </w:rPr>
              <w:t>丙烯酸酯组成物</w:t>
            </w:r>
          </w:p>
        </w:tc>
        <w:tc>
          <w:tcPr>
            <w:tcW w:w="1555" w:type="dxa"/>
            <w:vMerge w:val="continue"/>
            <w:vAlign w:val="center"/>
          </w:tcPr>
          <w:p w14:paraId="66624111">
            <w:pPr>
              <w:widowControl w:val="0"/>
              <w:ind w:left="-105" w:right="-105"/>
              <w:jc w:val="center"/>
              <w:rPr>
                <w:rFonts w:ascii="Times New Roman" w:hAnsi="Times New Roman" w:cs="Times New Roman"/>
                <w:bCs/>
                <w:color w:val="auto"/>
                <w:kern w:val="2"/>
                <w:sz w:val="21"/>
                <w:szCs w:val="21"/>
                <w:highlight w:val="none"/>
              </w:rPr>
            </w:pPr>
          </w:p>
        </w:tc>
        <w:tc>
          <w:tcPr>
            <w:tcW w:w="1530" w:type="dxa"/>
            <w:vMerge w:val="continue"/>
            <w:vAlign w:val="center"/>
          </w:tcPr>
          <w:p w14:paraId="64C07E98">
            <w:pPr>
              <w:widowControl w:val="0"/>
              <w:ind w:left="-105" w:right="-105"/>
              <w:jc w:val="both"/>
              <w:rPr>
                <w:rFonts w:ascii="Times New Roman" w:hAnsi="Times New Roman" w:cs="Times New Roman"/>
                <w:bCs/>
                <w:color w:val="auto"/>
                <w:kern w:val="2"/>
                <w:sz w:val="21"/>
                <w:szCs w:val="21"/>
                <w:highlight w:val="none"/>
              </w:rPr>
            </w:pPr>
          </w:p>
        </w:tc>
        <w:tc>
          <w:tcPr>
            <w:tcW w:w="1846" w:type="dxa"/>
            <w:vAlign w:val="center"/>
          </w:tcPr>
          <w:p w14:paraId="29532BBD">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pacing w:val="-3"/>
                <w:sz w:val="21"/>
                <w:szCs w:val="21"/>
                <w:highlight w:val="none"/>
              </w:rPr>
              <w:t>144</w:t>
            </w:r>
          </w:p>
        </w:tc>
      </w:tr>
      <w:tr w14:paraId="7B699D1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70" w:type="dxa"/>
            <w:vAlign w:val="center"/>
          </w:tcPr>
          <w:p w14:paraId="1E504982">
            <w:pPr>
              <w:widowControl w:val="0"/>
              <w:numPr>
                <w:ilvl w:val="0"/>
                <w:numId w:val="24"/>
              </w:numPr>
              <w:ind w:left="-105" w:right="-105"/>
              <w:jc w:val="center"/>
              <w:rPr>
                <w:rFonts w:ascii="Times New Roman" w:hAnsi="Times New Roman" w:cs="Times New Roman"/>
                <w:bCs/>
                <w:color w:val="auto"/>
                <w:kern w:val="2"/>
                <w:sz w:val="21"/>
                <w:szCs w:val="21"/>
                <w:highlight w:val="none"/>
              </w:rPr>
            </w:pPr>
          </w:p>
        </w:tc>
        <w:tc>
          <w:tcPr>
            <w:tcW w:w="869" w:type="dxa"/>
            <w:vMerge w:val="continue"/>
            <w:vAlign w:val="center"/>
          </w:tcPr>
          <w:p w14:paraId="2F40125C">
            <w:pPr>
              <w:widowControl w:val="0"/>
              <w:ind w:left="-105" w:right="-105"/>
              <w:jc w:val="center"/>
              <w:rPr>
                <w:rFonts w:ascii="Times New Roman" w:hAnsi="Times New Roman" w:cs="Times New Roman"/>
                <w:bCs/>
                <w:color w:val="auto"/>
                <w:kern w:val="2"/>
                <w:sz w:val="21"/>
                <w:szCs w:val="21"/>
                <w:highlight w:val="none"/>
              </w:rPr>
            </w:pPr>
          </w:p>
        </w:tc>
        <w:tc>
          <w:tcPr>
            <w:tcW w:w="2350" w:type="dxa"/>
            <w:gridSpan w:val="2"/>
            <w:vAlign w:val="center"/>
          </w:tcPr>
          <w:p w14:paraId="57CCF534">
            <w:pPr>
              <w:pStyle w:val="236"/>
              <w:ind w:left="-105" w:right="-105"/>
              <w:jc w:val="center"/>
              <w:rPr>
                <w:rFonts w:ascii="Times New Roman" w:hAnsi="Times New Roman" w:eastAsia="宋体" w:cs="Times New Roman"/>
                <w:color w:val="auto"/>
                <w:sz w:val="21"/>
                <w:szCs w:val="21"/>
                <w:highlight w:val="none"/>
              </w:rPr>
            </w:pPr>
            <w:r>
              <w:rPr>
                <w:rFonts w:ascii="Times New Roman" w:hAnsi="Times New Roman" w:eastAsia="宋体" w:cs="Times New Roman"/>
                <w:color w:val="auto"/>
                <w:spacing w:val="8"/>
                <w:sz w:val="21"/>
                <w:szCs w:val="21"/>
                <w:highlight w:val="none"/>
              </w:rPr>
              <w:t>环氧丙烯酸树脂</w:t>
            </w:r>
          </w:p>
        </w:tc>
        <w:tc>
          <w:tcPr>
            <w:tcW w:w="1555" w:type="dxa"/>
            <w:vMerge w:val="continue"/>
            <w:vAlign w:val="center"/>
          </w:tcPr>
          <w:p w14:paraId="39A35D70">
            <w:pPr>
              <w:widowControl w:val="0"/>
              <w:ind w:left="-105" w:right="-105"/>
              <w:jc w:val="center"/>
              <w:rPr>
                <w:rFonts w:ascii="Times New Roman" w:hAnsi="Times New Roman" w:cs="Times New Roman"/>
                <w:bCs/>
                <w:color w:val="auto"/>
                <w:kern w:val="2"/>
                <w:sz w:val="21"/>
                <w:szCs w:val="21"/>
                <w:highlight w:val="none"/>
              </w:rPr>
            </w:pPr>
          </w:p>
        </w:tc>
        <w:tc>
          <w:tcPr>
            <w:tcW w:w="1530" w:type="dxa"/>
            <w:vMerge w:val="continue"/>
            <w:vAlign w:val="center"/>
          </w:tcPr>
          <w:p w14:paraId="5EC53E41">
            <w:pPr>
              <w:widowControl w:val="0"/>
              <w:ind w:left="-105" w:right="-105"/>
              <w:jc w:val="both"/>
              <w:rPr>
                <w:rFonts w:ascii="Times New Roman" w:hAnsi="Times New Roman" w:cs="Times New Roman"/>
                <w:bCs/>
                <w:color w:val="auto"/>
                <w:kern w:val="2"/>
                <w:sz w:val="21"/>
                <w:szCs w:val="21"/>
                <w:highlight w:val="none"/>
              </w:rPr>
            </w:pPr>
          </w:p>
        </w:tc>
        <w:tc>
          <w:tcPr>
            <w:tcW w:w="1846" w:type="dxa"/>
            <w:vAlign w:val="center"/>
          </w:tcPr>
          <w:p w14:paraId="327BFE43">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pacing w:val="3"/>
                <w:sz w:val="21"/>
                <w:szCs w:val="21"/>
                <w:highlight w:val="none"/>
              </w:rPr>
              <w:t>45</w:t>
            </w:r>
          </w:p>
        </w:tc>
      </w:tr>
      <w:tr w14:paraId="5360FCA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70" w:type="dxa"/>
            <w:vAlign w:val="center"/>
          </w:tcPr>
          <w:p w14:paraId="2AD2EE26">
            <w:pPr>
              <w:widowControl w:val="0"/>
              <w:numPr>
                <w:ilvl w:val="0"/>
                <w:numId w:val="24"/>
              </w:numPr>
              <w:ind w:left="-105" w:right="-105"/>
              <w:jc w:val="center"/>
              <w:rPr>
                <w:rFonts w:ascii="Times New Roman" w:hAnsi="Times New Roman" w:cs="Times New Roman"/>
                <w:bCs/>
                <w:color w:val="auto"/>
                <w:kern w:val="2"/>
                <w:sz w:val="21"/>
                <w:szCs w:val="21"/>
                <w:highlight w:val="none"/>
              </w:rPr>
            </w:pPr>
          </w:p>
        </w:tc>
        <w:tc>
          <w:tcPr>
            <w:tcW w:w="869" w:type="dxa"/>
            <w:vMerge w:val="continue"/>
            <w:vAlign w:val="center"/>
          </w:tcPr>
          <w:p w14:paraId="388E9AE7">
            <w:pPr>
              <w:widowControl w:val="0"/>
              <w:ind w:left="-105" w:right="-105"/>
              <w:jc w:val="center"/>
              <w:rPr>
                <w:rFonts w:ascii="Times New Roman" w:hAnsi="Times New Roman" w:cs="Times New Roman"/>
                <w:bCs/>
                <w:color w:val="auto"/>
                <w:kern w:val="2"/>
                <w:sz w:val="21"/>
                <w:szCs w:val="21"/>
                <w:highlight w:val="none"/>
              </w:rPr>
            </w:pPr>
          </w:p>
        </w:tc>
        <w:tc>
          <w:tcPr>
            <w:tcW w:w="2350" w:type="dxa"/>
            <w:gridSpan w:val="2"/>
            <w:vAlign w:val="center"/>
          </w:tcPr>
          <w:p w14:paraId="1B064076">
            <w:pPr>
              <w:pStyle w:val="236"/>
              <w:ind w:left="-105" w:right="-105"/>
              <w:jc w:val="center"/>
              <w:rPr>
                <w:rFonts w:ascii="Times New Roman" w:hAnsi="Times New Roman" w:eastAsia="宋体" w:cs="Times New Roman"/>
                <w:color w:val="auto"/>
                <w:sz w:val="21"/>
                <w:szCs w:val="21"/>
                <w:highlight w:val="none"/>
              </w:rPr>
            </w:pPr>
            <w:r>
              <w:rPr>
                <w:rFonts w:hint="eastAsia" w:ascii="Times New Roman" w:hAnsi="Times New Roman" w:eastAsia="宋体" w:cs="Times New Roman"/>
                <w:color w:val="auto"/>
                <w:spacing w:val="8"/>
                <w:sz w:val="21"/>
                <w:szCs w:val="21"/>
                <w:highlight w:val="none"/>
                <w:lang w:eastAsia="zh-CN"/>
              </w:rPr>
              <w:t>剥离液</w:t>
            </w:r>
          </w:p>
        </w:tc>
        <w:tc>
          <w:tcPr>
            <w:tcW w:w="1555" w:type="dxa"/>
            <w:vMerge w:val="continue"/>
            <w:vAlign w:val="center"/>
          </w:tcPr>
          <w:p w14:paraId="094F2561">
            <w:pPr>
              <w:widowControl w:val="0"/>
              <w:ind w:left="-105" w:right="-105"/>
              <w:jc w:val="center"/>
              <w:rPr>
                <w:rFonts w:ascii="Times New Roman" w:hAnsi="Times New Roman" w:cs="Times New Roman"/>
                <w:bCs/>
                <w:color w:val="auto"/>
                <w:kern w:val="2"/>
                <w:sz w:val="21"/>
                <w:szCs w:val="21"/>
                <w:highlight w:val="none"/>
              </w:rPr>
            </w:pPr>
          </w:p>
        </w:tc>
        <w:tc>
          <w:tcPr>
            <w:tcW w:w="1530" w:type="dxa"/>
            <w:vMerge w:val="continue"/>
            <w:vAlign w:val="center"/>
          </w:tcPr>
          <w:p w14:paraId="70F49B33">
            <w:pPr>
              <w:widowControl w:val="0"/>
              <w:ind w:left="-105" w:right="-105"/>
              <w:jc w:val="both"/>
              <w:rPr>
                <w:rFonts w:ascii="Times New Roman" w:hAnsi="Times New Roman" w:cs="Times New Roman"/>
                <w:bCs/>
                <w:color w:val="auto"/>
                <w:kern w:val="2"/>
                <w:sz w:val="21"/>
                <w:szCs w:val="21"/>
                <w:highlight w:val="none"/>
              </w:rPr>
            </w:pPr>
          </w:p>
        </w:tc>
        <w:tc>
          <w:tcPr>
            <w:tcW w:w="1846" w:type="dxa"/>
            <w:vAlign w:val="center"/>
          </w:tcPr>
          <w:p w14:paraId="76963623">
            <w:pPr>
              <w:ind w:left="-105" w:right="-105"/>
              <w:jc w:val="center"/>
              <w:rPr>
                <w:rFonts w:ascii="Times New Roman" w:hAnsi="Times New Roman" w:cs="Times New Roman"/>
                <w:color w:val="auto"/>
                <w:spacing w:val="3"/>
                <w:sz w:val="21"/>
                <w:szCs w:val="21"/>
                <w:highlight w:val="none"/>
              </w:rPr>
            </w:pPr>
            <w:r>
              <w:rPr>
                <w:rFonts w:hint="eastAsia" w:ascii="Times New Roman" w:hAnsi="Times New Roman" w:cs="Times New Roman"/>
                <w:color w:val="auto"/>
                <w:spacing w:val="3"/>
                <w:sz w:val="21"/>
                <w:szCs w:val="21"/>
                <w:highlight w:val="none"/>
              </w:rPr>
              <w:t>50</w:t>
            </w:r>
          </w:p>
        </w:tc>
      </w:tr>
      <w:tr w14:paraId="6718A4F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70" w:type="dxa"/>
            <w:vAlign w:val="center"/>
          </w:tcPr>
          <w:p w14:paraId="19091F90">
            <w:pPr>
              <w:widowControl w:val="0"/>
              <w:numPr>
                <w:ilvl w:val="0"/>
                <w:numId w:val="24"/>
              </w:numPr>
              <w:ind w:left="-105" w:right="-105"/>
              <w:jc w:val="center"/>
              <w:rPr>
                <w:rFonts w:ascii="Times New Roman" w:hAnsi="Times New Roman" w:cs="Times New Roman"/>
                <w:bCs/>
                <w:color w:val="auto"/>
                <w:kern w:val="2"/>
                <w:sz w:val="21"/>
                <w:szCs w:val="21"/>
                <w:highlight w:val="none"/>
              </w:rPr>
            </w:pPr>
          </w:p>
        </w:tc>
        <w:tc>
          <w:tcPr>
            <w:tcW w:w="869" w:type="dxa"/>
            <w:vMerge w:val="restart"/>
            <w:vAlign w:val="center"/>
          </w:tcPr>
          <w:p w14:paraId="035627B6">
            <w:pPr>
              <w:widowControl w:val="0"/>
              <w:ind w:left="-105" w:right="-105"/>
              <w:jc w:val="center"/>
              <w:rPr>
                <w:rFonts w:ascii="Times New Roman" w:hAnsi="Times New Roman" w:cs="Times New Roman"/>
                <w:bCs/>
                <w:color w:val="auto"/>
                <w:kern w:val="2"/>
                <w:sz w:val="21"/>
                <w:szCs w:val="21"/>
                <w:highlight w:val="none"/>
              </w:rPr>
            </w:pPr>
            <w:r>
              <w:rPr>
                <w:rFonts w:ascii="Times New Roman" w:hAnsi="Times New Roman" w:cs="Times New Roman"/>
                <w:bCs/>
                <w:color w:val="auto"/>
                <w:kern w:val="2"/>
                <w:sz w:val="21"/>
                <w:szCs w:val="21"/>
                <w:highlight w:val="none"/>
              </w:rPr>
              <w:t>危废仓库</w:t>
            </w:r>
          </w:p>
        </w:tc>
        <w:tc>
          <w:tcPr>
            <w:tcW w:w="2350" w:type="dxa"/>
            <w:gridSpan w:val="2"/>
            <w:vAlign w:val="center"/>
          </w:tcPr>
          <w:p w14:paraId="2B30AB1D">
            <w:pPr>
              <w:pStyle w:val="236"/>
              <w:ind w:left="-105" w:right="-105"/>
              <w:jc w:val="center"/>
              <w:rPr>
                <w:rFonts w:ascii="Times New Roman" w:hAnsi="Times New Roman" w:cs="Times New Roman"/>
                <w:bCs/>
                <w:color w:val="auto"/>
                <w:kern w:val="2"/>
                <w:sz w:val="21"/>
                <w:szCs w:val="21"/>
                <w:highlight w:val="none"/>
              </w:rPr>
            </w:pPr>
            <w:r>
              <w:rPr>
                <w:rFonts w:ascii="Times New Roman" w:hAnsi="Times New Roman" w:eastAsia="宋体" w:cs="Times New Roman"/>
                <w:color w:val="auto"/>
                <w:spacing w:val="8"/>
                <w:sz w:val="21"/>
                <w:szCs w:val="21"/>
                <w:highlight w:val="none"/>
              </w:rPr>
              <w:t>过滤残渣、浸润废料</w:t>
            </w:r>
          </w:p>
        </w:tc>
        <w:tc>
          <w:tcPr>
            <w:tcW w:w="1555" w:type="dxa"/>
            <w:vMerge w:val="restart"/>
            <w:vAlign w:val="center"/>
          </w:tcPr>
          <w:p w14:paraId="1CA6941A">
            <w:pPr>
              <w:pStyle w:val="238"/>
              <w:ind w:left="-105" w:right="-105"/>
              <w:jc w:val="center"/>
              <w:rPr>
                <w:rFonts w:ascii="Times New Roman" w:hAnsi="Times New Roman" w:cs="Times New Roman"/>
                <w:color w:val="auto"/>
                <w:highlight w:val="none"/>
              </w:rPr>
            </w:pPr>
            <w:r>
              <w:rPr>
                <w:rFonts w:ascii="Times New Roman" w:hAnsi="Times New Roman" w:cs="Times New Roman"/>
                <w:bCs/>
                <w:color w:val="auto"/>
                <w:kern w:val="2"/>
                <w:sz w:val="21"/>
                <w:szCs w:val="21"/>
                <w:highlight w:val="none"/>
              </w:rPr>
              <w:t>违规操作、高温、明火</w:t>
            </w:r>
          </w:p>
        </w:tc>
        <w:tc>
          <w:tcPr>
            <w:tcW w:w="1530" w:type="dxa"/>
            <w:vMerge w:val="restart"/>
            <w:vAlign w:val="center"/>
          </w:tcPr>
          <w:p w14:paraId="0623D32B">
            <w:pPr>
              <w:widowControl w:val="0"/>
              <w:ind w:left="-105" w:right="-105"/>
              <w:jc w:val="center"/>
              <w:rPr>
                <w:rFonts w:ascii="Times New Roman" w:hAnsi="Times New Roman" w:cs="Times New Roman"/>
                <w:bCs/>
                <w:color w:val="auto"/>
                <w:kern w:val="2"/>
                <w:sz w:val="21"/>
                <w:szCs w:val="21"/>
                <w:highlight w:val="none"/>
              </w:rPr>
            </w:pPr>
            <w:r>
              <w:rPr>
                <w:rFonts w:ascii="Times New Roman" w:hAnsi="Times New Roman" w:cs="Times New Roman"/>
                <w:bCs/>
                <w:color w:val="auto"/>
                <w:sz w:val="21"/>
                <w:szCs w:val="18"/>
                <w:highlight w:val="none"/>
              </w:rPr>
              <w:t>泄漏、火灾</w:t>
            </w:r>
          </w:p>
        </w:tc>
        <w:tc>
          <w:tcPr>
            <w:tcW w:w="1846" w:type="dxa"/>
            <w:vAlign w:val="center"/>
          </w:tcPr>
          <w:p w14:paraId="2A4FC7F3">
            <w:pPr>
              <w:ind w:left="-105" w:right="-105"/>
              <w:jc w:val="center"/>
              <w:rPr>
                <w:rFonts w:ascii="Times New Roman" w:hAnsi="Times New Roman" w:cs="Times New Roman"/>
                <w:bCs/>
                <w:color w:val="auto"/>
                <w:kern w:val="2"/>
                <w:sz w:val="21"/>
                <w:szCs w:val="21"/>
                <w:highlight w:val="none"/>
              </w:rPr>
            </w:pPr>
            <w:r>
              <w:rPr>
                <w:rFonts w:ascii="Times New Roman" w:hAnsi="Times New Roman" w:cs="Times New Roman"/>
                <w:color w:val="auto"/>
                <w:spacing w:val="1"/>
                <w:sz w:val="21"/>
                <w:szCs w:val="21"/>
                <w:highlight w:val="none"/>
              </w:rPr>
              <w:t>3.4</w:t>
            </w:r>
          </w:p>
        </w:tc>
      </w:tr>
      <w:tr w14:paraId="506FDB1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70" w:type="dxa"/>
            <w:vAlign w:val="center"/>
          </w:tcPr>
          <w:p w14:paraId="51CD812E">
            <w:pPr>
              <w:widowControl w:val="0"/>
              <w:numPr>
                <w:ilvl w:val="0"/>
                <w:numId w:val="24"/>
              </w:numPr>
              <w:ind w:left="-105" w:right="-105"/>
              <w:jc w:val="center"/>
              <w:rPr>
                <w:rFonts w:ascii="Times New Roman" w:hAnsi="Times New Roman" w:cs="Times New Roman"/>
                <w:bCs/>
                <w:color w:val="auto"/>
                <w:kern w:val="2"/>
                <w:sz w:val="21"/>
                <w:szCs w:val="21"/>
                <w:highlight w:val="none"/>
              </w:rPr>
            </w:pPr>
          </w:p>
        </w:tc>
        <w:tc>
          <w:tcPr>
            <w:tcW w:w="869" w:type="dxa"/>
            <w:vMerge w:val="continue"/>
            <w:vAlign w:val="center"/>
          </w:tcPr>
          <w:p w14:paraId="5F78358B">
            <w:pPr>
              <w:widowControl w:val="0"/>
              <w:ind w:left="-105" w:right="-105"/>
              <w:jc w:val="center"/>
              <w:rPr>
                <w:rFonts w:ascii="Times New Roman" w:hAnsi="Times New Roman" w:cs="Times New Roman"/>
                <w:bCs/>
                <w:color w:val="auto"/>
                <w:kern w:val="2"/>
                <w:sz w:val="21"/>
                <w:szCs w:val="21"/>
                <w:highlight w:val="none"/>
              </w:rPr>
            </w:pPr>
          </w:p>
        </w:tc>
        <w:tc>
          <w:tcPr>
            <w:tcW w:w="2350" w:type="dxa"/>
            <w:gridSpan w:val="2"/>
            <w:vAlign w:val="center"/>
          </w:tcPr>
          <w:p w14:paraId="7D5E5DAA">
            <w:pPr>
              <w:pStyle w:val="236"/>
              <w:ind w:left="-105" w:right="-105"/>
              <w:jc w:val="center"/>
              <w:rPr>
                <w:rFonts w:ascii="Times New Roman" w:hAnsi="Times New Roman" w:cs="Times New Roman"/>
                <w:bCs/>
                <w:color w:val="auto"/>
                <w:kern w:val="2"/>
                <w:sz w:val="21"/>
                <w:szCs w:val="21"/>
                <w:highlight w:val="none"/>
              </w:rPr>
            </w:pPr>
            <w:r>
              <w:rPr>
                <w:rFonts w:ascii="Times New Roman" w:hAnsi="Times New Roman" w:eastAsia="宋体" w:cs="Times New Roman"/>
                <w:color w:val="auto"/>
                <w:spacing w:val="7"/>
                <w:sz w:val="21"/>
                <w:szCs w:val="21"/>
                <w:highlight w:val="none"/>
              </w:rPr>
              <w:t>废滤芯</w:t>
            </w:r>
          </w:p>
        </w:tc>
        <w:tc>
          <w:tcPr>
            <w:tcW w:w="1555" w:type="dxa"/>
            <w:vMerge w:val="continue"/>
            <w:vAlign w:val="center"/>
          </w:tcPr>
          <w:p w14:paraId="008DBE9A">
            <w:pPr>
              <w:widowControl w:val="0"/>
              <w:ind w:left="-105" w:right="-105"/>
              <w:jc w:val="center"/>
              <w:rPr>
                <w:rFonts w:ascii="Times New Roman" w:hAnsi="Times New Roman" w:cs="Times New Roman"/>
                <w:bCs/>
                <w:color w:val="auto"/>
                <w:kern w:val="2"/>
                <w:sz w:val="21"/>
                <w:szCs w:val="21"/>
                <w:highlight w:val="none"/>
              </w:rPr>
            </w:pPr>
          </w:p>
        </w:tc>
        <w:tc>
          <w:tcPr>
            <w:tcW w:w="1530" w:type="dxa"/>
            <w:vMerge w:val="continue"/>
            <w:vAlign w:val="center"/>
          </w:tcPr>
          <w:p w14:paraId="3A777721">
            <w:pPr>
              <w:widowControl w:val="0"/>
              <w:ind w:left="-105" w:right="-105"/>
              <w:jc w:val="center"/>
              <w:rPr>
                <w:rFonts w:ascii="Times New Roman" w:hAnsi="Times New Roman" w:cs="Times New Roman"/>
                <w:bCs/>
                <w:color w:val="auto"/>
                <w:kern w:val="2"/>
                <w:sz w:val="21"/>
                <w:szCs w:val="21"/>
                <w:highlight w:val="none"/>
              </w:rPr>
            </w:pPr>
          </w:p>
        </w:tc>
        <w:tc>
          <w:tcPr>
            <w:tcW w:w="1846" w:type="dxa"/>
            <w:vAlign w:val="center"/>
          </w:tcPr>
          <w:p w14:paraId="2FA08D70">
            <w:pPr>
              <w:ind w:left="-105" w:right="-105"/>
              <w:jc w:val="center"/>
              <w:rPr>
                <w:rFonts w:ascii="Times New Roman" w:hAnsi="Times New Roman" w:cs="Times New Roman"/>
                <w:bCs/>
                <w:color w:val="auto"/>
                <w:kern w:val="2"/>
                <w:sz w:val="21"/>
                <w:szCs w:val="21"/>
                <w:highlight w:val="none"/>
              </w:rPr>
            </w:pPr>
            <w:r>
              <w:rPr>
                <w:rFonts w:ascii="Times New Roman" w:hAnsi="Times New Roman" w:cs="Times New Roman"/>
                <w:color w:val="auto"/>
                <w:spacing w:val="-3"/>
                <w:sz w:val="21"/>
                <w:szCs w:val="21"/>
                <w:highlight w:val="none"/>
              </w:rPr>
              <w:t>1.25</w:t>
            </w:r>
          </w:p>
        </w:tc>
      </w:tr>
      <w:tr w14:paraId="4EE9F4E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70" w:type="dxa"/>
            <w:vAlign w:val="center"/>
          </w:tcPr>
          <w:p w14:paraId="3F5E5EBE">
            <w:pPr>
              <w:widowControl w:val="0"/>
              <w:numPr>
                <w:ilvl w:val="0"/>
                <w:numId w:val="24"/>
              </w:numPr>
              <w:ind w:left="-105" w:right="-105"/>
              <w:jc w:val="center"/>
              <w:rPr>
                <w:rFonts w:ascii="Times New Roman" w:hAnsi="Times New Roman" w:cs="Times New Roman"/>
                <w:bCs/>
                <w:color w:val="auto"/>
                <w:kern w:val="2"/>
                <w:sz w:val="21"/>
                <w:szCs w:val="21"/>
                <w:highlight w:val="none"/>
              </w:rPr>
            </w:pPr>
          </w:p>
        </w:tc>
        <w:tc>
          <w:tcPr>
            <w:tcW w:w="869" w:type="dxa"/>
            <w:vMerge w:val="continue"/>
            <w:vAlign w:val="center"/>
          </w:tcPr>
          <w:p w14:paraId="1E133500">
            <w:pPr>
              <w:widowControl w:val="0"/>
              <w:ind w:left="-105" w:right="-105"/>
              <w:jc w:val="center"/>
              <w:rPr>
                <w:rFonts w:ascii="Times New Roman" w:hAnsi="Times New Roman" w:cs="Times New Roman"/>
                <w:bCs/>
                <w:color w:val="auto"/>
                <w:kern w:val="2"/>
                <w:sz w:val="21"/>
                <w:szCs w:val="21"/>
                <w:highlight w:val="none"/>
              </w:rPr>
            </w:pPr>
          </w:p>
        </w:tc>
        <w:tc>
          <w:tcPr>
            <w:tcW w:w="2350" w:type="dxa"/>
            <w:gridSpan w:val="2"/>
            <w:vAlign w:val="center"/>
          </w:tcPr>
          <w:p w14:paraId="40D71BFB">
            <w:pPr>
              <w:pStyle w:val="236"/>
              <w:ind w:left="-105" w:right="-105"/>
              <w:jc w:val="center"/>
              <w:rPr>
                <w:rFonts w:ascii="Times New Roman" w:hAnsi="Times New Roman" w:cs="Times New Roman"/>
                <w:color w:val="auto"/>
                <w:sz w:val="21"/>
                <w:szCs w:val="21"/>
                <w:highlight w:val="none"/>
              </w:rPr>
            </w:pPr>
            <w:r>
              <w:rPr>
                <w:rFonts w:ascii="Times New Roman" w:hAnsi="Times New Roman" w:eastAsia="宋体" w:cs="Times New Roman"/>
                <w:color w:val="auto"/>
                <w:spacing w:val="7"/>
                <w:sz w:val="21"/>
                <w:szCs w:val="21"/>
                <w:highlight w:val="none"/>
              </w:rPr>
              <w:t>废丁酮</w:t>
            </w:r>
          </w:p>
        </w:tc>
        <w:tc>
          <w:tcPr>
            <w:tcW w:w="1555" w:type="dxa"/>
            <w:vMerge w:val="continue"/>
            <w:vAlign w:val="center"/>
          </w:tcPr>
          <w:p w14:paraId="553055E7">
            <w:pPr>
              <w:widowControl w:val="0"/>
              <w:ind w:left="-105" w:right="-105"/>
              <w:jc w:val="center"/>
              <w:rPr>
                <w:rFonts w:ascii="Times New Roman" w:hAnsi="Times New Roman" w:cs="Times New Roman"/>
                <w:bCs/>
                <w:color w:val="auto"/>
                <w:kern w:val="2"/>
                <w:sz w:val="21"/>
                <w:szCs w:val="21"/>
                <w:highlight w:val="none"/>
              </w:rPr>
            </w:pPr>
          </w:p>
        </w:tc>
        <w:tc>
          <w:tcPr>
            <w:tcW w:w="1530" w:type="dxa"/>
            <w:vMerge w:val="continue"/>
            <w:vAlign w:val="center"/>
          </w:tcPr>
          <w:p w14:paraId="7D1A5339">
            <w:pPr>
              <w:widowControl w:val="0"/>
              <w:ind w:left="-105" w:right="-105"/>
              <w:jc w:val="center"/>
              <w:rPr>
                <w:rFonts w:ascii="Times New Roman" w:hAnsi="Times New Roman" w:cs="Times New Roman"/>
                <w:bCs/>
                <w:color w:val="auto"/>
                <w:kern w:val="2"/>
                <w:sz w:val="21"/>
                <w:szCs w:val="21"/>
                <w:highlight w:val="none"/>
              </w:rPr>
            </w:pPr>
          </w:p>
        </w:tc>
        <w:tc>
          <w:tcPr>
            <w:tcW w:w="1846" w:type="dxa"/>
            <w:vAlign w:val="center"/>
          </w:tcPr>
          <w:p w14:paraId="1AA3AB9F">
            <w:pPr>
              <w:ind w:left="-105" w:right="-105"/>
              <w:jc w:val="center"/>
              <w:rPr>
                <w:rFonts w:ascii="Times New Roman" w:hAnsi="Times New Roman" w:cs="Times New Roman"/>
                <w:bCs/>
                <w:color w:val="auto"/>
                <w:kern w:val="2"/>
                <w:sz w:val="21"/>
                <w:szCs w:val="21"/>
                <w:highlight w:val="none"/>
              </w:rPr>
            </w:pPr>
            <w:r>
              <w:rPr>
                <w:rFonts w:hint="eastAsia" w:ascii="Times New Roman" w:hAnsi="Times New Roman" w:cs="Times New Roman"/>
                <w:color w:val="auto"/>
                <w:spacing w:val="-1"/>
                <w:sz w:val="21"/>
                <w:szCs w:val="21"/>
                <w:highlight w:val="none"/>
              </w:rPr>
              <w:t>5</w:t>
            </w:r>
          </w:p>
        </w:tc>
      </w:tr>
      <w:tr w14:paraId="07D61F7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70" w:type="dxa"/>
            <w:vAlign w:val="center"/>
          </w:tcPr>
          <w:p w14:paraId="65CC8322">
            <w:pPr>
              <w:widowControl w:val="0"/>
              <w:numPr>
                <w:ilvl w:val="0"/>
                <w:numId w:val="24"/>
              </w:numPr>
              <w:ind w:left="-105" w:right="-105"/>
              <w:jc w:val="center"/>
              <w:rPr>
                <w:rFonts w:ascii="Times New Roman" w:hAnsi="Times New Roman" w:cs="Times New Roman"/>
                <w:bCs/>
                <w:color w:val="auto"/>
                <w:kern w:val="2"/>
                <w:sz w:val="21"/>
                <w:szCs w:val="21"/>
                <w:highlight w:val="none"/>
              </w:rPr>
            </w:pPr>
          </w:p>
        </w:tc>
        <w:tc>
          <w:tcPr>
            <w:tcW w:w="869" w:type="dxa"/>
            <w:vMerge w:val="continue"/>
            <w:vAlign w:val="center"/>
          </w:tcPr>
          <w:p w14:paraId="41A00463">
            <w:pPr>
              <w:widowControl w:val="0"/>
              <w:ind w:left="-105" w:right="-105"/>
              <w:jc w:val="center"/>
              <w:rPr>
                <w:rFonts w:ascii="Times New Roman" w:hAnsi="Times New Roman" w:cs="Times New Roman"/>
                <w:bCs/>
                <w:color w:val="auto"/>
                <w:kern w:val="2"/>
                <w:sz w:val="21"/>
                <w:szCs w:val="21"/>
                <w:highlight w:val="none"/>
              </w:rPr>
            </w:pPr>
          </w:p>
        </w:tc>
        <w:tc>
          <w:tcPr>
            <w:tcW w:w="2350" w:type="dxa"/>
            <w:gridSpan w:val="2"/>
            <w:vAlign w:val="center"/>
          </w:tcPr>
          <w:p w14:paraId="0F1FBFEA">
            <w:pPr>
              <w:pStyle w:val="236"/>
              <w:ind w:left="-105" w:right="-105"/>
              <w:jc w:val="center"/>
              <w:rPr>
                <w:rFonts w:ascii="Times New Roman" w:hAnsi="Times New Roman" w:cs="Times New Roman"/>
                <w:bCs/>
                <w:color w:val="auto"/>
                <w:kern w:val="2"/>
                <w:sz w:val="21"/>
                <w:szCs w:val="21"/>
                <w:highlight w:val="none"/>
              </w:rPr>
            </w:pPr>
            <w:r>
              <w:rPr>
                <w:rFonts w:ascii="Times New Roman" w:hAnsi="Times New Roman" w:eastAsia="宋体" w:cs="Times New Roman"/>
                <w:color w:val="auto"/>
                <w:spacing w:val="7"/>
                <w:sz w:val="21"/>
                <w:szCs w:val="21"/>
                <w:highlight w:val="none"/>
              </w:rPr>
              <w:t>废活性炭</w:t>
            </w:r>
          </w:p>
        </w:tc>
        <w:tc>
          <w:tcPr>
            <w:tcW w:w="1555" w:type="dxa"/>
            <w:vMerge w:val="continue"/>
            <w:vAlign w:val="center"/>
          </w:tcPr>
          <w:p w14:paraId="55835445">
            <w:pPr>
              <w:widowControl w:val="0"/>
              <w:ind w:left="-105" w:right="-105"/>
              <w:jc w:val="center"/>
              <w:rPr>
                <w:rFonts w:ascii="Times New Roman" w:hAnsi="Times New Roman" w:cs="Times New Roman"/>
                <w:bCs/>
                <w:color w:val="auto"/>
                <w:kern w:val="2"/>
                <w:sz w:val="21"/>
                <w:szCs w:val="21"/>
                <w:highlight w:val="none"/>
              </w:rPr>
            </w:pPr>
          </w:p>
        </w:tc>
        <w:tc>
          <w:tcPr>
            <w:tcW w:w="1530" w:type="dxa"/>
            <w:vMerge w:val="continue"/>
            <w:vAlign w:val="center"/>
          </w:tcPr>
          <w:p w14:paraId="238051EB">
            <w:pPr>
              <w:widowControl w:val="0"/>
              <w:ind w:left="-105" w:right="-105"/>
              <w:jc w:val="center"/>
              <w:rPr>
                <w:rFonts w:ascii="Times New Roman" w:hAnsi="Times New Roman" w:cs="Times New Roman"/>
                <w:bCs/>
                <w:color w:val="auto"/>
                <w:kern w:val="2"/>
                <w:sz w:val="21"/>
                <w:szCs w:val="21"/>
                <w:highlight w:val="none"/>
              </w:rPr>
            </w:pPr>
          </w:p>
        </w:tc>
        <w:tc>
          <w:tcPr>
            <w:tcW w:w="1846" w:type="dxa"/>
            <w:vAlign w:val="center"/>
          </w:tcPr>
          <w:p w14:paraId="36C504F7">
            <w:pPr>
              <w:ind w:left="-105" w:right="-105"/>
              <w:jc w:val="center"/>
              <w:rPr>
                <w:rFonts w:hint="default" w:ascii="Times New Roman" w:hAnsi="Times New Roman" w:eastAsia="宋体" w:cs="Times New Roman"/>
                <w:bCs/>
                <w:color w:val="auto"/>
                <w:kern w:val="2"/>
                <w:sz w:val="21"/>
                <w:szCs w:val="21"/>
                <w:highlight w:val="none"/>
                <w:lang w:val="en-US" w:eastAsia="zh-CN"/>
              </w:rPr>
            </w:pPr>
            <w:r>
              <w:rPr>
                <w:rFonts w:hint="eastAsia" w:ascii="Times New Roman" w:hAnsi="Times New Roman" w:cs="Times New Roman"/>
                <w:color w:val="auto"/>
                <w:spacing w:val="2"/>
                <w:sz w:val="21"/>
                <w:szCs w:val="21"/>
                <w:highlight w:val="none"/>
                <w:lang w:val="en-US" w:eastAsia="zh-CN"/>
              </w:rPr>
              <w:t>18.4089</w:t>
            </w:r>
          </w:p>
        </w:tc>
      </w:tr>
      <w:tr w14:paraId="31A103E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70" w:type="dxa"/>
            <w:vAlign w:val="center"/>
          </w:tcPr>
          <w:p w14:paraId="2C53D22E">
            <w:pPr>
              <w:widowControl w:val="0"/>
              <w:numPr>
                <w:ilvl w:val="0"/>
                <w:numId w:val="24"/>
              </w:numPr>
              <w:ind w:left="-105" w:right="-105"/>
              <w:jc w:val="center"/>
              <w:rPr>
                <w:rFonts w:ascii="Times New Roman" w:hAnsi="Times New Roman" w:cs="Times New Roman"/>
                <w:bCs/>
                <w:color w:val="auto"/>
                <w:kern w:val="2"/>
                <w:sz w:val="21"/>
                <w:szCs w:val="21"/>
                <w:highlight w:val="none"/>
              </w:rPr>
            </w:pPr>
          </w:p>
        </w:tc>
        <w:tc>
          <w:tcPr>
            <w:tcW w:w="869" w:type="dxa"/>
            <w:vMerge w:val="continue"/>
            <w:vAlign w:val="center"/>
          </w:tcPr>
          <w:p w14:paraId="4E300CBB">
            <w:pPr>
              <w:widowControl w:val="0"/>
              <w:ind w:left="-105" w:right="-105"/>
              <w:jc w:val="center"/>
              <w:rPr>
                <w:rFonts w:ascii="Times New Roman" w:hAnsi="Times New Roman" w:cs="Times New Roman"/>
                <w:bCs/>
                <w:color w:val="auto"/>
                <w:kern w:val="2"/>
                <w:sz w:val="21"/>
                <w:szCs w:val="21"/>
                <w:highlight w:val="none"/>
              </w:rPr>
            </w:pPr>
          </w:p>
        </w:tc>
        <w:tc>
          <w:tcPr>
            <w:tcW w:w="2350" w:type="dxa"/>
            <w:gridSpan w:val="2"/>
            <w:vAlign w:val="center"/>
          </w:tcPr>
          <w:p w14:paraId="2470EDE1">
            <w:pPr>
              <w:pStyle w:val="236"/>
              <w:ind w:left="-105" w:right="-105"/>
              <w:jc w:val="center"/>
              <w:rPr>
                <w:rFonts w:ascii="Times New Roman" w:hAnsi="Times New Roman" w:cs="Times New Roman"/>
                <w:bCs/>
                <w:color w:val="auto"/>
                <w:kern w:val="2"/>
                <w:sz w:val="21"/>
                <w:szCs w:val="21"/>
                <w:highlight w:val="none"/>
              </w:rPr>
            </w:pPr>
            <w:r>
              <w:rPr>
                <w:rFonts w:hint="eastAsia" w:ascii="Times New Roman" w:hAnsi="Times New Roman" w:eastAsia="宋体" w:cs="Times New Roman"/>
                <w:color w:val="auto"/>
                <w:spacing w:val="7"/>
                <w:sz w:val="21"/>
                <w:szCs w:val="21"/>
                <w:highlight w:val="none"/>
                <w:lang w:eastAsia="zh-CN"/>
              </w:rPr>
              <w:t>废包装桶（</w:t>
            </w:r>
            <w:r>
              <w:rPr>
                <w:rFonts w:hint="eastAsia" w:ascii="Times New Roman" w:hAnsi="Times New Roman" w:eastAsia="宋体" w:cs="Times New Roman"/>
                <w:color w:val="auto"/>
                <w:spacing w:val="7"/>
                <w:sz w:val="21"/>
                <w:szCs w:val="21"/>
                <w:highlight w:val="none"/>
                <w:lang w:val="en-US" w:eastAsia="zh-CN"/>
              </w:rPr>
              <w:t>瓶</w:t>
            </w:r>
            <w:r>
              <w:rPr>
                <w:rFonts w:hint="eastAsia" w:ascii="Times New Roman" w:hAnsi="Times New Roman" w:eastAsia="宋体" w:cs="Times New Roman"/>
                <w:color w:val="auto"/>
                <w:spacing w:val="7"/>
                <w:sz w:val="21"/>
                <w:szCs w:val="21"/>
                <w:highlight w:val="none"/>
                <w:lang w:eastAsia="zh-CN"/>
              </w:rPr>
              <w:t>）</w:t>
            </w:r>
          </w:p>
        </w:tc>
        <w:tc>
          <w:tcPr>
            <w:tcW w:w="1555" w:type="dxa"/>
            <w:vMerge w:val="continue"/>
            <w:vAlign w:val="center"/>
          </w:tcPr>
          <w:p w14:paraId="463CEEEE">
            <w:pPr>
              <w:widowControl w:val="0"/>
              <w:ind w:left="-105" w:right="-105"/>
              <w:jc w:val="center"/>
              <w:rPr>
                <w:rFonts w:ascii="Times New Roman" w:hAnsi="Times New Roman" w:cs="Times New Roman"/>
                <w:bCs/>
                <w:color w:val="auto"/>
                <w:kern w:val="2"/>
                <w:sz w:val="21"/>
                <w:szCs w:val="21"/>
                <w:highlight w:val="none"/>
              </w:rPr>
            </w:pPr>
          </w:p>
        </w:tc>
        <w:tc>
          <w:tcPr>
            <w:tcW w:w="1530" w:type="dxa"/>
            <w:vMerge w:val="continue"/>
            <w:vAlign w:val="center"/>
          </w:tcPr>
          <w:p w14:paraId="41C340CC">
            <w:pPr>
              <w:widowControl w:val="0"/>
              <w:ind w:left="-105" w:right="-105"/>
              <w:jc w:val="center"/>
              <w:rPr>
                <w:rFonts w:ascii="Times New Roman" w:hAnsi="Times New Roman" w:cs="Times New Roman"/>
                <w:bCs/>
                <w:color w:val="auto"/>
                <w:kern w:val="2"/>
                <w:sz w:val="21"/>
                <w:szCs w:val="21"/>
                <w:highlight w:val="none"/>
              </w:rPr>
            </w:pPr>
          </w:p>
        </w:tc>
        <w:tc>
          <w:tcPr>
            <w:tcW w:w="1846" w:type="dxa"/>
            <w:vAlign w:val="center"/>
          </w:tcPr>
          <w:p w14:paraId="0A754101">
            <w:pPr>
              <w:ind w:left="-105" w:right="-105"/>
              <w:jc w:val="center"/>
              <w:rPr>
                <w:rFonts w:ascii="Times New Roman" w:hAnsi="Times New Roman" w:cs="Times New Roman"/>
                <w:bCs/>
                <w:color w:val="auto"/>
                <w:kern w:val="2"/>
                <w:sz w:val="21"/>
                <w:szCs w:val="21"/>
                <w:highlight w:val="none"/>
              </w:rPr>
            </w:pPr>
            <w:r>
              <w:rPr>
                <w:rFonts w:hint="eastAsia" w:ascii="Times New Roman" w:hAnsi="Times New Roman" w:cs="Times New Roman"/>
                <w:color w:val="auto"/>
                <w:spacing w:val="2"/>
                <w:sz w:val="21"/>
                <w:szCs w:val="21"/>
                <w:highlight w:val="none"/>
              </w:rPr>
              <w:t>15.35</w:t>
            </w:r>
          </w:p>
        </w:tc>
      </w:tr>
      <w:tr w14:paraId="4AF8E76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70" w:type="dxa"/>
            <w:vAlign w:val="center"/>
          </w:tcPr>
          <w:p w14:paraId="427CD8AB">
            <w:pPr>
              <w:widowControl w:val="0"/>
              <w:numPr>
                <w:ilvl w:val="0"/>
                <w:numId w:val="24"/>
              </w:numPr>
              <w:ind w:left="-105" w:right="-105"/>
              <w:jc w:val="center"/>
              <w:rPr>
                <w:rFonts w:ascii="Times New Roman" w:hAnsi="Times New Roman" w:cs="Times New Roman"/>
                <w:bCs/>
                <w:color w:val="auto"/>
                <w:kern w:val="2"/>
                <w:sz w:val="21"/>
                <w:szCs w:val="21"/>
                <w:highlight w:val="none"/>
              </w:rPr>
            </w:pPr>
          </w:p>
        </w:tc>
        <w:tc>
          <w:tcPr>
            <w:tcW w:w="869" w:type="dxa"/>
            <w:vAlign w:val="center"/>
          </w:tcPr>
          <w:p w14:paraId="53FD708C">
            <w:pPr>
              <w:widowControl w:val="0"/>
              <w:ind w:left="-105" w:right="-105"/>
              <w:jc w:val="center"/>
              <w:rPr>
                <w:rFonts w:ascii="Times New Roman" w:hAnsi="Times New Roman" w:cs="Times New Roman"/>
                <w:bCs/>
                <w:color w:val="auto"/>
                <w:kern w:val="2"/>
                <w:sz w:val="21"/>
                <w:szCs w:val="21"/>
                <w:highlight w:val="none"/>
              </w:rPr>
            </w:pPr>
            <w:r>
              <w:rPr>
                <w:rFonts w:hint="eastAsia" w:ascii="Times New Roman" w:hAnsi="Times New Roman" w:cs="Times New Roman"/>
                <w:bCs/>
                <w:color w:val="auto"/>
                <w:kern w:val="2"/>
                <w:sz w:val="21"/>
                <w:szCs w:val="21"/>
                <w:highlight w:val="none"/>
              </w:rPr>
              <w:t>废液储罐</w:t>
            </w:r>
          </w:p>
        </w:tc>
        <w:tc>
          <w:tcPr>
            <w:tcW w:w="2350" w:type="dxa"/>
            <w:gridSpan w:val="2"/>
            <w:vAlign w:val="center"/>
          </w:tcPr>
          <w:p w14:paraId="5F1753AF">
            <w:pPr>
              <w:pStyle w:val="236"/>
              <w:ind w:left="-105" w:right="-105"/>
              <w:jc w:val="center"/>
              <w:rPr>
                <w:rFonts w:ascii="Times New Roman" w:hAnsi="Times New Roman" w:cs="Times New Roman"/>
                <w:bCs/>
                <w:color w:val="auto"/>
                <w:kern w:val="2"/>
                <w:sz w:val="21"/>
                <w:szCs w:val="21"/>
                <w:highlight w:val="none"/>
              </w:rPr>
            </w:pPr>
            <w:r>
              <w:rPr>
                <w:rFonts w:ascii="Times New Roman" w:hAnsi="Times New Roman" w:eastAsia="宋体" w:cs="Times New Roman"/>
                <w:color w:val="auto"/>
                <w:spacing w:val="5"/>
                <w:sz w:val="21"/>
                <w:szCs w:val="21"/>
                <w:highlight w:val="none"/>
              </w:rPr>
              <w:t>喷淋废液</w:t>
            </w:r>
          </w:p>
        </w:tc>
        <w:tc>
          <w:tcPr>
            <w:tcW w:w="1555" w:type="dxa"/>
            <w:vMerge w:val="continue"/>
            <w:vAlign w:val="center"/>
          </w:tcPr>
          <w:p w14:paraId="0B9AFBE8">
            <w:pPr>
              <w:widowControl w:val="0"/>
              <w:ind w:left="-105" w:right="-105"/>
              <w:jc w:val="center"/>
              <w:rPr>
                <w:rFonts w:ascii="Times New Roman" w:hAnsi="Times New Roman" w:cs="Times New Roman"/>
                <w:bCs/>
                <w:color w:val="auto"/>
                <w:kern w:val="2"/>
                <w:sz w:val="21"/>
                <w:szCs w:val="21"/>
                <w:highlight w:val="none"/>
              </w:rPr>
            </w:pPr>
          </w:p>
        </w:tc>
        <w:tc>
          <w:tcPr>
            <w:tcW w:w="1530" w:type="dxa"/>
            <w:vMerge w:val="continue"/>
            <w:vAlign w:val="center"/>
          </w:tcPr>
          <w:p w14:paraId="1C1F9D4F">
            <w:pPr>
              <w:widowControl w:val="0"/>
              <w:ind w:left="-105" w:right="-105"/>
              <w:jc w:val="center"/>
              <w:rPr>
                <w:rFonts w:ascii="Times New Roman" w:hAnsi="Times New Roman" w:cs="Times New Roman"/>
                <w:bCs/>
                <w:color w:val="auto"/>
                <w:kern w:val="2"/>
                <w:sz w:val="21"/>
                <w:szCs w:val="21"/>
                <w:highlight w:val="none"/>
              </w:rPr>
            </w:pPr>
          </w:p>
        </w:tc>
        <w:tc>
          <w:tcPr>
            <w:tcW w:w="1846" w:type="dxa"/>
            <w:vAlign w:val="center"/>
          </w:tcPr>
          <w:p w14:paraId="0413124B">
            <w:pPr>
              <w:ind w:left="-105" w:right="-105"/>
              <w:jc w:val="center"/>
              <w:rPr>
                <w:rFonts w:hint="default" w:ascii="Times New Roman" w:hAnsi="Times New Roman" w:eastAsia="宋体" w:cs="Times New Roman"/>
                <w:bCs/>
                <w:color w:val="auto"/>
                <w:kern w:val="2"/>
                <w:sz w:val="21"/>
                <w:szCs w:val="21"/>
                <w:highlight w:val="none"/>
                <w:lang w:val="en-US" w:eastAsia="zh-CN"/>
              </w:rPr>
            </w:pPr>
            <w:r>
              <w:rPr>
                <w:rFonts w:hint="eastAsia" w:ascii="Times New Roman" w:hAnsi="Times New Roman" w:cs="Times New Roman"/>
                <w:color w:val="auto"/>
                <w:sz w:val="21"/>
                <w:szCs w:val="21"/>
                <w:highlight w:val="none"/>
                <w:lang w:val="en-US" w:eastAsia="zh-CN"/>
              </w:rPr>
              <w:t>55</w:t>
            </w:r>
          </w:p>
        </w:tc>
      </w:tr>
      <w:tr w14:paraId="0FCCD94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70" w:type="dxa"/>
            <w:vAlign w:val="center"/>
          </w:tcPr>
          <w:p w14:paraId="49B1DB25">
            <w:pPr>
              <w:widowControl w:val="0"/>
              <w:numPr>
                <w:ilvl w:val="0"/>
                <w:numId w:val="24"/>
              </w:numPr>
              <w:ind w:left="-105" w:right="-105"/>
              <w:jc w:val="center"/>
              <w:rPr>
                <w:rFonts w:ascii="Times New Roman" w:hAnsi="Times New Roman" w:cs="Times New Roman"/>
                <w:bCs/>
                <w:color w:val="auto"/>
                <w:kern w:val="2"/>
                <w:sz w:val="21"/>
                <w:szCs w:val="21"/>
                <w:highlight w:val="none"/>
              </w:rPr>
            </w:pPr>
          </w:p>
        </w:tc>
        <w:tc>
          <w:tcPr>
            <w:tcW w:w="869" w:type="dxa"/>
            <w:vMerge w:val="restart"/>
            <w:vAlign w:val="center"/>
          </w:tcPr>
          <w:p w14:paraId="2639E952">
            <w:pPr>
              <w:widowControl w:val="0"/>
              <w:ind w:left="-105" w:leftChars="0" w:right="-105" w:rightChars="0"/>
              <w:jc w:val="center"/>
              <w:rPr>
                <w:rFonts w:ascii="Times New Roman" w:hAnsi="Times New Roman" w:eastAsia="宋体" w:cs="Times New Roman"/>
                <w:bCs/>
                <w:color w:val="auto"/>
                <w:kern w:val="2"/>
                <w:sz w:val="21"/>
                <w:szCs w:val="21"/>
                <w:highlight w:val="none"/>
                <w:lang w:val="en-US" w:eastAsia="zh-CN" w:bidi="ar-SA"/>
              </w:rPr>
            </w:pPr>
            <w:r>
              <w:rPr>
                <w:rFonts w:ascii="Times New Roman" w:hAnsi="Times New Roman" w:cs="Times New Roman"/>
                <w:bCs/>
                <w:color w:val="auto"/>
                <w:kern w:val="2"/>
                <w:sz w:val="21"/>
                <w:szCs w:val="21"/>
                <w:highlight w:val="none"/>
              </w:rPr>
              <w:t>危废仓库</w:t>
            </w:r>
          </w:p>
        </w:tc>
        <w:tc>
          <w:tcPr>
            <w:tcW w:w="2350" w:type="dxa"/>
            <w:gridSpan w:val="2"/>
            <w:vAlign w:val="center"/>
          </w:tcPr>
          <w:p w14:paraId="14912EA0">
            <w:pPr>
              <w:pStyle w:val="106"/>
              <w:widowControl w:val="0"/>
              <w:autoSpaceDE w:val="0"/>
              <w:autoSpaceDN w:val="0"/>
              <w:rPr>
                <w:bCs/>
                <w:color w:val="auto"/>
                <w:kern w:val="2"/>
                <w:sz w:val="21"/>
                <w:szCs w:val="21"/>
                <w:highlight w:val="none"/>
              </w:rPr>
            </w:pPr>
            <w:r>
              <w:rPr>
                <w:rFonts w:hint="eastAsia"/>
                <w:color w:val="auto"/>
                <w:sz w:val="21"/>
                <w:szCs w:val="21"/>
                <w:highlight w:val="none"/>
              </w:rPr>
              <w:t>废包装袋</w:t>
            </w:r>
          </w:p>
        </w:tc>
        <w:tc>
          <w:tcPr>
            <w:tcW w:w="1555" w:type="dxa"/>
            <w:vMerge w:val="continue"/>
            <w:vAlign w:val="center"/>
          </w:tcPr>
          <w:p w14:paraId="1DFEFF0B">
            <w:pPr>
              <w:widowControl w:val="0"/>
              <w:ind w:left="-105" w:right="-105"/>
              <w:jc w:val="center"/>
              <w:rPr>
                <w:rFonts w:ascii="Times New Roman" w:hAnsi="Times New Roman" w:cs="Times New Roman"/>
                <w:bCs/>
                <w:color w:val="auto"/>
                <w:kern w:val="2"/>
                <w:sz w:val="21"/>
                <w:szCs w:val="21"/>
                <w:highlight w:val="none"/>
              </w:rPr>
            </w:pPr>
          </w:p>
        </w:tc>
        <w:tc>
          <w:tcPr>
            <w:tcW w:w="1530" w:type="dxa"/>
            <w:vMerge w:val="continue"/>
            <w:vAlign w:val="center"/>
          </w:tcPr>
          <w:p w14:paraId="21E1CA07">
            <w:pPr>
              <w:widowControl w:val="0"/>
              <w:ind w:left="-105" w:right="-105"/>
              <w:jc w:val="center"/>
              <w:rPr>
                <w:rFonts w:ascii="Times New Roman" w:hAnsi="Times New Roman" w:cs="Times New Roman"/>
                <w:bCs/>
                <w:color w:val="auto"/>
                <w:kern w:val="2"/>
                <w:sz w:val="21"/>
                <w:szCs w:val="21"/>
                <w:highlight w:val="none"/>
              </w:rPr>
            </w:pPr>
          </w:p>
        </w:tc>
        <w:tc>
          <w:tcPr>
            <w:tcW w:w="1846" w:type="dxa"/>
            <w:vAlign w:val="center"/>
          </w:tcPr>
          <w:p w14:paraId="25CD4A49">
            <w:pPr>
              <w:pStyle w:val="106"/>
              <w:widowControl w:val="0"/>
              <w:autoSpaceDE w:val="0"/>
              <w:autoSpaceDN w:val="0"/>
              <w:rPr>
                <w:bCs/>
                <w:color w:val="auto"/>
                <w:kern w:val="2"/>
                <w:sz w:val="21"/>
                <w:szCs w:val="21"/>
                <w:highlight w:val="none"/>
              </w:rPr>
            </w:pPr>
            <w:r>
              <w:rPr>
                <w:rFonts w:hint="eastAsia"/>
                <w:color w:val="auto"/>
                <w:sz w:val="21"/>
                <w:szCs w:val="21"/>
                <w:highlight w:val="none"/>
              </w:rPr>
              <w:t>0.02</w:t>
            </w:r>
          </w:p>
        </w:tc>
      </w:tr>
      <w:tr w14:paraId="6471530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70" w:type="dxa"/>
            <w:vAlign w:val="center"/>
          </w:tcPr>
          <w:p w14:paraId="1ABE8983">
            <w:pPr>
              <w:widowControl w:val="0"/>
              <w:numPr>
                <w:ilvl w:val="0"/>
                <w:numId w:val="24"/>
              </w:numPr>
              <w:ind w:left="-105" w:right="-105"/>
              <w:jc w:val="center"/>
              <w:rPr>
                <w:rFonts w:ascii="Times New Roman" w:hAnsi="Times New Roman" w:cs="Times New Roman"/>
                <w:bCs/>
                <w:color w:val="auto"/>
                <w:kern w:val="2"/>
                <w:sz w:val="21"/>
                <w:szCs w:val="21"/>
                <w:highlight w:val="none"/>
              </w:rPr>
            </w:pPr>
          </w:p>
        </w:tc>
        <w:tc>
          <w:tcPr>
            <w:tcW w:w="869" w:type="dxa"/>
            <w:vMerge w:val="continue"/>
            <w:vAlign w:val="center"/>
          </w:tcPr>
          <w:p w14:paraId="20BB75F9">
            <w:pPr>
              <w:widowControl w:val="0"/>
              <w:ind w:left="-105" w:right="-105"/>
              <w:jc w:val="center"/>
              <w:rPr>
                <w:rFonts w:ascii="Times New Roman" w:hAnsi="Times New Roman" w:cs="Times New Roman"/>
                <w:bCs/>
                <w:color w:val="auto"/>
                <w:kern w:val="2"/>
                <w:sz w:val="21"/>
                <w:szCs w:val="21"/>
                <w:highlight w:val="none"/>
              </w:rPr>
            </w:pPr>
          </w:p>
        </w:tc>
        <w:tc>
          <w:tcPr>
            <w:tcW w:w="2350" w:type="dxa"/>
            <w:gridSpan w:val="2"/>
            <w:vAlign w:val="center"/>
          </w:tcPr>
          <w:p w14:paraId="6C01DC4B">
            <w:pPr>
              <w:pStyle w:val="106"/>
              <w:widowControl w:val="0"/>
              <w:autoSpaceDE w:val="0"/>
              <w:autoSpaceDN w:val="0"/>
              <w:rPr>
                <w:bCs/>
                <w:color w:val="auto"/>
                <w:kern w:val="2"/>
                <w:sz w:val="21"/>
                <w:szCs w:val="21"/>
                <w:highlight w:val="none"/>
              </w:rPr>
            </w:pPr>
            <w:r>
              <w:rPr>
                <w:rFonts w:hint="eastAsia"/>
                <w:color w:val="auto"/>
                <w:sz w:val="21"/>
                <w:szCs w:val="21"/>
                <w:highlight w:val="none"/>
              </w:rPr>
              <w:t>实验废液</w:t>
            </w:r>
          </w:p>
        </w:tc>
        <w:tc>
          <w:tcPr>
            <w:tcW w:w="1555" w:type="dxa"/>
            <w:vMerge w:val="continue"/>
            <w:vAlign w:val="center"/>
          </w:tcPr>
          <w:p w14:paraId="1074A5F3">
            <w:pPr>
              <w:widowControl w:val="0"/>
              <w:ind w:left="-105" w:right="-105"/>
              <w:jc w:val="center"/>
              <w:rPr>
                <w:rFonts w:ascii="Times New Roman" w:hAnsi="Times New Roman" w:cs="Times New Roman"/>
                <w:bCs/>
                <w:color w:val="auto"/>
                <w:kern w:val="2"/>
                <w:sz w:val="21"/>
                <w:szCs w:val="21"/>
                <w:highlight w:val="none"/>
              </w:rPr>
            </w:pPr>
          </w:p>
        </w:tc>
        <w:tc>
          <w:tcPr>
            <w:tcW w:w="1530" w:type="dxa"/>
            <w:vMerge w:val="continue"/>
            <w:vAlign w:val="center"/>
          </w:tcPr>
          <w:p w14:paraId="577F3C7B">
            <w:pPr>
              <w:widowControl w:val="0"/>
              <w:ind w:left="-105" w:right="-105"/>
              <w:jc w:val="center"/>
              <w:rPr>
                <w:rFonts w:ascii="Times New Roman" w:hAnsi="Times New Roman" w:cs="Times New Roman"/>
                <w:bCs/>
                <w:color w:val="auto"/>
                <w:kern w:val="2"/>
                <w:sz w:val="21"/>
                <w:szCs w:val="21"/>
                <w:highlight w:val="none"/>
              </w:rPr>
            </w:pPr>
          </w:p>
        </w:tc>
        <w:tc>
          <w:tcPr>
            <w:tcW w:w="1846" w:type="dxa"/>
            <w:vAlign w:val="center"/>
          </w:tcPr>
          <w:p w14:paraId="6596B3B2">
            <w:pPr>
              <w:pStyle w:val="106"/>
              <w:widowControl w:val="0"/>
              <w:autoSpaceDE w:val="0"/>
              <w:autoSpaceDN w:val="0"/>
              <w:rPr>
                <w:rFonts w:hint="default" w:eastAsia="宋体"/>
                <w:bCs/>
                <w:color w:val="auto"/>
                <w:kern w:val="2"/>
                <w:sz w:val="21"/>
                <w:szCs w:val="21"/>
                <w:highlight w:val="none"/>
                <w:lang w:val="en-US" w:eastAsia="zh-CN"/>
              </w:rPr>
            </w:pPr>
            <w:r>
              <w:rPr>
                <w:rFonts w:hint="eastAsia"/>
                <w:color w:val="auto"/>
                <w:sz w:val="21"/>
                <w:szCs w:val="21"/>
                <w:highlight w:val="none"/>
              </w:rPr>
              <w:t>0.</w:t>
            </w:r>
            <w:r>
              <w:rPr>
                <w:rFonts w:hint="eastAsia"/>
                <w:color w:val="auto"/>
                <w:sz w:val="21"/>
                <w:szCs w:val="21"/>
                <w:highlight w:val="none"/>
                <w:lang w:val="en-US" w:eastAsia="zh-CN"/>
              </w:rPr>
              <w:t>02</w:t>
            </w:r>
          </w:p>
        </w:tc>
      </w:tr>
      <w:tr w14:paraId="68082C0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70" w:type="dxa"/>
            <w:vAlign w:val="center"/>
          </w:tcPr>
          <w:p w14:paraId="67D91981">
            <w:pPr>
              <w:widowControl w:val="0"/>
              <w:numPr>
                <w:ilvl w:val="0"/>
                <w:numId w:val="24"/>
              </w:numPr>
              <w:ind w:left="-105" w:right="-105"/>
              <w:jc w:val="center"/>
              <w:rPr>
                <w:rFonts w:ascii="Times New Roman" w:hAnsi="Times New Roman" w:cs="Times New Roman"/>
                <w:bCs/>
                <w:color w:val="auto"/>
                <w:kern w:val="2"/>
                <w:sz w:val="21"/>
                <w:szCs w:val="21"/>
                <w:highlight w:val="none"/>
              </w:rPr>
            </w:pPr>
          </w:p>
        </w:tc>
        <w:tc>
          <w:tcPr>
            <w:tcW w:w="869" w:type="dxa"/>
            <w:vMerge w:val="continue"/>
            <w:vAlign w:val="center"/>
          </w:tcPr>
          <w:p w14:paraId="4F61C5FC">
            <w:pPr>
              <w:widowControl w:val="0"/>
              <w:ind w:left="-105" w:right="-105"/>
              <w:jc w:val="center"/>
              <w:rPr>
                <w:rFonts w:ascii="Times New Roman" w:hAnsi="Times New Roman" w:cs="Times New Roman"/>
                <w:bCs/>
                <w:color w:val="auto"/>
                <w:kern w:val="2"/>
                <w:sz w:val="21"/>
                <w:szCs w:val="21"/>
                <w:highlight w:val="none"/>
              </w:rPr>
            </w:pPr>
          </w:p>
        </w:tc>
        <w:tc>
          <w:tcPr>
            <w:tcW w:w="2350" w:type="dxa"/>
            <w:gridSpan w:val="2"/>
            <w:vAlign w:val="center"/>
          </w:tcPr>
          <w:p w14:paraId="52B28A01">
            <w:pPr>
              <w:pStyle w:val="106"/>
              <w:widowControl w:val="0"/>
              <w:autoSpaceDE w:val="0"/>
              <w:autoSpaceDN w:val="0"/>
              <w:rPr>
                <w:bCs/>
                <w:color w:val="auto"/>
                <w:kern w:val="2"/>
                <w:sz w:val="21"/>
                <w:szCs w:val="21"/>
                <w:highlight w:val="none"/>
              </w:rPr>
            </w:pPr>
            <w:r>
              <w:rPr>
                <w:rFonts w:hint="eastAsia"/>
                <w:color w:val="auto"/>
                <w:sz w:val="21"/>
                <w:szCs w:val="21"/>
                <w:highlight w:val="none"/>
              </w:rPr>
              <w:t>废实验耗材</w:t>
            </w:r>
          </w:p>
        </w:tc>
        <w:tc>
          <w:tcPr>
            <w:tcW w:w="1555" w:type="dxa"/>
            <w:vMerge w:val="continue"/>
            <w:vAlign w:val="center"/>
          </w:tcPr>
          <w:p w14:paraId="4A469442">
            <w:pPr>
              <w:widowControl w:val="0"/>
              <w:ind w:left="-105" w:right="-105"/>
              <w:jc w:val="center"/>
              <w:rPr>
                <w:rFonts w:ascii="Times New Roman" w:hAnsi="Times New Roman" w:cs="Times New Roman"/>
                <w:bCs/>
                <w:color w:val="auto"/>
                <w:kern w:val="2"/>
                <w:sz w:val="21"/>
                <w:szCs w:val="21"/>
                <w:highlight w:val="none"/>
              </w:rPr>
            </w:pPr>
          </w:p>
        </w:tc>
        <w:tc>
          <w:tcPr>
            <w:tcW w:w="1530" w:type="dxa"/>
            <w:vMerge w:val="continue"/>
            <w:vAlign w:val="center"/>
          </w:tcPr>
          <w:p w14:paraId="77C0690A">
            <w:pPr>
              <w:widowControl w:val="0"/>
              <w:ind w:left="-105" w:right="-105"/>
              <w:jc w:val="center"/>
              <w:rPr>
                <w:rFonts w:ascii="Times New Roman" w:hAnsi="Times New Roman" w:cs="Times New Roman"/>
                <w:bCs/>
                <w:color w:val="auto"/>
                <w:kern w:val="2"/>
                <w:sz w:val="21"/>
                <w:szCs w:val="21"/>
                <w:highlight w:val="none"/>
              </w:rPr>
            </w:pPr>
          </w:p>
        </w:tc>
        <w:tc>
          <w:tcPr>
            <w:tcW w:w="1846" w:type="dxa"/>
            <w:vAlign w:val="center"/>
          </w:tcPr>
          <w:p w14:paraId="3D72923A">
            <w:pPr>
              <w:pStyle w:val="106"/>
              <w:widowControl w:val="0"/>
              <w:autoSpaceDE w:val="0"/>
              <w:autoSpaceDN w:val="0"/>
              <w:rPr>
                <w:bCs/>
                <w:color w:val="auto"/>
                <w:kern w:val="2"/>
                <w:sz w:val="21"/>
                <w:szCs w:val="21"/>
                <w:highlight w:val="none"/>
              </w:rPr>
            </w:pPr>
            <w:r>
              <w:rPr>
                <w:rFonts w:hint="eastAsia"/>
                <w:color w:val="auto"/>
                <w:sz w:val="21"/>
                <w:szCs w:val="21"/>
                <w:highlight w:val="none"/>
              </w:rPr>
              <w:t>0.5</w:t>
            </w:r>
          </w:p>
        </w:tc>
      </w:tr>
      <w:tr w14:paraId="257105C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70" w:type="dxa"/>
            <w:vAlign w:val="center"/>
          </w:tcPr>
          <w:p w14:paraId="7EE558D6">
            <w:pPr>
              <w:widowControl w:val="0"/>
              <w:numPr>
                <w:ilvl w:val="0"/>
                <w:numId w:val="24"/>
              </w:numPr>
              <w:ind w:left="-105" w:right="-105"/>
              <w:jc w:val="center"/>
              <w:rPr>
                <w:rFonts w:ascii="Times New Roman" w:hAnsi="Times New Roman" w:cs="Times New Roman"/>
                <w:bCs/>
                <w:color w:val="auto"/>
                <w:kern w:val="2"/>
                <w:sz w:val="21"/>
                <w:szCs w:val="21"/>
                <w:highlight w:val="none"/>
              </w:rPr>
            </w:pPr>
          </w:p>
        </w:tc>
        <w:tc>
          <w:tcPr>
            <w:tcW w:w="869" w:type="dxa"/>
            <w:vAlign w:val="center"/>
          </w:tcPr>
          <w:p w14:paraId="0E70CAC8">
            <w:pPr>
              <w:widowControl w:val="0"/>
              <w:ind w:left="-105" w:right="-105"/>
              <w:jc w:val="center"/>
              <w:rPr>
                <w:rFonts w:ascii="Times New Roman" w:hAnsi="Times New Roman" w:cs="Times New Roman"/>
                <w:bCs/>
                <w:color w:val="auto"/>
                <w:kern w:val="2"/>
                <w:sz w:val="21"/>
                <w:szCs w:val="21"/>
                <w:highlight w:val="none"/>
              </w:rPr>
            </w:pPr>
            <w:r>
              <w:rPr>
                <w:rFonts w:hint="eastAsia" w:ascii="Times New Roman" w:hAnsi="Times New Roman" w:cs="Times New Roman"/>
                <w:bCs/>
                <w:color w:val="auto"/>
                <w:kern w:val="2"/>
                <w:sz w:val="21"/>
                <w:szCs w:val="21"/>
                <w:highlight w:val="none"/>
              </w:rPr>
              <w:t>废液储罐</w:t>
            </w:r>
          </w:p>
        </w:tc>
        <w:tc>
          <w:tcPr>
            <w:tcW w:w="2350" w:type="dxa"/>
            <w:gridSpan w:val="2"/>
            <w:vAlign w:val="center"/>
          </w:tcPr>
          <w:p w14:paraId="4281BFB8">
            <w:pPr>
              <w:pStyle w:val="106"/>
              <w:widowControl w:val="0"/>
              <w:autoSpaceDE w:val="0"/>
              <w:autoSpaceDN w:val="0"/>
              <w:rPr>
                <w:rFonts w:hint="eastAsia"/>
                <w:color w:val="auto"/>
                <w:sz w:val="21"/>
                <w:szCs w:val="21"/>
                <w:highlight w:val="none"/>
              </w:rPr>
            </w:pPr>
            <w:r>
              <w:rPr>
                <w:rFonts w:hint="eastAsia" w:ascii="Times New Roman" w:hAnsi="Times New Roman" w:cs="Times New Roman"/>
                <w:color w:val="auto"/>
                <w:sz w:val="21"/>
                <w:szCs w:val="21"/>
                <w:highlight w:val="none"/>
                <w:lang w:val="en-US" w:eastAsia="zh-CN"/>
              </w:rPr>
              <w:t>实验清洗废水</w:t>
            </w:r>
          </w:p>
        </w:tc>
        <w:tc>
          <w:tcPr>
            <w:tcW w:w="1555" w:type="dxa"/>
            <w:vMerge w:val="continue"/>
            <w:vAlign w:val="center"/>
          </w:tcPr>
          <w:p w14:paraId="3F595A39">
            <w:pPr>
              <w:widowControl w:val="0"/>
              <w:ind w:left="-105" w:right="-105"/>
              <w:jc w:val="center"/>
              <w:rPr>
                <w:rFonts w:ascii="Times New Roman" w:hAnsi="Times New Roman" w:cs="Times New Roman"/>
                <w:bCs/>
                <w:color w:val="auto"/>
                <w:kern w:val="2"/>
                <w:sz w:val="21"/>
                <w:szCs w:val="21"/>
                <w:highlight w:val="none"/>
              </w:rPr>
            </w:pPr>
          </w:p>
        </w:tc>
        <w:tc>
          <w:tcPr>
            <w:tcW w:w="1530" w:type="dxa"/>
            <w:vMerge w:val="continue"/>
            <w:vAlign w:val="center"/>
          </w:tcPr>
          <w:p w14:paraId="304005A0">
            <w:pPr>
              <w:widowControl w:val="0"/>
              <w:ind w:left="-105" w:right="-105"/>
              <w:jc w:val="center"/>
              <w:rPr>
                <w:rFonts w:ascii="Times New Roman" w:hAnsi="Times New Roman" w:cs="Times New Roman"/>
                <w:bCs/>
                <w:color w:val="auto"/>
                <w:kern w:val="2"/>
                <w:sz w:val="21"/>
                <w:szCs w:val="21"/>
                <w:highlight w:val="none"/>
              </w:rPr>
            </w:pPr>
          </w:p>
        </w:tc>
        <w:tc>
          <w:tcPr>
            <w:tcW w:w="1846" w:type="dxa"/>
            <w:vAlign w:val="center"/>
          </w:tcPr>
          <w:p w14:paraId="07D3D56D">
            <w:pPr>
              <w:pStyle w:val="106"/>
              <w:widowControl w:val="0"/>
              <w:autoSpaceDE w:val="0"/>
              <w:autoSpaceDN w:val="0"/>
              <w:rPr>
                <w:rFonts w:hint="default" w:eastAsia="宋体"/>
                <w:color w:val="auto"/>
                <w:sz w:val="21"/>
                <w:szCs w:val="21"/>
                <w:highlight w:val="none"/>
                <w:lang w:val="en-US" w:eastAsia="zh-CN"/>
              </w:rPr>
            </w:pPr>
            <w:r>
              <w:rPr>
                <w:rFonts w:hint="eastAsia"/>
                <w:color w:val="auto"/>
                <w:sz w:val="21"/>
                <w:szCs w:val="21"/>
                <w:highlight w:val="none"/>
                <w:lang w:val="en-US" w:eastAsia="zh-CN"/>
              </w:rPr>
              <w:t>0.1</w:t>
            </w:r>
          </w:p>
        </w:tc>
      </w:tr>
    </w:tbl>
    <w:p w14:paraId="05D718D7">
      <w:pPr>
        <w:pStyle w:val="97"/>
        <w:spacing w:line="360" w:lineRule="auto"/>
        <w:ind w:left="-105" w:right="-105" w:firstLine="422"/>
        <w:rPr>
          <w:rFonts w:ascii="宋体" w:hAnsi="宋体" w:eastAsia="宋体" w:cs="宋体"/>
          <w:b/>
          <w:color w:val="auto"/>
          <w:sz w:val="21"/>
          <w:szCs w:val="21"/>
          <w:highlight w:val="none"/>
        </w:rPr>
      </w:pPr>
      <w:r>
        <w:rPr>
          <w:rFonts w:hint="eastAsia" w:ascii="宋体" w:hAnsi="宋体" w:eastAsia="宋体" w:cs="宋体"/>
          <w:b/>
          <w:color w:val="auto"/>
          <w:sz w:val="21"/>
          <w:szCs w:val="21"/>
          <w:highlight w:val="none"/>
        </w:rPr>
        <w:t>注：丁酮不在厂内贮存，随买随用。</w:t>
      </w:r>
    </w:p>
    <w:p w14:paraId="02DF172D">
      <w:pPr>
        <w:spacing w:line="360" w:lineRule="auto"/>
        <w:ind w:left="-105" w:right="-105" w:firstLine="480" w:firstLineChars="200"/>
        <w:rPr>
          <w:rFonts w:hint="eastAsia" w:ascii="宋体" w:hAnsi="宋体" w:eastAsia="宋体" w:cs="宋体"/>
          <w:bCs/>
          <w:color w:val="auto"/>
          <w:highlight w:val="none"/>
        </w:rPr>
      </w:pPr>
      <w:r>
        <w:rPr>
          <w:rFonts w:hint="eastAsia" w:ascii="宋体" w:hAnsi="宋体" w:eastAsia="宋体" w:cs="宋体"/>
          <w:bCs/>
          <w:color w:val="auto"/>
          <w:highlight w:val="none"/>
        </w:rPr>
        <w:t>③环保设施风险识别</w:t>
      </w:r>
    </w:p>
    <w:p w14:paraId="3AFF8894">
      <w:pPr>
        <w:pStyle w:val="97"/>
        <w:keepNext w:val="0"/>
        <w:keepLines w:val="0"/>
        <w:pageBreakBefore w:val="0"/>
        <w:widowControl w:val="0"/>
        <w:kinsoku/>
        <w:wordWrap/>
        <w:overflowPunct/>
        <w:topLinePunct w:val="0"/>
        <w:autoSpaceDE/>
        <w:autoSpaceDN/>
        <w:bidi w:val="0"/>
        <w:adjustRightInd/>
        <w:snapToGrid/>
        <w:spacing w:line="360" w:lineRule="auto"/>
        <w:ind w:left="0" w:right="0" w:firstLine="480" w:firstLineChars="200"/>
        <w:textAlignment w:val="auto"/>
        <w:rPr>
          <w:rFonts w:eastAsia="宋体"/>
          <w:bCs/>
          <w:color w:val="auto"/>
          <w:sz w:val="24"/>
          <w:highlight w:val="none"/>
        </w:rPr>
      </w:pPr>
      <w:r>
        <w:rPr>
          <w:rFonts w:eastAsia="宋体"/>
          <w:bCs/>
          <w:color w:val="auto"/>
          <w:sz w:val="24"/>
          <w:highlight w:val="none"/>
        </w:rPr>
        <w:t>本项目涉及的环保设施的风险分析见下表。</w:t>
      </w:r>
    </w:p>
    <w:p w14:paraId="1BD4F8E4">
      <w:pPr>
        <w:pStyle w:val="15"/>
        <w:spacing w:line="360" w:lineRule="auto"/>
        <w:ind w:left="-105" w:right="-105" w:firstLine="482"/>
        <w:rPr>
          <w:rFonts w:eastAsia="宋体"/>
          <w:color w:val="auto"/>
          <w:sz w:val="24"/>
          <w:szCs w:val="24"/>
          <w:highlight w:val="none"/>
        </w:rPr>
      </w:pPr>
      <w:r>
        <w:rPr>
          <w:rFonts w:eastAsia="宋体"/>
          <w:color w:val="auto"/>
          <w:sz w:val="24"/>
          <w:szCs w:val="18"/>
          <w:highlight w:val="none"/>
        </w:rPr>
        <w:t>表</w:t>
      </w:r>
      <w:r>
        <w:rPr>
          <w:rFonts w:eastAsia="宋体"/>
          <w:color w:val="auto"/>
          <w:sz w:val="24"/>
          <w:szCs w:val="18"/>
          <w:highlight w:val="none"/>
        </w:rPr>
        <w:fldChar w:fldCharType="begin"/>
      </w:r>
      <w:r>
        <w:rPr>
          <w:rFonts w:eastAsia="宋体"/>
          <w:color w:val="auto"/>
          <w:sz w:val="24"/>
          <w:szCs w:val="18"/>
          <w:highlight w:val="none"/>
        </w:rPr>
        <w:instrText xml:space="preserve"> STYLEREF 2 \s </w:instrText>
      </w:r>
      <w:r>
        <w:rPr>
          <w:rFonts w:eastAsia="宋体"/>
          <w:color w:val="auto"/>
          <w:sz w:val="24"/>
          <w:szCs w:val="18"/>
          <w:highlight w:val="none"/>
        </w:rPr>
        <w:fldChar w:fldCharType="separate"/>
      </w:r>
      <w:r>
        <w:rPr>
          <w:rFonts w:eastAsia="宋体"/>
          <w:color w:val="auto"/>
          <w:sz w:val="24"/>
          <w:szCs w:val="18"/>
          <w:highlight w:val="none"/>
        </w:rPr>
        <w:t>4.8</w:t>
      </w:r>
      <w:r>
        <w:rPr>
          <w:rFonts w:eastAsia="宋体"/>
          <w:color w:val="auto"/>
          <w:sz w:val="24"/>
          <w:szCs w:val="18"/>
          <w:highlight w:val="none"/>
        </w:rPr>
        <w:fldChar w:fldCharType="end"/>
      </w:r>
      <w:r>
        <w:rPr>
          <w:rFonts w:eastAsia="宋体"/>
          <w:color w:val="auto"/>
          <w:sz w:val="24"/>
          <w:szCs w:val="18"/>
          <w:highlight w:val="none"/>
        </w:rPr>
        <w:noBreakHyphen/>
      </w:r>
      <w:r>
        <w:rPr>
          <w:rFonts w:eastAsia="宋体"/>
          <w:color w:val="auto"/>
          <w:sz w:val="24"/>
          <w:szCs w:val="18"/>
          <w:highlight w:val="none"/>
        </w:rPr>
        <w:fldChar w:fldCharType="begin"/>
      </w:r>
      <w:r>
        <w:rPr>
          <w:rFonts w:eastAsia="宋体"/>
          <w:color w:val="auto"/>
          <w:sz w:val="24"/>
          <w:szCs w:val="18"/>
          <w:highlight w:val="none"/>
        </w:rPr>
        <w:instrText xml:space="preserve"> SEQ 表 \* ARABIC \s 2 </w:instrText>
      </w:r>
      <w:r>
        <w:rPr>
          <w:rFonts w:eastAsia="宋体"/>
          <w:color w:val="auto"/>
          <w:sz w:val="24"/>
          <w:szCs w:val="18"/>
          <w:highlight w:val="none"/>
        </w:rPr>
        <w:fldChar w:fldCharType="separate"/>
      </w:r>
      <w:r>
        <w:rPr>
          <w:rFonts w:eastAsia="宋体"/>
          <w:color w:val="auto"/>
          <w:sz w:val="24"/>
          <w:szCs w:val="18"/>
          <w:highlight w:val="none"/>
        </w:rPr>
        <w:t>4</w:t>
      </w:r>
      <w:r>
        <w:rPr>
          <w:rFonts w:eastAsia="宋体"/>
          <w:color w:val="auto"/>
          <w:sz w:val="24"/>
          <w:szCs w:val="18"/>
          <w:highlight w:val="none"/>
        </w:rPr>
        <w:fldChar w:fldCharType="end"/>
      </w:r>
      <w:r>
        <w:rPr>
          <w:rFonts w:eastAsia="宋体"/>
          <w:color w:val="auto"/>
          <w:sz w:val="24"/>
          <w:szCs w:val="24"/>
          <w:highlight w:val="none"/>
        </w:rPr>
        <w:t>环保设施的主要风险分析</w:t>
      </w:r>
    </w:p>
    <w:tbl>
      <w:tblPr>
        <w:tblStyle w:val="45"/>
        <w:tblW w:w="5000" w:type="pct"/>
        <w:tblInd w:w="0" w:type="dxa"/>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autofit"/>
        <w:tblCellMar>
          <w:top w:w="0" w:type="dxa"/>
          <w:left w:w="108" w:type="dxa"/>
          <w:bottom w:w="0" w:type="dxa"/>
          <w:right w:w="108" w:type="dxa"/>
        </w:tblCellMar>
      </w:tblPr>
      <w:tblGrid>
        <w:gridCol w:w="685"/>
        <w:gridCol w:w="1402"/>
        <w:gridCol w:w="1508"/>
        <w:gridCol w:w="1575"/>
        <w:gridCol w:w="1833"/>
        <w:gridCol w:w="1717"/>
      </w:tblGrid>
      <w:tr w14:paraId="7301A1C0">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blHeader/>
        </w:trPr>
        <w:tc>
          <w:tcPr>
            <w:tcW w:w="668" w:type="dxa"/>
            <w:vAlign w:val="center"/>
          </w:tcPr>
          <w:p w14:paraId="381813BC">
            <w:pPr>
              <w:widowControl w:val="0"/>
              <w:ind w:left="-105" w:right="-105"/>
              <w:jc w:val="center"/>
              <w:rPr>
                <w:rFonts w:ascii="Times New Roman" w:hAnsi="Times New Roman" w:cs="Times New Roman"/>
                <w:b/>
                <w:color w:val="auto"/>
                <w:kern w:val="2"/>
                <w:sz w:val="21"/>
                <w:szCs w:val="15"/>
                <w:highlight w:val="none"/>
              </w:rPr>
            </w:pPr>
            <w:r>
              <w:rPr>
                <w:rFonts w:ascii="Times New Roman" w:hAnsi="Times New Roman" w:cs="Times New Roman"/>
                <w:b/>
                <w:color w:val="auto"/>
                <w:kern w:val="2"/>
                <w:sz w:val="21"/>
                <w:szCs w:val="15"/>
                <w:highlight w:val="none"/>
              </w:rPr>
              <w:t>序号</w:t>
            </w:r>
          </w:p>
        </w:tc>
        <w:tc>
          <w:tcPr>
            <w:tcW w:w="1367" w:type="dxa"/>
            <w:vAlign w:val="center"/>
          </w:tcPr>
          <w:p w14:paraId="0A6687AC">
            <w:pPr>
              <w:widowControl w:val="0"/>
              <w:ind w:left="-105" w:right="-105"/>
              <w:jc w:val="center"/>
              <w:rPr>
                <w:rFonts w:ascii="Times New Roman" w:hAnsi="Times New Roman" w:cs="Times New Roman"/>
                <w:b/>
                <w:color w:val="auto"/>
                <w:kern w:val="2"/>
                <w:sz w:val="21"/>
                <w:szCs w:val="15"/>
                <w:highlight w:val="none"/>
              </w:rPr>
            </w:pPr>
            <w:r>
              <w:rPr>
                <w:rFonts w:ascii="Times New Roman" w:hAnsi="Times New Roman" w:cs="Times New Roman"/>
                <w:b/>
                <w:color w:val="auto"/>
                <w:kern w:val="2"/>
                <w:sz w:val="21"/>
                <w:szCs w:val="15"/>
                <w:highlight w:val="none"/>
              </w:rPr>
              <w:t>环保设施</w:t>
            </w:r>
          </w:p>
        </w:tc>
        <w:tc>
          <w:tcPr>
            <w:tcW w:w="1471" w:type="dxa"/>
            <w:vAlign w:val="center"/>
          </w:tcPr>
          <w:p w14:paraId="68E18EF4">
            <w:pPr>
              <w:widowControl w:val="0"/>
              <w:ind w:left="-105" w:right="-105"/>
              <w:jc w:val="center"/>
              <w:rPr>
                <w:rFonts w:ascii="Times New Roman" w:hAnsi="Times New Roman" w:cs="Times New Roman"/>
                <w:b/>
                <w:color w:val="auto"/>
                <w:kern w:val="2"/>
                <w:sz w:val="21"/>
                <w:szCs w:val="15"/>
                <w:highlight w:val="none"/>
              </w:rPr>
            </w:pPr>
            <w:r>
              <w:rPr>
                <w:rFonts w:ascii="Times New Roman" w:hAnsi="Times New Roman" w:cs="Times New Roman"/>
                <w:b/>
                <w:color w:val="auto"/>
                <w:kern w:val="2"/>
                <w:sz w:val="21"/>
                <w:szCs w:val="15"/>
                <w:highlight w:val="none"/>
              </w:rPr>
              <w:t>主要危险物质</w:t>
            </w:r>
          </w:p>
        </w:tc>
        <w:tc>
          <w:tcPr>
            <w:tcW w:w="1536" w:type="dxa"/>
            <w:vAlign w:val="center"/>
          </w:tcPr>
          <w:p w14:paraId="3E547994">
            <w:pPr>
              <w:widowControl w:val="0"/>
              <w:ind w:left="-105" w:right="-105"/>
              <w:jc w:val="center"/>
              <w:rPr>
                <w:rFonts w:ascii="Times New Roman" w:hAnsi="Times New Roman" w:cs="Times New Roman"/>
                <w:b/>
                <w:color w:val="auto"/>
                <w:kern w:val="2"/>
                <w:sz w:val="21"/>
                <w:szCs w:val="15"/>
                <w:highlight w:val="none"/>
              </w:rPr>
            </w:pPr>
            <w:r>
              <w:rPr>
                <w:rFonts w:ascii="Times New Roman" w:hAnsi="Times New Roman" w:cs="Times New Roman"/>
                <w:b/>
                <w:color w:val="auto"/>
                <w:kern w:val="2"/>
                <w:sz w:val="21"/>
                <w:szCs w:val="21"/>
                <w:highlight w:val="none"/>
              </w:rPr>
              <w:t>转化为事故的触发因素</w:t>
            </w:r>
          </w:p>
        </w:tc>
        <w:tc>
          <w:tcPr>
            <w:tcW w:w="1788" w:type="dxa"/>
            <w:vAlign w:val="center"/>
          </w:tcPr>
          <w:p w14:paraId="5F89E3B0">
            <w:pPr>
              <w:widowControl w:val="0"/>
              <w:ind w:left="-105" w:right="-105"/>
              <w:jc w:val="center"/>
              <w:rPr>
                <w:rFonts w:ascii="Times New Roman" w:hAnsi="Times New Roman" w:cs="Times New Roman"/>
                <w:b/>
                <w:color w:val="auto"/>
                <w:kern w:val="2"/>
                <w:sz w:val="21"/>
                <w:szCs w:val="15"/>
                <w:highlight w:val="none"/>
              </w:rPr>
            </w:pPr>
            <w:r>
              <w:rPr>
                <w:rFonts w:ascii="Times New Roman" w:hAnsi="Times New Roman" w:cs="Times New Roman"/>
                <w:b/>
                <w:color w:val="auto"/>
                <w:kern w:val="2"/>
                <w:sz w:val="21"/>
                <w:szCs w:val="15"/>
                <w:highlight w:val="none"/>
              </w:rPr>
              <w:t>环境风险类型</w:t>
            </w:r>
          </w:p>
        </w:tc>
        <w:tc>
          <w:tcPr>
            <w:tcW w:w="1674" w:type="dxa"/>
            <w:vAlign w:val="center"/>
          </w:tcPr>
          <w:p w14:paraId="3723B32D">
            <w:pPr>
              <w:widowControl w:val="0"/>
              <w:ind w:left="-105" w:right="-105"/>
              <w:jc w:val="center"/>
              <w:rPr>
                <w:rFonts w:ascii="Times New Roman" w:hAnsi="Times New Roman" w:cs="Times New Roman"/>
                <w:b/>
                <w:color w:val="auto"/>
                <w:kern w:val="2"/>
                <w:sz w:val="21"/>
                <w:szCs w:val="15"/>
                <w:highlight w:val="none"/>
              </w:rPr>
            </w:pPr>
            <w:r>
              <w:rPr>
                <w:rFonts w:ascii="Times New Roman" w:hAnsi="Times New Roman" w:cs="Times New Roman"/>
                <w:b/>
                <w:color w:val="auto"/>
                <w:kern w:val="2"/>
                <w:sz w:val="21"/>
                <w:szCs w:val="21"/>
                <w:highlight w:val="none"/>
              </w:rPr>
              <w:t>危险物质最大存在量（t）</w:t>
            </w:r>
          </w:p>
        </w:tc>
      </w:tr>
      <w:tr w14:paraId="201187A6">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c>
          <w:tcPr>
            <w:tcW w:w="668" w:type="dxa"/>
            <w:vAlign w:val="center"/>
          </w:tcPr>
          <w:p w14:paraId="1A17C372">
            <w:pPr>
              <w:widowControl w:val="0"/>
              <w:numPr>
                <w:ilvl w:val="0"/>
                <w:numId w:val="25"/>
              </w:numPr>
              <w:ind w:left="-105" w:right="-105"/>
              <w:jc w:val="center"/>
              <w:rPr>
                <w:rFonts w:ascii="Times New Roman" w:hAnsi="Times New Roman" w:cs="Times New Roman"/>
                <w:bCs/>
                <w:color w:val="auto"/>
                <w:kern w:val="2"/>
                <w:sz w:val="21"/>
                <w:szCs w:val="21"/>
                <w:highlight w:val="none"/>
              </w:rPr>
            </w:pPr>
          </w:p>
        </w:tc>
        <w:tc>
          <w:tcPr>
            <w:tcW w:w="1367" w:type="dxa"/>
            <w:vAlign w:val="center"/>
          </w:tcPr>
          <w:p w14:paraId="4BF54149">
            <w:pPr>
              <w:widowControl w:val="0"/>
              <w:ind w:left="-105" w:right="-105"/>
              <w:jc w:val="center"/>
              <w:rPr>
                <w:rFonts w:ascii="Times New Roman" w:hAnsi="Times New Roman" w:cs="Times New Roman"/>
                <w:bCs/>
                <w:color w:val="auto"/>
                <w:kern w:val="2"/>
                <w:sz w:val="21"/>
                <w:szCs w:val="21"/>
                <w:highlight w:val="none"/>
              </w:rPr>
            </w:pPr>
            <w:r>
              <w:rPr>
                <w:rFonts w:hint="eastAsia" w:ascii="Times New Roman" w:hAnsi="Times New Roman"/>
                <w:color w:val="auto"/>
                <w:sz w:val="21"/>
                <w:szCs w:val="21"/>
                <w:highlight w:val="none"/>
              </w:rPr>
              <w:t>3级碱液喷淋+二级活性炭吸附装置</w:t>
            </w:r>
          </w:p>
        </w:tc>
        <w:tc>
          <w:tcPr>
            <w:tcW w:w="1471" w:type="dxa"/>
            <w:vAlign w:val="center"/>
          </w:tcPr>
          <w:p w14:paraId="2075B540">
            <w:pPr>
              <w:widowControl w:val="0"/>
              <w:ind w:left="-105" w:right="-105"/>
              <w:jc w:val="center"/>
              <w:rPr>
                <w:rFonts w:ascii="Times New Roman" w:hAnsi="Times New Roman" w:cs="Times New Roman"/>
                <w:bCs/>
                <w:color w:val="auto"/>
                <w:kern w:val="2"/>
                <w:sz w:val="21"/>
                <w:szCs w:val="21"/>
                <w:highlight w:val="none"/>
              </w:rPr>
            </w:pPr>
            <w:r>
              <w:rPr>
                <w:rFonts w:ascii="Times New Roman" w:hAnsi="Times New Roman" w:cs="Times New Roman"/>
                <w:bCs/>
                <w:color w:val="auto"/>
                <w:kern w:val="2"/>
                <w:sz w:val="21"/>
                <w:szCs w:val="21"/>
                <w:highlight w:val="none"/>
              </w:rPr>
              <w:t>非甲烷总烃</w:t>
            </w:r>
          </w:p>
        </w:tc>
        <w:tc>
          <w:tcPr>
            <w:tcW w:w="1536" w:type="dxa"/>
            <w:vAlign w:val="center"/>
          </w:tcPr>
          <w:p w14:paraId="5C2B1632">
            <w:pPr>
              <w:widowControl w:val="0"/>
              <w:ind w:left="-105" w:right="-105"/>
              <w:jc w:val="center"/>
              <w:rPr>
                <w:rFonts w:ascii="Times New Roman" w:hAnsi="Times New Roman" w:cs="Times New Roman"/>
                <w:bCs/>
                <w:color w:val="auto"/>
                <w:kern w:val="2"/>
                <w:sz w:val="21"/>
                <w:szCs w:val="21"/>
                <w:highlight w:val="none"/>
              </w:rPr>
            </w:pPr>
            <w:r>
              <w:rPr>
                <w:rFonts w:ascii="Times New Roman" w:hAnsi="Times New Roman" w:cs="Times New Roman"/>
                <w:bCs/>
                <w:color w:val="auto"/>
                <w:kern w:val="2"/>
                <w:sz w:val="21"/>
                <w:szCs w:val="21"/>
                <w:highlight w:val="none"/>
              </w:rPr>
              <w:t>违规操作、设备异常</w:t>
            </w:r>
          </w:p>
        </w:tc>
        <w:tc>
          <w:tcPr>
            <w:tcW w:w="1788" w:type="dxa"/>
            <w:vAlign w:val="center"/>
          </w:tcPr>
          <w:p w14:paraId="1A8DD843">
            <w:pPr>
              <w:widowControl w:val="0"/>
              <w:ind w:left="-105" w:right="-105"/>
              <w:jc w:val="center"/>
              <w:rPr>
                <w:rFonts w:ascii="Times New Roman" w:hAnsi="Times New Roman" w:cs="Times New Roman"/>
                <w:bCs/>
                <w:color w:val="auto"/>
                <w:kern w:val="2"/>
                <w:sz w:val="21"/>
                <w:szCs w:val="21"/>
                <w:highlight w:val="none"/>
              </w:rPr>
            </w:pPr>
            <w:r>
              <w:rPr>
                <w:rFonts w:ascii="Times New Roman" w:hAnsi="Times New Roman" w:cs="Times New Roman"/>
                <w:bCs/>
                <w:color w:val="auto"/>
                <w:kern w:val="2"/>
                <w:sz w:val="21"/>
                <w:szCs w:val="21"/>
                <w:highlight w:val="none"/>
              </w:rPr>
              <w:t>泄漏</w:t>
            </w:r>
            <w:r>
              <w:rPr>
                <w:rFonts w:ascii="Times New Roman" w:hAnsi="Times New Roman" w:cs="Times New Roman"/>
                <w:bCs/>
                <w:color w:val="auto"/>
                <w:sz w:val="21"/>
                <w:szCs w:val="18"/>
                <w:highlight w:val="none"/>
              </w:rPr>
              <w:t>、火灾</w:t>
            </w:r>
          </w:p>
        </w:tc>
        <w:tc>
          <w:tcPr>
            <w:tcW w:w="1674" w:type="dxa"/>
            <w:vAlign w:val="center"/>
          </w:tcPr>
          <w:p w14:paraId="27AC824D">
            <w:pPr>
              <w:widowControl w:val="0"/>
              <w:ind w:left="-105" w:right="-105"/>
              <w:jc w:val="center"/>
              <w:rPr>
                <w:rFonts w:ascii="Times New Roman" w:hAnsi="Times New Roman" w:cs="Times New Roman"/>
                <w:bCs/>
                <w:color w:val="auto"/>
                <w:kern w:val="2"/>
                <w:sz w:val="21"/>
                <w:szCs w:val="21"/>
                <w:highlight w:val="none"/>
              </w:rPr>
            </w:pPr>
            <w:r>
              <w:rPr>
                <w:rFonts w:ascii="Times New Roman" w:hAnsi="Times New Roman" w:cs="Times New Roman"/>
                <w:bCs/>
                <w:color w:val="auto"/>
                <w:kern w:val="2"/>
                <w:sz w:val="21"/>
                <w:szCs w:val="21"/>
                <w:highlight w:val="none"/>
              </w:rPr>
              <w:t>/</w:t>
            </w:r>
          </w:p>
        </w:tc>
      </w:tr>
      <w:tr w14:paraId="50A7FE89">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c>
          <w:tcPr>
            <w:tcW w:w="668" w:type="dxa"/>
            <w:vAlign w:val="center"/>
          </w:tcPr>
          <w:p w14:paraId="565A3D22">
            <w:pPr>
              <w:widowControl w:val="0"/>
              <w:numPr>
                <w:ilvl w:val="0"/>
                <w:numId w:val="25"/>
              </w:numPr>
              <w:ind w:left="-105" w:right="-105"/>
              <w:jc w:val="center"/>
              <w:rPr>
                <w:rFonts w:ascii="Times New Roman" w:hAnsi="Times New Roman" w:cs="Times New Roman"/>
                <w:bCs/>
                <w:color w:val="auto"/>
                <w:kern w:val="2"/>
                <w:sz w:val="21"/>
                <w:szCs w:val="21"/>
                <w:highlight w:val="none"/>
              </w:rPr>
            </w:pPr>
          </w:p>
        </w:tc>
        <w:tc>
          <w:tcPr>
            <w:tcW w:w="1367" w:type="dxa"/>
            <w:vAlign w:val="center"/>
          </w:tcPr>
          <w:p w14:paraId="3F1870E5">
            <w:pPr>
              <w:widowControl w:val="0"/>
              <w:ind w:left="-105" w:right="-105"/>
              <w:jc w:val="center"/>
              <w:rPr>
                <w:rFonts w:ascii="Times New Roman" w:hAnsi="Times New Roman" w:cs="Times New Roman"/>
                <w:bCs/>
                <w:color w:val="auto"/>
                <w:kern w:val="2"/>
                <w:sz w:val="21"/>
                <w:szCs w:val="21"/>
                <w:highlight w:val="none"/>
              </w:rPr>
            </w:pPr>
            <w:r>
              <w:rPr>
                <w:rFonts w:hint="eastAsia" w:ascii="Times New Roman" w:hAnsi="Times New Roman" w:cs="Times New Roman"/>
                <w:bCs/>
                <w:color w:val="auto"/>
                <w:kern w:val="2"/>
                <w:sz w:val="21"/>
                <w:szCs w:val="21"/>
                <w:highlight w:val="none"/>
              </w:rPr>
              <w:t>二级活性炭吸附装置</w:t>
            </w:r>
          </w:p>
        </w:tc>
        <w:tc>
          <w:tcPr>
            <w:tcW w:w="1471" w:type="dxa"/>
            <w:vAlign w:val="center"/>
          </w:tcPr>
          <w:p w14:paraId="692FA929">
            <w:pPr>
              <w:widowControl w:val="0"/>
              <w:ind w:left="-105" w:right="-105"/>
              <w:jc w:val="center"/>
              <w:rPr>
                <w:rFonts w:ascii="Times New Roman" w:hAnsi="Times New Roman" w:cs="Times New Roman"/>
                <w:bCs/>
                <w:color w:val="auto"/>
                <w:kern w:val="2"/>
                <w:sz w:val="21"/>
                <w:szCs w:val="21"/>
                <w:highlight w:val="none"/>
              </w:rPr>
            </w:pPr>
            <w:r>
              <w:rPr>
                <w:rFonts w:ascii="Times New Roman" w:hAnsi="Times New Roman" w:cs="Times New Roman"/>
                <w:bCs/>
                <w:color w:val="auto"/>
                <w:kern w:val="2"/>
                <w:sz w:val="21"/>
                <w:szCs w:val="21"/>
                <w:highlight w:val="none"/>
              </w:rPr>
              <w:t>非甲烷总烃</w:t>
            </w:r>
            <w:r>
              <w:rPr>
                <w:rFonts w:hint="eastAsia" w:ascii="Times New Roman" w:hAnsi="Times New Roman" w:cs="Times New Roman"/>
                <w:bCs/>
                <w:color w:val="auto"/>
                <w:kern w:val="2"/>
                <w:sz w:val="21"/>
                <w:szCs w:val="21"/>
                <w:highlight w:val="none"/>
              </w:rPr>
              <w:t>、氮氧化物</w:t>
            </w:r>
          </w:p>
        </w:tc>
        <w:tc>
          <w:tcPr>
            <w:tcW w:w="1536" w:type="dxa"/>
            <w:vAlign w:val="center"/>
          </w:tcPr>
          <w:p w14:paraId="5E48C386">
            <w:pPr>
              <w:widowControl w:val="0"/>
              <w:ind w:left="-105" w:right="-105"/>
              <w:jc w:val="center"/>
              <w:rPr>
                <w:rFonts w:ascii="Times New Roman" w:hAnsi="Times New Roman" w:cs="Times New Roman"/>
                <w:bCs/>
                <w:color w:val="auto"/>
                <w:kern w:val="2"/>
                <w:sz w:val="21"/>
                <w:szCs w:val="21"/>
                <w:highlight w:val="none"/>
              </w:rPr>
            </w:pPr>
            <w:r>
              <w:rPr>
                <w:rFonts w:ascii="Times New Roman" w:hAnsi="Times New Roman" w:cs="Times New Roman"/>
                <w:bCs/>
                <w:color w:val="auto"/>
                <w:kern w:val="2"/>
                <w:sz w:val="21"/>
                <w:szCs w:val="21"/>
                <w:highlight w:val="none"/>
              </w:rPr>
              <w:t>违规操作、设备异常、高温、明火</w:t>
            </w:r>
          </w:p>
        </w:tc>
        <w:tc>
          <w:tcPr>
            <w:tcW w:w="1788" w:type="dxa"/>
            <w:vAlign w:val="center"/>
          </w:tcPr>
          <w:p w14:paraId="27430A78">
            <w:pPr>
              <w:widowControl w:val="0"/>
              <w:ind w:left="-105" w:right="-105"/>
              <w:jc w:val="center"/>
              <w:rPr>
                <w:rFonts w:ascii="Times New Roman" w:hAnsi="Times New Roman" w:cs="Times New Roman"/>
                <w:bCs/>
                <w:color w:val="auto"/>
                <w:kern w:val="2"/>
                <w:sz w:val="21"/>
                <w:szCs w:val="21"/>
                <w:highlight w:val="none"/>
              </w:rPr>
            </w:pPr>
            <w:r>
              <w:rPr>
                <w:rFonts w:ascii="Times New Roman" w:hAnsi="Times New Roman" w:cs="Times New Roman"/>
                <w:bCs/>
                <w:color w:val="auto"/>
                <w:kern w:val="2"/>
                <w:sz w:val="21"/>
                <w:szCs w:val="21"/>
                <w:highlight w:val="none"/>
              </w:rPr>
              <w:t>泄漏、火灾</w:t>
            </w:r>
          </w:p>
        </w:tc>
        <w:tc>
          <w:tcPr>
            <w:tcW w:w="1674" w:type="dxa"/>
            <w:vAlign w:val="center"/>
          </w:tcPr>
          <w:p w14:paraId="517BD722">
            <w:pPr>
              <w:widowControl w:val="0"/>
              <w:ind w:left="-105" w:right="-105"/>
              <w:jc w:val="center"/>
              <w:rPr>
                <w:rFonts w:ascii="Times New Roman" w:hAnsi="Times New Roman" w:cs="Times New Roman"/>
                <w:bCs/>
                <w:color w:val="auto"/>
                <w:kern w:val="2"/>
                <w:sz w:val="21"/>
                <w:szCs w:val="21"/>
                <w:highlight w:val="none"/>
              </w:rPr>
            </w:pPr>
            <w:r>
              <w:rPr>
                <w:rFonts w:ascii="Times New Roman" w:hAnsi="Times New Roman" w:cs="Times New Roman"/>
                <w:bCs/>
                <w:color w:val="auto"/>
                <w:kern w:val="2"/>
                <w:sz w:val="21"/>
                <w:szCs w:val="21"/>
                <w:highlight w:val="none"/>
              </w:rPr>
              <w:t>/</w:t>
            </w:r>
          </w:p>
        </w:tc>
      </w:tr>
    </w:tbl>
    <w:p w14:paraId="0CFA33A5">
      <w:pPr>
        <w:pStyle w:val="5"/>
        <w:keepLines w:val="0"/>
        <w:numPr>
          <w:ilvl w:val="2"/>
          <w:numId w:val="6"/>
        </w:numPr>
        <w:tabs>
          <w:tab w:val="left" w:pos="141"/>
          <w:tab w:val="left" w:pos="567"/>
          <w:tab w:val="left" w:pos="709"/>
        </w:tabs>
        <w:spacing w:before="120" w:beforeLines="50" w:after="120" w:afterLines="50" w:line="360" w:lineRule="auto"/>
        <w:ind w:left="-105" w:right="-105"/>
        <w:rPr>
          <w:rFonts w:eastAsia="宋体"/>
          <w:color w:val="auto"/>
          <w:sz w:val="28"/>
          <w:szCs w:val="28"/>
          <w:highlight w:val="none"/>
        </w:rPr>
      </w:pPr>
      <w:r>
        <w:rPr>
          <w:rFonts w:eastAsia="宋体"/>
          <w:color w:val="auto"/>
          <w:sz w:val="28"/>
          <w:szCs w:val="28"/>
          <w:highlight w:val="none"/>
        </w:rPr>
        <w:t>环境风险识别</w:t>
      </w:r>
    </w:p>
    <w:p w14:paraId="345DA49C">
      <w:pPr>
        <w:pStyle w:val="97"/>
        <w:spacing w:line="360" w:lineRule="auto"/>
        <w:ind w:left="-105" w:right="-105" w:firstLine="480"/>
        <w:rPr>
          <w:rFonts w:eastAsia="宋体"/>
          <w:bCs/>
          <w:color w:val="auto"/>
          <w:sz w:val="24"/>
          <w:highlight w:val="none"/>
        </w:rPr>
      </w:pPr>
      <w:r>
        <w:rPr>
          <w:rFonts w:eastAsia="宋体"/>
          <w:bCs/>
          <w:color w:val="auto"/>
          <w:sz w:val="24"/>
          <w:highlight w:val="none"/>
        </w:rPr>
        <w:t>根据上文识别后，本项目环境风险识别内容见下表。</w:t>
      </w:r>
    </w:p>
    <w:p w14:paraId="52951A18">
      <w:pPr>
        <w:pStyle w:val="97"/>
        <w:spacing w:line="360" w:lineRule="auto"/>
        <w:ind w:left="-105" w:right="-105" w:firstLine="0" w:firstLineChars="0"/>
        <w:jc w:val="center"/>
        <w:rPr>
          <w:rFonts w:eastAsia="宋体"/>
          <w:b/>
          <w:bCs/>
          <w:color w:val="auto"/>
          <w:sz w:val="24"/>
          <w:highlight w:val="none"/>
        </w:rPr>
      </w:pPr>
      <w:bookmarkStart w:id="253" w:name="_Ref1601"/>
      <w:r>
        <w:rPr>
          <w:rFonts w:eastAsia="宋体"/>
          <w:b/>
          <w:bCs/>
          <w:color w:val="auto"/>
          <w:sz w:val="24"/>
          <w:szCs w:val="18"/>
          <w:highlight w:val="none"/>
        </w:rPr>
        <w:t>表</w:t>
      </w:r>
      <w:r>
        <w:rPr>
          <w:rFonts w:eastAsia="宋体"/>
          <w:b/>
          <w:bCs/>
          <w:color w:val="auto"/>
          <w:sz w:val="24"/>
          <w:szCs w:val="18"/>
          <w:highlight w:val="none"/>
        </w:rPr>
        <w:fldChar w:fldCharType="begin"/>
      </w:r>
      <w:r>
        <w:rPr>
          <w:rFonts w:eastAsia="宋体"/>
          <w:b/>
          <w:bCs/>
          <w:color w:val="auto"/>
          <w:sz w:val="24"/>
          <w:szCs w:val="18"/>
          <w:highlight w:val="none"/>
        </w:rPr>
        <w:instrText xml:space="preserve"> STYLEREF 2 \s </w:instrText>
      </w:r>
      <w:r>
        <w:rPr>
          <w:rFonts w:eastAsia="宋体"/>
          <w:b/>
          <w:bCs/>
          <w:color w:val="auto"/>
          <w:sz w:val="24"/>
          <w:szCs w:val="18"/>
          <w:highlight w:val="none"/>
        </w:rPr>
        <w:fldChar w:fldCharType="separate"/>
      </w:r>
      <w:r>
        <w:rPr>
          <w:rFonts w:eastAsia="宋体"/>
          <w:b/>
          <w:bCs/>
          <w:color w:val="auto"/>
          <w:sz w:val="24"/>
          <w:szCs w:val="18"/>
          <w:highlight w:val="none"/>
        </w:rPr>
        <w:t>4.8</w:t>
      </w:r>
      <w:r>
        <w:rPr>
          <w:rFonts w:eastAsia="宋体"/>
          <w:b/>
          <w:bCs/>
          <w:color w:val="auto"/>
          <w:sz w:val="24"/>
          <w:szCs w:val="18"/>
          <w:highlight w:val="none"/>
        </w:rPr>
        <w:fldChar w:fldCharType="end"/>
      </w:r>
      <w:r>
        <w:rPr>
          <w:rFonts w:eastAsia="宋体"/>
          <w:b/>
          <w:bCs/>
          <w:color w:val="auto"/>
          <w:sz w:val="24"/>
          <w:szCs w:val="18"/>
          <w:highlight w:val="none"/>
        </w:rPr>
        <w:noBreakHyphen/>
      </w:r>
      <w:r>
        <w:rPr>
          <w:rFonts w:eastAsia="宋体"/>
          <w:b/>
          <w:bCs/>
          <w:color w:val="auto"/>
          <w:sz w:val="24"/>
          <w:szCs w:val="18"/>
          <w:highlight w:val="none"/>
        </w:rPr>
        <w:fldChar w:fldCharType="begin"/>
      </w:r>
      <w:r>
        <w:rPr>
          <w:rFonts w:eastAsia="宋体"/>
          <w:b/>
          <w:bCs/>
          <w:color w:val="auto"/>
          <w:sz w:val="24"/>
          <w:szCs w:val="18"/>
          <w:highlight w:val="none"/>
        </w:rPr>
        <w:instrText xml:space="preserve"> SEQ 表 \* ARABIC \s 2 </w:instrText>
      </w:r>
      <w:r>
        <w:rPr>
          <w:rFonts w:eastAsia="宋体"/>
          <w:b/>
          <w:bCs/>
          <w:color w:val="auto"/>
          <w:sz w:val="24"/>
          <w:szCs w:val="18"/>
          <w:highlight w:val="none"/>
        </w:rPr>
        <w:fldChar w:fldCharType="separate"/>
      </w:r>
      <w:r>
        <w:rPr>
          <w:rFonts w:eastAsia="宋体"/>
          <w:b/>
          <w:bCs/>
          <w:color w:val="auto"/>
          <w:sz w:val="24"/>
          <w:szCs w:val="18"/>
          <w:highlight w:val="none"/>
        </w:rPr>
        <w:t>5</w:t>
      </w:r>
      <w:r>
        <w:rPr>
          <w:rFonts w:eastAsia="宋体"/>
          <w:b/>
          <w:bCs/>
          <w:color w:val="auto"/>
          <w:sz w:val="24"/>
          <w:szCs w:val="18"/>
          <w:highlight w:val="none"/>
        </w:rPr>
        <w:fldChar w:fldCharType="end"/>
      </w:r>
      <w:bookmarkEnd w:id="253"/>
      <w:r>
        <w:rPr>
          <w:rFonts w:eastAsia="宋体"/>
          <w:b/>
          <w:bCs/>
          <w:color w:val="auto"/>
          <w:sz w:val="24"/>
          <w:highlight w:val="none"/>
        </w:rPr>
        <w:t>本项目环境风险识别表</w:t>
      </w:r>
    </w:p>
    <w:tbl>
      <w:tblPr>
        <w:tblStyle w:val="45"/>
        <w:tblW w:w="5112"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659"/>
        <w:gridCol w:w="824"/>
        <w:gridCol w:w="975"/>
        <w:gridCol w:w="1330"/>
        <w:gridCol w:w="855"/>
        <w:gridCol w:w="2059"/>
        <w:gridCol w:w="1195"/>
        <w:gridCol w:w="797"/>
      </w:tblGrid>
      <w:tr w14:paraId="6547CEF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tblHeader/>
          <w:jc w:val="center"/>
        </w:trPr>
        <w:tc>
          <w:tcPr>
            <w:tcW w:w="660" w:type="dxa"/>
            <w:shd w:val="clear" w:color="auto" w:fill="FFFFFF"/>
            <w:vAlign w:val="center"/>
          </w:tcPr>
          <w:p w14:paraId="32D9D3A2">
            <w:pPr>
              <w:keepNext w:val="0"/>
              <w:keepLines w:val="0"/>
              <w:pageBreakBefore w:val="0"/>
              <w:kinsoku/>
              <w:wordWrap/>
              <w:overflowPunct/>
              <w:topLinePunct w:val="0"/>
              <w:autoSpaceDE/>
              <w:autoSpaceDN/>
              <w:bidi w:val="0"/>
              <w:adjustRightInd/>
              <w:snapToGrid/>
              <w:ind w:left="0" w:right="0"/>
              <w:jc w:val="center"/>
              <w:textAlignment w:val="auto"/>
              <w:rPr>
                <w:rFonts w:ascii="Times New Roman" w:hAnsi="Times New Roman" w:cs="Times New Roman"/>
                <w:b/>
                <w:color w:val="auto"/>
                <w:sz w:val="21"/>
                <w:szCs w:val="18"/>
                <w:highlight w:val="none"/>
              </w:rPr>
            </w:pPr>
            <w:r>
              <w:rPr>
                <w:rFonts w:ascii="Times New Roman" w:hAnsi="Times New Roman" w:cs="Times New Roman"/>
                <w:b/>
                <w:color w:val="auto"/>
                <w:sz w:val="21"/>
                <w:szCs w:val="18"/>
                <w:highlight w:val="none"/>
              </w:rPr>
              <w:t>序号</w:t>
            </w:r>
          </w:p>
        </w:tc>
        <w:tc>
          <w:tcPr>
            <w:tcW w:w="824" w:type="dxa"/>
            <w:shd w:val="clear" w:color="auto" w:fill="FFFFFF"/>
            <w:vAlign w:val="center"/>
          </w:tcPr>
          <w:p w14:paraId="57E86A62">
            <w:pPr>
              <w:keepNext w:val="0"/>
              <w:keepLines w:val="0"/>
              <w:pageBreakBefore w:val="0"/>
              <w:kinsoku/>
              <w:wordWrap/>
              <w:overflowPunct/>
              <w:topLinePunct w:val="0"/>
              <w:autoSpaceDE/>
              <w:autoSpaceDN/>
              <w:bidi w:val="0"/>
              <w:adjustRightInd/>
              <w:snapToGrid/>
              <w:ind w:left="0" w:right="0"/>
              <w:jc w:val="center"/>
              <w:textAlignment w:val="auto"/>
              <w:rPr>
                <w:rFonts w:ascii="Times New Roman" w:hAnsi="Times New Roman" w:cs="Times New Roman"/>
                <w:b/>
                <w:color w:val="auto"/>
                <w:sz w:val="21"/>
                <w:szCs w:val="18"/>
                <w:highlight w:val="none"/>
              </w:rPr>
            </w:pPr>
            <w:r>
              <w:rPr>
                <w:rFonts w:ascii="Times New Roman" w:hAnsi="Times New Roman" w:cs="Times New Roman"/>
                <w:b/>
                <w:color w:val="auto"/>
                <w:sz w:val="21"/>
                <w:szCs w:val="18"/>
                <w:highlight w:val="none"/>
              </w:rPr>
              <w:t>风险源</w:t>
            </w:r>
          </w:p>
        </w:tc>
        <w:tc>
          <w:tcPr>
            <w:tcW w:w="975" w:type="dxa"/>
            <w:shd w:val="clear" w:color="auto" w:fill="FFFFFF"/>
            <w:vAlign w:val="center"/>
          </w:tcPr>
          <w:p w14:paraId="59B8BAB7">
            <w:pPr>
              <w:keepNext w:val="0"/>
              <w:keepLines w:val="0"/>
              <w:pageBreakBefore w:val="0"/>
              <w:kinsoku/>
              <w:wordWrap/>
              <w:overflowPunct/>
              <w:topLinePunct w:val="0"/>
              <w:autoSpaceDE/>
              <w:autoSpaceDN/>
              <w:bidi w:val="0"/>
              <w:adjustRightInd/>
              <w:snapToGrid/>
              <w:ind w:left="0" w:right="0"/>
              <w:jc w:val="center"/>
              <w:textAlignment w:val="auto"/>
              <w:rPr>
                <w:rFonts w:ascii="Times New Roman" w:hAnsi="Times New Roman" w:cs="Times New Roman"/>
                <w:b/>
                <w:color w:val="auto"/>
                <w:sz w:val="21"/>
                <w:szCs w:val="18"/>
                <w:highlight w:val="none"/>
              </w:rPr>
            </w:pPr>
            <w:r>
              <w:rPr>
                <w:rFonts w:ascii="Times New Roman" w:hAnsi="Times New Roman" w:cs="Times New Roman"/>
                <w:b/>
                <w:color w:val="auto"/>
                <w:sz w:val="21"/>
                <w:szCs w:val="18"/>
                <w:highlight w:val="none"/>
              </w:rPr>
              <w:t>危险单元</w:t>
            </w:r>
          </w:p>
        </w:tc>
        <w:tc>
          <w:tcPr>
            <w:tcW w:w="1330" w:type="dxa"/>
            <w:shd w:val="clear" w:color="auto" w:fill="FFFFFF"/>
            <w:vAlign w:val="center"/>
          </w:tcPr>
          <w:p w14:paraId="4AA103DE">
            <w:pPr>
              <w:keepNext w:val="0"/>
              <w:keepLines w:val="0"/>
              <w:pageBreakBefore w:val="0"/>
              <w:kinsoku/>
              <w:wordWrap/>
              <w:overflowPunct/>
              <w:topLinePunct w:val="0"/>
              <w:autoSpaceDE/>
              <w:autoSpaceDN/>
              <w:bidi w:val="0"/>
              <w:adjustRightInd/>
              <w:snapToGrid/>
              <w:ind w:left="0" w:right="0"/>
              <w:jc w:val="center"/>
              <w:textAlignment w:val="auto"/>
              <w:rPr>
                <w:rFonts w:ascii="Times New Roman" w:hAnsi="Times New Roman" w:cs="Times New Roman"/>
                <w:b/>
                <w:color w:val="auto"/>
                <w:sz w:val="21"/>
                <w:szCs w:val="18"/>
                <w:highlight w:val="none"/>
              </w:rPr>
            </w:pPr>
            <w:r>
              <w:rPr>
                <w:rFonts w:ascii="Times New Roman" w:hAnsi="Times New Roman" w:cs="Times New Roman"/>
                <w:b/>
                <w:color w:val="auto"/>
                <w:sz w:val="21"/>
                <w:szCs w:val="18"/>
                <w:highlight w:val="none"/>
              </w:rPr>
              <w:t>主要危险物质</w:t>
            </w:r>
          </w:p>
        </w:tc>
        <w:tc>
          <w:tcPr>
            <w:tcW w:w="855" w:type="dxa"/>
            <w:shd w:val="clear" w:color="auto" w:fill="FFFFFF"/>
            <w:vAlign w:val="center"/>
          </w:tcPr>
          <w:p w14:paraId="441237DD">
            <w:pPr>
              <w:keepNext w:val="0"/>
              <w:keepLines w:val="0"/>
              <w:pageBreakBefore w:val="0"/>
              <w:kinsoku/>
              <w:wordWrap/>
              <w:overflowPunct/>
              <w:topLinePunct w:val="0"/>
              <w:autoSpaceDE/>
              <w:autoSpaceDN/>
              <w:bidi w:val="0"/>
              <w:adjustRightInd/>
              <w:snapToGrid/>
              <w:ind w:left="0" w:right="0"/>
              <w:jc w:val="center"/>
              <w:textAlignment w:val="auto"/>
              <w:rPr>
                <w:rFonts w:ascii="Times New Roman" w:hAnsi="Times New Roman" w:cs="Times New Roman"/>
                <w:b/>
                <w:color w:val="auto"/>
                <w:sz w:val="21"/>
                <w:szCs w:val="18"/>
                <w:highlight w:val="none"/>
              </w:rPr>
            </w:pPr>
            <w:r>
              <w:rPr>
                <w:rFonts w:ascii="Times New Roman" w:hAnsi="Times New Roman" w:cs="Times New Roman"/>
                <w:b/>
                <w:color w:val="auto"/>
                <w:sz w:val="21"/>
                <w:szCs w:val="18"/>
                <w:highlight w:val="none"/>
              </w:rPr>
              <w:t>环境风险类型</w:t>
            </w:r>
          </w:p>
        </w:tc>
        <w:tc>
          <w:tcPr>
            <w:tcW w:w="2059" w:type="dxa"/>
            <w:shd w:val="clear" w:color="auto" w:fill="FFFFFF"/>
            <w:vAlign w:val="center"/>
          </w:tcPr>
          <w:p w14:paraId="26E6813F">
            <w:pPr>
              <w:keepNext w:val="0"/>
              <w:keepLines w:val="0"/>
              <w:pageBreakBefore w:val="0"/>
              <w:kinsoku/>
              <w:wordWrap/>
              <w:overflowPunct/>
              <w:topLinePunct w:val="0"/>
              <w:autoSpaceDE/>
              <w:autoSpaceDN/>
              <w:bidi w:val="0"/>
              <w:adjustRightInd/>
              <w:snapToGrid/>
              <w:ind w:left="0" w:right="0"/>
              <w:jc w:val="center"/>
              <w:textAlignment w:val="auto"/>
              <w:rPr>
                <w:rFonts w:ascii="Times New Roman" w:hAnsi="Times New Roman" w:cs="Times New Roman"/>
                <w:b/>
                <w:color w:val="auto"/>
                <w:sz w:val="21"/>
                <w:szCs w:val="18"/>
                <w:highlight w:val="none"/>
              </w:rPr>
            </w:pPr>
            <w:r>
              <w:rPr>
                <w:rFonts w:ascii="Times New Roman" w:hAnsi="Times New Roman" w:cs="Times New Roman"/>
                <w:b/>
                <w:color w:val="auto"/>
                <w:sz w:val="21"/>
                <w:szCs w:val="18"/>
                <w:highlight w:val="none"/>
              </w:rPr>
              <w:t>环境影响途径</w:t>
            </w:r>
          </w:p>
        </w:tc>
        <w:tc>
          <w:tcPr>
            <w:tcW w:w="1195" w:type="dxa"/>
            <w:shd w:val="clear" w:color="auto" w:fill="FFFFFF"/>
            <w:vAlign w:val="center"/>
          </w:tcPr>
          <w:p w14:paraId="12340F7C">
            <w:pPr>
              <w:keepNext w:val="0"/>
              <w:keepLines w:val="0"/>
              <w:pageBreakBefore w:val="0"/>
              <w:kinsoku/>
              <w:wordWrap/>
              <w:overflowPunct/>
              <w:topLinePunct w:val="0"/>
              <w:autoSpaceDE/>
              <w:autoSpaceDN/>
              <w:bidi w:val="0"/>
              <w:adjustRightInd/>
              <w:snapToGrid/>
              <w:ind w:left="0" w:right="0"/>
              <w:jc w:val="center"/>
              <w:textAlignment w:val="auto"/>
              <w:rPr>
                <w:rFonts w:ascii="Times New Roman" w:hAnsi="Times New Roman" w:cs="Times New Roman"/>
                <w:b/>
                <w:color w:val="auto"/>
                <w:sz w:val="21"/>
                <w:szCs w:val="18"/>
                <w:highlight w:val="none"/>
              </w:rPr>
            </w:pPr>
            <w:r>
              <w:rPr>
                <w:rFonts w:ascii="Times New Roman" w:hAnsi="Times New Roman" w:cs="Times New Roman"/>
                <w:b/>
                <w:color w:val="auto"/>
                <w:sz w:val="21"/>
                <w:szCs w:val="18"/>
                <w:highlight w:val="none"/>
              </w:rPr>
              <w:t>可能受影响的环境敏感目标</w:t>
            </w:r>
          </w:p>
        </w:tc>
        <w:tc>
          <w:tcPr>
            <w:tcW w:w="797" w:type="dxa"/>
            <w:shd w:val="clear" w:color="auto" w:fill="FFFFFF"/>
            <w:vAlign w:val="center"/>
          </w:tcPr>
          <w:p w14:paraId="535AD010">
            <w:pPr>
              <w:keepNext w:val="0"/>
              <w:keepLines w:val="0"/>
              <w:pageBreakBefore w:val="0"/>
              <w:kinsoku/>
              <w:wordWrap/>
              <w:overflowPunct/>
              <w:topLinePunct w:val="0"/>
              <w:autoSpaceDE/>
              <w:autoSpaceDN/>
              <w:bidi w:val="0"/>
              <w:adjustRightInd/>
              <w:snapToGrid/>
              <w:ind w:left="0" w:right="0"/>
              <w:jc w:val="center"/>
              <w:textAlignment w:val="auto"/>
              <w:rPr>
                <w:rFonts w:ascii="Times New Roman" w:hAnsi="Times New Roman" w:cs="Times New Roman"/>
                <w:b/>
                <w:color w:val="auto"/>
                <w:sz w:val="21"/>
                <w:szCs w:val="18"/>
                <w:highlight w:val="none"/>
              </w:rPr>
            </w:pPr>
            <w:r>
              <w:rPr>
                <w:rFonts w:ascii="Times New Roman" w:hAnsi="Times New Roman" w:cs="Times New Roman"/>
                <w:b/>
                <w:color w:val="auto"/>
                <w:sz w:val="21"/>
                <w:szCs w:val="18"/>
                <w:highlight w:val="none"/>
              </w:rPr>
              <w:t>备注</w:t>
            </w:r>
          </w:p>
        </w:tc>
      </w:tr>
      <w:tr w14:paraId="3D69808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660" w:type="dxa"/>
            <w:shd w:val="clear" w:color="auto" w:fill="FFFFFF"/>
            <w:vAlign w:val="center"/>
          </w:tcPr>
          <w:p w14:paraId="71FB811D">
            <w:pPr>
              <w:keepNext w:val="0"/>
              <w:keepLines w:val="0"/>
              <w:pageBreakBefore w:val="0"/>
              <w:numPr>
                <w:ilvl w:val="0"/>
                <w:numId w:val="26"/>
              </w:numPr>
              <w:kinsoku/>
              <w:wordWrap/>
              <w:overflowPunct/>
              <w:topLinePunct w:val="0"/>
              <w:autoSpaceDE/>
              <w:autoSpaceDN/>
              <w:bidi w:val="0"/>
              <w:adjustRightInd/>
              <w:snapToGrid/>
              <w:ind w:left="0" w:right="0"/>
              <w:jc w:val="center"/>
              <w:textAlignment w:val="auto"/>
              <w:rPr>
                <w:rFonts w:ascii="Times New Roman" w:hAnsi="Times New Roman" w:cs="Times New Roman"/>
                <w:bCs/>
                <w:color w:val="auto"/>
                <w:sz w:val="21"/>
                <w:szCs w:val="18"/>
                <w:highlight w:val="none"/>
              </w:rPr>
            </w:pPr>
          </w:p>
        </w:tc>
        <w:tc>
          <w:tcPr>
            <w:tcW w:w="824" w:type="dxa"/>
            <w:shd w:val="clear" w:color="auto" w:fill="FFFFFF"/>
            <w:vAlign w:val="center"/>
          </w:tcPr>
          <w:p w14:paraId="681842CB">
            <w:pPr>
              <w:keepNext w:val="0"/>
              <w:keepLines w:val="0"/>
              <w:pageBreakBefore w:val="0"/>
              <w:kinsoku/>
              <w:wordWrap/>
              <w:overflowPunct/>
              <w:topLinePunct w:val="0"/>
              <w:autoSpaceDE/>
              <w:autoSpaceDN/>
              <w:bidi w:val="0"/>
              <w:adjustRightInd/>
              <w:snapToGrid/>
              <w:ind w:left="0" w:right="0"/>
              <w:jc w:val="center"/>
              <w:textAlignment w:val="auto"/>
              <w:rPr>
                <w:rFonts w:ascii="Times New Roman" w:hAnsi="Times New Roman" w:cs="Times New Roman"/>
                <w:bCs/>
                <w:color w:val="auto"/>
                <w:sz w:val="21"/>
                <w:szCs w:val="18"/>
                <w:highlight w:val="none"/>
              </w:rPr>
            </w:pPr>
            <w:r>
              <w:rPr>
                <w:rFonts w:ascii="Times New Roman" w:hAnsi="Times New Roman" w:cs="Times New Roman"/>
                <w:bCs/>
                <w:color w:val="auto"/>
                <w:sz w:val="21"/>
                <w:szCs w:val="18"/>
                <w:highlight w:val="none"/>
              </w:rPr>
              <w:t>原料包装桶</w:t>
            </w:r>
          </w:p>
        </w:tc>
        <w:tc>
          <w:tcPr>
            <w:tcW w:w="975" w:type="dxa"/>
            <w:shd w:val="clear" w:color="auto" w:fill="FFFFFF"/>
            <w:vAlign w:val="center"/>
          </w:tcPr>
          <w:p w14:paraId="330BE9BA">
            <w:pPr>
              <w:keepNext w:val="0"/>
              <w:keepLines w:val="0"/>
              <w:pageBreakBefore w:val="0"/>
              <w:kinsoku/>
              <w:wordWrap/>
              <w:overflowPunct/>
              <w:topLinePunct w:val="0"/>
              <w:autoSpaceDE/>
              <w:autoSpaceDN/>
              <w:bidi w:val="0"/>
              <w:adjustRightInd/>
              <w:snapToGrid/>
              <w:ind w:left="0" w:right="0"/>
              <w:jc w:val="center"/>
              <w:textAlignment w:val="auto"/>
              <w:rPr>
                <w:rFonts w:hint="eastAsia" w:ascii="Times New Roman" w:hAnsi="Times New Roman" w:eastAsia="宋体" w:cs="Times New Roman"/>
                <w:bCs/>
                <w:color w:val="auto"/>
                <w:sz w:val="21"/>
                <w:szCs w:val="18"/>
                <w:highlight w:val="none"/>
                <w:lang w:eastAsia="zh-CN"/>
              </w:rPr>
            </w:pPr>
            <w:r>
              <w:rPr>
                <w:rFonts w:hint="eastAsia" w:ascii="Times New Roman" w:hAnsi="Times New Roman" w:cs="Times New Roman"/>
                <w:bCs/>
                <w:color w:val="auto"/>
                <w:sz w:val="21"/>
                <w:szCs w:val="18"/>
                <w:highlight w:val="none"/>
                <w:lang w:eastAsia="zh-CN"/>
              </w:rPr>
              <w:t>危险品仓库</w:t>
            </w:r>
          </w:p>
        </w:tc>
        <w:tc>
          <w:tcPr>
            <w:tcW w:w="1330" w:type="dxa"/>
            <w:shd w:val="clear" w:color="auto" w:fill="FFFFFF"/>
            <w:vAlign w:val="center"/>
          </w:tcPr>
          <w:p w14:paraId="6FE21F37">
            <w:pPr>
              <w:keepNext w:val="0"/>
              <w:keepLines w:val="0"/>
              <w:pageBreakBefore w:val="0"/>
              <w:kinsoku/>
              <w:wordWrap/>
              <w:overflowPunct/>
              <w:topLinePunct w:val="0"/>
              <w:autoSpaceDE/>
              <w:autoSpaceDN/>
              <w:bidi w:val="0"/>
              <w:adjustRightInd/>
              <w:snapToGrid/>
              <w:ind w:left="0" w:right="0"/>
              <w:jc w:val="center"/>
              <w:textAlignment w:val="auto"/>
              <w:rPr>
                <w:rFonts w:ascii="Times New Roman" w:hAnsi="Times New Roman" w:cs="Times New Roman"/>
                <w:bCs/>
                <w:color w:val="auto"/>
                <w:sz w:val="21"/>
                <w:szCs w:val="18"/>
                <w:highlight w:val="none"/>
              </w:rPr>
            </w:pPr>
            <w:r>
              <w:rPr>
                <w:rFonts w:hint="eastAsia" w:ascii="Times New Roman" w:hAnsi="Times New Roman" w:cs="Times New Roman"/>
                <w:bCs/>
                <w:color w:val="auto"/>
                <w:sz w:val="21"/>
                <w:szCs w:val="18"/>
                <w:highlight w:val="none"/>
              </w:rPr>
              <w:t>丙烯酸酯树脂、异氰酸酯（六亚甲基-1,6-二异氰酸酯）、聚氨酯丙烯酸酯</w:t>
            </w:r>
          </w:p>
          <w:p w14:paraId="3D8AE9D5">
            <w:pPr>
              <w:keepNext w:val="0"/>
              <w:keepLines w:val="0"/>
              <w:pageBreakBefore w:val="0"/>
              <w:kinsoku/>
              <w:wordWrap/>
              <w:overflowPunct/>
              <w:topLinePunct w:val="0"/>
              <w:autoSpaceDE/>
              <w:autoSpaceDN/>
              <w:bidi w:val="0"/>
              <w:adjustRightInd/>
              <w:snapToGrid/>
              <w:ind w:left="0" w:right="0"/>
              <w:jc w:val="center"/>
              <w:textAlignment w:val="auto"/>
              <w:rPr>
                <w:rFonts w:ascii="Times New Roman" w:hAnsi="Times New Roman" w:cs="Times New Roman"/>
                <w:bCs/>
                <w:color w:val="auto"/>
                <w:sz w:val="21"/>
                <w:szCs w:val="18"/>
                <w:highlight w:val="none"/>
              </w:rPr>
            </w:pPr>
            <w:r>
              <w:rPr>
                <w:rFonts w:hint="eastAsia" w:ascii="Times New Roman" w:hAnsi="Times New Roman" w:cs="Times New Roman"/>
                <w:bCs/>
                <w:color w:val="auto"/>
                <w:sz w:val="21"/>
                <w:szCs w:val="18"/>
                <w:highlight w:val="none"/>
              </w:rPr>
              <w:t>环氧丙烯酸树脂、单体（二缩三丙二醇二丙烯酸酯）、光敏剂（1-羟环己基苯酮）、酚醛环氧树脂、丙烯酸、2-乙二醇单乙醚醋酸酯（溶剂）、重溶剂油（溶剂）、2-甲基对苯二酚（聚合阻止剂）、三苯基膦（催化剂）、2、6-二叔丁基对甲基苯酚（聚合阻止剂）、四氢化邻苯二甲酸酐、二甲基亚砜、N-甲基吡咯烷酮、四甲基氢氧化铵、2-甲氨基乙醇、邻苯二酚、乙醇胺</w:t>
            </w:r>
            <w:r>
              <w:rPr>
                <w:rFonts w:ascii="Times New Roman" w:hAnsi="Times New Roman" w:cs="Times New Roman"/>
                <w:bCs/>
                <w:color w:val="auto"/>
                <w:sz w:val="21"/>
                <w:szCs w:val="18"/>
                <w:highlight w:val="none"/>
              </w:rPr>
              <w:t>等</w:t>
            </w:r>
          </w:p>
        </w:tc>
        <w:tc>
          <w:tcPr>
            <w:tcW w:w="855" w:type="dxa"/>
            <w:shd w:val="clear" w:color="auto" w:fill="FFFFFF"/>
            <w:vAlign w:val="center"/>
          </w:tcPr>
          <w:p w14:paraId="1F837F6C">
            <w:pPr>
              <w:keepNext w:val="0"/>
              <w:keepLines w:val="0"/>
              <w:pageBreakBefore w:val="0"/>
              <w:kinsoku/>
              <w:wordWrap/>
              <w:overflowPunct/>
              <w:topLinePunct w:val="0"/>
              <w:autoSpaceDE/>
              <w:autoSpaceDN/>
              <w:bidi w:val="0"/>
              <w:adjustRightInd/>
              <w:snapToGrid/>
              <w:ind w:left="0" w:right="0"/>
              <w:jc w:val="center"/>
              <w:textAlignment w:val="auto"/>
              <w:rPr>
                <w:rFonts w:ascii="Times New Roman" w:hAnsi="Times New Roman" w:cs="Times New Roman"/>
                <w:bCs/>
                <w:color w:val="auto"/>
                <w:sz w:val="21"/>
                <w:szCs w:val="18"/>
                <w:highlight w:val="none"/>
              </w:rPr>
            </w:pPr>
            <w:r>
              <w:rPr>
                <w:rFonts w:ascii="Times New Roman" w:hAnsi="Times New Roman" w:cs="Times New Roman"/>
                <w:bCs/>
                <w:color w:val="auto"/>
                <w:sz w:val="21"/>
                <w:szCs w:val="18"/>
                <w:highlight w:val="none"/>
              </w:rPr>
              <w:t>泄漏、火灾</w:t>
            </w:r>
            <w:r>
              <w:rPr>
                <w:rFonts w:hint="eastAsia" w:ascii="Times New Roman" w:hAnsi="Times New Roman" w:cs="Times New Roman"/>
                <w:bCs/>
                <w:color w:val="auto"/>
                <w:sz w:val="21"/>
                <w:szCs w:val="18"/>
                <w:highlight w:val="none"/>
              </w:rPr>
              <w:t>、爆炸</w:t>
            </w:r>
          </w:p>
        </w:tc>
        <w:tc>
          <w:tcPr>
            <w:tcW w:w="2059" w:type="dxa"/>
            <w:shd w:val="clear" w:color="auto" w:fill="FFFFFF"/>
            <w:vAlign w:val="center"/>
          </w:tcPr>
          <w:p w14:paraId="201F7628">
            <w:pPr>
              <w:keepNext w:val="0"/>
              <w:keepLines w:val="0"/>
              <w:pageBreakBefore w:val="0"/>
              <w:kinsoku/>
              <w:wordWrap/>
              <w:overflowPunct/>
              <w:topLinePunct w:val="0"/>
              <w:autoSpaceDE/>
              <w:autoSpaceDN/>
              <w:bidi w:val="0"/>
              <w:adjustRightInd/>
              <w:snapToGrid/>
              <w:ind w:left="0" w:right="0"/>
              <w:jc w:val="center"/>
              <w:textAlignment w:val="auto"/>
              <w:rPr>
                <w:rFonts w:ascii="Times New Roman" w:hAnsi="Times New Roman" w:cs="Times New Roman"/>
                <w:bCs/>
                <w:color w:val="auto"/>
                <w:sz w:val="21"/>
                <w:szCs w:val="18"/>
                <w:highlight w:val="none"/>
              </w:rPr>
            </w:pPr>
            <w:r>
              <w:rPr>
                <w:rFonts w:ascii="Times New Roman" w:hAnsi="Times New Roman" w:cs="Times New Roman"/>
                <w:bCs/>
                <w:color w:val="auto"/>
                <w:sz w:val="21"/>
                <w:szCs w:val="18"/>
                <w:highlight w:val="none"/>
              </w:rPr>
              <w:t>泄漏物料进入雨水，污染</w:t>
            </w:r>
            <w:r>
              <w:rPr>
                <w:rFonts w:hint="eastAsia" w:ascii="Times New Roman" w:hAnsi="Times New Roman" w:cs="Times New Roman"/>
                <w:bCs/>
                <w:color w:val="auto"/>
                <w:sz w:val="21"/>
                <w:szCs w:val="18"/>
                <w:highlight w:val="none"/>
              </w:rPr>
              <w:t>锡北运河</w:t>
            </w:r>
            <w:r>
              <w:rPr>
                <w:rFonts w:ascii="Times New Roman" w:hAnsi="Times New Roman" w:cs="Times New Roman"/>
                <w:bCs/>
                <w:color w:val="auto"/>
                <w:sz w:val="21"/>
                <w:szCs w:val="18"/>
                <w:highlight w:val="none"/>
              </w:rPr>
              <w:t>；泄漏物料挥发产生废气进入大气</w:t>
            </w:r>
            <w:r>
              <w:rPr>
                <w:rFonts w:hint="eastAsia" w:ascii="Times New Roman" w:hAnsi="Times New Roman" w:cs="Times New Roman"/>
                <w:bCs/>
                <w:color w:val="auto"/>
                <w:sz w:val="21"/>
                <w:szCs w:val="18"/>
                <w:highlight w:val="none"/>
              </w:rPr>
              <w:t>，</w:t>
            </w:r>
            <w:r>
              <w:rPr>
                <w:rFonts w:ascii="Times New Roman" w:hAnsi="Times New Roman" w:cs="Times New Roman"/>
                <w:bCs/>
                <w:color w:val="auto"/>
                <w:sz w:val="21"/>
                <w:szCs w:val="18"/>
                <w:highlight w:val="none"/>
              </w:rPr>
              <w:t>火灾产生有毒有害气体进入大气；泄漏物料渗漏进入土壤和地下水</w:t>
            </w:r>
          </w:p>
        </w:tc>
        <w:tc>
          <w:tcPr>
            <w:tcW w:w="1195" w:type="dxa"/>
            <w:shd w:val="clear" w:color="auto" w:fill="FFFFFF"/>
            <w:vAlign w:val="center"/>
          </w:tcPr>
          <w:p w14:paraId="7F226CD5">
            <w:pPr>
              <w:keepNext w:val="0"/>
              <w:keepLines w:val="0"/>
              <w:pageBreakBefore w:val="0"/>
              <w:kinsoku/>
              <w:wordWrap/>
              <w:overflowPunct/>
              <w:topLinePunct w:val="0"/>
              <w:autoSpaceDE/>
              <w:autoSpaceDN/>
              <w:bidi w:val="0"/>
              <w:adjustRightInd/>
              <w:snapToGrid/>
              <w:ind w:left="0" w:right="0"/>
              <w:jc w:val="center"/>
              <w:textAlignment w:val="auto"/>
              <w:rPr>
                <w:rFonts w:ascii="Times New Roman" w:hAnsi="Times New Roman" w:cs="Times New Roman"/>
                <w:bCs/>
                <w:color w:val="auto"/>
                <w:sz w:val="21"/>
                <w:szCs w:val="18"/>
                <w:highlight w:val="none"/>
              </w:rPr>
            </w:pPr>
            <w:r>
              <w:rPr>
                <w:rFonts w:ascii="Times New Roman" w:hAnsi="Times New Roman" w:cs="Times New Roman"/>
                <w:bCs/>
                <w:color w:val="auto"/>
                <w:sz w:val="21"/>
                <w:szCs w:val="18"/>
                <w:highlight w:val="none"/>
              </w:rPr>
              <w:t>地表水、环境空气、地下水、土壤</w:t>
            </w:r>
          </w:p>
        </w:tc>
        <w:tc>
          <w:tcPr>
            <w:tcW w:w="797" w:type="dxa"/>
            <w:shd w:val="clear" w:color="auto" w:fill="FFFFFF"/>
            <w:vAlign w:val="center"/>
          </w:tcPr>
          <w:p w14:paraId="6D2C737E">
            <w:pPr>
              <w:keepNext w:val="0"/>
              <w:keepLines w:val="0"/>
              <w:pageBreakBefore w:val="0"/>
              <w:kinsoku/>
              <w:wordWrap/>
              <w:overflowPunct/>
              <w:topLinePunct w:val="0"/>
              <w:autoSpaceDE/>
              <w:autoSpaceDN/>
              <w:bidi w:val="0"/>
              <w:adjustRightInd/>
              <w:snapToGrid/>
              <w:ind w:left="0" w:right="0"/>
              <w:jc w:val="center"/>
              <w:textAlignment w:val="auto"/>
              <w:rPr>
                <w:rFonts w:ascii="Times New Roman" w:hAnsi="Times New Roman" w:cs="Times New Roman"/>
                <w:bCs/>
                <w:color w:val="auto"/>
                <w:sz w:val="21"/>
                <w:szCs w:val="18"/>
                <w:highlight w:val="none"/>
              </w:rPr>
            </w:pPr>
            <w:r>
              <w:rPr>
                <w:rFonts w:ascii="Times New Roman" w:hAnsi="Times New Roman" w:cs="Times New Roman"/>
                <w:bCs/>
                <w:color w:val="auto"/>
                <w:sz w:val="21"/>
                <w:szCs w:val="18"/>
                <w:highlight w:val="none"/>
              </w:rPr>
              <w:t>/</w:t>
            </w:r>
          </w:p>
        </w:tc>
      </w:tr>
      <w:tr w14:paraId="2A858A0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660" w:type="dxa"/>
            <w:shd w:val="clear" w:color="auto" w:fill="FFFFFF"/>
            <w:vAlign w:val="center"/>
          </w:tcPr>
          <w:p w14:paraId="39B4AC91">
            <w:pPr>
              <w:keepNext w:val="0"/>
              <w:keepLines w:val="0"/>
              <w:pageBreakBefore w:val="0"/>
              <w:numPr>
                <w:ilvl w:val="0"/>
                <w:numId w:val="26"/>
              </w:numPr>
              <w:kinsoku/>
              <w:wordWrap/>
              <w:overflowPunct/>
              <w:topLinePunct w:val="0"/>
              <w:autoSpaceDE/>
              <w:autoSpaceDN/>
              <w:bidi w:val="0"/>
              <w:adjustRightInd/>
              <w:snapToGrid/>
              <w:ind w:left="0" w:right="0"/>
              <w:jc w:val="center"/>
              <w:textAlignment w:val="auto"/>
              <w:rPr>
                <w:rFonts w:ascii="Times New Roman" w:hAnsi="Times New Roman" w:cs="Times New Roman"/>
                <w:bCs/>
                <w:color w:val="auto"/>
                <w:sz w:val="21"/>
                <w:szCs w:val="18"/>
                <w:highlight w:val="none"/>
              </w:rPr>
            </w:pPr>
          </w:p>
        </w:tc>
        <w:tc>
          <w:tcPr>
            <w:tcW w:w="824" w:type="dxa"/>
            <w:shd w:val="clear" w:color="auto" w:fill="FFFFFF"/>
            <w:vAlign w:val="center"/>
          </w:tcPr>
          <w:p w14:paraId="1C1EA400">
            <w:pPr>
              <w:keepNext w:val="0"/>
              <w:keepLines w:val="0"/>
              <w:pageBreakBefore w:val="0"/>
              <w:kinsoku/>
              <w:wordWrap/>
              <w:overflowPunct/>
              <w:topLinePunct w:val="0"/>
              <w:autoSpaceDE/>
              <w:autoSpaceDN/>
              <w:bidi w:val="0"/>
              <w:adjustRightInd/>
              <w:snapToGrid/>
              <w:ind w:left="0" w:right="0"/>
              <w:jc w:val="center"/>
              <w:textAlignment w:val="auto"/>
              <w:rPr>
                <w:rFonts w:ascii="Times New Roman" w:hAnsi="Times New Roman" w:cs="Times New Roman"/>
                <w:bCs/>
                <w:color w:val="auto"/>
                <w:sz w:val="21"/>
                <w:szCs w:val="18"/>
                <w:highlight w:val="none"/>
              </w:rPr>
            </w:pPr>
            <w:r>
              <w:rPr>
                <w:rFonts w:ascii="Times New Roman" w:hAnsi="Times New Roman" w:cs="Times New Roman"/>
                <w:bCs/>
                <w:color w:val="auto"/>
                <w:sz w:val="21"/>
                <w:szCs w:val="18"/>
                <w:highlight w:val="none"/>
              </w:rPr>
              <w:t>原料包装桶</w:t>
            </w:r>
          </w:p>
        </w:tc>
        <w:tc>
          <w:tcPr>
            <w:tcW w:w="975" w:type="dxa"/>
            <w:shd w:val="clear" w:color="auto" w:fill="FFFFFF"/>
            <w:vAlign w:val="center"/>
          </w:tcPr>
          <w:p w14:paraId="5F55043B">
            <w:pPr>
              <w:keepNext w:val="0"/>
              <w:keepLines w:val="0"/>
              <w:pageBreakBefore w:val="0"/>
              <w:widowControl w:val="0"/>
              <w:kinsoku/>
              <w:wordWrap/>
              <w:overflowPunct/>
              <w:topLinePunct w:val="0"/>
              <w:autoSpaceDE/>
              <w:autoSpaceDN/>
              <w:bidi w:val="0"/>
              <w:adjustRightInd/>
              <w:snapToGrid/>
              <w:ind w:left="0" w:right="0"/>
              <w:jc w:val="center"/>
              <w:textAlignment w:val="auto"/>
              <w:rPr>
                <w:rFonts w:hint="eastAsia" w:ascii="Times New Roman" w:hAnsi="Times New Roman" w:eastAsia="宋体" w:cs="Times New Roman"/>
                <w:bCs/>
                <w:color w:val="auto"/>
                <w:sz w:val="21"/>
                <w:szCs w:val="18"/>
                <w:highlight w:val="none"/>
                <w:lang w:eastAsia="zh-CN"/>
              </w:rPr>
            </w:pPr>
            <w:r>
              <w:rPr>
                <w:rFonts w:hint="eastAsia" w:ascii="Times New Roman" w:hAnsi="Times New Roman" w:cs="Times New Roman"/>
                <w:color w:val="auto"/>
                <w:sz w:val="21"/>
                <w:szCs w:val="21"/>
                <w:highlight w:val="none"/>
                <w:lang w:eastAsia="zh-CN"/>
              </w:rPr>
              <w:t>防爆间</w:t>
            </w:r>
          </w:p>
        </w:tc>
        <w:tc>
          <w:tcPr>
            <w:tcW w:w="1330" w:type="dxa"/>
            <w:shd w:val="clear" w:color="auto" w:fill="FFFFFF"/>
            <w:vAlign w:val="center"/>
          </w:tcPr>
          <w:p w14:paraId="02D6CF29">
            <w:pPr>
              <w:keepNext w:val="0"/>
              <w:keepLines w:val="0"/>
              <w:pageBreakBefore w:val="0"/>
              <w:widowControl w:val="0"/>
              <w:kinsoku/>
              <w:wordWrap/>
              <w:overflowPunct/>
              <w:topLinePunct w:val="0"/>
              <w:autoSpaceDE/>
              <w:autoSpaceDN/>
              <w:bidi w:val="0"/>
              <w:adjustRightInd/>
              <w:snapToGrid/>
              <w:ind w:left="0" w:right="0"/>
              <w:jc w:val="center"/>
              <w:textAlignment w:val="auto"/>
              <w:rPr>
                <w:rFonts w:ascii="Times New Roman" w:hAnsi="Times New Roman" w:cs="Times New Roman"/>
                <w:bCs/>
                <w:color w:val="auto"/>
                <w:sz w:val="21"/>
                <w:szCs w:val="18"/>
                <w:highlight w:val="none"/>
              </w:rPr>
            </w:pPr>
            <w:r>
              <w:rPr>
                <w:rFonts w:ascii="Times New Roman" w:hAnsi="Times New Roman" w:cs="Times New Roman"/>
                <w:color w:val="auto"/>
                <w:sz w:val="21"/>
                <w:szCs w:val="21"/>
                <w:highlight w:val="none"/>
              </w:rPr>
              <w:t>硝酸</w:t>
            </w:r>
            <w:r>
              <w:rPr>
                <w:rFonts w:hint="eastAsia" w:ascii="Times New Roman" w:hAnsi="Times New Roman" w:cs="Times New Roman"/>
                <w:color w:val="auto"/>
                <w:sz w:val="21"/>
                <w:szCs w:val="21"/>
                <w:highlight w:val="none"/>
              </w:rPr>
              <w:t>（55%）</w:t>
            </w:r>
          </w:p>
        </w:tc>
        <w:tc>
          <w:tcPr>
            <w:tcW w:w="855" w:type="dxa"/>
            <w:shd w:val="clear" w:color="auto" w:fill="FFFFFF"/>
            <w:vAlign w:val="center"/>
          </w:tcPr>
          <w:p w14:paraId="34ACCB9B">
            <w:pPr>
              <w:keepNext w:val="0"/>
              <w:keepLines w:val="0"/>
              <w:pageBreakBefore w:val="0"/>
              <w:kinsoku/>
              <w:wordWrap/>
              <w:overflowPunct/>
              <w:topLinePunct w:val="0"/>
              <w:autoSpaceDE/>
              <w:autoSpaceDN/>
              <w:bidi w:val="0"/>
              <w:adjustRightInd/>
              <w:snapToGrid/>
              <w:ind w:left="0" w:right="0"/>
              <w:jc w:val="center"/>
              <w:textAlignment w:val="auto"/>
              <w:rPr>
                <w:rFonts w:ascii="Times New Roman" w:hAnsi="Times New Roman" w:cs="Times New Roman"/>
                <w:bCs/>
                <w:color w:val="auto"/>
                <w:sz w:val="21"/>
                <w:szCs w:val="18"/>
                <w:highlight w:val="none"/>
              </w:rPr>
            </w:pPr>
            <w:r>
              <w:rPr>
                <w:rFonts w:ascii="Times New Roman" w:hAnsi="Times New Roman" w:cs="Times New Roman"/>
                <w:bCs/>
                <w:color w:val="auto"/>
                <w:sz w:val="21"/>
                <w:szCs w:val="18"/>
                <w:highlight w:val="none"/>
              </w:rPr>
              <w:t>泄漏、火灾</w:t>
            </w:r>
            <w:r>
              <w:rPr>
                <w:rFonts w:hint="eastAsia" w:ascii="Times New Roman" w:hAnsi="Times New Roman" w:cs="Times New Roman"/>
                <w:bCs/>
                <w:color w:val="auto"/>
                <w:sz w:val="21"/>
                <w:szCs w:val="18"/>
                <w:highlight w:val="none"/>
              </w:rPr>
              <w:t>、爆炸</w:t>
            </w:r>
          </w:p>
        </w:tc>
        <w:tc>
          <w:tcPr>
            <w:tcW w:w="2059" w:type="dxa"/>
            <w:shd w:val="clear" w:color="auto" w:fill="FFFFFF"/>
            <w:vAlign w:val="center"/>
          </w:tcPr>
          <w:p w14:paraId="067EA7B0">
            <w:pPr>
              <w:keepNext w:val="0"/>
              <w:keepLines w:val="0"/>
              <w:pageBreakBefore w:val="0"/>
              <w:kinsoku/>
              <w:wordWrap/>
              <w:overflowPunct/>
              <w:topLinePunct w:val="0"/>
              <w:autoSpaceDE/>
              <w:autoSpaceDN/>
              <w:bidi w:val="0"/>
              <w:adjustRightInd/>
              <w:snapToGrid/>
              <w:ind w:left="0" w:right="0"/>
              <w:jc w:val="center"/>
              <w:textAlignment w:val="auto"/>
              <w:rPr>
                <w:rFonts w:ascii="Times New Roman" w:hAnsi="Times New Roman" w:cs="Times New Roman"/>
                <w:bCs/>
                <w:color w:val="auto"/>
                <w:sz w:val="21"/>
                <w:szCs w:val="18"/>
                <w:highlight w:val="none"/>
              </w:rPr>
            </w:pPr>
            <w:r>
              <w:rPr>
                <w:rFonts w:ascii="Times New Roman" w:hAnsi="Times New Roman" w:cs="Times New Roman"/>
                <w:bCs/>
                <w:color w:val="auto"/>
                <w:sz w:val="21"/>
                <w:szCs w:val="18"/>
                <w:highlight w:val="none"/>
              </w:rPr>
              <w:t>泄漏物料进入雨水，污染</w:t>
            </w:r>
            <w:r>
              <w:rPr>
                <w:rFonts w:hint="eastAsia" w:ascii="Times New Roman" w:hAnsi="Times New Roman" w:cs="Times New Roman"/>
                <w:bCs/>
                <w:color w:val="auto"/>
                <w:sz w:val="21"/>
                <w:szCs w:val="18"/>
                <w:highlight w:val="none"/>
              </w:rPr>
              <w:t>锡北运河</w:t>
            </w:r>
            <w:r>
              <w:rPr>
                <w:rFonts w:ascii="Times New Roman" w:hAnsi="Times New Roman" w:cs="Times New Roman"/>
                <w:bCs/>
                <w:color w:val="auto"/>
                <w:sz w:val="21"/>
                <w:szCs w:val="18"/>
                <w:highlight w:val="none"/>
              </w:rPr>
              <w:t>；泄漏物料挥发产生废气进入大气</w:t>
            </w:r>
            <w:r>
              <w:rPr>
                <w:rFonts w:hint="eastAsia" w:ascii="Times New Roman" w:hAnsi="Times New Roman" w:cs="Times New Roman"/>
                <w:bCs/>
                <w:color w:val="auto"/>
                <w:sz w:val="21"/>
                <w:szCs w:val="18"/>
                <w:highlight w:val="none"/>
              </w:rPr>
              <w:t>，</w:t>
            </w:r>
            <w:r>
              <w:rPr>
                <w:rFonts w:ascii="Times New Roman" w:hAnsi="Times New Roman" w:cs="Times New Roman"/>
                <w:bCs/>
                <w:color w:val="auto"/>
                <w:sz w:val="21"/>
                <w:szCs w:val="18"/>
                <w:highlight w:val="none"/>
              </w:rPr>
              <w:t>火灾爆炸产生有毒有害气体进入大气；泄漏物料渗漏进入土壤和地下水</w:t>
            </w:r>
          </w:p>
        </w:tc>
        <w:tc>
          <w:tcPr>
            <w:tcW w:w="1195" w:type="dxa"/>
            <w:shd w:val="clear" w:color="auto" w:fill="FFFFFF"/>
            <w:vAlign w:val="center"/>
          </w:tcPr>
          <w:p w14:paraId="6890B097">
            <w:pPr>
              <w:keepNext w:val="0"/>
              <w:keepLines w:val="0"/>
              <w:pageBreakBefore w:val="0"/>
              <w:kinsoku/>
              <w:wordWrap/>
              <w:overflowPunct/>
              <w:topLinePunct w:val="0"/>
              <w:autoSpaceDE/>
              <w:autoSpaceDN/>
              <w:bidi w:val="0"/>
              <w:adjustRightInd/>
              <w:snapToGrid/>
              <w:ind w:left="0" w:right="0"/>
              <w:jc w:val="center"/>
              <w:textAlignment w:val="auto"/>
              <w:rPr>
                <w:rFonts w:ascii="Times New Roman" w:hAnsi="Times New Roman" w:cs="Times New Roman"/>
                <w:bCs/>
                <w:color w:val="auto"/>
                <w:sz w:val="21"/>
                <w:szCs w:val="18"/>
                <w:highlight w:val="none"/>
              </w:rPr>
            </w:pPr>
            <w:r>
              <w:rPr>
                <w:rFonts w:ascii="Times New Roman" w:hAnsi="Times New Roman" w:cs="Times New Roman"/>
                <w:bCs/>
                <w:color w:val="auto"/>
                <w:sz w:val="21"/>
                <w:szCs w:val="18"/>
                <w:highlight w:val="none"/>
              </w:rPr>
              <w:t>地表水、环境空气、地下水、土壤</w:t>
            </w:r>
          </w:p>
        </w:tc>
        <w:tc>
          <w:tcPr>
            <w:tcW w:w="797" w:type="dxa"/>
            <w:shd w:val="clear" w:color="auto" w:fill="FFFFFF"/>
            <w:vAlign w:val="center"/>
          </w:tcPr>
          <w:p w14:paraId="49D38DF5">
            <w:pPr>
              <w:keepNext w:val="0"/>
              <w:keepLines w:val="0"/>
              <w:pageBreakBefore w:val="0"/>
              <w:kinsoku/>
              <w:wordWrap/>
              <w:overflowPunct/>
              <w:topLinePunct w:val="0"/>
              <w:autoSpaceDE/>
              <w:autoSpaceDN/>
              <w:bidi w:val="0"/>
              <w:adjustRightInd/>
              <w:snapToGrid/>
              <w:ind w:left="0" w:right="0"/>
              <w:jc w:val="center"/>
              <w:textAlignment w:val="auto"/>
              <w:rPr>
                <w:rFonts w:ascii="Times New Roman" w:hAnsi="Times New Roman" w:cs="Times New Roman"/>
                <w:bCs/>
                <w:color w:val="auto"/>
                <w:sz w:val="21"/>
                <w:szCs w:val="18"/>
                <w:highlight w:val="none"/>
              </w:rPr>
            </w:pPr>
            <w:r>
              <w:rPr>
                <w:rFonts w:ascii="Times New Roman" w:hAnsi="Times New Roman" w:cs="Times New Roman"/>
                <w:bCs/>
                <w:color w:val="auto"/>
                <w:sz w:val="21"/>
                <w:szCs w:val="18"/>
                <w:highlight w:val="none"/>
              </w:rPr>
              <w:t>/</w:t>
            </w:r>
          </w:p>
        </w:tc>
      </w:tr>
      <w:tr w14:paraId="6A29264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660" w:type="dxa"/>
            <w:shd w:val="clear" w:color="auto" w:fill="FFFFFF"/>
            <w:vAlign w:val="center"/>
          </w:tcPr>
          <w:p w14:paraId="717F3EDE">
            <w:pPr>
              <w:keepNext w:val="0"/>
              <w:keepLines w:val="0"/>
              <w:pageBreakBefore w:val="0"/>
              <w:numPr>
                <w:ilvl w:val="0"/>
                <w:numId w:val="26"/>
              </w:numPr>
              <w:kinsoku/>
              <w:wordWrap/>
              <w:overflowPunct/>
              <w:topLinePunct w:val="0"/>
              <w:autoSpaceDE/>
              <w:autoSpaceDN/>
              <w:bidi w:val="0"/>
              <w:adjustRightInd/>
              <w:snapToGrid/>
              <w:ind w:left="0" w:right="0"/>
              <w:jc w:val="center"/>
              <w:textAlignment w:val="auto"/>
              <w:rPr>
                <w:rFonts w:ascii="Times New Roman" w:hAnsi="Times New Roman" w:cs="Times New Roman"/>
                <w:bCs/>
                <w:color w:val="auto"/>
                <w:sz w:val="21"/>
                <w:szCs w:val="18"/>
                <w:highlight w:val="none"/>
              </w:rPr>
            </w:pPr>
          </w:p>
        </w:tc>
        <w:tc>
          <w:tcPr>
            <w:tcW w:w="824" w:type="dxa"/>
            <w:shd w:val="clear" w:color="auto" w:fill="FFFFFF"/>
            <w:vAlign w:val="center"/>
          </w:tcPr>
          <w:p w14:paraId="55ED10EF">
            <w:pPr>
              <w:keepNext w:val="0"/>
              <w:keepLines w:val="0"/>
              <w:pageBreakBefore w:val="0"/>
              <w:kinsoku/>
              <w:wordWrap/>
              <w:overflowPunct/>
              <w:topLinePunct w:val="0"/>
              <w:autoSpaceDE/>
              <w:autoSpaceDN/>
              <w:bidi w:val="0"/>
              <w:adjustRightInd/>
              <w:snapToGrid/>
              <w:ind w:left="0" w:right="0"/>
              <w:jc w:val="center"/>
              <w:textAlignment w:val="auto"/>
              <w:rPr>
                <w:rFonts w:ascii="Times New Roman" w:hAnsi="Times New Roman" w:cs="Times New Roman"/>
                <w:bCs/>
                <w:color w:val="auto"/>
                <w:sz w:val="21"/>
                <w:szCs w:val="18"/>
                <w:highlight w:val="none"/>
              </w:rPr>
            </w:pPr>
            <w:r>
              <w:rPr>
                <w:rFonts w:ascii="Times New Roman" w:hAnsi="Times New Roman" w:cs="Times New Roman"/>
                <w:bCs/>
                <w:color w:val="auto"/>
                <w:sz w:val="21"/>
                <w:szCs w:val="18"/>
                <w:highlight w:val="none"/>
              </w:rPr>
              <w:t>包装桶</w:t>
            </w:r>
          </w:p>
        </w:tc>
        <w:tc>
          <w:tcPr>
            <w:tcW w:w="975" w:type="dxa"/>
            <w:shd w:val="clear" w:color="auto" w:fill="FFFFFF"/>
            <w:vAlign w:val="center"/>
          </w:tcPr>
          <w:p w14:paraId="79034AF9">
            <w:pPr>
              <w:keepNext w:val="0"/>
              <w:keepLines w:val="0"/>
              <w:pageBreakBefore w:val="0"/>
              <w:widowControl w:val="0"/>
              <w:kinsoku/>
              <w:wordWrap/>
              <w:overflowPunct/>
              <w:topLinePunct w:val="0"/>
              <w:autoSpaceDE/>
              <w:autoSpaceDN/>
              <w:bidi w:val="0"/>
              <w:adjustRightInd/>
              <w:snapToGrid/>
              <w:ind w:left="0" w:right="0"/>
              <w:jc w:val="center"/>
              <w:textAlignment w:val="auto"/>
              <w:rPr>
                <w:rFonts w:ascii="Times New Roman" w:hAnsi="Times New Roman" w:cs="Times New Roman"/>
                <w:bCs/>
                <w:color w:val="auto"/>
                <w:kern w:val="2"/>
                <w:sz w:val="21"/>
                <w:szCs w:val="21"/>
                <w:highlight w:val="none"/>
              </w:rPr>
            </w:pPr>
            <w:r>
              <w:rPr>
                <w:rFonts w:hint="eastAsia" w:ascii="Times New Roman" w:hAnsi="Times New Roman" w:cs="Times New Roman"/>
                <w:color w:val="auto"/>
                <w:sz w:val="21"/>
                <w:szCs w:val="21"/>
                <w:highlight w:val="none"/>
              </w:rPr>
              <w:t>化学试剂柜</w:t>
            </w:r>
          </w:p>
        </w:tc>
        <w:tc>
          <w:tcPr>
            <w:tcW w:w="1330" w:type="dxa"/>
            <w:shd w:val="clear" w:color="auto" w:fill="FFFFFF"/>
            <w:vAlign w:val="center"/>
          </w:tcPr>
          <w:p w14:paraId="4D400C2E">
            <w:pPr>
              <w:keepNext w:val="0"/>
              <w:keepLines w:val="0"/>
              <w:pageBreakBefore w:val="0"/>
              <w:widowControl w:val="0"/>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甲醇</w:t>
            </w:r>
            <w:r>
              <w:rPr>
                <w:rFonts w:hint="eastAsia" w:ascii="Times New Roman" w:hAnsi="Times New Roman" w:cs="Times New Roman"/>
                <w:color w:val="auto"/>
                <w:sz w:val="21"/>
                <w:szCs w:val="21"/>
                <w:highlight w:val="none"/>
              </w:rPr>
              <w:t>、</w:t>
            </w:r>
            <w:r>
              <w:rPr>
                <w:rFonts w:ascii="Times New Roman" w:hAnsi="Times New Roman" w:cs="Times New Roman"/>
                <w:color w:val="auto"/>
                <w:sz w:val="21"/>
                <w:szCs w:val="21"/>
                <w:highlight w:val="none"/>
              </w:rPr>
              <w:t>卡尔费休试剂</w:t>
            </w:r>
            <w:r>
              <w:rPr>
                <w:rFonts w:hint="eastAsia" w:ascii="Times New Roman" w:hAnsi="Times New Roman" w:cs="Times New Roman"/>
                <w:color w:val="auto"/>
                <w:sz w:val="21"/>
                <w:szCs w:val="21"/>
                <w:highlight w:val="none"/>
              </w:rPr>
              <w:t>、</w:t>
            </w:r>
            <w:r>
              <w:rPr>
                <w:rFonts w:ascii="Times New Roman" w:hAnsi="Times New Roman" w:cs="Times New Roman"/>
                <w:color w:val="auto"/>
                <w:sz w:val="21"/>
                <w:szCs w:val="21"/>
                <w:highlight w:val="none"/>
              </w:rPr>
              <w:t>异丙醇</w:t>
            </w:r>
          </w:p>
        </w:tc>
        <w:tc>
          <w:tcPr>
            <w:tcW w:w="855" w:type="dxa"/>
            <w:shd w:val="clear" w:color="auto" w:fill="FFFFFF"/>
            <w:vAlign w:val="center"/>
          </w:tcPr>
          <w:p w14:paraId="1F436C38">
            <w:pPr>
              <w:keepNext w:val="0"/>
              <w:keepLines w:val="0"/>
              <w:pageBreakBefore w:val="0"/>
              <w:kinsoku/>
              <w:wordWrap/>
              <w:overflowPunct/>
              <w:topLinePunct w:val="0"/>
              <w:autoSpaceDE/>
              <w:autoSpaceDN/>
              <w:bidi w:val="0"/>
              <w:adjustRightInd/>
              <w:snapToGrid/>
              <w:ind w:left="0" w:right="0"/>
              <w:jc w:val="center"/>
              <w:textAlignment w:val="auto"/>
              <w:rPr>
                <w:rFonts w:ascii="Times New Roman" w:hAnsi="Times New Roman" w:cs="Times New Roman"/>
                <w:bCs/>
                <w:color w:val="auto"/>
                <w:sz w:val="21"/>
                <w:szCs w:val="18"/>
                <w:highlight w:val="none"/>
              </w:rPr>
            </w:pPr>
            <w:r>
              <w:rPr>
                <w:rFonts w:ascii="Times New Roman" w:hAnsi="Times New Roman" w:cs="Times New Roman"/>
                <w:bCs/>
                <w:color w:val="auto"/>
                <w:sz w:val="21"/>
                <w:szCs w:val="18"/>
                <w:highlight w:val="none"/>
              </w:rPr>
              <w:t>泄漏、火灾</w:t>
            </w:r>
          </w:p>
        </w:tc>
        <w:tc>
          <w:tcPr>
            <w:tcW w:w="2059" w:type="dxa"/>
            <w:shd w:val="clear" w:color="auto" w:fill="FFFFFF"/>
            <w:vAlign w:val="center"/>
          </w:tcPr>
          <w:p w14:paraId="53AA1624">
            <w:pPr>
              <w:keepNext w:val="0"/>
              <w:keepLines w:val="0"/>
              <w:pageBreakBefore w:val="0"/>
              <w:kinsoku/>
              <w:wordWrap/>
              <w:overflowPunct/>
              <w:topLinePunct w:val="0"/>
              <w:autoSpaceDE/>
              <w:autoSpaceDN/>
              <w:bidi w:val="0"/>
              <w:adjustRightInd/>
              <w:snapToGrid/>
              <w:ind w:left="0" w:right="0"/>
              <w:jc w:val="center"/>
              <w:textAlignment w:val="auto"/>
              <w:rPr>
                <w:rFonts w:ascii="Times New Roman" w:hAnsi="Times New Roman" w:cs="Times New Roman"/>
                <w:bCs/>
                <w:color w:val="auto"/>
                <w:sz w:val="21"/>
                <w:szCs w:val="18"/>
                <w:highlight w:val="none"/>
              </w:rPr>
            </w:pPr>
            <w:r>
              <w:rPr>
                <w:rFonts w:ascii="Times New Roman" w:hAnsi="Times New Roman" w:cs="Times New Roman"/>
                <w:bCs/>
                <w:color w:val="auto"/>
                <w:sz w:val="21"/>
                <w:szCs w:val="18"/>
                <w:highlight w:val="none"/>
              </w:rPr>
              <w:t>泄漏物料进入雨水，污染</w:t>
            </w:r>
            <w:r>
              <w:rPr>
                <w:rFonts w:hint="eastAsia" w:ascii="Times New Roman" w:hAnsi="Times New Roman" w:cs="Times New Roman"/>
                <w:bCs/>
                <w:color w:val="auto"/>
                <w:sz w:val="21"/>
                <w:szCs w:val="18"/>
                <w:highlight w:val="none"/>
              </w:rPr>
              <w:t>锡北运河</w:t>
            </w:r>
            <w:r>
              <w:rPr>
                <w:rFonts w:ascii="Times New Roman" w:hAnsi="Times New Roman" w:cs="Times New Roman"/>
                <w:bCs/>
                <w:color w:val="auto"/>
                <w:sz w:val="21"/>
                <w:szCs w:val="18"/>
                <w:highlight w:val="none"/>
              </w:rPr>
              <w:t>；泄漏物料挥发产生废气进入大气</w:t>
            </w:r>
            <w:r>
              <w:rPr>
                <w:rFonts w:hint="eastAsia" w:ascii="Times New Roman" w:hAnsi="Times New Roman" w:cs="Times New Roman"/>
                <w:bCs/>
                <w:color w:val="auto"/>
                <w:sz w:val="21"/>
                <w:szCs w:val="18"/>
                <w:highlight w:val="none"/>
              </w:rPr>
              <w:t>，</w:t>
            </w:r>
            <w:r>
              <w:rPr>
                <w:rFonts w:ascii="Times New Roman" w:hAnsi="Times New Roman" w:cs="Times New Roman"/>
                <w:bCs/>
                <w:color w:val="auto"/>
                <w:sz w:val="21"/>
                <w:szCs w:val="18"/>
                <w:highlight w:val="none"/>
              </w:rPr>
              <w:t>火灾产生有毒有害气体进入大气；泄漏物料渗漏进入土壤和地下水</w:t>
            </w:r>
          </w:p>
        </w:tc>
        <w:tc>
          <w:tcPr>
            <w:tcW w:w="1195" w:type="dxa"/>
            <w:shd w:val="clear" w:color="auto" w:fill="FFFFFF"/>
            <w:vAlign w:val="center"/>
          </w:tcPr>
          <w:p w14:paraId="6D0F27C0">
            <w:pPr>
              <w:keepNext w:val="0"/>
              <w:keepLines w:val="0"/>
              <w:pageBreakBefore w:val="0"/>
              <w:kinsoku/>
              <w:wordWrap/>
              <w:overflowPunct/>
              <w:topLinePunct w:val="0"/>
              <w:autoSpaceDE/>
              <w:autoSpaceDN/>
              <w:bidi w:val="0"/>
              <w:adjustRightInd/>
              <w:snapToGrid/>
              <w:ind w:left="0" w:right="0"/>
              <w:jc w:val="center"/>
              <w:textAlignment w:val="auto"/>
              <w:rPr>
                <w:rFonts w:ascii="Times New Roman" w:hAnsi="Times New Roman" w:cs="Times New Roman"/>
                <w:bCs/>
                <w:color w:val="auto"/>
                <w:sz w:val="21"/>
                <w:szCs w:val="18"/>
                <w:highlight w:val="none"/>
              </w:rPr>
            </w:pPr>
            <w:r>
              <w:rPr>
                <w:rFonts w:ascii="Times New Roman" w:hAnsi="Times New Roman" w:cs="Times New Roman"/>
                <w:bCs/>
                <w:color w:val="auto"/>
                <w:sz w:val="21"/>
                <w:szCs w:val="18"/>
                <w:highlight w:val="none"/>
              </w:rPr>
              <w:t>地表水、环境空气、地下水、土壤</w:t>
            </w:r>
          </w:p>
        </w:tc>
        <w:tc>
          <w:tcPr>
            <w:tcW w:w="797" w:type="dxa"/>
            <w:shd w:val="clear" w:color="auto" w:fill="FFFFFF"/>
            <w:vAlign w:val="center"/>
          </w:tcPr>
          <w:p w14:paraId="20E9F117">
            <w:pPr>
              <w:keepNext w:val="0"/>
              <w:keepLines w:val="0"/>
              <w:pageBreakBefore w:val="0"/>
              <w:kinsoku/>
              <w:wordWrap/>
              <w:overflowPunct/>
              <w:topLinePunct w:val="0"/>
              <w:autoSpaceDE/>
              <w:autoSpaceDN/>
              <w:bidi w:val="0"/>
              <w:adjustRightInd/>
              <w:snapToGrid/>
              <w:ind w:left="0" w:right="0"/>
              <w:jc w:val="center"/>
              <w:textAlignment w:val="auto"/>
              <w:rPr>
                <w:rFonts w:ascii="Times New Roman" w:hAnsi="Times New Roman" w:cs="Times New Roman"/>
                <w:bCs/>
                <w:color w:val="auto"/>
                <w:sz w:val="21"/>
                <w:szCs w:val="18"/>
                <w:highlight w:val="none"/>
              </w:rPr>
            </w:pPr>
            <w:r>
              <w:rPr>
                <w:rFonts w:ascii="Times New Roman" w:hAnsi="Times New Roman" w:cs="Times New Roman"/>
                <w:bCs/>
                <w:color w:val="auto"/>
                <w:sz w:val="21"/>
                <w:szCs w:val="18"/>
                <w:highlight w:val="none"/>
              </w:rPr>
              <w:t>/</w:t>
            </w:r>
          </w:p>
        </w:tc>
      </w:tr>
      <w:tr w14:paraId="1E716CB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660" w:type="dxa"/>
            <w:shd w:val="clear" w:color="auto" w:fill="FFFFFF"/>
            <w:vAlign w:val="center"/>
          </w:tcPr>
          <w:p w14:paraId="1A7A5DDB">
            <w:pPr>
              <w:keepNext w:val="0"/>
              <w:keepLines w:val="0"/>
              <w:pageBreakBefore w:val="0"/>
              <w:numPr>
                <w:ilvl w:val="0"/>
                <w:numId w:val="26"/>
              </w:numPr>
              <w:kinsoku/>
              <w:wordWrap/>
              <w:overflowPunct/>
              <w:topLinePunct w:val="0"/>
              <w:autoSpaceDE/>
              <w:autoSpaceDN/>
              <w:bidi w:val="0"/>
              <w:adjustRightInd/>
              <w:snapToGrid/>
              <w:ind w:left="0" w:right="0"/>
              <w:jc w:val="center"/>
              <w:textAlignment w:val="auto"/>
              <w:rPr>
                <w:rFonts w:ascii="Times New Roman" w:hAnsi="Times New Roman" w:cs="Times New Roman"/>
                <w:bCs/>
                <w:color w:val="auto"/>
                <w:sz w:val="21"/>
                <w:szCs w:val="18"/>
                <w:highlight w:val="none"/>
              </w:rPr>
            </w:pPr>
          </w:p>
        </w:tc>
        <w:tc>
          <w:tcPr>
            <w:tcW w:w="824" w:type="dxa"/>
            <w:shd w:val="clear" w:color="auto" w:fill="FFFFFF"/>
            <w:vAlign w:val="center"/>
          </w:tcPr>
          <w:p w14:paraId="583CC9E9">
            <w:pPr>
              <w:keepNext w:val="0"/>
              <w:keepLines w:val="0"/>
              <w:pageBreakBefore w:val="0"/>
              <w:kinsoku/>
              <w:wordWrap/>
              <w:overflowPunct/>
              <w:topLinePunct w:val="0"/>
              <w:autoSpaceDE/>
              <w:autoSpaceDN/>
              <w:bidi w:val="0"/>
              <w:adjustRightInd/>
              <w:snapToGrid/>
              <w:ind w:left="0" w:right="0"/>
              <w:jc w:val="center"/>
              <w:textAlignment w:val="auto"/>
              <w:rPr>
                <w:rFonts w:ascii="Times New Roman" w:hAnsi="Times New Roman" w:cs="Times New Roman"/>
                <w:bCs/>
                <w:color w:val="auto"/>
                <w:sz w:val="21"/>
                <w:szCs w:val="18"/>
                <w:highlight w:val="none"/>
              </w:rPr>
            </w:pPr>
            <w:r>
              <w:rPr>
                <w:rFonts w:ascii="Times New Roman" w:hAnsi="Times New Roman" w:cs="Times New Roman"/>
                <w:bCs/>
                <w:color w:val="auto"/>
                <w:sz w:val="21"/>
                <w:szCs w:val="18"/>
                <w:highlight w:val="none"/>
              </w:rPr>
              <w:t>包装桶</w:t>
            </w:r>
          </w:p>
        </w:tc>
        <w:tc>
          <w:tcPr>
            <w:tcW w:w="975" w:type="dxa"/>
            <w:shd w:val="clear" w:color="auto" w:fill="FFFFFF"/>
            <w:vAlign w:val="center"/>
          </w:tcPr>
          <w:p w14:paraId="00C04001">
            <w:pPr>
              <w:keepNext w:val="0"/>
              <w:keepLines w:val="0"/>
              <w:pageBreakBefore w:val="0"/>
              <w:widowControl w:val="0"/>
              <w:kinsoku/>
              <w:wordWrap/>
              <w:overflowPunct/>
              <w:topLinePunct w:val="0"/>
              <w:autoSpaceDE/>
              <w:autoSpaceDN/>
              <w:bidi w:val="0"/>
              <w:adjustRightInd/>
              <w:snapToGrid/>
              <w:ind w:left="0" w:right="0"/>
              <w:jc w:val="center"/>
              <w:textAlignment w:val="auto"/>
              <w:rPr>
                <w:rFonts w:ascii="Times New Roman" w:hAnsi="Times New Roman" w:cs="Times New Roman"/>
                <w:bCs/>
                <w:color w:val="auto"/>
                <w:kern w:val="2"/>
                <w:sz w:val="21"/>
                <w:szCs w:val="21"/>
                <w:highlight w:val="none"/>
              </w:rPr>
            </w:pPr>
            <w:r>
              <w:rPr>
                <w:rFonts w:hint="eastAsia" w:ascii="Times New Roman" w:hAnsi="Times New Roman" w:cs="Times New Roman"/>
                <w:bCs/>
                <w:color w:val="auto"/>
                <w:kern w:val="2"/>
                <w:sz w:val="21"/>
                <w:szCs w:val="21"/>
                <w:highlight w:val="none"/>
              </w:rPr>
              <w:t>成品</w:t>
            </w:r>
            <w:r>
              <w:rPr>
                <w:rFonts w:hint="eastAsia" w:ascii="Times New Roman" w:hAnsi="Times New Roman" w:cs="Times New Roman"/>
                <w:bCs/>
                <w:color w:val="auto"/>
                <w:kern w:val="2"/>
                <w:sz w:val="21"/>
                <w:szCs w:val="21"/>
                <w:highlight w:val="none"/>
                <w:lang w:val="en-US" w:eastAsia="zh-CN"/>
              </w:rPr>
              <w:t>仓</w:t>
            </w:r>
            <w:r>
              <w:rPr>
                <w:rFonts w:hint="eastAsia" w:ascii="Times New Roman" w:hAnsi="Times New Roman" w:cs="Times New Roman"/>
                <w:bCs/>
                <w:color w:val="auto"/>
                <w:kern w:val="2"/>
                <w:sz w:val="21"/>
                <w:szCs w:val="21"/>
                <w:highlight w:val="none"/>
              </w:rPr>
              <w:t>库</w:t>
            </w:r>
          </w:p>
        </w:tc>
        <w:tc>
          <w:tcPr>
            <w:tcW w:w="1330" w:type="dxa"/>
            <w:shd w:val="clear" w:color="auto" w:fill="FFFFFF"/>
            <w:vAlign w:val="center"/>
          </w:tcPr>
          <w:p w14:paraId="64EAFB08">
            <w:pPr>
              <w:keepNext w:val="0"/>
              <w:keepLines w:val="0"/>
              <w:pageBreakBefore w:val="0"/>
              <w:widowControl w:val="0"/>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聚氨酯丙烯酸酯</w:t>
            </w:r>
            <w:r>
              <w:rPr>
                <w:rFonts w:hint="eastAsia" w:ascii="Times New Roman" w:hAnsi="Times New Roman" w:cs="Times New Roman"/>
                <w:color w:val="auto"/>
                <w:sz w:val="21"/>
                <w:szCs w:val="21"/>
                <w:highlight w:val="none"/>
              </w:rPr>
              <w:t>、</w:t>
            </w:r>
            <w:r>
              <w:rPr>
                <w:rFonts w:ascii="Times New Roman" w:hAnsi="Times New Roman" w:cs="Times New Roman"/>
                <w:color w:val="auto"/>
                <w:sz w:val="21"/>
                <w:szCs w:val="21"/>
                <w:highlight w:val="none"/>
              </w:rPr>
              <w:t>丙烯酸酯组成物</w:t>
            </w:r>
            <w:r>
              <w:rPr>
                <w:rFonts w:hint="eastAsia" w:ascii="Times New Roman" w:hAnsi="Times New Roman" w:cs="Times New Roman"/>
                <w:color w:val="auto"/>
                <w:sz w:val="21"/>
                <w:szCs w:val="21"/>
                <w:highlight w:val="none"/>
              </w:rPr>
              <w:t>、</w:t>
            </w:r>
            <w:r>
              <w:rPr>
                <w:rFonts w:ascii="Times New Roman" w:hAnsi="Times New Roman" w:cs="Times New Roman"/>
                <w:color w:val="auto"/>
                <w:sz w:val="21"/>
                <w:szCs w:val="21"/>
                <w:highlight w:val="none"/>
              </w:rPr>
              <w:t>环氧丙烯酸树脂</w:t>
            </w:r>
            <w:r>
              <w:rPr>
                <w:rFonts w:hint="eastAsia" w:ascii="Times New Roman" w:hAnsi="Times New Roman" w:cs="Times New Roman"/>
                <w:color w:val="auto"/>
                <w:sz w:val="21"/>
                <w:szCs w:val="21"/>
                <w:highlight w:val="none"/>
              </w:rPr>
              <w:t>、</w:t>
            </w:r>
            <w:r>
              <w:rPr>
                <w:rFonts w:ascii="Times New Roman" w:hAnsi="Times New Roman" w:cs="Times New Roman"/>
                <w:color w:val="auto"/>
                <w:sz w:val="21"/>
                <w:szCs w:val="21"/>
                <w:highlight w:val="none"/>
              </w:rPr>
              <w:t>剥离液</w:t>
            </w:r>
          </w:p>
        </w:tc>
        <w:tc>
          <w:tcPr>
            <w:tcW w:w="855" w:type="dxa"/>
            <w:shd w:val="clear" w:color="auto" w:fill="FFFFFF"/>
            <w:vAlign w:val="center"/>
          </w:tcPr>
          <w:p w14:paraId="12425796">
            <w:pPr>
              <w:keepNext w:val="0"/>
              <w:keepLines w:val="0"/>
              <w:pageBreakBefore w:val="0"/>
              <w:kinsoku/>
              <w:wordWrap/>
              <w:overflowPunct/>
              <w:topLinePunct w:val="0"/>
              <w:autoSpaceDE/>
              <w:autoSpaceDN/>
              <w:bidi w:val="0"/>
              <w:adjustRightInd/>
              <w:snapToGrid/>
              <w:ind w:left="0" w:right="0"/>
              <w:jc w:val="center"/>
              <w:textAlignment w:val="auto"/>
              <w:rPr>
                <w:rFonts w:ascii="Times New Roman" w:hAnsi="Times New Roman" w:cs="Times New Roman"/>
                <w:bCs/>
                <w:color w:val="auto"/>
                <w:sz w:val="21"/>
                <w:szCs w:val="18"/>
                <w:highlight w:val="none"/>
              </w:rPr>
            </w:pPr>
            <w:r>
              <w:rPr>
                <w:rFonts w:ascii="Times New Roman" w:hAnsi="Times New Roman" w:cs="Times New Roman"/>
                <w:bCs/>
                <w:color w:val="auto"/>
                <w:sz w:val="21"/>
                <w:szCs w:val="18"/>
                <w:highlight w:val="none"/>
              </w:rPr>
              <w:t>泄漏、火灾</w:t>
            </w:r>
          </w:p>
        </w:tc>
        <w:tc>
          <w:tcPr>
            <w:tcW w:w="2059" w:type="dxa"/>
            <w:shd w:val="clear" w:color="auto" w:fill="FFFFFF"/>
            <w:vAlign w:val="center"/>
          </w:tcPr>
          <w:p w14:paraId="5D410BA4">
            <w:pPr>
              <w:keepNext w:val="0"/>
              <w:keepLines w:val="0"/>
              <w:pageBreakBefore w:val="0"/>
              <w:kinsoku/>
              <w:wordWrap/>
              <w:overflowPunct/>
              <w:topLinePunct w:val="0"/>
              <w:autoSpaceDE/>
              <w:autoSpaceDN/>
              <w:bidi w:val="0"/>
              <w:adjustRightInd/>
              <w:snapToGrid/>
              <w:ind w:left="0" w:right="0"/>
              <w:jc w:val="center"/>
              <w:textAlignment w:val="auto"/>
              <w:rPr>
                <w:rFonts w:ascii="Times New Roman" w:hAnsi="Times New Roman" w:cs="Times New Roman"/>
                <w:bCs/>
                <w:color w:val="auto"/>
                <w:sz w:val="21"/>
                <w:szCs w:val="18"/>
                <w:highlight w:val="none"/>
              </w:rPr>
            </w:pPr>
            <w:r>
              <w:rPr>
                <w:rFonts w:ascii="Times New Roman" w:hAnsi="Times New Roman" w:cs="Times New Roman"/>
                <w:bCs/>
                <w:color w:val="auto"/>
                <w:sz w:val="21"/>
                <w:szCs w:val="18"/>
                <w:highlight w:val="none"/>
              </w:rPr>
              <w:t>泄漏物料进入雨水，污染</w:t>
            </w:r>
            <w:r>
              <w:rPr>
                <w:rFonts w:hint="eastAsia" w:ascii="Times New Roman" w:hAnsi="Times New Roman" w:cs="Times New Roman"/>
                <w:bCs/>
                <w:color w:val="auto"/>
                <w:sz w:val="21"/>
                <w:szCs w:val="18"/>
                <w:highlight w:val="none"/>
              </w:rPr>
              <w:t>锡北运河</w:t>
            </w:r>
            <w:r>
              <w:rPr>
                <w:rFonts w:ascii="Times New Roman" w:hAnsi="Times New Roman" w:cs="Times New Roman"/>
                <w:bCs/>
                <w:color w:val="auto"/>
                <w:sz w:val="21"/>
                <w:szCs w:val="18"/>
                <w:highlight w:val="none"/>
              </w:rPr>
              <w:t>；泄漏物料挥发产生废气进入大气</w:t>
            </w:r>
            <w:r>
              <w:rPr>
                <w:rFonts w:hint="eastAsia" w:ascii="Times New Roman" w:hAnsi="Times New Roman" w:cs="Times New Roman"/>
                <w:bCs/>
                <w:color w:val="auto"/>
                <w:sz w:val="21"/>
                <w:szCs w:val="18"/>
                <w:highlight w:val="none"/>
              </w:rPr>
              <w:t>，</w:t>
            </w:r>
            <w:r>
              <w:rPr>
                <w:rFonts w:ascii="Times New Roman" w:hAnsi="Times New Roman" w:cs="Times New Roman"/>
                <w:bCs/>
                <w:color w:val="auto"/>
                <w:sz w:val="21"/>
                <w:szCs w:val="18"/>
                <w:highlight w:val="none"/>
              </w:rPr>
              <w:t>火灾产生有毒有害气体进入大气；泄漏物料渗漏进入土壤和地下水</w:t>
            </w:r>
          </w:p>
        </w:tc>
        <w:tc>
          <w:tcPr>
            <w:tcW w:w="1195" w:type="dxa"/>
            <w:shd w:val="clear" w:color="auto" w:fill="FFFFFF"/>
            <w:vAlign w:val="center"/>
          </w:tcPr>
          <w:p w14:paraId="01E692D7">
            <w:pPr>
              <w:keepNext w:val="0"/>
              <w:keepLines w:val="0"/>
              <w:pageBreakBefore w:val="0"/>
              <w:kinsoku/>
              <w:wordWrap/>
              <w:overflowPunct/>
              <w:topLinePunct w:val="0"/>
              <w:autoSpaceDE/>
              <w:autoSpaceDN/>
              <w:bidi w:val="0"/>
              <w:adjustRightInd/>
              <w:snapToGrid/>
              <w:ind w:left="0" w:right="0"/>
              <w:jc w:val="center"/>
              <w:textAlignment w:val="auto"/>
              <w:rPr>
                <w:rFonts w:ascii="Times New Roman" w:hAnsi="Times New Roman" w:cs="Times New Roman"/>
                <w:bCs/>
                <w:color w:val="auto"/>
                <w:sz w:val="21"/>
                <w:szCs w:val="18"/>
                <w:highlight w:val="none"/>
              </w:rPr>
            </w:pPr>
            <w:r>
              <w:rPr>
                <w:rFonts w:ascii="Times New Roman" w:hAnsi="Times New Roman" w:cs="Times New Roman"/>
                <w:bCs/>
                <w:color w:val="auto"/>
                <w:sz w:val="21"/>
                <w:szCs w:val="18"/>
                <w:highlight w:val="none"/>
              </w:rPr>
              <w:t>地表水、环境空气、地下水、土壤</w:t>
            </w:r>
          </w:p>
        </w:tc>
        <w:tc>
          <w:tcPr>
            <w:tcW w:w="797" w:type="dxa"/>
            <w:shd w:val="clear" w:color="auto" w:fill="FFFFFF"/>
            <w:vAlign w:val="center"/>
          </w:tcPr>
          <w:p w14:paraId="08F650B8">
            <w:pPr>
              <w:keepNext w:val="0"/>
              <w:keepLines w:val="0"/>
              <w:pageBreakBefore w:val="0"/>
              <w:kinsoku/>
              <w:wordWrap/>
              <w:overflowPunct/>
              <w:topLinePunct w:val="0"/>
              <w:autoSpaceDE/>
              <w:autoSpaceDN/>
              <w:bidi w:val="0"/>
              <w:adjustRightInd/>
              <w:snapToGrid/>
              <w:ind w:left="0" w:right="0"/>
              <w:jc w:val="center"/>
              <w:textAlignment w:val="auto"/>
              <w:rPr>
                <w:rFonts w:ascii="Times New Roman" w:hAnsi="Times New Roman" w:cs="Times New Roman"/>
                <w:bCs/>
                <w:color w:val="auto"/>
                <w:sz w:val="21"/>
                <w:szCs w:val="18"/>
                <w:highlight w:val="none"/>
              </w:rPr>
            </w:pPr>
            <w:r>
              <w:rPr>
                <w:rFonts w:ascii="Times New Roman" w:hAnsi="Times New Roman" w:cs="Times New Roman"/>
                <w:bCs/>
                <w:color w:val="auto"/>
                <w:sz w:val="21"/>
                <w:szCs w:val="18"/>
                <w:highlight w:val="none"/>
              </w:rPr>
              <w:t>/</w:t>
            </w:r>
          </w:p>
        </w:tc>
      </w:tr>
      <w:tr w14:paraId="424D32B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660" w:type="dxa"/>
            <w:shd w:val="clear" w:color="auto" w:fill="FFFFFF"/>
            <w:vAlign w:val="center"/>
          </w:tcPr>
          <w:p w14:paraId="73A1DD97">
            <w:pPr>
              <w:keepNext w:val="0"/>
              <w:keepLines w:val="0"/>
              <w:pageBreakBefore w:val="0"/>
              <w:numPr>
                <w:ilvl w:val="0"/>
                <w:numId w:val="26"/>
              </w:numPr>
              <w:kinsoku/>
              <w:wordWrap/>
              <w:overflowPunct/>
              <w:topLinePunct w:val="0"/>
              <w:autoSpaceDE/>
              <w:autoSpaceDN/>
              <w:bidi w:val="0"/>
              <w:adjustRightInd/>
              <w:snapToGrid/>
              <w:ind w:left="0" w:right="0"/>
              <w:jc w:val="center"/>
              <w:textAlignment w:val="auto"/>
              <w:rPr>
                <w:rFonts w:ascii="Times New Roman" w:hAnsi="Times New Roman" w:cs="Times New Roman"/>
                <w:bCs/>
                <w:color w:val="auto"/>
                <w:sz w:val="21"/>
                <w:szCs w:val="18"/>
                <w:highlight w:val="none"/>
              </w:rPr>
            </w:pPr>
          </w:p>
        </w:tc>
        <w:tc>
          <w:tcPr>
            <w:tcW w:w="824" w:type="dxa"/>
            <w:shd w:val="clear" w:color="auto" w:fill="FFFFFF"/>
            <w:vAlign w:val="center"/>
          </w:tcPr>
          <w:p w14:paraId="4C0F2C6C">
            <w:pPr>
              <w:keepNext w:val="0"/>
              <w:keepLines w:val="0"/>
              <w:pageBreakBefore w:val="0"/>
              <w:kinsoku/>
              <w:wordWrap/>
              <w:overflowPunct/>
              <w:topLinePunct w:val="0"/>
              <w:autoSpaceDE/>
              <w:autoSpaceDN/>
              <w:bidi w:val="0"/>
              <w:adjustRightInd/>
              <w:snapToGrid/>
              <w:ind w:left="0" w:right="0"/>
              <w:jc w:val="center"/>
              <w:textAlignment w:val="auto"/>
              <w:rPr>
                <w:rFonts w:ascii="Times New Roman" w:hAnsi="Times New Roman" w:cs="Times New Roman"/>
                <w:bCs/>
                <w:color w:val="auto"/>
                <w:sz w:val="21"/>
                <w:szCs w:val="18"/>
                <w:highlight w:val="none"/>
              </w:rPr>
            </w:pPr>
            <w:r>
              <w:rPr>
                <w:rFonts w:ascii="Times New Roman" w:hAnsi="Times New Roman" w:cs="Times New Roman"/>
                <w:bCs/>
                <w:color w:val="auto"/>
                <w:sz w:val="21"/>
                <w:szCs w:val="18"/>
                <w:highlight w:val="none"/>
              </w:rPr>
              <w:t>危废包装物</w:t>
            </w:r>
          </w:p>
        </w:tc>
        <w:tc>
          <w:tcPr>
            <w:tcW w:w="975" w:type="dxa"/>
            <w:shd w:val="clear" w:color="auto" w:fill="FFFFFF"/>
            <w:vAlign w:val="center"/>
          </w:tcPr>
          <w:p w14:paraId="2D045953">
            <w:pPr>
              <w:keepNext w:val="0"/>
              <w:keepLines w:val="0"/>
              <w:pageBreakBefore w:val="0"/>
              <w:kinsoku/>
              <w:wordWrap/>
              <w:overflowPunct/>
              <w:topLinePunct w:val="0"/>
              <w:autoSpaceDE/>
              <w:autoSpaceDN/>
              <w:bidi w:val="0"/>
              <w:adjustRightInd/>
              <w:snapToGrid/>
              <w:ind w:left="0" w:right="0"/>
              <w:jc w:val="center"/>
              <w:textAlignment w:val="auto"/>
              <w:rPr>
                <w:rFonts w:ascii="Times New Roman" w:hAnsi="Times New Roman" w:cs="Times New Roman"/>
                <w:bCs/>
                <w:color w:val="auto"/>
                <w:sz w:val="21"/>
                <w:szCs w:val="18"/>
                <w:highlight w:val="none"/>
              </w:rPr>
            </w:pPr>
            <w:r>
              <w:rPr>
                <w:rFonts w:hint="eastAsia" w:ascii="Times New Roman" w:hAnsi="Times New Roman" w:cs="Times New Roman"/>
                <w:bCs/>
                <w:color w:val="auto"/>
                <w:sz w:val="21"/>
                <w:szCs w:val="18"/>
                <w:highlight w:val="none"/>
              </w:rPr>
              <w:t>危废仓库</w:t>
            </w:r>
          </w:p>
        </w:tc>
        <w:tc>
          <w:tcPr>
            <w:tcW w:w="1330" w:type="dxa"/>
            <w:shd w:val="clear" w:color="auto" w:fill="FFFFFF"/>
            <w:vAlign w:val="center"/>
          </w:tcPr>
          <w:p w14:paraId="3753541A">
            <w:pPr>
              <w:keepNext w:val="0"/>
              <w:keepLines w:val="0"/>
              <w:pageBreakBefore w:val="0"/>
              <w:kinsoku/>
              <w:wordWrap/>
              <w:overflowPunct/>
              <w:topLinePunct w:val="0"/>
              <w:autoSpaceDE/>
              <w:autoSpaceDN/>
              <w:bidi w:val="0"/>
              <w:adjustRightInd/>
              <w:snapToGrid/>
              <w:ind w:left="0" w:right="0"/>
              <w:jc w:val="center"/>
              <w:textAlignment w:val="auto"/>
              <w:rPr>
                <w:rFonts w:ascii="Times New Roman" w:hAnsi="Times New Roman" w:cs="Times New Roman"/>
                <w:bCs/>
                <w:color w:val="auto"/>
                <w:sz w:val="21"/>
                <w:szCs w:val="18"/>
                <w:highlight w:val="none"/>
              </w:rPr>
            </w:pPr>
            <w:r>
              <w:rPr>
                <w:rFonts w:hint="eastAsia" w:ascii="Times New Roman" w:hAnsi="Times New Roman" w:cs="Times New Roman"/>
                <w:bCs/>
                <w:color w:val="auto"/>
                <w:sz w:val="21"/>
                <w:szCs w:val="18"/>
                <w:highlight w:val="none"/>
              </w:rPr>
              <w:t>过滤残渣、浸润废料、废滤芯、废丁酮、废活性炭、废包装桶</w:t>
            </w:r>
            <w:r>
              <w:rPr>
                <w:rFonts w:hint="eastAsia" w:ascii="Times New Roman" w:hAnsi="Times New Roman" w:cs="Times New Roman"/>
                <w:bCs/>
                <w:color w:val="auto"/>
                <w:sz w:val="21"/>
                <w:szCs w:val="18"/>
                <w:highlight w:val="none"/>
                <w:lang w:eastAsia="zh-CN"/>
              </w:rPr>
              <w:t>（</w:t>
            </w:r>
            <w:r>
              <w:rPr>
                <w:rFonts w:hint="eastAsia" w:ascii="Times New Roman" w:hAnsi="Times New Roman" w:cs="Times New Roman"/>
                <w:bCs/>
                <w:color w:val="auto"/>
                <w:sz w:val="21"/>
                <w:szCs w:val="18"/>
                <w:highlight w:val="none"/>
                <w:lang w:val="en-US" w:eastAsia="zh-CN"/>
              </w:rPr>
              <w:t>瓶</w:t>
            </w:r>
            <w:r>
              <w:rPr>
                <w:rFonts w:hint="eastAsia" w:ascii="Times New Roman" w:hAnsi="Times New Roman" w:cs="Times New Roman"/>
                <w:bCs/>
                <w:color w:val="auto"/>
                <w:sz w:val="21"/>
                <w:szCs w:val="18"/>
                <w:highlight w:val="none"/>
                <w:lang w:eastAsia="zh-CN"/>
              </w:rPr>
              <w:t>）</w:t>
            </w:r>
            <w:r>
              <w:rPr>
                <w:rFonts w:hint="eastAsia" w:ascii="Times New Roman" w:hAnsi="Times New Roman" w:cs="Times New Roman"/>
                <w:bCs/>
                <w:color w:val="auto"/>
                <w:sz w:val="21"/>
                <w:szCs w:val="18"/>
                <w:highlight w:val="none"/>
              </w:rPr>
              <w:t>、废包装袋、实验废液、废实验耗材</w:t>
            </w:r>
            <w:r>
              <w:rPr>
                <w:rFonts w:ascii="Times New Roman" w:hAnsi="Times New Roman" w:cs="Times New Roman"/>
                <w:bCs/>
                <w:color w:val="auto"/>
                <w:sz w:val="21"/>
                <w:szCs w:val="18"/>
                <w:highlight w:val="none"/>
              </w:rPr>
              <w:t>等</w:t>
            </w:r>
          </w:p>
        </w:tc>
        <w:tc>
          <w:tcPr>
            <w:tcW w:w="855" w:type="dxa"/>
            <w:shd w:val="clear" w:color="auto" w:fill="FFFFFF"/>
            <w:vAlign w:val="center"/>
          </w:tcPr>
          <w:p w14:paraId="1838FBE3">
            <w:pPr>
              <w:keepNext w:val="0"/>
              <w:keepLines w:val="0"/>
              <w:pageBreakBefore w:val="0"/>
              <w:kinsoku/>
              <w:wordWrap/>
              <w:overflowPunct/>
              <w:topLinePunct w:val="0"/>
              <w:autoSpaceDE/>
              <w:autoSpaceDN/>
              <w:bidi w:val="0"/>
              <w:adjustRightInd/>
              <w:snapToGrid/>
              <w:ind w:left="0" w:right="0"/>
              <w:jc w:val="center"/>
              <w:textAlignment w:val="auto"/>
              <w:rPr>
                <w:rFonts w:ascii="Times New Roman" w:hAnsi="Times New Roman" w:cs="Times New Roman"/>
                <w:bCs/>
                <w:color w:val="auto"/>
                <w:sz w:val="21"/>
                <w:szCs w:val="18"/>
                <w:highlight w:val="none"/>
              </w:rPr>
            </w:pPr>
            <w:r>
              <w:rPr>
                <w:rFonts w:ascii="Times New Roman" w:hAnsi="Times New Roman" w:cs="Times New Roman"/>
                <w:bCs/>
                <w:color w:val="auto"/>
                <w:sz w:val="21"/>
                <w:szCs w:val="18"/>
                <w:highlight w:val="none"/>
              </w:rPr>
              <w:t>泄漏、火灾</w:t>
            </w:r>
          </w:p>
        </w:tc>
        <w:tc>
          <w:tcPr>
            <w:tcW w:w="2059" w:type="dxa"/>
            <w:shd w:val="clear" w:color="auto" w:fill="FFFFFF"/>
            <w:vAlign w:val="center"/>
          </w:tcPr>
          <w:p w14:paraId="30EE2642">
            <w:pPr>
              <w:keepNext w:val="0"/>
              <w:keepLines w:val="0"/>
              <w:pageBreakBefore w:val="0"/>
              <w:kinsoku/>
              <w:wordWrap/>
              <w:overflowPunct/>
              <w:topLinePunct w:val="0"/>
              <w:autoSpaceDE/>
              <w:autoSpaceDN/>
              <w:bidi w:val="0"/>
              <w:adjustRightInd/>
              <w:snapToGrid/>
              <w:ind w:left="0" w:right="0"/>
              <w:jc w:val="center"/>
              <w:textAlignment w:val="auto"/>
              <w:rPr>
                <w:rFonts w:ascii="Times New Roman" w:hAnsi="Times New Roman" w:cs="Times New Roman"/>
                <w:bCs/>
                <w:color w:val="auto"/>
                <w:sz w:val="21"/>
                <w:szCs w:val="18"/>
                <w:highlight w:val="none"/>
              </w:rPr>
            </w:pPr>
            <w:r>
              <w:rPr>
                <w:rFonts w:ascii="Times New Roman" w:hAnsi="Times New Roman" w:cs="Times New Roman"/>
                <w:bCs/>
                <w:color w:val="auto"/>
                <w:sz w:val="21"/>
                <w:szCs w:val="18"/>
                <w:highlight w:val="none"/>
              </w:rPr>
              <w:t>泄漏物料、消防废水等事故废水进入雨水，污染</w:t>
            </w:r>
            <w:r>
              <w:rPr>
                <w:rFonts w:hint="eastAsia" w:ascii="Times New Roman" w:hAnsi="Times New Roman" w:cs="Times New Roman"/>
                <w:bCs/>
                <w:color w:val="auto"/>
                <w:sz w:val="21"/>
                <w:szCs w:val="18"/>
                <w:highlight w:val="none"/>
              </w:rPr>
              <w:t>锡北运河</w:t>
            </w:r>
            <w:r>
              <w:rPr>
                <w:rFonts w:ascii="Times New Roman" w:hAnsi="Times New Roman" w:cs="Times New Roman"/>
                <w:bCs/>
                <w:color w:val="auto"/>
                <w:sz w:val="21"/>
                <w:szCs w:val="18"/>
                <w:highlight w:val="none"/>
              </w:rPr>
              <w:t>；泄漏物料挥发产生废气，火灾产生有毒有害气体进入大气；泄漏物料、消防沙土和废水渗漏进入土壤和地下水</w:t>
            </w:r>
          </w:p>
        </w:tc>
        <w:tc>
          <w:tcPr>
            <w:tcW w:w="1195" w:type="dxa"/>
            <w:shd w:val="clear" w:color="auto" w:fill="FFFFFF"/>
            <w:vAlign w:val="center"/>
          </w:tcPr>
          <w:p w14:paraId="0F52BFCF">
            <w:pPr>
              <w:keepNext w:val="0"/>
              <w:keepLines w:val="0"/>
              <w:pageBreakBefore w:val="0"/>
              <w:kinsoku/>
              <w:wordWrap/>
              <w:overflowPunct/>
              <w:topLinePunct w:val="0"/>
              <w:autoSpaceDE/>
              <w:autoSpaceDN/>
              <w:bidi w:val="0"/>
              <w:adjustRightInd/>
              <w:snapToGrid/>
              <w:ind w:left="0" w:right="0"/>
              <w:jc w:val="center"/>
              <w:textAlignment w:val="auto"/>
              <w:rPr>
                <w:rFonts w:ascii="Times New Roman" w:hAnsi="Times New Roman" w:cs="Times New Roman"/>
                <w:bCs/>
                <w:color w:val="auto"/>
                <w:sz w:val="21"/>
                <w:szCs w:val="18"/>
                <w:highlight w:val="none"/>
              </w:rPr>
            </w:pPr>
            <w:r>
              <w:rPr>
                <w:rFonts w:ascii="Times New Roman" w:hAnsi="Times New Roman" w:cs="Times New Roman"/>
                <w:bCs/>
                <w:color w:val="auto"/>
                <w:sz w:val="21"/>
                <w:szCs w:val="18"/>
                <w:highlight w:val="none"/>
              </w:rPr>
              <w:t>地表水、环境空气、地下水、土壤</w:t>
            </w:r>
          </w:p>
        </w:tc>
        <w:tc>
          <w:tcPr>
            <w:tcW w:w="797" w:type="dxa"/>
            <w:shd w:val="clear" w:color="auto" w:fill="FFFFFF"/>
            <w:vAlign w:val="center"/>
          </w:tcPr>
          <w:p w14:paraId="3D1D034E">
            <w:pPr>
              <w:keepNext w:val="0"/>
              <w:keepLines w:val="0"/>
              <w:pageBreakBefore w:val="0"/>
              <w:kinsoku/>
              <w:wordWrap/>
              <w:overflowPunct/>
              <w:topLinePunct w:val="0"/>
              <w:autoSpaceDE/>
              <w:autoSpaceDN/>
              <w:bidi w:val="0"/>
              <w:adjustRightInd/>
              <w:snapToGrid/>
              <w:ind w:left="0" w:right="0"/>
              <w:jc w:val="center"/>
              <w:textAlignment w:val="auto"/>
              <w:rPr>
                <w:rFonts w:ascii="Times New Roman" w:hAnsi="Times New Roman" w:cs="Times New Roman"/>
                <w:bCs/>
                <w:color w:val="auto"/>
                <w:sz w:val="21"/>
                <w:szCs w:val="18"/>
                <w:highlight w:val="none"/>
              </w:rPr>
            </w:pPr>
            <w:r>
              <w:rPr>
                <w:rFonts w:ascii="Times New Roman" w:hAnsi="Times New Roman" w:cs="Times New Roman"/>
                <w:bCs/>
                <w:color w:val="auto"/>
                <w:sz w:val="21"/>
                <w:szCs w:val="18"/>
                <w:highlight w:val="none"/>
              </w:rPr>
              <w:t>/</w:t>
            </w:r>
          </w:p>
        </w:tc>
      </w:tr>
      <w:tr w14:paraId="5D75AD9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660" w:type="dxa"/>
            <w:shd w:val="clear" w:color="auto" w:fill="FFFFFF"/>
            <w:vAlign w:val="center"/>
          </w:tcPr>
          <w:p w14:paraId="2086DD93">
            <w:pPr>
              <w:keepNext w:val="0"/>
              <w:keepLines w:val="0"/>
              <w:pageBreakBefore w:val="0"/>
              <w:numPr>
                <w:ilvl w:val="0"/>
                <w:numId w:val="26"/>
              </w:numPr>
              <w:kinsoku/>
              <w:wordWrap/>
              <w:overflowPunct/>
              <w:topLinePunct w:val="0"/>
              <w:autoSpaceDE/>
              <w:autoSpaceDN/>
              <w:bidi w:val="0"/>
              <w:adjustRightInd/>
              <w:snapToGrid/>
              <w:ind w:left="0" w:right="0"/>
              <w:jc w:val="center"/>
              <w:textAlignment w:val="auto"/>
              <w:rPr>
                <w:rFonts w:ascii="Times New Roman" w:hAnsi="Times New Roman" w:cs="Times New Roman"/>
                <w:bCs/>
                <w:color w:val="auto"/>
                <w:sz w:val="21"/>
                <w:szCs w:val="18"/>
                <w:highlight w:val="none"/>
              </w:rPr>
            </w:pPr>
          </w:p>
        </w:tc>
        <w:tc>
          <w:tcPr>
            <w:tcW w:w="824" w:type="dxa"/>
            <w:shd w:val="clear" w:color="auto" w:fill="FFFFFF"/>
            <w:vAlign w:val="center"/>
          </w:tcPr>
          <w:p w14:paraId="18F201A9">
            <w:pPr>
              <w:keepNext w:val="0"/>
              <w:keepLines w:val="0"/>
              <w:pageBreakBefore w:val="0"/>
              <w:kinsoku/>
              <w:wordWrap/>
              <w:overflowPunct/>
              <w:topLinePunct w:val="0"/>
              <w:autoSpaceDE/>
              <w:autoSpaceDN/>
              <w:bidi w:val="0"/>
              <w:adjustRightInd/>
              <w:snapToGrid/>
              <w:ind w:left="0" w:right="0"/>
              <w:jc w:val="center"/>
              <w:textAlignment w:val="auto"/>
              <w:rPr>
                <w:rFonts w:ascii="Times New Roman" w:hAnsi="Times New Roman" w:cs="Times New Roman"/>
                <w:bCs/>
                <w:color w:val="auto"/>
                <w:sz w:val="21"/>
                <w:szCs w:val="18"/>
                <w:highlight w:val="none"/>
              </w:rPr>
            </w:pPr>
            <w:r>
              <w:rPr>
                <w:rFonts w:ascii="Times New Roman" w:hAnsi="Times New Roman" w:cs="Times New Roman"/>
                <w:bCs/>
                <w:color w:val="auto"/>
                <w:sz w:val="21"/>
                <w:szCs w:val="18"/>
                <w:highlight w:val="none"/>
              </w:rPr>
              <w:t>危废包装物</w:t>
            </w:r>
          </w:p>
        </w:tc>
        <w:tc>
          <w:tcPr>
            <w:tcW w:w="975" w:type="dxa"/>
            <w:shd w:val="clear" w:color="auto" w:fill="FFFFFF"/>
            <w:vAlign w:val="center"/>
          </w:tcPr>
          <w:p w14:paraId="3419F40C">
            <w:pPr>
              <w:keepNext w:val="0"/>
              <w:keepLines w:val="0"/>
              <w:pageBreakBefore w:val="0"/>
              <w:kinsoku/>
              <w:wordWrap/>
              <w:overflowPunct/>
              <w:topLinePunct w:val="0"/>
              <w:autoSpaceDE/>
              <w:autoSpaceDN/>
              <w:bidi w:val="0"/>
              <w:adjustRightInd/>
              <w:snapToGrid/>
              <w:ind w:left="0" w:right="0"/>
              <w:jc w:val="center"/>
              <w:textAlignment w:val="auto"/>
              <w:rPr>
                <w:rFonts w:hint="eastAsia" w:ascii="Times New Roman" w:hAnsi="Times New Roman" w:cs="Times New Roman"/>
                <w:bCs/>
                <w:color w:val="auto"/>
                <w:sz w:val="21"/>
                <w:szCs w:val="18"/>
                <w:highlight w:val="none"/>
              </w:rPr>
            </w:pPr>
            <w:r>
              <w:rPr>
                <w:rFonts w:hint="eastAsia" w:ascii="Times New Roman" w:hAnsi="Times New Roman" w:cs="Times New Roman"/>
                <w:bCs/>
                <w:color w:val="auto"/>
                <w:sz w:val="21"/>
                <w:szCs w:val="18"/>
                <w:highlight w:val="none"/>
              </w:rPr>
              <w:t>废液储罐</w:t>
            </w:r>
          </w:p>
        </w:tc>
        <w:tc>
          <w:tcPr>
            <w:tcW w:w="1330" w:type="dxa"/>
            <w:shd w:val="clear" w:color="auto" w:fill="FFFFFF"/>
            <w:vAlign w:val="center"/>
          </w:tcPr>
          <w:p w14:paraId="7CB7E962">
            <w:pPr>
              <w:keepNext w:val="0"/>
              <w:keepLines w:val="0"/>
              <w:pageBreakBefore w:val="0"/>
              <w:kinsoku/>
              <w:wordWrap/>
              <w:overflowPunct/>
              <w:topLinePunct w:val="0"/>
              <w:autoSpaceDE/>
              <w:autoSpaceDN/>
              <w:bidi w:val="0"/>
              <w:adjustRightInd/>
              <w:snapToGrid/>
              <w:ind w:left="0" w:right="0"/>
              <w:jc w:val="center"/>
              <w:textAlignment w:val="auto"/>
              <w:rPr>
                <w:rFonts w:hint="eastAsia" w:ascii="Times New Roman" w:hAnsi="Times New Roman" w:eastAsia="宋体" w:cs="Times New Roman"/>
                <w:bCs/>
                <w:color w:val="auto"/>
                <w:sz w:val="21"/>
                <w:szCs w:val="18"/>
                <w:highlight w:val="none"/>
                <w:lang w:val="en-US" w:eastAsia="zh-CN"/>
              </w:rPr>
            </w:pPr>
            <w:r>
              <w:rPr>
                <w:rFonts w:hint="eastAsia" w:ascii="Times New Roman" w:hAnsi="Times New Roman" w:cs="Times New Roman"/>
                <w:bCs/>
                <w:color w:val="auto"/>
                <w:sz w:val="21"/>
                <w:szCs w:val="18"/>
                <w:highlight w:val="none"/>
              </w:rPr>
              <w:t>喷淋废液、</w:t>
            </w:r>
            <w:r>
              <w:rPr>
                <w:rFonts w:hint="eastAsia" w:ascii="Times New Roman" w:hAnsi="Times New Roman" w:cs="Times New Roman"/>
                <w:bCs/>
                <w:color w:val="auto"/>
                <w:sz w:val="21"/>
                <w:szCs w:val="18"/>
                <w:highlight w:val="none"/>
                <w:lang w:val="en-US" w:eastAsia="zh-CN"/>
              </w:rPr>
              <w:t>实验清洗废水</w:t>
            </w:r>
          </w:p>
        </w:tc>
        <w:tc>
          <w:tcPr>
            <w:tcW w:w="855" w:type="dxa"/>
            <w:shd w:val="clear" w:color="auto" w:fill="FFFFFF"/>
            <w:vAlign w:val="center"/>
          </w:tcPr>
          <w:p w14:paraId="1243A1D7">
            <w:pPr>
              <w:keepNext w:val="0"/>
              <w:keepLines w:val="0"/>
              <w:pageBreakBefore w:val="0"/>
              <w:kinsoku/>
              <w:wordWrap/>
              <w:overflowPunct/>
              <w:topLinePunct w:val="0"/>
              <w:autoSpaceDE/>
              <w:autoSpaceDN/>
              <w:bidi w:val="0"/>
              <w:adjustRightInd/>
              <w:snapToGrid/>
              <w:ind w:left="0" w:leftChars="0" w:right="0" w:rightChars="0"/>
              <w:jc w:val="center"/>
              <w:textAlignment w:val="auto"/>
              <w:rPr>
                <w:rFonts w:ascii="Times New Roman" w:hAnsi="Times New Roman" w:cs="Times New Roman"/>
                <w:bCs/>
                <w:color w:val="auto"/>
                <w:sz w:val="21"/>
                <w:szCs w:val="18"/>
                <w:highlight w:val="none"/>
              </w:rPr>
            </w:pPr>
            <w:r>
              <w:rPr>
                <w:rFonts w:ascii="Times New Roman" w:hAnsi="Times New Roman" w:cs="Times New Roman"/>
                <w:bCs/>
                <w:color w:val="auto"/>
                <w:sz w:val="21"/>
                <w:szCs w:val="18"/>
                <w:highlight w:val="none"/>
              </w:rPr>
              <w:t>泄漏、火灾</w:t>
            </w:r>
          </w:p>
        </w:tc>
        <w:tc>
          <w:tcPr>
            <w:tcW w:w="2059" w:type="dxa"/>
            <w:shd w:val="clear" w:color="auto" w:fill="FFFFFF"/>
            <w:vAlign w:val="center"/>
          </w:tcPr>
          <w:p w14:paraId="37164932">
            <w:pPr>
              <w:keepNext w:val="0"/>
              <w:keepLines w:val="0"/>
              <w:pageBreakBefore w:val="0"/>
              <w:kinsoku/>
              <w:wordWrap/>
              <w:overflowPunct/>
              <w:topLinePunct w:val="0"/>
              <w:autoSpaceDE/>
              <w:autoSpaceDN/>
              <w:bidi w:val="0"/>
              <w:adjustRightInd/>
              <w:snapToGrid/>
              <w:ind w:left="0" w:leftChars="0" w:right="0" w:rightChars="0"/>
              <w:jc w:val="center"/>
              <w:textAlignment w:val="auto"/>
              <w:rPr>
                <w:rFonts w:ascii="Times New Roman" w:hAnsi="Times New Roman" w:cs="Times New Roman"/>
                <w:bCs/>
                <w:color w:val="auto"/>
                <w:sz w:val="21"/>
                <w:szCs w:val="18"/>
                <w:highlight w:val="none"/>
              </w:rPr>
            </w:pPr>
            <w:r>
              <w:rPr>
                <w:rFonts w:ascii="Times New Roman" w:hAnsi="Times New Roman" w:cs="Times New Roman"/>
                <w:bCs/>
                <w:color w:val="auto"/>
                <w:sz w:val="21"/>
                <w:szCs w:val="18"/>
                <w:highlight w:val="none"/>
              </w:rPr>
              <w:t>泄漏物料、消防废水等事故废水进入雨水，污染</w:t>
            </w:r>
            <w:r>
              <w:rPr>
                <w:rFonts w:hint="eastAsia" w:ascii="Times New Roman" w:hAnsi="Times New Roman" w:cs="Times New Roman"/>
                <w:bCs/>
                <w:color w:val="auto"/>
                <w:sz w:val="21"/>
                <w:szCs w:val="18"/>
                <w:highlight w:val="none"/>
              </w:rPr>
              <w:t>锡北运河</w:t>
            </w:r>
            <w:r>
              <w:rPr>
                <w:rFonts w:ascii="Times New Roman" w:hAnsi="Times New Roman" w:cs="Times New Roman"/>
                <w:bCs/>
                <w:color w:val="auto"/>
                <w:sz w:val="21"/>
                <w:szCs w:val="18"/>
                <w:highlight w:val="none"/>
              </w:rPr>
              <w:t>；泄漏物料挥发产生废气，火灾产生有毒有害气体进入大气；泄漏物料、消防沙土和废水渗漏进入土壤和地下水</w:t>
            </w:r>
          </w:p>
        </w:tc>
        <w:tc>
          <w:tcPr>
            <w:tcW w:w="1195" w:type="dxa"/>
            <w:shd w:val="clear" w:color="auto" w:fill="FFFFFF"/>
            <w:vAlign w:val="center"/>
          </w:tcPr>
          <w:p w14:paraId="2C09C278">
            <w:pPr>
              <w:keepNext w:val="0"/>
              <w:keepLines w:val="0"/>
              <w:pageBreakBefore w:val="0"/>
              <w:kinsoku/>
              <w:wordWrap/>
              <w:overflowPunct/>
              <w:topLinePunct w:val="0"/>
              <w:autoSpaceDE/>
              <w:autoSpaceDN/>
              <w:bidi w:val="0"/>
              <w:adjustRightInd/>
              <w:snapToGrid/>
              <w:ind w:left="0" w:leftChars="0" w:right="0" w:rightChars="0"/>
              <w:jc w:val="center"/>
              <w:textAlignment w:val="auto"/>
              <w:rPr>
                <w:rFonts w:ascii="Times New Roman" w:hAnsi="Times New Roman" w:cs="Times New Roman"/>
                <w:bCs/>
                <w:color w:val="auto"/>
                <w:sz w:val="21"/>
                <w:szCs w:val="18"/>
                <w:highlight w:val="none"/>
              </w:rPr>
            </w:pPr>
            <w:r>
              <w:rPr>
                <w:rFonts w:ascii="Times New Roman" w:hAnsi="Times New Roman" w:cs="Times New Roman"/>
                <w:bCs/>
                <w:color w:val="auto"/>
                <w:sz w:val="21"/>
                <w:szCs w:val="18"/>
                <w:highlight w:val="none"/>
              </w:rPr>
              <w:t>地表水、环境空气、地下水、土壤</w:t>
            </w:r>
          </w:p>
        </w:tc>
        <w:tc>
          <w:tcPr>
            <w:tcW w:w="797" w:type="dxa"/>
            <w:shd w:val="clear" w:color="auto" w:fill="FFFFFF"/>
            <w:vAlign w:val="center"/>
          </w:tcPr>
          <w:p w14:paraId="189492BC">
            <w:pPr>
              <w:keepNext w:val="0"/>
              <w:keepLines w:val="0"/>
              <w:pageBreakBefore w:val="0"/>
              <w:kinsoku/>
              <w:wordWrap/>
              <w:overflowPunct/>
              <w:topLinePunct w:val="0"/>
              <w:autoSpaceDE/>
              <w:autoSpaceDN/>
              <w:bidi w:val="0"/>
              <w:adjustRightInd/>
              <w:snapToGrid/>
              <w:ind w:left="0" w:leftChars="0" w:right="0" w:rightChars="0"/>
              <w:jc w:val="center"/>
              <w:textAlignment w:val="auto"/>
              <w:rPr>
                <w:rFonts w:ascii="Times New Roman" w:hAnsi="Times New Roman" w:cs="Times New Roman"/>
                <w:bCs/>
                <w:color w:val="auto"/>
                <w:sz w:val="21"/>
                <w:szCs w:val="18"/>
                <w:highlight w:val="none"/>
              </w:rPr>
            </w:pPr>
            <w:r>
              <w:rPr>
                <w:rFonts w:ascii="Times New Roman" w:hAnsi="Times New Roman" w:cs="Times New Roman"/>
                <w:bCs/>
                <w:color w:val="auto"/>
                <w:sz w:val="21"/>
                <w:szCs w:val="18"/>
                <w:highlight w:val="none"/>
              </w:rPr>
              <w:t>/</w:t>
            </w:r>
          </w:p>
        </w:tc>
      </w:tr>
      <w:tr w14:paraId="1CFD007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660" w:type="dxa"/>
            <w:shd w:val="clear" w:color="auto" w:fill="FFFFFF"/>
            <w:vAlign w:val="center"/>
          </w:tcPr>
          <w:p w14:paraId="410FD249">
            <w:pPr>
              <w:keepNext w:val="0"/>
              <w:keepLines w:val="0"/>
              <w:pageBreakBefore w:val="0"/>
              <w:numPr>
                <w:ilvl w:val="0"/>
                <w:numId w:val="26"/>
              </w:numPr>
              <w:kinsoku/>
              <w:wordWrap/>
              <w:overflowPunct/>
              <w:topLinePunct w:val="0"/>
              <w:autoSpaceDE/>
              <w:autoSpaceDN/>
              <w:bidi w:val="0"/>
              <w:adjustRightInd/>
              <w:snapToGrid/>
              <w:ind w:left="0" w:right="0"/>
              <w:jc w:val="center"/>
              <w:textAlignment w:val="auto"/>
              <w:rPr>
                <w:rFonts w:ascii="Times New Roman" w:hAnsi="Times New Roman" w:cs="Times New Roman"/>
                <w:bCs/>
                <w:color w:val="auto"/>
                <w:sz w:val="21"/>
                <w:szCs w:val="18"/>
                <w:highlight w:val="none"/>
              </w:rPr>
            </w:pPr>
          </w:p>
        </w:tc>
        <w:tc>
          <w:tcPr>
            <w:tcW w:w="824" w:type="dxa"/>
            <w:shd w:val="clear" w:color="auto" w:fill="FFFFFF"/>
            <w:vAlign w:val="center"/>
          </w:tcPr>
          <w:p w14:paraId="5B37B8A8">
            <w:pPr>
              <w:keepNext w:val="0"/>
              <w:keepLines w:val="0"/>
              <w:pageBreakBefore w:val="0"/>
              <w:kinsoku/>
              <w:wordWrap/>
              <w:overflowPunct/>
              <w:topLinePunct w:val="0"/>
              <w:autoSpaceDE/>
              <w:autoSpaceDN/>
              <w:bidi w:val="0"/>
              <w:adjustRightInd/>
              <w:snapToGrid/>
              <w:ind w:left="0" w:right="0"/>
              <w:jc w:val="center"/>
              <w:textAlignment w:val="auto"/>
              <w:rPr>
                <w:rFonts w:ascii="Times New Roman" w:hAnsi="Times New Roman" w:cs="Times New Roman"/>
                <w:bCs/>
                <w:color w:val="auto"/>
                <w:sz w:val="21"/>
                <w:szCs w:val="18"/>
                <w:highlight w:val="none"/>
              </w:rPr>
            </w:pPr>
            <w:r>
              <w:rPr>
                <w:rFonts w:ascii="Times New Roman" w:hAnsi="Times New Roman" w:cs="Times New Roman"/>
                <w:bCs/>
                <w:color w:val="auto"/>
                <w:sz w:val="21"/>
                <w:szCs w:val="18"/>
                <w:highlight w:val="none"/>
              </w:rPr>
              <w:t>生产设备</w:t>
            </w:r>
          </w:p>
        </w:tc>
        <w:tc>
          <w:tcPr>
            <w:tcW w:w="975" w:type="dxa"/>
            <w:shd w:val="clear" w:color="auto" w:fill="FFFFFF"/>
            <w:vAlign w:val="center"/>
          </w:tcPr>
          <w:p w14:paraId="1E4EDA6F">
            <w:pPr>
              <w:keepNext w:val="0"/>
              <w:keepLines w:val="0"/>
              <w:pageBreakBefore w:val="0"/>
              <w:kinsoku/>
              <w:wordWrap/>
              <w:overflowPunct/>
              <w:topLinePunct w:val="0"/>
              <w:autoSpaceDE/>
              <w:autoSpaceDN/>
              <w:bidi w:val="0"/>
              <w:adjustRightInd/>
              <w:snapToGrid/>
              <w:ind w:left="0" w:right="0"/>
              <w:jc w:val="center"/>
              <w:textAlignment w:val="auto"/>
              <w:rPr>
                <w:rFonts w:hint="eastAsia" w:ascii="Times New Roman" w:hAnsi="Times New Roman" w:eastAsia="宋体" w:cs="Times New Roman"/>
                <w:bCs/>
                <w:color w:val="auto"/>
                <w:sz w:val="21"/>
                <w:szCs w:val="18"/>
                <w:highlight w:val="none"/>
                <w:lang w:val="en-US" w:eastAsia="zh-CN"/>
              </w:rPr>
            </w:pPr>
            <w:r>
              <w:rPr>
                <w:rFonts w:hint="eastAsia" w:ascii="Times New Roman" w:hAnsi="Times New Roman" w:cs="Times New Roman"/>
                <w:bCs/>
                <w:color w:val="auto"/>
                <w:sz w:val="21"/>
                <w:szCs w:val="18"/>
                <w:highlight w:val="none"/>
                <w:lang w:val="en-US" w:eastAsia="zh-CN"/>
              </w:rPr>
              <w:t>生产车间</w:t>
            </w:r>
          </w:p>
        </w:tc>
        <w:tc>
          <w:tcPr>
            <w:tcW w:w="1330" w:type="dxa"/>
            <w:shd w:val="clear" w:color="auto" w:fill="FFFFFF"/>
            <w:vAlign w:val="center"/>
          </w:tcPr>
          <w:p w14:paraId="5D501710">
            <w:pPr>
              <w:keepNext w:val="0"/>
              <w:keepLines w:val="0"/>
              <w:pageBreakBefore w:val="0"/>
              <w:kinsoku/>
              <w:wordWrap/>
              <w:overflowPunct/>
              <w:topLinePunct w:val="0"/>
              <w:autoSpaceDE/>
              <w:autoSpaceDN/>
              <w:bidi w:val="0"/>
              <w:adjustRightInd/>
              <w:snapToGrid/>
              <w:ind w:left="0" w:right="0"/>
              <w:jc w:val="center"/>
              <w:textAlignment w:val="auto"/>
              <w:rPr>
                <w:rFonts w:ascii="Times New Roman" w:hAnsi="Times New Roman" w:cs="Times New Roman"/>
                <w:bCs/>
                <w:color w:val="auto"/>
                <w:sz w:val="21"/>
                <w:szCs w:val="18"/>
                <w:highlight w:val="none"/>
              </w:rPr>
            </w:pPr>
            <w:r>
              <w:rPr>
                <w:rFonts w:hint="eastAsia" w:ascii="Times New Roman" w:hAnsi="Times New Roman" w:cs="Times New Roman"/>
                <w:bCs/>
                <w:color w:val="auto"/>
                <w:sz w:val="21"/>
                <w:szCs w:val="18"/>
                <w:highlight w:val="none"/>
              </w:rPr>
              <w:t>丙烯酸酯树脂、异氰酸酯（六亚甲基-1,6-二异氰酸酯）、聚氨酯丙烯酸酯</w:t>
            </w:r>
          </w:p>
          <w:p w14:paraId="093F0117">
            <w:pPr>
              <w:keepNext w:val="0"/>
              <w:keepLines w:val="0"/>
              <w:pageBreakBefore w:val="0"/>
              <w:kinsoku/>
              <w:wordWrap/>
              <w:overflowPunct/>
              <w:topLinePunct w:val="0"/>
              <w:autoSpaceDE/>
              <w:autoSpaceDN/>
              <w:bidi w:val="0"/>
              <w:adjustRightInd/>
              <w:snapToGrid/>
              <w:ind w:left="0" w:right="0"/>
              <w:jc w:val="center"/>
              <w:textAlignment w:val="auto"/>
              <w:rPr>
                <w:rFonts w:ascii="Times New Roman" w:hAnsi="Times New Roman" w:cs="Times New Roman"/>
                <w:bCs/>
                <w:color w:val="auto"/>
                <w:sz w:val="21"/>
                <w:szCs w:val="18"/>
                <w:highlight w:val="none"/>
              </w:rPr>
            </w:pPr>
            <w:r>
              <w:rPr>
                <w:rFonts w:hint="eastAsia" w:ascii="Times New Roman" w:hAnsi="Times New Roman" w:cs="Times New Roman"/>
                <w:bCs/>
                <w:color w:val="auto"/>
                <w:sz w:val="21"/>
                <w:szCs w:val="18"/>
                <w:highlight w:val="none"/>
              </w:rPr>
              <w:t>环氧丙烯酸树脂、单体（二缩三丙二醇二丙烯酸酯）、光敏剂（1-羟环己基苯酮）、酚醛环氧树脂、丙烯酸、2-乙二醇单乙醚醋酸酯（溶剂）、重溶剂油（溶剂）、2-甲基对苯二酚（聚合阻止剂）、三苯基膦（催化剂）、2、6-二叔丁基对甲基苯酚（聚合阻止剂）、四氢化邻苯二甲酸酐、二甲基亚砜、N-甲基吡咯烷酮、四甲基氢氧化铵、2-甲氨基乙醇、邻苯二酚、乙醇胺</w:t>
            </w:r>
            <w:r>
              <w:rPr>
                <w:rFonts w:ascii="Times New Roman" w:hAnsi="Times New Roman" w:cs="Times New Roman"/>
                <w:bCs/>
                <w:color w:val="auto"/>
                <w:sz w:val="21"/>
                <w:szCs w:val="18"/>
                <w:highlight w:val="none"/>
              </w:rPr>
              <w:t>等</w:t>
            </w:r>
          </w:p>
        </w:tc>
        <w:tc>
          <w:tcPr>
            <w:tcW w:w="855" w:type="dxa"/>
            <w:shd w:val="clear" w:color="auto" w:fill="FFFFFF"/>
            <w:vAlign w:val="center"/>
          </w:tcPr>
          <w:p w14:paraId="1F05A484">
            <w:pPr>
              <w:keepNext w:val="0"/>
              <w:keepLines w:val="0"/>
              <w:pageBreakBefore w:val="0"/>
              <w:kinsoku/>
              <w:wordWrap/>
              <w:overflowPunct/>
              <w:topLinePunct w:val="0"/>
              <w:autoSpaceDE/>
              <w:autoSpaceDN/>
              <w:bidi w:val="0"/>
              <w:adjustRightInd/>
              <w:snapToGrid/>
              <w:ind w:left="0" w:right="0"/>
              <w:jc w:val="center"/>
              <w:textAlignment w:val="auto"/>
              <w:rPr>
                <w:rFonts w:ascii="Times New Roman" w:hAnsi="Times New Roman" w:cs="Times New Roman"/>
                <w:bCs/>
                <w:color w:val="auto"/>
                <w:sz w:val="21"/>
                <w:szCs w:val="18"/>
                <w:highlight w:val="none"/>
              </w:rPr>
            </w:pPr>
            <w:r>
              <w:rPr>
                <w:rFonts w:ascii="Times New Roman" w:hAnsi="Times New Roman" w:cs="Times New Roman"/>
                <w:bCs/>
                <w:color w:val="auto"/>
                <w:sz w:val="21"/>
                <w:szCs w:val="18"/>
                <w:highlight w:val="none"/>
              </w:rPr>
              <w:t>泄漏、火灾</w:t>
            </w:r>
          </w:p>
        </w:tc>
        <w:tc>
          <w:tcPr>
            <w:tcW w:w="2059" w:type="dxa"/>
            <w:shd w:val="clear" w:color="auto" w:fill="FFFFFF"/>
            <w:vAlign w:val="center"/>
          </w:tcPr>
          <w:p w14:paraId="22DD61DB">
            <w:pPr>
              <w:keepNext w:val="0"/>
              <w:keepLines w:val="0"/>
              <w:pageBreakBefore w:val="0"/>
              <w:kinsoku/>
              <w:wordWrap/>
              <w:overflowPunct/>
              <w:topLinePunct w:val="0"/>
              <w:autoSpaceDE/>
              <w:autoSpaceDN/>
              <w:bidi w:val="0"/>
              <w:adjustRightInd/>
              <w:snapToGrid/>
              <w:ind w:left="0" w:right="0"/>
              <w:jc w:val="center"/>
              <w:textAlignment w:val="auto"/>
              <w:rPr>
                <w:rFonts w:ascii="Times New Roman" w:hAnsi="Times New Roman" w:cs="Times New Roman"/>
                <w:bCs/>
                <w:color w:val="auto"/>
                <w:sz w:val="21"/>
                <w:szCs w:val="18"/>
                <w:highlight w:val="none"/>
              </w:rPr>
            </w:pPr>
            <w:r>
              <w:rPr>
                <w:rFonts w:ascii="Times New Roman" w:hAnsi="Times New Roman" w:cs="Times New Roman"/>
                <w:bCs/>
                <w:color w:val="auto"/>
                <w:sz w:val="21"/>
                <w:szCs w:val="18"/>
                <w:highlight w:val="none"/>
              </w:rPr>
              <w:t>泄漏物料进入雨水，污染</w:t>
            </w:r>
            <w:r>
              <w:rPr>
                <w:rFonts w:hint="eastAsia" w:ascii="Times New Roman" w:hAnsi="Times New Roman" w:cs="Times New Roman"/>
                <w:bCs/>
                <w:color w:val="auto"/>
                <w:sz w:val="21"/>
                <w:szCs w:val="18"/>
                <w:highlight w:val="none"/>
              </w:rPr>
              <w:t>锡北运河</w:t>
            </w:r>
            <w:r>
              <w:rPr>
                <w:rFonts w:ascii="Times New Roman" w:hAnsi="Times New Roman" w:cs="Times New Roman"/>
                <w:bCs/>
                <w:color w:val="auto"/>
                <w:sz w:val="21"/>
                <w:szCs w:val="18"/>
                <w:highlight w:val="none"/>
              </w:rPr>
              <w:t>；泄漏物料挥发产生废气进入大气</w:t>
            </w:r>
            <w:r>
              <w:rPr>
                <w:rFonts w:hint="eastAsia" w:ascii="Times New Roman" w:hAnsi="Times New Roman" w:cs="Times New Roman"/>
                <w:bCs/>
                <w:color w:val="auto"/>
                <w:sz w:val="21"/>
                <w:szCs w:val="18"/>
                <w:highlight w:val="none"/>
              </w:rPr>
              <w:t>，</w:t>
            </w:r>
            <w:r>
              <w:rPr>
                <w:rFonts w:ascii="Times New Roman" w:hAnsi="Times New Roman" w:cs="Times New Roman"/>
                <w:bCs/>
                <w:color w:val="auto"/>
                <w:sz w:val="21"/>
                <w:szCs w:val="18"/>
                <w:highlight w:val="none"/>
              </w:rPr>
              <w:t>火灾产生有毒有害气体进入大气；泄漏物料渗漏进入土壤和地下水</w:t>
            </w:r>
          </w:p>
        </w:tc>
        <w:tc>
          <w:tcPr>
            <w:tcW w:w="1195" w:type="dxa"/>
            <w:shd w:val="clear" w:color="auto" w:fill="FFFFFF"/>
            <w:vAlign w:val="center"/>
          </w:tcPr>
          <w:p w14:paraId="3E5CB521">
            <w:pPr>
              <w:keepNext w:val="0"/>
              <w:keepLines w:val="0"/>
              <w:pageBreakBefore w:val="0"/>
              <w:kinsoku/>
              <w:wordWrap/>
              <w:overflowPunct/>
              <w:topLinePunct w:val="0"/>
              <w:autoSpaceDE/>
              <w:autoSpaceDN/>
              <w:bidi w:val="0"/>
              <w:adjustRightInd/>
              <w:snapToGrid/>
              <w:ind w:left="0" w:right="0"/>
              <w:jc w:val="center"/>
              <w:textAlignment w:val="auto"/>
              <w:rPr>
                <w:rFonts w:ascii="Times New Roman" w:hAnsi="Times New Roman" w:cs="Times New Roman"/>
                <w:bCs/>
                <w:color w:val="auto"/>
                <w:sz w:val="21"/>
                <w:szCs w:val="18"/>
                <w:highlight w:val="none"/>
              </w:rPr>
            </w:pPr>
            <w:r>
              <w:rPr>
                <w:rFonts w:ascii="Times New Roman" w:hAnsi="Times New Roman" w:cs="Times New Roman"/>
                <w:bCs/>
                <w:color w:val="auto"/>
                <w:sz w:val="21"/>
                <w:szCs w:val="18"/>
                <w:highlight w:val="none"/>
              </w:rPr>
              <w:t>地表水、环境空气、地下水、土壤</w:t>
            </w:r>
          </w:p>
        </w:tc>
        <w:tc>
          <w:tcPr>
            <w:tcW w:w="797" w:type="dxa"/>
            <w:shd w:val="clear" w:color="auto" w:fill="FFFFFF"/>
            <w:vAlign w:val="center"/>
          </w:tcPr>
          <w:p w14:paraId="6CE67AD6">
            <w:pPr>
              <w:keepNext w:val="0"/>
              <w:keepLines w:val="0"/>
              <w:pageBreakBefore w:val="0"/>
              <w:kinsoku/>
              <w:wordWrap/>
              <w:overflowPunct/>
              <w:topLinePunct w:val="0"/>
              <w:autoSpaceDE/>
              <w:autoSpaceDN/>
              <w:bidi w:val="0"/>
              <w:adjustRightInd/>
              <w:snapToGrid/>
              <w:ind w:left="0" w:right="0"/>
              <w:jc w:val="center"/>
              <w:textAlignment w:val="auto"/>
              <w:rPr>
                <w:rFonts w:ascii="Times New Roman" w:hAnsi="Times New Roman" w:cs="Times New Roman"/>
                <w:bCs/>
                <w:color w:val="auto"/>
                <w:sz w:val="21"/>
                <w:szCs w:val="18"/>
                <w:highlight w:val="none"/>
              </w:rPr>
            </w:pPr>
            <w:r>
              <w:rPr>
                <w:rFonts w:ascii="Times New Roman" w:hAnsi="Times New Roman" w:cs="Times New Roman"/>
                <w:bCs/>
                <w:color w:val="auto"/>
                <w:sz w:val="21"/>
                <w:szCs w:val="18"/>
                <w:highlight w:val="none"/>
              </w:rPr>
              <w:t>/</w:t>
            </w:r>
          </w:p>
        </w:tc>
      </w:tr>
      <w:tr w14:paraId="4E55D49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660" w:type="dxa"/>
            <w:shd w:val="clear" w:color="auto" w:fill="FFFFFF"/>
            <w:vAlign w:val="center"/>
          </w:tcPr>
          <w:p w14:paraId="0DEEDD61">
            <w:pPr>
              <w:keepNext w:val="0"/>
              <w:keepLines w:val="0"/>
              <w:pageBreakBefore w:val="0"/>
              <w:numPr>
                <w:ilvl w:val="0"/>
                <w:numId w:val="26"/>
              </w:numPr>
              <w:kinsoku/>
              <w:wordWrap/>
              <w:overflowPunct/>
              <w:topLinePunct w:val="0"/>
              <w:autoSpaceDE/>
              <w:autoSpaceDN/>
              <w:bidi w:val="0"/>
              <w:adjustRightInd/>
              <w:snapToGrid/>
              <w:ind w:left="0" w:right="0"/>
              <w:jc w:val="center"/>
              <w:textAlignment w:val="auto"/>
              <w:rPr>
                <w:rFonts w:ascii="Times New Roman" w:hAnsi="Times New Roman" w:cs="Times New Roman"/>
                <w:bCs/>
                <w:color w:val="auto"/>
                <w:sz w:val="21"/>
                <w:szCs w:val="18"/>
                <w:highlight w:val="none"/>
              </w:rPr>
            </w:pPr>
          </w:p>
        </w:tc>
        <w:tc>
          <w:tcPr>
            <w:tcW w:w="824" w:type="dxa"/>
            <w:shd w:val="clear" w:color="auto" w:fill="FFFFFF"/>
            <w:vAlign w:val="center"/>
          </w:tcPr>
          <w:p w14:paraId="27728B19">
            <w:pPr>
              <w:keepNext w:val="0"/>
              <w:keepLines w:val="0"/>
              <w:pageBreakBefore w:val="0"/>
              <w:kinsoku/>
              <w:wordWrap/>
              <w:overflowPunct/>
              <w:topLinePunct w:val="0"/>
              <w:autoSpaceDE/>
              <w:autoSpaceDN/>
              <w:bidi w:val="0"/>
              <w:adjustRightInd/>
              <w:snapToGrid/>
              <w:ind w:left="0" w:right="0"/>
              <w:jc w:val="center"/>
              <w:textAlignment w:val="auto"/>
              <w:rPr>
                <w:rFonts w:ascii="Times New Roman" w:hAnsi="Times New Roman" w:cs="Times New Roman"/>
                <w:bCs/>
                <w:color w:val="auto"/>
                <w:sz w:val="21"/>
                <w:szCs w:val="18"/>
                <w:highlight w:val="none"/>
              </w:rPr>
            </w:pPr>
            <w:r>
              <w:rPr>
                <w:rFonts w:ascii="Times New Roman" w:hAnsi="Times New Roman" w:cs="Times New Roman"/>
                <w:bCs/>
                <w:color w:val="auto"/>
                <w:sz w:val="21"/>
                <w:szCs w:val="18"/>
                <w:highlight w:val="none"/>
              </w:rPr>
              <w:t>废气处理设施</w:t>
            </w:r>
          </w:p>
        </w:tc>
        <w:tc>
          <w:tcPr>
            <w:tcW w:w="975" w:type="dxa"/>
            <w:shd w:val="clear" w:color="auto" w:fill="FFFFFF"/>
            <w:vAlign w:val="center"/>
          </w:tcPr>
          <w:p w14:paraId="30211BD9">
            <w:pPr>
              <w:keepNext w:val="0"/>
              <w:keepLines w:val="0"/>
              <w:pageBreakBefore w:val="0"/>
              <w:kinsoku/>
              <w:wordWrap/>
              <w:overflowPunct/>
              <w:topLinePunct w:val="0"/>
              <w:autoSpaceDE/>
              <w:autoSpaceDN/>
              <w:bidi w:val="0"/>
              <w:adjustRightInd/>
              <w:snapToGrid/>
              <w:ind w:left="0" w:right="0"/>
              <w:jc w:val="center"/>
              <w:textAlignment w:val="auto"/>
              <w:rPr>
                <w:rFonts w:ascii="Times New Roman" w:hAnsi="Times New Roman" w:cs="Times New Roman"/>
                <w:bCs/>
                <w:color w:val="auto"/>
                <w:sz w:val="21"/>
                <w:szCs w:val="18"/>
                <w:highlight w:val="none"/>
              </w:rPr>
            </w:pPr>
            <w:r>
              <w:rPr>
                <w:rFonts w:ascii="Times New Roman" w:hAnsi="Times New Roman" w:cs="Times New Roman"/>
                <w:bCs/>
                <w:color w:val="auto"/>
                <w:sz w:val="21"/>
                <w:szCs w:val="18"/>
                <w:highlight w:val="none"/>
              </w:rPr>
              <w:t>各废气处理设施所在区域</w:t>
            </w:r>
          </w:p>
        </w:tc>
        <w:tc>
          <w:tcPr>
            <w:tcW w:w="1330" w:type="dxa"/>
            <w:shd w:val="clear" w:color="auto" w:fill="FFFFFF"/>
            <w:vAlign w:val="center"/>
          </w:tcPr>
          <w:p w14:paraId="3F1D15AE">
            <w:pPr>
              <w:keepNext w:val="0"/>
              <w:keepLines w:val="0"/>
              <w:pageBreakBefore w:val="0"/>
              <w:kinsoku/>
              <w:wordWrap/>
              <w:overflowPunct/>
              <w:topLinePunct w:val="0"/>
              <w:autoSpaceDE/>
              <w:autoSpaceDN/>
              <w:bidi w:val="0"/>
              <w:adjustRightInd/>
              <w:snapToGrid/>
              <w:ind w:left="0" w:right="0"/>
              <w:jc w:val="center"/>
              <w:textAlignment w:val="auto"/>
              <w:rPr>
                <w:rFonts w:ascii="Times New Roman" w:hAnsi="Times New Roman" w:cs="Times New Roman"/>
                <w:bCs/>
                <w:color w:val="auto"/>
                <w:sz w:val="21"/>
                <w:szCs w:val="18"/>
                <w:highlight w:val="none"/>
              </w:rPr>
            </w:pPr>
            <w:r>
              <w:rPr>
                <w:rFonts w:ascii="Times New Roman" w:hAnsi="Times New Roman" w:cs="Times New Roman"/>
                <w:bCs/>
                <w:color w:val="auto"/>
                <w:kern w:val="2"/>
                <w:sz w:val="21"/>
                <w:szCs w:val="21"/>
                <w:highlight w:val="none"/>
              </w:rPr>
              <w:t>非甲烷总烃</w:t>
            </w:r>
            <w:r>
              <w:rPr>
                <w:rFonts w:hint="eastAsia" w:ascii="Times New Roman" w:hAnsi="Times New Roman" w:cs="Times New Roman"/>
                <w:bCs/>
                <w:color w:val="auto"/>
                <w:kern w:val="2"/>
                <w:sz w:val="21"/>
                <w:szCs w:val="21"/>
                <w:highlight w:val="none"/>
              </w:rPr>
              <w:t>、氮氧化物</w:t>
            </w:r>
          </w:p>
        </w:tc>
        <w:tc>
          <w:tcPr>
            <w:tcW w:w="855" w:type="dxa"/>
            <w:shd w:val="clear" w:color="auto" w:fill="FFFFFF"/>
            <w:vAlign w:val="center"/>
          </w:tcPr>
          <w:p w14:paraId="3980CA1B">
            <w:pPr>
              <w:keepNext w:val="0"/>
              <w:keepLines w:val="0"/>
              <w:pageBreakBefore w:val="0"/>
              <w:kinsoku/>
              <w:wordWrap/>
              <w:overflowPunct/>
              <w:topLinePunct w:val="0"/>
              <w:autoSpaceDE/>
              <w:autoSpaceDN/>
              <w:bidi w:val="0"/>
              <w:adjustRightInd/>
              <w:snapToGrid/>
              <w:ind w:left="0" w:right="0"/>
              <w:jc w:val="center"/>
              <w:textAlignment w:val="auto"/>
              <w:rPr>
                <w:rFonts w:ascii="Times New Roman" w:hAnsi="Times New Roman" w:cs="Times New Roman"/>
                <w:bCs/>
                <w:color w:val="auto"/>
                <w:sz w:val="21"/>
                <w:szCs w:val="15"/>
                <w:highlight w:val="none"/>
              </w:rPr>
            </w:pPr>
            <w:r>
              <w:rPr>
                <w:rFonts w:ascii="Times New Roman" w:hAnsi="Times New Roman" w:cs="Times New Roman"/>
                <w:bCs/>
                <w:color w:val="auto"/>
                <w:sz w:val="21"/>
                <w:szCs w:val="15"/>
                <w:highlight w:val="none"/>
              </w:rPr>
              <w:t>泄漏、火灾</w:t>
            </w:r>
          </w:p>
        </w:tc>
        <w:tc>
          <w:tcPr>
            <w:tcW w:w="2059" w:type="dxa"/>
            <w:shd w:val="clear" w:color="auto" w:fill="FFFFFF"/>
            <w:vAlign w:val="center"/>
          </w:tcPr>
          <w:p w14:paraId="689BA273">
            <w:pPr>
              <w:keepNext w:val="0"/>
              <w:keepLines w:val="0"/>
              <w:pageBreakBefore w:val="0"/>
              <w:kinsoku/>
              <w:wordWrap/>
              <w:overflowPunct/>
              <w:topLinePunct w:val="0"/>
              <w:autoSpaceDE/>
              <w:autoSpaceDN/>
              <w:bidi w:val="0"/>
              <w:adjustRightInd/>
              <w:snapToGrid/>
              <w:ind w:left="0" w:right="0"/>
              <w:jc w:val="center"/>
              <w:textAlignment w:val="auto"/>
              <w:rPr>
                <w:rFonts w:ascii="Times New Roman" w:hAnsi="Times New Roman" w:cs="Times New Roman"/>
                <w:bCs/>
                <w:color w:val="auto"/>
                <w:sz w:val="21"/>
                <w:szCs w:val="15"/>
                <w:highlight w:val="none"/>
              </w:rPr>
            </w:pPr>
            <w:r>
              <w:rPr>
                <w:rFonts w:ascii="Times New Roman" w:hAnsi="Times New Roman" w:cs="Times New Roman"/>
                <w:bCs/>
                <w:color w:val="auto"/>
                <w:sz w:val="21"/>
                <w:szCs w:val="15"/>
                <w:highlight w:val="none"/>
              </w:rPr>
              <w:t>超标废气排放进入大气环境，大气沉降进入土壤、地下水；消防废水等事故废水进入雨水，污染附近水体；火灾产生有毒有害气体进入大气；消防沙土和废水渗漏进入土壤和地下水</w:t>
            </w:r>
          </w:p>
        </w:tc>
        <w:tc>
          <w:tcPr>
            <w:tcW w:w="1195" w:type="dxa"/>
            <w:shd w:val="clear" w:color="auto" w:fill="FFFFFF"/>
            <w:vAlign w:val="center"/>
          </w:tcPr>
          <w:p w14:paraId="0C5D2066">
            <w:pPr>
              <w:keepNext w:val="0"/>
              <w:keepLines w:val="0"/>
              <w:pageBreakBefore w:val="0"/>
              <w:kinsoku/>
              <w:wordWrap/>
              <w:overflowPunct/>
              <w:topLinePunct w:val="0"/>
              <w:autoSpaceDE/>
              <w:autoSpaceDN/>
              <w:bidi w:val="0"/>
              <w:adjustRightInd/>
              <w:snapToGrid/>
              <w:ind w:left="0" w:right="0"/>
              <w:jc w:val="center"/>
              <w:textAlignment w:val="auto"/>
              <w:rPr>
                <w:rFonts w:ascii="Times New Roman" w:hAnsi="Times New Roman" w:cs="Times New Roman"/>
                <w:bCs/>
                <w:color w:val="auto"/>
                <w:sz w:val="21"/>
                <w:szCs w:val="15"/>
                <w:highlight w:val="none"/>
              </w:rPr>
            </w:pPr>
            <w:r>
              <w:rPr>
                <w:rFonts w:ascii="Times New Roman" w:hAnsi="Times New Roman" w:cs="Times New Roman"/>
                <w:bCs/>
                <w:color w:val="auto"/>
                <w:sz w:val="21"/>
                <w:szCs w:val="15"/>
                <w:highlight w:val="none"/>
              </w:rPr>
              <w:t>地表水、环境空气、地下水、土壤</w:t>
            </w:r>
          </w:p>
        </w:tc>
        <w:tc>
          <w:tcPr>
            <w:tcW w:w="797" w:type="dxa"/>
            <w:shd w:val="clear" w:color="auto" w:fill="FFFFFF"/>
            <w:vAlign w:val="center"/>
          </w:tcPr>
          <w:p w14:paraId="4BB1A2AD">
            <w:pPr>
              <w:keepNext w:val="0"/>
              <w:keepLines w:val="0"/>
              <w:pageBreakBefore w:val="0"/>
              <w:kinsoku/>
              <w:wordWrap/>
              <w:overflowPunct/>
              <w:topLinePunct w:val="0"/>
              <w:autoSpaceDE/>
              <w:autoSpaceDN/>
              <w:bidi w:val="0"/>
              <w:adjustRightInd/>
              <w:snapToGrid/>
              <w:ind w:left="0" w:right="0"/>
              <w:jc w:val="center"/>
              <w:textAlignment w:val="auto"/>
              <w:rPr>
                <w:rFonts w:ascii="Times New Roman" w:hAnsi="Times New Roman" w:cs="Times New Roman"/>
                <w:bCs/>
                <w:color w:val="auto"/>
                <w:sz w:val="21"/>
                <w:szCs w:val="18"/>
                <w:highlight w:val="none"/>
              </w:rPr>
            </w:pPr>
            <w:r>
              <w:rPr>
                <w:rFonts w:ascii="Times New Roman" w:hAnsi="Times New Roman" w:cs="Times New Roman"/>
                <w:bCs/>
                <w:color w:val="auto"/>
                <w:sz w:val="21"/>
                <w:szCs w:val="18"/>
                <w:highlight w:val="none"/>
              </w:rPr>
              <w:t>/</w:t>
            </w:r>
          </w:p>
        </w:tc>
      </w:tr>
    </w:tbl>
    <w:p w14:paraId="5900180F">
      <w:pPr>
        <w:pStyle w:val="5"/>
        <w:keepLines w:val="0"/>
        <w:numPr>
          <w:ilvl w:val="2"/>
          <w:numId w:val="6"/>
        </w:numPr>
        <w:tabs>
          <w:tab w:val="left" w:pos="141"/>
          <w:tab w:val="left" w:pos="567"/>
          <w:tab w:val="left" w:pos="709"/>
        </w:tabs>
        <w:spacing w:before="120" w:beforeLines="50" w:after="120" w:afterLines="50" w:line="360" w:lineRule="auto"/>
        <w:ind w:left="-105" w:right="-105"/>
        <w:rPr>
          <w:rFonts w:eastAsia="宋体"/>
          <w:color w:val="auto"/>
          <w:sz w:val="28"/>
          <w:szCs w:val="28"/>
          <w:highlight w:val="none"/>
        </w:rPr>
      </w:pPr>
      <w:r>
        <w:rPr>
          <w:rFonts w:eastAsia="宋体"/>
          <w:color w:val="auto"/>
          <w:sz w:val="28"/>
          <w:szCs w:val="28"/>
          <w:highlight w:val="none"/>
        </w:rPr>
        <w:t>风险事故情形分析</w:t>
      </w:r>
    </w:p>
    <w:p w14:paraId="702C8B36">
      <w:pPr>
        <w:pStyle w:val="6"/>
        <w:keepLines w:val="0"/>
        <w:widowControl/>
        <w:numPr>
          <w:ilvl w:val="3"/>
          <w:numId w:val="6"/>
        </w:numPr>
        <w:spacing w:before="120" w:beforeLines="50" w:after="120" w:afterLines="50" w:line="360" w:lineRule="auto"/>
        <w:ind w:left="-105" w:right="-105"/>
        <w:rPr>
          <w:rFonts w:ascii="Times New Roman" w:hAnsi="Times New Roman"/>
          <w:color w:val="auto"/>
          <w:sz w:val="24"/>
          <w:szCs w:val="24"/>
          <w:highlight w:val="none"/>
        </w:rPr>
      </w:pPr>
      <w:bookmarkStart w:id="254" w:name="_Toc60653515"/>
      <w:r>
        <w:rPr>
          <w:rFonts w:ascii="Times New Roman" w:hAnsi="Times New Roman"/>
          <w:color w:val="auto"/>
          <w:sz w:val="24"/>
          <w:szCs w:val="24"/>
          <w:highlight w:val="none"/>
        </w:rPr>
        <w:t>最大可信事故确定</w:t>
      </w:r>
      <w:bookmarkEnd w:id="254"/>
    </w:p>
    <w:p w14:paraId="7B7FE529">
      <w:pPr>
        <w:spacing w:line="360" w:lineRule="auto"/>
        <w:ind w:left="-105" w:right="-105" w:firstLine="480" w:firstLineChars="200"/>
        <w:rPr>
          <w:rFonts w:ascii="Times New Roman" w:hAnsi="Times New Roman" w:cs="Times New Roman"/>
          <w:color w:val="auto"/>
          <w:highlight w:val="none"/>
        </w:rPr>
      </w:pPr>
      <w:r>
        <w:rPr>
          <w:rFonts w:ascii="Times New Roman" w:hAnsi="Times New Roman" w:cs="Times New Roman"/>
          <w:color w:val="auto"/>
          <w:highlight w:val="none"/>
        </w:rPr>
        <w:t>因事故触发因素具有不确定性，因此事故情形的设定并不能包含全部可能的环境风险，但通过对具有代表性的事故情形分析可为风险管理提供科学依据，并在环境风险识别的基础上筛选出泄漏事故作为具有危险物质、环境危害、影响途径等方面代表性的事故情形进行设定。</w:t>
      </w:r>
    </w:p>
    <w:p w14:paraId="78A296F2">
      <w:pPr>
        <w:spacing w:line="360" w:lineRule="auto"/>
        <w:ind w:left="-105" w:right="-105" w:firstLine="480" w:firstLineChars="200"/>
        <w:rPr>
          <w:rFonts w:ascii="Times New Roman" w:hAnsi="Times New Roman" w:cs="Times New Roman"/>
          <w:color w:val="auto"/>
          <w:highlight w:val="none"/>
        </w:rPr>
      </w:pPr>
      <w:r>
        <w:rPr>
          <w:rFonts w:ascii="Times New Roman" w:hAnsi="Times New Roman" w:cs="Times New Roman"/>
          <w:color w:val="auto"/>
          <w:highlight w:val="none"/>
        </w:rPr>
        <w:t>根据潜在事故危险分析，本项目虽具有多个事故风险源，但是从生产过程、物料储运分析及物料毒性分析，环境风险事故主要分为有毒有害物质的泄漏，以及可燃物质引起的火灾、爆炸。</w:t>
      </w:r>
    </w:p>
    <w:p w14:paraId="1E740F19">
      <w:pPr>
        <w:pStyle w:val="239"/>
        <w:rPr>
          <w:rFonts w:ascii="Times New Roman" w:hAnsi="Times New Roman" w:eastAsia="宋体"/>
          <w:bCs w:val="0"/>
          <w:color w:val="auto"/>
          <w:highlight w:val="none"/>
        </w:rPr>
      </w:pPr>
      <w:r>
        <w:rPr>
          <w:rFonts w:ascii="Times New Roman" w:hAnsi="Times New Roman" w:eastAsia="宋体"/>
          <w:bCs w:val="0"/>
          <w:color w:val="auto"/>
          <w:highlight w:val="none"/>
        </w:rPr>
        <w:t>因此，根据</w:t>
      </w:r>
      <w:r>
        <w:rPr>
          <w:rFonts w:ascii="Times New Roman" w:hAnsi="Times New Roman" w:eastAsia="宋体"/>
          <w:color w:val="auto"/>
          <w:highlight w:val="none"/>
        </w:rPr>
        <w:t>《建设项目环境风险评价技术导则HJ169—2018》风险事故</w:t>
      </w:r>
      <w:r>
        <w:rPr>
          <w:rFonts w:ascii="Times New Roman" w:hAnsi="Times New Roman" w:eastAsia="宋体"/>
          <w:bCs w:val="0"/>
          <w:color w:val="auto"/>
          <w:highlight w:val="none"/>
        </w:rPr>
        <w:t>情形设定基本原则，</w:t>
      </w:r>
      <w:r>
        <w:rPr>
          <w:rFonts w:ascii="Times New Roman" w:hAnsi="Times New Roman" w:eastAsia="宋体"/>
          <w:color w:val="auto"/>
          <w:highlight w:val="none"/>
        </w:rPr>
        <w:t>综合比较企业环境风险物质的存在量、q/Q值、危险性特征和包装规格等，确定本项目最大可信事故如下：</w:t>
      </w:r>
    </w:p>
    <w:p w14:paraId="37B9560F">
      <w:pPr>
        <w:pStyle w:val="239"/>
        <w:numPr>
          <w:ilvl w:val="0"/>
          <w:numId w:val="27"/>
        </w:numPr>
        <w:ind w:firstLine="480"/>
        <w:rPr>
          <w:rFonts w:ascii="Times New Roman" w:hAnsi="Times New Roman" w:eastAsia="宋体"/>
          <w:bCs w:val="0"/>
          <w:color w:val="auto"/>
          <w:highlight w:val="none"/>
        </w:rPr>
      </w:pPr>
      <w:r>
        <w:rPr>
          <w:rFonts w:ascii="Times New Roman" w:hAnsi="Times New Roman" w:eastAsia="宋体"/>
          <w:bCs w:val="0"/>
          <w:color w:val="auto"/>
          <w:highlight w:val="none"/>
        </w:rPr>
        <w:t>大气环境风险最大可信事故——</w:t>
      </w:r>
      <w:r>
        <w:rPr>
          <w:rFonts w:hint="eastAsia" w:ascii="Times New Roman" w:hAnsi="Times New Roman" w:eastAsia="宋体"/>
          <w:b/>
          <w:color w:val="auto"/>
          <w:highlight w:val="none"/>
        </w:rPr>
        <w:t>N-甲基吡咯烷酮</w:t>
      </w:r>
      <w:r>
        <w:rPr>
          <w:rFonts w:ascii="Times New Roman" w:hAnsi="Times New Roman" w:eastAsia="宋体"/>
          <w:b/>
          <w:color w:val="auto"/>
          <w:highlight w:val="none"/>
        </w:rPr>
        <w:t>包装桶</w:t>
      </w:r>
      <w:r>
        <w:rPr>
          <w:rFonts w:hint="eastAsia" w:ascii="Times New Roman" w:hAnsi="Times New Roman" w:eastAsia="宋体"/>
          <w:b/>
          <w:color w:val="auto"/>
          <w:highlight w:val="none"/>
        </w:rPr>
        <w:t>泄漏</w:t>
      </w:r>
      <w:r>
        <w:rPr>
          <w:rFonts w:ascii="Times New Roman" w:hAnsi="Times New Roman" w:eastAsia="宋体"/>
          <w:b/>
          <w:color w:val="auto"/>
          <w:highlight w:val="none"/>
        </w:rPr>
        <w:t>遇明火发生火灾产生一氧化碳进入大气环境、</w:t>
      </w:r>
      <w:r>
        <w:rPr>
          <w:rFonts w:hint="eastAsia" w:ascii="Times New Roman" w:hAnsi="Times New Roman" w:eastAsia="宋体"/>
          <w:b/>
          <w:color w:val="auto"/>
          <w:highlight w:val="none"/>
        </w:rPr>
        <w:t>DA005</w:t>
      </w:r>
      <w:r>
        <w:rPr>
          <w:rFonts w:ascii="Times New Roman" w:hAnsi="Times New Roman" w:eastAsia="宋体"/>
          <w:b/>
          <w:color w:val="auto"/>
          <w:highlight w:val="none"/>
        </w:rPr>
        <w:t>排气筒事故排放进入大气环境</w:t>
      </w:r>
      <w:r>
        <w:rPr>
          <w:rFonts w:ascii="Times New Roman" w:hAnsi="Times New Roman" w:eastAsia="宋体"/>
          <w:bCs w:val="0"/>
          <w:color w:val="auto"/>
          <w:highlight w:val="none"/>
        </w:rPr>
        <w:t>。</w:t>
      </w:r>
    </w:p>
    <w:p w14:paraId="0928954B">
      <w:pPr>
        <w:pStyle w:val="2"/>
        <w:ind w:left="-105" w:right="-105"/>
        <w:rPr>
          <w:color w:val="auto"/>
          <w:sz w:val="28"/>
          <w:szCs w:val="28"/>
          <w:highlight w:val="none"/>
        </w:rPr>
      </w:pPr>
      <w:r>
        <w:rPr>
          <w:color w:val="auto"/>
          <w:highlight w:val="none"/>
        </w:rPr>
        <w:t>（2）水环境风险最大可信事故——</w:t>
      </w:r>
      <w:r>
        <w:rPr>
          <w:rFonts w:hint="eastAsia"/>
          <w:b/>
          <w:bCs/>
          <w:color w:val="auto"/>
          <w:highlight w:val="none"/>
        </w:rPr>
        <w:t>废液储罐</w:t>
      </w:r>
      <w:r>
        <w:rPr>
          <w:b/>
          <w:bCs/>
          <w:color w:val="auto"/>
          <w:highlight w:val="none"/>
        </w:rPr>
        <w:t>泄漏污染地表水、地下水环境</w:t>
      </w:r>
      <w:r>
        <w:rPr>
          <w:color w:val="auto"/>
          <w:highlight w:val="none"/>
        </w:rPr>
        <w:t>。</w:t>
      </w:r>
    </w:p>
    <w:p w14:paraId="725BF170">
      <w:pPr>
        <w:pStyle w:val="6"/>
        <w:keepLines w:val="0"/>
        <w:widowControl/>
        <w:numPr>
          <w:ilvl w:val="3"/>
          <w:numId w:val="6"/>
        </w:numPr>
        <w:spacing w:before="120" w:beforeLines="50" w:after="120" w:afterLines="50" w:line="360" w:lineRule="auto"/>
        <w:ind w:left="-105" w:right="-105"/>
        <w:rPr>
          <w:rFonts w:ascii="Times New Roman" w:hAnsi="Times New Roman"/>
          <w:color w:val="auto"/>
          <w:sz w:val="24"/>
          <w:szCs w:val="24"/>
          <w:highlight w:val="none"/>
        </w:rPr>
      </w:pPr>
      <w:bookmarkStart w:id="255" w:name="_Toc60653516"/>
      <w:r>
        <w:rPr>
          <w:rFonts w:ascii="Times New Roman" w:hAnsi="Times New Roman"/>
          <w:color w:val="auto"/>
          <w:sz w:val="24"/>
          <w:szCs w:val="24"/>
          <w:highlight w:val="none"/>
        </w:rPr>
        <w:t>事故泄漏时间</w:t>
      </w:r>
      <w:bookmarkEnd w:id="255"/>
    </w:p>
    <w:p w14:paraId="7334EA92">
      <w:pPr>
        <w:spacing w:line="360" w:lineRule="auto"/>
        <w:ind w:left="-105" w:right="-105" w:firstLine="480" w:firstLineChars="200"/>
        <w:jc w:val="both"/>
        <w:rPr>
          <w:rFonts w:ascii="Times New Roman" w:hAnsi="Times New Roman" w:cs="Times New Roman"/>
          <w:color w:val="auto"/>
          <w:highlight w:val="none"/>
        </w:rPr>
      </w:pPr>
      <w:bookmarkStart w:id="256" w:name="_Toc60653517"/>
      <w:r>
        <w:rPr>
          <w:rFonts w:ascii="Times New Roman" w:hAnsi="Times New Roman" w:cs="Times New Roman"/>
          <w:color w:val="auto"/>
          <w:highlight w:val="none"/>
        </w:rPr>
        <w:t>根据《建设项目环境风险评价技术导则》（HJ169—2018），一般情况下，设置紧急隔离系统的单元，泄漏时间可设定为10min，未设置紧急隔离系统的单元，泄漏时间可设定为30min，</w:t>
      </w:r>
      <w:r>
        <w:rPr>
          <w:rFonts w:ascii="Times New Roman" w:hAnsi="Times New Roman" w:cs="Times New Roman"/>
          <w:color w:val="auto"/>
          <w:highlight w:val="none"/>
        </w:rPr>
        <w:t>本项目</w:t>
      </w:r>
      <w:r>
        <w:rPr>
          <w:rFonts w:hint="eastAsia" w:ascii="Times New Roman" w:hAnsi="Times New Roman" w:cs="Times New Roman"/>
          <w:color w:val="auto"/>
          <w:highlight w:val="none"/>
        </w:rPr>
        <w:t>N-甲基吡咯烷酮包装桶</w:t>
      </w:r>
      <w:r>
        <w:rPr>
          <w:rFonts w:hint="eastAsia" w:ascii="Times New Roman" w:hAnsi="Times New Roman" w:cs="Times New Roman"/>
          <w:color w:val="auto"/>
          <w:highlight w:val="none"/>
          <w:lang w:val="en-US" w:eastAsia="zh-CN"/>
        </w:rPr>
        <w:t>贮存在危险品仓库，设置了截流沟和收集池，</w:t>
      </w:r>
      <w:r>
        <w:rPr>
          <w:rFonts w:hint="eastAsia" w:ascii="Times New Roman" w:hAnsi="Times New Roman" w:cs="Times New Roman"/>
          <w:color w:val="auto"/>
          <w:highlight w:val="none"/>
        </w:rPr>
        <w:t>废液储罐</w:t>
      </w:r>
      <w:r>
        <w:rPr>
          <w:rFonts w:ascii="Times New Roman" w:hAnsi="Times New Roman" w:cs="Times New Roman"/>
          <w:color w:val="auto"/>
          <w:highlight w:val="none"/>
        </w:rPr>
        <w:t>设置</w:t>
      </w:r>
      <w:r>
        <w:rPr>
          <w:rFonts w:hint="eastAsia" w:ascii="Times New Roman" w:hAnsi="Times New Roman" w:cs="Times New Roman"/>
          <w:color w:val="auto"/>
          <w:highlight w:val="none"/>
          <w:lang w:val="en-US" w:eastAsia="zh-CN"/>
        </w:rPr>
        <w:t>了围堰</w:t>
      </w:r>
      <w:r>
        <w:rPr>
          <w:rFonts w:ascii="Times New Roman" w:hAnsi="Times New Roman" w:cs="Times New Roman"/>
          <w:color w:val="auto"/>
          <w:highlight w:val="none"/>
        </w:rPr>
        <w:t>。因此，本评价假定事故泄漏时间取</w:t>
      </w:r>
      <w:r>
        <w:rPr>
          <w:rFonts w:hint="eastAsia" w:ascii="Times New Roman" w:hAnsi="Times New Roman" w:cs="Times New Roman"/>
          <w:color w:val="auto"/>
          <w:highlight w:val="none"/>
          <w:lang w:val="en-US" w:eastAsia="zh-CN"/>
        </w:rPr>
        <w:t>1</w:t>
      </w:r>
      <w:r>
        <w:rPr>
          <w:rFonts w:ascii="Times New Roman" w:hAnsi="Times New Roman" w:cs="Times New Roman"/>
          <w:color w:val="auto"/>
          <w:highlight w:val="none"/>
        </w:rPr>
        <w:t>0min。</w:t>
      </w:r>
    </w:p>
    <w:p w14:paraId="622FF1D3">
      <w:pPr>
        <w:pStyle w:val="6"/>
        <w:keepLines w:val="0"/>
        <w:widowControl/>
        <w:numPr>
          <w:ilvl w:val="3"/>
          <w:numId w:val="6"/>
        </w:numPr>
        <w:spacing w:before="120" w:beforeLines="50" w:after="120" w:afterLines="50" w:line="360" w:lineRule="auto"/>
        <w:ind w:left="-105" w:right="-105"/>
        <w:rPr>
          <w:rFonts w:ascii="Times New Roman" w:hAnsi="Times New Roman"/>
          <w:color w:val="auto"/>
          <w:sz w:val="24"/>
          <w:szCs w:val="24"/>
          <w:highlight w:val="none"/>
        </w:rPr>
      </w:pPr>
      <w:r>
        <w:rPr>
          <w:rFonts w:ascii="Times New Roman" w:hAnsi="Times New Roman"/>
          <w:color w:val="auto"/>
          <w:sz w:val="24"/>
          <w:szCs w:val="24"/>
          <w:highlight w:val="none"/>
        </w:rPr>
        <w:t>最大可信事故概率分析</w:t>
      </w:r>
      <w:bookmarkEnd w:id="256"/>
    </w:p>
    <w:p w14:paraId="146D21A9">
      <w:pPr>
        <w:spacing w:line="360" w:lineRule="auto"/>
        <w:ind w:left="-105" w:right="-105" w:firstLine="480" w:firstLineChars="200"/>
        <w:rPr>
          <w:rFonts w:ascii="Times New Roman" w:hAnsi="Times New Roman" w:cs="Times New Roman"/>
          <w:color w:val="auto"/>
          <w:highlight w:val="none"/>
        </w:rPr>
      </w:pPr>
      <w:r>
        <w:rPr>
          <w:rFonts w:ascii="Times New Roman" w:hAnsi="Times New Roman" w:cs="Times New Roman"/>
          <w:color w:val="auto"/>
          <w:highlight w:val="none"/>
        </w:rPr>
        <w:t>风险事故具有一定程度的不确定性，事故发生的条件有很多，且具有极大的不确定性，发生事故的排放强度有多种可能。参照《建设项目环境风险评价技术导则HJ169—2018》附录E泄漏频率的推荐值，建设项目</w:t>
      </w:r>
      <w:r>
        <w:rPr>
          <w:rFonts w:hint="eastAsia" w:ascii="Times New Roman" w:hAnsi="Times New Roman" w:cs="Times New Roman"/>
          <w:color w:val="auto"/>
          <w:highlight w:val="none"/>
        </w:rPr>
        <w:t>废液储罐</w:t>
      </w:r>
      <w:r>
        <w:rPr>
          <w:rFonts w:ascii="Times New Roman" w:hAnsi="Times New Roman" w:cs="Times New Roman"/>
          <w:color w:val="auto"/>
          <w:highlight w:val="none"/>
        </w:rPr>
        <w:t>破裂导致泄漏事故发生的概率见下表。</w:t>
      </w:r>
    </w:p>
    <w:p w14:paraId="7710967C">
      <w:pPr>
        <w:pStyle w:val="15"/>
        <w:spacing w:line="360" w:lineRule="auto"/>
        <w:ind w:left="-105" w:right="-105" w:firstLine="482"/>
        <w:rPr>
          <w:rFonts w:eastAsia="宋体"/>
          <w:bCs/>
          <w:color w:val="auto"/>
          <w:sz w:val="24"/>
          <w:szCs w:val="24"/>
          <w:highlight w:val="none"/>
        </w:rPr>
      </w:pPr>
      <w:r>
        <w:rPr>
          <w:rFonts w:eastAsia="宋体"/>
          <w:color w:val="auto"/>
          <w:sz w:val="24"/>
          <w:szCs w:val="18"/>
          <w:highlight w:val="none"/>
        </w:rPr>
        <w:t>表</w:t>
      </w:r>
      <w:r>
        <w:rPr>
          <w:rFonts w:eastAsia="宋体"/>
          <w:color w:val="auto"/>
          <w:sz w:val="24"/>
          <w:szCs w:val="18"/>
          <w:highlight w:val="none"/>
        </w:rPr>
        <w:fldChar w:fldCharType="begin"/>
      </w:r>
      <w:r>
        <w:rPr>
          <w:rFonts w:eastAsia="宋体"/>
          <w:color w:val="auto"/>
          <w:sz w:val="24"/>
          <w:szCs w:val="18"/>
          <w:highlight w:val="none"/>
        </w:rPr>
        <w:instrText xml:space="preserve"> STYLEREF 2 \s </w:instrText>
      </w:r>
      <w:r>
        <w:rPr>
          <w:rFonts w:eastAsia="宋体"/>
          <w:color w:val="auto"/>
          <w:sz w:val="24"/>
          <w:szCs w:val="18"/>
          <w:highlight w:val="none"/>
        </w:rPr>
        <w:fldChar w:fldCharType="separate"/>
      </w:r>
      <w:r>
        <w:rPr>
          <w:rFonts w:eastAsia="宋体"/>
          <w:color w:val="auto"/>
          <w:sz w:val="24"/>
          <w:szCs w:val="18"/>
          <w:highlight w:val="none"/>
        </w:rPr>
        <w:t>4.8</w:t>
      </w:r>
      <w:r>
        <w:rPr>
          <w:rFonts w:eastAsia="宋体"/>
          <w:color w:val="auto"/>
          <w:sz w:val="24"/>
          <w:szCs w:val="18"/>
          <w:highlight w:val="none"/>
        </w:rPr>
        <w:fldChar w:fldCharType="end"/>
      </w:r>
      <w:r>
        <w:rPr>
          <w:rFonts w:eastAsia="宋体"/>
          <w:color w:val="auto"/>
          <w:sz w:val="24"/>
          <w:szCs w:val="18"/>
          <w:highlight w:val="none"/>
        </w:rPr>
        <w:noBreakHyphen/>
      </w:r>
      <w:r>
        <w:rPr>
          <w:rFonts w:eastAsia="宋体"/>
          <w:color w:val="auto"/>
          <w:sz w:val="24"/>
          <w:szCs w:val="18"/>
          <w:highlight w:val="none"/>
        </w:rPr>
        <w:fldChar w:fldCharType="begin"/>
      </w:r>
      <w:r>
        <w:rPr>
          <w:rFonts w:eastAsia="宋体"/>
          <w:color w:val="auto"/>
          <w:sz w:val="24"/>
          <w:szCs w:val="18"/>
          <w:highlight w:val="none"/>
        </w:rPr>
        <w:instrText xml:space="preserve"> SEQ 表 \* ARABIC \s 2 </w:instrText>
      </w:r>
      <w:r>
        <w:rPr>
          <w:rFonts w:eastAsia="宋体"/>
          <w:color w:val="auto"/>
          <w:sz w:val="24"/>
          <w:szCs w:val="18"/>
          <w:highlight w:val="none"/>
        </w:rPr>
        <w:fldChar w:fldCharType="separate"/>
      </w:r>
      <w:r>
        <w:rPr>
          <w:rFonts w:eastAsia="宋体"/>
          <w:color w:val="auto"/>
          <w:sz w:val="24"/>
          <w:szCs w:val="18"/>
          <w:highlight w:val="none"/>
        </w:rPr>
        <w:t>6</w:t>
      </w:r>
      <w:r>
        <w:rPr>
          <w:rFonts w:eastAsia="宋体"/>
          <w:color w:val="auto"/>
          <w:sz w:val="24"/>
          <w:szCs w:val="18"/>
          <w:highlight w:val="none"/>
        </w:rPr>
        <w:fldChar w:fldCharType="end"/>
      </w:r>
      <w:r>
        <w:rPr>
          <w:rFonts w:eastAsia="宋体"/>
          <w:color w:val="auto"/>
          <w:sz w:val="24"/>
          <w:szCs w:val="24"/>
          <w:highlight w:val="none"/>
        </w:rPr>
        <w:t>泄漏频率表</w:t>
      </w:r>
    </w:p>
    <w:tbl>
      <w:tblPr>
        <w:tblStyle w:val="45"/>
        <w:tblW w:w="5000" w:type="pct"/>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
      <w:tblGrid>
        <w:gridCol w:w="2383"/>
        <w:gridCol w:w="3479"/>
        <w:gridCol w:w="2858"/>
      </w:tblGrid>
      <w:tr w14:paraId="0606450F">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2332" w:type="dxa"/>
            <w:vAlign w:val="center"/>
          </w:tcPr>
          <w:p w14:paraId="234EFC97">
            <w:pPr>
              <w:ind w:left="-105" w:right="-105"/>
              <w:jc w:val="center"/>
              <w:rPr>
                <w:rFonts w:ascii="Times New Roman" w:hAnsi="Times New Roman" w:cs="Times New Roman"/>
                <w:b/>
                <w:color w:val="auto"/>
                <w:sz w:val="21"/>
                <w:szCs w:val="21"/>
                <w:highlight w:val="none"/>
              </w:rPr>
            </w:pPr>
            <w:r>
              <w:rPr>
                <w:rFonts w:ascii="Times New Roman" w:hAnsi="Times New Roman" w:cs="Times New Roman"/>
                <w:b/>
                <w:color w:val="auto"/>
                <w:sz w:val="21"/>
                <w:szCs w:val="21"/>
                <w:highlight w:val="none"/>
              </w:rPr>
              <w:t>部件类型</w:t>
            </w:r>
          </w:p>
        </w:tc>
        <w:tc>
          <w:tcPr>
            <w:tcW w:w="3404" w:type="dxa"/>
            <w:vAlign w:val="center"/>
          </w:tcPr>
          <w:p w14:paraId="6977F82F">
            <w:pPr>
              <w:ind w:left="-105" w:right="-105"/>
              <w:jc w:val="center"/>
              <w:rPr>
                <w:rFonts w:ascii="Times New Roman" w:hAnsi="Times New Roman" w:cs="Times New Roman"/>
                <w:b/>
                <w:color w:val="auto"/>
                <w:sz w:val="21"/>
                <w:szCs w:val="21"/>
                <w:highlight w:val="none"/>
              </w:rPr>
            </w:pPr>
            <w:r>
              <w:rPr>
                <w:rFonts w:ascii="Times New Roman" w:hAnsi="Times New Roman" w:cs="Times New Roman"/>
                <w:b/>
                <w:color w:val="auto"/>
                <w:sz w:val="21"/>
                <w:szCs w:val="21"/>
                <w:highlight w:val="none"/>
              </w:rPr>
              <w:t>泄漏模式</w:t>
            </w:r>
          </w:p>
        </w:tc>
        <w:tc>
          <w:tcPr>
            <w:tcW w:w="2796" w:type="dxa"/>
            <w:vAlign w:val="center"/>
          </w:tcPr>
          <w:p w14:paraId="3606BC05">
            <w:pPr>
              <w:ind w:left="-105" w:right="-105"/>
              <w:jc w:val="center"/>
              <w:rPr>
                <w:rFonts w:ascii="Times New Roman" w:hAnsi="Times New Roman" w:cs="Times New Roman"/>
                <w:b/>
                <w:color w:val="auto"/>
                <w:sz w:val="21"/>
                <w:szCs w:val="21"/>
                <w:highlight w:val="none"/>
              </w:rPr>
            </w:pPr>
            <w:r>
              <w:rPr>
                <w:rFonts w:ascii="Times New Roman" w:hAnsi="Times New Roman" w:cs="Times New Roman"/>
                <w:b/>
                <w:color w:val="auto"/>
                <w:sz w:val="21"/>
                <w:szCs w:val="21"/>
                <w:highlight w:val="none"/>
              </w:rPr>
              <w:t>泄漏频率</w:t>
            </w:r>
          </w:p>
        </w:tc>
      </w:tr>
      <w:tr w14:paraId="6AFB76F4">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2332" w:type="dxa"/>
            <w:vMerge w:val="restart"/>
            <w:vAlign w:val="center"/>
          </w:tcPr>
          <w:p w14:paraId="797EF7F5">
            <w:pPr>
              <w:pStyle w:val="97"/>
              <w:ind w:left="-105" w:right="-105" w:firstLine="0" w:firstLineChars="0"/>
              <w:jc w:val="center"/>
              <w:rPr>
                <w:rFonts w:eastAsia="宋体"/>
                <w:bCs/>
                <w:color w:val="auto"/>
                <w:sz w:val="21"/>
                <w:szCs w:val="21"/>
                <w:highlight w:val="none"/>
              </w:rPr>
            </w:pPr>
            <w:r>
              <w:rPr>
                <w:rFonts w:eastAsia="宋体"/>
                <w:bCs/>
                <w:color w:val="auto"/>
                <w:sz w:val="21"/>
                <w:szCs w:val="21"/>
                <w:highlight w:val="none"/>
              </w:rPr>
              <w:t>常压单包容储罐</w:t>
            </w:r>
          </w:p>
        </w:tc>
        <w:tc>
          <w:tcPr>
            <w:tcW w:w="3404" w:type="dxa"/>
            <w:vAlign w:val="center"/>
          </w:tcPr>
          <w:p w14:paraId="65D5E625">
            <w:pPr>
              <w:pStyle w:val="97"/>
              <w:ind w:left="-105" w:right="-105" w:firstLine="0" w:firstLineChars="0"/>
              <w:jc w:val="center"/>
              <w:rPr>
                <w:rFonts w:eastAsia="宋体"/>
                <w:bCs/>
                <w:color w:val="auto"/>
                <w:sz w:val="21"/>
                <w:szCs w:val="21"/>
                <w:highlight w:val="none"/>
              </w:rPr>
            </w:pPr>
            <w:r>
              <w:rPr>
                <w:rFonts w:eastAsia="宋体"/>
                <w:bCs/>
                <w:color w:val="auto"/>
                <w:sz w:val="21"/>
                <w:szCs w:val="21"/>
                <w:highlight w:val="none"/>
              </w:rPr>
              <w:t>泄漏孔径为10mm孔径</w:t>
            </w:r>
          </w:p>
        </w:tc>
        <w:tc>
          <w:tcPr>
            <w:tcW w:w="2796" w:type="dxa"/>
            <w:vAlign w:val="center"/>
          </w:tcPr>
          <w:p w14:paraId="64240D4F">
            <w:pPr>
              <w:pStyle w:val="97"/>
              <w:ind w:left="-105" w:right="-105" w:firstLine="0" w:firstLineChars="0"/>
              <w:jc w:val="center"/>
              <w:rPr>
                <w:rFonts w:eastAsia="宋体"/>
                <w:bCs/>
                <w:color w:val="auto"/>
                <w:sz w:val="21"/>
                <w:szCs w:val="21"/>
                <w:highlight w:val="none"/>
              </w:rPr>
            </w:pPr>
            <w:r>
              <w:rPr>
                <w:rFonts w:eastAsia="宋体"/>
                <w:bCs/>
                <w:color w:val="auto"/>
                <w:sz w:val="21"/>
                <w:szCs w:val="21"/>
                <w:highlight w:val="none"/>
              </w:rPr>
              <w:t>1.0×10</w:t>
            </w:r>
            <w:r>
              <w:rPr>
                <w:rFonts w:eastAsia="宋体"/>
                <w:bCs/>
                <w:color w:val="auto"/>
                <w:sz w:val="21"/>
                <w:szCs w:val="21"/>
                <w:highlight w:val="none"/>
                <w:vertAlign w:val="superscript"/>
              </w:rPr>
              <w:t>-4</w:t>
            </w:r>
            <w:r>
              <w:rPr>
                <w:rFonts w:eastAsia="宋体"/>
                <w:bCs/>
                <w:color w:val="auto"/>
                <w:sz w:val="21"/>
                <w:szCs w:val="21"/>
                <w:highlight w:val="none"/>
              </w:rPr>
              <w:t>/a</w:t>
            </w:r>
          </w:p>
        </w:tc>
      </w:tr>
      <w:tr w14:paraId="6890D0C6">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2332" w:type="dxa"/>
            <w:vMerge w:val="continue"/>
            <w:vAlign w:val="center"/>
          </w:tcPr>
          <w:p w14:paraId="2136B40B">
            <w:pPr>
              <w:ind w:left="-105" w:right="-105"/>
              <w:jc w:val="center"/>
              <w:rPr>
                <w:rFonts w:ascii="Times New Roman" w:hAnsi="Times New Roman" w:cs="Times New Roman"/>
                <w:bCs/>
                <w:color w:val="auto"/>
                <w:sz w:val="21"/>
                <w:szCs w:val="21"/>
                <w:highlight w:val="none"/>
              </w:rPr>
            </w:pPr>
          </w:p>
        </w:tc>
        <w:tc>
          <w:tcPr>
            <w:tcW w:w="3404" w:type="dxa"/>
            <w:vAlign w:val="center"/>
          </w:tcPr>
          <w:p w14:paraId="39E763D5">
            <w:pPr>
              <w:pStyle w:val="97"/>
              <w:ind w:left="-105" w:right="-105" w:firstLine="0" w:firstLineChars="0"/>
              <w:jc w:val="center"/>
              <w:rPr>
                <w:rFonts w:eastAsia="宋体"/>
                <w:bCs/>
                <w:color w:val="auto"/>
                <w:sz w:val="21"/>
                <w:szCs w:val="21"/>
                <w:highlight w:val="none"/>
              </w:rPr>
            </w:pPr>
            <w:r>
              <w:rPr>
                <w:rFonts w:eastAsia="宋体"/>
                <w:bCs/>
                <w:color w:val="auto"/>
                <w:sz w:val="21"/>
                <w:szCs w:val="21"/>
                <w:highlight w:val="none"/>
              </w:rPr>
              <w:t>10mim内储罐泄漏完</w:t>
            </w:r>
          </w:p>
        </w:tc>
        <w:tc>
          <w:tcPr>
            <w:tcW w:w="2796" w:type="dxa"/>
            <w:vAlign w:val="center"/>
          </w:tcPr>
          <w:p w14:paraId="0C3ABD19">
            <w:pPr>
              <w:pStyle w:val="97"/>
              <w:ind w:left="-105" w:right="-105" w:firstLine="0" w:firstLineChars="0"/>
              <w:jc w:val="center"/>
              <w:rPr>
                <w:rFonts w:eastAsia="宋体"/>
                <w:bCs/>
                <w:color w:val="auto"/>
                <w:sz w:val="21"/>
                <w:szCs w:val="21"/>
                <w:highlight w:val="none"/>
              </w:rPr>
            </w:pPr>
            <w:r>
              <w:rPr>
                <w:rFonts w:eastAsia="宋体"/>
                <w:bCs/>
                <w:color w:val="auto"/>
                <w:sz w:val="21"/>
                <w:szCs w:val="21"/>
                <w:highlight w:val="none"/>
              </w:rPr>
              <w:t>5.0×10</w:t>
            </w:r>
            <w:r>
              <w:rPr>
                <w:rFonts w:eastAsia="宋体"/>
                <w:bCs/>
                <w:color w:val="auto"/>
                <w:sz w:val="21"/>
                <w:szCs w:val="21"/>
                <w:highlight w:val="none"/>
                <w:vertAlign w:val="superscript"/>
              </w:rPr>
              <w:t>-6</w:t>
            </w:r>
            <w:r>
              <w:rPr>
                <w:rFonts w:eastAsia="宋体"/>
                <w:bCs/>
                <w:color w:val="auto"/>
                <w:sz w:val="21"/>
                <w:szCs w:val="21"/>
                <w:highlight w:val="none"/>
              </w:rPr>
              <w:t>/a</w:t>
            </w:r>
          </w:p>
        </w:tc>
      </w:tr>
      <w:tr w14:paraId="1F0BBF0D">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2332" w:type="dxa"/>
            <w:vMerge w:val="continue"/>
            <w:vAlign w:val="center"/>
          </w:tcPr>
          <w:p w14:paraId="49106C0E">
            <w:pPr>
              <w:ind w:left="-105" w:right="-105"/>
              <w:jc w:val="center"/>
              <w:rPr>
                <w:rFonts w:ascii="Times New Roman" w:hAnsi="Times New Roman" w:cs="Times New Roman"/>
                <w:bCs/>
                <w:color w:val="auto"/>
                <w:sz w:val="21"/>
                <w:szCs w:val="21"/>
                <w:highlight w:val="none"/>
              </w:rPr>
            </w:pPr>
          </w:p>
        </w:tc>
        <w:tc>
          <w:tcPr>
            <w:tcW w:w="3404" w:type="dxa"/>
            <w:vAlign w:val="center"/>
          </w:tcPr>
          <w:p w14:paraId="5C144FF9">
            <w:pPr>
              <w:pStyle w:val="97"/>
              <w:ind w:left="-105" w:right="-105" w:firstLine="0" w:firstLineChars="0"/>
              <w:jc w:val="center"/>
              <w:rPr>
                <w:rFonts w:eastAsia="宋体"/>
                <w:bCs/>
                <w:color w:val="auto"/>
                <w:sz w:val="21"/>
                <w:szCs w:val="21"/>
                <w:highlight w:val="none"/>
              </w:rPr>
            </w:pPr>
            <w:r>
              <w:rPr>
                <w:rFonts w:eastAsia="宋体"/>
                <w:bCs/>
                <w:color w:val="auto"/>
                <w:sz w:val="21"/>
                <w:szCs w:val="21"/>
                <w:highlight w:val="none"/>
              </w:rPr>
              <w:t>储罐完全破裂</w:t>
            </w:r>
          </w:p>
        </w:tc>
        <w:tc>
          <w:tcPr>
            <w:tcW w:w="2796" w:type="dxa"/>
            <w:vAlign w:val="center"/>
          </w:tcPr>
          <w:p w14:paraId="327434AD">
            <w:pPr>
              <w:pStyle w:val="97"/>
              <w:ind w:left="-105" w:right="-105" w:firstLine="0" w:firstLineChars="0"/>
              <w:jc w:val="center"/>
              <w:rPr>
                <w:rFonts w:eastAsia="宋体"/>
                <w:bCs/>
                <w:color w:val="auto"/>
                <w:sz w:val="21"/>
                <w:szCs w:val="21"/>
                <w:highlight w:val="none"/>
              </w:rPr>
            </w:pPr>
            <w:r>
              <w:rPr>
                <w:rFonts w:eastAsia="宋体"/>
                <w:bCs/>
                <w:color w:val="auto"/>
                <w:sz w:val="21"/>
                <w:szCs w:val="21"/>
                <w:highlight w:val="none"/>
              </w:rPr>
              <w:t>5.0×10</w:t>
            </w:r>
            <w:r>
              <w:rPr>
                <w:rFonts w:eastAsia="宋体"/>
                <w:bCs/>
                <w:color w:val="auto"/>
                <w:sz w:val="21"/>
                <w:szCs w:val="21"/>
                <w:highlight w:val="none"/>
                <w:vertAlign w:val="superscript"/>
              </w:rPr>
              <w:t>-6</w:t>
            </w:r>
            <w:r>
              <w:rPr>
                <w:rFonts w:eastAsia="宋体"/>
                <w:bCs/>
                <w:color w:val="auto"/>
                <w:sz w:val="21"/>
                <w:szCs w:val="21"/>
                <w:highlight w:val="none"/>
              </w:rPr>
              <w:t>/a</w:t>
            </w:r>
          </w:p>
        </w:tc>
      </w:tr>
    </w:tbl>
    <w:p w14:paraId="587B107A">
      <w:pPr>
        <w:spacing w:line="360" w:lineRule="auto"/>
        <w:ind w:left="-105" w:right="-105" w:firstLine="480" w:firstLineChars="200"/>
        <w:rPr>
          <w:rFonts w:ascii="Times New Roman" w:hAnsi="Times New Roman" w:cs="Times New Roman"/>
          <w:color w:val="auto"/>
          <w:highlight w:val="none"/>
        </w:rPr>
      </w:pPr>
      <w:bookmarkStart w:id="257" w:name="_Toc60653518"/>
      <w:r>
        <w:rPr>
          <w:rFonts w:ascii="Times New Roman" w:hAnsi="Times New Roman" w:cs="Times New Roman"/>
          <w:color w:val="auto"/>
          <w:highlight w:val="none"/>
        </w:rPr>
        <w:t>本项目包装桶、</w:t>
      </w:r>
      <w:r>
        <w:rPr>
          <w:rFonts w:hint="eastAsia" w:ascii="Times New Roman" w:hAnsi="Times New Roman" w:cs="Times New Roman"/>
          <w:color w:val="auto"/>
          <w:highlight w:val="none"/>
        </w:rPr>
        <w:t>废液储罐</w:t>
      </w:r>
      <w:r>
        <w:rPr>
          <w:rFonts w:ascii="Times New Roman" w:hAnsi="Times New Roman" w:cs="Times New Roman"/>
          <w:color w:val="auto"/>
          <w:highlight w:val="none"/>
        </w:rPr>
        <w:t>泄漏频率参照常压单包容储罐完全破裂。</w:t>
      </w:r>
    </w:p>
    <w:p w14:paraId="7F083D95">
      <w:pPr>
        <w:pStyle w:val="6"/>
        <w:keepLines w:val="0"/>
        <w:widowControl/>
        <w:numPr>
          <w:ilvl w:val="3"/>
          <w:numId w:val="6"/>
        </w:numPr>
        <w:spacing w:before="120" w:beforeLines="50" w:after="120" w:afterLines="50" w:line="360" w:lineRule="auto"/>
        <w:ind w:left="-105" w:right="-105"/>
        <w:rPr>
          <w:rFonts w:ascii="Times New Roman" w:hAnsi="Times New Roman"/>
          <w:color w:val="auto"/>
          <w:sz w:val="24"/>
          <w:szCs w:val="24"/>
          <w:highlight w:val="none"/>
        </w:rPr>
      </w:pPr>
      <w:r>
        <w:rPr>
          <w:rFonts w:ascii="Times New Roman" w:hAnsi="Times New Roman"/>
          <w:color w:val="auto"/>
          <w:sz w:val="24"/>
          <w:szCs w:val="24"/>
          <w:highlight w:val="none"/>
        </w:rPr>
        <w:t>最大可信事故源强分析</w:t>
      </w:r>
      <w:bookmarkEnd w:id="257"/>
    </w:p>
    <w:p w14:paraId="5D028462">
      <w:pPr>
        <w:spacing w:line="360" w:lineRule="auto"/>
        <w:ind w:left="-105" w:right="-105" w:firstLine="480" w:firstLineChars="200"/>
        <w:rPr>
          <w:rFonts w:ascii="Times New Roman" w:hAnsi="Times New Roman" w:cs="Times New Roman"/>
          <w:color w:val="auto"/>
          <w:highlight w:val="none"/>
        </w:rPr>
      </w:pPr>
      <w:r>
        <w:rPr>
          <w:rFonts w:ascii="Times New Roman" w:hAnsi="Times New Roman" w:cs="Times New Roman"/>
          <w:color w:val="auto"/>
          <w:highlight w:val="none"/>
        </w:rPr>
        <w:t>（1）泄漏源强</w:t>
      </w:r>
    </w:p>
    <w:p w14:paraId="7294D6BF">
      <w:pPr>
        <w:keepNext w:val="0"/>
        <w:keepLines w:val="0"/>
        <w:pageBreakBefore w:val="0"/>
        <w:widowControl/>
        <w:kinsoku/>
        <w:wordWrap/>
        <w:overflowPunct/>
        <w:topLinePunct w:val="0"/>
        <w:autoSpaceDE/>
        <w:autoSpaceDN/>
        <w:bidi w:val="0"/>
        <w:adjustRightInd/>
        <w:snapToGrid/>
        <w:spacing w:line="360" w:lineRule="auto"/>
        <w:ind w:left="0" w:right="0" w:firstLine="480" w:firstLineChars="200"/>
        <w:jc w:val="both"/>
        <w:textAlignment w:val="auto"/>
        <w:rPr>
          <w:rFonts w:ascii="Times New Roman" w:hAnsi="Times New Roman" w:cs="Times New Roman"/>
          <w:color w:val="auto"/>
          <w:highlight w:val="none"/>
        </w:rPr>
      </w:pPr>
      <w:r>
        <w:rPr>
          <w:rFonts w:ascii="Times New Roman" w:hAnsi="Times New Roman" w:cs="Times New Roman"/>
          <w:color w:val="auto"/>
          <w:highlight w:val="none"/>
        </w:rPr>
        <w:t>危险品储存容器在常温状态下因破裂引起物料大量泄漏。</w:t>
      </w:r>
      <w:r>
        <w:rPr>
          <w:rFonts w:hint="eastAsia" w:ascii="Times New Roman" w:hAnsi="Times New Roman" w:cs="Times New Roman"/>
          <w:color w:val="auto"/>
          <w:highlight w:val="none"/>
        </w:rPr>
        <w:t>N-甲基吡咯烷酮包装桶</w:t>
      </w:r>
      <w:r>
        <w:rPr>
          <w:rFonts w:ascii="Times New Roman" w:hAnsi="Times New Roman" w:cs="Times New Roman"/>
          <w:color w:val="auto"/>
          <w:highlight w:val="none"/>
        </w:rPr>
        <w:t>采用</w:t>
      </w:r>
      <w:r>
        <w:rPr>
          <w:rFonts w:hint="eastAsia" w:ascii="Times New Roman" w:hAnsi="Times New Roman" w:cs="Times New Roman"/>
          <w:color w:val="auto"/>
          <w:highlight w:val="none"/>
        </w:rPr>
        <w:t>2</w:t>
      </w:r>
      <w:r>
        <w:rPr>
          <w:rFonts w:ascii="Times New Roman" w:hAnsi="Times New Roman" w:cs="Times New Roman"/>
          <w:color w:val="auto"/>
          <w:highlight w:val="none"/>
        </w:rPr>
        <w:t>00kg</w:t>
      </w:r>
      <w:r>
        <w:rPr>
          <w:rFonts w:hint="eastAsia" w:ascii="Times New Roman" w:hAnsi="Times New Roman" w:cs="Times New Roman"/>
          <w:color w:val="auto"/>
          <w:highlight w:val="none"/>
        </w:rPr>
        <w:t>塑料桶</w:t>
      </w:r>
      <w:r>
        <w:rPr>
          <w:rFonts w:ascii="Times New Roman" w:hAnsi="Times New Roman" w:cs="Times New Roman"/>
          <w:color w:val="auto"/>
          <w:highlight w:val="none"/>
        </w:rPr>
        <w:t>装。几个包装桶同时泄漏的可能性较小，考虑单桶危化品泄漏；考虑最坏情形，考虑</w:t>
      </w:r>
      <w:r>
        <w:rPr>
          <w:rFonts w:hint="eastAsia" w:ascii="Times New Roman" w:hAnsi="Times New Roman" w:cs="Times New Roman"/>
          <w:color w:val="auto"/>
          <w:highlight w:val="none"/>
        </w:rPr>
        <w:t>N-甲基吡咯烷酮</w:t>
      </w:r>
      <w:r>
        <w:rPr>
          <w:rFonts w:ascii="Times New Roman" w:hAnsi="Times New Roman" w:cs="Times New Roman"/>
          <w:color w:val="auto"/>
          <w:highlight w:val="none"/>
        </w:rPr>
        <w:t>整个包装桶破损泄漏，</w:t>
      </w:r>
      <w:r>
        <w:rPr>
          <w:rFonts w:hint="eastAsia" w:ascii="Times New Roman" w:hAnsi="Times New Roman" w:cs="Times New Roman"/>
          <w:color w:val="auto"/>
          <w:highlight w:val="none"/>
        </w:rPr>
        <w:t>N-甲基吡咯烷酮</w:t>
      </w:r>
      <w:r>
        <w:rPr>
          <w:rFonts w:ascii="Times New Roman" w:hAnsi="Times New Roman" w:cs="Times New Roman"/>
          <w:color w:val="auto"/>
          <w:highlight w:val="none"/>
        </w:rPr>
        <w:t>泄漏量为</w:t>
      </w:r>
      <w:r>
        <w:rPr>
          <w:rFonts w:hint="eastAsia" w:ascii="Times New Roman" w:hAnsi="Times New Roman" w:cs="Times New Roman"/>
          <w:color w:val="auto"/>
          <w:highlight w:val="none"/>
        </w:rPr>
        <w:t>200</w:t>
      </w:r>
      <w:r>
        <w:rPr>
          <w:rFonts w:ascii="Times New Roman" w:hAnsi="Times New Roman" w:cs="Times New Roman"/>
          <w:color w:val="auto"/>
          <w:highlight w:val="none"/>
        </w:rPr>
        <w:t>kg；</w:t>
      </w:r>
      <w:r>
        <w:rPr>
          <w:rFonts w:hint="eastAsia" w:ascii="Times New Roman" w:hAnsi="Times New Roman" w:cs="Times New Roman"/>
          <w:color w:val="auto"/>
          <w:highlight w:val="none"/>
        </w:rPr>
        <w:t>废液储罐最大</w:t>
      </w:r>
      <w:r>
        <w:rPr>
          <w:rFonts w:ascii="Times New Roman" w:hAnsi="Times New Roman" w:cs="Times New Roman"/>
          <w:color w:val="auto"/>
          <w:highlight w:val="none"/>
        </w:rPr>
        <w:t>容量为</w:t>
      </w:r>
      <w:r>
        <w:rPr>
          <w:rFonts w:hint="eastAsia" w:ascii="Times New Roman" w:hAnsi="Times New Roman" w:cs="Times New Roman"/>
          <w:color w:val="auto"/>
          <w:highlight w:val="none"/>
        </w:rPr>
        <w:t>20</w:t>
      </w:r>
      <w:r>
        <w:rPr>
          <w:rFonts w:ascii="Times New Roman" w:hAnsi="Times New Roman" w:cs="Times New Roman"/>
          <w:color w:val="auto"/>
          <w:highlight w:val="none"/>
        </w:rPr>
        <w:t>m</w:t>
      </w:r>
      <w:r>
        <w:rPr>
          <w:rFonts w:ascii="Times New Roman" w:hAnsi="Times New Roman" w:cs="Times New Roman"/>
          <w:color w:val="auto"/>
          <w:highlight w:val="none"/>
          <w:vertAlign w:val="superscript"/>
        </w:rPr>
        <w:t>3</w:t>
      </w:r>
      <w:r>
        <w:rPr>
          <w:rFonts w:ascii="Times New Roman" w:hAnsi="Times New Roman" w:cs="Times New Roman"/>
          <w:color w:val="auto"/>
          <w:highlight w:val="none"/>
        </w:rPr>
        <w:t>，故考虑最坏情形，考虑</w:t>
      </w:r>
      <w:r>
        <w:rPr>
          <w:rFonts w:hint="eastAsia" w:ascii="Times New Roman" w:hAnsi="Times New Roman" w:cs="Times New Roman"/>
          <w:color w:val="auto"/>
          <w:highlight w:val="none"/>
        </w:rPr>
        <w:t>废液储罐</w:t>
      </w:r>
      <w:r>
        <w:rPr>
          <w:rFonts w:ascii="Times New Roman" w:hAnsi="Times New Roman" w:cs="Times New Roman"/>
          <w:color w:val="auto"/>
          <w:highlight w:val="none"/>
        </w:rPr>
        <w:t>完全泄漏，泄漏量为</w:t>
      </w:r>
      <w:r>
        <w:rPr>
          <w:rFonts w:hint="eastAsia" w:ascii="Times New Roman" w:hAnsi="Times New Roman" w:cs="Times New Roman"/>
          <w:color w:val="auto"/>
          <w:highlight w:val="none"/>
        </w:rPr>
        <w:t>20</w:t>
      </w:r>
      <w:r>
        <w:rPr>
          <w:rFonts w:ascii="Times New Roman" w:hAnsi="Times New Roman" w:cs="Times New Roman"/>
          <w:color w:val="auto"/>
          <w:highlight w:val="none"/>
        </w:rPr>
        <w:t>000kg。</w:t>
      </w:r>
    </w:p>
    <w:p w14:paraId="347C1719">
      <w:pPr>
        <w:pStyle w:val="97"/>
        <w:spacing w:line="360" w:lineRule="auto"/>
        <w:ind w:left="-105" w:right="-105" w:firstLine="480"/>
        <w:rPr>
          <w:rFonts w:eastAsia="宋体"/>
          <w:color w:val="auto"/>
          <w:sz w:val="24"/>
          <w:highlight w:val="none"/>
        </w:rPr>
      </w:pPr>
      <w:r>
        <w:rPr>
          <w:rFonts w:hint="eastAsia" w:eastAsia="宋体"/>
          <w:color w:val="auto"/>
          <w:sz w:val="24"/>
          <w:highlight w:val="none"/>
        </w:rPr>
        <w:t>（2）</w:t>
      </w:r>
      <w:r>
        <w:rPr>
          <w:rFonts w:eastAsia="宋体"/>
          <w:color w:val="auto"/>
          <w:sz w:val="24"/>
          <w:highlight w:val="none"/>
        </w:rPr>
        <w:t>火灾事故源强</w:t>
      </w:r>
    </w:p>
    <w:p w14:paraId="53020192">
      <w:pPr>
        <w:keepNext w:val="0"/>
        <w:keepLines w:val="0"/>
        <w:pageBreakBefore w:val="0"/>
        <w:widowControl/>
        <w:kinsoku/>
        <w:wordWrap/>
        <w:overflowPunct/>
        <w:topLinePunct w:val="0"/>
        <w:autoSpaceDE/>
        <w:autoSpaceDN/>
        <w:bidi w:val="0"/>
        <w:adjustRightInd w:val="0"/>
        <w:snapToGrid w:val="0"/>
        <w:spacing w:line="360" w:lineRule="auto"/>
        <w:ind w:left="0" w:right="0" w:firstLine="480" w:firstLineChars="200"/>
        <w:jc w:val="both"/>
        <w:textAlignment w:val="auto"/>
        <w:rPr>
          <w:rFonts w:ascii="Times New Roman" w:hAnsi="Times New Roman" w:cs="Times New Roman"/>
          <w:color w:val="auto"/>
          <w:highlight w:val="none"/>
        </w:rPr>
      </w:pPr>
      <w:r>
        <w:rPr>
          <w:rFonts w:ascii="Times New Roman" w:hAnsi="Times New Roman" w:cs="Times New Roman"/>
          <w:color w:val="auto"/>
          <w:highlight w:val="none"/>
        </w:rPr>
        <w:t>火灾伴生/次生污染物产生量计算根据《建设项目环境风险评价技术导则HJ169—2018》中经验法估算</w:t>
      </w:r>
      <w:r>
        <w:rPr>
          <w:rFonts w:hint="eastAsia" w:ascii="Times New Roman" w:hAnsi="Times New Roman" w:cs="Times New Roman"/>
          <w:color w:val="auto"/>
          <w:highlight w:val="none"/>
        </w:rPr>
        <w:t>“</w:t>
      </w:r>
      <w:r>
        <w:rPr>
          <w:rFonts w:ascii="Times New Roman" w:hAnsi="Times New Roman" w:cs="Times New Roman"/>
          <w:color w:val="auto"/>
          <w:highlight w:val="none"/>
        </w:rPr>
        <w:t>火灾爆炸事故在高温下迅速挥发释放至大气的未完全燃烧危险物质，以及燃烧过程中产生的伴生和次生污染物</w:t>
      </w:r>
      <w:r>
        <w:rPr>
          <w:rFonts w:hint="eastAsia" w:ascii="Times New Roman" w:hAnsi="Times New Roman" w:cs="Times New Roman"/>
          <w:color w:val="auto"/>
          <w:highlight w:val="none"/>
        </w:rPr>
        <w:t>”</w:t>
      </w:r>
      <w:r>
        <w:rPr>
          <w:rFonts w:ascii="Times New Roman" w:hAnsi="Times New Roman" w:cs="Times New Roman"/>
          <w:color w:val="auto"/>
          <w:highlight w:val="none"/>
        </w:rPr>
        <w:t>。本项目根据《建设项目环境风险评价技术导则HJ169—2018》附录F估算物质释放量。</w:t>
      </w:r>
    </w:p>
    <w:p w14:paraId="7F8E510C">
      <w:pPr>
        <w:keepNext w:val="0"/>
        <w:keepLines w:val="0"/>
        <w:pageBreakBefore w:val="0"/>
        <w:widowControl/>
        <w:kinsoku/>
        <w:wordWrap/>
        <w:overflowPunct/>
        <w:topLinePunct w:val="0"/>
        <w:autoSpaceDE/>
        <w:autoSpaceDN/>
        <w:bidi w:val="0"/>
        <w:adjustRightInd w:val="0"/>
        <w:snapToGrid w:val="0"/>
        <w:spacing w:line="360" w:lineRule="auto"/>
        <w:ind w:left="0" w:right="0" w:firstLine="480" w:firstLineChars="200"/>
        <w:jc w:val="both"/>
        <w:textAlignment w:val="auto"/>
        <w:rPr>
          <w:rFonts w:ascii="Times New Roman" w:hAnsi="Times New Roman" w:cs="Times New Roman"/>
          <w:color w:val="auto"/>
          <w:highlight w:val="none"/>
        </w:rPr>
      </w:pPr>
      <w:r>
        <w:rPr>
          <w:rFonts w:hint="eastAsia" w:ascii="Times New Roman" w:hAnsi="Times New Roman" w:cs="Times New Roman"/>
          <w:color w:val="auto"/>
          <w:highlight w:val="none"/>
        </w:rPr>
        <w:t>N-甲基吡咯烷酮</w:t>
      </w:r>
      <w:r>
        <w:rPr>
          <w:rFonts w:ascii="Times New Roman" w:hAnsi="Times New Roman" w:cs="Times New Roman"/>
          <w:color w:val="auto"/>
          <w:highlight w:val="none"/>
        </w:rPr>
        <w:t>遇明火燃烧产生的主要污染物为氮氧化物、一氧化碳等，本报告选取</w:t>
      </w:r>
      <w:r>
        <w:rPr>
          <w:rFonts w:hint="eastAsia" w:ascii="Times New Roman" w:hAnsi="Times New Roman" w:cs="Times New Roman"/>
          <w:color w:val="auto"/>
          <w:highlight w:val="none"/>
        </w:rPr>
        <w:t>N-甲基吡咯烷酮</w:t>
      </w:r>
      <w:r>
        <w:rPr>
          <w:rFonts w:ascii="Times New Roman" w:hAnsi="Times New Roman" w:cs="Times New Roman"/>
          <w:color w:val="auto"/>
          <w:highlight w:val="none"/>
        </w:rPr>
        <w:t>火灾事故产生的有毒有害物质一氧化碳进行重点评价分析。火灾伴生和次生污染物源强确定参考《建设项目环境风险评价技术导则HJ169—2018》附录F中油品火灾伴/次生中一氧化碳产生量的计算公式计算：</w:t>
      </w:r>
    </w:p>
    <w:p w14:paraId="74BEDE67">
      <w:pPr>
        <w:adjustRightInd w:val="0"/>
        <w:snapToGrid w:val="0"/>
        <w:spacing w:line="360" w:lineRule="auto"/>
        <w:ind w:left="-105" w:right="-105" w:firstLine="480" w:firstLineChars="200"/>
        <w:jc w:val="center"/>
        <w:rPr>
          <w:rFonts w:ascii="Times New Roman" w:hAnsi="Times New Roman" w:cs="Times New Roman"/>
          <w:color w:val="auto"/>
          <w:highlight w:val="none"/>
        </w:rPr>
      </w:pPr>
      <w:r>
        <w:rPr>
          <w:rFonts w:ascii="Times New Roman" w:hAnsi="Times New Roman" w:cs="Times New Roman"/>
          <w:color w:val="auto"/>
          <w:highlight w:val="none"/>
        </w:rPr>
        <w:drawing>
          <wp:inline distT="0" distB="0" distL="0" distR="0">
            <wp:extent cx="1525270" cy="325755"/>
            <wp:effectExtent l="0" t="0" r="17780" b="17145"/>
            <wp:docPr id="23"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9"/>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a:xfrm>
                      <a:off x="0" y="0"/>
                      <a:ext cx="1545210" cy="330183"/>
                    </a:xfrm>
                    <a:prstGeom prst="rect">
                      <a:avLst/>
                    </a:prstGeom>
                    <a:noFill/>
                    <a:ln>
                      <a:noFill/>
                    </a:ln>
                  </pic:spPr>
                </pic:pic>
              </a:graphicData>
            </a:graphic>
          </wp:inline>
        </w:drawing>
      </w:r>
    </w:p>
    <w:p w14:paraId="286020EC">
      <w:pPr>
        <w:adjustRightInd w:val="0"/>
        <w:snapToGrid w:val="0"/>
        <w:spacing w:line="360" w:lineRule="auto"/>
        <w:ind w:left="-105" w:right="-105" w:firstLine="480" w:firstLineChars="200"/>
        <w:rPr>
          <w:rFonts w:ascii="Times New Roman" w:hAnsi="Times New Roman" w:cs="Times New Roman"/>
          <w:color w:val="auto"/>
          <w:highlight w:val="none"/>
        </w:rPr>
      </w:pPr>
      <w:r>
        <w:rPr>
          <w:rFonts w:ascii="Times New Roman" w:hAnsi="Times New Roman" w:cs="Times New Roman"/>
          <w:color w:val="auto"/>
          <w:highlight w:val="none"/>
        </w:rPr>
        <w:t>G一氧化碳一氧化碳产生量，kg/s；</w:t>
      </w:r>
    </w:p>
    <w:p w14:paraId="08BA3CCE">
      <w:pPr>
        <w:adjustRightInd w:val="0"/>
        <w:snapToGrid w:val="0"/>
        <w:spacing w:line="360" w:lineRule="auto"/>
        <w:ind w:left="-105" w:right="-105" w:firstLine="480" w:firstLineChars="200"/>
        <w:rPr>
          <w:rFonts w:ascii="Times New Roman" w:hAnsi="Times New Roman" w:cs="Times New Roman"/>
          <w:color w:val="auto"/>
          <w:highlight w:val="none"/>
        </w:rPr>
      </w:pPr>
      <w:r>
        <w:rPr>
          <w:rFonts w:ascii="Times New Roman" w:hAnsi="Times New Roman" w:cs="Times New Roman"/>
          <w:color w:val="auto"/>
          <w:highlight w:val="none"/>
        </w:rPr>
        <w:t>C一物质中碳的含量，%。</w:t>
      </w:r>
      <w:r>
        <w:rPr>
          <w:rFonts w:hint="eastAsia" w:ascii="Times New Roman" w:hAnsi="Times New Roman" w:cs="Times New Roman"/>
          <w:color w:val="auto"/>
          <w:highlight w:val="none"/>
        </w:rPr>
        <w:t>N-甲基吡咯烷酮</w:t>
      </w:r>
      <w:r>
        <w:rPr>
          <w:rFonts w:ascii="Times New Roman" w:hAnsi="Times New Roman" w:cs="Times New Roman"/>
          <w:color w:val="auto"/>
          <w:highlight w:val="none"/>
        </w:rPr>
        <w:t>的质量百分比含量按60</w:t>
      </w:r>
      <w:r>
        <w:rPr>
          <w:rFonts w:hint="eastAsia" w:ascii="Times New Roman" w:hAnsi="Times New Roman" w:cs="Times New Roman"/>
          <w:color w:val="auto"/>
          <w:highlight w:val="none"/>
        </w:rPr>
        <w:t>.6</w:t>
      </w:r>
      <w:r>
        <w:rPr>
          <w:rFonts w:ascii="Times New Roman" w:hAnsi="Times New Roman" w:cs="Times New Roman"/>
          <w:color w:val="auto"/>
          <w:highlight w:val="none"/>
        </w:rPr>
        <w:t>%计；</w:t>
      </w:r>
    </w:p>
    <w:p w14:paraId="0D0D7994">
      <w:pPr>
        <w:adjustRightInd w:val="0"/>
        <w:snapToGrid w:val="0"/>
        <w:spacing w:line="360" w:lineRule="auto"/>
        <w:ind w:left="-105" w:right="-105" w:firstLine="480" w:firstLineChars="200"/>
        <w:rPr>
          <w:rFonts w:ascii="Times New Roman" w:hAnsi="Times New Roman" w:cs="Times New Roman"/>
          <w:color w:val="auto"/>
          <w:highlight w:val="none"/>
        </w:rPr>
      </w:pPr>
      <w:r>
        <w:rPr>
          <w:rFonts w:ascii="Times New Roman" w:hAnsi="Times New Roman" w:cs="Times New Roman"/>
          <w:color w:val="auto"/>
          <w:highlight w:val="none"/>
        </w:rPr>
        <w:t>q—化学不完全燃烧值，%。取1.5%</w:t>
      </w:r>
      <w:r>
        <w:rPr>
          <w:rFonts w:ascii="Times New Roman" w:hAnsi="Times New Roman" w:eastAsia="微软雅黑" w:cs="Times New Roman"/>
          <w:color w:val="auto"/>
          <w:highlight w:val="none"/>
        </w:rPr>
        <w:t>~</w:t>
      </w:r>
      <w:r>
        <w:rPr>
          <w:rFonts w:ascii="Times New Roman" w:hAnsi="Times New Roman" w:cs="Times New Roman"/>
          <w:color w:val="auto"/>
          <w:highlight w:val="none"/>
        </w:rPr>
        <w:t>6%。本次预测取最大值6%。</w:t>
      </w:r>
    </w:p>
    <w:p w14:paraId="2799C734">
      <w:pPr>
        <w:adjustRightInd w:val="0"/>
        <w:snapToGrid w:val="0"/>
        <w:spacing w:line="360" w:lineRule="auto"/>
        <w:ind w:left="-105" w:right="-105" w:firstLine="480" w:firstLineChars="200"/>
        <w:rPr>
          <w:rFonts w:ascii="Times New Roman" w:hAnsi="Times New Roman" w:cs="Times New Roman"/>
          <w:color w:val="auto"/>
          <w:highlight w:val="none"/>
        </w:rPr>
      </w:pPr>
      <w:r>
        <w:rPr>
          <w:rFonts w:ascii="Times New Roman" w:hAnsi="Times New Roman" w:cs="Times New Roman"/>
          <w:color w:val="auto"/>
          <w:highlight w:val="none"/>
        </w:rPr>
        <w:t>Q一参与燃烧的物质量，t/s。本项目考虑单个</w:t>
      </w:r>
      <w:r>
        <w:rPr>
          <w:rFonts w:hint="eastAsia" w:ascii="Times New Roman" w:hAnsi="Times New Roman" w:cs="Times New Roman"/>
          <w:color w:val="auto"/>
          <w:highlight w:val="none"/>
        </w:rPr>
        <w:t>包装桶</w:t>
      </w:r>
      <w:r>
        <w:rPr>
          <w:rFonts w:ascii="Times New Roman" w:hAnsi="Times New Roman" w:cs="Times New Roman"/>
          <w:color w:val="auto"/>
          <w:highlight w:val="none"/>
        </w:rPr>
        <w:t>全部发生火灾，存储量为</w:t>
      </w:r>
      <w:r>
        <w:rPr>
          <w:rFonts w:hint="eastAsia" w:ascii="Times New Roman" w:hAnsi="Times New Roman" w:cs="Times New Roman"/>
          <w:color w:val="auto"/>
          <w:highlight w:val="none"/>
        </w:rPr>
        <w:t>2</w:t>
      </w:r>
      <w:r>
        <w:rPr>
          <w:rFonts w:ascii="Times New Roman" w:hAnsi="Times New Roman" w:cs="Times New Roman"/>
          <w:color w:val="auto"/>
          <w:highlight w:val="none"/>
        </w:rPr>
        <w:t>00kg，取燃烧时间为30min，故本项目Q取0.000</w:t>
      </w:r>
      <w:r>
        <w:rPr>
          <w:rFonts w:hint="eastAsia" w:ascii="Times New Roman" w:hAnsi="Times New Roman" w:cs="Times New Roman"/>
          <w:color w:val="auto"/>
          <w:highlight w:val="none"/>
        </w:rPr>
        <w:t>111</w:t>
      </w:r>
      <w:r>
        <w:rPr>
          <w:rFonts w:ascii="Times New Roman" w:hAnsi="Times New Roman" w:cs="Times New Roman"/>
          <w:color w:val="auto"/>
          <w:highlight w:val="none"/>
        </w:rPr>
        <w:t>t/s；</w:t>
      </w:r>
    </w:p>
    <w:p w14:paraId="58B1DA92">
      <w:pPr>
        <w:adjustRightInd w:val="0"/>
        <w:snapToGrid w:val="0"/>
        <w:spacing w:line="360" w:lineRule="auto"/>
        <w:ind w:left="-105" w:right="-105" w:firstLine="480" w:firstLineChars="200"/>
        <w:rPr>
          <w:rFonts w:ascii="Times New Roman" w:hAnsi="Times New Roman" w:cs="Times New Roman"/>
          <w:color w:val="auto"/>
          <w:highlight w:val="none"/>
        </w:rPr>
      </w:pPr>
      <w:r>
        <w:rPr>
          <w:rFonts w:ascii="Times New Roman" w:hAnsi="Times New Roman" w:cs="Times New Roman"/>
          <w:color w:val="auto"/>
          <w:highlight w:val="none"/>
        </w:rPr>
        <w:t>根据上式计算得出CO的产生量G</w:t>
      </w:r>
      <w:r>
        <w:rPr>
          <w:rFonts w:ascii="Times New Roman" w:hAnsi="Times New Roman" w:cs="Times New Roman"/>
          <w:color w:val="auto"/>
          <w:highlight w:val="none"/>
          <w:vertAlign w:val="subscript"/>
        </w:rPr>
        <w:t>一氧化碳</w:t>
      </w:r>
      <w:r>
        <w:rPr>
          <w:rFonts w:ascii="Times New Roman" w:hAnsi="Times New Roman" w:cs="Times New Roman"/>
          <w:color w:val="auto"/>
          <w:highlight w:val="none"/>
        </w:rPr>
        <w:t>为0.0</w:t>
      </w:r>
      <w:r>
        <w:rPr>
          <w:rFonts w:hint="eastAsia" w:ascii="Times New Roman" w:hAnsi="Times New Roman" w:cs="Times New Roman"/>
          <w:color w:val="auto"/>
          <w:highlight w:val="none"/>
        </w:rPr>
        <w:t>094</w:t>
      </w:r>
      <w:r>
        <w:rPr>
          <w:rFonts w:ascii="Times New Roman" w:hAnsi="Times New Roman" w:cs="Times New Roman"/>
          <w:color w:val="auto"/>
          <w:highlight w:val="none"/>
        </w:rPr>
        <w:t>kg/s。</w:t>
      </w:r>
    </w:p>
    <w:p w14:paraId="790877EC">
      <w:pPr>
        <w:pStyle w:val="97"/>
        <w:spacing w:line="360" w:lineRule="auto"/>
        <w:ind w:left="-105" w:right="-105" w:firstLine="480"/>
        <w:rPr>
          <w:rFonts w:eastAsia="宋体"/>
          <w:color w:val="auto"/>
          <w:sz w:val="24"/>
          <w:highlight w:val="none"/>
        </w:rPr>
      </w:pPr>
      <w:r>
        <w:rPr>
          <w:rFonts w:eastAsia="宋体"/>
          <w:color w:val="auto"/>
          <w:sz w:val="24"/>
          <w:highlight w:val="none"/>
        </w:rPr>
        <w:t>（</w:t>
      </w:r>
      <w:r>
        <w:rPr>
          <w:rFonts w:hint="eastAsia" w:eastAsia="宋体"/>
          <w:color w:val="auto"/>
          <w:sz w:val="24"/>
          <w:highlight w:val="none"/>
        </w:rPr>
        <w:t>3</w:t>
      </w:r>
      <w:r>
        <w:rPr>
          <w:rFonts w:eastAsia="宋体"/>
          <w:color w:val="auto"/>
          <w:sz w:val="24"/>
          <w:highlight w:val="none"/>
        </w:rPr>
        <w:t>）源强参数确定</w:t>
      </w:r>
    </w:p>
    <w:p w14:paraId="35FB7D24">
      <w:pPr>
        <w:pStyle w:val="15"/>
        <w:spacing w:line="360" w:lineRule="auto"/>
        <w:ind w:left="-105" w:right="-105" w:firstLine="482"/>
        <w:rPr>
          <w:rFonts w:eastAsia="宋体"/>
          <w:color w:val="auto"/>
          <w:sz w:val="24"/>
          <w:szCs w:val="18"/>
          <w:highlight w:val="none"/>
        </w:rPr>
      </w:pPr>
    </w:p>
    <w:p w14:paraId="2E48B9F4">
      <w:pPr>
        <w:pStyle w:val="15"/>
        <w:spacing w:line="360" w:lineRule="auto"/>
        <w:ind w:left="-105" w:right="-105" w:firstLine="482"/>
        <w:rPr>
          <w:rFonts w:eastAsia="宋体"/>
          <w:color w:val="auto"/>
          <w:sz w:val="24"/>
          <w:szCs w:val="18"/>
          <w:highlight w:val="none"/>
        </w:rPr>
      </w:pPr>
    </w:p>
    <w:p w14:paraId="57FB92C0">
      <w:pPr>
        <w:pStyle w:val="15"/>
        <w:spacing w:line="360" w:lineRule="auto"/>
        <w:ind w:left="-105" w:right="-105" w:firstLine="482"/>
        <w:rPr>
          <w:rFonts w:eastAsia="宋体"/>
          <w:b w:val="0"/>
          <w:bCs/>
          <w:color w:val="auto"/>
          <w:sz w:val="24"/>
          <w:szCs w:val="24"/>
          <w:highlight w:val="none"/>
        </w:rPr>
      </w:pPr>
      <w:r>
        <w:rPr>
          <w:rFonts w:eastAsia="宋体"/>
          <w:color w:val="auto"/>
          <w:sz w:val="24"/>
          <w:szCs w:val="18"/>
          <w:highlight w:val="none"/>
        </w:rPr>
        <w:t>表</w:t>
      </w:r>
      <w:r>
        <w:rPr>
          <w:rFonts w:eastAsia="宋体"/>
          <w:color w:val="auto"/>
          <w:sz w:val="24"/>
          <w:szCs w:val="18"/>
          <w:highlight w:val="none"/>
        </w:rPr>
        <w:fldChar w:fldCharType="begin"/>
      </w:r>
      <w:r>
        <w:rPr>
          <w:rFonts w:eastAsia="宋体"/>
          <w:color w:val="auto"/>
          <w:sz w:val="24"/>
          <w:szCs w:val="18"/>
          <w:highlight w:val="none"/>
        </w:rPr>
        <w:instrText xml:space="preserve"> STYLEREF 2 \s </w:instrText>
      </w:r>
      <w:r>
        <w:rPr>
          <w:rFonts w:eastAsia="宋体"/>
          <w:color w:val="auto"/>
          <w:sz w:val="24"/>
          <w:szCs w:val="18"/>
          <w:highlight w:val="none"/>
        </w:rPr>
        <w:fldChar w:fldCharType="separate"/>
      </w:r>
      <w:r>
        <w:rPr>
          <w:rFonts w:eastAsia="宋体"/>
          <w:color w:val="auto"/>
          <w:sz w:val="24"/>
          <w:szCs w:val="18"/>
          <w:highlight w:val="none"/>
        </w:rPr>
        <w:t>4.8</w:t>
      </w:r>
      <w:r>
        <w:rPr>
          <w:rFonts w:eastAsia="宋体"/>
          <w:color w:val="auto"/>
          <w:sz w:val="24"/>
          <w:szCs w:val="18"/>
          <w:highlight w:val="none"/>
        </w:rPr>
        <w:fldChar w:fldCharType="end"/>
      </w:r>
      <w:r>
        <w:rPr>
          <w:rFonts w:eastAsia="宋体"/>
          <w:color w:val="auto"/>
          <w:sz w:val="24"/>
          <w:szCs w:val="18"/>
          <w:highlight w:val="none"/>
        </w:rPr>
        <w:noBreakHyphen/>
      </w:r>
      <w:r>
        <w:rPr>
          <w:rFonts w:eastAsia="宋体"/>
          <w:color w:val="auto"/>
          <w:sz w:val="24"/>
          <w:szCs w:val="18"/>
          <w:highlight w:val="none"/>
        </w:rPr>
        <w:fldChar w:fldCharType="begin"/>
      </w:r>
      <w:r>
        <w:rPr>
          <w:rFonts w:eastAsia="宋体"/>
          <w:color w:val="auto"/>
          <w:sz w:val="24"/>
          <w:szCs w:val="18"/>
          <w:highlight w:val="none"/>
        </w:rPr>
        <w:instrText xml:space="preserve"> SEQ 表 \* ARABIC \s 2 </w:instrText>
      </w:r>
      <w:r>
        <w:rPr>
          <w:rFonts w:eastAsia="宋体"/>
          <w:color w:val="auto"/>
          <w:sz w:val="24"/>
          <w:szCs w:val="18"/>
          <w:highlight w:val="none"/>
        </w:rPr>
        <w:fldChar w:fldCharType="separate"/>
      </w:r>
      <w:r>
        <w:rPr>
          <w:rFonts w:eastAsia="宋体"/>
          <w:color w:val="auto"/>
          <w:sz w:val="24"/>
          <w:szCs w:val="18"/>
          <w:highlight w:val="none"/>
        </w:rPr>
        <w:t>7</w:t>
      </w:r>
      <w:r>
        <w:rPr>
          <w:rFonts w:eastAsia="宋体"/>
          <w:color w:val="auto"/>
          <w:sz w:val="24"/>
          <w:szCs w:val="18"/>
          <w:highlight w:val="none"/>
        </w:rPr>
        <w:fldChar w:fldCharType="end"/>
      </w:r>
      <w:r>
        <w:rPr>
          <w:rFonts w:eastAsia="宋体"/>
          <w:color w:val="auto"/>
          <w:sz w:val="24"/>
          <w:szCs w:val="24"/>
          <w:highlight w:val="none"/>
        </w:rPr>
        <w:t>本项目风险事故源强一览表</w:t>
      </w:r>
    </w:p>
    <w:tbl>
      <w:tblPr>
        <w:tblStyle w:val="45"/>
        <w:tblW w:w="8720" w:type="dxa"/>
        <w:tblInd w:w="0" w:type="dxa"/>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
      <w:tblGrid>
        <w:gridCol w:w="426"/>
        <w:gridCol w:w="850"/>
        <w:gridCol w:w="851"/>
        <w:gridCol w:w="708"/>
        <w:gridCol w:w="959"/>
        <w:gridCol w:w="1134"/>
        <w:gridCol w:w="850"/>
        <w:gridCol w:w="982"/>
        <w:gridCol w:w="932"/>
        <w:gridCol w:w="1028"/>
      </w:tblGrid>
      <w:tr w14:paraId="13F20C19">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blHeader/>
        </w:trPr>
        <w:tc>
          <w:tcPr>
            <w:tcW w:w="426" w:type="dxa"/>
            <w:vAlign w:val="center"/>
          </w:tcPr>
          <w:p w14:paraId="68D46D80">
            <w:pPr>
              <w:pStyle w:val="97"/>
              <w:ind w:left="-105" w:right="-105" w:firstLine="0" w:firstLineChars="0"/>
              <w:jc w:val="center"/>
              <w:rPr>
                <w:rFonts w:eastAsia="宋体"/>
                <w:b/>
                <w:bCs/>
                <w:color w:val="auto"/>
                <w:sz w:val="21"/>
                <w:szCs w:val="21"/>
                <w:highlight w:val="none"/>
              </w:rPr>
            </w:pPr>
            <w:r>
              <w:rPr>
                <w:rFonts w:eastAsia="宋体"/>
                <w:b/>
                <w:bCs/>
                <w:color w:val="auto"/>
                <w:sz w:val="21"/>
                <w:szCs w:val="21"/>
                <w:highlight w:val="none"/>
              </w:rPr>
              <w:t>序号</w:t>
            </w:r>
          </w:p>
        </w:tc>
        <w:tc>
          <w:tcPr>
            <w:tcW w:w="850" w:type="dxa"/>
            <w:vAlign w:val="center"/>
          </w:tcPr>
          <w:p w14:paraId="2CE1AA90">
            <w:pPr>
              <w:pStyle w:val="97"/>
              <w:ind w:left="-105" w:right="-105" w:firstLine="0" w:firstLineChars="0"/>
              <w:jc w:val="center"/>
              <w:rPr>
                <w:rFonts w:eastAsia="宋体"/>
                <w:b/>
                <w:bCs/>
                <w:color w:val="auto"/>
                <w:sz w:val="21"/>
                <w:szCs w:val="21"/>
                <w:highlight w:val="none"/>
              </w:rPr>
            </w:pPr>
            <w:r>
              <w:rPr>
                <w:rFonts w:eastAsia="宋体"/>
                <w:b/>
                <w:bCs/>
                <w:color w:val="auto"/>
                <w:sz w:val="21"/>
                <w:szCs w:val="21"/>
                <w:highlight w:val="none"/>
              </w:rPr>
              <w:t>风险事故情形描述</w:t>
            </w:r>
          </w:p>
        </w:tc>
        <w:tc>
          <w:tcPr>
            <w:tcW w:w="851" w:type="dxa"/>
            <w:vAlign w:val="center"/>
          </w:tcPr>
          <w:p w14:paraId="3E756C15">
            <w:pPr>
              <w:pStyle w:val="97"/>
              <w:ind w:left="-105" w:right="-105" w:firstLine="0" w:firstLineChars="0"/>
              <w:jc w:val="center"/>
              <w:rPr>
                <w:rFonts w:eastAsia="宋体"/>
                <w:b/>
                <w:bCs/>
                <w:color w:val="auto"/>
                <w:sz w:val="21"/>
                <w:szCs w:val="21"/>
                <w:highlight w:val="none"/>
              </w:rPr>
            </w:pPr>
            <w:r>
              <w:rPr>
                <w:rFonts w:eastAsia="宋体"/>
                <w:b/>
                <w:bCs/>
                <w:color w:val="auto"/>
                <w:sz w:val="21"/>
                <w:szCs w:val="21"/>
                <w:highlight w:val="none"/>
              </w:rPr>
              <w:t>危险单元</w:t>
            </w:r>
          </w:p>
        </w:tc>
        <w:tc>
          <w:tcPr>
            <w:tcW w:w="708" w:type="dxa"/>
            <w:vAlign w:val="center"/>
          </w:tcPr>
          <w:p w14:paraId="4E35A383">
            <w:pPr>
              <w:pStyle w:val="97"/>
              <w:ind w:left="-105" w:right="-105" w:firstLine="0" w:firstLineChars="0"/>
              <w:jc w:val="center"/>
              <w:rPr>
                <w:rFonts w:eastAsia="宋体"/>
                <w:b/>
                <w:bCs/>
                <w:color w:val="auto"/>
                <w:sz w:val="21"/>
                <w:szCs w:val="21"/>
                <w:highlight w:val="none"/>
              </w:rPr>
            </w:pPr>
            <w:r>
              <w:rPr>
                <w:rFonts w:eastAsia="宋体"/>
                <w:b/>
                <w:bCs/>
                <w:color w:val="auto"/>
                <w:sz w:val="21"/>
                <w:szCs w:val="21"/>
                <w:highlight w:val="none"/>
              </w:rPr>
              <w:t>危险</w:t>
            </w:r>
          </w:p>
          <w:p w14:paraId="45A223C4">
            <w:pPr>
              <w:pStyle w:val="97"/>
              <w:ind w:left="-105" w:right="-105" w:firstLine="0" w:firstLineChars="0"/>
              <w:jc w:val="center"/>
              <w:rPr>
                <w:rFonts w:eastAsia="宋体"/>
                <w:b/>
                <w:bCs/>
                <w:color w:val="auto"/>
                <w:sz w:val="21"/>
                <w:szCs w:val="21"/>
                <w:highlight w:val="none"/>
              </w:rPr>
            </w:pPr>
            <w:r>
              <w:rPr>
                <w:rFonts w:eastAsia="宋体"/>
                <w:b/>
                <w:bCs/>
                <w:color w:val="auto"/>
                <w:sz w:val="21"/>
                <w:szCs w:val="21"/>
                <w:highlight w:val="none"/>
              </w:rPr>
              <w:t>物质</w:t>
            </w:r>
          </w:p>
        </w:tc>
        <w:tc>
          <w:tcPr>
            <w:tcW w:w="959" w:type="dxa"/>
            <w:vAlign w:val="center"/>
          </w:tcPr>
          <w:p w14:paraId="39B63A9E">
            <w:pPr>
              <w:pStyle w:val="97"/>
              <w:ind w:left="-105" w:right="-105" w:firstLine="0" w:firstLineChars="0"/>
              <w:jc w:val="center"/>
              <w:rPr>
                <w:rFonts w:eastAsia="宋体"/>
                <w:b/>
                <w:bCs/>
                <w:color w:val="auto"/>
                <w:sz w:val="21"/>
                <w:szCs w:val="21"/>
                <w:highlight w:val="none"/>
              </w:rPr>
            </w:pPr>
            <w:r>
              <w:rPr>
                <w:rFonts w:eastAsia="宋体"/>
                <w:b/>
                <w:bCs/>
                <w:color w:val="auto"/>
                <w:sz w:val="21"/>
                <w:szCs w:val="21"/>
                <w:highlight w:val="none"/>
              </w:rPr>
              <w:t>影响途径</w:t>
            </w:r>
          </w:p>
        </w:tc>
        <w:tc>
          <w:tcPr>
            <w:tcW w:w="1134" w:type="dxa"/>
            <w:vAlign w:val="center"/>
          </w:tcPr>
          <w:p w14:paraId="4A8E12BE">
            <w:pPr>
              <w:pStyle w:val="97"/>
              <w:ind w:left="-105" w:right="-105" w:firstLine="0" w:firstLineChars="0"/>
              <w:jc w:val="center"/>
              <w:rPr>
                <w:rFonts w:eastAsia="宋体"/>
                <w:b/>
                <w:bCs/>
                <w:color w:val="auto"/>
                <w:sz w:val="21"/>
                <w:szCs w:val="21"/>
                <w:highlight w:val="none"/>
              </w:rPr>
            </w:pPr>
            <w:r>
              <w:rPr>
                <w:rFonts w:eastAsia="宋体"/>
                <w:b/>
                <w:bCs/>
                <w:color w:val="auto"/>
                <w:sz w:val="21"/>
                <w:szCs w:val="21"/>
                <w:highlight w:val="none"/>
              </w:rPr>
              <w:t>释放或泄漏速率（g/s)</w:t>
            </w:r>
          </w:p>
        </w:tc>
        <w:tc>
          <w:tcPr>
            <w:tcW w:w="850" w:type="dxa"/>
            <w:vAlign w:val="center"/>
          </w:tcPr>
          <w:p w14:paraId="6E2F38A3">
            <w:pPr>
              <w:pStyle w:val="97"/>
              <w:ind w:left="-105" w:right="-105" w:firstLine="0" w:firstLineChars="0"/>
              <w:jc w:val="center"/>
              <w:rPr>
                <w:rFonts w:eastAsia="宋体"/>
                <w:b/>
                <w:bCs/>
                <w:color w:val="auto"/>
                <w:sz w:val="21"/>
                <w:szCs w:val="21"/>
                <w:highlight w:val="none"/>
              </w:rPr>
            </w:pPr>
            <w:r>
              <w:rPr>
                <w:rFonts w:eastAsia="宋体"/>
                <w:b/>
                <w:bCs/>
                <w:color w:val="auto"/>
                <w:sz w:val="21"/>
                <w:szCs w:val="21"/>
                <w:highlight w:val="none"/>
              </w:rPr>
              <w:t>释放或泄漏时间（min)</w:t>
            </w:r>
          </w:p>
        </w:tc>
        <w:tc>
          <w:tcPr>
            <w:tcW w:w="982" w:type="dxa"/>
            <w:vAlign w:val="center"/>
          </w:tcPr>
          <w:p w14:paraId="59984D31">
            <w:pPr>
              <w:pStyle w:val="97"/>
              <w:ind w:left="-105" w:right="-105" w:firstLine="0" w:firstLineChars="0"/>
              <w:jc w:val="center"/>
              <w:rPr>
                <w:rFonts w:eastAsia="宋体"/>
                <w:b/>
                <w:bCs/>
                <w:color w:val="auto"/>
                <w:sz w:val="21"/>
                <w:szCs w:val="21"/>
                <w:highlight w:val="none"/>
              </w:rPr>
            </w:pPr>
            <w:r>
              <w:rPr>
                <w:rFonts w:eastAsia="宋体"/>
                <w:b/>
                <w:bCs/>
                <w:color w:val="auto"/>
                <w:sz w:val="21"/>
                <w:szCs w:val="21"/>
                <w:highlight w:val="none"/>
              </w:rPr>
              <w:t>最大释放或泄漏量（kg)</w:t>
            </w:r>
          </w:p>
        </w:tc>
        <w:tc>
          <w:tcPr>
            <w:tcW w:w="932" w:type="dxa"/>
            <w:vAlign w:val="center"/>
          </w:tcPr>
          <w:p w14:paraId="1C9BE28F">
            <w:pPr>
              <w:pStyle w:val="97"/>
              <w:ind w:left="-105" w:right="-105" w:firstLine="0" w:firstLineChars="0"/>
              <w:jc w:val="center"/>
              <w:rPr>
                <w:rFonts w:eastAsia="宋体"/>
                <w:b/>
                <w:bCs/>
                <w:color w:val="auto"/>
                <w:sz w:val="21"/>
                <w:szCs w:val="21"/>
                <w:highlight w:val="none"/>
              </w:rPr>
            </w:pPr>
            <w:r>
              <w:rPr>
                <w:rFonts w:eastAsia="宋体"/>
                <w:b/>
                <w:bCs/>
                <w:color w:val="auto"/>
                <w:sz w:val="21"/>
                <w:szCs w:val="21"/>
                <w:highlight w:val="none"/>
              </w:rPr>
              <w:t>泄漏液体蒸发量（kg)</w:t>
            </w:r>
          </w:p>
        </w:tc>
        <w:tc>
          <w:tcPr>
            <w:tcW w:w="1028" w:type="dxa"/>
            <w:vAlign w:val="center"/>
          </w:tcPr>
          <w:p w14:paraId="0AEA0473">
            <w:pPr>
              <w:pStyle w:val="97"/>
              <w:ind w:left="-105" w:right="-105" w:firstLine="0" w:firstLineChars="0"/>
              <w:jc w:val="center"/>
              <w:rPr>
                <w:rFonts w:eastAsia="宋体"/>
                <w:b/>
                <w:bCs/>
                <w:color w:val="auto"/>
                <w:sz w:val="21"/>
                <w:szCs w:val="21"/>
                <w:highlight w:val="none"/>
              </w:rPr>
            </w:pPr>
            <w:r>
              <w:rPr>
                <w:rFonts w:eastAsia="宋体"/>
                <w:b/>
                <w:bCs/>
                <w:color w:val="auto"/>
                <w:sz w:val="21"/>
                <w:szCs w:val="21"/>
                <w:highlight w:val="none"/>
              </w:rPr>
              <w:t>其他事故源参数</w:t>
            </w:r>
          </w:p>
        </w:tc>
      </w:tr>
      <w:tr w14:paraId="4BADDD95">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c>
          <w:tcPr>
            <w:tcW w:w="426" w:type="dxa"/>
            <w:vAlign w:val="center"/>
          </w:tcPr>
          <w:p w14:paraId="1E7F7B94">
            <w:pPr>
              <w:pStyle w:val="97"/>
              <w:ind w:left="-105" w:right="-105" w:firstLine="0" w:firstLineChars="0"/>
              <w:jc w:val="center"/>
              <w:rPr>
                <w:rFonts w:eastAsia="宋体"/>
                <w:color w:val="auto"/>
                <w:sz w:val="21"/>
                <w:szCs w:val="21"/>
                <w:highlight w:val="none"/>
              </w:rPr>
            </w:pPr>
            <w:r>
              <w:rPr>
                <w:rFonts w:hint="eastAsia" w:eastAsia="宋体"/>
                <w:color w:val="auto"/>
                <w:sz w:val="21"/>
                <w:szCs w:val="21"/>
                <w:highlight w:val="none"/>
              </w:rPr>
              <w:t>1</w:t>
            </w:r>
          </w:p>
        </w:tc>
        <w:tc>
          <w:tcPr>
            <w:tcW w:w="850" w:type="dxa"/>
            <w:vAlign w:val="center"/>
          </w:tcPr>
          <w:p w14:paraId="0115E462">
            <w:pPr>
              <w:pStyle w:val="97"/>
              <w:ind w:left="-105" w:right="-105" w:firstLine="0" w:firstLineChars="0"/>
              <w:jc w:val="center"/>
              <w:rPr>
                <w:rFonts w:eastAsia="宋体"/>
                <w:color w:val="auto"/>
                <w:sz w:val="21"/>
                <w:szCs w:val="21"/>
                <w:highlight w:val="none"/>
              </w:rPr>
            </w:pPr>
            <w:r>
              <w:rPr>
                <w:rFonts w:eastAsia="宋体"/>
                <w:color w:val="auto"/>
                <w:sz w:val="21"/>
                <w:szCs w:val="21"/>
                <w:highlight w:val="none"/>
              </w:rPr>
              <w:t>火灾</w:t>
            </w:r>
          </w:p>
        </w:tc>
        <w:tc>
          <w:tcPr>
            <w:tcW w:w="851" w:type="dxa"/>
            <w:vAlign w:val="center"/>
          </w:tcPr>
          <w:p w14:paraId="1D91ED00">
            <w:pPr>
              <w:pStyle w:val="97"/>
              <w:ind w:left="-105" w:right="-105" w:firstLine="0" w:firstLineChars="0"/>
              <w:jc w:val="center"/>
              <w:rPr>
                <w:rFonts w:eastAsia="宋体"/>
                <w:color w:val="auto"/>
                <w:sz w:val="21"/>
                <w:szCs w:val="21"/>
                <w:highlight w:val="none"/>
              </w:rPr>
            </w:pPr>
            <w:r>
              <w:rPr>
                <w:rFonts w:hint="eastAsia" w:eastAsia="宋体"/>
                <w:color w:val="auto"/>
                <w:sz w:val="21"/>
                <w:szCs w:val="21"/>
                <w:highlight w:val="none"/>
              </w:rPr>
              <w:t>N-甲基吡咯烷酮包装桶</w:t>
            </w:r>
          </w:p>
        </w:tc>
        <w:tc>
          <w:tcPr>
            <w:tcW w:w="708" w:type="dxa"/>
            <w:vAlign w:val="center"/>
          </w:tcPr>
          <w:p w14:paraId="4BBE5982">
            <w:pPr>
              <w:pStyle w:val="97"/>
              <w:ind w:left="-105" w:right="-105" w:firstLine="0" w:firstLineChars="0"/>
              <w:jc w:val="center"/>
              <w:rPr>
                <w:rFonts w:eastAsia="宋体"/>
                <w:color w:val="auto"/>
                <w:sz w:val="21"/>
                <w:szCs w:val="21"/>
                <w:highlight w:val="none"/>
              </w:rPr>
            </w:pPr>
            <w:r>
              <w:rPr>
                <w:rFonts w:eastAsia="宋体"/>
                <w:color w:val="auto"/>
                <w:sz w:val="21"/>
                <w:szCs w:val="21"/>
                <w:highlight w:val="none"/>
              </w:rPr>
              <w:t>一氧化碳</w:t>
            </w:r>
          </w:p>
        </w:tc>
        <w:tc>
          <w:tcPr>
            <w:tcW w:w="959" w:type="dxa"/>
            <w:vAlign w:val="center"/>
          </w:tcPr>
          <w:p w14:paraId="4BAA3DD7">
            <w:pPr>
              <w:pStyle w:val="97"/>
              <w:ind w:left="-105" w:right="-105" w:firstLine="0" w:firstLineChars="0"/>
              <w:jc w:val="center"/>
              <w:rPr>
                <w:rFonts w:eastAsia="宋体"/>
                <w:color w:val="auto"/>
                <w:sz w:val="21"/>
                <w:szCs w:val="21"/>
                <w:highlight w:val="none"/>
              </w:rPr>
            </w:pPr>
            <w:r>
              <w:rPr>
                <w:rFonts w:eastAsia="宋体"/>
                <w:color w:val="auto"/>
                <w:sz w:val="21"/>
                <w:szCs w:val="21"/>
                <w:highlight w:val="none"/>
              </w:rPr>
              <w:t>遇明火发生火灾</w:t>
            </w:r>
          </w:p>
        </w:tc>
        <w:tc>
          <w:tcPr>
            <w:tcW w:w="1134" w:type="dxa"/>
            <w:vAlign w:val="center"/>
          </w:tcPr>
          <w:p w14:paraId="20D7788D">
            <w:pPr>
              <w:pStyle w:val="97"/>
              <w:ind w:left="-105" w:right="-105" w:firstLine="0" w:firstLineChars="0"/>
              <w:jc w:val="center"/>
              <w:rPr>
                <w:rFonts w:eastAsia="宋体"/>
                <w:color w:val="auto"/>
                <w:sz w:val="21"/>
                <w:szCs w:val="21"/>
                <w:highlight w:val="none"/>
              </w:rPr>
            </w:pPr>
            <w:r>
              <w:rPr>
                <w:rFonts w:hint="eastAsia" w:eastAsia="宋体"/>
                <w:color w:val="auto"/>
                <w:sz w:val="21"/>
                <w:szCs w:val="21"/>
                <w:highlight w:val="none"/>
              </w:rPr>
              <w:t>9.4</w:t>
            </w:r>
          </w:p>
        </w:tc>
        <w:tc>
          <w:tcPr>
            <w:tcW w:w="850" w:type="dxa"/>
            <w:vAlign w:val="center"/>
          </w:tcPr>
          <w:p w14:paraId="1CAD97F4">
            <w:pPr>
              <w:pStyle w:val="97"/>
              <w:ind w:left="-105" w:right="-105" w:firstLine="0" w:firstLineChars="0"/>
              <w:jc w:val="center"/>
              <w:rPr>
                <w:rFonts w:hint="default" w:eastAsia="宋体"/>
                <w:color w:val="auto"/>
                <w:sz w:val="21"/>
                <w:szCs w:val="21"/>
                <w:highlight w:val="none"/>
                <w:lang w:val="en-US" w:eastAsia="zh-CN"/>
              </w:rPr>
            </w:pPr>
            <w:r>
              <w:rPr>
                <w:rFonts w:hint="eastAsia" w:eastAsia="宋体"/>
                <w:color w:val="auto"/>
                <w:sz w:val="21"/>
                <w:szCs w:val="21"/>
                <w:highlight w:val="none"/>
                <w:lang w:val="en-US" w:eastAsia="zh-CN"/>
              </w:rPr>
              <w:t>30</w:t>
            </w:r>
          </w:p>
        </w:tc>
        <w:tc>
          <w:tcPr>
            <w:tcW w:w="982" w:type="dxa"/>
            <w:vAlign w:val="center"/>
          </w:tcPr>
          <w:p w14:paraId="1B211A76">
            <w:pPr>
              <w:pStyle w:val="97"/>
              <w:ind w:left="-105" w:right="-105" w:firstLine="0" w:firstLineChars="0"/>
              <w:jc w:val="center"/>
              <w:rPr>
                <w:rFonts w:eastAsia="宋体"/>
                <w:color w:val="auto"/>
                <w:kern w:val="0"/>
                <w:sz w:val="21"/>
                <w:szCs w:val="21"/>
                <w:highlight w:val="none"/>
              </w:rPr>
            </w:pPr>
            <w:r>
              <w:rPr>
                <w:rFonts w:hint="eastAsia" w:eastAsia="宋体"/>
                <w:color w:val="auto"/>
                <w:kern w:val="0"/>
                <w:sz w:val="21"/>
                <w:szCs w:val="21"/>
                <w:highlight w:val="none"/>
              </w:rPr>
              <w:t>200</w:t>
            </w:r>
          </w:p>
        </w:tc>
        <w:tc>
          <w:tcPr>
            <w:tcW w:w="932" w:type="dxa"/>
            <w:vAlign w:val="center"/>
          </w:tcPr>
          <w:p w14:paraId="5658FE65">
            <w:pPr>
              <w:pStyle w:val="97"/>
              <w:ind w:left="-105" w:right="-105" w:firstLine="0" w:firstLineChars="0"/>
              <w:jc w:val="center"/>
              <w:rPr>
                <w:rFonts w:eastAsia="宋体"/>
                <w:color w:val="auto"/>
                <w:sz w:val="21"/>
                <w:szCs w:val="21"/>
                <w:highlight w:val="none"/>
              </w:rPr>
            </w:pPr>
            <w:r>
              <w:rPr>
                <w:rFonts w:eastAsia="宋体"/>
                <w:color w:val="auto"/>
                <w:sz w:val="21"/>
                <w:szCs w:val="21"/>
                <w:highlight w:val="none"/>
              </w:rPr>
              <w:t>/</w:t>
            </w:r>
          </w:p>
        </w:tc>
        <w:tc>
          <w:tcPr>
            <w:tcW w:w="1028" w:type="dxa"/>
            <w:vAlign w:val="center"/>
          </w:tcPr>
          <w:p w14:paraId="0B0C7BD0">
            <w:pPr>
              <w:pStyle w:val="97"/>
              <w:ind w:left="-105" w:right="-105" w:firstLine="0" w:firstLineChars="0"/>
              <w:jc w:val="center"/>
              <w:rPr>
                <w:rFonts w:eastAsia="宋体"/>
                <w:color w:val="auto"/>
                <w:sz w:val="21"/>
                <w:szCs w:val="21"/>
                <w:highlight w:val="none"/>
              </w:rPr>
            </w:pPr>
            <w:r>
              <w:rPr>
                <w:rFonts w:hint="eastAsia" w:eastAsia="宋体"/>
                <w:color w:val="auto"/>
                <w:sz w:val="21"/>
                <w:szCs w:val="21"/>
                <w:highlight w:val="none"/>
              </w:rPr>
              <w:t>包装桶</w:t>
            </w:r>
            <w:r>
              <w:rPr>
                <w:rFonts w:eastAsia="宋体"/>
                <w:color w:val="auto"/>
                <w:sz w:val="21"/>
                <w:szCs w:val="21"/>
                <w:highlight w:val="none"/>
              </w:rPr>
              <w:t>中</w:t>
            </w:r>
            <w:r>
              <w:rPr>
                <w:rFonts w:hint="eastAsia" w:eastAsia="宋体"/>
                <w:color w:val="auto"/>
                <w:sz w:val="21"/>
                <w:szCs w:val="21"/>
                <w:highlight w:val="none"/>
              </w:rPr>
              <w:t>N-甲基吡咯烷酮</w:t>
            </w:r>
            <w:r>
              <w:rPr>
                <w:rFonts w:eastAsia="宋体"/>
                <w:color w:val="auto"/>
                <w:sz w:val="21"/>
                <w:szCs w:val="21"/>
                <w:highlight w:val="none"/>
              </w:rPr>
              <w:t>全部燃烧</w:t>
            </w:r>
          </w:p>
        </w:tc>
      </w:tr>
      <w:tr w14:paraId="4B8887D0">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c>
          <w:tcPr>
            <w:tcW w:w="426" w:type="dxa"/>
            <w:vAlign w:val="center"/>
          </w:tcPr>
          <w:p w14:paraId="684C5933">
            <w:pPr>
              <w:pStyle w:val="97"/>
              <w:ind w:left="-105" w:right="-105" w:firstLine="0" w:firstLineChars="0"/>
              <w:jc w:val="center"/>
              <w:rPr>
                <w:rFonts w:eastAsia="宋体"/>
                <w:color w:val="auto"/>
                <w:sz w:val="21"/>
                <w:szCs w:val="21"/>
                <w:highlight w:val="none"/>
              </w:rPr>
            </w:pPr>
            <w:r>
              <w:rPr>
                <w:rFonts w:hint="eastAsia" w:eastAsia="宋体"/>
                <w:color w:val="auto"/>
                <w:sz w:val="21"/>
                <w:szCs w:val="21"/>
                <w:highlight w:val="none"/>
              </w:rPr>
              <w:t>2</w:t>
            </w:r>
          </w:p>
        </w:tc>
        <w:tc>
          <w:tcPr>
            <w:tcW w:w="850" w:type="dxa"/>
            <w:vAlign w:val="center"/>
          </w:tcPr>
          <w:p w14:paraId="076B385A">
            <w:pPr>
              <w:pStyle w:val="97"/>
              <w:ind w:left="-105" w:right="-105" w:firstLine="0" w:firstLineChars="0"/>
              <w:jc w:val="center"/>
              <w:rPr>
                <w:rFonts w:eastAsia="宋体"/>
                <w:color w:val="auto"/>
                <w:sz w:val="21"/>
                <w:szCs w:val="21"/>
                <w:highlight w:val="none"/>
              </w:rPr>
            </w:pPr>
            <w:r>
              <w:rPr>
                <w:rFonts w:hint="eastAsia" w:eastAsia="宋体"/>
                <w:color w:val="auto"/>
                <w:sz w:val="21"/>
                <w:szCs w:val="21"/>
                <w:highlight w:val="none"/>
              </w:rPr>
              <w:t>废液储罐</w:t>
            </w:r>
          </w:p>
        </w:tc>
        <w:tc>
          <w:tcPr>
            <w:tcW w:w="851" w:type="dxa"/>
            <w:vAlign w:val="center"/>
          </w:tcPr>
          <w:p w14:paraId="09D6EEC3">
            <w:pPr>
              <w:pStyle w:val="97"/>
              <w:ind w:left="-105" w:right="-105" w:firstLine="0" w:firstLineChars="0"/>
              <w:jc w:val="center"/>
              <w:rPr>
                <w:rFonts w:eastAsia="宋体"/>
                <w:color w:val="auto"/>
                <w:sz w:val="21"/>
                <w:szCs w:val="21"/>
                <w:highlight w:val="none"/>
              </w:rPr>
            </w:pPr>
            <w:r>
              <w:rPr>
                <w:rFonts w:hint="eastAsia" w:eastAsia="宋体"/>
                <w:color w:val="auto"/>
                <w:sz w:val="21"/>
                <w:szCs w:val="21"/>
                <w:highlight w:val="none"/>
              </w:rPr>
              <w:t>喷淋</w:t>
            </w:r>
            <w:r>
              <w:rPr>
                <w:rFonts w:eastAsia="宋体"/>
                <w:color w:val="auto"/>
                <w:sz w:val="21"/>
                <w:szCs w:val="21"/>
                <w:highlight w:val="none"/>
              </w:rPr>
              <w:t>废水</w:t>
            </w:r>
          </w:p>
        </w:tc>
        <w:tc>
          <w:tcPr>
            <w:tcW w:w="708" w:type="dxa"/>
            <w:vAlign w:val="center"/>
          </w:tcPr>
          <w:p w14:paraId="581B6FDD">
            <w:pPr>
              <w:pStyle w:val="97"/>
              <w:ind w:left="-105" w:right="-105" w:firstLine="0" w:firstLineChars="0"/>
              <w:jc w:val="center"/>
              <w:rPr>
                <w:rFonts w:eastAsia="宋体"/>
                <w:color w:val="auto"/>
                <w:sz w:val="21"/>
                <w:szCs w:val="21"/>
                <w:highlight w:val="none"/>
              </w:rPr>
            </w:pPr>
            <w:r>
              <w:rPr>
                <w:rFonts w:hint="eastAsia" w:eastAsia="宋体"/>
                <w:color w:val="auto"/>
                <w:sz w:val="21"/>
                <w:szCs w:val="21"/>
                <w:highlight w:val="none"/>
              </w:rPr>
              <w:t>COD</w:t>
            </w:r>
          </w:p>
        </w:tc>
        <w:tc>
          <w:tcPr>
            <w:tcW w:w="959" w:type="dxa"/>
            <w:vAlign w:val="center"/>
          </w:tcPr>
          <w:p w14:paraId="7DF390C9">
            <w:pPr>
              <w:pStyle w:val="97"/>
              <w:ind w:left="-105" w:right="-105" w:firstLine="0" w:firstLineChars="0"/>
              <w:jc w:val="center"/>
              <w:rPr>
                <w:rFonts w:eastAsia="宋体"/>
                <w:color w:val="auto"/>
                <w:sz w:val="21"/>
                <w:szCs w:val="21"/>
                <w:highlight w:val="none"/>
              </w:rPr>
            </w:pPr>
            <w:r>
              <w:rPr>
                <w:rFonts w:eastAsia="宋体"/>
                <w:color w:val="auto"/>
                <w:sz w:val="21"/>
                <w:szCs w:val="21"/>
                <w:highlight w:val="none"/>
              </w:rPr>
              <w:t>泄漏</w:t>
            </w:r>
          </w:p>
        </w:tc>
        <w:tc>
          <w:tcPr>
            <w:tcW w:w="1134" w:type="dxa"/>
            <w:vAlign w:val="center"/>
          </w:tcPr>
          <w:p w14:paraId="4BABF912">
            <w:pPr>
              <w:pStyle w:val="97"/>
              <w:ind w:left="-105" w:right="-105" w:firstLine="0" w:firstLineChars="0"/>
              <w:jc w:val="center"/>
              <w:rPr>
                <w:rFonts w:hint="default" w:eastAsia="宋体"/>
                <w:color w:val="auto"/>
                <w:sz w:val="21"/>
                <w:szCs w:val="21"/>
                <w:highlight w:val="none"/>
                <w:lang w:val="en-US" w:eastAsia="zh-CN"/>
              </w:rPr>
            </w:pPr>
            <w:r>
              <w:rPr>
                <w:rFonts w:hint="eastAsia" w:eastAsia="宋体"/>
                <w:color w:val="auto"/>
                <w:sz w:val="21"/>
                <w:szCs w:val="21"/>
                <w:highlight w:val="none"/>
                <w:lang w:val="en-US" w:eastAsia="zh-CN"/>
              </w:rPr>
              <w:t>33333</w:t>
            </w:r>
          </w:p>
        </w:tc>
        <w:tc>
          <w:tcPr>
            <w:tcW w:w="850" w:type="dxa"/>
            <w:vAlign w:val="center"/>
          </w:tcPr>
          <w:p w14:paraId="5474972D">
            <w:pPr>
              <w:pStyle w:val="97"/>
              <w:ind w:left="-105" w:right="-105" w:firstLine="0" w:firstLineChars="0"/>
              <w:jc w:val="center"/>
              <w:rPr>
                <w:rFonts w:hint="default" w:eastAsia="宋体"/>
                <w:color w:val="auto"/>
                <w:sz w:val="21"/>
                <w:szCs w:val="21"/>
                <w:highlight w:val="none"/>
                <w:lang w:val="en-US" w:eastAsia="zh-CN"/>
              </w:rPr>
            </w:pPr>
            <w:r>
              <w:rPr>
                <w:rFonts w:hint="eastAsia" w:eastAsia="宋体"/>
                <w:color w:val="auto"/>
                <w:sz w:val="21"/>
                <w:szCs w:val="21"/>
                <w:highlight w:val="none"/>
                <w:lang w:val="en-US" w:eastAsia="zh-CN"/>
              </w:rPr>
              <w:t>10</w:t>
            </w:r>
          </w:p>
        </w:tc>
        <w:tc>
          <w:tcPr>
            <w:tcW w:w="982" w:type="dxa"/>
            <w:vAlign w:val="center"/>
          </w:tcPr>
          <w:p w14:paraId="0DC3F3A0">
            <w:pPr>
              <w:pStyle w:val="97"/>
              <w:ind w:left="-105" w:right="-105" w:firstLine="0" w:firstLineChars="0"/>
              <w:jc w:val="center"/>
              <w:rPr>
                <w:rFonts w:eastAsia="宋体"/>
                <w:color w:val="auto"/>
                <w:kern w:val="0"/>
                <w:sz w:val="21"/>
                <w:szCs w:val="21"/>
                <w:highlight w:val="none"/>
              </w:rPr>
            </w:pPr>
            <w:r>
              <w:rPr>
                <w:rFonts w:hint="eastAsia" w:eastAsia="宋体"/>
                <w:color w:val="auto"/>
                <w:kern w:val="0"/>
                <w:sz w:val="21"/>
                <w:szCs w:val="21"/>
                <w:highlight w:val="none"/>
              </w:rPr>
              <w:t>20000</w:t>
            </w:r>
          </w:p>
        </w:tc>
        <w:tc>
          <w:tcPr>
            <w:tcW w:w="932" w:type="dxa"/>
            <w:vAlign w:val="center"/>
          </w:tcPr>
          <w:p w14:paraId="30726405">
            <w:pPr>
              <w:pStyle w:val="97"/>
              <w:ind w:left="-105" w:right="-105" w:firstLine="0" w:firstLineChars="0"/>
              <w:jc w:val="center"/>
              <w:rPr>
                <w:rFonts w:eastAsia="宋体"/>
                <w:color w:val="auto"/>
                <w:sz w:val="21"/>
                <w:szCs w:val="21"/>
                <w:highlight w:val="none"/>
              </w:rPr>
            </w:pPr>
            <w:r>
              <w:rPr>
                <w:rFonts w:eastAsia="宋体"/>
                <w:color w:val="auto"/>
                <w:sz w:val="21"/>
                <w:szCs w:val="21"/>
                <w:highlight w:val="none"/>
              </w:rPr>
              <w:t>/</w:t>
            </w:r>
          </w:p>
        </w:tc>
        <w:tc>
          <w:tcPr>
            <w:tcW w:w="1028" w:type="dxa"/>
            <w:vAlign w:val="center"/>
          </w:tcPr>
          <w:p w14:paraId="03574BDB">
            <w:pPr>
              <w:pStyle w:val="97"/>
              <w:ind w:left="-105" w:right="-105" w:firstLine="0" w:firstLineChars="0"/>
              <w:jc w:val="center"/>
              <w:rPr>
                <w:rFonts w:eastAsia="宋体"/>
                <w:color w:val="auto"/>
                <w:sz w:val="21"/>
                <w:szCs w:val="21"/>
                <w:highlight w:val="none"/>
              </w:rPr>
            </w:pPr>
            <w:r>
              <w:rPr>
                <w:rFonts w:hint="eastAsia" w:eastAsia="宋体"/>
                <w:color w:val="auto"/>
                <w:sz w:val="21"/>
                <w:szCs w:val="21"/>
                <w:highlight w:val="none"/>
              </w:rPr>
              <w:t>储罐</w:t>
            </w:r>
            <w:r>
              <w:rPr>
                <w:rFonts w:eastAsia="宋体"/>
                <w:color w:val="auto"/>
                <w:sz w:val="21"/>
                <w:szCs w:val="21"/>
                <w:highlight w:val="none"/>
              </w:rPr>
              <w:t>全部泄漏</w:t>
            </w:r>
          </w:p>
        </w:tc>
      </w:tr>
      <w:tr w14:paraId="6DBBC15E">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c>
          <w:tcPr>
            <w:tcW w:w="426" w:type="dxa"/>
            <w:vAlign w:val="center"/>
          </w:tcPr>
          <w:p w14:paraId="17534603">
            <w:pPr>
              <w:pStyle w:val="97"/>
              <w:ind w:left="-105" w:right="-105" w:firstLine="0" w:firstLineChars="0"/>
              <w:jc w:val="center"/>
              <w:rPr>
                <w:rFonts w:eastAsia="宋体"/>
                <w:color w:val="auto"/>
                <w:sz w:val="21"/>
                <w:szCs w:val="21"/>
                <w:highlight w:val="none"/>
              </w:rPr>
            </w:pPr>
            <w:r>
              <w:rPr>
                <w:rFonts w:hint="eastAsia" w:eastAsia="宋体"/>
                <w:color w:val="auto"/>
                <w:sz w:val="21"/>
                <w:szCs w:val="21"/>
                <w:highlight w:val="none"/>
              </w:rPr>
              <w:t>3</w:t>
            </w:r>
          </w:p>
        </w:tc>
        <w:tc>
          <w:tcPr>
            <w:tcW w:w="850" w:type="dxa"/>
            <w:vAlign w:val="center"/>
          </w:tcPr>
          <w:p w14:paraId="6FF864B1">
            <w:pPr>
              <w:pStyle w:val="97"/>
              <w:ind w:left="-120" w:leftChars="-50" w:right="-120" w:rightChars="-50" w:firstLine="0" w:firstLineChars="0"/>
              <w:jc w:val="center"/>
              <w:rPr>
                <w:rFonts w:eastAsia="宋体"/>
                <w:color w:val="auto"/>
                <w:sz w:val="21"/>
                <w:szCs w:val="21"/>
                <w:highlight w:val="none"/>
              </w:rPr>
            </w:pPr>
            <w:r>
              <w:rPr>
                <w:rFonts w:eastAsia="宋体"/>
                <w:color w:val="auto"/>
                <w:sz w:val="21"/>
                <w:szCs w:val="21"/>
                <w:highlight w:val="none"/>
              </w:rPr>
              <w:t>事故</w:t>
            </w:r>
          </w:p>
          <w:p w14:paraId="5A402A22">
            <w:pPr>
              <w:pStyle w:val="97"/>
              <w:ind w:left="-105" w:right="-105" w:firstLine="0" w:firstLineChars="0"/>
              <w:jc w:val="center"/>
              <w:rPr>
                <w:rFonts w:eastAsia="宋体"/>
                <w:color w:val="auto"/>
                <w:sz w:val="21"/>
                <w:szCs w:val="21"/>
                <w:highlight w:val="none"/>
              </w:rPr>
            </w:pPr>
            <w:r>
              <w:rPr>
                <w:rFonts w:eastAsia="宋体"/>
                <w:color w:val="auto"/>
                <w:sz w:val="21"/>
                <w:szCs w:val="21"/>
                <w:highlight w:val="none"/>
              </w:rPr>
              <w:t>排放</w:t>
            </w:r>
          </w:p>
        </w:tc>
        <w:tc>
          <w:tcPr>
            <w:tcW w:w="851" w:type="dxa"/>
            <w:vAlign w:val="center"/>
          </w:tcPr>
          <w:p w14:paraId="7C01761A">
            <w:pPr>
              <w:pStyle w:val="97"/>
              <w:ind w:left="-105" w:right="-105" w:firstLine="0" w:firstLineChars="0"/>
              <w:jc w:val="center"/>
              <w:rPr>
                <w:rFonts w:eastAsia="宋体"/>
                <w:color w:val="auto"/>
                <w:sz w:val="21"/>
                <w:szCs w:val="21"/>
                <w:highlight w:val="none"/>
              </w:rPr>
            </w:pPr>
            <w:r>
              <w:rPr>
                <w:rFonts w:eastAsia="宋体"/>
                <w:color w:val="auto"/>
                <w:sz w:val="21"/>
                <w:szCs w:val="21"/>
                <w:highlight w:val="none"/>
              </w:rPr>
              <w:t>废气处理设施</w:t>
            </w:r>
          </w:p>
        </w:tc>
        <w:tc>
          <w:tcPr>
            <w:tcW w:w="6593" w:type="dxa"/>
            <w:gridSpan w:val="7"/>
            <w:vAlign w:val="center"/>
          </w:tcPr>
          <w:p w14:paraId="15966C9A">
            <w:pPr>
              <w:pStyle w:val="97"/>
              <w:ind w:left="-105" w:right="-105" w:firstLine="0" w:firstLineChars="0"/>
              <w:jc w:val="center"/>
              <w:rPr>
                <w:rFonts w:eastAsia="宋体"/>
                <w:color w:val="auto"/>
                <w:sz w:val="21"/>
                <w:szCs w:val="21"/>
                <w:highlight w:val="none"/>
              </w:rPr>
            </w:pPr>
            <w:r>
              <w:rPr>
                <w:rFonts w:eastAsia="宋体"/>
                <w:color w:val="auto"/>
                <w:sz w:val="21"/>
                <w:szCs w:val="21"/>
                <w:highlight w:val="none"/>
              </w:rPr>
              <w:t>详见表</w:t>
            </w:r>
            <w:r>
              <w:rPr>
                <w:rFonts w:hint="eastAsia" w:eastAsia="宋体"/>
                <w:color w:val="auto"/>
                <w:sz w:val="21"/>
                <w:szCs w:val="21"/>
                <w:highlight w:val="none"/>
              </w:rPr>
              <w:t>4.6-15</w:t>
            </w:r>
          </w:p>
        </w:tc>
      </w:tr>
    </w:tbl>
    <w:p w14:paraId="1CC12A40">
      <w:pPr>
        <w:ind w:left="-105" w:right="-105" w:firstLine="560"/>
        <w:rPr>
          <w:rFonts w:ascii="Times New Roman"/>
          <w:color w:val="auto"/>
          <w:sz w:val="28"/>
          <w:szCs w:val="28"/>
          <w:highlight w:val="none"/>
        </w:rPr>
      </w:pPr>
      <w:bookmarkStart w:id="258" w:name="_Toc139356113"/>
      <w:r>
        <w:rPr>
          <w:rFonts w:ascii="Times New Roman"/>
          <w:color w:val="auto"/>
          <w:sz w:val="28"/>
          <w:szCs w:val="28"/>
          <w:highlight w:val="none"/>
        </w:rPr>
        <w:br w:type="page"/>
      </w:r>
    </w:p>
    <w:p w14:paraId="7983312D">
      <w:pPr>
        <w:pStyle w:val="4"/>
        <w:numPr>
          <w:ilvl w:val="1"/>
          <w:numId w:val="6"/>
        </w:numPr>
        <w:tabs>
          <w:tab w:val="left" w:pos="426"/>
        </w:tabs>
        <w:spacing w:before="120" w:beforeLines="50" w:after="120" w:afterLines="50" w:line="360" w:lineRule="auto"/>
        <w:ind w:left="-105" w:right="-105"/>
        <w:rPr>
          <w:rFonts w:ascii="Times New Roman" w:eastAsia="宋体"/>
          <w:color w:val="auto"/>
          <w:sz w:val="28"/>
          <w:szCs w:val="28"/>
          <w:highlight w:val="none"/>
        </w:rPr>
      </w:pPr>
      <w:bookmarkStart w:id="259" w:name="_Toc24114"/>
      <w:r>
        <w:rPr>
          <w:rFonts w:ascii="Times New Roman" w:eastAsia="宋体"/>
          <w:color w:val="auto"/>
          <w:sz w:val="28"/>
          <w:szCs w:val="28"/>
          <w:highlight w:val="none"/>
        </w:rPr>
        <w:t>清洁生产</w:t>
      </w:r>
      <w:r>
        <w:rPr>
          <w:rFonts w:hint="eastAsia" w:ascii="Times New Roman" w:eastAsia="宋体"/>
          <w:color w:val="auto"/>
          <w:sz w:val="28"/>
          <w:szCs w:val="28"/>
          <w:highlight w:val="none"/>
        </w:rPr>
        <w:t>水平</w:t>
      </w:r>
      <w:r>
        <w:rPr>
          <w:rFonts w:ascii="Times New Roman" w:eastAsia="宋体"/>
          <w:color w:val="auto"/>
          <w:sz w:val="28"/>
          <w:szCs w:val="28"/>
          <w:highlight w:val="none"/>
        </w:rPr>
        <w:t>分析</w:t>
      </w:r>
      <w:bookmarkEnd w:id="258"/>
      <w:bookmarkEnd w:id="259"/>
    </w:p>
    <w:p w14:paraId="142B503D">
      <w:pPr>
        <w:spacing w:line="360" w:lineRule="auto"/>
        <w:ind w:left="-105" w:right="-105" w:firstLine="480" w:firstLineChars="200"/>
        <w:rPr>
          <w:rFonts w:ascii="Times New Roman" w:hAnsi="Times New Roman"/>
          <w:color w:val="auto"/>
          <w:highlight w:val="none"/>
        </w:rPr>
      </w:pPr>
      <w:r>
        <w:rPr>
          <w:rFonts w:hint="eastAsia" w:ascii="Times New Roman" w:hAnsi="Times New Roman"/>
          <w:color w:val="auto"/>
          <w:highlight w:val="none"/>
        </w:rPr>
        <w:t>清洁生产内容主要是：清洁的能源、清洁的生产工艺、清洁的产品；它是以节能、降耗、减污为目标，以先进技术和管理为手段，实施生产全过程防治，使污染物的产生量、排放量最小化的一种综合性措施。</w:t>
      </w:r>
    </w:p>
    <w:p w14:paraId="59BC1FF9">
      <w:pPr>
        <w:spacing w:line="360" w:lineRule="auto"/>
        <w:ind w:left="-105" w:right="-105" w:firstLine="480" w:firstLineChars="200"/>
        <w:rPr>
          <w:rFonts w:ascii="Times New Roman" w:hAnsi="Times New Roman"/>
          <w:color w:val="auto"/>
          <w:highlight w:val="none"/>
        </w:rPr>
      </w:pPr>
      <w:r>
        <w:rPr>
          <w:rFonts w:hint="eastAsia" w:ascii="Times New Roman" w:hAnsi="Times New Roman"/>
          <w:color w:val="auto"/>
          <w:highlight w:val="none"/>
        </w:rPr>
        <w:t>1、清洁的能源</w:t>
      </w:r>
    </w:p>
    <w:p w14:paraId="13C3CB38">
      <w:pPr>
        <w:spacing w:line="360" w:lineRule="auto"/>
        <w:ind w:left="-105" w:right="-105" w:firstLine="480" w:firstLineChars="200"/>
        <w:rPr>
          <w:rFonts w:ascii="Times New Roman" w:hAnsi="Times New Roman"/>
          <w:color w:val="auto"/>
          <w:highlight w:val="none"/>
        </w:rPr>
      </w:pPr>
      <w:r>
        <w:rPr>
          <w:rFonts w:hint="eastAsia" w:ascii="Times New Roman" w:hAnsi="Times New Roman"/>
          <w:color w:val="auto"/>
          <w:highlight w:val="none"/>
        </w:rPr>
        <w:t>采用各种方法对常规的能源（如煤）采取清洁利用的方法，如城市煤气化供气等；对沼气等再生能源的利用；利用天然气作为能源；新能源的开发以及各种节能技术的开发利用。</w:t>
      </w:r>
    </w:p>
    <w:p w14:paraId="45F7A89F">
      <w:pPr>
        <w:spacing w:line="360" w:lineRule="auto"/>
        <w:ind w:left="-105" w:right="-105" w:firstLine="480" w:firstLineChars="200"/>
        <w:rPr>
          <w:rFonts w:ascii="Times New Roman" w:hAnsi="Times New Roman"/>
          <w:color w:val="auto"/>
          <w:highlight w:val="none"/>
        </w:rPr>
      </w:pPr>
      <w:r>
        <w:rPr>
          <w:rFonts w:hint="eastAsia" w:ascii="Times New Roman" w:hAnsi="Times New Roman"/>
          <w:color w:val="auto"/>
          <w:highlight w:val="none"/>
        </w:rPr>
        <w:t>2、清洁的生产过程</w:t>
      </w:r>
    </w:p>
    <w:p w14:paraId="3436B4BC">
      <w:pPr>
        <w:spacing w:line="360" w:lineRule="auto"/>
        <w:ind w:left="-105" w:right="-105" w:firstLine="480" w:firstLineChars="200"/>
        <w:rPr>
          <w:rFonts w:ascii="Times New Roman" w:hAnsi="Times New Roman"/>
          <w:color w:val="auto"/>
          <w:highlight w:val="none"/>
        </w:rPr>
      </w:pPr>
      <w:r>
        <w:rPr>
          <w:rFonts w:hint="eastAsia" w:ascii="Times New Roman" w:hAnsi="Times New Roman"/>
          <w:color w:val="auto"/>
          <w:highlight w:val="none"/>
        </w:rPr>
        <w:t>尽量少用和不用有毒有害的原料；采用无毒、无害的中间产品；选用少废、无废工艺和高效设备；尽量减少生产过程中的各种危险性因素，如高温、高压、低温、低压、易燃、易爆、强噪声、强振动等；采用可靠和简单的生产操作和控制方法；对物料进行内部循环利用；完善生产管理，不断提高科学管理水平。</w:t>
      </w:r>
    </w:p>
    <w:p w14:paraId="2F4734A7">
      <w:pPr>
        <w:numPr>
          <w:ilvl w:val="0"/>
          <w:numId w:val="28"/>
        </w:numPr>
        <w:spacing w:line="360" w:lineRule="auto"/>
        <w:ind w:left="-105" w:right="-105" w:firstLine="480" w:firstLineChars="200"/>
        <w:rPr>
          <w:rFonts w:ascii="Times New Roman" w:hAnsi="Times New Roman"/>
          <w:color w:val="auto"/>
          <w:highlight w:val="none"/>
        </w:rPr>
      </w:pPr>
      <w:r>
        <w:rPr>
          <w:rFonts w:hint="eastAsia" w:ascii="Times New Roman" w:hAnsi="Times New Roman"/>
          <w:color w:val="auto"/>
          <w:highlight w:val="none"/>
        </w:rPr>
        <w:t>清洁的产品产品设计应考虑节约原材料和能源，少用昂贵和稀缺的原料；产品在使用过程中以及使用后不含危害人体健康和破坏生态环境的因素；产品的包装合理；产品使用后易于回收、重复使用和再生；使用寿命和使用功能合理。</w:t>
      </w:r>
    </w:p>
    <w:p w14:paraId="16BF3524">
      <w:pPr>
        <w:spacing w:line="360" w:lineRule="auto"/>
        <w:ind w:left="-105" w:right="-105" w:firstLine="480" w:firstLineChars="200"/>
        <w:rPr>
          <w:rFonts w:ascii="Times New Roman" w:hAnsi="Times New Roman"/>
          <w:color w:val="auto"/>
          <w:highlight w:val="none"/>
        </w:rPr>
      </w:pPr>
      <w:r>
        <w:rPr>
          <w:rFonts w:hint="eastAsia" w:ascii="Times New Roman" w:hAnsi="Times New Roman"/>
          <w:color w:val="auto"/>
          <w:highlight w:val="none"/>
        </w:rPr>
        <w:t>本评价按“清洁生产促进法”要求，结合项目的生产特点并参照《电子器件(半导体芯片)制造业清洁生产评价指标体系》，从生产工艺及装备技术、资源能源消耗指标、资源综合利用指标、污染物产生指标、产品特征指标、清洁生产管理指标等方面进行分析评价，并对技改前后清洁生产水平开展对比分析。</w:t>
      </w:r>
    </w:p>
    <w:p w14:paraId="1FD00DB8">
      <w:pPr>
        <w:pStyle w:val="5"/>
        <w:keepLines w:val="0"/>
        <w:numPr>
          <w:ilvl w:val="2"/>
          <w:numId w:val="6"/>
        </w:numPr>
        <w:tabs>
          <w:tab w:val="left" w:pos="141"/>
          <w:tab w:val="left" w:pos="567"/>
          <w:tab w:val="left" w:pos="709"/>
        </w:tabs>
        <w:spacing w:before="120" w:beforeLines="50" w:after="120" w:afterLines="50" w:line="360" w:lineRule="auto"/>
        <w:ind w:left="-105" w:right="-105"/>
        <w:rPr>
          <w:rFonts w:eastAsia="宋体"/>
          <w:color w:val="auto"/>
          <w:sz w:val="28"/>
          <w:szCs w:val="28"/>
          <w:highlight w:val="none"/>
        </w:rPr>
      </w:pPr>
      <w:r>
        <w:rPr>
          <w:rFonts w:hint="eastAsia" w:eastAsia="宋体"/>
          <w:color w:val="auto"/>
          <w:sz w:val="28"/>
          <w:szCs w:val="28"/>
          <w:highlight w:val="none"/>
        </w:rPr>
        <w:t>原辅材料清洁性分析</w:t>
      </w:r>
    </w:p>
    <w:p w14:paraId="4D5E04D8">
      <w:pPr>
        <w:spacing w:line="360" w:lineRule="auto"/>
        <w:ind w:left="-105" w:right="-105" w:firstLine="480" w:firstLineChars="200"/>
        <w:rPr>
          <w:rFonts w:ascii="Times New Roman" w:hAnsi="Times New Roman"/>
          <w:color w:val="auto"/>
          <w:highlight w:val="none"/>
        </w:rPr>
      </w:pPr>
      <w:r>
        <w:rPr>
          <w:rFonts w:hint="eastAsia" w:ascii="Times New Roman" w:hAnsi="Times New Roman"/>
          <w:color w:val="auto"/>
          <w:highlight w:val="none"/>
        </w:rPr>
        <w:t>①对比《危险化学品名录》（2022调整版），本项目原辅料或原辅料中涉及的危险化学品为：四甲基氢氧化铵、甲醇、硝酸（55%）、异丙醇、邻苯二酚。</w:t>
      </w:r>
    </w:p>
    <w:p w14:paraId="77AADF9F">
      <w:pPr>
        <w:spacing w:line="360" w:lineRule="auto"/>
        <w:ind w:left="-105" w:right="-105" w:firstLine="480" w:firstLineChars="200"/>
        <w:rPr>
          <w:rFonts w:ascii="Times New Roman" w:hAnsi="Times New Roman"/>
          <w:color w:val="auto"/>
          <w:highlight w:val="none"/>
        </w:rPr>
      </w:pPr>
      <w:r>
        <w:rPr>
          <w:rFonts w:hint="eastAsia" w:ascii="Times New Roman" w:hAnsi="Times New Roman"/>
          <w:color w:val="auto"/>
          <w:highlight w:val="none"/>
        </w:rPr>
        <w:t>②对比《重点监管的危险化学品名录》：根据《首批重点监管的危险化学品名录》和《第二批重点监管危险化学品名录》，本项目原辅材料中甲醇属于重点监管的危险化学品。</w:t>
      </w:r>
    </w:p>
    <w:p w14:paraId="668B2246">
      <w:pPr>
        <w:spacing w:line="360" w:lineRule="auto"/>
        <w:ind w:left="-105" w:right="-105" w:firstLine="480" w:firstLineChars="200"/>
        <w:rPr>
          <w:rFonts w:ascii="Times New Roman" w:hAnsi="Times New Roman"/>
          <w:color w:val="auto"/>
          <w:highlight w:val="none"/>
        </w:rPr>
      </w:pPr>
      <w:r>
        <w:rPr>
          <w:rFonts w:hint="eastAsia" w:ascii="Times New Roman" w:hAnsi="Times New Roman"/>
          <w:color w:val="auto"/>
          <w:highlight w:val="none"/>
        </w:rPr>
        <w:t>③对比《优先控制化学品名录》：根据《优先控制化学品名录（第一批）》、《优先控制化学品名录（第二批）》，本项目原辅材料中均不涉及优先控制化学品。</w:t>
      </w:r>
    </w:p>
    <w:p w14:paraId="3C90ACB0">
      <w:pPr>
        <w:spacing w:line="360" w:lineRule="auto"/>
        <w:ind w:left="-105" w:right="-105" w:firstLine="480" w:firstLineChars="200"/>
        <w:rPr>
          <w:rFonts w:ascii="Times New Roman" w:hAnsi="Times New Roman"/>
          <w:color w:val="auto"/>
          <w:highlight w:val="none"/>
        </w:rPr>
      </w:pPr>
      <w:r>
        <w:rPr>
          <w:rFonts w:hint="eastAsia" w:ascii="Times New Roman" w:hAnsi="Times New Roman"/>
          <w:color w:val="auto"/>
          <w:highlight w:val="none"/>
        </w:rPr>
        <w:t>④对比《特别管控危险化学品目录（第一版）：根据应急管理部等四部门2020年5月30日(公告2020年第3号)发布的《特别管控危险化学品目录》（第一版），本项目涉及的甲醇属于特别管控危险化学品目录中易燃液体。</w:t>
      </w:r>
    </w:p>
    <w:p w14:paraId="31FD9EF0">
      <w:pPr>
        <w:spacing w:line="360" w:lineRule="auto"/>
        <w:ind w:left="-105" w:right="-105" w:firstLine="480" w:firstLineChars="200"/>
        <w:rPr>
          <w:rFonts w:ascii="Times New Roman" w:hAnsi="Times New Roman"/>
          <w:color w:val="auto"/>
          <w:highlight w:val="none"/>
        </w:rPr>
      </w:pPr>
      <w:r>
        <w:rPr>
          <w:rFonts w:hint="eastAsia" w:ascii="Times New Roman" w:hAnsi="Times New Roman"/>
          <w:color w:val="auto"/>
          <w:highlight w:val="none"/>
        </w:rPr>
        <w:t>⑤对比《易制爆危险化学品名录（2017年版）》：根据公安部公告（2017年5月11日）发布的《易制爆危险化学品名录（2017年版）》，本项目原辅材料中硝酸属于易制爆危险化学品中酸类。</w:t>
      </w:r>
    </w:p>
    <w:p w14:paraId="288B3EB9">
      <w:pPr>
        <w:spacing w:line="360" w:lineRule="auto"/>
        <w:ind w:left="-105" w:right="-105" w:firstLine="480" w:firstLineChars="200"/>
        <w:rPr>
          <w:rFonts w:ascii="Times New Roman" w:hAnsi="Times New Roman"/>
          <w:color w:val="auto"/>
          <w:highlight w:val="none"/>
        </w:rPr>
      </w:pPr>
      <w:r>
        <w:rPr>
          <w:rFonts w:hint="eastAsia" w:ascii="Times New Roman" w:hAnsi="Times New Roman"/>
          <w:color w:val="auto"/>
          <w:highlight w:val="none"/>
        </w:rPr>
        <w:t>⑥对比《有毒有害大气污染物名录》：根据2018年生态环保部发布《有毒有害大气污染物名录（2018）》，本项目生产过程中均不产生含有名录中的有毒有害大气污染物。</w:t>
      </w:r>
    </w:p>
    <w:p w14:paraId="22873367">
      <w:pPr>
        <w:spacing w:line="360" w:lineRule="auto"/>
        <w:ind w:left="-105" w:right="-105" w:firstLine="480" w:firstLineChars="200"/>
        <w:rPr>
          <w:rFonts w:ascii="Times New Roman" w:hAnsi="Times New Roman"/>
          <w:color w:val="auto"/>
          <w:highlight w:val="none"/>
        </w:rPr>
      </w:pPr>
      <w:r>
        <w:rPr>
          <w:rFonts w:hint="eastAsia" w:ascii="Times New Roman" w:hAnsi="Times New Roman"/>
          <w:color w:val="auto"/>
          <w:highlight w:val="none"/>
        </w:rPr>
        <w:t>⑦对比《有毒有害水污染物名录》：根据2019年7月24日生态环境部发布的《有毒有害水污染物名录（第一批）》，本项目废水中均不含有名录中的有毒有害水污染物。</w:t>
      </w:r>
    </w:p>
    <w:p w14:paraId="18BC2773">
      <w:pPr>
        <w:pStyle w:val="5"/>
        <w:keepLines w:val="0"/>
        <w:numPr>
          <w:ilvl w:val="2"/>
          <w:numId w:val="6"/>
        </w:numPr>
        <w:tabs>
          <w:tab w:val="left" w:pos="141"/>
          <w:tab w:val="left" w:pos="567"/>
          <w:tab w:val="left" w:pos="709"/>
        </w:tabs>
        <w:spacing w:before="120" w:beforeLines="50" w:after="120" w:afterLines="50" w:line="360" w:lineRule="auto"/>
        <w:ind w:left="-105" w:right="-105"/>
        <w:rPr>
          <w:rFonts w:eastAsia="宋体"/>
          <w:color w:val="auto"/>
          <w:sz w:val="28"/>
          <w:szCs w:val="28"/>
          <w:highlight w:val="none"/>
        </w:rPr>
      </w:pPr>
      <w:r>
        <w:rPr>
          <w:rFonts w:hint="eastAsia" w:eastAsia="宋体"/>
          <w:color w:val="auto"/>
          <w:sz w:val="28"/>
          <w:szCs w:val="28"/>
          <w:highlight w:val="none"/>
        </w:rPr>
        <w:t>资源能源利用分析</w:t>
      </w:r>
    </w:p>
    <w:p w14:paraId="2180C718">
      <w:pPr>
        <w:spacing w:line="360" w:lineRule="auto"/>
        <w:ind w:left="-105" w:right="-105" w:firstLine="480" w:firstLineChars="200"/>
        <w:rPr>
          <w:rFonts w:ascii="Times New Roman" w:hAnsi="Times New Roman"/>
          <w:color w:val="auto"/>
          <w:highlight w:val="none"/>
        </w:rPr>
      </w:pPr>
      <w:r>
        <w:rPr>
          <w:rFonts w:hint="eastAsia" w:ascii="Times New Roman" w:hAnsi="Times New Roman"/>
          <w:color w:val="auto"/>
          <w:highlight w:val="none"/>
        </w:rPr>
        <w:t>（1）能源清洁性</w:t>
      </w:r>
    </w:p>
    <w:p w14:paraId="68B73D98">
      <w:pPr>
        <w:spacing w:line="360" w:lineRule="auto"/>
        <w:ind w:left="-105" w:right="-105" w:firstLine="480" w:firstLineChars="200"/>
        <w:rPr>
          <w:rFonts w:ascii="Times New Roman" w:hAnsi="Times New Roman"/>
          <w:color w:val="auto"/>
          <w:highlight w:val="none"/>
        </w:rPr>
      </w:pPr>
      <w:r>
        <w:rPr>
          <w:rFonts w:hint="eastAsia" w:ascii="Times New Roman" w:hAnsi="Times New Roman"/>
          <w:color w:val="auto"/>
          <w:highlight w:val="none"/>
        </w:rPr>
        <w:t>从能源的消耗来看，项目生产设备使用能源主要为电能，电能属二次能源，能满足清洁生产能源方面的要求。安装新型节能疏水阀门，加强管线维修，减少能耗，并对车间安装电表、水表，进行计量考核，提高项目的清洁生产潜力。</w:t>
      </w:r>
    </w:p>
    <w:p w14:paraId="6DBF735E">
      <w:pPr>
        <w:spacing w:line="360" w:lineRule="auto"/>
        <w:ind w:left="-105" w:right="-105" w:firstLine="480" w:firstLineChars="200"/>
        <w:rPr>
          <w:rFonts w:ascii="Times New Roman" w:hAnsi="Times New Roman"/>
          <w:color w:val="auto"/>
          <w:highlight w:val="none"/>
        </w:rPr>
      </w:pPr>
      <w:r>
        <w:rPr>
          <w:rFonts w:hint="eastAsia" w:ascii="Times New Roman" w:hAnsi="Times New Roman"/>
          <w:color w:val="auto"/>
          <w:highlight w:val="none"/>
        </w:rPr>
        <w:t>（2）节能措施</w:t>
      </w:r>
    </w:p>
    <w:p w14:paraId="7AF62F98">
      <w:pPr>
        <w:spacing w:line="360" w:lineRule="auto"/>
        <w:ind w:left="-105" w:right="-105" w:firstLine="480" w:firstLineChars="200"/>
        <w:rPr>
          <w:rFonts w:ascii="Times New Roman" w:hAnsi="Times New Roman"/>
          <w:color w:val="auto"/>
          <w:highlight w:val="none"/>
        </w:rPr>
      </w:pPr>
      <w:r>
        <w:rPr>
          <w:rFonts w:hint="eastAsia" w:ascii="Times New Roman" w:hAnsi="Times New Roman"/>
          <w:color w:val="auto"/>
          <w:highlight w:val="none"/>
        </w:rPr>
        <w:t>在确定方案及工艺路线的过程中，通过多方案的对比，选择节能的先进工艺生产路线，简化流程，节省投资。节能措施如下：</w:t>
      </w:r>
    </w:p>
    <w:p w14:paraId="27E1503A">
      <w:pPr>
        <w:spacing w:line="360" w:lineRule="auto"/>
        <w:ind w:left="-105" w:right="-105" w:firstLine="480" w:firstLineChars="200"/>
        <w:rPr>
          <w:rFonts w:ascii="Times New Roman" w:hAnsi="Times New Roman"/>
          <w:color w:val="auto"/>
          <w:highlight w:val="none"/>
        </w:rPr>
      </w:pPr>
      <w:r>
        <w:rPr>
          <w:rFonts w:hint="eastAsia" w:ascii="Times New Roman" w:hAnsi="Times New Roman"/>
          <w:color w:val="auto"/>
          <w:highlight w:val="none"/>
        </w:rPr>
        <w:t>①在设备选用上采用高效低耗设备；</w:t>
      </w:r>
    </w:p>
    <w:p w14:paraId="08F04C21">
      <w:pPr>
        <w:spacing w:line="360" w:lineRule="auto"/>
        <w:ind w:left="-105" w:right="-105" w:firstLine="480" w:firstLineChars="200"/>
        <w:rPr>
          <w:rFonts w:ascii="Times New Roman" w:hAnsi="Times New Roman"/>
          <w:color w:val="auto"/>
          <w:highlight w:val="none"/>
        </w:rPr>
      </w:pPr>
      <w:r>
        <w:rPr>
          <w:rFonts w:hint="eastAsia" w:ascii="Times New Roman" w:hAnsi="Times New Roman"/>
          <w:color w:val="auto"/>
          <w:highlight w:val="none"/>
        </w:rPr>
        <w:t>②车间照明采用节能灯具；</w:t>
      </w:r>
    </w:p>
    <w:p w14:paraId="753DA292">
      <w:pPr>
        <w:spacing w:line="360" w:lineRule="auto"/>
        <w:ind w:left="-105" w:right="-105" w:firstLine="480" w:firstLineChars="200"/>
        <w:rPr>
          <w:rFonts w:ascii="Times New Roman" w:hAnsi="Times New Roman"/>
          <w:color w:val="auto"/>
          <w:highlight w:val="none"/>
        </w:rPr>
      </w:pPr>
      <w:r>
        <w:rPr>
          <w:rFonts w:hint="eastAsia" w:ascii="Times New Roman" w:hAnsi="Times New Roman"/>
          <w:color w:val="auto"/>
          <w:highlight w:val="none"/>
        </w:rPr>
        <w:t>③公用动力设施尽量布置在负荷中心，减少因管线长度造成的能源损失；</w:t>
      </w:r>
    </w:p>
    <w:p w14:paraId="5EC0648A">
      <w:pPr>
        <w:spacing w:line="360" w:lineRule="auto"/>
        <w:ind w:left="-105" w:right="-105" w:firstLine="480" w:firstLineChars="200"/>
        <w:rPr>
          <w:rFonts w:ascii="Times New Roman" w:hAnsi="Times New Roman"/>
          <w:color w:val="auto"/>
          <w:highlight w:val="none"/>
        </w:rPr>
      </w:pPr>
      <w:r>
        <w:rPr>
          <w:rFonts w:hint="eastAsia" w:ascii="Times New Roman" w:hAnsi="Times New Roman"/>
          <w:color w:val="auto"/>
          <w:highlight w:val="none"/>
        </w:rPr>
        <w:t>④工艺流程设计合理，设备布置集中，尽量利用位差输送物料，降低用电量；</w:t>
      </w:r>
    </w:p>
    <w:p w14:paraId="73D47D98">
      <w:pPr>
        <w:spacing w:line="360" w:lineRule="auto"/>
        <w:ind w:left="-105" w:right="-105" w:firstLine="480" w:firstLineChars="200"/>
        <w:rPr>
          <w:rFonts w:ascii="Times New Roman" w:hAnsi="Times New Roman"/>
          <w:color w:val="auto"/>
          <w:highlight w:val="none"/>
        </w:rPr>
      </w:pPr>
      <w:r>
        <w:rPr>
          <w:rFonts w:hint="eastAsia" w:ascii="Times New Roman" w:hAnsi="Times New Roman"/>
          <w:color w:val="auto"/>
          <w:highlight w:val="none"/>
        </w:rPr>
        <w:t>⑤防止跑、冒、滴、漏，降低原料和能源消耗；</w:t>
      </w:r>
    </w:p>
    <w:p w14:paraId="47326676">
      <w:pPr>
        <w:spacing w:line="360" w:lineRule="auto"/>
        <w:ind w:left="-105" w:right="-105" w:firstLine="480" w:firstLineChars="200"/>
        <w:rPr>
          <w:rFonts w:ascii="Times New Roman" w:hAnsi="Times New Roman"/>
          <w:color w:val="auto"/>
          <w:highlight w:val="none"/>
        </w:rPr>
      </w:pPr>
      <w:r>
        <w:rPr>
          <w:rFonts w:hint="eastAsia" w:ascii="Times New Roman" w:hAnsi="Times New Roman"/>
          <w:color w:val="auto"/>
          <w:highlight w:val="none"/>
        </w:rPr>
        <w:t>⑥工艺冷却水采用闭路循环冷却水，以节约用水；</w:t>
      </w:r>
    </w:p>
    <w:p w14:paraId="2F0073FD">
      <w:pPr>
        <w:spacing w:line="360" w:lineRule="auto"/>
        <w:ind w:left="-105" w:right="-105" w:firstLine="480" w:firstLineChars="200"/>
        <w:rPr>
          <w:rFonts w:ascii="Times New Roman" w:hAnsi="Times New Roman"/>
          <w:color w:val="auto"/>
          <w:highlight w:val="none"/>
        </w:rPr>
      </w:pPr>
      <w:r>
        <w:rPr>
          <w:rFonts w:hint="eastAsia" w:ascii="Times New Roman" w:hAnsi="Times New Roman"/>
          <w:color w:val="auto"/>
          <w:highlight w:val="none"/>
        </w:rPr>
        <w:t>⑦加热设备及管道选用优质保温材料，减少管路热量损失。</w:t>
      </w:r>
    </w:p>
    <w:p w14:paraId="184F465F">
      <w:pPr>
        <w:pStyle w:val="5"/>
        <w:keepLines w:val="0"/>
        <w:numPr>
          <w:ilvl w:val="2"/>
          <w:numId w:val="6"/>
        </w:numPr>
        <w:tabs>
          <w:tab w:val="left" w:pos="141"/>
          <w:tab w:val="left" w:pos="567"/>
          <w:tab w:val="left" w:pos="709"/>
        </w:tabs>
        <w:spacing w:before="120" w:beforeLines="50" w:after="120" w:afterLines="50" w:line="360" w:lineRule="auto"/>
        <w:ind w:left="-105" w:right="-105"/>
        <w:rPr>
          <w:rFonts w:eastAsia="宋体"/>
          <w:color w:val="auto"/>
          <w:sz w:val="28"/>
          <w:szCs w:val="28"/>
          <w:highlight w:val="none"/>
        </w:rPr>
      </w:pPr>
      <w:r>
        <w:rPr>
          <w:rFonts w:hint="eastAsia" w:eastAsia="宋体"/>
          <w:color w:val="auto"/>
          <w:sz w:val="28"/>
          <w:szCs w:val="28"/>
          <w:highlight w:val="none"/>
        </w:rPr>
        <w:t>清洁生产工艺分析</w:t>
      </w:r>
    </w:p>
    <w:p w14:paraId="5CA4716C">
      <w:pPr>
        <w:spacing w:line="360" w:lineRule="auto"/>
        <w:ind w:left="-105" w:right="-105" w:firstLine="480" w:firstLineChars="200"/>
        <w:rPr>
          <w:rFonts w:ascii="Times New Roman" w:hAnsi="Times New Roman"/>
          <w:color w:val="auto"/>
          <w:highlight w:val="none"/>
        </w:rPr>
      </w:pPr>
      <w:r>
        <w:rPr>
          <w:rFonts w:hint="eastAsia" w:ascii="Times New Roman" w:hAnsi="Times New Roman"/>
          <w:color w:val="auto"/>
          <w:highlight w:val="none"/>
        </w:rPr>
        <w:t>项目主要为各类化学原料的混配过程，不发生化学反应，且均为常温常压操作条件。进出料均采用自动化控制系统，设备自动化程度较高，可自动控制温度、时间及产品的输送，可有效降低人工劳动强度，符合清洁生产原则。</w:t>
      </w:r>
    </w:p>
    <w:p w14:paraId="31E86315">
      <w:pPr>
        <w:pStyle w:val="5"/>
        <w:keepLines w:val="0"/>
        <w:numPr>
          <w:ilvl w:val="2"/>
          <w:numId w:val="6"/>
        </w:numPr>
        <w:tabs>
          <w:tab w:val="left" w:pos="141"/>
          <w:tab w:val="left" w:pos="567"/>
          <w:tab w:val="left" w:pos="709"/>
        </w:tabs>
        <w:spacing w:before="120" w:beforeLines="50" w:after="120" w:afterLines="50" w:line="360" w:lineRule="auto"/>
        <w:ind w:left="-105" w:right="-105"/>
        <w:rPr>
          <w:rFonts w:eastAsia="宋体"/>
          <w:color w:val="auto"/>
          <w:sz w:val="28"/>
          <w:szCs w:val="28"/>
          <w:highlight w:val="none"/>
        </w:rPr>
      </w:pPr>
      <w:r>
        <w:rPr>
          <w:rFonts w:hint="eastAsia" w:eastAsia="宋体"/>
          <w:color w:val="auto"/>
          <w:sz w:val="28"/>
          <w:szCs w:val="28"/>
          <w:highlight w:val="none"/>
        </w:rPr>
        <w:t>清洁产品分析</w:t>
      </w:r>
    </w:p>
    <w:p w14:paraId="71FA4A0B">
      <w:pPr>
        <w:spacing w:line="360" w:lineRule="auto"/>
        <w:ind w:left="-105" w:right="-105" w:firstLine="480" w:firstLineChars="200"/>
        <w:rPr>
          <w:rFonts w:ascii="Times New Roman" w:hAnsi="Times New Roman"/>
          <w:color w:val="auto"/>
          <w:highlight w:val="none"/>
        </w:rPr>
        <w:sectPr>
          <w:pgSz w:w="11906" w:h="16838"/>
          <w:pgMar w:top="1440" w:right="1701" w:bottom="1440" w:left="1701" w:header="851" w:footer="851" w:gutter="0"/>
          <w:pgBorders>
            <w:top w:val="none" w:sz="0" w:space="0"/>
            <w:left w:val="none" w:sz="0" w:space="0"/>
            <w:bottom w:val="none" w:sz="0" w:space="0"/>
            <w:right w:val="none" w:sz="0" w:space="0"/>
          </w:pgBorders>
          <w:cols w:space="720" w:num="1"/>
          <w:docGrid w:linePitch="498" w:charSpace="-2336"/>
        </w:sectPr>
      </w:pPr>
      <w:r>
        <w:rPr>
          <w:rFonts w:hint="eastAsia" w:ascii="Times New Roman" w:hAnsi="Times New Roman"/>
          <w:color w:val="auto"/>
          <w:highlight w:val="none"/>
        </w:rPr>
        <w:t>项目使用的原辅料为半导体行业常见原料，生产过程中使用水进行稀释；生产的剥离液产品毒性低，不危害人体健康和生态环境。因此项目产品符合清洁生产要求。</w:t>
      </w:r>
    </w:p>
    <w:p w14:paraId="4FF2408D">
      <w:pPr>
        <w:pStyle w:val="3"/>
        <w:numPr>
          <w:ilvl w:val="0"/>
          <w:numId w:val="6"/>
        </w:numPr>
        <w:spacing w:before="120" w:beforeLines="50" w:afterLines="50" w:line="360" w:lineRule="auto"/>
        <w:ind w:left="-105" w:right="-105"/>
        <w:rPr>
          <w:rFonts w:ascii="Times New Roman" w:eastAsia="宋体"/>
          <w:color w:val="auto"/>
          <w:sz w:val="32"/>
          <w:szCs w:val="32"/>
          <w:highlight w:val="none"/>
        </w:rPr>
      </w:pPr>
      <w:bookmarkStart w:id="260" w:name="_Toc24074"/>
      <w:bookmarkStart w:id="261" w:name="_Toc60653524"/>
      <w:bookmarkStart w:id="262" w:name="_Toc23939"/>
      <w:r>
        <w:rPr>
          <w:rFonts w:ascii="Times New Roman" w:eastAsia="宋体"/>
          <w:color w:val="auto"/>
          <w:sz w:val="32"/>
          <w:szCs w:val="32"/>
          <w:highlight w:val="none"/>
        </w:rPr>
        <w:t>环境现状调查与评价</w:t>
      </w:r>
      <w:bookmarkEnd w:id="260"/>
      <w:bookmarkEnd w:id="261"/>
      <w:bookmarkEnd w:id="262"/>
    </w:p>
    <w:p w14:paraId="0F473203">
      <w:pPr>
        <w:pStyle w:val="4"/>
        <w:numPr>
          <w:ilvl w:val="1"/>
          <w:numId w:val="6"/>
        </w:numPr>
        <w:tabs>
          <w:tab w:val="left" w:pos="426"/>
        </w:tabs>
        <w:spacing w:before="120" w:beforeLines="50" w:after="120" w:afterLines="50" w:line="360" w:lineRule="auto"/>
        <w:ind w:left="-105" w:right="-105"/>
        <w:rPr>
          <w:rFonts w:ascii="Times New Roman" w:eastAsia="宋体"/>
          <w:color w:val="auto"/>
          <w:sz w:val="28"/>
          <w:szCs w:val="28"/>
          <w:highlight w:val="none"/>
        </w:rPr>
      </w:pPr>
      <w:bookmarkStart w:id="263" w:name="_Toc125882617"/>
      <w:bookmarkStart w:id="264" w:name="_Toc10791"/>
      <w:bookmarkStart w:id="265" w:name="_Toc85180758"/>
      <w:bookmarkStart w:id="266" w:name="_Toc30846"/>
      <w:bookmarkStart w:id="267" w:name="_Toc149956241"/>
      <w:bookmarkStart w:id="268" w:name="_Toc28889"/>
      <w:bookmarkStart w:id="269" w:name="_Toc24714"/>
      <w:bookmarkStart w:id="270" w:name="_Toc97718538"/>
      <w:bookmarkStart w:id="271" w:name="_Toc20208"/>
      <w:bookmarkStart w:id="272" w:name="_Toc60653525"/>
      <w:bookmarkStart w:id="273" w:name="_Toc327968227"/>
      <w:bookmarkStart w:id="274" w:name="_Toc11987"/>
      <w:bookmarkStart w:id="275" w:name="_Toc379799522"/>
      <w:bookmarkStart w:id="276" w:name="_Toc29829"/>
      <w:bookmarkStart w:id="277" w:name="_Toc101079261"/>
      <w:bookmarkStart w:id="278" w:name="_Toc384725657"/>
      <w:bookmarkStart w:id="279" w:name="_Toc138689348"/>
      <w:bookmarkStart w:id="280" w:name="_Toc10824"/>
      <w:bookmarkStart w:id="281" w:name="_Toc85012460"/>
      <w:bookmarkStart w:id="282" w:name="_Toc379798023"/>
      <w:bookmarkStart w:id="283" w:name="_Toc75316702"/>
      <w:bookmarkStart w:id="284" w:name="_Toc22179"/>
      <w:bookmarkStart w:id="285" w:name="_Toc23683"/>
      <w:bookmarkStart w:id="286" w:name="_Toc19929"/>
      <w:bookmarkStart w:id="287" w:name="_Toc379798379"/>
      <w:bookmarkStart w:id="288" w:name="_Toc341825061"/>
      <w:r>
        <w:rPr>
          <w:rFonts w:ascii="Times New Roman" w:eastAsia="宋体"/>
          <w:color w:val="auto"/>
          <w:sz w:val="28"/>
          <w:szCs w:val="28"/>
          <w:highlight w:val="none"/>
        </w:rPr>
        <w:t>自然环境概况</w:t>
      </w:r>
      <w:bookmarkEnd w:id="263"/>
      <w:bookmarkEnd w:id="264"/>
      <w:bookmarkEnd w:id="265"/>
      <w:bookmarkEnd w:id="266"/>
      <w:bookmarkEnd w:id="267"/>
      <w:bookmarkEnd w:id="268"/>
      <w:bookmarkEnd w:id="269"/>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bookmarkEnd w:id="284"/>
      <w:bookmarkEnd w:id="285"/>
      <w:bookmarkEnd w:id="286"/>
      <w:bookmarkEnd w:id="287"/>
      <w:bookmarkEnd w:id="288"/>
    </w:p>
    <w:p w14:paraId="4C98F2F7">
      <w:pPr>
        <w:pStyle w:val="5"/>
        <w:keepLines w:val="0"/>
        <w:numPr>
          <w:ilvl w:val="0"/>
          <w:numId w:val="0"/>
        </w:numPr>
        <w:tabs>
          <w:tab w:val="left" w:pos="-567"/>
          <w:tab w:val="left" w:pos="567"/>
          <w:tab w:val="left" w:pos="709"/>
        </w:tabs>
        <w:spacing w:before="120" w:beforeLines="50" w:after="120" w:afterLines="50" w:line="360" w:lineRule="auto"/>
        <w:ind w:left="420" w:right="-105" w:hanging="420"/>
        <w:rPr>
          <w:rFonts w:eastAsia="宋体"/>
          <w:color w:val="auto"/>
          <w:sz w:val="28"/>
          <w:szCs w:val="28"/>
          <w:highlight w:val="none"/>
        </w:rPr>
      </w:pPr>
      <w:bookmarkStart w:id="289" w:name="_Toc53416248"/>
      <w:bookmarkStart w:id="290" w:name="_Toc51146453"/>
      <w:bookmarkStart w:id="291" w:name="_Toc51583797"/>
      <w:bookmarkStart w:id="292" w:name="_Toc379798024"/>
      <w:bookmarkStart w:id="293" w:name="_Toc60653526"/>
      <w:bookmarkStart w:id="294" w:name="_Toc75316703"/>
      <w:bookmarkStart w:id="295" w:name="_Toc85012461"/>
      <w:bookmarkStart w:id="296" w:name="_Toc51932985"/>
      <w:bookmarkStart w:id="297" w:name="_Toc53396308"/>
      <w:bookmarkStart w:id="298" w:name="_Toc85180759"/>
      <w:bookmarkStart w:id="299" w:name="_Toc379798025"/>
      <w:r>
        <w:rPr>
          <w:rFonts w:eastAsia="宋体"/>
          <w:color w:val="auto"/>
          <w:sz w:val="28"/>
          <w:szCs w:val="28"/>
          <w:highlight w:val="none"/>
        </w:rPr>
        <w:t>5.1.1地理位置</w:t>
      </w:r>
      <w:bookmarkEnd w:id="289"/>
      <w:bookmarkEnd w:id="290"/>
      <w:bookmarkEnd w:id="291"/>
      <w:bookmarkEnd w:id="292"/>
      <w:bookmarkEnd w:id="293"/>
      <w:bookmarkEnd w:id="294"/>
      <w:bookmarkEnd w:id="295"/>
      <w:bookmarkEnd w:id="296"/>
      <w:bookmarkEnd w:id="297"/>
      <w:bookmarkEnd w:id="298"/>
    </w:p>
    <w:p w14:paraId="14FA2C2D">
      <w:pPr>
        <w:spacing w:line="360" w:lineRule="auto"/>
        <w:ind w:left="-105" w:right="-105" w:firstLine="480"/>
        <w:jc w:val="both"/>
        <w:rPr>
          <w:rFonts w:ascii="Times New Roman" w:hAnsi="Times New Roman" w:cs="Times New Roman"/>
          <w:color w:val="auto"/>
          <w:highlight w:val="none"/>
        </w:rPr>
      </w:pPr>
      <w:r>
        <w:rPr>
          <w:rFonts w:ascii="Times New Roman" w:hAnsi="Times New Roman" w:cs="Times New Roman"/>
          <w:color w:val="auto"/>
          <w:highlight w:val="none"/>
        </w:rPr>
        <w:t>锡山区土地面积396平方公里。全区辖锡山经济技术开发区（国家级）和东亭、安镇（由原安镇镇和查桥镇合并而成）、厚桥、羊尖、鹅湖（由原荡口镇与甘露镇合并而成）、东北塘、锡北（由原张泾镇与八士镇合并而成）、东港（由原港下镇和东湖塘镇合并而成）8个镇，92个行政村，32个居民委员会。区内有常住人口38万，暂住人口25万。</w:t>
      </w:r>
    </w:p>
    <w:p w14:paraId="48A35F7F">
      <w:pPr>
        <w:spacing w:line="360" w:lineRule="auto"/>
        <w:ind w:left="-105" w:right="-105" w:firstLine="480"/>
        <w:jc w:val="both"/>
        <w:rPr>
          <w:rFonts w:ascii="Times New Roman" w:hAnsi="Times New Roman" w:cs="Times New Roman"/>
          <w:color w:val="auto"/>
          <w:highlight w:val="none"/>
        </w:rPr>
      </w:pPr>
      <w:r>
        <w:rPr>
          <w:rFonts w:ascii="Times New Roman" w:hAnsi="Times New Roman" w:cs="Times New Roman"/>
          <w:color w:val="auto"/>
          <w:highlight w:val="none"/>
        </w:rPr>
        <w:t>锡北镇位于无锡市东北郊，由原八士镇、张泾镇合并而成，镇政府驻地张泾。北接江阴市，南靠锡山经济技术开发区。锡沙线、友谊路、团结大道、锡东大道、八文线、长八线等现代交通路网在境内交汇，锡北运河流经全镇。临近沪宁、锡澄高速公路道口、江阴港口、张家港港口、上海浦东、南京禄口和无锡机场，地理位置优越，水陆交通便捷，区位优势明显。全镇总面积62.4平方公里，常住人口5.4万，外来人口2.3万。下辖13个村，2个社区。</w:t>
      </w:r>
    </w:p>
    <w:p w14:paraId="3851B7E2">
      <w:pPr>
        <w:spacing w:line="360" w:lineRule="auto"/>
        <w:ind w:left="-105" w:right="-105" w:firstLine="480"/>
        <w:rPr>
          <w:rFonts w:ascii="Times New Roman" w:hAnsi="Times New Roman"/>
          <w:color w:val="auto"/>
          <w:highlight w:val="none"/>
        </w:rPr>
      </w:pPr>
      <w:r>
        <w:rPr>
          <w:rFonts w:ascii="Times New Roman" w:hAnsi="Times New Roman" w:cs="Times New Roman"/>
          <w:color w:val="auto"/>
          <w:highlight w:val="none"/>
        </w:rPr>
        <w:t>本项目位于</w:t>
      </w:r>
      <w:r>
        <w:rPr>
          <w:rFonts w:hint="eastAsia" w:ascii="Times New Roman" w:hAnsi="Times New Roman" w:cs="Times New Roman"/>
          <w:color w:val="auto"/>
          <w:highlight w:val="none"/>
        </w:rPr>
        <w:t>江苏省无锡市锡山区锡北镇新坝村新达路6号</w:t>
      </w:r>
      <w:r>
        <w:rPr>
          <w:rFonts w:ascii="Times New Roman" w:hAnsi="Times New Roman" w:cs="Times New Roman"/>
          <w:color w:val="auto"/>
          <w:highlight w:val="none"/>
        </w:rPr>
        <w:t>，建设项目地理位置图见附图1-1。</w:t>
      </w:r>
    </w:p>
    <w:p w14:paraId="06F92D04">
      <w:pPr>
        <w:pStyle w:val="5"/>
        <w:keepLines w:val="0"/>
        <w:numPr>
          <w:ilvl w:val="0"/>
          <w:numId w:val="0"/>
        </w:numPr>
        <w:tabs>
          <w:tab w:val="left" w:pos="-568"/>
          <w:tab w:val="left" w:pos="0"/>
          <w:tab w:val="left" w:pos="567"/>
          <w:tab w:val="left" w:pos="709"/>
        </w:tabs>
        <w:spacing w:before="120" w:beforeLines="50" w:after="120" w:afterLines="50" w:line="360" w:lineRule="auto"/>
        <w:ind w:right="-105"/>
        <w:rPr>
          <w:rFonts w:eastAsia="宋体"/>
          <w:color w:val="auto"/>
          <w:sz w:val="28"/>
          <w:szCs w:val="28"/>
          <w:highlight w:val="none"/>
        </w:rPr>
      </w:pPr>
      <w:bookmarkStart w:id="300" w:name="_Toc60653527"/>
      <w:r>
        <w:rPr>
          <w:rFonts w:eastAsia="宋体"/>
          <w:color w:val="auto"/>
          <w:sz w:val="28"/>
          <w:szCs w:val="28"/>
          <w:highlight w:val="none"/>
        </w:rPr>
        <w:t>5.1.2地形、地貌、地质</w:t>
      </w:r>
      <w:bookmarkEnd w:id="299"/>
      <w:bookmarkEnd w:id="300"/>
    </w:p>
    <w:p w14:paraId="54280B96">
      <w:pPr>
        <w:spacing w:line="360" w:lineRule="auto"/>
        <w:ind w:left="-105" w:right="-105" w:firstLine="480"/>
        <w:rPr>
          <w:rFonts w:ascii="Times New Roman" w:hAnsi="Times New Roman"/>
          <w:color w:val="auto"/>
          <w:highlight w:val="none"/>
        </w:rPr>
      </w:pPr>
      <w:r>
        <w:rPr>
          <w:rFonts w:ascii="Times New Roman" w:hAnsi="Times New Roman"/>
          <w:color w:val="auto"/>
          <w:highlight w:val="none"/>
        </w:rPr>
        <w:t>锡山区位于长江三角洲苏南太湖地区北麓，苏南太湖地区在印支运动时期形成褶皱基础上经燕山运动的断裂作用，又经第四纪气候的变迁、海漫和海退的变形，长江和钱塘江沿岸沙咀的发育，逐渐演变成太湖平原。评价区属太湖平原，地势平坦宽广，平原海拔高度一般在2～5米，土质肥沃，河湖港汊纵横分布，地表物质组成以粒径较小的淤积物和湖积物为主。</w:t>
      </w:r>
    </w:p>
    <w:p w14:paraId="7093F2E4">
      <w:pPr>
        <w:spacing w:line="360" w:lineRule="auto"/>
        <w:ind w:left="-105" w:right="-105" w:firstLine="480"/>
        <w:rPr>
          <w:rFonts w:ascii="Times New Roman" w:hAnsi="Times New Roman"/>
          <w:color w:val="auto"/>
          <w:highlight w:val="none"/>
        </w:rPr>
      </w:pPr>
      <w:r>
        <w:rPr>
          <w:rFonts w:ascii="Times New Roman" w:hAnsi="Times New Roman"/>
          <w:color w:val="auto"/>
          <w:highlight w:val="none"/>
        </w:rPr>
        <w:t>土壤类型为太湖平原黄土状物质的黄泥土，土层较厚，耕作层有机质含量高达2～4％，含氮0.15～0.20％。钾、磷较丰，供肥和保肥性能好，既保水又爽水，质地适中，耕性酥柔。土壤酸碱度为中性，土质疏松，粘粒含量20～30％。</w:t>
      </w:r>
    </w:p>
    <w:p w14:paraId="0F8DFB36">
      <w:pPr>
        <w:spacing w:line="360" w:lineRule="auto"/>
        <w:ind w:left="-105" w:right="-105" w:firstLine="480"/>
        <w:rPr>
          <w:rFonts w:ascii="Times New Roman" w:hAnsi="Times New Roman"/>
          <w:color w:val="auto"/>
          <w:highlight w:val="none"/>
        </w:rPr>
      </w:pPr>
      <w:r>
        <w:rPr>
          <w:rFonts w:ascii="Times New Roman" w:hAnsi="Times New Roman"/>
          <w:color w:val="auto"/>
          <w:highlight w:val="none"/>
        </w:rPr>
        <w:t>本地区属江苏省地层南区，地层发育齐全，基底未出露，中侏罗纪岩浆开始活动，喷出盖在老地层上和侵入各系岩层中。第四纪全新统(Qh)现代沉积，遍及全区，泥盆纪有少量分布，为紫红色砂砾岩、石英砾岩、石英岩，向上渐变为砂岩与黑色页岩的交替层，顶部砂质页岩含优质陶土层。地下水层松散岩类孔隙含水岩组，潜水含水层为泻湖相亚粘土夹粉砂，地耐力为8～10t/m2，水质被地表水所淡化，覆盖层厚130～140m左右。根据地震烈度分布图，本地区地震基本烈度为7级。</w:t>
      </w:r>
    </w:p>
    <w:p w14:paraId="04C43A93">
      <w:pPr>
        <w:pStyle w:val="5"/>
        <w:keepLines w:val="0"/>
        <w:numPr>
          <w:ilvl w:val="0"/>
          <w:numId w:val="0"/>
        </w:numPr>
        <w:tabs>
          <w:tab w:val="left" w:pos="-568"/>
          <w:tab w:val="left" w:pos="0"/>
          <w:tab w:val="left" w:pos="567"/>
          <w:tab w:val="left" w:pos="709"/>
        </w:tabs>
        <w:spacing w:before="120" w:beforeLines="50" w:after="120" w:afterLines="50" w:line="360" w:lineRule="auto"/>
        <w:ind w:right="-105"/>
        <w:rPr>
          <w:rFonts w:eastAsia="宋体"/>
          <w:color w:val="auto"/>
          <w:sz w:val="28"/>
          <w:szCs w:val="28"/>
          <w:highlight w:val="none"/>
        </w:rPr>
      </w:pPr>
      <w:bookmarkStart w:id="301" w:name="_Toc379798026"/>
      <w:bookmarkStart w:id="302" w:name="_Toc193646397"/>
      <w:bookmarkStart w:id="303" w:name="_Toc60653528"/>
      <w:r>
        <w:rPr>
          <w:rFonts w:eastAsia="宋体"/>
          <w:color w:val="auto"/>
          <w:sz w:val="28"/>
          <w:szCs w:val="28"/>
          <w:highlight w:val="none"/>
        </w:rPr>
        <w:t>5.1.3</w:t>
      </w:r>
      <w:bookmarkEnd w:id="301"/>
      <w:bookmarkEnd w:id="302"/>
      <w:bookmarkEnd w:id="303"/>
      <w:r>
        <w:rPr>
          <w:rFonts w:eastAsia="宋体"/>
          <w:color w:val="auto"/>
          <w:sz w:val="28"/>
          <w:szCs w:val="28"/>
          <w:highlight w:val="none"/>
        </w:rPr>
        <w:t>地表水水系及水文特征</w:t>
      </w:r>
    </w:p>
    <w:p w14:paraId="5EA94C1E">
      <w:pPr>
        <w:spacing w:line="360" w:lineRule="auto"/>
        <w:ind w:left="-105" w:right="-105" w:firstLine="480"/>
        <w:jc w:val="both"/>
        <w:rPr>
          <w:rFonts w:ascii="Times New Roman" w:hAnsi="Times New Roman" w:cs="Times New Roman"/>
          <w:color w:val="auto"/>
          <w:highlight w:val="none"/>
        </w:rPr>
      </w:pPr>
      <w:r>
        <w:rPr>
          <w:rFonts w:ascii="Times New Roman" w:hAnsi="Times New Roman" w:cs="Times New Roman"/>
          <w:color w:val="auto"/>
          <w:highlight w:val="none"/>
        </w:rPr>
        <w:t>无锡境内河网密布，纵横交织，有大小河道6288条，总长7024km，其中骨干河道55条，总长893km。从地区水系特点看，锡澄及周边地区南，北向的河道为通江入湖河道，东西向的为横向沟通河道。北部沿江通江河道主要有8条：桃花港、利港河、申港河、新沟河、新夏港河、锡澄运河、白屈港和望虞河，口门均建闸控制，最大排水流量1620m3/s。南部入湖河道主要有直湖港、梁溪河、曹王泾、小溪港、大溪港和望虞河等，均已建闸控制，所有入湖河道排水流量约600m</w:t>
      </w:r>
      <w:r>
        <w:rPr>
          <w:rFonts w:ascii="Times New Roman" w:hAnsi="Times New Roman" w:cs="Times New Roman"/>
          <w:color w:val="auto"/>
          <w:highlight w:val="none"/>
          <w:vertAlign w:val="superscript"/>
        </w:rPr>
        <w:t>3</w:t>
      </w:r>
      <w:r>
        <w:rPr>
          <w:rFonts w:ascii="Times New Roman" w:hAnsi="Times New Roman" w:cs="Times New Roman"/>
          <w:color w:val="auto"/>
          <w:highlight w:val="none"/>
        </w:rPr>
        <w:t>/s。主要横向河道有京杭大运河、伯渎港、九里河、锡北运河、界河、青祝河、冯泾河、应天河、东横河、西横河等。水系均沟通，形成河网。这些河道水流方向主要受长江、京杭运河及太湖水位差控制。</w:t>
      </w:r>
    </w:p>
    <w:p w14:paraId="0E492952">
      <w:pPr>
        <w:spacing w:line="360" w:lineRule="auto"/>
        <w:ind w:left="-105" w:right="-105" w:firstLine="480"/>
        <w:jc w:val="both"/>
        <w:rPr>
          <w:rFonts w:ascii="Times New Roman" w:hAnsi="Times New Roman" w:cs="Times New Roman"/>
          <w:color w:val="auto"/>
          <w:highlight w:val="none"/>
        </w:rPr>
      </w:pPr>
      <w:r>
        <w:rPr>
          <w:rFonts w:ascii="Times New Roman" w:hAnsi="Times New Roman" w:cs="Times New Roman"/>
          <w:color w:val="auto"/>
          <w:highlight w:val="none"/>
        </w:rPr>
        <w:t>太湖为江南水网中心，面积2338.1km</w:t>
      </w:r>
      <w:r>
        <w:rPr>
          <w:rFonts w:ascii="Times New Roman" w:hAnsi="Times New Roman" w:cs="Times New Roman"/>
          <w:color w:val="auto"/>
          <w:highlight w:val="none"/>
          <w:vertAlign w:val="superscript"/>
        </w:rPr>
        <w:t>2</w:t>
      </w:r>
      <w:r>
        <w:rPr>
          <w:rFonts w:ascii="Times New Roman" w:hAnsi="Times New Roman" w:cs="Times New Roman"/>
          <w:color w:val="auto"/>
          <w:highlight w:val="none"/>
        </w:rPr>
        <w:t>，总蓄水量为44.28亿m</w:t>
      </w:r>
      <w:r>
        <w:rPr>
          <w:rFonts w:ascii="Times New Roman" w:hAnsi="Times New Roman" w:cs="Times New Roman"/>
          <w:color w:val="auto"/>
          <w:highlight w:val="none"/>
          <w:vertAlign w:val="superscript"/>
        </w:rPr>
        <w:t>3</w:t>
      </w:r>
      <w:r>
        <w:rPr>
          <w:rFonts w:ascii="Times New Roman" w:hAnsi="Times New Roman" w:cs="Times New Roman"/>
          <w:color w:val="auto"/>
          <w:highlight w:val="none"/>
        </w:rPr>
        <w:t>，年平均吞吐量约52亿m</w:t>
      </w:r>
      <w:r>
        <w:rPr>
          <w:rFonts w:ascii="Times New Roman" w:hAnsi="Times New Roman" w:cs="Times New Roman"/>
          <w:color w:val="auto"/>
          <w:highlight w:val="none"/>
          <w:vertAlign w:val="superscript"/>
        </w:rPr>
        <w:t>3</w:t>
      </w:r>
      <w:r>
        <w:rPr>
          <w:rFonts w:ascii="Times New Roman" w:hAnsi="Times New Roman" w:cs="Times New Roman"/>
          <w:color w:val="auto"/>
          <w:highlight w:val="none"/>
        </w:rPr>
        <w:t>。</w:t>
      </w:r>
    </w:p>
    <w:p w14:paraId="101A46FA">
      <w:pPr>
        <w:spacing w:line="360" w:lineRule="auto"/>
        <w:ind w:left="-105" w:right="-105" w:firstLine="480"/>
        <w:jc w:val="both"/>
        <w:rPr>
          <w:rFonts w:ascii="Times New Roman" w:hAnsi="Times New Roman" w:cs="Times New Roman"/>
          <w:color w:val="auto"/>
          <w:highlight w:val="none"/>
        </w:rPr>
      </w:pPr>
      <w:r>
        <w:rPr>
          <w:rFonts w:ascii="Times New Roman" w:hAnsi="Times New Roman" w:cs="Times New Roman"/>
          <w:color w:val="auto"/>
          <w:highlight w:val="none"/>
        </w:rPr>
        <w:t>主要纳污河流为北兴塘河以及与之相通的河流，包括锡北运河、吼山港、三坝港、板桥港等。</w:t>
      </w:r>
    </w:p>
    <w:p w14:paraId="347DD000">
      <w:pPr>
        <w:spacing w:line="360" w:lineRule="auto"/>
        <w:ind w:left="-105" w:right="-105" w:firstLine="480"/>
        <w:jc w:val="both"/>
        <w:rPr>
          <w:rFonts w:ascii="Times New Roman" w:hAnsi="Times New Roman" w:cs="Times New Roman"/>
          <w:color w:val="auto"/>
          <w:highlight w:val="none"/>
        </w:rPr>
      </w:pPr>
      <w:r>
        <w:rPr>
          <w:rFonts w:ascii="Times New Roman" w:hAnsi="Times New Roman" w:cs="Times New Roman"/>
          <w:color w:val="auto"/>
          <w:highlight w:val="none"/>
        </w:rPr>
        <w:t>新兴塘九里河，是无锡市主城区东西向的重要排水通道，自向阳村至入望虞河全长约27.6km，沿途有板桥港、东亭港等河浜汇入，经苑山荡、嘉菱荡入望虞河。河流的常年流向为自西向东。</w:t>
      </w:r>
    </w:p>
    <w:p w14:paraId="5F0BDE1F">
      <w:pPr>
        <w:spacing w:line="360" w:lineRule="auto"/>
        <w:ind w:left="-105" w:right="-105" w:firstLine="480"/>
        <w:jc w:val="both"/>
        <w:rPr>
          <w:rFonts w:ascii="Times New Roman" w:hAnsi="Times New Roman" w:cs="Times New Roman"/>
          <w:color w:val="auto"/>
          <w:highlight w:val="none"/>
        </w:rPr>
      </w:pPr>
      <w:r>
        <w:rPr>
          <w:rFonts w:ascii="Times New Roman" w:hAnsi="Times New Roman" w:cs="Times New Roman"/>
          <w:color w:val="auto"/>
          <w:highlight w:val="none"/>
        </w:rPr>
        <w:t>北兴塘起于向阳村的五丫浜口，全长约9.3km，水流由西向东，通过闸控由三坝港进入锡北运河，并通过吼山港与双泾河与新兴塘九里河、宛山荡相连。</w:t>
      </w:r>
    </w:p>
    <w:p w14:paraId="79915E50">
      <w:pPr>
        <w:spacing w:line="360" w:lineRule="auto"/>
        <w:ind w:left="-105" w:right="-105" w:firstLine="480"/>
        <w:rPr>
          <w:rFonts w:ascii="Times New Roman" w:hAnsi="Times New Roman"/>
          <w:color w:val="auto"/>
          <w:highlight w:val="none"/>
        </w:rPr>
      </w:pPr>
      <w:r>
        <w:rPr>
          <w:rFonts w:ascii="Times New Roman" w:hAnsi="Times New Roman" w:cs="Times New Roman"/>
          <w:color w:val="auto"/>
          <w:highlight w:val="none"/>
        </w:rPr>
        <w:t>锡北运河西起惠山区长安镇城塘锡澄运河经东北塘、八士、张泾和港下镇进入望虞河，全长约37.1km，穿过区内东北角，为四等级航运河道，来往船只频繁，河流主要流向为由西向东，并与北兴塘、望虞河、张家港河等多条主要河道相通。</w:t>
      </w:r>
    </w:p>
    <w:p w14:paraId="6A15BC1E">
      <w:pPr>
        <w:pStyle w:val="5"/>
        <w:keepLines w:val="0"/>
        <w:numPr>
          <w:ilvl w:val="0"/>
          <w:numId w:val="0"/>
        </w:numPr>
        <w:tabs>
          <w:tab w:val="left" w:pos="-568"/>
          <w:tab w:val="left" w:pos="0"/>
          <w:tab w:val="left" w:pos="567"/>
          <w:tab w:val="left" w:pos="709"/>
        </w:tabs>
        <w:spacing w:before="120" w:beforeLines="50" w:after="120" w:afterLines="50" w:line="360" w:lineRule="auto"/>
        <w:ind w:right="-105"/>
        <w:rPr>
          <w:rFonts w:eastAsia="宋体"/>
          <w:color w:val="auto"/>
          <w:sz w:val="28"/>
          <w:szCs w:val="28"/>
          <w:highlight w:val="none"/>
        </w:rPr>
      </w:pPr>
      <w:bookmarkStart w:id="304" w:name="_Toc379798028"/>
      <w:bookmarkStart w:id="305" w:name="_Toc193646398"/>
      <w:bookmarkStart w:id="306" w:name="_Toc60653529"/>
      <w:r>
        <w:rPr>
          <w:rFonts w:hint="eastAsia" w:eastAsia="宋体"/>
          <w:color w:val="auto"/>
          <w:sz w:val="28"/>
          <w:szCs w:val="28"/>
          <w:highlight w:val="none"/>
        </w:rPr>
        <w:t>5.1.4</w:t>
      </w:r>
      <w:r>
        <w:rPr>
          <w:rFonts w:eastAsia="宋体"/>
          <w:color w:val="auto"/>
          <w:sz w:val="28"/>
          <w:szCs w:val="28"/>
          <w:highlight w:val="none"/>
        </w:rPr>
        <w:t>地下水</w:t>
      </w:r>
    </w:p>
    <w:p w14:paraId="46E88FDC">
      <w:pPr>
        <w:pStyle w:val="6"/>
        <w:keepLines w:val="0"/>
        <w:widowControl/>
        <w:numPr>
          <w:ilvl w:val="3"/>
          <w:numId w:val="6"/>
        </w:numPr>
        <w:spacing w:before="120" w:beforeLines="50" w:after="120" w:afterLines="50" w:line="360" w:lineRule="auto"/>
        <w:ind w:left="-105" w:right="-105"/>
        <w:rPr>
          <w:rFonts w:ascii="Times New Roman" w:hAnsi="Times New Roman"/>
          <w:color w:val="auto"/>
          <w:sz w:val="24"/>
          <w:szCs w:val="24"/>
          <w:highlight w:val="none"/>
        </w:rPr>
      </w:pPr>
      <w:r>
        <w:rPr>
          <w:rFonts w:ascii="Times New Roman" w:hAnsi="Times New Roman"/>
          <w:color w:val="auto"/>
          <w:sz w:val="24"/>
          <w:szCs w:val="24"/>
          <w:highlight w:val="none"/>
        </w:rPr>
        <w:t>环境水文地质条件</w:t>
      </w:r>
    </w:p>
    <w:p w14:paraId="46C220DF">
      <w:pPr>
        <w:spacing w:line="360" w:lineRule="auto"/>
        <w:ind w:left="-105" w:right="-105" w:firstLine="480"/>
        <w:jc w:val="both"/>
        <w:rPr>
          <w:rFonts w:ascii="Times New Roman" w:hAnsi="Times New Roman" w:cs="Times New Roman"/>
          <w:color w:val="auto"/>
          <w:highlight w:val="none"/>
        </w:rPr>
      </w:pPr>
      <w:r>
        <w:rPr>
          <w:rFonts w:ascii="Times New Roman" w:hAnsi="Times New Roman" w:cs="Times New Roman"/>
          <w:color w:val="auto"/>
          <w:highlight w:val="none"/>
        </w:rPr>
        <w:t>A.地质条件</w:t>
      </w:r>
    </w:p>
    <w:p w14:paraId="2509FE64">
      <w:pPr>
        <w:spacing w:line="360" w:lineRule="auto"/>
        <w:ind w:left="-105" w:right="-105" w:firstLine="480"/>
        <w:jc w:val="both"/>
        <w:rPr>
          <w:rFonts w:ascii="Times New Roman" w:hAnsi="Times New Roman" w:cs="Times New Roman"/>
          <w:color w:val="auto"/>
          <w:highlight w:val="none"/>
        </w:rPr>
      </w:pPr>
      <w:r>
        <w:rPr>
          <w:rFonts w:hint="eastAsia"/>
          <w:color w:val="auto"/>
          <w:highlight w:val="none"/>
        </w:rPr>
        <w:t>①</w:t>
      </w:r>
      <w:r>
        <w:rPr>
          <w:rFonts w:ascii="Times New Roman" w:hAnsi="Times New Roman" w:cs="Times New Roman"/>
          <w:color w:val="auto"/>
          <w:highlight w:val="none"/>
        </w:rPr>
        <w:t>地层</w:t>
      </w:r>
    </w:p>
    <w:p w14:paraId="778E6AB0">
      <w:pPr>
        <w:spacing w:line="360" w:lineRule="auto"/>
        <w:ind w:left="-105" w:right="-105" w:firstLine="480"/>
        <w:jc w:val="both"/>
        <w:rPr>
          <w:rFonts w:ascii="Times New Roman" w:hAnsi="Times New Roman" w:cs="Times New Roman"/>
          <w:color w:val="auto"/>
          <w:highlight w:val="none"/>
        </w:rPr>
      </w:pPr>
      <w:r>
        <w:rPr>
          <w:rFonts w:ascii="Times New Roman" w:hAnsi="Times New Roman" w:cs="Times New Roman"/>
          <w:color w:val="auto"/>
          <w:highlight w:val="none"/>
        </w:rPr>
        <w:t>工作区地层隶属于扬子地层区江南地层分区，基岩露头少而零星，地层出露残缺不全，地表出露的地层主要为泥盆系石英砂岩、粉砂岩、泥岩等，其余地层均被第四系松散层覆盖。据区域地质资料及钻孔揭露，区内主要有泥盆系（D）、石炭系（C）、二叠系（P）、三叠系中下统（T1-2）、保罗系上统（J3）、自翌系（K）和第三系（N）。区内岩浆岩侵入于中生代燕山期，除安阳山、狮子山出露有火山岩外，其余地区仅有少量和小规模的岩脉出露。隐伏岩体主要有安镇、张注和严家桥岩体，为燕山期第二次侵入。岩体多呈岩枝、岩脉侵伸围岩中，岩石类型以石英二长岩为主。</w:t>
      </w:r>
    </w:p>
    <w:p w14:paraId="17D4A5EF">
      <w:pPr>
        <w:spacing w:line="360" w:lineRule="auto"/>
        <w:ind w:left="-105" w:right="-105" w:firstLine="480"/>
        <w:jc w:val="both"/>
        <w:rPr>
          <w:rFonts w:ascii="Times New Roman" w:hAnsi="Times New Roman" w:cs="Times New Roman"/>
          <w:color w:val="auto"/>
          <w:highlight w:val="none"/>
        </w:rPr>
      </w:pPr>
      <w:r>
        <w:rPr>
          <w:rFonts w:hint="eastAsia"/>
          <w:color w:val="auto"/>
          <w:highlight w:val="none"/>
        </w:rPr>
        <w:t>②</w:t>
      </w:r>
      <w:r>
        <w:rPr>
          <w:rFonts w:ascii="Times New Roman" w:hAnsi="Times New Roman" w:cs="Times New Roman"/>
          <w:color w:val="auto"/>
          <w:highlight w:val="none"/>
        </w:rPr>
        <w:t>构造</w:t>
      </w:r>
    </w:p>
    <w:p w14:paraId="69F1FA2F">
      <w:pPr>
        <w:spacing w:line="360" w:lineRule="auto"/>
        <w:ind w:left="-105" w:right="-105" w:firstLine="480"/>
        <w:jc w:val="both"/>
        <w:rPr>
          <w:rFonts w:ascii="Times New Roman" w:hAnsi="Times New Roman" w:cs="Times New Roman"/>
          <w:color w:val="auto"/>
          <w:highlight w:val="none"/>
        </w:rPr>
      </w:pPr>
      <w:r>
        <w:rPr>
          <w:rFonts w:ascii="Times New Roman" w:hAnsi="Times New Roman" w:cs="Times New Roman"/>
          <w:color w:val="auto"/>
          <w:highlight w:val="none"/>
        </w:rPr>
        <w:t>工作区位于新华夏系第二巨型隆起带和秦岭东西向复杂构造带的交接部位。区内地质构造复杂，构造体系主要包括东西向构造、华夏系及华夏式构造、新华夏系构造和北西向构造，且以北东向华夏式构造为主要格架。华夏系构造：华夏系构造主要由一系列北东向展布的复向斜和复背斜及伴随褶皱同生的走向断裂和横断裂组成。主要榴皱有：沙洲～藕塘桥复向斜、南通～无锡复背斜及常熟～太湖复向斜。其断裂多呈走向断裂，平行于褶皱轴向、纵切褶皱两翼，断面倾向北东或南东，倾角较陡，北西向的横断裂皆横切褶皱与走向断裂。华夏式构造：华夏式构造由北东向断裂带组成，与华夏系构造带以“重接”的方式迭加，在方向上两者构造形迹难以区分。依据构造体系的成生先后，形成于燕山早期的华夏式构造继承和加强了印支期的华夏系构造。东西向构造：东西向构造由一系列断续分布的东西向断裂带、断和断皱隆起带组成，其构造带疏密相间呈“韵律”式。区内主要有：青阳～沙洲断凹、荡口～白茆断凹。东西向构造自晚元古代生成以来，中、新生代十分活跃，它控制着白垩纪～第三纪地层的沉降，近东西向断裂则是晚侏罗世火山岩喷发的主要通道，都表现为张性、张扭性断裂。</w:t>
      </w:r>
    </w:p>
    <w:p w14:paraId="778BFAB1">
      <w:pPr>
        <w:spacing w:line="360" w:lineRule="auto"/>
        <w:ind w:left="-105" w:right="-105" w:firstLine="480"/>
        <w:jc w:val="both"/>
        <w:rPr>
          <w:rFonts w:ascii="Times New Roman" w:hAnsi="Times New Roman" w:cs="Times New Roman"/>
          <w:color w:val="auto"/>
          <w:highlight w:val="none"/>
        </w:rPr>
      </w:pPr>
      <w:r>
        <w:rPr>
          <w:rFonts w:hint="eastAsia" w:ascii="Times New Roman" w:hAnsi="Times New Roman" w:cs="Times New Roman"/>
          <w:color w:val="auto"/>
          <w:highlight w:val="none"/>
        </w:rPr>
        <w:t>③</w:t>
      </w:r>
      <w:r>
        <w:rPr>
          <w:rFonts w:ascii="Times New Roman" w:hAnsi="Times New Roman" w:cs="Times New Roman"/>
          <w:color w:val="auto"/>
          <w:highlight w:val="none"/>
        </w:rPr>
        <w:t>第四纪地质</w:t>
      </w:r>
    </w:p>
    <w:p w14:paraId="591AF89D">
      <w:pPr>
        <w:spacing w:line="360" w:lineRule="auto"/>
        <w:ind w:left="-105" w:right="-105" w:firstLine="480"/>
        <w:jc w:val="both"/>
        <w:rPr>
          <w:rFonts w:ascii="Times New Roman" w:hAnsi="Times New Roman" w:cs="Times New Roman"/>
          <w:color w:val="auto"/>
          <w:highlight w:val="none"/>
        </w:rPr>
      </w:pPr>
      <w:r>
        <w:rPr>
          <w:rFonts w:ascii="Times New Roman" w:hAnsi="Times New Roman" w:cs="Times New Roman"/>
          <w:color w:val="auto"/>
          <w:highlight w:val="none"/>
        </w:rPr>
        <w:t>本区自第四纪以来，新构造活动频繁，山区间歇性振荡上升，接受构造剥蚀，平原区则持续缓慢沉降，并伴有振荡特征，接受古长江所挟带的大量泥沙沉积，加之多次发生的海水进退，造成了复杂的沉积环境。其沉积物厚度变化规律总体上是西南部向东北部变厚，一般平原区厚、山丘区薄；凹陷区厚、隆起区薄。沉积厚度40～197米，除山丘区缺失下更新统地层外，其余各时代地层沉积齐全。</w:t>
      </w:r>
    </w:p>
    <w:p w14:paraId="02D4F2AC">
      <w:pPr>
        <w:spacing w:line="360" w:lineRule="auto"/>
        <w:ind w:left="-105" w:right="-105" w:firstLine="480"/>
        <w:jc w:val="both"/>
        <w:rPr>
          <w:rFonts w:ascii="Times New Roman" w:hAnsi="Times New Roman" w:cs="Times New Roman"/>
          <w:color w:val="auto"/>
          <w:highlight w:val="none"/>
        </w:rPr>
      </w:pPr>
      <w:r>
        <w:rPr>
          <w:rFonts w:ascii="Times New Roman" w:hAnsi="Times New Roman" w:cs="Times New Roman"/>
          <w:color w:val="auto"/>
          <w:highlight w:val="none"/>
        </w:rPr>
        <w:t>B.水文地质条件</w:t>
      </w:r>
    </w:p>
    <w:p w14:paraId="64C1C20C">
      <w:pPr>
        <w:spacing w:line="360" w:lineRule="auto"/>
        <w:ind w:left="-105" w:right="-105" w:firstLine="480"/>
        <w:jc w:val="both"/>
        <w:rPr>
          <w:rFonts w:ascii="Times New Roman" w:hAnsi="Times New Roman" w:cs="Times New Roman"/>
          <w:color w:val="auto"/>
          <w:highlight w:val="none"/>
        </w:rPr>
      </w:pPr>
      <w:r>
        <w:rPr>
          <w:rFonts w:ascii="Times New Roman" w:hAnsi="Times New Roman" w:cs="Times New Roman"/>
          <w:color w:val="auto"/>
          <w:highlight w:val="none"/>
        </w:rPr>
        <w:t>（1）地下水类型及含水岩组划分</w:t>
      </w:r>
    </w:p>
    <w:p w14:paraId="64462FBD">
      <w:pPr>
        <w:spacing w:line="360" w:lineRule="auto"/>
        <w:ind w:left="-105" w:right="-105" w:firstLine="480"/>
        <w:jc w:val="both"/>
        <w:rPr>
          <w:rFonts w:ascii="Times New Roman" w:hAnsi="Times New Roman" w:cs="Times New Roman"/>
          <w:color w:val="auto"/>
          <w:highlight w:val="none"/>
        </w:rPr>
      </w:pPr>
      <w:r>
        <w:rPr>
          <w:rFonts w:ascii="Times New Roman" w:hAnsi="Times New Roman" w:cs="Times New Roman"/>
          <w:color w:val="auto"/>
          <w:highlight w:val="none"/>
        </w:rPr>
        <w:t>依据地下水在含水介质中的赋存条件、水理性质及水力特征，本区地下水将划分为松散岩类孔隙水、碳酸盐岩类裂隙溶洞水和基岩裂隙水三大类，其中松散岩类孔隙水按其埋藏条件、地层时代又可分为潜水含水层组和承压含水层组两亚类。潜水含水层组（含微承压水）由全新世（Q4）、晚更新世（Q3）地层组成，承压含水层组包括第Ⅰ、Ⅱ、Ⅲ承压含水层，分别由晚更新世（Q3）、中更新世(Q2）和早更新世（Q1）地层组成；碳酸盐岩类裂隙溶洞水主要由三叠、二叠和石炭系灰岩地层组成；基岩裂隙水可分为碎屑岩类裂隙含水岩组和侵入岩裂隙含水岩组。前者主要由泥盆系砂岩组成，后者由火山侵入的石英二长岩组成。</w:t>
      </w:r>
    </w:p>
    <w:p w14:paraId="69DBA15F">
      <w:pPr>
        <w:spacing w:line="360" w:lineRule="auto"/>
        <w:ind w:left="-105" w:right="-105" w:firstLine="480"/>
        <w:jc w:val="both"/>
        <w:rPr>
          <w:rFonts w:ascii="Times New Roman" w:hAnsi="Times New Roman" w:cs="Times New Roman"/>
          <w:color w:val="auto"/>
          <w:highlight w:val="none"/>
        </w:rPr>
      </w:pPr>
      <w:r>
        <w:rPr>
          <w:rFonts w:hint="eastAsia" w:ascii="Times New Roman" w:hAnsi="Times New Roman" w:cs="Times New Roman"/>
          <w:color w:val="auto"/>
          <w:highlight w:val="none"/>
        </w:rPr>
        <w:t>（2）</w:t>
      </w:r>
      <w:r>
        <w:rPr>
          <w:rFonts w:ascii="Times New Roman" w:hAnsi="Times New Roman" w:cs="Times New Roman"/>
          <w:color w:val="auto"/>
          <w:highlight w:val="none"/>
        </w:rPr>
        <w:t>含水岩组的水文地质特征</w:t>
      </w:r>
    </w:p>
    <w:p w14:paraId="5B5EB62C">
      <w:pPr>
        <w:spacing w:line="360" w:lineRule="auto"/>
        <w:ind w:left="-105" w:right="-105" w:firstLine="480"/>
        <w:jc w:val="both"/>
        <w:rPr>
          <w:rFonts w:ascii="Times New Roman" w:hAnsi="Times New Roman" w:cs="Times New Roman"/>
          <w:color w:val="auto"/>
          <w:highlight w:val="none"/>
        </w:rPr>
      </w:pPr>
      <w:r>
        <w:rPr>
          <w:rFonts w:hint="eastAsia"/>
          <w:color w:val="auto"/>
          <w:highlight w:val="none"/>
        </w:rPr>
        <w:t>①</w:t>
      </w:r>
      <w:r>
        <w:rPr>
          <w:rFonts w:ascii="Times New Roman" w:hAnsi="Times New Roman" w:cs="Times New Roman"/>
          <w:color w:val="auto"/>
          <w:highlight w:val="none"/>
        </w:rPr>
        <w:t>松散岩类孔隙水</w:t>
      </w:r>
    </w:p>
    <w:p w14:paraId="1979937A">
      <w:pPr>
        <w:spacing w:line="360" w:lineRule="auto"/>
        <w:ind w:left="-105" w:right="-105" w:firstLine="480"/>
        <w:jc w:val="both"/>
        <w:rPr>
          <w:rFonts w:ascii="Times New Roman" w:hAnsi="Times New Roman" w:cs="Times New Roman"/>
          <w:color w:val="auto"/>
          <w:highlight w:val="none"/>
        </w:rPr>
      </w:pPr>
      <w:r>
        <w:rPr>
          <w:rFonts w:ascii="Times New Roman" w:hAnsi="Times New Roman" w:cs="Times New Roman"/>
          <w:color w:val="auto"/>
          <w:highlight w:val="none"/>
        </w:rPr>
        <w:t>孔隙潜水、微承压水含水层组：孔隙潜水含水层近地表分布，平原区为全新世冲湖积相沉积，含水岩性为粉质粘土、粉土、粉砂，含水层厚8～12米；孤山残丘区的坡麓及沟谷为全新世或晚更新世的残坡积、洪坡积沉积物。含水岩性以粘性土夹碎石为主，厚度小于4.0米。潜水水位埋深受地形条件影响，一般0.5～3.0米，富水性差，单井涌水量一般5～10立方米/日，局部大于10立方米/日。微承压水含水层主要分布在杨市～钱桥、东北塘～东湖塘及后宅等地段，含水岩性为全新世的粉砂、粉土，顶板埋深6.0～10.0米，含水层厚5.0～10.0米，局部大于10.0米，富水性较弱，单井涌水量均小于100立方米/日。潜水、微承压水主要以民井式开采，开来分散且开采量小。受污染影响，区内孔隙潜水的水质较为复杂，水化学类型以HCO</w:t>
      </w:r>
      <w:r>
        <w:rPr>
          <w:rFonts w:ascii="Times New Roman" w:hAnsi="Times New Roman" w:cs="Times New Roman"/>
          <w:color w:val="auto"/>
          <w:highlight w:val="none"/>
          <w:vertAlign w:val="subscript"/>
        </w:rPr>
        <w:t>3</w:t>
      </w:r>
      <w:r>
        <w:rPr>
          <w:rFonts w:ascii="Times New Roman" w:hAnsi="Times New Roman" w:cs="Times New Roman"/>
          <w:color w:val="auto"/>
          <w:highlight w:val="none"/>
        </w:rPr>
        <w:t>-Na.Ca型、HCO</w:t>
      </w:r>
      <w:r>
        <w:rPr>
          <w:rFonts w:ascii="Times New Roman" w:hAnsi="Times New Roman" w:cs="Times New Roman"/>
          <w:color w:val="auto"/>
          <w:highlight w:val="none"/>
          <w:vertAlign w:val="subscript"/>
        </w:rPr>
        <w:t>3</w:t>
      </w:r>
      <w:r>
        <w:rPr>
          <w:rFonts w:ascii="Times New Roman" w:hAnsi="Times New Roman" w:cs="Times New Roman"/>
          <w:color w:val="auto"/>
          <w:highlight w:val="none"/>
        </w:rPr>
        <w:t>.Cl-Na.Ca型为主，其次是HCO</w:t>
      </w:r>
      <w:r>
        <w:rPr>
          <w:rFonts w:ascii="Times New Roman" w:hAnsi="Times New Roman" w:cs="Times New Roman"/>
          <w:color w:val="auto"/>
          <w:highlight w:val="none"/>
          <w:vertAlign w:val="subscript"/>
        </w:rPr>
        <w:t>3</w:t>
      </w:r>
      <w:r>
        <w:rPr>
          <w:rFonts w:ascii="Times New Roman" w:hAnsi="Times New Roman" w:cs="Times New Roman"/>
          <w:color w:val="auto"/>
          <w:highlight w:val="none"/>
        </w:rPr>
        <w:t>-Ca型、HCO</w:t>
      </w:r>
      <w:r>
        <w:rPr>
          <w:rFonts w:ascii="Times New Roman" w:hAnsi="Times New Roman" w:cs="Times New Roman"/>
          <w:color w:val="auto"/>
          <w:highlight w:val="none"/>
          <w:vertAlign w:val="subscript"/>
        </w:rPr>
        <w:t>3</w:t>
      </w:r>
      <w:r>
        <w:rPr>
          <w:rFonts w:ascii="Times New Roman" w:hAnsi="Times New Roman" w:cs="Times New Roman"/>
          <w:color w:val="auto"/>
          <w:highlight w:val="none"/>
        </w:rPr>
        <w:t>-Ca.Mg型和HCO</w:t>
      </w:r>
      <w:r>
        <w:rPr>
          <w:rFonts w:ascii="Times New Roman" w:hAnsi="Times New Roman" w:cs="Times New Roman"/>
          <w:color w:val="auto"/>
          <w:highlight w:val="none"/>
          <w:vertAlign w:val="subscript"/>
        </w:rPr>
        <w:t>3</w:t>
      </w:r>
      <w:r>
        <w:rPr>
          <w:rFonts w:ascii="Times New Roman" w:hAnsi="Times New Roman" w:cs="Times New Roman"/>
          <w:color w:val="auto"/>
          <w:highlight w:val="none"/>
        </w:rPr>
        <w:t>.SO</w:t>
      </w:r>
      <w:r>
        <w:rPr>
          <w:rFonts w:ascii="Times New Roman" w:hAnsi="Times New Roman" w:cs="Times New Roman"/>
          <w:color w:val="auto"/>
          <w:highlight w:val="none"/>
          <w:vertAlign w:val="subscript"/>
        </w:rPr>
        <w:t>4</w:t>
      </w:r>
      <w:r>
        <w:rPr>
          <w:rFonts w:ascii="Times New Roman" w:hAnsi="Times New Roman" w:cs="Times New Roman"/>
          <w:color w:val="auto"/>
          <w:highlight w:val="none"/>
        </w:rPr>
        <w:t>-Na.Ca型，矿化度一般小于1克/升，污染地段达1.0～3.0克/升。微承压水的水质单一，水化学类型以HCO</w:t>
      </w:r>
      <w:r>
        <w:rPr>
          <w:rFonts w:ascii="Times New Roman" w:hAnsi="Times New Roman" w:cs="Times New Roman"/>
          <w:color w:val="auto"/>
          <w:highlight w:val="none"/>
          <w:vertAlign w:val="subscript"/>
        </w:rPr>
        <w:t>3</w:t>
      </w:r>
      <w:r>
        <w:rPr>
          <w:rFonts w:ascii="Times New Roman" w:hAnsi="Times New Roman" w:cs="Times New Roman"/>
          <w:color w:val="auto"/>
          <w:highlight w:val="none"/>
        </w:rPr>
        <w:t>.Cl-Ca.Na型或HCO</w:t>
      </w:r>
      <w:r>
        <w:rPr>
          <w:rFonts w:ascii="Times New Roman" w:hAnsi="Times New Roman" w:cs="Times New Roman"/>
          <w:color w:val="auto"/>
          <w:highlight w:val="none"/>
          <w:vertAlign w:val="subscript"/>
        </w:rPr>
        <w:t>3</w:t>
      </w:r>
      <w:r>
        <w:rPr>
          <w:rFonts w:ascii="Times New Roman" w:hAnsi="Times New Roman" w:cs="Times New Roman"/>
          <w:color w:val="auto"/>
          <w:highlight w:val="none"/>
        </w:rPr>
        <w:t>.Cl-Na.Ca型，为低矿化、低硬度的淡水。</w:t>
      </w:r>
    </w:p>
    <w:p w14:paraId="18CF8D05">
      <w:pPr>
        <w:spacing w:line="360" w:lineRule="auto"/>
        <w:ind w:left="-105" w:right="-105" w:firstLine="480"/>
        <w:jc w:val="both"/>
        <w:rPr>
          <w:rFonts w:ascii="Times New Roman" w:hAnsi="Times New Roman" w:cs="Times New Roman"/>
          <w:color w:val="auto"/>
          <w:highlight w:val="none"/>
        </w:rPr>
      </w:pPr>
      <w:r>
        <w:rPr>
          <w:rFonts w:ascii="Times New Roman" w:hAnsi="Times New Roman" w:cs="Times New Roman"/>
          <w:color w:val="auto"/>
          <w:highlight w:val="none"/>
        </w:rPr>
        <w:t>第Ⅰ承压含水层组：</w:t>
      </w:r>
    </w:p>
    <w:p w14:paraId="26EFEF2B">
      <w:pPr>
        <w:spacing w:line="360" w:lineRule="auto"/>
        <w:ind w:left="-105" w:right="-105" w:firstLine="480"/>
        <w:jc w:val="both"/>
        <w:rPr>
          <w:rFonts w:ascii="Times New Roman" w:hAnsi="Times New Roman" w:cs="Times New Roman"/>
          <w:color w:val="auto"/>
          <w:highlight w:val="none"/>
        </w:rPr>
      </w:pPr>
      <w:r>
        <w:rPr>
          <w:rFonts w:ascii="Times New Roman" w:hAnsi="Times New Roman" w:cs="Times New Roman"/>
          <w:color w:val="auto"/>
          <w:highlight w:val="none"/>
        </w:rPr>
        <w:t>为晚更新世沉积的一套滨海～河口相沉积物，含水岩性为粉砂、粉细砂，局部为粉砂夹粉质粘土薄层，含水砂层分上下两段，两者之间隔水层分布较稳定，含水砂层上段广布全区。顶板埋深27～35米，厚2～10米，局部大于18m。含水砂层下段主要分布在藕塘～钱桥、后宅～甘露及东湖塘～港下一带，顶板埋深50-60米，厚5～10米，含水岩性以粉砂为主，该含水层富水性较弱，除东亭～坊前及东湖塘～安镇一带单井涌水量达100～500立方米/日外，其余地段均小于100立方米/日。该层水的开采主要集中在钱桥、查桥、安镇、八士、张泾等乡镇，水位埋深一般5~10米，开采区20~30米。第Ⅰ承压水水质较好，水化学类型以HCO</w:t>
      </w:r>
      <w:r>
        <w:rPr>
          <w:rFonts w:ascii="Times New Roman" w:hAnsi="Times New Roman" w:cs="Times New Roman"/>
          <w:color w:val="auto"/>
          <w:highlight w:val="none"/>
          <w:vertAlign w:val="subscript"/>
        </w:rPr>
        <w:t>3</w:t>
      </w:r>
      <w:r>
        <w:rPr>
          <w:rFonts w:ascii="Times New Roman" w:hAnsi="Times New Roman" w:cs="Times New Roman"/>
          <w:color w:val="auto"/>
          <w:highlight w:val="none"/>
          <w:vertAlign w:val="superscript"/>
        </w:rPr>
        <w:t>-</w:t>
      </w:r>
      <w:r>
        <w:rPr>
          <w:rFonts w:ascii="Times New Roman" w:hAnsi="Times New Roman" w:cs="Times New Roman"/>
          <w:color w:val="auto"/>
          <w:highlight w:val="none"/>
        </w:rPr>
        <w:t>、Na型或HCO</w:t>
      </w:r>
      <w:r>
        <w:rPr>
          <w:rFonts w:ascii="Times New Roman" w:hAnsi="Times New Roman" w:cs="Times New Roman"/>
          <w:color w:val="auto"/>
          <w:highlight w:val="none"/>
          <w:vertAlign w:val="subscript"/>
        </w:rPr>
        <w:t>3</w:t>
      </w:r>
      <w:r>
        <w:rPr>
          <w:rFonts w:ascii="Times New Roman" w:hAnsi="Times New Roman" w:cs="Times New Roman"/>
          <w:color w:val="auto"/>
          <w:highlight w:val="none"/>
          <w:vertAlign w:val="superscript"/>
        </w:rPr>
        <w:t>-</w:t>
      </w:r>
      <w:r>
        <w:rPr>
          <w:rFonts w:ascii="Times New Roman" w:hAnsi="Times New Roman" w:cs="Times New Roman"/>
          <w:color w:val="auto"/>
          <w:highlight w:val="none"/>
        </w:rPr>
        <w:t>、Na、Ca为主，pH值为7.5～8.9，总硬度126.4～276.3毫克/升，矿化度0.44～0.62克/升。</w:t>
      </w:r>
    </w:p>
    <w:p w14:paraId="00206F0C">
      <w:pPr>
        <w:spacing w:line="360" w:lineRule="auto"/>
        <w:ind w:left="-105" w:right="-105" w:firstLine="480"/>
        <w:jc w:val="both"/>
        <w:rPr>
          <w:rFonts w:ascii="Times New Roman" w:hAnsi="Times New Roman" w:cs="Times New Roman"/>
          <w:color w:val="auto"/>
          <w:highlight w:val="none"/>
        </w:rPr>
      </w:pPr>
      <w:r>
        <w:rPr>
          <w:rFonts w:ascii="Times New Roman" w:hAnsi="Times New Roman" w:cs="Times New Roman"/>
          <w:color w:val="auto"/>
          <w:highlight w:val="none"/>
        </w:rPr>
        <w:t>第Ⅱ承压含水层组：</w:t>
      </w:r>
    </w:p>
    <w:p w14:paraId="23F78F48">
      <w:pPr>
        <w:spacing w:line="360" w:lineRule="auto"/>
        <w:ind w:left="-105" w:right="-105" w:firstLine="480"/>
        <w:jc w:val="both"/>
        <w:rPr>
          <w:rFonts w:ascii="Times New Roman" w:hAnsi="Times New Roman" w:cs="Times New Roman"/>
          <w:color w:val="auto"/>
          <w:highlight w:val="none"/>
        </w:rPr>
      </w:pPr>
      <w:r>
        <w:rPr>
          <w:rFonts w:ascii="Times New Roman" w:hAnsi="Times New Roman" w:cs="Times New Roman"/>
          <w:color w:val="auto"/>
          <w:highlight w:val="none"/>
        </w:rPr>
        <w:t>为锡山市的主要开采层，亦是本次工作重点研究层位，系中更新世古河道冲积而成，含水层的特征明显受古河床的展布所控制，古河床中心含水层颗粒粗厚度大，河漫滩颗糙细厚度小。据前人研究成果，中更新世古河床自常州进入本区后分成二支，一支由洛社、石塘湾至无锡市的刘谭后，向东南延伸，经东亭、坊前、后宅后进入苏州境内；一支由洛社向北，经前洲、玉祁后进入江阴境内，显然古地理沉积环境控制该层水的水文地质特征。古河床区：含水层呈巨厚状，厚度30～50米，局部大于60米，岩性以中细砂、中粗砂、含砾粗砂为主，具上细下粗沉积韵律，其顶板埋深75～85米之间，自西向东逐渐加深；底板埋深受基底的凹陷、隆起的影响，变化较大。隆起区含水砂层直接覆盖于基底之上，与基岩水有一定的水力联系。该区富水性好，单井涌水量可达1000～2000立方米/日，局部地段2500～3000立方米/日。河漫滩及边缘区：含水砂层逐渐变碑，至基岩山区尖灭，厚5～30米，含水岩性以细砂、中细砂、粉砂为主，局部夹粉土，其顶板埋深一般80～90米，东北部的荡口、羊尖、港下一带大于100米。该区富水性相对较差，河漫滩相单井涌水量100～1000立方米/日，近山前边缘地段则小于100立方米/日。目前该层水开采强度较大，水位埋深普遍大于50米，西北部的洛社、石塘湾等镇地下水水位埋深大于80米，处于疏干开采状态。该层水水质优良，水化学类型以HCO</w:t>
      </w:r>
      <w:r>
        <w:rPr>
          <w:rFonts w:ascii="Times New Roman" w:hAnsi="Times New Roman" w:cs="Times New Roman"/>
          <w:color w:val="auto"/>
          <w:highlight w:val="none"/>
          <w:vertAlign w:val="subscript"/>
        </w:rPr>
        <w:t>3</w:t>
      </w:r>
      <w:r>
        <w:rPr>
          <w:rFonts w:ascii="Times New Roman" w:hAnsi="Times New Roman" w:cs="Times New Roman"/>
          <w:color w:val="auto"/>
          <w:highlight w:val="none"/>
          <w:vertAlign w:val="superscript"/>
        </w:rPr>
        <w:t>-</w:t>
      </w:r>
      <w:r>
        <w:rPr>
          <w:rFonts w:ascii="Times New Roman" w:hAnsi="Times New Roman" w:cs="Times New Roman"/>
          <w:color w:val="auto"/>
          <w:highlight w:val="none"/>
        </w:rPr>
        <w:t>、Na型为主，其次为HCO</w:t>
      </w:r>
      <w:r>
        <w:rPr>
          <w:rFonts w:ascii="Times New Roman" w:hAnsi="Times New Roman" w:cs="Times New Roman"/>
          <w:color w:val="auto"/>
          <w:highlight w:val="none"/>
          <w:vertAlign w:val="subscript"/>
        </w:rPr>
        <w:t>3</w:t>
      </w:r>
      <w:r>
        <w:rPr>
          <w:rFonts w:ascii="Times New Roman" w:hAnsi="Times New Roman" w:cs="Times New Roman"/>
          <w:color w:val="auto"/>
          <w:highlight w:val="none"/>
          <w:vertAlign w:val="superscript"/>
        </w:rPr>
        <w:t>-</w:t>
      </w:r>
      <w:r>
        <w:rPr>
          <w:rFonts w:ascii="Times New Roman" w:hAnsi="Times New Roman" w:cs="Times New Roman"/>
          <w:color w:val="auto"/>
          <w:highlight w:val="none"/>
        </w:rPr>
        <w:t>、Na、Ca型或HCO</w:t>
      </w:r>
      <w:r>
        <w:rPr>
          <w:rFonts w:ascii="Times New Roman" w:hAnsi="Times New Roman" w:cs="Times New Roman"/>
          <w:color w:val="auto"/>
          <w:highlight w:val="none"/>
          <w:vertAlign w:val="subscript"/>
        </w:rPr>
        <w:t>3</w:t>
      </w:r>
      <w:r>
        <w:rPr>
          <w:rFonts w:ascii="Times New Roman" w:hAnsi="Times New Roman" w:cs="Times New Roman"/>
          <w:color w:val="auto"/>
          <w:highlight w:val="none"/>
          <w:vertAlign w:val="superscript"/>
        </w:rPr>
        <w:t>-</w:t>
      </w:r>
      <w:r>
        <w:rPr>
          <w:rFonts w:ascii="Times New Roman" w:hAnsi="Times New Roman" w:cs="Times New Roman"/>
          <w:color w:val="auto"/>
          <w:highlight w:val="none"/>
        </w:rPr>
        <w:t>、Na、Mg型，一般为低矿化、硬度适中的淡水，适合开发利用。</w:t>
      </w:r>
    </w:p>
    <w:p w14:paraId="3EA6AFA8">
      <w:pPr>
        <w:spacing w:line="360" w:lineRule="auto"/>
        <w:ind w:left="-105" w:right="-105" w:firstLine="480"/>
        <w:jc w:val="both"/>
        <w:rPr>
          <w:rFonts w:ascii="Times New Roman" w:hAnsi="Times New Roman" w:cs="Times New Roman"/>
          <w:color w:val="auto"/>
          <w:highlight w:val="none"/>
        </w:rPr>
      </w:pPr>
      <w:r>
        <w:rPr>
          <w:rFonts w:ascii="Times New Roman" w:hAnsi="Times New Roman" w:cs="Times New Roman"/>
          <w:color w:val="auto"/>
          <w:highlight w:val="none"/>
        </w:rPr>
        <w:t>第Ⅲ承压含水层组：</w:t>
      </w:r>
    </w:p>
    <w:p w14:paraId="444672F5">
      <w:pPr>
        <w:spacing w:line="360" w:lineRule="auto"/>
        <w:ind w:left="-105" w:right="-105" w:firstLine="480"/>
        <w:jc w:val="both"/>
        <w:rPr>
          <w:rFonts w:ascii="Times New Roman" w:hAnsi="Times New Roman" w:cs="Times New Roman"/>
          <w:color w:val="auto"/>
          <w:highlight w:val="none"/>
        </w:rPr>
      </w:pPr>
      <w:r>
        <w:rPr>
          <w:rFonts w:ascii="Times New Roman" w:hAnsi="Times New Roman" w:cs="Times New Roman"/>
          <w:color w:val="auto"/>
          <w:highlight w:val="none"/>
        </w:rPr>
        <w:t>仅分布在港下～荡口及石塘湾等地段，含水层为早更新世冲洪积、洪坡积相沉积物。在石塘湾地段含水岩性以泥质粗砾层为主，顶板埋深148米，含水层厚28米，富水性较弱，单井涌水量仅300～600立方米/日；港下～荡口地段含水岩性为中细砂，顶板埋深150～160米，含水层厚度5～18米，富水性中等，单井涌水量1000～2000立方米/日，该层水仅在港下等地少量开采。该层水一般为矿化度小于1.0克/升的HCO</w:t>
      </w:r>
      <w:r>
        <w:rPr>
          <w:rFonts w:ascii="Times New Roman" w:hAnsi="Times New Roman" w:cs="Times New Roman"/>
          <w:color w:val="auto"/>
          <w:highlight w:val="none"/>
          <w:vertAlign w:val="subscript"/>
        </w:rPr>
        <w:t>3</w:t>
      </w:r>
      <w:r>
        <w:rPr>
          <w:rFonts w:ascii="Times New Roman" w:hAnsi="Times New Roman" w:cs="Times New Roman"/>
          <w:color w:val="auto"/>
          <w:highlight w:val="none"/>
          <w:vertAlign w:val="superscript"/>
        </w:rPr>
        <w:t>-</w:t>
      </w:r>
      <w:r>
        <w:rPr>
          <w:rFonts w:ascii="Times New Roman" w:hAnsi="Times New Roman" w:cs="Times New Roman"/>
          <w:color w:val="auto"/>
          <w:highlight w:val="none"/>
        </w:rPr>
        <w:t>、Na、Ca型水。</w:t>
      </w:r>
    </w:p>
    <w:p w14:paraId="7AD55566">
      <w:pPr>
        <w:spacing w:line="360" w:lineRule="auto"/>
        <w:ind w:left="-105" w:right="-105" w:firstLine="480"/>
        <w:jc w:val="both"/>
        <w:rPr>
          <w:rFonts w:ascii="Times New Roman" w:hAnsi="Times New Roman" w:cs="Times New Roman"/>
          <w:color w:val="auto"/>
          <w:highlight w:val="none"/>
        </w:rPr>
      </w:pPr>
      <w:r>
        <w:rPr>
          <w:rFonts w:hint="eastAsia"/>
          <w:color w:val="auto"/>
          <w:highlight w:val="none"/>
        </w:rPr>
        <w:t>②</w:t>
      </w:r>
      <w:r>
        <w:rPr>
          <w:rFonts w:ascii="Times New Roman" w:hAnsi="Times New Roman" w:cs="Times New Roman"/>
          <w:color w:val="auto"/>
          <w:highlight w:val="none"/>
        </w:rPr>
        <w:t>碳酸盐岩类裂隙溶洞水</w:t>
      </w:r>
    </w:p>
    <w:p w14:paraId="30DAF03B">
      <w:pPr>
        <w:spacing w:line="360" w:lineRule="auto"/>
        <w:ind w:left="-105" w:right="-105" w:firstLine="480"/>
        <w:jc w:val="both"/>
        <w:rPr>
          <w:rFonts w:ascii="Times New Roman" w:hAnsi="Times New Roman" w:cs="Times New Roman"/>
          <w:color w:val="auto"/>
          <w:highlight w:val="none"/>
        </w:rPr>
      </w:pPr>
      <w:r>
        <w:rPr>
          <w:rFonts w:ascii="Times New Roman" w:hAnsi="Times New Roman" w:cs="Times New Roman"/>
          <w:color w:val="auto"/>
          <w:highlight w:val="none"/>
        </w:rPr>
        <w:t>区内碳酸盐岩类露头甚少，除厚桥揭山有出露外，均为第四系松散沉积物覆盖，其埋藏深度一般60～150米，含水岩组由三叠系青龙组（T1q）、二叠系长兴组（P</w:t>
      </w:r>
      <w:r>
        <w:rPr>
          <w:rFonts w:ascii="Times New Roman" w:hAnsi="Times New Roman" w:cs="Times New Roman"/>
          <w:color w:val="auto"/>
          <w:highlight w:val="none"/>
          <w:vertAlign w:val="subscript"/>
        </w:rPr>
        <w:t>2</w:t>
      </w:r>
      <w:r>
        <w:rPr>
          <w:rFonts w:ascii="Times New Roman" w:hAnsi="Times New Roman" w:cs="Times New Roman"/>
          <w:color w:val="auto"/>
          <w:highlight w:val="none"/>
        </w:rPr>
        <w:t>c）、栖霞组（P</w:t>
      </w:r>
      <w:r>
        <w:rPr>
          <w:rFonts w:ascii="Times New Roman" w:hAnsi="Times New Roman" w:cs="Times New Roman"/>
          <w:color w:val="auto"/>
          <w:highlight w:val="none"/>
          <w:vertAlign w:val="subscript"/>
        </w:rPr>
        <w:t>1</w:t>
      </w:r>
      <w:r>
        <w:rPr>
          <w:rFonts w:ascii="Times New Roman" w:hAnsi="Times New Roman" w:cs="Times New Roman"/>
          <w:color w:val="auto"/>
          <w:highlight w:val="none"/>
        </w:rPr>
        <w:t>q）、石炭系船山组（C</w:t>
      </w:r>
      <w:r>
        <w:rPr>
          <w:rFonts w:ascii="Times New Roman" w:hAnsi="Times New Roman" w:cs="Times New Roman"/>
          <w:color w:val="auto"/>
          <w:highlight w:val="none"/>
          <w:vertAlign w:val="subscript"/>
        </w:rPr>
        <w:t>3</w:t>
      </w:r>
      <w:r>
        <w:rPr>
          <w:rFonts w:ascii="Times New Roman" w:hAnsi="Times New Roman" w:cs="Times New Roman"/>
          <w:color w:val="auto"/>
          <w:highlight w:val="none"/>
        </w:rPr>
        <w:t>c）、黄龙组（C</w:t>
      </w:r>
      <w:r>
        <w:rPr>
          <w:rFonts w:ascii="Times New Roman" w:hAnsi="Times New Roman" w:cs="Times New Roman"/>
          <w:color w:val="auto"/>
          <w:highlight w:val="none"/>
          <w:vertAlign w:val="subscript"/>
        </w:rPr>
        <w:t>2</w:t>
      </w:r>
      <w:r>
        <w:rPr>
          <w:rFonts w:ascii="Times New Roman" w:hAnsi="Times New Roman" w:cs="Times New Roman"/>
          <w:color w:val="auto"/>
          <w:highlight w:val="none"/>
        </w:rPr>
        <w:t>h）等灰岩地层组成。据已有成果资料，全区共有八个主要隐伏块段。含水岩组岩性以厚层状灰岩、白云质灰岩、粗晶灰岩及白云岩为主。局部为泥岩夹薄层泥灰岩。钻孔揭露：各主要富水块段内，断裂构造发育，尤其是北西向张性断裂规模较大，岩溶沿断裂带发育。富水性以青龙组灰岩最强，长兴组次之，单井涌水量一般100～1000立方/日。在岩溶发育的张性断裂带附近，单井涌水量可大于1000立方米/日。碳酸盐岩类裂隙溶洞水开采井主要分布在厚桥、玉祁、八士等地，水位埋深变化较大，一般20～30米。该层水水化学类型主要为HCO3-Na、HCO3-Ca或HCO3-Na.Ca型，为矿化度小于0.5克/升的淡水，具有一定开发利用价值。</w:t>
      </w:r>
    </w:p>
    <w:p w14:paraId="43E6791A">
      <w:pPr>
        <w:spacing w:line="360" w:lineRule="auto"/>
        <w:ind w:left="-105" w:right="-105" w:firstLine="480"/>
        <w:jc w:val="both"/>
        <w:rPr>
          <w:rFonts w:ascii="Times New Roman" w:hAnsi="Times New Roman" w:cs="Times New Roman"/>
          <w:color w:val="auto"/>
          <w:highlight w:val="none"/>
        </w:rPr>
      </w:pPr>
      <w:r>
        <w:rPr>
          <w:rFonts w:hint="eastAsia"/>
          <w:color w:val="auto"/>
          <w:highlight w:val="none"/>
        </w:rPr>
        <w:t>③</w:t>
      </w:r>
      <w:r>
        <w:rPr>
          <w:rFonts w:ascii="Times New Roman" w:hAnsi="Times New Roman" w:cs="Times New Roman"/>
          <w:color w:val="auto"/>
          <w:highlight w:val="none"/>
        </w:rPr>
        <w:t>基岩裂隙水</w:t>
      </w:r>
    </w:p>
    <w:p w14:paraId="38305004">
      <w:pPr>
        <w:spacing w:line="360" w:lineRule="auto"/>
        <w:ind w:left="-105" w:right="-105" w:firstLine="480"/>
        <w:jc w:val="both"/>
        <w:rPr>
          <w:rFonts w:ascii="Times New Roman" w:hAnsi="Times New Roman" w:cs="Times New Roman"/>
          <w:color w:val="auto"/>
          <w:highlight w:val="none"/>
        </w:rPr>
      </w:pPr>
      <w:r>
        <w:rPr>
          <w:rFonts w:ascii="Times New Roman" w:hAnsi="Times New Roman" w:cs="Times New Roman"/>
          <w:color w:val="auto"/>
          <w:highlight w:val="none"/>
        </w:rPr>
        <w:t>碎屑岩类裂隙水：主要分布在胶山、鸿山等孤山残丘周边，含水岩组以泥盆系碎屑岩类为主，性脆，质纯，构造和层面裂隙发育，富水性较弱，单井涌水量一般小于100立方米/日，构造部位可达5000立方米/日。</w:t>
      </w:r>
    </w:p>
    <w:p w14:paraId="7E15ECAF">
      <w:pPr>
        <w:spacing w:line="360" w:lineRule="auto"/>
        <w:ind w:left="-105" w:right="-105" w:firstLine="480"/>
        <w:jc w:val="both"/>
        <w:rPr>
          <w:rFonts w:ascii="Times New Roman" w:hAnsi="Times New Roman" w:cs="Times New Roman"/>
          <w:color w:val="auto"/>
          <w:highlight w:val="none"/>
        </w:rPr>
      </w:pPr>
      <w:r>
        <w:rPr>
          <w:rFonts w:ascii="Times New Roman" w:hAnsi="Times New Roman" w:cs="Times New Roman"/>
          <w:color w:val="auto"/>
          <w:highlight w:val="none"/>
        </w:rPr>
        <w:t>区内第四纪地层之下还分布有侏罗系凝灰岩，白垩系粉砂岩，构造裂隙发育，但都为泥铁质充填，富水性极弱，单井涌水量一般小于100立方米/日。侵入岩类裂隙水：主要分布在安镇、张泾和严家桥岩体中，含水岩性主要为石英二长岩、二长花岗岩，地下水主要赋存于构造裂隙中，富水性差，单井涌水量小于100立方米/日。</w:t>
      </w:r>
    </w:p>
    <w:p w14:paraId="3AF84327">
      <w:pPr>
        <w:spacing w:line="360" w:lineRule="auto"/>
        <w:ind w:left="-105" w:right="-105" w:firstLine="480"/>
        <w:jc w:val="both"/>
        <w:rPr>
          <w:rFonts w:ascii="Times New Roman" w:hAnsi="Times New Roman" w:cs="Times New Roman"/>
          <w:color w:val="auto"/>
          <w:highlight w:val="none"/>
        </w:rPr>
      </w:pPr>
      <w:r>
        <w:rPr>
          <w:rFonts w:ascii="Times New Roman" w:hAnsi="Times New Roman" w:cs="Times New Roman"/>
          <w:color w:val="auto"/>
          <w:highlight w:val="none"/>
        </w:rPr>
        <w:t>基岩裂隙水的水化学类型较复杂，一般为矿化度小于1.0克/升的HCO</w:t>
      </w:r>
      <w:r>
        <w:rPr>
          <w:rFonts w:ascii="Times New Roman" w:hAnsi="Times New Roman" w:cs="Times New Roman"/>
          <w:color w:val="auto"/>
          <w:highlight w:val="none"/>
          <w:vertAlign w:val="subscript"/>
        </w:rPr>
        <w:t>3</w:t>
      </w:r>
      <w:r>
        <w:rPr>
          <w:rFonts w:ascii="Times New Roman" w:hAnsi="Times New Roman" w:cs="Times New Roman"/>
          <w:color w:val="auto"/>
          <w:highlight w:val="none"/>
          <w:vertAlign w:val="superscript"/>
        </w:rPr>
        <w:t>-</w:t>
      </w:r>
      <w:r>
        <w:rPr>
          <w:rFonts w:ascii="Times New Roman" w:hAnsi="Times New Roman" w:cs="Times New Roman"/>
          <w:color w:val="auto"/>
          <w:highlight w:val="none"/>
        </w:rPr>
        <w:t>、Ca.Mg型水，局部受地层影响，为矿化度小于1.0克/升的HCO</w:t>
      </w:r>
      <w:r>
        <w:rPr>
          <w:rFonts w:ascii="Times New Roman" w:hAnsi="Times New Roman" w:cs="Times New Roman"/>
          <w:color w:val="auto"/>
          <w:highlight w:val="none"/>
          <w:vertAlign w:val="subscript"/>
        </w:rPr>
        <w:t>3</w:t>
      </w:r>
      <w:r>
        <w:rPr>
          <w:rFonts w:ascii="Times New Roman" w:hAnsi="Times New Roman" w:cs="Times New Roman"/>
          <w:color w:val="auto"/>
          <w:highlight w:val="none"/>
        </w:rPr>
        <w:t>.Cl</w:t>
      </w:r>
      <w:r>
        <w:rPr>
          <w:rFonts w:ascii="Times New Roman" w:hAnsi="Times New Roman" w:cs="Times New Roman"/>
          <w:color w:val="auto"/>
          <w:highlight w:val="none"/>
          <w:vertAlign w:val="superscript"/>
        </w:rPr>
        <w:t>-</w:t>
      </w:r>
      <w:r>
        <w:rPr>
          <w:rFonts w:ascii="Times New Roman" w:hAnsi="Times New Roman" w:cs="Times New Roman"/>
          <w:color w:val="auto"/>
          <w:highlight w:val="none"/>
        </w:rPr>
        <w:t>、Na.Ca型水，因其水量小，不具供水意义。</w:t>
      </w:r>
    </w:p>
    <w:p w14:paraId="6C7358F4">
      <w:pPr>
        <w:spacing w:line="360" w:lineRule="auto"/>
        <w:ind w:left="-105" w:right="-105" w:firstLine="480"/>
        <w:jc w:val="both"/>
        <w:rPr>
          <w:rFonts w:ascii="Times New Roman" w:hAnsi="Times New Roman" w:cs="Times New Roman"/>
          <w:color w:val="auto"/>
          <w:highlight w:val="none"/>
        </w:rPr>
      </w:pPr>
      <w:r>
        <w:rPr>
          <w:rFonts w:ascii="Times New Roman" w:hAnsi="Times New Roman" w:cs="Times New Roman"/>
          <w:color w:val="auto"/>
          <w:highlight w:val="none"/>
        </w:rPr>
        <w:t>（3）地下水的补给、逗流、排泄条件</w:t>
      </w:r>
    </w:p>
    <w:p w14:paraId="05A7E7F4">
      <w:pPr>
        <w:spacing w:line="360" w:lineRule="auto"/>
        <w:ind w:left="-105" w:right="-105" w:firstLine="480"/>
        <w:jc w:val="both"/>
        <w:rPr>
          <w:rFonts w:ascii="Times New Roman" w:hAnsi="Times New Roman" w:cs="Times New Roman"/>
          <w:color w:val="auto"/>
          <w:highlight w:val="none"/>
        </w:rPr>
      </w:pPr>
      <w:r>
        <w:rPr>
          <w:rFonts w:hint="eastAsia"/>
          <w:color w:val="auto"/>
          <w:highlight w:val="none"/>
        </w:rPr>
        <w:t>①</w:t>
      </w:r>
      <w:r>
        <w:rPr>
          <w:rFonts w:ascii="Times New Roman" w:hAnsi="Times New Roman" w:cs="Times New Roman"/>
          <w:color w:val="auto"/>
          <w:highlight w:val="none"/>
        </w:rPr>
        <w:t>孔隙潜水</w:t>
      </w:r>
    </w:p>
    <w:p w14:paraId="2DB2C27D">
      <w:pPr>
        <w:spacing w:line="360" w:lineRule="auto"/>
        <w:ind w:left="-105" w:right="-105" w:firstLine="480"/>
        <w:jc w:val="both"/>
        <w:rPr>
          <w:rFonts w:ascii="Times New Roman" w:hAnsi="Times New Roman" w:cs="Times New Roman"/>
          <w:color w:val="auto"/>
          <w:highlight w:val="none"/>
        </w:rPr>
      </w:pPr>
      <w:r>
        <w:rPr>
          <w:rFonts w:ascii="Times New Roman" w:hAnsi="Times New Roman" w:cs="Times New Roman"/>
          <w:color w:val="auto"/>
          <w:highlight w:val="none"/>
        </w:rPr>
        <w:t>无锡市地处太湖流域，气候湿润，雨量充沛，平原区地势平坦，且大面积为水稻种植区，有利于大气降水入渗和灌溉水回渗补给。此外，平原区河网密布，在天然状况下，地下水与地表水相互补给、排泄，即丰水期地表水补给潜水，枯水期潜水补给地表水；基岩山区，在其与松散层的接触地带，基岩水常以侧向迳流的形式补给潜水。潜水的运流受地形、地貌条件制约，一般由山区向平原迳流，但十分缓慢，潜水一般就地泄入附近的地表水体，同时消耗于蒸发与植物蒸腾、人工开采及越流补给下伏承压水。</w:t>
      </w:r>
    </w:p>
    <w:p w14:paraId="3566F6AA">
      <w:pPr>
        <w:spacing w:line="360" w:lineRule="auto"/>
        <w:ind w:left="-105" w:right="-105" w:firstLine="480"/>
        <w:jc w:val="both"/>
        <w:rPr>
          <w:rFonts w:ascii="Times New Roman" w:hAnsi="Times New Roman" w:cs="Times New Roman"/>
          <w:color w:val="auto"/>
          <w:highlight w:val="none"/>
        </w:rPr>
      </w:pPr>
      <w:r>
        <w:rPr>
          <w:rFonts w:hint="eastAsia"/>
          <w:color w:val="auto"/>
          <w:highlight w:val="none"/>
        </w:rPr>
        <w:t>②</w:t>
      </w:r>
      <w:r>
        <w:rPr>
          <w:rFonts w:ascii="Times New Roman" w:hAnsi="Times New Roman" w:cs="Times New Roman"/>
          <w:color w:val="auto"/>
          <w:highlight w:val="none"/>
        </w:rPr>
        <w:t>第Ⅰ承压水</w:t>
      </w:r>
    </w:p>
    <w:p w14:paraId="17564998">
      <w:pPr>
        <w:spacing w:line="360" w:lineRule="auto"/>
        <w:ind w:left="-105" w:right="-105" w:firstLine="480"/>
        <w:jc w:val="both"/>
        <w:rPr>
          <w:rFonts w:ascii="Times New Roman" w:hAnsi="Times New Roman" w:cs="Times New Roman"/>
          <w:color w:val="auto"/>
          <w:highlight w:val="none"/>
        </w:rPr>
      </w:pPr>
      <w:r>
        <w:rPr>
          <w:rFonts w:ascii="Times New Roman" w:hAnsi="Times New Roman" w:cs="Times New Roman"/>
          <w:color w:val="auto"/>
          <w:highlight w:val="none"/>
        </w:rPr>
        <w:t>该层水由于埋藏较浅，且局部地段与孔隙潜水、微承压水相通，直接接受其入渗补给，基岩山体周边接受基岩水的侧向渗入补给。在天然状态下，地下水迳流缓慢，在开采条件下，地下水由周边向开采区迳流、排泄途径以人工开采为主，其次是越流补给深部承压水。</w:t>
      </w:r>
    </w:p>
    <w:p w14:paraId="6E779356">
      <w:pPr>
        <w:spacing w:line="360" w:lineRule="auto"/>
        <w:ind w:left="-105" w:right="-105" w:firstLine="480"/>
        <w:jc w:val="both"/>
        <w:rPr>
          <w:rFonts w:ascii="Times New Roman" w:hAnsi="Times New Roman" w:cs="Times New Roman"/>
          <w:color w:val="auto"/>
          <w:highlight w:val="none"/>
        </w:rPr>
      </w:pPr>
      <w:r>
        <w:rPr>
          <w:rFonts w:hint="eastAsia"/>
          <w:color w:val="auto"/>
          <w:highlight w:val="none"/>
        </w:rPr>
        <w:t>③</w:t>
      </w:r>
      <w:r>
        <w:rPr>
          <w:rFonts w:ascii="Times New Roman" w:hAnsi="Times New Roman" w:cs="Times New Roman"/>
          <w:color w:val="auto"/>
          <w:highlight w:val="none"/>
        </w:rPr>
        <w:t>第Ⅱ承压水</w:t>
      </w:r>
    </w:p>
    <w:p w14:paraId="1F15DED9">
      <w:pPr>
        <w:spacing w:line="360" w:lineRule="auto"/>
        <w:ind w:left="-105" w:right="-105" w:firstLine="480"/>
        <w:jc w:val="both"/>
        <w:rPr>
          <w:rFonts w:ascii="Times New Roman" w:hAnsi="Times New Roman" w:cs="Times New Roman"/>
          <w:color w:val="auto"/>
          <w:highlight w:val="none"/>
        </w:rPr>
      </w:pPr>
      <w:r>
        <w:rPr>
          <w:rFonts w:ascii="Times New Roman" w:hAnsi="Times New Roman" w:cs="Times New Roman"/>
          <w:color w:val="auto"/>
          <w:highlight w:val="none"/>
        </w:rPr>
        <w:t>该层水由于埋藏较深，其补给来源主要是区外的侧向迳流补给、基岩水侧渗补给和上覆含水层的越流补给。目前，该层水开采强烈，原有的地下水流场已经改变，已形成以洛社～前洲为中心的水位降落漏斗，地下水由周边向中心迳流。其排泄途径主要是人工开采。</w:t>
      </w:r>
    </w:p>
    <w:p w14:paraId="70C6E711">
      <w:pPr>
        <w:spacing w:line="360" w:lineRule="auto"/>
        <w:ind w:left="-105" w:right="-105" w:firstLine="480"/>
        <w:jc w:val="both"/>
        <w:rPr>
          <w:rFonts w:ascii="Times New Roman" w:hAnsi="Times New Roman" w:cs="Times New Roman"/>
          <w:color w:val="auto"/>
          <w:highlight w:val="none"/>
        </w:rPr>
      </w:pPr>
      <w:r>
        <w:rPr>
          <w:rFonts w:hint="eastAsia"/>
          <w:color w:val="auto"/>
          <w:highlight w:val="none"/>
        </w:rPr>
        <w:t>④</w:t>
      </w:r>
      <w:r>
        <w:rPr>
          <w:rFonts w:ascii="Times New Roman" w:hAnsi="Times New Roman" w:cs="Times New Roman"/>
          <w:color w:val="auto"/>
          <w:highlight w:val="none"/>
        </w:rPr>
        <w:t>第Ⅲ承压水</w:t>
      </w:r>
    </w:p>
    <w:p w14:paraId="42994432">
      <w:pPr>
        <w:spacing w:line="360" w:lineRule="auto"/>
        <w:ind w:left="-105" w:right="-105" w:firstLine="480"/>
        <w:jc w:val="both"/>
        <w:rPr>
          <w:rFonts w:ascii="Times New Roman" w:hAnsi="Times New Roman" w:cs="Times New Roman"/>
          <w:color w:val="auto"/>
          <w:highlight w:val="none"/>
        </w:rPr>
      </w:pPr>
      <w:r>
        <w:rPr>
          <w:rFonts w:ascii="Times New Roman" w:hAnsi="Times New Roman" w:cs="Times New Roman"/>
          <w:color w:val="auto"/>
          <w:highlight w:val="none"/>
        </w:rPr>
        <w:t>该层水仅在港下、羊尖等地有少量开采，地下水补迳排条件基本保持天然平衡状态，其补给来源主要为区外的侧向迳流补给，排泄于人工开采和迳流排泄。</w:t>
      </w:r>
    </w:p>
    <w:p w14:paraId="3BA26337">
      <w:pPr>
        <w:spacing w:line="360" w:lineRule="auto"/>
        <w:ind w:left="-105" w:right="-105" w:firstLine="480"/>
        <w:jc w:val="both"/>
        <w:rPr>
          <w:rFonts w:ascii="Times New Roman" w:hAnsi="Times New Roman" w:cs="Times New Roman"/>
          <w:color w:val="auto"/>
          <w:highlight w:val="none"/>
        </w:rPr>
      </w:pPr>
      <w:r>
        <w:rPr>
          <w:rFonts w:hint="eastAsia"/>
          <w:color w:val="auto"/>
          <w:highlight w:val="none"/>
        </w:rPr>
        <w:t>⑤</w:t>
      </w:r>
      <w:r>
        <w:rPr>
          <w:rFonts w:ascii="Times New Roman" w:hAnsi="Times New Roman" w:cs="Times New Roman"/>
          <w:color w:val="auto"/>
          <w:highlight w:val="none"/>
        </w:rPr>
        <w:t>裂隙溶洞水与基岩裂隙水</w:t>
      </w:r>
    </w:p>
    <w:p w14:paraId="60732C75">
      <w:pPr>
        <w:spacing w:line="360" w:lineRule="auto"/>
        <w:ind w:left="-105" w:right="-105" w:firstLine="480"/>
        <w:jc w:val="both"/>
        <w:rPr>
          <w:rFonts w:ascii="Times New Roman" w:hAnsi="Times New Roman" w:cs="Times New Roman"/>
          <w:color w:val="auto"/>
          <w:highlight w:val="none"/>
        </w:rPr>
      </w:pPr>
      <w:r>
        <w:rPr>
          <w:rFonts w:ascii="Times New Roman" w:hAnsi="Times New Roman" w:cs="Times New Roman"/>
          <w:color w:val="auto"/>
          <w:highlight w:val="none"/>
        </w:rPr>
        <w:t>在天然状态下，两者均在裸露区接受大气降水入渗补给和地表水体的侧向补给，经垂向、水平迳流后向上部孔隙水顶托排泄。在开采条件下，还可获得上覆孔隙水的越流补给或渗流补给。迳流受地形、构造裂隙发育带控制，一般由山前向沟谷、平原迳流。主要排泄途径为泉、补给孔隙水及人工开采。</w:t>
      </w:r>
    </w:p>
    <w:p w14:paraId="1CBC2DB0">
      <w:pPr>
        <w:spacing w:line="360" w:lineRule="auto"/>
        <w:ind w:left="-105" w:right="-105" w:firstLine="480"/>
        <w:jc w:val="both"/>
        <w:rPr>
          <w:rFonts w:ascii="Times New Roman" w:hAnsi="Times New Roman" w:cs="Times New Roman"/>
          <w:color w:val="auto"/>
          <w:highlight w:val="none"/>
        </w:rPr>
      </w:pPr>
      <w:r>
        <w:rPr>
          <w:rFonts w:ascii="Times New Roman" w:hAnsi="Times New Roman" w:cs="Times New Roman"/>
          <w:color w:val="auto"/>
          <w:highlight w:val="none"/>
        </w:rPr>
        <w:t>C.构造</w:t>
      </w:r>
    </w:p>
    <w:p w14:paraId="236EC3F2">
      <w:pPr>
        <w:spacing w:line="360" w:lineRule="auto"/>
        <w:ind w:left="-105" w:right="-105" w:firstLine="480"/>
        <w:jc w:val="both"/>
        <w:rPr>
          <w:rFonts w:ascii="Times New Roman" w:hAnsi="Times New Roman" w:cs="Times New Roman"/>
          <w:color w:val="auto"/>
          <w:highlight w:val="none"/>
        </w:rPr>
      </w:pPr>
      <w:r>
        <w:rPr>
          <w:rFonts w:ascii="Times New Roman" w:hAnsi="Times New Roman" w:cs="Times New Roman"/>
          <w:color w:val="auto"/>
          <w:highlight w:val="none"/>
        </w:rPr>
        <w:t>项目位于苏锡常断裂断裂交汇处，形成不同体系的构造断裂面错综复杂交织在一起的主要构造格局。</w:t>
      </w:r>
    </w:p>
    <w:p w14:paraId="292F53EF">
      <w:pPr>
        <w:spacing w:line="360" w:lineRule="auto"/>
        <w:ind w:left="-105" w:right="-105" w:firstLine="480"/>
        <w:jc w:val="both"/>
        <w:rPr>
          <w:rFonts w:ascii="Times New Roman" w:hAnsi="Times New Roman" w:cs="Times New Roman"/>
          <w:color w:val="auto"/>
          <w:highlight w:val="none"/>
        </w:rPr>
      </w:pPr>
      <w:r>
        <w:rPr>
          <w:rFonts w:ascii="Times New Roman" w:hAnsi="Times New Roman" w:cs="Times New Roman"/>
          <w:color w:val="auto"/>
          <w:highlight w:val="none"/>
        </w:rPr>
        <w:t>苏锡常断裂：该断裂属无锡-宿迁断裂的南延段延伸部分，呈北西走向，倾向北东，倾角约60°。主要活动时期是第四纪早、中更新世，晚更新世以来无活动迹象。苏锡常地区，断裂由不连续的若干条断裂组成，其主体被第四系所覆盖。由北向南沿横林、洛社、石塘湾、钱桥北、无锡市区、会龙、扬名、新安一带分布，基本上沿京杭运河展布。该区域断裂为第四纪早、中期断裂，晚更新世以来少有活动的断裂。因此，苏锡常断裂及其次级断裂均为非全新活动断裂。</w:t>
      </w:r>
    </w:p>
    <w:p w14:paraId="46D89ED0">
      <w:pPr>
        <w:pStyle w:val="6"/>
        <w:keepLines w:val="0"/>
        <w:widowControl/>
        <w:numPr>
          <w:ilvl w:val="3"/>
          <w:numId w:val="6"/>
        </w:numPr>
        <w:spacing w:before="120" w:beforeLines="50" w:after="120" w:afterLines="50" w:line="360" w:lineRule="auto"/>
        <w:ind w:left="-105" w:right="-105"/>
        <w:rPr>
          <w:rFonts w:ascii="Times New Roman" w:hAnsi="Times New Roman"/>
          <w:color w:val="auto"/>
          <w:sz w:val="24"/>
          <w:szCs w:val="24"/>
          <w:highlight w:val="none"/>
        </w:rPr>
      </w:pPr>
      <w:r>
        <w:rPr>
          <w:rFonts w:ascii="Times New Roman" w:hAnsi="Times New Roman"/>
          <w:color w:val="auto"/>
          <w:sz w:val="24"/>
          <w:szCs w:val="24"/>
          <w:highlight w:val="none"/>
        </w:rPr>
        <w:t>地下水开采现状</w:t>
      </w:r>
    </w:p>
    <w:p w14:paraId="1A149707">
      <w:pPr>
        <w:spacing w:line="360" w:lineRule="auto"/>
        <w:ind w:left="-105" w:right="-105" w:firstLine="480"/>
        <w:jc w:val="both"/>
        <w:rPr>
          <w:rFonts w:ascii="Times New Roman" w:hAnsi="Times New Roman" w:cs="Times New Roman"/>
          <w:color w:val="auto"/>
          <w:highlight w:val="none"/>
        </w:rPr>
      </w:pPr>
      <w:r>
        <w:rPr>
          <w:rFonts w:ascii="Times New Roman" w:hAnsi="Times New Roman" w:cs="Times New Roman"/>
          <w:color w:val="auto"/>
          <w:highlight w:val="none"/>
        </w:rPr>
        <w:t>无锡市开采深层孔隙地下水始于五十年代，开采历史大致可分为五个阶段。</w:t>
      </w:r>
    </w:p>
    <w:p w14:paraId="0E48A6E9">
      <w:pPr>
        <w:spacing w:line="360" w:lineRule="auto"/>
        <w:ind w:left="-105" w:right="-105" w:firstLine="480"/>
        <w:jc w:val="both"/>
        <w:rPr>
          <w:rFonts w:ascii="Times New Roman" w:hAnsi="Times New Roman" w:cs="Times New Roman"/>
          <w:color w:val="auto"/>
          <w:highlight w:val="none"/>
        </w:rPr>
      </w:pPr>
      <w:r>
        <w:rPr>
          <w:rFonts w:ascii="Times New Roman" w:hAnsi="Times New Roman" w:cs="Times New Roman"/>
          <w:color w:val="auto"/>
          <w:highlight w:val="none"/>
        </w:rPr>
        <w:t>（1）1989年为地下水利用发展期。1980年以前为地下水开采的起步阶段，至1979年，全市仅有46眼深井。1980～1989年城市工业需水量增大，供水矛盾日趋突出，无锡市一些用水量较大的企业开始广泛开发利用深层地下水，在这个阶段，全区深井数以5～54眼/a的速度递增。至1989年，已发展到310眼，年开采量逾2000万m</w:t>
      </w:r>
      <w:r>
        <w:rPr>
          <w:rFonts w:ascii="Times New Roman" w:hAnsi="Times New Roman" w:cs="Times New Roman"/>
          <w:color w:val="auto"/>
          <w:highlight w:val="none"/>
          <w:vertAlign w:val="superscript"/>
        </w:rPr>
        <w:t>3</w:t>
      </w:r>
      <w:r>
        <w:rPr>
          <w:rFonts w:ascii="Times New Roman" w:hAnsi="Times New Roman" w:cs="Times New Roman"/>
          <w:color w:val="auto"/>
          <w:highlight w:val="none"/>
        </w:rPr>
        <w:t>。</w:t>
      </w:r>
    </w:p>
    <w:p w14:paraId="3CC4D7D1">
      <w:pPr>
        <w:spacing w:line="360" w:lineRule="auto"/>
        <w:ind w:left="-105" w:right="-105" w:firstLine="480"/>
        <w:jc w:val="both"/>
        <w:rPr>
          <w:rFonts w:ascii="Times New Roman" w:hAnsi="Times New Roman" w:cs="Times New Roman"/>
          <w:color w:val="auto"/>
          <w:highlight w:val="none"/>
        </w:rPr>
      </w:pPr>
      <w:r>
        <w:rPr>
          <w:rFonts w:ascii="Times New Roman" w:hAnsi="Times New Roman" w:cs="Times New Roman"/>
          <w:color w:val="auto"/>
          <w:highlight w:val="none"/>
        </w:rPr>
        <w:t>（2）1990～1996年为地下水开采的高潮阶段。进入九十年代，工业化城市需水量迅速增大，加之地表水污染严重，为解决供水问题，大量企事业单位都采取了凿井方式，新建自备水厂，致使城市区开采井数和开采量急骤上升，地下水资源的开采达到了高潮，至1996年底，全市共有深井约1130眼，“三集中”开采现象极为严重。由于地下水超采严重，导致全市形成五个水位降落漏斗，在锡西北地区中心水位埋深常年低于含水层顶板，普遍超过80m，成为典型的疏干开采区，并由此造成无锡市地面沉降、地裂缝灾害十分严重。</w:t>
      </w:r>
    </w:p>
    <w:p w14:paraId="5BD44AC9">
      <w:pPr>
        <w:spacing w:line="360" w:lineRule="auto"/>
        <w:ind w:left="-105" w:right="-105" w:firstLine="480"/>
        <w:jc w:val="both"/>
        <w:rPr>
          <w:rFonts w:ascii="Times New Roman" w:hAnsi="Times New Roman" w:cs="Times New Roman"/>
          <w:color w:val="auto"/>
          <w:highlight w:val="none"/>
        </w:rPr>
      </w:pPr>
      <w:r>
        <w:rPr>
          <w:rFonts w:ascii="Times New Roman" w:hAnsi="Times New Roman" w:cs="Times New Roman"/>
          <w:color w:val="auto"/>
          <w:highlight w:val="none"/>
        </w:rPr>
        <w:t>（3）1997～2000年为地下水限采阶段。该时期无锡市采取了一系列有力管理措施，使地下水开采量和深井总数迅猛增长的势头得到了控制。1999年全市深井比96年净减少36眼，实际开采量压缩了3379万m</w:t>
      </w:r>
      <w:r>
        <w:rPr>
          <w:rFonts w:ascii="Times New Roman" w:hAnsi="Times New Roman" w:cs="Times New Roman"/>
          <w:color w:val="auto"/>
          <w:highlight w:val="none"/>
          <w:vertAlign w:val="superscript"/>
        </w:rPr>
        <w:t>3</w:t>
      </w:r>
      <w:r>
        <w:rPr>
          <w:rFonts w:ascii="Times New Roman" w:hAnsi="Times New Roman" w:cs="Times New Roman"/>
          <w:color w:val="auto"/>
          <w:highlight w:val="none"/>
        </w:rPr>
        <w:t>。地下水水位下降速率有所减慢，漏斗区迅速扩展的趋势得到遏制，局部地区水位有所回升。</w:t>
      </w:r>
    </w:p>
    <w:p w14:paraId="5190E932">
      <w:pPr>
        <w:spacing w:line="360" w:lineRule="auto"/>
        <w:ind w:left="-105" w:right="-105" w:firstLine="480"/>
        <w:jc w:val="both"/>
        <w:rPr>
          <w:rFonts w:ascii="Times New Roman" w:hAnsi="Times New Roman" w:cs="Times New Roman"/>
          <w:color w:val="auto"/>
          <w:highlight w:val="none"/>
        </w:rPr>
      </w:pPr>
      <w:r>
        <w:rPr>
          <w:rFonts w:ascii="Times New Roman" w:hAnsi="Times New Roman" w:cs="Times New Roman"/>
          <w:color w:val="auto"/>
          <w:highlight w:val="none"/>
        </w:rPr>
        <w:t>（4）2001～2004年为地下水禁采贯彻落实阶段。2000年8月，省人大颁布了《关于在苏锡常地区限期禁止开采地下水的决定》，无锡市政府高度重视，着手进行开采井的封井工作。</w:t>
      </w:r>
    </w:p>
    <w:p w14:paraId="161DD0F3">
      <w:pPr>
        <w:spacing w:line="360" w:lineRule="auto"/>
        <w:ind w:left="-105" w:right="-105" w:firstLine="480"/>
        <w:jc w:val="both"/>
        <w:rPr>
          <w:rFonts w:ascii="Times New Roman" w:hAnsi="Times New Roman" w:cs="Times New Roman"/>
          <w:color w:val="auto"/>
          <w:highlight w:val="none"/>
        </w:rPr>
      </w:pPr>
      <w:r>
        <w:rPr>
          <w:rFonts w:ascii="Times New Roman" w:hAnsi="Times New Roman" w:cs="Times New Roman"/>
          <w:color w:val="auto"/>
          <w:highlight w:val="none"/>
        </w:rPr>
        <w:t>（5）2005～现今，地下水禁采阶段。2005年底全面完成禁采封井任务，至今禁采成效初步显现。据监测资料分析，无锡市地下水降落漏斗面积已得到有效控制，地下水位出现回升，地面沉降速率明显趋缓。</w:t>
      </w:r>
    </w:p>
    <w:p w14:paraId="7474E7DB">
      <w:pPr>
        <w:spacing w:line="360" w:lineRule="auto"/>
        <w:ind w:left="-105" w:right="-105" w:firstLine="480"/>
        <w:jc w:val="both"/>
        <w:rPr>
          <w:rFonts w:ascii="Times New Roman" w:hAnsi="Times New Roman" w:cs="Times New Roman"/>
          <w:color w:val="auto"/>
          <w:highlight w:val="none"/>
        </w:rPr>
      </w:pPr>
      <w:r>
        <w:rPr>
          <w:rFonts w:ascii="Times New Roman" w:hAnsi="Times New Roman" w:cs="Times New Roman"/>
          <w:color w:val="auto"/>
          <w:highlight w:val="none"/>
        </w:rPr>
        <w:t>二十世纪五六十年代，该区深层承压水水头仅在地面以下2～3m，由于80年代以后工农业迅猛增长，对地下水的开采量猛增、开采强度过大，致使地下水位大幅度下降，地下水水位普遍降至地表以下50m，局部在80m以下。随着禁采政策的贯彻实施，无锡地区主采层地下水开采量大幅压缩，2002年的实际开采量已减至禁采之初的一半，市区开始呈现地下水位持续回升局面。原为市区水位漏斗中心的黄巷至坊前一线，通过禁采恢复，至2008年底，水位上升近20m，效果显著。目前，市区平均水位已恢复至50m以浅，风雷新村水位埋深43.5m，是资料所测井中最深点，向东水位渐浅，接近苏州的硕放地下水位埋深31.5m。锡山与江阴相邻地区水位上升也较明显，其中张泾镇水位升幅最大（30.5m），新桥、长泾、河塘地下水位分布是34.6m、36.1m和42m，原来包围上述地区的50m水位埋深先已收缩至港下镇，目前主采层地下水位埋深在40～80m之间。</w:t>
      </w:r>
    </w:p>
    <w:p w14:paraId="37522D3A">
      <w:pPr>
        <w:spacing w:line="360" w:lineRule="auto"/>
        <w:ind w:left="-105" w:right="-105" w:firstLine="480"/>
        <w:jc w:val="both"/>
        <w:rPr>
          <w:rFonts w:ascii="Times New Roman" w:hAnsi="Times New Roman" w:cs="Times New Roman"/>
          <w:color w:val="auto"/>
          <w:highlight w:val="none"/>
        </w:rPr>
      </w:pPr>
      <w:r>
        <w:rPr>
          <w:rFonts w:ascii="Times New Roman" w:hAnsi="Times New Roman" w:cs="Times New Roman"/>
          <w:color w:val="auto"/>
          <w:highlight w:val="none"/>
        </w:rPr>
        <w:t>无锡市浅层地下水由于水质、水量原因，开发利用程度很低，地下水动态受降水等因素呈现季节性波动特征，但总体较为稳定。根据《无锡市浅层地下水资源开发利用规划（研究）报告》，无锡浅层地下水年开采量约81.38万m</w:t>
      </w:r>
      <w:r>
        <w:rPr>
          <w:rFonts w:ascii="Times New Roman" w:hAnsi="Times New Roman" w:cs="Times New Roman"/>
          <w:color w:val="auto"/>
          <w:highlight w:val="none"/>
          <w:vertAlign w:val="superscript"/>
        </w:rPr>
        <w:t>3</w:t>
      </w:r>
      <w:r>
        <w:rPr>
          <w:rFonts w:ascii="Times New Roman" w:hAnsi="Times New Roman" w:cs="Times New Roman"/>
          <w:color w:val="auto"/>
          <w:highlight w:val="none"/>
        </w:rPr>
        <w:t>。民井取水量一般很少，一天取用数方水或不足1方水，居民生活浅井主要用于洗涤等辅助用水。无锡市浅层水主要用于工业供水，其次是生活供水，一般井深在50-60m的浅井多数为工业用水，井深在10m以下的水井多数为生活用水，生活用水的开采量很少，不足总开采的五分之一。</w:t>
      </w:r>
    </w:p>
    <w:p w14:paraId="2386D1EA">
      <w:pPr>
        <w:spacing w:line="360" w:lineRule="auto"/>
        <w:ind w:left="-105" w:right="-105" w:firstLine="480"/>
        <w:jc w:val="both"/>
        <w:rPr>
          <w:rFonts w:ascii="Times New Roman" w:hAnsi="Times New Roman" w:cs="Times New Roman"/>
          <w:color w:val="auto"/>
          <w:highlight w:val="none"/>
        </w:rPr>
      </w:pPr>
      <w:r>
        <w:rPr>
          <w:rFonts w:ascii="Times New Roman" w:hAnsi="Times New Roman" w:cs="Times New Roman"/>
          <w:color w:val="auto"/>
          <w:highlight w:val="none"/>
        </w:rPr>
        <w:t>浅层的潜水和微承压水的地下水开采总量比较小，远小于其资源量和可采资源量（无锡市微承压含水层可采资源量890万m</w:t>
      </w:r>
      <w:r>
        <w:rPr>
          <w:rFonts w:ascii="Times New Roman" w:hAnsi="Times New Roman" w:cs="Times New Roman"/>
          <w:color w:val="auto"/>
          <w:highlight w:val="none"/>
          <w:vertAlign w:val="superscript"/>
        </w:rPr>
        <w:t>3</w:t>
      </w:r>
      <w:r>
        <w:rPr>
          <w:rFonts w:ascii="Times New Roman" w:hAnsi="Times New Roman" w:cs="Times New Roman"/>
          <w:color w:val="auto"/>
          <w:highlight w:val="none"/>
        </w:rPr>
        <w:t>/a），地下水位基本处于天然状态，区内未出现因开采浅层地下水而产生的环境地质问题。</w:t>
      </w:r>
    </w:p>
    <w:p w14:paraId="70263397">
      <w:pPr>
        <w:pStyle w:val="6"/>
        <w:keepLines w:val="0"/>
        <w:widowControl/>
        <w:numPr>
          <w:ilvl w:val="3"/>
          <w:numId w:val="6"/>
        </w:numPr>
        <w:spacing w:before="120" w:beforeLines="50" w:after="120" w:afterLines="50" w:line="360" w:lineRule="auto"/>
        <w:ind w:left="-105" w:right="-105"/>
        <w:rPr>
          <w:rFonts w:ascii="Times New Roman" w:hAnsi="Times New Roman"/>
          <w:color w:val="auto"/>
          <w:sz w:val="24"/>
          <w:szCs w:val="24"/>
          <w:highlight w:val="none"/>
        </w:rPr>
      </w:pPr>
      <w:r>
        <w:rPr>
          <w:rFonts w:ascii="Times New Roman" w:hAnsi="Times New Roman"/>
          <w:color w:val="auto"/>
          <w:sz w:val="24"/>
          <w:szCs w:val="24"/>
          <w:highlight w:val="none"/>
        </w:rPr>
        <w:t>环境水文地质问题</w:t>
      </w:r>
    </w:p>
    <w:p w14:paraId="4B79CD19">
      <w:pPr>
        <w:spacing w:line="360" w:lineRule="auto"/>
        <w:ind w:left="-105" w:right="-105" w:firstLine="480"/>
        <w:jc w:val="both"/>
        <w:rPr>
          <w:rFonts w:ascii="Times New Roman" w:hAnsi="Times New Roman" w:cs="Times New Roman"/>
          <w:color w:val="auto"/>
          <w:highlight w:val="none"/>
        </w:rPr>
      </w:pPr>
      <w:r>
        <w:rPr>
          <w:rFonts w:ascii="Times New Roman" w:hAnsi="Times New Roman" w:cs="Times New Roman"/>
          <w:color w:val="auto"/>
          <w:highlight w:val="none"/>
        </w:rPr>
        <w:t>区域地下水大量开采的结果使地下水位下降，已引发了城区不同程度的地面沉降、地裂缝灾害。</w:t>
      </w:r>
    </w:p>
    <w:p w14:paraId="091B679E">
      <w:pPr>
        <w:numPr>
          <w:ilvl w:val="0"/>
          <w:numId w:val="29"/>
        </w:numPr>
        <w:spacing w:line="360" w:lineRule="auto"/>
        <w:ind w:left="-105" w:right="-105" w:firstLine="480"/>
        <w:jc w:val="both"/>
        <w:rPr>
          <w:rFonts w:ascii="Times New Roman" w:hAnsi="Times New Roman" w:cs="Times New Roman"/>
          <w:color w:val="auto"/>
          <w:highlight w:val="none"/>
        </w:rPr>
      </w:pPr>
      <w:r>
        <w:rPr>
          <w:rFonts w:ascii="Times New Roman" w:hAnsi="Times New Roman" w:cs="Times New Roman"/>
          <w:color w:val="auto"/>
          <w:highlight w:val="none"/>
        </w:rPr>
        <w:t>地面沉降</w:t>
      </w:r>
    </w:p>
    <w:p w14:paraId="141720C2">
      <w:pPr>
        <w:spacing w:line="360" w:lineRule="auto"/>
        <w:ind w:left="-105" w:right="-105" w:firstLine="480"/>
        <w:jc w:val="both"/>
        <w:rPr>
          <w:rFonts w:ascii="Times New Roman" w:hAnsi="Times New Roman" w:cs="Times New Roman"/>
          <w:color w:val="auto"/>
          <w:highlight w:val="none"/>
        </w:rPr>
      </w:pPr>
      <w:r>
        <w:rPr>
          <w:rFonts w:ascii="Times New Roman" w:hAnsi="Times New Roman" w:cs="Times New Roman"/>
          <w:color w:val="auto"/>
          <w:highlight w:val="none"/>
        </w:rPr>
        <w:t>无锡地面沉降始于上世纪七十年代初期，先发生于无锡城区，八十年代后扩展至外围乡镇地区。在1980～2000年之间的20年中，由于地下水开采井和开采量逐年骤增，导致Ⅱ承压水位持续性大幅度下降，地面沉降也随之快速发展。城区运河以北，东亭以西和锡西石塘湾、洛社、前洲、杨市、玉祁、堰桥等乡镇片累计地面沉降量多已超过1000mm，成为苏锡常地区地面沉降最为严重的地段，为典型的地面沉降重灾区。2000年以后，随着地下水禁采计划的实施完成，已显示出了良好的环境效应，不仅地下水位开始了普遍回升，地面沉降也明显趋向缓和，2004～2005年监测数据反映，地面沉降最严重的锡西地段，年沉降速率已减缓至10～20mm/a，至2013年，年沉降速率小于10mm/a，地面沉降明显减缓。沉降速率随着深层地下水禁采时间的延续而逐步减小。无锡市地面沉降形态为一个呈北西-南东向的不规则大漏斗，其漏斗中心在北部国棉三厂和国棉五厂，漏斗向北、北西展开，向南和南东紧收。主要沉降区的总沉降量已超过800mm，次要沉降区的总沉降量平均在400～600mm，相对稳定区的总沉降量一般小于100mm。由于存在滞后性，地面沉降还可能会延续一段时间，但随着时间的推移，地面沉降速率必将进一步减小。</w:t>
      </w:r>
    </w:p>
    <w:p w14:paraId="24E02D3A">
      <w:pPr>
        <w:spacing w:line="360" w:lineRule="auto"/>
        <w:ind w:left="-105" w:right="-105" w:firstLine="480"/>
        <w:jc w:val="both"/>
        <w:rPr>
          <w:rFonts w:ascii="Times New Roman" w:hAnsi="Times New Roman" w:cs="Times New Roman"/>
          <w:color w:val="auto"/>
          <w:highlight w:val="none"/>
        </w:rPr>
      </w:pPr>
      <w:r>
        <w:rPr>
          <w:rFonts w:ascii="Times New Roman" w:hAnsi="Times New Roman" w:cs="Times New Roman"/>
          <w:color w:val="auto"/>
          <w:highlight w:val="none"/>
        </w:rPr>
        <w:t>地下水过量开采导致地下水水位持续下降，是造成无锡地区地面沉降的主要原因。在无锡地区地下水主要开采层（深层承压水）之上普遍发育软土层，它们具有含水量高、孔隙比大、压缩性高、渗透性较差等共同特点。在长期超量开采地下水的条件下，承压含水层水位降低，上覆高压缩软土层中孔隙水压力相应下降土体内有效应力增加，从而产生压密固结作用，即压缩变形。其变形量与土层厚度有关，厚度越大，变形越大地面沉降也越大。</w:t>
      </w:r>
    </w:p>
    <w:p w14:paraId="3FAB6DCE">
      <w:pPr>
        <w:spacing w:line="360" w:lineRule="auto"/>
        <w:ind w:left="-105" w:right="-105" w:firstLine="480"/>
        <w:jc w:val="both"/>
        <w:rPr>
          <w:rFonts w:ascii="Times New Roman" w:hAnsi="Times New Roman" w:cs="Times New Roman"/>
          <w:color w:val="auto"/>
          <w:highlight w:val="none"/>
        </w:rPr>
      </w:pPr>
      <w:r>
        <w:rPr>
          <w:rFonts w:ascii="Times New Roman" w:hAnsi="Times New Roman" w:cs="Times New Roman"/>
          <w:color w:val="auto"/>
          <w:highlight w:val="none"/>
        </w:rPr>
        <w:t>根据各分层标监测数据确定第Ⅱ承压含水层及以上层位是无锡地区地面沉降的主要层位。根据无锡前洲分层标数据，地面沉降主要发生在第Ⅱ承压含水层及其顶板弱透水层。2003年到2008年间，累计沉降89.1mm，其中第Ⅱ承压含水层砂层压缩49.6mm，隔水顶板压缩达27.8mm，浅部地层固结压缩11.7mm。沉降速率从2000年的大于50mm/a逐步下降到2008年的5.3mm/a，每年平均减小幅度达5mm，且在地层中的分布比较均匀，体现了由浅至深地层固结动态的一致性。因此，在深部含水层禁采后，深部地面沉降得到控制，浅部地面沉降需要关注。</w:t>
      </w:r>
    </w:p>
    <w:p w14:paraId="2D688C53">
      <w:pPr>
        <w:spacing w:line="360" w:lineRule="auto"/>
        <w:ind w:left="-105" w:right="-105" w:firstLine="480"/>
        <w:jc w:val="both"/>
        <w:rPr>
          <w:rFonts w:ascii="Times New Roman" w:hAnsi="Times New Roman" w:cs="Times New Roman"/>
          <w:color w:val="auto"/>
          <w:highlight w:val="none"/>
        </w:rPr>
      </w:pPr>
      <w:r>
        <w:rPr>
          <w:rFonts w:ascii="Times New Roman" w:hAnsi="Times New Roman" w:cs="Times New Roman"/>
          <w:color w:val="auto"/>
          <w:highlight w:val="none"/>
        </w:rPr>
        <w:t>地面沉降量的大小受水文地质条件、高压塑软土层的岩性、结构特征、厚度大小及空间分布规律等因素制约，但其主导因素是开采量和水位。苏锡常地区深层地下水禁采以来，凡是地下水位回升地区，地面沉降均出现不同程度减弱甚至是停止。区域地下水位普遍上升，沉降速率明显降低，特别是水位快速回升地区和水位埋深小于20~30m的地区，沉降速率变得很小，部分达到禁采前沉降量的5%~10%。随着深层地下水的继续禁采，水位持续回升，地面沉降速率也将进一步减缓。</w:t>
      </w:r>
    </w:p>
    <w:p w14:paraId="12904590">
      <w:pPr>
        <w:spacing w:line="360" w:lineRule="auto"/>
        <w:ind w:left="-105" w:right="-105" w:firstLine="480"/>
        <w:jc w:val="both"/>
        <w:rPr>
          <w:rFonts w:ascii="Times New Roman" w:hAnsi="Times New Roman" w:cs="Times New Roman"/>
          <w:color w:val="auto"/>
          <w:highlight w:val="none"/>
        </w:rPr>
      </w:pPr>
      <w:r>
        <w:rPr>
          <w:rFonts w:ascii="Times New Roman" w:hAnsi="Times New Roman" w:cs="Times New Roman"/>
          <w:color w:val="auto"/>
          <w:highlight w:val="none"/>
        </w:rPr>
        <w:t>（2）地裂缝</w:t>
      </w:r>
    </w:p>
    <w:p w14:paraId="0458C6A1">
      <w:pPr>
        <w:spacing w:line="360" w:lineRule="auto"/>
        <w:ind w:left="-105" w:right="-105" w:firstLine="480"/>
        <w:jc w:val="both"/>
        <w:rPr>
          <w:rFonts w:ascii="Times New Roman" w:hAnsi="Times New Roman" w:cs="Times New Roman"/>
          <w:color w:val="auto"/>
          <w:highlight w:val="none"/>
        </w:rPr>
      </w:pPr>
      <w:r>
        <w:rPr>
          <w:rFonts w:ascii="Times New Roman" w:hAnsi="Times New Roman" w:cs="Times New Roman"/>
          <w:color w:val="auto"/>
          <w:highlight w:val="none"/>
        </w:rPr>
        <w:t>地裂缝灾害出现于二十世纪九十年代，无锡市区内已发现的灾害点共七处，均分布在评估区外围。已发现的所有地裂缝地质灾害，每处地裂缝带中都反映特定的方向，断续延伸。地裂缝密集组成带状展布，裂缝带的宽度一般都在30~100m，长度可达200~500m，个别达1000m以上，地裂缝带中往往有一条主裂缝和多条分布其两侧的次级裂缝，裂缝发育数量和严重程度随着与主裂缝之间距离的增大而逐渐减轻。</w:t>
      </w:r>
    </w:p>
    <w:p w14:paraId="355C9E0F">
      <w:pPr>
        <w:pStyle w:val="5"/>
        <w:keepLines w:val="0"/>
        <w:numPr>
          <w:ilvl w:val="0"/>
          <w:numId w:val="0"/>
        </w:numPr>
        <w:tabs>
          <w:tab w:val="left" w:pos="-568"/>
          <w:tab w:val="left" w:pos="0"/>
          <w:tab w:val="left" w:pos="567"/>
          <w:tab w:val="left" w:pos="709"/>
        </w:tabs>
        <w:spacing w:before="120" w:beforeLines="50" w:after="120" w:afterLines="50" w:line="360" w:lineRule="auto"/>
        <w:ind w:right="-105"/>
        <w:rPr>
          <w:rFonts w:eastAsia="宋体"/>
          <w:color w:val="auto"/>
          <w:sz w:val="28"/>
          <w:szCs w:val="28"/>
          <w:highlight w:val="none"/>
        </w:rPr>
      </w:pPr>
      <w:r>
        <w:rPr>
          <w:rFonts w:eastAsia="宋体"/>
          <w:color w:val="auto"/>
          <w:sz w:val="28"/>
          <w:szCs w:val="28"/>
          <w:highlight w:val="none"/>
        </w:rPr>
        <w:t>5.1.</w:t>
      </w:r>
      <w:r>
        <w:rPr>
          <w:rFonts w:hint="eastAsia" w:eastAsia="宋体"/>
          <w:color w:val="auto"/>
          <w:sz w:val="28"/>
          <w:szCs w:val="28"/>
          <w:highlight w:val="none"/>
        </w:rPr>
        <w:t>5</w:t>
      </w:r>
      <w:r>
        <w:rPr>
          <w:rFonts w:eastAsia="宋体"/>
          <w:color w:val="auto"/>
          <w:sz w:val="28"/>
          <w:szCs w:val="28"/>
          <w:highlight w:val="none"/>
        </w:rPr>
        <w:t>气象气候</w:t>
      </w:r>
      <w:bookmarkEnd w:id="304"/>
      <w:bookmarkEnd w:id="305"/>
      <w:bookmarkEnd w:id="306"/>
    </w:p>
    <w:p w14:paraId="206F190A">
      <w:pPr>
        <w:spacing w:line="360" w:lineRule="auto"/>
        <w:ind w:left="-105" w:right="-105" w:firstLine="480"/>
        <w:rPr>
          <w:rFonts w:ascii="Times New Roman" w:hAnsi="Times New Roman"/>
          <w:color w:val="auto"/>
          <w:highlight w:val="none"/>
        </w:rPr>
      </w:pPr>
      <w:bookmarkStart w:id="307" w:name="_Toc89780158"/>
      <w:r>
        <w:rPr>
          <w:rFonts w:hint="eastAsia" w:ascii="Times New Roman" w:hAnsi="Times New Roman"/>
          <w:color w:val="auto"/>
          <w:highlight w:val="none"/>
        </w:rPr>
        <w:t>无锡市所在地处于中纬度，春夏多东南风，秋冬多西北风。该地区四季分明，寒暑变化显著，冬夏季较长，春秋季较短，属北亚热带湿润性季风气候。一般冬季在冷空气的控制下，以干燥、寒冷、晴天天气为主，盛行偏北风；夏季常在低气压的控制下，温度高、湿度大，会出现大暴雨，盛行东南风。</w:t>
      </w:r>
      <w:r>
        <w:rPr>
          <w:rFonts w:ascii="Times New Roman" w:hAnsi="Times New Roman"/>
          <w:color w:val="auto"/>
          <w:highlight w:val="none"/>
        </w:rPr>
        <w:t>气象特征见</w:t>
      </w:r>
      <w:r>
        <w:rPr>
          <w:rFonts w:ascii="Times New Roman" w:hAnsi="Times New Roman"/>
          <w:color w:val="auto"/>
          <w:highlight w:val="none"/>
        </w:rPr>
        <w:fldChar w:fldCharType="begin"/>
      </w:r>
      <w:r>
        <w:rPr>
          <w:rFonts w:ascii="Times New Roman" w:hAnsi="Times New Roman"/>
          <w:color w:val="auto"/>
          <w:highlight w:val="none"/>
        </w:rPr>
        <w:instrText xml:space="preserve"> REF _Ref40984806 \h  \* MERGEFORMAT </w:instrText>
      </w:r>
      <w:r>
        <w:rPr>
          <w:rFonts w:ascii="Times New Roman" w:hAnsi="Times New Roman"/>
          <w:color w:val="auto"/>
          <w:highlight w:val="none"/>
        </w:rPr>
        <w:fldChar w:fldCharType="separate"/>
      </w:r>
      <w:r>
        <w:rPr>
          <w:rFonts w:ascii="Times New Roman" w:hAnsi="Times New Roman"/>
          <w:color w:val="auto"/>
          <w:szCs w:val="22"/>
          <w:highlight w:val="none"/>
        </w:rPr>
        <w:t>表5.1</w:t>
      </w:r>
      <w:r>
        <w:rPr>
          <w:rFonts w:ascii="Times New Roman" w:hAnsi="Times New Roman"/>
          <w:color w:val="auto"/>
          <w:szCs w:val="22"/>
          <w:highlight w:val="none"/>
        </w:rPr>
        <w:noBreakHyphen/>
      </w:r>
      <w:r>
        <w:rPr>
          <w:rFonts w:ascii="Times New Roman" w:hAnsi="Times New Roman"/>
          <w:color w:val="auto"/>
          <w:szCs w:val="22"/>
          <w:highlight w:val="none"/>
        </w:rPr>
        <w:t>1</w:t>
      </w:r>
      <w:r>
        <w:rPr>
          <w:rFonts w:ascii="Times New Roman" w:hAnsi="Times New Roman"/>
          <w:color w:val="auto"/>
          <w:highlight w:val="none"/>
        </w:rPr>
        <w:fldChar w:fldCharType="end"/>
      </w:r>
      <w:r>
        <w:rPr>
          <w:rFonts w:ascii="Times New Roman" w:hAnsi="Times New Roman"/>
          <w:color w:val="auto"/>
          <w:highlight w:val="none"/>
        </w:rPr>
        <w:t>。</w:t>
      </w:r>
    </w:p>
    <w:p w14:paraId="00B6387E">
      <w:pPr>
        <w:pStyle w:val="15"/>
        <w:spacing w:line="360" w:lineRule="auto"/>
        <w:ind w:left="-105" w:right="-105" w:firstLine="482"/>
        <w:rPr>
          <w:rFonts w:eastAsia="宋体" w:cs="Times New Roman"/>
          <w:color w:val="auto"/>
          <w:kern w:val="0"/>
          <w:sz w:val="24"/>
          <w:szCs w:val="24"/>
          <w:highlight w:val="none"/>
        </w:rPr>
      </w:pPr>
      <w:bookmarkStart w:id="308" w:name="_Ref40984806"/>
      <w:r>
        <w:rPr>
          <w:rFonts w:eastAsia="宋体" w:cs="Times New Roman"/>
          <w:color w:val="auto"/>
          <w:sz w:val="24"/>
          <w:szCs w:val="18"/>
          <w:highlight w:val="none"/>
        </w:rPr>
        <w:t>表</w:t>
      </w:r>
      <w:r>
        <w:rPr>
          <w:rFonts w:eastAsia="宋体" w:cs="Times New Roman"/>
          <w:color w:val="auto"/>
          <w:sz w:val="24"/>
          <w:szCs w:val="18"/>
          <w:highlight w:val="none"/>
        </w:rPr>
        <w:fldChar w:fldCharType="begin"/>
      </w:r>
      <w:r>
        <w:rPr>
          <w:rFonts w:eastAsia="宋体" w:cs="Times New Roman"/>
          <w:color w:val="auto"/>
          <w:sz w:val="24"/>
          <w:szCs w:val="18"/>
          <w:highlight w:val="none"/>
        </w:rPr>
        <w:instrText xml:space="preserve"> STYLEREF 2 \s </w:instrText>
      </w:r>
      <w:r>
        <w:rPr>
          <w:rFonts w:eastAsia="宋体" w:cs="Times New Roman"/>
          <w:color w:val="auto"/>
          <w:sz w:val="24"/>
          <w:szCs w:val="18"/>
          <w:highlight w:val="none"/>
        </w:rPr>
        <w:fldChar w:fldCharType="separate"/>
      </w:r>
      <w:r>
        <w:rPr>
          <w:rFonts w:eastAsia="宋体" w:cs="Times New Roman"/>
          <w:color w:val="auto"/>
          <w:sz w:val="24"/>
          <w:szCs w:val="18"/>
          <w:highlight w:val="none"/>
        </w:rPr>
        <w:t>5.1</w:t>
      </w:r>
      <w:r>
        <w:rPr>
          <w:rFonts w:eastAsia="宋体" w:cs="Times New Roman"/>
          <w:color w:val="auto"/>
          <w:sz w:val="24"/>
          <w:szCs w:val="18"/>
          <w:highlight w:val="none"/>
        </w:rPr>
        <w:fldChar w:fldCharType="end"/>
      </w:r>
      <w:r>
        <w:rPr>
          <w:rFonts w:eastAsia="宋体" w:cs="Times New Roman"/>
          <w:color w:val="auto"/>
          <w:sz w:val="24"/>
          <w:szCs w:val="18"/>
          <w:highlight w:val="none"/>
        </w:rPr>
        <w:noBreakHyphen/>
      </w:r>
      <w:r>
        <w:rPr>
          <w:rFonts w:eastAsia="宋体" w:cs="Times New Roman"/>
          <w:color w:val="auto"/>
          <w:sz w:val="24"/>
          <w:szCs w:val="18"/>
          <w:highlight w:val="none"/>
        </w:rPr>
        <w:fldChar w:fldCharType="begin"/>
      </w:r>
      <w:r>
        <w:rPr>
          <w:rFonts w:eastAsia="宋体" w:cs="Times New Roman"/>
          <w:color w:val="auto"/>
          <w:sz w:val="24"/>
          <w:szCs w:val="18"/>
          <w:highlight w:val="none"/>
        </w:rPr>
        <w:instrText xml:space="preserve"> SEQ 表 \* ARABIC \s 2 </w:instrText>
      </w:r>
      <w:r>
        <w:rPr>
          <w:rFonts w:eastAsia="宋体" w:cs="Times New Roman"/>
          <w:color w:val="auto"/>
          <w:sz w:val="24"/>
          <w:szCs w:val="18"/>
          <w:highlight w:val="none"/>
        </w:rPr>
        <w:fldChar w:fldCharType="separate"/>
      </w:r>
      <w:r>
        <w:rPr>
          <w:rFonts w:eastAsia="宋体" w:cs="Times New Roman"/>
          <w:color w:val="auto"/>
          <w:sz w:val="24"/>
          <w:szCs w:val="18"/>
          <w:highlight w:val="none"/>
        </w:rPr>
        <w:t>1</w:t>
      </w:r>
      <w:r>
        <w:rPr>
          <w:rFonts w:eastAsia="宋体" w:cs="Times New Roman"/>
          <w:color w:val="auto"/>
          <w:sz w:val="24"/>
          <w:szCs w:val="18"/>
          <w:highlight w:val="none"/>
        </w:rPr>
        <w:fldChar w:fldCharType="end"/>
      </w:r>
      <w:bookmarkEnd w:id="308"/>
      <w:r>
        <w:rPr>
          <w:rFonts w:hint="eastAsia" w:eastAsia="宋体" w:cs="Times New Roman"/>
          <w:color w:val="auto"/>
          <w:sz w:val="24"/>
          <w:szCs w:val="18"/>
          <w:highlight w:val="none"/>
        </w:rPr>
        <w:t>无锡市</w:t>
      </w:r>
      <w:r>
        <w:rPr>
          <w:rFonts w:eastAsia="宋体" w:cs="Times New Roman"/>
          <w:color w:val="auto"/>
          <w:kern w:val="0"/>
          <w:sz w:val="24"/>
          <w:szCs w:val="24"/>
          <w:highlight w:val="none"/>
        </w:rPr>
        <w:t>主要气象特征表</w:t>
      </w:r>
    </w:p>
    <w:tbl>
      <w:tblPr>
        <w:tblStyle w:val="45"/>
        <w:tblW w:w="8573" w:type="dxa"/>
        <w:jc w:val="center"/>
        <w:tblBorders>
          <w:top w:val="single" w:color="auto" w:sz="12" w:space="0"/>
          <w:left w:val="none" w:color="auto" w:sz="0" w:space="0"/>
          <w:bottom w:val="single" w:color="auto" w:sz="12" w:space="0"/>
          <w:right w:val="none" w:color="auto" w:sz="0" w:space="0"/>
          <w:insideH w:val="single" w:color="auto" w:sz="12" w:space="0"/>
          <w:insideV w:val="single" w:color="auto" w:sz="12" w:space="0"/>
        </w:tblBorders>
        <w:tblLayout w:type="fixed"/>
        <w:tblCellMar>
          <w:top w:w="0" w:type="dxa"/>
          <w:left w:w="0" w:type="dxa"/>
          <w:bottom w:w="0" w:type="dxa"/>
          <w:right w:w="0" w:type="dxa"/>
        </w:tblCellMar>
      </w:tblPr>
      <w:tblGrid>
        <w:gridCol w:w="953"/>
        <w:gridCol w:w="1541"/>
        <w:gridCol w:w="2992"/>
        <w:gridCol w:w="3087"/>
      </w:tblGrid>
      <w:tr w14:paraId="7F919A5C">
        <w:tblPrEx>
          <w:tblBorders>
            <w:top w:val="single" w:color="auto" w:sz="12" w:space="0"/>
            <w:left w:val="none" w:color="auto" w:sz="0" w:space="0"/>
            <w:bottom w:val="single" w:color="auto" w:sz="12" w:space="0"/>
            <w:right w:val="none" w:color="auto" w:sz="0" w:space="0"/>
            <w:insideH w:val="single" w:color="auto" w:sz="12" w:space="0"/>
            <w:insideV w:val="single" w:color="auto" w:sz="12" w:space="0"/>
          </w:tblBorders>
          <w:tblCellMar>
            <w:top w:w="0" w:type="dxa"/>
            <w:left w:w="0" w:type="dxa"/>
            <w:bottom w:w="0" w:type="dxa"/>
            <w:right w:w="0" w:type="dxa"/>
          </w:tblCellMar>
        </w:tblPrEx>
        <w:trPr>
          <w:trHeight w:val="340" w:hRule="atLeast"/>
          <w:jc w:val="center"/>
        </w:trPr>
        <w:tc>
          <w:tcPr>
            <w:tcW w:w="953" w:type="dxa"/>
            <w:tcBorders>
              <w:top w:val="single" w:color="auto" w:sz="12" w:space="0"/>
              <w:left w:val="nil"/>
              <w:bottom w:val="single" w:color="auto" w:sz="2" w:space="0"/>
              <w:right w:val="single" w:color="auto" w:sz="2" w:space="0"/>
            </w:tcBorders>
            <w:vAlign w:val="center"/>
          </w:tcPr>
          <w:p w14:paraId="6E5043BE">
            <w:pPr>
              <w:widowControl w:val="0"/>
              <w:adjustRightInd w:val="0"/>
              <w:snapToGrid w:val="0"/>
              <w:spacing w:line="216" w:lineRule="auto"/>
              <w:ind w:left="-105" w:right="-105"/>
              <w:jc w:val="center"/>
              <w:rPr>
                <w:rFonts w:ascii="Times New Roman" w:hAnsi="Times New Roman" w:cs="Times New Roman"/>
                <w:b/>
                <w:color w:val="auto"/>
                <w:sz w:val="21"/>
                <w:szCs w:val="21"/>
                <w:highlight w:val="none"/>
              </w:rPr>
            </w:pPr>
            <w:r>
              <w:rPr>
                <w:rFonts w:ascii="Times New Roman" w:hAnsi="Times New Roman" w:cs="Times New Roman"/>
                <w:b/>
                <w:color w:val="auto"/>
                <w:sz w:val="21"/>
                <w:szCs w:val="21"/>
                <w:highlight w:val="none"/>
              </w:rPr>
              <w:t>编号</w:t>
            </w:r>
          </w:p>
        </w:tc>
        <w:tc>
          <w:tcPr>
            <w:tcW w:w="4533" w:type="dxa"/>
            <w:gridSpan w:val="2"/>
            <w:tcBorders>
              <w:top w:val="single" w:color="auto" w:sz="12" w:space="0"/>
              <w:left w:val="single" w:color="auto" w:sz="2" w:space="0"/>
              <w:bottom w:val="single" w:color="auto" w:sz="2" w:space="0"/>
              <w:right w:val="single" w:color="auto" w:sz="2" w:space="0"/>
            </w:tcBorders>
            <w:vAlign w:val="center"/>
          </w:tcPr>
          <w:p w14:paraId="4DE751AA">
            <w:pPr>
              <w:widowControl w:val="0"/>
              <w:adjustRightInd w:val="0"/>
              <w:snapToGrid w:val="0"/>
              <w:spacing w:line="216" w:lineRule="auto"/>
              <w:ind w:left="-105" w:right="-105"/>
              <w:jc w:val="center"/>
              <w:rPr>
                <w:rFonts w:ascii="Times New Roman" w:hAnsi="Times New Roman" w:cs="Times New Roman"/>
                <w:b/>
                <w:color w:val="auto"/>
                <w:sz w:val="21"/>
                <w:szCs w:val="21"/>
                <w:highlight w:val="none"/>
              </w:rPr>
            </w:pPr>
            <w:r>
              <w:rPr>
                <w:rFonts w:ascii="Times New Roman" w:hAnsi="Times New Roman" w:cs="Times New Roman"/>
                <w:b/>
                <w:color w:val="auto"/>
                <w:sz w:val="21"/>
                <w:szCs w:val="21"/>
                <w:highlight w:val="none"/>
              </w:rPr>
              <w:t>项目</w:t>
            </w:r>
          </w:p>
        </w:tc>
        <w:tc>
          <w:tcPr>
            <w:tcW w:w="3087" w:type="dxa"/>
            <w:tcBorders>
              <w:top w:val="single" w:color="auto" w:sz="12" w:space="0"/>
              <w:left w:val="single" w:color="auto" w:sz="2" w:space="0"/>
              <w:bottom w:val="single" w:color="auto" w:sz="2" w:space="0"/>
              <w:right w:val="nil"/>
            </w:tcBorders>
            <w:vAlign w:val="center"/>
          </w:tcPr>
          <w:p w14:paraId="199B774B">
            <w:pPr>
              <w:widowControl w:val="0"/>
              <w:adjustRightInd w:val="0"/>
              <w:snapToGrid w:val="0"/>
              <w:spacing w:line="216" w:lineRule="auto"/>
              <w:ind w:left="-105" w:right="-105"/>
              <w:jc w:val="center"/>
              <w:rPr>
                <w:rFonts w:ascii="Times New Roman" w:hAnsi="Times New Roman" w:cs="Times New Roman"/>
                <w:b/>
                <w:color w:val="auto"/>
                <w:sz w:val="21"/>
                <w:szCs w:val="21"/>
                <w:highlight w:val="none"/>
              </w:rPr>
            </w:pPr>
            <w:r>
              <w:rPr>
                <w:rFonts w:ascii="Times New Roman" w:hAnsi="Times New Roman" w:cs="Times New Roman"/>
                <w:b/>
                <w:color w:val="auto"/>
                <w:sz w:val="21"/>
                <w:szCs w:val="21"/>
                <w:highlight w:val="none"/>
              </w:rPr>
              <w:t>数值及单位</w:t>
            </w:r>
          </w:p>
        </w:tc>
      </w:tr>
      <w:tr w14:paraId="4DED2D4B">
        <w:tblPrEx>
          <w:tblBorders>
            <w:top w:val="single" w:color="auto" w:sz="12" w:space="0"/>
            <w:left w:val="none" w:color="auto" w:sz="0" w:space="0"/>
            <w:bottom w:val="single" w:color="auto" w:sz="12" w:space="0"/>
            <w:right w:val="none" w:color="auto" w:sz="0" w:space="0"/>
            <w:insideH w:val="single" w:color="auto" w:sz="12" w:space="0"/>
            <w:insideV w:val="single" w:color="auto" w:sz="12" w:space="0"/>
          </w:tblBorders>
          <w:tblCellMar>
            <w:top w:w="0" w:type="dxa"/>
            <w:left w:w="0" w:type="dxa"/>
            <w:bottom w:w="0" w:type="dxa"/>
            <w:right w:w="0" w:type="dxa"/>
          </w:tblCellMar>
        </w:tblPrEx>
        <w:trPr>
          <w:trHeight w:val="340" w:hRule="atLeast"/>
          <w:jc w:val="center"/>
        </w:trPr>
        <w:tc>
          <w:tcPr>
            <w:tcW w:w="953" w:type="dxa"/>
            <w:vMerge w:val="restart"/>
            <w:tcBorders>
              <w:top w:val="single" w:color="auto" w:sz="2" w:space="0"/>
              <w:left w:val="nil"/>
              <w:bottom w:val="single" w:color="auto" w:sz="4" w:space="0"/>
              <w:right w:val="single" w:color="auto" w:sz="4" w:space="0"/>
            </w:tcBorders>
            <w:vAlign w:val="center"/>
          </w:tcPr>
          <w:p w14:paraId="50F8BD3E">
            <w:pPr>
              <w:widowControl w:val="0"/>
              <w:adjustRightInd w:val="0"/>
              <w:snapToGrid w:val="0"/>
              <w:spacing w:line="216" w:lineRule="auto"/>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1</w:t>
            </w:r>
          </w:p>
        </w:tc>
        <w:tc>
          <w:tcPr>
            <w:tcW w:w="1541" w:type="dxa"/>
            <w:vMerge w:val="restart"/>
            <w:tcBorders>
              <w:top w:val="single" w:color="auto" w:sz="2" w:space="0"/>
              <w:left w:val="single" w:color="auto" w:sz="4" w:space="0"/>
              <w:bottom w:val="single" w:color="auto" w:sz="4" w:space="0"/>
              <w:right w:val="single" w:color="auto" w:sz="4" w:space="0"/>
            </w:tcBorders>
            <w:vAlign w:val="center"/>
          </w:tcPr>
          <w:p w14:paraId="6817C48B">
            <w:pPr>
              <w:widowControl w:val="0"/>
              <w:adjustRightInd w:val="0"/>
              <w:snapToGrid w:val="0"/>
              <w:spacing w:line="216" w:lineRule="auto"/>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气温</w:t>
            </w:r>
          </w:p>
        </w:tc>
        <w:tc>
          <w:tcPr>
            <w:tcW w:w="2992" w:type="dxa"/>
            <w:tcBorders>
              <w:top w:val="single" w:color="auto" w:sz="2" w:space="0"/>
              <w:left w:val="single" w:color="auto" w:sz="4" w:space="0"/>
              <w:bottom w:val="single" w:color="auto" w:sz="4" w:space="0"/>
              <w:right w:val="single" w:color="auto" w:sz="4" w:space="0"/>
            </w:tcBorders>
            <w:vAlign w:val="center"/>
          </w:tcPr>
          <w:p w14:paraId="1228E1AD">
            <w:pPr>
              <w:widowControl w:val="0"/>
              <w:adjustRightInd w:val="0"/>
              <w:snapToGrid w:val="0"/>
              <w:spacing w:line="216" w:lineRule="auto"/>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年平均气温</w:t>
            </w:r>
          </w:p>
        </w:tc>
        <w:tc>
          <w:tcPr>
            <w:tcW w:w="3087" w:type="dxa"/>
            <w:tcBorders>
              <w:top w:val="single" w:color="auto" w:sz="2" w:space="0"/>
              <w:left w:val="single" w:color="auto" w:sz="4" w:space="0"/>
              <w:bottom w:val="single" w:color="auto" w:sz="4" w:space="0"/>
              <w:right w:val="nil"/>
            </w:tcBorders>
            <w:vAlign w:val="center"/>
          </w:tcPr>
          <w:p w14:paraId="07DF5EE8">
            <w:pPr>
              <w:widowControl w:val="0"/>
              <w:adjustRightInd w:val="0"/>
              <w:snapToGrid w:val="0"/>
              <w:spacing w:line="216" w:lineRule="auto"/>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15.6ºC</w:t>
            </w:r>
          </w:p>
        </w:tc>
      </w:tr>
      <w:tr w14:paraId="2DCF153C">
        <w:tblPrEx>
          <w:tblBorders>
            <w:top w:val="single" w:color="auto" w:sz="12" w:space="0"/>
            <w:left w:val="none" w:color="auto" w:sz="0" w:space="0"/>
            <w:bottom w:val="single" w:color="auto" w:sz="12" w:space="0"/>
            <w:right w:val="none" w:color="auto" w:sz="0" w:space="0"/>
            <w:insideH w:val="single" w:color="auto" w:sz="12" w:space="0"/>
            <w:insideV w:val="single" w:color="auto" w:sz="12" w:space="0"/>
          </w:tblBorders>
          <w:tblCellMar>
            <w:top w:w="0" w:type="dxa"/>
            <w:left w:w="0" w:type="dxa"/>
            <w:bottom w:w="0" w:type="dxa"/>
            <w:right w:w="0" w:type="dxa"/>
          </w:tblCellMar>
        </w:tblPrEx>
        <w:trPr>
          <w:trHeight w:val="340" w:hRule="atLeast"/>
          <w:jc w:val="center"/>
        </w:trPr>
        <w:tc>
          <w:tcPr>
            <w:tcW w:w="953" w:type="dxa"/>
            <w:vMerge w:val="continue"/>
            <w:tcBorders>
              <w:top w:val="single" w:color="auto" w:sz="4" w:space="0"/>
              <w:left w:val="nil"/>
              <w:bottom w:val="single" w:color="auto" w:sz="4" w:space="0"/>
              <w:right w:val="single" w:color="auto" w:sz="4" w:space="0"/>
            </w:tcBorders>
            <w:vAlign w:val="center"/>
          </w:tcPr>
          <w:p w14:paraId="585E4717">
            <w:pPr>
              <w:widowControl w:val="0"/>
              <w:adjustRightInd w:val="0"/>
              <w:snapToGrid w:val="0"/>
              <w:spacing w:line="216" w:lineRule="auto"/>
              <w:ind w:left="-105" w:right="-105"/>
              <w:jc w:val="center"/>
              <w:rPr>
                <w:rFonts w:ascii="Times New Roman" w:hAnsi="Times New Roman" w:cs="Times New Roman"/>
                <w:color w:val="auto"/>
                <w:sz w:val="21"/>
                <w:szCs w:val="21"/>
                <w:highlight w:val="none"/>
              </w:rPr>
            </w:pPr>
          </w:p>
        </w:tc>
        <w:tc>
          <w:tcPr>
            <w:tcW w:w="1541" w:type="dxa"/>
            <w:vMerge w:val="continue"/>
            <w:tcBorders>
              <w:top w:val="single" w:color="auto" w:sz="4" w:space="0"/>
              <w:left w:val="single" w:color="auto" w:sz="4" w:space="0"/>
              <w:bottom w:val="single" w:color="auto" w:sz="4" w:space="0"/>
              <w:right w:val="single" w:color="auto" w:sz="4" w:space="0"/>
            </w:tcBorders>
            <w:vAlign w:val="center"/>
          </w:tcPr>
          <w:p w14:paraId="5CD439AE">
            <w:pPr>
              <w:widowControl w:val="0"/>
              <w:adjustRightInd w:val="0"/>
              <w:snapToGrid w:val="0"/>
              <w:spacing w:line="216" w:lineRule="auto"/>
              <w:ind w:left="-105" w:right="-105"/>
              <w:jc w:val="center"/>
              <w:rPr>
                <w:rFonts w:ascii="Times New Roman" w:hAnsi="Times New Roman" w:cs="Times New Roman"/>
                <w:color w:val="auto"/>
                <w:sz w:val="21"/>
                <w:szCs w:val="21"/>
                <w:highlight w:val="none"/>
              </w:rPr>
            </w:pPr>
          </w:p>
        </w:tc>
        <w:tc>
          <w:tcPr>
            <w:tcW w:w="2992" w:type="dxa"/>
            <w:tcBorders>
              <w:top w:val="single" w:color="auto" w:sz="4" w:space="0"/>
              <w:left w:val="single" w:color="auto" w:sz="4" w:space="0"/>
              <w:bottom w:val="single" w:color="auto" w:sz="4" w:space="0"/>
              <w:right w:val="single" w:color="auto" w:sz="4" w:space="0"/>
            </w:tcBorders>
            <w:vAlign w:val="center"/>
          </w:tcPr>
          <w:p w14:paraId="44D3F36A">
            <w:pPr>
              <w:widowControl w:val="0"/>
              <w:adjustRightInd w:val="0"/>
              <w:snapToGrid w:val="0"/>
              <w:spacing w:line="216" w:lineRule="auto"/>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极端最高温度</w:t>
            </w:r>
          </w:p>
        </w:tc>
        <w:tc>
          <w:tcPr>
            <w:tcW w:w="3087" w:type="dxa"/>
            <w:tcBorders>
              <w:top w:val="single" w:color="auto" w:sz="4" w:space="0"/>
              <w:left w:val="single" w:color="auto" w:sz="4" w:space="0"/>
              <w:bottom w:val="single" w:color="auto" w:sz="4" w:space="0"/>
              <w:right w:val="nil"/>
            </w:tcBorders>
            <w:vAlign w:val="center"/>
          </w:tcPr>
          <w:p w14:paraId="4BA6FAB8">
            <w:pPr>
              <w:widowControl w:val="0"/>
              <w:adjustRightInd w:val="0"/>
              <w:snapToGrid w:val="0"/>
              <w:spacing w:line="216" w:lineRule="auto"/>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39.9ºC</w:t>
            </w:r>
          </w:p>
        </w:tc>
      </w:tr>
      <w:tr w14:paraId="0BB35FD4">
        <w:tblPrEx>
          <w:tblBorders>
            <w:top w:val="single" w:color="auto" w:sz="12" w:space="0"/>
            <w:left w:val="none" w:color="auto" w:sz="0" w:space="0"/>
            <w:bottom w:val="single" w:color="auto" w:sz="12" w:space="0"/>
            <w:right w:val="none" w:color="auto" w:sz="0" w:space="0"/>
            <w:insideH w:val="single" w:color="auto" w:sz="12" w:space="0"/>
            <w:insideV w:val="single" w:color="auto" w:sz="12" w:space="0"/>
          </w:tblBorders>
          <w:tblCellMar>
            <w:top w:w="0" w:type="dxa"/>
            <w:left w:w="0" w:type="dxa"/>
            <w:bottom w:w="0" w:type="dxa"/>
            <w:right w:w="0" w:type="dxa"/>
          </w:tblCellMar>
        </w:tblPrEx>
        <w:trPr>
          <w:trHeight w:val="340" w:hRule="atLeast"/>
          <w:jc w:val="center"/>
        </w:trPr>
        <w:tc>
          <w:tcPr>
            <w:tcW w:w="953" w:type="dxa"/>
            <w:vMerge w:val="continue"/>
            <w:tcBorders>
              <w:top w:val="single" w:color="auto" w:sz="4" w:space="0"/>
              <w:left w:val="nil"/>
              <w:bottom w:val="single" w:color="auto" w:sz="4" w:space="0"/>
              <w:right w:val="single" w:color="auto" w:sz="4" w:space="0"/>
            </w:tcBorders>
            <w:vAlign w:val="center"/>
          </w:tcPr>
          <w:p w14:paraId="507E31B6">
            <w:pPr>
              <w:widowControl w:val="0"/>
              <w:adjustRightInd w:val="0"/>
              <w:snapToGrid w:val="0"/>
              <w:spacing w:line="216" w:lineRule="auto"/>
              <w:ind w:left="-105" w:right="-105"/>
              <w:jc w:val="center"/>
              <w:rPr>
                <w:rFonts w:ascii="Times New Roman" w:hAnsi="Times New Roman" w:cs="Times New Roman"/>
                <w:color w:val="auto"/>
                <w:sz w:val="21"/>
                <w:szCs w:val="21"/>
                <w:highlight w:val="none"/>
              </w:rPr>
            </w:pPr>
          </w:p>
        </w:tc>
        <w:tc>
          <w:tcPr>
            <w:tcW w:w="1541" w:type="dxa"/>
            <w:vMerge w:val="continue"/>
            <w:tcBorders>
              <w:top w:val="single" w:color="auto" w:sz="4" w:space="0"/>
              <w:left w:val="single" w:color="auto" w:sz="4" w:space="0"/>
              <w:bottom w:val="single" w:color="auto" w:sz="4" w:space="0"/>
              <w:right w:val="single" w:color="auto" w:sz="4" w:space="0"/>
            </w:tcBorders>
            <w:vAlign w:val="center"/>
          </w:tcPr>
          <w:p w14:paraId="5F6A2E3A">
            <w:pPr>
              <w:widowControl w:val="0"/>
              <w:adjustRightInd w:val="0"/>
              <w:snapToGrid w:val="0"/>
              <w:spacing w:line="216" w:lineRule="auto"/>
              <w:ind w:left="-105" w:right="-105"/>
              <w:jc w:val="center"/>
              <w:rPr>
                <w:rFonts w:ascii="Times New Roman" w:hAnsi="Times New Roman" w:cs="Times New Roman"/>
                <w:color w:val="auto"/>
                <w:sz w:val="21"/>
                <w:szCs w:val="21"/>
                <w:highlight w:val="none"/>
              </w:rPr>
            </w:pPr>
          </w:p>
        </w:tc>
        <w:tc>
          <w:tcPr>
            <w:tcW w:w="2992" w:type="dxa"/>
            <w:tcBorders>
              <w:top w:val="single" w:color="auto" w:sz="4" w:space="0"/>
              <w:left w:val="single" w:color="auto" w:sz="4" w:space="0"/>
              <w:bottom w:val="single" w:color="auto" w:sz="4" w:space="0"/>
              <w:right w:val="single" w:color="auto" w:sz="4" w:space="0"/>
            </w:tcBorders>
            <w:vAlign w:val="center"/>
          </w:tcPr>
          <w:p w14:paraId="206990E5">
            <w:pPr>
              <w:widowControl w:val="0"/>
              <w:adjustRightInd w:val="0"/>
              <w:snapToGrid w:val="0"/>
              <w:spacing w:line="216" w:lineRule="auto"/>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极端最低温度</w:t>
            </w:r>
          </w:p>
        </w:tc>
        <w:tc>
          <w:tcPr>
            <w:tcW w:w="3087" w:type="dxa"/>
            <w:tcBorders>
              <w:top w:val="single" w:color="auto" w:sz="4" w:space="0"/>
              <w:left w:val="single" w:color="auto" w:sz="4" w:space="0"/>
              <w:bottom w:val="single" w:color="auto" w:sz="4" w:space="0"/>
              <w:right w:val="nil"/>
            </w:tcBorders>
            <w:vAlign w:val="center"/>
          </w:tcPr>
          <w:p w14:paraId="72546AF1">
            <w:pPr>
              <w:widowControl w:val="0"/>
              <w:adjustRightInd w:val="0"/>
              <w:snapToGrid w:val="0"/>
              <w:spacing w:line="216" w:lineRule="auto"/>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-12.5ºC</w:t>
            </w:r>
          </w:p>
        </w:tc>
      </w:tr>
      <w:tr w14:paraId="1413825B">
        <w:tblPrEx>
          <w:tblBorders>
            <w:top w:val="single" w:color="auto" w:sz="12" w:space="0"/>
            <w:left w:val="none" w:color="auto" w:sz="0" w:space="0"/>
            <w:bottom w:val="single" w:color="auto" w:sz="12" w:space="0"/>
            <w:right w:val="none" w:color="auto" w:sz="0" w:space="0"/>
            <w:insideH w:val="single" w:color="auto" w:sz="12" w:space="0"/>
            <w:insideV w:val="single" w:color="auto" w:sz="12" w:space="0"/>
          </w:tblBorders>
          <w:tblCellMar>
            <w:top w:w="0" w:type="dxa"/>
            <w:left w:w="0" w:type="dxa"/>
            <w:bottom w:w="0" w:type="dxa"/>
            <w:right w:w="0" w:type="dxa"/>
          </w:tblCellMar>
        </w:tblPrEx>
        <w:trPr>
          <w:trHeight w:val="340" w:hRule="atLeast"/>
          <w:jc w:val="center"/>
        </w:trPr>
        <w:tc>
          <w:tcPr>
            <w:tcW w:w="953" w:type="dxa"/>
            <w:vMerge w:val="continue"/>
            <w:tcBorders>
              <w:top w:val="single" w:color="auto" w:sz="4" w:space="0"/>
              <w:left w:val="nil"/>
              <w:bottom w:val="single" w:color="auto" w:sz="4" w:space="0"/>
              <w:right w:val="single" w:color="auto" w:sz="4" w:space="0"/>
            </w:tcBorders>
            <w:vAlign w:val="center"/>
          </w:tcPr>
          <w:p w14:paraId="728879B4">
            <w:pPr>
              <w:widowControl w:val="0"/>
              <w:adjustRightInd w:val="0"/>
              <w:snapToGrid w:val="0"/>
              <w:spacing w:line="216" w:lineRule="auto"/>
              <w:ind w:left="-105" w:right="-105"/>
              <w:jc w:val="center"/>
              <w:rPr>
                <w:rFonts w:ascii="Times New Roman" w:hAnsi="Times New Roman" w:cs="Times New Roman"/>
                <w:color w:val="auto"/>
                <w:sz w:val="21"/>
                <w:szCs w:val="21"/>
                <w:highlight w:val="none"/>
              </w:rPr>
            </w:pPr>
          </w:p>
        </w:tc>
        <w:tc>
          <w:tcPr>
            <w:tcW w:w="1541" w:type="dxa"/>
            <w:vMerge w:val="continue"/>
            <w:tcBorders>
              <w:top w:val="single" w:color="auto" w:sz="4" w:space="0"/>
              <w:left w:val="single" w:color="auto" w:sz="4" w:space="0"/>
              <w:bottom w:val="single" w:color="auto" w:sz="4" w:space="0"/>
              <w:right w:val="single" w:color="auto" w:sz="4" w:space="0"/>
            </w:tcBorders>
            <w:vAlign w:val="center"/>
          </w:tcPr>
          <w:p w14:paraId="0394F93A">
            <w:pPr>
              <w:widowControl w:val="0"/>
              <w:adjustRightInd w:val="0"/>
              <w:snapToGrid w:val="0"/>
              <w:spacing w:line="216" w:lineRule="auto"/>
              <w:ind w:left="-105" w:right="-105"/>
              <w:jc w:val="center"/>
              <w:rPr>
                <w:rFonts w:ascii="Times New Roman" w:hAnsi="Times New Roman" w:cs="Times New Roman"/>
                <w:color w:val="auto"/>
                <w:sz w:val="21"/>
                <w:szCs w:val="21"/>
                <w:highlight w:val="none"/>
              </w:rPr>
            </w:pPr>
          </w:p>
        </w:tc>
        <w:tc>
          <w:tcPr>
            <w:tcW w:w="2992" w:type="dxa"/>
            <w:tcBorders>
              <w:top w:val="single" w:color="auto" w:sz="4" w:space="0"/>
              <w:left w:val="single" w:color="auto" w:sz="4" w:space="0"/>
              <w:bottom w:val="single" w:color="auto" w:sz="4" w:space="0"/>
              <w:right w:val="single" w:color="auto" w:sz="4" w:space="0"/>
            </w:tcBorders>
            <w:vAlign w:val="center"/>
          </w:tcPr>
          <w:p w14:paraId="2B62A1D7">
            <w:pPr>
              <w:widowControl w:val="0"/>
              <w:adjustRightInd w:val="0"/>
              <w:snapToGrid w:val="0"/>
              <w:spacing w:line="216" w:lineRule="auto"/>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最热月平均气温</w:t>
            </w:r>
          </w:p>
        </w:tc>
        <w:tc>
          <w:tcPr>
            <w:tcW w:w="3087" w:type="dxa"/>
            <w:tcBorders>
              <w:top w:val="single" w:color="auto" w:sz="4" w:space="0"/>
              <w:left w:val="single" w:color="auto" w:sz="4" w:space="0"/>
              <w:bottom w:val="single" w:color="auto" w:sz="4" w:space="0"/>
              <w:right w:val="nil"/>
            </w:tcBorders>
            <w:vAlign w:val="center"/>
          </w:tcPr>
          <w:p w14:paraId="43ECD966">
            <w:pPr>
              <w:widowControl w:val="0"/>
              <w:adjustRightInd w:val="0"/>
              <w:snapToGrid w:val="0"/>
              <w:spacing w:line="216" w:lineRule="auto"/>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28.2ºC</w:t>
            </w:r>
          </w:p>
        </w:tc>
      </w:tr>
      <w:tr w14:paraId="1365BEC8">
        <w:tblPrEx>
          <w:tblBorders>
            <w:top w:val="single" w:color="auto" w:sz="12" w:space="0"/>
            <w:left w:val="none" w:color="auto" w:sz="0" w:space="0"/>
            <w:bottom w:val="single" w:color="auto" w:sz="12" w:space="0"/>
            <w:right w:val="none" w:color="auto" w:sz="0" w:space="0"/>
            <w:insideH w:val="single" w:color="auto" w:sz="12" w:space="0"/>
            <w:insideV w:val="single" w:color="auto" w:sz="12" w:space="0"/>
          </w:tblBorders>
          <w:tblCellMar>
            <w:top w:w="0" w:type="dxa"/>
            <w:left w:w="0" w:type="dxa"/>
            <w:bottom w:w="0" w:type="dxa"/>
            <w:right w:w="0" w:type="dxa"/>
          </w:tblCellMar>
        </w:tblPrEx>
        <w:trPr>
          <w:trHeight w:val="340" w:hRule="atLeast"/>
          <w:jc w:val="center"/>
        </w:trPr>
        <w:tc>
          <w:tcPr>
            <w:tcW w:w="953" w:type="dxa"/>
            <w:vMerge w:val="continue"/>
            <w:tcBorders>
              <w:top w:val="single" w:color="auto" w:sz="4" w:space="0"/>
              <w:left w:val="nil"/>
              <w:bottom w:val="single" w:color="auto" w:sz="4" w:space="0"/>
              <w:right w:val="single" w:color="auto" w:sz="4" w:space="0"/>
            </w:tcBorders>
            <w:vAlign w:val="center"/>
          </w:tcPr>
          <w:p w14:paraId="517C5B90">
            <w:pPr>
              <w:widowControl w:val="0"/>
              <w:adjustRightInd w:val="0"/>
              <w:snapToGrid w:val="0"/>
              <w:spacing w:line="216" w:lineRule="auto"/>
              <w:ind w:left="-105" w:right="-105"/>
              <w:jc w:val="center"/>
              <w:rPr>
                <w:rFonts w:ascii="Times New Roman" w:hAnsi="Times New Roman" w:cs="Times New Roman"/>
                <w:color w:val="auto"/>
                <w:sz w:val="21"/>
                <w:szCs w:val="21"/>
                <w:highlight w:val="none"/>
              </w:rPr>
            </w:pPr>
          </w:p>
        </w:tc>
        <w:tc>
          <w:tcPr>
            <w:tcW w:w="1541" w:type="dxa"/>
            <w:vMerge w:val="continue"/>
            <w:tcBorders>
              <w:top w:val="single" w:color="auto" w:sz="4" w:space="0"/>
              <w:left w:val="single" w:color="auto" w:sz="4" w:space="0"/>
              <w:bottom w:val="single" w:color="auto" w:sz="4" w:space="0"/>
              <w:right w:val="single" w:color="auto" w:sz="4" w:space="0"/>
            </w:tcBorders>
            <w:vAlign w:val="center"/>
          </w:tcPr>
          <w:p w14:paraId="1B9CA419">
            <w:pPr>
              <w:widowControl w:val="0"/>
              <w:adjustRightInd w:val="0"/>
              <w:snapToGrid w:val="0"/>
              <w:spacing w:line="216" w:lineRule="auto"/>
              <w:ind w:left="-105" w:right="-105"/>
              <w:jc w:val="center"/>
              <w:rPr>
                <w:rFonts w:ascii="Times New Roman" w:hAnsi="Times New Roman" w:cs="Times New Roman"/>
                <w:color w:val="auto"/>
                <w:sz w:val="21"/>
                <w:szCs w:val="21"/>
                <w:highlight w:val="none"/>
              </w:rPr>
            </w:pPr>
          </w:p>
        </w:tc>
        <w:tc>
          <w:tcPr>
            <w:tcW w:w="2992" w:type="dxa"/>
            <w:tcBorders>
              <w:top w:val="single" w:color="auto" w:sz="4" w:space="0"/>
              <w:left w:val="single" w:color="auto" w:sz="4" w:space="0"/>
              <w:bottom w:val="single" w:color="auto" w:sz="4" w:space="0"/>
              <w:right w:val="single" w:color="auto" w:sz="4" w:space="0"/>
            </w:tcBorders>
            <w:vAlign w:val="center"/>
          </w:tcPr>
          <w:p w14:paraId="28E0ED37">
            <w:pPr>
              <w:widowControl w:val="0"/>
              <w:adjustRightInd w:val="0"/>
              <w:snapToGrid w:val="0"/>
              <w:spacing w:line="216" w:lineRule="auto"/>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最冷月平均气温</w:t>
            </w:r>
          </w:p>
        </w:tc>
        <w:tc>
          <w:tcPr>
            <w:tcW w:w="3087" w:type="dxa"/>
            <w:tcBorders>
              <w:top w:val="single" w:color="auto" w:sz="4" w:space="0"/>
              <w:left w:val="single" w:color="auto" w:sz="4" w:space="0"/>
              <w:bottom w:val="single" w:color="auto" w:sz="4" w:space="0"/>
              <w:right w:val="nil"/>
            </w:tcBorders>
            <w:vAlign w:val="center"/>
          </w:tcPr>
          <w:p w14:paraId="28512EA3">
            <w:pPr>
              <w:widowControl w:val="0"/>
              <w:adjustRightInd w:val="0"/>
              <w:snapToGrid w:val="0"/>
              <w:spacing w:line="216" w:lineRule="auto"/>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2.5ºC</w:t>
            </w:r>
          </w:p>
        </w:tc>
      </w:tr>
      <w:tr w14:paraId="6AF05860">
        <w:tblPrEx>
          <w:tblBorders>
            <w:top w:val="single" w:color="auto" w:sz="12" w:space="0"/>
            <w:left w:val="none" w:color="auto" w:sz="0" w:space="0"/>
            <w:bottom w:val="single" w:color="auto" w:sz="12" w:space="0"/>
            <w:right w:val="none" w:color="auto" w:sz="0" w:space="0"/>
            <w:insideH w:val="single" w:color="auto" w:sz="12" w:space="0"/>
            <w:insideV w:val="single" w:color="auto" w:sz="12" w:space="0"/>
          </w:tblBorders>
          <w:tblCellMar>
            <w:top w:w="0" w:type="dxa"/>
            <w:left w:w="0" w:type="dxa"/>
            <w:bottom w:w="0" w:type="dxa"/>
            <w:right w:w="0" w:type="dxa"/>
          </w:tblCellMar>
        </w:tblPrEx>
        <w:trPr>
          <w:trHeight w:val="340" w:hRule="atLeast"/>
          <w:jc w:val="center"/>
        </w:trPr>
        <w:tc>
          <w:tcPr>
            <w:tcW w:w="953" w:type="dxa"/>
            <w:vMerge w:val="restart"/>
            <w:tcBorders>
              <w:top w:val="single" w:color="auto" w:sz="4" w:space="0"/>
              <w:left w:val="nil"/>
              <w:bottom w:val="single" w:color="auto" w:sz="4" w:space="0"/>
              <w:right w:val="single" w:color="auto" w:sz="4" w:space="0"/>
            </w:tcBorders>
            <w:vAlign w:val="center"/>
          </w:tcPr>
          <w:p w14:paraId="2748F95E">
            <w:pPr>
              <w:widowControl w:val="0"/>
              <w:adjustRightInd w:val="0"/>
              <w:snapToGrid w:val="0"/>
              <w:spacing w:line="216" w:lineRule="auto"/>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2</w:t>
            </w:r>
          </w:p>
        </w:tc>
        <w:tc>
          <w:tcPr>
            <w:tcW w:w="1541" w:type="dxa"/>
            <w:vMerge w:val="restart"/>
            <w:tcBorders>
              <w:top w:val="single" w:color="auto" w:sz="4" w:space="0"/>
              <w:left w:val="single" w:color="auto" w:sz="4" w:space="0"/>
              <w:bottom w:val="single" w:color="auto" w:sz="4" w:space="0"/>
              <w:right w:val="single" w:color="auto" w:sz="4" w:space="0"/>
            </w:tcBorders>
            <w:vAlign w:val="center"/>
          </w:tcPr>
          <w:p w14:paraId="0C55A3E7">
            <w:pPr>
              <w:widowControl w:val="0"/>
              <w:adjustRightInd w:val="0"/>
              <w:snapToGrid w:val="0"/>
              <w:spacing w:line="216" w:lineRule="auto"/>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风速</w:t>
            </w:r>
          </w:p>
        </w:tc>
        <w:tc>
          <w:tcPr>
            <w:tcW w:w="2992" w:type="dxa"/>
            <w:tcBorders>
              <w:top w:val="single" w:color="auto" w:sz="4" w:space="0"/>
              <w:left w:val="single" w:color="auto" w:sz="4" w:space="0"/>
              <w:bottom w:val="single" w:color="auto" w:sz="4" w:space="0"/>
              <w:right w:val="single" w:color="auto" w:sz="4" w:space="0"/>
            </w:tcBorders>
            <w:vAlign w:val="center"/>
          </w:tcPr>
          <w:p w14:paraId="1EAECDD7">
            <w:pPr>
              <w:widowControl w:val="0"/>
              <w:adjustRightInd w:val="0"/>
              <w:snapToGrid w:val="0"/>
              <w:spacing w:line="216" w:lineRule="auto"/>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年平均风速</w:t>
            </w:r>
          </w:p>
        </w:tc>
        <w:tc>
          <w:tcPr>
            <w:tcW w:w="3087" w:type="dxa"/>
            <w:tcBorders>
              <w:top w:val="single" w:color="auto" w:sz="4" w:space="0"/>
              <w:left w:val="single" w:color="auto" w:sz="4" w:space="0"/>
              <w:bottom w:val="single" w:color="auto" w:sz="4" w:space="0"/>
              <w:right w:val="nil"/>
            </w:tcBorders>
            <w:vAlign w:val="center"/>
          </w:tcPr>
          <w:p w14:paraId="6A6A768B">
            <w:pPr>
              <w:widowControl w:val="0"/>
              <w:adjustRightInd w:val="0"/>
              <w:snapToGrid w:val="0"/>
              <w:spacing w:line="216" w:lineRule="auto"/>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2.63m/s</w:t>
            </w:r>
          </w:p>
        </w:tc>
      </w:tr>
      <w:tr w14:paraId="2E3690D9">
        <w:tblPrEx>
          <w:tblBorders>
            <w:top w:val="single" w:color="auto" w:sz="12" w:space="0"/>
            <w:left w:val="none" w:color="auto" w:sz="0" w:space="0"/>
            <w:bottom w:val="single" w:color="auto" w:sz="12" w:space="0"/>
            <w:right w:val="none" w:color="auto" w:sz="0" w:space="0"/>
            <w:insideH w:val="single" w:color="auto" w:sz="12" w:space="0"/>
            <w:insideV w:val="single" w:color="auto" w:sz="12" w:space="0"/>
          </w:tblBorders>
          <w:tblCellMar>
            <w:top w:w="0" w:type="dxa"/>
            <w:left w:w="0" w:type="dxa"/>
            <w:bottom w:w="0" w:type="dxa"/>
            <w:right w:w="0" w:type="dxa"/>
          </w:tblCellMar>
        </w:tblPrEx>
        <w:trPr>
          <w:trHeight w:val="340" w:hRule="atLeast"/>
          <w:jc w:val="center"/>
        </w:trPr>
        <w:tc>
          <w:tcPr>
            <w:tcW w:w="953" w:type="dxa"/>
            <w:vMerge w:val="continue"/>
            <w:tcBorders>
              <w:top w:val="single" w:color="auto" w:sz="4" w:space="0"/>
              <w:left w:val="nil"/>
              <w:bottom w:val="single" w:color="auto" w:sz="4" w:space="0"/>
              <w:right w:val="single" w:color="auto" w:sz="4" w:space="0"/>
            </w:tcBorders>
            <w:vAlign w:val="center"/>
          </w:tcPr>
          <w:p w14:paraId="49894C2B">
            <w:pPr>
              <w:widowControl w:val="0"/>
              <w:adjustRightInd w:val="0"/>
              <w:snapToGrid w:val="0"/>
              <w:spacing w:line="216" w:lineRule="auto"/>
              <w:ind w:left="-105" w:right="-105"/>
              <w:jc w:val="center"/>
              <w:rPr>
                <w:rFonts w:ascii="Times New Roman" w:hAnsi="Times New Roman" w:cs="Times New Roman"/>
                <w:color w:val="auto"/>
                <w:sz w:val="21"/>
                <w:szCs w:val="21"/>
                <w:highlight w:val="none"/>
              </w:rPr>
            </w:pPr>
          </w:p>
        </w:tc>
        <w:tc>
          <w:tcPr>
            <w:tcW w:w="1541" w:type="dxa"/>
            <w:vMerge w:val="continue"/>
            <w:tcBorders>
              <w:top w:val="single" w:color="auto" w:sz="4" w:space="0"/>
              <w:left w:val="single" w:color="auto" w:sz="4" w:space="0"/>
              <w:bottom w:val="single" w:color="auto" w:sz="4" w:space="0"/>
              <w:right w:val="single" w:color="auto" w:sz="4" w:space="0"/>
            </w:tcBorders>
            <w:vAlign w:val="center"/>
          </w:tcPr>
          <w:p w14:paraId="03E4A89C">
            <w:pPr>
              <w:widowControl w:val="0"/>
              <w:adjustRightInd w:val="0"/>
              <w:snapToGrid w:val="0"/>
              <w:spacing w:line="216" w:lineRule="auto"/>
              <w:ind w:left="-105" w:right="-105"/>
              <w:jc w:val="center"/>
              <w:rPr>
                <w:rFonts w:ascii="Times New Roman" w:hAnsi="Times New Roman" w:cs="Times New Roman"/>
                <w:color w:val="auto"/>
                <w:sz w:val="21"/>
                <w:szCs w:val="21"/>
                <w:highlight w:val="none"/>
              </w:rPr>
            </w:pPr>
          </w:p>
        </w:tc>
        <w:tc>
          <w:tcPr>
            <w:tcW w:w="2992" w:type="dxa"/>
            <w:tcBorders>
              <w:top w:val="single" w:color="auto" w:sz="4" w:space="0"/>
              <w:left w:val="single" w:color="auto" w:sz="4" w:space="0"/>
              <w:bottom w:val="single" w:color="auto" w:sz="4" w:space="0"/>
              <w:right w:val="single" w:color="auto" w:sz="4" w:space="0"/>
            </w:tcBorders>
            <w:vAlign w:val="center"/>
          </w:tcPr>
          <w:p w14:paraId="3A079B95">
            <w:pPr>
              <w:widowControl w:val="0"/>
              <w:adjustRightInd w:val="0"/>
              <w:snapToGrid w:val="0"/>
              <w:spacing w:line="216" w:lineRule="auto"/>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最大风速</w:t>
            </w:r>
          </w:p>
        </w:tc>
        <w:tc>
          <w:tcPr>
            <w:tcW w:w="3087" w:type="dxa"/>
            <w:tcBorders>
              <w:top w:val="single" w:color="auto" w:sz="4" w:space="0"/>
              <w:left w:val="single" w:color="auto" w:sz="4" w:space="0"/>
              <w:bottom w:val="single" w:color="auto" w:sz="4" w:space="0"/>
              <w:right w:val="nil"/>
            </w:tcBorders>
            <w:vAlign w:val="center"/>
          </w:tcPr>
          <w:p w14:paraId="1E03433D">
            <w:pPr>
              <w:widowControl w:val="0"/>
              <w:adjustRightInd w:val="0"/>
              <w:snapToGrid w:val="0"/>
              <w:spacing w:line="216" w:lineRule="auto"/>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24m/s</w:t>
            </w:r>
          </w:p>
        </w:tc>
      </w:tr>
      <w:tr w14:paraId="25FDDBE9">
        <w:tblPrEx>
          <w:tblBorders>
            <w:top w:val="single" w:color="auto" w:sz="12" w:space="0"/>
            <w:left w:val="none" w:color="auto" w:sz="0" w:space="0"/>
            <w:bottom w:val="single" w:color="auto" w:sz="12" w:space="0"/>
            <w:right w:val="none" w:color="auto" w:sz="0" w:space="0"/>
            <w:insideH w:val="single" w:color="auto" w:sz="12" w:space="0"/>
            <w:insideV w:val="single" w:color="auto" w:sz="12" w:space="0"/>
          </w:tblBorders>
          <w:tblCellMar>
            <w:top w:w="0" w:type="dxa"/>
            <w:left w:w="0" w:type="dxa"/>
            <w:bottom w:w="0" w:type="dxa"/>
            <w:right w:w="0" w:type="dxa"/>
          </w:tblCellMar>
        </w:tblPrEx>
        <w:trPr>
          <w:trHeight w:val="340" w:hRule="atLeast"/>
          <w:jc w:val="center"/>
        </w:trPr>
        <w:tc>
          <w:tcPr>
            <w:tcW w:w="953" w:type="dxa"/>
            <w:tcBorders>
              <w:top w:val="single" w:color="auto" w:sz="4" w:space="0"/>
              <w:left w:val="nil"/>
              <w:bottom w:val="single" w:color="auto" w:sz="4" w:space="0"/>
              <w:right w:val="single" w:color="auto" w:sz="4" w:space="0"/>
            </w:tcBorders>
            <w:vAlign w:val="center"/>
          </w:tcPr>
          <w:p w14:paraId="42D6DB9A">
            <w:pPr>
              <w:widowControl w:val="0"/>
              <w:adjustRightInd w:val="0"/>
              <w:snapToGrid w:val="0"/>
              <w:spacing w:line="216" w:lineRule="auto"/>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3</w:t>
            </w:r>
          </w:p>
        </w:tc>
        <w:tc>
          <w:tcPr>
            <w:tcW w:w="1541" w:type="dxa"/>
            <w:tcBorders>
              <w:top w:val="single" w:color="auto" w:sz="4" w:space="0"/>
              <w:left w:val="single" w:color="auto" w:sz="4" w:space="0"/>
              <w:bottom w:val="single" w:color="auto" w:sz="4" w:space="0"/>
              <w:right w:val="single" w:color="auto" w:sz="4" w:space="0"/>
            </w:tcBorders>
            <w:vAlign w:val="center"/>
          </w:tcPr>
          <w:p w14:paraId="0B53B86E">
            <w:pPr>
              <w:widowControl w:val="0"/>
              <w:adjustRightInd w:val="0"/>
              <w:snapToGrid w:val="0"/>
              <w:spacing w:line="216" w:lineRule="auto"/>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气压</w:t>
            </w:r>
          </w:p>
        </w:tc>
        <w:tc>
          <w:tcPr>
            <w:tcW w:w="2992" w:type="dxa"/>
            <w:tcBorders>
              <w:top w:val="single" w:color="auto" w:sz="4" w:space="0"/>
              <w:left w:val="single" w:color="auto" w:sz="4" w:space="0"/>
              <w:bottom w:val="single" w:color="auto" w:sz="4" w:space="0"/>
              <w:right w:val="single" w:color="auto" w:sz="4" w:space="0"/>
            </w:tcBorders>
            <w:vAlign w:val="center"/>
          </w:tcPr>
          <w:p w14:paraId="67F203A5">
            <w:pPr>
              <w:widowControl w:val="0"/>
              <w:adjustRightInd w:val="0"/>
              <w:snapToGrid w:val="0"/>
              <w:spacing w:line="216" w:lineRule="auto"/>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年平均大气压</w:t>
            </w:r>
          </w:p>
        </w:tc>
        <w:tc>
          <w:tcPr>
            <w:tcW w:w="3087" w:type="dxa"/>
            <w:tcBorders>
              <w:top w:val="single" w:color="auto" w:sz="4" w:space="0"/>
              <w:left w:val="single" w:color="auto" w:sz="4" w:space="0"/>
              <w:bottom w:val="single" w:color="auto" w:sz="4" w:space="0"/>
              <w:right w:val="nil"/>
            </w:tcBorders>
            <w:vAlign w:val="center"/>
          </w:tcPr>
          <w:p w14:paraId="3EA09A81">
            <w:pPr>
              <w:widowControl w:val="0"/>
              <w:adjustRightInd w:val="0"/>
              <w:snapToGrid w:val="0"/>
              <w:spacing w:line="216" w:lineRule="auto"/>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1016hPa</w:t>
            </w:r>
          </w:p>
        </w:tc>
      </w:tr>
      <w:tr w14:paraId="717AD5F5">
        <w:tblPrEx>
          <w:tblBorders>
            <w:top w:val="single" w:color="auto" w:sz="12" w:space="0"/>
            <w:left w:val="none" w:color="auto" w:sz="0" w:space="0"/>
            <w:bottom w:val="single" w:color="auto" w:sz="12" w:space="0"/>
            <w:right w:val="none" w:color="auto" w:sz="0" w:space="0"/>
            <w:insideH w:val="single" w:color="auto" w:sz="12" w:space="0"/>
            <w:insideV w:val="single" w:color="auto" w:sz="12" w:space="0"/>
          </w:tblBorders>
          <w:tblCellMar>
            <w:top w:w="0" w:type="dxa"/>
            <w:left w:w="0" w:type="dxa"/>
            <w:bottom w:w="0" w:type="dxa"/>
            <w:right w:w="0" w:type="dxa"/>
          </w:tblCellMar>
        </w:tblPrEx>
        <w:trPr>
          <w:trHeight w:val="340" w:hRule="atLeast"/>
          <w:jc w:val="center"/>
        </w:trPr>
        <w:tc>
          <w:tcPr>
            <w:tcW w:w="953" w:type="dxa"/>
            <w:vMerge w:val="restart"/>
            <w:tcBorders>
              <w:top w:val="single" w:color="auto" w:sz="4" w:space="0"/>
              <w:left w:val="nil"/>
              <w:bottom w:val="single" w:color="auto" w:sz="4" w:space="0"/>
              <w:right w:val="single" w:color="auto" w:sz="4" w:space="0"/>
            </w:tcBorders>
            <w:vAlign w:val="center"/>
          </w:tcPr>
          <w:p w14:paraId="57F1ECDE">
            <w:pPr>
              <w:widowControl w:val="0"/>
              <w:adjustRightInd w:val="0"/>
              <w:snapToGrid w:val="0"/>
              <w:spacing w:line="216" w:lineRule="auto"/>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4</w:t>
            </w:r>
          </w:p>
        </w:tc>
        <w:tc>
          <w:tcPr>
            <w:tcW w:w="1541" w:type="dxa"/>
            <w:vMerge w:val="restart"/>
            <w:tcBorders>
              <w:top w:val="single" w:color="auto" w:sz="4" w:space="0"/>
              <w:left w:val="single" w:color="auto" w:sz="4" w:space="0"/>
              <w:bottom w:val="single" w:color="auto" w:sz="4" w:space="0"/>
              <w:right w:val="single" w:color="auto" w:sz="4" w:space="0"/>
            </w:tcBorders>
            <w:vAlign w:val="center"/>
          </w:tcPr>
          <w:p w14:paraId="177BC7F3">
            <w:pPr>
              <w:widowControl w:val="0"/>
              <w:adjustRightInd w:val="0"/>
              <w:snapToGrid w:val="0"/>
              <w:spacing w:line="216" w:lineRule="auto"/>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空气湿度</w:t>
            </w:r>
          </w:p>
        </w:tc>
        <w:tc>
          <w:tcPr>
            <w:tcW w:w="2992" w:type="dxa"/>
            <w:tcBorders>
              <w:top w:val="single" w:color="auto" w:sz="4" w:space="0"/>
              <w:left w:val="single" w:color="auto" w:sz="4" w:space="0"/>
              <w:bottom w:val="single" w:color="auto" w:sz="4" w:space="0"/>
              <w:right w:val="single" w:color="auto" w:sz="4" w:space="0"/>
            </w:tcBorders>
            <w:vAlign w:val="center"/>
          </w:tcPr>
          <w:p w14:paraId="513C0EE1">
            <w:pPr>
              <w:widowControl w:val="0"/>
              <w:adjustRightInd w:val="0"/>
              <w:snapToGrid w:val="0"/>
              <w:spacing w:line="216" w:lineRule="auto"/>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年平均相对湿度</w:t>
            </w:r>
          </w:p>
        </w:tc>
        <w:tc>
          <w:tcPr>
            <w:tcW w:w="3087" w:type="dxa"/>
            <w:tcBorders>
              <w:top w:val="single" w:color="auto" w:sz="4" w:space="0"/>
              <w:left w:val="single" w:color="auto" w:sz="4" w:space="0"/>
              <w:bottom w:val="single" w:color="auto" w:sz="4" w:space="0"/>
              <w:right w:val="nil"/>
            </w:tcBorders>
            <w:vAlign w:val="center"/>
          </w:tcPr>
          <w:p w14:paraId="79A93273">
            <w:pPr>
              <w:widowControl w:val="0"/>
              <w:adjustRightInd w:val="0"/>
              <w:snapToGrid w:val="0"/>
              <w:spacing w:line="216" w:lineRule="auto"/>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80%</w:t>
            </w:r>
          </w:p>
        </w:tc>
      </w:tr>
      <w:tr w14:paraId="788171C1">
        <w:tblPrEx>
          <w:tblBorders>
            <w:top w:val="single" w:color="auto" w:sz="12" w:space="0"/>
            <w:left w:val="none" w:color="auto" w:sz="0" w:space="0"/>
            <w:bottom w:val="single" w:color="auto" w:sz="12" w:space="0"/>
            <w:right w:val="none" w:color="auto" w:sz="0" w:space="0"/>
            <w:insideH w:val="single" w:color="auto" w:sz="12" w:space="0"/>
            <w:insideV w:val="single" w:color="auto" w:sz="12" w:space="0"/>
          </w:tblBorders>
          <w:tblCellMar>
            <w:top w:w="0" w:type="dxa"/>
            <w:left w:w="0" w:type="dxa"/>
            <w:bottom w:w="0" w:type="dxa"/>
            <w:right w:w="0" w:type="dxa"/>
          </w:tblCellMar>
        </w:tblPrEx>
        <w:trPr>
          <w:trHeight w:val="340" w:hRule="atLeast"/>
          <w:jc w:val="center"/>
        </w:trPr>
        <w:tc>
          <w:tcPr>
            <w:tcW w:w="953" w:type="dxa"/>
            <w:vMerge w:val="continue"/>
            <w:tcBorders>
              <w:top w:val="single" w:color="auto" w:sz="4" w:space="0"/>
              <w:left w:val="nil"/>
              <w:bottom w:val="single" w:color="auto" w:sz="4" w:space="0"/>
              <w:right w:val="single" w:color="auto" w:sz="4" w:space="0"/>
            </w:tcBorders>
            <w:vAlign w:val="center"/>
          </w:tcPr>
          <w:p w14:paraId="4C07BA3C">
            <w:pPr>
              <w:widowControl w:val="0"/>
              <w:adjustRightInd w:val="0"/>
              <w:snapToGrid w:val="0"/>
              <w:spacing w:line="216" w:lineRule="auto"/>
              <w:ind w:left="-105" w:right="-105"/>
              <w:jc w:val="center"/>
              <w:rPr>
                <w:rFonts w:ascii="Times New Roman" w:hAnsi="Times New Roman" w:cs="Times New Roman"/>
                <w:color w:val="auto"/>
                <w:sz w:val="21"/>
                <w:szCs w:val="21"/>
                <w:highlight w:val="none"/>
              </w:rPr>
            </w:pPr>
          </w:p>
        </w:tc>
        <w:tc>
          <w:tcPr>
            <w:tcW w:w="1541" w:type="dxa"/>
            <w:vMerge w:val="continue"/>
            <w:tcBorders>
              <w:top w:val="single" w:color="auto" w:sz="4" w:space="0"/>
              <w:left w:val="single" w:color="auto" w:sz="4" w:space="0"/>
              <w:bottom w:val="single" w:color="auto" w:sz="4" w:space="0"/>
              <w:right w:val="single" w:color="auto" w:sz="4" w:space="0"/>
            </w:tcBorders>
            <w:vAlign w:val="center"/>
          </w:tcPr>
          <w:p w14:paraId="464611BC">
            <w:pPr>
              <w:widowControl w:val="0"/>
              <w:adjustRightInd w:val="0"/>
              <w:snapToGrid w:val="0"/>
              <w:spacing w:line="216" w:lineRule="auto"/>
              <w:ind w:left="-105" w:right="-105"/>
              <w:jc w:val="center"/>
              <w:rPr>
                <w:rFonts w:ascii="Times New Roman" w:hAnsi="Times New Roman" w:cs="Times New Roman"/>
                <w:color w:val="auto"/>
                <w:sz w:val="21"/>
                <w:szCs w:val="21"/>
                <w:highlight w:val="none"/>
              </w:rPr>
            </w:pPr>
          </w:p>
        </w:tc>
        <w:tc>
          <w:tcPr>
            <w:tcW w:w="2992" w:type="dxa"/>
            <w:tcBorders>
              <w:top w:val="single" w:color="auto" w:sz="4" w:space="0"/>
              <w:left w:val="single" w:color="auto" w:sz="4" w:space="0"/>
              <w:bottom w:val="single" w:color="auto" w:sz="4" w:space="0"/>
              <w:right w:val="single" w:color="auto" w:sz="4" w:space="0"/>
            </w:tcBorders>
            <w:vAlign w:val="center"/>
          </w:tcPr>
          <w:p w14:paraId="4500210F">
            <w:pPr>
              <w:widowControl w:val="0"/>
              <w:adjustRightInd w:val="0"/>
              <w:snapToGrid w:val="0"/>
              <w:spacing w:line="216" w:lineRule="auto"/>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最热平均相对湿度</w:t>
            </w:r>
          </w:p>
        </w:tc>
        <w:tc>
          <w:tcPr>
            <w:tcW w:w="3087" w:type="dxa"/>
            <w:tcBorders>
              <w:top w:val="single" w:color="auto" w:sz="4" w:space="0"/>
              <w:left w:val="single" w:color="auto" w:sz="4" w:space="0"/>
              <w:bottom w:val="single" w:color="auto" w:sz="4" w:space="0"/>
              <w:right w:val="nil"/>
            </w:tcBorders>
            <w:vAlign w:val="center"/>
          </w:tcPr>
          <w:p w14:paraId="78341E69">
            <w:pPr>
              <w:widowControl w:val="0"/>
              <w:adjustRightInd w:val="0"/>
              <w:snapToGrid w:val="0"/>
              <w:spacing w:line="216" w:lineRule="auto"/>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88%</w:t>
            </w:r>
          </w:p>
        </w:tc>
      </w:tr>
      <w:tr w14:paraId="4B3C2468">
        <w:tblPrEx>
          <w:tblBorders>
            <w:top w:val="single" w:color="auto" w:sz="12" w:space="0"/>
            <w:left w:val="none" w:color="auto" w:sz="0" w:space="0"/>
            <w:bottom w:val="single" w:color="auto" w:sz="12" w:space="0"/>
            <w:right w:val="none" w:color="auto" w:sz="0" w:space="0"/>
            <w:insideH w:val="single" w:color="auto" w:sz="12" w:space="0"/>
            <w:insideV w:val="single" w:color="auto" w:sz="12" w:space="0"/>
          </w:tblBorders>
          <w:tblCellMar>
            <w:top w:w="0" w:type="dxa"/>
            <w:left w:w="0" w:type="dxa"/>
            <w:bottom w:w="0" w:type="dxa"/>
            <w:right w:w="0" w:type="dxa"/>
          </w:tblCellMar>
        </w:tblPrEx>
        <w:trPr>
          <w:trHeight w:val="340" w:hRule="atLeast"/>
          <w:jc w:val="center"/>
        </w:trPr>
        <w:tc>
          <w:tcPr>
            <w:tcW w:w="953" w:type="dxa"/>
            <w:vMerge w:val="continue"/>
            <w:tcBorders>
              <w:top w:val="single" w:color="auto" w:sz="4" w:space="0"/>
              <w:left w:val="nil"/>
              <w:bottom w:val="single" w:color="auto" w:sz="4" w:space="0"/>
              <w:right w:val="single" w:color="auto" w:sz="4" w:space="0"/>
            </w:tcBorders>
            <w:vAlign w:val="center"/>
          </w:tcPr>
          <w:p w14:paraId="0CB19BF7">
            <w:pPr>
              <w:widowControl w:val="0"/>
              <w:adjustRightInd w:val="0"/>
              <w:snapToGrid w:val="0"/>
              <w:spacing w:line="216" w:lineRule="auto"/>
              <w:ind w:left="-105" w:right="-105"/>
              <w:jc w:val="center"/>
              <w:rPr>
                <w:rFonts w:ascii="Times New Roman" w:hAnsi="Times New Roman" w:cs="Times New Roman"/>
                <w:color w:val="auto"/>
                <w:sz w:val="21"/>
                <w:szCs w:val="21"/>
                <w:highlight w:val="none"/>
              </w:rPr>
            </w:pPr>
          </w:p>
        </w:tc>
        <w:tc>
          <w:tcPr>
            <w:tcW w:w="1541" w:type="dxa"/>
            <w:vMerge w:val="continue"/>
            <w:tcBorders>
              <w:top w:val="single" w:color="auto" w:sz="4" w:space="0"/>
              <w:left w:val="single" w:color="auto" w:sz="4" w:space="0"/>
              <w:bottom w:val="single" w:color="auto" w:sz="4" w:space="0"/>
              <w:right w:val="single" w:color="auto" w:sz="4" w:space="0"/>
            </w:tcBorders>
            <w:vAlign w:val="center"/>
          </w:tcPr>
          <w:p w14:paraId="0EC6F4B0">
            <w:pPr>
              <w:widowControl w:val="0"/>
              <w:adjustRightInd w:val="0"/>
              <w:snapToGrid w:val="0"/>
              <w:spacing w:line="216" w:lineRule="auto"/>
              <w:ind w:left="-105" w:right="-105"/>
              <w:jc w:val="center"/>
              <w:rPr>
                <w:rFonts w:ascii="Times New Roman" w:hAnsi="Times New Roman" w:cs="Times New Roman"/>
                <w:color w:val="auto"/>
                <w:sz w:val="21"/>
                <w:szCs w:val="21"/>
                <w:highlight w:val="none"/>
              </w:rPr>
            </w:pPr>
          </w:p>
        </w:tc>
        <w:tc>
          <w:tcPr>
            <w:tcW w:w="2992" w:type="dxa"/>
            <w:tcBorders>
              <w:top w:val="single" w:color="auto" w:sz="4" w:space="0"/>
              <w:left w:val="single" w:color="auto" w:sz="4" w:space="0"/>
              <w:bottom w:val="single" w:color="auto" w:sz="4" w:space="0"/>
              <w:right w:val="single" w:color="auto" w:sz="4" w:space="0"/>
            </w:tcBorders>
            <w:vAlign w:val="center"/>
          </w:tcPr>
          <w:p w14:paraId="6A2E9C8F">
            <w:pPr>
              <w:widowControl w:val="0"/>
              <w:adjustRightInd w:val="0"/>
              <w:snapToGrid w:val="0"/>
              <w:spacing w:line="216" w:lineRule="auto"/>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最低平均相对湿度</w:t>
            </w:r>
          </w:p>
        </w:tc>
        <w:tc>
          <w:tcPr>
            <w:tcW w:w="3087" w:type="dxa"/>
            <w:tcBorders>
              <w:top w:val="single" w:color="auto" w:sz="4" w:space="0"/>
              <w:left w:val="single" w:color="auto" w:sz="4" w:space="0"/>
              <w:bottom w:val="single" w:color="auto" w:sz="4" w:space="0"/>
              <w:right w:val="nil"/>
            </w:tcBorders>
            <w:vAlign w:val="center"/>
          </w:tcPr>
          <w:p w14:paraId="3C8CF5AE">
            <w:pPr>
              <w:widowControl w:val="0"/>
              <w:adjustRightInd w:val="0"/>
              <w:snapToGrid w:val="0"/>
              <w:spacing w:line="216" w:lineRule="auto"/>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76%</w:t>
            </w:r>
          </w:p>
        </w:tc>
      </w:tr>
      <w:tr w14:paraId="3D9E5BB2">
        <w:tblPrEx>
          <w:tblBorders>
            <w:top w:val="single" w:color="auto" w:sz="12" w:space="0"/>
            <w:left w:val="none" w:color="auto" w:sz="0" w:space="0"/>
            <w:bottom w:val="single" w:color="auto" w:sz="12" w:space="0"/>
            <w:right w:val="none" w:color="auto" w:sz="0" w:space="0"/>
            <w:insideH w:val="single" w:color="auto" w:sz="12" w:space="0"/>
            <w:insideV w:val="single" w:color="auto" w:sz="12" w:space="0"/>
          </w:tblBorders>
          <w:tblCellMar>
            <w:top w:w="0" w:type="dxa"/>
            <w:left w:w="0" w:type="dxa"/>
            <w:bottom w:w="0" w:type="dxa"/>
            <w:right w:w="0" w:type="dxa"/>
          </w:tblCellMar>
        </w:tblPrEx>
        <w:trPr>
          <w:trHeight w:val="340" w:hRule="atLeast"/>
          <w:jc w:val="center"/>
        </w:trPr>
        <w:tc>
          <w:tcPr>
            <w:tcW w:w="953" w:type="dxa"/>
            <w:vMerge w:val="restart"/>
            <w:tcBorders>
              <w:top w:val="single" w:color="auto" w:sz="4" w:space="0"/>
              <w:left w:val="nil"/>
              <w:bottom w:val="single" w:color="auto" w:sz="4" w:space="0"/>
              <w:right w:val="single" w:color="auto" w:sz="4" w:space="0"/>
            </w:tcBorders>
            <w:vAlign w:val="center"/>
          </w:tcPr>
          <w:p w14:paraId="16322309">
            <w:pPr>
              <w:widowControl w:val="0"/>
              <w:adjustRightInd w:val="0"/>
              <w:snapToGrid w:val="0"/>
              <w:spacing w:line="216" w:lineRule="auto"/>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5</w:t>
            </w:r>
          </w:p>
        </w:tc>
        <w:tc>
          <w:tcPr>
            <w:tcW w:w="1541" w:type="dxa"/>
            <w:vMerge w:val="restart"/>
            <w:tcBorders>
              <w:top w:val="single" w:color="auto" w:sz="4" w:space="0"/>
              <w:left w:val="single" w:color="auto" w:sz="4" w:space="0"/>
              <w:bottom w:val="single" w:color="auto" w:sz="4" w:space="0"/>
              <w:right w:val="single" w:color="auto" w:sz="4" w:space="0"/>
            </w:tcBorders>
            <w:vAlign w:val="center"/>
          </w:tcPr>
          <w:p w14:paraId="3AC6C90F">
            <w:pPr>
              <w:widowControl w:val="0"/>
              <w:adjustRightInd w:val="0"/>
              <w:snapToGrid w:val="0"/>
              <w:spacing w:line="216" w:lineRule="auto"/>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降雨量</w:t>
            </w:r>
          </w:p>
        </w:tc>
        <w:tc>
          <w:tcPr>
            <w:tcW w:w="2992" w:type="dxa"/>
            <w:tcBorders>
              <w:top w:val="single" w:color="auto" w:sz="4" w:space="0"/>
              <w:left w:val="single" w:color="auto" w:sz="4" w:space="0"/>
              <w:bottom w:val="single" w:color="auto" w:sz="4" w:space="0"/>
              <w:right w:val="single" w:color="auto" w:sz="4" w:space="0"/>
            </w:tcBorders>
            <w:vAlign w:val="center"/>
          </w:tcPr>
          <w:p w14:paraId="1D1104B4">
            <w:pPr>
              <w:widowControl w:val="0"/>
              <w:adjustRightInd w:val="0"/>
              <w:snapToGrid w:val="0"/>
              <w:spacing w:line="216" w:lineRule="auto"/>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年平均降水量</w:t>
            </w:r>
          </w:p>
        </w:tc>
        <w:tc>
          <w:tcPr>
            <w:tcW w:w="3087" w:type="dxa"/>
            <w:tcBorders>
              <w:top w:val="single" w:color="auto" w:sz="4" w:space="0"/>
              <w:left w:val="single" w:color="auto" w:sz="4" w:space="0"/>
              <w:bottom w:val="single" w:color="auto" w:sz="4" w:space="0"/>
              <w:right w:val="nil"/>
            </w:tcBorders>
            <w:vAlign w:val="center"/>
          </w:tcPr>
          <w:p w14:paraId="36EF167C">
            <w:pPr>
              <w:widowControl w:val="0"/>
              <w:adjustRightInd w:val="0"/>
              <w:snapToGrid w:val="0"/>
              <w:spacing w:line="216" w:lineRule="auto"/>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1113.2mm</w:t>
            </w:r>
          </w:p>
        </w:tc>
      </w:tr>
      <w:tr w14:paraId="554FBE99">
        <w:tblPrEx>
          <w:tblBorders>
            <w:top w:val="single" w:color="auto" w:sz="12" w:space="0"/>
            <w:left w:val="none" w:color="auto" w:sz="0" w:space="0"/>
            <w:bottom w:val="single" w:color="auto" w:sz="12" w:space="0"/>
            <w:right w:val="none" w:color="auto" w:sz="0" w:space="0"/>
            <w:insideH w:val="single" w:color="auto" w:sz="12" w:space="0"/>
            <w:insideV w:val="single" w:color="auto" w:sz="12" w:space="0"/>
          </w:tblBorders>
          <w:tblCellMar>
            <w:top w:w="0" w:type="dxa"/>
            <w:left w:w="0" w:type="dxa"/>
            <w:bottom w:w="0" w:type="dxa"/>
            <w:right w:w="0" w:type="dxa"/>
          </w:tblCellMar>
        </w:tblPrEx>
        <w:trPr>
          <w:trHeight w:val="340" w:hRule="atLeast"/>
          <w:jc w:val="center"/>
        </w:trPr>
        <w:tc>
          <w:tcPr>
            <w:tcW w:w="953" w:type="dxa"/>
            <w:vMerge w:val="continue"/>
            <w:tcBorders>
              <w:top w:val="single" w:color="auto" w:sz="4" w:space="0"/>
              <w:left w:val="nil"/>
              <w:bottom w:val="single" w:color="auto" w:sz="4" w:space="0"/>
              <w:right w:val="single" w:color="auto" w:sz="4" w:space="0"/>
            </w:tcBorders>
            <w:vAlign w:val="center"/>
          </w:tcPr>
          <w:p w14:paraId="6286B066">
            <w:pPr>
              <w:widowControl w:val="0"/>
              <w:adjustRightInd w:val="0"/>
              <w:snapToGrid w:val="0"/>
              <w:spacing w:line="216" w:lineRule="auto"/>
              <w:ind w:left="-105" w:right="-105"/>
              <w:jc w:val="center"/>
              <w:rPr>
                <w:rFonts w:ascii="Times New Roman" w:hAnsi="Times New Roman" w:cs="Times New Roman"/>
                <w:color w:val="auto"/>
                <w:sz w:val="21"/>
                <w:szCs w:val="21"/>
                <w:highlight w:val="none"/>
              </w:rPr>
            </w:pPr>
          </w:p>
        </w:tc>
        <w:tc>
          <w:tcPr>
            <w:tcW w:w="1541" w:type="dxa"/>
            <w:vMerge w:val="continue"/>
            <w:tcBorders>
              <w:top w:val="single" w:color="auto" w:sz="4" w:space="0"/>
              <w:left w:val="single" w:color="auto" w:sz="4" w:space="0"/>
              <w:bottom w:val="single" w:color="auto" w:sz="4" w:space="0"/>
              <w:right w:val="single" w:color="auto" w:sz="4" w:space="0"/>
            </w:tcBorders>
            <w:vAlign w:val="center"/>
          </w:tcPr>
          <w:p w14:paraId="78C2DAFC">
            <w:pPr>
              <w:widowControl w:val="0"/>
              <w:adjustRightInd w:val="0"/>
              <w:snapToGrid w:val="0"/>
              <w:spacing w:line="216" w:lineRule="auto"/>
              <w:ind w:left="-105" w:right="-105"/>
              <w:jc w:val="center"/>
              <w:rPr>
                <w:rFonts w:ascii="Times New Roman" w:hAnsi="Times New Roman" w:cs="Times New Roman"/>
                <w:color w:val="auto"/>
                <w:sz w:val="21"/>
                <w:szCs w:val="21"/>
                <w:highlight w:val="none"/>
              </w:rPr>
            </w:pPr>
          </w:p>
        </w:tc>
        <w:tc>
          <w:tcPr>
            <w:tcW w:w="2992" w:type="dxa"/>
            <w:tcBorders>
              <w:top w:val="single" w:color="auto" w:sz="4" w:space="0"/>
              <w:left w:val="single" w:color="auto" w:sz="4" w:space="0"/>
              <w:bottom w:val="single" w:color="auto" w:sz="4" w:space="0"/>
              <w:right w:val="single" w:color="auto" w:sz="4" w:space="0"/>
            </w:tcBorders>
            <w:vAlign w:val="center"/>
          </w:tcPr>
          <w:p w14:paraId="7B8E8591">
            <w:pPr>
              <w:widowControl w:val="0"/>
              <w:adjustRightInd w:val="0"/>
              <w:snapToGrid w:val="0"/>
              <w:spacing w:line="216" w:lineRule="auto"/>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年最大降水量</w:t>
            </w:r>
          </w:p>
        </w:tc>
        <w:tc>
          <w:tcPr>
            <w:tcW w:w="3087" w:type="dxa"/>
            <w:tcBorders>
              <w:top w:val="single" w:color="auto" w:sz="4" w:space="0"/>
              <w:left w:val="single" w:color="auto" w:sz="4" w:space="0"/>
              <w:bottom w:val="single" w:color="auto" w:sz="4" w:space="0"/>
              <w:right w:val="nil"/>
            </w:tcBorders>
            <w:vAlign w:val="center"/>
          </w:tcPr>
          <w:p w14:paraId="41EB2AAA">
            <w:pPr>
              <w:widowControl w:val="0"/>
              <w:adjustRightInd w:val="0"/>
              <w:snapToGrid w:val="0"/>
              <w:spacing w:line="216" w:lineRule="auto"/>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1713.1mm</w:t>
            </w:r>
          </w:p>
        </w:tc>
      </w:tr>
      <w:tr w14:paraId="3CF26A78">
        <w:tblPrEx>
          <w:tblBorders>
            <w:top w:val="single" w:color="auto" w:sz="12" w:space="0"/>
            <w:left w:val="none" w:color="auto" w:sz="0" w:space="0"/>
            <w:bottom w:val="single" w:color="auto" w:sz="12" w:space="0"/>
            <w:right w:val="none" w:color="auto" w:sz="0" w:space="0"/>
            <w:insideH w:val="single" w:color="auto" w:sz="12" w:space="0"/>
            <w:insideV w:val="single" w:color="auto" w:sz="12" w:space="0"/>
          </w:tblBorders>
          <w:tblCellMar>
            <w:top w:w="0" w:type="dxa"/>
            <w:left w:w="0" w:type="dxa"/>
            <w:bottom w:w="0" w:type="dxa"/>
            <w:right w:w="0" w:type="dxa"/>
          </w:tblCellMar>
        </w:tblPrEx>
        <w:trPr>
          <w:trHeight w:val="340" w:hRule="atLeast"/>
          <w:jc w:val="center"/>
        </w:trPr>
        <w:tc>
          <w:tcPr>
            <w:tcW w:w="953" w:type="dxa"/>
            <w:vMerge w:val="continue"/>
            <w:tcBorders>
              <w:top w:val="single" w:color="auto" w:sz="4" w:space="0"/>
              <w:left w:val="nil"/>
              <w:bottom w:val="single" w:color="auto" w:sz="4" w:space="0"/>
              <w:right w:val="single" w:color="auto" w:sz="4" w:space="0"/>
            </w:tcBorders>
            <w:vAlign w:val="center"/>
          </w:tcPr>
          <w:p w14:paraId="660F4F4B">
            <w:pPr>
              <w:widowControl w:val="0"/>
              <w:adjustRightInd w:val="0"/>
              <w:snapToGrid w:val="0"/>
              <w:spacing w:line="216" w:lineRule="auto"/>
              <w:ind w:left="-105" w:right="-105"/>
              <w:jc w:val="center"/>
              <w:rPr>
                <w:rFonts w:ascii="Times New Roman" w:hAnsi="Times New Roman" w:cs="Times New Roman"/>
                <w:color w:val="auto"/>
                <w:sz w:val="21"/>
                <w:szCs w:val="21"/>
                <w:highlight w:val="none"/>
              </w:rPr>
            </w:pPr>
          </w:p>
        </w:tc>
        <w:tc>
          <w:tcPr>
            <w:tcW w:w="1541" w:type="dxa"/>
            <w:vMerge w:val="continue"/>
            <w:tcBorders>
              <w:top w:val="single" w:color="auto" w:sz="4" w:space="0"/>
              <w:left w:val="single" w:color="auto" w:sz="4" w:space="0"/>
              <w:bottom w:val="single" w:color="auto" w:sz="4" w:space="0"/>
              <w:right w:val="single" w:color="auto" w:sz="4" w:space="0"/>
            </w:tcBorders>
            <w:vAlign w:val="center"/>
          </w:tcPr>
          <w:p w14:paraId="17EBE41F">
            <w:pPr>
              <w:widowControl w:val="0"/>
              <w:adjustRightInd w:val="0"/>
              <w:snapToGrid w:val="0"/>
              <w:spacing w:line="216" w:lineRule="auto"/>
              <w:ind w:left="-105" w:right="-105"/>
              <w:jc w:val="center"/>
              <w:rPr>
                <w:rFonts w:ascii="Times New Roman" w:hAnsi="Times New Roman" w:cs="Times New Roman"/>
                <w:color w:val="auto"/>
                <w:sz w:val="21"/>
                <w:szCs w:val="21"/>
                <w:highlight w:val="none"/>
              </w:rPr>
            </w:pPr>
          </w:p>
        </w:tc>
        <w:tc>
          <w:tcPr>
            <w:tcW w:w="2992" w:type="dxa"/>
            <w:tcBorders>
              <w:top w:val="single" w:color="auto" w:sz="4" w:space="0"/>
              <w:left w:val="single" w:color="auto" w:sz="4" w:space="0"/>
              <w:bottom w:val="single" w:color="auto" w:sz="4" w:space="0"/>
              <w:right w:val="single" w:color="auto" w:sz="4" w:space="0"/>
            </w:tcBorders>
            <w:vAlign w:val="center"/>
          </w:tcPr>
          <w:p w14:paraId="631EA165">
            <w:pPr>
              <w:widowControl w:val="0"/>
              <w:adjustRightInd w:val="0"/>
              <w:snapToGrid w:val="0"/>
              <w:spacing w:line="216" w:lineRule="auto"/>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日最大降水量</w:t>
            </w:r>
          </w:p>
        </w:tc>
        <w:tc>
          <w:tcPr>
            <w:tcW w:w="3087" w:type="dxa"/>
            <w:tcBorders>
              <w:top w:val="single" w:color="auto" w:sz="4" w:space="0"/>
              <w:left w:val="single" w:color="auto" w:sz="4" w:space="0"/>
              <w:bottom w:val="single" w:color="auto" w:sz="4" w:space="0"/>
              <w:right w:val="nil"/>
            </w:tcBorders>
            <w:vAlign w:val="center"/>
          </w:tcPr>
          <w:p w14:paraId="0E41E2EA">
            <w:pPr>
              <w:widowControl w:val="0"/>
              <w:adjustRightInd w:val="0"/>
              <w:snapToGrid w:val="0"/>
              <w:spacing w:line="216" w:lineRule="auto"/>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552.9mm</w:t>
            </w:r>
          </w:p>
        </w:tc>
      </w:tr>
      <w:tr w14:paraId="19A60D19">
        <w:tblPrEx>
          <w:tblBorders>
            <w:top w:val="single" w:color="auto" w:sz="12" w:space="0"/>
            <w:left w:val="none" w:color="auto" w:sz="0" w:space="0"/>
            <w:bottom w:val="single" w:color="auto" w:sz="12" w:space="0"/>
            <w:right w:val="none" w:color="auto" w:sz="0" w:space="0"/>
            <w:insideH w:val="single" w:color="auto" w:sz="12" w:space="0"/>
            <w:insideV w:val="single" w:color="auto" w:sz="12" w:space="0"/>
          </w:tblBorders>
          <w:tblCellMar>
            <w:top w:w="0" w:type="dxa"/>
            <w:left w:w="0" w:type="dxa"/>
            <w:bottom w:w="0" w:type="dxa"/>
            <w:right w:w="0" w:type="dxa"/>
          </w:tblCellMar>
        </w:tblPrEx>
        <w:trPr>
          <w:trHeight w:val="340" w:hRule="atLeast"/>
          <w:jc w:val="center"/>
        </w:trPr>
        <w:tc>
          <w:tcPr>
            <w:tcW w:w="953" w:type="dxa"/>
            <w:vMerge w:val="continue"/>
            <w:tcBorders>
              <w:top w:val="single" w:color="auto" w:sz="4" w:space="0"/>
              <w:left w:val="nil"/>
              <w:bottom w:val="single" w:color="auto" w:sz="4" w:space="0"/>
              <w:right w:val="single" w:color="auto" w:sz="4" w:space="0"/>
            </w:tcBorders>
            <w:vAlign w:val="center"/>
          </w:tcPr>
          <w:p w14:paraId="33D118B2">
            <w:pPr>
              <w:widowControl w:val="0"/>
              <w:adjustRightInd w:val="0"/>
              <w:snapToGrid w:val="0"/>
              <w:spacing w:line="216" w:lineRule="auto"/>
              <w:ind w:left="-105" w:right="-105"/>
              <w:jc w:val="center"/>
              <w:rPr>
                <w:rFonts w:ascii="Times New Roman" w:hAnsi="Times New Roman" w:cs="Times New Roman"/>
                <w:color w:val="auto"/>
                <w:sz w:val="21"/>
                <w:szCs w:val="21"/>
                <w:highlight w:val="none"/>
              </w:rPr>
            </w:pPr>
          </w:p>
        </w:tc>
        <w:tc>
          <w:tcPr>
            <w:tcW w:w="1541" w:type="dxa"/>
            <w:vMerge w:val="continue"/>
            <w:tcBorders>
              <w:top w:val="single" w:color="auto" w:sz="4" w:space="0"/>
              <w:left w:val="single" w:color="auto" w:sz="4" w:space="0"/>
              <w:bottom w:val="single" w:color="auto" w:sz="4" w:space="0"/>
              <w:right w:val="single" w:color="auto" w:sz="4" w:space="0"/>
            </w:tcBorders>
            <w:vAlign w:val="center"/>
          </w:tcPr>
          <w:p w14:paraId="630A1484">
            <w:pPr>
              <w:widowControl w:val="0"/>
              <w:adjustRightInd w:val="0"/>
              <w:snapToGrid w:val="0"/>
              <w:spacing w:line="216" w:lineRule="auto"/>
              <w:ind w:left="-105" w:right="-105"/>
              <w:jc w:val="center"/>
              <w:rPr>
                <w:rFonts w:ascii="Times New Roman" w:hAnsi="Times New Roman" w:cs="Times New Roman"/>
                <w:color w:val="auto"/>
                <w:sz w:val="21"/>
                <w:szCs w:val="21"/>
                <w:highlight w:val="none"/>
              </w:rPr>
            </w:pPr>
          </w:p>
        </w:tc>
        <w:tc>
          <w:tcPr>
            <w:tcW w:w="2992" w:type="dxa"/>
            <w:tcBorders>
              <w:top w:val="single" w:color="auto" w:sz="4" w:space="0"/>
              <w:left w:val="single" w:color="auto" w:sz="4" w:space="0"/>
              <w:bottom w:val="single" w:color="auto" w:sz="4" w:space="0"/>
              <w:right w:val="single" w:color="auto" w:sz="4" w:space="0"/>
            </w:tcBorders>
            <w:vAlign w:val="center"/>
          </w:tcPr>
          <w:p w14:paraId="3FCBC59D">
            <w:pPr>
              <w:widowControl w:val="0"/>
              <w:adjustRightInd w:val="0"/>
              <w:snapToGrid w:val="0"/>
              <w:spacing w:line="216" w:lineRule="auto"/>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小时最大降水量</w:t>
            </w:r>
          </w:p>
        </w:tc>
        <w:tc>
          <w:tcPr>
            <w:tcW w:w="3087" w:type="dxa"/>
            <w:tcBorders>
              <w:top w:val="single" w:color="auto" w:sz="4" w:space="0"/>
              <w:left w:val="single" w:color="auto" w:sz="4" w:space="0"/>
              <w:bottom w:val="single" w:color="auto" w:sz="4" w:space="0"/>
              <w:right w:val="nil"/>
            </w:tcBorders>
            <w:vAlign w:val="center"/>
          </w:tcPr>
          <w:p w14:paraId="34E187D1">
            <w:pPr>
              <w:widowControl w:val="0"/>
              <w:adjustRightInd w:val="0"/>
              <w:snapToGrid w:val="0"/>
              <w:spacing w:line="216" w:lineRule="auto"/>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65mm</w:t>
            </w:r>
          </w:p>
        </w:tc>
      </w:tr>
      <w:tr w14:paraId="218E2C00">
        <w:tblPrEx>
          <w:tblBorders>
            <w:top w:val="single" w:color="auto" w:sz="12" w:space="0"/>
            <w:left w:val="none" w:color="auto" w:sz="0" w:space="0"/>
            <w:bottom w:val="single" w:color="auto" w:sz="12" w:space="0"/>
            <w:right w:val="none" w:color="auto" w:sz="0" w:space="0"/>
            <w:insideH w:val="single" w:color="auto" w:sz="12" w:space="0"/>
            <w:insideV w:val="single" w:color="auto" w:sz="12" w:space="0"/>
          </w:tblBorders>
          <w:tblCellMar>
            <w:top w:w="0" w:type="dxa"/>
            <w:left w:w="0" w:type="dxa"/>
            <w:bottom w:w="0" w:type="dxa"/>
            <w:right w:w="0" w:type="dxa"/>
          </w:tblCellMar>
        </w:tblPrEx>
        <w:trPr>
          <w:trHeight w:val="340" w:hRule="atLeast"/>
          <w:jc w:val="center"/>
        </w:trPr>
        <w:tc>
          <w:tcPr>
            <w:tcW w:w="953" w:type="dxa"/>
            <w:vMerge w:val="restart"/>
            <w:tcBorders>
              <w:top w:val="single" w:color="auto" w:sz="4" w:space="0"/>
              <w:left w:val="nil"/>
              <w:bottom w:val="single" w:color="auto" w:sz="4" w:space="0"/>
              <w:right w:val="single" w:color="auto" w:sz="4" w:space="0"/>
            </w:tcBorders>
            <w:vAlign w:val="center"/>
          </w:tcPr>
          <w:p w14:paraId="0811CA3F">
            <w:pPr>
              <w:widowControl w:val="0"/>
              <w:adjustRightInd w:val="0"/>
              <w:snapToGrid w:val="0"/>
              <w:spacing w:line="216" w:lineRule="auto"/>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6</w:t>
            </w:r>
          </w:p>
        </w:tc>
        <w:tc>
          <w:tcPr>
            <w:tcW w:w="1541" w:type="dxa"/>
            <w:vMerge w:val="restart"/>
            <w:tcBorders>
              <w:top w:val="single" w:color="auto" w:sz="4" w:space="0"/>
              <w:left w:val="single" w:color="auto" w:sz="4" w:space="0"/>
              <w:bottom w:val="single" w:color="auto" w:sz="4" w:space="0"/>
              <w:right w:val="single" w:color="auto" w:sz="4" w:space="0"/>
            </w:tcBorders>
            <w:vAlign w:val="center"/>
          </w:tcPr>
          <w:p w14:paraId="04E90194">
            <w:pPr>
              <w:widowControl w:val="0"/>
              <w:adjustRightInd w:val="0"/>
              <w:snapToGrid w:val="0"/>
              <w:spacing w:line="216" w:lineRule="auto"/>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积雪、冻土深度</w:t>
            </w:r>
          </w:p>
        </w:tc>
        <w:tc>
          <w:tcPr>
            <w:tcW w:w="2992" w:type="dxa"/>
            <w:tcBorders>
              <w:top w:val="single" w:color="auto" w:sz="4" w:space="0"/>
              <w:left w:val="single" w:color="auto" w:sz="4" w:space="0"/>
              <w:bottom w:val="single" w:color="auto" w:sz="4" w:space="0"/>
              <w:right w:val="single" w:color="auto" w:sz="4" w:space="0"/>
            </w:tcBorders>
            <w:vAlign w:val="center"/>
          </w:tcPr>
          <w:p w14:paraId="67063C30">
            <w:pPr>
              <w:widowControl w:val="0"/>
              <w:adjustRightInd w:val="0"/>
              <w:snapToGrid w:val="0"/>
              <w:spacing w:line="216" w:lineRule="auto"/>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最大积雪深度</w:t>
            </w:r>
          </w:p>
        </w:tc>
        <w:tc>
          <w:tcPr>
            <w:tcW w:w="3087" w:type="dxa"/>
            <w:tcBorders>
              <w:top w:val="single" w:color="auto" w:sz="4" w:space="0"/>
              <w:left w:val="single" w:color="auto" w:sz="4" w:space="0"/>
              <w:bottom w:val="single" w:color="auto" w:sz="4" w:space="0"/>
              <w:right w:val="nil"/>
            </w:tcBorders>
            <w:vAlign w:val="center"/>
          </w:tcPr>
          <w:p w14:paraId="69A9B50E">
            <w:pPr>
              <w:widowControl w:val="0"/>
              <w:adjustRightInd w:val="0"/>
              <w:snapToGrid w:val="0"/>
              <w:spacing w:line="216" w:lineRule="auto"/>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300mm</w:t>
            </w:r>
          </w:p>
        </w:tc>
      </w:tr>
      <w:tr w14:paraId="49C75688">
        <w:tblPrEx>
          <w:tblBorders>
            <w:top w:val="single" w:color="auto" w:sz="12" w:space="0"/>
            <w:left w:val="none" w:color="auto" w:sz="0" w:space="0"/>
            <w:bottom w:val="single" w:color="auto" w:sz="12" w:space="0"/>
            <w:right w:val="none" w:color="auto" w:sz="0" w:space="0"/>
            <w:insideH w:val="single" w:color="auto" w:sz="12" w:space="0"/>
            <w:insideV w:val="single" w:color="auto" w:sz="12" w:space="0"/>
          </w:tblBorders>
          <w:tblCellMar>
            <w:top w:w="0" w:type="dxa"/>
            <w:left w:w="0" w:type="dxa"/>
            <w:bottom w:w="0" w:type="dxa"/>
            <w:right w:w="0" w:type="dxa"/>
          </w:tblCellMar>
        </w:tblPrEx>
        <w:trPr>
          <w:trHeight w:val="340" w:hRule="atLeast"/>
          <w:jc w:val="center"/>
        </w:trPr>
        <w:tc>
          <w:tcPr>
            <w:tcW w:w="953" w:type="dxa"/>
            <w:vMerge w:val="continue"/>
            <w:tcBorders>
              <w:top w:val="single" w:color="auto" w:sz="4" w:space="0"/>
              <w:left w:val="nil"/>
              <w:bottom w:val="single" w:color="auto" w:sz="4" w:space="0"/>
              <w:right w:val="single" w:color="auto" w:sz="4" w:space="0"/>
            </w:tcBorders>
            <w:vAlign w:val="center"/>
          </w:tcPr>
          <w:p w14:paraId="64AD3F11">
            <w:pPr>
              <w:widowControl w:val="0"/>
              <w:adjustRightInd w:val="0"/>
              <w:snapToGrid w:val="0"/>
              <w:spacing w:line="216" w:lineRule="auto"/>
              <w:ind w:left="-105" w:right="-105"/>
              <w:jc w:val="center"/>
              <w:rPr>
                <w:rFonts w:ascii="Times New Roman" w:hAnsi="Times New Roman" w:cs="Times New Roman"/>
                <w:color w:val="auto"/>
                <w:sz w:val="21"/>
                <w:szCs w:val="21"/>
                <w:highlight w:val="none"/>
              </w:rPr>
            </w:pPr>
          </w:p>
        </w:tc>
        <w:tc>
          <w:tcPr>
            <w:tcW w:w="1541" w:type="dxa"/>
            <w:vMerge w:val="continue"/>
            <w:tcBorders>
              <w:top w:val="single" w:color="auto" w:sz="4" w:space="0"/>
              <w:left w:val="single" w:color="auto" w:sz="4" w:space="0"/>
              <w:bottom w:val="single" w:color="auto" w:sz="4" w:space="0"/>
              <w:right w:val="single" w:color="auto" w:sz="4" w:space="0"/>
            </w:tcBorders>
            <w:vAlign w:val="center"/>
          </w:tcPr>
          <w:p w14:paraId="3CE77B97">
            <w:pPr>
              <w:widowControl w:val="0"/>
              <w:adjustRightInd w:val="0"/>
              <w:snapToGrid w:val="0"/>
              <w:spacing w:line="216" w:lineRule="auto"/>
              <w:ind w:left="-105" w:right="-105"/>
              <w:jc w:val="center"/>
              <w:rPr>
                <w:rFonts w:ascii="Times New Roman" w:hAnsi="Times New Roman" w:cs="Times New Roman"/>
                <w:color w:val="auto"/>
                <w:sz w:val="21"/>
                <w:szCs w:val="21"/>
                <w:highlight w:val="none"/>
              </w:rPr>
            </w:pPr>
          </w:p>
        </w:tc>
        <w:tc>
          <w:tcPr>
            <w:tcW w:w="2992" w:type="dxa"/>
            <w:tcBorders>
              <w:top w:val="single" w:color="auto" w:sz="4" w:space="0"/>
              <w:left w:val="single" w:color="auto" w:sz="4" w:space="0"/>
              <w:bottom w:val="single" w:color="auto" w:sz="4" w:space="0"/>
              <w:right w:val="single" w:color="auto" w:sz="4" w:space="0"/>
            </w:tcBorders>
            <w:vAlign w:val="center"/>
          </w:tcPr>
          <w:p w14:paraId="6182530D">
            <w:pPr>
              <w:widowControl w:val="0"/>
              <w:adjustRightInd w:val="0"/>
              <w:snapToGrid w:val="0"/>
              <w:spacing w:line="216" w:lineRule="auto"/>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最大冻土深度</w:t>
            </w:r>
          </w:p>
        </w:tc>
        <w:tc>
          <w:tcPr>
            <w:tcW w:w="3087" w:type="dxa"/>
            <w:tcBorders>
              <w:top w:val="single" w:color="auto" w:sz="4" w:space="0"/>
              <w:left w:val="single" w:color="auto" w:sz="4" w:space="0"/>
              <w:bottom w:val="single" w:color="auto" w:sz="4" w:space="0"/>
              <w:right w:val="nil"/>
            </w:tcBorders>
            <w:vAlign w:val="center"/>
          </w:tcPr>
          <w:p w14:paraId="12B75A51">
            <w:pPr>
              <w:widowControl w:val="0"/>
              <w:adjustRightInd w:val="0"/>
              <w:snapToGrid w:val="0"/>
              <w:spacing w:line="216" w:lineRule="auto"/>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120mm</w:t>
            </w:r>
          </w:p>
        </w:tc>
      </w:tr>
      <w:tr w14:paraId="403C24A7">
        <w:tblPrEx>
          <w:tblBorders>
            <w:top w:val="single" w:color="auto" w:sz="12" w:space="0"/>
            <w:left w:val="none" w:color="auto" w:sz="0" w:space="0"/>
            <w:bottom w:val="single" w:color="auto" w:sz="12" w:space="0"/>
            <w:right w:val="none" w:color="auto" w:sz="0" w:space="0"/>
            <w:insideH w:val="single" w:color="auto" w:sz="12" w:space="0"/>
            <w:insideV w:val="single" w:color="auto" w:sz="12" w:space="0"/>
          </w:tblBorders>
          <w:tblCellMar>
            <w:top w:w="0" w:type="dxa"/>
            <w:left w:w="0" w:type="dxa"/>
            <w:bottom w:w="0" w:type="dxa"/>
            <w:right w:w="0" w:type="dxa"/>
          </w:tblCellMar>
        </w:tblPrEx>
        <w:trPr>
          <w:trHeight w:val="340" w:hRule="atLeast"/>
          <w:jc w:val="center"/>
        </w:trPr>
        <w:tc>
          <w:tcPr>
            <w:tcW w:w="953" w:type="dxa"/>
            <w:vMerge w:val="restart"/>
            <w:tcBorders>
              <w:top w:val="single" w:color="auto" w:sz="4" w:space="0"/>
              <w:left w:val="nil"/>
              <w:bottom w:val="single" w:color="auto" w:sz="4" w:space="0"/>
              <w:right w:val="single" w:color="auto" w:sz="4" w:space="0"/>
            </w:tcBorders>
            <w:vAlign w:val="center"/>
          </w:tcPr>
          <w:p w14:paraId="5E66FE69">
            <w:pPr>
              <w:widowControl w:val="0"/>
              <w:adjustRightInd w:val="0"/>
              <w:snapToGrid w:val="0"/>
              <w:spacing w:line="216" w:lineRule="auto"/>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7</w:t>
            </w:r>
          </w:p>
        </w:tc>
        <w:tc>
          <w:tcPr>
            <w:tcW w:w="1541" w:type="dxa"/>
            <w:vMerge w:val="restart"/>
            <w:tcBorders>
              <w:top w:val="single" w:color="auto" w:sz="4" w:space="0"/>
              <w:left w:val="single" w:color="auto" w:sz="4" w:space="0"/>
              <w:bottom w:val="single" w:color="auto" w:sz="4" w:space="0"/>
              <w:right w:val="single" w:color="auto" w:sz="4" w:space="0"/>
            </w:tcBorders>
            <w:vAlign w:val="center"/>
          </w:tcPr>
          <w:p w14:paraId="09C5D0B6">
            <w:pPr>
              <w:widowControl w:val="0"/>
              <w:adjustRightInd w:val="0"/>
              <w:snapToGrid w:val="0"/>
              <w:spacing w:line="216" w:lineRule="auto"/>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风向和频率</w:t>
            </w:r>
          </w:p>
        </w:tc>
        <w:tc>
          <w:tcPr>
            <w:tcW w:w="2992" w:type="dxa"/>
            <w:tcBorders>
              <w:top w:val="single" w:color="auto" w:sz="4" w:space="0"/>
              <w:left w:val="single" w:color="auto" w:sz="4" w:space="0"/>
              <w:bottom w:val="single" w:color="auto" w:sz="4" w:space="0"/>
              <w:right w:val="single" w:color="auto" w:sz="4" w:space="0"/>
            </w:tcBorders>
            <w:vAlign w:val="center"/>
          </w:tcPr>
          <w:p w14:paraId="0817246E">
            <w:pPr>
              <w:widowControl w:val="0"/>
              <w:adjustRightInd w:val="0"/>
              <w:snapToGrid w:val="0"/>
              <w:spacing w:line="216" w:lineRule="auto"/>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年主导风向和频率</w:t>
            </w:r>
          </w:p>
        </w:tc>
        <w:tc>
          <w:tcPr>
            <w:tcW w:w="3087" w:type="dxa"/>
            <w:tcBorders>
              <w:top w:val="single" w:color="auto" w:sz="4" w:space="0"/>
              <w:left w:val="single" w:color="auto" w:sz="4" w:space="0"/>
              <w:bottom w:val="single" w:color="auto" w:sz="4" w:space="0"/>
              <w:right w:val="nil"/>
            </w:tcBorders>
            <w:vAlign w:val="center"/>
          </w:tcPr>
          <w:p w14:paraId="2FE31F9E">
            <w:pPr>
              <w:widowControl w:val="0"/>
              <w:adjustRightInd w:val="0"/>
              <w:snapToGrid w:val="0"/>
              <w:spacing w:line="216" w:lineRule="auto"/>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ENE10.4%</w:t>
            </w:r>
          </w:p>
        </w:tc>
      </w:tr>
      <w:tr w14:paraId="3C568C51">
        <w:tblPrEx>
          <w:tblBorders>
            <w:top w:val="single" w:color="auto" w:sz="12" w:space="0"/>
            <w:left w:val="none" w:color="auto" w:sz="0" w:space="0"/>
            <w:bottom w:val="single" w:color="auto" w:sz="12" w:space="0"/>
            <w:right w:val="none" w:color="auto" w:sz="0" w:space="0"/>
            <w:insideH w:val="single" w:color="auto" w:sz="12" w:space="0"/>
            <w:insideV w:val="single" w:color="auto" w:sz="12" w:space="0"/>
          </w:tblBorders>
          <w:tblCellMar>
            <w:top w:w="0" w:type="dxa"/>
            <w:left w:w="0" w:type="dxa"/>
            <w:bottom w:w="0" w:type="dxa"/>
            <w:right w:w="0" w:type="dxa"/>
          </w:tblCellMar>
        </w:tblPrEx>
        <w:trPr>
          <w:trHeight w:val="340" w:hRule="atLeast"/>
          <w:jc w:val="center"/>
        </w:trPr>
        <w:tc>
          <w:tcPr>
            <w:tcW w:w="953" w:type="dxa"/>
            <w:vMerge w:val="continue"/>
            <w:tcBorders>
              <w:top w:val="single" w:color="auto" w:sz="4" w:space="0"/>
              <w:left w:val="nil"/>
              <w:bottom w:val="single" w:color="auto" w:sz="4" w:space="0"/>
              <w:right w:val="single" w:color="auto" w:sz="4" w:space="0"/>
            </w:tcBorders>
            <w:vAlign w:val="center"/>
          </w:tcPr>
          <w:p w14:paraId="02BD807F">
            <w:pPr>
              <w:widowControl w:val="0"/>
              <w:adjustRightInd w:val="0"/>
              <w:snapToGrid w:val="0"/>
              <w:spacing w:line="216" w:lineRule="auto"/>
              <w:ind w:left="-105" w:right="-105"/>
              <w:jc w:val="center"/>
              <w:rPr>
                <w:rFonts w:ascii="Times New Roman" w:hAnsi="Times New Roman" w:cs="Times New Roman"/>
                <w:color w:val="auto"/>
                <w:sz w:val="21"/>
                <w:szCs w:val="21"/>
                <w:highlight w:val="none"/>
              </w:rPr>
            </w:pPr>
          </w:p>
        </w:tc>
        <w:tc>
          <w:tcPr>
            <w:tcW w:w="1541" w:type="dxa"/>
            <w:vMerge w:val="continue"/>
            <w:tcBorders>
              <w:top w:val="single" w:color="auto" w:sz="4" w:space="0"/>
              <w:left w:val="single" w:color="auto" w:sz="4" w:space="0"/>
              <w:bottom w:val="single" w:color="auto" w:sz="4" w:space="0"/>
              <w:right w:val="single" w:color="auto" w:sz="4" w:space="0"/>
            </w:tcBorders>
            <w:vAlign w:val="center"/>
          </w:tcPr>
          <w:p w14:paraId="663D0C73">
            <w:pPr>
              <w:widowControl w:val="0"/>
              <w:adjustRightInd w:val="0"/>
              <w:snapToGrid w:val="0"/>
              <w:spacing w:line="216" w:lineRule="auto"/>
              <w:ind w:left="-105" w:right="-105"/>
              <w:jc w:val="center"/>
              <w:rPr>
                <w:rFonts w:ascii="Times New Roman" w:hAnsi="Times New Roman" w:cs="Times New Roman"/>
                <w:color w:val="auto"/>
                <w:sz w:val="21"/>
                <w:szCs w:val="21"/>
                <w:highlight w:val="none"/>
              </w:rPr>
            </w:pPr>
          </w:p>
        </w:tc>
        <w:tc>
          <w:tcPr>
            <w:tcW w:w="2992" w:type="dxa"/>
            <w:tcBorders>
              <w:top w:val="single" w:color="auto" w:sz="4" w:space="0"/>
              <w:left w:val="single" w:color="auto" w:sz="4" w:space="0"/>
              <w:bottom w:val="single" w:color="auto" w:sz="4" w:space="0"/>
              <w:right w:val="single" w:color="auto" w:sz="4" w:space="0"/>
            </w:tcBorders>
            <w:vAlign w:val="center"/>
          </w:tcPr>
          <w:p w14:paraId="43E1489F">
            <w:pPr>
              <w:widowControl w:val="0"/>
              <w:adjustRightInd w:val="0"/>
              <w:snapToGrid w:val="0"/>
              <w:spacing w:line="216" w:lineRule="auto"/>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冬季主导风向和频率</w:t>
            </w:r>
          </w:p>
        </w:tc>
        <w:tc>
          <w:tcPr>
            <w:tcW w:w="3087" w:type="dxa"/>
            <w:tcBorders>
              <w:top w:val="single" w:color="auto" w:sz="4" w:space="0"/>
              <w:left w:val="single" w:color="auto" w:sz="4" w:space="0"/>
              <w:bottom w:val="single" w:color="auto" w:sz="4" w:space="0"/>
              <w:right w:val="nil"/>
            </w:tcBorders>
            <w:vAlign w:val="center"/>
          </w:tcPr>
          <w:p w14:paraId="0C40F731">
            <w:pPr>
              <w:widowControl w:val="0"/>
              <w:adjustRightInd w:val="0"/>
              <w:snapToGrid w:val="0"/>
              <w:spacing w:line="216" w:lineRule="auto"/>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WNW12.5%</w:t>
            </w:r>
          </w:p>
        </w:tc>
      </w:tr>
      <w:tr w14:paraId="5BA9DC4F">
        <w:tblPrEx>
          <w:tblBorders>
            <w:top w:val="single" w:color="auto" w:sz="12" w:space="0"/>
            <w:left w:val="none" w:color="auto" w:sz="0" w:space="0"/>
            <w:bottom w:val="single" w:color="auto" w:sz="12" w:space="0"/>
            <w:right w:val="none" w:color="auto" w:sz="0" w:space="0"/>
            <w:insideH w:val="single" w:color="auto" w:sz="12" w:space="0"/>
            <w:insideV w:val="single" w:color="auto" w:sz="12" w:space="0"/>
          </w:tblBorders>
          <w:tblCellMar>
            <w:top w:w="0" w:type="dxa"/>
            <w:left w:w="0" w:type="dxa"/>
            <w:bottom w:w="0" w:type="dxa"/>
            <w:right w:w="0" w:type="dxa"/>
          </w:tblCellMar>
        </w:tblPrEx>
        <w:trPr>
          <w:trHeight w:val="340" w:hRule="atLeast"/>
          <w:jc w:val="center"/>
        </w:trPr>
        <w:tc>
          <w:tcPr>
            <w:tcW w:w="953" w:type="dxa"/>
            <w:vMerge w:val="continue"/>
            <w:tcBorders>
              <w:top w:val="single" w:color="auto" w:sz="4" w:space="0"/>
              <w:left w:val="nil"/>
              <w:bottom w:val="single" w:color="auto" w:sz="12" w:space="0"/>
              <w:right w:val="single" w:color="auto" w:sz="4" w:space="0"/>
            </w:tcBorders>
            <w:vAlign w:val="center"/>
          </w:tcPr>
          <w:p w14:paraId="33556F1A">
            <w:pPr>
              <w:widowControl w:val="0"/>
              <w:adjustRightInd w:val="0"/>
              <w:snapToGrid w:val="0"/>
              <w:spacing w:line="216" w:lineRule="auto"/>
              <w:ind w:left="-105" w:right="-105"/>
              <w:jc w:val="center"/>
              <w:rPr>
                <w:rFonts w:ascii="Times New Roman" w:hAnsi="Times New Roman" w:cs="Times New Roman"/>
                <w:color w:val="auto"/>
                <w:sz w:val="21"/>
                <w:szCs w:val="21"/>
                <w:highlight w:val="none"/>
              </w:rPr>
            </w:pPr>
          </w:p>
        </w:tc>
        <w:tc>
          <w:tcPr>
            <w:tcW w:w="1541" w:type="dxa"/>
            <w:vMerge w:val="continue"/>
            <w:tcBorders>
              <w:top w:val="single" w:color="auto" w:sz="4" w:space="0"/>
              <w:left w:val="single" w:color="auto" w:sz="4" w:space="0"/>
              <w:bottom w:val="single" w:color="auto" w:sz="12" w:space="0"/>
              <w:right w:val="single" w:color="auto" w:sz="4" w:space="0"/>
            </w:tcBorders>
            <w:vAlign w:val="center"/>
          </w:tcPr>
          <w:p w14:paraId="12F4908E">
            <w:pPr>
              <w:widowControl w:val="0"/>
              <w:adjustRightInd w:val="0"/>
              <w:snapToGrid w:val="0"/>
              <w:spacing w:line="216" w:lineRule="auto"/>
              <w:ind w:left="-105" w:right="-105"/>
              <w:jc w:val="center"/>
              <w:rPr>
                <w:rFonts w:ascii="Times New Roman" w:hAnsi="Times New Roman" w:cs="Times New Roman"/>
                <w:color w:val="auto"/>
                <w:sz w:val="21"/>
                <w:szCs w:val="21"/>
                <w:highlight w:val="none"/>
              </w:rPr>
            </w:pPr>
          </w:p>
        </w:tc>
        <w:tc>
          <w:tcPr>
            <w:tcW w:w="2992" w:type="dxa"/>
            <w:tcBorders>
              <w:top w:val="single" w:color="auto" w:sz="4" w:space="0"/>
              <w:left w:val="single" w:color="auto" w:sz="4" w:space="0"/>
              <w:bottom w:val="single" w:color="auto" w:sz="12" w:space="0"/>
              <w:right w:val="single" w:color="auto" w:sz="4" w:space="0"/>
            </w:tcBorders>
            <w:vAlign w:val="center"/>
          </w:tcPr>
          <w:p w14:paraId="44D2CD8D">
            <w:pPr>
              <w:widowControl w:val="0"/>
              <w:adjustRightInd w:val="0"/>
              <w:snapToGrid w:val="0"/>
              <w:spacing w:line="216" w:lineRule="auto"/>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夏季主导风向和频率</w:t>
            </w:r>
          </w:p>
        </w:tc>
        <w:tc>
          <w:tcPr>
            <w:tcW w:w="3087" w:type="dxa"/>
            <w:tcBorders>
              <w:top w:val="single" w:color="auto" w:sz="4" w:space="0"/>
              <w:left w:val="single" w:color="auto" w:sz="4" w:space="0"/>
              <w:bottom w:val="single" w:color="auto" w:sz="12" w:space="0"/>
              <w:right w:val="nil"/>
            </w:tcBorders>
            <w:vAlign w:val="center"/>
          </w:tcPr>
          <w:p w14:paraId="207EA613">
            <w:pPr>
              <w:widowControl w:val="0"/>
              <w:adjustRightInd w:val="0"/>
              <w:snapToGrid w:val="0"/>
              <w:spacing w:line="216" w:lineRule="auto"/>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SE15%</w:t>
            </w:r>
          </w:p>
        </w:tc>
      </w:tr>
      <w:bookmarkEnd w:id="307"/>
    </w:tbl>
    <w:p w14:paraId="3AC6DBC4">
      <w:pPr>
        <w:pStyle w:val="5"/>
        <w:keepLines w:val="0"/>
        <w:numPr>
          <w:ilvl w:val="0"/>
          <w:numId w:val="0"/>
        </w:numPr>
        <w:tabs>
          <w:tab w:val="left" w:pos="-568"/>
          <w:tab w:val="left" w:pos="0"/>
          <w:tab w:val="left" w:pos="567"/>
          <w:tab w:val="left" w:pos="709"/>
        </w:tabs>
        <w:spacing w:before="120" w:beforeLines="50" w:after="120" w:afterLines="50" w:line="360" w:lineRule="auto"/>
        <w:ind w:right="-105"/>
        <w:rPr>
          <w:rFonts w:eastAsia="宋体"/>
          <w:color w:val="auto"/>
          <w:sz w:val="28"/>
          <w:szCs w:val="28"/>
          <w:highlight w:val="none"/>
        </w:rPr>
      </w:pPr>
      <w:bookmarkStart w:id="309" w:name="_Toc60653530"/>
      <w:bookmarkStart w:id="310" w:name="_Toc474162980"/>
      <w:r>
        <w:rPr>
          <w:rFonts w:eastAsia="宋体"/>
          <w:color w:val="auto"/>
          <w:sz w:val="28"/>
          <w:szCs w:val="28"/>
          <w:highlight w:val="none"/>
        </w:rPr>
        <w:t>5.1.</w:t>
      </w:r>
      <w:r>
        <w:rPr>
          <w:rFonts w:hint="eastAsia" w:eastAsia="宋体"/>
          <w:color w:val="auto"/>
          <w:sz w:val="28"/>
          <w:szCs w:val="28"/>
          <w:highlight w:val="none"/>
        </w:rPr>
        <w:t>6</w:t>
      </w:r>
      <w:r>
        <w:rPr>
          <w:rFonts w:eastAsia="宋体"/>
          <w:color w:val="auto"/>
          <w:sz w:val="28"/>
          <w:szCs w:val="28"/>
          <w:highlight w:val="none"/>
        </w:rPr>
        <w:t>生态环境</w:t>
      </w:r>
      <w:bookmarkEnd w:id="309"/>
    </w:p>
    <w:p w14:paraId="2012EDC4">
      <w:pPr>
        <w:spacing w:line="360" w:lineRule="auto"/>
        <w:ind w:left="-105" w:right="-105" w:firstLine="480"/>
        <w:rPr>
          <w:rFonts w:ascii="Times New Roman" w:hAnsi="Times New Roman"/>
          <w:color w:val="auto"/>
          <w:highlight w:val="none"/>
        </w:rPr>
      </w:pPr>
      <w:r>
        <w:rPr>
          <w:rFonts w:ascii="Times New Roman" w:hAnsi="Times New Roman"/>
          <w:color w:val="auto"/>
          <w:highlight w:val="none"/>
        </w:rPr>
        <w:t>由于多年的开发活动，本区自然生态环境已为人工生态环境所取代。长期的精耕细作，形成了本区良好的农业生态环境，区内土地肥沃，排灌条件良好，植被主要以三麦、水稻、蚕豌豆、玉米、大豆、薯类等粮食作物和油菜籽等经济作物为主，其他农作物包括蔬菜、瓜类、茶叶等。此外，道路、河道两旁及房前屋后栽种的各种绿化或经济林木也有效地改善了生态环境质量。</w:t>
      </w:r>
    </w:p>
    <w:p w14:paraId="2C37497B">
      <w:pPr>
        <w:spacing w:line="360" w:lineRule="auto"/>
        <w:ind w:left="-105" w:right="-105" w:firstLine="480"/>
        <w:rPr>
          <w:rFonts w:ascii="Times New Roman" w:hAnsi="Times New Roman"/>
          <w:color w:val="auto"/>
          <w:highlight w:val="none"/>
        </w:rPr>
        <w:sectPr>
          <w:pgSz w:w="11906" w:h="16838"/>
          <w:pgMar w:top="1440" w:right="1701" w:bottom="1440" w:left="1701" w:header="851" w:footer="851" w:gutter="0"/>
          <w:pgBorders>
            <w:top w:val="none" w:sz="0" w:space="0"/>
            <w:left w:val="none" w:sz="0" w:space="0"/>
            <w:bottom w:val="none" w:sz="0" w:space="0"/>
            <w:right w:val="none" w:sz="0" w:space="0"/>
          </w:pgBorders>
          <w:cols w:space="720" w:num="1"/>
          <w:docGrid w:linePitch="498" w:charSpace="-2336"/>
        </w:sectPr>
      </w:pPr>
      <w:r>
        <w:rPr>
          <w:rFonts w:ascii="Times New Roman" w:hAnsi="Times New Roman"/>
          <w:color w:val="auto"/>
          <w:highlight w:val="none"/>
        </w:rPr>
        <w:t>本区陆生动物除了人工饲养的牛、猪、鸡、兔、羊之外，还有少量的野生动物，包括乌、鼠、蛇、蛙、昆虫等。但已无大型野生哺乳动物；渔业主要是人工饲养的鲤、鲢、青、草、虾、蟹等，水生植物包括苇、芦、蒲、菱等。</w:t>
      </w:r>
    </w:p>
    <w:bookmarkEnd w:id="310"/>
    <w:p w14:paraId="52CB7770">
      <w:pPr>
        <w:pStyle w:val="4"/>
        <w:numPr>
          <w:ilvl w:val="1"/>
          <w:numId w:val="6"/>
        </w:numPr>
        <w:tabs>
          <w:tab w:val="left" w:pos="426"/>
        </w:tabs>
        <w:spacing w:before="120" w:beforeLines="50" w:after="120" w:afterLines="50" w:line="360" w:lineRule="auto"/>
        <w:ind w:left="-105" w:right="-105"/>
        <w:rPr>
          <w:rFonts w:ascii="Times New Roman" w:eastAsia="宋体"/>
          <w:color w:val="auto"/>
          <w:sz w:val="28"/>
          <w:szCs w:val="28"/>
          <w:highlight w:val="none"/>
        </w:rPr>
      </w:pPr>
      <w:bookmarkStart w:id="311" w:name="_Toc3642"/>
      <w:bookmarkStart w:id="312" w:name="_Toc21589"/>
      <w:bookmarkStart w:id="313" w:name="_Toc60653534"/>
      <w:bookmarkStart w:id="314" w:name="_Toc379798030"/>
      <w:bookmarkStart w:id="315" w:name="_Toc24942"/>
      <w:bookmarkStart w:id="316" w:name="_Toc24632"/>
      <w:bookmarkStart w:id="317" w:name="_Toc12545"/>
      <w:bookmarkStart w:id="318" w:name="_Toc29532"/>
      <w:bookmarkStart w:id="319" w:name="_Toc327968229"/>
      <w:bookmarkStart w:id="320" w:name="_Toc379799524"/>
      <w:bookmarkStart w:id="321" w:name="_Toc7758"/>
      <w:bookmarkStart w:id="322" w:name="_Toc25566"/>
      <w:bookmarkStart w:id="323" w:name="_Toc26055"/>
      <w:bookmarkStart w:id="324" w:name="_Toc23300"/>
      <w:bookmarkStart w:id="325" w:name="_Toc677"/>
      <w:bookmarkStart w:id="326" w:name="_Toc341825063"/>
      <w:bookmarkStart w:id="327" w:name="_Toc384725659"/>
      <w:bookmarkStart w:id="328" w:name="_Toc5969"/>
      <w:bookmarkStart w:id="329" w:name="_Toc379798381"/>
      <w:r>
        <w:rPr>
          <w:rFonts w:ascii="Times New Roman" w:eastAsia="宋体"/>
          <w:color w:val="auto"/>
          <w:sz w:val="28"/>
          <w:szCs w:val="28"/>
          <w:highlight w:val="none"/>
        </w:rPr>
        <w:t>区域污染源现状调查与评价</w:t>
      </w:r>
      <w:bookmarkEnd w:id="311"/>
      <w:bookmarkEnd w:id="312"/>
      <w:bookmarkEnd w:id="313"/>
    </w:p>
    <w:p w14:paraId="1A7D73EE">
      <w:pPr>
        <w:pStyle w:val="5"/>
        <w:keepLines w:val="0"/>
        <w:numPr>
          <w:ilvl w:val="0"/>
          <w:numId w:val="0"/>
        </w:numPr>
        <w:tabs>
          <w:tab w:val="left" w:pos="-568"/>
          <w:tab w:val="left" w:pos="0"/>
          <w:tab w:val="left" w:pos="567"/>
          <w:tab w:val="left" w:pos="709"/>
        </w:tabs>
        <w:spacing w:before="120" w:beforeLines="50" w:after="120" w:afterLines="50" w:line="360" w:lineRule="auto"/>
        <w:ind w:right="-105"/>
        <w:rPr>
          <w:rFonts w:eastAsia="宋体"/>
          <w:color w:val="auto"/>
          <w:sz w:val="28"/>
          <w:szCs w:val="28"/>
          <w:highlight w:val="none"/>
        </w:rPr>
      </w:pPr>
      <w:bookmarkStart w:id="330" w:name="_Toc60653536"/>
      <w:r>
        <w:rPr>
          <w:rFonts w:hint="eastAsia" w:eastAsia="宋体"/>
          <w:color w:val="auto"/>
          <w:sz w:val="28"/>
          <w:szCs w:val="28"/>
          <w:highlight w:val="none"/>
        </w:rPr>
        <w:t>5.2.1</w:t>
      </w:r>
      <w:r>
        <w:rPr>
          <w:rFonts w:eastAsia="宋体"/>
          <w:color w:val="auto"/>
          <w:sz w:val="28"/>
          <w:szCs w:val="28"/>
          <w:highlight w:val="none"/>
        </w:rPr>
        <w:t>评价区大气污染源调查</w:t>
      </w:r>
      <w:bookmarkEnd w:id="330"/>
      <w:r>
        <w:rPr>
          <w:rFonts w:eastAsia="宋体"/>
          <w:color w:val="auto"/>
          <w:sz w:val="28"/>
          <w:szCs w:val="28"/>
          <w:highlight w:val="none"/>
        </w:rPr>
        <w:t>与评价</w:t>
      </w:r>
    </w:p>
    <w:p w14:paraId="174DE5B2">
      <w:pPr>
        <w:spacing w:line="360" w:lineRule="auto"/>
        <w:ind w:left="-105" w:right="-105" w:firstLine="480"/>
        <w:rPr>
          <w:rFonts w:ascii="Times New Roman" w:hAnsi="Times New Roman"/>
          <w:color w:val="auto"/>
          <w:highlight w:val="none"/>
        </w:rPr>
      </w:pPr>
      <w:r>
        <w:rPr>
          <w:rFonts w:ascii="Times New Roman" w:hAnsi="Times New Roman"/>
          <w:color w:val="auto"/>
          <w:highlight w:val="none"/>
        </w:rPr>
        <w:t>根据《环境影响评价技术导则大气环境》（HJ2.2-2018）章节7.1.2</w:t>
      </w:r>
      <w:r>
        <w:rPr>
          <w:rFonts w:hint="eastAsia" w:ascii="Times New Roman" w:hAnsi="Times New Roman"/>
          <w:color w:val="auto"/>
          <w:highlight w:val="none"/>
        </w:rPr>
        <w:t>“</w:t>
      </w:r>
      <w:r>
        <w:rPr>
          <w:rFonts w:ascii="Times New Roman" w:hAnsi="Times New Roman"/>
          <w:color w:val="auto"/>
          <w:highlight w:val="none"/>
        </w:rPr>
        <w:t>二级评价项目，参照7.1.1.1和7.1.1.2调查本项目现有及新增污染源和拟被替代的污染源</w:t>
      </w:r>
      <w:r>
        <w:rPr>
          <w:rFonts w:hint="eastAsia" w:ascii="Times New Roman" w:hAnsi="Times New Roman"/>
          <w:color w:val="auto"/>
          <w:highlight w:val="none"/>
        </w:rPr>
        <w:t>”</w:t>
      </w:r>
      <w:r>
        <w:rPr>
          <w:rFonts w:ascii="Times New Roman" w:hAnsi="Times New Roman"/>
          <w:color w:val="auto"/>
          <w:highlight w:val="none"/>
        </w:rPr>
        <w:t>。本项目为</w:t>
      </w:r>
      <w:r>
        <w:rPr>
          <w:rFonts w:hint="eastAsia" w:ascii="Times New Roman" w:hAnsi="Times New Roman"/>
          <w:color w:val="auto"/>
          <w:highlight w:val="none"/>
        </w:rPr>
        <w:t>扩建</w:t>
      </w:r>
      <w:r>
        <w:rPr>
          <w:rFonts w:ascii="Times New Roman" w:hAnsi="Times New Roman"/>
          <w:color w:val="auto"/>
          <w:highlight w:val="none"/>
        </w:rPr>
        <w:t>项目，大气评价等级为二级</w:t>
      </w:r>
      <w:r>
        <w:rPr>
          <w:rFonts w:hint="eastAsia" w:ascii="Times New Roman" w:hAnsi="Times New Roman"/>
          <w:color w:val="auto"/>
          <w:highlight w:val="none"/>
        </w:rPr>
        <w:t>，</w:t>
      </w:r>
      <w:r>
        <w:rPr>
          <w:rFonts w:ascii="Times New Roman" w:hAnsi="Times New Roman"/>
          <w:color w:val="auto"/>
          <w:highlight w:val="none"/>
        </w:rPr>
        <w:t>且无拟被替代的污染源，因此只需调查本项目现有及新增污染源排污概况。具体见第4章</w:t>
      </w:r>
      <w:r>
        <w:rPr>
          <w:rFonts w:hint="eastAsia" w:ascii="Times New Roman" w:hAnsi="Times New Roman"/>
          <w:color w:val="auto"/>
          <w:highlight w:val="none"/>
        </w:rPr>
        <w:t>本</w:t>
      </w:r>
      <w:r>
        <w:rPr>
          <w:rFonts w:ascii="Times New Roman" w:hAnsi="Times New Roman"/>
          <w:color w:val="auto"/>
          <w:highlight w:val="none"/>
        </w:rPr>
        <w:t>项目概况与工程分析。</w:t>
      </w:r>
    </w:p>
    <w:p w14:paraId="6B3D4C4B">
      <w:pPr>
        <w:pStyle w:val="5"/>
        <w:keepLines w:val="0"/>
        <w:numPr>
          <w:ilvl w:val="0"/>
          <w:numId w:val="0"/>
        </w:numPr>
        <w:tabs>
          <w:tab w:val="left" w:pos="-568"/>
          <w:tab w:val="left" w:pos="0"/>
          <w:tab w:val="left" w:pos="567"/>
          <w:tab w:val="left" w:pos="709"/>
        </w:tabs>
        <w:spacing w:before="120" w:beforeLines="50" w:after="120" w:afterLines="50" w:line="360" w:lineRule="auto"/>
        <w:ind w:right="-105"/>
        <w:rPr>
          <w:rFonts w:eastAsia="宋体"/>
          <w:color w:val="auto"/>
          <w:sz w:val="28"/>
          <w:szCs w:val="28"/>
          <w:highlight w:val="none"/>
        </w:rPr>
      </w:pPr>
      <w:bookmarkStart w:id="331" w:name="_Toc60653537"/>
      <w:r>
        <w:rPr>
          <w:rFonts w:hint="eastAsia" w:eastAsia="宋体"/>
          <w:color w:val="auto"/>
          <w:sz w:val="28"/>
          <w:szCs w:val="28"/>
          <w:highlight w:val="none"/>
        </w:rPr>
        <w:t>5.2.2</w:t>
      </w:r>
      <w:r>
        <w:rPr>
          <w:rFonts w:eastAsia="宋体"/>
          <w:color w:val="auto"/>
          <w:sz w:val="28"/>
          <w:szCs w:val="28"/>
          <w:highlight w:val="none"/>
        </w:rPr>
        <w:t>评价区水污染源调查</w:t>
      </w:r>
      <w:bookmarkEnd w:id="331"/>
      <w:r>
        <w:rPr>
          <w:rFonts w:eastAsia="宋体"/>
          <w:color w:val="auto"/>
          <w:sz w:val="28"/>
          <w:szCs w:val="28"/>
          <w:highlight w:val="none"/>
        </w:rPr>
        <w:t>与评价</w:t>
      </w:r>
    </w:p>
    <w:p w14:paraId="04CAA511">
      <w:pPr>
        <w:spacing w:line="360" w:lineRule="auto"/>
        <w:ind w:left="-105" w:right="-105" w:firstLine="480"/>
        <w:rPr>
          <w:rFonts w:ascii="Times New Roman" w:hAnsi="Times New Roman"/>
          <w:color w:val="auto"/>
          <w:highlight w:val="none"/>
        </w:rPr>
        <w:sectPr>
          <w:pgSz w:w="11906" w:h="16838"/>
          <w:pgMar w:top="1440" w:right="1701" w:bottom="1440" w:left="1701" w:header="851" w:footer="851" w:gutter="0"/>
          <w:pgBorders>
            <w:top w:val="none" w:sz="0" w:space="0"/>
            <w:left w:val="none" w:sz="0" w:space="0"/>
            <w:bottom w:val="none" w:sz="0" w:space="0"/>
            <w:right w:val="none" w:sz="0" w:space="0"/>
          </w:pgBorders>
          <w:cols w:space="720" w:num="1"/>
          <w:docGrid w:linePitch="498" w:charSpace="-2336"/>
        </w:sectPr>
      </w:pPr>
      <w:r>
        <w:rPr>
          <w:rFonts w:ascii="Times New Roman" w:hAnsi="Times New Roman"/>
          <w:color w:val="auto"/>
          <w:highlight w:val="none"/>
        </w:rPr>
        <w:t>根据《环境影响评价技术导则地表水环境》（HJ2.3-2018）章节6.6.2.1，</w:t>
      </w:r>
      <w:r>
        <w:rPr>
          <w:rFonts w:hint="eastAsia" w:ascii="Times New Roman" w:hAnsi="Times New Roman"/>
          <w:color w:val="auto"/>
          <w:highlight w:val="none"/>
        </w:rPr>
        <w:t>“</w:t>
      </w:r>
      <w:r>
        <w:rPr>
          <w:rFonts w:ascii="Times New Roman" w:hAnsi="Times New Roman"/>
          <w:color w:val="auto"/>
          <w:highlight w:val="none"/>
        </w:rPr>
        <w:t>水污染影响型三级B评价，可不开展区域污染源调查，主要调查依托污水处理设施的日处理能力、处理工艺、设计进水水质、处理后的废水稳定达标排放情况，同时应调查依托污水处理设施执行的排放标准是否涵盖建设项目排放的有毒有害的特征水污染物</w:t>
      </w:r>
      <w:r>
        <w:rPr>
          <w:rFonts w:hint="eastAsia" w:ascii="Times New Roman" w:hAnsi="Times New Roman"/>
          <w:color w:val="auto"/>
          <w:highlight w:val="none"/>
        </w:rPr>
        <w:t>”</w:t>
      </w:r>
      <w:r>
        <w:rPr>
          <w:rFonts w:ascii="Times New Roman" w:hAnsi="Times New Roman"/>
          <w:color w:val="auto"/>
          <w:highlight w:val="none"/>
        </w:rPr>
        <w:t>。本项目</w:t>
      </w:r>
      <w:r>
        <w:rPr>
          <w:rFonts w:hint="eastAsia" w:ascii="Times New Roman" w:hAnsi="Times New Roman"/>
          <w:color w:val="auto"/>
          <w:highlight w:val="none"/>
        </w:rPr>
        <w:t>不涉及废水排放变动，</w:t>
      </w:r>
      <w:r>
        <w:rPr>
          <w:rFonts w:ascii="Times New Roman" w:hAnsi="Times New Roman"/>
          <w:color w:val="auto"/>
          <w:highlight w:val="none"/>
        </w:rPr>
        <w:t>因此</w:t>
      </w:r>
      <w:r>
        <w:rPr>
          <w:rFonts w:hint="eastAsia" w:ascii="Times New Roman" w:hAnsi="Times New Roman"/>
          <w:color w:val="auto"/>
          <w:highlight w:val="none"/>
        </w:rPr>
        <w:t>，</w:t>
      </w:r>
      <w:r>
        <w:rPr>
          <w:rFonts w:ascii="Times New Roman" w:hAnsi="Times New Roman"/>
          <w:color w:val="auto"/>
          <w:highlight w:val="none"/>
        </w:rPr>
        <w:t>可不开展区域污染源调查。</w:t>
      </w:r>
    </w:p>
    <w:p w14:paraId="3BD6819A">
      <w:pPr>
        <w:pStyle w:val="4"/>
        <w:numPr>
          <w:ilvl w:val="1"/>
          <w:numId w:val="6"/>
        </w:numPr>
        <w:tabs>
          <w:tab w:val="left" w:pos="426"/>
        </w:tabs>
        <w:spacing w:before="120" w:beforeLines="50" w:after="120" w:afterLines="50" w:line="360" w:lineRule="auto"/>
        <w:ind w:left="-105" w:right="-105"/>
        <w:rPr>
          <w:rFonts w:ascii="Times New Roman" w:eastAsia="宋体"/>
          <w:color w:val="auto"/>
          <w:sz w:val="28"/>
          <w:szCs w:val="28"/>
          <w:highlight w:val="none"/>
        </w:rPr>
      </w:pPr>
      <w:bookmarkStart w:id="332" w:name="_Toc7514"/>
      <w:bookmarkStart w:id="333" w:name="_Toc60653538"/>
      <w:r>
        <w:rPr>
          <w:rFonts w:ascii="Times New Roman" w:eastAsia="宋体"/>
          <w:color w:val="auto"/>
          <w:sz w:val="28"/>
          <w:szCs w:val="28"/>
          <w:highlight w:val="none"/>
        </w:rPr>
        <w:t>环境质量现状调查与评价</w:t>
      </w:r>
      <w:bookmarkEnd w:id="314"/>
      <w:bookmarkEnd w:id="315"/>
      <w:bookmarkEnd w:id="316"/>
      <w:bookmarkEnd w:id="317"/>
      <w:bookmarkEnd w:id="318"/>
      <w:bookmarkEnd w:id="319"/>
      <w:bookmarkEnd w:id="320"/>
      <w:bookmarkEnd w:id="321"/>
      <w:bookmarkEnd w:id="322"/>
      <w:bookmarkEnd w:id="323"/>
      <w:bookmarkEnd w:id="324"/>
      <w:bookmarkEnd w:id="325"/>
      <w:bookmarkEnd w:id="326"/>
      <w:bookmarkEnd w:id="327"/>
      <w:bookmarkEnd w:id="328"/>
      <w:bookmarkEnd w:id="329"/>
      <w:bookmarkEnd w:id="332"/>
      <w:bookmarkEnd w:id="333"/>
    </w:p>
    <w:p w14:paraId="586F8F6F">
      <w:pPr>
        <w:pStyle w:val="5"/>
        <w:keepLines w:val="0"/>
        <w:numPr>
          <w:ilvl w:val="2"/>
          <w:numId w:val="0"/>
        </w:numPr>
        <w:tabs>
          <w:tab w:val="left" w:pos="567"/>
          <w:tab w:val="left" w:pos="709"/>
        </w:tabs>
        <w:spacing w:before="120" w:beforeLines="50" w:after="120" w:afterLines="50" w:line="360" w:lineRule="auto"/>
        <w:ind w:right="-105"/>
        <w:rPr>
          <w:rFonts w:eastAsia="宋体"/>
          <w:color w:val="auto"/>
          <w:sz w:val="28"/>
          <w:szCs w:val="28"/>
          <w:highlight w:val="none"/>
        </w:rPr>
      </w:pPr>
      <w:bookmarkStart w:id="334" w:name="_Toc60653539"/>
      <w:bookmarkStart w:id="335" w:name="_Toc370313623"/>
      <w:bookmarkStart w:id="336" w:name="_Toc282417920"/>
      <w:bookmarkStart w:id="337" w:name="_Toc264206017"/>
      <w:bookmarkStart w:id="338" w:name="_Toc275889657"/>
      <w:r>
        <w:rPr>
          <w:rFonts w:hint="eastAsia" w:eastAsia="宋体"/>
          <w:color w:val="auto"/>
          <w:sz w:val="28"/>
          <w:szCs w:val="28"/>
          <w:highlight w:val="none"/>
        </w:rPr>
        <w:t>5.3.1</w:t>
      </w:r>
      <w:r>
        <w:rPr>
          <w:rFonts w:eastAsia="宋体"/>
          <w:color w:val="auto"/>
          <w:sz w:val="28"/>
          <w:szCs w:val="28"/>
          <w:highlight w:val="none"/>
        </w:rPr>
        <w:t>大气环境质量现状监测与评价</w:t>
      </w:r>
      <w:bookmarkEnd w:id="334"/>
      <w:bookmarkEnd w:id="335"/>
      <w:bookmarkEnd w:id="336"/>
      <w:bookmarkEnd w:id="337"/>
      <w:bookmarkEnd w:id="338"/>
    </w:p>
    <w:p w14:paraId="66CEE8D3">
      <w:pPr>
        <w:pStyle w:val="6"/>
        <w:keepLines w:val="0"/>
        <w:widowControl/>
        <w:numPr>
          <w:ilvl w:val="0"/>
          <w:numId w:val="0"/>
        </w:numPr>
        <w:tabs>
          <w:tab w:val="left" w:pos="0"/>
          <w:tab w:val="left" w:pos="2550"/>
        </w:tabs>
        <w:spacing w:before="50" w:after="50" w:line="360" w:lineRule="auto"/>
        <w:ind w:right="-105"/>
        <w:rPr>
          <w:rFonts w:ascii="Times New Roman" w:hAnsi="Times New Roman"/>
          <w:color w:val="auto"/>
          <w:sz w:val="24"/>
          <w:szCs w:val="24"/>
          <w:highlight w:val="none"/>
        </w:rPr>
      </w:pPr>
      <w:r>
        <w:rPr>
          <w:rFonts w:ascii="Times New Roman" w:hAnsi="Times New Roman"/>
          <w:color w:val="auto"/>
          <w:sz w:val="24"/>
          <w:szCs w:val="24"/>
          <w:highlight w:val="none"/>
        </w:rPr>
        <w:t>5.</w:t>
      </w:r>
      <w:r>
        <w:rPr>
          <w:rFonts w:hint="eastAsia" w:ascii="Times New Roman" w:hAnsi="Times New Roman"/>
          <w:color w:val="auto"/>
          <w:sz w:val="24"/>
          <w:szCs w:val="24"/>
          <w:highlight w:val="none"/>
        </w:rPr>
        <w:t>3</w:t>
      </w:r>
      <w:r>
        <w:rPr>
          <w:rFonts w:ascii="Times New Roman" w:hAnsi="Times New Roman"/>
          <w:color w:val="auto"/>
          <w:sz w:val="24"/>
          <w:szCs w:val="24"/>
          <w:highlight w:val="none"/>
        </w:rPr>
        <w:t>.1.1基本污染物环境质量现状数据</w:t>
      </w:r>
    </w:p>
    <w:p w14:paraId="556AB3B2">
      <w:pPr>
        <w:spacing w:line="360" w:lineRule="auto"/>
        <w:ind w:left="-105" w:right="-105" w:firstLine="480"/>
        <w:rPr>
          <w:rFonts w:ascii="Times New Roman" w:hAnsi="Times New Roman" w:cs="Times New Roman"/>
          <w:color w:val="auto"/>
          <w:szCs w:val="21"/>
          <w:highlight w:val="none"/>
          <w:lang w:bidi="ar"/>
        </w:rPr>
      </w:pPr>
      <w:r>
        <w:rPr>
          <w:rFonts w:ascii="Times New Roman" w:hAnsi="Times New Roman" w:cs="Times New Roman"/>
          <w:color w:val="auto"/>
          <w:szCs w:val="21"/>
          <w:highlight w:val="none"/>
        </w:rPr>
        <w:t>根据《环境影响评价技术导则-大气环境》（HJ2.2-2018），项目所在区域达标判定，优先采用国家或地方生态环境主管部门公开发布的评价基准年环境质量公告或环境质量报告中的数据或结论。</w:t>
      </w:r>
      <w:r>
        <w:rPr>
          <w:rFonts w:ascii="Times New Roman" w:hAnsi="Times New Roman" w:cs="Times New Roman"/>
          <w:color w:val="auto"/>
          <w:szCs w:val="21"/>
          <w:highlight w:val="none"/>
          <w:lang w:bidi="ar"/>
        </w:rPr>
        <w:t>本次评价选取202</w:t>
      </w:r>
      <w:r>
        <w:rPr>
          <w:rFonts w:hint="eastAsia" w:ascii="Times New Roman" w:hAnsi="Times New Roman" w:cs="Times New Roman"/>
          <w:color w:val="auto"/>
          <w:szCs w:val="21"/>
          <w:highlight w:val="none"/>
          <w:lang w:val="en-US" w:eastAsia="zh-CN" w:bidi="ar"/>
        </w:rPr>
        <w:t>3</w:t>
      </w:r>
      <w:r>
        <w:rPr>
          <w:rFonts w:ascii="Times New Roman" w:hAnsi="Times New Roman" w:cs="Times New Roman"/>
          <w:color w:val="auto"/>
          <w:szCs w:val="21"/>
          <w:highlight w:val="none"/>
          <w:lang w:bidi="ar"/>
        </w:rPr>
        <w:t>年作为评价基准年，根据《202</w:t>
      </w:r>
      <w:r>
        <w:rPr>
          <w:rFonts w:hint="eastAsia" w:ascii="Times New Roman" w:hAnsi="Times New Roman" w:cs="Times New Roman"/>
          <w:color w:val="auto"/>
          <w:szCs w:val="21"/>
          <w:highlight w:val="none"/>
          <w:lang w:val="en-US" w:eastAsia="zh-CN" w:bidi="ar"/>
        </w:rPr>
        <w:t>3</w:t>
      </w:r>
      <w:r>
        <w:rPr>
          <w:rFonts w:ascii="Times New Roman" w:hAnsi="Times New Roman" w:cs="Times New Roman"/>
          <w:color w:val="auto"/>
          <w:szCs w:val="21"/>
          <w:highlight w:val="none"/>
          <w:lang w:bidi="ar"/>
        </w:rPr>
        <w:t>年度无锡市环境状况公报》：</w:t>
      </w:r>
    </w:p>
    <w:p w14:paraId="4922EA7E">
      <w:pPr>
        <w:adjustRightInd w:val="0"/>
        <w:snapToGrid w:val="0"/>
        <w:spacing w:line="360" w:lineRule="auto"/>
        <w:ind w:left="-105" w:right="-105" w:firstLine="480" w:firstLineChars="200"/>
        <w:jc w:val="both"/>
        <w:rPr>
          <w:rFonts w:ascii="Times New Roman" w:hAnsi="Times New Roman" w:cs="Times New Roman"/>
          <w:color w:val="auto"/>
          <w:highlight w:val="none"/>
        </w:rPr>
      </w:pPr>
      <w:r>
        <w:rPr>
          <w:rFonts w:ascii="Times New Roman" w:hAnsi="Times New Roman" w:cs="Times New Roman"/>
          <w:color w:val="auto"/>
          <w:highlight w:val="none"/>
        </w:rPr>
        <w:t>全市环境空气质量优良天数比率为</w:t>
      </w:r>
      <w:r>
        <w:rPr>
          <w:rFonts w:hint="eastAsia" w:ascii="Times New Roman" w:hAnsi="Times New Roman" w:cs="Times New Roman"/>
          <w:color w:val="auto"/>
          <w:highlight w:val="none"/>
          <w:lang w:val="en-US" w:eastAsia="zh-CN"/>
        </w:rPr>
        <w:t>82.5</w:t>
      </w:r>
      <w:r>
        <w:rPr>
          <w:rFonts w:ascii="Times New Roman" w:hAnsi="Times New Roman" w:cs="Times New Roman"/>
          <w:color w:val="auto"/>
          <w:highlight w:val="none"/>
        </w:rPr>
        <w:t>%，</w:t>
      </w:r>
      <w:r>
        <w:rPr>
          <w:rFonts w:hint="eastAsia" w:ascii="Times New Roman" w:hAnsi="Times New Roman" w:cs="Times New Roman"/>
          <w:color w:val="auto"/>
          <w:highlight w:val="none"/>
          <w:lang w:val="en-US" w:eastAsia="zh-CN"/>
        </w:rPr>
        <w:t>较2022年改善</w:t>
      </w:r>
      <w:r>
        <w:rPr>
          <w:rFonts w:ascii="Times New Roman" w:hAnsi="Times New Roman" w:cs="Times New Roman"/>
          <w:color w:val="auto"/>
          <w:highlight w:val="none"/>
        </w:rPr>
        <w:t>3.</w:t>
      </w:r>
      <w:r>
        <w:rPr>
          <w:rFonts w:hint="eastAsia" w:ascii="Times New Roman" w:hAnsi="Times New Roman" w:cs="Times New Roman"/>
          <w:color w:val="auto"/>
          <w:highlight w:val="none"/>
          <w:lang w:val="en-US" w:eastAsia="zh-CN"/>
        </w:rPr>
        <w:t>6</w:t>
      </w:r>
      <w:r>
        <w:rPr>
          <w:rFonts w:ascii="Times New Roman" w:hAnsi="Times New Roman" w:cs="Times New Roman"/>
          <w:color w:val="auto"/>
          <w:highlight w:val="none"/>
        </w:rPr>
        <w:t>个百分点；“二市六区”优良天数比率介于7</w:t>
      </w:r>
      <w:r>
        <w:rPr>
          <w:rFonts w:hint="eastAsia" w:ascii="Times New Roman" w:hAnsi="Times New Roman" w:cs="Times New Roman"/>
          <w:color w:val="auto"/>
          <w:highlight w:val="none"/>
          <w:lang w:val="en-US" w:eastAsia="zh-CN"/>
        </w:rPr>
        <w:t>8.7</w:t>
      </w:r>
      <w:r>
        <w:rPr>
          <w:rFonts w:ascii="Times New Roman" w:hAnsi="Times New Roman" w:cs="Times New Roman"/>
          <w:color w:val="auto"/>
          <w:highlight w:val="none"/>
        </w:rPr>
        <w:t>%</w:t>
      </w:r>
      <w:r>
        <w:rPr>
          <w:rFonts w:hint="eastAsia" w:ascii="Times New Roman" w:hAnsi="Times New Roman" w:cs="Times New Roman"/>
          <w:color w:val="auto"/>
          <w:highlight w:val="none"/>
          <w:lang w:val="en-US" w:eastAsia="zh-CN"/>
        </w:rPr>
        <w:t>~</w:t>
      </w:r>
      <w:r>
        <w:rPr>
          <w:rFonts w:ascii="Times New Roman" w:hAnsi="Times New Roman" w:cs="Times New Roman"/>
          <w:color w:val="auto"/>
          <w:highlight w:val="none"/>
        </w:rPr>
        <w:t>8</w:t>
      </w:r>
      <w:r>
        <w:rPr>
          <w:rFonts w:hint="eastAsia" w:ascii="Times New Roman" w:hAnsi="Times New Roman" w:cs="Times New Roman"/>
          <w:color w:val="auto"/>
          <w:highlight w:val="none"/>
          <w:lang w:val="en-US" w:eastAsia="zh-CN"/>
        </w:rPr>
        <w:t>2.8</w:t>
      </w:r>
      <w:r>
        <w:rPr>
          <w:rFonts w:ascii="Times New Roman" w:hAnsi="Times New Roman" w:cs="Times New Roman"/>
          <w:color w:val="auto"/>
          <w:highlight w:val="none"/>
        </w:rPr>
        <w:t>%之间</w:t>
      </w:r>
      <w:r>
        <w:rPr>
          <w:rFonts w:hint="eastAsia" w:ascii="Times New Roman" w:hAnsi="Times New Roman" w:cs="Times New Roman"/>
          <w:color w:val="auto"/>
          <w:highlight w:val="none"/>
          <w:lang w:eastAsia="zh-CN"/>
        </w:rPr>
        <w:t>，</w:t>
      </w:r>
      <w:r>
        <w:rPr>
          <w:rFonts w:hint="eastAsia" w:ascii="Times New Roman" w:hAnsi="Times New Roman" w:cs="Times New Roman"/>
          <w:color w:val="auto"/>
          <w:highlight w:val="none"/>
          <w:lang w:val="en-US" w:eastAsia="zh-CN"/>
        </w:rPr>
        <w:t>改善幅度介于0.3~4.4个百分点之间</w:t>
      </w:r>
      <w:r>
        <w:rPr>
          <w:rFonts w:ascii="Times New Roman" w:hAnsi="Times New Roman" w:cs="Times New Roman"/>
          <w:color w:val="auto"/>
          <w:highlight w:val="none"/>
        </w:rPr>
        <w:t>。</w:t>
      </w:r>
    </w:p>
    <w:p w14:paraId="295F83E1">
      <w:pPr>
        <w:adjustRightInd w:val="0"/>
        <w:snapToGrid w:val="0"/>
        <w:spacing w:line="360" w:lineRule="auto"/>
        <w:ind w:left="-105" w:right="-105" w:firstLine="480" w:firstLineChars="200"/>
        <w:jc w:val="both"/>
        <w:rPr>
          <w:rFonts w:ascii="Times New Roman" w:hAnsi="Times New Roman" w:cs="Times New Roman"/>
          <w:color w:val="auto"/>
          <w:highlight w:val="none"/>
        </w:rPr>
      </w:pPr>
      <w:r>
        <w:rPr>
          <w:rFonts w:ascii="Times New Roman" w:hAnsi="Times New Roman" w:cs="Times New Roman"/>
          <w:color w:val="auto"/>
          <w:highlight w:val="none"/>
        </w:rPr>
        <w:t>全市环境空气中</w:t>
      </w:r>
      <w:r>
        <w:rPr>
          <w:rFonts w:hint="eastAsia" w:ascii="Times New Roman" w:hAnsi="Times New Roman" w:cs="Times New Roman"/>
          <w:color w:val="auto"/>
          <w:highlight w:val="none"/>
          <w:lang w:val="en-US" w:eastAsia="zh-CN"/>
        </w:rPr>
        <w:t>臭氧最大8h第90百分位浓度（O</w:t>
      </w:r>
      <w:r>
        <w:rPr>
          <w:rFonts w:hint="eastAsia" w:ascii="Times New Roman" w:hAnsi="Times New Roman" w:cs="Times New Roman"/>
          <w:color w:val="auto"/>
          <w:highlight w:val="none"/>
          <w:vertAlign w:val="subscript"/>
          <w:lang w:val="en-US" w:eastAsia="zh-CN"/>
        </w:rPr>
        <w:t>3</w:t>
      </w:r>
      <w:r>
        <w:rPr>
          <w:rFonts w:hint="eastAsia" w:ascii="Times New Roman" w:hAnsi="Times New Roman" w:cs="Times New Roman"/>
          <w:color w:val="auto"/>
          <w:highlight w:val="none"/>
          <w:lang w:val="en-US" w:eastAsia="zh-CN"/>
        </w:rPr>
        <w:t>-90Per）167微克/立方米，较2022年改善6.7%；细颗粒物（PM</w:t>
      </w:r>
      <w:r>
        <w:rPr>
          <w:rFonts w:hint="eastAsia" w:ascii="Times New Roman" w:hAnsi="Times New Roman" w:cs="Times New Roman"/>
          <w:color w:val="auto"/>
          <w:highlight w:val="none"/>
          <w:vertAlign w:val="subscript"/>
          <w:lang w:val="en-US" w:eastAsia="zh-CN"/>
        </w:rPr>
        <w:t>2.5</w:t>
      </w:r>
      <w:r>
        <w:rPr>
          <w:rFonts w:hint="eastAsia" w:ascii="Times New Roman" w:hAnsi="Times New Roman" w:cs="Times New Roman"/>
          <w:color w:val="auto"/>
          <w:highlight w:val="none"/>
          <w:lang w:val="en-US" w:eastAsia="zh-CN"/>
        </w:rPr>
        <w:t>）和二氧化硫（SO</w:t>
      </w:r>
      <w:r>
        <w:rPr>
          <w:rFonts w:hint="eastAsia" w:ascii="Times New Roman" w:hAnsi="Times New Roman" w:cs="Times New Roman"/>
          <w:color w:val="auto"/>
          <w:highlight w:val="none"/>
          <w:vertAlign w:val="subscript"/>
          <w:lang w:val="en-US" w:eastAsia="zh-CN"/>
        </w:rPr>
        <w:t>2</w:t>
      </w:r>
      <w:r>
        <w:rPr>
          <w:rFonts w:hint="eastAsia" w:ascii="Times New Roman" w:hAnsi="Times New Roman" w:cs="Times New Roman"/>
          <w:color w:val="auto"/>
          <w:highlight w:val="none"/>
          <w:lang w:val="en-US" w:eastAsia="zh-CN"/>
        </w:rPr>
        <w:t>）年均浓度分别为28微克/立方米和8微克/立方米，较2022年持平；可吸入颗粒物（PM</w:t>
      </w:r>
      <w:r>
        <w:rPr>
          <w:rFonts w:hint="eastAsia" w:ascii="Times New Roman" w:hAnsi="Times New Roman" w:cs="Times New Roman"/>
          <w:color w:val="auto"/>
          <w:highlight w:val="none"/>
          <w:vertAlign w:val="subscript"/>
          <w:lang w:val="en-US" w:eastAsia="zh-CN"/>
        </w:rPr>
        <w:t>10</w:t>
      </w:r>
      <w:r>
        <w:rPr>
          <w:rFonts w:hint="eastAsia" w:ascii="Times New Roman" w:hAnsi="Times New Roman" w:cs="Times New Roman"/>
          <w:color w:val="auto"/>
          <w:highlight w:val="none"/>
          <w:lang w:val="en-US" w:eastAsia="zh-CN"/>
        </w:rPr>
        <w:t>）、二氧化氮（NO</w:t>
      </w:r>
      <w:r>
        <w:rPr>
          <w:rFonts w:hint="eastAsia" w:ascii="Times New Roman" w:hAnsi="Times New Roman" w:cs="Times New Roman"/>
          <w:color w:val="auto"/>
          <w:highlight w:val="none"/>
          <w:vertAlign w:val="subscript"/>
          <w:lang w:val="en-US" w:eastAsia="zh-CN"/>
        </w:rPr>
        <w:t>2</w:t>
      </w:r>
      <w:r>
        <w:rPr>
          <w:rFonts w:hint="eastAsia" w:ascii="Times New Roman" w:hAnsi="Times New Roman" w:cs="Times New Roman"/>
          <w:color w:val="auto"/>
          <w:highlight w:val="none"/>
          <w:lang w:val="en-US" w:eastAsia="zh-CN"/>
        </w:rPr>
        <w:t>）和一氧化碳（CO）年均浓度分别为50微克/立方米、32微克/立方米和1.2毫克/立方米，较2022年分别恶化2.0%、23.1%和9.1%</w:t>
      </w:r>
      <w:r>
        <w:rPr>
          <w:rFonts w:ascii="Times New Roman" w:hAnsi="Times New Roman" w:cs="Times New Roman"/>
          <w:color w:val="auto"/>
          <w:highlight w:val="none"/>
        </w:rPr>
        <w:t>。</w:t>
      </w:r>
    </w:p>
    <w:p w14:paraId="416506BB">
      <w:pPr>
        <w:spacing w:line="360" w:lineRule="auto"/>
        <w:ind w:left="-105" w:right="-105" w:firstLine="480"/>
        <w:rPr>
          <w:rFonts w:ascii="Times New Roman" w:hAnsi="Times New Roman" w:cs="Times New Roman"/>
          <w:color w:val="auto"/>
          <w:sz w:val="21"/>
          <w:szCs w:val="18"/>
          <w:highlight w:val="none"/>
        </w:rPr>
      </w:pPr>
      <w:r>
        <w:rPr>
          <w:rFonts w:ascii="Times New Roman" w:hAnsi="Times New Roman" w:cs="Times New Roman"/>
          <w:color w:val="auto"/>
          <w:highlight w:val="none"/>
        </w:rPr>
        <w:t>按照《环境空气质量标准》（GB3095-2012）二级标准进行年度评价，所辖</w:t>
      </w:r>
      <w:r>
        <w:rPr>
          <w:rFonts w:hint="eastAsia" w:ascii="Times New Roman" w:hAnsi="Times New Roman" w:cs="Times New Roman"/>
          <w:color w:val="auto"/>
          <w:highlight w:val="none"/>
          <w:lang w:eastAsia="zh-CN"/>
        </w:rPr>
        <w:t>“</w:t>
      </w:r>
      <w:r>
        <w:rPr>
          <w:rFonts w:ascii="Times New Roman" w:hAnsi="Times New Roman" w:cs="Times New Roman"/>
          <w:color w:val="auto"/>
          <w:highlight w:val="none"/>
        </w:rPr>
        <w:t>二市六区</w:t>
      </w:r>
      <w:r>
        <w:rPr>
          <w:rFonts w:hint="eastAsia" w:ascii="Times New Roman" w:hAnsi="Times New Roman" w:cs="Times New Roman"/>
          <w:color w:val="auto"/>
          <w:highlight w:val="none"/>
          <w:lang w:eastAsia="zh-CN"/>
        </w:rPr>
        <w:t>”</w:t>
      </w:r>
      <w:r>
        <w:rPr>
          <w:rFonts w:hint="eastAsia" w:ascii="Times New Roman" w:hAnsi="Times New Roman" w:cs="Times New Roman"/>
          <w:color w:val="auto"/>
          <w:highlight w:val="none"/>
          <w:lang w:val="en-US" w:eastAsia="zh-CN"/>
        </w:rPr>
        <w:t>环境空气质量六项指标中，细颗粒物、可吸入颗粒物、二氧化氮、二氧化硫和一氧化碳浓度均达标，</w:t>
      </w:r>
      <w:r>
        <w:rPr>
          <w:rFonts w:ascii="Times New Roman" w:hAnsi="Times New Roman" w:cs="Times New Roman"/>
          <w:color w:val="auto"/>
          <w:highlight w:val="none"/>
        </w:rPr>
        <w:t>臭氧浓度均未达标。</w:t>
      </w:r>
    </w:p>
    <w:p w14:paraId="16AD75BB">
      <w:pPr>
        <w:widowControl w:val="0"/>
        <w:spacing w:line="360" w:lineRule="auto"/>
        <w:ind w:left="-105" w:right="-105" w:firstLine="480"/>
        <w:jc w:val="both"/>
        <w:rPr>
          <w:rFonts w:ascii="Times New Roman" w:hAnsi="Times New Roman" w:cs="Times New Roman"/>
          <w:bCs/>
          <w:color w:val="auto"/>
          <w:kern w:val="2"/>
          <w:highlight w:val="none"/>
        </w:rPr>
      </w:pPr>
      <w:r>
        <w:rPr>
          <w:rFonts w:ascii="Times New Roman" w:hAnsi="Times New Roman" w:cs="Times New Roman"/>
          <w:bCs/>
          <w:color w:val="auto"/>
          <w:kern w:val="2"/>
          <w:highlight w:val="none"/>
        </w:rPr>
        <w:t>根据《中华人民共和国大气污染防治法》的要求，未达标城市需要编制限期达标规划，明确限期达标，制定有效的大气污染防治措施。无锡市已按要求开展限期达标规划。</w:t>
      </w:r>
    </w:p>
    <w:p w14:paraId="22936A9D">
      <w:pPr>
        <w:widowControl w:val="0"/>
        <w:spacing w:line="360" w:lineRule="auto"/>
        <w:ind w:left="-105" w:right="-105" w:firstLine="480"/>
        <w:jc w:val="both"/>
        <w:rPr>
          <w:rFonts w:ascii="Times New Roman" w:hAnsi="Times New Roman" w:cs="Times New Roman"/>
          <w:bCs/>
          <w:color w:val="auto"/>
          <w:kern w:val="2"/>
          <w:highlight w:val="none"/>
        </w:rPr>
      </w:pPr>
      <w:r>
        <w:rPr>
          <w:rFonts w:ascii="Times New Roman" w:hAnsi="Times New Roman" w:cs="Times New Roman"/>
          <w:bCs/>
          <w:color w:val="auto"/>
          <w:kern w:val="2"/>
          <w:highlight w:val="none"/>
        </w:rPr>
        <w:t>根据无锡市大气环境质量限期达标规划（2018-2025年），无锡市达标规划的规划范围为：整个无锡市全市范围（4650平方公里）。无锡市区面积1643.88平方公里，另有太湖水域397.8平方公里。下辖共5个区2个市（梁溪区、滨湖区、惠山区、锡山区、新吴区、江阴市、宜兴市）、7个镇、41个街道。</w:t>
      </w:r>
    </w:p>
    <w:p w14:paraId="5BD1405C">
      <w:pPr>
        <w:widowControl w:val="0"/>
        <w:spacing w:line="360" w:lineRule="auto"/>
        <w:ind w:left="-105" w:right="-105" w:firstLine="482"/>
        <w:jc w:val="both"/>
        <w:rPr>
          <w:rFonts w:ascii="Times New Roman" w:hAnsi="Times New Roman" w:cs="Times New Roman"/>
          <w:bCs/>
          <w:color w:val="auto"/>
          <w:kern w:val="2"/>
          <w:highlight w:val="none"/>
        </w:rPr>
      </w:pPr>
      <w:r>
        <w:rPr>
          <w:rFonts w:ascii="Times New Roman" w:hAnsi="Times New Roman" w:cs="Times New Roman"/>
          <w:b/>
          <w:bCs/>
          <w:color w:val="auto"/>
          <w:kern w:val="2"/>
          <w:highlight w:val="none"/>
        </w:rPr>
        <w:t>达标期限：</w:t>
      </w:r>
      <w:r>
        <w:rPr>
          <w:rFonts w:ascii="Times New Roman" w:hAnsi="Times New Roman" w:cs="Times New Roman"/>
          <w:bCs/>
          <w:color w:val="auto"/>
          <w:kern w:val="2"/>
          <w:highlight w:val="none"/>
        </w:rPr>
        <w:t>无锡市环境空气质量在2025年实现全面达标。</w:t>
      </w:r>
    </w:p>
    <w:p w14:paraId="54637AD3">
      <w:pPr>
        <w:widowControl w:val="0"/>
        <w:spacing w:line="360" w:lineRule="auto"/>
        <w:ind w:left="-105" w:right="-105" w:firstLine="482"/>
        <w:jc w:val="both"/>
        <w:rPr>
          <w:rFonts w:ascii="Times New Roman" w:hAnsi="Times New Roman" w:cs="Times New Roman"/>
          <w:bCs/>
          <w:color w:val="auto"/>
          <w:kern w:val="2"/>
          <w:highlight w:val="none"/>
        </w:rPr>
      </w:pPr>
      <w:r>
        <w:rPr>
          <w:rFonts w:ascii="Times New Roman" w:hAnsi="Times New Roman" w:cs="Times New Roman"/>
          <w:b/>
          <w:bCs/>
          <w:color w:val="auto"/>
          <w:kern w:val="2"/>
          <w:highlight w:val="none"/>
        </w:rPr>
        <w:t>远期目标：</w:t>
      </w:r>
      <w:r>
        <w:rPr>
          <w:rFonts w:ascii="Times New Roman" w:hAnsi="Times New Roman" w:cs="Times New Roman"/>
          <w:bCs/>
          <w:color w:val="auto"/>
          <w:kern w:val="2"/>
          <w:highlight w:val="none"/>
        </w:rPr>
        <w:t>力争到2025年，无锡市PM</w:t>
      </w:r>
      <w:r>
        <w:rPr>
          <w:rFonts w:ascii="Times New Roman" w:hAnsi="Times New Roman" w:cs="Times New Roman"/>
          <w:bCs/>
          <w:color w:val="auto"/>
          <w:kern w:val="2"/>
          <w:highlight w:val="none"/>
          <w:vertAlign w:val="subscript"/>
        </w:rPr>
        <w:t>2.5</w:t>
      </w:r>
      <w:r>
        <w:rPr>
          <w:rFonts w:ascii="Times New Roman" w:hAnsi="Times New Roman" w:cs="Times New Roman"/>
          <w:bCs/>
          <w:color w:val="auto"/>
          <w:kern w:val="2"/>
          <w:highlight w:val="none"/>
        </w:rPr>
        <w:t>浓度达到35ug/m</w:t>
      </w:r>
      <w:r>
        <w:rPr>
          <w:rFonts w:ascii="Times New Roman" w:hAnsi="Times New Roman" w:cs="Times New Roman"/>
          <w:bCs/>
          <w:color w:val="auto"/>
          <w:kern w:val="2"/>
          <w:highlight w:val="none"/>
          <w:vertAlign w:val="superscript"/>
        </w:rPr>
        <w:t>3</w:t>
      </w:r>
      <w:r>
        <w:rPr>
          <w:rFonts w:ascii="Times New Roman" w:hAnsi="Times New Roman" w:cs="Times New Roman"/>
          <w:bCs/>
          <w:color w:val="auto"/>
          <w:kern w:val="2"/>
          <w:highlight w:val="none"/>
        </w:rPr>
        <w:t>左右，O</w:t>
      </w:r>
      <w:r>
        <w:rPr>
          <w:rFonts w:ascii="Times New Roman" w:hAnsi="Times New Roman" w:cs="Times New Roman"/>
          <w:bCs/>
          <w:color w:val="auto"/>
          <w:kern w:val="2"/>
          <w:highlight w:val="none"/>
          <w:vertAlign w:val="subscript"/>
        </w:rPr>
        <w:t>3</w:t>
      </w:r>
      <w:r>
        <w:rPr>
          <w:rFonts w:ascii="Times New Roman" w:hAnsi="Times New Roman" w:cs="Times New Roman"/>
          <w:bCs/>
          <w:color w:val="auto"/>
          <w:kern w:val="2"/>
          <w:highlight w:val="none"/>
        </w:rPr>
        <w:t>浓度达到拐点，除O</w:t>
      </w:r>
      <w:r>
        <w:rPr>
          <w:rFonts w:ascii="Times New Roman" w:hAnsi="Times New Roman" w:cs="Times New Roman"/>
          <w:bCs/>
          <w:color w:val="auto"/>
          <w:kern w:val="2"/>
          <w:highlight w:val="none"/>
          <w:vertAlign w:val="subscript"/>
        </w:rPr>
        <w:t>3</w:t>
      </w:r>
      <w:r>
        <w:rPr>
          <w:rFonts w:ascii="Times New Roman" w:hAnsi="Times New Roman" w:cs="Times New Roman"/>
          <w:bCs/>
          <w:color w:val="auto"/>
          <w:kern w:val="2"/>
          <w:highlight w:val="none"/>
        </w:rPr>
        <w:t>以外的主要大气污染物浓度达到国家二级标准要求，空气质量优良天数比率达到80%。</w:t>
      </w:r>
    </w:p>
    <w:p w14:paraId="49A64B2B">
      <w:pPr>
        <w:spacing w:line="360" w:lineRule="auto"/>
        <w:ind w:left="-105" w:right="-105" w:firstLine="482"/>
        <w:rPr>
          <w:rFonts w:ascii="Times New Roman" w:hAnsi="Times New Roman"/>
          <w:color w:val="auto"/>
          <w:highlight w:val="none"/>
        </w:rPr>
      </w:pPr>
      <w:r>
        <w:rPr>
          <w:rFonts w:ascii="Times New Roman" w:hAnsi="Times New Roman" w:cs="Times New Roman"/>
          <w:b/>
          <w:bCs/>
          <w:color w:val="auto"/>
          <w:kern w:val="2"/>
          <w:highlight w:val="none"/>
        </w:rPr>
        <w:t>总体战略：</w:t>
      </w:r>
      <w:r>
        <w:rPr>
          <w:rFonts w:ascii="Times New Roman" w:hAnsi="Times New Roman" w:cs="Times New Roman"/>
          <w:bCs/>
          <w:color w:val="auto"/>
          <w:kern w:val="2"/>
          <w:highlight w:val="none"/>
        </w:rPr>
        <w:t>以不断降低PM</w:t>
      </w:r>
      <w:r>
        <w:rPr>
          <w:rFonts w:ascii="Times New Roman" w:hAnsi="Times New Roman" w:cs="Times New Roman"/>
          <w:bCs/>
          <w:color w:val="auto"/>
          <w:kern w:val="2"/>
          <w:highlight w:val="none"/>
          <w:vertAlign w:val="subscript"/>
        </w:rPr>
        <w:t>2.5</w:t>
      </w:r>
      <w:r>
        <w:rPr>
          <w:rFonts w:ascii="Times New Roman" w:hAnsi="Times New Roman" w:cs="Times New Roman"/>
          <w:bCs/>
          <w:color w:val="auto"/>
          <w:kern w:val="2"/>
          <w:highlight w:val="none"/>
        </w:rPr>
        <w:t>浓度，明显减少重污染天数，明显改善环境空气质量，明显增强人民的蓝天幸福感为核心目标，推进能源结构调整，推进热电整合，优化产业结构和布局；提高各行业清洁化生产水平，全面执行大气污染物特别排放限值，完成重点企业颗粒物无组织排放深度治理，从化工、电子（半导体）、涂装等工业行业挖掘VOCs减排潜力，完成重点行业低VOCs含量原辅料替代目标；以港口码头和堆场为重点提高扬尘污染控制水平；促进PM</w:t>
      </w:r>
      <w:r>
        <w:rPr>
          <w:rFonts w:ascii="Times New Roman" w:hAnsi="Times New Roman" w:cs="Times New Roman"/>
          <w:bCs/>
          <w:color w:val="auto"/>
          <w:kern w:val="2"/>
          <w:highlight w:val="none"/>
          <w:vertAlign w:val="subscript"/>
        </w:rPr>
        <w:t>2.5</w:t>
      </w:r>
      <w:r>
        <w:rPr>
          <w:rFonts w:ascii="Times New Roman" w:hAnsi="Times New Roman" w:cs="Times New Roman"/>
          <w:bCs/>
          <w:color w:val="auto"/>
          <w:kern w:val="2"/>
          <w:highlight w:val="none"/>
        </w:rPr>
        <w:t>和臭氧协同控制，推进区域联防联控，提升大气污染精细化防控能力。</w:t>
      </w:r>
    </w:p>
    <w:p w14:paraId="1E2C8DFD">
      <w:pPr>
        <w:pStyle w:val="6"/>
        <w:keepLines w:val="0"/>
        <w:widowControl/>
        <w:numPr>
          <w:ilvl w:val="0"/>
          <w:numId w:val="0"/>
        </w:numPr>
        <w:tabs>
          <w:tab w:val="left" w:pos="0"/>
          <w:tab w:val="left" w:pos="2550"/>
        </w:tabs>
        <w:spacing w:before="50" w:after="50" w:line="360" w:lineRule="auto"/>
        <w:ind w:right="-105"/>
        <w:rPr>
          <w:rFonts w:ascii="Times New Roman" w:hAnsi="Times New Roman"/>
          <w:color w:val="auto"/>
          <w:kern w:val="0"/>
          <w:sz w:val="24"/>
          <w:szCs w:val="24"/>
          <w:highlight w:val="none"/>
        </w:rPr>
      </w:pPr>
      <w:r>
        <w:rPr>
          <w:rFonts w:ascii="Times New Roman" w:hAnsi="Times New Roman"/>
          <w:color w:val="auto"/>
          <w:sz w:val="24"/>
          <w:szCs w:val="24"/>
          <w:highlight w:val="none"/>
        </w:rPr>
        <w:t>5.</w:t>
      </w:r>
      <w:r>
        <w:rPr>
          <w:rFonts w:hint="eastAsia" w:ascii="Times New Roman" w:hAnsi="Times New Roman"/>
          <w:color w:val="auto"/>
          <w:sz w:val="24"/>
          <w:szCs w:val="24"/>
          <w:highlight w:val="none"/>
        </w:rPr>
        <w:t>3</w:t>
      </w:r>
      <w:r>
        <w:rPr>
          <w:rFonts w:ascii="Times New Roman" w:hAnsi="Times New Roman"/>
          <w:color w:val="auto"/>
          <w:sz w:val="24"/>
          <w:szCs w:val="24"/>
          <w:highlight w:val="none"/>
        </w:rPr>
        <w:t>.1.2补充监测环境质量现状</w:t>
      </w:r>
    </w:p>
    <w:p w14:paraId="139A44FA">
      <w:pPr>
        <w:pStyle w:val="105"/>
        <w:numPr>
          <w:ilvl w:val="0"/>
          <w:numId w:val="30"/>
        </w:numPr>
        <w:adjustRightInd/>
        <w:spacing w:line="360" w:lineRule="auto"/>
        <w:ind w:left="425"/>
        <w:rPr>
          <w:rFonts w:ascii="Times New Roman" w:cs="Times New Roman"/>
          <w:color w:val="auto"/>
          <w:highlight w:val="none"/>
        </w:rPr>
      </w:pPr>
      <w:r>
        <w:rPr>
          <w:rFonts w:ascii="Times New Roman" w:cs="Times New Roman"/>
          <w:color w:val="auto"/>
          <w:highlight w:val="none"/>
        </w:rPr>
        <w:t>评价范围</w:t>
      </w:r>
    </w:p>
    <w:p w14:paraId="4981BAC7">
      <w:pPr>
        <w:pStyle w:val="105"/>
        <w:adjustRightInd/>
        <w:spacing w:line="360" w:lineRule="auto"/>
        <w:ind w:firstLine="480" w:firstLineChars="200"/>
        <w:jc w:val="both"/>
        <w:rPr>
          <w:rFonts w:ascii="Times New Roman" w:cs="Times New Roman"/>
          <w:color w:val="auto"/>
          <w:highlight w:val="none"/>
        </w:rPr>
      </w:pPr>
      <w:r>
        <w:rPr>
          <w:rFonts w:hint="eastAsia" w:ascii="Times New Roman" w:cs="Times New Roman"/>
          <w:color w:val="auto"/>
          <w:highlight w:val="none"/>
        </w:rPr>
        <w:t>本项目大气环境影响评价等级为二级，评价范围以本项目的所在地为中心，周边5km的区域</w:t>
      </w:r>
      <w:r>
        <w:rPr>
          <w:rFonts w:ascii="Times New Roman" w:cs="Times New Roman"/>
          <w:color w:val="auto"/>
          <w:highlight w:val="none"/>
        </w:rPr>
        <w:t>。</w:t>
      </w:r>
    </w:p>
    <w:p w14:paraId="6FCB1B01">
      <w:pPr>
        <w:pStyle w:val="105"/>
        <w:adjustRightInd/>
        <w:spacing w:line="360" w:lineRule="auto"/>
        <w:ind w:left="425"/>
        <w:rPr>
          <w:rFonts w:ascii="Times New Roman" w:cs="Times New Roman"/>
          <w:color w:val="auto"/>
          <w:highlight w:val="none"/>
        </w:rPr>
      </w:pPr>
      <w:r>
        <w:rPr>
          <w:rFonts w:ascii="Times New Roman" w:cs="Times New Roman"/>
          <w:color w:val="auto"/>
          <w:highlight w:val="none"/>
        </w:rPr>
        <w:t>（2）现状监测</w:t>
      </w:r>
    </w:p>
    <w:p w14:paraId="559F7545">
      <w:pPr>
        <w:spacing w:line="360" w:lineRule="auto"/>
        <w:ind w:left="-105" w:right="-105" w:firstLine="480" w:firstLineChars="200"/>
        <w:rPr>
          <w:rFonts w:ascii="Times New Roman" w:hAnsi="Times New Roman"/>
          <w:color w:val="auto"/>
          <w:highlight w:val="none"/>
        </w:rPr>
      </w:pPr>
      <w:r>
        <w:rPr>
          <w:rFonts w:hint="eastAsia" w:ascii="Times New Roman" w:hAnsi="Times New Roman"/>
          <w:color w:val="auto"/>
          <w:highlight w:val="none"/>
        </w:rPr>
        <w:t>①</w:t>
      </w:r>
      <w:r>
        <w:rPr>
          <w:rFonts w:ascii="Times New Roman" w:hAnsi="Times New Roman"/>
          <w:color w:val="auto"/>
          <w:highlight w:val="none"/>
        </w:rPr>
        <w:t>监测项目：本项目监测因子为氮氧化物、非甲烷总烃、</w:t>
      </w:r>
      <w:r>
        <w:rPr>
          <w:rFonts w:hint="eastAsia" w:ascii="Times New Roman" w:hAnsi="Times New Roman"/>
          <w:color w:val="auto"/>
          <w:highlight w:val="none"/>
        </w:rPr>
        <w:t>甲醇</w:t>
      </w:r>
      <w:r>
        <w:rPr>
          <w:rFonts w:ascii="Times New Roman" w:hAnsi="Times New Roman"/>
          <w:color w:val="auto"/>
          <w:highlight w:val="none"/>
        </w:rPr>
        <w:t>及监测期间的气象资料。</w:t>
      </w:r>
    </w:p>
    <w:p w14:paraId="562B515C">
      <w:pPr>
        <w:spacing w:line="360" w:lineRule="auto"/>
        <w:ind w:left="-105" w:right="-105" w:firstLine="480" w:firstLineChars="200"/>
        <w:rPr>
          <w:rFonts w:ascii="Times New Roman" w:hAnsi="Times New Roman"/>
          <w:color w:val="auto"/>
          <w:highlight w:val="none"/>
        </w:rPr>
      </w:pPr>
      <w:r>
        <w:rPr>
          <w:rFonts w:hint="eastAsia" w:ascii="Times New Roman" w:hAnsi="Times New Roman"/>
          <w:color w:val="auto"/>
          <w:highlight w:val="none"/>
        </w:rPr>
        <w:t>②</w:t>
      </w:r>
      <w:r>
        <w:rPr>
          <w:rFonts w:ascii="Times New Roman" w:hAnsi="Times New Roman"/>
          <w:color w:val="auto"/>
          <w:highlight w:val="none"/>
        </w:rPr>
        <w:t>监测方法：按环保部出版的《环境监测技术规范》和《环境空气质量标准》（GB3095-2012）表3中规定的分析方法中的有关规定进行，见下表。</w:t>
      </w:r>
    </w:p>
    <w:p w14:paraId="05C901DE">
      <w:pPr>
        <w:pStyle w:val="15"/>
        <w:spacing w:line="360" w:lineRule="auto"/>
        <w:ind w:left="-105" w:right="-105" w:firstLine="482"/>
        <w:rPr>
          <w:rFonts w:eastAsia="宋体" w:cs="Times New Roman"/>
          <w:color w:val="auto"/>
          <w:sz w:val="24"/>
          <w:szCs w:val="24"/>
          <w:highlight w:val="none"/>
        </w:rPr>
      </w:pPr>
      <w:r>
        <w:rPr>
          <w:rFonts w:eastAsia="宋体" w:cs="Times New Roman"/>
          <w:color w:val="auto"/>
          <w:sz w:val="24"/>
          <w:szCs w:val="18"/>
          <w:highlight w:val="none"/>
        </w:rPr>
        <w:t>表</w:t>
      </w:r>
      <w:r>
        <w:rPr>
          <w:rFonts w:eastAsia="宋体" w:cs="Times New Roman"/>
          <w:color w:val="auto"/>
          <w:sz w:val="24"/>
          <w:szCs w:val="18"/>
          <w:highlight w:val="none"/>
        </w:rPr>
        <w:fldChar w:fldCharType="begin"/>
      </w:r>
      <w:r>
        <w:rPr>
          <w:rFonts w:eastAsia="宋体" w:cs="Times New Roman"/>
          <w:color w:val="auto"/>
          <w:sz w:val="24"/>
          <w:szCs w:val="18"/>
          <w:highlight w:val="none"/>
        </w:rPr>
        <w:instrText xml:space="preserve"> STYLEREF 2 \s </w:instrText>
      </w:r>
      <w:r>
        <w:rPr>
          <w:rFonts w:eastAsia="宋体" w:cs="Times New Roman"/>
          <w:color w:val="auto"/>
          <w:sz w:val="24"/>
          <w:szCs w:val="18"/>
          <w:highlight w:val="none"/>
        </w:rPr>
        <w:fldChar w:fldCharType="separate"/>
      </w:r>
      <w:r>
        <w:rPr>
          <w:rFonts w:eastAsia="宋体" w:cs="Times New Roman"/>
          <w:color w:val="auto"/>
          <w:sz w:val="24"/>
          <w:szCs w:val="18"/>
          <w:highlight w:val="none"/>
        </w:rPr>
        <w:t>5.3</w:t>
      </w:r>
      <w:r>
        <w:rPr>
          <w:rFonts w:eastAsia="宋体" w:cs="Times New Roman"/>
          <w:color w:val="auto"/>
          <w:sz w:val="24"/>
          <w:szCs w:val="18"/>
          <w:highlight w:val="none"/>
        </w:rPr>
        <w:fldChar w:fldCharType="end"/>
      </w:r>
      <w:r>
        <w:rPr>
          <w:rFonts w:eastAsia="宋体" w:cs="Times New Roman"/>
          <w:color w:val="auto"/>
          <w:sz w:val="24"/>
          <w:szCs w:val="18"/>
          <w:highlight w:val="none"/>
        </w:rPr>
        <w:noBreakHyphen/>
      </w:r>
      <w:r>
        <w:rPr>
          <w:rFonts w:eastAsia="宋体" w:cs="Times New Roman"/>
          <w:color w:val="auto"/>
          <w:sz w:val="24"/>
          <w:szCs w:val="18"/>
          <w:highlight w:val="none"/>
        </w:rPr>
        <w:fldChar w:fldCharType="begin"/>
      </w:r>
      <w:r>
        <w:rPr>
          <w:rFonts w:eastAsia="宋体" w:cs="Times New Roman"/>
          <w:color w:val="auto"/>
          <w:sz w:val="24"/>
          <w:szCs w:val="18"/>
          <w:highlight w:val="none"/>
        </w:rPr>
        <w:instrText xml:space="preserve"> SEQ 表 \* ARABIC \s 2 </w:instrText>
      </w:r>
      <w:r>
        <w:rPr>
          <w:rFonts w:eastAsia="宋体" w:cs="Times New Roman"/>
          <w:color w:val="auto"/>
          <w:sz w:val="24"/>
          <w:szCs w:val="18"/>
          <w:highlight w:val="none"/>
        </w:rPr>
        <w:fldChar w:fldCharType="separate"/>
      </w:r>
      <w:r>
        <w:rPr>
          <w:rFonts w:eastAsia="宋体" w:cs="Times New Roman"/>
          <w:color w:val="auto"/>
          <w:sz w:val="24"/>
          <w:szCs w:val="18"/>
          <w:highlight w:val="none"/>
        </w:rPr>
        <w:t>1</w:t>
      </w:r>
      <w:r>
        <w:rPr>
          <w:rFonts w:eastAsia="宋体" w:cs="Times New Roman"/>
          <w:color w:val="auto"/>
          <w:sz w:val="24"/>
          <w:szCs w:val="18"/>
          <w:highlight w:val="none"/>
        </w:rPr>
        <w:fldChar w:fldCharType="end"/>
      </w:r>
      <w:r>
        <w:rPr>
          <w:rFonts w:eastAsia="宋体" w:cs="Times New Roman"/>
          <w:color w:val="auto"/>
          <w:kern w:val="0"/>
          <w:sz w:val="24"/>
          <w:szCs w:val="24"/>
          <w:highlight w:val="none"/>
        </w:rPr>
        <w:t>各监测项目监测方法</w:t>
      </w:r>
    </w:p>
    <w:tbl>
      <w:tblPr>
        <w:tblStyle w:val="45"/>
        <w:tblW w:w="0" w:type="auto"/>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761"/>
        <w:gridCol w:w="1507"/>
        <w:gridCol w:w="6236"/>
      </w:tblGrid>
      <w:tr w14:paraId="13F5F4C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61" w:type="dxa"/>
            <w:tcBorders>
              <w:tl2br w:val="nil"/>
              <w:tr2bl w:val="nil"/>
            </w:tcBorders>
            <w:vAlign w:val="center"/>
          </w:tcPr>
          <w:p w14:paraId="1246CCCA">
            <w:pPr>
              <w:ind w:left="-105" w:right="-105"/>
              <w:jc w:val="center"/>
              <w:rPr>
                <w:rFonts w:ascii="Times New Roman" w:hAnsi="Times New Roman"/>
                <w:color w:val="auto"/>
                <w:sz w:val="21"/>
                <w:szCs w:val="21"/>
                <w:highlight w:val="none"/>
              </w:rPr>
            </w:pPr>
            <w:r>
              <w:rPr>
                <w:rFonts w:ascii="Times New Roman" w:hAnsi="Times New Roman"/>
                <w:b/>
                <w:bCs/>
                <w:color w:val="auto"/>
                <w:sz w:val="21"/>
                <w:szCs w:val="21"/>
                <w:highlight w:val="none"/>
              </w:rPr>
              <w:t>序号</w:t>
            </w:r>
          </w:p>
        </w:tc>
        <w:tc>
          <w:tcPr>
            <w:tcW w:w="1507" w:type="dxa"/>
            <w:tcBorders>
              <w:tl2br w:val="nil"/>
              <w:tr2bl w:val="nil"/>
            </w:tcBorders>
            <w:vAlign w:val="center"/>
          </w:tcPr>
          <w:p w14:paraId="3D3F07F1">
            <w:pPr>
              <w:ind w:left="-105" w:right="-105"/>
              <w:jc w:val="center"/>
              <w:rPr>
                <w:rFonts w:ascii="Times New Roman" w:hAnsi="Times New Roman"/>
                <w:color w:val="auto"/>
                <w:sz w:val="21"/>
                <w:szCs w:val="21"/>
                <w:highlight w:val="none"/>
              </w:rPr>
            </w:pPr>
            <w:r>
              <w:rPr>
                <w:rFonts w:ascii="Times New Roman" w:hAnsi="Times New Roman"/>
                <w:b/>
                <w:bCs/>
                <w:color w:val="auto"/>
                <w:sz w:val="21"/>
                <w:szCs w:val="21"/>
                <w:highlight w:val="none"/>
              </w:rPr>
              <w:t>项目</w:t>
            </w:r>
          </w:p>
        </w:tc>
        <w:tc>
          <w:tcPr>
            <w:tcW w:w="6236" w:type="dxa"/>
            <w:tcBorders>
              <w:tl2br w:val="nil"/>
              <w:tr2bl w:val="nil"/>
            </w:tcBorders>
            <w:vAlign w:val="center"/>
          </w:tcPr>
          <w:p w14:paraId="469D1591">
            <w:pPr>
              <w:ind w:left="-105" w:right="-105"/>
              <w:jc w:val="center"/>
              <w:rPr>
                <w:rFonts w:ascii="Times New Roman" w:hAnsi="Times New Roman"/>
                <w:color w:val="auto"/>
                <w:sz w:val="21"/>
                <w:szCs w:val="21"/>
                <w:highlight w:val="none"/>
              </w:rPr>
            </w:pPr>
            <w:r>
              <w:rPr>
                <w:rFonts w:ascii="Times New Roman" w:hAnsi="Times New Roman"/>
                <w:b/>
                <w:bCs/>
                <w:color w:val="auto"/>
                <w:sz w:val="21"/>
                <w:szCs w:val="21"/>
                <w:highlight w:val="none"/>
              </w:rPr>
              <w:t>监测依据</w:t>
            </w:r>
          </w:p>
        </w:tc>
      </w:tr>
      <w:tr w14:paraId="27D56F3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61" w:type="dxa"/>
            <w:tcBorders>
              <w:tl2br w:val="nil"/>
              <w:tr2bl w:val="nil"/>
            </w:tcBorders>
            <w:vAlign w:val="center"/>
          </w:tcPr>
          <w:p w14:paraId="2999D547">
            <w:pPr>
              <w:pStyle w:val="97"/>
              <w:numPr>
                <w:ilvl w:val="0"/>
                <w:numId w:val="31"/>
              </w:numPr>
              <w:ind w:left="-105" w:right="-105" w:firstLine="0" w:firstLineChars="0"/>
              <w:jc w:val="center"/>
              <w:rPr>
                <w:rFonts w:eastAsia="宋体"/>
                <w:color w:val="auto"/>
                <w:sz w:val="21"/>
                <w:szCs w:val="21"/>
                <w:highlight w:val="none"/>
              </w:rPr>
            </w:pPr>
          </w:p>
        </w:tc>
        <w:tc>
          <w:tcPr>
            <w:tcW w:w="1507" w:type="dxa"/>
            <w:tcBorders>
              <w:tl2br w:val="nil"/>
              <w:tr2bl w:val="nil"/>
            </w:tcBorders>
            <w:vAlign w:val="center"/>
          </w:tcPr>
          <w:p w14:paraId="31E17E67">
            <w:pPr>
              <w:pStyle w:val="97"/>
              <w:ind w:left="-105" w:right="-105" w:firstLine="0" w:firstLineChars="0"/>
              <w:jc w:val="center"/>
              <w:rPr>
                <w:rFonts w:eastAsia="宋体"/>
                <w:color w:val="auto"/>
                <w:sz w:val="21"/>
                <w:szCs w:val="21"/>
                <w:highlight w:val="none"/>
              </w:rPr>
            </w:pPr>
            <w:r>
              <w:rPr>
                <w:rFonts w:eastAsia="宋体"/>
                <w:color w:val="auto"/>
                <w:sz w:val="21"/>
                <w:szCs w:val="21"/>
                <w:highlight w:val="none"/>
              </w:rPr>
              <w:t>氮氧化物</w:t>
            </w:r>
          </w:p>
        </w:tc>
        <w:tc>
          <w:tcPr>
            <w:tcW w:w="6236" w:type="dxa"/>
            <w:tcBorders>
              <w:tl2br w:val="nil"/>
              <w:tr2bl w:val="nil"/>
            </w:tcBorders>
            <w:vAlign w:val="center"/>
          </w:tcPr>
          <w:p w14:paraId="7BC4EF10">
            <w:pPr>
              <w:pStyle w:val="97"/>
              <w:ind w:left="-105" w:right="-105" w:firstLine="0" w:firstLineChars="0"/>
              <w:jc w:val="center"/>
              <w:rPr>
                <w:rFonts w:eastAsia="宋体"/>
                <w:color w:val="auto"/>
                <w:sz w:val="21"/>
                <w:szCs w:val="21"/>
                <w:highlight w:val="none"/>
              </w:rPr>
            </w:pPr>
            <w:r>
              <w:rPr>
                <w:rFonts w:eastAsia="宋体"/>
                <w:color w:val="auto"/>
                <w:kern w:val="0"/>
                <w:sz w:val="21"/>
                <w:szCs w:val="21"/>
                <w:highlight w:val="none"/>
              </w:rPr>
              <w:t>《环境空气氮氧化物（一氧化氮和二氧化氮）的测定盐酸萘乙二胺分光光度法》（HJ479-2009）</w:t>
            </w:r>
          </w:p>
        </w:tc>
      </w:tr>
      <w:tr w14:paraId="4FAF4D3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61" w:type="dxa"/>
            <w:tcBorders>
              <w:tl2br w:val="nil"/>
              <w:tr2bl w:val="nil"/>
            </w:tcBorders>
            <w:vAlign w:val="center"/>
          </w:tcPr>
          <w:p w14:paraId="0A1C29DA">
            <w:pPr>
              <w:pStyle w:val="97"/>
              <w:numPr>
                <w:ilvl w:val="0"/>
                <w:numId w:val="31"/>
              </w:numPr>
              <w:ind w:left="-105" w:right="-105" w:firstLine="0" w:firstLineChars="0"/>
              <w:jc w:val="center"/>
              <w:rPr>
                <w:rFonts w:eastAsia="宋体"/>
                <w:color w:val="auto"/>
                <w:sz w:val="21"/>
                <w:szCs w:val="21"/>
                <w:highlight w:val="none"/>
              </w:rPr>
            </w:pPr>
          </w:p>
        </w:tc>
        <w:tc>
          <w:tcPr>
            <w:tcW w:w="1507" w:type="dxa"/>
            <w:tcBorders>
              <w:tl2br w:val="nil"/>
              <w:tr2bl w:val="nil"/>
            </w:tcBorders>
            <w:vAlign w:val="center"/>
          </w:tcPr>
          <w:p w14:paraId="6AC80587">
            <w:pPr>
              <w:pStyle w:val="97"/>
              <w:ind w:left="-105" w:right="-105" w:firstLine="0" w:firstLineChars="0"/>
              <w:jc w:val="center"/>
              <w:rPr>
                <w:rFonts w:eastAsia="宋体"/>
                <w:color w:val="auto"/>
                <w:sz w:val="21"/>
                <w:szCs w:val="21"/>
                <w:highlight w:val="none"/>
              </w:rPr>
            </w:pPr>
            <w:r>
              <w:rPr>
                <w:rFonts w:eastAsia="宋体"/>
                <w:color w:val="auto"/>
                <w:sz w:val="21"/>
                <w:szCs w:val="21"/>
                <w:highlight w:val="none"/>
              </w:rPr>
              <w:t>非甲烷总烃</w:t>
            </w:r>
          </w:p>
        </w:tc>
        <w:tc>
          <w:tcPr>
            <w:tcW w:w="6236" w:type="dxa"/>
            <w:tcBorders>
              <w:tl2br w:val="nil"/>
              <w:tr2bl w:val="nil"/>
            </w:tcBorders>
            <w:vAlign w:val="center"/>
          </w:tcPr>
          <w:p w14:paraId="32009ADE">
            <w:pPr>
              <w:pStyle w:val="97"/>
              <w:ind w:left="-105" w:right="-105" w:firstLine="0" w:firstLineChars="0"/>
              <w:jc w:val="center"/>
              <w:rPr>
                <w:rFonts w:eastAsia="宋体"/>
                <w:color w:val="auto"/>
                <w:sz w:val="21"/>
                <w:szCs w:val="21"/>
                <w:highlight w:val="none"/>
              </w:rPr>
            </w:pPr>
            <w:r>
              <w:rPr>
                <w:rFonts w:eastAsia="宋体"/>
                <w:color w:val="auto"/>
                <w:kern w:val="0"/>
                <w:sz w:val="21"/>
                <w:szCs w:val="21"/>
                <w:highlight w:val="none"/>
              </w:rPr>
              <w:t>《环境空气总烃、甲烷和非甲烷总烃的测定直接进样-气相色谱法》（HJ604-2017）</w:t>
            </w:r>
          </w:p>
        </w:tc>
      </w:tr>
      <w:tr w14:paraId="1882931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61" w:type="dxa"/>
            <w:tcBorders>
              <w:tl2br w:val="nil"/>
              <w:tr2bl w:val="nil"/>
            </w:tcBorders>
            <w:vAlign w:val="center"/>
          </w:tcPr>
          <w:p w14:paraId="1E558953">
            <w:pPr>
              <w:pStyle w:val="97"/>
              <w:numPr>
                <w:ilvl w:val="0"/>
                <w:numId w:val="31"/>
              </w:numPr>
              <w:ind w:left="-105" w:right="-105" w:firstLine="0" w:firstLineChars="0"/>
              <w:jc w:val="center"/>
              <w:rPr>
                <w:rFonts w:eastAsia="宋体"/>
                <w:color w:val="auto"/>
                <w:sz w:val="21"/>
                <w:szCs w:val="21"/>
                <w:highlight w:val="none"/>
              </w:rPr>
            </w:pPr>
          </w:p>
        </w:tc>
        <w:tc>
          <w:tcPr>
            <w:tcW w:w="1507" w:type="dxa"/>
            <w:tcBorders>
              <w:tl2br w:val="nil"/>
              <w:tr2bl w:val="nil"/>
            </w:tcBorders>
            <w:vAlign w:val="center"/>
          </w:tcPr>
          <w:p w14:paraId="6FDE4676">
            <w:pPr>
              <w:pStyle w:val="97"/>
              <w:ind w:left="-105" w:right="-105" w:firstLine="0" w:firstLineChars="0"/>
              <w:jc w:val="center"/>
              <w:rPr>
                <w:rFonts w:eastAsia="宋体"/>
                <w:color w:val="auto"/>
                <w:sz w:val="21"/>
                <w:szCs w:val="21"/>
                <w:highlight w:val="none"/>
              </w:rPr>
            </w:pPr>
            <w:r>
              <w:rPr>
                <w:rFonts w:hint="eastAsia" w:eastAsia="宋体"/>
                <w:color w:val="auto"/>
                <w:sz w:val="21"/>
                <w:szCs w:val="21"/>
                <w:highlight w:val="none"/>
              </w:rPr>
              <w:t>甲醇</w:t>
            </w:r>
          </w:p>
        </w:tc>
        <w:tc>
          <w:tcPr>
            <w:tcW w:w="6236" w:type="dxa"/>
            <w:tcBorders>
              <w:tl2br w:val="nil"/>
              <w:tr2bl w:val="nil"/>
            </w:tcBorders>
            <w:vAlign w:val="center"/>
          </w:tcPr>
          <w:p w14:paraId="6CAF9AD6">
            <w:pPr>
              <w:pStyle w:val="97"/>
              <w:ind w:left="-105" w:right="-105" w:firstLine="0" w:firstLineChars="0"/>
              <w:jc w:val="center"/>
              <w:rPr>
                <w:rFonts w:eastAsia="宋体"/>
                <w:color w:val="auto"/>
                <w:sz w:val="21"/>
                <w:szCs w:val="21"/>
                <w:highlight w:val="none"/>
              </w:rPr>
            </w:pPr>
            <w:r>
              <w:rPr>
                <w:rFonts w:eastAsia="宋体"/>
                <w:color w:val="auto"/>
                <w:kern w:val="0"/>
                <w:sz w:val="21"/>
                <w:szCs w:val="21"/>
                <w:highlight w:val="none"/>
              </w:rPr>
              <w:t>《</w:t>
            </w:r>
            <w:r>
              <w:rPr>
                <w:rFonts w:hint="eastAsia" w:eastAsia="宋体"/>
                <w:color w:val="auto"/>
                <w:kern w:val="0"/>
                <w:sz w:val="21"/>
                <w:szCs w:val="21"/>
                <w:highlight w:val="none"/>
              </w:rPr>
              <w:t>固定污染源排气中甲醇的测定 气相色谱法</w:t>
            </w:r>
            <w:r>
              <w:rPr>
                <w:rFonts w:eastAsia="宋体"/>
                <w:color w:val="auto"/>
                <w:kern w:val="0"/>
                <w:sz w:val="21"/>
                <w:szCs w:val="21"/>
                <w:highlight w:val="none"/>
              </w:rPr>
              <w:t>》（HJ</w:t>
            </w:r>
            <w:r>
              <w:rPr>
                <w:rFonts w:hint="eastAsia" w:eastAsia="宋体"/>
                <w:color w:val="auto"/>
                <w:kern w:val="0"/>
                <w:sz w:val="21"/>
                <w:szCs w:val="21"/>
                <w:highlight w:val="none"/>
              </w:rPr>
              <w:t>/T33-1999</w:t>
            </w:r>
            <w:r>
              <w:rPr>
                <w:rFonts w:eastAsia="宋体"/>
                <w:color w:val="auto"/>
                <w:kern w:val="0"/>
                <w:sz w:val="21"/>
                <w:szCs w:val="21"/>
                <w:highlight w:val="none"/>
              </w:rPr>
              <w:t>）</w:t>
            </w:r>
          </w:p>
        </w:tc>
      </w:tr>
    </w:tbl>
    <w:p w14:paraId="36DBF68A">
      <w:pPr>
        <w:pStyle w:val="105"/>
        <w:adjustRightInd/>
        <w:spacing w:line="360" w:lineRule="auto"/>
        <w:ind w:firstLine="480" w:firstLineChars="200"/>
        <w:rPr>
          <w:rFonts w:ascii="Times New Roman" w:cs="Times New Roman"/>
          <w:color w:val="auto"/>
          <w:highlight w:val="none"/>
        </w:rPr>
      </w:pPr>
      <w:r>
        <w:rPr>
          <w:rFonts w:hint="eastAsia" w:ascii="Times New Roman"/>
          <w:color w:val="auto"/>
          <w:highlight w:val="none"/>
        </w:rPr>
        <w:t>③</w:t>
      </w:r>
      <w:r>
        <w:rPr>
          <w:rFonts w:ascii="Times New Roman" w:cs="Times New Roman"/>
          <w:color w:val="auto"/>
          <w:highlight w:val="none"/>
        </w:rPr>
        <w:t>监测布点</w:t>
      </w:r>
    </w:p>
    <w:p w14:paraId="5756FCBF">
      <w:pPr>
        <w:pStyle w:val="97"/>
        <w:spacing w:line="360" w:lineRule="auto"/>
        <w:ind w:left="-105" w:right="-105" w:firstLine="480"/>
        <w:rPr>
          <w:rFonts w:eastAsia="宋体"/>
          <w:color w:val="auto"/>
          <w:kern w:val="0"/>
          <w:sz w:val="24"/>
          <w:highlight w:val="none"/>
        </w:rPr>
      </w:pPr>
      <w:r>
        <w:rPr>
          <w:rFonts w:eastAsia="宋体"/>
          <w:color w:val="auto"/>
          <w:kern w:val="0"/>
          <w:sz w:val="24"/>
          <w:highlight w:val="none"/>
        </w:rPr>
        <w:t>结合评价区特点，在评价范围内布设2个大气监测点，具体位置见下表。</w:t>
      </w:r>
    </w:p>
    <w:p w14:paraId="744984C1">
      <w:pPr>
        <w:pStyle w:val="15"/>
        <w:spacing w:line="360" w:lineRule="auto"/>
        <w:ind w:left="-105" w:right="-105" w:firstLine="482"/>
        <w:rPr>
          <w:rFonts w:eastAsia="宋体" w:cs="Times New Roman"/>
          <w:bCs/>
          <w:color w:val="auto"/>
          <w:kern w:val="0"/>
          <w:sz w:val="24"/>
          <w:szCs w:val="24"/>
          <w:highlight w:val="none"/>
        </w:rPr>
      </w:pPr>
      <w:bookmarkStart w:id="339" w:name="_Ref36539471"/>
      <w:r>
        <w:rPr>
          <w:rFonts w:eastAsia="宋体" w:cs="Times New Roman"/>
          <w:color w:val="auto"/>
          <w:sz w:val="24"/>
          <w:szCs w:val="18"/>
          <w:highlight w:val="none"/>
        </w:rPr>
        <w:t>表</w:t>
      </w:r>
      <w:r>
        <w:rPr>
          <w:rFonts w:eastAsia="宋体" w:cs="Times New Roman"/>
          <w:color w:val="auto"/>
          <w:sz w:val="24"/>
          <w:szCs w:val="18"/>
          <w:highlight w:val="none"/>
        </w:rPr>
        <w:fldChar w:fldCharType="begin"/>
      </w:r>
      <w:r>
        <w:rPr>
          <w:rFonts w:eastAsia="宋体" w:cs="Times New Roman"/>
          <w:color w:val="auto"/>
          <w:sz w:val="24"/>
          <w:szCs w:val="18"/>
          <w:highlight w:val="none"/>
        </w:rPr>
        <w:instrText xml:space="preserve"> STYLEREF 2 \s </w:instrText>
      </w:r>
      <w:r>
        <w:rPr>
          <w:rFonts w:eastAsia="宋体" w:cs="Times New Roman"/>
          <w:color w:val="auto"/>
          <w:sz w:val="24"/>
          <w:szCs w:val="18"/>
          <w:highlight w:val="none"/>
        </w:rPr>
        <w:fldChar w:fldCharType="separate"/>
      </w:r>
      <w:r>
        <w:rPr>
          <w:rFonts w:eastAsia="宋体" w:cs="Times New Roman"/>
          <w:color w:val="auto"/>
          <w:sz w:val="24"/>
          <w:szCs w:val="18"/>
          <w:highlight w:val="none"/>
        </w:rPr>
        <w:t>5.3</w:t>
      </w:r>
      <w:r>
        <w:rPr>
          <w:rFonts w:eastAsia="宋体" w:cs="Times New Roman"/>
          <w:color w:val="auto"/>
          <w:sz w:val="24"/>
          <w:szCs w:val="18"/>
          <w:highlight w:val="none"/>
        </w:rPr>
        <w:fldChar w:fldCharType="end"/>
      </w:r>
      <w:r>
        <w:rPr>
          <w:rFonts w:eastAsia="宋体" w:cs="Times New Roman"/>
          <w:color w:val="auto"/>
          <w:sz w:val="24"/>
          <w:szCs w:val="18"/>
          <w:highlight w:val="none"/>
        </w:rPr>
        <w:noBreakHyphen/>
      </w:r>
      <w:r>
        <w:rPr>
          <w:rFonts w:eastAsia="宋体" w:cs="Times New Roman"/>
          <w:color w:val="auto"/>
          <w:sz w:val="24"/>
          <w:szCs w:val="18"/>
          <w:highlight w:val="none"/>
        </w:rPr>
        <w:fldChar w:fldCharType="begin"/>
      </w:r>
      <w:r>
        <w:rPr>
          <w:rFonts w:eastAsia="宋体" w:cs="Times New Roman"/>
          <w:color w:val="auto"/>
          <w:sz w:val="24"/>
          <w:szCs w:val="18"/>
          <w:highlight w:val="none"/>
        </w:rPr>
        <w:instrText xml:space="preserve"> SEQ 表 \* ARABIC \s 2 </w:instrText>
      </w:r>
      <w:r>
        <w:rPr>
          <w:rFonts w:eastAsia="宋体" w:cs="Times New Roman"/>
          <w:color w:val="auto"/>
          <w:sz w:val="24"/>
          <w:szCs w:val="18"/>
          <w:highlight w:val="none"/>
        </w:rPr>
        <w:fldChar w:fldCharType="separate"/>
      </w:r>
      <w:r>
        <w:rPr>
          <w:rFonts w:eastAsia="宋体" w:cs="Times New Roman"/>
          <w:color w:val="auto"/>
          <w:sz w:val="24"/>
          <w:szCs w:val="18"/>
          <w:highlight w:val="none"/>
        </w:rPr>
        <w:t>2</w:t>
      </w:r>
      <w:r>
        <w:rPr>
          <w:rFonts w:eastAsia="宋体" w:cs="Times New Roman"/>
          <w:color w:val="auto"/>
          <w:sz w:val="24"/>
          <w:szCs w:val="18"/>
          <w:highlight w:val="none"/>
        </w:rPr>
        <w:fldChar w:fldCharType="end"/>
      </w:r>
      <w:r>
        <w:rPr>
          <w:rFonts w:eastAsia="宋体" w:cs="Times New Roman"/>
          <w:color w:val="auto"/>
          <w:kern w:val="0"/>
          <w:sz w:val="24"/>
          <w:szCs w:val="24"/>
          <w:highlight w:val="none"/>
        </w:rPr>
        <w:t>大气监测现状布点表</w:t>
      </w:r>
      <w:bookmarkEnd w:id="339"/>
    </w:p>
    <w:tbl>
      <w:tblPr>
        <w:tblStyle w:val="45"/>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506"/>
        <w:gridCol w:w="949"/>
        <w:gridCol w:w="729"/>
        <w:gridCol w:w="821"/>
        <w:gridCol w:w="1918"/>
        <w:gridCol w:w="2367"/>
        <w:gridCol w:w="619"/>
        <w:gridCol w:w="811"/>
      </w:tblGrid>
      <w:tr w14:paraId="718FB53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blHeader/>
          <w:jc w:val="center"/>
        </w:trPr>
        <w:tc>
          <w:tcPr>
            <w:tcW w:w="290" w:type="pct"/>
            <w:vMerge w:val="restart"/>
            <w:tcBorders>
              <w:top w:val="single" w:color="auto" w:sz="12" w:space="0"/>
              <w:left w:val="nil"/>
              <w:bottom w:val="single" w:color="auto" w:sz="4" w:space="0"/>
              <w:right w:val="single" w:color="auto" w:sz="4" w:space="0"/>
            </w:tcBorders>
            <w:vAlign w:val="center"/>
          </w:tcPr>
          <w:p w14:paraId="6012887C">
            <w:pPr>
              <w:ind w:left="-105" w:right="-105"/>
              <w:jc w:val="center"/>
              <w:rPr>
                <w:rFonts w:ascii="Times New Roman" w:hAnsi="Times New Roman"/>
                <w:b/>
                <w:color w:val="auto"/>
                <w:sz w:val="21"/>
                <w:szCs w:val="21"/>
                <w:highlight w:val="none"/>
              </w:rPr>
            </w:pPr>
            <w:r>
              <w:rPr>
                <w:rFonts w:ascii="Times New Roman" w:hAnsi="Times New Roman"/>
                <w:b/>
                <w:color w:val="auto"/>
                <w:sz w:val="21"/>
                <w:szCs w:val="21"/>
                <w:highlight w:val="none"/>
              </w:rPr>
              <w:t>序号</w:t>
            </w:r>
          </w:p>
        </w:tc>
        <w:tc>
          <w:tcPr>
            <w:tcW w:w="544" w:type="pct"/>
            <w:vMerge w:val="restart"/>
            <w:tcBorders>
              <w:top w:val="single" w:color="auto" w:sz="12" w:space="0"/>
              <w:left w:val="single" w:color="auto" w:sz="4" w:space="0"/>
              <w:bottom w:val="single" w:color="auto" w:sz="4" w:space="0"/>
              <w:right w:val="single" w:color="auto" w:sz="4" w:space="0"/>
            </w:tcBorders>
            <w:vAlign w:val="center"/>
          </w:tcPr>
          <w:p w14:paraId="1CFE073C">
            <w:pPr>
              <w:ind w:left="-105" w:right="-105"/>
              <w:jc w:val="center"/>
              <w:rPr>
                <w:rFonts w:ascii="Times New Roman" w:hAnsi="Times New Roman"/>
                <w:b/>
                <w:color w:val="auto"/>
                <w:sz w:val="21"/>
                <w:szCs w:val="21"/>
                <w:highlight w:val="none"/>
              </w:rPr>
            </w:pPr>
            <w:r>
              <w:rPr>
                <w:rFonts w:ascii="Times New Roman" w:hAnsi="Times New Roman"/>
                <w:b/>
                <w:color w:val="auto"/>
                <w:sz w:val="21"/>
                <w:szCs w:val="21"/>
                <w:highlight w:val="none"/>
              </w:rPr>
              <w:t>监测点位置</w:t>
            </w:r>
          </w:p>
        </w:tc>
        <w:tc>
          <w:tcPr>
            <w:tcW w:w="889" w:type="pct"/>
            <w:gridSpan w:val="2"/>
            <w:tcBorders>
              <w:top w:val="single" w:color="auto" w:sz="12" w:space="0"/>
              <w:left w:val="single" w:color="auto" w:sz="4" w:space="0"/>
              <w:bottom w:val="single" w:color="auto" w:sz="4" w:space="0"/>
              <w:right w:val="single" w:color="auto" w:sz="4" w:space="0"/>
            </w:tcBorders>
            <w:vAlign w:val="center"/>
          </w:tcPr>
          <w:p w14:paraId="21531B37">
            <w:pPr>
              <w:ind w:left="-105" w:right="-105"/>
              <w:jc w:val="center"/>
              <w:rPr>
                <w:rFonts w:ascii="Times New Roman" w:hAnsi="Times New Roman"/>
                <w:b/>
                <w:color w:val="auto"/>
                <w:sz w:val="21"/>
                <w:szCs w:val="21"/>
                <w:highlight w:val="none"/>
                <w:vertAlign w:val="superscript"/>
              </w:rPr>
            </w:pPr>
            <w:r>
              <w:rPr>
                <w:rFonts w:ascii="Times New Roman" w:hAnsi="Times New Roman"/>
                <w:b/>
                <w:color w:val="auto"/>
                <w:sz w:val="21"/>
                <w:szCs w:val="21"/>
                <w:highlight w:val="none"/>
              </w:rPr>
              <w:t>监测点坐标/m</w:t>
            </w:r>
            <w:r>
              <w:rPr>
                <w:rFonts w:hint="eastAsia" w:ascii="Times New Roman" w:hAnsi="Times New Roman"/>
                <w:b/>
                <w:color w:val="auto"/>
                <w:sz w:val="21"/>
                <w:szCs w:val="21"/>
                <w:highlight w:val="none"/>
                <w:vertAlign w:val="superscript"/>
              </w:rPr>
              <w:t>[1]</w:t>
            </w:r>
          </w:p>
        </w:tc>
        <w:tc>
          <w:tcPr>
            <w:tcW w:w="1100" w:type="pct"/>
            <w:vMerge w:val="restart"/>
            <w:tcBorders>
              <w:top w:val="single" w:color="auto" w:sz="12" w:space="0"/>
              <w:left w:val="single" w:color="auto" w:sz="4" w:space="0"/>
              <w:bottom w:val="single" w:color="auto" w:sz="4" w:space="0"/>
              <w:right w:val="single" w:color="auto" w:sz="4" w:space="0"/>
            </w:tcBorders>
            <w:vAlign w:val="center"/>
          </w:tcPr>
          <w:p w14:paraId="36808974">
            <w:pPr>
              <w:ind w:left="-105" w:right="-105"/>
              <w:jc w:val="center"/>
              <w:rPr>
                <w:rFonts w:ascii="Times New Roman" w:hAnsi="Times New Roman"/>
                <w:b/>
                <w:color w:val="auto"/>
                <w:sz w:val="21"/>
                <w:szCs w:val="21"/>
                <w:highlight w:val="none"/>
              </w:rPr>
            </w:pPr>
            <w:r>
              <w:rPr>
                <w:rFonts w:ascii="Times New Roman" w:hAnsi="Times New Roman"/>
                <w:b/>
                <w:color w:val="auto"/>
                <w:sz w:val="21"/>
                <w:szCs w:val="21"/>
                <w:highlight w:val="none"/>
              </w:rPr>
              <w:t>监测因子</w:t>
            </w:r>
          </w:p>
        </w:tc>
        <w:tc>
          <w:tcPr>
            <w:tcW w:w="1357" w:type="pct"/>
            <w:vMerge w:val="restart"/>
            <w:tcBorders>
              <w:top w:val="single" w:color="auto" w:sz="12" w:space="0"/>
              <w:left w:val="single" w:color="auto" w:sz="4" w:space="0"/>
              <w:bottom w:val="single" w:color="auto" w:sz="4" w:space="0"/>
              <w:right w:val="single" w:color="auto" w:sz="4" w:space="0"/>
            </w:tcBorders>
            <w:vAlign w:val="center"/>
          </w:tcPr>
          <w:p w14:paraId="425F1FD8">
            <w:pPr>
              <w:ind w:left="-105" w:right="-105"/>
              <w:jc w:val="center"/>
              <w:rPr>
                <w:rFonts w:ascii="Times New Roman" w:hAnsi="Times New Roman"/>
                <w:b/>
                <w:color w:val="auto"/>
                <w:sz w:val="21"/>
                <w:szCs w:val="21"/>
                <w:highlight w:val="none"/>
              </w:rPr>
            </w:pPr>
            <w:r>
              <w:rPr>
                <w:rFonts w:ascii="Times New Roman" w:hAnsi="Times New Roman"/>
                <w:b/>
                <w:color w:val="auto"/>
                <w:sz w:val="21"/>
                <w:szCs w:val="21"/>
                <w:highlight w:val="none"/>
              </w:rPr>
              <w:t>监测时段</w:t>
            </w:r>
          </w:p>
        </w:tc>
        <w:tc>
          <w:tcPr>
            <w:tcW w:w="820" w:type="pct"/>
            <w:gridSpan w:val="2"/>
            <w:tcBorders>
              <w:top w:val="single" w:color="auto" w:sz="12" w:space="0"/>
              <w:left w:val="single" w:color="auto" w:sz="4" w:space="0"/>
              <w:bottom w:val="single" w:color="auto" w:sz="4" w:space="0"/>
              <w:right w:val="nil"/>
            </w:tcBorders>
            <w:vAlign w:val="center"/>
          </w:tcPr>
          <w:p w14:paraId="0FF9F08C">
            <w:pPr>
              <w:ind w:left="-105" w:right="-105"/>
              <w:jc w:val="center"/>
              <w:rPr>
                <w:rFonts w:ascii="Times New Roman" w:hAnsi="Times New Roman"/>
                <w:b/>
                <w:color w:val="auto"/>
                <w:sz w:val="21"/>
                <w:szCs w:val="21"/>
                <w:highlight w:val="none"/>
              </w:rPr>
            </w:pPr>
            <w:r>
              <w:rPr>
                <w:rFonts w:ascii="Times New Roman" w:hAnsi="Times New Roman"/>
                <w:b/>
                <w:color w:val="auto"/>
                <w:sz w:val="21"/>
                <w:szCs w:val="21"/>
                <w:highlight w:val="none"/>
              </w:rPr>
              <w:t>相对厂界位置</w:t>
            </w:r>
          </w:p>
        </w:tc>
      </w:tr>
      <w:tr w14:paraId="63B13B3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blHeader/>
          <w:jc w:val="center"/>
        </w:trPr>
        <w:tc>
          <w:tcPr>
            <w:tcW w:w="0" w:type="auto"/>
            <w:vMerge w:val="continue"/>
            <w:tcBorders>
              <w:top w:val="single" w:color="auto" w:sz="12" w:space="0"/>
              <w:left w:val="nil"/>
              <w:bottom w:val="single" w:color="auto" w:sz="4" w:space="0"/>
              <w:right w:val="single" w:color="auto" w:sz="4" w:space="0"/>
            </w:tcBorders>
            <w:vAlign w:val="center"/>
          </w:tcPr>
          <w:p w14:paraId="286E485A">
            <w:pPr>
              <w:ind w:left="-105" w:right="-105"/>
              <w:rPr>
                <w:rFonts w:ascii="Times New Roman" w:hAnsi="Times New Roman"/>
                <w:b/>
                <w:color w:val="auto"/>
                <w:sz w:val="21"/>
                <w:szCs w:val="21"/>
                <w:highlight w:val="none"/>
              </w:rPr>
            </w:pPr>
          </w:p>
        </w:tc>
        <w:tc>
          <w:tcPr>
            <w:tcW w:w="0" w:type="auto"/>
            <w:vMerge w:val="continue"/>
            <w:tcBorders>
              <w:top w:val="single" w:color="auto" w:sz="12" w:space="0"/>
              <w:left w:val="single" w:color="auto" w:sz="4" w:space="0"/>
              <w:bottom w:val="single" w:color="auto" w:sz="4" w:space="0"/>
              <w:right w:val="single" w:color="auto" w:sz="4" w:space="0"/>
            </w:tcBorders>
            <w:vAlign w:val="center"/>
          </w:tcPr>
          <w:p w14:paraId="5BF954E9">
            <w:pPr>
              <w:ind w:left="-105" w:right="-105"/>
              <w:rPr>
                <w:rFonts w:ascii="Times New Roman" w:hAnsi="Times New Roman"/>
                <w:b/>
                <w:color w:val="auto"/>
                <w:sz w:val="21"/>
                <w:szCs w:val="21"/>
                <w:highlight w:val="none"/>
              </w:rPr>
            </w:pPr>
          </w:p>
        </w:tc>
        <w:tc>
          <w:tcPr>
            <w:tcW w:w="418" w:type="pct"/>
            <w:tcBorders>
              <w:top w:val="single" w:color="auto" w:sz="4" w:space="0"/>
              <w:left w:val="single" w:color="auto" w:sz="4" w:space="0"/>
              <w:bottom w:val="single" w:color="auto" w:sz="4" w:space="0"/>
              <w:right w:val="single" w:color="auto" w:sz="4" w:space="0"/>
            </w:tcBorders>
            <w:vAlign w:val="center"/>
          </w:tcPr>
          <w:p w14:paraId="04AD4E89">
            <w:pPr>
              <w:ind w:left="-105" w:right="-105"/>
              <w:jc w:val="center"/>
              <w:rPr>
                <w:rFonts w:ascii="Times New Roman" w:hAnsi="Times New Roman"/>
                <w:b/>
                <w:color w:val="auto"/>
                <w:sz w:val="21"/>
                <w:szCs w:val="21"/>
                <w:highlight w:val="none"/>
              </w:rPr>
            </w:pPr>
            <w:r>
              <w:rPr>
                <w:rFonts w:ascii="Times New Roman" w:hAnsi="Times New Roman"/>
                <w:b/>
                <w:color w:val="auto"/>
                <w:sz w:val="21"/>
                <w:szCs w:val="21"/>
                <w:highlight w:val="none"/>
              </w:rPr>
              <w:t>X</w:t>
            </w:r>
          </w:p>
        </w:tc>
        <w:tc>
          <w:tcPr>
            <w:tcW w:w="471" w:type="pct"/>
            <w:tcBorders>
              <w:top w:val="single" w:color="auto" w:sz="4" w:space="0"/>
              <w:left w:val="single" w:color="auto" w:sz="4" w:space="0"/>
              <w:bottom w:val="single" w:color="auto" w:sz="4" w:space="0"/>
              <w:right w:val="single" w:color="auto" w:sz="4" w:space="0"/>
            </w:tcBorders>
            <w:vAlign w:val="center"/>
          </w:tcPr>
          <w:p w14:paraId="240754EA">
            <w:pPr>
              <w:ind w:left="-105" w:right="-105"/>
              <w:jc w:val="center"/>
              <w:rPr>
                <w:rFonts w:ascii="Times New Roman" w:hAnsi="Times New Roman"/>
                <w:b/>
                <w:color w:val="auto"/>
                <w:sz w:val="21"/>
                <w:szCs w:val="21"/>
                <w:highlight w:val="none"/>
              </w:rPr>
            </w:pPr>
            <w:r>
              <w:rPr>
                <w:rFonts w:ascii="Times New Roman" w:hAnsi="Times New Roman"/>
                <w:b/>
                <w:color w:val="auto"/>
                <w:sz w:val="21"/>
                <w:szCs w:val="21"/>
                <w:highlight w:val="none"/>
              </w:rPr>
              <w:t>Y</w:t>
            </w:r>
          </w:p>
        </w:tc>
        <w:tc>
          <w:tcPr>
            <w:tcW w:w="0" w:type="auto"/>
            <w:vMerge w:val="continue"/>
            <w:tcBorders>
              <w:top w:val="single" w:color="auto" w:sz="12" w:space="0"/>
              <w:left w:val="single" w:color="auto" w:sz="4" w:space="0"/>
              <w:bottom w:val="single" w:color="auto" w:sz="4" w:space="0"/>
              <w:right w:val="single" w:color="auto" w:sz="4" w:space="0"/>
            </w:tcBorders>
            <w:vAlign w:val="center"/>
          </w:tcPr>
          <w:p w14:paraId="5CE3AD8C">
            <w:pPr>
              <w:ind w:left="-105" w:right="-105"/>
              <w:rPr>
                <w:rFonts w:ascii="Times New Roman" w:hAnsi="Times New Roman"/>
                <w:b/>
                <w:color w:val="auto"/>
                <w:sz w:val="21"/>
                <w:szCs w:val="21"/>
                <w:highlight w:val="none"/>
              </w:rPr>
            </w:pPr>
          </w:p>
        </w:tc>
        <w:tc>
          <w:tcPr>
            <w:tcW w:w="0" w:type="auto"/>
            <w:vMerge w:val="continue"/>
            <w:tcBorders>
              <w:top w:val="single" w:color="auto" w:sz="12" w:space="0"/>
              <w:left w:val="single" w:color="auto" w:sz="4" w:space="0"/>
              <w:bottom w:val="single" w:color="auto" w:sz="4" w:space="0"/>
              <w:right w:val="single" w:color="auto" w:sz="4" w:space="0"/>
            </w:tcBorders>
            <w:vAlign w:val="center"/>
          </w:tcPr>
          <w:p w14:paraId="7F3C1D70">
            <w:pPr>
              <w:ind w:left="-105" w:right="-105"/>
              <w:rPr>
                <w:rFonts w:ascii="Times New Roman" w:hAnsi="Times New Roman"/>
                <w:b/>
                <w:color w:val="auto"/>
                <w:sz w:val="21"/>
                <w:szCs w:val="21"/>
                <w:highlight w:val="none"/>
              </w:rPr>
            </w:pPr>
          </w:p>
        </w:tc>
        <w:tc>
          <w:tcPr>
            <w:tcW w:w="355" w:type="pct"/>
            <w:tcBorders>
              <w:top w:val="single" w:color="auto" w:sz="4" w:space="0"/>
              <w:left w:val="single" w:color="auto" w:sz="4" w:space="0"/>
              <w:bottom w:val="single" w:color="auto" w:sz="4" w:space="0"/>
              <w:right w:val="single" w:color="auto" w:sz="4" w:space="0"/>
            </w:tcBorders>
            <w:vAlign w:val="center"/>
          </w:tcPr>
          <w:p w14:paraId="26819742">
            <w:pPr>
              <w:ind w:left="-105" w:right="-105"/>
              <w:jc w:val="center"/>
              <w:rPr>
                <w:rFonts w:ascii="Times New Roman" w:hAnsi="Times New Roman"/>
                <w:b/>
                <w:color w:val="auto"/>
                <w:sz w:val="21"/>
                <w:szCs w:val="21"/>
                <w:highlight w:val="none"/>
              </w:rPr>
            </w:pPr>
            <w:r>
              <w:rPr>
                <w:rFonts w:ascii="Times New Roman" w:hAnsi="Times New Roman"/>
                <w:b/>
                <w:color w:val="auto"/>
                <w:sz w:val="21"/>
                <w:szCs w:val="21"/>
                <w:highlight w:val="none"/>
              </w:rPr>
              <w:t>方位</w:t>
            </w:r>
          </w:p>
        </w:tc>
        <w:tc>
          <w:tcPr>
            <w:tcW w:w="465" w:type="pct"/>
            <w:tcBorders>
              <w:top w:val="single" w:color="auto" w:sz="4" w:space="0"/>
              <w:left w:val="single" w:color="auto" w:sz="4" w:space="0"/>
              <w:bottom w:val="single" w:color="auto" w:sz="4" w:space="0"/>
              <w:right w:val="nil"/>
            </w:tcBorders>
            <w:vAlign w:val="center"/>
          </w:tcPr>
          <w:p w14:paraId="7CB7E0DB">
            <w:pPr>
              <w:ind w:left="-105" w:right="-105"/>
              <w:jc w:val="center"/>
              <w:rPr>
                <w:rFonts w:ascii="Times New Roman" w:hAnsi="Times New Roman"/>
                <w:b/>
                <w:color w:val="auto"/>
                <w:sz w:val="21"/>
                <w:szCs w:val="21"/>
                <w:highlight w:val="none"/>
              </w:rPr>
            </w:pPr>
            <w:r>
              <w:rPr>
                <w:rFonts w:ascii="Times New Roman" w:hAnsi="Times New Roman"/>
                <w:b/>
                <w:color w:val="auto"/>
                <w:sz w:val="21"/>
                <w:szCs w:val="21"/>
                <w:highlight w:val="none"/>
              </w:rPr>
              <w:t>距离/m</w:t>
            </w:r>
          </w:p>
        </w:tc>
      </w:tr>
      <w:tr w14:paraId="20C27E7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146" w:hRule="atLeast"/>
          <w:jc w:val="center"/>
        </w:trPr>
        <w:tc>
          <w:tcPr>
            <w:tcW w:w="290" w:type="pct"/>
            <w:tcBorders>
              <w:top w:val="single" w:color="auto" w:sz="4" w:space="0"/>
              <w:left w:val="nil"/>
              <w:bottom w:val="single" w:color="auto" w:sz="4" w:space="0"/>
              <w:right w:val="single" w:color="auto" w:sz="4" w:space="0"/>
            </w:tcBorders>
            <w:vAlign w:val="center"/>
          </w:tcPr>
          <w:p w14:paraId="1162912A">
            <w:pPr>
              <w:ind w:left="-105" w:right="-105"/>
              <w:jc w:val="center"/>
              <w:rPr>
                <w:rFonts w:ascii="Times New Roman" w:hAnsi="Times New Roman"/>
                <w:color w:val="auto"/>
                <w:sz w:val="21"/>
                <w:szCs w:val="21"/>
                <w:highlight w:val="none"/>
              </w:rPr>
            </w:pPr>
            <w:r>
              <w:rPr>
                <w:rFonts w:ascii="Times New Roman" w:hAnsi="Times New Roman"/>
                <w:color w:val="auto"/>
                <w:sz w:val="21"/>
                <w:szCs w:val="21"/>
                <w:highlight w:val="none"/>
              </w:rPr>
              <w:t>G1</w:t>
            </w:r>
          </w:p>
        </w:tc>
        <w:tc>
          <w:tcPr>
            <w:tcW w:w="544" w:type="pct"/>
            <w:tcBorders>
              <w:top w:val="single" w:color="auto" w:sz="4" w:space="0"/>
              <w:left w:val="single" w:color="auto" w:sz="4" w:space="0"/>
              <w:bottom w:val="single" w:color="auto" w:sz="4" w:space="0"/>
              <w:right w:val="single" w:color="auto" w:sz="4" w:space="0"/>
            </w:tcBorders>
            <w:vAlign w:val="center"/>
          </w:tcPr>
          <w:p w14:paraId="01006181">
            <w:pPr>
              <w:ind w:left="-105" w:right="-105"/>
              <w:jc w:val="center"/>
              <w:rPr>
                <w:rFonts w:ascii="Times New Roman" w:hAnsi="Times New Roman"/>
                <w:color w:val="auto"/>
                <w:sz w:val="21"/>
                <w:szCs w:val="21"/>
                <w:highlight w:val="none"/>
              </w:rPr>
            </w:pPr>
            <w:r>
              <w:rPr>
                <w:rFonts w:ascii="Times New Roman" w:hAnsi="Times New Roman"/>
                <w:color w:val="auto"/>
                <w:sz w:val="21"/>
                <w:szCs w:val="21"/>
                <w:highlight w:val="none"/>
              </w:rPr>
              <w:t>项目拟建地</w:t>
            </w:r>
          </w:p>
        </w:tc>
        <w:tc>
          <w:tcPr>
            <w:tcW w:w="418" w:type="pct"/>
            <w:tcBorders>
              <w:top w:val="single" w:color="auto" w:sz="4" w:space="0"/>
              <w:left w:val="single" w:color="auto" w:sz="4" w:space="0"/>
              <w:bottom w:val="single" w:color="auto" w:sz="4" w:space="0"/>
              <w:right w:val="single" w:color="auto" w:sz="4" w:space="0"/>
            </w:tcBorders>
            <w:vAlign w:val="center"/>
          </w:tcPr>
          <w:p w14:paraId="4F8737A5">
            <w:pPr>
              <w:ind w:left="-105" w:right="-105"/>
              <w:jc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68</w:t>
            </w:r>
          </w:p>
        </w:tc>
        <w:tc>
          <w:tcPr>
            <w:tcW w:w="471" w:type="pct"/>
            <w:tcBorders>
              <w:top w:val="single" w:color="auto" w:sz="4" w:space="0"/>
              <w:left w:val="single" w:color="auto" w:sz="4" w:space="0"/>
              <w:bottom w:val="single" w:color="auto" w:sz="4" w:space="0"/>
              <w:right w:val="single" w:color="auto" w:sz="4" w:space="0"/>
            </w:tcBorders>
            <w:vAlign w:val="center"/>
          </w:tcPr>
          <w:p w14:paraId="19BE437F">
            <w:pPr>
              <w:ind w:left="-105" w:right="-105"/>
              <w:jc w:val="center"/>
              <w:rPr>
                <w:rFonts w:ascii="Times New Roman" w:hAnsi="Times New Roman"/>
                <w:color w:val="auto"/>
                <w:sz w:val="21"/>
                <w:szCs w:val="21"/>
                <w:highlight w:val="none"/>
              </w:rPr>
            </w:pPr>
            <w:r>
              <w:rPr>
                <w:rFonts w:ascii="Times New Roman" w:hAnsi="Times New Roman"/>
                <w:color w:val="auto"/>
                <w:sz w:val="21"/>
                <w:szCs w:val="21"/>
                <w:highlight w:val="none"/>
              </w:rPr>
              <w:t>0</w:t>
            </w:r>
          </w:p>
        </w:tc>
        <w:tc>
          <w:tcPr>
            <w:tcW w:w="1100" w:type="pct"/>
            <w:vMerge w:val="restart"/>
            <w:tcBorders>
              <w:top w:val="single" w:color="auto" w:sz="4" w:space="0"/>
              <w:left w:val="single" w:color="auto" w:sz="4" w:space="0"/>
              <w:bottom w:val="single" w:color="auto" w:sz="12" w:space="0"/>
              <w:right w:val="single" w:color="auto" w:sz="4" w:space="0"/>
            </w:tcBorders>
            <w:vAlign w:val="center"/>
          </w:tcPr>
          <w:p w14:paraId="753A8216">
            <w:pPr>
              <w:pStyle w:val="105"/>
              <w:adjustRightInd/>
              <w:jc w:val="center"/>
              <w:rPr>
                <w:rFonts w:ascii="Times New Roman" w:cs="Times New Roman"/>
                <w:color w:val="auto"/>
                <w:sz w:val="21"/>
                <w:szCs w:val="21"/>
                <w:highlight w:val="none"/>
              </w:rPr>
            </w:pPr>
            <w:r>
              <w:rPr>
                <w:rFonts w:ascii="Times New Roman" w:cs="Times New Roman"/>
                <w:color w:val="auto"/>
                <w:sz w:val="21"/>
                <w:szCs w:val="21"/>
                <w:highlight w:val="none"/>
              </w:rPr>
              <w:t>氮氧化物、非甲烷总烃、</w:t>
            </w:r>
            <w:r>
              <w:rPr>
                <w:rFonts w:hint="eastAsia" w:ascii="Times New Roman" w:cs="Times New Roman"/>
                <w:color w:val="auto"/>
                <w:sz w:val="21"/>
                <w:szCs w:val="21"/>
                <w:highlight w:val="none"/>
              </w:rPr>
              <w:t>甲醇</w:t>
            </w:r>
          </w:p>
        </w:tc>
        <w:tc>
          <w:tcPr>
            <w:tcW w:w="1357" w:type="pct"/>
            <w:vMerge w:val="restart"/>
            <w:tcBorders>
              <w:top w:val="single" w:color="auto" w:sz="4" w:space="0"/>
              <w:left w:val="single" w:color="auto" w:sz="4" w:space="0"/>
              <w:bottom w:val="single" w:color="auto" w:sz="12" w:space="0"/>
              <w:right w:val="single" w:color="auto" w:sz="4" w:space="0"/>
            </w:tcBorders>
            <w:vAlign w:val="center"/>
          </w:tcPr>
          <w:p w14:paraId="11452E2B">
            <w:pPr>
              <w:ind w:left="-105" w:right="-105"/>
              <w:jc w:val="center"/>
              <w:rPr>
                <w:rFonts w:ascii="Times New Roman" w:hAnsi="Times New Roman"/>
                <w:color w:val="auto"/>
                <w:sz w:val="21"/>
                <w:szCs w:val="21"/>
                <w:highlight w:val="none"/>
              </w:rPr>
            </w:pPr>
            <w:r>
              <w:rPr>
                <w:rFonts w:ascii="Times New Roman" w:hAnsi="Times New Roman"/>
                <w:color w:val="auto"/>
                <w:sz w:val="21"/>
                <w:szCs w:val="21"/>
                <w:highlight w:val="none"/>
              </w:rPr>
              <w:t>所有监测因子每天监测4次，每次采样时间45分钟。并收集气象资料，包括天气、风速、风向、气温、湿度、大气压力等气象参数</w:t>
            </w:r>
          </w:p>
        </w:tc>
        <w:tc>
          <w:tcPr>
            <w:tcW w:w="355" w:type="pct"/>
            <w:tcBorders>
              <w:top w:val="single" w:color="auto" w:sz="4" w:space="0"/>
              <w:left w:val="single" w:color="auto" w:sz="4" w:space="0"/>
              <w:bottom w:val="single" w:color="auto" w:sz="4" w:space="0"/>
              <w:right w:val="single" w:color="auto" w:sz="4" w:space="0"/>
            </w:tcBorders>
            <w:vAlign w:val="center"/>
          </w:tcPr>
          <w:p w14:paraId="0712EB6C">
            <w:pPr>
              <w:ind w:left="-105" w:right="-105"/>
              <w:jc w:val="center"/>
              <w:rPr>
                <w:rFonts w:ascii="Times New Roman" w:hAnsi="Times New Roman"/>
                <w:color w:val="auto"/>
                <w:sz w:val="21"/>
                <w:szCs w:val="21"/>
                <w:highlight w:val="none"/>
              </w:rPr>
            </w:pPr>
            <w:r>
              <w:rPr>
                <w:rFonts w:ascii="Times New Roman" w:hAnsi="Times New Roman"/>
                <w:color w:val="auto"/>
                <w:sz w:val="21"/>
                <w:szCs w:val="21"/>
                <w:highlight w:val="none"/>
              </w:rPr>
              <w:t>/</w:t>
            </w:r>
          </w:p>
        </w:tc>
        <w:tc>
          <w:tcPr>
            <w:tcW w:w="465" w:type="pct"/>
            <w:tcBorders>
              <w:top w:val="single" w:color="auto" w:sz="4" w:space="0"/>
              <w:left w:val="single" w:color="auto" w:sz="4" w:space="0"/>
              <w:bottom w:val="single" w:color="auto" w:sz="4" w:space="0"/>
              <w:right w:val="nil"/>
            </w:tcBorders>
            <w:vAlign w:val="center"/>
          </w:tcPr>
          <w:p w14:paraId="0F165DF1">
            <w:pPr>
              <w:ind w:left="-105" w:right="-105"/>
              <w:jc w:val="center"/>
              <w:rPr>
                <w:rFonts w:ascii="Times New Roman" w:hAnsi="Times New Roman"/>
                <w:color w:val="auto"/>
                <w:sz w:val="21"/>
                <w:szCs w:val="21"/>
                <w:highlight w:val="none"/>
              </w:rPr>
            </w:pPr>
            <w:r>
              <w:rPr>
                <w:rFonts w:ascii="Times New Roman" w:hAnsi="Times New Roman"/>
                <w:color w:val="auto"/>
                <w:sz w:val="21"/>
                <w:szCs w:val="21"/>
                <w:highlight w:val="none"/>
              </w:rPr>
              <w:t>/</w:t>
            </w:r>
          </w:p>
        </w:tc>
      </w:tr>
      <w:tr w14:paraId="02F8CE3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290" w:type="pct"/>
            <w:tcBorders>
              <w:top w:val="single" w:color="auto" w:sz="4" w:space="0"/>
              <w:left w:val="nil"/>
              <w:bottom w:val="single" w:color="auto" w:sz="12" w:space="0"/>
              <w:right w:val="single" w:color="auto" w:sz="4" w:space="0"/>
            </w:tcBorders>
            <w:vAlign w:val="center"/>
          </w:tcPr>
          <w:p w14:paraId="4DB65892">
            <w:pPr>
              <w:ind w:left="-105" w:right="-105"/>
              <w:jc w:val="center"/>
              <w:rPr>
                <w:rFonts w:ascii="Times New Roman" w:hAnsi="Times New Roman"/>
                <w:color w:val="auto"/>
                <w:sz w:val="21"/>
                <w:szCs w:val="21"/>
                <w:highlight w:val="none"/>
              </w:rPr>
            </w:pPr>
            <w:r>
              <w:rPr>
                <w:rFonts w:ascii="Times New Roman" w:hAnsi="Times New Roman"/>
                <w:color w:val="auto"/>
                <w:sz w:val="21"/>
                <w:szCs w:val="21"/>
                <w:highlight w:val="none"/>
              </w:rPr>
              <w:t>G2</w:t>
            </w:r>
          </w:p>
        </w:tc>
        <w:tc>
          <w:tcPr>
            <w:tcW w:w="544" w:type="pct"/>
            <w:tcBorders>
              <w:top w:val="single" w:color="auto" w:sz="4" w:space="0"/>
              <w:left w:val="single" w:color="auto" w:sz="4" w:space="0"/>
              <w:bottom w:val="single" w:color="auto" w:sz="12" w:space="0"/>
              <w:right w:val="single" w:color="auto" w:sz="4" w:space="0"/>
            </w:tcBorders>
            <w:vAlign w:val="center"/>
          </w:tcPr>
          <w:p w14:paraId="2254D06E">
            <w:pPr>
              <w:ind w:left="-105" w:right="-105"/>
              <w:jc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鸿景华庭</w:t>
            </w:r>
          </w:p>
        </w:tc>
        <w:tc>
          <w:tcPr>
            <w:tcW w:w="418" w:type="pct"/>
            <w:tcBorders>
              <w:top w:val="single" w:color="auto" w:sz="4" w:space="0"/>
              <w:left w:val="single" w:color="auto" w:sz="4" w:space="0"/>
              <w:bottom w:val="single" w:color="auto" w:sz="12" w:space="0"/>
              <w:right w:val="single" w:color="auto" w:sz="4" w:space="0"/>
            </w:tcBorders>
            <w:vAlign w:val="center"/>
          </w:tcPr>
          <w:p w14:paraId="35361FD3">
            <w:pPr>
              <w:ind w:left="-105" w:right="-105"/>
              <w:jc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0</w:t>
            </w:r>
          </w:p>
        </w:tc>
        <w:tc>
          <w:tcPr>
            <w:tcW w:w="471" w:type="pct"/>
            <w:tcBorders>
              <w:top w:val="single" w:color="auto" w:sz="4" w:space="0"/>
              <w:left w:val="single" w:color="auto" w:sz="4" w:space="0"/>
              <w:bottom w:val="single" w:color="auto" w:sz="12" w:space="0"/>
              <w:right w:val="single" w:color="auto" w:sz="4" w:space="0"/>
            </w:tcBorders>
            <w:vAlign w:val="center"/>
          </w:tcPr>
          <w:p w14:paraId="61B9A5FE">
            <w:pPr>
              <w:ind w:left="-105" w:right="-105"/>
              <w:jc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358</w:t>
            </w:r>
          </w:p>
        </w:tc>
        <w:tc>
          <w:tcPr>
            <w:tcW w:w="0" w:type="auto"/>
            <w:vMerge w:val="continue"/>
            <w:tcBorders>
              <w:top w:val="single" w:color="auto" w:sz="4" w:space="0"/>
              <w:left w:val="single" w:color="auto" w:sz="4" w:space="0"/>
              <w:bottom w:val="single" w:color="auto" w:sz="12" w:space="0"/>
              <w:right w:val="single" w:color="auto" w:sz="4" w:space="0"/>
            </w:tcBorders>
            <w:vAlign w:val="center"/>
          </w:tcPr>
          <w:p w14:paraId="76C28E99">
            <w:pPr>
              <w:ind w:left="-105" w:right="-105"/>
              <w:rPr>
                <w:rFonts w:ascii="Times New Roman" w:hAnsi="Times New Roman"/>
                <w:color w:val="auto"/>
                <w:sz w:val="21"/>
                <w:szCs w:val="21"/>
                <w:highlight w:val="none"/>
              </w:rPr>
            </w:pPr>
          </w:p>
        </w:tc>
        <w:tc>
          <w:tcPr>
            <w:tcW w:w="0" w:type="auto"/>
            <w:vMerge w:val="continue"/>
            <w:tcBorders>
              <w:top w:val="single" w:color="auto" w:sz="4" w:space="0"/>
              <w:left w:val="single" w:color="auto" w:sz="4" w:space="0"/>
              <w:bottom w:val="single" w:color="auto" w:sz="12" w:space="0"/>
              <w:right w:val="single" w:color="auto" w:sz="4" w:space="0"/>
            </w:tcBorders>
            <w:vAlign w:val="center"/>
          </w:tcPr>
          <w:p w14:paraId="4C3DBE27">
            <w:pPr>
              <w:ind w:left="-105" w:right="-105"/>
              <w:rPr>
                <w:rFonts w:ascii="Times New Roman" w:hAnsi="Times New Roman"/>
                <w:color w:val="auto"/>
                <w:sz w:val="21"/>
                <w:szCs w:val="21"/>
                <w:highlight w:val="none"/>
              </w:rPr>
            </w:pPr>
          </w:p>
        </w:tc>
        <w:tc>
          <w:tcPr>
            <w:tcW w:w="355" w:type="pct"/>
            <w:tcBorders>
              <w:top w:val="single" w:color="auto" w:sz="4" w:space="0"/>
              <w:left w:val="single" w:color="auto" w:sz="4" w:space="0"/>
              <w:bottom w:val="single" w:color="auto" w:sz="12" w:space="0"/>
              <w:right w:val="single" w:color="auto" w:sz="4" w:space="0"/>
            </w:tcBorders>
            <w:vAlign w:val="center"/>
          </w:tcPr>
          <w:p w14:paraId="7EF9F323">
            <w:pPr>
              <w:ind w:left="-105" w:right="-105"/>
              <w:jc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N</w:t>
            </w:r>
          </w:p>
        </w:tc>
        <w:tc>
          <w:tcPr>
            <w:tcW w:w="465" w:type="pct"/>
            <w:tcBorders>
              <w:top w:val="single" w:color="auto" w:sz="4" w:space="0"/>
              <w:left w:val="single" w:color="auto" w:sz="4" w:space="0"/>
              <w:bottom w:val="single" w:color="auto" w:sz="12" w:space="0"/>
              <w:right w:val="nil"/>
            </w:tcBorders>
            <w:vAlign w:val="center"/>
          </w:tcPr>
          <w:p w14:paraId="565FFCB9">
            <w:pPr>
              <w:ind w:left="-105" w:right="-105"/>
              <w:jc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250</w:t>
            </w:r>
          </w:p>
        </w:tc>
      </w:tr>
    </w:tbl>
    <w:p w14:paraId="51BC4321">
      <w:pPr>
        <w:spacing w:line="360" w:lineRule="auto"/>
        <w:ind w:left="-105" w:right="-105"/>
        <w:rPr>
          <w:rFonts w:ascii="Times New Roman" w:hAnsi="Times New Roman"/>
          <w:b/>
          <w:bCs/>
          <w:color w:val="auto"/>
          <w:highlight w:val="none"/>
        </w:rPr>
      </w:pPr>
      <w:r>
        <w:rPr>
          <w:rFonts w:ascii="Times New Roman" w:hAnsi="Times New Roman" w:cs="Times New Roman"/>
          <w:b/>
          <w:bCs/>
          <w:color w:val="auto"/>
          <w:sz w:val="21"/>
          <w:szCs w:val="21"/>
          <w:highlight w:val="none"/>
        </w:rPr>
        <w:t>[1]注：本项目坐标原点</w:t>
      </w:r>
      <w:r>
        <w:rPr>
          <w:rFonts w:hint="eastAsia" w:ascii="Times New Roman" w:hAnsi="Times New Roman" w:cs="Times New Roman"/>
          <w:b/>
          <w:bCs/>
          <w:color w:val="auto"/>
          <w:sz w:val="21"/>
          <w:szCs w:val="21"/>
          <w:highlight w:val="none"/>
        </w:rPr>
        <w:t>西南角</w:t>
      </w:r>
      <w:r>
        <w:rPr>
          <w:rFonts w:ascii="Times New Roman" w:hAnsi="Times New Roman" w:cs="Times New Roman"/>
          <w:b/>
          <w:bCs/>
          <w:color w:val="auto"/>
          <w:sz w:val="21"/>
          <w:szCs w:val="21"/>
          <w:highlight w:val="none"/>
        </w:rPr>
        <w:t>的位置（0，0），X、Y坐标为距离本项目最近点坐标。</w:t>
      </w:r>
    </w:p>
    <w:p w14:paraId="2190661D">
      <w:pPr>
        <w:spacing w:line="360" w:lineRule="auto"/>
        <w:ind w:left="-105" w:right="-105" w:firstLine="480"/>
        <w:rPr>
          <w:rFonts w:ascii="Times New Roman" w:hAnsi="Times New Roman"/>
          <w:color w:val="auto"/>
          <w:highlight w:val="none"/>
        </w:rPr>
      </w:pPr>
      <w:r>
        <w:rPr>
          <w:rFonts w:ascii="Times New Roman" w:hAnsi="Times New Roman"/>
          <w:color w:val="auto"/>
          <w:highlight w:val="none"/>
        </w:rPr>
        <w:t>（3）气象条件</w:t>
      </w:r>
    </w:p>
    <w:p w14:paraId="5C1D5227">
      <w:pPr>
        <w:spacing w:line="360" w:lineRule="auto"/>
        <w:ind w:left="-105" w:right="-105" w:firstLine="480"/>
        <w:rPr>
          <w:rFonts w:ascii="Times New Roman" w:hAnsi="Times New Roman"/>
          <w:color w:val="auto"/>
          <w:highlight w:val="none"/>
        </w:rPr>
      </w:pPr>
      <w:r>
        <w:rPr>
          <w:rFonts w:ascii="Times New Roman" w:hAnsi="Times New Roman"/>
          <w:color w:val="auto"/>
          <w:highlight w:val="none"/>
        </w:rPr>
        <w:t>监测期间的气象条件见下表。</w:t>
      </w:r>
    </w:p>
    <w:p w14:paraId="6ED03B47">
      <w:pPr>
        <w:pStyle w:val="15"/>
        <w:ind w:left="-105" w:right="-105" w:firstLine="482"/>
        <w:rPr>
          <w:rFonts w:eastAsia="宋体" w:cs="Times New Roman"/>
          <w:color w:val="auto"/>
          <w:kern w:val="0"/>
          <w:sz w:val="24"/>
          <w:szCs w:val="24"/>
          <w:highlight w:val="none"/>
        </w:rPr>
      </w:pPr>
      <w:bookmarkStart w:id="340" w:name="_Ref36539590"/>
      <w:r>
        <w:rPr>
          <w:rFonts w:eastAsia="宋体" w:cs="Times New Roman"/>
          <w:color w:val="auto"/>
          <w:sz w:val="24"/>
          <w:szCs w:val="18"/>
          <w:highlight w:val="none"/>
        </w:rPr>
        <w:t>表</w:t>
      </w:r>
      <w:r>
        <w:rPr>
          <w:rFonts w:eastAsia="宋体" w:cs="Times New Roman"/>
          <w:color w:val="auto"/>
          <w:sz w:val="24"/>
          <w:szCs w:val="18"/>
          <w:highlight w:val="none"/>
        </w:rPr>
        <w:fldChar w:fldCharType="begin"/>
      </w:r>
      <w:r>
        <w:rPr>
          <w:rFonts w:eastAsia="宋体" w:cs="Times New Roman"/>
          <w:color w:val="auto"/>
          <w:sz w:val="24"/>
          <w:szCs w:val="18"/>
          <w:highlight w:val="none"/>
        </w:rPr>
        <w:instrText xml:space="preserve"> STYLEREF 2 \s </w:instrText>
      </w:r>
      <w:r>
        <w:rPr>
          <w:rFonts w:eastAsia="宋体" w:cs="Times New Roman"/>
          <w:color w:val="auto"/>
          <w:sz w:val="24"/>
          <w:szCs w:val="18"/>
          <w:highlight w:val="none"/>
        </w:rPr>
        <w:fldChar w:fldCharType="separate"/>
      </w:r>
      <w:r>
        <w:rPr>
          <w:rFonts w:eastAsia="宋体" w:cs="Times New Roman"/>
          <w:color w:val="auto"/>
          <w:sz w:val="24"/>
          <w:szCs w:val="18"/>
          <w:highlight w:val="none"/>
        </w:rPr>
        <w:t>5.3</w:t>
      </w:r>
      <w:r>
        <w:rPr>
          <w:rFonts w:eastAsia="宋体" w:cs="Times New Roman"/>
          <w:color w:val="auto"/>
          <w:sz w:val="24"/>
          <w:szCs w:val="18"/>
          <w:highlight w:val="none"/>
        </w:rPr>
        <w:fldChar w:fldCharType="end"/>
      </w:r>
      <w:r>
        <w:rPr>
          <w:rFonts w:eastAsia="宋体" w:cs="Times New Roman"/>
          <w:color w:val="auto"/>
          <w:sz w:val="24"/>
          <w:szCs w:val="18"/>
          <w:highlight w:val="none"/>
        </w:rPr>
        <w:noBreakHyphen/>
      </w:r>
      <w:r>
        <w:rPr>
          <w:rFonts w:eastAsia="宋体" w:cs="Times New Roman"/>
          <w:color w:val="auto"/>
          <w:sz w:val="24"/>
          <w:szCs w:val="18"/>
          <w:highlight w:val="none"/>
        </w:rPr>
        <w:fldChar w:fldCharType="begin"/>
      </w:r>
      <w:r>
        <w:rPr>
          <w:rFonts w:eastAsia="宋体" w:cs="Times New Roman"/>
          <w:color w:val="auto"/>
          <w:sz w:val="24"/>
          <w:szCs w:val="18"/>
          <w:highlight w:val="none"/>
        </w:rPr>
        <w:instrText xml:space="preserve"> SEQ 表 \* ARABIC \s 2 </w:instrText>
      </w:r>
      <w:r>
        <w:rPr>
          <w:rFonts w:eastAsia="宋体" w:cs="Times New Roman"/>
          <w:color w:val="auto"/>
          <w:sz w:val="24"/>
          <w:szCs w:val="18"/>
          <w:highlight w:val="none"/>
        </w:rPr>
        <w:fldChar w:fldCharType="separate"/>
      </w:r>
      <w:r>
        <w:rPr>
          <w:rFonts w:eastAsia="宋体" w:cs="Times New Roman"/>
          <w:color w:val="auto"/>
          <w:sz w:val="24"/>
          <w:szCs w:val="18"/>
          <w:highlight w:val="none"/>
        </w:rPr>
        <w:t>3</w:t>
      </w:r>
      <w:r>
        <w:rPr>
          <w:rFonts w:eastAsia="宋体" w:cs="Times New Roman"/>
          <w:color w:val="auto"/>
          <w:sz w:val="24"/>
          <w:szCs w:val="18"/>
          <w:highlight w:val="none"/>
        </w:rPr>
        <w:fldChar w:fldCharType="end"/>
      </w:r>
      <w:r>
        <w:rPr>
          <w:rFonts w:eastAsia="宋体" w:cs="Times New Roman"/>
          <w:color w:val="auto"/>
          <w:kern w:val="0"/>
          <w:sz w:val="24"/>
          <w:szCs w:val="24"/>
          <w:highlight w:val="none"/>
        </w:rPr>
        <w:t>监测期间气象条件</w:t>
      </w:r>
      <w:bookmarkEnd w:id="340"/>
    </w:p>
    <w:tbl>
      <w:tblPr>
        <w:tblStyle w:val="45"/>
        <w:tblW w:w="0" w:type="auto"/>
        <w:tblInd w:w="108"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004"/>
        <w:gridCol w:w="1004"/>
        <w:gridCol w:w="1382"/>
        <w:gridCol w:w="871"/>
        <w:gridCol w:w="1086"/>
        <w:gridCol w:w="1087"/>
        <w:gridCol w:w="1087"/>
        <w:gridCol w:w="1087"/>
      </w:tblGrid>
      <w:tr w14:paraId="6DA48C1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04" w:type="dxa"/>
            <w:tcBorders>
              <w:tl2br w:val="nil"/>
              <w:tr2bl w:val="nil"/>
            </w:tcBorders>
            <w:vAlign w:val="center"/>
          </w:tcPr>
          <w:p w14:paraId="2061D171">
            <w:pPr>
              <w:ind w:left="-105" w:right="-105"/>
              <w:jc w:val="center"/>
              <w:rPr>
                <w:rFonts w:ascii="Times New Roman" w:hAnsi="Times New Roman" w:cs="Times New Roman"/>
                <w:b/>
                <w:color w:val="auto"/>
                <w:sz w:val="21"/>
                <w:szCs w:val="21"/>
                <w:highlight w:val="none"/>
              </w:rPr>
            </w:pPr>
            <w:r>
              <w:rPr>
                <w:rFonts w:ascii="Times New Roman" w:hAnsi="Times New Roman" w:cs="Times New Roman"/>
                <w:b/>
                <w:color w:val="auto"/>
                <w:sz w:val="21"/>
                <w:szCs w:val="21"/>
                <w:highlight w:val="none"/>
              </w:rPr>
              <w:t>点位</w:t>
            </w:r>
          </w:p>
        </w:tc>
        <w:tc>
          <w:tcPr>
            <w:tcW w:w="1004" w:type="dxa"/>
            <w:tcBorders>
              <w:tl2br w:val="nil"/>
              <w:tr2bl w:val="nil"/>
            </w:tcBorders>
            <w:vAlign w:val="center"/>
          </w:tcPr>
          <w:p w14:paraId="04166D13">
            <w:pPr>
              <w:ind w:left="-105" w:right="-105"/>
              <w:jc w:val="center"/>
              <w:rPr>
                <w:rFonts w:ascii="Times New Roman" w:hAnsi="Times New Roman" w:cs="Times New Roman"/>
                <w:b/>
                <w:color w:val="auto"/>
                <w:sz w:val="21"/>
                <w:szCs w:val="21"/>
                <w:highlight w:val="none"/>
              </w:rPr>
            </w:pPr>
            <w:r>
              <w:rPr>
                <w:rFonts w:ascii="Times New Roman" w:hAnsi="Times New Roman" w:cs="Times New Roman"/>
                <w:b/>
                <w:color w:val="auto"/>
                <w:sz w:val="21"/>
                <w:szCs w:val="21"/>
                <w:highlight w:val="none"/>
              </w:rPr>
              <w:t>检测日期</w:t>
            </w:r>
          </w:p>
        </w:tc>
        <w:tc>
          <w:tcPr>
            <w:tcW w:w="1382" w:type="dxa"/>
            <w:tcBorders>
              <w:tl2br w:val="nil"/>
              <w:tr2bl w:val="nil"/>
            </w:tcBorders>
            <w:vAlign w:val="center"/>
          </w:tcPr>
          <w:p w14:paraId="7F511DAA">
            <w:pPr>
              <w:ind w:left="-105" w:right="-105"/>
              <w:jc w:val="center"/>
              <w:rPr>
                <w:rFonts w:ascii="Times New Roman" w:hAnsi="Times New Roman" w:cs="Times New Roman"/>
                <w:b/>
                <w:color w:val="auto"/>
                <w:sz w:val="21"/>
                <w:szCs w:val="21"/>
                <w:highlight w:val="none"/>
              </w:rPr>
            </w:pPr>
            <w:r>
              <w:rPr>
                <w:rFonts w:ascii="Times New Roman" w:hAnsi="Times New Roman" w:cs="Times New Roman"/>
                <w:b/>
                <w:color w:val="auto"/>
                <w:sz w:val="21"/>
                <w:szCs w:val="21"/>
                <w:highlight w:val="none"/>
              </w:rPr>
              <w:t>采样时间</w:t>
            </w:r>
          </w:p>
        </w:tc>
        <w:tc>
          <w:tcPr>
            <w:tcW w:w="871" w:type="dxa"/>
            <w:tcBorders>
              <w:tl2br w:val="nil"/>
              <w:tr2bl w:val="nil"/>
            </w:tcBorders>
            <w:vAlign w:val="center"/>
          </w:tcPr>
          <w:p w14:paraId="059CEC57">
            <w:pPr>
              <w:ind w:left="-105" w:right="-105"/>
              <w:jc w:val="center"/>
              <w:rPr>
                <w:rFonts w:ascii="Times New Roman" w:hAnsi="Times New Roman" w:cs="Times New Roman"/>
                <w:b/>
                <w:color w:val="auto"/>
                <w:sz w:val="21"/>
                <w:szCs w:val="21"/>
                <w:highlight w:val="none"/>
              </w:rPr>
            </w:pPr>
            <w:r>
              <w:rPr>
                <w:rFonts w:ascii="Times New Roman" w:hAnsi="Times New Roman" w:cs="Times New Roman"/>
                <w:b/>
                <w:color w:val="auto"/>
                <w:sz w:val="21"/>
                <w:szCs w:val="21"/>
                <w:highlight w:val="none"/>
              </w:rPr>
              <w:t>温度（℃）</w:t>
            </w:r>
          </w:p>
        </w:tc>
        <w:tc>
          <w:tcPr>
            <w:tcW w:w="1086" w:type="dxa"/>
            <w:tcBorders>
              <w:tl2br w:val="nil"/>
              <w:tr2bl w:val="nil"/>
            </w:tcBorders>
            <w:vAlign w:val="center"/>
          </w:tcPr>
          <w:p w14:paraId="19AEDA1D">
            <w:pPr>
              <w:ind w:left="-105" w:right="-105"/>
              <w:jc w:val="center"/>
              <w:rPr>
                <w:rFonts w:ascii="Times New Roman" w:hAnsi="Times New Roman" w:cs="Times New Roman"/>
                <w:b/>
                <w:color w:val="auto"/>
                <w:sz w:val="21"/>
                <w:szCs w:val="21"/>
                <w:highlight w:val="none"/>
              </w:rPr>
            </w:pPr>
            <w:r>
              <w:rPr>
                <w:rFonts w:ascii="Times New Roman" w:hAnsi="Times New Roman" w:cs="Times New Roman"/>
                <w:b/>
                <w:color w:val="auto"/>
                <w:sz w:val="21"/>
                <w:szCs w:val="21"/>
                <w:highlight w:val="none"/>
              </w:rPr>
              <w:t>大气压（kPa）</w:t>
            </w:r>
          </w:p>
        </w:tc>
        <w:tc>
          <w:tcPr>
            <w:tcW w:w="1087" w:type="dxa"/>
            <w:tcBorders>
              <w:tl2br w:val="nil"/>
              <w:tr2bl w:val="nil"/>
            </w:tcBorders>
            <w:vAlign w:val="center"/>
          </w:tcPr>
          <w:p w14:paraId="5041DD9A">
            <w:pPr>
              <w:ind w:left="-105" w:right="-105"/>
              <w:jc w:val="center"/>
              <w:rPr>
                <w:rFonts w:ascii="Times New Roman" w:hAnsi="Times New Roman" w:cs="Times New Roman"/>
                <w:b/>
                <w:color w:val="auto"/>
                <w:sz w:val="21"/>
                <w:szCs w:val="21"/>
                <w:highlight w:val="none"/>
              </w:rPr>
            </w:pPr>
            <w:r>
              <w:rPr>
                <w:rFonts w:ascii="Times New Roman" w:hAnsi="Times New Roman" w:cs="Times New Roman"/>
                <w:b/>
                <w:color w:val="auto"/>
                <w:sz w:val="21"/>
                <w:szCs w:val="21"/>
                <w:highlight w:val="none"/>
              </w:rPr>
              <w:t>湿度（%）</w:t>
            </w:r>
          </w:p>
        </w:tc>
        <w:tc>
          <w:tcPr>
            <w:tcW w:w="1087" w:type="dxa"/>
            <w:tcBorders>
              <w:tl2br w:val="nil"/>
              <w:tr2bl w:val="nil"/>
            </w:tcBorders>
            <w:vAlign w:val="center"/>
          </w:tcPr>
          <w:p w14:paraId="1F18DFA4">
            <w:pPr>
              <w:ind w:left="-105" w:right="-105"/>
              <w:jc w:val="center"/>
              <w:rPr>
                <w:rFonts w:ascii="Times New Roman" w:hAnsi="Times New Roman" w:cs="Times New Roman"/>
                <w:b/>
                <w:color w:val="auto"/>
                <w:sz w:val="21"/>
                <w:szCs w:val="21"/>
                <w:highlight w:val="none"/>
              </w:rPr>
            </w:pPr>
            <w:r>
              <w:rPr>
                <w:rFonts w:ascii="Times New Roman" w:hAnsi="Times New Roman" w:cs="Times New Roman"/>
                <w:b/>
                <w:color w:val="auto"/>
                <w:sz w:val="21"/>
                <w:szCs w:val="21"/>
                <w:highlight w:val="none"/>
              </w:rPr>
              <w:t>风向</w:t>
            </w:r>
          </w:p>
        </w:tc>
        <w:tc>
          <w:tcPr>
            <w:tcW w:w="1087" w:type="dxa"/>
            <w:tcBorders>
              <w:tl2br w:val="nil"/>
              <w:tr2bl w:val="nil"/>
            </w:tcBorders>
            <w:vAlign w:val="center"/>
          </w:tcPr>
          <w:p w14:paraId="7F13FE99">
            <w:pPr>
              <w:ind w:left="-105" w:right="-105"/>
              <w:jc w:val="center"/>
              <w:rPr>
                <w:rFonts w:ascii="Times New Roman" w:hAnsi="Times New Roman" w:cs="Times New Roman"/>
                <w:b/>
                <w:color w:val="auto"/>
                <w:sz w:val="21"/>
                <w:szCs w:val="21"/>
                <w:highlight w:val="none"/>
              </w:rPr>
            </w:pPr>
            <w:r>
              <w:rPr>
                <w:rFonts w:ascii="Times New Roman" w:hAnsi="Times New Roman" w:cs="Times New Roman"/>
                <w:b/>
                <w:color w:val="auto"/>
                <w:sz w:val="21"/>
                <w:szCs w:val="21"/>
                <w:highlight w:val="none"/>
              </w:rPr>
              <w:t>风速（m/s）</w:t>
            </w:r>
          </w:p>
        </w:tc>
      </w:tr>
      <w:tr w14:paraId="3FCF459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04" w:type="dxa"/>
            <w:vMerge w:val="restart"/>
            <w:tcBorders>
              <w:tl2br w:val="nil"/>
              <w:tr2bl w:val="nil"/>
            </w:tcBorders>
            <w:vAlign w:val="center"/>
          </w:tcPr>
          <w:p w14:paraId="3E6B21A4">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G1</w:t>
            </w:r>
          </w:p>
        </w:tc>
        <w:tc>
          <w:tcPr>
            <w:tcW w:w="1004" w:type="dxa"/>
            <w:vMerge w:val="restart"/>
            <w:tcBorders>
              <w:tl2br w:val="nil"/>
              <w:tr2bl w:val="nil"/>
            </w:tcBorders>
            <w:vAlign w:val="center"/>
          </w:tcPr>
          <w:p w14:paraId="2B90A2C7">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2024年04月22日</w:t>
            </w:r>
          </w:p>
        </w:tc>
        <w:tc>
          <w:tcPr>
            <w:tcW w:w="1382" w:type="dxa"/>
            <w:tcBorders>
              <w:tl2br w:val="nil"/>
              <w:tr2bl w:val="nil"/>
            </w:tcBorders>
            <w:vAlign w:val="center"/>
          </w:tcPr>
          <w:p w14:paraId="04084740">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2:00</w:t>
            </w:r>
          </w:p>
        </w:tc>
        <w:tc>
          <w:tcPr>
            <w:tcW w:w="871" w:type="dxa"/>
            <w:tcBorders>
              <w:tl2br w:val="nil"/>
              <w:tr2bl w:val="nil"/>
            </w:tcBorders>
            <w:vAlign w:val="center"/>
          </w:tcPr>
          <w:p w14:paraId="3E87A03E">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15.2</w:t>
            </w:r>
          </w:p>
        </w:tc>
        <w:tc>
          <w:tcPr>
            <w:tcW w:w="1086" w:type="dxa"/>
            <w:tcBorders>
              <w:tl2br w:val="nil"/>
              <w:tr2bl w:val="nil"/>
            </w:tcBorders>
            <w:vAlign w:val="center"/>
          </w:tcPr>
          <w:p w14:paraId="23009DAA">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102.43</w:t>
            </w:r>
          </w:p>
        </w:tc>
        <w:tc>
          <w:tcPr>
            <w:tcW w:w="1087" w:type="dxa"/>
            <w:tcBorders>
              <w:tl2br w:val="nil"/>
              <w:tr2bl w:val="nil"/>
            </w:tcBorders>
            <w:vAlign w:val="center"/>
          </w:tcPr>
          <w:p w14:paraId="7B0CA63A">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53.2</w:t>
            </w:r>
          </w:p>
        </w:tc>
        <w:tc>
          <w:tcPr>
            <w:tcW w:w="1087" w:type="dxa"/>
            <w:tcBorders>
              <w:tl2br w:val="nil"/>
              <w:tr2bl w:val="nil"/>
            </w:tcBorders>
            <w:vAlign w:val="center"/>
          </w:tcPr>
          <w:p w14:paraId="1864C772">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西南风</w:t>
            </w:r>
          </w:p>
        </w:tc>
        <w:tc>
          <w:tcPr>
            <w:tcW w:w="1087" w:type="dxa"/>
            <w:tcBorders>
              <w:tl2br w:val="nil"/>
              <w:tr2bl w:val="nil"/>
            </w:tcBorders>
            <w:vAlign w:val="center"/>
          </w:tcPr>
          <w:p w14:paraId="1715A7E3">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2.2</w:t>
            </w:r>
          </w:p>
        </w:tc>
      </w:tr>
      <w:tr w14:paraId="10FE356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04" w:type="dxa"/>
            <w:vMerge w:val="continue"/>
            <w:tcBorders>
              <w:tl2br w:val="nil"/>
              <w:tr2bl w:val="nil"/>
            </w:tcBorders>
            <w:vAlign w:val="center"/>
          </w:tcPr>
          <w:p w14:paraId="0533DC24">
            <w:pPr>
              <w:ind w:left="-105" w:right="-105"/>
              <w:jc w:val="center"/>
              <w:rPr>
                <w:rFonts w:ascii="Times New Roman" w:hAnsi="Times New Roman" w:cs="Times New Roman"/>
                <w:color w:val="auto"/>
                <w:sz w:val="21"/>
                <w:szCs w:val="21"/>
                <w:highlight w:val="none"/>
              </w:rPr>
            </w:pPr>
          </w:p>
        </w:tc>
        <w:tc>
          <w:tcPr>
            <w:tcW w:w="1004" w:type="dxa"/>
            <w:vMerge w:val="continue"/>
            <w:tcBorders>
              <w:tl2br w:val="nil"/>
              <w:tr2bl w:val="nil"/>
            </w:tcBorders>
            <w:vAlign w:val="center"/>
          </w:tcPr>
          <w:p w14:paraId="72F0AF90">
            <w:pPr>
              <w:ind w:left="-105" w:right="-105"/>
              <w:jc w:val="center"/>
              <w:rPr>
                <w:rFonts w:ascii="Times New Roman" w:hAnsi="Times New Roman" w:cs="Times New Roman"/>
                <w:color w:val="auto"/>
                <w:sz w:val="21"/>
                <w:szCs w:val="21"/>
                <w:highlight w:val="none"/>
              </w:rPr>
            </w:pPr>
          </w:p>
        </w:tc>
        <w:tc>
          <w:tcPr>
            <w:tcW w:w="1382" w:type="dxa"/>
            <w:tcBorders>
              <w:tl2br w:val="nil"/>
              <w:tr2bl w:val="nil"/>
            </w:tcBorders>
            <w:vAlign w:val="center"/>
          </w:tcPr>
          <w:p w14:paraId="6228661C">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8:00</w:t>
            </w:r>
          </w:p>
        </w:tc>
        <w:tc>
          <w:tcPr>
            <w:tcW w:w="871" w:type="dxa"/>
            <w:tcBorders>
              <w:tl2br w:val="nil"/>
              <w:tr2bl w:val="nil"/>
            </w:tcBorders>
            <w:vAlign w:val="center"/>
          </w:tcPr>
          <w:p w14:paraId="58BFCAED">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18.5</w:t>
            </w:r>
          </w:p>
        </w:tc>
        <w:tc>
          <w:tcPr>
            <w:tcW w:w="1086" w:type="dxa"/>
            <w:tcBorders>
              <w:tl2br w:val="nil"/>
              <w:tr2bl w:val="nil"/>
            </w:tcBorders>
            <w:vAlign w:val="center"/>
          </w:tcPr>
          <w:p w14:paraId="12F07EE5">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102.29</w:t>
            </w:r>
          </w:p>
        </w:tc>
        <w:tc>
          <w:tcPr>
            <w:tcW w:w="1087" w:type="dxa"/>
            <w:tcBorders>
              <w:tl2br w:val="nil"/>
              <w:tr2bl w:val="nil"/>
            </w:tcBorders>
            <w:vAlign w:val="center"/>
          </w:tcPr>
          <w:p w14:paraId="72A8E37C">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51.6</w:t>
            </w:r>
          </w:p>
        </w:tc>
        <w:tc>
          <w:tcPr>
            <w:tcW w:w="1087" w:type="dxa"/>
            <w:tcBorders>
              <w:tl2br w:val="nil"/>
              <w:tr2bl w:val="nil"/>
            </w:tcBorders>
            <w:vAlign w:val="center"/>
          </w:tcPr>
          <w:p w14:paraId="003C01ED">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西南风</w:t>
            </w:r>
          </w:p>
        </w:tc>
        <w:tc>
          <w:tcPr>
            <w:tcW w:w="1087" w:type="dxa"/>
            <w:tcBorders>
              <w:tl2br w:val="nil"/>
              <w:tr2bl w:val="nil"/>
            </w:tcBorders>
            <w:vAlign w:val="center"/>
          </w:tcPr>
          <w:p w14:paraId="066E5267">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 xml:space="preserve">2.0 </w:t>
            </w:r>
          </w:p>
        </w:tc>
      </w:tr>
      <w:tr w14:paraId="56515D5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04" w:type="dxa"/>
            <w:vMerge w:val="continue"/>
            <w:tcBorders>
              <w:tl2br w:val="nil"/>
              <w:tr2bl w:val="nil"/>
            </w:tcBorders>
            <w:vAlign w:val="center"/>
          </w:tcPr>
          <w:p w14:paraId="49C91EA7">
            <w:pPr>
              <w:ind w:left="-105" w:right="-105"/>
              <w:jc w:val="center"/>
              <w:rPr>
                <w:rFonts w:ascii="Times New Roman" w:hAnsi="Times New Roman" w:cs="Times New Roman"/>
                <w:color w:val="auto"/>
                <w:sz w:val="21"/>
                <w:szCs w:val="21"/>
                <w:highlight w:val="none"/>
              </w:rPr>
            </w:pPr>
          </w:p>
        </w:tc>
        <w:tc>
          <w:tcPr>
            <w:tcW w:w="1004" w:type="dxa"/>
            <w:vMerge w:val="continue"/>
            <w:tcBorders>
              <w:tl2br w:val="nil"/>
              <w:tr2bl w:val="nil"/>
            </w:tcBorders>
            <w:vAlign w:val="center"/>
          </w:tcPr>
          <w:p w14:paraId="736014DD">
            <w:pPr>
              <w:ind w:left="-105" w:right="-105"/>
              <w:jc w:val="center"/>
              <w:rPr>
                <w:rFonts w:ascii="Times New Roman" w:hAnsi="Times New Roman" w:cs="Times New Roman"/>
                <w:color w:val="auto"/>
                <w:sz w:val="21"/>
                <w:szCs w:val="21"/>
                <w:highlight w:val="none"/>
              </w:rPr>
            </w:pPr>
          </w:p>
        </w:tc>
        <w:tc>
          <w:tcPr>
            <w:tcW w:w="1382" w:type="dxa"/>
            <w:tcBorders>
              <w:tl2br w:val="nil"/>
              <w:tr2bl w:val="nil"/>
            </w:tcBorders>
            <w:vAlign w:val="center"/>
          </w:tcPr>
          <w:p w14:paraId="581B72A3">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14:00</w:t>
            </w:r>
          </w:p>
        </w:tc>
        <w:tc>
          <w:tcPr>
            <w:tcW w:w="871" w:type="dxa"/>
            <w:tcBorders>
              <w:tl2br w:val="nil"/>
              <w:tr2bl w:val="nil"/>
            </w:tcBorders>
            <w:vAlign w:val="center"/>
          </w:tcPr>
          <w:p w14:paraId="026AC368">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23.7</w:t>
            </w:r>
          </w:p>
        </w:tc>
        <w:tc>
          <w:tcPr>
            <w:tcW w:w="1086" w:type="dxa"/>
            <w:tcBorders>
              <w:tl2br w:val="nil"/>
              <w:tr2bl w:val="nil"/>
            </w:tcBorders>
            <w:vAlign w:val="center"/>
          </w:tcPr>
          <w:p w14:paraId="767BC573">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101.87</w:t>
            </w:r>
          </w:p>
        </w:tc>
        <w:tc>
          <w:tcPr>
            <w:tcW w:w="1087" w:type="dxa"/>
            <w:tcBorders>
              <w:tl2br w:val="nil"/>
              <w:tr2bl w:val="nil"/>
            </w:tcBorders>
            <w:vAlign w:val="center"/>
          </w:tcPr>
          <w:p w14:paraId="7F4D1D20">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48.7</w:t>
            </w:r>
          </w:p>
        </w:tc>
        <w:tc>
          <w:tcPr>
            <w:tcW w:w="1087" w:type="dxa"/>
            <w:tcBorders>
              <w:tl2br w:val="nil"/>
              <w:tr2bl w:val="nil"/>
            </w:tcBorders>
            <w:vAlign w:val="center"/>
          </w:tcPr>
          <w:p w14:paraId="20426FFA">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西南风</w:t>
            </w:r>
          </w:p>
        </w:tc>
        <w:tc>
          <w:tcPr>
            <w:tcW w:w="1087" w:type="dxa"/>
            <w:tcBorders>
              <w:tl2br w:val="nil"/>
              <w:tr2bl w:val="nil"/>
            </w:tcBorders>
            <w:vAlign w:val="center"/>
          </w:tcPr>
          <w:p w14:paraId="62E1678E">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 xml:space="preserve">1.8 </w:t>
            </w:r>
          </w:p>
        </w:tc>
      </w:tr>
      <w:tr w14:paraId="4826BF1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04" w:type="dxa"/>
            <w:vMerge w:val="continue"/>
            <w:tcBorders>
              <w:tl2br w:val="nil"/>
              <w:tr2bl w:val="nil"/>
            </w:tcBorders>
            <w:vAlign w:val="center"/>
          </w:tcPr>
          <w:p w14:paraId="7B5BBC34">
            <w:pPr>
              <w:ind w:left="-105" w:right="-105"/>
              <w:jc w:val="center"/>
              <w:rPr>
                <w:rFonts w:ascii="Times New Roman" w:hAnsi="Times New Roman" w:cs="Times New Roman"/>
                <w:color w:val="auto"/>
                <w:sz w:val="21"/>
                <w:szCs w:val="21"/>
                <w:highlight w:val="none"/>
              </w:rPr>
            </w:pPr>
          </w:p>
        </w:tc>
        <w:tc>
          <w:tcPr>
            <w:tcW w:w="1004" w:type="dxa"/>
            <w:vMerge w:val="continue"/>
            <w:tcBorders>
              <w:tl2br w:val="nil"/>
              <w:tr2bl w:val="nil"/>
            </w:tcBorders>
            <w:vAlign w:val="center"/>
          </w:tcPr>
          <w:p w14:paraId="434E1DAF">
            <w:pPr>
              <w:ind w:left="-105" w:right="-105"/>
              <w:jc w:val="center"/>
              <w:rPr>
                <w:rFonts w:ascii="Times New Roman" w:hAnsi="Times New Roman" w:cs="Times New Roman"/>
                <w:color w:val="auto"/>
                <w:sz w:val="21"/>
                <w:szCs w:val="21"/>
                <w:highlight w:val="none"/>
              </w:rPr>
            </w:pPr>
          </w:p>
        </w:tc>
        <w:tc>
          <w:tcPr>
            <w:tcW w:w="1382" w:type="dxa"/>
            <w:tcBorders>
              <w:tl2br w:val="nil"/>
              <w:tr2bl w:val="nil"/>
            </w:tcBorders>
            <w:vAlign w:val="center"/>
          </w:tcPr>
          <w:p w14:paraId="430C24B8">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20:00</w:t>
            </w:r>
          </w:p>
        </w:tc>
        <w:tc>
          <w:tcPr>
            <w:tcW w:w="871" w:type="dxa"/>
            <w:tcBorders>
              <w:tl2br w:val="nil"/>
              <w:tr2bl w:val="nil"/>
            </w:tcBorders>
            <w:vAlign w:val="center"/>
          </w:tcPr>
          <w:p w14:paraId="53470F81">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19.1</w:t>
            </w:r>
          </w:p>
        </w:tc>
        <w:tc>
          <w:tcPr>
            <w:tcW w:w="1086" w:type="dxa"/>
            <w:tcBorders>
              <w:tl2br w:val="nil"/>
              <w:tr2bl w:val="nil"/>
            </w:tcBorders>
            <w:vAlign w:val="center"/>
          </w:tcPr>
          <w:p w14:paraId="691A8AF5">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102.21</w:t>
            </w:r>
          </w:p>
        </w:tc>
        <w:tc>
          <w:tcPr>
            <w:tcW w:w="1087" w:type="dxa"/>
            <w:tcBorders>
              <w:tl2br w:val="nil"/>
              <w:tr2bl w:val="nil"/>
            </w:tcBorders>
            <w:vAlign w:val="center"/>
          </w:tcPr>
          <w:p w14:paraId="6B22B94B">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50.9</w:t>
            </w:r>
          </w:p>
        </w:tc>
        <w:tc>
          <w:tcPr>
            <w:tcW w:w="1087" w:type="dxa"/>
            <w:tcBorders>
              <w:tl2br w:val="nil"/>
              <w:tr2bl w:val="nil"/>
            </w:tcBorders>
            <w:vAlign w:val="center"/>
          </w:tcPr>
          <w:p w14:paraId="076C9158">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西南风</w:t>
            </w:r>
          </w:p>
        </w:tc>
        <w:tc>
          <w:tcPr>
            <w:tcW w:w="1087" w:type="dxa"/>
            <w:tcBorders>
              <w:tl2br w:val="nil"/>
              <w:tr2bl w:val="nil"/>
            </w:tcBorders>
            <w:vAlign w:val="center"/>
          </w:tcPr>
          <w:p w14:paraId="3A57A32D">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 xml:space="preserve">2.0 </w:t>
            </w:r>
          </w:p>
        </w:tc>
      </w:tr>
      <w:tr w14:paraId="0C25C3F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04" w:type="dxa"/>
            <w:vMerge w:val="continue"/>
            <w:tcBorders>
              <w:tl2br w:val="nil"/>
              <w:tr2bl w:val="nil"/>
            </w:tcBorders>
            <w:vAlign w:val="center"/>
          </w:tcPr>
          <w:p w14:paraId="14910DE7">
            <w:pPr>
              <w:ind w:left="-105" w:right="-105"/>
              <w:jc w:val="center"/>
              <w:rPr>
                <w:rFonts w:ascii="Times New Roman" w:hAnsi="Times New Roman" w:cs="Times New Roman"/>
                <w:color w:val="auto"/>
                <w:sz w:val="21"/>
                <w:szCs w:val="21"/>
                <w:highlight w:val="none"/>
              </w:rPr>
            </w:pPr>
          </w:p>
        </w:tc>
        <w:tc>
          <w:tcPr>
            <w:tcW w:w="1004" w:type="dxa"/>
            <w:vMerge w:val="restart"/>
            <w:tcBorders>
              <w:tl2br w:val="nil"/>
              <w:tr2bl w:val="nil"/>
            </w:tcBorders>
            <w:vAlign w:val="center"/>
          </w:tcPr>
          <w:p w14:paraId="78261FE9">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2024年04月23日</w:t>
            </w:r>
          </w:p>
        </w:tc>
        <w:tc>
          <w:tcPr>
            <w:tcW w:w="1382" w:type="dxa"/>
            <w:tcBorders>
              <w:tl2br w:val="nil"/>
              <w:tr2bl w:val="nil"/>
            </w:tcBorders>
            <w:vAlign w:val="center"/>
          </w:tcPr>
          <w:p w14:paraId="63AF31F4">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2:00</w:t>
            </w:r>
          </w:p>
        </w:tc>
        <w:tc>
          <w:tcPr>
            <w:tcW w:w="871" w:type="dxa"/>
            <w:tcBorders>
              <w:tl2br w:val="nil"/>
              <w:tr2bl w:val="nil"/>
            </w:tcBorders>
            <w:vAlign w:val="center"/>
          </w:tcPr>
          <w:p w14:paraId="4237C37A">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13.6</w:t>
            </w:r>
          </w:p>
        </w:tc>
        <w:tc>
          <w:tcPr>
            <w:tcW w:w="1086" w:type="dxa"/>
            <w:tcBorders>
              <w:tl2br w:val="nil"/>
              <w:tr2bl w:val="nil"/>
            </w:tcBorders>
            <w:vAlign w:val="center"/>
          </w:tcPr>
          <w:p w14:paraId="1C3ECED4">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102.47</w:t>
            </w:r>
          </w:p>
        </w:tc>
        <w:tc>
          <w:tcPr>
            <w:tcW w:w="1087" w:type="dxa"/>
            <w:tcBorders>
              <w:tl2br w:val="nil"/>
              <w:tr2bl w:val="nil"/>
            </w:tcBorders>
            <w:vAlign w:val="center"/>
          </w:tcPr>
          <w:p w14:paraId="699CA370">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57.9</w:t>
            </w:r>
          </w:p>
        </w:tc>
        <w:tc>
          <w:tcPr>
            <w:tcW w:w="1087" w:type="dxa"/>
            <w:tcBorders>
              <w:tl2br w:val="nil"/>
              <w:tr2bl w:val="nil"/>
            </w:tcBorders>
            <w:vAlign w:val="center"/>
          </w:tcPr>
          <w:p w14:paraId="63967AA2">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西南风</w:t>
            </w:r>
          </w:p>
        </w:tc>
        <w:tc>
          <w:tcPr>
            <w:tcW w:w="1087" w:type="dxa"/>
            <w:tcBorders>
              <w:tl2br w:val="nil"/>
              <w:tr2bl w:val="nil"/>
            </w:tcBorders>
            <w:vAlign w:val="center"/>
          </w:tcPr>
          <w:p w14:paraId="2233741D">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2.1</w:t>
            </w:r>
          </w:p>
        </w:tc>
      </w:tr>
      <w:tr w14:paraId="2890F8B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04" w:type="dxa"/>
            <w:vMerge w:val="continue"/>
            <w:tcBorders>
              <w:tl2br w:val="nil"/>
              <w:tr2bl w:val="nil"/>
            </w:tcBorders>
            <w:vAlign w:val="center"/>
          </w:tcPr>
          <w:p w14:paraId="2C4F201A">
            <w:pPr>
              <w:ind w:left="-105" w:right="-105"/>
              <w:jc w:val="center"/>
              <w:rPr>
                <w:rFonts w:ascii="Times New Roman" w:hAnsi="Times New Roman" w:cs="Times New Roman"/>
                <w:color w:val="auto"/>
                <w:sz w:val="21"/>
                <w:szCs w:val="21"/>
                <w:highlight w:val="none"/>
              </w:rPr>
            </w:pPr>
          </w:p>
        </w:tc>
        <w:tc>
          <w:tcPr>
            <w:tcW w:w="1004" w:type="dxa"/>
            <w:vMerge w:val="continue"/>
            <w:tcBorders>
              <w:tl2br w:val="nil"/>
              <w:tr2bl w:val="nil"/>
            </w:tcBorders>
            <w:vAlign w:val="center"/>
          </w:tcPr>
          <w:p w14:paraId="4AF17BAD">
            <w:pPr>
              <w:ind w:left="-105" w:right="-105"/>
              <w:jc w:val="center"/>
              <w:rPr>
                <w:rFonts w:ascii="Times New Roman" w:hAnsi="Times New Roman" w:cs="Times New Roman"/>
                <w:color w:val="auto"/>
                <w:sz w:val="21"/>
                <w:szCs w:val="21"/>
                <w:highlight w:val="none"/>
              </w:rPr>
            </w:pPr>
          </w:p>
        </w:tc>
        <w:tc>
          <w:tcPr>
            <w:tcW w:w="1382" w:type="dxa"/>
            <w:tcBorders>
              <w:tl2br w:val="nil"/>
              <w:tr2bl w:val="nil"/>
            </w:tcBorders>
            <w:vAlign w:val="center"/>
          </w:tcPr>
          <w:p w14:paraId="301483BC">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8:00</w:t>
            </w:r>
          </w:p>
        </w:tc>
        <w:tc>
          <w:tcPr>
            <w:tcW w:w="871" w:type="dxa"/>
            <w:tcBorders>
              <w:tl2br w:val="nil"/>
              <w:tr2bl w:val="nil"/>
            </w:tcBorders>
            <w:vAlign w:val="center"/>
          </w:tcPr>
          <w:p w14:paraId="4F63C1EA">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17.3</w:t>
            </w:r>
          </w:p>
        </w:tc>
        <w:tc>
          <w:tcPr>
            <w:tcW w:w="1086" w:type="dxa"/>
            <w:tcBorders>
              <w:tl2br w:val="nil"/>
              <w:tr2bl w:val="nil"/>
            </w:tcBorders>
            <w:vAlign w:val="center"/>
          </w:tcPr>
          <w:p w14:paraId="455BEED3">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102.32</w:t>
            </w:r>
          </w:p>
        </w:tc>
        <w:tc>
          <w:tcPr>
            <w:tcW w:w="1087" w:type="dxa"/>
            <w:tcBorders>
              <w:tl2br w:val="nil"/>
              <w:tr2bl w:val="nil"/>
            </w:tcBorders>
            <w:vAlign w:val="center"/>
          </w:tcPr>
          <w:p w14:paraId="099B9B20">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55.3</w:t>
            </w:r>
          </w:p>
        </w:tc>
        <w:tc>
          <w:tcPr>
            <w:tcW w:w="1087" w:type="dxa"/>
            <w:tcBorders>
              <w:tl2br w:val="nil"/>
              <w:tr2bl w:val="nil"/>
            </w:tcBorders>
            <w:vAlign w:val="center"/>
          </w:tcPr>
          <w:p w14:paraId="27EBE545">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西南风</w:t>
            </w:r>
          </w:p>
        </w:tc>
        <w:tc>
          <w:tcPr>
            <w:tcW w:w="1087" w:type="dxa"/>
            <w:tcBorders>
              <w:tl2br w:val="nil"/>
              <w:tr2bl w:val="nil"/>
            </w:tcBorders>
            <w:vAlign w:val="center"/>
          </w:tcPr>
          <w:p w14:paraId="67F1F447">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 xml:space="preserve">2.0 </w:t>
            </w:r>
          </w:p>
        </w:tc>
      </w:tr>
      <w:tr w14:paraId="3E63A8D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04" w:type="dxa"/>
            <w:vMerge w:val="continue"/>
            <w:tcBorders>
              <w:tl2br w:val="nil"/>
              <w:tr2bl w:val="nil"/>
            </w:tcBorders>
            <w:vAlign w:val="center"/>
          </w:tcPr>
          <w:p w14:paraId="68F04640">
            <w:pPr>
              <w:ind w:left="-105" w:right="-105"/>
              <w:jc w:val="center"/>
              <w:rPr>
                <w:rFonts w:ascii="Times New Roman" w:hAnsi="Times New Roman" w:cs="Times New Roman"/>
                <w:color w:val="auto"/>
                <w:sz w:val="21"/>
                <w:szCs w:val="21"/>
                <w:highlight w:val="none"/>
              </w:rPr>
            </w:pPr>
          </w:p>
        </w:tc>
        <w:tc>
          <w:tcPr>
            <w:tcW w:w="1004" w:type="dxa"/>
            <w:vMerge w:val="continue"/>
            <w:tcBorders>
              <w:tl2br w:val="nil"/>
              <w:tr2bl w:val="nil"/>
            </w:tcBorders>
            <w:vAlign w:val="center"/>
          </w:tcPr>
          <w:p w14:paraId="6FEFA8F5">
            <w:pPr>
              <w:ind w:left="-105" w:right="-105"/>
              <w:jc w:val="center"/>
              <w:rPr>
                <w:rFonts w:ascii="Times New Roman" w:hAnsi="Times New Roman" w:cs="Times New Roman"/>
                <w:color w:val="auto"/>
                <w:sz w:val="21"/>
                <w:szCs w:val="21"/>
                <w:highlight w:val="none"/>
              </w:rPr>
            </w:pPr>
          </w:p>
        </w:tc>
        <w:tc>
          <w:tcPr>
            <w:tcW w:w="1382" w:type="dxa"/>
            <w:tcBorders>
              <w:tl2br w:val="nil"/>
              <w:tr2bl w:val="nil"/>
            </w:tcBorders>
            <w:vAlign w:val="center"/>
          </w:tcPr>
          <w:p w14:paraId="617EB612">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14:00</w:t>
            </w:r>
          </w:p>
        </w:tc>
        <w:tc>
          <w:tcPr>
            <w:tcW w:w="871" w:type="dxa"/>
            <w:tcBorders>
              <w:tl2br w:val="nil"/>
              <w:tr2bl w:val="nil"/>
            </w:tcBorders>
            <w:vAlign w:val="center"/>
          </w:tcPr>
          <w:p w14:paraId="2901D45D">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22.9</w:t>
            </w:r>
          </w:p>
        </w:tc>
        <w:tc>
          <w:tcPr>
            <w:tcW w:w="1086" w:type="dxa"/>
            <w:tcBorders>
              <w:tl2br w:val="nil"/>
              <w:tr2bl w:val="nil"/>
            </w:tcBorders>
            <w:vAlign w:val="center"/>
          </w:tcPr>
          <w:p w14:paraId="6E5572A6">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101.99</w:t>
            </w:r>
          </w:p>
        </w:tc>
        <w:tc>
          <w:tcPr>
            <w:tcW w:w="1087" w:type="dxa"/>
            <w:tcBorders>
              <w:tl2br w:val="nil"/>
              <w:tr2bl w:val="nil"/>
            </w:tcBorders>
            <w:vAlign w:val="center"/>
          </w:tcPr>
          <w:p w14:paraId="20EEFC89">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49.8</w:t>
            </w:r>
          </w:p>
        </w:tc>
        <w:tc>
          <w:tcPr>
            <w:tcW w:w="1087" w:type="dxa"/>
            <w:tcBorders>
              <w:tl2br w:val="nil"/>
              <w:tr2bl w:val="nil"/>
            </w:tcBorders>
            <w:vAlign w:val="center"/>
          </w:tcPr>
          <w:p w14:paraId="10437422">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西南风</w:t>
            </w:r>
          </w:p>
        </w:tc>
        <w:tc>
          <w:tcPr>
            <w:tcW w:w="1087" w:type="dxa"/>
            <w:tcBorders>
              <w:tl2br w:val="nil"/>
              <w:tr2bl w:val="nil"/>
            </w:tcBorders>
            <w:vAlign w:val="center"/>
          </w:tcPr>
          <w:p w14:paraId="38F2DEE4">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 xml:space="preserve">1.9 </w:t>
            </w:r>
          </w:p>
        </w:tc>
      </w:tr>
      <w:tr w14:paraId="6B374AE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04" w:type="dxa"/>
            <w:vMerge w:val="continue"/>
            <w:tcBorders>
              <w:tl2br w:val="nil"/>
              <w:tr2bl w:val="nil"/>
            </w:tcBorders>
            <w:vAlign w:val="center"/>
          </w:tcPr>
          <w:p w14:paraId="476A8D83">
            <w:pPr>
              <w:ind w:left="-105" w:right="-105"/>
              <w:jc w:val="center"/>
              <w:rPr>
                <w:rFonts w:ascii="Times New Roman" w:hAnsi="Times New Roman" w:cs="Times New Roman"/>
                <w:color w:val="auto"/>
                <w:sz w:val="21"/>
                <w:szCs w:val="21"/>
                <w:highlight w:val="none"/>
              </w:rPr>
            </w:pPr>
          </w:p>
        </w:tc>
        <w:tc>
          <w:tcPr>
            <w:tcW w:w="1004" w:type="dxa"/>
            <w:vMerge w:val="continue"/>
            <w:tcBorders>
              <w:tl2br w:val="nil"/>
              <w:tr2bl w:val="nil"/>
            </w:tcBorders>
            <w:vAlign w:val="center"/>
          </w:tcPr>
          <w:p w14:paraId="7CA6BE2E">
            <w:pPr>
              <w:ind w:left="-105" w:right="-105"/>
              <w:jc w:val="center"/>
              <w:rPr>
                <w:rFonts w:ascii="Times New Roman" w:hAnsi="Times New Roman" w:cs="Times New Roman"/>
                <w:color w:val="auto"/>
                <w:sz w:val="21"/>
                <w:szCs w:val="21"/>
                <w:highlight w:val="none"/>
              </w:rPr>
            </w:pPr>
          </w:p>
        </w:tc>
        <w:tc>
          <w:tcPr>
            <w:tcW w:w="1382" w:type="dxa"/>
            <w:tcBorders>
              <w:tl2br w:val="nil"/>
              <w:tr2bl w:val="nil"/>
            </w:tcBorders>
            <w:vAlign w:val="center"/>
          </w:tcPr>
          <w:p w14:paraId="4F2BEBC4">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20:00</w:t>
            </w:r>
          </w:p>
        </w:tc>
        <w:tc>
          <w:tcPr>
            <w:tcW w:w="871" w:type="dxa"/>
            <w:tcBorders>
              <w:tl2br w:val="nil"/>
              <w:tr2bl w:val="nil"/>
            </w:tcBorders>
            <w:vAlign w:val="center"/>
          </w:tcPr>
          <w:p w14:paraId="29F1C3D5">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17.8</w:t>
            </w:r>
          </w:p>
        </w:tc>
        <w:tc>
          <w:tcPr>
            <w:tcW w:w="1086" w:type="dxa"/>
            <w:tcBorders>
              <w:tl2br w:val="nil"/>
              <w:tr2bl w:val="nil"/>
            </w:tcBorders>
            <w:vAlign w:val="center"/>
          </w:tcPr>
          <w:p w14:paraId="59D197A2">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102.27</w:t>
            </w:r>
          </w:p>
        </w:tc>
        <w:tc>
          <w:tcPr>
            <w:tcW w:w="1087" w:type="dxa"/>
            <w:tcBorders>
              <w:tl2br w:val="nil"/>
              <w:tr2bl w:val="nil"/>
            </w:tcBorders>
            <w:vAlign w:val="center"/>
          </w:tcPr>
          <w:p w14:paraId="72DC534F">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51.4</w:t>
            </w:r>
          </w:p>
        </w:tc>
        <w:tc>
          <w:tcPr>
            <w:tcW w:w="1087" w:type="dxa"/>
            <w:tcBorders>
              <w:tl2br w:val="nil"/>
              <w:tr2bl w:val="nil"/>
            </w:tcBorders>
            <w:vAlign w:val="center"/>
          </w:tcPr>
          <w:p w14:paraId="39BA2ECC">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西南风</w:t>
            </w:r>
          </w:p>
        </w:tc>
        <w:tc>
          <w:tcPr>
            <w:tcW w:w="1087" w:type="dxa"/>
            <w:tcBorders>
              <w:tl2br w:val="nil"/>
              <w:tr2bl w:val="nil"/>
            </w:tcBorders>
            <w:vAlign w:val="center"/>
          </w:tcPr>
          <w:p w14:paraId="5A9F5C26">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2.1</w:t>
            </w:r>
          </w:p>
        </w:tc>
      </w:tr>
      <w:tr w14:paraId="02CB44E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04" w:type="dxa"/>
            <w:vMerge w:val="continue"/>
            <w:tcBorders>
              <w:tl2br w:val="nil"/>
              <w:tr2bl w:val="nil"/>
            </w:tcBorders>
            <w:vAlign w:val="center"/>
          </w:tcPr>
          <w:p w14:paraId="06314746">
            <w:pPr>
              <w:ind w:left="-105" w:right="-105"/>
              <w:jc w:val="center"/>
              <w:rPr>
                <w:rFonts w:ascii="Times New Roman" w:hAnsi="Times New Roman" w:cs="Times New Roman"/>
                <w:color w:val="auto"/>
                <w:sz w:val="21"/>
                <w:szCs w:val="21"/>
                <w:highlight w:val="none"/>
              </w:rPr>
            </w:pPr>
          </w:p>
        </w:tc>
        <w:tc>
          <w:tcPr>
            <w:tcW w:w="1004" w:type="dxa"/>
            <w:vMerge w:val="restart"/>
            <w:tcBorders>
              <w:tl2br w:val="nil"/>
              <w:tr2bl w:val="nil"/>
            </w:tcBorders>
            <w:vAlign w:val="center"/>
          </w:tcPr>
          <w:p w14:paraId="21505B96">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2024年04月24日</w:t>
            </w:r>
          </w:p>
        </w:tc>
        <w:tc>
          <w:tcPr>
            <w:tcW w:w="1382" w:type="dxa"/>
            <w:tcBorders>
              <w:tl2br w:val="nil"/>
              <w:tr2bl w:val="nil"/>
            </w:tcBorders>
            <w:vAlign w:val="center"/>
          </w:tcPr>
          <w:p w14:paraId="5FF45986">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2:00</w:t>
            </w:r>
          </w:p>
        </w:tc>
        <w:tc>
          <w:tcPr>
            <w:tcW w:w="871" w:type="dxa"/>
            <w:tcBorders>
              <w:tl2br w:val="nil"/>
              <w:tr2bl w:val="nil"/>
            </w:tcBorders>
            <w:vAlign w:val="center"/>
          </w:tcPr>
          <w:p w14:paraId="6AF0344D">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13.9</w:t>
            </w:r>
          </w:p>
        </w:tc>
        <w:tc>
          <w:tcPr>
            <w:tcW w:w="1086" w:type="dxa"/>
            <w:tcBorders>
              <w:tl2br w:val="nil"/>
              <w:tr2bl w:val="nil"/>
            </w:tcBorders>
            <w:vAlign w:val="center"/>
          </w:tcPr>
          <w:p w14:paraId="24EEA0F8">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102.41</w:t>
            </w:r>
          </w:p>
        </w:tc>
        <w:tc>
          <w:tcPr>
            <w:tcW w:w="1087" w:type="dxa"/>
            <w:tcBorders>
              <w:tl2br w:val="nil"/>
              <w:tr2bl w:val="nil"/>
            </w:tcBorders>
            <w:vAlign w:val="center"/>
          </w:tcPr>
          <w:p w14:paraId="7E2A0636">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54.3</w:t>
            </w:r>
          </w:p>
        </w:tc>
        <w:tc>
          <w:tcPr>
            <w:tcW w:w="1087" w:type="dxa"/>
            <w:tcBorders>
              <w:tl2br w:val="nil"/>
              <w:tr2bl w:val="nil"/>
            </w:tcBorders>
            <w:vAlign w:val="center"/>
          </w:tcPr>
          <w:p w14:paraId="772E898E">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东南风</w:t>
            </w:r>
          </w:p>
        </w:tc>
        <w:tc>
          <w:tcPr>
            <w:tcW w:w="1087" w:type="dxa"/>
            <w:tcBorders>
              <w:tl2br w:val="nil"/>
              <w:tr2bl w:val="nil"/>
            </w:tcBorders>
            <w:vAlign w:val="center"/>
          </w:tcPr>
          <w:p w14:paraId="09A2C426">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2.2</w:t>
            </w:r>
          </w:p>
        </w:tc>
      </w:tr>
      <w:tr w14:paraId="5536FC4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04" w:type="dxa"/>
            <w:vMerge w:val="continue"/>
            <w:tcBorders>
              <w:tl2br w:val="nil"/>
              <w:tr2bl w:val="nil"/>
            </w:tcBorders>
            <w:vAlign w:val="center"/>
          </w:tcPr>
          <w:p w14:paraId="5FF3527E">
            <w:pPr>
              <w:ind w:left="-105" w:right="-105"/>
              <w:jc w:val="center"/>
              <w:rPr>
                <w:rFonts w:ascii="Times New Roman" w:hAnsi="Times New Roman" w:cs="Times New Roman"/>
                <w:color w:val="auto"/>
                <w:sz w:val="21"/>
                <w:szCs w:val="21"/>
                <w:highlight w:val="none"/>
              </w:rPr>
            </w:pPr>
          </w:p>
        </w:tc>
        <w:tc>
          <w:tcPr>
            <w:tcW w:w="1004" w:type="dxa"/>
            <w:vMerge w:val="continue"/>
            <w:tcBorders>
              <w:tl2br w:val="nil"/>
              <w:tr2bl w:val="nil"/>
            </w:tcBorders>
            <w:vAlign w:val="center"/>
          </w:tcPr>
          <w:p w14:paraId="2D059AAC">
            <w:pPr>
              <w:ind w:left="-105" w:right="-105"/>
              <w:jc w:val="center"/>
              <w:rPr>
                <w:rFonts w:ascii="Times New Roman" w:hAnsi="Times New Roman" w:cs="Times New Roman"/>
                <w:color w:val="auto"/>
                <w:sz w:val="21"/>
                <w:szCs w:val="21"/>
                <w:highlight w:val="none"/>
              </w:rPr>
            </w:pPr>
          </w:p>
        </w:tc>
        <w:tc>
          <w:tcPr>
            <w:tcW w:w="1382" w:type="dxa"/>
            <w:tcBorders>
              <w:tl2br w:val="nil"/>
              <w:tr2bl w:val="nil"/>
            </w:tcBorders>
            <w:vAlign w:val="center"/>
          </w:tcPr>
          <w:p w14:paraId="0A99F91C">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8:00</w:t>
            </w:r>
          </w:p>
        </w:tc>
        <w:tc>
          <w:tcPr>
            <w:tcW w:w="871" w:type="dxa"/>
            <w:tcBorders>
              <w:tl2br w:val="nil"/>
              <w:tr2bl w:val="nil"/>
            </w:tcBorders>
            <w:vAlign w:val="center"/>
          </w:tcPr>
          <w:p w14:paraId="2254BCC0">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18.2</w:t>
            </w:r>
          </w:p>
        </w:tc>
        <w:tc>
          <w:tcPr>
            <w:tcW w:w="1086" w:type="dxa"/>
            <w:tcBorders>
              <w:tl2br w:val="nil"/>
              <w:tr2bl w:val="nil"/>
            </w:tcBorders>
            <w:vAlign w:val="center"/>
          </w:tcPr>
          <w:p w14:paraId="1F20633C">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102.24</w:t>
            </w:r>
          </w:p>
        </w:tc>
        <w:tc>
          <w:tcPr>
            <w:tcW w:w="1087" w:type="dxa"/>
            <w:tcBorders>
              <w:tl2br w:val="nil"/>
              <w:tr2bl w:val="nil"/>
            </w:tcBorders>
            <w:vAlign w:val="center"/>
          </w:tcPr>
          <w:p w14:paraId="42F8C27D">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51.9</w:t>
            </w:r>
          </w:p>
        </w:tc>
        <w:tc>
          <w:tcPr>
            <w:tcW w:w="1087" w:type="dxa"/>
            <w:tcBorders>
              <w:tl2br w:val="nil"/>
              <w:tr2bl w:val="nil"/>
            </w:tcBorders>
            <w:vAlign w:val="center"/>
          </w:tcPr>
          <w:p w14:paraId="0EBAA708">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东南风</w:t>
            </w:r>
          </w:p>
        </w:tc>
        <w:tc>
          <w:tcPr>
            <w:tcW w:w="1087" w:type="dxa"/>
            <w:tcBorders>
              <w:tl2br w:val="nil"/>
              <w:tr2bl w:val="nil"/>
            </w:tcBorders>
            <w:vAlign w:val="center"/>
          </w:tcPr>
          <w:p w14:paraId="792D5E09">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2.1</w:t>
            </w:r>
          </w:p>
        </w:tc>
      </w:tr>
      <w:tr w14:paraId="5297882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04" w:type="dxa"/>
            <w:vMerge w:val="continue"/>
            <w:tcBorders>
              <w:tl2br w:val="nil"/>
              <w:tr2bl w:val="nil"/>
            </w:tcBorders>
            <w:vAlign w:val="center"/>
          </w:tcPr>
          <w:p w14:paraId="49CC1EAE">
            <w:pPr>
              <w:ind w:left="-105" w:right="-105"/>
              <w:jc w:val="center"/>
              <w:rPr>
                <w:rFonts w:ascii="Times New Roman" w:hAnsi="Times New Roman" w:cs="Times New Roman"/>
                <w:color w:val="auto"/>
                <w:sz w:val="21"/>
                <w:szCs w:val="21"/>
                <w:highlight w:val="none"/>
              </w:rPr>
            </w:pPr>
          </w:p>
        </w:tc>
        <w:tc>
          <w:tcPr>
            <w:tcW w:w="1004" w:type="dxa"/>
            <w:vMerge w:val="continue"/>
            <w:tcBorders>
              <w:tl2br w:val="nil"/>
              <w:tr2bl w:val="nil"/>
            </w:tcBorders>
            <w:vAlign w:val="center"/>
          </w:tcPr>
          <w:p w14:paraId="67EED270">
            <w:pPr>
              <w:ind w:left="-105" w:right="-105"/>
              <w:jc w:val="center"/>
              <w:rPr>
                <w:rFonts w:ascii="Times New Roman" w:hAnsi="Times New Roman" w:cs="Times New Roman"/>
                <w:color w:val="auto"/>
                <w:sz w:val="21"/>
                <w:szCs w:val="21"/>
                <w:highlight w:val="none"/>
              </w:rPr>
            </w:pPr>
          </w:p>
        </w:tc>
        <w:tc>
          <w:tcPr>
            <w:tcW w:w="1382" w:type="dxa"/>
            <w:tcBorders>
              <w:tl2br w:val="nil"/>
              <w:tr2bl w:val="nil"/>
            </w:tcBorders>
            <w:vAlign w:val="center"/>
          </w:tcPr>
          <w:p w14:paraId="2CA1DFA5">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14:00</w:t>
            </w:r>
          </w:p>
        </w:tc>
        <w:tc>
          <w:tcPr>
            <w:tcW w:w="871" w:type="dxa"/>
            <w:tcBorders>
              <w:tl2br w:val="nil"/>
              <w:tr2bl w:val="nil"/>
            </w:tcBorders>
            <w:vAlign w:val="center"/>
          </w:tcPr>
          <w:p w14:paraId="38A321DB">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25.4</w:t>
            </w:r>
          </w:p>
        </w:tc>
        <w:tc>
          <w:tcPr>
            <w:tcW w:w="1086" w:type="dxa"/>
            <w:tcBorders>
              <w:tl2br w:val="nil"/>
              <w:tr2bl w:val="nil"/>
            </w:tcBorders>
            <w:vAlign w:val="center"/>
          </w:tcPr>
          <w:p w14:paraId="5C8F8828">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101.85</w:t>
            </w:r>
          </w:p>
        </w:tc>
        <w:tc>
          <w:tcPr>
            <w:tcW w:w="1087" w:type="dxa"/>
            <w:tcBorders>
              <w:tl2br w:val="nil"/>
              <w:tr2bl w:val="nil"/>
            </w:tcBorders>
            <w:vAlign w:val="center"/>
          </w:tcPr>
          <w:p w14:paraId="7BB1AD72">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48.5</w:t>
            </w:r>
          </w:p>
        </w:tc>
        <w:tc>
          <w:tcPr>
            <w:tcW w:w="1087" w:type="dxa"/>
            <w:tcBorders>
              <w:tl2br w:val="nil"/>
              <w:tr2bl w:val="nil"/>
            </w:tcBorders>
            <w:vAlign w:val="center"/>
          </w:tcPr>
          <w:p w14:paraId="562E66DC">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东南风</w:t>
            </w:r>
          </w:p>
        </w:tc>
        <w:tc>
          <w:tcPr>
            <w:tcW w:w="1087" w:type="dxa"/>
            <w:tcBorders>
              <w:tl2br w:val="nil"/>
              <w:tr2bl w:val="nil"/>
            </w:tcBorders>
            <w:vAlign w:val="center"/>
          </w:tcPr>
          <w:p w14:paraId="35F856A0">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1.8</w:t>
            </w:r>
          </w:p>
        </w:tc>
      </w:tr>
      <w:tr w14:paraId="74890E6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04" w:type="dxa"/>
            <w:vMerge w:val="continue"/>
            <w:tcBorders>
              <w:tl2br w:val="nil"/>
              <w:tr2bl w:val="nil"/>
            </w:tcBorders>
            <w:vAlign w:val="center"/>
          </w:tcPr>
          <w:p w14:paraId="71B27458">
            <w:pPr>
              <w:ind w:left="-105" w:right="-105"/>
              <w:jc w:val="center"/>
              <w:rPr>
                <w:rFonts w:ascii="Times New Roman" w:hAnsi="Times New Roman" w:cs="Times New Roman"/>
                <w:color w:val="auto"/>
                <w:sz w:val="21"/>
                <w:szCs w:val="21"/>
                <w:highlight w:val="none"/>
              </w:rPr>
            </w:pPr>
          </w:p>
        </w:tc>
        <w:tc>
          <w:tcPr>
            <w:tcW w:w="1004" w:type="dxa"/>
            <w:vMerge w:val="continue"/>
            <w:tcBorders>
              <w:tl2br w:val="nil"/>
              <w:tr2bl w:val="nil"/>
            </w:tcBorders>
            <w:vAlign w:val="center"/>
          </w:tcPr>
          <w:p w14:paraId="6BCAA701">
            <w:pPr>
              <w:ind w:left="-105" w:right="-105"/>
              <w:jc w:val="center"/>
              <w:rPr>
                <w:rFonts w:ascii="Times New Roman" w:hAnsi="Times New Roman" w:cs="Times New Roman"/>
                <w:color w:val="auto"/>
                <w:sz w:val="21"/>
                <w:szCs w:val="21"/>
                <w:highlight w:val="none"/>
              </w:rPr>
            </w:pPr>
          </w:p>
        </w:tc>
        <w:tc>
          <w:tcPr>
            <w:tcW w:w="1382" w:type="dxa"/>
            <w:tcBorders>
              <w:tl2br w:val="nil"/>
              <w:tr2bl w:val="nil"/>
            </w:tcBorders>
            <w:vAlign w:val="center"/>
          </w:tcPr>
          <w:p w14:paraId="16ECC858">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20:00</w:t>
            </w:r>
          </w:p>
        </w:tc>
        <w:tc>
          <w:tcPr>
            <w:tcW w:w="871" w:type="dxa"/>
            <w:tcBorders>
              <w:tl2br w:val="nil"/>
              <w:tr2bl w:val="nil"/>
            </w:tcBorders>
            <w:vAlign w:val="center"/>
          </w:tcPr>
          <w:p w14:paraId="0CCEE181">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19.3</w:t>
            </w:r>
          </w:p>
        </w:tc>
        <w:tc>
          <w:tcPr>
            <w:tcW w:w="1086" w:type="dxa"/>
            <w:tcBorders>
              <w:tl2br w:val="nil"/>
              <w:tr2bl w:val="nil"/>
            </w:tcBorders>
            <w:vAlign w:val="center"/>
          </w:tcPr>
          <w:p w14:paraId="02E4E4DC">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102.22</w:t>
            </w:r>
          </w:p>
        </w:tc>
        <w:tc>
          <w:tcPr>
            <w:tcW w:w="1087" w:type="dxa"/>
            <w:tcBorders>
              <w:tl2br w:val="nil"/>
              <w:tr2bl w:val="nil"/>
            </w:tcBorders>
            <w:vAlign w:val="center"/>
          </w:tcPr>
          <w:p w14:paraId="6FCBCE81">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51.3</w:t>
            </w:r>
          </w:p>
        </w:tc>
        <w:tc>
          <w:tcPr>
            <w:tcW w:w="1087" w:type="dxa"/>
            <w:tcBorders>
              <w:tl2br w:val="nil"/>
              <w:tr2bl w:val="nil"/>
            </w:tcBorders>
            <w:vAlign w:val="center"/>
          </w:tcPr>
          <w:p w14:paraId="4EF329F8">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东南风</w:t>
            </w:r>
          </w:p>
        </w:tc>
        <w:tc>
          <w:tcPr>
            <w:tcW w:w="1087" w:type="dxa"/>
            <w:tcBorders>
              <w:tl2br w:val="nil"/>
              <w:tr2bl w:val="nil"/>
            </w:tcBorders>
            <w:vAlign w:val="center"/>
          </w:tcPr>
          <w:p w14:paraId="6C38ED13">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 xml:space="preserve">2.0 </w:t>
            </w:r>
          </w:p>
        </w:tc>
      </w:tr>
      <w:tr w14:paraId="31DA81E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04" w:type="dxa"/>
            <w:vMerge w:val="continue"/>
            <w:tcBorders>
              <w:tl2br w:val="nil"/>
              <w:tr2bl w:val="nil"/>
            </w:tcBorders>
            <w:vAlign w:val="center"/>
          </w:tcPr>
          <w:p w14:paraId="622212ED">
            <w:pPr>
              <w:ind w:left="-105" w:right="-105"/>
              <w:jc w:val="center"/>
              <w:rPr>
                <w:rFonts w:ascii="Times New Roman" w:hAnsi="Times New Roman" w:cs="Times New Roman"/>
                <w:color w:val="auto"/>
                <w:sz w:val="21"/>
                <w:szCs w:val="21"/>
                <w:highlight w:val="none"/>
              </w:rPr>
            </w:pPr>
          </w:p>
        </w:tc>
        <w:tc>
          <w:tcPr>
            <w:tcW w:w="1004" w:type="dxa"/>
            <w:vMerge w:val="restart"/>
            <w:tcBorders>
              <w:tl2br w:val="nil"/>
              <w:tr2bl w:val="nil"/>
            </w:tcBorders>
            <w:vAlign w:val="center"/>
          </w:tcPr>
          <w:p w14:paraId="468EE057">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2024年04月25日</w:t>
            </w:r>
          </w:p>
        </w:tc>
        <w:tc>
          <w:tcPr>
            <w:tcW w:w="1382" w:type="dxa"/>
            <w:tcBorders>
              <w:tl2br w:val="nil"/>
              <w:tr2bl w:val="nil"/>
            </w:tcBorders>
            <w:vAlign w:val="center"/>
          </w:tcPr>
          <w:p w14:paraId="49A03490">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2:00</w:t>
            </w:r>
          </w:p>
        </w:tc>
        <w:tc>
          <w:tcPr>
            <w:tcW w:w="871" w:type="dxa"/>
            <w:tcBorders>
              <w:tl2br w:val="nil"/>
              <w:tr2bl w:val="nil"/>
            </w:tcBorders>
            <w:vAlign w:val="center"/>
          </w:tcPr>
          <w:p w14:paraId="2E4B2EEE">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15.7</w:t>
            </w:r>
          </w:p>
        </w:tc>
        <w:tc>
          <w:tcPr>
            <w:tcW w:w="1086" w:type="dxa"/>
            <w:tcBorders>
              <w:tl2br w:val="nil"/>
              <w:tr2bl w:val="nil"/>
            </w:tcBorders>
            <w:vAlign w:val="center"/>
          </w:tcPr>
          <w:p w14:paraId="7145D7F7">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102.34</w:t>
            </w:r>
          </w:p>
        </w:tc>
        <w:tc>
          <w:tcPr>
            <w:tcW w:w="1087" w:type="dxa"/>
            <w:tcBorders>
              <w:tl2br w:val="nil"/>
              <w:tr2bl w:val="nil"/>
            </w:tcBorders>
            <w:vAlign w:val="center"/>
          </w:tcPr>
          <w:p w14:paraId="7CE30F41">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53.5</w:t>
            </w:r>
          </w:p>
        </w:tc>
        <w:tc>
          <w:tcPr>
            <w:tcW w:w="1087" w:type="dxa"/>
            <w:tcBorders>
              <w:tl2br w:val="nil"/>
              <w:tr2bl w:val="nil"/>
            </w:tcBorders>
            <w:vAlign w:val="center"/>
          </w:tcPr>
          <w:p w14:paraId="1CC4F025">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东南风</w:t>
            </w:r>
          </w:p>
        </w:tc>
        <w:tc>
          <w:tcPr>
            <w:tcW w:w="1087" w:type="dxa"/>
            <w:tcBorders>
              <w:tl2br w:val="nil"/>
              <w:tr2bl w:val="nil"/>
            </w:tcBorders>
            <w:vAlign w:val="center"/>
          </w:tcPr>
          <w:p w14:paraId="25BCFEA4">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2.4</w:t>
            </w:r>
          </w:p>
        </w:tc>
      </w:tr>
      <w:tr w14:paraId="3FF27D5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04" w:type="dxa"/>
            <w:vMerge w:val="continue"/>
            <w:tcBorders>
              <w:tl2br w:val="nil"/>
              <w:tr2bl w:val="nil"/>
            </w:tcBorders>
            <w:vAlign w:val="center"/>
          </w:tcPr>
          <w:p w14:paraId="33A64D8A">
            <w:pPr>
              <w:ind w:left="-105" w:right="-105"/>
              <w:jc w:val="center"/>
              <w:rPr>
                <w:rFonts w:ascii="Times New Roman" w:hAnsi="Times New Roman" w:cs="Times New Roman"/>
                <w:color w:val="auto"/>
                <w:sz w:val="21"/>
                <w:szCs w:val="21"/>
                <w:highlight w:val="none"/>
              </w:rPr>
            </w:pPr>
          </w:p>
        </w:tc>
        <w:tc>
          <w:tcPr>
            <w:tcW w:w="1004" w:type="dxa"/>
            <w:vMerge w:val="continue"/>
            <w:tcBorders>
              <w:tl2br w:val="nil"/>
              <w:tr2bl w:val="nil"/>
            </w:tcBorders>
            <w:vAlign w:val="center"/>
          </w:tcPr>
          <w:p w14:paraId="6D0259B4">
            <w:pPr>
              <w:ind w:left="-105" w:right="-105"/>
              <w:jc w:val="center"/>
              <w:rPr>
                <w:rFonts w:ascii="Times New Roman" w:hAnsi="Times New Roman" w:cs="Times New Roman"/>
                <w:color w:val="auto"/>
                <w:sz w:val="21"/>
                <w:szCs w:val="21"/>
                <w:highlight w:val="none"/>
              </w:rPr>
            </w:pPr>
          </w:p>
        </w:tc>
        <w:tc>
          <w:tcPr>
            <w:tcW w:w="1382" w:type="dxa"/>
            <w:tcBorders>
              <w:tl2br w:val="nil"/>
              <w:tr2bl w:val="nil"/>
            </w:tcBorders>
            <w:vAlign w:val="center"/>
          </w:tcPr>
          <w:p w14:paraId="3CA0E551">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8:00</w:t>
            </w:r>
          </w:p>
        </w:tc>
        <w:tc>
          <w:tcPr>
            <w:tcW w:w="871" w:type="dxa"/>
            <w:tcBorders>
              <w:tl2br w:val="nil"/>
              <w:tr2bl w:val="nil"/>
            </w:tcBorders>
            <w:vAlign w:val="center"/>
          </w:tcPr>
          <w:p w14:paraId="71D69EBC">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19.3</w:t>
            </w:r>
          </w:p>
        </w:tc>
        <w:tc>
          <w:tcPr>
            <w:tcW w:w="1086" w:type="dxa"/>
            <w:tcBorders>
              <w:tl2br w:val="nil"/>
              <w:tr2bl w:val="nil"/>
            </w:tcBorders>
            <w:vAlign w:val="center"/>
          </w:tcPr>
          <w:p w14:paraId="104D88B1">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101.98</w:t>
            </w:r>
          </w:p>
        </w:tc>
        <w:tc>
          <w:tcPr>
            <w:tcW w:w="1087" w:type="dxa"/>
            <w:tcBorders>
              <w:tl2br w:val="nil"/>
              <w:tr2bl w:val="nil"/>
            </w:tcBorders>
            <w:vAlign w:val="center"/>
          </w:tcPr>
          <w:p w14:paraId="5A8E0D4D">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51.5</w:t>
            </w:r>
          </w:p>
        </w:tc>
        <w:tc>
          <w:tcPr>
            <w:tcW w:w="1087" w:type="dxa"/>
            <w:tcBorders>
              <w:tl2br w:val="nil"/>
              <w:tr2bl w:val="nil"/>
            </w:tcBorders>
            <w:vAlign w:val="center"/>
          </w:tcPr>
          <w:p w14:paraId="1F4C5B1D">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东南风</w:t>
            </w:r>
          </w:p>
        </w:tc>
        <w:tc>
          <w:tcPr>
            <w:tcW w:w="1087" w:type="dxa"/>
            <w:tcBorders>
              <w:tl2br w:val="nil"/>
              <w:tr2bl w:val="nil"/>
            </w:tcBorders>
            <w:vAlign w:val="center"/>
          </w:tcPr>
          <w:p w14:paraId="18A89777">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2.1</w:t>
            </w:r>
          </w:p>
        </w:tc>
      </w:tr>
      <w:tr w14:paraId="7EB3D40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04" w:type="dxa"/>
            <w:vMerge w:val="continue"/>
            <w:tcBorders>
              <w:tl2br w:val="nil"/>
              <w:tr2bl w:val="nil"/>
            </w:tcBorders>
            <w:vAlign w:val="center"/>
          </w:tcPr>
          <w:p w14:paraId="7814BB32">
            <w:pPr>
              <w:ind w:left="-105" w:right="-105"/>
              <w:jc w:val="center"/>
              <w:rPr>
                <w:rFonts w:ascii="Times New Roman" w:hAnsi="Times New Roman" w:cs="Times New Roman"/>
                <w:color w:val="auto"/>
                <w:sz w:val="21"/>
                <w:szCs w:val="21"/>
                <w:highlight w:val="none"/>
              </w:rPr>
            </w:pPr>
          </w:p>
        </w:tc>
        <w:tc>
          <w:tcPr>
            <w:tcW w:w="1004" w:type="dxa"/>
            <w:vMerge w:val="continue"/>
            <w:tcBorders>
              <w:tl2br w:val="nil"/>
              <w:tr2bl w:val="nil"/>
            </w:tcBorders>
            <w:vAlign w:val="center"/>
          </w:tcPr>
          <w:p w14:paraId="03180DD8">
            <w:pPr>
              <w:ind w:left="-105" w:right="-105"/>
              <w:jc w:val="center"/>
              <w:rPr>
                <w:rFonts w:ascii="Times New Roman" w:hAnsi="Times New Roman" w:cs="Times New Roman"/>
                <w:color w:val="auto"/>
                <w:sz w:val="21"/>
                <w:szCs w:val="21"/>
                <w:highlight w:val="none"/>
              </w:rPr>
            </w:pPr>
          </w:p>
        </w:tc>
        <w:tc>
          <w:tcPr>
            <w:tcW w:w="1382" w:type="dxa"/>
            <w:tcBorders>
              <w:tl2br w:val="nil"/>
              <w:tr2bl w:val="nil"/>
            </w:tcBorders>
            <w:vAlign w:val="center"/>
          </w:tcPr>
          <w:p w14:paraId="16103A70">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14:00</w:t>
            </w:r>
          </w:p>
        </w:tc>
        <w:tc>
          <w:tcPr>
            <w:tcW w:w="871" w:type="dxa"/>
            <w:tcBorders>
              <w:tl2br w:val="nil"/>
              <w:tr2bl w:val="nil"/>
            </w:tcBorders>
            <w:vAlign w:val="center"/>
          </w:tcPr>
          <w:p w14:paraId="1BB36B67">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23.6</w:t>
            </w:r>
          </w:p>
        </w:tc>
        <w:tc>
          <w:tcPr>
            <w:tcW w:w="1086" w:type="dxa"/>
            <w:tcBorders>
              <w:tl2br w:val="nil"/>
              <w:tr2bl w:val="nil"/>
            </w:tcBorders>
            <w:vAlign w:val="center"/>
          </w:tcPr>
          <w:p w14:paraId="7D0980F3">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101.72</w:t>
            </w:r>
          </w:p>
        </w:tc>
        <w:tc>
          <w:tcPr>
            <w:tcW w:w="1087" w:type="dxa"/>
            <w:tcBorders>
              <w:tl2br w:val="nil"/>
              <w:tr2bl w:val="nil"/>
            </w:tcBorders>
            <w:vAlign w:val="center"/>
          </w:tcPr>
          <w:p w14:paraId="013512A2">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47.5</w:t>
            </w:r>
          </w:p>
        </w:tc>
        <w:tc>
          <w:tcPr>
            <w:tcW w:w="1087" w:type="dxa"/>
            <w:tcBorders>
              <w:tl2br w:val="nil"/>
              <w:tr2bl w:val="nil"/>
            </w:tcBorders>
            <w:vAlign w:val="center"/>
          </w:tcPr>
          <w:p w14:paraId="1C07C381">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东南风</w:t>
            </w:r>
          </w:p>
        </w:tc>
        <w:tc>
          <w:tcPr>
            <w:tcW w:w="1087" w:type="dxa"/>
            <w:tcBorders>
              <w:tl2br w:val="nil"/>
              <w:tr2bl w:val="nil"/>
            </w:tcBorders>
            <w:vAlign w:val="center"/>
          </w:tcPr>
          <w:p w14:paraId="0A244187">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 xml:space="preserve">1.9 </w:t>
            </w:r>
          </w:p>
        </w:tc>
      </w:tr>
      <w:tr w14:paraId="0A8FBF7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04" w:type="dxa"/>
            <w:vMerge w:val="continue"/>
            <w:tcBorders>
              <w:tl2br w:val="nil"/>
              <w:tr2bl w:val="nil"/>
            </w:tcBorders>
            <w:vAlign w:val="center"/>
          </w:tcPr>
          <w:p w14:paraId="27C8F9ED">
            <w:pPr>
              <w:ind w:left="-105" w:right="-105"/>
              <w:jc w:val="center"/>
              <w:rPr>
                <w:rFonts w:ascii="Times New Roman" w:hAnsi="Times New Roman" w:cs="Times New Roman"/>
                <w:color w:val="auto"/>
                <w:sz w:val="21"/>
                <w:szCs w:val="21"/>
                <w:highlight w:val="none"/>
              </w:rPr>
            </w:pPr>
          </w:p>
        </w:tc>
        <w:tc>
          <w:tcPr>
            <w:tcW w:w="1004" w:type="dxa"/>
            <w:vMerge w:val="continue"/>
            <w:tcBorders>
              <w:tl2br w:val="nil"/>
              <w:tr2bl w:val="nil"/>
            </w:tcBorders>
            <w:vAlign w:val="center"/>
          </w:tcPr>
          <w:p w14:paraId="156FABA5">
            <w:pPr>
              <w:ind w:left="-105" w:right="-105"/>
              <w:jc w:val="center"/>
              <w:rPr>
                <w:rFonts w:ascii="Times New Roman" w:hAnsi="Times New Roman" w:cs="Times New Roman"/>
                <w:color w:val="auto"/>
                <w:sz w:val="21"/>
                <w:szCs w:val="21"/>
                <w:highlight w:val="none"/>
              </w:rPr>
            </w:pPr>
          </w:p>
        </w:tc>
        <w:tc>
          <w:tcPr>
            <w:tcW w:w="1382" w:type="dxa"/>
            <w:tcBorders>
              <w:tl2br w:val="nil"/>
              <w:tr2bl w:val="nil"/>
            </w:tcBorders>
            <w:vAlign w:val="center"/>
          </w:tcPr>
          <w:p w14:paraId="30683409">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20:00</w:t>
            </w:r>
          </w:p>
        </w:tc>
        <w:tc>
          <w:tcPr>
            <w:tcW w:w="871" w:type="dxa"/>
            <w:tcBorders>
              <w:tl2br w:val="nil"/>
              <w:tr2bl w:val="nil"/>
            </w:tcBorders>
            <w:vAlign w:val="center"/>
          </w:tcPr>
          <w:p w14:paraId="7CDAE03A">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19.4</w:t>
            </w:r>
          </w:p>
        </w:tc>
        <w:tc>
          <w:tcPr>
            <w:tcW w:w="1086" w:type="dxa"/>
            <w:tcBorders>
              <w:tl2br w:val="nil"/>
              <w:tr2bl w:val="nil"/>
            </w:tcBorders>
            <w:vAlign w:val="center"/>
          </w:tcPr>
          <w:p w14:paraId="6A2EE9C7">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101.94</w:t>
            </w:r>
          </w:p>
        </w:tc>
        <w:tc>
          <w:tcPr>
            <w:tcW w:w="1087" w:type="dxa"/>
            <w:tcBorders>
              <w:tl2br w:val="nil"/>
              <w:tr2bl w:val="nil"/>
            </w:tcBorders>
            <w:vAlign w:val="center"/>
          </w:tcPr>
          <w:p w14:paraId="37B11597">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50.2</w:t>
            </w:r>
          </w:p>
        </w:tc>
        <w:tc>
          <w:tcPr>
            <w:tcW w:w="1087" w:type="dxa"/>
            <w:tcBorders>
              <w:tl2br w:val="nil"/>
              <w:tr2bl w:val="nil"/>
            </w:tcBorders>
            <w:vAlign w:val="center"/>
          </w:tcPr>
          <w:p w14:paraId="7680DE39">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东南风</w:t>
            </w:r>
          </w:p>
        </w:tc>
        <w:tc>
          <w:tcPr>
            <w:tcW w:w="1087" w:type="dxa"/>
            <w:tcBorders>
              <w:tl2br w:val="nil"/>
              <w:tr2bl w:val="nil"/>
            </w:tcBorders>
            <w:vAlign w:val="center"/>
          </w:tcPr>
          <w:p w14:paraId="2C305030">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2.1</w:t>
            </w:r>
          </w:p>
        </w:tc>
      </w:tr>
      <w:tr w14:paraId="48247CA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04" w:type="dxa"/>
            <w:vMerge w:val="continue"/>
            <w:tcBorders>
              <w:tl2br w:val="nil"/>
              <w:tr2bl w:val="nil"/>
            </w:tcBorders>
            <w:vAlign w:val="center"/>
          </w:tcPr>
          <w:p w14:paraId="172641F9">
            <w:pPr>
              <w:ind w:left="-105" w:right="-105"/>
              <w:jc w:val="center"/>
              <w:rPr>
                <w:rFonts w:ascii="Times New Roman" w:hAnsi="Times New Roman" w:cs="Times New Roman"/>
                <w:color w:val="auto"/>
                <w:sz w:val="21"/>
                <w:szCs w:val="21"/>
                <w:highlight w:val="none"/>
              </w:rPr>
            </w:pPr>
          </w:p>
        </w:tc>
        <w:tc>
          <w:tcPr>
            <w:tcW w:w="1004" w:type="dxa"/>
            <w:vMerge w:val="restart"/>
            <w:tcBorders>
              <w:tl2br w:val="nil"/>
              <w:tr2bl w:val="nil"/>
            </w:tcBorders>
            <w:vAlign w:val="center"/>
          </w:tcPr>
          <w:p w14:paraId="5223236E">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2024年04月26日</w:t>
            </w:r>
          </w:p>
        </w:tc>
        <w:tc>
          <w:tcPr>
            <w:tcW w:w="1382" w:type="dxa"/>
            <w:tcBorders>
              <w:tl2br w:val="nil"/>
              <w:tr2bl w:val="nil"/>
            </w:tcBorders>
            <w:vAlign w:val="center"/>
          </w:tcPr>
          <w:p w14:paraId="072EC668">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2:00</w:t>
            </w:r>
          </w:p>
        </w:tc>
        <w:tc>
          <w:tcPr>
            <w:tcW w:w="871" w:type="dxa"/>
            <w:tcBorders>
              <w:tl2br w:val="nil"/>
              <w:tr2bl w:val="nil"/>
            </w:tcBorders>
            <w:vAlign w:val="center"/>
          </w:tcPr>
          <w:p w14:paraId="787E1193">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17.4</w:t>
            </w:r>
          </w:p>
        </w:tc>
        <w:tc>
          <w:tcPr>
            <w:tcW w:w="1086" w:type="dxa"/>
            <w:tcBorders>
              <w:tl2br w:val="nil"/>
              <w:tr2bl w:val="nil"/>
            </w:tcBorders>
            <w:vAlign w:val="center"/>
          </w:tcPr>
          <w:p w14:paraId="0557E5D4">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102.32</w:t>
            </w:r>
          </w:p>
        </w:tc>
        <w:tc>
          <w:tcPr>
            <w:tcW w:w="1087" w:type="dxa"/>
            <w:tcBorders>
              <w:tl2br w:val="nil"/>
              <w:tr2bl w:val="nil"/>
            </w:tcBorders>
            <w:vAlign w:val="center"/>
          </w:tcPr>
          <w:p w14:paraId="2A4ED422">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52.4</w:t>
            </w:r>
          </w:p>
        </w:tc>
        <w:tc>
          <w:tcPr>
            <w:tcW w:w="1087" w:type="dxa"/>
            <w:tcBorders>
              <w:tl2br w:val="nil"/>
              <w:tr2bl w:val="nil"/>
            </w:tcBorders>
            <w:vAlign w:val="center"/>
          </w:tcPr>
          <w:p w14:paraId="0604B5DB">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东南风</w:t>
            </w:r>
          </w:p>
        </w:tc>
        <w:tc>
          <w:tcPr>
            <w:tcW w:w="1087" w:type="dxa"/>
            <w:tcBorders>
              <w:tl2br w:val="nil"/>
              <w:tr2bl w:val="nil"/>
            </w:tcBorders>
            <w:vAlign w:val="center"/>
          </w:tcPr>
          <w:p w14:paraId="6655B20E">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2.3</w:t>
            </w:r>
          </w:p>
        </w:tc>
      </w:tr>
      <w:tr w14:paraId="2946703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04" w:type="dxa"/>
            <w:vMerge w:val="continue"/>
            <w:tcBorders>
              <w:tl2br w:val="nil"/>
              <w:tr2bl w:val="nil"/>
            </w:tcBorders>
            <w:vAlign w:val="center"/>
          </w:tcPr>
          <w:p w14:paraId="54D1D466">
            <w:pPr>
              <w:ind w:left="-105" w:right="-105"/>
              <w:jc w:val="center"/>
              <w:rPr>
                <w:rFonts w:ascii="Times New Roman" w:hAnsi="Times New Roman" w:cs="Times New Roman"/>
                <w:color w:val="auto"/>
                <w:sz w:val="21"/>
                <w:szCs w:val="21"/>
                <w:highlight w:val="none"/>
              </w:rPr>
            </w:pPr>
          </w:p>
        </w:tc>
        <w:tc>
          <w:tcPr>
            <w:tcW w:w="1004" w:type="dxa"/>
            <w:vMerge w:val="continue"/>
            <w:tcBorders>
              <w:tl2br w:val="nil"/>
              <w:tr2bl w:val="nil"/>
            </w:tcBorders>
            <w:vAlign w:val="center"/>
          </w:tcPr>
          <w:p w14:paraId="27D8CD32">
            <w:pPr>
              <w:ind w:left="-105" w:right="-105"/>
              <w:jc w:val="center"/>
              <w:rPr>
                <w:rFonts w:ascii="Times New Roman" w:hAnsi="Times New Roman" w:cs="Times New Roman"/>
                <w:color w:val="auto"/>
                <w:sz w:val="21"/>
                <w:szCs w:val="21"/>
                <w:highlight w:val="none"/>
              </w:rPr>
            </w:pPr>
          </w:p>
        </w:tc>
        <w:tc>
          <w:tcPr>
            <w:tcW w:w="1382" w:type="dxa"/>
            <w:tcBorders>
              <w:tl2br w:val="nil"/>
              <w:tr2bl w:val="nil"/>
            </w:tcBorders>
            <w:vAlign w:val="center"/>
          </w:tcPr>
          <w:p w14:paraId="0178506A">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8:00</w:t>
            </w:r>
          </w:p>
        </w:tc>
        <w:tc>
          <w:tcPr>
            <w:tcW w:w="871" w:type="dxa"/>
            <w:tcBorders>
              <w:tl2br w:val="nil"/>
              <w:tr2bl w:val="nil"/>
            </w:tcBorders>
            <w:vAlign w:val="center"/>
          </w:tcPr>
          <w:p w14:paraId="65C04A87">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19.6</w:t>
            </w:r>
          </w:p>
        </w:tc>
        <w:tc>
          <w:tcPr>
            <w:tcW w:w="1086" w:type="dxa"/>
            <w:tcBorders>
              <w:tl2br w:val="nil"/>
              <w:tr2bl w:val="nil"/>
            </w:tcBorders>
            <w:vAlign w:val="center"/>
          </w:tcPr>
          <w:p w14:paraId="33D3F9CC">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101.94</w:t>
            </w:r>
          </w:p>
        </w:tc>
        <w:tc>
          <w:tcPr>
            <w:tcW w:w="1087" w:type="dxa"/>
            <w:tcBorders>
              <w:tl2br w:val="nil"/>
              <w:tr2bl w:val="nil"/>
            </w:tcBorders>
            <w:vAlign w:val="center"/>
          </w:tcPr>
          <w:p w14:paraId="3E6EFE5F">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49.6</w:t>
            </w:r>
          </w:p>
        </w:tc>
        <w:tc>
          <w:tcPr>
            <w:tcW w:w="1087" w:type="dxa"/>
            <w:tcBorders>
              <w:tl2br w:val="nil"/>
              <w:tr2bl w:val="nil"/>
            </w:tcBorders>
            <w:vAlign w:val="center"/>
          </w:tcPr>
          <w:p w14:paraId="67EC5D06">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东南风</w:t>
            </w:r>
          </w:p>
        </w:tc>
        <w:tc>
          <w:tcPr>
            <w:tcW w:w="1087" w:type="dxa"/>
            <w:tcBorders>
              <w:tl2br w:val="nil"/>
              <w:tr2bl w:val="nil"/>
            </w:tcBorders>
            <w:vAlign w:val="center"/>
          </w:tcPr>
          <w:p w14:paraId="1E1461EC">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2.2</w:t>
            </w:r>
          </w:p>
        </w:tc>
      </w:tr>
      <w:tr w14:paraId="67842DC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04" w:type="dxa"/>
            <w:vMerge w:val="continue"/>
            <w:tcBorders>
              <w:tl2br w:val="nil"/>
              <w:tr2bl w:val="nil"/>
            </w:tcBorders>
            <w:vAlign w:val="center"/>
          </w:tcPr>
          <w:p w14:paraId="5C261B60">
            <w:pPr>
              <w:ind w:left="-105" w:right="-105"/>
              <w:jc w:val="center"/>
              <w:rPr>
                <w:rFonts w:ascii="Times New Roman" w:hAnsi="Times New Roman" w:cs="Times New Roman"/>
                <w:color w:val="auto"/>
                <w:sz w:val="21"/>
                <w:szCs w:val="21"/>
                <w:highlight w:val="none"/>
              </w:rPr>
            </w:pPr>
          </w:p>
        </w:tc>
        <w:tc>
          <w:tcPr>
            <w:tcW w:w="1004" w:type="dxa"/>
            <w:vMerge w:val="continue"/>
            <w:tcBorders>
              <w:tl2br w:val="nil"/>
              <w:tr2bl w:val="nil"/>
            </w:tcBorders>
            <w:vAlign w:val="center"/>
          </w:tcPr>
          <w:p w14:paraId="603D7837">
            <w:pPr>
              <w:ind w:left="-105" w:right="-105"/>
              <w:jc w:val="center"/>
              <w:rPr>
                <w:rFonts w:ascii="Times New Roman" w:hAnsi="Times New Roman" w:cs="Times New Roman"/>
                <w:color w:val="auto"/>
                <w:sz w:val="21"/>
                <w:szCs w:val="21"/>
                <w:highlight w:val="none"/>
              </w:rPr>
            </w:pPr>
          </w:p>
        </w:tc>
        <w:tc>
          <w:tcPr>
            <w:tcW w:w="1382" w:type="dxa"/>
            <w:tcBorders>
              <w:tl2br w:val="nil"/>
              <w:tr2bl w:val="nil"/>
            </w:tcBorders>
            <w:vAlign w:val="center"/>
          </w:tcPr>
          <w:p w14:paraId="44C09B6F">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14:00</w:t>
            </w:r>
          </w:p>
        </w:tc>
        <w:tc>
          <w:tcPr>
            <w:tcW w:w="871" w:type="dxa"/>
            <w:tcBorders>
              <w:tl2br w:val="nil"/>
              <w:tr2bl w:val="nil"/>
            </w:tcBorders>
            <w:vAlign w:val="center"/>
          </w:tcPr>
          <w:p w14:paraId="36C85A15">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22.3</w:t>
            </w:r>
          </w:p>
        </w:tc>
        <w:tc>
          <w:tcPr>
            <w:tcW w:w="1086" w:type="dxa"/>
            <w:tcBorders>
              <w:tl2br w:val="nil"/>
              <w:tr2bl w:val="nil"/>
            </w:tcBorders>
            <w:vAlign w:val="center"/>
          </w:tcPr>
          <w:p w14:paraId="269C2E31">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101.67</w:t>
            </w:r>
          </w:p>
        </w:tc>
        <w:tc>
          <w:tcPr>
            <w:tcW w:w="1087" w:type="dxa"/>
            <w:tcBorders>
              <w:tl2br w:val="nil"/>
              <w:tr2bl w:val="nil"/>
            </w:tcBorders>
            <w:vAlign w:val="center"/>
          </w:tcPr>
          <w:p w14:paraId="6CBB9A5D">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46.9</w:t>
            </w:r>
          </w:p>
        </w:tc>
        <w:tc>
          <w:tcPr>
            <w:tcW w:w="1087" w:type="dxa"/>
            <w:tcBorders>
              <w:tl2br w:val="nil"/>
              <w:tr2bl w:val="nil"/>
            </w:tcBorders>
            <w:vAlign w:val="center"/>
          </w:tcPr>
          <w:p w14:paraId="0505B715">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东南风</w:t>
            </w:r>
          </w:p>
        </w:tc>
        <w:tc>
          <w:tcPr>
            <w:tcW w:w="1087" w:type="dxa"/>
            <w:tcBorders>
              <w:tl2br w:val="nil"/>
              <w:tr2bl w:val="nil"/>
            </w:tcBorders>
            <w:vAlign w:val="center"/>
          </w:tcPr>
          <w:p w14:paraId="697D3DBF">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 xml:space="preserve">2.0 </w:t>
            </w:r>
          </w:p>
        </w:tc>
      </w:tr>
      <w:tr w14:paraId="179007E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04" w:type="dxa"/>
            <w:vMerge w:val="continue"/>
            <w:tcBorders>
              <w:tl2br w:val="nil"/>
              <w:tr2bl w:val="nil"/>
            </w:tcBorders>
            <w:vAlign w:val="center"/>
          </w:tcPr>
          <w:p w14:paraId="3CFD2E9D">
            <w:pPr>
              <w:ind w:left="-105" w:right="-105"/>
              <w:jc w:val="center"/>
              <w:rPr>
                <w:rFonts w:ascii="Times New Roman" w:hAnsi="Times New Roman" w:cs="Times New Roman"/>
                <w:color w:val="auto"/>
                <w:sz w:val="21"/>
                <w:szCs w:val="21"/>
                <w:highlight w:val="none"/>
              </w:rPr>
            </w:pPr>
          </w:p>
        </w:tc>
        <w:tc>
          <w:tcPr>
            <w:tcW w:w="1004" w:type="dxa"/>
            <w:vMerge w:val="continue"/>
            <w:tcBorders>
              <w:tl2br w:val="nil"/>
              <w:tr2bl w:val="nil"/>
            </w:tcBorders>
            <w:vAlign w:val="center"/>
          </w:tcPr>
          <w:p w14:paraId="15F980A7">
            <w:pPr>
              <w:ind w:left="-105" w:right="-105"/>
              <w:jc w:val="center"/>
              <w:rPr>
                <w:rFonts w:ascii="Times New Roman" w:hAnsi="Times New Roman" w:cs="Times New Roman"/>
                <w:color w:val="auto"/>
                <w:sz w:val="21"/>
                <w:szCs w:val="21"/>
                <w:highlight w:val="none"/>
              </w:rPr>
            </w:pPr>
          </w:p>
        </w:tc>
        <w:tc>
          <w:tcPr>
            <w:tcW w:w="1382" w:type="dxa"/>
            <w:tcBorders>
              <w:tl2br w:val="nil"/>
              <w:tr2bl w:val="nil"/>
            </w:tcBorders>
            <w:vAlign w:val="center"/>
          </w:tcPr>
          <w:p w14:paraId="5831C538">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20:00</w:t>
            </w:r>
          </w:p>
        </w:tc>
        <w:tc>
          <w:tcPr>
            <w:tcW w:w="871" w:type="dxa"/>
            <w:tcBorders>
              <w:tl2br w:val="nil"/>
              <w:tr2bl w:val="nil"/>
            </w:tcBorders>
            <w:vAlign w:val="center"/>
          </w:tcPr>
          <w:p w14:paraId="58C500C2">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19.9</w:t>
            </w:r>
          </w:p>
        </w:tc>
        <w:tc>
          <w:tcPr>
            <w:tcW w:w="1086" w:type="dxa"/>
            <w:tcBorders>
              <w:tl2br w:val="nil"/>
              <w:tr2bl w:val="nil"/>
            </w:tcBorders>
            <w:vAlign w:val="center"/>
          </w:tcPr>
          <w:p w14:paraId="0DA424EE">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101.97</w:t>
            </w:r>
          </w:p>
        </w:tc>
        <w:tc>
          <w:tcPr>
            <w:tcW w:w="1087" w:type="dxa"/>
            <w:tcBorders>
              <w:tl2br w:val="nil"/>
              <w:tr2bl w:val="nil"/>
            </w:tcBorders>
            <w:vAlign w:val="center"/>
          </w:tcPr>
          <w:p w14:paraId="7EBEF8D2">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48.8</w:t>
            </w:r>
          </w:p>
        </w:tc>
        <w:tc>
          <w:tcPr>
            <w:tcW w:w="1087" w:type="dxa"/>
            <w:tcBorders>
              <w:tl2br w:val="nil"/>
              <w:tr2bl w:val="nil"/>
            </w:tcBorders>
            <w:vAlign w:val="center"/>
          </w:tcPr>
          <w:p w14:paraId="7D671025">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东南风</w:t>
            </w:r>
          </w:p>
        </w:tc>
        <w:tc>
          <w:tcPr>
            <w:tcW w:w="1087" w:type="dxa"/>
            <w:tcBorders>
              <w:tl2br w:val="nil"/>
              <w:tr2bl w:val="nil"/>
            </w:tcBorders>
            <w:vAlign w:val="center"/>
          </w:tcPr>
          <w:p w14:paraId="15C7EDB3">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 xml:space="preserve">2.0 </w:t>
            </w:r>
          </w:p>
        </w:tc>
      </w:tr>
      <w:tr w14:paraId="709038B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04" w:type="dxa"/>
            <w:vMerge w:val="continue"/>
            <w:tcBorders>
              <w:tl2br w:val="nil"/>
              <w:tr2bl w:val="nil"/>
            </w:tcBorders>
            <w:vAlign w:val="center"/>
          </w:tcPr>
          <w:p w14:paraId="048B5A6E">
            <w:pPr>
              <w:ind w:left="-105" w:right="-105"/>
              <w:jc w:val="center"/>
              <w:rPr>
                <w:rFonts w:ascii="Times New Roman" w:hAnsi="Times New Roman" w:cs="Times New Roman"/>
                <w:color w:val="auto"/>
                <w:sz w:val="21"/>
                <w:szCs w:val="21"/>
                <w:highlight w:val="none"/>
              </w:rPr>
            </w:pPr>
          </w:p>
        </w:tc>
        <w:tc>
          <w:tcPr>
            <w:tcW w:w="1004" w:type="dxa"/>
            <w:vMerge w:val="restart"/>
            <w:tcBorders>
              <w:tl2br w:val="nil"/>
              <w:tr2bl w:val="nil"/>
            </w:tcBorders>
            <w:vAlign w:val="center"/>
          </w:tcPr>
          <w:p w14:paraId="25A4A621">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2024年04月27日</w:t>
            </w:r>
          </w:p>
        </w:tc>
        <w:tc>
          <w:tcPr>
            <w:tcW w:w="1382" w:type="dxa"/>
            <w:tcBorders>
              <w:tl2br w:val="nil"/>
              <w:tr2bl w:val="nil"/>
            </w:tcBorders>
            <w:vAlign w:val="center"/>
          </w:tcPr>
          <w:p w14:paraId="566E7447">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2:00</w:t>
            </w:r>
          </w:p>
        </w:tc>
        <w:tc>
          <w:tcPr>
            <w:tcW w:w="871" w:type="dxa"/>
            <w:tcBorders>
              <w:tl2br w:val="nil"/>
              <w:tr2bl w:val="nil"/>
            </w:tcBorders>
            <w:vAlign w:val="center"/>
          </w:tcPr>
          <w:p w14:paraId="34E19A17">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19.4</w:t>
            </w:r>
          </w:p>
        </w:tc>
        <w:tc>
          <w:tcPr>
            <w:tcW w:w="1086" w:type="dxa"/>
            <w:tcBorders>
              <w:tl2br w:val="nil"/>
              <w:tr2bl w:val="nil"/>
            </w:tcBorders>
            <w:vAlign w:val="center"/>
          </w:tcPr>
          <w:p w14:paraId="49A76D3A">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102.35</w:t>
            </w:r>
          </w:p>
        </w:tc>
        <w:tc>
          <w:tcPr>
            <w:tcW w:w="1087" w:type="dxa"/>
            <w:tcBorders>
              <w:tl2br w:val="nil"/>
              <w:tr2bl w:val="nil"/>
            </w:tcBorders>
            <w:vAlign w:val="center"/>
          </w:tcPr>
          <w:p w14:paraId="0767B2A1">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52.5</w:t>
            </w:r>
          </w:p>
        </w:tc>
        <w:tc>
          <w:tcPr>
            <w:tcW w:w="1087" w:type="dxa"/>
            <w:tcBorders>
              <w:tl2br w:val="nil"/>
              <w:tr2bl w:val="nil"/>
            </w:tcBorders>
            <w:vAlign w:val="center"/>
          </w:tcPr>
          <w:p w14:paraId="1D2DED04">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东南风</w:t>
            </w:r>
          </w:p>
        </w:tc>
        <w:tc>
          <w:tcPr>
            <w:tcW w:w="1087" w:type="dxa"/>
            <w:tcBorders>
              <w:tl2br w:val="nil"/>
              <w:tr2bl w:val="nil"/>
            </w:tcBorders>
            <w:vAlign w:val="center"/>
          </w:tcPr>
          <w:p w14:paraId="46C4967F">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2.2</w:t>
            </w:r>
          </w:p>
        </w:tc>
      </w:tr>
      <w:tr w14:paraId="268B58A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04" w:type="dxa"/>
            <w:vMerge w:val="continue"/>
            <w:tcBorders>
              <w:tl2br w:val="nil"/>
              <w:tr2bl w:val="nil"/>
            </w:tcBorders>
            <w:vAlign w:val="center"/>
          </w:tcPr>
          <w:p w14:paraId="4122A71C">
            <w:pPr>
              <w:ind w:left="-105" w:right="-105"/>
              <w:jc w:val="center"/>
              <w:rPr>
                <w:rFonts w:ascii="Times New Roman" w:hAnsi="Times New Roman" w:cs="Times New Roman"/>
                <w:color w:val="auto"/>
                <w:sz w:val="21"/>
                <w:szCs w:val="21"/>
                <w:highlight w:val="none"/>
              </w:rPr>
            </w:pPr>
          </w:p>
        </w:tc>
        <w:tc>
          <w:tcPr>
            <w:tcW w:w="1004" w:type="dxa"/>
            <w:vMerge w:val="continue"/>
            <w:tcBorders>
              <w:tl2br w:val="nil"/>
              <w:tr2bl w:val="nil"/>
            </w:tcBorders>
            <w:vAlign w:val="center"/>
          </w:tcPr>
          <w:p w14:paraId="3D4B146B">
            <w:pPr>
              <w:ind w:left="-105" w:right="-105"/>
              <w:jc w:val="center"/>
              <w:rPr>
                <w:rFonts w:ascii="Times New Roman" w:hAnsi="Times New Roman" w:cs="Times New Roman"/>
                <w:color w:val="auto"/>
                <w:sz w:val="21"/>
                <w:szCs w:val="21"/>
                <w:highlight w:val="none"/>
              </w:rPr>
            </w:pPr>
          </w:p>
        </w:tc>
        <w:tc>
          <w:tcPr>
            <w:tcW w:w="1382" w:type="dxa"/>
            <w:tcBorders>
              <w:tl2br w:val="nil"/>
              <w:tr2bl w:val="nil"/>
            </w:tcBorders>
            <w:vAlign w:val="center"/>
          </w:tcPr>
          <w:p w14:paraId="366CA747">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8:00</w:t>
            </w:r>
          </w:p>
        </w:tc>
        <w:tc>
          <w:tcPr>
            <w:tcW w:w="871" w:type="dxa"/>
            <w:tcBorders>
              <w:tl2br w:val="nil"/>
              <w:tr2bl w:val="nil"/>
            </w:tcBorders>
            <w:vAlign w:val="center"/>
          </w:tcPr>
          <w:p w14:paraId="361907CC">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21.3</w:t>
            </w:r>
          </w:p>
        </w:tc>
        <w:tc>
          <w:tcPr>
            <w:tcW w:w="1086" w:type="dxa"/>
            <w:tcBorders>
              <w:tl2br w:val="nil"/>
              <w:tr2bl w:val="nil"/>
            </w:tcBorders>
            <w:vAlign w:val="center"/>
          </w:tcPr>
          <w:p w14:paraId="2AFBE679">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101.82</w:t>
            </w:r>
          </w:p>
        </w:tc>
        <w:tc>
          <w:tcPr>
            <w:tcW w:w="1087" w:type="dxa"/>
            <w:tcBorders>
              <w:tl2br w:val="nil"/>
              <w:tr2bl w:val="nil"/>
            </w:tcBorders>
            <w:vAlign w:val="center"/>
          </w:tcPr>
          <w:p w14:paraId="1D81346F">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49.7</w:t>
            </w:r>
          </w:p>
        </w:tc>
        <w:tc>
          <w:tcPr>
            <w:tcW w:w="1087" w:type="dxa"/>
            <w:tcBorders>
              <w:tl2br w:val="nil"/>
              <w:tr2bl w:val="nil"/>
            </w:tcBorders>
            <w:vAlign w:val="center"/>
          </w:tcPr>
          <w:p w14:paraId="3355A18A">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东南风</w:t>
            </w:r>
          </w:p>
        </w:tc>
        <w:tc>
          <w:tcPr>
            <w:tcW w:w="1087" w:type="dxa"/>
            <w:tcBorders>
              <w:tl2br w:val="nil"/>
              <w:tr2bl w:val="nil"/>
            </w:tcBorders>
            <w:vAlign w:val="center"/>
          </w:tcPr>
          <w:p w14:paraId="089D1359">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 xml:space="preserve">2.0 </w:t>
            </w:r>
          </w:p>
        </w:tc>
      </w:tr>
      <w:tr w14:paraId="11E4CDB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04" w:type="dxa"/>
            <w:vMerge w:val="continue"/>
            <w:tcBorders>
              <w:tl2br w:val="nil"/>
              <w:tr2bl w:val="nil"/>
            </w:tcBorders>
            <w:vAlign w:val="center"/>
          </w:tcPr>
          <w:p w14:paraId="06901E86">
            <w:pPr>
              <w:ind w:left="-105" w:right="-105"/>
              <w:jc w:val="center"/>
              <w:rPr>
                <w:rFonts w:ascii="Times New Roman" w:hAnsi="Times New Roman" w:cs="Times New Roman"/>
                <w:color w:val="auto"/>
                <w:sz w:val="21"/>
                <w:szCs w:val="21"/>
                <w:highlight w:val="none"/>
              </w:rPr>
            </w:pPr>
          </w:p>
        </w:tc>
        <w:tc>
          <w:tcPr>
            <w:tcW w:w="1004" w:type="dxa"/>
            <w:vMerge w:val="continue"/>
            <w:tcBorders>
              <w:tl2br w:val="nil"/>
              <w:tr2bl w:val="nil"/>
            </w:tcBorders>
            <w:vAlign w:val="center"/>
          </w:tcPr>
          <w:p w14:paraId="0C677E04">
            <w:pPr>
              <w:ind w:left="-105" w:right="-105"/>
              <w:jc w:val="center"/>
              <w:rPr>
                <w:rFonts w:ascii="Times New Roman" w:hAnsi="Times New Roman" w:cs="Times New Roman"/>
                <w:color w:val="auto"/>
                <w:sz w:val="21"/>
                <w:szCs w:val="21"/>
                <w:highlight w:val="none"/>
              </w:rPr>
            </w:pPr>
          </w:p>
        </w:tc>
        <w:tc>
          <w:tcPr>
            <w:tcW w:w="1382" w:type="dxa"/>
            <w:tcBorders>
              <w:tl2br w:val="nil"/>
              <w:tr2bl w:val="nil"/>
            </w:tcBorders>
            <w:vAlign w:val="center"/>
          </w:tcPr>
          <w:p w14:paraId="0D9D9A4D">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14:00</w:t>
            </w:r>
          </w:p>
        </w:tc>
        <w:tc>
          <w:tcPr>
            <w:tcW w:w="871" w:type="dxa"/>
            <w:tcBorders>
              <w:tl2br w:val="nil"/>
              <w:tr2bl w:val="nil"/>
            </w:tcBorders>
            <w:vAlign w:val="center"/>
          </w:tcPr>
          <w:p w14:paraId="2D740A56">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25.1</w:t>
            </w:r>
          </w:p>
        </w:tc>
        <w:tc>
          <w:tcPr>
            <w:tcW w:w="1086" w:type="dxa"/>
            <w:tcBorders>
              <w:tl2br w:val="nil"/>
              <w:tr2bl w:val="nil"/>
            </w:tcBorders>
            <w:vAlign w:val="center"/>
          </w:tcPr>
          <w:p w14:paraId="68351525">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101.63</w:t>
            </w:r>
          </w:p>
        </w:tc>
        <w:tc>
          <w:tcPr>
            <w:tcW w:w="1087" w:type="dxa"/>
            <w:tcBorders>
              <w:tl2br w:val="nil"/>
              <w:tr2bl w:val="nil"/>
            </w:tcBorders>
            <w:vAlign w:val="center"/>
          </w:tcPr>
          <w:p w14:paraId="5E78FF52">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47.4</w:t>
            </w:r>
          </w:p>
        </w:tc>
        <w:tc>
          <w:tcPr>
            <w:tcW w:w="1087" w:type="dxa"/>
            <w:tcBorders>
              <w:tl2br w:val="nil"/>
              <w:tr2bl w:val="nil"/>
            </w:tcBorders>
            <w:vAlign w:val="center"/>
          </w:tcPr>
          <w:p w14:paraId="50A6683A">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东南风</w:t>
            </w:r>
          </w:p>
        </w:tc>
        <w:tc>
          <w:tcPr>
            <w:tcW w:w="1087" w:type="dxa"/>
            <w:tcBorders>
              <w:tl2br w:val="nil"/>
              <w:tr2bl w:val="nil"/>
            </w:tcBorders>
            <w:vAlign w:val="center"/>
          </w:tcPr>
          <w:p w14:paraId="51D9251C">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 xml:space="preserve">1.9 </w:t>
            </w:r>
          </w:p>
        </w:tc>
      </w:tr>
      <w:tr w14:paraId="5B6A504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04" w:type="dxa"/>
            <w:vMerge w:val="continue"/>
            <w:tcBorders>
              <w:tl2br w:val="nil"/>
              <w:tr2bl w:val="nil"/>
            </w:tcBorders>
            <w:vAlign w:val="center"/>
          </w:tcPr>
          <w:p w14:paraId="42B07FC0">
            <w:pPr>
              <w:ind w:left="-105" w:right="-105"/>
              <w:jc w:val="center"/>
              <w:rPr>
                <w:rFonts w:ascii="Times New Roman" w:hAnsi="Times New Roman" w:cs="Times New Roman"/>
                <w:color w:val="auto"/>
                <w:sz w:val="21"/>
                <w:szCs w:val="21"/>
                <w:highlight w:val="none"/>
              </w:rPr>
            </w:pPr>
          </w:p>
        </w:tc>
        <w:tc>
          <w:tcPr>
            <w:tcW w:w="1004" w:type="dxa"/>
            <w:vMerge w:val="continue"/>
            <w:tcBorders>
              <w:tl2br w:val="nil"/>
              <w:tr2bl w:val="nil"/>
            </w:tcBorders>
            <w:vAlign w:val="center"/>
          </w:tcPr>
          <w:p w14:paraId="0D44B382">
            <w:pPr>
              <w:ind w:left="-105" w:right="-105"/>
              <w:jc w:val="center"/>
              <w:rPr>
                <w:rFonts w:ascii="Times New Roman" w:hAnsi="Times New Roman" w:cs="Times New Roman"/>
                <w:color w:val="auto"/>
                <w:sz w:val="21"/>
                <w:szCs w:val="21"/>
                <w:highlight w:val="none"/>
              </w:rPr>
            </w:pPr>
          </w:p>
        </w:tc>
        <w:tc>
          <w:tcPr>
            <w:tcW w:w="1382" w:type="dxa"/>
            <w:tcBorders>
              <w:tl2br w:val="nil"/>
              <w:tr2bl w:val="nil"/>
            </w:tcBorders>
            <w:vAlign w:val="center"/>
          </w:tcPr>
          <w:p w14:paraId="21B4C898">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20:00</w:t>
            </w:r>
          </w:p>
        </w:tc>
        <w:tc>
          <w:tcPr>
            <w:tcW w:w="871" w:type="dxa"/>
            <w:tcBorders>
              <w:tl2br w:val="nil"/>
              <w:tr2bl w:val="nil"/>
            </w:tcBorders>
            <w:vAlign w:val="center"/>
          </w:tcPr>
          <w:p w14:paraId="083D8585">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20.4</w:t>
            </w:r>
          </w:p>
        </w:tc>
        <w:tc>
          <w:tcPr>
            <w:tcW w:w="1086" w:type="dxa"/>
            <w:tcBorders>
              <w:tl2br w:val="nil"/>
              <w:tr2bl w:val="nil"/>
            </w:tcBorders>
            <w:vAlign w:val="center"/>
          </w:tcPr>
          <w:p w14:paraId="619EEEBD">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101.87</w:t>
            </w:r>
          </w:p>
        </w:tc>
        <w:tc>
          <w:tcPr>
            <w:tcW w:w="1087" w:type="dxa"/>
            <w:tcBorders>
              <w:tl2br w:val="nil"/>
              <w:tr2bl w:val="nil"/>
            </w:tcBorders>
            <w:vAlign w:val="center"/>
          </w:tcPr>
          <w:p w14:paraId="7A3CCE8F">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49.5</w:t>
            </w:r>
          </w:p>
        </w:tc>
        <w:tc>
          <w:tcPr>
            <w:tcW w:w="1087" w:type="dxa"/>
            <w:tcBorders>
              <w:tl2br w:val="nil"/>
              <w:tr2bl w:val="nil"/>
            </w:tcBorders>
            <w:vAlign w:val="center"/>
          </w:tcPr>
          <w:p w14:paraId="7A96B43E">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东南风</w:t>
            </w:r>
          </w:p>
        </w:tc>
        <w:tc>
          <w:tcPr>
            <w:tcW w:w="1087" w:type="dxa"/>
            <w:tcBorders>
              <w:tl2br w:val="nil"/>
              <w:tr2bl w:val="nil"/>
            </w:tcBorders>
            <w:vAlign w:val="center"/>
          </w:tcPr>
          <w:p w14:paraId="257C0BF0">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 xml:space="preserve">2.0 </w:t>
            </w:r>
          </w:p>
        </w:tc>
      </w:tr>
      <w:tr w14:paraId="352FEEB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04" w:type="dxa"/>
            <w:vMerge w:val="continue"/>
            <w:tcBorders>
              <w:tl2br w:val="nil"/>
              <w:tr2bl w:val="nil"/>
            </w:tcBorders>
            <w:vAlign w:val="center"/>
          </w:tcPr>
          <w:p w14:paraId="04F81753">
            <w:pPr>
              <w:ind w:left="-105" w:right="-105"/>
              <w:jc w:val="center"/>
              <w:rPr>
                <w:rFonts w:ascii="Times New Roman" w:hAnsi="Times New Roman" w:cs="Times New Roman"/>
                <w:color w:val="auto"/>
                <w:sz w:val="21"/>
                <w:szCs w:val="21"/>
                <w:highlight w:val="none"/>
              </w:rPr>
            </w:pPr>
          </w:p>
        </w:tc>
        <w:tc>
          <w:tcPr>
            <w:tcW w:w="1004" w:type="dxa"/>
            <w:vMerge w:val="restart"/>
            <w:tcBorders>
              <w:tl2br w:val="nil"/>
              <w:tr2bl w:val="nil"/>
            </w:tcBorders>
            <w:vAlign w:val="center"/>
          </w:tcPr>
          <w:p w14:paraId="1EA3110E">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2024年04月28日</w:t>
            </w:r>
          </w:p>
        </w:tc>
        <w:tc>
          <w:tcPr>
            <w:tcW w:w="1382" w:type="dxa"/>
            <w:tcBorders>
              <w:tl2br w:val="nil"/>
              <w:tr2bl w:val="nil"/>
            </w:tcBorders>
            <w:vAlign w:val="center"/>
          </w:tcPr>
          <w:p w14:paraId="42CCAB40">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2:00</w:t>
            </w:r>
          </w:p>
        </w:tc>
        <w:tc>
          <w:tcPr>
            <w:tcW w:w="871" w:type="dxa"/>
            <w:tcBorders>
              <w:tl2br w:val="nil"/>
              <w:tr2bl w:val="nil"/>
            </w:tcBorders>
            <w:vAlign w:val="center"/>
          </w:tcPr>
          <w:p w14:paraId="6E5E9B9D">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18.7</w:t>
            </w:r>
          </w:p>
        </w:tc>
        <w:tc>
          <w:tcPr>
            <w:tcW w:w="1086" w:type="dxa"/>
            <w:tcBorders>
              <w:tl2br w:val="nil"/>
              <w:tr2bl w:val="nil"/>
            </w:tcBorders>
            <w:vAlign w:val="center"/>
          </w:tcPr>
          <w:p w14:paraId="1E6EC2F6">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102.27</w:t>
            </w:r>
          </w:p>
        </w:tc>
        <w:tc>
          <w:tcPr>
            <w:tcW w:w="1087" w:type="dxa"/>
            <w:tcBorders>
              <w:tl2br w:val="nil"/>
              <w:tr2bl w:val="nil"/>
            </w:tcBorders>
            <w:vAlign w:val="center"/>
          </w:tcPr>
          <w:p w14:paraId="7891AEA1">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61.4</w:t>
            </w:r>
          </w:p>
        </w:tc>
        <w:tc>
          <w:tcPr>
            <w:tcW w:w="1087" w:type="dxa"/>
            <w:tcBorders>
              <w:tl2br w:val="nil"/>
              <w:tr2bl w:val="nil"/>
            </w:tcBorders>
            <w:vAlign w:val="center"/>
          </w:tcPr>
          <w:p w14:paraId="2C717AB4">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东北风</w:t>
            </w:r>
          </w:p>
        </w:tc>
        <w:tc>
          <w:tcPr>
            <w:tcW w:w="1087" w:type="dxa"/>
            <w:tcBorders>
              <w:tl2br w:val="nil"/>
              <w:tr2bl w:val="nil"/>
            </w:tcBorders>
            <w:vAlign w:val="center"/>
          </w:tcPr>
          <w:p w14:paraId="748F0118">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2.2</w:t>
            </w:r>
          </w:p>
        </w:tc>
      </w:tr>
      <w:tr w14:paraId="44CB2AB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04" w:type="dxa"/>
            <w:vMerge w:val="continue"/>
            <w:tcBorders>
              <w:tl2br w:val="nil"/>
              <w:tr2bl w:val="nil"/>
            </w:tcBorders>
            <w:vAlign w:val="center"/>
          </w:tcPr>
          <w:p w14:paraId="40CF1295">
            <w:pPr>
              <w:ind w:left="-105" w:right="-105"/>
              <w:jc w:val="center"/>
              <w:rPr>
                <w:rFonts w:ascii="Times New Roman" w:hAnsi="Times New Roman" w:cs="Times New Roman"/>
                <w:color w:val="auto"/>
                <w:sz w:val="21"/>
                <w:szCs w:val="21"/>
                <w:highlight w:val="none"/>
              </w:rPr>
            </w:pPr>
          </w:p>
        </w:tc>
        <w:tc>
          <w:tcPr>
            <w:tcW w:w="1004" w:type="dxa"/>
            <w:vMerge w:val="continue"/>
            <w:tcBorders>
              <w:tl2br w:val="nil"/>
              <w:tr2bl w:val="nil"/>
            </w:tcBorders>
            <w:vAlign w:val="center"/>
          </w:tcPr>
          <w:p w14:paraId="5402462A">
            <w:pPr>
              <w:ind w:left="-105" w:right="-105"/>
              <w:jc w:val="center"/>
              <w:rPr>
                <w:rFonts w:ascii="Times New Roman" w:hAnsi="Times New Roman" w:cs="Times New Roman"/>
                <w:color w:val="auto"/>
                <w:sz w:val="21"/>
                <w:szCs w:val="21"/>
                <w:highlight w:val="none"/>
              </w:rPr>
            </w:pPr>
          </w:p>
        </w:tc>
        <w:tc>
          <w:tcPr>
            <w:tcW w:w="1382" w:type="dxa"/>
            <w:tcBorders>
              <w:tl2br w:val="nil"/>
              <w:tr2bl w:val="nil"/>
            </w:tcBorders>
            <w:vAlign w:val="center"/>
          </w:tcPr>
          <w:p w14:paraId="4F0CDFF2">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8:00</w:t>
            </w:r>
          </w:p>
        </w:tc>
        <w:tc>
          <w:tcPr>
            <w:tcW w:w="871" w:type="dxa"/>
            <w:tcBorders>
              <w:tl2br w:val="nil"/>
              <w:tr2bl w:val="nil"/>
            </w:tcBorders>
            <w:vAlign w:val="center"/>
          </w:tcPr>
          <w:p w14:paraId="0F036C46">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20.7</w:t>
            </w:r>
          </w:p>
        </w:tc>
        <w:tc>
          <w:tcPr>
            <w:tcW w:w="1086" w:type="dxa"/>
            <w:tcBorders>
              <w:tl2br w:val="nil"/>
              <w:tr2bl w:val="nil"/>
            </w:tcBorders>
            <w:vAlign w:val="center"/>
          </w:tcPr>
          <w:p w14:paraId="6413E149">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101.83</w:t>
            </w:r>
          </w:p>
        </w:tc>
        <w:tc>
          <w:tcPr>
            <w:tcW w:w="1087" w:type="dxa"/>
            <w:tcBorders>
              <w:tl2br w:val="nil"/>
              <w:tr2bl w:val="nil"/>
            </w:tcBorders>
            <w:vAlign w:val="center"/>
          </w:tcPr>
          <w:p w14:paraId="4720EE13">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58.9</w:t>
            </w:r>
          </w:p>
        </w:tc>
        <w:tc>
          <w:tcPr>
            <w:tcW w:w="1087" w:type="dxa"/>
            <w:tcBorders>
              <w:tl2br w:val="nil"/>
              <w:tr2bl w:val="nil"/>
            </w:tcBorders>
            <w:vAlign w:val="center"/>
          </w:tcPr>
          <w:p w14:paraId="3B87FB70">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东北风</w:t>
            </w:r>
          </w:p>
        </w:tc>
        <w:tc>
          <w:tcPr>
            <w:tcW w:w="1087" w:type="dxa"/>
            <w:tcBorders>
              <w:tl2br w:val="nil"/>
              <w:tr2bl w:val="nil"/>
            </w:tcBorders>
            <w:vAlign w:val="center"/>
          </w:tcPr>
          <w:p w14:paraId="1B085985">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2.1</w:t>
            </w:r>
          </w:p>
        </w:tc>
      </w:tr>
      <w:tr w14:paraId="48C9BFF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04" w:type="dxa"/>
            <w:vMerge w:val="continue"/>
            <w:tcBorders>
              <w:tl2br w:val="nil"/>
              <w:tr2bl w:val="nil"/>
            </w:tcBorders>
            <w:vAlign w:val="center"/>
          </w:tcPr>
          <w:p w14:paraId="743F4363">
            <w:pPr>
              <w:ind w:left="-105" w:right="-105"/>
              <w:jc w:val="center"/>
              <w:rPr>
                <w:rFonts w:ascii="Times New Roman" w:hAnsi="Times New Roman" w:cs="Times New Roman"/>
                <w:color w:val="auto"/>
                <w:sz w:val="21"/>
                <w:szCs w:val="21"/>
                <w:highlight w:val="none"/>
              </w:rPr>
            </w:pPr>
          </w:p>
        </w:tc>
        <w:tc>
          <w:tcPr>
            <w:tcW w:w="1004" w:type="dxa"/>
            <w:vMerge w:val="continue"/>
            <w:tcBorders>
              <w:tl2br w:val="nil"/>
              <w:tr2bl w:val="nil"/>
            </w:tcBorders>
            <w:vAlign w:val="center"/>
          </w:tcPr>
          <w:p w14:paraId="03F801C1">
            <w:pPr>
              <w:ind w:left="-105" w:right="-105"/>
              <w:jc w:val="center"/>
              <w:rPr>
                <w:rFonts w:ascii="Times New Roman" w:hAnsi="Times New Roman" w:cs="Times New Roman"/>
                <w:color w:val="auto"/>
                <w:sz w:val="21"/>
                <w:szCs w:val="21"/>
                <w:highlight w:val="none"/>
              </w:rPr>
            </w:pPr>
          </w:p>
        </w:tc>
        <w:tc>
          <w:tcPr>
            <w:tcW w:w="1382" w:type="dxa"/>
            <w:tcBorders>
              <w:tl2br w:val="nil"/>
              <w:tr2bl w:val="nil"/>
            </w:tcBorders>
            <w:vAlign w:val="center"/>
          </w:tcPr>
          <w:p w14:paraId="6B0A728D">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14:00</w:t>
            </w:r>
          </w:p>
        </w:tc>
        <w:tc>
          <w:tcPr>
            <w:tcW w:w="871" w:type="dxa"/>
            <w:tcBorders>
              <w:tl2br w:val="nil"/>
              <w:tr2bl w:val="nil"/>
            </w:tcBorders>
            <w:vAlign w:val="center"/>
          </w:tcPr>
          <w:p w14:paraId="4498CD37">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22.3</w:t>
            </w:r>
          </w:p>
        </w:tc>
        <w:tc>
          <w:tcPr>
            <w:tcW w:w="1086" w:type="dxa"/>
            <w:tcBorders>
              <w:tl2br w:val="nil"/>
              <w:tr2bl w:val="nil"/>
            </w:tcBorders>
            <w:vAlign w:val="center"/>
          </w:tcPr>
          <w:p w14:paraId="0B60FACB">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101.74</w:t>
            </w:r>
          </w:p>
        </w:tc>
        <w:tc>
          <w:tcPr>
            <w:tcW w:w="1087" w:type="dxa"/>
            <w:tcBorders>
              <w:tl2br w:val="nil"/>
              <w:tr2bl w:val="nil"/>
            </w:tcBorders>
            <w:vAlign w:val="center"/>
          </w:tcPr>
          <w:p w14:paraId="6B83239A">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56.4</w:t>
            </w:r>
          </w:p>
        </w:tc>
        <w:tc>
          <w:tcPr>
            <w:tcW w:w="1087" w:type="dxa"/>
            <w:tcBorders>
              <w:tl2br w:val="nil"/>
              <w:tr2bl w:val="nil"/>
            </w:tcBorders>
            <w:vAlign w:val="center"/>
          </w:tcPr>
          <w:p w14:paraId="68BBF320">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东北风</w:t>
            </w:r>
          </w:p>
        </w:tc>
        <w:tc>
          <w:tcPr>
            <w:tcW w:w="1087" w:type="dxa"/>
            <w:tcBorders>
              <w:tl2br w:val="nil"/>
              <w:tr2bl w:val="nil"/>
            </w:tcBorders>
            <w:vAlign w:val="center"/>
          </w:tcPr>
          <w:p w14:paraId="0E9BEF75">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2.1</w:t>
            </w:r>
          </w:p>
        </w:tc>
      </w:tr>
      <w:tr w14:paraId="7654017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04" w:type="dxa"/>
            <w:vMerge w:val="continue"/>
            <w:tcBorders>
              <w:tl2br w:val="nil"/>
              <w:tr2bl w:val="nil"/>
            </w:tcBorders>
            <w:vAlign w:val="center"/>
          </w:tcPr>
          <w:p w14:paraId="3615F99A">
            <w:pPr>
              <w:ind w:left="-105" w:right="-105"/>
              <w:jc w:val="center"/>
              <w:rPr>
                <w:rFonts w:ascii="Times New Roman" w:hAnsi="Times New Roman" w:cs="Times New Roman"/>
                <w:color w:val="auto"/>
                <w:sz w:val="21"/>
                <w:szCs w:val="21"/>
                <w:highlight w:val="none"/>
              </w:rPr>
            </w:pPr>
          </w:p>
        </w:tc>
        <w:tc>
          <w:tcPr>
            <w:tcW w:w="1004" w:type="dxa"/>
            <w:vMerge w:val="continue"/>
            <w:tcBorders>
              <w:tl2br w:val="nil"/>
              <w:tr2bl w:val="nil"/>
            </w:tcBorders>
            <w:vAlign w:val="center"/>
          </w:tcPr>
          <w:p w14:paraId="6F017B10">
            <w:pPr>
              <w:ind w:left="-105" w:right="-105"/>
              <w:jc w:val="center"/>
              <w:rPr>
                <w:rFonts w:ascii="Times New Roman" w:hAnsi="Times New Roman" w:cs="Times New Roman"/>
                <w:color w:val="auto"/>
                <w:sz w:val="21"/>
                <w:szCs w:val="21"/>
                <w:highlight w:val="none"/>
              </w:rPr>
            </w:pPr>
          </w:p>
        </w:tc>
        <w:tc>
          <w:tcPr>
            <w:tcW w:w="1382" w:type="dxa"/>
            <w:tcBorders>
              <w:tl2br w:val="nil"/>
              <w:tr2bl w:val="nil"/>
            </w:tcBorders>
            <w:vAlign w:val="center"/>
          </w:tcPr>
          <w:p w14:paraId="1D0DC2DF">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20:00</w:t>
            </w:r>
          </w:p>
        </w:tc>
        <w:tc>
          <w:tcPr>
            <w:tcW w:w="871" w:type="dxa"/>
            <w:tcBorders>
              <w:tl2br w:val="nil"/>
              <w:tr2bl w:val="nil"/>
            </w:tcBorders>
            <w:vAlign w:val="center"/>
          </w:tcPr>
          <w:p w14:paraId="6E93140F">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19.4</w:t>
            </w:r>
          </w:p>
        </w:tc>
        <w:tc>
          <w:tcPr>
            <w:tcW w:w="1086" w:type="dxa"/>
            <w:tcBorders>
              <w:tl2br w:val="nil"/>
              <w:tr2bl w:val="nil"/>
            </w:tcBorders>
            <w:vAlign w:val="center"/>
          </w:tcPr>
          <w:p w14:paraId="68F1FB88">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101.87</w:t>
            </w:r>
          </w:p>
        </w:tc>
        <w:tc>
          <w:tcPr>
            <w:tcW w:w="1087" w:type="dxa"/>
            <w:tcBorders>
              <w:tl2br w:val="nil"/>
              <w:tr2bl w:val="nil"/>
            </w:tcBorders>
            <w:vAlign w:val="center"/>
          </w:tcPr>
          <w:p w14:paraId="12333EC3">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59.2</w:t>
            </w:r>
          </w:p>
        </w:tc>
        <w:tc>
          <w:tcPr>
            <w:tcW w:w="1087" w:type="dxa"/>
            <w:tcBorders>
              <w:tl2br w:val="nil"/>
              <w:tr2bl w:val="nil"/>
            </w:tcBorders>
            <w:vAlign w:val="center"/>
          </w:tcPr>
          <w:p w14:paraId="51790CF8">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东北风</w:t>
            </w:r>
          </w:p>
        </w:tc>
        <w:tc>
          <w:tcPr>
            <w:tcW w:w="1087" w:type="dxa"/>
            <w:tcBorders>
              <w:tl2br w:val="nil"/>
              <w:tr2bl w:val="nil"/>
            </w:tcBorders>
            <w:vAlign w:val="center"/>
          </w:tcPr>
          <w:p w14:paraId="0A472C7C">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2.1</w:t>
            </w:r>
          </w:p>
        </w:tc>
      </w:tr>
      <w:tr w14:paraId="3ABF55A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04" w:type="dxa"/>
            <w:vMerge w:val="restart"/>
            <w:tcBorders>
              <w:tl2br w:val="nil"/>
              <w:tr2bl w:val="nil"/>
            </w:tcBorders>
            <w:vAlign w:val="center"/>
          </w:tcPr>
          <w:p w14:paraId="678EF107">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G2</w:t>
            </w:r>
          </w:p>
        </w:tc>
        <w:tc>
          <w:tcPr>
            <w:tcW w:w="1004" w:type="dxa"/>
            <w:vMerge w:val="restart"/>
            <w:tcBorders>
              <w:tl2br w:val="nil"/>
              <w:tr2bl w:val="nil"/>
            </w:tcBorders>
            <w:vAlign w:val="center"/>
          </w:tcPr>
          <w:p w14:paraId="34B33520">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2024年04月22日</w:t>
            </w:r>
          </w:p>
        </w:tc>
        <w:tc>
          <w:tcPr>
            <w:tcW w:w="1382" w:type="dxa"/>
            <w:tcBorders>
              <w:tl2br w:val="nil"/>
              <w:tr2bl w:val="nil"/>
            </w:tcBorders>
            <w:vAlign w:val="center"/>
          </w:tcPr>
          <w:p w14:paraId="156C8843">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2:00</w:t>
            </w:r>
          </w:p>
        </w:tc>
        <w:tc>
          <w:tcPr>
            <w:tcW w:w="871" w:type="dxa"/>
            <w:tcBorders>
              <w:tl2br w:val="nil"/>
              <w:tr2bl w:val="nil"/>
            </w:tcBorders>
            <w:vAlign w:val="center"/>
          </w:tcPr>
          <w:p w14:paraId="7EEEBF1A">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15.3</w:t>
            </w:r>
          </w:p>
        </w:tc>
        <w:tc>
          <w:tcPr>
            <w:tcW w:w="1086" w:type="dxa"/>
            <w:tcBorders>
              <w:tl2br w:val="nil"/>
              <w:tr2bl w:val="nil"/>
            </w:tcBorders>
            <w:vAlign w:val="center"/>
          </w:tcPr>
          <w:p w14:paraId="46A54604">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102.41</w:t>
            </w:r>
          </w:p>
        </w:tc>
        <w:tc>
          <w:tcPr>
            <w:tcW w:w="1087" w:type="dxa"/>
            <w:tcBorders>
              <w:tl2br w:val="nil"/>
              <w:tr2bl w:val="nil"/>
            </w:tcBorders>
            <w:vAlign w:val="center"/>
          </w:tcPr>
          <w:p w14:paraId="584753DD">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53.2</w:t>
            </w:r>
          </w:p>
        </w:tc>
        <w:tc>
          <w:tcPr>
            <w:tcW w:w="1087" w:type="dxa"/>
            <w:tcBorders>
              <w:tl2br w:val="nil"/>
              <w:tr2bl w:val="nil"/>
            </w:tcBorders>
            <w:vAlign w:val="center"/>
          </w:tcPr>
          <w:p w14:paraId="2B744DFD">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西南风</w:t>
            </w:r>
          </w:p>
        </w:tc>
        <w:tc>
          <w:tcPr>
            <w:tcW w:w="1087" w:type="dxa"/>
            <w:tcBorders>
              <w:tl2br w:val="nil"/>
              <w:tr2bl w:val="nil"/>
            </w:tcBorders>
            <w:vAlign w:val="center"/>
          </w:tcPr>
          <w:p w14:paraId="54D5AFBC">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2.2</w:t>
            </w:r>
          </w:p>
        </w:tc>
      </w:tr>
      <w:tr w14:paraId="0953E68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04" w:type="dxa"/>
            <w:vMerge w:val="continue"/>
            <w:tcBorders>
              <w:tl2br w:val="nil"/>
              <w:tr2bl w:val="nil"/>
            </w:tcBorders>
            <w:vAlign w:val="center"/>
          </w:tcPr>
          <w:p w14:paraId="7441F839">
            <w:pPr>
              <w:ind w:left="-105" w:right="-105"/>
              <w:jc w:val="center"/>
              <w:rPr>
                <w:rFonts w:ascii="Times New Roman" w:hAnsi="Times New Roman" w:cs="Times New Roman"/>
                <w:color w:val="auto"/>
                <w:sz w:val="21"/>
                <w:szCs w:val="21"/>
                <w:highlight w:val="none"/>
              </w:rPr>
            </w:pPr>
          </w:p>
        </w:tc>
        <w:tc>
          <w:tcPr>
            <w:tcW w:w="1004" w:type="dxa"/>
            <w:vMerge w:val="continue"/>
            <w:tcBorders>
              <w:tl2br w:val="nil"/>
              <w:tr2bl w:val="nil"/>
            </w:tcBorders>
            <w:vAlign w:val="center"/>
          </w:tcPr>
          <w:p w14:paraId="3CEF6E26">
            <w:pPr>
              <w:ind w:left="-105" w:right="-105"/>
              <w:jc w:val="center"/>
              <w:rPr>
                <w:rFonts w:ascii="Times New Roman" w:hAnsi="Times New Roman" w:cs="Times New Roman"/>
                <w:color w:val="auto"/>
                <w:sz w:val="21"/>
                <w:szCs w:val="21"/>
                <w:highlight w:val="none"/>
              </w:rPr>
            </w:pPr>
          </w:p>
        </w:tc>
        <w:tc>
          <w:tcPr>
            <w:tcW w:w="1382" w:type="dxa"/>
            <w:tcBorders>
              <w:tl2br w:val="nil"/>
              <w:tr2bl w:val="nil"/>
            </w:tcBorders>
            <w:vAlign w:val="center"/>
          </w:tcPr>
          <w:p w14:paraId="6B122C87">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8:00</w:t>
            </w:r>
          </w:p>
        </w:tc>
        <w:tc>
          <w:tcPr>
            <w:tcW w:w="871" w:type="dxa"/>
            <w:tcBorders>
              <w:tl2br w:val="nil"/>
              <w:tr2bl w:val="nil"/>
            </w:tcBorders>
            <w:vAlign w:val="center"/>
          </w:tcPr>
          <w:p w14:paraId="0862A9BE">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18.3</w:t>
            </w:r>
          </w:p>
        </w:tc>
        <w:tc>
          <w:tcPr>
            <w:tcW w:w="1086" w:type="dxa"/>
            <w:tcBorders>
              <w:tl2br w:val="nil"/>
              <w:tr2bl w:val="nil"/>
            </w:tcBorders>
            <w:vAlign w:val="center"/>
          </w:tcPr>
          <w:p w14:paraId="667FC2DB">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102.30</w:t>
            </w:r>
          </w:p>
        </w:tc>
        <w:tc>
          <w:tcPr>
            <w:tcW w:w="1087" w:type="dxa"/>
            <w:tcBorders>
              <w:tl2br w:val="nil"/>
              <w:tr2bl w:val="nil"/>
            </w:tcBorders>
            <w:vAlign w:val="center"/>
          </w:tcPr>
          <w:p w14:paraId="6F694870">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51.7</w:t>
            </w:r>
          </w:p>
        </w:tc>
        <w:tc>
          <w:tcPr>
            <w:tcW w:w="1087" w:type="dxa"/>
            <w:tcBorders>
              <w:tl2br w:val="nil"/>
              <w:tr2bl w:val="nil"/>
            </w:tcBorders>
            <w:vAlign w:val="center"/>
          </w:tcPr>
          <w:p w14:paraId="1C1E1DA5">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西南风</w:t>
            </w:r>
          </w:p>
        </w:tc>
        <w:tc>
          <w:tcPr>
            <w:tcW w:w="1087" w:type="dxa"/>
            <w:tcBorders>
              <w:tl2br w:val="nil"/>
              <w:tr2bl w:val="nil"/>
            </w:tcBorders>
            <w:vAlign w:val="center"/>
          </w:tcPr>
          <w:p w14:paraId="6A481A1D">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2.0</w:t>
            </w:r>
          </w:p>
        </w:tc>
      </w:tr>
      <w:tr w14:paraId="48183FF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04" w:type="dxa"/>
            <w:vMerge w:val="continue"/>
            <w:tcBorders>
              <w:tl2br w:val="nil"/>
              <w:tr2bl w:val="nil"/>
            </w:tcBorders>
            <w:vAlign w:val="center"/>
          </w:tcPr>
          <w:p w14:paraId="267D8DC8">
            <w:pPr>
              <w:ind w:left="-105" w:right="-105"/>
              <w:jc w:val="center"/>
              <w:rPr>
                <w:rFonts w:ascii="Times New Roman" w:hAnsi="Times New Roman" w:cs="Times New Roman"/>
                <w:color w:val="auto"/>
                <w:sz w:val="21"/>
                <w:szCs w:val="21"/>
                <w:highlight w:val="none"/>
              </w:rPr>
            </w:pPr>
          </w:p>
        </w:tc>
        <w:tc>
          <w:tcPr>
            <w:tcW w:w="1004" w:type="dxa"/>
            <w:vMerge w:val="continue"/>
            <w:tcBorders>
              <w:tl2br w:val="nil"/>
              <w:tr2bl w:val="nil"/>
            </w:tcBorders>
            <w:vAlign w:val="center"/>
          </w:tcPr>
          <w:p w14:paraId="44D348A7">
            <w:pPr>
              <w:ind w:left="-105" w:right="-105"/>
              <w:jc w:val="center"/>
              <w:rPr>
                <w:rFonts w:ascii="Times New Roman" w:hAnsi="Times New Roman" w:cs="Times New Roman"/>
                <w:color w:val="auto"/>
                <w:sz w:val="21"/>
                <w:szCs w:val="21"/>
                <w:highlight w:val="none"/>
              </w:rPr>
            </w:pPr>
          </w:p>
        </w:tc>
        <w:tc>
          <w:tcPr>
            <w:tcW w:w="1382" w:type="dxa"/>
            <w:tcBorders>
              <w:tl2br w:val="nil"/>
              <w:tr2bl w:val="nil"/>
            </w:tcBorders>
            <w:vAlign w:val="center"/>
          </w:tcPr>
          <w:p w14:paraId="19DABCB2">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14:00</w:t>
            </w:r>
          </w:p>
        </w:tc>
        <w:tc>
          <w:tcPr>
            <w:tcW w:w="871" w:type="dxa"/>
            <w:tcBorders>
              <w:tl2br w:val="nil"/>
              <w:tr2bl w:val="nil"/>
            </w:tcBorders>
            <w:vAlign w:val="center"/>
          </w:tcPr>
          <w:p w14:paraId="2C12BF92">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23.6</w:t>
            </w:r>
          </w:p>
        </w:tc>
        <w:tc>
          <w:tcPr>
            <w:tcW w:w="1086" w:type="dxa"/>
            <w:tcBorders>
              <w:tl2br w:val="nil"/>
              <w:tr2bl w:val="nil"/>
            </w:tcBorders>
            <w:vAlign w:val="center"/>
          </w:tcPr>
          <w:p w14:paraId="61282A4C">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101.87</w:t>
            </w:r>
          </w:p>
        </w:tc>
        <w:tc>
          <w:tcPr>
            <w:tcW w:w="1087" w:type="dxa"/>
            <w:tcBorders>
              <w:tl2br w:val="nil"/>
              <w:tr2bl w:val="nil"/>
            </w:tcBorders>
            <w:vAlign w:val="center"/>
          </w:tcPr>
          <w:p w14:paraId="250ED7EE">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48.9</w:t>
            </w:r>
          </w:p>
        </w:tc>
        <w:tc>
          <w:tcPr>
            <w:tcW w:w="1087" w:type="dxa"/>
            <w:tcBorders>
              <w:tl2br w:val="nil"/>
              <w:tr2bl w:val="nil"/>
            </w:tcBorders>
            <w:vAlign w:val="center"/>
          </w:tcPr>
          <w:p w14:paraId="1E6609A0">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西南风</w:t>
            </w:r>
          </w:p>
        </w:tc>
        <w:tc>
          <w:tcPr>
            <w:tcW w:w="1087" w:type="dxa"/>
            <w:tcBorders>
              <w:tl2br w:val="nil"/>
              <w:tr2bl w:val="nil"/>
            </w:tcBorders>
            <w:vAlign w:val="center"/>
          </w:tcPr>
          <w:p w14:paraId="6E115C02">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1.8</w:t>
            </w:r>
          </w:p>
        </w:tc>
      </w:tr>
      <w:tr w14:paraId="45ACE26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04" w:type="dxa"/>
            <w:vMerge w:val="continue"/>
            <w:tcBorders>
              <w:tl2br w:val="nil"/>
              <w:tr2bl w:val="nil"/>
            </w:tcBorders>
            <w:vAlign w:val="center"/>
          </w:tcPr>
          <w:p w14:paraId="466BE0F9">
            <w:pPr>
              <w:ind w:left="-105" w:right="-105"/>
              <w:jc w:val="center"/>
              <w:rPr>
                <w:rFonts w:ascii="Times New Roman" w:hAnsi="Times New Roman" w:cs="Times New Roman"/>
                <w:color w:val="auto"/>
                <w:sz w:val="21"/>
                <w:szCs w:val="21"/>
                <w:highlight w:val="none"/>
              </w:rPr>
            </w:pPr>
          </w:p>
        </w:tc>
        <w:tc>
          <w:tcPr>
            <w:tcW w:w="1004" w:type="dxa"/>
            <w:vMerge w:val="continue"/>
            <w:tcBorders>
              <w:tl2br w:val="nil"/>
              <w:tr2bl w:val="nil"/>
            </w:tcBorders>
            <w:vAlign w:val="center"/>
          </w:tcPr>
          <w:p w14:paraId="028D4C7D">
            <w:pPr>
              <w:ind w:left="-105" w:right="-105"/>
              <w:jc w:val="center"/>
              <w:rPr>
                <w:rFonts w:ascii="Times New Roman" w:hAnsi="Times New Roman" w:cs="Times New Roman"/>
                <w:color w:val="auto"/>
                <w:sz w:val="21"/>
                <w:szCs w:val="21"/>
                <w:highlight w:val="none"/>
              </w:rPr>
            </w:pPr>
          </w:p>
        </w:tc>
        <w:tc>
          <w:tcPr>
            <w:tcW w:w="1382" w:type="dxa"/>
            <w:tcBorders>
              <w:tl2br w:val="nil"/>
              <w:tr2bl w:val="nil"/>
            </w:tcBorders>
            <w:vAlign w:val="center"/>
          </w:tcPr>
          <w:p w14:paraId="20DA746C">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20:00</w:t>
            </w:r>
          </w:p>
        </w:tc>
        <w:tc>
          <w:tcPr>
            <w:tcW w:w="871" w:type="dxa"/>
            <w:tcBorders>
              <w:tl2br w:val="nil"/>
              <w:tr2bl w:val="nil"/>
            </w:tcBorders>
            <w:vAlign w:val="center"/>
          </w:tcPr>
          <w:p w14:paraId="078AF635">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19.3</w:t>
            </w:r>
          </w:p>
        </w:tc>
        <w:tc>
          <w:tcPr>
            <w:tcW w:w="1086" w:type="dxa"/>
            <w:tcBorders>
              <w:tl2br w:val="nil"/>
              <w:tr2bl w:val="nil"/>
            </w:tcBorders>
            <w:vAlign w:val="center"/>
          </w:tcPr>
          <w:p w14:paraId="4CB236EC">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102.18</w:t>
            </w:r>
          </w:p>
        </w:tc>
        <w:tc>
          <w:tcPr>
            <w:tcW w:w="1087" w:type="dxa"/>
            <w:tcBorders>
              <w:tl2br w:val="nil"/>
              <w:tr2bl w:val="nil"/>
            </w:tcBorders>
            <w:vAlign w:val="center"/>
          </w:tcPr>
          <w:p w14:paraId="183D4D5F">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50.9</w:t>
            </w:r>
          </w:p>
        </w:tc>
        <w:tc>
          <w:tcPr>
            <w:tcW w:w="1087" w:type="dxa"/>
            <w:tcBorders>
              <w:tl2br w:val="nil"/>
              <w:tr2bl w:val="nil"/>
            </w:tcBorders>
            <w:vAlign w:val="center"/>
          </w:tcPr>
          <w:p w14:paraId="19EE15B3">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西南风</w:t>
            </w:r>
          </w:p>
        </w:tc>
        <w:tc>
          <w:tcPr>
            <w:tcW w:w="1087" w:type="dxa"/>
            <w:tcBorders>
              <w:tl2br w:val="nil"/>
              <w:tr2bl w:val="nil"/>
            </w:tcBorders>
            <w:vAlign w:val="center"/>
          </w:tcPr>
          <w:p w14:paraId="46115FA6">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2.0</w:t>
            </w:r>
          </w:p>
        </w:tc>
      </w:tr>
      <w:tr w14:paraId="2B581FB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04" w:type="dxa"/>
            <w:vMerge w:val="continue"/>
            <w:tcBorders>
              <w:tl2br w:val="nil"/>
              <w:tr2bl w:val="nil"/>
            </w:tcBorders>
            <w:vAlign w:val="center"/>
          </w:tcPr>
          <w:p w14:paraId="06E1486E">
            <w:pPr>
              <w:ind w:left="-105" w:right="-105"/>
              <w:jc w:val="center"/>
              <w:rPr>
                <w:rFonts w:ascii="Times New Roman" w:hAnsi="Times New Roman" w:cs="Times New Roman"/>
                <w:color w:val="auto"/>
                <w:sz w:val="21"/>
                <w:szCs w:val="21"/>
                <w:highlight w:val="none"/>
              </w:rPr>
            </w:pPr>
          </w:p>
        </w:tc>
        <w:tc>
          <w:tcPr>
            <w:tcW w:w="1004" w:type="dxa"/>
            <w:vMerge w:val="restart"/>
            <w:tcBorders>
              <w:tl2br w:val="nil"/>
              <w:tr2bl w:val="nil"/>
            </w:tcBorders>
            <w:vAlign w:val="center"/>
          </w:tcPr>
          <w:p w14:paraId="6BC15971">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2024年04月23日</w:t>
            </w:r>
          </w:p>
        </w:tc>
        <w:tc>
          <w:tcPr>
            <w:tcW w:w="1382" w:type="dxa"/>
            <w:tcBorders>
              <w:tl2br w:val="nil"/>
              <w:tr2bl w:val="nil"/>
            </w:tcBorders>
            <w:vAlign w:val="center"/>
          </w:tcPr>
          <w:p w14:paraId="1639725A">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2:00</w:t>
            </w:r>
          </w:p>
        </w:tc>
        <w:tc>
          <w:tcPr>
            <w:tcW w:w="871" w:type="dxa"/>
            <w:tcBorders>
              <w:tl2br w:val="nil"/>
              <w:tr2bl w:val="nil"/>
            </w:tcBorders>
            <w:vAlign w:val="center"/>
          </w:tcPr>
          <w:p w14:paraId="70E0F89D">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13.4</w:t>
            </w:r>
          </w:p>
        </w:tc>
        <w:tc>
          <w:tcPr>
            <w:tcW w:w="1086" w:type="dxa"/>
            <w:tcBorders>
              <w:tl2br w:val="nil"/>
              <w:tr2bl w:val="nil"/>
            </w:tcBorders>
            <w:vAlign w:val="center"/>
          </w:tcPr>
          <w:p w14:paraId="69D16B8B">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102.49</w:t>
            </w:r>
          </w:p>
        </w:tc>
        <w:tc>
          <w:tcPr>
            <w:tcW w:w="1087" w:type="dxa"/>
            <w:tcBorders>
              <w:tl2br w:val="nil"/>
              <w:tr2bl w:val="nil"/>
            </w:tcBorders>
            <w:vAlign w:val="center"/>
          </w:tcPr>
          <w:p w14:paraId="39DC84EC">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57.9</w:t>
            </w:r>
          </w:p>
        </w:tc>
        <w:tc>
          <w:tcPr>
            <w:tcW w:w="1087" w:type="dxa"/>
            <w:tcBorders>
              <w:tl2br w:val="nil"/>
              <w:tr2bl w:val="nil"/>
            </w:tcBorders>
            <w:vAlign w:val="center"/>
          </w:tcPr>
          <w:p w14:paraId="19821FAE">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西南风</w:t>
            </w:r>
          </w:p>
        </w:tc>
        <w:tc>
          <w:tcPr>
            <w:tcW w:w="1087" w:type="dxa"/>
            <w:tcBorders>
              <w:tl2br w:val="nil"/>
              <w:tr2bl w:val="nil"/>
            </w:tcBorders>
            <w:vAlign w:val="center"/>
          </w:tcPr>
          <w:p w14:paraId="4B7492D6">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2.1</w:t>
            </w:r>
          </w:p>
        </w:tc>
      </w:tr>
      <w:tr w14:paraId="1A3EC00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04" w:type="dxa"/>
            <w:vMerge w:val="continue"/>
            <w:tcBorders>
              <w:tl2br w:val="nil"/>
              <w:tr2bl w:val="nil"/>
            </w:tcBorders>
            <w:vAlign w:val="center"/>
          </w:tcPr>
          <w:p w14:paraId="42C50C3F">
            <w:pPr>
              <w:ind w:left="-105" w:right="-105"/>
              <w:jc w:val="center"/>
              <w:rPr>
                <w:rFonts w:ascii="Times New Roman" w:hAnsi="Times New Roman" w:cs="Times New Roman"/>
                <w:color w:val="auto"/>
                <w:sz w:val="21"/>
                <w:szCs w:val="21"/>
                <w:highlight w:val="none"/>
              </w:rPr>
            </w:pPr>
          </w:p>
        </w:tc>
        <w:tc>
          <w:tcPr>
            <w:tcW w:w="1004" w:type="dxa"/>
            <w:vMerge w:val="continue"/>
            <w:tcBorders>
              <w:tl2br w:val="nil"/>
              <w:tr2bl w:val="nil"/>
            </w:tcBorders>
            <w:vAlign w:val="center"/>
          </w:tcPr>
          <w:p w14:paraId="7D2BAB63">
            <w:pPr>
              <w:ind w:left="-105" w:right="-105"/>
              <w:jc w:val="center"/>
              <w:rPr>
                <w:rFonts w:ascii="Times New Roman" w:hAnsi="Times New Roman" w:cs="Times New Roman"/>
                <w:color w:val="auto"/>
                <w:sz w:val="21"/>
                <w:szCs w:val="21"/>
                <w:highlight w:val="none"/>
              </w:rPr>
            </w:pPr>
          </w:p>
        </w:tc>
        <w:tc>
          <w:tcPr>
            <w:tcW w:w="1382" w:type="dxa"/>
            <w:tcBorders>
              <w:tl2br w:val="nil"/>
              <w:tr2bl w:val="nil"/>
            </w:tcBorders>
            <w:vAlign w:val="center"/>
          </w:tcPr>
          <w:p w14:paraId="653D8C31">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8:00</w:t>
            </w:r>
          </w:p>
        </w:tc>
        <w:tc>
          <w:tcPr>
            <w:tcW w:w="871" w:type="dxa"/>
            <w:tcBorders>
              <w:tl2br w:val="nil"/>
              <w:tr2bl w:val="nil"/>
            </w:tcBorders>
            <w:vAlign w:val="center"/>
          </w:tcPr>
          <w:p w14:paraId="294C816B">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17.2</w:t>
            </w:r>
          </w:p>
        </w:tc>
        <w:tc>
          <w:tcPr>
            <w:tcW w:w="1086" w:type="dxa"/>
            <w:tcBorders>
              <w:tl2br w:val="nil"/>
              <w:tr2bl w:val="nil"/>
            </w:tcBorders>
            <w:vAlign w:val="center"/>
          </w:tcPr>
          <w:p w14:paraId="66C56027">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102.34</w:t>
            </w:r>
          </w:p>
        </w:tc>
        <w:tc>
          <w:tcPr>
            <w:tcW w:w="1087" w:type="dxa"/>
            <w:tcBorders>
              <w:tl2br w:val="nil"/>
              <w:tr2bl w:val="nil"/>
            </w:tcBorders>
            <w:vAlign w:val="center"/>
          </w:tcPr>
          <w:p w14:paraId="1A5F9FA3">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55.5</w:t>
            </w:r>
          </w:p>
        </w:tc>
        <w:tc>
          <w:tcPr>
            <w:tcW w:w="1087" w:type="dxa"/>
            <w:tcBorders>
              <w:tl2br w:val="nil"/>
              <w:tr2bl w:val="nil"/>
            </w:tcBorders>
            <w:vAlign w:val="center"/>
          </w:tcPr>
          <w:p w14:paraId="6D5AABEA">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西南风</w:t>
            </w:r>
          </w:p>
        </w:tc>
        <w:tc>
          <w:tcPr>
            <w:tcW w:w="1087" w:type="dxa"/>
            <w:tcBorders>
              <w:tl2br w:val="nil"/>
              <w:tr2bl w:val="nil"/>
            </w:tcBorders>
            <w:vAlign w:val="center"/>
          </w:tcPr>
          <w:p w14:paraId="62D03955">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2.0</w:t>
            </w:r>
          </w:p>
        </w:tc>
      </w:tr>
      <w:tr w14:paraId="35356FC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04" w:type="dxa"/>
            <w:vMerge w:val="continue"/>
            <w:tcBorders>
              <w:tl2br w:val="nil"/>
              <w:tr2bl w:val="nil"/>
            </w:tcBorders>
            <w:vAlign w:val="center"/>
          </w:tcPr>
          <w:p w14:paraId="2C9C1B2F">
            <w:pPr>
              <w:ind w:left="-105" w:right="-105"/>
              <w:jc w:val="center"/>
              <w:rPr>
                <w:rFonts w:ascii="Times New Roman" w:hAnsi="Times New Roman" w:cs="Times New Roman"/>
                <w:color w:val="auto"/>
                <w:sz w:val="21"/>
                <w:szCs w:val="21"/>
                <w:highlight w:val="none"/>
              </w:rPr>
            </w:pPr>
          </w:p>
        </w:tc>
        <w:tc>
          <w:tcPr>
            <w:tcW w:w="1004" w:type="dxa"/>
            <w:vMerge w:val="continue"/>
            <w:tcBorders>
              <w:tl2br w:val="nil"/>
              <w:tr2bl w:val="nil"/>
            </w:tcBorders>
            <w:vAlign w:val="center"/>
          </w:tcPr>
          <w:p w14:paraId="6C0DAC4A">
            <w:pPr>
              <w:ind w:left="-105" w:right="-105"/>
              <w:jc w:val="center"/>
              <w:rPr>
                <w:rFonts w:ascii="Times New Roman" w:hAnsi="Times New Roman" w:cs="Times New Roman"/>
                <w:color w:val="auto"/>
                <w:sz w:val="21"/>
                <w:szCs w:val="21"/>
                <w:highlight w:val="none"/>
              </w:rPr>
            </w:pPr>
          </w:p>
        </w:tc>
        <w:tc>
          <w:tcPr>
            <w:tcW w:w="1382" w:type="dxa"/>
            <w:tcBorders>
              <w:tl2br w:val="nil"/>
              <w:tr2bl w:val="nil"/>
            </w:tcBorders>
            <w:vAlign w:val="center"/>
          </w:tcPr>
          <w:p w14:paraId="12B7326B">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14:00</w:t>
            </w:r>
          </w:p>
        </w:tc>
        <w:tc>
          <w:tcPr>
            <w:tcW w:w="871" w:type="dxa"/>
            <w:tcBorders>
              <w:tl2br w:val="nil"/>
              <w:tr2bl w:val="nil"/>
            </w:tcBorders>
            <w:vAlign w:val="center"/>
          </w:tcPr>
          <w:p w14:paraId="734866F1">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22.9</w:t>
            </w:r>
          </w:p>
        </w:tc>
        <w:tc>
          <w:tcPr>
            <w:tcW w:w="1086" w:type="dxa"/>
            <w:tcBorders>
              <w:tl2br w:val="nil"/>
              <w:tr2bl w:val="nil"/>
            </w:tcBorders>
            <w:vAlign w:val="center"/>
          </w:tcPr>
          <w:p w14:paraId="11060044">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101.98</w:t>
            </w:r>
          </w:p>
        </w:tc>
        <w:tc>
          <w:tcPr>
            <w:tcW w:w="1087" w:type="dxa"/>
            <w:tcBorders>
              <w:tl2br w:val="nil"/>
              <w:tr2bl w:val="nil"/>
            </w:tcBorders>
            <w:vAlign w:val="center"/>
          </w:tcPr>
          <w:p w14:paraId="08190715">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49.9</w:t>
            </w:r>
          </w:p>
        </w:tc>
        <w:tc>
          <w:tcPr>
            <w:tcW w:w="1087" w:type="dxa"/>
            <w:tcBorders>
              <w:tl2br w:val="nil"/>
              <w:tr2bl w:val="nil"/>
            </w:tcBorders>
            <w:vAlign w:val="center"/>
          </w:tcPr>
          <w:p w14:paraId="4F553B66">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西南风</w:t>
            </w:r>
          </w:p>
        </w:tc>
        <w:tc>
          <w:tcPr>
            <w:tcW w:w="1087" w:type="dxa"/>
            <w:tcBorders>
              <w:tl2br w:val="nil"/>
              <w:tr2bl w:val="nil"/>
            </w:tcBorders>
            <w:vAlign w:val="center"/>
          </w:tcPr>
          <w:p w14:paraId="6D6C8F72">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1.9</w:t>
            </w:r>
          </w:p>
        </w:tc>
      </w:tr>
      <w:tr w14:paraId="2545C6D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04" w:type="dxa"/>
            <w:vMerge w:val="continue"/>
            <w:tcBorders>
              <w:tl2br w:val="nil"/>
              <w:tr2bl w:val="nil"/>
            </w:tcBorders>
            <w:vAlign w:val="center"/>
          </w:tcPr>
          <w:p w14:paraId="6500EDC8">
            <w:pPr>
              <w:ind w:left="-105" w:right="-105"/>
              <w:jc w:val="center"/>
              <w:rPr>
                <w:rFonts w:ascii="Times New Roman" w:hAnsi="Times New Roman" w:cs="Times New Roman"/>
                <w:color w:val="auto"/>
                <w:sz w:val="21"/>
                <w:szCs w:val="21"/>
                <w:highlight w:val="none"/>
              </w:rPr>
            </w:pPr>
          </w:p>
        </w:tc>
        <w:tc>
          <w:tcPr>
            <w:tcW w:w="1004" w:type="dxa"/>
            <w:vMerge w:val="continue"/>
            <w:tcBorders>
              <w:tl2br w:val="nil"/>
              <w:tr2bl w:val="nil"/>
            </w:tcBorders>
            <w:vAlign w:val="center"/>
          </w:tcPr>
          <w:p w14:paraId="344078A6">
            <w:pPr>
              <w:ind w:left="-105" w:right="-105"/>
              <w:jc w:val="center"/>
              <w:rPr>
                <w:rFonts w:ascii="Times New Roman" w:hAnsi="Times New Roman" w:cs="Times New Roman"/>
                <w:color w:val="auto"/>
                <w:sz w:val="21"/>
                <w:szCs w:val="21"/>
                <w:highlight w:val="none"/>
              </w:rPr>
            </w:pPr>
          </w:p>
        </w:tc>
        <w:tc>
          <w:tcPr>
            <w:tcW w:w="1382" w:type="dxa"/>
            <w:tcBorders>
              <w:tl2br w:val="nil"/>
              <w:tr2bl w:val="nil"/>
            </w:tcBorders>
            <w:vAlign w:val="center"/>
          </w:tcPr>
          <w:p w14:paraId="26DDBA67">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20:00</w:t>
            </w:r>
          </w:p>
        </w:tc>
        <w:tc>
          <w:tcPr>
            <w:tcW w:w="871" w:type="dxa"/>
            <w:tcBorders>
              <w:tl2br w:val="nil"/>
              <w:tr2bl w:val="nil"/>
            </w:tcBorders>
            <w:vAlign w:val="center"/>
          </w:tcPr>
          <w:p w14:paraId="5A2D43FC">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17.5</w:t>
            </w:r>
          </w:p>
        </w:tc>
        <w:tc>
          <w:tcPr>
            <w:tcW w:w="1086" w:type="dxa"/>
            <w:tcBorders>
              <w:tl2br w:val="nil"/>
              <w:tr2bl w:val="nil"/>
            </w:tcBorders>
            <w:vAlign w:val="center"/>
          </w:tcPr>
          <w:p w14:paraId="192E1B33">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102.29</w:t>
            </w:r>
          </w:p>
        </w:tc>
        <w:tc>
          <w:tcPr>
            <w:tcW w:w="1087" w:type="dxa"/>
            <w:tcBorders>
              <w:tl2br w:val="nil"/>
              <w:tr2bl w:val="nil"/>
            </w:tcBorders>
            <w:vAlign w:val="center"/>
          </w:tcPr>
          <w:p w14:paraId="40C8FDDA">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51.7</w:t>
            </w:r>
          </w:p>
        </w:tc>
        <w:tc>
          <w:tcPr>
            <w:tcW w:w="1087" w:type="dxa"/>
            <w:tcBorders>
              <w:tl2br w:val="nil"/>
              <w:tr2bl w:val="nil"/>
            </w:tcBorders>
            <w:vAlign w:val="center"/>
          </w:tcPr>
          <w:p w14:paraId="6BB43778">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西南风</w:t>
            </w:r>
          </w:p>
        </w:tc>
        <w:tc>
          <w:tcPr>
            <w:tcW w:w="1087" w:type="dxa"/>
            <w:tcBorders>
              <w:tl2br w:val="nil"/>
              <w:tr2bl w:val="nil"/>
            </w:tcBorders>
            <w:vAlign w:val="center"/>
          </w:tcPr>
          <w:p w14:paraId="448A9D2A">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2.1</w:t>
            </w:r>
          </w:p>
        </w:tc>
      </w:tr>
      <w:tr w14:paraId="14578F1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04" w:type="dxa"/>
            <w:vMerge w:val="continue"/>
            <w:tcBorders>
              <w:tl2br w:val="nil"/>
              <w:tr2bl w:val="nil"/>
            </w:tcBorders>
            <w:vAlign w:val="center"/>
          </w:tcPr>
          <w:p w14:paraId="27063C12">
            <w:pPr>
              <w:ind w:left="-105" w:right="-105"/>
              <w:jc w:val="center"/>
              <w:rPr>
                <w:rFonts w:ascii="Times New Roman" w:hAnsi="Times New Roman" w:cs="Times New Roman"/>
                <w:color w:val="auto"/>
                <w:sz w:val="21"/>
                <w:szCs w:val="21"/>
                <w:highlight w:val="none"/>
              </w:rPr>
            </w:pPr>
          </w:p>
        </w:tc>
        <w:tc>
          <w:tcPr>
            <w:tcW w:w="1004" w:type="dxa"/>
            <w:vMerge w:val="restart"/>
            <w:tcBorders>
              <w:tl2br w:val="nil"/>
              <w:tr2bl w:val="nil"/>
            </w:tcBorders>
            <w:vAlign w:val="center"/>
          </w:tcPr>
          <w:p w14:paraId="2FB63AE4">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2024年04月24日</w:t>
            </w:r>
          </w:p>
        </w:tc>
        <w:tc>
          <w:tcPr>
            <w:tcW w:w="1382" w:type="dxa"/>
            <w:tcBorders>
              <w:tl2br w:val="nil"/>
              <w:tr2bl w:val="nil"/>
            </w:tcBorders>
            <w:vAlign w:val="center"/>
          </w:tcPr>
          <w:p w14:paraId="3F8815D7">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2:00</w:t>
            </w:r>
          </w:p>
        </w:tc>
        <w:tc>
          <w:tcPr>
            <w:tcW w:w="871" w:type="dxa"/>
            <w:tcBorders>
              <w:tl2br w:val="nil"/>
              <w:tr2bl w:val="nil"/>
            </w:tcBorders>
            <w:vAlign w:val="center"/>
          </w:tcPr>
          <w:p w14:paraId="4AC034D6">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13.7</w:t>
            </w:r>
          </w:p>
        </w:tc>
        <w:tc>
          <w:tcPr>
            <w:tcW w:w="1086" w:type="dxa"/>
            <w:tcBorders>
              <w:tl2br w:val="nil"/>
              <w:tr2bl w:val="nil"/>
            </w:tcBorders>
            <w:vAlign w:val="center"/>
          </w:tcPr>
          <w:p w14:paraId="5980A000">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102.44</w:t>
            </w:r>
          </w:p>
        </w:tc>
        <w:tc>
          <w:tcPr>
            <w:tcW w:w="1087" w:type="dxa"/>
            <w:tcBorders>
              <w:tl2br w:val="nil"/>
              <w:tr2bl w:val="nil"/>
            </w:tcBorders>
            <w:vAlign w:val="center"/>
          </w:tcPr>
          <w:p w14:paraId="5DDE1291">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54.4</w:t>
            </w:r>
          </w:p>
        </w:tc>
        <w:tc>
          <w:tcPr>
            <w:tcW w:w="1087" w:type="dxa"/>
            <w:tcBorders>
              <w:tl2br w:val="nil"/>
              <w:tr2bl w:val="nil"/>
            </w:tcBorders>
            <w:vAlign w:val="center"/>
          </w:tcPr>
          <w:p w14:paraId="6234D6CA">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东南风</w:t>
            </w:r>
          </w:p>
        </w:tc>
        <w:tc>
          <w:tcPr>
            <w:tcW w:w="1087" w:type="dxa"/>
            <w:tcBorders>
              <w:tl2br w:val="nil"/>
              <w:tr2bl w:val="nil"/>
            </w:tcBorders>
            <w:vAlign w:val="center"/>
          </w:tcPr>
          <w:p w14:paraId="6939FD35">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2.2</w:t>
            </w:r>
          </w:p>
        </w:tc>
      </w:tr>
      <w:tr w14:paraId="32F8984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04" w:type="dxa"/>
            <w:vMerge w:val="continue"/>
            <w:tcBorders>
              <w:tl2br w:val="nil"/>
              <w:tr2bl w:val="nil"/>
            </w:tcBorders>
            <w:vAlign w:val="center"/>
          </w:tcPr>
          <w:p w14:paraId="3E5D7A60">
            <w:pPr>
              <w:ind w:left="-105" w:right="-105"/>
              <w:jc w:val="center"/>
              <w:rPr>
                <w:rFonts w:ascii="Times New Roman" w:hAnsi="Times New Roman" w:cs="Times New Roman"/>
                <w:color w:val="auto"/>
                <w:sz w:val="21"/>
                <w:szCs w:val="21"/>
                <w:highlight w:val="none"/>
              </w:rPr>
            </w:pPr>
          </w:p>
        </w:tc>
        <w:tc>
          <w:tcPr>
            <w:tcW w:w="1004" w:type="dxa"/>
            <w:vMerge w:val="continue"/>
            <w:tcBorders>
              <w:tl2br w:val="nil"/>
              <w:tr2bl w:val="nil"/>
            </w:tcBorders>
            <w:vAlign w:val="center"/>
          </w:tcPr>
          <w:p w14:paraId="6B79FFEF">
            <w:pPr>
              <w:ind w:left="-105" w:right="-105"/>
              <w:jc w:val="center"/>
              <w:rPr>
                <w:rFonts w:ascii="Times New Roman" w:hAnsi="Times New Roman" w:cs="Times New Roman"/>
                <w:color w:val="auto"/>
                <w:sz w:val="21"/>
                <w:szCs w:val="21"/>
                <w:highlight w:val="none"/>
              </w:rPr>
            </w:pPr>
          </w:p>
        </w:tc>
        <w:tc>
          <w:tcPr>
            <w:tcW w:w="1382" w:type="dxa"/>
            <w:tcBorders>
              <w:tl2br w:val="nil"/>
              <w:tr2bl w:val="nil"/>
            </w:tcBorders>
            <w:vAlign w:val="center"/>
          </w:tcPr>
          <w:p w14:paraId="1B674EE7">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8:00</w:t>
            </w:r>
          </w:p>
        </w:tc>
        <w:tc>
          <w:tcPr>
            <w:tcW w:w="871" w:type="dxa"/>
            <w:tcBorders>
              <w:tl2br w:val="nil"/>
              <w:tr2bl w:val="nil"/>
            </w:tcBorders>
            <w:vAlign w:val="center"/>
          </w:tcPr>
          <w:p w14:paraId="0F4683E9">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18.5</w:t>
            </w:r>
          </w:p>
        </w:tc>
        <w:tc>
          <w:tcPr>
            <w:tcW w:w="1086" w:type="dxa"/>
            <w:tcBorders>
              <w:tl2br w:val="nil"/>
              <w:tr2bl w:val="nil"/>
            </w:tcBorders>
            <w:vAlign w:val="center"/>
          </w:tcPr>
          <w:p w14:paraId="13141E89">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102.29</w:t>
            </w:r>
          </w:p>
        </w:tc>
        <w:tc>
          <w:tcPr>
            <w:tcW w:w="1087" w:type="dxa"/>
            <w:tcBorders>
              <w:tl2br w:val="nil"/>
              <w:tr2bl w:val="nil"/>
            </w:tcBorders>
            <w:vAlign w:val="center"/>
          </w:tcPr>
          <w:p w14:paraId="5A62ED67">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51.7</w:t>
            </w:r>
          </w:p>
        </w:tc>
        <w:tc>
          <w:tcPr>
            <w:tcW w:w="1087" w:type="dxa"/>
            <w:tcBorders>
              <w:tl2br w:val="nil"/>
              <w:tr2bl w:val="nil"/>
            </w:tcBorders>
            <w:vAlign w:val="center"/>
          </w:tcPr>
          <w:p w14:paraId="75137348">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东南风</w:t>
            </w:r>
          </w:p>
        </w:tc>
        <w:tc>
          <w:tcPr>
            <w:tcW w:w="1087" w:type="dxa"/>
            <w:tcBorders>
              <w:tl2br w:val="nil"/>
              <w:tr2bl w:val="nil"/>
            </w:tcBorders>
            <w:vAlign w:val="center"/>
          </w:tcPr>
          <w:p w14:paraId="2E9B7155">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2.1</w:t>
            </w:r>
          </w:p>
        </w:tc>
      </w:tr>
      <w:tr w14:paraId="66340FE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04" w:type="dxa"/>
            <w:vMerge w:val="continue"/>
            <w:tcBorders>
              <w:tl2br w:val="nil"/>
              <w:tr2bl w:val="nil"/>
            </w:tcBorders>
            <w:vAlign w:val="center"/>
          </w:tcPr>
          <w:p w14:paraId="144FF3F0">
            <w:pPr>
              <w:ind w:left="-105" w:right="-105"/>
              <w:jc w:val="center"/>
              <w:rPr>
                <w:rFonts w:ascii="Times New Roman" w:hAnsi="Times New Roman" w:cs="Times New Roman"/>
                <w:color w:val="auto"/>
                <w:sz w:val="21"/>
                <w:szCs w:val="21"/>
                <w:highlight w:val="none"/>
              </w:rPr>
            </w:pPr>
          </w:p>
        </w:tc>
        <w:tc>
          <w:tcPr>
            <w:tcW w:w="1004" w:type="dxa"/>
            <w:vMerge w:val="continue"/>
            <w:tcBorders>
              <w:tl2br w:val="nil"/>
              <w:tr2bl w:val="nil"/>
            </w:tcBorders>
            <w:vAlign w:val="center"/>
          </w:tcPr>
          <w:p w14:paraId="31087EF3">
            <w:pPr>
              <w:ind w:left="-105" w:right="-105"/>
              <w:jc w:val="center"/>
              <w:rPr>
                <w:rFonts w:ascii="Times New Roman" w:hAnsi="Times New Roman" w:cs="Times New Roman"/>
                <w:color w:val="auto"/>
                <w:sz w:val="21"/>
                <w:szCs w:val="21"/>
                <w:highlight w:val="none"/>
              </w:rPr>
            </w:pPr>
          </w:p>
        </w:tc>
        <w:tc>
          <w:tcPr>
            <w:tcW w:w="1382" w:type="dxa"/>
            <w:tcBorders>
              <w:tl2br w:val="nil"/>
              <w:tr2bl w:val="nil"/>
            </w:tcBorders>
            <w:vAlign w:val="center"/>
          </w:tcPr>
          <w:p w14:paraId="5C54233F">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14:00</w:t>
            </w:r>
          </w:p>
        </w:tc>
        <w:tc>
          <w:tcPr>
            <w:tcW w:w="871" w:type="dxa"/>
            <w:tcBorders>
              <w:tl2br w:val="nil"/>
              <w:tr2bl w:val="nil"/>
            </w:tcBorders>
            <w:vAlign w:val="center"/>
          </w:tcPr>
          <w:p w14:paraId="1520F5CD">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25.2</w:t>
            </w:r>
          </w:p>
        </w:tc>
        <w:tc>
          <w:tcPr>
            <w:tcW w:w="1086" w:type="dxa"/>
            <w:tcBorders>
              <w:tl2br w:val="nil"/>
              <w:tr2bl w:val="nil"/>
            </w:tcBorders>
            <w:vAlign w:val="center"/>
          </w:tcPr>
          <w:p w14:paraId="4D4573C9">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101.85</w:t>
            </w:r>
          </w:p>
        </w:tc>
        <w:tc>
          <w:tcPr>
            <w:tcW w:w="1087" w:type="dxa"/>
            <w:tcBorders>
              <w:tl2br w:val="nil"/>
              <w:tr2bl w:val="nil"/>
            </w:tcBorders>
            <w:vAlign w:val="center"/>
          </w:tcPr>
          <w:p w14:paraId="4BDB4C86">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48.6</w:t>
            </w:r>
          </w:p>
        </w:tc>
        <w:tc>
          <w:tcPr>
            <w:tcW w:w="1087" w:type="dxa"/>
            <w:tcBorders>
              <w:tl2br w:val="nil"/>
              <w:tr2bl w:val="nil"/>
            </w:tcBorders>
            <w:vAlign w:val="center"/>
          </w:tcPr>
          <w:p w14:paraId="1493AD6D">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东南风</w:t>
            </w:r>
          </w:p>
        </w:tc>
        <w:tc>
          <w:tcPr>
            <w:tcW w:w="1087" w:type="dxa"/>
            <w:tcBorders>
              <w:tl2br w:val="nil"/>
              <w:tr2bl w:val="nil"/>
            </w:tcBorders>
            <w:vAlign w:val="center"/>
          </w:tcPr>
          <w:p w14:paraId="1F825606">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1.8</w:t>
            </w:r>
          </w:p>
        </w:tc>
      </w:tr>
      <w:tr w14:paraId="4FDE397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04" w:type="dxa"/>
            <w:vMerge w:val="continue"/>
            <w:tcBorders>
              <w:tl2br w:val="nil"/>
              <w:tr2bl w:val="nil"/>
            </w:tcBorders>
            <w:vAlign w:val="center"/>
          </w:tcPr>
          <w:p w14:paraId="6DD95CF3">
            <w:pPr>
              <w:ind w:left="-105" w:right="-105"/>
              <w:jc w:val="center"/>
              <w:rPr>
                <w:rFonts w:ascii="Times New Roman" w:hAnsi="Times New Roman" w:cs="Times New Roman"/>
                <w:color w:val="auto"/>
                <w:sz w:val="21"/>
                <w:szCs w:val="21"/>
                <w:highlight w:val="none"/>
              </w:rPr>
            </w:pPr>
          </w:p>
        </w:tc>
        <w:tc>
          <w:tcPr>
            <w:tcW w:w="1004" w:type="dxa"/>
            <w:vMerge w:val="continue"/>
            <w:tcBorders>
              <w:tl2br w:val="nil"/>
              <w:tr2bl w:val="nil"/>
            </w:tcBorders>
            <w:vAlign w:val="center"/>
          </w:tcPr>
          <w:p w14:paraId="3BE25D67">
            <w:pPr>
              <w:ind w:left="-105" w:right="-105"/>
              <w:jc w:val="center"/>
              <w:rPr>
                <w:rFonts w:ascii="Times New Roman" w:hAnsi="Times New Roman" w:cs="Times New Roman"/>
                <w:color w:val="auto"/>
                <w:sz w:val="21"/>
                <w:szCs w:val="21"/>
                <w:highlight w:val="none"/>
              </w:rPr>
            </w:pPr>
          </w:p>
        </w:tc>
        <w:tc>
          <w:tcPr>
            <w:tcW w:w="1382" w:type="dxa"/>
            <w:tcBorders>
              <w:tl2br w:val="nil"/>
              <w:tr2bl w:val="nil"/>
            </w:tcBorders>
            <w:vAlign w:val="center"/>
          </w:tcPr>
          <w:p w14:paraId="47F4073E">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20:00</w:t>
            </w:r>
          </w:p>
        </w:tc>
        <w:tc>
          <w:tcPr>
            <w:tcW w:w="871" w:type="dxa"/>
            <w:tcBorders>
              <w:tl2br w:val="nil"/>
              <w:tr2bl w:val="nil"/>
            </w:tcBorders>
            <w:vAlign w:val="center"/>
          </w:tcPr>
          <w:p w14:paraId="3401B16E">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19.3</w:t>
            </w:r>
          </w:p>
        </w:tc>
        <w:tc>
          <w:tcPr>
            <w:tcW w:w="1086" w:type="dxa"/>
            <w:tcBorders>
              <w:tl2br w:val="nil"/>
              <w:tr2bl w:val="nil"/>
            </w:tcBorders>
            <w:vAlign w:val="center"/>
          </w:tcPr>
          <w:p w14:paraId="039784F6">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102.23</w:t>
            </w:r>
          </w:p>
        </w:tc>
        <w:tc>
          <w:tcPr>
            <w:tcW w:w="1087" w:type="dxa"/>
            <w:tcBorders>
              <w:tl2br w:val="nil"/>
              <w:tr2bl w:val="nil"/>
            </w:tcBorders>
            <w:vAlign w:val="center"/>
          </w:tcPr>
          <w:p w14:paraId="3A415595">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51.6</w:t>
            </w:r>
          </w:p>
        </w:tc>
        <w:tc>
          <w:tcPr>
            <w:tcW w:w="1087" w:type="dxa"/>
            <w:tcBorders>
              <w:tl2br w:val="nil"/>
              <w:tr2bl w:val="nil"/>
            </w:tcBorders>
            <w:vAlign w:val="center"/>
          </w:tcPr>
          <w:p w14:paraId="50752249">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东南风</w:t>
            </w:r>
          </w:p>
        </w:tc>
        <w:tc>
          <w:tcPr>
            <w:tcW w:w="1087" w:type="dxa"/>
            <w:tcBorders>
              <w:tl2br w:val="nil"/>
              <w:tr2bl w:val="nil"/>
            </w:tcBorders>
            <w:vAlign w:val="center"/>
          </w:tcPr>
          <w:p w14:paraId="70A25635">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2.0</w:t>
            </w:r>
          </w:p>
        </w:tc>
      </w:tr>
      <w:tr w14:paraId="69BDB94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04" w:type="dxa"/>
            <w:vMerge w:val="continue"/>
            <w:tcBorders>
              <w:tl2br w:val="nil"/>
              <w:tr2bl w:val="nil"/>
            </w:tcBorders>
            <w:vAlign w:val="center"/>
          </w:tcPr>
          <w:p w14:paraId="3A568246">
            <w:pPr>
              <w:ind w:left="-105" w:right="-105"/>
              <w:jc w:val="center"/>
              <w:rPr>
                <w:rFonts w:ascii="Times New Roman" w:hAnsi="Times New Roman" w:cs="Times New Roman"/>
                <w:color w:val="auto"/>
                <w:sz w:val="21"/>
                <w:szCs w:val="21"/>
                <w:highlight w:val="none"/>
              </w:rPr>
            </w:pPr>
          </w:p>
        </w:tc>
        <w:tc>
          <w:tcPr>
            <w:tcW w:w="1004" w:type="dxa"/>
            <w:vMerge w:val="restart"/>
            <w:tcBorders>
              <w:tl2br w:val="nil"/>
              <w:tr2bl w:val="nil"/>
            </w:tcBorders>
            <w:vAlign w:val="center"/>
          </w:tcPr>
          <w:p w14:paraId="443988FA">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2024年04月25日</w:t>
            </w:r>
          </w:p>
        </w:tc>
        <w:tc>
          <w:tcPr>
            <w:tcW w:w="1382" w:type="dxa"/>
            <w:tcBorders>
              <w:tl2br w:val="nil"/>
              <w:tr2bl w:val="nil"/>
            </w:tcBorders>
            <w:vAlign w:val="center"/>
          </w:tcPr>
          <w:p w14:paraId="63677BCA">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2:00</w:t>
            </w:r>
          </w:p>
        </w:tc>
        <w:tc>
          <w:tcPr>
            <w:tcW w:w="871" w:type="dxa"/>
            <w:tcBorders>
              <w:tl2br w:val="nil"/>
              <w:tr2bl w:val="nil"/>
            </w:tcBorders>
            <w:vAlign w:val="center"/>
          </w:tcPr>
          <w:p w14:paraId="004E461E">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15.8</w:t>
            </w:r>
          </w:p>
        </w:tc>
        <w:tc>
          <w:tcPr>
            <w:tcW w:w="1086" w:type="dxa"/>
            <w:tcBorders>
              <w:tl2br w:val="nil"/>
              <w:tr2bl w:val="nil"/>
            </w:tcBorders>
            <w:vAlign w:val="center"/>
          </w:tcPr>
          <w:p w14:paraId="285DB76B">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102.37</w:t>
            </w:r>
          </w:p>
        </w:tc>
        <w:tc>
          <w:tcPr>
            <w:tcW w:w="1087" w:type="dxa"/>
            <w:tcBorders>
              <w:tl2br w:val="nil"/>
              <w:tr2bl w:val="nil"/>
            </w:tcBorders>
            <w:vAlign w:val="center"/>
          </w:tcPr>
          <w:p w14:paraId="1A6CF1EA">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53.3</w:t>
            </w:r>
          </w:p>
        </w:tc>
        <w:tc>
          <w:tcPr>
            <w:tcW w:w="1087" w:type="dxa"/>
            <w:tcBorders>
              <w:tl2br w:val="nil"/>
              <w:tr2bl w:val="nil"/>
            </w:tcBorders>
            <w:vAlign w:val="center"/>
          </w:tcPr>
          <w:p w14:paraId="594838D3">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东南风</w:t>
            </w:r>
          </w:p>
        </w:tc>
        <w:tc>
          <w:tcPr>
            <w:tcW w:w="1087" w:type="dxa"/>
            <w:tcBorders>
              <w:tl2br w:val="nil"/>
              <w:tr2bl w:val="nil"/>
            </w:tcBorders>
            <w:vAlign w:val="center"/>
          </w:tcPr>
          <w:p w14:paraId="0A065274">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2.4</w:t>
            </w:r>
          </w:p>
        </w:tc>
      </w:tr>
      <w:tr w14:paraId="3C904F0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04" w:type="dxa"/>
            <w:vMerge w:val="continue"/>
            <w:tcBorders>
              <w:tl2br w:val="nil"/>
              <w:tr2bl w:val="nil"/>
            </w:tcBorders>
            <w:vAlign w:val="center"/>
          </w:tcPr>
          <w:p w14:paraId="54E87B70">
            <w:pPr>
              <w:ind w:left="-105" w:right="-105"/>
              <w:jc w:val="center"/>
              <w:rPr>
                <w:rFonts w:ascii="Times New Roman" w:hAnsi="Times New Roman" w:cs="Times New Roman"/>
                <w:color w:val="auto"/>
                <w:sz w:val="21"/>
                <w:szCs w:val="21"/>
                <w:highlight w:val="none"/>
              </w:rPr>
            </w:pPr>
          </w:p>
        </w:tc>
        <w:tc>
          <w:tcPr>
            <w:tcW w:w="1004" w:type="dxa"/>
            <w:vMerge w:val="continue"/>
            <w:tcBorders>
              <w:tl2br w:val="nil"/>
              <w:tr2bl w:val="nil"/>
            </w:tcBorders>
            <w:vAlign w:val="center"/>
          </w:tcPr>
          <w:p w14:paraId="625C4EC9">
            <w:pPr>
              <w:ind w:left="-105" w:right="-105"/>
              <w:jc w:val="center"/>
              <w:rPr>
                <w:rFonts w:ascii="Times New Roman" w:hAnsi="Times New Roman" w:cs="Times New Roman"/>
                <w:color w:val="auto"/>
                <w:sz w:val="21"/>
                <w:szCs w:val="21"/>
                <w:highlight w:val="none"/>
              </w:rPr>
            </w:pPr>
          </w:p>
        </w:tc>
        <w:tc>
          <w:tcPr>
            <w:tcW w:w="1382" w:type="dxa"/>
            <w:tcBorders>
              <w:tl2br w:val="nil"/>
              <w:tr2bl w:val="nil"/>
            </w:tcBorders>
            <w:vAlign w:val="center"/>
          </w:tcPr>
          <w:p w14:paraId="30B979CA">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8:00</w:t>
            </w:r>
          </w:p>
        </w:tc>
        <w:tc>
          <w:tcPr>
            <w:tcW w:w="871" w:type="dxa"/>
            <w:tcBorders>
              <w:tl2br w:val="nil"/>
              <w:tr2bl w:val="nil"/>
            </w:tcBorders>
            <w:vAlign w:val="center"/>
          </w:tcPr>
          <w:p w14:paraId="20FD1C71">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19.5</w:t>
            </w:r>
          </w:p>
        </w:tc>
        <w:tc>
          <w:tcPr>
            <w:tcW w:w="1086" w:type="dxa"/>
            <w:tcBorders>
              <w:tl2br w:val="nil"/>
              <w:tr2bl w:val="nil"/>
            </w:tcBorders>
            <w:vAlign w:val="center"/>
          </w:tcPr>
          <w:p w14:paraId="21F2C3C2">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101.99</w:t>
            </w:r>
          </w:p>
        </w:tc>
        <w:tc>
          <w:tcPr>
            <w:tcW w:w="1087" w:type="dxa"/>
            <w:tcBorders>
              <w:tl2br w:val="nil"/>
              <w:tr2bl w:val="nil"/>
            </w:tcBorders>
            <w:vAlign w:val="center"/>
          </w:tcPr>
          <w:p w14:paraId="20EFB2B1">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51.3</w:t>
            </w:r>
          </w:p>
        </w:tc>
        <w:tc>
          <w:tcPr>
            <w:tcW w:w="1087" w:type="dxa"/>
            <w:tcBorders>
              <w:tl2br w:val="nil"/>
              <w:tr2bl w:val="nil"/>
            </w:tcBorders>
            <w:vAlign w:val="center"/>
          </w:tcPr>
          <w:p w14:paraId="0297F27E">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东南风</w:t>
            </w:r>
          </w:p>
        </w:tc>
        <w:tc>
          <w:tcPr>
            <w:tcW w:w="1087" w:type="dxa"/>
            <w:tcBorders>
              <w:tl2br w:val="nil"/>
              <w:tr2bl w:val="nil"/>
            </w:tcBorders>
            <w:vAlign w:val="center"/>
          </w:tcPr>
          <w:p w14:paraId="5CDA763F">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2.2</w:t>
            </w:r>
          </w:p>
        </w:tc>
      </w:tr>
      <w:tr w14:paraId="4E79333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04" w:type="dxa"/>
            <w:vMerge w:val="continue"/>
            <w:tcBorders>
              <w:tl2br w:val="nil"/>
              <w:tr2bl w:val="nil"/>
            </w:tcBorders>
            <w:vAlign w:val="center"/>
          </w:tcPr>
          <w:p w14:paraId="297FE3F5">
            <w:pPr>
              <w:ind w:left="-105" w:right="-105"/>
              <w:jc w:val="center"/>
              <w:rPr>
                <w:rFonts w:ascii="Times New Roman" w:hAnsi="Times New Roman" w:cs="Times New Roman"/>
                <w:color w:val="auto"/>
                <w:sz w:val="21"/>
                <w:szCs w:val="21"/>
                <w:highlight w:val="none"/>
              </w:rPr>
            </w:pPr>
          </w:p>
        </w:tc>
        <w:tc>
          <w:tcPr>
            <w:tcW w:w="1004" w:type="dxa"/>
            <w:vMerge w:val="continue"/>
            <w:tcBorders>
              <w:tl2br w:val="nil"/>
              <w:tr2bl w:val="nil"/>
            </w:tcBorders>
            <w:vAlign w:val="center"/>
          </w:tcPr>
          <w:p w14:paraId="77E25CA8">
            <w:pPr>
              <w:ind w:left="-105" w:right="-105"/>
              <w:jc w:val="center"/>
              <w:rPr>
                <w:rFonts w:ascii="Times New Roman" w:hAnsi="Times New Roman" w:cs="Times New Roman"/>
                <w:color w:val="auto"/>
                <w:sz w:val="21"/>
                <w:szCs w:val="21"/>
                <w:highlight w:val="none"/>
              </w:rPr>
            </w:pPr>
          </w:p>
        </w:tc>
        <w:tc>
          <w:tcPr>
            <w:tcW w:w="1382" w:type="dxa"/>
            <w:tcBorders>
              <w:tl2br w:val="nil"/>
              <w:tr2bl w:val="nil"/>
            </w:tcBorders>
            <w:vAlign w:val="center"/>
          </w:tcPr>
          <w:p w14:paraId="01060F0C">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14:00</w:t>
            </w:r>
          </w:p>
        </w:tc>
        <w:tc>
          <w:tcPr>
            <w:tcW w:w="871" w:type="dxa"/>
            <w:tcBorders>
              <w:tl2br w:val="nil"/>
              <w:tr2bl w:val="nil"/>
            </w:tcBorders>
            <w:vAlign w:val="center"/>
          </w:tcPr>
          <w:p w14:paraId="141B7AA5">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23.6</w:t>
            </w:r>
          </w:p>
        </w:tc>
        <w:tc>
          <w:tcPr>
            <w:tcW w:w="1086" w:type="dxa"/>
            <w:tcBorders>
              <w:tl2br w:val="nil"/>
              <w:tr2bl w:val="nil"/>
            </w:tcBorders>
            <w:vAlign w:val="center"/>
          </w:tcPr>
          <w:p w14:paraId="0CA591FE">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101.73</w:t>
            </w:r>
          </w:p>
        </w:tc>
        <w:tc>
          <w:tcPr>
            <w:tcW w:w="1087" w:type="dxa"/>
            <w:tcBorders>
              <w:tl2br w:val="nil"/>
              <w:tr2bl w:val="nil"/>
            </w:tcBorders>
            <w:vAlign w:val="center"/>
          </w:tcPr>
          <w:p w14:paraId="1A7391D6">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47.7</w:t>
            </w:r>
          </w:p>
        </w:tc>
        <w:tc>
          <w:tcPr>
            <w:tcW w:w="1087" w:type="dxa"/>
            <w:tcBorders>
              <w:tl2br w:val="nil"/>
              <w:tr2bl w:val="nil"/>
            </w:tcBorders>
            <w:vAlign w:val="center"/>
          </w:tcPr>
          <w:p w14:paraId="19E8871D">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东南风</w:t>
            </w:r>
          </w:p>
        </w:tc>
        <w:tc>
          <w:tcPr>
            <w:tcW w:w="1087" w:type="dxa"/>
            <w:tcBorders>
              <w:tl2br w:val="nil"/>
              <w:tr2bl w:val="nil"/>
            </w:tcBorders>
            <w:vAlign w:val="center"/>
          </w:tcPr>
          <w:p w14:paraId="0FEA4F96">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2.0</w:t>
            </w:r>
          </w:p>
        </w:tc>
      </w:tr>
      <w:tr w14:paraId="58AF74B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04" w:type="dxa"/>
            <w:vMerge w:val="continue"/>
            <w:tcBorders>
              <w:tl2br w:val="nil"/>
              <w:tr2bl w:val="nil"/>
            </w:tcBorders>
            <w:vAlign w:val="center"/>
          </w:tcPr>
          <w:p w14:paraId="64AB47F4">
            <w:pPr>
              <w:ind w:left="-105" w:right="-105"/>
              <w:jc w:val="center"/>
              <w:rPr>
                <w:rFonts w:ascii="Times New Roman" w:hAnsi="Times New Roman" w:cs="Times New Roman"/>
                <w:color w:val="auto"/>
                <w:sz w:val="21"/>
                <w:szCs w:val="21"/>
                <w:highlight w:val="none"/>
              </w:rPr>
            </w:pPr>
          </w:p>
        </w:tc>
        <w:tc>
          <w:tcPr>
            <w:tcW w:w="1004" w:type="dxa"/>
            <w:vMerge w:val="continue"/>
            <w:tcBorders>
              <w:tl2br w:val="nil"/>
              <w:tr2bl w:val="nil"/>
            </w:tcBorders>
            <w:vAlign w:val="center"/>
          </w:tcPr>
          <w:p w14:paraId="535B0AEF">
            <w:pPr>
              <w:ind w:left="-105" w:right="-105"/>
              <w:jc w:val="center"/>
              <w:rPr>
                <w:rFonts w:ascii="Times New Roman" w:hAnsi="Times New Roman" w:cs="Times New Roman"/>
                <w:color w:val="auto"/>
                <w:sz w:val="21"/>
                <w:szCs w:val="21"/>
                <w:highlight w:val="none"/>
              </w:rPr>
            </w:pPr>
          </w:p>
        </w:tc>
        <w:tc>
          <w:tcPr>
            <w:tcW w:w="1382" w:type="dxa"/>
            <w:tcBorders>
              <w:tl2br w:val="nil"/>
              <w:tr2bl w:val="nil"/>
            </w:tcBorders>
            <w:vAlign w:val="center"/>
          </w:tcPr>
          <w:p w14:paraId="1EEE1D16">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20:00</w:t>
            </w:r>
          </w:p>
        </w:tc>
        <w:tc>
          <w:tcPr>
            <w:tcW w:w="871" w:type="dxa"/>
            <w:tcBorders>
              <w:tl2br w:val="nil"/>
              <w:tr2bl w:val="nil"/>
            </w:tcBorders>
            <w:vAlign w:val="center"/>
          </w:tcPr>
          <w:p w14:paraId="430F1AE0">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19.7</w:t>
            </w:r>
          </w:p>
        </w:tc>
        <w:tc>
          <w:tcPr>
            <w:tcW w:w="1086" w:type="dxa"/>
            <w:tcBorders>
              <w:tl2br w:val="nil"/>
              <w:tr2bl w:val="nil"/>
            </w:tcBorders>
            <w:vAlign w:val="center"/>
          </w:tcPr>
          <w:p w14:paraId="21B6CE45">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101.95</w:t>
            </w:r>
          </w:p>
        </w:tc>
        <w:tc>
          <w:tcPr>
            <w:tcW w:w="1087" w:type="dxa"/>
            <w:tcBorders>
              <w:tl2br w:val="nil"/>
              <w:tr2bl w:val="nil"/>
            </w:tcBorders>
            <w:vAlign w:val="center"/>
          </w:tcPr>
          <w:p w14:paraId="204643CA">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50.5</w:t>
            </w:r>
          </w:p>
        </w:tc>
        <w:tc>
          <w:tcPr>
            <w:tcW w:w="1087" w:type="dxa"/>
            <w:tcBorders>
              <w:tl2br w:val="nil"/>
              <w:tr2bl w:val="nil"/>
            </w:tcBorders>
            <w:vAlign w:val="center"/>
          </w:tcPr>
          <w:p w14:paraId="25DBD301">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东南风</w:t>
            </w:r>
          </w:p>
        </w:tc>
        <w:tc>
          <w:tcPr>
            <w:tcW w:w="1087" w:type="dxa"/>
            <w:tcBorders>
              <w:tl2br w:val="nil"/>
              <w:tr2bl w:val="nil"/>
            </w:tcBorders>
            <w:vAlign w:val="center"/>
          </w:tcPr>
          <w:p w14:paraId="10E8BA9A">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2.2</w:t>
            </w:r>
          </w:p>
        </w:tc>
      </w:tr>
      <w:tr w14:paraId="4D8C0E3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04" w:type="dxa"/>
            <w:vMerge w:val="continue"/>
            <w:tcBorders>
              <w:tl2br w:val="nil"/>
              <w:tr2bl w:val="nil"/>
            </w:tcBorders>
            <w:vAlign w:val="center"/>
          </w:tcPr>
          <w:p w14:paraId="26F02366">
            <w:pPr>
              <w:ind w:left="-105" w:right="-105"/>
              <w:jc w:val="center"/>
              <w:rPr>
                <w:rFonts w:ascii="Times New Roman" w:hAnsi="Times New Roman" w:cs="Times New Roman"/>
                <w:color w:val="auto"/>
                <w:sz w:val="21"/>
                <w:szCs w:val="21"/>
                <w:highlight w:val="none"/>
              </w:rPr>
            </w:pPr>
          </w:p>
        </w:tc>
        <w:tc>
          <w:tcPr>
            <w:tcW w:w="1004" w:type="dxa"/>
            <w:vMerge w:val="restart"/>
            <w:tcBorders>
              <w:tl2br w:val="nil"/>
              <w:tr2bl w:val="nil"/>
            </w:tcBorders>
            <w:vAlign w:val="center"/>
          </w:tcPr>
          <w:p w14:paraId="1C4ADA64">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2024年04月26日</w:t>
            </w:r>
          </w:p>
        </w:tc>
        <w:tc>
          <w:tcPr>
            <w:tcW w:w="1382" w:type="dxa"/>
            <w:tcBorders>
              <w:tl2br w:val="nil"/>
              <w:tr2bl w:val="nil"/>
            </w:tcBorders>
            <w:vAlign w:val="center"/>
          </w:tcPr>
          <w:p w14:paraId="5C02E1DB">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2:00</w:t>
            </w:r>
          </w:p>
        </w:tc>
        <w:tc>
          <w:tcPr>
            <w:tcW w:w="871" w:type="dxa"/>
            <w:tcBorders>
              <w:tl2br w:val="nil"/>
              <w:tr2bl w:val="nil"/>
            </w:tcBorders>
            <w:vAlign w:val="center"/>
          </w:tcPr>
          <w:p w14:paraId="109D6908">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17.2</w:t>
            </w:r>
          </w:p>
        </w:tc>
        <w:tc>
          <w:tcPr>
            <w:tcW w:w="1086" w:type="dxa"/>
            <w:tcBorders>
              <w:tl2br w:val="nil"/>
              <w:tr2bl w:val="nil"/>
            </w:tcBorders>
            <w:vAlign w:val="center"/>
          </w:tcPr>
          <w:p w14:paraId="7DCB7708">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102.33</w:t>
            </w:r>
          </w:p>
        </w:tc>
        <w:tc>
          <w:tcPr>
            <w:tcW w:w="1087" w:type="dxa"/>
            <w:tcBorders>
              <w:tl2br w:val="nil"/>
              <w:tr2bl w:val="nil"/>
            </w:tcBorders>
            <w:vAlign w:val="center"/>
          </w:tcPr>
          <w:p w14:paraId="3D49F406">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52.6</w:t>
            </w:r>
          </w:p>
        </w:tc>
        <w:tc>
          <w:tcPr>
            <w:tcW w:w="1087" w:type="dxa"/>
            <w:tcBorders>
              <w:tl2br w:val="nil"/>
              <w:tr2bl w:val="nil"/>
            </w:tcBorders>
            <w:vAlign w:val="center"/>
          </w:tcPr>
          <w:p w14:paraId="64D46415">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东南风</w:t>
            </w:r>
          </w:p>
        </w:tc>
        <w:tc>
          <w:tcPr>
            <w:tcW w:w="1087" w:type="dxa"/>
            <w:tcBorders>
              <w:tl2br w:val="nil"/>
              <w:tr2bl w:val="nil"/>
            </w:tcBorders>
            <w:vAlign w:val="center"/>
          </w:tcPr>
          <w:p w14:paraId="326FDA9B">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2.2</w:t>
            </w:r>
          </w:p>
        </w:tc>
      </w:tr>
      <w:tr w14:paraId="3EE9941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04" w:type="dxa"/>
            <w:vMerge w:val="continue"/>
            <w:tcBorders>
              <w:tl2br w:val="nil"/>
              <w:tr2bl w:val="nil"/>
            </w:tcBorders>
            <w:vAlign w:val="center"/>
          </w:tcPr>
          <w:p w14:paraId="788AC0AF">
            <w:pPr>
              <w:ind w:left="-105" w:right="-105"/>
              <w:jc w:val="center"/>
              <w:rPr>
                <w:rFonts w:ascii="Times New Roman" w:hAnsi="Times New Roman" w:cs="Times New Roman"/>
                <w:color w:val="auto"/>
                <w:sz w:val="21"/>
                <w:szCs w:val="21"/>
                <w:highlight w:val="none"/>
              </w:rPr>
            </w:pPr>
          </w:p>
        </w:tc>
        <w:tc>
          <w:tcPr>
            <w:tcW w:w="1004" w:type="dxa"/>
            <w:vMerge w:val="continue"/>
            <w:tcBorders>
              <w:tl2br w:val="nil"/>
              <w:tr2bl w:val="nil"/>
            </w:tcBorders>
            <w:vAlign w:val="center"/>
          </w:tcPr>
          <w:p w14:paraId="7DFFF4FB">
            <w:pPr>
              <w:ind w:left="-105" w:right="-105"/>
              <w:jc w:val="center"/>
              <w:rPr>
                <w:rFonts w:ascii="Times New Roman" w:hAnsi="Times New Roman" w:cs="Times New Roman"/>
                <w:color w:val="auto"/>
                <w:sz w:val="21"/>
                <w:szCs w:val="21"/>
                <w:highlight w:val="none"/>
              </w:rPr>
            </w:pPr>
          </w:p>
        </w:tc>
        <w:tc>
          <w:tcPr>
            <w:tcW w:w="1382" w:type="dxa"/>
            <w:tcBorders>
              <w:tl2br w:val="nil"/>
              <w:tr2bl w:val="nil"/>
            </w:tcBorders>
            <w:vAlign w:val="center"/>
          </w:tcPr>
          <w:p w14:paraId="4FADB6F3">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8:00</w:t>
            </w:r>
          </w:p>
        </w:tc>
        <w:tc>
          <w:tcPr>
            <w:tcW w:w="871" w:type="dxa"/>
            <w:tcBorders>
              <w:tl2br w:val="nil"/>
              <w:tr2bl w:val="nil"/>
            </w:tcBorders>
            <w:vAlign w:val="center"/>
          </w:tcPr>
          <w:p w14:paraId="3628E54D">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19.4</w:t>
            </w:r>
          </w:p>
        </w:tc>
        <w:tc>
          <w:tcPr>
            <w:tcW w:w="1086" w:type="dxa"/>
            <w:tcBorders>
              <w:tl2br w:val="nil"/>
              <w:tr2bl w:val="nil"/>
            </w:tcBorders>
            <w:vAlign w:val="center"/>
          </w:tcPr>
          <w:p w14:paraId="2E70C770">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101.95</w:t>
            </w:r>
          </w:p>
        </w:tc>
        <w:tc>
          <w:tcPr>
            <w:tcW w:w="1087" w:type="dxa"/>
            <w:tcBorders>
              <w:tl2br w:val="nil"/>
              <w:tr2bl w:val="nil"/>
            </w:tcBorders>
            <w:vAlign w:val="center"/>
          </w:tcPr>
          <w:p w14:paraId="0FB35A9D">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49.9</w:t>
            </w:r>
          </w:p>
        </w:tc>
        <w:tc>
          <w:tcPr>
            <w:tcW w:w="1087" w:type="dxa"/>
            <w:tcBorders>
              <w:tl2br w:val="nil"/>
              <w:tr2bl w:val="nil"/>
            </w:tcBorders>
            <w:vAlign w:val="center"/>
          </w:tcPr>
          <w:p w14:paraId="355EFBF5">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东南风</w:t>
            </w:r>
          </w:p>
        </w:tc>
        <w:tc>
          <w:tcPr>
            <w:tcW w:w="1087" w:type="dxa"/>
            <w:tcBorders>
              <w:tl2br w:val="nil"/>
              <w:tr2bl w:val="nil"/>
            </w:tcBorders>
            <w:vAlign w:val="center"/>
          </w:tcPr>
          <w:p w14:paraId="72BB20D2">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2.2</w:t>
            </w:r>
          </w:p>
        </w:tc>
      </w:tr>
      <w:tr w14:paraId="3FEAB3B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04" w:type="dxa"/>
            <w:vMerge w:val="continue"/>
            <w:tcBorders>
              <w:tl2br w:val="nil"/>
              <w:tr2bl w:val="nil"/>
            </w:tcBorders>
            <w:vAlign w:val="center"/>
          </w:tcPr>
          <w:p w14:paraId="00525B36">
            <w:pPr>
              <w:ind w:left="-105" w:right="-105"/>
              <w:jc w:val="center"/>
              <w:rPr>
                <w:rFonts w:ascii="Times New Roman" w:hAnsi="Times New Roman" w:cs="Times New Roman"/>
                <w:color w:val="auto"/>
                <w:sz w:val="21"/>
                <w:szCs w:val="21"/>
                <w:highlight w:val="none"/>
              </w:rPr>
            </w:pPr>
          </w:p>
        </w:tc>
        <w:tc>
          <w:tcPr>
            <w:tcW w:w="1004" w:type="dxa"/>
            <w:vMerge w:val="continue"/>
            <w:tcBorders>
              <w:tl2br w:val="nil"/>
              <w:tr2bl w:val="nil"/>
            </w:tcBorders>
            <w:vAlign w:val="center"/>
          </w:tcPr>
          <w:p w14:paraId="05DA816F">
            <w:pPr>
              <w:ind w:left="-105" w:right="-105"/>
              <w:jc w:val="center"/>
              <w:rPr>
                <w:rFonts w:ascii="Times New Roman" w:hAnsi="Times New Roman" w:cs="Times New Roman"/>
                <w:color w:val="auto"/>
                <w:sz w:val="21"/>
                <w:szCs w:val="21"/>
                <w:highlight w:val="none"/>
              </w:rPr>
            </w:pPr>
          </w:p>
        </w:tc>
        <w:tc>
          <w:tcPr>
            <w:tcW w:w="1382" w:type="dxa"/>
            <w:tcBorders>
              <w:tl2br w:val="nil"/>
              <w:tr2bl w:val="nil"/>
            </w:tcBorders>
            <w:vAlign w:val="center"/>
          </w:tcPr>
          <w:p w14:paraId="7F11E057">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14:00</w:t>
            </w:r>
          </w:p>
        </w:tc>
        <w:tc>
          <w:tcPr>
            <w:tcW w:w="871" w:type="dxa"/>
            <w:tcBorders>
              <w:tl2br w:val="nil"/>
              <w:tr2bl w:val="nil"/>
            </w:tcBorders>
            <w:vAlign w:val="center"/>
          </w:tcPr>
          <w:p w14:paraId="78A7EDEF">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22.4</w:t>
            </w:r>
          </w:p>
        </w:tc>
        <w:tc>
          <w:tcPr>
            <w:tcW w:w="1086" w:type="dxa"/>
            <w:tcBorders>
              <w:tl2br w:val="nil"/>
              <w:tr2bl w:val="nil"/>
            </w:tcBorders>
            <w:vAlign w:val="center"/>
          </w:tcPr>
          <w:p w14:paraId="01C17AC3">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101.65</w:t>
            </w:r>
          </w:p>
        </w:tc>
        <w:tc>
          <w:tcPr>
            <w:tcW w:w="1087" w:type="dxa"/>
            <w:tcBorders>
              <w:tl2br w:val="nil"/>
              <w:tr2bl w:val="nil"/>
            </w:tcBorders>
            <w:vAlign w:val="center"/>
          </w:tcPr>
          <w:p w14:paraId="19B46BD0">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46.8</w:t>
            </w:r>
          </w:p>
        </w:tc>
        <w:tc>
          <w:tcPr>
            <w:tcW w:w="1087" w:type="dxa"/>
            <w:tcBorders>
              <w:tl2br w:val="nil"/>
              <w:tr2bl w:val="nil"/>
            </w:tcBorders>
            <w:vAlign w:val="center"/>
          </w:tcPr>
          <w:p w14:paraId="6165A661">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东南风</w:t>
            </w:r>
          </w:p>
        </w:tc>
        <w:tc>
          <w:tcPr>
            <w:tcW w:w="1087" w:type="dxa"/>
            <w:tcBorders>
              <w:tl2br w:val="nil"/>
              <w:tr2bl w:val="nil"/>
            </w:tcBorders>
            <w:vAlign w:val="center"/>
          </w:tcPr>
          <w:p w14:paraId="4BC7FE4D">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2.0</w:t>
            </w:r>
          </w:p>
        </w:tc>
      </w:tr>
      <w:tr w14:paraId="1BC7A90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04" w:type="dxa"/>
            <w:vMerge w:val="continue"/>
            <w:tcBorders>
              <w:tl2br w:val="nil"/>
              <w:tr2bl w:val="nil"/>
            </w:tcBorders>
            <w:vAlign w:val="center"/>
          </w:tcPr>
          <w:p w14:paraId="14D99864">
            <w:pPr>
              <w:ind w:left="-105" w:right="-105"/>
              <w:jc w:val="center"/>
              <w:rPr>
                <w:rFonts w:ascii="Times New Roman" w:hAnsi="Times New Roman" w:cs="Times New Roman"/>
                <w:color w:val="auto"/>
                <w:sz w:val="21"/>
                <w:szCs w:val="21"/>
                <w:highlight w:val="none"/>
              </w:rPr>
            </w:pPr>
          </w:p>
        </w:tc>
        <w:tc>
          <w:tcPr>
            <w:tcW w:w="1004" w:type="dxa"/>
            <w:vMerge w:val="continue"/>
            <w:tcBorders>
              <w:tl2br w:val="nil"/>
              <w:tr2bl w:val="nil"/>
            </w:tcBorders>
            <w:vAlign w:val="center"/>
          </w:tcPr>
          <w:p w14:paraId="35589329">
            <w:pPr>
              <w:ind w:left="-105" w:right="-105"/>
              <w:jc w:val="center"/>
              <w:rPr>
                <w:rFonts w:ascii="Times New Roman" w:hAnsi="Times New Roman" w:cs="Times New Roman"/>
                <w:color w:val="auto"/>
                <w:sz w:val="21"/>
                <w:szCs w:val="21"/>
                <w:highlight w:val="none"/>
              </w:rPr>
            </w:pPr>
          </w:p>
        </w:tc>
        <w:tc>
          <w:tcPr>
            <w:tcW w:w="1382" w:type="dxa"/>
            <w:tcBorders>
              <w:tl2br w:val="nil"/>
              <w:tr2bl w:val="nil"/>
            </w:tcBorders>
            <w:vAlign w:val="center"/>
          </w:tcPr>
          <w:p w14:paraId="01FA6DF7">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20:00</w:t>
            </w:r>
          </w:p>
        </w:tc>
        <w:tc>
          <w:tcPr>
            <w:tcW w:w="871" w:type="dxa"/>
            <w:tcBorders>
              <w:tl2br w:val="nil"/>
              <w:tr2bl w:val="nil"/>
            </w:tcBorders>
            <w:vAlign w:val="center"/>
          </w:tcPr>
          <w:p w14:paraId="08400823">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19.8</w:t>
            </w:r>
          </w:p>
        </w:tc>
        <w:tc>
          <w:tcPr>
            <w:tcW w:w="1086" w:type="dxa"/>
            <w:tcBorders>
              <w:tl2br w:val="nil"/>
              <w:tr2bl w:val="nil"/>
            </w:tcBorders>
            <w:vAlign w:val="center"/>
          </w:tcPr>
          <w:p w14:paraId="777EEBF5">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101.97</w:t>
            </w:r>
          </w:p>
        </w:tc>
        <w:tc>
          <w:tcPr>
            <w:tcW w:w="1087" w:type="dxa"/>
            <w:tcBorders>
              <w:tl2br w:val="nil"/>
              <w:tr2bl w:val="nil"/>
            </w:tcBorders>
            <w:vAlign w:val="center"/>
          </w:tcPr>
          <w:p w14:paraId="360C2C71">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48.8</w:t>
            </w:r>
          </w:p>
        </w:tc>
        <w:tc>
          <w:tcPr>
            <w:tcW w:w="1087" w:type="dxa"/>
            <w:tcBorders>
              <w:tl2br w:val="nil"/>
              <w:tr2bl w:val="nil"/>
            </w:tcBorders>
            <w:vAlign w:val="center"/>
          </w:tcPr>
          <w:p w14:paraId="46C2D917">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东南风</w:t>
            </w:r>
          </w:p>
        </w:tc>
        <w:tc>
          <w:tcPr>
            <w:tcW w:w="1087" w:type="dxa"/>
            <w:tcBorders>
              <w:tl2br w:val="nil"/>
              <w:tr2bl w:val="nil"/>
            </w:tcBorders>
            <w:vAlign w:val="center"/>
          </w:tcPr>
          <w:p w14:paraId="7CF8043F">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2.0</w:t>
            </w:r>
          </w:p>
        </w:tc>
      </w:tr>
      <w:tr w14:paraId="1337048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04" w:type="dxa"/>
            <w:vMerge w:val="continue"/>
            <w:tcBorders>
              <w:tl2br w:val="nil"/>
              <w:tr2bl w:val="nil"/>
            </w:tcBorders>
            <w:vAlign w:val="center"/>
          </w:tcPr>
          <w:p w14:paraId="6904FD38">
            <w:pPr>
              <w:ind w:left="-105" w:right="-105"/>
              <w:jc w:val="center"/>
              <w:rPr>
                <w:rFonts w:ascii="Times New Roman" w:hAnsi="Times New Roman" w:cs="Times New Roman"/>
                <w:color w:val="auto"/>
                <w:sz w:val="21"/>
                <w:szCs w:val="21"/>
                <w:highlight w:val="none"/>
              </w:rPr>
            </w:pPr>
          </w:p>
        </w:tc>
        <w:tc>
          <w:tcPr>
            <w:tcW w:w="1004" w:type="dxa"/>
            <w:vMerge w:val="restart"/>
            <w:tcBorders>
              <w:tl2br w:val="nil"/>
              <w:tr2bl w:val="nil"/>
            </w:tcBorders>
            <w:vAlign w:val="center"/>
          </w:tcPr>
          <w:p w14:paraId="09E726CE">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2024年04月27日</w:t>
            </w:r>
          </w:p>
        </w:tc>
        <w:tc>
          <w:tcPr>
            <w:tcW w:w="1382" w:type="dxa"/>
            <w:tcBorders>
              <w:tl2br w:val="nil"/>
              <w:tr2bl w:val="nil"/>
            </w:tcBorders>
            <w:vAlign w:val="center"/>
          </w:tcPr>
          <w:p w14:paraId="33DE8099">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2:00</w:t>
            </w:r>
          </w:p>
        </w:tc>
        <w:tc>
          <w:tcPr>
            <w:tcW w:w="871" w:type="dxa"/>
            <w:tcBorders>
              <w:tl2br w:val="nil"/>
              <w:tr2bl w:val="nil"/>
            </w:tcBorders>
            <w:vAlign w:val="center"/>
          </w:tcPr>
          <w:p w14:paraId="679819C0">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19.2</w:t>
            </w:r>
          </w:p>
        </w:tc>
        <w:tc>
          <w:tcPr>
            <w:tcW w:w="1086" w:type="dxa"/>
            <w:tcBorders>
              <w:tl2br w:val="nil"/>
              <w:tr2bl w:val="nil"/>
            </w:tcBorders>
            <w:vAlign w:val="center"/>
          </w:tcPr>
          <w:p w14:paraId="01A53F55">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102.33</w:t>
            </w:r>
          </w:p>
        </w:tc>
        <w:tc>
          <w:tcPr>
            <w:tcW w:w="1087" w:type="dxa"/>
            <w:tcBorders>
              <w:tl2br w:val="nil"/>
              <w:tr2bl w:val="nil"/>
            </w:tcBorders>
            <w:vAlign w:val="center"/>
          </w:tcPr>
          <w:p w14:paraId="0D88668E">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52.6</w:t>
            </w:r>
          </w:p>
        </w:tc>
        <w:tc>
          <w:tcPr>
            <w:tcW w:w="1087" w:type="dxa"/>
            <w:tcBorders>
              <w:tl2br w:val="nil"/>
              <w:tr2bl w:val="nil"/>
            </w:tcBorders>
            <w:vAlign w:val="center"/>
          </w:tcPr>
          <w:p w14:paraId="7D799E1C">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东南风</w:t>
            </w:r>
          </w:p>
        </w:tc>
        <w:tc>
          <w:tcPr>
            <w:tcW w:w="1087" w:type="dxa"/>
            <w:tcBorders>
              <w:tl2br w:val="nil"/>
              <w:tr2bl w:val="nil"/>
            </w:tcBorders>
            <w:vAlign w:val="center"/>
          </w:tcPr>
          <w:p w14:paraId="5B976AD8">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2.3</w:t>
            </w:r>
          </w:p>
        </w:tc>
      </w:tr>
      <w:tr w14:paraId="542FF23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04" w:type="dxa"/>
            <w:vMerge w:val="continue"/>
            <w:tcBorders>
              <w:tl2br w:val="nil"/>
              <w:tr2bl w:val="nil"/>
            </w:tcBorders>
            <w:vAlign w:val="center"/>
          </w:tcPr>
          <w:p w14:paraId="29300161">
            <w:pPr>
              <w:ind w:left="-105" w:right="-105"/>
              <w:jc w:val="center"/>
              <w:rPr>
                <w:rFonts w:ascii="Times New Roman" w:hAnsi="Times New Roman" w:cs="Times New Roman"/>
                <w:color w:val="auto"/>
                <w:sz w:val="21"/>
                <w:szCs w:val="21"/>
                <w:highlight w:val="none"/>
              </w:rPr>
            </w:pPr>
          </w:p>
        </w:tc>
        <w:tc>
          <w:tcPr>
            <w:tcW w:w="1004" w:type="dxa"/>
            <w:vMerge w:val="continue"/>
            <w:tcBorders>
              <w:tl2br w:val="nil"/>
              <w:tr2bl w:val="nil"/>
            </w:tcBorders>
            <w:vAlign w:val="center"/>
          </w:tcPr>
          <w:p w14:paraId="583DBE6A">
            <w:pPr>
              <w:ind w:left="-105" w:right="-105"/>
              <w:jc w:val="center"/>
              <w:rPr>
                <w:rFonts w:ascii="Times New Roman" w:hAnsi="Times New Roman" w:cs="Times New Roman"/>
                <w:color w:val="auto"/>
                <w:sz w:val="21"/>
                <w:szCs w:val="21"/>
                <w:highlight w:val="none"/>
              </w:rPr>
            </w:pPr>
          </w:p>
        </w:tc>
        <w:tc>
          <w:tcPr>
            <w:tcW w:w="1382" w:type="dxa"/>
            <w:tcBorders>
              <w:tl2br w:val="nil"/>
              <w:tr2bl w:val="nil"/>
            </w:tcBorders>
            <w:vAlign w:val="center"/>
          </w:tcPr>
          <w:p w14:paraId="14B3A1FD">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8:00</w:t>
            </w:r>
          </w:p>
        </w:tc>
        <w:tc>
          <w:tcPr>
            <w:tcW w:w="871" w:type="dxa"/>
            <w:tcBorders>
              <w:tl2br w:val="nil"/>
              <w:tr2bl w:val="nil"/>
            </w:tcBorders>
            <w:vAlign w:val="center"/>
          </w:tcPr>
          <w:p w14:paraId="0BBACD52">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21.2</w:t>
            </w:r>
          </w:p>
        </w:tc>
        <w:tc>
          <w:tcPr>
            <w:tcW w:w="1086" w:type="dxa"/>
            <w:tcBorders>
              <w:tl2br w:val="nil"/>
              <w:tr2bl w:val="nil"/>
            </w:tcBorders>
            <w:vAlign w:val="center"/>
          </w:tcPr>
          <w:p w14:paraId="534C7E06">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101.84</w:t>
            </w:r>
          </w:p>
        </w:tc>
        <w:tc>
          <w:tcPr>
            <w:tcW w:w="1087" w:type="dxa"/>
            <w:tcBorders>
              <w:tl2br w:val="nil"/>
              <w:tr2bl w:val="nil"/>
            </w:tcBorders>
            <w:vAlign w:val="center"/>
          </w:tcPr>
          <w:p w14:paraId="327C5244">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49.4</w:t>
            </w:r>
          </w:p>
        </w:tc>
        <w:tc>
          <w:tcPr>
            <w:tcW w:w="1087" w:type="dxa"/>
            <w:tcBorders>
              <w:tl2br w:val="nil"/>
              <w:tr2bl w:val="nil"/>
            </w:tcBorders>
            <w:vAlign w:val="center"/>
          </w:tcPr>
          <w:p w14:paraId="66F74348">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东南风</w:t>
            </w:r>
          </w:p>
        </w:tc>
        <w:tc>
          <w:tcPr>
            <w:tcW w:w="1087" w:type="dxa"/>
            <w:tcBorders>
              <w:tl2br w:val="nil"/>
              <w:tr2bl w:val="nil"/>
            </w:tcBorders>
            <w:vAlign w:val="center"/>
          </w:tcPr>
          <w:p w14:paraId="559BEE46">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2.0</w:t>
            </w:r>
          </w:p>
        </w:tc>
      </w:tr>
      <w:tr w14:paraId="69B76BC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04" w:type="dxa"/>
            <w:vMerge w:val="continue"/>
            <w:tcBorders>
              <w:tl2br w:val="nil"/>
              <w:tr2bl w:val="nil"/>
            </w:tcBorders>
            <w:vAlign w:val="center"/>
          </w:tcPr>
          <w:p w14:paraId="50AF60B7">
            <w:pPr>
              <w:ind w:left="-105" w:right="-105"/>
              <w:jc w:val="center"/>
              <w:rPr>
                <w:rFonts w:ascii="Times New Roman" w:hAnsi="Times New Roman" w:cs="Times New Roman"/>
                <w:color w:val="auto"/>
                <w:sz w:val="21"/>
                <w:szCs w:val="21"/>
                <w:highlight w:val="none"/>
              </w:rPr>
            </w:pPr>
          </w:p>
        </w:tc>
        <w:tc>
          <w:tcPr>
            <w:tcW w:w="1004" w:type="dxa"/>
            <w:vMerge w:val="continue"/>
            <w:tcBorders>
              <w:tl2br w:val="nil"/>
              <w:tr2bl w:val="nil"/>
            </w:tcBorders>
            <w:vAlign w:val="center"/>
          </w:tcPr>
          <w:p w14:paraId="1AA037EA">
            <w:pPr>
              <w:ind w:left="-105" w:right="-105"/>
              <w:jc w:val="center"/>
              <w:rPr>
                <w:rFonts w:ascii="Times New Roman" w:hAnsi="Times New Roman" w:cs="Times New Roman"/>
                <w:color w:val="auto"/>
                <w:sz w:val="21"/>
                <w:szCs w:val="21"/>
                <w:highlight w:val="none"/>
              </w:rPr>
            </w:pPr>
          </w:p>
        </w:tc>
        <w:tc>
          <w:tcPr>
            <w:tcW w:w="1382" w:type="dxa"/>
            <w:tcBorders>
              <w:tl2br w:val="nil"/>
              <w:tr2bl w:val="nil"/>
            </w:tcBorders>
            <w:vAlign w:val="center"/>
          </w:tcPr>
          <w:p w14:paraId="303D29F1">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14:00</w:t>
            </w:r>
          </w:p>
        </w:tc>
        <w:tc>
          <w:tcPr>
            <w:tcW w:w="871" w:type="dxa"/>
            <w:tcBorders>
              <w:tl2br w:val="nil"/>
              <w:tr2bl w:val="nil"/>
            </w:tcBorders>
            <w:vAlign w:val="center"/>
          </w:tcPr>
          <w:p w14:paraId="4AB7A690">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25.4</w:t>
            </w:r>
          </w:p>
        </w:tc>
        <w:tc>
          <w:tcPr>
            <w:tcW w:w="1086" w:type="dxa"/>
            <w:tcBorders>
              <w:tl2br w:val="nil"/>
              <w:tr2bl w:val="nil"/>
            </w:tcBorders>
            <w:vAlign w:val="center"/>
          </w:tcPr>
          <w:p w14:paraId="475F05D3">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101.61</w:t>
            </w:r>
          </w:p>
        </w:tc>
        <w:tc>
          <w:tcPr>
            <w:tcW w:w="1087" w:type="dxa"/>
            <w:tcBorders>
              <w:tl2br w:val="nil"/>
              <w:tr2bl w:val="nil"/>
            </w:tcBorders>
            <w:vAlign w:val="center"/>
          </w:tcPr>
          <w:p w14:paraId="470B30D9">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47.7</w:t>
            </w:r>
          </w:p>
        </w:tc>
        <w:tc>
          <w:tcPr>
            <w:tcW w:w="1087" w:type="dxa"/>
            <w:tcBorders>
              <w:tl2br w:val="nil"/>
              <w:tr2bl w:val="nil"/>
            </w:tcBorders>
            <w:vAlign w:val="center"/>
          </w:tcPr>
          <w:p w14:paraId="5ED42A78">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东南风</w:t>
            </w:r>
          </w:p>
        </w:tc>
        <w:tc>
          <w:tcPr>
            <w:tcW w:w="1087" w:type="dxa"/>
            <w:tcBorders>
              <w:tl2br w:val="nil"/>
              <w:tr2bl w:val="nil"/>
            </w:tcBorders>
            <w:vAlign w:val="center"/>
          </w:tcPr>
          <w:p w14:paraId="49857316">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2.0</w:t>
            </w:r>
          </w:p>
        </w:tc>
      </w:tr>
      <w:tr w14:paraId="7553679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04" w:type="dxa"/>
            <w:vMerge w:val="continue"/>
            <w:tcBorders>
              <w:tl2br w:val="nil"/>
              <w:tr2bl w:val="nil"/>
            </w:tcBorders>
            <w:vAlign w:val="center"/>
          </w:tcPr>
          <w:p w14:paraId="03A93AC1">
            <w:pPr>
              <w:ind w:left="-105" w:right="-105"/>
              <w:jc w:val="center"/>
              <w:rPr>
                <w:rFonts w:ascii="Times New Roman" w:hAnsi="Times New Roman" w:cs="Times New Roman"/>
                <w:color w:val="auto"/>
                <w:sz w:val="21"/>
                <w:szCs w:val="21"/>
                <w:highlight w:val="none"/>
              </w:rPr>
            </w:pPr>
          </w:p>
        </w:tc>
        <w:tc>
          <w:tcPr>
            <w:tcW w:w="1004" w:type="dxa"/>
            <w:vMerge w:val="continue"/>
            <w:tcBorders>
              <w:tl2br w:val="nil"/>
              <w:tr2bl w:val="nil"/>
            </w:tcBorders>
            <w:vAlign w:val="center"/>
          </w:tcPr>
          <w:p w14:paraId="6243104A">
            <w:pPr>
              <w:ind w:left="-105" w:right="-105"/>
              <w:jc w:val="center"/>
              <w:rPr>
                <w:rFonts w:ascii="Times New Roman" w:hAnsi="Times New Roman" w:cs="Times New Roman"/>
                <w:color w:val="auto"/>
                <w:sz w:val="21"/>
                <w:szCs w:val="21"/>
                <w:highlight w:val="none"/>
              </w:rPr>
            </w:pPr>
          </w:p>
        </w:tc>
        <w:tc>
          <w:tcPr>
            <w:tcW w:w="1382" w:type="dxa"/>
            <w:tcBorders>
              <w:tl2br w:val="nil"/>
              <w:tr2bl w:val="nil"/>
            </w:tcBorders>
            <w:vAlign w:val="center"/>
          </w:tcPr>
          <w:p w14:paraId="4E6C13D7">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20:00</w:t>
            </w:r>
          </w:p>
        </w:tc>
        <w:tc>
          <w:tcPr>
            <w:tcW w:w="871" w:type="dxa"/>
            <w:tcBorders>
              <w:tl2br w:val="nil"/>
              <w:tr2bl w:val="nil"/>
            </w:tcBorders>
            <w:vAlign w:val="center"/>
          </w:tcPr>
          <w:p w14:paraId="0750F012">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21.0</w:t>
            </w:r>
          </w:p>
        </w:tc>
        <w:tc>
          <w:tcPr>
            <w:tcW w:w="1086" w:type="dxa"/>
            <w:tcBorders>
              <w:tl2br w:val="nil"/>
              <w:tr2bl w:val="nil"/>
            </w:tcBorders>
            <w:vAlign w:val="center"/>
          </w:tcPr>
          <w:p w14:paraId="3327EA45">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101.86</w:t>
            </w:r>
          </w:p>
        </w:tc>
        <w:tc>
          <w:tcPr>
            <w:tcW w:w="1087" w:type="dxa"/>
            <w:tcBorders>
              <w:tl2br w:val="nil"/>
              <w:tr2bl w:val="nil"/>
            </w:tcBorders>
            <w:vAlign w:val="center"/>
          </w:tcPr>
          <w:p w14:paraId="27A0D568">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49.7</w:t>
            </w:r>
          </w:p>
        </w:tc>
        <w:tc>
          <w:tcPr>
            <w:tcW w:w="1087" w:type="dxa"/>
            <w:tcBorders>
              <w:tl2br w:val="nil"/>
              <w:tr2bl w:val="nil"/>
            </w:tcBorders>
            <w:vAlign w:val="center"/>
          </w:tcPr>
          <w:p w14:paraId="25A36DD8">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东南风</w:t>
            </w:r>
          </w:p>
        </w:tc>
        <w:tc>
          <w:tcPr>
            <w:tcW w:w="1087" w:type="dxa"/>
            <w:tcBorders>
              <w:tl2br w:val="nil"/>
              <w:tr2bl w:val="nil"/>
            </w:tcBorders>
            <w:vAlign w:val="center"/>
          </w:tcPr>
          <w:p w14:paraId="631D091E">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2.1</w:t>
            </w:r>
          </w:p>
        </w:tc>
      </w:tr>
      <w:tr w14:paraId="4C96667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04" w:type="dxa"/>
            <w:vMerge w:val="continue"/>
            <w:tcBorders>
              <w:tl2br w:val="nil"/>
              <w:tr2bl w:val="nil"/>
            </w:tcBorders>
            <w:vAlign w:val="center"/>
          </w:tcPr>
          <w:p w14:paraId="6E77D0AC">
            <w:pPr>
              <w:ind w:left="-105" w:right="-105"/>
              <w:jc w:val="center"/>
              <w:rPr>
                <w:rFonts w:ascii="Times New Roman" w:hAnsi="Times New Roman" w:cs="Times New Roman"/>
                <w:color w:val="auto"/>
                <w:sz w:val="21"/>
                <w:szCs w:val="21"/>
                <w:highlight w:val="none"/>
              </w:rPr>
            </w:pPr>
          </w:p>
        </w:tc>
        <w:tc>
          <w:tcPr>
            <w:tcW w:w="1004" w:type="dxa"/>
            <w:vMerge w:val="restart"/>
            <w:tcBorders>
              <w:tl2br w:val="nil"/>
              <w:tr2bl w:val="nil"/>
            </w:tcBorders>
            <w:vAlign w:val="center"/>
          </w:tcPr>
          <w:p w14:paraId="021F4EB4">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2024年04月28日</w:t>
            </w:r>
          </w:p>
        </w:tc>
        <w:tc>
          <w:tcPr>
            <w:tcW w:w="1382" w:type="dxa"/>
            <w:tcBorders>
              <w:tl2br w:val="nil"/>
              <w:tr2bl w:val="nil"/>
            </w:tcBorders>
            <w:vAlign w:val="center"/>
          </w:tcPr>
          <w:p w14:paraId="40A8C4CC">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2:00</w:t>
            </w:r>
          </w:p>
        </w:tc>
        <w:tc>
          <w:tcPr>
            <w:tcW w:w="871" w:type="dxa"/>
            <w:tcBorders>
              <w:tl2br w:val="nil"/>
              <w:tr2bl w:val="nil"/>
            </w:tcBorders>
            <w:vAlign w:val="center"/>
          </w:tcPr>
          <w:p w14:paraId="6CA64060">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18.5</w:t>
            </w:r>
          </w:p>
        </w:tc>
        <w:tc>
          <w:tcPr>
            <w:tcW w:w="1086" w:type="dxa"/>
            <w:tcBorders>
              <w:tl2br w:val="nil"/>
              <w:tr2bl w:val="nil"/>
            </w:tcBorders>
            <w:vAlign w:val="center"/>
          </w:tcPr>
          <w:p w14:paraId="3A1E6BFD">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102.27</w:t>
            </w:r>
          </w:p>
        </w:tc>
        <w:tc>
          <w:tcPr>
            <w:tcW w:w="1087" w:type="dxa"/>
            <w:tcBorders>
              <w:tl2br w:val="nil"/>
              <w:tr2bl w:val="nil"/>
            </w:tcBorders>
            <w:vAlign w:val="center"/>
          </w:tcPr>
          <w:p w14:paraId="37FFE3CE">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61.5</w:t>
            </w:r>
          </w:p>
        </w:tc>
        <w:tc>
          <w:tcPr>
            <w:tcW w:w="1087" w:type="dxa"/>
            <w:tcBorders>
              <w:tl2br w:val="nil"/>
              <w:tr2bl w:val="nil"/>
            </w:tcBorders>
            <w:vAlign w:val="center"/>
          </w:tcPr>
          <w:p w14:paraId="0334112E">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东北风</w:t>
            </w:r>
          </w:p>
        </w:tc>
        <w:tc>
          <w:tcPr>
            <w:tcW w:w="1087" w:type="dxa"/>
            <w:tcBorders>
              <w:tl2br w:val="nil"/>
              <w:tr2bl w:val="nil"/>
            </w:tcBorders>
            <w:vAlign w:val="center"/>
          </w:tcPr>
          <w:p w14:paraId="513F770E">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2.2</w:t>
            </w:r>
          </w:p>
        </w:tc>
      </w:tr>
      <w:tr w14:paraId="6527386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04" w:type="dxa"/>
            <w:vMerge w:val="continue"/>
            <w:tcBorders>
              <w:tl2br w:val="nil"/>
              <w:tr2bl w:val="nil"/>
            </w:tcBorders>
            <w:vAlign w:val="center"/>
          </w:tcPr>
          <w:p w14:paraId="684A56F5">
            <w:pPr>
              <w:ind w:left="-105" w:right="-105"/>
              <w:jc w:val="center"/>
              <w:rPr>
                <w:rFonts w:ascii="Times New Roman" w:hAnsi="Times New Roman" w:cs="Times New Roman"/>
                <w:color w:val="auto"/>
                <w:sz w:val="21"/>
                <w:szCs w:val="21"/>
                <w:highlight w:val="none"/>
              </w:rPr>
            </w:pPr>
          </w:p>
        </w:tc>
        <w:tc>
          <w:tcPr>
            <w:tcW w:w="1004" w:type="dxa"/>
            <w:vMerge w:val="continue"/>
            <w:tcBorders>
              <w:tl2br w:val="nil"/>
              <w:tr2bl w:val="nil"/>
            </w:tcBorders>
            <w:vAlign w:val="center"/>
          </w:tcPr>
          <w:p w14:paraId="6B501ED5">
            <w:pPr>
              <w:ind w:left="-105" w:right="-105"/>
              <w:jc w:val="center"/>
              <w:rPr>
                <w:rFonts w:ascii="Times New Roman" w:hAnsi="Times New Roman" w:cs="Times New Roman"/>
                <w:color w:val="auto"/>
                <w:sz w:val="21"/>
                <w:szCs w:val="21"/>
                <w:highlight w:val="none"/>
              </w:rPr>
            </w:pPr>
          </w:p>
        </w:tc>
        <w:tc>
          <w:tcPr>
            <w:tcW w:w="1382" w:type="dxa"/>
            <w:tcBorders>
              <w:tl2br w:val="nil"/>
              <w:tr2bl w:val="nil"/>
            </w:tcBorders>
            <w:vAlign w:val="center"/>
          </w:tcPr>
          <w:p w14:paraId="6A92A1EE">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8:00</w:t>
            </w:r>
          </w:p>
        </w:tc>
        <w:tc>
          <w:tcPr>
            <w:tcW w:w="871" w:type="dxa"/>
            <w:tcBorders>
              <w:tl2br w:val="nil"/>
              <w:tr2bl w:val="nil"/>
            </w:tcBorders>
            <w:vAlign w:val="center"/>
          </w:tcPr>
          <w:p w14:paraId="06EE2C56">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20.5</w:t>
            </w:r>
          </w:p>
        </w:tc>
        <w:tc>
          <w:tcPr>
            <w:tcW w:w="1086" w:type="dxa"/>
            <w:tcBorders>
              <w:tl2br w:val="nil"/>
              <w:tr2bl w:val="nil"/>
            </w:tcBorders>
            <w:vAlign w:val="center"/>
          </w:tcPr>
          <w:p w14:paraId="3E162CAA">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101.84</w:t>
            </w:r>
          </w:p>
        </w:tc>
        <w:tc>
          <w:tcPr>
            <w:tcW w:w="1087" w:type="dxa"/>
            <w:tcBorders>
              <w:tl2br w:val="nil"/>
              <w:tr2bl w:val="nil"/>
            </w:tcBorders>
            <w:vAlign w:val="center"/>
          </w:tcPr>
          <w:p w14:paraId="126286F0">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59.1</w:t>
            </w:r>
          </w:p>
        </w:tc>
        <w:tc>
          <w:tcPr>
            <w:tcW w:w="1087" w:type="dxa"/>
            <w:tcBorders>
              <w:tl2br w:val="nil"/>
              <w:tr2bl w:val="nil"/>
            </w:tcBorders>
            <w:vAlign w:val="center"/>
          </w:tcPr>
          <w:p w14:paraId="380ED157">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东北风</w:t>
            </w:r>
          </w:p>
        </w:tc>
        <w:tc>
          <w:tcPr>
            <w:tcW w:w="1087" w:type="dxa"/>
            <w:tcBorders>
              <w:tl2br w:val="nil"/>
              <w:tr2bl w:val="nil"/>
            </w:tcBorders>
            <w:vAlign w:val="center"/>
          </w:tcPr>
          <w:p w14:paraId="2A541852">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2.1</w:t>
            </w:r>
          </w:p>
        </w:tc>
      </w:tr>
      <w:tr w14:paraId="4E8DF7C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04" w:type="dxa"/>
            <w:vMerge w:val="continue"/>
            <w:tcBorders>
              <w:tl2br w:val="nil"/>
              <w:tr2bl w:val="nil"/>
            </w:tcBorders>
            <w:vAlign w:val="center"/>
          </w:tcPr>
          <w:p w14:paraId="04D64661">
            <w:pPr>
              <w:ind w:left="-105" w:right="-105"/>
              <w:jc w:val="center"/>
              <w:rPr>
                <w:rFonts w:ascii="Times New Roman" w:hAnsi="Times New Roman" w:cs="Times New Roman"/>
                <w:color w:val="auto"/>
                <w:sz w:val="21"/>
                <w:szCs w:val="21"/>
                <w:highlight w:val="none"/>
              </w:rPr>
            </w:pPr>
          </w:p>
        </w:tc>
        <w:tc>
          <w:tcPr>
            <w:tcW w:w="1004" w:type="dxa"/>
            <w:vMerge w:val="continue"/>
            <w:tcBorders>
              <w:tl2br w:val="nil"/>
              <w:tr2bl w:val="nil"/>
            </w:tcBorders>
            <w:vAlign w:val="center"/>
          </w:tcPr>
          <w:p w14:paraId="3A73D8C3">
            <w:pPr>
              <w:ind w:left="-105" w:right="-105"/>
              <w:jc w:val="center"/>
              <w:rPr>
                <w:rFonts w:ascii="Times New Roman" w:hAnsi="Times New Roman" w:cs="Times New Roman"/>
                <w:color w:val="auto"/>
                <w:sz w:val="21"/>
                <w:szCs w:val="21"/>
                <w:highlight w:val="none"/>
              </w:rPr>
            </w:pPr>
          </w:p>
        </w:tc>
        <w:tc>
          <w:tcPr>
            <w:tcW w:w="1382" w:type="dxa"/>
            <w:tcBorders>
              <w:tl2br w:val="nil"/>
              <w:tr2bl w:val="nil"/>
            </w:tcBorders>
            <w:vAlign w:val="center"/>
          </w:tcPr>
          <w:p w14:paraId="2D25619F">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14:00</w:t>
            </w:r>
          </w:p>
        </w:tc>
        <w:tc>
          <w:tcPr>
            <w:tcW w:w="871" w:type="dxa"/>
            <w:tcBorders>
              <w:tl2br w:val="nil"/>
              <w:tr2bl w:val="nil"/>
            </w:tcBorders>
            <w:vAlign w:val="center"/>
          </w:tcPr>
          <w:p w14:paraId="1AB0F72D">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22.3</w:t>
            </w:r>
          </w:p>
        </w:tc>
        <w:tc>
          <w:tcPr>
            <w:tcW w:w="1086" w:type="dxa"/>
            <w:tcBorders>
              <w:tl2br w:val="nil"/>
              <w:tr2bl w:val="nil"/>
            </w:tcBorders>
            <w:vAlign w:val="center"/>
          </w:tcPr>
          <w:p w14:paraId="424AC229">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101.74</w:t>
            </w:r>
          </w:p>
        </w:tc>
        <w:tc>
          <w:tcPr>
            <w:tcW w:w="1087" w:type="dxa"/>
            <w:tcBorders>
              <w:tl2br w:val="nil"/>
              <w:tr2bl w:val="nil"/>
            </w:tcBorders>
            <w:vAlign w:val="center"/>
          </w:tcPr>
          <w:p w14:paraId="6F175069">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56.5</w:t>
            </w:r>
          </w:p>
        </w:tc>
        <w:tc>
          <w:tcPr>
            <w:tcW w:w="1087" w:type="dxa"/>
            <w:tcBorders>
              <w:tl2br w:val="nil"/>
              <w:tr2bl w:val="nil"/>
            </w:tcBorders>
            <w:vAlign w:val="center"/>
          </w:tcPr>
          <w:p w14:paraId="3AD8824D">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东北风</w:t>
            </w:r>
          </w:p>
        </w:tc>
        <w:tc>
          <w:tcPr>
            <w:tcW w:w="1087" w:type="dxa"/>
            <w:tcBorders>
              <w:tl2br w:val="nil"/>
              <w:tr2bl w:val="nil"/>
            </w:tcBorders>
            <w:vAlign w:val="center"/>
          </w:tcPr>
          <w:p w14:paraId="2C5A72D8">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2.1</w:t>
            </w:r>
          </w:p>
        </w:tc>
      </w:tr>
      <w:tr w14:paraId="036CDA2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04" w:type="dxa"/>
            <w:vMerge w:val="continue"/>
            <w:tcBorders>
              <w:tl2br w:val="nil"/>
              <w:tr2bl w:val="nil"/>
            </w:tcBorders>
            <w:vAlign w:val="center"/>
          </w:tcPr>
          <w:p w14:paraId="47AE95AF">
            <w:pPr>
              <w:ind w:left="-105" w:right="-105"/>
              <w:jc w:val="center"/>
              <w:rPr>
                <w:rFonts w:ascii="Times New Roman" w:hAnsi="Times New Roman" w:cs="Times New Roman"/>
                <w:color w:val="auto"/>
                <w:sz w:val="21"/>
                <w:szCs w:val="21"/>
                <w:highlight w:val="none"/>
              </w:rPr>
            </w:pPr>
          </w:p>
        </w:tc>
        <w:tc>
          <w:tcPr>
            <w:tcW w:w="1004" w:type="dxa"/>
            <w:vMerge w:val="continue"/>
            <w:tcBorders>
              <w:tl2br w:val="nil"/>
              <w:tr2bl w:val="nil"/>
            </w:tcBorders>
            <w:vAlign w:val="center"/>
          </w:tcPr>
          <w:p w14:paraId="363491CF">
            <w:pPr>
              <w:ind w:left="-105" w:right="-105"/>
              <w:jc w:val="center"/>
              <w:rPr>
                <w:rFonts w:ascii="Times New Roman" w:hAnsi="Times New Roman" w:cs="Times New Roman"/>
                <w:color w:val="auto"/>
                <w:sz w:val="21"/>
                <w:szCs w:val="21"/>
                <w:highlight w:val="none"/>
              </w:rPr>
            </w:pPr>
          </w:p>
        </w:tc>
        <w:tc>
          <w:tcPr>
            <w:tcW w:w="1382" w:type="dxa"/>
            <w:tcBorders>
              <w:tl2br w:val="nil"/>
              <w:tr2bl w:val="nil"/>
            </w:tcBorders>
            <w:vAlign w:val="center"/>
          </w:tcPr>
          <w:p w14:paraId="08C7E73B">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20:00</w:t>
            </w:r>
          </w:p>
        </w:tc>
        <w:tc>
          <w:tcPr>
            <w:tcW w:w="871" w:type="dxa"/>
            <w:tcBorders>
              <w:tl2br w:val="nil"/>
              <w:tr2bl w:val="nil"/>
            </w:tcBorders>
            <w:vAlign w:val="center"/>
          </w:tcPr>
          <w:p w14:paraId="1EC9EB01">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19.3</w:t>
            </w:r>
          </w:p>
        </w:tc>
        <w:tc>
          <w:tcPr>
            <w:tcW w:w="1086" w:type="dxa"/>
            <w:tcBorders>
              <w:tl2br w:val="nil"/>
              <w:tr2bl w:val="nil"/>
            </w:tcBorders>
            <w:vAlign w:val="center"/>
          </w:tcPr>
          <w:p w14:paraId="3DAF978F">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101.88</w:t>
            </w:r>
          </w:p>
        </w:tc>
        <w:tc>
          <w:tcPr>
            <w:tcW w:w="1087" w:type="dxa"/>
            <w:tcBorders>
              <w:tl2br w:val="nil"/>
              <w:tr2bl w:val="nil"/>
            </w:tcBorders>
            <w:vAlign w:val="center"/>
          </w:tcPr>
          <w:p w14:paraId="70C0C560">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59.2</w:t>
            </w:r>
          </w:p>
        </w:tc>
        <w:tc>
          <w:tcPr>
            <w:tcW w:w="1087" w:type="dxa"/>
            <w:tcBorders>
              <w:tl2br w:val="nil"/>
              <w:tr2bl w:val="nil"/>
            </w:tcBorders>
            <w:vAlign w:val="center"/>
          </w:tcPr>
          <w:p w14:paraId="6F80CDCE">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东北风</w:t>
            </w:r>
          </w:p>
        </w:tc>
        <w:tc>
          <w:tcPr>
            <w:tcW w:w="1087" w:type="dxa"/>
            <w:tcBorders>
              <w:tl2br w:val="nil"/>
              <w:tr2bl w:val="nil"/>
            </w:tcBorders>
            <w:vAlign w:val="center"/>
          </w:tcPr>
          <w:p w14:paraId="06E938E1">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2.1</w:t>
            </w:r>
          </w:p>
        </w:tc>
      </w:tr>
    </w:tbl>
    <w:p w14:paraId="6071D1AC">
      <w:pPr>
        <w:spacing w:line="360" w:lineRule="auto"/>
        <w:ind w:left="-105" w:right="-105" w:firstLine="480" w:firstLineChars="200"/>
        <w:rPr>
          <w:rFonts w:ascii="Times New Roman" w:hAnsi="Times New Roman"/>
          <w:color w:val="auto"/>
          <w:highlight w:val="none"/>
        </w:rPr>
      </w:pPr>
      <w:r>
        <w:rPr>
          <w:rFonts w:ascii="Times New Roman" w:hAnsi="Times New Roman"/>
          <w:color w:val="auto"/>
          <w:highlight w:val="none"/>
        </w:rPr>
        <w:t>（4）监测结果</w:t>
      </w:r>
    </w:p>
    <w:p w14:paraId="585CE0E2">
      <w:pPr>
        <w:spacing w:line="360" w:lineRule="auto"/>
        <w:ind w:left="-105" w:right="-105" w:firstLine="480" w:firstLineChars="200"/>
        <w:rPr>
          <w:rFonts w:ascii="Times New Roman" w:hAnsi="Times New Roman"/>
          <w:color w:val="auto"/>
          <w:highlight w:val="none"/>
        </w:rPr>
      </w:pPr>
      <w:r>
        <w:rPr>
          <w:rFonts w:hint="eastAsia" w:ascii="Times New Roman" w:hAnsi="Times New Roman"/>
          <w:color w:val="auto"/>
          <w:highlight w:val="none"/>
        </w:rPr>
        <w:t>本次委托无锡市恒信安全技术服务有限公司进行检测，根据出具的检测报告（报告编号：恒信（环）字第HXHJ202404054号），</w:t>
      </w:r>
      <w:r>
        <w:rPr>
          <w:rFonts w:ascii="Times New Roman" w:hAnsi="Times New Roman"/>
          <w:color w:val="auto"/>
          <w:highlight w:val="none"/>
        </w:rPr>
        <w:t>监测点环境空气质量监测结果统计表详见下表。</w:t>
      </w:r>
    </w:p>
    <w:p w14:paraId="593AEB64">
      <w:pPr>
        <w:pStyle w:val="15"/>
        <w:ind w:left="-105" w:right="-105" w:firstLine="482"/>
        <w:rPr>
          <w:rFonts w:eastAsia="宋体" w:cs="Times New Roman"/>
          <w:color w:val="auto"/>
          <w:kern w:val="0"/>
          <w:sz w:val="24"/>
          <w:szCs w:val="24"/>
          <w:highlight w:val="none"/>
        </w:rPr>
      </w:pPr>
      <w:bookmarkStart w:id="341" w:name="_Ref36542933"/>
      <w:r>
        <w:rPr>
          <w:rFonts w:eastAsia="宋体" w:cs="Times New Roman"/>
          <w:color w:val="auto"/>
          <w:sz w:val="24"/>
          <w:szCs w:val="18"/>
          <w:highlight w:val="none"/>
        </w:rPr>
        <w:t>表</w:t>
      </w:r>
      <w:r>
        <w:rPr>
          <w:rFonts w:eastAsia="宋体" w:cs="Times New Roman"/>
          <w:color w:val="auto"/>
          <w:sz w:val="24"/>
          <w:szCs w:val="18"/>
          <w:highlight w:val="none"/>
        </w:rPr>
        <w:fldChar w:fldCharType="begin"/>
      </w:r>
      <w:r>
        <w:rPr>
          <w:rFonts w:eastAsia="宋体" w:cs="Times New Roman"/>
          <w:color w:val="auto"/>
          <w:sz w:val="24"/>
          <w:szCs w:val="18"/>
          <w:highlight w:val="none"/>
        </w:rPr>
        <w:instrText xml:space="preserve"> STYLEREF 2 \s </w:instrText>
      </w:r>
      <w:r>
        <w:rPr>
          <w:rFonts w:eastAsia="宋体" w:cs="Times New Roman"/>
          <w:color w:val="auto"/>
          <w:sz w:val="24"/>
          <w:szCs w:val="18"/>
          <w:highlight w:val="none"/>
        </w:rPr>
        <w:fldChar w:fldCharType="separate"/>
      </w:r>
      <w:r>
        <w:rPr>
          <w:rFonts w:eastAsia="宋体" w:cs="Times New Roman"/>
          <w:color w:val="auto"/>
          <w:sz w:val="24"/>
          <w:szCs w:val="18"/>
          <w:highlight w:val="none"/>
        </w:rPr>
        <w:t>5.3</w:t>
      </w:r>
      <w:r>
        <w:rPr>
          <w:rFonts w:eastAsia="宋体" w:cs="Times New Roman"/>
          <w:color w:val="auto"/>
          <w:sz w:val="24"/>
          <w:szCs w:val="18"/>
          <w:highlight w:val="none"/>
        </w:rPr>
        <w:fldChar w:fldCharType="end"/>
      </w:r>
      <w:r>
        <w:rPr>
          <w:rFonts w:eastAsia="宋体" w:cs="Times New Roman"/>
          <w:color w:val="auto"/>
          <w:sz w:val="24"/>
          <w:szCs w:val="18"/>
          <w:highlight w:val="none"/>
        </w:rPr>
        <w:noBreakHyphen/>
      </w:r>
      <w:r>
        <w:rPr>
          <w:rFonts w:eastAsia="宋体" w:cs="Times New Roman"/>
          <w:color w:val="auto"/>
          <w:sz w:val="24"/>
          <w:szCs w:val="18"/>
          <w:highlight w:val="none"/>
        </w:rPr>
        <w:fldChar w:fldCharType="begin"/>
      </w:r>
      <w:r>
        <w:rPr>
          <w:rFonts w:eastAsia="宋体" w:cs="Times New Roman"/>
          <w:color w:val="auto"/>
          <w:sz w:val="24"/>
          <w:szCs w:val="18"/>
          <w:highlight w:val="none"/>
        </w:rPr>
        <w:instrText xml:space="preserve"> SEQ 表 \* ARABIC \s 2 </w:instrText>
      </w:r>
      <w:r>
        <w:rPr>
          <w:rFonts w:eastAsia="宋体" w:cs="Times New Roman"/>
          <w:color w:val="auto"/>
          <w:sz w:val="24"/>
          <w:szCs w:val="18"/>
          <w:highlight w:val="none"/>
        </w:rPr>
        <w:fldChar w:fldCharType="separate"/>
      </w:r>
      <w:r>
        <w:rPr>
          <w:rFonts w:eastAsia="宋体" w:cs="Times New Roman"/>
          <w:color w:val="auto"/>
          <w:sz w:val="24"/>
          <w:szCs w:val="18"/>
          <w:highlight w:val="none"/>
        </w:rPr>
        <w:t>4</w:t>
      </w:r>
      <w:r>
        <w:rPr>
          <w:rFonts w:eastAsia="宋体" w:cs="Times New Roman"/>
          <w:color w:val="auto"/>
          <w:sz w:val="24"/>
          <w:szCs w:val="18"/>
          <w:highlight w:val="none"/>
        </w:rPr>
        <w:fldChar w:fldCharType="end"/>
      </w:r>
      <w:r>
        <w:rPr>
          <w:rFonts w:eastAsia="宋体" w:cs="Times New Roman"/>
          <w:color w:val="auto"/>
          <w:kern w:val="0"/>
          <w:sz w:val="24"/>
          <w:szCs w:val="24"/>
          <w:highlight w:val="none"/>
        </w:rPr>
        <w:t>环境空气监测结果统计表</w:t>
      </w:r>
      <w:bookmarkEnd w:id="341"/>
    </w:p>
    <w:tbl>
      <w:tblPr>
        <w:tblStyle w:val="45"/>
        <w:tblW w:w="5000" w:type="pct"/>
        <w:jc w:val="center"/>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autofit"/>
        <w:tblCellMar>
          <w:top w:w="0" w:type="dxa"/>
          <w:left w:w="0" w:type="dxa"/>
          <w:bottom w:w="0" w:type="dxa"/>
          <w:right w:w="0" w:type="dxa"/>
        </w:tblCellMar>
      </w:tblPr>
      <w:tblGrid>
        <w:gridCol w:w="504"/>
        <w:gridCol w:w="1489"/>
        <w:gridCol w:w="1462"/>
        <w:gridCol w:w="1464"/>
        <w:gridCol w:w="1481"/>
        <w:gridCol w:w="1052"/>
        <w:gridCol w:w="1052"/>
      </w:tblGrid>
      <w:tr w14:paraId="49FD9EC2">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69" w:hRule="atLeast"/>
          <w:jc w:val="center"/>
        </w:trPr>
        <w:tc>
          <w:tcPr>
            <w:tcW w:w="297" w:type="pct"/>
            <w:vMerge w:val="restart"/>
            <w:tcBorders>
              <w:tl2br w:val="nil"/>
              <w:tr2bl w:val="nil"/>
            </w:tcBorders>
            <w:vAlign w:val="center"/>
          </w:tcPr>
          <w:p w14:paraId="49606BD2">
            <w:pPr>
              <w:keepNext w:val="0"/>
              <w:keepLines w:val="0"/>
              <w:pageBreakBefore w:val="0"/>
              <w:widowControl/>
              <w:kinsoku/>
              <w:wordWrap/>
              <w:overflowPunct/>
              <w:topLinePunct w:val="0"/>
              <w:autoSpaceDE w:val="0"/>
              <w:autoSpaceDN w:val="0"/>
              <w:bidi w:val="0"/>
              <w:adjustRightInd/>
              <w:snapToGrid/>
              <w:ind w:left="0" w:right="0"/>
              <w:jc w:val="center"/>
              <w:textAlignment w:val="auto"/>
              <w:rPr>
                <w:rFonts w:ascii="Times New Roman" w:hAnsi="Times New Roman"/>
                <w:b/>
                <w:bCs/>
                <w:color w:val="auto"/>
                <w:sz w:val="21"/>
                <w:szCs w:val="21"/>
                <w:highlight w:val="none"/>
              </w:rPr>
            </w:pPr>
            <w:r>
              <w:rPr>
                <w:rFonts w:ascii="Times New Roman" w:hAnsi="Times New Roman"/>
                <w:b/>
                <w:bCs/>
                <w:color w:val="auto"/>
                <w:sz w:val="21"/>
                <w:szCs w:val="21"/>
                <w:highlight w:val="none"/>
              </w:rPr>
              <w:t>测点名称</w:t>
            </w:r>
          </w:p>
        </w:tc>
        <w:tc>
          <w:tcPr>
            <w:tcW w:w="875" w:type="pct"/>
            <w:vMerge w:val="restart"/>
            <w:tcBorders>
              <w:tl2br w:val="nil"/>
              <w:tr2bl w:val="nil"/>
            </w:tcBorders>
            <w:vAlign w:val="center"/>
          </w:tcPr>
          <w:p w14:paraId="62407819">
            <w:pPr>
              <w:keepNext w:val="0"/>
              <w:keepLines w:val="0"/>
              <w:pageBreakBefore w:val="0"/>
              <w:widowControl/>
              <w:kinsoku/>
              <w:wordWrap/>
              <w:overflowPunct/>
              <w:topLinePunct w:val="0"/>
              <w:autoSpaceDE w:val="0"/>
              <w:autoSpaceDN w:val="0"/>
              <w:bidi w:val="0"/>
              <w:adjustRightInd/>
              <w:snapToGrid/>
              <w:ind w:left="0" w:right="0"/>
              <w:jc w:val="center"/>
              <w:textAlignment w:val="auto"/>
              <w:rPr>
                <w:rFonts w:ascii="Times New Roman" w:hAnsi="Times New Roman"/>
                <w:b/>
                <w:bCs/>
                <w:color w:val="auto"/>
                <w:sz w:val="21"/>
                <w:szCs w:val="21"/>
                <w:highlight w:val="none"/>
              </w:rPr>
            </w:pPr>
            <w:r>
              <w:rPr>
                <w:rFonts w:ascii="Times New Roman" w:hAnsi="Times New Roman"/>
                <w:b/>
                <w:bCs/>
                <w:color w:val="auto"/>
                <w:sz w:val="21"/>
                <w:szCs w:val="21"/>
                <w:highlight w:val="none"/>
              </w:rPr>
              <w:t>名称</w:t>
            </w:r>
          </w:p>
        </w:tc>
        <w:tc>
          <w:tcPr>
            <w:tcW w:w="2589" w:type="pct"/>
            <w:gridSpan w:val="3"/>
            <w:tcBorders>
              <w:tl2br w:val="nil"/>
              <w:tr2bl w:val="nil"/>
            </w:tcBorders>
            <w:vAlign w:val="center"/>
          </w:tcPr>
          <w:p w14:paraId="048722D0">
            <w:pPr>
              <w:keepNext w:val="0"/>
              <w:keepLines w:val="0"/>
              <w:pageBreakBefore w:val="0"/>
              <w:widowControl/>
              <w:kinsoku/>
              <w:wordWrap/>
              <w:overflowPunct/>
              <w:topLinePunct w:val="0"/>
              <w:autoSpaceDE w:val="0"/>
              <w:autoSpaceDN w:val="0"/>
              <w:bidi w:val="0"/>
              <w:adjustRightInd/>
              <w:snapToGrid/>
              <w:ind w:left="0" w:right="0"/>
              <w:jc w:val="center"/>
              <w:textAlignment w:val="auto"/>
              <w:rPr>
                <w:rFonts w:ascii="Times New Roman" w:hAnsi="Times New Roman"/>
                <w:b/>
                <w:bCs/>
                <w:color w:val="auto"/>
                <w:sz w:val="21"/>
                <w:szCs w:val="21"/>
                <w:highlight w:val="none"/>
              </w:rPr>
            </w:pPr>
            <w:r>
              <w:rPr>
                <w:rFonts w:ascii="Times New Roman" w:hAnsi="Times New Roman"/>
                <w:b/>
                <w:bCs/>
                <w:color w:val="auto"/>
                <w:sz w:val="21"/>
                <w:szCs w:val="21"/>
                <w:highlight w:val="none"/>
              </w:rPr>
              <w:t>小时浓度（mg/m</w:t>
            </w:r>
            <w:r>
              <w:rPr>
                <w:rFonts w:ascii="Times New Roman" w:hAnsi="Times New Roman"/>
                <w:b/>
                <w:bCs/>
                <w:color w:val="auto"/>
                <w:sz w:val="21"/>
                <w:szCs w:val="21"/>
                <w:highlight w:val="none"/>
                <w:vertAlign w:val="superscript"/>
              </w:rPr>
              <w:t>3</w:t>
            </w:r>
            <w:r>
              <w:rPr>
                <w:rFonts w:ascii="Times New Roman" w:hAnsi="Times New Roman"/>
                <w:b/>
                <w:bCs/>
                <w:color w:val="auto"/>
                <w:sz w:val="21"/>
                <w:szCs w:val="21"/>
                <w:highlight w:val="none"/>
              </w:rPr>
              <w:t>）</w:t>
            </w:r>
          </w:p>
        </w:tc>
        <w:tc>
          <w:tcPr>
            <w:tcW w:w="618" w:type="pct"/>
            <w:vMerge w:val="restart"/>
            <w:tcBorders>
              <w:tl2br w:val="nil"/>
              <w:tr2bl w:val="nil"/>
            </w:tcBorders>
            <w:vAlign w:val="center"/>
          </w:tcPr>
          <w:p w14:paraId="3FC23A30">
            <w:pPr>
              <w:keepNext w:val="0"/>
              <w:keepLines w:val="0"/>
              <w:pageBreakBefore w:val="0"/>
              <w:widowControl/>
              <w:kinsoku/>
              <w:wordWrap/>
              <w:overflowPunct/>
              <w:topLinePunct w:val="0"/>
              <w:autoSpaceDE w:val="0"/>
              <w:autoSpaceDN w:val="0"/>
              <w:bidi w:val="0"/>
              <w:adjustRightInd/>
              <w:snapToGrid/>
              <w:ind w:left="0" w:right="0"/>
              <w:jc w:val="center"/>
              <w:textAlignment w:val="auto"/>
              <w:rPr>
                <w:rFonts w:ascii="Times New Roman" w:hAnsi="Times New Roman"/>
                <w:b/>
                <w:bCs/>
                <w:color w:val="auto"/>
                <w:sz w:val="21"/>
                <w:szCs w:val="21"/>
                <w:highlight w:val="none"/>
              </w:rPr>
            </w:pPr>
            <w:r>
              <w:rPr>
                <w:rFonts w:ascii="Times New Roman" w:hAnsi="Times New Roman"/>
                <w:b/>
                <w:bCs/>
                <w:color w:val="auto"/>
                <w:sz w:val="21"/>
                <w:szCs w:val="21"/>
                <w:highlight w:val="none"/>
              </w:rPr>
              <w:t>标准值（一次值）</w:t>
            </w:r>
          </w:p>
        </w:tc>
        <w:tc>
          <w:tcPr>
            <w:tcW w:w="618" w:type="pct"/>
            <w:vMerge w:val="restart"/>
            <w:tcBorders>
              <w:tl2br w:val="nil"/>
              <w:tr2bl w:val="nil"/>
            </w:tcBorders>
            <w:vAlign w:val="center"/>
          </w:tcPr>
          <w:p w14:paraId="11910965">
            <w:pPr>
              <w:keepNext w:val="0"/>
              <w:keepLines w:val="0"/>
              <w:pageBreakBefore w:val="0"/>
              <w:widowControl/>
              <w:kinsoku/>
              <w:wordWrap/>
              <w:overflowPunct/>
              <w:topLinePunct w:val="0"/>
              <w:autoSpaceDE w:val="0"/>
              <w:autoSpaceDN w:val="0"/>
              <w:bidi w:val="0"/>
              <w:adjustRightInd/>
              <w:snapToGrid/>
              <w:ind w:left="0" w:right="0"/>
              <w:jc w:val="center"/>
              <w:textAlignment w:val="auto"/>
              <w:rPr>
                <w:rFonts w:ascii="Times New Roman" w:hAnsi="Times New Roman"/>
                <w:b/>
                <w:bCs/>
                <w:color w:val="auto"/>
                <w:sz w:val="21"/>
                <w:szCs w:val="21"/>
                <w:highlight w:val="none"/>
                <w:lang w:eastAsia="en-US"/>
              </w:rPr>
            </w:pPr>
            <w:r>
              <w:rPr>
                <w:rFonts w:ascii="Times New Roman" w:hAnsi="Times New Roman"/>
                <w:b/>
                <w:bCs/>
                <w:color w:val="auto"/>
                <w:sz w:val="21"/>
                <w:szCs w:val="21"/>
                <w:highlight w:val="none"/>
              </w:rPr>
              <w:t>达标情况</w:t>
            </w:r>
          </w:p>
        </w:tc>
      </w:tr>
      <w:tr w14:paraId="24D181B3">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70" w:hRule="atLeast"/>
          <w:jc w:val="center"/>
        </w:trPr>
        <w:tc>
          <w:tcPr>
            <w:tcW w:w="0" w:type="auto"/>
            <w:vMerge w:val="continue"/>
            <w:tcBorders>
              <w:tl2br w:val="nil"/>
              <w:tr2bl w:val="nil"/>
            </w:tcBorders>
            <w:vAlign w:val="center"/>
          </w:tcPr>
          <w:p w14:paraId="512691E1">
            <w:pPr>
              <w:keepNext w:val="0"/>
              <w:keepLines w:val="0"/>
              <w:pageBreakBefore w:val="0"/>
              <w:widowControl/>
              <w:kinsoku/>
              <w:wordWrap/>
              <w:overflowPunct/>
              <w:topLinePunct w:val="0"/>
              <w:bidi w:val="0"/>
              <w:adjustRightInd/>
              <w:snapToGrid/>
              <w:ind w:left="0" w:right="0"/>
              <w:textAlignment w:val="auto"/>
              <w:rPr>
                <w:rFonts w:ascii="Times New Roman" w:hAnsi="Times New Roman"/>
                <w:b/>
                <w:bCs/>
                <w:color w:val="auto"/>
                <w:sz w:val="21"/>
                <w:szCs w:val="21"/>
                <w:highlight w:val="none"/>
              </w:rPr>
            </w:pPr>
          </w:p>
        </w:tc>
        <w:tc>
          <w:tcPr>
            <w:tcW w:w="0" w:type="auto"/>
            <w:vMerge w:val="continue"/>
            <w:tcBorders>
              <w:tl2br w:val="nil"/>
              <w:tr2bl w:val="nil"/>
            </w:tcBorders>
            <w:vAlign w:val="center"/>
          </w:tcPr>
          <w:p w14:paraId="39DE32AE">
            <w:pPr>
              <w:keepNext w:val="0"/>
              <w:keepLines w:val="0"/>
              <w:pageBreakBefore w:val="0"/>
              <w:widowControl/>
              <w:kinsoku/>
              <w:wordWrap/>
              <w:overflowPunct/>
              <w:topLinePunct w:val="0"/>
              <w:bidi w:val="0"/>
              <w:adjustRightInd/>
              <w:snapToGrid/>
              <w:ind w:left="0" w:right="0"/>
              <w:textAlignment w:val="auto"/>
              <w:rPr>
                <w:rFonts w:ascii="Times New Roman" w:hAnsi="Times New Roman"/>
                <w:b/>
                <w:bCs/>
                <w:color w:val="auto"/>
                <w:sz w:val="21"/>
                <w:szCs w:val="21"/>
                <w:highlight w:val="none"/>
              </w:rPr>
            </w:pPr>
          </w:p>
        </w:tc>
        <w:tc>
          <w:tcPr>
            <w:tcW w:w="859" w:type="pct"/>
            <w:tcBorders>
              <w:tl2br w:val="nil"/>
              <w:tr2bl w:val="nil"/>
            </w:tcBorders>
            <w:vAlign w:val="center"/>
          </w:tcPr>
          <w:p w14:paraId="3698EB4E">
            <w:pPr>
              <w:keepNext w:val="0"/>
              <w:keepLines w:val="0"/>
              <w:pageBreakBefore w:val="0"/>
              <w:widowControl/>
              <w:kinsoku/>
              <w:wordWrap/>
              <w:overflowPunct/>
              <w:topLinePunct w:val="0"/>
              <w:autoSpaceDE w:val="0"/>
              <w:autoSpaceDN w:val="0"/>
              <w:bidi w:val="0"/>
              <w:adjustRightInd/>
              <w:snapToGrid/>
              <w:ind w:left="0" w:right="0"/>
              <w:jc w:val="center"/>
              <w:textAlignment w:val="auto"/>
              <w:rPr>
                <w:rFonts w:ascii="Times New Roman" w:hAnsi="Times New Roman"/>
                <w:b/>
                <w:bCs/>
                <w:color w:val="auto"/>
                <w:sz w:val="21"/>
                <w:szCs w:val="21"/>
                <w:highlight w:val="none"/>
              </w:rPr>
            </w:pPr>
            <w:r>
              <w:rPr>
                <w:rFonts w:ascii="Times New Roman" w:hAnsi="Times New Roman"/>
                <w:b/>
                <w:bCs/>
                <w:color w:val="auto"/>
                <w:sz w:val="21"/>
                <w:szCs w:val="21"/>
                <w:highlight w:val="none"/>
              </w:rPr>
              <w:t>浓度范围</w:t>
            </w:r>
          </w:p>
        </w:tc>
        <w:tc>
          <w:tcPr>
            <w:tcW w:w="860" w:type="pct"/>
            <w:tcBorders>
              <w:tl2br w:val="nil"/>
              <w:tr2bl w:val="nil"/>
            </w:tcBorders>
            <w:vAlign w:val="center"/>
          </w:tcPr>
          <w:p w14:paraId="47FD0B23">
            <w:pPr>
              <w:keepNext w:val="0"/>
              <w:keepLines w:val="0"/>
              <w:pageBreakBefore w:val="0"/>
              <w:widowControl/>
              <w:kinsoku/>
              <w:wordWrap/>
              <w:overflowPunct/>
              <w:topLinePunct w:val="0"/>
              <w:autoSpaceDE w:val="0"/>
              <w:autoSpaceDN w:val="0"/>
              <w:bidi w:val="0"/>
              <w:adjustRightInd/>
              <w:snapToGrid/>
              <w:ind w:left="0" w:right="0"/>
              <w:jc w:val="center"/>
              <w:textAlignment w:val="auto"/>
              <w:rPr>
                <w:rFonts w:ascii="Times New Roman" w:hAnsi="Times New Roman"/>
                <w:b/>
                <w:bCs/>
                <w:color w:val="auto"/>
                <w:sz w:val="21"/>
                <w:szCs w:val="21"/>
                <w:highlight w:val="none"/>
              </w:rPr>
            </w:pPr>
            <w:r>
              <w:rPr>
                <w:rFonts w:ascii="Times New Roman" w:hAnsi="Times New Roman"/>
                <w:b/>
                <w:bCs/>
                <w:color w:val="auto"/>
                <w:sz w:val="21"/>
                <w:szCs w:val="21"/>
                <w:highlight w:val="none"/>
              </w:rPr>
              <w:t>最大浓度占标率（%）</w:t>
            </w:r>
          </w:p>
        </w:tc>
        <w:tc>
          <w:tcPr>
            <w:tcW w:w="869" w:type="pct"/>
            <w:tcBorders>
              <w:tl2br w:val="nil"/>
              <w:tr2bl w:val="nil"/>
            </w:tcBorders>
            <w:vAlign w:val="center"/>
          </w:tcPr>
          <w:p w14:paraId="74585FA2">
            <w:pPr>
              <w:keepNext w:val="0"/>
              <w:keepLines w:val="0"/>
              <w:pageBreakBefore w:val="0"/>
              <w:widowControl/>
              <w:kinsoku/>
              <w:wordWrap/>
              <w:overflowPunct/>
              <w:topLinePunct w:val="0"/>
              <w:autoSpaceDE w:val="0"/>
              <w:autoSpaceDN w:val="0"/>
              <w:bidi w:val="0"/>
              <w:adjustRightInd/>
              <w:snapToGrid/>
              <w:ind w:left="0" w:right="0"/>
              <w:jc w:val="center"/>
              <w:textAlignment w:val="auto"/>
              <w:rPr>
                <w:rFonts w:ascii="Times New Roman" w:hAnsi="Times New Roman"/>
                <w:b/>
                <w:bCs/>
                <w:color w:val="auto"/>
                <w:sz w:val="21"/>
                <w:szCs w:val="21"/>
                <w:highlight w:val="none"/>
              </w:rPr>
            </w:pPr>
            <w:r>
              <w:rPr>
                <w:rFonts w:ascii="Times New Roman" w:hAnsi="Times New Roman"/>
                <w:b/>
                <w:bCs/>
                <w:color w:val="auto"/>
                <w:sz w:val="21"/>
                <w:szCs w:val="21"/>
                <w:highlight w:val="none"/>
              </w:rPr>
              <w:t>超标率</w:t>
            </w:r>
          </w:p>
        </w:tc>
        <w:tc>
          <w:tcPr>
            <w:tcW w:w="0" w:type="auto"/>
            <w:vMerge w:val="continue"/>
            <w:tcBorders>
              <w:tl2br w:val="nil"/>
              <w:tr2bl w:val="nil"/>
            </w:tcBorders>
            <w:vAlign w:val="center"/>
          </w:tcPr>
          <w:p w14:paraId="480A1F16">
            <w:pPr>
              <w:keepNext w:val="0"/>
              <w:keepLines w:val="0"/>
              <w:pageBreakBefore w:val="0"/>
              <w:widowControl/>
              <w:kinsoku/>
              <w:wordWrap/>
              <w:overflowPunct/>
              <w:topLinePunct w:val="0"/>
              <w:bidi w:val="0"/>
              <w:adjustRightInd/>
              <w:snapToGrid/>
              <w:ind w:left="0" w:right="0"/>
              <w:textAlignment w:val="auto"/>
              <w:rPr>
                <w:rFonts w:ascii="Times New Roman" w:hAnsi="Times New Roman"/>
                <w:b/>
                <w:bCs/>
                <w:color w:val="auto"/>
                <w:sz w:val="21"/>
                <w:szCs w:val="21"/>
                <w:highlight w:val="none"/>
              </w:rPr>
            </w:pPr>
          </w:p>
        </w:tc>
        <w:tc>
          <w:tcPr>
            <w:tcW w:w="0" w:type="auto"/>
            <w:vMerge w:val="continue"/>
            <w:tcBorders>
              <w:tl2br w:val="nil"/>
              <w:tr2bl w:val="nil"/>
            </w:tcBorders>
            <w:vAlign w:val="center"/>
          </w:tcPr>
          <w:p w14:paraId="37655A93">
            <w:pPr>
              <w:keepNext w:val="0"/>
              <w:keepLines w:val="0"/>
              <w:pageBreakBefore w:val="0"/>
              <w:widowControl/>
              <w:kinsoku/>
              <w:wordWrap/>
              <w:overflowPunct/>
              <w:topLinePunct w:val="0"/>
              <w:bidi w:val="0"/>
              <w:adjustRightInd/>
              <w:snapToGrid/>
              <w:ind w:left="0" w:right="0"/>
              <w:textAlignment w:val="auto"/>
              <w:rPr>
                <w:rFonts w:ascii="Times New Roman" w:hAnsi="Times New Roman"/>
                <w:b/>
                <w:bCs/>
                <w:color w:val="auto"/>
                <w:sz w:val="21"/>
                <w:szCs w:val="21"/>
                <w:highlight w:val="none"/>
                <w:lang w:eastAsia="en-US"/>
              </w:rPr>
            </w:pPr>
          </w:p>
        </w:tc>
      </w:tr>
      <w:tr w14:paraId="63E8036C">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PrEx>
        <w:trPr>
          <w:trHeight w:val="257" w:hRule="atLeast"/>
          <w:jc w:val="center"/>
        </w:trPr>
        <w:tc>
          <w:tcPr>
            <w:tcW w:w="297" w:type="pct"/>
            <w:vMerge w:val="restart"/>
            <w:tcBorders>
              <w:tl2br w:val="nil"/>
              <w:tr2bl w:val="nil"/>
            </w:tcBorders>
            <w:vAlign w:val="center"/>
          </w:tcPr>
          <w:p w14:paraId="667B531D">
            <w:pPr>
              <w:keepNext w:val="0"/>
              <w:keepLines w:val="0"/>
              <w:pageBreakBefore w:val="0"/>
              <w:widowControl/>
              <w:kinsoku/>
              <w:wordWrap/>
              <w:overflowPunct/>
              <w:topLinePunct w:val="0"/>
              <w:autoSpaceDE w:val="0"/>
              <w:autoSpaceDN w:val="0"/>
              <w:bidi w:val="0"/>
              <w:adjustRightInd/>
              <w:snapToGrid/>
              <w:ind w:left="0" w:right="0"/>
              <w:jc w:val="center"/>
              <w:textAlignment w:val="auto"/>
              <w:rPr>
                <w:rFonts w:ascii="Times New Roman" w:hAnsi="Times New Roman"/>
                <w:color w:val="auto"/>
                <w:sz w:val="21"/>
                <w:szCs w:val="21"/>
                <w:highlight w:val="none"/>
              </w:rPr>
            </w:pPr>
            <w:r>
              <w:rPr>
                <w:rFonts w:ascii="Times New Roman" w:hAnsi="Times New Roman"/>
                <w:color w:val="auto"/>
                <w:sz w:val="21"/>
                <w:szCs w:val="21"/>
                <w:highlight w:val="none"/>
              </w:rPr>
              <w:t>G1项目所在地</w:t>
            </w:r>
          </w:p>
        </w:tc>
        <w:tc>
          <w:tcPr>
            <w:tcW w:w="875" w:type="pct"/>
            <w:tcBorders>
              <w:tl2br w:val="nil"/>
              <w:tr2bl w:val="nil"/>
            </w:tcBorders>
            <w:vAlign w:val="center"/>
          </w:tcPr>
          <w:p w14:paraId="08DCEC05">
            <w:pPr>
              <w:keepNext w:val="0"/>
              <w:keepLines w:val="0"/>
              <w:pageBreakBefore w:val="0"/>
              <w:widowControl/>
              <w:kinsoku/>
              <w:wordWrap/>
              <w:overflowPunct/>
              <w:topLinePunct w:val="0"/>
              <w:autoSpaceDE w:val="0"/>
              <w:autoSpaceDN w:val="0"/>
              <w:bidi w:val="0"/>
              <w:adjustRightInd/>
              <w:snapToGrid/>
              <w:ind w:left="0" w:right="0"/>
              <w:jc w:val="center"/>
              <w:textAlignment w:val="auto"/>
              <w:rPr>
                <w:rFonts w:ascii="Times New Roman" w:hAnsi="Times New Roman"/>
                <w:color w:val="auto"/>
                <w:sz w:val="21"/>
                <w:szCs w:val="21"/>
                <w:highlight w:val="none"/>
              </w:rPr>
            </w:pPr>
            <w:r>
              <w:rPr>
                <w:rFonts w:ascii="Times New Roman" w:hAnsi="Times New Roman"/>
                <w:color w:val="auto"/>
                <w:sz w:val="21"/>
                <w:szCs w:val="21"/>
                <w:highlight w:val="none"/>
                <w:lang w:eastAsia="en-US"/>
              </w:rPr>
              <w:t>氮氧化物</w:t>
            </w:r>
          </w:p>
        </w:tc>
        <w:tc>
          <w:tcPr>
            <w:tcW w:w="859" w:type="pct"/>
            <w:tcBorders>
              <w:tl2br w:val="nil"/>
              <w:tr2bl w:val="nil"/>
            </w:tcBorders>
            <w:vAlign w:val="center"/>
          </w:tcPr>
          <w:p w14:paraId="68BED348">
            <w:pPr>
              <w:keepNext w:val="0"/>
              <w:keepLines w:val="0"/>
              <w:pageBreakBefore w:val="0"/>
              <w:widowControl/>
              <w:kinsoku/>
              <w:wordWrap/>
              <w:overflowPunct/>
              <w:topLinePunct w:val="0"/>
              <w:autoSpaceDE w:val="0"/>
              <w:autoSpaceDN w:val="0"/>
              <w:bidi w:val="0"/>
              <w:adjustRightInd/>
              <w:snapToGrid/>
              <w:ind w:left="0" w:right="0"/>
              <w:jc w:val="center"/>
              <w:textAlignment w:val="auto"/>
              <w:rPr>
                <w:rFonts w:ascii="Times New Roman" w:hAnsi="Times New Roman"/>
                <w:color w:val="auto"/>
                <w:sz w:val="21"/>
                <w:szCs w:val="21"/>
                <w:highlight w:val="none"/>
              </w:rPr>
            </w:pPr>
            <w:r>
              <w:rPr>
                <w:rFonts w:hint="eastAsia" w:ascii="Times New Roman" w:hAnsi="Times New Roman"/>
                <w:color w:val="auto"/>
                <w:sz w:val="21"/>
                <w:szCs w:val="21"/>
                <w:highlight w:val="none"/>
              </w:rPr>
              <w:t>0.018~0.073</w:t>
            </w:r>
          </w:p>
        </w:tc>
        <w:tc>
          <w:tcPr>
            <w:tcW w:w="860" w:type="pct"/>
            <w:tcBorders>
              <w:tl2br w:val="nil"/>
              <w:tr2bl w:val="nil"/>
            </w:tcBorders>
            <w:vAlign w:val="center"/>
          </w:tcPr>
          <w:p w14:paraId="576A825D">
            <w:pPr>
              <w:keepNext w:val="0"/>
              <w:keepLines w:val="0"/>
              <w:pageBreakBefore w:val="0"/>
              <w:widowControl/>
              <w:kinsoku/>
              <w:wordWrap/>
              <w:overflowPunct/>
              <w:topLinePunct w:val="0"/>
              <w:autoSpaceDE w:val="0"/>
              <w:autoSpaceDN w:val="0"/>
              <w:bidi w:val="0"/>
              <w:adjustRightInd/>
              <w:snapToGrid/>
              <w:ind w:left="0" w:right="0"/>
              <w:jc w:val="center"/>
              <w:textAlignment w:val="auto"/>
              <w:rPr>
                <w:rFonts w:ascii="Times New Roman" w:hAnsi="Times New Roman"/>
                <w:color w:val="auto"/>
                <w:sz w:val="21"/>
                <w:szCs w:val="21"/>
                <w:highlight w:val="none"/>
              </w:rPr>
            </w:pPr>
            <w:r>
              <w:rPr>
                <w:rFonts w:hint="eastAsia" w:ascii="Times New Roman" w:hAnsi="Times New Roman"/>
                <w:color w:val="auto"/>
                <w:sz w:val="21"/>
                <w:szCs w:val="21"/>
                <w:highlight w:val="none"/>
              </w:rPr>
              <w:t>29.2</w:t>
            </w:r>
          </w:p>
        </w:tc>
        <w:tc>
          <w:tcPr>
            <w:tcW w:w="869" w:type="pct"/>
            <w:tcBorders>
              <w:tl2br w:val="nil"/>
              <w:tr2bl w:val="nil"/>
            </w:tcBorders>
            <w:vAlign w:val="center"/>
          </w:tcPr>
          <w:p w14:paraId="0CAA7D1D">
            <w:pPr>
              <w:keepNext w:val="0"/>
              <w:keepLines w:val="0"/>
              <w:pageBreakBefore w:val="0"/>
              <w:widowControl/>
              <w:kinsoku/>
              <w:wordWrap/>
              <w:overflowPunct/>
              <w:topLinePunct w:val="0"/>
              <w:autoSpaceDE w:val="0"/>
              <w:autoSpaceDN w:val="0"/>
              <w:bidi w:val="0"/>
              <w:adjustRightInd/>
              <w:snapToGrid/>
              <w:ind w:left="0" w:right="0"/>
              <w:jc w:val="center"/>
              <w:textAlignment w:val="auto"/>
              <w:rPr>
                <w:rFonts w:ascii="Times New Roman" w:hAnsi="Times New Roman"/>
                <w:color w:val="auto"/>
                <w:sz w:val="21"/>
                <w:szCs w:val="21"/>
                <w:highlight w:val="none"/>
              </w:rPr>
            </w:pPr>
            <w:r>
              <w:rPr>
                <w:rFonts w:hint="eastAsia" w:ascii="Times New Roman" w:hAnsi="Times New Roman"/>
                <w:color w:val="auto"/>
                <w:sz w:val="21"/>
                <w:szCs w:val="21"/>
                <w:highlight w:val="none"/>
              </w:rPr>
              <w:t>0</w:t>
            </w:r>
          </w:p>
        </w:tc>
        <w:tc>
          <w:tcPr>
            <w:tcW w:w="618" w:type="pct"/>
            <w:tcBorders>
              <w:tl2br w:val="nil"/>
              <w:tr2bl w:val="nil"/>
            </w:tcBorders>
            <w:vAlign w:val="center"/>
          </w:tcPr>
          <w:p w14:paraId="60E075D2">
            <w:pPr>
              <w:keepNext w:val="0"/>
              <w:keepLines w:val="0"/>
              <w:pageBreakBefore w:val="0"/>
              <w:widowControl/>
              <w:kinsoku/>
              <w:wordWrap/>
              <w:overflowPunct/>
              <w:topLinePunct w:val="0"/>
              <w:autoSpaceDE w:val="0"/>
              <w:autoSpaceDN w:val="0"/>
              <w:bidi w:val="0"/>
              <w:adjustRightInd/>
              <w:snapToGrid/>
              <w:ind w:left="0" w:right="0"/>
              <w:jc w:val="center"/>
              <w:textAlignment w:val="auto"/>
              <w:rPr>
                <w:rFonts w:ascii="Times New Roman" w:hAnsi="Times New Roman"/>
                <w:color w:val="auto"/>
                <w:sz w:val="21"/>
                <w:szCs w:val="21"/>
                <w:highlight w:val="none"/>
              </w:rPr>
            </w:pPr>
            <w:r>
              <w:rPr>
                <w:rFonts w:hint="eastAsia" w:ascii="Times New Roman" w:hAnsi="Times New Roman"/>
                <w:color w:val="auto"/>
                <w:sz w:val="21"/>
                <w:szCs w:val="21"/>
                <w:highlight w:val="none"/>
              </w:rPr>
              <w:t>0.25</w:t>
            </w:r>
          </w:p>
        </w:tc>
        <w:tc>
          <w:tcPr>
            <w:tcW w:w="618" w:type="pct"/>
            <w:tcBorders>
              <w:tl2br w:val="nil"/>
              <w:tr2bl w:val="nil"/>
            </w:tcBorders>
            <w:vAlign w:val="center"/>
          </w:tcPr>
          <w:p w14:paraId="5AFDF1EA">
            <w:pPr>
              <w:keepNext w:val="0"/>
              <w:keepLines w:val="0"/>
              <w:pageBreakBefore w:val="0"/>
              <w:widowControl/>
              <w:kinsoku/>
              <w:wordWrap/>
              <w:overflowPunct/>
              <w:topLinePunct w:val="0"/>
              <w:autoSpaceDE w:val="0"/>
              <w:autoSpaceDN w:val="0"/>
              <w:bidi w:val="0"/>
              <w:adjustRightInd/>
              <w:snapToGrid/>
              <w:ind w:left="0" w:right="0"/>
              <w:jc w:val="center"/>
              <w:textAlignment w:val="auto"/>
              <w:rPr>
                <w:rFonts w:ascii="Times New Roman" w:hAnsi="Times New Roman"/>
                <w:color w:val="auto"/>
                <w:sz w:val="21"/>
                <w:szCs w:val="21"/>
                <w:highlight w:val="none"/>
                <w:lang w:eastAsia="en-US"/>
              </w:rPr>
            </w:pPr>
            <w:r>
              <w:rPr>
                <w:rFonts w:ascii="Times New Roman" w:hAnsi="Times New Roman"/>
                <w:color w:val="auto"/>
                <w:sz w:val="21"/>
                <w:szCs w:val="21"/>
                <w:highlight w:val="none"/>
              </w:rPr>
              <w:t>达标</w:t>
            </w:r>
          </w:p>
        </w:tc>
      </w:tr>
      <w:tr w14:paraId="707441EA">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59" w:hRule="atLeast"/>
          <w:jc w:val="center"/>
        </w:trPr>
        <w:tc>
          <w:tcPr>
            <w:tcW w:w="0" w:type="auto"/>
            <w:vMerge w:val="continue"/>
            <w:tcBorders>
              <w:tl2br w:val="nil"/>
              <w:tr2bl w:val="nil"/>
            </w:tcBorders>
            <w:vAlign w:val="center"/>
          </w:tcPr>
          <w:p w14:paraId="2AE2FFCC">
            <w:pPr>
              <w:keepNext w:val="0"/>
              <w:keepLines w:val="0"/>
              <w:pageBreakBefore w:val="0"/>
              <w:widowControl/>
              <w:kinsoku/>
              <w:wordWrap/>
              <w:overflowPunct/>
              <w:topLinePunct w:val="0"/>
              <w:bidi w:val="0"/>
              <w:adjustRightInd/>
              <w:snapToGrid/>
              <w:ind w:left="0" w:right="0"/>
              <w:textAlignment w:val="auto"/>
              <w:rPr>
                <w:rFonts w:ascii="Times New Roman" w:hAnsi="Times New Roman"/>
                <w:color w:val="auto"/>
                <w:sz w:val="21"/>
                <w:szCs w:val="21"/>
                <w:highlight w:val="none"/>
              </w:rPr>
            </w:pPr>
          </w:p>
        </w:tc>
        <w:tc>
          <w:tcPr>
            <w:tcW w:w="875" w:type="pct"/>
            <w:tcBorders>
              <w:tl2br w:val="nil"/>
              <w:tr2bl w:val="nil"/>
            </w:tcBorders>
            <w:vAlign w:val="center"/>
          </w:tcPr>
          <w:p w14:paraId="3082F97F">
            <w:pPr>
              <w:keepNext w:val="0"/>
              <w:keepLines w:val="0"/>
              <w:pageBreakBefore w:val="0"/>
              <w:widowControl/>
              <w:kinsoku/>
              <w:wordWrap/>
              <w:overflowPunct/>
              <w:topLinePunct w:val="0"/>
              <w:autoSpaceDE w:val="0"/>
              <w:autoSpaceDN w:val="0"/>
              <w:bidi w:val="0"/>
              <w:adjustRightInd/>
              <w:snapToGrid/>
              <w:ind w:left="0" w:right="0"/>
              <w:jc w:val="center"/>
              <w:textAlignment w:val="auto"/>
              <w:rPr>
                <w:rFonts w:ascii="Times New Roman" w:hAnsi="Times New Roman"/>
                <w:color w:val="auto"/>
                <w:sz w:val="21"/>
                <w:szCs w:val="21"/>
                <w:highlight w:val="none"/>
                <w:lang w:eastAsia="en-US"/>
              </w:rPr>
            </w:pPr>
            <w:r>
              <w:rPr>
                <w:rFonts w:ascii="Times New Roman" w:hAnsi="Times New Roman"/>
                <w:color w:val="auto"/>
                <w:sz w:val="21"/>
                <w:szCs w:val="21"/>
                <w:highlight w:val="none"/>
                <w:lang w:eastAsia="en-US"/>
              </w:rPr>
              <w:t>非甲烷总烃</w:t>
            </w:r>
          </w:p>
        </w:tc>
        <w:tc>
          <w:tcPr>
            <w:tcW w:w="859" w:type="pct"/>
            <w:tcBorders>
              <w:tl2br w:val="nil"/>
              <w:tr2bl w:val="nil"/>
            </w:tcBorders>
            <w:vAlign w:val="center"/>
          </w:tcPr>
          <w:p w14:paraId="365BB7F4">
            <w:pPr>
              <w:keepNext w:val="0"/>
              <w:keepLines w:val="0"/>
              <w:pageBreakBefore w:val="0"/>
              <w:widowControl/>
              <w:kinsoku/>
              <w:wordWrap/>
              <w:overflowPunct/>
              <w:topLinePunct w:val="0"/>
              <w:autoSpaceDE w:val="0"/>
              <w:autoSpaceDN w:val="0"/>
              <w:bidi w:val="0"/>
              <w:adjustRightInd/>
              <w:snapToGrid/>
              <w:ind w:left="0" w:right="0"/>
              <w:jc w:val="center"/>
              <w:textAlignment w:val="auto"/>
              <w:rPr>
                <w:rFonts w:ascii="Times New Roman" w:hAnsi="Times New Roman"/>
                <w:color w:val="auto"/>
                <w:sz w:val="21"/>
                <w:szCs w:val="21"/>
                <w:highlight w:val="none"/>
              </w:rPr>
            </w:pPr>
            <w:r>
              <w:rPr>
                <w:rFonts w:hint="eastAsia" w:ascii="Times New Roman" w:hAnsi="Times New Roman"/>
                <w:color w:val="auto"/>
                <w:sz w:val="21"/>
                <w:szCs w:val="21"/>
                <w:highlight w:val="none"/>
              </w:rPr>
              <w:t>0.32~0.64</w:t>
            </w:r>
          </w:p>
        </w:tc>
        <w:tc>
          <w:tcPr>
            <w:tcW w:w="860" w:type="pct"/>
            <w:tcBorders>
              <w:tl2br w:val="nil"/>
              <w:tr2bl w:val="nil"/>
            </w:tcBorders>
            <w:vAlign w:val="center"/>
          </w:tcPr>
          <w:p w14:paraId="4334C5C0">
            <w:pPr>
              <w:keepNext w:val="0"/>
              <w:keepLines w:val="0"/>
              <w:pageBreakBefore w:val="0"/>
              <w:widowControl/>
              <w:kinsoku/>
              <w:wordWrap/>
              <w:overflowPunct/>
              <w:topLinePunct w:val="0"/>
              <w:autoSpaceDE w:val="0"/>
              <w:autoSpaceDN w:val="0"/>
              <w:bidi w:val="0"/>
              <w:adjustRightInd/>
              <w:snapToGrid/>
              <w:ind w:left="0" w:right="0"/>
              <w:jc w:val="center"/>
              <w:textAlignment w:val="auto"/>
              <w:rPr>
                <w:rFonts w:ascii="Times New Roman" w:hAnsi="Times New Roman"/>
                <w:color w:val="auto"/>
                <w:sz w:val="21"/>
                <w:szCs w:val="21"/>
                <w:highlight w:val="none"/>
              </w:rPr>
            </w:pPr>
            <w:r>
              <w:rPr>
                <w:rFonts w:hint="eastAsia" w:ascii="Times New Roman" w:hAnsi="Times New Roman"/>
                <w:color w:val="auto"/>
                <w:sz w:val="21"/>
                <w:szCs w:val="21"/>
                <w:highlight w:val="none"/>
              </w:rPr>
              <w:t>32</w:t>
            </w:r>
          </w:p>
        </w:tc>
        <w:tc>
          <w:tcPr>
            <w:tcW w:w="869" w:type="pct"/>
            <w:tcBorders>
              <w:tl2br w:val="nil"/>
              <w:tr2bl w:val="nil"/>
            </w:tcBorders>
            <w:vAlign w:val="center"/>
          </w:tcPr>
          <w:p w14:paraId="4ED17C07">
            <w:pPr>
              <w:keepNext w:val="0"/>
              <w:keepLines w:val="0"/>
              <w:pageBreakBefore w:val="0"/>
              <w:widowControl/>
              <w:kinsoku/>
              <w:wordWrap/>
              <w:overflowPunct/>
              <w:topLinePunct w:val="0"/>
              <w:autoSpaceDE w:val="0"/>
              <w:autoSpaceDN w:val="0"/>
              <w:bidi w:val="0"/>
              <w:adjustRightInd/>
              <w:snapToGrid/>
              <w:ind w:left="0" w:right="0"/>
              <w:jc w:val="center"/>
              <w:textAlignment w:val="auto"/>
              <w:rPr>
                <w:rFonts w:ascii="Times New Roman" w:hAnsi="Times New Roman"/>
                <w:color w:val="auto"/>
                <w:sz w:val="21"/>
                <w:szCs w:val="21"/>
                <w:highlight w:val="none"/>
              </w:rPr>
            </w:pPr>
            <w:r>
              <w:rPr>
                <w:rFonts w:hint="eastAsia" w:ascii="Times New Roman" w:hAnsi="Times New Roman"/>
                <w:color w:val="auto"/>
                <w:sz w:val="21"/>
                <w:szCs w:val="21"/>
                <w:highlight w:val="none"/>
              </w:rPr>
              <w:t>0</w:t>
            </w:r>
          </w:p>
        </w:tc>
        <w:tc>
          <w:tcPr>
            <w:tcW w:w="618" w:type="pct"/>
            <w:tcBorders>
              <w:tl2br w:val="nil"/>
              <w:tr2bl w:val="nil"/>
            </w:tcBorders>
            <w:vAlign w:val="center"/>
          </w:tcPr>
          <w:p w14:paraId="709E16B0">
            <w:pPr>
              <w:keepNext w:val="0"/>
              <w:keepLines w:val="0"/>
              <w:pageBreakBefore w:val="0"/>
              <w:widowControl/>
              <w:kinsoku/>
              <w:wordWrap/>
              <w:overflowPunct/>
              <w:topLinePunct w:val="0"/>
              <w:autoSpaceDE w:val="0"/>
              <w:autoSpaceDN w:val="0"/>
              <w:bidi w:val="0"/>
              <w:adjustRightInd/>
              <w:snapToGrid/>
              <w:ind w:left="0" w:right="0"/>
              <w:jc w:val="center"/>
              <w:textAlignment w:val="auto"/>
              <w:rPr>
                <w:rFonts w:ascii="Times New Roman" w:hAnsi="Times New Roman"/>
                <w:color w:val="auto"/>
                <w:sz w:val="21"/>
                <w:szCs w:val="21"/>
                <w:highlight w:val="none"/>
              </w:rPr>
            </w:pPr>
            <w:r>
              <w:rPr>
                <w:rFonts w:ascii="Times New Roman" w:hAnsi="Times New Roman"/>
                <w:color w:val="auto"/>
                <w:sz w:val="21"/>
                <w:szCs w:val="21"/>
                <w:highlight w:val="none"/>
              </w:rPr>
              <w:t>2</w:t>
            </w:r>
          </w:p>
        </w:tc>
        <w:tc>
          <w:tcPr>
            <w:tcW w:w="618" w:type="pct"/>
            <w:tcBorders>
              <w:tl2br w:val="nil"/>
              <w:tr2bl w:val="nil"/>
            </w:tcBorders>
            <w:vAlign w:val="center"/>
          </w:tcPr>
          <w:p w14:paraId="5078EE3B">
            <w:pPr>
              <w:keepNext w:val="0"/>
              <w:keepLines w:val="0"/>
              <w:pageBreakBefore w:val="0"/>
              <w:widowControl/>
              <w:kinsoku/>
              <w:wordWrap/>
              <w:overflowPunct/>
              <w:topLinePunct w:val="0"/>
              <w:autoSpaceDE w:val="0"/>
              <w:autoSpaceDN w:val="0"/>
              <w:bidi w:val="0"/>
              <w:adjustRightInd/>
              <w:snapToGrid/>
              <w:ind w:left="0" w:right="0"/>
              <w:jc w:val="center"/>
              <w:textAlignment w:val="auto"/>
              <w:rPr>
                <w:rFonts w:ascii="Times New Roman" w:hAnsi="Times New Roman"/>
                <w:color w:val="auto"/>
                <w:sz w:val="21"/>
                <w:szCs w:val="21"/>
                <w:highlight w:val="none"/>
                <w:lang w:eastAsia="en-US"/>
              </w:rPr>
            </w:pPr>
            <w:r>
              <w:rPr>
                <w:rFonts w:ascii="Times New Roman" w:hAnsi="Times New Roman"/>
                <w:color w:val="auto"/>
                <w:sz w:val="21"/>
                <w:szCs w:val="21"/>
                <w:highlight w:val="none"/>
                <w:lang w:eastAsia="en-US"/>
              </w:rPr>
              <w:t>达标</w:t>
            </w:r>
          </w:p>
        </w:tc>
      </w:tr>
      <w:tr w14:paraId="0EA2FE07">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59" w:hRule="atLeast"/>
          <w:jc w:val="center"/>
        </w:trPr>
        <w:tc>
          <w:tcPr>
            <w:tcW w:w="0" w:type="auto"/>
            <w:vMerge w:val="continue"/>
            <w:tcBorders>
              <w:tl2br w:val="nil"/>
              <w:tr2bl w:val="nil"/>
            </w:tcBorders>
            <w:vAlign w:val="center"/>
          </w:tcPr>
          <w:p w14:paraId="571C845B">
            <w:pPr>
              <w:keepNext w:val="0"/>
              <w:keepLines w:val="0"/>
              <w:pageBreakBefore w:val="0"/>
              <w:widowControl/>
              <w:kinsoku/>
              <w:wordWrap/>
              <w:overflowPunct/>
              <w:topLinePunct w:val="0"/>
              <w:bidi w:val="0"/>
              <w:adjustRightInd/>
              <w:snapToGrid/>
              <w:ind w:left="0" w:right="0"/>
              <w:textAlignment w:val="auto"/>
              <w:rPr>
                <w:rFonts w:ascii="Times New Roman" w:hAnsi="Times New Roman"/>
                <w:color w:val="auto"/>
                <w:sz w:val="21"/>
                <w:szCs w:val="21"/>
                <w:highlight w:val="none"/>
              </w:rPr>
            </w:pPr>
          </w:p>
        </w:tc>
        <w:tc>
          <w:tcPr>
            <w:tcW w:w="875" w:type="pct"/>
            <w:tcBorders>
              <w:tl2br w:val="nil"/>
              <w:tr2bl w:val="nil"/>
            </w:tcBorders>
            <w:vAlign w:val="center"/>
          </w:tcPr>
          <w:p w14:paraId="6A44DBC7">
            <w:pPr>
              <w:keepNext w:val="0"/>
              <w:keepLines w:val="0"/>
              <w:pageBreakBefore w:val="0"/>
              <w:widowControl/>
              <w:kinsoku/>
              <w:wordWrap/>
              <w:overflowPunct/>
              <w:topLinePunct w:val="0"/>
              <w:autoSpaceDE w:val="0"/>
              <w:autoSpaceDN w:val="0"/>
              <w:bidi w:val="0"/>
              <w:adjustRightInd/>
              <w:snapToGrid/>
              <w:ind w:left="0" w:right="0"/>
              <w:jc w:val="center"/>
              <w:textAlignment w:val="auto"/>
              <w:rPr>
                <w:rFonts w:ascii="Times New Roman" w:hAnsi="Times New Roman"/>
                <w:color w:val="auto"/>
                <w:sz w:val="21"/>
                <w:szCs w:val="21"/>
                <w:highlight w:val="none"/>
              </w:rPr>
            </w:pPr>
            <w:r>
              <w:rPr>
                <w:rFonts w:hint="eastAsia" w:ascii="Times New Roman" w:hAnsi="Times New Roman"/>
                <w:color w:val="auto"/>
                <w:sz w:val="21"/>
                <w:szCs w:val="21"/>
                <w:highlight w:val="none"/>
              </w:rPr>
              <w:t>甲醇</w:t>
            </w:r>
          </w:p>
        </w:tc>
        <w:tc>
          <w:tcPr>
            <w:tcW w:w="859" w:type="pct"/>
            <w:tcBorders>
              <w:tl2br w:val="nil"/>
              <w:tr2bl w:val="nil"/>
            </w:tcBorders>
            <w:vAlign w:val="center"/>
          </w:tcPr>
          <w:p w14:paraId="5524C30E">
            <w:pPr>
              <w:keepNext w:val="0"/>
              <w:keepLines w:val="0"/>
              <w:pageBreakBefore w:val="0"/>
              <w:widowControl/>
              <w:kinsoku/>
              <w:wordWrap/>
              <w:overflowPunct/>
              <w:topLinePunct w:val="0"/>
              <w:autoSpaceDE w:val="0"/>
              <w:autoSpaceDN w:val="0"/>
              <w:bidi w:val="0"/>
              <w:adjustRightInd/>
              <w:snapToGrid/>
              <w:ind w:left="0" w:right="0"/>
              <w:jc w:val="center"/>
              <w:textAlignment w:val="auto"/>
              <w:rPr>
                <w:rFonts w:ascii="Times New Roman" w:hAnsi="Times New Roman"/>
                <w:color w:val="auto"/>
                <w:sz w:val="21"/>
                <w:szCs w:val="21"/>
                <w:highlight w:val="none"/>
              </w:rPr>
            </w:pPr>
            <w:r>
              <w:rPr>
                <w:rFonts w:hint="eastAsia" w:ascii="Times New Roman" w:hAnsi="Times New Roman"/>
                <w:color w:val="auto"/>
                <w:sz w:val="21"/>
                <w:szCs w:val="21"/>
                <w:highlight w:val="none"/>
              </w:rPr>
              <w:t>ND</w:t>
            </w:r>
          </w:p>
        </w:tc>
        <w:tc>
          <w:tcPr>
            <w:tcW w:w="860" w:type="pct"/>
            <w:tcBorders>
              <w:tl2br w:val="nil"/>
              <w:tr2bl w:val="nil"/>
            </w:tcBorders>
            <w:vAlign w:val="center"/>
          </w:tcPr>
          <w:p w14:paraId="18C16750">
            <w:pPr>
              <w:keepNext w:val="0"/>
              <w:keepLines w:val="0"/>
              <w:pageBreakBefore w:val="0"/>
              <w:widowControl/>
              <w:kinsoku/>
              <w:wordWrap/>
              <w:overflowPunct/>
              <w:topLinePunct w:val="0"/>
              <w:autoSpaceDE w:val="0"/>
              <w:autoSpaceDN w:val="0"/>
              <w:bidi w:val="0"/>
              <w:adjustRightInd/>
              <w:snapToGrid/>
              <w:ind w:left="0" w:right="0"/>
              <w:jc w:val="center"/>
              <w:textAlignment w:val="auto"/>
              <w:rPr>
                <w:rFonts w:ascii="Times New Roman" w:hAnsi="Times New Roman"/>
                <w:color w:val="auto"/>
                <w:sz w:val="21"/>
                <w:szCs w:val="21"/>
                <w:highlight w:val="none"/>
              </w:rPr>
            </w:pPr>
            <w:r>
              <w:rPr>
                <w:rFonts w:hint="eastAsia" w:ascii="Times New Roman" w:hAnsi="Times New Roman"/>
                <w:color w:val="auto"/>
                <w:sz w:val="21"/>
                <w:szCs w:val="21"/>
                <w:highlight w:val="none"/>
              </w:rPr>
              <w:t>0</w:t>
            </w:r>
          </w:p>
        </w:tc>
        <w:tc>
          <w:tcPr>
            <w:tcW w:w="869" w:type="pct"/>
            <w:tcBorders>
              <w:tl2br w:val="nil"/>
              <w:tr2bl w:val="nil"/>
            </w:tcBorders>
            <w:vAlign w:val="center"/>
          </w:tcPr>
          <w:p w14:paraId="05F2E3C1">
            <w:pPr>
              <w:keepNext w:val="0"/>
              <w:keepLines w:val="0"/>
              <w:pageBreakBefore w:val="0"/>
              <w:widowControl/>
              <w:kinsoku/>
              <w:wordWrap/>
              <w:overflowPunct/>
              <w:topLinePunct w:val="0"/>
              <w:autoSpaceDE w:val="0"/>
              <w:autoSpaceDN w:val="0"/>
              <w:bidi w:val="0"/>
              <w:adjustRightInd/>
              <w:snapToGrid/>
              <w:ind w:left="0" w:right="0"/>
              <w:jc w:val="center"/>
              <w:textAlignment w:val="auto"/>
              <w:rPr>
                <w:rFonts w:ascii="Times New Roman" w:hAnsi="Times New Roman"/>
                <w:color w:val="auto"/>
                <w:sz w:val="21"/>
                <w:szCs w:val="21"/>
                <w:highlight w:val="none"/>
              </w:rPr>
            </w:pPr>
            <w:r>
              <w:rPr>
                <w:rFonts w:hint="eastAsia" w:ascii="Times New Roman" w:hAnsi="Times New Roman"/>
                <w:color w:val="auto"/>
                <w:sz w:val="21"/>
                <w:szCs w:val="21"/>
                <w:highlight w:val="none"/>
              </w:rPr>
              <w:t>0</w:t>
            </w:r>
          </w:p>
        </w:tc>
        <w:tc>
          <w:tcPr>
            <w:tcW w:w="618" w:type="pct"/>
            <w:tcBorders>
              <w:tl2br w:val="nil"/>
              <w:tr2bl w:val="nil"/>
            </w:tcBorders>
            <w:vAlign w:val="center"/>
          </w:tcPr>
          <w:p w14:paraId="1949C3A8">
            <w:pPr>
              <w:keepNext w:val="0"/>
              <w:keepLines w:val="0"/>
              <w:pageBreakBefore w:val="0"/>
              <w:widowControl/>
              <w:kinsoku/>
              <w:wordWrap/>
              <w:overflowPunct/>
              <w:topLinePunct w:val="0"/>
              <w:autoSpaceDE w:val="0"/>
              <w:autoSpaceDN w:val="0"/>
              <w:bidi w:val="0"/>
              <w:adjustRightInd/>
              <w:snapToGrid/>
              <w:ind w:left="0" w:right="0"/>
              <w:jc w:val="center"/>
              <w:textAlignment w:val="auto"/>
              <w:rPr>
                <w:rFonts w:ascii="Times New Roman" w:hAnsi="Times New Roman"/>
                <w:color w:val="auto"/>
                <w:sz w:val="21"/>
                <w:szCs w:val="21"/>
                <w:highlight w:val="none"/>
              </w:rPr>
            </w:pPr>
            <w:r>
              <w:rPr>
                <w:rFonts w:hint="eastAsia" w:ascii="Times New Roman" w:hAnsi="Times New Roman"/>
                <w:color w:val="auto"/>
                <w:sz w:val="21"/>
                <w:szCs w:val="21"/>
                <w:highlight w:val="none"/>
              </w:rPr>
              <w:t>3</w:t>
            </w:r>
          </w:p>
        </w:tc>
        <w:tc>
          <w:tcPr>
            <w:tcW w:w="618" w:type="pct"/>
            <w:tcBorders>
              <w:tl2br w:val="nil"/>
              <w:tr2bl w:val="nil"/>
            </w:tcBorders>
            <w:vAlign w:val="center"/>
          </w:tcPr>
          <w:p w14:paraId="59BE4253">
            <w:pPr>
              <w:keepNext w:val="0"/>
              <w:keepLines w:val="0"/>
              <w:pageBreakBefore w:val="0"/>
              <w:widowControl/>
              <w:kinsoku/>
              <w:wordWrap/>
              <w:overflowPunct/>
              <w:topLinePunct w:val="0"/>
              <w:autoSpaceDE w:val="0"/>
              <w:autoSpaceDN w:val="0"/>
              <w:bidi w:val="0"/>
              <w:adjustRightInd/>
              <w:snapToGrid/>
              <w:ind w:left="0" w:right="0"/>
              <w:jc w:val="center"/>
              <w:textAlignment w:val="auto"/>
              <w:rPr>
                <w:rFonts w:ascii="Times New Roman" w:hAnsi="Times New Roman"/>
                <w:color w:val="auto"/>
                <w:sz w:val="21"/>
                <w:szCs w:val="21"/>
                <w:highlight w:val="none"/>
                <w:lang w:eastAsia="en-US"/>
              </w:rPr>
            </w:pPr>
            <w:r>
              <w:rPr>
                <w:rFonts w:ascii="Times New Roman" w:hAnsi="Times New Roman"/>
                <w:color w:val="auto"/>
                <w:sz w:val="21"/>
                <w:szCs w:val="21"/>
                <w:highlight w:val="none"/>
                <w:lang w:eastAsia="en-US"/>
              </w:rPr>
              <w:t>达标</w:t>
            </w:r>
          </w:p>
        </w:tc>
      </w:tr>
      <w:tr w14:paraId="19FE1AA3">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59" w:hRule="atLeast"/>
          <w:jc w:val="center"/>
        </w:trPr>
        <w:tc>
          <w:tcPr>
            <w:tcW w:w="297" w:type="pct"/>
            <w:vMerge w:val="restart"/>
            <w:tcBorders>
              <w:tl2br w:val="nil"/>
              <w:tr2bl w:val="nil"/>
            </w:tcBorders>
            <w:vAlign w:val="center"/>
          </w:tcPr>
          <w:p w14:paraId="6FEE7071">
            <w:pPr>
              <w:keepNext w:val="0"/>
              <w:keepLines w:val="0"/>
              <w:pageBreakBefore w:val="0"/>
              <w:widowControl/>
              <w:kinsoku/>
              <w:wordWrap/>
              <w:overflowPunct/>
              <w:topLinePunct w:val="0"/>
              <w:autoSpaceDE w:val="0"/>
              <w:autoSpaceDN w:val="0"/>
              <w:bidi w:val="0"/>
              <w:adjustRightInd/>
              <w:snapToGrid/>
              <w:ind w:left="0" w:right="0"/>
              <w:jc w:val="center"/>
              <w:textAlignment w:val="auto"/>
              <w:rPr>
                <w:rFonts w:ascii="Times New Roman" w:hAnsi="Times New Roman"/>
                <w:color w:val="auto"/>
                <w:sz w:val="21"/>
                <w:szCs w:val="21"/>
                <w:highlight w:val="none"/>
              </w:rPr>
            </w:pPr>
            <w:r>
              <w:rPr>
                <w:rFonts w:ascii="Times New Roman" w:hAnsi="Times New Roman"/>
                <w:color w:val="auto"/>
                <w:sz w:val="21"/>
                <w:szCs w:val="21"/>
                <w:highlight w:val="none"/>
              </w:rPr>
              <w:t>G2</w:t>
            </w:r>
            <w:r>
              <w:rPr>
                <w:rFonts w:hint="eastAsia" w:ascii="Times New Roman" w:hAnsi="Times New Roman"/>
                <w:color w:val="auto"/>
                <w:sz w:val="21"/>
                <w:szCs w:val="21"/>
                <w:highlight w:val="none"/>
              </w:rPr>
              <w:t>鸿景华庭</w:t>
            </w:r>
          </w:p>
        </w:tc>
        <w:tc>
          <w:tcPr>
            <w:tcW w:w="1489" w:type="dxa"/>
            <w:tcBorders>
              <w:tl2br w:val="nil"/>
              <w:tr2bl w:val="nil"/>
            </w:tcBorders>
            <w:vAlign w:val="center"/>
          </w:tcPr>
          <w:p w14:paraId="20CD241E">
            <w:pPr>
              <w:keepNext w:val="0"/>
              <w:keepLines w:val="0"/>
              <w:pageBreakBefore w:val="0"/>
              <w:widowControl/>
              <w:kinsoku/>
              <w:wordWrap/>
              <w:overflowPunct/>
              <w:topLinePunct w:val="0"/>
              <w:autoSpaceDE w:val="0"/>
              <w:autoSpaceDN w:val="0"/>
              <w:bidi w:val="0"/>
              <w:adjustRightInd/>
              <w:snapToGrid/>
              <w:ind w:left="0" w:right="0"/>
              <w:jc w:val="center"/>
              <w:textAlignment w:val="auto"/>
              <w:rPr>
                <w:rFonts w:ascii="Times New Roman" w:hAnsi="Times New Roman"/>
                <w:color w:val="auto"/>
                <w:sz w:val="21"/>
                <w:szCs w:val="21"/>
                <w:highlight w:val="none"/>
                <w:lang w:eastAsia="en-US"/>
              </w:rPr>
            </w:pPr>
            <w:r>
              <w:rPr>
                <w:rFonts w:ascii="Times New Roman" w:hAnsi="Times New Roman"/>
                <w:color w:val="auto"/>
                <w:sz w:val="21"/>
                <w:szCs w:val="21"/>
                <w:highlight w:val="none"/>
                <w:lang w:eastAsia="en-US"/>
              </w:rPr>
              <w:t>氮氧化物</w:t>
            </w:r>
          </w:p>
        </w:tc>
        <w:tc>
          <w:tcPr>
            <w:tcW w:w="859" w:type="pct"/>
            <w:tcBorders>
              <w:tl2br w:val="nil"/>
              <w:tr2bl w:val="nil"/>
            </w:tcBorders>
            <w:vAlign w:val="center"/>
          </w:tcPr>
          <w:p w14:paraId="22FB4D66">
            <w:pPr>
              <w:keepNext w:val="0"/>
              <w:keepLines w:val="0"/>
              <w:pageBreakBefore w:val="0"/>
              <w:widowControl/>
              <w:kinsoku/>
              <w:wordWrap/>
              <w:overflowPunct/>
              <w:topLinePunct w:val="0"/>
              <w:autoSpaceDE w:val="0"/>
              <w:autoSpaceDN w:val="0"/>
              <w:bidi w:val="0"/>
              <w:adjustRightInd/>
              <w:snapToGrid/>
              <w:ind w:left="0" w:right="0"/>
              <w:jc w:val="center"/>
              <w:textAlignment w:val="auto"/>
              <w:rPr>
                <w:rFonts w:ascii="Times New Roman" w:hAnsi="Times New Roman"/>
                <w:color w:val="auto"/>
                <w:sz w:val="21"/>
                <w:szCs w:val="21"/>
                <w:highlight w:val="none"/>
              </w:rPr>
            </w:pPr>
            <w:r>
              <w:rPr>
                <w:rFonts w:hint="eastAsia" w:ascii="Times New Roman" w:hAnsi="Times New Roman"/>
                <w:color w:val="auto"/>
                <w:sz w:val="21"/>
                <w:szCs w:val="21"/>
                <w:highlight w:val="none"/>
              </w:rPr>
              <w:t>0.021~0.085</w:t>
            </w:r>
          </w:p>
        </w:tc>
        <w:tc>
          <w:tcPr>
            <w:tcW w:w="860" w:type="pct"/>
            <w:tcBorders>
              <w:tl2br w:val="nil"/>
              <w:tr2bl w:val="nil"/>
            </w:tcBorders>
            <w:vAlign w:val="center"/>
          </w:tcPr>
          <w:p w14:paraId="1D14A298">
            <w:pPr>
              <w:keepNext w:val="0"/>
              <w:keepLines w:val="0"/>
              <w:pageBreakBefore w:val="0"/>
              <w:widowControl/>
              <w:kinsoku/>
              <w:wordWrap/>
              <w:overflowPunct/>
              <w:topLinePunct w:val="0"/>
              <w:autoSpaceDE w:val="0"/>
              <w:autoSpaceDN w:val="0"/>
              <w:bidi w:val="0"/>
              <w:adjustRightInd/>
              <w:snapToGrid/>
              <w:ind w:left="0" w:right="0"/>
              <w:jc w:val="center"/>
              <w:textAlignment w:val="auto"/>
              <w:rPr>
                <w:rFonts w:ascii="Times New Roman" w:hAnsi="Times New Roman"/>
                <w:color w:val="auto"/>
                <w:sz w:val="21"/>
                <w:szCs w:val="21"/>
                <w:highlight w:val="none"/>
              </w:rPr>
            </w:pPr>
            <w:r>
              <w:rPr>
                <w:rFonts w:hint="eastAsia" w:ascii="Times New Roman" w:hAnsi="Times New Roman"/>
                <w:color w:val="auto"/>
                <w:sz w:val="21"/>
                <w:szCs w:val="21"/>
                <w:highlight w:val="none"/>
              </w:rPr>
              <w:t>34</w:t>
            </w:r>
          </w:p>
        </w:tc>
        <w:tc>
          <w:tcPr>
            <w:tcW w:w="869" w:type="pct"/>
            <w:tcBorders>
              <w:tl2br w:val="nil"/>
              <w:tr2bl w:val="nil"/>
            </w:tcBorders>
            <w:vAlign w:val="center"/>
          </w:tcPr>
          <w:p w14:paraId="1FEE4C2B">
            <w:pPr>
              <w:keepNext w:val="0"/>
              <w:keepLines w:val="0"/>
              <w:pageBreakBefore w:val="0"/>
              <w:widowControl/>
              <w:kinsoku/>
              <w:wordWrap/>
              <w:overflowPunct/>
              <w:topLinePunct w:val="0"/>
              <w:autoSpaceDE w:val="0"/>
              <w:autoSpaceDN w:val="0"/>
              <w:bidi w:val="0"/>
              <w:adjustRightInd/>
              <w:snapToGrid/>
              <w:ind w:left="0" w:right="0"/>
              <w:jc w:val="center"/>
              <w:textAlignment w:val="auto"/>
              <w:rPr>
                <w:rFonts w:ascii="Times New Roman" w:hAnsi="Times New Roman"/>
                <w:color w:val="auto"/>
                <w:sz w:val="21"/>
                <w:szCs w:val="21"/>
                <w:highlight w:val="none"/>
              </w:rPr>
            </w:pPr>
            <w:r>
              <w:rPr>
                <w:rFonts w:hint="eastAsia" w:ascii="Times New Roman" w:hAnsi="Times New Roman"/>
                <w:color w:val="auto"/>
                <w:sz w:val="21"/>
                <w:szCs w:val="21"/>
                <w:highlight w:val="none"/>
              </w:rPr>
              <w:t>0</w:t>
            </w:r>
          </w:p>
        </w:tc>
        <w:tc>
          <w:tcPr>
            <w:tcW w:w="1052" w:type="dxa"/>
            <w:tcBorders>
              <w:tl2br w:val="nil"/>
              <w:tr2bl w:val="nil"/>
            </w:tcBorders>
            <w:vAlign w:val="center"/>
          </w:tcPr>
          <w:p w14:paraId="56922E15">
            <w:pPr>
              <w:keepNext w:val="0"/>
              <w:keepLines w:val="0"/>
              <w:pageBreakBefore w:val="0"/>
              <w:widowControl/>
              <w:kinsoku/>
              <w:wordWrap/>
              <w:overflowPunct/>
              <w:topLinePunct w:val="0"/>
              <w:autoSpaceDE w:val="0"/>
              <w:autoSpaceDN w:val="0"/>
              <w:bidi w:val="0"/>
              <w:adjustRightInd/>
              <w:snapToGrid/>
              <w:ind w:left="0" w:right="0"/>
              <w:jc w:val="center"/>
              <w:textAlignment w:val="auto"/>
              <w:rPr>
                <w:rFonts w:ascii="Times New Roman" w:hAnsi="Times New Roman"/>
                <w:color w:val="auto"/>
                <w:sz w:val="21"/>
                <w:szCs w:val="21"/>
                <w:highlight w:val="none"/>
                <w:lang w:eastAsia="en-US"/>
              </w:rPr>
            </w:pPr>
            <w:r>
              <w:rPr>
                <w:rFonts w:hint="eastAsia" w:ascii="Times New Roman" w:hAnsi="Times New Roman"/>
                <w:color w:val="auto"/>
                <w:sz w:val="21"/>
                <w:szCs w:val="21"/>
                <w:highlight w:val="none"/>
              </w:rPr>
              <w:t>0.25</w:t>
            </w:r>
          </w:p>
        </w:tc>
        <w:tc>
          <w:tcPr>
            <w:tcW w:w="618" w:type="pct"/>
            <w:tcBorders>
              <w:tl2br w:val="nil"/>
              <w:tr2bl w:val="nil"/>
            </w:tcBorders>
            <w:vAlign w:val="center"/>
          </w:tcPr>
          <w:p w14:paraId="31B5FAC7">
            <w:pPr>
              <w:keepNext w:val="0"/>
              <w:keepLines w:val="0"/>
              <w:pageBreakBefore w:val="0"/>
              <w:widowControl/>
              <w:kinsoku/>
              <w:wordWrap/>
              <w:overflowPunct/>
              <w:topLinePunct w:val="0"/>
              <w:autoSpaceDE w:val="0"/>
              <w:autoSpaceDN w:val="0"/>
              <w:bidi w:val="0"/>
              <w:adjustRightInd/>
              <w:snapToGrid/>
              <w:ind w:left="0" w:right="0"/>
              <w:jc w:val="center"/>
              <w:textAlignment w:val="auto"/>
              <w:rPr>
                <w:rFonts w:ascii="Times New Roman" w:hAnsi="Times New Roman"/>
                <w:color w:val="auto"/>
                <w:sz w:val="21"/>
                <w:szCs w:val="21"/>
                <w:highlight w:val="none"/>
                <w:lang w:eastAsia="en-US"/>
              </w:rPr>
            </w:pPr>
            <w:r>
              <w:rPr>
                <w:rFonts w:ascii="Times New Roman" w:hAnsi="Times New Roman"/>
                <w:color w:val="auto"/>
                <w:sz w:val="21"/>
                <w:szCs w:val="21"/>
                <w:highlight w:val="none"/>
                <w:lang w:eastAsia="en-US"/>
              </w:rPr>
              <w:t>达标</w:t>
            </w:r>
          </w:p>
        </w:tc>
      </w:tr>
      <w:tr w14:paraId="3CE48826">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59" w:hRule="atLeast"/>
          <w:jc w:val="center"/>
        </w:trPr>
        <w:tc>
          <w:tcPr>
            <w:tcW w:w="0" w:type="auto"/>
            <w:vMerge w:val="continue"/>
            <w:tcBorders>
              <w:tl2br w:val="nil"/>
              <w:tr2bl w:val="nil"/>
            </w:tcBorders>
            <w:vAlign w:val="center"/>
          </w:tcPr>
          <w:p w14:paraId="590D7464">
            <w:pPr>
              <w:keepNext w:val="0"/>
              <w:keepLines w:val="0"/>
              <w:pageBreakBefore w:val="0"/>
              <w:widowControl/>
              <w:kinsoku/>
              <w:wordWrap/>
              <w:overflowPunct/>
              <w:topLinePunct w:val="0"/>
              <w:bidi w:val="0"/>
              <w:adjustRightInd/>
              <w:snapToGrid/>
              <w:ind w:left="0" w:right="0"/>
              <w:textAlignment w:val="auto"/>
              <w:rPr>
                <w:rFonts w:ascii="Times New Roman" w:hAnsi="Times New Roman"/>
                <w:color w:val="auto"/>
                <w:sz w:val="21"/>
                <w:szCs w:val="21"/>
                <w:highlight w:val="none"/>
                <w:lang w:eastAsia="en-US"/>
              </w:rPr>
            </w:pPr>
          </w:p>
        </w:tc>
        <w:tc>
          <w:tcPr>
            <w:tcW w:w="1489" w:type="dxa"/>
            <w:tcBorders>
              <w:tl2br w:val="nil"/>
              <w:tr2bl w:val="nil"/>
            </w:tcBorders>
            <w:vAlign w:val="center"/>
          </w:tcPr>
          <w:p w14:paraId="0881826D">
            <w:pPr>
              <w:keepNext w:val="0"/>
              <w:keepLines w:val="0"/>
              <w:pageBreakBefore w:val="0"/>
              <w:widowControl/>
              <w:kinsoku/>
              <w:wordWrap/>
              <w:overflowPunct/>
              <w:topLinePunct w:val="0"/>
              <w:autoSpaceDE w:val="0"/>
              <w:autoSpaceDN w:val="0"/>
              <w:bidi w:val="0"/>
              <w:adjustRightInd/>
              <w:snapToGrid/>
              <w:ind w:left="0" w:right="0"/>
              <w:jc w:val="center"/>
              <w:textAlignment w:val="auto"/>
              <w:rPr>
                <w:rFonts w:ascii="Times New Roman" w:hAnsi="Times New Roman"/>
                <w:color w:val="auto"/>
                <w:sz w:val="21"/>
                <w:szCs w:val="21"/>
                <w:highlight w:val="none"/>
                <w:lang w:eastAsia="en-US"/>
              </w:rPr>
            </w:pPr>
            <w:r>
              <w:rPr>
                <w:rFonts w:ascii="Times New Roman" w:hAnsi="Times New Roman"/>
                <w:color w:val="auto"/>
                <w:sz w:val="21"/>
                <w:szCs w:val="21"/>
                <w:highlight w:val="none"/>
                <w:lang w:eastAsia="en-US"/>
              </w:rPr>
              <w:t>非甲烷总烃</w:t>
            </w:r>
          </w:p>
        </w:tc>
        <w:tc>
          <w:tcPr>
            <w:tcW w:w="859" w:type="pct"/>
            <w:tcBorders>
              <w:tl2br w:val="nil"/>
              <w:tr2bl w:val="nil"/>
            </w:tcBorders>
            <w:vAlign w:val="center"/>
          </w:tcPr>
          <w:p w14:paraId="75F631F3">
            <w:pPr>
              <w:keepNext w:val="0"/>
              <w:keepLines w:val="0"/>
              <w:pageBreakBefore w:val="0"/>
              <w:widowControl/>
              <w:kinsoku/>
              <w:wordWrap/>
              <w:overflowPunct/>
              <w:topLinePunct w:val="0"/>
              <w:autoSpaceDE w:val="0"/>
              <w:autoSpaceDN w:val="0"/>
              <w:bidi w:val="0"/>
              <w:adjustRightInd/>
              <w:snapToGrid/>
              <w:ind w:left="0" w:right="0"/>
              <w:jc w:val="center"/>
              <w:textAlignment w:val="auto"/>
              <w:rPr>
                <w:rFonts w:ascii="Times New Roman" w:hAnsi="Times New Roman"/>
                <w:color w:val="auto"/>
                <w:sz w:val="21"/>
                <w:szCs w:val="21"/>
                <w:highlight w:val="none"/>
              </w:rPr>
            </w:pPr>
            <w:r>
              <w:rPr>
                <w:rFonts w:hint="eastAsia" w:ascii="Times New Roman" w:hAnsi="Times New Roman"/>
                <w:color w:val="auto"/>
                <w:sz w:val="21"/>
                <w:szCs w:val="21"/>
                <w:highlight w:val="none"/>
              </w:rPr>
              <w:t>0.44~0.86</w:t>
            </w:r>
          </w:p>
        </w:tc>
        <w:tc>
          <w:tcPr>
            <w:tcW w:w="860" w:type="pct"/>
            <w:tcBorders>
              <w:tl2br w:val="nil"/>
              <w:tr2bl w:val="nil"/>
            </w:tcBorders>
            <w:vAlign w:val="center"/>
          </w:tcPr>
          <w:p w14:paraId="4F9601BA">
            <w:pPr>
              <w:keepNext w:val="0"/>
              <w:keepLines w:val="0"/>
              <w:pageBreakBefore w:val="0"/>
              <w:widowControl/>
              <w:kinsoku/>
              <w:wordWrap/>
              <w:overflowPunct/>
              <w:topLinePunct w:val="0"/>
              <w:autoSpaceDE w:val="0"/>
              <w:autoSpaceDN w:val="0"/>
              <w:bidi w:val="0"/>
              <w:adjustRightInd/>
              <w:snapToGrid/>
              <w:ind w:left="0" w:right="0"/>
              <w:jc w:val="center"/>
              <w:textAlignment w:val="auto"/>
              <w:rPr>
                <w:rFonts w:ascii="Times New Roman" w:hAnsi="Times New Roman"/>
                <w:color w:val="auto"/>
                <w:sz w:val="21"/>
                <w:szCs w:val="21"/>
                <w:highlight w:val="none"/>
              </w:rPr>
            </w:pPr>
            <w:r>
              <w:rPr>
                <w:rFonts w:hint="eastAsia" w:ascii="Times New Roman" w:hAnsi="Times New Roman"/>
                <w:color w:val="auto"/>
                <w:sz w:val="21"/>
                <w:szCs w:val="21"/>
                <w:highlight w:val="none"/>
              </w:rPr>
              <w:t>43</w:t>
            </w:r>
          </w:p>
        </w:tc>
        <w:tc>
          <w:tcPr>
            <w:tcW w:w="869" w:type="pct"/>
            <w:tcBorders>
              <w:tl2br w:val="nil"/>
              <w:tr2bl w:val="nil"/>
            </w:tcBorders>
          </w:tcPr>
          <w:p w14:paraId="4713080A">
            <w:pPr>
              <w:keepNext w:val="0"/>
              <w:keepLines w:val="0"/>
              <w:pageBreakBefore w:val="0"/>
              <w:widowControl/>
              <w:kinsoku/>
              <w:wordWrap/>
              <w:overflowPunct/>
              <w:topLinePunct w:val="0"/>
              <w:autoSpaceDE w:val="0"/>
              <w:autoSpaceDN w:val="0"/>
              <w:bidi w:val="0"/>
              <w:adjustRightInd/>
              <w:snapToGrid/>
              <w:ind w:left="0" w:right="0"/>
              <w:jc w:val="center"/>
              <w:textAlignment w:val="auto"/>
              <w:rPr>
                <w:rFonts w:ascii="Times New Roman" w:hAnsi="Times New Roman"/>
                <w:color w:val="auto"/>
                <w:sz w:val="21"/>
                <w:szCs w:val="21"/>
                <w:highlight w:val="none"/>
              </w:rPr>
            </w:pPr>
            <w:r>
              <w:rPr>
                <w:rFonts w:hint="eastAsia" w:ascii="Times New Roman" w:hAnsi="Times New Roman"/>
                <w:color w:val="auto"/>
                <w:sz w:val="21"/>
                <w:szCs w:val="21"/>
                <w:highlight w:val="none"/>
              </w:rPr>
              <w:t>0</w:t>
            </w:r>
          </w:p>
        </w:tc>
        <w:tc>
          <w:tcPr>
            <w:tcW w:w="1052" w:type="dxa"/>
            <w:tcBorders>
              <w:tl2br w:val="nil"/>
              <w:tr2bl w:val="nil"/>
            </w:tcBorders>
            <w:vAlign w:val="center"/>
          </w:tcPr>
          <w:p w14:paraId="6520513C">
            <w:pPr>
              <w:keepNext w:val="0"/>
              <w:keepLines w:val="0"/>
              <w:pageBreakBefore w:val="0"/>
              <w:widowControl/>
              <w:kinsoku/>
              <w:wordWrap/>
              <w:overflowPunct/>
              <w:topLinePunct w:val="0"/>
              <w:autoSpaceDE w:val="0"/>
              <w:autoSpaceDN w:val="0"/>
              <w:bidi w:val="0"/>
              <w:adjustRightInd/>
              <w:snapToGrid/>
              <w:ind w:left="0" w:right="0"/>
              <w:jc w:val="center"/>
              <w:textAlignment w:val="auto"/>
              <w:rPr>
                <w:rFonts w:ascii="Times New Roman" w:hAnsi="Times New Roman"/>
                <w:color w:val="auto"/>
                <w:sz w:val="21"/>
                <w:szCs w:val="21"/>
                <w:highlight w:val="none"/>
                <w:lang w:eastAsia="en-US"/>
              </w:rPr>
            </w:pPr>
            <w:r>
              <w:rPr>
                <w:rFonts w:ascii="Times New Roman" w:hAnsi="Times New Roman"/>
                <w:color w:val="auto"/>
                <w:sz w:val="21"/>
                <w:szCs w:val="21"/>
                <w:highlight w:val="none"/>
              </w:rPr>
              <w:t>2</w:t>
            </w:r>
          </w:p>
        </w:tc>
        <w:tc>
          <w:tcPr>
            <w:tcW w:w="618" w:type="pct"/>
            <w:tcBorders>
              <w:tl2br w:val="nil"/>
              <w:tr2bl w:val="nil"/>
            </w:tcBorders>
            <w:vAlign w:val="center"/>
          </w:tcPr>
          <w:p w14:paraId="4FEF2925">
            <w:pPr>
              <w:keepNext w:val="0"/>
              <w:keepLines w:val="0"/>
              <w:pageBreakBefore w:val="0"/>
              <w:widowControl/>
              <w:kinsoku/>
              <w:wordWrap/>
              <w:overflowPunct/>
              <w:topLinePunct w:val="0"/>
              <w:autoSpaceDE w:val="0"/>
              <w:autoSpaceDN w:val="0"/>
              <w:bidi w:val="0"/>
              <w:adjustRightInd/>
              <w:snapToGrid/>
              <w:ind w:left="0" w:right="0"/>
              <w:jc w:val="center"/>
              <w:textAlignment w:val="auto"/>
              <w:rPr>
                <w:rFonts w:ascii="Times New Roman" w:hAnsi="Times New Roman"/>
                <w:color w:val="auto"/>
                <w:sz w:val="21"/>
                <w:szCs w:val="21"/>
                <w:highlight w:val="none"/>
                <w:lang w:eastAsia="en-US"/>
              </w:rPr>
            </w:pPr>
            <w:r>
              <w:rPr>
                <w:rFonts w:ascii="Times New Roman" w:hAnsi="Times New Roman"/>
                <w:color w:val="auto"/>
                <w:sz w:val="21"/>
                <w:szCs w:val="21"/>
                <w:highlight w:val="none"/>
                <w:lang w:eastAsia="en-US"/>
              </w:rPr>
              <w:t>达标</w:t>
            </w:r>
          </w:p>
        </w:tc>
      </w:tr>
      <w:tr w14:paraId="6DA5388D">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59" w:hRule="atLeast"/>
          <w:jc w:val="center"/>
        </w:trPr>
        <w:tc>
          <w:tcPr>
            <w:tcW w:w="0" w:type="auto"/>
            <w:vMerge w:val="continue"/>
            <w:tcBorders>
              <w:tl2br w:val="nil"/>
              <w:tr2bl w:val="nil"/>
            </w:tcBorders>
            <w:vAlign w:val="center"/>
          </w:tcPr>
          <w:p w14:paraId="47526795">
            <w:pPr>
              <w:keepNext w:val="0"/>
              <w:keepLines w:val="0"/>
              <w:pageBreakBefore w:val="0"/>
              <w:widowControl/>
              <w:kinsoku/>
              <w:wordWrap/>
              <w:overflowPunct/>
              <w:topLinePunct w:val="0"/>
              <w:bidi w:val="0"/>
              <w:adjustRightInd/>
              <w:snapToGrid/>
              <w:ind w:left="0" w:right="0"/>
              <w:textAlignment w:val="auto"/>
              <w:rPr>
                <w:rFonts w:ascii="Times New Roman" w:hAnsi="Times New Roman"/>
                <w:color w:val="auto"/>
                <w:sz w:val="21"/>
                <w:szCs w:val="21"/>
                <w:highlight w:val="none"/>
                <w:lang w:eastAsia="en-US"/>
              </w:rPr>
            </w:pPr>
          </w:p>
        </w:tc>
        <w:tc>
          <w:tcPr>
            <w:tcW w:w="1489" w:type="dxa"/>
            <w:tcBorders>
              <w:tl2br w:val="nil"/>
              <w:tr2bl w:val="nil"/>
            </w:tcBorders>
            <w:vAlign w:val="center"/>
          </w:tcPr>
          <w:p w14:paraId="632EB963">
            <w:pPr>
              <w:keepNext w:val="0"/>
              <w:keepLines w:val="0"/>
              <w:pageBreakBefore w:val="0"/>
              <w:widowControl/>
              <w:kinsoku/>
              <w:wordWrap/>
              <w:overflowPunct/>
              <w:topLinePunct w:val="0"/>
              <w:autoSpaceDE w:val="0"/>
              <w:autoSpaceDN w:val="0"/>
              <w:bidi w:val="0"/>
              <w:adjustRightInd/>
              <w:snapToGrid/>
              <w:ind w:left="0" w:right="0"/>
              <w:jc w:val="center"/>
              <w:textAlignment w:val="auto"/>
              <w:rPr>
                <w:rFonts w:ascii="Times New Roman" w:hAnsi="Times New Roman"/>
                <w:color w:val="auto"/>
                <w:sz w:val="21"/>
                <w:szCs w:val="21"/>
                <w:highlight w:val="none"/>
                <w:lang w:eastAsia="en-US"/>
              </w:rPr>
            </w:pPr>
            <w:r>
              <w:rPr>
                <w:rFonts w:hint="eastAsia" w:ascii="Times New Roman" w:hAnsi="Times New Roman"/>
                <w:color w:val="auto"/>
                <w:sz w:val="21"/>
                <w:szCs w:val="21"/>
                <w:highlight w:val="none"/>
              </w:rPr>
              <w:t>甲醇</w:t>
            </w:r>
          </w:p>
        </w:tc>
        <w:tc>
          <w:tcPr>
            <w:tcW w:w="859" w:type="pct"/>
            <w:tcBorders>
              <w:tl2br w:val="nil"/>
              <w:tr2bl w:val="nil"/>
            </w:tcBorders>
            <w:vAlign w:val="center"/>
          </w:tcPr>
          <w:p w14:paraId="2CC47E89">
            <w:pPr>
              <w:keepNext w:val="0"/>
              <w:keepLines w:val="0"/>
              <w:pageBreakBefore w:val="0"/>
              <w:widowControl/>
              <w:kinsoku/>
              <w:wordWrap/>
              <w:overflowPunct/>
              <w:topLinePunct w:val="0"/>
              <w:autoSpaceDE w:val="0"/>
              <w:autoSpaceDN w:val="0"/>
              <w:bidi w:val="0"/>
              <w:adjustRightInd/>
              <w:snapToGrid/>
              <w:ind w:left="0" w:right="0"/>
              <w:jc w:val="center"/>
              <w:textAlignment w:val="auto"/>
              <w:rPr>
                <w:rFonts w:ascii="Times New Roman" w:hAnsi="Times New Roman"/>
                <w:color w:val="auto"/>
                <w:sz w:val="21"/>
                <w:szCs w:val="21"/>
                <w:highlight w:val="none"/>
              </w:rPr>
            </w:pPr>
            <w:r>
              <w:rPr>
                <w:rFonts w:hint="eastAsia" w:ascii="Times New Roman" w:hAnsi="Times New Roman"/>
                <w:color w:val="auto"/>
                <w:sz w:val="21"/>
                <w:szCs w:val="21"/>
                <w:highlight w:val="none"/>
              </w:rPr>
              <w:t>ND</w:t>
            </w:r>
          </w:p>
        </w:tc>
        <w:tc>
          <w:tcPr>
            <w:tcW w:w="860" w:type="pct"/>
            <w:tcBorders>
              <w:tl2br w:val="nil"/>
              <w:tr2bl w:val="nil"/>
            </w:tcBorders>
            <w:vAlign w:val="center"/>
          </w:tcPr>
          <w:p w14:paraId="6277C4DC">
            <w:pPr>
              <w:keepNext w:val="0"/>
              <w:keepLines w:val="0"/>
              <w:pageBreakBefore w:val="0"/>
              <w:widowControl/>
              <w:kinsoku/>
              <w:wordWrap/>
              <w:overflowPunct/>
              <w:topLinePunct w:val="0"/>
              <w:autoSpaceDE w:val="0"/>
              <w:autoSpaceDN w:val="0"/>
              <w:bidi w:val="0"/>
              <w:adjustRightInd/>
              <w:snapToGrid/>
              <w:ind w:left="0" w:right="0"/>
              <w:jc w:val="center"/>
              <w:textAlignment w:val="auto"/>
              <w:rPr>
                <w:rFonts w:ascii="Times New Roman" w:hAnsi="Times New Roman"/>
                <w:color w:val="auto"/>
                <w:sz w:val="21"/>
                <w:szCs w:val="21"/>
                <w:highlight w:val="none"/>
              </w:rPr>
            </w:pPr>
            <w:r>
              <w:rPr>
                <w:rFonts w:hint="eastAsia" w:ascii="Times New Roman" w:hAnsi="Times New Roman"/>
                <w:color w:val="auto"/>
                <w:sz w:val="21"/>
                <w:szCs w:val="21"/>
                <w:highlight w:val="none"/>
              </w:rPr>
              <w:t>0</w:t>
            </w:r>
          </w:p>
        </w:tc>
        <w:tc>
          <w:tcPr>
            <w:tcW w:w="869" w:type="pct"/>
            <w:tcBorders>
              <w:tl2br w:val="nil"/>
              <w:tr2bl w:val="nil"/>
            </w:tcBorders>
            <w:vAlign w:val="center"/>
          </w:tcPr>
          <w:p w14:paraId="067F4FB8">
            <w:pPr>
              <w:keepNext w:val="0"/>
              <w:keepLines w:val="0"/>
              <w:pageBreakBefore w:val="0"/>
              <w:widowControl/>
              <w:kinsoku/>
              <w:wordWrap/>
              <w:overflowPunct/>
              <w:topLinePunct w:val="0"/>
              <w:autoSpaceDE w:val="0"/>
              <w:autoSpaceDN w:val="0"/>
              <w:bidi w:val="0"/>
              <w:adjustRightInd/>
              <w:snapToGrid/>
              <w:ind w:left="0" w:right="0"/>
              <w:jc w:val="center"/>
              <w:textAlignment w:val="auto"/>
              <w:rPr>
                <w:rFonts w:ascii="Times New Roman" w:hAnsi="Times New Roman"/>
                <w:color w:val="auto"/>
                <w:sz w:val="21"/>
                <w:szCs w:val="21"/>
                <w:highlight w:val="none"/>
              </w:rPr>
            </w:pPr>
            <w:r>
              <w:rPr>
                <w:rFonts w:hint="eastAsia" w:ascii="Times New Roman" w:hAnsi="Times New Roman"/>
                <w:color w:val="auto"/>
                <w:sz w:val="21"/>
                <w:szCs w:val="21"/>
                <w:highlight w:val="none"/>
              </w:rPr>
              <w:t>0</w:t>
            </w:r>
          </w:p>
        </w:tc>
        <w:tc>
          <w:tcPr>
            <w:tcW w:w="618" w:type="pct"/>
            <w:tcBorders>
              <w:tl2br w:val="nil"/>
              <w:tr2bl w:val="nil"/>
            </w:tcBorders>
            <w:vAlign w:val="center"/>
          </w:tcPr>
          <w:p w14:paraId="75105648">
            <w:pPr>
              <w:keepNext w:val="0"/>
              <w:keepLines w:val="0"/>
              <w:pageBreakBefore w:val="0"/>
              <w:widowControl/>
              <w:kinsoku/>
              <w:wordWrap/>
              <w:overflowPunct/>
              <w:topLinePunct w:val="0"/>
              <w:autoSpaceDE w:val="0"/>
              <w:autoSpaceDN w:val="0"/>
              <w:bidi w:val="0"/>
              <w:adjustRightInd/>
              <w:snapToGrid/>
              <w:ind w:left="0" w:right="0"/>
              <w:jc w:val="center"/>
              <w:textAlignment w:val="auto"/>
              <w:rPr>
                <w:rFonts w:ascii="Times New Roman" w:hAnsi="Times New Roman"/>
                <w:color w:val="auto"/>
                <w:sz w:val="21"/>
                <w:szCs w:val="21"/>
                <w:highlight w:val="none"/>
              </w:rPr>
            </w:pPr>
            <w:r>
              <w:rPr>
                <w:rFonts w:hint="eastAsia" w:ascii="Times New Roman" w:hAnsi="Times New Roman"/>
                <w:color w:val="auto"/>
                <w:sz w:val="21"/>
                <w:szCs w:val="21"/>
                <w:highlight w:val="none"/>
              </w:rPr>
              <w:t>3</w:t>
            </w:r>
          </w:p>
        </w:tc>
        <w:tc>
          <w:tcPr>
            <w:tcW w:w="618" w:type="pct"/>
            <w:tcBorders>
              <w:tl2br w:val="nil"/>
              <w:tr2bl w:val="nil"/>
            </w:tcBorders>
            <w:vAlign w:val="center"/>
          </w:tcPr>
          <w:p w14:paraId="424660C5">
            <w:pPr>
              <w:keepNext w:val="0"/>
              <w:keepLines w:val="0"/>
              <w:pageBreakBefore w:val="0"/>
              <w:widowControl/>
              <w:kinsoku/>
              <w:wordWrap/>
              <w:overflowPunct/>
              <w:topLinePunct w:val="0"/>
              <w:autoSpaceDE w:val="0"/>
              <w:autoSpaceDN w:val="0"/>
              <w:bidi w:val="0"/>
              <w:adjustRightInd/>
              <w:snapToGrid/>
              <w:ind w:left="0" w:right="0"/>
              <w:jc w:val="center"/>
              <w:textAlignment w:val="auto"/>
              <w:rPr>
                <w:rFonts w:ascii="Times New Roman" w:hAnsi="Times New Roman"/>
                <w:color w:val="auto"/>
                <w:sz w:val="21"/>
                <w:szCs w:val="21"/>
                <w:highlight w:val="none"/>
                <w:lang w:eastAsia="en-US"/>
              </w:rPr>
            </w:pPr>
            <w:r>
              <w:rPr>
                <w:rFonts w:ascii="Times New Roman" w:hAnsi="Times New Roman"/>
                <w:color w:val="auto"/>
                <w:sz w:val="21"/>
                <w:szCs w:val="21"/>
                <w:highlight w:val="none"/>
                <w:lang w:eastAsia="en-US"/>
              </w:rPr>
              <w:t>达标</w:t>
            </w:r>
          </w:p>
        </w:tc>
      </w:tr>
    </w:tbl>
    <w:p w14:paraId="64B4D844">
      <w:pPr>
        <w:spacing w:line="360" w:lineRule="auto"/>
        <w:ind w:left="-105" w:right="-105" w:firstLine="480" w:firstLineChars="200"/>
        <w:rPr>
          <w:rFonts w:ascii="Times New Roman" w:hAnsi="Times New Roman"/>
          <w:color w:val="auto"/>
          <w:highlight w:val="none"/>
        </w:rPr>
      </w:pPr>
      <w:r>
        <w:rPr>
          <w:rFonts w:ascii="Times New Roman" w:hAnsi="Times New Roman"/>
          <w:color w:val="auto"/>
          <w:highlight w:val="none"/>
        </w:rPr>
        <w:t>监测结果表明：各个监测点氮氧化物监测浓度可满足《环境空气质量标准》（GB3095-2012）表1中二级标准要求；</w:t>
      </w:r>
      <w:r>
        <w:rPr>
          <w:rFonts w:hint="eastAsia" w:ascii="Times New Roman" w:hAnsi="Times New Roman"/>
          <w:color w:val="auto"/>
          <w:highlight w:val="none"/>
        </w:rPr>
        <w:t>甲醇</w:t>
      </w:r>
      <w:r>
        <w:rPr>
          <w:rFonts w:ascii="Times New Roman" w:hAnsi="Times New Roman"/>
          <w:color w:val="auto"/>
          <w:highlight w:val="none"/>
        </w:rPr>
        <w:t>监测浓度可满足《环境影响评价技术导则大气环境》（HJ2.2-2018）附录D其他污染物空气质量浓度参考限值；非甲烷总烃监测浓度均可满足《大气污染物综合排放标准详解》中的推荐值，该区域环境空气质量较好。</w:t>
      </w:r>
    </w:p>
    <w:p w14:paraId="494D0532">
      <w:pPr>
        <w:pStyle w:val="5"/>
        <w:keepLines w:val="0"/>
        <w:numPr>
          <w:ilvl w:val="2"/>
          <w:numId w:val="0"/>
        </w:numPr>
        <w:tabs>
          <w:tab w:val="left" w:pos="567"/>
          <w:tab w:val="left" w:pos="709"/>
        </w:tabs>
        <w:spacing w:before="120" w:beforeLines="50" w:after="120" w:afterLines="50" w:line="360" w:lineRule="auto"/>
        <w:ind w:right="-105"/>
        <w:rPr>
          <w:rFonts w:eastAsia="宋体"/>
          <w:color w:val="auto"/>
          <w:sz w:val="28"/>
          <w:szCs w:val="28"/>
          <w:highlight w:val="none"/>
        </w:rPr>
      </w:pPr>
      <w:bookmarkStart w:id="342" w:name="_Toc60653540"/>
      <w:bookmarkStart w:id="343" w:name="_Toc370313624"/>
      <w:r>
        <w:rPr>
          <w:rFonts w:hint="eastAsia" w:eastAsia="宋体"/>
          <w:color w:val="auto"/>
          <w:sz w:val="28"/>
          <w:szCs w:val="28"/>
          <w:highlight w:val="none"/>
        </w:rPr>
        <w:t>5.3.2</w:t>
      </w:r>
      <w:r>
        <w:rPr>
          <w:rFonts w:eastAsia="宋体"/>
          <w:color w:val="auto"/>
          <w:sz w:val="28"/>
          <w:szCs w:val="28"/>
          <w:highlight w:val="none"/>
        </w:rPr>
        <w:t>地表水环境质量现状监测与评价</w:t>
      </w:r>
      <w:bookmarkEnd w:id="342"/>
      <w:bookmarkEnd w:id="343"/>
    </w:p>
    <w:p w14:paraId="56812EC6">
      <w:pPr>
        <w:pStyle w:val="97"/>
        <w:spacing w:line="360" w:lineRule="auto"/>
        <w:ind w:left="-105" w:right="-105" w:firstLine="480"/>
        <w:jc w:val="left"/>
        <w:rPr>
          <w:rFonts w:eastAsia="宋体"/>
          <w:color w:val="auto"/>
          <w:sz w:val="24"/>
          <w:highlight w:val="none"/>
        </w:rPr>
      </w:pPr>
      <w:r>
        <w:rPr>
          <w:rFonts w:hint="eastAsia" w:eastAsia="宋体"/>
          <w:color w:val="auto"/>
          <w:sz w:val="24"/>
          <w:highlight w:val="none"/>
        </w:rPr>
        <w:t>本项目废水排入无锡市锡山云林污水处理有限公司，尾水排入北兴塘河。本次评价引用无锡盛鑫氢能科技有限公司《年产100公斤燃料电池催化剂项目环境影响报告书》中委托江苏国舜检测技术有限公司对北兴塘河地表水环境质量进行现状监测（报告编号：GS2310054017），监测时间为2023年10月9日~10月11日。</w:t>
      </w:r>
    </w:p>
    <w:p w14:paraId="6C1DE297">
      <w:pPr>
        <w:pStyle w:val="97"/>
        <w:spacing w:line="360" w:lineRule="auto"/>
        <w:ind w:left="-105" w:right="-105" w:firstLine="480"/>
        <w:jc w:val="left"/>
        <w:rPr>
          <w:rFonts w:eastAsia="宋体"/>
          <w:color w:val="auto"/>
          <w:sz w:val="24"/>
          <w:highlight w:val="none"/>
        </w:rPr>
      </w:pPr>
      <w:r>
        <w:rPr>
          <w:rFonts w:eastAsia="宋体"/>
          <w:color w:val="auto"/>
          <w:sz w:val="24"/>
          <w:highlight w:val="none"/>
        </w:rPr>
        <w:t>（1）断面布设：监测因子：</w:t>
      </w:r>
      <w:r>
        <w:rPr>
          <w:rFonts w:hint="eastAsia" w:eastAsia="宋体"/>
          <w:bCs/>
          <w:color w:val="auto"/>
          <w:sz w:val="24"/>
          <w:highlight w:val="none"/>
        </w:rPr>
        <w:t>溶解氧、pH、COD、悬浮物、氨氮、总磷、总氮</w:t>
      </w:r>
      <w:r>
        <w:rPr>
          <w:rFonts w:eastAsia="宋体"/>
          <w:color w:val="auto"/>
          <w:sz w:val="24"/>
          <w:highlight w:val="none"/>
        </w:rPr>
        <w:t>。</w:t>
      </w:r>
    </w:p>
    <w:p w14:paraId="777F2C18">
      <w:pPr>
        <w:pStyle w:val="97"/>
        <w:spacing w:line="360" w:lineRule="auto"/>
        <w:ind w:left="-105" w:right="-105" w:firstLine="480"/>
        <w:rPr>
          <w:rFonts w:eastAsia="宋体"/>
          <w:color w:val="auto"/>
          <w:sz w:val="24"/>
          <w:highlight w:val="none"/>
        </w:rPr>
      </w:pPr>
      <w:r>
        <w:rPr>
          <w:rFonts w:eastAsia="宋体"/>
          <w:color w:val="auto"/>
          <w:sz w:val="24"/>
          <w:highlight w:val="none"/>
        </w:rPr>
        <w:t>监测时间和频次：连续监测三天，每天二次。</w:t>
      </w:r>
    </w:p>
    <w:p w14:paraId="209FAC6B">
      <w:pPr>
        <w:pStyle w:val="97"/>
        <w:spacing w:line="360" w:lineRule="auto"/>
        <w:ind w:left="-105" w:right="-105" w:firstLine="480"/>
        <w:rPr>
          <w:rFonts w:eastAsia="宋体"/>
          <w:color w:val="auto"/>
          <w:sz w:val="24"/>
          <w:highlight w:val="none"/>
        </w:rPr>
      </w:pPr>
      <w:r>
        <w:rPr>
          <w:rFonts w:eastAsia="宋体"/>
          <w:color w:val="auto"/>
          <w:sz w:val="24"/>
          <w:highlight w:val="none"/>
        </w:rPr>
        <w:t>监测断面设置：共布设3个监测断面，具体位置见</w:t>
      </w:r>
      <w:r>
        <w:rPr>
          <w:rFonts w:hint="eastAsia" w:eastAsia="宋体"/>
          <w:color w:val="auto"/>
          <w:sz w:val="24"/>
          <w:highlight w:val="none"/>
        </w:rPr>
        <w:t>附图</w:t>
      </w:r>
      <w:r>
        <w:rPr>
          <w:rFonts w:eastAsia="宋体"/>
          <w:color w:val="auto"/>
          <w:sz w:val="24"/>
          <w:highlight w:val="none"/>
        </w:rPr>
        <w:t>、见</w:t>
      </w:r>
      <w:r>
        <w:rPr>
          <w:rFonts w:eastAsia="宋体"/>
          <w:color w:val="auto"/>
          <w:sz w:val="24"/>
          <w:highlight w:val="none"/>
        </w:rPr>
        <w:fldChar w:fldCharType="begin"/>
      </w:r>
      <w:r>
        <w:rPr>
          <w:rFonts w:eastAsia="宋体"/>
          <w:color w:val="auto"/>
          <w:sz w:val="24"/>
          <w:highlight w:val="none"/>
        </w:rPr>
        <w:instrText xml:space="preserve"> REF _Ref40985267 \h  \* MERGEFORMAT </w:instrText>
      </w:r>
      <w:r>
        <w:rPr>
          <w:rFonts w:eastAsia="宋体"/>
          <w:color w:val="auto"/>
          <w:sz w:val="24"/>
          <w:highlight w:val="none"/>
        </w:rPr>
        <w:fldChar w:fldCharType="separate"/>
      </w:r>
      <w:r>
        <w:rPr>
          <w:rFonts w:eastAsia="宋体"/>
          <w:color w:val="auto"/>
          <w:sz w:val="24"/>
          <w:highlight w:val="none"/>
        </w:rPr>
        <w:t>表</w:t>
      </w:r>
      <w:r>
        <w:rPr>
          <w:rFonts w:eastAsia="宋体"/>
          <w:color w:val="auto"/>
          <w:sz w:val="24"/>
          <w:highlight w:val="none"/>
        </w:rPr>
        <w:fldChar w:fldCharType="begin"/>
      </w:r>
      <w:r>
        <w:rPr>
          <w:rFonts w:eastAsia="宋体"/>
          <w:color w:val="auto"/>
          <w:sz w:val="24"/>
          <w:highlight w:val="none"/>
        </w:rPr>
        <w:instrText xml:space="preserve"> STYLEREF</w:instrText>
      </w:r>
      <w:r>
        <w:rPr>
          <w:color w:val="auto"/>
          <w:sz w:val="24"/>
          <w:highlight w:val="none"/>
        </w:rPr>
        <w:instrText xml:space="preserve"> 2 \s </w:instrText>
      </w:r>
      <w:r>
        <w:rPr>
          <w:color w:val="auto"/>
          <w:sz w:val="24"/>
          <w:highlight w:val="none"/>
        </w:rPr>
        <w:fldChar w:fldCharType="separate"/>
      </w:r>
      <w:r>
        <w:rPr>
          <w:color w:val="auto"/>
          <w:sz w:val="24"/>
          <w:highlight w:val="none"/>
        </w:rPr>
        <w:t>5.3</w:t>
      </w:r>
      <w:r>
        <w:rPr>
          <w:color w:val="auto"/>
          <w:sz w:val="24"/>
          <w:highlight w:val="none"/>
        </w:rPr>
        <w:fldChar w:fldCharType="end"/>
      </w:r>
      <w:r>
        <w:rPr>
          <w:color w:val="auto"/>
          <w:sz w:val="24"/>
          <w:highlight w:val="none"/>
        </w:rPr>
        <w:noBreakHyphen/>
      </w:r>
      <w:r>
        <w:rPr>
          <w:color w:val="auto"/>
          <w:sz w:val="24"/>
          <w:highlight w:val="none"/>
        </w:rPr>
        <w:t>5</w:t>
      </w:r>
      <w:r>
        <w:rPr>
          <w:rFonts w:eastAsia="宋体"/>
          <w:color w:val="auto"/>
          <w:sz w:val="24"/>
          <w:highlight w:val="none"/>
        </w:rPr>
        <w:fldChar w:fldCharType="end"/>
      </w:r>
      <w:r>
        <w:rPr>
          <w:rFonts w:eastAsia="宋体"/>
          <w:color w:val="auto"/>
          <w:sz w:val="24"/>
          <w:highlight w:val="none"/>
        </w:rPr>
        <w:t>。</w:t>
      </w:r>
    </w:p>
    <w:p w14:paraId="2ED7025B">
      <w:pPr>
        <w:pStyle w:val="15"/>
        <w:spacing w:line="360" w:lineRule="auto"/>
        <w:ind w:left="-105" w:right="-105" w:firstLine="482"/>
        <w:rPr>
          <w:rFonts w:eastAsia="宋体" w:cs="Times New Roman"/>
          <w:b w:val="0"/>
          <w:bCs/>
          <w:color w:val="auto"/>
          <w:kern w:val="0"/>
          <w:sz w:val="24"/>
          <w:szCs w:val="24"/>
          <w:highlight w:val="none"/>
        </w:rPr>
      </w:pPr>
      <w:bookmarkStart w:id="344" w:name="_Ref40985267"/>
      <w:r>
        <w:rPr>
          <w:rFonts w:eastAsia="宋体" w:cs="Times New Roman"/>
          <w:color w:val="auto"/>
          <w:sz w:val="24"/>
          <w:szCs w:val="18"/>
          <w:highlight w:val="none"/>
        </w:rPr>
        <w:t>表</w:t>
      </w:r>
      <w:r>
        <w:rPr>
          <w:rFonts w:eastAsia="宋体" w:cs="Times New Roman"/>
          <w:color w:val="auto"/>
          <w:sz w:val="24"/>
          <w:szCs w:val="18"/>
          <w:highlight w:val="none"/>
        </w:rPr>
        <w:fldChar w:fldCharType="begin"/>
      </w:r>
      <w:r>
        <w:rPr>
          <w:rFonts w:eastAsia="宋体" w:cs="Times New Roman"/>
          <w:color w:val="auto"/>
          <w:sz w:val="24"/>
          <w:szCs w:val="18"/>
          <w:highlight w:val="none"/>
        </w:rPr>
        <w:instrText xml:space="preserve"> STYLEREF 2 \s </w:instrText>
      </w:r>
      <w:r>
        <w:rPr>
          <w:rFonts w:eastAsia="宋体" w:cs="Times New Roman"/>
          <w:color w:val="auto"/>
          <w:sz w:val="24"/>
          <w:szCs w:val="18"/>
          <w:highlight w:val="none"/>
        </w:rPr>
        <w:fldChar w:fldCharType="separate"/>
      </w:r>
      <w:r>
        <w:rPr>
          <w:rFonts w:eastAsia="宋体" w:cs="Times New Roman"/>
          <w:color w:val="auto"/>
          <w:sz w:val="24"/>
          <w:szCs w:val="18"/>
          <w:highlight w:val="none"/>
        </w:rPr>
        <w:t>5.3</w:t>
      </w:r>
      <w:r>
        <w:rPr>
          <w:rFonts w:eastAsia="宋体" w:cs="Times New Roman"/>
          <w:color w:val="auto"/>
          <w:sz w:val="24"/>
          <w:szCs w:val="18"/>
          <w:highlight w:val="none"/>
        </w:rPr>
        <w:fldChar w:fldCharType="end"/>
      </w:r>
      <w:r>
        <w:rPr>
          <w:rFonts w:eastAsia="宋体" w:cs="Times New Roman"/>
          <w:color w:val="auto"/>
          <w:sz w:val="24"/>
          <w:szCs w:val="18"/>
          <w:highlight w:val="none"/>
        </w:rPr>
        <w:noBreakHyphen/>
      </w:r>
      <w:r>
        <w:rPr>
          <w:rFonts w:eastAsia="宋体" w:cs="Times New Roman"/>
          <w:color w:val="auto"/>
          <w:sz w:val="24"/>
          <w:szCs w:val="18"/>
          <w:highlight w:val="none"/>
        </w:rPr>
        <w:fldChar w:fldCharType="begin"/>
      </w:r>
      <w:r>
        <w:rPr>
          <w:rFonts w:eastAsia="宋体" w:cs="Times New Roman"/>
          <w:color w:val="auto"/>
          <w:sz w:val="24"/>
          <w:szCs w:val="18"/>
          <w:highlight w:val="none"/>
        </w:rPr>
        <w:instrText xml:space="preserve"> SEQ 表 \* ARABIC \s 2 </w:instrText>
      </w:r>
      <w:r>
        <w:rPr>
          <w:rFonts w:eastAsia="宋体" w:cs="Times New Roman"/>
          <w:color w:val="auto"/>
          <w:sz w:val="24"/>
          <w:szCs w:val="18"/>
          <w:highlight w:val="none"/>
        </w:rPr>
        <w:fldChar w:fldCharType="separate"/>
      </w:r>
      <w:r>
        <w:rPr>
          <w:rFonts w:eastAsia="宋体" w:cs="Times New Roman"/>
          <w:color w:val="auto"/>
          <w:sz w:val="24"/>
          <w:szCs w:val="18"/>
          <w:highlight w:val="none"/>
        </w:rPr>
        <w:t>5</w:t>
      </w:r>
      <w:r>
        <w:rPr>
          <w:rFonts w:eastAsia="宋体" w:cs="Times New Roman"/>
          <w:color w:val="auto"/>
          <w:sz w:val="24"/>
          <w:szCs w:val="18"/>
          <w:highlight w:val="none"/>
        </w:rPr>
        <w:fldChar w:fldCharType="end"/>
      </w:r>
      <w:bookmarkEnd w:id="344"/>
      <w:r>
        <w:rPr>
          <w:rFonts w:eastAsia="宋体" w:cs="Times New Roman"/>
          <w:color w:val="auto"/>
          <w:kern w:val="0"/>
          <w:sz w:val="24"/>
          <w:szCs w:val="24"/>
          <w:highlight w:val="none"/>
        </w:rPr>
        <w:t>水环境现状监测断面及监测项目一览表</w:t>
      </w:r>
    </w:p>
    <w:tbl>
      <w:tblPr>
        <w:tblStyle w:val="45"/>
        <w:tblW w:w="5000" w:type="pct"/>
        <w:jc w:val="center"/>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autofit"/>
        <w:tblCellMar>
          <w:top w:w="0" w:type="dxa"/>
          <w:left w:w="0" w:type="dxa"/>
          <w:bottom w:w="0" w:type="dxa"/>
          <w:right w:w="0" w:type="dxa"/>
        </w:tblCellMar>
      </w:tblPr>
      <w:tblGrid>
        <w:gridCol w:w="817"/>
        <w:gridCol w:w="1426"/>
        <w:gridCol w:w="2862"/>
        <w:gridCol w:w="3399"/>
      </w:tblGrid>
      <w:tr w14:paraId="68496FD4">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480" w:type="pct"/>
            <w:tcBorders>
              <w:top w:val="single" w:color="000000" w:sz="12" w:space="0"/>
              <w:left w:val="nil"/>
              <w:bottom w:val="single" w:color="000000" w:sz="4" w:space="0"/>
              <w:right w:val="single" w:color="000000" w:sz="4" w:space="0"/>
            </w:tcBorders>
            <w:vAlign w:val="center"/>
          </w:tcPr>
          <w:p w14:paraId="50C05018">
            <w:pPr>
              <w:keepNext w:val="0"/>
              <w:keepLines w:val="0"/>
              <w:pageBreakBefore w:val="0"/>
              <w:kinsoku/>
              <w:wordWrap/>
              <w:overflowPunct/>
              <w:topLinePunct w:val="0"/>
              <w:autoSpaceDE w:val="0"/>
              <w:autoSpaceDN w:val="0"/>
              <w:bidi w:val="0"/>
              <w:adjustRightInd/>
              <w:snapToGrid/>
              <w:ind w:left="0" w:right="0"/>
              <w:jc w:val="center"/>
              <w:textAlignment w:val="auto"/>
              <w:rPr>
                <w:rFonts w:ascii="Times New Roman" w:hAnsi="Times New Roman"/>
                <w:b/>
                <w:color w:val="auto"/>
                <w:sz w:val="21"/>
                <w:szCs w:val="21"/>
                <w:highlight w:val="none"/>
              </w:rPr>
            </w:pPr>
            <w:r>
              <w:rPr>
                <w:rFonts w:ascii="Times New Roman" w:hAnsi="Times New Roman"/>
                <w:b/>
                <w:color w:val="auto"/>
                <w:sz w:val="21"/>
                <w:szCs w:val="21"/>
                <w:highlight w:val="none"/>
              </w:rPr>
              <w:t>河流</w:t>
            </w:r>
          </w:p>
        </w:tc>
        <w:tc>
          <w:tcPr>
            <w:tcW w:w="838" w:type="pct"/>
            <w:tcBorders>
              <w:top w:val="single" w:color="000000" w:sz="12" w:space="0"/>
              <w:left w:val="single" w:color="000000" w:sz="4" w:space="0"/>
              <w:bottom w:val="single" w:color="000000" w:sz="4" w:space="0"/>
              <w:right w:val="single" w:color="000000" w:sz="4" w:space="0"/>
            </w:tcBorders>
            <w:vAlign w:val="center"/>
          </w:tcPr>
          <w:p w14:paraId="56F22D8D">
            <w:pPr>
              <w:keepNext w:val="0"/>
              <w:keepLines w:val="0"/>
              <w:pageBreakBefore w:val="0"/>
              <w:kinsoku/>
              <w:wordWrap/>
              <w:overflowPunct/>
              <w:topLinePunct w:val="0"/>
              <w:autoSpaceDE w:val="0"/>
              <w:autoSpaceDN w:val="0"/>
              <w:bidi w:val="0"/>
              <w:adjustRightInd/>
              <w:snapToGrid/>
              <w:ind w:left="0" w:right="0"/>
              <w:jc w:val="center"/>
              <w:textAlignment w:val="auto"/>
              <w:rPr>
                <w:rFonts w:ascii="Times New Roman" w:hAnsi="Times New Roman"/>
                <w:b/>
                <w:color w:val="auto"/>
                <w:sz w:val="21"/>
                <w:szCs w:val="21"/>
                <w:highlight w:val="none"/>
              </w:rPr>
            </w:pPr>
            <w:r>
              <w:rPr>
                <w:rFonts w:ascii="Times New Roman" w:hAnsi="Times New Roman"/>
                <w:b/>
                <w:color w:val="auto"/>
                <w:sz w:val="21"/>
                <w:szCs w:val="21"/>
                <w:highlight w:val="none"/>
              </w:rPr>
              <w:t>断面编号</w:t>
            </w:r>
          </w:p>
        </w:tc>
        <w:tc>
          <w:tcPr>
            <w:tcW w:w="1682" w:type="pct"/>
            <w:tcBorders>
              <w:top w:val="single" w:color="000000" w:sz="12" w:space="0"/>
              <w:left w:val="single" w:color="000000" w:sz="4" w:space="0"/>
              <w:bottom w:val="single" w:color="000000" w:sz="4" w:space="0"/>
              <w:right w:val="single" w:color="000000" w:sz="4" w:space="0"/>
            </w:tcBorders>
            <w:vAlign w:val="center"/>
          </w:tcPr>
          <w:p w14:paraId="0E8FED30">
            <w:pPr>
              <w:keepNext w:val="0"/>
              <w:keepLines w:val="0"/>
              <w:pageBreakBefore w:val="0"/>
              <w:kinsoku/>
              <w:wordWrap/>
              <w:overflowPunct/>
              <w:topLinePunct w:val="0"/>
              <w:autoSpaceDE w:val="0"/>
              <w:autoSpaceDN w:val="0"/>
              <w:bidi w:val="0"/>
              <w:adjustRightInd/>
              <w:snapToGrid/>
              <w:ind w:left="0" w:right="0"/>
              <w:jc w:val="center"/>
              <w:textAlignment w:val="auto"/>
              <w:rPr>
                <w:rFonts w:ascii="Times New Roman" w:hAnsi="Times New Roman"/>
                <w:b/>
                <w:color w:val="auto"/>
                <w:sz w:val="21"/>
                <w:szCs w:val="21"/>
                <w:highlight w:val="none"/>
              </w:rPr>
            </w:pPr>
            <w:r>
              <w:rPr>
                <w:rFonts w:ascii="Times New Roman" w:hAnsi="Times New Roman"/>
                <w:b/>
                <w:color w:val="auto"/>
                <w:sz w:val="21"/>
                <w:szCs w:val="21"/>
                <w:highlight w:val="none"/>
              </w:rPr>
              <w:t>断面位置</w:t>
            </w:r>
          </w:p>
        </w:tc>
        <w:tc>
          <w:tcPr>
            <w:tcW w:w="1998" w:type="pct"/>
            <w:tcBorders>
              <w:top w:val="single" w:color="000000" w:sz="12" w:space="0"/>
              <w:left w:val="single" w:color="000000" w:sz="4" w:space="0"/>
              <w:bottom w:val="single" w:color="000000" w:sz="4" w:space="0"/>
              <w:right w:val="nil"/>
            </w:tcBorders>
            <w:vAlign w:val="center"/>
          </w:tcPr>
          <w:p w14:paraId="21FC6444">
            <w:pPr>
              <w:keepNext w:val="0"/>
              <w:keepLines w:val="0"/>
              <w:pageBreakBefore w:val="0"/>
              <w:kinsoku/>
              <w:wordWrap/>
              <w:overflowPunct/>
              <w:topLinePunct w:val="0"/>
              <w:autoSpaceDE w:val="0"/>
              <w:autoSpaceDN w:val="0"/>
              <w:bidi w:val="0"/>
              <w:adjustRightInd/>
              <w:snapToGrid/>
              <w:ind w:left="0" w:right="0"/>
              <w:jc w:val="center"/>
              <w:textAlignment w:val="auto"/>
              <w:rPr>
                <w:rFonts w:ascii="Times New Roman" w:hAnsi="Times New Roman"/>
                <w:b/>
                <w:color w:val="auto"/>
                <w:sz w:val="21"/>
                <w:szCs w:val="21"/>
                <w:highlight w:val="none"/>
              </w:rPr>
            </w:pPr>
            <w:r>
              <w:rPr>
                <w:rFonts w:ascii="Times New Roman" w:hAnsi="Times New Roman"/>
                <w:b/>
                <w:color w:val="auto"/>
                <w:sz w:val="21"/>
                <w:szCs w:val="21"/>
                <w:highlight w:val="none"/>
              </w:rPr>
              <w:t>监测因子</w:t>
            </w:r>
          </w:p>
        </w:tc>
      </w:tr>
      <w:tr w14:paraId="5678EC27">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480" w:type="pct"/>
            <w:vMerge w:val="restart"/>
            <w:tcBorders>
              <w:top w:val="single" w:color="000000" w:sz="4" w:space="0"/>
              <w:left w:val="nil"/>
              <w:right w:val="single" w:color="000000" w:sz="4" w:space="0"/>
            </w:tcBorders>
            <w:vAlign w:val="center"/>
          </w:tcPr>
          <w:p w14:paraId="7B0395C2">
            <w:pPr>
              <w:keepNext w:val="0"/>
              <w:keepLines w:val="0"/>
              <w:pageBreakBefore w:val="0"/>
              <w:kinsoku/>
              <w:wordWrap/>
              <w:overflowPunct/>
              <w:topLinePunct w:val="0"/>
              <w:autoSpaceDE w:val="0"/>
              <w:autoSpaceDN w:val="0"/>
              <w:bidi w:val="0"/>
              <w:adjustRightInd/>
              <w:snapToGrid/>
              <w:ind w:left="0" w:right="0"/>
              <w:jc w:val="center"/>
              <w:textAlignment w:val="auto"/>
              <w:rPr>
                <w:rFonts w:ascii="Times New Roman" w:hAnsi="Times New Roman"/>
                <w:color w:val="auto"/>
                <w:sz w:val="21"/>
                <w:szCs w:val="21"/>
                <w:highlight w:val="none"/>
              </w:rPr>
            </w:pPr>
            <w:r>
              <w:rPr>
                <w:rFonts w:hint="eastAsia" w:ascii="Times New Roman" w:hAnsi="Times New Roman"/>
                <w:color w:val="auto"/>
                <w:sz w:val="21"/>
                <w:szCs w:val="21"/>
                <w:highlight w:val="none"/>
              </w:rPr>
              <w:t>北兴塘</w:t>
            </w:r>
            <w:r>
              <w:rPr>
                <w:rFonts w:ascii="Times New Roman" w:hAnsi="Times New Roman"/>
                <w:color w:val="auto"/>
                <w:sz w:val="21"/>
                <w:szCs w:val="21"/>
                <w:highlight w:val="none"/>
              </w:rPr>
              <w:t>河</w:t>
            </w:r>
          </w:p>
        </w:tc>
        <w:tc>
          <w:tcPr>
            <w:tcW w:w="838" w:type="pct"/>
            <w:tcBorders>
              <w:top w:val="single" w:color="000000" w:sz="4" w:space="0"/>
              <w:left w:val="single" w:color="000000" w:sz="4" w:space="0"/>
              <w:bottom w:val="single" w:color="000000" w:sz="4" w:space="0"/>
              <w:right w:val="single" w:color="000000" w:sz="4" w:space="0"/>
            </w:tcBorders>
            <w:vAlign w:val="center"/>
          </w:tcPr>
          <w:p w14:paraId="0AA960E4">
            <w:pPr>
              <w:keepNext w:val="0"/>
              <w:keepLines w:val="0"/>
              <w:pageBreakBefore w:val="0"/>
              <w:kinsoku/>
              <w:wordWrap/>
              <w:overflowPunct/>
              <w:topLinePunct w:val="0"/>
              <w:autoSpaceDE w:val="0"/>
              <w:autoSpaceDN w:val="0"/>
              <w:bidi w:val="0"/>
              <w:adjustRightInd/>
              <w:snapToGrid/>
              <w:ind w:left="0" w:right="0"/>
              <w:jc w:val="center"/>
              <w:textAlignment w:val="auto"/>
              <w:rPr>
                <w:rFonts w:ascii="Times New Roman" w:hAnsi="Times New Roman"/>
                <w:color w:val="auto"/>
                <w:sz w:val="21"/>
                <w:szCs w:val="21"/>
                <w:highlight w:val="none"/>
              </w:rPr>
            </w:pPr>
            <w:r>
              <w:rPr>
                <w:rFonts w:ascii="Times New Roman" w:hAnsi="Times New Roman"/>
                <w:color w:val="auto"/>
                <w:sz w:val="21"/>
                <w:szCs w:val="21"/>
                <w:highlight w:val="none"/>
              </w:rPr>
              <w:t>W1</w:t>
            </w:r>
          </w:p>
        </w:tc>
        <w:tc>
          <w:tcPr>
            <w:tcW w:w="1682" w:type="pct"/>
            <w:tcBorders>
              <w:top w:val="single" w:color="000000" w:sz="4" w:space="0"/>
              <w:left w:val="single" w:color="000000" w:sz="4" w:space="0"/>
              <w:bottom w:val="single" w:color="000000" w:sz="4" w:space="0"/>
              <w:right w:val="single" w:color="000000" w:sz="4" w:space="0"/>
            </w:tcBorders>
            <w:vAlign w:val="center"/>
          </w:tcPr>
          <w:p w14:paraId="4FA8CFB2">
            <w:pPr>
              <w:pStyle w:val="105"/>
              <w:keepNext w:val="0"/>
              <w:keepLines w:val="0"/>
              <w:pageBreakBefore w:val="0"/>
              <w:kinsoku/>
              <w:wordWrap/>
              <w:overflowPunct/>
              <w:topLinePunct w:val="0"/>
              <w:bidi w:val="0"/>
              <w:adjustRightInd/>
              <w:snapToGrid/>
              <w:ind w:left="0" w:right="0"/>
              <w:jc w:val="center"/>
              <w:textAlignment w:val="auto"/>
              <w:rPr>
                <w:rFonts w:ascii="Times New Roman" w:cs="Times New Roman"/>
                <w:color w:val="auto"/>
                <w:kern w:val="2"/>
                <w:sz w:val="21"/>
                <w:szCs w:val="21"/>
                <w:highlight w:val="none"/>
              </w:rPr>
            </w:pPr>
            <w:r>
              <w:rPr>
                <w:rFonts w:hint="eastAsia" w:ascii="Times New Roman" w:cs="Times New Roman"/>
                <w:color w:val="auto"/>
                <w:kern w:val="2"/>
                <w:sz w:val="21"/>
                <w:szCs w:val="21"/>
                <w:highlight w:val="none"/>
              </w:rPr>
              <w:t>无锡市锡山云林污水处理有限公司</w:t>
            </w:r>
            <w:r>
              <w:rPr>
                <w:rFonts w:ascii="Times New Roman" w:cs="Times New Roman"/>
                <w:color w:val="auto"/>
                <w:kern w:val="2"/>
                <w:sz w:val="21"/>
                <w:szCs w:val="21"/>
                <w:highlight w:val="none"/>
              </w:rPr>
              <w:t>排污口上游500m处</w:t>
            </w:r>
          </w:p>
        </w:tc>
        <w:tc>
          <w:tcPr>
            <w:tcW w:w="1998" w:type="pct"/>
            <w:vMerge w:val="restart"/>
            <w:tcBorders>
              <w:top w:val="single" w:color="000000" w:sz="4" w:space="0"/>
              <w:left w:val="single" w:color="000000" w:sz="4" w:space="0"/>
              <w:bottom w:val="single" w:color="000000" w:sz="12" w:space="0"/>
              <w:right w:val="nil"/>
            </w:tcBorders>
            <w:vAlign w:val="center"/>
          </w:tcPr>
          <w:p w14:paraId="7A3EF81A">
            <w:pPr>
              <w:keepNext w:val="0"/>
              <w:keepLines w:val="0"/>
              <w:pageBreakBefore w:val="0"/>
              <w:kinsoku/>
              <w:wordWrap/>
              <w:overflowPunct/>
              <w:topLinePunct w:val="0"/>
              <w:autoSpaceDE w:val="0"/>
              <w:autoSpaceDN w:val="0"/>
              <w:bidi w:val="0"/>
              <w:adjustRightInd/>
              <w:snapToGrid/>
              <w:ind w:left="0" w:right="0"/>
              <w:jc w:val="center"/>
              <w:textAlignment w:val="auto"/>
              <w:rPr>
                <w:rFonts w:ascii="Times New Roman" w:hAnsi="Times New Roman"/>
                <w:color w:val="auto"/>
                <w:sz w:val="21"/>
                <w:szCs w:val="21"/>
                <w:highlight w:val="none"/>
              </w:rPr>
            </w:pPr>
            <w:r>
              <w:rPr>
                <w:rFonts w:hint="eastAsia" w:ascii="Times New Roman" w:hAnsi="Times New Roman"/>
                <w:color w:val="auto"/>
                <w:sz w:val="21"/>
                <w:szCs w:val="21"/>
                <w:highlight w:val="none"/>
              </w:rPr>
              <w:t>溶解氧、pH、COD、悬浮物、氨氮、总磷、总氮</w:t>
            </w:r>
          </w:p>
        </w:tc>
      </w:tr>
      <w:tr w14:paraId="2CD48B0A">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480" w:type="pct"/>
            <w:vMerge w:val="continue"/>
            <w:tcBorders>
              <w:left w:val="nil"/>
              <w:right w:val="single" w:color="000000" w:sz="4" w:space="0"/>
            </w:tcBorders>
            <w:vAlign w:val="center"/>
          </w:tcPr>
          <w:p w14:paraId="2261A324">
            <w:pPr>
              <w:keepNext w:val="0"/>
              <w:keepLines w:val="0"/>
              <w:pageBreakBefore w:val="0"/>
              <w:kinsoku/>
              <w:wordWrap/>
              <w:overflowPunct/>
              <w:topLinePunct w:val="0"/>
              <w:bidi w:val="0"/>
              <w:adjustRightInd/>
              <w:snapToGrid/>
              <w:ind w:left="0" w:right="0"/>
              <w:textAlignment w:val="auto"/>
              <w:rPr>
                <w:rFonts w:ascii="Times New Roman" w:hAnsi="Times New Roman"/>
                <w:color w:val="auto"/>
                <w:sz w:val="21"/>
                <w:szCs w:val="21"/>
                <w:highlight w:val="none"/>
              </w:rPr>
            </w:pPr>
          </w:p>
        </w:tc>
        <w:tc>
          <w:tcPr>
            <w:tcW w:w="838" w:type="pct"/>
            <w:tcBorders>
              <w:top w:val="single" w:color="000000" w:sz="4" w:space="0"/>
              <w:left w:val="single" w:color="000000" w:sz="4" w:space="0"/>
              <w:bottom w:val="single" w:color="000000" w:sz="4" w:space="0"/>
              <w:right w:val="single" w:color="000000" w:sz="4" w:space="0"/>
            </w:tcBorders>
            <w:vAlign w:val="center"/>
          </w:tcPr>
          <w:p w14:paraId="677697A2">
            <w:pPr>
              <w:keepNext w:val="0"/>
              <w:keepLines w:val="0"/>
              <w:pageBreakBefore w:val="0"/>
              <w:kinsoku/>
              <w:wordWrap/>
              <w:overflowPunct/>
              <w:topLinePunct w:val="0"/>
              <w:autoSpaceDE w:val="0"/>
              <w:autoSpaceDN w:val="0"/>
              <w:bidi w:val="0"/>
              <w:adjustRightInd/>
              <w:snapToGrid/>
              <w:ind w:left="0" w:right="0"/>
              <w:jc w:val="center"/>
              <w:textAlignment w:val="auto"/>
              <w:rPr>
                <w:rFonts w:ascii="Times New Roman" w:hAnsi="Times New Roman"/>
                <w:color w:val="auto"/>
                <w:sz w:val="21"/>
                <w:szCs w:val="21"/>
                <w:highlight w:val="none"/>
              </w:rPr>
            </w:pPr>
            <w:r>
              <w:rPr>
                <w:rFonts w:ascii="Times New Roman" w:hAnsi="Times New Roman"/>
                <w:color w:val="auto"/>
                <w:sz w:val="21"/>
                <w:szCs w:val="21"/>
                <w:highlight w:val="none"/>
              </w:rPr>
              <w:t>W2</w:t>
            </w:r>
          </w:p>
        </w:tc>
        <w:tc>
          <w:tcPr>
            <w:tcW w:w="1682" w:type="pct"/>
            <w:tcBorders>
              <w:top w:val="single" w:color="000000" w:sz="4" w:space="0"/>
              <w:left w:val="single" w:color="000000" w:sz="4" w:space="0"/>
              <w:bottom w:val="single" w:color="000000" w:sz="4" w:space="0"/>
              <w:right w:val="single" w:color="000000" w:sz="4" w:space="0"/>
            </w:tcBorders>
            <w:vAlign w:val="center"/>
          </w:tcPr>
          <w:p w14:paraId="12F238E9">
            <w:pPr>
              <w:pStyle w:val="105"/>
              <w:keepNext w:val="0"/>
              <w:keepLines w:val="0"/>
              <w:pageBreakBefore w:val="0"/>
              <w:kinsoku/>
              <w:wordWrap/>
              <w:overflowPunct/>
              <w:topLinePunct w:val="0"/>
              <w:bidi w:val="0"/>
              <w:adjustRightInd/>
              <w:snapToGrid/>
              <w:ind w:left="0" w:right="0"/>
              <w:jc w:val="center"/>
              <w:textAlignment w:val="auto"/>
              <w:rPr>
                <w:rFonts w:ascii="Times New Roman" w:cs="Times New Roman"/>
                <w:color w:val="auto"/>
                <w:kern w:val="2"/>
                <w:sz w:val="21"/>
                <w:szCs w:val="21"/>
                <w:highlight w:val="none"/>
              </w:rPr>
            </w:pPr>
            <w:r>
              <w:rPr>
                <w:rFonts w:hint="eastAsia" w:ascii="Times New Roman" w:cs="Times New Roman"/>
                <w:color w:val="auto"/>
                <w:kern w:val="2"/>
                <w:sz w:val="21"/>
                <w:szCs w:val="21"/>
                <w:highlight w:val="none"/>
              </w:rPr>
              <w:t>无锡市锡山云林污水处理有限公司</w:t>
            </w:r>
            <w:r>
              <w:rPr>
                <w:rFonts w:ascii="Times New Roman" w:cs="Times New Roman"/>
                <w:color w:val="auto"/>
                <w:kern w:val="2"/>
                <w:sz w:val="21"/>
                <w:szCs w:val="21"/>
                <w:highlight w:val="none"/>
              </w:rPr>
              <w:t>厂排污口</w:t>
            </w:r>
          </w:p>
        </w:tc>
        <w:tc>
          <w:tcPr>
            <w:tcW w:w="0" w:type="auto"/>
            <w:vMerge w:val="continue"/>
            <w:tcBorders>
              <w:top w:val="single" w:color="000000" w:sz="4" w:space="0"/>
              <w:left w:val="single" w:color="000000" w:sz="4" w:space="0"/>
              <w:bottom w:val="single" w:color="000000" w:sz="12" w:space="0"/>
              <w:right w:val="nil"/>
            </w:tcBorders>
            <w:vAlign w:val="center"/>
          </w:tcPr>
          <w:p w14:paraId="28E3289F">
            <w:pPr>
              <w:keepNext w:val="0"/>
              <w:keepLines w:val="0"/>
              <w:pageBreakBefore w:val="0"/>
              <w:kinsoku/>
              <w:wordWrap/>
              <w:overflowPunct/>
              <w:topLinePunct w:val="0"/>
              <w:bidi w:val="0"/>
              <w:adjustRightInd/>
              <w:snapToGrid/>
              <w:ind w:left="0" w:right="0"/>
              <w:textAlignment w:val="auto"/>
              <w:rPr>
                <w:rFonts w:ascii="Times New Roman" w:hAnsi="Times New Roman"/>
                <w:color w:val="auto"/>
                <w:sz w:val="21"/>
                <w:szCs w:val="21"/>
                <w:highlight w:val="none"/>
              </w:rPr>
            </w:pPr>
          </w:p>
        </w:tc>
      </w:tr>
      <w:tr w14:paraId="381C8DA1">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480" w:type="pct"/>
            <w:vMerge w:val="continue"/>
            <w:tcBorders>
              <w:left w:val="nil"/>
              <w:bottom w:val="single" w:color="000000" w:sz="12" w:space="0"/>
              <w:right w:val="single" w:color="000000" w:sz="4" w:space="0"/>
            </w:tcBorders>
            <w:vAlign w:val="center"/>
          </w:tcPr>
          <w:p w14:paraId="5294AC43">
            <w:pPr>
              <w:keepNext w:val="0"/>
              <w:keepLines w:val="0"/>
              <w:pageBreakBefore w:val="0"/>
              <w:kinsoku/>
              <w:wordWrap/>
              <w:overflowPunct/>
              <w:topLinePunct w:val="0"/>
              <w:autoSpaceDE w:val="0"/>
              <w:autoSpaceDN w:val="0"/>
              <w:bidi w:val="0"/>
              <w:adjustRightInd/>
              <w:snapToGrid/>
              <w:ind w:left="0" w:right="0"/>
              <w:jc w:val="center"/>
              <w:textAlignment w:val="auto"/>
              <w:rPr>
                <w:rFonts w:ascii="Times New Roman" w:hAnsi="Times New Roman"/>
                <w:color w:val="auto"/>
                <w:sz w:val="21"/>
                <w:szCs w:val="21"/>
                <w:highlight w:val="none"/>
              </w:rPr>
            </w:pPr>
          </w:p>
        </w:tc>
        <w:tc>
          <w:tcPr>
            <w:tcW w:w="838" w:type="pct"/>
            <w:tcBorders>
              <w:top w:val="single" w:color="000000" w:sz="4" w:space="0"/>
              <w:left w:val="single" w:color="000000" w:sz="4" w:space="0"/>
              <w:bottom w:val="single" w:color="000000" w:sz="12" w:space="0"/>
              <w:right w:val="single" w:color="000000" w:sz="4" w:space="0"/>
            </w:tcBorders>
            <w:vAlign w:val="center"/>
          </w:tcPr>
          <w:p w14:paraId="0C0A6A23">
            <w:pPr>
              <w:keepNext w:val="0"/>
              <w:keepLines w:val="0"/>
              <w:pageBreakBefore w:val="0"/>
              <w:kinsoku/>
              <w:wordWrap/>
              <w:overflowPunct/>
              <w:topLinePunct w:val="0"/>
              <w:autoSpaceDE w:val="0"/>
              <w:autoSpaceDN w:val="0"/>
              <w:bidi w:val="0"/>
              <w:adjustRightInd/>
              <w:snapToGrid/>
              <w:ind w:left="0" w:right="0"/>
              <w:jc w:val="center"/>
              <w:textAlignment w:val="auto"/>
              <w:rPr>
                <w:rFonts w:ascii="Times New Roman" w:hAnsi="Times New Roman"/>
                <w:color w:val="auto"/>
                <w:sz w:val="21"/>
                <w:szCs w:val="21"/>
                <w:highlight w:val="none"/>
              </w:rPr>
            </w:pPr>
            <w:r>
              <w:rPr>
                <w:rFonts w:ascii="Times New Roman" w:hAnsi="Times New Roman"/>
                <w:color w:val="auto"/>
                <w:sz w:val="21"/>
                <w:szCs w:val="21"/>
                <w:highlight w:val="none"/>
              </w:rPr>
              <w:t>W3</w:t>
            </w:r>
          </w:p>
        </w:tc>
        <w:tc>
          <w:tcPr>
            <w:tcW w:w="1682" w:type="pct"/>
            <w:tcBorders>
              <w:top w:val="single" w:color="000000" w:sz="4" w:space="0"/>
              <w:left w:val="single" w:color="000000" w:sz="4" w:space="0"/>
              <w:bottom w:val="single" w:color="000000" w:sz="12" w:space="0"/>
              <w:right w:val="single" w:color="000000" w:sz="4" w:space="0"/>
            </w:tcBorders>
            <w:vAlign w:val="center"/>
          </w:tcPr>
          <w:p w14:paraId="2126D87F">
            <w:pPr>
              <w:keepNext w:val="0"/>
              <w:keepLines w:val="0"/>
              <w:pageBreakBefore w:val="0"/>
              <w:kinsoku/>
              <w:wordWrap/>
              <w:overflowPunct/>
              <w:topLinePunct w:val="0"/>
              <w:autoSpaceDE w:val="0"/>
              <w:autoSpaceDN w:val="0"/>
              <w:bidi w:val="0"/>
              <w:adjustRightInd/>
              <w:snapToGrid/>
              <w:ind w:left="0" w:right="0"/>
              <w:jc w:val="center"/>
              <w:textAlignment w:val="auto"/>
              <w:rPr>
                <w:rFonts w:ascii="Times New Roman" w:hAnsi="Times New Roman"/>
                <w:color w:val="auto"/>
                <w:sz w:val="21"/>
                <w:szCs w:val="21"/>
                <w:highlight w:val="none"/>
              </w:rPr>
            </w:pPr>
            <w:r>
              <w:rPr>
                <w:rFonts w:hint="eastAsia" w:ascii="Times New Roman" w:cs="Times New Roman"/>
                <w:color w:val="auto"/>
                <w:kern w:val="2"/>
                <w:sz w:val="21"/>
                <w:szCs w:val="21"/>
                <w:highlight w:val="none"/>
              </w:rPr>
              <w:t>无锡市锡山云林污水处理有限公司</w:t>
            </w:r>
            <w:r>
              <w:rPr>
                <w:rFonts w:ascii="Times New Roman" w:cs="Times New Roman"/>
                <w:color w:val="auto"/>
                <w:kern w:val="2"/>
                <w:sz w:val="21"/>
                <w:szCs w:val="21"/>
                <w:highlight w:val="none"/>
              </w:rPr>
              <w:t>厂排污口</w:t>
            </w:r>
            <w:r>
              <w:rPr>
                <w:rFonts w:hint="eastAsia" w:ascii="Times New Roman" w:cs="Times New Roman"/>
                <w:color w:val="auto"/>
                <w:kern w:val="2"/>
                <w:sz w:val="21"/>
                <w:szCs w:val="21"/>
                <w:highlight w:val="none"/>
              </w:rPr>
              <w:t>下</w:t>
            </w:r>
            <w:r>
              <w:rPr>
                <w:rFonts w:ascii="Times New Roman" w:cs="Times New Roman"/>
                <w:color w:val="auto"/>
                <w:kern w:val="2"/>
                <w:sz w:val="21"/>
                <w:szCs w:val="21"/>
                <w:highlight w:val="none"/>
              </w:rPr>
              <w:t>游1000m处</w:t>
            </w:r>
          </w:p>
        </w:tc>
        <w:tc>
          <w:tcPr>
            <w:tcW w:w="0" w:type="auto"/>
            <w:vMerge w:val="continue"/>
            <w:tcBorders>
              <w:top w:val="single" w:color="000000" w:sz="4" w:space="0"/>
              <w:left w:val="single" w:color="000000" w:sz="4" w:space="0"/>
              <w:bottom w:val="single" w:color="000000" w:sz="12" w:space="0"/>
              <w:right w:val="nil"/>
            </w:tcBorders>
            <w:vAlign w:val="center"/>
          </w:tcPr>
          <w:p w14:paraId="72C27564">
            <w:pPr>
              <w:keepNext w:val="0"/>
              <w:keepLines w:val="0"/>
              <w:pageBreakBefore w:val="0"/>
              <w:kinsoku/>
              <w:wordWrap/>
              <w:overflowPunct/>
              <w:topLinePunct w:val="0"/>
              <w:bidi w:val="0"/>
              <w:adjustRightInd/>
              <w:snapToGrid/>
              <w:ind w:left="0" w:right="0"/>
              <w:textAlignment w:val="auto"/>
              <w:rPr>
                <w:rFonts w:ascii="Times New Roman" w:hAnsi="Times New Roman"/>
                <w:color w:val="auto"/>
                <w:sz w:val="21"/>
                <w:szCs w:val="21"/>
                <w:highlight w:val="none"/>
              </w:rPr>
            </w:pPr>
          </w:p>
        </w:tc>
      </w:tr>
    </w:tbl>
    <w:p w14:paraId="5CF98D13">
      <w:pPr>
        <w:spacing w:line="360" w:lineRule="auto"/>
        <w:ind w:left="-105" w:right="-105" w:firstLine="480" w:firstLineChars="200"/>
        <w:rPr>
          <w:rFonts w:ascii="Times New Roman" w:hAnsi="Times New Roman"/>
          <w:color w:val="auto"/>
          <w:highlight w:val="none"/>
        </w:rPr>
      </w:pPr>
      <w:r>
        <w:rPr>
          <w:rFonts w:ascii="Times New Roman" w:hAnsi="Times New Roman"/>
          <w:color w:val="auto"/>
          <w:highlight w:val="none"/>
        </w:rPr>
        <w:t>（2）监测方法见下表。</w:t>
      </w:r>
    </w:p>
    <w:p w14:paraId="69C77A93">
      <w:pPr>
        <w:pStyle w:val="15"/>
        <w:spacing w:line="360" w:lineRule="auto"/>
        <w:ind w:left="-105" w:right="-105" w:firstLine="482"/>
        <w:rPr>
          <w:rFonts w:eastAsia="宋体" w:cs="Times New Roman"/>
          <w:b w:val="0"/>
          <w:bCs/>
          <w:color w:val="auto"/>
          <w:kern w:val="0"/>
          <w:sz w:val="24"/>
          <w:szCs w:val="24"/>
          <w:highlight w:val="none"/>
        </w:rPr>
      </w:pPr>
      <w:bookmarkStart w:id="345" w:name="_Ref36567959"/>
      <w:r>
        <w:rPr>
          <w:rFonts w:eastAsia="宋体" w:cs="Times New Roman"/>
          <w:color w:val="auto"/>
          <w:sz w:val="24"/>
          <w:szCs w:val="18"/>
          <w:highlight w:val="none"/>
        </w:rPr>
        <w:t>表</w:t>
      </w:r>
      <w:r>
        <w:rPr>
          <w:rFonts w:eastAsia="宋体" w:cs="Times New Roman"/>
          <w:color w:val="auto"/>
          <w:sz w:val="24"/>
          <w:szCs w:val="18"/>
          <w:highlight w:val="none"/>
        </w:rPr>
        <w:fldChar w:fldCharType="begin"/>
      </w:r>
      <w:r>
        <w:rPr>
          <w:rFonts w:eastAsia="宋体" w:cs="Times New Roman"/>
          <w:color w:val="auto"/>
          <w:sz w:val="24"/>
          <w:szCs w:val="18"/>
          <w:highlight w:val="none"/>
        </w:rPr>
        <w:instrText xml:space="preserve"> STYLEREF 2 \s </w:instrText>
      </w:r>
      <w:r>
        <w:rPr>
          <w:rFonts w:eastAsia="宋体" w:cs="Times New Roman"/>
          <w:color w:val="auto"/>
          <w:sz w:val="24"/>
          <w:szCs w:val="18"/>
          <w:highlight w:val="none"/>
        </w:rPr>
        <w:fldChar w:fldCharType="separate"/>
      </w:r>
      <w:r>
        <w:rPr>
          <w:rFonts w:eastAsia="宋体" w:cs="Times New Roman"/>
          <w:color w:val="auto"/>
          <w:sz w:val="24"/>
          <w:szCs w:val="18"/>
          <w:highlight w:val="none"/>
        </w:rPr>
        <w:t>5.3</w:t>
      </w:r>
      <w:r>
        <w:rPr>
          <w:rFonts w:eastAsia="宋体" w:cs="Times New Roman"/>
          <w:color w:val="auto"/>
          <w:sz w:val="24"/>
          <w:szCs w:val="18"/>
          <w:highlight w:val="none"/>
        </w:rPr>
        <w:fldChar w:fldCharType="end"/>
      </w:r>
      <w:r>
        <w:rPr>
          <w:rFonts w:eastAsia="宋体" w:cs="Times New Roman"/>
          <w:color w:val="auto"/>
          <w:sz w:val="24"/>
          <w:szCs w:val="18"/>
          <w:highlight w:val="none"/>
        </w:rPr>
        <w:noBreakHyphen/>
      </w:r>
      <w:r>
        <w:rPr>
          <w:rFonts w:eastAsia="宋体" w:cs="Times New Roman"/>
          <w:color w:val="auto"/>
          <w:sz w:val="24"/>
          <w:szCs w:val="18"/>
          <w:highlight w:val="none"/>
        </w:rPr>
        <w:fldChar w:fldCharType="begin"/>
      </w:r>
      <w:r>
        <w:rPr>
          <w:rFonts w:eastAsia="宋体" w:cs="Times New Roman"/>
          <w:color w:val="auto"/>
          <w:sz w:val="24"/>
          <w:szCs w:val="18"/>
          <w:highlight w:val="none"/>
        </w:rPr>
        <w:instrText xml:space="preserve"> SEQ 表 \* ARABIC \s 2 </w:instrText>
      </w:r>
      <w:r>
        <w:rPr>
          <w:rFonts w:eastAsia="宋体" w:cs="Times New Roman"/>
          <w:color w:val="auto"/>
          <w:sz w:val="24"/>
          <w:szCs w:val="18"/>
          <w:highlight w:val="none"/>
        </w:rPr>
        <w:fldChar w:fldCharType="separate"/>
      </w:r>
      <w:r>
        <w:rPr>
          <w:rFonts w:eastAsia="宋体" w:cs="Times New Roman"/>
          <w:color w:val="auto"/>
          <w:sz w:val="24"/>
          <w:szCs w:val="18"/>
          <w:highlight w:val="none"/>
        </w:rPr>
        <w:t>6</w:t>
      </w:r>
      <w:r>
        <w:rPr>
          <w:rFonts w:eastAsia="宋体" w:cs="Times New Roman"/>
          <w:color w:val="auto"/>
          <w:sz w:val="24"/>
          <w:szCs w:val="18"/>
          <w:highlight w:val="none"/>
        </w:rPr>
        <w:fldChar w:fldCharType="end"/>
      </w:r>
      <w:r>
        <w:rPr>
          <w:rFonts w:eastAsia="宋体" w:cs="Times New Roman"/>
          <w:color w:val="auto"/>
          <w:kern w:val="0"/>
          <w:sz w:val="24"/>
          <w:szCs w:val="24"/>
          <w:highlight w:val="none"/>
        </w:rPr>
        <w:t>地表水环境质量现状监测分析方法</w:t>
      </w:r>
      <w:bookmarkEnd w:id="345"/>
    </w:p>
    <w:tbl>
      <w:tblPr>
        <w:tblStyle w:val="45"/>
        <w:tblW w:w="5000" w:type="pct"/>
        <w:tblInd w:w="0" w:type="dxa"/>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autofit"/>
        <w:tblCellMar>
          <w:top w:w="0" w:type="dxa"/>
          <w:left w:w="0" w:type="dxa"/>
          <w:bottom w:w="0" w:type="dxa"/>
          <w:right w:w="0" w:type="dxa"/>
        </w:tblCellMar>
      </w:tblPr>
      <w:tblGrid>
        <w:gridCol w:w="765"/>
        <w:gridCol w:w="1339"/>
        <w:gridCol w:w="6400"/>
      </w:tblGrid>
      <w:tr w14:paraId="3C28AADD">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1237" w:type="pct"/>
            <w:gridSpan w:val="2"/>
            <w:tcBorders>
              <w:tl2br w:val="nil"/>
              <w:tr2bl w:val="nil"/>
            </w:tcBorders>
            <w:vAlign w:val="center"/>
          </w:tcPr>
          <w:p w14:paraId="015560AB">
            <w:pPr>
              <w:keepNext w:val="0"/>
              <w:keepLines w:val="0"/>
              <w:pageBreakBefore w:val="0"/>
              <w:widowControl/>
              <w:kinsoku/>
              <w:wordWrap/>
              <w:overflowPunct/>
              <w:topLinePunct w:val="0"/>
              <w:autoSpaceDE w:val="0"/>
              <w:autoSpaceDN w:val="0"/>
              <w:bidi w:val="0"/>
              <w:adjustRightInd/>
              <w:snapToGrid/>
              <w:ind w:left="0" w:right="0"/>
              <w:jc w:val="center"/>
              <w:textAlignment w:val="auto"/>
              <w:rPr>
                <w:rFonts w:ascii="Times New Roman" w:hAnsi="Times New Roman"/>
                <w:b/>
                <w:color w:val="auto"/>
                <w:sz w:val="21"/>
                <w:szCs w:val="21"/>
                <w:highlight w:val="none"/>
              </w:rPr>
            </w:pPr>
            <w:r>
              <w:rPr>
                <w:rFonts w:ascii="Times New Roman" w:hAnsi="Times New Roman"/>
                <w:b/>
                <w:color w:val="auto"/>
                <w:sz w:val="21"/>
                <w:szCs w:val="21"/>
                <w:highlight w:val="none"/>
              </w:rPr>
              <w:t>项目</w:t>
            </w:r>
          </w:p>
        </w:tc>
        <w:tc>
          <w:tcPr>
            <w:tcW w:w="3762" w:type="pct"/>
            <w:tcBorders>
              <w:tl2br w:val="nil"/>
              <w:tr2bl w:val="nil"/>
            </w:tcBorders>
            <w:vAlign w:val="center"/>
          </w:tcPr>
          <w:p w14:paraId="1DDF5A54">
            <w:pPr>
              <w:keepNext w:val="0"/>
              <w:keepLines w:val="0"/>
              <w:pageBreakBefore w:val="0"/>
              <w:widowControl/>
              <w:kinsoku/>
              <w:wordWrap/>
              <w:overflowPunct/>
              <w:topLinePunct w:val="0"/>
              <w:autoSpaceDE w:val="0"/>
              <w:autoSpaceDN w:val="0"/>
              <w:bidi w:val="0"/>
              <w:adjustRightInd/>
              <w:snapToGrid/>
              <w:ind w:left="0" w:right="0"/>
              <w:jc w:val="center"/>
              <w:textAlignment w:val="auto"/>
              <w:rPr>
                <w:rFonts w:ascii="Times New Roman" w:hAnsi="Times New Roman"/>
                <w:b/>
                <w:color w:val="auto"/>
                <w:sz w:val="21"/>
                <w:szCs w:val="21"/>
                <w:highlight w:val="none"/>
              </w:rPr>
            </w:pPr>
            <w:r>
              <w:rPr>
                <w:rFonts w:ascii="Times New Roman" w:hAnsi="Times New Roman"/>
                <w:b/>
                <w:color w:val="auto"/>
                <w:sz w:val="21"/>
                <w:szCs w:val="21"/>
                <w:highlight w:val="none"/>
              </w:rPr>
              <w:t>监测方法</w:t>
            </w:r>
          </w:p>
        </w:tc>
      </w:tr>
      <w:tr w14:paraId="3ED9BB04">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450" w:type="pct"/>
            <w:vMerge w:val="restart"/>
            <w:tcBorders>
              <w:tl2br w:val="nil"/>
              <w:tr2bl w:val="nil"/>
            </w:tcBorders>
            <w:vAlign w:val="center"/>
          </w:tcPr>
          <w:p w14:paraId="6FBEA081">
            <w:pPr>
              <w:keepNext w:val="0"/>
              <w:keepLines w:val="0"/>
              <w:pageBreakBefore w:val="0"/>
              <w:widowControl/>
              <w:kinsoku/>
              <w:wordWrap/>
              <w:overflowPunct/>
              <w:topLinePunct w:val="0"/>
              <w:autoSpaceDE w:val="0"/>
              <w:autoSpaceDN w:val="0"/>
              <w:bidi w:val="0"/>
              <w:adjustRightInd/>
              <w:snapToGrid/>
              <w:ind w:left="0" w:right="0"/>
              <w:jc w:val="center"/>
              <w:textAlignment w:val="auto"/>
              <w:rPr>
                <w:rFonts w:ascii="Times New Roman" w:hAnsi="Times New Roman"/>
                <w:color w:val="auto"/>
                <w:sz w:val="21"/>
                <w:szCs w:val="21"/>
                <w:highlight w:val="none"/>
              </w:rPr>
            </w:pPr>
            <w:r>
              <w:rPr>
                <w:rFonts w:ascii="Times New Roman" w:hAnsi="Times New Roman"/>
                <w:color w:val="auto"/>
                <w:sz w:val="21"/>
                <w:szCs w:val="21"/>
                <w:highlight w:val="none"/>
              </w:rPr>
              <w:t>地表水</w:t>
            </w:r>
          </w:p>
        </w:tc>
        <w:tc>
          <w:tcPr>
            <w:tcW w:w="786" w:type="pct"/>
            <w:tcBorders>
              <w:tl2br w:val="nil"/>
              <w:tr2bl w:val="nil"/>
            </w:tcBorders>
            <w:vAlign w:val="center"/>
          </w:tcPr>
          <w:p w14:paraId="2B6EDE4F">
            <w:pPr>
              <w:keepNext w:val="0"/>
              <w:keepLines w:val="0"/>
              <w:pageBreakBefore w:val="0"/>
              <w:widowControl/>
              <w:kinsoku/>
              <w:wordWrap/>
              <w:overflowPunct/>
              <w:topLinePunct w:val="0"/>
              <w:autoSpaceDE w:val="0"/>
              <w:autoSpaceDN w:val="0"/>
              <w:bidi w:val="0"/>
              <w:adjustRightInd/>
              <w:snapToGrid/>
              <w:ind w:left="0" w:right="0"/>
              <w:jc w:val="center"/>
              <w:textAlignment w:val="auto"/>
              <w:rPr>
                <w:rFonts w:ascii="Times New Roman" w:hAnsi="Times New Roman"/>
                <w:color w:val="auto"/>
                <w:sz w:val="21"/>
                <w:szCs w:val="21"/>
                <w:highlight w:val="none"/>
              </w:rPr>
            </w:pPr>
            <w:r>
              <w:rPr>
                <w:rFonts w:ascii="Times New Roman" w:hAnsi="Times New Roman"/>
                <w:color w:val="auto"/>
                <w:sz w:val="21"/>
                <w:szCs w:val="21"/>
                <w:highlight w:val="none"/>
              </w:rPr>
              <w:t>pH</w:t>
            </w:r>
          </w:p>
        </w:tc>
        <w:tc>
          <w:tcPr>
            <w:tcW w:w="3762" w:type="pct"/>
            <w:tcBorders>
              <w:tl2br w:val="nil"/>
              <w:tr2bl w:val="nil"/>
            </w:tcBorders>
            <w:vAlign w:val="center"/>
          </w:tcPr>
          <w:p w14:paraId="652DAFCB">
            <w:pPr>
              <w:keepNext w:val="0"/>
              <w:keepLines w:val="0"/>
              <w:pageBreakBefore w:val="0"/>
              <w:widowControl/>
              <w:kinsoku/>
              <w:wordWrap/>
              <w:overflowPunct/>
              <w:topLinePunct w:val="0"/>
              <w:autoSpaceDE w:val="0"/>
              <w:autoSpaceDN w:val="0"/>
              <w:bidi w:val="0"/>
              <w:adjustRightInd/>
              <w:snapToGrid/>
              <w:ind w:left="0" w:right="0"/>
              <w:jc w:val="center"/>
              <w:textAlignment w:val="auto"/>
              <w:rPr>
                <w:rFonts w:ascii="Times New Roman" w:hAnsi="Times New Roman"/>
                <w:color w:val="auto"/>
                <w:sz w:val="21"/>
                <w:szCs w:val="21"/>
                <w:highlight w:val="none"/>
              </w:rPr>
            </w:pPr>
            <w:r>
              <w:rPr>
                <w:rFonts w:ascii="Times New Roman" w:hAnsi="Times New Roman"/>
                <w:color w:val="auto"/>
                <w:sz w:val="21"/>
                <w:szCs w:val="21"/>
                <w:highlight w:val="none"/>
              </w:rPr>
              <w:t>《水质pH值的测定玻璃电极法》（GB/T6920-1986）</w:t>
            </w:r>
          </w:p>
        </w:tc>
      </w:tr>
      <w:tr w14:paraId="61FA7B7D">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450" w:type="pct"/>
            <w:vMerge w:val="continue"/>
            <w:tcBorders>
              <w:tl2br w:val="nil"/>
              <w:tr2bl w:val="nil"/>
            </w:tcBorders>
            <w:vAlign w:val="center"/>
          </w:tcPr>
          <w:p w14:paraId="6ACAE6C3">
            <w:pPr>
              <w:keepNext w:val="0"/>
              <w:keepLines w:val="0"/>
              <w:pageBreakBefore w:val="0"/>
              <w:widowControl/>
              <w:kinsoku/>
              <w:wordWrap/>
              <w:overflowPunct/>
              <w:topLinePunct w:val="0"/>
              <w:bidi w:val="0"/>
              <w:adjustRightInd/>
              <w:snapToGrid/>
              <w:ind w:left="0" w:right="0"/>
              <w:textAlignment w:val="auto"/>
              <w:rPr>
                <w:rFonts w:ascii="Times New Roman" w:hAnsi="Times New Roman"/>
                <w:color w:val="auto"/>
                <w:sz w:val="21"/>
                <w:szCs w:val="21"/>
                <w:highlight w:val="none"/>
              </w:rPr>
            </w:pPr>
          </w:p>
        </w:tc>
        <w:tc>
          <w:tcPr>
            <w:tcW w:w="786" w:type="pct"/>
            <w:tcBorders>
              <w:tl2br w:val="nil"/>
              <w:tr2bl w:val="nil"/>
            </w:tcBorders>
            <w:vAlign w:val="center"/>
          </w:tcPr>
          <w:p w14:paraId="7B3979C9">
            <w:pPr>
              <w:keepNext w:val="0"/>
              <w:keepLines w:val="0"/>
              <w:pageBreakBefore w:val="0"/>
              <w:widowControl/>
              <w:kinsoku/>
              <w:wordWrap/>
              <w:overflowPunct/>
              <w:topLinePunct w:val="0"/>
              <w:autoSpaceDE w:val="0"/>
              <w:autoSpaceDN w:val="0"/>
              <w:bidi w:val="0"/>
              <w:adjustRightInd/>
              <w:snapToGrid/>
              <w:ind w:left="0" w:right="0"/>
              <w:jc w:val="center"/>
              <w:textAlignment w:val="auto"/>
              <w:rPr>
                <w:rFonts w:ascii="Times New Roman" w:hAnsi="Times New Roman"/>
                <w:color w:val="auto"/>
                <w:sz w:val="21"/>
                <w:szCs w:val="21"/>
                <w:highlight w:val="none"/>
              </w:rPr>
            </w:pPr>
            <w:r>
              <w:rPr>
                <w:rFonts w:ascii="Times New Roman" w:hAnsi="Times New Roman"/>
                <w:color w:val="auto"/>
                <w:sz w:val="21"/>
                <w:szCs w:val="21"/>
                <w:highlight w:val="none"/>
              </w:rPr>
              <w:t>COD</w:t>
            </w:r>
          </w:p>
        </w:tc>
        <w:tc>
          <w:tcPr>
            <w:tcW w:w="3762" w:type="pct"/>
            <w:tcBorders>
              <w:tl2br w:val="nil"/>
              <w:tr2bl w:val="nil"/>
            </w:tcBorders>
            <w:vAlign w:val="center"/>
          </w:tcPr>
          <w:p w14:paraId="30510851">
            <w:pPr>
              <w:keepNext w:val="0"/>
              <w:keepLines w:val="0"/>
              <w:pageBreakBefore w:val="0"/>
              <w:widowControl/>
              <w:kinsoku/>
              <w:wordWrap/>
              <w:overflowPunct/>
              <w:topLinePunct w:val="0"/>
              <w:autoSpaceDE w:val="0"/>
              <w:autoSpaceDN w:val="0"/>
              <w:bidi w:val="0"/>
              <w:adjustRightInd/>
              <w:snapToGrid/>
              <w:ind w:left="0" w:right="0"/>
              <w:jc w:val="center"/>
              <w:textAlignment w:val="auto"/>
              <w:rPr>
                <w:rFonts w:ascii="Times New Roman" w:hAnsi="Times New Roman"/>
                <w:color w:val="auto"/>
                <w:sz w:val="21"/>
                <w:szCs w:val="21"/>
                <w:highlight w:val="none"/>
              </w:rPr>
            </w:pPr>
            <w:r>
              <w:rPr>
                <w:rFonts w:ascii="Times New Roman" w:hAnsi="Times New Roman"/>
                <w:color w:val="auto"/>
                <w:sz w:val="21"/>
                <w:szCs w:val="21"/>
                <w:highlight w:val="none"/>
              </w:rPr>
              <w:t>水质化学需氧量的测定重铬酸盐法HJ828-2017</w:t>
            </w:r>
          </w:p>
        </w:tc>
      </w:tr>
      <w:tr w14:paraId="52DCBD6A">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450" w:type="pct"/>
            <w:vMerge w:val="continue"/>
            <w:tcBorders>
              <w:tl2br w:val="nil"/>
              <w:tr2bl w:val="nil"/>
            </w:tcBorders>
            <w:vAlign w:val="center"/>
          </w:tcPr>
          <w:p w14:paraId="691B3FC3">
            <w:pPr>
              <w:keepNext w:val="0"/>
              <w:keepLines w:val="0"/>
              <w:pageBreakBefore w:val="0"/>
              <w:widowControl/>
              <w:kinsoku/>
              <w:wordWrap/>
              <w:overflowPunct/>
              <w:topLinePunct w:val="0"/>
              <w:bidi w:val="0"/>
              <w:adjustRightInd/>
              <w:snapToGrid/>
              <w:ind w:left="0" w:right="0"/>
              <w:textAlignment w:val="auto"/>
              <w:rPr>
                <w:rFonts w:ascii="Times New Roman" w:hAnsi="Times New Roman"/>
                <w:color w:val="auto"/>
                <w:sz w:val="21"/>
                <w:szCs w:val="21"/>
                <w:highlight w:val="none"/>
              </w:rPr>
            </w:pPr>
          </w:p>
        </w:tc>
        <w:tc>
          <w:tcPr>
            <w:tcW w:w="786" w:type="pct"/>
            <w:tcBorders>
              <w:tl2br w:val="nil"/>
              <w:tr2bl w:val="nil"/>
            </w:tcBorders>
            <w:vAlign w:val="center"/>
          </w:tcPr>
          <w:p w14:paraId="4E0166E5">
            <w:pPr>
              <w:keepNext w:val="0"/>
              <w:keepLines w:val="0"/>
              <w:pageBreakBefore w:val="0"/>
              <w:widowControl/>
              <w:kinsoku/>
              <w:wordWrap/>
              <w:overflowPunct/>
              <w:topLinePunct w:val="0"/>
              <w:autoSpaceDE w:val="0"/>
              <w:autoSpaceDN w:val="0"/>
              <w:bidi w:val="0"/>
              <w:adjustRightInd/>
              <w:snapToGrid/>
              <w:ind w:left="0" w:right="0"/>
              <w:jc w:val="center"/>
              <w:textAlignment w:val="auto"/>
              <w:rPr>
                <w:rFonts w:ascii="Times New Roman" w:hAnsi="Times New Roman"/>
                <w:color w:val="auto"/>
                <w:sz w:val="21"/>
                <w:szCs w:val="21"/>
                <w:highlight w:val="none"/>
              </w:rPr>
            </w:pPr>
            <w:r>
              <w:rPr>
                <w:rFonts w:ascii="Times New Roman" w:hAnsi="Times New Roman"/>
                <w:color w:val="auto"/>
                <w:sz w:val="21"/>
                <w:szCs w:val="21"/>
                <w:highlight w:val="none"/>
              </w:rPr>
              <w:t>SS</w:t>
            </w:r>
          </w:p>
        </w:tc>
        <w:tc>
          <w:tcPr>
            <w:tcW w:w="3762" w:type="pct"/>
            <w:tcBorders>
              <w:tl2br w:val="nil"/>
              <w:tr2bl w:val="nil"/>
            </w:tcBorders>
            <w:vAlign w:val="center"/>
          </w:tcPr>
          <w:p w14:paraId="2A673834">
            <w:pPr>
              <w:keepNext w:val="0"/>
              <w:keepLines w:val="0"/>
              <w:pageBreakBefore w:val="0"/>
              <w:widowControl/>
              <w:kinsoku/>
              <w:wordWrap/>
              <w:overflowPunct/>
              <w:topLinePunct w:val="0"/>
              <w:autoSpaceDE w:val="0"/>
              <w:autoSpaceDN w:val="0"/>
              <w:bidi w:val="0"/>
              <w:adjustRightInd/>
              <w:snapToGrid/>
              <w:ind w:left="0" w:right="0"/>
              <w:jc w:val="center"/>
              <w:textAlignment w:val="auto"/>
              <w:rPr>
                <w:rFonts w:ascii="Times New Roman" w:hAnsi="Times New Roman"/>
                <w:color w:val="auto"/>
                <w:sz w:val="21"/>
                <w:szCs w:val="21"/>
                <w:highlight w:val="none"/>
              </w:rPr>
            </w:pPr>
            <w:r>
              <w:rPr>
                <w:rFonts w:ascii="Times New Roman" w:hAnsi="Times New Roman"/>
                <w:color w:val="auto"/>
                <w:sz w:val="21"/>
                <w:szCs w:val="21"/>
                <w:highlight w:val="none"/>
              </w:rPr>
              <w:t>《水质悬浮物的测定重量法》GB/T11901-1989</w:t>
            </w:r>
          </w:p>
        </w:tc>
      </w:tr>
      <w:tr w14:paraId="0BBB9C80">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450" w:type="pct"/>
            <w:vMerge w:val="continue"/>
            <w:tcBorders>
              <w:tl2br w:val="nil"/>
              <w:tr2bl w:val="nil"/>
            </w:tcBorders>
            <w:vAlign w:val="center"/>
          </w:tcPr>
          <w:p w14:paraId="09610269">
            <w:pPr>
              <w:keepNext w:val="0"/>
              <w:keepLines w:val="0"/>
              <w:pageBreakBefore w:val="0"/>
              <w:widowControl/>
              <w:kinsoku/>
              <w:wordWrap/>
              <w:overflowPunct/>
              <w:topLinePunct w:val="0"/>
              <w:bidi w:val="0"/>
              <w:adjustRightInd/>
              <w:snapToGrid/>
              <w:ind w:left="0" w:right="0"/>
              <w:textAlignment w:val="auto"/>
              <w:rPr>
                <w:rFonts w:ascii="Times New Roman" w:hAnsi="Times New Roman"/>
                <w:color w:val="auto"/>
                <w:sz w:val="21"/>
                <w:szCs w:val="21"/>
                <w:highlight w:val="none"/>
              </w:rPr>
            </w:pPr>
          </w:p>
        </w:tc>
        <w:tc>
          <w:tcPr>
            <w:tcW w:w="786" w:type="pct"/>
            <w:tcBorders>
              <w:tl2br w:val="nil"/>
              <w:tr2bl w:val="nil"/>
            </w:tcBorders>
            <w:vAlign w:val="center"/>
          </w:tcPr>
          <w:p w14:paraId="4AC39D83">
            <w:pPr>
              <w:keepNext w:val="0"/>
              <w:keepLines w:val="0"/>
              <w:pageBreakBefore w:val="0"/>
              <w:widowControl/>
              <w:kinsoku/>
              <w:wordWrap/>
              <w:overflowPunct/>
              <w:topLinePunct w:val="0"/>
              <w:autoSpaceDE w:val="0"/>
              <w:autoSpaceDN w:val="0"/>
              <w:bidi w:val="0"/>
              <w:adjustRightInd/>
              <w:snapToGrid/>
              <w:ind w:left="0" w:right="0"/>
              <w:jc w:val="center"/>
              <w:textAlignment w:val="auto"/>
              <w:rPr>
                <w:rFonts w:ascii="Times New Roman" w:hAnsi="Times New Roman"/>
                <w:color w:val="auto"/>
                <w:sz w:val="21"/>
                <w:szCs w:val="21"/>
                <w:highlight w:val="none"/>
              </w:rPr>
            </w:pPr>
            <w:r>
              <w:rPr>
                <w:rFonts w:ascii="Times New Roman" w:hAnsi="Times New Roman"/>
                <w:color w:val="auto"/>
                <w:sz w:val="21"/>
                <w:szCs w:val="21"/>
                <w:highlight w:val="none"/>
              </w:rPr>
              <w:t>NH</w:t>
            </w:r>
            <w:r>
              <w:rPr>
                <w:rFonts w:ascii="Times New Roman" w:hAnsi="Times New Roman"/>
                <w:color w:val="auto"/>
                <w:sz w:val="21"/>
                <w:szCs w:val="21"/>
                <w:highlight w:val="none"/>
                <w:vertAlign w:val="subscript"/>
              </w:rPr>
              <w:t>3</w:t>
            </w:r>
            <w:r>
              <w:rPr>
                <w:rFonts w:ascii="Times New Roman" w:hAnsi="Times New Roman"/>
                <w:color w:val="auto"/>
                <w:sz w:val="21"/>
                <w:szCs w:val="21"/>
                <w:highlight w:val="none"/>
              </w:rPr>
              <w:t>-N</w:t>
            </w:r>
          </w:p>
        </w:tc>
        <w:tc>
          <w:tcPr>
            <w:tcW w:w="3762" w:type="pct"/>
            <w:tcBorders>
              <w:tl2br w:val="nil"/>
              <w:tr2bl w:val="nil"/>
            </w:tcBorders>
            <w:vAlign w:val="center"/>
          </w:tcPr>
          <w:p w14:paraId="48B45D66">
            <w:pPr>
              <w:keepNext w:val="0"/>
              <w:keepLines w:val="0"/>
              <w:pageBreakBefore w:val="0"/>
              <w:widowControl/>
              <w:kinsoku/>
              <w:wordWrap/>
              <w:overflowPunct/>
              <w:topLinePunct w:val="0"/>
              <w:autoSpaceDE w:val="0"/>
              <w:autoSpaceDN w:val="0"/>
              <w:bidi w:val="0"/>
              <w:adjustRightInd/>
              <w:snapToGrid/>
              <w:ind w:left="0" w:right="0"/>
              <w:jc w:val="center"/>
              <w:textAlignment w:val="auto"/>
              <w:rPr>
                <w:rFonts w:ascii="Times New Roman" w:hAnsi="Times New Roman"/>
                <w:color w:val="auto"/>
                <w:sz w:val="21"/>
                <w:szCs w:val="21"/>
                <w:highlight w:val="none"/>
              </w:rPr>
            </w:pPr>
            <w:r>
              <w:rPr>
                <w:rFonts w:ascii="Times New Roman" w:hAnsi="Times New Roman"/>
                <w:color w:val="auto"/>
                <w:sz w:val="21"/>
                <w:szCs w:val="21"/>
                <w:highlight w:val="none"/>
              </w:rPr>
              <w:t>《水质氨氮的测定纳氏试剂分光光度法》HJ535-2009</w:t>
            </w:r>
          </w:p>
        </w:tc>
      </w:tr>
      <w:tr w14:paraId="552F3D71">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450" w:type="pct"/>
            <w:vMerge w:val="continue"/>
            <w:tcBorders>
              <w:tl2br w:val="nil"/>
              <w:tr2bl w:val="nil"/>
            </w:tcBorders>
            <w:vAlign w:val="center"/>
          </w:tcPr>
          <w:p w14:paraId="2CC5DCFA">
            <w:pPr>
              <w:keepNext w:val="0"/>
              <w:keepLines w:val="0"/>
              <w:pageBreakBefore w:val="0"/>
              <w:widowControl/>
              <w:kinsoku/>
              <w:wordWrap/>
              <w:overflowPunct/>
              <w:topLinePunct w:val="0"/>
              <w:bidi w:val="0"/>
              <w:adjustRightInd/>
              <w:snapToGrid/>
              <w:ind w:left="0" w:right="0"/>
              <w:textAlignment w:val="auto"/>
              <w:rPr>
                <w:rFonts w:ascii="Times New Roman" w:hAnsi="Times New Roman"/>
                <w:color w:val="auto"/>
                <w:sz w:val="21"/>
                <w:szCs w:val="21"/>
                <w:highlight w:val="none"/>
              </w:rPr>
            </w:pPr>
          </w:p>
        </w:tc>
        <w:tc>
          <w:tcPr>
            <w:tcW w:w="786" w:type="pct"/>
            <w:tcBorders>
              <w:tl2br w:val="nil"/>
              <w:tr2bl w:val="nil"/>
            </w:tcBorders>
            <w:vAlign w:val="center"/>
          </w:tcPr>
          <w:p w14:paraId="38D069E4">
            <w:pPr>
              <w:keepNext w:val="0"/>
              <w:keepLines w:val="0"/>
              <w:pageBreakBefore w:val="0"/>
              <w:widowControl/>
              <w:kinsoku/>
              <w:wordWrap/>
              <w:overflowPunct/>
              <w:topLinePunct w:val="0"/>
              <w:autoSpaceDE w:val="0"/>
              <w:autoSpaceDN w:val="0"/>
              <w:bidi w:val="0"/>
              <w:adjustRightInd/>
              <w:snapToGrid/>
              <w:ind w:left="0" w:right="0"/>
              <w:jc w:val="center"/>
              <w:textAlignment w:val="auto"/>
              <w:rPr>
                <w:rFonts w:ascii="Times New Roman" w:hAnsi="Times New Roman"/>
                <w:color w:val="auto"/>
                <w:sz w:val="21"/>
                <w:szCs w:val="21"/>
                <w:highlight w:val="none"/>
              </w:rPr>
            </w:pPr>
            <w:r>
              <w:rPr>
                <w:rFonts w:ascii="Times New Roman" w:hAnsi="Times New Roman"/>
                <w:color w:val="auto"/>
                <w:sz w:val="21"/>
                <w:szCs w:val="21"/>
                <w:highlight w:val="none"/>
              </w:rPr>
              <w:t>TP</w:t>
            </w:r>
          </w:p>
        </w:tc>
        <w:tc>
          <w:tcPr>
            <w:tcW w:w="3762" w:type="pct"/>
            <w:tcBorders>
              <w:tl2br w:val="nil"/>
              <w:tr2bl w:val="nil"/>
            </w:tcBorders>
            <w:vAlign w:val="center"/>
          </w:tcPr>
          <w:p w14:paraId="21D830CF">
            <w:pPr>
              <w:keepNext w:val="0"/>
              <w:keepLines w:val="0"/>
              <w:pageBreakBefore w:val="0"/>
              <w:widowControl/>
              <w:kinsoku/>
              <w:wordWrap/>
              <w:overflowPunct/>
              <w:topLinePunct w:val="0"/>
              <w:autoSpaceDE w:val="0"/>
              <w:autoSpaceDN w:val="0"/>
              <w:bidi w:val="0"/>
              <w:adjustRightInd/>
              <w:snapToGrid/>
              <w:ind w:left="0" w:right="0"/>
              <w:jc w:val="center"/>
              <w:textAlignment w:val="auto"/>
              <w:rPr>
                <w:rFonts w:ascii="Times New Roman" w:hAnsi="Times New Roman"/>
                <w:color w:val="auto"/>
                <w:sz w:val="21"/>
                <w:szCs w:val="21"/>
                <w:highlight w:val="none"/>
              </w:rPr>
            </w:pPr>
            <w:r>
              <w:rPr>
                <w:rFonts w:ascii="Times New Roman" w:hAnsi="Times New Roman"/>
                <w:color w:val="auto"/>
                <w:sz w:val="21"/>
                <w:szCs w:val="21"/>
                <w:highlight w:val="none"/>
              </w:rPr>
              <w:t>《水质总磷的测定钼酸铵分光光度法》（GB/T11893-1989）</w:t>
            </w:r>
          </w:p>
        </w:tc>
      </w:tr>
      <w:tr w14:paraId="6ADAF8FD">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450" w:type="pct"/>
            <w:vMerge w:val="continue"/>
            <w:tcBorders>
              <w:tl2br w:val="nil"/>
              <w:tr2bl w:val="nil"/>
            </w:tcBorders>
            <w:vAlign w:val="center"/>
          </w:tcPr>
          <w:p w14:paraId="10DB9200">
            <w:pPr>
              <w:keepNext w:val="0"/>
              <w:keepLines w:val="0"/>
              <w:pageBreakBefore w:val="0"/>
              <w:widowControl/>
              <w:kinsoku/>
              <w:wordWrap/>
              <w:overflowPunct/>
              <w:topLinePunct w:val="0"/>
              <w:bidi w:val="0"/>
              <w:adjustRightInd/>
              <w:snapToGrid/>
              <w:ind w:left="0" w:right="0"/>
              <w:textAlignment w:val="auto"/>
              <w:rPr>
                <w:rFonts w:ascii="Times New Roman" w:hAnsi="Times New Roman"/>
                <w:color w:val="auto"/>
                <w:sz w:val="21"/>
                <w:szCs w:val="21"/>
                <w:highlight w:val="none"/>
              </w:rPr>
            </w:pPr>
          </w:p>
        </w:tc>
        <w:tc>
          <w:tcPr>
            <w:tcW w:w="786" w:type="pct"/>
            <w:tcBorders>
              <w:tl2br w:val="nil"/>
              <w:tr2bl w:val="nil"/>
            </w:tcBorders>
            <w:vAlign w:val="center"/>
          </w:tcPr>
          <w:p w14:paraId="7E75B9E9">
            <w:pPr>
              <w:keepNext w:val="0"/>
              <w:keepLines w:val="0"/>
              <w:pageBreakBefore w:val="0"/>
              <w:widowControl/>
              <w:kinsoku/>
              <w:wordWrap/>
              <w:overflowPunct/>
              <w:topLinePunct w:val="0"/>
              <w:autoSpaceDE w:val="0"/>
              <w:autoSpaceDN w:val="0"/>
              <w:bidi w:val="0"/>
              <w:adjustRightInd/>
              <w:snapToGrid/>
              <w:ind w:left="0" w:right="0"/>
              <w:jc w:val="center"/>
              <w:textAlignment w:val="auto"/>
              <w:rPr>
                <w:rFonts w:ascii="Times New Roman" w:hAnsi="Times New Roman"/>
                <w:color w:val="auto"/>
                <w:sz w:val="21"/>
                <w:szCs w:val="21"/>
                <w:highlight w:val="none"/>
              </w:rPr>
            </w:pPr>
            <w:r>
              <w:rPr>
                <w:rFonts w:ascii="Times New Roman" w:hAnsi="Times New Roman"/>
                <w:color w:val="auto"/>
                <w:sz w:val="21"/>
                <w:szCs w:val="21"/>
                <w:highlight w:val="none"/>
              </w:rPr>
              <w:t>总氮</w:t>
            </w:r>
          </w:p>
        </w:tc>
        <w:tc>
          <w:tcPr>
            <w:tcW w:w="3762" w:type="pct"/>
            <w:tcBorders>
              <w:tl2br w:val="nil"/>
              <w:tr2bl w:val="nil"/>
            </w:tcBorders>
            <w:vAlign w:val="center"/>
          </w:tcPr>
          <w:p w14:paraId="017B2D38">
            <w:pPr>
              <w:keepNext w:val="0"/>
              <w:keepLines w:val="0"/>
              <w:pageBreakBefore w:val="0"/>
              <w:widowControl/>
              <w:kinsoku/>
              <w:wordWrap/>
              <w:overflowPunct/>
              <w:topLinePunct w:val="0"/>
              <w:autoSpaceDE w:val="0"/>
              <w:autoSpaceDN w:val="0"/>
              <w:bidi w:val="0"/>
              <w:adjustRightInd/>
              <w:snapToGrid/>
              <w:ind w:left="0" w:right="0"/>
              <w:jc w:val="center"/>
              <w:textAlignment w:val="auto"/>
              <w:rPr>
                <w:rFonts w:ascii="Times New Roman" w:hAnsi="Times New Roman"/>
                <w:color w:val="auto"/>
                <w:sz w:val="21"/>
                <w:szCs w:val="21"/>
                <w:highlight w:val="none"/>
              </w:rPr>
            </w:pPr>
            <w:r>
              <w:rPr>
                <w:rFonts w:ascii="Times New Roman" w:hAnsi="Times New Roman"/>
                <w:color w:val="auto"/>
                <w:sz w:val="21"/>
                <w:szCs w:val="21"/>
                <w:highlight w:val="none"/>
              </w:rPr>
              <w:t>《碱性过硫酸钾消解紫外分光光度法》（GB11894-89）</w:t>
            </w:r>
          </w:p>
        </w:tc>
      </w:tr>
      <w:tr w14:paraId="41613913">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450" w:type="pct"/>
            <w:vMerge w:val="continue"/>
            <w:tcBorders>
              <w:tl2br w:val="nil"/>
              <w:tr2bl w:val="nil"/>
            </w:tcBorders>
            <w:vAlign w:val="center"/>
          </w:tcPr>
          <w:p w14:paraId="3FF2DC66">
            <w:pPr>
              <w:keepNext w:val="0"/>
              <w:keepLines w:val="0"/>
              <w:pageBreakBefore w:val="0"/>
              <w:widowControl/>
              <w:kinsoku/>
              <w:wordWrap/>
              <w:overflowPunct/>
              <w:topLinePunct w:val="0"/>
              <w:bidi w:val="0"/>
              <w:adjustRightInd/>
              <w:snapToGrid/>
              <w:ind w:left="0" w:right="0"/>
              <w:textAlignment w:val="auto"/>
              <w:rPr>
                <w:rFonts w:ascii="Times New Roman" w:hAnsi="Times New Roman"/>
                <w:color w:val="auto"/>
                <w:sz w:val="21"/>
                <w:szCs w:val="21"/>
                <w:highlight w:val="none"/>
              </w:rPr>
            </w:pPr>
          </w:p>
        </w:tc>
        <w:tc>
          <w:tcPr>
            <w:tcW w:w="786" w:type="pct"/>
            <w:tcBorders>
              <w:tl2br w:val="nil"/>
              <w:tr2bl w:val="nil"/>
            </w:tcBorders>
            <w:vAlign w:val="center"/>
          </w:tcPr>
          <w:p w14:paraId="12C86A79">
            <w:pPr>
              <w:keepNext w:val="0"/>
              <w:keepLines w:val="0"/>
              <w:pageBreakBefore w:val="0"/>
              <w:widowControl/>
              <w:kinsoku/>
              <w:wordWrap/>
              <w:overflowPunct/>
              <w:topLinePunct w:val="0"/>
              <w:autoSpaceDE w:val="0"/>
              <w:autoSpaceDN w:val="0"/>
              <w:bidi w:val="0"/>
              <w:adjustRightInd/>
              <w:snapToGrid/>
              <w:ind w:left="0" w:right="0"/>
              <w:jc w:val="center"/>
              <w:textAlignment w:val="auto"/>
              <w:rPr>
                <w:rFonts w:ascii="Times New Roman" w:hAnsi="Times New Roman"/>
                <w:color w:val="auto"/>
                <w:sz w:val="21"/>
                <w:szCs w:val="21"/>
                <w:highlight w:val="none"/>
              </w:rPr>
            </w:pPr>
            <w:r>
              <w:rPr>
                <w:rFonts w:ascii="Times New Roman" w:hAnsi="Times New Roman"/>
                <w:color w:val="auto"/>
                <w:sz w:val="21"/>
                <w:szCs w:val="21"/>
                <w:highlight w:val="none"/>
              </w:rPr>
              <w:t>DO</w:t>
            </w:r>
          </w:p>
        </w:tc>
        <w:tc>
          <w:tcPr>
            <w:tcW w:w="3762" w:type="pct"/>
            <w:tcBorders>
              <w:tl2br w:val="nil"/>
              <w:tr2bl w:val="nil"/>
            </w:tcBorders>
            <w:vAlign w:val="center"/>
          </w:tcPr>
          <w:p w14:paraId="578CEBB1">
            <w:pPr>
              <w:keepNext w:val="0"/>
              <w:keepLines w:val="0"/>
              <w:pageBreakBefore w:val="0"/>
              <w:widowControl/>
              <w:kinsoku/>
              <w:wordWrap/>
              <w:overflowPunct/>
              <w:topLinePunct w:val="0"/>
              <w:autoSpaceDE w:val="0"/>
              <w:autoSpaceDN w:val="0"/>
              <w:bidi w:val="0"/>
              <w:adjustRightInd/>
              <w:snapToGrid/>
              <w:ind w:left="0" w:right="0"/>
              <w:jc w:val="center"/>
              <w:textAlignment w:val="auto"/>
              <w:rPr>
                <w:rFonts w:ascii="Times New Roman" w:hAnsi="Times New Roman"/>
                <w:color w:val="auto"/>
                <w:sz w:val="21"/>
                <w:szCs w:val="21"/>
                <w:highlight w:val="none"/>
              </w:rPr>
            </w:pPr>
            <w:r>
              <w:rPr>
                <w:rFonts w:ascii="Times New Roman" w:hAnsi="Times New Roman"/>
                <w:color w:val="auto"/>
                <w:sz w:val="21"/>
                <w:szCs w:val="21"/>
                <w:highlight w:val="none"/>
              </w:rPr>
              <w:t>水质溶解氧的测定碘量法GB7489-87</w:t>
            </w:r>
          </w:p>
        </w:tc>
      </w:tr>
    </w:tbl>
    <w:p w14:paraId="30401168">
      <w:pPr>
        <w:spacing w:line="360" w:lineRule="auto"/>
        <w:ind w:left="-105" w:right="-105" w:firstLine="480"/>
        <w:rPr>
          <w:rFonts w:ascii="Times New Roman" w:hAnsi="Times New Roman"/>
          <w:color w:val="auto"/>
          <w:highlight w:val="none"/>
        </w:rPr>
      </w:pPr>
      <w:r>
        <w:rPr>
          <w:rFonts w:ascii="Times New Roman" w:hAnsi="Times New Roman"/>
          <w:color w:val="auto"/>
          <w:highlight w:val="none"/>
        </w:rPr>
        <w:t>（</w:t>
      </w:r>
      <w:r>
        <w:rPr>
          <w:rFonts w:hint="eastAsia" w:ascii="Times New Roman" w:hAnsi="Times New Roman"/>
          <w:color w:val="auto"/>
          <w:highlight w:val="none"/>
        </w:rPr>
        <w:t>3</w:t>
      </w:r>
      <w:r>
        <w:rPr>
          <w:rFonts w:ascii="Times New Roman" w:hAnsi="Times New Roman"/>
          <w:color w:val="auto"/>
          <w:highlight w:val="none"/>
        </w:rPr>
        <w:t>）地表水现状评价</w:t>
      </w:r>
    </w:p>
    <w:p w14:paraId="3AD4161B">
      <w:pPr>
        <w:spacing w:line="360" w:lineRule="auto"/>
        <w:ind w:left="-105" w:right="-105" w:firstLine="480"/>
        <w:rPr>
          <w:rFonts w:ascii="Times New Roman" w:hAnsi="Times New Roman"/>
          <w:color w:val="auto"/>
          <w:highlight w:val="none"/>
        </w:rPr>
      </w:pPr>
      <w:r>
        <w:rPr>
          <w:rFonts w:ascii="Times New Roman" w:hAnsi="Times New Roman"/>
          <w:color w:val="auto"/>
          <w:highlight w:val="none"/>
        </w:rPr>
        <w:t>按照</w:t>
      </w:r>
      <w:r>
        <w:rPr>
          <w:rFonts w:hint="eastAsia" w:ascii="Times New Roman" w:hAnsi="Times New Roman"/>
          <w:color w:val="auto"/>
          <w:highlight w:val="none"/>
        </w:rPr>
        <w:t>《江苏省地表水（环境）功能区划（2021-2030年）》</w:t>
      </w:r>
      <w:r>
        <w:rPr>
          <w:rFonts w:hint="eastAsia" w:ascii="Times New Roman" w:hAnsi="Times New Roman"/>
          <w:color w:val="auto"/>
          <w:highlight w:val="none"/>
          <w:lang w:eastAsia="zh-CN"/>
        </w:rPr>
        <w:t>（苏政复〔2022〕13号）</w:t>
      </w:r>
      <w:r>
        <w:rPr>
          <w:rFonts w:ascii="Times New Roman" w:hAnsi="Times New Roman"/>
          <w:color w:val="auto"/>
          <w:highlight w:val="none"/>
        </w:rPr>
        <w:t>的要求，锡北运河执行《地表水环境质量标准》（GB3838-2002）中的Ⅲ类标准。</w:t>
      </w:r>
    </w:p>
    <w:p w14:paraId="4C075E1B">
      <w:pPr>
        <w:spacing w:line="360" w:lineRule="auto"/>
        <w:ind w:left="-105" w:right="-105" w:firstLine="480"/>
        <w:rPr>
          <w:rFonts w:ascii="Times New Roman" w:hAnsi="Times New Roman"/>
          <w:color w:val="auto"/>
          <w:highlight w:val="none"/>
        </w:rPr>
      </w:pPr>
      <w:r>
        <w:rPr>
          <w:rFonts w:ascii="Times New Roman" w:hAnsi="Times New Roman"/>
          <w:color w:val="auto"/>
          <w:highlight w:val="none"/>
        </w:rPr>
        <w:t>采用单项水质参数评价模式，按各项水质参数逐项计算后，评价其污染水平，单因子污染指数计算公式为：</w:t>
      </w:r>
    </w:p>
    <w:p w14:paraId="4E943150">
      <w:pPr>
        <w:spacing w:line="360" w:lineRule="auto"/>
        <w:ind w:left="-105" w:right="-105" w:firstLine="480"/>
        <w:jc w:val="center"/>
        <w:rPr>
          <w:rFonts w:ascii="Times New Roman" w:hAnsi="Times New Roman"/>
          <w:color w:val="auto"/>
          <w:highlight w:val="none"/>
        </w:rPr>
      </w:pPr>
      <w:r>
        <w:rPr>
          <w:rFonts w:ascii="Times New Roman" w:hAnsi="Times New Roman"/>
          <w:bCs/>
          <w:color w:val="auto"/>
          <w:position w:val="-14"/>
          <w:szCs w:val="20"/>
          <w:highlight w:val="none"/>
        </w:rPr>
        <w:object>
          <v:shape id="_x0000_i1034" o:spt="75" type="#_x0000_t75" style="height:26.85pt;width:93.4pt;" o:ole="t" filled="f" coordsize="21600,21600">
            <v:path/>
            <v:fill on="f" focussize="0,0"/>
            <v:stroke/>
            <v:imagedata r:id="rId36" o:title=""/>
            <o:lock v:ext="edit" aspectratio="t"/>
            <w10:wrap type="none"/>
            <w10:anchorlock/>
          </v:shape>
          <o:OLEObject Type="Embed" ProgID="Equation.3" ShapeID="_x0000_i1034" DrawAspect="Content" ObjectID="_1468075725" r:id="rId35">
            <o:LockedField>false</o:LockedField>
          </o:OLEObject>
        </w:object>
      </w:r>
    </w:p>
    <w:p w14:paraId="437B6E13">
      <w:pPr>
        <w:spacing w:line="360" w:lineRule="auto"/>
        <w:ind w:left="-105" w:right="-105" w:firstLine="480"/>
        <w:rPr>
          <w:rFonts w:ascii="Times New Roman" w:hAnsi="Times New Roman"/>
          <w:color w:val="auto"/>
          <w:highlight w:val="none"/>
        </w:rPr>
      </w:pPr>
      <w:r>
        <w:rPr>
          <w:rFonts w:ascii="Times New Roman" w:hAnsi="Times New Roman"/>
          <w:color w:val="auto"/>
          <w:highlight w:val="none"/>
        </w:rPr>
        <w:t>式中：S</w:t>
      </w:r>
      <w:r>
        <w:rPr>
          <w:rFonts w:ascii="Times New Roman" w:hAnsi="Times New Roman"/>
          <w:color w:val="auto"/>
          <w:highlight w:val="none"/>
          <w:vertAlign w:val="subscript"/>
        </w:rPr>
        <w:t>i,j</w:t>
      </w:r>
      <w:r>
        <w:rPr>
          <w:rFonts w:ascii="Times New Roman" w:hAnsi="Times New Roman"/>
          <w:color w:val="auto"/>
          <w:highlight w:val="none"/>
        </w:rPr>
        <w:t>：第i种污染物在第j点的标准指数；</w:t>
      </w:r>
    </w:p>
    <w:p w14:paraId="116EF030">
      <w:pPr>
        <w:spacing w:line="360" w:lineRule="auto"/>
        <w:ind w:left="-105" w:right="-105" w:firstLine="1200" w:firstLineChars="500"/>
        <w:rPr>
          <w:rFonts w:ascii="Times New Roman" w:hAnsi="Times New Roman"/>
          <w:color w:val="auto"/>
          <w:highlight w:val="none"/>
        </w:rPr>
      </w:pPr>
      <w:r>
        <w:rPr>
          <w:rFonts w:ascii="Times New Roman" w:hAnsi="Times New Roman"/>
          <w:color w:val="auto"/>
          <w:highlight w:val="none"/>
        </w:rPr>
        <w:t>C</w:t>
      </w:r>
      <w:r>
        <w:rPr>
          <w:rFonts w:ascii="Times New Roman" w:hAnsi="Times New Roman"/>
          <w:color w:val="auto"/>
          <w:highlight w:val="none"/>
          <w:vertAlign w:val="subscript"/>
        </w:rPr>
        <w:t>i,j</w:t>
      </w:r>
      <w:r>
        <w:rPr>
          <w:rFonts w:ascii="Times New Roman" w:hAnsi="Times New Roman"/>
          <w:color w:val="auto"/>
          <w:highlight w:val="none"/>
        </w:rPr>
        <w:t>：第i种污染物在第j点的监测平均浓度值，mg/L；</w:t>
      </w:r>
    </w:p>
    <w:p w14:paraId="52B5AC30">
      <w:pPr>
        <w:spacing w:line="360" w:lineRule="auto"/>
        <w:ind w:left="-105" w:right="-105" w:firstLine="1176" w:firstLineChars="490"/>
        <w:rPr>
          <w:rFonts w:ascii="Times New Roman" w:hAnsi="Times New Roman"/>
          <w:color w:val="auto"/>
          <w:highlight w:val="none"/>
        </w:rPr>
      </w:pPr>
      <w:r>
        <w:rPr>
          <w:rFonts w:ascii="Times New Roman" w:hAnsi="Times New Roman"/>
          <w:color w:val="auto"/>
          <w:highlight w:val="none"/>
        </w:rPr>
        <w:t>C</w:t>
      </w:r>
      <w:r>
        <w:rPr>
          <w:rFonts w:ascii="Times New Roman" w:hAnsi="Times New Roman"/>
          <w:color w:val="auto"/>
          <w:highlight w:val="none"/>
          <w:vertAlign w:val="subscript"/>
        </w:rPr>
        <w:t>si</w:t>
      </w:r>
      <w:r>
        <w:rPr>
          <w:rFonts w:ascii="Times New Roman" w:hAnsi="Times New Roman"/>
          <w:color w:val="auto"/>
          <w:highlight w:val="none"/>
        </w:rPr>
        <w:t>：第i种污染物的地表水水质标准值，mg/L；</w:t>
      </w:r>
    </w:p>
    <w:p w14:paraId="236DE21E">
      <w:pPr>
        <w:spacing w:line="360" w:lineRule="auto"/>
        <w:ind w:left="-105" w:right="-105"/>
        <w:rPr>
          <w:rFonts w:ascii="Times New Roman" w:hAnsi="Times New Roman"/>
          <w:color w:val="auto"/>
          <w:highlight w:val="none"/>
        </w:rPr>
      </w:pPr>
      <w:r>
        <w:rPr>
          <w:rFonts w:ascii="Times New Roman" w:hAnsi="Times New Roman"/>
          <w:color w:val="auto"/>
          <w:highlight w:val="none"/>
        </w:rPr>
        <w:t>其中溶解氧(DO)的标准指数计算公式：</w:t>
      </w:r>
    </w:p>
    <w:p w14:paraId="29CE6273">
      <w:pPr>
        <w:spacing w:line="360" w:lineRule="auto"/>
        <w:ind w:left="-105" w:right="-105" w:firstLine="480"/>
        <w:jc w:val="center"/>
        <w:rPr>
          <w:rFonts w:ascii="Times New Roman" w:hAnsi="Times New Roman"/>
          <w:color w:val="auto"/>
          <w:highlight w:val="none"/>
          <w:vertAlign w:val="subscript"/>
        </w:rPr>
      </w:pPr>
      <w:r>
        <w:rPr>
          <w:rFonts w:ascii="Times New Roman" w:hAnsi="Times New Roman"/>
          <w:color w:val="auto"/>
          <w:position w:val="-14"/>
          <w:highlight w:val="none"/>
        </w:rPr>
        <w:object>
          <v:shape id="_x0000_i1035" o:spt="75" type="#_x0000_t75" style="height:24.15pt;width:114.05pt;" o:ole="t" filled="f" coordsize="21600,21600">
            <v:path/>
            <v:fill on="f" focussize="0,0"/>
            <v:stroke/>
            <v:imagedata r:id="rId38" o:title=""/>
            <o:lock v:ext="edit" aspectratio="t"/>
            <w10:wrap type="none"/>
            <w10:anchorlock/>
          </v:shape>
          <o:OLEObject Type="Embed" ProgID="Equation.3" ShapeID="_x0000_i1035" DrawAspect="Content" ObjectID="_1468075726" r:id="rId37">
            <o:LockedField>false</o:LockedField>
          </o:OLEObject>
        </w:object>
      </w:r>
      <w:r>
        <w:rPr>
          <w:rFonts w:ascii="Times New Roman" w:hAnsi="Times New Roman"/>
          <w:color w:val="auto"/>
          <w:highlight w:val="none"/>
        </w:rPr>
        <w:t>DO</w:t>
      </w:r>
      <w:r>
        <w:rPr>
          <w:rFonts w:ascii="Times New Roman" w:hAnsi="Times New Roman"/>
          <w:color w:val="auto"/>
          <w:highlight w:val="none"/>
          <w:vertAlign w:val="subscript"/>
        </w:rPr>
        <w:t>j</w:t>
      </w:r>
      <w:r>
        <w:rPr>
          <w:rFonts w:ascii="Times New Roman" w:hAnsi="Times New Roman"/>
          <w:color w:val="auto"/>
          <w:highlight w:val="none"/>
        </w:rPr>
        <w:t>≤DO</w:t>
      </w:r>
      <w:r>
        <w:rPr>
          <w:rFonts w:ascii="Times New Roman" w:hAnsi="Times New Roman"/>
          <w:color w:val="auto"/>
          <w:highlight w:val="none"/>
          <w:vertAlign w:val="subscript"/>
        </w:rPr>
        <w:t>f</w:t>
      </w:r>
    </w:p>
    <w:p w14:paraId="60946CA4">
      <w:pPr>
        <w:spacing w:line="360" w:lineRule="auto"/>
        <w:ind w:left="-105" w:right="-105" w:firstLine="480"/>
        <w:jc w:val="center"/>
        <w:rPr>
          <w:rFonts w:ascii="Times New Roman" w:hAnsi="Times New Roman"/>
          <w:color w:val="auto"/>
          <w:highlight w:val="none"/>
          <w:vertAlign w:val="subscript"/>
        </w:rPr>
      </w:pPr>
      <w:r>
        <w:rPr>
          <w:rFonts w:ascii="Times New Roman" w:hAnsi="Times New Roman"/>
          <w:color w:val="auto"/>
          <w:position w:val="-30"/>
          <w:highlight w:val="none"/>
          <w:vertAlign w:val="subscript"/>
        </w:rPr>
        <w:object>
          <v:shape id="_x0000_i1036" o:spt="75" type="#_x0000_t75" style="height:56.8pt;width:121.05pt;" o:ole="t" filled="f" coordsize="21600,21600">
            <v:path/>
            <v:fill on="f" focussize="0,0"/>
            <v:stroke/>
            <v:imagedata r:id="rId40" o:title=""/>
            <o:lock v:ext="edit" aspectratio="t"/>
            <w10:wrap type="none"/>
            <w10:anchorlock/>
          </v:shape>
          <o:OLEObject Type="Embed" ProgID="Equation.3" ShapeID="_x0000_i1036" DrawAspect="Content" ObjectID="_1468075727" r:id="rId39">
            <o:LockedField>false</o:LockedField>
          </o:OLEObject>
        </w:object>
      </w:r>
      <w:r>
        <w:rPr>
          <w:rFonts w:ascii="Times New Roman" w:hAnsi="Times New Roman"/>
          <w:color w:val="auto"/>
          <w:highlight w:val="none"/>
        </w:rPr>
        <w:t>DO</w:t>
      </w:r>
      <w:r>
        <w:rPr>
          <w:rFonts w:ascii="Times New Roman" w:hAnsi="Times New Roman"/>
          <w:color w:val="auto"/>
          <w:highlight w:val="none"/>
          <w:vertAlign w:val="subscript"/>
        </w:rPr>
        <w:t>j</w:t>
      </w:r>
      <w:r>
        <w:rPr>
          <w:rFonts w:ascii="Times New Roman" w:hAnsi="Times New Roman"/>
          <w:color w:val="auto"/>
          <w:highlight w:val="none"/>
        </w:rPr>
        <w:t>&gt;DO</w:t>
      </w:r>
      <w:r>
        <w:rPr>
          <w:rFonts w:ascii="Times New Roman" w:hAnsi="Times New Roman"/>
          <w:color w:val="auto"/>
          <w:highlight w:val="none"/>
          <w:vertAlign w:val="subscript"/>
        </w:rPr>
        <w:t>f</w:t>
      </w:r>
    </w:p>
    <w:p w14:paraId="135056BF">
      <w:pPr>
        <w:spacing w:line="360" w:lineRule="auto"/>
        <w:ind w:left="-105" w:right="-105" w:firstLine="480"/>
        <w:rPr>
          <w:rFonts w:ascii="Times New Roman" w:hAnsi="Times New Roman"/>
          <w:color w:val="auto"/>
          <w:highlight w:val="none"/>
        </w:rPr>
      </w:pPr>
      <w:r>
        <w:rPr>
          <w:rFonts w:ascii="Times New Roman" w:hAnsi="Times New Roman"/>
          <w:color w:val="auto"/>
          <w:highlight w:val="none"/>
        </w:rPr>
        <w:t>式中：S</w:t>
      </w:r>
      <w:r>
        <w:rPr>
          <w:rFonts w:ascii="Times New Roman" w:hAnsi="Times New Roman"/>
          <w:color w:val="auto"/>
          <w:highlight w:val="none"/>
          <w:vertAlign w:val="subscript"/>
        </w:rPr>
        <w:t>DO,j</w:t>
      </w:r>
      <w:r>
        <w:rPr>
          <w:rFonts w:ascii="Times New Roman" w:hAnsi="Times New Roman"/>
          <w:color w:val="auto"/>
          <w:highlight w:val="none"/>
        </w:rPr>
        <w:t>:溶解氧的标准指数，大于1表明该水质因子超标；</w:t>
      </w:r>
    </w:p>
    <w:p w14:paraId="00D81045">
      <w:pPr>
        <w:spacing w:line="360" w:lineRule="auto"/>
        <w:ind w:left="-105" w:right="-105" w:firstLine="480"/>
        <w:rPr>
          <w:rFonts w:ascii="Times New Roman" w:hAnsi="Times New Roman"/>
          <w:color w:val="auto"/>
          <w:highlight w:val="none"/>
        </w:rPr>
      </w:pPr>
      <w:r>
        <w:rPr>
          <w:rFonts w:ascii="Times New Roman" w:hAnsi="Times New Roman"/>
          <w:color w:val="auto"/>
          <w:highlight w:val="none"/>
        </w:rPr>
        <w:t>DO</w:t>
      </w:r>
      <w:r>
        <w:rPr>
          <w:rFonts w:ascii="Times New Roman" w:hAnsi="Times New Roman"/>
          <w:color w:val="auto"/>
          <w:highlight w:val="none"/>
          <w:vertAlign w:val="subscript"/>
        </w:rPr>
        <w:t>S</w:t>
      </w:r>
      <w:r>
        <w:rPr>
          <w:rFonts w:ascii="Times New Roman" w:hAnsi="Times New Roman"/>
          <w:color w:val="auto"/>
          <w:highlight w:val="none"/>
        </w:rPr>
        <w:t>：溶解氧的水质评价标准限值，mg/L；</w:t>
      </w:r>
    </w:p>
    <w:p w14:paraId="0A066BBD">
      <w:pPr>
        <w:spacing w:line="360" w:lineRule="auto"/>
        <w:ind w:left="-105" w:right="-105" w:firstLine="480"/>
        <w:rPr>
          <w:rFonts w:ascii="Times New Roman" w:hAnsi="Times New Roman"/>
          <w:color w:val="auto"/>
          <w:highlight w:val="none"/>
        </w:rPr>
      </w:pPr>
      <w:r>
        <w:rPr>
          <w:rFonts w:ascii="Times New Roman" w:hAnsi="Times New Roman"/>
          <w:color w:val="auto"/>
          <w:highlight w:val="none"/>
        </w:rPr>
        <w:t>DO</w:t>
      </w:r>
      <w:r>
        <w:rPr>
          <w:rFonts w:ascii="Times New Roman" w:hAnsi="Times New Roman"/>
          <w:color w:val="auto"/>
          <w:highlight w:val="none"/>
          <w:vertAlign w:val="subscript"/>
        </w:rPr>
        <w:t>j</w:t>
      </w:r>
      <w:r>
        <w:rPr>
          <w:rFonts w:ascii="Times New Roman" w:hAnsi="Times New Roman"/>
          <w:color w:val="auto"/>
          <w:highlight w:val="none"/>
        </w:rPr>
        <w:t>：溶解氧在j点的实测统计代表值，mg/L；</w:t>
      </w:r>
    </w:p>
    <w:p w14:paraId="11505387">
      <w:pPr>
        <w:spacing w:line="360" w:lineRule="auto"/>
        <w:ind w:left="-105" w:right="-105" w:firstLine="480"/>
        <w:rPr>
          <w:rFonts w:ascii="Times New Roman" w:hAnsi="Times New Roman"/>
          <w:color w:val="auto"/>
          <w:highlight w:val="none"/>
        </w:rPr>
      </w:pPr>
      <w:r>
        <w:rPr>
          <w:rFonts w:ascii="Times New Roman" w:hAnsi="Times New Roman"/>
          <w:color w:val="auto"/>
          <w:highlight w:val="none"/>
        </w:rPr>
        <w:t>DO</w:t>
      </w:r>
      <w:r>
        <w:rPr>
          <w:rFonts w:ascii="Times New Roman" w:hAnsi="Times New Roman"/>
          <w:color w:val="auto"/>
          <w:highlight w:val="none"/>
          <w:vertAlign w:val="subscript"/>
        </w:rPr>
        <w:t>f</w:t>
      </w:r>
      <w:r>
        <w:rPr>
          <w:rFonts w:ascii="Times New Roman" w:hAnsi="Times New Roman"/>
          <w:color w:val="auto"/>
          <w:highlight w:val="none"/>
        </w:rPr>
        <w:t>：饱和溶解氧浓度，mg/L，对于河流，DO</w:t>
      </w:r>
      <w:r>
        <w:rPr>
          <w:rFonts w:ascii="Times New Roman" w:hAnsi="Times New Roman"/>
          <w:color w:val="auto"/>
          <w:highlight w:val="none"/>
          <w:vertAlign w:val="subscript"/>
        </w:rPr>
        <w:t>f</w:t>
      </w:r>
      <w:r>
        <w:rPr>
          <w:rFonts w:ascii="Times New Roman" w:hAnsi="Times New Roman"/>
          <w:color w:val="auto"/>
          <w:highlight w:val="none"/>
        </w:rPr>
        <w:t>=468/（31.6+T）；对于盐度比较高的湖泊、水库及入海河口、近岸海域：DO</w:t>
      </w:r>
      <w:r>
        <w:rPr>
          <w:rFonts w:ascii="Times New Roman" w:hAnsi="Times New Roman"/>
          <w:color w:val="auto"/>
          <w:highlight w:val="none"/>
          <w:vertAlign w:val="subscript"/>
        </w:rPr>
        <w:t>f</w:t>
      </w:r>
      <w:r>
        <w:rPr>
          <w:rFonts w:ascii="Times New Roman" w:hAnsi="Times New Roman"/>
          <w:color w:val="auto"/>
          <w:highlight w:val="none"/>
        </w:rPr>
        <w:t>=（491-2.65S）/（33.5+T）；</w:t>
      </w:r>
    </w:p>
    <w:p w14:paraId="0AD617EC">
      <w:pPr>
        <w:spacing w:line="360" w:lineRule="auto"/>
        <w:ind w:left="-105" w:right="-105" w:firstLine="1176" w:firstLineChars="490"/>
        <w:rPr>
          <w:rFonts w:ascii="Times New Roman" w:hAnsi="Times New Roman"/>
          <w:color w:val="auto"/>
          <w:highlight w:val="none"/>
        </w:rPr>
      </w:pPr>
      <w:r>
        <w:rPr>
          <w:rFonts w:ascii="Times New Roman" w:hAnsi="Times New Roman"/>
          <w:color w:val="auto"/>
          <w:highlight w:val="none"/>
        </w:rPr>
        <w:t>S——实用盐度符号，量纲为1；</w:t>
      </w:r>
    </w:p>
    <w:p w14:paraId="67D068DB">
      <w:pPr>
        <w:spacing w:line="360" w:lineRule="auto"/>
        <w:ind w:left="-105" w:right="-105" w:firstLine="1176" w:firstLineChars="490"/>
        <w:rPr>
          <w:rFonts w:ascii="Times New Roman" w:hAnsi="Times New Roman"/>
          <w:color w:val="auto"/>
          <w:highlight w:val="none"/>
        </w:rPr>
      </w:pPr>
      <w:r>
        <w:rPr>
          <w:rFonts w:ascii="Times New Roman" w:hAnsi="Times New Roman"/>
          <w:color w:val="auto"/>
          <w:highlight w:val="none"/>
        </w:rPr>
        <w:t>T——水温，℃。</w:t>
      </w:r>
    </w:p>
    <w:p w14:paraId="0C37AB38">
      <w:pPr>
        <w:spacing w:line="360" w:lineRule="auto"/>
        <w:ind w:left="-105" w:right="-105"/>
        <w:rPr>
          <w:rFonts w:ascii="Times New Roman" w:hAnsi="Times New Roman"/>
          <w:color w:val="auto"/>
          <w:highlight w:val="none"/>
        </w:rPr>
      </w:pPr>
      <w:r>
        <w:rPr>
          <w:rFonts w:ascii="Times New Roman" w:hAnsi="Times New Roman"/>
          <w:color w:val="auto"/>
          <w:highlight w:val="none"/>
        </w:rPr>
        <w:t>pH为：</w:t>
      </w:r>
    </w:p>
    <w:p w14:paraId="0F7E8939">
      <w:pPr>
        <w:spacing w:line="360" w:lineRule="auto"/>
        <w:ind w:left="-105" w:right="-105"/>
        <w:jc w:val="center"/>
        <w:rPr>
          <w:rFonts w:ascii="Times New Roman" w:hAnsi="Times New Roman"/>
          <w:color w:val="auto"/>
          <w:highlight w:val="none"/>
        </w:rPr>
      </w:pPr>
      <w:r>
        <w:rPr>
          <w:rFonts w:ascii="Times New Roman" w:hAnsi="Times New Roman"/>
          <w:color w:val="auto"/>
          <w:highlight w:val="none"/>
        </w:rPr>
        <w:t>pH</w:t>
      </w:r>
      <w:r>
        <w:rPr>
          <w:rFonts w:ascii="Times New Roman" w:hAnsi="Times New Roman"/>
          <w:color w:val="auto"/>
          <w:highlight w:val="none"/>
          <w:vertAlign w:val="subscript"/>
        </w:rPr>
        <w:t>j</w:t>
      </w:r>
      <w:r>
        <w:rPr>
          <w:rFonts w:ascii="Times New Roman" w:hAnsi="Times New Roman"/>
          <w:color w:val="auto"/>
          <w:highlight w:val="none"/>
        </w:rPr>
        <w:t>≤7.0</w:t>
      </w:r>
      <w:r>
        <w:rPr>
          <w:rFonts w:ascii="Times New Roman" w:hAnsi="Times New Roman"/>
          <w:color w:val="auto"/>
          <w:position w:val="-30"/>
          <w:highlight w:val="none"/>
        </w:rPr>
        <w:object>
          <v:shape id="_x0000_i1037" o:spt="75" type="#_x0000_t75" style="height:44pt;width:114.8pt;" o:ole="t" filled="f" coordsize="21600,21600">
            <v:path/>
            <v:fill on="f" focussize="0,0"/>
            <v:stroke/>
            <v:imagedata r:id="rId42" o:title=""/>
            <o:lock v:ext="edit" aspectratio="t"/>
            <w10:wrap type="none"/>
            <w10:anchorlock/>
          </v:shape>
          <o:OLEObject Type="Embed" ProgID="Equation.3" ShapeID="_x0000_i1037" DrawAspect="Content" ObjectID="_1468075728" r:id="rId41">
            <o:LockedField>false</o:LockedField>
          </o:OLEObject>
        </w:object>
      </w:r>
    </w:p>
    <w:p w14:paraId="3F04540D">
      <w:pPr>
        <w:spacing w:line="360" w:lineRule="auto"/>
        <w:ind w:left="-105" w:right="-105"/>
        <w:jc w:val="center"/>
        <w:rPr>
          <w:rFonts w:ascii="Times New Roman" w:hAnsi="Times New Roman"/>
          <w:color w:val="auto"/>
          <w:highlight w:val="none"/>
        </w:rPr>
      </w:pPr>
      <w:r>
        <w:rPr>
          <w:rFonts w:ascii="Times New Roman" w:hAnsi="Times New Roman"/>
          <w:color w:val="auto"/>
          <w:highlight w:val="none"/>
        </w:rPr>
        <w:t>pH</w:t>
      </w:r>
      <w:r>
        <w:rPr>
          <w:rFonts w:ascii="Times New Roman" w:hAnsi="Times New Roman"/>
          <w:color w:val="auto"/>
          <w:highlight w:val="none"/>
          <w:vertAlign w:val="subscript"/>
        </w:rPr>
        <w:t>j</w:t>
      </w:r>
      <w:r>
        <w:rPr>
          <w:rFonts w:ascii="Times New Roman" w:hAnsi="Times New Roman"/>
          <w:color w:val="auto"/>
          <w:highlight w:val="none"/>
        </w:rPr>
        <w:t>&gt;7.0</w:t>
      </w:r>
      <w:r>
        <w:rPr>
          <w:rFonts w:ascii="Times New Roman" w:hAnsi="Times New Roman"/>
          <w:color w:val="auto"/>
          <w:position w:val="-30"/>
          <w:highlight w:val="none"/>
        </w:rPr>
        <w:object>
          <v:shape id="_x0000_i1038" o:spt="75" type="#_x0000_t75" style="height:41.25pt;width:106.25pt;" o:ole="t" filled="f" coordsize="21600,21600">
            <v:path/>
            <v:fill on="f" focussize="0,0"/>
            <v:stroke/>
            <v:imagedata r:id="rId44" o:title=""/>
            <o:lock v:ext="edit" aspectratio="t"/>
            <w10:wrap type="none"/>
            <w10:anchorlock/>
          </v:shape>
          <o:OLEObject Type="Embed" ProgID="Equation.3" ShapeID="_x0000_i1038" DrawAspect="Content" ObjectID="_1468075729" r:id="rId43">
            <o:LockedField>false</o:LockedField>
          </o:OLEObject>
        </w:object>
      </w:r>
    </w:p>
    <w:p w14:paraId="3A9F35D5">
      <w:pPr>
        <w:spacing w:line="360" w:lineRule="auto"/>
        <w:ind w:left="-105" w:right="-105" w:firstLine="480"/>
        <w:rPr>
          <w:rFonts w:ascii="Times New Roman" w:hAnsi="Times New Roman"/>
          <w:color w:val="auto"/>
          <w:highlight w:val="none"/>
        </w:rPr>
      </w:pPr>
      <w:r>
        <w:rPr>
          <w:rFonts w:ascii="Times New Roman" w:hAnsi="Times New Roman"/>
          <w:color w:val="auto"/>
          <w:highlight w:val="none"/>
        </w:rPr>
        <w:t>式中：S</w:t>
      </w:r>
      <w:r>
        <w:rPr>
          <w:rFonts w:ascii="Times New Roman" w:hAnsi="Times New Roman"/>
          <w:color w:val="auto"/>
          <w:highlight w:val="none"/>
          <w:vertAlign w:val="subscript"/>
        </w:rPr>
        <w:t>pH,j</w:t>
      </w:r>
      <w:r>
        <w:rPr>
          <w:rFonts w:ascii="Times New Roman" w:hAnsi="Times New Roman"/>
          <w:color w:val="auto"/>
          <w:highlight w:val="none"/>
        </w:rPr>
        <w:t>：为水质参数pH在j点的标准指数；</w:t>
      </w:r>
    </w:p>
    <w:p w14:paraId="27695D28">
      <w:pPr>
        <w:spacing w:line="360" w:lineRule="auto"/>
        <w:ind w:left="-105" w:right="-105" w:firstLine="480"/>
        <w:rPr>
          <w:rFonts w:ascii="Times New Roman" w:hAnsi="Times New Roman"/>
          <w:color w:val="auto"/>
          <w:highlight w:val="none"/>
        </w:rPr>
      </w:pPr>
      <w:r>
        <w:rPr>
          <w:rFonts w:ascii="Times New Roman" w:hAnsi="Times New Roman"/>
          <w:color w:val="auto"/>
          <w:highlight w:val="none"/>
        </w:rPr>
        <w:t>pH</w:t>
      </w:r>
      <w:r>
        <w:rPr>
          <w:rFonts w:ascii="Times New Roman" w:hAnsi="Times New Roman"/>
          <w:color w:val="auto"/>
          <w:highlight w:val="none"/>
          <w:vertAlign w:val="subscript"/>
        </w:rPr>
        <w:t>j</w:t>
      </w:r>
      <w:r>
        <w:rPr>
          <w:rFonts w:ascii="Times New Roman" w:hAnsi="Times New Roman"/>
          <w:color w:val="auto"/>
          <w:highlight w:val="none"/>
        </w:rPr>
        <w:t>：为j点的pH值；</w:t>
      </w:r>
    </w:p>
    <w:p w14:paraId="61510CD4">
      <w:pPr>
        <w:spacing w:line="360" w:lineRule="auto"/>
        <w:ind w:left="-105" w:right="-105" w:firstLine="480"/>
        <w:rPr>
          <w:rFonts w:ascii="Times New Roman" w:hAnsi="Times New Roman"/>
          <w:color w:val="auto"/>
          <w:highlight w:val="none"/>
        </w:rPr>
      </w:pPr>
      <w:r>
        <w:rPr>
          <w:rFonts w:ascii="Times New Roman" w:hAnsi="Times New Roman"/>
          <w:color w:val="auto"/>
          <w:highlight w:val="none"/>
        </w:rPr>
        <w:t>pH</w:t>
      </w:r>
      <w:r>
        <w:rPr>
          <w:rFonts w:ascii="Times New Roman" w:hAnsi="Times New Roman"/>
          <w:color w:val="auto"/>
          <w:highlight w:val="none"/>
          <w:vertAlign w:val="subscript"/>
        </w:rPr>
        <w:t>Sd</w:t>
      </w:r>
      <w:r>
        <w:rPr>
          <w:rFonts w:ascii="Times New Roman" w:hAnsi="Times New Roman"/>
          <w:color w:val="auto"/>
          <w:highlight w:val="none"/>
        </w:rPr>
        <w:t>：为地表水水质标准中规定的pH值下限</w:t>
      </w:r>
    </w:p>
    <w:p w14:paraId="57B69EEC">
      <w:pPr>
        <w:spacing w:line="360" w:lineRule="auto"/>
        <w:ind w:left="-105" w:right="-105" w:firstLine="480" w:firstLineChars="200"/>
        <w:rPr>
          <w:rFonts w:ascii="Times New Roman" w:hAnsi="Times New Roman"/>
          <w:color w:val="auto"/>
          <w:highlight w:val="none"/>
        </w:rPr>
      </w:pPr>
      <w:r>
        <w:rPr>
          <w:rFonts w:ascii="Times New Roman" w:hAnsi="Times New Roman"/>
          <w:color w:val="auto"/>
          <w:highlight w:val="none"/>
        </w:rPr>
        <w:t>pH</w:t>
      </w:r>
      <w:r>
        <w:rPr>
          <w:rFonts w:ascii="Times New Roman" w:hAnsi="Times New Roman"/>
          <w:color w:val="auto"/>
          <w:highlight w:val="none"/>
          <w:vertAlign w:val="subscript"/>
        </w:rPr>
        <w:t>Su</w:t>
      </w:r>
      <w:r>
        <w:rPr>
          <w:rFonts w:ascii="Times New Roman" w:hAnsi="Times New Roman"/>
          <w:color w:val="auto"/>
          <w:highlight w:val="none"/>
        </w:rPr>
        <w:t>：为地表水水质标准中规定的pH值上限</w:t>
      </w:r>
      <w:r>
        <w:rPr>
          <w:rFonts w:hint="eastAsia" w:ascii="Times New Roman" w:hAnsi="Times New Roman"/>
          <w:color w:val="auto"/>
          <w:highlight w:val="none"/>
        </w:rPr>
        <w:t>。</w:t>
      </w:r>
    </w:p>
    <w:p w14:paraId="4F64EEB2">
      <w:pPr>
        <w:spacing w:line="360" w:lineRule="auto"/>
        <w:ind w:left="-105" w:right="-105" w:firstLine="480" w:firstLineChars="200"/>
        <w:rPr>
          <w:rFonts w:ascii="Times New Roman" w:hAnsi="Times New Roman"/>
          <w:color w:val="auto"/>
          <w:highlight w:val="none"/>
        </w:rPr>
      </w:pPr>
      <w:r>
        <w:rPr>
          <w:rFonts w:ascii="Times New Roman" w:hAnsi="Times New Roman"/>
          <w:color w:val="auto"/>
          <w:highlight w:val="none"/>
        </w:rPr>
        <w:t>（</w:t>
      </w:r>
      <w:r>
        <w:rPr>
          <w:rFonts w:hint="eastAsia" w:ascii="Times New Roman" w:hAnsi="Times New Roman"/>
          <w:color w:val="auto"/>
          <w:highlight w:val="none"/>
        </w:rPr>
        <w:t>4</w:t>
      </w:r>
      <w:r>
        <w:rPr>
          <w:rFonts w:ascii="Times New Roman" w:hAnsi="Times New Roman"/>
          <w:color w:val="auto"/>
          <w:highlight w:val="none"/>
        </w:rPr>
        <w:t>）监测结果：</w:t>
      </w:r>
    </w:p>
    <w:p w14:paraId="190A624E">
      <w:pPr>
        <w:spacing w:line="360" w:lineRule="auto"/>
        <w:ind w:left="-105" w:right="-105" w:firstLine="480" w:firstLineChars="200"/>
        <w:rPr>
          <w:rFonts w:ascii="Times New Roman" w:hAnsi="Times New Roman"/>
          <w:color w:val="auto"/>
          <w:highlight w:val="none"/>
        </w:rPr>
      </w:pPr>
      <w:r>
        <w:rPr>
          <w:rFonts w:ascii="Times New Roman" w:hAnsi="Times New Roman"/>
          <w:color w:val="auto"/>
          <w:highlight w:val="none"/>
        </w:rPr>
        <w:t>监测结果见下表。</w:t>
      </w:r>
    </w:p>
    <w:p w14:paraId="6DE6F809">
      <w:pPr>
        <w:spacing w:line="360" w:lineRule="auto"/>
        <w:ind w:left="-105" w:right="-105" w:firstLine="480" w:firstLineChars="200"/>
        <w:rPr>
          <w:rFonts w:ascii="Times New Roman" w:hAnsi="Times New Roman"/>
          <w:color w:val="auto"/>
          <w:highlight w:val="none"/>
        </w:rPr>
      </w:pPr>
      <w:r>
        <w:rPr>
          <w:rFonts w:ascii="Times New Roman" w:hAnsi="Times New Roman"/>
          <w:color w:val="auto"/>
          <w:highlight w:val="none"/>
        </w:rPr>
        <w:t>监测期间水环境质量监测结果列于下表。</w:t>
      </w:r>
    </w:p>
    <w:p w14:paraId="7EE369C8">
      <w:pPr>
        <w:pStyle w:val="15"/>
        <w:spacing w:line="360" w:lineRule="auto"/>
        <w:ind w:left="-105" w:right="-105" w:firstLine="482"/>
        <w:rPr>
          <w:rFonts w:eastAsia="宋体" w:cs="Times New Roman"/>
          <w:color w:val="auto"/>
          <w:sz w:val="24"/>
          <w:szCs w:val="18"/>
          <w:highlight w:val="none"/>
        </w:rPr>
      </w:pPr>
    </w:p>
    <w:p w14:paraId="30F7950D">
      <w:pPr>
        <w:pStyle w:val="15"/>
        <w:spacing w:line="360" w:lineRule="auto"/>
        <w:ind w:left="-105" w:right="-105" w:firstLine="482"/>
        <w:rPr>
          <w:rFonts w:eastAsia="宋体" w:cs="Times New Roman"/>
          <w:b w:val="0"/>
          <w:bCs/>
          <w:color w:val="auto"/>
          <w:kern w:val="0"/>
          <w:sz w:val="24"/>
          <w:szCs w:val="24"/>
          <w:highlight w:val="none"/>
        </w:rPr>
      </w:pPr>
      <w:r>
        <w:rPr>
          <w:rFonts w:eastAsia="宋体" w:cs="Times New Roman"/>
          <w:color w:val="auto"/>
          <w:sz w:val="24"/>
          <w:szCs w:val="18"/>
          <w:highlight w:val="none"/>
        </w:rPr>
        <w:t>表</w:t>
      </w:r>
      <w:r>
        <w:rPr>
          <w:rFonts w:eastAsia="宋体" w:cs="Times New Roman"/>
          <w:color w:val="auto"/>
          <w:sz w:val="24"/>
          <w:szCs w:val="18"/>
          <w:highlight w:val="none"/>
        </w:rPr>
        <w:fldChar w:fldCharType="begin"/>
      </w:r>
      <w:r>
        <w:rPr>
          <w:rFonts w:eastAsia="宋体" w:cs="Times New Roman"/>
          <w:color w:val="auto"/>
          <w:sz w:val="24"/>
          <w:szCs w:val="18"/>
          <w:highlight w:val="none"/>
        </w:rPr>
        <w:instrText xml:space="preserve"> STYLEREF 2 \s </w:instrText>
      </w:r>
      <w:r>
        <w:rPr>
          <w:rFonts w:eastAsia="宋体" w:cs="Times New Roman"/>
          <w:color w:val="auto"/>
          <w:sz w:val="24"/>
          <w:szCs w:val="18"/>
          <w:highlight w:val="none"/>
        </w:rPr>
        <w:fldChar w:fldCharType="separate"/>
      </w:r>
      <w:r>
        <w:rPr>
          <w:rFonts w:eastAsia="宋体" w:cs="Times New Roman"/>
          <w:color w:val="auto"/>
          <w:sz w:val="24"/>
          <w:szCs w:val="18"/>
          <w:highlight w:val="none"/>
        </w:rPr>
        <w:t>5.3</w:t>
      </w:r>
      <w:r>
        <w:rPr>
          <w:rFonts w:eastAsia="宋体" w:cs="Times New Roman"/>
          <w:color w:val="auto"/>
          <w:sz w:val="24"/>
          <w:szCs w:val="18"/>
          <w:highlight w:val="none"/>
        </w:rPr>
        <w:fldChar w:fldCharType="end"/>
      </w:r>
      <w:r>
        <w:rPr>
          <w:rFonts w:eastAsia="宋体" w:cs="Times New Roman"/>
          <w:color w:val="auto"/>
          <w:sz w:val="24"/>
          <w:szCs w:val="18"/>
          <w:highlight w:val="none"/>
        </w:rPr>
        <w:noBreakHyphen/>
      </w:r>
      <w:r>
        <w:rPr>
          <w:rFonts w:eastAsia="宋体" w:cs="Times New Roman"/>
          <w:color w:val="auto"/>
          <w:sz w:val="24"/>
          <w:szCs w:val="18"/>
          <w:highlight w:val="none"/>
        </w:rPr>
        <w:fldChar w:fldCharType="begin"/>
      </w:r>
      <w:r>
        <w:rPr>
          <w:rFonts w:eastAsia="宋体" w:cs="Times New Roman"/>
          <w:color w:val="auto"/>
          <w:sz w:val="24"/>
          <w:szCs w:val="18"/>
          <w:highlight w:val="none"/>
        </w:rPr>
        <w:instrText xml:space="preserve"> SEQ 表 \* ARABIC \s 2 </w:instrText>
      </w:r>
      <w:r>
        <w:rPr>
          <w:rFonts w:eastAsia="宋体" w:cs="Times New Roman"/>
          <w:color w:val="auto"/>
          <w:sz w:val="24"/>
          <w:szCs w:val="18"/>
          <w:highlight w:val="none"/>
        </w:rPr>
        <w:fldChar w:fldCharType="separate"/>
      </w:r>
      <w:r>
        <w:rPr>
          <w:rFonts w:eastAsia="宋体" w:cs="Times New Roman"/>
          <w:color w:val="auto"/>
          <w:sz w:val="24"/>
          <w:szCs w:val="18"/>
          <w:highlight w:val="none"/>
        </w:rPr>
        <w:t>7</w:t>
      </w:r>
      <w:r>
        <w:rPr>
          <w:rFonts w:eastAsia="宋体" w:cs="Times New Roman"/>
          <w:color w:val="auto"/>
          <w:sz w:val="24"/>
          <w:szCs w:val="18"/>
          <w:highlight w:val="none"/>
        </w:rPr>
        <w:fldChar w:fldCharType="end"/>
      </w:r>
      <w:r>
        <w:rPr>
          <w:rFonts w:eastAsia="宋体" w:cs="Times New Roman"/>
          <w:color w:val="auto"/>
          <w:sz w:val="24"/>
          <w:szCs w:val="18"/>
          <w:highlight w:val="none"/>
        </w:rPr>
        <w:t>地表水环境质量监测结果表</w:t>
      </w:r>
      <w:r>
        <w:rPr>
          <w:rFonts w:hint="eastAsia" w:eastAsia="宋体" w:cs="Times New Roman"/>
          <w:color w:val="auto"/>
          <w:sz w:val="24"/>
          <w:szCs w:val="18"/>
          <w:highlight w:val="none"/>
        </w:rPr>
        <w:t>（单位：mg/L。pH无量纲）</w:t>
      </w:r>
    </w:p>
    <w:tbl>
      <w:tblPr>
        <w:tblStyle w:val="45"/>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354"/>
        <w:gridCol w:w="1415"/>
        <w:gridCol w:w="879"/>
        <w:gridCol w:w="895"/>
        <w:gridCol w:w="930"/>
        <w:gridCol w:w="797"/>
        <w:gridCol w:w="816"/>
        <w:gridCol w:w="816"/>
        <w:gridCol w:w="818"/>
      </w:tblGrid>
      <w:tr w14:paraId="3B4019D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1356" w:type="dxa"/>
            <w:tcBorders>
              <w:tl2br w:val="nil"/>
              <w:tr2bl w:val="nil"/>
            </w:tcBorders>
            <w:vAlign w:val="center"/>
          </w:tcPr>
          <w:p w14:paraId="58B12598">
            <w:pPr>
              <w:keepNext w:val="0"/>
              <w:keepLines w:val="0"/>
              <w:pageBreakBefore w:val="0"/>
              <w:kinsoku/>
              <w:wordWrap/>
              <w:overflowPunct/>
              <w:topLinePunct w:val="0"/>
              <w:bidi w:val="0"/>
              <w:adjustRightInd/>
              <w:snapToGrid/>
              <w:ind w:left="0" w:right="0"/>
              <w:jc w:val="center"/>
              <w:textAlignment w:val="auto"/>
              <w:rPr>
                <w:rFonts w:ascii="Times New Roman" w:hAnsi="Times New Roman" w:cs="Times New Roman"/>
                <w:b/>
                <w:bCs/>
                <w:color w:val="auto"/>
                <w:sz w:val="21"/>
                <w:szCs w:val="21"/>
                <w:highlight w:val="none"/>
              </w:rPr>
            </w:pPr>
            <w:r>
              <w:rPr>
                <w:rFonts w:ascii="Times New Roman" w:hAnsi="Times New Roman" w:cs="Times New Roman"/>
                <w:b/>
                <w:bCs/>
                <w:color w:val="auto"/>
                <w:sz w:val="21"/>
                <w:szCs w:val="21"/>
                <w:highlight w:val="none"/>
              </w:rPr>
              <w:t>断面名称</w:t>
            </w:r>
          </w:p>
        </w:tc>
        <w:tc>
          <w:tcPr>
            <w:tcW w:w="1419" w:type="dxa"/>
            <w:tcBorders>
              <w:tl2br w:val="nil"/>
              <w:tr2bl w:val="nil"/>
            </w:tcBorders>
            <w:vAlign w:val="center"/>
          </w:tcPr>
          <w:p w14:paraId="1F66CA5A">
            <w:pPr>
              <w:keepNext w:val="0"/>
              <w:keepLines w:val="0"/>
              <w:pageBreakBefore w:val="0"/>
              <w:kinsoku/>
              <w:wordWrap/>
              <w:overflowPunct/>
              <w:topLinePunct w:val="0"/>
              <w:bidi w:val="0"/>
              <w:adjustRightInd/>
              <w:snapToGrid/>
              <w:ind w:left="0" w:right="0"/>
              <w:jc w:val="center"/>
              <w:textAlignment w:val="auto"/>
              <w:rPr>
                <w:rFonts w:ascii="Times New Roman" w:hAnsi="Times New Roman" w:cs="Times New Roman"/>
                <w:b/>
                <w:bCs/>
                <w:color w:val="auto"/>
                <w:sz w:val="21"/>
                <w:szCs w:val="21"/>
                <w:highlight w:val="none"/>
              </w:rPr>
            </w:pPr>
            <w:r>
              <w:rPr>
                <w:rFonts w:ascii="Times New Roman" w:hAnsi="Times New Roman" w:cs="Times New Roman"/>
                <w:b/>
                <w:bCs/>
                <w:color w:val="auto"/>
                <w:sz w:val="21"/>
                <w:szCs w:val="21"/>
                <w:highlight w:val="none"/>
              </w:rPr>
              <w:t>项目</w:t>
            </w:r>
          </w:p>
        </w:tc>
        <w:tc>
          <w:tcPr>
            <w:tcW w:w="878" w:type="dxa"/>
            <w:tcBorders>
              <w:tl2br w:val="nil"/>
              <w:tr2bl w:val="nil"/>
            </w:tcBorders>
            <w:vAlign w:val="center"/>
          </w:tcPr>
          <w:p w14:paraId="34B84A7B">
            <w:pPr>
              <w:keepNext w:val="0"/>
              <w:keepLines w:val="0"/>
              <w:pageBreakBefore w:val="0"/>
              <w:kinsoku/>
              <w:wordWrap/>
              <w:overflowPunct/>
              <w:topLinePunct w:val="0"/>
              <w:bidi w:val="0"/>
              <w:adjustRightInd/>
              <w:snapToGrid/>
              <w:ind w:left="0" w:right="0"/>
              <w:jc w:val="center"/>
              <w:textAlignment w:val="auto"/>
              <w:rPr>
                <w:rFonts w:ascii="Times New Roman" w:hAnsi="Times New Roman" w:cs="Times New Roman"/>
                <w:b/>
                <w:bCs/>
                <w:color w:val="auto"/>
                <w:sz w:val="21"/>
                <w:szCs w:val="21"/>
                <w:highlight w:val="none"/>
              </w:rPr>
            </w:pPr>
            <w:r>
              <w:rPr>
                <w:rFonts w:ascii="Times New Roman" w:hAnsi="Times New Roman" w:cs="Times New Roman"/>
                <w:b/>
                <w:bCs/>
                <w:color w:val="auto"/>
                <w:sz w:val="21"/>
                <w:szCs w:val="21"/>
                <w:highlight w:val="none"/>
              </w:rPr>
              <w:t>pH值</w:t>
            </w:r>
          </w:p>
        </w:tc>
        <w:tc>
          <w:tcPr>
            <w:tcW w:w="895" w:type="dxa"/>
            <w:tcBorders>
              <w:tl2br w:val="nil"/>
              <w:tr2bl w:val="nil"/>
            </w:tcBorders>
            <w:vAlign w:val="center"/>
          </w:tcPr>
          <w:p w14:paraId="3EF7A7A6">
            <w:pPr>
              <w:keepNext w:val="0"/>
              <w:keepLines w:val="0"/>
              <w:pageBreakBefore w:val="0"/>
              <w:kinsoku/>
              <w:wordWrap/>
              <w:overflowPunct/>
              <w:topLinePunct w:val="0"/>
              <w:bidi w:val="0"/>
              <w:adjustRightInd/>
              <w:snapToGrid/>
              <w:ind w:left="0" w:right="0"/>
              <w:jc w:val="center"/>
              <w:textAlignment w:val="auto"/>
              <w:rPr>
                <w:rFonts w:ascii="Times New Roman" w:hAnsi="Times New Roman" w:cs="Times New Roman"/>
                <w:b/>
                <w:bCs/>
                <w:color w:val="auto"/>
                <w:sz w:val="21"/>
                <w:szCs w:val="21"/>
                <w:highlight w:val="none"/>
              </w:rPr>
            </w:pPr>
            <w:r>
              <w:rPr>
                <w:rFonts w:ascii="Times New Roman" w:hAnsi="Times New Roman" w:cs="Times New Roman"/>
                <w:b/>
                <w:bCs/>
                <w:color w:val="auto"/>
                <w:sz w:val="21"/>
                <w:szCs w:val="21"/>
                <w:highlight w:val="none"/>
              </w:rPr>
              <w:t>溶解氧</w:t>
            </w:r>
          </w:p>
        </w:tc>
        <w:tc>
          <w:tcPr>
            <w:tcW w:w="930" w:type="dxa"/>
            <w:tcBorders>
              <w:tl2br w:val="nil"/>
              <w:tr2bl w:val="nil"/>
            </w:tcBorders>
            <w:vAlign w:val="center"/>
          </w:tcPr>
          <w:p w14:paraId="67FEBFE8">
            <w:pPr>
              <w:keepNext w:val="0"/>
              <w:keepLines w:val="0"/>
              <w:pageBreakBefore w:val="0"/>
              <w:kinsoku/>
              <w:wordWrap/>
              <w:overflowPunct/>
              <w:topLinePunct w:val="0"/>
              <w:bidi w:val="0"/>
              <w:adjustRightInd/>
              <w:snapToGrid/>
              <w:ind w:left="0" w:right="0"/>
              <w:jc w:val="center"/>
              <w:textAlignment w:val="auto"/>
              <w:rPr>
                <w:rFonts w:ascii="Times New Roman" w:hAnsi="Times New Roman" w:cs="Times New Roman"/>
                <w:b/>
                <w:bCs/>
                <w:color w:val="auto"/>
                <w:sz w:val="21"/>
                <w:szCs w:val="21"/>
                <w:highlight w:val="none"/>
              </w:rPr>
            </w:pPr>
            <w:r>
              <w:rPr>
                <w:rFonts w:ascii="Times New Roman" w:hAnsi="Times New Roman" w:cs="Times New Roman"/>
                <w:b/>
                <w:bCs/>
                <w:color w:val="auto"/>
                <w:sz w:val="21"/>
                <w:szCs w:val="21"/>
                <w:highlight w:val="none"/>
              </w:rPr>
              <w:t>化学需氧量</w:t>
            </w:r>
          </w:p>
        </w:tc>
        <w:tc>
          <w:tcPr>
            <w:tcW w:w="795" w:type="dxa"/>
            <w:tcBorders>
              <w:tl2br w:val="nil"/>
              <w:tr2bl w:val="nil"/>
            </w:tcBorders>
            <w:vAlign w:val="center"/>
          </w:tcPr>
          <w:p w14:paraId="25B1FDCB">
            <w:pPr>
              <w:keepNext w:val="0"/>
              <w:keepLines w:val="0"/>
              <w:pageBreakBefore w:val="0"/>
              <w:kinsoku/>
              <w:wordWrap/>
              <w:overflowPunct/>
              <w:topLinePunct w:val="0"/>
              <w:bidi w:val="0"/>
              <w:adjustRightInd/>
              <w:snapToGrid/>
              <w:ind w:left="0" w:right="0"/>
              <w:jc w:val="center"/>
              <w:textAlignment w:val="auto"/>
              <w:rPr>
                <w:rFonts w:ascii="Times New Roman" w:hAnsi="Times New Roman" w:cs="Times New Roman"/>
                <w:b/>
                <w:bCs/>
                <w:color w:val="auto"/>
                <w:sz w:val="21"/>
                <w:szCs w:val="21"/>
                <w:highlight w:val="none"/>
              </w:rPr>
            </w:pPr>
            <w:r>
              <w:rPr>
                <w:rFonts w:ascii="Times New Roman" w:hAnsi="Times New Roman" w:cs="Times New Roman"/>
                <w:b/>
                <w:bCs/>
                <w:color w:val="auto"/>
                <w:sz w:val="21"/>
                <w:szCs w:val="21"/>
                <w:highlight w:val="none"/>
              </w:rPr>
              <w:t>悬浮物</w:t>
            </w:r>
            <w:r>
              <w:rPr>
                <w:rFonts w:hint="eastAsia" w:ascii="Times New Roman" w:hAnsi="Times New Roman" w:cs="Times New Roman"/>
                <w:b/>
                <w:bCs/>
                <w:color w:val="auto"/>
                <w:sz w:val="21"/>
                <w:szCs w:val="21"/>
                <w:highlight w:val="none"/>
              </w:rPr>
              <w:t>*</w:t>
            </w:r>
          </w:p>
        </w:tc>
        <w:tc>
          <w:tcPr>
            <w:tcW w:w="815" w:type="dxa"/>
            <w:tcBorders>
              <w:tl2br w:val="nil"/>
              <w:tr2bl w:val="nil"/>
            </w:tcBorders>
            <w:vAlign w:val="center"/>
          </w:tcPr>
          <w:p w14:paraId="71D77DCF">
            <w:pPr>
              <w:keepNext w:val="0"/>
              <w:keepLines w:val="0"/>
              <w:pageBreakBefore w:val="0"/>
              <w:kinsoku/>
              <w:wordWrap/>
              <w:overflowPunct/>
              <w:topLinePunct w:val="0"/>
              <w:bidi w:val="0"/>
              <w:adjustRightInd/>
              <w:snapToGrid/>
              <w:ind w:left="0" w:right="0"/>
              <w:jc w:val="center"/>
              <w:textAlignment w:val="auto"/>
              <w:rPr>
                <w:rFonts w:ascii="Times New Roman" w:hAnsi="Times New Roman" w:cs="Times New Roman"/>
                <w:b/>
                <w:bCs/>
                <w:color w:val="auto"/>
                <w:sz w:val="21"/>
                <w:szCs w:val="21"/>
                <w:highlight w:val="none"/>
              </w:rPr>
            </w:pPr>
            <w:r>
              <w:rPr>
                <w:rFonts w:ascii="Times New Roman" w:hAnsi="Times New Roman" w:cs="Times New Roman"/>
                <w:b/>
                <w:bCs/>
                <w:color w:val="auto"/>
                <w:sz w:val="21"/>
                <w:szCs w:val="21"/>
                <w:highlight w:val="none"/>
              </w:rPr>
              <w:t>氨氮</w:t>
            </w:r>
          </w:p>
        </w:tc>
        <w:tc>
          <w:tcPr>
            <w:tcW w:w="815" w:type="dxa"/>
            <w:tcBorders>
              <w:tl2br w:val="nil"/>
              <w:tr2bl w:val="nil"/>
            </w:tcBorders>
            <w:vAlign w:val="center"/>
          </w:tcPr>
          <w:p w14:paraId="5C2C9AA0">
            <w:pPr>
              <w:keepNext w:val="0"/>
              <w:keepLines w:val="0"/>
              <w:pageBreakBefore w:val="0"/>
              <w:kinsoku/>
              <w:wordWrap/>
              <w:overflowPunct/>
              <w:topLinePunct w:val="0"/>
              <w:bidi w:val="0"/>
              <w:adjustRightInd/>
              <w:snapToGrid/>
              <w:ind w:left="0" w:right="0"/>
              <w:jc w:val="center"/>
              <w:textAlignment w:val="auto"/>
              <w:rPr>
                <w:rFonts w:ascii="Times New Roman" w:hAnsi="Times New Roman" w:cs="Times New Roman"/>
                <w:b/>
                <w:bCs/>
                <w:color w:val="auto"/>
                <w:sz w:val="21"/>
                <w:szCs w:val="21"/>
                <w:highlight w:val="none"/>
              </w:rPr>
            </w:pPr>
            <w:r>
              <w:rPr>
                <w:rFonts w:ascii="Times New Roman" w:hAnsi="Times New Roman" w:cs="Times New Roman"/>
                <w:b/>
                <w:bCs/>
                <w:color w:val="auto"/>
                <w:sz w:val="21"/>
                <w:szCs w:val="21"/>
                <w:highlight w:val="none"/>
              </w:rPr>
              <w:t>总磷</w:t>
            </w:r>
          </w:p>
        </w:tc>
        <w:tc>
          <w:tcPr>
            <w:tcW w:w="817" w:type="dxa"/>
            <w:tcBorders>
              <w:tl2br w:val="nil"/>
              <w:tr2bl w:val="nil"/>
            </w:tcBorders>
            <w:vAlign w:val="center"/>
          </w:tcPr>
          <w:p w14:paraId="67A7CA42">
            <w:pPr>
              <w:keepNext w:val="0"/>
              <w:keepLines w:val="0"/>
              <w:pageBreakBefore w:val="0"/>
              <w:kinsoku/>
              <w:wordWrap/>
              <w:overflowPunct/>
              <w:topLinePunct w:val="0"/>
              <w:bidi w:val="0"/>
              <w:adjustRightInd/>
              <w:snapToGrid/>
              <w:ind w:left="0" w:right="0"/>
              <w:jc w:val="center"/>
              <w:textAlignment w:val="auto"/>
              <w:rPr>
                <w:rFonts w:ascii="Times New Roman" w:hAnsi="Times New Roman" w:cs="Times New Roman"/>
                <w:b/>
                <w:bCs/>
                <w:color w:val="auto"/>
                <w:sz w:val="21"/>
                <w:szCs w:val="21"/>
                <w:highlight w:val="none"/>
              </w:rPr>
            </w:pPr>
            <w:r>
              <w:rPr>
                <w:rFonts w:ascii="Times New Roman" w:hAnsi="Times New Roman" w:cs="Times New Roman"/>
                <w:b/>
                <w:bCs/>
                <w:color w:val="auto"/>
                <w:sz w:val="21"/>
                <w:szCs w:val="21"/>
                <w:highlight w:val="none"/>
              </w:rPr>
              <w:t>总氮</w:t>
            </w:r>
          </w:p>
        </w:tc>
      </w:tr>
      <w:tr w14:paraId="6D2D4D6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56" w:type="dxa"/>
            <w:vMerge w:val="restart"/>
            <w:tcBorders>
              <w:tl2br w:val="nil"/>
              <w:tr2bl w:val="nil"/>
            </w:tcBorders>
            <w:vAlign w:val="center"/>
          </w:tcPr>
          <w:p w14:paraId="735464D6">
            <w:pPr>
              <w:pStyle w:val="105"/>
              <w:keepNext w:val="0"/>
              <w:keepLines w:val="0"/>
              <w:pageBreakBefore w:val="0"/>
              <w:kinsoku/>
              <w:wordWrap/>
              <w:overflowPunct/>
              <w:topLinePunct w:val="0"/>
              <w:bidi w:val="0"/>
              <w:adjustRightInd/>
              <w:snapToGrid/>
              <w:ind w:left="0" w:right="0"/>
              <w:jc w:val="center"/>
              <w:textAlignment w:val="auto"/>
              <w:rPr>
                <w:rFonts w:ascii="Times New Roman" w:cs="Times New Roman"/>
                <w:color w:val="auto"/>
                <w:sz w:val="21"/>
                <w:szCs w:val="21"/>
                <w:highlight w:val="none"/>
              </w:rPr>
            </w:pPr>
            <w:r>
              <w:rPr>
                <w:rFonts w:ascii="Times New Roman" w:cs="Times New Roman"/>
                <w:color w:val="auto"/>
                <w:kern w:val="2"/>
                <w:sz w:val="21"/>
                <w:szCs w:val="21"/>
                <w:highlight w:val="none"/>
              </w:rPr>
              <w:t>W1无锡市锡山云林污水处理有限公司排污口上游500m处</w:t>
            </w:r>
          </w:p>
        </w:tc>
        <w:tc>
          <w:tcPr>
            <w:tcW w:w="1419" w:type="dxa"/>
            <w:tcBorders>
              <w:tl2br w:val="nil"/>
              <w:tr2bl w:val="nil"/>
            </w:tcBorders>
            <w:vAlign w:val="center"/>
          </w:tcPr>
          <w:p w14:paraId="51D1BAB8">
            <w:pPr>
              <w:keepNext w:val="0"/>
              <w:keepLines w:val="0"/>
              <w:pageBreakBefore w:val="0"/>
              <w:kinsoku/>
              <w:wordWrap/>
              <w:overflowPunct/>
              <w:topLinePunct w:val="0"/>
              <w:bidi w:val="0"/>
              <w:adjustRightInd/>
              <w:snapToGrid/>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监测范围</w:t>
            </w:r>
          </w:p>
        </w:tc>
        <w:tc>
          <w:tcPr>
            <w:tcW w:w="878" w:type="dxa"/>
            <w:tcBorders>
              <w:tl2br w:val="nil"/>
              <w:tr2bl w:val="nil"/>
            </w:tcBorders>
            <w:vAlign w:val="center"/>
          </w:tcPr>
          <w:p w14:paraId="0F460540">
            <w:pPr>
              <w:keepNext w:val="0"/>
              <w:keepLines w:val="0"/>
              <w:pageBreakBefore w:val="0"/>
              <w:kinsoku/>
              <w:wordWrap/>
              <w:overflowPunct/>
              <w:topLinePunct w:val="0"/>
              <w:bidi w:val="0"/>
              <w:adjustRightInd/>
              <w:snapToGrid/>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7.4-7.6</w:t>
            </w:r>
          </w:p>
        </w:tc>
        <w:tc>
          <w:tcPr>
            <w:tcW w:w="895" w:type="dxa"/>
            <w:tcBorders>
              <w:tl2br w:val="nil"/>
              <w:tr2bl w:val="nil"/>
            </w:tcBorders>
            <w:vAlign w:val="center"/>
          </w:tcPr>
          <w:p w14:paraId="78A61B77">
            <w:pPr>
              <w:keepNext w:val="0"/>
              <w:keepLines w:val="0"/>
              <w:pageBreakBefore w:val="0"/>
              <w:kinsoku/>
              <w:wordWrap/>
              <w:overflowPunct/>
              <w:topLinePunct w:val="0"/>
              <w:bidi w:val="0"/>
              <w:adjustRightInd/>
              <w:snapToGrid/>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6.3-6.5</w:t>
            </w:r>
          </w:p>
        </w:tc>
        <w:tc>
          <w:tcPr>
            <w:tcW w:w="930" w:type="dxa"/>
            <w:tcBorders>
              <w:tl2br w:val="nil"/>
              <w:tr2bl w:val="nil"/>
            </w:tcBorders>
            <w:vAlign w:val="center"/>
          </w:tcPr>
          <w:p w14:paraId="1B121238">
            <w:pPr>
              <w:keepNext w:val="0"/>
              <w:keepLines w:val="0"/>
              <w:pageBreakBefore w:val="0"/>
              <w:kinsoku/>
              <w:wordWrap/>
              <w:overflowPunct/>
              <w:topLinePunct w:val="0"/>
              <w:bidi w:val="0"/>
              <w:adjustRightInd/>
              <w:snapToGrid/>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16-19</w:t>
            </w:r>
          </w:p>
        </w:tc>
        <w:tc>
          <w:tcPr>
            <w:tcW w:w="795" w:type="dxa"/>
            <w:tcBorders>
              <w:tl2br w:val="nil"/>
              <w:tr2bl w:val="nil"/>
            </w:tcBorders>
            <w:vAlign w:val="center"/>
          </w:tcPr>
          <w:p w14:paraId="0EB49604">
            <w:pPr>
              <w:keepNext w:val="0"/>
              <w:keepLines w:val="0"/>
              <w:pageBreakBefore w:val="0"/>
              <w:kinsoku/>
              <w:wordWrap/>
              <w:overflowPunct/>
              <w:topLinePunct w:val="0"/>
              <w:bidi w:val="0"/>
              <w:adjustRightInd/>
              <w:snapToGrid/>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17-21</w:t>
            </w:r>
          </w:p>
        </w:tc>
        <w:tc>
          <w:tcPr>
            <w:tcW w:w="815" w:type="dxa"/>
            <w:tcBorders>
              <w:tl2br w:val="nil"/>
              <w:tr2bl w:val="nil"/>
            </w:tcBorders>
            <w:vAlign w:val="center"/>
          </w:tcPr>
          <w:p w14:paraId="69F7A0AA">
            <w:pPr>
              <w:keepNext w:val="0"/>
              <w:keepLines w:val="0"/>
              <w:pageBreakBefore w:val="0"/>
              <w:kinsoku/>
              <w:wordWrap/>
              <w:overflowPunct/>
              <w:topLinePunct w:val="0"/>
              <w:bidi w:val="0"/>
              <w:adjustRightInd/>
              <w:snapToGrid/>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0.291-0.69</w:t>
            </w:r>
          </w:p>
        </w:tc>
        <w:tc>
          <w:tcPr>
            <w:tcW w:w="815" w:type="dxa"/>
            <w:tcBorders>
              <w:tl2br w:val="nil"/>
              <w:tr2bl w:val="nil"/>
            </w:tcBorders>
            <w:vAlign w:val="center"/>
          </w:tcPr>
          <w:p w14:paraId="2CF5B32F">
            <w:pPr>
              <w:keepNext w:val="0"/>
              <w:keepLines w:val="0"/>
              <w:pageBreakBefore w:val="0"/>
              <w:kinsoku/>
              <w:wordWrap/>
              <w:overflowPunct/>
              <w:topLinePunct w:val="0"/>
              <w:bidi w:val="0"/>
              <w:adjustRightInd/>
              <w:snapToGrid/>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0.1-0.13</w:t>
            </w:r>
          </w:p>
        </w:tc>
        <w:tc>
          <w:tcPr>
            <w:tcW w:w="817" w:type="dxa"/>
            <w:tcBorders>
              <w:tl2br w:val="nil"/>
              <w:tr2bl w:val="nil"/>
            </w:tcBorders>
            <w:vAlign w:val="center"/>
          </w:tcPr>
          <w:p w14:paraId="043E3426">
            <w:pPr>
              <w:keepNext w:val="0"/>
              <w:keepLines w:val="0"/>
              <w:pageBreakBefore w:val="0"/>
              <w:kinsoku/>
              <w:wordWrap/>
              <w:overflowPunct/>
              <w:topLinePunct w:val="0"/>
              <w:bidi w:val="0"/>
              <w:adjustRightInd/>
              <w:snapToGrid/>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2.11-3.04</w:t>
            </w:r>
          </w:p>
        </w:tc>
      </w:tr>
      <w:tr w14:paraId="32DF7D5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56" w:type="dxa"/>
            <w:vMerge w:val="continue"/>
            <w:tcBorders>
              <w:tl2br w:val="nil"/>
              <w:tr2bl w:val="nil"/>
            </w:tcBorders>
            <w:vAlign w:val="center"/>
          </w:tcPr>
          <w:p w14:paraId="63947021">
            <w:pPr>
              <w:keepNext w:val="0"/>
              <w:keepLines w:val="0"/>
              <w:pageBreakBefore w:val="0"/>
              <w:kinsoku/>
              <w:wordWrap/>
              <w:overflowPunct/>
              <w:topLinePunct w:val="0"/>
              <w:bidi w:val="0"/>
              <w:adjustRightInd/>
              <w:snapToGrid/>
              <w:ind w:left="0" w:right="0"/>
              <w:jc w:val="center"/>
              <w:textAlignment w:val="auto"/>
              <w:rPr>
                <w:rFonts w:ascii="Times New Roman" w:hAnsi="Times New Roman" w:cs="Times New Roman"/>
                <w:color w:val="auto"/>
                <w:sz w:val="21"/>
                <w:szCs w:val="21"/>
                <w:highlight w:val="none"/>
              </w:rPr>
            </w:pPr>
          </w:p>
        </w:tc>
        <w:tc>
          <w:tcPr>
            <w:tcW w:w="1419" w:type="dxa"/>
            <w:tcBorders>
              <w:tl2br w:val="nil"/>
              <w:tr2bl w:val="nil"/>
            </w:tcBorders>
            <w:vAlign w:val="center"/>
          </w:tcPr>
          <w:p w14:paraId="16531794">
            <w:pPr>
              <w:keepNext w:val="0"/>
              <w:keepLines w:val="0"/>
              <w:pageBreakBefore w:val="0"/>
              <w:kinsoku/>
              <w:wordWrap/>
              <w:overflowPunct/>
              <w:topLinePunct w:val="0"/>
              <w:bidi w:val="0"/>
              <w:adjustRightInd/>
              <w:snapToGrid/>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平均值</w:t>
            </w:r>
          </w:p>
        </w:tc>
        <w:tc>
          <w:tcPr>
            <w:tcW w:w="878" w:type="dxa"/>
            <w:tcBorders>
              <w:tl2br w:val="nil"/>
              <w:tr2bl w:val="nil"/>
            </w:tcBorders>
            <w:vAlign w:val="center"/>
          </w:tcPr>
          <w:p w14:paraId="606AE56F">
            <w:pPr>
              <w:keepNext w:val="0"/>
              <w:keepLines w:val="0"/>
              <w:pageBreakBefore w:val="0"/>
              <w:kinsoku/>
              <w:wordWrap/>
              <w:overflowPunct/>
              <w:topLinePunct w:val="0"/>
              <w:bidi w:val="0"/>
              <w:adjustRightInd/>
              <w:snapToGrid/>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7.48</w:t>
            </w:r>
          </w:p>
        </w:tc>
        <w:tc>
          <w:tcPr>
            <w:tcW w:w="895" w:type="dxa"/>
            <w:tcBorders>
              <w:tl2br w:val="nil"/>
              <w:tr2bl w:val="nil"/>
            </w:tcBorders>
            <w:vAlign w:val="center"/>
          </w:tcPr>
          <w:p w14:paraId="01B5EB01">
            <w:pPr>
              <w:keepNext w:val="0"/>
              <w:keepLines w:val="0"/>
              <w:pageBreakBefore w:val="0"/>
              <w:kinsoku/>
              <w:wordWrap/>
              <w:overflowPunct/>
              <w:topLinePunct w:val="0"/>
              <w:bidi w:val="0"/>
              <w:adjustRightInd/>
              <w:snapToGrid/>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6.41</w:t>
            </w:r>
          </w:p>
        </w:tc>
        <w:tc>
          <w:tcPr>
            <w:tcW w:w="930" w:type="dxa"/>
            <w:tcBorders>
              <w:tl2br w:val="nil"/>
              <w:tr2bl w:val="nil"/>
            </w:tcBorders>
            <w:vAlign w:val="center"/>
          </w:tcPr>
          <w:p w14:paraId="4F5D328E">
            <w:pPr>
              <w:keepNext w:val="0"/>
              <w:keepLines w:val="0"/>
              <w:pageBreakBefore w:val="0"/>
              <w:kinsoku/>
              <w:wordWrap/>
              <w:overflowPunct/>
              <w:topLinePunct w:val="0"/>
              <w:bidi w:val="0"/>
              <w:adjustRightInd/>
              <w:snapToGrid/>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17</w:t>
            </w:r>
          </w:p>
        </w:tc>
        <w:tc>
          <w:tcPr>
            <w:tcW w:w="795" w:type="dxa"/>
            <w:tcBorders>
              <w:tl2br w:val="nil"/>
              <w:tr2bl w:val="nil"/>
            </w:tcBorders>
            <w:vAlign w:val="center"/>
          </w:tcPr>
          <w:p w14:paraId="1CDF4CA3">
            <w:pPr>
              <w:keepNext w:val="0"/>
              <w:keepLines w:val="0"/>
              <w:pageBreakBefore w:val="0"/>
              <w:kinsoku/>
              <w:wordWrap/>
              <w:overflowPunct/>
              <w:topLinePunct w:val="0"/>
              <w:bidi w:val="0"/>
              <w:adjustRightInd/>
              <w:snapToGrid/>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19</w:t>
            </w:r>
          </w:p>
        </w:tc>
        <w:tc>
          <w:tcPr>
            <w:tcW w:w="815" w:type="dxa"/>
            <w:tcBorders>
              <w:tl2br w:val="nil"/>
              <w:tr2bl w:val="nil"/>
            </w:tcBorders>
            <w:vAlign w:val="center"/>
          </w:tcPr>
          <w:p w14:paraId="1D474A6C">
            <w:pPr>
              <w:keepNext w:val="0"/>
              <w:keepLines w:val="0"/>
              <w:pageBreakBefore w:val="0"/>
              <w:kinsoku/>
              <w:wordWrap/>
              <w:overflowPunct/>
              <w:topLinePunct w:val="0"/>
              <w:bidi w:val="0"/>
              <w:adjustRightInd/>
              <w:snapToGrid/>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0.46</w:t>
            </w:r>
          </w:p>
        </w:tc>
        <w:tc>
          <w:tcPr>
            <w:tcW w:w="815" w:type="dxa"/>
            <w:tcBorders>
              <w:tl2br w:val="nil"/>
              <w:tr2bl w:val="nil"/>
            </w:tcBorders>
            <w:vAlign w:val="center"/>
          </w:tcPr>
          <w:p w14:paraId="26E2308F">
            <w:pPr>
              <w:keepNext w:val="0"/>
              <w:keepLines w:val="0"/>
              <w:pageBreakBefore w:val="0"/>
              <w:kinsoku/>
              <w:wordWrap/>
              <w:overflowPunct/>
              <w:topLinePunct w:val="0"/>
              <w:bidi w:val="0"/>
              <w:adjustRightInd/>
              <w:snapToGrid/>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0.11</w:t>
            </w:r>
          </w:p>
        </w:tc>
        <w:tc>
          <w:tcPr>
            <w:tcW w:w="817" w:type="dxa"/>
            <w:tcBorders>
              <w:tl2br w:val="nil"/>
              <w:tr2bl w:val="nil"/>
            </w:tcBorders>
            <w:vAlign w:val="center"/>
          </w:tcPr>
          <w:p w14:paraId="503F997E">
            <w:pPr>
              <w:keepNext w:val="0"/>
              <w:keepLines w:val="0"/>
              <w:pageBreakBefore w:val="0"/>
              <w:kinsoku/>
              <w:wordWrap/>
              <w:overflowPunct/>
              <w:topLinePunct w:val="0"/>
              <w:bidi w:val="0"/>
              <w:adjustRightInd/>
              <w:snapToGrid/>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2.44</w:t>
            </w:r>
          </w:p>
        </w:tc>
      </w:tr>
      <w:tr w14:paraId="0179C5B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56" w:type="dxa"/>
            <w:vMerge w:val="continue"/>
            <w:tcBorders>
              <w:tl2br w:val="nil"/>
              <w:tr2bl w:val="nil"/>
            </w:tcBorders>
            <w:vAlign w:val="center"/>
          </w:tcPr>
          <w:p w14:paraId="0B167E3D">
            <w:pPr>
              <w:keepNext w:val="0"/>
              <w:keepLines w:val="0"/>
              <w:pageBreakBefore w:val="0"/>
              <w:kinsoku/>
              <w:wordWrap/>
              <w:overflowPunct/>
              <w:topLinePunct w:val="0"/>
              <w:bidi w:val="0"/>
              <w:adjustRightInd/>
              <w:snapToGrid/>
              <w:ind w:left="0" w:right="0"/>
              <w:jc w:val="center"/>
              <w:textAlignment w:val="auto"/>
              <w:rPr>
                <w:rFonts w:ascii="Times New Roman" w:hAnsi="Times New Roman" w:cs="Times New Roman"/>
                <w:color w:val="auto"/>
                <w:sz w:val="21"/>
                <w:szCs w:val="21"/>
                <w:highlight w:val="none"/>
              </w:rPr>
            </w:pPr>
          </w:p>
        </w:tc>
        <w:tc>
          <w:tcPr>
            <w:tcW w:w="1419" w:type="dxa"/>
            <w:tcBorders>
              <w:tl2br w:val="nil"/>
              <w:tr2bl w:val="nil"/>
            </w:tcBorders>
            <w:vAlign w:val="center"/>
          </w:tcPr>
          <w:p w14:paraId="44DE7F99">
            <w:pPr>
              <w:keepNext w:val="0"/>
              <w:keepLines w:val="0"/>
              <w:pageBreakBefore w:val="0"/>
              <w:kinsoku/>
              <w:wordWrap/>
              <w:overflowPunct/>
              <w:topLinePunct w:val="0"/>
              <w:bidi w:val="0"/>
              <w:adjustRightInd/>
              <w:snapToGrid/>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Ⅲ类标准</w:t>
            </w:r>
          </w:p>
        </w:tc>
        <w:tc>
          <w:tcPr>
            <w:tcW w:w="878" w:type="dxa"/>
            <w:tcBorders>
              <w:tl2br w:val="nil"/>
              <w:tr2bl w:val="nil"/>
            </w:tcBorders>
            <w:vAlign w:val="center"/>
          </w:tcPr>
          <w:p w14:paraId="5900F9C1">
            <w:pPr>
              <w:keepNext w:val="0"/>
              <w:keepLines w:val="0"/>
              <w:pageBreakBefore w:val="0"/>
              <w:kinsoku/>
              <w:wordWrap/>
              <w:overflowPunct/>
              <w:topLinePunct w:val="0"/>
              <w:bidi w:val="0"/>
              <w:adjustRightInd/>
              <w:snapToGrid/>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6~9</w:t>
            </w:r>
          </w:p>
        </w:tc>
        <w:tc>
          <w:tcPr>
            <w:tcW w:w="895" w:type="dxa"/>
            <w:tcBorders>
              <w:tl2br w:val="nil"/>
              <w:tr2bl w:val="nil"/>
            </w:tcBorders>
            <w:vAlign w:val="center"/>
          </w:tcPr>
          <w:p w14:paraId="2727185F">
            <w:pPr>
              <w:keepNext w:val="0"/>
              <w:keepLines w:val="0"/>
              <w:pageBreakBefore w:val="0"/>
              <w:kinsoku/>
              <w:wordWrap/>
              <w:overflowPunct/>
              <w:topLinePunct w:val="0"/>
              <w:bidi w:val="0"/>
              <w:adjustRightInd/>
              <w:snapToGrid/>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5</w:t>
            </w:r>
          </w:p>
        </w:tc>
        <w:tc>
          <w:tcPr>
            <w:tcW w:w="930" w:type="dxa"/>
            <w:tcBorders>
              <w:tl2br w:val="nil"/>
              <w:tr2bl w:val="nil"/>
            </w:tcBorders>
            <w:vAlign w:val="center"/>
          </w:tcPr>
          <w:p w14:paraId="528DB8ED">
            <w:pPr>
              <w:keepNext w:val="0"/>
              <w:keepLines w:val="0"/>
              <w:pageBreakBefore w:val="0"/>
              <w:kinsoku/>
              <w:wordWrap/>
              <w:overflowPunct/>
              <w:topLinePunct w:val="0"/>
              <w:bidi w:val="0"/>
              <w:adjustRightInd/>
              <w:snapToGrid/>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20</w:t>
            </w:r>
          </w:p>
        </w:tc>
        <w:tc>
          <w:tcPr>
            <w:tcW w:w="795" w:type="dxa"/>
            <w:tcBorders>
              <w:tl2br w:val="nil"/>
              <w:tr2bl w:val="nil"/>
            </w:tcBorders>
            <w:vAlign w:val="center"/>
          </w:tcPr>
          <w:p w14:paraId="5F873473">
            <w:pPr>
              <w:keepNext w:val="0"/>
              <w:keepLines w:val="0"/>
              <w:pageBreakBefore w:val="0"/>
              <w:kinsoku/>
              <w:wordWrap/>
              <w:overflowPunct/>
              <w:topLinePunct w:val="0"/>
              <w:bidi w:val="0"/>
              <w:adjustRightInd/>
              <w:snapToGrid/>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30</w:t>
            </w:r>
          </w:p>
        </w:tc>
        <w:tc>
          <w:tcPr>
            <w:tcW w:w="815" w:type="dxa"/>
            <w:tcBorders>
              <w:tl2br w:val="nil"/>
              <w:tr2bl w:val="nil"/>
            </w:tcBorders>
            <w:vAlign w:val="center"/>
          </w:tcPr>
          <w:p w14:paraId="17E6E520">
            <w:pPr>
              <w:keepNext w:val="0"/>
              <w:keepLines w:val="0"/>
              <w:pageBreakBefore w:val="0"/>
              <w:kinsoku/>
              <w:wordWrap/>
              <w:overflowPunct/>
              <w:topLinePunct w:val="0"/>
              <w:bidi w:val="0"/>
              <w:adjustRightInd/>
              <w:snapToGrid/>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1.0</w:t>
            </w:r>
          </w:p>
        </w:tc>
        <w:tc>
          <w:tcPr>
            <w:tcW w:w="815" w:type="dxa"/>
            <w:tcBorders>
              <w:tl2br w:val="nil"/>
              <w:tr2bl w:val="nil"/>
            </w:tcBorders>
            <w:vAlign w:val="center"/>
          </w:tcPr>
          <w:p w14:paraId="2D8E395B">
            <w:pPr>
              <w:keepNext w:val="0"/>
              <w:keepLines w:val="0"/>
              <w:pageBreakBefore w:val="0"/>
              <w:kinsoku/>
              <w:wordWrap/>
              <w:overflowPunct/>
              <w:topLinePunct w:val="0"/>
              <w:bidi w:val="0"/>
              <w:adjustRightInd/>
              <w:snapToGrid/>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0.2</w:t>
            </w:r>
          </w:p>
        </w:tc>
        <w:tc>
          <w:tcPr>
            <w:tcW w:w="817" w:type="dxa"/>
            <w:tcBorders>
              <w:tl2br w:val="nil"/>
              <w:tr2bl w:val="nil"/>
            </w:tcBorders>
            <w:vAlign w:val="center"/>
          </w:tcPr>
          <w:p w14:paraId="674AB9E5">
            <w:pPr>
              <w:keepNext w:val="0"/>
              <w:keepLines w:val="0"/>
              <w:pageBreakBefore w:val="0"/>
              <w:kinsoku/>
              <w:wordWrap/>
              <w:overflowPunct/>
              <w:topLinePunct w:val="0"/>
              <w:bidi w:val="0"/>
              <w:adjustRightInd/>
              <w:snapToGrid/>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1.0</w:t>
            </w:r>
          </w:p>
        </w:tc>
      </w:tr>
      <w:tr w14:paraId="2898DCF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56" w:type="dxa"/>
            <w:vMerge w:val="continue"/>
            <w:tcBorders>
              <w:tl2br w:val="nil"/>
              <w:tr2bl w:val="nil"/>
            </w:tcBorders>
            <w:vAlign w:val="center"/>
          </w:tcPr>
          <w:p w14:paraId="299A7D2B">
            <w:pPr>
              <w:keepNext w:val="0"/>
              <w:keepLines w:val="0"/>
              <w:pageBreakBefore w:val="0"/>
              <w:kinsoku/>
              <w:wordWrap/>
              <w:overflowPunct/>
              <w:topLinePunct w:val="0"/>
              <w:bidi w:val="0"/>
              <w:adjustRightInd/>
              <w:snapToGrid/>
              <w:ind w:left="0" w:right="0"/>
              <w:jc w:val="center"/>
              <w:textAlignment w:val="auto"/>
              <w:rPr>
                <w:rFonts w:ascii="Times New Roman" w:hAnsi="Times New Roman" w:cs="Times New Roman"/>
                <w:color w:val="auto"/>
                <w:sz w:val="21"/>
                <w:szCs w:val="21"/>
                <w:highlight w:val="none"/>
              </w:rPr>
            </w:pPr>
          </w:p>
        </w:tc>
        <w:tc>
          <w:tcPr>
            <w:tcW w:w="1419" w:type="dxa"/>
            <w:tcBorders>
              <w:tl2br w:val="nil"/>
              <w:tr2bl w:val="nil"/>
            </w:tcBorders>
            <w:vAlign w:val="center"/>
          </w:tcPr>
          <w:p w14:paraId="50A2DCD5">
            <w:pPr>
              <w:keepNext w:val="0"/>
              <w:keepLines w:val="0"/>
              <w:pageBreakBefore w:val="0"/>
              <w:kinsoku/>
              <w:wordWrap/>
              <w:overflowPunct/>
              <w:topLinePunct w:val="0"/>
              <w:bidi w:val="0"/>
              <w:adjustRightInd/>
              <w:snapToGrid/>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标准指数</w:t>
            </w:r>
          </w:p>
        </w:tc>
        <w:tc>
          <w:tcPr>
            <w:tcW w:w="878" w:type="dxa"/>
            <w:tcBorders>
              <w:tl2br w:val="nil"/>
              <w:tr2bl w:val="nil"/>
            </w:tcBorders>
            <w:vAlign w:val="center"/>
          </w:tcPr>
          <w:p w14:paraId="189C9708">
            <w:pPr>
              <w:keepNext w:val="0"/>
              <w:keepLines w:val="0"/>
              <w:pageBreakBefore w:val="0"/>
              <w:kinsoku/>
              <w:wordWrap/>
              <w:overflowPunct/>
              <w:topLinePunct w:val="0"/>
              <w:bidi w:val="0"/>
              <w:adjustRightInd/>
              <w:snapToGrid/>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0.24</w:t>
            </w:r>
          </w:p>
        </w:tc>
        <w:tc>
          <w:tcPr>
            <w:tcW w:w="895" w:type="dxa"/>
            <w:tcBorders>
              <w:tl2br w:val="nil"/>
              <w:tr2bl w:val="nil"/>
            </w:tcBorders>
            <w:vAlign w:val="center"/>
          </w:tcPr>
          <w:p w14:paraId="2510A2BF">
            <w:pPr>
              <w:keepNext w:val="0"/>
              <w:keepLines w:val="0"/>
              <w:pageBreakBefore w:val="0"/>
              <w:kinsoku/>
              <w:wordWrap/>
              <w:overflowPunct/>
              <w:topLinePunct w:val="0"/>
              <w:bidi w:val="0"/>
              <w:adjustRightInd/>
              <w:snapToGrid/>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0.26</w:t>
            </w:r>
          </w:p>
        </w:tc>
        <w:tc>
          <w:tcPr>
            <w:tcW w:w="930" w:type="dxa"/>
            <w:tcBorders>
              <w:tl2br w:val="nil"/>
              <w:tr2bl w:val="nil"/>
            </w:tcBorders>
            <w:vAlign w:val="center"/>
          </w:tcPr>
          <w:p w14:paraId="701E73E0">
            <w:pPr>
              <w:keepNext w:val="0"/>
              <w:keepLines w:val="0"/>
              <w:pageBreakBefore w:val="0"/>
              <w:kinsoku/>
              <w:wordWrap/>
              <w:overflowPunct/>
              <w:topLinePunct w:val="0"/>
              <w:bidi w:val="0"/>
              <w:adjustRightInd/>
              <w:snapToGrid/>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0.85</w:t>
            </w:r>
          </w:p>
        </w:tc>
        <w:tc>
          <w:tcPr>
            <w:tcW w:w="795" w:type="dxa"/>
            <w:tcBorders>
              <w:tl2br w:val="nil"/>
              <w:tr2bl w:val="nil"/>
            </w:tcBorders>
            <w:vAlign w:val="center"/>
          </w:tcPr>
          <w:p w14:paraId="6E74F3BB">
            <w:pPr>
              <w:keepNext w:val="0"/>
              <w:keepLines w:val="0"/>
              <w:pageBreakBefore w:val="0"/>
              <w:kinsoku/>
              <w:wordWrap/>
              <w:overflowPunct/>
              <w:topLinePunct w:val="0"/>
              <w:bidi w:val="0"/>
              <w:adjustRightInd/>
              <w:snapToGrid/>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0.63</w:t>
            </w:r>
          </w:p>
        </w:tc>
        <w:tc>
          <w:tcPr>
            <w:tcW w:w="815" w:type="dxa"/>
            <w:tcBorders>
              <w:tl2br w:val="nil"/>
              <w:tr2bl w:val="nil"/>
            </w:tcBorders>
            <w:vAlign w:val="center"/>
          </w:tcPr>
          <w:p w14:paraId="547574D7">
            <w:pPr>
              <w:keepNext w:val="0"/>
              <w:keepLines w:val="0"/>
              <w:pageBreakBefore w:val="0"/>
              <w:kinsoku/>
              <w:wordWrap/>
              <w:overflowPunct/>
              <w:topLinePunct w:val="0"/>
              <w:bidi w:val="0"/>
              <w:adjustRightInd/>
              <w:snapToGrid/>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0.46</w:t>
            </w:r>
          </w:p>
        </w:tc>
        <w:tc>
          <w:tcPr>
            <w:tcW w:w="815" w:type="dxa"/>
            <w:tcBorders>
              <w:tl2br w:val="nil"/>
              <w:tr2bl w:val="nil"/>
            </w:tcBorders>
            <w:vAlign w:val="center"/>
          </w:tcPr>
          <w:p w14:paraId="7E1D57DD">
            <w:pPr>
              <w:keepNext w:val="0"/>
              <w:keepLines w:val="0"/>
              <w:pageBreakBefore w:val="0"/>
              <w:kinsoku/>
              <w:wordWrap/>
              <w:overflowPunct/>
              <w:topLinePunct w:val="0"/>
              <w:bidi w:val="0"/>
              <w:adjustRightInd/>
              <w:snapToGrid/>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0.59</w:t>
            </w:r>
          </w:p>
        </w:tc>
        <w:tc>
          <w:tcPr>
            <w:tcW w:w="817" w:type="dxa"/>
            <w:tcBorders>
              <w:tl2br w:val="nil"/>
              <w:tr2bl w:val="nil"/>
            </w:tcBorders>
            <w:vAlign w:val="center"/>
          </w:tcPr>
          <w:p w14:paraId="3F53F2B1">
            <w:pPr>
              <w:keepNext w:val="0"/>
              <w:keepLines w:val="0"/>
              <w:pageBreakBefore w:val="0"/>
              <w:kinsoku/>
              <w:wordWrap/>
              <w:overflowPunct/>
              <w:topLinePunct w:val="0"/>
              <w:bidi w:val="0"/>
              <w:adjustRightInd/>
              <w:snapToGrid/>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2.44</w:t>
            </w:r>
          </w:p>
        </w:tc>
      </w:tr>
      <w:tr w14:paraId="0A8E856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56" w:type="dxa"/>
            <w:vMerge w:val="continue"/>
            <w:tcBorders>
              <w:tl2br w:val="nil"/>
              <w:tr2bl w:val="nil"/>
            </w:tcBorders>
            <w:vAlign w:val="center"/>
          </w:tcPr>
          <w:p w14:paraId="15A948AA">
            <w:pPr>
              <w:keepNext w:val="0"/>
              <w:keepLines w:val="0"/>
              <w:pageBreakBefore w:val="0"/>
              <w:kinsoku/>
              <w:wordWrap/>
              <w:overflowPunct/>
              <w:topLinePunct w:val="0"/>
              <w:bidi w:val="0"/>
              <w:adjustRightInd/>
              <w:snapToGrid/>
              <w:ind w:left="0" w:right="0"/>
              <w:jc w:val="center"/>
              <w:textAlignment w:val="auto"/>
              <w:rPr>
                <w:rFonts w:ascii="Times New Roman" w:hAnsi="Times New Roman" w:cs="Times New Roman"/>
                <w:color w:val="auto"/>
                <w:sz w:val="21"/>
                <w:szCs w:val="21"/>
                <w:highlight w:val="none"/>
              </w:rPr>
            </w:pPr>
          </w:p>
        </w:tc>
        <w:tc>
          <w:tcPr>
            <w:tcW w:w="1419" w:type="dxa"/>
            <w:tcBorders>
              <w:tl2br w:val="nil"/>
              <w:tr2bl w:val="nil"/>
            </w:tcBorders>
            <w:vAlign w:val="center"/>
          </w:tcPr>
          <w:p w14:paraId="712EFB73">
            <w:pPr>
              <w:keepNext w:val="0"/>
              <w:keepLines w:val="0"/>
              <w:pageBreakBefore w:val="0"/>
              <w:kinsoku/>
              <w:wordWrap/>
              <w:overflowPunct/>
              <w:topLinePunct w:val="0"/>
              <w:bidi w:val="0"/>
              <w:adjustRightInd/>
              <w:snapToGrid/>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超标率（%）</w:t>
            </w:r>
          </w:p>
        </w:tc>
        <w:tc>
          <w:tcPr>
            <w:tcW w:w="878" w:type="dxa"/>
            <w:tcBorders>
              <w:tl2br w:val="nil"/>
              <w:tr2bl w:val="nil"/>
            </w:tcBorders>
            <w:vAlign w:val="center"/>
          </w:tcPr>
          <w:p w14:paraId="77777649">
            <w:pPr>
              <w:keepNext w:val="0"/>
              <w:keepLines w:val="0"/>
              <w:pageBreakBefore w:val="0"/>
              <w:kinsoku/>
              <w:wordWrap/>
              <w:overflowPunct/>
              <w:topLinePunct w:val="0"/>
              <w:bidi w:val="0"/>
              <w:adjustRightInd/>
              <w:snapToGrid/>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0</w:t>
            </w:r>
          </w:p>
        </w:tc>
        <w:tc>
          <w:tcPr>
            <w:tcW w:w="895" w:type="dxa"/>
            <w:tcBorders>
              <w:tl2br w:val="nil"/>
              <w:tr2bl w:val="nil"/>
            </w:tcBorders>
            <w:vAlign w:val="center"/>
          </w:tcPr>
          <w:p w14:paraId="3DFEF1FB">
            <w:pPr>
              <w:keepNext w:val="0"/>
              <w:keepLines w:val="0"/>
              <w:pageBreakBefore w:val="0"/>
              <w:kinsoku/>
              <w:wordWrap/>
              <w:overflowPunct/>
              <w:topLinePunct w:val="0"/>
              <w:bidi w:val="0"/>
              <w:adjustRightInd/>
              <w:snapToGrid/>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0</w:t>
            </w:r>
          </w:p>
        </w:tc>
        <w:tc>
          <w:tcPr>
            <w:tcW w:w="930" w:type="dxa"/>
            <w:tcBorders>
              <w:tl2br w:val="nil"/>
              <w:tr2bl w:val="nil"/>
            </w:tcBorders>
            <w:vAlign w:val="center"/>
          </w:tcPr>
          <w:p w14:paraId="61EB5B4C">
            <w:pPr>
              <w:keepNext w:val="0"/>
              <w:keepLines w:val="0"/>
              <w:pageBreakBefore w:val="0"/>
              <w:kinsoku/>
              <w:wordWrap/>
              <w:overflowPunct/>
              <w:topLinePunct w:val="0"/>
              <w:bidi w:val="0"/>
              <w:adjustRightInd/>
              <w:snapToGrid/>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0</w:t>
            </w:r>
          </w:p>
        </w:tc>
        <w:tc>
          <w:tcPr>
            <w:tcW w:w="795" w:type="dxa"/>
            <w:tcBorders>
              <w:tl2br w:val="nil"/>
              <w:tr2bl w:val="nil"/>
            </w:tcBorders>
            <w:vAlign w:val="center"/>
          </w:tcPr>
          <w:p w14:paraId="7E3E9D83">
            <w:pPr>
              <w:keepNext w:val="0"/>
              <w:keepLines w:val="0"/>
              <w:pageBreakBefore w:val="0"/>
              <w:kinsoku/>
              <w:wordWrap/>
              <w:overflowPunct/>
              <w:topLinePunct w:val="0"/>
              <w:bidi w:val="0"/>
              <w:adjustRightInd/>
              <w:snapToGrid/>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0</w:t>
            </w:r>
          </w:p>
        </w:tc>
        <w:tc>
          <w:tcPr>
            <w:tcW w:w="815" w:type="dxa"/>
            <w:tcBorders>
              <w:tl2br w:val="nil"/>
              <w:tr2bl w:val="nil"/>
            </w:tcBorders>
            <w:vAlign w:val="center"/>
          </w:tcPr>
          <w:p w14:paraId="1B96BE7E">
            <w:pPr>
              <w:keepNext w:val="0"/>
              <w:keepLines w:val="0"/>
              <w:pageBreakBefore w:val="0"/>
              <w:kinsoku/>
              <w:wordWrap/>
              <w:overflowPunct/>
              <w:topLinePunct w:val="0"/>
              <w:bidi w:val="0"/>
              <w:adjustRightInd/>
              <w:snapToGrid/>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0</w:t>
            </w:r>
          </w:p>
        </w:tc>
        <w:tc>
          <w:tcPr>
            <w:tcW w:w="815" w:type="dxa"/>
            <w:tcBorders>
              <w:tl2br w:val="nil"/>
              <w:tr2bl w:val="nil"/>
            </w:tcBorders>
            <w:vAlign w:val="center"/>
          </w:tcPr>
          <w:p w14:paraId="2F3A1A6F">
            <w:pPr>
              <w:keepNext w:val="0"/>
              <w:keepLines w:val="0"/>
              <w:pageBreakBefore w:val="0"/>
              <w:kinsoku/>
              <w:wordWrap/>
              <w:overflowPunct/>
              <w:topLinePunct w:val="0"/>
              <w:bidi w:val="0"/>
              <w:adjustRightInd/>
              <w:snapToGrid/>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0</w:t>
            </w:r>
          </w:p>
        </w:tc>
        <w:tc>
          <w:tcPr>
            <w:tcW w:w="817" w:type="dxa"/>
            <w:tcBorders>
              <w:tl2br w:val="nil"/>
              <w:tr2bl w:val="nil"/>
            </w:tcBorders>
            <w:vAlign w:val="center"/>
          </w:tcPr>
          <w:p w14:paraId="64BA1FC8">
            <w:pPr>
              <w:keepNext w:val="0"/>
              <w:keepLines w:val="0"/>
              <w:pageBreakBefore w:val="0"/>
              <w:kinsoku/>
              <w:wordWrap/>
              <w:overflowPunct/>
              <w:topLinePunct w:val="0"/>
              <w:bidi w:val="0"/>
              <w:adjustRightInd/>
              <w:snapToGrid/>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100</w:t>
            </w:r>
          </w:p>
        </w:tc>
      </w:tr>
      <w:tr w14:paraId="79743DD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56" w:type="dxa"/>
            <w:vMerge w:val="restart"/>
            <w:tcBorders>
              <w:tl2br w:val="nil"/>
              <w:tr2bl w:val="nil"/>
            </w:tcBorders>
            <w:vAlign w:val="center"/>
          </w:tcPr>
          <w:p w14:paraId="770523A8">
            <w:pPr>
              <w:pStyle w:val="105"/>
              <w:keepNext w:val="0"/>
              <w:keepLines w:val="0"/>
              <w:pageBreakBefore w:val="0"/>
              <w:kinsoku/>
              <w:wordWrap/>
              <w:overflowPunct/>
              <w:topLinePunct w:val="0"/>
              <w:bidi w:val="0"/>
              <w:adjustRightInd/>
              <w:snapToGrid/>
              <w:ind w:left="0" w:right="0"/>
              <w:jc w:val="center"/>
              <w:textAlignment w:val="auto"/>
              <w:rPr>
                <w:rFonts w:ascii="Times New Roman" w:cs="Times New Roman"/>
                <w:color w:val="auto"/>
                <w:sz w:val="21"/>
                <w:szCs w:val="21"/>
                <w:highlight w:val="none"/>
              </w:rPr>
            </w:pPr>
            <w:r>
              <w:rPr>
                <w:rFonts w:ascii="Times New Roman" w:cs="Times New Roman"/>
                <w:color w:val="auto"/>
                <w:kern w:val="2"/>
                <w:sz w:val="21"/>
                <w:szCs w:val="21"/>
                <w:highlight w:val="none"/>
              </w:rPr>
              <w:t>W2无锡市锡山云林污水处理有限公司厂排污口</w:t>
            </w:r>
          </w:p>
        </w:tc>
        <w:tc>
          <w:tcPr>
            <w:tcW w:w="1419" w:type="dxa"/>
            <w:tcBorders>
              <w:tl2br w:val="nil"/>
              <w:tr2bl w:val="nil"/>
            </w:tcBorders>
            <w:vAlign w:val="center"/>
          </w:tcPr>
          <w:p w14:paraId="5D0522AE">
            <w:pPr>
              <w:keepNext w:val="0"/>
              <w:keepLines w:val="0"/>
              <w:pageBreakBefore w:val="0"/>
              <w:kinsoku/>
              <w:wordWrap/>
              <w:overflowPunct/>
              <w:topLinePunct w:val="0"/>
              <w:bidi w:val="0"/>
              <w:adjustRightInd/>
              <w:snapToGrid/>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监测范围</w:t>
            </w:r>
          </w:p>
        </w:tc>
        <w:tc>
          <w:tcPr>
            <w:tcW w:w="878" w:type="dxa"/>
            <w:tcBorders>
              <w:tl2br w:val="nil"/>
              <w:tr2bl w:val="nil"/>
            </w:tcBorders>
            <w:vAlign w:val="center"/>
          </w:tcPr>
          <w:p w14:paraId="725465CB">
            <w:pPr>
              <w:keepNext w:val="0"/>
              <w:keepLines w:val="0"/>
              <w:pageBreakBefore w:val="0"/>
              <w:kinsoku/>
              <w:wordWrap/>
              <w:overflowPunct/>
              <w:topLinePunct w:val="0"/>
              <w:bidi w:val="0"/>
              <w:adjustRightInd/>
              <w:snapToGrid/>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7.3-7.5</w:t>
            </w:r>
          </w:p>
        </w:tc>
        <w:tc>
          <w:tcPr>
            <w:tcW w:w="895" w:type="dxa"/>
            <w:tcBorders>
              <w:tl2br w:val="nil"/>
              <w:tr2bl w:val="nil"/>
            </w:tcBorders>
            <w:vAlign w:val="center"/>
          </w:tcPr>
          <w:p w14:paraId="76D93E75">
            <w:pPr>
              <w:keepNext w:val="0"/>
              <w:keepLines w:val="0"/>
              <w:pageBreakBefore w:val="0"/>
              <w:kinsoku/>
              <w:wordWrap/>
              <w:overflowPunct/>
              <w:topLinePunct w:val="0"/>
              <w:bidi w:val="0"/>
              <w:adjustRightInd/>
              <w:snapToGrid/>
              <w:ind w:left="0" w:right="0"/>
              <w:jc w:val="center"/>
              <w:textAlignment w:val="auto"/>
              <w:rPr>
                <w:rFonts w:ascii="Times New Roman" w:hAnsi="Times New Roman" w:cs="Times New Roman"/>
                <w:color w:val="auto"/>
                <w:sz w:val="21"/>
                <w:szCs w:val="21"/>
                <w:highlight w:val="none"/>
                <w:lang w:bidi="ar"/>
              </w:rPr>
            </w:pPr>
            <w:r>
              <w:rPr>
                <w:rFonts w:hint="eastAsia" w:ascii="Times New Roman" w:hAnsi="Times New Roman" w:cs="Times New Roman"/>
                <w:color w:val="auto"/>
                <w:sz w:val="21"/>
                <w:szCs w:val="21"/>
                <w:highlight w:val="none"/>
                <w:lang w:bidi="ar"/>
              </w:rPr>
              <w:t>6.3-6.6</w:t>
            </w:r>
          </w:p>
        </w:tc>
        <w:tc>
          <w:tcPr>
            <w:tcW w:w="930" w:type="dxa"/>
            <w:tcBorders>
              <w:tl2br w:val="nil"/>
              <w:tr2bl w:val="nil"/>
            </w:tcBorders>
            <w:vAlign w:val="center"/>
          </w:tcPr>
          <w:p w14:paraId="5A4EABBA">
            <w:pPr>
              <w:keepNext w:val="0"/>
              <w:keepLines w:val="0"/>
              <w:pageBreakBefore w:val="0"/>
              <w:kinsoku/>
              <w:wordWrap/>
              <w:overflowPunct/>
              <w:topLinePunct w:val="0"/>
              <w:bidi w:val="0"/>
              <w:adjustRightInd/>
              <w:snapToGrid/>
              <w:ind w:left="0" w:right="0"/>
              <w:jc w:val="center"/>
              <w:textAlignment w:val="auto"/>
              <w:rPr>
                <w:rFonts w:ascii="Times New Roman" w:hAnsi="Times New Roman" w:cs="Times New Roman"/>
                <w:color w:val="auto"/>
                <w:sz w:val="21"/>
                <w:szCs w:val="21"/>
                <w:highlight w:val="none"/>
                <w:lang w:bidi="ar"/>
              </w:rPr>
            </w:pPr>
            <w:r>
              <w:rPr>
                <w:rFonts w:hint="eastAsia" w:ascii="Times New Roman" w:hAnsi="Times New Roman" w:cs="Times New Roman"/>
                <w:color w:val="auto"/>
                <w:sz w:val="21"/>
                <w:szCs w:val="21"/>
                <w:highlight w:val="none"/>
                <w:lang w:bidi="ar"/>
              </w:rPr>
              <w:t>14-17</w:t>
            </w:r>
          </w:p>
        </w:tc>
        <w:tc>
          <w:tcPr>
            <w:tcW w:w="795" w:type="dxa"/>
            <w:tcBorders>
              <w:tl2br w:val="nil"/>
              <w:tr2bl w:val="nil"/>
            </w:tcBorders>
            <w:vAlign w:val="center"/>
          </w:tcPr>
          <w:p w14:paraId="7BF897EA">
            <w:pPr>
              <w:keepNext w:val="0"/>
              <w:keepLines w:val="0"/>
              <w:pageBreakBefore w:val="0"/>
              <w:kinsoku/>
              <w:wordWrap/>
              <w:overflowPunct/>
              <w:topLinePunct w:val="0"/>
              <w:bidi w:val="0"/>
              <w:adjustRightInd/>
              <w:snapToGrid/>
              <w:ind w:left="0" w:right="0"/>
              <w:jc w:val="center"/>
              <w:textAlignment w:val="auto"/>
              <w:rPr>
                <w:rFonts w:ascii="Times New Roman" w:hAnsi="Times New Roman" w:cs="Times New Roman"/>
                <w:color w:val="auto"/>
                <w:sz w:val="21"/>
                <w:szCs w:val="21"/>
                <w:highlight w:val="none"/>
                <w:lang w:bidi="ar"/>
              </w:rPr>
            </w:pPr>
            <w:r>
              <w:rPr>
                <w:rFonts w:hint="eastAsia" w:ascii="Times New Roman" w:hAnsi="Times New Roman" w:cs="Times New Roman"/>
                <w:color w:val="auto"/>
                <w:sz w:val="21"/>
                <w:szCs w:val="21"/>
                <w:highlight w:val="none"/>
                <w:lang w:bidi="ar"/>
              </w:rPr>
              <w:t>18-20</w:t>
            </w:r>
          </w:p>
        </w:tc>
        <w:tc>
          <w:tcPr>
            <w:tcW w:w="815" w:type="dxa"/>
            <w:tcBorders>
              <w:tl2br w:val="nil"/>
              <w:tr2bl w:val="nil"/>
            </w:tcBorders>
            <w:vAlign w:val="center"/>
          </w:tcPr>
          <w:p w14:paraId="3700A65C">
            <w:pPr>
              <w:keepNext w:val="0"/>
              <w:keepLines w:val="0"/>
              <w:pageBreakBefore w:val="0"/>
              <w:kinsoku/>
              <w:wordWrap/>
              <w:overflowPunct/>
              <w:topLinePunct w:val="0"/>
              <w:bidi w:val="0"/>
              <w:adjustRightInd/>
              <w:snapToGrid/>
              <w:ind w:left="0" w:right="0"/>
              <w:jc w:val="center"/>
              <w:textAlignment w:val="auto"/>
              <w:rPr>
                <w:rFonts w:ascii="Times New Roman" w:hAnsi="Times New Roman" w:cs="Times New Roman"/>
                <w:color w:val="auto"/>
                <w:sz w:val="21"/>
                <w:szCs w:val="21"/>
                <w:highlight w:val="none"/>
                <w:lang w:bidi="ar"/>
              </w:rPr>
            </w:pPr>
            <w:r>
              <w:rPr>
                <w:rFonts w:hint="eastAsia" w:ascii="Times New Roman" w:hAnsi="Times New Roman" w:cs="Times New Roman"/>
                <w:color w:val="auto"/>
                <w:sz w:val="21"/>
                <w:szCs w:val="21"/>
                <w:highlight w:val="none"/>
                <w:lang w:bidi="ar"/>
              </w:rPr>
              <w:t>0.315-0.593</w:t>
            </w:r>
          </w:p>
        </w:tc>
        <w:tc>
          <w:tcPr>
            <w:tcW w:w="815" w:type="dxa"/>
            <w:tcBorders>
              <w:tl2br w:val="nil"/>
              <w:tr2bl w:val="nil"/>
            </w:tcBorders>
            <w:vAlign w:val="center"/>
          </w:tcPr>
          <w:p w14:paraId="525E7CC7">
            <w:pPr>
              <w:keepNext w:val="0"/>
              <w:keepLines w:val="0"/>
              <w:pageBreakBefore w:val="0"/>
              <w:kinsoku/>
              <w:wordWrap/>
              <w:overflowPunct/>
              <w:topLinePunct w:val="0"/>
              <w:bidi w:val="0"/>
              <w:adjustRightInd/>
              <w:snapToGrid/>
              <w:ind w:left="0" w:right="0"/>
              <w:jc w:val="center"/>
              <w:textAlignment w:val="auto"/>
              <w:rPr>
                <w:rFonts w:ascii="Times New Roman" w:hAnsi="Times New Roman" w:cs="Times New Roman"/>
                <w:color w:val="auto"/>
                <w:sz w:val="21"/>
                <w:szCs w:val="21"/>
                <w:highlight w:val="none"/>
                <w:lang w:bidi="ar"/>
              </w:rPr>
            </w:pPr>
            <w:r>
              <w:rPr>
                <w:rFonts w:hint="eastAsia" w:ascii="Times New Roman" w:hAnsi="Times New Roman" w:cs="Times New Roman"/>
                <w:color w:val="auto"/>
                <w:sz w:val="21"/>
                <w:szCs w:val="21"/>
                <w:highlight w:val="none"/>
                <w:lang w:bidi="ar"/>
              </w:rPr>
              <w:t>0.1-0.15</w:t>
            </w:r>
          </w:p>
        </w:tc>
        <w:tc>
          <w:tcPr>
            <w:tcW w:w="817" w:type="dxa"/>
            <w:tcBorders>
              <w:tl2br w:val="nil"/>
              <w:tr2bl w:val="nil"/>
            </w:tcBorders>
            <w:vAlign w:val="center"/>
          </w:tcPr>
          <w:p w14:paraId="32BE5D1F">
            <w:pPr>
              <w:keepNext w:val="0"/>
              <w:keepLines w:val="0"/>
              <w:pageBreakBefore w:val="0"/>
              <w:kinsoku/>
              <w:wordWrap/>
              <w:overflowPunct/>
              <w:topLinePunct w:val="0"/>
              <w:bidi w:val="0"/>
              <w:adjustRightInd/>
              <w:snapToGrid/>
              <w:ind w:left="0" w:right="0"/>
              <w:jc w:val="center"/>
              <w:textAlignment w:val="auto"/>
              <w:rPr>
                <w:rFonts w:ascii="Times New Roman" w:hAnsi="Times New Roman" w:cs="Times New Roman"/>
                <w:color w:val="auto"/>
                <w:sz w:val="21"/>
                <w:szCs w:val="21"/>
                <w:highlight w:val="none"/>
                <w:lang w:bidi="ar"/>
              </w:rPr>
            </w:pPr>
            <w:r>
              <w:rPr>
                <w:rFonts w:hint="eastAsia" w:ascii="Times New Roman" w:hAnsi="Times New Roman" w:cs="Times New Roman"/>
                <w:color w:val="auto"/>
                <w:sz w:val="21"/>
                <w:szCs w:val="21"/>
                <w:highlight w:val="none"/>
                <w:lang w:bidi="ar"/>
              </w:rPr>
              <w:t>1.52-3.15</w:t>
            </w:r>
          </w:p>
        </w:tc>
      </w:tr>
      <w:tr w14:paraId="6FEDDAD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56" w:type="dxa"/>
            <w:vMerge w:val="continue"/>
            <w:tcBorders>
              <w:tl2br w:val="nil"/>
              <w:tr2bl w:val="nil"/>
            </w:tcBorders>
            <w:vAlign w:val="center"/>
          </w:tcPr>
          <w:p w14:paraId="01B678FF">
            <w:pPr>
              <w:keepNext w:val="0"/>
              <w:keepLines w:val="0"/>
              <w:pageBreakBefore w:val="0"/>
              <w:kinsoku/>
              <w:wordWrap/>
              <w:overflowPunct/>
              <w:topLinePunct w:val="0"/>
              <w:bidi w:val="0"/>
              <w:adjustRightInd/>
              <w:snapToGrid/>
              <w:ind w:left="0" w:right="0"/>
              <w:jc w:val="center"/>
              <w:textAlignment w:val="auto"/>
              <w:rPr>
                <w:rFonts w:ascii="Times New Roman" w:hAnsi="Times New Roman" w:cs="Times New Roman"/>
                <w:color w:val="auto"/>
                <w:sz w:val="21"/>
                <w:szCs w:val="21"/>
                <w:highlight w:val="none"/>
              </w:rPr>
            </w:pPr>
          </w:p>
        </w:tc>
        <w:tc>
          <w:tcPr>
            <w:tcW w:w="1419" w:type="dxa"/>
            <w:tcBorders>
              <w:tl2br w:val="nil"/>
              <w:tr2bl w:val="nil"/>
            </w:tcBorders>
            <w:vAlign w:val="center"/>
          </w:tcPr>
          <w:p w14:paraId="75B2A1E2">
            <w:pPr>
              <w:keepNext w:val="0"/>
              <w:keepLines w:val="0"/>
              <w:pageBreakBefore w:val="0"/>
              <w:kinsoku/>
              <w:wordWrap/>
              <w:overflowPunct/>
              <w:topLinePunct w:val="0"/>
              <w:bidi w:val="0"/>
              <w:adjustRightInd/>
              <w:snapToGrid/>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平均值</w:t>
            </w:r>
          </w:p>
        </w:tc>
        <w:tc>
          <w:tcPr>
            <w:tcW w:w="878" w:type="dxa"/>
            <w:tcBorders>
              <w:tl2br w:val="nil"/>
              <w:tr2bl w:val="nil"/>
            </w:tcBorders>
            <w:vAlign w:val="center"/>
          </w:tcPr>
          <w:p w14:paraId="7D5E9B71">
            <w:pPr>
              <w:keepNext w:val="0"/>
              <w:keepLines w:val="0"/>
              <w:pageBreakBefore w:val="0"/>
              <w:kinsoku/>
              <w:wordWrap/>
              <w:overflowPunct/>
              <w:topLinePunct w:val="0"/>
              <w:bidi w:val="0"/>
              <w:adjustRightInd/>
              <w:snapToGrid/>
              <w:ind w:left="0" w:right="0"/>
              <w:jc w:val="center"/>
              <w:textAlignment w:val="auto"/>
              <w:rPr>
                <w:rFonts w:ascii="Times New Roman" w:hAnsi="Times New Roman" w:cs="Times New Roman"/>
                <w:color w:val="auto"/>
                <w:sz w:val="21"/>
                <w:szCs w:val="21"/>
                <w:highlight w:val="none"/>
                <w:lang w:bidi="ar"/>
              </w:rPr>
            </w:pPr>
            <w:r>
              <w:rPr>
                <w:rFonts w:hint="eastAsia" w:ascii="Times New Roman" w:hAnsi="Times New Roman" w:cs="Times New Roman"/>
                <w:color w:val="auto"/>
                <w:sz w:val="21"/>
                <w:szCs w:val="21"/>
                <w:highlight w:val="none"/>
                <w:lang w:bidi="ar"/>
              </w:rPr>
              <w:t>7.38</w:t>
            </w:r>
          </w:p>
        </w:tc>
        <w:tc>
          <w:tcPr>
            <w:tcW w:w="895" w:type="dxa"/>
            <w:tcBorders>
              <w:tl2br w:val="nil"/>
              <w:tr2bl w:val="nil"/>
            </w:tcBorders>
            <w:vAlign w:val="center"/>
          </w:tcPr>
          <w:p w14:paraId="7C51243E">
            <w:pPr>
              <w:keepNext w:val="0"/>
              <w:keepLines w:val="0"/>
              <w:pageBreakBefore w:val="0"/>
              <w:kinsoku/>
              <w:wordWrap/>
              <w:overflowPunct/>
              <w:topLinePunct w:val="0"/>
              <w:bidi w:val="0"/>
              <w:adjustRightInd/>
              <w:snapToGrid/>
              <w:ind w:left="0" w:right="0"/>
              <w:jc w:val="center"/>
              <w:textAlignment w:val="auto"/>
              <w:rPr>
                <w:rFonts w:ascii="Times New Roman" w:hAnsi="Times New Roman" w:cs="Times New Roman"/>
                <w:color w:val="auto"/>
                <w:sz w:val="21"/>
                <w:szCs w:val="21"/>
                <w:highlight w:val="none"/>
                <w:lang w:bidi="ar"/>
              </w:rPr>
            </w:pPr>
            <w:r>
              <w:rPr>
                <w:rFonts w:hint="eastAsia" w:ascii="Times New Roman" w:hAnsi="Times New Roman" w:cs="Times New Roman"/>
                <w:color w:val="auto"/>
                <w:sz w:val="21"/>
                <w:szCs w:val="21"/>
                <w:highlight w:val="none"/>
                <w:lang w:bidi="ar"/>
              </w:rPr>
              <w:t>6.48</w:t>
            </w:r>
          </w:p>
        </w:tc>
        <w:tc>
          <w:tcPr>
            <w:tcW w:w="930" w:type="dxa"/>
            <w:tcBorders>
              <w:tl2br w:val="nil"/>
              <w:tr2bl w:val="nil"/>
            </w:tcBorders>
            <w:vAlign w:val="center"/>
          </w:tcPr>
          <w:p w14:paraId="299D7D66">
            <w:pPr>
              <w:keepNext w:val="0"/>
              <w:keepLines w:val="0"/>
              <w:pageBreakBefore w:val="0"/>
              <w:kinsoku/>
              <w:wordWrap/>
              <w:overflowPunct/>
              <w:topLinePunct w:val="0"/>
              <w:bidi w:val="0"/>
              <w:adjustRightInd/>
              <w:snapToGrid/>
              <w:ind w:left="0" w:right="0"/>
              <w:jc w:val="center"/>
              <w:textAlignment w:val="auto"/>
              <w:rPr>
                <w:rFonts w:ascii="Times New Roman" w:hAnsi="Times New Roman" w:cs="Times New Roman"/>
                <w:color w:val="auto"/>
                <w:sz w:val="21"/>
                <w:szCs w:val="21"/>
                <w:highlight w:val="none"/>
                <w:lang w:bidi="ar"/>
              </w:rPr>
            </w:pPr>
            <w:r>
              <w:rPr>
                <w:rFonts w:hint="eastAsia" w:ascii="Times New Roman" w:hAnsi="Times New Roman" w:cs="Times New Roman"/>
                <w:color w:val="auto"/>
                <w:sz w:val="21"/>
                <w:szCs w:val="21"/>
                <w:highlight w:val="none"/>
                <w:lang w:bidi="ar"/>
              </w:rPr>
              <w:t>15.5</w:t>
            </w:r>
          </w:p>
        </w:tc>
        <w:tc>
          <w:tcPr>
            <w:tcW w:w="795" w:type="dxa"/>
            <w:tcBorders>
              <w:tl2br w:val="nil"/>
              <w:tr2bl w:val="nil"/>
            </w:tcBorders>
            <w:vAlign w:val="center"/>
          </w:tcPr>
          <w:p w14:paraId="768784DA">
            <w:pPr>
              <w:keepNext w:val="0"/>
              <w:keepLines w:val="0"/>
              <w:pageBreakBefore w:val="0"/>
              <w:kinsoku/>
              <w:wordWrap/>
              <w:overflowPunct/>
              <w:topLinePunct w:val="0"/>
              <w:bidi w:val="0"/>
              <w:adjustRightInd/>
              <w:snapToGrid/>
              <w:ind w:left="0" w:right="0"/>
              <w:jc w:val="center"/>
              <w:textAlignment w:val="auto"/>
              <w:rPr>
                <w:rFonts w:ascii="Times New Roman" w:hAnsi="Times New Roman" w:cs="Times New Roman"/>
                <w:color w:val="auto"/>
                <w:sz w:val="21"/>
                <w:szCs w:val="21"/>
                <w:highlight w:val="none"/>
                <w:lang w:bidi="ar"/>
              </w:rPr>
            </w:pPr>
            <w:r>
              <w:rPr>
                <w:rFonts w:hint="eastAsia" w:ascii="Times New Roman" w:hAnsi="Times New Roman" w:cs="Times New Roman"/>
                <w:color w:val="auto"/>
                <w:sz w:val="21"/>
                <w:szCs w:val="21"/>
                <w:highlight w:val="none"/>
                <w:lang w:bidi="ar"/>
              </w:rPr>
              <w:t>19</w:t>
            </w:r>
          </w:p>
        </w:tc>
        <w:tc>
          <w:tcPr>
            <w:tcW w:w="815" w:type="dxa"/>
            <w:tcBorders>
              <w:tl2br w:val="nil"/>
              <w:tr2bl w:val="nil"/>
            </w:tcBorders>
            <w:vAlign w:val="center"/>
          </w:tcPr>
          <w:p w14:paraId="6A3AD526">
            <w:pPr>
              <w:keepNext w:val="0"/>
              <w:keepLines w:val="0"/>
              <w:pageBreakBefore w:val="0"/>
              <w:kinsoku/>
              <w:wordWrap/>
              <w:overflowPunct/>
              <w:topLinePunct w:val="0"/>
              <w:bidi w:val="0"/>
              <w:adjustRightInd/>
              <w:snapToGrid/>
              <w:ind w:left="0" w:right="0"/>
              <w:jc w:val="center"/>
              <w:textAlignment w:val="auto"/>
              <w:rPr>
                <w:rFonts w:ascii="Times New Roman" w:hAnsi="Times New Roman" w:cs="Times New Roman"/>
                <w:color w:val="auto"/>
                <w:sz w:val="21"/>
                <w:szCs w:val="21"/>
                <w:highlight w:val="none"/>
                <w:lang w:bidi="ar"/>
              </w:rPr>
            </w:pPr>
            <w:r>
              <w:rPr>
                <w:rFonts w:hint="eastAsia" w:ascii="Times New Roman" w:hAnsi="Times New Roman" w:cs="Times New Roman"/>
                <w:color w:val="auto"/>
                <w:sz w:val="21"/>
                <w:szCs w:val="21"/>
                <w:highlight w:val="none"/>
                <w:lang w:bidi="ar"/>
              </w:rPr>
              <w:t>0.45</w:t>
            </w:r>
          </w:p>
        </w:tc>
        <w:tc>
          <w:tcPr>
            <w:tcW w:w="815" w:type="dxa"/>
            <w:tcBorders>
              <w:tl2br w:val="nil"/>
              <w:tr2bl w:val="nil"/>
            </w:tcBorders>
            <w:vAlign w:val="center"/>
          </w:tcPr>
          <w:p w14:paraId="42121F3B">
            <w:pPr>
              <w:keepNext w:val="0"/>
              <w:keepLines w:val="0"/>
              <w:pageBreakBefore w:val="0"/>
              <w:kinsoku/>
              <w:wordWrap/>
              <w:overflowPunct/>
              <w:topLinePunct w:val="0"/>
              <w:bidi w:val="0"/>
              <w:adjustRightInd/>
              <w:snapToGrid/>
              <w:ind w:left="0" w:right="0"/>
              <w:jc w:val="center"/>
              <w:textAlignment w:val="auto"/>
              <w:rPr>
                <w:rFonts w:ascii="Times New Roman" w:hAnsi="Times New Roman" w:cs="Times New Roman"/>
                <w:color w:val="auto"/>
                <w:sz w:val="21"/>
                <w:szCs w:val="21"/>
                <w:highlight w:val="none"/>
                <w:lang w:bidi="ar"/>
              </w:rPr>
            </w:pPr>
            <w:r>
              <w:rPr>
                <w:rFonts w:hint="eastAsia" w:ascii="Times New Roman" w:hAnsi="Times New Roman" w:cs="Times New Roman"/>
                <w:color w:val="auto"/>
                <w:sz w:val="21"/>
                <w:szCs w:val="21"/>
                <w:highlight w:val="none"/>
                <w:lang w:bidi="ar"/>
              </w:rPr>
              <w:t>0.12</w:t>
            </w:r>
          </w:p>
        </w:tc>
        <w:tc>
          <w:tcPr>
            <w:tcW w:w="817" w:type="dxa"/>
            <w:tcBorders>
              <w:tl2br w:val="nil"/>
              <w:tr2bl w:val="nil"/>
            </w:tcBorders>
            <w:vAlign w:val="center"/>
          </w:tcPr>
          <w:p w14:paraId="1ECA2F92">
            <w:pPr>
              <w:keepNext w:val="0"/>
              <w:keepLines w:val="0"/>
              <w:pageBreakBefore w:val="0"/>
              <w:kinsoku/>
              <w:wordWrap/>
              <w:overflowPunct/>
              <w:topLinePunct w:val="0"/>
              <w:bidi w:val="0"/>
              <w:adjustRightInd/>
              <w:snapToGrid/>
              <w:ind w:left="0" w:right="0"/>
              <w:jc w:val="center"/>
              <w:textAlignment w:val="auto"/>
              <w:rPr>
                <w:rFonts w:ascii="Times New Roman" w:hAnsi="Times New Roman" w:cs="Times New Roman"/>
                <w:color w:val="auto"/>
                <w:sz w:val="21"/>
                <w:szCs w:val="21"/>
                <w:highlight w:val="none"/>
                <w:lang w:bidi="ar"/>
              </w:rPr>
            </w:pPr>
            <w:r>
              <w:rPr>
                <w:rFonts w:hint="eastAsia" w:ascii="Times New Roman" w:hAnsi="Times New Roman" w:cs="Times New Roman"/>
                <w:color w:val="auto"/>
                <w:sz w:val="21"/>
                <w:szCs w:val="21"/>
                <w:highlight w:val="none"/>
                <w:lang w:bidi="ar"/>
              </w:rPr>
              <w:t>2.19</w:t>
            </w:r>
          </w:p>
        </w:tc>
      </w:tr>
      <w:tr w14:paraId="441F655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56" w:type="dxa"/>
            <w:vMerge w:val="continue"/>
            <w:tcBorders>
              <w:tl2br w:val="nil"/>
              <w:tr2bl w:val="nil"/>
            </w:tcBorders>
            <w:vAlign w:val="center"/>
          </w:tcPr>
          <w:p w14:paraId="7757E1DF">
            <w:pPr>
              <w:keepNext w:val="0"/>
              <w:keepLines w:val="0"/>
              <w:pageBreakBefore w:val="0"/>
              <w:kinsoku/>
              <w:wordWrap/>
              <w:overflowPunct/>
              <w:topLinePunct w:val="0"/>
              <w:bidi w:val="0"/>
              <w:adjustRightInd/>
              <w:snapToGrid/>
              <w:ind w:left="0" w:right="0"/>
              <w:jc w:val="center"/>
              <w:textAlignment w:val="auto"/>
              <w:rPr>
                <w:rFonts w:ascii="Times New Roman" w:hAnsi="Times New Roman" w:cs="Times New Roman"/>
                <w:color w:val="auto"/>
                <w:sz w:val="21"/>
                <w:szCs w:val="21"/>
                <w:highlight w:val="none"/>
              </w:rPr>
            </w:pPr>
          </w:p>
        </w:tc>
        <w:tc>
          <w:tcPr>
            <w:tcW w:w="1419" w:type="dxa"/>
            <w:tcBorders>
              <w:tl2br w:val="nil"/>
              <w:tr2bl w:val="nil"/>
            </w:tcBorders>
            <w:vAlign w:val="center"/>
          </w:tcPr>
          <w:p w14:paraId="755295CB">
            <w:pPr>
              <w:keepNext w:val="0"/>
              <w:keepLines w:val="0"/>
              <w:pageBreakBefore w:val="0"/>
              <w:kinsoku/>
              <w:wordWrap/>
              <w:overflowPunct/>
              <w:topLinePunct w:val="0"/>
              <w:bidi w:val="0"/>
              <w:adjustRightInd/>
              <w:snapToGrid/>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Ⅲ类标准</w:t>
            </w:r>
          </w:p>
        </w:tc>
        <w:tc>
          <w:tcPr>
            <w:tcW w:w="878" w:type="dxa"/>
            <w:tcBorders>
              <w:tl2br w:val="nil"/>
              <w:tr2bl w:val="nil"/>
            </w:tcBorders>
            <w:vAlign w:val="center"/>
          </w:tcPr>
          <w:p w14:paraId="45534288">
            <w:pPr>
              <w:keepNext w:val="0"/>
              <w:keepLines w:val="0"/>
              <w:pageBreakBefore w:val="0"/>
              <w:kinsoku/>
              <w:wordWrap/>
              <w:overflowPunct/>
              <w:topLinePunct w:val="0"/>
              <w:bidi w:val="0"/>
              <w:adjustRightInd/>
              <w:snapToGrid/>
              <w:ind w:left="0" w:right="0"/>
              <w:jc w:val="center"/>
              <w:textAlignment w:val="auto"/>
              <w:rPr>
                <w:rFonts w:ascii="Times New Roman" w:hAnsi="Times New Roman" w:cs="Times New Roman"/>
                <w:color w:val="auto"/>
                <w:sz w:val="21"/>
                <w:szCs w:val="21"/>
                <w:highlight w:val="none"/>
                <w:lang w:bidi="ar"/>
              </w:rPr>
            </w:pPr>
            <w:r>
              <w:rPr>
                <w:rFonts w:hint="eastAsia" w:ascii="Times New Roman" w:hAnsi="Times New Roman" w:cs="Times New Roman"/>
                <w:color w:val="auto"/>
                <w:sz w:val="21"/>
                <w:szCs w:val="21"/>
                <w:highlight w:val="none"/>
                <w:lang w:bidi="ar"/>
              </w:rPr>
              <w:t>6~9</w:t>
            </w:r>
          </w:p>
        </w:tc>
        <w:tc>
          <w:tcPr>
            <w:tcW w:w="895" w:type="dxa"/>
            <w:tcBorders>
              <w:tl2br w:val="nil"/>
              <w:tr2bl w:val="nil"/>
            </w:tcBorders>
            <w:vAlign w:val="center"/>
          </w:tcPr>
          <w:p w14:paraId="1BFD7826">
            <w:pPr>
              <w:keepNext w:val="0"/>
              <w:keepLines w:val="0"/>
              <w:pageBreakBefore w:val="0"/>
              <w:kinsoku/>
              <w:wordWrap/>
              <w:overflowPunct/>
              <w:topLinePunct w:val="0"/>
              <w:bidi w:val="0"/>
              <w:adjustRightInd/>
              <w:snapToGrid/>
              <w:ind w:left="0" w:right="0"/>
              <w:jc w:val="center"/>
              <w:textAlignment w:val="auto"/>
              <w:rPr>
                <w:rFonts w:ascii="Times New Roman" w:hAnsi="Times New Roman" w:cs="Times New Roman"/>
                <w:color w:val="auto"/>
                <w:sz w:val="21"/>
                <w:szCs w:val="21"/>
                <w:highlight w:val="none"/>
                <w:lang w:bidi="ar"/>
              </w:rPr>
            </w:pPr>
            <w:r>
              <w:rPr>
                <w:rFonts w:hint="eastAsia" w:ascii="Times New Roman" w:hAnsi="Times New Roman" w:cs="Times New Roman"/>
                <w:color w:val="auto"/>
                <w:sz w:val="21"/>
                <w:szCs w:val="21"/>
                <w:highlight w:val="none"/>
                <w:lang w:bidi="ar"/>
              </w:rPr>
              <w:t>5</w:t>
            </w:r>
          </w:p>
        </w:tc>
        <w:tc>
          <w:tcPr>
            <w:tcW w:w="930" w:type="dxa"/>
            <w:tcBorders>
              <w:tl2br w:val="nil"/>
              <w:tr2bl w:val="nil"/>
            </w:tcBorders>
            <w:vAlign w:val="center"/>
          </w:tcPr>
          <w:p w14:paraId="33AFF477">
            <w:pPr>
              <w:keepNext w:val="0"/>
              <w:keepLines w:val="0"/>
              <w:pageBreakBefore w:val="0"/>
              <w:kinsoku/>
              <w:wordWrap/>
              <w:overflowPunct/>
              <w:topLinePunct w:val="0"/>
              <w:bidi w:val="0"/>
              <w:adjustRightInd/>
              <w:snapToGrid/>
              <w:ind w:left="0" w:right="0"/>
              <w:jc w:val="center"/>
              <w:textAlignment w:val="auto"/>
              <w:rPr>
                <w:rFonts w:ascii="Times New Roman" w:hAnsi="Times New Roman" w:cs="Times New Roman"/>
                <w:color w:val="auto"/>
                <w:sz w:val="21"/>
                <w:szCs w:val="21"/>
                <w:highlight w:val="none"/>
                <w:lang w:bidi="ar"/>
              </w:rPr>
            </w:pPr>
            <w:r>
              <w:rPr>
                <w:rFonts w:hint="eastAsia" w:ascii="Times New Roman" w:hAnsi="Times New Roman" w:cs="Times New Roman"/>
                <w:color w:val="auto"/>
                <w:sz w:val="21"/>
                <w:szCs w:val="21"/>
                <w:highlight w:val="none"/>
                <w:lang w:bidi="ar"/>
              </w:rPr>
              <w:t>20</w:t>
            </w:r>
          </w:p>
        </w:tc>
        <w:tc>
          <w:tcPr>
            <w:tcW w:w="795" w:type="dxa"/>
            <w:tcBorders>
              <w:tl2br w:val="nil"/>
              <w:tr2bl w:val="nil"/>
            </w:tcBorders>
            <w:vAlign w:val="center"/>
          </w:tcPr>
          <w:p w14:paraId="1EE3598F">
            <w:pPr>
              <w:keepNext w:val="0"/>
              <w:keepLines w:val="0"/>
              <w:pageBreakBefore w:val="0"/>
              <w:kinsoku/>
              <w:wordWrap/>
              <w:overflowPunct/>
              <w:topLinePunct w:val="0"/>
              <w:bidi w:val="0"/>
              <w:adjustRightInd/>
              <w:snapToGrid/>
              <w:ind w:left="0" w:right="0"/>
              <w:jc w:val="center"/>
              <w:textAlignment w:val="auto"/>
              <w:rPr>
                <w:rFonts w:ascii="Times New Roman" w:hAnsi="Times New Roman" w:cs="Times New Roman"/>
                <w:color w:val="auto"/>
                <w:sz w:val="21"/>
                <w:szCs w:val="21"/>
                <w:highlight w:val="none"/>
                <w:lang w:bidi="ar"/>
              </w:rPr>
            </w:pPr>
            <w:r>
              <w:rPr>
                <w:rFonts w:hint="eastAsia" w:ascii="Times New Roman" w:hAnsi="Times New Roman" w:cs="Times New Roman"/>
                <w:color w:val="auto"/>
                <w:sz w:val="21"/>
                <w:szCs w:val="21"/>
                <w:highlight w:val="none"/>
                <w:lang w:bidi="ar"/>
              </w:rPr>
              <w:t>30</w:t>
            </w:r>
          </w:p>
        </w:tc>
        <w:tc>
          <w:tcPr>
            <w:tcW w:w="815" w:type="dxa"/>
            <w:tcBorders>
              <w:tl2br w:val="nil"/>
              <w:tr2bl w:val="nil"/>
            </w:tcBorders>
            <w:vAlign w:val="center"/>
          </w:tcPr>
          <w:p w14:paraId="309F5450">
            <w:pPr>
              <w:keepNext w:val="0"/>
              <w:keepLines w:val="0"/>
              <w:pageBreakBefore w:val="0"/>
              <w:kinsoku/>
              <w:wordWrap/>
              <w:overflowPunct/>
              <w:topLinePunct w:val="0"/>
              <w:bidi w:val="0"/>
              <w:adjustRightInd/>
              <w:snapToGrid/>
              <w:ind w:left="0" w:right="0"/>
              <w:jc w:val="center"/>
              <w:textAlignment w:val="auto"/>
              <w:rPr>
                <w:rFonts w:ascii="Times New Roman" w:hAnsi="Times New Roman" w:cs="Times New Roman"/>
                <w:color w:val="auto"/>
                <w:sz w:val="21"/>
                <w:szCs w:val="21"/>
                <w:highlight w:val="none"/>
                <w:lang w:bidi="ar"/>
              </w:rPr>
            </w:pPr>
            <w:r>
              <w:rPr>
                <w:rFonts w:hint="eastAsia" w:ascii="Times New Roman" w:hAnsi="Times New Roman" w:cs="Times New Roman"/>
                <w:color w:val="auto"/>
                <w:sz w:val="21"/>
                <w:szCs w:val="21"/>
                <w:highlight w:val="none"/>
                <w:lang w:bidi="ar"/>
              </w:rPr>
              <w:t>1.0</w:t>
            </w:r>
          </w:p>
        </w:tc>
        <w:tc>
          <w:tcPr>
            <w:tcW w:w="815" w:type="dxa"/>
            <w:tcBorders>
              <w:tl2br w:val="nil"/>
              <w:tr2bl w:val="nil"/>
            </w:tcBorders>
            <w:vAlign w:val="center"/>
          </w:tcPr>
          <w:p w14:paraId="4AB35774">
            <w:pPr>
              <w:keepNext w:val="0"/>
              <w:keepLines w:val="0"/>
              <w:pageBreakBefore w:val="0"/>
              <w:kinsoku/>
              <w:wordWrap/>
              <w:overflowPunct/>
              <w:topLinePunct w:val="0"/>
              <w:bidi w:val="0"/>
              <w:adjustRightInd/>
              <w:snapToGrid/>
              <w:ind w:left="0" w:right="0"/>
              <w:jc w:val="center"/>
              <w:textAlignment w:val="auto"/>
              <w:rPr>
                <w:rFonts w:ascii="Times New Roman" w:hAnsi="Times New Roman" w:cs="Times New Roman"/>
                <w:color w:val="auto"/>
                <w:sz w:val="21"/>
                <w:szCs w:val="21"/>
                <w:highlight w:val="none"/>
                <w:lang w:bidi="ar"/>
              </w:rPr>
            </w:pPr>
            <w:r>
              <w:rPr>
                <w:rFonts w:hint="eastAsia" w:ascii="Times New Roman" w:hAnsi="Times New Roman" w:cs="Times New Roman"/>
                <w:color w:val="auto"/>
                <w:sz w:val="21"/>
                <w:szCs w:val="21"/>
                <w:highlight w:val="none"/>
                <w:lang w:bidi="ar"/>
              </w:rPr>
              <w:t>0.2</w:t>
            </w:r>
          </w:p>
        </w:tc>
        <w:tc>
          <w:tcPr>
            <w:tcW w:w="817" w:type="dxa"/>
            <w:tcBorders>
              <w:tl2br w:val="nil"/>
              <w:tr2bl w:val="nil"/>
            </w:tcBorders>
            <w:vAlign w:val="center"/>
          </w:tcPr>
          <w:p w14:paraId="365F47BF">
            <w:pPr>
              <w:keepNext w:val="0"/>
              <w:keepLines w:val="0"/>
              <w:pageBreakBefore w:val="0"/>
              <w:kinsoku/>
              <w:wordWrap/>
              <w:overflowPunct/>
              <w:topLinePunct w:val="0"/>
              <w:bidi w:val="0"/>
              <w:adjustRightInd/>
              <w:snapToGrid/>
              <w:ind w:left="0" w:right="0"/>
              <w:jc w:val="center"/>
              <w:textAlignment w:val="auto"/>
              <w:rPr>
                <w:rFonts w:ascii="Times New Roman" w:hAnsi="Times New Roman" w:cs="Times New Roman"/>
                <w:color w:val="auto"/>
                <w:sz w:val="21"/>
                <w:szCs w:val="21"/>
                <w:highlight w:val="none"/>
                <w:lang w:bidi="ar"/>
              </w:rPr>
            </w:pPr>
            <w:r>
              <w:rPr>
                <w:rFonts w:hint="eastAsia" w:ascii="Times New Roman" w:hAnsi="Times New Roman" w:cs="Times New Roman"/>
                <w:color w:val="auto"/>
                <w:sz w:val="21"/>
                <w:szCs w:val="21"/>
                <w:highlight w:val="none"/>
                <w:lang w:bidi="ar"/>
              </w:rPr>
              <w:t>1.0</w:t>
            </w:r>
          </w:p>
        </w:tc>
      </w:tr>
      <w:tr w14:paraId="05E0661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56" w:type="dxa"/>
            <w:vMerge w:val="continue"/>
            <w:tcBorders>
              <w:tl2br w:val="nil"/>
              <w:tr2bl w:val="nil"/>
            </w:tcBorders>
            <w:vAlign w:val="center"/>
          </w:tcPr>
          <w:p w14:paraId="015DEADC">
            <w:pPr>
              <w:keepNext w:val="0"/>
              <w:keepLines w:val="0"/>
              <w:pageBreakBefore w:val="0"/>
              <w:kinsoku/>
              <w:wordWrap/>
              <w:overflowPunct/>
              <w:topLinePunct w:val="0"/>
              <w:bidi w:val="0"/>
              <w:adjustRightInd/>
              <w:snapToGrid/>
              <w:ind w:left="0" w:right="0"/>
              <w:jc w:val="center"/>
              <w:textAlignment w:val="auto"/>
              <w:rPr>
                <w:rFonts w:ascii="Times New Roman" w:hAnsi="Times New Roman" w:cs="Times New Roman"/>
                <w:color w:val="auto"/>
                <w:sz w:val="21"/>
                <w:szCs w:val="21"/>
                <w:highlight w:val="none"/>
              </w:rPr>
            </w:pPr>
          </w:p>
        </w:tc>
        <w:tc>
          <w:tcPr>
            <w:tcW w:w="1419" w:type="dxa"/>
            <w:tcBorders>
              <w:tl2br w:val="nil"/>
              <w:tr2bl w:val="nil"/>
            </w:tcBorders>
            <w:vAlign w:val="center"/>
          </w:tcPr>
          <w:p w14:paraId="5527F489">
            <w:pPr>
              <w:keepNext w:val="0"/>
              <w:keepLines w:val="0"/>
              <w:pageBreakBefore w:val="0"/>
              <w:kinsoku/>
              <w:wordWrap/>
              <w:overflowPunct/>
              <w:topLinePunct w:val="0"/>
              <w:bidi w:val="0"/>
              <w:adjustRightInd/>
              <w:snapToGrid/>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标准指数</w:t>
            </w:r>
          </w:p>
        </w:tc>
        <w:tc>
          <w:tcPr>
            <w:tcW w:w="878" w:type="dxa"/>
            <w:tcBorders>
              <w:tl2br w:val="nil"/>
              <w:tr2bl w:val="nil"/>
            </w:tcBorders>
            <w:vAlign w:val="center"/>
          </w:tcPr>
          <w:p w14:paraId="1C971BC2">
            <w:pPr>
              <w:keepNext w:val="0"/>
              <w:keepLines w:val="0"/>
              <w:pageBreakBefore w:val="0"/>
              <w:kinsoku/>
              <w:wordWrap/>
              <w:overflowPunct/>
              <w:topLinePunct w:val="0"/>
              <w:bidi w:val="0"/>
              <w:adjustRightInd/>
              <w:snapToGrid/>
              <w:ind w:left="0" w:right="0"/>
              <w:jc w:val="center"/>
              <w:textAlignment w:val="auto"/>
              <w:rPr>
                <w:rFonts w:ascii="Times New Roman" w:hAnsi="Times New Roman" w:cs="Times New Roman"/>
                <w:color w:val="auto"/>
                <w:sz w:val="21"/>
                <w:szCs w:val="21"/>
                <w:highlight w:val="none"/>
                <w:lang w:bidi="ar"/>
              </w:rPr>
            </w:pPr>
            <w:r>
              <w:rPr>
                <w:rFonts w:hint="eastAsia" w:ascii="Times New Roman" w:hAnsi="Times New Roman" w:cs="Times New Roman"/>
                <w:color w:val="auto"/>
                <w:sz w:val="21"/>
                <w:szCs w:val="21"/>
                <w:highlight w:val="none"/>
                <w:lang w:bidi="ar"/>
              </w:rPr>
              <w:t>0.19</w:t>
            </w:r>
          </w:p>
        </w:tc>
        <w:tc>
          <w:tcPr>
            <w:tcW w:w="895" w:type="dxa"/>
            <w:tcBorders>
              <w:tl2br w:val="nil"/>
              <w:tr2bl w:val="nil"/>
            </w:tcBorders>
            <w:vAlign w:val="center"/>
          </w:tcPr>
          <w:p w14:paraId="5E2187E6">
            <w:pPr>
              <w:keepNext w:val="0"/>
              <w:keepLines w:val="0"/>
              <w:pageBreakBefore w:val="0"/>
              <w:kinsoku/>
              <w:wordWrap/>
              <w:overflowPunct/>
              <w:topLinePunct w:val="0"/>
              <w:bidi w:val="0"/>
              <w:adjustRightInd/>
              <w:snapToGrid/>
              <w:ind w:left="0" w:right="0"/>
              <w:jc w:val="center"/>
              <w:textAlignment w:val="auto"/>
              <w:rPr>
                <w:rFonts w:ascii="Times New Roman" w:hAnsi="Times New Roman" w:cs="Times New Roman"/>
                <w:color w:val="auto"/>
                <w:sz w:val="21"/>
                <w:szCs w:val="21"/>
                <w:highlight w:val="none"/>
                <w:lang w:bidi="ar"/>
              </w:rPr>
            </w:pPr>
            <w:r>
              <w:rPr>
                <w:rFonts w:hint="eastAsia" w:ascii="Times New Roman" w:hAnsi="Times New Roman" w:cs="Times New Roman"/>
                <w:color w:val="auto"/>
                <w:sz w:val="21"/>
                <w:szCs w:val="21"/>
                <w:highlight w:val="none"/>
                <w:lang w:bidi="ar"/>
              </w:rPr>
              <w:t>0.26</w:t>
            </w:r>
          </w:p>
        </w:tc>
        <w:tc>
          <w:tcPr>
            <w:tcW w:w="930" w:type="dxa"/>
            <w:tcBorders>
              <w:tl2br w:val="nil"/>
              <w:tr2bl w:val="nil"/>
            </w:tcBorders>
            <w:vAlign w:val="center"/>
          </w:tcPr>
          <w:p w14:paraId="5DA1FB68">
            <w:pPr>
              <w:keepNext w:val="0"/>
              <w:keepLines w:val="0"/>
              <w:pageBreakBefore w:val="0"/>
              <w:kinsoku/>
              <w:wordWrap/>
              <w:overflowPunct/>
              <w:topLinePunct w:val="0"/>
              <w:bidi w:val="0"/>
              <w:adjustRightInd/>
              <w:snapToGrid/>
              <w:ind w:left="0" w:right="0"/>
              <w:jc w:val="center"/>
              <w:textAlignment w:val="auto"/>
              <w:rPr>
                <w:rFonts w:ascii="Times New Roman" w:hAnsi="Times New Roman" w:cs="Times New Roman"/>
                <w:color w:val="auto"/>
                <w:sz w:val="21"/>
                <w:szCs w:val="21"/>
                <w:highlight w:val="none"/>
                <w:lang w:bidi="ar"/>
              </w:rPr>
            </w:pPr>
            <w:r>
              <w:rPr>
                <w:rFonts w:hint="eastAsia" w:ascii="Times New Roman" w:hAnsi="Times New Roman" w:cs="Times New Roman"/>
                <w:color w:val="auto"/>
                <w:sz w:val="21"/>
                <w:szCs w:val="21"/>
                <w:highlight w:val="none"/>
                <w:lang w:bidi="ar"/>
              </w:rPr>
              <w:t>0.78</w:t>
            </w:r>
          </w:p>
        </w:tc>
        <w:tc>
          <w:tcPr>
            <w:tcW w:w="795" w:type="dxa"/>
            <w:tcBorders>
              <w:tl2br w:val="nil"/>
              <w:tr2bl w:val="nil"/>
            </w:tcBorders>
            <w:vAlign w:val="center"/>
          </w:tcPr>
          <w:p w14:paraId="500F690D">
            <w:pPr>
              <w:keepNext w:val="0"/>
              <w:keepLines w:val="0"/>
              <w:pageBreakBefore w:val="0"/>
              <w:kinsoku/>
              <w:wordWrap/>
              <w:overflowPunct/>
              <w:topLinePunct w:val="0"/>
              <w:bidi w:val="0"/>
              <w:adjustRightInd/>
              <w:snapToGrid/>
              <w:ind w:left="0" w:right="0"/>
              <w:jc w:val="center"/>
              <w:textAlignment w:val="auto"/>
              <w:rPr>
                <w:rFonts w:ascii="Times New Roman" w:hAnsi="Times New Roman" w:cs="Times New Roman"/>
                <w:color w:val="auto"/>
                <w:sz w:val="21"/>
                <w:szCs w:val="21"/>
                <w:highlight w:val="none"/>
                <w:lang w:bidi="ar"/>
              </w:rPr>
            </w:pPr>
            <w:r>
              <w:rPr>
                <w:rFonts w:hint="eastAsia" w:ascii="Times New Roman" w:hAnsi="Times New Roman" w:cs="Times New Roman"/>
                <w:color w:val="auto"/>
                <w:sz w:val="21"/>
                <w:szCs w:val="21"/>
                <w:highlight w:val="none"/>
                <w:lang w:bidi="ar"/>
              </w:rPr>
              <w:t>0.63</w:t>
            </w:r>
          </w:p>
        </w:tc>
        <w:tc>
          <w:tcPr>
            <w:tcW w:w="815" w:type="dxa"/>
            <w:tcBorders>
              <w:tl2br w:val="nil"/>
              <w:tr2bl w:val="nil"/>
            </w:tcBorders>
            <w:vAlign w:val="center"/>
          </w:tcPr>
          <w:p w14:paraId="225AF602">
            <w:pPr>
              <w:keepNext w:val="0"/>
              <w:keepLines w:val="0"/>
              <w:pageBreakBefore w:val="0"/>
              <w:kinsoku/>
              <w:wordWrap/>
              <w:overflowPunct/>
              <w:topLinePunct w:val="0"/>
              <w:bidi w:val="0"/>
              <w:adjustRightInd/>
              <w:snapToGrid/>
              <w:ind w:left="0" w:right="0"/>
              <w:jc w:val="center"/>
              <w:textAlignment w:val="auto"/>
              <w:rPr>
                <w:rFonts w:ascii="Times New Roman" w:hAnsi="Times New Roman" w:cs="Times New Roman"/>
                <w:color w:val="auto"/>
                <w:sz w:val="21"/>
                <w:szCs w:val="21"/>
                <w:highlight w:val="none"/>
                <w:lang w:bidi="ar"/>
              </w:rPr>
            </w:pPr>
            <w:r>
              <w:rPr>
                <w:rFonts w:hint="eastAsia" w:ascii="Times New Roman" w:hAnsi="Times New Roman" w:cs="Times New Roman"/>
                <w:color w:val="auto"/>
                <w:sz w:val="21"/>
                <w:szCs w:val="21"/>
                <w:highlight w:val="none"/>
                <w:lang w:bidi="ar"/>
              </w:rPr>
              <w:t>0.45</w:t>
            </w:r>
          </w:p>
        </w:tc>
        <w:tc>
          <w:tcPr>
            <w:tcW w:w="815" w:type="dxa"/>
            <w:tcBorders>
              <w:tl2br w:val="nil"/>
              <w:tr2bl w:val="nil"/>
            </w:tcBorders>
            <w:vAlign w:val="center"/>
          </w:tcPr>
          <w:p w14:paraId="0C6DCDF9">
            <w:pPr>
              <w:keepNext w:val="0"/>
              <w:keepLines w:val="0"/>
              <w:pageBreakBefore w:val="0"/>
              <w:kinsoku/>
              <w:wordWrap/>
              <w:overflowPunct/>
              <w:topLinePunct w:val="0"/>
              <w:bidi w:val="0"/>
              <w:adjustRightInd/>
              <w:snapToGrid/>
              <w:ind w:left="0" w:right="0"/>
              <w:jc w:val="center"/>
              <w:textAlignment w:val="auto"/>
              <w:rPr>
                <w:rFonts w:ascii="Times New Roman" w:hAnsi="Times New Roman" w:cs="Times New Roman"/>
                <w:color w:val="auto"/>
                <w:sz w:val="21"/>
                <w:szCs w:val="21"/>
                <w:highlight w:val="none"/>
                <w:lang w:bidi="ar"/>
              </w:rPr>
            </w:pPr>
            <w:r>
              <w:rPr>
                <w:rFonts w:hint="eastAsia" w:ascii="Times New Roman" w:hAnsi="Times New Roman" w:cs="Times New Roman"/>
                <w:color w:val="auto"/>
                <w:sz w:val="21"/>
                <w:szCs w:val="21"/>
                <w:highlight w:val="none"/>
                <w:lang w:bidi="ar"/>
              </w:rPr>
              <w:t>0.62</w:t>
            </w:r>
          </w:p>
        </w:tc>
        <w:tc>
          <w:tcPr>
            <w:tcW w:w="817" w:type="dxa"/>
            <w:tcBorders>
              <w:tl2br w:val="nil"/>
              <w:tr2bl w:val="nil"/>
            </w:tcBorders>
            <w:vAlign w:val="center"/>
          </w:tcPr>
          <w:p w14:paraId="260810C6">
            <w:pPr>
              <w:keepNext w:val="0"/>
              <w:keepLines w:val="0"/>
              <w:pageBreakBefore w:val="0"/>
              <w:kinsoku/>
              <w:wordWrap/>
              <w:overflowPunct/>
              <w:topLinePunct w:val="0"/>
              <w:bidi w:val="0"/>
              <w:adjustRightInd/>
              <w:snapToGrid/>
              <w:ind w:left="0" w:right="0"/>
              <w:jc w:val="center"/>
              <w:textAlignment w:val="auto"/>
              <w:rPr>
                <w:rFonts w:ascii="Times New Roman" w:hAnsi="Times New Roman" w:cs="Times New Roman"/>
                <w:color w:val="auto"/>
                <w:sz w:val="21"/>
                <w:szCs w:val="21"/>
                <w:highlight w:val="none"/>
                <w:lang w:bidi="ar"/>
              </w:rPr>
            </w:pPr>
            <w:r>
              <w:rPr>
                <w:rFonts w:hint="eastAsia" w:ascii="Times New Roman" w:hAnsi="Times New Roman" w:cs="Times New Roman"/>
                <w:color w:val="auto"/>
                <w:sz w:val="21"/>
                <w:szCs w:val="21"/>
                <w:highlight w:val="none"/>
                <w:lang w:bidi="ar"/>
              </w:rPr>
              <w:t>2.19</w:t>
            </w:r>
          </w:p>
        </w:tc>
      </w:tr>
      <w:tr w14:paraId="70C84A8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56" w:type="dxa"/>
            <w:vMerge w:val="continue"/>
            <w:tcBorders>
              <w:tl2br w:val="nil"/>
              <w:tr2bl w:val="nil"/>
            </w:tcBorders>
            <w:vAlign w:val="center"/>
          </w:tcPr>
          <w:p w14:paraId="1304A614">
            <w:pPr>
              <w:keepNext w:val="0"/>
              <w:keepLines w:val="0"/>
              <w:pageBreakBefore w:val="0"/>
              <w:kinsoku/>
              <w:wordWrap/>
              <w:overflowPunct/>
              <w:topLinePunct w:val="0"/>
              <w:bidi w:val="0"/>
              <w:adjustRightInd/>
              <w:snapToGrid/>
              <w:ind w:left="0" w:right="0"/>
              <w:jc w:val="center"/>
              <w:textAlignment w:val="auto"/>
              <w:rPr>
                <w:rFonts w:ascii="Times New Roman" w:hAnsi="Times New Roman" w:cs="Times New Roman"/>
                <w:color w:val="auto"/>
                <w:sz w:val="21"/>
                <w:szCs w:val="21"/>
                <w:highlight w:val="none"/>
              </w:rPr>
            </w:pPr>
          </w:p>
        </w:tc>
        <w:tc>
          <w:tcPr>
            <w:tcW w:w="1419" w:type="dxa"/>
            <w:tcBorders>
              <w:tl2br w:val="nil"/>
              <w:tr2bl w:val="nil"/>
            </w:tcBorders>
            <w:vAlign w:val="center"/>
          </w:tcPr>
          <w:p w14:paraId="2AAA62C7">
            <w:pPr>
              <w:keepNext w:val="0"/>
              <w:keepLines w:val="0"/>
              <w:pageBreakBefore w:val="0"/>
              <w:kinsoku/>
              <w:wordWrap/>
              <w:overflowPunct/>
              <w:topLinePunct w:val="0"/>
              <w:bidi w:val="0"/>
              <w:adjustRightInd/>
              <w:snapToGrid/>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超标率（%）</w:t>
            </w:r>
          </w:p>
        </w:tc>
        <w:tc>
          <w:tcPr>
            <w:tcW w:w="878" w:type="dxa"/>
            <w:tcBorders>
              <w:tl2br w:val="nil"/>
              <w:tr2bl w:val="nil"/>
            </w:tcBorders>
            <w:vAlign w:val="center"/>
          </w:tcPr>
          <w:p w14:paraId="288F259B">
            <w:pPr>
              <w:keepNext w:val="0"/>
              <w:keepLines w:val="0"/>
              <w:pageBreakBefore w:val="0"/>
              <w:kinsoku/>
              <w:wordWrap/>
              <w:overflowPunct/>
              <w:topLinePunct w:val="0"/>
              <w:bidi w:val="0"/>
              <w:adjustRightInd/>
              <w:snapToGrid/>
              <w:ind w:left="0" w:right="0"/>
              <w:jc w:val="center"/>
              <w:textAlignment w:val="auto"/>
              <w:rPr>
                <w:rFonts w:ascii="Times New Roman" w:hAnsi="Times New Roman" w:cs="Times New Roman"/>
                <w:color w:val="auto"/>
                <w:sz w:val="21"/>
                <w:szCs w:val="21"/>
                <w:highlight w:val="none"/>
                <w:lang w:bidi="ar"/>
              </w:rPr>
            </w:pPr>
            <w:r>
              <w:rPr>
                <w:rFonts w:hint="eastAsia" w:ascii="Times New Roman" w:hAnsi="Times New Roman" w:cs="Times New Roman"/>
                <w:color w:val="auto"/>
                <w:sz w:val="21"/>
                <w:szCs w:val="21"/>
                <w:highlight w:val="none"/>
                <w:lang w:bidi="ar"/>
              </w:rPr>
              <w:t>0</w:t>
            </w:r>
          </w:p>
        </w:tc>
        <w:tc>
          <w:tcPr>
            <w:tcW w:w="895" w:type="dxa"/>
            <w:tcBorders>
              <w:tl2br w:val="nil"/>
              <w:tr2bl w:val="nil"/>
            </w:tcBorders>
            <w:vAlign w:val="center"/>
          </w:tcPr>
          <w:p w14:paraId="107F3FB2">
            <w:pPr>
              <w:keepNext w:val="0"/>
              <w:keepLines w:val="0"/>
              <w:pageBreakBefore w:val="0"/>
              <w:kinsoku/>
              <w:wordWrap/>
              <w:overflowPunct/>
              <w:topLinePunct w:val="0"/>
              <w:bidi w:val="0"/>
              <w:adjustRightInd/>
              <w:snapToGrid/>
              <w:ind w:left="0" w:right="0"/>
              <w:jc w:val="center"/>
              <w:textAlignment w:val="auto"/>
              <w:rPr>
                <w:rFonts w:ascii="Times New Roman" w:hAnsi="Times New Roman" w:cs="Times New Roman"/>
                <w:color w:val="auto"/>
                <w:sz w:val="21"/>
                <w:szCs w:val="21"/>
                <w:highlight w:val="none"/>
                <w:lang w:bidi="ar"/>
              </w:rPr>
            </w:pPr>
            <w:r>
              <w:rPr>
                <w:rFonts w:hint="eastAsia" w:ascii="Times New Roman" w:hAnsi="Times New Roman" w:cs="Times New Roman"/>
                <w:color w:val="auto"/>
                <w:sz w:val="21"/>
                <w:szCs w:val="21"/>
                <w:highlight w:val="none"/>
                <w:lang w:bidi="ar"/>
              </w:rPr>
              <w:t>0</w:t>
            </w:r>
          </w:p>
        </w:tc>
        <w:tc>
          <w:tcPr>
            <w:tcW w:w="930" w:type="dxa"/>
            <w:tcBorders>
              <w:tl2br w:val="nil"/>
              <w:tr2bl w:val="nil"/>
            </w:tcBorders>
            <w:vAlign w:val="center"/>
          </w:tcPr>
          <w:p w14:paraId="44C23D45">
            <w:pPr>
              <w:keepNext w:val="0"/>
              <w:keepLines w:val="0"/>
              <w:pageBreakBefore w:val="0"/>
              <w:kinsoku/>
              <w:wordWrap/>
              <w:overflowPunct/>
              <w:topLinePunct w:val="0"/>
              <w:bidi w:val="0"/>
              <w:adjustRightInd/>
              <w:snapToGrid/>
              <w:ind w:left="0" w:right="0"/>
              <w:jc w:val="center"/>
              <w:textAlignment w:val="auto"/>
              <w:rPr>
                <w:rFonts w:ascii="Times New Roman" w:hAnsi="Times New Roman" w:cs="Times New Roman"/>
                <w:color w:val="auto"/>
                <w:sz w:val="21"/>
                <w:szCs w:val="21"/>
                <w:highlight w:val="none"/>
                <w:lang w:bidi="ar"/>
              </w:rPr>
            </w:pPr>
            <w:r>
              <w:rPr>
                <w:rFonts w:hint="eastAsia" w:ascii="Times New Roman" w:hAnsi="Times New Roman" w:cs="Times New Roman"/>
                <w:color w:val="auto"/>
                <w:sz w:val="21"/>
                <w:szCs w:val="21"/>
                <w:highlight w:val="none"/>
                <w:lang w:bidi="ar"/>
              </w:rPr>
              <w:t>0</w:t>
            </w:r>
          </w:p>
        </w:tc>
        <w:tc>
          <w:tcPr>
            <w:tcW w:w="795" w:type="dxa"/>
            <w:tcBorders>
              <w:tl2br w:val="nil"/>
              <w:tr2bl w:val="nil"/>
            </w:tcBorders>
            <w:vAlign w:val="center"/>
          </w:tcPr>
          <w:p w14:paraId="6A7EE1F8">
            <w:pPr>
              <w:keepNext w:val="0"/>
              <w:keepLines w:val="0"/>
              <w:pageBreakBefore w:val="0"/>
              <w:kinsoku/>
              <w:wordWrap/>
              <w:overflowPunct/>
              <w:topLinePunct w:val="0"/>
              <w:bidi w:val="0"/>
              <w:adjustRightInd/>
              <w:snapToGrid/>
              <w:ind w:left="0" w:right="0"/>
              <w:jc w:val="center"/>
              <w:textAlignment w:val="auto"/>
              <w:rPr>
                <w:rFonts w:ascii="Times New Roman" w:hAnsi="Times New Roman" w:cs="Times New Roman"/>
                <w:color w:val="auto"/>
                <w:sz w:val="21"/>
                <w:szCs w:val="21"/>
                <w:highlight w:val="none"/>
                <w:lang w:bidi="ar"/>
              </w:rPr>
            </w:pPr>
            <w:r>
              <w:rPr>
                <w:rFonts w:hint="eastAsia" w:ascii="Times New Roman" w:hAnsi="Times New Roman" w:cs="Times New Roman"/>
                <w:color w:val="auto"/>
                <w:sz w:val="21"/>
                <w:szCs w:val="21"/>
                <w:highlight w:val="none"/>
                <w:lang w:bidi="ar"/>
              </w:rPr>
              <w:t>0</w:t>
            </w:r>
          </w:p>
        </w:tc>
        <w:tc>
          <w:tcPr>
            <w:tcW w:w="815" w:type="dxa"/>
            <w:tcBorders>
              <w:tl2br w:val="nil"/>
              <w:tr2bl w:val="nil"/>
            </w:tcBorders>
            <w:vAlign w:val="center"/>
          </w:tcPr>
          <w:p w14:paraId="68943C8A">
            <w:pPr>
              <w:keepNext w:val="0"/>
              <w:keepLines w:val="0"/>
              <w:pageBreakBefore w:val="0"/>
              <w:kinsoku/>
              <w:wordWrap/>
              <w:overflowPunct/>
              <w:topLinePunct w:val="0"/>
              <w:bidi w:val="0"/>
              <w:adjustRightInd/>
              <w:snapToGrid/>
              <w:ind w:left="0" w:right="0"/>
              <w:jc w:val="center"/>
              <w:textAlignment w:val="auto"/>
              <w:rPr>
                <w:rFonts w:ascii="Times New Roman" w:hAnsi="Times New Roman" w:cs="Times New Roman"/>
                <w:color w:val="auto"/>
                <w:sz w:val="21"/>
                <w:szCs w:val="21"/>
                <w:highlight w:val="none"/>
                <w:lang w:bidi="ar"/>
              </w:rPr>
            </w:pPr>
            <w:r>
              <w:rPr>
                <w:rFonts w:hint="eastAsia" w:ascii="Times New Roman" w:hAnsi="Times New Roman" w:cs="Times New Roman"/>
                <w:color w:val="auto"/>
                <w:sz w:val="21"/>
                <w:szCs w:val="21"/>
                <w:highlight w:val="none"/>
                <w:lang w:bidi="ar"/>
              </w:rPr>
              <w:t>0</w:t>
            </w:r>
          </w:p>
        </w:tc>
        <w:tc>
          <w:tcPr>
            <w:tcW w:w="815" w:type="dxa"/>
            <w:tcBorders>
              <w:tl2br w:val="nil"/>
              <w:tr2bl w:val="nil"/>
            </w:tcBorders>
            <w:vAlign w:val="center"/>
          </w:tcPr>
          <w:p w14:paraId="3E026227">
            <w:pPr>
              <w:keepNext w:val="0"/>
              <w:keepLines w:val="0"/>
              <w:pageBreakBefore w:val="0"/>
              <w:kinsoku/>
              <w:wordWrap/>
              <w:overflowPunct/>
              <w:topLinePunct w:val="0"/>
              <w:bidi w:val="0"/>
              <w:adjustRightInd/>
              <w:snapToGrid/>
              <w:ind w:left="0" w:right="0"/>
              <w:jc w:val="center"/>
              <w:textAlignment w:val="auto"/>
              <w:rPr>
                <w:rFonts w:ascii="Times New Roman" w:hAnsi="Times New Roman" w:cs="Times New Roman"/>
                <w:color w:val="auto"/>
                <w:sz w:val="21"/>
                <w:szCs w:val="21"/>
                <w:highlight w:val="none"/>
                <w:lang w:bidi="ar"/>
              </w:rPr>
            </w:pPr>
            <w:r>
              <w:rPr>
                <w:rFonts w:hint="eastAsia" w:ascii="Times New Roman" w:hAnsi="Times New Roman" w:cs="Times New Roman"/>
                <w:color w:val="auto"/>
                <w:sz w:val="21"/>
                <w:szCs w:val="21"/>
                <w:highlight w:val="none"/>
                <w:lang w:bidi="ar"/>
              </w:rPr>
              <w:t>0</w:t>
            </w:r>
          </w:p>
        </w:tc>
        <w:tc>
          <w:tcPr>
            <w:tcW w:w="817" w:type="dxa"/>
            <w:tcBorders>
              <w:tl2br w:val="nil"/>
              <w:tr2bl w:val="nil"/>
            </w:tcBorders>
            <w:vAlign w:val="center"/>
          </w:tcPr>
          <w:p w14:paraId="754BE27A">
            <w:pPr>
              <w:keepNext w:val="0"/>
              <w:keepLines w:val="0"/>
              <w:pageBreakBefore w:val="0"/>
              <w:kinsoku/>
              <w:wordWrap/>
              <w:overflowPunct/>
              <w:topLinePunct w:val="0"/>
              <w:bidi w:val="0"/>
              <w:adjustRightInd/>
              <w:snapToGrid/>
              <w:ind w:left="0" w:right="0"/>
              <w:jc w:val="center"/>
              <w:textAlignment w:val="auto"/>
              <w:rPr>
                <w:rFonts w:ascii="Times New Roman" w:hAnsi="Times New Roman" w:cs="Times New Roman"/>
                <w:color w:val="auto"/>
                <w:sz w:val="21"/>
                <w:szCs w:val="21"/>
                <w:highlight w:val="none"/>
                <w:lang w:bidi="ar"/>
              </w:rPr>
            </w:pPr>
            <w:r>
              <w:rPr>
                <w:rFonts w:hint="eastAsia" w:ascii="Times New Roman" w:hAnsi="Times New Roman" w:cs="Times New Roman"/>
                <w:color w:val="auto"/>
                <w:sz w:val="21"/>
                <w:szCs w:val="21"/>
                <w:highlight w:val="none"/>
                <w:lang w:bidi="ar"/>
              </w:rPr>
              <w:t>100</w:t>
            </w:r>
          </w:p>
        </w:tc>
      </w:tr>
      <w:tr w14:paraId="2559388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56" w:type="dxa"/>
            <w:vMerge w:val="restart"/>
            <w:tcBorders>
              <w:tl2br w:val="nil"/>
              <w:tr2bl w:val="nil"/>
            </w:tcBorders>
            <w:vAlign w:val="center"/>
          </w:tcPr>
          <w:p w14:paraId="2F4AA6C5">
            <w:pPr>
              <w:keepNext w:val="0"/>
              <w:keepLines w:val="0"/>
              <w:pageBreakBefore w:val="0"/>
              <w:kinsoku/>
              <w:wordWrap/>
              <w:overflowPunct/>
              <w:topLinePunct w:val="0"/>
              <w:autoSpaceDE w:val="0"/>
              <w:autoSpaceDN w:val="0"/>
              <w:bidi w:val="0"/>
              <w:adjustRightInd/>
              <w:snapToGrid/>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kern w:val="2"/>
                <w:sz w:val="21"/>
                <w:szCs w:val="21"/>
                <w:highlight w:val="none"/>
              </w:rPr>
              <w:t>W3无锡市锡山云林污水处理有限公司厂排污口下游1000m处</w:t>
            </w:r>
          </w:p>
        </w:tc>
        <w:tc>
          <w:tcPr>
            <w:tcW w:w="1419" w:type="dxa"/>
            <w:tcBorders>
              <w:tl2br w:val="nil"/>
              <w:tr2bl w:val="nil"/>
            </w:tcBorders>
            <w:vAlign w:val="center"/>
          </w:tcPr>
          <w:p w14:paraId="6056BFEF">
            <w:pPr>
              <w:keepNext w:val="0"/>
              <w:keepLines w:val="0"/>
              <w:pageBreakBefore w:val="0"/>
              <w:kinsoku/>
              <w:wordWrap/>
              <w:overflowPunct/>
              <w:topLinePunct w:val="0"/>
              <w:bidi w:val="0"/>
              <w:adjustRightInd/>
              <w:snapToGrid/>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监测范围</w:t>
            </w:r>
          </w:p>
        </w:tc>
        <w:tc>
          <w:tcPr>
            <w:tcW w:w="878" w:type="dxa"/>
            <w:tcBorders>
              <w:tl2br w:val="nil"/>
              <w:tr2bl w:val="nil"/>
            </w:tcBorders>
            <w:vAlign w:val="center"/>
          </w:tcPr>
          <w:p w14:paraId="38302B7E">
            <w:pPr>
              <w:keepNext w:val="0"/>
              <w:keepLines w:val="0"/>
              <w:pageBreakBefore w:val="0"/>
              <w:kinsoku/>
              <w:wordWrap/>
              <w:overflowPunct/>
              <w:topLinePunct w:val="0"/>
              <w:bidi w:val="0"/>
              <w:adjustRightInd/>
              <w:snapToGrid/>
              <w:ind w:left="0" w:right="0"/>
              <w:jc w:val="center"/>
              <w:textAlignment w:val="auto"/>
              <w:rPr>
                <w:rFonts w:ascii="Times New Roman" w:hAnsi="Times New Roman" w:cs="Times New Roman"/>
                <w:color w:val="auto"/>
                <w:sz w:val="21"/>
                <w:szCs w:val="21"/>
                <w:highlight w:val="none"/>
                <w:lang w:bidi="ar"/>
              </w:rPr>
            </w:pPr>
            <w:r>
              <w:rPr>
                <w:rFonts w:hint="eastAsia" w:ascii="Times New Roman" w:hAnsi="Times New Roman" w:cs="Times New Roman"/>
                <w:color w:val="auto"/>
                <w:sz w:val="21"/>
                <w:szCs w:val="21"/>
                <w:highlight w:val="none"/>
                <w:lang w:bidi="ar"/>
              </w:rPr>
              <w:t>7.4-7.6</w:t>
            </w:r>
          </w:p>
        </w:tc>
        <w:tc>
          <w:tcPr>
            <w:tcW w:w="895" w:type="dxa"/>
            <w:tcBorders>
              <w:tl2br w:val="nil"/>
              <w:tr2bl w:val="nil"/>
            </w:tcBorders>
            <w:vAlign w:val="center"/>
          </w:tcPr>
          <w:p w14:paraId="0BD88EB8">
            <w:pPr>
              <w:keepNext w:val="0"/>
              <w:keepLines w:val="0"/>
              <w:pageBreakBefore w:val="0"/>
              <w:kinsoku/>
              <w:wordWrap/>
              <w:overflowPunct/>
              <w:topLinePunct w:val="0"/>
              <w:bidi w:val="0"/>
              <w:adjustRightInd/>
              <w:snapToGrid/>
              <w:ind w:left="0" w:right="0"/>
              <w:jc w:val="center"/>
              <w:textAlignment w:val="auto"/>
              <w:rPr>
                <w:rFonts w:ascii="Times New Roman" w:hAnsi="Times New Roman" w:cs="Times New Roman"/>
                <w:color w:val="auto"/>
                <w:sz w:val="21"/>
                <w:szCs w:val="21"/>
                <w:highlight w:val="none"/>
                <w:lang w:bidi="ar"/>
              </w:rPr>
            </w:pPr>
            <w:r>
              <w:rPr>
                <w:rFonts w:hint="eastAsia" w:ascii="Times New Roman" w:hAnsi="Times New Roman" w:cs="Times New Roman"/>
                <w:color w:val="auto"/>
                <w:sz w:val="21"/>
                <w:szCs w:val="21"/>
                <w:highlight w:val="none"/>
                <w:lang w:bidi="ar"/>
              </w:rPr>
              <w:t>6.5-6.8</w:t>
            </w:r>
          </w:p>
        </w:tc>
        <w:tc>
          <w:tcPr>
            <w:tcW w:w="930" w:type="dxa"/>
            <w:tcBorders>
              <w:tl2br w:val="nil"/>
              <w:tr2bl w:val="nil"/>
            </w:tcBorders>
            <w:vAlign w:val="center"/>
          </w:tcPr>
          <w:p w14:paraId="4F2FFCD6">
            <w:pPr>
              <w:keepNext w:val="0"/>
              <w:keepLines w:val="0"/>
              <w:pageBreakBefore w:val="0"/>
              <w:kinsoku/>
              <w:wordWrap/>
              <w:overflowPunct/>
              <w:topLinePunct w:val="0"/>
              <w:bidi w:val="0"/>
              <w:adjustRightInd/>
              <w:snapToGrid/>
              <w:ind w:left="0" w:right="0"/>
              <w:jc w:val="center"/>
              <w:textAlignment w:val="auto"/>
              <w:rPr>
                <w:rFonts w:ascii="Times New Roman" w:hAnsi="Times New Roman" w:cs="Times New Roman"/>
                <w:color w:val="auto"/>
                <w:sz w:val="21"/>
                <w:szCs w:val="21"/>
                <w:highlight w:val="none"/>
                <w:lang w:bidi="ar"/>
              </w:rPr>
            </w:pPr>
            <w:r>
              <w:rPr>
                <w:rFonts w:hint="eastAsia" w:ascii="Times New Roman" w:hAnsi="Times New Roman" w:cs="Times New Roman"/>
                <w:color w:val="auto"/>
                <w:sz w:val="21"/>
                <w:szCs w:val="21"/>
                <w:highlight w:val="none"/>
                <w:lang w:bidi="ar"/>
              </w:rPr>
              <w:t>16-19</w:t>
            </w:r>
          </w:p>
        </w:tc>
        <w:tc>
          <w:tcPr>
            <w:tcW w:w="795" w:type="dxa"/>
            <w:tcBorders>
              <w:tl2br w:val="nil"/>
              <w:tr2bl w:val="nil"/>
            </w:tcBorders>
            <w:vAlign w:val="center"/>
          </w:tcPr>
          <w:p w14:paraId="5C38FA09">
            <w:pPr>
              <w:keepNext w:val="0"/>
              <w:keepLines w:val="0"/>
              <w:pageBreakBefore w:val="0"/>
              <w:kinsoku/>
              <w:wordWrap/>
              <w:overflowPunct/>
              <w:topLinePunct w:val="0"/>
              <w:bidi w:val="0"/>
              <w:adjustRightInd/>
              <w:snapToGrid/>
              <w:ind w:left="0" w:right="0"/>
              <w:jc w:val="center"/>
              <w:textAlignment w:val="auto"/>
              <w:rPr>
                <w:rFonts w:ascii="Times New Roman" w:hAnsi="Times New Roman" w:cs="Times New Roman"/>
                <w:color w:val="auto"/>
                <w:sz w:val="21"/>
                <w:szCs w:val="21"/>
                <w:highlight w:val="none"/>
                <w:lang w:bidi="ar"/>
              </w:rPr>
            </w:pPr>
            <w:r>
              <w:rPr>
                <w:rFonts w:hint="eastAsia" w:ascii="Times New Roman" w:hAnsi="Times New Roman" w:cs="Times New Roman"/>
                <w:color w:val="auto"/>
                <w:sz w:val="21"/>
                <w:szCs w:val="21"/>
                <w:highlight w:val="none"/>
                <w:lang w:bidi="ar"/>
              </w:rPr>
              <w:t>15-20</w:t>
            </w:r>
          </w:p>
        </w:tc>
        <w:tc>
          <w:tcPr>
            <w:tcW w:w="815" w:type="dxa"/>
            <w:tcBorders>
              <w:tl2br w:val="nil"/>
              <w:tr2bl w:val="nil"/>
            </w:tcBorders>
            <w:vAlign w:val="center"/>
          </w:tcPr>
          <w:p w14:paraId="641F362A">
            <w:pPr>
              <w:keepNext w:val="0"/>
              <w:keepLines w:val="0"/>
              <w:pageBreakBefore w:val="0"/>
              <w:kinsoku/>
              <w:wordWrap/>
              <w:overflowPunct/>
              <w:topLinePunct w:val="0"/>
              <w:bidi w:val="0"/>
              <w:adjustRightInd/>
              <w:snapToGrid/>
              <w:ind w:left="0" w:right="0"/>
              <w:jc w:val="center"/>
              <w:textAlignment w:val="auto"/>
              <w:rPr>
                <w:rFonts w:ascii="Times New Roman" w:hAnsi="Times New Roman" w:cs="Times New Roman"/>
                <w:color w:val="auto"/>
                <w:sz w:val="21"/>
                <w:szCs w:val="21"/>
                <w:highlight w:val="none"/>
                <w:lang w:bidi="ar"/>
              </w:rPr>
            </w:pPr>
            <w:r>
              <w:rPr>
                <w:rFonts w:hint="eastAsia" w:ascii="Times New Roman" w:hAnsi="Times New Roman" w:cs="Times New Roman"/>
                <w:color w:val="auto"/>
                <w:sz w:val="21"/>
                <w:szCs w:val="21"/>
                <w:highlight w:val="none"/>
                <w:lang w:bidi="ar"/>
              </w:rPr>
              <w:t>0.283-0.596</w:t>
            </w:r>
          </w:p>
        </w:tc>
        <w:tc>
          <w:tcPr>
            <w:tcW w:w="815" w:type="dxa"/>
            <w:tcBorders>
              <w:tl2br w:val="nil"/>
              <w:tr2bl w:val="nil"/>
            </w:tcBorders>
            <w:vAlign w:val="center"/>
          </w:tcPr>
          <w:p w14:paraId="467D98BC">
            <w:pPr>
              <w:keepNext w:val="0"/>
              <w:keepLines w:val="0"/>
              <w:pageBreakBefore w:val="0"/>
              <w:kinsoku/>
              <w:wordWrap/>
              <w:overflowPunct/>
              <w:topLinePunct w:val="0"/>
              <w:bidi w:val="0"/>
              <w:adjustRightInd/>
              <w:snapToGrid/>
              <w:ind w:left="0" w:right="0"/>
              <w:jc w:val="center"/>
              <w:textAlignment w:val="auto"/>
              <w:rPr>
                <w:rFonts w:ascii="Times New Roman" w:hAnsi="Times New Roman" w:cs="Times New Roman"/>
                <w:color w:val="auto"/>
                <w:sz w:val="21"/>
                <w:szCs w:val="21"/>
                <w:highlight w:val="none"/>
                <w:lang w:bidi="ar"/>
              </w:rPr>
            </w:pPr>
            <w:r>
              <w:rPr>
                <w:rFonts w:hint="eastAsia" w:ascii="Times New Roman" w:hAnsi="Times New Roman" w:cs="Times New Roman"/>
                <w:color w:val="auto"/>
                <w:sz w:val="21"/>
                <w:szCs w:val="21"/>
                <w:highlight w:val="none"/>
                <w:lang w:bidi="ar"/>
              </w:rPr>
              <w:t>0.09-0.13</w:t>
            </w:r>
          </w:p>
        </w:tc>
        <w:tc>
          <w:tcPr>
            <w:tcW w:w="817" w:type="dxa"/>
            <w:tcBorders>
              <w:tl2br w:val="nil"/>
              <w:tr2bl w:val="nil"/>
            </w:tcBorders>
            <w:vAlign w:val="center"/>
          </w:tcPr>
          <w:p w14:paraId="29E59A19">
            <w:pPr>
              <w:keepNext w:val="0"/>
              <w:keepLines w:val="0"/>
              <w:pageBreakBefore w:val="0"/>
              <w:kinsoku/>
              <w:wordWrap/>
              <w:overflowPunct/>
              <w:topLinePunct w:val="0"/>
              <w:bidi w:val="0"/>
              <w:adjustRightInd/>
              <w:snapToGrid/>
              <w:ind w:left="0" w:right="0"/>
              <w:jc w:val="center"/>
              <w:textAlignment w:val="auto"/>
              <w:rPr>
                <w:rFonts w:ascii="Times New Roman" w:hAnsi="Times New Roman" w:cs="Times New Roman"/>
                <w:color w:val="auto"/>
                <w:sz w:val="21"/>
                <w:szCs w:val="21"/>
                <w:highlight w:val="none"/>
                <w:lang w:bidi="ar"/>
              </w:rPr>
            </w:pPr>
            <w:r>
              <w:rPr>
                <w:rFonts w:hint="eastAsia" w:ascii="Times New Roman" w:hAnsi="Times New Roman" w:cs="Times New Roman"/>
                <w:color w:val="auto"/>
                <w:sz w:val="21"/>
                <w:szCs w:val="21"/>
                <w:highlight w:val="none"/>
                <w:lang w:bidi="ar"/>
              </w:rPr>
              <w:t>1.6-3.33</w:t>
            </w:r>
          </w:p>
        </w:tc>
      </w:tr>
      <w:tr w14:paraId="4E219C6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56" w:type="dxa"/>
            <w:vMerge w:val="continue"/>
            <w:tcBorders>
              <w:tl2br w:val="nil"/>
              <w:tr2bl w:val="nil"/>
            </w:tcBorders>
            <w:vAlign w:val="center"/>
          </w:tcPr>
          <w:p w14:paraId="5428BBD0">
            <w:pPr>
              <w:keepNext w:val="0"/>
              <w:keepLines w:val="0"/>
              <w:pageBreakBefore w:val="0"/>
              <w:kinsoku/>
              <w:wordWrap/>
              <w:overflowPunct/>
              <w:topLinePunct w:val="0"/>
              <w:bidi w:val="0"/>
              <w:adjustRightInd/>
              <w:snapToGrid/>
              <w:ind w:left="0" w:right="0"/>
              <w:jc w:val="center"/>
              <w:textAlignment w:val="auto"/>
              <w:rPr>
                <w:rFonts w:ascii="Times New Roman" w:hAnsi="Times New Roman" w:cs="Times New Roman"/>
                <w:color w:val="auto"/>
                <w:sz w:val="21"/>
                <w:szCs w:val="21"/>
                <w:highlight w:val="none"/>
              </w:rPr>
            </w:pPr>
          </w:p>
        </w:tc>
        <w:tc>
          <w:tcPr>
            <w:tcW w:w="1419" w:type="dxa"/>
            <w:tcBorders>
              <w:tl2br w:val="nil"/>
              <w:tr2bl w:val="nil"/>
            </w:tcBorders>
            <w:vAlign w:val="center"/>
          </w:tcPr>
          <w:p w14:paraId="3DEF79AE">
            <w:pPr>
              <w:keepNext w:val="0"/>
              <w:keepLines w:val="0"/>
              <w:pageBreakBefore w:val="0"/>
              <w:kinsoku/>
              <w:wordWrap/>
              <w:overflowPunct/>
              <w:topLinePunct w:val="0"/>
              <w:bidi w:val="0"/>
              <w:adjustRightInd/>
              <w:snapToGrid/>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平均值</w:t>
            </w:r>
          </w:p>
        </w:tc>
        <w:tc>
          <w:tcPr>
            <w:tcW w:w="878" w:type="dxa"/>
            <w:tcBorders>
              <w:tl2br w:val="nil"/>
              <w:tr2bl w:val="nil"/>
            </w:tcBorders>
            <w:vAlign w:val="center"/>
          </w:tcPr>
          <w:p w14:paraId="3D5400AC">
            <w:pPr>
              <w:keepNext w:val="0"/>
              <w:keepLines w:val="0"/>
              <w:pageBreakBefore w:val="0"/>
              <w:kinsoku/>
              <w:wordWrap/>
              <w:overflowPunct/>
              <w:topLinePunct w:val="0"/>
              <w:bidi w:val="0"/>
              <w:adjustRightInd/>
              <w:snapToGrid/>
              <w:ind w:left="0" w:right="0"/>
              <w:jc w:val="center"/>
              <w:textAlignment w:val="auto"/>
              <w:rPr>
                <w:rFonts w:ascii="Times New Roman" w:hAnsi="Times New Roman" w:cs="Times New Roman"/>
                <w:color w:val="auto"/>
                <w:sz w:val="21"/>
                <w:szCs w:val="21"/>
                <w:highlight w:val="none"/>
                <w:lang w:bidi="ar"/>
              </w:rPr>
            </w:pPr>
            <w:r>
              <w:rPr>
                <w:rFonts w:hint="eastAsia" w:ascii="Times New Roman" w:hAnsi="Times New Roman" w:cs="Times New Roman"/>
                <w:color w:val="auto"/>
                <w:sz w:val="21"/>
                <w:szCs w:val="21"/>
                <w:highlight w:val="none"/>
                <w:lang w:bidi="ar"/>
              </w:rPr>
              <w:t>7.52</w:t>
            </w:r>
          </w:p>
        </w:tc>
        <w:tc>
          <w:tcPr>
            <w:tcW w:w="895" w:type="dxa"/>
            <w:tcBorders>
              <w:tl2br w:val="nil"/>
              <w:tr2bl w:val="nil"/>
            </w:tcBorders>
            <w:vAlign w:val="center"/>
          </w:tcPr>
          <w:p w14:paraId="72384708">
            <w:pPr>
              <w:keepNext w:val="0"/>
              <w:keepLines w:val="0"/>
              <w:pageBreakBefore w:val="0"/>
              <w:kinsoku/>
              <w:wordWrap/>
              <w:overflowPunct/>
              <w:topLinePunct w:val="0"/>
              <w:bidi w:val="0"/>
              <w:adjustRightInd/>
              <w:snapToGrid/>
              <w:ind w:left="0" w:right="0"/>
              <w:jc w:val="center"/>
              <w:textAlignment w:val="auto"/>
              <w:rPr>
                <w:rFonts w:ascii="Times New Roman" w:hAnsi="Times New Roman" w:cs="Times New Roman"/>
                <w:color w:val="auto"/>
                <w:sz w:val="21"/>
                <w:szCs w:val="21"/>
                <w:highlight w:val="none"/>
                <w:lang w:bidi="ar"/>
              </w:rPr>
            </w:pPr>
            <w:r>
              <w:rPr>
                <w:rFonts w:hint="eastAsia" w:ascii="Times New Roman" w:hAnsi="Times New Roman" w:cs="Times New Roman"/>
                <w:color w:val="auto"/>
                <w:sz w:val="21"/>
                <w:szCs w:val="21"/>
                <w:highlight w:val="none"/>
                <w:lang w:bidi="ar"/>
              </w:rPr>
              <w:t>6.63</w:t>
            </w:r>
          </w:p>
        </w:tc>
        <w:tc>
          <w:tcPr>
            <w:tcW w:w="930" w:type="dxa"/>
            <w:tcBorders>
              <w:tl2br w:val="nil"/>
              <w:tr2bl w:val="nil"/>
            </w:tcBorders>
            <w:vAlign w:val="center"/>
          </w:tcPr>
          <w:p w14:paraId="5364504F">
            <w:pPr>
              <w:keepNext w:val="0"/>
              <w:keepLines w:val="0"/>
              <w:pageBreakBefore w:val="0"/>
              <w:kinsoku/>
              <w:wordWrap/>
              <w:overflowPunct/>
              <w:topLinePunct w:val="0"/>
              <w:bidi w:val="0"/>
              <w:adjustRightInd/>
              <w:snapToGrid/>
              <w:ind w:left="0" w:right="0"/>
              <w:jc w:val="center"/>
              <w:textAlignment w:val="auto"/>
              <w:rPr>
                <w:rFonts w:ascii="Times New Roman" w:hAnsi="Times New Roman" w:cs="Times New Roman"/>
                <w:color w:val="auto"/>
                <w:sz w:val="21"/>
                <w:szCs w:val="21"/>
                <w:highlight w:val="none"/>
                <w:lang w:bidi="ar"/>
              </w:rPr>
            </w:pPr>
            <w:r>
              <w:rPr>
                <w:rFonts w:hint="eastAsia" w:ascii="Times New Roman" w:hAnsi="Times New Roman" w:cs="Times New Roman"/>
                <w:color w:val="auto"/>
                <w:sz w:val="21"/>
                <w:szCs w:val="21"/>
                <w:highlight w:val="none"/>
                <w:lang w:bidi="ar"/>
              </w:rPr>
              <w:t>17</w:t>
            </w:r>
          </w:p>
        </w:tc>
        <w:tc>
          <w:tcPr>
            <w:tcW w:w="795" w:type="dxa"/>
            <w:tcBorders>
              <w:tl2br w:val="nil"/>
              <w:tr2bl w:val="nil"/>
            </w:tcBorders>
            <w:vAlign w:val="center"/>
          </w:tcPr>
          <w:p w14:paraId="664EE1C6">
            <w:pPr>
              <w:keepNext w:val="0"/>
              <w:keepLines w:val="0"/>
              <w:pageBreakBefore w:val="0"/>
              <w:kinsoku/>
              <w:wordWrap/>
              <w:overflowPunct/>
              <w:topLinePunct w:val="0"/>
              <w:bidi w:val="0"/>
              <w:adjustRightInd/>
              <w:snapToGrid/>
              <w:ind w:left="0" w:right="0"/>
              <w:jc w:val="center"/>
              <w:textAlignment w:val="auto"/>
              <w:rPr>
                <w:rFonts w:ascii="Times New Roman" w:hAnsi="Times New Roman" w:cs="Times New Roman"/>
                <w:color w:val="auto"/>
                <w:sz w:val="21"/>
                <w:szCs w:val="21"/>
                <w:highlight w:val="none"/>
                <w:lang w:bidi="ar"/>
              </w:rPr>
            </w:pPr>
            <w:r>
              <w:rPr>
                <w:rFonts w:hint="eastAsia" w:ascii="Times New Roman" w:hAnsi="Times New Roman" w:cs="Times New Roman"/>
                <w:color w:val="auto"/>
                <w:sz w:val="21"/>
                <w:szCs w:val="21"/>
                <w:highlight w:val="none"/>
                <w:lang w:bidi="ar"/>
              </w:rPr>
              <w:t>16.67</w:t>
            </w:r>
          </w:p>
        </w:tc>
        <w:tc>
          <w:tcPr>
            <w:tcW w:w="815" w:type="dxa"/>
            <w:tcBorders>
              <w:tl2br w:val="nil"/>
              <w:tr2bl w:val="nil"/>
            </w:tcBorders>
            <w:vAlign w:val="center"/>
          </w:tcPr>
          <w:p w14:paraId="7C47030A">
            <w:pPr>
              <w:keepNext w:val="0"/>
              <w:keepLines w:val="0"/>
              <w:pageBreakBefore w:val="0"/>
              <w:kinsoku/>
              <w:wordWrap/>
              <w:overflowPunct/>
              <w:topLinePunct w:val="0"/>
              <w:bidi w:val="0"/>
              <w:adjustRightInd/>
              <w:snapToGrid/>
              <w:ind w:left="0" w:right="0"/>
              <w:jc w:val="center"/>
              <w:textAlignment w:val="auto"/>
              <w:rPr>
                <w:rFonts w:ascii="Times New Roman" w:hAnsi="Times New Roman" w:cs="Times New Roman"/>
                <w:color w:val="auto"/>
                <w:sz w:val="21"/>
                <w:szCs w:val="21"/>
                <w:highlight w:val="none"/>
                <w:lang w:bidi="ar"/>
              </w:rPr>
            </w:pPr>
            <w:r>
              <w:rPr>
                <w:rFonts w:hint="eastAsia" w:ascii="Times New Roman" w:hAnsi="Times New Roman" w:cs="Times New Roman"/>
                <w:color w:val="auto"/>
                <w:sz w:val="21"/>
                <w:szCs w:val="21"/>
                <w:highlight w:val="none"/>
                <w:lang w:bidi="ar"/>
              </w:rPr>
              <w:t>0.45</w:t>
            </w:r>
          </w:p>
        </w:tc>
        <w:tc>
          <w:tcPr>
            <w:tcW w:w="815" w:type="dxa"/>
            <w:tcBorders>
              <w:tl2br w:val="nil"/>
              <w:tr2bl w:val="nil"/>
            </w:tcBorders>
            <w:vAlign w:val="center"/>
          </w:tcPr>
          <w:p w14:paraId="58C1EBB4">
            <w:pPr>
              <w:keepNext w:val="0"/>
              <w:keepLines w:val="0"/>
              <w:pageBreakBefore w:val="0"/>
              <w:kinsoku/>
              <w:wordWrap/>
              <w:overflowPunct/>
              <w:topLinePunct w:val="0"/>
              <w:bidi w:val="0"/>
              <w:adjustRightInd/>
              <w:snapToGrid/>
              <w:ind w:left="0" w:right="0"/>
              <w:jc w:val="center"/>
              <w:textAlignment w:val="auto"/>
              <w:rPr>
                <w:rFonts w:ascii="Times New Roman" w:hAnsi="Times New Roman" w:cs="Times New Roman"/>
                <w:color w:val="auto"/>
                <w:sz w:val="21"/>
                <w:szCs w:val="21"/>
                <w:highlight w:val="none"/>
                <w:lang w:bidi="ar"/>
              </w:rPr>
            </w:pPr>
            <w:r>
              <w:rPr>
                <w:rFonts w:hint="eastAsia" w:ascii="Times New Roman" w:hAnsi="Times New Roman" w:cs="Times New Roman"/>
                <w:color w:val="auto"/>
                <w:sz w:val="21"/>
                <w:szCs w:val="21"/>
                <w:highlight w:val="none"/>
                <w:lang w:bidi="ar"/>
              </w:rPr>
              <w:t>0.11</w:t>
            </w:r>
          </w:p>
        </w:tc>
        <w:tc>
          <w:tcPr>
            <w:tcW w:w="817" w:type="dxa"/>
            <w:tcBorders>
              <w:tl2br w:val="nil"/>
              <w:tr2bl w:val="nil"/>
            </w:tcBorders>
            <w:vAlign w:val="center"/>
          </w:tcPr>
          <w:p w14:paraId="5AFA1F18">
            <w:pPr>
              <w:keepNext w:val="0"/>
              <w:keepLines w:val="0"/>
              <w:pageBreakBefore w:val="0"/>
              <w:kinsoku/>
              <w:wordWrap/>
              <w:overflowPunct/>
              <w:topLinePunct w:val="0"/>
              <w:bidi w:val="0"/>
              <w:adjustRightInd/>
              <w:snapToGrid/>
              <w:ind w:left="0" w:right="0"/>
              <w:jc w:val="center"/>
              <w:textAlignment w:val="auto"/>
              <w:rPr>
                <w:rFonts w:ascii="Times New Roman" w:hAnsi="Times New Roman" w:cs="Times New Roman"/>
                <w:color w:val="auto"/>
                <w:sz w:val="21"/>
                <w:szCs w:val="21"/>
                <w:highlight w:val="none"/>
                <w:lang w:bidi="ar"/>
              </w:rPr>
            </w:pPr>
            <w:r>
              <w:rPr>
                <w:rFonts w:hint="eastAsia" w:ascii="Times New Roman" w:hAnsi="Times New Roman" w:cs="Times New Roman"/>
                <w:color w:val="auto"/>
                <w:sz w:val="21"/>
                <w:szCs w:val="21"/>
                <w:highlight w:val="none"/>
                <w:lang w:bidi="ar"/>
              </w:rPr>
              <w:t>2.38</w:t>
            </w:r>
          </w:p>
        </w:tc>
      </w:tr>
      <w:tr w14:paraId="3874A1D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56" w:type="dxa"/>
            <w:vMerge w:val="continue"/>
            <w:tcBorders>
              <w:tl2br w:val="nil"/>
              <w:tr2bl w:val="nil"/>
            </w:tcBorders>
            <w:vAlign w:val="center"/>
          </w:tcPr>
          <w:p w14:paraId="31E046ED">
            <w:pPr>
              <w:keepNext w:val="0"/>
              <w:keepLines w:val="0"/>
              <w:pageBreakBefore w:val="0"/>
              <w:kinsoku/>
              <w:wordWrap/>
              <w:overflowPunct/>
              <w:topLinePunct w:val="0"/>
              <w:bidi w:val="0"/>
              <w:adjustRightInd/>
              <w:snapToGrid/>
              <w:ind w:left="0" w:right="0"/>
              <w:jc w:val="center"/>
              <w:textAlignment w:val="auto"/>
              <w:rPr>
                <w:rFonts w:ascii="Times New Roman" w:hAnsi="Times New Roman" w:cs="Times New Roman"/>
                <w:color w:val="auto"/>
                <w:sz w:val="21"/>
                <w:szCs w:val="21"/>
                <w:highlight w:val="none"/>
              </w:rPr>
            </w:pPr>
          </w:p>
        </w:tc>
        <w:tc>
          <w:tcPr>
            <w:tcW w:w="1419" w:type="dxa"/>
            <w:tcBorders>
              <w:tl2br w:val="nil"/>
              <w:tr2bl w:val="nil"/>
            </w:tcBorders>
            <w:vAlign w:val="center"/>
          </w:tcPr>
          <w:p w14:paraId="7C0BA139">
            <w:pPr>
              <w:keepNext w:val="0"/>
              <w:keepLines w:val="0"/>
              <w:pageBreakBefore w:val="0"/>
              <w:kinsoku/>
              <w:wordWrap/>
              <w:overflowPunct/>
              <w:topLinePunct w:val="0"/>
              <w:bidi w:val="0"/>
              <w:adjustRightInd/>
              <w:snapToGrid/>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Ⅲ类标准</w:t>
            </w:r>
          </w:p>
        </w:tc>
        <w:tc>
          <w:tcPr>
            <w:tcW w:w="878" w:type="dxa"/>
            <w:tcBorders>
              <w:tl2br w:val="nil"/>
              <w:tr2bl w:val="nil"/>
            </w:tcBorders>
            <w:vAlign w:val="center"/>
          </w:tcPr>
          <w:p w14:paraId="3E5A468F">
            <w:pPr>
              <w:keepNext w:val="0"/>
              <w:keepLines w:val="0"/>
              <w:pageBreakBefore w:val="0"/>
              <w:kinsoku/>
              <w:wordWrap/>
              <w:overflowPunct/>
              <w:topLinePunct w:val="0"/>
              <w:bidi w:val="0"/>
              <w:adjustRightInd/>
              <w:snapToGrid/>
              <w:ind w:left="0" w:right="0"/>
              <w:jc w:val="center"/>
              <w:textAlignment w:val="auto"/>
              <w:rPr>
                <w:rFonts w:ascii="Times New Roman" w:hAnsi="Times New Roman" w:cs="Times New Roman"/>
                <w:color w:val="auto"/>
                <w:sz w:val="21"/>
                <w:szCs w:val="21"/>
                <w:highlight w:val="none"/>
                <w:lang w:bidi="ar"/>
              </w:rPr>
            </w:pPr>
            <w:r>
              <w:rPr>
                <w:rFonts w:hint="eastAsia" w:ascii="Times New Roman" w:hAnsi="Times New Roman" w:cs="Times New Roman"/>
                <w:color w:val="auto"/>
                <w:sz w:val="21"/>
                <w:szCs w:val="21"/>
                <w:highlight w:val="none"/>
                <w:lang w:bidi="ar"/>
              </w:rPr>
              <w:t>6~9</w:t>
            </w:r>
          </w:p>
        </w:tc>
        <w:tc>
          <w:tcPr>
            <w:tcW w:w="895" w:type="dxa"/>
            <w:tcBorders>
              <w:tl2br w:val="nil"/>
              <w:tr2bl w:val="nil"/>
            </w:tcBorders>
            <w:vAlign w:val="center"/>
          </w:tcPr>
          <w:p w14:paraId="02BE94CD">
            <w:pPr>
              <w:keepNext w:val="0"/>
              <w:keepLines w:val="0"/>
              <w:pageBreakBefore w:val="0"/>
              <w:kinsoku/>
              <w:wordWrap/>
              <w:overflowPunct/>
              <w:topLinePunct w:val="0"/>
              <w:bidi w:val="0"/>
              <w:adjustRightInd/>
              <w:snapToGrid/>
              <w:ind w:left="0" w:right="0"/>
              <w:jc w:val="center"/>
              <w:textAlignment w:val="auto"/>
              <w:rPr>
                <w:rFonts w:ascii="Times New Roman" w:hAnsi="Times New Roman" w:cs="Times New Roman"/>
                <w:color w:val="auto"/>
                <w:sz w:val="21"/>
                <w:szCs w:val="21"/>
                <w:highlight w:val="none"/>
                <w:lang w:bidi="ar"/>
              </w:rPr>
            </w:pPr>
            <w:r>
              <w:rPr>
                <w:rFonts w:hint="eastAsia" w:ascii="Times New Roman" w:hAnsi="Times New Roman" w:cs="Times New Roman"/>
                <w:color w:val="auto"/>
                <w:sz w:val="21"/>
                <w:szCs w:val="21"/>
                <w:highlight w:val="none"/>
                <w:lang w:bidi="ar"/>
              </w:rPr>
              <w:t>5</w:t>
            </w:r>
          </w:p>
        </w:tc>
        <w:tc>
          <w:tcPr>
            <w:tcW w:w="930" w:type="dxa"/>
            <w:tcBorders>
              <w:tl2br w:val="nil"/>
              <w:tr2bl w:val="nil"/>
            </w:tcBorders>
            <w:vAlign w:val="center"/>
          </w:tcPr>
          <w:p w14:paraId="7FD68D61">
            <w:pPr>
              <w:keepNext w:val="0"/>
              <w:keepLines w:val="0"/>
              <w:pageBreakBefore w:val="0"/>
              <w:kinsoku/>
              <w:wordWrap/>
              <w:overflowPunct/>
              <w:topLinePunct w:val="0"/>
              <w:bidi w:val="0"/>
              <w:adjustRightInd/>
              <w:snapToGrid/>
              <w:ind w:left="0" w:right="0"/>
              <w:jc w:val="center"/>
              <w:textAlignment w:val="auto"/>
              <w:rPr>
                <w:rFonts w:ascii="Times New Roman" w:hAnsi="Times New Roman" w:cs="Times New Roman"/>
                <w:color w:val="auto"/>
                <w:sz w:val="21"/>
                <w:szCs w:val="21"/>
                <w:highlight w:val="none"/>
                <w:lang w:bidi="ar"/>
              </w:rPr>
            </w:pPr>
            <w:r>
              <w:rPr>
                <w:rFonts w:hint="eastAsia" w:ascii="Times New Roman" w:hAnsi="Times New Roman" w:cs="Times New Roman"/>
                <w:color w:val="auto"/>
                <w:sz w:val="21"/>
                <w:szCs w:val="21"/>
                <w:highlight w:val="none"/>
                <w:lang w:bidi="ar"/>
              </w:rPr>
              <w:t>20</w:t>
            </w:r>
          </w:p>
        </w:tc>
        <w:tc>
          <w:tcPr>
            <w:tcW w:w="795" w:type="dxa"/>
            <w:tcBorders>
              <w:tl2br w:val="nil"/>
              <w:tr2bl w:val="nil"/>
            </w:tcBorders>
            <w:vAlign w:val="center"/>
          </w:tcPr>
          <w:p w14:paraId="3CA6B7F7">
            <w:pPr>
              <w:keepNext w:val="0"/>
              <w:keepLines w:val="0"/>
              <w:pageBreakBefore w:val="0"/>
              <w:kinsoku/>
              <w:wordWrap/>
              <w:overflowPunct/>
              <w:topLinePunct w:val="0"/>
              <w:bidi w:val="0"/>
              <w:adjustRightInd/>
              <w:snapToGrid/>
              <w:ind w:left="0" w:right="0"/>
              <w:jc w:val="center"/>
              <w:textAlignment w:val="auto"/>
              <w:rPr>
                <w:rFonts w:ascii="Times New Roman" w:hAnsi="Times New Roman" w:cs="Times New Roman"/>
                <w:color w:val="auto"/>
                <w:sz w:val="21"/>
                <w:szCs w:val="21"/>
                <w:highlight w:val="none"/>
                <w:lang w:bidi="ar"/>
              </w:rPr>
            </w:pPr>
            <w:r>
              <w:rPr>
                <w:rFonts w:hint="eastAsia" w:ascii="Times New Roman" w:hAnsi="Times New Roman" w:cs="Times New Roman"/>
                <w:color w:val="auto"/>
                <w:sz w:val="21"/>
                <w:szCs w:val="21"/>
                <w:highlight w:val="none"/>
                <w:lang w:bidi="ar"/>
              </w:rPr>
              <w:t>30</w:t>
            </w:r>
          </w:p>
        </w:tc>
        <w:tc>
          <w:tcPr>
            <w:tcW w:w="815" w:type="dxa"/>
            <w:tcBorders>
              <w:tl2br w:val="nil"/>
              <w:tr2bl w:val="nil"/>
            </w:tcBorders>
            <w:vAlign w:val="center"/>
          </w:tcPr>
          <w:p w14:paraId="347EA041">
            <w:pPr>
              <w:keepNext w:val="0"/>
              <w:keepLines w:val="0"/>
              <w:pageBreakBefore w:val="0"/>
              <w:kinsoku/>
              <w:wordWrap/>
              <w:overflowPunct/>
              <w:topLinePunct w:val="0"/>
              <w:bidi w:val="0"/>
              <w:adjustRightInd/>
              <w:snapToGrid/>
              <w:ind w:left="0" w:right="0"/>
              <w:jc w:val="center"/>
              <w:textAlignment w:val="auto"/>
              <w:rPr>
                <w:rFonts w:ascii="Times New Roman" w:hAnsi="Times New Roman" w:cs="Times New Roman"/>
                <w:color w:val="auto"/>
                <w:sz w:val="21"/>
                <w:szCs w:val="21"/>
                <w:highlight w:val="none"/>
                <w:lang w:bidi="ar"/>
              </w:rPr>
            </w:pPr>
            <w:r>
              <w:rPr>
                <w:rFonts w:hint="eastAsia" w:ascii="Times New Roman" w:hAnsi="Times New Roman" w:cs="Times New Roman"/>
                <w:color w:val="auto"/>
                <w:sz w:val="21"/>
                <w:szCs w:val="21"/>
                <w:highlight w:val="none"/>
                <w:lang w:bidi="ar"/>
              </w:rPr>
              <w:t>1.0</w:t>
            </w:r>
          </w:p>
        </w:tc>
        <w:tc>
          <w:tcPr>
            <w:tcW w:w="815" w:type="dxa"/>
            <w:tcBorders>
              <w:tl2br w:val="nil"/>
              <w:tr2bl w:val="nil"/>
            </w:tcBorders>
            <w:vAlign w:val="center"/>
          </w:tcPr>
          <w:p w14:paraId="56A21281">
            <w:pPr>
              <w:keepNext w:val="0"/>
              <w:keepLines w:val="0"/>
              <w:pageBreakBefore w:val="0"/>
              <w:kinsoku/>
              <w:wordWrap/>
              <w:overflowPunct/>
              <w:topLinePunct w:val="0"/>
              <w:bidi w:val="0"/>
              <w:adjustRightInd/>
              <w:snapToGrid/>
              <w:ind w:left="0" w:right="0"/>
              <w:jc w:val="center"/>
              <w:textAlignment w:val="auto"/>
              <w:rPr>
                <w:rFonts w:ascii="Times New Roman" w:hAnsi="Times New Roman" w:cs="Times New Roman"/>
                <w:color w:val="auto"/>
                <w:sz w:val="21"/>
                <w:szCs w:val="21"/>
                <w:highlight w:val="none"/>
                <w:lang w:bidi="ar"/>
              </w:rPr>
            </w:pPr>
            <w:r>
              <w:rPr>
                <w:rFonts w:hint="eastAsia" w:ascii="Times New Roman" w:hAnsi="Times New Roman" w:cs="Times New Roman"/>
                <w:color w:val="auto"/>
                <w:sz w:val="21"/>
                <w:szCs w:val="21"/>
                <w:highlight w:val="none"/>
                <w:lang w:bidi="ar"/>
              </w:rPr>
              <w:t>0.2</w:t>
            </w:r>
          </w:p>
        </w:tc>
        <w:tc>
          <w:tcPr>
            <w:tcW w:w="817" w:type="dxa"/>
            <w:tcBorders>
              <w:tl2br w:val="nil"/>
              <w:tr2bl w:val="nil"/>
            </w:tcBorders>
            <w:vAlign w:val="center"/>
          </w:tcPr>
          <w:p w14:paraId="062DDC28">
            <w:pPr>
              <w:keepNext w:val="0"/>
              <w:keepLines w:val="0"/>
              <w:pageBreakBefore w:val="0"/>
              <w:kinsoku/>
              <w:wordWrap/>
              <w:overflowPunct/>
              <w:topLinePunct w:val="0"/>
              <w:bidi w:val="0"/>
              <w:adjustRightInd/>
              <w:snapToGrid/>
              <w:ind w:left="0" w:right="0"/>
              <w:jc w:val="center"/>
              <w:textAlignment w:val="auto"/>
              <w:rPr>
                <w:rFonts w:ascii="Times New Roman" w:hAnsi="Times New Roman" w:cs="Times New Roman"/>
                <w:color w:val="auto"/>
                <w:sz w:val="21"/>
                <w:szCs w:val="21"/>
                <w:highlight w:val="none"/>
                <w:lang w:bidi="ar"/>
              </w:rPr>
            </w:pPr>
            <w:r>
              <w:rPr>
                <w:rFonts w:hint="eastAsia" w:ascii="Times New Roman" w:hAnsi="Times New Roman" w:cs="Times New Roman"/>
                <w:color w:val="auto"/>
                <w:sz w:val="21"/>
                <w:szCs w:val="21"/>
                <w:highlight w:val="none"/>
                <w:lang w:bidi="ar"/>
              </w:rPr>
              <w:t>1.0</w:t>
            </w:r>
          </w:p>
        </w:tc>
      </w:tr>
      <w:tr w14:paraId="6C0B5BB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56" w:type="dxa"/>
            <w:vMerge w:val="continue"/>
            <w:tcBorders>
              <w:tl2br w:val="nil"/>
              <w:tr2bl w:val="nil"/>
            </w:tcBorders>
            <w:vAlign w:val="center"/>
          </w:tcPr>
          <w:p w14:paraId="40FAE99F">
            <w:pPr>
              <w:keepNext w:val="0"/>
              <w:keepLines w:val="0"/>
              <w:pageBreakBefore w:val="0"/>
              <w:kinsoku/>
              <w:wordWrap/>
              <w:overflowPunct/>
              <w:topLinePunct w:val="0"/>
              <w:bidi w:val="0"/>
              <w:adjustRightInd/>
              <w:snapToGrid/>
              <w:ind w:left="0" w:right="0"/>
              <w:jc w:val="center"/>
              <w:textAlignment w:val="auto"/>
              <w:rPr>
                <w:rFonts w:ascii="Times New Roman" w:hAnsi="Times New Roman" w:cs="Times New Roman"/>
                <w:color w:val="auto"/>
                <w:sz w:val="21"/>
                <w:szCs w:val="21"/>
                <w:highlight w:val="none"/>
              </w:rPr>
            </w:pPr>
          </w:p>
        </w:tc>
        <w:tc>
          <w:tcPr>
            <w:tcW w:w="1419" w:type="dxa"/>
            <w:tcBorders>
              <w:tl2br w:val="nil"/>
              <w:tr2bl w:val="nil"/>
            </w:tcBorders>
            <w:vAlign w:val="center"/>
          </w:tcPr>
          <w:p w14:paraId="11AF2342">
            <w:pPr>
              <w:keepNext w:val="0"/>
              <w:keepLines w:val="0"/>
              <w:pageBreakBefore w:val="0"/>
              <w:kinsoku/>
              <w:wordWrap/>
              <w:overflowPunct/>
              <w:topLinePunct w:val="0"/>
              <w:bidi w:val="0"/>
              <w:adjustRightInd/>
              <w:snapToGrid/>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标准指数</w:t>
            </w:r>
          </w:p>
        </w:tc>
        <w:tc>
          <w:tcPr>
            <w:tcW w:w="878" w:type="dxa"/>
            <w:tcBorders>
              <w:tl2br w:val="nil"/>
              <w:tr2bl w:val="nil"/>
            </w:tcBorders>
            <w:vAlign w:val="center"/>
          </w:tcPr>
          <w:p w14:paraId="6D577539">
            <w:pPr>
              <w:keepNext w:val="0"/>
              <w:keepLines w:val="0"/>
              <w:pageBreakBefore w:val="0"/>
              <w:kinsoku/>
              <w:wordWrap/>
              <w:overflowPunct/>
              <w:topLinePunct w:val="0"/>
              <w:bidi w:val="0"/>
              <w:adjustRightInd/>
              <w:snapToGrid/>
              <w:ind w:left="0" w:right="0"/>
              <w:jc w:val="center"/>
              <w:textAlignment w:val="auto"/>
              <w:rPr>
                <w:rFonts w:ascii="Times New Roman" w:hAnsi="Times New Roman" w:cs="Times New Roman"/>
                <w:color w:val="auto"/>
                <w:sz w:val="21"/>
                <w:szCs w:val="21"/>
                <w:highlight w:val="none"/>
                <w:lang w:bidi="ar"/>
              </w:rPr>
            </w:pPr>
            <w:r>
              <w:rPr>
                <w:rFonts w:hint="eastAsia" w:ascii="Times New Roman" w:hAnsi="Times New Roman" w:cs="Times New Roman"/>
                <w:color w:val="auto"/>
                <w:sz w:val="21"/>
                <w:szCs w:val="21"/>
                <w:highlight w:val="none"/>
                <w:lang w:bidi="ar"/>
              </w:rPr>
              <w:t>0.25</w:t>
            </w:r>
          </w:p>
        </w:tc>
        <w:tc>
          <w:tcPr>
            <w:tcW w:w="895" w:type="dxa"/>
            <w:tcBorders>
              <w:tl2br w:val="nil"/>
              <w:tr2bl w:val="nil"/>
            </w:tcBorders>
            <w:vAlign w:val="center"/>
          </w:tcPr>
          <w:p w14:paraId="05BDD0B4">
            <w:pPr>
              <w:keepNext w:val="0"/>
              <w:keepLines w:val="0"/>
              <w:pageBreakBefore w:val="0"/>
              <w:kinsoku/>
              <w:wordWrap/>
              <w:overflowPunct/>
              <w:topLinePunct w:val="0"/>
              <w:bidi w:val="0"/>
              <w:adjustRightInd/>
              <w:snapToGrid/>
              <w:ind w:left="0" w:right="0"/>
              <w:jc w:val="center"/>
              <w:textAlignment w:val="auto"/>
              <w:rPr>
                <w:rFonts w:ascii="Times New Roman" w:hAnsi="Times New Roman" w:cs="Times New Roman"/>
                <w:color w:val="auto"/>
                <w:sz w:val="21"/>
                <w:szCs w:val="21"/>
                <w:highlight w:val="none"/>
                <w:lang w:bidi="ar"/>
              </w:rPr>
            </w:pPr>
            <w:r>
              <w:rPr>
                <w:rFonts w:hint="eastAsia" w:ascii="Times New Roman" w:hAnsi="Times New Roman" w:cs="Times New Roman"/>
                <w:color w:val="auto"/>
                <w:sz w:val="21"/>
                <w:szCs w:val="21"/>
                <w:highlight w:val="none"/>
                <w:lang w:bidi="ar"/>
              </w:rPr>
              <w:t>0.3</w:t>
            </w:r>
          </w:p>
        </w:tc>
        <w:tc>
          <w:tcPr>
            <w:tcW w:w="930" w:type="dxa"/>
            <w:tcBorders>
              <w:tl2br w:val="nil"/>
              <w:tr2bl w:val="nil"/>
            </w:tcBorders>
            <w:vAlign w:val="center"/>
          </w:tcPr>
          <w:p w14:paraId="408C97D1">
            <w:pPr>
              <w:keepNext w:val="0"/>
              <w:keepLines w:val="0"/>
              <w:pageBreakBefore w:val="0"/>
              <w:kinsoku/>
              <w:wordWrap/>
              <w:overflowPunct/>
              <w:topLinePunct w:val="0"/>
              <w:bidi w:val="0"/>
              <w:adjustRightInd/>
              <w:snapToGrid/>
              <w:ind w:left="0" w:right="0"/>
              <w:jc w:val="center"/>
              <w:textAlignment w:val="auto"/>
              <w:rPr>
                <w:rFonts w:ascii="Times New Roman" w:hAnsi="Times New Roman" w:cs="Times New Roman"/>
                <w:color w:val="auto"/>
                <w:sz w:val="21"/>
                <w:szCs w:val="21"/>
                <w:highlight w:val="none"/>
                <w:lang w:bidi="ar"/>
              </w:rPr>
            </w:pPr>
            <w:r>
              <w:rPr>
                <w:rFonts w:hint="eastAsia" w:ascii="Times New Roman" w:hAnsi="Times New Roman" w:cs="Times New Roman"/>
                <w:color w:val="auto"/>
                <w:sz w:val="21"/>
                <w:szCs w:val="21"/>
                <w:highlight w:val="none"/>
                <w:lang w:bidi="ar"/>
              </w:rPr>
              <w:t>0.85</w:t>
            </w:r>
          </w:p>
        </w:tc>
        <w:tc>
          <w:tcPr>
            <w:tcW w:w="795" w:type="dxa"/>
            <w:tcBorders>
              <w:tl2br w:val="nil"/>
              <w:tr2bl w:val="nil"/>
            </w:tcBorders>
            <w:vAlign w:val="center"/>
          </w:tcPr>
          <w:p w14:paraId="775802AC">
            <w:pPr>
              <w:keepNext w:val="0"/>
              <w:keepLines w:val="0"/>
              <w:pageBreakBefore w:val="0"/>
              <w:kinsoku/>
              <w:wordWrap/>
              <w:overflowPunct/>
              <w:topLinePunct w:val="0"/>
              <w:bidi w:val="0"/>
              <w:adjustRightInd/>
              <w:snapToGrid/>
              <w:ind w:left="0" w:right="0"/>
              <w:jc w:val="center"/>
              <w:textAlignment w:val="auto"/>
              <w:rPr>
                <w:rFonts w:ascii="Times New Roman" w:hAnsi="Times New Roman" w:cs="Times New Roman"/>
                <w:color w:val="auto"/>
                <w:sz w:val="21"/>
                <w:szCs w:val="21"/>
                <w:highlight w:val="none"/>
                <w:lang w:bidi="ar"/>
              </w:rPr>
            </w:pPr>
            <w:r>
              <w:rPr>
                <w:rFonts w:hint="eastAsia" w:ascii="Times New Roman" w:hAnsi="Times New Roman" w:cs="Times New Roman"/>
                <w:color w:val="auto"/>
                <w:sz w:val="21"/>
                <w:szCs w:val="21"/>
                <w:highlight w:val="none"/>
                <w:lang w:bidi="ar"/>
              </w:rPr>
              <w:t>0.56</w:t>
            </w:r>
          </w:p>
        </w:tc>
        <w:tc>
          <w:tcPr>
            <w:tcW w:w="815" w:type="dxa"/>
            <w:tcBorders>
              <w:tl2br w:val="nil"/>
              <w:tr2bl w:val="nil"/>
            </w:tcBorders>
            <w:vAlign w:val="center"/>
          </w:tcPr>
          <w:p w14:paraId="3AF7CF35">
            <w:pPr>
              <w:keepNext w:val="0"/>
              <w:keepLines w:val="0"/>
              <w:pageBreakBefore w:val="0"/>
              <w:kinsoku/>
              <w:wordWrap/>
              <w:overflowPunct/>
              <w:topLinePunct w:val="0"/>
              <w:bidi w:val="0"/>
              <w:adjustRightInd/>
              <w:snapToGrid/>
              <w:ind w:left="0" w:right="0"/>
              <w:jc w:val="center"/>
              <w:textAlignment w:val="auto"/>
              <w:rPr>
                <w:rFonts w:ascii="Times New Roman" w:hAnsi="Times New Roman" w:cs="Times New Roman"/>
                <w:color w:val="auto"/>
                <w:sz w:val="21"/>
                <w:szCs w:val="21"/>
                <w:highlight w:val="none"/>
                <w:lang w:bidi="ar"/>
              </w:rPr>
            </w:pPr>
            <w:r>
              <w:rPr>
                <w:rFonts w:hint="eastAsia" w:ascii="Times New Roman" w:hAnsi="Times New Roman" w:cs="Times New Roman"/>
                <w:color w:val="auto"/>
                <w:sz w:val="21"/>
                <w:szCs w:val="21"/>
                <w:highlight w:val="none"/>
                <w:lang w:bidi="ar"/>
              </w:rPr>
              <w:t>0.45</w:t>
            </w:r>
          </w:p>
        </w:tc>
        <w:tc>
          <w:tcPr>
            <w:tcW w:w="815" w:type="dxa"/>
            <w:tcBorders>
              <w:tl2br w:val="nil"/>
              <w:tr2bl w:val="nil"/>
            </w:tcBorders>
            <w:vAlign w:val="center"/>
          </w:tcPr>
          <w:p w14:paraId="61D40B53">
            <w:pPr>
              <w:keepNext w:val="0"/>
              <w:keepLines w:val="0"/>
              <w:pageBreakBefore w:val="0"/>
              <w:kinsoku/>
              <w:wordWrap/>
              <w:overflowPunct/>
              <w:topLinePunct w:val="0"/>
              <w:bidi w:val="0"/>
              <w:adjustRightInd/>
              <w:snapToGrid/>
              <w:ind w:left="0" w:right="0"/>
              <w:jc w:val="center"/>
              <w:textAlignment w:val="auto"/>
              <w:rPr>
                <w:rFonts w:ascii="Times New Roman" w:hAnsi="Times New Roman" w:cs="Times New Roman"/>
                <w:color w:val="auto"/>
                <w:sz w:val="21"/>
                <w:szCs w:val="21"/>
                <w:highlight w:val="none"/>
                <w:lang w:bidi="ar"/>
              </w:rPr>
            </w:pPr>
            <w:r>
              <w:rPr>
                <w:rFonts w:hint="eastAsia" w:ascii="Times New Roman" w:hAnsi="Times New Roman" w:cs="Times New Roman"/>
                <w:color w:val="auto"/>
                <w:sz w:val="21"/>
                <w:szCs w:val="21"/>
                <w:highlight w:val="none"/>
                <w:lang w:bidi="ar"/>
              </w:rPr>
              <w:t>0.55</w:t>
            </w:r>
          </w:p>
        </w:tc>
        <w:tc>
          <w:tcPr>
            <w:tcW w:w="817" w:type="dxa"/>
            <w:tcBorders>
              <w:tl2br w:val="nil"/>
              <w:tr2bl w:val="nil"/>
            </w:tcBorders>
            <w:vAlign w:val="center"/>
          </w:tcPr>
          <w:p w14:paraId="00B0DF95">
            <w:pPr>
              <w:keepNext w:val="0"/>
              <w:keepLines w:val="0"/>
              <w:pageBreakBefore w:val="0"/>
              <w:kinsoku/>
              <w:wordWrap/>
              <w:overflowPunct/>
              <w:topLinePunct w:val="0"/>
              <w:bidi w:val="0"/>
              <w:adjustRightInd/>
              <w:snapToGrid/>
              <w:ind w:left="0" w:right="0"/>
              <w:jc w:val="center"/>
              <w:textAlignment w:val="auto"/>
              <w:rPr>
                <w:rFonts w:ascii="Times New Roman" w:hAnsi="Times New Roman" w:cs="Times New Roman"/>
                <w:color w:val="auto"/>
                <w:sz w:val="21"/>
                <w:szCs w:val="21"/>
                <w:highlight w:val="none"/>
                <w:lang w:bidi="ar"/>
              </w:rPr>
            </w:pPr>
            <w:r>
              <w:rPr>
                <w:rFonts w:hint="eastAsia" w:ascii="Times New Roman" w:hAnsi="Times New Roman" w:cs="Times New Roman"/>
                <w:color w:val="auto"/>
                <w:sz w:val="21"/>
                <w:szCs w:val="21"/>
                <w:highlight w:val="none"/>
                <w:lang w:bidi="ar"/>
              </w:rPr>
              <w:t>2.38</w:t>
            </w:r>
          </w:p>
        </w:tc>
      </w:tr>
      <w:tr w14:paraId="6FE9EEB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56" w:type="dxa"/>
            <w:vMerge w:val="continue"/>
            <w:tcBorders>
              <w:tl2br w:val="nil"/>
              <w:tr2bl w:val="nil"/>
            </w:tcBorders>
            <w:vAlign w:val="center"/>
          </w:tcPr>
          <w:p w14:paraId="75CE52FA">
            <w:pPr>
              <w:keepNext w:val="0"/>
              <w:keepLines w:val="0"/>
              <w:pageBreakBefore w:val="0"/>
              <w:kinsoku/>
              <w:wordWrap/>
              <w:overflowPunct/>
              <w:topLinePunct w:val="0"/>
              <w:bidi w:val="0"/>
              <w:adjustRightInd/>
              <w:snapToGrid/>
              <w:ind w:left="0" w:right="0"/>
              <w:jc w:val="center"/>
              <w:textAlignment w:val="auto"/>
              <w:rPr>
                <w:rFonts w:ascii="Times New Roman" w:hAnsi="Times New Roman" w:cs="Times New Roman"/>
                <w:color w:val="auto"/>
                <w:sz w:val="21"/>
                <w:szCs w:val="21"/>
                <w:highlight w:val="none"/>
              </w:rPr>
            </w:pPr>
          </w:p>
        </w:tc>
        <w:tc>
          <w:tcPr>
            <w:tcW w:w="1419" w:type="dxa"/>
            <w:tcBorders>
              <w:tl2br w:val="nil"/>
              <w:tr2bl w:val="nil"/>
            </w:tcBorders>
            <w:vAlign w:val="center"/>
          </w:tcPr>
          <w:p w14:paraId="5AE09C6D">
            <w:pPr>
              <w:keepNext w:val="0"/>
              <w:keepLines w:val="0"/>
              <w:pageBreakBefore w:val="0"/>
              <w:kinsoku/>
              <w:wordWrap/>
              <w:overflowPunct/>
              <w:topLinePunct w:val="0"/>
              <w:bidi w:val="0"/>
              <w:adjustRightInd/>
              <w:snapToGrid/>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超标率（%）</w:t>
            </w:r>
          </w:p>
        </w:tc>
        <w:tc>
          <w:tcPr>
            <w:tcW w:w="878" w:type="dxa"/>
            <w:tcBorders>
              <w:tl2br w:val="nil"/>
              <w:tr2bl w:val="nil"/>
            </w:tcBorders>
            <w:vAlign w:val="center"/>
          </w:tcPr>
          <w:p w14:paraId="4998E386">
            <w:pPr>
              <w:keepNext w:val="0"/>
              <w:keepLines w:val="0"/>
              <w:pageBreakBefore w:val="0"/>
              <w:kinsoku/>
              <w:wordWrap/>
              <w:overflowPunct/>
              <w:topLinePunct w:val="0"/>
              <w:bidi w:val="0"/>
              <w:adjustRightInd/>
              <w:snapToGrid/>
              <w:ind w:left="0" w:right="0"/>
              <w:jc w:val="center"/>
              <w:textAlignment w:val="auto"/>
              <w:rPr>
                <w:rFonts w:ascii="Times New Roman" w:hAnsi="Times New Roman" w:cs="Times New Roman"/>
                <w:color w:val="auto"/>
                <w:sz w:val="21"/>
                <w:szCs w:val="21"/>
                <w:highlight w:val="none"/>
                <w:lang w:bidi="ar"/>
              </w:rPr>
            </w:pPr>
            <w:r>
              <w:rPr>
                <w:rFonts w:hint="eastAsia" w:ascii="Times New Roman" w:hAnsi="Times New Roman" w:cs="Times New Roman"/>
                <w:color w:val="auto"/>
                <w:sz w:val="21"/>
                <w:szCs w:val="21"/>
                <w:highlight w:val="none"/>
                <w:lang w:bidi="ar"/>
              </w:rPr>
              <w:t>0</w:t>
            </w:r>
          </w:p>
        </w:tc>
        <w:tc>
          <w:tcPr>
            <w:tcW w:w="895" w:type="dxa"/>
            <w:tcBorders>
              <w:tl2br w:val="nil"/>
              <w:tr2bl w:val="nil"/>
            </w:tcBorders>
            <w:vAlign w:val="center"/>
          </w:tcPr>
          <w:p w14:paraId="74F31566">
            <w:pPr>
              <w:keepNext w:val="0"/>
              <w:keepLines w:val="0"/>
              <w:pageBreakBefore w:val="0"/>
              <w:kinsoku/>
              <w:wordWrap/>
              <w:overflowPunct/>
              <w:topLinePunct w:val="0"/>
              <w:bidi w:val="0"/>
              <w:adjustRightInd/>
              <w:snapToGrid/>
              <w:ind w:left="0" w:right="0"/>
              <w:jc w:val="center"/>
              <w:textAlignment w:val="auto"/>
              <w:rPr>
                <w:rFonts w:ascii="Times New Roman" w:hAnsi="Times New Roman" w:cs="Times New Roman"/>
                <w:color w:val="auto"/>
                <w:sz w:val="21"/>
                <w:szCs w:val="21"/>
                <w:highlight w:val="none"/>
                <w:lang w:bidi="ar"/>
              </w:rPr>
            </w:pPr>
            <w:r>
              <w:rPr>
                <w:rFonts w:hint="eastAsia" w:ascii="Times New Roman" w:hAnsi="Times New Roman" w:cs="Times New Roman"/>
                <w:color w:val="auto"/>
                <w:sz w:val="21"/>
                <w:szCs w:val="21"/>
                <w:highlight w:val="none"/>
                <w:lang w:bidi="ar"/>
              </w:rPr>
              <w:t>0</w:t>
            </w:r>
          </w:p>
        </w:tc>
        <w:tc>
          <w:tcPr>
            <w:tcW w:w="930" w:type="dxa"/>
            <w:tcBorders>
              <w:tl2br w:val="nil"/>
              <w:tr2bl w:val="nil"/>
            </w:tcBorders>
            <w:vAlign w:val="center"/>
          </w:tcPr>
          <w:p w14:paraId="4C6C9659">
            <w:pPr>
              <w:keepNext w:val="0"/>
              <w:keepLines w:val="0"/>
              <w:pageBreakBefore w:val="0"/>
              <w:kinsoku/>
              <w:wordWrap/>
              <w:overflowPunct/>
              <w:topLinePunct w:val="0"/>
              <w:bidi w:val="0"/>
              <w:adjustRightInd/>
              <w:snapToGrid/>
              <w:ind w:left="0" w:right="0"/>
              <w:jc w:val="center"/>
              <w:textAlignment w:val="auto"/>
              <w:rPr>
                <w:rFonts w:ascii="Times New Roman" w:hAnsi="Times New Roman" w:cs="Times New Roman"/>
                <w:color w:val="auto"/>
                <w:sz w:val="21"/>
                <w:szCs w:val="21"/>
                <w:highlight w:val="none"/>
                <w:lang w:bidi="ar"/>
              </w:rPr>
            </w:pPr>
            <w:r>
              <w:rPr>
                <w:rFonts w:hint="eastAsia" w:ascii="Times New Roman" w:hAnsi="Times New Roman" w:cs="Times New Roman"/>
                <w:color w:val="auto"/>
                <w:sz w:val="21"/>
                <w:szCs w:val="21"/>
                <w:highlight w:val="none"/>
                <w:lang w:bidi="ar"/>
              </w:rPr>
              <w:t>0</w:t>
            </w:r>
          </w:p>
        </w:tc>
        <w:tc>
          <w:tcPr>
            <w:tcW w:w="795" w:type="dxa"/>
            <w:tcBorders>
              <w:tl2br w:val="nil"/>
              <w:tr2bl w:val="nil"/>
            </w:tcBorders>
            <w:vAlign w:val="center"/>
          </w:tcPr>
          <w:p w14:paraId="04F43934">
            <w:pPr>
              <w:keepNext w:val="0"/>
              <w:keepLines w:val="0"/>
              <w:pageBreakBefore w:val="0"/>
              <w:kinsoku/>
              <w:wordWrap/>
              <w:overflowPunct/>
              <w:topLinePunct w:val="0"/>
              <w:bidi w:val="0"/>
              <w:adjustRightInd/>
              <w:snapToGrid/>
              <w:ind w:left="0" w:right="0"/>
              <w:jc w:val="center"/>
              <w:textAlignment w:val="auto"/>
              <w:rPr>
                <w:rFonts w:ascii="Times New Roman" w:hAnsi="Times New Roman" w:cs="Times New Roman"/>
                <w:color w:val="auto"/>
                <w:sz w:val="21"/>
                <w:szCs w:val="21"/>
                <w:highlight w:val="none"/>
                <w:lang w:bidi="ar"/>
              </w:rPr>
            </w:pPr>
            <w:r>
              <w:rPr>
                <w:rFonts w:hint="eastAsia" w:ascii="Times New Roman" w:hAnsi="Times New Roman" w:cs="Times New Roman"/>
                <w:color w:val="auto"/>
                <w:sz w:val="21"/>
                <w:szCs w:val="21"/>
                <w:highlight w:val="none"/>
                <w:lang w:bidi="ar"/>
              </w:rPr>
              <w:t>0</w:t>
            </w:r>
          </w:p>
        </w:tc>
        <w:tc>
          <w:tcPr>
            <w:tcW w:w="815" w:type="dxa"/>
            <w:tcBorders>
              <w:tl2br w:val="nil"/>
              <w:tr2bl w:val="nil"/>
            </w:tcBorders>
            <w:vAlign w:val="center"/>
          </w:tcPr>
          <w:p w14:paraId="61176EEB">
            <w:pPr>
              <w:keepNext w:val="0"/>
              <w:keepLines w:val="0"/>
              <w:pageBreakBefore w:val="0"/>
              <w:kinsoku/>
              <w:wordWrap/>
              <w:overflowPunct/>
              <w:topLinePunct w:val="0"/>
              <w:bidi w:val="0"/>
              <w:adjustRightInd/>
              <w:snapToGrid/>
              <w:ind w:left="0" w:right="0"/>
              <w:jc w:val="center"/>
              <w:textAlignment w:val="auto"/>
              <w:rPr>
                <w:rFonts w:ascii="Times New Roman" w:hAnsi="Times New Roman" w:cs="Times New Roman"/>
                <w:color w:val="auto"/>
                <w:sz w:val="21"/>
                <w:szCs w:val="21"/>
                <w:highlight w:val="none"/>
                <w:lang w:bidi="ar"/>
              </w:rPr>
            </w:pPr>
            <w:r>
              <w:rPr>
                <w:rFonts w:hint="eastAsia" w:ascii="Times New Roman" w:hAnsi="Times New Roman" w:cs="Times New Roman"/>
                <w:color w:val="auto"/>
                <w:sz w:val="21"/>
                <w:szCs w:val="21"/>
                <w:highlight w:val="none"/>
                <w:lang w:bidi="ar"/>
              </w:rPr>
              <w:t>0</w:t>
            </w:r>
          </w:p>
        </w:tc>
        <w:tc>
          <w:tcPr>
            <w:tcW w:w="815" w:type="dxa"/>
            <w:tcBorders>
              <w:tl2br w:val="nil"/>
              <w:tr2bl w:val="nil"/>
            </w:tcBorders>
            <w:vAlign w:val="center"/>
          </w:tcPr>
          <w:p w14:paraId="1BC20C19">
            <w:pPr>
              <w:keepNext w:val="0"/>
              <w:keepLines w:val="0"/>
              <w:pageBreakBefore w:val="0"/>
              <w:kinsoku/>
              <w:wordWrap/>
              <w:overflowPunct/>
              <w:topLinePunct w:val="0"/>
              <w:bidi w:val="0"/>
              <w:adjustRightInd/>
              <w:snapToGrid/>
              <w:ind w:left="0" w:right="0"/>
              <w:jc w:val="center"/>
              <w:textAlignment w:val="auto"/>
              <w:rPr>
                <w:rFonts w:ascii="Times New Roman" w:hAnsi="Times New Roman" w:cs="Times New Roman"/>
                <w:color w:val="auto"/>
                <w:sz w:val="21"/>
                <w:szCs w:val="21"/>
                <w:highlight w:val="none"/>
                <w:lang w:bidi="ar"/>
              </w:rPr>
            </w:pPr>
            <w:r>
              <w:rPr>
                <w:rFonts w:hint="eastAsia" w:ascii="Times New Roman" w:hAnsi="Times New Roman" w:cs="Times New Roman"/>
                <w:color w:val="auto"/>
                <w:sz w:val="21"/>
                <w:szCs w:val="21"/>
                <w:highlight w:val="none"/>
                <w:lang w:bidi="ar"/>
              </w:rPr>
              <w:t>0</w:t>
            </w:r>
          </w:p>
        </w:tc>
        <w:tc>
          <w:tcPr>
            <w:tcW w:w="817" w:type="dxa"/>
            <w:tcBorders>
              <w:tl2br w:val="nil"/>
              <w:tr2bl w:val="nil"/>
            </w:tcBorders>
            <w:vAlign w:val="center"/>
          </w:tcPr>
          <w:p w14:paraId="4DA0F24F">
            <w:pPr>
              <w:keepNext w:val="0"/>
              <w:keepLines w:val="0"/>
              <w:pageBreakBefore w:val="0"/>
              <w:kinsoku/>
              <w:wordWrap/>
              <w:overflowPunct/>
              <w:topLinePunct w:val="0"/>
              <w:bidi w:val="0"/>
              <w:adjustRightInd/>
              <w:snapToGrid/>
              <w:ind w:left="0" w:right="0"/>
              <w:jc w:val="center"/>
              <w:textAlignment w:val="auto"/>
              <w:rPr>
                <w:rFonts w:ascii="Times New Roman" w:hAnsi="Times New Roman" w:cs="Times New Roman"/>
                <w:color w:val="auto"/>
                <w:sz w:val="21"/>
                <w:szCs w:val="21"/>
                <w:highlight w:val="none"/>
                <w:lang w:bidi="ar"/>
              </w:rPr>
            </w:pPr>
            <w:r>
              <w:rPr>
                <w:rFonts w:hint="eastAsia" w:ascii="Times New Roman" w:hAnsi="Times New Roman" w:cs="Times New Roman"/>
                <w:color w:val="auto"/>
                <w:sz w:val="21"/>
                <w:szCs w:val="21"/>
                <w:highlight w:val="none"/>
                <w:lang w:bidi="ar"/>
              </w:rPr>
              <w:t>100</w:t>
            </w:r>
          </w:p>
        </w:tc>
      </w:tr>
    </w:tbl>
    <w:p w14:paraId="77B2EC06">
      <w:pPr>
        <w:spacing w:line="360" w:lineRule="auto"/>
        <w:ind w:left="-105" w:right="-105" w:firstLine="442"/>
        <w:rPr>
          <w:rFonts w:ascii="Times New Roman" w:hAnsi="Times New Roman"/>
          <w:b/>
          <w:bCs/>
          <w:color w:val="auto"/>
          <w:sz w:val="22"/>
          <w:highlight w:val="none"/>
        </w:rPr>
      </w:pPr>
      <w:r>
        <w:rPr>
          <w:rFonts w:hint="eastAsia" w:ascii="Times New Roman" w:hAnsi="Times New Roman"/>
          <w:b/>
          <w:bCs/>
          <w:color w:val="auto"/>
          <w:sz w:val="22"/>
          <w:highlight w:val="none"/>
        </w:rPr>
        <w:t>注：《地表水环境质量标准》(GB3838-2002)无悬浮物标准限值要求，本次参考《地表水资源质量标准》（征求意见稿）中“工业用水功能水资源质量标准限值”30mg/L。</w:t>
      </w:r>
    </w:p>
    <w:p w14:paraId="51A1905E">
      <w:pPr>
        <w:spacing w:line="360" w:lineRule="auto"/>
        <w:ind w:left="-105" w:right="-105" w:firstLine="480" w:firstLineChars="200"/>
        <w:rPr>
          <w:rFonts w:ascii="Times New Roman" w:hAnsi="Times New Roman"/>
          <w:color w:val="auto"/>
          <w:highlight w:val="none"/>
        </w:rPr>
      </w:pPr>
      <w:r>
        <w:rPr>
          <w:rFonts w:hint="eastAsia" w:ascii="Times New Roman" w:hAnsi="Times New Roman"/>
          <w:color w:val="auto"/>
          <w:highlight w:val="none"/>
        </w:rPr>
        <w:t>（5）</w:t>
      </w:r>
      <w:r>
        <w:rPr>
          <w:rFonts w:ascii="Times New Roman" w:hAnsi="Times New Roman"/>
          <w:color w:val="auto"/>
          <w:highlight w:val="none"/>
        </w:rPr>
        <w:t>评价结果</w:t>
      </w:r>
    </w:p>
    <w:p w14:paraId="12189FC2">
      <w:pPr>
        <w:spacing w:line="360" w:lineRule="auto"/>
        <w:ind w:left="-105" w:right="-105" w:firstLine="480"/>
        <w:jc w:val="both"/>
        <w:rPr>
          <w:rFonts w:ascii="Times New Roman" w:hAnsi="Times New Roman"/>
          <w:color w:val="auto"/>
          <w:highlight w:val="none"/>
        </w:rPr>
      </w:pPr>
      <w:r>
        <w:rPr>
          <w:rFonts w:hint="eastAsia" w:ascii="Times New Roman" w:hAnsi="Times New Roman"/>
          <w:color w:val="auto"/>
          <w:highlight w:val="none"/>
        </w:rPr>
        <w:t>由上表可知，北兴塘河监测断面中TN未达到《地表水环境质量标准》(GB3838-2002)中III类水质标准，其余因子均达标。根据《无锡市生态环境基础治理能力提升三年行动计划（2022—2024年）》、锡山区《区政府办公室关于印发锡山区河道环境综合整治工作方案的通知》（锡政办（2016）30号）等文件，以河流水质改善、断面水质达标为核心，以各镇（街道）为责任主体，以控源截污、清淤活水、调水引流、河岸整治和生态修复为主要工程手段，整治范围涵盖全区域。因此，通过项目所在地政府大力开展的污染防治攻坚战，北兴塘河部分环境质量因子不达标的现象有望尽快得到解决</w:t>
      </w:r>
      <w:r>
        <w:rPr>
          <w:rFonts w:ascii="Times New Roman" w:hAnsi="Times New Roman"/>
          <w:color w:val="auto"/>
          <w:highlight w:val="none"/>
        </w:rPr>
        <w:t>。</w:t>
      </w:r>
    </w:p>
    <w:p w14:paraId="4C0BDC71">
      <w:pPr>
        <w:pStyle w:val="5"/>
        <w:keepLines w:val="0"/>
        <w:numPr>
          <w:ilvl w:val="2"/>
          <w:numId w:val="0"/>
        </w:numPr>
        <w:tabs>
          <w:tab w:val="left" w:pos="567"/>
          <w:tab w:val="left" w:pos="709"/>
        </w:tabs>
        <w:spacing w:before="120" w:beforeLines="50" w:after="120" w:afterLines="50" w:line="360" w:lineRule="auto"/>
        <w:ind w:right="-105"/>
        <w:rPr>
          <w:rFonts w:eastAsia="宋体"/>
          <w:color w:val="auto"/>
          <w:sz w:val="28"/>
          <w:szCs w:val="28"/>
          <w:highlight w:val="none"/>
        </w:rPr>
      </w:pPr>
      <w:bookmarkStart w:id="346" w:name="_Toc370313625"/>
      <w:bookmarkStart w:id="347" w:name="_Toc60653541"/>
      <w:r>
        <w:rPr>
          <w:rFonts w:hint="eastAsia" w:eastAsia="宋体"/>
          <w:color w:val="auto"/>
          <w:sz w:val="28"/>
          <w:szCs w:val="28"/>
          <w:highlight w:val="none"/>
        </w:rPr>
        <w:t>5.3.3</w:t>
      </w:r>
      <w:r>
        <w:rPr>
          <w:rFonts w:eastAsia="宋体"/>
          <w:color w:val="auto"/>
          <w:sz w:val="28"/>
          <w:szCs w:val="28"/>
          <w:highlight w:val="none"/>
        </w:rPr>
        <w:t>噪声环境质量现状监测与评价</w:t>
      </w:r>
      <w:bookmarkEnd w:id="346"/>
      <w:bookmarkEnd w:id="347"/>
    </w:p>
    <w:p w14:paraId="6468F6EB">
      <w:pPr>
        <w:spacing w:line="360" w:lineRule="auto"/>
        <w:ind w:left="-105" w:right="-105" w:firstLine="480"/>
        <w:rPr>
          <w:rFonts w:ascii="Times New Roman" w:hAnsi="Times New Roman"/>
          <w:color w:val="auto"/>
          <w:highlight w:val="none"/>
        </w:rPr>
      </w:pPr>
      <w:r>
        <w:rPr>
          <w:rFonts w:ascii="Times New Roman" w:hAnsi="Times New Roman"/>
          <w:color w:val="auto"/>
          <w:highlight w:val="none"/>
        </w:rPr>
        <w:t>（1）监测布设：根据《环境影响评价技术导则声环境》(HJ2.4-2009)，布点应覆盖整个评价范围，包括厂界和敏</w:t>
      </w:r>
      <w:r>
        <w:rPr>
          <w:rFonts w:ascii="Times New Roman" w:hAnsi="Times New Roman"/>
          <w:color w:val="auto"/>
          <w:highlight w:val="none"/>
        </w:rPr>
        <w:t>感目标，本项目周边200m范围内</w:t>
      </w:r>
      <w:r>
        <w:rPr>
          <w:rFonts w:hint="eastAsia" w:ascii="Times New Roman" w:hAnsi="Times New Roman"/>
          <w:color w:val="auto"/>
          <w:highlight w:val="none"/>
        </w:rPr>
        <w:t>有</w:t>
      </w:r>
      <w:r>
        <w:rPr>
          <w:rFonts w:ascii="Times New Roman" w:hAnsi="Times New Roman"/>
          <w:color w:val="auto"/>
          <w:highlight w:val="none"/>
        </w:rPr>
        <w:t>敏感目标。根据声源的位置和周围环境特点，在项目厂界均匀设置4个测点</w:t>
      </w:r>
      <w:r>
        <w:rPr>
          <w:rFonts w:hint="eastAsia" w:ascii="Times New Roman" w:hAnsi="Times New Roman"/>
          <w:color w:val="auto"/>
          <w:highlight w:val="none"/>
        </w:rPr>
        <w:t>及200m范围内声环境保护目标处</w:t>
      </w:r>
      <w:r>
        <w:rPr>
          <w:rFonts w:ascii="Times New Roman" w:hAnsi="Times New Roman"/>
          <w:color w:val="auto"/>
          <w:highlight w:val="none"/>
        </w:rPr>
        <w:t>设置测点，测点位置见下表；</w:t>
      </w:r>
    </w:p>
    <w:p w14:paraId="4CB5044F">
      <w:pPr>
        <w:pStyle w:val="15"/>
        <w:spacing w:line="360" w:lineRule="auto"/>
        <w:ind w:left="-105" w:right="-105" w:firstLine="482"/>
        <w:rPr>
          <w:rFonts w:eastAsia="宋体" w:cs="Times New Roman"/>
          <w:bCs/>
          <w:color w:val="auto"/>
          <w:sz w:val="24"/>
          <w:szCs w:val="22"/>
          <w:highlight w:val="none"/>
        </w:rPr>
      </w:pPr>
      <w:bookmarkStart w:id="348" w:name="_Ref36569363"/>
      <w:r>
        <w:rPr>
          <w:rFonts w:eastAsia="宋体" w:cs="Times New Roman"/>
          <w:color w:val="auto"/>
          <w:sz w:val="24"/>
          <w:szCs w:val="18"/>
          <w:highlight w:val="none"/>
        </w:rPr>
        <w:t>表</w:t>
      </w:r>
      <w:r>
        <w:rPr>
          <w:rFonts w:eastAsia="宋体" w:cs="Times New Roman"/>
          <w:color w:val="auto"/>
          <w:sz w:val="24"/>
          <w:szCs w:val="18"/>
          <w:highlight w:val="none"/>
        </w:rPr>
        <w:fldChar w:fldCharType="begin"/>
      </w:r>
      <w:r>
        <w:rPr>
          <w:rFonts w:eastAsia="宋体" w:cs="Times New Roman"/>
          <w:color w:val="auto"/>
          <w:sz w:val="24"/>
          <w:szCs w:val="18"/>
          <w:highlight w:val="none"/>
        </w:rPr>
        <w:instrText xml:space="preserve"> STYLEREF 2 \s </w:instrText>
      </w:r>
      <w:r>
        <w:rPr>
          <w:rFonts w:eastAsia="宋体" w:cs="Times New Roman"/>
          <w:color w:val="auto"/>
          <w:sz w:val="24"/>
          <w:szCs w:val="18"/>
          <w:highlight w:val="none"/>
        </w:rPr>
        <w:fldChar w:fldCharType="separate"/>
      </w:r>
      <w:r>
        <w:rPr>
          <w:rFonts w:eastAsia="宋体" w:cs="Times New Roman"/>
          <w:color w:val="auto"/>
          <w:sz w:val="24"/>
          <w:szCs w:val="18"/>
          <w:highlight w:val="none"/>
        </w:rPr>
        <w:t>5.3</w:t>
      </w:r>
      <w:r>
        <w:rPr>
          <w:rFonts w:eastAsia="宋体" w:cs="Times New Roman"/>
          <w:color w:val="auto"/>
          <w:sz w:val="24"/>
          <w:szCs w:val="18"/>
          <w:highlight w:val="none"/>
        </w:rPr>
        <w:fldChar w:fldCharType="end"/>
      </w:r>
      <w:r>
        <w:rPr>
          <w:rFonts w:eastAsia="宋体" w:cs="Times New Roman"/>
          <w:color w:val="auto"/>
          <w:sz w:val="24"/>
          <w:szCs w:val="18"/>
          <w:highlight w:val="none"/>
        </w:rPr>
        <w:noBreakHyphen/>
      </w:r>
      <w:r>
        <w:rPr>
          <w:rFonts w:eastAsia="宋体" w:cs="Times New Roman"/>
          <w:color w:val="auto"/>
          <w:sz w:val="24"/>
          <w:szCs w:val="18"/>
          <w:highlight w:val="none"/>
        </w:rPr>
        <w:fldChar w:fldCharType="begin"/>
      </w:r>
      <w:r>
        <w:rPr>
          <w:rFonts w:eastAsia="宋体" w:cs="Times New Roman"/>
          <w:color w:val="auto"/>
          <w:sz w:val="24"/>
          <w:szCs w:val="18"/>
          <w:highlight w:val="none"/>
        </w:rPr>
        <w:instrText xml:space="preserve"> SEQ 表 \* ARABIC \s 2 </w:instrText>
      </w:r>
      <w:r>
        <w:rPr>
          <w:rFonts w:eastAsia="宋体" w:cs="Times New Roman"/>
          <w:color w:val="auto"/>
          <w:sz w:val="24"/>
          <w:szCs w:val="18"/>
          <w:highlight w:val="none"/>
        </w:rPr>
        <w:fldChar w:fldCharType="separate"/>
      </w:r>
      <w:r>
        <w:rPr>
          <w:rFonts w:eastAsia="宋体" w:cs="Times New Roman"/>
          <w:color w:val="auto"/>
          <w:sz w:val="24"/>
          <w:szCs w:val="18"/>
          <w:highlight w:val="none"/>
        </w:rPr>
        <w:t>8</w:t>
      </w:r>
      <w:r>
        <w:rPr>
          <w:rFonts w:eastAsia="宋体" w:cs="Times New Roman"/>
          <w:color w:val="auto"/>
          <w:sz w:val="24"/>
          <w:szCs w:val="18"/>
          <w:highlight w:val="none"/>
        </w:rPr>
        <w:fldChar w:fldCharType="end"/>
      </w:r>
      <w:r>
        <w:rPr>
          <w:rFonts w:eastAsia="宋体" w:cs="Times New Roman"/>
          <w:color w:val="auto"/>
          <w:sz w:val="24"/>
          <w:szCs w:val="18"/>
          <w:highlight w:val="none"/>
        </w:rPr>
        <w:t>声环境质量现状监测布点及监测项目表</w:t>
      </w:r>
      <w:bookmarkEnd w:id="348"/>
    </w:p>
    <w:tbl>
      <w:tblPr>
        <w:tblStyle w:val="45"/>
        <w:tblW w:w="5000" w:type="pct"/>
        <w:jc w:val="center"/>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autofit"/>
        <w:tblCellMar>
          <w:top w:w="0" w:type="dxa"/>
          <w:left w:w="0" w:type="dxa"/>
          <w:bottom w:w="0" w:type="dxa"/>
          <w:right w:w="0" w:type="dxa"/>
        </w:tblCellMar>
      </w:tblPr>
      <w:tblGrid>
        <w:gridCol w:w="1547"/>
        <w:gridCol w:w="2516"/>
        <w:gridCol w:w="2334"/>
        <w:gridCol w:w="2107"/>
      </w:tblGrid>
      <w:tr w14:paraId="3D43E51E">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72" w:hRule="atLeast"/>
          <w:jc w:val="center"/>
        </w:trPr>
        <w:tc>
          <w:tcPr>
            <w:tcW w:w="909" w:type="pct"/>
            <w:tcBorders>
              <w:top w:val="single" w:color="000000" w:sz="12" w:space="0"/>
              <w:left w:val="nil"/>
              <w:bottom w:val="single" w:color="000000" w:sz="4" w:space="0"/>
              <w:right w:val="single" w:color="000000" w:sz="4" w:space="0"/>
            </w:tcBorders>
            <w:vAlign w:val="center"/>
          </w:tcPr>
          <w:p w14:paraId="3909750D">
            <w:pPr>
              <w:autoSpaceDE w:val="0"/>
              <w:autoSpaceDN w:val="0"/>
              <w:ind w:left="-105" w:right="-105"/>
              <w:jc w:val="center"/>
              <w:rPr>
                <w:rFonts w:ascii="Times New Roman" w:hAnsi="Times New Roman"/>
                <w:b/>
                <w:bCs/>
                <w:color w:val="auto"/>
                <w:sz w:val="21"/>
                <w:szCs w:val="21"/>
                <w:highlight w:val="none"/>
              </w:rPr>
            </w:pPr>
            <w:r>
              <w:rPr>
                <w:rFonts w:ascii="Times New Roman" w:hAnsi="Times New Roman"/>
                <w:b/>
                <w:bCs/>
                <w:color w:val="auto"/>
                <w:sz w:val="21"/>
                <w:szCs w:val="21"/>
                <w:highlight w:val="none"/>
              </w:rPr>
              <w:t>监测点号</w:t>
            </w:r>
          </w:p>
        </w:tc>
        <w:tc>
          <w:tcPr>
            <w:tcW w:w="1479" w:type="pct"/>
            <w:tcBorders>
              <w:top w:val="single" w:color="000000" w:sz="12" w:space="0"/>
              <w:left w:val="single" w:color="000000" w:sz="4" w:space="0"/>
              <w:bottom w:val="single" w:color="000000" w:sz="4" w:space="0"/>
              <w:right w:val="single" w:color="000000" w:sz="4" w:space="0"/>
            </w:tcBorders>
            <w:vAlign w:val="center"/>
          </w:tcPr>
          <w:p w14:paraId="43F66227">
            <w:pPr>
              <w:autoSpaceDE w:val="0"/>
              <w:autoSpaceDN w:val="0"/>
              <w:ind w:left="-105" w:right="-105"/>
              <w:jc w:val="center"/>
              <w:rPr>
                <w:rFonts w:ascii="Times New Roman" w:hAnsi="Times New Roman"/>
                <w:b/>
                <w:bCs/>
                <w:color w:val="auto"/>
                <w:sz w:val="21"/>
                <w:szCs w:val="21"/>
                <w:highlight w:val="none"/>
              </w:rPr>
            </w:pPr>
            <w:r>
              <w:rPr>
                <w:rFonts w:ascii="Times New Roman" w:hAnsi="Times New Roman"/>
                <w:b/>
                <w:bCs/>
                <w:color w:val="auto"/>
                <w:sz w:val="21"/>
                <w:szCs w:val="21"/>
                <w:highlight w:val="none"/>
              </w:rPr>
              <w:t>测点名称</w:t>
            </w:r>
          </w:p>
        </w:tc>
        <w:tc>
          <w:tcPr>
            <w:tcW w:w="1372" w:type="pct"/>
            <w:tcBorders>
              <w:top w:val="single" w:color="000000" w:sz="12" w:space="0"/>
              <w:left w:val="single" w:color="000000" w:sz="4" w:space="0"/>
              <w:bottom w:val="single" w:color="000000" w:sz="4" w:space="0"/>
              <w:right w:val="single" w:color="000000" w:sz="4" w:space="0"/>
            </w:tcBorders>
            <w:vAlign w:val="center"/>
          </w:tcPr>
          <w:p w14:paraId="53F87C3E">
            <w:pPr>
              <w:autoSpaceDE w:val="0"/>
              <w:autoSpaceDN w:val="0"/>
              <w:ind w:left="-105" w:right="-105"/>
              <w:jc w:val="center"/>
              <w:rPr>
                <w:rFonts w:ascii="Times New Roman" w:hAnsi="Times New Roman"/>
                <w:b/>
                <w:bCs/>
                <w:color w:val="auto"/>
                <w:sz w:val="21"/>
                <w:szCs w:val="21"/>
                <w:highlight w:val="none"/>
              </w:rPr>
            </w:pPr>
            <w:r>
              <w:rPr>
                <w:rFonts w:ascii="Times New Roman" w:hAnsi="Times New Roman"/>
                <w:b/>
                <w:bCs/>
                <w:color w:val="auto"/>
                <w:sz w:val="21"/>
                <w:szCs w:val="21"/>
                <w:highlight w:val="none"/>
              </w:rPr>
              <w:t>距项目位置</w:t>
            </w:r>
          </w:p>
        </w:tc>
        <w:tc>
          <w:tcPr>
            <w:tcW w:w="1238" w:type="pct"/>
            <w:tcBorders>
              <w:top w:val="single" w:color="000000" w:sz="12" w:space="0"/>
              <w:left w:val="single" w:color="000000" w:sz="4" w:space="0"/>
              <w:bottom w:val="single" w:color="000000" w:sz="4" w:space="0"/>
              <w:right w:val="nil"/>
            </w:tcBorders>
            <w:vAlign w:val="center"/>
          </w:tcPr>
          <w:p w14:paraId="0613AF28">
            <w:pPr>
              <w:autoSpaceDE w:val="0"/>
              <w:autoSpaceDN w:val="0"/>
              <w:ind w:left="-105" w:right="-105"/>
              <w:jc w:val="center"/>
              <w:rPr>
                <w:rFonts w:ascii="Times New Roman" w:hAnsi="Times New Roman"/>
                <w:b/>
                <w:bCs/>
                <w:color w:val="auto"/>
                <w:sz w:val="21"/>
                <w:szCs w:val="21"/>
                <w:highlight w:val="none"/>
              </w:rPr>
            </w:pPr>
            <w:r>
              <w:rPr>
                <w:rFonts w:ascii="Times New Roman" w:hAnsi="Times New Roman"/>
                <w:b/>
                <w:bCs/>
                <w:color w:val="auto"/>
                <w:sz w:val="21"/>
                <w:szCs w:val="21"/>
                <w:highlight w:val="none"/>
              </w:rPr>
              <w:t>监测项目</w:t>
            </w:r>
          </w:p>
        </w:tc>
      </w:tr>
      <w:tr w14:paraId="63FECC4F">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63" w:hRule="atLeast"/>
          <w:jc w:val="center"/>
        </w:trPr>
        <w:tc>
          <w:tcPr>
            <w:tcW w:w="1547" w:type="dxa"/>
            <w:tcBorders>
              <w:top w:val="single" w:color="000000" w:sz="4" w:space="0"/>
              <w:left w:val="nil"/>
              <w:bottom w:val="single" w:color="000000" w:sz="4" w:space="0"/>
              <w:right w:val="single" w:color="000000" w:sz="4" w:space="0"/>
            </w:tcBorders>
            <w:vAlign w:val="center"/>
          </w:tcPr>
          <w:p w14:paraId="29E4FC32">
            <w:pPr>
              <w:tabs>
                <w:tab w:val="left" w:pos="360"/>
                <w:tab w:val="left" w:pos="1080"/>
              </w:tabs>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Z1</w:t>
            </w:r>
          </w:p>
        </w:tc>
        <w:tc>
          <w:tcPr>
            <w:tcW w:w="1479" w:type="pct"/>
            <w:tcBorders>
              <w:top w:val="single" w:color="000000" w:sz="4" w:space="0"/>
              <w:left w:val="single" w:color="000000" w:sz="4" w:space="0"/>
              <w:bottom w:val="single" w:color="000000" w:sz="4" w:space="0"/>
              <w:right w:val="single" w:color="000000" w:sz="4" w:space="0"/>
            </w:tcBorders>
            <w:vAlign w:val="center"/>
          </w:tcPr>
          <w:p w14:paraId="6C0C812A">
            <w:pPr>
              <w:ind w:left="-105" w:right="-105"/>
              <w:jc w:val="center"/>
              <w:rPr>
                <w:rFonts w:ascii="Times New Roman" w:hAnsi="Times New Roman"/>
                <w:color w:val="auto"/>
                <w:sz w:val="21"/>
                <w:szCs w:val="21"/>
                <w:highlight w:val="none"/>
              </w:rPr>
            </w:pPr>
            <w:r>
              <w:rPr>
                <w:rFonts w:hint="eastAsia" w:ascii="Times New Roman" w:hAnsi="Times New Roman" w:cs="Times New Roman"/>
                <w:bCs/>
                <w:color w:val="auto"/>
                <w:sz w:val="21"/>
                <w:szCs w:val="21"/>
                <w:highlight w:val="none"/>
              </w:rPr>
              <w:t>东厂界</w:t>
            </w:r>
          </w:p>
        </w:tc>
        <w:tc>
          <w:tcPr>
            <w:tcW w:w="1372" w:type="pct"/>
            <w:tcBorders>
              <w:top w:val="single" w:color="000000" w:sz="4" w:space="0"/>
              <w:left w:val="single" w:color="000000" w:sz="4" w:space="0"/>
              <w:bottom w:val="single" w:color="000000" w:sz="4" w:space="0"/>
              <w:right w:val="single" w:color="000000" w:sz="4" w:space="0"/>
            </w:tcBorders>
            <w:vAlign w:val="center"/>
          </w:tcPr>
          <w:p w14:paraId="4690CB19">
            <w:pPr>
              <w:autoSpaceDE w:val="0"/>
              <w:autoSpaceDN w:val="0"/>
              <w:ind w:left="-105" w:right="-105"/>
              <w:jc w:val="center"/>
              <w:rPr>
                <w:rFonts w:ascii="Times New Roman" w:hAnsi="Times New Roman"/>
                <w:color w:val="auto"/>
                <w:sz w:val="21"/>
                <w:szCs w:val="21"/>
                <w:highlight w:val="none"/>
              </w:rPr>
            </w:pPr>
            <w:r>
              <w:rPr>
                <w:rFonts w:ascii="Times New Roman" w:hAnsi="Times New Roman"/>
                <w:color w:val="auto"/>
                <w:sz w:val="21"/>
                <w:szCs w:val="21"/>
                <w:highlight w:val="none"/>
              </w:rPr>
              <w:t>厂界外1m</w:t>
            </w:r>
          </w:p>
        </w:tc>
        <w:tc>
          <w:tcPr>
            <w:tcW w:w="1238" w:type="pct"/>
            <w:vMerge w:val="restart"/>
            <w:tcBorders>
              <w:top w:val="single" w:color="000000" w:sz="4" w:space="0"/>
              <w:left w:val="single" w:color="000000" w:sz="4" w:space="0"/>
              <w:right w:val="nil"/>
            </w:tcBorders>
            <w:vAlign w:val="center"/>
          </w:tcPr>
          <w:p w14:paraId="3C1771B9">
            <w:pPr>
              <w:autoSpaceDE w:val="0"/>
              <w:autoSpaceDN w:val="0"/>
              <w:ind w:left="-105" w:right="-105"/>
              <w:jc w:val="center"/>
              <w:rPr>
                <w:rFonts w:ascii="Times New Roman" w:hAnsi="Times New Roman"/>
                <w:color w:val="auto"/>
                <w:sz w:val="21"/>
                <w:szCs w:val="21"/>
                <w:highlight w:val="none"/>
              </w:rPr>
            </w:pPr>
            <w:r>
              <w:rPr>
                <w:rFonts w:ascii="Times New Roman" w:hAnsi="Times New Roman"/>
                <w:color w:val="auto"/>
                <w:sz w:val="21"/>
                <w:szCs w:val="21"/>
                <w:highlight w:val="none"/>
              </w:rPr>
              <w:t>Leq[dB(A)]</w:t>
            </w:r>
          </w:p>
        </w:tc>
      </w:tr>
      <w:tr w14:paraId="2B8E84BB">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53" w:hRule="atLeast"/>
          <w:jc w:val="center"/>
        </w:trPr>
        <w:tc>
          <w:tcPr>
            <w:tcW w:w="1547" w:type="dxa"/>
            <w:tcBorders>
              <w:top w:val="single" w:color="000000" w:sz="4" w:space="0"/>
              <w:left w:val="nil"/>
              <w:bottom w:val="single" w:color="000000" w:sz="4" w:space="0"/>
              <w:right w:val="single" w:color="000000" w:sz="4" w:space="0"/>
            </w:tcBorders>
            <w:vAlign w:val="center"/>
          </w:tcPr>
          <w:p w14:paraId="5C9A71C1">
            <w:pPr>
              <w:tabs>
                <w:tab w:val="left" w:pos="360"/>
                <w:tab w:val="left" w:pos="1080"/>
              </w:tabs>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Z2</w:t>
            </w:r>
          </w:p>
        </w:tc>
        <w:tc>
          <w:tcPr>
            <w:tcW w:w="1479" w:type="pct"/>
            <w:tcBorders>
              <w:top w:val="single" w:color="000000" w:sz="4" w:space="0"/>
              <w:left w:val="single" w:color="000000" w:sz="4" w:space="0"/>
              <w:bottom w:val="single" w:color="000000" w:sz="4" w:space="0"/>
              <w:right w:val="single" w:color="000000" w:sz="4" w:space="0"/>
            </w:tcBorders>
            <w:vAlign w:val="center"/>
          </w:tcPr>
          <w:p w14:paraId="23ECDBF2">
            <w:pPr>
              <w:ind w:left="-105" w:right="-105"/>
              <w:jc w:val="center"/>
              <w:rPr>
                <w:rFonts w:ascii="Times New Roman" w:hAnsi="Times New Roman"/>
                <w:color w:val="auto"/>
                <w:sz w:val="21"/>
                <w:szCs w:val="21"/>
                <w:highlight w:val="none"/>
              </w:rPr>
            </w:pPr>
            <w:r>
              <w:rPr>
                <w:rFonts w:hint="eastAsia" w:ascii="Times New Roman" w:hAnsi="Times New Roman" w:cs="Times New Roman"/>
                <w:bCs/>
                <w:color w:val="auto"/>
                <w:sz w:val="21"/>
                <w:szCs w:val="21"/>
                <w:highlight w:val="none"/>
              </w:rPr>
              <w:t>南厂界</w:t>
            </w:r>
          </w:p>
        </w:tc>
        <w:tc>
          <w:tcPr>
            <w:tcW w:w="1372" w:type="pct"/>
            <w:tcBorders>
              <w:top w:val="single" w:color="000000" w:sz="4" w:space="0"/>
              <w:left w:val="single" w:color="000000" w:sz="4" w:space="0"/>
              <w:bottom w:val="single" w:color="000000" w:sz="4" w:space="0"/>
              <w:right w:val="single" w:color="000000" w:sz="4" w:space="0"/>
            </w:tcBorders>
            <w:vAlign w:val="center"/>
          </w:tcPr>
          <w:p w14:paraId="39B7D41F">
            <w:pPr>
              <w:autoSpaceDE w:val="0"/>
              <w:autoSpaceDN w:val="0"/>
              <w:ind w:left="-105" w:right="-105"/>
              <w:jc w:val="center"/>
              <w:rPr>
                <w:rFonts w:ascii="Times New Roman" w:hAnsi="Times New Roman"/>
                <w:color w:val="auto"/>
                <w:sz w:val="21"/>
                <w:szCs w:val="21"/>
                <w:highlight w:val="none"/>
              </w:rPr>
            </w:pPr>
            <w:r>
              <w:rPr>
                <w:rFonts w:ascii="Times New Roman" w:hAnsi="Times New Roman"/>
                <w:color w:val="auto"/>
                <w:sz w:val="21"/>
                <w:szCs w:val="21"/>
                <w:highlight w:val="none"/>
              </w:rPr>
              <w:t>厂界外1m</w:t>
            </w:r>
          </w:p>
        </w:tc>
        <w:tc>
          <w:tcPr>
            <w:tcW w:w="1238" w:type="pct"/>
            <w:vMerge w:val="continue"/>
            <w:tcBorders>
              <w:left w:val="single" w:color="000000" w:sz="4" w:space="0"/>
              <w:right w:val="nil"/>
            </w:tcBorders>
            <w:vAlign w:val="center"/>
          </w:tcPr>
          <w:p w14:paraId="47E26AE7">
            <w:pPr>
              <w:ind w:left="-105" w:right="-105"/>
              <w:jc w:val="center"/>
              <w:rPr>
                <w:rFonts w:ascii="Times New Roman" w:hAnsi="Times New Roman"/>
                <w:color w:val="auto"/>
                <w:sz w:val="21"/>
                <w:szCs w:val="21"/>
                <w:highlight w:val="none"/>
              </w:rPr>
            </w:pPr>
          </w:p>
        </w:tc>
      </w:tr>
      <w:tr w14:paraId="4CE80A01">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50" w:hRule="atLeast"/>
          <w:jc w:val="center"/>
        </w:trPr>
        <w:tc>
          <w:tcPr>
            <w:tcW w:w="1547" w:type="dxa"/>
            <w:tcBorders>
              <w:top w:val="single" w:color="000000" w:sz="4" w:space="0"/>
              <w:left w:val="nil"/>
              <w:bottom w:val="single" w:color="000000" w:sz="4" w:space="0"/>
              <w:right w:val="single" w:color="000000" w:sz="4" w:space="0"/>
            </w:tcBorders>
            <w:vAlign w:val="center"/>
          </w:tcPr>
          <w:p w14:paraId="504968E6">
            <w:pPr>
              <w:tabs>
                <w:tab w:val="left" w:pos="360"/>
                <w:tab w:val="left" w:pos="1080"/>
              </w:tabs>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Z3</w:t>
            </w:r>
          </w:p>
        </w:tc>
        <w:tc>
          <w:tcPr>
            <w:tcW w:w="1479" w:type="pct"/>
            <w:tcBorders>
              <w:top w:val="single" w:color="000000" w:sz="4" w:space="0"/>
              <w:left w:val="single" w:color="000000" w:sz="4" w:space="0"/>
              <w:bottom w:val="single" w:color="000000" w:sz="4" w:space="0"/>
              <w:right w:val="single" w:color="000000" w:sz="4" w:space="0"/>
            </w:tcBorders>
            <w:vAlign w:val="center"/>
          </w:tcPr>
          <w:p w14:paraId="6EDE8DBD">
            <w:pPr>
              <w:ind w:left="-105" w:right="-105"/>
              <w:jc w:val="center"/>
              <w:rPr>
                <w:rFonts w:ascii="Times New Roman" w:hAnsi="Times New Roman"/>
                <w:color w:val="auto"/>
                <w:sz w:val="21"/>
                <w:szCs w:val="21"/>
                <w:highlight w:val="none"/>
              </w:rPr>
            </w:pPr>
            <w:r>
              <w:rPr>
                <w:rFonts w:hint="eastAsia" w:ascii="Times New Roman" w:hAnsi="Times New Roman" w:cs="Times New Roman"/>
                <w:bCs/>
                <w:color w:val="auto"/>
                <w:sz w:val="21"/>
                <w:szCs w:val="21"/>
                <w:highlight w:val="none"/>
              </w:rPr>
              <w:t>西厂界</w:t>
            </w:r>
          </w:p>
        </w:tc>
        <w:tc>
          <w:tcPr>
            <w:tcW w:w="1372" w:type="pct"/>
            <w:tcBorders>
              <w:top w:val="single" w:color="000000" w:sz="4" w:space="0"/>
              <w:left w:val="single" w:color="000000" w:sz="4" w:space="0"/>
              <w:bottom w:val="single" w:color="000000" w:sz="4" w:space="0"/>
              <w:right w:val="single" w:color="000000" w:sz="4" w:space="0"/>
            </w:tcBorders>
            <w:vAlign w:val="center"/>
          </w:tcPr>
          <w:p w14:paraId="69501D73">
            <w:pPr>
              <w:autoSpaceDE w:val="0"/>
              <w:autoSpaceDN w:val="0"/>
              <w:ind w:left="-105" w:right="-105"/>
              <w:jc w:val="center"/>
              <w:rPr>
                <w:rFonts w:ascii="Times New Roman" w:hAnsi="Times New Roman"/>
                <w:color w:val="auto"/>
                <w:sz w:val="21"/>
                <w:szCs w:val="21"/>
                <w:highlight w:val="none"/>
              </w:rPr>
            </w:pPr>
            <w:r>
              <w:rPr>
                <w:rFonts w:ascii="Times New Roman" w:hAnsi="Times New Roman"/>
                <w:color w:val="auto"/>
                <w:sz w:val="21"/>
                <w:szCs w:val="21"/>
                <w:highlight w:val="none"/>
              </w:rPr>
              <w:t>厂界外1m</w:t>
            </w:r>
          </w:p>
        </w:tc>
        <w:tc>
          <w:tcPr>
            <w:tcW w:w="1238" w:type="pct"/>
            <w:vMerge w:val="continue"/>
            <w:tcBorders>
              <w:left w:val="single" w:color="000000" w:sz="4" w:space="0"/>
              <w:right w:val="nil"/>
            </w:tcBorders>
            <w:vAlign w:val="center"/>
          </w:tcPr>
          <w:p w14:paraId="7938969F">
            <w:pPr>
              <w:ind w:left="-105" w:right="-105"/>
              <w:jc w:val="center"/>
              <w:rPr>
                <w:rFonts w:ascii="Times New Roman" w:hAnsi="Times New Roman"/>
                <w:color w:val="auto"/>
                <w:sz w:val="21"/>
                <w:szCs w:val="21"/>
                <w:highlight w:val="none"/>
              </w:rPr>
            </w:pPr>
          </w:p>
        </w:tc>
      </w:tr>
      <w:tr w14:paraId="3CC16931">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62" w:hRule="atLeast"/>
          <w:jc w:val="center"/>
        </w:trPr>
        <w:tc>
          <w:tcPr>
            <w:tcW w:w="1547" w:type="dxa"/>
            <w:tcBorders>
              <w:top w:val="single" w:color="000000" w:sz="4" w:space="0"/>
              <w:left w:val="nil"/>
              <w:bottom w:val="single" w:color="000000" w:sz="4" w:space="0"/>
              <w:right w:val="single" w:color="000000" w:sz="4" w:space="0"/>
            </w:tcBorders>
            <w:vAlign w:val="center"/>
          </w:tcPr>
          <w:p w14:paraId="13FDDD32">
            <w:pPr>
              <w:tabs>
                <w:tab w:val="left" w:pos="360"/>
                <w:tab w:val="left" w:pos="1080"/>
              </w:tabs>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Z4</w:t>
            </w:r>
          </w:p>
        </w:tc>
        <w:tc>
          <w:tcPr>
            <w:tcW w:w="1479" w:type="pct"/>
            <w:tcBorders>
              <w:top w:val="single" w:color="000000" w:sz="4" w:space="0"/>
              <w:left w:val="single" w:color="000000" w:sz="4" w:space="0"/>
              <w:bottom w:val="single" w:color="000000" w:sz="4" w:space="0"/>
              <w:right w:val="single" w:color="000000" w:sz="4" w:space="0"/>
            </w:tcBorders>
            <w:vAlign w:val="center"/>
          </w:tcPr>
          <w:p w14:paraId="5204F89D">
            <w:pPr>
              <w:ind w:left="-105" w:right="-105"/>
              <w:jc w:val="center"/>
              <w:rPr>
                <w:rFonts w:ascii="Times New Roman" w:hAnsi="Times New Roman"/>
                <w:color w:val="auto"/>
                <w:sz w:val="21"/>
                <w:szCs w:val="21"/>
                <w:highlight w:val="none"/>
              </w:rPr>
            </w:pPr>
            <w:r>
              <w:rPr>
                <w:rFonts w:hint="eastAsia" w:ascii="Times New Roman" w:hAnsi="Times New Roman" w:cs="Times New Roman"/>
                <w:bCs/>
                <w:color w:val="auto"/>
                <w:sz w:val="21"/>
                <w:szCs w:val="21"/>
                <w:highlight w:val="none"/>
              </w:rPr>
              <w:t>北厂界</w:t>
            </w:r>
          </w:p>
        </w:tc>
        <w:tc>
          <w:tcPr>
            <w:tcW w:w="1372" w:type="pct"/>
            <w:tcBorders>
              <w:top w:val="single" w:color="000000" w:sz="4" w:space="0"/>
              <w:left w:val="single" w:color="000000" w:sz="4" w:space="0"/>
              <w:bottom w:val="single" w:color="000000" w:sz="4" w:space="0"/>
              <w:right w:val="single" w:color="000000" w:sz="4" w:space="0"/>
            </w:tcBorders>
            <w:vAlign w:val="center"/>
          </w:tcPr>
          <w:p w14:paraId="308251B3">
            <w:pPr>
              <w:autoSpaceDE w:val="0"/>
              <w:autoSpaceDN w:val="0"/>
              <w:ind w:left="-105" w:right="-105"/>
              <w:jc w:val="center"/>
              <w:rPr>
                <w:rFonts w:ascii="Times New Roman" w:hAnsi="Times New Roman"/>
                <w:color w:val="auto"/>
                <w:sz w:val="21"/>
                <w:szCs w:val="21"/>
                <w:highlight w:val="none"/>
              </w:rPr>
            </w:pPr>
            <w:r>
              <w:rPr>
                <w:rFonts w:ascii="Times New Roman" w:hAnsi="Times New Roman"/>
                <w:color w:val="auto"/>
                <w:sz w:val="21"/>
                <w:szCs w:val="21"/>
                <w:highlight w:val="none"/>
              </w:rPr>
              <w:t>厂界外1m</w:t>
            </w:r>
          </w:p>
        </w:tc>
        <w:tc>
          <w:tcPr>
            <w:tcW w:w="1238" w:type="pct"/>
            <w:vMerge w:val="continue"/>
            <w:tcBorders>
              <w:left w:val="single" w:color="000000" w:sz="4" w:space="0"/>
              <w:right w:val="nil"/>
            </w:tcBorders>
            <w:vAlign w:val="center"/>
          </w:tcPr>
          <w:p w14:paraId="00464FA8">
            <w:pPr>
              <w:ind w:left="-105" w:right="-105"/>
              <w:jc w:val="center"/>
              <w:rPr>
                <w:rFonts w:ascii="Times New Roman" w:hAnsi="Times New Roman"/>
                <w:color w:val="auto"/>
                <w:sz w:val="21"/>
                <w:szCs w:val="21"/>
                <w:highlight w:val="none"/>
              </w:rPr>
            </w:pPr>
          </w:p>
        </w:tc>
      </w:tr>
      <w:tr w14:paraId="2EF682B5">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62" w:hRule="atLeast"/>
          <w:jc w:val="center"/>
        </w:trPr>
        <w:tc>
          <w:tcPr>
            <w:tcW w:w="1547" w:type="dxa"/>
            <w:tcBorders>
              <w:top w:val="single" w:color="000000" w:sz="4" w:space="0"/>
              <w:left w:val="nil"/>
              <w:bottom w:val="single" w:color="000000" w:sz="4" w:space="0"/>
              <w:right w:val="single" w:color="000000" w:sz="4" w:space="0"/>
            </w:tcBorders>
            <w:vAlign w:val="center"/>
          </w:tcPr>
          <w:p w14:paraId="34C8C99F">
            <w:pPr>
              <w:tabs>
                <w:tab w:val="left" w:pos="360"/>
                <w:tab w:val="left" w:pos="1080"/>
              </w:tabs>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Z5</w:t>
            </w:r>
          </w:p>
        </w:tc>
        <w:tc>
          <w:tcPr>
            <w:tcW w:w="1479" w:type="pct"/>
            <w:tcBorders>
              <w:top w:val="single" w:color="000000" w:sz="4" w:space="0"/>
              <w:left w:val="single" w:color="000000" w:sz="4" w:space="0"/>
              <w:bottom w:val="single" w:color="000000" w:sz="4" w:space="0"/>
              <w:right w:val="single" w:color="000000" w:sz="4" w:space="0"/>
            </w:tcBorders>
            <w:vAlign w:val="center"/>
          </w:tcPr>
          <w:p w14:paraId="199F5946">
            <w:pPr>
              <w:ind w:left="-105" w:right="-105"/>
              <w:jc w:val="center"/>
              <w:rPr>
                <w:rFonts w:ascii="Times New Roman" w:hAnsi="Times New Roman"/>
                <w:color w:val="auto"/>
                <w:sz w:val="21"/>
                <w:szCs w:val="21"/>
                <w:highlight w:val="none"/>
              </w:rPr>
            </w:pPr>
            <w:r>
              <w:rPr>
                <w:rFonts w:hint="eastAsia" w:ascii="Times New Roman" w:hAnsi="Times New Roman" w:cs="Times New Roman"/>
                <w:bCs/>
                <w:color w:val="auto"/>
                <w:sz w:val="21"/>
                <w:szCs w:val="21"/>
                <w:highlight w:val="none"/>
              </w:rPr>
              <w:t>周巷头</w:t>
            </w:r>
          </w:p>
        </w:tc>
        <w:tc>
          <w:tcPr>
            <w:tcW w:w="1372" w:type="pct"/>
            <w:tcBorders>
              <w:top w:val="single" w:color="000000" w:sz="4" w:space="0"/>
              <w:left w:val="single" w:color="000000" w:sz="4" w:space="0"/>
              <w:bottom w:val="single" w:color="000000" w:sz="4" w:space="0"/>
              <w:right w:val="single" w:color="000000" w:sz="4" w:space="0"/>
            </w:tcBorders>
            <w:vAlign w:val="center"/>
          </w:tcPr>
          <w:p w14:paraId="1932A295">
            <w:pPr>
              <w:autoSpaceDE w:val="0"/>
              <w:autoSpaceDN w:val="0"/>
              <w:ind w:left="-105" w:right="-105"/>
              <w:jc w:val="center"/>
              <w:rPr>
                <w:rFonts w:ascii="Times New Roman" w:hAnsi="Times New Roman"/>
                <w:color w:val="auto"/>
                <w:sz w:val="21"/>
                <w:szCs w:val="21"/>
                <w:highlight w:val="none"/>
              </w:rPr>
            </w:pPr>
            <w:r>
              <w:rPr>
                <w:rFonts w:hint="eastAsia" w:ascii="Times New Roman" w:hAnsi="Times New Roman"/>
                <w:color w:val="auto"/>
                <w:sz w:val="21"/>
                <w:szCs w:val="21"/>
                <w:highlight w:val="none"/>
                <w:lang w:val="en-US" w:eastAsia="zh-CN"/>
              </w:rPr>
              <w:t>30</w:t>
            </w:r>
            <w:r>
              <w:rPr>
                <w:rFonts w:hint="eastAsia" w:ascii="Times New Roman" w:hAnsi="Times New Roman"/>
                <w:color w:val="auto"/>
                <w:sz w:val="21"/>
                <w:szCs w:val="21"/>
                <w:highlight w:val="none"/>
              </w:rPr>
              <w:t>m</w:t>
            </w:r>
          </w:p>
        </w:tc>
        <w:tc>
          <w:tcPr>
            <w:tcW w:w="1238" w:type="pct"/>
            <w:vMerge w:val="continue"/>
            <w:tcBorders>
              <w:left w:val="single" w:color="000000" w:sz="4" w:space="0"/>
              <w:right w:val="nil"/>
            </w:tcBorders>
            <w:vAlign w:val="center"/>
          </w:tcPr>
          <w:p w14:paraId="64337A8F">
            <w:pPr>
              <w:ind w:left="-105" w:right="-105"/>
              <w:jc w:val="center"/>
              <w:rPr>
                <w:rFonts w:ascii="Times New Roman" w:hAnsi="Times New Roman"/>
                <w:color w:val="auto"/>
                <w:sz w:val="21"/>
                <w:szCs w:val="21"/>
                <w:highlight w:val="none"/>
              </w:rPr>
            </w:pPr>
          </w:p>
        </w:tc>
      </w:tr>
      <w:tr w14:paraId="0190B75A">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62" w:hRule="atLeast"/>
          <w:jc w:val="center"/>
        </w:trPr>
        <w:tc>
          <w:tcPr>
            <w:tcW w:w="1547" w:type="dxa"/>
            <w:tcBorders>
              <w:top w:val="single" w:color="000000" w:sz="4" w:space="0"/>
              <w:left w:val="nil"/>
              <w:bottom w:val="single" w:color="000000" w:sz="4" w:space="0"/>
              <w:right w:val="single" w:color="000000" w:sz="4" w:space="0"/>
            </w:tcBorders>
            <w:vAlign w:val="center"/>
          </w:tcPr>
          <w:p w14:paraId="150EA65B">
            <w:pPr>
              <w:tabs>
                <w:tab w:val="left" w:pos="360"/>
                <w:tab w:val="left" w:pos="1080"/>
              </w:tabs>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Z6</w:t>
            </w:r>
          </w:p>
        </w:tc>
        <w:tc>
          <w:tcPr>
            <w:tcW w:w="1479" w:type="pct"/>
            <w:tcBorders>
              <w:top w:val="single" w:color="000000" w:sz="4" w:space="0"/>
              <w:left w:val="single" w:color="000000" w:sz="4" w:space="0"/>
              <w:bottom w:val="single" w:color="000000" w:sz="4" w:space="0"/>
              <w:right w:val="single" w:color="000000" w:sz="4" w:space="0"/>
            </w:tcBorders>
            <w:vAlign w:val="center"/>
          </w:tcPr>
          <w:p w14:paraId="4386CEB5">
            <w:pPr>
              <w:ind w:left="-105" w:right="-105"/>
              <w:jc w:val="center"/>
              <w:rPr>
                <w:rFonts w:ascii="Times New Roman" w:hAnsi="Times New Roman"/>
                <w:color w:val="auto"/>
                <w:sz w:val="21"/>
                <w:szCs w:val="21"/>
                <w:highlight w:val="none"/>
              </w:rPr>
            </w:pPr>
            <w:r>
              <w:rPr>
                <w:rFonts w:hint="eastAsia" w:ascii="Times New Roman" w:hAnsi="Times New Roman" w:cs="Times New Roman"/>
                <w:bCs/>
                <w:color w:val="auto"/>
                <w:sz w:val="21"/>
                <w:szCs w:val="21"/>
                <w:highlight w:val="none"/>
              </w:rPr>
              <w:t>浦巷上</w:t>
            </w:r>
          </w:p>
        </w:tc>
        <w:tc>
          <w:tcPr>
            <w:tcW w:w="1372" w:type="pct"/>
            <w:tcBorders>
              <w:top w:val="single" w:color="000000" w:sz="4" w:space="0"/>
              <w:left w:val="single" w:color="000000" w:sz="4" w:space="0"/>
              <w:bottom w:val="single" w:color="000000" w:sz="4" w:space="0"/>
              <w:right w:val="single" w:color="000000" w:sz="4" w:space="0"/>
            </w:tcBorders>
            <w:vAlign w:val="center"/>
          </w:tcPr>
          <w:p w14:paraId="4AE33EC6">
            <w:pPr>
              <w:autoSpaceDE w:val="0"/>
              <w:autoSpaceDN w:val="0"/>
              <w:ind w:left="-105" w:right="-105"/>
              <w:jc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100m</w:t>
            </w:r>
          </w:p>
        </w:tc>
        <w:tc>
          <w:tcPr>
            <w:tcW w:w="1238" w:type="pct"/>
            <w:vMerge w:val="continue"/>
            <w:tcBorders>
              <w:left w:val="single" w:color="000000" w:sz="4" w:space="0"/>
              <w:right w:val="nil"/>
            </w:tcBorders>
            <w:vAlign w:val="center"/>
          </w:tcPr>
          <w:p w14:paraId="0C147A37">
            <w:pPr>
              <w:ind w:left="-105" w:right="-105"/>
              <w:jc w:val="center"/>
              <w:rPr>
                <w:rFonts w:ascii="Times New Roman" w:hAnsi="Times New Roman"/>
                <w:color w:val="auto"/>
                <w:sz w:val="21"/>
                <w:szCs w:val="21"/>
                <w:highlight w:val="none"/>
              </w:rPr>
            </w:pPr>
          </w:p>
        </w:tc>
      </w:tr>
      <w:tr w14:paraId="7B5256F8">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62" w:hRule="atLeast"/>
          <w:jc w:val="center"/>
        </w:trPr>
        <w:tc>
          <w:tcPr>
            <w:tcW w:w="1547" w:type="dxa"/>
            <w:tcBorders>
              <w:top w:val="single" w:color="000000" w:sz="4" w:space="0"/>
              <w:left w:val="nil"/>
              <w:bottom w:val="single" w:color="000000" w:sz="12" w:space="0"/>
              <w:right w:val="single" w:color="000000" w:sz="4" w:space="0"/>
            </w:tcBorders>
            <w:vAlign w:val="center"/>
          </w:tcPr>
          <w:p w14:paraId="02FE2D2E">
            <w:pPr>
              <w:tabs>
                <w:tab w:val="left" w:pos="360"/>
                <w:tab w:val="left" w:pos="1080"/>
              </w:tabs>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Z7</w:t>
            </w:r>
          </w:p>
        </w:tc>
        <w:tc>
          <w:tcPr>
            <w:tcW w:w="1479" w:type="pct"/>
            <w:tcBorders>
              <w:top w:val="single" w:color="000000" w:sz="4" w:space="0"/>
              <w:left w:val="single" w:color="000000" w:sz="4" w:space="0"/>
              <w:bottom w:val="single" w:color="000000" w:sz="12" w:space="0"/>
              <w:right w:val="single" w:color="000000" w:sz="4" w:space="0"/>
            </w:tcBorders>
            <w:vAlign w:val="center"/>
          </w:tcPr>
          <w:p w14:paraId="5418B847">
            <w:pPr>
              <w:ind w:left="-105" w:right="-105"/>
              <w:jc w:val="center"/>
              <w:rPr>
                <w:rFonts w:ascii="Times New Roman" w:hAnsi="Times New Roman"/>
                <w:color w:val="auto"/>
                <w:sz w:val="21"/>
                <w:szCs w:val="21"/>
                <w:highlight w:val="none"/>
              </w:rPr>
            </w:pPr>
            <w:r>
              <w:rPr>
                <w:rFonts w:hint="eastAsia" w:ascii="Times New Roman" w:hAnsi="Times New Roman" w:cs="Times New Roman"/>
                <w:bCs/>
                <w:color w:val="auto"/>
                <w:sz w:val="21"/>
                <w:szCs w:val="21"/>
                <w:highlight w:val="none"/>
              </w:rPr>
              <w:t>朱巷村</w:t>
            </w:r>
          </w:p>
        </w:tc>
        <w:tc>
          <w:tcPr>
            <w:tcW w:w="1372" w:type="pct"/>
            <w:tcBorders>
              <w:top w:val="single" w:color="000000" w:sz="4" w:space="0"/>
              <w:left w:val="single" w:color="000000" w:sz="4" w:space="0"/>
              <w:bottom w:val="single" w:color="000000" w:sz="12" w:space="0"/>
              <w:right w:val="single" w:color="000000" w:sz="4" w:space="0"/>
            </w:tcBorders>
            <w:vAlign w:val="center"/>
          </w:tcPr>
          <w:p w14:paraId="506EFB04">
            <w:pPr>
              <w:autoSpaceDE w:val="0"/>
              <w:autoSpaceDN w:val="0"/>
              <w:ind w:left="-105" w:right="-105"/>
              <w:jc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140m</w:t>
            </w:r>
          </w:p>
        </w:tc>
        <w:tc>
          <w:tcPr>
            <w:tcW w:w="1238" w:type="pct"/>
            <w:vMerge w:val="continue"/>
            <w:tcBorders>
              <w:left w:val="single" w:color="000000" w:sz="4" w:space="0"/>
              <w:bottom w:val="single" w:color="000000" w:sz="12" w:space="0"/>
              <w:right w:val="nil"/>
            </w:tcBorders>
            <w:vAlign w:val="center"/>
          </w:tcPr>
          <w:p w14:paraId="16F8CF69">
            <w:pPr>
              <w:ind w:left="-105" w:right="-105"/>
              <w:jc w:val="center"/>
              <w:rPr>
                <w:rFonts w:ascii="Times New Roman" w:hAnsi="Times New Roman"/>
                <w:color w:val="auto"/>
                <w:sz w:val="21"/>
                <w:szCs w:val="21"/>
                <w:highlight w:val="none"/>
              </w:rPr>
            </w:pPr>
          </w:p>
        </w:tc>
      </w:tr>
    </w:tbl>
    <w:p w14:paraId="19DB8D66">
      <w:pPr>
        <w:spacing w:line="360" w:lineRule="auto"/>
        <w:ind w:left="-105" w:right="-105" w:firstLine="480"/>
        <w:rPr>
          <w:rFonts w:ascii="Times New Roman" w:hAnsi="Times New Roman"/>
          <w:color w:val="auto"/>
          <w:highlight w:val="none"/>
        </w:rPr>
      </w:pPr>
      <w:r>
        <w:rPr>
          <w:rFonts w:ascii="Times New Roman" w:hAnsi="Times New Roman"/>
          <w:color w:val="auto"/>
          <w:highlight w:val="none"/>
        </w:rPr>
        <w:t>（2）监测时间及频次：202</w:t>
      </w:r>
      <w:r>
        <w:rPr>
          <w:rFonts w:hint="eastAsia" w:ascii="Times New Roman" w:hAnsi="Times New Roman"/>
          <w:color w:val="auto"/>
          <w:highlight w:val="none"/>
        </w:rPr>
        <w:t>4</w:t>
      </w:r>
      <w:r>
        <w:rPr>
          <w:rFonts w:ascii="Times New Roman" w:hAnsi="Times New Roman"/>
          <w:color w:val="auto"/>
          <w:highlight w:val="none"/>
        </w:rPr>
        <w:t>年</w:t>
      </w:r>
      <w:r>
        <w:rPr>
          <w:rFonts w:hint="eastAsia" w:ascii="Times New Roman" w:hAnsi="Times New Roman"/>
          <w:color w:val="auto"/>
          <w:highlight w:val="none"/>
        </w:rPr>
        <w:t>4</w:t>
      </w:r>
      <w:r>
        <w:rPr>
          <w:rFonts w:ascii="Times New Roman" w:hAnsi="Times New Roman"/>
          <w:color w:val="auto"/>
          <w:highlight w:val="none"/>
        </w:rPr>
        <w:t>月</w:t>
      </w:r>
      <w:r>
        <w:rPr>
          <w:rFonts w:hint="eastAsia" w:ascii="Times New Roman" w:hAnsi="Times New Roman"/>
          <w:color w:val="auto"/>
          <w:highlight w:val="none"/>
        </w:rPr>
        <w:t>22</w:t>
      </w:r>
      <w:r>
        <w:rPr>
          <w:rFonts w:ascii="Times New Roman" w:hAnsi="Times New Roman"/>
          <w:color w:val="auto"/>
          <w:highlight w:val="none"/>
        </w:rPr>
        <w:t>日、</w:t>
      </w:r>
      <w:r>
        <w:rPr>
          <w:rFonts w:hint="eastAsia" w:ascii="Times New Roman" w:hAnsi="Times New Roman"/>
          <w:color w:val="auto"/>
          <w:highlight w:val="none"/>
        </w:rPr>
        <w:t>23</w:t>
      </w:r>
      <w:r>
        <w:rPr>
          <w:rFonts w:ascii="Times New Roman" w:hAnsi="Times New Roman"/>
          <w:color w:val="auto"/>
          <w:highlight w:val="none"/>
        </w:rPr>
        <w:t>日监测两天，昼夜间各一次；</w:t>
      </w:r>
    </w:p>
    <w:p w14:paraId="640A630A">
      <w:pPr>
        <w:spacing w:line="360" w:lineRule="auto"/>
        <w:ind w:left="-105" w:right="-105" w:firstLine="480"/>
        <w:rPr>
          <w:rFonts w:ascii="Times New Roman" w:hAnsi="Times New Roman"/>
          <w:color w:val="auto"/>
          <w:highlight w:val="none"/>
        </w:rPr>
      </w:pPr>
      <w:r>
        <w:rPr>
          <w:rFonts w:ascii="Times New Roman" w:hAnsi="Times New Roman"/>
          <w:color w:val="auto"/>
          <w:highlight w:val="none"/>
        </w:rPr>
        <w:t>（3）监测方法：厂界环境噪声监测采用《声环</w:t>
      </w:r>
      <w:r>
        <w:rPr>
          <w:rFonts w:ascii="Times New Roman" w:hAnsi="Times New Roman"/>
          <w:color w:val="auto"/>
          <w:highlight w:val="none"/>
        </w:rPr>
        <w:t>境质量标准》（GB3096-2008）标准。</w:t>
      </w:r>
    </w:p>
    <w:p w14:paraId="186A79F1">
      <w:pPr>
        <w:spacing w:line="360" w:lineRule="auto"/>
        <w:ind w:left="-105" w:right="-105" w:firstLine="480"/>
        <w:rPr>
          <w:rFonts w:ascii="Times New Roman" w:hAnsi="Times New Roman"/>
          <w:color w:val="auto"/>
          <w:highlight w:val="none"/>
        </w:rPr>
      </w:pPr>
      <w:r>
        <w:rPr>
          <w:rFonts w:ascii="Times New Roman" w:hAnsi="Times New Roman"/>
          <w:color w:val="auto"/>
          <w:highlight w:val="none"/>
        </w:rPr>
        <w:t>（4）监测结果：</w:t>
      </w:r>
    </w:p>
    <w:p w14:paraId="2FF29725">
      <w:pPr>
        <w:spacing w:line="360" w:lineRule="auto"/>
        <w:ind w:left="-105" w:right="-105" w:firstLine="480"/>
        <w:rPr>
          <w:rFonts w:ascii="Times New Roman" w:hAnsi="Times New Roman"/>
          <w:color w:val="auto"/>
          <w:highlight w:val="none"/>
        </w:rPr>
      </w:pPr>
      <w:r>
        <w:rPr>
          <w:rFonts w:hint="eastAsia" w:ascii="Times New Roman" w:hAnsi="Times New Roman"/>
          <w:color w:val="auto"/>
          <w:highlight w:val="none"/>
        </w:rPr>
        <w:t>本次委托无锡市恒信安全技术服务有限公司进行检测，根据出具的检测报告（报告编号：恒信（环）字第HXHJ202404054号），</w:t>
      </w:r>
      <w:r>
        <w:rPr>
          <w:rFonts w:ascii="Times New Roman" w:hAnsi="Times New Roman"/>
          <w:color w:val="auto"/>
          <w:highlight w:val="none"/>
        </w:rPr>
        <w:t>本次各测点噪声环境现状监测结果列于下表。</w:t>
      </w:r>
    </w:p>
    <w:p w14:paraId="5315D2BD">
      <w:pPr>
        <w:pStyle w:val="15"/>
        <w:spacing w:line="360" w:lineRule="auto"/>
        <w:ind w:left="-105" w:right="-105" w:firstLine="482"/>
        <w:rPr>
          <w:rFonts w:eastAsia="宋体" w:cs="Times New Roman"/>
          <w:bCs/>
          <w:color w:val="auto"/>
          <w:sz w:val="24"/>
          <w:szCs w:val="22"/>
          <w:highlight w:val="none"/>
        </w:rPr>
      </w:pPr>
      <w:bookmarkStart w:id="349" w:name="_Ref36569566"/>
      <w:r>
        <w:rPr>
          <w:rFonts w:eastAsia="宋体" w:cs="Times New Roman"/>
          <w:color w:val="auto"/>
          <w:sz w:val="24"/>
          <w:szCs w:val="18"/>
          <w:highlight w:val="none"/>
        </w:rPr>
        <w:t>表</w:t>
      </w:r>
      <w:r>
        <w:rPr>
          <w:rFonts w:eastAsia="宋体" w:cs="Times New Roman"/>
          <w:color w:val="auto"/>
          <w:sz w:val="24"/>
          <w:szCs w:val="18"/>
          <w:highlight w:val="none"/>
        </w:rPr>
        <w:fldChar w:fldCharType="begin"/>
      </w:r>
      <w:r>
        <w:rPr>
          <w:rFonts w:eastAsia="宋体" w:cs="Times New Roman"/>
          <w:color w:val="auto"/>
          <w:sz w:val="24"/>
          <w:szCs w:val="18"/>
          <w:highlight w:val="none"/>
        </w:rPr>
        <w:instrText xml:space="preserve"> STYLEREF 2 \s </w:instrText>
      </w:r>
      <w:r>
        <w:rPr>
          <w:rFonts w:eastAsia="宋体" w:cs="Times New Roman"/>
          <w:color w:val="auto"/>
          <w:sz w:val="24"/>
          <w:szCs w:val="18"/>
          <w:highlight w:val="none"/>
        </w:rPr>
        <w:fldChar w:fldCharType="separate"/>
      </w:r>
      <w:r>
        <w:rPr>
          <w:rFonts w:eastAsia="宋体" w:cs="Times New Roman"/>
          <w:color w:val="auto"/>
          <w:sz w:val="24"/>
          <w:szCs w:val="18"/>
          <w:highlight w:val="none"/>
        </w:rPr>
        <w:t>5.3</w:t>
      </w:r>
      <w:r>
        <w:rPr>
          <w:rFonts w:eastAsia="宋体" w:cs="Times New Roman"/>
          <w:color w:val="auto"/>
          <w:sz w:val="24"/>
          <w:szCs w:val="18"/>
          <w:highlight w:val="none"/>
        </w:rPr>
        <w:fldChar w:fldCharType="end"/>
      </w:r>
      <w:r>
        <w:rPr>
          <w:rFonts w:eastAsia="宋体" w:cs="Times New Roman"/>
          <w:color w:val="auto"/>
          <w:sz w:val="24"/>
          <w:szCs w:val="18"/>
          <w:highlight w:val="none"/>
        </w:rPr>
        <w:noBreakHyphen/>
      </w:r>
      <w:r>
        <w:rPr>
          <w:rFonts w:eastAsia="宋体" w:cs="Times New Roman"/>
          <w:color w:val="auto"/>
          <w:sz w:val="24"/>
          <w:szCs w:val="18"/>
          <w:highlight w:val="none"/>
        </w:rPr>
        <w:fldChar w:fldCharType="begin"/>
      </w:r>
      <w:r>
        <w:rPr>
          <w:rFonts w:eastAsia="宋体" w:cs="Times New Roman"/>
          <w:color w:val="auto"/>
          <w:sz w:val="24"/>
          <w:szCs w:val="18"/>
          <w:highlight w:val="none"/>
        </w:rPr>
        <w:instrText xml:space="preserve"> SEQ 表 \* ARABIC \s 2 </w:instrText>
      </w:r>
      <w:r>
        <w:rPr>
          <w:rFonts w:eastAsia="宋体" w:cs="Times New Roman"/>
          <w:color w:val="auto"/>
          <w:sz w:val="24"/>
          <w:szCs w:val="18"/>
          <w:highlight w:val="none"/>
        </w:rPr>
        <w:fldChar w:fldCharType="separate"/>
      </w:r>
      <w:r>
        <w:rPr>
          <w:rFonts w:eastAsia="宋体" w:cs="Times New Roman"/>
          <w:color w:val="auto"/>
          <w:sz w:val="24"/>
          <w:szCs w:val="18"/>
          <w:highlight w:val="none"/>
        </w:rPr>
        <w:t>9</w:t>
      </w:r>
      <w:r>
        <w:rPr>
          <w:rFonts w:eastAsia="宋体" w:cs="Times New Roman"/>
          <w:color w:val="auto"/>
          <w:sz w:val="24"/>
          <w:szCs w:val="18"/>
          <w:highlight w:val="none"/>
        </w:rPr>
        <w:fldChar w:fldCharType="end"/>
      </w:r>
      <w:r>
        <w:rPr>
          <w:rFonts w:eastAsia="宋体" w:cs="Times New Roman"/>
          <w:color w:val="auto"/>
          <w:sz w:val="24"/>
          <w:szCs w:val="18"/>
          <w:highlight w:val="none"/>
        </w:rPr>
        <w:t>各测点噪声监测结果（单位：dB(A)）</w:t>
      </w:r>
      <w:bookmarkEnd w:id="349"/>
    </w:p>
    <w:tbl>
      <w:tblPr>
        <w:tblStyle w:val="45"/>
        <w:tblW w:w="4997" w:type="pct"/>
        <w:tblInd w:w="0" w:type="dxa"/>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autofit"/>
        <w:tblCellMar>
          <w:top w:w="0" w:type="dxa"/>
          <w:left w:w="0" w:type="dxa"/>
          <w:bottom w:w="0" w:type="dxa"/>
          <w:right w:w="0" w:type="dxa"/>
        </w:tblCellMar>
      </w:tblPr>
      <w:tblGrid>
        <w:gridCol w:w="709"/>
        <w:gridCol w:w="878"/>
        <w:gridCol w:w="1453"/>
        <w:gridCol w:w="909"/>
        <w:gridCol w:w="909"/>
        <w:gridCol w:w="909"/>
        <w:gridCol w:w="909"/>
        <w:gridCol w:w="909"/>
        <w:gridCol w:w="914"/>
      </w:tblGrid>
      <w:tr w14:paraId="281975BC">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417" w:type="pct"/>
            <w:tcBorders>
              <w:tl2br w:val="nil"/>
              <w:tr2bl w:val="nil"/>
            </w:tcBorders>
            <w:vAlign w:val="center"/>
          </w:tcPr>
          <w:p w14:paraId="7DE61742">
            <w:pPr>
              <w:keepNext w:val="0"/>
              <w:keepLines w:val="0"/>
              <w:pageBreakBefore w:val="0"/>
              <w:kinsoku/>
              <w:wordWrap/>
              <w:overflowPunct/>
              <w:topLinePunct w:val="0"/>
              <w:autoSpaceDE w:val="0"/>
              <w:autoSpaceDN w:val="0"/>
              <w:bidi w:val="0"/>
              <w:adjustRightInd/>
              <w:snapToGrid/>
              <w:ind w:left="0" w:right="0"/>
              <w:jc w:val="center"/>
              <w:textAlignment w:val="auto"/>
              <w:rPr>
                <w:rFonts w:ascii="Times New Roman" w:hAnsi="Times New Roman"/>
                <w:b/>
                <w:bCs/>
                <w:color w:val="auto"/>
                <w:sz w:val="21"/>
                <w:szCs w:val="21"/>
                <w:highlight w:val="none"/>
              </w:rPr>
            </w:pPr>
            <w:r>
              <w:rPr>
                <w:rFonts w:ascii="Times New Roman" w:hAnsi="Times New Roman"/>
                <w:b/>
                <w:bCs/>
                <w:color w:val="auto"/>
                <w:sz w:val="21"/>
                <w:szCs w:val="21"/>
                <w:highlight w:val="none"/>
              </w:rPr>
              <w:t>监测时</w:t>
            </w:r>
          </w:p>
          <w:p w14:paraId="64FCF01C">
            <w:pPr>
              <w:keepNext w:val="0"/>
              <w:keepLines w:val="0"/>
              <w:pageBreakBefore w:val="0"/>
              <w:kinsoku/>
              <w:wordWrap/>
              <w:overflowPunct/>
              <w:topLinePunct w:val="0"/>
              <w:autoSpaceDE w:val="0"/>
              <w:autoSpaceDN w:val="0"/>
              <w:bidi w:val="0"/>
              <w:adjustRightInd/>
              <w:snapToGrid/>
              <w:ind w:left="0" w:right="0"/>
              <w:jc w:val="center"/>
              <w:textAlignment w:val="auto"/>
              <w:rPr>
                <w:rFonts w:ascii="Times New Roman" w:hAnsi="Times New Roman"/>
                <w:b/>
                <w:bCs/>
                <w:color w:val="auto"/>
                <w:sz w:val="21"/>
                <w:szCs w:val="21"/>
                <w:highlight w:val="none"/>
              </w:rPr>
            </w:pPr>
            <w:r>
              <w:rPr>
                <w:rFonts w:ascii="Times New Roman" w:hAnsi="Times New Roman"/>
                <w:b/>
                <w:bCs/>
                <w:color w:val="auto"/>
                <w:sz w:val="21"/>
                <w:szCs w:val="21"/>
                <w:highlight w:val="none"/>
              </w:rPr>
              <w:t>间</w:t>
            </w:r>
          </w:p>
        </w:tc>
        <w:tc>
          <w:tcPr>
            <w:tcW w:w="516" w:type="pct"/>
            <w:tcBorders>
              <w:tl2br w:val="nil"/>
              <w:tr2bl w:val="nil"/>
            </w:tcBorders>
            <w:vAlign w:val="center"/>
          </w:tcPr>
          <w:p w14:paraId="3B92AD8C">
            <w:pPr>
              <w:keepNext w:val="0"/>
              <w:keepLines w:val="0"/>
              <w:pageBreakBefore w:val="0"/>
              <w:kinsoku/>
              <w:wordWrap/>
              <w:overflowPunct/>
              <w:topLinePunct w:val="0"/>
              <w:autoSpaceDE w:val="0"/>
              <w:autoSpaceDN w:val="0"/>
              <w:bidi w:val="0"/>
              <w:adjustRightInd/>
              <w:snapToGrid/>
              <w:ind w:left="0" w:right="0"/>
              <w:jc w:val="center"/>
              <w:textAlignment w:val="auto"/>
              <w:rPr>
                <w:rFonts w:ascii="Times New Roman" w:hAnsi="Times New Roman"/>
                <w:b/>
                <w:bCs/>
                <w:color w:val="auto"/>
                <w:sz w:val="21"/>
                <w:szCs w:val="21"/>
                <w:highlight w:val="none"/>
              </w:rPr>
            </w:pPr>
            <w:r>
              <w:rPr>
                <w:rFonts w:ascii="Times New Roman" w:hAnsi="Times New Roman"/>
                <w:b/>
                <w:bCs/>
                <w:color w:val="auto"/>
                <w:sz w:val="21"/>
                <w:szCs w:val="21"/>
                <w:highlight w:val="none"/>
              </w:rPr>
              <w:t>监测点号</w:t>
            </w:r>
          </w:p>
        </w:tc>
        <w:tc>
          <w:tcPr>
            <w:tcW w:w="854" w:type="pct"/>
            <w:tcBorders>
              <w:tl2br w:val="nil"/>
              <w:tr2bl w:val="nil"/>
            </w:tcBorders>
            <w:vAlign w:val="center"/>
          </w:tcPr>
          <w:p w14:paraId="07052BEE">
            <w:pPr>
              <w:keepNext w:val="0"/>
              <w:keepLines w:val="0"/>
              <w:pageBreakBefore w:val="0"/>
              <w:kinsoku/>
              <w:wordWrap/>
              <w:overflowPunct/>
              <w:topLinePunct w:val="0"/>
              <w:autoSpaceDE w:val="0"/>
              <w:autoSpaceDN w:val="0"/>
              <w:bidi w:val="0"/>
              <w:adjustRightInd/>
              <w:snapToGrid/>
              <w:ind w:left="0" w:right="0"/>
              <w:jc w:val="center"/>
              <w:textAlignment w:val="auto"/>
              <w:rPr>
                <w:rFonts w:ascii="Times New Roman" w:hAnsi="Times New Roman"/>
                <w:b/>
                <w:bCs/>
                <w:color w:val="auto"/>
                <w:sz w:val="21"/>
                <w:szCs w:val="21"/>
                <w:highlight w:val="none"/>
              </w:rPr>
            </w:pPr>
            <w:r>
              <w:rPr>
                <w:rFonts w:ascii="Times New Roman" w:hAnsi="Times New Roman"/>
                <w:b/>
                <w:bCs/>
                <w:color w:val="auto"/>
                <w:sz w:val="21"/>
                <w:szCs w:val="21"/>
                <w:highlight w:val="none"/>
              </w:rPr>
              <w:t>环境功能</w:t>
            </w:r>
          </w:p>
        </w:tc>
        <w:tc>
          <w:tcPr>
            <w:tcW w:w="534" w:type="pct"/>
            <w:tcBorders>
              <w:tl2br w:val="nil"/>
              <w:tr2bl w:val="nil"/>
            </w:tcBorders>
            <w:vAlign w:val="center"/>
          </w:tcPr>
          <w:p w14:paraId="459F5389">
            <w:pPr>
              <w:keepNext w:val="0"/>
              <w:keepLines w:val="0"/>
              <w:pageBreakBefore w:val="0"/>
              <w:kinsoku/>
              <w:wordWrap/>
              <w:overflowPunct/>
              <w:topLinePunct w:val="0"/>
              <w:autoSpaceDE w:val="0"/>
              <w:autoSpaceDN w:val="0"/>
              <w:bidi w:val="0"/>
              <w:adjustRightInd/>
              <w:snapToGrid/>
              <w:ind w:left="0" w:right="0"/>
              <w:jc w:val="center"/>
              <w:textAlignment w:val="auto"/>
              <w:rPr>
                <w:rFonts w:hint="eastAsia" w:ascii="Times New Roman" w:hAnsi="Times New Roman" w:eastAsia="宋体"/>
                <w:b/>
                <w:bCs/>
                <w:color w:val="auto"/>
                <w:sz w:val="21"/>
                <w:szCs w:val="21"/>
                <w:highlight w:val="none"/>
                <w:lang w:val="en-US" w:eastAsia="zh-CN"/>
              </w:rPr>
            </w:pPr>
            <w:r>
              <w:rPr>
                <w:rFonts w:hint="eastAsia" w:ascii="Times New Roman" w:hAnsi="Times New Roman"/>
                <w:b/>
                <w:bCs/>
                <w:color w:val="auto"/>
                <w:sz w:val="21"/>
                <w:szCs w:val="21"/>
                <w:highlight w:val="none"/>
                <w:lang w:val="en-US" w:eastAsia="zh-CN"/>
              </w:rPr>
              <w:t>昼间标准</w:t>
            </w:r>
          </w:p>
        </w:tc>
        <w:tc>
          <w:tcPr>
            <w:tcW w:w="534" w:type="pct"/>
            <w:tcBorders>
              <w:tl2br w:val="nil"/>
              <w:tr2bl w:val="nil"/>
            </w:tcBorders>
            <w:vAlign w:val="center"/>
          </w:tcPr>
          <w:p w14:paraId="13B75249">
            <w:pPr>
              <w:keepNext w:val="0"/>
              <w:keepLines w:val="0"/>
              <w:pageBreakBefore w:val="0"/>
              <w:kinsoku/>
              <w:wordWrap/>
              <w:overflowPunct/>
              <w:topLinePunct w:val="0"/>
              <w:autoSpaceDE w:val="0"/>
              <w:autoSpaceDN w:val="0"/>
              <w:bidi w:val="0"/>
              <w:adjustRightInd/>
              <w:snapToGrid/>
              <w:ind w:left="0" w:right="0"/>
              <w:jc w:val="center"/>
              <w:textAlignment w:val="auto"/>
              <w:rPr>
                <w:rFonts w:ascii="Times New Roman" w:hAnsi="Times New Roman"/>
                <w:b/>
                <w:bCs/>
                <w:color w:val="auto"/>
                <w:sz w:val="21"/>
                <w:szCs w:val="21"/>
                <w:highlight w:val="none"/>
              </w:rPr>
            </w:pPr>
            <w:r>
              <w:rPr>
                <w:rFonts w:ascii="Times New Roman" w:hAnsi="Times New Roman"/>
                <w:b/>
                <w:bCs/>
                <w:color w:val="auto"/>
                <w:sz w:val="21"/>
                <w:szCs w:val="21"/>
                <w:highlight w:val="none"/>
              </w:rPr>
              <w:t>昼间</w:t>
            </w:r>
          </w:p>
        </w:tc>
        <w:tc>
          <w:tcPr>
            <w:tcW w:w="534" w:type="pct"/>
            <w:tcBorders>
              <w:tl2br w:val="nil"/>
              <w:tr2bl w:val="nil"/>
            </w:tcBorders>
            <w:vAlign w:val="center"/>
          </w:tcPr>
          <w:p w14:paraId="78AB52B8">
            <w:pPr>
              <w:keepNext w:val="0"/>
              <w:keepLines w:val="0"/>
              <w:pageBreakBefore w:val="0"/>
              <w:kinsoku/>
              <w:wordWrap/>
              <w:overflowPunct/>
              <w:topLinePunct w:val="0"/>
              <w:autoSpaceDE w:val="0"/>
              <w:autoSpaceDN w:val="0"/>
              <w:bidi w:val="0"/>
              <w:adjustRightInd/>
              <w:snapToGrid/>
              <w:ind w:left="0" w:right="0"/>
              <w:jc w:val="center"/>
              <w:textAlignment w:val="auto"/>
              <w:rPr>
                <w:rFonts w:ascii="Times New Roman" w:hAnsi="Times New Roman"/>
                <w:b/>
                <w:bCs/>
                <w:color w:val="auto"/>
                <w:sz w:val="21"/>
                <w:szCs w:val="21"/>
                <w:highlight w:val="none"/>
              </w:rPr>
            </w:pPr>
            <w:r>
              <w:rPr>
                <w:rFonts w:ascii="Times New Roman" w:hAnsi="Times New Roman"/>
                <w:b/>
                <w:bCs/>
                <w:color w:val="auto"/>
                <w:sz w:val="21"/>
                <w:szCs w:val="21"/>
                <w:highlight w:val="none"/>
              </w:rPr>
              <w:t>达标状况</w:t>
            </w:r>
          </w:p>
        </w:tc>
        <w:tc>
          <w:tcPr>
            <w:tcW w:w="534" w:type="pct"/>
            <w:tcBorders>
              <w:tl2br w:val="nil"/>
              <w:tr2bl w:val="nil"/>
            </w:tcBorders>
            <w:vAlign w:val="center"/>
          </w:tcPr>
          <w:p w14:paraId="227646C5">
            <w:pPr>
              <w:keepNext w:val="0"/>
              <w:keepLines w:val="0"/>
              <w:pageBreakBefore w:val="0"/>
              <w:kinsoku/>
              <w:wordWrap/>
              <w:overflowPunct/>
              <w:topLinePunct w:val="0"/>
              <w:autoSpaceDE w:val="0"/>
              <w:autoSpaceDN w:val="0"/>
              <w:bidi w:val="0"/>
              <w:adjustRightInd/>
              <w:snapToGrid/>
              <w:ind w:left="0" w:right="0"/>
              <w:jc w:val="center"/>
              <w:textAlignment w:val="auto"/>
              <w:rPr>
                <w:rFonts w:hint="eastAsia" w:ascii="Times New Roman" w:hAnsi="Times New Roman" w:eastAsia="宋体"/>
                <w:b/>
                <w:bCs/>
                <w:color w:val="auto"/>
                <w:sz w:val="21"/>
                <w:szCs w:val="21"/>
                <w:highlight w:val="none"/>
                <w:lang w:val="en-US" w:eastAsia="zh-CN"/>
              </w:rPr>
            </w:pPr>
            <w:r>
              <w:rPr>
                <w:rFonts w:hint="eastAsia" w:ascii="Times New Roman" w:hAnsi="Times New Roman"/>
                <w:b/>
                <w:bCs/>
                <w:color w:val="auto"/>
                <w:sz w:val="21"/>
                <w:szCs w:val="21"/>
                <w:highlight w:val="none"/>
                <w:lang w:val="en-US" w:eastAsia="zh-CN"/>
              </w:rPr>
              <w:t>夜间标准</w:t>
            </w:r>
          </w:p>
        </w:tc>
        <w:tc>
          <w:tcPr>
            <w:tcW w:w="534" w:type="pct"/>
            <w:tcBorders>
              <w:tl2br w:val="nil"/>
              <w:tr2bl w:val="nil"/>
            </w:tcBorders>
            <w:vAlign w:val="center"/>
          </w:tcPr>
          <w:p w14:paraId="43F05AEA">
            <w:pPr>
              <w:keepNext w:val="0"/>
              <w:keepLines w:val="0"/>
              <w:pageBreakBefore w:val="0"/>
              <w:kinsoku/>
              <w:wordWrap/>
              <w:overflowPunct/>
              <w:topLinePunct w:val="0"/>
              <w:autoSpaceDE w:val="0"/>
              <w:autoSpaceDN w:val="0"/>
              <w:bidi w:val="0"/>
              <w:adjustRightInd/>
              <w:snapToGrid/>
              <w:ind w:left="0" w:right="0"/>
              <w:jc w:val="center"/>
              <w:textAlignment w:val="auto"/>
              <w:rPr>
                <w:rFonts w:ascii="Times New Roman" w:hAnsi="Times New Roman"/>
                <w:b/>
                <w:bCs/>
                <w:color w:val="auto"/>
                <w:sz w:val="21"/>
                <w:szCs w:val="21"/>
                <w:highlight w:val="none"/>
              </w:rPr>
            </w:pPr>
            <w:r>
              <w:rPr>
                <w:rFonts w:ascii="Times New Roman" w:hAnsi="Times New Roman"/>
                <w:b/>
                <w:bCs/>
                <w:color w:val="auto"/>
                <w:sz w:val="21"/>
                <w:szCs w:val="21"/>
                <w:highlight w:val="none"/>
              </w:rPr>
              <w:t>夜间</w:t>
            </w:r>
          </w:p>
        </w:tc>
        <w:tc>
          <w:tcPr>
            <w:tcW w:w="537" w:type="pct"/>
            <w:tcBorders>
              <w:tl2br w:val="nil"/>
              <w:tr2bl w:val="nil"/>
            </w:tcBorders>
            <w:vAlign w:val="center"/>
          </w:tcPr>
          <w:p w14:paraId="251B5505">
            <w:pPr>
              <w:keepNext w:val="0"/>
              <w:keepLines w:val="0"/>
              <w:pageBreakBefore w:val="0"/>
              <w:kinsoku/>
              <w:wordWrap/>
              <w:overflowPunct/>
              <w:topLinePunct w:val="0"/>
              <w:autoSpaceDE w:val="0"/>
              <w:autoSpaceDN w:val="0"/>
              <w:bidi w:val="0"/>
              <w:adjustRightInd/>
              <w:snapToGrid/>
              <w:ind w:left="0" w:right="0"/>
              <w:jc w:val="center"/>
              <w:textAlignment w:val="auto"/>
              <w:rPr>
                <w:rFonts w:ascii="Times New Roman" w:hAnsi="Times New Roman"/>
                <w:b/>
                <w:bCs/>
                <w:color w:val="auto"/>
                <w:sz w:val="21"/>
                <w:szCs w:val="21"/>
                <w:highlight w:val="none"/>
              </w:rPr>
            </w:pPr>
            <w:r>
              <w:rPr>
                <w:rFonts w:ascii="Times New Roman" w:hAnsi="Times New Roman"/>
                <w:b/>
                <w:bCs/>
                <w:color w:val="auto"/>
                <w:sz w:val="21"/>
                <w:szCs w:val="21"/>
                <w:highlight w:val="none"/>
              </w:rPr>
              <w:t>达标状况</w:t>
            </w:r>
          </w:p>
        </w:tc>
      </w:tr>
      <w:tr w14:paraId="086C9394">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417" w:type="pct"/>
            <w:vMerge w:val="restart"/>
            <w:tcBorders>
              <w:tl2br w:val="nil"/>
              <w:tr2bl w:val="nil"/>
            </w:tcBorders>
            <w:vAlign w:val="center"/>
          </w:tcPr>
          <w:p w14:paraId="5E174F30">
            <w:pPr>
              <w:keepNext w:val="0"/>
              <w:keepLines w:val="0"/>
              <w:pageBreakBefore w:val="0"/>
              <w:kinsoku/>
              <w:wordWrap/>
              <w:overflowPunct/>
              <w:topLinePunct w:val="0"/>
              <w:autoSpaceDE w:val="0"/>
              <w:autoSpaceDN w:val="0"/>
              <w:bidi w:val="0"/>
              <w:adjustRightInd/>
              <w:snapToGrid/>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2024年4月22日</w:t>
            </w:r>
          </w:p>
        </w:tc>
        <w:tc>
          <w:tcPr>
            <w:tcW w:w="516" w:type="pct"/>
            <w:tcBorders>
              <w:tl2br w:val="nil"/>
              <w:tr2bl w:val="nil"/>
            </w:tcBorders>
            <w:vAlign w:val="center"/>
          </w:tcPr>
          <w:p w14:paraId="13A07F9B">
            <w:pPr>
              <w:keepNext w:val="0"/>
              <w:keepLines w:val="0"/>
              <w:pageBreakBefore w:val="0"/>
              <w:tabs>
                <w:tab w:val="left" w:pos="360"/>
                <w:tab w:val="left" w:pos="1080"/>
              </w:tabs>
              <w:kinsoku/>
              <w:wordWrap/>
              <w:overflowPunct/>
              <w:topLinePunct w:val="0"/>
              <w:bidi w:val="0"/>
              <w:adjustRightInd/>
              <w:snapToGrid/>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Z1</w:t>
            </w:r>
          </w:p>
        </w:tc>
        <w:tc>
          <w:tcPr>
            <w:tcW w:w="854" w:type="pct"/>
            <w:vMerge w:val="restart"/>
            <w:tcBorders>
              <w:tl2br w:val="nil"/>
              <w:tr2bl w:val="nil"/>
            </w:tcBorders>
            <w:vAlign w:val="center"/>
          </w:tcPr>
          <w:p w14:paraId="792877C6">
            <w:pPr>
              <w:keepNext w:val="0"/>
              <w:keepLines w:val="0"/>
              <w:pageBreakBefore w:val="0"/>
              <w:kinsoku/>
              <w:wordWrap/>
              <w:overflowPunct/>
              <w:topLinePunct w:val="0"/>
              <w:autoSpaceDE w:val="0"/>
              <w:autoSpaceDN w:val="0"/>
              <w:bidi w:val="0"/>
              <w:adjustRightInd/>
              <w:snapToGrid/>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《声环境质量标准》</w:t>
            </w:r>
          </w:p>
          <w:p w14:paraId="16253BF7">
            <w:pPr>
              <w:keepNext w:val="0"/>
              <w:keepLines w:val="0"/>
              <w:pageBreakBefore w:val="0"/>
              <w:kinsoku/>
              <w:wordWrap/>
              <w:overflowPunct/>
              <w:topLinePunct w:val="0"/>
              <w:autoSpaceDE w:val="0"/>
              <w:autoSpaceDN w:val="0"/>
              <w:bidi w:val="0"/>
              <w:adjustRightInd/>
              <w:snapToGrid/>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（GB3096-2008中的</w:t>
            </w:r>
            <w:r>
              <w:rPr>
                <w:rFonts w:hint="eastAsia" w:ascii="Times New Roman" w:hAnsi="Times New Roman" w:cs="Times New Roman"/>
                <w:color w:val="auto"/>
                <w:sz w:val="21"/>
                <w:szCs w:val="21"/>
                <w:highlight w:val="none"/>
              </w:rPr>
              <w:t>2类</w:t>
            </w:r>
            <w:r>
              <w:rPr>
                <w:rFonts w:hint="eastAsia" w:ascii="Times New Roman" w:hAnsi="Times New Roman" w:cs="Times New Roman"/>
                <w:color w:val="auto"/>
                <w:sz w:val="21"/>
                <w:szCs w:val="21"/>
                <w:highlight w:val="none"/>
              </w:rPr>
              <w:t>、</w:t>
            </w:r>
            <w:r>
              <w:rPr>
                <w:rFonts w:ascii="Times New Roman" w:hAnsi="Times New Roman" w:cs="Times New Roman"/>
                <w:color w:val="auto"/>
                <w:sz w:val="21"/>
                <w:szCs w:val="21"/>
                <w:highlight w:val="none"/>
              </w:rPr>
              <w:t>3类标准）</w:t>
            </w:r>
          </w:p>
        </w:tc>
        <w:tc>
          <w:tcPr>
            <w:tcW w:w="534" w:type="pct"/>
            <w:tcBorders>
              <w:tl2br w:val="nil"/>
              <w:tr2bl w:val="nil"/>
            </w:tcBorders>
            <w:vAlign w:val="center"/>
          </w:tcPr>
          <w:p w14:paraId="6A9559C3">
            <w:pPr>
              <w:keepNext w:val="0"/>
              <w:keepLines w:val="0"/>
              <w:pageBreakBefore w:val="0"/>
              <w:tabs>
                <w:tab w:val="left" w:pos="360"/>
                <w:tab w:val="left" w:pos="1080"/>
              </w:tabs>
              <w:kinsoku/>
              <w:wordWrap/>
              <w:overflowPunct/>
              <w:topLinePunct w:val="0"/>
              <w:bidi w:val="0"/>
              <w:adjustRightInd/>
              <w:snapToGrid/>
              <w:ind w:left="0" w:right="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65</w:t>
            </w:r>
          </w:p>
        </w:tc>
        <w:tc>
          <w:tcPr>
            <w:tcW w:w="534" w:type="pct"/>
            <w:tcBorders>
              <w:tl2br w:val="nil"/>
              <w:tr2bl w:val="nil"/>
            </w:tcBorders>
            <w:vAlign w:val="center"/>
          </w:tcPr>
          <w:p w14:paraId="73412AFA">
            <w:pPr>
              <w:keepNext w:val="0"/>
              <w:keepLines w:val="0"/>
              <w:pageBreakBefore w:val="0"/>
              <w:tabs>
                <w:tab w:val="left" w:pos="360"/>
                <w:tab w:val="left" w:pos="1080"/>
              </w:tabs>
              <w:kinsoku/>
              <w:wordWrap/>
              <w:overflowPunct/>
              <w:topLinePunct w:val="0"/>
              <w:bidi w:val="0"/>
              <w:adjustRightInd/>
              <w:snapToGrid/>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58</w:t>
            </w:r>
          </w:p>
        </w:tc>
        <w:tc>
          <w:tcPr>
            <w:tcW w:w="534" w:type="pct"/>
            <w:tcBorders>
              <w:tl2br w:val="nil"/>
              <w:tr2bl w:val="nil"/>
            </w:tcBorders>
            <w:vAlign w:val="center"/>
          </w:tcPr>
          <w:p w14:paraId="275461FB">
            <w:pPr>
              <w:keepNext w:val="0"/>
              <w:keepLines w:val="0"/>
              <w:pageBreakBefore w:val="0"/>
              <w:kinsoku/>
              <w:wordWrap/>
              <w:overflowPunct/>
              <w:topLinePunct w:val="0"/>
              <w:autoSpaceDE w:val="0"/>
              <w:autoSpaceDN w:val="0"/>
              <w:bidi w:val="0"/>
              <w:adjustRightInd/>
              <w:snapToGrid/>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达标</w:t>
            </w:r>
          </w:p>
        </w:tc>
        <w:tc>
          <w:tcPr>
            <w:tcW w:w="534" w:type="pct"/>
            <w:tcBorders>
              <w:tl2br w:val="nil"/>
              <w:tr2bl w:val="nil"/>
            </w:tcBorders>
            <w:vAlign w:val="center"/>
          </w:tcPr>
          <w:p w14:paraId="60961126">
            <w:pPr>
              <w:keepNext w:val="0"/>
              <w:keepLines w:val="0"/>
              <w:pageBreakBefore w:val="0"/>
              <w:tabs>
                <w:tab w:val="left" w:pos="360"/>
                <w:tab w:val="left" w:pos="1080"/>
              </w:tabs>
              <w:kinsoku/>
              <w:wordWrap/>
              <w:overflowPunct/>
              <w:topLinePunct w:val="0"/>
              <w:bidi w:val="0"/>
              <w:adjustRightInd/>
              <w:snapToGrid/>
              <w:ind w:left="0" w:right="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55</w:t>
            </w:r>
          </w:p>
        </w:tc>
        <w:tc>
          <w:tcPr>
            <w:tcW w:w="534" w:type="pct"/>
            <w:tcBorders>
              <w:tl2br w:val="nil"/>
              <w:tr2bl w:val="nil"/>
            </w:tcBorders>
            <w:vAlign w:val="center"/>
          </w:tcPr>
          <w:p w14:paraId="2E0E2BF6">
            <w:pPr>
              <w:keepNext w:val="0"/>
              <w:keepLines w:val="0"/>
              <w:pageBreakBefore w:val="0"/>
              <w:tabs>
                <w:tab w:val="left" w:pos="360"/>
                <w:tab w:val="left" w:pos="1080"/>
              </w:tabs>
              <w:kinsoku/>
              <w:wordWrap/>
              <w:overflowPunct/>
              <w:topLinePunct w:val="0"/>
              <w:bidi w:val="0"/>
              <w:adjustRightInd/>
              <w:snapToGrid/>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49</w:t>
            </w:r>
          </w:p>
        </w:tc>
        <w:tc>
          <w:tcPr>
            <w:tcW w:w="537" w:type="pct"/>
            <w:tcBorders>
              <w:tl2br w:val="nil"/>
              <w:tr2bl w:val="nil"/>
            </w:tcBorders>
            <w:vAlign w:val="center"/>
          </w:tcPr>
          <w:p w14:paraId="1A1C8E83">
            <w:pPr>
              <w:keepNext w:val="0"/>
              <w:keepLines w:val="0"/>
              <w:pageBreakBefore w:val="0"/>
              <w:kinsoku/>
              <w:wordWrap/>
              <w:overflowPunct/>
              <w:topLinePunct w:val="0"/>
              <w:autoSpaceDE w:val="0"/>
              <w:autoSpaceDN w:val="0"/>
              <w:bidi w:val="0"/>
              <w:adjustRightInd/>
              <w:snapToGrid/>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达标</w:t>
            </w:r>
          </w:p>
        </w:tc>
      </w:tr>
      <w:tr w14:paraId="6A8CA498">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417" w:type="pct"/>
            <w:vMerge w:val="continue"/>
            <w:tcBorders>
              <w:tl2br w:val="nil"/>
              <w:tr2bl w:val="nil"/>
            </w:tcBorders>
            <w:vAlign w:val="center"/>
          </w:tcPr>
          <w:p w14:paraId="3234CF16">
            <w:pPr>
              <w:keepNext w:val="0"/>
              <w:keepLines w:val="0"/>
              <w:pageBreakBefore w:val="0"/>
              <w:kinsoku/>
              <w:wordWrap/>
              <w:overflowPunct/>
              <w:topLinePunct w:val="0"/>
              <w:bidi w:val="0"/>
              <w:adjustRightInd/>
              <w:snapToGrid/>
              <w:ind w:left="0" w:right="0"/>
              <w:jc w:val="center"/>
              <w:textAlignment w:val="auto"/>
              <w:rPr>
                <w:rFonts w:ascii="Times New Roman" w:hAnsi="Times New Roman" w:cs="Times New Roman"/>
                <w:color w:val="auto"/>
                <w:sz w:val="21"/>
                <w:szCs w:val="21"/>
                <w:highlight w:val="none"/>
              </w:rPr>
            </w:pPr>
          </w:p>
        </w:tc>
        <w:tc>
          <w:tcPr>
            <w:tcW w:w="516" w:type="pct"/>
            <w:tcBorders>
              <w:tl2br w:val="nil"/>
              <w:tr2bl w:val="nil"/>
            </w:tcBorders>
            <w:vAlign w:val="center"/>
          </w:tcPr>
          <w:p w14:paraId="7B2264BE">
            <w:pPr>
              <w:keepNext w:val="0"/>
              <w:keepLines w:val="0"/>
              <w:pageBreakBefore w:val="0"/>
              <w:tabs>
                <w:tab w:val="left" w:pos="360"/>
                <w:tab w:val="left" w:pos="1080"/>
              </w:tabs>
              <w:kinsoku/>
              <w:wordWrap/>
              <w:overflowPunct/>
              <w:topLinePunct w:val="0"/>
              <w:bidi w:val="0"/>
              <w:adjustRightInd/>
              <w:snapToGrid/>
              <w:ind w:left="0" w:right="0"/>
              <w:jc w:val="center"/>
              <w:textAlignment w:val="auto"/>
              <w:rPr>
                <w:rFonts w:ascii="Times New Roman" w:hAnsi="Times New Roman" w:cs="Times New Roman"/>
                <w:color w:val="auto"/>
                <w:kern w:val="2"/>
                <w:sz w:val="21"/>
                <w:szCs w:val="21"/>
                <w:highlight w:val="none"/>
              </w:rPr>
            </w:pPr>
            <w:r>
              <w:rPr>
                <w:rFonts w:ascii="Times New Roman" w:hAnsi="Times New Roman" w:cs="Times New Roman"/>
                <w:color w:val="auto"/>
                <w:sz w:val="21"/>
                <w:szCs w:val="21"/>
                <w:highlight w:val="none"/>
              </w:rPr>
              <w:t>Z2</w:t>
            </w:r>
          </w:p>
        </w:tc>
        <w:tc>
          <w:tcPr>
            <w:tcW w:w="854" w:type="pct"/>
            <w:vMerge w:val="continue"/>
            <w:tcBorders>
              <w:tl2br w:val="nil"/>
              <w:tr2bl w:val="nil"/>
            </w:tcBorders>
            <w:vAlign w:val="center"/>
          </w:tcPr>
          <w:p w14:paraId="573EE6D6">
            <w:pPr>
              <w:keepNext w:val="0"/>
              <w:keepLines w:val="0"/>
              <w:pageBreakBefore w:val="0"/>
              <w:kinsoku/>
              <w:wordWrap/>
              <w:overflowPunct/>
              <w:topLinePunct w:val="0"/>
              <w:bidi w:val="0"/>
              <w:adjustRightInd/>
              <w:snapToGrid/>
              <w:ind w:left="0" w:right="0"/>
              <w:jc w:val="center"/>
              <w:textAlignment w:val="auto"/>
              <w:rPr>
                <w:rFonts w:ascii="Times New Roman" w:hAnsi="Times New Roman" w:cs="Times New Roman"/>
                <w:color w:val="auto"/>
                <w:sz w:val="21"/>
                <w:szCs w:val="21"/>
                <w:highlight w:val="none"/>
              </w:rPr>
            </w:pPr>
          </w:p>
        </w:tc>
        <w:tc>
          <w:tcPr>
            <w:tcW w:w="534" w:type="pct"/>
            <w:tcBorders>
              <w:tl2br w:val="nil"/>
              <w:tr2bl w:val="nil"/>
            </w:tcBorders>
            <w:vAlign w:val="center"/>
          </w:tcPr>
          <w:p w14:paraId="7A029747">
            <w:pPr>
              <w:keepNext w:val="0"/>
              <w:keepLines w:val="0"/>
              <w:pageBreakBefore w:val="0"/>
              <w:kinsoku/>
              <w:wordWrap/>
              <w:overflowPunct/>
              <w:topLinePunct w:val="0"/>
              <w:bidi w:val="0"/>
              <w:adjustRightInd/>
              <w:snapToGrid/>
              <w:ind w:left="0" w:right="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65</w:t>
            </w:r>
          </w:p>
        </w:tc>
        <w:tc>
          <w:tcPr>
            <w:tcW w:w="534" w:type="pct"/>
            <w:tcBorders>
              <w:tl2br w:val="nil"/>
              <w:tr2bl w:val="nil"/>
            </w:tcBorders>
            <w:vAlign w:val="center"/>
          </w:tcPr>
          <w:p w14:paraId="77C4D506">
            <w:pPr>
              <w:keepNext w:val="0"/>
              <w:keepLines w:val="0"/>
              <w:pageBreakBefore w:val="0"/>
              <w:kinsoku/>
              <w:wordWrap/>
              <w:overflowPunct/>
              <w:topLinePunct w:val="0"/>
              <w:bidi w:val="0"/>
              <w:adjustRightInd/>
              <w:snapToGrid/>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57</w:t>
            </w:r>
          </w:p>
        </w:tc>
        <w:tc>
          <w:tcPr>
            <w:tcW w:w="534" w:type="pct"/>
            <w:tcBorders>
              <w:tl2br w:val="nil"/>
              <w:tr2bl w:val="nil"/>
            </w:tcBorders>
            <w:vAlign w:val="center"/>
          </w:tcPr>
          <w:p w14:paraId="73C0D117">
            <w:pPr>
              <w:keepNext w:val="0"/>
              <w:keepLines w:val="0"/>
              <w:pageBreakBefore w:val="0"/>
              <w:kinsoku/>
              <w:wordWrap/>
              <w:overflowPunct/>
              <w:topLinePunct w:val="0"/>
              <w:autoSpaceDE w:val="0"/>
              <w:autoSpaceDN w:val="0"/>
              <w:bidi w:val="0"/>
              <w:adjustRightInd/>
              <w:snapToGrid/>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达标</w:t>
            </w:r>
          </w:p>
        </w:tc>
        <w:tc>
          <w:tcPr>
            <w:tcW w:w="534" w:type="pct"/>
            <w:tcBorders>
              <w:tl2br w:val="nil"/>
              <w:tr2bl w:val="nil"/>
            </w:tcBorders>
            <w:vAlign w:val="center"/>
          </w:tcPr>
          <w:p w14:paraId="3D67C57A">
            <w:pPr>
              <w:keepNext w:val="0"/>
              <w:keepLines w:val="0"/>
              <w:pageBreakBefore w:val="0"/>
              <w:kinsoku/>
              <w:wordWrap/>
              <w:overflowPunct/>
              <w:topLinePunct w:val="0"/>
              <w:bidi w:val="0"/>
              <w:adjustRightInd/>
              <w:snapToGrid/>
              <w:ind w:left="0" w:right="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55</w:t>
            </w:r>
          </w:p>
        </w:tc>
        <w:tc>
          <w:tcPr>
            <w:tcW w:w="534" w:type="pct"/>
            <w:tcBorders>
              <w:tl2br w:val="nil"/>
              <w:tr2bl w:val="nil"/>
            </w:tcBorders>
            <w:vAlign w:val="center"/>
          </w:tcPr>
          <w:p w14:paraId="4899B049">
            <w:pPr>
              <w:keepNext w:val="0"/>
              <w:keepLines w:val="0"/>
              <w:pageBreakBefore w:val="0"/>
              <w:kinsoku/>
              <w:wordWrap/>
              <w:overflowPunct/>
              <w:topLinePunct w:val="0"/>
              <w:bidi w:val="0"/>
              <w:adjustRightInd/>
              <w:snapToGrid/>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48</w:t>
            </w:r>
          </w:p>
        </w:tc>
        <w:tc>
          <w:tcPr>
            <w:tcW w:w="537" w:type="pct"/>
            <w:tcBorders>
              <w:tl2br w:val="nil"/>
              <w:tr2bl w:val="nil"/>
            </w:tcBorders>
            <w:vAlign w:val="center"/>
          </w:tcPr>
          <w:p w14:paraId="717EA38C">
            <w:pPr>
              <w:pStyle w:val="98"/>
              <w:keepNext w:val="0"/>
              <w:keepLines w:val="0"/>
              <w:pageBreakBefore w:val="0"/>
              <w:kinsoku/>
              <w:wordWrap/>
              <w:overflowPunct/>
              <w:topLinePunct w:val="0"/>
              <w:bidi w:val="0"/>
              <w:adjustRightInd/>
              <w:snapToGrid/>
              <w:ind w:left="0" w:right="0"/>
              <w:textAlignment w:val="auto"/>
              <w:rPr>
                <w:rFonts w:eastAsia="宋体"/>
                <w:color w:val="auto"/>
                <w:kern w:val="2"/>
                <w:sz w:val="21"/>
                <w:szCs w:val="21"/>
                <w:highlight w:val="none"/>
                <w:lang w:val="en-US" w:bidi="ar-SA"/>
              </w:rPr>
            </w:pPr>
            <w:r>
              <w:rPr>
                <w:rFonts w:eastAsia="宋体"/>
                <w:color w:val="auto"/>
                <w:kern w:val="2"/>
                <w:sz w:val="21"/>
                <w:szCs w:val="21"/>
                <w:highlight w:val="none"/>
                <w:lang w:val="en-US" w:bidi="ar-SA"/>
              </w:rPr>
              <w:t>达标</w:t>
            </w:r>
          </w:p>
        </w:tc>
      </w:tr>
      <w:tr w14:paraId="2AC97680">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417" w:type="pct"/>
            <w:vMerge w:val="continue"/>
            <w:tcBorders>
              <w:tl2br w:val="nil"/>
              <w:tr2bl w:val="nil"/>
            </w:tcBorders>
            <w:vAlign w:val="center"/>
          </w:tcPr>
          <w:p w14:paraId="3B01CBA2">
            <w:pPr>
              <w:keepNext w:val="0"/>
              <w:keepLines w:val="0"/>
              <w:pageBreakBefore w:val="0"/>
              <w:kinsoku/>
              <w:wordWrap/>
              <w:overflowPunct/>
              <w:topLinePunct w:val="0"/>
              <w:bidi w:val="0"/>
              <w:adjustRightInd/>
              <w:snapToGrid/>
              <w:ind w:left="0" w:right="0"/>
              <w:jc w:val="center"/>
              <w:textAlignment w:val="auto"/>
              <w:rPr>
                <w:rFonts w:ascii="Times New Roman" w:hAnsi="Times New Roman" w:cs="Times New Roman"/>
                <w:color w:val="auto"/>
                <w:sz w:val="21"/>
                <w:szCs w:val="21"/>
                <w:highlight w:val="none"/>
              </w:rPr>
            </w:pPr>
          </w:p>
        </w:tc>
        <w:tc>
          <w:tcPr>
            <w:tcW w:w="516" w:type="pct"/>
            <w:tcBorders>
              <w:tl2br w:val="nil"/>
              <w:tr2bl w:val="nil"/>
            </w:tcBorders>
            <w:vAlign w:val="center"/>
          </w:tcPr>
          <w:p w14:paraId="1A118685">
            <w:pPr>
              <w:keepNext w:val="0"/>
              <w:keepLines w:val="0"/>
              <w:pageBreakBefore w:val="0"/>
              <w:tabs>
                <w:tab w:val="left" w:pos="360"/>
                <w:tab w:val="left" w:pos="1080"/>
              </w:tabs>
              <w:kinsoku/>
              <w:wordWrap/>
              <w:overflowPunct/>
              <w:topLinePunct w:val="0"/>
              <w:bidi w:val="0"/>
              <w:adjustRightInd/>
              <w:snapToGrid/>
              <w:ind w:left="0" w:right="0"/>
              <w:jc w:val="center"/>
              <w:textAlignment w:val="auto"/>
              <w:rPr>
                <w:rFonts w:ascii="Times New Roman" w:hAnsi="Times New Roman" w:cs="Times New Roman"/>
                <w:color w:val="auto"/>
                <w:kern w:val="2"/>
                <w:sz w:val="21"/>
                <w:szCs w:val="21"/>
                <w:highlight w:val="none"/>
              </w:rPr>
            </w:pPr>
            <w:r>
              <w:rPr>
                <w:rFonts w:ascii="Times New Roman" w:hAnsi="Times New Roman" w:cs="Times New Roman"/>
                <w:color w:val="auto"/>
                <w:sz w:val="21"/>
                <w:szCs w:val="21"/>
                <w:highlight w:val="none"/>
              </w:rPr>
              <w:t>Z3</w:t>
            </w:r>
          </w:p>
        </w:tc>
        <w:tc>
          <w:tcPr>
            <w:tcW w:w="854" w:type="pct"/>
            <w:vMerge w:val="continue"/>
            <w:tcBorders>
              <w:tl2br w:val="nil"/>
              <w:tr2bl w:val="nil"/>
            </w:tcBorders>
            <w:vAlign w:val="center"/>
          </w:tcPr>
          <w:p w14:paraId="235A8220">
            <w:pPr>
              <w:keepNext w:val="0"/>
              <w:keepLines w:val="0"/>
              <w:pageBreakBefore w:val="0"/>
              <w:kinsoku/>
              <w:wordWrap/>
              <w:overflowPunct/>
              <w:topLinePunct w:val="0"/>
              <w:bidi w:val="0"/>
              <w:adjustRightInd/>
              <w:snapToGrid/>
              <w:ind w:left="0" w:right="0"/>
              <w:jc w:val="center"/>
              <w:textAlignment w:val="auto"/>
              <w:rPr>
                <w:rFonts w:ascii="Times New Roman" w:hAnsi="Times New Roman" w:cs="Times New Roman"/>
                <w:color w:val="auto"/>
                <w:sz w:val="21"/>
                <w:szCs w:val="21"/>
                <w:highlight w:val="none"/>
              </w:rPr>
            </w:pPr>
          </w:p>
        </w:tc>
        <w:tc>
          <w:tcPr>
            <w:tcW w:w="534" w:type="pct"/>
            <w:tcBorders>
              <w:tl2br w:val="nil"/>
              <w:tr2bl w:val="nil"/>
            </w:tcBorders>
            <w:vAlign w:val="center"/>
          </w:tcPr>
          <w:p w14:paraId="0A19370B">
            <w:pPr>
              <w:keepNext w:val="0"/>
              <w:keepLines w:val="0"/>
              <w:pageBreakBefore w:val="0"/>
              <w:kinsoku/>
              <w:wordWrap/>
              <w:overflowPunct/>
              <w:topLinePunct w:val="0"/>
              <w:bidi w:val="0"/>
              <w:adjustRightInd/>
              <w:snapToGrid/>
              <w:ind w:left="0" w:right="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65</w:t>
            </w:r>
          </w:p>
        </w:tc>
        <w:tc>
          <w:tcPr>
            <w:tcW w:w="534" w:type="pct"/>
            <w:tcBorders>
              <w:tl2br w:val="nil"/>
              <w:tr2bl w:val="nil"/>
            </w:tcBorders>
            <w:vAlign w:val="center"/>
          </w:tcPr>
          <w:p w14:paraId="16C6F32F">
            <w:pPr>
              <w:keepNext w:val="0"/>
              <w:keepLines w:val="0"/>
              <w:pageBreakBefore w:val="0"/>
              <w:kinsoku/>
              <w:wordWrap/>
              <w:overflowPunct/>
              <w:topLinePunct w:val="0"/>
              <w:bidi w:val="0"/>
              <w:adjustRightInd/>
              <w:snapToGrid/>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58</w:t>
            </w:r>
          </w:p>
        </w:tc>
        <w:tc>
          <w:tcPr>
            <w:tcW w:w="534" w:type="pct"/>
            <w:tcBorders>
              <w:tl2br w:val="nil"/>
              <w:tr2bl w:val="nil"/>
            </w:tcBorders>
            <w:vAlign w:val="center"/>
          </w:tcPr>
          <w:p w14:paraId="48387C98">
            <w:pPr>
              <w:keepNext w:val="0"/>
              <w:keepLines w:val="0"/>
              <w:pageBreakBefore w:val="0"/>
              <w:kinsoku/>
              <w:wordWrap/>
              <w:overflowPunct/>
              <w:topLinePunct w:val="0"/>
              <w:autoSpaceDE w:val="0"/>
              <w:autoSpaceDN w:val="0"/>
              <w:bidi w:val="0"/>
              <w:adjustRightInd/>
              <w:snapToGrid/>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达标</w:t>
            </w:r>
          </w:p>
        </w:tc>
        <w:tc>
          <w:tcPr>
            <w:tcW w:w="534" w:type="pct"/>
            <w:tcBorders>
              <w:tl2br w:val="nil"/>
              <w:tr2bl w:val="nil"/>
            </w:tcBorders>
            <w:vAlign w:val="center"/>
          </w:tcPr>
          <w:p w14:paraId="18A57C84">
            <w:pPr>
              <w:keepNext w:val="0"/>
              <w:keepLines w:val="0"/>
              <w:pageBreakBefore w:val="0"/>
              <w:kinsoku/>
              <w:wordWrap/>
              <w:overflowPunct/>
              <w:topLinePunct w:val="0"/>
              <w:bidi w:val="0"/>
              <w:adjustRightInd/>
              <w:snapToGrid/>
              <w:ind w:left="0" w:right="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55</w:t>
            </w:r>
          </w:p>
        </w:tc>
        <w:tc>
          <w:tcPr>
            <w:tcW w:w="534" w:type="pct"/>
            <w:tcBorders>
              <w:tl2br w:val="nil"/>
              <w:tr2bl w:val="nil"/>
            </w:tcBorders>
            <w:vAlign w:val="center"/>
          </w:tcPr>
          <w:p w14:paraId="5BDD7AF5">
            <w:pPr>
              <w:keepNext w:val="0"/>
              <w:keepLines w:val="0"/>
              <w:pageBreakBefore w:val="0"/>
              <w:kinsoku/>
              <w:wordWrap/>
              <w:overflowPunct/>
              <w:topLinePunct w:val="0"/>
              <w:bidi w:val="0"/>
              <w:adjustRightInd/>
              <w:snapToGrid/>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48</w:t>
            </w:r>
          </w:p>
        </w:tc>
        <w:tc>
          <w:tcPr>
            <w:tcW w:w="537" w:type="pct"/>
            <w:tcBorders>
              <w:tl2br w:val="nil"/>
              <w:tr2bl w:val="nil"/>
            </w:tcBorders>
            <w:vAlign w:val="center"/>
          </w:tcPr>
          <w:p w14:paraId="61CAC118">
            <w:pPr>
              <w:pStyle w:val="98"/>
              <w:keepNext w:val="0"/>
              <w:keepLines w:val="0"/>
              <w:pageBreakBefore w:val="0"/>
              <w:kinsoku/>
              <w:wordWrap/>
              <w:overflowPunct/>
              <w:topLinePunct w:val="0"/>
              <w:bidi w:val="0"/>
              <w:adjustRightInd/>
              <w:snapToGrid/>
              <w:ind w:left="0" w:right="0"/>
              <w:textAlignment w:val="auto"/>
              <w:rPr>
                <w:rFonts w:eastAsia="宋体"/>
                <w:color w:val="auto"/>
                <w:kern w:val="2"/>
                <w:sz w:val="21"/>
                <w:szCs w:val="21"/>
                <w:highlight w:val="none"/>
                <w:lang w:val="en-US" w:bidi="ar-SA"/>
              </w:rPr>
            </w:pPr>
            <w:r>
              <w:rPr>
                <w:rFonts w:eastAsia="宋体"/>
                <w:color w:val="auto"/>
                <w:kern w:val="2"/>
                <w:sz w:val="21"/>
                <w:szCs w:val="21"/>
                <w:highlight w:val="none"/>
                <w:lang w:val="en-US" w:bidi="ar-SA"/>
              </w:rPr>
              <w:t>达标</w:t>
            </w:r>
          </w:p>
        </w:tc>
      </w:tr>
      <w:tr w14:paraId="474575CB">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417" w:type="pct"/>
            <w:vMerge w:val="continue"/>
            <w:tcBorders>
              <w:tl2br w:val="nil"/>
              <w:tr2bl w:val="nil"/>
            </w:tcBorders>
            <w:vAlign w:val="center"/>
          </w:tcPr>
          <w:p w14:paraId="4937B4E4">
            <w:pPr>
              <w:keepNext w:val="0"/>
              <w:keepLines w:val="0"/>
              <w:pageBreakBefore w:val="0"/>
              <w:kinsoku/>
              <w:wordWrap/>
              <w:overflowPunct/>
              <w:topLinePunct w:val="0"/>
              <w:bidi w:val="0"/>
              <w:adjustRightInd/>
              <w:snapToGrid/>
              <w:ind w:left="0" w:right="0"/>
              <w:jc w:val="center"/>
              <w:textAlignment w:val="auto"/>
              <w:rPr>
                <w:rFonts w:ascii="Times New Roman" w:hAnsi="Times New Roman" w:cs="Times New Roman"/>
                <w:color w:val="auto"/>
                <w:sz w:val="21"/>
                <w:szCs w:val="21"/>
                <w:highlight w:val="none"/>
              </w:rPr>
            </w:pPr>
          </w:p>
        </w:tc>
        <w:tc>
          <w:tcPr>
            <w:tcW w:w="516" w:type="pct"/>
            <w:tcBorders>
              <w:tl2br w:val="nil"/>
              <w:tr2bl w:val="nil"/>
            </w:tcBorders>
            <w:vAlign w:val="center"/>
          </w:tcPr>
          <w:p w14:paraId="65351541">
            <w:pPr>
              <w:keepNext w:val="0"/>
              <w:keepLines w:val="0"/>
              <w:pageBreakBefore w:val="0"/>
              <w:tabs>
                <w:tab w:val="left" w:pos="360"/>
                <w:tab w:val="left" w:pos="1080"/>
              </w:tabs>
              <w:kinsoku/>
              <w:wordWrap/>
              <w:overflowPunct/>
              <w:topLinePunct w:val="0"/>
              <w:bidi w:val="0"/>
              <w:adjustRightInd/>
              <w:snapToGrid/>
              <w:ind w:left="0" w:right="0"/>
              <w:jc w:val="center"/>
              <w:textAlignment w:val="auto"/>
              <w:rPr>
                <w:rFonts w:ascii="Times New Roman" w:hAnsi="Times New Roman" w:cs="Times New Roman"/>
                <w:color w:val="auto"/>
                <w:kern w:val="2"/>
                <w:sz w:val="21"/>
                <w:szCs w:val="21"/>
                <w:highlight w:val="none"/>
              </w:rPr>
            </w:pPr>
            <w:r>
              <w:rPr>
                <w:rFonts w:ascii="Times New Roman" w:hAnsi="Times New Roman" w:cs="Times New Roman"/>
                <w:color w:val="auto"/>
                <w:sz w:val="21"/>
                <w:szCs w:val="21"/>
                <w:highlight w:val="none"/>
              </w:rPr>
              <w:t>Z4</w:t>
            </w:r>
          </w:p>
        </w:tc>
        <w:tc>
          <w:tcPr>
            <w:tcW w:w="854" w:type="pct"/>
            <w:vMerge w:val="continue"/>
            <w:tcBorders>
              <w:tl2br w:val="nil"/>
              <w:tr2bl w:val="nil"/>
            </w:tcBorders>
            <w:vAlign w:val="center"/>
          </w:tcPr>
          <w:p w14:paraId="5F5DB876">
            <w:pPr>
              <w:keepNext w:val="0"/>
              <w:keepLines w:val="0"/>
              <w:pageBreakBefore w:val="0"/>
              <w:kinsoku/>
              <w:wordWrap/>
              <w:overflowPunct/>
              <w:topLinePunct w:val="0"/>
              <w:bidi w:val="0"/>
              <w:adjustRightInd/>
              <w:snapToGrid/>
              <w:ind w:left="0" w:right="0"/>
              <w:jc w:val="center"/>
              <w:textAlignment w:val="auto"/>
              <w:rPr>
                <w:rFonts w:ascii="Times New Roman" w:hAnsi="Times New Roman" w:cs="Times New Roman"/>
                <w:color w:val="auto"/>
                <w:sz w:val="21"/>
                <w:szCs w:val="21"/>
                <w:highlight w:val="none"/>
              </w:rPr>
            </w:pPr>
          </w:p>
        </w:tc>
        <w:tc>
          <w:tcPr>
            <w:tcW w:w="534" w:type="pct"/>
            <w:tcBorders>
              <w:tl2br w:val="nil"/>
              <w:tr2bl w:val="nil"/>
            </w:tcBorders>
            <w:vAlign w:val="center"/>
          </w:tcPr>
          <w:p w14:paraId="42C6E00E">
            <w:pPr>
              <w:keepNext w:val="0"/>
              <w:keepLines w:val="0"/>
              <w:pageBreakBefore w:val="0"/>
              <w:kinsoku/>
              <w:wordWrap/>
              <w:overflowPunct/>
              <w:topLinePunct w:val="0"/>
              <w:bidi w:val="0"/>
              <w:adjustRightInd/>
              <w:snapToGrid/>
              <w:ind w:left="0" w:right="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65</w:t>
            </w:r>
          </w:p>
        </w:tc>
        <w:tc>
          <w:tcPr>
            <w:tcW w:w="534" w:type="pct"/>
            <w:tcBorders>
              <w:tl2br w:val="nil"/>
              <w:tr2bl w:val="nil"/>
            </w:tcBorders>
            <w:vAlign w:val="center"/>
          </w:tcPr>
          <w:p w14:paraId="584694E5">
            <w:pPr>
              <w:keepNext w:val="0"/>
              <w:keepLines w:val="0"/>
              <w:pageBreakBefore w:val="0"/>
              <w:kinsoku/>
              <w:wordWrap/>
              <w:overflowPunct/>
              <w:topLinePunct w:val="0"/>
              <w:bidi w:val="0"/>
              <w:adjustRightInd/>
              <w:snapToGrid/>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58</w:t>
            </w:r>
          </w:p>
        </w:tc>
        <w:tc>
          <w:tcPr>
            <w:tcW w:w="534" w:type="pct"/>
            <w:tcBorders>
              <w:tl2br w:val="nil"/>
              <w:tr2bl w:val="nil"/>
            </w:tcBorders>
            <w:vAlign w:val="center"/>
          </w:tcPr>
          <w:p w14:paraId="4C92CC81">
            <w:pPr>
              <w:keepNext w:val="0"/>
              <w:keepLines w:val="0"/>
              <w:pageBreakBefore w:val="0"/>
              <w:kinsoku/>
              <w:wordWrap/>
              <w:overflowPunct/>
              <w:topLinePunct w:val="0"/>
              <w:autoSpaceDE w:val="0"/>
              <w:autoSpaceDN w:val="0"/>
              <w:bidi w:val="0"/>
              <w:adjustRightInd/>
              <w:snapToGrid/>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达标</w:t>
            </w:r>
          </w:p>
        </w:tc>
        <w:tc>
          <w:tcPr>
            <w:tcW w:w="534" w:type="pct"/>
            <w:tcBorders>
              <w:tl2br w:val="nil"/>
              <w:tr2bl w:val="nil"/>
            </w:tcBorders>
            <w:vAlign w:val="center"/>
          </w:tcPr>
          <w:p w14:paraId="6842CF16">
            <w:pPr>
              <w:keepNext w:val="0"/>
              <w:keepLines w:val="0"/>
              <w:pageBreakBefore w:val="0"/>
              <w:kinsoku/>
              <w:wordWrap/>
              <w:overflowPunct/>
              <w:topLinePunct w:val="0"/>
              <w:bidi w:val="0"/>
              <w:adjustRightInd/>
              <w:snapToGrid/>
              <w:ind w:left="0" w:right="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55</w:t>
            </w:r>
          </w:p>
        </w:tc>
        <w:tc>
          <w:tcPr>
            <w:tcW w:w="534" w:type="pct"/>
            <w:tcBorders>
              <w:tl2br w:val="nil"/>
              <w:tr2bl w:val="nil"/>
            </w:tcBorders>
            <w:vAlign w:val="center"/>
          </w:tcPr>
          <w:p w14:paraId="46FA2C19">
            <w:pPr>
              <w:keepNext w:val="0"/>
              <w:keepLines w:val="0"/>
              <w:pageBreakBefore w:val="0"/>
              <w:kinsoku/>
              <w:wordWrap/>
              <w:overflowPunct/>
              <w:topLinePunct w:val="0"/>
              <w:bidi w:val="0"/>
              <w:adjustRightInd/>
              <w:snapToGrid/>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48</w:t>
            </w:r>
          </w:p>
        </w:tc>
        <w:tc>
          <w:tcPr>
            <w:tcW w:w="537" w:type="pct"/>
            <w:tcBorders>
              <w:tl2br w:val="nil"/>
              <w:tr2bl w:val="nil"/>
            </w:tcBorders>
            <w:vAlign w:val="center"/>
          </w:tcPr>
          <w:p w14:paraId="3B740378">
            <w:pPr>
              <w:pStyle w:val="98"/>
              <w:keepNext w:val="0"/>
              <w:keepLines w:val="0"/>
              <w:pageBreakBefore w:val="0"/>
              <w:kinsoku/>
              <w:wordWrap/>
              <w:overflowPunct/>
              <w:topLinePunct w:val="0"/>
              <w:bidi w:val="0"/>
              <w:adjustRightInd/>
              <w:snapToGrid/>
              <w:ind w:left="0" w:right="0"/>
              <w:textAlignment w:val="auto"/>
              <w:rPr>
                <w:rFonts w:eastAsia="宋体"/>
                <w:color w:val="auto"/>
                <w:kern w:val="2"/>
                <w:sz w:val="21"/>
                <w:szCs w:val="21"/>
                <w:highlight w:val="none"/>
                <w:lang w:val="en-US" w:bidi="ar-SA"/>
              </w:rPr>
            </w:pPr>
            <w:r>
              <w:rPr>
                <w:rFonts w:eastAsia="宋体"/>
                <w:color w:val="auto"/>
                <w:kern w:val="2"/>
                <w:sz w:val="21"/>
                <w:szCs w:val="21"/>
                <w:highlight w:val="none"/>
                <w:lang w:val="en-US" w:bidi="ar-SA"/>
              </w:rPr>
              <w:t>达标</w:t>
            </w:r>
          </w:p>
        </w:tc>
      </w:tr>
      <w:tr w14:paraId="115BA9A6">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417" w:type="pct"/>
            <w:vMerge w:val="continue"/>
            <w:tcBorders>
              <w:tl2br w:val="nil"/>
              <w:tr2bl w:val="nil"/>
            </w:tcBorders>
            <w:vAlign w:val="center"/>
          </w:tcPr>
          <w:p w14:paraId="10FB3F57">
            <w:pPr>
              <w:keepNext w:val="0"/>
              <w:keepLines w:val="0"/>
              <w:pageBreakBefore w:val="0"/>
              <w:kinsoku/>
              <w:wordWrap/>
              <w:overflowPunct/>
              <w:topLinePunct w:val="0"/>
              <w:bidi w:val="0"/>
              <w:adjustRightInd/>
              <w:snapToGrid/>
              <w:ind w:left="0" w:right="0"/>
              <w:jc w:val="center"/>
              <w:textAlignment w:val="auto"/>
              <w:rPr>
                <w:rFonts w:ascii="Times New Roman" w:hAnsi="Times New Roman" w:cs="Times New Roman"/>
                <w:color w:val="auto"/>
                <w:sz w:val="21"/>
                <w:szCs w:val="21"/>
                <w:highlight w:val="none"/>
              </w:rPr>
            </w:pPr>
          </w:p>
        </w:tc>
        <w:tc>
          <w:tcPr>
            <w:tcW w:w="516" w:type="pct"/>
            <w:tcBorders>
              <w:tl2br w:val="nil"/>
              <w:tr2bl w:val="nil"/>
            </w:tcBorders>
            <w:vAlign w:val="center"/>
          </w:tcPr>
          <w:p w14:paraId="5863D2EE">
            <w:pPr>
              <w:keepNext w:val="0"/>
              <w:keepLines w:val="0"/>
              <w:pageBreakBefore w:val="0"/>
              <w:tabs>
                <w:tab w:val="left" w:pos="360"/>
                <w:tab w:val="left" w:pos="1080"/>
              </w:tabs>
              <w:kinsoku/>
              <w:wordWrap/>
              <w:overflowPunct/>
              <w:topLinePunct w:val="0"/>
              <w:bidi w:val="0"/>
              <w:adjustRightInd/>
              <w:snapToGrid/>
              <w:ind w:left="0" w:right="0"/>
              <w:jc w:val="center"/>
              <w:textAlignment w:val="auto"/>
              <w:rPr>
                <w:rFonts w:ascii="Times New Roman" w:hAnsi="Times New Roman" w:cs="Times New Roman"/>
                <w:color w:val="auto"/>
                <w:kern w:val="2"/>
                <w:sz w:val="21"/>
                <w:szCs w:val="21"/>
                <w:highlight w:val="none"/>
              </w:rPr>
            </w:pPr>
            <w:r>
              <w:rPr>
                <w:rFonts w:ascii="Times New Roman" w:hAnsi="Times New Roman" w:cs="Times New Roman"/>
                <w:color w:val="auto"/>
                <w:sz w:val="21"/>
                <w:szCs w:val="21"/>
                <w:highlight w:val="none"/>
              </w:rPr>
              <w:t>Z5</w:t>
            </w:r>
          </w:p>
        </w:tc>
        <w:tc>
          <w:tcPr>
            <w:tcW w:w="854" w:type="pct"/>
            <w:vMerge w:val="continue"/>
            <w:tcBorders>
              <w:tl2br w:val="nil"/>
              <w:tr2bl w:val="nil"/>
            </w:tcBorders>
            <w:vAlign w:val="center"/>
          </w:tcPr>
          <w:p w14:paraId="724E5FCE">
            <w:pPr>
              <w:keepNext w:val="0"/>
              <w:keepLines w:val="0"/>
              <w:pageBreakBefore w:val="0"/>
              <w:kinsoku/>
              <w:wordWrap/>
              <w:overflowPunct/>
              <w:topLinePunct w:val="0"/>
              <w:bidi w:val="0"/>
              <w:adjustRightInd/>
              <w:snapToGrid/>
              <w:ind w:left="0" w:right="0"/>
              <w:jc w:val="center"/>
              <w:textAlignment w:val="auto"/>
              <w:rPr>
                <w:rFonts w:ascii="Times New Roman" w:hAnsi="Times New Roman" w:cs="Times New Roman"/>
                <w:color w:val="auto"/>
                <w:sz w:val="21"/>
                <w:szCs w:val="21"/>
                <w:highlight w:val="none"/>
              </w:rPr>
            </w:pPr>
          </w:p>
        </w:tc>
        <w:tc>
          <w:tcPr>
            <w:tcW w:w="534" w:type="pct"/>
            <w:tcBorders>
              <w:tl2br w:val="nil"/>
              <w:tr2bl w:val="nil"/>
            </w:tcBorders>
            <w:vAlign w:val="center"/>
          </w:tcPr>
          <w:p w14:paraId="0839A7DF">
            <w:pPr>
              <w:keepNext w:val="0"/>
              <w:keepLines w:val="0"/>
              <w:pageBreakBefore w:val="0"/>
              <w:kinsoku/>
              <w:wordWrap/>
              <w:overflowPunct/>
              <w:topLinePunct w:val="0"/>
              <w:bidi w:val="0"/>
              <w:adjustRightInd/>
              <w:snapToGrid/>
              <w:ind w:left="0" w:right="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60</w:t>
            </w:r>
          </w:p>
        </w:tc>
        <w:tc>
          <w:tcPr>
            <w:tcW w:w="534" w:type="pct"/>
            <w:tcBorders>
              <w:tl2br w:val="nil"/>
              <w:tr2bl w:val="nil"/>
            </w:tcBorders>
            <w:vAlign w:val="center"/>
          </w:tcPr>
          <w:p w14:paraId="3F2F7689">
            <w:pPr>
              <w:keepNext w:val="0"/>
              <w:keepLines w:val="0"/>
              <w:pageBreakBefore w:val="0"/>
              <w:kinsoku/>
              <w:wordWrap/>
              <w:overflowPunct/>
              <w:topLinePunct w:val="0"/>
              <w:bidi w:val="0"/>
              <w:adjustRightInd/>
              <w:snapToGrid/>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57</w:t>
            </w:r>
          </w:p>
        </w:tc>
        <w:tc>
          <w:tcPr>
            <w:tcW w:w="534" w:type="pct"/>
            <w:tcBorders>
              <w:tl2br w:val="nil"/>
              <w:tr2bl w:val="nil"/>
            </w:tcBorders>
            <w:vAlign w:val="center"/>
          </w:tcPr>
          <w:p w14:paraId="75CDAD98">
            <w:pPr>
              <w:keepNext w:val="0"/>
              <w:keepLines w:val="0"/>
              <w:pageBreakBefore w:val="0"/>
              <w:kinsoku/>
              <w:wordWrap/>
              <w:overflowPunct/>
              <w:topLinePunct w:val="0"/>
              <w:autoSpaceDE w:val="0"/>
              <w:autoSpaceDN w:val="0"/>
              <w:bidi w:val="0"/>
              <w:adjustRightInd/>
              <w:snapToGrid/>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达标</w:t>
            </w:r>
          </w:p>
        </w:tc>
        <w:tc>
          <w:tcPr>
            <w:tcW w:w="534" w:type="pct"/>
            <w:tcBorders>
              <w:tl2br w:val="nil"/>
              <w:tr2bl w:val="nil"/>
            </w:tcBorders>
            <w:vAlign w:val="center"/>
          </w:tcPr>
          <w:p w14:paraId="6CAA6D05">
            <w:pPr>
              <w:keepNext w:val="0"/>
              <w:keepLines w:val="0"/>
              <w:pageBreakBefore w:val="0"/>
              <w:kinsoku/>
              <w:wordWrap/>
              <w:overflowPunct/>
              <w:topLinePunct w:val="0"/>
              <w:bidi w:val="0"/>
              <w:adjustRightInd/>
              <w:snapToGrid/>
              <w:ind w:left="0" w:right="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50</w:t>
            </w:r>
          </w:p>
        </w:tc>
        <w:tc>
          <w:tcPr>
            <w:tcW w:w="534" w:type="pct"/>
            <w:tcBorders>
              <w:tl2br w:val="nil"/>
              <w:tr2bl w:val="nil"/>
            </w:tcBorders>
            <w:vAlign w:val="center"/>
          </w:tcPr>
          <w:p w14:paraId="45CFF397">
            <w:pPr>
              <w:keepNext w:val="0"/>
              <w:keepLines w:val="0"/>
              <w:pageBreakBefore w:val="0"/>
              <w:kinsoku/>
              <w:wordWrap/>
              <w:overflowPunct/>
              <w:topLinePunct w:val="0"/>
              <w:bidi w:val="0"/>
              <w:adjustRightInd/>
              <w:snapToGrid/>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47</w:t>
            </w:r>
          </w:p>
        </w:tc>
        <w:tc>
          <w:tcPr>
            <w:tcW w:w="537" w:type="pct"/>
            <w:tcBorders>
              <w:tl2br w:val="nil"/>
              <w:tr2bl w:val="nil"/>
            </w:tcBorders>
            <w:vAlign w:val="center"/>
          </w:tcPr>
          <w:p w14:paraId="6DE150C8">
            <w:pPr>
              <w:keepNext w:val="0"/>
              <w:keepLines w:val="0"/>
              <w:pageBreakBefore w:val="0"/>
              <w:kinsoku/>
              <w:wordWrap/>
              <w:overflowPunct/>
              <w:topLinePunct w:val="0"/>
              <w:bidi w:val="0"/>
              <w:adjustRightInd/>
              <w:snapToGrid/>
              <w:ind w:left="0" w:right="0"/>
              <w:jc w:val="center"/>
              <w:textAlignment w:val="auto"/>
              <w:rPr>
                <w:rFonts w:ascii="Times New Roman" w:hAnsi="Times New Roman" w:cs="Times New Roman"/>
                <w:color w:val="auto"/>
                <w:kern w:val="2"/>
                <w:sz w:val="21"/>
                <w:szCs w:val="21"/>
                <w:highlight w:val="none"/>
              </w:rPr>
            </w:pPr>
            <w:r>
              <w:rPr>
                <w:rFonts w:ascii="Times New Roman" w:hAnsi="Times New Roman" w:cs="Times New Roman"/>
                <w:color w:val="auto"/>
                <w:sz w:val="21"/>
                <w:szCs w:val="21"/>
                <w:highlight w:val="none"/>
              </w:rPr>
              <w:t>达标</w:t>
            </w:r>
          </w:p>
        </w:tc>
      </w:tr>
      <w:tr w14:paraId="395B5AFE">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417" w:type="pct"/>
            <w:vMerge w:val="continue"/>
            <w:tcBorders>
              <w:tl2br w:val="nil"/>
              <w:tr2bl w:val="nil"/>
            </w:tcBorders>
            <w:vAlign w:val="center"/>
          </w:tcPr>
          <w:p w14:paraId="6AA9611E">
            <w:pPr>
              <w:keepNext w:val="0"/>
              <w:keepLines w:val="0"/>
              <w:pageBreakBefore w:val="0"/>
              <w:kinsoku/>
              <w:wordWrap/>
              <w:overflowPunct/>
              <w:topLinePunct w:val="0"/>
              <w:bidi w:val="0"/>
              <w:adjustRightInd/>
              <w:snapToGrid/>
              <w:ind w:left="0" w:right="0"/>
              <w:jc w:val="center"/>
              <w:textAlignment w:val="auto"/>
              <w:rPr>
                <w:rFonts w:ascii="Times New Roman" w:hAnsi="Times New Roman" w:cs="Times New Roman"/>
                <w:color w:val="auto"/>
                <w:sz w:val="21"/>
                <w:szCs w:val="21"/>
                <w:highlight w:val="none"/>
              </w:rPr>
            </w:pPr>
          </w:p>
        </w:tc>
        <w:tc>
          <w:tcPr>
            <w:tcW w:w="516" w:type="pct"/>
            <w:tcBorders>
              <w:tl2br w:val="nil"/>
              <w:tr2bl w:val="nil"/>
            </w:tcBorders>
            <w:vAlign w:val="center"/>
          </w:tcPr>
          <w:p w14:paraId="76C4EDA0">
            <w:pPr>
              <w:keepNext w:val="0"/>
              <w:keepLines w:val="0"/>
              <w:pageBreakBefore w:val="0"/>
              <w:tabs>
                <w:tab w:val="left" w:pos="360"/>
                <w:tab w:val="left" w:pos="1080"/>
              </w:tabs>
              <w:kinsoku/>
              <w:wordWrap/>
              <w:overflowPunct/>
              <w:topLinePunct w:val="0"/>
              <w:bidi w:val="0"/>
              <w:adjustRightInd/>
              <w:snapToGrid/>
              <w:ind w:left="0" w:right="0"/>
              <w:jc w:val="center"/>
              <w:textAlignment w:val="auto"/>
              <w:rPr>
                <w:rFonts w:ascii="Times New Roman" w:hAnsi="Times New Roman" w:cs="Times New Roman"/>
                <w:color w:val="auto"/>
                <w:kern w:val="2"/>
                <w:sz w:val="21"/>
                <w:szCs w:val="21"/>
                <w:highlight w:val="none"/>
              </w:rPr>
            </w:pPr>
            <w:r>
              <w:rPr>
                <w:rFonts w:ascii="Times New Roman" w:hAnsi="Times New Roman" w:cs="Times New Roman"/>
                <w:color w:val="auto"/>
                <w:sz w:val="21"/>
                <w:szCs w:val="21"/>
                <w:highlight w:val="none"/>
              </w:rPr>
              <w:t>Z6</w:t>
            </w:r>
          </w:p>
        </w:tc>
        <w:tc>
          <w:tcPr>
            <w:tcW w:w="854" w:type="pct"/>
            <w:vMerge w:val="continue"/>
            <w:tcBorders>
              <w:tl2br w:val="nil"/>
              <w:tr2bl w:val="nil"/>
            </w:tcBorders>
            <w:vAlign w:val="center"/>
          </w:tcPr>
          <w:p w14:paraId="13E13CCD">
            <w:pPr>
              <w:keepNext w:val="0"/>
              <w:keepLines w:val="0"/>
              <w:pageBreakBefore w:val="0"/>
              <w:kinsoku/>
              <w:wordWrap/>
              <w:overflowPunct/>
              <w:topLinePunct w:val="0"/>
              <w:bidi w:val="0"/>
              <w:adjustRightInd/>
              <w:snapToGrid/>
              <w:ind w:left="0" w:right="0"/>
              <w:jc w:val="center"/>
              <w:textAlignment w:val="auto"/>
              <w:rPr>
                <w:rFonts w:ascii="Times New Roman" w:hAnsi="Times New Roman" w:cs="Times New Roman"/>
                <w:color w:val="auto"/>
                <w:sz w:val="21"/>
                <w:szCs w:val="21"/>
                <w:highlight w:val="none"/>
              </w:rPr>
            </w:pPr>
          </w:p>
        </w:tc>
        <w:tc>
          <w:tcPr>
            <w:tcW w:w="534" w:type="pct"/>
            <w:tcBorders>
              <w:tl2br w:val="nil"/>
              <w:tr2bl w:val="nil"/>
            </w:tcBorders>
            <w:vAlign w:val="center"/>
          </w:tcPr>
          <w:p w14:paraId="1379F40C">
            <w:pPr>
              <w:keepNext w:val="0"/>
              <w:keepLines w:val="0"/>
              <w:pageBreakBefore w:val="0"/>
              <w:kinsoku/>
              <w:wordWrap/>
              <w:overflowPunct/>
              <w:topLinePunct w:val="0"/>
              <w:bidi w:val="0"/>
              <w:adjustRightInd/>
              <w:snapToGrid/>
              <w:ind w:left="0" w:right="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60</w:t>
            </w:r>
          </w:p>
        </w:tc>
        <w:tc>
          <w:tcPr>
            <w:tcW w:w="534" w:type="pct"/>
            <w:tcBorders>
              <w:tl2br w:val="nil"/>
              <w:tr2bl w:val="nil"/>
            </w:tcBorders>
            <w:vAlign w:val="center"/>
          </w:tcPr>
          <w:p w14:paraId="62D31616">
            <w:pPr>
              <w:keepNext w:val="0"/>
              <w:keepLines w:val="0"/>
              <w:pageBreakBefore w:val="0"/>
              <w:kinsoku/>
              <w:wordWrap/>
              <w:overflowPunct/>
              <w:topLinePunct w:val="0"/>
              <w:bidi w:val="0"/>
              <w:adjustRightInd/>
              <w:snapToGrid/>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57</w:t>
            </w:r>
          </w:p>
        </w:tc>
        <w:tc>
          <w:tcPr>
            <w:tcW w:w="534" w:type="pct"/>
            <w:tcBorders>
              <w:tl2br w:val="nil"/>
              <w:tr2bl w:val="nil"/>
            </w:tcBorders>
            <w:vAlign w:val="center"/>
          </w:tcPr>
          <w:p w14:paraId="1F3076CA">
            <w:pPr>
              <w:keepNext w:val="0"/>
              <w:keepLines w:val="0"/>
              <w:pageBreakBefore w:val="0"/>
              <w:kinsoku/>
              <w:wordWrap/>
              <w:overflowPunct/>
              <w:topLinePunct w:val="0"/>
              <w:autoSpaceDE w:val="0"/>
              <w:autoSpaceDN w:val="0"/>
              <w:bidi w:val="0"/>
              <w:adjustRightInd/>
              <w:snapToGrid/>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达标</w:t>
            </w:r>
          </w:p>
        </w:tc>
        <w:tc>
          <w:tcPr>
            <w:tcW w:w="534" w:type="pct"/>
            <w:tcBorders>
              <w:tl2br w:val="nil"/>
              <w:tr2bl w:val="nil"/>
            </w:tcBorders>
            <w:vAlign w:val="center"/>
          </w:tcPr>
          <w:p w14:paraId="3E28E095">
            <w:pPr>
              <w:keepNext w:val="0"/>
              <w:keepLines w:val="0"/>
              <w:pageBreakBefore w:val="0"/>
              <w:kinsoku/>
              <w:wordWrap/>
              <w:overflowPunct/>
              <w:topLinePunct w:val="0"/>
              <w:bidi w:val="0"/>
              <w:adjustRightInd/>
              <w:snapToGrid/>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lang w:val="en-US" w:eastAsia="zh-CN"/>
              </w:rPr>
              <w:t>50</w:t>
            </w:r>
          </w:p>
        </w:tc>
        <w:tc>
          <w:tcPr>
            <w:tcW w:w="534" w:type="pct"/>
            <w:tcBorders>
              <w:tl2br w:val="nil"/>
              <w:tr2bl w:val="nil"/>
            </w:tcBorders>
            <w:vAlign w:val="center"/>
          </w:tcPr>
          <w:p w14:paraId="0358283C">
            <w:pPr>
              <w:keepNext w:val="0"/>
              <w:keepLines w:val="0"/>
              <w:pageBreakBefore w:val="0"/>
              <w:kinsoku/>
              <w:wordWrap/>
              <w:overflowPunct/>
              <w:topLinePunct w:val="0"/>
              <w:bidi w:val="0"/>
              <w:adjustRightInd/>
              <w:snapToGrid/>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47</w:t>
            </w:r>
          </w:p>
        </w:tc>
        <w:tc>
          <w:tcPr>
            <w:tcW w:w="537" w:type="pct"/>
            <w:tcBorders>
              <w:tl2br w:val="nil"/>
              <w:tr2bl w:val="nil"/>
            </w:tcBorders>
            <w:vAlign w:val="center"/>
          </w:tcPr>
          <w:p w14:paraId="20B13972">
            <w:pPr>
              <w:keepNext w:val="0"/>
              <w:keepLines w:val="0"/>
              <w:pageBreakBefore w:val="0"/>
              <w:kinsoku/>
              <w:wordWrap/>
              <w:overflowPunct/>
              <w:topLinePunct w:val="0"/>
              <w:bidi w:val="0"/>
              <w:adjustRightInd/>
              <w:snapToGrid/>
              <w:ind w:left="0" w:right="0"/>
              <w:jc w:val="center"/>
              <w:textAlignment w:val="auto"/>
              <w:rPr>
                <w:rFonts w:ascii="Times New Roman" w:hAnsi="Times New Roman" w:cs="Times New Roman"/>
                <w:color w:val="auto"/>
                <w:kern w:val="2"/>
                <w:sz w:val="21"/>
                <w:szCs w:val="21"/>
                <w:highlight w:val="none"/>
              </w:rPr>
            </w:pPr>
            <w:r>
              <w:rPr>
                <w:rFonts w:ascii="Times New Roman" w:hAnsi="Times New Roman" w:cs="Times New Roman"/>
                <w:color w:val="auto"/>
                <w:sz w:val="21"/>
                <w:szCs w:val="21"/>
                <w:highlight w:val="none"/>
              </w:rPr>
              <w:t>达标</w:t>
            </w:r>
          </w:p>
        </w:tc>
      </w:tr>
      <w:tr w14:paraId="638E2091">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417" w:type="pct"/>
            <w:vMerge w:val="continue"/>
            <w:tcBorders>
              <w:tl2br w:val="nil"/>
              <w:tr2bl w:val="nil"/>
            </w:tcBorders>
            <w:vAlign w:val="center"/>
          </w:tcPr>
          <w:p w14:paraId="762275DE">
            <w:pPr>
              <w:keepNext w:val="0"/>
              <w:keepLines w:val="0"/>
              <w:pageBreakBefore w:val="0"/>
              <w:kinsoku/>
              <w:wordWrap/>
              <w:overflowPunct/>
              <w:topLinePunct w:val="0"/>
              <w:bidi w:val="0"/>
              <w:adjustRightInd/>
              <w:snapToGrid/>
              <w:ind w:left="0" w:right="0"/>
              <w:jc w:val="center"/>
              <w:textAlignment w:val="auto"/>
              <w:rPr>
                <w:rFonts w:ascii="Times New Roman" w:hAnsi="Times New Roman" w:cs="Times New Roman"/>
                <w:color w:val="auto"/>
                <w:sz w:val="21"/>
                <w:szCs w:val="21"/>
                <w:highlight w:val="none"/>
              </w:rPr>
            </w:pPr>
          </w:p>
        </w:tc>
        <w:tc>
          <w:tcPr>
            <w:tcW w:w="516" w:type="pct"/>
            <w:tcBorders>
              <w:tl2br w:val="nil"/>
              <w:tr2bl w:val="nil"/>
            </w:tcBorders>
            <w:vAlign w:val="center"/>
          </w:tcPr>
          <w:p w14:paraId="1E232775">
            <w:pPr>
              <w:keepNext w:val="0"/>
              <w:keepLines w:val="0"/>
              <w:pageBreakBefore w:val="0"/>
              <w:tabs>
                <w:tab w:val="left" w:pos="360"/>
                <w:tab w:val="left" w:pos="1080"/>
              </w:tabs>
              <w:kinsoku/>
              <w:wordWrap/>
              <w:overflowPunct/>
              <w:topLinePunct w:val="0"/>
              <w:bidi w:val="0"/>
              <w:adjustRightInd/>
              <w:snapToGrid/>
              <w:ind w:left="0" w:right="0"/>
              <w:jc w:val="center"/>
              <w:textAlignment w:val="auto"/>
              <w:rPr>
                <w:rFonts w:ascii="Times New Roman" w:hAnsi="Times New Roman" w:cs="Times New Roman"/>
                <w:color w:val="auto"/>
                <w:kern w:val="2"/>
                <w:sz w:val="21"/>
                <w:szCs w:val="21"/>
                <w:highlight w:val="none"/>
              </w:rPr>
            </w:pPr>
            <w:r>
              <w:rPr>
                <w:rFonts w:ascii="Times New Roman" w:hAnsi="Times New Roman" w:cs="Times New Roman"/>
                <w:color w:val="auto"/>
                <w:sz w:val="21"/>
                <w:szCs w:val="21"/>
                <w:highlight w:val="none"/>
              </w:rPr>
              <w:t>Z7</w:t>
            </w:r>
          </w:p>
        </w:tc>
        <w:tc>
          <w:tcPr>
            <w:tcW w:w="854" w:type="pct"/>
            <w:vMerge w:val="continue"/>
            <w:tcBorders>
              <w:tl2br w:val="nil"/>
              <w:tr2bl w:val="nil"/>
            </w:tcBorders>
            <w:vAlign w:val="center"/>
          </w:tcPr>
          <w:p w14:paraId="2756E1E0">
            <w:pPr>
              <w:keepNext w:val="0"/>
              <w:keepLines w:val="0"/>
              <w:pageBreakBefore w:val="0"/>
              <w:kinsoku/>
              <w:wordWrap/>
              <w:overflowPunct/>
              <w:topLinePunct w:val="0"/>
              <w:bidi w:val="0"/>
              <w:adjustRightInd/>
              <w:snapToGrid/>
              <w:ind w:left="0" w:right="0"/>
              <w:jc w:val="center"/>
              <w:textAlignment w:val="auto"/>
              <w:rPr>
                <w:rFonts w:ascii="Times New Roman" w:hAnsi="Times New Roman" w:cs="Times New Roman"/>
                <w:color w:val="auto"/>
                <w:sz w:val="21"/>
                <w:szCs w:val="21"/>
                <w:highlight w:val="none"/>
              </w:rPr>
            </w:pPr>
          </w:p>
        </w:tc>
        <w:tc>
          <w:tcPr>
            <w:tcW w:w="534" w:type="pct"/>
            <w:tcBorders>
              <w:tl2br w:val="nil"/>
              <w:tr2bl w:val="nil"/>
            </w:tcBorders>
            <w:vAlign w:val="center"/>
          </w:tcPr>
          <w:p w14:paraId="1348802F">
            <w:pPr>
              <w:keepNext w:val="0"/>
              <w:keepLines w:val="0"/>
              <w:pageBreakBefore w:val="0"/>
              <w:kinsoku/>
              <w:wordWrap/>
              <w:overflowPunct/>
              <w:topLinePunct w:val="0"/>
              <w:bidi w:val="0"/>
              <w:adjustRightInd/>
              <w:snapToGrid/>
              <w:ind w:left="0" w:right="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60</w:t>
            </w:r>
          </w:p>
        </w:tc>
        <w:tc>
          <w:tcPr>
            <w:tcW w:w="534" w:type="pct"/>
            <w:tcBorders>
              <w:tl2br w:val="nil"/>
              <w:tr2bl w:val="nil"/>
            </w:tcBorders>
            <w:vAlign w:val="center"/>
          </w:tcPr>
          <w:p w14:paraId="259C8331">
            <w:pPr>
              <w:keepNext w:val="0"/>
              <w:keepLines w:val="0"/>
              <w:pageBreakBefore w:val="0"/>
              <w:kinsoku/>
              <w:wordWrap/>
              <w:overflowPunct/>
              <w:topLinePunct w:val="0"/>
              <w:bidi w:val="0"/>
              <w:adjustRightInd/>
              <w:snapToGrid/>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56</w:t>
            </w:r>
          </w:p>
        </w:tc>
        <w:tc>
          <w:tcPr>
            <w:tcW w:w="534" w:type="pct"/>
            <w:tcBorders>
              <w:tl2br w:val="nil"/>
              <w:tr2bl w:val="nil"/>
            </w:tcBorders>
            <w:vAlign w:val="center"/>
          </w:tcPr>
          <w:p w14:paraId="0CBF8DBA">
            <w:pPr>
              <w:keepNext w:val="0"/>
              <w:keepLines w:val="0"/>
              <w:pageBreakBefore w:val="0"/>
              <w:kinsoku/>
              <w:wordWrap/>
              <w:overflowPunct/>
              <w:topLinePunct w:val="0"/>
              <w:autoSpaceDE w:val="0"/>
              <w:autoSpaceDN w:val="0"/>
              <w:bidi w:val="0"/>
              <w:adjustRightInd/>
              <w:snapToGrid/>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达标</w:t>
            </w:r>
          </w:p>
        </w:tc>
        <w:tc>
          <w:tcPr>
            <w:tcW w:w="534" w:type="pct"/>
            <w:tcBorders>
              <w:tl2br w:val="nil"/>
              <w:tr2bl w:val="nil"/>
            </w:tcBorders>
            <w:vAlign w:val="center"/>
          </w:tcPr>
          <w:p w14:paraId="05BCCACF">
            <w:pPr>
              <w:keepNext w:val="0"/>
              <w:keepLines w:val="0"/>
              <w:pageBreakBefore w:val="0"/>
              <w:kinsoku/>
              <w:wordWrap/>
              <w:overflowPunct/>
              <w:topLinePunct w:val="0"/>
              <w:bidi w:val="0"/>
              <w:adjustRightInd/>
              <w:snapToGrid/>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lang w:val="en-US" w:eastAsia="zh-CN"/>
              </w:rPr>
              <w:t>50</w:t>
            </w:r>
          </w:p>
        </w:tc>
        <w:tc>
          <w:tcPr>
            <w:tcW w:w="534" w:type="pct"/>
            <w:tcBorders>
              <w:tl2br w:val="nil"/>
              <w:tr2bl w:val="nil"/>
            </w:tcBorders>
            <w:vAlign w:val="center"/>
          </w:tcPr>
          <w:p w14:paraId="416ED16B">
            <w:pPr>
              <w:keepNext w:val="0"/>
              <w:keepLines w:val="0"/>
              <w:pageBreakBefore w:val="0"/>
              <w:kinsoku/>
              <w:wordWrap/>
              <w:overflowPunct/>
              <w:topLinePunct w:val="0"/>
              <w:bidi w:val="0"/>
              <w:adjustRightInd/>
              <w:snapToGrid/>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47</w:t>
            </w:r>
          </w:p>
        </w:tc>
        <w:tc>
          <w:tcPr>
            <w:tcW w:w="537" w:type="pct"/>
            <w:tcBorders>
              <w:tl2br w:val="nil"/>
              <w:tr2bl w:val="nil"/>
            </w:tcBorders>
            <w:vAlign w:val="center"/>
          </w:tcPr>
          <w:p w14:paraId="5BF4ECD2">
            <w:pPr>
              <w:keepNext w:val="0"/>
              <w:keepLines w:val="0"/>
              <w:pageBreakBefore w:val="0"/>
              <w:kinsoku/>
              <w:wordWrap/>
              <w:overflowPunct/>
              <w:topLinePunct w:val="0"/>
              <w:bidi w:val="0"/>
              <w:adjustRightInd/>
              <w:snapToGrid/>
              <w:ind w:left="0" w:right="0"/>
              <w:jc w:val="center"/>
              <w:textAlignment w:val="auto"/>
              <w:rPr>
                <w:rFonts w:ascii="Times New Roman" w:hAnsi="Times New Roman" w:cs="Times New Roman"/>
                <w:color w:val="auto"/>
                <w:kern w:val="2"/>
                <w:sz w:val="21"/>
                <w:szCs w:val="21"/>
                <w:highlight w:val="none"/>
              </w:rPr>
            </w:pPr>
            <w:r>
              <w:rPr>
                <w:rFonts w:ascii="Times New Roman" w:hAnsi="Times New Roman" w:cs="Times New Roman"/>
                <w:color w:val="auto"/>
                <w:sz w:val="21"/>
                <w:szCs w:val="21"/>
                <w:highlight w:val="none"/>
              </w:rPr>
              <w:t>达标</w:t>
            </w:r>
          </w:p>
        </w:tc>
      </w:tr>
      <w:tr w14:paraId="6E69D140">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417" w:type="pct"/>
            <w:vMerge w:val="restart"/>
            <w:tcBorders>
              <w:tl2br w:val="nil"/>
              <w:tr2bl w:val="nil"/>
            </w:tcBorders>
            <w:vAlign w:val="center"/>
          </w:tcPr>
          <w:p w14:paraId="1B929C48">
            <w:pPr>
              <w:keepNext w:val="0"/>
              <w:keepLines w:val="0"/>
              <w:pageBreakBefore w:val="0"/>
              <w:kinsoku/>
              <w:wordWrap/>
              <w:overflowPunct/>
              <w:topLinePunct w:val="0"/>
              <w:autoSpaceDE w:val="0"/>
              <w:autoSpaceDN w:val="0"/>
              <w:bidi w:val="0"/>
              <w:adjustRightInd/>
              <w:snapToGrid/>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2024年4月23日</w:t>
            </w:r>
          </w:p>
        </w:tc>
        <w:tc>
          <w:tcPr>
            <w:tcW w:w="516" w:type="pct"/>
            <w:tcBorders>
              <w:tl2br w:val="nil"/>
              <w:tr2bl w:val="nil"/>
            </w:tcBorders>
            <w:vAlign w:val="center"/>
          </w:tcPr>
          <w:p w14:paraId="104B478C">
            <w:pPr>
              <w:keepNext w:val="0"/>
              <w:keepLines w:val="0"/>
              <w:pageBreakBefore w:val="0"/>
              <w:tabs>
                <w:tab w:val="left" w:pos="360"/>
                <w:tab w:val="left" w:pos="1080"/>
              </w:tabs>
              <w:kinsoku/>
              <w:wordWrap/>
              <w:overflowPunct/>
              <w:topLinePunct w:val="0"/>
              <w:bidi w:val="0"/>
              <w:adjustRightInd/>
              <w:snapToGrid/>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Z1</w:t>
            </w:r>
          </w:p>
        </w:tc>
        <w:tc>
          <w:tcPr>
            <w:tcW w:w="854" w:type="pct"/>
            <w:vMerge w:val="continue"/>
            <w:tcBorders>
              <w:tl2br w:val="nil"/>
              <w:tr2bl w:val="nil"/>
            </w:tcBorders>
            <w:vAlign w:val="center"/>
          </w:tcPr>
          <w:p w14:paraId="123EBCA6">
            <w:pPr>
              <w:keepNext w:val="0"/>
              <w:keepLines w:val="0"/>
              <w:pageBreakBefore w:val="0"/>
              <w:kinsoku/>
              <w:wordWrap/>
              <w:overflowPunct/>
              <w:topLinePunct w:val="0"/>
              <w:bidi w:val="0"/>
              <w:adjustRightInd/>
              <w:snapToGrid/>
              <w:ind w:left="0" w:right="0"/>
              <w:jc w:val="center"/>
              <w:textAlignment w:val="auto"/>
              <w:rPr>
                <w:rFonts w:ascii="Times New Roman" w:hAnsi="Times New Roman" w:cs="Times New Roman"/>
                <w:color w:val="auto"/>
                <w:sz w:val="21"/>
                <w:szCs w:val="21"/>
                <w:highlight w:val="none"/>
              </w:rPr>
            </w:pPr>
          </w:p>
        </w:tc>
        <w:tc>
          <w:tcPr>
            <w:tcW w:w="909" w:type="dxa"/>
            <w:tcBorders>
              <w:tl2br w:val="nil"/>
              <w:tr2bl w:val="nil"/>
            </w:tcBorders>
            <w:vAlign w:val="center"/>
          </w:tcPr>
          <w:p w14:paraId="5FD08DDF">
            <w:pPr>
              <w:keepNext w:val="0"/>
              <w:keepLines w:val="0"/>
              <w:pageBreakBefore w:val="0"/>
              <w:tabs>
                <w:tab w:val="left" w:pos="360"/>
                <w:tab w:val="left" w:pos="1080"/>
              </w:tabs>
              <w:kinsoku/>
              <w:wordWrap/>
              <w:overflowPunct/>
              <w:topLinePunct w:val="0"/>
              <w:bidi w:val="0"/>
              <w:adjustRightInd/>
              <w:snapToGrid/>
              <w:ind w:left="0" w:leftChars="0" w:right="0" w:rightChars="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lang w:val="en-US" w:eastAsia="zh-CN"/>
              </w:rPr>
              <w:t>65</w:t>
            </w:r>
          </w:p>
        </w:tc>
        <w:tc>
          <w:tcPr>
            <w:tcW w:w="534" w:type="pct"/>
            <w:tcBorders>
              <w:tl2br w:val="nil"/>
              <w:tr2bl w:val="nil"/>
            </w:tcBorders>
            <w:vAlign w:val="center"/>
          </w:tcPr>
          <w:p w14:paraId="796B3D10">
            <w:pPr>
              <w:keepNext w:val="0"/>
              <w:keepLines w:val="0"/>
              <w:pageBreakBefore w:val="0"/>
              <w:tabs>
                <w:tab w:val="left" w:pos="360"/>
                <w:tab w:val="left" w:pos="1080"/>
              </w:tabs>
              <w:kinsoku/>
              <w:wordWrap/>
              <w:overflowPunct/>
              <w:topLinePunct w:val="0"/>
              <w:bidi w:val="0"/>
              <w:adjustRightInd/>
              <w:snapToGrid/>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56</w:t>
            </w:r>
          </w:p>
        </w:tc>
        <w:tc>
          <w:tcPr>
            <w:tcW w:w="534" w:type="pct"/>
            <w:tcBorders>
              <w:tl2br w:val="nil"/>
              <w:tr2bl w:val="nil"/>
            </w:tcBorders>
            <w:vAlign w:val="center"/>
          </w:tcPr>
          <w:p w14:paraId="01D79FA9">
            <w:pPr>
              <w:keepNext w:val="0"/>
              <w:keepLines w:val="0"/>
              <w:pageBreakBefore w:val="0"/>
              <w:kinsoku/>
              <w:wordWrap/>
              <w:overflowPunct/>
              <w:topLinePunct w:val="0"/>
              <w:autoSpaceDE w:val="0"/>
              <w:autoSpaceDN w:val="0"/>
              <w:bidi w:val="0"/>
              <w:adjustRightInd/>
              <w:snapToGrid/>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达标</w:t>
            </w:r>
          </w:p>
        </w:tc>
        <w:tc>
          <w:tcPr>
            <w:tcW w:w="909" w:type="dxa"/>
            <w:tcBorders>
              <w:tl2br w:val="nil"/>
              <w:tr2bl w:val="nil"/>
            </w:tcBorders>
            <w:vAlign w:val="center"/>
          </w:tcPr>
          <w:p w14:paraId="56581D8D">
            <w:pPr>
              <w:keepNext w:val="0"/>
              <w:keepLines w:val="0"/>
              <w:pageBreakBefore w:val="0"/>
              <w:tabs>
                <w:tab w:val="left" w:pos="360"/>
                <w:tab w:val="left" w:pos="1080"/>
              </w:tabs>
              <w:kinsoku/>
              <w:wordWrap/>
              <w:overflowPunct/>
              <w:topLinePunct w:val="0"/>
              <w:bidi w:val="0"/>
              <w:adjustRightInd/>
              <w:snapToGrid/>
              <w:ind w:left="0" w:leftChars="0" w:right="0" w:rightChars="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lang w:val="en-US" w:eastAsia="zh-CN"/>
              </w:rPr>
              <w:t>55</w:t>
            </w:r>
          </w:p>
        </w:tc>
        <w:tc>
          <w:tcPr>
            <w:tcW w:w="534" w:type="pct"/>
            <w:tcBorders>
              <w:tl2br w:val="nil"/>
              <w:tr2bl w:val="nil"/>
            </w:tcBorders>
            <w:vAlign w:val="center"/>
          </w:tcPr>
          <w:p w14:paraId="16FE92E1">
            <w:pPr>
              <w:keepNext w:val="0"/>
              <w:keepLines w:val="0"/>
              <w:pageBreakBefore w:val="0"/>
              <w:tabs>
                <w:tab w:val="left" w:pos="360"/>
                <w:tab w:val="left" w:pos="1080"/>
              </w:tabs>
              <w:kinsoku/>
              <w:wordWrap/>
              <w:overflowPunct/>
              <w:topLinePunct w:val="0"/>
              <w:bidi w:val="0"/>
              <w:adjustRightInd/>
              <w:snapToGrid/>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48</w:t>
            </w:r>
          </w:p>
        </w:tc>
        <w:tc>
          <w:tcPr>
            <w:tcW w:w="537" w:type="pct"/>
            <w:tcBorders>
              <w:tl2br w:val="nil"/>
              <w:tr2bl w:val="nil"/>
            </w:tcBorders>
            <w:vAlign w:val="center"/>
          </w:tcPr>
          <w:p w14:paraId="2DD45AC9">
            <w:pPr>
              <w:keepNext w:val="0"/>
              <w:keepLines w:val="0"/>
              <w:pageBreakBefore w:val="0"/>
              <w:kinsoku/>
              <w:wordWrap/>
              <w:overflowPunct/>
              <w:topLinePunct w:val="0"/>
              <w:autoSpaceDE w:val="0"/>
              <w:autoSpaceDN w:val="0"/>
              <w:bidi w:val="0"/>
              <w:adjustRightInd/>
              <w:snapToGrid/>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达标</w:t>
            </w:r>
          </w:p>
        </w:tc>
      </w:tr>
      <w:tr w14:paraId="0733D89D">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417" w:type="pct"/>
            <w:vMerge w:val="continue"/>
            <w:tcBorders>
              <w:tl2br w:val="nil"/>
              <w:tr2bl w:val="nil"/>
            </w:tcBorders>
            <w:vAlign w:val="center"/>
          </w:tcPr>
          <w:p w14:paraId="587EF694">
            <w:pPr>
              <w:keepNext w:val="0"/>
              <w:keepLines w:val="0"/>
              <w:pageBreakBefore w:val="0"/>
              <w:kinsoku/>
              <w:wordWrap/>
              <w:overflowPunct/>
              <w:topLinePunct w:val="0"/>
              <w:bidi w:val="0"/>
              <w:adjustRightInd/>
              <w:snapToGrid/>
              <w:ind w:left="0" w:right="0"/>
              <w:jc w:val="center"/>
              <w:textAlignment w:val="auto"/>
              <w:rPr>
                <w:rFonts w:ascii="Times New Roman" w:hAnsi="Times New Roman" w:cs="Times New Roman"/>
                <w:color w:val="auto"/>
                <w:sz w:val="21"/>
                <w:szCs w:val="21"/>
                <w:highlight w:val="none"/>
              </w:rPr>
            </w:pPr>
          </w:p>
        </w:tc>
        <w:tc>
          <w:tcPr>
            <w:tcW w:w="516" w:type="pct"/>
            <w:tcBorders>
              <w:tl2br w:val="nil"/>
              <w:tr2bl w:val="nil"/>
            </w:tcBorders>
            <w:vAlign w:val="center"/>
          </w:tcPr>
          <w:p w14:paraId="54EDB6BF">
            <w:pPr>
              <w:keepNext w:val="0"/>
              <w:keepLines w:val="0"/>
              <w:pageBreakBefore w:val="0"/>
              <w:tabs>
                <w:tab w:val="left" w:pos="360"/>
                <w:tab w:val="left" w:pos="1080"/>
              </w:tabs>
              <w:kinsoku/>
              <w:wordWrap/>
              <w:overflowPunct/>
              <w:topLinePunct w:val="0"/>
              <w:bidi w:val="0"/>
              <w:adjustRightInd/>
              <w:snapToGrid/>
              <w:ind w:left="0" w:right="0"/>
              <w:jc w:val="center"/>
              <w:textAlignment w:val="auto"/>
              <w:rPr>
                <w:rFonts w:ascii="Times New Roman" w:hAnsi="Times New Roman" w:cs="Times New Roman"/>
                <w:color w:val="auto"/>
                <w:kern w:val="2"/>
                <w:sz w:val="21"/>
                <w:szCs w:val="21"/>
                <w:highlight w:val="none"/>
              </w:rPr>
            </w:pPr>
            <w:r>
              <w:rPr>
                <w:rFonts w:ascii="Times New Roman" w:hAnsi="Times New Roman" w:cs="Times New Roman"/>
                <w:color w:val="auto"/>
                <w:sz w:val="21"/>
                <w:szCs w:val="21"/>
                <w:highlight w:val="none"/>
              </w:rPr>
              <w:t>Z2</w:t>
            </w:r>
          </w:p>
        </w:tc>
        <w:tc>
          <w:tcPr>
            <w:tcW w:w="854" w:type="pct"/>
            <w:vMerge w:val="continue"/>
            <w:tcBorders>
              <w:tl2br w:val="nil"/>
              <w:tr2bl w:val="nil"/>
            </w:tcBorders>
            <w:vAlign w:val="center"/>
          </w:tcPr>
          <w:p w14:paraId="286FF5F3">
            <w:pPr>
              <w:keepNext w:val="0"/>
              <w:keepLines w:val="0"/>
              <w:pageBreakBefore w:val="0"/>
              <w:kinsoku/>
              <w:wordWrap/>
              <w:overflowPunct/>
              <w:topLinePunct w:val="0"/>
              <w:bidi w:val="0"/>
              <w:adjustRightInd/>
              <w:snapToGrid/>
              <w:ind w:left="0" w:right="0"/>
              <w:jc w:val="center"/>
              <w:textAlignment w:val="auto"/>
              <w:rPr>
                <w:rFonts w:ascii="Times New Roman" w:hAnsi="Times New Roman" w:cs="Times New Roman"/>
                <w:color w:val="auto"/>
                <w:sz w:val="21"/>
                <w:szCs w:val="21"/>
                <w:highlight w:val="none"/>
              </w:rPr>
            </w:pPr>
          </w:p>
        </w:tc>
        <w:tc>
          <w:tcPr>
            <w:tcW w:w="909" w:type="dxa"/>
            <w:tcBorders>
              <w:tl2br w:val="nil"/>
              <w:tr2bl w:val="nil"/>
            </w:tcBorders>
            <w:vAlign w:val="center"/>
          </w:tcPr>
          <w:p w14:paraId="6BF69BA3">
            <w:pPr>
              <w:keepNext w:val="0"/>
              <w:keepLines w:val="0"/>
              <w:pageBreakBefore w:val="0"/>
              <w:kinsoku/>
              <w:wordWrap/>
              <w:overflowPunct/>
              <w:topLinePunct w:val="0"/>
              <w:bidi w:val="0"/>
              <w:adjustRightInd/>
              <w:snapToGrid/>
              <w:ind w:left="0" w:leftChars="0" w:right="0" w:rightChars="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lang w:val="en-US" w:eastAsia="zh-CN"/>
              </w:rPr>
              <w:t>65</w:t>
            </w:r>
          </w:p>
        </w:tc>
        <w:tc>
          <w:tcPr>
            <w:tcW w:w="534" w:type="pct"/>
            <w:tcBorders>
              <w:tl2br w:val="nil"/>
              <w:tr2bl w:val="nil"/>
            </w:tcBorders>
            <w:vAlign w:val="center"/>
          </w:tcPr>
          <w:p w14:paraId="1D60283D">
            <w:pPr>
              <w:keepNext w:val="0"/>
              <w:keepLines w:val="0"/>
              <w:pageBreakBefore w:val="0"/>
              <w:kinsoku/>
              <w:wordWrap/>
              <w:overflowPunct/>
              <w:topLinePunct w:val="0"/>
              <w:bidi w:val="0"/>
              <w:adjustRightInd/>
              <w:snapToGrid/>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58</w:t>
            </w:r>
          </w:p>
        </w:tc>
        <w:tc>
          <w:tcPr>
            <w:tcW w:w="534" w:type="pct"/>
            <w:tcBorders>
              <w:tl2br w:val="nil"/>
              <w:tr2bl w:val="nil"/>
            </w:tcBorders>
            <w:vAlign w:val="center"/>
          </w:tcPr>
          <w:p w14:paraId="38812741">
            <w:pPr>
              <w:keepNext w:val="0"/>
              <w:keepLines w:val="0"/>
              <w:pageBreakBefore w:val="0"/>
              <w:kinsoku/>
              <w:wordWrap/>
              <w:overflowPunct/>
              <w:topLinePunct w:val="0"/>
              <w:autoSpaceDE w:val="0"/>
              <w:autoSpaceDN w:val="0"/>
              <w:bidi w:val="0"/>
              <w:adjustRightInd/>
              <w:snapToGrid/>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达标</w:t>
            </w:r>
          </w:p>
        </w:tc>
        <w:tc>
          <w:tcPr>
            <w:tcW w:w="909" w:type="dxa"/>
            <w:tcBorders>
              <w:tl2br w:val="nil"/>
              <w:tr2bl w:val="nil"/>
            </w:tcBorders>
            <w:vAlign w:val="center"/>
          </w:tcPr>
          <w:p w14:paraId="29563B3C">
            <w:pPr>
              <w:keepNext w:val="0"/>
              <w:keepLines w:val="0"/>
              <w:pageBreakBefore w:val="0"/>
              <w:kinsoku/>
              <w:wordWrap/>
              <w:overflowPunct/>
              <w:topLinePunct w:val="0"/>
              <w:bidi w:val="0"/>
              <w:adjustRightInd/>
              <w:snapToGrid/>
              <w:ind w:left="0" w:leftChars="0" w:right="0" w:rightChars="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lang w:val="en-US" w:eastAsia="zh-CN"/>
              </w:rPr>
              <w:t>55</w:t>
            </w:r>
          </w:p>
        </w:tc>
        <w:tc>
          <w:tcPr>
            <w:tcW w:w="534" w:type="pct"/>
            <w:tcBorders>
              <w:tl2br w:val="nil"/>
              <w:tr2bl w:val="nil"/>
            </w:tcBorders>
            <w:vAlign w:val="center"/>
          </w:tcPr>
          <w:p w14:paraId="36E5D9DB">
            <w:pPr>
              <w:keepNext w:val="0"/>
              <w:keepLines w:val="0"/>
              <w:pageBreakBefore w:val="0"/>
              <w:kinsoku/>
              <w:wordWrap/>
              <w:overflowPunct/>
              <w:topLinePunct w:val="0"/>
              <w:bidi w:val="0"/>
              <w:adjustRightInd/>
              <w:snapToGrid/>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49</w:t>
            </w:r>
          </w:p>
        </w:tc>
        <w:tc>
          <w:tcPr>
            <w:tcW w:w="537" w:type="pct"/>
            <w:tcBorders>
              <w:tl2br w:val="nil"/>
              <w:tr2bl w:val="nil"/>
            </w:tcBorders>
            <w:vAlign w:val="center"/>
          </w:tcPr>
          <w:p w14:paraId="6BF441E6">
            <w:pPr>
              <w:keepNext w:val="0"/>
              <w:keepLines w:val="0"/>
              <w:pageBreakBefore w:val="0"/>
              <w:kinsoku/>
              <w:wordWrap/>
              <w:overflowPunct/>
              <w:topLinePunct w:val="0"/>
              <w:bidi w:val="0"/>
              <w:adjustRightInd/>
              <w:snapToGrid/>
              <w:ind w:left="0" w:right="0"/>
              <w:jc w:val="center"/>
              <w:textAlignment w:val="auto"/>
              <w:rPr>
                <w:rFonts w:ascii="Times New Roman" w:hAnsi="Times New Roman" w:cs="Times New Roman"/>
                <w:color w:val="auto"/>
                <w:kern w:val="2"/>
                <w:sz w:val="21"/>
                <w:szCs w:val="21"/>
                <w:highlight w:val="none"/>
              </w:rPr>
            </w:pPr>
            <w:r>
              <w:rPr>
                <w:rFonts w:ascii="Times New Roman" w:hAnsi="Times New Roman" w:cs="Times New Roman"/>
                <w:color w:val="auto"/>
                <w:sz w:val="21"/>
                <w:szCs w:val="21"/>
                <w:highlight w:val="none"/>
              </w:rPr>
              <w:t>达标</w:t>
            </w:r>
          </w:p>
        </w:tc>
      </w:tr>
      <w:tr w14:paraId="6E86A285">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417" w:type="pct"/>
            <w:vMerge w:val="continue"/>
            <w:tcBorders>
              <w:tl2br w:val="nil"/>
              <w:tr2bl w:val="nil"/>
            </w:tcBorders>
            <w:vAlign w:val="center"/>
          </w:tcPr>
          <w:p w14:paraId="0BD82102">
            <w:pPr>
              <w:keepNext w:val="0"/>
              <w:keepLines w:val="0"/>
              <w:pageBreakBefore w:val="0"/>
              <w:kinsoku/>
              <w:wordWrap/>
              <w:overflowPunct/>
              <w:topLinePunct w:val="0"/>
              <w:bidi w:val="0"/>
              <w:adjustRightInd/>
              <w:snapToGrid/>
              <w:ind w:left="0" w:right="0"/>
              <w:jc w:val="center"/>
              <w:textAlignment w:val="auto"/>
              <w:rPr>
                <w:rFonts w:ascii="Times New Roman" w:hAnsi="Times New Roman" w:cs="Times New Roman"/>
                <w:color w:val="auto"/>
                <w:sz w:val="21"/>
                <w:szCs w:val="21"/>
                <w:highlight w:val="none"/>
              </w:rPr>
            </w:pPr>
          </w:p>
        </w:tc>
        <w:tc>
          <w:tcPr>
            <w:tcW w:w="516" w:type="pct"/>
            <w:tcBorders>
              <w:tl2br w:val="nil"/>
              <w:tr2bl w:val="nil"/>
            </w:tcBorders>
            <w:vAlign w:val="center"/>
          </w:tcPr>
          <w:p w14:paraId="4EB1FA4E">
            <w:pPr>
              <w:keepNext w:val="0"/>
              <w:keepLines w:val="0"/>
              <w:pageBreakBefore w:val="0"/>
              <w:tabs>
                <w:tab w:val="left" w:pos="360"/>
                <w:tab w:val="left" w:pos="1080"/>
              </w:tabs>
              <w:kinsoku/>
              <w:wordWrap/>
              <w:overflowPunct/>
              <w:topLinePunct w:val="0"/>
              <w:bidi w:val="0"/>
              <w:adjustRightInd/>
              <w:snapToGrid/>
              <w:ind w:left="0" w:right="0"/>
              <w:jc w:val="center"/>
              <w:textAlignment w:val="auto"/>
              <w:rPr>
                <w:rFonts w:ascii="Times New Roman" w:hAnsi="Times New Roman" w:cs="Times New Roman"/>
                <w:color w:val="auto"/>
                <w:kern w:val="2"/>
                <w:sz w:val="21"/>
                <w:szCs w:val="21"/>
                <w:highlight w:val="none"/>
              </w:rPr>
            </w:pPr>
            <w:r>
              <w:rPr>
                <w:rFonts w:ascii="Times New Roman" w:hAnsi="Times New Roman" w:cs="Times New Roman"/>
                <w:color w:val="auto"/>
                <w:sz w:val="21"/>
                <w:szCs w:val="21"/>
                <w:highlight w:val="none"/>
              </w:rPr>
              <w:t>Z3</w:t>
            </w:r>
          </w:p>
        </w:tc>
        <w:tc>
          <w:tcPr>
            <w:tcW w:w="854" w:type="pct"/>
            <w:vMerge w:val="continue"/>
            <w:tcBorders>
              <w:tl2br w:val="nil"/>
              <w:tr2bl w:val="nil"/>
            </w:tcBorders>
            <w:vAlign w:val="center"/>
          </w:tcPr>
          <w:p w14:paraId="170A328C">
            <w:pPr>
              <w:keepNext w:val="0"/>
              <w:keepLines w:val="0"/>
              <w:pageBreakBefore w:val="0"/>
              <w:kinsoku/>
              <w:wordWrap/>
              <w:overflowPunct/>
              <w:topLinePunct w:val="0"/>
              <w:bidi w:val="0"/>
              <w:adjustRightInd/>
              <w:snapToGrid/>
              <w:ind w:left="0" w:right="0"/>
              <w:jc w:val="center"/>
              <w:textAlignment w:val="auto"/>
              <w:rPr>
                <w:rFonts w:ascii="Times New Roman" w:hAnsi="Times New Roman" w:cs="Times New Roman"/>
                <w:color w:val="auto"/>
                <w:sz w:val="21"/>
                <w:szCs w:val="21"/>
                <w:highlight w:val="none"/>
              </w:rPr>
            </w:pPr>
          </w:p>
        </w:tc>
        <w:tc>
          <w:tcPr>
            <w:tcW w:w="909" w:type="dxa"/>
            <w:tcBorders>
              <w:tl2br w:val="nil"/>
              <w:tr2bl w:val="nil"/>
            </w:tcBorders>
            <w:vAlign w:val="center"/>
          </w:tcPr>
          <w:p w14:paraId="3E1AFC5A">
            <w:pPr>
              <w:keepNext w:val="0"/>
              <w:keepLines w:val="0"/>
              <w:pageBreakBefore w:val="0"/>
              <w:kinsoku/>
              <w:wordWrap/>
              <w:overflowPunct/>
              <w:topLinePunct w:val="0"/>
              <w:bidi w:val="0"/>
              <w:adjustRightInd/>
              <w:snapToGrid/>
              <w:ind w:left="0" w:leftChars="0" w:right="0" w:rightChars="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lang w:val="en-US" w:eastAsia="zh-CN"/>
              </w:rPr>
              <w:t>65</w:t>
            </w:r>
          </w:p>
        </w:tc>
        <w:tc>
          <w:tcPr>
            <w:tcW w:w="534" w:type="pct"/>
            <w:tcBorders>
              <w:tl2br w:val="nil"/>
              <w:tr2bl w:val="nil"/>
            </w:tcBorders>
            <w:vAlign w:val="center"/>
          </w:tcPr>
          <w:p w14:paraId="01C32409">
            <w:pPr>
              <w:keepNext w:val="0"/>
              <w:keepLines w:val="0"/>
              <w:pageBreakBefore w:val="0"/>
              <w:kinsoku/>
              <w:wordWrap/>
              <w:overflowPunct/>
              <w:topLinePunct w:val="0"/>
              <w:bidi w:val="0"/>
              <w:adjustRightInd/>
              <w:snapToGrid/>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56</w:t>
            </w:r>
          </w:p>
        </w:tc>
        <w:tc>
          <w:tcPr>
            <w:tcW w:w="534" w:type="pct"/>
            <w:tcBorders>
              <w:tl2br w:val="nil"/>
              <w:tr2bl w:val="nil"/>
            </w:tcBorders>
            <w:vAlign w:val="center"/>
          </w:tcPr>
          <w:p w14:paraId="4ADA9595">
            <w:pPr>
              <w:keepNext w:val="0"/>
              <w:keepLines w:val="0"/>
              <w:pageBreakBefore w:val="0"/>
              <w:kinsoku/>
              <w:wordWrap/>
              <w:overflowPunct/>
              <w:topLinePunct w:val="0"/>
              <w:autoSpaceDE w:val="0"/>
              <w:autoSpaceDN w:val="0"/>
              <w:bidi w:val="0"/>
              <w:adjustRightInd/>
              <w:snapToGrid/>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达标</w:t>
            </w:r>
          </w:p>
        </w:tc>
        <w:tc>
          <w:tcPr>
            <w:tcW w:w="909" w:type="dxa"/>
            <w:tcBorders>
              <w:tl2br w:val="nil"/>
              <w:tr2bl w:val="nil"/>
            </w:tcBorders>
            <w:vAlign w:val="center"/>
          </w:tcPr>
          <w:p w14:paraId="3EEDAC83">
            <w:pPr>
              <w:keepNext w:val="0"/>
              <w:keepLines w:val="0"/>
              <w:pageBreakBefore w:val="0"/>
              <w:kinsoku/>
              <w:wordWrap/>
              <w:overflowPunct/>
              <w:topLinePunct w:val="0"/>
              <w:bidi w:val="0"/>
              <w:adjustRightInd/>
              <w:snapToGrid/>
              <w:ind w:left="0" w:leftChars="0" w:right="0" w:rightChars="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lang w:val="en-US" w:eastAsia="zh-CN"/>
              </w:rPr>
              <w:t>55</w:t>
            </w:r>
          </w:p>
        </w:tc>
        <w:tc>
          <w:tcPr>
            <w:tcW w:w="534" w:type="pct"/>
            <w:tcBorders>
              <w:tl2br w:val="nil"/>
              <w:tr2bl w:val="nil"/>
            </w:tcBorders>
            <w:vAlign w:val="center"/>
          </w:tcPr>
          <w:p w14:paraId="64C218E7">
            <w:pPr>
              <w:keepNext w:val="0"/>
              <w:keepLines w:val="0"/>
              <w:pageBreakBefore w:val="0"/>
              <w:kinsoku/>
              <w:wordWrap/>
              <w:overflowPunct/>
              <w:topLinePunct w:val="0"/>
              <w:bidi w:val="0"/>
              <w:adjustRightInd/>
              <w:snapToGrid/>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48</w:t>
            </w:r>
          </w:p>
        </w:tc>
        <w:tc>
          <w:tcPr>
            <w:tcW w:w="537" w:type="pct"/>
            <w:tcBorders>
              <w:tl2br w:val="nil"/>
              <w:tr2bl w:val="nil"/>
            </w:tcBorders>
            <w:vAlign w:val="center"/>
          </w:tcPr>
          <w:p w14:paraId="1DBB86DF">
            <w:pPr>
              <w:keepNext w:val="0"/>
              <w:keepLines w:val="0"/>
              <w:pageBreakBefore w:val="0"/>
              <w:kinsoku/>
              <w:wordWrap/>
              <w:overflowPunct/>
              <w:topLinePunct w:val="0"/>
              <w:bidi w:val="0"/>
              <w:adjustRightInd/>
              <w:snapToGrid/>
              <w:ind w:left="0" w:right="0"/>
              <w:jc w:val="center"/>
              <w:textAlignment w:val="auto"/>
              <w:rPr>
                <w:rFonts w:ascii="Times New Roman" w:hAnsi="Times New Roman" w:cs="Times New Roman"/>
                <w:color w:val="auto"/>
                <w:kern w:val="2"/>
                <w:sz w:val="21"/>
                <w:szCs w:val="21"/>
                <w:highlight w:val="none"/>
              </w:rPr>
            </w:pPr>
            <w:r>
              <w:rPr>
                <w:rFonts w:ascii="Times New Roman" w:hAnsi="Times New Roman" w:cs="Times New Roman"/>
                <w:color w:val="auto"/>
                <w:sz w:val="21"/>
                <w:szCs w:val="21"/>
                <w:highlight w:val="none"/>
              </w:rPr>
              <w:t>达标</w:t>
            </w:r>
          </w:p>
        </w:tc>
      </w:tr>
      <w:tr w14:paraId="2DB6A21B">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PrEx>
        <w:trPr>
          <w:trHeight w:val="340" w:hRule="atLeast"/>
        </w:trPr>
        <w:tc>
          <w:tcPr>
            <w:tcW w:w="417" w:type="pct"/>
            <w:vMerge w:val="continue"/>
            <w:tcBorders>
              <w:tl2br w:val="nil"/>
              <w:tr2bl w:val="nil"/>
            </w:tcBorders>
            <w:vAlign w:val="center"/>
          </w:tcPr>
          <w:p w14:paraId="2F31CEBD">
            <w:pPr>
              <w:keepNext w:val="0"/>
              <w:keepLines w:val="0"/>
              <w:pageBreakBefore w:val="0"/>
              <w:kinsoku/>
              <w:wordWrap/>
              <w:overflowPunct/>
              <w:topLinePunct w:val="0"/>
              <w:bidi w:val="0"/>
              <w:adjustRightInd/>
              <w:snapToGrid/>
              <w:ind w:left="0" w:right="0"/>
              <w:jc w:val="center"/>
              <w:textAlignment w:val="auto"/>
              <w:rPr>
                <w:rFonts w:ascii="Times New Roman" w:hAnsi="Times New Roman" w:cs="Times New Roman"/>
                <w:color w:val="auto"/>
                <w:sz w:val="21"/>
                <w:szCs w:val="21"/>
                <w:highlight w:val="none"/>
              </w:rPr>
            </w:pPr>
          </w:p>
        </w:tc>
        <w:tc>
          <w:tcPr>
            <w:tcW w:w="516" w:type="pct"/>
            <w:tcBorders>
              <w:tl2br w:val="nil"/>
              <w:tr2bl w:val="nil"/>
            </w:tcBorders>
            <w:vAlign w:val="center"/>
          </w:tcPr>
          <w:p w14:paraId="29FA60B4">
            <w:pPr>
              <w:keepNext w:val="0"/>
              <w:keepLines w:val="0"/>
              <w:pageBreakBefore w:val="0"/>
              <w:tabs>
                <w:tab w:val="left" w:pos="360"/>
                <w:tab w:val="left" w:pos="1080"/>
              </w:tabs>
              <w:kinsoku/>
              <w:wordWrap/>
              <w:overflowPunct/>
              <w:topLinePunct w:val="0"/>
              <w:bidi w:val="0"/>
              <w:adjustRightInd/>
              <w:snapToGrid/>
              <w:ind w:left="0" w:right="0"/>
              <w:jc w:val="center"/>
              <w:textAlignment w:val="auto"/>
              <w:rPr>
                <w:rFonts w:ascii="Times New Roman" w:hAnsi="Times New Roman" w:cs="Times New Roman"/>
                <w:color w:val="auto"/>
                <w:kern w:val="2"/>
                <w:sz w:val="21"/>
                <w:szCs w:val="21"/>
                <w:highlight w:val="none"/>
              </w:rPr>
            </w:pPr>
            <w:r>
              <w:rPr>
                <w:rFonts w:ascii="Times New Roman" w:hAnsi="Times New Roman" w:cs="Times New Roman"/>
                <w:color w:val="auto"/>
                <w:sz w:val="21"/>
                <w:szCs w:val="21"/>
                <w:highlight w:val="none"/>
              </w:rPr>
              <w:t>Z4</w:t>
            </w:r>
          </w:p>
        </w:tc>
        <w:tc>
          <w:tcPr>
            <w:tcW w:w="854" w:type="pct"/>
            <w:vMerge w:val="continue"/>
            <w:tcBorders>
              <w:tl2br w:val="nil"/>
              <w:tr2bl w:val="nil"/>
            </w:tcBorders>
            <w:vAlign w:val="center"/>
          </w:tcPr>
          <w:p w14:paraId="7C237505">
            <w:pPr>
              <w:keepNext w:val="0"/>
              <w:keepLines w:val="0"/>
              <w:pageBreakBefore w:val="0"/>
              <w:kinsoku/>
              <w:wordWrap/>
              <w:overflowPunct/>
              <w:topLinePunct w:val="0"/>
              <w:bidi w:val="0"/>
              <w:adjustRightInd/>
              <w:snapToGrid/>
              <w:ind w:left="0" w:right="0"/>
              <w:jc w:val="center"/>
              <w:textAlignment w:val="auto"/>
              <w:rPr>
                <w:rFonts w:ascii="Times New Roman" w:hAnsi="Times New Roman" w:cs="Times New Roman"/>
                <w:color w:val="auto"/>
                <w:sz w:val="21"/>
                <w:szCs w:val="21"/>
                <w:highlight w:val="none"/>
              </w:rPr>
            </w:pPr>
          </w:p>
        </w:tc>
        <w:tc>
          <w:tcPr>
            <w:tcW w:w="909" w:type="dxa"/>
            <w:tcBorders>
              <w:tl2br w:val="nil"/>
              <w:tr2bl w:val="nil"/>
            </w:tcBorders>
            <w:vAlign w:val="center"/>
          </w:tcPr>
          <w:p w14:paraId="10D2CC1E">
            <w:pPr>
              <w:keepNext w:val="0"/>
              <w:keepLines w:val="0"/>
              <w:pageBreakBefore w:val="0"/>
              <w:kinsoku/>
              <w:wordWrap/>
              <w:overflowPunct/>
              <w:topLinePunct w:val="0"/>
              <w:bidi w:val="0"/>
              <w:adjustRightInd/>
              <w:snapToGrid/>
              <w:ind w:left="0" w:leftChars="0" w:right="0" w:rightChars="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lang w:val="en-US" w:eastAsia="zh-CN"/>
              </w:rPr>
              <w:t>65</w:t>
            </w:r>
          </w:p>
        </w:tc>
        <w:tc>
          <w:tcPr>
            <w:tcW w:w="534" w:type="pct"/>
            <w:tcBorders>
              <w:tl2br w:val="nil"/>
              <w:tr2bl w:val="nil"/>
            </w:tcBorders>
            <w:vAlign w:val="center"/>
          </w:tcPr>
          <w:p w14:paraId="6EBAF3C8">
            <w:pPr>
              <w:keepNext w:val="0"/>
              <w:keepLines w:val="0"/>
              <w:pageBreakBefore w:val="0"/>
              <w:kinsoku/>
              <w:wordWrap/>
              <w:overflowPunct/>
              <w:topLinePunct w:val="0"/>
              <w:bidi w:val="0"/>
              <w:adjustRightInd/>
              <w:snapToGrid/>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57</w:t>
            </w:r>
          </w:p>
        </w:tc>
        <w:tc>
          <w:tcPr>
            <w:tcW w:w="534" w:type="pct"/>
            <w:tcBorders>
              <w:tl2br w:val="nil"/>
              <w:tr2bl w:val="nil"/>
            </w:tcBorders>
            <w:vAlign w:val="center"/>
          </w:tcPr>
          <w:p w14:paraId="256B9B81">
            <w:pPr>
              <w:keepNext w:val="0"/>
              <w:keepLines w:val="0"/>
              <w:pageBreakBefore w:val="0"/>
              <w:kinsoku/>
              <w:wordWrap/>
              <w:overflowPunct/>
              <w:topLinePunct w:val="0"/>
              <w:autoSpaceDE w:val="0"/>
              <w:autoSpaceDN w:val="0"/>
              <w:bidi w:val="0"/>
              <w:adjustRightInd/>
              <w:snapToGrid/>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达标</w:t>
            </w:r>
          </w:p>
        </w:tc>
        <w:tc>
          <w:tcPr>
            <w:tcW w:w="909" w:type="dxa"/>
            <w:tcBorders>
              <w:tl2br w:val="nil"/>
              <w:tr2bl w:val="nil"/>
            </w:tcBorders>
            <w:vAlign w:val="center"/>
          </w:tcPr>
          <w:p w14:paraId="4C1E4018">
            <w:pPr>
              <w:keepNext w:val="0"/>
              <w:keepLines w:val="0"/>
              <w:pageBreakBefore w:val="0"/>
              <w:kinsoku/>
              <w:wordWrap/>
              <w:overflowPunct/>
              <w:topLinePunct w:val="0"/>
              <w:bidi w:val="0"/>
              <w:adjustRightInd/>
              <w:snapToGrid/>
              <w:ind w:left="0" w:leftChars="0" w:right="0" w:rightChars="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lang w:val="en-US" w:eastAsia="zh-CN"/>
              </w:rPr>
              <w:t>55</w:t>
            </w:r>
          </w:p>
        </w:tc>
        <w:tc>
          <w:tcPr>
            <w:tcW w:w="534" w:type="pct"/>
            <w:tcBorders>
              <w:tl2br w:val="nil"/>
              <w:tr2bl w:val="nil"/>
            </w:tcBorders>
            <w:vAlign w:val="center"/>
          </w:tcPr>
          <w:p w14:paraId="2BD5979E">
            <w:pPr>
              <w:keepNext w:val="0"/>
              <w:keepLines w:val="0"/>
              <w:pageBreakBefore w:val="0"/>
              <w:kinsoku/>
              <w:wordWrap/>
              <w:overflowPunct/>
              <w:topLinePunct w:val="0"/>
              <w:bidi w:val="0"/>
              <w:adjustRightInd/>
              <w:snapToGrid/>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47</w:t>
            </w:r>
          </w:p>
        </w:tc>
        <w:tc>
          <w:tcPr>
            <w:tcW w:w="537" w:type="pct"/>
            <w:tcBorders>
              <w:tl2br w:val="nil"/>
              <w:tr2bl w:val="nil"/>
            </w:tcBorders>
            <w:vAlign w:val="center"/>
          </w:tcPr>
          <w:p w14:paraId="4D6CFE64">
            <w:pPr>
              <w:keepNext w:val="0"/>
              <w:keepLines w:val="0"/>
              <w:pageBreakBefore w:val="0"/>
              <w:kinsoku/>
              <w:wordWrap/>
              <w:overflowPunct/>
              <w:topLinePunct w:val="0"/>
              <w:bidi w:val="0"/>
              <w:adjustRightInd/>
              <w:snapToGrid/>
              <w:ind w:left="0" w:right="0"/>
              <w:jc w:val="center"/>
              <w:textAlignment w:val="auto"/>
              <w:rPr>
                <w:rFonts w:ascii="Times New Roman" w:hAnsi="Times New Roman" w:cs="Times New Roman"/>
                <w:color w:val="auto"/>
                <w:kern w:val="2"/>
                <w:sz w:val="21"/>
                <w:szCs w:val="21"/>
                <w:highlight w:val="none"/>
              </w:rPr>
            </w:pPr>
            <w:r>
              <w:rPr>
                <w:rFonts w:ascii="Times New Roman" w:hAnsi="Times New Roman" w:cs="Times New Roman"/>
                <w:color w:val="auto"/>
                <w:sz w:val="21"/>
                <w:szCs w:val="21"/>
                <w:highlight w:val="none"/>
              </w:rPr>
              <w:t>达标</w:t>
            </w:r>
          </w:p>
        </w:tc>
      </w:tr>
      <w:tr w14:paraId="7D6D8978">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417" w:type="pct"/>
            <w:vMerge w:val="continue"/>
            <w:tcBorders>
              <w:tl2br w:val="nil"/>
              <w:tr2bl w:val="nil"/>
            </w:tcBorders>
            <w:vAlign w:val="center"/>
          </w:tcPr>
          <w:p w14:paraId="5B7993D4">
            <w:pPr>
              <w:keepNext w:val="0"/>
              <w:keepLines w:val="0"/>
              <w:pageBreakBefore w:val="0"/>
              <w:kinsoku/>
              <w:wordWrap/>
              <w:overflowPunct/>
              <w:topLinePunct w:val="0"/>
              <w:bidi w:val="0"/>
              <w:adjustRightInd/>
              <w:snapToGrid/>
              <w:ind w:left="0" w:right="0"/>
              <w:jc w:val="center"/>
              <w:textAlignment w:val="auto"/>
              <w:rPr>
                <w:rFonts w:ascii="Times New Roman" w:hAnsi="Times New Roman" w:cs="Times New Roman"/>
                <w:color w:val="auto"/>
                <w:sz w:val="21"/>
                <w:szCs w:val="21"/>
                <w:highlight w:val="none"/>
              </w:rPr>
            </w:pPr>
          </w:p>
        </w:tc>
        <w:tc>
          <w:tcPr>
            <w:tcW w:w="516" w:type="pct"/>
            <w:tcBorders>
              <w:tl2br w:val="nil"/>
              <w:tr2bl w:val="nil"/>
            </w:tcBorders>
            <w:vAlign w:val="center"/>
          </w:tcPr>
          <w:p w14:paraId="655E90F2">
            <w:pPr>
              <w:keepNext w:val="0"/>
              <w:keepLines w:val="0"/>
              <w:pageBreakBefore w:val="0"/>
              <w:tabs>
                <w:tab w:val="left" w:pos="360"/>
                <w:tab w:val="left" w:pos="1080"/>
              </w:tabs>
              <w:kinsoku/>
              <w:wordWrap/>
              <w:overflowPunct/>
              <w:topLinePunct w:val="0"/>
              <w:bidi w:val="0"/>
              <w:adjustRightInd/>
              <w:snapToGrid/>
              <w:ind w:left="0" w:right="0"/>
              <w:jc w:val="center"/>
              <w:textAlignment w:val="auto"/>
              <w:rPr>
                <w:rFonts w:ascii="Times New Roman" w:hAnsi="Times New Roman" w:cs="Times New Roman"/>
                <w:color w:val="auto"/>
                <w:kern w:val="2"/>
                <w:sz w:val="21"/>
                <w:szCs w:val="21"/>
                <w:highlight w:val="none"/>
              </w:rPr>
            </w:pPr>
            <w:r>
              <w:rPr>
                <w:rFonts w:ascii="Times New Roman" w:hAnsi="Times New Roman" w:cs="Times New Roman"/>
                <w:color w:val="auto"/>
                <w:sz w:val="21"/>
                <w:szCs w:val="21"/>
                <w:highlight w:val="none"/>
              </w:rPr>
              <w:t>Z5</w:t>
            </w:r>
          </w:p>
        </w:tc>
        <w:tc>
          <w:tcPr>
            <w:tcW w:w="854" w:type="pct"/>
            <w:vMerge w:val="continue"/>
            <w:tcBorders>
              <w:tl2br w:val="nil"/>
              <w:tr2bl w:val="nil"/>
            </w:tcBorders>
            <w:vAlign w:val="center"/>
          </w:tcPr>
          <w:p w14:paraId="4AAE3D74">
            <w:pPr>
              <w:keepNext w:val="0"/>
              <w:keepLines w:val="0"/>
              <w:pageBreakBefore w:val="0"/>
              <w:kinsoku/>
              <w:wordWrap/>
              <w:overflowPunct/>
              <w:topLinePunct w:val="0"/>
              <w:bidi w:val="0"/>
              <w:adjustRightInd/>
              <w:snapToGrid/>
              <w:ind w:left="0" w:right="0"/>
              <w:jc w:val="center"/>
              <w:textAlignment w:val="auto"/>
              <w:rPr>
                <w:rFonts w:ascii="Times New Roman" w:hAnsi="Times New Roman" w:cs="Times New Roman"/>
                <w:color w:val="auto"/>
                <w:sz w:val="21"/>
                <w:szCs w:val="21"/>
                <w:highlight w:val="none"/>
              </w:rPr>
            </w:pPr>
          </w:p>
        </w:tc>
        <w:tc>
          <w:tcPr>
            <w:tcW w:w="909" w:type="dxa"/>
            <w:tcBorders>
              <w:tl2br w:val="nil"/>
              <w:tr2bl w:val="nil"/>
            </w:tcBorders>
            <w:vAlign w:val="center"/>
          </w:tcPr>
          <w:p w14:paraId="2168094B">
            <w:pPr>
              <w:keepNext w:val="0"/>
              <w:keepLines w:val="0"/>
              <w:pageBreakBefore w:val="0"/>
              <w:kinsoku/>
              <w:wordWrap/>
              <w:overflowPunct/>
              <w:topLinePunct w:val="0"/>
              <w:bidi w:val="0"/>
              <w:adjustRightInd/>
              <w:snapToGrid/>
              <w:ind w:left="0" w:leftChars="0" w:right="0" w:rightChars="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lang w:val="en-US" w:eastAsia="zh-CN"/>
              </w:rPr>
              <w:t>60</w:t>
            </w:r>
          </w:p>
        </w:tc>
        <w:tc>
          <w:tcPr>
            <w:tcW w:w="534" w:type="pct"/>
            <w:tcBorders>
              <w:tl2br w:val="nil"/>
              <w:tr2bl w:val="nil"/>
            </w:tcBorders>
            <w:vAlign w:val="center"/>
          </w:tcPr>
          <w:p w14:paraId="6344D612">
            <w:pPr>
              <w:keepNext w:val="0"/>
              <w:keepLines w:val="0"/>
              <w:pageBreakBefore w:val="0"/>
              <w:kinsoku/>
              <w:wordWrap/>
              <w:overflowPunct/>
              <w:topLinePunct w:val="0"/>
              <w:bidi w:val="0"/>
              <w:adjustRightInd/>
              <w:snapToGrid/>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57</w:t>
            </w:r>
          </w:p>
        </w:tc>
        <w:tc>
          <w:tcPr>
            <w:tcW w:w="534" w:type="pct"/>
            <w:tcBorders>
              <w:tl2br w:val="nil"/>
              <w:tr2bl w:val="nil"/>
            </w:tcBorders>
            <w:vAlign w:val="center"/>
          </w:tcPr>
          <w:p w14:paraId="7B03B744">
            <w:pPr>
              <w:keepNext w:val="0"/>
              <w:keepLines w:val="0"/>
              <w:pageBreakBefore w:val="0"/>
              <w:kinsoku/>
              <w:wordWrap/>
              <w:overflowPunct/>
              <w:topLinePunct w:val="0"/>
              <w:autoSpaceDE w:val="0"/>
              <w:autoSpaceDN w:val="0"/>
              <w:bidi w:val="0"/>
              <w:adjustRightInd/>
              <w:snapToGrid/>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达标</w:t>
            </w:r>
          </w:p>
        </w:tc>
        <w:tc>
          <w:tcPr>
            <w:tcW w:w="909" w:type="dxa"/>
            <w:tcBorders>
              <w:tl2br w:val="nil"/>
              <w:tr2bl w:val="nil"/>
            </w:tcBorders>
            <w:vAlign w:val="center"/>
          </w:tcPr>
          <w:p w14:paraId="63DE74ED">
            <w:pPr>
              <w:keepNext w:val="0"/>
              <w:keepLines w:val="0"/>
              <w:pageBreakBefore w:val="0"/>
              <w:kinsoku/>
              <w:wordWrap/>
              <w:overflowPunct/>
              <w:topLinePunct w:val="0"/>
              <w:bidi w:val="0"/>
              <w:adjustRightInd/>
              <w:snapToGrid/>
              <w:ind w:left="0" w:leftChars="0" w:right="0" w:rightChars="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lang w:val="en-US" w:eastAsia="zh-CN"/>
              </w:rPr>
              <w:t>50</w:t>
            </w:r>
          </w:p>
        </w:tc>
        <w:tc>
          <w:tcPr>
            <w:tcW w:w="534" w:type="pct"/>
            <w:tcBorders>
              <w:tl2br w:val="nil"/>
              <w:tr2bl w:val="nil"/>
            </w:tcBorders>
            <w:vAlign w:val="center"/>
          </w:tcPr>
          <w:p w14:paraId="03F5C5F5">
            <w:pPr>
              <w:keepNext w:val="0"/>
              <w:keepLines w:val="0"/>
              <w:pageBreakBefore w:val="0"/>
              <w:kinsoku/>
              <w:wordWrap/>
              <w:overflowPunct/>
              <w:topLinePunct w:val="0"/>
              <w:bidi w:val="0"/>
              <w:adjustRightInd/>
              <w:snapToGrid/>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47</w:t>
            </w:r>
          </w:p>
        </w:tc>
        <w:tc>
          <w:tcPr>
            <w:tcW w:w="537" w:type="pct"/>
            <w:tcBorders>
              <w:tl2br w:val="nil"/>
              <w:tr2bl w:val="nil"/>
            </w:tcBorders>
            <w:vAlign w:val="center"/>
          </w:tcPr>
          <w:p w14:paraId="6122FD46">
            <w:pPr>
              <w:keepNext w:val="0"/>
              <w:keepLines w:val="0"/>
              <w:pageBreakBefore w:val="0"/>
              <w:kinsoku/>
              <w:wordWrap/>
              <w:overflowPunct/>
              <w:topLinePunct w:val="0"/>
              <w:bidi w:val="0"/>
              <w:adjustRightInd/>
              <w:snapToGrid/>
              <w:ind w:left="0" w:right="0"/>
              <w:jc w:val="center"/>
              <w:textAlignment w:val="auto"/>
              <w:rPr>
                <w:rFonts w:ascii="Times New Roman" w:hAnsi="Times New Roman" w:cs="Times New Roman"/>
                <w:color w:val="auto"/>
                <w:kern w:val="2"/>
                <w:sz w:val="21"/>
                <w:szCs w:val="21"/>
                <w:highlight w:val="none"/>
              </w:rPr>
            </w:pPr>
            <w:r>
              <w:rPr>
                <w:rFonts w:ascii="Times New Roman" w:hAnsi="Times New Roman" w:cs="Times New Roman"/>
                <w:color w:val="auto"/>
                <w:sz w:val="21"/>
                <w:szCs w:val="21"/>
                <w:highlight w:val="none"/>
              </w:rPr>
              <w:t>达标</w:t>
            </w:r>
          </w:p>
        </w:tc>
      </w:tr>
      <w:tr w14:paraId="46646F5A">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417" w:type="pct"/>
            <w:vMerge w:val="continue"/>
            <w:tcBorders>
              <w:tl2br w:val="nil"/>
              <w:tr2bl w:val="nil"/>
            </w:tcBorders>
            <w:vAlign w:val="center"/>
          </w:tcPr>
          <w:p w14:paraId="1953E4D9">
            <w:pPr>
              <w:keepNext w:val="0"/>
              <w:keepLines w:val="0"/>
              <w:pageBreakBefore w:val="0"/>
              <w:kinsoku/>
              <w:wordWrap/>
              <w:overflowPunct/>
              <w:topLinePunct w:val="0"/>
              <w:bidi w:val="0"/>
              <w:adjustRightInd/>
              <w:snapToGrid/>
              <w:ind w:left="0" w:right="0"/>
              <w:jc w:val="center"/>
              <w:textAlignment w:val="auto"/>
              <w:rPr>
                <w:rFonts w:ascii="Times New Roman" w:hAnsi="Times New Roman" w:cs="Times New Roman"/>
                <w:color w:val="auto"/>
                <w:sz w:val="21"/>
                <w:szCs w:val="21"/>
                <w:highlight w:val="none"/>
              </w:rPr>
            </w:pPr>
          </w:p>
        </w:tc>
        <w:tc>
          <w:tcPr>
            <w:tcW w:w="516" w:type="pct"/>
            <w:tcBorders>
              <w:tl2br w:val="nil"/>
              <w:tr2bl w:val="nil"/>
            </w:tcBorders>
            <w:vAlign w:val="center"/>
          </w:tcPr>
          <w:p w14:paraId="5503B864">
            <w:pPr>
              <w:keepNext w:val="0"/>
              <w:keepLines w:val="0"/>
              <w:pageBreakBefore w:val="0"/>
              <w:tabs>
                <w:tab w:val="left" w:pos="360"/>
                <w:tab w:val="left" w:pos="1080"/>
              </w:tabs>
              <w:kinsoku/>
              <w:wordWrap/>
              <w:overflowPunct/>
              <w:topLinePunct w:val="0"/>
              <w:bidi w:val="0"/>
              <w:adjustRightInd/>
              <w:snapToGrid/>
              <w:ind w:left="0" w:right="0"/>
              <w:jc w:val="center"/>
              <w:textAlignment w:val="auto"/>
              <w:rPr>
                <w:rFonts w:ascii="Times New Roman" w:hAnsi="Times New Roman" w:cs="Times New Roman"/>
                <w:color w:val="auto"/>
                <w:kern w:val="2"/>
                <w:sz w:val="21"/>
                <w:szCs w:val="21"/>
                <w:highlight w:val="none"/>
              </w:rPr>
            </w:pPr>
            <w:r>
              <w:rPr>
                <w:rFonts w:ascii="Times New Roman" w:hAnsi="Times New Roman" w:cs="Times New Roman"/>
                <w:color w:val="auto"/>
                <w:sz w:val="21"/>
                <w:szCs w:val="21"/>
                <w:highlight w:val="none"/>
              </w:rPr>
              <w:t>Z6</w:t>
            </w:r>
          </w:p>
        </w:tc>
        <w:tc>
          <w:tcPr>
            <w:tcW w:w="854" w:type="pct"/>
            <w:vMerge w:val="continue"/>
            <w:tcBorders>
              <w:tl2br w:val="nil"/>
              <w:tr2bl w:val="nil"/>
            </w:tcBorders>
            <w:vAlign w:val="center"/>
          </w:tcPr>
          <w:p w14:paraId="3EB816E8">
            <w:pPr>
              <w:keepNext w:val="0"/>
              <w:keepLines w:val="0"/>
              <w:pageBreakBefore w:val="0"/>
              <w:kinsoku/>
              <w:wordWrap/>
              <w:overflowPunct/>
              <w:topLinePunct w:val="0"/>
              <w:bidi w:val="0"/>
              <w:adjustRightInd/>
              <w:snapToGrid/>
              <w:ind w:left="0" w:right="0"/>
              <w:jc w:val="center"/>
              <w:textAlignment w:val="auto"/>
              <w:rPr>
                <w:rFonts w:ascii="Times New Roman" w:hAnsi="Times New Roman" w:cs="Times New Roman"/>
                <w:color w:val="auto"/>
                <w:sz w:val="21"/>
                <w:szCs w:val="21"/>
                <w:highlight w:val="none"/>
              </w:rPr>
            </w:pPr>
          </w:p>
        </w:tc>
        <w:tc>
          <w:tcPr>
            <w:tcW w:w="909" w:type="dxa"/>
            <w:tcBorders>
              <w:tl2br w:val="nil"/>
              <w:tr2bl w:val="nil"/>
            </w:tcBorders>
            <w:vAlign w:val="center"/>
          </w:tcPr>
          <w:p w14:paraId="79786CB1">
            <w:pPr>
              <w:keepNext w:val="0"/>
              <w:keepLines w:val="0"/>
              <w:pageBreakBefore w:val="0"/>
              <w:kinsoku/>
              <w:wordWrap/>
              <w:overflowPunct/>
              <w:topLinePunct w:val="0"/>
              <w:bidi w:val="0"/>
              <w:adjustRightInd/>
              <w:snapToGrid/>
              <w:ind w:left="0" w:leftChars="0" w:right="0" w:rightChars="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lang w:val="en-US" w:eastAsia="zh-CN"/>
              </w:rPr>
              <w:t>60</w:t>
            </w:r>
          </w:p>
        </w:tc>
        <w:tc>
          <w:tcPr>
            <w:tcW w:w="534" w:type="pct"/>
            <w:tcBorders>
              <w:tl2br w:val="nil"/>
              <w:tr2bl w:val="nil"/>
            </w:tcBorders>
            <w:vAlign w:val="center"/>
          </w:tcPr>
          <w:p w14:paraId="13BBE5BF">
            <w:pPr>
              <w:keepNext w:val="0"/>
              <w:keepLines w:val="0"/>
              <w:pageBreakBefore w:val="0"/>
              <w:kinsoku/>
              <w:wordWrap/>
              <w:overflowPunct/>
              <w:topLinePunct w:val="0"/>
              <w:bidi w:val="0"/>
              <w:adjustRightInd/>
              <w:snapToGrid/>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56</w:t>
            </w:r>
          </w:p>
        </w:tc>
        <w:tc>
          <w:tcPr>
            <w:tcW w:w="534" w:type="pct"/>
            <w:tcBorders>
              <w:tl2br w:val="nil"/>
              <w:tr2bl w:val="nil"/>
            </w:tcBorders>
            <w:vAlign w:val="center"/>
          </w:tcPr>
          <w:p w14:paraId="5E1935CF">
            <w:pPr>
              <w:keepNext w:val="0"/>
              <w:keepLines w:val="0"/>
              <w:pageBreakBefore w:val="0"/>
              <w:kinsoku/>
              <w:wordWrap/>
              <w:overflowPunct/>
              <w:topLinePunct w:val="0"/>
              <w:autoSpaceDE w:val="0"/>
              <w:autoSpaceDN w:val="0"/>
              <w:bidi w:val="0"/>
              <w:adjustRightInd/>
              <w:snapToGrid/>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达标</w:t>
            </w:r>
          </w:p>
        </w:tc>
        <w:tc>
          <w:tcPr>
            <w:tcW w:w="909" w:type="dxa"/>
            <w:tcBorders>
              <w:tl2br w:val="nil"/>
              <w:tr2bl w:val="nil"/>
            </w:tcBorders>
            <w:vAlign w:val="center"/>
          </w:tcPr>
          <w:p w14:paraId="1A71EF42">
            <w:pPr>
              <w:keepNext w:val="0"/>
              <w:keepLines w:val="0"/>
              <w:pageBreakBefore w:val="0"/>
              <w:kinsoku/>
              <w:wordWrap/>
              <w:overflowPunct/>
              <w:topLinePunct w:val="0"/>
              <w:bidi w:val="0"/>
              <w:adjustRightInd/>
              <w:snapToGrid/>
              <w:ind w:left="0" w:leftChars="0" w:right="0" w:rightChars="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lang w:val="en-US" w:eastAsia="zh-CN"/>
              </w:rPr>
              <w:t>50</w:t>
            </w:r>
          </w:p>
        </w:tc>
        <w:tc>
          <w:tcPr>
            <w:tcW w:w="534" w:type="pct"/>
            <w:tcBorders>
              <w:tl2br w:val="nil"/>
              <w:tr2bl w:val="nil"/>
            </w:tcBorders>
            <w:vAlign w:val="center"/>
          </w:tcPr>
          <w:p w14:paraId="64C86BB8">
            <w:pPr>
              <w:keepNext w:val="0"/>
              <w:keepLines w:val="0"/>
              <w:pageBreakBefore w:val="0"/>
              <w:kinsoku/>
              <w:wordWrap/>
              <w:overflowPunct/>
              <w:topLinePunct w:val="0"/>
              <w:bidi w:val="0"/>
              <w:adjustRightInd/>
              <w:snapToGrid/>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48</w:t>
            </w:r>
          </w:p>
        </w:tc>
        <w:tc>
          <w:tcPr>
            <w:tcW w:w="537" w:type="pct"/>
            <w:tcBorders>
              <w:tl2br w:val="nil"/>
              <w:tr2bl w:val="nil"/>
            </w:tcBorders>
            <w:vAlign w:val="center"/>
          </w:tcPr>
          <w:p w14:paraId="1585C379">
            <w:pPr>
              <w:keepNext w:val="0"/>
              <w:keepLines w:val="0"/>
              <w:pageBreakBefore w:val="0"/>
              <w:kinsoku/>
              <w:wordWrap/>
              <w:overflowPunct/>
              <w:topLinePunct w:val="0"/>
              <w:bidi w:val="0"/>
              <w:adjustRightInd/>
              <w:snapToGrid/>
              <w:ind w:left="0" w:right="0"/>
              <w:jc w:val="center"/>
              <w:textAlignment w:val="auto"/>
              <w:rPr>
                <w:rFonts w:ascii="Times New Roman" w:hAnsi="Times New Roman" w:cs="Times New Roman"/>
                <w:color w:val="auto"/>
                <w:kern w:val="2"/>
                <w:sz w:val="21"/>
                <w:szCs w:val="21"/>
                <w:highlight w:val="none"/>
              </w:rPr>
            </w:pPr>
            <w:r>
              <w:rPr>
                <w:rFonts w:ascii="Times New Roman" w:hAnsi="Times New Roman" w:cs="Times New Roman"/>
                <w:color w:val="auto"/>
                <w:sz w:val="21"/>
                <w:szCs w:val="21"/>
                <w:highlight w:val="none"/>
              </w:rPr>
              <w:t>达标</w:t>
            </w:r>
          </w:p>
        </w:tc>
      </w:tr>
      <w:tr w14:paraId="2E2789FE">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417" w:type="pct"/>
            <w:vMerge w:val="continue"/>
            <w:tcBorders>
              <w:tl2br w:val="nil"/>
              <w:tr2bl w:val="nil"/>
            </w:tcBorders>
            <w:vAlign w:val="center"/>
          </w:tcPr>
          <w:p w14:paraId="33749C24">
            <w:pPr>
              <w:keepNext w:val="0"/>
              <w:keepLines w:val="0"/>
              <w:pageBreakBefore w:val="0"/>
              <w:kinsoku/>
              <w:wordWrap/>
              <w:overflowPunct/>
              <w:topLinePunct w:val="0"/>
              <w:bidi w:val="0"/>
              <w:adjustRightInd/>
              <w:snapToGrid/>
              <w:ind w:left="0" w:right="0"/>
              <w:jc w:val="center"/>
              <w:textAlignment w:val="auto"/>
              <w:rPr>
                <w:rFonts w:ascii="Times New Roman" w:hAnsi="Times New Roman" w:cs="Times New Roman"/>
                <w:color w:val="auto"/>
                <w:sz w:val="21"/>
                <w:szCs w:val="21"/>
                <w:highlight w:val="none"/>
              </w:rPr>
            </w:pPr>
          </w:p>
        </w:tc>
        <w:tc>
          <w:tcPr>
            <w:tcW w:w="516" w:type="pct"/>
            <w:tcBorders>
              <w:tl2br w:val="nil"/>
              <w:tr2bl w:val="nil"/>
            </w:tcBorders>
            <w:vAlign w:val="center"/>
          </w:tcPr>
          <w:p w14:paraId="76D46870">
            <w:pPr>
              <w:keepNext w:val="0"/>
              <w:keepLines w:val="0"/>
              <w:pageBreakBefore w:val="0"/>
              <w:tabs>
                <w:tab w:val="left" w:pos="360"/>
                <w:tab w:val="left" w:pos="1080"/>
              </w:tabs>
              <w:kinsoku/>
              <w:wordWrap/>
              <w:overflowPunct/>
              <w:topLinePunct w:val="0"/>
              <w:bidi w:val="0"/>
              <w:adjustRightInd/>
              <w:snapToGrid/>
              <w:ind w:left="0" w:right="0"/>
              <w:jc w:val="center"/>
              <w:textAlignment w:val="auto"/>
              <w:rPr>
                <w:rFonts w:ascii="Times New Roman" w:hAnsi="Times New Roman" w:cs="Times New Roman"/>
                <w:color w:val="auto"/>
                <w:kern w:val="2"/>
                <w:sz w:val="21"/>
                <w:szCs w:val="21"/>
                <w:highlight w:val="none"/>
              </w:rPr>
            </w:pPr>
            <w:r>
              <w:rPr>
                <w:rFonts w:ascii="Times New Roman" w:hAnsi="Times New Roman" w:cs="Times New Roman"/>
                <w:color w:val="auto"/>
                <w:sz w:val="21"/>
                <w:szCs w:val="21"/>
                <w:highlight w:val="none"/>
              </w:rPr>
              <w:t>Z7</w:t>
            </w:r>
          </w:p>
        </w:tc>
        <w:tc>
          <w:tcPr>
            <w:tcW w:w="854" w:type="pct"/>
            <w:vMerge w:val="continue"/>
            <w:tcBorders>
              <w:tl2br w:val="nil"/>
              <w:tr2bl w:val="nil"/>
            </w:tcBorders>
            <w:vAlign w:val="center"/>
          </w:tcPr>
          <w:p w14:paraId="19A573B7">
            <w:pPr>
              <w:keepNext w:val="0"/>
              <w:keepLines w:val="0"/>
              <w:pageBreakBefore w:val="0"/>
              <w:kinsoku/>
              <w:wordWrap/>
              <w:overflowPunct/>
              <w:topLinePunct w:val="0"/>
              <w:bidi w:val="0"/>
              <w:adjustRightInd/>
              <w:snapToGrid/>
              <w:ind w:left="0" w:right="0"/>
              <w:jc w:val="center"/>
              <w:textAlignment w:val="auto"/>
              <w:rPr>
                <w:rFonts w:ascii="Times New Roman" w:hAnsi="Times New Roman" w:cs="Times New Roman"/>
                <w:color w:val="auto"/>
                <w:sz w:val="21"/>
                <w:szCs w:val="21"/>
                <w:highlight w:val="none"/>
              </w:rPr>
            </w:pPr>
          </w:p>
        </w:tc>
        <w:tc>
          <w:tcPr>
            <w:tcW w:w="909" w:type="dxa"/>
            <w:tcBorders>
              <w:tl2br w:val="nil"/>
              <w:tr2bl w:val="nil"/>
            </w:tcBorders>
            <w:vAlign w:val="center"/>
          </w:tcPr>
          <w:p w14:paraId="0182CBF3">
            <w:pPr>
              <w:keepNext w:val="0"/>
              <w:keepLines w:val="0"/>
              <w:pageBreakBefore w:val="0"/>
              <w:kinsoku/>
              <w:wordWrap/>
              <w:overflowPunct/>
              <w:topLinePunct w:val="0"/>
              <w:bidi w:val="0"/>
              <w:adjustRightInd/>
              <w:snapToGrid/>
              <w:ind w:left="0" w:leftChars="0" w:right="0" w:rightChars="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lang w:val="en-US" w:eastAsia="zh-CN"/>
              </w:rPr>
              <w:t>60</w:t>
            </w:r>
          </w:p>
        </w:tc>
        <w:tc>
          <w:tcPr>
            <w:tcW w:w="534" w:type="pct"/>
            <w:tcBorders>
              <w:tl2br w:val="nil"/>
              <w:tr2bl w:val="nil"/>
            </w:tcBorders>
            <w:vAlign w:val="center"/>
          </w:tcPr>
          <w:p w14:paraId="1791E474">
            <w:pPr>
              <w:keepNext w:val="0"/>
              <w:keepLines w:val="0"/>
              <w:pageBreakBefore w:val="0"/>
              <w:kinsoku/>
              <w:wordWrap/>
              <w:overflowPunct/>
              <w:topLinePunct w:val="0"/>
              <w:bidi w:val="0"/>
              <w:adjustRightInd/>
              <w:snapToGrid/>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57</w:t>
            </w:r>
          </w:p>
        </w:tc>
        <w:tc>
          <w:tcPr>
            <w:tcW w:w="534" w:type="pct"/>
            <w:tcBorders>
              <w:tl2br w:val="nil"/>
              <w:tr2bl w:val="nil"/>
            </w:tcBorders>
            <w:vAlign w:val="center"/>
          </w:tcPr>
          <w:p w14:paraId="16FAA3BA">
            <w:pPr>
              <w:keepNext w:val="0"/>
              <w:keepLines w:val="0"/>
              <w:pageBreakBefore w:val="0"/>
              <w:kinsoku/>
              <w:wordWrap/>
              <w:overflowPunct/>
              <w:topLinePunct w:val="0"/>
              <w:autoSpaceDE w:val="0"/>
              <w:autoSpaceDN w:val="0"/>
              <w:bidi w:val="0"/>
              <w:adjustRightInd/>
              <w:snapToGrid/>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达标</w:t>
            </w:r>
          </w:p>
        </w:tc>
        <w:tc>
          <w:tcPr>
            <w:tcW w:w="909" w:type="dxa"/>
            <w:tcBorders>
              <w:tl2br w:val="nil"/>
              <w:tr2bl w:val="nil"/>
            </w:tcBorders>
            <w:vAlign w:val="center"/>
          </w:tcPr>
          <w:p w14:paraId="5EC7335E">
            <w:pPr>
              <w:keepNext w:val="0"/>
              <w:keepLines w:val="0"/>
              <w:pageBreakBefore w:val="0"/>
              <w:kinsoku/>
              <w:wordWrap/>
              <w:overflowPunct/>
              <w:topLinePunct w:val="0"/>
              <w:bidi w:val="0"/>
              <w:adjustRightInd/>
              <w:snapToGrid/>
              <w:ind w:left="0" w:leftChars="0" w:right="0" w:rightChars="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lang w:val="en-US" w:eastAsia="zh-CN"/>
              </w:rPr>
              <w:t>50</w:t>
            </w:r>
          </w:p>
        </w:tc>
        <w:tc>
          <w:tcPr>
            <w:tcW w:w="534" w:type="pct"/>
            <w:tcBorders>
              <w:tl2br w:val="nil"/>
              <w:tr2bl w:val="nil"/>
            </w:tcBorders>
            <w:vAlign w:val="center"/>
          </w:tcPr>
          <w:p w14:paraId="7106D2A2">
            <w:pPr>
              <w:keepNext w:val="0"/>
              <w:keepLines w:val="0"/>
              <w:pageBreakBefore w:val="0"/>
              <w:kinsoku/>
              <w:wordWrap/>
              <w:overflowPunct/>
              <w:topLinePunct w:val="0"/>
              <w:bidi w:val="0"/>
              <w:adjustRightInd/>
              <w:snapToGrid/>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48</w:t>
            </w:r>
          </w:p>
        </w:tc>
        <w:tc>
          <w:tcPr>
            <w:tcW w:w="537" w:type="pct"/>
            <w:tcBorders>
              <w:tl2br w:val="nil"/>
              <w:tr2bl w:val="nil"/>
            </w:tcBorders>
            <w:vAlign w:val="center"/>
          </w:tcPr>
          <w:p w14:paraId="4B04F1B4">
            <w:pPr>
              <w:keepNext w:val="0"/>
              <w:keepLines w:val="0"/>
              <w:pageBreakBefore w:val="0"/>
              <w:kinsoku/>
              <w:wordWrap/>
              <w:overflowPunct/>
              <w:topLinePunct w:val="0"/>
              <w:bidi w:val="0"/>
              <w:adjustRightInd/>
              <w:snapToGrid/>
              <w:ind w:left="0" w:right="0"/>
              <w:jc w:val="center"/>
              <w:textAlignment w:val="auto"/>
              <w:rPr>
                <w:rFonts w:ascii="Times New Roman" w:hAnsi="Times New Roman" w:cs="Times New Roman"/>
                <w:color w:val="auto"/>
                <w:kern w:val="2"/>
                <w:sz w:val="21"/>
                <w:szCs w:val="21"/>
                <w:highlight w:val="none"/>
              </w:rPr>
            </w:pPr>
            <w:r>
              <w:rPr>
                <w:rFonts w:ascii="Times New Roman" w:hAnsi="Times New Roman" w:cs="Times New Roman"/>
                <w:color w:val="auto"/>
                <w:sz w:val="21"/>
                <w:szCs w:val="21"/>
                <w:highlight w:val="none"/>
              </w:rPr>
              <w:t>达标</w:t>
            </w:r>
          </w:p>
        </w:tc>
      </w:tr>
    </w:tbl>
    <w:p w14:paraId="4CB5ECE9">
      <w:pPr>
        <w:spacing w:line="360" w:lineRule="auto"/>
        <w:ind w:left="-105" w:right="-105" w:firstLine="480"/>
        <w:rPr>
          <w:rFonts w:ascii="Times New Roman" w:hAnsi="Times New Roman"/>
          <w:color w:val="auto"/>
          <w:highlight w:val="none"/>
        </w:rPr>
      </w:pPr>
      <w:r>
        <w:rPr>
          <w:rFonts w:ascii="Times New Roman" w:hAnsi="Times New Roman" w:cs="Times New Roman"/>
          <w:color w:val="auto"/>
          <w:highlight w:val="none"/>
        </w:rPr>
        <w:t>由上表可知，厂界噪声达到《声环境质量标准》（GB3096-2008）中</w:t>
      </w:r>
      <w:r>
        <w:rPr>
          <w:rFonts w:hint="eastAsia" w:ascii="Times New Roman" w:hAnsi="Times New Roman" w:cs="Times New Roman"/>
          <w:color w:val="auto"/>
          <w:highlight w:val="none"/>
        </w:rPr>
        <w:t>2类、</w:t>
      </w:r>
      <w:r>
        <w:rPr>
          <w:rFonts w:ascii="Times New Roman" w:hAnsi="Times New Roman" w:cs="Times New Roman"/>
          <w:color w:val="auto"/>
          <w:highlight w:val="none"/>
        </w:rPr>
        <w:t>3类</w:t>
      </w:r>
      <w:r>
        <w:rPr>
          <w:rFonts w:ascii="Times New Roman" w:hAnsi="Times New Roman"/>
          <w:color w:val="auto"/>
          <w:highlight w:val="none"/>
        </w:rPr>
        <w:t>标准。</w:t>
      </w:r>
    </w:p>
    <w:p w14:paraId="2E4C36CB">
      <w:pPr>
        <w:pStyle w:val="5"/>
        <w:keepLines w:val="0"/>
        <w:numPr>
          <w:ilvl w:val="2"/>
          <w:numId w:val="0"/>
        </w:numPr>
        <w:tabs>
          <w:tab w:val="left" w:pos="567"/>
          <w:tab w:val="left" w:pos="709"/>
          <w:tab w:val="left" w:pos="993"/>
          <w:tab w:val="left" w:pos="6663"/>
        </w:tabs>
        <w:spacing w:before="0" w:after="0" w:line="360" w:lineRule="auto"/>
        <w:ind w:right="-105"/>
        <w:rPr>
          <w:rFonts w:eastAsia="宋体"/>
          <w:color w:val="auto"/>
          <w:sz w:val="28"/>
          <w:szCs w:val="28"/>
          <w:highlight w:val="none"/>
        </w:rPr>
      </w:pPr>
      <w:bookmarkStart w:id="350" w:name="_Toc461443123"/>
      <w:bookmarkStart w:id="351" w:name="_Toc60653542"/>
      <w:bookmarkStart w:id="352" w:name="_Toc370313627"/>
      <w:r>
        <w:rPr>
          <w:rFonts w:hint="eastAsia" w:eastAsia="宋体"/>
          <w:color w:val="auto"/>
          <w:sz w:val="28"/>
          <w:szCs w:val="28"/>
          <w:highlight w:val="none"/>
        </w:rPr>
        <w:t>5.3.4</w:t>
      </w:r>
      <w:r>
        <w:rPr>
          <w:rFonts w:eastAsia="宋体"/>
          <w:color w:val="auto"/>
          <w:sz w:val="28"/>
          <w:szCs w:val="28"/>
          <w:highlight w:val="none"/>
        </w:rPr>
        <w:t>地下水环境质量现状监测与评价</w:t>
      </w:r>
      <w:bookmarkEnd w:id="350"/>
      <w:bookmarkEnd w:id="351"/>
    </w:p>
    <w:p w14:paraId="243BA828">
      <w:pPr>
        <w:spacing w:line="360" w:lineRule="auto"/>
        <w:ind w:left="-105" w:right="-105" w:firstLine="480"/>
        <w:rPr>
          <w:rFonts w:ascii="Times New Roman" w:hAnsi="Times New Roman"/>
          <w:color w:val="auto"/>
          <w:highlight w:val="none"/>
        </w:rPr>
      </w:pPr>
      <w:r>
        <w:rPr>
          <w:rFonts w:ascii="Times New Roman" w:hAnsi="Times New Roman"/>
          <w:color w:val="auto"/>
          <w:highlight w:val="none"/>
        </w:rPr>
        <w:t>根据《环境影响评价技术导则-地下水环境》（HJ610-2016）</w:t>
      </w:r>
      <w:r>
        <w:rPr>
          <w:rFonts w:hint="eastAsia" w:ascii="Times New Roman" w:hAnsi="Times New Roman"/>
          <w:color w:val="auto"/>
          <w:highlight w:val="none"/>
        </w:rPr>
        <w:t>“</w:t>
      </w:r>
      <w:r>
        <w:rPr>
          <w:rFonts w:ascii="Times New Roman" w:hAnsi="Times New Roman"/>
          <w:color w:val="auto"/>
          <w:highlight w:val="none"/>
        </w:rPr>
        <w:t>附录A</w:t>
      </w:r>
      <w:r>
        <w:rPr>
          <w:rFonts w:hint="eastAsia" w:ascii="Times New Roman" w:hAnsi="Times New Roman"/>
          <w:color w:val="auto"/>
          <w:highlight w:val="none"/>
        </w:rPr>
        <w:t>”</w:t>
      </w:r>
      <w:r>
        <w:rPr>
          <w:rFonts w:ascii="Times New Roman" w:hAnsi="Times New Roman"/>
          <w:color w:val="auto"/>
          <w:highlight w:val="none"/>
        </w:rPr>
        <w:t>中的建设项目分类，本项目属于</w:t>
      </w:r>
      <w:r>
        <w:rPr>
          <w:rFonts w:hint="eastAsia" w:ascii="Times New Roman" w:hAnsi="Times New Roman"/>
          <w:color w:val="auto"/>
          <w:highlight w:val="none"/>
        </w:rPr>
        <w:t>“K机械、电子82、半导体材料、电子陶瓷、有机薄膜、荧光粉、贵金属粉等电子专用材料”，</w:t>
      </w:r>
      <w:r>
        <w:rPr>
          <w:rFonts w:ascii="Times New Roman" w:hAnsi="Times New Roman"/>
          <w:color w:val="auto"/>
          <w:highlight w:val="none"/>
        </w:rPr>
        <w:t>属于</w:t>
      </w:r>
      <w:r>
        <w:rPr>
          <w:rFonts w:ascii="Times New Roman" w:hAnsi="Times New Roman" w:cs="Times New Roman"/>
          <w:color w:val="auto"/>
          <w:highlight w:val="none"/>
        </w:rPr>
        <w:t>Ⅳ</w:t>
      </w:r>
      <w:r>
        <w:rPr>
          <w:rFonts w:ascii="Times New Roman" w:hAnsi="Times New Roman"/>
          <w:color w:val="auto"/>
          <w:highlight w:val="none"/>
        </w:rPr>
        <w:t>类建设项目</w:t>
      </w:r>
      <w:r>
        <w:rPr>
          <w:rFonts w:hint="eastAsia" w:ascii="Times New Roman" w:hAnsi="Times New Roman"/>
          <w:color w:val="auto"/>
          <w:highlight w:val="none"/>
        </w:rPr>
        <w:t>，建设项目不开展地下水环境影响评价，因此不做现状监测与评价</w:t>
      </w:r>
      <w:r>
        <w:rPr>
          <w:rFonts w:ascii="Times New Roman" w:hAnsi="Times New Roman"/>
          <w:color w:val="auto"/>
          <w:highlight w:val="none"/>
        </w:rPr>
        <w:t>。</w:t>
      </w:r>
      <w:bookmarkStart w:id="353" w:name="_Toc60653543"/>
    </w:p>
    <w:p w14:paraId="3204817F">
      <w:pPr>
        <w:pStyle w:val="5"/>
        <w:keepLines w:val="0"/>
        <w:numPr>
          <w:ilvl w:val="2"/>
          <w:numId w:val="0"/>
        </w:numPr>
        <w:tabs>
          <w:tab w:val="left" w:pos="567"/>
          <w:tab w:val="left" w:pos="709"/>
          <w:tab w:val="left" w:pos="993"/>
          <w:tab w:val="left" w:pos="6663"/>
        </w:tabs>
        <w:spacing w:before="0" w:after="0" w:line="360" w:lineRule="auto"/>
        <w:ind w:right="-105"/>
        <w:rPr>
          <w:rFonts w:eastAsia="宋体"/>
          <w:color w:val="auto"/>
          <w:sz w:val="28"/>
          <w:szCs w:val="28"/>
          <w:highlight w:val="none"/>
        </w:rPr>
      </w:pPr>
      <w:r>
        <w:rPr>
          <w:rFonts w:hint="eastAsia" w:eastAsia="宋体"/>
          <w:color w:val="auto"/>
          <w:sz w:val="28"/>
          <w:szCs w:val="28"/>
          <w:highlight w:val="none"/>
        </w:rPr>
        <w:t>5.3.5土壤环境质量现状监测与评价</w:t>
      </w:r>
      <w:bookmarkEnd w:id="352"/>
      <w:bookmarkEnd w:id="353"/>
    </w:p>
    <w:p w14:paraId="7460233F">
      <w:pPr>
        <w:spacing w:line="360" w:lineRule="auto"/>
        <w:ind w:left="-105" w:right="-105" w:firstLine="480"/>
        <w:rPr>
          <w:rFonts w:ascii="Times New Roman" w:hAnsi="Times New Roman"/>
          <w:color w:val="auto"/>
          <w:highlight w:val="none"/>
        </w:rPr>
      </w:pPr>
      <w:r>
        <w:rPr>
          <w:rFonts w:ascii="Times New Roman" w:hAnsi="Times New Roman"/>
          <w:color w:val="auto"/>
          <w:highlight w:val="none"/>
        </w:rPr>
        <w:t>（1）监测因子：《土壤环境质量建设用地土壤污染风险管控标准（试行）》（GB36600-2018）表1中45个基本项目</w:t>
      </w:r>
      <w:r>
        <w:rPr>
          <w:rFonts w:hint="eastAsia" w:ascii="Times New Roman" w:hAnsi="Times New Roman"/>
          <w:color w:val="auto"/>
          <w:highlight w:val="none"/>
        </w:rPr>
        <w:t>、pH</w:t>
      </w:r>
      <w:r>
        <w:rPr>
          <w:rFonts w:ascii="Times New Roman" w:hAnsi="Times New Roman"/>
          <w:color w:val="auto"/>
          <w:highlight w:val="none"/>
        </w:rPr>
        <w:t>。</w:t>
      </w:r>
    </w:p>
    <w:p w14:paraId="4AC92815">
      <w:pPr>
        <w:spacing w:line="360" w:lineRule="auto"/>
        <w:ind w:left="-105" w:right="-105" w:firstLine="480"/>
        <w:rPr>
          <w:rFonts w:ascii="Times New Roman" w:hAnsi="Times New Roman"/>
          <w:color w:val="auto"/>
          <w:highlight w:val="none"/>
        </w:rPr>
      </w:pPr>
      <w:r>
        <w:rPr>
          <w:rFonts w:ascii="Times New Roman" w:hAnsi="Times New Roman"/>
          <w:color w:val="auto"/>
          <w:highlight w:val="none"/>
        </w:rPr>
        <w:t>（2）</w:t>
      </w:r>
      <w:r>
        <w:rPr>
          <w:rFonts w:ascii="Times New Roman" w:hAnsi="Times New Roman"/>
          <w:color w:val="auto"/>
          <w:highlight w:val="none"/>
        </w:rPr>
        <w:tab/>
      </w:r>
      <w:r>
        <w:rPr>
          <w:rFonts w:ascii="Times New Roman" w:hAnsi="Times New Roman"/>
          <w:color w:val="auto"/>
          <w:highlight w:val="none"/>
        </w:rPr>
        <w:t>监测时间及频次</w:t>
      </w:r>
      <w:r>
        <w:rPr>
          <w:rFonts w:hint="eastAsia" w:ascii="Times New Roman" w:hAnsi="Times New Roman"/>
          <w:color w:val="auto"/>
          <w:highlight w:val="none"/>
        </w:rPr>
        <w:t>：</w:t>
      </w:r>
      <w:r>
        <w:rPr>
          <w:rFonts w:ascii="Times New Roman" w:hAnsi="Times New Roman"/>
          <w:color w:val="auto"/>
          <w:highlight w:val="none"/>
        </w:rPr>
        <w:t>202</w:t>
      </w:r>
      <w:r>
        <w:rPr>
          <w:rFonts w:hint="eastAsia" w:ascii="Times New Roman" w:hAnsi="Times New Roman"/>
          <w:color w:val="auto"/>
          <w:highlight w:val="none"/>
        </w:rPr>
        <w:t>4</w:t>
      </w:r>
      <w:r>
        <w:rPr>
          <w:rFonts w:ascii="Times New Roman" w:hAnsi="Times New Roman"/>
          <w:color w:val="auto"/>
          <w:highlight w:val="none"/>
        </w:rPr>
        <w:t>年</w:t>
      </w:r>
      <w:r>
        <w:rPr>
          <w:rFonts w:hint="eastAsia" w:ascii="Times New Roman" w:hAnsi="Times New Roman"/>
          <w:color w:val="auto"/>
          <w:highlight w:val="none"/>
        </w:rPr>
        <w:t>4</w:t>
      </w:r>
      <w:r>
        <w:rPr>
          <w:rFonts w:ascii="Times New Roman" w:hAnsi="Times New Roman"/>
          <w:color w:val="auto"/>
          <w:highlight w:val="none"/>
        </w:rPr>
        <w:t>月</w:t>
      </w:r>
      <w:r>
        <w:rPr>
          <w:rFonts w:hint="eastAsia" w:ascii="Times New Roman" w:hAnsi="Times New Roman"/>
          <w:color w:val="auto"/>
          <w:highlight w:val="none"/>
        </w:rPr>
        <w:t>25</w:t>
      </w:r>
      <w:r>
        <w:rPr>
          <w:rFonts w:ascii="Times New Roman" w:hAnsi="Times New Roman"/>
          <w:color w:val="auto"/>
          <w:highlight w:val="none"/>
        </w:rPr>
        <w:t>日、</w:t>
      </w:r>
      <w:r>
        <w:rPr>
          <w:rFonts w:hint="eastAsia" w:ascii="Times New Roman" w:hAnsi="Times New Roman"/>
          <w:color w:val="auto"/>
          <w:highlight w:val="none"/>
        </w:rPr>
        <w:t>5</w:t>
      </w:r>
      <w:r>
        <w:rPr>
          <w:rFonts w:ascii="Times New Roman" w:hAnsi="Times New Roman"/>
          <w:color w:val="auto"/>
          <w:highlight w:val="none"/>
        </w:rPr>
        <w:t>月</w:t>
      </w:r>
      <w:r>
        <w:rPr>
          <w:rFonts w:hint="eastAsia" w:ascii="Times New Roman" w:hAnsi="Times New Roman"/>
          <w:color w:val="auto"/>
          <w:highlight w:val="none"/>
        </w:rPr>
        <w:t>10</w:t>
      </w:r>
      <w:r>
        <w:rPr>
          <w:rFonts w:ascii="Times New Roman" w:hAnsi="Times New Roman"/>
          <w:color w:val="auto"/>
          <w:highlight w:val="none"/>
        </w:rPr>
        <w:t>日</w:t>
      </w:r>
      <w:r>
        <w:rPr>
          <w:rFonts w:ascii="Times New Roman" w:hAnsi="Times New Roman" w:cs="Times New Roman"/>
          <w:color w:val="auto"/>
          <w:highlight w:val="none"/>
        </w:rPr>
        <w:t>，两次采集土样进行分析</w:t>
      </w:r>
      <w:r>
        <w:rPr>
          <w:rFonts w:ascii="Times New Roman" w:hAnsi="Times New Roman"/>
          <w:color w:val="auto"/>
          <w:highlight w:val="none"/>
        </w:rPr>
        <w:t>；</w:t>
      </w:r>
    </w:p>
    <w:p w14:paraId="026CC125">
      <w:pPr>
        <w:spacing w:line="360" w:lineRule="auto"/>
        <w:ind w:left="-105" w:right="-105" w:firstLine="480"/>
        <w:rPr>
          <w:rFonts w:ascii="Times New Roman" w:hAnsi="Times New Roman"/>
          <w:color w:val="auto"/>
          <w:highlight w:val="none"/>
        </w:rPr>
      </w:pPr>
      <w:r>
        <w:rPr>
          <w:rFonts w:ascii="Times New Roman" w:hAnsi="Times New Roman"/>
          <w:color w:val="auto"/>
          <w:highlight w:val="none"/>
        </w:rPr>
        <w:t>（3）</w:t>
      </w:r>
      <w:r>
        <w:rPr>
          <w:rFonts w:ascii="Times New Roman" w:hAnsi="Times New Roman"/>
          <w:color w:val="auto"/>
          <w:highlight w:val="none"/>
        </w:rPr>
        <w:tab/>
      </w:r>
      <w:r>
        <w:rPr>
          <w:rFonts w:ascii="Times New Roman" w:hAnsi="Times New Roman"/>
          <w:color w:val="auto"/>
          <w:highlight w:val="none"/>
        </w:rPr>
        <w:t>监测点布设：</w:t>
      </w:r>
      <w:r>
        <w:rPr>
          <w:rFonts w:ascii="Times New Roman" w:hAnsi="Times New Roman" w:cs="Times New Roman"/>
          <w:color w:val="auto"/>
          <w:highlight w:val="none"/>
        </w:rPr>
        <w:t>本项目土壤环境评价等级为</w:t>
      </w:r>
      <w:r>
        <w:rPr>
          <w:rFonts w:hint="eastAsia" w:ascii="Times New Roman" w:hAnsi="Times New Roman" w:cs="Times New Roman"/>
          <w:color w:val="auto"/>
          <w:highlight w:val="none"/>
        </w:rPr>
        <w:t>二</w:t>
      </w:r>
      <w:r>
        <w:rPr>
          <w:rFonts w:ascii="Times New Roman" w:hAnsi="Times New Roman" w:cs="Times New Roman"/>
          <w:color w:val="auto"/>
          <w:highlight w:val="none"/>
        </w:rPr>
        <w:t>级，根据《环境影响评价技术导则 土壤环境》（HJ 964-2018）布点要求，污染影响型项目在占地范围内需布设</w:t>
      </w:r>
      <w:r>
        <w:rPr>
          <w:rFonts w:hint="eastAsia" w:ascii="Times New Roman" w:hAnsi="Times New Roman" w:cs="Times New Roman"/>
          <w:color w:val="auto"/>
          <w:highlight w:val="none"/>
        </w:rPr>
        <w:t>3</w:t>
      </w:r>
      <w:r>
        <w:rPr>
          <w:rFonts w:ascii="Times New Roman" w:hAnsi="Times New Roman" w:cs="Times New Roman"/>
          <w:color w:val="auto"/>
          <w:highlight w:val="none"/>
        </w:rPr>
        <w:t>个柱状样点和</w:t>
      </w:r>
      <w:r>
        <w:rPr>
          <w:rFonts w:hint="eastAsia" w:ascii="Times New Roman" w:hAnsi="Times New Roman" w:cs="Times New Roman"/>
          <w:color w:val="auto"/>
          <w:highlight w:val="none"/>
        </w:rPr>
        <w:t>1</w:t>
      </w:r>
      <w:r>
        <w:rPr>
          <w:rFonts w:ascii="Times New Roman" w:hAnsi="Times New Roman" w:cs="Times New Roman"/>
          <w:color w:val="auto"/>
          <w:highlight w:val="none"/>
        </w:rPr>
        <w:t>个表层样点，占地范围外</w:t>
      </w:r>
      <w:r>
        <w:rPr>
          <w:rFonts w:hint="eastAsia" w:ascii="Times New Roman" w:hAnsi="Times New Roman" w:cs="Times New Roman"/>
          <w:color w:val="auto"/>
          <w:highlight w:val="none"/>
        </w:rPr>
        <w:t>0.2</w:t>
      </w:r>
      <w:r>
        <w:rPr>
          <w:rFonts w:ascii="Times New Roman" w:hAnsi="Times New Roman" w:cs="Times New Roman"/>
          <w:color w:val="auto"/>
          <w:highlight w:val="none"/>
        </w:rPr>
        <w:t>km内需布设</w:t>
      </w:r>
      <w:r>
        <w:rPr>
          <w:rFonts w:hint="eastAsia" w:ascii="Times New Roman" w:hAnsi="Times New Roman" w:cs="Times New Roman"/>
          <w:color w:val="auto"/>
          <w:highlight w:val="none"/>
        </w:rPr>
        <w:t>2</w:t>
      </w:r>
      <w:r>
        <w:rPr>
          <w:rFonts w:ascii="Times New Roman" w:hAnsi="Times New Roman" w:cs="Times New Roman"/>
          <w:color w:val="auto"/>
          <w:highlight w:val="none"/>
        </w:rPr>
        <w:t>个表层样点。本项目</w:t>
      </w:r>
      <w:r>
        <w:rPr>
          <w:rFonts w:hint="eastAsia" w:ascii="Times New Roman" w:hAnsi="Times New Roman" w:cs="Times New Roman"/>
          <w:color w:val="auto"/>
          <w:highlight w:val="none"/>
        </w:rPr>
        <w:t>引用</w:t>
      </w:r>
      <w:r>
        <w:rPr>
          <w:rFonts w:hint="eastAsia" w:ascii="Times New Roman" w:hAnsi="Times New Roman"/>
          <w:color w:val="auto"/>
          <w:highlight w:val="none"/>
        </w:rPr>
        <w:t>企业2021年9月2~11日委托无锡精纬计量检验检测有限公司对本项目所在地设置的3个柱状样（T1-1~T1-3）监测数据（报告编号：（环）2021检（土壤）第（1433）号）和2023年6月16日委托江苏格林勒斯检测科技有限公司对本项目所在地设置的1个表层样（T1-4）监测数据（报告编号：GE2306152701B1）</w:t>
      </w:r>
      <w:r>
        <w:rPr>
          <w:rFonts w:hint="eastAsia" w:ascii="Times New Roman" w:hAnsi="Times New Roman" w:cs="Times New Roman"/>
          <w:color w:val="auto"/>
          <w:highlight w:val="none"/>
        </w:rPr>
        <w:t>；</w:t>
      </w:r>
      <w:r>
        <w:rPr>
          <w:rFonts w:hint="eastAsia" w:ascii="Times New Roman" w:hAnsi="Times New Roman"/>
          <w:color w:val="auto"/>
          <w:highlight w:val="none"/>
        </w:rPr>
        <w:t>本次委托无锡市恒信安全技术服务有限公司</w:t>
      </w:r>
      <w:r>
        <w:rPr>
          <w:rFonts w:ascii="Times New Roman" w:hAnsi="Times New Roman" w:cs="Times New Roman"/>
          <w:color w:val="auto"/>
          <w:highlight w:val="none"/>
        </w:rPr>
        <w:t>采集（202</w:t>
      </w:r>
      <w:r>
        <w:rPr>
          <w:rFonts w:hint="eastAsia" w:ascii="Times New Roman" w:hAnsi="Times New Roman" w:cs="Times New Roman"/>
          <w:color w:val="auto"/>
          <w:highlight w:val="none"/>
        </w:rPr>
        <w:t>4</w:t>
      </w:r>
      <w:r>
        <w:rPr>
          <w:rFonts w:ascii="Times New Roman" w:hAnsi="Times New Roman" w:cs="Times New Roman"/>
          <w:color w:val="auto"/>
          <w:highlight w:val="none"/>
        </w:rPr>
        <w:t>年</w:t>
      </w:r>
      <w:r>
        <w:rPr>
          <w:rFonts w:hint="eastAsia" w:ascii="Times New Roman" w:hAnsi="Times New Roman" w:cs="Times New Roman"/>
          <w:color w:val="auto"/>
          <w:highlight w:val="none"/>
        </w:rPr>
        <w:t>4</w:t>
      </w:r>
      <w:r>
        <w:rPr>
          <w:rFonts w:ascii="Times New Roman" w:hAnsi="Times New Roman" w:cs="Times New Roman"/>
          <w:color w:val="auto"/>
          <w:highlight w:val="none"/>
        </w:rPr>
        <w:t>月</w:t>
      </w:r>
      <w:r>
        <w:rPr>
          <w:rFonts w:hint="eastAsia" w:ascii="Times New Roman" w:hAnsi="Times New Roman" w:cs="Times New Roman"/>
          <w:color w:val="auto"/>
          <w:highlight w:val="none"/>
        </w:rPr>
        <w:t>25</w:t>
      </w:r>
      <w:r>
        <w:rPr>
          <w:rFonts w:ascii="Times New Roman" w:hAnsi="Times New Roman" w:cs="Times New Roman"/>
          <w:color w:val="auto"/>
          <w:highlight w:val="none"/>
        </w:rPr>
        <w:t>日）在本项目周边设置了</w:t>
      </w:r>
      <w:r>
        <w:rPr>
          <w:rFonts w:hint="eastAsia" w:ascii="Times New Roman" w:hAnsi="Times New Roman" w:cs="Times New Roman"/>
          <w:color w:val="auto"/>
          <w:highlight w:val="none"/>
        </w:rPr>
        <w:t>2</w:t>
      </w:r>
      <w:r>
        <w:rPr>
          <w:rFonts w:ascii="Times New Roman" w:hAnsi="Times New Roman" w:cs="Times New Roman"/>
          <w:color w:val="auto"/>
          <w:highlight w:val="none"/>
        </w:rPr>
        <w:t>个表层样</w:t>
      </w:r>
      <w:r>
        <w:rPr>
          <w:rFonts w:hint="eastAsia" w:ascii="Times New Roman" w:hAnsi="Times New Roman"/>
          <w:color w:val="auto"/>
          <w:highlight w:val="none"/>
        </w:rPr>
        <w:t>（T2-1~T2-2）</w:t>
      </w:r>
      <w:r>
        <w:rPr>
          <w:rFonts w:ascii="Times New Roman" w:hAnsi="Times New Roman" w:cs="Times New Roman"/>
          <w:color w:val="auto"/>
          <w:highlight w:val="none"/>
        </w:rPr>
        <w:t>。所以本项目所在地设置和周边共设置</w:t>
      </w:r>
      <w:r>
        <w:rPr>
          <w:rFonts w:hint="eastAsia" w:ascii="Times New Roman" w:hAnsi="Times New Roman" w:cs="Times New Roman"/>
          <w:color w:val="auto"/>
          <w:highlight w:val="none"/>
        </w:rPr>
        <w:t>6</w:t>
      </w:r>
      <w:r>
        <w:rPr>
          <w:rFonts w:ascii="Times New Roman" w:hAnsi="Times New Roman" w:cs="Times New Roman"/>
          <w:color w:val="auto"/>
          <w:highlight w:val="none"/>
        </w:rPr>
        <w:t>个采样点，其中厂区内设置</w:t>
      </w:r>
      <w:r>
        <w:rPr>
          <w:rFonts w:hint="eastAsia" w:ascii="Times New Roman" w:hAnsi="Times New Roman" w:cs="Times New Roman"/>
          <w:color w:val="auto"/>
          <w:highlight w:val="none"/>
        </w:rPr>
        <w:t>3</w:t>
      </w:r>
      <w:r>
        <w:rPr>
          <w:rFonts w:ascii="Times New Roman" w:hAnsi="Times New Roman" w:cs="Times New Roman"/>
          <w:color w:val="auto"/>
          <w:highlight w:val="none"/>
        </w:rPr>
        <w:t>个柱状样和</w:t>
      </w:r>
      <w:r>
        <w:rPr>
          <w:rFonts w:hint="eastAsia" w:ascii="Times New Roman" w:hAnsi="Times New Roman" w:cs="Times New Roman"/>
          <w:color w:val="auto"/>
          <w:highlight w:val="none"/>
        </w:rPr>
        <w:t>1</w:t>
      </w:r>
      <w:r>
        <w:rPr>
          <w:rFonts w:ascii="Times New Roman" w:hAnsi="Times New Roman" w:cs="Times New Roman"/>
          <w:color w:val="auto"/>
          <w:highlight w:val="none"/>
        </w:rPr>
        <w:t>个表层样，项目所在地周边设置</w:t>
      </w:r>
      <w:r>
        <w:rPr>
          <w:rFonts w:hint="eastAsia" w:ascii="Times New Roman" w:hAnsi="Times New Roman" w:cs="Times New Roman"/>
          <w:color w:val="auto"/>
          <w:highlight w:val="none"/>
        </w:rPr>
        <w:t>2</w:t>
      </w:r>
      <w:r>
        <w:rPr>
          <w:rFonts w:ascii="Times New Roman" w:hAnsi="Times New Roman" w:cs="Times New Roman"/>
          <w:color w:val="auto"/>
          <w:highlight w:val="none"/>
        </w:rPr>
        <w:t>个表层样，符合布点要求。</w:t>
      </w:r>
    </w:p>
    <w:p w14:paraId="39007CD2">
      <w:pPr>
        <w:spacing w:line="360" w:lineRule="auto"/>
        <w:ind w:left="-105" w:right="-105" w:firstLine="480"/>
        <w:rPr>
          <w:rFonts w:ascii="Times New Roman" w:hAnsi="Times New Roman"/>
          <w:color w:val="auto"/>
          <w:highlight w:val="none"/>
        </w:rPr>
      </w:pPr>
      <w:r>
        <w:rPr>
          <w:rFonts w:ascii="Times New Roman" w:hAnsi="Times New Roman"/>
          <w:color w:val="auto"/>
          <w:highlight w:val="none"/>
        </w:rPr>
        <w:t>（4）监测方法：</w:t>
      </w:r>
    </w:p>
    <w:p w14:paraId="6FA0435F">
      <w:pPr>
        <w:spacing w:line="360" w:lineRule="auto"/>
        <w:ind w:left="-105" w:right="-105" w:firstLine="480"/>
        <w:rPr>
          <w:rFonts w:ascii="Times New Roman" w:hAnsi="Times New Roman" w:cs="Times New Roman"/>
          <w:color w:val="auto"/>
          <w:highlight w:val="none"/>
        </w:rPr>
      </w:pPr>
      <w:r>
        <w:rPr>
          <w:rFonts w:ascii="Times New Roman" w:hAnsi="Times New Roman"/>
          <w:color w:val="auto"/>
          <w:highlight w:val="none"/>
        </w:rPr>
        <w:t>监测</w:t>
      </w:r>
      <w:r>
        <w:rPr>
          <w:rFonts w:ascii="Times New Roman" w:hAnsi="Times New Roman" w:cs="Times New Roman"/>
          <w:color w:val="auto"/>
          <w:highlight w:val="none"/>
        </w:rPr>
        <w:t>方法见</w:t>
      </w:r>
      <w:r>
        <w:rPr>
          <w:rFonts w:ascii="Times New Roman" w:hAnsi="Times New Roman" w:cs="Times New Roman"/>
          <w:color w:val="auto"/>
          <w:highlight w:val="none"/>
        </w:rPr>
        <w:fldChar w:fldCharType="begin"/>
      </w:r>
      <w:r>
        <w:rPr>
          <w:rFonts w:ascii="Times New Roman" w:hAnsi="Times New Roman" w:cs="Times New Roman"/>
          <w:color w:val="auto"/>
          <w:highlight w:val="none"/>
        </w:rPr>
        <w:instrText xml:space="preserve"> REF _Ref40985845 \h  \* MERGEFORMAT </w:instrText>
      </w:r>
      <w:r>
        <w:rPr>
          <w:rFonts w:ascii="Times New Roman" w:hAnsi="Times New Roman" w:cs="Times New Roman"/>
          <w:color w:val="auto"/>
          <w:highlight w:val="none"/>
        </w:rPr>
        <w:fldChar w:fldCharType="separate"/>
      </w:r>
      <w:r>
        <w:rPr>
          <w:rFonts w:ascii="Times New Roman" w:hAnsi="Times New Roman" w:cs="Times New Roman"/>
          <w:color w:val="auto"/>
          <w:szCs w:val="22"/>
          <w:highlight w:val="none"/>
        </w:rPr>
        <w:t>表</w:t>
      </w:r>
      <w:r>
        <w:rPr>
          <w:rFonts w:ascii="Times New Roman" w:hAnsi="Times New Roman" w:cs="Times New Roman"/>
          <w:color w:val="auto"/>
          <w:szCs w:val="22"/>
          <w:highlight w:val="none"/>
        </w:rPr>
        <w:fldChar w:fldCharType="begin"/>
      </w:r>
      <w:r>
        <w:rPr>
          <w:rFonts w:ascii="Times New Roman" w:hAnsi="Times New Roman" w:cs="Times New Roman"/>
          <w:color w:val="auto"/>
          <w:szCs w:val="22"/>
          <w:highlight w:val="none"/>
        </w:rPr>
        <w:instrText xml:space="preserve"> STYLEREF</w:instrText>
      </w:r>
      <w:r>
        <w:rPr>
          <w:rFonts w:ascii="Times New Roman" w:hAnsi="Times New Roman" w:cs="Times New Roman"/>
          <w:color w:val="auto"/>
          <w:highlight w:val="none"/>
        </w:rPr>
        <w:instrText xml:space="preserve"> 2 \s </w:instrText>
      </w:r>
      <w:r>
        <w:rPr>
          <w:rFonts w:ascii="Times New Roman" w:hAnsi="Times New Roman" w:cs="Times New Roman"/>
          <w:color w:val="auto"/>
          <w:highlight w:val="none"/>
        </w:rPr>
        <w:fldChar w:fldCharType="separate"/>
      </w:r>
      <w:r>
        <w:rPr>
          <w:rFonts w:ascii="Times New Roman" w:hAnsi="Times New Roman" w:cs="Times New Roman"/>
          <w:color w:val="auto"/>
          <w:highlight w:val="none"/>
        </w:rPr>
        <w:t>5.3</w:t>
      </w:r>
      <w:r>
        <w:rPr>
          <w:rFonts w:ascii="Times New Roman" w:hAnsi="Times New Roman" w:cs="Times New Roman"/>
          <w:color w:val="auto"/>
          <w:highlight w:val="none"/>
        </w:rPr>
        <w:fldChar w:fldCharType="end"/>
      </w:r>
      <w:r>
        <w:rPr>
          <w:rFonts w:ascii="Times New Roman" w:hAnsi="Times New Roman" w:cs="Times New Roman"/>
          <w:color w:val="auto"/>
          <w:highlight w:val="none"/>
        </w:rPr>
        <w:noBreakHyphen/>
      </w:r>
      <w:r>
        <w:rPr>
          <w:rFonts w:ascii="Times New Roman" w:hAnsi="Times New Roman" w:cs="Times New Roman"/>
          <w:color w:val="auto"/>
          <w:highlight w:val="none"/>
        </w:rPr>
        <w:t>10</w:t>
      </w:r>
      <w:r>
        <w:rPr>
          <w:rFonts w:ascii="Times New Roman" w:hAnsi="Times New Roman" w:cs="Times New Roman"/>
          <w:color w:val="auto"/>
          <w:highlight w:val="none"/>
        </w:rPr>
        <w:fldChar w:fldCharType="end"/>
      </w:r>
      <w:r>
        <w:rPr>
          <w:rFonts w:hint="eastAsia" w:ascii="Times New Roman" w:hAnsi="Times New Roman" w:cs="Times New Roman"/>
          <w:color w:val="auto"/>
          <w:highlight w:val="none"/>
        </w:rPr>
        <w:t>。</w:t>
      </w:r>
    </w:p>
    <w:p w14:paraId="68522B2B">
      <w:pPr>
        <w:pStyle w:val="15"/>
        <w:spacing w:line="360" w:lineRule="auto"/>
        <w:ind w:left="-105" w:right="-105" w:firstLine="482"/>
        <w:rPr>
          <w:rFonts w:eastAsia="宋体" w:cs="Times New Roman"/>
          <w:b w:val="0"/>
          <w:bCs/>
          <w:color w:val="auto"/>
          <w:sz w:val="24"/>
          <w:szCs w:val="18"/>
          <w:highlight w:val="none"/>
        </w:rPr>
      </w:pPr>
      <w:bookmarkStart w:id="354" w:name="_Ref40985845"/>
      <w:r>
        <w:rPr>
          <w:rFonts w:eastAsia="宋体" w:cs="Times New Roman"/>
          <w:color w:val="auto"/>
          <w:sz w:val="24"/>
          <w:szCs w:val="18"/>
          <w:highlight w:val="none"/>
        </w:rPr>
        <w:t>表</w:t>
      </w:r>
      <w:r>
        <w:rPr>
          <w:rFonts w:eastAsia="宋体" w:cs="Times New Roman"/>
          <w:color w:val="auto"/>
          <w:sz w:val="24"/>
          <w:szCs w:val="18"/>
          <w:highlight w:val="none"/>
        </w:rPr>
        <w:fldChar w:fldCharType="begin"/>
      </w:r>
      <w:r>
        <w:rPr>
          <w:rFonts w:eastAsia="宋体" w:cs="Times New Roman"/>
          <w:color w:val="auto"/>
          <w:sz w:val="24"/>
          <w:szCs w:val="18"/>
          <w:highlight w:val="none"/>
        </w:rPr>
        <w:instrText xml:space="preserve"> STYLEREF 2 \s </w:instrText>
      </w:r>
      <w:r>
        <w:rPr>
          <w:rFonts w:eastAsia="宋体" w:cs="Times New Roman"/>
          <w:color w:val="auto"/>
          <w:sz w:val="24"/>
          <w:szCs w:val="18"/>
          <w:highlight w:val="none"/>
        </w:rPr>
        <w:fldChar w:fldCharType="separate"/>
      </w:r>
      <w:r>
        <w:rPr>
          <w:rFonts w:eastAsia="宋体" w:cs="Times New Roman"/>
          <w:color w:val="auto"/>
          <w:sz w:val="24"/>
          <w:szCs w:val="18"/>
          <w:highlight w:val="none"/>
        </w:rPr>
        <w:t>5.3</w:t>
      </w:r>
      <w:r>
        <w:rPr>
          <w:rFonts w:eastAsia="宋体" w:cs="Times New Roman"/>
          <w:color w:val="auto"/>
          <w:sz w:val="24"/>
          <w:szCs w:val="18"/>
          <w:highlight w:val="none"/>
        </w:rPr>
        <w:fldChar w:fldCharType="end"/>
      </w:r>
      <w:r>
        <w:rPr>
          <w:rFonts w:eastAsia="宋体" w:cs="Times New Roman"/>
          <w:color w:val="auto"/>
          <w:sz w:val="24"/>
          <w:szCs w:val="18"/>
          <w:highlight w:val="none"/>
        </w:rPr>
        <w:noBreakHyphen/>
      </w:r>
      <w:r>
        <w:rPr>
          <w:rFonts w:eastAsia="宋体" w:cs="Times New Roman"/>
          <w:color w:val="auto"/>
          <w:sz w:val="24"/>
          <w:szCs w:val="18"/>
          <w:highlight w:val="none"/>
        </w:rPr>
        <w:fldChar w:fldCharType="begin"/>
      </w:r>
      <w:r>
        <w:rPr>
          <w:rFonts w:eastAsia="宋体" w:cs="Times New Roman"/>
          <w:color w:val="auto"/>
          <w:sz w:val="24"/>
          <w:szCs w:val="18"/>
          <w:highlight w:val="none"/>
        </w:rPr>
        <w:instrText xml:space="preserve"> SEQ 表 \* ARABIC \s 2 </w:instrText>
      </w:r>
      <w:r>
        <w:rPr>
          <w:rFonts w:eastAsia="宋体" w:cs="Times New Roman"/>
          <w:color w:val="auto"/>
          <w:sz w:val="24"/>
          <w:szCs w:val="18"/>
          <w:highlight w:val="none"/>
        </w:rPr>
        <w:fldChar w:fldCharType="separate"/>
      </w:r>
      <w:r>
        <w:rPr>
          <w:rFonts w:eastAsia="宋体" w:cs="Times New Roman"/>
          <w:color w:val="auto"/>
          <w:sz w:val="24"/>
          <w:szCs w:val="18"/>
          <w:highlight w:val="none"/>
        </w:rPr>
        <w:t>10</w:t>
      </w:r>
      <w:r>
        <w:rPr>
          <w:rFonts w:eastAsia="宋体" w:cs="Times New Roman"/>
          <w:color w:val="auto"/>
          <w:sz w:val="24"/>
          <w:szCs w:val="18"/>
          <w:highlight w:val="none"/>
        </w:rPr>
        <w:fldChar w:fldCharType="end"/>
      </w:r>
      <w:bookmarkEnd w:id="354"/>
      <w:r>
        <w:rPr>
          <w:rFonts w:eastAsia="宋体" w:cs="Times New Roman"/>
          <w:color w:val="auto"/>
          <w:sz w:val="24"/>
          <w:szCs w:val="18"/>
          <w:highlight w:val="none"/>
        </w:rPr>
        <w:t>土壤监测方法</w:t>
      </w:r>
    </w:p>
    <w:tbl>
      <w:tblPr>
        <w:tblStyle w:val="45"/>
        <w:tblW w:w="8504"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821"/>
        <w:gridCol w:w="1731"/>
        <w:gridCol w:w="4471"/>
        <w:gridCol w:w="1481"/>
      </w:tblGrid>
      <w:tr w14:paraId="372219C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tblHeader/>
          <w:jc w:val="center"/>
        </w:trPr>
        <w:tc>
          <w:tcPr>
            <w:tcW w:w="2552" w:type="dxa"/>
            <w:gridSpan w:val="2"/>
            <w:vAlign w:val="center"/>
          </w:tcPr>
          <w:p w14:paraId="160142B7">
            <w:pPr>
              <w:keepNext w:val="0"/>
              <w:keepLines w:val="0"/>
              <w:pageBreakBefore w:val="0"/>
              <w:kinsoku/>
              <w:wordWrap/>
              <w:overflowPunct/>
              <w:topLinePunct w:val="0"/>
              <w:autoSpaceDE/>
              <w:autoSpaceDN/>
              <w:bidi w:val="0"/>
              <w:adjustRightInd w:val="0"/>
              <w:snapToGrid w:val="0"/>
              <w:ind w:left="0" w:right="0"/>
              <w:jc w:val="center"/>
              <w:rPr>
                <w:rFonts w:ascii="Times New Roman" w:hAnsi="Times New Roman" w:cs="Times New Roman"/>
                <w:b/>
                <w:color w:val="auto"/>
                <w:sz w:val="21"/>
                <w:szCs w:val="21"/>
                <w:highlight w:val="none"/>
              </w:rPr>
            </w:pPr>
            <w:r>
              <w:rPr>
                <w:rFonts w:ascii="Times New Roman" w:hAnsi="Times New Roman" w:cs="Times New Roman"/>
                <w:b/>
                <w:color w:val="auto"/>
                <w:sz w:val="21"/>
                <w:szCs w:val="21"/>
                <w:highlight w:val="none"/>
              </w:rPr>
              <w:t>监测项目</w:t>
            </w:r>
          </w:p>
        </w:tc>
        <w:tc>
          <w:tcPr>
            <w:tcW w:w="4471" w:type="dxa"/>
            <w:vAlign w:val="center"/>
          </w:tcPr>
          <w:p w14:paraId="23EADC7F">
            <w:pPr>
              <w:keepNext w:val="0"/>
              <w:keepLines w:val="0"/>
              <w:pageBreakBefore w:val="0"/>
              <w:kinsoku/>
              <w:wordWrap/>
              <w:overflowPunct/>
              <w:topLinePunct w:val="0"/>
              <w:autoSpaceDE/>
              <w:autoSpaceDN/>
              <w:bidi w:val="0"/>
              <w:adjustRightInd w:val="0"/>
              <w:snapToGrid w:val="0"/>
              <w:ind w:left="0" w:right="0"/>
              <w:jc w:val="center"/>
              <w:rPr>
                <w:rFonts w:ascii="Times New Roman" w:hAnsi="Times New Roman" w:cs="Times New Roman"/>
                <w:b/>
                <w:color w:val="auto"/>
                <w:sz w:val="21"/>
                <w:szCs w:val="21"/>
                <w:highlight w:val="none"/>
              </w:rPr>
            </w:pPr>
            <w:r>
              <w:rPr>
                <w:rFonts w:ascii="Times New Roman" w:hAnsi="Times New Roman" w:cs="Times New Roman"/>
                <w:b/>
                <w:color w:val="auto"/>
                <w:sz w:val="21"/>
                <w:szCs w:val="21"/>
                <w:highlight w:val="none"/>
              </w:rPr>
              <w:t>检测方法</w:t>
            </w:r>
          </w:p>
        </w:tc>
        <w:tc>
          <w:tcPr>
            <w:tcW w:w="1481" w:type="dxa"/>
            <w:vAlign w:val="center"/>
          </w:tcPr>
          <w:p w14:paraId="6537C57B">
            <w:pPr>
              <w:keepNext w:val="0"/>
              <w:keepLines w:val="0"/>
              <w:pageBreakBefore w:val="0"/>
              <w:kinsoku/>
              <w:wordWrap/>
              <w:overflowPunct/>
              <w:topLinePunct w:val="0"/>
              <w:autoSpaceDE/>
              <w:autoSpaceDN/>
              <w:bidi w:val="0"/>
              <w:adjustRightInd w:val="0"/>
              <w:snapToGrid w:val="0"/>
              <w:ind w:left="0" w:right="0"/>
              <w:jc w:val="center"/>
              <w:rPr>
                <w:rFonts w:ascii="Times New Roman" w:hAnsi="Times New Roman" w:cs="Times New Roman"/>
                <w:b/>
                <w:color w:val="auto"/>
                <w:sz w:val="21"/>
                <w:szCs w:val="21"/>
                <w:highlight w:val="none"/>
              </w:rPr>
            </w:pPr>
            <w:r>
              <w:rPr>
                <w:rFonts w:ascii="Times New Roman" w:hAnsi="Times New Roman" w:cs="Times New Roman"/>
                <w:b/>
                <w:color w:val="auto"/>
                <w:sz w:val="21"/>
                <w:szCs w:val="21"/>
                <w:highlight w:val="none"/>
              </w:rPr>
              <w:t>检出限</w:t>
            </w:r>
            <w:r>
              <w:rPr>
                <w:rFonts w:ascii="Times New Roman" w:hAnsi="Times New Roman" w:cs="Times New Roman"/>
                <w:b/>
                <w:bCs/>
                <w:color w:val="auto"/>
                <w:sz w:val="21"/>
                <w:szCs w:val="21"/>
                <w:highlight w:val="none"/>
              </w:rPr>
              <w:t>（mg/kg)</w:t>
            </w:r>
          </w:p>
        </w:tc>
      </w:tr>
      <w:tr w14:paraId="36DDFAC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2552" w:type="dxa"/>
            <w:gridSpan w:val="2"/>
            <w:vAlign w:val="center"/>
          </w:tcPr>
          <w:p w14:paraId="3D3D3E65">
            <w:pPr>
              <w:keepNext w:val="0"/>
              <w:keepLines w:val="0"/>
              <w:pageBreakBefore w:val="0"/>
              <w:kinsoku/>
              <w:wordWrap/>
              <w:overflowPunct/>
              <w:topLinePunct w:val="0"/>
              <w:autoSpaceDE/>
              <w:autoSpaceDN/>
              <w:bidi w:val="0"/>
              <w:adjustRightInd w:val="0"/>
              <w:snapToGrid w:val="0"/>
              <w:ind w:left="0" w:right="0"/>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pH值</w:t>
            </w:r>
          </w:p>
        </w:tc>
        <w:tc>
          <w:tcPr>
            <w:tcW w:w="4471" w:type="dxa"/>
            <w:vAlign w:val="center"/>
          </w:tcPr>
          <w:p w14:paraId="70C9B3CE">
            <w:pPr>
              <w:keepNext w:val="0"/>
              <w:keepLines w:val="0"/>
              <w:pageBreakBefore w:val="0"/>
              <w:kinsoku/>
              <w:wordWrap/>
              <w:overflowPunct/>
              <w:topLinePunct w:val="0"/>
              <w:autoSpaceDE/>
              <w:autoSpaceDN/>
              <w:bidi w:val="0"/>
              <w:adjustRightInd w:val="0"/>
              <w:snapToGrid w:val="0"/>
              <w:ind w:left="0" w:right="0"/>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土壤 PH值的测定 电位法 HJ 962-2018</w:t>
            </w:r>
          </w:p>
        </w:tc>
        <w:tc>
          <w:tcPr>
            <w:tcW w:w="1481" w:type="dxa"/>
            <w:vAlign w:val="center"/>
          </w:tcPr>
          <w:p w14:paraId="26FE4493">
            <w:pPr>
              <w:keepNext w:val="0"/>
              <w:keepLines w:val="0"/>
              <w:pageBreakBefore w:val="0"/>
              <w:kinsoku/>
              <w:wordWrap/>
              <w:overflowPunct/>
              <w:topLinePunct w:val="0"/>
              <w:autoSpaceDE/>
              <w:autoSpaceDN/>
              <w:bidi w:val="0"/>
              <w:adjustRightInd w:val="0"/>
              <w:snapToGrid w:val="0"/>
              <w:ind w:left="0" w:right="0"/>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无量纲</w:t>
            </w:r>
          </w:p>
        </w:tc>
      </w:tr>
      <w:tr w14:paraId="6C8C2BF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2552" w:type="dxa"/>
            <w:gridSpan w:val="2"/>
            <w:vAlign w:val="center"/>
          </w:tcPr>
          <w:p w14:paraId="28FE4193">
            <w:pPr>
              <w:keepNext w:val="0"/>
              <w:keepLines w:val="0"/>
              <w:pageBreakBefore w:val="0"/>
              <w:kinsoku/>
              <w:wordWrap/>
              <w:overflowPunct/>
              <w:topLinePunct w:val="0"/>
              <w:autoSpaceDE/>
              <w:autoSpaceDN/>
              <w:bidi w:val="0"/>
              <w:adjustRightInd w:val="0"/>
              <w:snapToGrid w:val="0"/>
              <w:ind w:left="0" w:right="0"/>
              <w:jc w:val="center"/>
              <w:textAlignment w:val="center"/>
              <w:rPr>
                <w:rFonts w:ascii="Times New Roman" w:hAnsi="Times New Roman" w:cs="Times New Roman"/>
                <w:color w:val="auto"/>
                <w:sz w:val="21"/>
                <w:szCs w:val="21"/>
                <w:highlight w:val="none"/>
                <w:lang w:bidi="ar"/>
              </w:rPr>
            </w:pPr>
            <w:r>
              <w:rPr>
                <w:rFonts w:ascii="Times New Roman" w:hAnsi="Times New Roman" w:cs="Times New Roman"/>
                <w:color w:val="auto"/>
                <w:sz w:val="21"/>
                <w:szCs w:val="21"/>
                <w:highlight w:val="none"/>
                <w:lang w:bidi="ar"/>
              </w:rPr>
              <w:t>石油烃</w:t>
            </w:r>
          </w:p>
          <w:p w14:paraId="0C91D74B">
            <w:pPr>
              <w:keepNext w:val="0"/>
              <w:keepLines w:val="0"/>
              <w:pageBreakBefore w:val="0"/>
              <w:kinsoku/>
              <w:wordWrap/>
              <w:overflowPunct/>
              <w:topLinePunct w:val="0"/>
              <w:autoSpaceDE/>
              <w:autoSpaceDN/>
              <w:bidi w:val="0"/>
              <w:adjustRightInd w:val="0"/>
              <w:snapToGrid w:val="0"/>
              <w:ind w:left="0" w:right="0"/>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（C</w:t>
            </w:r>
            <w:r>
              <w:rPr>
                <w:rFonts w:ascii="Times New Roman" w:hAnsi="Times New Roman" w:cs="Times New Roman"/>
                <w:color w:val="auto"/>
                <w:sz w:val="21"/>
                <w:szCs w:val="21"/>
                <w:highlight w:val="none"/>
                <w:vertAlign w:val="subscript"/>
                <w:lang w:bidi="ar"/>
              </w:rPr>
              <w:t>10</w:t>
            </w:r>
            <w:r>
              <w:rPr>
                <w:rFonts w:ascii="Times New Roman" w:hAnsi="Times New Roman" w:cs="Times New Roman"/>
                <w:color w:val="auto"/>
                <w:sz w:val="21"/>
                <w:szCs w:val="21"/>
                <w:highlight w:val="none"/>
                <w:lang w:bidi="ar"/>
              </w:rPr>
              <w:t xml:space="preserve">-C </w:t>
            </w:r>
            <w:r>
              <w:rPr>
                <w:rFonts w:ascii="Times New Roman" w:hAnsi="Times New Roman" w:cs="Times New Roman"/>
                <w:color w:val="auto"/>
                <w:sz w:val="21"/>
                <w:szCs w:val="21"/>
                <w:highlight w:val="none"/>
                <w:vertAlign w:val="subscript"/>
                <w:lang w:bidi="ar"/>
              </w:rPr>
              <w:t>40</w:t>
            </w:r>
            <w:r>
              <w:rPr>
                <w:rFonts w:ascii="Times New Roman" w:hAnsi="Times New Roman" w:cs="Times New Roman"/>
                <w:color w:val="auto"/>
                <w:sz w:val="21"/>
                <w:szCs w:val="21"/>
                <w:highlight w:val="none"/>
                <w:lang w:bidi="ar"/>
              </w:rPr>
              <w:t>）</w:t>
            </w:r>
          </w:p>
        </w:tc>
        <w:tc>
          <w:tcPr>
            <w:tcW w:w="4471" w:type="dxa"/>
            <w:vAlign w:val="center"/>
          </w:tcPr>
          <w:p w14:paraId="4722F3A2">
            <w:pPr>
              <w:keepNext w:val="0"/>
              <w:keepLines w:val="0"/>
              <w:pageBreakBefore w:val="0"/>
              <w:kinsoku/>
              <w:wordWrap/>
              <w:overflowPunct/>
              <w:topLinePunct w:val="0"/>
              <w:autoSpaceDE/>
              <w:autoSpaceDN/>
              <w:bidi w:val="0"/>
              <w:adjustRightInd w:val="0"/>
              <w:snapToGrid w:val="0"/>
              <w:ind w:left="0" w:right="0"/>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土壤和沉积物 石油烃（C</w:t>
            </w:r>
            <w:r>
              <w:rPr>
                <w:rFonts w:ascii="Times New Roman" w:hAnsi="Times New Roman" w:cs="Times New Roman"/>
                <w:color w:val="auto"/>
                <w:sz w:val="21"/>
                <w:szCs w:val="21"/>
                <w:highlight w:val="none"/>
                <w:vertAlign w:val="subscript"/>
                <w:lang w:bidi="ar"/>
              </w:rPr>
              <w:t>10</w:t>
            </w:r>
            <w:r>
              <w:rPr>
                <w:rFonts w:ascii="Times New Roman" w:hAnsi="Times New Roman" w:cs="Times New Roman"/>
                <w:color w:val="auto"/>
                <w:sz w:val="21"/>
                <w:szCs w:val="21"/>
                <w:highlight w:val="none"/>
                <w:lang w:bidi="ar"/>
              </w:rPr>
              <w:t xml:space="preserve">-C </w:t>
            </w:r>
            <w:r>
              <w:rPr>
                <w:rFonts w:ascii="Times New Roman" w:hAnsi="Times New Roman" w:cs="Times New Roman"/>
                <w:color w:val="auto"/>
                <w:sz w:val="21"/>
                <w:szCs w:val="21"/>
                <w:highlight w:val="none"/>
                <w:vertAlign w:val="subscript"/>
                <w:lang w:bidi="ar"/>
              </w:rPr>
              <w:t>40</w:t>
            </w:r>
            <w:r>
              <w:rPr>
                <w:rFonts w:ascii="Times New Roman" w:hAnsi="Times New Roman" w:cs="Times New Roman"/>
                <w:color w:val="auto"/>
                <w:sz w:val="21"/>
                <w:szCs w:val="21"/>
                <w:highlight w:val="none"/>
                <w:lang w:bidi="ar"/>
              </w:rPr>
              <w:t>）的测定 气相色谱法HJ 1021-2019</w:t>
            </w:r>
          </w:p>
        </w:tc>
        <w:tc>
          <w:tcPr>
            <w:tcW w:w="1481" w:type="dxa"/>
            <w:vAlign w:val="center"/>
          </w:tcPr>
          <w:p w14:paraId="7CE8E5F2">
            <w:pPr>
              <w:keepNext w:val="0"/>
              <w:keepLines w:val="0"/>
              <w:pageBreakBefore w:val="0"/>
              <w:kinsoku/>
              <w:wordWrap/>
              <w:overflowPunct/>
              <w:topLinePunct w:val="0"/>
              <w:autoSpaceDE/>
              <w:autoSpaceDN/>
              <w:bidi w:val="0"/>
              <w:adjustRightInd w:val="0"/>
              <w:snapToGrid w:val="0"/>
              <w:ind w:left="0" w:right="0"/>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6</w:t>
            </w:r>
          </w:p>
        </w:tc>
      </w:tr>
      <w:tr w14:paraId="56C7A2C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2552" w:type="dxa"/>
            <w:gridSpan w:val="2"/>
            <w:vAlign w:val="center"/>
          </w:tcPr>
          <w:p w14:paraId="6FECF8E4">
            <w:pPr>
              <w:keepNext w:val="0"/>
              <w:keepLines w:val="0"/>
              <w:pageBreakBefore w:val="0"/>
              <w:kinsoku/>
              <w:wordWrap/>
              <w:overflowPunct/>
              <w:topLinePunct w:val="0"/>
              <w:autoSpaceDE/>
              <w:autoSpaceDN/>
              <w:bidi w:val="0"/>
              <w:adjustRightInd w:val="0"/>
              <w:snapToGrid w:val="0"/>
              <w:ind w:left="0" w:right="0"/>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砷</w:t>
            </w:r>
          </w:p>
        </w:tc>
        <w:tc>
          <w:tcPr>
            <w:tcW w:w="4471" w:type="dxa"/>
            <w:vAlign w:val="center"/>
          </w:tcPr>
          <w:p w14:paraId="655D3799">
            <w:pPr>
              <w:keepNext w:val="0"/>
              <w:keepLines w:val="0"/>
              <w:pageBreakBefore w:val="0"/>
              <w:kinsoku/>
              <w:wordWrap/>
              <w:overflowPunct/>
              <w:topLinePunct w:val="0"/>
              <w:autoSpaceDE/>
              <w:autoSpaceDN/>
              <w:bidi w:val="0"/>
              <w:adjustRightInd w:val="0"/>
              <w:snapToGrid w:val="0"/>
              <w:ind w:left="0" w:right="0"/>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土壤和沉积物 汞、砷、硒、铋、锑的测定 微波消解/原子荧光法        HJ 680-2013</w:t>
            </w:r>
          </w:p>
        </w:tc>
        <w:tc>
          <w:tcPr>
            <w:tcW w:w="1481" w:type="dxa"/>
            <w:vAlign w:val="center"/>
          </w:tcPr>
          <w:p w14:paraId="296FCD94">
            <w:pPr>
              <w:keepNext w:val="0"/>
              <w:keepLines w:val="0"/>
              <w:pageBreakBefore w:val="0"/>
              <w:kinsoku/>
              <w:wordWrap/>
              <w:overflowPunct/>
              <w:topLinePunct w:val="0"/>
              <w:autoSpaceDE/>
              <w:autoSpaceDN/>
              <w:bidi w:val="0"/>
              <w:adjustRightInd w:val="0"/>
              <w:snapToGrid w:val="0"/>
              <w:ind w:left="0" w:right="0"/>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0.01</w:t>
            </w:r>
          </w:p>
        </w:tc>
      </w:tr>
      <w:tr w14:paraId="6F924BA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2552" w:type="dxa"/>
            <w:gridSpan w:val="2"/>
            <w:vAlign w:val="center"/>
          </w:tcPr>
          <w:p w14:paraId="39B07FAD">
            <w:pPr>
              <w:pStyle w:val="243"/>
              <w:keepNext w:val="0"/>
              <w:keepLines w:val="0"/>
              <w:pageBreakBefore w:val="0"/>
              <w:kinsoku/>
              <w:wordWrap/>
              <w:overflowPunct/>
              <w:topLinePunct w:val="0"/>
              <w:autoSpaceDE/>
              <w:autoSpaceDN/>
              <w:bidi w:val="0"/>
              <w:ind w:left="0" w:right="0"/>
              <w:rPr>
                <w:rFonts w:ascii="Times New Roman" w:hAnsi="Times New Roman" w:cs="Times New Roman"/>
                <w:color w:val="auto"/>
                <w:sz w:val="21"/>
                <w:szCs w:val="21"/>
                <w:highlight w:val="none"/>
                <w:lang w:bidi="ar"/>
              </w:rPr>
            </w:pPr>
            <w:r>
              <w:rPr>
                <w:rFonts w:ascii="Times New Roman" w:hAnsi="Times New Roman" w:cs="Times New Roman"/>
                <w:color w:val="auto"/>
                <w:sz w:val="21"/>
                <w:szCs w:val="21"/>
                <w:highlight w:val="none"/>
                <w:lang w:val="zh-TW" w:eastAsia="zh-TW" w:bidi="ar"/>
              </w:rPr>
              <w:t>六价</w:t>
            </w:r>
            <w:r>
              <w:rPr>
                <w:rFonts w:ascii="Times New Roman" w:hAnsi="Times New Roman" w:cs="Times New Roman"/>
                <w:color w:val="auto"/>
                <w:sz w:val="21"/>
                <w:szCs w:val="21"/>
                <w:highlight w:val="none"/>
                <w:lang w:bidi="ar"/>
              </w:rPr>
              <w:t>铬</w:t>
            </w:r>
          </w:p>
        </w:tc>
        <w:tc>
          <w:tcPr>
            <w:tcW w:w="4471" w:type="dxa"/>
            <w:vAlign w:val="center"/>
          </w:tcPr>
          <w:p w14:paraId="7BFAACF7">
            <w:pPr>
              <w:pStyle w:val="243"/>
              <w:keepNext w:val="0"/>
              <w:keepLines w:val="0"/>
              <w:pageBreakBefore w:val="0"/>
              <w:kinsoku/>
              <w:wordWrap/>
              <w:overflowPunct/>
              <w:topLinePunct w:val="0"/>
              <w:autoSpaceDE/>
              <w:autoSpaceDN/>
              <w:bidi w:val="0"/>
              <w:ind w:left="0" w:right="0"/>
              <w:rPr>
                <w:rFonts w:ascii="Times New Roman" w:hAnsi="Times New Roman" w:cs="Times New Roman"/>
                <w:color w:val="auto"/>
                <w:sz w:val="21"/>
                <w:szCs w:val="21"/>
                <w:highlight w:val="none"/>
                <w:lang w:bidi="ar"/>
              </w:rPr>
            </w:pPr>
            <w:r>
              <w:rPr>
                <w:rFonts w:ascii="Times New Roman" w:hAnsi="Times New Roman" w:cs="Times New Roman"/>
                <w:color w:val="auto"/>
                <w:sz w:val="21"/>
                <w:szCs w:val="21"/>
                <w:highlight w:val="none"/>
                <w:lang w:bidi="ar"/>
              </w:rPr>
              <w:t>土壤和沉积物六价铭的测定 碱溶液提取一火焰原子吸收分 光光度法HJ 1082—2019</w:t>
            </w:r>
          </w:p>
        </w:tc>
        <w:tc>
          <w:tcPr>
            <w:tcW w:w="1481" w:type="dxa"/>
            <w:vAlign w:val="center"/>
          </w:tcPr>
          <w:p w14:paraId="6E9C7B08">
            <w:pPr>
              <w:keepNext w:val="0"/>
              <w:keepLines w:val="0"/>
              <w:pageBreakBefore w:val="0"/>
              <w:kinsoku/>
              <w:wordWrap/>
              <w:overflowPunct/>
              <w:topLinePunct w:val="0"/>
              <w:autoSpaceDE/>
              <w:autoSpaceDN/>
              <w:bidi w:val="0"/>
              <w:adjustRightInd w:val="0"/>
              <w:snapToGrid w:val="0"/>
              <w:ind w:left="0" w:right="0"/>
              <w:jc w:val="center"/>
              <w:textAlignment w:val="center"/>
              <w:rPr>
                <w:rFonts w:ascii="Times New Roman" w:hAnsi="Times New Roman" w:cs="Times New Roman"/>
                <w:color w:val="auto"/>
                <w:sz w:val="21"/>
                <w:szCs w:val="21"/>
                <w:highlight w:val="none"/>
                <w:lang w:bidi="ar"/>
              </w:rPr>
            </w:pPr>
            <w:r>
              <w:rPr>
                <w:rFonts w:ascii="Times New Roman" w:hAnsi="Times New Roman" w:cs="Times New Roman"/>
                <w:color w:val="auto"/>
                <w:sz w:val="21"/>
                <w:szCs w:val="21"/>
                <w:highlight w:val="none"/>
                <w:lang w:bidi="ar"/>
              </w:rPr>
              <w:t>2</w:t>
            </w:r>
          </w:p>
        </w:tc>
      </w:tr>
      <w:tr w14:paraId="3CC828C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2552" w:type="dxa"/>
            <w:gridSpan w:val="2"/>
            <w:vAlign w:val="center"/>
          </w:tcPr>
          <w:p w14:paraId="68E1435E">
            <w:pPr>
              <w:keepNext w:val="0"/>
              <w:keepLines w:val="0"/>
              <w:pageBreakBefore w:val="0"/>
              <w:kinsoku/>
              <w:wordWrap/>
              <w:overflowPunct/>
              <w:topLinePunct w:val="0"/>
              <w:autoSpaceDE/>
              <w:autoSpaceDN/>
              <w:bidi w:val="0"/>
              <w:adjustRightInd w:val="0"/>
              <w:snapToGrid w:val="0"/>
              <w:ind w:left="0" w:right="0"/>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镉</w:t>
            </w:r>
          </w:p>
        </w:tc>
        <w:tc>
          <w:tcPr>
            <w:tcW w:w="4471" w:type="dxa"/>
            <w:vAlign w:val="center"/>
          </w:tcPr>
          <w:p w14:paraId="6056E272">
            <w:pPr>
              <w:keepNext w:val="0"/>
              <w:keepLines w:val="0"/>
              <w:pageBreakBefore w:val="0"/>
              <w:kinsoku/>
              <w:wordWrap/>
              <w:overflowPunct/>
              <w:topLinePunct w:val="0"/>
              <w:autoSpaceDE/>
              <w:autoSpaceDN/>
              <w:bidi w:val="0"/>
              <w:adjustRightInd w:val="0"/>
              <w:snapToGrid w:val="0"/>
              <w:ind w:left="0" w:right="0"/>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土壤质量 铅、镉的测定 石墨炉原子吸收分光光度法GB/T 17141-1997</w:t>
            </w:r>
          </w:p>
        </w:tc>
        <w:tc>
          <w:tcPr>
            <w:tcW w:w="1481" w:type="dxa"/>
            <w:vAlign w:val="center"/>
          </w:tcPr>
          <w:p w14:paraId="50571CBB">
            <w:pPr>
              <w:keepNext w:val="0"/>
              <w:keepLines w:val="0"/>
              <w:pageBreakBefore w:val="0"/>
              <w:kinsoku/>
              <w:wordWrap/>
              <w:overflowPunct/>
              <w:topLinePunct w:val="0"/>
              <w:autoSpaceDE/>
              <w:autoSpaceDN/>
              <w:bidi w:val="0"/>
              <w:adjustRightInd w:val="0"/>
              <w:snapToGrid w:val="0"/>
              <w:ind w:left="0" w:right="0"/>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0.01</w:t>
            </w:r>
          </w:p>
        </w:tc>
      </w:tr>
      <w:tr w14:paraId="0FE4FDA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2552" w:type="dxa"/>
            <w:gridSpan w:val="2"/>
            <w:vAlign w:val="center"/>
          </w:tcPr>
          <w:p w14:paraId="5CD38157">
            <w:pPr>
              <w:keepNext w:val="0"/>
              <w:keepLines w:val="0"/>
              <w:pageBreakBefore w:val="0"/>
              <w:kinsoku/>
              <w:wordWrap/>
              <w:overflowPunct/>
              <w:topLinePunct w:val="0"/>
              <w:autoSpaceDE/>
              <w:autoSpaceDN/>
              <w:bidi w:val="0"/>
              <w:adjustRightInd w:val="0"/>
              <w:snapToGrid w:val="0"/>
              <w:ind w:left="0" w:right="0"/>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铅</w:t>
            </w:r>
          </w:p>
        </w:tc>
        <w:tc>
          <w:tcPr>
            <w:tcW w:w="4471" w:type="dxa"/>
            <w:vAlign w:val="center"/>
          </w:tcPr>
          <w:p w14:paraId="195B86B1">
            <w:pPr>
              <w:keepNext w:val="0"/>
              <w:keepLines w:val="0"/>
              <w:pageBreakBefore w:val="0"/>
              <w:kinsoku/>
              <w:wordWrap/>
              <w:overflowPunct/>
              <w:topLinePunct w:val="0"/>
              <w:autoSpaceDE/>
              <w:autoSpaceDN/>
              <w:bidi w:val="0"/>
              <w:adjustRightInd w:val="0"/>
              <w:snapToGrid w:val="0"/>
              <w:ind w:left="0" w:right="0"/>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土壤和沉积物 铜、锌、铅、镍、铬的测定 火焰原子吸收分光光度法    HJ 491-2019</w:t>
            </w:r>
          </w:p>
        </w:tc>
        <w:tc>
          <w:tcPr>
            <w:tcW w:w="1481" w:type="dxa"/>
            <w:vAlign w:val="center"/>
          </w:tcPr>
          <w:p w14:paraId="21AB32A3">
            <w:pPr>
              <w:keepNext w:val="0"/>
              <w:keepLines w:val="0"/>
              <w:pageBreakBefore w:val="0"/>
              <w:kinsoku/>
              <w:wordWrap/>
              <w:overflowPunct/>
              <w:topLinePunct w:val="0"/>
              <w:autoSpaceDE/>
              <w:autoSpaceDN/>
              <w:bidi w:val="0"/>
              <w:adjustRightInd w:val="0"/>
              <w:snapToGrid w:val="0"/>
              <w:ind w:left="0" w:right="0"/>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10</w:t>
            </w:r>
          </w:p>
        </w:tc>
      </w:tr>
      <w:tr w14:paraId="5D81A4D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2552" w:type="dxa"/>
            <w:gridSpan w:val="2"/>
            <w:vAlign w:val="center"/>
          </w:tcPr>
          <w:p w14:paraId="66C4517A">
            <w:pPr>
              <w:keepNext w:val="0"/>
              <w:keepLines w:val="0"/>
              <w:pageBreakBefore w:val="0"/>
              <w:kinsoku/>
              <w:wordWrap/>
              <w:overflowPunct/>
              <w:topLinePunct w:val="0"/>
              <w:autoSpaceDE/>
              <w:autoSpaceDN/>
              <w:bidi w:val="0"/>
              <w:adjustRightInd w:val="0"/>
              <w:snapToGrid w:val="0"/>
              <w:ind w:left="0" w:right="0"/>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铜</w:t>
            </w:r>
          </w:p>
        </w:tc>
        <w:tc>
          <w:tcPr>
            <w:tcW w:w="4471" w:type="dxa"/>
            <w:vAlign w:val="center"/>
          </w:tcPr>
          <w:p w14:paraId="4AADCA08">
            <w:pPr>
              <w:keepNext w:val="0"/>
              <w:keepLines w:val="0"/>
              <w:pageBreakBefore w:val="0"/>
              <w:kinsoku/>
              <w:wordWrap/>
              <w:overflowPunct/>
              <w:topLinePunct w:val="0"/>
              <w:autoSpaceDE/>
              <w:autoSpaceDN/>
              <w:bidi w:val="0"/>
              <w:adjustRightInd w:val="0"/>
              <w:snapToGrid w:val="0"/>
              <w:ind w:left="0" w:right="0"/>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土壤和沉积物 铜、锌、铅、镍、铬的测定 火焰原子吸收分光光度法    HJ 491-2019</w:t>
            </w:r>
          </w:p>
        </w:tc>
        <w:tc>
          <w:tcPr>
            <w:tcW w:w="1481" w:type="dxa"/>
            <w:vAlign w:val="center"/>
          </w:tcPr>
          <w:p w14:paraId="44D1215C">
            <w:pPr>
              <w:keepNext w:val="0"/>
              <w:keepLines w:val="0"/>
              <w:pageBreakBefore w:val="0"/>
              <w:kinsoku/>
              <w:wordWrap/>
              <w:overflowPunct/>
              <w:topLinePunct w:val="0"/>
              <w:autoSpaceDE/>
              <w:autoSpaceDN/>
              <w:bidi w:val="0"/>
              <w:adjustRightInd w:val="0"/>
              <w:snapToGrid w:val="0"/>
              <w:ind w:left="0" w:right="0"/>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1</w:t>
            </w:r>
          </w:p>
        </w:tc>
      </w:tr>
      <w:tr w14:paraId="11D839F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2552" w:type="dxa"/>
            <w:gridSpan w:val="2"/>
            <w:vAlign w:val="center"/>
          </w:tcPr>
          <w:p w14:paraId="4D163776">
            <w:pPr>
              <w:keepNext w:val="0"/>
              <w:keepLines w:val="0"/>
              <w:pageBreakBefore w:val="0"/>
              <w:kinsoku/>
              <w:wordWrap/>
              <w:overflowPunct/>
              <w:topLinePunct w:val="0"/>
              <w:autoSpaceDE/>
              <w:autoSpaceDN/>
              <w:bidi w:val="0"/>
              <w:adjustRightInd w:val="0"/>
              <w:snapToGrid w:val="0"/>
              <w:ind w:left="0" w:right="0"/>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汞</w:t>
            </w:r>
          </w:p>
        </w:tc>
        <w:tc>
          <w:tcPr>
            <w:tcW w:w="4471" w:type="dxa"/>
            <w:vAlign w:val="center"/>
          </w:tcPr>
          <w:p w14:paraId="68035218">
            <w:pPr>
              <w:keepNext w:val="0"/>
              <w:keepLines w:val="0"/>
              <w:pageBreakBefore w:val="0"/>
              <w:kinsoku/>
              <w:wordWrap/>
              <w:overflowPunct/>
              <w:topLinePunct w:val="0"/>
              <w:autoSpaceDE/>
              <w:autoSpaceDN/>
              <w:bidi w:val="0"/>
              <w:adjustRightInd w:val="0"/>
              <w:snapToGrid w:val="0"/>
              <w:ind w:left="0" w:right="0"/>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土壤和沉积物 汞、砷、硒、铋、锑的测定 微波消解/原子荧光法          HJ 680-2013</w:t>
            </w:r>
          </w:p>
        </w:tc>
        <w:tc>
          <w:tcPr>
            <w:tcW w:w="1481" w:type="dxa"/>
            <w:vAlign w:val="center"/>
          </w:tcPr>
          <w:p w14:paraId="4752BF48">
            <w:pPr>
              <w:keepNext w:val="0"/>
              <w:keepLines w:val="0"/>
              <w:pageBreakBefore w:val="0"/>
              <w:kinsoku/>
              <w:wordWrap/>
              <w:overflowPunct/>
              <w:topLinePunct w:val="0"/>
              <w:autoSpaceDE/>
              <w:autoSpaceDN/>
              <w:bidi w:val="0"/>
              <w:adjustRightInd w:val="0"/>
              <w:snapToGrid w:val="0"/>
              <w:ind w:left="0" w:right="0"/>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0.002</w:t>
            </w:r>
          </w:p>
        </w:tc>
      </w:tr>
      <w:tr w14:paraId="448D0D3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2552" w:type="dxa"/>
            <w:gridSpan w:val="2"/>
            <w:vAlign w:val="center"/>
          </w:tcPr>
          <w:p w14:paraId="7FE1FE4D">
            <w:pPr>
              <w:keepNext w:val="0"/>
              <w:keepLines w:val="0"/>
              <w:pageBreakBefore w:val="0"/>
              <w:kinsoku/>
              <w:wordWrap/>
              <w:overflowPunct/>
              <w:topLinePunct w:val="0"/>
              <w:autoSpaceDE/>
              <w:autoSpaceDN/>
              <w:bidi w:val="0"/>
              <w:adjustRightInd w:val="0"/>
              <w:snapToGrid w:val="0"/>
              <w:ind w:left="0" w:right="0"/>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镍</w:t>
            </w:r>
          </w:p>
        </w:tc>
        <w:tc>
          <w:tcPr>
            <w:tcW w:w="4471" w:type="dxa"/>
            <w:vAlign w:val="center"/>
          </w:tcPr>
          <w:p w14:paraId="498D51A3">
            <w:pPr>
              <w:keepNext w:val="0"/>
              <w:keepLines w:val="0"/>
              <w:pageBreakBefore w:val="0"/>
              <w:kinsoku/>
              <w:wordWrap/>
              <w:overflowPunct/>
              <w:topLinePunct w:val="0"/>
              <w:autoSpaceDE/>
              <w:autoSpaceDN/>
              <w:bidi w:val="0"/>
              <w:adjustRightInd w:val="0"/>
              <w:snapToGrid w:val="0"/>
              <w:ind w:left="0" w:right="0"/>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土壤质量 镍的测定 火焰原子吸收分光光度法HJ 491-2019</w:t>
            </w:r>
          </w:p>
        </w:tc>
        <w:tc>
          <w:tcPr>
            <w:tcW w:w="1481" w:type="dxa"/>
            <w:vAlign w:val="center"/>
          </w:tcPr>
          <w:p w14:paraId="2C2EE216">
            <w:pPr>
              <w:keepNext w:val="0"/>
              <w:keepLines w:val="0"/>
              <w:pageBreakBefore w:val="0"/>
              <w:kinsoku/>
              <w:wordWrap/>
              <w:overflowPunct/>
              <w:topLinePunct w:val="0"/>
              <w:autoSpaceDE/>
              <w:autoSpaceDN/>
              <w:bidi w:val="0"/>
              <w:adjustRightInd w:val="0"/>
              <w:snapToGrid w:val="0"/>
              <w:ind w:left="0" w:right="0"/>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3</w:t>
            </w:r>
          </w:p>
        </w:tc>
      </w:tr>
      <w:tr w14:paraId="12673F9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821" w:type="dxa"/>
            <w:vMerge w:val="restart"/>
            <w:vAlign w:val="center"/>
          </w:tcPr>
          <w:p w14:paraId="363C1A01">
            <w:pPr>
              <w:keepNext w:val="0"/>
              <w:keepLines w:val="0"/>
              <w:pageBreakBefore w:val="0"/>
              <w:kinsoku/>
              <w:wordWrap/>
              <w:overflowPunct/>
              <w:topLinePunct w:val="0"/>
              <w:autoSpaceDE/>
              <w:autoSpaceDN/>
              <w:bidi w:val="0"/>
              <w:adjustRightInd w:val="0"/>
              <w:snapToGrid w:val="0"/>
              <w:ind w:left="0" w:right="0"/>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挥发</w:t>
            </w:r>
          </w:p>
          <w:p w14:paraId="4A5B2577">
            <w:pPr>
              <w:keepNext w:val="0"/>
              <w:keepLines w:val="0"/>
              <w:pageBreakBefore w:val="0"/>
              <w:kinsoku/>
              <w:wordWrap/>
              <w:overflowPunct/>
              <w:topLinePunct w:val="0"/>
              <w:autoSpaceDE/>
              <w:autoSpaceDN/>
              <w:bidi w:val="0"/>
              <w:adjustRightInd w:val="0"/>
              <w:snapToGrid w:val="0"/>
              <w:ind w:left="0" w:right="0"/>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性有</w:t>
            </w:r>
          </w:p>
          <w:p w14:paraId="393FDD10">
            <w:pPr>
              <w:keepNext w:val="0"/>
              <w:keepLines w:val="0"/>
              <w:pageBreakBefore w:val="0"/>
              <w:kinsoku/>
              <w:wordWrap/>
              <w:overflowPunct/>
              <w:topLinePunct w:val="0"/>
              <w:autoSpaceDE/>
              <w:autoSpaceDN/>
              <w:bidi w:val="0"/>
              <w:adjustRightInd w:val="0"/>
              <w:snapToGrid w:val="0"/>
              <w:ind w:left="0" w:right="0"/>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机物</w:t>
            </w:r>
          </w:p>
        </w:tc>
        <w:tc>
          <w:tcPr>
            <w:tcW w:w="1731" w:type="dxa"/>
            <w:vAlign w:val="center"/>
          </w:tcPr>
          <w:p w14:paraId="40034216">
            <w:pPr>
              <w:pStyle w:val="41"/>
              <w:keepNext w:val="0"/>
              <w:keepLines w:val="0"/>
              <w:pageBreakBefore w:val="0"/>
              <w:kinsoku/>
              <w:wordWrap/>
              <w:overflowPunct/>
              <w:topLinePunct w:val="0"/>
              <w:autoSpaceDE/>
              <w:autoSpaceDN/>
              <w:bidi w:val="0"/>
              <w:adjustRightInd w:val="0"/>
              <w:snapToGrid w:val="0"/>
              <w:spacing w:before="0" w:beforeAutospacing="0" w:after="0" w:afterAutospacing="0"/>
              <w:ind w:left="0" w:right="0"/>
              <w:jc w:val="center"/>
              <w:rPr>
                <w:rFonts w:ascii="Times New Roman" w:hAnsi="Times New Roman"/>
                <w:color w:val="auto"/>
                <w:sz w:val="21"/>
                <w:szCs w:val="21"/>
                <w:highlight w:val="none"/>
              </w:rPr>
            </w:pPr>
            <w:r>
              <w:rPr>
                <w:rFonts w:ascii="Times New Roman" w:hAnsi="Times New Roman"/>
                <w:iCs/>
                <w:color w:val="auto"/>
                <w:kern w:val="2"/>
                <w:sz w:val="21"/>
                <w:szCs w:val="21"/>
                <w:highlight w:val="none"/>
              </w:rPr>
              <w:t>氯甲烷</w:t>
            </w:r>
          </w:p>
        </w:tc>
        <w:tc>
          <w:tcPr>
            <w:tcW w:w="4471" w:type="dxa"/>
            <w:vMerge w:val="restart"/>
            <w:vAlign w:val="center"/>
          </w:tcPr>
          <w:p w14:paraId="26A4220C">
            <w:pPr>
              <w:keepNext w:val="0"/>
              <w:keepLines w:val="0"/>
              <w:pageBreakBefore w:val="0"/>
              <w:kinsoku/>
              <w:wordWrap/>
              <w:overflowPunct/>
              <w:topLinePunct w:val="0"/>
              <w:autoSpaceDE/>
              <w:autoSpaceDN/>
              <w:bidi w:val="0"/>
              <w:adjustRightInd w:val="0"/>
              <w:snapToGrid w:val="0"/>
              <w:ind w:left="0" w:right="0"/>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土壤和沉积物 挥发性有机物的测定 吹扫捕集气相色谱-质谱法       HJ 605-2011</w:t>
            </w:r>
          </w:p>
        </w:tc>
        <w:tc>
          <w:tcPr>
            <w:tcW w:w="1481" w:type="dxa"/>
            <w:vAlign w:val="center"/>
          </w:tcPr>
          <w:p w14:paraId="50B64CB7">
            <w:pPr>
              <w:keepNext w:val="0"/>
              <w:keepLines w:val="0"/>
              <w:pageBreakBefore w:val="0"/>
              <w:kinsoku/>
              <w:wordWrap/>
              <w:overflowPunct/>
              <w:topLinePunct w:val="0"/>
              <w:autoSpaceDE/>
              <w:autoSpaceDN/>
              <w:bidi w:val="0"/>
              <w:adjustRightInd w:val="0"/>
              <w:snapToGrid w:val="0"/>
              <w:ind w:left="0" w:right="0"/>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1.0 ug/kg</w:t>
            </w:r>
          </w:p>
        </w:tc>
      </w:tr>
      <w:tr w14:paraId="7661DB7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821" w:type="dxa"/>
            <w:vMerge w:val="continue"/>
            <w:vAlign w:val="center"/>
          </w:tcPr>
          <w:p w14:paraId="7F32625F">
            <w:pPr>
              <w:keepNext w:val="0"/>
              <w:keepLines w:val="0"/>
              <w:pageBreakBefore w:val="0"/>
              <w:kinsoku/>
              <w:wordWrap/>
              <w:overflowPunct/>
              <w:topLinePunct w:val="0"/>
              <w:autoSpaceDE/>
              <w:autoSpaceDN/>
              <w:bidi w:val="0"/>
              <w:adjustRightInd w:val="0"/>
              <w:snapToGrid w:val="0"/>
              <w:ind w:left="0" w:right="0"/>
              <w:jc w:val="center"/>
              <w:rPr>
                <w:rFonts w:ascii="Times New Roman" w:hAnsi="Times New Roman" w:cs="Times New Roman"/>
                <w:color w:val="auto"/>
                <w:sz w:val="21"/>
                <w:szCs w:val="21"/>
                <w:highlight w:val="none"/>
              </w:rPr>
            </w:pPr>
          </w:p>
        </w:tc>
        <w:tc>
          <w:tcPr>
            <w:tcW w:w="1731" w:type="dxa"/>
            <w:vAlign w:val="center"/>
          </w:tcPr>
          <w:p w14:paraId="02E0E5CB">
            <w:pPr>
              <w:pStyle w:val="41"/>
              <w:keepNext w:val="0"/>
              <w:keepLines w:val="0"/>
              <w:pageBreakBefore w:val="0"/>
              <w:kinsoku/>
              <w:wordWrap/>
              <w:overflowPunct/>
              <w:topLinePunct w:val="0"/>
              <w:autoSpaceDE/>
              <w:autoSpaceDN/>
              <w:bidi w:val="0"/>
              <w:adjustRightInd w:val="0"/>
              <w:snapToGrid w:val="0"/>
              <w:spacing w:before="0" w:beforeAutospacing="0" w:after="0" w:afterAutospacing="0"/>
              <w:ind w:left="0" w:right="0"/>
              <w:jc w:val="center"/>
              <w:rPr>
                <w:rFonts w:ascii="Times New Roman" w:hAnsi="Times New Roman"/>
                <w:color w:val="auto"/>
                <w:sz w:val="21"/>
                <w:szCs w:val="21"/>
                <w:highlight w:val="none"/>
              </w:rPr>
            </w:pPr>
            <w:r>
              <w:rPr>
                <w:rFonts w:ascii="Times New Roman" w:hAnsi="Times New Roman"/>
                <w:iCs/>
                <w:color w:val="auto"/>
                <w:kern w:val="2"/>
                <w:sz w:val="21"/>
                <w:szCs w:val="21"/>
                <w:highlight w:val="none"/>
              </w:rPr>
              <w:t>氯乙烯</w:t>
            </w:r>
          </w:p>
        </w:tc>
        <w:tc>
          <w:tcPr>
            <w:tcW w:w="4471" w:type="dxa"/>
            <w:vMerge w:val="continue"/>
            <w:vAlign w:val="center"/>
          </w:tcPr>
          <w:p w14:paraId="6EF2BDC5">
            <w:pPr>
              <w:keepNext w:val="0"/>
              <w:keepLines w:val="0"/>
              <w:pageBreakBefore w:val="0"/>
              <w:kinsoku/>
              <w:wordWrap/>
              <w:overflowPunct/>
              <w:topLinePunct w:val="0"/>
              <w:autoSpaceDE/>
              <w:autoSpaceDN/>
              <w:bidi w:val="0"/>
              <w:adjustRightInd w:val="0"/>
              <w:snapToGrid w:val="0"/>
              <w:ind w:left="0" w:right="0"/>
              <w:jc w:val="center"/>
              <w:textAlignment w:val="center"/>
              <w:rPr>
                <w:rFonts w:ascii="Times New Roman" w:hAnsi="Times New Roman" w:cs="Times New Roman"/>
                <w:color w:val="auto"/>
                <w:sz w:val="21"/>
                <w:szCs w:val="21"/>
                <w:highlight w:val="none"/>
              </w:rPr>
            </w:pPr>
          </w:p>
        </w:tc>
        <w:tc>
          <w:tcPr>
            <w:tcW w:w="1481" w:type="dxa"/>
            <w:vAlign w:val="center"/>
          </w:tcPr>
          <w:p w14:paraId="3DF6E22A">
            <w:pPr>
              <w:keepNext w:val="0"/>
              <w:keepLines w:val="0"/>
              <w:pageBreakBefore w:val="0"/>
              <w:kinsoku/>
              <w:wordWrap/>
              <w:overflowPunct/>
              <w:topLinePunct w:val="0"/>
              <w:autoSpaceDE/>
              <w:autoSpaceDN/>
              <w:bidi w:val="0"/>
              <w:adjustRightInd w:val="0"/>
              <w:snapToGrid w:val="0"/>
              <w:ind w:left="0" w:right="0"/>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1.0 ug/kg</w:t>
            </w:r>
          </w:p>
        </w:tc>
      </w:tr>
      <w:tr w14:paraId="379B58B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821" w:type="dxa"/>
            <w:vMerge w:val="continue"/>
            <w:vAlign w:val="center"/>
          </w:tcPr>
          <w:p w14:paraId="31298F0B">
            <w:pPr>
              <w:keepNext w:val="0"/>
              <w:keepLines w:val="0"/>
              <w:pageBreakBefore w:val="0"/>
              <w:kinsoku/>
              <w:wordWrap/>
              <w:overflowPunct/>
              <w:topLinePunct w:val="0"/>
              <w:autoSpaceDE/>
              <w:autoSpaceDN/>
              <w:bidi w:val="0"/>
              <w:adjustRightInd w:val="0"/>
              <w:snapToGrid w:val="0"/>
              <w:ind w:left="0" w:right="0"/>
              <w:jc w:val="center"/>
              <w:rPr>
                <w:rFonts w:ascii="Times New Roman" w:hAnsi="Times New Roman" w:cs="Times New Roman"/>
                <w:color w:val="auto"/>
                <w:sz w:val="21"/>
                <w:szCs w:val="21"/>
                <w:highlight w:val="none"/>
              </w:rPr>
            </w:pPr>
          </w:p>
        </w:tc>
        <w:tc>
          <w:tcPr>
            <w:tcW w:w="1731" w:type="dxa"/>
            <w:vAlign w:val="center"/>
          </w:tcPr>
          <w:p w14:paraId="4C16A15C">
            <w:pPr>
              <w:pStyle w:val="41"/>
              <w:keepNext w:val="0"/>
              <w:keepLines w:val="0"/>
              <w:pageBreakBefore w:val="0"/>
              <w:kinsoku/>
              <w:wordWrap/>
              <w:overflowPunct/>
              <w:topLinePunct w:val="0"/>
              <w:autoSpaceDE/>
              <w:autoSpaceDN/>
              <w:bidi w:val="0"/>
              <w:adjustRightInd w:val="0"/>
              <w:snapToGrid w:val="0"/>
              <w:spacing w:before="0" w:beforeAutospacing="0" w:after="0" w:afterAutospacing="0"/>
              <w:ind w:left="0" w:right="0"/>
              <w:jc w:val="center"/>
              <w:rPr>
                <w:rFonts w:ascii="Times New Roman" w:hAnsi="Times New Roman"/>
                <w:color w:val="auto"/>
                <w:sz w:val="21"/>
                <w:szCs w:val="21"/>
                <w:highlight w:val="none"/>
              </w:rPr>
            </w:pPr>
            <w:r>
              <w:rPr>
                <w:rFonts w:ascii="Times New Roman" w:hAnsi="Times New Roman"/>
                <w:iCs/>
                <w:color w:val="auto"/>
                <w:kern w:val="2"/>
                <w:sz w:val="21"/>
                <w:szCs w:val="21"/>
                <w:highlight w:val="none"/>
              </w:rPr>
              <w:t>1，1-二氯乙烯</w:t>
            </w:r>
          </w:p>
        </w:tc>
        <w:tc>
          <w:tcPr>
            <w:tcW w:w="4471" w:type="dxa"/>
            <w:vMerge w:val="continue"/>
            <w:vAlign w:val="center"/>
          </w:tcPr>
          <w:p w14:paraId="784DE203">
            <w:pPr>
              <w:keepNext w:val="0"/>
              <w:keepLines w:val="0"/>
              <w:pageBreakBefore w:val="0"/>
              <w:kinsoku/>
              <w:wordWrap/>
              <w:overflowPunct/>
              <w:topLinePunct w:val="0"/>
              <w:autoSpaceDE/>
              <w:autoSpaceDN/>
              <w:bidi w:val="0"/>
              <w:adjustRightInd w:val="0"/>
              <w:snapToGrid w:val="0"/>
              <w:ind w:left="0" w:right="0"/>
              <w:jc w:val="center"/>
              <w:textAlignment w:val="center"/>
              <w:rPr>
                <w:rFonts w:ascii="Times New Roman" w:hAnsi="Times New Roman" w:cs="Times New Roman"/>
                <w:color w:val="auto"/>
                <w:sz w:val="21"/>
                <w:szCs w:val="21"/>
                <w:highlight w:val="none"/>
              </w:rPr>
            </w:pPr>
          </w:p>
        </w:tc>
        <w:tc>
          <w:tcPr>
            <w:tcW w:w="1481" w:type="dxa"/>
            <w:vAlign w:val="center"/>
          </w:tcPr>
          <w:p w14:paraId="4EDB2821">
            <w:pPr>
              <w:keepNext w:val="0"/>
              <w:keepLines w:val="0"/>
              <w:pageBreakBefore w:val="0"/>
              <w:kinsoku/>
              <w:wordWrap/>
              <w:overflowPunct/>
              <w:topLinePunct w:val="0"/>
              <w:autoSpaceDE/>
              <w:autoSpaceDN/>
              <w:bidi w:val="0"/>
              <w:adjustRightInd w:val="0"/>
              <w:snapToGrid w:val="0"/>
              <w:ind w:left="0" w:right="0"/>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1.0 ug/kg</w:t>
            </w:r>
          </w:p>
        </w:tc>
      </w:tr>
      <w:tr w14:paraId="6A193CE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821" w:type="dxa"/>
            <w:vMerge w:val="continue"/>
            <w:vAlign w:val="center"/>
          </w:tcPr>
          <w:p w14:paraId="6184E3E3">
            <w:pPr>
              <w:keepNext w:val="0"/>
              <w:keepLines w:val="0"/>
              <w:pageBreakBefore w:val="0"/>
              <w:kinsoku/>
              <w:wordWrap/>
              <w:overflowPunct/>
              <w:topLinePunct w:val="0"/>
              <w:autoSpaceDE/>
              <w:autoSpaceDN/>
              <w:bidi w:val="0"/>
              <w:adjustRightInd w:val="0"/>
              <w:snapToGrid w:val="0"/>
              <w:ind w:left="0" w:right="0"/>
              <w:jc w:val="center"/>
              <w:rPr>
                <w:rFonts w:ascii="Times New Roman" w:hAnsi="Times New Roman" w:cs="Times New Roman"/>
                <w:color w:val="auto"/>
                <w:sz w:val="21"/>
                <w:szCs w:val="21"/>
                <w:highlight w:val="none"/>
              </w:rPr>
            </w:pPr>
          </w:p>
        </w:tc>
        <w:tc>
          <w:tcPr>
            <w:tcW w:w="1731" w:type="dxa"/>
            <w:vAlign w:val="center"/>
          </w:tcPr>
          <w:p w14:paraId="07C145F5">
            <w:pPr>
              <w:pStyle w:val="41"/>
              <w:keepNext w:val="0"/>
              <w:keepLines w:val="0"/>
              <w:pageBreakBefore w:val="0"/>
              <w:kinsoku/>
              <w:wordWrap/>
              <w:overflowPunct/>
              <w:topLinePunct w:val="0"/>
              <w:autoSpaceDE/>
              <w:autoSpaceDN/>
              <w:bidi w:val="0"/>
              <w:adjustRightInd w:val="0"/>
              <w:snapToGrid w:val="0"/>
              <w:spacing w:before="0" w:beforeAutospacing="0" w:after="0" w:afterAutospacing="0"/>
              <w:ind w:left="0" w:right="0"/>
              <w:jc w:val="center"/>
              <w:rPr>
                <w:rFonts w:ascii="Times New Roman" w:hAnsi="Times New Roman"/>
                <w:color w:val="auto"/>
                <w:sz w:val="21"/>
                <w:szCs w:val="21"/>
                <w:highlight w:val="none"/>
              </w:rPr>
            </w:pPr>
            <w:r>
              <w:rPr>
                <w:rFonts w:ascii="Times New Roman" w:hAnsi="Times New Roman"/>
                <w:iCs/>
                <w:color w:val="auto"/>
                <w:kern w:val="2"/>
                <w:sz w:val="21"/>
                <w:szCs w:val="21"/>
                <w:highlight w:val="none"/>
              </w:rPr>
              <w:t>二氯甲烷</w:t>
            </w:r>
          </w:p>
        </w:tc>
        <w:tc>
          <w:tcPr>
            <w:tcW w:w="4471" w:type="dxa"/>
            <w:vMerge w:val="continue"/>
            <w:vAlign w:val="center"/>
          </w:tcPr>
          <w:p w14:paraId="43864269">
            <w:pPr>
              <w:keepNext w:val="0"/>
              <w:keepLines w:val="0"/>
              <w:pageBreakBefore w:val="0"/>
              <w:kinsoku/>
              <w:wordWrap/>
              <w:overflowPunct/>
              <w:topLinePunct w:val="0"/>
              <w:autoSpaceDE/>
              <w:autoSpaceDN/>
              <w:bidi w:val="0"/>
              <w:adjustRightInd w:val="0"/>
              <w:snapToGrid w:val="0"/>
              <w:ind w:left="0" w:right="0"/>
              <w:jc w:val="center"/>
              <w:textAlignment w:val="center"/>
              <w:rPr>
                <w:rFonts w:ascii="Times New Roman" w:hAnsi="Times New Roman" w:cs="Times New Roman"/>
                <w:color w:val="auto"/>
                <w:sz w:val="21"/>
                <w:szCs w:val="21"/>
                <w:highlight w:val="none"/>
              </w:rPr>
            </w:pPr>
          </w:p>
        </w:tc>
        <w:tc>
          <w:tcPr>
            <w:tcW w:w="1481" w:type="dxa"/>
            <w:vAlign w:val="center"/>
          </w:tcPr>
          <w:p w14:paraId="1AE62EA0">
            <w:pPr>
              <w:keepNext w:val="0"/>
              <w:keepLines w:val="0"/>
              <w:pageBreakBefore w:val="0"/>
              <w:kinsoku/>
              <w:wordWrap/>
              <w:overflowPunct/>
              <w:topLinePunct w:val="0"/>
              <w:autoSpaceDE/>
              <w:autoSpaceDN/>
              <w:bidi w:val="0"/>
              <w:adjustRightInd w:val="0"/>
              <w:snapToGrid w:val="0"/>
              <w:ind w:left="0" w:right="0"/>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1.5 ug/kg</w:t>
            </w:r>
          </w:p>
        </w:tc>
      </w:tr>
      <w:tr w14:paraId="3A0189F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821" w:type="dxa"/>
            <w:vMerge w:val="continue"/>
            <w:vAlign w:val="center"/>
          </w:tcPr>
          <w:p w14:paraId="22B460C5">
            <w:pPr>
              <w:keepNext w:val="0"/>
              <w:keepLines w:val="0"/>
              <w:pageBreakBefore w:val="0"/>
              <w:kinsoku/>
              <w:wordWrap/>
              <w:overflowPunct/>
              <w:topLinePunct w:val="0"/>
              <w:autoSpaceDE/>
              <w:autoSpaceDN/>
              <w:bidi w:val="0"/>
              <w:adjustRightInd w:val="0"/>
              <w:snapToGrid w:val="0"/>
              <w:ind w:left="0" w:right="0"/>
              <w:jc w:val="center"/>
              <w:rPr>
                <w:rFonts w:ascii="Times New Roman" w:hAnsi="Times New Roman" w:cs="Times New Roman"/>
                <w:color w:val="auto"/>
                <w:sz w:val="21"/>
                <w:szCs w:val="21"/>
                <w:highlight w:val="none"/>
              </w:rPr>
            </w:pPr>
          </w:p>
        </w:tc>
        <w:tc>
          <w:tcPr>
            <w:tcW w:w="1731" w:type="dxa"/>
            <w:vAlign w:val="center"/>
          </w:tcPr>
          <w:p w14:paraId="19C172BA">
            <w:pPr>
              <w:pStyle w:val="41"/>
              <w:keepNext w:val="0"/>
              <w:keepLines w:val="0"/>
              <w:pageBreakBefore w:val="0"/>
              <w:kinsoku/>
              <w:wordWrap/>
              <w:overflowPunct/>
              <w:topLinePunct w:val="0"/>
              <w:autoSpaceDE/>
              <w:autoSpaceDN/>
              <w:bidi w:val="0"/>
              <w:adjustRightInd w:val="0"/>
              <w:snapToGrid w:val="0"/>
              <w:spacing w:before="0" w:beforeAutospacing="0" w:after="0" w:afterAutospacing="0"/>
              <w:ind w:left="0" w:right="0"/>
              <w:jc w:val="center"/>
              <w:rPr>
                <w:rFonts w:ascii="Times New Roman" w:hAnsi="Times New Roman"/>
                <w:color w:val="auto"/>
                <w:sz w:val="21"/>
                <w:szCs w:val="21"/>
                <w:highlight w:val="none"/>
              </w:rPr>
            </w:pPr>
            <w:r>
              <w:rPr>
                <w:rFonts w:ascii="Times New Roman" w:hAnsi="Times New Roman"/>
                <w:iCs/>
                <w:color w:val="auto"/>
                <w:kern w:val="2"/>
                <w:sz w:val="21"/>
                <w:szCs w:val="21"/>
                <w:highlight w:val="none"/>
              </w:rPr>
              <w:t>反式-1，2-二氯乙烯</w:t>
            </w:r>
          </w:p>
        </w:tc>
        <w:tc>
          <w:tcPr>
            <w:tcW w:w="4471" w:type="dxa"/>
            <w:vMerge w:val="continue"/>
            <w:vAlign w:val="center"/>
          </w:tcPr>
          <w:p w14:paraId="56ED2DEF">
            <w:pPr>
              <w:keepNext w:val="0"/>
              <w:keepLines w:val="0"/>
              <w:pageBreakBefore w:val="0"/>
              <w:kinsoku/>
              <w:wordWrap/>
              <w:overflowPunct/>
              <w:topLinePunct w:val="0"/>
              <w:autoSpaceDE/>
              <w:autoSpaceDN/>
              <w:bidi w:val="0"/>
              <w:adjustRightInd w:val="0"/>
              <w:snapToGrid w:val="0"/>
              <w:ind w:left="0" w:right="0"/>
              <w:jc w:val="center"/>
              <w:textAlignment w:val="center"/>
              <w:rPr>
                <w:rFonts w:ascii="Times New Roman" w:hAnsi="Times New Roman" w:cs="Times New Roman"/>
                <w:color w:val="auto"/>
                <w:sz w:val="21"/>
                <w:szCs w:val="21"/>
                <w:highlight w:val="none"/>
              </w:rPr>
            </w:pPr>
          </w:p>
        </w:tc>
        <w:tc>
          <w:tcPr>
            <w:tcW w:w="1481" w:type="dxa"/>
            <w:vAlign w:val="center"/>
          </w:tcPr>
          <w:p w14:paraId="49C4F098">
            <w:pPr>
              <w:keepNext w:val="0"/>
              <w:keepLines w:val="0"/>
              <w:pageBreakBefore w:val="0"/>
              <w:kinsoku/>
              <w:wordWrap/>
              <w:overflowPunct/>
              <w:topLinePunct w:val="0"/>
              <w:autoSpaceDE/>
              <w:autoSpaceDN/>
              <w:bidi w:val="0"/>
              <w:adjustRightInd w:val="0"/>
              <w:snapToGrid w:val="0"/>
              <w:ind w:left="0" w:right="0"/>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1.4 ug/kg</w:t>
            </w:r>
          </w:p>
        </w:tc>
      </w:tr>
      <w:tr w14:paraId="24ED8EF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821" w:type="dxa"/>
            <w:vMerge w:val="continue"/>
            <w:vAlign w:val="center"/>
          </w:tcPr>
          <w:p w14:paraId="721FDA49">
            <w:pPr>
              <w:keepNext w:val="0"/>
              <w:keepLines w:val="0"/>
              <w:pageBreakBefore w:val="0"/>
              <w:kinsoku/>
              <w:wordWrap/>
              <w:overflowPunct/>
              <w:topLinePunct w:val="0"/>
              <w:autoSpaceDE/>
              <w:autoSpaceDN/>
              <w:bidi w:val="0"/>
              <w:adjustRightInd w:val="0"/>
              <w:snapToGrid w:val="0"/>
              <w:ind w:left="0" w:right="0"/>
              <w:jc w:val="center"/>
              <w:rPr>
                <w:rFonts w:ascii="Times New Roman" w:hAnsi="Times New Roman" w:cs="Times New Roman"/>
                <w:color w:val="auto"/>
                <w:sz w:val="21"/>
                <w:szCs w:val="21"/>
                <w:highlight w:val="none"/>
              </w:rPr>
            </w:pPr>
          </w:p>
        </w:tc>
        <w:tc>
          <w:tcPr>
            <w:tcW w:w="1731" w:type="dxa"/>
            <w:vAlign w:val="center"/>
          </w:tcPr>
          <w:p w14:paraId="5244E0F4">
            <w:pPr>
              <w:pStyle w:val="41"/>
              <w:keepNext w:val="0"/>
              <w:keepLines w:val="0"/>
              <w:pageBreakBefore w:val="0"/>
              <w:kinsoku/>
              <w:wordWrap/>
              <w:overflowPunct/>
              <w:topLinePunct w:val="0"/>
              <w:autoSpaceDE/>
              <w:autoSpaceDN/>
              <w:bidi w:val="0"/>
              <w:adjustRightInd w:val="0"/>
              <w:snapToGrid w:val="0"/>
              <w:spacing w:before="0" w:beforeAutospacing="0" w:after="0" w:afterAutospacing="0"/>
              <w:ind w:left="0" w:right="0"/>
              <w:jc w:val="center"/>
              <w:rPr>
                <w:rFonts w:ascii="Times New Roman" w:hAnsi="Times New Roman"/>
                <w:color w:val="auto"/>
                <w:sz w:val="21"/>
                <w:szCs w:val="21"/>
                <w:highlight w:val="none"/>
              </w:rPr>
            </w:pPr>
            <w:r>
              <w:rPr>
                <w:rFonts w:ascii="Times New Roman" w:hAnsi="Times New Roman"/>
                <w:iCs/>
                <w:color w:val="auto"/>
                <w:kern w:val="2"/>
                <w:sz w:val="21"/>
                <w:szCs w:val="21"/>
                <w:highlight w:val="none"/>
              </w:rPr>
              <w:t>1，1-二氯乙烷</w:t>
            </w:r>
          </w:p>
        </w:tc>
        <w:tc>
          <w:tcPr>
            <w:tcW w:w="4471" w:type="dxa"/>
            <w:vMerge w:val="continue"/>
            <w:vAlign w:val="center"/>
          </w:tcPr>
          <w:p w14:paraId="3425DD50">
            <w:pPr>
              <w:keepNext w:val="0"/>
              <w:keepLines w:val="0"/>
              <w:pageBreakBefore w:val="0"/>
              <w:kinsoku/>
              <w:wordWrap/>
              <w:overflowPunct/>
              <w:topLinePunct w:val="0"/>
              <w:autoSpaceDE/>
              <w:autoSpaceDN/>
              <w:bidi w:val="0"/>
              <w:adjustRightInd w:val="0"/>
              <w:snapToGrid w:val="0"/>
              <w:ind w:left="0" w:right="0"/>
              <w:jc w:val="center"/>
              <w:textAlignment w:val="center"/>
              <w:rPr>
                <w:rFonts w:ascii="Times New Roman" w:hAnsi="Times New Roman" w:cs="Times New Roman"/>
                <w:color w:val="auto"/>
                <w:sz w:val="21"/>
                <w:szCs w:val="21"/>
                <w:highlight w:val="none"/>
              </w:rPr>
            </w:pPr>
          </w:p>
        </w:tc>
        <w:tc>
          <w:tcPr>
            <w:tcW w:w="1481" w:type="dxa"/>
            <w:vAlign w:val="center"/>
          </w:tcPr>
          <w:p w14:paraId="7CACD6FE">
            <w:pPr>
              <w:keepNext w:val="0"/>
              <w:keepLines w:val="0"/>
              <w:pageBreakBefore w:val="0"/>
              <w:kinsoku/>
              <w:wordWrap/>
              <w:overflowPunct/>
              <w:topLinePunct w:val="0"/>
              <w:autoSpaceDE/>
              <w:autoSpaceDN/>
              <w:bidi w:val="0"/>
              <w:adjustRightInd w:val="0"/>
              <w:snapToGrid w:val="0"/>
              <w:ind w:left="0" w:right="0"/>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1.2 ug/kg</w:t>
            </w:r>
          </w:p>
        </w:tc>
      </w:tr>
      <w:tr w14:paraId="07D96C6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821" w:type="dxa"/>
            <w:vMerge w:val="continue"/>
            <w:vAlign w:val="center"/>
          </w:tcPr>
          <w:p w14:paraId="768AB01F">
            <w:pPr>
              <w:keepNext w:val="0"/>
              <w:keepLines w:val="0"/>
              <w:pageBreakBefore w:val="0"/>
              <w:kinsoku/>
              <w:wordWrap/>
              <w:overflowPunct/>
              <w:topLinePunct w:val="0"/>
              <w:autoSpaceDE/>
              <w:autoSpaceDN/>
              <w:bidi w:val="0"/>
              <w:adjustRightInd w:val="0"/>
              <w:snapToGrid w:val="0"/>
              <w:ind w:left="0" w:right="0"/>
              <w:jc w:val="center"/>
              <w:rPr>
                <w:rFonts w:ascii="Times New Roman" w:hAnsi="Times New Roman" w:cs="Times New Roman"/>
                <w:color w:val="auto"/>
                <w:sz w:val="21"/>
                <w:szCs w:val="21"/>
                <w:highlight w:val="none"/>
              </w:rPr>
            </w:pPr>
          </w:p>
        </w:tc>
        <w:tc>
          <w:tcPr>
            <w:tcW w:w="1731" w:type="dxa"/>
            <w:vAlign w:val="center"/>
          </w:tcPr>
          <w:p w14:paraId="3B59F7DB">
            <w:pPr>
              <w:pStyle w:val="41"/>
              <w:keepNext w:val="0"/>
              <w:keepLines w:val="0"/>
              <w:pageBreakBefore w:val="0"/>
              <w:kinsoku/>
              <w:wordWrap/>
              <w:overflowPunct/>
              <w:topLinePunct w:val="0"/>
              <w:autoSpaceDE/>
              <w:autoSpaceDN/>
              <w:bidi w:val="0"/>
              <w:adjustRightInd w:val="0"/>
              <w:snapToGrid w:val="0"/>
              <w:spacing w:before="0" w:beforeAutospacing="0" w:after="0" w:afterAutospacing="0"/>
              <w:ind w:left="0" w:right="0"/>
              <w:jc w:val="center"/>
              <w:rPr>
                <w:rFonts w:ascii="Times New Roman" w:hAnsi="Times New Roman"/>
                <w:color w:val="auto"/>
                <w:sz w:val="21"/>
                <w:szCs w:val="21"/>
                <w:highlight w:val="none"/>
              </w:rPr>
            </w:pPr>
            <w:r>
              <w:rPr>
                <w:rFonts w:ascii="Times New Roman" w:hAnsi="Times New Roman"/>
                <w:iCs/>
                <w:color w:val="auto"/>
                <w:kern w:val="2"/>
                <w:sz w:val="21"/>
                <w:szCs w:val="21"/>
                <w:highlight w:val="none"/>
              </w:rPr>
              <w:t>顺式-1，2-二氯乙烯</w:t>
            </w:r>
          </w:p>
        </w:tc>
        <w:tc>
          <w:tcPr>
            <w:tcW w:w="4471" w:type="dxa"/>
            <w:vMerge w:val="continue"/>
            <w:vAlign w:val="center"/>
          </w:tcPr>
          <w:p w14:paraId="2D6ECECC">
            <w:pPr>
              <w:keepNext w:val="0"/>
              <w:keepLines w:val="0"/>
              <w:pageBreakBefore w:val="0"/>
              <w:kinsoku/>
              <w:wordWrap/>
              <w:overflowPunct/>
              <w:topLinePunct w:val="0"/>
              <w:autoSpaceDE/>
              <w:autoSpaceDN/>
              <w:bidi w:val="0"/>
              <w:adjustRightInd w:val="0"/>
              <w:snapToGrid w:val="0"/>
              <w:ind w:left="0" w:right="0"/>
              <w:jc w:val="center"/>
              <w:textAlignment w:val="center"/>
              <w:rPr>
                <w:rFonts w:ascii="Times New Roman" w:hAnsi="Times New Roman" w:cs="Times New Roman"/>
                <w:color w:val="auto"/>
                <w:sz w:val="21"/>
                <w:szCs w:val="21"/>
                <w:highlight w:val="none"/>
              </w:rPr>
            </w:pPr>
          </w:p>
        </w:tc>
        <w:tc>
          <w:tcPr>
            <w:tcW w:w="1481" w:type="dxa"/>
            <w:vAlign w:val="center"/>
          </w:tcPr>
          <w:p w14:paraId="52945D4B">
            <w:pPr>
              <w:keepNext w:val="0"/>
              <w:keepLines w:val="0"/>
              <w:pageBreakBefore w:val="0"/>
              <w:kinsoku/>
              <w:wordWrap/>
              <w:overflowPunct/>
              <w:topLinePunct w:val="0"/>
              <w:autoSpaceDE/>
              <w:autoSpaceDN/>
              <w:bidi w:val="0"/>
              <w:adjustRightInd w:val="0"/>
              <w:snapToGrid w:val="0"/>
              <w:ind w:left="0" w:right="0"/>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1.3 ug/kg</w:t>
            </w:r>
          </w:p>
        </w:tc>
      </w:tr>
      <w:tr w14:paraId="303E6E4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821" w:type="dxa"/>
            <w:vMerge w:val="continue"/>
            <w:vAlign w:val="center"/>
          </w:tcPr>
          <w:p w14:paraId="65D31D07">
            <w:pPr>
              <w:keepNext w:val="0"/>
              <w:keepLines w:val="0"/>
              <w:pageBreakBefore w:val="0"/>
              <w:kinsoku/>
              <w:wordWrap/>
              <w:overflowPunct/>
              <w:topLinePunct w:val="0"/>
              <w:autoSpaceDE/>
              <w:autoSpaceDN/>
              <w:bidi w:val="0"/>
              <w:adjustRightInd w:val="0"/>
              <w:snapToGrid w:val="0"/>
              <w:ind w:left="0" w:right="0"/>
              <w:jc w:val="center"/>
              <w:rPr>
                <w:rFonts w:ascii="Times New Roman" w:hAnsi="Times New Roman" w:cs="Times New Roman"/>
                <w:color w:val="auto"/>
                <w:sz w:val="21"/>
                <w:szCs w:val="21"/>
                <w:highlight w:val="none"/>
              </w:rPr>
            </w:pPr>
          </w:p>
        </w:tc>
        <w:tc>
          <w:tcPr>
            <w:tcW w:w="1731" w:type="dxa"/>
            <w:vAlign w:val="center"/>
          </w:tcPr>
          <w:p w14:paraId="18BCEEBE">
            <w:pPr>
              <w:pStyle w:val="41"/>
              <w:keepNext w:val="0"/>
              <w:keepLines w:val="0"/>
              <w:pageBreakBefore w:val="0"/>
              <w:kinsoku/>
              <w:wordWrap/>
              <w:overflowPunct/>
              <w:topLinePunct w:val="0"/>
              <w:autoSpaceDE/>
              <w:autoSpaceDN/>
              <w:bidi w:val="0"/>
              <w:adjustRightInd w:val="0"/>
              <w:snapToGrid w:val="0"/>
              <w:spacing w:before="0" w:beforeAutospacing="0" w:after="0" w:afterAutospacing="0"/>
              <w:ind w:left="0" w:right="0"/>
              <w:jc w:val="center"/>
              <w:rPr>
                <w:rFonts w:ascii="Times New Roman" w:hAnsi="Times New Roman"/>
                <w:color w:val="auto"/>
                <w:sz w:val="21"/>
                <w:szCs w:val="21"/>
                <w:highlight w:val="none"/>
              </w:rPr>
            </w:pPr>
            <w:r>
              <w:rPr>
                <w:rFonts w:ascii="Times New Roman" w:hAnsi="Times New Roman"/>
                <w:iCs/>
                <w:color w:val="auto"/>
                <w:kern w:val="2"/>
                <w:sz w:val="21"/>
                <w:szCs w:val="21"/>
                <w:highlight w:val="none"/>
              </w:rPr>
              <w:t>氯仿</w:t>
            </w:r>
          </w:p>
        </w:tc>
        <w:tc>
          <w:tcPr>
            <w:tcW w:w="4471" w:type="dxa"/>
            <w:vMerge w:val="continue"/>
            <w:vAlign w:val="center"/>
          </w:tcPr>
          <w:p w14:paraId="2037AF7D">
            <w:pPr>
              <w:keepNext w:val="0"/>
              <w:keepLines w:val="0"/>
              <w:pageBreakBefore w:val="0"/>
              <w:kinsoku/>
              <w:wordWrap/>
              <w:overflowPunct/>
              <w:topLinePunct w:val="0"/>
              <w:autoSpaceDE/>
              <w:autoSpaceDN/>
              <w:bidi w:val="0"/>
              <w:adjustRightInd w:val="0"/>
              <w:snapToGrid w:val="0"/>
              <w:ind w:left="0" w:right="0"/>
              <w:jc w:val="center"/>
              <w:textAlignment w:val="center"/>
              <w:rPr>
                <w:rFonts w:ascii="Times New Roman" w:hAnsi="Times New Roman" w:cs="Times New Roman"/>
                <w:color w:val="auto"/>
                <w:sz w:val="21"/>
                <w:szCs w:val="21"/>
                <w:highlight w:val="none"/>
              </w:rPr>
            </w:pPr>
          </w:p>
        </w:tc>
        <w:tc>
          <w:tcPr>
            <w:tcW w:w="1481" w:type="dxa"/>
            <w:vAlign w:val="center"/>
          </w:tcPr>
          <w:p w14:paraId="05B4B2B1">
            <w:pPr>
              <w:keepNext w:val="0"/>
              <w:keepLines w:val="0"/>
              <w:pageBreakBefore w:val="0"/>
              <w:kinsoku/>
              <w:wordWrap/>
              <w:overflowPunct/>
              <w:topLinePunct w:val="0"/>
              <w:autoSpaceDE/>
              <w:autoSpaceDN/>
              <w:bidi w:val="0"/>
              <w:adjustRightInd w:val="0"/>
              <w:snapToGrid w:val="0"/>
              <w:ind w:left="0" w:right="0"/>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1.1 ug/kg</w:t>
            </w:r>
          </w:p>
        </w:tc>
      </w:tr>
      <w:tr w14:paraId="2D54B35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821" w:type="dxa"/>
            <w:vMerge w:val="continue"/>
            <w:vAlign w:val="center"/>
          </w:tcPr>
          <w:p w14:paraId="293D9933">
            <w:pPr>
              <w:keepNext w:val="0"/>
              <w:keepLines w:val="0"/>
              <w:pageBreakBefore w:val="0"/>
              <w:kinsoku/>
              <w:wordWrap/>
              <w:overflowPunct/>
              <w:topLinePunct w:val="0"/>
              <w:autoSpaceDE/>
              <w:autoSpaceDN/>
              <w:bidi w:val="0"/>
              <w:adjustRightInd w:val="0"/>
              <w:snapToGrid w:val="0"/>
              <w:ind w:left="0" w:right="0"/>
              <w:jc w:val="center"/>
              <w:rPr>
                <w:rFonts w:ascii="Times New Roman" w:hAnsi="Times New Roman" w:cs="Times New Roman"/>
                <w:color w:val="auto"/>
                <w:sz w:val="21"/>
                <w:szCs w:val="21"/>
                <w:highlight w:val="none"/>
              </w:rPr>
            </w:pPr>
          </w:p>
        </w:tc>
        <w:tc>
          <w:tcPr>
            <w:tcW w:w="1731" w:type="dxa"/>
            <w:vAlign w:val="center"/>
          </w:tcPr>
          <w:p w14:paraId="770AF1B1">
            <w:pPr>
              <w:pStyle w:val="41"/>
              <w:keepNext w:val="0"/>
              <w:keepLines w:val="0"/>
              <w:pageBreakBefore w:val="0"/>
              <w:kinsoku/>
              <w:wordWrap/>
              <w:overflowPunct/>
              <w:topLinePunct w:val="0"/>
              <w:autoSpaceDE/>
              <w:autoSpaceDN/>
              <w:bidi w:val="0"/>
              <w:adjustRightInd w:val="0"/>
              <w:snapToGrid w:val="0"/>
              <w:spacing w:before="0" w:beforeAutospacing="0" w:after="0" w:afterAutospacing="0"/>
              <w:ind w:left="0" w:right="0"/>
              <w:jc w:val="center"/>
              <w:rPr>
                <w:rFonts w:ascii="Times New Roman" w:hAnsi="Times New Roman"/>
                <w:color w:val="auto"/>
                <w:sz w:val="21"/>
                <w:szCs w:val="21"/>
                <w:highlight w:val="none"/>
              </w:rPr>
            </w:pPr>
            <w:r>
              <w:rPr>
                <w:rFonts w:ascii="Times New Roman" w:hAnsi="Times New Roman"/>
                <w:iCs/>
                <w:color w:val="auto"/>
                <w:kern w:val="2"/>
                <w:sz w:val="21"/>
                <w:szCs w:val="21"/>
                <w:highlight w:val="none"/>
              </w:rPr>
              <w:t>1，1，1-三氯乙烷</w:t>
            </w:r>
          </w:p>
        </w:tc>
        <w:tc>
          <w:tcPr>
            <w:tcW w:w="4471" w:type="dxa"/>
            <w:vMerge w:val="continue"/>
            <w:vAlign w:val="center"/>
          </w:tcPr>
          <w:p w14:paraId="54ED46E8">
            <w:pPr>
              <w:keepNext w:val="0"/>
              <w:keepLines w:val="0"/>
              <w:pageBreakBefore w:val="0"/>
              <w:kinsoku/>
              <w:wordWrap/>
              <w:overflowPunct/>
              <w:topLinePunct w:val="0"/>
              <w:autoSpaceDE/>
              <w:autoSpaceDN/>
              <w:bidi w:val="0"/>
              <w:adjustRightInd w:val="0"/>
              <w:snapToGrid w:val="0"/>
              <w:ind w:left="0" w:right="0"/>
              <w:jc w:val="center"/>
              <w:textAlignment w:val="center"/>
              <w:rPr>
                <w:rFonts w:ascii="Times New Roman" w:hAnsi="Times New Roman" w:cs="Times New Roman"/>
                <w:color w:val="auto"/>
                <w:sz w:val="21"/>
                <w:szCs w:val="21"/>
                <w:highlight w:val="none"/>
              </w:rPr>
            </w:pPr>
          </w:p>
        </w:tc>
        <w:tc>
          <w:tcPr>
            <w:tcW w:w="1481" w:type="dxa"/>
            <w:vAlign w:val="center"/>
          </w:tcPr>
          <w:p w14:paraId="719970D8">
            <w:pPr>
              <w:keepNext w:val="0"/>
              <w:keepLines w:val="0"/>
              <w:pageBreakBefore w:val="0"/>
              <w:kinsoku/>
              <w:wordWrap/>
              <w:overflowPunct/>
              <w:topLinePunct w:val="0"/>
              <w:autoSpaceDE/>
              <w:autoSpaceDN/>
              <w:bidi w:val="0"/>
              <w:adjustRightInd w:val="0"/>
              <w:snapToGrid w:val="0"/>
              <w:ind w:left="0" w:right="0"/>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1.3 ug/kg</w:t>
            </w:r>
          </w:p>
        </w:tc>
      </w:tr>
      <w:tr w14:paraId="585CC5C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821" w:type="dxa"/>
            <w:vMerge w:val="continue"/>
            <w:vAlign w:val="center"/>
          </w:tcPr>
          <w:p w14:paraId="602CF2EF">
            <w:pPr>
              <w:keepNext w:val="0"/>
              <w:keepLines w:val="0"/>
              <w:pageBreakBefore w:val="0"/>
              <w:kinsoku/>
              <w:wordWrap/>
              <w:overflowPunct/>
              <w:topLinePunct w:val="0"/>
              <w:autoSpaceDE/>
              <w:autoSpaceDN/>
              <w:bidi w:val="0"/>
              <w:adjustRightInd w:val="0"/>
              <w:snapToGrid w:val="0"/>
              <w:ind w:left="0" w:right="0"/>
              <w:jc w:val="center"/>
              <w:rPr>
                <w:rFonts w:ascii="Times New Roman" w:hAnsi="Times New Roman" w:cs="Times New Roman"/>
                <w:color w:val="auto"/>
                <w:sz w:val="21"/>
                <w:szCs w:val="21"/>
                <w:highlight w:val="none"/>
              </w:rPr>
            </w:pPr>
          </w:p>
        </w:tc>
        <w:tc>
          <w:tcPr>
            <w:tcW w:w="1731" w:type="dxa"/>
            <w:vAlign w:val="center"/>
          </w:tcPr>
          <w:p w14:paraId="24C257FE">
            <w:pPr>
              <w:pStyle w:val="41"/>
              <w:keepNext w:val="0"/>
              <w:keepLines w:val="0"/>
              <w:pageBreakBefore w:val="0"/>
              <w:kinsoku/>
              <w:wordWrap/>
              <w:overflowPunct/>
              <w:topLinePunct w:val="0"/>
              <w:autoSpaceDE/>
              <w:autoSpaceDN/>
              <w:bidi w:val="0"/>
              <w:adjustRightInd w:val="0"/>
              <w:snapToGrid w:val="0"/>
              <w:spacing w:before="0" w:beforeAutospacing="0" w:after="0" w:afterAutospacing="0"/>
              <w:ind w:left="0" w:right="0"/>
              <w:jc w:val="center"/>
              <w:rPr>
                <w:rFonts w:ascii="Times New Roman" w:hAnsi="Times New Roman"/>
                <w:color w:val="auto"/>
                <w:sz w:val="21"/>
                <w:szCs w:val="21"/>
                <w:highlight w:val="none"/>
              </w:rPr>
            </w:pPr>
            <w:r>
              <w:rPr>
                <w:rFonts w:ascii="Times New Roman" w:hAnsi="Times New Roman"/>
                <w:iCs/>
                <w:color w:val="auto"/>
                <w:kern w:val="2"/>
                <w:sz w:val="21"/>
                <w:szCs w:val="21"/>
                <w:highlight w:val="none"/>
              </w:rPr>
              <w:t>四氯化碳</w:t>
            </w:r>
          </w:p>
        </w:tc>
        <w:tc>
          <w:tcPr>
            <w:tcW w:w="4471" w:type="dxa"/>
            <w:vMerge w:val="continue"/>
            <w:vAlign w:val="center"/>
          </w:tcPr>
          <w:p w14:paraId="26AFE75D">
            <w:pPr>
              <w:keepNext w:val="0"/>
              <w:keepLines w:val="0"/>
              <w:pageBreakBefore w:val="0"/>
              <w:kinsoku/>
              <w:wordWrap/>
              <w:overflowPunct/>
              <w:topLinePunct w:val="0"/>
              <w:autoSpaceDE/>
              <w:autoSpaceDN/>
              <w:bidi w:val="0"/>
              <w:adjustRightInd w:val="0"/>
              <w:snapToGrid w:val="0"/>
              <w:ind w:left="0" w:right="0"/>
              <w:jc w:val="center"/>
              <w:textAlignment w:val="center"/>
              <w:rPr>
                <w:rFonts w:ascii="Times New Roman" w:hAnsi="Times New Roman" w:cs="Times New Roman"/>
                <w:color w:val="auto"/>
                <w:sz w:val="21"/>
                <w:szCs w:val="21"/>
                <w:highlight w:val="none"/>
              </w:rPr>
            </w:pPr>
          </w:p>
        </w:tc>
        <w:tc>
          <w:tcPr>
            <w:tcW w:w="1481" w:type="dxa"/>
            <w:vAlign w:val="center"/>
          </w:tcPr>
          <w:p w14:paraId="77B00BCD">
            <w:pPr>
              <w:keepNext w:val="0"/>
              <w:keepLines w:val="0"/>
              <w:pageBreakBefore w:val="0"/>
              <w:kinsoku/>
              <w:wordWrap/>
              <w:overflowPunct/>
              <w:topLinePunct w:val="0"/>
              <w:autoSpaceDE/>
              <w:autoSpaceDN/>
              <w:bidi w:val="0"/>
              <w:adjustRightInd w:val="0"/>
              <w:snapToGrid w:val="0"/>
              <w:ind w:left="0" w:right="0"/>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1.3 ug/kg</w:t>
            </w:r>
          </w:p>
        </w:tc>
      </w:tr>
      <w:tr w14:paraId="5B3D5AB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821" w:type="dxa"/>
            <w:vMerge w:val="continue"/>
            <w:vAlign w:val="center"/>
          </w:tcPr>
          <w:p w14:paraId="2E27D689">
            <w:pPr>
              <w:keepNext w:val="0"/>
              <w:keepLines w:val="0"/>
              <w:pageBreakBefore w:val="0"/>
              <w:kinsoku/>
              <w:wordWrap/>
              <w:overflowPunct/>
              <w:topLinePunct w:val="0"/>
              <w:autoSpaceDE/>
              <w:autoSpaceDN/>
              <w:bidi w:val="0"/>
              <w:adjustRightInd w:val="0"/>
              <w:snapToGrid w:val="0"/>
              <w:ind w:left="0" w:right="0"/>
              <w:jc w:val="center"/>
              <w:rPr>
                <w:rFonts w:ascii="Times New Roman" w:hAnsi="Times New Roman" w:cs="Times New Roman"/>
                <w:color w:val="auto"/>
                <w:sz w:val="21"/>
                <w:szCs w:val="21"/>
                <w:highlight w:val="none"/>
              </w:rPr>
            </w:pPr>
          </w:p>
        </w:tc>
        <w:tc>
          <w:tcPr>
            <w:tcW w:w="1731" w:type="dxa"/>
            <w:vAlign w:val="center"/>
          </w:tcPr>
          <w:p w14:paraId="38EFF5B3">
            <w:pPr>
              <w:pStyle w:val="41"/>
              <w:keepNext w:val="0"/>
              <w:keepLines w:val="0"/>
              <w:pageBreakBefore w:val="0"/>
              <w:kinsoku/>
              <w:wordWrap/>
              <w:overflowPunct/>
              <w:topLinePunct w:val="0"/>
              <w:autoSpaceDE/>
              <w:autoSpaceDN/>
              <w:bidi w:val="0"/>
              <w:adjustRightInd w:val="0"/>
              <w:snapToGrid w:val="0"/>
              <w:spacing w:before="0" w:beforeAutospacing="0" w:after="0" w:afterAutospacing="0"/>
              <w:ind w:left="0" w:right="0"/>
              <w:jc w:val="center"/>
              <w:rPr>
                <w:rFonts w:ascii="Times New Roman" w:hAnsi="Times New Roman"/>
                <w:color w:val="auto"/>
                <w:sz w:val="21"/>
                <w:szCs w:val="21"/>
                <w:highlight w:val="none"/>
              </w:rPr>
            </w:pPr>
            <w:r>
              <w:rPr>
                <w:rFonts w:ascii="Times New Roman" w:hAnsi="Times New Roman"/>
                <w:iCs/>
                <w:color w:val="auto"/>
                <w:kern w:val="2"/>
                <w:sz w:val="21"/>
                <w:szCs w:val="21"/>
                <w:highlight w:val="none"/>
              </w:rPr>
              <w:t>苯</w:t>
            </w:r>
          </w:p>
        </w:tc>
        <w:tc>
          <w:tcPr>
            <w:tcW w:w="4471" w:type="dxa"/>
            <w:vMerge w:val="continue"/>
            <w:vAlign w:val="center"/>
          </w:tcPr>
          <w:p w14:paraId="15419EB6">
            <w:pPr>
              <w:keepNext w:val="0"/>
              <w:keepLines w:val="0"/>
              <w:pageBreakBefore w:val="0"/>
              <w:kinsoku/>
              <w:wordWrap/>
              <w:overflowPunct/>
              <w:topLinePunct w:val="0"/>
              <w:autoSpaceDE/>
              <w:autoSpaceDN/>
              <w:bidi w:val="0"/>
              <w:adjustRightInd w:val="0"/>
              <w:snapToGrid w:val="0"/>
              <w:ind w:left="0" w:right="0"/>
              <w:jc w:val="center"/>
              <w:textAlignment w:val="center"/>
              <w:rPr>
                <w:rFonts w:ascii="Times New Roman" w:hAnsi="Times New Roman" w:cs="Times New Roman"/>
                <w:color w:val="auto"/>
                <w:sz w:val="21"/>
                <w:szCs w:val="21"/>
                <w:highlight w:val="none"/>
              </w:rPr>
            </w:pPr>
          </w:p>
        </w:tc>
        <w:tc>
          <w:tcPr>
            <w:tcW w:w="1481" w:type="dxa"/>
            <w:vAlign w:val="center"/>
          </w:tcPr>
          <w:p w14:paraId="7374AC63">
            <w:pPr>
              <w:keepNext w:val="0"/>
              <w:keepLines w:val="0"/>
              <w:pageBreakBefore w:val="0"/>
              <w:kinsoku/>
              <w:wordWrap/>
              <w:overflowPunct/>
              <w:topLinePunct w:val="0"/>
              <w:autoSpaceDE/>
              <w:autoSpaceDN/>
              <w:bidi w:val="0"/>
              <w:adjustRightInd w:val="0"/>
              <w:snapToGrid w:val="0"/>
              <w:ind w:left="0" w:right="0"/>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1.9 ug/kg</w:t>
            </w:r>
          </w:p>
        </w:tc>
      </w:tr>
      <w:tr w14:paraId="27626A3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821" w:type="dxa"/>
            <w:vMerge w:val="continue"/>
            <w:vAlign w:val="center"/>
          </w:tcPr>
          <w:p w14:paraId="623CB39D">
            <w:pPr>
              <w:keepNext w:val="0"/>
              <w:keepLines w:val="0"/>
              <w:pageBreakBefore w:val="0"/>
              <w:kinsoku/>
              <w:wordWrap/>
              <w:overflowPunct/>
              <w:topLinePunct w:val="0"/>
              <w:autoSpaceDE/>
              <w:autoSpaceDN/>
              <w:bidi w:val="0"/>
              <w:adjustRightInd w:val="0"/>
              <w:snapToGrid w:val="0"/>
              <w:ind w:left="0" w:right="0"/>
              <w:jc w:val="center"/>
              <w:rPr>
                <w:rFonts w:ascii="Times New Roman" w:hAnsi="Times New Roman" w:cs="Times New Roman"/>
                <w:color w:val="auto"/>
                <w:sz w:val="21"/>
                <w:szCs w:val="21"/>
                <w:highlight w:val="none"/>
              </w:rPr>
            </w:pPr>
          </w:p>
        </w:tc>
        <w:tc>
          <w:tcPr>
            <w:tcW w:w="1731" w:type="dxa"/>
            <w:vAlign w:val="center"/>
          </w:tcPr>
          <w:p w14:paraId="40BF7E79">
            <w:pPr>
              <w:pStyle w:val="41"/>
              <w:keepNext w:val="0"/>
              <w:keepLines w:val="0"/>
              <w:pageBreakBefore w:val="0"/>
              <w:kinsoku/>
              <w:wordWrap/>
              <w:overflowPunct/>
              <w:topLinePunct w:val="0"/>
              <w:autoSpaceDE/>
              <w:autoSpaceDN/>
              <w:bidi w:val="0"/>
              <w:adjustRightInd w:val="0"/>
              <w:snapToGrid w:val="0"/>
              <w:spacing w:before="0" w:beforeAutospacing="0" w:after="0" w:afterAutospacing="0"/>
              <w:ind w:left="0" w:right="0"/>
              <w:jc w:val="center"/>
              <w:rPr>
                <w:rFonts w:ascii="Times New Roman" w:hAnsi="Times New Roman"/>
                <w:color w:val="auto"/>
                <w:sz w:val="21"/>
                <w:szCs w:val="21"/>
                <w:highlight w:val="none"/>
              </w:rPr>
            </w:pPr>
            <w:r>
              <w:rPr>
                <w:rFonts w:ascii="Times New Roman" w:hAnsi="Times New Roman"/>
                <w:iCs/>
                <w:color w:val="auto"/>
                <w:kern w:val="2"/>
                <w:sz w:val="21"/>
                <w:szCs w:val="21"/>
                <w:highlight w:val="none"/>
              </w:rPr>
              <w:t>1，2-二氯乙烷</w:t>
            </w:r>
          </w:p>
        </w:tc>
        <w:tc>
          <w:tcPr>
            <w:tcW w:w="4471" w:type="dxa"/>
            <w:vMerge w:val="continue"/>
            <w:vAlign w:val="center"/>
          </w:tcPr>
          <w:p w14:paraId="72778BAC">
            <w:pPr>
              <w:keepNext w:val="0"/>
              <w:keepLines w:val="0"/>
              <w:pageBreakBefore w:val="0"/>
              <w:kinsoku/>
              <w:wordWrap/>
              <w:overflowPunct/>
              <w:topLinePunct w:val="0"/>
              <w:autoSpaceDE/>
              <w:autoSpaceDN/>
              <w:bidi w:val="0"/>
              <w:adjustRightInd w:val="0"/>
              <w:snapToGrid w:val="0"/>
              <w:ind w:left="0" w:right="0"/>
              <w:jc w:val="center"/>
              <w:textAlignment w:val="center"/>
              <w:rPr>
                <w:rFonts w:ascii="Times New Roman" w:hAnsi="Times New Roman" w:cs="Times New Roman"/>
                <w:color w:val="auto"/>
                <w:sz w:val="21"/>
                <w:szCs w:val="21"/>
                <w:highlight w:val="none"/>
              </w:rPr>
            </w:pPr>
          </w:p>
        </w:tc>
        <w:tc>
          <w:tcPr>
            <w:tcW w:w="1481" w:type="dxa"/>
            <w:vAlign w:val="center"/>
          </w:tcPr>
          <w:p w14:paraId="526FE4D5">
            <w:pPr>
              <w:keepNext w:val="0"/>
              <w:keepLines w:val="0"/>
              <w:pageBreakBefore w:val="0"/>
              <w:kinsoku/>
              <w:wordWrap/>
              <w:overflowPunct/>
              <w:topLinePunct w:val="0"/>
              <w:autoSpaceDE/>
              <w:autoSpaceDN/>
              <w:bidi w:val="0"/>
              <w:adjustRightInd w:val="0"/>
              <w:snapToGrid w:val="0"/>
              <w:ind w:left="0" w:right="0"/>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1.3 ug/kg</w:t>
            </w:r>
          </w:p>
        </w:tc>
      </w:tr>
      <w:tr w14:paraId="4ACCF26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821" w:type="dxa"/>
            <w:vMerge w:val="continue"/>
            <w:vAlign w:val="center"/>
          </w:tcPr>
          <w:p w14:paraId="62840811">
            <w:pPr>
              <w:keepNext w:val="0"/>
              <w:keepLines w:val="0"/>
              <w:pageBreakBefore w:val="0"/>
              <w:kinsoku/>
              <w:wordWrap/>
              <w:overflowPunct/>
              <w:topLinePunct w:val="0"/>
              <w:autoSpaceDE/>
              <w:autoSpaceDN/>
              <w:bidi w:val="0"/>
              <w:adjustRightInd w:val="0"/>
              <w:snapToGrid w:val="0"/>
              <w:ind w:left="0" w:right="0"/>
              <w:jc w:val="center"/>
              <w:rPr>
                <w:rFonts w:ascii="Times New Roman" w:hAnsi="Times New Roman" w:cs="Times New Roman"/>
                <w:color w:val="auto"/>
                <w:sz w:val="21"/>
                <w:szCs w:val="21"/>
                <w:highlight w:val="none"/>
              </w:rPr>
            </w:pPr>
          </w:p>
        </w:tc>
        <w:tc>
          <w:tcPr>
            <w:tcW w:w="1731" w:type="dxa"/>
            <w:vAlign w:val="center"/>
          </w:tcPr>
          <w:p w14:paraId="1BF33F17">
            <w:pPr>
              <w:pStyle w:val="41"/>
              <w:keepNext w:val="0"/>
              <w:keepLines w:val="0"/>
              <w:pageBreakBefore w:val="0"/>
              <w:kinsoku/>
              <w:wordWrap/>
              <w:overflowPunct/>
              <w:topLinePunct w:val="0"/>
              <w:autoSpaceDE/>
              <w:autoSpaceDN/>
              <w:bidi w:val="0"/>
              <w:adjustRightInd w:val="0"/>
              <w:snapToGrid w:val="0"/>
              <w:spacing w:before="0" w:beforeAutospacing="0" w:after="0" w:afterAutospacing="0"/>
              <w:ind w:left="0" w:right="0"/>
              <w:jc w:val="center"/>
              <w:rPr>
                <w:rFonts w:ascii="Times New Roman" w:hAnsi="Times New Roman"/>
                <w:color w:val="auto"/>
                <w:sz w:val="21"/>
                <w:szCs w:val="21"/>
                <w:highlight w:val="none"/>
              </w:rPr>
            </w:pPr>
            <w:r>
              <w:rPr>
                <w:rFonts w:ascii="Times New Roman" w:hAnsi="Times New Roman"/>
                <w:iCs/>
                <w:color w:val="auto"/>
                <w:kern w:val="2"/>
                <w:sz w:val="21"/>
                <w:szCs w:val="21"/>
                <w:highlight w:val="none"/>
              </w:rPr>
              <w:t>三氯乙烯</w:t>
            </w:r>
          </w:p>
        </w:tc>
        <w:tc>
          <w:tcPr>
            <w:tcW w:w="4471" w:type="dxa"/>
            <w:vMerge w:val="continue"/>
            <w:vAlign w:val="center"/>
          </w:tcPr>
          <w:p w14:paraId="41122650">
            <w:pPr>
              <w:keepNext w:val="0"/>
              <w:keepLines w:val="0"/>
              <w:pageBreakBefore w:val="0"/>
              <w:kinsoku/>
              <w:wordWrap/>
              <w:overflowPunct/>
              <w:topLinePunct w:val="0"/>
              <w:autoSpaceDE/>
              <w:autoSpaceDN/>
              <w:bidi w:val="0"/>
              <w:adjustRightInd w:val="0"/>
              <w:snapToGrid w:val="0"/>
              <w:ind w:left="0" w:right="0"/>
              <w:jc w:val="center"/>
              <w:textAlignment w:val="center"/>
              <w:rPr>
                <w:rFonts w:ascii="Times New Roman" w:hAnsi="Times New Roman" w:cs="Times New Roman"/>
                <w:color w:val="auto"/>
                <w:sz w:val="21"/>
                <w:szCs w:val="21"/>
                <w:highlight w:val="none"/>
              </w:rPr>
            </w:pPr>
          </w:p>
        </w:tc>
        <w:tc>
          <w:tcPr>
            <w:tcW w:w="1481" w:type="dxa"/>
            <w:vAlign w:val="center"/>
          </w:tcPr>
          <w:p w14:paraId="1A56B330">
            <w:pPr>
              <w:keepNext w:val="0"/>
              <w:keepLines w:val="0"/>
              <w:pageBreakBefore w:val="0"/>
              <w:kinsoku/>
              <w:wordWrap/>
              <w:overflowPunct/>
              <w:topLinePunct w:val="0"/>
              <w:autoSpaceDE/>
              <w:autoSpaceDN/>
              <w:bidi w:val="0"/>
              <w:adjustRightInd w:val="0"/>
              <w:snapToGrid w:val="0"/>
              <w:ind w:left="0" w:right="0"/>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1.2 ug/kg</w:t>
            </w:r>
          </w:p>
        </w:tc>
      </w:tr>
      <w:tr w14:paraId="3A5E58B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821" w:type="dxa"/>
            <w:vMerge w:val="continue"/>
            <w:vAlign w:val="center"/>
          </w:tcPr>
          <w:p w14:paraId="062D0C2A">
            <w:pPr>
              <w:keepNext w:val="0"/>
              <w:keepLines w:val="0"/>
              <w:pageBreakBefore w:val="0"/>
              <w:kinsoku/>
              <w:wordWrap/>
              <w:overflowPunct/>
              <w:topLinePunct w:val="0"/>
              <w:autoSpaceDE/>
              <w:autoSpaceDN/>
              <w:bidi w:val="0"/>
              <w:adjustRightInd w:val="0"/>
              <w:snapToGrid w:val="0"/>
              <w:ind w:left="0" w:right="0"/>
              <w:jc w:val="center"/>
              <w:rPr>
                <w:rFonts w:ascii="Times New Roman" w:hAnsi="Times New Roman" w:cs="Times New Roman"/>
                <w:color w:val="auto"/>
                <w:sz w:val="21"/>
                <w:szCs w:val="21"/>
                <w:highlight w:val="none"/>
              </w:rPr>
            </w:pPr>
          </w:p>
        </w:tc>
        <w:tc>
          <w:tcPr>
            <w:tcW w:w="1731" w:type="dxa"/>
            <w:vAlign w:val="center"/>
          </w:tcPr>
          <w:p w14:paraId="09BD85D5">
            <w:pPr>
              <w:pStyle w:val="41"/>
              <w:keepNext w:val="0"/>
              <w:keepLines w:val="0"/>
              <w:pageBreakBefore w:val="0"/>
              <w:kinsoku/>
              <w:wordWrap/>
              <w:overflowPunct/>
              <w:topLinePunct w:val="0"/>
              <w:autoSpaceDE/>
              <w:autoSpaceDN/>
              <w:bidi w:val="0"/>
              <w:adjustRightInd w:val="0"/>
              <w:snapToGrid w:val="0"/>
              <w:spacing w:before="0" w:beforeAutospacing="0" w:after="0" w:afterAutospacing="0"/>
              <w:ind w:left="0" w:right="0"/>
              <w:jc w:val="center"/>
              <w:rPr>
                <w:rFonts w:ascii="Times New Roman" w:hAnsi="Times New Roman"/>
                <w:color w:val="auto"/>
                <w:sz w:val="21"/>
                <w:szCs w:val="21"/>
                <w:highlight w:val="none"/>
              </w:rPr>
            </w:pPr>
            <w:r>
              <w:rPr>
                <w:rFonts w:ascii="Times New Roman" w:hAnsi="Times New Roman"/>
                <w:iCs/>
                <w:color w:val="auto"/>
                <w:kern w:val="2"/>
                <w:sz w:val="21"/>
                <w:szCs w:val="21"/>
                <w:highlight w:val="none"/>
              </w:rPr>
              <w:t>1，2-二氯丙烷</w:t>
            </w:r>
          </w:p>
        </w:tc>
        <w:tc>
          <w:tcPr>
            <w:tcW w:w="4471" w:type="dxa"/>
            <w:vMerge w:val="continue"/>
            <w:vAlign w:val="center"/>
          </w:tcPr>
          <w:p w14:paraId="2BC0A874">
            <w:pPr>
              <w:keepNext w:val="0"/>
              <w:keepLines w:val="0"/>
              <w:pageBreakBefore w:val="0"/>
              <w:kinsoku/>
              <w:wordWrap/>
              <w:overflowPunct/>
              <w:topLinePunct w:val="0"/>
              <w:autoSpaceDE/>
              <w:autoSpaceDN/>
              <w:bidi w:val="0"/>
              <w:adjustRightInd w:val="0"/>
              <w:snapToGrid w:val="0"/>
              <w:ind w:left="0" w:right="0"/>
              <w:jc w:val="center"/>
              <w:textAlignment w:val="center"/>
              <w:rPr>
                <w:rFonts w:ascii="Times New Roman" w:hAnsi="Times New Roman" w:cs="Times New Roman"/>
                <w:color w:val="auto"/>
                <w:sz w:val="21"/>
                <w:szCs w:val="21"/>
                <w:highlight w:val="none"/>
              </w:rPr>
            </w:pPr>
          </w:p>
        </w:tc>
        <w:tc>
          <w:tcPr>
            <w:tcW w:w="1481" w:type="dxa"/>
            <w:vAlign w:val="center"/>
          </w:tcPr>
          <w:p w14:paraId="67222934">
            <w:pPr>
              <w:keepNext w:val="0"/>
              <w:keepLines w:val="0"/>
              <w:pageBreakBefore w:val="0"/>
              <w:kinsoku/>
              <w:wordWrap/>
              <w:overflowPunct/>
              <w:topLinePunct w:val="0"/>
              <w:autoSpaceDE/>
              <w:autoSpaceDN/>
              <w:bidi w:val="0"/>
              <w:adjustRightInd w:val="0"/>
              <w:snapToGrid w:val="0"/>
              <w:ind w:left="0" w:right="0"/>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1.1 ug/kg</w:t>
            </w:r>
          </w:p>
        </w:tc>
      </w:tr>
      <w:tr w14:paraId="4FB9225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821" w:type="dxa"/>
            <w:vMerge w:val="continue"/>
            <w:vAlign w:val="center"/>
          </w:tcPr>
          <w:p w14:paraId="6C861F9F">
            <w:pPr>
              <w:keepNext w:val="0"/>
              <w:keepLines w:val="0"/>
              <w:pageBreakBefore w:val="0"/>
              <w:kinsoku/>
              <w:wordWrap/>
              <w:overflowPunct/>
              <w:topLinePunct w:val="0"/>
              <w:autoSpaceDE/>
              <w:autoSpaceDN/>
              <w:bidi w:val="0"/>
              <w:adjustRightInd w:val="0"/>
              <w:snapToGrid w:val="0"/>
              <w:ind w:left="0" w:right="0"/>
              <w:jc w:val="center"/>
              <w:rPr>
                <w:rFonts w:ascii="Times New Roman" w:hAnsi="Times New Roman" w:cs="Times New Roman"/>
                <w:color w:val="auto"/>
                <w:sz w:val="21"/>
                <w:szCs w:val="21"/>
                <w:highlight w:val="none"/>
              </w:rPr>
            </w:pPr>
          </w:p>
        </w:tc>
        <w:tc>
          <w:tcPr>
            <w:tcW w:w="1731" w:type="dxa"/>
            <w:vAlign w:val="center"/>
          </w:tcPr>
          <w:p w14:paraId="64C28F0E">
            <w:pPr>
              <w:pStyle w:val="41"/>
              <w:keepNext w:val="0"/>
              <w:keepLines w:val="0"/>
              <w:pageBreakBefore w:val="0"/>
              <w:kinsoku/>
              <w:wordWrap/>
              <w:overflowPunct/>
              <w:topLinePunct w:val="0"/>
              <w:autoSpaceDE/>
              <w:autoSpaceDN/>
              <w:bidi w:val="0"/>
              <w:adjustRightInd w:val="0"/>
              <w:snapToGrid w:val="0"/>
              <w:spacing w:before="0" w:beforeAutospacing="0" w:after="0" w:afterAutospacing="0"/>
              <w:ind w:left="0" w:right="0"/>
              <w:jc w:val="center"/>
              <w:rPr>
                <w:rFonts w:ascii="Times New Roman" w:hAnsi="Times New Roman"/>
                <w:color w:val="auto"/>
                <w:sz w:val="21"/>
                <w:szCs w:val="21"/>
                <w:highlight w:val="none"/>
              </w:rPr>
            </w:pPr>
            <w:r>
              <w:rPr>
                <w:rFonts w:ascii="Times New Roman" w:hAnsi="Times New Roman"/>
                <w:iCs/>
                <w:color w:val="auto"/>
                <w:kern w:val="2"/>
                <w:sz w:val="21"/>
                <w:szCs w:val="21"/>
                <w:highlight w:val="none"/>
              </w:rPr>
              <w:t>一溴二氯甲烷</w:t>
            </w:r>
          </w:p>
        </w:tc>
        <w:tc>
          <w:tcPr>
            <w:tcW w:w="4471" w:type="dxa"/>
            <w:vMerge w:val="continue"/>
            <w:vAlign w:val="center"/>
          </w:tcPr>
          <w:p w14:paraId="0DE92995">
            <w:pPr>
              <w:keepNext w:val="0"/>
              <w:keepLines w:val="0"/>
              <w:pageBreakBefore w:val="0"/>
              <w:kinsoku/>
              <w:wordWrap/>
              <w:overflowPunct/>
              <w:topLinePunct w:val="0"/>
              <w:autoSpaceDE/>
              <w:autoSpaceDN/>
              <w:bidi w:val="0"/>
              <w:adjustRightInd w:val="0"/>
              <w:snapToGrid w:val="0"/>
              <w:ind w:left="0" w:right="0"/>
              <w:jc w:val="center"/>
              <w:textAlignment w:val="center"/>
              <w:rPr>
                <w:rFonts w:ascii="Times New Roman" w:hAnsi="Times New Roman" w:cs="Times New Roman"/>
                <w:color w:val="auto"/>
                <w:sz w:val="21"/>
                <w:szCs w:val="21"/>
                <w:highlight w:val="none"/>
              </w:rPr>
            </w:pPr>
          </w:p>
        </w:tc>
        <w:tc>
          <w:tcPr>
            <w:tcW w:w="1481" w:type="dxa"/>
            <w:vAlign w:val="center"/>
          </w:tcPr>
          <w:p w14:paraId="2D5853C2">
            <w:pPr>
              <w:keepNext w:val="0"/>
              <w:keepLines w:val="0"/>
              <w:pageBreakBefore w:val="0"/>
              <w:kinsoku/>
              <w:wordWrap/>
              <w:overflowPunct/>
              <w:topLinePunct w:val="0"/>
              <w:autoSpaceDE/>
              <w:autoSpaceDN/>
              <w:bidi w:val="0"/>
              <w:adjustRightInd w:val="0"/>
              <w:snapToGrid w:val="0"/>
              <w:ind w:left="0" w:right="0"/>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1.1 ug/kg</w:t>
            </w:r>
          </w:p>
        </w:tc>
      </w:tr>
      <w:tr w14:paraId="53D3E27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821" w:type="dxa"/>
            <w:vMerge w:val="continue"/>
            <w:vAlign w:val="center"/>
          </w:tcPr>
          <w:p w14:paraId="6579FC3F">
            <w:pPr>
              <w:keepNext w:val="0"/>
              <w:keepLines w:val="0"/>
              <w:pageBreakBefore w:val="0"/>
              <w:kinsoku/>
              <w:wordWrap/>
              <w:overflowPunct/>
              <w:topLinePunct w:val="0"/>
              <w:autoSpaceDE/>
              <w:autoSpaceDN/>
              <w:bidi w:val="0"/>
              <w:adjustRightInd w:val="0"/>
              <w:snapToGrid w:val="0"/>
              <w:ind w:left="0" w:right="0"/>
              <w:jc w:val="center"/>
              <w:rPr>
                <w:rFonts w:ascii="Times New Roman" w:hAnsi="Times New Roman" w:cs="Times New Roman"/>
                <w:color w:val="auto"/>
                <w:sz w:val="21"/>
                <w:szCs w:val="21"/>
                <w:highlight w:val="none"/>
              </w:rPr>
            </w:pPr>
          </w:p>
        </w:tc>
        <w:tc>
          <w:tcPr>
            <w:tcW w:w="1731" w:type="dxa"/>
            <w:vAlign w:val="center"/>
          </w:tcPr>
          <w:p w14:paraId="45EF13E3">
            <w:pPr>
              <w:pStyle w:val="41"/>
              <w:keepNext w:val="0"/>
              <w:keepLines w:val="0"/>
              <w:pageBreakBefore w:val="0"/>
              <w:kinsoku/>
              <w:wordWrap/>
              <w:overflowPunct/>
              <w:topLinePunct w:val="0"/>
              <w:autoSpaceDE/>
              <w:autoSpaceDN/>
              <w:bidi w:val="0"/>
              <w:adjustRightInd w:val="0"/>
              <w:snapToGrid w:val="0"/>
              <w:spacing w:before="0" w:beforeAutospacing="0" w:after="0" w:afterAutospacing="0"/>
              <w:ind w:left="0" w:right="0"/>
              <w:jc w:val="center"/>
              <w:rPr>
                <w:rFonts w:ascii="Times New Roman" w:hAnsi="Times New Roman"/>
                <w:color w:val="auto"/>
                <w:sz w:val="21"/>
                <w:szCs w:val="21"/>
                <w:highlight w:val="none"/>
              </w:rPr>
            </w:pPr>
            <w:r>
              <w:rPr>
                <w:rFonts w:ascii="Times New Roman" w:hAnsi="Times New Roman"/>
                <w:iCs/>
                <w:color w:val="auto"/>
                <w:kern w:val="2"/>
                <w:sz w:val="21"/>
                <w:szCs w:val="21"/>
                <w:highlight w:val="none"/>
              </w:rPr>
              <w:t>甲苯</w:t>
            </w:r>
          </w:p>
        </w:tc>
        <w:tc>
          <w:tcPr>
            <w:tcW w:w="4471" w:type="dxa"/>
            <w:vMerge w:val="continue"/>
            <w:vAlign w:val="center"/>
          </w:tcPr>
          <w:p w14:paraId="26B9C84E">
            <w:pPr>
              <w:keepNext w:val="0"/>
              <w:keepLines w:val="0"/>
              <w:pageBreakBefore w:val="0"/>
              <w:kinsoku/>
              <w:wordWrap/>
              <w:overflowPunct/>
              <w:topLinePunct w:val="0"/>
              <w:autoSpaceDE/>
              <w:autoSpaceDN/>
              <w:bidi w:val="0"/>
              <w:adjustRightInd w:val="0"/>
              <w:snapToGrid w:val="0"/>
              <w:ind w:left="0" w:right="0"/>
              <w:jc w:val="center"/>
              <w:textAlignment w:val="center"/>
              <w:rPr>
                <w:rFonts w:ascii="Times New Roman" w:hAnsi="Times New Roman" w:cs="Times New Roman"/>
                <w:color w:val="auto"/>
                <w:sz w:val="21"/>
                <w:szCs w:val="21"/>
                <w:highlight w:val="none"/>
              </w:rPr>
            </w:pPr>
          </w:p>
        </w:tc>
        <w:tc>
          <w:tcPr>
            <w:tcW w:w="1481" w:type="dxa"/>
            <w:vAlign w:val="center"/>
          </w:tcPr>
          <w:p w14:paraId="595EB996">
            <w:pPr>
              <w:keepNext w:val="0"/>
              <w:keepLines w:val="0"/>
              <w:pageBreakBefore w:val="0"/>
              <w:kinsoku/>
              <w:wordWrap/>
              <w:overflowPunct/>
              <w:topLinePunct w:val="0"/>
              <w:autoSpaceDE/>
              <w:autoSpaceDN/>
              <w:bidi w:val="0"/>
              <w:adjustRightInd w:val="0"/>
              <w:snapToGrid w:val="0"/>
              <w:ind w:left="0" w:right="0"/>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1.3 ug/kg</w:t>
            </w:r>
          </w:p>
        </w:tc>
      </w:tr>
      <w:tr w14:paraId="5447851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821" w:type="dxa"/>
            <w:vMerge w:val="continue"/>
            <w:vAlign w:val="center"/>
          </w:tcPr>
          <w:p w14:paraId="6F76AF49">
            <w:pPr>
              <w:keepNext w:val="0"/>
              <w:keepLines w:val="0"/>
              <w:pageBreakBefore w:val="0"/>
              <w:kinsoku/>
              <w:wordWrap/>
              <w:overflowPunct/>
              <w:topLinePunct w:val="0"/>
              <w:autoSpaceDE/>
              <w:autoSpaceDN/>
              <w:bidi w:val="0"/>
              <w:adjustRightInd w:val="0"/>
              <w:snapToGrid w:val="0"/>
              <w:ind w:left="0" w:right="0"/>
              <w:jc w:val="center"/>
              <w:rPr>
                <w:rFonts w:ascii="Times New Roman" w:hAnsi="Times New Roman" w:cs="Times New Roman"/>
                <w:color w:val="auto"/>
                <w:sz w:val="21"/>
                <w:szCs w:val="21"/>
                <w:highlight w:val="none"/>
              </w:rPr>
            </w:pPr>
          </w:p>
        </w:tc>
        <w:tc>
          <w:tcPr>
            <w:tcW w:w="1731" w:type="dxa"/>
            <w:vAlign w:val="center"/>
          </w:tcPr>
          <w:p w14:paraId="5A13CF2B">
            <w:pPr>
              <w:pStyle w:val="41"/>
              <w:keepNext w:val="0"/>
              <w:keepLines w:val="0"/>
              <w:pageBreakBefore w:val="0"/>
              <w:kinsoku/>
              <w:wordWrap/>
              <w:overflowPunct/>
              <w:topLinePunct w:val="0"/>
              <w:autoSpaceDE/>
              <w:autoSpaceDN/>
              <w:bidi w:val="0"/>
              <w:adjustRightInd w:val="0"/>
              <w:snapToGrid w:val="0"/>
              <w:spacing w:before="0" w:beforeAutospacing="0" w:after="0" w:afterAutospacing="0"/>
              <w:ind w:left="0" w:right="0"/>
              <w:jc w:val="center"/>
              <w:rPr>
                <w:rFonts w:ascii="Times New Roman" w:hAnsi="Times New Roman"/>
                <w:color w:val="auto"/>
                <w:sz w:val="21"/>
                <w:szCs w:val="21"/>
                <w:highlight w:val="none"/>
              </w:rPr>
            </w:pPr>
            <w:r>
              <w:rPr>
                <w:rFonts w:ascii="Times New Roman" w:hAnsi="Times New Roman"/>
                <w:iCs/>
                <w:color w:val="auto"/>
                <w:kern w:val="2"/>
                <w:sz w:val="21"/>
                <w:szCs w:val="21"/>
                <w:highlight w:val="none"/>
              </w:rPr>
              <w:t>1，1，2-三氯乙烷</w:t>
            </w:r>
          </w:p>
        </w:tc>
        <w:tc>
          <w:tcPr>
            <w:tcW w:w="4471" w:type="dxa"/>
            <w:vMerge w:val="continue"/>
            <w:vAlign w:val="center"/>
          </w:tcPr>
          <w:p w14:paraId="1AF75D24">
            <w:pPr>
              <w:keepNext w:val="0"/>
              <w:keepLines w:val="0"/>
              <w:pageBreakBefore w:val="0"/>
              <w:kinsoku/>
              <w:wordWrap/>
              <w:overflowPunct/>
              <w:topLinePunct w:val="0"/>
              <w:autoSpaceDE/>
              <w:autoSpaceDN/>
              <w:bidi w:val="0"/>
              <w:adjustRightInd w:val="0"/>
              <w:snapToGrid w:val="0"/>
              <w:ind w:left="0" w:right="0"/>
              <w:jc w:val="center"/>
              <w:textAlignment w:val="center"/>
              <w:rPr>
                <w:rFonts w:ascii="Times New Roman" w:hAnsi="Times New Roman" w:cs="Times New Roman"/>
                <w:color w:val="auto"/>
                <w:sz w:val="21"/>
                <w:szCs w:val="21"/>
                <w:highlight w:val="none"/>
              </w:rPr>
            </w:pPr>
          </w:p>
        </w:tc>
        <w:tc>
          <w:tcPr>
            <w:tcW w:w="1481" w:type="dxa"/>
            <w:vAlign w:val="center"/>
          </w:tcPr>
          <w:p w14:paraId="48617114">
            <w:pPr>
              <w:keepNext w:val="0"/>
              <w:keepLines w:val="0"/>
              <w:pageBreakBefore w:val="0"/>
              <w:kinsoku/>
              <w:wordWrap/>
              <w:overflowPunct/>
              <w:topLinePunct w:val="0"/>
              <w:autoSpaceDE/>
              <w:autoSpaceDN/>
              <w:bidi w:val="0"/>
              <w:adjustRightInd w:val="0"/>
              <w:snapToGrid w:val="0"/>
              <w:ind w:left="0" w:right="0"/>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1.2 ug/kg</w:t>
            </w:r>
          </w:p>
        </w:tc>
      </w:tr>
      <w:tr w14:paraId="0EBAACB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821" w:type="dxa"/>
            <w:vMerge w:val="continue"/>
            <w:vAlign w:val="center"/>
          </w:tcPr>
          <w:p w14:paraId="39B76B95">
            <w:pPr>
              <w:keepNext w:val="0"/>
              <w:keepLines w:val="0"/>
              <w:pageBreakBefore w:val="0"/>
              <w:kinsoku/>
              <w:wordWrap/>
              <w:overflowPunct/>
              <w:topLinePunct w:val="0"/>
              <w:autoSpaceDE/>
              <w:autoSpaceDN/>
              <w:bidi w:val="0"/>
              <w:adjustRightInd w:val="0"/>
              <w:snapToGrid w:val="0"/>
              <w:ind w:left="0" w:right="0"/>
              <w:jc w:val="center"/>
              <w:rPr>
                <w:rFonts w:ascii="Times New Roman" w:hAnsi="Times New Roman" w:cs="Times New Roman"/>
                <w:color w:val="auto"/>
                <w:sz w:val="21"/>
                <w:szCs w:val="21"/>
                <w:highlight w:val="none"/>
              </w:rPr>
            </w:pPr>
          </w:p>
        </w:tc>
        <w:tc>
          <w:tcPr>
            <w:tcW w:w="1731" w:type="dxa"/>
            <w:vAlign w:val="center"/>
          </w:tcPr>
          <w:p w14:paraId="0E338DCA">
            <w:pPr>
              <w:pStyle w:val="41"/>
              <w:keepNext w:val="0"/>
              <w:keepLines w:val="0"/>
              <w:pageBreakBefore w:val="0"/>
              <w:kinsoku/>
              <w:wordWrap/>
              <w:overflowPunct/>
              <w:topLinePunct w:val="0"/>
              <w:autoSpaceDE/>
              <w:autoSpaceDN/>
              <w:bidi w:val="0"/>
              <w:adjustRightInd w:val="0"/>
              <w:snapToGrid w:val="0"/>
              <w:spacing w:before="0" w:beforeAutospacing="0" w:after="0" w:afterAutospacing="0"/>
              <w:ind w:left="0" w:right="0"/>
              <w:jc w:val="center"/>
              <w:rPr>
                <w:rFonts w:ascii="Times New Roman" w:hAnsi="Times New Roman"/>
                <w:color w:val="auto"/>
                <w:sz w:val="21"/>
                <w:szCs w:val="21"/>
                <w:highlight w:val="none"/>
              </w:rPr>
            </w:pPr>
            <w:r>
              <w:rPr>
                <w:rFonts w:ascii="Times New Roman" w:hAnsi="Times New Roman"/>
                <w:iCs/>
                <w:color w:val="auto"/>
                <w:kern w:val="2"/>
                <w:sz w:val="21"/>
                <w:szCs w:val="21"/>
                <w:highlight w:val="none"/>
              </w:rPr>
              <w:t>四氯乙烯</w:t>
            </w:r>
          </w:p>
        </w:tc>
        <w:tc>
          <w:tcPr>
            <w:tcW w:w="4471" w:type="dxa"/>
            <w:vMerge w:val="continue"/>
            <w:vAlign w:val="center"/>
          </w:tcPr>
          <w:p w14:paraId="5D5E1F84">
            <w:pPr>
              <w:keepNext w:val="0"/>
              <w:keepLines w:val="0"/>
              <w:pageBreakBefore w:val="0"/>
              <w:kinsoku/>
              <w:wordWrap/>
              <w:overflowPunct/>
              <w:topLinePunct w:val="0"/>
              <w:autoSpaceDE/>
              <w:autoSpaceDN/>
              <w:bidi w:val="0"/>
              <w:adjustRightInd w:val="0"/>
              <w:snapToGrid w:val="0"/>
              <w:ind w:left="0" w:right="0"/>
              <w:jc w:val="center"/>
              <w:textAlignment w:val="center"/>
              <w:rPr>
                <w:rFonts w:ascii="Times New Roman" w:hAnsi="Times New Roman" w:cs="Times New Roman"/>
                <w:color w:val="auto"/>
                <w:sz w:val="21"/>
                <w:szCs w:val="21"/>
                <w:highlight w:val="none"/>
              </w:rPr>
            </w:pPr>
          </w:p>
        </w:tc>
        <w:tc>
          <w:tcPr>
            <w:tcW w:w="1481" w:type="dxa"/>
            <w:vAlign w:val="center"/>
          </w:tcPr>
          <w:p w14:paraId="4F758796">
            <w:pPr>
              <w:keepNext w:val="0"/>
              <w:keepLines w:val="0"/>
              <w:pageBreakBefore w:val="0"/>
              <w:kinsoku/>
              <w:wordWrap/>
              <w:overflowPunct/>
              <w:topLinePunct w:val="0"/>
              <w:autoSpaceDE/>
              <w:autoSpaceDN/>
              <w:bidi w:val="0"/>
              <w:adjustRightInd w:val="0"/>
              <w:snapToGrid w:val="0"/>
              <w:ind w:left="0" w:right="0"/>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1.4 ug/kg</w:t>
            </w:r>
          </w:p>
        </w:tc>
      </w:tr>
      <w:tr w14:paraId="7604F99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821" w:type="dxa"/>
            <w:vMerge w:val="continue"/>
            <w:vAlign w:val="center"/>
          </w:tcPr>
          <w:p w14:paraId="5484E104">
            <w:pPr>
              <w:keepNext w:val="0"/>
              <w:keepLines w:val="0"/>
              <w:pageBreakBefore w:val="0"/>
              <w:kinsoku/>
              <w:wordWrap/>
              <w:overflowPunct/>
              <w:topLinePunct w:val="0"/>
              <w:autoSpaceDE/>
              <w:autoSpaceDN/>
              <w:bidi w:val="0"/>
              <w:adjustRightInd w:val="0"/>
              <w:snapToGrid w:val="0"/>
              <w:ind w:left="0" w:right="0"/>
              <w:jc w:val="center"/>
              <w:rPr>
                <w:rFonts w:ascii="Times New Roman" w:hAnsi="Times New Roman" w:cs="Times New Roman"/>
                <w:color w:val="auto"/>
                <w:sz w:val="21"/>
                <w:szCs w:val="21"/>
                <w:highlight w:val="none"/>
              </w:rPr>
            </w:pPr>
          </w:p>
        </w:tc>
        <w:tc>
          <w:tcPr>
            <w:tcW w:w="1731" w:type="dxa"/>
            <w:vAlign w:val="center"/>
          </w:tcPr>
          <w:p w14:paraId="6F877144">
            <w:pPr>
              <w:pStyle w:val="41"/>
              <w:keepNext w:val="0"/>
              <w:keepLines w:val="0"/>
              <w:pageBreakBefore w:val="0"/>
              <w:kinsoku/>
              <w:wordWrap/>
              <w:overflowPunct/>
              <w:topLinePunct w:val="0"/>
              <w:autoSpaceDE/>
              <w:autoSpaceDN/>
              <w:bidi w:val="0"/>
              <w:adjustRightInd w:val="0"/>
              <w:snapToGrid w:val="0"/>
              <w:spacing w:before="0" w:beforeAutospacing="0" w:after="0" w:afterAutospacing="0"/>
              <w:ind w:left="0" w:right="0"/>
              <w:jc w:val="center"/>
              <w:rPr>
                <w:rFonts w:ascii="Times New Roman" w:hAnsi="Times New Roman"/>
                <w:color w:val="auto"/>
                <w:sz w:val="21"/>
                <w:szCs w:val="21"/>
                <w:highlight w:val="none"/>
              </w:rPr>
            </w:pPr>
            <w:r>
              <w:rPr>
                <w:rFonts w:ascii="Times New Roman" w:hAnsi="Times New Roman"/>
                <w:iCs/>
                <w:color w:val="auto"/>
                <w:kern w:val="2"/>
                <w:sz w:val="21"/>
                <w:szCs w:val="21"/>
                <w:highlight w:val="none"/>
              </w:rPr>
              <w:t>二溴氯甲烷</w:t>
            </w:r>
          </w:p>
        </w:tc>
        <w:tc>
          <w:tcPr>
            <w:tcW w:w="4471" w:type="dxa"/>
            <w:vMerge w:val="continue"/>
            <w:vAlign w:val="center"/>
          </w:tcPr>
          <w:p w14:paraId="20110C9D">
            <w:pPr>
              <w:keepNext w:val="0"/>
              <w:keepLines w:val="0"/>
              <w:pageBreakBefore w:val="0"/>
              <w:kinsoku/>
              <w:wordWrap/>
              <w:overflowPunct/>
              <w:topLinePunct w:val="0"/>
              <w:autoSpaceDE/>
              <w:autoSpaceDN/>
              <w:bidi w:val="0"/>
              <w:adjustRightInd w:val="0"/>
              <w:snapToGrid w:val="0"/>
              <w:ind w:left="0" w:right="0"/>
              <w:jc w:val="center"/>
              <w:textAlignment w:val="center"/>
              <w:rPr>
                <w:rFonts w:ascii="Times New Roman" w:hAnsi="Times New Roman" w:cs="Times New Roman"/>
                <w:color w:val="auto"/>
                <w:sz w:val="21"/>
                <w:szCs w:val="21"/>
                <w:highlight w:val="none"/>
              </w:rPr>
            </w:pPr>
          </w:p>
        </w:tc>
        <w:tc>
          <w:tcPr>
            <w:tcW w:w="1481" w:type="dxa"/>
            <w:vAlign w:val="center"/>
          </w:tcPr>
          <w:p w14:paraId="055EE77A">
            <w:pPr>
              <w:keepNext w:val="0"/>
              <w:keepLines w:val="0"/>
              <w:pageBreakBefore w:val="0"/>
              <w:kinsoku/>
              <w:wordWrap/>
              <w:overflowPunct/>
              <w:topLinePunct w:val="0"/>
              <w:autoSpaceDE/>
              <w:autoSpaceDN/>
              <w:bidi w:val="0"/>
              <w:adjustRightInd w:val="0"/>
              <w:snapToGrid w:val="0"/>
              <w:ind w:left="0" w:right="0"/>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1.1 ug/kg</w:t>
            </w:r>
          </w:p>
        </w:tc>
      </w:tr>
      <w:tr w14:paraId="390D9CB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821" w:type="dxa"/>
            <w:vMerge w:val="continue"/>
            <w:vAlign w:val="center"/>
          </w:tcPr>
          <w:p w14:paraId="49E13FA8">
            <w:pPr>
              <w:keepNext w:val="0"/>
              <w:keepLines w:val="0"/>
              <w:pageBreakBefore w:val="0"/>
              <w:kinsoku/>
              <w:wordWrap/>
              <w:overflowPunct/>
              <w:topLinePunct w:val="0"/>
              <w:autoSpaceDE/>
              <w:autoSpaceDN/>
              <w:bidi w:val="0"/>
              <w:adjustRightInd w:val="0"/>
              <w:snapToGrid w:val="0"/>
              <w:ind w:left="0" w:right="0"/>
              <w:jc w:val="center"/>
              <w:rPr>
                <w:rFonts w:ascii="Times New Roman" w:hAnsi="Times New Roman" w:cs="Times New Roman"/>
                <w:color w:val="auto"/>
                <w:sz w:val="21"/>
                <w:szCs w:val="21"/>
                <w:highlight w:val="none"/>
              </w:rPr>
            </w:pPr>
          </w:p>
        </w:tc>
        <w:tc>
          <w:tcPr>
            <w:tcW w:w="1731" w:type="dxa"/>
            <w:vAlign w:val="center"/>
          </w:tcPr>
          <w:p w14:paraId="252BB4A5">
            <w:pPr>
              <w:pStyle w:val="41"/>
              <w:keepNext w:val="0"/>
              <w:keepLines w:val="0"/>
              <w:pageBreakBefore w:val="0"/>
              <w:kinsoku/>
              <w:wordWrap/>
              <w:overflowPunct/>
              <w:topLinePunct w:val="0"/>
              <w:autoSpaceDE/>
              <w:autoSpaceDN/>
              <w:bidi w:val="0"/>
              <w:adjustRightInd w:val="0"/>
              <w:snapToGrid w:val="0"/>
              <w:spacing w:before="0" w:beforeAutospacing="0" w:after="0" w:afterAutospacing="0"/>
              <w:ind w:left="0" w:right="0"/>
              <w:jc w:val="center"/>
              <w:rPr>
                <w:rFonts w:ascii="Times New Roman" w:hAnsi="Times New Roman"/>
                <w:color w:val="auto"/>
                <w:sz w:val="21"/>
                <w:szCs w:val="21"/>
                <w:highlight w:val="none"/>
              </w:rPr>
            </w:pPr>
            <w:r>
              <w:rPr>
                <w:rFonts w:ascii="Times New Roman" w:hAnsi="Times New Roman"/>
                <w:iCs/>
                <w:color w:val="auto"/>
                <w:kern w:val="2"/>
                <w:sz w:val="21"/>
                <w:szCs w:val="21"/>
                <w:highlight w:val="none"/>
              </w:rPr>
              <w:t>1，2-二溴乙烷</w:t>
            </w:r>
          </w:p>
        </w:tc>
        <w:tc>
          <w:tcPr>
            <w:tcW w:w="4471" w:type="dxa"/>
            <w:vMerge w:val="continue"/>
            <w:vAlign w:val="center"/>
          </w:tcPr>
          <w:p w14:paraId="20FA1FC3">
            <w:pPr>
              <w:keepNext w:val="0"/>
              <w:keepLines w:val="0"/>
              <w:pageBreakBefore w:val="0"/>
              <w:kinsoku/>
              <w:wordWrap/>
              <w:overflowPunct/>
              <w:topLinePunct w:val="0"/>
              <w:autoSpaceDE/>
              <w:autoSpaceDN/>
              <w:bidi w:val="0"/>
              <w:adjustRightInd w:val="0"/>
              <w:snapToGrid w:val="0"/>
              <w:ind w:left="0" w:right="0"/>
              <w:jc w:val="center"/>
              <w:textAlignment w:val="center"/>
              <w:rPr>
                <w:rFonts w:ascii="Times New Roman" w:hAnsi="Times New Roman" w:cs="Times New Roman"/>
                <w:color w:val="auto"/>
                <w:sz w:val="21"/>
                <w:szCs w:val="21"/>
                <w:highlight w:val="none"/>
              </w:rPr>
            </w:pPr>
          </w:p>
        </w:tc>
        <w:tc>
          <w:tcPr>
            <w:tcW w:w="1481" w:type="dxa"/>
            <w:vAlign w:val="center"/>
          </w:tcPr>
          <w:p w14:paraId="18B16FC6">
            <w:pPr>
              <w:keepNext w:val="0"/>
              <w:keepLines w:val="0"/>
              <w:pageBreakBefore w:val="0"/>
              <w:kinsoku/>
              <w:wordWrap/>
              <w:overflowPunct/>
              <w:topLinePunct w:val="0"/>
              <w:autoSpaceDE/>
              <w:autoSpaceDN/>
              <w:bidi w:val="0"/>
              <w:adjustRightInd w:val="0"/>
              <w:snapToGrid w:val="0"/>
              <w:ind w:left="0" w:right="0"/>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1.1 ug/kg</w:t>
            </w:r>
          </w:p>
        </w:tc>
      </w:tr>
      <w:tr w14:paraId="21F0591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821" w:type="dxa"/>
            <w:vMerge w:val="continue"/>
            <w:vAlign w:val="center"/>
          </w:tcPr>
          <w:p w14:paraId="026D3074">
            <w:pPr>
              <w:keepNext w:val="0"/>
              <w:keepLines w:val="0"/>
              <w:pageBreakBefore w:val="0"/>
              <w:kinsoku/>
              <w:wordWrap/>
              <w:overflowPunct/>
              <w:topLinePunct w:val="0"/>
              <w:autoSpaceDE/>
              <w:autoSpaceDN/>
              <w:bidi w:val="0"/>
              <w:adjustRightInd w:val="0"/>
              <w:snapToGrid w:val="0"/>
              <w:ind w:left="0" w:right="0"/>
              <w:jc w:val="center"/>
              <w:rPr>
                <w:rFonts w:ascii="Times New Roman" w:hAnsi="Times New Roman" w:cs="Times New Roman"/>
                <w:color w:val="auto"/>
                <w:sz w:val="21"/>
                <w:szCs w:val="21"/>
                <w:highlight w:val="none"/>
              </w:rPr>
            </w:pPr>
          </w:p>
        </w:tc>
        <w:tc>
          <w:tcPr>
            <w:tcW w:w="1731" w:type="dxa"/>
            <w:vAlign w:val="center"/>
          </w:tcPr>
          <w:p w14:paraId="6CF058DF">
            <w:pPr>
              <w:pStyle w:val="41"/>
              <w:keepNext w:val="0"/>
              <w:keepLines w:val="0"/>
              <w:pageBreakBefore w:val="0"/>
              <w:kinsoku/>
              <w:wordWrap/>
              <w:overflowPunct/>
              <w:topLinePunct w:val="0"/>
              <w:autoSpaceDE/>
              <w:autoSpaceDN/>
              <w:bidi w:val="0"/>
              <w:adjustRightInd w:val="0"/>
              <w:snapToGrid w:val="0"/>
              <w:spacing w:before="0" w:beforeAutospacing="0" w:after="0" w:afterAutospacing="0"/>
              <w:ind w:left="0" w:right="0"/>
              <w:jc w:val="center"/>
              <w:rPr>
                <w:rFonts w:ascii="Times New Roman" w:hAnsi="Times New Roman"/>
                <w:color w:val="auto"/>
                <w:sz w:val="21"/>
                <w:szCs w:val="21"/>
                <w:highlight w:val="none"/>
              </w:rPr>
            </w:pPr>
            <w:r>
              <w:rPr>
                <w:rFonts w:ascii="Times New Roman" w:hAnsi="Times New Roman"/>
                <w:iCs/>
                <w:color w:val="auto"/>
                <w:kern w:val="2"/>
                <w:sz w:val="21"/>
                <w:szCs w:val="21"/>
                <w:highlight w:val="none"/>
              </w:rPr>
              <w:t>氯苯</w:t>
            </w:r>
          </w:p>
        </w:tc>
        <w:tc>
          <w:tcPr>
            <w:tcW w:w="4471" w:type="dxa"/>
            <w:vMerge w:val="continue"/>
            <w:vAlign w:val="center"/>
          </w:tcPr>
          <w:p w14:paraId="09BFD8CF">
            <w:pPr>
              <w:keepNext w:val="0"/>
              <w:keepLines w:val="0"/>
              <w:pageBreakBefore w:val="0"/>
              <w:kinsoku/>
              <w:wordWrap/>
              <w:overflowPunct/>
              <w:topLinePunct w:val="0"/>
              <w:autoSpaceDE/>
              <w:autoSpaceDN/>
              <w:bidi w:val="0"/>
              <w:adjustRightInd w:val="0"/>
              <w:snapToGrid w:val="0"/>
              <w:ind w:left="0" w:right="0"/>
              <w:jc w:val="center"/>
              <w:textAlignment w:val="center"/>
              <w:rPr>
                <w:rFonts w:ascii="Times New Roman" w:hAnsi="Times New Roman" w:cs="Times New Roman"/>
                <w:color w:val="auto"/>
                <w:sz w:val="21"/>
                <w:szCs w:val="21"/>
                <w:highlight w:val="none"/>
              </w:rPr>
            </w:pPr>
          </w:p>
        </w:tc>
        <w:tc>
          <w:tcPr>
            <w:tcW w:w="1481" w:type="dxa"/>
            <w:vAlign w:val="center"/>
          </w:tcPr>
          <w:p w14:paraId="5E17D1E4">
            <w:pPr>
              <w:keepNext w:val="0"/>
              <w:keepLines w:val="0"/>
              <w:pageBreakBefore w:val="0"/>
              <w:kinsoku/>
              <w:wordWrap/>
              <w:overflowPunct/>
              <w:topLinePunct w:val="0"/>
              <w:autoSpaceDE/>
              <w:autoSpaceDN/>
              <w:bidi w:val="0"/>
              <w:adjustRightInd w:val="0"/>
              <w:snapToGrid w:val="0"/>
              <w:ind w:left="0" w:right="0"/>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1.2 ug/kg</w:t>
            </w:r>
          </w:p>
        </w:tc>
      </w:tr>
      <w:tr w14:paraId="187E68F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821" w:type="dxa"/>
            <w:vMerge w:val="continue"/>
            <w:vAlign w:val="center"/>
          </w:tcPr>
          <w:p w14:paraId="6D9C4709">
            <w:pPr>
              <w:keepNext w:val="0"/>
              <w:keepLines w:val="0"/>
              <w:pageBreakBefore w:val="0"/>
              <w:kinsoku/>
              <w:wordWrap/>
              <w:overflowPunct/>
              <w:topLinePunct w:val="0"/>
              <w:autoSpaceDE/>
              <w:autoSpaceDN/>
              <w:bidi w:val="0"/>
              <w:adjustRightInd w:val="0"/>
              <w:snapToGrid w:val="0"/>
              <w:ind w:left="0" w:right="0"/>
              <w:jc w:val="center"/>
              <w:rPr>
                <w:rFonts w:ascii="Times New Roman" w:hAnsi="Times New Roman" w:cs="Times New Roman"/>
                <w:color w:val="auto"/>
                <w:sz w:val="21"/>
                <w:szCs w:val="21"/>
                <w:highlight w:val="none"/>
              </w:rPr>
            </w:pPr>
          </w:p>
        </w:tc>
        <w:tc>
          <w:tcPr>
            <w:tcW w:w="1731" w:type="dxa"/>
            <w:vAlign w:val="center"/>
          </w:tcPr>
          <w:p w14:paraId="41971F06">
            <w:pPr>
              <w:pStyle w:val="41"/>
              <w:keepNext w:val="0"/>
              <w:keepLines w:val="0"/>
              <w:pageBreakBefore w:val="0"/>
              <w:kinsoku/>
              <w:wordWrap/>
              <w:overflowPunct/>
              <w:topLinePunct w:val="0"/>
              <w:autoSpaceDE/>
              <w:autoSpaceDN/>
              <w:bidi w:val="0"/>
              <w:adjustRightInd w:val="0"/>
              <w:snapToGrid w:val="0"/>
              <w:spacing w:before="0" w:beforeAutospacing="0" w:after="0" w:afterAutospacing="0"/>
              <w:ind w:left="0" w:right="0"/>
              <w:jc w:val="center"/>
              <w:rPr>
                <w:rFonts w:ascii="Times New Roman" w:hAnsi="Times New Roman"/>
                <w:color w:val="auto"/>
                <w:sz w:val="21"/>
                <w:szCs w:val="21"/>
                <w:highlight w:val="none"/>
              </w:rPr>
            </w:pPr>
            <w:r>
              <w:rPr>
                <w:rFonts w:ascii="Times New Roman" w:hAnsi="Times New Roman"/>
                <w:iCs/>
                <w:color w:val="auto"/>
                <w:kern w:val="2"/>
                <w:sz w:val="21"/>
                <w:szCs w:val="21"/>
                <w:highlight w:val="none"/>
              </w:rPr>
              <w:t>1，1，1，2-四氯乙烷</w:t>
            </w:r>
          </w:p>
        </w:tc>
        <w:tc>
          <w:tcPr>
            <w:tcW w:w="4471" w:type="dxa"/>
            <w:vMerge w:val="continue"/>
            <w:vAlign w:val="center"/>
          </w:tcPr>
          <w:p w14:paraId="2F70339F">
            <w:pPr>
              <w:keepNext w:val="0"/>
              <w:keepLines w:val="0"/>
              <w:pageBreakBefore w:val="0"/>
              <w:kinsoku/>
              <w:wordWrap/>
              <w:overflowPunct/>
              <w:topLinePunct w:val="0"/>
              <w:autoSpaceDE/>
              <w:autoSpaceDN/>
              <w:bidi w:val="0"/>
              <w:adjustRightInd w:val="0"/>
              <w:snapToGrid w:val="0"/>
              <w:ind w:left="0" w:right="0"/>
              <w:jc w:val="center"/>
              <w:textAlignment w:val="center"/>
              <w:rPr>
                <w:rFonts w:ascii="Times New Roman" w:hAnsi="Times New Roman" w:cs="Times New Roman"/>
                <w:color w:val="auto"/>
                <w:sz w:val="21"/>
                <w:szCs w:val="21"/>
                <w:highlight w:val="none"/>
              </w:rPr>
            </w:pPr>
          </w:p>
        </w:tc>
        <w:tc>
          <w:tcPr>
            <w:tcW w:w="1481" w:type="dxa"/>
            <w:vAlign w:val="center"/>
          </w:tcPr>
          <w:p w14:paraId="2EC5D3B1">
            <w:pPr>
              <w:keepNext w:val="0"/>
              <w:keepLines w:val="0"/>
              <w:pageBreakBefore w:val="0"/>
              <w:kinsoku/>
              <w:wordWrap/>
              <w:overflowPunct/>
              <w:topLinePunct w:val="0"/>
              <w:autoSpaceDE/>
              <w:autoSpaceDN/>
              <w:bidi w:val="0"/>
              <w:adjustRightInd w:val="0"/>
              <w:snapToGrid w:val="0"/>
              <w:ind w:left="0" w:right="0"/>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1.2 ug/kg</w:t>
            </w:r>
          </w:p>
        </w:tc>
      </w:tr>
      <w:tr w14:paraId="508E49E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821" w:type="dxa"/>
            <w:vMerge w:val="continue"/>
            <w:vAlign w:val="center"/>
          </w:tcPr>
          <w:p w14:paraId="0E71FAFB">
            <w:pPr>
              <w:keepNext w:val="0"/>
              <w:keepLines w:val="0"/>
              <w:pageBreakBefore w:val="0"/>
              <w:kinsoku/>
              <w:wordWrap/>
              <w:overflowPunct/>
              <w:topLinePunct w:val="0"/>
              <w:autoSpaceDE/>
              <w:autoSpaceDN/>
              <w:bidi w:val="0"/>
              <w:adjustRightInd w:val="0"/>
              <w:snapToGrid w:val="0"/>
              <w:ind w:left="0" w:right="0"/>
              <w:jc w:val="center"/>
              <w:rPr>
                <w:rFonts w:ascii="Times New Roman" w:hAnsi="Times New Roman" w:cs="Times New Roman"/>
                <w:color w:val="auto"/>
                <w:sz w:val="21"/>
                <w:szCs w:val="21"/>
                <w:highlight w:val="none"/>
              </w:rPr>
            </w:pPr>
          </w:p>
        </w:tc>
        <w:tc>
          <w:tcPr>
            <w:tcW w:w="1731" w:type="dxa"/>
            <w:vAlign w:val="center"/>
          </w:tcPr>
          <w:p w14:paraId="7099A787">
            <w:pPr>
              <w:pStyle w:val="41"/>
              <w:keepNext w:val="0"/>
              <w:keepLines w:val="0"/>
              <w:pageBreakBefore w:val="0"/>
              <w:kinsoku/>
              <w:wordWrap/>
              <w:overflowPunct/>
              <w:topLinePunct w:val="0"/>
              <w:autoSpaceDE/>
              <w:autoSpaceDN/>
              <w:bidi w:val="0"/>
              <w:adjustRightInd w:val="0"/>
              <w:snapToGrid w:val="0"/>
              <w:spacing w:before="0" w:beforeAutospacing="0" w:after="0" w:afterAutospacing="0"/>
              <w:ind w:left="0" w:right="0"/>
              <w:jc w:val="center"/>
              <w:rPr>
                <w:rFonts w:ascii="Times New Roman" w:hAnsi="Times New Roman"/>
                <w:color w:val="auto"/>
                <w:sz w:val="21"/>
                <w:szCs w:val="21"/>
                <w:highlight w:val="none"/>
              </w:rPr>
            </w:pPr>
            <w:r>
              <w:rPr>
                <w:rFonts w:ascii="Times New Roman" w:hAnsi="Times New Roman"/>
                <w:iCs/>
                <w:color w:val="auto"/>
                <w:kern w:val="2"/>
                <w:sz w:val="21"/>
                <w:szCs w:val="21"/>
                <w:highlight w:val="none"/>
              </w:rPr>
              <w:t>乙苯</w:t>
            </w:r>
          </w:p>
        </w:tc>
        <w:tc>
          <w:tcPr>
            <w:tcW w:w="4471" w:type="dxa"/>
            <w:vMerge w:val="continue"/>
            <w:vAlign w:val="center"/>
          </w:tcPr>
          <w:p w14:paraId="63F7BC6E">
            <w:pPr>
              <w:keepNext w:val="0"/>
              <w:keepLines w:val="0"/>
              <w:pageBreakBefore w:val="0"/>
              <w:kinsoku/>
              <w:wordWrap/>
              <w:overflowPunct/>
              <w:topLinePunct w:val="0"/>
              <w:autoSpaceDE/>
              <w:autoSpaceDN/>
              <w:bidi w:val="0"/>
              <w:adjustRightInd w:val="0"/>
              <w:snapToGrid w:val="0"/>
              <w:ind w:left="0" w:right="0"/>
              <w:jc w:val="center"/>
              <w:textAlignment w:val="center"/>
              <w:rPr>
                <w:rFonts w:ascii="Times New Roman" w:hAnsi="Times New Roman" w:cs="Times New Roman"/>
                <w:color w:val="auto"/>
                <w:sz w:val="21"/>
                <w:szCs w:val="21"/>
                <w:highlight w:val="none"/>
              </w:rPr>
            </w:pPr>
          </w:p>
        </w:tc>
        <w:tc>
          <w:tcPr>
            <w:tcW w:w="1481" w:type="dxa"/>
            <w:vAlign w:val="center"/>
          </w:tcPr>
          <w:p w14:paraId="1D5C4DBD">
            <w:pPr>
              <w:keepNext w:val="0"/>
              <w:keepLines w:val="0"/>
              <w:pageBreakBefore w:val="0"/>
              <w:kinsoku/>
              <w:wordWrap/>
              <w:overflowPunct/>
              <w:topLinePunct w:val="0"/>
              <w:autoSpaceDE/>
              <w:autoSpaceDN/>
              <w:bidi w:val="0"/>
              <w:adjustRightInd w:val="0"/>
              <w:snapToGrid w:val="0"/>
              <w:ind w:left="0" w:right="0"/>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1.2 ug/kg</w:t>
            </w:r>
          </w:p>
        </w:tc>
      </w:tr>
      <w:tr w14:paraId="30CF5BC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821" w:type="dxa"/>
            <w:vMerge w:val="continue"/>
            <w:vAlign w:val="center"/>
          </w:tcPr>
          <w:p w14:paraId="1E68E25A">
            <w:pPr>
              <w:keepNext w:val="0"/>
              <w:keepLines w:val="0"/>
              <w:pageBreakBefore w:val="0"/>
              <w:kinsoku/>
              <w:wordWrap/>
              <w:overflowPunct/>
              <w:topLinePunct w:val="0"/>
              <w:autoSpaceDE/>
              <w:autoSpaceDN/>
              <w:bidi w:val="0"/>
              <w:adjustRightInd w:val="0"/>
              <w:snapToGrid w:val="0"/>
              <w:ind w:left="0" w:right="0"/>
              <w:jc w:val="center"/>
              <w:rPr>
                <w:rFonts w:ascii="Times New Roman" w:hAnsi="Times New Roman" w:cs="Times New Roman"/>
                <w:color w:val="auto"/>
                <w:sz w:val="21"/>
                <w:szCs w:val="21"/>
                <w:highlight w:val="none"/>
              </w:rPr>
            </w:pPr>
          </w:p>
        </w:tc>
        <w:tc>
          <w:tcPr>
            <w:tcW w:w="1731" w:type="dxa"/>
            <w:vAlign w:val="center"/>
          </w:tcPr>
          <w:p w14:paraId="6392096D">
            <w:pPr>
              <w:pStyle w:val="41"/>
              <w:keepNext w:val="0"/>
              <w:keepLines w:val="0"/>
              <w:pageBreakBefore w:val="0"/>
              <w:kinsoku/>
              <w:wordWrap/>
              <w:overflowPunct/>
              <w:topLinePunct w:val="0"/>
              <w:autoSpaceDE/>
              <w:autoSpaceDN/>
              <w:bidi w:val="0"/>
              <w:adjustRightInd w:val="0"/>
              <w:snapToGrid w:val="0"/>
              <w:spacing w:before="0" w:beforeAutospacing="0" w:after="0" w:afterAutospacing="0"/>
              <w:ind w:left="0" w:right="0"/>
              <w:jc w:val="center"/>
              <w:rPr>
                <w:rFonts w:ascii="Times New Roman" w:hAnsi="Times New Roman"/>
                <w:color w:val="auto"/>
                <w:sz w:val="21"/>
                <w:szCs w:val="21"/>
                <w:highlight w:val="none"/>
              </w:rPr>
            </w:pPr>
            <w:r>
              <w:rPr>
                <w:rFonts w:ascii="Times New Roman" w:hAnsi="Times New Roman"/>
                <w:iCs/>
                <w:color w:val="auto"/>
                <w:kern w:val="2"/>
                <w:sz w:val="21"/>
                <w:szCs w:val="21"/>
                <w:highlight w:val="none"/>
              </w:rPr>
              <w:t>间，对-二甲苯</w:t>
            </w:r>
          </w:p>
        </w:tc>
        <w:tc>
          <w:tcPr>
            <w:tcW w:w="4471" w:type="dxa"/>
            <w:vMerge w:val="continue"/>
            <w:vAlign w:val="center"/>
          </w:tcPr>
          <w:p w14:paraId="79019106">
            <w:pPr>
              <w:keepNext w:val="0"/>
              <w:keepLines w:val="0"/>
              <w:pageBreakBefore w:val="0"/>
              <w:kinsoku/>
              <w:wordWrap/>
              <w:overflowPunct/>
              <w:topLinePunct w:val="0"/>
              <w:autoSpaceDE/>
              <w:autoSpaceDN/>
              <w:bidi w:val="0"/>
              <w:adjustRightInd w:val="0"/>
              <w:snapToGrid w:val="0"/>
              <w:ind w:left="0" w:right="0"/>
              <w:jc w:val="center"/>
              <w:textAlignment w:val="center"/>
              <w:rPr>
                <w:rFonts w:ascii="Times New Roman" w:hAnsi="Times New Roman" w:cs="Times New Roman"/>
                <w:color w:val="auto"/>
                <w:sz w:val="21"/>
                <w:szCs w:val="21"/>
                <w:highlight w:val="none"/>
              </w:rPr>
            </w:pPr>
          </w:p>
        </w:tc>
        <w:tc>
          <w:tcPr>
            <w:tcW w:w="1481" w:type="dxa"/>
            <w:vAlign w:val="center"/>
          </w:tcPr>
          <w:p w14:paraId="767FA4A7">
            <w:pPr>
              <w:keepNext w:val="0"/>
              <w:keepLines w:val="0"/>
              <w:pageBreakBefore w:val="0"/>
              <w:kinsoku/>
              <w:wordWrap/>
              <w:overflowPunct/>
              <w:topLinePunct w:val="0"/>
              <w:autoSpaceDE/>
              <w:autoSpaceDN/>
              <w:bidi w:val="0"/>
              <w:adjustRightInd w:val="0"/>
              <w:snapToGrid w:val="0"/>
              <w:ind w:left="0" w:right="0"/>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1.2 ug/kg</w:t>
            </w:r>
          </w:p>
        </w:tc>
      </w:tr>
      <w:tr w14:paraId="25B254E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821" w:type="dxa"/>
            <w:vMerge w:val="continue"/>
            <w:vAlign w:val="center"/>
          </w:tcPr>
          <w:p w14:paraId="74F31635">
            <w:pPr>
              <w:keepNext w:val="0"/>
              <w:keepLines w:val="0"/>
              <w:pageBreakBefore w:val="0"/>
              <w:kinsoku/>
              <w:wordWrap/>
              <w:overflowPunct/>
              <w:topLinePunct w:val="0"/>
              <w:autoSpaceDE/>
              <w:autoSpaceDN/>
              <w:bidi w:val="0"/>
              <w:adjustRightInd w:val="0"/>
              <w:snapToGrid w:val="0"/>
              <w:ind w:left="0" w:right="0"/>
              <w:jc w:val="center"/>
              <w:rPr>
                <w:rFonts w:ascii="Times New Roman" w:hAnsi="Times New Roman" w:cs="Times New Roman"/>
                <w:color w:val="auto"/>
                <w:sz w:val="21"/>
                <w:szCs w:val="21"/>
                <w:highlight w:val="none"/>
              </w:rPr>
            </w:pPr>
          </w:p>
        </w:tc>
        <w:tc>
          <w:tcPr>
            <w:tcW w:w="1731" w:type="dxa"/>
            <w:vAlign w:val="center"/>
          </w:tcPr>
          <w:p w14:paraId="7BC31384">
            <w:pPr>
              <w:pStyle w:val="41"/>
              <w:keepNext w:val="0"/>
              <w:keepLines w:val="0"/>
              <w:pageBreakBefore w:val="0"/>
              <w:kinsoku/>
              <w:wordWrap/>
              <w:overflowPunct/>
              <w:topLinePunct w:val="0"/>
              <w:autoSpaceDE/>
              <w:autoSpaceDN/>
              <w:bidi w:val="0"/>
              <w:adjustRightInd w:val="0"/>
              <w:snapToGrid w:val="0"/>
              <w:spacing w:before="0" w:beforeAutospacing="0" w:after="0" w:afterAutospacing="0"/>
              <w:ind w:left="0" w:right="0"/>
              <w:jc w:val="center"/>
              <w:rPr>
                <w:rFonts w:ascii="Times New Roman" w:hAnsi="Times New Roman"/>
                <w:color w:val="auto"/>
                <w:sz w:val="21"/>
                <w:szCs w:val="21"/>
                <w:highlight w:val="none"/>
              </w:rPr>
            </w:pPr>
            <w:r>
              <w:rPr>
                <w:rFonts w:ascii="Times New Roman" w:hAnsi="Times New Roman"/>
                <w:iCs/>
                <w:color w:val="auto"/>
                <w:kern w:val="2"/>
                <w:sz w:val="21"/>
                <w:szCs w:val="21"/>
                <w:highlight w:val="none"/>
              </w:rPr>
              <w:t>邻-二甲苯</w:t>
            </w:r>
          </w:p>
        </w:tc>
        <w:tc>
          <w:tcPr>
            <w:tcW w:w="4471" w:type="dxa"/>
            <w:vMerge w:val="continue"/>
            <w:vAlign w:val="center"/>
          </w:tcPr>
          <w:p w14:paraId="76675940">
            <w:pPr>
              <w:keepNext w:val="0"/>
              <w:keepLines w:val="0"/>
              <w:pageBreakBefore w:val="0"/>
              <w:kinsoku/>
              <w:wordWrap/>
              <w:overflowPunct/>
              <w:topLinePunct w:val="0"/>
              <w:autoSpaceDE/>
              <w:autoSpaceDN/>
              <w:bidi w:val="0"/>
              <w:adjustRightInd w:val="0"/>
              <w:snapToGrid w:val="0"/>
              <w:ind w:left="0" w:right="0"/>
              <w:jc w:val="center"/>
              <w:textAlignment w:val="center"/>
              <w:rPr>
                <w:rFonts w:ascii="Times New Roman" w:hAnsi="Times New Roman" w:cs="Times New Roman"/>
                <w:color w:val="auto"/>
                <w:sz w:val="21"/>
                <w:szCs w:val="21"/>
                <w:highlight w:val="none"/>
              </w:rPr>
            </w:pPr>
          </w:p>
        </w:tc>
        <w:tc>
          <w:tcPr>
            <w:tcW w:w="1481" w:type="dxa"/>
            <w:vAlign w:val="center"/>
          </w:tcPr>
          <w:p w14:paraId="4D3492C3">
            <w:pPr>
              <w:keepNext w:val="0"/>
              <w:keepLines w:val="0"/>
              <w:pageBreakBefore w:val="0"/>
              <w:kinsoku/>
              <w:wordWrap/>
              <w:overflowPunct/>
              <w:topLinePunct w:val="0"/>
              <w:autoSpaceDE/>
              <w:autoSpaceDN/>
              <w:bidi w:val="0"/>
              <w:adjustRightInd w:val="0"/>
              <w:snapToGrid w:val="0"/>
              <w:ind w:left="0" w:right="0"/>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1.2 ug/kg</w:t>
            </w:r>
          </w:p>
        </w:tc>
      </w:tr>
      <w:tr w14:paraId="31B0B9D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821" w:type="dxa"/>
            <w:vMerge w:val="continue"/>
            <w:vAlign w:val="center"/>
          </w:tcPr>
          <w:p w14:paraId="2273E8E3">
            <w:pPr>
              <w:keepNext w:val="0"/>
              <w:keepLines w:val="0"/>
              <w:pageBreakBefore w:val="0"/>
              <w:kinsoku/>
              <w:wordWrap/>
              <w:overflowPunct/>
              <w:topLinePunct w:val="0"/>
              <w:autoSpaceDE/>
              <w:autoSpaceDN/>
              <w:bidi w:val="0"/>
              <w:adjustRightInd w:val="0"/>
              <w:snapToGrid w:val="0"/>
              <w:ind w:left="0" w:right="0"/>
              <w:jc w:val="center"/>
              <w:rPr>
                <w:rFonts w:ascii="Times New Roman" w:hAnsi="Times New Roman" w:cs="Times New Roman"/>
                <w:color w:val="auto"/>
                <w:sz w:val="21"/>
                <w:szCs w:val="21"/>
                <w:highlight w:val="none"/>
              </w:rPr>
            </w:pPr>
          </w:p>
        </w:tc>
        <w:tc>
          <w:tcPr>
            <w:tcW w:w="1731" w:type="dxa"/>
            <w:vAlign w:val="center"/>
          </w:tcPr>
          <w:p w14:paraId="6B81D291">
            <w:pPr>
              <w:pStyle w:val="41"/>
              <w:keepNext w:val="0"/>
              <w:keepLines w:val="0"/>
              <w:pageBreakBefore w:val="0"/>
              <w:kinsoku/>
              <w:wordWrap/>
              <w:overflowPunct/>
              <w:topLinePunct w:val="0"/>
              <w:autoSpaceDE/>
              <w:autoSpaceDN/>
              <w:bidi w:val="0"/>
              <w:adjustRightInd w:val="0"/>
              <w:snapToGrid w:val="0"/>
              <w:spacing w:before="0" w:beforeAutospacing="0" w:after="0" w:afterAutospacing="0"/>
              <w:ind w:left="0" w:right="0"/>
              <w:jc w:val="center"/>
              <w:rPr>
                <w:rFonts w:ascii="Times New Roman" w:hAnsi="Times New Roman"/>
                <w:color w:val="auto"/>
                <w:sz w:val="21"/>
                <w:szCs w:val="21"/>
                <w:highlight w:val="none"/>
              </w:rPr>
            </w:pPr>
            <w:r>
              <w:rPr>
                <w:rFonts w:ascii="Times New Roman" w:hAnsi="Times New Roman"/>
                <w:iCs/>
                <w:color w:val="auto"/>
                <w:kern w:val="2"/>
                <w:sz w:val="21"/>
                <w:szCs w:val="21"/>
                <w:highlight w:val="none"/>
              </w:rPr>
              <w:t>苯乙烯</w:t>
            </w:r>
          </w:p>
        </w:tc>
        <w:tc>
          <w:tcPr>
            <w:tcW w:w="4471" w:type="dxa"/>
            <w:vMerge w:val="continue"/>
            <w:vAlign w:val="center"/>
          </w:tcPr>
          <w:p w14:paraId="4AC5B498">
            <w:pPr>
              <w:keepNext w:val="0"/>
              <w:keepLines w:val="0"/>
              <w:pageBreakBefore w:val="0"/>
              <w:kinsoku/>
              <w:wordWrap/>
              <w:overflowPunct/>
              <w:topLinePunct w:val="0"/>
              <w:autoSpaceDE/>
              <w:autoSpaceDN/>
              <w:bidi w:val="0"/>
              <w:adjustRightInd w:val="0"/>
              <w:snapToGrid w:val="0"/>
              <w:ind w:left="0" w:right="0"/>
              <w:jc w:val="center"/>
              <w:textAlignment w:val="center"/>
              <w:rPr>
                <w:rFonts w:ascii="Times New Roman" w:hAnsi="Times New Roman" w:cs="Times New Roman"/>
                <w:color w:val="auto"/>
                <w:sz w:val="21"/>
                <w:szCs w:val="21"/>
                <w:highlight w:val="none"/>
              </w:rPr>
            </w:pPr>
          </w:p>
        </w:tc>
        <w:tc>
          <w:tcPr>
            <w:tcW w:w="1481" w:type="dxa"/>
            <w:vAlign w:val="center"/>
          </w:tcPr>
          <w:p w14:paraId="1D481358">
            <w:pPr>
              <w:keepNext w:val="0"/>
              <w:keepLines w:val="0"/>
              <w:pageBreakBefore w:val="0"/>
              <w:kinsoku/>
              <w:wordWrap/>
              <w:overflowPunct/>
              <w:topLinePunct w:val="0"/>
              <w:autoSpaceDE/>
              <w:autoSpaceDN/>
              <w:bidi w:val="0"/>
              <w:adjustRightInd w:val="0"/>
              <w:snapToGrid w:val="0"/>
              <w:ind w:left="0" w:right="0"/>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1.1 ug/kg</w:t>
            </w:r>
          </w:p>
        </w:tc>
      </w:tr>
      <w:tr w14:paraId="4E4567E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821" w:type="dxa"/>
            <w:vMerge w:val="continue"/>
            <w:vAlign w:val="center"/>
          </w:tcPr>
          <w:p w14:paraId="25DBD979">
            <w:pPr>
              <w:keepNext w:val="0"/>
              <w:keepLines w:val="0"/>
              <w:pageBreakBefore w:val="0"/>
              <w:kinsoku/>
              <w:wordWrap/>
              <w:overflowPunct/>
              <w:topLinePunct w:val="0"/>
              <w:autoSpaceDE/>
              <w:autoSpaceDN/>
              <w:bidi w:val="0"/>
              <w:adjustRightInd w:val="0"/>
              <w:snapToGrid w:val="0"/>
              <w:ind w:left="0" w:right="0"/>
              <w:jc w:val="center"/>
              <w:rPr>
                <w:rFonts w:ascii="Times New Roman" w:hAnsi="Times New Roman" w:cs="Times New Roman"/>
                <w:color w:val="auto"/>
                <w:sz w:val="21"/>
                <w:szCs w:val="21"/>
                <w:highlight w:val="none"/>
              </w:rPr>
            </w:pPr>
          </w:p>
        </w:tc>
        <w:tc>
          <w:tcPr>
            <w:tcW w:w="1731" w:type="dxa"/>
            <w:vAlign w:val="center"/>
          </w:tcPr>
          <w:p w14:paraId="09C0106C">
            <w:pPr>
              <w:pStyle w:val="41"/>
              <w:keepNext w:val="0"/>
              <w:keepLines w:val="0"/>
              <w:pageBreakBefore w:val="0"/>
              <w:kinsoku/>
              <w:wordWrap/>
              <w:overflowPunct/>
              <w:topLinePunct w:val="0"/>
              <w:autoSpaceDE/>
              <w:autoSpaceDN/>
              <w:bidi w:val="0"/>
              <w:adjustRightInd w:val="0"/>
              <w:snapToGrid w:val="0"/>
              <w:spacing w:before="0" w:beforeAutospacing="0" w:after="0" w:afterAutospacing="0"/>
              <w:ind w:left="0" w:right="0"/>
              <w:jc w:val="center"/>
              <w:rPr>
                <w:rFonts w:ascii="Times New Roman" w:hAnsi="Times New Roman"/>
                <w:color w:val="auto"/>
                <w:sz w:val="21"/>
                <w:szCs w:val="21"/>
                <w:highlight w:val="none"/>
              </w:rPr>
            </w:pPr>
            <w:r>
              <w:rPr>
                <w:rFonts w:ascii="Times New Roman" w:hAnsi="Times New Roman"/>
                <w:iCs/>
                <w:color w:val="auto"/>
                <w:kern w:val="2"/>
                <w:sz w:val="21"/>
                <w:szCs w:val="21"/>
                <w:highlight w:val="none"/>
              </w:rPr>
              <w:t>溴仿</w:t>
            </w:r>
          </w:p>
        </w:tc>
        <w:tc>
          <w:tcPr>
            <w:tcW w:w="4471" w:type="dxa"/>
            <w:vMerge w:val="continue"/>
            <w:vAlign w:val="center"/>
          </w:tcPr>
          <w:p w14:paraId="44B869E4">
            <w:pPr>
              <w:keepNext w:val="0"/>
              <w:keepLines w:val="0"/>
              <w:pageBreakBefore w:val="0"/>
              <w:kinsoku/>
              <w:wordWrap/>
              <w:overflowPunct/>
              <w:topLinePunct w:val="0"/>
              <w:autoSpaceDE/>
              <w:autoSpaceDN/>
              <w:bidi w:val="0"/>
              <w:adjustRightInd w:val="0"/>
              <w:snapToGrid w:val="0"/>
              <w:ind w:left="0" w:right="0"/>
              <w:jc w:val="center"/>
              <w:textAlignment w:val="center"/>
              <w:rPr>
                <w:rFonts w:ascii="Times New Roman" w:hAnsi="Times New Roman" w:cs="Times New Roman"/>
                <w:color w:val="auto"/>
                <w:sz w:val="21"/>
                <w:szCs w:val="21"/>
                <w:highlight w:val="none"/>
              </w:rPr>
            </w:pPr>
          </w:p>
        </w:tc>
        <w:tc>
          <w:tcPr>
            <w:tcW w:w="1481" w:type="dxa"/>
            <w:vAlign w:val="center"/>
          </w:tcPr>
          <w:p w14:paraId="5C236894">
            <w:pPr>
              <w:keepNext w:val="0"/>
              <w:keepLines w:val="0"/>
              <w:pageBreakBefore w:val="0"/>
              <w:kinsoku/>
              <w:wordWrap/>
              <w:overflowPunct/>
              <w:topLinePunct w:val="0"/>
              <w:autoSpaceDE/>
              <w:autoSpaceDN/>
              <w:bidi w:val="0"/>
              <w:adjustRightInd w:val="0"/>
              <w:snapToGrid w:val="0"/>
              <w:ind w:left="0" w:right="0"/>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1.5 ug/kg</w:t>
            </w:r>
          </w:p>
        </w:tc>
      </w:tr>
      <w:tr w14:paraId="47F6715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821" w:type="dxa"/>
            <w:vMerge w:val="continue"/>
            <w:vAlign w:val="center"/>
          </w:tcPr>
          <w:p w14:paraId="15CAE4AD">
            <w:pPr>
              <w:keepNext w:val="0"/>
              <w:keepLines w:val="0"/>
              <w:pageBreakBefore w:val="0"/>
              <w:kinsoku/>
              <w:wordWrap/>
              <w:overflowPunct/>
              <w:topLinePunct w:val="0"/>
              <w:autoSpaceDE/>
              <w:autoSpaceDN/>
              <w:bidi w:val="0"/>
              <w:adjustRightInd w:val="0"/>
              <w:snapToGrid w:val="0"/>
              <w:ind w:left="0" w:right="0"/>
              <w:jc w:val="center"/>
              <w:rPr>
                <w:rFonts w:ascii="Times New Roman" w:hAnsi="Times New Roman" w:cs="Times New Roman"/>
                <w:color w:val="auto"/>
                <w:sz w:val="21"/>
                <w:szCs w:val="21"/>
                <w:highlight w:val="none"/>
              </w:rPr>
            </w:pPr>
          </w:p>
        </w:tc>
        <w:tc>
          <w:tcPr>
            <w:tcW w:w="1731" w:type="dxa"/>
            <w:vAlign w:val="center"/>
          </w:tcPr>
          <w:p w14:paraId="40F931D1">
            <w:pPr>
              <w:pStyle w:val="41"/>
              <w:keepNext w:val="0"/>
              <w:keepLines w:val="0"/>
              <w:pageBreakBefore w:val="0"/>
              <w:kinsoku/>
              <w:wordWrap/>
              <w:overflowPunct/>
              <w:topLinePunct w:val="0"/>
              <w:autoSpaceDE/>
              <w:autoSpaceDN/>
              <w:bidi w:val="0"/>
              <w:adjustRightInd w:val="0"/>
              <w:snapToGrid w:val="0"/>
              <w:spacing w:before="0" w:beforeAutospacing="0" w:after="0" w:afterAutospacing="0"/>
              <w:ind w:left="0" w:right="0"/>
              <w:jc w:val="center"/>
              <w:rPr>
                <w:rFonts w:ascii="Times New Roman" w:hAnsi="Times New Roman"/>
                <w:color w:val="auto"/>
                <w:sz w:val="21"/>
                <w:szCs w:val="21"/>
                <w:highlight w:val="none"/>
              </w:rPr>
            </w:pPr>
            <w:r>
              <w:rPr>
                <w:rFonts w:ascii="Times New Roman" w:hAnsi="Times New Roman"/>
                <w:iCs/>
                <w:color w:val="auto"/>
                <w:kern w:val="2"/>
                <w:sz w:val="21"/>
                <w:szCs w:val="21"/>
                <w:highlight w:val="none"/>
              </w:rPr>
              <w:t>1，1，2，2-四氯乙烷</w:t>
            </w:r>
          </w:p>
        </w:tc>
        <w:tc>
          <w:tcPr>
            <w:tcW w:w="4471" w:type="dxa"/>
            <w:vMerge w:val="continue"/>
            <w:vAlign w:val="center"/>
          </w:tcPr>
          <w:p w14:paraId="6D7A7022">
            <w:pPr>
              <w:keepNext w:val="0"/>
              <w:keepLines w:val="0"/>
              <w:pageBreakBefore w:val="0"/>
              <w:kinsoku/>
              <w:wordWrap/>
              <w:overflowPunct/>
              <w:topLinePunct w:val="0"/>
              <w:autoSpaceDE/>
              <w:autoSpaceDN/>
              <w:bidi w:val="0"/>
              <w:adjustRightInd w:val="0"/>
              <w:snapToGrid w:val="0"/>
              <w:ind w:left="0" w:right="0"/>
              <w:jc w:val="center"/>
              <w:textAlignment w:val="center"/>
              <w:rPr>
                <w:rFonts w:ascii="Times New Roman" w:hAnsi="Times New Roman" w:cs="Times New Roman"/>
                <w:color w:val="auto"/>
                <w:sz w:val="21"/>
                <w:szCs w:val="21"/>
                <w:highlight w:val="none"/>
              </w:rPr>
            </w:pPr>
          </w:p>
        </w:tc>
        <w:tc>
          <w:tcPr>
            <w:tcW w:w="1481" w:type="dxa"/>
            <w:vAlign w:val="center"/>
          </w:tcPr>
          <w:p w14:paraId="51B5C1BB">
            <w:pPr>
              <w:keepNext w:val="0"/>
              <w:keepLines w:val="0"/>
              <w:pageBreakBefore w:val="0"/>
              <w:kinsoku/>
              <w:wordWrap/>
              <w:overflowPunct/>
              <w:topLinePunct w:val="0"/>
              <w:autoSpaceDE/>
              <w:autoSpaceDN/>
              <w:bidi w:val="0"/>
              <w:adjustRightInd w:val="0"/>
              <w:snapToGrid w:val="0"/>
              <w:ind w:left="0" w:right="0"/>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1.2 ug/kg</w:t>
            </w:r>
          </w:p>
        </w:tc>
      </w:tr>
      <w:tr w14:paraId="4623ED6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821" w:type="dxa"/>
            <w:vMerge w:val="continue"/>
            <w:vAlign w:val="center"/>
          </w:tcPr>
          <w:p w14:paraId="550FB0B1">
            <w:pPr>
              <w:keepNext w:val="0"/>
              <w:keepLines w:val="0"/>
              <w:pageBreakBefore w:val="0"/>
              <w:kinsoku/>
              <w:wordWrap/>
              <w:overflowPunct/>
              <w:topLinePunct w:val="0"/>
              <w:autoSpaceDE/>
              <w:autoSpaceDN/>
              <w:bidi w:val="0"/>
              <w:adjustRightInd w:val="0"/>
              <w:snapToGrid w:val="0"/>
              <w:ind w:left="0" w:right="0"/>
              <w:jc w:val="center"/>
              <w:rPr>
                <w:rFonts w:ascii="Times New Roman" w:hAnsi="Times New Roman" w:cs="Times New Roman"/>
                <w:color w:val="auto"/>
                <w:sz w:val="21"/>
                <w:szCs w:val="21"/>
                <w:highlight w:val="none"/>
              </w:rPr>
            </w:pPr>
          </w:p>
        </w:tc>
        <w:tc>
          <w:tcPr>
            <w:tcW w:w="1731" w:type="dxa"/>
            <w:vAlign w:val="center"/>
          </w:tcPr>
          <w:p w14:paraId="0DFA1913">
            <w:pPr>
              <w:pStyle w:val="41"/>
              <w:keepNext w:val="0"/>
              <w:keepLines w:val="0"/>
              <w:pageBreakBefore w:val="0"/>
              <w:kinsoku/>
              <w:wordWrap/>
              <w:overflowPunct/>
              <w:topLinePunct w:val="0"/>
              <w:autoSpaceDE/>
              <w:autoSpaceDN/>
              <w:bidi w:val="0"/>
              <w:adjustRightInd w:val="0"/>
              <w:snapToGrid w:val="0"/>
              <w:spacing w:before="0" w:beforeAutospacing="0" w:after="0" w:afterAutospacing="0"/>
              <w:ind w:left="0" w:right="0"/>
              <w:jc w:val="center"/>
              <w:rPr>
                <w:rFonts w:ascii="Times New Roman" w:hAnsi="Times New Roman"/>
                <w:color w:val="auto"/>
                <w:sz w:val="21"/>
                <w:szCs w:val="21"/>
                <w:highlight w:val="none"/>
              </w:rPr>
            </w:pPr>
            <w:r>
              <w:rPr>
                <w:rFonts w:ascii="Times New Roman" w:hAnsi="Times New Roman"/>
                <w:iCs/>
                <w:color w:val="auto"/>
                <w:kern w:val="2"/>
                <w:sz w:val="21"/>
                <w:szCs w:val="21"/>
                <w:highlight w:val="none"/>
              </w:rPr>
              <w:t>1，2，3-三氯丙烷</w:t>
            </w:r>
          </w:p>
        </w:tc>
        <w:tc>
          <w:tcPr>
            <w:tcW w:w="4471" w:type="dxa"/>
            <w:vMerge w:val="continue"/>
            <w:vAlign w:val="center"/>
          </w:tcPr>
          <w:p w14:paraId="1CBCB9FA">
            <w:pPr>
              <w:keepNext w:val="0"/>
              <w:keepLines w:val="0"/>
              <w:pageBreakBefore w:val="0"/>
              <w:kinsoku/>
              <w:wordWrap/>
              <w:overflowPunct/>
              <w:topLinePunct w:val="0"/>
              <w:autoSpaceDE/>
              <w:autoSpaceDN/>
              <w:bidi w:val="0"/>
              <w:adjustRightInd w:val="0"/>
              <w:snapToGrid w:val="0"/>
              <w:ind w:left="0" w:right="0"/>
              <w:jc w:val="center"/>
              <w:textAlignment w:val="center"/>
              <w:rPr>
                <w:rFonts w:ascii="Times New Roman" w:hAnsi="Times New Roman" w:cs="Times New Roman"/>
                <w:color w:val="auto"/>
                <w:sz w:val="21"/>
                <w:szCs w:val="21"/>
                <w:highlight w:val="none"/>
              </w:rPr>
            </w:pPr>
          </w:p>
        </w:tc>
        <w:tc>
          <w:tcPr>
            <w:tcW w:w="1481" w:type="dxa"/>
            <w:vAlign w:val="center"/>
          </w:tcPr>
          <w:p w14:paraId="2B8C6677">
            <w:pPr>
              <w:keepNext w:val="0"/>
              <w:keepLines w:val="0"/>
              <w:pageBreakBefore w:val="0"/>
              <w:kinsoku/>
              <w:wordWrap/>
              <w:overflowPunct/>
              <w:topLinePunct w:val="0"/>
              <w:autoSpaceDE/>
              <w:autoSpaceDN/>
              <w:bidi w:val="0"/>
              <w:adjustRightInd w:val="0"/>
              <w:snapToGrid w:val="0"/>
              <w:ind w:left="0" w:right="0"/>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1.2 ug/kg</w:t>
            </w:r>
          </w:p>
        </w:tc>
      </w:tr>
      <w:tr w14:paraId="024E4F7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821" w:type="dxa"/>
            <w:vMerge w:val="continue"/>
            <w:vAlign w:val="center"/>
          </w:tcPr>
          <w:p w14:paraId="255315B2">
            <w:pPr>
              <w:keepNext w:val="0"/>
              <w:keepLines w:val="0"/>
              <w:pageBreakBefore w:val="0"/>
              <w:kinsoku/>
              <w:wordWrap/>
              <w:overflowPunct/>
              <w:topLinePunct w:val="0"/>
              <w:autoSpaceDE/>
              <w:autoSpaceDN/>
              <w:bidi w:val="0"/>
              <w:adjustRightInd w:val="0"/>
              <w:snapToGrid w:val="0"/>
              <w:ind w:left="0" w:right="0"/>
              <w:jc w:val="center"/>
              <w:rPr>
                <w:rFonts w:ascii="Times New Roman" w:hAnsi="Times New Roman" w:cs="Times New Roman"/>
                <w:color w:val="auto"/>
                <w:sz w:val="21"/>
                <w:szCs w:val="21"/>
                <w:highlight w:val="none"/>
              </w:rPr>
            </w:pPr>
          </w:p>
        </w:tc>
        <w:tc>
          <w:tcPr>
            <w:tcW w:w="1731" w:type="dxa"/>
            <w:vAlign w:val="center"/>
          </w:tcPr>
          <w:p w14:paraId="2588050A">
            <w:pPr>
              <w:pStyle w:val="41"/>
              <w:keepNext w:val="0"/>
              <w:keepLines w:val="0"/>
              <w:pageBreakBefore w:val="0"/>
              <w:kinsoku/>
              <w:wordWrap/>
              <w:overflowPunct/>
              <w:topLinePunct w:val="0"/>
              <w:autoSpaceDE/>
              <w:autoSpaceDN/>
              <w:bidi w:val="0"/>
              <w:adjustRightInd w:val="0"/>
              <w:snapToGrid w:val="0"/>
              <w:spacing w:before="0" w:beforeAutospacing="0" w:after="0" w:afterAutospacing="0"/>
              <w:ind w:left="0" w:right="0"/>
              <w:jc w:val="center"/>
              <w:rPr>
                <w:rFonts w:ascii="Times New Roman" w:hAnsi="Times New Roman"/>
                <w:color w:val="auto"/>
                <w:sz w:val="21"/>
                <w:szCs w:val="21"/>
                <w:highlight w:val="none"/>
              </w:rPr>
            </w:pPr>
            <w:r>
              <w:rPr>
                <w:rFonts w:ascii="Times New Roman" w:hAnsi="Times New Roman"/>
                <w:iCs/>
                <w:color w:val="auto"/>
                <w:kern w:val="2"/>
                <w:sz w:val="21"/>
                <w:szCs w:val="21"/>
                <w:highlight w:val="none"/>
              </w:rPr>
              <w:t>1，4-二氯苯</w:t>
            </w:r>
          </w:p>
        </w:tc>
        <w:tc>
          <w:tcPr>
            <w:tcW w:w="4471" w:type="dxa"/>
            <w:vMerge w:val="continue"/>
            <w:vAlign w:val="center"/>
          </w:tcPr>
          <w:p w14:paraId="0E349199">
            <w:pPr>
              <w:keepNext w:val="0"/>
              <w:keepLines w:val="0"/>
              <w:pageBreakBefore w:val="0"/>
              <w:kinsoku/>
              <w:wordWrap/>
              <w:overflowPunct/>
              <w:topLinePunct w:val="0"/>
              <w:autoSpaceDE/>
              <w:autoSpaceDN/>
              <w:bidi w:val="0"/>
              <w:adjustRightInd w:val="0"/>
              <w:snapToGrid w:val="0"/>
              <w:ind w:left="0" w:right="0"/>
              <w:jc w:val="center"/>
              <w:textAlignment w:val="center"/>
              <w:rPr>
                <w:rFonts w:ascii="Times New Roman" w:hAnsi="Times New Roman" w:cs="Times New Roman"/>
                <w:color w:val="auto"/>
                <w:sz w:val="21"/>
                <w:szCs w:val="21"/>
                <w:highlight w:val="none"/>
              </w:rPr>
            </w:pPr>
          </w:p>
        </w:tc>
        <w:tc>
          <w:tcPr>
            <w:tcW w:w="1481" w:type="dxa"/>
            <w:vAlign w:val="center"/>
          </w:tcPr>
          <w:p w14:paraId="717670B8">
            <w:pPr>
              <w:keepNext w:val="0"/>
              <w:keepLines w:val="0"/>
              <w:pageBreakBefore w:val="0"/>
              <w:kinsoku/>
              <w:wordWrap/>
              <w:overflowPunct/>
              <w:topLinePunct w:val="0"/>
              <w:autoSpaceDE/>
              <w:autoSpaceDN/>
              <w:bidi w:val="0"/>
              <w:adjustRightInd w:val="0"/>
              <w:snapToGrid w:val="0"/>
              <w:ind w:left="0" w:right="0"/>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1.5 ug/kg</w:t>
            </w:r>
          </w:p>
        </w:tc>
      </w:tr>
      <w:tr w14:paraId="650D256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821" w:type="dxa"/>
            <w:vMerge w:val="continue"/>
            <w:vAlign w:val="center"/>
          </w:tcPr>
          <w:p w14:paraId="78E058B3">
            <w:pPr>
              <w:keepNext w:val="0"/>
              <w:keepLines w:val="0"/>
              <w:pageBreakBefore w:val="0"/>
              <w:kinsoku/>
              <w:wordWrap/>
              <w:overflowPunct/>
              <w:topLinePunct w:val="0"/>
              <w:autoSpaceDE/>
              <w:autoSpaceDN/>
              <w:bidi w:val="0"/>
              <w:adjustRightInd w:val="0"/>
              <w:snapToGrid w:val="0"/>
              <w:ind w:left="0" w:right="0"/>
              <w:jc w:val="center"/>
              <w:rPr>
                <w:rFonts w:ascii="Times New Roman" w:hAnsi="Times New Roman" w:cs="Times New Roman"/>
                <w:color w:val="auto"/>
                <w:sz w:val="21"/>
                <w:szCs w:val="21"/>
                <w:highlight w:val="none"/>
              </w:rPr>
            </w:pPr>
          </w:p>
        </w:tc>
        <w:tc>
          <w:tcPr>
            <w:tcW w:w="1731" w:type="dxa"/>
            <w:vAlign w:val="center"/>
          </w:tcPr>
          <w:p w14:paraId="5960EB53">
            <w:pPr>
              <w:pStyle w:val="41"/>
              <w:keepNext w:val="0"/>
              <w:keepLines w:val="0"/>
              <w:pageBreakBefore w:val="0"/>
              <w:kinsoku/>
              <w:wordWrap/>
              <w:overflowPunct/>
              <w:topLinePunct w:val="0"/>
              <w:autoSpaceDE/>
              <w:autoSpaceDN/>
              <w:bidi w:val="0"/>
              <w:adjustRightInd w:val="0"/>
              <w:snapToGrid w:val="0"/>
              <w:spacing w:before="0" w:beforeAutospacing="0" w:after="0" w:afterAutospacing="0"/>
              <w:ind w:left="0" w:right="0"/>
              <w:jc w:val="center"/>
              <w:rPr>
                <w:rFonts w:ascii="Times New Roman" w:hAnsi="Times New Roman"/>
                <w:color w:val="auto"/>
                <w:sz w:val="21"/>
                <w:szCs w:val="21"/>
                <w:highlight w:val="none"/>
              </w:rPr>
            </w:pPr>
            <w:r>
              <w:rPr>
                <w:rFonts w:ascii="Times New Roman" w:hAnsi="Times New Roman"/>
                <w:iCs/>
                <w:color w:val="auto"/>
                <w:kern w:val="2"/>
                <w:sz w:val="21"/>
                <w:szCs w:val="21"/>
                <w:highlight w:val="none"/>
              </w:rPr>
              <w:t>1，2-二氯苯</w:t>
            </w:r>
          </w:p>
        </w:tc>
        <w:tc>
          <w:tcPr>
            <w:tcW w:w="4471" w:type="dxa"/>
            <w:vMerge w:val="continue"/>
            <w:vAlign w:val="center"/>
          </w:tcPr>
          <w:p w14:paraId="3021FD6E">
            <w:pPr>
              <w:keepNext w:val="0"/>
              <w:keepLines w:val="0"/>
              <w:pageBreakBefore w:val="0"/>
              <w:kinsoku/>
              <w:wordWrap/>
              <w:overflowPunct/>
              <w:topLinePunct w:val="0"/>
              <w:autoSpaceDE/>
              <w:autoSpaceDN/>
              <w:bidi w:val="0"/>
              <w:adjustRightInd w:val="0"/>
              <w:snapToGrid w:val="0"/>
              <w:ind w:left="0" w:right="0"/>
              <w:jc w:val="center"/>
              <w:textAlignment w:val="center"/>
              <w:rPr>
                <w:rFonts w:ascii="Times New Roman" w:hAnsi="Times New Roman" w:cs="Times New Roman"/>
                <w:color w:val="auto"/>
                <w:sz w:val="21"/>
                <w:szCs w:val="21"/>
                <w:highlight w:val="none"/>
              </w:rPr>
            </w:pPr>
          </w:p>
        </w:tc>
        <w:tc>
          <w:tcPr>
            <w:tcW w:w="1481" w:type="dxa"/>
            <w:vAlign w:val="center"/>
          </w:tcPr>
          <w:p w14:paraId="7F112DE6">
            <w:pPr>
              <w:keepNext w:val="0"/>
              <w:keepLines w:val="0"/>
              <w:pageBreakBefore w:val="0"/>
              <w:kinsoku/>
              <w:wordWrap/>
              <w:overflowPunct/>
              <w:topLinePunct w:val="0"/>
              <w:autoSpaceDE/>
              <w:autoSpaceDN/>
              <w:bidi w:val="0"/>
              <w:adjustRightInd w:val="0"/>
              <w:snapToGrid w:val="0"/>
              <w:ind w:left="0" w:right="0"/>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1.5 ug/kg</w:t>
            </w:r>
          </w:p>
        </w:tc>
      </w:tr>
      <w:tr w14:paraId="4CEA90E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821" w:type="dxa"/>
            <w:vMerge w:val="restart"/>
            <w:vAlign w:val="center"/>
          </w:tcPr>
          <w:p w14:paraId="2E325C1A">
            <w:pPr>
              <w:keepNext w:val="0"/>
              <w:keepLines w:val="0"/>
              <w:pageBreakBefore w:val="0"/>
              <w:kinsoku/>
              <w:wordWrap/>
              <w:overflowPunct/>
              <w:topLinePunct w:val="0"/>
              <w:autoSpaceDE/>
              <w:autoSpaceDN/>
              <w:bidi w:val="0"/>
              <w:adjustRightInd w:val="0"/>
              <w:snapToGrid w:val="0"/>
              <w:ind w:left="0" w:right="0"/>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半挥发性有机物</w:t>
            </w:r>
          </w:p>
        </w:tc>
        <w:tc>
          <w:tcPr>
            <w:tcW w:w="1731" w:type="dxa"/>
            <w:vAlign w:val="center"/>
          </w:tcPr>
          <w:p w14:paraId="413F229A">
            <w:pPr>
              <w:keepNext w:val="0"/>
              <w:keepLines w:val="0"/>
              <w:pageBreakBefore w:val="0"/>
              <w:kinsoku/>
              <w:wordWrap/>
              <w:overflowPunct/>
              <w:topLinePunct w:val="0"/>
              <w:autoSpaceDE/>
              <w:autoSpaceDN/>
              <w:bidi w:val="0"/>
              <w:adjustRightInd w:val="0"/>
              <w:snapToGrid w:val="0"/>
              <w:ind w:left="0" w:right="0"/>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2-氯苯酚</w:t>
            </w:r>
          </w:p>
        </w:tc>
        <w:tc>
          <w:tcPr>
            <w:tcW w:w="4471" w:type="dxa"/>
            <w:vMerge w:val="restart"/>
            <w:vAlign w:val="center"/>
          </w:tcPr>
          <w:p w14:paraId="4C02D91A">
            <w:pPr>
              <w:keepNext w:val="0"/>
              <w:keepLines w:val="0"/>
              <w:pageBreakBefore w:val="0"/>
              <w:kinsoku/>
              <w:wordWrap/>
              <w:overflowPunct/>
              <w:topLinePunct w:val="0"/>
              <w:autoSpaceDE/>
              <w:autoSpaceDN/>
              <w:bidi w:val="0"/>
              <w:adjustRightInd w:val="0"/>
              <w:snapToGrid w:val="0"/>
              <w:ind w:left="0" w:right="0"/>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土壤和沉积物 半挥发性有机物的测定 气相色谱-质谱法HJ 834-2017</w:t>
            </w:r>
          </w:p>
        </w:tc>
        <w:tc>
          <w:tcPr>
            <w:tcW w:w="1481" w:type="dxa"/>
            <w:vAlign w:val="center"/>
          </w:tcPr>
          <w:p w14:paraId="2EAC53D9">
            <w:pPr>
              <w:keepNext w:val="0"/>
              <w:keepLines w:val="0"/>
              <w:pageBreakBefore w:val="0"/>
              <w:kinsoku/>
              <w:wordWrap/>
              <w:overflowPunct/>
              <w:topLinePunct w:val="0"/>
              <w:autoSpaceDE/>
              <w:autoSpaceDN/>
              <w:bidi w:val="0"/>
              <w:adjustRightInd w:val="0"/>
              <w:snapToGrid w:val="0"/>
              <w:ind w:left="0" w:right="0"/>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0.06</w:t>
            </w:r>
          </w:p>
        </w:tc>
      </w:tr>
      <w:tr w14:paraId="0AD0B72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821" w:type="dxa"/>
            <w:vMerge w:val="continue"/>
            <w:vAlign w:val="center"/>
          </w:tcPr>
          <w:p w14:paraId="0C1C1A1D">
            <w:pPr>
              <w:keepNext w:val="0"/>
              <w:keepLines w:val="0"/>
              <w:pageBreakBefore w:val="0"/>
              <w:kinsoku/>
              <w:wordWrap/>
              <w:overflowPunct/>
              <w:topLinePunct w:val="0"/>
              <w:autoSpaceDE/>
              <w:autoSpaceDN/>
              <w:bidi w:val="0"/>
              <w:adjustRightInd w:val="0"/>
              <w:snapToGrid w:val="0"/>
              <w:ind w:left="0" w:right="0"/>
              <w:jc w:val="center"/>
              <w:textAlignment w:val="center"/>
              <w:rPr>
                <w:rFonts w:ascii="Times New Roman" w:hAnsi="Times New Roman" w:cs="Times New Roman"/>
                <w:color w:val="auto"/>
                <w:sz w:val="21"/>
                <w:szCs w:val="21"/>
                <w:highlight w:val="none"/>
              </w:rPr>
            </w:pPr>
          </w:p>
        </w:tc>
        <w:tc>
          <w:tcPr>
            <w:tcW w:w="1731" w:type="dxa"/>
            <w:vAlign w:val="center"/>
          </w:tcPr>
          <w:p w14:paraId="5F6D3195">
            <w:pPr>
              <w:keepNext w:val="0"/>
              <w:keepLines w:val="0"/>
              <w:pageBreakBefore w:val="0"/>
              <w:kinsoku/>
              <w:wordWrap/>
              <w:overflowPunct/>
              <w:topLinePunct w:val="0"/>
              <w:autoSpaceDE/>
              <w:autoSpaceDN/>
              <w:bidi w:val="0"/>
              <w:adjustRightInd w:val="0"/>
              <w:snapToGrid w:val="0"/>
              <w:ind w:left="0" w:right="0"/>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硝基苯</w:t>
            </w:r>
          </w:p>
        </w:tc>
        <w:tc>
          <w:tcPr>
            <w:tcW w:w="4471" w:type="dxa"/>
            <w:vMerge w:val="continue"/>
            <w:vAlign w:val="center"/>
          </w:tcPr>
          <w:p w14:paraId="0417FE8C">
            <w:pPr>
              <w:keepNext w:val="0"/>
              <w:keepLines w:val="0"/>
              <w:pageBreakBefore w:val="0"/>
              <w:kinsoku/>
              <w:wordWrap/>
              <w:overflowPunct/>
              <w:topLinePunct w:val="0"/>
              <w:autoSpaceDE/>
              <w:autoSpaceDN/>
              <w:bidi w:val="0"/>
              <w:adjustRightInd w:val="0"/>
              <w:snapToGrid w:val="0"/>
              <w:ind w:left="0" w:right="0"/>
              <w:jc w:val="center"/>
              <w:textAlignment w:val="center"/>
              <w:rPr>
                <w:rFonts w:ascii="Times New Roman" w:hAnsi="Times New Roman" w:cs="Times New Roman"/>
                <w:color w:val="auto"/>
                <w:sz w:val="21"/>
                <w:szCs w:val="21"/>
                <w:highlight w:val="none"/>
              </w:rPr>
            </w:pPr>
          </w:p>
        </w:tc>
        <w:tc>
          <w:tcPr>
            <w:tcW w:w="1481" w:type="dxa"/>
            <w:vAlign w:val="center"/>
          </w:tcPr>
          <w:p w14:paraId="1FBDC19B">
            <w:pPr>
              <w:keepNext w:val="0"/>
              <w:keepLines w:val="0"/>
              <w:pageBreakBefore w:val="0"/>
              <w:kinsoku/>
              <w:wordWrap/>
              <w:overflowPunct/>
              <w:topLinePunct w:val="0"/>
              <w:autoSpaceDE/>
              <w:autoSpaceDN/>
              <w:bidi w:val="0"/>
              <w:adjustRightInd w:val="0"/>
              <w:snapToGrid w:val="0"/>
              <w:ind w:left="0" w:right="0"/>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0.09</w:t>
            </w:r>
            <w:r>
              <w:rPr>
                <w:rFonts w:ascii="Times New Roman" w:hAnsi="Times New Roman" w:cs="Times New Roman"/>
                <w:color w:val="auto"/>
                <w:sz w:val="21"/>
                <w:szCs w:val="21"/>
                <w:highlight w:val="none"/>
                <w:lang w:bidi="ar"/>
              </w:rPr>
              <w:t xml:space="preserve"> g</w:t>
            </w:r>
          </w:p>
        </w:tc>
      </w:tr>
      <w:tr w14:paraId="2D28A9B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821" w:type="dxa"/>
            <w:vMerge w:val="continue"/>
            <w:vAlign w:val="center"/>
          </w:tcPr>
          <w:p w14:paraId="01A4605A">
            <w:pPr>
              <w:keepNext w:val="0"/>
              <w:keepLines w:val="0"/>
              <w:pageBreakBefore w:val="0"/>
              <w:kinsoku/>
              <w:wordWrap/>
              <w:overflowPunct/>
              <w:topLinePunct w:val="0"/>
              <w:autoSpaceDE/>
              <w:autoSpaceDN/>
              <w:bidi w:val="0"/>
              <w:adjustRightInd w:val="0"/>
              <w:snapToGrid w:val="0"/>
              <w:ind w:left="0" w:right="0"/>
              <w:jc w:val="center"/>
              <w:textAlignment w:val="center"/>
              <w:rPr>
                <w:rFonts w:ascii="Times New Roman" w:hAnsi="Times New Roman" w:cs="Times New Roman"/>
                <w:color w:val="auto"/>
                <w:sz w:val="21"/>
                <w:szCs w:val="21"/>
                <w:highlight w:val="none"/>
              </w:rPr>
            </w:pPr>
          </w:p>
        </w:tc>
        <w:tc>
          <w:tcPr>
            <w:tcW w:w="1731" w:type="dxa"/>
            <w:vAlign w:val="center"/>
          </w:tcPr>
          <w:p w14:paraId="065A67AE">
            <w:pPr>
              <w:keepNext w:val="0"/>
              <w:keepLines w:val="0"/>
              <w:pageBreakBefore w:val="0"/>
              <w:kinsoku/>
              <w:wordWrap/>
              <w:overflowPunct/>
              <w:topLinePunct w:val="0"/>
              <w:autoSpaceDE/>
              <w:autoSpaceDN/>
              <w:bidi w:val="0"/>
              <w:adjustRightInd w:val="0"/>
              <w:snapToGrid w:val="0"/>
              <w:ind w:left="0" w:right="0"/>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萘</w:t>
            </w:r>
          </w:p>
        </w:tc>
        <w:tc>
          <w:tcPr>
            <w:tcW w:w="4471" w:type="dxa"/>
            <w:vMerge w:val="continue"/>
            <w:vAlign w:val="center"/>
          </w:tcPr>
          <w:p w14:paraId="58FCDDF6">
            <w:pPr>
              <w:keepNext w:val="0"/>
              <w:keepLines w:val="0"/>
              <w:pageBreakBefore w:val="0"/>
              <w:kinsoku/>
              <w:wordWrap/>
              <w:overflowPunct/>
              <w:topLinePunct w:val="0"/>
              <w:autoSpaceDE/>
              <w:autoSpaceDN/>
              <w:bidi w:val="0"/>
              <w:adjustRightInd w:val="0"/>
              <w:snapToGrid w:val="0"/>
              <w:ind w:left="0" w:right="0"/>
              <w:jc w:val="center"/>
              <w:textAlignment w:val="center"/>
              <w:rPr>
                <w:rFonts w:ascii="Times New Roman" w:hAnsi="Times New Roman" w:cs="Times New Roman"/>
                <w:color w:val="auto"/>
                <w:sz w:val="21"/>
                <w:szCs w:val="21"/>
                <w:highlight w:val="none"/>
              </w:rPr>
            </w:pPr>
          </w:p>
        </w:tc>
        <w:tc>
          <w:tcPr>
            <w:tcW w:w="1481" w:type="dxa"/>
            <w:vAlign w:val="center"/>
          </w:tcPr>
          <w:p w14:paraId="31E03A37">
            <w:pPr>
              <w:keepNext w:val="0"/>
              <w:keepLines w:val="0"/>
              <w:pageBreakBefore w:val="0"/>
              <w:kinsoku/>
              <w:wordWrap/>
              <w:overflowPunct/>
              <w:topLinePunct w:val="0"/>
              <w:autoSpaceDE/>
              <w:autoSpaceDN/>
              <w:bidi w:val="0"/>
              <w:adjustRightInd w:val="0"/>
              <w:snapToGrid w:val="0"/>
              <w:ind w:left="0" w:right="0"/>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0.09</w:t>
            </w:r>
          </w:p>
        </w:tc>
      </w:tr>
      <w:tr w14:paraId="6629D43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821" w:type="dxa"/>
            <w:vMerge w:val="continue"/>
            <w:vAlign w:val="center"/>
          </w:tcPr>
          <w:p w14:paraId="75D32C2D">
            <w:pPr>
              <w:keepNext w:val="0"/>
              <w:keepLines w:val="0"/>
              <w:pageBreakBefore w:val="0"/>
              <w:kinsoku/>
              <w:wordWrap/>
              <w:overflowPunct/>
              <w:topLinePunct w:val="0"/>
              <w:autoSpaceDE/>
              <w:autoSpaceDN/>
              <w:bidi w:val="0"/>
              <w:adjustRightInd w:val="0"/>
              <w:snapToGrid w:val="0"/>
              <w:ind w:left="0" w:right="0"/>
              <w:jc w:val="center"/>
              <w:textAlignment w:val="center"/>
              <w:rPr>
                <w:rFonts w:ascii="Times New Roman" w:hAnsi="Times New Roman" w:cs="Times New Roman"/>
                <w:color w:val="auto"/>
                <w:sz w:val="21"/>
                <w:szCs w:val="21"/>
                <w:highlight w:val="none"/>
              </w:rPr>
            </w:pPr>
          </w:p>
        </w:tc>
        <w:tc>
          <w:tcPr>
            <w:tcW w:w="1731" w:type="dxa"/>
            <w:vAlign w:val="center"/>
          </w:tcPr>
          <w:p w14:paraId="15F2CF4D">
            <w:pPr>
              <w:keepNext w:val="0"/>
              <w:keepLines w:val="0"/>
              <w:pageBreakBefore w:val="0"/>
              <w:kinsoku/>
              <w:wordWrap/>
              <w:overflowPunct/>
              <w:topLinePunct w:val="0"/>
              <w:autoSpaceDE/>
              <w:autoSpaceDN/>
              <w:bidi w:val="0"/>
              <w:adjustRightInd w:val="0"/>
              <w:snapToGrid w:val="0"/>
              <w:ind w:left="0" w:right="0"/>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苯并（a）蒽</w:t>
            </w:r>
          </w:p>
        </w:tc>
        <w:tc>
          <w:tcPr>
            <w:tcW w:w="4471" w:type="dxa"/>
            <w:vMerge w:val="continue"/>
            <w:vAlign w:val="center"/>
          </w:tcPr>
          <w:p w14:paraId="2F365C27">
            <w:pPr>
              <w:keepNext w:val="0"/>
              <w:keepLines w:val="0"/>
              <w:pageBreakBefore w:val="0"/>
              <w:kinsoku/>
              <w:wordWrap/>
              <w:overflowPunct/>
              <w:topLinePunct w:val="0"/>
              <w:autoSpaceDE/>
              <w:autoSpaceDN/>
              <w:bidi w:val="0"/>
              <w:adjustRightInd w:val="0"/>
              <w:snapToGrid w:val="0"/>
              <w:ind w:left="0" w:right="0"/>
              <w:jc w:val="center"/>
              <w:textAlignment w:val="center"/>
              <w:rPr>
                <w:rFonts w:ascii="Times New Roman" w:hAnsi="Times New Roman" w:cs="Times New Roman"/>
                <w:color w:val="auto"/>
                <w:sz w:val="21"/>
                <w:szCs w:val="21"/>
                <w:highlight w:val="none"/>
              </w:rPr>
            </w:pPr>
          </w:p>
        </w:tc>
        <w:tc>
          <w:tcPr>
            <w:tcW w:w="1481" w:type="dxa"/>
            <w:vAlign w:val="center"/>
          </w:tcPr>
          <w:p w14:paraId="1EDA2235">
            <w:pPr>
              <w:keepNext w:val="0"/>
              <w:keepLines w:val="0"/>
              <w:pageBreakBefore w:val="0"/>
              <w:kinsoku/>
              <w:wordWrap/>
              <w:overflowPunct/>
              <w:topLinePunct w:val="0"/>
              <w:autoSpaceDE/>
              <w:autoSpaceDN/>
              <w:bidi w:val="0"/>
              <w:adjustRightInd w:val="0"/>
              <w:snapToGrid w:val="0"/>
              <w:ind w:left="0" w:right="0"/>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0.1</w:t>
            </w:r>
          </w:p>
        </w:tc>
      </w:tr>
      <w:tr w14:paraId="49DFCB6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821" w:type="dxa"/>
            <w:vMerge w:val="continue"/>
            <w:vAlign w:val="center"/>
          </w:tcPr>
          <w:p w14:paraId="1AA434D2">
            <w:pPr>
              <w:keepNext w:val="0"/>
              <w:keepLines w:val="0"/>
              <w:pageBreakBefore w:val="0"/>
              <w:kinsoku/>
              <w:wordWrap/>
              <w:overflowPunct/>
              <w:topLinePunct w:val="0"/>
              <w:autoSpaceDE/>
              <w:autoSpaceDN/>
              <w:bidi w:val="0"/>
              <w:adjustRightInd w:val="0"/>
              <w:snapToGrid w:val="0"/>
              <w:ind w:left="0" w:right="0"/>
              <w:jc w:val="center"/>
              <w:textAlignment w:val="center"/>
              <w:rPr>
                <w:rFonts w:ascii="Times New Roman" w:hAnsi="Times New Roman" w:cs="Times New Roman"/>
                <w:color w:val="auto"/>
                <w:sz w:val="21"/>
                <w:szCs w:val="21"/>
                <w:highlight w:val="none"/>
              </w:rPr>
            </w:pPr>
          </w:p>
        </w:tc>
        <w:tc>
          <w:tcPr>
            <w:tcW w:w="1731" w:type="dxa"/>
            <w:vAlign w:val="center"/>
          </w:tcPr>
          <w:p w14:paraId="73E486A3">
            <w:pPr>
              <w:keepNext w:val="0"/>
              <w:keepLines w:val="0"/>
              <w:pageBreakBefore w:val="0"/>
              <w:kinsoku/>
              <w:wordWrap/>
              <w:overflowPunct/>
              <w:topLinePunct w:val="0"/>
              <w:autoSpaceDE/>
              <w:autoSpaceDN/>
              <w:bidi w:val="0"/>
              <w:adjustRightInd w:val="0"/>
              <w:snapToGrid w:val="0"/>
              <w:ind w:left="0" w:right="0"/>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屈</w:t>
            </w:r>
          </w:p>
        </w:tc>
        <w:tc>
          <w:tcPr>
            <w:tcW w:w="4471" w:type="dxa"/>
            <w:vMerge w:val="continue"/>
            <w:vAlign w:val="center"/>
          </w:tcPr>
          <w:p w14:paraId="0ACC3B97">
            <w:pPr>
              <w:keepNext w:val="0"/>
              <w:keepLines w:val="0"/>
              <w:pageBreakBefore w:val="0"/>
              <w:kinsoku/>
              <w:wordWrap/>
              <w:overflowPunct/>
              <w:topLinePunct w:val="0"/>
              <w:autoSpaceDE/>
              <w:autoSpaceDN/>
              <w:bidi w:val="0"/>
              <w:adjustRightInd w:val="0"/>
              <w:snapToGrid w:val="0"/>
              <w:ind w:left="0" w:right="0"/>
              <w:jc w:val="center"/>
              <w:textAlignment w:val="center"/>
              <w:rPr>
                <w:rFonts w:ascii="Times New Roman" w:hAnsi="Times New Roman" w:cs="Times New Roman"/>
                <w:color w:val="auto"/>
                <w:sz w:val="21"/>
                <w:szCs w:val="21"/>
                <w:highlight w:val="none"/>
              </w:rPr>
            </w:pPr>
          </w:p>
        </w:tc>
        <w:tc>
          <w:tcPr>
            <w:tcW w:w="1481" w:type="dxa"/>
            <w:vAlign w:val="center"/>
          </w:tcPr>
          <w:p w14:paraId="2280141E">
            <w:pPr>
              <w:keepNext w:val="0"/>
              <w:keepLines w:val="0"/>
              <w:pageBreakBefore w:val="0"/>
              <w:kinsoku/>
              <w:wordWrap/>
              <w:overflowPunct/>
              <w:topLinePunct w:val="0"/>
              <w:autoSpaceDE/>
              <w:autoSpaceDN/>
              <w:bidi w:val="0"/>
              <w:adjustRightInd w:val="0"/>
              <w:snapToGrid w:val="0"/>
              <w:ind w:left="0" w:right="0"/>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0.1</w:t>
            </w:r>
          </w:p>
        </w:tc>
      </w:tr>
      <w:tr w14:paraId="41802D8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821" w:type="dxa"/>
            <w:vMerge w:val="continue"/>
            <w:vAlign w:val="center"/>
          </w:tcPr>
          <w:p w14:paraId="77107C14">
            <w:pPr>
              <w:keepNext w:val="0"/>
              <w:keepLines w:val="0"/>
              <w:pageBreakBefore w:val="0"/>
              <w:kinsoku/>
              <w:wordWrap/>
              <w:overflowPunct/>
              <w:topLinePunct w:val="0"/>
              <w:autoSpaceDE/>
              <w:autoSpaceDN/>
              <w:bidi w:val="0"/>
              <w:adjustRightInd w:val="0"/>
              <w:snapToGrid w:val="0"/>
              <w:ind w:left="0" w:right="0"/>
              <w:jc w:val="center"/>
              <w:textAlignment w:val="center"/>
              <w:rPr>
                <w:rFonts w:ascii="Times New Roman" w:hAnsi="Times New Roman" w:cs="Times New Roman"/>
                <w:color w:val="auto"/>
                <w:sz w:val="21"/>
                <w:szCs w:val="21"/>
                <w:highlight w:val="none"/>
              </w:rPr>
            </w:pPr>
          </w:p>
        </w:tc>
        <w:tc>
          <w:tcPr>
            <w:tcW w:w="1731" w:type="dxa"/>
            <w:vAlign w:val="center"/>
          </w:tcPr>
          <w:p w14:paraId="010123A0">
            <w:pPr>
              <w:keepNext w:val="0"/>
              <w:keepLines w:val="0"/>
              <w:pageBreakBefore w:val="0"/>
              <w:kinsoku/>
              <w:wordWrap/>
              <w:overflowPunct/>
              <w:topLinePunct w:val="0"/>
              <w:autoSpaceDE/>
              <w:autoSpaceDN/>
              <w:bidi w:val="0"/>
              <w:adjustRightInd w:val="0"/>
              <w:snapToGrid w:val="0"/>
              <w:ind w:left="0" w:right="0"/>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苯并（b)荧蒽</w:t>
            </w:r>
          </w:p>
        </w:tc>
        <w:tc>
          <w:tcPr>
            <w:tcW w:w="4471" w:type="dxa"/>
            <w:vMerge w:val="continue"/>
            <w:vAlign w:val="center"/>
          </w:tcPr>
          <w:p w14:paraId="462ABD5D">
            <w:pPr>
              <w:keepNext w:val="0"/>
              <w:keepLines w:val="0"/>
              <w:pageBreakBefore w:val="0"/>
              <w:kinsoku/>
              <w:wordWrap/>
              <w:overflowPunct/>
              <w:topLinePunct w:val="0"/>
              <w:autoSpaceDE/>
              <w:autoSpaceDN/>
              <w:bidi w:val="0"/>
              <w:adjustRightInd w:val="0"/>
              <w:snapToGrid w:val="0"/>
              <w:ind w:left="0" w:right="0"/>
              <w:jc w:val="center"/>
              <w:textAlignment w:val="center"/>
              <w:rPr>
                <w:rFonts w:ascii="Times New Roman" w:hAnsi="Times New Roman" w:cs="Times New Roman"/>
                <w:color w:val="auto"/>
                <w:sz w:val="21"/>
                <w:szCs w:val="21"/>
                <w:highlight w:val="none"/>
              </w:rPr>
            </w:pPr>
          </w:p>
        </w:tc>
        <w:tc>
          <w:tcPr>
            <w:tcW w:w="1481" w:type="dxa"/>
            <w:vAlign w:val="center"/>
          </w:tcPr>
          <w:p w14:paraId="67645F5A">
            <w:pPr>
              <w:keepNext w:val="0"/>
              <w:keepLines w:val="0"/>
              <w:pageBreakBefore w:val="0"/>
              <w:kinsoku/>
              <w:wordWrap/>
              <w:overflowPunct/>
              <w:topLinePunct w:val="0"/>
              <w:autoSpaceDE/>
              <w:autoSpaceDN/>
              <w:bidi w:val="0"/>
              <w:adjustRightInd w:val="0"/>
              <w:snapToGrid w:val="0"/>
              <w:ind w:left="0" w:right="0"/>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0.2</w:t>
            </w:r>
          </w:p>
        </w:tc>
      </w:tr>
      <w:tr w14:paraId="75AFB6A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821" w:type="dxa"/>
            <w:vMerge w:val="continue"/>
            <w:vAlign w:val="center"/>
          </w:tcPr>
          <w:p w14:paraId="1FC8C0D2">
            <w:pPr>
              <w:keepNext w:val="0"/>
              <w:keepLines w:val="0"/>
              <w:pageBreakBefore w:val="0"/>
              <w:kinsoku/>
              <w:wordWrap/>
              <w:overflowPunct/>
              <w:topLinePunct w:val="0"/>
              <w:autoSpaceDE/>
              <w:autoSpaceDN/>
              <w:bidi w:val="0"/>
              <w:adjustRightInd w:val="0"/>
              <w:snapToGrid w:val="0"/>
              <w:ind w:left="0" w:right="0"/>
              <w:jc w:val="center"/>
              <w:textAlignment w:val="center"/>
              <w:rPr>
                <w:rFonts w:ascii="Times New Roman" w:hAnsi="Times New Roman" w:cs="Times New Roman"/>
                <w:color w:val="auto"/>
                <w:sz w:val="21"/>
                <w:szCs w:val="21"/>
                <w:highlight w:val="none"/>
              </w:rPr>
            </w:pPr>
          </w:p>
        </w:tc>
        <w:tc>
          <w:tcPr>
            <w:tcW w:w="1731" w:type="dxa"/>
            <w:vAlign w:val="center"/>
          </w:tcPr>
          <w:p w14:paraId="24F677A4">
            <w:pPr>
              <w:keepNext w:val="0"/>
              <w:keepLines w:val="0"/>
              <w:pageBreakBefore w:val="0"/>
              <w:kinsoku/>
              <w:wordWrap/>
              <w:overflowPunct/>
              <w:topLinePunct w:val="0"/>
              <w:autoSpaceDE/>
              <w:autoSpaceDN/>
              <w:bidi w:val="0"/>
              <w:adjustRightInd w:val="0"/>
              <w:snapToGrid w:val="0"/>
              <w:ind w:left="0" w:right="0"/>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苯并（k)荧蒽</w:t>
            </w:r>
          </w:p>
        </w:tc>
        <w:tc>
          <w:tcPr>
            <w:tcW w:w="4471" w:type="dxa"/>
            <w:vMerge w:val="continue"/>
            <w:vAlign w:val="center"/>
          </w:tcPr>
          <w:p w14:paraId="4568C132">
            <w:pPr>
              <w:keepNext w:val="0"/>
              <w:keepLines w:val="0"/>
              <w:pageBreakBefore w:val="0"/>
              <w:kinsoku/>
              <w:wordWrap/>
              <w:overflowPunct/>
              <w:topLinePunct w:val="0"/>
              <w:autoSpaceDE/>
              <w:autoSpaceDN/>
              <w:bidi w:val="0"/>
              <w:adjustRightInd w:val="0"/>
              <w:snapToGrid w:val="0"/>
              <w:ind w:left="0" w:right="0"/>
              <w:jc w:val="center"/>
              <w:textAlignment w:val="center"/>
              <w:rPr>
                <w:rFonts w:ascii="Times New Roman" w:hAnsi="Times New Roman" w:cs="Times New Roman"/>
                <w:color w:val="auto"/>
                <w:sz w:val="21"/>
                <w:szCs w:val="21"/>
                <w:highlight w:val="none"/>
              </w:rPr>
            </w:pPr>
          </w:p>
        </w:tc>
        <w:tc>
          <w:tcPr>
            <w:tcW w:w="1481" w:type="dxa"/>
            <w:vAlign w:val="center"/>
          </w:tcPr>
          <w:p w14:paraId="7536B662">
            <w:pPr>
              <w:keepNext w:val="0"/>
              <w:keepLines w:val="0"/>
              <w:pageBreakBefore w:val="0"/>
              <w:kinsoku/>
              <w:wordWrap/>
              <w:overflowPunct/>
              <w:topLinePunct w:val="0"/>
              <w:autoSpaceDE/>
              <w:autoSpaceDN/>
              <w:bidi w:val="0"/>
              <w:adjustRightInd w:val="0"/>
              <w:snapToGrid w:val="0"/>
              <w:ind w:left="0" w:right="0"/>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0.1</w:t>
            </w:r>
          </w:p>
        </w:tc>
      </w:tr>
      <w:tr w14:paraId="74364A3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821" w:type="dxa"/>
            <w:vMerge w:val="continue"/>
            <w:vAlign w:val="center"/>
          </w:tcPr>
          <w:p w14:paraId="70D324DE">
            <w:pPr>
              <w:keepNext w:val="0"/>
              <w:keepLines w:val="0"/>
              <w:pageBreakBefore w:val="0"/>
              <w:kinsoku/>
              <w:wordWrap/>
              <w:overflowPunct/>
              <w:topLinePunct w:val="0"/>
              <w:autoSpaceDE/>
              <w:autoSpaceDN/>
              <w:bidi w:val="0"/>
              <w:adjustRightInd w:val="0"/>
              <w:snapToGrid w:val="0"/>
              <w:ind w:left="0" w:right="0"/>
              <w:jc w:val="center"/>
              <w:textAlignment w:val="center"/>
              <w:rPr>
                <w:rFonts w:ascii="Times New Roman" w:hAnsi="Times New Roman" w:cs="Times New Roman"/>
                <w:color w:val="auto"/>
                <w:sz w:val="21"/>
                <w:szCs w:val="21"/>
                <w:highlight w:val="none"/>
              </w:rPr>
            </w:pPr>
          </w:p>
        </w:tc>
        <w:tc>
          <w:tcPr>
            <w:tcW w:w="1731" w:type="dxa"/>
            <w:vAlign w:val="center"/>
          </w:tcPr>
          <w:p w14:paraId="2A34164D">
            <w:pPr>
              <w:keepNext w:val="0"/>
              <w:keepLines w:val="0"/>
              <w:pageBreakBefore w:val="0"/>
              <w:kinsoku/>
              <w:wordWrap/>
              <w:overflowPunct/>
              <w:topLinePunct w:val="0"/>
              <w:autoSpaceDE/>
              <w:autoSpaceDN/>
              <w:bidi w:val="0"/>
              <w:adjustRightInd w:val="0"/>
              <w:snapToGrid w:val="0"/>
              <w:ind w:left="0" w:right="0"/>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苯并（a)芘</w:t>
            </w:r>
          </w:p>
        </w:tc>
        <w:tc>
          <w:tcPr>
            <w:tcW w:w="4471" w:type="dxa"/>
            <w:vMerge w:val="continue"/>
            <w:vAlign w:val="center"/>
          </w:tcPr>
          <w:p w14:paraId="133780DE">
            <w:pPr>
              <w:keepNext w:val="0"/>
              <w:keepLines w:val="0"/>
              <w:pageBreakBefore w:val="0"/>
              <w:kinsoku/>
              <w:wordWrap/>
              <w:overflowPunct/>
              <w:topLinePunct w:val="0"/>
              <w:autoSpaceDE/>
              <w:autoSpaceDN/>
              <w:bidi w:val="0"/>
              <w:adjustRightInd w:val="0"/>
              <w:snapToGrid w:val="0"/>
              <w:ind w:left="0" w:right="0"/>
              <w:jc w:val="center"/>
              <w:textAlignment w:val="center"/>
              <w:rPr>
                <w:rFonts w:ascii="Times New Roman" w:hAnsi="Times New Roman" w:cs="Times New Roman"/>
                <w:color w:val="auto"/>
                <w:sz w:val="21"/>
                <w:szCs w:val="21"/>
                <w:highlight w:val="none"/>
              </w:rPr>
            </w:pPr>
          </w:p>
        </w:tc>
        <w:tc>
          <w:tcPr>
            <w:tcW w:w="1481" w:type="dxa"/>
            <w:vAlign w:val="center"/>
          </w:tcPr>
          <w:p w14:paraId="016ACE7D">
            <w:pPr>
              <w:keepNext w:val="0"/>
              <w:keepLines w:val="0"/>
              <w:pageBreakBefore w:val="0"/>
              <w:kinsoku/>
              <w:wordWrap/>
              <w:overflowPunct/>
              <w:topLinePunct w:val="0"/>
              <w:autoSpaceDE/>
              <w:autoSpaceDN/>
              <w:bidi w:val="0"/>
              <w:adjustRightInd w:val="0"/>
              <w:snapToGrid w:val="0"/>
              <w:ind w:left="0" w:right="0"/>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0.1</w:t>
            </w:r>
          </w:p>
        </w:tc>
      </w:tr>
      <w:tr w14:paraId="7BF4547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821" w:type="dxa"/>
            <w:vMerge w:val="continue"/>
            <w:vAlign w:val="center"/>
          </w:tcPr>
          <w:p w14:paraId="51D7AA1C">
            <w:pPr>
              <w:keepNext w:val="0"/>
              <w:keepLines w:val="0"/>
              <w:pageBreakBefore w:val="0"/>
              <w:kinsoku/>
              <w:wordWrap/>
              <w:overflowPunct/>
              <w:topLinePunct w:val="0"/>
              <w:autoSpaceDE/>
              <w:autoSpaceDN/>
              <w:bidi w:val="0"/>
              <w:adjustRightInd w:val="0"/>
              <w:snapToGrid w:val="0"/>
              <w:ind w:left="0" w:right="0"/>
              <w:jc w:val="center"/>
              <w:textAlignment w:val="center"/>
              <w:rPr>
                <w:rFonts w:ascii="Times New Roman" w:hAnsi="Times New Roman" w:cs="Times New Roman"/>
                <w:color w:val="auto"/>
                <w:sz w:val="21"/>
                <w:szCs w:val="21"/>
                <w:highlight w:val="none"/>
              </w:rPr>
            </w:pPr>
          </w:p>
        </w:tc>
        <w:tc>
          <w:tcPr>
            <w:tcW w:w="1731" w:type="dxa"/>
            <w:vAlign w:val="center"/>
          </w:tcPr>
          <w:p w14:paraId="6160627A">
            <w:pPr>
              <w:keepNext w:val="0"/>
              <w:keepLines w:val="0"/>
              <w:pageBreakBefore w:val="0"/>
              <w:kinsoku/>
              <w:wordWrap/>
              <w:overflowPunct/>
              <w:topLinePunct w:val="0"/>
              <w:autoSpaceDE/>
              <w:autoSpaceDN/>
              <w:bidi w:val="0"/>
              <w:adjustRightInd w:val="0"/>
              <w:snapToGrid w:val="0"/>
              <w:ind w:left="0" w:right="0"/>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茚并（1，2，3-cd)芘</w:t>
            </w:r>
          </w:p>
        </w:tc>
        <w:tc>
          <w:tcPr>
            <w:tcW w:w="4471" w:type="dxa"/>
            <w:vMerge w:val="continue"/>
            <w:vAlign w:val="center"/>
          </w:tcPr>
          <w:p w14:paraId="01BACF44">
            <w:pPr>
              <w:keepNext w:val="0"/>
              <w:keepLines w:val="0"/>
              <w:pageBreakBefore w:val="0"/>
              <w:kinsoku/>
              <w:wordWrap/>
              <w:overflowPunct/>
              <w:topLinePunct w:val="0"/>
              <w:autoSpaceDE/>
              <w:autoSpaceDN/>
              <w:bidi w:val="0"/>
              <w:adjustRightInd w:val="0"/>
              <w:snapToGrid w:val="0"/>
              <w:ind w:left="0" w:right="0"/>
              <w:jc w:val="center"/>
              <w:textAlignment w:val="center"/>
              <w:rPr>
                <w:rFonts w:ascii="Times New Roman" w:hAnsi="Times New Roman" w:cs="Times New Roman"/>
                <w:color w:val="auto"/>
                <w:sz w:val="21"/>
                <w:szCs w:val="21"/>
                <w:highlight w:val="none"/>
              </w:rPr>
            </w:pPr>
          </w:p>
        </w:tc>
        <w:tc>
          <w:tcPr>
            <w:tcW w:w="1481" w:type="dxa"/>
            <w:vAlign w:val="center"/>
          </w:tcPr>
          <w:p w14:paraId="33B6371C">
            <w:pPr>
              <w:keepNext w:val="0"/>
              <w:keepLines w:val="0"/>
              <w:pageBreakBefore w:val="0"/>
              <w:kinsoku/>
              <w:wordWrap/>
              <w:overflowPunct/>
              <w:topLinePunct w:val="0"/>
              <w:autoSpaceDE/>
              <w:autoSpaceDN/>
              <w:bidi w:val="0"/>
              <w:adjustRightInd w:val="0"/>
              <w:snapToGrid w:val="0"/>
              <w:ind w:left="0" w:right="0"/>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0.1</w:t>
            </w:r>
          </w:p>
        </w:tc>
      </w:tr>
      <w:tr w14:paraId="00D21BC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821" w:type="dxa"/>
            <w:vMerge w:val="continue"/>
            <w:vAlign w:val="center"/>
          </w:tcPr>
          <w:p w14:paraId="3AE81C40">
            <w:pPr>
              <w:keepNext w:val="0"/>
              <w:keepLines w:val="0"/>
              <w:pageBreakBefore w:val="0"/>
              <w:kinsoku/>
              <w:wordWrap/>
              <w:overflowPunct/>
              <w:topLinePunct w:val="0"/>
              <w:autoSpaceDE/>
              <w:autoSpaceDN/>
              <w:bidi w:val="0"/>
              <w:adjustRightInd w:val="0"/>
              <w:snapToGrid w:val="0"/>
              <w:ind w:left="0" w:right="0"/>
              <w:jc w:val="center"/>
              <w:textAlignment w:val="center"/>
              <w:rPr>
                <w:rFonts w:ascii="Times New Roman" w:hAnsi="Times New Roman" w:cs="Times New Roman"/>
                <w:color w:val="auto"/>
                <w:sz w:val="21"/>
                <w:szCs w:val="21"/>
                <w:highlight w:val="none"/>
              </w:rPr>
            </w:pPr>
          </w:p>
        </w:tc>
        <w:tc>
          <w:tcPr>
            <w:tcW w:w="1731" w:type="dxa"/>
            <w:vAlign w:val="center"/>
          </w:tcPr>
          <w:p w14:paraId="341519FE">
            <w:pPr>
              <w:keepNext w:val="0"/>
              <w:keepLines w:val="0"/>
              <w:pageBreakBefore w:val="0"/>
              <w:kinsoku/>
              <w:wordWrap/>
              <w:overflowPunct/>
              <w:topLinePunct w:val="0"/>
              <w:autoSpaceDE/>
              <w:autoSpaceDN/>
              <w:bidi w:val="0"/>
              <w:adjustRightInd w:val="0"/>
              <w:snapToGrid w:val="0"/>
              <w:ind w:left="0" w:right="0"/>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二苯并（ah）蒽</w:t>
            </w:r>
          </w:p>
        </w:tc>
        <w:tc>
          <w:tcPr>
            <w:tcW w:w="4471" w:type="dxa"/>
            <w:vMerge w:val="continue"/>
            <w:vAlign w:val="center"/>
          </w:tcPr>
          <w:p w14:paraId="25B7009B">
            <w:pPr>
              <w:keepNext w:val="0"/>
              <w:keepLines w:val="0"/>
              <w:pageBreakBefore w:val="0"/>
              <w:kinsoku/>
              <w:wordWrap/>
              <w:overflowPunct/>
              <w:topLinePunct w:val="0"/>
              <w:autoSpaceDE/>
              <w:autoSpaceDN/>
              <w:bidi w:val="0"/>
              <w:adjustRightInd w:val="0"/>
              <w:snapToGrid w:val="0"/>
              <w:ind w:left="0" w:right="0"/>
              <w:jc w:val="center"/>
              <w:textAlignment w:val="center"/>
              <w:rPr>
                <w:rFonts w:ascii="Times New Roman" w:hAnsi="Times New Roman" w:cs="Times New Roman"/>
                <w:color w:val="auto"/>
                <w:sz w:val="21"/>
                <w:szCs w:val="21"/>
                <w:highlight w:val="none"/>
              </w:rPr>
            </w:pPr>
          </w:p>
        </w:tc>
        <w:tc>
          <w:tcPr>
            <w:tcW w:w="1481" w:type="dxa"/>
            <w:vAlign w:val="center"/>
          </w:tcPr>
          <w:p w14:paraId="541E4B81">
            <w:pPr>
              <w:keepNext w:val="0"/>
              <w:keepLines w:val="0"/>
              <w:pageBreakBefore w:val="0"/>
              <w:kinsoku/>
              <w:wordWrap/>
              <w:overflowPunct/>
              <w:topLinePunct w:val="0"/>
              <w:autoSpaceDE/>
              <w:autoSpaceDN/>
              <w:bidi w:val="0"/>
              <w:adjustRightInd w:val="0"/>
              <w:snapToGrid w:val="0"/>
              <w:ind w:left="0" w:right="0"/>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0.1</w:t>
            </w:r>
          </w:p>
        </w:tc>
      </w:tr>
      <w:tr w14:paraId="5C4D2F1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821" w:type="dxa"/>
            <w:vMerge w:val="continue"/>
            <w:vAlign w:val="center"/>
          </w:tcPr>
          <w:p w14:paraId="6241B74C">
            <w:pPr>
              <w:keepNext w:val="0"/>
              <w:keepLines w:val="0"/>
              <w:pageBreakBefore w:val="0"/>
              <w:kinsoku/>
              <w:wordWrap/>
              <w:overflowPunct/>
              <w:topLinePunct w:val="0"/>
              <w:autoSpaceDE/>
              <w:autoSpaceDN/>
              <w:bidi w:val="0"/>
              <w:adjustRightInd w:val="0"/>
              <w:snapToGrid w:val="0"/>
              <w:ind w:left="0" w:right="0"/>
              <w:jc w:val="center"/>
              <w:textAlignment w:val="center"/>
              <w:rPr>
                <w:rFonts w:ascii="Times New Roman" w:hAnsi="Times New Roman" w:cs="Times New Roman"/>
                <w:color w:val="auto"/>
                <w:sz w:val="21"/>
                <w:szCs w:val="21"/>
                <w:highlight w:val="none"/>
              </w:rPr>
            </w:pPr>
          </w:p>
        </w:tc>
        <w:tc>
          <w:tcPr>
            <w:tcW w:w="1731" w:type="dxa"/>
            <w:vAlign w:val="center"/>
          </w:tcPr>
          <w:p w14:paraId="7B456CF7">
            <w:pPr>
              <w:keepNext w:val="0"/>
              <w:keepLines w:val="0"/>
              <w:pageBreakBefore w:val="0"/>
              <w:kinsoku/>
              <w:wordWrap/>
              <w:overflowPunct/>
              <w:topLinePunct w:val="0"/>
              <w:autoSpaceDE/>
              <w:autoSpaceDN/>
              <w:bidi w:val="0"/>
              <w:adjustRightInd w:val="0"/>
              <w:snapToGrid w:val="0"/>
              <w:ind w:left="0" w:right="0"/>
              <w:jc w:val="center"/>
              <w:rPr>
                <w:rFonts w:ascii="Times New Roman" w:hAnsi="Times New Roman" w:cs="Times New Roman"/>
                <w:color w:val="auto"/>
                <w:sz w:val="21"/>
                <w:szCs w:val="21"/>
                <w:highlight w:val="none"/>
              </w:rPr>
            </w:pPr>
            <w:r>
              <w:rPr>
                <w:rFonts w:ascii="Times New Roman" w:hAnsi="Times New Roman" w:cs="Times New Roman"/>
                <w:color w:val="auto"/>
                <w:sz w:val="20"/>
                <w:szCs w:val="20"/>
                <w:highlight w:val="none"/>
                <w:lang w:bidi="ar"/>
              </w:rPr>
              <w:t>苯胺</w:t>
            </w:r>
          </w:p>
        </w:tc>
        <w:tc>
          <w:tcPr>
            <w:tcW w:w="4471" w:type="dxa"/>
            <w:vMerge w:val="continue"/>
            <w:vAlign w:val="center"/>
          </w:tcPr>
          <w:p w14:paraId="616EE2AE">
            <w:pPr>
              <w:keepNext w:val="0"/>
              <w:keepLines w:val="0"/>
              <w:pageBreakBefore w:val="0"/>
              <w:kinsoku/>
              <w:wordWrap/>
              <w:overflowPunct/>
              <w:topLinePunct w:val="0"/>
              <w:autoSpaceDE/>
              <w:autoSpaceDN/>
              <w:bidi w:val="0"/>
              <w:adjustRightInd w:val="0"/>
              <w:snapToGrid w:val="0"/>
              <w:ind w:left="0" w:right="0"/>
              <w:jc w:val="center"/>
              <w:textAlignment w:val="center"/>
              <w:rPr>
                <w:rFonts w:ascii="Times New Roman" w:hAnsi="Times New Roman" w:cs="Times New Roman"/>
                <w:color w:val="auto"/>
                <w:sz w:val="21"/>
                <w:szCs w:val="21"/>
                <w:highlight w:val="none"/>
              </w:rPr>
            </w:pPr>
          </w:p>
        </w:tc>
        <w:tc>
          <w:tcPr>
            <w:tcW w:w="1481" w:type="dxa"/>
            <w:vAlign w:val="center"/>
          </w:tcPr>
          <w:p w14:paraId="032C7099">
            <w:pPr>
              <w:keepNext w:val="0"/>
              <w:keepLines w:val="0"/>
              <w:pageBreakBefore w:val="0"/>
              <w:kinsoku/>
              <w:wordWrap/>
              <w:overflowPunct/>
              <w:topLinePunct w:val="0"/>
              <w:autoSpaceDE/>
              <w:autoSpaceDN/>
              <w:bidi w:val="0"/>
              <w:adjustRightInd w:val="0"/>
              <w:snapToGrid w:val="0"/>
              <w:ind w:left="0" w:right="0"/>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0.1</w:t>
            </w:r>
          </w:p>
        </w:tc>
      </w:tr>
    </w:tbl>
    <w:p w14:paraId="71151009">
      <w:pPr>
        <w:spacing w:line="360" w:lineRule="auto"/>
        <w:ind w:left="-105" w:right="-105" w:firstLine="480" w:firstLineChars="200"/>
        <w:rPr>
          <w:rFonts w:ascii="Times New Roman" w:hAnsi="Times New Roman"/>
          <w:color w:val="auto"/>
          <w:highlight w:val="none"/>
        </w:rPr>
      </w:pPr>
      <w:r>
        <w:rPr>
          <w:rFonts w:hint="eastAsia" w:ascii="Times New Roman" w:hAnsi="Times New Roman"/>
          <w:color w:val="auto"/>
          <w:highlight w:val="none"/>
        </w:rPr>
        <w:t>（5）</w:t>
      </w:r>
      <w:r>
        <w:rPr>
          <w:rFonts w:ascii="Times New Roman" w:hAnsi="Times New Roman" w:cs="Times New Roman"/>
          <w:color w:val="auto"/>
          <w:highlight w:val="none"/>
        </w:rPr>
        <w:t>理化性质调查</w:t>
      </w:r>
    </w:p>
    <w:p w14:paraId="3F17F648">
      <w:pPr>
        <w:spacing w:line="360" w:lineRule="auto"/>
        <w:ind w:left="-105" w:right="-105" w:firstLine="480" w:firstLineChars="200"/>
        <w:rPr>
          <w:rFonts w:ascii="Times New Roman" w:hAnsi="Times New Roman"/>
          <w:color w:val="auto"/>
          <w:highlight w:val="none"/>
        </w:rPr>
      </w:pPr>
      <w:r>
        <w:rPr>
          <w:rFonts w:ascii="Times New Roman" w:hAnsi="Times New Roman"/>
          <w:color w:val="auto"/>
          <w:highlight w:val="none"/>
        </w:rPr>
        <w:t>根据厂区勘察资料分析，</w:t>
      </w:r>
      <w:r>
        <w:rPr>
          <w:rFonts w:hint="eastAsia" w:ascii="Times New Roman" w:hAnsi="Times New Roman"/>
          <w:color w:val="auto"/>
          <w:highlight w:val="none"/>
        </w:rPr>
        <w:t>拟建场地在勘探深度内均为第四纪冲积、淤积层，属长江中下游冲积层。场地地表下25.2米深范围内土层，呈多层结构，按土类不同，可分为7个层次，各土层基本上为水平层状分布，土层垂直分布（由浅至深）及特征描述于下：</w:t>
      </w:r>
    </w:p>
    <w:p w14:paraId="63E8612D">
      <w:pPr>
        <w:spacing w:line="360" w:lineRule="auto"/>
        <w:ind w:left="-105" w:right="-105" w:firstLine="480" w:firstLineChars="200"/>
        <w:rPr>
          <w:rFonts w:ascii="Times New Roman" w:hAnsi="Times New Roman"/>
          <w:color w:val="auto"/>
          <w:highlight w:val="none"/>
        </w:rPr>
      </w:pPr>
      <w:r>
        <w:rPr>
          <w:rFonts w:hint="eastAsia" w:ascii="Times New Roman" w:hAnsi="Times New Roman"/>
          <w:color w:val="auto"/>
          <w:highlight w:val="none"/>
        </w:rPr>
        <w:t>1）填土：杂色，松软，表部为耕土，含植物根茎，偶含碎破块，均匀性及稳定性差。层厚0.6~2.4m。该层层底标高1.99~3.87m。</w:t>
      </w:r>
    </w:p>
    <w:p w14:paraId="1F03EB60">
      <w:pPr>
        <w:spacing w:line="360" w:lineRule="auto"/>
        <w:ind w:left="-105" w:right="-105" w:firstLine="480" w:firstLineChars="200"/>
        <w:rPr>
          <w:rFonts w:ascii="Times New Roman" w:hAnsi="Times New Roman"/>
          <w:color w:val="auto"/>
          <w:highlight w:val="none"/>
        </w:rPr>
      </w:pPr>
      <w:r>
        <w:rPr>
          <w:rFonts w:hint="eastAsia" w:ascii="Times New Roman" w:hAnsi="Times New Roman"/>
          <w:color w:val="auto"/>
          <w:highlight w:val="none"/>
        </w:rPr>
        <w:t>2）粉质粘土：灰黄色，硬塑状为主，局部为可塑，含铁锰氧化物条斑及其结核，无摇振反应，切面有光泽，干强度和韧性中~高，中等压缩性。该层土普遍分布，层厚3.4~5.2m。该层层底标高-1.65~-0.73m。</w:t>
      </w:r>
    </w:p>
    <w:p w14:paraId="75B2BE4A">
      <w:pPr>
        <w:spacing w:line="360" w:lineRule="auto"/>
        <w:ind w:left="-105" w:right="-105" w:firstLine="480" w:firstLineChars="200"/>
        <w:rPr>
          <w:rFonts w:ascii="Times New Roman" w:hAnsi="Times New Roman"/>
          <w:color w:val="auto"/>
          <w:highlight w:val="none"/>
        </w:rPr>
      </w:pPr>
      <w:r>
        <w:rPr>
          <w:rFonts w:hint="eastAsia" w:ascii="Times New Roman" w:hAnsi="Times New Roman"/>
          <w:color w:val="auto"/>
          <w:highlight w:val="none"/>
        </w:rPr>
        <w:t>3）粉质粘土夹粉土：灰黄色～灰色，软塑状，含云母碎屑，具层里，切面无光泽，干强度中“低、韧性中～低。该层土普遍分布，层厚5.1~8.2m。该层层底标高-9.37~-6.51m。</w:t>
      </w:r>
    </w:p>
    <w:p w14:paraId="2FC910BE">
      <w:pPr>
        <w:spacing w:line="360" w:lineRule="auto"/>
        <w:ind w:left="-105" w:right="-105" w:firstLine="480" w:firstLineChars="200"/>
        <w:rPr>
          <w:rFonts w:ascii="Times New Roman" w:hAnsi="Times New Roman"/>
          <w:color w:val="auto"/>
          <w:highlight w:val="none"/>
        </w:rPr>
      </w:pPr>
      <w:r>
        <w:rPr>
          <w:rFonts w:hint="eastAsia" w:ascii="Times New Roman" w:hAnsi="Times New Roman"/>
          <w:color w:val="auto"/>
          <w:highlight w:val="none"/>
        </w:rPr>
        <w:t>3-J）粉土：灰色，稍密，夹粉质粘土，摇震反应中等，干强度和韧性低，中压缩性。该层非全场分布，二工场车间东南角与恒温仓库西南角处渐变为粉质粘土，厚度1.5~2.7m。该层层底标高-9.21~-8.52m。</w:t>
      </w:r>
    </w:p>
    <w:p w14:paraId="5725596F">
      <w:pPr>
        <w:spacing w:line="360" w:lineRule="auto"/>
        <w:ind w:left="-105" w:right="-105" w:firstLine="480" w:firstLineChars="200"/>
        <w:rPr>
          <w:rFonts w:ascii="Times New Roman" w:hAnsi="Times New Roman"/>
          <w:color w:val="auto"/>
          <w:highlight w:val="none"/>
        </w:rPr>
      </w:pPr>
      <w:r>
        <w:rPr>
          <w:rFonts w:hint="eastAsia" w:ascii="Times New Roman" w:hAnsi="Times New Roman"/>
          <w:color w:val="auto"/>
          <w:highlight w:val="none"/>
        </w:rPr>
        <w:t>4）粉质粘土：灰色～灰褐色，可塑~硬可塑状，含铁锰氧化物，无摇震反应，切面有光泽，干强度和韧性中等，中等压缩性。厚度1.5~2.3m。该层层底标高-11.46~-10.69m。</w:t>
      </w:r>
    </w:p>
    <w:p w14:paraId="05976242">
      <w:pPr>
        <w:spacing w:line="360" w:lineRule="auto"/>
        <w:ind w:left="-105" w:right="-105" w:firstLine="480" w:firstLineChars="200"/>
        <w:rPr>
          <w:rFonts w:ascii="Times New Roman" w:hAnsi="Times New Roman"/>
          <w:color w:val="auto"/>
          <w:highlight w:val="none"/>
        </w:rPr>
      </w:pPr>
      <w:r>
        <w:rPr>
          <w:rFonts w:hint="eastAsia" w:ascii="Times New Roman" w:hAnsi="Times New Roman"/>
          <w:color w:val="auto"/>
          <w:highlight w:val="none"/>
        </w:rPr>
        <w:t>5）粉质粘土：褐黄色，可塑～硬塑状，含铁锰氧化物，无摇震反应，切面有光泽，干强度和韧性中等。该层厚度在7.6~8.3m,层底标高-19.36~-18.83m。</w:t>
      </w:r>
    </w:p>
    <w:p w14:paraId="3DDBF4B7">
      <w:pPr>
        <w:spacing w:line="360" w:lineRule="auto"/>
        <w:ind w:left="-105" w:right="-105" w:firstLine="480" w:firstLineChars="200"/>
        <w:rPr>
          <w:rFonts w:ascii="Times New Roman" w:hAnsi="Times New Roman"/>
          <w:color w:val="auto"/>
          <w:highlight w:val="none"/>
        </w:rPr>
      </w:pPr>
      <w:r>
        <w:rPr>
          <w:rFonts w:hint="eastAsia" w:ascii="Times New Roman" w:hAnsi="Times New Roman"/>
          <w:color w:val="auto"/>
          <w:highlight w:val="none"/>
        </w:rPr>
        <w:t>6）粉质粘土：灰黄色，软塑”可塑状，偶夹粉土，切面稍有光泽，干强度和韧性中等。该层未揭穿。</w:t>
      </w:r>
    </w:p>
    <w:p w14:paraId="58DBE8AD">
      <w:pPr>
        <w:spacing w:before="120" w:beforeLines="50" w:line="360" w:lineRule="auto"/>
        <w:ind w:left="-105" w:right="-105"/>
        <w:rPr>
          <w:rFonts w:ascii="Times New Roman" w:hAnsi="Times New Roman"/>
          <w:color w:val="auto"/>
          <w:highlight w:val="none"/>
        </w:rPr>
      </w:pPr>
      <w:r>
        <w:rPr>
          <w:color w:val="auto"/>
          <w:highlight w:val="none"/>
        </w:rPr>
        <w:drawing>
          <wp:inline distT="0" distB="0" distL="114300" distR="114300">
            <wp:extent cx="5393690" cy="3917950"/>
            <wp:effectExtent l="0" t="0" r="16510" b="6350"/>
            <wp:docPr id="85"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图片 18"/>
                    <pic:cNvPicPr>
                      <a:picLocks noChangeAspect="1"/>
                    </pic:cNvPicPr>
                  </pic:nvPicPr>
                  <pic:blipFill>
                    <a:blip r:embed="rId45"/>
                    <a:stretch>
                      <a:fillRect/>
                    </a:stretch>
                  </pic:blipFill>
                  <pic:spPr>
                    <a:xfrm>
                      <a:off x="0" y="0"/>
                      <a:ext cx="5393690" cy="3917950"/>
                    </a:xfrm>
                    <a:prstGeom prst="rect">
                      <a:avLst/>
                    </a:prstGeom>
                    <a:noFill/>
                    <a:ln>
                      <a:noFill/>
                    </a:ln>
                  </pic:spPr>
                </pic:pic>
              </a:graphicData>
            </a:graphic>
          </wp:inline>
        </w:drawing>
      </w:r>
    </w:p>
    <w:p w14:paraId="7C04B85B">
      <w:pPr>
        <w:pStyle w:val="15"/>
        <w:ind w:left="-105" w:right="-105"/>
        <w:rPr>
          <w:rFonts w:eastAsia="宋体"/>
          <w:color w:val="auto"/>
          <w:kern w:val="0"/>
          <w:sz w:val="24"/>
          <w:szCs w:val="24"/>
          <w:highlight w:val="none"/>
        </w:rPr>
      </w:pPr>
      <w:r>
        <w:rPr>
          <w:rFonts w:hint="eastAsia" w:ascii="宋体" w:hAnsi="宋体" w:eastAsia="宋体" w:cs="宋体"/>
          <w:color w:val="auto"/>
          <w:sz w:val="24"/>
          <w:szCs w:val="24"/>
          <w:highlight w:val="none"/>
        </w:rPr>
        <w:t xml:space="preserve">图 </w:t>
      </w:r>
      <w:r>
        <w:rPr>
          <w:color w:val="auto"/>
          <w:sz w:val="24"/>
          <w:szCs w:val="24"/>
          <w:highlight w:val="none"/>
        </w:rPr>
        <w:fldChar w:fldCharType="begin"/>
      </w:r>
      <w:r>
        <w:rPr>
          <w:color w:val="auto"/>
          <w:sz w:val="24"/>
          <w:szCs w:val="24"/>
          <w:highlight w:val="none"/>
        </w:rPr>
        <w:instrText xml:space="preserve"> STYLEREF 2 \s </w:instrText>
      </w:r>
      <w:r>
        <w:rPr>
          <w:color w:val="auto"/>
          <w:sz w:val="24"/>
          <w:szCs w:val="24"/>
          <w:highlight w:val="none"/>
        </w:rPr>
        <w:fldChar w:fldCharType="separate"/>
      </w:r>
      <w:r>
        <w:rPr>
          <w:color w:val="auto"/>
          <w:sz w:val="24"/>
          <w:szCs w:val="24"/>
          <w:highlight w:val="none"/>
        </w:rPr>
        <w:t>5.3</w:t>
      </w:r>
      <w:r>
        <w:rPr>
          <w:color w:val="auto"/>
          <w:sz w:val="24"/>
          <w:szCs w:val="24"/>
          <w:highlight w:val="none"/>
        </w:rPr>
        <w:fldChar w:fldCharType="end"/>
      </w:r>
      <w:r>
        <w:rPr>
          <w:rFonts w:hint="eastAsia"/>
          <w:color w:val="auto"/>
          <w:sz w:val="24"/>
          <w:szCs w:val="24"/>
          <w:highlight w:val="none"/>
        </w:rPr>
        <w:t>-</w:t>
      </w:r>
      <w:r>
        <w:rPr>
          <w:color w:val="auto"/>
          <w:sz w:val="24"/>
          <w:szCs w:val="24"/>
          <w:highlight w:val="none"/>
        </w:rPr>
        <w:fldChar w:fldCharType="begin"/>
      </w:r>
      <w:r>
        <w:rPr>
          <w:color w:val="auto"/>
          <w:sz w:val="24"/>
          <w:szCs w:val="24"/>
          <w:highlight w:val="none"/>
        </w:rPr>
        <w:instrText xml:space="preserve"> SEQ 图 \* ARABIC \s 2 </w:instrText>
      </w:r>
      <w:r>
        <w:rPr>
          <w:color w:val="auto"/>
          <w:sz w:val="24"/>
          <w:szCs w:val="24"/>
          <w:highlight w:val="none"/>
        </w:rPr>
        <w:fldChar w:fldCharType="separate"/>
      </w:r>
      <w:r>
        <w:rPr>
          <w:color w:val="auto"/>
          <w:sz w:val="24"/>
          <w:szCs w:val="24"/>
          <w:highlight w:val="none"/>
        </w:rPr>
        <w:t>1</w:t>
      </w:r>
      <w:r>
        <w:rPr>
          <w:color w:val="auto"/>
          <w:sz w:val="24"/>
          <w:szCs w:val="24"/>
          <w:highlight w:val="none"/>
        </w:rPr>
        <w:fldChar w:fldCharType="end"/>
      </w:r>
      <w:r>
        <w:rPr>
          <w:rFonts w:eastAsia="宋体"/>
          <w:color w:val="auto"/>
          <w:sz w:val="24"/>
          <w:szCs w:val="24"/>
          <w:highlight w:val="none"/>
        </w:rPr>
        <w:t>场地工程地质剖面图</w:t>
      </w:r>
    </w:p>
    <w:p w14:paraId="6395FF7F">
      <w:pPr>
        <w:spacing w:before="120" w:beforeLines="50" w:line="360" w:lineRule="auto"/>
        <w:ind w:left="-105" w:right="-105" w:firstLine="480" w:firstLineChars="200"/>
        <w:rPr>
          <w:rFonts w:ascii="Times New Roman" w:hAnsi="Times New Roman" w:cs="Times New Roman"/>
          <w:color w:val="auto"/>
          <w:highlight w:val="none"/>
        </w:rPr>
      </w:pPr>
      <w:r>
        <w:rPr>
          <w:rFonts w:ascii="Times New Roman" w:hAnsi="Times New Roman" w:cs="Times New Roman"/>
          <w:color w:val="auto"/>
          <w:highlight w:val="none"/>
        </w:rPr>
        <w:t>企业委托无锡恒信安全技术服务有限公司于</w:t>
      </w:r>
      <w:r>
        <w:rPr>
          <w:rFonts w:hint="eastAsia" w:ascii="Times New Roman" w:hAnsi="Times New Roman" w:cs="Times New Roman"/>
          <w:color w:val="auto"/>
          <w:highlight w:val="none"/>
        </w:rPr>
        <w:t>2024</w:t>
      </w:r>
      <w:r>
        <w:rPr>
          <w:rFonts w:ascii="Times New Roman" w:hAnsi="Times New Roman" w:cs="Times New Roman"/>
          <w:color w:val="auto"/>
          <w:highlight w:val="none"/>
        </w:rPr>
        <w:t>.</w:t>
      </w:r>
      <w:r>
        <w:rPr>
          <w:rFonts w:hint="eastAsia" w:ascii="Times New Roman" w:hAnsi="Times New Roman" w:cs="Times New Roman"/>
          <w:color w:val="auto"/>
          <w:highlight w:val="none"/>
        </w:rPr>
        <w:t>4.25</w:t>
      </w:r>
      <w:r>
        <w:rPr>
          <w:rFonts w:ascii="Times New Roman" w:hAnsi="Times New Roman" w:cs="Times New Roman"/>
          <w:color w:val="auto"/>
          <w:highlight w:val="none"/>
        </w:rPr>
        <w:t>在厂区</w:t>
      </w:r>
      <w:r>
        <w:rPr>
          <w:rFonts w:hint="eastAsia" w:ascii="Times New Roman" w:hAnsi="Times New Roman" w:cs="Times New Roman"/>
          <w:color w:val="auto"/>
          <w:highlight w:val="none"/>
        </w:rPr>
        <w:t>外</w:t>
      </w:r>
      <w:r>
        <w:rPr>
          <w:rFonts w:ascii="Times New Roman" w:hAnsi="Times New Roman" w:cs="Times New Roman"/>
          <w:color w:val="auto"/>
          <w:highlight w:val="none"/>
        </w:rPr>
        <w:t>东南侧</w:t>
      </w:r>
      <w:r>
        <w:rPr>
          <w:rFonts w:hint="eastAsia" w:ascii="Times New Roman" w:hAnsi="Times New Roman" w:cs="Times New Roman"/>
          <w:color w:val="auto"/>
          <w:highlight w:val="none"/>
        </w:rPr>
        <w:t>、西侧</w:t>
      </w:r>
      <w:r>
        <w:rPr>
          <w:rFonts w:ascii="Times New Roman" w:hAnsi="Times New Roman" w:cs="Times New Roman"/>
          <w:color w:val="auto"/>
          <w:highlight w:val="none"/>
        </w:rPr>
        <w:t>土壤监测点T</w:t>
      </w:r>
      <w:r>
        <w:rPr>
          <w:rFonts w:hint="eastAsia" w:ascii="Times New Roman" w:hAnsi="Times New Roman" w:cs="Times New Roman"/>
          <w:color w:val="auto"/>
          <w:highlight w:val="none"/>
        </w:rPr>
        <w:t>2-</w:t>
      </w:r>
      <w:r>
        <w:rPr>
          <w:rFonts w:ascii="Times New Roman" w:hAnsi="Times New Roman" w:cs="Times New Roman"/>
          <w:color w:val="auto"/>
          <w:highlight w:val="none"/>
        </w:rPr>
        <w:t>1</w:t>
      </w:r>
      <w:r>
        <w:rPr>
          <w:rFonts w:hint="eastAsia" w:ascii="Times New Roman" w:hAnsi="Times New Roman" w:cs="Times New Roman"/>
          <w:color w:val="auto"/>
          <w:highlight w:val="none"/>
        </w:rPr>
        <w:t>、T2-2</w:t>
      </w:r>
      <w:r>
        <w:rPr>
          <w:rFonts w:ascii="Times New Roman" w:hAnsi="Times New Roman" w:cs="Times New Roman"/>
          <w:color w:val="auto"/>
          <w:highlight w:val="none"/>
        </w:rPr>
        <w:t>处开展土壤理化性质调查，根据无锡恒信安全技术服务有限公司出具的检测结果报告单，土壤监测点T</w:t>
      </w:r>
      <w:r>
        <w:rPr>
          <w:rFonts w:hint="eastAsia" w:ascii="Times New Roman" w:hAnsi="Times New Roman" w:cs="Times New Roman"/>
          <w:color w:val="auto"/>
          <w:highlight w:val="none"/>
        </w:rPr>
        <w:t>2-</w:t>
      </w:r>
      <w:r>
        <w:rPr>
          <w:rFonts w:ascii="Times New Roman" w:hAnsi="Times New Roman" w:cs="Times New Roman"/>
          <w:color w:val="auto"/>
          <w:highlight w:val="none"/>
        </w:rPr>
        <w:t>1</w:t>
      </w:r>
      <w:r>
        <w:rPr>
          <w:rFonts w:hint="eastAsia" w:ascii="Times New Roman" w:hAnsi="Times New Roman" w:cs="Times New Roman"/>
          <w:color w:val="auto"/>
          <w:highlight w:val="none"/>
        </w:rPr>
        <w:t>、T2-2</w:t>
      </w:r>
      <w:r>
        <w:rPr>
          <w:rFonts w:ascii="Times New Roman" w:hAnsi="Times New Roman" w:cs="Times New Roman"/>
          <w:color w:val="auto"/>
          <w:highlight w:val="none"/>
        </w:rPr>
        <w:t>处土壤理化性质调查结果见</w:t>
      </w:r>
      <w:r>
        <w:rPr>
          <w:rFonts w:ascii="Times New Roman" w:hAnsi="Times New Roman" w:cs="Times New Roman"/>
          <w:color w:val="auto"/>
          <w:highlight w:val="none"/>
        </w:rPr>
        <w:fldChar w:fldCharType="begin"/>
      </w:r>
      <w:r>
        <w:rPr>
          <w:rFonts w:ascii="Times New Roman" w:hAnsi="Times New Roman" w:cs="Times New Roman"/>
          <w:color w:val="auto"/>
          <w:highlight w:val="none"/>
        </w:rPr>
        <w:instrText xml:space="preserve"> REF _Ref122 \h </w:instrText>
      </w:r>
      <w:r>
        <w:rPr>
          <w:rFonts w:ascii="Times New Roman" w:hAnsi="Times New Roman" w:cs="Times New Roman"/>
          <w:color w:val="auto"/>
          <w:highlight w:val="none"/>
        </w:rPr>
        <w:fldChar w:fldCharType="separate"/>
      </w:r>
      <w:r>
        <w:rPr>
          <w:rFonts w:ascii="Times New Roman" w:hAnsi="Times New Roman" w:cs="Times New Roman"/>
          <w:color w:val="auto"/>
          <w:highlight w:val="none"/>
        </w:rPr>
        <w:t xml:space="preserve">表 </w:t>
      </w:r>
      <w:r>
        <w:rPr>
          <w:rFonts w:ascii="Times New Roman" w:hAnsi="Times New Roman" w:cs="Times New Roman"/>
          <w:color w:val="auto"/>
          <w:highlight w:val="none"/>
        </w:rPr>
        <w:fldChar w:fldCharType="begin"/>
      </w:r>
      <w:r>
        <w:rPr>
          <w:rFonts w:ascii="Times New Roman" w:hAnsi="Times New Roman" w:cs="Times New Roman"/>
          <w:color w:val="auto"/>
          <w:highlight w:val="none"/>
        </w:rPr>
        <w:instrText xml:space="preserve"> STYLEREF 2 \s </w:instrText>
      </w:r>
      <w:r>
        <w:rPr>
          <w:rFonts w:ascii="Times New Roman" w:hAnsi="Times New Roman" w:cs="Times New Roman"/>
          <w:color w:val="auto"/>
          <w:highlight w:val="none"/>
        </w:rPr>
        <w:fldChar w:fldCharType="separate"/>
      </w:r>
      <w:r>
        <w:rPr>
          <w:rFonts w:ascii="Times New Roman" w:hAnsi="Times New Roman" w:cs="Times New Roman"/>
          <w:color w:val="auto"/>
          <w:highlight w:val="none"/>
        </w:rPr>
        <w:t>5.3</w:t>
      </w:r>
      <w:r>
        <w:rPr>
          <w:rFonts w:ascii="Times New Roman" w:hAnsi="Times New Roman" w:cs="Times New Roman"/>
          <w:color w:val="auto"/>
          <w:highlight w:val="none"/>
        </w:rPr>
        <w:fldChar w:fldCharType="end"/>
      </w:r>
      <w:r>
        <w:rPr>
          <w:rFonts w:ascii="Times New Roman" w:hAnsi="Times New Roman" w:cs="Times New Roman"/>
          <w:color w:val="auto"/>
          <w:highlight w:val="none"/>
        </w:rPr>
        <w:noBreakHyphen/>
      </w:r>
      <w:r>
        <w:rPr>
          <w:rFonts w:ascii="Times New Roman" w:hAnsi="Times New Roman" w:cs="Times New Roman"/>
          <w:color w:val="auto"/>
          <w:highlight w:val="none"/>
        </w:rPr>
        <w:t>11</w:t>
      </w:r>
      <w:r>
        <w:rPr>
          <w:rFonts w:ascii="Times New Roman" w:hAnsi="Times New Roman" w:cs="Times New Roman"/>
          <w:color w:val="auto"/>
          <w:highlight w:val="none"/>
        </w:rPr>
        <w:fldChar w:fldCharType="end"/>
      </w:r>
      <w:r>
        <w:rPr>
          <w:rFonts w:ascii="Times New Roman" w:hAnsi="Times New Roman" w:cs="Times New Roman"/>
          <w:color w:val="auto"/>
          <w:highlight w:val="none"/>
        </w:rPr>
        <w:t>。</w:t>
      </w:r>
    </w:p>
    <w:p w14:paraId="419CC5AD">
      <w:pPr>
        <w:pStyle w:val="14"/>
        <w:adjustRightInd w:val="0"/>
        <w:snapToGrid w:val="0"/>
        <w:spacing w:line="360" w:lineRule="auto"/>
        <w:ind w:left="-105" w:right="-105" w:firstLine="482"/>
        <w:jc w:val="center"/>
        <w:rPr>
          <w:rFonts w:ascii="Times New Roman" w:hAnsi="Times New Roman" w:cs="Times New Roman"/>
          <w:b/>
          <w:color w:val="auto"/>
          <w:sz w:val="24"/>
          <w:highlight w:val="none"/>
        </w:rPr>
      </w:pPr>
      <w:bookmarkStart w:id="355" w:name="_Ref122"/>
      <w:r>
        <w:rPr>
          <w:rFonts w:ascii="Times New Roman" w:hAnsi="Times New Roman" w:cs="Times New Roman"/>
          <w:b/>
          <w:color w:val="auto"/>
          <w:sz w:val="24"/>
          <w:highlight w:val="none"/>
        </w:rPr>
        <w:t xml:space="preserve">表 </w:t>
      </w:r>
      <w:r>
        <w:rPr>
          <w:rFonts w:ascii="Times New Roman" w:hAnsi="Times New Roman" w:cs="Times New Roman"/>
          <w:b/>
          <w:color w:val="auto"/>
          <w:sz w:val="24"/>
          <w:highlight w:val="none"/>
        </w:rPr>
        <w:fldChar w:fldCharType="begin"/>
      </w:r>
      <w:r>
        <w:rPr>
          <w:rFonts w:ascii="Times New Roman" w:hAnsi="Times New Roman" w:cs="Times New Roman"/>
          <w:b/>
          <w:color w:val="auto"/>
          <w:sz w:val="24"/>
          <w:highlight w:val="none"/>
        </w:rPr>
        <w:instrText xml:space="preserve"> STYLEREF 2 \s </w:instrText>
      </w:r>
      <w:r>
        <w:rPr>
          <w:rFonts w:ascii="Times New Roman" w:hAnsi="Times New Roman" w:cs="Times New Roman"/>
          <w:b/>
          <w:color w:val="auto"/>
          <w:sz w:val="24"/>
          <w:highlight w:val="none"/>
        </w:rPr>
        <w:fldChar w:fldCharType="separate"/>
      </w:r>
      <w:r>
        <w:rPr>
          <w:rFonts w:ascii="Times New Roman" w:hAnsi="Times New Roman" w:cs="Times New Roman"/>
          <w:b/>
          <w:color w:val="auto"/>
          <w:sz w:val="24"/>
          <w:highlight w:val="none"/>
        </w:rPr>
        <w:t>5.3</w:t>
      </w:r>
      <w:r>
        <w:rPr>
          <w:rFonts w:ascii="Times New Roman" w:hAnsi="Times New Roman" w:cs="Times New Roman"/>
          <w:b/>
          <w:color w:val="auto"/>
          <w:sz w:val="24"/>
          <w:highlight w:val="none"/>
        </w:rPr>
        <w:fldChar w:fldCharType="end"/>
      </w:r>
      <w:r>
        <w:rPr>
          <w:rFonts w:ascii="Times New Roman" w:hAnsi="Times New Roman" w:cs="Times New Roman"/>
          <w:b/>
          <w:color w:val="auto"/>
          <w:sz w:val="24"/>
          <w:highlight w:val="none"/>
        </w:rPr>
        <w:noBreakHyphen/>
      </w:r>
      <w:r>
        <w:rPr>
          <w:rFonts w:ascii="Times New Roman" w:hAnsi="Times New Roman" w:cs="Times New Roman"/>
          <w:b/>
          <w:color w:val="auto"/>
          <w:sz w:val="24"/>
          <w:highlight w:val="none"/>
        </w:rPr>
        <w:fldChar w:fldCharType="begin"/>
      </w:r>
      <w:r>
        <w:rPr>
          <w:rFonts w:ascii="Times New Roman" w:hAnsi="Times New Roman" w:cs="Times New Roman"/>
          <w:b/>
          <w:color w:val="auto"/>
          <w:sz w:val="24"/>
          <w:highlight w:val="none"/>
        </w:rPr>
        <w:instrText xml:space="preserve"> SEQ 表 \* ARABIC \s 2 </w:instrText>
      </w:r>
      <w:r>
        <w:rPr>
          <w:rFonts w:ascii="Times New Roman" w:hAnsi="Times New Roman" w:cs="Times New Roman"/>
          <w:b/>
          <w:color w:val="auto"/>
          <w:sz w:val="24"/>
          <w:highlight w:val="none"/>
        </w:rPr>
        <w:fldChar w:fldCharType="separate"/>
      </w:r>
      <w:r>
        <w:rPr>
          <w:rFonts w:ascii="Times New Roman" w:hAnsi="Times New Roman" w:cs="Times New Roman"/>
          <w:b/>
          <w:color w:val="auto"/>
          <w:sz w:val="24"/>
          <w:highlight w:val="none"/>
        </w:rPr>
        <w:t>11</w:t>
      </w:r>
      <w:r>
        <w:rPr>
          <w:rFonts w:ascii="Times New Roman" w:hAnsi="Times New Roman" w:cs="Times New Roman"/>
          <w:b/>
          <w:color w:val="auto"/>
          <w:sz w:val="24"/>
          <w:highlight w:val="none"/>
        </w:rPr>
        <w:fldChar w:fldCharType="end"/>
      </w:r>
      <w:bookmarkEnd w:id="355"/>
      <w:r>
        <w:rPr>
          <w:rFonts w:ascii="Times New Roman" w:hAnsi="Times New Roman" w:cs="Times New Roman"/>
          <w:b/>
          <w:color w:val="auto"/>
          <w:sz w:val="24"/>
          <w:highlight w:val="none"/>
        </w:rPr>
        <w:t xml:space="preserve"> 土壤理化性质调查表</w:t>
      </w:r>
    </w:p>
    <w:tbl>
      <w:tblPr>
        <w:tblStyle w:val="45"/>
        <w:tblW w:w="5000" w:type="pct"/>
        <w:tblInd w:w="0" w:type="dxa"/>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
      <w:tblGrid>
        <w:gridCol w:w="1387"/>
        <w:gridCol w:w="2266"/>
        <w:gridCol w:w="1558"/>
        <w:gridCol w:w="3509"/>
      </w:tblGrid>
      <w:tr w14:paraId="6B5F9809">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1385" w:type="dxa"/>
            <w:tcBorders>
              <w:bottom w:val="single" w:color="auto" w:sz="4" w:space="0"/>
              <w:right w:val="single" w:color="auto" w:sz="4" w:space="0"/>
            </w:tcBorders>
            <w:vAlign w:val="center"/>
          </w:tcPr>
          <w:p w14:paraId="6782F739">
            <w:pPr>
              <w:pStyle w:val="14"/>
              <w:adjustRightInd w:val="0"/>
              <w:snapToGrid w:val="0"/>
              <w:ind w:left="-105" w:right="-105" w:firstLine="0" w:firstLineChars="0"/>
              <w:jc w:val="center"/>
              <w:rPr>
                <w:rFonts w:ascii="Times New Roman" w:hAnsi="Times New Roman" w:cs="Times New Roman"/>
                <w:b/>
                <w:bCs/>
                <w:color w:val="auto"/>
                <w:sz w:val="21"/>
                <w:szCs w:val="21"/>
                <w:highlight w:val="none"/>
              </w:rPr>
            </w:pPr>
            <w:r>
              <w:rPr>
                <w:rFonts w:ascii="Times New Roman" w:hAnsi="Times New Roman" w:cs="Times New Roman"/>
                <w:b/>
                <w:bCs/>
                <w:color w:val="auto"/>
                <w:sz w:val="21"/>
                <w:szCs w:val="21"/>
                <w:highlight w:val="none"/>
              </w:rPr>
              <w:t>点号</w:t>
            </w:r>
          </w:p>
        </w:tc>
        <w:tc>
          <w:tcPr>
            <w:tcW w:w="2266" w:type="dxa"/>
            <w:tcBorders>
              <w:left w:val="single" w:color="auto" w:sz="4" w:space="0"/>
              <w:bottom w:val="single" w:color="auto" w:sz="4" w:space="0"/>
              <w:right w:val="single" w:color="auto" w:sz="4" w:space="0"/>
            </w:tcBorders>
            <w:vAlign w:val="center"/>
          </w:tcPr>
          <w:p w14:paraId="13977A69">
            <w:pPr>
              <w:pStyle w:val="14"/>
              <w:adjustRightInd w:val="0"/>
              <w:snapToGrid w:val="0"/>
              <w:ind w:left="-105" w:right="-105" w:firstLine="0" w:firstLineChars="0"/>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T</w:t>
            </w:r>
            <w:r>
              <w:rPr>
                <w:rFonts w:hint="eastAsia" w:ascii="Times New Roman" w:hAnsi="Times New Roman" w:cs="Times New Roman"/>
                <w:color w:val="auto"/>
                <w:sz w:val="21"/>
                <w:szCs w:val="21"/>
                <w:highlight w:val="none"/>
              </w:rPr>
              <w:t>2-</w:t>
            </w:r>
            <w:r>
              <w:rPr>
                <w:rFonts w:ascii="Times New Roman" w:hAnsi="Times New Roman" w:cs="Times New Roman"/>
                <w:color w:val="auto"/>
                <w:sz w:val="21"/>
                <w:szCs w:val="21"/>
                <w:highlight w:val="none"/>
              </w:rPr>
              <w:t>1（厂区</w:t>
            </w:r>
            <w:r>
              <w:rPr>
                <w:rFonts w:hint="eastAsia" w:ascii="Times New Roman" w:hAnsi="Times New Roman" w:cs="Times New Roman"/>
                <w:color w:val="auto"/>
                <w:sz w:val="21"/>
                <w:szCs w:val="21"/>
                <w:highlight w:val="none"/>
              </w:rPr>
              <w:t>外</w:t>
            </w:r>
            <w:r>
              <w:rPr>
                <w:rFonts w:ascii="Times New Roman" w:hAnsi="Times New Roman" w:cs="Times New Roman"/>
                <w:color w:val="auto"/>
                <w:sz w:val="21"/>
                <w:szCs w:val="21"/>
                <w:highlight w:val="none"/>
              </w:rPr>
              <w:t>东南侧）</w:t>
            </w:r>
          </w:p>
        </w:tc>
        <w:tc>
          <w:tcPr>
            <w:tcW w:w="1556" w:type="dxa"/>
            <w:tcBorders>
              <w:left w:val="single" w:color="auto" w:sz="4" w:space="0"/>
              <w:bottom w:val="single" w:color="auto" w:sz="4" w:space="0"/>
              <w:right w:val="single" w:color="auto" w:sz="4" w:space="0"/>
            </w:tcBorders>
            <w:vAlign w:val="center"/>
          </w:tcPr>
          <w:p w14:paraId="2FD547E4">
            <w:pPr>
              <w:pStyle w:val="14"/>
              <w:adjustRightInd w:val="0"/>
              <w:snapToGrid w:val="0"/>
              <w:ind w:left="-105" w:right="-105" w:firstLine="0" w:firstLineChars="0"/>
              <w:jc w:val="center"/>
              <w:rPr>
                <w:rFonts w:ascii="Times New Roman" w:hAnsi="Times New Roman" w:cs="Times New Roman"/>
                <w:b/>
                <w:bCs/>
                <w:color w:val="auto"/>
                <w:sz w:val="21"/>
                <w:szCs w:val="21"/>
                <w:highlight w:val="none"/>
              </w:rPr>
            </w:pPr>
            <w:r>
              <w:rPr>
                <w:rFonts w:ascii="Times New Roman" w:hAnsi="Times New Roman" w:cs="Times New Roman"/>
                <w:b/>
                <w:bCs/>
                <w:color w:val="auto"/>
                <w:sz w:val="21"/>
                <w:szCs w:val="21"/>
                <w:highlight w:val="none"/>
              </w:rPr>
              <w:t>时间</w:t>
            </w:r>
          </w:p>
        </w:tc>
        <w:tc>
          <w:tcPr>
            <w:tcW w:w="3513" w:type="dxa"/>
            <w:tcBorders>
              <w:left w:val="single" w:color="auto" w:sz="4" w:space="0"/>
              <w:bottom w:val="single" w:color="auto" w:sz="4" w:space="0"/>
            </w:tcBorders>
            <w:vAlign w:val="center"/>
          </w:tcPr>
          <w:p w14:paraId="2EAE7153">
            <w:pPr>
              <w:pStyle w:val="14"/>
              <w:adjustRightInd w:val="0"/>
              <w:snapToGrid w:val="0"/>
              <w:ind w:left="-105" w:right="-105" w:firstLine="0" w:firstLineChars="0"/>
              <w:jc w:val="center"/>
              <w:rPr>
                <w:rFonts w:ascii="Times New Roman" w:hAnsi="Times New Roman" w:cs="Times New Roman"/>
                <w:color w:val="auto"/>
                <w:sz w:val="21"/>
                <w:szCs w:val="21"/>
                <w:highlight w:val="none"/>
              </w:rPr>
            </w:pPr>
            <w:r>
              <w:rPr>
                <w:rFonts w:hint="eastAsia" w:ascii="Times New Roman" w:hAnsi="Times New Roman" w:cs="Times New Roman"/>
                <w:bCs/>
                <w:color w:val="auto"/>
                <w:sz w:val="21"/>
                <w:szCs w:val="21"/>
                <w:highlight w:val="none"/>
              </w:rPr>
              <w:t>2024.4.25</w:t>
            </w:r>
            <w:r>
              <w:rPr>
                <w:rFonts w:ascii="Times New Roman" w:hAnsi="Times New Roman" w:cs="Times New Roman"/>
                <w:bCs/>
                <w:color w:val="auto"/>
                <w:sz w:val="21"/>
                <w:szCs w:val="21"/>
                <w:highlight w:val="none"/>
              </w:rPr>
              <w:t>上午</w:t>
            </w:r>
            <w:r>
              <w:rPr>
                <w:rFonts w:hint="eastAsia" w:ascii="Times New Roman" w:hAnsi="Times New Roman" w:cs="Times New Roman"/>
                <w:bCs/>
                <w:color w:val="auto"/>
                <w:sz w:val="21"/>
                <w:szCs w:val="21"/>
                <w:highlight w:val="none"/>
              </w:rPr>
              <w:t>10：02</w:t>
            </w:r>
          </w:p>
        </w:tc>
      </w:tr>
      <w:tr w14:paraId="06B797C7">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1385" w:type="dxa"/>
            <w:tcBorders>
              <w:top w:val="single" w:color="auto" w:sz="4" w:space="0"/>
              <w:bottom w:val="single" w:color="auto" w:sz="4" w:space="0"/>
              <w:right w:val="single" w:color="auto" w:sz="4" w:space="0"/>
            </w:tcBorders>
            <w:vAlign w:val="center"/>
          </w:tcPr>
          <w:p w14:paraId="7AB7BA4A">
            <w:pPr>
              <w:pStyle w:val="14"/>
              <w:adjustRightInd w:val="0"/>
              <w:snapToGrid w:val="0"/>
              <w:ind w:left="-105" w:right="-105" w:firstLine="0" w:firstLineChars="0"/>
              <w:jc w:val="center"/>
              <w:rPr>
                <w:rFonts w:ascii="Times New Roman" w:hAnsi="Times New Roman" w:cs="Times New Roman"/>
                <w:b/>
                <w:bCs/>
                <w:color w:val="auto"/>
                <w:sz w:val="21"/>
                <w:szCs w:val="21"/>
                <w:highlight w:val="none"/>
              </w:rPr>
            </w:pPr>
            <w:r>
              <w:rPr>
                <w:rFonts w:ascii="Times New Roman" w:hAnsi="Times New Roman" w:cs="Times New Roman"/>
                <w:b/>
                <w:bCs/>
                <w:color w:val="auto"/>
                <w:sz w:val="21"/>
                <w:szCs w:val="21"/>
                <w:highlight w:val="none"/>
              </w:rPr>
              <w:t>经度</w:t>
            </w:r>
          </w:p>
        </w:tc>
        <w:tc>
          <w:tcPr>
            <w:tcW w:w="2266" w:type="dxa"/>
            <w:tcBorders>
              <w:top w:val="single" w:color="auto" w:sz="4" w:space="0"/>
              <w:left w:val="single" w:color="auto" w:sz="4" w:space="0"/>
              <w:bottom w:val="single" w:color="auto" w:sz="4" w:space="0"/>
              <w:right w:val="single" w:color="auto" w:sz="4" w:space="0"/>
            </w:tcBorders>
            <w:vAlign w:val="center"/>
          </w:tcPr>
          <w:p w14:paraId="17F1DE6B">
            <w:pPr>
              <w:pStyle w:val="14"/>
              <w:adjustRightInd w:val="0"/>
              <w:snapToGrid w:val="0"/>
              <w:ind w:left="-105" w:right="-105" w:firstLine="0" w:firstLineChars="0"/>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120.394271570</w:t>
            </w:r>
            <w:r>
              <w:rPr>
                <w:rFonts w:ascii="Times New Roman" w:hAnsi="Times New Roman" w:cs="Times New Roman"/>
                <w:color w:val="auto"/>
                <w:sz w:val="21"/>
                <w:szCs w:val="21"/>
                <w:highlight w:val="none"/>
              </w:rPr>
              <w:t>°</w:t>
            </w:r>
          </w:p>
        </w:tc>
        <w:tc>
          <w:tcPr>
            <w:tcW w:w="1556" w:type="dxa"/>
            <w:tcBorders>
              <w:top w:val="single" w:color="auto" w:sz="4" w:space="0"/>
              <w:left w:val="single" w:color="auto" w:sz="4" w:space="0"/>
              <w:bottom w:val="single" w:color="auto" w:sz="4" w:space="0"/>
              <w:right w:val="single" w:color="auto" w:sz="4" w:space="0"/>
            </w:tcBorders>
            <w:vAlign w:val="center"/>
          </w:tcPr>
          <w:p w14:paraId="4D137AC2">
            <w:pPr>
              <w:pStyle w:val="14"/>
              <w:adjustRightInd w:val="0"/>
              <w:snapToGrid w:val="0"/>
              <w:ind w:left="-105" w:right="-105" w:firstLine="0" w:firstLineChars="0"/>
              <w:jc w:val="center"/>
              <w:rPr>
                <w:rFonts w:ascii="Times New Roman" w:hAnsi="Times New Roman" w:cs="Times New Roman"/>
                <w:b/>
                <w:bCs/>
                <w:color w:val="auto"/>
                <w:sz w:val="21"/>
                <w:szCs w:val="21"/>
                <w:highlight w:val="none"/>
              </w:rPr>
            </w:pPr>
            <w:r>
              <w:rPr>
                <w:rFonts w:ascii="Times New Roman" w:hAnsi="Times New Roman" w:cs="Times New Roman"/>
                <w:b/>
                <w:bCs/>
                <w:color w:val="auto"/>
                <w:sz w:val="21"/>
                <w:szCs w:val="21"/>
                <w:highlight w:val="none"/>
              </w:rPr>
              <w:t>纬度</w:t>
            </w:r>
          </w:p>
        </w:tc>
        <w:tc>
          <w:tcPr>
            <w:tcW w:w="3513" w:type="dxa"/>
            <w:tcBorders>
              <w:top w:val="single" w:color="auto" w:sz="4" w:space="0"/>
              <w:left w:val="single" w:color="auto" w:sz="4" w:space="0"/>
              <w:bottom w:val="single" w:color="auto" w:sz="4" w:space="0"/>
            </w:tcBorders>
            <w:vAlign w:val="center"/>
          </w:tcPr>
          <w:p w14:paraId="1F3744F1">
            <w:pPr>
              <w:pStyle w:val="14"/>
              <w:adjustRightInd w:val="0"/>
              <w:snapToGrid w:val="0"/>
              <w:ind w:left="-105" w:right="-105" w:firstLine="0" w:firstLineChars="0"/>
              <w:jc w:val="center"/>
              <w:rPr>
                <w:rFonts w:ascii="Times New Roman" w:hAnsi="Times New Roman" w:cs="Times New Roman"/>
                <w:color w:val="auto"/>
                <w:sz w:val="21"/>
                <w:szCs w:val="21"/>
                <w:highlight w:val="none"/>
              </w:rPr>
            </w:pPr>
            <w:r>
              <w:rPr>
                <w:rFonts w:hint="eastAsia" w:ascii="Times New Roman" w:hAnsi="Times New Roman" w:cs="Times New Roman"/>
                <w:bCs/>
                <w:color w:val="auto"/>
                <w:sz w:val="21"/>
                <w:szCs w:val="21"/>
                <w:highlight w:val="none"/>
              </w:rPr>
              <w:t>31.649070329</w:t>
            </w:r>
            <w:r>
              <w:rPr>
                <w:rFonts w:ascii="Times New Roman" w:hAnsi="Times New Roman" w:cs="Times New Roman"/>
                <w:color w:val="auto"/>
                <w:sz w:val="21"/>
                <w:szCs w:val="21"/>
                <w:highlight w:val="none"/>
              </w:rPr>
              <w:t>°</w:t>
            </w:r>
          </w:p>
        </w:tc>
      </w:tr>
      <w:tr w14:paraId="74E4E251">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3651" w:type="dxa"/>
            <w:gridSpan w:val="2"/>
            <w:tcBorders>
              <w:top w:val="single" w:color="auto" w:sz="4" w:space="0"/>
              <w:bottom w:val="single" w:color="auto" w:sz="4" w:space="0"/>
              <w:right w:val="single" w:color="auto" w:sz="4" w:space="0"/>
            </w:tcBorders>
            <w:vAlign w:val="center"/>
          </w:tcPr>
          <w:p w14:paraId="1A7C2EC5">
            <w:pPr>
              <w:pStyle w:val="14"/>
              <w:adjustRightInd w:val="0"/>
              <w:snapToGrid w:val="0"/>
              <w:ind w:left="-105" w:right="-105" w:firstLine="0" w:firstLineChars="0"/>
              <w:jc w:val="center"/>
              <w:rPr>
                <w:rFonts w:ascii="Times New Roman" w:hAnsi="Times New Roman" w:cs="Times New Roman"/>
                <w:b/>
                <w:bCs/>
                <w:color w:val="auto"/>
                <w:sz w:val="21"/>
                <w:szCs w:val="21"/>
                <w:highlight w:val="none"/>
              </w:rPr>
            </w:pPr>
            <w:r>
              <w:rPr>
                <w:rFonts w:ascii="Times New Roman" w:hAnsi="Times New Roman" w:cs="Times New Roman"/>
                <w:b/>
                <w:bCs/>
                <w:color w:val="auto"/>
                <w:sz w:val="21"/>
                <w:szCs w:val="21"/>
                <w:highlight w:val="none"/>
              </w:rPr>
              <w:t>层次</w:t>
            </w:r>
          </w:p>
        </w:tc>
        <w:tc>
          <w:tcPr>
            <w:tcW w:w="5069" w:type="dxa"/>
            <w:gridSpan w:val="2"/>
            <w:tcBorders>
              <w:top w:val="single" w:color="auto" w:sz="4" w:space="0"/>
              <w:left w:val="single" w:color="auto" w:sz="4" w:space="0"/>
              <w:bottom w:val="single" w:color="auto" w:sz="4" w:space="0"/>
            </w:tcBorders>
            <w:vAlign w:val="center"/>
          </w:tcPr>
          <w:p w14:paraId="2C10D556">
            <w:pPr>
              <w:pStyle w:val="14"/>
              <w:adjustRightInd w:val="0"/>
              <w:snapToGrid w:val="0"/>
              <w:ind w:left="-105" w:right="-105" w:firstLine="0" w:firstLineChars="0"/>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表土层（0~0.6m）</w:t>
            </w:r>
          </w:p>
        </w:tc>
      </w:tr>
      <w:tr w14:paraId="2BA33CE3">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1385" w:type="dxa"/>
            <w:vMerge w:val="restart"/>
            <w:tcBorders>
              <w:top w:val="single" w:color="auto" w:sz="4" w:space="0"/>
              <w:bottom w:val="single" w:color="auto" w:sz="4" w:space="0"/>
              <w:right w:val="single" w:color="auto" w:sz="4" w:space="0"/>
            </w:tcBorders>
            <w:vAlign w:val="center"/>
          </w:tcPr>
          <w:p w14:paraId="1321AFFB">
            <w:pPr>
              <w:pStyle w:val="14"/>
              <w:adjustRightInd w:val="0"/>
              <w:snapToGrid w:val="0"/>
              <w:ind w:left="-105" w:right="-105" w:firstLine="0" w:firstLineChars="0"/>
              <w:jc w:val="center"/>
              <w:rPr>
                <w:rFonts w:ascii="Times New Roman" w:hAnsi="Times New Roman" w:cs="Times New Roman"/>
                <w:b/>
                <w:bCs/>
                <w:color w:val="auto"/>
                <w:sz w:val="21"/>
                <w:szCs w:val="21"/>
                <w:highlight w:val="none"/>
              </w:rPr>
            </w:pPr>
            <w:r>
              <w:rPr>
                <w:rFonts w:ascii="Times New Roman" w:hAnsi="Times New Roman" w:cs="Times New Roman"/>
                <w:b/>
                <w:bCs/>
                <w:color w:val="auto"/>
                <w:sz w:val="21"/>
                <w:szCs w:val="21"/>
                <w:highlight w:val="none"/>
              </w:rPr>
              <w:t>现场记录</w:t>
            </w:r>
          </w:p>
        </w:tc>
        <w:tc>
          <w:tcPr>
            <w:tcW w:w="2266" w:type="dxa"/>
            <w:tcBorders>
              <w:top w:val="single" w:color="auto" w:sz="4" w:space="0"/>
              <w:left w:val="single" w:color="auto" w:sz="4" w:space="0"/>
              <w:bottom w:val="single" w:color="auto" w:sz="4" w:space="0"/>
              <w:right w:val="single" w:color="auto" w:sz="4" w:space="0"/>
            </w:tcBorders>
            <w:vAlign w:val="center"/>
          </w:tcPr>
          <w:p w14:paraId="58C96D9E">
            <w:pPr>
              <w:pStyle w:val="14"/>
              <w:adjustRightInd w:val="0"/>
              <w:snapToGrid w:val="0"/>
              <w:ind w:left="-105" w:right="-105" w:firstLine="0" w:firstLineChars="0"/>
              <w:jc w:val="center"/>
              <w:rPr>
                <w:rFonts w:ascii="Times New Roman" w:hAnsi="Times New Roman" w:cs="Times New Roman"/>
                <w:b/>
                <w:bCs/>
                <w:color w:val="auto"/>
                <w:sz w:val="21"/>
                <w:szCs w:val="21"/>
                <w:highlight w:val="none"/>
              </w:rPr>
            </w:pPr>
            <w:r>
              <w:rPr>
                <w:rFonts w:ascii="Times New Roman" w:hAnsi="Times New Roman" w:cs="Times New Roman"/>
                <w:b/>
                <w:bCs/>
                <w:color w:val="auto"/>
                <w:sz w:val="21"/>
                <w:szCs w:val="21"/>
                <w:highlight w:val="none"/>
              </w:rPr>
              <w:t>颜色</w:t>
            </w:r>
          </w:p>
        </w:tc>
        <w:tc>
          <w:tcPr>
            <w:tcW w:w="5069" w:type="dxa"/>
            <w:gridSpan w:val="2"/>
            <w:tcBorders>
              <w:top w:val="single" w:color="auto" w:sz="4" w:space="0"/>
              <w:left w:val="single" w:color="auto" w:sz="4" w:space="0"/>
              <w:bottom w:val="single" w:color="auto" w:sz="4" w:space="0"/>
            </w:tcBorders>
            <w:vAlign w:val="center"/>
          </w:tcPr>
          <w:p w14:paraId="14CC9B82">
            <w:pPr>
              <w:pStyle w:val="14"/>
              <w:adjustRightInd w:val="0"/>
              <w:snapToGrid w:val="0"/>
              <w:ind w:left="-105" w:right="-105" w:firstLine="0" w:firstLineChars="0"/>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棕色</w:t>
            </w:r>
          </w:p>
        </w:tc>
      </w:tr>
      <w:tr w14:paraId="07CDAD07">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1385" w:type="dxa"/>
            <w:vMerge w:val="continue"/>
            <w:tcBorders>
              <w:top w:val="single" w:color="auto" w:sz="4" w:space="0"/>
              <w:bottom w:val="single" w:color="auto" w:sz="4" w:space="0"/>
              <w:right w:val="single" w:color="auto" w:sz="4" w:space="0"/>
            </w:tcBorders>
            <w:vAlign w:val="center"/>
          </w:tcPr>
          <w:p w14:paraId="47EF625E">
            <w:pPr>
              <w:pStyle w:val="14"/>
              <w:adjustRightInd w:val="0"/>
              <w:snapToGrid w:val="0"/>
              <w:ind w:left="-105" w:right="-105" w:firstLine="0" w:firstLineChars="0"/>
              <w:jc w:val="center"/>
              <w:rPr>
                <w:rFonts w:ascii="Times New Roman" w:hAnsi="Times New Roman" w:cs="Times New Roman"/>
                <w:b/>
                <w:bCs/>
                <w:color w:val="auto"/>
                <w:sz w:val="21"/>
                <w:szCs w:val="21"/>
                <w:highlight w:val="none"/>
              </w:rPr>
            </w:pPr>
          </w:p>
        </w:tc>
        <w:tc>
          <w:tcPr>
            <w:tcW w:w="2266" w:type="dxa"/>
            <w:tcBorders>
              <w:top w:val="single" w:color="auto" w:sz="4" w:space="0"/>
              <w:left w:val="single" w:color="auto" w:sz="4" w:space="0"/>
              <w:bottom w:val="single" w:color="auto" w:sz="4" w:space="0"/>
              <w:right w:val="single" w:color="auto" w:sz="4" w:space="0"/>
            </w:tcBorders>
            <w:vAlign w:val="center"/>
          </w:tcPr>
          <w:p w14:paraId="5D01AA29">
            <w:pPr>
              <w:pStyle w:val="14"/>
              <w:adjustRightInd w:val="0"/>
              <w:snapToGrid w:val="0"/>
              <w:ind w:left="-105" w:right="-105" w:firstLine="0" w:firstLineChars="0"/>
              <w:jc w:val="center"/>
              <w:rPr>
                <w:rFonts w:ascii="Times New Roman" w:hAnsi="Times New Roman" w:cs="Times New Roman"/>
                <w:b/>
                <w:bCs/>
                <w:color w:val="auto"/>
                <w:sz w:val="21"/>
                <w:szCs w:val="21"/>
                <w:highlight w:val="none"/>
              </w:rPr>
            </w:pPr>
            <w:r>
              <w:rPr>
                <w:rFonts w:ascii="Times New Roman" w:hAnsi="Times New Roman" w:cs="Times New Roman"/>
                <w:b/>
                <w:bCs/>
                <w:color w:val="auto"/>
                <w:sz w:val="21"/>
                <w:szCs w:val="21"/>
                <w:highlight w:val="none"/>
              </w:rPr>
              <w:t>结构</w:t>
            </w:r>
          </w:p>
        </w:tc>
        <w:tc>
          <w:tcPr>
            <w:tcW w:w="5069" w:type="dxa"/>
            <w:gridSpan w:val="2"/>
            <w:tcBorders>
              <w:top w:val="single" w:color="auto" w:sz="4" w:space="0"/>
              <w:left w:val="single" w:color="auto" w:sz="4" w:space="0"/>
              <w:bottom w:val="single" w:color="auto" w:sz="4" w:space="0"/>
            </w:tcBorders>
            <w:vAlign w:val="center"/>
          </w:tcPr>
          <w:p w14:paraId="318A9AAA">
            <w:pPr>
              <w:pStyle w:val="14"/>
              <w:adjustRightInd w:val="0"/>
              <w:snapToGrid w:val="0"/>
              <w:ind w:left="-105" w:right="-105" w:firstLine="0" w:firstLineChars="0"/>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块状型</w:t>
            </w:r>
          </w:p>
        </w:tc>
      </w:tr>
      <w:tr w14:paraId="5C82FF80">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1385" w:type="dxa"/>
            <w:vMerge w:val="continue"/>
            <w:tcBorders>
              <w:top w:val="single" w:color="auto" w:sz="4" w:space="0"/>
              <w:bottom w:val="single" w:color="auto" w:sz="4" w:space="0"/>
              <w:right w:val="single" w:color="auto" w:sz="4" w:space="0"/>
            </w:tcBorders>
            <w:vAlign w:val="center"/>
          </w:tcPr>
          <w:p w14:paraId="291B2EDF">
            <w:pPr>
              <w:pStyle w:val="14"/>
              <w:adjustRightInd w:val="0"/>
              <w:snapToGrid w:val="0"/>
              <w:ind w:left="-105" w:right="-105" w:firstLine="0" w:firstLineChars="0"/>
              <w:jc w:val="center"/>
              <w:rPr>
                <w:rFonts w:ascii="Times New Roman" w:hAnsi="Times New Roman" w:cs="Times New Roman"/>
                <w:b/>
                <w:bCs/>
                <w:color w:val="auto"/>
                <w:sz w:val="21"/>
                <w:szCs w:val="21"/>
                <w:highlight w:val="none"/>
              </w:rPr>
            </w:pPr>
          </w:p>
        </w:tc>
        <w:tc>
          <w:tcPr>
            <w:tcW w:w="2266" w:type="dxa"/>
            <w:tcBorders>
              <w:top w:val="single" w:color="auto" w:sz="4" w:space="0"/>
              <w:left w:val="single" w:color="auto" w:sz="4" w:space="0"/>
              <w:bottom w:val="single" w:color="auto" w:sz="4" w:space="0"/>
              <w:right w:val="single" w:color="auto" w:sz="4" w:space="0"/>
            </w:tcBorders>
            <w:vAlign w:val="center"/>
          </w:tcPr>
          <w:p w14:paraId="0BBE4F93">
            <w:pPr>
              <w:pStyle w:val="14"/>
              <w:adjustRightInd w:val="0"/>
              <w:snapToGrid w:val="0"/>
              <w:ind w:left="-105" w:right="-105" w:firstLine="0" w:firstLineChars="0"/>
              <w:jc w:val="center"/>
              <w:rPr>
                <w:rFonts w:ascii="Times New Roman" w:hAnsi="Times New Roman" w:cs="Times New Roman"/>
                <w:b/>
                <w:bCs/>
                <w:color w:val="auto"/>
                <w:sz w:val="21"/>
                <w:szCs w:val="21"/>
                <w:highlight w:val="none"/>
              </w:rPr>
            </w:pPr>
            <w:r>
              <w:rPr>
                <w:rFonts w:ascii="Times New Roman" w:hAnsi="Times New Roman" w:cs="Times New Roman"/>
                <w:b/>
                <w:bCs/>
                <w:color w:val="auto"/>
                <w:sz w:val="21"/>
                <w:szCs w:val="21"/>
                <w:highlight w:val="none"/>
              </w:rPr>
              <w:t>质地</w:t>
            </w:r>
          </w:p>
        </w:tc>
        <w:tc>
          <w:tcPr>
            <w:tcW w:w="5069" w:type="dxa"/>
            <w:gridSpan w:val="2"/>
            <w:tcBorders>
              <w:top w:val="single" w:color="auto" w:sz="4" w:space="0"/>
              <w:left w:val="single" w:color="auto" w:sz="4" w:space="0"/>
              <w:bottom w:val="single" w:color="auto" w:sz="4" w:space="0"/>
            </w:tcBorders>
            <w:vAlign w:val="center"/>
          </w:tcPr>
          <w:p w14:paraId="5169109A">
            <w:pPr>
              <w:pStyle w:val="14"/>
              <w:adjustRightInd w:val="0"/>
              <w:snapToGrid w:val="0"/>
              <w:ind w:left="-105" w:right="-105" w:firstLine="0" w:firstLineChars="0"/>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壤土</w:t>
            </w:r>
          </w:p>
        </w:tc>
      </w:tr>
      <w:tr w14:paraId="63061710">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1385" w:type="dxa"/>
            <w:vMerge w:val="continue"/>
            <w:tcBorders>
              <w:top w:val="single" w:color="auto" w:sz="4" w:space="0"/>
              <w:bottom w:val="single" w:color="auto" w:sz="4" w:space="0"/>
              <w:right w:val="single" w:color="auto" w:sz="4" w:space="0"/>
            </w:tcBorders>
            <w:vAlign w:val="center"/>
          </w:tcPr>
          <w:p w14:paraId="23D3921C">
            <w:pPr>
              <w:pStyle w:val="14"/>
              <w:adjustRightInd w:val="0"/>
              <w:snapToGrid w:val="0"/>
              <w:ind w:left="-105" w:right="-105" w:firstLine="0" w:firstLineChars="0"/>
              <w:jc w:val="center"/>
              <w:rPr>
                <w:rFonts w:ascii="Times New Roman" w:hAnsi="Times New Roman" w:cs="Times New Roman"/>
                <w:b/>
                <w:bCs/>
                <w:color w:val="auto"/>
                <w:sz w:val="21"/>
                <w:szCs w:val="21"/>
                <w:highlight w:val="none"/>
              </w:rPr>
            </w:pPr>
          </w:p>
        </w:tc>
        <w:tc>
          <w:tcPr>
            <w:tcW w:w="2266" w:type="dxa"/>
            <w:tcBorders>
              <w:top w:val="single" w:color="auto" w:sz="4" w:space="0"/>
              <w:left w:val="single" w:color="auto" w:sz="4" w:space="0"/>
              <w:bottom w:val="single" w:color="auto" w:sz="4" w:space="0"/>
              <w:right w:val="single" w:color="auto" w:sz="4" w:space="0"/>
            </w:tcBorders>
            <w:vAlign w:val="center"/>
          </w:tcPr>
          <w:p w14:paraId="6D347814">
            <w:pPr>
              <w:pStyle w:val="14"/>
              <w:adjustRightInd w:val="0"/>
              <w:snapToGrid w:val="0"/>
              <w:ind w:left="-105" w:right="-105" w:firstLine="0" w:firstLineChars="0"/>
              <w:jc w:val="center"/>
              <w:rPr>
                <w:rFonts w:ascii="Times New Roman" w:hAnsi="Times New Roman" w:cs="Times New Roman"/>
                <w:b/>
                <w:bCs/>
                <w:color w:val="auto"/>
                <w:sz w:val="21"/>
                <w:szCs w:val="21"/>
                <w:highlight w:val="none"/>
              </w:rPr>
            </w:pPr>
            <w:r>
              <w:rPr>
                <w:rFonts w:ascii="Times New Roman" w:hAnsi="Times New Roman" w:cs="Times New Roman"/>
                <w:b/>
                <w:bCs/>
                <w:color w:val="auto"/>
                <w:sz w:val="21"/>
                <w:szCs w:val="21"/>
                <w:highlight w:val="none"/>
              </w:rPr>
              <w:t>砂砾含量</w:t>
            </w:r>
          </w:p>
        </w:tc>
        <w:tc>
          <w:tcPr>
            <w:tcW w:w="5069" w:type="dxa"/>
            <w:gridSpan w:val="2"/>
            <w:tcBorders>
              <w:top w:val="single" w:color="auto" w:sz="4" w:space="0"/>
              <w:left w:val="single" w:color="auto" w:sz="4" w:space="0"/>
              <w:bottom w:val="single" w:color="auto" w:sz="4" w:space="0"/>
            </w:tcBorders>
            <w:vAlign w:val="center"/>
          </w:tcPr>
          <w:p w14:paraId="145E0E02">
            <w:pPr>
              <w:pStyle w:val="14"/>
              <w:adjustRightInd w:val="0"/>
              <w:snapToGrid w:val="0"/>
              <w:ind w:left="-105" w:right="-105" w:firstLine="0" w:firstLineChars="0"/>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10%</w:t>
            </w:r>
          </w:p>
        </w:tc>
      </w:tr>
      <w:tr w14:paraId="133BD161">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1385" w:type="dxa"/>
            <w:vMerge w:val="continue"/>
            <w:tcBorders>
              <w:top w:val="single" w:color="auto" w:sz="4" w:space="0"/>
              <w:bottom w:val="single" w:color="auto" w:sz="4" w:space="0"/>
              <w:right w:val="single" w:color="auto" w:sz="4" w:space="0"/>
            </w:tcBorders>
            <w:vAlign w:val="center"/>
          </w:tcPr>
          <w:p w14:paraId="78583DE4">
            <w:pPr>
              <w:pStyle w:val="14"/>
              <w:adjustRightInd w:val="0"/>
              <w:snapToGrid w:val="0"/>
              <w:ind w:left="-105" w:right="-105" w:firstLine="0" w:firstLineChars="0"/>
              <w:jc w:val="center"/>
              <w:rPr>
                <w:rFonts w:ascii="Times New Roman" w:hAnsi="Times New Roman" w:cs="Times New Roman"/>
                <w:b/>
                <w:bCs/>
                <w:color w:val="auto"/>
                <w:sz w:val="21"/>
                <w:szCs w:val="21"/>
                <w:highlight w:val="none"/>
              </w:rPr>
            </w:pPr>
          </w:p>
        </w:tc>
        <w:tc>
          <w:tcPr>
            <w:tcW w:w="2266" w:type="dxa"/>
            <w:tcBorders>
              <w:top w:val="single" w:color="auto" w:sz="4" w:space="0"/>
              <w:left w:val="single" w:color="auto" w:sz="4" w:space="0"/>
              <w:bottom w:val="single" w:color="auto" w:sz="4" w:space="0"/>
              <w:right w:val="single" w:color="auto" w:sz="4" w:space="0"/>
            </w:tcBorders>
            <w:vAlign w:val="center"/>
          </w:tcPr>
          <w:p w14:paraId="45EB0FA7">
            <w:pPr>
              <w:pStyle w:val="14"/>
              <w:adjustRightInd w:val="0"/>
              <w:snapToGrid w:val="0"/>
              <w:ind w:left="-105" w:right="-105" w:firstLine="0" w:firstLineChars="0"/>
              <w:jc w:val="center"/>
              <w:rPr>
                <w:rFonts w:ascii="Times New Roman" w:hAnsi="Times New Roman" w:cs="Times New Roman"/>
                <w:b/>
                <w:bCs/>
                <w:color w:val="auto"/>
                <w:sz w:val="21"/>
                <w:szCs w:val="21"/>
                <w:highlight w:val="none"/>
              </w:rPr>
            </w:pPr>
            <w:r>
              <w:rPr>
                <w:rFonts w:ascii="Times New Roman" w:hAnsi="Times New Roman" w:cs="Times New Roman"/>
                <w:b/>
                <w:bCs/>
                <w:color w:val="auto"/>
                <w:sz w:val="21"/>
                <w:szCs w:val="21"/>
                <w:highlight w:val="none"/>
              </w:rPr>
              <w:t>其他异物</w:t>
            </w:r>
          </w:p>
        </w:tc>
        <w:tc>
          <w:tcPr>
            <w:tcW w:w="5069" w:type="dxa"/>
            <w:gridSpan w:val="2"/>
            <w:tcBorders>
              <w:top w:val="single" w:color="auto" w:sz="4" w:space="0"/>
              <w:left w:val="single" w:color="auto" w:sz="4" w:space="0"/>
              <w:bottom w:val="single" w:color="auto" w:sz="4" w:space="0"/>
            </w:tcBorders>
            <w:vAlign w:val="center"/>
          </w:tcPr>
          <w:p w14:paraId="5F86C7CF">
            <w:pPr>
              <w:pStyle w:val="14"/>
              <w:adjustRightInd w:val="0"/>
              <w:snapToGrid w:val="0"/>
              <w:ind w:left="-105" w:right="-105" w:firstLine="0" w:firstLineChars="0"/>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w:t>
            </w:r>
          </w:p>
        </w:tc>
      </w:tr>
      <w:tr w14:paraId="5D0673F8">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1385" w:type="dxa"/>
            <w:vMerge w:val="restart"/>
            <w:tcBorders>
              <w:top w:val="single" w:color="auto" w:sz="4" w:space="0"/>
              <w:bottom w:val="single" w:color="auto" w:sz="4" w:space="0"/>
              <w:right w:val="single" w:color="auto" w:sz="4" w:space="0"/>
            </w:tcBorders>
            <w:vAlign w:val="center"/>
          </w:tcPr>
          <w:p w14:paraId="271D82E8">
            <w:pPr>
              <w:pStyle w:val="14"/>
              <w:adjustRightInd w:val="0"/>
              <w:snapToGrid w:val="0"/>
              <w:ind w:left="-105" w:right="-105" w:firstLine="0" w:firstLineChars="0"/>
              <w:jc w:val="center"/>
              <w:rPr>
                <w:rFonts w:ascii="Times New Roman" w:hAnsi="Times New Roman" w:cs="Times New Roman"/>
                <w:b/>
                <w:bCs/>
                <w:color w:val="auto"/>
                <w:sz w:val="21"/>
                <w:szCs w:val="21"/>
                <w:highlight w:val="none"/>
              </w:rPr>
            </w:pPr>
            <w:r>
              <w:rPr>
                <w:rFonts w:ascii="Times New Roman" w:hAnsi="Times New Roman" w:cs="Times New Roman"/>
                <w:b/>
                <w:bCs/>
                <w:color w:val="auto"/>
                <w:sz w:val="21"/>
                <w:szCs w:val="21"/>
                <w:highlight w:val="none"/>
              </w:rPr>
              <w:t>实验室测定</w:t>
            </w:r>
          </w:p>
        </w:tc>
        <w:tc>
          <w:tcPr>
            <w:tcW w:w="2266" w:type="dxa"/>
            <w:tcBorders>
              <w:top w:val="single" w:color="auto" w:sz="4" w:space="0"/>
              <w:left w:val="single" w:color="auto" w:sz="4" w:space="0"/>
              <w:bottom w:val="single" w:color="auto" w:sz="4" w:space="0"/>
              <w:right w:val="single" w:color="auto" w:sz="4" w:space="0"/>
            </w:tcBorders>
            <w:vAlign w:val="center"/>
          </w:tcPr>
          <w:p w14:paraId="56358285">
            <w:pPr>
              <w:pStyle w:val="14"/>
              <w:adjustRightInd w:val="0"/>
              <w:snapToGrid w:val="0"/>
              <w:ind w:left="-105" w:right="-105" w:firstLine="0" w:firstLineChars="0"/>
              <w:jc w:val="center"/>
              <w:rPr>
                <w:rFonts w:ascii="Times New Roman" w:hAnsi="Times New Roman" w:cs="Times New Roman"/>
                <w:b/>
                <w:bCs/>
                <w:color w:val="auto"/>
                <w:sz w:val="21"/>
                <w:szCs w:val="21"/>
                <w:highlight w:val="none"/>
              </w:rPr>
            </w:pPr>
            <w:r>
              <w:rPr>
                <w:rFonts w:hint="eastAsia" w:ascii="Times New Roman" w:hAnsi="Times New Roman" w:cs="Times New Roman"/>
                <w:b/>
                <w:bCs/>
                <w:color w:val="auto"/>
                <w:sz w:val="21"/>
                <w:szCs w:val="21"/>
                <w:highlight w:val="none"/>
              </w:rPr>
              <w:t>水分-物理性质</w:t>
            </w:r>
          </w:p>
        </w:tc>
        <w:tc>
          <w:tcPr>
            <w:tcW w:w="5069" w:type="dxa"/>
            <w:gridSpan w:val="2"/>
            <w:tcBorders>
              <w:top w:val="single" w:color="auto" w:sz="4" w:space="0"/>
              <w:left w:val="single" w:color="auto" w:sz="4" w:space="0"/>
              <w:bottom w:val="single" w:color="auto" w:sz="4" w:space="0"/>
            </w:tcBorders>
            <w:vAlign w:val="center"/>
          </w:tcPr>
          <w:p w14:paraId="0063109D">
            <w:pPr>
              <w:pStyle w:val="14"/>
              <w:adjustRightInd w:val="0"/>
              <w:snapToGrid w:val="0"/>
              <w:ind w:left="-105" w:right="-105" w:firstLine="0" w:firstLineChars="0"/>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37.8%</w:t>
            </w:r>
          </w:p>
        </w:tc>
      </w:tr>
      <w:tr w14:paraId="0259CA84">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1385" w:type="dxa"/>
            <w:vMerge w:val="continue"/>
            <w:tcBorders>
              <w:top w:val="single" w:color="auto" w:sz="4" w:space="0"/>
              <w:bottom w:val="single" w:color="auto" w:sz="4" w:space="0"/>
              <w:right w:val="single" w:color="auto" w:sz="4" w:space="0"/>
            </w:tcBorders>
            <w:vAlign w:val="center"/>
          </w:tcPr>
          <w:p w14:paraId="277498F5">
            <w:pPr>
              <w:pStyle w:val="14"/>
              <w:adjustRightInd w:val="0"/>
              <w:snapToGrid w:val="0"/>
              <w:ind w:left="-105" w:right="-105" w:firstLine="0" w:firstLineChars="0"/>
              <w:jc w:val="center"/>
              <w:rPr>
                <w:rFonts w:ascii="Times New Roman" w:hAnsi="Times New Roman" w:cs="Times New Roman"/>
                <w:color w:val="auto"/>
                <w:sz w:val="21"/>
                <w:szCs w:val="21"/>
                <w:highlight w:val="none"/>
              </w:rPr>
            </w:pPr>
          </w:p>
        </w:tc>
        <w:tc>
          <w:tcPr>
            <w:tcW w:w="2266" w:type="dxa"/>
            <w:tcBorders>
              <w:top w:val="single" w:color="auto" w:sz="4" w:space="0"/>
              <w:left w:val="single" w:color="auto" w:sz="4" w:space="0"/>
              <w:bottom w:val="single" w:color="auto" w:sz="4" w:space="0"/>
              <w:right w:val="single" w:color="auto" w:sz="4" w:space="0"/>
            </w:tcBorders>
            <w:vAlign w:val="center"/>
          </w:tcPr>
          <w:p w14:paraId="5201B1A2">
            <w:pPr>
              <w:pStyle w:val="14"/>
              <w:adjustRightInd w:val="0"/>
              <w:snapToGrid w:val="0"/>
              <w:ind w:left="-105" w:right="-105" w:firstLine="0" w:firstLineChars="0"/>
              <w:jc w:val="center"/>
              <w:rPr>
                <w:rFonts w:ascii="Times New Roman" w:hAnsi="Times New Roman" w:cs="Times New Roman"/>
                <w:b/>
                <w:bCs/>
                <w:color w:val="auto"/>
                <w:sz w:val="21"/>
                <w:szCs w:val="21"/>
                <w:highlight w:val="none"/>
              </w:rPr>
            </w:pPr>
            <w:r>
              <w:rPr>
                <w:rFonts w:ascii="Times New Roman" w:hAnsi="Times New Roman" w:cs="Times New Roman"/>
                <w:b/>
                <w:bCs/>
                <w:color w:val="auto"/>
                <w:sz w:val="21"/>
                <w:szCs w:val="21"/>
                <w:highlight w:val="none"/>
              </w:rPr>
              <w:t>氧化还原电位</w:t>
            </w:r>
          </w:p>
        </w:tc>
        <w:tc>
          <w:tcPr>
            <w:tcW w:w="5069" w:type="dxa"/>
            <w:gridSpan w:val="2"/>
            <w:tcBorders>
              <w:top w:val="single" w:color="auto" w:sz="4" w:space="0"/>
              <w:left w:val="single" w:color="auto" w:sz="4" w:space="0"/>
              <w:bottom w:val="single" w:color="auto" w:sz="4" w:space="0"/>
            </w:tcBorders>
            <w:vAlign w:val="center"/>
          </w:tcPr>
          <w:p w14:paraId="347ED490">
            <w:pPr>
              <w:pStyle w:val="14"/>
              <w:adjustRightInd w:val="0"/>
              <w:snapToGrid w:val="0"/>
              <w:ind w:left="-105" w:right="-105" w:firstLine="0" w:firstLineChars="0"/>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271</w:t>
            </w:r>
          </w:p>
        </w:tc>
      </w:tr>
      <w:tr w14:paraId="78557715">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1385" w:type="dxa"/>
            <w:vMerge w:val="continue"/>
            <w:tcBorders>
              <w:top w:val="single" w:color="auto" w:sz="4" w:space="0"/>
              <w:bottom w:val="single" w:color="auto" w:sz="4" w:space="0"/>
              <w:right w:val="single" w:color="auto" w:sz="4" w:space="0"/>
            </w:tcBorders>
            <w:vAlign w:val="center"/>
          </w:tcPr>
          <w:p w14:paraId="06BA99E5">
            <w:pPr>
              <w:pStyle w:val="14"/>
              <w:adjustRightInd w:val="0"/>
              <w:snapToGrid w:val="0"/>
              <w:ind w:left="-105" w:right="-105" w:firstLine="0" w:firstLineChars="0"/>
              <w:jc w:val="center"/>
              <w:rPr>
                <w:rFonts w:ascii="Times New Roman" w:hAnsi="Times New Roman" w:cs="Times New Roman"/>
                <w:color w:val="auto"/>
                <w:sz w:val="21"/>
                <w:szCs w:val="21"/>
                <w:highlight w:val="none"/>
              </w:rPr>
            </w:pPr>
          </w:p>
        </w:tc>
        <w:tc>
          <w:tcPr>
            <w:tcW w:w="2266" w:type="dxa"/>
            <w:tcBorders>
              <w:top w:val="single" w:color="auto" w:sz="4" w:space="0"/>
              <w:left w:val="single" w:color="auto" w:sz="4" w:space="0"/>
              <w:bottom w:val="single" w:color="auto" w:sz="4" w:space="0"/>
              <w:right w:val="single" w:color="auto" w:sz="4" w:space="0"/>
            </w:tcBorders>
            <w:vAlign w:val="center"/>
          </w:tcPr>
          <w:p w14:paraId="48A42C89">
            <w:pPr>
              <w:pStyle w:val="14"/>
              <w:adjustRightInd w:val="0"/>
              <w:snapToGrid w:val="0"/>
              <w:ind w:left="-105" w:right="-105" w:firstLine="0" w:firstLineChars="0"/>
              <w:jc w:val="center"/>
              <w:rPr>
                <w:rFonts w:ascii="Times New Roman" w:hAnsi="Times New Roman" w:cs="Times New Roman"/>
                <w:b/>
                <w:bCs/>
                <w:color w:val="auto"/>
                <w:sz w:val="21"/>
                <w:szCs w:val="21"/>
                <w:highlight w:val="none"/>
              </w:rPr>
            </w:pPr>
            <w:r>
              <w:rPr>
                <w:rFonts w:ascii="Times New Roman" w:hAnsi="Times New Roman" w:cs="Times New Roman"/>
                <w:b/>
                <w:bCs/>
                <w:color w:val="auto"/>
                <w:sz w:val="21"/>
                <w:szCs w:val="21"/>
                <w:highlight w:val="none"/>
              </w:rPr>
              <w:t>土壤容重（g/</w:t>
            </w:r>
            <w:r>
              <w:rPr>
                <w:rFonts w:hint="eastAsia" w:ascii="Times New Roman" w:hAnsi="Times New Roman" w:cs="Times New Roman"/>
                <w:b/>
                <w:bCs/>
                <w:color w:val="auto"/>
                <w:sz w:val="21"/>
                <w:szCs w:val="21"/>
                <w:highlight w:val="none"/>
              </w:rPr>
              <w:t>c</w:t>
            </w:r>
            <w:r>
              <w:rPr>
                <w:rFonts w:ascii="Times New Roman" w:hAnsi="Times New Roman" w:cs="Times New Roman"/>
                <w:b/>
                <w:bCs/>
                <w:color w:val="auto"/>
                <w:sz w:val="21"/>
                <w:szCs w:val="21"/>
                <w:highlight w:val="none"/>
              </w:rPr>
              <w:t>m</w:t>
            </w:r>
            <w:r>
              <w:rPr>
                <w:rFonts w:ascii="Times New Roman" w:hAnsi="Times New Roman" w:cs="Times New Roman"/>
                <w:b/>
                <w:bCs/>
                <w:color w:val="auto"/>
                <w:sz w:val="21"/>
                <w:szCs w:val="21"/>
                <w:highlight w:val="none"/>
                <w:vertAlign w:val="superscript"/>
              </w:rPr>
              <w:t>3</w:t>
            </w:r>
            <w:r>
              <w:rPr>
                <w:rFonts w:ascii="Times New Roman" w:hAnsi="Times New Roman" w:cs="Times New Roman"/>
                <w:b/>
                <w:bCs/>
                <w:color w:val="auto"/>
                <w:sz w:val="21"/>
                <w:szCs w:val="21"/>
                <w:highlight w:val="none"/>
              </w:rPr>
              <w:t>）</w:t>
            </w:r>
          </w:p>
        </w:tc>
        <w:tc>
          <w:tcPr>
            <w:tcW w:w="5069" w:type="dxa"/>
            <w:gridSpan w:val="2"/>
            <w:tcBorders>
              <w:top w:val="single" w:color="auto" w:sz="4" w:space="0"/>
              <w:left w:val="single" w:color="auto" w:sz="4" w:space="0"/>
              <w:bottom w:val="single" w:color="auto" w:sz="4" w:space="0"/>
            </w:tcBorders>
            <w:vAlign w:val="center"/>
          </w:tcPr>
          <w:p w14:paraId="4025BD26">
            <w:pPr>
              <w:pStyle w:val="14"/>
              <w:adjustRightInd w:val="0"/>
              <w:snapToGrid w:val="0"/>
              <w:ind w:left="-105" w:right="-105" w:firstLine="0" w:firstLineChars="0"/>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1.27</w:t>
            </w:r>
          </w:p>
        </w:tc>
      </w:tr>
      <w:tr w14:paraId="07160989">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1385" w:type="dxa"/>
            <w:vMerge w:val="continue"/>
            <w:tcBorders>
              <w:top w:val="single" w:color="auto" w:sz="4" w:space="0"/>
              <w:bottom w:val="single" w:color="auto" w:sz="4" w:space="0"/>
              <w:right w:val="single" w:color="auto" w:sz="4" w:space="0"/>
            </w:tcBorders>
            <w:vAlign w:val="center"/>
          </w:tcPr>
          <w:p w14:paraId="0922D00D">
            <w:pPr>
              <w:pStyle w:val="14"/>
              <w:adjustRightInd w:val="0"/>
              <w:snapToGrid w:val="0"/>
              <w:ind w:left="-105" w:right="-105" w:firstLine="0" w:firstLineChars="0"/>
              <w:jc w:val="center"/>
              <w:rPr>
                <w:rFonts w:ascii="Times New Roman" w:hAnsi="Times New Roman" w:cs="Times New Roman"/>
                <w:color w:val="auto"/>
                <w:sz w:val="21"/>
                <w:szCs w:val="21"/>
                <w:highlight w:val="none"/>
              </w:rPr>
            </w:pPr>
          </w:p>
        </w:tc>
        <w:tc>
          <w:tcPr>
            <w:tcW w:w="2266" w:type="dxa"/>
            <w:tcBorders>
              <w:top w:val="single" w:color="auto" w:sz="4" w:space="0"/>
              <w:left w:val="single" w:color="auto" w:sz="4" w:space="0"/>
              <w:bottom w:val="single" w:color="auto" w:sz="4" w:space="0"/>
              <w:right w:val="single" w:color="auto" w:sz="4" w:space="0"/>
            </w:tcBorders>
            <w:vAlign w:val="center"/>
          </w:tcPr>
          <w:p w14:paraId="6CC3B4B4">
            <w:pPr>
              <w:pStyle w:val="14"/>
              <w:adjustRightInd w:val="0"/>
              <w:snapToGrid w:val="0"/>
              <w:ind w:left="-105" w:right="-105" w:firstLine="0" w:firstLineChars="0"/>
              <w:jc w:val="center"/>
              <w:rPr>
                <w:rFonts w:ascii="Times New Roman" w:hAnsi="Times New Roman" w:cs="Times New Roman"/>
                <w:b/>
                <w:bCs/>
                <w:color w:val="auto"/>
                <w:sz w:val="21"/>
                <w:szCs w:val="21"/>
                <w:highlight w:val="none"/>
              </w:rPr>
            </w:pPr>
            <w:r>
              <w:rPr>
                <w:rFonts w:hint="eastAsia" w:ascii="Times New Roman" w:hAnsi="Times New Roman" w:cs="Times New Roman"/>
                <w:b/>
                <w:bCs/>
                <w:color w:val="auto"/>
                <w:sz w:val="21"/>
                <w:szCs w:val="21"/>
                <w:highlight w:val="none"/>
              </w:rPr>
              <w:t>土壤渗透性（mm/min）</w:t>
            </w:r>
          </w:p>
        </w:tc>
        <w:tc>
          <w:tcPr>
            <w:tcW w:w="5069" w:type="dxa"/>
            <w:gridSpan w:val="2"/>
            <w:tcBorders>
              <w:top w:val="single" w:color="auto" w:sz="4" w:space="0"/>
              <w:left w:val="single" w:color="auto" w:sz="4" w:space="0"/>
              <w:bottom w:val="single" w:color="auto" w:sz="4" w:space="0"/>
            </w:tcBorders>
            <w:vAlign w:val="center"/>
          </w:tcPr>
          <w:p w14:paraId="6E25CA42">
            <w:pPr>
              <w:pStyle w:val="14"/>
              <w:adjustRightInd w:val="0"/>
              <w:snapToGrid w:val="0"/>
              <w:ind w:left="-105" w:right="-105" w:firstLine="0" w:firstLineChars="0"/>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0.420</w:t>
            </w:r>
          </w:p>
        </w:tc>
      </w:tr>
      <w:tr w14:paraId="5D542BE0">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1385" w:type="dxa"/>
            <w:tcBorders>
              <w:top w:val="single" w:color="auto" w:sz="4" w:space="0"/>
              <w:bottom w:val="single" w:color="auto" w:sz="4" w:space="0"/>
              <w:right w:val="single" w:color="auto" w:sz="4" w:space="0"/>
            </w:tcBorders>
            <w:vAlign w:val="center"/>
          </w:tcPr>
          <w:p w14:paraId="2B72D0CD">
            <w:pPr>
              <w:pStyle w:val="14"/>
              <w:adjustRightInd w:val="0"/>
              <w:snapToGrid w:val="0"/>
              <w:ind w:left="-105" w:right="-105" w:firstLine="0" w:firstLineChars="0"/>
              <w:jc w:val="center"/>
              <w:rPr>
                <w:rFonts w:ascii="Times New Roman" w:hAnsi="Times New Roman" w:cs="Times New Roman"/>
                <w:b/>
                <w:bCs/>
                <w:color w:val="auto"/>
                <w:sz w:val="21"/>
                <w:szCs w:val="21"/>
                <w:highlight w:val="none"/>
              </w:rPr>
            </w:pPr>
            <w:r>
              <w:rPr>
                <w:rFonts w:ascii="Times New Roman" w:hAnsi="Times New Roman" w:cs="Times New Roman"/>
                <w:b/>
                <w:bCs/>
                <w:color w:val="auto"/>
                <w:sz w:val="21"/>
                <w:szCs w:val="21"/>
                <w:highlight w:val="none"/>
              </w:rPr>
              <w:t>点号</w:t>
            </w:r>
          </w:p>
        </w:tc>
        <w:tc>
          <w:tcPr>
            <w:tcW w:w="2266" w:type="dxa"/>
            <w:tcBorders>
              <w:top w:val="single" w:color="auto" w:sz="4" w:space="0"/>
              <w:left w:val="single" w:color="auto" w:sz="4" w:space="0"/>
              <w:bottom w:val="single" w:color="auto" w:sz="4" w:space="0"/>
              <w:right w:val="single" w:color="auto" w:sz="4" w:space="0"/>
            </w:tcBorders>
            <w:vAlign w:val="center"/>
          </w:tcPr>
          <w:p w14:paraId="11CC8D8C">
            <w:pPr>
              <w:pStyle w:val="14"/>
              <w:adjustRightInd w:val="0"/>
              <w:snapToGrid w:val="0"/>
              <w:ind w:left="-105" w:right="-105" w:firstLine="0" w:firstLineChars="0"/>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T</w:t>
            </w:r>
            <w:r>
              <w:rPr>
                <w:rFonts w:hint="eastAsia" w:ascii="Times New Roman" w:hAnsi="Times New Roman" w:cs="Times New Roman"/>
                <w:color w:val="auto"/>
                <w:sz w:val="21"/>
                <w:szCs w:val="21"/>
                <w:highlight w:val="none"/>
              </w:rPr>
              <w:t>2-2</w:t>
            </w:r>
            <w:r>
              <w:rPr>
                <w:rFonts w:ascii="Times New Roman" w:hAnsi="Times New Roman" w:cs="Times New Roman"/>
                <w:color w:val="auto"/>
                <w:sz w:val="21"/>
                <w:szCs w:val="21"/>
                <w:highlight w:val="none"/>
              </w:rPr>
              <w:t>（厂区</w:t>
            </w:r>
            <w:r>
              <w:rPr>
                <w:rFonts w:hint="eastAsia" w:ascii="Times New Roman" w:hAnsi="Times New Roman" w:cs="Times New Roman"/>
                <w:color w:val="auto"/>
                <w:sz w:val="21"/>
                <w:szCs w:val="21"/>
                <w:highlight w:val="none"/>
              </w:rPr>
              <w:t>外西</w:t>
            </w:r>
            <w:r>
              <w:rPr>
                <w:rFonts w:ascii="Times New Roman" w:hAnsi="Times New Roman" w:cs="Times New Roman"/>
                <w:color w:val="auto"/>
                <w:sz w:val="21"/>
                <w:szCs w:val="21"/>
                <w:highlight w:val="none"/>
              </w:rPr>
              <w:t>侧）</w:t>
            </w:r>
          </w:p>
        </w:tc>
        <w:tc>
          <w:tcPr>
            <w:tcW w:w="1556" w:type="dxa"/>
            <w:tcBorders>
              <w:top w:val="single" w:color="auto" w:sz="4" w:space="0"/>
              <w:left w:val="single" w:color="auto" w:sz="4" w:space="0"/>
              <w:bottom w:val="single" w:color="auto" w:sz="4" w:space="0"/>
              <w:right w:val="single" w:color="auto" w:sz="4" w:space="0"/>
            </w:tcBorders>
            <w:vAlign w:val="center"/>
          </w:tcPr>
          <w:p w14:paraId="0AE23B00">
            <w:pPr>
              <w:pStyle w:val="14"/>
              <w:adjustRightInd w:val="0"/>
              <w:snapToGrid w:val="0"/>
              <w:ind w:left="-105" w:right="-105" w:firstLine="0" w:firstLineChars="0"/>
              <w:jc w:val="center"/>
              <w:rPr>
                <w:rFonts w:ascii="Times New Roman" w:hAnsi="Times New Roman" w:cs="Times New Roman"/>
                <w:b/>
                <w:bCs/>
                <w:color w:val="auto"/>
                <w:sz w:val="21"/>
                <w:szCs w:val="21"/>
                <w:highlight w:val="none"/>
              </w:rPr>
            </w:pPr>
            <w:r>
              <w:rPr>
                <w:rFonts w:ascii="Times New Roman" w:hAnsi="Times New Roman" w:cs="Times New Roman"/>
                <w:b/>
                <w:bCs/>
                <w:color w:val="auto"/>
                <w:sz w:val="21"/>
                <w:szCs w:val="21"/>
                <w:highlight w:val="none"/>
              </w:rPr>
              <w:t>时间</w:t>
            </w:r>
          </w:p>
        </w:tc>
        <w:tc>
          <w:tcPr>
            <w:tcW w:w="3513" w:type="dxa"/>
            <w:tcBorders>
              <w:top w:val="single" w:color="auto" w:sz="4" w:space="0"/>
              <w:left w:val="single" w:color="auto" w:sz="4" w:space="0"/>
              <w:bottom w:val="single" w:color="auto" w:sz="4" w:space="0"/>
            </w:tcBorders>
            <w:vAlign w:val="center"/>
          </w:tcPr>
          <w:p w14:paraId="54A77565">
            <w:pPr>
              <w:pStyle w:val="14"/>
              <w:adjustRightInd w:val="0"/>
              <w:snapToGrid w:val="0"/>
              <w:ind w:left="-105" w:right="-105" w:firstLine="0" w:firstLineChars="0"/>
              <w:jc w:val="center"/>
              <w:rPr>
                <w:rFonts w:ascii="Times New Roman" w:hAnsi="Times New Roman" w:cs="Times New Roman"/>
                <w:color w:val="auto"/>
                <w:sz w:val="21"/>
                <w:szCs w:val="21"/>
                <w:highlight w:val="none"/>
              </w:rPr>
            </w:pPr>
            <w:r>
              <w:rPr>
                <w:rFonts w:hint="eastAsia" w:ascii="Times New Roman" w:hAnsi="Times New Roman" w:cs="Times New Roman"/>
                <w:bCs/>
                <w:color w:val="auto"/>
                <w:sz w:val="21"/>
                <w:szCs w:val="21"/>
                <w:highlight w:val="none"/>
              </w:rPr>
              <w:t>2024.4.25</w:t>
            </w:r>
            <w:r>
              <w:rPr>
                <w:rFonts w:ascii="Times New Roman" w:hAnsi="Times New Roman" w:cs="Times New Roman"/>
                <w:bCs/>
                <w:color w:val="auto"/>
                <w:sz w:val="21"/>
                <w:szCs w:val="21"/>
                <w:highlight w:val="none"/>
              </w:rPr>
              <w:t>上午</w:t>
            </w:r>
            <w:r>
              <w:rPr>
                <w:rFonts w:hint="eastAsia" w:ascii="Times New Roman" w:hAnsi="Times New Roman" w:cs="Times New Roman"/>
                <w:bCs/>
                <w:color w:val="auto"/>
                <w:sz w:val="21"/>
                <w:szCs w:val="21"/>
                <w:highlight w:val="none"/>
              </w:rPr>
              <w:t>11:10</w:t>
            </w:r>
          </w:p>
        </w:tc>
      </w:tr>
      <w:tr w14:paraId="166EC032">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1385" w:type="dxa"/>
            <w:tcBorders>
              <w:top w:val="single" w:color="auto" w:sz="4" w:space="0"/>
              <w:bottom w:val="single" w:color="auto" w:sz="4" w:space="0"/>
              <w:right w:val="single" w:color="auto" w:sz="4" w:space="0"/>
            </w:tcBorders>
            <w:vAlign w:val="center"/>
          </w:tcPr>
          <w:p w14:paraId="4FFE57A9">
            <w:pPr>
              <w:pStyle w:val="14"/>
              <w:adjustRightInd w:val="0"/>
              <w:snapToGrid w:val="0"/>
              <w:ind w:left="-105" w:right="-105" w:firstLine="0" w:firstLineChars="0"/>
              <w:jc w:val="center"/>
              <w:rPr>
                <w:rFonts w:ascii="Times New Roman" w:hAnsi="Times New Roman" w:cs="Times New Roman"/>
                <w:b/>
                <w:bCs/>
                <w:color w:val="auto"/>
                <w:sz w:val="21"/>
                <w:szCs w:val="21"/>
                <w:highlight w:val="none"/>
              </w:rPr>
            </w:pPr>
            <w:r>
              <w:rPr>
                <w:rFonts w:ascii="Times New Roman" w:hAnsi="Times New Roman" w:cs="Times New Roman"/>
                <w:b/>
                <w:bCs/>
                <w:color w:val="auto"/>
                <w:sz w:val="21"/>
                <w:szCs w:val="21"/>
                <w:highlight w:val="none"/>
              </w:rPr>
              <w:t>经度</w:t>
            </w:r>
          </w:p>
        </w:tc>
        <w:tc>
          <w:tcPr>
            <w:tcW w:w="2266" w:type="dxa"/>
            <w:tcBorders>
              <w:top w:val="single" w:color="auto" w:sz="4" w:space="0"/>
              <w:left w:val="single" w:color="auto" w:sz="4" w:space="0"/>
              <w:bottom w:val="single" w:color="auto" w:sz="4" w:space="0"/>
              <w:right w:val="single" w:color="auto" w:sz="4" w:space="0"/>
            </w:tcBorders>
            <w:vAlign w:val="center"/>
          </w:tcPr>
          <w:p w14:paraId="641E6987">
            <w:pPr>
              <w:pStyle w:val="14"/>
              <w:adjustRightInd w:val="0"/>
              <w:snapToGrid w:val="0"/>
              <w:ind w:left="-105" w:right="-105" w:firstLine="0" w:firstLineChars="0"/>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120.398804504</w:t>
            </w:r>
            <w:r>
              <w:rPr>
                <w:rFonts w:ascii="Times New Roman" w:hAnsi="Times New Roman" w:cs="Times New Roman"/>
                <w:color w:val="auto"/>
                <w:sz w:val="21"/>
                <w:szCs w:val="21"/>
                <w:highlight w:val="none"/>
              </w:rPr>
              <w:t>°</w:t>
            </w:r>
          </w:p>
        </w:tc>
        <w:tc>
          <w:tcPr>
            <w:tcW w:w="1556" w:type="dxa"/>
            <w:tcBorders>
              <w:top w:val="single" w:color="auto" w:sz="4" w:space="0"/>
              <w:left w:val="single" w:color="auto" w:sz="4" w:space="0"/>
              <w:bottom w:val="single" w:color="auto" w:sz="4" w:space="0"/>
              <w:right w:val="single" w:color="auto" w:sz="4" w:space="0"/>
            </w:tcBorders>
            <w:vAlign w:val="center"/>
          </w:tcPr>
          <w:p w14:paraId="4A5C0755">
            <w:pPr>
              <w:pStyle w:val="14"/>
              <w:adjustRightInd w:val="0"/>
              <w:snapToGrid w:val="0"/>
              <w:ind w:left="-105" w:right="-105" w:firstLine="0" w:firstLineChars="0"/>
              <w:jc w:val="center"/>
              <w:rPr>
                <w:rFonts w:ascii="Times New Roman" w:hAnsi="Times New Roman" w:cs="Times New Roman"/>
                <w:b/>
                <w:bCs/>
                <w:color w:val="auto"/>
                <w:sz w:val="21"/>
                <w:szCs w:val="21"/>
                <w:highlight w:val="none"/>
              </w:rPr>
            </w:pPr>
            <w:r>
              <w:rPr>
                <w:rFonts w:ascii="Times New Roman" w:hAnsi="Times New Roman" w:cs="Times New Roman"/>
                <w:b/>
                <w:bCs/>
                <w:color w:val="auto"/>
                <w:sz w:val="21"/>
                <w:szCs w:val="21"/>
                <w:highlight w:val="none"/>
              </w:rPr>
              <w:t>纬度</w:t>
            </w:r>
          </w:p>
        </w:tc>
        <w:tc>
          <w:tcPr>
            <w:tcW w:w="3513" w:type="dxa"/>
            <w:tcBorders>
              <w:top w:val="single" w:color="auto" w:sz="4" w:space="0"/>
              <w:left w:val="single" w:color="auto" w:sz="4" w:space="0"/>
              <w:bottom w:val="single" w:color="auto" w:sz="4" w:space="0"/>
            </w:tcBorders>
            <w:vAlign w:val="center"/>
          </w:tcPr>
          <w:p w14:paraId="365E6489">
            <w:pPr>
              <w:pStyle w:val="14"/>
              <w:adjustRightInd w:val="0"/>
              <w:snapToGrid w:val="0"/>
              <w:ind w:left="-105" w:right="-105" w:firstLine="0" w:firstLineChars="0"/>
              <w:jc w:val="center"/>
              <w:rPr>
                <w:rFonts w:ascii="Times New Roman" w:hAnsi="Times New Roman" w:cs="Times New Roman"/>
                <w:color w:val="auto"/>
                <w:sz w:val="21"/>
                <w:szCs w:val="21"/>
                <w:highlight w:val="none"/>
              </w:rPr>
            </w:pPr>
            <w:r>
              <w:rPr>
                <w:rFonts w:hint="eastAsia" w:ascii="Times New Roman" w:hAnsi="Times New Roman" w:cs="Times New Roman"/>
                <w:bCs/>
                <w:color w:val="auto"/>
                <w:sz w:val="21"/>
                <w:szCs w:val="21"/>
                <w:highlight w:val="none"/>
              </w:rPr>
              <w:t>31.647058672</w:t>
            </w:r>
            <w:r>
              <w:rPr>
                <w:rFonts w:ascii="Times New Roman" w:hAnsi="Times New Roman" w:cs="Times New Roman"/>
                <w:color w:val="auto"/>
                <w:sz w:val="21"/>
                <w:szCs w:val="21"/>
                <w:highlight w:val="none"/>
              </w:rPr>
              <w:t>°</w:t>
            </w:r>
          </w:p>
        </w:tc>
      </w:tr>
      <w:tr w14:paraId="17CCA9C4">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3651" w:type="dxa"/>
            <w:gridSpan w:val="2"/>
            <w:tcBorders>
              <w:top w:val="single" w:color="auto" w:sz="4" w:space="0"/>
              <w:bottom w:val="single" w:color="auto" w:sz="4" w:space="0"/>
              <w:right w:val="single" w:color="auto" w:sz="4" w:space="0"/>
            </w:tcBorders>
            <w:vAlign w:val="center"/>
          </w:tcPr>
          <w:p w14:paraId="200190F9">
            <w:pPr>
              <w:pStyle w:val="14"/>
              <w:adjustRightInd w:val="0"/>
              <w:snapToGrid w:val="0"/>
              <w:ind w:left="-105" w:right="-105" w:firstLine="0" w:firstLineChars="0"/>
              <w:jc w:val="center"/>
              <w:rPr>
                <w:rFonts w:ascii="Times New Roman" w:hAnsi="Times New Roman" w:cs="Times New Roman"/>
                <w:b/>
                <w:bCs/>
                <w:color w:val="auto"/>
                <w:sz w:val="21"/>
                <w:szCs w:val="21"/>
                <w:highlight w:val="none"/>
              </w:rPr>
            </w:pPr>
            <w:r>
              <w:rPr>
                <w:rFonts w:ascii="Times New Roman" w:hAnsi="Times New Roman" w:cs="Times New Roman"/>
                <w:b/>
                <w:bCs/>
                <w:color w:val="auto"/>
                <w:sz w:val="21"/>
                <w:szCs w:val="21"/>
                <w:highlight w:val="none"/>
              </w:rPr>
              <w:t>层次</w:t>
            </w:r>
          </w:p>
        </w:tc>
        <w:tc>
          <w:tcPr>
            <w:tcW w:w="5069" w:type="dxa"/>
            <w:gridSpan w:val="2"/>
            <w:tcBorders>
              <w:top w:val="single" w:color="auto" w:sz="4" w:space="0"/>
              <w:left w:val="single" w:color="auto" w:sz="4" w:space="0"/>
              <w:bottom w:val="single" w:color="auto" w:sz="4" w:space="0"/>
            </w:tcBorders>
            <w:vAlign w:val="center"/>
          </w:tcPr>
          <w:p w14:paraId="095C0641">
            <w:pPr>
              <w:pStyle w:val="14"/>
              <w:adjustRightInd w:val="0"/>
              <w:snapToGrid w:val="0"/>
              <w:ind w:left="-105" w:right="-105" w:firstLine="0" w:firstLineChars="0"/>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表土层（0~0.6m）</w:t>
            </w:r>
          </w:p>
        </w:tc>
      </w:tr>
      <w:tr w14:paraId="13A42EE2">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1385" w:type="dxa"/>
            <w:vMerge w:val="restart"/>
            <w:tcBorders>
              <w:top w:val="single" w:color="auto" w:sz="4" w:space="0"/>
              <w:bottom w:val="single" w:color="auto" w:sz="4" w:space="0"/>
              <w:right w:val="single" w:color="auto" w:sz="4" w:space="0"/>
            </w:tcBorders>
            <w:vAlign w:val="center"/>
          </w:tcPr>
          <w:p w14:paraId="5559C323">
            <w:pPr>
              <w:pStyle w:val="14"/>
              <w:adjustRightInd w:val="0"/>
              <w:snapToGrid w:val="0"/>
              <w:ind w:left="-105" w:right="-105" w:firstLine="0" w:firstLineChars="0"/>
              <w:jc w:val="center"/>
              <w:rPr>
                <w:rFonts w:ascii="Times New Roman" w:hAnsi="Times New Roman" w:cs="Times New Roman"/>
                <w:b/>
                <w:bCs/>
                <w:color w:val="auto"/>
                <w:sz w:val="21"/>
                <w:szCs w:val="21"/>
                <w:highlight w:val="none"/>
              </w:rPr>
            </w:pPr>
            <w:r>
              <w:rPr>
                <w:rFonts w:ascii="Times New Roman" w:hAnsi="Times New Roman" w:cs="Times New Roman"/>
                <w:b/>
                <w:bCs/>
                <w:color w:val="auto"/>
                <w:sz w:val="21"/>
                <w:szCs w:val="21"/>
                <w:highlight w:val="none"/>
              </w:rPr>
              <w:t>现场记录</w:t>
            </w:r>
          </w:p>
        </w:tc>
        <w:tc>
          <w:tcPr>
            <w:tcW w:w="2266" w:type="dxa"/>
            <w:tcBorders>
              <w:top w:val="single" w:color="auto" w:sz="4" w:space="0"/>
              <w:left w:val="single" w:color="auto" w:sz="4" w:space="0"/>
              <w:bottom w:val="single" w:color="auto" w:sz="4" w:space="0"/>
              <w:right w:val="single" w:color="auto" w:sz="4" w:space="0"/>
            </w:tcBorders>
            <w:vAlign w:val="center"/>
          </w:tcPr>
          <w:p w14:paraId="2D865734">
            <w:pPr>
              <w:pStyle w:val="14"/>
              <w:adjustRightInd w:val="0"/>
              <w:snapToGrid w:val="0"/>
              <w:ind w:left="-105" w:right="-105" w:firstLine="0" w:firstLineChars="0"/>
              <w:jc w:val="center"/>
              <w:rPr>
                <w:rFonts w:ascii="Times New Roman" w:hAnsi="Times New Roman" w:cs="Times New Roman"/>
                <w:b/>
                <w:bCs/>
                <w:color w:val="auto"/>
                <w:sz w:val="21"/>
                <w:szCs w:val="21"/>
                <w:highlight w:val="none"/>
              </w:rPr>
            </w:pPr>
            <w:r>
              <w:rPr>
                <w:rFonts w:ascii="Times New Roman" w:hAnsi="Times New Roman" w:cs="Times New Roman"/>
                <w:b/>
                <w:bCs/>
                <w:color w:val="auto"/>
                <w:sz w:val="21"/>
                <w:szCs w:val="21"/>
                <w:highlight w:val="none"/>
              </w:rPr>
              <w:t>颜色</w:t>
            </w:r>
          </w:p>
        </w:tc>
        <w:tc>
          <w:tcPr>
            <w:tcW w:w="5069" w:type="dxa"/>
            <w:gridSpan w:val="2"/>
            <w:tcBorders>
              <w:top w:val="single" w:color="auto" w:sz="4" w:space="0"/>
              <w:left w:val="single" w:color="auto" w:sz="4" w:space="0"/>
              <w:bottom w:val="single" w:color="auto" w:sz="4" w:space="0"/>
            </w:tcBorders>
            <w:vAlign w:val="center"/>
          </w:tcPr>
          <w:p w14:paraId="592AD5AB">
            <w:pPr>
              <w:pStyle w:val="14"/>
              <w:adjustRightInd w:val="0"/>
              <w:snapToGrid w:val="0"/>
              <w:ind w:left="-105" w:right="-105" w:firstLine="0" w:firstLineChars="0"/>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棕色</w:t>
            </w:r>
          </w:p>
        </w:tc>
      </w:tr>
      <w:tr w14:paraId="5E634998">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1385" w:type="dxa"/>
            <w:vMerge w:val="continue"/>
            <w:tcBorders>
              <w:top w:val="single" w:color="auto" w:sz="4" w:space="0"/>
              <w:bottom w:val="single" w:color="auto" w:sz="4" w:space="0"/>
              <w:right w:val="single" w:color="auto" w:sz="4" w:space="0"/>
            </w:tcBorders>
            <w:vAlign w:val="center"/>
          </w:tcPr>
          <w:p w14:paraId="6B329665">
            <w:pPr>
              <w:pStyle w:val="14"/>
              <w:adjustRightInd w:val="0"/>
              <w:snapToGrid w:val="0"/>
              <w:ind w:left="-105" w:right="-105" w:firstLine="0" w:firstLineChars="0"/>
              <w:jc w:val="center"/>
              <w:rPr>
                <w:rFonts w:ascii="Times New Roman" w:hAnsi="Times New Roman" w:cs="Times New Roman"/>
                <w:b/>
                <w:bCs/>
                <w:color w:val="auto"/>
                <w:sz w:val="21"/>
                <w:szCs w:val="21"/>
                <w:highlight w:val="none"/>
              </w:rPr>
            </w:pPr>
          </w:p>
        </w:tc>
        <w:tc>
          <w:tcPr>
            <w:tcW w:w="2266" w:type="dxa"/>
            <w:tcBorders>
              <w:top w:val="single" w:color="auto" w:sz="4" w:space="0"/>
              <w:left w:val="single" w:color="auto" w:sz="4" w:space="0"/>
              <w:bottom w:val="single" w:color="auto" w:sz="4" w:space="0"/>
              <w:right w:val="single" w:color="auto" w:sz="4" w:space="0"/>
            </w:tcBorders>
            <w:vAlign w:val="center"/>
          </w:tcPr>
          <w:p w14:paraId="7E73A0AA">
            <w:pPr>
              <w:pStyle w:val="14"/>
              <w:adjustRightInd w:val="0"/>
              <w:snapToGrid w:val="0"/>
              <w:ind w:left="-105" w:right="-105" w:firstLine="0" w:firstLineChars="0"/>
              <w:jc w:val="center"/>
              <w:rPr>
                <w:rFonts w:ascii="Times New Roman" w:hAnsi="Times New Roman" w:cs="Times New Roman"/>
                <w:b/>
                <w:bCs/>
                <w:color w:val="auto"/>
                <w:sz w:val="21"/>
                <w:szCs w:val="21"/>
                <w:highlight w:val="none"/>
              </w:rPr>
            </w:pPr>
            <w:r>
              <w:rPr>
                <w:rFonts w:ascii="Times New Roman" w:hAnsi="Times New Roman" w:cs="Times New Roman"/>
                <w:b/>
                <w:bCs/>
                <w:color w:val="auto"/>
                <w:sz w:val="21"/>
                <w:szCs w:val="21"/>
                <w:highlight w:val="none"/>
              </w:rPr>
              <w:t>结构</w:t>
            </w:r>
          </w:p>
        </w:tc>
        <w:tc>
          <w:tcPr>
            <w:tcW w:w="5069" w:type="dxa"/>
            <w:gridSpan w:val="2"/>
            <w:tcBorders>
              <w:top w:val="single" w:color="auto" w:sz="4" w:space="0"/>
              <w:left w:val="single" w:color="auto" w:sz="4" w:space="0"/>
              <w:bottom w:val="single" w:color="auto" w:sz="4" w:space="0"/>
            </w:tcBorders>
            <w:vAlign w:val="center"/>
          </w:tcPr>
          <w:p w14:paraId="28F3DD58">
            <w:pPr>
              <w:pStyle w:val="14"/>
              <w:adjustRightInd w:val="0"/>
              <w:snapToGrid w:val="0"/>
              <w:ind w:left="-105" w:right="-105" w:firstLine="0" w:firstLineChars="0"/>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块状型</w:t>
            </w:r>
          </w:p>
        </w:tc>
      </w:tr>
      <w:tr w14:paraId="31819088">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1385" w:type="dxa"/>
            <w:vMerge w:val="continue"/>
            <w:tcBorders>
              <w:top w:val="single" w:color="auto" w:sz="4" w:space="0"/>
              <w:bottom w:val="single" w:color="auto" w:sz="4" w:space="0"/>
              <w:right w:val="single" w:color="auto" w:sz="4" w:space="0"/>
            </w:tcBorders>
            <w:vAlign w:val="center"/>
          </w:tcPr>
          <w:p w14:paraId="2D78DE35">
            <w:pPr>
              <w:pStyle w:val="14"/>
              <w:adjustRightInd w:val="0"/>
              <w:snapToGrid w:val="0"/>
              <w:ind w:left="-105" w:right="-105" w:firstLine="0" w:firstLineChars="0"/>
              <w:jc w:val="center"/>
              <w:rPr>
                <w:rFonts w:ascii="Times New Roman" w:hAnsi="Times New Roman" w:cs="Times New Roman"/>
                <w:b/>
                <w:bCs/>
                <w:color w:val="auto"/>
                <w:sz w:val="21"/>
                <w:szCs w:val="21"/>
                <w:highlight w:val="none"/>
              </w:rPr>
            </w:pPr>
          </w:p>
        </w:tc>
        <w:tc>
          <w:tcPr>
            <w:tcW w:w="2266" w:type="dxa"/>
            <w:tcBorders>
              <w:top w:val="single" w:color="auto" w:sz="4" w:space="0"/>
              <w:left w:val="single" w:color="auto" w:sz="4" w:space="0"/>
              <w:bottom w:val="single" w:color="auto" w:sz="4" w:space="0"/>
              <w:right w:val="single" w:color="auto" w:sz="4" w:space="0"/>
            </w:tcBorders>
            <w:vAlign w:val="center"/>
          </w:tcPr>
          <w:p w14:paraId="63C3BF19">
            <w:pPr>
              <w:pStyle w:val="14"/>
              <w:adjustRightInd w:val="0"/>
              <w:snapToGrid w:val="0"/>
              <w:ind w:left="-105" w:right="-105" w:firstLine="0" w:firstLineChars="0"/>
              <w:jc w:val="center"/>
              <w:rPr>
                <w:rFonts w:ascii="Times New Roman" w:hAnsi="Times New Roman" w:cs="Times New Roman"/>
                <w:b/>
                <w:bCs/>
                <w:color w:val="auto"/>
                <w:sz w:val="21"/>
                <w:szCs w:val="21"/>
                <w:highlight w:val="none"/>
              </w:rPr>
            </w:pPr>
            <w:r>
              <w:rPr>
                <w:rFonts w:ascii="Times New Roman" w:hAnsi="Times New Roman" w:cs="Times New Roman"/>
                <w:b/>
                <w:bCs/>
                <w:color w:val="auto"/>
                <w:sz w:val="21"/>
                <w:szCs w:val="21"/>
                <w:highlight w:val="none"/>
              </w:rPr>
              <w:t>质地</w:t>
            </w:r>
          </w:p>
        </w:tc>
        <w:tc>
          <w:tcPr>
            <w:tcW w:w="5069" w:type="dxa"/>
            <w:gridSpan w:val="2"/>
            <w:tcBorders>
              <w:top w:val="single" w:color="auto" w:sz="4" w:space="0"/>
              <w:left w:val="single" w:color="auto" w:sz="4" w:space="0"/>
              <w:bottom w:val="single" w:color="auto" w:sz="4" w:space="0"/>
            </w:tcBorders>
            <w:vAlign w:val="center"/>
          </w:tcPr>
          <w:p w14:paraId="5935E50E">
            <w:pPr>
              <w:pStyle w:val="14"/>
              <w:adjustRightInd w:val="0"/>
              <w:snapToGrid w:val="0"/>
              <w:ind w:left="-105" w:right="-105" w:firstLine="0" w:firstLineChars="0"/>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壤土</w:t>
            </w:r>
          </w:p>
        </w:tc>
      </w:tr>
      <w:tr w14:paraId="23E475D8">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1385" w:type="dxa"/>
            <w:vMerge w:val="continue"/>
            <w:tcBorders>
              <w:top w:val="single" w:color="auto" w:sz="4" w:space="0"/>
              <w:bottom w:val="single" w:color="auto" w:sz="4" w:space="0"/>
              <w:right w:val="single" w:color="auto" w:sz="4" w:space="0"/>
            </w:tcBorders>
            <w:vAlign w:val="center"/>
          </w:tcPr>
          <w:p w14:paraId="2E54FE4C">
            <w:pPr>
              <w:pStyle w:val="14"/>
              <w:adjustRightInd w:val="0"/>
              <w:snapToGrid w:val="0"/>
              <w:ind w:left="-105" w:right="-105" w:firstLine="0" w:firstLineChars="0"/>
              <w:jc w:val="center"/>
              <w:rPr>
                <w:rFonts w:ascii="Times New Roman" w:hAnsi="Times New Roman" w:cs="Times New Roman"/>
                <w:b/>
                <w:bCs/>
                <w:color w:val="auto"/>
                <w:sz w:val="21"/>
                <w:szCs w:val="21"/>
                <w:highlight w:val="none"/>
              </w:rPr>
            </w:pPr>
          </w:p>
        </w:tc>
        <w:tc>
          <w:tcPr>
            <w:tcW w:w="2266" w:type="dxa"/>
            <w:tcBorders>
              <w:top w:val="single" w:color="auto" w:sz="4" w:space="0"/>
              <w:left w:val="single" w:color="auto" w:sz="4" w:space="0"/>
              <w:bottom w:val="single" w:color="auto" w:sz="4" w:space="0"/>
              <w:right w:val="single" w:color="auto" w:sz="4" w:space="0"/>
            </w:tcBorders>
            <w:vAlign w:val="center"/>
          </w:tcPr>
          <w:p w14:paraId="40EC37FD">
            <w:pPr>
              <w:pStyle w:val="14"/>
              <w:adjustRightInd w:val="0"/>
              <w:snapToGrid w:val="0"/>
              <w:ind w:left="-105" w:right="-105" w:firstLine="0" w:firstLineChars="0"/>
              <w:jc w:val="center"/>
              <w:rPr>
                <w:rFonts w:ascii="Times New Roman" w:hAnsi="Times New Roman" w:cs="Times New Roman"/>
                <w:b/>
                <w:bCs/>
                <w:color w:val="auto"/>
                <w:sz w:val="21"/>
                <w:szCs w:val="21"/>
                <w:highlight w:val="none"/>
              </w:rPr>
            </w:pPr>
            <w:r>
              <w:rPr>
                <w:rFonts w:ascii="Times New Roman" w:hAnsi="Times New Roman" w:cs="Times New Roman"/>
                <w:b/>
                <w:bCs/>
                <w:color w:val="auto"/>
                <w:sz w:val="21"/>
                <w:szCs w:val="21"/>
                <w:highlight w:val="none"/>
              </w:rPr>
              <w:t>砂砾含量</w:t>
            </w:r>
          </w:p>
        </w:tc>
        <w:tc>
          <w:tcPr>
            <w:tcW w:w="5069" w:type="dxa"/>
            <w:gridSpan w:val="2"/>
            <w:tcBorders>
              <w:top w:val="single" w:color="auto" w:sz="4" w:space="0"/>
              <w:left w:val="single" w:color="auto" w:sz="4" w:space="0"/>
              <w:bottom w:val="single" w:color="auto" w:sz="4" w:space="0"/>
            </w:tcBorders>
            <w:vAlign w:val="center"/>
          </w:tcPr>
          <w:p w14:paraId="1C1FD97C">
            <w:pPr>
              <w:pStyle w:val="14"/>
              <w:adjustRightInd w:val="0"/>
              <w:snapToGrid w:val="0"/>
              <w:ind w:left="-105" w:right="-105" w:firstLine="0" w:firstLineChars="0"/>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18%</w:t>
            </w:r>
          </w:p>
        </w:tc>
      </w:tr>
      <w:tr w14:paraId="5D1D7D77">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1385" w:type="dxa"/>
            <w:vMerge w:val="continue"/>
            <w:tcBorders>
              <w:top w:val="single" w:color="auto" w:sz="4" w:space="0"/>
              <w:bottom w:val="single" w:color="auto" w:sz="4" w:space="0"/>
              <w:right w:val="single" w:color="auto" w:sz="4" w:space="0"/>
            </w:tcBorders>
            <w:vAlign w:val="center"/>
          </w:tcPr>
          <w:p w14:paraId="64969D53">
            <w:pPr>
              <w:pStyle w:val="14"/>
              <w:adjustRightInd w:val="0"/>
              <w:snapToGrid w:val="0"/>
              <w:ind w:left="-105" w:right="-105" w:firstLine="0" w:firstLineChars="0"/>
              <w:jc w:val="center"/>
              <w:rPr>
                <w:rFonts w:ascii="Times New Roman" w:hAnsi="Times New Roman" w:cs="Times New Roman"/>
                <w:b/>
                <w:bCs/>
                <w:color w:val="auto"/>
                <w:sz w:val="21"/>
                <w:szCs w:val="21"/>
                <w:highlight w:val="none"/>
              </w:rPr>
            </w:pPr>
          </w:p>
        </w:tc>
        <w:tc>
          <w:tcPr>
            <w:tcW w:w="2266" w:type="dxa"/>
            <w:tcBorders>
              <w:top w:val="single" w:color="auto" w:sz="4" w:space="0"/>
              <w:left w:val="single" w:color="auto" w:sz="4" w:space="0"/>
              <w:bottom w:val="single" w:color="auto" w:sz="4" w:space="0"/>
              <w:right w:val="single" w:color="auto" w:sz="4" w:space="0"/>
            </w:tcBorders>
            <w:vAlign w:val="center"/>
          </w:tcPr>
          <w:p w14:paraId="1DF601FE">
            <w:pPr>
              <w:pStyle w:val="14"/>
              <w:adjustRightInd w:val="0"/>
              <w:snapToGrid w:val="0"/>
              <w:ind w:left="-105" w:right="-105" w:firstLine="0" w:firstLineChars="0"/>
              <w:jc w:val="center"/>
              <w:rPr>
                <w:rFonts w:ascii="Times New Roman" w:hAnsi="Times New Roman" w:cs="Times New Roman"/>
                <w:b/>
                <w:bCs/>
                <w:color w:val="auto"/>
                <w:sz w:val="21"/>
                <w:szCs w:val="21"/>
                <w:highlight w:val="none"/>
              </w:rPr>
            </w:pPr>
            <w:r>
              <w:rPr>
                <w:rFonts w:ascii="Times New Roman" w:hAnsi="Times New Roman" w:cs="Times New Roman"/>
                <w:b/>
                <w:bCs/>
                <w:color w:val="auto"/>
                <w:sz w:val="21"/>
                <w:szCs w:val="21"/>
                <w:highlight w:val="none"/>
              </w:rPr>
              <w:t>其他异物</w:t>
            </w:r>
          </w:p>
        </w:tc>
        <w:tc>
          <w:tcPr>
            <w:tcW w:w="5069" w:type="dxa"/>
            <w:gridSpan w:val="2"/>
            <w:tcBorders>
              <w:top w:val="single" w:color="auto" w:sz="4" w:space="0"/>
              <w:left w:val="single" w:color="auto" w:sz="4" w:space="0"/>
              <w:bottom w:val="single" w:color="auto" w:sz="4" w:space="0"/>
            </w:tcBorders>
            <w:vAlign w:val="center"/>
          </w:tcPr>
          <w:p w14:paraId="48A37D90">
            <w:pPr>
              <w:pStyle w:val="14"/>
              <w:adjustRightInd w:val="0"/>
              <w:snapToGrid w:val="0"/>
              <w:ind w:left="-105" w:right="-105" w:firstLine="0" w:firstLineChars="0"/>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w:t>
            </w:r>
          </w:p>
        </w:tc>
      </w:tr>
      <w:tr w14:paraId="004D1381">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1385" w:type="dxa"/>
            <w:vMerge w:val="restart"/>
            <w:tcBorders>
              <w:top w:val="single" w:color="auto" w:sz="4" w:space="0"/>
              <w:bottom w:val="single" w:color="auto" w:sz="4" w:space="0"/>
              <w:right w:val="single" w:color="auto" w:sz="4" w:space="0"/>
            </w:tcBorders>
            <w:vAlign w:val="center"/>
          </w:tcPr>
          <w:p w14:paraId="57DDF6F3">
            <w:pPr>
              <w:pStyle w:val="14"/>
              <w:adjustRightInd w:val="0"/>
              <w:snapToGrid w:val="0"/>
              <w:ind w:left="-105" w:right="-105" w:firstLine="0" w:firstLineChars="0"/>
              <w:jc w:val="center"/>
              <w:rPr>
                <w:rFonts w:ascii="Times New Roman" w:hAnsi="Times New Roman" w:cs="Times New Roman"/>
                <w:b/>
                <w:bCs/>
                <w:color w:val="auto"/>
                <w:sz w:val="21"/>
                <w:szCs w:val="21"/>
                <w:highlight w:val="none"/>
              </w:rPr>
            </w:pPr>
            <w:r>
              <w:rPr>
                <w:rFonts w:ascii="Times New Roman" w:hAnsi="Times New Roman" w:cs="Times New Roman"/>
                <w:b/>
                <w:bCs/>
                <w:color w:val="auto"/>
                <w:sz w:val="21"/>
                <w:szCs w:val="21"/>
                <w:highlight w:val="none"/>
              </w:rPr>
              <w:t>实验室测定</w:t>
            </w:r>
          </w:p>
        </w:tc>
        <w:tc>
          <w:tcPr>
            <w:tcW w:w="2266" w:type="dxa"/>
            <w:tcBorders>
              <w:top w:val="single" w:color="auto" w:sz="4" w:space="0"/>
              <w:left w:val="single" w:color="auto" w:sz="4" w:space="0"/>
              <w:bottom w:val="single" w:color="auto" w:sz="4" w:space="0"/>
              <w:right w:val="single" w:color="auto" w:sz="4" w:space="0"/>
            </w:tcBorders>
            <w:vAlign w:val="center"/>
          </w:tcPr>
          <w:p w14:paraId="6F10C344">
            <w:pPr>
              <w:pStyle w:val="14"/>
              <w:adjustRightInd w:val="0"/>
              <w:snapToGrid w:val="0"/>
              <w:ind w:left="-105" w:right="-105" w:firstLine="0" w:firstLineChars="0"/>
              <w:jc w:val="center"/>
              <w:rPr>
                <w:rFonts w:ascii="Times New Roman" w:hAnsi="Times New Roman" w:cs="Times New Roman"/>
                <w:b/>
                <w:bCs/>
                <w:color w:val="auto"/>
                <w:sz w:val="21"/>
                <w:szCs w:val="21"/>
                <w:highlight w:val="none"/>
              </w:rPr>
            </w:pPr>
            <w:r>
              <w:rPr>
                <w:rFonts w:hint="eastAsia" w:ascii="Times New Roman" w:hAnsi="Times New Roman" w:cs="Times New Roman"/>
                <w:b/>
                <w:bCs/>
                <w:color w:val="auto"/>
                <w:sz w:val="21"/>
                <w:szCs w:val="21"/>
                <w:highlight w:val="none"/>
              </w:rPr>
              <w:t>水分-物理性质</w:t>
            </w:r>
          </w:p>
        </w:tc>
        <w:tc>
          <w:tcPr>
            <w:tcW w:w="5069" w:type="dxa"/>
            <w:gridSpan w:val="2"/>
            <w:tcBorders>
              <w:top w:val="single" w:color="auto" w:sz="4" w:space="0"/>
              <w:left w:val="single" w:color="auto" w:sz="4" w:space="0"/>
              <w:bottom w:val="single" w:color="auto" w:sz="4" w:space="0"/>
            </w:tcBorders>
            <w:vAlign w:val="center"/>
          </w:tcPr>
          <w:p w14:paraId="4B02BC17">
            <w:pPr>
              <w:pStyle w:val="14"/>
              <w:adjustRightInd w:val="0"/>
              <w:snapToGrid w:val="0"/>
              <w:ind w:left="-105" w:right="-105" w:firstLine="0" w:firstLineChars="0"/>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53.6%</w:t>
            </w:r>
          </w:p>
        </w:tc>
      </w:tr>
      <w:tr w14:paraId="1DD31B90">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1385" w:type="dxa"/>
            <w:vMerge w:val="continue"/>
            <w:tcBorders>
              <w:top w:val="single" w:color="auto" w:sz="4" w:space="0"/>
              <w:bottom w:val="single" w:color="auto" w:sz="4" w:space="0"/>
              <w:right w:val="single" w:color="auto" w:sz="4" w:space="0"/>
            </w:tcBorders>
            <w:vAlign w:val="center"/>
          </w:tcPr>
          <w:p w14:paraId="39761E08">
            <w:pPr>
              <w:pStyle w:val="14"/>
              <w:adjustRightInd w:val="0"/>
              <w:snapToGrid w:val="0"/>
              <w:ind w:left="-105" w:right="-105" w:firstLine="0" w:firstLineChars="0"/>
              <w:jc w:val="center"/>
              <w:rPr>
                <w:rFonts w:ascii="Times New Roman" w:hAnsi="Times New Roman" w:cs="Times New Roman"/>
                <w:color w:val="auto"/>
                <w:sz w:val="21"/>
                <w:szCs w:val="21"/>
                <w:highlight w:val="none"/>
              </w:rPr>
            </w:pPr>
          </w:p>
        </w:tc>
        <w:tc>
          <w:tcPr>
            <w:tcW w:w="2266" w:type="dxa"/>
            <w:tcBorders>
              <w:top w:val="single" w:color="auto" w:sz="4" w:space="0"/>
              <w:left w:val="single" w:color="auto" w:sz="4" w:space="0"/>
              <w:bottom w:val="single" w:color="auto" w:sz="4" w:space="0"/>
              <w:right w:val="single" w:color="auto" w:sz="4" w:space="0"/>
            </w:tcBorders>
            <w:vAlign w:val="center"/>
          </w:tcPr>
          <w:p w14:paraId="5918AB5B">
            <w:pPr>
              <w:pStyle w:val="14"/>
              <w:adjustRightInd w:val="0"/>
              <w:snapToGrid w:val="0"/>
              <w:ind w:left="-105" w:right="-105" w:firstLine="0" w:firstLineChars="0"/>
              <w:jc w:val="center"/>
              <w:rPr>
                <w:rFonts w:ascii="Times New Roman" w:hAnsi="Times New Roman" w:cs="Times New Roman"/>
                <w:b/>
                <w:bCs/>
                <w:color w:val="auto"/>
                <w:sz w:val="21"/>
                <w:szCs w:val="21"/>
                <w:highlight w:val="none"/>
              </w:rPr>
            </w:pPr>
            <w:r>
              <w:rPr>
                <w:rFonts w:ascii="Times New Roman" w:hAnsi="Times New Roman" w:cs="Times New Roman"/>
                <w:b/>
                <w:bCs/>
                <w:color w:val="auto"/>
                <w:sz w:val="21"/>
                <w:szCs w:val="21"/>
                <w:highlight w:val="none"/>
              </w:rPr>
              <w:t>氧化还原电位</w:t>
            </w:r>
          </w:p>
        </w:tc>
        <w:tc>
          <w:tcPr>
            <w:tcW w:w="5069" w:type="dxa"/>
            <w:gridSpan w:val="2"/>
            <w:tcBorders>
              <w:top w:val="single" w:color="auto" w:sz="4" w:space="0"/>
              <w:left w:val="single" w:color="auto" w:sz="4" w:space="0"/>
              <w:bottom w:val="single" w:color="auto" w:sz="4" w:space="0"/>
            </w:tcBorders>
            <w:vAlign w:val="center"/>
          </w:tcPr>
          <w:p w14:paraId="1FEB4446">
            <w:pPr>
              <w:pStyle w:val="14"/>
              <w:adjustRightInd w:val="0"/>
              <w:snapToGrid w:val="0"/>
              <w:ind w:left="-105" w:right="-105" w:firstLine="0" w:firstLineChars="0"/>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288</w:t>
            </w:r>
          </w:p>
        </w:tc>
      </w:tr>
      <w:tr w14:paraId="3DBDBB8F">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1385" w:type="dxa"/>
            <w:vMerge w:val="continue"/>
            <w:tcBorders>
              <w:top w:val="single" w:color="auto" w:sz="4" w:space="0"/>
              <w:bottom w:val="single" w:color="auto" w:sz="4" w:space="0"/>
              <w:right w:val="single" w:color="auto" w:sz="4" w:space="0"/>
            </w:tcBorders>
            <w:vAlign w:val="center"/>
          </w:tcPr>
          <w:p w14:paraId="4F38EBCB">
            <w:pPr>
              <w:pStyle w:val="14"/>
              <w:adjustRightInd w:val="0"/>
              <w:snapToGrid w:val="0"/>
              <w:ind w:left="-105" w:right="-105" w:firstLine="0" w:firstLineChars="0"/>
              <w:jc w:val="center"/>
              <w:rPr>
                <w:rFonts w:ascii="Times New Roman" w:hAnsi="Times New Roman" w:cs="Times New Roman"/>
                <w:color w:val="auto"/>
                <w:sz w:val="21"/>
                <w:szCs w:val="21"/>
                <w:highlight w:val="none"/>
              </w:rPr>
            </w:pPr>
          </w:p>
        </w:tc>
        <w:tc>
          <w:tcPr>
            <w:tcW w:w="2266" w:type="dxa"/>
            <w:tcBorders>
              <w:top w:val="single" w:color="auto" w:sz="4" w:space="0"/>
              <w:left w:val="single" w:color="auto" w:sz="4" w:space="0"/>
              <w:bottom w:val="single" w:color="auto" w:sz="4" w:space="0"/>
              <w:right w:val="single" w:color="auto" w:sz="4" w:space="0"/>
            </w:tcBorders>
            <w:vAlign w:val="center"/>
          </w:tcPr>
          <w:p w14:paraId="642ABC2C">
            <w:pPr>
              <w:pStyle w:val="14"/>
              <w:adjustRightInd w:val="0"/>
              <w:snapToGrid w:val="0"/>
              <w:ind w:left="-105" w:right="-105" w:firstLine="0" w:firstLineChars="0"/>
              <w:jc w:val="center"/>
              <w:rPr>
                <w:rFonts w:ascii="Times New Roman" w:hAnsi="Times New Roman" w:cs="Times New Roman"/>
                <w:b/>
                <w:bCs/>
                <w:color w:val="auto"/>
                <w:sz w:val="21"/>
                <w:szCs w:val="21"/>
                <w:highlight w:val="none"/>
              </w:rPr>
            </w:pPr>
            <w:r>
              <w:rPr>
                <w:rFonts w:ascii="Times New Roman" w:hAnsi="Times New Roman" w:cs="Times New Roman"/>
                <w:b/>
                <w:bCs/>
                <w:color w:val="auto"/>
                <w:sz w:val="21"/>
                <w:szCs w:val="21"/>
                <w:highlight w:val="none"/>
              </w:rPr>
              <w:t>土壤容重（g/</w:t>
            </w:r>
            <w:r>
              <w:rPr>
                <w:rFonts w:hint="eastAsia" w:ascii="Times New Roman" w:hAnsi="Times New Roman" w:cs="Times New Roman"/>
                <w:b/>
                <w:bCs/>
                <w:color w:val="auto"/>
                <w:sz w:val="21"/>
                <w:szCs w:val="21"/>
                <w:highlight w:val="none"/>
              </w:rPr>
              <w:t>c</w:t>
            </w:r>
            <w:r>
              <w:rPr>
                <w:rFonts w:ascii="Times New Roman" w:hAnsi="Times New Roman" w:cs="Times New Roman"/>
                <w:b/>
                <w:bCs/>
                <w:color w:val="auto"/>
                <w:sz w:val="21"/>
                <w:szCs w:val="21"/>
                <w:highlight w:val="none"/>
              </w:rPr>
              <w:t>m</w:t>
            </w:r>
            <w:r>
              <w:rPr>
                <w:rFonts w:ascii="Times New Roman" w:hAnsi="Times New Roman" w:cs="Times New Roman"/>
                <w:b/>
                <w:bCs/>
                <w:color w:val="auto"/>
                <w:sz w:val="21"/>
                <w:szCs w:val="21"/>
                <w:highlight w:val="none"/>
                <w:vertAlign w:val="superscript"/>
              </w:rPr>
              <w:t>3</w:t>
            </w:r>
            <w:r>
              <w:rPr>
                <w:rFonts w:ascii="Times New Roman" w:hAnsi="Times New Roman" w:cs="Times New Roman"/>
                <w:b/>
                <w:bCs/>
                <w:color w:val="auto"/>
                <w:sz w:val="21"/>
                <w:szCs w:val="21"/>
                <w:highlight w:val="none"/>
              </w:rPr>
              <w:t>）</w:t>
            </w:r>
          </w:p>
        </w:tc>
        <w:tc>
          <w:tcPr>
            <w:tcW w:w="5069" w:type="dxa"/>
            <w:gridSpan w:val="2"/>
            <w:tcBorders>
              <w:top w:val="single" w:color="auto" w:sz="4" w:space="0"/>
              <w:left w:val="single" w:color="auto" w:sz="4" w:space="0"/>
              <w:bottom w:val="single" w:color="auto" w:sz="4" w:space="0"/>
            </w:tcBorders>
            <w:vAlign w:val="center"/>
          </w:tcPr>
          <w:p w14:paraId="40C52F93">
            <w:pPr>
              <w:pStyle w:val="14"/>
              <w:adjustRightInd w:val="0"/>
              <w:snapToGrid w:val="0"/>
              <w:ind w:left="-105" w:right="-105" w:firstLine="0" w:firstLineChars="0"/>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1.19</w:t>
            </w:r>
          </w:p>
        </w:tc>
      </w:tr>
      <w:tr w14:paraId="18974448">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1385" w:type="dxa"/>
            <w:vMerge w:val="continue"/>
            <w:tcBorders>
              <w:top w:val="single" w:color="auto" w:sz="4" w:space="0"/>
              <w:right w:val="single" w:color="auto" w:sz="4" w:space="0"/>
            </w:tcBorders>
            <w:vAlign w:val="center"/>
          </w:tcPr>
          <w:p w14:paraId="6918606E">
            <w:pPr>
              <w:pStyle w:val="14"/>
              <w:adjustRightInd w:val="0"/>
              <w:snapToGrid w:val="0"/>
              <w:ind w:left="-105" w:right="-105" w:firstLine="0" w:firstLineChars="0"/>
              <w:jc w:val="center"/>
              <w:rPr>
                <w:rFonts w:ascii="Times New Roman" w:hAnsi="Times New Roman" w:cs="Times New Roman"/>
                <w:color w:val="auto"/>
                <w:sz w:val="21"/>
                <w:szCs w:val="21"/>
                <w:highlight w:val="none"/>
              </w:rPr>
            </w:pPr>
          </w:p>
        </w:tc>
        <w:tc>
          <w:tcPr>
            <w:tcW w:w="2266" w:type="dxa"/>
            <w:tcBorders>
              <w:top w:val="single" w:color="auto" w:sz="4" w:space="0"/>
              <w:left w:val="single" w:color="auto" w:sz="4" w:space="0"/>
              <w:right w:val="single" w:color="auto" w:sz="4" w:space="0"/>
            </w:tcBorders>
            <w:vAlign w:val="center"/>
          </w:tcPr>
          <w:p w14:paraId="1555B8A6">
            <w:pPr>
              <w:pStyle w:val="14"/>
              <w:adjustRightInd w:val="0"/>
              <w:snapToGrid w:val="0"/>
              <w:ind w:left="-105" w:right="-105" w:firstLine="0" w:firstLineChars="0"/>
              <w:jc w:val="center"/>
              <w:rPr>
                <w:rFonts w:ascii="Times New Roman" w:hAnsi="Times New Roman" w:cs="Times New Roman"/>
                <w:b/>
                <w:bCs/>
                <w:color w:val="auto"/>
                <w:sz w:val="21"/>
                <w:szCs w:val="21"/>
                <w:highlight w:val="none"/>
              </w:rPr>
            </w:pPr>
            <w:r>
              <w:rPr>
                <w:rFonts w:hint="eastAsia" w:ascii="Times New Roman" w:hAnsi="Times New Roman" w:cs="Times New Roman"/>
                <w:b/>
                <w:bCs/>
                <w:color w:val="auto"/>
                <w:sz w:val="21"/>
                <w:szCs w:val="21"/>
                <w:highlight w:val="none"/>
              </w:rPr>
              <w:t>土壤渗透性（mm/min）</w:t>
            </w:r>
          </w:p>
        </w:tc>
        <w:tc>
          <w:tcPr>
            <w:tcW w:w="5069" w:type="dxa"/>
            <w:gridSpan w:val="2"/>
            <w:tcBorders>
              <w:top w:val="single" w:color="auto" w:sz="4" w:space="0"/>
              <w:left w:val="single" w:color="auto" w:sz="4" w:space="0"/>
            </w:tcBorders>
            <w:vAlign w:val="center"/>
          </w:tcPr>
          <w:p w14:paraId="4100B00F">
            <w:pPr>
              <w:pStyle w:val="14"/>
              <w:adjustRightInd w:val="0"/>
              <w:snapToGrid w:val="0"/>
              <w:ind w:left="-105" w:right="-105" w:firstLine="0" w:firstLineChars="0"/>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0.477</w:t>
            </w:r>
          </w:p>
        </w:tc>
      </w:tr>
    </w:tbl>
    <w:p w14:paraId="7E2BCEB0">
      <w:pPr>
        <w:spacing w:before="120" w:beforeLines="50" w:line="360" w:lineRule="auto"/>
        <w:ind w:left="-105" w:right="-105" w:firstLine="480" w:firstLineChars="200"/>
        <w:rPr>
          <w:rFonts w:ascii="Times New Roman" w:hAnsi="Times New Roman"/>
          <w:color w:val="auto"/>
          <w:highlight w:val="none"/>
        </w:rPr>
      </w:pPr>
      <w:r>
        <w:rPr>
          <w:rFonts w:hint="eastAsia" w:ascii="Times New Roman" w:hAnsi="Times New Roman"/>
          <w:color w:val="auto"/>
          <w:highlight w:val="none"/>
        </w:rPr>
        <w:t>（6）监测布点图</w:t>
      </w:r>
    </w:p>
    <w:p w14:paraId="087C8ACC">
      <w:pPr>
        <w:spacing w:before="120" w:beforeLines="50" w:line="360" w:lineRule="auto"/>
        <w:ind w:left="-105" w:right="-105" w:firstLine="480" w:firstLineChars="200"/>
        <w:rPr>
          <w:rFonts w:ascii="Times New Roman" w:hAnsi="Times New Roman"/>
          <w:color w:val="auto"/>
          <w:highlight w:val="none"/>
        </w:rPr>
      </w:pPr>
      <w:r>
        <w:rPr>
          <w:rFonts w:hint="eastAsia" w:ascii="Times New Roman" w:hAnsi="Times New Roman"/>
          <w:color w:val="auto"/>
          <w:highlight w:val="none"/>
        </w:rPr>
        <w:t>本项目土壤检测点位如下图所示：</w:t>
      </w:r>
    </w:p>
    <w:p w14:paraId="59449465">
      <w:pPr>
        <w:spacing w:before="120" w:beforeLines="50" w:line="360" w:lineRule="auto"/>
        <w:ind w:left="-105" w:right="-105"/>
        <w:jc w:val="center"/>
        <w:rPr>
          <w:rFonts w:ascii="Times New Roman" w:hAnsi="Times New Roman"/>
          <w:color w:val="auto"/>
          <w:highlight w:val="none"/>
        </w:rPr>
      </w:pPr>
      <w:r>
        <w:rPr>
          <w:color w:val="auto"/>
          <w:highlight w:val="none"/>
        </w:rPr>
        <mc:AlternateContent>
          <mc:Choice Requires="wpg">
            <w:drawing>
              <wp:anchor distT="0" distB="0" distL="114300" distR="114300" simplePos="0" relativeHeight="251701248" behindDoc="0" locked="0" layoutInCell="1" allowOverlap="1">
                <wp:simplePos x="0" y="0"/>
                <wp:positionH relativeFrom="column">
                  <wp:posOffset>2980690</wp:posOffset>
                </wp:positionH>
                <wp:positionV relativeFrom="paragraph">
                  <wp:posOffset>1984375</wp:posOffset>
                </wp:positionV>
                <wp:extent cx="608330" cy="288925"/>
                <wp:effectExtent l="8255" t="0" r="0" b="0"/>
                <wp:wrapNone/>
                <wp:docPr id="60" name="组合 60"/>
                <wp:cNvGraphicFramePr/>
                <a:graphic xmlns:a="http://schemas.openxmlformats.org/drawingml/2006/main">
                  <a:graphicData uri="http://schemas.microsoft.com/office/word/2010/wordprocessingGroup">
                    <wpg:wgp>
                      <wpg:cNvGrpSpPr/>
                      <wpg:grpSpPr>
                        <a:xfrm>
                          <a:off x="0" y="0"/>
                          <a:ext cx="608330" cy="288925"/>
                          <a:chOff x="14748" y="4216"/>
                          <a:chExt cx="783" cy="455"/>
                        </a:xfrm>
                      </wpg:grpSpPr>
                      <wps:wsp>
                        <wps:cNvPr id="64" name="等腰三角形 8"/>
                        <wps:cNvSpPr/>
                        <wps:spPr>
                          <a:xfrm>
                            <a:off x="14748" y="4346"/>
                            <a:ext cx="183" cy="199"/>
                          </a:xfrm>
                          <a:prstGeom prst="triangle">
                            <a:avLst>
                              <a:gd name="adj" fmla="val 50000"/>
                            </a:avLst>
                          </a:prstGeom>
                          <a:solidFill>
                            <a:srgbClr val="FF0000"/>
                          </a:solidFill>
                          <a:ln w="9525" cap="flat" cmpd="sng">
                            <a:solidFill>
                              <a:srgbClr val="FF0000"/>
                            </a:solidFill>
                            <a:prstDash val="solid"/>
                            <a:miter/>
                            <a:headEnd type="none" w="med" len="med"/>
                            <a:tailEnd type="none" w="med" len="med"/>
                          </a:ln>
                        </wps:spPr>
                        <wps:bodyPr upright="1"/>
                      </wps:wsp>
                      <wps:wsp>
                        <wps:cNvPr id="65" name="文本框 9"/>
                        <wps:cNvSpPr txBox="1"/>
                        <wps:spPr>
                          <a:xfrm>
                            <a:off x="14827" y="4216"/>
                            <a:ext cx="704" cy="455"/>
                          </a:xfrm>
                          <a:prstGeom prst="rect">
                            <a:avLst/>
                          </a:prstGeom>
                          <a:solidFill>
                            <a:srgbClr val="FFFFFF">
                              <a:alpha val="0"/>
                            </a:srgbClr>
                          </a:solidFill>
                          <a:ln>
                            <a:noFill/>
                          </a:ln>
                        </wps:spPr>
                        <wps:txbx>
                          <w:txbxContent>
                            <w:p w14:paraId="6329C620">
                              <w:pPr>
                                <w:rPr>
                                  <w:color w:val="FFFF00"/>
                                </w:rPr>
                              </w:pPr>
                              <w:r>
                                <w:rPr>
                                  <w:rFonts w:hint="eastAsia"/>
                                  <w:color w:val="FFFF00"/>
                                </w:rPr>
                                <w:t>T1-4</w:t>
                              </w:r>
                            </w:p>
                          </w:txbxContent>
                        </wps:txbx>
                        <wps:bodyPr wrap="square" upright="1">
                          <a:spAutoFit/>
                        </wps:bodyPr>
                      </wps:wsp>
                    </wpg:wgp>
                  </a:graphicData>
                </a:graphic>
              </wp:anchor>
            </w:drawing>
          </mc:Choice>
          <mc:Fallback>
            <w:pict>
              <v:group id="_x0000_s1026" o:spid="_x0000_s1026" o:spt="203" style="position:absolute;left:0pt;margin-left:234.7pt;margin-top:156.25pt;height:22.75pt;width:47.9pt;z-index:251701248;mso-width-relative:page;mso-height-relative:page;" coordorigin="14748,4216" coordsize="783,455" o:gfxdata="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">
                <o:lock v:ext="edit" aspectratio="f"/>
                <v:shape id="等腰三角形 8" o:spid="_x0000_s1026" o:spt="5" type="#_x0000_t5" style="position:absolute;left:14748;top:4346;height:199;width:183;" fillcolor="#FF0000" filled="t" stroked="t" coordsize="21600,21600" o:gfxdata="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M+fM468AAAA&#10;2wAAAA8AAAAAAAAAAQAgAAAAIgAAAGRycy9kb3ducmV2LnhtbFBLAQIUABQAAAAIAIdO4kAzLwWe&#10;OwAAADkAAAAQAAAAAAAAAAEAIAAAAAsBAABkcnMvc2hhcGV4bWwueG1sUEsFBgAAAAAGAAYAWwEA&#10;ALUDAAAAAA==&#10;" adj="10800">
                  <v:fill on="t" focussize="0,0"/>
                  <v:stroke color="#FF0000" joinstyle="miter"/>
                  <v:imagedata o:title=""/>
                  <o:lock v:ext="edit" aspectratio="f"/>
                </v:shape>
                <v:shape id="文本框 9" o:spid="_x0000_s1026" o:spt="202" type="#_x0000_t202" style="position:absolute;left:14827;top:4216;height:455;width:704;" fillcolor="#FFFFFF" filled="t" stroked="f" coordsize="21600,21600" o:gfxdata="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AVz/dS8AAAA&#10;2wAAAA8AAAAAAAAAAQAgAAAAIgAAAGRycy9kb3ducmV2LnhtbFBLAQIUABQAAAAIAIdO4kAzLwWe&#10;OwAAADkAAAAQAAAAAAAAAAEAIAAAAAsBAABkcnMvc2hhcGV4bWwueG1sUEsFBgAAAAAGAAYAWwEA&#10;ALUDAAAAAA==&#10;">
                  <v:fill on="t" opacity="0f" focussize="0,0"/>
                  <v:stroke on="f"/>
                  <v:imagedata o:title=""/>
                  <o:lock v:ext="edit" aspectratio="f"/>
                  <v:textbox style="mso-fit-shape-to-text:t;">
                    <w:txbxContent>
                      <w:p w14:paraId="6329C620">
                        <w:pPr>
                          <w:rPr>
                            <w:color w:val="FFFF00"/>
                          </w:rPr>
                        </w:pPr>
                        <w:r>
                          <w:rPr>
                            <w:rFonts w:hint="eastAsia"/>
                            <w:color w:val="FFFF00"/>
                          </w:rPr>
                          <w:t>T1-4</w:t>
                        </w:r>
                      </w:p>
                    </w:txbxContent>
                  </v:textbox>
                </v:shape>
              </v:group>
            </w:pict>
          </mc:Fallback>
        </mc:AlternateContent>
      </w:r>
      <w:r>
        <w:rPr>
          <w:color w:val="auto"/>
          <w:highlight w:val="none"/>
        </w:rPr>
        <mc:AlternateContent>
          <mc:Choice Requires="wpg">
            <w:drawing>
              <wp:anchor distT="0" distB="0" distL="114300" distR="114300" simplePos="0" relativeHeight="251700224" behindDoc="0" locked="0" layoutInCell="1" allowOverlap="1">
                <wp:simplePos x="0" y="0"/>
                <wp:positionH relativeFrom="column">
                  <wp:posOffset>3107055</wp:posOffset>
                </wp:positionH>
                <wp:positionV relativeFrom="paragraph">
                  <wp:posOffset>1693545</wp:posOffset>
                </wp:positionV>
                <wp:extent cx="608330" cy="288925"/>
                <wp:effectExtent l="8255" t="0" r="0" b="0"/>
                <wp:wrapNone/>
                <wp:docPr id="57" name="组合 57"/>
                <wp:cNvGraphicFramePr/>
                <a:graphic xmlns:a="http://schemas.openxmlformats.org/drawingml/2006/main">
                  <a:graphicData uri="http://schemas.microsoft.com/office/word/2010/wordprocessingGroup">
                    <wpg:wgp>
                      <wpg:cNvGrpSpPr/>
                      <wpg:grpSpPr>
                        <a:xfrm>
                          <a:off x="0" y="0"/>
                          <a:ext cx="608330" cy="288925"/>
                          <a:chOff x="14748" y="4216"/>
                          <a:chExt cx="783" cy="455"/>
                        </a:xfrm>
                      </wpg:grpSpPr>
                      <wps:wsp>
                        <wps:cNvPr id="58" name="等腰三角形 8"/>
                        <wps:cNvSpPr/>
                        <wps:spPr>
                          <a:xfrm>
                            <a:off x="14748" y="4346"/>
                            <a:ext cx="183" cy="199"/>
                          </a:xfrm>
                          <a:prstGeom prst="triangle">
                            <a:avLst>
                              <a:gd name="adj" fmla="val 50000"/>
                            </a:avLst>
                          </a:prstGeom>
                          <a:solidFill>
                            <a:srgbClr val="FF0000"/>
                          </a:solidFill>
                          <a:ln w="9525" cap="flat" cmpd="sng">
                            <a:solidFill>
                              <a:srgbClr val="FF0000"/>
                            </a:solidFill>
                            <a:prstDash val="solid"/>
                            <a:miter/>
                            <a:headEnd type="none" w="med" len="med"/>
                            <a:tailEnd type="none" w="med" len="med"/>
                          </a:ln>
                        </wps:spPr>
                        <wps:bodyPr upright="1"/>
                      </wps:wsp>
                      <wps:wsp>
                        <wps:cNvPr id="59" name="文本框 9"/>
                        <wps:cNvSpPr txBox="1"/>
                        <wps:spPr>
                          <a:xfrm>
                            <a:off x="14827" y="4216"/>
                            <a:ext cx="704" cy="455"/>
                          </a:xfrm>
                          <a:prstGeom prst="rect">
                            <a:avLst/>
                          </a:prstGeom>
                          <a:solidFill>
                            <a:srgbClr val="FFFFFF">
                              <a:alpha val="0"/>
                            </a:srgbClr>
                          </a:solidFill>
                          <a:ln>
                            <a:noFill/>
                          </a:ln>
                        </wps:spPr>
                        <wps:txbx>
                          <w:txbxContent>
                            <w:p w14:paraId="039BE7F8">
                              <w:pPr>
                                <w:rPr>
                                  <w:color w:val="FFFF00"/>
                                </w:rPr>
                              </w:pPr>
                              <w:r>
                                <w:rPr>
                                  <w:rFonts w:hint="eastAsia"/>
                                  <w:color w:val="FFFF00"/>
                                </w:rPr>
                                <w:t>T1-3</w:t>
                              </w:r>
                            </w:p>
                          </w:txbxContent>
                        </wps:txbx>
                        <wps:bodyPr wrap="square" upright="1">
                          <a:spAutoFit/>
                        </wps:bodyPr>
                      </wps:wsp>
                    </wpg:wgp>
                  </a:graphicData>
                </a:graphic>
              </wp:anchor>
            </w:drawing>
          </mc:Choice>
          <mc:Fallback>
            <w:pict>
              <v:group id="_x0000_s1026" o:spid="_x0000_s1026" o:spt="203" style="position:absolute;left:0pt;margin-left:244.65pt;margin-top:133.35pt;height:22.75pt;width:47.9pt;z-index:251700224;mso-width-relative:page;mso-height-relative:page;" coordorigin="14748,4216" coordsize="783,455" o:gfxdata="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">
                <o:lock v:ext="edit" aspectratio="f"/>
                <v:shape id="等腰三角形 8" o:spid="_x0000_s1026" o:spt="5" type="#_x0000_t5" style="position:absolute;left:14748;top:4346;height:199;width:183;" fillcolor="#FF0000" filled="t" stroked="t" coordsize="21600,21600" o:gfxdata="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AvvM2vQAA&#10;ANsAAAAPAAAAAAAAAAEAIAAAACIAAABkcnMvZG93bnJldi54bWxQSwECFAAUAAAACACHTuJAMy8F&#10;njsAAAA5AAAAEAAAAAAAAAABACAAAAAMAQAAZHJzL3NoYXBleG1sLnhtbFBLBQYAAAAABgAGAFsB&#10;AAC2AwAAAAA=&#10;" adj="10800">
                  <v:fill on="t" focussize="0,0"/>
                  <v:stroke color="#FF0000" joinstyle="miter"/>
                  <v:imagedata o:title=""/>
                  <o:lock v:ext="edit" aspectratio="f"/>
                </v:shape>
                <v:shape id="文本框 9" o:spid="_x0000_s1026" o:spt="202" type="#_x0000_t202" style="position:absolute;left:14827;top:4216;height:455;width:704;" fillcolor="#FFFFFF" filled="t" stroked="f" coordsize="21600,21600" o:gfxdata="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KUj1svQAA&#10;ANsAAAAPAAAAAAAAAAEAIAAAACIAAABkcnMvZG93bnJldi54bWxQSwECFAAUAAAACACHTuJAMy8F&#10;njsAAAA5AAAAEAAAAAAAAAABACAAAAAMAQAAZHJzL3NoYXBleG1sLnhtbFBLBQYAAAAABgAGAFsB&#10;AAC2AwAAAAA=&#10;">
                  <v:fill on="t" opacity="0f" focussize="0,0"/>
                  <v:stroke on="f"/>
                  <v:imagedata o:title=""/>
                  <o:lock v:ext="edit" aspectratio="f"/>
                  <v:textbox style="mso-fit-shape-to-text:t;">
                    <w:txbxContent>
                      <w:p w14:paraId="039BE7F8">
                        <w:pPr>
                          <w:rPr>
                            <w:color w:val="FFFF00"/>
                          </w:rPr>
                        </w:pPr>
                        <w:r>
                          <w:rPr>
                            <w:rFonts w:hint="eastAsia"/>
                            <w:color w:val="FFFF00"/>
                          </w:rPr>
                          <w:t>T1-3</w:t>
                        </w:r>
                      </w:p>
                    </w:txbxContent>
                  </v:textbox>
                </v:shape>
              </v:group>
            </w:pict>
          </mc:Fallback>
        </mc:AlternateContent>
      </w:r>
      <w:r>
        <w:rPr>
          <w:color w:val="auto"/>
          <w:highlight w:val="none"/>
        </w:rPr>
        <mc:AlternateContent>
          <mc:Choice Requires="wps">
            <w:drawing>
              <wp:anchor distT="0" distB="0" distL="114300" distR="114300" simplePos="0" relativeHeight="251705344" behindDoc="0" locked="0" layoutInCell="1" allowOverlap="1">
                <wp:simplePos x="0" y="0"/>
                <wp:positionH relativeFrom="column">
                  <wp:posOffset>4046855</wp:posOffset>
                </wp:positionH>
                <wp:positionV relativeFrom="paragraph">
                  <wp:posOffset>3659505</wp:posOffset>
                </wp:positionV>
                <wp:extent cx="169545" cy="169545"/>
                <wp:effectExtent l="10160" t="13970" r="10795" b="6985"/>
                <wp:wrapNone/>
                <wp:docPr id="84" name="等腰三角形 84"/>
                <wp:cNvGraphicFramePr/>
                <a:graphic xmlns:a="http://schemas.openxmlformats.org/drawingml/2006/main">
                  <a:graphicData uri="http://schemas.microsoft.com/office/word/2010/wordprocessingShape">
                    <wps:wsp>
                      <wps:cNvSpPr/>
                      <wps:spPr>
                        <a:xfrm>
                          <a:off x="5126990" y="7480935"/>
                          <a:ext cx="169545" cy="169545"/>
                        </a:xfrm>
                        <a:prstGeom prst="triangle">
                          <a:avLst/>
                        </a:prstGeom>
                        <a:solidFill>
                          <a:srgbClr val="FF0000"/>
                        </a:solidFill>
                        <a:ln>
                          <a:solidFill>
                            <a:srgbClr val="FF0000"/>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5" type="#_x0000_t5" style="position:absolute;left:0pt;margin-left:318.65pt;margin-top:288.15pt;height:13.35pt;width:13.35pt;z-index:251705344;v-text-anchor:middle;mso-width-relative:page;mso-height-relative:page;" fillcolor="#FF0000" filled="t" stroked="t" coordsize="21600,21600" o:gfxdata="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" adj="10800">
                <v:fill on="t" focussize="0,0"/>
                <v:stroke weight="1pt" color="#FF0000 [2404]" miterlimit="8" joinstyle="miter"/>
                <v:imagedata o:title=""/>
                <o:lock v:ext="edit" aspectratio="f"/>
              </v:shape>
            </w:pict>
          </mc:Fallback>
        </mc:AlternateContent>
      </w:r>
      <w:r>
        <w:rPr>
          <w:color w:val="auto"/>
          <w:highlight w:val="none"/>
        </w:rPr>
        <mc:AlternateContent>
          <mc:Choice Requires="wps">
            <w:drawing>
              <wp:anchor distT="0" distB="0" distL="114300" distR="114300" simplePos="0" relativeHeight="251704320" behindDoc="0" locked="0" layoutInCell="1" allowOverlap="1">
                <wp:simplePos x="0" y="0"/>
                <wp:positionH relativeFrom="column">
                  <wp:posOffset>3782695</wp:posOffset>
                </wp:positionH>
                <wp:positionV relativeFrom="paragraph">
                  <wp:posOffset>3373755</wp:posOffset>
                </wp:positionV>
                <wp:extent cx="1640205" cy="497840"/>
                <wp:effectExtent l="4445" t="4445" r="12700" b="12065"/>
                <wp:wrapNone/>
                <wp:docPr id="82" name="文本框 82"/>
                <wp:cNvGraphicFramePr/>
                <a:graphic xmlns:a="http://schemas.openxmlformats.org/drawingml/2006/main">
                  <a:graphicData uri="http://schemas.microsoft.com/office/word/2010/wordprocessingShape">
                    <wps:wsp>
                      <wps:cNvSpPr txBox="1"/>
                      <wps:spPr>
                        <a:xfrm>
                          <a:off x="5275580" y="7195185"/>
                          <a:ext cx="1640205" cy="49784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49BD7FF7">
                            <w:r>
                              <w:rPr>
                                <w:rFonts w:hint="eastAsia"/>
                              </w:rPr>
                              <w:t>图例：</w:t>
                            </w:r>
                          </w:p>
                          <w:p w14:paraId="6885C424">
                            <w:pPr>
                              <w:ind w:firstLine="720" w:firstLineChars="300"/>
                            </w:pPr>
                            <w:r>
                              <w:rPr>
                                <w:rFonts w:hint="eastAsia"/>
                              </w:rPr>
                              <w:t>土壤检测点位</w:t>
                            </w:r>
                          </w:p>
                          <w:p w14:paraId="3C67C914"/>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97.85pt;margin-top:265.65pt;height:39.2pt;width:129.15pt;z-index:251704320;mso-width-relative:page;mso-height-relative:page;" fillcolor="#FFFFFF [3201]" filled="t" stroked="t" coordsize="21600,21600" o:gfxdata="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">
                <v:fill on="t" focussize="0,0"/>
                <v:stroke weight="0.5pt" color="#000000 [3204]" joinstyle="round"/>
                <v:imagedata o:title=""/>
                <o:lock v:ext="edit" aspectratio="f"/>
                <v:textbox>
                  <w:txbxContent>
                    <w:p w14:paraId="49BD7FF7">
                      <w:r>
                        <w:rPr>
                          <w:rFonts w:hint="eastAsia"/>
                        </w:rPr>
                        <w:t>图例：</w:t>
                      </w:r>
                    </w:p>
                    <w:p w14:paraId="6885C424">
                      <w:pPr>
                        <w:ind w:firstLine="720" w:firstLineChars="300"/>
                      </w:pPr>
                      <w:r>
                        <w:rPr>
                          <w:rFonts w:hint="eastAsia"/>
                        </w:rPr>
                        <w:t>土壤检测点位</w:t>
                      </w:r>
                    </w:p>
                    <w:p w14:paraId="3C67C914"/>
                  </w:txbxContent>
                </v:textbox>
              </v:shape>
            </w:pict>
          </mc:Fallback>
        </mc:AlternateContent>
      </w:r>
      <w:r>
        <w:rPr>
          <w:color w:val="auto"/>
          <w:highlight w:val="none"/>
        </w:rPr>
        <mc:AlternateContent>
          <mc:Choice Requires="wpg">
            <w:drawing>
              <wp:anchor distT="0" distB="0" distL="114300" distR="114300" simplePos="0" relativeHeight="251703296" behindDoc="0" locked="0" layoutInCell="1" allowOverlap="1">
                <wp:simplePos x="0" y="0"/>
                <wp:positionH relativeFrom="column">
                  <wp:posOffset>4104005</wp:posOffset>
                </wp:positionH>
                <wp:positionV relativeFrom="paragraph">
                  <wp:posOffset>3118485</wp:posOffset>
                </wp:positionV>
                <wp:extent cx="608330" cy="288925"/>
                <wp:effectExtent l="8255" t="0" r="0" b="0"/>
                <wp:wrapNone/>
                <wp:docPr id="73" name="组合 73"/>
                <wp:cNvGraphicFramePr/>
                <a:graphic xmlns:a="http://schemas.openxmlformats.org/drawingml/2006/main">
                  <a:graphicData uri="http://schemas.microsoft.com/office/word/2010/wordprocessingGroup">
                    <wpg:wgp>
                      <wpg:cNvGrpSpPr/>
                      <wpg:grpSpPr>
                        <a:xfrm>
                          <a:off x="0" y="0"/>
                          <a:ext cx="608330" cy="288925"/>
                          <a:chOff x="14748" y="4216"/>
                          <a:chExt cx="783" cy="455"/>
                        </a:xfrm>
                      </wpg:grpSpPr>
                      <wps:wsp>
                        <wps:cNvPr id="74" name="等腰三角形 8"/>
                        <wps:cNvSpPr/>
                        <wps:spPr>
                          <a:xfrm>
                            <a:off x="14748" y="4346"/>
                            <a:ext cx="183" cy="199"/>
                          </a:xfrm>
                          <a:prstGeom prst="triangle">
                            <a:avLst>
                              <a:gd name="adj" fmla="val 50000"/>
                            </a:avLst>
                          </a:prstGeom>
                          <a:solidFill>
                            <a:srgbClr val="FF0000"/>
                          </a:solidFill>
                          <a:ln w="9525" cap="flat" cmpd="sng">
                            <a:solidFill>
                              <a:srgbClr val="FF0000"/>
                            </a:solidFill>
                            <a:prstDash val="solid"/>
                            <a:miter/>
                            <a:headEnd type="none" w="med" len="med"/>
                            <a:tailEnd type="none" w="med" len="med"/>
                          </a:ln>
                        </wps:spPr>
                        <wps:bodyPr upright="1"/>
                      </wps:wsp>
                      <wps:wsp>
                        <wps:cNvPr id="75" name="文本框 9"/>
                        <wps:cNvSpPr txBox="1"/>
                        <wps:spPr>
                          <a:xfrm>
                            <a:off x="14827" y="4216"/>
                            <a:ext cx="704" cy="455"/>
                          </a:xfrm>
                          <a:prstGeom prst="rect">
                            <a:avLst/>
                          </a:prstGeom>
                          <a:solidFill>
                            <a:srgbClr val="FFFFFF">
                              <a:alpha val="0"/>
                            </a:srgbClr>
                          </a:solidFill>
                          <a:ln>
                            <a:noFill/>
                          </a:ln>
                        </wps:spPr>
                        <wps:txbx>
                          <w:txbxContent>
                            <w:p w14:paraId="70C9E426">
                              <w:pPr>
                                <w:rPr>
                                  <w:color w:val="FFFF00"/>
                                </w:rPr>
                              </w:pPr>
                              <w:r>
                                <w:rPr>
                                  <w:rFonts w:hint="eastAsia"/>
                                  <w:color w:val="FFFF00"/>
                                </w:rPr>
                                <w:t>T2-1</w:t>
                              </w:r>
                            </w:p>
                          </w:txbxContent>
                        </wps:txbx>
                        <wps:bodyPr wrap="square" upright="1">
                          <a:spAutoFit/>
                        </wps:bodyPr>
                      </wps:wsp>
                    </wpg:wgp>
                  </a:graphicData>
                </a:graphic>
              </wp:anchor>
            </w:drawing>
          </mc:Choice>
          <mc:Fallback>
            <w:pict>
              <v:group id="_x0000_s1026" o:spid="_x0000_s1026" o:spt="203" style="position:absolute;left:0pt;margin-left:323.15pt;margin-top:245.55pt;height:22.75pt;width:47.9pt;z-index:251703296;mso-width-relative:page;mso-height-relative:page;" coordorigin="14748,4216" coordsize="783,455" o:gfxdata="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">
                <o:lock v:ext="edit" aspectratio="f"/>
                <v:shape id="等腰三角形 8" o:spid="_x0000_s1026" o:spt="5" type="#_x0000_t5" style="position:absolute;left:14748;top:4346;height:199;width:183;" fillcolor="#FF0000" filled="t" stroked="t" coordsize="21600,21600" o:gfxdata="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EpGpVO8AAAA&#10;2wAAAA8AAAAAAAAAAQAgAAAAIgAAAGRycy9kb3ducmV2LnhtbFBLAQIUABQAAAAIAIdO4kAzLwWe&#10;OwAAADkAAAAQAAAAAAAAAAEAIAAAAAsBAABkcnMvc2hhcGV4bWwueG1sUEsFBgAAAAAGAAYAWwEA&#10;ALUDAAAAAA==&#10;" adj="10800">
                  <v:fill on="t" focussize="0,0"/>
                  <v:stroke color="#FF0000" joinstyle="miter"/>
                  <v:imagedata o:title=""/>
                  <o:lock v:ext="edit" aspectratio="f"/>
                </v:shape>
                <v:shape id="文本框 9" o:spid="_x0000_s1026" o:spt="202" type="#_x0000_t202" style="position:absolute;left:14827;top:4216;height:455;width:704;" fillcolor="#FFFFFF" filled="t" stroked="f" coordsize="21600,21600" o:gfxdata="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AqmsJvQAA&#10;ANsAAAAPAAAAAAAAAAEAIAAAACIAAABkcnMvZG93bnJldi54bWxQSwECFAAUAAAACACHTuJAMy8F&#10;njsAAAA5AAAAEAAAAAAAAAABACAAAAAMAQAAZHJzL3NoYXBleG1sLnhtbFBLBQYAAAAABgAGAFsB&#10;AAC2AwAAAAA=&#10;">
                  <v:fill on="t" opacity="0f" focussize="0,0"/>
                  <v:stroke on="f"/>
                  <v:imagedata o:title=""/>
                  <o:lock v:ext="edit" aspectratio="f"/>
                  <v:textbox style="mso-fit-shape-to-text:t;">
                    <w:txbxContent>
                      <w:p w14:paraId="70C9E426">
                        <w:pPr>
                          <w:rPr>
                            <w:color w:val="FFFF00"/>
                          </w:rPr>
                        </w:pPr>
                        <w:r>
                          <w:rPr>
                            <w:rFonts w:hint="eastAsia"/>
                            <w:color w:val="FFFF00"/>
                          </w:rPr>
                          <w:t>T2-1</w:t>
                        </w:r>
                      </w:p>
                    </w:txbxContent>
                  </v:textbox>
                </v:shape>
              </v:group>
            </w:pict>
          </mc:Fallback>
        </mc:AlternateContent>
      </w:r>
      <w:r>
        <w:rPr>
          <w:color w:val="auto"/>
          <w:highlight w:val="none"/>
        </w:rPr>
        <mc:AlternateContent>
          <mc:Choice Requires="wpg">
            <w:drawing>
              <wp:anchor distT="0" distB="0" distL="114300" distR="114300" simplePos="0" relativeHeight="251702272" behindDoc="0" locked="0" layoutInCell="1" allowOverlap="1">
                <wp:simplePos x="0" y="0"/>
                <wp:positionH relativeFrom="column">
                  <wp:posOffset>951230</wp:posOffset>
                </wp:positionH>
                <wp:positionV relativeFrom="paragraph">
                  <wp:posOffset>1756410</wp:posOffset>
                </wp:positionV>
                <wp:extent cx="608330" cy="288925"/>
                <wp:effectExtent l="8255" t="0" r="0" b="0"/>
                <wp:wrapNone/>
                <wp:docPr id="70" name="组合 70"/>
                <wp:cNvGraphicFramePr/>
                <a:graphic xmlns:a="http://schemas.openxmlformats.org/drawingml/2006/main">
                  <a:graphicData uri="http://schemas.microsoft.com/office/word/2010/wordprocessingGroup">
                    <wpg:wgp>
                      <wpg:cNvGrpSpPr/>
                      <wpg:grpSpPr>
                        <a:xfrm>
                          <a:off x="0" y="0"/>
                          <a:ext cx="608330" cy="288925"/>
                          <a:chOff x="14748" y="4216"/>
                          <a:chExt cx="783" cy="455"/>
                        </a:xfrm>
                      </wpg:grpSpPr>
                      <wps:wsp>
                        <wps:cNvPr id="71" name="等腰三角形 8"/>
                        <wps:cNvSpPr/>
                        <wps:spPr>
                          <a:xfrm>
                            <a:off x="14748" y="4346"/>
                            <a:ext cx="183" cy="199"/>
                          </a:xfrm>
                          <a:prstGeom prst="triangle">
                            <a:avLst>
                              <a:gd name="adj" fmla="val 50000"/>
                            </a:avLst>
                          </a:prstGeom>
                          <a:solidFill>
                            <a:srgbClr val="FF0000"/>
                          </a:solidFill>
                          <a:ln w="9525" cap="flat" cmpd="sng">
                            <a:solidFill>
                              <a:srgbClr val="FF0000"/>
                            </a:solidFill>
                            <a:prstDash val="solid"/>
                            <a:miter/>
                            <a:headEnd type="none" w="med" len="med"/>
                            <a:tailEnd type="none" w="med" len="med"/>
                          </a:ln>
                        </wps:spPr>
                        <wps:bodyPr upright="1"/>
                      </wps:wsp>
                      <wps:wsp>
                        <wps:cNvPr id="72" name="文本框 9"/>
                        <wps:cNvSpPr txBox="1"/>
                        <wps:spPr>
                          <a:xfrm>
                            <a:off x="14827" y="4216"/>
                            <a:ext cx="704" cy="455"/>
                          </a:xfrm>
                          <a:prstGeom prst="rect">
                            <a:avLst/>
                          </a:prstGeom>
                          <a:solidFill>
                            <a:srgbClr val="FFFFFF">
                              <a:alpha val="0"/>
                            </a:srgbClr>
                          </a:solidFill>
                          <a:ln>
                            <a:noFill/>
                          </a:ln>
                        </wps:spPr>
                        <wps:txbx>
                          <w:txbxContent>
                            <w:p w14:paraId="4A4C4119">
                              <w:pPr>
                                <w:rPr>
                                  <w:color w:val="FFFF00"/>
                                </w:rPr>
                              </w:pPr>
                              <w:r>
                                <w:rPr>
                                  <w:rFonts w:hint="eastAsia"/>
                                  <w:color w:val="FFFF00"/>
                                </w:rPr>
                                <w:t>T2-2</w:t>
                              </w:r>
                            </w:p>
                          </w:txbxContent>
                        </wps:txbx>
                        <wps:bodyPr wrap="square" upright="1">
                          <a:spAutoFit/>
                        </wps:bodyPr>
                      </wps:wsp>
                    </wpg:wgp>
                  </a:graphicData>
                </a:graphic>
              </wp:anchor>
            </w:drawing>
          </mc:Choice>
          <mc:Fallback>
            <w:pict>
              <v:group id="_x0000_s1026" o:spid="_x0000_s1026" o:spt="203" style="position:absolute;left:0pt;margin-left:74.9pt;margin-top:138.3pt;height:22.75pt;width:47.9pt;z-index:251702272;mso-width-relative:page;mso-height-relative:page;" coordorigin="14748,4216" coordsize="783,455" o:gfxdata="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">
                <o:lock v:ext="edit" aspectratio="f"/>
                <v:shape id="等腰三角形 8" o:spid="_x0000_s1026" o:spt="5" type="#_x0000_t5" style="position:absolute;left:14748;top:4346;height:199;width:183;" fillcolor="#FF0000" filled="t" stroked="t" coordsize="21600,21600" o:gfxdata="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aMQbLvQAA&#10;ANsAAAAPAAAAAAAAAAEAIAAAACIAAABkcnMvZG93bnJldi54bWxQSwECFAAUAAAACACHTuJAMy8F&#10;njsAAAA5AAAAEAAAAAAAAAABACAAAAAMAQAAZHJzL3NoYXBleG1sLnhtbFBLBQYAAAAABgAGAFsB&#10;AAC2AwAAAAA=&#10;" adj="10800">
                  <v:fill on="t" focussize="0,0"/>
                  <v:stroke color="#FF0000" joinstyle="miter"/>
                  <v:imagedata o:title=""/>
                  <o:lock v:ext="edit" aspectratio="f"/>
                </v:shape>
                <v:shape id="文本框 9" o:spid="_x0000_s1026" o:spt="202" type="#_x0000_t202" style="position:absolute;left:14827;top:4216;height:455;width:704;" fillcolor="#FFFFFF" filled="t" stroked="f" coordsize="21600,21600" o:gfxdata="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A9D8328AAAA&#10;2wAAAA8AAAAAAAAAAQAgAAAAIgAAAGRycy9kb3ducmV2LnhtbFBLAQIUABQAAAAIAIdO4kAzLwWe&#10;OwAAADkAAAAQAAAAAAAAAAEAIAAAAAsBAABkcnMvc2hhcGV4bWwueG1sUEsFBgAAAAAGAAYAWwEA&#10;ALUDAAAAAA==&#10;">
                  <v:fill on="t" opacity="0f" focussize="0,0"/>
                  <v:stroke on="f"/>
                  <v:imagedata o:title=""/>
                  <o:lock v:ext="edit" aspectratio="f"/>
                  <v:textbox style="mso-fit-shape-to-text:t;">
                    <w:txbxContent>
                      <w:p w14:paraId="4A4C4119">
                        <w:pPr>
                          <w:rPr>
                            <w:color w:val="FFFF00"/>
                          </w:rPr>
                        </w:pPr>
                        <w:r>
                          <w:rPr>
                            <w:rFonts w:hint="eastAsia"/>
                            <w:color w:val="FFFF00"/>
                          </w:rPr>
                          <w:t>T2-2</w:t>
                        </w:r>
                      </w:p>
                    </w:txbxContent>
                  </v:textbox>
                </v:shape>
              </v:group>
            </w:pict>
          </mc:Fallback>
        </mc:AlternateContent>
      </w:r>
      <w:r>
        <w:rPr>
          <w:color w:val="auto"/>
          <w:highlight w:val="none"/>
        </w:rPr>
        <mc:AlternateContent>
          <mc:Choice Requires="wpg">
            <w:drawing>
              <wp:anchor distT="0" distB="0" distL="114300" distR="114300" simplePos="0" relativeHeight="251699200" behindDoc="0" locked="0" layoutInCell="1" allowOverlap="1">
                <wp:simplePos x="0" y="0"/>
                <wp:positionH relativeFrom="column">
                  <wp:posOffset>2580005</wp:posOffset>
                </wp:positionH>
                <wp:positionV relativeFrom="paragraph">
                  <wp:posOffset>1870710</wp:posOffset>
                </wp:positionV>
                <wp:extent cx="608330" cy="288925"/>
                <wp:effectExtent l="8255" t="0" r="0" b="0"/>
                <wp:wrapNone/>
                <wp:docPr id="54" name="组合 54"/>
                <wp:cNvGraphicFramePr/>
                <a:graphic xmlns:a="http://schemas.openxmlformats.org/drawingml/2006/main">
                  <a:graphicData uri="http://schemas.microsoft.com/office/word/2010/wordprocessingGroup">
                    <wpg:wgp>
                      <wpg:cNvGrpSpPr/>
                      <wpg:grpSpPr>
                        <a:xfrm>
                          <a:off x="0" y="0"/>
                          <a:ext cx="608330" cy="288925"/>
                          <a:chOff x="14748" y="4216"/>
                          <a:chExt cx="783" cy="455"/>
                        </a:xfrm>
                      </wpg:grpSpPr>
                      <wps:wsp>
                        <wps:cNvPr id="55" name="等腰三角形 8"/>
                        <wps:cNvSpPr/>
                        <wps:spPr>
                          <a:xfrm>
                            <a:off x="14748" y="4346"/>
                            <a:ext cx="183" cy="199"/>
                          </a:xfrm>
                          <a:prstGeom prst="triangle">
                            <a:avLst>
                              <a:gd name="adj" fmla="val 50000"/>
                            </a:avLst>
                          </a:prstGeom>
                          <a:solidFill>
                            <a:srgbClr val="FF0000"/>
                          </a:solidFill>
                          <a:ln w="9525" cap="flat" cmpd="sng">
                            <a:solidFill>
                              <a:srgbClr val="FF0000"/>
                            </a:solidFill>
                            <a:prstDash val="solid"/>
                            <a:miter/>
                            <a:headEnd type="none" w="med" len="med"/>
                            <a:tailEnd type="none" w="med" len="med"/>
                          </a:ln>
                        </wps:spPr>
                        <wps:bodyPr upright="1"/>
                      </wps:wsp>
                      <wps:wsp>
                        <wps:cNvPr id="56" name="文本框 9"/>
                        <wps:cNvSpPr txBox="1"/>
                        <wps:spPr>
                          <a:xfrm>
                            <a:off x="14827" y="4216"/>
                            <a:ext cx="704" cy="455"/>
                          </a:xfrm>
                          <a:prstGeom prst="rect">
                            <a:avLst/>
                          </a:prstGeom>
                          <a:solidFill>
                            <a:srgbClr val="FFFFFF">
                              <a:alpha val="0"/>
                            </a:srgbClr>
                          </a:solidFill>
                          <a:ln>
                            <a:noFill/>
                          </a:ln>
                        </wps:spPr>
                        <wps:txbx>
                          <w:txbxContent>
                            <w:p w14:paraId="4D3A61AE">
                              <w:pPr>
                                <w:rPr>
                                  <w:color w:val="FFFF00"/>
                                </w:rPr>
                              </w:pPr>
                              <w:r>
                                <w:rPr>
                                  <w:rFonts w:hint="eastAsia"/>
                                  <w:color w:val="FFFF00"/>
                                </w:rPr>
                                <w:t>T1-2</w:t>
                              </w:r>
                            </w:p>
                          </w:txbxContent>
                        </wps:txbx>
                        <wps:bodyPr wrap="square" upright="1">
                          <a:spAutoFit/>
                        </wps:bodyPr>
                      </wps:wsp>
                    </wpg:wgp>
                  </a:graphicData>
                </a:graphic>
              </wp:anchor>
            </w:drawing>
          </mc:Choice>
          <mc:Fallback>
            <w:pict>
              <v:group id="_x0000_s1026" o:spid="_x0000_s1026" o:spt="203" style="position:absolute;left:0pt;margin-left:203.15pt;margin-top:147.3pt;height:22.75pt;width:47.9pt;z-index:251699200;mso-width-relative:page;mso-height-relative:page;" coordorigin="14748,4216" coordsize="783,455" o:gfxdata="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">
                <o:lock v:ext="edit" aspectratio="f"/>
                <v:shape id="等腰三角形 8" o:spid="_x0000_s1026" o:spt="5" type="#_x0000_t5" style="position:absolute;left:14748;top:4346;height:199;width:183;" fillcolor="#FF0000" filled="t" stroked="t" coordsize="21600,21600" o:gfxdata="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G6/XKi8AAAA&#10;2wAAAA8AAAAAAAAAAQAgAAAAIgAAAGRycy9kb3ducmV2LnhtbFBLAQIUABQAAAAIAIdO4kAzLwWe&#10;OwAAADkAAAAQAAAAAAAAAAEAIAAAAAsBAABkcnMvc2hhcGV4bWwueG1sUEsFBgAAAAAGAAYAWwEA&#10;ALUDAAAAAA==&#10;" adj="10800">
                  <v:fill on="t" focussize="0,0"/>
                  <v:stroke color="#FF0000" joinstyle="miter"/>
                  <v:imagedata o:title=""/>
                  <o:lock v:ext="edit" aspectratio="f"/>
                </v:shape>
                <v:shape id="文本框 9" o:spid="_x0000_s1026" o:spt="202" type="#_x0000_t202" style="position:absolute;left:14827;top:4216;height:455;width:704;" fillcolor="#FFFFFF" filled="t" stroked="f" coordsize="21600,21600" o:gfxdata="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DvNqR68AAAA&#10;2wAAAA8AAAAAAAAAAQAgAAAAIgAAAGRycy9kb3ducmV2LnhtbFBLAQIUABQAAAAIAIdO4kAzLwWe&#10;OwAAADkAAAAQAAAAAAAAAAEAIAAAAAsBAABkcnMvc2hhcGV4bWwueG1sUEsFBgAAAAAGAAYAWwEA&#10;ALUDAAAAAA==&#10;">
                  <v:fill on="t" opacity="0f" focussize="0,0"/>
                  <v:stroke on="f"/>
                  <v:imagedata o:title=""/>
                  <o:lock v:ext="edit" aspectratio="f"/>
                  <v:textbox style="mso-fit-shape-to-text:t;">
                    <w:txbxContent>
                      <w:p w14:paraId="4D3A61AE">
                        <w:pPr>
                          <w:rPr>
                            <w:color w:val="FFFF00"/>
                          </w:rPr>
                        </w:pPr>
                        <w:r>
                          <w:rPr>
                            <w:rFonts w:hint="eastAsia"/>
                            <w:color w:val="FFFF00"/>
                          </w:rPr>
                          <w:t>T1-2</w:t>
                        </w:r>
                      </w:p>
                    </w:txbxContent>
                  </v:textbox>
                </v:shape>
              </v:group>
            </w:pict>
          </mc:Fallback>
        </mc:AlternateContent>
      </w:r>
      <w:r>
        <w:rPr>
          <w:color w:val="auto"/>
          <w:highlight w:val="none"/>
        </w:rPr>
        <mc:AlternateContent>
          <mc:Choice Requires="wpg">
            <w:drawing>
              <wp:anchor distT="0" distB="0" distL="114300" distR="114300" simplePos="0" relativeHeight="251698176" behindDoc="0" locked="0" layoutInCell="1" allowOverlap="1">
                <wp:simplePos x="0" y="0"/>
                <wp:positionH relativeFrom="column">
                  <wp:posOffset>2399030</wp:posOffset>
                </wp:positionH>
                <wp:positionV relativeFrom="paragraph">
                  <wp:posOffset>2242185</wp:posOffset>
                </wp:positionV>
                <wp:extent cx="608330" cy="288925"/>
                <wp:effectExtent l="8255" t="0" r="0" b="0"/>
                <wp:wrapNone/>
                <wp:docPr id="51" name="组合 51"/>
                <wp:cNvGraphicFramePr/>
                <a:graphic xmlns:a="http://schemas.openxmlformats.org/drawingml/2006/main">
                  <a:graphicData uri="http://schemas.microsoft.com/office/word/2010/wordprocessingGroup">
                    <wpg:wgp>
                      <wpg:cNvGrpSpPr/>
                      <wpg:grpSpPr>
                        <a:xfrm>
                          <a:off x="0" y="0"/>
                          <a:ext cx="608330" cy="288925"/>
                          <a:chOff x="14748" y="4216"/>
                          <a:chExt cx="783" cy="455"/>
                        </a:xfrm>
                      </wpg:grpSpPr>
                      <wps:wsp>
                        <wps:cNvPr id="52" name="等腰三角形 8"/>
                        <wps:cNvSpPr/>
                        <wps:spPr>
                          <a:xfrm>
                            <a:off x="14748" y="4346"/>
                            <a:ext cx="183" cy="199"/>
                          </a:xfrm>
                          <a:prstGeom prst="triangle">
                            <a:avLst>
                              <a:gd name="adj" fmla="val 50000"/>
                            </a:avLst>
                          </a:prstGeom>
                          <a:solidFill>
                            <a:srgbClr val="FF0000"/>
                          </a:solidFill>
                          <a:ln w="9525" cap="flat" cmpd="sng">
                            <a:solidFill>
                              <a:srgbClr val="FF0000"/>
                            </a:solidFill>
                            <a:prstDash val="solid"/>
                            <a:miter/>
                            <a:headEnd type="none" w="med" len="med"/>
                            <a:tailEnd type="none" w="med" len="med"/>
                          </a:ln>
                        </wps:spPr>
                        <wps:bodyPr upright="1"/>
                      </wps:wsp>
                      <wps:wsp>
                        <wps:cNvPr id="53" name="文本框 9"/>
                        <wps:cNvSpPr txBox="1"/>
                        <wps:spPr>
                          <a:xfrm>
                            <a:off x="14827" y="4216"/>
                            <a:ext cx="704" cy="455"/>
                          </a:xfrm>
                          <a:prstGeom prst="rect">
                            <a:avLst/>
                          </a:prstGeom>
                          <a:solidFill>
                            <a:srgbClr val="FFFFFF">
                              <a:alpha val="0"/>
                            </a:srgbClr>
                          </a:solidFill>
                          <a:ln>
                            <a:noFill/>
                          </a:ln>
                        </wps:spPr>
                        <wps:txbx>
                          <w:txbxContent>
                            <w:p w14:paraId="7C63E573">
                              <w:pPr>
                                <w:rPr>
                                  <w:color w:val="FFFF00"/>
                                </w:rPr>
                              </w:pPr>
                              <w:r>
                                <w:rPr>
                                  <w:rFonts w:hint="eastAsia"/>
                                  <w:color w:val="FFFF00"/>
                                </w:rPr>
                                <w:t>T1-1</w:t>
                              </w:r>
                            </w:p>
                          </w:txbxContent>
                        </wps:txbx>
                        <wps:bodyPr wrap="square" upright="1">
                          <a:spAutoFit/>
                        </wps:bodyPr>
                      </wps:wsp>
                    </wpg:wgp>
                  </a:graphicData>
                </a:graphic>
              </wp:anchor>
            </w:drawing>
          </mc:Choice>
          <mc:Fallback>
            <w:pict>
              <v:group id="_x0000_s1026" o:spid="_x0000_s1026" o:spt="203" style="position:absolute;left:0pt;margin-left:188.9pt;margin-top:176.55pt;height:22.75pt;width:47.9pt;z-index:251698176;mso-width-relative:page;mso-height-relative:page;" coordorigin="14748,4216" coordsize="783,455" o:gfxdata="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">
                <o:lock v:ext="edit" aspectratio="f"/>
                <v:shape id="等腰三角形 8" o:spid="_x0000_s1026" o:spt="5" type="#_x0000_t5" style="position:absolute;left:14748;top:4346;height:199;width:183;" fillcolor="#FF0000" filled="t" stroked="t" coordsize="21600,21600" o:gfxdata="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OFWxNy8AAAA&#10;2wAAAA8AAAAAAAAAAQAgAAAAIgAAAGRycy9kb3ducmV2LnhtbFBLAQIUABQAAAAIAIdO4kAzLwWe&#10;OwAAADkAAAAQAAAAAAAAAAEAIAAAAAsBAABkcnMvc2hhcGV4bWwueG1sUEsFBgAAAAAGAAYAWwEA&#10;ALUDAAAAAA==&#10;" adj="10800">
                  <v:fill on="t" focussize="0,0"/>
                  <v:stroke color="#FF0000" joinstyle="miter"/>
                  <v:imagedata o:title=""/>
                  <o:lock v:ext="edit" aspectratio="f"/>
                </v:shape>
                <v:shape id="文本框 9" o:spid="_x0000_s1026" o:spt="202" type="#_x0000_t202" style="position:absolute;left:14827;top:4216;height:455;width:704;" fillcolor="#FFFFFF" filled="t" stroked="f" coordsize="21600,21600" o:gfxdata="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rugqGvQAA&#10;ANsAAAAPAAAAAAAAAAEAIAAAACIAAABkcnMvZG93bnJldi54bWxQSwECFAAUAAAACACHTuJAMy8F&#10;njsAAAA5AAAAEAAAAAAAAAABACAAAAAMAQAAZHJzL3NoYXBleG1sLnhtbFBLBQYAAAAABgAGAFsB&#10;AAC2AwAAAAA=&#10;">
                  <v:fill on="t" opacity="0f" focussize="0,0"/>
                  <v:stroke on="f"/>
                  <v:imagedata o:title=""/>
                  <o:lock v:ext="edit" aspectratio="f"/>
                  <v:textbox style="mso-fit-shape-to-text:t;">
                    <w:txbxContent>
                      <w:p w14:paraId="7C63E573">
                        <w:pPr>
                          <w:rPr>
                            <w:color w:val="FFFF00"/>
                          </w:rPr>
                        </w:pPr>
                        <w:r>
                          <w:rPr>
                            <w:rFonts w:hint="eastAsia"/>
                            <w:color w:val="FFFF00"/>
                          </w:rPr>
                          <w:t>T1-1</w:t>
                        </w:r>
                      </w:p>
                    </w:txbxContent>
                  </v:textbox>
                </v:shape>
              </v:group>
            </w:pict>
          </mc:Fallback>
        </mc:AlternateContent>
      </w:r>
      <w:r>
        <w:rPr>
          <w:color w:val="auto"/>
          <w:highlight w:val="none"/>
        </w:rPr>
        <w:drawing>
          <wp:inline distT="0" distB="0" distL="114300" distR="114300">
            <wp:extent cx="5391785" cy="3781425"/>
            <wp:effectExtent l="9525" t="9525" r="27940" b="19050"/>
            <wp:docPr id="30"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17"/>
                    <pic:cNvPicPr>
                      <a:picLocks noChangeAspect="1"/>
                    </pic:cNvPicPr>
                  </pic:nvPicPr>
                  <pic:blipFill>
                    <a:blip r:embed="rId46"/>
                    <a:stretch>
                      <a:fillRect/>
                    </a:stretch>
                  </pic:blipFill>
                  <pic:spPr>
                    <a:xfrm>
                      <a:off x="0" y="0"/>
                      <a:ext cx="5391785" cy="3781425"/>
                    </a:xfrm>
                    <a:prstGeom prst="rect">
                      <a:avLst/>
                    </a:prstGeom>
                    <a:noFill/>
                    <a:ln>
                      <a:solidFill>
                        <a:schemeClr val="tx1"/>
                      </a:solidFill>
                    </a:ln>
                  </pic:spPr>
                </pic:pic>
              </a:graphicData>
            </a:graphic>
          </wp:inline>
        </w:drawing>
      </w:r>
    </w:p>
    <w:p w14:paraId="74C6B3A9">
      <w:pPr>
        <w:pStyle w:val="15"/>
        <w:spacing w:line="360" w:lineRule="auto"/>
        <w:ind w:left="-105" w:right="-105" w:firstLine="482"/>
        <w:rPr>
          <w:rFonts w:eastAsia="宋体" w:cs="Times New Roman"/>
          <w:b w:val="0"/>
          <w:bCs/>
          <w:color w:val="auto"/>
          <w:sz w:val="24"/>
          <w:szCs w:val="18"/>
          <w:highlight w:val="none"/>
        </w:rPr>
      </w:pPr>
      <w:r>
        <w:rPr>
          <w:rFonts w:eastAsia="宋体" w:cs="Times New Roman"/>
          <w:color w:val="auto"/>
          <w:sz w:val="24"/>
          <w:szCs w:val="24"/>
          <w:highlight w:val="none"/>
        </w:rPr>
        <w:t xml:space="preserve">图 </w:t>
      </w:r>
      <w:r>
        <w:rPr>
          <w:rFonts w:eastAsia="宋体" w:cs="Times New Roman"/>
          <w:color w:val="auto"/>
          <w:sz w:val="24"/>
          <w:szCs w:val="24"/>
          <w:highlight w:val="none"/>
        </w:rPr>
        <w:fldChar w:fldCharType="begin"/>
      </w:r>
      <w:r>
        <w:rPr>
          <w:rFonts w:eastAsia="宋体" w:cs="Times New Roman"/>
          <w:color w:val="auto"/>
          <w:sz w:val="24"/>
          <w:szCs w:val="24"/>
          <w:highlight w:val="none"/>
        </w:rPr>
        <w:instrText xml:space="preserve"> STYLEREF 2 \s </w:instrText>
      </w:r>
      <w:r>
        <w:rPr>
          <w:rFonts w:eastAsia="宋体" w:cs="Times New Roman"/>
          <w:color w:val="auto"/>
          <w:sz w:val="24"/>
          <w:szCs w:val="24"/>
          <w:highlight w:val="none"/>
        </w:rPr>
        <w:fldChar w:fldCharType="separate"/>
      </w:r>
      <w:r>
        <w:rPr>
          <w:rFonts w:eastAsia="宋体" w:cs="Times New Roman"/>
          <w:color w:val="auto"/>
          <w:sz w:val="24"/>
          <w:szCs w:val="24"/>
          <w:highlight w:val="none"/>
        </w:rPr>
        <w:t>5.3</w:t>
      </w:r>
      <w:r>
        <w:rPr>
          <w:rFonts w:eastAsia="宋体" w:cs="Times New Roman"/>
          <w:color w:val="auto"/>
          <w:sz w:val="24"/>
          <w:szCs w:val="24"/>
          <w:highlight w:val="none"/>
        </w:rPr>
        <w:fldChar w:fldCharType="end"/>
      </w:r>
      <w:r>
        <w:rPr>
          <w:rFonts w:eastAsia="宋体" w:cs="Times New Roman"/>
          <w:color w:val="auto"/>
          <w:sz w:val="24"/>
          <w:szCs w:val="24"/>
          <w:highlight w:val="none"/>
        </w:rPr>
        <w:t>-</w:t>
      </w:r>
      <w:r>
        <w:rPr>
          <w:rFonts w:eastAsia="宋体" w:cs="Times New Roman"/>
          <w:color w:val="auto"/>
          <w:sz w:val="24"/>
          <w:szCs w:val="24"/>
          <w:highlight w:val="none"/>
        </w:rPr>
        <w:fldChar w:fldCharType="begin"/>
      </w:r>
      <w:r>
        <w:rPr>
          <w:rFonts w:eastAsia="宋体" w:cs="Times New Roman"/>
          <w:color w:val="auto"/>
          <w:sz w:val="24"/>
          <w:szCs w:val="24"/>
          <w:highlight w:val="none"/>
        </w:rPr>
        <w:instrText xml:space="preserve"> SEQ 图 \* ARABIC \s 2 </w:instrText>
      </w:r>
      <w:r>
        <w:rPr>
          <w:rFonts w:eastAsia="宋体" w:cs="Times New Roman"/>
          <w:color w:val="auto"/>
          <w:sz w:val="24"/>
          <w:szCs w:val="24"/>
          <w:highlight w:val="none"/>
        </w:rPr>
        <w:fldChar w:fldCharType="separate"/>
      </w:r>
      <w:r>
        <w:rPr>
          <w:rFonts w:eastAsia="宋体" w:cs="Times New Roman"/>
          <w:color w:val="auto"/>
          <w:sz w:val="24"/>
          <w:szCs w:val="24"/>
          <w:highlight w:val="none"/>
        </w:rPr>
        <w:t>2</w:t>
      </w:r>
      <w:r>
        <w:rPr>
          <w:rFonts w:eastAsia="宋体" w:cs="Times New Roman"/>
          <w:color w:val="auto"/>
          <w:sz w:val="24"/>
          <w:szCs w:val="24"/>
          <w:highlight w:val="none"/>
        </w:rPr>
        <w:fldChar w:fldCharType="end"/>
      </w:r>
      <w:r>
        <w:rPr>
          <w:rFonts w:eastAsia="宋体" w:cs="Times New Roman"/>
          <w:color w:val="auto"/>
          <w:sz w:val="24"/>
          <w:szCs w:val="24"/>
          <w:highlight w:val="none"/>
        </w:rPr>
        <w:t>土</w:t>
      </w:r>
      <w:r>
        <w:rPr>
          <w:rFonts w:eastAsia="宋体" w:cs="Times New Roman"/>
          <w:color w:val="auto"/>
          <w:sz w:val="24"/>
          <w:szCs w:val="18"/>
          <w:highlight w:val="none"/>
        </w:rPr>
        <w:t>壤</w:t>
      </w:r>
      <w:r>
        <w:rPr>
          <w:rFonts w:hint="eastAsia" w:eastAsia="宋体" w:cs="Times New Roman"/>
          <w:color w:val="auto"/>
          <w:sz w:val="24"/>
          <w:szCs w:val="18"/>
          <w:highlight w:val="none"/>
        </w:rPr>
        <w:t>监测点位示意图</w:t>
      </w:r>
    </w:p>
    <w:p w14:paraId="5A575F7B">
      <w:pPr>
        <w:spacing w:before="120" w:beforeLines="50" w:line="360" w:lineRule="auto"/>
        <w:ind w:left="-105" w:right="-105" w:firstLine="480" w:firstLineChars="200"/>
        <w:rPr>
          <w:rFonts w:ascii="Times New Roman" w:hAnsi="Times New Roman"/>
          <w:color w:val="auto"/>
          <w:highlight w:val="none"/>
        </w:rPr>
      </w:pPr>
    </w:p>
    <w:p w14:paraId="47C26DD1">
      <w:pPr>
        <w:spacing w:line="360" w:lineRule="auto"/>
        <w:ind w:left="-105" w:right="-105"/>
        <w:rPr>
          <w:rFonts w:ascii="Times New Roman" w:hAnsi="Times New Roman"/>
          <w:color w:val="auto"/>
          <w:highlight w:val="none"/>
        </w:rPr>
        <w:sectPr>
          <w:pgSz w:w="11906" w:h="16838"/>
          <w:pgMar w:top="1440" w:right="1701" w:bottom="1440" w:left="1701" w:header="851" w:footer="851" w:gutter="0"/>
          <w:pgBorders>
            <w:top w:val="none" w:sz="0" w:space="0"/>
            <w:left w:val="none" w:sz="0" w:space="0"/>
            <w:bottom w:val="none" w:sz="0" w:space="0"/>
            <w:right w:val="none" w:sz="0" w:space="0"/>
          </w:pgBorders>
          <w:cols w:space="720" w:num="1"/>
          <w:docGrid w:linePitch="498" w:charSpace="-2336"/>
        </w:sectPr>
      </w:pPr>
    </w:p>
    <w:p w14:paraId="2FB7E772">
      <w:pPr>
        <w:spacing w:before="120" w:beforeLines="50" w:line="360" w:lineRule="auto"/>
        <w:ind w:left="-105" w:right="-105" w:firstLine="480" w:firstLineChars="200"/>
        <w:rPr>
          <w:rFonts w:ascii="Times New Roman" w:hAnsi="Times New Roman"/>
          <w:color w:val="auto"/>
          <w:highlight w:val="none"/>
        </w:rPr>
      </w:pPr>
      <w:r>
        <w:rPr>
          <w:rFonts w:ascii="Times New Roman" w:hAnsi="Times New Roman"/>
          <w:color w:val="auto"/>
          <w:highlight w:val="none"/>
        </w:rPr>
        <w:t>（</w:t>
      </w:r>
      <w:r>
        <w:rPr>
          <w:rFonts w:hint="eastAsia" w:ascii="Times New Roman" w:hAnsi="Times New Roman"/>
          <w:color w:val="auto"/>
          <w:highlight w:val="none"/>
        </w:rPr>
        <w:t>7</w:t>
      </w:r>
      <w:r>
        <w:rPr>
          <w:rFonts w:ascii="Times New Roman" w:hAnsi="Times New Roman"/>
          <w:color w:val="auto"/>
          <w:highlight w:val="none"/>
        </w:rPr>
        <w:t>）监测结果分析：</w:t>
      </w:r>
    </w:p>
    <w:p w14:paraId="4E3539F1">
      <w:pPr>
        <w:pStyle w:val="15"/>
        <w:spacing w:line="360" w:lineRule="auto"/>
        <w:ind w:left="-105" w:right="-105" w:firstLine="482"/>
        <w:rPr>
          <w:rFonts w:eastAsia="宋体" w:cs="Times New Roman"/>
          <w:color w:val="auto"/>
          <w:sz w:val="24"/>
          <w:szCs w:val="18"/>
          <w:highlight w:val="none"/>
        </w:rPr>
      </w:pPr>
      <w:r>
        <w:rPr>
          <w:rFonts w:eastAsia="宋体" w:cs="Times New Roman"/>
          <w:color w:val="auto"/>
          <w:sz w:val="24"/>
          <w:szCs w:val="18"/>
          <w:highlight w:val="none"/>
        </w:rPr>
        <w:t>表</w:t>
      </w:r>
      <w:r>
        <w:rPr>
          <w:rFonts w:eastAsia="宋体" w:cs="Times New Roman"/>
          <w:color w:val="auto"/>
          <w:sz w:val="24"/>
          <w:szCs w:val="18"/>
          <w:highlight w:val="none"/>
        </w:rPr>
        <w:fldChar w:fldCharType="begin"/>
      </w:r>
      <w:r>
        <w:rPr>
          <w:rFonts w:eastAsia="宋体" w:cs="Times New Roman"/>
          <w:color w:val="auto"/>
          <w:sz w:val="24"/>
          <w:szCs w:val="18"/>
          <w:highlight w:val="none"/>
        </w:rPr>
        <w:instrText xml:space="preserve"> STYLEREF 2 \s </w:instrText>
      </w:r>
      <w:r>
        <w:rPr>
          <w:rFonts w:eastAsia="宋体" w:cs="Times New Roman"/>
          <w:color w:val="auto"/>
          <w:sz w:val="24"/>
          <w:szCs w:val="18"/>
          <w:highlight w:val="none"/>
        </w:rPr>
        <w:fldChar w:fldCharType="separate"/>
      </w:r>
      <w:r>
        <w:rPr>
          <w:rFonts w:eastAsia="宋体" w:cs="Times New Roman"/>
          <w:color w:val="auto"/>
          <w:sz w:val="24"/>
          <w:szCs w:val="18"/>
          <w:highlight w:val="none"/>
        </w:rPr>
        <w:t>5.3</w:t>
      </w:r>
      <w:r>
        <w:rPr>
          <w:rFonts w:eastAsia="宋体" w:cs="Times New Roman"/>
          <w:color w:val="auto"/>
          <w:sz w:val="24"/>
          <w:szCs w:val="18"/>
          <w:highlight w:val="none"/>
        </w:rPr>
        <w:fldChar w:fldCharType="end"/>
      </w:r>
      <w:r>
        <w:rPr>
          <w:rFonts w:eastAsia="宋体" w:cs="Times New Roman"/>
          <w:color w:val="auto"/>
          <w:sz w:val="24"/>
          <w:szCs w:val="18"/>
          <w:highlight w:val="none"/>
        </w:rPr>
        <w:noBreakHyphen/>
      </w:r>
      <w:r>
        <w:rPr>
          <w:rFonts w:eastAsia="宋体" w:cs="Times New Roman"/>
          <w:color w:val="auto"/>
          <w:sz w:val="24"/>
          <w:szCs w:val="18"/>
          <w:highlight w:val="none"/>
        </w:rPr>
        <w:fldChar w:fldCharType="begin"/>
      </w:r>
      <w:r>
        <w:rPr>
          <w:rFonts w:eastAsia="宋体" w:cs="Times New Roman"/>
          <w:color w:val="auto"/>
          <w:sz w:val="24"/>
          <w:szCs w:val="18"/>
          <w:highlight w:val="none"/>
        </w:rPr>
        <w:instrText xml:space="preserve"> SEQ 表 \* ARABIC \s 2 </w:instrText>
      </w:r>
      <w:r>
        <w:rPr>
          <w:rFonts w:eastAsia="宋体" w:cs="Times New Roman"/>
          <w:color w:val="auto"/>
          <w:sz w:val="24"/>
          <w:szCs w:val="18"/>
          <w:highlight w:val="none"/>
        </w:rPr>
        <w:fldChar w:fldCharType="separate"/>
      </w:r>
      <w:r>
        <w:rPr>
          <w:rFonts w:eastAsia="宋体" w:cs="Times New Roman"/>
          <w:color w:val="auto"/>
          <w:sz w:val="24"/>
          <w:szCs w:val="18"/>
          <w:highlight w:val="none"/>
        </w:rPr>
        <w:t>12</w:t>
      </w:r>
      <w:r>
        <w:rPr>
          <w:rFonts w:eastAsia="宋体" w:cs="Times New Roman"/>
          <w:color w:val="auto"/>
          <w:sz w:val="24"/>
          <w:szCs w:val="18"/>
          <w:highlight w:val="none"/>
        </w:rPr>
        <w:fldChar w:fldCharType="end"/>
      </w:r>
      <w:r>
        <w:rPr>
          <w:rFonts w:eastAsia="宋体" w:cs="Times New Roman"/>
          <w:color w:val="auto"/>
          <w:sz w:val="24"/>
          <w:szCs w:val="18"/>
          <w:highlight w:val="none"/>
        </w:rPr>
        <w:t>土壤监测点T1</w:t>
      </w:r>
      <w:r>
        <w:rPr>
          <w:rFonts w:hint="eastAsia" w:eastAsia="宋体" w:cs="Times New Roman"/>
          <w:color w:val="auto"/>
          <w:sz w:val="24"/>
          <w:szCs w:val="18"/>
          <w:highlight w:val="none"/>
        </w:rPr>
        <w:t>-1</w:t>
      </w:r>
      <w:r>
        <w:rPr>
          <w:rFonts w:eastAsia="宋体" w:cs="Times New Roman"/>
          <w:color w:val="auto"/>
          <w:sz w:val="24"/>
          <w:szCs w:val="18"/>
          <w:highlight w:val="none"/>
        </w:rPr>
        <w:t>污染风险筛选结果</w:t>
      </w:r>
    </w:p>
    <w:tbl>
      <w:tblPr>
        <w:tblStyle w:val="45"/>
        <w:tblW w:w="5000" w:type="pct"/>
        <w:tblInd w:w="91" w:type="dxa"/>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autofit"/>
        <w:tblCellMar>
          <w:top w:w="0" w:type="dxa"/>
          <w:left w:w="108" w:type="dxa"/>
          <w:bottom w:w="0" w:type="dxa"/>
          <w:right w:w="108" w:type="dxa"/>
        </w:tblCellMar>
      </w:tblPr>
      <w:tblGrid>
        <w:gridCol w:w="1977"/>
        <w:gridCol w:w="885"/>
        <w:gridCol w:w="900"/>
        <w:gridCol w:w="1236"/>
        <w:gridCol w:w="1236"/>
        <w:gridCol w:w="1236"/>
        <w:gridCol w:w="1236"/>
        <w:gridCol w:w="1236"/>
        <w:gridCol w:w="1236"/>
        <w:gridCol w:w="1236"/>
        <w:gridCol w:w="1238"/>
      </w:tblGrid>
      <w:tr w14:paraId="33D36438">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977" w:type="dxa"/>
            <w:vMerge w:val="restart"/>
            <w:tcBorders>
              <w:tl2br w:val="nil"/>
              <w:tr2bl w:val="nil"/>
            </w:tcBorders>
            <w:shd w:val="clear" w:color="auto" w:fill="auto"/>
            <w:vAlign w:val="center"/>
          </w:tcPr>
          <w:p w14:paraId="7E7E8EC6">
            <w:pPr>
              <w:ind w:left="-105" w:right="-105"/>
              <w:jc w:val="center"/>
              <w:textAlignment w:val="center"/>
              <w:rPr>
                <w:b/>
                <w:bCs/>
                <w:color w:val="auto"/>
                <w:sz w:val="21"/>
                <w:szCs w:val="21"/>
                <w:highlight w:val="none"/>
              </w:rPr>
            </w:pPr>
            <w:r>
              <w:rPr>
                <w:rFonts w:hint="eastAsia"/>
                <w:b/>
                <w:bCs/>
                <w:color w:val="auto"/>
                <w:sz w:val="21"/>
                <w:szCs w:val="21"/>
                <w:highlight w:val="none"/>
                <w:lang w:bidi="ar"/>
              </w:rPr>
              <w:t>检测项目</w:t>
            </w:r>
          </w:p>
        </w:tc>
        <w:tc>
          <w:tcPr>
            <w:tcW w:w="885" w:type="dxa"/>
            <w:vMerge w:val="restart"/>
            <w:tcBorders>
              <w:tl2br w:val="nil"/>
              <w:tr2bl w:val="nil"/>
            </w:tcBorders>
            <w:shd w:val="clear" w:color="auto" w:fill="auto"/>
            <w:vAlign w:val="center"/>
          </w:tcPr>
          <w:p w14:paraId="60F1E77B">
            <w:pPr>
              <w:ind w:left="-105" w:right="-105"/>
              <w:jc w:val="center"/>
              <w:textAlignment w:val="center"/>
              <w:rPr>
                <w:b/>
                <w:bCs/>
                <w:color w:val="auto"/>
                <w:sz w:val="21"/>
                <w:szCs w:val="21"/>
                <w:highlight w:val="none"/>
              </w:rPr>
            </w:pPr>
            <w:r>
              <w:rPr>
                <w:rFonts w:hint="eastAsia"/>
                <w:b/>
                <w:bCs/>
                <w:color w:val="auto"/>
                <w:sz w:val="21"/>
                <w:szCs w:val="21"/>
                <w:highlight w:val="none"/>
                <w:lang w:bidi="ar"/>
              </w:rPr>
              <w:t>单位</w:t>
            </w:r>
          </w:p>
        </w:tc>
        <w:tc>
          <w:tcPr>
            <w:tcW w:w="900" w:type="dxa"/>
            <w:vMerge w:val="restart"/>
            <w:tcBorders>
              <w:tl2br w:val="nil"/>
              <w:tr2bl w:val="nil"/>
            </w:tcBorders>
            <w:shd w:val="clear" w:color="auto" w:fill="auto"/>
            <w:vAlign w:val="center"/>
          </w:tcPr>
          <w:p w14:paraId="61F3341C">
            <w:pPr>
              <w:ind w:left="-105" w:right="-105"/>
              <w:jc w:val="center"/>
              <w:textAlignment w:val="center"/>
              <w:rPr>
                <w:b/>
                <w:bCs/>
                <w:color w:val="auto"/>
                <w:sz w:val="21"/>
                <w:szCs w:val="21"/>
                <w:highlight w:val="none"/>
              </w:rPr>
            </w:pPr>
            <w:r>
              <w:rPr>
                <w:rFonts w:hint="eastAsia"/>
                <w:b/>
                <w:bCs/>
                <w:color w:val="auto"/>
                <w:sz w:val="21"/>
                <w:szCs w:val="21"/>
                <w:highlight w:val="none"/>
                <w:lang w:bidi="ar"/>
              </w:rPr>
              <w:t>筛选值</w:t>
            </w:r>
          </w:p>
        </w:tc>
        <w:tc>
          <w:tcPr>
            <w:tcW w:w="9890" w:type="dxa"/>
            <w:gridSpan w:val="8"/>
            <w:tcBorders>
              <w:tl2br w:val="nil"/>
              <w:tr2bl w:val="nil"/>
            </w:tcBorders>
            <w:shd w:val="clear" w:color="auto" w:fill="auto"/>
            <w:vAlign w:val="center"/>
          </w:tcPr>
          <w:p w14:paraId="18BDDDBB">
            <w:pPr>
              <w:ind w:left="-105" w:right="-105"/>
              <w:jc w:val="center"/>
              <w:textAlignment w:val="center"/>
              <w:rPr>
                <w:rFonts w:ascii="Times New Roman" w:hAnsi="Times New Roman" w:cs="Times New Roman"/>
                <w:b/>
                <w:bCs/>
                <w:color w:val="auto"/>
                <w:sz w:val="21"/>
                <w:szCs w:val="21"/>
                <w:highlight w:val="none"/>
              </w:rPr>
            </w:pPr>
            <w:r>
              <w:rPr>
                <w:rFonts w:ascii="Times New Roman" w:hAnsi="Times New Roman" w:cs="Times New Roman"/>
                <w:b/>
                <w:bCs/>
                <w:color w:val="auto"/>
                <w:sz w:val="21"/>
                <w:szCs w:val="21"/>
                <w:highlight w:val="none"/>
                <w:lang w:bidi="ar"/>
              </w:rPr>
              <w:t>T1-1</w:t>
            </w:r>
          </w:p>
        </w:tc>
      </w:tr>
      <w:tr w14:paraId="47020E77">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977" w:type="dxa"/>
            <w:vMerge w:val="continue"/>
            <w:tcBorders>
              <w:tl2br w:val="nil"/>
              <w:tr2bl w:val="nil"/>
            </w:tcBorders>
            <w:shd w:val="clear" w:color="auto" w:fill="auto"/>
            <w:vAlign w:val="center"/>
          </w:tcPr>
          <w:p w14:paraId="28A90E2E">
            <w:pPr>
              <w:ind w:left="-105" w:right="-105"/>
              <w:jc w:val="center"/>
              <w:rPr>
                <w:b/>
                <w:bCs/>
                <w:color w:val="auto"/>
                <w:sz w:val="21"/>
                <w:szCs w:val="21"/>
                <w:highlight w:val="none"/>
              </w:rPr>
            </w:pPr>
          </w:p>
        </w:tc>
        <w:tc>
          <w:tcPr>
            <w:tcW w:w="885" w:type="dxa"/>
            <w:vMerge w:val="continue"/>
            <w:tcBorders>
              <w:tl2br w:val="nil"/>
              <w:tr2bl w:val="nil"/>
            </w:tcBorders>
            <w:shd w:val="clear" w:color="auto" w:fill="auto"/>
            <w:vAlign w:val="center"/>
          </w:tcPr>
          <w:p w14:paraId="058DF22E">
            <w:pPr>
              <w:ind w:left="-105" w:right="-105"/>
              <w:jc w:val="center"/>
              <w:rPr>
                <w:b/>
                <w:bCs/>
                <w:color w:val="auto"/>
                <w:sz w:val="21"/>
                <w:szCs w:val="21"/>
                <w:highlight w:val="none"/>
              </w:rPr>
            </w:pPr>
          </w:p>
        </w:tc>
        <w:tc>
          <w:tcPr>
            <w:tcW w:w="900" w:type="dxa"/>
            <w:vMerge w:val="continue"/>
            <w:tcBorders>
              <w:tl2br w:val="nil"/>
              <w:tr2bl w:val="nil"/>
            </w:tcBorders>
            <w:shd w:val="clear" w:color="auto" w:fill="auto"/>
            <w:vAlign w:val="center"/>
          </w:tcPr>
          <w:p w14:paraId="03501F36">
            <w:pPr>
              <w:ind w:left="-105" w:right="-105"/>
              <w:jc w:val="center"/>
              <w:rPr>
                <w:b/>
                <w:bCs/>
                <w:color w:val="auto"/>
                <w:sz w:val="21"/>
                <w:szCs w:val="21"/>
                <w:highlight w:val="none"/>
              </w:rPr>
            </w:pPr>
          </w:p>
        </w:tc>
        <w:tc>
          <w:tcPr>
            <w:tcW w:w="2472" w:type="dxa"/>
            <w:gridSpan w:val="2"/>
            <w:tcBorders>
              <w:tl2br w:val="nil"/>
              <w:tr2bl w:val="nil"/>
            </w:tcBorders>
            <w:shd w:val="clear" w:color="auto" w:fill="auto"/>
            <w:vAlign w:val="center"/>
          </w:tcPr>
          <w:p w14:paraId="1416DBAD">
            <w:pPr>
              <w:ind w:left="-105" w:right="-105"/>
              <w:jc w:val="center"/>
              <w:textAlignment w:val="center"/>
              <w:rPr>
                <w:rFonts w:ascii="Times New Roman" w:hAnsi="Times New Roman" w:cs="Times New Roman"/>
                <w:b/>
                <w:bCs/>
                <w:color w:val="auto"/>
                <w:sz w:val="21"/>
                <w:szCs w:val="21"/>
                <w:highlight w:val="none"/>
              </w:rPr>
            </w:pPr>
            <w:r>
              <w:rPr>
                <w:rFonts w:ascii="Times New Roman" w:hAnsi="Times New Roman" w:cs="Times New Roman"/>
                <w:b/>
                <w:bCs/>
                <w:color w:val="auto"/>
                <w:sz w:val="21"/>
                <w:szCs w:val="21"/>
                <w:highlight w:val="none"/>
                <w:lang w:bidi="ar"/>
              </w:rPr>
              <w:t>0-0.2m</w:t>
            </w:r>
          </w:p>
        </w:tc>
        <w:tc>
          <w:tcPr>
            <w:tcW w:w="2472" w:type="dxa"/>
            <w:gridSpan w:val="2"/>
            <w:tcBorders>
              <w:tl2br w:val="nil"/>
              <w:tr2bl w:val="nil"/>
            </w:tcBorders>
            <w:shd w:val="clear" w:color="auto" w:fill="auto"/>
            <w:vAlign w:val="center"/>
          </w:tcPr>
          <w:p w14:paraId="638801D6">
            <w:pPr>
              <w:ind w:left="-105" w:right="-105"/>
              <w:jc w:val="center"/>
              <w:textAlignment w:val="center"/>
              <w:rPr>
                <w:rFonts w:ascii="Times New Roman" w:hAnsi="Times New Roman" w:cs="Times New Roman"/>
                <w:b/>
                <w:bCs/>
                <w:color w:val="auto"/>
                <w:sz w:val="21"/>
                <w:szCs w:val="21"/>
                <w:highlight w:val="none"/>
              </w:rPr>
            </w:pPr>
            <w:r>
              <w:rPr>
                <w:rFonts w:ascii="Times New Roman" w:hAnsi="Times New Roman" w:cs="Times New Roman"/>
                <w:b/>
                <w:bCs/>
                <w:color w:val="auto"/>
                <w:sz w:val="21"/>
                <w:szCs w:val="21"/>
                <w:highlight w:val="none"/>
                <w:lang w:bidi="ar"/>
              </w:rPr>
              <w:t>0.3-0.5m</w:t>
            </w:r>
          </w:p>
        </w:tc>
        <w:tc>
          <w:tcPr>
            <w:tcW w:w="2472" w:type="dxa"/>
            <w:gridSpan w:val="2"/>
            <w:tcBorders>
              <w:tl2br w:val="nil"/>
              <w:tr2bl w:val="nil"/>
            </w:tcBorders>
            <w:shd w:val="clear" w:color="auto" w:fill="auto"/>
            <w:vAlign w:val="center"/>
          </w:tcPr>
          <w:p w14:paraId="7DA99C8F">
            <w:pPr>
              <w:ind w:left="-105" w:right="-105"/>
              <w:jc w:val="center"/>
              <w:textAlignment w:val="center"/>
              <w:rPr>
                <w:rFonts w:ascii="Times New Roman" w:hAnsi="Times New Roman" w:cs="Times New Roman"/>
                <w:b/>
                <w:bCs/>
                <w:color w:val="auto"/>
                <w:sz w:val="21"/>
                <w:szCs w:val="21"/>
                <w:highlight w:val="none"/>
              </w:rPr>
            </w:pPr>
            <w:r>
              <w:rPr>
                <w:rFonts w:ascii="Times New Roman" w:hAnsi="Times New Roman" w:cs="Times New Roman"/>
                <w:b/>
                <w:bCs/>
                <w:color w:val="auto"/>
                <w:sz w:val="21"/>
                <w:szCs w:val="21"/>
                <w:highlight w:val="none"/>
                <w:lang w:bidi="ar"/>
              </w:rPr>
              <w:t>0.8-1.0m</w:t>
            </w:r>
          </w:p>
        </w:tc>
        <w:tc>
          <w:tcPr>
            <w:tcW w:w="2474" w:type="dxa"/>
            <w:gridSpan w:val="2"/>
            <w:tcBorders>
              <w:tl2br w:val="nil"/>
              <w:tr2bl w:val="nil"/>
            </w:tcBorders>
            <w:shd w:val="clear" w:color="auto" w:fill="auto"/>
            <w:vAlign w:val="center"/>
          </w:tcPr>
          <w:p w14:paraId="3203FB63">
            <w:pPr>
              <w:ind w:left="-105" w:right="-105"/>
              <w:jc w:val="center"/>
              <w:textAlignment w:val="center"/>
              <w:rPr>
                <w:rFonts w:ascii="Times New Roman" w:hAnsi="Times New Roman" w:cs="Times New Roman"/>
                <w:b/>
                <w:bCs/>
                <w:color w:val="auto"/>
                <w:sz w:val="21"/>
                <w:szCs w:val="21"/>
                <w:highlight w:val="none"/>
              </w:rPr>
            </w:pPr>
            <w:r>
              <w:rPr>
                <w:rFonts w:ascii="Times New Roman" w:hAnsi="Times New Roman" w:cs="Times New Roman"/>
                <w:b/>
                <w:bCs/>
                <w:color w:val="auto"/>
                <w:sz w:val="21"/>
                <w:szCs w:val="21"/>
                <w:highlight w:val="none"/>
                <w:lang w:bidi="ar"/>
              </w:rPr>
              <w:t>1.8-2.0m</w:t>
            </w:r>
          </w:p>
        </w:tc>
      </w:tr>
      <w:tr w14:paraId="22641CA7">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977" w:type="dxa"/>
            <w:vMerge w:val="continue"/>
            <w:tcBorders>
              <w:tl2br w:val="nil"/>
              <w:tr2bl w:val="nil"/>
            </w:tcBorders>
            <w:shd w:val="clear" w:color="auto" w:fill="auto"/>
            <w:vAlign w:val="center"/>
          </w:tcPr>
          <w:p w14:paraId="5109EFCC">
            <w:pPr>
              <w:ind w:left="-105" w:right="-105"/>
              <w:jc w:val="center"/>
              <w:rPr>
                <w:b/>
                <w:bCs/>
                <w:color w:val="auto"/>
                <w:sz w:val="21"/>
                <w:szCs w:val="21"/>
                <w:highlight w:val="none"/>
              </w:rPr>
            </w:pPr>
          </w:p>
        </w:tc>
        <w:tc>
          <w:tcPr>
            <w:tcW w:w="885" w:type="dxa"/>
            <w:vMerge w:val="continue"/>
            <w:tcBorders>
              <w:tl2br w:val="nil"/>
              <w:tr2bl w:val="nil"/>
            </w:tcBorders>
            <w:shd w:val="clear" w:color="auto" w:fill="auto"/>
            <w:vAlign w:val="center"/>
          </w:tcPr>
          <w:p w14:paraId="79FC2B31">
            <w:pPr>
              <w:ind w:left="-105" w:right="-105"/>
              <w:jc w:val="center"/>
              <w:rPr>
                <w:b/>
                <w:bCs/>
                <w:color w:val="auto"/>
                <w:sz w:val="21"/>
                <w:szCs w:val="21"/>
                <w:highlight w:val="none"/>
              </w:rPr>
            </w:pPr>
          </w:p>
        </w:tc>
        <w:tc>
          <w:tcPr>
            <w:tcW w:w="900" w:type="dxa"/>
            <w:vMerge w:val="continue"/>
            <w:tcBorders>
              <w:tl2br w:val="nil"/>
              <w:tr2bl w:val="nil"/>
            </w:tcBorders>
            <w:shd w:val="clear" w:color="auto" w:fill="auto"/>
            <w:vAlign w:val="center"/>
          </w:tcPr>
          <w:p w14:paraId="67A0A22A">
            <w:pPr>
              <w:ind w:left="-105" w:right="-105"/>
              <w:jc w:val="center"/>
              <w:rPr>
                <w:b/>
                <w:bCs/>
                <w:color w:val="auto"/>
                <w:sz w:val="21"/>
                <w:szCs w:val="21"/>
                <w:highlight w:val="none"/>
              </w:rPr>
            </w:pPr>
          </w:p>
        </w:tc>
        <w:tc>
          <w:tcPr>
            <w:tcW w:w="1236" w:type="dxa"/>
            <w:tcBorders>
              <w:tl2br w:val="nil"/>
              <w:tr2bl w:val="nil"/>
            </w:tcBorders>
            <w:shd w:val="clear" w:color="auto" w:fill="auto"/>
            <w:vAlign w:val="center"/>
          </w:tcPr>
          <w:p w14:paraId="5C5A8020">
            <w:pPr>
              <w:ind w:left="-105" w:right="-105"/>
              <w:jc w:val="center"/>
              <w:textAlignment w:val="center"/>
              <w:rPr>
                <w:b/>
                <w:bCs/>
                <w:color w:val="auto"/>
                <w:sz w:val="21"/>
                <w:szCs w:val="21"/>
                <w:highlight w:val="none"/>
              </w:rPr>
            </w:pPr>
            <w:r>
              <w:rPr>
                <w:rFonts w:hint="eastAsia"/>
                <w:b/>
                <w:bCs/>
                <w:color w:val="auto"/>
                <w:sz w:val="21"/>
                <w:szCs w:val="21"/>
                <w:highlight w:val="none"/>
                <w:lang w:bidi="ar"/>
              </w:rPr>
              <w:t>检测结果</w:t>
            </w:r>
          </w:p>
        </w:tc>
        <w:tc>
          <w:tcPr>
            <w:tcW w:w="1236" w:type="dxa"/>
            <w:tcBorders>
              <w:tl2br w:val="nil"/>
              <w:tr2bl w:val="nil"/>
            </w:tcBorders>
            <w:shd w:val="clear" w:color="auto" w:fill="auto"/>
            <w:vAlign w:val="center"/>
          </w:tcPr>
          <w:p w14:paraId="5CFD7CD0">
            <w:pPr>
              <w:ind w:left="-105" w:right="-105"/>
              <w:jc w:val="center"/>
              <w:textAlignment w:val="center"/>
              <w:rPr>
                <w:b/>
                <w:bCs/>
                <w:color w:val="auto"/>
                <w:sz w:val="21"/>
                <w:szCs w:val="21"/>
                <w:highlight w:val="none"/>
              </w:rPr>
            </w:pPr>
            <w:r>
              <w:rPr>
                <w:rFonts w:hint="eastAsia"/>
                <w:b/>
                <w:bCs/>
                <w:color w:val="auto"/>
                <w:sz w:val="21"/>
                <w:szCs w:val="21"/>
                <w:highlight w:val="none"/>
                <w:lang w:bidi="ar"/>
              </w:rPr>
              <w:t>标准指数</w:t>
            </w:r>
          </w:p>
        </w:tc>
        <w:tc>
          <w:tcPr>
            <w:tcW w:w="1236" w:type="dxa"/>
            <w:tcBorders>
              <w:tl2br w:val="nil"/>
              <w:tr2bl w:val="nil"/>
            </w:tcBorders>
            <w:shd w:val="clear" w:color="auto" w:fill="auto"/>
            <w:vAlign w:val="center"/>
          </w:tcPr>
          <w:p w14:paraId="11C5B2B2">
            <w:pPr>
              <w:ind w:left="-105" w:right="-105"/>
              <w:jc w:val="center"/>
              <w:textAlignment w:val="center"/>
              <w:rPr>
                <w:b/>
                <w:bCs/>
                <w:color w:val="auto"/>
                <w:sz w:val="21"/>
                <w:szCs w:val="21"/>
                <w:highlight w:val="none"/>
              </w:rPr>
            </w:pPr>
            <w:r>
              <w:rPr>
                <w:rFonts w:hint="eastAsia"/>
                <w:b/>
                <w:bCs/>
                <w:color w:val="auto"/>
                <w:sz w:val="21"/>
                <w:szCs w:val="21"/>
                <w:highlight w:val="none"/>
                <w:lang w:bidi="ar"/>
              </w:rPr>
              <w:t>检测结果</w:t>
            </w:r>
          </w:p>
        </w:tc>
        <w:tc>
          <w:tcPr>
            <w:tcW w:w="1236" w:type="dxa"/>
            <w:tcBorders>
              <w:tl2br w:val="nil"/>
              <w:tr2bl w:val="nil"/>
            </w:tcBorders>
            <w:shd w:val="clear" w:color="auto" w:fill="auto"/>
            <w:vAlign w:val="center"/>
          </w:tcPr>
          <w:p w14:paraId="74C1989A">
            <w:pPr>
              <w:ind w:left="-105" w:right="-105"/>
              <w:jc w:val="center"/>
              <w:textAlignment w:val="center"/>
              <w:rPr>
                <w:b/>
                <w:bCs/>
                <w:color w:val="auto"/>
                <w:sz w:val="21"/>
                <w:szCs w:val="21"/>
                <w:highlight w:val="none"/>
              </w:rPr>
            </w:pPr>
            <w:r>
              <w:rPr>
                <w:rFonts w:hint="eastAsia"/>
                <w:b/>
                <w:bCs/>
                <w:color w:val="auto"/>
                <w:sz w:val="21"/>
                <w:szCs w:val="21"/>
                <w:highlight w:val="none"/>
                <w:lang w:bidi="ar"/>
              </w:rPr>
              <w:t>标准指数</w:t>
            </w:r>
          </w:p>
        </w:tc>
        <w:tc>
          <w:tcPr>
            <w:tcW w:w="1236" w:type="dxa"/>
            <w:tcBorders>
              <w:tl2br w:val="nil"/>
              <w:tr2bl w:val="nil"/>
            </w:tcBorders>
            <w:shd w:val="clear" w:color="auto" w:fill="auto"/>
            <w:vAlign w:val="center"/>
          </w:tcPr>
          <w:p w14:paraId="57FAC250">
            <w:pPr>
              <w:ind w:left="-105" w:right="-105"/>
              <w:jc w:val="center"/>
              <w:textAlignment w:val="center"/>
              <w:rPr>
                <w:b/>
                <w:bCs/>
                <w:color w:val="auto"/>
                <w:sz w:val="21"/>
                <w:szCs w:val="21"/>
                <w:highlight w:val="none"/>
              </w:rPr>
            </w:pPr>
            <w:r>
              <w:rPr>
                <w:rFonts w:hint="eastAsia"/>
                <w:b/>
                <w:bCs/>
                <w:color w:val="auto"/>
                <w:sz w:val="21"/>
                <w:szCs w:val="21"/>
                <w:highlight w:val="none"/>
                <w:lang w:bidi="ar"/>
              </w:rPr>
              <w:t>检测结果</w:t>
            </w:r>
          </w:p>
        </w:tc>
        <w:tc>
          <w:tcPr>
            <w:tcW w:w="1236" w:type="dxa"/>
            <w:tcBorders>
              <w:tl2br w:val="nil"/>
              <w:tr2bl w:val="nil"/>
            </w:tcBorders>
            <w:shd w:val="clear" w:color="auto" w:fill="auto"/>
            <w:vAlign w:val="center"/>
          </w:tcPr>
          <w:p w14:paraId="643B9582">
            <w:pPr>
              <w:ind w:left="-105" w:right="-105"/>
              <w:jc w:val="center"/>
              <w:textAlignment w:val="center"/>
              <w:rPr>
                <w:b/>
                <w:bCs/>
                <w:color w:val="auto"/>
                <w:sz w:val="21"/>
                <w:szCs w:val="21"/>
                <w:highlight w:val="none"/>
              </w:rPr>
            </w:pPr>
            <w:r>
              <w:rPr>
                <w:rFonts w:hint="eastAsia"/>
                <w:b/>
                <w:bCs/>
                <w:color w:val="auto"/>
                <w:sz w:val="21"/>
                <w:szCs w:val="21"/>
                <w:highlight w:val="none"/>
                <w:lang w:bidi="ar"/>
              </w:rPr>
              <w:t>标准指数</w:t>
            </w:r>
          </w:p>
        </w:tc>
        <w:tc>
          <w:tcPr>
            <w:tcW w:w="1236" w:type="dxa"/>
            <w:tcBorders>
              <w:tl2br w:val="nil"/>
              <w:tr2bl w:val="nil"/>
            </w:tcBorders>
            <w:shd w:val="clear" w:color="auto" w:fill="auto"/>
            <w:vAlign w:val="center"/>
          </w:tcPr>
          <w:p w14:paraId="4DC9EE87">
            <w:pPr>
              <w:ind w:left="-105" w:right="-105"/>
              <w:jc w:val="center"/>
              <w:textAlignment w:val="center"/>
              <w:rPr>
                <w:b/>
                <w:bCs/>
                <w:color w:val="auto"/>
                <w:sz w:val="21"/>
                <w:szCs w:val="21"/>
                <w:highlight w:val="none"/>
              </w:rPr>
            </w:pPr>
            <w:r>
              <w:rPr>
                <w:rFonts w:hint="eastAsia"/>
                <w:b/>
                <w:bCs/>
                <w:color w:val="auto"/>
                <w:sz w:val="21"/>
                <w:szCs w:val="21"/>
                <w:highlight w:val="none"/>
                <w:lang w:bidi="ar"/>
              </w:rPr>
              <w:t>检测结果</w:t>
            </w:r>
          </w:p>
        </w:tc>
        <w:tc>
          <w:tcPr>
            <w:tcW w:w="1238" w:type="dxa"/>
            <w:tcBorders>
              <w:tl2br w:val="nil"/>
              <w:tr2bl w:val="nil"/>
            </w:tcBorders>
            <w:shd w:val="clear" w:color="auto" w:fill="auto"/>
            <w:vAlign w:val="center"/>
          </w:tcPr>
          <w:p w14:paraId="17251349">
            <w:pPr>
              <w:ind w:left="-105" w:right="-105"/>
              <w:jc w:val="center"/>
              <w:textAlignment w:val="center"/>
              <w:rPr>
                <w:b/>
                <w:bCs/>
                <w:color w:val="auto"/>
                <w:sz w:val="21"/>
                <w:szCs w:val="21"/>
                <w:highlight w:val="none"/>
              </w:rPr>
            </w:pPr>
            <w:r>
              <w:rPr>
                <w:rFonts w:hint="eastAsia"/>
                <w:b/>
                <w:bCs/>
                <w:color w:val="auto"/>
                <w:sz w:val="21"/>
                <w:szCs w:val="21"/>
                <w:highlight w:val="none"/>
                <w:lang w:bidi="ar"/>
              </w:rPr>
              <w:t>标准指数</w:t>
            </w:r>
          </w:p>
        </w:tc>
      </w:tr>
      <w:tr w14:paraId="28CF6AF2">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977" w:type="dxa"/>
            <w:tcBorders>
              <w:tl2br w:val="nil"/>
              <w:tr2bl w:val="nil"/>
            </w:tcBorders>
            <w:shd w:val="clear" w:color="auto" w:fill="auto"/>
            <w:vAlign w:val="center"/>
          </w:tcPr>
          <w:p w14:paraId="497CACFD">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pH</w:t>
            </w:r>
          </w:p>
        </w:tc>
        <w:tc>
          <w:tcPr>
            <w:tcW w:w="885" w:type="dxa"/>
            <w:tcBorders>
              <w:tl2br w:val="nil"/>
              <w:tr2bl w:val="nil"/>
            </w:tcBorders>
            <w:shd w:val="clear" w:color="auto" w:fill="auto"/>
            <w:vAlign w:val="center"/>
          </w:tcPr>
          <w:p w14:paraId="5481CE88">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900" w:type="dxa"/>
            <w:tcBorders>
              <w:tl2br w:val="nil"/>
              <w:tr2bl w:val="nil"/>
            </w:tcBorders>
            <w:shd w:val="clear" w:color="auto" w:fill="auto"/>
            <w:vAlign w:val="center"/>
          </w:tcPr>
          <w:p w14:paraId="65FFD485">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6" w:type="dxa"/>
            <w:tcBorders>
              <w:tl2br w:val="nil"/>
              <w:tr2bl w:val="nil"/>
            </w:tcBorders>
            <w:shd w:val="clear" w:color="auto" w:fill="auto"/>
            <w:vAlign w:val="center"/>
          </w:tcPr>
          <w:p w14:paraId="1255D8C6">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6.69</w:t>
            </w:r>
          </w:p>
        </w:tc>
        <w:tc>
          <w:tcPr>
            <w:tcW w:w="1236" w:type="dxa"/>
            <w:tcBorders>
              <w:tl2br w:val="nil"/>
              <w:tr2bl w:val="nil"/>
            </w:tcBorders>
            <w:shd w:val="clear" w:color="auto" w:fill="auto"/>
            <w:vAlign w:val="center"/>
          </w:tcPr>
          <w:p w14:paraId="76110AB5">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6" w:type="dxa"/>
            <w:tcBorders>
              <w:tl2br w:val="nil"/>
              <w:tr2bl w:val="nil"/>
            </w:tcBorders>
            <w:shd w:val="clear" w:color="auto" w:fill="auto"/>
            <w:vAlign w:val="center"/>
          </w:tcPr>
          <w:p w14:paraId="67A8F053">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6.78</w:t>
            </w:r>
          </w:p>
        </w:tc>
        <w:tc>
          <w:tcPr>
            <w:tcW w:w="1236" w:type="dxa"/>
            <w:tcBorders>
              <w:tl2br w:val="nil"/>
              <w:tr2bl w:val="nil"/>
            </w:tcBorders>
            <w:shd w:val="clear" w:color="auto" w:fill="auto"/>
            <w:vAlign w:val="center"/>
          </w:tcPr>
          <w:p w14:paraId="1E5ADCDF">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6" w:type="dxa"/>
            <w:tcBorders>
              <w:tl2br w:val="nil"/>
              <w:tr2bl w:val="nil"/>
            </w:tcBorders>
            <w:shd w:val="clear" w:color="auto" w:fill="auto"/>
            <w:vAlign w:val="center"/>
          </w:tcPr>
          <w:p w14:paraId="1F8EA457">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6.86</w:t>
            </w:r>
          </w:p>
        </w:tc>
        <w:tc>
          <w:tcPr>
            <w:tcW w:w="1236" w:type="dxa"/>
            <w:tcBorders>
              <w:tl2br w:val="nil"/>
              <w:tr2bl w:val="nil"/>
            </w:tcBorders>
            <w:shd w:val="clear" w:color="auto" w:fill="auto"/>
            <w:vAlign w:val="center"/>
          </w:tcPr>
          <w:p w14:paraId="079A03D2">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6" w:type="dxa"/>
            <w:tcBorders>
              <w:tl2br w:val="nil"/>
              <w:tr2bl w:val="nil"/>
            </w:tcBorders>
            <w:shd w:val="clear" w:color="auto" w:fill="auto"/>
            <w:vAlign w:val="center"/>
          </w:tcPr>
          <w:p w14:paraId="67D8BBC1">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6.88</w:t>
            </w:r>
          </w:p>
        </w:tc>
        <w:tc>
          <w:tcPr>
            <w:tcW w:w="1238" w:type="dxa"/>
            <w:tcBorders>
              <w:tl2br w:val="nil"/>
              <w:tr2bl w:val="nil"/>
            </w:tcBorders>
            <w:shd w:val="clear" w:color="auto" w:fill="auto"/>
            <w:vAlign w:val="center"/>
          </w:tcPr>
          <w:p w14:paraId="4A4425EF">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r>
      <w:tr w14:paraId="5F091888">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977" w:type="dxa"/>
            <w:tcBorders>
              <w:tl2br w:val="nil"/>
              <w:tr2bl w:val="nil"/>
            </w:tcBorders>
            <w:shd w:val="clear" w:color="auto" w:fill="auto"/>
            <w:vAlign w:val="center"/>
          </w:tcPr>
          <w:p w14:paraId="2490771D">
            <w:pPr>
              <w:ind w:left="-105" w:right="-105"/>
              <w:jc w:val="center"/>
              <w:textAlignment w:val="center"/>
              <w:rPr>
                <w:color w:val="auto"/>
                <w:sz w:val="21"/>
                <w:szCs w:val="21"/>
                <w:highlight w:val="none"/>
              </w:rPr>
            </w:pPr>
            <w:r>
              <w:rPr>
                <w:rFonts w:hint="eastAsia"/>
                <w:color w:val="auto"/>
                <w:sz w:val="21"/>
                <w:szCs w:val="21"/>
                <w:highlight w:val="none"/>
                <w:lang w:bidi="ar"/>
              </w:rPr>
              <w:t>汞</w:t>
            </w:r>
          </w:p>
        </w:tc>
        <w:tc>
          <w:tcPr>
            <w:tcW w:w="885" w:type="dxa"/>
            <w:tcBorders>
              <w:tl2br w:val="nil"/>
              <w:tr2bl w:val="nil"/>
            </w:tcBorders>
            <w:shd w:val="clear" w:color="auto" w:fill="auto"/>
            <w:vAlign w:val="center"/>
          </w:tcPr>
          <w:p w14:paraId="7187BB9A">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mg/kg</w:t>
            </w:r>
          </w:p>
        </w:tc>
        <w:tc>
          <w:tcPr>
            <w:tcW w:w="900" w:type="dxa"/>
            <w:tcBorders>
              <w:tl2br w:val="nil"/>
              <w:tr2bl w:val="nil"/>
            </w:tcBorders>
            <w:shd w:val="clear" w:color="auto" w:fill="auto"/>
            <w:vAlign w:val="center"/>
          </w:tcPr>
          <w:p w14:paraId="3BC13C62">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38</w:t>
            </w:r>
          </w:p>
        </w:tc>
        <w:tc>
          <w:tcPr>
            <w:tcW w:w="1236" w:type="dxa"/>
            <w:tcBorders>
              <w:tl2br w:val="nil"/>
              <w:tr2bl w:val="nil"/>
            </w:tcBorders>
            <w:shd w:val="clear" w:color="auto" w:fill="auto"/>
            <w:vAlign w:val="center"/>
          </w:tcPr>
          <w:p w14:paraId="005D03EA">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0.06</w:t>
            </w:r>
          </w:p>
        </w:tc>
        <w:tc>
          <w:tcPr>
            <w:tcW w:w="1236" w:type="dxa"/>
            <w:tcBorders>
              <w:tl2br w:val="nil"/>
              <w:tr2bl w:val="nil"/>
            </w:tcBorders>
            <w:shd w:val="clear" w:color="auto" w:fill="auto"/>
            <w:vAlign w:val="center"/>
          </w:tcPr>
          <w:p w14:paraId="649396C8">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 xml:space="preserve">0.0016 </w:t>
            </w:r>
          </w:p>
        </w:tc>
        <w:tc>
          <w:tcPr>
            <w:tcW w:w="1236" w:type="dxa"/>
            <w:tcBorders>
              <w:tl2br w:val="nil"/>
              <w:tr2bl w:val="nil"/>
            </w:tcBorders>
            <w:shd w:val="clear" w:color="auto" w:fill="auto"/>
            <w:vAlign w:val="center"/>
          </w:tcPr>
          <w:p w14:paraId="39FB5095">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0.03</w:t>
            </w:r>
          </w:p>
        </w:tc>
        <w:tc>
          <w:tcPr>
            <w:tcW w:w="1236" w:type="dxa"/>
            <w:tcBorders>
              <w:tl2br w:val="nil"/>
              <w:tr2bl w:val="nil"/>
            </w:tcBorders>
            <w:shd w:val="clear" w:color="auto" w:fill="auto"/>
            <w:vAlign w:val="center"/>
          </w:tcPr>
          <w:p w14:paraId="557804EB">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 xml:space="preserve">0.0008 </w:t>
            </w:r>
          </w:p>
        </w:tc>
        <w:tc>
          <w:tcPr>
            <w:tcW w:w="1236" w:type="dxa"/>
            <w:tcBorders>
              <w:tl2br w:val="nil"/>
              <w:tr2bl w:val="nil"/>
            </w:tcBorders>
            <w:shd w:val="clear" w:color="auto" w:fill="auto"/>
            <w:vAlign w:val="center"/>
          </w:tcPr>
          <w:p w14:paraId="0B1C7BE9">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0.02</w:t>
            </w:r>
          </w:p>
        </w:tc>
        <w:tc>
          <w:tcPr>
            <w:tcW w:w="1236" w:type="dxa"/>
            <w:tcBorders>
              <w:tl2br w:val="nil"/>
              <w:tr2bl w:val="nil"/>
            </w:tcBorders>
            <w:shd w:val="clear" w:color="auto" w:fill="auto"/>
            <w:vAlign w:val="center"/>
          </w:tcPr>
          <w:p w14:paraId="0A5876CF">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 xml:space="preserve">0.0005 </w:t>
            </w:r>
          </w:p>
        </w:tc>
        <w:tc>
          <w:tcPr>
            <w:tcW w:w="1236" w:type="dxa"/>
            <w:tcBorders>
              <w:tl2br w:val="nil"/>
              <w:tr2bl w:val="nil"/>
            </w:tcBorders>
            <w:shd w:val="clear" w:color="auto" w:fill="auto"/>
            <w:vAlign w:val="center"/>
          </w:tcPr>
          <w:p w14:paraId="1BE2E898">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0.16</w:t>
            </w:r>
          </w:p>
        </w:tc>
        <w:tc>
          <w:tcPr>
            <w:tcW w:w="1238" w:type="dxa"/>
            <w:tcBorders>
              <w:tl2br w:val="nil"/>
              <w:tr2bl w:val="nil"/>
            </w:tcBorders>
            <w:shd w:val="clear" w:color="auto" w:fill="auto"/>
            <w:vAlign w:val="center"/>
          </w:tcPr>
          <w:p w14:paraId="6F2BAB4C">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 xml:space="preserve">0.0042 </w:t>
            </w:r>
          </w:p>
        </w:tc>
      </w:tr>
      <w:tr w14:paraId="16A6C018">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977" w:type="dxa"/>
            <w:tcBorders>
              <w:tl2br w:val="nil"/>
              <w:tr2bl w:val="nil"/>
            </w:tcBorders>
            <w:shd w:val="clear" w:color="auto" w:fill="auto"/>
            <w:vAlign w:val="center"/>
          </w:tcPr>
          <w:p w14:paraId="701460F9">
            <w:pPr>
              <w:ind w:left="-105" w:right="-105"/>
              <w:jc w:val="center"/>
              <w:textAlignment w:val="center"/>
              <w:rPr>
                <w:color w:val="auto"/>
                <w:sz w:val="21"/>
                <w:szCs w:val="21"/>
                <w:highlight w:val="none"/>
              </w:rPr>
            </w:pPr>
            <w:r>
              <w:rPr>
                <w:rFonts w:hint="eastAsia"/>
                <w:color w:val="auto"/>
                <w:sz w:val="21"/>
                <w:szCs w:val="21"/>
                <w:highlight w:val="none"/>
                <w:lang w:bidi="ar"/>
              </w:rPr>
              <w:t>砷</w:t>
            </w:r>
          </w:p>
        </w:tc>
        <w:tc>
          <w:tcPr>
            <w:tcW w:w="885" w:type="dxa"/>
            <w:tcBorders>
              <w:tl2br w:val="nil"/>
              <w:tr2bl w:val="nil"/>
            </w:tcBorders>
            <w:shd w:val="clear" w:color="auto" w:fill="auto"/>
            <w:vAlign w:val="center"/>
          </w:tcPr>
          <w:p w14:paraId="7612C114">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mg/kg</w:t>
            </w:r>
          </w:p>
        </w:tc>
        <w:tc>
          <w:tcPr>
            <w:tcW w:w="900" w:type="dxa"/>
            <w:tcBorders>
              <w:tl2br w:val="nil"/>
              <w:tr2bl w:val="nil"/>
            </w:tcBorders>
            <w:shd w:val="clear" w:color="auto" w:fill="auto"/>
            <w:vAlign w:val="center"/>
          </w:tcPr>
          <w:p w14:paraId="266D940E">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60</w:t>
            </w:r>
          </w:p>
        </w:tc>
        <w:tc>
          <w:tcPr>
            <w:tcW w:w="1236" w:type="dxa"/>
            <w:tcBorders>
              <w:tl2br w:val="nil"/>
              <w:tr2bl w:val="nil"/>
            </w:tcBorders>
            <w:shd w:val="clear" w:color="auto" w:fill="auto"/>
            <w:vAlign w:val="center"/>
          </w:tcPr>
          <w:p w14:paraId="106D18D3">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17.7</w:t>
            </w:r>
          </w:p>
        </w:tc>
        <w:tc>
          <w:tcPr>
            <w:tcW w:w="1236" w:type="dxa"/>
            <w:tcBorders>
              <w:tl2br w:val="nil"/>
              <w:tr2bl w:val="nil"/>
            </w:tcBorders>
            <w:shd w:val="clear" w:color="auto" w:fill="auto"/>
            <w:vAlign w:val="center"/>
          </w:tcPr>
          <w:p w14:paraId="6C4421CD">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 xml:space="preserve">0.2950 </w:t>
            </w:r>
          </w:p>
        </w:tc>
        <w:tc>
          <w:tcPr>
            <w:tcW w:w="1236" w:type="dxa"/>
            <w:tcBorders>
              <w:tl2br w:val="nil"/>
              <w:tr2bl w:val="nil"/>
            </w:tcBorders>
            <w:shd w:val="clear" w:color="auto" w:fill="auto"/>
            <w:vAlign w:val="center"/>
          </w:tcPr>
          <w:p w14:paraId="4B0CC2F4">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16.1</w:t>
            </w:r>
          </w:p>
        </w:tc>
        <w:tc>
          <w:tcPr>
            <w:tcW w:w="1236" w:type="dxa"/>
            <w:tcBorders>
              <w:tl2br w:val="nil"/>
              <w:tr2bl w:val="nil"/>
            </w:tcBorders>
            <w:shd w:val="clear" w:color="auto" w:fill="auto"/>
            <w:vAlign w:val="center"/>
          </w:tcPr>
          <w:p w14:paraId="2F7CFB4C">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 xml:space="preserve">0.2683 </w:t>
            </w:r>
          </w:p>
        </w:tc>
        <w:tc>
          <w:tcPr>
            <w:tcW w:w="1236" w:type="dxa"/>
            <w:tcBorders>
              <w:tl2br w:val="nil"/>
              <w:tr2bl w:val="nil"/>
            </w:tcBorders>
            <w:shd w:val="clear" w:color="auto" w:fill="auto"/>
            <w:vAlign w:val="center"/>
          </w:tcPr>
          <w:p w14:paraId="52A0B57D">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15.7</w:t>
            </w:r>
          </w:p>
        </w:tc>
        <w:tc>
          <w:tcPr>
            <w:tcW w:w="1236" w:type="dxa"/>
            <w:tcBorders>
              <w:tl2br w:val="nil"/>
              <w:tr2bl w:val="nil"/>
            </w:tcBorders>
            <w:shd w:val="clear" w:color="auto" w:fill="auto"/>
            <w:vAlign w:val="center"/>
          </w:tcPr>
          <w:p w14:paraId="65D73F4C">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 xml:space="preserve">0.2617 </w:t>
            </w:r>
          </w:p>
        </w:tc>
        <w:tc>
          <w:tcPr>
            <w:tcW w:w="1236" w:type="dxa"/>
            <w:tcBorders>
              <w:tl2br w:val="nil"/>
              <w:tr2bl w:val="nil"/>
            </w:tcBorders>
            <w:shd w:val="clear" w:color="auto" w:fill="auto"/>
            <w:vAlign w:val="center"/>
          </w:tcPr>
          <w:p w14:paraId="580CF1C6">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14.4</w:t>
            </w:r>
          </w:p>
        </w:tc>
        <w:tc>
          <w:tcPr>
            <w:tcW w:w="1238" w:type="dxa"/>
            <w:tcBorders>
              <w:tl2br w:val="nil"/>
              <w:tr2bl w:val="nil"/>
            </w:tcBorders>
            <w:shd w:val="clear" w:color="auto" w:fill="auto"/>
            <w:vAlign w:val="center"/>
          </w:tcPr>
          <w:p w14:paraId="1D304177">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 xml:space="preserve">0.2400 </w:t>
            </w:r>
          </w:p>
        </w:tc>
      </w:tr>
      <w:tr w14:paraId="7F4F6B51">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977" w:type="dxa"/>
            <w:tcBorders>
              <w:tl2br w:val="nil"/>
              <w:tr2bl w:val="nil"/>
            </w:tcBorders>
            <w:shd w:val="clear" w:color="auto" w:fill="auto"/>
            <w:vAlign w:val="center"/>
          </w:tcPr>
          <w:p w14:paraId="67454D6B">
            <w:pPr>
              <w:ind w:left="-105" w:right="-105"/>
              <w:jc w:val="center"/>
              <w:textAlignment w:val="center"/>
              <w:rPr>
                <w:color w:val="auto"/>
                <w:sz w:val="21"/>
                <w:szCs w:val="21"/>
                <w:highlight w:val="none"/>
              </w:rPr>
            </w:pPr>
            <w:r>
              <w:rPr>
                <w:rFonts w:hint="eastAsia"/>
                <w:color w:val="auto"/>
                <w:sz w:val="21"/>
                <w:szCs w:val="21"/>
                <w:highlight w:val="none"/>
                <w:lang w:bidi="ar"/>
              </w:rPr>
              <w:t>镉</w:t>
            </w:r>
          </w:p>
        </w:tc>
        <w:tc>
          <w:tcPr>
            <w:tcW w:w="885" w:type="dxa"/>
            <w:tcBorders>
              <w:tl2br w:val="nil"/>
              <w:tr2bl w:val="nil"/>
            </w:tcBorders>
            <w:shd w:val="clear" w:color="auto" w:fill="auto"/>
            <w:vAlign w:val="center"/>
          </w:tcPr>
          <w:p w14:paraId="029904D7">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mg/kg</w:t>
            </w:r>
          </w:p>
        </w:tc>
        <w:tc>
          <w:tcPr>
            <w:tcW w:w="900" w:type="dxa"/>
            <w:tcBorders>
              <w:tl2br w:val="nil"/>
              <w:tr2bl w:val="nil"/>
            </w:tcBorders>
            <w:shd w:val="clear" w:color="auto" w:fill="auto"/>
            <w:vAlign w:val="center"/>
          </w:tcPr>
          <w:p w14:paraId="24286C8B">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65</w:t>
            </w:r>
          </w:p>
        </w:tc>
        <w:tc>
          <w:tcPr>
            <w:tcW w:w="1236" w:type="dxa"/>
            <w:tcBorders>
              <w:tl2br w:val="nil"/>
              <w:tr2bl w:val="nil"/>
            </w:tcBorders>
            <w:shd w:val="clear" w:color="auto" w:fill="auto"/>
            <w:vAlign w:val="center"/>
          </w:tcPr>
          <w:p w14:paraId="14C47B56">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0.23</w:t>
            </w:r>
          </w:p>
        </w:tc>
        <w:tc>
          <w:tcPr>
            <w:tcW w:w="1236" w:type="dxa"/>
            <w:tcBorders>
              <w:tl2br w:val="nil"/>
              <w:tr2bl w:val="nil"/>
            </w:tcBorders>
            <w:shd w:val="clear" w:color="auto" w:fill="auto"/>
            <w:vAlign w:val="center"/>
          </w:tcPr>
          <w:p w14:paraId="18D359D2">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 xml:space="preserve">0.0035 </w:t>
            </w:r>
          </w:p>
        </w:tc>
        <w:tc>
          <w:tcPr>
            <w:tcW w:w="1236" w:type="dxa"/>
            <w:tcBorders>
              <w:tl2br w:val="nil"/>
              <w:tr2bl w:val="nil"/>
            </w:tcBorders>
            <w:shd w:val="clear" w:color="auto" w:fill="auto"/>
            <w:vAlign w:val="center"/>
          </w:tcPr>
          <w:p w14:paraId="6F50A54C">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0.19</w:t>
            </w:r>
          </w:p>
        </w:tc>
        <w:tc>
          <w:tcPr>
            <w:tcW w:w="1236" w:type="dxa"/>
            <w:tcBorders>
              <w:tl2br w:val="nil"/>
              <w:tr2bl w:val="nil"/>
            </w:tcBorders>
            <w:shd w:val="clear" w:color="auto" w:fill="auto"/>
            <w:vAlign w:val="center"/>
          </w:tcPr>
          <w:p w14:paraId="6D6AC95F">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 xml:space="preserve">0.0029 </w:t>
            </w:r>
          </w:p>
        </w:tc>
        <w:tc>
          <w:tcPr>
            <w:tcW w:w="1236" w:type="dxa"/>
            <w:tcBorders>
              <w:tl2br w:val="nil"/>
              <w:tr2bl w:val="nil"/>
            </w:tcBorders>
            <w:shd w:val="clear" w:color="auto" w:fill="auto"/>
            <w:vAlign w:val="center"/>
          </w:tcPr>
          <w:p w14:paraId="0160A282">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0.24</w:t>
            </w:r>
          </w:p>
        </w:tc>
        <w:tc>
          <w:tcPr>
            <w:tcW w:w="1236" w:type="dxa"/>
            <w:tcBorders>
              <w:tl2br w:val="nil"/>
              <w:tr2bl w:val="nil"/>
            </w:tcBorders>
            <w:shd w:val="clear" w:color="auto" w:fill="auto"/>
            <w:vAlign w:val="center"/>
          </w:tcPr>
          <w:p w14:paraId="3F06421C">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 xml:space="preserve">0.0037 </w:t>
            </w:r>
          </w:p>
        </w:tc>
        <w:tc>
          <w:tcPr>
            <w:tcW w:w="1236" w:type="dxa"/>
            <w:tcBorders>
              <w:tl2br w:val="nil"/>
              <w:tr2bl w:val="nil"/>
            </w:tcBorders>
            <w:shd w:val="clear" w:color="auto" w:fill="auto"/>
            <w:vAlign w:val="center"/>
          </w:tcPr>
          <w:p w14:paraId="16C09E56">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0.21</w:t>
            </w:r>
          </w:p>
        </w:tc>
        <w:tc>
          <w:tcPr>
            <w:tcW w:w="1238" w:type="dxa"/>
            <w:tcBorders>
              <w:tl2br w:val="nil"/>
              <w:tr2bl w:val="nil"/>
            </w:tcBorders>
            <w:shd w:val="clear" w:color="auto" w:fill="auto"/>
            <w:vAlign w:val="center"/>
          </w:tcPr>
          <w:p w14:paraId="7997997B">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 xml:space="preserve">0.0032 </w:t>
            </w:r>
          </w:p>
        </w:tc>
      </w:tr>
      <w:tr w14:paraId="55623A5F">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977" w:type="dxa"/>
            <w:tcBorders>
              <w:tl2br w:val="nil"/>
              <w:tr2bl w:val="nil"/>
            </w:tcBorders>
            <w:shd w:val="clear" w:color="auto" w:fill="auto"/>
            <w:vAlign w:val="center"/>
          </w:tcPr>
          <w:p w14:paraId="71778F98">
            <w:pPr>
              <w:ind w:left="-105" w:right="-105"/>
              <w:jc w:val="center"/>
              <w:textAlignment w:val="center"/>
              <w:rPr>
                <w:color w:val="auto"/>
                <w:sz w:val="21"/>
                <w:szCs w:val="21"/>
                <w:highlight w:val="none"/>
              </w:rPr>
            </w:pPr>
            <w:r>
              <w:rPr>
                <w:rFonts w:hint="eastAsia"/>
                <w:color w:val="auto"/>
                <w:sz w:val="21"/>
                <w:szCs w:val="21"/>
                <w:highlight w:val="none"/>
                <w:lang w:bidi="ar"/>
              </w:rPr>
              <w:t>铜</w:t>
            </w:r>
          </w:p>
        </w:tc>
        <w:tc>
          <w:tcPr>
            <w:tcW w:w="885" w:type="dxa"/>
            <w:tcBorders>
              <w:tl2br w:val="nil"/>
              <w:tr2bl w:val="nil"/>
            </w:tcBorders>
            <w:shd w:val="clear" w:color="auto" w:fill="auto"/>
            <w:vAlign w:val="center"/>
          </w:tcPr>
          <w:p w14:paraId="7AF79FEE">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mg/kg</w:t>
            </w:r>
          </w:p>
        </w:tc>
        <w:tc>
          <w:tcPr>
            <w:tcW w:w="900" w:type="dxa"/>
            <w:tcBorders>
              <w:tl2br w:val="nil"/>
              <w:tr2bl w:val="nil"/>
            </w:tcBorders>
            <w:shd w:val="clear" w:color="auto" w:fill="auto"/>
            <w:vAlign w:val="center"/>
          </w:tcPr>
          <w:p w14:paraId="41F13B1A">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18000</w:t>
            </w:r>
          </w:p>
        </w:tc>
        <w:tc>
          <w:tcPr>
            <w:tcW w:w="1236" w:type="dxa"/>
            <w:tcBorders>
              <w:tl2br w:val="nil"/>
              <w:tr2bl w:val="nil"/>
            </w:tcBorders>
            <w:shd w:val="clear" w:color="auto" w:fill="auto"/>
            <w:vAlign w:val="center"/>
          </w:tcPr>
          <w:p w14:paraId="4EC95DEC">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31</w:t>
            </w:r>
          </w:p>
        </w:tc>
        <w:tc>
          <w:tcPr>
            <w:tcW w:w="1236" w:type="dxa"/>
            <w:tcBorders>
              <w:tl2br w:val="nil"/>
              <w:tr2bl w:val="nil"/>
            </w:tcBorders>
            <w:shd w:val="clear" w:color="auto" w:fill="auto"/>
            <w:vAlign w:val="center"/>
          </w:tcPr>
          <w:p w14:paraId="075ED4B3">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 xml:space="preserve">0.0017 </w:t>
            </w:r>
          </w:p>
        </w:tc>
        <w:tc>
          <w:tcPr>
            <w:tcW w:w="1236" w:type="dxa"/>
            <w:tcBorders>
              <w:tl2br w:val="nil"/>
              <w:tr2bl w:val="nil"/>
            </w:tcBorders>
            <w:shd w:val="clear" w:color="auto" w:fill="auto"/>
            <w:vAlign w:val="center"/>
          </w:tcPr>
          <w:p w14:paraId="797E1A28">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25</w:t>
            </w:r>
          </w:p>
        </w:tc>
        <w:tc>
          <w:tcPr>
            <w:tcW w:w="1236" w:type="dxa"/>
            <w:tcBorders>
              <w:tl2br w:val="nil"/>
              <w:tr2bl w:val="nil"/>
            </w:tcBorders>
            <w:shd w:val="clear" w:color="auto" w:fill="auto"/>
            <w:vAlign w:val="center"/>
          </w:tcPr>
          <w:p w14:paraId="6295DF45">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 xml:space="preserve">0.0014 </w:t>
            </w:r>
          </w:p>
        </w:tc>
        <w:tc>
          <w:tcPr>
            <w:tcW w:w="1236" w:type="dxa"/>
            <w:tcBorders>
              <w:tl2br w:val="nil"/>
              <w:tr2bl w:val="nil"/>
            </w:tcBorders>
            <w:shd w:val="clear" w:color="auto" w:fill="auto"/>
            <w:vAlign w:val="center"/>
          </w:tcPr>
          <w:p w14:paraId="0A3B477A">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26</w:t>
            </w:r>
          </w:p>
        </w:tc>
        <w:tc>
          <w:tcPr>
            <w:tcW w:w="1236" w:type="dxa"/>
            <w:tcBorders>
              <w:tl2br w:val="nil"/>
              <w:tr2bl w:val="nil"/>
            </w:tcBorders>
            <w:shd w:val="clear" w:color="auto" w:fill="auto"/>
            <w:vAlign w:val="center"/>
          </w:tcPr>
          <w:p w14:paraId="0CEEE190">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 xml:space="preserve">0.0014 </w:t>
            </w:r>
          </w:p>
        </w:tc>
        <w:tc>
          <w:tcPr>
            <w:tcW w:w="1236" w:type="dxa"/>
            <w:tcBorders>
              <w:tl2br w:val="nil"/>
              <w:tr2bl w:val="nil"/>
            </w:tcBorders>
            <w:shd w:val="clear" w:color="auto" w:fill="auto"/>
            <w:vAlign w:val="center"/>
          </w:tcPr>
          <w:p w14:paraId="2D26C429">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27</w:t>
            </w:r>
          </w:p>
        </w:tc>
        <w:tc>
          <w:tcPr>
            <w:tcW w:w="1238" w:type="dxa"/>
            <w:tcBorders>
              <w:tl2br w:val="nil"/>
              <w:tr2bl w:val="nil"/>
            </w:tcBorders>
            <w:shd w:val="clear" w:color="auto" w:fill="auto"/>
            <w:vAlign w:val="center"/>
          </w:tcPr>
          <w:p w14:paraId="3875BF81">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 xml:space="preserve">0.0015 </w:t>
            </w:r>
          </w:p>
        </w:tc>
      </w:tr>
      <w:tr w14:paraId="5150BAD4">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977" w:type="dxa"/>
            <w:tcBorders>
              <w:tl2br w:val="nil"/>
              <w:tr2bl w:val="nil"/>
            </w:tcBorders>
            <w:shd w:val="clear" w:color="auto" w:fill="auto"/>
            <w:vAlign w:val="center"/>
          </w:tcPr>
          <w:p w14:paraId="6B733EDC">
            <w:pPr>
              <w:ind w:left="-105" w:right="-105"/>
              <w:jc w:val="center"/>
              <w:textAlignment w:val="center"/>
              <w:rPr>
                <w:color w:val="auto"/>
                <w:sz w:val="21"/>
                <w:szCs w:val="21"/>
                <w:highlight w:val="none"/>
              </w:rPr>
            </w:pPr>
            <w:r>
              <w:rPr>
                <w:rFonts w:hint="eastAsia"/>
                <w:color w:val="auto"/>
                <w:sz w:val="21"/>
                <w:szCs w:val="21"/>
                <w:highlight w:val="none"/>
                <w:lang w:bidi="ar"/>
              </w:rPr>
              <w:t>铅</w:t>
            </w:r>
          </w:p>
        </w:tc>
        <w:tc>
          <w:tcPr>
            <w:tcW w:w="885" w:type="dxa"/>
            <w:tcBorders>
              <w:tl2br w:val="nil"/>
              <w:tr2bl w:val="nil"/>
            </w:tcBorders>
            <w:shd w:val="clear" w:color="auto" w:fill="auto"/>
            <w:vAlign w:val="center"/>
          </w:tcPr>
          <w:p w14:paraId="33D4A042">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mg/kg</w:t>
            </w:r>
          </w:p>
        </w:tc>
        <w:tc>
          <w:tcPr>
            <w:tcW w:w="900" w:type="dxa"/>
            <w:tcBorders>
              <w:tl2br w:val="nil"/>
              <w:tr2bl w:val="nil"/>
            </w:tcBorders>
            <w:shd w:val="clear" w:color="auto" w:fill="auto"/>
            <w:vAlign w:val="center"/>
          </w:tcPr>
          <w:p w14:paraId="7DDD459E">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800</w:t>
            </w:r>
          </w:p>
        </w:tc>
        <w:tc>
          <w:tcPr>
            <w:tcW w:w="1236" w:type="dxa"/>
            <w:tcBorders>
              <w:tl2br w:val="nil"/>
              <w:tr2bl w:val="nil"/>
            </w:tcBorders>
            <w:shd w:val="clear" w:color="auto" w:fill="auto"/>
            <w:vAlign w:val="center"/>
          </w:tcPr>
          <w:p w14:paraId="795AEEC3">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31</w:t>
            </w:r>
          </w:p>
        </w:tc>
        <w:tc>
          <w:tcPr>
            <w:tcW w:w="1236" w:type="dxa"/>
            <w:tcBorders>
              <w:tl2br w:val="nil"/>
              <w:tr2bl w:val="nil"/>
            </w:tcBorders>
            <w:shd w:val="clear" w:color="auto" w:fill="auto"/>
            <w:vAlign w:val="center"/>
          </w:tcPr>
          <w:p w14:paraId="59CDD170">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 xml:space="preserve">0.0388 </w:t>
            </w:r>
          </w:p>
        </w:tc>
        <w:tc>
          <w:tcPr>
            <w:tcW w:w="1236" w:type="dxa"/>
            <w:tcBorders>
              <w:tl2br w:val="nil"/>
              <w:tr2bl w:val="nil"/>
            </w:tcBorders>
            <w:shd w:val="clear" w:color="auto" w:fill="auto"/>
            <w:vAlign w:val="center"/>
          </w:tcPr>
          <w:p w14:paraId="3F9B8E77">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24.4</w:t>
            </w:r>
          </w:p>
        </w:tc>
        <w:tc>
          <w:tcPr>
            <w:tcW w:w="1236" w:type="dxa"/>
            <w:tcBorders>
              <w:tl2br w:val="nil"/>
              <w:tr2bl w:val="nil"/>
            </w:tcBorders>
            <w:shd w:val="clear" w:color="auto" w:fill="auto"/>
            <w:vAlign w:val="center"/>
          </w:tcPr>
          <w:p w14:paraId="7E34201D">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 xml:space="preserve">0.0305 </w:t>
            </w:r>
          </w:p>
        </w:tc>
        <w:tc>
          <w:tcPr>
            <w:tcW w:w="1236" w:type="dxa"/>
            <w:tcBorders>
              <w:tl2br w:val="nil"/>
              <w:tr2bl w:val="nil"/>
            </w:tcBorders>
            <w:shd w:val="clear" w:color="auto" w:fill="auto"/>
            <w:vAlign w:val="center"/>
          </w:tcPr>
          <w:p w14:paraId="5092AAE7">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22</w:t>
            </w:r>
          </w:p>
        </w:tc>
        <w:tc>
          <w:tcPr>
            <w:tcW w:w="1236" w:type="dxa"/>
            <w:tcBorders>
              <w:tl2br w:val="nil"/>
              <w:tr2bl w:val="nil"/>
            </w:tcBorders>
            <w:shd w:val="clear" w:color="auto" w:fill="auto"/>
            <w:vAlign w:val="center"/>
          </w:tcPr>
          <w:p w14:paraId="67BEF25E">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 xml:space="preserve">0.0275 </w:t>
            </w:r>
          </w:p>
        </w:tc>
        <w:tc>
          <w:tcPr>
            <w:tcW w:w="1236" w:type="dxa"/>
            <w:tcBorders>
              <w:tl2br w:val="nil"/>
              <w:tr2bl w:val="nil"/>
            </w:tcBorders>
            <w:shd w:val="clear" w:color="auto" w:fill="auto"/>
            <w:vAlign w:val="center"/>
          </w:tcPr>
          <w:p w14:paraId="09FC1B6E">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24</w:t>
            </w:r>
          </w:p>
        </w:tc>
        <w:tc>
          <w:tcPr>
            <w:tcW w:w="1238" w:type="dxa"/>
            <w:tcBorders>
              <w:tl2br w:val="nil"/>
              <w:tr2bl w:val="nil"/>
            </w:tcBorders>
            <w:shd w:val="clear" w:color="auto" w:fill="auto"/>
            <w:vAlign w:val="center"/>
          </w:tcPr>
          <w:p w14:paraId="176E4087">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 xml:space="preserve">0.0300 </w:t>
            </w:r>
          </w:p>
        </w:tc>
      </w:tr>
      <w:tr w14:paraId="0ACF985D">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977" w:type="dxa"/>
            <w:tcBorders>
              <w:tl2br w:val="nil"/>
              <w:tr2bl w:val="nil"/>
            </w:tcBorders>
            <w:shd w:val="clear" w:color="auto" w:fill="auto"/>
            <w:vAlign w:val="center"/>
          </w:tcPr>
          <w:p w14:paraId="7FB8D6DC">
            <w:pPr>
              <w:ind w:left="-105" w:right="-105"/>
              <w:jc w:val="center"/>
              <w:textAlignment w:val="center"/>
              <w:rPr>
                <w:color w:val="auto"/>
                <w:sz w:val="21"/>
                <w:szCs w:val="21"/>
                <w:highlight w:val="none"/>
              </w:rPr>
            </w:pPr>
            <w:r>
              <w:rPr>
                <w:rFonts w:hint="eastAsia"/>
                <w:color w:val="auto"/>
                <w:sz w:val="21"/>
                <w:szCs w:val="21"/>
                <w:highlight w:val="none"/>
                <w:lang w:bidi="ar"/>
              </w:rPr>
              <w:t>镍</w:t>
            </w:r>
          </w:p>
        </w:tc>
        <w:tc>
          <w:tcPr>
            <w:tcW w:w="885" w:type="dxa"/>
            <w:tcBorders>
              <w:tl2br w:val="nil"/>
              <w:tr2bl w:val="nil"/>
            </w:tcBorders>
            <w:shd w:val="clear" w:color="auto" w:fill="auto"/>
            <w:vAlign w:val="center"/>
          </w:tcPr>
          <w:p w14:paraId="4480EA69">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mg/kg</w:t>
            </w:r>
          </w:p>
        </w:tc>
        <w:tc>
          <w:tcPr>
            <w:tcW w:w="900" w:type="dxa"/>
            <w:tcBorders>
              <w:tl2br w:val="nil"/>
              <w:tr2bl w:val="nil"/>
            </w:tcBorders>
            <w:shd w:val="clear" w:color="auto" w:fill="auto"/>
            <w:vAlign w:val="center"/>
          </w:tcPr>
          <w:p w14:paraId="120B2679">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900</w:t>
            </w:r>
          </w:p>
        </w:tc>
        <w:tc>
          <w:tcPr>
            <w:tcW w:w="1236" w:type="dxa"/>
            <w:tcBorders>
              <w:tl2br w:val="nil"/>
              <w:tr2bl w:val="nil"/>
            </w:tcBorders>
            <w:shd w:val="clear" w:color="auto" w:fill="auto"/>
            <w:vAlign w:val="center"/>
          </w:tcPr>
          <w:p w14:paraId="5B0945F9">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47</w:t>
            </w:r>
          </w:p>
        </w:tc>
        <w:tc>
          <w:tcPr>
            <w:tcW w:w="1236" w:type="dxa"/>
            <w:tcBorders>
              <w:tl2br w:val="nil"/>
              <w:tr2bl w:val="nil"/>
            </w:tcBorders>
            <w:shd w:val="clear" w:color="auto" w:fill="auto"/>
            <w:vAlign w:val="center"/>
          </w:tcPr>
          <w:p w14:paraId="107415A2">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 xml:space="preserve">0.0522 </w:t>
            </w:r>
          </w:p>
        </w:tc>
        <w:tc>
          <w:tcPr>
            <w:tcW w:w="1236" w:type="dxa"/>
            <w:tcBorders>
              <w:tl2br w:val="nil"/>
              <w:tr2bl w:val="nil"/>
            </w:tcBorders>
            <w:shd w:val="clear" w:color="auto" w:fill="auto"/>
            <w:vAlign w:val="center"/>
          </w:tcPr>
          <w:p w14:paraId="54B1D73B">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39</w:t>
            </w:r>
          </w:p>
        </w:tc>
        <w:tc>
          <w:tcPr>
            <w:tcW w:w="1236" w:type="dxa"/>
            <w:tcBorders>
              <w:tl2br w:val="nil"/>
              <w:tr2bl w:val="nil"/>
            </w:tcBorders>
            <w:shd w:val="clear" w:color="auto" w:fill="auto"/>
            <w:vAlign w:val="center"/>
          </w:tcPr>
          <w:p w14:paraId="5FC36023">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 xml:space="preserve">0.0433 </w:t>
            </w:r>
          </w:p>
        </w:tc>
        <w:tc>
          <w:tcPr>
            <w:tcW w:w="1236" w:type="dxa"/>
            <w:tcBorders>
              <w:tl2br w:val="nil"/>
              <w:tr2bl w:val="nil"/>
            </w:tcBorders>
            <w:shd w:val="clear" w:color="auto" w:fill="auto"/>
            <w:vAlign w:val="center"/>
          </w:tcPr>
          <w:p w14:paraId="5862B94A">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41</w:t>
            </w:r>
          </w:p>
        </w:tc>
        <w:tc>
          <w:tcPr>
            <w:tcW w:w="1236" w:type="dxa"/>
            <w:tcBorders>
              <w:tl2br w:val="nil"/>
              <w:tr2bl w:val="nil"/>
            </w:tcBorders>
            <w:shd w:val="clear" w:color="auto" w:fill="auto"/>
            <w:vAlign w:val="center"/>
          </w:tcPr>
          <w:p w14:paraId="0156D3D3">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 xml:space="preserve">0.0456 </w:t>
            </w:r>
          </w:p>
        </w:tc>
        <w:tc>
          <w:tcPr>
            <w:tcW w:w="1236" w:type="dxa"/>
            <w:tcBorders>
              <w:tl2br w:val="nil"/>
              <w:tr2bl w:val="nil"/>
            </w:tcBorders>
            <w:shd w:val="clear" w:color="auto" w:fill="auto"/>
            <w:vAlign w:val="center"/>
          </w:tcPr>
          <w:p w14:paraId="619FCA9D">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41</w:t>
            </w:r>
          </w:p>
        </w:tc>
        <w:tc>
          <w:tcPr>
            <w:tcW w:w="1238" w:type="dxa"/>
            <w:tcBorders>
              <w:tl2br w:val="nil"/>
              <w:tr2bl w:val="nil"/>
            </w:tcBorders>
            <w:shd w:val="clear" w:color="auto" w:fill="auto"/>
            <w:vAlign w:val="center"/>
          </w:tcPr>
          <w:p w14:paraId="14460C6C">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 xml:space="preserve">0.0456 </w:t>
            </w:r>
          </w:p>
        </w:tc>
      </w:tr>
      <w:tr w14:paraId="772C6944">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977" w:type="dxa"/>
            <w:tcBorders>
              <w:tl2br w:val="nil"/>
              <w:tr2bl w:val="nil"/>
            </w:tcBorders>
            <w:shd w:val="clear" w:color="auto" w:fill="auto"/>
            <w:vAlign w:val="center"/>
          </w:tcPr>
          <w:p w14:paraId="260BA2B3">
            <w:pPr>
              <w:ind w:left="-105" w:right="-105"/>
              <w:jc w:val="center"/>
              <w:textAlignment w:val="center"/>
              <w:rPr>
                <w:color w:val="auto"/>
                <w:sz w:val="21"/>
                <w:szCs w:val="21"/>
                <w:highlight w:val="none"/>
              </w:rPr>
            </w:pPr>
            <w:r>
              <w:rPr>
                <w:rFonts w:hint="eastAsia"/>
                <w:color w:val="auto"/>
                <w:sz w:val="21"/>
                <w:szCs w:val="21"/>
                <w:highlight w:val="none"/>
                <w:lang w:bidi="ar"/>
              </w:rPr>
              <w:t>六价铬</w:t>
            </w:r>
          </w:p>
        </w:tc>
        <w:tc>
          <w:tcPr>
            <w:tcW w:w="885" w:type="dxa"/>
            <w:tcBorders>
              <w:tl2br w:val="nil"/>
              <w:tr2bl w:val="nil"/>
            </w:tcBorders>
            <w:shd w:val="clear" w:color="auto" w:fill="auto"/>
            <w:vAlign w:val="center"/>
          </w:tcPr>
          <w:p w14:paraId="0E7E5F1E">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mg/kg</w:t>
            </w:r>
          </w:p>
        </w:tc>
        <w:tc>
          <w:tcPr>
            <w:tcW w:w="900" w:type="dxa"/>
            <w:tcBorders>
              <w:tl2br w:val="nil"/>
              <w:tr2bl w:val="nil"/>
            </w:tcBorders>
            <w:shd w:val="clear" w:color="auto" w:fill="auto"/>
            <w:vAlign w:val="center"/>
          </w:tcPr>
          <w:p w14:paraId="6AE450FD">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5.7</w:t>
            </w:r>
          </w:p>
        </w:tc>
        <w:tc>
          <w:tcPr>
            <w:tcW w:w="1236" w:type="dxa"/>
            <w:tcBorders>
              <w:tl2br w:val="nil"/>
              <w:tr2bl w:val="nil"/>
            </w:tcBorders>
            <w:shd w:val="clear" w:color="auto" w:fill="auto"/>
            <w:vAlign w:val="center"/>
          </w:tcPr>
          <w:p w14:paraId="7493AA24">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6" w:type="dxa"/>
            <w:tcBorders>
              <w:tl2br w:val="nil"/>
              <w:tr2bl w:val="nil"/>
            </w:tcBorders>
            <w:shd w:val="clear" w:color="auto" w:fill="auto"/>
            <w:vAlign w:val="center"/>
          </w:tcPr>
          <w:p w14:paraId="4E775F43">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6" w:type="dxa"/>
            <w:tcBorders>
              <w:tl2br w:val="nil"/>
              <w:tr2bl w:val="nil"/>
            </w:tcBorders>
            <w:shd w:val="clear" w:color="auto" w:fill="auto"/>
            <w:vAlign w:val="center"/>
          </w:tcPr>
          <w:p w14:paraId="2E935D1F">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6" w:type="dxa"/>
            <w:tcBorders>
              <w:tl2br w:val="nil"/>
              <w:tr2bl w:val="nil"/>
            </w:tcBorders>
            <w:shd w:val="clear" w:color="auto" w:fill="auto"/>
            <w:vAlign w:val="center"/>
          </w:tcPr>
          <w:p w14:paraId="47B1F713">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6" w:type="dxa"/>
            <w:tcBorders>
              <w:tl2br w:val="nil"/>
              <w:tr2bl w:val="nil"/>
            </w:tcBorders>
            <w:shd w:val="clear" w:color="auto" w:fill="auto"/>
            <w:vAlign w:val="center"/>
          </w:tcPr>
          <w:p w14:paraId="548121FE">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6" w:type="dxa"/>
            <w:tcBorders>
              <w:tl2br w:val="nil"/>
              <w:tr2bl w:val="nil"/>
            </w:tcBorders>
            <w:shd w:val="clear" w:color="auto" w:fill="auto"/>
            <w:vAlign w:val="center"/>
          </w:tcPr>
          <w:p w14:paraId="3B9E6771">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6" w:type="dxa"/>
            <w:tcBorders>
              <w:tl2br w:val="nil"/>
              <w:tr2bl w:val="nil"/>
            </w:tcBorders>
            <w:shd w:val="clear" w:color="auto" w:fill="auto"/>
            <w:vAlign w:val="center"/>
          </w:tcPr>
          <w:p w14:paraId="611F2E21">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8" w:type="dxa"/>
            <w:tcBorders>
              <w:tl2br w:val="nil"/>
              <w:tr2bl w:val="nil"/>
            </w:tcBorders>
            <w:shd w:val="clear" w:color="auto" w:fill="auto"/>
            <w:vAlign w:val="center"/>
          </w:tcPr>
          <w:p w14:paraId="0F918225">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r>
      <w:tr w14:paraId="677AA6A4">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977" w:type="dxa"/>
            <w:tcBorders>
              <w:tl2br w:val="nil"/>
              <w:tr2bl w:val="nil"/>
            </w:tcBorders>
            <w:shd w:val="clear" w:color="auto" w:fill="auto"/>
            <w:vAlign w:val="center"/>
          </w:tcPr>
          <w:p w14:paraId="502FB728">
            <w:pPr>
              <w:ind w:left="-105" w:right="-105"/>
              <w:jc w:val="center"/>
              <w:textAlignment w:val="center"/>
              <w:rPr>
                <w:color w:val="auto"/>
                <w:sz w:val="21"/>
                <w:szCs w:val="21"/>
                <w:highlight w:val="none"/>
              </w:rPr>
            </w:pPr>
            <w:r>
              <w:rPr>
                <w:rFonts w:hint="eastAsia"/>
                <w:color w:val="auto"/>
                <w:sz w:val="21"/>
                <w:szCs w:val="21"/>
                <w:highlight w:val="none"/>
                <w:lang w:bidi="ar"/>
              </w:rPr>
              <w:t>氯甲烷</w:t>
            </w:r>
          </w:p>
        </w:tc>
        <w:tc>
          <w:tcPr>
            <w:tcW w:w="885" w:type="dxa"/>
            <w:tcBorders>
              <w:tl2br w:val="nil"/>
              <w:tr2bl w:val="nil"/>
            </w:tcBorders>
            <w:shd w:val="clear" w:color="auto" w:fill="auto"/>
            <w:vAlign w:val="center"/>
          </w:tcPr>
          <w:p w14:paraId="267D7691">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mg/kg</w:t>
            </w:r>
          </w:p>
        </w:tc>
        <w:tc>
          <w:tcPr>
            <w:tcW w:w="900" w:type="dxa"/>
            <w:tcBorders>
              <w:tl2br w:val="nil"/>
              <w:tr2bl w:val="nil"/>
            </w:tcBorders>
            <w:shd w:val="clear" w:color="auto" w:fill="auto"/>
            <w:vAlign w:val="center"/>
          </w:tcPr>
          <w:p w14:paraId="408258F6">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37</w:t>
            </w:r>
          </w:p>
        </w:tc>
        <w:tc>
          <w:tcPr>
            <w:tcW w:w="1236" w:type="dxa"/>
            <w:tcBorders>
              <w:tl2br w:val="nil"/>
              <w:tr2bl w:val="nil"/>
            </w:tcBorders>
            <w:shd w:val="clear" w:color="auto" w:fill="auto"/>
            <w:vAlign w:val="center"/>
          </w:tcPr>
          <w:p w14:paraId="4B8A4252">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6" w:type="dxa"/>
            <w:tcBorders>
              <w:tl2br w:val="nil"/>
              <w:tr2bl w:val="nil"/>
            </w:tcBorders>
            <w:shd w:val="clear" w:color="auto" w:fill="auto"/>
            <w:vAlign w:val="center"/>
          </w:tcPr>
          <w:p w14:paraId="3737FA30">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6" w:type="dxa"/>
            <w:tcBorders>
              <w:tl2br w:val="nil"/>
              <w:tr2bl w:val="nil"/>
            </w:tcBorders>
            <w:shd w:val="clear" w:color="auto" w:fill="auto"/>
            <w:vAlign w:val="center"/>
          </w:tcPr>
          <w:p w14:paraId="324FD9C0">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6" w:type="dxa"/>
            <w:tcBorders>
              <w:tl2br w:val="nil"/>
              <w:tr2bl w:val="nil"/>
            </w:tcBorders>
            <w:shd w:val="clear" w:color="auto" w:fill="auto"/>
            <w:vAlign w:val="center"/>
          </w:tcPr>
          <w:p w14:paraId="78BB0D47">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6" w:type="dxa"/>
            <w:tcBorders>
              <w:tl2br w:val="nil"/>
              <w:tr2bl w:val="nil"/>
            </w:tcBorders>
            <w:shd w:val="clear" w:color="auto" w:fill="auto"/>
            <w:vAlign w:val="center"/>
          </w:tcPr>
          <w:p w14:paraId="69E96056">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6" w:type="dxa"/>
            <w:tcBorders>
              <w:tl2br w:val="nil"/>
              <w:tr2bl w:val="nil"/>
            </w:tcBorders>
            <w:shd w:val="clear" w:color="auto" w:fill="auto"/>
            <w:vAlign w:val="center"/>
          </w:tcPr>
          <w:p w14:paraId="44DB2338">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6" w:type="dxa"/>
            <w:tcBorders>
              <w:tl2br w:val="nil"/>
              <w:tr2bl w:val="nil"/>
            </w:tcBorders>
            <w:shd w:val="clear" w:color="auto" w:fill="auto"/>
            <w:vAlign w:val="center"/>
          </w:tcPr>
          <w:p w14:paraId="6C9D0448">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4.6</w:t>
            </w:r>
          </w:p>
        </w:tc>
        <w:tc>
          <w:tcPr>
            <w:tcW w:w="1238" w:type="dxa"/>
            <w:tcBorders>
              <w:tl2br w:val="nil"/>
              <w:tr2bl w:val="nil"/>
            </w:tcBorders>
            <w:shd w:val="clear" w:color="auto" w:fill="auto"/>
            <w:vAlign w:val="center"/>
          </w:tcPr>
          <w:p w14:paraId="36EE9AC4">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 xml:space="preserve">0.1243 </w:t>
            </w:r>
          </w:p>
        </w:tc>
      </w:tr>
      <w:tr w14:paraId="639F7009">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977" w:type="dxa"/>
            <w:tcBorders>
              <w:tl2br w:val="nil"/>
              <w:tr2bl w:val="nil"/>
            </w:tcBorders>
            <w:shd w:val="clear" w:color="auto" w:fill="auto"/>
            <w:vAlign w:val="center"/>
          </w:tcPr>
          <w:p w14:paraId="1550764B">
            <w:pPr>
              <w:ind w:left="-105" w:right="-105"/>
              <w:jc w:val="center"/>
              <w:textAlignment w:val="center"/>
              <w:rPr>
                <w:color w:val="auto"/>
                <w:sz w:val="21"/>
                <w:szCs w:val="21"/>
                <w:highlight w:val="none"/>
              </w:rPr>
            </w:pPr>
            <w:r>
              <w:rPr>
                <w:rFonts w:hint="eastAsia"/>
                <w:color w:val="auto"/>
                <w:sz w:val="21"/>
                <w:szCs w:val="21"/>
                <w:highlight w:val="none"/>
                <w:lang w:bidi="ar"/>
              </w:rPr>
              <w:t>氯乙烯</w:t>
            </w:r>
          </w:p>
        </w:tc>
        <w:tc>
          <w:tcPr>
            <w:tcW w:w="885" w:type="dxa"/>
            <w:tcBorders>
              <w:tl2br w:val="nil"/>
              <w:tr2bl w:val="nil"/>
            </w:tcBorders>
            <w:shd w:val="clear" w:color="auto" w:fill="auto"/>
            <w:vAlign w:val="center"/>
          </w:tcPr>
          <w:p w14:paraId="70043773">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mg/kg</w:t>
            </w:r>
          </w:p>
        </w:tc>
        <w:tc>
          <w:tcPr>
            <w:tcW w:w="900" w:type="dxa"/>
            <w:tcBorders>
              <w:tl2br w:val="nil"/>
              <w:tr2bl w:val="nil"/>
            </w:tcBorders>
            <w:shd w:val="clear" w:color="auto" w:fill="auto"/>
            <w:vAlign w:val="center"/>
          </w:tcPr>
          <w:p w14:paraId="32118A92">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0.43</w:t>
            </w:r>
          </w:p>
        </w:tc>
        <w:tc>
          <w:tcPr>
            <w:tcW w:w="1236" w:type="dxa"/>
            <w:tcBorders>
              <w:tl2br w:val="nil"/>
              <w:tr2bl w:val="nil"/>
            </w:tcBorders>
            <w:shd w:val="clear" w:color="auto" w:fill="auto"/>
            <w:vAlign w:val="center"/>
          </w:tcPr>
          <w:p w14:paraId="39DB5F39">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6" w:type="dxa"/>
            <w:tcBorders>
              <w:tl2br w:val="nil"/>
              <w:tr2bl w:val="nil"/>
            </w:tcBorders>
            <w:shd w:val="clear" w:color="auto" w:fill="auto"/>
            <w:vAlign w:val="center"/>
          </w:tcPr>
          <w:p w14:paraId="57AF5610">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6" w:type="dxa"/>
            <w:tcBorders>
              <w:tl2br w:val="nil"/>
              <w:tr2bl w:val="nil"/>
            </w:tcBorders>
            <w:shd w:val="clear" w:color="auto" w:fill="auto"/>
            <w:vAlign w:val="center"/>
          </w:tcPr>
          <w:p w14:paraId="582F3D6E">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6" w:type="dxa"/>
            <w:tcBorders>
              <w:tl2br w:val="nil"/>
              <w:tr2bl w:val="nil"/>
            </w:tcBorders>
            <w:shd w:val="clear" w:color="auto" w:fill="auto"/>
            <w:vAlign w:val="center"/>
          </w:tcPr>
          <w:p w14:paraId="4C31A599">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6" w:type="dxa"/>
            <w:tcBorders>
              <w:tl2br w:val="nil"/>
              <w:tr2bl w:val="nil"/>
            </w:tcBorders>
            <w:shd w:val="clear" w:color="auto" w:fill="auto"/>
            <w:vAlign w:val="center"/>
          </w:tcPr>
          <w:p w14:paraId="0112E445">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6" w:type="dxa"/>
            <w:tcBorders>
              <w:tl2br w:val="nil"/>
              <w:tr2bl w:val="nil"/>
            </w:tcBorders>
            <w:shd w:val="clear" w:color="auto" w:fill="auto"/>
            <w:vAlign w:val="center"/>
          </w:tcPr>
          <w:p w14:paraId="78A1C519">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6" w:type="dxa"/>
            <w:tcBorders>
              <w:tl2br w:val="nil"/>
              <w:tr2bl w:val="nil"/>
            </w:tcBorders>
            <w:shd w:val="clear" w:color="auto" w:fill="auto"/>
            <w:vAlign w:val="center"/>
          </w:tcPr>
          <w:p w14:paraId="74A74053">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8" w:type="dxa"/>
            <w:tcBorders>
              <w:tl2br w:val="nil"/>
              <w:tr2bl w:val="nil"/>
            </w:tcBorders>
            <w:shd w:val="clear" w:color="auto" w:fill="auto"/>
            <w:vAlign w:val="center"/>
          </w:tcPr>
          <w:p w14:paraId="245AFE76">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r>
      <w:tr w14:paraId="04A7B84B">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977" w:type="dxa"/>
            <w:tcBorders>
              <w:tl2br w:val="nil"/>
              <w:tr2bl w:val="nil"/>
            </w:tcBorders>
            <w:shd w:val="clear" w:color="auto" w:fill="auto"/>
            <w:vAlign w:val="center"/>
          </w:tcPr>
          <w:p w14:paraId="29DA669D">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1,1-</w:t>
            </w:r>
            <w:r>
              <w:rPr>
                <w:rFonts w:hint="eastAsia"/>
                <w:color w:val="auto"/>
                <w:sz w:val="21"/>
                <w:szCs w:val="21"/>
                <w:highlight w:val="none"/>
                <w:lang w:bidi="ar"/>
              </w:rPr>
              <w:t>二氯乙烯</w:t>
            </w:r>
          </w:p>
        </w:tc>
        <w:tc>
          <w:tcPr>
            <w:tcW w:w="885" w:type="dxa"/>
            <w:tcBorders>
              <w:tl2br w:val="nil"/>
              <w:tr2bl w:val="nil"/>
            </w:tcBorders>
            <w:shd w:val="clear" w:color="auto" w:fill="auto"/>
            <w:vAlign w:val="center"/>
          </w:tcPr>
          <w:p w14:paraId="60295364">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mg/kg</w:t>
            </w:r>
          </w:p>
        </w:tc>
        <w:tc>
          <w:tcPr>
            <w:tcW w:w="900" w:type="dxa"/>
            <w:tcBorders>
              <w:tl2br w:val="nil"/>
              <w:tr2bl w:val="nil"/>
            </w:tcBorders>
            <w:shd w:val="clear" w:color="auto" w:fill="auto"/>
            <w:vAlign w:val="center"/>
          </w:tcPr>
          <w:p w14:paraId="427CAC8A">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66</w:t>
            </w:r>
          </w:p>
        </w:tc>
        <w:tc>
          <w:tcPr>
            <w:tcW w:w="1236" w:type="dxa"/>
            <w:tcBorders>
              <w:tl2br w:val="nil"/>
              <w:tr2bl w:val="nil"/>
            </w:tcBorders>
            <w:shd w:val="clear" w:color="auto" w:fill="auto"/>
            <w:vAlign w:val="center"/>
          </w:tcPr>
          <w:p w14:paraId="603ABAD3">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6" w:type="dxa"/>
            <w:tcBorders>
              <w:tl2br w:val="nil"/>
              <w:tr2bl w:val="nil"/>
            </w:tcBorders>
            <w:shd w:val="clear" w:color="auto" w:fill="auto"/>
            <w:vAlign w:val="center"/>
          </w:tcPr>
          <w:p w14:paraId="753AF0F3">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6" w:type="dxa"/>
            <w:tcBorders>
              <w:tl2br w:val="nil"/>
              <w:tr2bl w:val="nil"/>
            </w:tcBorders>
            <w:shd w:val="clear" w:color="auto" w:fill="auto"/>
            <w:vAlign w:val="center"/>
          </w:tcPr>
          <w:p w14:paraId="75BA2761">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6" w:type="dxa"/>
            <w:tcBorders>
              <w:tl2br w:val="nil"/>
              <w:tr2bl w:val="nil"/>
            </w:tcBorders>
            <w:shd w:val="clear" w:color="auto" w:fill="auto"/>
            <w:vAlign w:val="center"/>
          </w:tcPr>
          <w:p w14:paraId="6CD136A3">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6" w:type="dxa"/>
            <w:tcBorders>
              <w:tl2br w:val="nil"/>
              <w:tr2bl w:val="nil"/>
            </w:tcBorders>
            <w:shd w:val="clear" w:color="auto" w:fill="auto"/>
            <w:vAlign w:val="center"/>
          </w:tcPr>
          <w:p w14:paraId="7E2CEE78">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6" w:type="dxa"/>
            <w:tcBorders>
              <w:tl2br w:val="nil"/>
              <w:tr2bl w:val="nil"/>
            </w:tcBorders>
            <w:shd w:val="clear" w:color="auto" w:fill="auto"/>
            <w:vAlign w:val="center"/>
          </w:tcPr>
          <w:p w14:paraId="6144BF65">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6" w:type="dxa"/>
            <w:tcBorders>
              <w:tl2br w:val="nil"/>
              <w:tr2bl w:val="nil"/>
            </w:tcBorders>
            <w:shd w:val="clear" w:color="auto" w:fill="auto"/>
            <w:vAlign w:val="center"/>
          </w:tcPr>
          <w:p w14:paraId="2C67842C">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8" w:type="dxa"/>
            <w:tcBorders>
              <w:tl2br w:val="nil"/>
              <w:tr2bl w:val="nil"/>
            </w:tcBorders>
            <w:shd w:val="clear" w:color="auto" w:fill="auto"/>
            <w:vAlign w:val="center"/>
          </w:tcPr>
          <w:p w14:paraId="2D514325">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r>
      <w:tr w14:paraId="6D713D74">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977" w:type="dxa"/>
            <w:tcBorders>
              <w:tl2br w:val="nil"/>
              <w:tr2bl w:val="nil"/>
            </w:tcBorders>
            <w:shd w:val="clear" w:color="auto" w:fill="auto"/>
            <w:vAlign w:val="center"/>
          </w:tcPr>
          <w:p w14:paraId="15F9BFDC">
            <w:pPr>
              <w:ind w:left="-105" w:right="-105"/>
              <w:jc w:val="center"/>
              <w:textAlignment w:val="center"/>
              <w:rPr>
                <w:color w:val="auto"/>
                <w:sz w:val="21"/>
                <w:szCs w:val="21"/>
                <w:highlight w:val="none"/>
              </w:rPr>
            </w:pPr>
            <w:r>
              <w:rPr>
                <w:rFonts w:hint="eastAsia"/>
                <w:color w:val="auto"/>
                <w:sz w:val="21"/>
                <w:szCs w:val="21"/>
                <w:highlight w:val="none"/>
                <w:lang w:bidi="ar"/>
              </w:rPr>
              <w:t>二氯甲烷</w:t>
            </w:r>
          </w:p>
        </w:tc>
        <w:tc>
          <w:tcPr>
            <w:tcW w:w="885" w:type="dxa"/>
            <w:tcBorders>
              <w:tl2br w:val="nil"/>
              <w:tr2bl w:val="nil"/>
            </w:tcBorders>
            <w:shd w:val="clear" w:color="auto" w:fill="auto"/>
            <w:vAlign w:val="center"/>
          </w:tcPr>
          <w:p w14:paraId="4CB17B9B">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mg/kg</w:t>
            </w:r>
          </w:p>
        </w:tc>
        <w:tc>
          <w:tcPr>
            <w:tcW w:w="900" w:type="dxa"/>
            <w:tcBorders>
              <w:tl2br w:val="nil"/>
              <w:tr2bl w:val="nil"/>
            </w:tcBorders>
            <w:shd w:val="clear" w:color="auto" w:fill="auto"/>
            <w:vAlign w:val="center"/>
          </w:tcPr>
          <w:p w14:paraId="5AB387D2">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616</w:t>
            </w:r>
          </w:p>
        </w:tc>
        <w:tc>
          <w:tcPr>
            <w:tcW w:w="1236" w:type="dxa"/>
            <w:tcBorders>
              <w:tl2br w:val="nil"/>
              <w:tr2bl w:val="nil"/>
            </w:tcBorders>
            <w:shd w:val="clear" w:color="auto" w:fill="auto"/>
            <w:vAlign w:val="center"/>
          </w:tcPr>
          <w:p w14:paraId="1360F69A">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6" w:type="dxa"/>
            <w:tcBorders>
              <w:tl2br w:val="nil"/>
              <w:tr2bl w:val="nil"/>
            </w:tcBorders>
            <w:shd w:val="clear" w:color="auto" w:fill="auto"/>
            <w:vAlign w:val="center"/>
          </w:tcPr>
          <w:p w14:paraId="00471B2E">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6" w:type="dxa"/>
            <w:tcBorders>
              <w:tl2br w:val="nil"/>
              <w:tr2bl w:val="nil"/>
            </w:tcBorders>
            <w:shd w:val="clear" w:color="auto" w:fill="auto"/>
            <w:vAlign w:val="center"/>
          </w:tcPr>
          <w:p w14:paraId="34B215C4">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6" w:type="dxa"/>
            <w:tcBorders>
              <w:tl2br w:val="nil"/>
              <w:tr2bl w:val="nil"/>
            </w:tcBorders>
            <w:shd w:val="clear" w:color="auto" w:fill="auto"/>
            <w:vAlign w:val="center"/>
          </w:tcPr>
          <w:p w14:paraId="5AA5DF4A">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6" w:type="dxa"/>
            <w:tcBorders>
              <w:tl2br w:val="nil"/>
              <w:tr2bl w:val="nil"/>
            </w:tcBorders>
            <w:shd w:val="clear" w:color="auto" w:fill="auto"/>
            <w:vAlign w:val="center"/>
          </w:tcPr>
          <w:p w14:paraId="6229C982">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6" w:type="dxa"/>
            <w:tcBorders>
              <w:tl2br w:val="nil"/>
              <w:tr2bl w:val="nil"/>
            </w:tcBorders>
            <w:shd w:val="clear" w:color="auto" w:fill="auto"/>
            <w:vAlign w:val="center"/>
          </w:tcPr>
          <w:p w14:paraId="784DD134">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6" w:type="dxa"/>
            <w:tcBorders>
              <w:tl2br w:val="nil"/>
              <w:tr2bl w:val="nil"/>
            </w:tcBorders>
            <w:shd w:val="clear" w:color="auto" w:fill="auto"/>
            <w:vAlign w:val="center"/>
          </w:tcPr>
          <w:p w14:paraId="3E0A48C3">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8" w:type="dxa"/>
            <w:tcBorders>
              <w:tl2br w:val="nil"/>
              <w:tr2bl w:val="nil"/>
            </w:tcBorders>
            <w:shd w:val="clear" w:color="auto" w:fill="auto"/>
            <w:vAlign w:val="center"/>
          </w:tcPr>
          <w:p w14:paraId="71BC0D17">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r>
      <w:tr w14:paraId="23CEA80E">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977" w:type="dxa"/>
            <w:tcBorders>
              <w:tl2br w:val="nil"/>
              <w:tr2bl w:val="nil"/>
            </w:tcBorders>
            <w:shd w:val="clear" w:color="auto" w:fill="auto"/>
            <w:vAlign w:val="center"/>
          </w:tcPr>
          <w:p w14:paraId="1CFED5C2">
            <w:pPr>
              <w:ind w:left="-105" w:right="-105"/>
              <w:jc w:val="center"/>
              <w:textAlignment w:val="center"/>
              <w:rPr>
                <w:color w:val="auto"/>
                <w:sz w:val="21"/>
                <w:szCs w:val="21"/>
                <w:highlight w:val="none"/>
              </w:rPr>
            </w:pPr>
            <w:r>
              <w:rPr>
                <w:rFonts w:hint="eastAsia"/>
                <w:color w:val="auto"/>
                <w:sz w:val="21"/>
                <w:szCs w:val="21"/>
                <w:highlight w:val="none"/>
                <w:lang w:bidi="ar"/>
              </w:rPr>
              <w:t>反式</w:t>
            </w:r>
            <w:r>
              <w:rPr>
                <w:rFonts w:ascii="Times New Roman" w:hAnsi="Times New Roman" w:cs="Times New Roman"/>
                <w:color w:val="auto"/>
                <w:sz w:val="21"/>
                <w:szCs w:val="21"/>
                <w:highlight w:val="none"/>
                <w:lang w:bidi="ar"/>
              </w:rPr>
              <w:t>-1,2-</w:t>
            </w:r>
            <w:r>
              <w:rPr>
                <w:rFonts w:hint="eastAsia"/>
                <w:color w:val="auto"/>
                <w:sz w:val="21"/>
                <w:szCs w:val="21"/>
                <w:highlight w:val="none"/>
                <w:lang w:bidi="ar"/>
              </w:rPr>
              <w:t>二氯乙烯</w:t>
            </w:r>
          </w:p>
        </w:tc>
        <w:tc>
          <w:tcPr>
            <w:tcW w:w="885" w:type="dxa"/>
            <w:tcBorders>
              <w:tl2br w:val="nil"/>
              <w:tr2bl w:val="nil"/>
            </w:tcBorders>
            <w:shd w:val="clear" w:color="auto" w:fill="auto"/>
            <w:vAlign w:val="center"/>
          </w:tcPr>
          <w:p w14:paraId="0B993C57">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mg/kg</w:t>
            </w:r>
          </w:p>
        </w:tc>
        <w:tc>
          <w:tcPr>
            <w:tcW w:w="900" w:type="dxa"/>
            <w:tcBorders>
              <w:tl2br w:val="nil"/>
              <w:tr2bl w:val="nil"/>
            </w:tcBorders>
            <w:shd w:val="clear" w:color="auto" w:fill="auto"/>
            <w:vAlign w:val="center"/>
          </w:tcPr>
          <w:p w14:paraId="03E7A8DE">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54</w:t>
            </w:r>
          </w:p>
        </w:tc>
        <w:tc>
          <w:tcPr>
            <w:tcW w:w="1236" w:type="dxa"/>
            <w:tcBorders>
              <w:tl2br w:val="nil"/>
              <w:tr2bl w:val="nil"/>
            </w:tcBorders>
            <w:shd w:val="clear" w:color="auto" w:fill="auto"/>
            <w:vAlign w:val="center"/>
          </w:tcPr>
          <w:p w14:paraId="172460C7">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6" w:type="dxa"/>
            <w:tcBorders>
              <w:tl2br w:val="nil"/>
              <w:tr2bl w:val="nil"/>
            </w:tcBorders>
            <w:shd w:val="clear" w:color="auto" w:fill="auto"/>
            <w:vAlign w:val="center"/>
          </w:tcPr>
          <w:p w14:paraId="5A840D74">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6" w:type="dxa"/>
            <w:tcBorders>
              <w:tl2br w:val="nil"/>
              <w:tr2bl w:val="nil"/>
            </w:tcBorders>
            <w:shd w:val="clear" w:color="auto" w:fill="auto"/>
            <w:vAlign w:val="center"/>
          </w:tcPr>
          <w:p w14:paraId="761E2980">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6" w:type="dxa"/>
            <w:tcBorders>
              <w:tl2br w:val="nil"/>
              <w:tr2bl w:val="nil"/>
            </w:tcBorders>
            <w:shd w:val="clear" w:color="auto" w:fill="auto"/>
            <w:vAlign w:val="center"/>
          </w:tcPr>
          <w:p w14:paraId="3E6E801E">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6" w:type="dxa"/>
            <w:tcBorders>
              <w:tl2br w:val="nil"/>
              <w:tr2bl w:val="nil"/>
            </w:tcBorders>
            <w:shd w:val="clear" w:color="auto" w:fill="auto"/>
            <w:vAlign w:val="center"/>
          </w:tcPr>
          <w:p w14:paraId="53680679">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6" w:type="dxa"/>
            <w:tcBorders>
              <w:tl2br w:val="nil"/>
              <w:tr2bl w:val="nil"/>
            </w:tcBorders>
            <w:shd w:val="clear" w:color="auto" w:fill="auto"/>
            <w:vAlign w:val="center"/>
          </w:tcPr>
          <w:p w14:paraId="230FBC9A">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6" w:type="dxa"/>
            <w:tcBorders>
              <w:tl2br w:val="nil"/>
              <w:tr2bl w:val="nil"/>
            </w:tcBorders>
            <w:shd w:val="clear" w:color="auto" w:fill="auto"/>
            <w:vAlign w:val="center"/>
          </w:tcPr>
          <w:p w14:paraId="57D4DA4E">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8" w:type="dxa"/>
            <w:tcBorders>
              <w:tl2br w:val="nil"/>
              <w:tr2bl w:val="nil"/>
            </w:tcBorders>
            <w:shd w:val="clear" w:color="auto" w:fill="auto"/>
            <w:vAlign w:val="center"/>
          </w:tcPr>
          <w:p w14:paraId="5AD5EB9F">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r>
      <w:tr w14:paraId="47BC7FBA">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977" w:type="dxa"/>
            <w:tcBorders>
              <w:tl2br w:val="nil"/>
              <w:tr2bl w:val="nil"/>
            </w:tcBorders>
            <w:shd w:val="clear" w:color="auto" w:fill="auto"/>
            <w:vAlign w:val="center"/>
          </w:tcPr>
          <w:p w14:paraId="4C5898F2">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1,1-</w:t>
            </w:r>
            <w:r>
              <w:rPr>
                <w:rFonts w:hint="eastAsia"/>
                <w:color w:val="auto"/>
                <w:sz w:val="21"/>
                <w:szCs w:val="21"/>
                <w:highlight w:val="none"/>
                <w:lang w:bidi="ar"/>
              </w:rPr>
              <w:t>二氯乙烷</w:t>
            </w:r>
          </w:p>
        </w:tc>
        <w:tc>
          <w:tcPr>
            <w:tcW w:w="885" w:type="dxa"/>
            <w:tcBorders>
              <w:tl2br w:val="nil"/>
              <w:tr2bl w:val="nil"/>
            </w:tcBorders>
            <w:shd w:val="clear" w:color="auto" w:fill="auto"/>
            <w:vAlign w:val="center"/>
          </w:tcPr>
          <w:p w14:paraId="0CB7DA2D">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mg/kg</w:t>
            </w:r>
          </w:p>
        </w:tc>
        <w:tc>
          <w:tcPr>
            <w:tcW w:w="900" w:type="dxa"/>
            <w:tcBorders>
              <w:tl2br w:val="nil"/>
              <w:tr2bl w:val="nil"/>
            </w:tcBorders>
            <w:shd w:val="clear" w:color="auto" w:fill="auto"/>
            <w:vAlign w:val="center"/>
          </w:tcPr>
          <w:p w14:paraId="55835B3C">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9</w:t>
            </w:r>
          </w:p>
        </w:tc>
        <w:tc>
          <w:tcPr>
            <w:tcW w:w="1236" w:type="dxa"/>
            <w:tcBorders>
              <w:tl2br w:val="nil"/>
              <w:tr2bl w:val="nil"/>
            </w:tcBorders>
            <w:shd w:val="clear" w:color="auto" w:fill="auto"/>
            <w:vAlign w:val="center"/>
          </w:tcPr>
          <w:p w14:paraId="514D00DD">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6" w:type="dxa"/>
            <w:tcBorders>
              <w:tl2br w:val="nil"/>
              <w:tr2bl w:val="nil"/>
            </w:tcBorders>
            <w:shd w:val="clear" w:color="auto" w:fill="auto"/>
            <w:vAlign w:val="center"/>
          </w:tcPr>
          <w:p w14:paraId="074A59E4">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6" w:type="dxa"/>
            <w:tcBorders>
              <w:tl2br w:val="nil"/>
              <w:tr2bl w:val="nil"/>
            </w:tcBorders>
            <w:shd w:val="clear" w:color="auto" w:fill="auto"/>
            <w:vAlign w:val="center"/>
          </w:tcPr>
          <w:p w14:paraId="0C7CB1B2">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6" w:type="dxa"/>
            <w:tcBorders>
              <w:tl2br w:val="nil"/>
              <w:tr2bl w:val="nil"/>
            </w:tcBorders>
            <w:shd w:val="clear" w:color="auto" w:fill="auto"/>
            <w:vAlign w:val="center"/>
          </w:tcPr>
          <w:p w14:paraId="527E4B4D">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6" w:type="dxa"/>
            <w:tcBorders>
              <w:tl2br w:val="nil"/>
              <w:tr2bl w:val="nil"/>
            </w:tcBorders>
            <w:shd w:val="clear" w:color="auto" w:fill="auto"/>
            <w:vAlign w:val="center"/>
          </w:tcPr>
          <w:p w14:paraId="72B918D2">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6" w:type="dxa"/>
            <w:tcBorders>
              <w:tl2br w:val="nil"/>
              <w:tr2bl w:val="nil"/>
            </w:tcBorders>
            <w:shd w:val="clear" w:color="auto" w:fill="auto"/>
            <w:vAlign w:val="center"/>
          </w:tcPr>
          <w:p w14:paraId="4BA60AEA">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6" w:type="dxa"/>
            <w:tcBorders>
              <w:tl2br w:val="nil"/>
              <w:tr2bl w:val="nil"/>
            </w:tcBorders>
            <w:shd w:val="clear" w:color="auto" w:fill="auto"/>
            <w:vAlign w:val="center"/>
          </w:tcPr>
          <w:p w14:paraId="42F01BC5">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8" w:type="dxa"/>
            <w:tcBorders>
              <w:tl2br w:val="nil"/>
              <w:tr2bl w:val="nil"/>
            </w:tcBorders>
            <w:shd w:val="clear" w:color="auto" w:fill="auto"/>
            <w:vAlign w:val="center"/>
          </w:tcPr>
          <w:p w14:paraId="0C30BF96">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r>
      <w:tr w14:paraId="65D447F7">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977" w:type="dxa"/>
            <w:tcBorders>
              <w:tl2br w:val="nil"/>
              <w:tr2bl w:val="nil"/>
            </w:tcBorders>
            <w:shd w:val="clear" w:color="auto" w:fill="auto"/>
            <w:vAlign w:val="center"/>
          </w:tcPr>
          <w:p w14:paraId="46FA8A24">
            <w:pPr>
              <w:ind w:left="-105" w:right="-105"/>
              <w:jc w:val="center"/>
              <w:textAlignment w:val="center"/>
              <w:rPr>
                <w:color w:val="auto"/>
                <w:sz w:val="21"/>
                <w:szCs w:val="21"/>
                <w:highlight w:val="none"/>
              </w:rPr>
            </w:pPr>
            <w:r>
              <w:rPr>
                <w:rFonts w:hint="eastAsia"/>
                <w:color w:val="auto"/>
                <w:sz w:val="21"/>
                <w:szCs w:val="21"/>
                <w:highlight w:val="none"/>
                <w:lang w:bidi="ar"/>
              </w:rPr>
              <w:t>顺式</w:t>
            </w:r>
            <w:r>
              <w:rPr>
                <w:rFonts w:ascii="Times New Roman" w:hAnsi="Times New Roman" w:cs="Times New Roman"/>
                <w:color w:val="auto"/>
                <w:sz w:val="21"/>
                <w:szCs w:val="21"/>
                <w:highlight w:val="none"/>
                <w:lang w:bidi="ar"/>
              </w:rPr>
              <w:t>-1,2-</w:t>
            </w:r>
            <w:r>
              <w:rPr>
                <w:rFonts w:hint="eastAsia"/>
                <w:color w:val="auto"/>
                <w:sz w:val="21"/>
                <w:szCs w:val="21"/>
                <w:highlight w:val="none"/>
                <w:lang w:bidi="ar"/>
              </w:rPr>
              <w:t>二氯乙烯</w:t>
            </w:r>
          </w:p>
        </w:tc>
        <w:tc>
          <w:tcPr>
            <w:tcW w:w="885" w:type="dxa"/>
            <w:tcBorders>
              <w:tl2br w:val="nil"/>
              <w:tr2bl w:val="nil"/>
            </w:tcBorders>
            <w:shd w:val="clear" w:color="auto" w:fill="auto"/>
            <w:vAlign w:val="center"/>
          </w:tcPr>
          <w:p w14:paraId="70BE3D7E">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mg/kg</w:t>
            </w:r>
          </w:p>
        </w:tc>
        <w:tc>
          <w:tcPr>
            <w:tcW w:w="900" w:type="dxa"/>
            <w:tcBorders>
              <w:tl2br w:val="nil"/>
              <w:tr2bl w:val="nil"/>
            </w:tcBorders>
            <w:shd w:val="clear" w:color="auto" w:fill="auto"/>
            <w:vAlign w:val="center"/>
          </w:tcPr>
          <w:p w14:paraId="68F2B444">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596</w:t>
            </w:r>
          </w:p>
        </w:tc>
        <w:tc>
          <w:tcPr>
            <w:tcW w:w="1236" w:type="dxa"/>
            <w:tcBorders>
              <w:tl2br w:val="nil"/>
              <w:tr2bl w:val="nil"/>
            </w:tcBorders>
            <w:shd w:val="clear" w:color="auto" w:fill="auto"/>
            <w:vAlign w:val="center"/>
          </w:tcPr>
          <w:p w14:paraId="7571FEBB">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6" w:type="dxa"/>
            <w:tcBorders>
              <w:tl2br w:val="nil"/>
              <w:tr2bl w:val="nil"/>
            </w:tcBorders>
            <w:shd w:val="clear" w:color="auto" w:fill="auto"/>
            <w:vAlign w:val="center"/>
          </w:tcPr>
          <w:p w14:paraId="05294037">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6" w:type="dxa"/>
            <w:tcBorders>
              <w:tl2br w:val="nil"/>
              <w:tr2bl w:val="nil"/>
            </w:tcBorders>
            <w:shd w:val="clear" w:color="auto" w:fill="auto"/>
            <w:vAlign w:val="center"/>
          </w:tcPr>
          <w:p w14:paraId="6E011E18">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6" w:type="dxa"/>
            <w:tcBorders>
              <w:tl2br w:val="nil"/>
              <w:tr2bl w:val="nil"/>
            </w:tcBorders>
            <w:shd w:val="clear" w:color="auto" w:fill="auto"/>
            <w:vAlign w:val="center"/>
          </w:tcPr>
          <w:p w14:paraId="54210A62">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6" w:type="dxa"/>
            <w:tcBorders>
              <w:tl2br w:val="nil"/>
              <w:tr2bl w:val="nil"/>
            </w:tcBorders>
            <w:shd w:val="clear" w:color="auto" w:fill="auto"/>
            <w:vAlign w:val="center"/>
          </w:tcPr>
          <w:p w14:paraId="296A7CC8">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6" w:type="dxa"/>
            <w:tcBorders>
              <w:tl2br w:val="nil"/>
              <w:tr2bl w:val="nil"/>
            </w:tcBorders>
            <w:shd w:val="clear" w:color="auto" w:fill="auto"/>
            <w:vAlign w:val="center"/>
          </w:tcPr>
          <w:p w14:paraId="23941749">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6" w:type="dxa"/>
            <w:tcBorders>
              <w:tl2br w:val="nil"/>
              <w:tr2bl w:val="nil"/>
            </w:tcBorders>
            <w:shd w:val="clear" w:color="auto" w:fill="auto"/>
            <w:vAlign w:val="center"/>
          </w:tcPr>
          <w:p w14:paraId="7ED2DA71">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8" w:type="dxa"/>
            <w:tcBorders>
              <w:tl2br w:val="nil"/>
              <w:tr2bl w:val="nil"/>
            </w:tcBorders>
            <w:shd w:val="clear" w:color="auto" w:fill="auto"/>
            <w:vAlign w:val="center"/>
          </w:tcPr>
          <w:p w14:paraId="55B62B52">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r>
      <w:tr w14:paraId="2D9C3542">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977" w:type="dxa"/>
            <w:tcBorders>
              <w:tl2br w:val="nil"/>
              <w:tr2bl w:val="nil"/>
            </w:tcBorders>
            <w:shd w:val="clear" w:color="auto" w:fill="auto"/>
            <w:vAlign w:val="center"/>
          </w:tcPr>
          <w:p w14:paraId="44CAAC86">
            <w:pPr>
              <w:ind w:left="-105" w:right="-105"/>
              <w:jc w:val="center"/>
              <w:textAlignment w:val="center"/>
              <w:rPr>
                <w:color w:val="auto"/>
                <w:sz w:val="21"/>
                <w:szCs w:val="21"/>
                <w:highlight w:val="none"/>
              </w:rPr>
            </w:pPr>
            <w:r>
              <w:rPr>
                <w:rFonts w:hint="eastAsia"/>
                <w:color w:val="auto"/>
                <w:sz w:val="21"/>
                <w:szCs w:val="21"/>
                <w:highlight w:val="none"/>
                <w:lang w:bidi="ar"/>
              </w:rPr>
              <w:t>氯仿</w:t>
            </w:r>
          </w:p>
        </w:tc>
        <w:tc>
          <w:tcPr>
            <w:tcW w:w="885" w:type="dxa"/>
            <w:tcBorders>
              <w:tl2br w:val="nil"/>
              <w:tr2bl w:val="nil"/>
            </w:tcBorders>
            <w:shd w:val="clear" w:color="auto" w:fill="auto"/>
            <w:vAlign w:val="center"/>
          </w:tcPr>
          <w:p w14:paraId="58899EE8">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mg/kg</w:t>
            </w:r>
          </w:p>
        </w:tc>
        <w:tc>
          <w:tcPr>
            <w:tcW w:w="900" w:type="dxa"/>
            <w:tcBorders>
              <w:tl2br w:val="nil"/>
              <w:tr2bl w:val="nil"/>
            </w:tcBorders>
            <w:shd w:val="clear" w:color="auto" w:fill="auto"/>
            <w:vAlign w:val="center"/>
          </w:tcPr>
          <w:p w14:paraId="73C7FF17">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0.9</w:t>
            </w:r>
          </w:p>
        </w:tc>
        <w:tc>
          <w:tcPr>
            <w:tcW w:w="1236" w:type="dxa"/>
            <w:tcBorders>
              <w:tl2br w:val="nil"/>
              <w:tr2bl w:val="nil"/>
            </w:tcBorders>
            <w:shd w:val="clear" w:color="auto" w:fill="auto"/>
            <w:vAlign w:val="center"/>
          </w:tcPr>
          <w:p w14:paraId="03FE4E14">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6" w:type="dxa"/>
            <w:tcBorders>
              <w:tl2br w:val="nil"/>
              <w:tr2bl w:val="nil"/>
            </w:tcBorders>
            <w:shd w:val="clear" w:color="auto" w:fill="auto"/>
            <w:vAlign w:val="center"/>
          </w:tcPr>
          <w:p w14:paraId="3706C7C3">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6" w:type="dxa"/>
            <w:tcBorders>
              <w:tl2br w:val="nil"/>
              <w:tr2bl w:val="nil"/>
            </w:tcBorders>
            <w:shd w:val="clear" w:color="auto" w:fill="auto"/>
            <w:vAlign w:val="center"/>
          </w:tcPr>
          <w:p w14:paraId="27757921">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6" w:type="dxa"/>
            <w:tcBorders>
              <w:tl2br w:val="nil"/>
              <w:tr2bl w:val="nil"/>
            </w:tcBorders>
            <w:shd w:val="clear" w:color="auto" w:fill="auto"/>
            <w:vAlign w:val="center"/>
          </w:tcPr>
          <w:p w14:paraId="2047C9B7">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6" w:type="dxa"/>
            <w:tcBorders>
              <w:tl2br w:val="nil"/>
              <w:tr2bl w:val="nil"/>
            </w:tcBorders>
            <w:shd w:val="clear" w:color="auto" w:fill="auto"/>
            <w:vAlign w:val="center"/>
          </w:tcPr>
          <w:p w14:paraId="7630BF31">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6" w:type="dxa"/>
            <w:tcBorders>
              <w:tl2br w:val="nil"/>
              <w:tr2bl w:val="nil"/>
            </w:tcBorders>
            <w:shd w:val="clear" w:color="auto" w:fill="auto"/>
            <w:vAlign w:val="center"/>
          </w:tcPr>
          <w:p w14:paraId="2EE2E041">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6" w:type="dxa"/>
            <w:tcBorders>
              <w:tl2br w:val="nil"/>
              <w:tr2bl w:val="nil"/>
            </w:tcBorders>
            <w:shd w:val="clear" w:color="auto" w:fill="auto"/>
            <w:vAlign w:val="center"/>
          </w:tcPr>
          <w:p w14:paraId="08FEB9B5">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8" w:type="dxa"/>
            <w:tcBorders>
              <w:tl2br w:val="nil"/>
              <w:tr2bl w:val="nil"/>
            </w:tcBorders>
            <w:shd w:val="clear" w:color="auto" w:fill="auto"/>
            <w:vAlign w:val="center"/>
          </w:tcPr>
          <w:p w14:paraId="3FBCA66E">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r>
      <w:tr w14:paraId="2E5EFB77">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977" w:type="dxa"/>
            <w:tcBorders>
              <w:tl2br w:val="nil"/>
              <w:tr2bl w:val="nil"/>
            </w:tcBorders>
            <w:shd w:val="clear" w:color="auto" w:fill="auto"/>
            <w:vAlign w:val="center"/>
          </w:tcPr>
          <w:p w14:paraId="3393AE27">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1,1,1-</w:t>
            </w:r>
            <w:r>
              <w:rPr>
                <w:rFonts w:hint="eastAsia"/>
                <w:color w:val="auto"/>
                <w:sz w:val="21"/>
                <w:szCs w:val="21"/>
                <w:highlight w:val="none"/>
                <w:lang w:bidi="ar"/>
              </w:rPr>
              <w:t>三氯乙烷</w:t>
            </w:r>
          </w:p>
        </w:tc>
        <w:tc>
          <w:tcPr>
            <w:tcW w:w="885" w:type="dxa"/>
            <w:tcBorders>
              <w:tl2br w:val="nil"/>
              <w:tr2bl w:val="nil"/>
            </w:tcBorders>
            <w:shd w:val="clear" w:color="auto" w:fill="auto"/>
            <w:vAlign w:val="center"/>
          </w:tcPr>
          <w:p w14:paraId="06DA487E">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mg/kg</w:t>
            </w:r>
          </w:p>
        </w:tc>
        <w:tc>
          <w:tcPr>
            <w:tcW w:w="900" w:type="dxa"/>
            <w:tcBorders>
              <w:tl2br w:val="nil"/>
              <w:tr2bl w:val="nil"/>
            </w:tcBorders>
            <w:shd w:val="clear" w:color="auto" w:fill="auto"/>
            <w:vAlign w:val="center"/>
          </w:tcPr>
          <w:p w14:paraId="303F9BA1">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840</w:t>
            </w:r>
          </w:p>
        </w:tc>
        <w:tc>
          <w:tcPr>
            <w:tcW w:w="1236" w:type="dxa"/>
            <w:tcBorders>
              <w:tl2br w:val="nil"/>
              <w:tr2bl w:val="nil"/>
            </w:tcBorders>
            <w:shd w:val="clear" w:color="auto" w:fill="auto"/>
            <w:vAlign w:val="center"/>
          </w:tcPr>
          <w:p w14:paraId="3CD725C7">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6" w:type="dxa"/>
            <w:tcBorders>
              <w:tl2br w:val="nil"/>
              <w:tr2bl w:val="nil"/>
            </w:tcBorders>
            <w:shd w:val="clear" w:color="auto" w:fill="auto"/>
            <w:vAlign w:val="center"/>
          </w:tcPr>
          <w:p w14:paraId="0D579CA8">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6" w:type="dxa"/>
            <w:tcBorders>
              <w:tl2br w:val="nil"/>
              <w:tr2bl w:val="nil"/>
            </w:tcBorders>
            <w:shd w:val="clear" w:color="auto" w:fill="auto"/>
            <w:vAlign w:val="center"/>
          </w:tcPr>
          <w:p w14:paraId="784C69A5">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6" w:type="dxa"/>
            <w:tcBorders>
              <w:tl2br w:val="nil"/>
              <w:tr2bl w:val="nil"/>
            </w:tcBorders>
            <w:shd w:val="clear" w:color="auto" w:fill="auto"/>
            <w:vAlign w:val="center"/>
          </w:tcPr>
          <w:p w14:paraId="445EE00D">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6" w:type="dxa"/>
            <w:tcBorders>
              <w:tl2br w:val="nil"/>
              <w:tr2bl w:val="nil"/>
            </w:tcBorders>
            <w:shd w:val="clear" w:color="auto" w:fill="auto"/>
            <w:vAlign w:val="center"/>
          </w:tcPr>
          <w:p w14:paraId="006C1719">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6" w:type="dxa"/>
            <w:tcBorders>
              <w:tl2br w:val="nil"/>
              <w:tr2bl w:val="nil"/>
            </w:tcBorders>
            <w:shd w:val="clear" w:color="auto" w:fill="auto"/>
            <w:vAlign w:val="center"/>
          </w:tcPr>
          <w:p w14:paraId="564C1E02">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6" w:type="dxa"/>
            <w:tcBorders>
              <w:tl2br w:val="nil"/>
              <w:tr2bl w:val="nil"/>
            </w:tcBorders>
            <w:shd w:val="clear" w:color="auto" w:fill="auto"/>
            <w:vAlign w:val="center"/>
          </w:tcPr>
          <w:p w14:paraId="1E196443">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8" w:type="dxa"/>
            <w:tcBorders>
              <w:tl2br w:val="nil"/>
              <w:tr2bl w:val="nil"/>
            </w:tcBorders>
            <w:shd w:val="clear" w:color="auto" w:fill="auto"/>
            <w:vAlign w:val="center"/>
          </w:tcPr>
          <w:p w14:paraId="7CBE893A">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r>
      <w:tr w14:paraId="1394B81E">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977" w:type="dxa"/>
            <w:tcBorders>
              <w:tl2br w:val="nil"/>
              <w:tr2bl w:val="nil"/>
            </w:tcBorders>
            <w:shd w:val="clear" w:color="auto" w:fill="auto"/>
            <w:vAlign w:val="center"/>
          </w:tcPr>
          <w:p w14:paraId="76F16F38">
            <w:pPr>
              <w:ind w:left="-105" w:right="-105"/>
              <w:jc w:val="center"/>
              <w:textAlignment w:val="center"/>
              <w:rPr>
                <w:color w:val="auto"/>
                <w:sz w:val="21"/>
                <w:szCs w:val="21"/>
                <w:highlight w:val="none"/>
              </w:rPr>
            </w:pPr>
            <w:r>
              <w:rPr>
                <w:rFonts w:hint="eastAsia"/>
                <w:color w:val="auto"/>
                <w:sz w:val="21"/>
                <w:szCs w:val="21"/>
                <w:highlight w:val="none"/>
                <w:lang w:bidi="ar"/>
              </w:rPr>
              <w:t>四氯化碳</w:t>
            </w:r>
          </w:p>
        </w:tc>
        <w:tc>
          <w:tcPr>
            <w:tcW w:w="885" w:type="dxa"/>
            <w:tcBorders>
              <w:tl2br w:val="nil"/>
              <w:tr2bl w:val="nil"/>
            </w:tcBorders>
            <w:shd w:val="clear" w:color="auto" w:fill="auto"/>
            <w:vAlign w:val="center"/>
          </w:tcPr>
          <w:p w14:paraId="4A936690">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mg/kg</w:t>
            </w:r>
          </w:p>
        </w:tc>
        <w:tc>
          <w:tcPr>
            <w:tcW w:w="900" w:type="dxa"/>
            <w:tcBorders>
              <w:tl2br w:val="nil"/>
              <w:tr2bl w:val="nil"/>
            </w:tcBorders>
            <w:shd w:val="clear" w:color="auto" w:fill="auto"/>
            <w:vAlign w:val="center"/>
          </w:tcPr>
          <w:p w14:paraId="066B26A3">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2.8</w:t>
            </w:r>
          </w:p>
        </w:tc>
        <w:tc>
          <w:tcPr>
            <w:tcW w:w="1236" w:type="dxa"/>
            <w:tcBorders>
              <w:tl2br w:val="nil"/>
              <w:tr2bl w:val="nil"/>
            </w:tcBorders>
            <w:shd w:val="clear" w:color="auto" w:fill="auto"/>
            <w:vAlign w:val="center"/>
          </w:tcPr>
          <w:p w14:paraId="6933DBA6">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6" w:type="dxa"/>
            <w:tcBorders>
              <w:tl2br w:val="nil"/>
              <w:tr2bl w:val="nil"/>
            </w:tcBorders>
            <w:shd w:val="clear" w:color="auto" w:fill="auto"/>
            <w:vAlign w:val="center"/>
          </w:tcPr>
          <w:p w14:paraId="7D89FFD1">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6" w:type="dxa"/>
            <w:tcBorders>
              <w:tl2br w:val="nil"/>
              <w:tr2bl w:val="nil"/>
            </w:tcBorders>
            <w:shd w:val="clear" w:color="auto" w:fill="auto"/>
            <w:vAlign w:val="center"/>
          </w:tcPr>
          <w:p w14:paraId="1F5C7F36">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6" w:type="dxa"/>
            <w:tcBorders>
              <w:tl2br w:val="nil"/>
              <w:tr2bl w:val="nil"/>
            </w:tcBorders>
            <w:shd w:val="clear" w:color="auto" w:fill="auto"/>
            <w:vAlign w:val="center"/>
          </w:tcPr>
          <w:p w14:paraId="5059AB28">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6" w:type="dxa"/>
            <w:tcBorders>
              <w:tl2br w:val="nil"/>
              <w:tr2bl w:val="nil"/>
            </w:tcBorders>
            <w:shd w:val="clear" w:color="auto" w:fill="auto"/>
            <w:vAlign w:val="center"/>
          </w:tcPr>
          <w:p w14:paraId="33CB01FB">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6" w:type="dxa"/>
            <w:tcBorders>
              <w:tl2br w:val="nil"/>
              <w:tr2bl w:val="nil"/>
            </w:tcBorders>
            <w:shd w:val="clear" w:color="auto" w:fill="auto"/>
            <w:vAlign w:val="center"/>
          </w:tcPr>
          <w:p w14:paraId="40CB2E2D">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6" w:type="dxa"/>
            <w:tcBorders>
              <w:tl2br w:val="nil"/>
              <w:tr2bl w:val="nil"/>
            </w:tcBorders>
            <w:shd w:val="clear" w:color="auto" w:fill="auto"/>
            <w:vAlign w:val="center"/>
          </w:tcPr>
          <w:p w14:paraId="4260F049">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8" w:type="dxa"/>
            <w:tcBorders>
              <w:tl2br w:val="nil"/>
              <w:tr2bl w:val="nil"/>
            </w:tcBorders>
            <w:shd w:val="clear" w:color="auto" w:fill="auto"/>
            <w:vAlign w:val="center"/>
          </w:tcPr>
          <w:p w14:paraId="433B0571">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r>
      <w:tr w14:paraId="012415BE">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977" w:type="dxa"/>
            <w:tcBorders>
              <w:tl2br w:val="nil"/>
              <w:tr2bl w:val="nil"/>
            </w:tcBorders>
            <w:shd w:val="clear" w:color="auto" w:fill="auto"/>
            <w:vAlign w:val="center"/>
          </w:tcPr>
          <w:p w14:paraId="71287B51">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1,2-</w:t>
            </w:r>
            <w:r>
              <w:rPr>
                <w:rFonts w:hint="eastAsia"/>
                <w:color w:val="auto"/>
                <w:sz w:val="21"/>
                <w:szCs w:val="21"/>
                <w:highlight w:val="none"/>
                <w:lang w:bidi="ar"/>
              </w:rPr>
              <w:t>二氯乙烷</w:t>
            </w:r>
          </w:p>
        </w:tc>
        <w:tc>
          <w:tcPr>
            <w:tcW w:w="885" w:type="dxa"/>
            <w:tcBorders>
              <w:tl2br w:val="nil"/>
              <w:tr2bl w:val="nil"/>
            </w:tcBorders>
            <w:shd w:val="clear" w:color="auto" w:fill="auto"/>
            <w:vAlign w:val="center"/>
          </w:tcPr>
          <w:p w14:paraId="078089DC">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mg/kg</w:t>
            </w:r>
          </w:p>
        </w:tc>
        <w:tc>
          <w:tcPr>
            <w:tcW w:w="900" w:type="dxa"/>
            <w:tcBorders>
              <w:tl2br w:val="nil"/>
              <w:tr2bl w:val="nil"/>
            </w:tcBorders>
            <w:shd w:val="clear" w:color="auto" w:fill="auto"/>
            <w:vAlign w:val="center"/>
          </w:tcPr>
          <w:p w14:paraId="1D71FA9F">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5</w:t>
            </w:r>
          </w:p>
        </w:tc>
        <w:tc>
          <w:tcPr>
            <w:tcW w:w="1236" w:type="dxa"/>
            <w:tcBorders>
              <w:tl2br w:val="nil"/>
              <w:tr2bl w:val="nil"/>
            </w:tcBorders>
            <w:shd w:val="clear" w:color="auto" w:fill="auto"/>
            <w:vAlign w:val="center"/>
          </w:tcPr>
          <w:p w14:paraId="64A7B2CE">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6" w:type="dxa"/>
            <w:tcBorders>
              <w:tl2br w:val="nil"/>
              <w:tr2bl w:val="nil"/>
            </w:tcBorders>
            <w:shd w:val="clear" w:color="auto" w:fill="auto"/>
            <w:vAlign w:val="center"/>
          </w:tcPr>
          <w:p w14:paraId="5473140A">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6" w:type="dxa"/>
            <w:tcBorders>
              <w:tl2br w:val="nil"/>
              <w:tr2bl w:val="nil"/>
            </w:tcBorders>
            <w:shd w:val="clear" w:color="auto" w:fill="auto"/>
            <w:vAlign w:val="center"/>
          </w:tcPr>
          <w:p w14:paraId="38B9D12A">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6" w:type="dxa"/>
            <w:tcBorders>
              <w:tl2br w:val="nil"/>
              <w:tr2bl w:val="nil"/>
            </w:tcBorders>
            <w:shd w:val="clear" w:color="auto" w:fill="auto"/>
            <w:vAlign w:val="center"/>
          </w:tcPr>
          <w:p w14:paraId="49BD3C5D">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6" w:type="dxa"/>
            <w:tcBorders>
              <w:tl2br w:val="nil"/>
              <w:tr2bl w:val="nil"/>
            </w:tcBorders>
            <w:shd w:val="clear" w:color="auto" w:fill="auto"/>
            <w:vAlign w:val="center"/>
          </w:tcPr>
          <w:p w14:paraId="12C47D3A">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6" w:type="dxa"/>
            <w:tcBorders>
              <w:tl2br w:val="nil"/>
              <w:tr2bl w:val="nil"/>
            </w:tcBorders>
            <w:shd w:val="clear" w:color="auto" w:fill="auto"/>
            <w:vAlign w:val="center"/>
          </w:tcPr>
          <w:p w14:paraId="4F4071DF">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6" w:type="dxa"/>
            <w:tcBorders>
              <w:tl2br w:val="nil"/>
              <w:tr2bl w:val="nil"/>
            </w:tcBorders>
            <w:shd w:val="clear" w:color="auto" w:fill="auto"/>
            <w:vAlign w:val="center"/>
          </w:tcPr>
          <w:p w14:paraId="6CEAD47C">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8" w:type="dxa"/>
            <w:tcBorders>
              <w:tl2br w:val="nil"/>
              <w:tr2bl w:val="nil"/>
            </w:tcBorders>
            <w:shd w:val="clear" w:color="auto" w:fill="auto"/>
            <w:vAlign w:val="center"/>
          </w:tcPr>
          <w:p w14:paraId="5D6A8B75">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r>
      <w:tr w14:paraId="3BAEBEBE">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977" w:type="dxa"/>
            <w:tcBorders>
              <w:tl2br w:val="nil"/>
              <w:tr2bl w:val="nil"/>
            </w:tcBorders>
            <w:shd w:val="clear" w:color="auto" w:fill="auto"/>
            <w:vAlign w:val="center"/>
          </w:tcPr>
          <w:p w14:paraId="727957C9">
            <w:pPr>
              <w:ind w:left="-105" w:right="-105"/>
              <w:jc w:val="center"/>
              <w:textAlignment w:val="center"/>
              <w:rPr>
                <w:color w:val="auto"/>
                <w:sz w:val="21"/>
                <w:szCs w:val="21"/>
                <w:highlight w:val="none"/>
              </w:rPr>
            </w:pPr>
            <w:r>
              <w:rPr>
                <w:rFonts w:hint="eastAsia"/>
                <w:color w:val="auto"/>
                <w:sz w:val="21"/>
                <w:szCs w:val="21"/>
                <w:highlight w:val="none"/>
                <w:lang w:bidi="ar"/>
              </w:rPr>
              <w:t>苯</w:t>
            </w:r>
          </w:p>
        </w:tc>
        <w:tc>
          <w:tcPr>
            <w:tcW w:w="885" w:type="dxa"/>
            <w:tcBorders>
              <w:tl2br w:val="nil"/>
              <w:tr2bl w:val="nil"/>
            </w:tcBorders>
            <w:shd w:val="clear" w:color="auto" w:fill="auto"/>
            <w:vAlign w:val="center"/>
          </w:tcPr>
          <w:p w14:paraId="5C179569">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mg/kg</w:t>
            </w:r>
          </w:p>
        </w:tc>
        <w:tc>
          <w:tcPr>
            <w:tcW w:w="900" w:type="dxa"/>
            <w:tcBorders>
              <w:tl2br w:val="nil"/>
              <w:tr2bl w:val="nil"/>
            </w:tcBorders>
            <w:shd w:val="clear" w:color="auto" w:fill="auto"/>
            <w:vAlign w:val="center"/>
          </w:tcPr>
          <w:p w14:paraId="562FC469">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4</w:t>
            </w:r>
          </w:p>
        </w:tc>
        <w:tc>
          <w:tcPr>
            <w:tcW w:w="1236" w:type="dxa"/>
            <w:tcBorders>
              <w:tl2br w:val="nil"/>
              <w:tr2bl w:val="nil"/>
            </w:tcBorders>
            <w:shd w:val="clear" w:color="auto" w:fill="auto"/>
            <w:vAlign w:val="center"/>
          </w:tcPr>
          <w:p w14:paraId="5F771F54">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6" w:type="dxa"/>
            <w:tcBorders>
              <w:tl2br w:val="nil"/>
              <w:tr2bl w:val="nil"/>
            </w:tcBorders>
            <w:shd w:val="clear" w:color="auto" w:fill="auto"/>
            <w:vAlign w:val="center"/>
          </w:tcPr>
          <w:p w14:paraId="4A81983D">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6" w:type="dxa"/>
            <w:tcBorders>
              <w:tl2br w:val="nil"/>
              <w:tr2bl w:val="nil"/>
            </w:tcBorders>
            <w:shd w:val="clear" w:color="auto" w:fill="auto"/>
            <w:vAlign w:val="center"/>
          </w:tcPr>
          <w:p w14:paraId="25C890D2">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6" w:type="dxa"/>
            <w:tcBorders>
              <w:tl2br w:val="nil"/>
              <w:tr2bl w:val="nil"/>
            </w:tcBorders>
            <w:shd w:val="clear" w:color="auto" w:fill="auto"/>
            <w:vAlign w:val="center"/>
          </w:tcPr>
          <w:p w14:paraId="28BB26FD">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6" w:type="dxa"/>
            <w:tcBorders>
              <w:tl2br w:val="nil"/>
              <w:tr2bl w:val="nil"/>
            </w:tcBorders>
            <w:shd w:val="clear" w:color="auto" w:fill="auto"/>
            <w:vAlign w:val="center"/>
          </w:tcPr>
          <w:p w14:paraId="11A7578D">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6" w:type="dxa"/>
            <w:tcBorders>
              <w:tl2br w:val="nil"/>
              <w:tr2bl w:val="nil"/>
            </w:tcBorders>
            <w:shd w:val="clear" w:color="auto" w:fill="auto"/>
            <w:vAlign w:val="center"/>
          </w:tcPr>
          <w:p w14:paraId="52363146">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6" w:type="dxa"/>
            <w:tcBorders>
              <w:tl2br w:val="nil"/>
              <w:tr2bl w:val="nil"/>
            </w:tcBorders>
            <w:shd w:val="clear" w:color="auto" w:fill="auto"/>
            <w:vAlign w:val="center"/>
          </w:tcPr>
          <w:p w14:paraId="3AFC0938">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8" w:type="dxa"/>
            <w:tcBorders>
              <w:tl2br w:val="nil"/>
              <w:tr2bl w:val="nil"/>
            </w:tcBorders>
            <w:shd w:val="clear" w:color="auto" w:fill="auto"/>
            <w:vAlign w:val="center"/>
          </w:tcPr>
          <w:p w14:paraId="547D1F42">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r>
      <w:tr w14:paraId="21B29DFE">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977" w:type="dxa"/>
            <w:tcBorders>
              <w:tl2br w:val="nil"/>
              <w:tr2bl w:val="nil"/>
            </w:tcBorders>
            <w:shd w:val="clear" w:color="auto" w:fill="auto"/>
            <w:vAlign w:val="center"/>
          </w:tcPr>
          <w:p w14:paraId="106DC997">
            <w:pPr>
              <w:ind w:left="-105" w:right="-105"/>
              <w:jc w:val="center"/>
              <w:textAlignment w:val="center"/>
              <w:rPr>
                <w:color w:val="auto"/>
                <w:sz w:val="21"/>
                <w:szCs w:val="21"/>
                <w:highlight w:val="none"/>
              </w:rPr>
            </w:pPr>
            <w:r>
              <w:rPr>
                <w:rFonts w:hint="eastAsia"/>
                <w:color w:val="auto"/>
                <w:sz w:val="21"/>
                <w:szCs w:val="21"/>
                <w:highlight w:val="none"/>
                <w:lang w:bidi="ar"/>
              </w:rPr>
              <w:t>三氯乙烯</w:t>
            </w:r>
          </w:p>
        </w:tc>
        <w:tc>
          <w:tcPr>
            <w:tcW w:w="885" w:type="dxa"/>
            <w:tcBorders>
              <w:tl2br w:val="nil"/>
              <w:tr2bl w:val="nil"/>
            </w:tcBorders>
            <w:shd w:val="clear" w:color="auto" w:fill="auto"/>
            <w:vAlign w:val="center"/>
          </w:tcPr>
          <w:p w14:paraId="6E582B95">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mg/kg</w:t>
            </w:r>
          </w:p>
        </w:tc>
        <w:tc>
          <w:tcPr>
            <w:tcW w:w="900" w:type="dxa"/>
            <w:tcBorders>
              <w:tl2br w:val="nil"/>
              <w:tr2bl w:val="nil"/>
            </w:tcBorders>
            <w:shd w:val="clear" w:color="auto" w:fill="auto"/>
            <w:vAlign w:val="center"/>
          </w:tcPr>
          <w:p w14:paraId="7AB5149B">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2.8</w:t>
            </w:r>
          </w:p>
        </w:tc>
        <w:tc>
          <w:tcPr>
            <w:tcW w:w="1236" w:type="dxa"/>
            <w:tcBorders>
              <w:tl2br w:val="nil"/>
              <w:tr2bl w:val="nil"/>
            </w:tcBorders>
            <w:shd w:val="clear" w:color="auto" w:fill="auto"/>
            <w:vAlign w:val="center"/>
          </w:tcPr>
          <w:p w14:paraId="7C9C3CC3">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6" w:type="dxa"/>
            <w:tcBorders>
              <w:tl2br w:val="nil"/>
              <w:tr2bl w:val="nil"/>
            </w:tcBorders>
            <w:shd w:val="clear" w:color="auto" w:fill="auto"/>
            <w:vAlign w:val="center"/>
          </w:tcPr>
          <w:p w14:paraId="700C235C">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6" w:type="dxa"/>
            <w:tcBorders>
              <w:tl2br w:val="nil"/>
              <w:tr2bl w:val="nil"/>
            </w:tcBorders>
            <w:shd w:val="clear" w:color="auto" w:fill="auto"/>
            <w:vAlign w:val="center"/>
          </w:tcPr>
          <w:p w14:paraId="4747E884">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6" w:type="dxa"/>
            <w:tcBorders>
              <w:tl2br w:val="nil"/>
              <w:tr2bl w:val="nil"/>
            </w:tcBorders>
            <w:shd w:val="clear" w:color="auto" w:fill="auto"/>
            <w:vAlign w:val="center"/>
          </w:tcPr>
          <w:p w14:paraId="083E07A4">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6" w:type="dxa"/>
            <w:tcBorders>
              <w:tl2br w:val="nil"/>
              <w:tr2bl w:val="nil"/>
            </w:tcBorders>
            <w:shd w:val="clear" w:color="auto" w:fill="auto"/>
            <w:vAlign w:val="center"/>
          </w:tcPr>
          <w:p w14:paraId="037A7BBE">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6" w:type="dxa"/>
            <w:tcBorders>
              <w:tl2br w:val="nil"/>
              <w:tr2bl w:val="nil"/>
            </w:tcBorders>
            <w:shd w:val="clear" w:color="auto" w:fill="auto"/>
            <w:vAlign w:val="center"/>
          </w:tcPr>
          <w:p w14:paraId="5ACC3CB1">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6" w:type="dxa"/>
            <w:tcBorders>
              <w:tl2br w:val="nil"/>
              <w:tr2bl w:val="nil"/>
            </w:tcBorders>
            <w:shd w:val="clear" w:color="auto" w:fill="auto"/>
            <w:vAlign w:val="center"/>
          </w:tcPr>
          <w:p w14:paraId="51BD534F">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8" w:type="dxa"/>
            <w:tcBorders>
              <w:tl2br w:val="nil"/>
              <w:tr2bl w:val="nil"/>
            </w:tcBorders>
            <w:shd w:val="clear" w:color="auto" w:fill="auto"/>
            <w:vAlign w:val="center"/>
          </w:tcPr>
          <w:p w14:paraId="6EF76435">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r>
      <w:tr w14:paraId="5F9AD4FA">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977" w:type="dxa"/>
            <w:tcBorders>
              <w:tl2br w:val="nil"/>
              <w:tr2bl w:val="nil"/>
            </w:tcBorders>
            <w:shd w:val="clear" w:color="auto" w:fill="auto"/>
            <w:vAlign w:val="center"/>
          </w:tcPr>
          <w:p w14:paraId="729421CF">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1,2-</w:t>
            </w:r>
            <w:r>
              <w:rPr>
                <w:rFonts w:hint="eastAsia"/>
                <w:color w:val="auto"/>
                <w:sz w:val="21"/>
                <w:szCs w:val="21"/>
                <w:highlight w:val="none"/>
                <w:lang w:bidi="ar"/>
              </w:rPr>
              <w:t>二氯丙烷</w:t>
            </w:r>
          </w:p>
        </w:tc>
        <w:tc>
          <w:tcPr>
            <w:tcW w:w="885" w:type="dxa"/>
            <w:tcBorders>
              <w:tl2br w:val="nil"/>
              <w:tr2bl w:val="nil"/>
            </w:tcBorders>
            <w:shd w:val="clear" w:color="auto" w:fill="auto"/>
            <w:vAlign w:val="center"/>
          </w:tcPr>
          <w:p w14:paraId="025493C0">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mg/kg</w:t>
            </w:r>
          </w:p>
        </w:tc>
        <w:tc>
          <w:tcPr>
            <w:tcW w:w="900" w:type="dxa"/>
            <w:tcBorders>
              <w:tl2br w:val="nil"/>
              <w:tr2bl w:val="nil"/>
            </w:tcBorders>
            <w:shd w:val="clear" w:color="auto" w:fill="auto"/>
            <w:vAlign w:val="center"/>
          </w:tcPr>
          <w:p w14:paraId="51401230">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5</w:t>
            </w:r>
          </w:p>
        </w:tc>
        <w:tc>
          <w:tcPr>
            <w:tcW w:w="1236" w:type="dxa"/>
            <w:tcBorders>
              <w:tl2br w:val="nil"/>
              <w:tr2bl w:val="nil"/>
            </w:tcBorders>
            <w:shd w:val="clear" w:color="auto" w:fill="auto"/>
            <w:vAlign w:val="center"/>
          </w:tcPr>
          <w:p w14:paraId="1FC69A67">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6" w:type="dxa"/>
            <w:tcBorders>
              <w:tl2br w:val="nil"/>
              <w:tr2bl w:val="nil"/>
            </w:tcBorders>
            <w:shd w:val="clear" w:color="auto" w:fill="auto"/>
            <w:vAlign w:val="center"/>
          </w:tcPr>
          <w:p w14:paraId="49701274">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6" w:type="dxa"/>
            <w:tcBorders>
              <w:tl2br w:val="nil"/>
              <w:tr2bl w:val="nil"/>
            </w:tcBorders>
            <w:shd w:val="clear" w:color="auto" w:fill="auto"/>
            <w:vAlign w:val="center"/>
          </w:tcPr>
          <w:p w14:paraId="7F626CDA">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6" w:type="dxa"/>
            <w:tcBorders>
              <w:tl2br w:val="nil"/>
              <w:tr2bl w:val="nil"/>
            </w:tcBorders>
            <w:shd w:val="clear" w:color="auto" w:fill="auto"/>
            <w:vAlign w:val="center"/>
          </w:tcPr>
          <w:p w14:paraId="58FD9844">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6" w:type="dxa"/>
            <w:tcBorders>
              <w:tl2br w:val="nil"/>
              <w:tr2bl w:val="nil"/>
            </w:tcBorders>
            <w:shd w:val="clear" w:color="auto" w:fill="auto"/>
            <w:vAlign w:val="center"/>
          </w:tcPr>
          <w:p w14:paraId="61C8E316">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6" w:type="dxa"/>
            <w:tcBorders>
              <w:tl2br w:val="nil"/>
              <w:tr2bl w:val="nil"/>
            </w:tcBorders>
            <w:shd w:val="clear" w:color="auto" w:fill="auto"/>
            <w:vAlign w:val="center"/>
          </w:tcPr>
          <w:p w14:paraId="2078D9F0">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6" w:type="dxa"/>
            <w:tcBorders>
              <w:tl2br w:val="nil"/>
              <w:tr2bl w:val="nil"/>
            </w:tcBorders>
            <w:shd w:val="clear" w:color="auto" w:fill="auto"/>
            <w:vAlign w:val="center"/>
          </w:tcPr>
          <w:p w14:paraId="2E315A15">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8" w:type="dxa"/>
            <w:tcBorders>
              <w:tl2br w:val="nil"/>
              <w:tr2bl w:val="nil"/>
            </w:tcBorders>
            <w:shd w:val="clear" w:color="auto" w:fill="auto"/>
            <w:vAlign w:val="center"/>
          </w:tcPr>
          <w:p w14:paraId="023F4BD7">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r>
      <w:tr w14:paraId="766F6E51">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977" w:type="dxa"/>
            <w:tcBorders>
              <w:tl2br w:val="nil"/>
              <w:tr2bl w:val="nil"/>
            </w:tcBorders>
            <w:shd w:val="clear" w:color="auto" w:fill="auto"/>
            <w:vAlign w:val="center"/>
          </w:tcPr>
          <w:p w14:paraId="0D9DDA89">
            <w:pPr>
              <w:ind w:left="-105" w:right="-105"/>
              <w:jc w:val="center"/>
              <w:textAlignment w:val="center"/>
              <w:rPr>
                <w:color w:val="auto"/>
                <w:sz w:val="21"/>
                <w:szCs w:val="21"/>
                <w:highlight w:val="none"/>
              </w:rPr>
            </w:pPr>
            <w:r>
              <w:rPr>
                <w:rFonts w:hint="eastAsia"/>
                <w:color w:val="auto"/>
                <w:sz w:val="21"/>
                <w:szCs w:val="21"/>
                <w:highlight w:val="none"/>
                <w:lang w:bidi="ar"/>
              </w:rPr>
              <w:t>甲苯</w:t>
            </w:r>
          </w:p>
        </w:tc>
        <w:tc>
          <w:tcPr>
            <w:tcW w:w="885" w:type="dxa"/>
            <w:tcBorders>
              <w:tl2br w:val="nil"/>
              <w:tr2bl w:val="nil"/>
            </w:tcBorders>
            <w:shd w:val="clear" w:color="auto" w:fill="auto"/>
            <w:vAlign w:val="center"/>
          </w:tcPr>
          <w:p w14:paraId="10F6D0B8">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mg/kg</w:t>
            </w:r>
          </w:p>
        </w:tc>
        <w:tc>
          <w:tcPr>
            <w:tcW w:w="900" w:type="dxa"/>
            <w:tcBorders>
              <w:tl2br w:val="nil"/>
              <w:tr2bl w:val="nil"/>
            </w:tcBorders>
            <w:shd w:val="clear" w:color="auto" w:fill="auto"/>
            <w:vAlign w:val="center"/>
          </w:tcPr>
          <w:p w14:paraId="4B590ACC">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1200</w:t>
            </w:r>
          </w:p>
        </w:tc>
        <w:tc>
          <w:tcPr>
            <w:tcW w:w="1236" w:type="dxa"/>
            <w:tcBorders>
              <w:tl2br w:val="nil"/>
              <w:tr2bl w:val="nil"/>
            </w:tcBorders>
            <w:shd w:val="clear" w:color="auto" w:fill="auto"/>
            <w:vAlign w:val="center"/>
          </w:tcPr>
          <w:p w14:paraId="0062AB39">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6" w:type="dxa"/>
            <w:tcBorders>
              <w:tl2br w:val="nil"/>
              <w:tr2bl w:val="nil"/>
            </w:tcBorders>
            <w:shd w:val="clear" w:color="auto" w:fill="auto"/>
            <w:vAlign w:val="center"/>
          </w:tcPr>
          <w:p w14:paraId="7FB24BBF">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6" w:type="dxa"/>
            <w:tcBorders>
              <w:tl2br w:val="nil"/>
              <w:tr2bl w:val="nil"/>
            </w:tcBorders>
            <w:shd w:val="clear" w:color="auto" w:fill="auto"/>
            <w:vAlign w:val="center"/>
          </w:tcPr>
          <w:p w14:paraId="16897D54">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6" w:type="dxa"/>
            <w:tcBorders>
              <w:tl2br w:val="nil"/>
              <w:tr2bl w:val="nil"/>
            </w:tcBorders>
            <w:shd w:val="clear" w:color="auto" w:fill="auto"/>
            <w:vAlign w:val="center"/>
          </w:tcPr>
          <w:p w14:paraId="33081B0E">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6" w:type="dxa"/>
            <w:tcBorders>
              <w:tl2br w:val="nil"/>
              <w:tr2bl w:val="nil"/>
            </w:tcBorders>
            <w:shd w:val="clear" w:color="auto" w:fill="auto"/>
            <w:vAlign w:val="center"/>
          </w:tcPr>
          <w:p w14:paraId="1E2FEDF3">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6" w:type="dxa"/>
            <w:tcBorders>
              <w:tl2br w:val="nil"/>
              <w:tr2bl w:val="nil"/>
            </w:tcBorders>
            <w:shd w:val="clear" w:color="auto" w:fill="auto"/>
            <w:vAlign w:val="center"/>
          </w:tcPr>
          <w:p w14:paraId="1239B4E1">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6" w:type="dxa"/>
            <w:tcBorders>
              <w:tl2br w:val="nil"/>
              <w:tr2bl w:val="nil"/>
            </w:tcBorders>
            <w:shd w:val="clear" w:color="auto" w:fill="auto"/>
            <w:vAlign w:val="center"/>
          </w:tcPr>
          <w:p w14:paraId="0D907960">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8" w:type="dxa"/>
            <w:tcBorders>
              <w:tl2br w:val="nil"/>
              <w:tr2bl w:val="nil"/>
            </w:tcBorders>
            <w:shd w:val="clear" w:color="auto" w:fill="auto"/>
            <w:vAlign w:val="center"/>
          </w:tcPr>
          <w:p w14:paraId="0918D5B6">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r>
      <w:tr w14:paraId="4089AA68">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977" w:type="dxa"/>
            <w:tcBorders>
              <w:tl2br w:val="nil"/>
              <w:tr2bl w:val="nil"/>
            </w:tcBorders>
            <w:shd w:val="clear" w:color="auto" w:fill="auto"/>
            <w:vAlign w:val="center"/>
          </w:tcPr>
          <w:p w14:paraId="6614B546">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1,1,2-</w:t>
            </w:r>
            <w:r>
              <w:rPr>
                <w:rFonts w:hint="eastAsia"/>
                <w:color w:val="auto"/>
                <w:sz w:val="21"/>
                <w:szCs w:val="21"/>
                <w:highlight w:val="none"/>
                <w:lang w:bidi="ar"/>
              </w:rPr>
              <w:t>三氯乙烷</w:t>
            </w:r>
          </w:p>
        </w:tc>
        <w:tc>
          <w:tcPr>
            <w:tcW w:w="885" w:type="dxa"/>
            <w:tcBorders>
              <w:tl2br w:val="nil"/>
              <w:tr2bl w:val="nil"/>
            </w:tcBorders>
            <w:shd w:val="clear" w:color="auto" w:fill="auto"/>
            <w:vAlign w:val="center"/>
          </w:tcPr>
          <w:p w14:paraId="213BC868">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mg/kg</w:t>
            </w:r>
          </w:p>
        </w:tc>
        <w:tc>
          <w:tcPr>
            <w:tcW w:w="900" w:type="dxa"/>
            <w:tcBorders>
              <w:tl2br w:val="nil"/>
              <w:tr2bl w:val="nil"/>
            </w:tcBorders>
            <w:shd w:val="clear" w:color="auto" w:fill="auto"/>
            <w:vAlign w:val="center"/>
          </w:tcPr>
          <w:p w14:paraId="109F9214">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2.8</w:t>
            </w:r>
          </w:p>
        </w:tc>
        <w:tc>
          <w:tcPr>
            <w:tcW w:w="1236" w:type="dxa"/>
            <w:tcBorders>
              <w:tl2br w:val="nil"/>
              <w:tr2bl w:val="nil"/>
            </w:tcBorders>
            <w:shd w:val="clear" w:color="auto" w:fill="auto"/>
            <w:vAlign w:val="center"/>
          </w:tcPr>
          <w:p w14:paraId="138C8A1A">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6" w:type="dxa"/>
            <w:tcBorders>
              <w:tl2br w:val="nil"/>
              <w:tr2bl w:val="nil"/>
            </w:tcBorders>
            <w:shd w:val="clear" w:color="auto" w:fill="auto"/>
            <w:vAlign w:val="center"/>
          </w:tcPr>
          <w:p w14:paraId="6B963C4E">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6" w:type="dxa"/>
            <w:tcBorders>
              <w:tl2br w:val="nil"/>
              <w:tr2bl w:val="nil"/>
            </w:tcBorders>
            <w:shd w:val="clear" w:color="auto" w:fill="auto"/>
            <w:vAlign w:val="center"/>
          </w:tcPr>
          <w:p w14:paraId="729FE5F0">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6" w:type="dxa"/>
            <w:tcBorders>
              <w:tl2br w:val="nil"/>
              <w:tr2bl w:val="nil"/>
            </w:tcBorders>
            <w:shd w:val="clear" w:color="auto" w:fill="auto"/>
            <w:vAlign w:val="center"/>
          </w:tcPr>
          <w:p w14:paraId="672F6F63">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6" w:type="dxa"/>
            <w:tcBorders>
              <w:tl2br w:val="nil"/>
              <w:tr2bl w:val="nil"/>
            </w:tcBorders>
            <w:shd w:val="clear" w:color="auto" w:fill="auto"/>
            <w:vAlign w:val="center"/>
          </w:tcPr>
          <w:p w14:paraId="7C214C73">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6" w:type="dxa"/>
            <w:tcBorders>
              <w:tl2br w:val="nil"/>
              <w:tr2bl w:val="nil"/>
            </w:tcBorders>
            <w:shd w:val="clear" w:color="auto" w:fill="auto"/>
            <w:vAlign w:val="center"/>
          </w:tcPr>
          <w:p w14:paraId="65710D72">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6" w:type="dxa"/>
            <w:tcBorders>
              <w:tl2br w:val="nil"/>
              <w:tr2bl w:val="nil"/>
            </w:tcBorders>
            <w:shd w:val="clear" w:color="auto" w:fill="auto"/>
            <w:vAlign w:val="center"/>
          </w:tcPr>
          <w:p w14:paraId="7B667286">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8" w:type="dxa"/>
            <w:tcBorders>
              <w:tl2br w:val="nil"/>
              <w:tr2bl w:val="nil"/>
            </w:tcBorders>
            <w:shd w:val="clear" w:color="auto" w:fill="auto"/>
            <w:vAlign w:val="center"/>
          </w:tcPr>
          <w:p w14:paraId="79C7303F">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r>
      <w:tr w14:paraId="4A54B905">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977" w:type="dxa"/>
            <w:tcBorders>
              <w:tl2br w:val="nil"/>
              <w:tr2bl w:val="nil"/>
            </w:tcBorders>
            <w:shd w:val="clear" w:color="auto" w:fill="auto"/>
            <w:vAlign w:val="center"/>
          </w:tcPr>
          <w:p w14:paraId="1D8D8A44">
            <w:pPr>
              <w:ind w:left="-105" w:right="-105"/>
              <w:jc w:val="center"/>
              <w:textAlignment w:val="center"/>
              <w:rPr>
                <w:color w:val="auto"/>
                <w:sz w:val="21"/>
                <w:szCs w:val="21"/>
                <w:highlight w:val="none"/>
              </w:rPr>
            </w:pPr>
            <w:r>
              <w:rPr>
                <w:rFonts w:hint="eastAsia"/>
                <w:color w:val="auto"/>
                <w:sz w:val="21"/>
                <w:szCs w:val="21"/>
                <w:highlight w:val="none"/>
                <w:lang w:bidi="ar"/>
              </w:rPr>
              <w:t>四氯乙烯</w:t>
            </w:r>
          </w:p>
        </w:tc>
        <w:tc>
          <w:tcPr>
            <w:tcW w:w="885" w:type="dxa"/>
            <w:tcBorders>
              <w:tl2br w:val="nil"/>
              <w:tr2bl w:val="nil"/>
            </w:tcBorders>
            <w:shd w:val="clear" w:color="auto" w:fill="auto"/>
            <w:vAlign w:val="center"/>
          </w:tcPr>
          <w:p w14:paraId="3B778856">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mg/kg</w:t>
            </w:r>
          </w:p>
        </w:tc>
        <w:tc>
          <w:tcPr>
            <w:tcW w:w="900" w:type="dxa"/>
            <w:tcBorders>
              <w:tl2br w:val="nil"/>
              <w:tr2bl w:val="nil"/>
            </w:tcBorders>
            <w:shd w:val="clear" w:color="auto" w:fill="auto"/>
            <w:vAlign w:val="center"/>
          </w:tcPr>
          <w:p w14:paraId="1C3DB6FC">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53</w:t>
            </w:r>
          </w:p>
        </w:tc>
        <w:tc>
          <w:tcPr>
            <w:tcW w:w="1236" w:type="dxa"/>
            <w:tcBorders>
              <w:tl2br w:val="nil"/>
              <w:tr2bl w:val="nil"/>
            </w:tcBorders>
            <w:shd w:val="clear" w:color="auto" w:fill="auto"/>
            <w:vAlign w:val="center"/>
          </w:tcPr>
          <w:p w14:paraId="3E1F6E68">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6" w:type="dxa"/>
            <w:tcBorders>
              <w:tl2br w:val="nil"/>
              <w:tr2bl w:val="nil"/>
            </w:tcBorders>
            <w:shd w:val="clear" w:color="auto" w:fill="auto"/>
            <w:vAlign w:val="center"/>
          </w:tcPr>
          <w:p w14:paraId="1B293817">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6" w:type="dxa"/>
            <w:tcBorders>
              <w:tl2br w:val="nil"/>
              <w:tr2bl w:val="nil"/>
            </w:tcBorders>
            <w:shd w:val="clear" w:color="auto" w:fill="auto"/>
            <w:vAlign w:val="center"/>
          </w:tcPr>
          <w:p w14:paraId="53BB277C">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6" w:type="dxa"/>
            <w:tcBorders>
              <w:tl2br w:val="nil"/>
              <w:tr2bl w:val="nil"/>
            </w:tcBorders>
            <w:shd w:val="clear" w:color="auto" w:fill="auto"/>
            <w:vAlign w:val="center"/>
          </w:tcPr>
          <w:p w14:paraId="3EEF6E3A">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6" w:type="dxa"/>
            <w:tcBorders>
              <w:tl2br w:val="nil"/>
              <w:tr2bl w:val="nil"/>
            </w:tcBorders>
            <w:shd w:val="clear" w:color="auto" w:fill="auto"/>
            <w:vAlign w:val="center"/>
          </w:tcPr>
          <w:p w14:paraId="14F4BF62">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6" w:type="dxa"/>
            <w:tcBorders>
              <w:tl2br w:val="nil"/>
              <w:tr2bl w:val="nil"/>
            </w:tcBorders>
            <w:shd w:val="clear" w:color="auto" w:fill="auto"/>
            <w:vAlign w:val="center"/>
          </w:tcPr>
          <w:p w14:paraId="2225D9B9">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6" w:type="dxa"/>
            <w:tcBorders>
              <w:tl2br w:val="nil"/>
              <w:tr2bl w:val="nil"/>
            </w:tcBorders>
            <w:shd w:val="clear" w:color="auto" w:fill="auto"/>
            <w:vAlign w:val="center"/>
          </w:tcPr>
          <w:p w14:paraId="5038DF00">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8" w:type="dxa"/>
            <w:tcBorders>
              <w:tl2br w:val="nil"/>
              <w:tr2bl w:val="nil"/>
            </w:tcBorders>
            <w:shd w:val="clear" w:color="auto" w:fill="auto"/>
            <w:vAlign w:val="center"/>
          </w:tcPr>
          <w:p w14:paraId="52D7113C">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r>
      <w:tr w14:paraId="43788E34">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977" w:type="dxa"/>
            <w:tcBorders>
              <w:tl2br w:val="nil"/>
              <w:tr2bl w:val="nil"/>
            </w:tcBorders>
            <w:shd w:val="clear" w:color="auto" w:fill="auto"/>
            <w:vAlign w:val="center"/>
          </w:tcPr>
          <w:p w14:paraId="536ABDF5">
            <w:pPr>
              <w:ind w:left="-105" w:right="-105"/>
              <w:jc w:val="center"/>
              <w:textAlignment w:val="center"/>
              <w:rPr>
                <w:color w:val="auto"/>
                <w:sz w:val="21"/>
                <w:szCs w:val="21"/>
                <w:highlight w:val="none"/>
              </w:rPr>
            </w:pPr>
            <w:r>
              <w:rPr>
                <w:rFonts w:hint="eastAsia"/>
                <w:color w:val="auto"/>
                <w:sz w:val="21"/>
                <w:szCs w:val="21"/>
                <w:highlight w:val="none"/>
                <w:lang w:bidi="ar"/>
              </w:rPr>
              <w:t>氯苯</w:t>
            </w:r>
          </w:p>
        </w:tc>
        <w:tc>
          <w:tcPr>
            <w:tcW w:w="885" w:type="dxa"/>
            <w:tcBorders>
              <w:tl2br w:val="nil"/>
              <w:tr2bl w:val="nil"/>
            </w:tcBorders>
            <w:shd w:val="clear" w:color="auto" w:fill="auto"/>
            <w:vAlign w:val="center"/>
          </w:tcPr>
          <w:p w14:paraId="13BBEC63">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mg/kg</w:t>
            </w:r>
          </w:p>
        </w:tc>
        <w:tc>
          <w:tcPr>
            <w:tcW w:w="900" w:type="dxa"/>
            <w:tcBorders>
              <w:tl2br w:val="nil"/>
              <w:tr2bl w:val="nil"/>
            </w:tcBorders>
            <w:shd w:val="clear" w:color="auto" w:fill="auto"/>
            <w:vAlign w:val="center"/>
          </w:tcPr>
          <w:p w14:paraId="62D37FBC">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270</w:t>
            </w:r>
          </w:p>
        </w:tc>
        <w:tc>
          <w:tcPr>
            <w:tcW w:w="1236" w:type="dxa"/>
            <w:tcBorders>
              <w:tl2br w:val="nil"/>
              <w:tr2bl w:val="nil"/>
            </w:tcBorders>
            <w:shd w:val="clear" w:color="auto" w:fill="auto"/>
            <w:vAlign w:val="center"/>
          </w:tcPr>
          <w:p w14:paraId="6C48FF19">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6" w:type="dxa"/>
            <w:tcBorders>
              <w:tl2br w:val="nil"/>
              <w:tr2bl w:val="nil"/>
            </w:tcBorders>
            <w:shd w:val="clear" w:color="auto" w:fill="auto"/>
            <w:vAlign w:val="center"/>
          </w:tcPr>
          <w:p w14:paraId="13CBAF9A">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6" w:type="dxa"/>
            <w:tcBorders>
              <w:tl2br w:val="nil"/>
              <w:tr2bl w:val="nil"/>
            </w:tcBorders>
            <w:shd w:val="clear" w:color="auto" w:fill="auto"/>
            <w:vAlign w:val="center"/>
          </w:tcPr>
          <w:p w14:paraId="35EAE01D">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6" w:type="dxa"/>
            <w:tcBorders>
              <w:tl2br w:val="nil"/>
              <w:tr2bl w:val="nil"/>
            </w:tcBorders>
            <w:shd w:val="clear" w:color="auto" w:fill="auto"/>
            <w:vAlign w:val="center"/>
          </w:tcPr>
          <w:p w14:paraId="4AFDDA86">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6" w:type="dxa"/>
            <w:tcBorders>
              <w:tl2br w:val="nil"/>
              <w:tr2bl w:val="nil"/>
            </w:tcBorders>
            <w:shd w:val="clear" w:color="auto" w:fill="auto"/>
            <w:vAlign w:val="center"/>
          </w:tcPr>
          <w:p w14:paraId="44B29832">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6" w:type="dxa"/>
            <w:tcBorders>
              <w:tl2br w:val="nil"/>
              <w:tr2bl w:val="nil"/>
            </w:tcBorders>
            <w:shd w:val="clear" w:color="auto" w:fill="auto"/>
            <w:vAlign w:val="center"/>
          </w:tcPr>
          <w:p w14:paraId="2FEA9F86">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6" w:type="dxa"/>
            <w:tcBorders>
              <w:tl2br w:val="nil"/>
              <w:tr2bl w:val="nil"/>
            </w:tcBorders>
            <w:shd w:val="clear" w:color="auto" w:fill="auto"/>
            <w:vAlign w:val="center"/>
          </w:tcPr>
          <w:p w14:paraId="29A98964">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8" w:type="dxa"/>
            <w:tcBorders>
              <w:tl2br w:val="nil"/>
              <w:tr2bl w:val="nil"/>
            </w:tcBorders>
            <w:shd w:val="clear" w:color="auto" w:fill="auto"/>
            <w:vAlign w:val="center"/>
          </w:tcPr>
          <w:p w14:paraId="2968E4AC">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r>
      <w:tr w14:paraId="5F0A2B28">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977" w:type="dxa"/>
            <w:tcBorders>
              <w:tl2br w:val="nil"/>
              <w:tr2bl w:val="nil"/>
            </w:tcBorders>
            <w:shd w:val="clear" w:color="auto" w:fill="auto"/>
            <w:vAlign w:val="center"/>
          </w:tcPr>
          <w:p w14:paraId="5FDDA1CA">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1,1,1,2-</w:t>
            </w:r>
            <w:r>
              <w:rPr>
                <w:rFonts w:hint="eastAsia"/>
                <w:color w:val="auto"/>
                <w:sz w:val="21"/>
                <w:szCs w:val="21"/>
                <w:highlight w:val="none"/>
                <w:lang w:bidi="ar"/>
              </w:rPr>
              <w:t>四氯乙烷</w:t>
            </w:r>
          </w:p>
        </w:tc>
        <w:tc>
          <w:tcPr>
            <w:tcW w:w="885" w:type="dxa"/>
            <w:tcBorders>
              <w:tl2br w:val="nil"/>
              <w:tr2bl w:val="nil"/>
            </w:tcBorders>
            <w:shd w:val="clear" w:color="auto" w:fill="auto"/>
            <w:vAlign w:val="center"/>
          </w:tcPr>
          <w:p w14:paraId="2B936D8E">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mg/kg</w:t>
            </w:r>
          </w:p>
        </w:tc>
        <w:tc>
          <w:tcPr>
            <w:tcW w:w="900" w:type="dxa"/>
            <w:tcBorders>
              <w:tl2br w:val="nil"/>
              <w:tr2bl w:val="nil"/>
            </w:tcBorders>
            <w:shd w:val="clear" w:color="auto" w:fill="auto"/>
            <w:vAlign w:val="center"/>
          </w:tcPr>
          <w:p w14:paraId="5A0A3A38">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10</w:t>
            </w:r>
          </w:p>
        </w:tc>
        <w:tc>
          <w:tcPr>
            <w:tcW w:w="1236" w:type="dxa"/>
            <w:tcBorders>
              <w:tl2br w:val="nil"/>
              <w:tr2bl w:val="nil"/>
            </w:tcBorders>
            <w:shd w:val="clear" w:color="auto" w:fill="auto"/>
            <w:vAlign w:val="center"/>
          </w:tcPr>
          <w:p w14:paraId="177AF066">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6" w:type="dxa"/>
            <w:tcBorders>
              <w:tl2br w:val="nil"/>
              <w:tr2bl w:val="nil"/>
            </w:tcBorders>
            <w:shd w:val="clear" w:color="auto" w:fill="auto"/>
            <w:vAlign w:val="center"/>
          </w:tcPr>
          <w:p w14:paraId="0661536B">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6" w:type="dxa"/>
            <w:tcBorders>
              <w:tl2br w:val="nil"/>
              <w:tr2bl w:val="nil"/>
            </w:tcBorders>
            <w:shd w:val="clear" w:color="auto" w:fill="auto"/>
            <w:vAlign w:val="center"/>
          </w:tcPr>
          <w:p w14:paraId="297E426E">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6" w:type="dxa"/>
            <w:tcBorders>
              <w:tl2br w:val="nil"/>
              <w:tr2bl w:val="nil"/>
            </w:tcBorders>
            <w:shd w:val="clear" w:color="auto" w:fill="auto"/>
            <w:vAlign w:val="center"/>
          </w:tcPr>
          <w:p w14:paraId="6E4C077B">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6" w:type="dxa"/>
            <w:tcBorders>
              <w:tl2br w:val="nil"/>
              <w:tr2bl w:val="nil"/>
            </w:tcBorders>
            <w:shd w:val="clear" w:color="auto" w:fill="auto"/>
            <w:vAlign w:val="center"/>
          </w:tcPr>
          <w:p w14:paraId="77C37719">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6" w:type="dxa"/>
            <w:tcBorders>
              <w:tl2br w:val="nil"/>
              <w:tr2bl w:val="nil"/>
            </w:tcBorders>
            <w:shd w:val="clear" w:color="auto" w:fill="auto"/>
            <w:vAlign w:val="center"/>
          </w:tcPr>
          <w:p w14:paraId="5FB17BA5">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6" w:type="dxa"/>
            <w:tcBorders>
              <w:tl2br w:val="nil"/>
              <w:tr2bl w:val="nil"/>
            </w:tcBorders>
            <w:shd w:val="clear" w:color="auto" w:fill="auto"/>
            <w:vAlign w:val="center"/>
          </w:tcPr>
          <w:p w14:paraId="3D5F7A5E">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8" w:type="dxa"/>
            <w:tcBorders>
              <w:tl2br w:val="nil"/>
              <w:tr2bl w:val="nil"/>
            </w:tcBorders>
            <w:shd w:val="clear" w:color="auto" w:fill="auto"/>
            <w:vAlign w:val="center"/>
          </w:tcPr>
          <w:p w14:paraId="52BD263A">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r>
      <w:tr w14:paraId="666F05DF">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977" w:type="dxa"/>
            <w:tcBorders>
              <w:tl2br w:val="nil"/>
              <w:tr2bl w:val="nil"/>
            </w:tcBorders>
            <w:shd w:val="clear" w:color="auto" w:fill="auto"/>
            <w:vAlign w:val="center"/>
          </w:tcPr>
          <w:p w14:paraId="5E341306">
            <w:pPr>
              <w:ind w:left="-105" w:right="-105"/>
              <w:jc w:val="center"/>
              <w:textAlignment w:val="center"/>
              <w:rPr>
                <w:color w:val="auto"/>
                <w:sz w:val="21"/>
                <w:szCs w:val="21"/>
                <w:highlight w:val="none"/>
              </w:rPr>
            </w:pPr>
            <w:r>
              <w:rPr>
                <w:rFonts w:hint="eastAsia"/>
                <w:color w:val="auto"/>
                <w:sz w:val="21"/>
                <w:szCs w:val="21"/>
                <w:highlight w:val="none"/>
                <w:lang w:bidi="ar"/>
              </w:rPr>
              <w:t>乙苯</w:t>
            </w:r>
          </w:p>
        </w:tc>
        <w:tc>
          <w:tcPr>
            <w:tcW w:w="885" w:type="dxa"/>
            <w:tcBorders>
              <w:tl2br w:val="nil"/>
              <w:tr2bl w:val="nil"/>
            </w:tcBorders>
            <w:shd w:val="clear" w:color="auto" w:fill="auto"/>
            <w:vAlign w:val="center"/>
          </w:tcPr>
          <w:p w14:paraId="72235B9B">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mg/kg</w:t>
            </w:r>
          </w:p>
        </w:tc>
        <w:tc>
          <w:tcPr>
            <w:tcW w:w="900" w:type="dxa"/>
            <w:tcBorders>
              <w:tl2br w:val="nil"/>
              <w:tr2bl w:val="nil"/>
            </w:tcBorders>
            <w:shd w:val="clear" w:color="auto" w:fill="auto"/>
            <w:vAlign w:val="center"/>
          </w:tcPr>
          <w:p w14:paraId="319D74FB">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28</w:t>
            </w:r>
          </w:p>
        </w:tc>
        <w:tc>
          <w:tcPr>
            <w:tcW w:w="1236" w:type="dxa"/>
            <w:tcBorders>
              <w:tl2br w:val="nil"/>
              <w:tr2bl w:val="nil"/>
            </w:tcBorders>
            <w:shd w:val="clear" w:color="auto" w:fill="auto"/>
            <w:vAlign w:val="center"/>
          </w:tcPr>
          <w:p w14:paraId="59E09894">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6" w:type="dxa"/>
            <w:tcBorders>
              <w:tl2br w:val="nil"/>
              <w:tr2bl w:val="nil"/>
            </w:tcBorders>
            <w:shd w:val="clear" w:color="auto" w:fill="auto"/>
            <w:vAlign w:val="center"/>
          </w:tcPr>
          <w:p w14:paraId="297915A4">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6" w:type="dxa"/>
            <w:tcBorders>
              <w:tl2br w:val="nil"/>
              <w:tr2bl w:val="nil"/>
            </w:tcBorders>
            <w:shd w:val="clear" w:color="auto" w:fill="auto"/>
            <w:vAlign w:val="center"/>
          </w:tcPr>
          <w:p w14:paraId="2BE72487">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6" w:type="dxa"/>
            <w:tcBorders>
              <w:tl2br w:val="nil"/>
              <w:tr2bl w:val="nil"/>
            </w:tcBorders>
            <w:shd w:val="clear" w:color="auto" w:fill="auto"/>
            <w:vAlign w:val="center"/>
          </w:tcPr>
          <w:p w14:paraId="4C4001D9">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6" w:type="dxa"/>
            <w:tcBorders>
              <w:tl2br w:val="nil"/>
              <w:tr2bl w:val="nil"/>
            </w:tcBorders>
            <w:shd w:val="clear" w:color="auto" w:fill="auto"/>
            <w:vAlign w:val="center"/>
          </w:tcPr>
          <w:p w14:paraId="71413771">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6" w:type="dxa"/>
            <w:tcBorders>
              <w:tl2br w:val="nil"/>
              <w:tr2bl w:val="nil"/>
            </w:tcBorders>
            <w:shd w:val="clear" w:color="auto" w:fill="auto"/>
            <w:vAlign w:val="center"/>
          </w:tcPr>
          <w:p w14:paraId="5AA1C939">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6" w:type="dxa"/>
            <w:tcBorders>
              <w:tl2br w:val="nil"/>
              <w:tr2bl w:val="nil"/>
            </w:tcBorders>
            <w:shd w:val="clear" w:color="auto" w:fill="auto"/>
            <w:vAlign w:val="center"/>
          </w:tcPr>
          <w:p w14:paraId="60E775C7">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8" w:type="dxa"/>
            <w:tcBorders>
              <w:tl2br w:val="nil"/>
              <w:tr2bl w:val="nil"/>
            </w:tcBorders>
            <w:shd w:val="clear" w:color="auto" w:fill="auto"/>
            <w:vAlign w:val="center"/>
          </w:tcPr>
          <w:p w14:paraId="265EAE10">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r>
      <w:tr w14:paraId="40AF6D9C">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977" w:type="dxa"/>
            <w:tcBorders>
              <w:tl2br w:val="nil"/>
              <w:tr2bl w:val="nil"/>
            </w:tcBorders>
            <w:shd w:val="clear" w:color="auto" w:fill="auto"/>
            <w:vAlign w:val="center"/>
          </w:tcPr>
          <w:p w14:paraId="1F15B0D9">
            <w:pPr>
              <w:ind w:left="-105" w:right="-105"/>
              <w:jc w:val="center"/>
              <w:textAlignment w:val="center"/>
              <w:rPr>
                <w:color w:val="auto"/>
                <w:sz w:val="21"/>
                <w:szCs w:val="21"/>
                <w:highlight w:val="none"/>
              </w:rPr>
            </w:pPr>
            <w:r>
              <w:rPr>
                <w:rFonts w:hint="eastAsia"/>
                <w:color w:val="auto"/>
                <w:sz w:val="21"/>
                <w:szCs w:val="21"/>
                <w:highlight w:val="none"/>
                <w:lang w:bidi="ar"/>
              </w:rPr>
              <w:t>间</w:t>
            </w:r>
            <w:r>
              <w:rPr>
                <w:rFonts w:ascii="Times New Roman" w:hAnsi="Times New Roman" w:cs="Times New Roman"/>
                <w:color w:val="auto"/>
                <w:sz w:val="21"/>
                <w:szCs w:val="21"/>
                <w:highlight w:val="none"/>
                <w:lang w:bidi="ar"/>
              </w:rPr>
              <w:t>/</w:t>
            </w:r>
            <w:r>
              <w:rPr>
                <w:rFonts w:hint="eastAsia"/>
                <w:color w:val="auto"/>
                <w:sz w:val="21"/>
                <w:szCs w:val="21"/>
                <w:highlight w:val="none"/>
                <w:lang w:bidi="ar"/>
              </w:rPr>
              <w:t>对</w:t>
            </w:r>
            <w:r>
              <w:rPr>
                <w:rFonts w:ascii="Times New Roman" w:hAnsi="Times New Roman" w:cs="Times New Roman"/>
                <w:color w:val="auto"/>
                <w:sz w:val="21"/>
                <w:szCs w:val="21"/>
                <w:highlight w:val="none"/>
                <w:lang w:bidi="ar"/>
              </w:rPr>
              <w:t>-</w:t>
            </w:r>
            <w:r>
              <w:rPr>
                <w:rFonts w:hint="eastAsia"/>
                <w:color w:val="auto"/>
                <w:sz w:val="21"/>
                <w:szCs w:val="21"/>
                <w:highlight w:val="none"/>
                <w:lang w:bidi="ar"/>
              </w:rPr>
              <w:t>二甲苯</w:t>
            </w:r>
          </w:p>
        </w:tc>
        <w:tc>
          <w:tcPr>
            <w:tcW w:w="885" w:type="dxa"/>
            <w:tcBorders>
              <w:tl2br w:val="nil"/>
              <w:tr2bl w:val="nil"/>
            </w:tcBorders>
            <w:shd w:val="clear" w:color="auto" w:fill="auto"/>
            <w:vAlign w:val="center"/>
          </w:tcPr>
          <w:p w14:paraId="03AC7D8C">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mg/kg</w:t>
            </w:r>
          </w:p>
        </w:tc>
        <w:tc>
          <w:tcPr>
            <w:tcW w:w="900" w:type="dxa"/>
            <w:tcBorders>
              <w:tl2br w:val="nil"/>
              <w:tr2bl w:val="nil"/>
            </w:tcBorders>
            <w:shd w:val="clear" w:color="auto" w:fill="auto"/>
            <w:vAlign w:val="center"/>
          </w:tcPr>
          <w:p w14:paraId="4ABD0B6B">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570</w:t>
            </w:r>
          </w:p>
        </w:tc>
        <w:tc>
          <w:tcPr>
            <w:tcW w:w="1236" w:type="dxa"/>
            <w:tcBorders>
              <w:tl2br w:val="nil"/>
              <w:tr2bl w:val="nil"/>
            </w:tcBorders>
            <w:shd w:val="clear" w:color="auto" w:fill="auto"/>
            <w:vAlign w:val="center"/>
          </w:tcPr>
          <w:p w14:paraId="53E67F62">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6" w:type="dxa"/>
            <w:tcBorders>
              <w:tl2br w:val="nil"/>
              <w:tr2bl w:val="nil"/>
            </w:tcBorders>
            <w:shd w:val="clear" w:color="auto" w:fill="auto"/>
            <w:vAlign w:val="center"/>
          </w:tcPr>
          <w:p w14:paraId="6B244ED8">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6" w:type="dxa"/>
            <w:tcBorders>
              <w:tl2br w:val="nil"/>
              <w:tr2bl w:val="nil"/>
            </w:tcBorders>
            <w:shd w:val="clear" w:color="auto" w:fill="auto"/>
            <w:vAlign w:val="center"/>
          </w:tcPr>
          <w:p w14:paraId="79FCC357">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6" w:type="dxa"/>
            <w:tcBorders>
              <w:tl2br w:val="nil"/>
              <w:tr2bl w:val="nil"/>
            </w:tcBorders>
            <w:shd w:val="clear" w:color="auto" w:fill="auto"/>
            <w:vAlign w:val="center"/>
          </w:tcPr>
          <w:p w14:paraId="19FCD057">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6" w:type="dxa"/>
            <w:tcBorders>
              <w:tl2br w:val="nil"/>
              <w:tr2bl w:val="nil"/>
            </w:tcBorders>
            <w:shd w:val="clear" w:color="auto" w:fill="auto"/>
            <w:vAlign w:val="center"/>
          </w:tcPr>
          <w:p w14:paraId="64CF0AF3">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6" w:type="dxa"/>
            <w:tcBorders>
              <w:tl2br w:val="nil"/>
              <w:tr2bl w:val="nil"/>
            </w:tcBorders>
            <w:shd w:val="clear" w:color="auto" w:fill="auto"/>
            <w:vAlign w:val="center"/>
          </w:tcPr>
          <w:p w14:paraId="199EEE36">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6" w:type="dxa"/>
            <w:tcBorders>
              <w:tl2br w:val="nil"/>
              <w:tr2bl w:val="nil"/>
            </w:tcBorders>
            <w:shd w:val="clear" w:color="auto" w:fill="auto"/>
            <w:vAlign w:val="center"/>
          </w:tcPr>
          <w:p w14:paraId="3A9758F7">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8" w:type="dxa"/>
            <w:tcBorders>
              <w:tl2br w:val="nil"/>
              <w:tr2bl w:val="nil"/>
            </w:tcBorders>
            <w:shd w:val="clear" w:color="auto" w:fill="auto"/>
            <w:vAlign w:val="center"/>
          </w:tcPr>
          <w:p w14:paraId="62CD31A9">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r>
      <w:tr w14:paraId="61B7A7C4">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977" w:type="dxa"/>
            <w:tcBorders>
              <w:tl2br w:val="nil"/>
              <w:tr2bl w:val="nil"/>
            </w:tcBorders>
            <w:shd w:val="clear" w:color="auto" w:fill="auto"/>
            <w:vAlign w:val="center"/>
          </w:tcPr>
          <w:p w14:paraId="588B1E5F">
            <w:pPr>
              <w:ind w:left="-105" w:right="-105"/>
              <w:jc w:val="center"/>
              <w:textAlignment w:val="center"/>
              <w:rPr>
                <w:color w:val="auto"/>
                <w:sz w:val="21"/>
                <w:szCs w:val="21"/>
                <w:highlight w:val="none"/>
              </w:rPr>
            </w:pPr>
            <w:r>
              <w:rPr>
                <w:rFonts w:hint="eastAsia"/>
                <w:color w:val="auto"/>
                <w:sz w:val="21"/>
                <w:szCs w:val="21"/>
                <w:highlight w:val="none"/>
                <w:lang w:bidi="ar"/>
              </w:rPr>
              <w:t>邻</w:t>
            </w:r>
            <w:r>
              <w:rPr>
                <w:rFonts w:ascii="Times New Roman" w:hAnsi="Times New Roman" w:cs="Times New Roman"/>
                <w:color w:val="auto"/>
                <w:sz w:val="21"/>
                <w:szCs w:val="21"/>
                <w:highlight w:val="none"/>
                <w:lang w:bidi="ar"/>
              </w:rPr>
              <w:t>-</w:t>
            </w:r>
            <w:r>
              <w:rPr>
                <w:rFonts w:hint="eastAsia"/>
                <w:color w:val="auto"/>
                <w:sz w:val="21"/>
                <w:szCs w:val="21"/>
                <w:highlight w:val="none"/>
                <w:lang w:bidi="ar"/>
              </w:rPr>
              <w:t>二甲苯</w:t>
            </w:r>
          </w:p>
        </w:tc>
        <w:tc>
          <w:tcPr>
            <w:tcW w:w="885" w:type="dxa"/>
            <w:tcBorders>
              <w:tl2br w:val="nil"/>
              <w:tr2bl w:val="nil"/>
            </w:tcBorders>
            <w:shd w:val="clear" w:color="auto" w:fill="auto"/>
            <w:vAlign w:val="center"/>
          </w:tcPr>
          <w:p w14:paraId="3C8C193E">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mg/kg</w:t>
            </w:r>
          </w:p>
        </w:tc>
        <w:tc>
          <w:tcPr>
            <w:tcW w:w="900" w:type="dxa"/>
            <w:tcBorders>
              <w:tl2br w:val="nil"/>
              <w:tr2bl w:val="nil"/>
            </w:tcBorders>
            <w:shd w:val="clear" w:color="auto" w:fill="auto"/>
            <w:vAlign w:val="center"/>
          </w:tcPr>
          <w:p w14:paraId="3CBF194A">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640</w:t>
            </w:r>
          </w:p>
        </w:tc>
        <w:tc>
          <w:tcPr>
            <w:tcW w:w="1236" w:type="dxa"/>
            <w:tcBorders>
              <w:tl2br w:val="nil"/>
              <w:tr2bl w:val="nil"/>
            </w:tcBorders>
            <w:shd w:val="clear" w:color="auto" w:fill="auto"/>
            <w:vAlign w:val="center"/>
          </w:tcPr>
          <w:p w14:paraId="18D1FAEE">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6" w:type="dxa"/>
            <w:tcBorders>
              <w:tl2br w:val="nil"/>
              <w:tr2bl w:val="nil"/>
            </w:tcBorders>
            <w:shd w:val="clear" w:color="auto" w:fill="auto"/>
            <w:vAlign w:val="center"/>
          </w:tcPr>
          <w:p w14:paraId="1F9A0584">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6" w:type="dxa"/>
            <w:tcBorders>
              <w:tl2br w:val="nil"/>
              <w:tr2bl w:val="nil"/>
            </w:tcBorders>
            <w:shd w:val="clear" w:color="auto" w:fill="auto"/>
            <w:vAlign w:val="center"/>
          </w:tcPr>
          <w:p w14:paraId="2591D56C">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6" w:type="dxa"/>
            <w:tcBorders>
              <w:tl2br w:val="nil"/>
              <w:tr2bl w:val="nil"/>
            </w:tcBorders>
            <w:shd w:val="clear" w:color="auto" w:fill="auto"/>
            <w:vAlign w:val="center"/>
          </w:tcPr>
          <w:p w14:paraId="26767CB0">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6" w:type="dxa"/>
            <w:tcBorders>
              <w:tl2br w:val="nil"/>
              <w:tr2bl w:val="nil"/>
            </w:tcBorders>
            <w:shd w:val="clear" w:color="auto" w:fill="auto"/>
            <w:vAlign w:val="center"/>
          </w:tcPr>
          <w:p w14:paraId="0291B7AA">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6" w:type="dxa"/>
            <w:tcBorders>
              <w:tl2br w:val="nil"/>
              <w:tr2bl w:val="nil"/>
            </w:tcBorders>
            <w:shd w:val="clear" w:color="auto" w:fill="auto"/>
            <w:vAlign w:val="center"/>
          </w:tcPr>
          <w:p w14:paraId="54C34248">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6" w:type="dxa"/>
            <w:tcBorders>
              <w:tl2br w:val="nil"/>
              <w:tr2bl w:val="nil"/>
            </w:tcBorders>
            <w:shd w:val="clear" w:color="auto" w:fill="auto"/>
            <w:vAlign w:val="center"/>
          </w:tcPr>
          <w:p w14:paraId="111F1F32">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8" w:type="dxa"/>
            <w:tcBorders>
              <w:tl2br w:val="nil"/>
              <w:tr2bl w:val="nil"/>
            </w:tcBorders>
            <w:shd w:val="clear" w:color="auto" w:fill="auto"/>
            <w:vAlign w:val="center"/>
          </w:tcPr>
          <w:p w14:paraId="797C15A9">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r>
      <w:tr w14:paraId="25268726">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977" w:type="dxa"/>
            <w:tcBorders>
              <w:tl2br w:val="nil"/>
              <w:tr2bl w:val="nil"/>
            </w:tcBorders>
            <w:shd w:val="clear" w:color="auto" w:fill="auto"/>
            <w:vAlign w:val="center"/>
          </w:tcPr>
          <w:p w14:paraId="479ADAB7">
            <w:pPr>
              <w:ind w:left="-105" w:right="-105"/>
              <w:jc w:val="center"/>
              <w:textAlignment w:val="center"/>
              <w:rPr>
                <w:color w:val="auto"/>
                <w:sz w:val="21"/>
                <w:szCs w:val="21"/>
                <w:highlight w:val="none"/>
              </w:rPr>
            </w:pPr>
            <w:r>
              <w:rPr>
                <w:rFonts w:hint="eastAsia"/>
                <w:color w:val="auto"/>
                <w:sz w:val="21"/>
                <w:szCs w:val="21"/>
                <w:highlight w:val="none"/>
                <w:lang w:bidi="ar"/>
              </w:rPr>
              <w:t>苯乙烯</w:t>
            </w:r>
          </w:p>
        </w:tc>
        <w:tc>
          <w:tcPr>
            <w:tcW w:w="885" w:type="dxa"/>
            <w:tcBorders>
              <w:tl2br w:val="nil"/>
              <w:tr2bl w:val="nil"/>
            </w:tcBorders>
            <w:shd w:val="clear" w:color="auto" w:fill="auto"/>
            <w:vAlign w:val="center"/>
          </w:tcPr>
          <w:p w14:paraId="4CD44870">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mg/kg</w:t>
            </w:r>
          </w:p>
        </w:tc>
        <w:tc>
          <w:tcPr>
            <w:tcW w:w="900" w:type="dxa"/>
            <w:tcBorders>
              <w:tl2br w:val="nil"/>
              <w:tr2bl w:val="nil"/>
            </w:tcBorders>
            <w:shd w:val="clear" w:color="auto" w:fill="auto"/>
            <w:vAlign w:val="center"/>
          </w:tcPr>
          <w:p w14:paraId="07A83751">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1290</w:t>
            </w:r>
          </w:p>
        </w:tc>
        <w:tc>
          <w:tcPr>
            <w:tcW w:w="1236" w:type="dxa"/>
            <w:tcBorders>
              <w:tl2br w:val="nil"/>
              <w:tr2bl w:val="nil"/>
            </w:tcBorders>
            <w:shd w:val="clear" w:color="auto" w:fill="auto"/>
            <w:vAlign w:val="center"/>
          </w:tcPr>
          <w:p w14:paraId="7656B52B">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6" w:type="dxa"/>
            <w:tcBorders>
              <w:tl2br w:val="nil"/>
              <w:tr2bl w:val="nil"/>
            </w:tcBorders>
            <w:shd w:val="clear" w:color="auto" w:fill="auto"/>
            <w:vAlign w:val="center"/>
          </w:tcPr>
          <w:p w14:paraId="1DABE7EF">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6" w:type="dxa"/>
            <w:tcBorders>
              <w:tl2br w:val="nil"/>
              <w:tr2bl w:val="nil"/>
            </w:tcBorders>
            <w:shd w:val="clear" w:color="auto" w:fill="auto"/>
            <w:vAlign w:val="center"/>
          </w:tcPr>
          <w:p w14:paraId="0C01EE13">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6" w:type="dxa"/>
            <w:tcBorders>
              <w:tl2br w:val="nil"/>
              <w:tr2bl w:val="nil"/>
            </w:tcBorders>
            <w:shd w:val="clear" w:color="auto" w:fill="auto"/>
            <w:vAlign w:val="center"/>
          </w:tcPr>
          <w:p w14:paraId="1A0CCF6E">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6" w:type="dxa"/>
            <w:tcBorders>
              <w:tl2br w:val="nil"/>
              <w:tr2bl w:val="nil"/>
            </w:tcBorders>
            <w:shd w:val="clear" w:color="auto" w:fill="auto"/>
            <w:vAlign w:val="center"/>
          </w:tcPr>
          <w:p w14:paraId="17EB6100">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6" w:type="dxa"/>
            <w:tcBorders>
              <w:tl2br w:val="nil"/>
              <w:tr2bl w:val="nil"/>
            </w:tcBorders>
            <w:shd w:val="clear" w:color="auto" w:fill="auto"/>
            <w:vAlign w:val="center"/>
          </w:tcPr>
          <w:p w14:paraId="30B7EDF8">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6" w:type="dxa"/>
            <w:tcBorders>
              <w:tl2br w:val="nil"/>
              <w:tr2bl w:val="nil"/>
            </w:tcBorders>
            <w:shd w:val="clear" w:color="auto" w:fill="auto"/>
            <w:vAlign w:val="center"/>
          </w:tcPr>
          <w:p w14:paraId="137EFB16">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8" w:type="dxa"/>
            <w:tcBorders>
              <w:tl2br w:val="nil"/>
              <w:tr2bl w:val="nil"/>
            </w:tcBorders>
            <w:shd w:val="clear" w:color="auto" w:fill="auto"/>
            <w:vAlign w:val="center"/>
          </w:tcPr>
          <w:p w14:paraId="1C74A6F0">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r>
      <w:tr w14:paraId="113511E7">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977" w:type="dxa"/>
            <w:tcBorders>
              <w:tl2br w:val="nil"/>
              <w:tr2bl w:val="nil"/>
            </w:tcBorders>
            <w:shd w:val="clear" w:color="auto" w:fill="auto"/>
            <w:vAlign w:val="center"/>
          </w:tcPr>
          <w:p w14:paraId="1A766BD3">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1,1,2,2-</w:t>
            </w:r>
            <w:r>
              <w:rPr>
                <w:rFonts w:hint="eastAsia"/>
                <w:color w:val="auto"/>
                <w:sz w:val="21"/>
                <w:szCs w:val="21"/>
                <w:highlight w:val="none"/>
                <w:lang w:bidi="ar"/>
              </w:rPr>
              <w:t>四氯乙烷</w:t>
            </w:r>
          </w:p>
        </w:tc>
        <w:tc>
          <w:tcPr>
            <w:tcW w:w="885" w:type="dxa"/>
            <w:tcBorders>
              <w:tl2br w:val="nil"/>
              <w:tr2bl w:val="nil"/>
            </w:tcBorders>
            <w:shd w:val="clear" w:color="auto" w:fill="auto"/>
            <w:vAlign w:val="center"/>
          </w:tcPr>
          <w:p w14:paraId="504C4095">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mg/kg</w:t>
            </w:r>
          </w:p>
        </w:tc>
        <w:tc>
          <w:tcPr>
            <w:tcW w:w="900" w:type="dxa"/>
            <w:tcBorders>
              <w:tl2br w:val="nil"/>
              <w:tr2bl w:val="nil"/>
            </w:tcBorders>
            <w:shd w:val="clear" w:color="auto" w:fill="auto"/>
            <w:vAlign w:val="center"/>
          </w:tcPr>
          <w:p w14:paraId="6682B981">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6.8</w:t>
            </w:r>
          </w:p>
        </w:tc>
        <w:tc>
          <w:tcPr>
            <w:tcW w:w="1236" w:type="dxa"/>
            <w:tcBorders>
              <w:tl2br w:val="nil"/>
              <w:tr2bl w:val="nil"/>
            </w:tcBorders>
            <w:shd w:val="clear" w:color="auto" w:fill="auto"/>
            <w:vAlign w:val="center"/>
          </w:tcPr>
          <w:p w14:paraId="20CF37E4">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6" w:type="dxa"/>
            <w:tcBorders>
              <w:tl2br w:val="nil"/>
              <w:tr2bl w:val="nil"/>
            </w:tcBorders>
            <w:shd w:val="clear" w:color="auto" w:fill="auto"/>
            <w:vAlign w:val="center"/>
          </w:tcPr>
          <w:p w14:paraId="798F01C8">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6" w:type="dxa"/>
            <w:tcBorders>
              <w:tl2br w:val="nil"/>
              <w:tr2bl w:val="nil"/>
            </w:tcBorders>
            <w:shd w:val="clear" w:color="auto" w:fill="auto"/>
            <w:vAlign w:val="center"/>
          </w:tcPr>
          <w:p w14:paraId="2F193731">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6" w:type="dxa"/>
            <w:tcBorders>
              <w:tl2br w:val="nil"/>
              <w:tr2bl w:val="nil"/>
            </w:tcBorders>
            <w:shd w:val="clear" w:color="auto" w:fill="auto"/>
            <w:vAlign w:val="center"/>
          </w:tcPr>
          <w:p w14:paraId="0169BBD0">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6" w:type="dxa"/>
            <w:tcBorders>
              <w:tl2br w:val="nil"/>
              <w:tr2bl w:val="nil"/>
            </w:tcBorders>
            <w:shd w:val="clear" w:color="auto" w:fill="auto"/>
            <w:vAlign w:val="center"/>
          </w:tcPr>
          <w:p w14:paraId="415041F5">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6" w:type="dxa"/>
            <w:tcBorders>
              <w:tl2br w:val="nil"/>
              <w:tr2bl w:val="nil"/>
            </w:tcBorders>
            <w:shd w:val="clear" w:color="auto" w:fill="auto"/>
            <w:vAlign w:val="center"/>
          </w:tcPr>
          <w:p w14:paraId="79F00AA5">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6" w:type="dxa"/>
            <w:tcBorders>
              <w:tl2br w:val="nil"/>
              <w:tr2bl w:val="nil"/>
            </w:tcBorders>
            <w:shd w:val="clear" w:color="auto" w:fill="auto"/>
            <w:vAlign w:val="center"/>
          </w:tcPr>
          <w:p w14:paraId="19F79FB1">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8" w:type="dxa"/>
            <w:tcBorders>
              <w:tl2br w:val="nil"/>
              <w:tr2bl w:val="nil"/>
            </w:tcBorders>
            <w:shd w:val="clear" w:color="auto" w:fill="auto"/>
            <w:vAlign w:val="center"/>
          </w:tcPr>
          <w:p w14:paraId="1EC343E7">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r>
      <w:tr w14:paraId="5CDD0A04">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977" w:type="dxa"/>
            <w:tcBorders>
              <w:tl2br w:val="nil"/>
              <w:tr2bl w:val="nil"/>
            </w:tcBorders>
            <w:shd w:val="clear" w:color="auto" w:fill="auto"/>
            <w:vAlign w:val="center"/>
          </w:tcPr>
          <w:p w14:paraId="489A1A2F">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1,2,3-</w:t>
            </w:r>
            <w:r>
              <w:rPr>
                <w:rFonts w:hint="eastAsia"/>
                <w:color w:val="auto"/>
                <w:sz w:val="21"/>
                <w:szCs w:val="21"/>
                <w:highlight w:val="none"/>
                <w:lang w:bidi="ar"/>
              </w:rPr>
              <w:t>三氯丙烷</w:t>
            </w:r>
          </w:p>
        </w:tc>
        <w:tc>
          <w:tcPr>
            <w:tcW w:w="885" w:type="dxa"/>
            <w:tcBorders>
              <w:tl2br w:val="nil"/>
              <w:tr2bl w:val="nil"/>
            </w:tcBorders>
            <w:shd w:val="clear" w:color="auto" w:fill="auto"/>
            <w:vAlign w:val="center"/>
          </w:tcPr>
          <w:p w14:paraId="5E60E8ED">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mg/kg</w:t>
            </w:r>
          </w:p>
        </w:tc>
        <w:tc>
          <w:tcPr>
            <w:tcW w:w="900" w:type="dxa"/>
            <w:tcBorders>
              <w:tl2br w:val="nil"/>
              <w:tr2bl w:val="nil"/>
            </w:tcBorders>
            <w:shd w:val="clear" w:color="auto" w:fill="auto"/>
            <w:vAlign w:val="center"/>
          </w:tcPr>
          <w:p w14:paraId="07096844">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0.5</w:t>
            </w:r>
          </w:p>
        </w:tc>
        <w:tc>
          <w:tcPr>
            <w:tcW w:w="1236" w:type="dxa"/>
            <w:tcBorders>
              <w:tl2br w:val="nil"/>
              <w:tr2bl w:val="nil"/>
            </w:tcBorders>
            <w:shd w:val="clear" w:color="auto" w:fill="auto"/>
            <w:vAlign w:val="center"/>
          </w:tcPr>
          <w:p w14:paraId="258313E7">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6" w:type="dxa"/>
            <w:tcBorders>
              <w:tl2br w:val="nil"/>
              <w:tr2bl w:val="nil"/>
            </w:tcBorders>
            <w:shd w:val="clear" w:color="auto" w:fill="auto"/>
            <w:vAlign w:val="center"/>
          </w:tcPr>
          <w:p w14:paraId="271B7A9F">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6" w:type="dxa"/>
            <w:tcBorders>
              <w:tl2br w:val="nil"/>
              <w:tr2bl w:val="nil"/>
            </w:tcBorders>
            <w:shd w:val="clear" w:color="auto" w:fill="auto"/>
            <w:vAlign w:val="center"/>
          </w:tcPr>
          <w:p w14:paraId="2ABE22BC">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6" w:type="dxa"/>
            <w:tcBorders>
              <w:tl2br w:val="nil"/>
              <w:tr2bl w:val="nil"/>
            </w:tcBorders>
            <w:shd w:val="clear" w:color="auto" w:fill="auto"/>
            <w:vAlign w:val="center"/>
          </w:tcPr>
          <w:p w14:paraId="58A9632D">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6" w:type="dxa"/>
            <w:tcBorders>
              <w:tl2br w:val="nil"/>
              <w:tr2bl w:val="nil"/>
            </w:tcBorders>
            <w:shd w:val="clear" w:color="auto" w:fill="auto"/>
            <w:vAlign w:val="center"/>
          </w:tcPr>
          <w:p w14:paraId="68B3C059">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6" w:type="dxa"/>
            <w:tcBorders>
              <w:tl2br w:val="nil"/>
              <w:tr2bl w:val="nil"/>
            </w:tcBorders>
            <w:shd w:val="clear" w:color="auto" w:fill="auto"/>
            <w:vAlign w:val="center"/>
          </w:tcPr>
          <w:p w14:paraId="70CD74F1">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6" w:type="dxa"/>
            <w:tcBorders>
              <w:tl2br w:val="nil"/>
              <w:tr2bl w:val="nil"/>
            </w:tcBorders>
            <w:shd w:val="clear" w:color="auto" w:fill="auto"/>
            <w:vAlign w:val="center"/>
          </w:tcPr>
          <w:p w14:paraId="1086ABBF">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8" w:type="dxa"/>
            <w:tcBorders>
              <w:tl2br w:val="nil"/>
              <w:tr2bl w:val="nil"/>
            </w:tcBorders>
            <w:shd w:val="clear" w:color="auto" w:fill="auto"/>
            <w:vAlign w:val="center"/>
          </w:tcPr>
          <w:p w14:paraId="41C546B6">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r>
      <w:tr w14:paraId="4E04D472">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977" w:type="dxa"/>
            <w:tcBorders>
              <w:tl2br w:val="nil"/>
              <w:tr2bl w:val="nil"/>
            </w:tcBorders>
            <w:shd w:val="clear" w:color="auto" w:fill="auto"/>
            <w:vAlign w:val="center"/>
          </w:tcPr>
          <w:p w14:paraId="437D21AD">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1,4-</w:t>
            </w:r>
            <w:r>
              <w:rPr>
                <w:rFonts w:hint="eastAsia"/>
                <w:color w:val="auto"/>
                <w:sz w:val="21"/>
                <w:szCs w:val="21"/>
                <w:highlight w:val="none"/>
                <w:lang w:bidi="ar"/>
              </w:rPr>
              <w:t>二氯苯</w:t>
            </w:r>
          </w:p>
        </w:tc>
        <w:tc>
          <w:tcPr>
            <w:tcW w:w="885" w:type="dxa"/>
            <w:tcBorders>
              <w:tl2br w:val="nil"/>
              <w:tr2bl w:val="nil"/>
            </w:tcBorders>
            <w:shd w:val="clear" w:color="auto" w:fill="auto"/>
            <w:vAlign w:val="center"/>
          </w:tcPr>
          <w:p w14:paraId="7BFD4AAD">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mg/kg</w:t>
            </w:r>
          </w:p>
        </w:tc>
        <w:tc>
          <w:tcPr>
            <w:tcW w:w="900" w:type="dxa"/>
            <w:tcBorders>
              <w:tl2br w:val="nil"/>
              <w:tr2bl w:val="nil"/>
            </w:tcBorders>
            <w:shd w:val="clear" w:color="auto" w:fill="auto"/>
            <w:vAlign w:val="center"/>
          </w:tcPr>
          <w:p w14:paraId="03B71981">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20</w:t>
            </w:r>
          </w:p>
        </w:tc>
        <w:tc>
          <w:tcPr>
            <w:tcW w:w="1236" w:type="dxa"/>
            <w:tcBorders>
              <w:tl2br w:val="nil"/>
              <w:tr2bl w:val="nil"/>
            </w:tcBorders>
            <w:shd w:val="clear" w:color="auto" w:fill="auto"/>
            <w:vAlign w:val="center"/>
          </w:tcPr>
          <w:p w14:paraId="77BE2797">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6" w:type="dxa"/>
            <w:tcBorders>
              <w:tl2br w:val="nil"/>
              <w:tr2bl w:val="nil"/>
            </w:tcBorders>
            <w:shd w:val="clear" w:color="auto" w:fill="auto"/>
            <w:vAlign w:val="center"/>
          </w:tcPr>
          <w:p w14:paraId="470963CE">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6" w:type="dxa"/>
            <w:tcBorders>
              <w:tl2br w:val="nil"/>
              <w:tr2bl w:val="nil"/>
            </w:tcBorders>
            <w:shd w:val="clear" w:color="auto" w:fill="auto"/>
            <w:vAlign w:val="center"/>
          </w:tcPr>
          <w:p w14:paraId="04B63661">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6" w:type="dxa"/>
            <w:tcBorders>
              <w:tl2br w:val="nil"/>
              <w:tr2bl w:val="nil"/>
            </w:tcBorders>
            <w:shd w:val="clear" w:color="auto" w:fill="auto"/>
            <w:vAlign w:val="center"/>
          </w:tcPr>
          <w:p w14:paraId="4E898F1E">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6" w:type="dxa"/>
            <w:tcBorders>
              <w:tl2br w:val="nil"/>
              <w:tr2bl w:val="nil"/>
            </w:tcBorders>
            <w:shd w:val="clear" w:color="auto" w:fill="auto"/>
            <w:vAlign w:val="center"/>
          </w:tcPr>
          <w:p w14:paraId="032E07E9">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6" w:type="dxa"/>
            <w:tcBorders>
              <w:tl2br w:val="nil"/>
              <w:tr2bl w:val="nil"/>
            </w:tcBorders>
            <w:shd w:val="clear" w:color="auto" w:fill="auto"/>
            <w:vAlign w:val="center"/>
          </w:tcPr>
          <w:p w14:paraId="6D7B27AC">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6" w:type="dxa"/>
            <w:tcBorders>
              <w:tl2br w:val="nil"/>
              <w:tr2bl w:val="nil"/>
            </w:tcBorders>
            <w:shd w:val="clear" w:color="auto" w:fill="auto"/>
            <w:vAlign w:val="center"/>
          </w:tcPr>
          <w:p w14:paraId="55162D3A">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8" w:type="dxa"/>
            <w:tcBorders>
              <w:tl2br w:val="nil"/>
              <w:tr2bl w:val="nil"/>
            </w:tcBorders>
            <w:shd w:val="clear" w:color="auto" w:fill="auto"/>
            <w:vAlign w:val="center"/>
          </w:tcPr>
          <w:p w14:paraId="5E68B0DE">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r>
      <w:tr w14:paraId="58A3D105">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977" w:type="dxa"/>
            <w:tcBorders>
              <w:tl2br w:val="nil"/>
              <w:tr2bl w:val="nil"/>
            </w:tcBorders>
            <w:shd w:val="clear" w:color="auto" w:fill="auto"/>
            <w:vAlign w:val="center"/>
          </w:tcPr>
          <w:p w14:paraId="2D19C141">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1,2-</w:t>
            </w:r>
            <w:r>
              <w:rPr>
                <w:rFonts w:hint="eastAsia"/>
                <w:color w:val="auto"/>
                <w:sz w:val="21"/>
                <w:szCs w:val="21"/>
                <w:highlight w:val="none"/>
                <w:lang w:bidi="ar"/>
              </w:rPr>
              <w:t>二氯苯</w:t>
            </w:r>
          </w:p>
        </w:tc>
        <w:tc>
          <w:tcPr>
            <w:tcW w:w="885" w:type="dxa"/>
            <w:tcBorders>
              <w:tl2br w:val="nil"/>
              <w:tr2bl w:val="nil"/>
            </w:tcBorders>
            <w:shd w:val="clear" w:color="auto" w:fill="auto"/>
            <w:vAlign w:val="center"/>
          </w:tcPr>
          <w:p w14:paraId="325CB4BE">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mg/kg</w:t>
            </w:r>
          </w:p>
        </w:tc>
        <w:tc>
          <w:tcPr>
            <w:tcW w:w="900" w:type="dxa"/>
            <w:tcBorders>
              <w:tl2br w:val="nil"/>
              <w:tr2bl w:val="nil"/>
            </w:tcBorders>
            <w:shd w:val="clear" w:color="auto" w:fill="auto"/>
            <w:vAlign w:val="center"/>
          </w:tcPr>
          <w:p w14:paraId="2F1144C3">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560</w:t>
            </w:r>
          </w:p>
        </w:tc>
        <w:tc>
          <w:tcPr>
            <w:tcW w:w="1236" w:type="dxa"/>
            <w:tcBorders>
              <w:tl2br w:val="nil"/>
              <w:tr2bl w:val="nil"/>
            </w:tcBorders>
            <w:shd w:val="clear" w:color="auto" w:fill="auto"/>
            <w:vAlign w:val="center"/>
          </w:tcPr>
          <w:p w14:paraId="4A63DF66">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6" w:type="dxa"/>
            <w:tcBorders>
              <w:tl2br w:val="nil"/>
              <w:tr2bl w:val="nil"/>
            </w:tcBorders>
            <w:shd w:val="clear" w:color="auto" w:fill="auto"/>
            <w:vAlign w:val="center"/>
          </w:tcPr>
          <w:p w14:paraId="7E55FDE8">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6" w:type="dxa"/>
            <w:tcBorders>
              <w:tl2br w:val="nil"/>
              <w:tr2bl w:val="nil"/>
            </w:tcBorders>
            <w:shd w:val="clear" w:color="auto" w:fill="auto"/>
            <w:vAlign w:val="center"/>
          </w:tcPr>
          <w:p w14:paraId="4CFD4241">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6" w:type="dxa"/>
            <w:tcBorders>
              <w:tl2br w:val="nil"/>
              <w:tr2bl w:val="nil"/>
            </w:tcBorders>
            <w:shd w:val="clear" w:color="auto" w:fill="auto"/>
            <w:vAlign w:val="center"/>
          </w:tcPr>
          <w:p w14:paraId="5E520B38">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6" w:type="dxa"/>
            <w:tcBorders>
              <w:tl2br w:val="nil"/>
              <w:tr2bl w:val="nil"/>
            </w:tcBorders>
            <w:shd w:val="clear" w:color="auto" w:fill="auto"/>
            <w:vAlign w:val="center"/>
          </w:tcPr>
          <w:p w14:paraId="18A6274E">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6" w:type="dxa"/>
            <w:tcBorders>
              <w:tl2br w:val="nil"/>
              <w:tr2bl w:val="nil"/>
            </w:tcBorders>
            <w:shd w:val="clear" w:color="auto" w:fill="auto"/>
            <w:vAlign w:val="center"/>
          </w:tcPr>
          <w:p w14:paraId="77D1368B">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6" w:type="dxa"/>
            <w:tcBorders>
              <w:tl2br w:val="nil"/>
              <w:tr2bl w:val="nil"/>
            </w:tcBorders>
            <w:shd w:val="clear" w:color="auto" w:fill="auto"/>
            <w:vAlign w:val="center"/>
          </w:tcPr>
          <w:p w14:paraId="5FF0805A">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8" w:type="dxa"/>
            <w:tcBorders>
              <w:tl2br w:val="nil"/>
              <w:tr2bl w:val="nil"/>
            </w:tcBorders>
            <w:shd w:val="clear" w:color="auto" w:fill="auto"/>
            <w:vAlign w:val="center"/>
          </w:tcPr>
          <w:p w14:paraId="6562A4D4">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r>
      <w:tr w14:paraId="3A826C4C">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977" w:type="dxa"/>
            <w:tcBorders>
              <w:tl2br w:val="nil"/>
              <w:tr2bl w:val="nil"/>
            </w:tcBorders>
            <w:shd w:val="clear" w:color="auto" w:fill="auto"/>
            <w:vAlign w:val="center"/>
          </w:tcPr>
          <w:p w14:paraId="7BC21EC9">
            <w:pPr>
              <w:ind w:left="-105" w:right="-105"/>
              <w:jc w:val="center"/>
              <w:textAlignment w:val="center"/>
              <w:rPr>
                <w:color w:val="auto"/>
                <w:sz w:val="21"/>
                <w:szCs w:val="21"/>
                <w:highlight w:val="none"/>
              </w:rPr>
            </w:pPr>
            <w:r>
              <w:rPr>
                <w:rFonts w:hint="eastAsia"/>
                <w:color w:val="auto"/>
                <w:sz w:val="21"/>
                <w:szCs w:val="21"/>
                <w:highlight w:val="none"/>
                <w:lang w:bidi="ar"/>
              </w:rPr>
              <w:t>苯胺</w:t>
            </w:r>
          </w:p>
        </w:tc>
        <w:tc>
          <w:tcPr>
            <w:tcW w:w="885" w:type="dxa"/>
            <w:tcBorders>
              <w:tl2br w:val="nil"/>
              <w:tr2bl w:val="nil"/>
            </w:tcBorders>
            <w:shd w:val="clear" w:color="auto" w:fill="auto"/>
            <w:vAlign w:val="center"/>
          </w:tcPr>
          <w:p w14:paraId="7E28AAB3">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mg/kg</w:t>
            </w:r>
          </w:p>
        </w:tc>
        <w:tc>
          <w:tcPr>
            <w:tcW w:w="900" w:type="dxa"/>
            <w:tcBorders>
              <w:tl2br w:val="nil"/>
              <w:tr2bl w:val="nil"/>
            </w:tcBorders>
            <w:shd w:val="clear" w:color="auto" w:fill="auto"/>
            <w:vAlign w:val="center"/>
          </w:tcPr>
          <w:p w14:paraId="4F99F9D4">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260</w:t>
            </w:r>
          </w:p>
        </w:tc>
        <w:tc>
          <w:tcPr>
            <w:tcW w:w="1236" w:type="dxa"/>
            <w:tcBorders>
              <w:tl2br w:val="nil"/>
              <w:tr2bl w:val="nil"/>
            </w:tcBorders>
            <w:shd w:val="clear" w:color="auto" w:fill="auto"/>
            <w:vAlign w:val="center"/>
          </w:tcPr>
          <w:p w14:paraId="229C8E30">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6" w:type="dxa"/>
            <w:tcBorders>
              <w:tl2br w:val="nil"/>
              <w:tr2bl w:val="nil"/>
            </w:tcBorders>
            <w:shd w:val="clear" w:color="auto" w:fill="auto"/>
            <w:vAlign w:val="center"/>
          </w:tcPr>
          <w:p w14:paraId="2190FB3A">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6" w:type="dxa"/>
            <w:tcBorders>
              <w:tl2br w:val="nil"/>
              <w:tr2bl w:val="nil"/>
            </w:tcBorders>
            <w:shd w:val="clear" w:color="auto" w:fill="auto"/>
            <w:vAlign w:val="center"/>
          </w:tcPr>
          <w:p w14:paraId="21CA1483">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6" w:type="dxa"/>
            <w:tcBorders>
              <w:tl2br w:val="nil"/>
              <w:tr2bl w:val="nil"/>
            </w:tcBorders>
            <w:shd w:val="clear" w:color="auto" w:fill="auto"/>
            <w:vAlign w:val="center"/>
          </w:tcPr>
          <w:p w14:paraId="6541BF7B">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6" w:type="dxa"/>
            <w:tcBorders>
              <w:tl2br w:val="nil"/>
              <w:tr2bl w:val="nil"/>
            </w:tcBorders>
            <w:shd w:val="clear" w:color="auto" w:fill="auto"/>
            <w:vAlign w:val="center"/>
          </w:tcPr>
          <w:p w14:paraId="1F435B39">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6" w:type="dxa"/>
            <w:tcBorders>
              <w:tl2br w:val="nil"/>
              <w:tr2bl w:val="nil"/>
            </w:tcBorders>
            <w:shd w:val="clear" w:color="auto" w:fill="auto"/>
            <w:vAlign w:val="center"/>
          </w:tcPr>
          <w:p w14:paraId="6070D84C">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6" w:type="dxa"/>
            <w:tcBorders>
              <w:tl2br w:val="nil"/>
              <w:tr2bl w:val="nil"/>
            </w:tcBorders>
            <w:shd w:val="clear" w:color="auto" w:fill="auto"/>
            <w:vAlign w:val="center"/>
          </w:tcPr>
          <w:p w14:paraId="13421CA3">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8" w:type="dxa"/>
            <w:tcBorders>
              <w:tl2br w:val="nil"/>
              <w:tr2bl w:val="nil"/>
            </w:tcBorders>
            <w:shd w:val="clear" w:color="auto" w:fill="auto"/>
            <w:vAlign w:val="center"/>
          </w:tcPr>
          <w:p w14:paraId="6E6DFEB3">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r>
      <w:tr w14:paraId="5BFDDCD7">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977" w:type="dxa"/>
            <w:tcBorders>
              <w:tl2br w:val="nil"/>
              <w:tr2bl w:val="nil"/>
            </w:tcBorders>
            <w:shd w:val="clear" w:color="auto" w:fill="auto"/>
            <w:vAlign w:val="center"/>
          </w:tcPr>
          <w:p w14:paraId="2D8D02A4">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2-</w:t>
            </w:r>
            <w:r>
              <w:rPr>
                <w:rFonts w:hint="eastAsia"/>
                <w:color w:val="auto"/>
                <w:sz w:val="21"/>
                <w:szCs w:val="21"/>
                <w:highlight w:val="none"/>
                <w:lang w:bidi="ar"/>
              </w:rPr>
              <w:t>氯酚</w:t>
            </w:r>
          </w:p>
        </w:tc>
        <w:tc>
          <w:tcPr>
            <w:tcW w:w="885" w:type="dxa"/>
            <w:tcBorders>
              <w:tl2br w:val="nil"/>
              <w:tr2bl w:val="nil"/>
            </w:tcBorders>
            <w:shd w:val="clear" w:color="auto" w:fill="auto"/>
            <w:vAlign w:val="center"/>
          </w:tcPr>
          <w:p w14:paraId="1A5A4C23">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mg/kg</w:t>
            </w:r>
          </w:p>
        </w:tc>
        <w:tc>
          <w:tcPr>
            <w:tcW w:w="900" w:type="dxa"/>
            <w:tcBorders>
              <w:tl2br w:val="nil"/>
              <w:tr2bl w:val="nil"/>
            </w:tcBorders>
            <w:shd w:val="clear" w:color="auto" w:fill="auto"/>
            <w:vAlign w:val="center"/>
          </w:tcPr>
          <w:p w14:paraId="7888F8DA">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2256</w:t>
            </w:r>
          </w:p>
        </w:tc>
        <w:tc>
          <w:tcPr>
            <w:tcW w:w="1236" w:type="dxa"/>
            <w:tcBorders>
              <w:tl2br w:val="nil"/>
              <w:tr2bl w:val="nil"/>
            </w:tcBorders>
            <w:shd w:val="clear" w:color="auto" w:fill="auto"/>
            <w:vAlign w:val="center"/>
          </w:tcPr>
          <w:p w14:paraId="781426A8">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6" w:type="dxa"/>
            <w:tcBorders>
              <w:tl2br w:val="nil"/>
              <w:tr2bl w:val="nil"/>
            </w:tcBorders>
            <w:shd w:val="clear" w:color="auto" w:fill="auto"/>
            <w:vAlign w:val="center"/>
          </w:tcPr>
          <w:p w14:paraId="66F1D1B6">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6" w:type="dxa"/>
            <w:tcBorders>
              <w:tl2br w:val="nil"/>
              <w:tr2bl w:val="nil"/>
            </w:tcBorders>
            <w:shd w:val="clear" w:color="auto" w:fill="auto"/>
            <w:vAlign w:val="center"/>
          </w:tcPr>
          <w:p w14:paraId="5390AA45">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6" w:type="dxa"/>
            <w:tcBorders>
              <w:tl2br w:val="nil"/>
              <w:tr2bl w:val="nil"/>
            </w:tcBorders>
            <w:shd w:val="clear" w:color="auto" w:fill="auto"/>
            <w:vAlign w:val="center"/>
          </w:tcPr>
          <w:p w14:paraId="39AA5F9D">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6" w:type="dxa"/>
            <w:tcBorders>
              <w:tl2br w:val="nil"/>
              <w:tr2bl w:val="nil"/>
            </w:tcBorders>
            <w:shd w:val="clear" w:color="auto" w:fill="auto"/>
            <w:vAlign w:val="center"/>
          </w:tcPr>
          <w:p w14:paraId="5BDBB4E9">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6" w:type="dxa"/>
            <w:tcBorders>
              <w:tl2br w:val="nil"/>
              <w:tr2bl w:val="nil"/>
            </w:tcBorders>
            <w:shd w:val="clear" w:color="auto" w:fill="auto"/>
            <w:vAlign w:val="center"/>
          </w:tcPr>
          <w:p w14:paraId="521004F4">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6" w:type="dxa"/>
            <w:tcBorders>
              <w:tl2br w:val="nil"/>
              <w:tr2bl w:val="nil"/>
            </w:tcBorders>
            <w:shd w:val="clear" w:color="auto" w:fill="auto"/>
            <w:vAlign w:val="center"/>
          </w:tcPr>
          <w:p w14:paraId="444DD64D">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8" w:type="dxa"/>
            <w:tcBorders>
              <w:tl2br w:val="nil"/>
              <w:tr2bl w:val="nil"/>
            </w:tcBorders>
            <w:shd w:val="clear" w:color="auto" w:fill="auto"/>
            <w:vAlign w:val="center"/>
          </w:tcPr>
          <w:p w14:paraId="56FA204C">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r>
      <w:tr w14:paraId="74474E66">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977" w:type="dxa"/>
            <w:tcBorders>
              <w:tl2br w:val="nil"/>
              <w:tr2bl w:val="nil"/>
            </w:tcBorders>
            <w:shd w:val="clear" w:color="auto" w:fill="auto"/>
            <w:vAlign w:val="center"/>
          </w:tcPr>
          <w:p w14:paraId="32A11A12">
            <w:pPr>
              <w:ind w:left="-105" w:right="-105"/>
              <w:jc w:val="center"/>
              <w:textAlignment w:val="center"/>
              <w:rPr>
                <w:color w:val="auto"/>
                <w:sz w:val="21"/>
                <w:szCs w:val="21"/>
                <w:highlight w:val="none"/>
              </w:rPr>
            </w:pPr>
            <w:r>
              <w:rPr>
                <w:rFonts w:hint="eastAsia"/>
                <w:color w:val="auto"/>
                <w:sz w:val="21"/>
                <w:szCs w:val="21"/>
                <w:highlight w:val="none"/>
                <w:lang w:bidi="ar"/>
              </w:rPr>
              <w:t>硝基苯</w:t>
            </w:r>
          </w:p>
        </w:tc>
        <w:tc>
          <w:tcPr>
            <w:tcW w:w="885" w:type="dxa"/>
            <w:tcBorders>
              <w:tl2br w:val="nil"/>
              <w:tr2bl w:val="nil"/>
            </w:tcBorders>
            <w:shd w:val="clear" w:color="auto" w:fill="auto"/>
            <w:vAlign w:val="center"/>
          </w:tcPr>
          <w:p w14:paraId="654DB084">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mg/kg</w:t>
            </w:r>
          </w:p>
        </w:tc>
        <w:tc>
          <w:tcPr>
            <w:tcW w:w="900" w:type="dxa"/>
            <w:tcBorders>
              <w:tl2br w:val="nil"/>
              <w:tr2bl w:val="nil"/>
            </w:tcBorders>
            <w:shd w:val="clear" w:color="auto" w:fill="auto"/>
            <w:vAlign w:val="center"/>
          </w:tcPr>
          <w:p w14:paraId="43E5FD51">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76</w:t>
            </w:r>
          </w:p>
        </w:tc>
        <w:tc>
          <w:tcPr>
            <w:tcW w:w="1236" w:type="dxa"/>
            <w:tcBorders>
              <w:tl2br w:val="nil"/>
              <w:tr2bl w:val="nil"/>
            </w:tcBorders>
            <w:shd w:val="clear" w:color="auto" w:fill="auto"/>
            <w:vAlign w:val="center"/>
          </w:tcPr>
          <w:p w14:paraId="1DF3C43E">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6" w:type="dxa"/>
            <w:tcBorders>
              <w:tl2br w:val="nil"/>
              <w:tr2bl w:val="nil"/>
            </w:tcBorders>
            <w:shd w:val="clear" w:color="auto" w:fill="auto"/>
            <w:vAlign w:val="center"/>
          </w:tcPr>
          <w:p w14:paraId="409A926C">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6" w:type="dxa"/>
            <w:tcBorders>
              <w:tl2br w:val="nil"/>
              <w:tr2bl w:val="nil"/>
            </w:tcBorders>
            <w:shd w:val="clear" w:color="auto" w:fill="auto"/>
            <w:vAlign w:val="center"/>
          </w:tcPr>
          <w:p w14:paraId="4EEBACE8">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6" w:type="dxa"/>
            <w:tcBorders>
              <w:tl2br w:val="nil"/>
              <w:tr2bl w:val="nil"/>
            </w:tcBorders>
            <w:shd w:val="clear" w:color="auto" w:fill="auto"/>
            <w:vAlign w:val="center"/>
          </w:tcPr>
          <w:p w14:paraId="6A92D102">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6" w:type="dxa"/>
            <w:tcBorders>
              <w:tl2br w:val="nil"/>
              <w:tr2bl w:val="nil"/>
            </w:tcBorders>
            <w:shd w:val="clear" w:color="auto" w:fill="auto"/>
            <w:vAlign w:val="center"/>
          </w:tcPr>
          <w:p w14:paraId="28D05BB6">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6" w:type="dxa"/>
            <w:tcBorders>
              <w:tl2br w:val="nil"/>
              <w:tr2bl w:val="nil"/>
            </w:tcBorders>
            <w:shd w:val="clear" w:color="auto" w:fill="auto"/>
            <w:vAlign w:val="center"/>
          </w:tcPr>
          <w:p w14:paraId="3615ECD0">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6" w:type="dxa"/>
            <w:tcBorders>
              <w:tl2br w:val="nil"/>
              <w:tr2bl w:val="nil"/>
            </w:tcBorders>
            <w:shd w:val="clear" w:color="auto" w:fill="auto"/>
            <w:vAlign w:val="center"/>
          </w:tcPr>
          <w:p w14:paraId="28E9CED1">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8" w:type="dxa"/>
            <w:tcBorders>
              <w:tl2br w:val="nil"/>
              <w:tr2bl w:val="nil"/>
            </w:tcBorders>
            <w:shd w:val="clear" w:color="auto" w:fill="auto"/>
            <w:vAlign w:val="center"/>
          </w:tcPr>
          <w:p w14:paraId="1C1F606A">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r>
      <w:tr w14:paraId="2443AF98">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977" w:type="dxa"/>
            <w:tcBorders>
              <w:tl2br w:val="nil"/>
              <w:tr2bl w:val="nil"/>
            </w:tcBorders>
            <w:shd w:val="clear" w:color="auto" w:fill="auto"/>
            <w:vAlign w:val="center"/>
          </w:tcPr>
          <w:p w14:paraId="250617AA">
            <w:pPr>
              <w:ind w:left="-105" w:right="-105"/>
              <w:jc w:val="center"/>
              <w:textAlignment w:val="center"/>
              <w:rPr>
                <w:color w:val="auto"/>
                <w:sz w:val="21"/>
                <w:szCs w:val="21"/>
                <w:highlight w:val="none"/>
              </w:rPr>
            </w:pPr>
            <w:r>
              <w:rPr>
                <w:rFonts w:hint="eastAsia"/>
                <w:color w:val="auto"/>
                <w:sz w:val="21"/>
                <w:szCs w:val="21"/>
                <w:highlight w:val="none"/>
                <w:lang w:bidi="ar"/>
              </w:rPr>
              <w:t>萘</w:t>
            </w:r>
          </w:p>
        </w:tc>
        <w:tc>
          <w:tcPr>
            <w:tcW w:w="885" w:type="dxa"/>
            <w:tcBorders>
              <w:tl2br w:val="nil"/>
              <w:tr2bl w:val="nil"/>
            </w:tcBorders>
            <w:shd w:val="clear" w:color="auto" w:fill="auto"/>
            <w:vAlign w:val="center"/>
          </w:tcPr>
          <w:p w14:paraId="2FBBCB40">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mg/kg</w:t>
            </w:r>
          </w:p>
        </w:tc>
        <w:tc>
          <w:tcPr>
            <w:tcW w:w="900" w:type="dxa"/>
            <w:tcBorders>
              <w:tl2br w:val="nil"/>
              <w:tr2bl w:val="nil"/>
            </w:tcBorders>
            <w:shd w:val="clear" w:color="auto" w:fill="auto"/>
            <w:vAlign w:val="center"/>
          </w:tcPr>
          <w:p w14:paraId="02B6020E">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70</w:t>
            </w:r>
          </w:p>
        </w:tc>
        <w:tc>
          <w:tcPr>
            <w:tcW w:w="1236" w:type="dxa"/>
            <w:tcBorders>
              <w:tl2br w:val="nil"/>
              <w:tr2bl w:val="nil"/>
            </w:tcBorders>
            <w:shd w:val="clear" w:color="auto" w:fill="auto"/>
            <w:vAlign w:val="center"/>
          </w:tcPr>
          <w:p w14:paraId="0C841F1A">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6" w:type="dxa"/>
            <w:tcBorders>
              <w:tl2br w:val="nil"/>
              <w:tr2bl w:val="nil"/>
            </w:tcBorders>
            <w:shd w:val="clear" w:color="auto" w:fill="auto"/>
            <w:vAlign w:val="center"/>
          </w:tcPr>
          <w:p w14:paraId="6B52BA2A">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6" w:type="dxa"/>
            <w:tcBorders>
              <w:tl2br w:val="nil"/>
              <w:tr2bl w:val="nil"/>
            </w:tcBorders>
            <w:shd w:val="clear" w:color="auto" w:fill="auto"/>
            <w:vAlign w:val="center"/>
          </w:tcPr>
          <w:p w14:paraId="6559B00E">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6" w:type="dxa"/>
            <w:tcBorders>
              <w:tl2br w:val="nil"/>
              <w:tr2bl w:val="nil"/>
            </w:tcBorders>
            <w:shd w:val="clear" w:color="auto" w:fill="auto"/>
            <w:vAlign w:val="center"/>
          </w:tcPr>
          <w:p w14:paraId="1946F6A3">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6" w:type="dxa"/>
            <w:tcBorders>
              <w:tl2br w:val="nil"/>
              <w:tr2bl w:val="nil"/>
            </w:tcBorders>
            <w:shd w:val="clear" w:color="auto" w:fill="auto"/>
            <w:vAlign w:val="center"/>
          </w:tcPr>
          <w:p w14:paraId="68A51508">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6" w:type="dxa"/>
            <w:tcBorders>
              <w:tl2br w:val="nil"/>
              <w:tr2bl w:val="nil"/>
            </w:tcBorders>
            <w:shd w:val="clear" w:color="auto" w:fill="auto"/>
            <w:vAlign w:val="center"/>
          </w:tcPr>
          <w:p w14:paraId="632B0DDA">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6" w:type="dxa"/>
            <w:tcBorders>
              <w:tl2br w:val="nil"/>
              <w:tr2bl w:val="nil"/>
            </w:tcBorders>
            <w:shd w:val="clear" w:color="auto" w:fill="auto"/>
            <w:vAlign w:val="center"/>
          </w:tcPr>
          <w:p w14:paraId="52760859">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8" w:type="dxa"/>
            <w:tcBorders>
              <w:tl2br w:val="nil"/>
              <w:tr2bl w:val="nil"/>
            </w:tcBorders>
            <w:shd w:val="clear" w:color="auto" w:fill="auto"/>
            <w:vAlign w:val="center"/>
          </w:tcPr>
          <w:p w14:paraId="03AFDB5D">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r>
      <w:tr w14:paraId="17CF0147">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977" w:type="dxa"/>
            <w:tcBorders>
              <w:tl2br w:val="nil"/>
              <w:tr2bl w:val="nil"/>
            </w:tcBorders>
            <w:shd w:val="clear" w:color="auto" w:fill="auto"/>
            <w:vAlign w:val="center"/>
          </w:tcPr>
          <w:p w14:paraId="352906B0">
            <w:pPr>
              <w:ind w:left="-105" w:right="-105"/>
              <w:jc w:val="center"/>
              <w:textAlignment w:val="center"/>
              <w:rPr>
                <w:color w:val="auto"/>
                <w:sz w:val="21"/>
                <w:szCs w:val="21"/>
                <w:highlight w:val="none"/>
              </w:rPr>
            </w:pPr>
            <w:r>
              <w:rPr>
                <w:rFonts w:hint="eastAsia"/>
                <w:color w:val="auto"/>
                <w:sz w:val="21"/>
                <w:szCs w:val="21"/>
                <w:highlight w:val="none"/>
                <w:lang w:bidi="ar"/>
              </w:rPr>
              <w:t>苯并</w:t>
            </w:r>
            <w:r>
              <w:rPr>
                <w:rFonts w:ascii="Times New Roman" w:hAnsi="Times New Roman" w:cs="Times New Roman"/>
                <w:color w:val="auto"/>
                <w:sz w:val="21"/>
                <w:szCs w:val="21"/>
                <w:highlight w:val="none"/>
                <w:lang w:bidi="ar"/>
              </w:rPr>
              <w:t>[a]</w:t>
            </w:r>
            <w:r>
              <w:rPr>
                <w:rFonts w:hint="eastAsia"/>
                <w:color w:val="auto"/>
                <w:sz w:val="21"/>
                <w:szCs w:val="21"/>
                <w:highlight w:val="none"/>
                <w:lang w:bidi="ar"/>
              </w:rPr>
              <w:t>蒽</w:t>
            </w:r>
          </w:p>
        </w:tc>
        <w:tc>
          <w:tcPr>
            <w:tcW w:w="885" w:type="dxa"/>
            <w:tcBorders>
              <w:tl2br w:val="nil"/>
              <w:tr2bl w:val="nil"/>
            </w:tcBorders>
            <w:shd w:val="clear" w:color="auto" w:fill="auto"/>
            <w:vAlign w:val="center"/>
          </w:tcPr>
          <w:p w14:paraId="09174F77">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mg/kg</w:t>
            </w:r>
          </w:p>
        </w:tc>
        <w:tc>
          <w:tcPr>
            <w:tcW w:w="900" w:type="dxa"/>
            <w:tcBorders>
              <w:tl2br w:val="nil"/>
              <w:tr2bl w:val="nil"/>
            </w:tcBorders>
            <w:shd w:val="clear" w:color="auto" w:fill="auto"/>
            <w:vAlign w:val="center"/>
          </w:tcPr>
          <w:p w14:paraId="543F7A5F">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15</w:t>
            </w:r>
          </w:p>
        </w:tc>
        <w:tc>
          <w:tcPr>
            <w:tcW w:w="1236" w:type="dxa"/>
            <w:tcBorders>
              <w:tl2br w:val="nil"/>
              <w:tr2bl w:val="nil"/>
            </w:tcBorders>
            <w:shd w:val="clear" w:color="auto" w:fill="auto"/>
            <w:vAlign w:val="center"/>
          </w:tcPr>
          <w:p w14:paraId="4B421BB9">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6" w:type="dxa"/>
            <w:tcBorders>
              <w:tl2br w:val="nil"/>
              <w:tr2bl w:val="nil"/>
            </w:tcBorders>
            <w:shd w:val="clear" w:color="auto" w:fill="auto"/>
            <w:vAlign w:val="center"/>
          </w:tcPr>
          <w:p w14:paraId="30BF9682">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6" w:type="dxa"/>
            <w:tcBorders>
              <w:tl2br w:val="nil"/>
              <w:tr2bl w:val="nil"/>
            </w:tcBorders>
            <w:shd w:val="clear" w:color="auto" w:fill="auto"/>
            <w:vAlign w:val="center"/>
          </w:tcPr>
          <w:p w14:paraId="777E2E3F">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6" w:type="dxa"/>
            <w:tcBorders>
              <w:tl2br w:val="nil"/>
              <w:tr2bl w:val="nil"/>
            </w:tcBorders>
            <w:shd w:val="clear" w:color="auto" w:fill="auto"/>
            <w:vAlign w:val="center"/>
          </w:tcPr>
          <w:p w14:paraId="1DB03EDF">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6" w:type="dxa"/>
            <w:tcBorders>
              <w:tl2br w:val="nil"/>
              <w:tr2bl w:val="nil"/>
            </w:tcBorders>
            <w:shd w:val="clear" w:color="auto" w:fill="auto"/>
            <w:vAlign w:val="center"/>
          </w:tcPr>
          <w:p w14:paraId="7324F275">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6" w:type="dxa"/>
            <w:tcBorders>
              <w:tl2br w:val="nil"/>
              <w:tr2bl w:val="nil"/>
            </w:tcBorders>
            <w:shd w:val="clear" w:color="auto" w:fill="auto"/>
            <w:vAlign w:val="center"/>
          </w:tcPr>
          <w:p w14:paraId="3BD3FCB3">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6" w:type="dxa"/>
            <w:tcBorders>
              <w:tl2br w:val="nil"/>
              <w:tr2bl w:val="nil"/>
            </w:tcBorders>
            <w:shd w:val="clear" w:color="auto" w:fill="auto"/>
            <w:vAlign w:val="center"/>
          </w:tcPr>
          <w:p w14:paraId="6E485F36">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8" w:type="dxa"/>
            <w:tcBorders>
              <w:tl2br w:val="nil"/>
              <w:tr2bl w:val="nil"/>
            </w:tcBorders>
            <w:shd w:val="clear" w:color="auto" w:fill="auto"/>
            <w:vAlign w:val="center"/>
          </w:tcPr>
          <w:p w14:paraId="5B7AB7BA">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r>
      <w:tr w14:paraId="500CB3FF">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977" w:type="dxa"/>
            <w:tcBorders>
              <w:tl2br w:val="nil"/>
              <w:tr2bl w:val="nil"/>
            </w:tcBorders>
            <w:shd w:val="clear" w:color="auto" w:fill="auto"/>
            <w:vAlign w:val="center"/>
          </w:tcPr>
          <w:p w14:paraId="1B7BD267">
            <w:pPr>
              <w:ind w:left="-105" w:right="-105"/>
              <w:jc w:val="center"/>
              <w:textAlignment w:val="center"/>
              <w:rPr>
                <w:color w:val="auto"/>
                <w:sz w:val="21"/>
                <w:szCs w:val="21"/>
                <w:highlight w:val="none"/>
              </w:rPr>
            </w:pPr>
            <w:r>
              <w:rPr>
                <w:rFonts w:hint="eastAsia"/>
                <w:color w:val="auto"/>
                <w:sz w:val="21"/>
                <w:szCs w:val="21"/>
                <w:highlight w:val="none"/>
                <w:lang w:bidi="ar"/>
              </w:rPr>
              <w:t>䓛</w:t>
            </w:r>
          </w:p>
        </w:tc>
        <w:tc>
          <w:tcPr>
            <w:tcW w:w="885" w:type="dxa"/>
            <w:tcBorders>
              <w:tl2br w:val="nil"/>
              <w:tr2bl w:val="nil"/>
            </w:tcBorders>
            <w:shd w:val="clear" w:color="auto" w:fill="auto"/>
            <w:vAlign w:val="center"/>
          </w:tcPr>
          <w:p w14:paraId="3059AFCE">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mg/kg</w:t>
            </w:r>
          </w:p>
        </w:tc>
        <w:tc>
          <w:tcPr>
            <w:tcW w:w="900" w:type="dxa"/>
            <w:tcBorders>
              <w:tl2br w:val="nil"/>
              <w:tr2bl w:val="nil"/>
            </w:tcBorders>
            <w:shd w:val="clear" w:color="auto" w:fill="auto"/>
            <w:vAlign w:val="center"/>
          </w:tcPr>
          <w:p w14:paraId="5446DCB7">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1293</w:t>
            </w:r>
          </w:p>
        </w:tc>
        <w:tc>
          <w:tcPr>
            <w:tcW w:w="1236" w:type="dxa"/>
            <w:tcBorders>
              <w:tl2br w:val="nil"/>
              <w:tr2bl w:val="nil"/>
            </w:tcBorders>
            <w:shd w:val="clear" w:color="auto" w:fill="auto"/>
            <w:vAlign w:val="center"/>
          </w:tcPr>
          <w:p w14:paraId="65C7BF65">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6" w:type="dxa"/>
            <w:tcBorders>
              <w:tl2br w:val="nil"/>
              <w:tr2bl w:val="nil"/>
            </w:tcBorders>
            <w:shd w:val="clear" w:color="auto" w:fill="auto"/>
            <w:vAlign w:val="center"/>
          </w:tcPr>
          <w:p w14:paraId="12FC8634">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6" w:type="dxa"/>
            <w:tcBorders>
              <w:tl2br w:val="nil"/>
              <w:tr2bl w:val="nil"/>
            </w:tcBorders>
            <w:shd w:val="clear" w:color="auto" w:fill="auto"/>
            <w:vAlign w:val="center"/>
          </w:tcPr>
          <w:p w14:paraId="5CA17C9F">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6" w:type="dxa"/>
            <w:tcBorders>
              <w:tl2br w:val="nil"/>
              <w:tr2bl w:val="nil"/>
            </w:tcBorders>
            <w:shd w:val="clear" w:color="auto" w:fill="auto"/>
            <w:vAlign w:val="center"/>
          </w:tcPr>
          <w:p w14:paraId="3AB8767C">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6" w:type="dxa"/>
            <w:tcBorders>
              <w:tl2br w:val="nil"/>
              <w:tr2bl w:val="nil"/>
            </w:tcBorders>
            <w:shd w:val="clear" w:color="auto" w:fill="auto"/>
            <w:vAlign w:val="center"/>
          </w:tcPr>
          <w:p w14:paraId="33507CF6">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6" w:type="dxa"/>
            <w:tcBorders>
              <w:tl2br w:val="nil"/>
              <w:tr2bl w:val="nil"/>
            </w:tcBorders>
            <w:shd w:val="clear" w:color="auto" w:fill="auto"/>
            <w:vAlign w:val="center"/>
          </w:tcPr>
          <w:p w14:paraId="7624FE85">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6" w:type="dxa"/>
            <w:tcBorders>
              <w:tl2br w:val="nil"/>
              <w:tr2bl w:val="nil"/>
            </w:tcBorders>
            <w:shd w:val="clear" w:color="auto" w:fill="auto"/>
            <w:vAlign w:val="center"/>
          </w:tcPr>
          <w:p w14:paraId="522ABDDD">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8" w:type="dxa"/>
            <w:tcBorders>
              <w:tl2br w:val="nil"/>
              <w:tr2bl w:val="nil"/>
            </w:tcBorders>
            <w:shd w:val="clear" w:color="auto" w:fill="auto"/>
            <w:vAlign w:val="center"/>
          </w:tcPr>
          <w:p w14:paraId="5D8B925B">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r>
      <w:tr w14:paraId="6A32AF71">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977" w:type="dxa"/>
            <w:tcBorders>
              <w:tl2br w:val="nil"/>
              <w:tr2bl w:val="nil"/>
            </w:tcBorders>
            <w:shd w:val="clear" w:color="auto" w:fill="auto"/>
            <w:vAlign w:val="center"/>
          </w:tcPr>
          <w:p w14:paraId="11A9FFAB">
            <w:pPr>
              <w:ind w:left="-105" w:right="-105"/>
              <w:jc w:val="center"/>
              <w:textAlignment w:val="center"/>
              <w:rPr>
                <w:color w:val="auto"/>
                <w:sz w:val="21"/>
                <w:szCs w:val="21"/>
                <w:highlight w:val="none"/>
              </w:rPr>
            </w:pPr>
            <w:r>
              <w:rPr>
                <w:rFonts w:hint="eastAsia"/>
                <w:color w:val="auto"/>
                <w:sz w:val="21"/>
                <w:szCs w:val="21"/>
                <w:highlight w:val="none"/>
                <w:lang w:bidi="ar"/>
              </w:rPr>
              <w:t>苯并</w:t>
            </w:r>
            <w:r>
              <w:rPr>
                <w:rFonts w:ascii="Times New Roman" w:hAnsi="Times New Roman" w:cs="Times New Roman"/>
                <w:color w:val="auto"/>
                <w:sz w:val="21"/>
                <w:szCs w:val="21"/>
                <w:highlight w:val="none"/>
                <w:lang w:bidi="ar"/>
              </w:rPr>
              <w:t>[b]</w:t>
            </w:r>
            <w:r>
              <w:rPr>
                <w:rFonts w:hint="eastAsia"/>
                <w:color w:val="auto"/>
                <w:sz w:val="21"/>
                <w:szCs w:val="21"/>
                <w:highlight w:val="none"/>
                <w:lang w:bidi="ar"/>
              </w:rPr>
              <w:t>荧蒽</w:t>
            </w:r>
          </w:p>
        </w:tc>
        <w:tc>
          <w:tcPr>
            <w:tcW w:w="885" w:type="dxa"/>
            <w:tcBorders>
              <w:tl2br w:val="nil"/>
              <w:tr2bl w:val="nil"/>
            </w:tcBorders>
            <w:shd w:val="clear" w:color="auto" w:fill="auto"/>
            <w:vAlign w:val="center"/>
          </w:tcPr>
          <w:p w14:paraId="07C4A645">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mg/kg</w:t>
            </w:r>
          </w:p>
        </w:tc>
        <w:tc>
          <w:tcPr>
            <w:tcW w:w="900" w:type="dxa"/>
            <w:tcBorders>
              <w:tl2br w:val="nil"/>
              <w:tr2bl w:val="nil"/>
            </w:tcBorders>
            <w:shd w:val="clear" w:color="auto" w:fill="auto"/>
            <w:vAlign w:val="center"/>
          </w:tcPr>
          <w:p w14:paraId="582E1EC1">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15</w:t>
            </w:r>
          </w:p>
        </w:tc>
        <w:tc>
          <w:tcPr>
            <w:tcW w:w="1236" w:type="dxa"/>
            <w:tcBorders>
              <w:tl2br w:val="nil"/>
              <w:tr2bl w:val="nil"/>
            </w:tcBorders>
            <w:shd w:val="clear" w:color="auto" w:fill="auto"/>
            <w:vAlign w:val="center"/>
          </w:tcPr>
          <w:p w14:paraId="27AE911E">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6" w:type="dxa"/>
            <w:tcBorders>
              <w:tl2br w:val="nil"/>
              <w:tr2bl w:val="nil"/>
            </w:tcBorders>
            <w:shd w:val="clear" w:color="auto" w:fill="auto"/>
            <w:vAlign w:val="center"/>
          </w:tcPr>
          <w:p w14:paraId="5F1E6F05">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6" w:type="dxa"/>
            <w:tcBorders>
              <w:tl2br w:val="nil"/>
              <w:tr2bl w:val="nil"/>
            </w:tcBorders>
            <w:shd w:val="clear" w:color="auto" w:fill="auto"/>
            <w:vAlign w:val="center"/>
          </w:tcPr>
          <w:p w14:paraId="42F88D93">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6" w:type="dxa"/>
            <w:tcBorders>
              <w:tl2br w:val="nil"/>
              <w:tr2bl w:val="nil"/>
            </w:tcBorders>
            <w:shd w:val="clear" w:color="auto" w:fill="auto"/>
            <w:vAlign w:val="center"/>
          </w:tcPr>
          <w:p w14:paraId="7D96AD31">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6" w:type="dxa"/>
            <w:tcBorders>
              <w:tl2br w:val="nil"/>
              <w:tr2bl w:val="nil"/>
            </w:tcBorders>
            <w:shd w:val="clear" w:color="auto" w:fill="auto"/>
            <w:vAlign w:val="center"/>
          </w:tcPr>
          <w:p w14:paraId="1419213E">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6" w:type="dxa"/>
            <w:tcBorders>
              <w:tl2br w:val="nil"/>
              <w:tr2bl w:val="nil"/>
            </w:tcBorders>
            <w:shd w:val="clear" w:color="auto" w:fill="auto"/>
            <w:vAlign w:val="center"/>
          </w:tcPr>
          <w:p w14:paraId="6754FC77">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6" w:type="dxa"/>
            <w:tcBorders>
              <w:tl2br w:val="nil"/>
              <w:tr2bl w:val="nil"/>
            </w:tcBorders>
            <w:shd w:val="clear" w:color="auto" w:fill="auto"/>
            <w:vAlign w:val="center"/>
          </w:tcPr>
          <w:p w14:paraId="676B3719">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8" w:type="dxa"/>
            <w:tcBorders>
              <w:tl2br w:val="nil"/>
              <w:tr2bl w:val="nil"/>
            </w:tcBorders>
            <w:shd w:val="clear" w:color="auto" w:fill="auto"/>
            <w:vAlign w:val="center"/>
          </w:tcPr>
          <w:p w14:paraId="53D2659D">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r>
      <w:tr w14:paraId="21941738">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977" w:type="dxa"/>
            <w:tcBorders>
              <w:tl2br w:val="nil"/>
              <w:tr2bl w:val="nil"/>
            </w:tcBorders>
            <w:shd w:val="clear" w:color="auto" w:fill="auto"/>
            <w:vAlign w:val="center"/>
          </w:tcPr>
          <w:p w14:paraId="5F4B5563">
            <w:pPr>
              <w:ind w:left="-105" w:right="-105"/>
              <w:jc w:val="center"/>
              <w:textAlignment w:val="center"/>
              <w:rPr>
                <w:color w:val="auto"/>
                <w:sz w:val="21"/>
                <w:szCs w:val="21"/>
                <w:highlight w:val="none"/>
              </w:rPr>
            </w:pPr>
            <w:r>
              <w:rPr>
                <w:rFonts w:hint="eastAsia"/>
                <w:color w:val="auto"/>
                <w:sz w:val="21"/>
                <w:szCs w:val="21"/>
                <w:highlight w:val="none"/>
                <w:lang w:bidi="ar"/>
              </w:rPr>
              <w:t>苯并</w:t>
            </w:r>
            <w:r>
              <w:rPr>
                <w:rFonts w:ascii="Times New Roman" w:hAnsi="Times New Roman" w:cs="Times New Roman"/>
                <w:color w:val="auto"/>
                <w:sz w:val="21"/>
                <w:szCs w:val="21"/>
                <w:highlight w:val="none"/>
                <w:lang w:bidi="ar"/>
              </w:rPr>
              <w:t>[k]</w:t>
            </w:r>
            <w:r>
              <w:rPr>
                <w:rFonts w:hint="eastAsia"/>
                <w:color w:val="auto"/>
                <w:sz w:val="21"/>
                <w:szCs w:val="21"/>
                <w:highlight w:val="none"/>
                <w:lang w:bidi="ar"/>
              </w:rPr>
              <w:t>荧蒽</w:t>
            </w:r>
          </w:p>
        </w:tc>
        <w:tc>
          <w:tcPr>
            <w:tcW w:w="885" w:type="dxa"/>
            <w:tcBorders>
              <w:tl2br w:val="nil"/>
              <w:tr2bl w:val="nil"/>
            </w:tcBorders>
            <w:shd w:val="clear" w:color="auto" w:fill="auto"/>
            <w:vAlign w:val="center"/>
          </w:tcPr>
          <w:p w14:paraId="0F6AD92E">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mg/kg</w:t>
            </w:r>
          </w:p>
        </w:tc>
        <w:tc>
          <w:tcPr>
            <w:tcW w:w="900" w:type="dxa"/>
            <w:tcBorders>
              <w:tl2br w:val="nil"/>
              <w:tr2bl w:val="nil"/>
            </w:tcBorders>
            <w:shd w:val="clear" w:color="auto" w:fill="auto"/>
            <w:vAlign w:val="center"/>
          </w:tcPr>
          <w:p w14:paraId="78060C8A">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151</w:t>
            </w:r>
          </w:p>
        </w:tc>
        <w:tc>
          <w:tcPr>
            <w:tcW w:w="1236" w:type="dxa"/>
            <w:tcBorders>
              <w:tl2br w:val="nil"/>
              <w:tr2bl w:val="nil"/>
            </w:tcBorders>
            <w:shd w:val="clear" w:color="auto" w:fill="auto"/>
            <w:vAlign w:val="center"/>
          </w:tcPr>
          <w:p w14:paraId="222F3A13">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6" w:type="dxa"/>
            <w:tcBorders>
              <w:tl2br w:val="nil"/>
              <w:tr2bl w:val="nil"/>
            </w:tcBorders>
            <w:shd w:val="clear" w:color="auto" w:fill="auto"/>
            <w:vAlign w:val="center"/>
          </w:tcPr>
          <w:p w14:paraId="18B68720">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6" w:type="dxa"/>
            <w:tcBorders>
              <w:tl2br w:val="nil"/>
              <w:tr2bl w:val="nil"/>
            </w:tcBorders>
            <w:shd w:val="clear" w:color="auto" w:fill="auto"/>
            <w:vAlign w:val="center"/>
          </w:tcPr>
          <w:p w14:paraId="42BD35DE">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6" w:type="dxa"/>
            <w:tcBorders>
              <w:tl2br w:val="nil"/>
              <w:tr2bl w:val="nil"/>
            </w:tcBorders>
            <w:shd w:val="clear" w:color="auto" w:fill="auto"/>
            <w:vAlign w:val="center"/>
          </w:tcPr>
          <w:p w14:paraId="67A4EE10">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6" w:type="dxa"/>
            <w:tcBorders>
              <w:tl2br w:val="nil"/>
              <w:tr2bl w:val="nil"/>
            </w:tcBorders>
            <w:shd w:val="clear" w:color="auto" w:fill="auto"/>
            <w:vAlign w:val="center"/>
          </w:tcPr>
          <w:p w14:paraId="418524C9">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6" w:type="dxa"/>
            <w:tcBorders>
              <w:tl2br w:val="nil"/>
              <w:tr2bl w:val="nil"/>
            </w:tcBorders>
            <w:shd w:val="clear" w:color="auto" w:fill="auto"/>
            <w:vAlign w:val="center"/>
          </w:tcPr>
          <w:p w14:paraId="157D7C06">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6" w:type="dxa"/>
            <w:tcBorders>
              <w:tl2br w:val="nil"/>
              <w:tr2bl w:val="nil"/>
            </w:tcBorders>
            <w:shd w:val="clear" w:color="auto" w:fill="auto"/>
            <w:vAlign w:val="center"/>
          </w:tcPr>
          <w:p w14:paraId="04660E1C">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8" w:type="dxa"/>
            <w:tcBorders>
              <w:tl2br w:val="nil"/>
              <w:tr2bl w:val="nil"/>
            </w:tcBorders>
            <w:shd w:val="clear" w:color="auto" w:fill="auto"/>
            <w:vAlign w:val="center"/>
          </w:tcPr>
          <w:p w14:paraId="69EA8B74">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r>
      <w:tr w14:paraId="0F0DB261">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977" w:type="dxa"/>
            <w:tcBorders>
              <w:tl2br w:val="nil"/>
              <w:tr2bl w:val="nil"/>
            </w:tcBorders>
            <w:shd w:val="clear" w:color="auto" w:fill="auto"/>
            <w:vAlign w:val="center"/>
          </w:tcPr>
          <w:p w14:paraId="6863F312">
            <w:pPr>
              <w:ind w:left="-105" w:right="-105"/>
              <w:jc w:val="center"/>
              <w:textAlignment w:val="center"/>
              <w:rPr>
                <w:color w:val="auto"/>
                <w:sz w:val="21"/>
                <w:szCs w:val="21"/>
                <w:highlight w:val="none"/>
              </w:rPr>
            </w:pPr>
            <w:r>
              <w:rPr>
                <w:rFonts w:hint="eastAsia"/>
                <w:color w:val="auto"/>
                <w:sz w:val="21"/>
                <w:szCs w:val="21"/>
                <w:highlight w:val="none"/>
                <w:lang w:bidi="ar"/>
              </w:rPr>
              <w:t>苯并</w:t>
            </w:r>
            <w:r>
              <w:rPr>
                <w:rFonts w:ascii="Times New Roman" w:hAnsi="Times New Roman" w:cs="Times New Roman"/>
                <w:color w:val="auto"/>
                <w:sz w:val="21"/>
                <w:szCs w:val="21"/>
                <w:highlight w:val="none"/>
                <w:lang w:bidi="ar"/>
              </w:rPr>
              <w:t>[a]</w:t>
            </w:r>
            <w:r>
              <w:rPr>
                <w:rFonts w:hint="eastAsia"/>
                <w:color w:val="auto"/>
                <w:sz w:val="21"/>
                <w:szCs w:val="21"/>
                <w:highlight w:val="none"/>
                <w:lang w:bidi="ar"/>
              </w:rPr>
              <w:t>芘</w:t>
            </w:r>
          </w:p>
        </w:tc>
        <w:tc>
          <w:tcPr>
            <w:tcW w:w="885" w:type="dxa"/>
            <w:tcBorders>
              <w:tl2br w:val="nil"/>
              <w:tr2bl w:val="nil"/>
            </w:tcBorders>
            <w:shd w:val="clear" w:color="auto" w:fill="auto"/>
            <w:vAlign w:val="center"/>
          </w:tcPr>
          <w:p w14:paraId="2D1D8105">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mg/kg</w:t>
            </w:r>
          </w:p>
        </w:tc>
        <w:tc>
          <w:tcPr>
            <w:tcW w:w="900" w:type="dxa"/>
            <w:tcBorders>
              <w:tl2br w:val="nil"/>
              <w:tr2bl w:val="nil"/>
            </w:tcBorders>
            <w:shd w:val="clear" w:color="auto" w:fill="auto"/>
            <w:vAlign w:val="center"/>
          </w:tcPr>
          <w:p w14:paraId="3EF67163">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1.5</w:t>
            </w:r>
          </w:p>
        </w:tc>
        <w:tc>
          <w:tcPr>
            <w:tcW w:w="1236" w:type="dxa"/>
            <w:tcBorders>
              <w:tl2br w:val="nil"/>
              <w:tr2bl w:val="nil"/>
            </w:tcBorders>
            <w:shd w:val="clear" w:color="auto" w:fill="auto"/>
            <w:vAlign w:val="center"/>
          </w:tcPr>
          <w:p w14:paraId="2D93A480">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6" w:type="dxa"/>
            <w:tcBorders>
              <w:tl2br w:val="nil"/>
              <w:tr2bl w:val="nil"/>
            </w:tcBorders>
            <w:shd w:val="clear" w:color="auto" w:fill="auto"/>
            <w:vAlign w:val="center"/>
          </w:tcPr>
          <w:p w14:paraId="1A1177DF">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6" w:type="dxa"/>
            <w:tcBorders>
              <w:tl2br w:val="nil"/>
              <w:tr2bl w:val="nil"/>
            </w:tcBorders>
            <w:shd w:val="clear" w:color="auto" w:fill="auto"/>
            <w:vAlign w:val="center"/>
          </w:tcPr>
          <w:p w14:paraId="3064E5D4">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6" w:type="dxa"/>
            <w:tcBorders>
              <w:tl2br w:val="nil"/>
              <w:tr2bl w:val="nil"/>
            </w:tcBorders>
            <w:shd w:val="clear" w:color="auto" w:fill="auto"/>
            <w:vAlign w:val="center"/>
          </w:tcPr>
          <w:p w14:paraId="3DC28AED">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6" w:type="dxa"/>
            <w:tcBorders>
              <w:tl2br w:val="nil"/>
              <w:tr2bl w:val="nil"/>
            </w:tcBorders>
            <w:shd w:val="clear" w:color="auto" w:fill="auto"/>
            <w:vAlign w:val="center"/>
          </w:tcPr>
          <w:p w14:paraId="069236EB">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6" w:type="dxa"/>
            <w:tcBorders>
              <w:tl2br w:val="nil"/>
              <w:tr2bl w:val="nil"/>
            </w:tcBorders>
            <w:shd w:val="clear" w:color="auto" w:fill="auto"/>
            <w:vAlign w:val="center"/>
          </w:tcPr>
          <w:p w14:paraId="02010D66">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6" w:type="dxa"/>
            <w:tcBorders>
              <w:tl2br w:val="nil"/>
              <w:tr2bl w:val="nil"/>
            </w:tcBorders>
            <w:shd w:val="clear" w:color="auto" w:fill="auto"/>
            <w:vAlign w:val="center"/>
          </w:tcPr>
          <w:p w14:paraId="2A85ED11">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8" w:type="dxa"/>
            <w:tcBorders>
              <w:tl2br w:val="nil"/>
              <w:tr2bl w:val="nil"/>
            </w:tcBorders>
            <w:shd w:val="clear" w:color="auto" w:fill="auto"/>
            <w:vAlign w:val="center"/>
          </w:tcPr>
          <w:p w14:paraId="2A1ABD1E">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r>
      <w:tr w14:paraId="7DA22D07">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977" w:type="dxa"/>
            <w:tcBorders>
              <w:tl2br w:val="nil"/>
              <w:tr2bl w:val="nil"/>
            </w:tcBorders>
            <w:shd w:val="clear" w:color="auto" w:fill="auto"/>
            <w:vAlign w:val="center"/>
          </w:tcPr>
          <w:p w14:paraId="2B0A1A82">
            <w:pPr>
              <w:ind w:left="-105" w:right="-105"/>
              <w:jc w:val="center"/>
              <w:textAlignment w:val="center"/>
              <w:rPr>
                <w:color w:val="auto"/>
                <w:sz w:val="21"/>
                <w:szCs w:val="21"/>
                <w:highlight w:val="none"/>
              </w:rPr>
            </w:pPr>
            <w:r>
              <w:rPr>
                <w:rFonts w:hint="eastAsia"/>
                <w:color w:val="auto"/>
                <w:sz w:val="21"/>
                <w:szCs w:val="21"/>
                <w:highlight w:val="none"/>
                <w:lang w:bidi="ar"/>
              </w:rPr>
              <w:t>茚并</w:t>
            </w:r>
            <w:r>
              <w:rPr>
                <w:rFonts w:ascii="Times New Roman" w:hAnsi="Times New Roman" w:cs="Times New Roman"/>
                <w:color w:val="auto"/>
                <w:sz w:val="21"/>
                <w:szCs w:val="21"/>
                <w:highlight w:val="none"/>
                <w:lang w:bidi="ar"/>
              </w:rPr>
              <w:t>[1,2,3-cd]</w:t>
            </w:r>
            <w:r>
              <w:rPr>
                <w:rFonts w:hint="eastAsia"/>
                <w:color w:val="auto"/>
                <w:sz w:val="21"/>
                <w:szCs w:val="21"/>
                <w:highlight w:val="none"/>
                <w:lang w:bidi="ar"/>
              </w:rPr>
              <w:t>芘</w:t>
            </w:r>
          </w:p>
        </w:tc>
        <w:tc>
          <w:tcPr>
            <w:tcW w:w="885" w:type="dxa"/>
            <w:tcBorders>
              <w:tl2br w:val="nil"/>
              <w:tr2bl w:val="nil"/>
            </w:tcBorders>
            <w:shd w:val="clear" w:color="auto" w:fill="auto"/>
            <w:vAlign w:val="center"/>
          </w:tcPr>
          <w:p w14:paraId="7E215F4D">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mg/kg</w:t>
            </w:r>
          </w:p>
        </w:tc>
        <w:tc>
          <w:tcPr>
            <w:tcW w:w="900" w:type="dxa"/>
            <w:tcBorders>
              <w:tl2br w:val="nil"/>
              <w:tr2bl w:val="nil"/>
            </w:tcBorders>
            <w:shd w:val="clear" w:color="auto" w:fill="auto"/>
            <w:vAlign w:val="center"/>
          </w:tcPr>
          <w:p w14:paraId="7D29CA7F">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15</w:t>
            </w:r>
          </w:p>
        </w:tc>
        <w:tc>
          <w:tcPr>
            <w:tcW w:w="1236" w:type="dxa"/>
            <w:tcBorders>
              <w:tl2br w:val="nil"/>
              <w:tr2bl w:val="nil"/>
            </w:tcBorders>
            <w:shd w:val="clear" w:color="auto" w:fill="auto"/>
            <w:vAlign w:val="center"/>
          </w:tcPr>
          <w:p w14:paraId="342CB403">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6" w:type="dxa"/>
            <w:tcBorders>
              <w:tl2br w:val="nil"/>
              <w:tr2bl w:val="nil"/>
            </w:tcBorders>
            <w:shd w:val="clear" w:color="auto" w:fill="auto"/>
            <w:vAlign w:val="center"/>
          </w:tcPr>
          <w:p w14:paraId="2DE47980">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6" w:type="dxa"/>
            <w:tcBorders>
              <w:tl2br w:val="nil"/>
              <w:tr2bl w:val="nil"/>
            </w:tcBorders>
            <w:shd w:val="clear" w:color="auto" w:fill="auto"/>
            <w:vAlign w:val="center"/>
          </w:tcPr>
          <w:p w14:paraId="368E62D2">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6" w:type="dxa"/>
            <w:tcBorders>
              <w:tl2br w:val="nil"/>
              <w:tr2bl w:val="nil"/>
            </w:tcBorders>
            <w:shd w:val="clear" w:color="auto" w:fill="auto"/>
            <w:vAlign w:val="center"/>
          </w:tcPr>
          <w:p w14:paraId="70A72247">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6" w:type="dxa"/>
            <w:tcBorders>
              <w:tl2br w:val="nil"/>
              <w:tr2bl w:val="nil"/>
            </w:tcBorders>
            <w:shd w:val="clear" w:color="auto" w:fill="auto"/>
            <w:vAlign w:val="center"/>
          </w:tcPr>
          <w:p w14:paraId="5634F34A">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6" w:type="dxa"/>
            <w:tcBorders>
              <w:tl2br w:val="nil"/>
              <w:tr2bl w:val="nil"/>
            </w:tcBorders>
            <w:shd w:val="clear" w:color="auto" w:fill="auto"/>
            <w:vAlign w:val="center"/>
          </w:tcPr>
          <w:p w14:paraId="38A2FD24">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6" w:type="dxa"/>
            <w:tcBorders>
              <w:tl2br w:val="nil"/>
              <w:tr2bl w:val="nil"/>
            </w:tcBorders>
            <w:shd w:val="clear" w:color="auto" w:fill="auto"/>
            <w:vAlign w:val="center"/>
          </w:tcPr>
          <w:p w14:paraId="71CB520E">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8" w:type="dxa"/>
            <w:tcBorders>
              <w:tl2br w:val="nil"/>
              <w:tr2bl w:val="nil"/>
            </w:tcBorders>
            <w:shd w:val="clear" w:color="auto" w:fill="auto"/>
            <w:vAlign w:val="center"/>
          </w:tcPr>
          <w:p w14:paraId="6CB8ADAE">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r>
      <w:tr w14:paraId="3AADBAE2">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977" w:type="dxa"/>
            <w:tcBorders>
              <w:tl2br w:val="nil"/>
              <w:tr2bl w:val="nil"/>
            </w:tcBorders>
            <w:shd w:val="clear" w:color="auto" w:fill="auto"/>
            <w:vAlign w:val="center"/>
          </w:tcPr>
          <w:p w14:paraId="4550C5ED">
            <w:pPr>
              <w:ind w:left="-105" w:right="-105"/>
              <w:jc w:val="center"/>
              <w:textAlignment w:val="center"/>
              <w:rPr>
                <w:color w:val="auto"/>
                <w:sz w:val="21"/>
                <w:szCs w:val="21"/>
                <w:highlight w:val="none"/>
              </w:rPr>
            </w:pPr>
            <w:r>
              <w:rPr>
                <w:rFonts w:hint="eastAsia"/>
                <w:color w:val="auto"/>
                <w:sz w:val="21"/>
                <w:szCs w:val="21"/>
                <w:highlight w:val="none"/>
                <w:lang w:bidi="ar"/>
              </w:rPr>
              <w:t>二苯并</w:t>
            </w:r>
            <w:r>
              <w:rPr>
                <w:rFonts w:ascii="Times New Roman" w:hAnsi="Times New Roman" w:cs="Times New Roman"/>
                <w:color w:val="auto"/>
                <w:sz w:val="21"/>
                <w:szCs w:val="21"/>
                <w:highlight w:val="none"/>
                <w:lang w:bidi="ar"/>
              </w:rPr>
              <w:t>[a,h]</w:t>
            </w:r>
            <w:r>
              <w:rPr>
                <w:rFonts w:hint="eastAsia"/>
                <w:color w:val="auto"/>
                <w:sz w:val="21"/>
                <w:szCs w:val="21"/>
                <w:highlight w:val="none"/>
                <w:lang w:bidi="ar"/>
              </w:rPr>
              <w:t>蒽</w:t>
            </w:r>
          </w:p>
        </w:tc>
        <w:tc>
          <w:tcPr>
            <w:tcW w:w="885" w:type="dxa"/>
            <w:tcBorders>
              <w:tl2br w:val="nil"/>
              <w:tr2bl w:val="nil"/>
            </w:tcBorders>
            <w:shd w:val="clear" w:color="auto" w:fill="auto"/>
            <w:vAlign w:val="center"/>
          </w:tcPr>
          <w:p w14:paraId="3CFFDC57">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mg/kg</w:t>
            </w:r>
          </w:p>
        </w:tc>
        <w:tc>
          <w:tcPr>
            <w:tcW w:w="900" w:type="dxa"/>
            <w:tcBorders>
              <w:tl2br w:val="nil"/>
              <w:tr2bl w:val="nil"/>
            </w:tcBorders>
            <w:shd w:val="clear" w:color="auto" w:fill="auto"/>
            <w:vAlign w:val="center"/>
          </w:tcPr>
          <w:p w14:paraId="135B5B54">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1.5</w:t>
            </w:r>
          </w:p>
        </w:tc>
        <w:tc>
          <w:tcPr>
            <w:tcW w:w="1236" w:type="dxa"/>
            <w:tcBorders>
              <w:tl2br w:val="nil"/>
              <w:tr2bl w:val="nil"/>
            </w:tcBorders>
            <w:shd w:val="clear" w:color="auto" w:fill="auto"/>
            <w:vAlign w:val="center"/>
          </w:tcPr>
          <w:p w14:paraId="1737D5E3">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6" w:type="dxa"/>
            <w:tcBorders>
              <w:tl2br w:val="nil"/>
              <w:tr2bl w:val="nil"/>
            </w:tcBorders>
            <w:shd w:val="clear" w:color="auto" w:fill="auto"/>
            <w:vAlign w:val="center"/>
          </w:tcPr>
          <w:p w14:paraId="6FD68090">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6" w:type="dxa"/>
            <w:tcBorders>
              <w:tl2br w:val="nil"/>
              <w:tr2bl w:val="nil"/>
            </w:tcBorders>
            <w:shd w:val="clear" w:color="auto" w:fill="auto"/>
            <w:vAlign w:val="center"/>
          </w:tcPr>
          <w:p w14:paraId="6889F49E">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6" w:type="dxa"/>
            <w:tcBorders>
              <w:tl2br w:val="nil"/>
              <w:tr2bl w:val="nil"/>
            </w:tcBorders>
            <w:shd w:val="clear" w:color="auto" w:fill="auto"/>
            <w:vAlign w:val="center"/>
          </w:tcPr>
          <w:p w14:paraId="3BCA2728">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6" w:type="dxa"/>
            <w:tcBorders>
              <w:tl2br w:val="nil"/>
              <w:tr2bl w:val="nil"/>
            </w:tcBorders>
            <w:shd w:val="clear" w:color="auto" w:fill="auto"/>
            <w:vAlign w:val="center"/>
          </w:tcPr>
          <w:p w14:paraId="3B97EE29">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6" w:type="dxa"/>
            <w:tcBorders>
              <w:tl2br w:val="nil"/>
              <w:tr2bl w:val="nil"/>
            </w:tcBorders>
            <w:shd w:val="clear" w:color="auto" w:fill="auto"/>
            <w:vAlign w:val="center"/>
          </w:tcPr>
          <w:p w14:paraId="7A298945">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6" w:type="dxa"/>
            <w:tcBorders>
              <w:tl2br w:val="nil"/>
              <w:tr2bl w:val="nil"/>
            </w:tcBorders>
            <w:shd w:val="clear" w:color="auto" w:fill="auto"/>
            <w:vAlign w:val="center"/>
          </w:tcPr>
          <w:p w14:paraId="30E65123">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8" w:type="dxa"/>
            <w:tcBorders>
              <w:tl2br w:val="nil"/>
              <w:tr2bl w:val="nil"/>
            </w:tcBorders>
            <w:shd w:val="clear" w:color="auto" w:fill="auto"/>
            <w:vAlign w:val="center"/>
          </w:tcPr>
          <w:p w14:paraId="049A79FB">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r>
    </w:tbl>
    <w:p w14:paraId="0F7466D9">
      <w:pPr>
        <w:pStyle w:val="15"/>
        <w:spacing w:line="360" w:lineRule="auto"/>
        <w:ind w:left="-105" w:right="-105" w:firstLine="482"/>
        <w:rPr>
          <w:rFonts w:eastAsia="宋体" w:cs="Times New Roman"/>
          <w:b w:val="0"/>
          <w:bCs/>
          <w:color w:val="auto"/>
          <w:sz w:val="24"/>
          <w:szCs w:val="18"/>
          <w:highlight w:val="none"/>
        </w:rPr>
      </w:pPr>
      <w:r>
        <w:rPr>
          <w:rFonts w:eastAsia="宋体" w:cs="Times New Roman"/>
          <w:color w:val="auto"/>
          <w:sz w:val="24"/>
          <w:szCs w:val="18"/>
          <w:highlight w:val="none"/>
        </w:rPr>
        <w:t>表</w:t>
      </w:r>
      <w:r>
        <w:rPr>
          <w:rFonts w:eastAsia="宋体" w:cs="Times New Roman"/>
          <w:color w:val="auto"/>
          <w:sz w:val="24"/>
          <w:szCs w:val="18"/>
          <w:highlight w:val="none"/>
        </w:rPr>
        <w:fldChar w:fldCharType="begin"/>
      </w:r>
      <w:r>
        <w:rPr>
          <w:rFonts w:eastAsia="宋体" w:cs="Times New Roman"/>
          <w:color w:val="auto"/>
          <w:sz w:val="24"/>
          <w:szCs w:val="18"/>
          <w:highlight w:val="none"/>
        </w:rPr>
        <w:instrText xml:space="preserve"> STYLEREF 2 \s </w:instrText>
      </w:r>
      <w:r>
        <w:rPr>
          <w:rFonts w:eastAsia="宋体" w:cs="Times New Roman"/>
          <w:color w:val="auto"/>
          <w:sz w:val="24"/>
          <w:szCs w:val="18"/>
          <w:highlight w:val="none"/>
        </w:rPr>
        <w:fldChar w:fldCharType="separate"/>
      </w:r>
      <w:r>
        <w:rPr>
          <w:rFonts w:eastAsia="宋体" w:cs="Times New Roman"/>
          <w:color w:val="auto"/>
          <w:sz w:val="24"/>
          <w:szCs w:val="18"/>
          <w:highlight w:val="none"/>
        </w:rPr>
        <w:t>5.3</w:t>
      </w:r>
      <w:r>
        <w:rPr>
          <w:rFonts w:eastAsia="宋体" w:cs="Times New Roman"/>
          <w:color w:val="auto"/>
          <w:sz w:val="24"/>
          <w:szCs w:val="18"/>
          <w:highlight w:val="none"/>
        </w:rPr>
        <w:fldChar w:fldCharType="end"/>
      </w:r>
      <w:r>
        <w:rPr>
          <w:rFonts w:eastAsia="宋体" w:cs="Times New Roman"/>
          <w:color w:val="auto"/>
          <w:sz w:val="24"/>
          <w:szCs w:val="18"/>
          <w:highlight w:val="none"/>
        </w:rPr>
        <w:noBreakHyphen/>
      </w:r>
      <w:r>
        <w:rPr>
          <w:rFonts w:eastAsia="宋体" w:cs="Times New Roman"/>
          <w:color w:val="auto"/>
          <w:sz w:val="24"/>
          <w:szCs w:val="18"/>
          <w:highlight w:val="none"/>
        </w:rPr>
        <w:fldChar w:fldCharType="begin"/>
      </w:r>
      <w:r>
        <w:rPr>
          <w:rFonts w:eastAsia="宋体" w:cs="Times New Roman"/>
          <w:color w:val="auto"/>
          <w:sz w:val="24"/>
          <w:szCs w:val="18"/>
          <w:highlight w:val="none"/>
        </w:rPr>
        <w:instrText xml:space="preserve"> SEQ 表 \* ARABIC \s 2 </w:instrText>
      </w:r>
      <w:r>
        <w:rPr>
          <w:rFonts w:eastAsia="宋体" w:cs="Times New Roman"/>
          <w:color w:val="auto"/>
          <w:sz w:val="24"/>
          <w:szCs w:val="18"/>
          <w:highlight w:val="none"/>
        </w:rPr>
        <w:fldChar w:fldCharType="separate"/>
      </w:r>
      <w:r>
        <w:rPr>
          <w:rFonts w:eastAsia="宋体" w:cs="Times New Roman"/>
          <w:color w:val="auto"/>
          <w:sz w:val="24"/>
          <w:szCs w:val="18"/>
          <w:highlight w:val="none"/>
        </w:rPr>
        <w:t>13</w:t>
      </w:r>
      <w:r>
        <w:rPr>
          <w:rFonts w:eastAsia="宋体" w:cs="Times New Roman"/>
          <w:color w:val="auto"/>
          <w:sz w:val="24"/>
          <w:szCs w:val="18"/>
          <w:highlight w:val="none"/>
        </w:rPr>
        <w:fldChar w:fldCharType="end"/>
      </w:r>
      <w:r>
        <w:rPr>
          <w:rFonts w:eastAsia="宋体" w:cs="Times New Roman"/>
          <w:color w:val="auto"/>
          <w:sz w:val="24"/>
          <w:szCs w:val="18"/>
          <w:highlight w:val="none"/>
        </w:rPr>
        <w:t>土壤监测点T</w:t>
      </w:r>
      <w:r>
        <w:rPr>
          <w:rFonts w:hint="eastAsia" w:eastAsia="宋体" w:cs="Times New Roman"/>
          <w:color w:val="auto"/>
          <w:sz w:val="24"/>
          <w:szCs w:val="18"/>
          <w:highlight w:val="none"/>
        </w:rPr>
        <w:t>1-</w:t>
      </w:r>
      <w:r>
        <w:rPr>
          <w:rFonts w:eastAsia="宋体" w:cs="Times New Roman"/>
          <w:color w:val="auto"/>
          <w:sz w:val="24"/>
          <w:szCs w:val="18"/>
          <w:highlight w:val="none"/>
        </w:rPr>
        <w:t>2污染风险筛选结果</w:t>
      </w:r>
    </w:p>
    <w:tbl>
      <w:tblPr>
        <w:tblStyle w:val="45"/>
        <w:tblW w:w="5000" w:type="pct"/>
        <w:tblInd w:w="91" w:type="dxa"/>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autofit"/>
        <w:tblCellMar>
          <w:top w:w="0" w:type="dxa"/>
          <w:left w:w="108" w:type="dxa"/>
          <w:bottom w:w="0" w:type="dxa"/>
          <w:right w:w="108" w:type="dxa"/>
        </w:tblCellMar>
      </w:tblPr>
      <w:tblGrid>
        <w:gridCol w:w="1992"/>
        <w:gridCol w:w="870"/>
        <w:gridCol w:w="900"/>
        <w:gridCol w:w="1236"/>
        <w:gridCol w:w="1236"/>
        <w:gridCol w:w="1236"/>
        <w:gridCol w:w="1236"/>
        <w:gridCol w:w="1236"/>
        <w:gridCol w:w="1236"/>
        <w:gridCol w:w="1236"/>
        <w:gridCol w:w="1238"/>
      </w:tblGrid>
      <w:tr w14:paraId="39758896">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992" w:type="dxa"/>
            <w:vMerge w:val="restart"/>
            <w:tcBorders>
              <w:tl2br w:val="nil"/>
              <w:tr2bl w:val="nil"/>
            </w:tcBorders>
            <w:shd w:val="clear" w:color="auto" w:fill="auto"/>
            <w:vAlign w:val="center"/>
          </w:tcPr>
          <w:p w14:paraId="674964B3">
            <w:pPr>
              <w:ind w:left="-105" w:right="-105"/>
              <w:jc w:val="center"/>
              <w:textAlignment w:val="center"/>
              <w:rPr>
                <w:b/>
                <w:bCs/>
                <w:color w:val="auto"/>
                <w:sz w:val="21"/>
                <w:szCs w:val="21"/>
                <w:highlight w:val="none"/>
              </w:rPr>
            </w:pPr>
            <w:r>
              <w:rPr>
                <w:rFonts w:hint="eastAsia"/>
                <w:b/>
                <w:bCs/>
                <w:color w:val="auto"/>
                <w:sz w:val="21"/>
                <w:szCs w:val="21"/>
                <w:highlight w:val="none"/>
                <w:lang w:bidi="ar"/>
              </w:rPr>
              <w:t>检测项目</w:t>
            </w:r>
          </w:p>
        </w:tc>
        <w:tc>
          <w:tcPr>
            <w:tcW w:w="870" w:type="dxa"/>
            <w:vMerge w:val="restart"/>
            <w:tcBorders>
              <w:tl2br w:val="nil"/>
              <w:tr2bl w:val="nil"/>
            </w:tcBorders>
            <w:shd w:val="clear" w:color="auto" w:fill="auto"/>
            <w:vAlign w:val="center"/>
          </w:tcPr>
          <w:p w14:paraId="428FBE32">
            <w:pPr>
              <w:ind w:left="-105" w:right="-105"/>
              <w:jc w:val="center"/>
              <w:textAlignment w:val="center"/>
              <w:rPr>
                <w:b/>
                <w:bCs/>
                <w:color w:val="auto"/>
                <w:sz w:val="21"/>
                <w:szCs w:val="21"/>
                <w:highlight w:val="none"/>
              </w:rPr>
            </w:pPr>
            <w:r>
              <w:rPr>
                <w:rFonts w:hint="eastAsia"/>
                <w:b/>
                <w:bCs/>
                <w:color w:val="auto"/>
                <w:sz w:val="21"/>
                <w:szCs w:val="21"/>
                <w:highlight w:val="none"/>
                <w:lang w:bidi="ar"/>
              </w:rPr>
              <w:t>单位</w:t>
            </w:r>
          </w:p>
        </w:tc>
        <w:tc>
          <w:tcPr>
            <w:tcW w:w="900" w:type="dxa"/>
            <w:vMerge w:val="restart"/>
            <w:tcBorders>
              <w:tl2br w:val="nil"/>
              <w:tr2bl w:val="nil"/>
            </w:tcBorders>
            <w:shd w:val="clear" w:color="auto" w:fill="auto"/>
            <w:vAlign w:val="center"/>
          </w:tcPr>
          <w:p w14:paraId="4B7051DF">
            <w:pPr>
              <w:ind w:left="-105" w:right="-105"/>
              <w:jc w:val="center"/>
              <w:textAlignment w:val="center"/>
              <w:rPr>
                <w:b/>
                <w:bCs/>
                <w:color w:val="auto"/>
                <w:sz w:val="21"/>
                <w:szCs w:val="21"/>
                <w:highlight w:val="none"/>
              </w:rPr>
            </w:pPr>
            <w:r>
              <w:rPr>
                <w:rFonts w:hint="eastAsia"/>
                <w:b/>
                <w:bCs/>
                <w:color w:val="auto"/>
                <w:sz w:val="21"/>
                <w:szCs w:val="21"/>
                <w:highlight w:val="none"/>
                <w:lang w:bidi="ar"/>
              </w:rPr>
              <w:t>筛选值</w:t>
            </w:r>
          </w:p>
        </w:tc>
        <w:tc>
          <w:tcPr>
            <w:tcW w:w="9890" w:type="dxa"/>
            <w:gridSpan w:val="8"/>
            <w:tcBorders>
              <w:tl2br w:val="nil"/>
              <w:tr2bl w:val="nil"/>
            </w:tcBorders>
            <w:shd w:val="clear" w:color="auto" w:fill="auto"/>
            <w:vAlign w:val="center"/>
          </w:tcPr>
          <w:p w14:paraId="37B56BAC">
            <w:pPr>
              <w:ind w:left="-105" w:right="-105"/>
              <w:jc w:val="center"/>
              <w:textAlignment w:val="center"/>
              <w:rPr>
                <w:rFonts w:ascii="Times New Roman" w:hAnsi="Times New Roman" w:cs="Times New Roman"/>
                <w:b/>
                <w:bCs/>
                <w:color w:val="auto"/>
                <w:sz w:val="21"/>
                <w:szCs w:val="21"/>
                <w:highlight w:val="none"/>
              </w:rPr>
            </w:pPr>
            <w:r>
              <w:rPr>
                <w:rFonts w:ascii="Times New Roman" w:hAnsi="Times New Roman" w:cs="Times New Roman"/>
                <w:b/>
                <w:bCs/>
                <w:color w:val="auto"/>
                <w:sz w:val="21"/>
                <w:szCs w:val="21"/>
                <w:highlight w:val="none"/>
                <w:lang w:bidi="ar"/>
              </w:rPr>
              <w:t>T1-2</w:t>
            </w:r>
          </w:p>
        </w:tc>
      </w:tr>
      <w:tr w14:paraId="1AF93E58">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992" w:type="dxa"/>
            <w:vMerge w:val="continue"/>
            <w:tcBorders>
              <w:tl2br w:val="nil"/>
              <w:tr2bl w:val="nil"/>
            </w:tcBorders>
            <w:shd w:val="clear" w:color="auto" w:fill="auto"/>
            <w:vAlign w:val="center"/>
          </w:tcPr>
          <w:p w14:paraId="7EAE3463">
            <w:pPr>
              <w:ind w:left="-105" w:right="-105"/>
              <w:jc w:val="center"/>
              <w:rPr>
                <w:b/>
                <w:bCs/>
                <w:color w:val="auto"/>
                <w:sz w:val="21"/>
                <w:szCs w:val="21"/>
                <w:highlight w:val="none"/>
              </w:rPr>
            </w:pPr>
          </w:p>
        </w:tc>
        <w:tc>
          <w:tcPr>
            <w:tcW w:w="870" w:type="dxa"/>
            <w:vMerge w:val="continue"/>
            <w:tcBorders>
              <w:tl2br w:val="nil"/>
              <w:tr2bl w:val="nil"/>
            </w:tcBorders>
            <w:shd w:val="clear" w:color="auto" w:fill="auto"/>
            <w:vAlign w:val="center"/>
          </w:tcPr>
          <w:p w14:paraId="28E09C39">
            <w:pPr>
              <w:ind w:left="-105" w:right="-105"/>
              <w:jc w:val="center"/>
              <w:rPr>
                <w:b/>
                <w:bCs/>
                <w:color w:val="auto"/>
                <w:sz w:val="21"/>
                <w:szCs w:val="21"/>
                <w:highlight w:val="none"/>
              </w:rPr>
            </w:pPr>
          </w:p>
        </w:tc>
        <w:tc>
          <w:tcPr>
            <w:tcW w:w="900" w:type="dxa"/>
            <w:vMerge w:val="continue"/>
            <w:tcBorders>
              <w:tl2br w:val="nil"/>
              <w:tr2bl w:val="nil"/>
            </w:tcBorders>
            <w:shd w:val="clear" w:color="auto" w:fill="auto"/>
            <w:vAlign w:val="center"/>
          </w:tcPr>
          <w:p w14:paraId="4C79C07F">
            <w:pPr>
              <w:ind w:left="-105" w:right="-105"/>
              <w:jc w:val="center"/>
              <w:rPr>
                <w:b/>
                <w:bCs/>
                <w:color w:val="auto"/>
                <w:sz w:val="21"/>
                <w:szCs w:val="21"/>
                <w:highlight w:val="none"/>
              </w:rPr>
            </w:pPr>
          </w:p>
        </w:tc>
        <w:tc>
          <w:tcPr>
            <w:tcW w:w="2472" w:type="dxa"/>
            <w:gridSpan w:val="2"/>
            <w:tcBorders>
              <w:tl2br w:val="nil"/>
              <w:tr2bl w:val="nil"/>
            </w:tcBorders>
            <w:shd w:val="clear" w:color="auto" w:fill="auto"/>
            <w:vAlign w:val="center"/>
          </w:tcPr>
          <w:p w14:paraId="4BD260F3">
            <w:pPr>
              <w:ind w:left="-105" w:right="-105"/>
              <w:jc w:val="center"/>
              <w:textAlignment w:val="center"/>
              <w:rPr>
                <w:rFonts w:ascii="Times New Roman" w:hAnsi="Times New Roman" w:cs="Times New Roman"/>
                <w:b/>
                <w:bCs/>
                <w:color w:val="auto"/>
                <w:sz w:val="21"/>
                <w:szCs w:val="21"/>
                <w:highlight w:val="none"/>
              </w:rPr>
            </w:pPr>
            <w:r>
              <w:rPr>
                <w:rFonts w:ascii="Times New Roman" w:hAnsi="Times New Roman" w:cs="Times New Roman"/>
                <w:b/>
                <w:bCs/>
                <w:color w:val="auto"/>
                <w:sz w:val="21"/>
                <w:szCs w:val="21"/>
                <w:highlight w:val="none"/>
                <w:lang w:bidi="ar"/>
              </w:rPr>
              <w:t>0-0.2m</w:t>
            </w:r>
          </w:p>
        </w:tc>
        <w:tc>
          <w:tcPr>
            <w:tcW w:w="2472" w:type="dxa"/>
            <w:gridSpan w:val="2"/>
            <w:tcBorders>
              <w:tl2br w:val="nil"/>
              <w:tr2bl w:val="nil"/>
            </w:tcBorders>
            <w:shd w:val="clear" w:color="auto" w:fill="auto"/>
            <w:vAlign w:val="center"/>
          </w:tcPr>
          <w:p w14:paraId="7550941E">
            <w:pPr>
              <w:ind w:left="-105" w:right="-105"/>
              <w:jc w:val="center"/>
              <w:textAlignment w:val="center"/>
              <w:rPr>
                <w:rFonts w:ascii="Times New Roman" w:hAnsi="Times New Roman" w:cs="Times New Roman"/>
                <w:b/>
                <w:bCs/>
                <w:color w:val="auto"/>
                <w:sz w:val="21"/>
                <w:szCs w:val="21"/>
                <w:highlight w:val="none"/>
              </w:rPr>
            </w:pPr>
            <w:r>
              <w:rPr>
                <w:rFonts w:ascii="Times New Roman" w:hAnsi="Times New Roman" w:cs="Times New Roman"/>
                <w:b/>
                <w:bCs/>
                <w:color w:val="auto"/>
                <w:sz w:val="21"/>
                <w:szCs w:val="21"/>
                <w:highlight w:val="none"/>
                <w:lang w:bidi="ar"/>
              </w:rPr>
              <w:t>0.3-0.5m</w:t>
            </w:r>
          </w:p>
        </w:tc>
        <w:tc>
          <w:tcPr>
            <w:tcW w:w="2472" w:type="dxa"/>
            <w:gridSpan w:val="2"/>
            <w:tcBorders>
              <w:tl2br w:val="nil"/>
              <w:tr2bl w:val="nil"/>
            </w:tcBorders>
            <w:shd w:val="clear" w:color="auto" w:fill="auto"/>
            <w:vAlign w:val="center"/>
          </w:tcPr>
          <w:p w14:paraId="1B2B793E">
            <w:pPr>
              <w:ind w:left="-105" w:right="-105"/>
              <w:jc w:val="center"/>
              <w:textAlignment w:val="center"/>
              <w:rPr>
                <w:rFonts w:ascii="Times New Roman" w:hAnsi="Times New Roman" w:cs="Times New Roman"/>
                <w:b/>
                <w:bCs/>
                <w:color w:val="auto"/>
                <w:sz w:val="21"/>
                <w:szCs w:val="21"/>
                <w:highlight w:val="none"/>
              </w:rPr>
            </w:pPr>
            <w:r>
              <w:rPr>
                <w:rFonts w:ascii="Times New Roman" w:hAnsi="Times New Roman" w:cs="Times New Roman"/>
                <w:b/>
                <w:bCs/>
                <w:color w:val="auto"/>
                <w:sz w:val="21"/>
                <w:szCs w:val="21"/>
                <w:highlight w:val="none"/>
                <w:lang w:bidi="ar"/>
              </w:rPr>
              <w:t>0.8-1.0m</w:t>
            </w:r>
          </w:p>
        </w:tc>
        <w:tc>
          <w:tcPr>
            <w:tcW w:w="2474" w:type="dxa"/>
            <w:gridSpan w:val="2"/>
            <w:tcBorders>
              <w:tl2br w:val="nil"/>
              <w:tr2bl w:val="nil"/>
            </w:tcBorders>
            <w:shd w:val="clear" w:color="auto" w:fill="auto"/>
            <w:vAlign w:val="center"/>
          </w:tcPr>
          <w:p w14:paraId="4A23CA7E">
            <w:pPr>
              <w:ind w:left="-105" w:right="-105"/>
              <w:jc w:val="center"/>
              <w:textAlignment w:val="center"/>
              <w:rPr>
                <w:rFonts w:ascii="Times New Roman" w:hAnsi="Times New Roman" w:cs="Times New Roman"/>
                <w:b/>
                <w:bCs/>
                <w:color w:val="auto"/>
                <w:sz w:val="21"/>
                <w:szCs w:val="21"/>
                <w:highlight w:val="none"/>
              </w:rPr>
            </w:pPr>
            <w:r>
              <w:rPr>
                <w:rFonts w:ascii="Times New Roman" w:hAnsi="Times New Roman" w:cs="Times New Roman"/>
                <w:b/>
                <w:bCs/>
                <w:color w:val="auto"/>
                <w:sz w:val="21"/>
                <w:szCs w:val="21"/>
                <w:highlight w:val="none"/>
                <w:lang w:bidi="ar"/>
              </w:rPr>
              <w:t>1.8-2.0m</w:t>
            </w:r>
          </w:p>
        </w:tc>
      </w:tr>
      <w:tr w14:paraId="5764B26E">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992" w:type="dxa"/>
            <w:vMerge w:val="continue"/>
            <w:tcBorders>
              <w:tl2br w:val="nil"/>
              <w:tr2bl w:val="nil"/>
            </w:tcBorders>
            <w:shd w:val="clear" w:color="auto" w:fill="auto"/>
            <w:vAlign w:val="center"/>
          </w:tcPr>
          <w:p w14:paraId="6799B8AC">
            <w:pPr>
              <w:ind w:left="-105" w:right="-105"/>
              <w:jc w:val="center"/>
              <w:rPr>
                <w:b/>
                <w:bCs/>
                <w:color w:val="auto"/>
                <w:sz w:val="21"/>
                <w:szCs w:val="21"/>
                <w:highlight w:val="none"/>
              </w:rPr>
            </w:pPr>
          </w:p>
        </w:tc>
        <w:tc>
          <w:tcPr>
            <w:tcW w:w="870" w:type="dxa"/>
            <w:vMerge w:val="continue"/>
            <w:tcBorders>
              <w:tl2br w:val="nil"/>
              <w:tr2bl w:val="nil"/>
            </w:tcBorders>
            <w:shd w:val="clear" w:color="auto" w:fill="auto"/>
            <w:vAlign w:val="center"/>
          </w:tcPr>
          <w:p w14:paraId="6D74F129">
            <w:pPr>
              <w:ind w:left="-105" w:right="-105"/>
              <w:jc w:val="center"/>
              <w:rPr>
                <w:b/>
                <w:bCs/>
                <w:color w:val="auto"/>
                <w:sz w:val="21"/>
                <w:szCs w:val="21"/>
                <w:highlight w:val="none"/>
              </w:rPr>
            </w:pPr>
          </w:p>
        </w:tc>
        <w:tc>
          <w:tcPr>
            <w:tcW w:w="900" w:type="dxa"/>
            <w:vMerge w:val="continue"/>
            <w:tcBorders>
              <w:tl2br w:val="nil"/>
              <w:tr2bl w:val="nil"/>
            </w:tcBorders>
            <w:shd w:val="clear" w:color="auto" w:fill="auto"/>
            <w:vAlign w:val="center"/>
          </w:tcPr>
          <w:p w14:paraId="459EF5ED">
            <w:pPr>
              <w:ind w:left="-105" w:right="-105"/>
              <w:jc w:val="center"/>
              <w:rPr>
                <w:b/>
                <w:bCs/>
                <w:color w:val="auto"/>
                <w:sz w:val="21"/>
                <w:szCs w:val="21"/>
                <w:highlight w:val="none"/>
              </w:rPr>
            </w:pPr>
          </w:p>
        </w:tc>
        <w:tc>
          <w:tcPr>
            <w:tcW w:w="1236" w:type="dxa"/>
            <w:tcBorders>
              <w:tl2br w:val="nil"/>
              <w:tr2bl w:val="nil"/>
            </w:tcBorders>
            <w:shd w:val="clear" w:color="auto" w:fill="auto"/>
            <w:vAlign w:val="center"/>
          </w:tcPr>
          <w:p w14:paraId="04B53489">
            <w:pPr>
              <w:ind w:left="-105" w:right="-105"/>
              <w:jc w:val="center"/>
              <w:textAlignment w:val="center"/>
              <w:rPr>
                <w:b/>
                <w:bCs/>
                <w:color w:val="auto"/>
                <w:sz w:val="21"/>
                <w:szCs w:val="21"/>
                <w:highlight w:val="none"/>
              </w:rPr>
            </w:pPr>
            <w:r>
              <w:rPr>
                <w:rFonts w:hint="eastAsia"/>
                <w:b/>
                <w:bCs/>
                <w:color w:val="auto"/>
                <w:sz w:val="21"/>
                <w:szCs w:val="21"/>
                <w:highlight w:val="none"/>
                <w:lang w:bidi="ar"/>
              </w:rPr>
              <w:t>检测结果</w:t>
            </w:r>
          </w:p>
        </w:tc>
        <w:tc>
          <w:tcPr>
            <w:tcW w:w="1236" w:type="dxa"/>
            <w:tcBorders>
              <w:tl2br w:val="nil"/>
              <w:tr2bl w:val="nil"/>
            </w:tcBorders>
            <w:shd w:val="clear" w:color="auto" w:fill="auto"/>
            <w:vAlign w:val="center"/>
          </w:tcPr>
          <w:p w14:paraId="343D15D4">
            <w:pPr>
              <w:ind w:left="-105" w:right="-105"/>
              <w:jc w:val="center"/>
              <w:textAlignment w:val="center"/>
              <w:rPr>
                <w:b/>
                <w:bCs/>
                <w:color w:val="auto"/>
                <w:sz w:val="21"/>
                <w:szCs w:val="21"/>
                <w:highlight w:val="none"/>
              </w:rPr>
            </w:pPr>
            <w:r>
              <w:rPr>
                <w:rFonts w:hint="eastAsia"/>
                <w:b/>
                <w:bCs/>
                <w:color w:val="auto"/>
                <w:sz w:val="21"/>
                <w:szCs w:val="21"/>
                <w:highlight w:val="none"/>
                <w:lang w:bidi="ar"/>
              </w:rPr>
              <w:t>标准指数</w:t>
            </w:r>
          </w:p>
        </w:tc>
        <w:tc>
          <w:tcPr>
            <w:tcW w:w="1236" w:type="dxa"/>
            <w:tcBorders>
              <w:tl2br w:val="nil"/>
              <w:tr2bl w:val="nil"/>
            </w:tcBorders>
            <w:shd w:val="clear" w:color="auto" w:fill="auto"/>
            <w:vAlign w:val="center"/>
          </w:tcPr>
          <w:p w14:paraId="513BCBA5">
            <w:pPr>
              <w:ind w:left="-105" w:right="-105"/>
              <w:jc w:val="center"/>
              <w:textAlignment w:val="center"/>
              <w:rPr>
                <w:b/>
                <w:bCs/>
                <w:color w:val="auto"/>
                <w:sz w:val="21"/>
                <w:szCs w:val="21"/>
                <w:highlight w:val="none"/>
              </w:rPr>
            </w:pPr>
            <w:r>
              <w:rPr>
                <w:rFonts w:hint="eastAsia"/>
                <w:b/>
                <w:bCs/>
                <w:color w:val="auto"/>
                <w:sz w:val="21"/>
                <w:szCs w:val="21"/>
                <w:highlight w:val="none"/>
                <w:lang w:bidi="ar"/>
              </w:rPr>
              <w:t>检测结果</w:t>
            </w:r>
          </w:p>
        </w:tc>
        <w:tc>
          <w:tcPr>
            <w:tcW w:w="1236" w:type="dxa"/>
            <w:tcBorders>
              <w:tl2br w:val="nil"/>
              <w:tr2bl w:val="nil"/>
            </w:tcBorders>
            <w:shd w:val="clear" w:color="auto" w:fill="auto"/>
            <w:vAlign w:val="center"/>
          </w:tcPr>
          <w:p w14:paraId="43E56ADC">
            <w:pPr>
              <w:ind w:left="-105" w:right="-105"/>
              <w:jc w:val="center"/>
              <w:textAlignment w:val="center"/>
              <w:rPr>
                <w:b/>
                <w:bCs/>
                <w:color w:val="auto"/>
                <w:sz w:val="21"/>
                <w:szCs w:val="21"/>
                <w:highlight w:val="none"/>
              </w:rPr>
            </w:pPr>
            <w:r>
              <w:rPr>
                <w:rFonts w:hint="eastAsia"/>
                <w:b/>
                <w:bCs/>
                <w:color w:val="auto"/>
                <w:sz w:val="21"/>
                <w:szCs w:val="21"/>
                <w:highlight w:val="none"/>
                <w:lang w:bidi="ar"/>
              </w:rPr>
              <w:t>标准指数</w:t>
            </w:r>
          </w:p>
        </w:tc>
        <w:tc>
          <w:tcPr>
            <w:tcW w:w="1236" w:type="dxa"/>
            <w:tcBorders>
              <w:tl2br w:val="nil"/>
              <w:tr2bl w:val="nil"/>
            </w:tcBorders>
            <w:shd w:val="clear" w:color="auto" w:fill="auto"/>
            <w:vAlign w:val="center"/>
          </w:tcPr>
          <w:p w14:paraId="746992A2">
            <w:pPr>
              <w:ind w:left="-105" w:right="-105"/>
              <w:jc w:val="center"/>
              <w:textAlignment w:val="center"/>
              <w:rPr>
                <w:b/>
                <w:bCs/>
                <w:color w:val="auto"/>
                <w:sz w:val="21"/>
                <w:szCs w:val="21"/>
                <w:highlight w:val="none"/>
              </w:rPr>
            </w:pPr>
            <w:r>
              <w:rPr>
                <w:rFonts w:hint="eastAsia"/>
                <w:b/>
                <w:bCs/>
                <w:color w:val="auto"/>
                <w:sz w:val="21"/>
                <w:szCs w:val="21"/>
                <w:highlight w:val="none"/>
                <w:lang w:bidi="ar"/>
              </w:rPr>
              <w:t>检测结果</w:t>
            </w:r>
          </w:p>
        </w:tc>
        <w:tc>
          <w:tcPr>
            <w:tcW w:w="1236" w:type="dxa"/>
            <w:tcBorders>
              <w:tl2br w:val="nil"/>
              <w:tr2bl w:val="nil"/>
            </w:tcBorders>
            <w:shd w:val="clear" w:color="auto" w:fill="auto"/>
            <w:vAlign w:val="center"/>
          </w:tcPr>
          <w:p w14:paraId="7E1989C5">
            <w:pPr>
              <w:ind w:left="-105" w:right="-105"/>
              <w:jc w:val="center"/>
              <w:textAlignment w:val="center"/>
              <w:rPr>
                <w:b/>
                <w:bCs/>
                <w:color w:val="auto"/>
                <w:sz w:val="21"/>
                <w:szCs w:val="21"/>
                <w:highlight w:val="none"/>
              </w:rPr>
            </w:pPr>
            <w:r>
              <w:rPr>
                <w:rFonts w:hint="eastAsia"/>
                <w:b/>
                <w:bCs/>
                <w:color w:val="auto"/>
                <w:sz w:val="21"/>
                <w:szCs w:val="21"/>
                <w:highlight w:val="none"/>
                <w:lang w:bidi="ar"/>
              </w:rPr>
              <w:t>标准指数</w:t>
            </w:r>
          </w:p>
        </w:tc>
        <w:tc>
          <w:tcPr>
            <w:tcW w:w="1236" w:type="dxa"/>
            <w:tcBorders>
              <w:tl2br w:val="nil"/>
              <w:tr2bl w:val="nil"/>
            </w:tcBorders>
            <w:shd w:val="clear" w:color="auto" w:fill="auto"/>
            <w:vAlign w:val="center"/>
          </w:tcPr>
          <w:p w14:paraId="294BADBE">
            <w:pPr>
              <w:ind w:left="-105" w:right="-105"/>
              <w:jc w:val="center"/>
              <w:textAlignment w:val="center"/>
              <w:rPr>
                <w:b/>
                <w:bCs/>
                <w:color w:val="auto"/>
                <w:sz w:val="21"/>
                <w:szCs w:val="21"/>
                <w:highlight w:val="none"/>
              </w:rPr>
            </w:pPr>
            <w:r>
              <w:rPr>
                <w:rFonts w:hint="eastAsia"/>
                <w:b/>
                <w:bCs/>
                <w:color w:val="auto"/>
                <w:sz w:val="21"/>
                <w:szCs w:val="21"/>
                <w:highlight w:val="none"/>
                <w:lang w:bidi="ar"/>
              </w:rPr>
              <w:t>检测结果</w:t>
            </w:r>
          </w:p>
        </w:tc>
        <w:tc>
          <w:tcPr>
            <w:tcW w:w="1238" w:type="dxa"/>
            <w:tcBorders>
              <w:tl2br w:val="nil"/>
              <w:tr2bl w:val="nil"/>
            </w:tcBorders>
            <w:shd w:val="clear" w:color="auto" w:fill="auto"/>
            <w:vAlign w:val="center"/>
          </w:tcPr>
          <w:p w14:paraId="11979197">
            <w:pPr>
              <w:ind w:left="-105" w:right="-105"/>
              <w:jc w:val="center"/>
              <w:textAlignment w:val="center"/>
              <w:rPr>
                <w:b/>
                <w:bCs/>
                <w:color w:val="auto"/>
                <w:sz w:val="21"/>
                <w:szCs w:val="21"/>
                <w:highlight w:val="none"/>
              </w:rPr>
            </w:pPr>
            <w:r>
              <w:rPr>
                <w:rFonts w:hint="eastAsia"/>
                <w:b/>
                <w:bCs/>
                <w:color w:val="auto"/>
                <w:sz w:val="21"/>
                <w:szCs w:val="21"/>
                <w:highlight w:val="none"/>
                <w:lang w:bidi="ar"/>
              </w:rPr>
              <w:t>标准指数</w:t>
            </w:r>
          </w:p>
        </w:tc>
      </w:tr>
      <w:tr w14:paraId="72FE9C30">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992" w:type="dxa"/>
            <w:tcBorders>
              <w:tl2br w:val="nil"/>
              <w:tr2bl w:val="nil"/>
            </w:tcBorders>
            <w:shd w:val="clear" w:color="auto" w:fill="auto"/>
            <w:vAlign w:val="center"/>
          </w:tcPr>
          <w:p w14:paraId="351B3333">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pH</w:t>
            </w:r>
          </w:p>
        </w:tc>
        <w:tc>
          <w:tcPr>
            <w:tcW w:w="870" w:type="dxa"/>
            <w:tcBorders>
              <w:tl2br w:val="nil"/>
              <w:tr2bl w:val="nil"/>
            </w:tcBorders>
            <w:shd w:val="clear" w:color="auto" w:fill="auto"/>
            <w:vAlign w:val="center"/>
          </w:tcPr>
          <w:p w14:paraId="5C09A7C3">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900" w:type="dxa"/>
            <w:tcBorders>
              <w:tl2br w:val="nil"/>
              <w:tr2bl w:val="nil"/>
            </w:tcBorders>
            <w:shd w:val="clear" w:color="auto" w:fill="auto"/>
            <w:vAlign w:val="center"/>
          </w:tcPr>
          <w:p w14:paraId="07DAA4D3">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6" w:type="dxa"/>
            <w:tcBorders>
              <w:tl2br w:val="nil"/>
              <w:tr2bl w:val="nil"/>
            </w:tcBorders>
            <w:shd w:val="clear" w:color="auto" w:fill="auto"/>
            <w:vAlign w:val="center"/>
          </w:tcPr>
          <w:p w14:paraId="50D3A87E">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6.74</w:t>
            </w:r>
          </w:p>
        </w:tc>
        <w:tc>
          <w:tcPr>
            <w:tcW w:w="1236" w:type="dxa"/>
            <w:tcBorders>
              <w:tl2br w:val="nil"/>
              <w:tr2bl w:val="nil"/>
            </w:tcBorders>
            <w:shd w:val="clear" w:color="auto" w:fill="auto"/>
            <w:vAlign w:val="center"/>
          </w:tcPr>
          <w:p w14:paraId="48DC2FBC">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6" w:type="dxa"/>
            <w:tcBorders>
              <w:tl2br w:val="nil"/>
              <w:tr2bl w:val="nil"/>
            </w:tcBorders>
            <w:shd w:val="clear" w:color="auto" w:fill="auto"/>
            <w:vAlign w:val="center"/>
          </w:tcPr>
          <w:p w14:paraId="79609812">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6.76</w:t>
            </w:r>
          </w:p>
        </w:tc>
        <w:tc>
          <w:tcPr>
            <w:tcW w:w="1236" w:type="dxa"/>
            <w:tcBorders>
              <w:tl2br w:val="nil"/>
              <w:tr2bl w:val="nil"/>
            </w:tcBorders>
            <w:shd w:val="clear" w:color="auto" w:fill="auto"/>
            <w:vAlign w:val="center"/>
          </w:tcPr>
          <w:p w14:paraId="3DEB3C05">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6" w:type="dxa"/>
            <w:tcBorders>
              <w:tl2br w:val="nil"/>
              <w:tr2bl w:val="nil"/>
            </w:tcBorders>
            <w:shd w:val="clear" w:color="auto" w:fill="auto"/>
            <w:vAlign w:val="center"/>
          </w:tcPr>
          <w:p w14:paraId="4093E5E9">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6.83</w:t>
            </w:r>
          </w:p>
        </w:tc>
        <w:tc>
          <w:tcPr>
            <w:tcW w:w="1236" w:type="dxa"/>
            <w:tcBorders>
              <w:tl2br w:val="nil"/>
              <w:tr2bl w:val="nil"/>
            </w:tcBorders>
            <w:shd w:val="clear" w:color="auto" w:fill="auto"/>
            <w:vAlign w:val="center"/>
          </w:tcPr>
          <w:p w14:paraId="5C227F65">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6" w:type="dxa"/>
            <w:tcBorders>
              <w:tl2br w:val="nil"/>
              <w:tr2bl w:val="nil"/>
            </w:tcBorders>
            <w:shd w:val="clear" w:color="auto" w:fill="auto"/>
            <w:vAlign w:val="center"/>
          </w:tcPr>
          <w:p w14:paraId="43927FFE">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6.87</w:t>
            </w:r>
          </w:p>
        </w:tc>
        <w:tc>
          <w:tcPr>
            <w:tcW w:w="1238" w:type="dxa"/>
            <w:tcBorders>
              <w:tl2br w:val="nil"/>
              <w:tr2bl w:val="nil"/>
            </w:tcBorders>
            <w:shd w:val="clear" w:color="auto" w:fill="auto"/>
            <w:vAlign w:val="center"/>
          </w:tcPr>
          <w:p w14:paraId="7FA57660">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r>
      <w:tr w14:paraId="4EF41678">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992" w:type="dxa"/>
            <w:tcBorders>
              <w:tl2br w:val="nil"/>
              <w:tr2bl w:val="nil"/>
            </w:tcBorders>
            <w:shd w:val="clear" w:color="auto" w:fill="auto"/>
            <w:vAlign w:val="center"/>
          </w:tcPr>
          <w:p w14:paraId="2E2D1A31">
            <w:pPr>
              <w:ind w:left="-105" w:right="-105"/>
              <w:jc w:val="center"/>
              <w:textAlignment w:val="center"/>
              <w:rPr>
                <w:color w:val="auto"/>
                <w:sz w:val="21"/>
                <w:szCs w:val="21"/>
                <w:highlight w:val="none"/>
              </w:rPr>
            </w:pPr>
            <w:r>
              <w:rPr>
                <w:rFonts w:hint="eastAsia"/>
                <w:color w:val="auto"/>
                <w:sz w:val="21"/>
                <w:szCs w:val="21"/>
                <w:highlight w:val="none"/>
                <w:lang w:bidi="ar"/>
              </w:rPr>
              <w:t>汞</w:t>
            </w:r>
          </w:p>
        </w:tc>
        <w:tc>
          <w:tcPr>
            <w:tcW w:w="870" w:type="dxa"/>
            <w:tcBorders>
              <w:tl2br w:val="nil"/>
              <w:tr2bl w:val="nil"/>
            </w:tcBorders>
            <w:shd w:val="clear" w:color="auto" w:fill="auto"/>
            <w:vAlign w:val="center"/>
          </w:tcPr>
          <w:p w14:paraId="58F3BE27">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mg/kg</w:t>
            </w:r>
          </w:p>
        </w:tc>
        <w:tc>
          <w:tcPr>
            <w:tcW w:w="900" w:type="dxa"/>
            <w:tcBorders>
              <w:tl2br w:val="nil"/>
              <w:tr2bl w:val="nil"/>
            </w:tcBorders>
            <w:shd w:val="clear" w:color="auto" w:fill="auto"/>
            <w:vAlign w:val="center"/>
          </w:tcPr>
          <w:p w14:paraId="4EBABC69">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38</w:t>
            </w:r>
          </w:p>
        </w:tc>
        <w:tc>
          <w:tcPr>
            <w:tcW w:w="1236" w:type="dxa"/>
            <w:tcBorders>
              <w:tl2br w:val="nil"/>
              <w:tr2bl w:val="nil"/>
            </w:tcBorders>
            <w:shd w:val="clear" w:color="auto" w:fill="auto"/>
            <w:vAlign w:val="center"/>
          </w:tcPr>
          <w:p w14:paraId="1643B95A">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0.02</w:t>
            </w:r>
          </w:p>
        </w:tc>
        <w:tc>
          <w:tcPr>
            <w:tcW w:w="1236" w:type="dxa"/>
            <w:tcBorders>
              <w:tl2br w:val="nil"/>
              <w:tr2bl w:val="nil"/>
            </w:tcBorders>
            <w:shd w:val="clear" w:color="auto" w:fill="auto"/>
            <w:vAlign w:val="center"/>
          </w:tcPr>
          <w:p w14:paraId="3679C95C">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 xml:space="preserve">0.0005 </w:t>
            </w:r>
          </w:p>
        </w:tc>
        <w:tc>
          <w:tcPr>
            <w:tcW w:w="1236" w:type="dxa"/>
            <w:tcBorders>
              <w:tl2br w:val="nil"/>
              <w:tr2bl w:val="nil"/>
            </w:tcBorders>
            <w:shd w:val="clear" w:color="auto" w:fill="auto"/>
            <w:vAlign w:val="center"/>
          </w:tcPr>
          <w:p w14:paraId="4775DAE2">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0.17</w:t>
            </w:r>
          </w:p>
        </w:tc>
        <w:tc>
          <w:tcPr>
            <w:tcW w:w="1236" w:type="dxa"/>
            <w:tcBorders>
              <w:tl2br w:val="nil"/>
              <w:tr2bl w:val="nil"/>
            </w:tcBorders>
            <w:shd w:val="clear" w:color="auto" w:fill="auto"/>
            <w:vAlign w:val="center"/>
          </w:tcPr>
          <w:p w14:paraId="0FA4A6FE">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 xml:space="preserve">0.0045 </w:t>
            </w:r>
          </w:p>
        </w:tc>
        <w:tc>
          <w:tcPr>
            <w:tcW w:w="1236" w:type="dxa"/>
            <w:tcBorders>
              <w:tl2br w:val="nil"/>
              <w:tr2bl w:val="nil"/>
            </w:tcBorders>
            <w:shd w:val="clear" w:color="auto" w:fill="auto"/>
            <w:vAlign w:val="center"/>
          </w:tcPr>
          <w:p w14:paraId="0AEB53C0">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0.03</w:t>
            </w:r>
          </w:p>
        </w:tc>
        <w:tc>
          <w:tcPr>
            <w:tcW w:w="1236" w:type="dxa"/>
            <w:tcBorders>
              <w:tl2br w:val="nil"/>
              <w:tr2bl w:val="nil"/>
            </w:tcBorders>
            <w:shd w:val="clear" w:color="auto" w:fill="auto"/>
            <w:vAlign w:val="center"/>
          </w:tcPr>
          <w:p w14:paraId="0083CC11">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 xml:space="preserve">0.0008 </w:t>
            </w:r>
          </w:p>
        </w:tc>
        <w:tc>
          <w:tcPr>
            <w:tcW w:w="1236" w:type="dxa"/>
            <w:tcBorders>
              <w:tl2br w:val="nil"/>
              <w:tr2bl w:val="nil"/>
            </w:tcBorders>
            <w:shd w:val="clear" w:color="auto" w:fill="auto"/>
            <w:vAlign w:val="center"/>
          </w:tcPr>
          <w:p w14:paraId="0765F655">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0.14</w:t>
            </w:r>
          </w:p>
        </w:tc>
        <w:tc>
          <w:tcPr>
            <w:tcW w:w="1238" w:type="dxa"/>
            <w:tcBorders>
              <w:tl2br w:val="nil"/>
              <w:tr2bl w:val="nil"/>
            </w:tcBorders>
            <w:shd w:val="clear" w:color="auto" w:fill="auto"/>
            <w:vAlign w:val="center"/>
          </w:tcPr>
          <w:p w14:paraId="6CA10688">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 xml:space="preserve">0.0037 </w:t>
            </w:r>
          </w:p>
        </w:tc>
      </w:tr>
      <w:tr w14:paraId="4EF89539">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992" w:type="dxa"/>
            <w:tcBorders>
              <w:tl2br w:val="nil"/>
              <w:tr2bl w:val="nil"/>
            </w:tcBorders>
            <w:shd w:val="clear" w:color="auto" w:fill="auto"/>
            <w:vAlign w:val="center"/>
          </w:tcPr>
          <w:p w14:paraId="66E4C362">
            <w:pPr>
              <w:ind w:left="-105" w:right="-105"/>
              <w:jc w:val="center"/>
              <w:textAlignment w:val="center"/>
              <w:rPr>
                <w:color w:val="auto"/>
                <w:sz w:val="21"/>
                <w:szCs w:val="21"/>
                <w:highlight w:val="none"/>
              </w:rPr>
            </w:pPr>
            <w:r>
              <w:rPr>
                <w:rFonts w:hint="eastAsia"/>
                <w:color w:val="auto"/>
                <w:sz w:val="21"/>
                <w:szCs w:val="21"/>
                <w:highlight w:val="none"/>
                <w:lang w:bidi="ar"/>
              </w:rPr>
              <w:t>砷</w:t>
            </w:r>
          </w:p>
        </w:tc>
        <w:tc>
          <w:tcPr>
            <w:tcW w:w="870" w:type="dxa"/>
            <w:tcBorders>
              <w:tl2br w:val="nil"/>
              <w:tr2bl w:val="nil"/>
            </w:tcBorders>
            <w:shd w:val="clear" w:color="auto" w:fill="auto"/>
            <w:vAlign w:val="center"/>
          </w:tcPr>
          <w:p w14:paraId="3CF293EC">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mg/kg</w:t>
            </w:r>
          </w:p>
        </w:tc>
        <w:tc>
          <w:tcPr>
            <w:tcW w:w="900" w:type="dxa"/>
            <w:tcBorders>
              <w:tl2br w:val="nil"/>
              <w:tr2bl w:val="nil"/>
            </w:tcBorders>
            <w:shd w:val="clear" w:color="auto" w:fill="auto"/>
            <w:vAlign w:val="center"/>
          </w:tcPr>
          <w:p w14:paraId="4C70A201">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60</w:t>
            </w:r>
          </w:p>
        </w:tc>
        <w:tc>
          <w:tcPr>
            <w:tcW w:w="1236" w:type="dxa"/>
            <w:tcBorders>
              <w:tl2br w:val="nil"/>
              <w:tr2bl w:val="nil"/>
            </w:tcBorders>
            <w:shd w:val="clear" w:color="auto" w:fill="auto"/>
            <w:vAlign w:val="center"/>
          </w:tcPr>
          <w:p w14:paraId="4DE43DA0">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14.7</w:t>
            </w:r>
          </w:p>
        </w:tc>
        <w:tc>
          <w:tcPr>
            <w:tcW w:w="1236" w:type="dxa"/>
            <w:tcBorders>
              <w:tl2br w:val="nil"/>
              <w:tr2bl w:val="nil"/>
            </w:tcBorders>
            <w:shd w:val="clear" w:color="auto" w:fill="auto"/>
            <w:vAlign w:val="center"/>
          </w:tcPr>
          <w:p w14:paraId="259535BC">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 xml:space="preserve">0.2450 </w:t>
            </w:r>
          </w:p>
        </w:tc>
        <w:tc>
          <w:tcPr>
            <w:tcW w:w="1236" w:type="dxa"/>
            <w:tcBorders>
              <w:tl2br w:val="nil"/>
              <w:tr2bl w:val="nil"/>
            </w:tcBorders>
            <w:shd w:val="clear" w:color="auto" w:fill="auto"/>
            <w:vAlign w:val="center"/>
          </w:tcPr>
          <w:p w14:paraId="20DE19E2">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9.61</w:t>
            </w:r>
          </w:p>
        </w:tc>
        <w:tc>
          <w:tcPr>
            <w:tcW w:w="1236" w:type="dxa"/>
            <w:tcBorders>
              <w:tl2br w:val="nil"/>
              <w:tr2bl w:val="nil"/>
            </w:tcBorders>
            <w:shd w:val="clear" w:color="auto" w:fill="auto"/>
            <w:vAlign w:val="center"/>
          </w:tcPr>
          <w:p w14:paraId="544C6849">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 xml:space="preserve">0.1602 </w:t>
            </w:r>
          </w:p>
        </w:tc>
        <w:tc>
          <w:tcPr>
            <w:tcW w:w="1236" w:type="dxa"/>
            <w:tcBorders>
              <w:tl2br w:val="nil"/>
              <w:tr2bl w:val="nil"/>
            </w:tcBorders>
            <w:shd w:val="clear" w:color="auto" w:fill="auto"/>
            <w:vAlign w:val="center"/>
          </w:tcPr>
          <w:p w14:paraId="2721E818">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14.8</w:t>
            </w:r>
          </w:p>
        </w:tc>
        <w:tc>
          <w:tcPr>
            <w:tcW w:w="1236" w:type="dxa"/>
            <w:tcBorders>
              <w:tl2br w:val="nil"/>
              <w:tr2bl w:val="nil"/>
            </w:tcBorders>
            <w:shd w:val="clear" w:color="auto" w:fill="auto"/>
            <w:vAlign w:val="center"/>
          </w:tcPr>
          <w:p w14:paraId="15E1199D">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 xml:space="preserve">0.2467 </w:t>
            </w:r>
          </w:p>
        </w:tc>
        <w:tc>
          <w:tcPr>
            <w:tcW w:w="1236" w:type="dxa"/>
            <w:tcBorders>
              <w:tl2br w:val="nil"/>
              <w:tr2bl w:val="nil"/>
            </w:tcBorders>
            <w:shd w:val="clear" w:color="auto" w:fill="auto"/>
            <w:vAlign w:val="center"/>
          </w:tcPr>
          <w:p w14:paraId="1757D2AF">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12</w:t>
            </w:r>
          </w:p>
        </w:tc>
        <w:tc>
          <w:tcPr>
            <w:tcW w:w="1238" w:type="dxa"/>
            <w:tcBorders>
              <w:tl2br w:val="nil"/>
              <w:tr2bl w:val="nil"/>
            </w:tcBorders>
            <w:shd w:val="clear" w:color="auto" w:fill="auto"/>
            <w:vAlign w:val="center"/>
          </w:tcPr>
          <w:p w14:paraId="4115BC54">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 xml:space="preserve">0.2000 </w:t>
            </w:r>
          </w:p>
        </w:tc>
      </w:tr>
      <w:tr w14:paraId="1379A501">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992" w:type="dxa"/>
            <w:tcBorders>
              <w:tl2br w:val="nil"/>
              <w:tr2bl w:val="nil"/>
            </w:tcBorders>
            <w:shd w:val="clear" w:color="auto" w:fill="auto"/>
            <w:vAlign w:val="center"/>
          </w:tcPr>
          <w:p w14:paraId="3FE2510C">
            <w:pPr>
              <w:ind w:left="-105" w:right="-105"/>
              <w:jc w:val="center"/>
              <w:textAlignment w:val="center"/>
              <w:rPr>
                <w:color w:val="auto"/>
                <w:sz w:val="21"/>
                <w:szCs w:val="21"/>
                <w:highlight w:val="none"/>
              </w:rPr>
            </w:pPr>
            <w:r>
              <w:rPr>
                <w:rFonts w:hint="eastAsia"/>
                <w:color w:val="auto"/>
                <w:sz w:val="21"/>
                <w:szCs w:val="21"/>
                <w:highlight w:val="none"/>
                <w:lang w:bidi="ar"/>
              </w:rPr>
              <w:t>镉</w:t>
            </w:r>
          </w:p>
        </w:tc>
        <w:tc>
          <w:tcPr>
            <w:tcW w:w="870" w:type="dxa"/>
            <w:tcBorders>
              <w:tl2br w:val="nil"/>
              <w:tr2bl w:val="nil"/>
            </w:tcBorders>
            <w:shd w:val="clear" w:color="auto" w:fill="auto"/>
            <w:vAlign w:val="center"/>
          </w:tcPr>
          <w:p w14:paraId="681BE19B">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mg/kg</w:t>
            </w:r>
          </w:p>
        </w:tc>
        <w:tc>
          <w:tcPr>
            <w:tcW w:w="900" w:type="dxa"/>
            <w:tcBorders>
              <w:tl2br w:val="nil"/>
              <w:tr2bl w:val="nil"/>
            </w:tcBorders>
            <w:shd w:val="clear" w:color="auto" w:fill="auto"/>
            <w:vAlign w:val="center"/>
          </w:tcPr>
          <w:p w14:paraId="0A36A858">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65</w:t>
            </w:r>
          </w:p>
        </w:tc>
        <w:tc>
          <w:tcPr>
            <w:tcW w:w="1236" w:type="dxa"/>
            <w:tcBorders>
              <w:tl2br w:val="nil"/>
              <w:tr2bl w:val="nil"/>
            </w:tcBorders>
            <w:shd w:val="clear" w:color="auto" w:fill="auto"/>
            <w:vAlign w:val="center"/>
          </w:tcPr>
          <w:p w14:paraId="324A7B21">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0.2</w:t>
            </w:r>
          </w:p>
        </w:tc>
        <w:tc>
          <w:tcPr>
            <w:tcW w:w="1236" w:type="dxa"/>
            <w:tcBorders>
              <w:tl2br w:val="nil"/>
              <w:tr2bl w:val="nil"/>
            </w:tcBorders>
            <w:shd w:val="clear" w:color="auto" w:fill="auto"/>
            <w:vAlign w:val="center"/>
          </w:tcPr>
          <w:p w14:paraId="766C1DA9">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 xml:space="preserve">0.0031 </w:t>
            </w:r>
          </w:p>
        </w:tc>
        <w:tc>
          <w:tcPr>
            <w:tcW w:w="1236" w:type="dxa"/>
            <w:tcBorders>
              <w:tl2br w:val="nil"/>
              <w:tr2bl w:val="nil"/>
            </w:tcBorders>
            <w:shd w:val="clear" w:color="auto" w:fill="auto"/>
            <w:vAlign w:val="center"/>
          </w:tcPr>
          <w:p w14:paraId="7F98F9F4">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0.15</w:t>
            </w:r>
          </w:p>
        </w:tc>
        <w:tc>
          <w:tcPr>
            <w:tcW w:w="1236" w:type="dxa"/>
            <w:tcBorders>
              <w:tl2br w:val="nil"/>
              <w:tr2bl w:val="nil"/>
            </w:tcBorders>
            <w:shd w:val="clear" w:color="auto" w:fill="auto"/>
            <w:vAlign w:val="center"/>
          </w:tcPr>
          <w:p w14:paraId="56879CEA">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 xml:space="preserve">0.0023 </w:t>
            </w:r>
          </w:p>
        </w:tc>
        <w:tc>
          <w:tcPr>
            <w:tcW w:w="1236" w:type="dxa"/>
            <w:tcBorders>
              <w:tl2br w:val="nil"/>
              <w:tr2bl w:val="nil"/>
            </w:tcBorders>
            <w:shd w:val="clear" w:color="auto" w:fill="auto"/>
            <w:vAlign w:val="center"/>
          </w:tcPr>
          <w:p w14:paraId="7A908BEF">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0.16</w:t>
            </w:r>
          </w:p>
        </w:tc>
        <w:tc>
          <w:tcPr>
            <w:tcW w:w="1236" w:type="dxa"/>
            <w:tcBorders>
              <w:tl2br w:val="nil"/>
              <w:tr2bl w:val="nil"/>
            </w:tcBorders>
            <w:shd w:val="clear" w:color="auto" w:fill="auto"/>
            <w:vAlign w:val="center"/>
          </w:tcPr>
          <w:p w14:paraId="364AD115">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 xml:space="preserve">0.0025 </w:t>
            </w:r>
          </w:p>
        </w:tc>
        <w:tc>
          <w:tcPr>
            <w:tcW w:w="1236" w:type="dxa"/>
            <w:tcBorders>
              <w:tl2br w:val="nil"/>
              <w:tr2bl w:val="nil"/>
            </w:tcBorders>
            <w:shd w:val="clear" w:color="auto" w:fill="auto"/>
            <w:vAlign w:val="center"/>
          </w:tcPr>
          <w:p w14:paraId="38A88287">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0.23</w:t>
            </w:r>
          </w:p>
        </w:tc>
        <w:tc>
          <w:tcPr>
            <w:tcW w:w="1238" w:type="dxa"/>
            <w:tcBorders>
              <w:tl2br w:val="nil"/>
              <w:tr2bl w:val="nil"/>
            </w:tcBorders>
            <w:shd w:val="clear" w:color="auto" w:fill="auto"/>
            <w:vAlign w:val="center"/>
          </w:tcPr>
          <w:p w14:paraId="4FBADB88">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 xml:space="preserve">0.0035 </w:t>
            </w:r>
          </w:p>
        </w:tc>
      </w:tr>
      <w:tr w14:paraId="5C55FD03">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992" w:type="dxa"/>
            <w:tcBorders>
              <w:tl2br w:val="nil"/>
              <w:tr2bl w:val="nil"/>
            </w:tcBorders>
            <w:shd w:val="clear" w:color="auto" w:fill="auto"/>
            <w:vAlign w:val="center"/>
          </w:tcPr>
          <w:p w14:paraId="30F7D2C3">
            <w:pPr>
              <w:ind w:left="-105" w:right="-105"/>
              <w:jc w:val="center"/>
              <w:textAlignment w:val="center"/>
              <w:rPr>
                <w:color w:val="auto"/>
                <w:sz w:val="21"/>
                <w:szCs w:val="21"/>
                <w:highlight w:val="none"/>
              </w:rPr>
            </w:pPr>
            <w:r>
              <w:rPr>
                <w:rFonts w:hint="eastAsia"/>
                <w:color w:val="auto"/>
                <w:sz w:val="21"/>
                <w:szCs w:val="21"/>
                <w:highlight w:val="none"/>
                <w:lang w:bidi="ar"/>
              </w:rPr>
              <w:t>铜</w:t>
            </w:r>
          </w:p>
        </w:tc>
        <w:tc>
          <w:tcPr>
            <w:tcW w:w="870" w:type="dxa"/>
            <w:tcBorders>
              <w:tl2br w:val="nil"/>
              <w:tr2bl w:val="nil"/>
            </w:tcBorders>
            <w:shd w:val="clear" w:color="auto" w:fill="auto"/>
            <w:vAlign w:val="center"/>
          </w:tcPr>
          <w:p w14:paraId="7E180150">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mg/kg</w:t>
            </w:r>
          </w:p>
        </w:tc>
        <w:tc>
          <w:tcPr>
            <w:tcW w:w="900" w:type="dxa"/>
            <w:tcBorders>
              <w:tl2br w:val="nil"/>
              <w:tr2bl w:val="nil"/>
            </w:tcBorders>
            <w:shd w:val="clear" w:color="auto" w:fill="auto"/>
            <w:vAlign w:val="center"/>
          </w:tcPr>
          <w:p w14:paraId="0C9A331F">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18000</w:t>
            </w:r>
          </w:p>
        </w:tc>
        <w:tc>
          <w:tcPr>
            <w:tcW w:w="1236" w:type="dxa"/>
            <w:tcBorders>
              <w:tl2br w:val="nil"/>
              <w:tr2bl w:val="nil"/>
            </w:tcBorders>
            <w:shd w:val="clear" w:color="auto" w:fill="auto"/>
            <w:vAlign w:val="center"/>
          </w:tcPr>
          <w:p w14:paraId="46DF6464">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27</w:t>
            </w:r>
          </w:p>
        </w:tc>
        <w:tc>
          <w:tcPr>
            <w:tcW w:w="1236" w:type="dxa"/>
            <w:tcBorders>
              <w:tl2br w:val="nil"/>
              <w:tr2bl w:val="nil"/>
            </w:tcBorders>
            <w:shd w:val="clear" w:color="auto" w:fill="auto"/>
            <w:vAlign w:val="center"/>
          </w:tcPr>
          <w:p w14:paraId="26917704">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 xml:space="preserve">0.0015 </w:t>
            </w:r>
          </w:p>
        </w:tc>
        <w:tc>
          <w:tcPr>
            <w:tcW w:w="1236" w:type="dxa"/>
            <w:tcBorders>
              <w:tl2br w:val="nil"/>
              <w:tr2bl w:val="nil"/>
            </w:tcBorders>
            <w:shd w:val="clear" w:color="auto" w:fill="auto"/>
            <w:vAlign w:val="center"/>
          </w:tcPr>
          <w:p w14:paraId="549F53C7">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24</w:t>
            </w:r>
          </w:p>
        </w:tc>
        <w:tc>
          <w:tcPr>
            <w:tcW w:w="1236" w:type="dxa"/>
            <w:tcBorders>
              <w:tl2br w:val="nil"/>
              <w:tr2bl w:val="nil"/>
            </w:tcBorders>
            <w:shd w:val="clear" w:color="auto" w:fill="auto"/>
            <w:vAlign w:val="center"/>
          </w:tcPr>
          <w:p w14:paraId="7270A941">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 xml:space="preserve">0.0013 </w:t>
            </w:r>
          </w:p>
        </w:tc>
        <w:tc>
          <w:tcPr>
            <w:tcW w:w="1236" w:type="dxa"/>
            <w:tcBorders>
              <w:tl2br w:val="nil"/>
              <w:tr2bl w:val="nil"/>
            </w:tcBorders>
            <w:shd w:val="clear" w:color="auto" w:fill="auto"/>
            <w:vAlign w:val="center"/>
          </w:tcPr>
          <w:p w14:paraId="512A3033">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27</w:t>
            </w:r>
          </w:p>
        </w:tc>
        <w:tc>
          <w:tcPr>
            <w:tcW w:w="1236" w:type="dxa"/>
            <w:tcBorders>
              <w:tl2br w:val="nil"/>
              <w:tr2bl w:val="nil"/>
            </w:tcBorders>
            <w:shd w:val="clear" w:color="auto" w:fill="auto"/>
            <w:vAlign w:val="center"/>
          </w:tcPr>
          <w:p w14:paraId="7ABF303F">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 xml:space="preserve">0.0015 </w:t>
            </w:r>
          </w:p>
        </w:tc>
        <w:tc>
          <w:tcPr>
            <w:tcW w:w="1236" w:type="dxa"/>
            <w:tcBorders>
              <w:tl2br w:val="nil"/>
              <w:tr2bl w:val="nil"/>
            </w:tcBorders>
            <w:shd w:val="clear" w:color="auto" w:fill="auto"/>
            <w:vAlign w:val="center"/>
          </w:tcPr>
          <w:p w14:paraId="6F0BBF08">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30</w:t>
            </w:r>
          </w:p>
        </w:tc>
        <w:tc>
          <w:tcPr>
            <w:tcW w:w="1238" w:type="dxa"/>
            <w:tcBorders>
              <w:tl2br w:val="nil"/>
              <w:tr2bl w:val="nil"/>
            </w:tcBorders>
            <w:shd w:val="clear" w:color="auto" w:fill="auto"/>
            <w:vAlign w:val="center"/>
          </w:tcPr>
          <w:p w14:paraId="15DCD33A">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 xml:space="preserve">0.0017 </w:t>
            </w:r>
          </w:p>
        </w:tc>
      </w:tr>
      <w:tr w14:paraId="3C4A4091">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992" w:type="dxa"/>
            <w:tcBorders>
              <w:tl2br w:val="nil"/>
              <w:tr2bl w:val="nil"/>
            </w:tcBorders>
            <w:shd w:val="clear" w:color="auto" w:fill="auto"/>
            <w:vAlign w:val="center"/>
          </w:tcPr>
          <w:p w14:paraId="2CB5DC4E">
            <w:pPr>
              <w:ind w:left="-105" w:right="-105"/>
              <w:jc w:val="center"/>
              <w:textAlignment w:val="center"/>
              <w:rPr>
                <w:color w:val="auto"/>
                <w:sz w:val="21"/>
                <w:szCs w:val="21"/>
                <w:highlight w:val="none"/>
              </w:rPr>
            </w:pPr>
            <w:r>
              <w:rPr>
                <w:rFonts w:hint="eastAsia"/>
                <w:color w:val="auto"/>
                <w:sz w:val="21"/>
                <w:szCs w:val="21"/>
                <w:highlight w:val="none"/>
                <w:lang w:bidi="ar"/>
              </w:rPr>
              <w:t>铅</w:t>
            </w:r>
          </w:p>
        </w:tc>
        <w:tc>
          <w:tcPr>
            <w:tcW w:w="870" w:type="dxa"/>
            <w:tcBorders>
              <w:tl2br w:val="nil"/>
              <w:tr2bl w:val="nil"/>
            </w:tcBorders>
            <w:shd w:val="clear" w:color="auto" w:fill="auto"/>
            <w:vAlign w:val="center"/>
          </w:tcPr>
          <w:p w14:paraId="70DBC69B">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mg/kg</w:t>
            </w:r>
          </w:p>
        </w:tc>
        <w:tc>
          <w:tcPr>
            <w:tcW w:w="900" w:type="dxa"/>
            <w:tcBorders>
              <w:tl2br w:val="nil"/>
              <w:tr2bl w:val="nil"/>
            </w:tcBorders>
            <w:shd w:val="clear" w:color="auto" w:fill="auto"/>
            <w:vAlign w:val="center"/>
          </w:tcPr>
          <w:p w14:paraId="25049EA8">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800</w:t>
            </w:r>
          </w:p>
        </w:tc>
        <w:tc>
          <w:tcPr>
            <w:tcW w:w="1236" w:type="dxa"/>
            <w:tcBorders>
              <w:tl2br w:val="nil"/>
              <w:tr2bl w:val="nil"/>
            </w:tcBorders>
            <w:shd w:val="clear" w:color="auto" w:fill="auto"/>
            <w:vAlign w:val="center"/>
          </w:tcPr>
          <w:p w14:paraId="2D58D08E">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22.3</w:t>
            </w:r>
          </w:p>
        </w:tc>
        <w:tc>
          <w:tcPr>
            <w:tcW w:w="1236" w:type="dxa"/>
            <w:tcBorders>
              <w:tl2br w:val="nil"/>
              <w:tr2bl w:val="nil"/>
            </w:tcBorders>
            <w:shd w:val="clear" w:color="auto" w:fill="auto"/>
            <w:vAlign w:val="center"/>
          </w:tcPr>
          <w:p w14:paraId="27C76B35">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 xml:space="preserve">0.0279 </w:t>
            </w:r>
          </w:p>
        </w:tc>
        <w:tc>
          <w:tcPr>
            <w:tcW w:w="1236" w:type="dxa"/>
            <w:tcBorders>
              <w:tl2br w:val="nil"/>
              <w:tr2bl w:val="nil"/>
            </w:tcBorders>
            <w:shd w:val="clear" w:color="auto" w:fill="auto"/>
            <w:vAlign w:val="center"/>
          </w:tcPr>
          <w:p w14:paraId="6962C48B">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24.9</w:t>
            </w:r>
          </w:p>
        </w:tc>
        <w:tc>
          <w:tcPr>
            <w:tcW w:w="1236" w:type="dxa"/>
            <w:tcBorders>
              <w:tl2br w:val="nil"/>
              <w:tr2bl w:val="nil"/>
            </w:tcBorders>
            <w:shd w:val="clear" w:color="auto" w:fill="auto"/>
            <w:vAlign w:val="center"/>
          </w:tcPr>
          <w:p w14:paraId="1F900B77">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 xml:space="preserve">0.0311 </w:t>
            </w:r>
          </w:p>
        </w:tc>
        <w:tc>
          <w:tcPr>
            <w:tcW w:w="1236" w:type="dxa"/>
            <w:tcBorders>
              <w:tl2br w:val="nil"/>
              <w:tr2bl w:val="nil"/>
            </w:tcBorders>
            <w:shd w:val="clear" w:color="auto" w:fill="auto"/>
            <w:vAlign w:val="center"/>
          </w:tcPr>
          <w:p w14:paraId="596A7954">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23.4</w:t>
            </w:r>
          </w:p>
        </w:tc>
        <w:tc>
          <w:tcPr>
            <w:tcW w:w="1236" w:type="dxa"/>
            <w:tcBorders>
              <w:tl2br w:val="nil"/>
              <w:tr2bl w:val="nil"/>
            </w:tcBorders>
            <w:shd w:val="clear" w:color="auto" w:fill="auto"/>
            <w:vAlign w:val="center"/>
          </w:tcPr>
          <w:p w14:paraId="1F029F71">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 xml:space="preserve">0.0293 </w:t>
            </w:r>
          </w:p>
        </w:tc>
        <w:tc>
          <w:tcPr>
            <w:tcW w:w="1236" w:type="dxa"/>
            <w:tcBorders>
              <w:tl2br w:val="nil"/>
              <w:tr2bl w:val="nil"/>
            </w:tcBorders>
            <w:shd w:val="clear" w:color="auto" w:fill="auto"/>
            <w:vAlign w:val="center"/>
          </w:tcPr>
          <w:p w14:paraId="37AD1A94">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26.1</w:t>
            </w:r>
          </w:p>
        </w:tc>
        <w:tc>
          <w:tcPr>
            <w:tcW w:w="1238" w:type="dxa"/>
            <w:tcBorders>
              <w:tl2br w:val="nil"/>
              <w:tr2bl w:val="nil"/>
            </w:tcBorders>
            <w:shd w:val="clear" w:color="auto" w:fill="auto"/>
            <w:vAlign w:val="center"/>
          </w:tcPr>
          <w:p w14:paraId="5D1E3781">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 xml:space="preserve">0.0326 </w:t>
            </w:r>
          </w:p>
        </w:tc>
      </w:tr>
      <w:tr w14:paraId="08E5041F">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992" w:type="dxa"/>
            <w:tcBorders>
              <w:tl2br w:val="nil"/>
              <w:tr2bl w:val="nil"/>
            </w:tcBorders>
            <w:shd w:val="clear" w:color="auto" w:fill="auto"/>
            <w:vAlign w:val="center"/>
          </w:tcPr>
          <w:p w14:paraId="7EE1E886">
            <w:pPr>
              <w:ind w:left="-105" w:right="-105"/>
              <w:jc w:val="center"/>
              <w:textAlignment w:val="center"/>
              <w:rPr>
                <w:color w:val="auto"/>
                <w:sz w:val="21"/>
                <w:szCs w:val="21"/>
                <w:highlight w:val="none"/>
              </w:rPr>
            </w:pPr>
            <w:r>
              <w:rPr>
                <w:rFonts w:hint="eastAsia"/>
                <w:color w:val="auto"/>
                <w:sz w:val="21"/>
                <w:szCs w:val="21"/>
                <w:highlight w:val="none"/>
                <w:lang w:bidi="ar"/>
              </w:rPr>
              <w:t>镍</w:t>
            </w:r>
          </w:p>
        </w:tc>
        <w:tc>
          <w:tcPr>
            <w:tcW w:w="870" w:type="dxa"/>
            <w:tcBorders>
              <w:tl2br w:val="nil"/>
              <w:tr2bl w:val="nil"/>
            </w:tcBorders>
            <w:shd w:val="clear" w:color="auto" w:fill="auto"/>
            <w:vAlign w:val="center"/>
          </w:tcPr>
          <w:p w14:paraId="1EC2A07D">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mg/kg</w:t>
            </w:r>
          </w:p>
        </w:tc>
        <w:tc>
          <w:tcPr>
            <w:tcW w:w="900" w:type="dxa"/>
            <w:tcBorders>
              <w:tl2br w:val="nil"/>
              <w:tr2bl w:val="nil"/>
            </w:tcBorders>
            <w:shd w:val="clear" w:color="auto" w:fill="auto"/>
            <w:vAlign w:val="center"/>
          </w:tcPr>
          <w:p w14:paraId="0ECA64B4">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900</w:t>
            </w:r>
          </w:p>
        </w:tc>
        <w:tc>
          <w:tcPr>
            <w:tcW w:w="1236" w:type="dxa"/>
            <w:tcBorders>
              <w:tl2br w:val="nil"/>
              <w:tr2bl w:val="nil"/>
            </w:tcBorders>
            <w:shd w:val="clear" w:color="auto" w:fill="auto"/>
            <w:vAlign w:val="center"/>
          </w:tcPr>
          <w:p w14:paraId="34094C73">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29</w:t>
            </w:r>
          </w:p>
        </w:tc>
        <w:tc>
          <w:tcPr>
            <w:tcW w:w="1236" w:type="dxa"/>
            <w:tcBorders>
              <w:tl2br w:val="nil"/>
              <w:tr2bl w:val="nil"/>
            </w:tcBorders>
            <w:shd w:val="clear" w:color="auto" w:fill="auto"/>
            <w:vAlign w:val="center"/>
          </w:tcPr>
          <w:p w14:paraId="657C29A3">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 xml:space="preserve">0.0322 </w:t>
            </w:r>
          </w:p>
        </w:tc>
        <w:tc>
          <w:tcPr>
            <w:tcW w:w="1236" w:type="dxa"/>
            <w:tcBorders>
              <w:tl2br w:val="nil"/>
              <w:tr2bl w:val="nil"/>
            </w:tcBorders>
            <w:shd w:val="clear" w:color="auto" w:fill="auto"/>
            <w:vAlign w:val="center"/>
          </w:tcPr>
          <w:p w14:paraId="6286BBC7">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30</w:t>
            </w:r>
          </w:p>
        </w:tc>
        <w:tc>
          <w:tcPr>
            <w:tcW w:w="1236" w:type="dxa"/>
            <w:tcBorders>
              <w:tl2br w:val="nil"/>
              <w:tr2bl w:val="nil"/>
            </w:tcBorders>
            <w:shd w:val="clear" w:color="auto" w:fill="auto"/>
            <w:vAlign w:val="center"/>
          </w:tcPr>
          <w:p w14:paraId="7E2E0EFA">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 xml:space="preserve">0.0333 </w:t>
            </w:r>
          </w:p>
        </w:tc>
        <w:tc>
          <w:tcPr>
            <w:tcW w:w="1236" w:type="dxa"/>
            <w:tcBorders>
              <w:tl2br w:val="nil"/>
              <w:tr2bl w:val="nil"/>
            </w:tcBorders>
            <w:shd w:val="clear" w:color="auto" w:fill="auto"/>
            <w:vAlign w:val="center"/>
          </w:tcPr>
          <w:p w14:paraId="1B1CED19">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41</w:t>
            </w:r>
          </w:p>
        </w:tc>
        <w:tc>
          <w:tcPr>
            <w:tcW w:w="1236" w:type="dxa"/>
            <w:tcBorders>
              <w:tl2br w:val="nil"/>
              <w:tr2bl w:val="nil"/>
            </w:tcBorders>
            <w:shd w:val="clear" w:color="auto" w:fill="auto"/>
            <w:vAlign w:val="center"/>
          </w:tcPr>
          <w:p w14:paraId="3A972939">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 xml:space="preserve">0.0456 </w:t>
            </w:r>
          </w:p>
        </w:tc>
        <w:tc>
          <w:tcPr>
            <w:tcW w:w="1236" w:type="dxa"/>
            <w:tcBorders>
              <w:tl2br w:val="nil"/>
              <w:tr2bl w:val="nil"/>
            </w:tcBorders>
            <w:shd w:val="clear" w:color="auto" w:fill="auto"/>
            <w:vAlign w:val="center"/>
          </w:tcPr>
          <w:p w14:paraId="13F08CAA">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39</w:t>
            </w:r>
          </w:p>
        </w:tc>
        <w:tc>
          <w:tcPr>
            <w:tcW w:w="1238" w:type="dxa"/>
            <w:tcBorders>
              <w:tl2br w:val="nil"/>
              <w:tr2bl w:val="nil"/>
            </w:tcBorders>
            <w:shd w:val="clear" w:color="auto" w:fill="auto"/>
            <w:vAlign w:val="center"/>
          </w:tcPr>
          <w:p w14:paraId="73885137">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 xml:space="preserve">0.0433 </w:t>
            </w:r>
          </w:p>
        </w:tc>
      </w:tr>
      <w:tr w14:paraId="2BC514B4">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992" w:type="dxa"/>
            <w:tcBorders>
              <w:tl2br w:val="nil"/>
              <w:tr2bl w:val="nil"/>
            </w:tcBorders>
            <w:shd w:val="clear" w:color="auto" w:fill="auto"/>
            <w:vAlign w:val="center"/>
          </w:tcPr>
          <w:p w14:paraId="1B74B534">
            <w:pPr>
              <w:ind w:left="-105" w:right="-105"/>
              <w:jc w:val="center"/>
              <w:textAlignment w:val="center"/>
              <w:rPr>
                <w:color w:val="auto"/>
                <w:sz w:val="21"/>
                <w:szCs w:val="21"/>
                <w:highlight w:val="none"/>
              </w:rPr>
            </w:pPr>
            <w:r>
              <w:rPr>
                <w:rFonts w:hint="eastAsia"/>
                <w:color w:val="auto"/>
                <w:sz w:val="21"/>
                <w:szCs w:val="21"/>
                <w:highlight w:val="none"/>
                <w:lang w:bidi="ar"/>
              </w:rPr>
              <w:t>六价铬</w:t>
            </w:r>
          </w:p>
        </w:tc>
        <w:tc>
          <w:tcPr>
            <w:tcW w:w="870" w:type="dxa"/>
            <w:tcBorders>
              <w:tl2br w:val="nil"/>
              <w:tr2bl w:val="nil"/>
            </w:tcBorders>
            <w:shd w:val="clear" w:color="auto" w:fill="auto"/>
            <w:vAlign w:val="center"/>
          </w:tcPr>
          <w:p w14:paraId="5D56007A">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mg/kg</w:t>
            </w:r>
          </w:p>
        </w:tc>
        <w:tc>
          <w:tcPr>
            <w:tcW w:w="900" w:type="dxa"/>
            <w:tcBorders>
              <w:tl2br w:val="nil"/>
              <w:tr2bl w:val="nil"/>
            </w:tcBorders>
            <w:shd w:val="clear" w:color="auto" w:fill="auto"/>
            <w:vAlign w:val="center"/>
          </w:tcPr>
          <w:p w14:paraId="781C712C">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5.7</w:t>
            </w:r>
          </w:p>
        </w:tc>
        <w:tc>
          <w:tcPr>
            <w:tcW w:w="1236" w:type="dxa"/>
            <w:tcBorders>
              <w:tl2br w:val="nil"/>
              <w:tr2bl w:val="nil"/>
            </w:tcBorders>
            <w:shd w:val="clear" w:color="auto" w:fill="auto"/>
            <w:vAlign w:val="center"/>
          </w:tcPr>
          <w:p w14:paraId="3DE91690">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6" w:type="dxa"/>
            <w:tcBorders>
              <w:tl2br w:val="nil"/>
              <w:tr2bl w:val="nil"/>
            </w:tcBorders>
            <w:shd w:val="clear" w:color="auto" w:fill="auto"/>
            <w:vAlign w:val="center"/>
          </w:tcPr>
          <w:p w14:paraId="26A5825F">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6" w:type="dxa"/>
            <w:tcBorders>
              <w:tl2br w:val="nil"/>
              <w:tr2bl w:val="nil"/>
            </w:tcBorders>
            <w:shd w:val="clear" w:color="auto" w:fill="auto"/>
            <w:vAlign w:val="center"/>
          </w:tcPr>
          <w:p w14:paraId="217F3DFC">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6" w:type="dxa"/>
            <w:tcBorders>
              <w:tl2br w:val="nil"/>
              <w:tr2bl w:val="nil"/>
            </w:tcBorders>
            <w:shd w:val="clear" w:color="auto" w:fill="auto"/>
            <w:vAlign w:val="center"/>
          </w:tcPr>
          <w:p w14:paraId="11DEA95F">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6" w:type="dxa"/>
            <w:tcBorders>
              <w:tl2br w:val="nil"/>
              <w:tr2bl w:val="nil"/>
            </w:tcBorders>
            <w:shd w:val="clear" w:color="auto" w:fill="auto"/>
            <w:vAlign w:val="center"/>
          </w:tcPr>
          <w:p w14:paraId="73DE8B38">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6" w:type="dxa"/>
            <w:tcBorders>
              <w:tl2br w:val="nil"/>
              <w:tr2bl w:val="nil"/>
            </w:tcBorders>
            <w:shd w:val="clear" w:color="auto" w:fill="auto"/>
            <w:vAlign w:val="center"/>
          </w:tcPr>
          <w:p w14:paraId="5AFAE5B9">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6" w:type="dxa"/>
            <w:tcBorders>
              <w:tl2br w:val="nil"/>
              <w:tr2bl w:val="nil"/>
            </w:tcBorders>
            <w:shd w:val="clear" w:color="auto" w:fill="auto"/>
            <w:vAlign w:val="center"/>
          </w:tcPr>
          <w:p w14:paraId="378D8383">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8" w:type="dxa"/>
            <w:tcBorders>
              <w:tl2br w:val="nil"/>
              <w:tr2bl w:val="nil"/>
            </w:tcBorders>
            <w:shd w:val="clear" w:color="auto" w:fill="auto"/>
            <w:vAlign w:val="center"/>
          </w:tcPr>
          <w:p w14:paraId="25CBF0DB">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r>
      <w:tr w14:paraId="5B394A45">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992" w:type="dxa"/>
            <w:tcBorders>
              <w:tl2br w:val="nil"/>
              <w:tr2bl w:val="nil"/>
            </w:tcBorders>
            <w:shd w:val="clear" w:color="auto" w:fill="auto"/>
            <w:vAlign w:val="center"/>
          </w:tcPr>
          <w:p w14:paraId="36C705DB">
            <w:pPr>
              <w:ind w:left="-105" w:right="-105"/>
              <w:jc w:val="center"/>
              <w:textAlignment w:val="center"/>
              <w:rPr>
                <w:color w:val="auto"/>
                <w:sz w:val="21"/>
                <w:szCs w:val="21"/>
                <w:highlight w:val="none"/>
              </w:rPr>
            </w:pPr>
            <w:r>
              <w:rPr>
                <w:rFonts w:hint="eastAsia"/>
                <w:color w:val="auto"/>
                <w:sz w:val="21"/>
                <w:szCs w:val="21"/>
                <w:highlight w:val="none"/>
                <w:lang w:bidi="ar"/>
              </w:rPr>
              <w:t>氯甲烷</w:t>
            </w:r>
          </w:p>
        </w:tc>
        <w:tc>
          <w:tcPr>
            <w:tcW w:w="870" w:type="dxa"/>
            <w:tcBorders>
              <w:tl2br w:val="nil"/>
              <w:tr2bl w:val="nil"/>
            </w:tcBorders>
            <w:shd w:val="clear" w:color="auto" w:fill="auto"/>
            <w:vAlign w:val="center"/>
          </w:tcPr>
          <w:p w14:paraId="0E0F5C73">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mg/kg</w:t>
            </w:r>
          </w:p>
        </w:tc>
        <w:tc>
          <w:tcPr>
            <w:tcW w:w="900" w:type="dxa"/>
            <w:tcBorders>
              <w:tl2br w:val="nil"/>
              <w:tr2bl w:val="nil"/>
            </w:tcBorders>
            <w:shd w:val="clear" w:color="auto" w:fill="auto"/>
            <w:vAlign w:val="center"/>
          </w:tcPr>
          <w:p w14:paraId="5F8075EE">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37</w:t>
            </w:r>
          </w:p>
        </w:tc>
        <w:tc>
          <w:tcPr>
            <w:tcW w:w="1236" w:type="dxa"/>
            <w:tcBorders>
              <w:tl2br w:val="nil"/>
              <w:tr2bl w:val="nil"/>
            </w:tcBorders>
            <w:shd w:val="clear" w:color="auto" w:fill="auto"/>
            <w:vAlign w:val="center"/>
          </w:tcPr>
          <w:p w14:paraId="6AC9A976">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6" w:type="dxa"/>
            <w:tcBorders>
              <w:tl2br w:val="nil"/>
              <w:tr2bl w:val="nil"/>
            </w:tcBorders>
            <w:shd w:val="clear" w:color="auto" w:fill="auto"/>
            <w:vAlign w:val="center"/>
          </w:tcPr>
          <w:p w14:paraId="15FB80EF">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6" w:type="dxa"/>
            <w:tcBorders>
              <w:tl2br w:val="nil"/>
              <w:tr2bl w:val="nil"/>
            </w:tcBorders>
            <w:shd w:val="clear" w:color="auto" w:fill="auto"/>
            <w:vAlign w:val="center"/>
          </w:tcPr>
          <w:p w14:paraId="73C38964">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6" w:type="dxa"/>
            <w:tcBorders>
              <w:tl2br w:val="nil"/>
              <w:tr2bl w:val="nil"/>
            </w:tcBorders>
            <w:shd w:val="clear" w:color="auto" w:fill="auto"/>
            <w:vAlign w:val="center"/>
          </w:tcPr>
          <w:p w14:paraId="0941478C">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6" w:type="dxa"/>
            <w:tcBorders>
              <w:tl2br w:val="nil"/>
              <w:tr2bl w:val="nil"/>
            </w:tcBorders>
            <w:shd w:val="clear" w:color="auto" w:fill="auto"/>
            <w:vAlign w:val="center"/>
          </w:tcPr>
          <w:p w14:paraId="68C74594">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6" w:type="dxa"/>
            <w:tcBorders>
              <w:tl2br w:val="nil"/>
              <w:tr2bl w:val="nil"/>
            </w:tcBorders>
            <w:shd w:val="clear" w:color="auto" w:fill="auto"/>
            <w:vAlign w:val="center"/>
          </w:tcPr>
          <w:p w14:paraId="58AD1C6F">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6" w:type="dxa"/>
            <w:tcBorders>
              <w:tl2br w:val="nil"/>
              <w:tr2bl w:val="nil"/>
            </w:tcBorders>
            <w:shd w:val="clear" w:color="auto" w:fill="auto"/>
            <w:vAlign w:val="center"/>
          </w:tcPr>
          <w:p w14:paraId="136154D4">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8" w:type="dxa"/>
            <w:tcBorders>
              <w:tl2br w:val="nil"/>
              <w:tr2bl w:val="nil"/>
            </w:tcBorders>
            <w:shd w:val="clear" w:color="auto" w:fill="auto"/>
            <w:vAlign w:val="center"/>
          </w:tcPr>
          <w:p w14:paraId="62600C7E">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r>
      <w:tr w14:paraId="164D3CAF">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992" w:type="dxa"/>
            <w:tcBorders>
              <w:tl2br w:val="nil"/>
              <w:tr2bl w:val="nil"/>
            </w:tcBorders>
            <w:shd w:val="clear" w:color="auto" w:fill="auto"/>
            <w:vAlign w:val="center"/>
          </w:tcPr>
          <w:p w14:paraId="332DA5E9">
            <w:pPr>
              <w:ind w:left="-105" w:right="-105"/>
              <w:jc w:val="center"/>
              <w:textAlignment w:val="center"/>
              <w:rPr>
                <w:color w:val="auto"/>
                <w:sz w:val="21"/>
                <w:szCs w:val="21"/>
                <w:highlight w:val="none"/>
              </w:rPr>
            </w:pPr>
            <w:r>
              <w:rPr>
                <w:rFonts w:hint="eastAsia"/>
                <w:color w:val="auto"/>
                <w:sz w:val="21"/>
                <w:szCs w:val="21"/>
                <w:highlight w:val="none"/>
                <w:lang w:bidi="ar"/>
              </w:rPr>
              <w:t>氯乙烯</w:t>
            </w:r>
          </w:p>
        </w:tc>
        <w:tc>
          <w:tcPr>
            <w:tcW w:w="870" w:type="dxa"/>
            <w:tcBorders>
              <w:tl2br w:val="nil"/>
              <w:tr2bl w:val="nil"/>
            </w:tcBorders>
            <w:shd w:val="clear" w:color="auto" w:fill="auto"/>
            <w:vAlign w:val="center"/>
          </w:tcPr>
          <w:p w14:paraId="365ED65E">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mg/kg</w:t>
            </w:r>
          </w:p>
        </w:tc>
        <w:tc>
          <w:tcPr>
            <w:tcW w:w="900" w:type="dxa"/>
            <w:tcBorders>
              <w:tl2br w:val="nil"/>
              <w:tr2bl w:val="nil"/>
            </w:tcBorders>
            <w:shd w:val="clear" w:color="auto" w:fill="auto"/>
            <w:vAlign w:val="center"/>
          </w:tcPr>
          <w:p w14:paraId="7CF66FB0">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0.43</w:t>
            </w:r>
          </w:p>
        </w:tc>
        <w:tc>
          <w:tcPr>
            <w:tcW w:w="1236" w:type="dxa"/>
            <w:tcBorders>
              <w:tl2br w:val="nil"/>
              <w:tr2bl w:val="nil"/>
            </w:tcBorders>
            <w:shd w:val="clear" w:color="auto" w:fill="auto"/>
            <w:vAlign w:val="center"/>
          </w:tcPr>
          <w:p w14:paraId="254556B0">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6" w:type="dxa"/>
            <w:tcBorders>
              <w:tl2br w:val="nil"/>
              <w:tr2bl w:val="nil"/>
            </w:tcBorders>
            <w:shd w:val="clear" w:color="auto" w:fill="auto"/>
            <w:vAlign w:val="center"/>
          </w:tcPr>
          <w:p w14:paraId="08A61959">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6" w:type="dxa"/>
            <w:tcBorders>
              <w:tl2br w:val="nil"/>
              <w:tr2bl w:val="nil"/>
            </w:tcBorders>
            <w:shd w:val="clear" w:color="auto" w:fill="auto"/>
            <w:vAlign w:val="center"/>
          </w:tcPr>
          <w:p w14:paraId="73C6E446">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6" w:type="dxa"/>
            <w:tcBorders>
              <w:tl2br w:val="nil"/>
              <w:tr2bl w:val="nil"/>
            </w:tcBorders>
            <w:shd w:val="clear" w:color="auto" w:fill="auto"/>
            <w:vAlign w:val="center"/>
          </w:tcPr>
          <w:p w14:paraId="26B93381">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6" w:type="dxa"/>
            <w:tcBorders>
              <w:tl2br w:val="nil"/>
              <w:tr2bl w:val="nil"/>
            </w:tcBorders>
            <w:shd w:val="clear" w:color="auto" w:fill="auto"/>
            <w:vAlign w:val="center"/>
          </w:tcPr>
          <w:p w14:paraId="54405E53">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6" w:type="dxa"/>
            <w:tcBorders>
              <w:tl2br w:val="nil"/>
              <w:tr2bl w:val="nil"/>
            </w:tcBorders>
            <w:shd w:val="clear" w:color="auto" w:fill="auto"/>
            <w:vAlign w:val="center"/>
          </w:tcPr>
          <w:p w14:paraId="287E2329">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6" w:type="dxa"/>
            <w:tcBorders>
              <w:tl2br w:val="nil"/>
              <w:tr2bl w:val="nil"/>
            </w:tcBorders>
            <w:shd w:val="clear" w:color="auto" w:fill="auto"/>
            <w:vAlign w:val="center"/>
          </w:tcPr>
          <w:p w14:paraId="62C7CEDD">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8" w:type="dxa"/>
            <w:tcBorders>
              <w:tl2br w:val="nil"/>
              <w:tr2bl w:val="nil"/>
            </w:tcBorders>
            <w:shd w:val="clear" w:color="auto" w:fill="auto"/>
            <w:vAlign w:val="center"/>
          </w:tcPr>
          <w:p w14:paraId="70858A8F">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r>
      <w:tr w14:paraId="70425DF6">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992" w:type="dxa"/>
            <w:tcBorders>
              <w:tl2br w:val="nil"/>
              <w:tr2bl w:val="nil"/>
            </w:tcBorders>
            <w:shd w:val="clear" w:color="auto" w:fill="auto"/>
            <w:vAlign w:val="center"/>
          </w:tcPr>
          <w:p w14:paraId="23518F92">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1,1-</w:t>
            </w:r>
            <w:r>
              <w:rPr>
                <w:rFonts w:hint="eastAsia"/>
                <w:color w:val="auto"/>
                <w:sz w:val="21"/>
                <w:szCs w:val="21"/>
                <w:highlight w:val="none"/>
                <w:lang w:bidi="ar"/>
              </w:rPr>
              <w:t>二氯乙烯</w:t>
            </w:r>
          </w:p>
        </w:tc>
        <w:tc>
          <w:tcPr>
            <w:tcW w:w="870" w:type="dxa"/>
            <w:tcBorders>
              <w:tl2br w:val="nil"/>
              <w:tr2bl w:val="nil"/>
            </w:tcBorders>
            <w:shd w:val="clear" w:color="auto" w:fill="auto"/>
            <w:vAlign w:val="center"/>
          </w:tcPr>
          <w:p w14:paraId="70B130C6">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mg/kg</w:t>
            </w:r>
          </w:p>
        </w:tc>
        <w:tc>
          <w:tcPr>
            <w:tcW w:w="900" w:type="dxa"/>
            <w:tcBorders>
              <w:tl2br w:val="nil"/>
              <w:tr2bl w:val="nil"/>
            </w:tcBorders>
            <w:shd w:val="clear" w:color="auto" w:fill="auto"/>
            <w:vAlign w:val="center"/>
          </w:tcPr>
          <w:p w14:paraId="55EF374F">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66</w:t>
            </w:r>
          </w:p>
        </w:tc>
        <w:tc>
          <w:tcPr>
            <w:tcW w:w="1236" w:type="dxa"/>
            <w:tcBorders>
              <w:tl2br w:val="nil"/>
              <w:tr2bl w:val="nil"/>
            </w:tcBorders>
            <w:shd w:val="clear" w:color="auto" w:fill="auto"/>
            <w:vAlign w:val="center"/>
          </w:tcPr>
          <w:p w14:paraId="1154FF8E">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6" w:type="dxa"/>
            <w:tcBorders>
              <w:tl2br w:val="nil"/>
              <w:tr2bl w:val="nil"/>
            </w:tcBorders>
            <w:shd w:val="clear" w:color="auto" w:fill="auto"/>
            <w:vAlign w:val="center"/>
          </w:tcPr>
          <w:p w14:paraId="26F4A5A2">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6" w:type="dxa"/>
            <w:tcBorders>
              <w:tl2br w:val="nil"/>
              <w:tr2bl w:val="nil"/>
            </w:tcBorders>
            <w:shd w:val="clear" w:color="auto" w:fill="auto"/>
            <w:vAlign w:val="center"/>
          </w:tcPr>
          <w:p w14:paraId="2B2F8192">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6" w:type="dxa"/>
            <w:tcBorders>
              <w:tl2br w:val="nil"/>
              <w:tr2bl w:val="nil"/>
            </w:tcBorders>
            <w:shd w:val="clear" w:color="auto" w:fill="auto"/>
            <w:vAlign w:val="center"/>
          </w:tcPr>
          <w:p w14:paraId="69D9A37D">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6" w:type="dxa"/>
            <w:tcBorders>
              <w:tl2br w:val="nil"/>
              <w:tr2bl w:val="nil"/>
            </w:tcBorders>
            <w:shd w:val="clear" w:color="auto" w:fill="auto"/>
            <w:vAlign w:val="center"/>
          </w:tcPr>
          <w:p w14:paraId="18CF7635">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6" w:type="dxa"/>
            <w:tcBorders>
              <w:tl2br w:val="nil"/>
              <w:tr2bl w:val="nil"/>
            </w:tcBorders>
            <w:shd w:val="clear" w:color="auto" w:fill="auto"/>
            <w:vAlign w:val="center"/>
          </w:tcPr>
          <w:p w14:paraId="051B8F7A">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6" w:type="dxa"/>
            <w:tcBorders>
              <w:tl2br w:val="nil"/>
              <w:tr2bl w:val="nil"/>
            </w:tcBorders>
            <w:shd w:val="clear" w:color="auto" w:fill="auto"/>
            <w:vAlign w:val="center"/>
          </w:tcPr>
          <w:p w14:paraId="011DF205">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8" w:type="dxa"/>
            <w:tcBorders>
              <w:tl2br w:val="nil"/>
              <w:tr2bl w:val="nil"/>
            </w:tcBorders>
            <w:shd w:val="clear" w:color="auto" w:fill="auto"/>
            <w:vAlign w:val="center"/>
          </w:tcPr>
          <w:p w14:paraId="5A7676DB">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r>
      <w:tr w14:paraId="4922A81A">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992" w:type="dxa"/>
            <w:tcBorders>
              <w:tl2br w:val="nil"/>
              <w:tr2bl w:val="nil"/>
            </w:tcBorders>
            <w:shd w:val="clear" w:color="auto" w:fill="auto"/>
            <w:vAlign w:val="center"/>
          </w:tcPr>
          <w:p w14:paraId="6B5F4687">
            <w:pPr>
              <w:ind w:left="-105" w:right="-105"/>
              <w:jc w:val="center"/>
              <w:textAlignment w:val="center"/>
              <w:rPr>
                <w:color w:val="auto"/>
                <w:sz w:val="21"/>
                <w:szCs w:val="21"/>
                <w:highlight w:val="none"/>
              </w:rPr>
            </w:pPr>
            <w:r>
              <w:rPr>
                <w:rFonts w:hint="eastAsia"/>
                <w:color w:val="auto"/>
                <w:sz w:val="21"/>
                <w:szCs w:val="21"/>
                <w:highlight w:val="none"/>
                <w:lang w:bidi="ar"/>
              </w:rPr>
              <w:t>二氯甲烷</w:t>
            </w:r>
          </w:p>
        </w:tc>
        <w:tc>
          <w:tcPr>
            <w:tcW w:w="870" w:type="dxa"/>
            <w:tcBorders>
              <w:tl2br w:val="nil"/>
              <w:tr2bl w:val="nil"/>
            </w:tcBorders>
            <w:shd w:val="clear" w:color="auto" w:fill="auto"/>
            <w:vAlign w:val="center"/>
          </w:tcPr>
          <w:p w14:paraId="07A656F6">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mg/kg</w:t>
            </w:r>
          </w:p>
        </w:tc>
        <w:tc>
          <w:tcPr>
            <w:tcW w:w="900" w:type="dxa"/>
            <w:tcBorders>
              <w:tl2br w:val="nil"/>
              <w:tr2bl w:val="nil"/>
            </w:tcBorders>
            <w:shd w:val="clear" w:color="auto" w:fill="auto"/>
            <w:vAlign w:val="center"/>
          </w:tcPr>
          <w:p w14:paraId="46FC4B0C">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616</w:t>
            </w:r>
          </w:p>
        </w:tc>
        <w:tc>
          <w:tcPr>
            <w:tcW w:w="1236" w:type="dxa"/>
            <w:tcBorders>
              <w:tl2br w:val="nil"/>
              <w:tr2bl w:val="nil"/>
            </w:tcBorders>
            <w:shd w:val="clear" w:color="auto" w:fill="auto"/>
            <w:vAlign w:val="center"/>
          </w:tcPr>
          <w:p w14:paraId="0A8995BB">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6" w:type="dxa"/>
            <w:tcBorders>
              <w:tl2br w:val="nil"/>
              <w:tr2bl w:val="nil"/>
            </w:tcBorders>
            <w:shd w:val="clear" w:color="auto" w:fill="auto"/>
            <w:vAlign w:val="center"/>
          </w:tcPr>
          <w:p w14:paraId="69C9BCB2">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6" w:type="dxa"/>
            <w:tcBorders>
              <w:tl2br w:val="nil"/>
              <w:tr2bl w:val="nil"/>
            </w:tcBorders>
            <w:shd w:val="clear" w:color="auto" w:fill="auto"/>
            <w:vAlign w:val="center"/>
          </w:tcPr>
          <w:p w14:paraId="49A39C00">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6" w:type="dxa"/>
            <w:tcBorders>
              <w:tl2br w:val="nil"/>
              <w:tr2bl w:val="nil"/>
            </w:tcBorders>
            <w:shd w:val="clear" w:color="auto" w:fill="auto"/>
            <w:vAlign w:val="center"/>
          </w:tcPr>
          <w:p w14:paraId="677A655C">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6" w:type="dxa"/>
            <w:tcBorders>
              <w:tl2br w:val="nil"/>
              <w:tr2bl w:val="nil"/>
            </w:tcBorders>
            <w:shd w:val="clear" w:color="auto" w:fill="auto"/>
            <w:vAlign w:val="center"/>
          </w:tcPr>
          <w:p w14:paraId="1E1F9DBB">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6" w:type="dxa"/>
            <w:tcBorders>
              <w:tl2br w:val="nil"/>
              <w:tr2bl w:val="nil"/>
            </w:tcBorders>
            <w:shd w:val="clear" w:color="auto" w:fill="auto"/>
            <w:vAlign w:val="center"/>
          </w:tcPr>
          <w:p w14:paraId="380C11EA">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6" w:type="dxa"/>
            <w:tcBorders>
              <w:tl2br w:val="nil"/>
              <w:tr2bl w:val="nil"/>
            </w:tcBorders>
            <w:shd w:val="clear" w:color="auto" w:fill="auto"/>
            <w:vAlign w:val="center"/>
          </w:tcPr>
          <w:p w14:paraId="2363E028">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8" w:type="dxa"/>
            <w:tcBorders>
              <w:tl2br w:val="nil"/>
              <w:tr2bl w:val="nil"/>
            </w:tcBorders>
            <w:shd w:val="clear" w:color="auto" w:fill="auto"/>
            <w:vAlign w:val="center"/>
          </w:tcPr>
          <w:p w14:paraId="4375E425">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r>
      <w:tr w14:paraId="265511F1">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992" w:type="dxa"/>
            <w:tcBorders>
              <w:tl2br w:val="nil"/>
              <w:tr2bl w:val="nil"/>
            </w:tcBorders>
            <w:shd w:val="clear" w:color="auto" w:fill="auto"/>
            <w:vAlign w:val="center"/>
          </w:tcPr>
          <w:p w14:paraId="1A612967">
            <w:pPr>
              <w:ind w:left="-105" w:right="-105"/>
              <w:jc w:val="center"/>
              <w:textAlignment w:val="center"/>
              <w:rPr>
                <w:color w:val="auto"/>
                <w:sz w:val="21"/>
                <w:szCs w:val="21"/>
                <w:highlight w:val="none"/>
              </w:rPr>
            </w:pPr>
            <w:r>
              <w:rPr>
                <w:rFonts w:hint="eastAsia"/>
                <w:color w:val="auto"/>
                <w:sz w:val="21"/>
                <w:szCs w:val="21"/>
                <w:highlight w:val="none"/>
                <w:lang w:bidi="ar"/>
              </w:rPr>
              <w:t>反式</w:t>
            </w:r>
            <w:r>
              <w:rPr>
                <w:rFonts w:ascii="Times New Roman" w:hAnsi="Times New Roman" w:cs="Times New Roman"/>
                <w:color w:val="auto"/>
                <w:sz w:val="21"/>
                <w:szCs w:val="21"/>
                <w:highlight w:val="none"/>
                <w:lang w:bidi="ar"/>
              </w:rPr>
              <w:t>-1,2-</w:t>
            </w:r>
            <w:r>
              <w:rPr>
                <w:rFonts w:hint="eastAsia"/>
                <w:color w:val="auto"/>
                <w:sz w:val="21"/>
                <w:szCs w:val="21"/>
                <w:highlight w:val="none"/>
                <w:lang w:bidi="ar"/>
              </w:rPr>
              <w:t>二氯乙烯</w:t>
            </w:r>
          </w:p>
        </w:tc>
        <w:tc>
          <w:tcPr>
            <w:tcW w:w="870" w:type="dxa"/>
            <w:tcBorders>
              <w:tl2br w:val="nil"/>
              <w:tr2bl w:val="nil"/>
            </w:tcBorders>
            <w:shd w:val="clear" w:color="auto" w:fill="auto"/>
            <w:vAlign w:val="center"/>
          </w:tcPr>
          <w:p w14:paraId="7BA3EC52">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mg/kg</w:t>
            </w:r>
          </w:p>
        </w:tc>
        <w:tc>
          <w:tcPr>
            <w:tcW w:w="900" w:type="dxa"/>
            <w:tcBorders>
              <w:tl2br w:val="nil"/>
              <w:tr2bl w:val="nil"/>
            </w:tcBorders>
            <w:shd w:val="clear" w:color="auto" w:fill="auto"/>
            <w:vAlign w:val="center"/>
          </w:tcPr>
          <w:p w14:paraId="6A513C1E">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54</w:t>
            </w:r>
          </w:p>
        </w:tc>
        <w:tc>
          <w:tcPr>
            <w:tcW w:w="1236" w:type="dxa"/>
            <w:tcBorders>
              <w:tl2br w:val="nil"/>
              <w:tr2bl w:val="nil"/>
            </w:tcBorders>
            <w:shd w:val="clear" w:color="auto" w:fill="auto"/>
            <w:vAlign w:val="center"/>
          </w:tcPr>
          <w:p w14:paraId="7EF01AA8">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6" w:type="dxa"/>
            <w:tcBorders>
              <w:tl2br w:val="nil"/>
              <w:tr2bl w:val="nil"/>
            </w:tcBorders>
            <w:shd w:val="clear" w:color="auto" w:fill="auto"/>
            <w:vAlign w:val="center"/>
          </w:tcPr>
          <w:p w14:paraId="372CD8FB">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6" w:type="dxa"/>
            <w:tcBorders>
              <w:tl2br w:val="nil"/>
              <w:tr2bl w:val="nil"/>
            </w:tcBorders>
            <w:shd w:val="clear" w:color="auto" w:fill="auto"/>
            <w:vAlign w:val="center"/>
          </w:tcPr>
          <w:p w14:paraId="4921FEA0">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6" w:type="dxa"/>
            <w:tcBorders>
              <w:tl2br w:val="nil"/>
              <w:tr2bl w:val="nil"/>
            </w:tcBorders>
            <w:shd w:val="clear" w:color="auto" w:fill="auto"/>
            <w:vAlign w:val="center"/>
          </w:tcPr>
          <w:p w14:paraId="77CB190D">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6" w:type="dxa"/>
            <w:tcBorders>
              <w:tl2br w:val="nil"/>
              <w:tr2bl w:val="nil"/>
            </w:tcBorders>
            <w:shd w:val="clear" w:color="auto" w:fill="auto"/>
            <w:vAlign w:val="center"/>
          </w:tcPr>
          <w:p w14:paraId="15793ADF">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6" w:type="dxa"/>
            <w:tcBorders>
              <w:tl2br w:val="nil"/>
              <w:tr2bl w:val="nil"/>
            </w:tcBorders>
            <w:shd w:val="clear" w:color="auto" w:fill="auto"/>
            <w:vAlign w:val="center"/>
          </w:tcPr>
          <w:p w14:paraId="4B6C8729">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6" w:type="dxa"/>
            <w:tcBorders>
              <w:tl2br w:val="nil"/>
              <w:tr2bl w:val="nil"/>
            </w:tcBorders>
            <w:shd w:val="clear" w:color="auto" w:fill="auto"/>
            <w:vAlign w:val="center"/>
          </w:tcPr>
          <w:p w14:paraId="0DF0CCEB">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8" w:type="dxa"/>
            <w:tcBorders>
              <w:tl2br w:val="nil"/>
              <w:tr2bl w:val="nil"/>
            </w:tcBorders>
            <w:shd w:val="clear" w:color="auto" w:fill="auto"/>
            <w:vAlign w:val="center"/>
          </w:tcPr>
          <w:p w14:paraId="79F36504">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r>
      <w:tr w14:paraId="6E640929">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992" w:type="dxa"/>
            <w:tcBorders>
              <w:tl2br w:val="nil"/>
              <w:tr2bl w:val="nil"/>
            </w:tcBorders>
            <w:shd w:val="clear" w:color="auto" w:fill="auto"/>
            <w:vAlign w:val="center"/>
          </w:tcPr>
          <w:p w14:paraId="5F72AAC5">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1,1-</w:t>
            </w:r>
            <w:r>
              <w:rPr>
                <w:rFonts w:hint="eastAsia"/>
                <w:color w:val="auto"/>
                <w:sz w:val="21"/>
                <w:szCs w:val="21"/>
                <w:highlight w:val="none"/>
                <w:lang w:bidi="ar"/>
              </w:rPr>
              <w:t>二氯乙烷</w:t>
            </w:r>
          </w:p>
        </w:tc>
        <w:tc>
          <w:tcPr>
            <w:tcW w:w="870" w:type="dxa"/>
            <w:tcBorders>
              <w:tl2br w:val="nil"/>
              <w:tr2bl w:val="nil"/>
            </w:tcBorders>
            <w:shd w:val="clear" w:color="auto" w:fill="auto"/>
            <w:vAlign w:val="center"/>
          </w:tcPr>
          <w:p w14:paraId="2EB45623">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mg/kg</w:t>
            </w:r>
          </w:p>
        </w:tc>
        <w:tc>
          <w:tcPr>
            <w:tcW w:w="900" w:type="dxa"/>
            <w:tcBorders>
              <w:tl2br w:val="nil"/>
              <w:tr2bl w:val="nil"/>
            </w:tcBorders>
            <w:shd w:val="clear" w:color="auto" w:fill="auto"/>
            <w:vAlign w:val="center"/>
          </w:tcPr>
          <w:p w14:paraId="5A0A8AB4">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9</w:t>
            </w:r>
          </w:p>
        </w:tc>
        <w:tc>
          <w:tcPr>
            <w:tcW w:w="1236" w:type="dxa"/>
            <w:tcBorders>
              <w:tl2br w:val="nil"/>
              <w:tr2bl w:val="nil"/>
            </w:tcBorders>
            <w:shd w:val="clear" w:color="auto" w:fill="auto"/>
            <w:vAlign w:val="center"/>
          </w:tcPr>
          <w:p w14:paraId="0F4B73E5">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6" w:type="dxa"/>
            <w:tcBorders>
              <w:tl2br w:val="nil"/>
              <w:tr2bl w:val="nil"/>
            </w:tcBorders>
            <w:shd w:val="clear" w:color="auto" w:fill="auto"/>
            <w:vAlign w:val="center"/>
          </w:tcPr>
          <w:p w14:paraId="770434FB">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6" w:type="dxa"/>
            <w:tcBorders>
              <w:tl2br w:val="nil"/>
              <w:tr2bl w:val="nil"/>
            </w:tcBorders>
            <w:shd w:val="clear" w:color="auto" w:fill="auto"/>
            <w:vAlign w:val="center"/>
          </w:tcPr>
          <w:p w14:paraId="5C37F185">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6" w:type="dxa"/>
            <w:tcBorders>
              <w:tl2br w:val="nil"/>
              <w:tr2bl w:val="nil"/>
            </w:tcBorders>
            <w:shd w:val="clear" w:color="auto" w:fill="auto"/>
            <w:vAlign w:val="center"/>
          </w:tcPr>
          <w:p w14:paraId="6B13FA81">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6" w:type="dxa"/>
            <w:tcBorders>
              <w:tl2br w:val="nil"/>
              <w:tr2bl w:val="nil"/>
            </w:tcBorders>
            <w:shd w:val="clear" w:color="auto" w:fill="auto"/>
            <w:vAlign w:val="center"/>
          </w:tcPr>
          <w:p w14:paraId="0D8965B1">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6" w:type="dxa"/>
            <w:tcBorders>
              <w:tl2br w:val="nil"/>
              <w:tr2bl w:val="nil"/>
            </w:tcBorders>
            <w:shd w:val="clear" w:color="auto" w:fill="auto"/>
            <w:vAlign w:val="center"/>
          </w:tcPr>
          <w:p w14:paraId="642C9C06">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6" w:type="dxa"/>
            <w:tcBorders>
              <w:tl2br w:val="nil"/>
              <w:tr2bl w:val="nil"/>
            </w:tcBorders>
            <w:shd w:val="clear" w:color="auto" w:fill="auto"/>
            <w:vAlign w:val="center"/>
          </w:tcPr>
          <w:p w14:paraId="5577D95D">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8" w:type="dxa"/>
            <w:tcBorders>
              <w:tl2br w:val="nil"/>
              <w:tr2bl w:val="nil"/>
            </w:tcBorders>
            <w:shd w:val="clear" w:color="auto" w:fill="auto"/>
            <w:vAlign w:val="center"/>
          </w:tcPr>
          <w:p w14:paraId="5DEF6723">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r>
      <w:tr w14:paraId="5D70B2D9">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992" w:type="dxa"/>
            <w:tcBorders>
              <w:tl2br w:val="nil"/>
              <w:tr2bl w:val="nil"/>
            </w:tcBorders>
            <w:shd w:val="clear" w:color="auto" w:fill="auto"/>
            <w:vAlign w:val="center"/>
          </w:tcPr>
          <w:p w14:paraId="3CAC8F08">
            <w:pPr>
              <w:ind w:left="-105" w:right="-105"/>
              <w:jc w:val="center"/>
              <w:textAlignment w:val="center"/>
              <w:rPr>
                <w:color w:val="auto"/>
                <w:sz w:val="21"/>
                <w:szCs w:val="21"/>
                <w:highlight w:val="none"/>
              </w:rPr>
            </w:pPr>
            <w:r>
              <w:rPr>
                <w:rFonts w:hint="eastAsia"/>
                <w:color w:val="auto"/>
                <w:sz w:val="21"/>
                <w:szCs w:val="21"/>
                <w:highlight w:val="none"/>
                <w:lang w:bidi="ar"/>
              </w:rPr>
              <w:t>顺式</w:t>
            </w:r>
            <w:r>
              <w:rPr>
                <w:rFonts w:ascii="Times New Roman" w:hAnsi="Times New Roman" w:cs="Times New Roman"/>
                <w:color w:val="auto"/>
                <w:sz w:val="21"/>
                <w:szCs w:val="21"/>
                <w:highlight w:val="none"/>
                <w:lang w:bidi="ar"/>
              </w:rPr>
              <w:t>-1,2-</w:t>
            </w:r>
            <w:r>
              <w:rPr>
                <w:rFonts w:hint="eastAsia"/>
                <w:color w:val="auto"/>
                <w:sz w:val="21"/>
                <w:szCs w:val="21"/>
                <w:highlight w:val="none"/>
                <w:lang w:bidi="ar"/>
              </w:rPr>
              <w:t>二氯乙烯</w:t>
            </w:r>
          </w:p>
        </w:tc>
        <w:tc>
          <w:tcPr>
            <w:tcW w:w="870" w:type="dxa"/>
            <w:tcBorders>
              <w:tl2br w:val="nil"/>
              <w:tr2bl w:val="nil"/>
            </w:tcBorders>
            <w:shd w:val="clear" w:color="auto" w:fill="auto"/>
            <w:vAlign w:val="center"/>
          </w:tcPr>
          <w:p w14:paraId="1E600C36">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mg/kg</w:t>
            </w:r>
          </w:p>
        </w:tc>
        <w:tc>
          <w:tcPr>
            <w:tcW w:w="900" w:type="dxa"/>
            <w:tcBorders>
              <w:tl2br w:val="nil"/>
              <w:tr2bl w:val="nil"/>
            </w:tcBorders>
            <w:shd w:val="clear" w:color="auto" w:fill="auto"/>
            <w:vAlign w:val="center"/>
          </w:tcPr>
          <w:p w14:paraId="71C3CD6C">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596</w:t>
            </w:r>
          </w:p>
        </w:tc>
        <w:tc>
          <w:tcPr>
            <w:tcW w:w="1236" w:type="dxa"/>
            <w:tcBorders>
              <w:tl2br w:val="nil"/>
              <w:tr2bl w:val="nil"/>
            </w:tcBorders>
            <w:shd w:val="clear" w:color="auto" w:fill="auto"/>
            <w:vAlign w:val="center"/>
          </w:tcPr>
          <w:p w14:paraId="4AA26D90">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6" w:type="dxa"/>
            <w:tcBorders>
              <w:tl2br w:val="nil"/>
              <w:tr2bl w:val="nil"/>
            </w:tcBorders>
            <w:shd w:val="clear" w:color="auto" w:fill="auto"/>
            <w:vAlign w:val="center"/>
          </w:tcPr>
          <w:p w14:paraId="357B343C">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6" w:type="dxa"/>
            <w:tcBorders>
              <w:tl2br w:val="nil"/>
              <w:tr2bl w:val="nil"/>
            </w:tcBorders>
            <w:shd w:val="clear" w:color="auto" w:fill="auto"/>
            <w:vAlign w:val="center"/>
          </w:tcPr>
          <w:p w14:paraId="12929FA9">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6" w:type="dxa"/>
            <w:tcBorders>
              <w:tl2br w:val="nil"/>
              <w:tr2bl w:val="nil"/>
            </w:tcBorders>
            <w:shd w:val="clear" w:color="auto" w:fill="auto"/>
            <w:vAlign w:val="center"/>
          </w:tcPr>
          <w:p w14:paraId="61F55105">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6" w:type="dxa"/>
            <w:tcBorders>
              <w:tl2br w:val="nil"/>
              <w:tr2bl w:val="nil"/>
            </w:tcBorders>
            <w:shd w:val="clear" w:color="auto" w:fill="auto"/>
            <w:vAlign w:val="center"/>
          </w:tcPr>
          <w:p w14:paraId="7A31E20E">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6" w:type="dxa"/>
            <w:tcBorders>
              <w:tl2br w:val="nil"/>
              <w:tr2bl w:val="nil"/>
            </w:tcBorders>
            <w:shd w:val="clear" w:color="auto" w:fill="auto"/>
            <w:vAlign w:val="center"/>
          </w:tcPr>
          <w:p w14:paraId="219C325E">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6" w:type="dxa"/>
            <w:tcBorders>
              <w:tl2br w:val="nil"/>
              <w:tr2bl w:val="nil"/>
            </w:tcBorders>
            <w:shd w:val="clear" w:color="auto" w:fill="auto"/>
            <w:vAlign w:val="center"/>
          </w:tcPr>
          <w:p w14:paraId="673719DB">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8" w:type="dxa"/>
            <w:tcBorders>
              <w:tl2br w:val="nil"/>
              <w:tr2bl w:val="nil"/>
            </w:tcBorders>
            <w:shd w:val="clear" w:color="auto" w:fill="auto"/>
            <w:vAlign w:val="center"/>
          </w:tcPr>
          <w:p w14:paraId="00AD76EC">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r>
      <w:tr w14:paraId="3BF101ED">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992" w:type="dxa"/>
            <w:tcBorders>
              <w:tl2br w:val="nil"/>
              <w:tr2bl w:val="nil"/>
            </w:tcBorders>
            <w:shd w:val="clear" w:color="auto" w:fill="auto"/>
            <w:vAlign w:val="center"/>
          </w:tcPr>
          <w:p w14:paraId="1332BE0C">
            <w:pPr>
              <w:ind w:left="-105" w:right="-105"/>
              <w:jc w:val="center"/>
              <w:textAlignment w:val="center"/>
              <w:rPr>
                <w:color w:val="auto"/>
                <w:sz w:val="21"/>
                <w:szCs w:val="21"/>
                <w:highlight w:val="none"/>
              </w:rPr>
            </w:pPr>
            <w:r>
              <w:rPr>
                <w:rFonts w:hint="eastAsia"/>
                <w:color w:val="auto"/>
                <w:sz w:val="21"/>
                <w:szCs w:val="21"/>
                <w:highlight w:val="none"/>
                <w:lang w:bidi="ar"/>
              </w:rPr>
              <w:t>氯仿</w:t>
            </w:r>
          </w:p>
        </w:tc>
        <w:tc>
          <w:tcPr>
            <w:tcW w:w="870" w:type="dxa"/>
            <w:tcBorders>
              <w:tl2br w:val="nil"/>
              <w:tr2bl w:val="nil"/>
            </w:tcBorders>
            <w:shd w:val="clear" w:color="auto" w:fill="auto"/>
            <w:vAlign w:val="center"/>
          </w:tcPr>
          <w:p w14:paraId="61E78D41">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mg/kg</w:t>
            </w:r>
          </w:p>
        </w:tc>
        <w:tc>
          <w:tcPr>
            <w:tcW w:w="900" w:type="dxa"/>
            <w:tcBorders>
              <w:tl2br w:val="nil"/>
              <w:tr2bl w:val="nil"/>
            </w:tcBorders>
            <w:shd w:val="clear" w:color="auto" w:fill="auto"/>
            <w:vAlign w:val="center"/>
          </w:tcPr>
          <w:p w14:paraId="7CBBEDB3">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0.9</w:t>
            </w:r>
          </w:p>
        </w:tc>
        <w:tc>
          <w:tcPr>
            <w:tcW w:w="1236" w:type="dxa"/>
            <w:tcBorders>
              <w:tl2br w:val="nil"/>
              <w:tr2bl w:val="nil"/>
            </w:tcBorders>
            <w:shd w:val="clear" w:color="auto" w:fill="auto"/>
            <w:vAlign w:val="center"/>
          </w:tcPr>
          <w:p w14:paraId="35F30407">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6" w:type="dxa"/>
            <w:tcBorders>
              <w:tl2br w:val="nil"/>
              <w:tr2bl w:val="nil"/>
            </w:tcBorders>
            <w:shd w:val="clear" w:color="auto" w:fill="auto"/>
            <w:vAlign w:val="center"/>
          </w:tcPr>
          <w:p w14:paraId="33FFB30E">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6" w:type="dxa"/>
            <w:tcBorders>
              <w:tl2br w:val="nil"/>
              <w:tr2bl w:val="nil"/>
            </w:tcBorders>
            <w:shd w:val="clear" w:color="auto" w:fill="auto"/>
            <w:vAlign w:val="center"/>
          </w:tcPr>
          <w:p w14:paraId="60766C3A">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6" w:type="dxa"/>
            <w:tcBorders>
              <w:tl2br w:val="nil"/>
              <w:tr2bl w:val="nil"/>
            </w:tcBorders>
            <w:shd w:val="clear" w:color="auto" w:fill="auto"/>
            <w:vAlign w:val="center"/>
          </w:tcPr>
          <w:p w14:paraId="59BF2BC2">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6" w:type="dxa"/>
            <w:tcBorders>
              <w:tl2br w:val="nil"/>
              <w:tr2bl w:val="nil"/>
            </w:tcBorders>
            <w:shd w:val="clear" w:color="auto" w:fill="auto"/>
            <w:vAlign w:val="center"/>
          </w:tcPr>
          <w:p w14:paraId="196B7D7A">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6" w:type="dxa"/>
            <w:tcBorders>
              <w:tl2br w:val="nil"/>
              <w:tr2bl w:val="nil"/>
            </w:tcBorders>
            <w:shd w:val="clear" w:color="auto" w:fill="auto"/>
            <w:vAlign w:val="center"/>
          </w:tcPr>
          <w:p w14:paraId="6CABC80C">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6" w:type="dxa"/>
            <w:tcBorders>
              <w:tl2br w:val="nil"/>
              <w:tr2bl w:val="nil"/>
            </w:tcBorders>
            <w:shd w:val="clear" w:color="auto" w:fill="auto"/>
            <w:vAlign w:val="center"/>
          </w:tcPr>
          <w:p w14:paraId="4430021D">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8" w:type="dxa"/>
            <w:tcBorders>
              <w:tl2br w:val="nil"/>
              <w:tr2bl w:val="nil"/>
            </w:tcBorders>
            <w:shd w:val="clear" w:color="auto" w:fill="auto"/>
            <w:vAlign w:val="center"/>
          </w:tcPr>
          <w:p w14:paraId="12FE804F">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r>
      <w:tr w14:paraId="6DAA9702">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992" w:type="dxa"/>
            <w:tcBorders>
              <w:tl2br w:val="nil"/>
              <w:tr2bl w:val="nil"/>
            </w:tcBorders>
            <w:shd w:val="clear" w:color="auto" w:fill="auto"/>
            <w:vAlign w:val="center"/>
          </w:tcPr>
          <w:p w14:paraId="61281CD0">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1,1,1-</w:t>
            </w:r>
            <w:r>
              <w:rPr>
                <w:rFonts w:hint="eastAsia"/>
                <w:color w:val="auto"/>
                <w:sz w:val="21"/>
                <w:szCs w:val="21"/>
                <w:highlight w:val="none"/>
                <w:lang w:bidi="ar"/>
              </w:rPr>
              <w:t>三氯乙烷</w:t>
            </w:r>
          </w:p>
        </w:tc>
        <w:tc>
          <w:tcPr>
            <w:tcW w:w="870" w:type="dxa"/>
            <w:tcBorders>
              <w:tl2br w:val="nil"/>
              <w:tr2bl w:val="nil"/>
            </w:tcBorders>
            <w:shd w:val="clear" w:color="auto" w:fill="auto"/>
            <w:vAlign w:val="center"/>
          </w:tcPr>
          <w:p w14:paraId="419B1D6C">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mg/kg</w:t>
            </w:r>
          </w:p>
        </w:tc>
        <w:tc>
          <w:tcPr>
            <w:tcW w:w="900" w:type="dxa"/>
            <w:tcBorders>
              <w:tl2br w:val="nil"/>
              <w:tr2bl w:val="nil"/>
            </w:tcBorders>
            <w:shd w:val="clear" w:color="auto" w:fill="auto"/>
            <w:vAlign w:val="center"/>
          </w:tcPr>
          <w:p w14:paraId="52E02AC2">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840</w:t>
            </w:r>
          </w:p>
        </w:tc>
        <w:tc>
          <w:tcPr>
            <w:tcW w:w="1236" w:type="dxa"/>
            <w:tcBorders>
              <w:tl2br w:val="nil"/>
              <w:tr2bl w:val="nil"/>
            </w:tcBorders>
            <w:shd w:val="clear" w:color="auto" w:fill="auto"/>
            <w:vAlign w:val="center"/>
          </w:tcPr>
          <w:p w14:paraId="2444B75E">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6" w:type="dxa"/>
            <w:tcBorders>
              <w:tl2br w:val="nil"/>
              <w:tr2bl w:val="nil"/>
            </w:tcBorders>
            <w:shd w:val="clear" w:color="auto" w:fill="auto"/>
            <w:vAlign w:val="center"/>
          </w:tcPr>
          <w:p w14:paraId="67A977AE">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6" w:type="dxa"/>
            <w:tcBorders>
              <w:tl2br w:val="nil"/>
              <w:tr2bl w:val="nil"/>
            </w:tcBorders>
            <w:shd w:val="clear" w:color="auto" w:fill="auto"/>
            <w:vAlign w:val="center"/>
          </w:tcPr>
          <w:p w14:paraId="5F9A1EAE">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6" w:type="dxa"/>
            <w:tcBorders>
              <w:tl2br w:val="nil"/>
              <w:tr2bl w:val="nil"/>
            </w:tcBorders>
            <w:shd w:val="clear" w:color="auto" w:fill="auto"/>
            <w:vAlign w:val="center"/>
          </w:tcPr>
          <w:p w14:paraId="3C265988">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6" w:type="dxa"/>
            <w:tcBorders>
              <w:tl2br w:val="nil"/>
              <w:tr2bl w:val="nil"/>
            </w:tcBorders>
            <w:shd w:val="clear" w:color="auto" w:fill="auto"/>
            <w:vAlign w:val="center"/>
          </w:tcPr>
          <w:p w14:paraId="6A972E37">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6" w:type="dxa"/>
            <w:tcBorders>
              <w:tl2br w:val="nil"/>
              <w:tr2bl w:val="nil"/>
            </w:tcBorders>
            <w:shd w:val="clear" w:color="auto" w:fill="auto"/>
            <w:vAlign w:val="center"/>
          </w:tcPr>
          <w:p w14:paraId="460A59CF">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6" w:type="dxa"/>
            <w:tcBorders>
              <w:tl2br w:val="nil"/>
              <w:tr2bl w:val="nil"/>
            </w:tcBorders>
            <w:shd w:val="clear" w:color="auto" w:fill="auto"/>
            <w:vAlign w:val="center"/>
          </w:tcPr>
          <w:p w14:paraId="47C2E070">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8" w:type="dxa"/>
            <w:tcBorders>
              <w:tl2br w:val="nil"/>
              <w:tr2bl w:val="nil"/>
            </w:tcBorders>
            <w:shd w:val="clear" w:color="auto" w:fill="auto"/>
            <w:vAlign w:val="center"/>
          </w:tcPr>
          <w:p w14:paraId="261994F8">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r>
      <w:tr w14:paraId="4319B58D">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992" w:type="dxa"/>
            <w:tcBorders>
              <w:tl2br w:val="nil"/>
              <w:tr2bl w:val="nil"/>
            </w:tcBorders>
            <w:shd w:val="clear" w:color="auto" w:fill="auto"/>
            <w:vAlign w:val="center"/>
          </w:tcPr>
          <w:p w14:paraId="46099AA7">
            <w:pPr>
              <w:ind w:left="-105" w:right="-105"/>
              <w:jc w:val="center"/>
              <w:textAlignment w:val="center"/>
              <w:rPr>
                <w:color w:val="auto"/>
                <w:sz w:val="21"/>
                <w:szCs w:val="21"/>
                <w:highlight w:val="none"/>
              </w:rPr>
            </w:pPr>
            <w:r>
              <w:rPr>
                <w:rFonts w:hint="eastAsia"/>
                <w:color w:val="auto"/>
                <w:sz w:val="21"/>
                <w:szCs w:val="21"/>
                <w:highlight w:val="none"/>
                <w:lang w:bidi="ar"/>
              </w:rPr>
              <w:t>四氯化碳</w:t>
            </w:r>
          </w:p>
        </w:tc>
        <w:tc>
          <w:tcPr>
            <w:tcW w:w="870" w:type="dxa"/>
            <w:tcBorders>
              <w:tl2br w:val="nil"/>
              <w:tr2bl w:val="nil"/>
            </w:tcBorders>
            <w:shd w:val="clear" w:color="auto" w:fill="auto"/>
            <w:vAlign w:val="center"/>
          </w:tcPr>
          <w:p w14:paraId="46167A21">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mg/kg</w:t>
            </w:r>
          </w:p>
        </w:tc>
        <w:tc>
          <w:tcPr>
            <w:tcW w:w="900" w:type="dxa"/>
            <w:tcBorders>
              <w:tl2br w:val="nil"/>
              <w:tr2bl w:val="nil"/>
            </w:tcBorders>
            <w:shd w:val="clear" w:color="auto" w:fill="auto"/>
            <w:vAlign w:val="center"/>
          </w:tcPr>
          <w:p w14:paraId="7F743410">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2.8</w:t>
            </w:r>
          </w:p>
        </w:tc>
        <w:tc>
          <w:tcPr>
            <w:tcW w:w="1236" w:type="dxa"/>
            <w:tcBorders>
              <w:tl2br w:val="nil"/>
              <w:tr2bl w:val="nil"/>
            </w:tcBorders>
            <w:shd w:val="clear" w:color="auto" w:fill="auto"/>
            <w:vAlign w:val="center"/>
          </w:tcPr>
          <w:p w14:paraId="47C0DBB3">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6" w:type="dxa"/>
            <w:tcBorders>
              <w:tl2br w:val="nil"/>
              <w:tr2bl w:val="nil"/>
            </w:tcBorders>
            <w:shd w:val="clear" w:color="auto" w:fill="auto"/>
            <w:vAlign w:val="center"/>
          </w:tcPr>
          <w:p w14:paraId="3A1D6634">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6" w:type="dxa"/>
            <w:tcBorders>
              <w:tl2br w:val="nil"/>
              <w:tr2bl w:val="nil"/>
            </w:tcBorders>
            <w:shd w:val="clear" w:color="auto" w:fill="auto"/>
            <w:vAlign w:val="center"/>
          </w:tcPr>
          <w:p w14:paraId="7B19E460">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6" w:type="dxa"/>
            <w:tcBorders>
              <w:tl2br w:val="nil"/>
              <w:tr2bl w:val="nil"/>
            </w:tcBorders>
            <w:shd w:val="clear" w:color="auto" w:fill="auto"/>
            <w:vAlign w:val="center"/>
          </w:tcPr>
          <w:p w14:paraId="2DBBEDCF">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6" w:type="dxa"/>
            <w:tcBorders>
              <w:tl2br w:val="nil"/>
              <w:tr2bl w:val="nil"/>
            </w:tcBorders>
            <w:shd w:val="clear" w:color="auto" w:fill="auto"/>
            <w:vAlign w:val="center"/>
          </w:tcPr>
          <w:p w14:paraId="14E9D2E0">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6" w:type="dxa"/>
            <w:tcBorders>
              <w:tl2br w:val="nil"/>
              <w:tr2bl w:val="nil"/>
            </w:tcBorders>
            <w:shd w:val="clear" w:color="auto" w:fill="auto"/>
            <w:vAlign w:val="center"/>
          </w:tcPr>
          <w:p w14:paraId="73856E49">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6" w:type="dxa"/>
            <w:tcBorders>
              <w:tl2br w:val="nil"/>
              <w:tr2bl w:val="nil"/>
            </w:tcBorders>
            <w:shd w:val="clear" w:color="auto" w:fill="auto"/>
            <w:vAlign w:val="center"/>
          </w:tcPr>
          <w:p w14:paraId="319B2C06">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8" w:type="dxa"/>
            <w:tcBorders>
              <w:tl2br w:val="nil"/>
              <w:tr2bl w:val="nil"/>
            </w:tcBorders>
            <w:shd w:val="clear" w:color="auto" w:fill="auto"/>
            <w:vAlign w:val="center"/>
          </w:tcPr>
          <w:p w14:paraId="6AAD1E83">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r>
      <w:tr w14:paraId="0B30F453">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992" w:type="dxa"/>
            <w:tcBorders>
              <w:tl2br w:val="nil"/>
              <w:tr2bl w:val="nil"/>
            </w:tcBorders>
            <w:shd w:val="clear" w:color="auto" w:fill="auto"/>
            <w:vAlign w:val="center"/>
          </w:tcPr>
          <w:p w14:paraId="72429F74">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1,2-</w:t>
            </w:r>
            <w:r>
              <w:rPr>
                <w:rFonts w:hint="eastAsia"/>
                <w:color w:val="auto"/>
                <w:sz w:val="21"/>
                <w:szCs w:val="21"/>
                <w:highlight w:val="none"/>
                <w:lang w:bidi="ar"/>
              </w:rPr>
              <w:t>二氯乙烷</w:t>
            </w:r>
          </w:p>
        </w:tc>
        <w:tc>
          <w:tcPr>
            <w:tcW w:w="870" w:type="dxa"/>
            <w:tcBorders>
              <w:tl2br w:val="nil"/>
              <w:tr2bl w:val="nil"/>
            </w:tcBorders>
            <w:shd w:val="clear" w:color="auto" w:fill="auto"/>
            <w:vAlign w:val="center"/>
          </w:tcPr>
          <w:p w14:paraId="13E94514">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mg/kg</w:t>
            </w:r>
          </w:p>
        </w:tc>
        <w:tc>
          <w:tcPr>
            <w:tcW w:w="900" w:type="dxa"/>
            <w:tcBorders>
              <w:tl2br w:val="nil"/>
              <w:tr2bl w:val="nil"/>
            </w:tcBorders>
            <w:shd w:val="clear" w:color="auto" w:fill="auto"/>
            <w:vAlign w:val="center"/>
          </w:tcPr>
          <w:p w14:paraId="624B6C20">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5</w:t>
            </w:r>
          </w:p>
        </w:tc>
        <w:tc>
          <w:tcPr>
            <w:tcW w:w="1236" w:type="dxa"/>
            <w:tcBorders>
              <w:tl2br w:val="nil"/>
              <w:tr2bl w:val="nil"/>
            </w:tcBorders>
            <w:shd w:val="clear" w:color="auto" w:fill="auto"/>
            <w:vAlign w:val="center"/>
          </w:tcPr>
          <w:p w14:paraId="17ABE8B8">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6" w:type="dxa"/>
            <w:tcBorders>
              <w:tl2br w:val="nil"/>
              <w:tr2bl w:val="nil"/>
            </w:tcBorders>
            <w:shd w:val="clear" w:color="auto" w:fill="auto"/>
            <w:vAlign w:val="center"/>
          </w:tcPr>
          <w:p w14:paraId="0E3148BB">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6" w:type="dxa"/>
            <w:tcBorders>
              <w:tl2br w:val="nil"/>
              <w:tr2bl w:val="nil"/>
            </w:tcBorders>
            <w:shd w:val="clear" w:color="auto" w:fill="auto"/>
            <w:vAlign w:val="center"/>
          </w:tcPr>
          <w:p w14:paraId="07C2348A">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6" w:type="dxa"/>
            <w:tcBorders>
              <w:tl2br w:val="nil"/>
              <w:tr2bl w:val="nil"/>
            </w:tcBorders>
            <w:shd w:val="clear" w:color="auto" w:fill="auto"/>
            <w:vAlign w:val="center"/>
          </w:tcPr>
          <w:p w14:paraId="30C62AB9">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6" w:type="dxa"/>
            <w:tcBorders>
              <w:tl2br w:val="nil"/>
              <w:tr2bl w:val="nil"/>
            </w:tcBorders>
            <w:shd w:val="clear" w:color="auto" w:fill="auto"/>
            <w:vAlign w:val="center"/>
          </w:tcPr>
          <w:p w14:paraId="75CBFADC">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6" w:type="dxa"/>
            <w:tcBorders>
              <w:tl2br w:val="nil"/>
              <w:tr2bl w:val="nil"/>
            </w:tcBorders>
            <w:shd w:val="clear" w:color="auto" w:fill="auto"/>
            <w:vAlign w:val="center"/>
          </w:tcPr>
          <w:p w14:paraId="7909A72D">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6" w:type="dxa"/>
            <w:tcBorders>
              <w:tl2br w:val="nil"/>
              <w:tr2bl w:val="nil"/>
            </w:tcBorders>
            <w:shd w:val="clear" w:color="auto" w:fill="auto"/>
            <w:vAlign w:val="center"/>
          </w:tcPr>
          <w:p w14:paraId="271B5C7D">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8" w:type="dxa"/>
            <w:tcBorders>
              <w:tl2br w:val="nil"/>
              <w:tr2bl w:val="nil"/>
            </w:tcBorders>
            <w:shd w:val="clear" w:color="auto" w:fill="auto"/>
            <w:vAlign w:val="center"/>
          </w:tcPr>
          <w:p w14:paraId="0C376FB1">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r>
      <w:tr w14:paraId="0662D073">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992" w:type="dxa"/>
            <w:tcBorders>
              <w:tl2br w:val="nil"/>
              <w:tr2bl w:val="nil"/>
            </w:tcBorders>
            <w:shd w:val="clear" w:color="auto" w:fill="auto"/>
            <w:vAlign w:val="center"/>
          </w:tcPr>
          <w:p w14:paraId="07788A0E">
            <w:pPr>
              <w:ind w:left="-105" w:right="-105"/>
              <w:jc w:val="center"/>
              <w:textAlignment w:val="center"/>
              <w:rPr>
                <w:color w:val="auto"/>
                <w:sz w:val="21"/>
                <w:szCs w:val="21"/>
                <w:highlight w:val="none"/>
              </w:rPr>
            </w:pPr>
            <w:r>
              <w:rPr>
                <w:rFonts w:hint="eastAsia"/>
                <w:color w:val="auto"/>
                <w:sz w:val="21"/>
                <w:szCs w:val="21"/>
                <w:highlight w:val="none"/>
                <w:lang w:bidi="ar"/>
              </w:rPr>
              <w:t>苯</w:t>
            </w:r>
          </w:p>
        </w:tc>
        <w:tc>
          <w:tcPr>
            <w:tcW w:w="870" w:type="dxa"/>
            <w:tcBorders>
              <w:tl2br w:val="nil"/>
              <w:tr2bl w:val="nil"/>
            </w:tcBorders>
            <w:shd w:val="clear" w:color="auto" w:fill="auto"/>
            <w:vAlign w:val="center"/>
          </w:tcPr>
          <w:p w14:paraId="2151C167">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mg/kg</w:t>
            </w:r>
          </w:p>
        </w:tc>
        <w:tc>
          <w:tcPr>
            <w:tcW w:w="900" w:type="dxa"/>
            <w:tcBorders>
              <w:tl2br w:val="nil"/>
              <w:tr2bl w:val="nil"/>
            </w:tcBorders>
            <w:shd w:val="clear" w:color="auto" w:fill="auto"/>
            <w:vAlign w:val="center"/>
          </w:tcPr>
          <w:p w14:paraId="71182FF0">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4</w:t>
            </w:r>
          </w:p>
        </w:tc>
        <w:tc>
          <w:tcPr>
            <w:tcW w:w="1236" w:type="dxa"/>
            <w:tcBorders>
              <w:tl2br w:val="nil"/>
              <w:tr2bl w:val="nil"/>
            </w:tcBorders>
            <w:shd w:val="clear" w:color="auto" w:fill="auto"/>
            <w:vAlign w:val="center"/>
          </w:tcPr>
          <w:p w14:paraId="779FF6B2">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6" w:type="dxa"/>
            <w:tcBorders>
              <w:tl2br w:val="nil"/>
              <w:tr2bl w:val="nil"/>
            </w:tcBorders>
            <w:shd w:val="clear" w:color="auto" w:fill="auto"/>
            <w:vAlign w:val="center"/>
          </w:tcPr>
          <w:p w14:paraId="5FE1F88B">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6" w:type="dxa"/>
            <w:tcBorders>
              <w:tl2br w:val="nil"/>
              <w:tr2bl w:val="nil"/>
            </w:tcBorders>
            <w:shd w:val="clear" w:color="auto" w:fill="auto"/>
            <w:vAlign w:val="center"/>
          </w:tcPr>
          <w:p w14:paraId="0DA31F64">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6" w:type="dxa"/>
            <w:tcBorders>
              <w:tl2br w:val="nil"/>
              <w:tr2bl w:val="nil"/>
            </w:tcBorders>
            <w:shd w:val="clear" w:color="auto" w:fill="auto"/>
            <w:vAlign w:val="center"/>
          </w:tcPr>
          <w:p w14:paraId="52C3386A">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6" w:type="dxa"/>
            <w:tcBorders>
              <w:tl2br w:val="nil"/>
              <w:tr2bl w:val="nil"/>
            </w:tcBorders>
            <w:shd w:val="clear" w:color="auto" w:fill="auto"/>
            <w:vAlign w:val="center"/>
          </w:tcPr>
          <w:p w14:paraId="516FD119">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6" w:type="dxa"/>
            <w:tcBorders>
              <w:tl2br w:val="nil"/>
              <w:tr2bl w:val="nil"/>
            </w:tcBorders>
            <w:shd w:val="clear" w:color="auto" w:fill="auto"/>
            <w:vAlign w:val="center"/>
          </w:tcPr>
          <w:p w14:paraId="2560C4A4">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6" w:type="dxa"/>
            <w:tcBorders>
              <w:tl2br w:val="nil"/>
              <w:tr2bl w:val="nil"/>
            </w:tcBorders>
            <w:shd w:val="clear" w:color="auto" w:fill="auto"/>
            <w:vAlign w:val="center"/>
          </w:tcPr>
          <w:p w14:paraId="1BC3F4EA">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8" w:type="dxa"/>
            <w:tcBorders>
              <w:tl2br w:val="nil"/>
              <w:tr2bl w:val="nil"/>
            </w:tcBorders>
            <w:shd w:val="clear" w:color="auto" w:fill="auto"/>
            <w:vAlign w:val="center"/>
          </w:tcPr>
          <w:p w14:paraId="1B996F3E">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r>
      <w:tr w14:paraId="172BF1E7">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992" w:type="dxa"/>
            <w:tcBorders>
              <w:tl2br w:val="nil"/>
              <w:tr2bl w:val="nil"/>
            </w:tcBorders>
            <w:shd w:val="clear" w:color="auto" w:fill="auto"/>
            <w:vAlign w:val="center"/>
          </w:tcPr>
          <w:p w14:paraId="53532E72">
            <w:pPr>
              <w:ind w:left="-105" w:right="-105"/>
              <w:jc w:val="center"/>
              <w:textAlignment w:val="center"/>
              <w:rPr>
                <w:color w:val="auto"/>
                <w:sz w:val="21"/>
                <w:szCs w:val="21"/>
                <w:highlight w:val="none"/>
              </w:rPr>
            </w:pPr>
            <w:r>
              <w:rPr>
                <w:rFonts w:hint="eastAsia"/>
                <w:color w:val="auto"/>
                <w:sz w:val="21"/>
                <w:szCs w:val="21"/>
                <w:highlight w:val="none"/>
                <w:lang w:bidi="ar"/>
              </w:rPr>
              <w:t>三氯乙烯</w:t>
            </w:r>
          </w:p>
        </w:tc>
        <w:tc>
          <w:tcPr>
            <w:tcW w:w="870" w:type="dxa"/>
            <w:tcBorders>
              <w:tl2br w:val="nil"/>
              <w:tr2bl w:val="nil"/>
            </w:tcBorders>
            <w:shd w:val="clear" w:color="auto" w:fill="auto"/>
            <w:vAlign w:val="center"/>
          </w:tcPr>
          <w:p w14:paraId="7B4D7989">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mg/kg</w:t>
            </w:r>
          </w:p>
        </w:tc>
        <w:tc>
          <w:tcPr>
            <w:tcW w:w="900" w:type="dxa"/>
            <w:tcBorders>
              <w:tl2br w:val="nil"/>
              <w:tr2bl w:val="nil"/>
            </w:tcBorders>
            <w:shd w:val="clear" w:color="auto" w:fill="auto"/>
            <w:vAlign w:val="center"/>
          </w:tcPr>
          <w:p w14:paraId="4DB13809">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2.8</w:t>
            </w:r>
          </w:p>
        </w:tc>
        <w:tc>
          <w:tcPr>
            <w:tcW w:w="1236" w:type="dxa"/>
            <w:tcBorders>
              <w:tl2br w:val="nil"/>
              <w:tr2bl w:val="nil"/>
            </w:tcBorders>
            <w:shd w:val="clear" w:color="auto" w:fill="auto"/>
            <w:vAlign w:val="center"/>
          </w:tcPr>
          <w:p w14:paraId="4B356208">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6" w:type="dxa"/>
            <w:tcBorders>
              <w:tl2br w:val="nil"/>
              <w:tr2bl w:val="nil"/>
            </w:tcBorders>
            <w:shd w:val="clear" w:color="auto" w:fill="auto"/>
            <w:vAlign w:val="center"/>
          </w:tcPr>
          <w:p w14:paraId="21C05DFD">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6" w:type="dxa"/>
            <w:tcBorders>
              <w:tl2br w:val="nil"/>
              <w:tr2bl w:val="nil"/>
            </w:tcBorders>
            <w:shd w:val="clear" w:color="auto" w:fill="auto"/>
            <w:vAlign w:val="center"/>
          </w:tcPr>
          <w:p w14:paraId="184DB4CA">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6" w:type="dxa"/>
            <w:tcBorders>
              <w:tl2br w:val="nil"/>
              <w:tr2bl w:val="nil"/>
            </w:tcBorders>
            <w:shd w:val="clear" w:color="auto" w:fill="auto"/>
            <w:vAlign w:val="center"/>
          </w:tcPr>
          <w:p w14:paraId="408E334A">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6" w:type="dxa"/>
            <w:tcBorders>
              <w:tl2br w:val="nil"/>
              <w:tr2bl w:val="nil"/>
            </w:tcBorders>
            <w:shd w:val="clear" w:color="auto" w:fill="auto"/>
            <w:vAlign w:val="center"/>
          </w:tcPr>
          <w:p w14:paraId="37499D70">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6" w:type="dxa"/>
            <w:tcBorders>
              <w:tl2br w:val="nil"/>
              <w:tr2bl w:val="nil"/>
            </w:tcBorders>
            <w:shd w:val="clear" w:color="auto" w:fill="auto"/>
            <w:vAlign w:val="center"/>
          </w:tcPr>
          <w:p w14:paraId="7B9FD003">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6" w:type="dxa"/>
            <w:tcBorders>
              <w:tl2br w:val="nil"/>
              <w:tr2bl w:val="nil"/>
            </w:tcBorders>
            <w:shd w:val="clear" w:color="auto" w:fill="auto"/>
            <w:vAlign w:val="center"/>
          </w:tcPr>
          <w:p w14:paraId="347573A4">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8" w:type="dxa"/>
            <w:tcBorders>
              <w:tl2br w:val="nil"/>
              <w:tr2bl w:val="nil"/>
            </w:tcBorders>
            <w:shd w:val="clear" w:color="auto" w:fill="auto"/>
            <w:vAlign w:val="center"/>
          </w:tcPr>
          <w:p w14:paraId="34ACE169">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r>
      <w:tr w14:paraId="0CFE0973">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992" w:type="dxa"/>
            <w:tcBorders>
              <w:tl2br w:val="nil"/>
              <w:tr2bl w:val="nil"/>
            </w:tcBorders>
            <w:shd w:val="clear" w:color="auto" w:fill="auto"/>
            <w:vAlign w:val="center"/>
          </w:tcPr>
          <w:p w14:paraId="12BE2F00">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1,2-</w:t>
            </w:r>
            <w:r>
              <w:rPr>
                <w:rFonts w:hint="eastAsia"/>
                <w:color w:val="auto"/>
                <w:sz w:val="21"/>
                <w:szCs w:val="21"/>
                <w:highlight w:val="none"/>
                <w:lang w:bidi="ar"/>
              </w:rPr>
              <w:t>二氯丙烷</w:t>
            </w:r>
          </w:p>
        </w:tc>
        <w:tc>
          <w:tcPr>
            <w:tcW w:w="870" w:type="dxa"/>
            <w:tcBorders>
              <w:tl2br w:val="nil"/>
              <w:tr2bl w:val="nil"/>
            </w:tcBorders>
            <w:shd w:val="clear" w:color="auto" w:fill="auto"/>
            <w:vAlign w:val="center"/>
          </w:tcPr>
          <w:p w14:paraId="03D0B3EC">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mg/kg</w:t>
            </w:r>
          </w:p>
        </w:tc>
        <w:tc>
          <w:tcPr>
            <w:tcW w:w="900" w:type="dxa"/>
            <w:tcBorders>
              <w:tl2br w:val="nil"/>
              <w:tr2bl w:val="nil"/>
            </w:tcBorders>
            <w:shd w:val="clear" w:color="auto" w:fill="auto"/>
            <w:vAlign w:val="center"/>
          </w:tcPr>
          <w:p w14:paraId="5E832AE7">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5</w:t>
            </w:r>
          </w:p>
        </w:tc>
        <w:tc>
          <w:tcPr>
            <w:tcW w:w="1236" w:type="dxa"/>
            <w:tcBorders>
              <w:tl2br w:val="nil"/>
              <w:tr2bl w:val="nil"/>
            </w:tcBorders>
            <w:shd w:val="clear" w:color="auto" w:fill="auto"/>
            <w:vAlign w:val="center"/>
          </w:tcPr>
          <w:p w14:paraId="18273764">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6" w:type="dxa"/>
            <w:tcBorders>
              <w:tl2br w:val="nil"/>
              <w:tr2bl w:val="nil"/>
            </w:tcBorders>
            <w:shd w:val="clear" w:color="auto" w:fill="auto"/>
            <w:vAlign w:val="center"/>
          </w:tcPr>
          <w:p w14:paraId="74252EFD">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6" w:type="dxa"/>
            <w:tcBorders>
              <w:tl2br w:val="nil"/>
              <w:tr2bl w:val="nil"/>
            </w:tcBorders>
            <w:shd w:val="clear" w:color="auto" w:fill="auto"/>
            <w:vAlign w:val="center"/>
          </w:tcPr>
          <w:p w14:paraId="4DABA7E1">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6" w:type="dxa"/>
            <w:tcBorders>
              <w:tl2br w:val="nil"/>
              <w:tr2bl w:val="nil"/>
            </w:tcBorders>
            <w:shd w:val="clear" w:color="auto" w:fill="auto"/>
            <w:vAlign w:val="center"/>
          </w:tcPr>
          <w:p w14:paraId="387511C2">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6" w:type="dxa"/>
            <w:tcBorders>
              <w:tl2br w:val="nil"/>
              <w:tr2bl w:val="nil"/>
            </w:tcBorders>
            <w:shd w:val="clear" w:color="auto" w:fill="auto"/>
            <w:vAlign w:val="center"/>
          </w:tcPr>
          <w:p w14:paraId="46588D99">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6" w:type="dxa"/>
            <w:tcBorders>
              <w:tl2br w:val="nil"/>
              <w:tr2bl w:val="nil"/>
            </w:tcBorders>
            <w:shd w:val="clear" w:color="auto" w:fill="auto"/>
            <w:vAlign w:val="center"/>
          </w:tcPr>
          <w:p w14:paraId="3F7EDE29">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6" w:type="dxa"/>
            <w:tcBorders>
              <w:tl2br w:val="nil"/>
              <w:tr2bl w:val="nil"/>
            </w:tcBorders>
            <w:shd w:val="clear" w:color="auto" w:fill="auto"/>
            <w:vAlign w:val="center"/>
          </w:tcPr>
          <w:p w14:paraId="7F05E2AD">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8" w:type="dxa"/>
            <w:tcBorders>
              <w:tl2br w:val="nil"/>
              <w:tr2bl w:val="nil"/>
            </w:tcBorders>
            <w:shd w:val="clear" w:color="auto" w:fill="auto"/>
            <w:vAlign w:val="center"/>
          </w:tcPr>
          <w:p w14:paraId="175A1861">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r>
      <w:tr w14:paraId="5806E306">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992" w:type="dxa"/>
            <w:tcBorders>
              <w:tl2br w:val="nil"/>
              <w:tr2bl w:val="nil"/>
            </w:tcBorders>
            <w:shd w:val="clear" w:color="auto" w:fill="auto"/>
            <w:vAlign w:val="center"/>
          </w:tcPr>
          <w:p w14:paraId="15C0C219">
            <w:pPr>
              <w:ind w:left="-105" w:right="-105"/>
              <w:jc w:val="center"/>
              <w:textAlignment w:val="center"/>
              <w:rPr>
                <w:color w:val="auto"/>
                <w:sz w:val="21"/>
                <w:szCs w:val="21"/>
                <w:highlight w:val="none"/>
              </w:rPr>
            </w:pPr>
            <w:r>
              <w:rPr>
                <w:rFonts w:hint="eastAsia"/>
                <w:color w:val="auto"/>
                <w:sz w:val="21"/>
                <w:szCs w:val="21"/>
                <w:highlight w:val="none"/>
                <w:lang w:bidi="ar"/>
              </w:rPr>
              <w:t>甲苯</w:t>
            </w:r>
          </w:p>
        </w:tc>
        <w:tc>
          <w:tcPr>
            <w:tcW w:w="870" w:type="dxa"/>
            <w:tcBorders>
              <w:tl2br w:val="nil"/>
              <w:tr2bl w:val="nil"/>
            </w:tcBorders>
            <w:shd w:val="clear" w:color="auto" w:fill="auto"/>
            <w:vAlign w:val="center"/>
          </w:tcPr>
          <w:p w14:paraId="150DDA1E">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mg/kg</w:t>
            </w:r>
          </w:p>
        </w:tc>
        <w:tc>
          <w:tcPr>
            <w:tcW w:w="900" w:type="dxa"/>
            <w:tcBorders>
              <w:tl2br w:val="nil"/>
              <w:tr2bl w:val="nil"/>
            </w:tcBorders>
            <w:shd w:val="clear" w:color="auto" w:fill="auto"/>
            <w:vAlign w:val="center"/>
          </w:tcPr>
          <w:p w14:paraId="63B5A271">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1200</w:t>
            </w:r>
          </w:p>
        </w:tc>
        <w:tc>
          <w:tcPr>
            <w:tcW w:w="1236" w:type="dxa"/>
            <w:tcBorders>
              <w:tl2br w:val="nil"/>
              <w:tr2bl w:val="nil"/>
            </w:tcBorders>
            <w:shd w:val="clear" w:color="auto" w:fill="auto"/>
            <w:vAlign w:val="center"/>
          </w:tcPr>
          <w:p w14:paraId="4C14EB6E">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6" w:type="dxa"/>
            <w:tcBorders>
              <w:tl2br w:val="nil"/>
              <w:tr2bl w:val="nil"/>
            </w:tcBorders>
            <w:shd w:val="clear" w:color="auto" w:fill="auto"/>
            <w:vAlign w:val="center"/>
          </w:tcPr>
          <w:p w14:paraId="66F608C4">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6" w:type="dxa"/>
            <w:tcBorders>
              <w:tl2br w:val="nil"/>
              <w:tr2bl w:val="nil"/>
            </w:tcBorders>
            <w:shd w:val="clear" w:color="auto" w:fill="auto"/>
            <w:vAlign w:val="center"/>
          </w:tcPr>
          <w:p w14:paraId="059352D0">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6" w:type="dxa"/>
            <w:tcBorders>
              <w:tl2br w:val="nil"/>
              <w:tr2bl w:val="nil"/>
            </w:tcBorders>
            <w:shd w:val="clear" w:color="auto" w:fill="auto"/>
            <w:vAlign w:val="center"/>
          </w:tcPr>
          <w:p w14:paraId="10DCA2FD">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6" w:type="dxa"/>
            <w:tcBorders>
              <w:tl2br w:val="nil"/>
              <w:tr2bl w:val="nil"/>
            </w:tcBorders>
            <w:shd w:val="clear" w:color="auto" w:fill="auto"/>
            <w:vAlign w:val="center"/>
          </w:tcPr>
          <w:p w14:paraId="093DD854">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6" w:type="dxa"/>
            <w:tcBorders>
              <w:tl2br w:val="nil"/>
              <w:tr2bl w:val="nil"/>
            </w:tcBorders>
            <w:shd w:val="clear" w:color="auto" w:fill="auto"/>
            <w:vAlign w:val="center"/>
          </w:tcPr>
          <w:p w14:paraId="08FA16A1">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6" w:type="dxa"/>
            <w:tcBorders>
              <w:tl2br w:val="nil"/>
              <w:tr2bl w:val="nil"/>
            </w:tcBorders>
            <w:shd w:val="clear" w:color="auto" w:fill="auto"/>
            <w:vAlign w:val="center"/>
          </w:tcPr>
          <w:p w14:paraId="1166FE02">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8" w:type="dxa"/>
            <w:tcBorders>
              <w:tl2br w:val="nil"/>
              <w:tr2bl w:val="nil"/>
            </w:tcBorders>
            <w:shd w:val="clear" w:color="auto" w:fill="auto"/>
            <w:vAlign w:val="center"/>
          </w:tcPr>
          <w:p w14:paraId="446D85D2">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r>
      <w:tr w14:paraId="5770C9D8">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992" w:type="dxa"/>
            <w:tcBorders>
              <w:tl2br w:val="nil"/>
              <w:tr2bl w:val="nil"/>
            </w:tcBorders>
            <w:shd w:val="clear" w:color="auto" w:fill="auto"/>
            <w:vAlign w:val="center"/>
          </w:tcPr>
          <w:p w14:paraId="45515277">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1,1,2-</w:t>
            </w:r>
            <w:r>
              <w:rPr>
                <w:rFonts w:hint="eastAsia"/>
                <w:color w:val="auto"/>
                <w:sz w:val="21"/>
                <w:szCs w:val="21"/>
                <w:highlight w:val="none"/>
                <w:lang w:bidi="ar"/>
              </w:rPr>
              <w:t>三氯乙烷</w:t>
            </w:r>
          </w:p>
        </w:tc>
        <w:tc>
          <w:tcPr>
            <w:tcW w:w="870" w:type="dxa"/>
            <w:tcBorders>
              <w:tl2br w:val="nil"/>
              <w:tr2bl w:val="nil"/>
            </w:tcBorders>
            <w:shd w:val="clear" w:color="auto" w:fill="auto"/>
            <w:vAlign w:val="center"/>
          </w:tcPr>
          <w:p w14:paraId="334A5EC6">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mg/kg</w:t>
            </w:r>
          </w:p>
        </w:tc>
        <w:tc>
          <w:tcPr>
            <w:tcW w:w="900" w:type="dxa"/>
            <w:tcBorders>
              <w:tl2br w:val="nil"/>
              <w:tr2bl w:val="nil"/>
            </w:tcBorders>
            <w:shd w:val="clear" w:color="auto" w:fill="auto"/>
            <w:vAlign w:val="center"/>
          </w:tcPr>
          <w:p w14:paraId="3EEC9A6C">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2.8</w:t>
            </w:r>
          </w:p>
        </w:tc>
        <w:tc>
          <w:tcPr>
            <w:tcW w:w="1236" w:type="dxa"/>
            <w:tcBorders>
              <w:tl2br w:val="nil"/>
              <w:tr2bl w:val="nil"/>
            </w:tcBorders>
            <w:shd w:val="clear" w:color="auto" w:fill="auto"/>
            <w:vAlign w:val="center"/>
          </w:tcPr>
          <w:p w14:paraId="10BFC8F1">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6" w:type="dxa"/>
            <w:tcBorders>
              <w:tl2br w:val="nil"/>
              <w:tr2bl w:val="nil"/>
            </w:tcBorders>
            <w:shd w:val="clear" w:color="auto" w:fill="auto"/>
            <w:vAlign w:val="center"/>
          </w:tcPr>
          <w:p w14:paraId="2E1B0CB8">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6" w:type="dxa"/>
            <w:tcBorders>
              <w:tl2br w:val="nil"/>
              <w:tr2bl w:val="nil"/>
            </w:tcBorders>
            <w:shd w:val="clear" w:color="auto" w:fill="auto"/>
            <w:vAlign w:val="center"/>
          </w:tcPr>
          <w:p w14:paraId="2BF3B218">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6" w:type="dxa"/>
            <w:tcBorders>
              <w:tl2br w:val="nil"/>
              <w:tr2bl w:val="nil"/>
            </w:tcBorders>
            <w:shd w:val="clear" w:color="auto" w:fill="auto"/>
            <w:vAlign w:val="center"/>
          </w:tcPr>
          <w:p w14:paraId="2E286933">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6" w:type="dxa"/>
            <w:tcBorders>
              <w:tl2br w:val="nil"/>
              <w:tr2bl w:val="nil"/>
            </w:tcBorders>
            <w:shd w:val="clear" w:color="auto" w:fill="auto"/>
            <w:vAlign w:val="center"/>
          </w:tcPr>
          <w:p w14:paraId="0008C223">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6" w:type="dxa"/>
            <w:tcBorders>
              <w:tl2br w:val="nil"/>
              <w:tr2bl w:val="nil"/>
            </w:tcBorders>
            <w:shd w:val="clear" w:color="auto" w:fill="auto"/>
            <w:vAlign w:val="center"/>
          </w:tcPr>
          <w:p w14:paraId="22FDD5F6">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6" w:type="dxa"/>
            <w:tcBorders>
              <w:tl2br w:val="nil"/>
              <w:tr2bl w:val="nil"/>
            </w:tcBorders>
            <w:shd w:val="clear" w:color="auto" w:fill="auto"/>
            <w:vAlign w:val="center"/>
          </w:tcPr>
          <w:p w14:paraId="0C51139B">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8" w:type="dxa"/>
            <w:tcBorders>
              <w:tl2br w:val="nil"/>
              <w:tr2bl w:val="nil"/>
            </w:tcBorders>
            <w:shd w:val="clear" w:color="auto" w:fill="auto"/>
            <w:vAlign w:val="center"/>
          </w:tcPr>
          <w:p w14:paraId="0A631453">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r>
      <w:tr w14:paraId="5060C8CF">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992" w:type="dxa"/>
            <w:tcBorders>
              <w:tl2br w:val="nil"/>
              <w:tr2bl w:val="nil"/>
            </w:tcBorders>
            <w:shd w:val="clear" w:color="auto" w:fill="auto"/>
            <w:vAlign w:val="center"/>
          </w:tcPr>
          <w:p w14:paraId="211D0951">
            <w:pPr>
              <w:ind w:left="-105" w:right="-105"/>
              <w:jc w:val="center"/>
              <w:textAlignment w:val="center"/>
              <w:rPr>
                <w:color w:val="auto"/>
                <w:sz w:val="21"/>
                <w:szCs w:val="21"/>
                <w:highlight w:val="none"/>
              </w:rPr>
            </w:pPr>
            <w:r>
              <w:rPr>
                <w:rFonts w:hint="eastAsia"/>
                <w:color w:val="auto"/>
                <w:sz w:val="21"/>
                <w:szCs w:val="21"/>
                <w:highlight w:val="none"/>
                <w:lang w:bidi="ar"/>
              </w:rPr>
              <w:t>四氯乙烯</w:t>
            </w:r>
          </w:p>
        </w:tc>
        <w:tc>
          <w:tcPr>
            <w:tcW w:w="870" w:type="dxa"/>
            <w:tcBorders>
              <w:tl2br w:val="nil"/>
              <w:tr2bl w:val="nil"/>
            </w:tcBorders>
            <w:shd w:val="clear" w:color="auto" w:fill="auto"/>
            <w:vAlign w:val="center"/>
          </w:tcPr>
          <w:p w14:paraId="409C6F77">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mg/kg</w:t>
            </w:r>
          </w:p>
        </w:tc>
        <w:tc>
          <w:tcPr>
            <w:tcW w:w="900" w:type="dxa"/>
            <w:tcBorders>
              <w:tl2br w:val="nil"/>
              <w:tr2bl w:val="nil"/>
            </w:tcBorders>
            <w:shd w:val="clear" w:color="auto" w:fill="auto"/>
            <w:vAlign w:val="center"/>
          </w:tcPr>
          <w:p w14:paraId="0664AA41">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53</w:t>
            </w:r>
          </w:p>
        </w:tc>
        <w:tc>
          <w:tcPr>
            <w:tcW w:w="1236" w:type="dxa"/>
            <w:tcBorders>
              <w:tl2br w:val="nil"/>
              <w:tr2bl w:val="nil"/>
            </w:tcBorders>
            <w:shd w:val="clear" w:color="auto" w:fill="auto"/>
            <w:vAlign w:val="center"/>
          </w:tcPr>
          <w:p w14:paraId="155BBD4C">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6" w:type="dxa"/>
            <w:tcBorders>
              <w:tl2br w:val="nil"/>
              <w:tr2bl w:val="nil"/>
            </w:tcBorders>
            <w:shd w:val="clear" w:color="auto" w:fill="auto"/>
            <w:vAlign w:val="center"/>
          </w:tcPr>
          <w:p w14:paraId="461D23A9">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6" w:type="dxa"/>
            <w:tcBorders>
              <w:tl2br w:val="nil"/>
              <w:tr2bl w:val="nil"/>
            </w:tcBorders>
            <w:shd w:val="clear" w:color="auto" w:fill="auto"/>
            <w:vAlign w:val="center"/>
          </w:tcPr>
          <w:p w14:paraId="663A31BB">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6" w:type="dxa"/>
            <w:tcBorders>
              <w:tl2br w:val="nil"/>
              <w:tr2bl w:val="nil"/>
            </w:tcBorders>
            <w:shd w:val="clear" w:color="auto" w:fill="auto"/>
            <w:vAlign w:val="center"/>
          </w:tcPr>
          <w:p w14:paraId="7F1C96CA">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6" w:type="dxa"/>
            <w:tcBorders>
              <w:tl2br w:val="nil"/>
              <w:tr2bl w:val="nil"/>
            </w:tcBorders>
            <w:shd w:val="clear" w:color="auto" w:fill="auto"/>
            <w:vAlign w:val="center"/>
          </w:tcPr>
          <w:p w14:paraId="4CA4511E">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6" w:type="dxa"/>
            <w:tcBorders>
              <w:tl2br w:val="nil"/>
              <w:tr2bl w:val="nil"/>
            </w:tcBorders>
            <w:shd w:val="clear" w:color="auto" w:fill="auto"/>
            <w:vAlign w:val="center"/>
          </w:tcPr>
          <w:p w14:paraId="7B5F7D4E">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6" w:type="dxa"/>
            <w:tcBorders>
              <w:tl2br w:val="nil"/>
              <w:tr2bl w:val="nil"/>
            </w:tcBorders>
            <w:shd w:val="clear" w:color="auto" w:fill="auto"/>
            <w:vAlign w:val="center"/>
          </w:tcPr>
          <w:p w14:paraId="6020B04D">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8" w:type="dxa"/>
            <w:tcBorders>
              <w:tl2br w:val="nil"/>
              <w:tr2bl w:val="nil"/>
            </w:tcBorders>
            <w:shd w:val="clear" w:color="auto" w:fill="auto"/>
            <w:vAlign w:val="center"/>
          </w:tcPr>
          <w:p w14:paraId="6CD54B31">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r>
      <w:tr w14:paraId="2B691C2E">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992" w:type="dxa"/>
            <w:tcBorders>
              <w:tl2br w:val="nil"/>
              <w:tr2bl w:val="nil"/>
            </w:tcBorders>
            <w:shd w:val="clear" w:color="auto" w:fill="auto"/>
            <w:vAlign w:val="center"/>
          </w:tcPr>
          <w:p w14:paraId="652B1E3F">
            <w:pPr>
              <w:ind w:left="-105" w:right="-105"/>
              <w:jc w:val="center"/>
              <w:textAlignment w:val="center"/>
              <w:rPr>
                <w:color w:val="auto"/>
                <w:sz w:val="21"/>
                <w:szCs w:val="21"/>
                <w:highlight w:val="none"/>
              </w:rPr>
            </w:pPr>
            <w:r>
              <w:rPr>
                <w:rFonts w:hint="eastAsia"/>
                <w:color w:val="auto"/>
                <w:sz w:val="21"/>
                <w:szCs w:val="21"/>
                <w:highlight w:val="none"/>
                <w:lang w:bidi="ar"/>
              </w:rPr>
              <w:t>氯苯</w:t>
            </w:r>
          </w:p>
        </w:tc>
        <w:tc>
          <w:tcPr>
            <w:tcW w:w="870" w:type="dxa"/>
            <w:tcBorders>
              <w:tl2br w:val="nil"/>
              <w:tr2bl w:val="nil"/>
            </w:tcBorders>
            <w:shd w:val="clear" w:color="auto" w:fill="auto"/>
            <w:vAlign w:val="center"/>
          </w:tcPr>
          <w:p w14:paraId="0739CE89">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mg/kg</w:t>
            </w:r>
          </w:p>
        </w:tc>
        <w:tc>
          <w:tcPr>
            <w:tcW w:w="900" w:type="dxa"/>
            <w:tcBorders>
              <w:tl2br w:val="nil"/>
              <w:tr2bl w:val="nil"/>
            </w:tcBorders>
            <w:shd w:val="clear" w:color="auto" w:fill="auto"/>
            <w:vAlign w:val="center"/>
          </w:tcPr>
          <w:p w14:paraId="1D61C41B">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270</w:t>
            </w:r>
          </w:p>
        </w:tc>
        <w:tc>
          <w:tcPr>
            <w:tcW w:w="1236" w:type="dxa"/>
            <w:tcBorders>
              <w:tl2br w:val="nil"/>
              <w:tr2bl w:val="nil"/>
            </w:tcBorders>
            <w:shd w:val="clear" w:color="auto" w:fill="auto"/>
            <w:vAlign w:val="center"/>
          </w:tcPr>
          <w:p w14:paraId="676C5D58">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6" w:type="dxa"/>
            <w:tcBorders>
              <w:tl2br w:val="nil"/>
              <w:tr2bl w:val="nil"/>
            </w:tcBorders>
            <w:shd w:val="clear" w:color="auto" w:fill="auto"/>
            <w:vAlign w:val="center"/>
          </w:tcPr>
          <w:p w14:paraId="65903252">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6" w:type="dxa"/>
            <w:tcBorders>
              <w:tl2br w:val="nil"/>
              <w:tr2bl w:val="nil"/>
            </w:tcBorders>
            <w:shd w:val="clear" w:color="auto" w:fill="auto"/>
            <w:vAlign w:val="center"/>
          </w:tcPr>
          <w:p w14:paraId="0B7B9BCA">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6" w:type="dxa"/>
            <w:tcBorders>
              <w:tl2br w:val="nil"/>
              <w:tr2bl w:val="nil"/>
            </w:tcBorders>
            <w:shd w:val="clear" w:color="auto" w:fill="auto"/>
            <w:vAlign w:val="center"/>
          </w:tcPr>
          <w:p w14:paraId="4732C966">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6" w:type="dxa"/>
            <w:tcBorders>
              <w:tl2br w:val="nil"/>
              <w:tr2bl w:val="nil"/>
            </w:tcBorders>
            <w:shd w:val="clear" w:color="auto" w:fill="auto"/>
            <w:vAlign w:val="center"/>
          </w:tcPr>
          <w:p w14:paraId="2E56D2DE">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6" w:type="dxa"/>
            <w:tcBorders>
              <w:tl2br w:val="nil"/>
              <w:tr2bl w:val="nil"/>
            </w:tcBorders>
            <w:shd w:val="clear" w:color="auto" w:fill="auto"/>
            <w:vAlign w:val="center"/>
          </w:tcPr>
          <w:p w14:paraId="73C5E471">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6" w:type="dxa"/>
            <w:tcBorders>
              <w:tl2br w:val="nil"/>
              <w:tr2bl w:val="nil"/>
            </w:tcBorders>
            <w:shd w:val="clear" w:color="auto" w:fill="auto"/>
            <w:vAlign w:val="center"/>
          </w:tcPr>
          <w:p w14:paraId="01114C94">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8" w:type="dxa"/>
            <w:tcBorders>
              <w:tl2br w:val="nil"/>
              <w:tr2bl w:val="nil"/>
            </w:tcBorders>
            <w:shd w:val="clear" w:color="auto" w:fill="auto"/>
            <w:vAlign w:val="center"/>
          </w:tcPr>
          <w:p w14:paraId="351122AA">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r>
      <w:tr w14:paraId="5D64CF41">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992" w:type="dxa"/>
            <w:tcBorders>
              <w:tl2br w:val="nil"/>
              <w:tr2bl w:val="nil"/>
            </w:tcBorders>
            <w:shd w:val="clear" w:color="auto" w:fill="auto"/>
            <w:vAlign w:val="center"/>
          </w:tcPr>
          <w:p w14:paraId="61225236">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1,1,1,2-</w:t>
            </w:r>
            <w:r>
              <w:rPr>
                <w:rFonts w:hint="eastAsia"/>
                <w:color w:val="auto"/>
                <w:sz w:val="21"/>
                <w:szCs w:val="21"/>
                <w:highlight w:val="none"/>
                <w:lang w:bidi="ar"/>
              </w:rPr>
              <w:t>四氯乙烷</w:t>
            </w:r>
          </w:p>
        </w:tc>
        <w:tc>
          <w:tcPr>
            <w:tcW w:w="870" w:type="dxa"/>
            <w:tcBorders>
              <w:tl2br w:val="nil"/>
              <w:tr2bl w:val="nil"/>
            </w:tcBorders>
            <w:shd w:val="clear" w:color="auto" w:fill="auto"/>
            <w:vAlign w:val="center"/>
          </w:tcPr>
          <w:p w14:paraId="116E3EBC">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mg/kg</w:t>
            </w:r>
          </w:p>
        </w:tc>
        <w:tc>
          <w:tcPr>
            <w:tcW w:w="900" w:type="dxa"/>
            <w:tcBorders>
              <w:tl2br w:val="nil"/>
              <w:tr2bl w:val="nil"/>
            </w:tcBorders>
            <w:shd w:val="clear" w:color="auto" w:fill="auto"/>
            <w:vAlign w:val="center"/>
          </w:tcPr>
          <w:p w14:paraId="789A7068">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10</w:t>
            </w:r>
          </w:p>
        </w:tc>
        <w:tc>
          <w:tcPr>
            <w:tcW w:w="1236" w:type="dxa"/>
            <w:tcBorders>
              <w:tl2br w:val="nil"/>
              <w:tr2bl w:val="nil"/>
            </w:tcBorders>
            <w:shd w:val="clear" w:color="auto" w:fill="auto"/>
            <w:vAlign w:val="center"/>
          </w:tcPr>
          <w:p w14:paraId="5E51500C">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6" w:type="dxa"/>
            <w:tcBorders>
              <w:tl2br w:val="nil"/>
              <w:tr2bl w:val="nil"/>
            </w:tcBorders>
            <w:shd w:val="clear" w:color="auto" w:fill="auto"/>
            <w:vAlign w:val="center"/>
          </w:tcPr>
          <w:p w14:paraId="04AD2577">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6" w:type="dxa"/>
            <w:tcBorders>
              <w:tl2br w:val="nil"/>
              <w:tr2bl w:val="nil"/>
            </w:tcBorders>
            <w:shd w:val="clear" w:color="auto" w:fill="auto"/>
            <w:vAlign w:val="center"/>
          </w:tcPr>
          <w:p w14:paraId="5D3C1E5C">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6" w:type="dxa"/>
            <w:tcBorders>
              <w:tl2br w:val="nil"/>
              <w:tr2bl w:val="nil"/>
            </w:tcBorders>
            <w:shd w:val="clear" w:color="auto" w:fill="auto"/>
            <w:vAlign w:val="center"/>
          </w:tcPr>
          <w:p w14:paraId="71FF3646">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6" w:type="dxa"/>
            <w:tcBorders>
              <w:tl2br w:val="nil"/>
              <w:tr2bl w:val="nil"/>
            </w:tcBorders>
            <w:shd w:val="clear" w:color="auto" w:fill="auto"/>
            <w:vAlign w:val="center"/>
          </w:tcPr>
          <w:p w14:paraId="6E3C1B97">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6" w:type="dxa"/>
            <w:tcBorders>
              <w:tl2br w:val="nil"/>
              <w:tr2bl w:val="nil"/>
            </w:tcBorders>
            <w:shd w:val="clear" w:color="auto" w:fill="auto"/>
            <w:vAlign w:val="center"/>
          </w:tcPr>
          <w:p w14:paraId="13CBC928">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6" w:type="dxa"/>
            <w:tcBorders>
              <w:tl2br w:val="nil"/>
              <w:tr2bl w:val="nil"/>
            </w:tcBorders>
            <w:shd w:val="clear" w:color="auto" w:fill="auto"/>
            <w:vAlign w:val="center"/>
          </w:tcPr>
          <w:p w14:paraId="3E03EAD9">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8" w:type="dxa"/>
            <w:tcBorders>
              <w:tl2br w:val="nil"/>
              <w:tr2bl w:val="nil"/>
            </w:tcBorders>
            <w:shd w:val="clear" w:color="auto" w:fill="auto"/>
            <w:vAlign w:val="center"/>
          </w:tcPr>
          <w:p w14:paraId="0ABE4CDE">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r>
      <w:tr w14:paraId="2E3AF8E0">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992" w:type="dxa"/>
            <w:tcBorders>
              <w:tl2br w:val="nil"/>
              <w:tr2bl w:val="nil"/>
            </w:tcBorders>
            <w:shd w:val="clear" w:color="auto" w:fill="auto"/>
            <w:vAlign w:val="center"/>
          </w:tcPr>
          <w:p w14:paraId="21406A35">
            <w:pPr>
              <w:ind w:left="-105" w:right="-105"/>
              <w:jc w:val="center"/>
              <w:textAlignment w:val="center"/>
              <w:rPr>
                <w:color w:val="auto"/>
                <w:sz w:val="21"/>
                <w:szCs w:val="21"/>
                <w:highlight w:val="none"/>
              </w:rPr>
            </w:pPr>
            <w:r>
              <w:rPr>
                <w:rFonts w:hint="eastAsia"/>
                <w:color w:val="auto"/>
                <w:sz w:val="21"/>
                <w:szCs w:val="21"/>
                <w:highlight w:val="none"/>
                <w:lang w:bidi="ar"/>
              </w:rPr>
              <w:t>乙苯</w:t>
            </w:r>
          </w:p>
        </w:tc>
        <w:tc>
          <w:tcPr>
            <w:tcW w:w="870" w:type="dxa"/>
            <w:tcBorders>
              <w:tl2br w:val="nil"/>
              <w:tr2bl w:val="nil"/>
            </w:tcBorders>
            <w:shd w:val="clear" w:color="auto" w:fill="auto"/>
            <w:vAlign w:val="center"/>
          </w:tcPr>
          <w:p w14:paraId="4EE23210">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mg/kg</w:t>
            </w:r>
          </w:p>
        </w:tc>
        <w:tc>
          <w:tcPr>
            <w:tcW w:w="900" w:type="dxa"/>
            <w:tcBorders>
              <w:tl2br w:val="nil"/>
              <w:tr2bl w:val="nil"/>
            </w:tcBorders>
            <w:shd w:val="clear" w:color="auto" w:fill="auto"/>
            <w:vAlign w:val="center"/>
          </w:tcPr>
          <w:p w14:paraId="7B92CA17">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28</w:t>
            </w:r>
          </w:p>
        </w:tc>
        <w:tc>
          <w:tcPr>
            <w:tcW w:w="1236" w:type="dxa"/>
            <w:tcBorders>
              <w:tl2br w:val="nil"/>
              <w:tr2bl w:val="nil"/>
            </w:tcBorders>
            <w:shd w:val="clear" w:color="auto" w:fill="auto"/>
            <w:vAlign w:val="center"/>
          </w:tcPr>
          <w:p w14:paraId="0F1AE35A">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6" w:type="dxa"/>
            <w:tcBorders>
              <w:tl2br w:val="nil"/>
              <w:tr2bl w:val="nil"/>
            </w:tcBorders>
            <w:shd w:val="clear" w:color="auto" w:fill="auto"/>
            <w:vAlign w:val="center"/>
          </w:tcPr>
          <w:p w14:paraId="7C691BB4">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6" w:type="dxa"/>
            <w:tcBorders>
              <w:tl2br w:val="nil"/>
              <w:tr2bl w:val="nil"/>
            </w:tcBorders>
            <w:shd w:val="clear" w:color="auto" w:fill="auto"/>
            <w:vAlign w:val="center"/>
          </w:tcPr>
          <w:p w14:paraId="425B4F1F">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6" w:type="dxa"/>
            <w:tcBorders>
              <w:tl2br w:val="nil"/>
              <w:tr2bl w:val="nil"/>
            </w:tcBorders>
            <w:shd w:val="clear" w:color="auto" w:fill="auto"/>
            <w:vAlign w:val="center"/>
          </w:tcPr>
          <w:p w14:paraId="16C82AA3">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6" w:type="dxa"/>
            <w:tcBorders>
              <w:tl2br w:val="nil"/>
              <w:tr2bl w:val="nil"/>
            </w:tcBorders>
            <w:shd w:val="clear" w:color="auto" w:fill="auto"/>
            <w:vAlign w:val="center"/>
          </w:tcPr>
          <w:p w14:paraId="41CA199F">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6" w:type="dxa"/>
            <w:tcBorders>
              <w:tl2br w:val="nil"/>
              <w:tr2bl w:val="nil"/>
            </w:tcBorders>
            <w:shd w:val="clear" w:color="auto" w:fill="auto"/>
            <w:vAlign w:val="center"/>
          </w:tcPr>
          <w:p w14:paraId="42BCBBC8">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6" w:type="dxa"/>
            <w:tcBorders>
              <w:tl2br w:val="nil"/>
              <w:tr2bl w:val="nil"/>
            </w:tcBorders>
            <w:shd w:val="clear" w:color="auto" w:fill="auto"/>
            <w:vAlign w:val="center"/>
          </w:tcPr>
          <w:p w14:paraId="023ED5C3">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8" w:type="dxa"/>
            <w:tcBorders>
              <w:tl2br w:val="nil"/>
              <w:tr2bl w:val="nil"/>
            </w:tcBorders>
            <w:shd w:val="clear" w:color="auto" w:fill="auto"/>
            <w:vAlign w:val="center"/>
          </w:tcPr>
          <w:p w14:paraId="7F4146FC">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r>
      <w:tr w14:paraId="4BBAE6A0">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992" w:type="dxa"/>
            <w:tcBorders>
              <w:tl2br w:val="nil"/>
              <w:tr2bl w:val="nil"/>
            </w:tcBorders>
            <w:shd w:val="clear" w:color="auto" w:fill="auto"/>
            <w:vAlign w:val="center"/>
          </w:tcPr>
          <w:p w14:paraId="7E4E1E9F">
            <w:pPr>
              <w:ind w:left="-105" w:right="-105"/>
              <w:jc w:val="center"/>
              <w:textAlignment w:val="center"/>
              <w:rPr>
                <w:color w:val="auto"/>
                <w:sz w:val="21"/>
                <w:szCs w:val="21"/>
                <w:highlight w:val="none"/>
              </w:rPr>
            </w:pPr>
            <w:r>
              <w:rPr>
                <w:rFonts w:hint="eastAsia"/>
                <w:color w:val="auto"/>
                <w:sz w:val="21"/>
                <w:szCs w:val="21"/>
                <w:highlight w:val="none"/>
                <w:lang w:bidi="ar"/>
              </w:rPr>
              <w:t>间</w:t>
            </w:r>
            <w:r>
              <w:rPr>
                <w:rFonts w:ascii="Times New Roman" w:hAnsi="Times New Roman" w:cs="Times New Roman"/>
                <w:color w:val="auto"/>
                <w:sz w:val="21"/>
                <w:szCs w:val="21"/>
                <w:highlight w:val="none"/>
                <w:lang w:bidi="ar"/>
              </w:rPr>
              <w:t>/</w:t>
            </w:r>
            <w:r>
              <w:rPr>
                <w:rFonts w:hint="eastAsia"/>
                <w:color w:val="auto"/>
                <w:sz w:val="21"/>
                <w:szCs w:val="21"/>
                <w:highlight w:val="none"/>
                <w:lang w:bidi="ar"/>
              </w:rPr>
              <w:t>对</w:t>
            </w:r>
            <w:r>
              <w:rPr>
                <w:rFonts w:ascii="Times New Roman" w:hAnsi="Times New Roman" w:cs="Times New Roman"/>
                <w:color w:val="auto"/>
                <w:sz w:val="21"/>
                <w:szCs w:val="21"/>
                <w:highlight w:val="none"/>
                <w:lang w:bidi="ar"/>
              </w:rPr>
              <w:t>-</w:t>
            </w:r>
            <w:r>
              <w:rPr>
                <w:rFonts w:hint="eastAsia"/>
                <w:color w:val="auto"/>
                <w:sz w:val="21"/>
                <w:szCs w:val="21"/>
                <w:highlight w:val="none"/>
                <w:lang w:bidi="ar"/>
              </w:rPr>
              <w:t>二甲苯</w:t>
            </w:r>
          </w:p>
        </w:tc>
        <w:tc>
          <w:tcPr>
            <w:tcW w:w="870" w:type="dxa"/>
            <w:tcBorders>
              <w:tl2br w:val="nil"/>
              <w:tr2bl w:val="nil"/>
            </w:tcBorders>
            <w:shd w:val="clear" w:color="auto" w:fill="auto"/>
            <w:vAlign w:val="center"/>
          </w:tcPr>
          <w:p w14:paraId="2D670CF8">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mg/kg</w:t>
            </w:r>
          </w:p>
        </w:tc>
        <w:tc>
          <w:tcPr>
            <w:tcW w:w="900" w:type="dxa"/>
            <w:tcBorders>
              <w:tl2br w:val="nil"/>
              <w:tr2bl w:val="nil"/>
            </w:tcBorders>
            <w:shd w:val="clear" w:color="auto" w:fill="auto"/>
            <w:vAlign w:val="center"/>
          </w:tcPr>
          <w:p w14:paraId="447815A7">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570</w:t>
            </w:r>
          </w:p>
        </w:tc>
        <w:tc>
          <w:tcPr>
            <w:tcW w:w="1236" w:type="dxa"/>
            <w:tcBorders>
              <w:tl2br w:val="nil"/>
              <w:tr2bl w:val="nil"/>
            </w:tcBorders>
            <w:shd w:val="clear" w:color="auto" w:fill="auto"/>
            <w:vAlign w:val="center"/>
          </w:tcPr>
          <w:p w14:paraId="0FE987FA">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6" w:type="dxa"/>
            <w:tcBorders>
              <w:tl2br w:val="nil"/>
              <w:tr2bl w:val="nil"/>
            </w:tcBorders>
            <w:shd w:val="clear" w:color="auto" w:fill="auto"/>
            <w:vAlign w:val="center"/>
          </w:tcPr>
          <w:p w14:paraId="469C31C5">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6" w:type="dxa"/>
            <w:tcBorders>
              <w:tl2br w:val="nil"/>
              <w:tr2bl w:val="nil"/>
            </w:tcBorders>
            <w:shd w:val="clear" w:color="auto" w:fill="auto"/>
            <w:vAlign w:val="center"/>
          </w:tcPr>
          <w:p w14:paraId="60E86BB6">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6" w:type="dxa"/>
            <w:tcBorders>
              <w:tl2br w:val="nil"/>
              <w:tr2bl w:val="nil"/>
            </w:tcBorders>
            <w:shd w:val="clear" w:color="auto" w:fill="auto"/>
            <w:vAlign w:val="center"/>
          </w:tcPr>
          <w:p w14:paraId="7BA87CDB">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6" w:type="dxa"/>
            <w:tcBorders>
              <w:tl2br w:val="nil"/>
              <w:tr2bl w:val="nil"/>
            </w:tcBorders>
            <w:shd w:val="clear" w:color="auto" w:fill="auto"/>
            <w:vAlign w:val="center"/>
          </w:tcPr>
          <w:p w14:paraId="4951D0AB">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6" w:type="dxa"/>
            <w:tcBorders>
              <w:tl2br w:val="nil"/>
              <w:tr2bl w:val="nil"/>
            </w:tcBorders>
            <w:shd w:val="clear" w:color="auto" w:fill="auto"/>
            <w:vAlign w:val="center"/>
          </w:tcPr>
          <w:p w14:paraId="3D22A713">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6" w:type="dxa"/>
            <w:tcBorders>
              <w:tl2br w:val="nil"/>
              <w:tr2bl w:val="nil"/>
            </w:tcBorders>
            <w:shd w:val="clear" w:color="auto" w:fill="auto"/>
            <w:vAlign w:val="center"/>
          </w:tcPr>
          <w:p w14:paraId="658FEF64">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8" w:type="dxa"/>
            <w:tcBorders>
              <w:tl2br w:val="nil"/>
              <w:tr2bl w:val="nil"/>
            </w:tcBorders>
            <w:shd w:val="clear" w:color="auto" w:fill="auto"/>
            <w:vAlign w:val="center"/>
          </w:tcPr>
          <w:p w14:paraId="364E0FDD">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r>
      <w:tr w14:paraId="6593D6DE">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992" w:type="dxa"/>
            <w:tcBorders>
              <w:tl2br w:val="nil"/>
              <w:tr2bl w:val="nil"/>
            </w:tcBorders>
            <w:shd w:val="clear" w:color="auto" w:fill="auto"/>
            <w:vAlign w:val="center"/>
          </w:tcPr>
          <w:p w14:paraId="00B88F11">
            <w:pPr>
              <w:ind w:left="-105" w:right="-105"/>
              <w:jc w:val="center"/>
              <w:textAlignment w:val="center"/>
              <w:rPr>
                <w:color w:val="auto"/>
                <w:sz w:val="21"/>
                <w:szCs w:val="21"/>
                <w:highlight w:val="none"/>
              </w:rPr>
            </w:pPr>
            <w:r>
              <w:rPr>
                <w:rFonts w:hint="eastAsia"/>
                <w:color w:val="auto"/>
                <w:sz w:val="21"/>
                <w:szCs w:val="21"/>
                <w:highlight w:val="none"/>
                <w:lang w:bidi="ar"/>
              </w:rPr>
              <w:t>邻</w:t>
            </w:r>
            <w:r>
              <w:rPr>
                <w:rFonts w:ascii="Times New Roman" w:hAnsi="Times New Roman" w:cs="Times New Roman"/>
                <w:color w:val="auto"/>
                <w:sz w:val="21"/>
                <w:szCs w:val="21"/>
                <w:highlight w:val="none"/>
                <w:lang w:bidi="ar"/>
              </w:rPr>
              <w:t>-</w:t>
            </w:r>
            <w:r>
              <w:rPr>
                <w:rFonts w:hint="eastAsia"/>
                <w:color w:val="auto"/>
                <w:sz w:val="21"/>
                <w:szCs w:val="21"/>
                <w:highlight w:val="none"/>
                <w:lang w:bidi="ar"/>
              </w:rPr>
              <w:t>二甲苯</w:t>
            </w:r>
          </w:p>
        </w:tc>
        <w:tc>
          <w:tcPr>
            <w:tcW w:w="870" w:type="dxa"/>
            <w:tcBorders>
              <w:tl2br w:val="nil"/>
              <w:tr2bl w:val="nil"/>
            </w:tcBorders>
            <w:shd w:val="clear" w:color="auto" w:fill="auto"/>
            <w:vAlign w:val="center"/>
          </w:tcPr>
          <w:p w14:paraId="62CBFEBB">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mg/kg</w:t>
            </w:r>
          </w:p>
        </w:tc>
        <w:tc>
          <w:tcPr>
            <w:tcW w:w="900" w:type="dxa"/>
            <w:tcBorders>
              <w:tl2br w:val="nil"/>
              <w:tr2bl w:val="nil"/>
            </w:tcBorders>
            <w:shd w:val="clear" w:color="auto" w:fill="auto"/>
            <w:vAlign w:val="center"/>
          </w:tcPr>
          <w:p w14:paraId="38C58176">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640</w:t>
            </w:r>
          </w:p>
        </w:tc>
        <w:tc>
          <w:tcPr>
            <w:tcW w:w="1236" w:type="dxa"/>
            <w:tcBorders>
              <w:tl2br w:val="nil"/>
              <w:tr2bl w:val="nil"/>
            </w:tcBorders>
            <w:shd w:val="clear" w:color="auto" w:fill="auto"/>
            <w:vAlign w:val="center"/>
          </w:tcPr>
          <w:p w14:paraId="42F5014F">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6" w:type="dxa"/>
            <w:tcBorders>
              <w:tl2br w:val="nil"/>
              <w:tr2bl w:val="nil"/>
            </w:tcBorders>
            <w:shd w:val="clear" w:color="auto" w:fill="auto"/>
            <w:vAlign w:val="center"/>
          </w:tcPr>
          <w:p w14:paraId="7534A6DD">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6" w:type="dxa"/>
            <w:tcBorders>
              <w:tl2br w:val="nil"/>
              <w:tr2bl w:val="nil"/>
            </w:tcBorders>
            <w:shd w:val="clear" w:color="auto" w:fill="auto"/>
            <w:vAlign w:val="center"/>
          </w:tcPr>
          <w:p w14:paraId="30F7550D">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6" w:type="dxa"/>
            <w:tcBorders>
              <w:tl2br w:val="nil"/>
              <w:tr2bl w:val="nil"/>
            </w:tcBorders>
            <w:shd w:val="clear" w:color="auto" w:fill="auto"/>
            <w:vAlign w:val="center"/>
          </w:tcPr>
          <w:p w14:paraId="1472EC5E">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6" w:type="dxa"/>
            <w:tcBorders>
              <w:tl2br w:val="nil"/>
              <w:tr2bl w:val="nil"/>
            </w:tcBorders>
            <w:shd w:val="clear" w:color="auto" w:fill="auto"/>
            <w:vAlign w:val="center"/>
          </w:tcPr>
          <w:p w14:paraId="6817F450">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6" w:type="dxa"/>
            <w:tcBorders>
              <w:tl2br w:val="nil"/>
              <w:tr2bl w:val="nil"/>
            </w:tcBorders>
            <w:shd w:val="clear" w:color="auto" w:fill="auto"/>
            <w:vAlign w:val="center"/>
          </w:tcPr>
          <w:p w14:paraId="664AB46B">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6" w:type="dxa"/>
            <w:tcBorders>
              <w:tl2br w:val="nil"/>
              <w:tr2bl w:val="nil"/>
            </w:tcBorders>
            <w:shd w:val="clear" w:color="auto" w:fill="auto"/>
            <w:vAlign w:val="center"/>
          </w:tcPr>
          <w:p w14:paraId="4D3EFBC9">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8" w:type="dxa"/>
            <w:tcBorders>
              <w:tl2br w:val="nil"/>
              <w:tr2bl w:val="nil"/>
            </w:tcBorders>
            <w:shd w:val="clear" w:color="auto" w:fill="auto"/>
            <w:vAlign w:val="center"/>
          </w:tcPr>
          <w:p w14:paraId="3A528C06">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r>
      <w:tr w14:paraId="2465BB04">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992" w:type="dxa"/>
            <w:tcBorders>
              <w:tl2br w:val="nil"/>
              <w:tr2bl w:val="nil"/>
            </w:tcBorders>
            <w:shd w:val="clear" w:color="auto" w:fill="auto"/>
            <w:vAlign w:val="center"/>
          </w:tcPr>
          <w:p w14:paraId="5F63F21A">
            <w:pPr>
              <w:ind w:left="-105" w:right="-105"/>
              <w:jc w:val="center"/>
              <w:textAlignment w:val="center"/>
              <w:rPr>
                <w:color w:val="auto"/>
                <w:sz w:val="21"/>
                <w:szCs w:val="21"/>
                <w:highlight w:val="none"/>
              </w:rPr>
            </w:pPr>
            <w:r>
              <w:rPr>
                <w:rFonts w:hint="eastAsia"/>
                <w:color w:val="auto"/>
                <w:sz w:val="21"/>
                <w:szCs w:val="21"/>
                <w:highlight w:val="none"/>
                <w:lang w:bidi="ar"/>
              </w:rPr>
              <w:t>苯乙烯</w:t>
            </w:r>
          </w:p>
        </w:tc>
        <w:tc>
          <w:tcPr>
            <w:tcW w:w="870" w:type="dxa"/>
            <w:tcBorders>
              <w:tl2br w:val="nil"/>
              <w:tr2bl w:val="nil"/>
            </w:tcBorders>
            <w:shd w:val="clear" w:color="auto" w:fill="auto"/>
            <w:vAlign w:val="center"/>
          </w:tcPr>
          <w:p w14:paraId="39FEC428">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mg/kg</w:t>
            </w:r>
          </w:p>
        </w:tc>
        <w:tc>
          <w:tcPr>
            <w:tcW w:w="900" w:type="dxa"/>
            <w:tcBorders>
              <w:tl2br w:val="nil"/>
              <w:tr2bl w:val="nil"/>
            </w:tcBorders>
            <w:shd w:val="clear" w:color="auto" w:fill="auto"/>
            <w:vAlign w:val="center"/>
          </w:tcPr>
          <w:p w14:paraId="468EDA6E">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1290</w:t>
            </w:r>
          </w:p>
        </w:tc>
        <w:tc>
          <w:tcPr>
            <w:tcW w:w="1236" w:type="dxa"/>
            <w:tcBorders>
              <w:tl2br w:val="nil"/>
              <w:tr2bl w:val="nil"/>
            </w:tcBorders>
            <w:shd w:val="clear" w:color="auto" w:fill="auto"/>
            <w:vAlign w:val="center"/>
          </w:tcPr>
          <w:p w14:paraId="30B31548">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6" w:type="dxa"/>
            <w:tcBorders>
              <w:tl2br w:val="nil"/>
              <w:tr2bl w:val="nil"/>
            </w:tcBorders>
            <w:shd w:val="clear" w:color="auto" w:fill="auto"/>
            <w:vAlign w:val="center"/>
          </w:tcPr>
          <w:p w14:paraId="12BA644F">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6" w:type="dxa"/>
            <w:tcBorders>
              <w:tl2br w:val="nil"/>
              <w:tr2bl w:val="nil"/>
            </w:tcBorders>
            <w:shd w:val="clear" w:color="auto" w:fill="auto"/>
            <w:vAlign w:val="center"/>
          </w:tcPr>
          <w:p w14:paraId="71D41AAC">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6" w:type="dxa"/>
            <w:tcBorders>
              <w:tl2br w:val="nil"/>
              <w:tr2bl w:val="nil"/>
            </w:tcBorders>
            <w:shd w:val="clear" w:color="auto" w:fill="auto"/>
            <w:vAlign w:val="center"/>
          </w:tcPr>
          <w:p w14:paraId="465E7E40">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6" w:type="dxa"/>
            <w:tcBorders>
              <w:tl2br w:val="nil"/>
              <w:tr2bl w:val="nil"/>
            </w:tcBorders>
            <w:shd w:val="clear" w:color="auto" w:fill="auto"/>
            <w:vAlign w:val="center"/>
          </w:tcPr>
          <w:p w14:paraId="69FED770">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6" w:type="dxa"/>
            <w:tcBorders>
              <w:tl2br w:val="nil"/>
              <w:tr2bl w:val="nil"/>
            </w:tcBorders>
            <w:shd w:val="clear" w:color="auto" w:fill="auto"/>
            <w:vAlign w:val="center"/>
          </w:tcPr>
          <w:p w14:paraId="5973A710">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6" w:type="dxa"/>
            <w:tcBorders>
              <w:tl2br w:val="nil"/>
              <w:tr2bl w:val="nil"/>
            </w:tcBorders>
            <w:shd w:val="clear" w:color="auto" w:fill="auto"/>
            <w:vAlign w:val="center"/>
          </w:tcPr>
          <w:p w14:paraId="4606DB11">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8" w:type="dxa"/>
            <w:tcBorders>
              <w:tl2br w:val="nil"/>
              <w:tr2bl w:val="nil"/>
            </w:tcBorders>
            <w:shd w:val="clear" w:color="auto" w:fill="auto"/>
            <w:vAlign w:val="center"/>
          </w:tcPr>
          <w:p w14:paraId="15292AB5">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r>
      <w:tr w14:paraId="403EB83D">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992" w:type="dxa"/>
            <w:tcBorders>
              <w:tl2br w:val="nil"/>
              <w:tr2bl w:val="nil"/>
            </w:tcBorders>
            <w:shd w:val="clear" w:color="auto" w:fill="auto"/>
            <w:vAlign w:val="center"/>
          </w:tcPr>
          <w:p w14:paraId="7D22C462">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1,1,2,2-</w:t>
            </w:r>
            <w:r>
              <w:rPr>
                <w:rFonts w:hint="eastAsia"/>
                <w:color w:val="auto"/>
                <w:sz w:val="21"/>
                <w:szCs w:val="21"/>
                <w:highlight w:val="none"/>
                <w:lang w:bidi="ar"/>
              </w:rPr>
              <w:t>四氯乙烷</w:t>
            </w:r>
          </w:p>
        </w:tc>
        <w:tc>
          <w:tcPr>
            <w:tcW w:w="870" w:type="dxa"/>
            <w:tcBorders>
              <w:tl2br w:val="nil"/>
              <w:tr2bl w:val="nil"/>
            </w:tcBorders>
            <w:shd w:val="clear" w:color="auto" w:fill="auto"/>
            <w:vAlign w:val="center"/>
          </w:tcPr>
          <w:p w14:paraId="06018408">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mg/kg</w:t>
            </w:r>
          </w:p>
        </w:tc>
        <w:tc>
          <w:tcPr>
            <w:tcW w:w="900" w:type="dxa"/>
            <w:tcBorders>
              <w:tl2br w:val="nil"/>
              <w:tr2bl w:val="nil"/>
            </w:tcBorders>
            <w:shd w:val="clear" w:color="auto" w:fill="auto"/>
            <w:vAlign w:val="center"/>
          </w:tcPr>
          <w:p w14:paraId="7AD05F18">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6.8</w:t>
            </w:r>
          </w:p>
        </w:tc>
        <w:tc>
          <w:tcPr>
            <w:tcW w:w="1236" w:type="dxa"/>
            <w:tcBorders>
              <w:tl2br w:val="nil"/>
              <w:tr2bl w:val="nil"/>
            </w:tcBorders>
            <w:shd w:val="clear" w:color="auto" w:fill="auto"/>
            <w:vAlign w:val="center"/>
          </w:tcPr>
          <w:p w14:paraId="62564BEC">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6" w:type="dxa"/>
            <w:tcBorders>
              <w:tl2br w:val="nil"/>
              <w:tr2bl w:val="nil"/>
            </w:tcBorders>
            <w:shd w:val="clear" w:color="auto" w:fill="auto"/>
            <w:vAlign w:val="center"/>
          </w:tcPr>
          <w:p w14:paraId="5F58F245">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6" w:type="dxa"/>
            <w:tcBorders>
              <w:tl2br w:val="nil"/>
              <w:tr2bl w:val="nil"/>
            </w:tcBorders>
            <w:shd w:val="clear" w:color="auto" w:fill="auto"/>
            <w:vAlign w:val="center"/>
          </w:tcPr>
          <w:p w14:paraId="46E46480">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6" w:type="dxa"/>
            <w:tcBorders>
              <w:tl2br w:val="nil"/>
              <w:tr2bl w:val="nil"/>
            </w:tcBorders>
            <w:shd w:val="clear" w:color="auto" w:fill="auto"/>
            <w:vAlign w:val="center"/>
          </w:tcPr>
          <w:p w14:paraId="7DEAB0C8">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6" w:type="dxa"/>
            <w:tcBorders>
              <w:tl2br w:val="nil"/>
              <w:tr2bl w:val="nil"/>
            </w:tcBorders>
            <w:shd w:val="clear" w:color="auto" w:fill="auto"/>
            <w:vAlign w:val="center"/>
          </w:tcPr>
          <w:p w14:paraId="324A3E1D">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6" w:type="dxa"/>
            <w:tcBorders>
              <w:tl2br w:val="nil"/>
              <w:tr2bl w:val="nil"/>
            </w:tcBorders>
            <w:shd w:val="clear" w:color="auto" w:fill="auto"/>
            <w:vAlign w:val="center"/>
          </w:tcPr>
          <w:p w14:paraId="27DE4FD6">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6" w:type="dxa"/>
            <w:tcBorders>
              <w:tl2br w:val="nil"/>
              <w:tr2bl w:val="nil"/>
            </w:tcBorders>
            <w:shd w:val="clear" w:color="auto" w:fill="auto"/>
            <w:vAlign w:val="center"/>
          </w:tcPr>
          <w:p w14:paraId="791BC18F">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8" w:type="dxa"/>
            <w:tcBorders>
              <w:tl2br w:val="nil"/>
              <w:tr2bl w:val="nil"/>
            </w:tcBorders>
            <w:shd w:val="clear" w:color="auto" w:fill="auto"/>
            <w:vAlign w:val="center"/>
          </w:tcPr>
          <w:p w14:paraId="3239C9F0">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r>
      <w:tr w14:paraId="0871C5A7">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992" w:type="dxa"/>
            <w:tcBorders>
              <w:tl2br w:val="nil"/>
              <w:tr2bl w:val="nil"/>
            </w:tcBorders>
            <w:shd w:val="clear" w:color="auto" w:fill="auto"/>
            <w:vAlign w:val="center"/>
          </w:tcPr>
          <w:p w14:paraId="1B543F27">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1,2,3-</w:t>
            </w:r>
            <w:r>
              <w:rPr>
                <w:rFonts w:hint="eastAsia"/>
                <w:color w:val="auto"/>
                <w:sz w:val="21"/>
                <w:szCs w:val="21"/>
                <w:highlight w:val="none"/>
                <w:lang w:bidi="ar"/>
              </w:rPr>
              <w:t>三氯丙烷</w:t>
            </w:r>
          </w:p>
        </w:tc>
        <w:tc>
          <w:tcPr>
            <w:tcW w:w="870" w:type="dxa"/>
            <w:tcBorders>
              <w:tl2br w:val="nil"/>
              <w:tr2bl w:val="nil"/>
            </w:tcBorders>
            <w:shd w:val="clear" w:color="auto" w:fill="auto"/>
            <w:vAlign w:val="center"/>
          </w:tcPr>
          <w:p w14:paraId="2CD44A46">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mg/kg</w:t>
            </w:r>
          </w:p>
        </w:tc>
        <w:tc>
          <w:tcPr>
            <w:tcW w:w="900" w:type="dxa"/>
            <w:tcBorders>
              <w:tl2br w:val="nil"/>
              <w:tr2bl w:val="nil"/>
            </w:tcBorders>
            <w:shd w:val="clear" w:color="auto" w:fill="auto"/>
            <w:vAlign w:val="center"/>
          </w:tcPr>
          <w:p w14:paraId="19D04642">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0.5</w:t>
            </w:r>
          </w:p>
        </w:tc>
        <w:tc>
          <w:tcPr>
            <w:tcW w:w="1236" w:type="dxa"/>
            <w:tcBorders>
              <w:tl2br w:val="nil"/>
              <w:tr2bl w:val="nil"/>
            </w:tcBorders>
            <w:shd w:val="clear" w:color="auto" w:fill="auto"/>
            <w:vAlign w:val="center"/>
          </w:tcPr>
          <w:p w14:paraId="459148E4">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6" w:type="dxa"/>
            <w:tcBorders>
              <w:tl2br w:val="nil"/>
              <w:tr2bl w:val="nil"/>
            </w:tcBorders>
            <w:shd w:val="clear" w:color="auto" w:fill="auto"/>
            <w:vAlign w:val="center"/>
          </w:tcPr>
          <w:p w14:paraId="20658285">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6" w:type="dxa"/>
            <w:tcBorders>
              <w:tl2br w:val="nil"/>
              <w:tr2bl w:val="nil"/>
            </w:tcBorders>
            <w:shd w:val="clear" w:color="auto" w:fill="auto"/>
            <w:vAlign w:val="center"/>
          </w:tcPr>
          <w:p w14:paraId="4E078DB6">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6" w:type="dxa"/>
            <w:tcBorders>
              <w:tl2br w:val="nil"/>
              <w:tr2bl w:val="nil"/>
            </w:tcBorders>
            <w:shd w:val="clear" w:color="auto" w:fill="auto"/>
            <w:vAlign w:val="center"/>
          </w:tcPr>
          <w:p w14:paraId="59419C2E">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6" w:type="dxa"/>
            <w:tcBorders>
              <w:tl2br w:val="nil"/>
              <w:tr2bl w:val="nil"/>
            </w:tcBorders>
            <w:shd w:val="clear" w:color="auto" w:fill="auto"/>
            <w:vAlign w:val="center"/>
          </w:tcPr>
          <w:p w14:paraId="64A3D99C">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6" w:type="dxa"/>
            <w:tcBorders>
              <w:tl2br w:val="nil"/>
              <w:tr2bl w:val="nil"/>
            </w:tcBorders>
            <w:shd w:val="clear" w:color="auto" w:fill="auto"/>
            <w:vAlign w:val="center"/>
          </w:tcPr>
          <w:p w14:paraId="08783931">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6" w:type="dxa"/>
            <w:tcBorders>
              <w:tl2br w:val="nil"/>
              <w:tr2bl w:val="nil"/>
            </w:tcBorders>
            <w:shd w:val="clear" w:color="auto" w:fill="auto"/>
            <w:vAlign w:val="center"/>
          </w:tcPr>
          <w:p w14:paraId="30B714B3">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8" w:type="dxa"/>
            <w:tcBorders>
              <w:tl2br w:val="nil"/>
              <w:tr2bl w:val="nil"/>
            </w:tcBorders>
            <w:shd w:val="clear" w:color="auto" w:fill="auto"/>
            <w:vAlign w:val="center"/>
          </w:tcPr>
          <w:p w14:paraId="3E856A6A">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r>
      <w:tr w14:paraId="39DA22B5">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992" w:type="dxa"/>
            <w:tcBorders>
              <w:tl2br w:val="nil"/>
              <w:tr2bl w:val="nil"/>
            </w:tcBorders>
            <w:shd w:val="clear" w:color="auto" w:fill="auto"/>
            <w:vAlign w:val="center"/>
          </w:tcPr>
          <w:p w14:paraId="597BBDFD">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1,4-</w:t>
            </w:r>
            <w:r>
              <w:rPr>
                <w:rFonts w:hint="eastAsia"/>
                <w:color w:val="auto"/>
                <w:sz w:val="21"/>
                <w:szCs w:val="21"/>
                <w:highlight w:val="none"/>
                <w:lang w:bidi="ar"/>
              </w:rPr>
              <w:t>二氯苯</w:t>
            </w:r>
          </w:p>
        </w:tc>
        <w:tc>
          <w:tcPr>
            <w:tcW w:w="870" w:type="dxa"/>
            <w:tcBorders>
              <w:tl2br w:val="nil"/>
              <w:tr2bl w:val="nil"/>
            </w:tcBorders>
            <w:shd w:val="clear" w:color="auto" w:fill="auto"/>
            <w:vAlign w:val="center"/>
          </w:tcPr>
          <w:p w14:paraId="26C1246A">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mg/kg</w:t>
            </w:r>
          </w:p>
        </w:tc>
        <w:tc>
          <w:tcPr>
            <w:tcW w:w="900" w:type="dxa"/>
            <w:tcBorders>
              <w:tl2br w:val="nil"/>
              <w:tr2bl w:val="nil"/>
            </w:tcBorders>
            <w:shd w:val="clear" w:color="auto" w:fill="auto"/>
            <w:vAlign w:val="center"/>
          </w:tcPr>
          <w:p w14:paraId="7D643852">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20</w:t>
            </w:r>
          </w:p>
        </w:tc>
        <w:tc>
          <w:tcPr>
            <w:tcW w:w="1236" w:type="dxa"/>
            <w:tcBorders>
              <w:tl2br w:val="nil"/>
              <w:tr2bl w:val="nil"/>
            </w:tcBorders>
            <w:shd w:val="clear" w:color="auto" w:fill="auto"/>
            <w:vAlign w:val="center"/>
          </w:tcPr>
          <w:p w14:paraId="3DB11A98">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6" w:type="dxa"/>
            <w:tcBorders>
              <w:tl2br w:val="nil"/>
              <w:tr2bl w:val="nil"/>
            </w:tcBorders>
            <w:shd w:val="clear" w:color="auto" w:fill="auto"/>
            <w:vAlign w:val="center"/>
          </w:tcPr>
          <w:p w14:paraId="7746568A">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6" w:type="dxa"/>
            <w:tcBorders>
              <w:tl2br w:val="nil"/>
              <w:tr2bl w:val="nil"/>
            </w:tcBorders>
            <w:shd w:val="clear" w:color="auto" w:fill="auto"/>
            <w:vAlign w:val="center"/>
          </w:tcPr>
          <w:p w14:paraId="56D20057">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6" w:type="dxa"/>
            <w:tcBorders>
              <w:tl2br w:val="nil"/>
              <w:tr2bl w:val="nil"/>
            </w:tcBorders>
            <w:shd w:val="clear" w:color="auto" w:fill="auto"/>
            <w:vAlign w:val="center"/>
          </w:tcPr>
          <w:p w14:paraId="610A6D5F">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6" w:type="dxa"/>
            <w:tcBorders>
              <w:tl2br w:val="nil"/>
              <w:tr2bl w:val="nil"/>
            </w:tcBorders>
            <w:shd w:val="clear" w:color="auto" w:fill="auto"/>
            <w:vAlign w:val="center"/>
          </w:tcPr>
          <w:p w14:paraId="709D83C1">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6" w:type="dxa"/>
            <w:tcBorders>
              <w:tl2br w:val="nil"/>
              <w:tr2bl w:val="nil"/>
            </w:tcBorders>
            <w:shd w:val="clear" w:color="auto" w:fill="auto"/>
            <w:vAlign w:val="center"/>
          </w:tcPr>
          <w:p w14:paraId="245044A9">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6" w:type="dxa"/>
            <w:tcBorders>
              <w:tl2br w:val="nil"/>
              <w:tr2bl w:val="nil"/>
            </w:tcBorders>
            <w:shd w:val="clear" w:color="auto" w:fill="auto"/>
            <w:vAlign w:val="center"/>
          </w:tcPr>
          <w:p w14:paraId="186BA7DC">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8" w:type="dxa"/>
            <w:tcBorders>
              <w:tl2br w:val="nil"/>
              <w:tr2bl w:val="nil"/>
            </w:tcBorders>
            <w:shd w:val="clear" w:color="auto" w:fill="auto"/>
            <w:vAlign w:val="center"/>
          </w:tcPr>
          <w:p w14:paraId="7F7F8091">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r>
      <w:tr w14:paraId="0913259A">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992" w:type="dxa"/>
            <w:tcBorders>
              <w:tl2br w:val="nil"/>
              <w:tr2bl w:val="nil"/>
            </w:tcBorders>
            <w:shd w:val="clear" w:color="auto" w:fill="auto"/>
            <w:vAlign w:val="center"/>
          </w:tcPr>
          <w:p w14:paraId="177959E3">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1,2-</w:t>
            </w:r>
            <w:r>
              <w:rPr>
                <w:rFonts w:hint="eastAsia"/>
                <w:color w:val="auto"/>
                <w:sz w:val="21"/>
                <w:szCs w:val="21"/>
                <w:highlight w:val="none"/>
                <w:lang w:bidi="ar"/>
              </w:rPr>
              <w:t>二氯苯</w:t>
            </w:r>
          </w:p>
        </w:tc>
        <w:tc>
          <w:tcPr>
            <w:tcW w:w="870" w:type="dxa"/>
            <w:tcBorders>
              <w:tl2br w:val="nil"/>
              <w:tr2bl w:val="nil"/>
            </w:tcBorders>
            <w:shd w:val="clear" w:color="auto" w:fill="auto"/>
            <w:vAlign w:val="center"/>
          </w:tcPr>
          <w:p w14:paraId="3C3356E4">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mg/kg</w:t>
            </w:r>
          </w:p>
        </w:tc>
        <w:tc>
          <w:tcPr>
            <w:tcW w:w="900" w:type="dxa"/>
            <w:tcBorders>
              <w:tl2br w:val="nil"/>
              <w:tr2bl w:val="nil"/>
            </w:tcBorders>
            <w:shd w:val="clear" w:color="auto" w:fill="auto"/>
            <w:vAlign w:val="center"/>
          </w:tcPr>
          <w:p w14:paraId="4BDEA35D">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560</w:t>
            </w:r>
          </w:p>
        </w:tc>
        <w:tc>
          <w:tcPr>
            <w:tcW w:w="1236" w:type="dxa"/>
            <w:tcBorders>
              <w:tl2br w:val="nil"/>
              <w:tr2bl w:val="nil"/>
            </w:tcBorders>
            <w:shd w:val="clear" w:color="auto" w:fill="auto"/>
            <w:vAlign w:val="center"/>
          </w:tcPr>
          <w:p w14:paraId="378826EF">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6" w:type="dxa"/>
            <w:tcBorders>
              <w:tl2br w:val="nil"/>
              <w:tr2bl w:val="nil"/>
            </w:tcBorders>
            <w:shd w:val="clear" w:color="auto" w:fill="auto"/>
            <w:vAlign w:val="center"/>
          </w:tcPr>
          <w:p w14:paraId="1E8236CF">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6" w:type="dxa"/>
            <w:tcBorders>
              <w:tl2br w:val="nil"/>
              <w:tr2bl w:val="nil"/>
            </w:tcBorders>
            <w:shd w:val="clear" w:color="auto" w:fill="auto"/>
            <w:vAlign w:val="center"/>
          </w:tcPr>
          <w:p w14:paraId="001AB228">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6" w:type="dxa"/>
            <w:tcBorders>
              <w:tl2br w:val="nil"/>
              <w:tr2bl w:val="nil"/>
            </w:tcBorders>
            <w:shd w:val="clear" w:color="auto" w:fill="auto"/>
            <w:vAlign w:val="center"/>
          </w:tcPr>
          <w:p w14:paraId="0B9A4ED1">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6" w:type="dxa"/>
            <w:tcBorders>
              <w:tl2br w:val="nil"/>
              <w:tr2bl w:val="nil"/>
            </w:tcBorders>
            <w:shd w:val="clear" w:color="auto" w:fill="auto"/>
            <w:vAlign w:val="center"/>
          </w:tcPr>
          <w:p w14:paraId="59A28C61">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6" w:type="dxa"/>
            <w:tcBorders>
              <w:tl2br w:val="nil"/>
              <w:tr2bl w:val="nil"/>
            </w:tcBorders>
            <w:shd w:val="clear" w:color="auto" w:fill="auto"/>
            <w:vAlign w:val="center"/>
          </w:tcPr>
          <w:p w14:paraId="7DB0C064">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6" w:type="dxa"/>
            <w:tcBorders>
              <w:tl2br w:val="nil"/>
              <w:tr2bl w:val="nil"/>
            </w:tcBorders>
            <w:shd w:val="clear" w:color="auto" w:fill="auto"/>
            <w:vAlign w:val="center"/>
          </w:tcPr>
          <w:p w14:paraId="1B7310AE">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8" w:type="dxa"/>
            <w:tcBorders>
              <w:tl2br w:val="nil"/>
              <w:tr2bl w:val="nil"/>
            </w:tcBorders>
            <w:shd w:val="clear" w:color="auto" w:fill="auto"/>
            <w:vAlign w:val="center"/>
          </w:tcPr>
          <w:p w14:paraId="6ABC0141">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r>
      <w:tr w14:paraId="1C9C4850">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992" w:type="dxa"/>
            <w:tcBorders>
              <w:tl2br w:val="nil"/>
              <w:tr2bl w:val="nil"/>
            </w:tcBorders>
            <w:shd w:val="clear" w:color="auto" w:fill="auto"/>
            <w:vAlign w:val="center"/>
          </w:tcPr>
          <w:p w14:paraId="4C65EB6B">
            <w:pPr>
              <w:ind w:left="-105" w:right="-105"/>
              <w:jc w:val="center"/>
              <w:textAlignment w:val="center"/>
              <w:rPr>
                <w:color w:val="auto"/>
                <w:sz w:val="21"/>
                <w:szCs w:val="21"/>
                <w:highlight w:val="none"/>
              </w:rPr>
            </w:pPr>
            <w:r>
              <w:rPr>
                <w:rFonts w:hint="eastAsia"/>
                <w:color w:val="auto"/>
                <w:sz w:val="21"/>
                <w:szCs w:val="21"/>
                <w:highlight w:val="none"/>
                <w:lang w:bidi="ar"/>
              </w:rPr>
              <w:t>苯胺</w:t>
            </w:r>
          </w:p>
        </w:tc>
        <w:tc>
          <w:tcPr>
            <w:tcW w:w="870" w:type="dxa"/>
            <w:tcBorders>
              <w:tl2br w:val="nil"/>
              <w:tr2bl w:val="nil"/>
            </w:tcBorders>
            <w:shd w:val="clear" w:color="auto" w:fill="auto"/>
            <w:vAlign w:val="center"/>
          </w:tcPr>
          <w:p w14:paraId="5D0F5A0D">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mg/kg</w:t>
            </w:r>
          </w:p>
        </w:tc>
        <w:tc>
          <w:tcPr>
            <w:tcW w:w="900" w:type="dxa"/>
            <w:tcBorders>
              <w:tl2br w:val="nil"/>
              <w:tr2bl w:val="nil"/>
            </w:tcBorders>
            <w:shd w:val="clear" w:color="auto" w:fill="auto"/>
            <w:vAlign w:val="center"/>
          </w:tcPr>
          <w:p w14:paraId="278C5BCF">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260</w:t>
            </w:r>
          </w:p>
        </w:tc>
        <w:tc>
          <w:tcPr>
            <w:tcW w:w="1236" w:type="dxa"/>
            <w:tcBorders>
              <w:tl2br w:val="nil"/>
              <w:tr2bl w:val="nil"/>
            </w:tcBorders>
            <w:shd w:val="clear" w:color="auto" w:fill="auto"/>
            <w:vAlign w:val="center"/>
          </w:tcPr>
          <w:p w14:paraId="5F51190C">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6" w:type="dxa"/>
            <w:tcBorders>
              <w:tl2br w:val="nil"/>
              <w:tr2bl w:val="nil"/>
            </w:tcBorders>
            <w:shd w:val="clear" w:color="auto" w:fill="auto"/>
            <w:vAlign w:val="center"/>
          </w:tcPr>
          <w:p w14:paraId="1409870B">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6" w:type="dxa"/>
            <w:tcBorders>
              <w:tl2br w:val="nil"/>
              <w:tr2bl w:val="nil"/>
            </w:tcBorders>
            <w:shd w:val="clear" w:color="auto" w:fill="auto"/>
            <w:vAlign w:val="center"/>
          </w:tcPr>
          <w:p w14:paraId="424CEACA">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6" w:type="dxa"/>
            <w:tcBorders>
              <w:tl2br w:val="nil"/>
              <w:tr2bl w:val="nil"/>
            </w:tcBorders>
            <w:shd w:val="clear" w:color="auto" w:fill="auto"/>
            <w:vAlign w:val="center"/>
          </w:tcPr>
          <w:p w14:paraId="73EC885D">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6" w:type="dxa"/>
            <w:tcBorders>
              <w:tl2br w:val="nil"/>
              <w:tr2bl w:val="nil"/>
            </w:tcBorders>
            <w:shd w:val="clear" w:color="auto" w:fill="auto"/>
            <w:vAlign w:val="center"/>
          </w:tcPr>
          <w:p w14:paraId="7E0DEE69">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6" w:type="dxa"/>
            <w:tcBorders>
              <w:tl2br w:val="nil"/>
              <w:tr2bl w:val="nil"/>
            </w:tcBorders>
            <w:shd w:val="clear" w:color="auto" w:fill="auto"/>
            <w:vAlign w:val="center"/>
          </w:tcPr>
          <w:p w14:paraId="74A4DDC4">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6" w:type="dxa"/>
            <w:tcBorders>
              <w:tl2br w:val="nil"/>
              <w:tr2bl w:val="nil"/>
            </w:tcBorders>
            <w:shd w:val="clear" w:color="auto" w:fill="auto"/>
            <w:vAlign w:val="center"/>
          </w:tcPr>
          <w:p w14:paraId="617DB304">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8" w:type="dxa"/>
            <w:tcBorders>
              <w:tl2br w:val="nil"/>
              <w:tr2bl w:val="nil"/>
            </w:tcBorders>
            <w:shd w:val="clear" w:color="auto" w:fill="auto"/>
            <w:vAlign w:val="center"/>
          </w:tcPr>
          <w:p w14:paraId="0596CCAC">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r>
      <w:tr w14:paraId="3EEF9E9D">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992" w:type="dxa"/>
            <w:tcBorders>
              <w:tl2br w:val="nil"/>
              <w:tr2bl w:val="nil"/>
            </w:tcBorders>
            <w:shd w:val="clear" w:color="auto" w:fill="auto"/>
            <w:vAlign w:val="center"/>
          </w:tcPr>
          <w:p w14:paraId="74D34408">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2-</w:t>
            </w:r>
            <w:r>
              <w:rPr>
                <w:rFonts w:hint="eastAsia"/>
                <w:color w:val="auto"/>
                <w:sz w:val="21"/>
                <w:szCs w:val="21"/>
                <w:highlight w:val="none"/>
                <w:lang w:bidi="ar"/>
              </w:rPr>
              <w:t>氯酚</w:t>
            </w:r>
          </w:p>
        </w:tc>
        <w:tc>
          <w:tcPr>
            <w:tcW w:w="870" w:type="dxa"/>
            <w:tcBorders>
              <w:tl2br w:val="nil"/>
              <w:tr2bl w:val="nil"/>
            </w:tcBorders>
            <w:shd w:val="clear" w:color="auto" w:fill="auto"/>
            <w:vAlign w:val="center"/>
          </w:tcPr>
          <w:p w14:paraId="48CA7E31">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mg/kg</w:t>
            </w:r>
          </w:p>
        </w:tc>
        <w:tc>
          <w:tcPr>
            <w:tcW w:w="900" w:type="dxa"/>
            <w:tcBorders>
              <w:tl2br w:val="nil"/>
              <w:tr2bl w:val="nil"/>
            </w:tcBorders>
            <w:shd w:val="clear" w:color="auto" w:fill="auto"/>
            <w:vAlign w:val="center"/>
          </w:tcPr>
          <w:p w14:paraId="5C79294F">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2256</w:t>
            </w:r>
          </w:p>
        </w:tc>
        <w:tc>
          <w:tcPr>
            <w:tcW w:w="1236" w:type="dxa"/>
            <w:tcBorders>
              <w:tl2br w:val="nil"/>
              <w:tr2bl w:val="nil"/>
            </w:tcBorders>
            <w:shd w:val="clear" w:color="auto" w:fill="auto"/>
            <w:vAlign w:val="center"/>
          </w:tcPr>
          <w:p w14:paraId="684E7B9A">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6" w:type="dxa"/>
            <w:tcBorders>
              <w:tl2br w:val="nil"/>
              <w:tr2bl w:val="nil"/>
            </w:tcBorders>
            <w:shd w:val="clear" w:color="auto" w:fill="auto"/>
            <w:vAlign w:val="center"/>
          </w:tcPr>
          <w:p w14:paraId="2E3E0A53">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6" w:type="dxa"/>
            <w:tcBorders>
              <w:tl2br w:val="nil"/>
              <w:tr2bl w:val="nil"/>
            </w:tcBorders>
            <w:shd w:val="clear" w:color="auto" w:fill="auto"/>
            <w:vAlign w:val="center"/>
          </w:tcPr>
          <w:p w14:paraId="6DC6C955">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6" w:type="dxa"/>
            <w:tcBorders>
              <w:tl2br w:val="nil"/>
              <w:tr2bl w:val="nil"/>
            </w:tcBorders>
            <w:shd w:val="clear" w:color="auto" w:fill="auto"/>
            <w:vAlign w:val="center"/>
          </w:tcPr>
          <w:p w14:paraId="530754B3">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6" w:type="dxa"/>
            <w:tcBorders>
              <w:tl2br w:val="nil"/>
              <w:tr2bl w:val="nil"/>
            </w:tcBorders>
            <w:shd w:val="clear" w:color="auto" w:fill="auto"/>
            <w:vAlign w:val="center"/>
          </w:tcPr>
          <w:p w14:paraId="04182681">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6" w:type="dxa"/>
            <w:tcBorders>
              <w:tl2br w:val="nil"/>
              <w:tr2bl w:val="nil"/>
            </w:tcBorders>
            <w:shd w:val="clear" w:color="auto" w:fill="auto"/>
            <w:vAlign w:val="center"/>
          </w:tcPr>
          <w:p w14:paraId="4AB8F429">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6" w:type="dxa"/>
            <w:tcBorders>
              <w:tl2br w:val="nil"/>
              <w:tr2bl w:val="nil"/>
            </w:tcBorders>
            <w:shd w:val="clear" w:color="auto" w:fill="auto"/>
            <w:vAlign w:val="center"/>
          </w:tcPr>
          <w:p w14:paraId="28B6029C">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8" w:type="dxa"/>
            <w:tcBorders>
              <w:tl2br w:val="nil"/>
              <w:tr2bl w:val="nil"/>
            </w:tcBorders>
            <w:shd w:val="clear" w:color="auto" w:fill="auto"/>
            <w:vAlign w:val="center"/>
          </w:tcPr>
          <w:p w14:paraId="13D7440A">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r>
      <w:tr w14:paraId="6B8E042A">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992" w:type="dxa"/>
            <w:tcBorders>
              <w:tl2br w:val="nil"/>
              <w:tr2bl w:val="nil"/>
            </w:tcBorders>
            <w:shd w:val="clear" w:color="auto" w:fill="auto"/>
            <w:vAlign w:val="center"/>
          </w:tcPr>
          <w:p w14:paraId="42D24215">
            <w:pPr>
              <w:ind w:left="-105" w:right="-105"/>
              <w:jc w:val="center"/>
              <w:textAlignment w:val="center"/>
              <w:rPr>
                <w:color w:val="auto"/>
                <w:sz w:val="21"/>
                <w:szCs w:val="21"/>
                <w:highlight w:val="none"/>
              </w:rPr>
            </w:pPr>
            <w:r>
              <w:rPr>
                <w:rFonts w:hint="eastAsia"/>
                <w:color w:val="auto"/>
                <w:sz w:val="21"/>
                <w:szCs w:val="21"/>
                <w:highlight w:val="none"/>
                <w:lang w:bidi="ar"/>
              </w:rPr>
              <w:t>硝基苯</w:t>
            </w:r>
          </w:p>
        </w:tc>
        <w:tc>
          <w:tcPr>
            <w:tcW w:w="870" w:type="dxa"/>
            <w:tcBorders>
              <w:tl2br w:val="nil"/>
              <w:tr2bl w:val="nil"/>
            </w:tcBorders>
            <w:shd w:val="clear" w:color="auto" w:fill="auto"/>
            <w:vAlign w:val="center"/>
          </w:tcPr>
          <w:p w14:paraId="4E78AAED">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mg/kg</w:t>
            </w:r>
          </w:p>
        </w:tc>
        <w:tc>
          <w:tcPr>
            <w:tcW w:w="900" w:type="dxa"/>
            <w:tcBorders>
              <w:tl2br w:val="nil"/>
              <w:tr2bl w:val="nil"/>
            </w:tcBorders>
            <w:shd w:val="clear" w:color="auto" w:fill="auto"/>
            <w:vAlign w:val="center"/>
          </w:tcPr>
          <w:p w14:paraId="33FC18EB">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76</w:t>
            </w:r>
          </w:p>
        </w:tc>
        <w:tc>
          <w:tcPr>
            <w:tcW w:w="1236" w:type="dxa"/>
            <w:tcBorders>
              <w:tl2br w:val="nil"/>
              <w:tr2bl w:val="nil"/>
            </w:tcBorders>
            <w:shd w:val="clear" w:color="auto" w:fill="auto"/>
            <w:vAlign w:val="center"/>
          </w:tcPr>
          <w:p w14:paraId="2593DA92">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6" w:type="dxa"/>
            <w:tcBorders>
              <w:tl2br w:val="nil"/>
              <w:tr2bl w:val="nil"/>
            </w:tcBorders>
            <w:shd w:val="clear" w:color="auto" w:fill="auto"/>
            <w:vAlign w:val="center"/>
          </w:tcPr>
          <w:p w14:paraId="129A02E1">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6" w:type="dxa"/>
            <w:tcBorders>
              <w:tl2br w:val="nil"/>
              <w:tr2bl w:val="nil"/>
            </w:tcBorders>
            <w:shd w:val="clear" w:color="auto" w:fill="auto"/>
            <w:vAlign w:val="center"/>
          </w:tcPr>
          <w:p w14:paraId="49764241">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6" w:type="dxa"/>
            <w:tcBorders>
              <w:tl2br w:val="nil"/>
              <w:tr2bl w:val="nil"/>
            </w:tcBorders>
            <w:shd w:val="clear" w:color="auto" w:fill="auto"/>
            <w:vAlign w:val="center"/>
          </w:tcPr>
          <w:p w14:paraId="3DECDDDC">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6" w:type="dxa"/>
            <w:tcBorders>
              <w:tl2br w:val="nil"/>
              <w:tr2bl w:val="nil"/>
            </w:tcBorders>
            <w:shd w:val="clear" w:color="auto" w:fill="auto"/>
            <w:vAlign w:val="center"/>
          </w:tcPr>
          <w:p w14:paraId="2771372A">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6" w:type="dxa"/>
            <w:tcBorders>
              <w:tl2br w:val="nil"/>
              <w:tr2bl w:val="nil"/>
            </w:tcBorders>
            <w:shd w:val="clear" w:color="auto" w:fill="auto"/>
            <w:vAlign w:val="center"/>
          </w:tcPr>
          <w:p w14:paraId="03328B66">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6" w:type="dxa"/>
            <w:tcBorders>
              <w:tl2br w:val="nil"/>
              <w:tr2bl w:val="nil"/>
            </w:tcBorders>
            <w:shd w:val="clear" w:color="auto" w:fill="auto"/>
            <w:vAlign w:val="center"/>
          </w:tcPr>
          <w:p w14:paraId="678DE015">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8" w:type="dxa"/>
            <w:tcBorders>
              <w:tl2br w:val="nil"/>
              <w:tr2bl w:val="nil"/>
            </w:tcBorders>
            <w:shd w:val="clear" w:color="auto" w:fill="auto"/>
            <w:vAlign w:val="center"/>
          </w:tcPr>
          <w:p w14:paraId="18E2E5DA">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r>
      <w:tr w14:paraId="4EF3F99C">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992" w:type="dxa"/>
            <w:tcBorders>
              <w:tl2br w:val="nil"/>
              <w:tr2bl w:val="nil"/>
            </w:tcBorders>
            <w:shd w:val="clear" w:color="auto" w:fill="auto"/>
            <w:vAlign w:val="center"/>
          </w:tcPr>
          <w:p w14:paraId="2A8F5B61">
            <w:pPr>
              <w:ind w:left="-105" w:right="-105"/>
              <w:jc w:val="center"/>
              <w:textAlignment w:val="center"/>
              <w:rPr>
                <w:color w:val="auto"/>
                <w:sz w:val="21"/>
                <w:szCs w:val="21"/>
                <w:highlight w:val="none"/>
              </w:rPr>
            </w:pPr>
            <w:r>
              <w:rPr>
                <w:rFonts w:hint="eastAsia"/>
                <w:color w:val="auto"/>
                <w:sz w:val="21"/>
                <w:szCs w:val="21"/>
                <w:highlight w:val="none"/>
                <w:lang w:bidi="ar"/>
              </w:rPr>
              <w:t>萘</w:t>
            </w:r>
          </w:p>
        </w:tc>
        <w:tc>
          <w:tcPr>
            <w:tcW w:w="870" w:type="dxa"/>
            <w:tcBorders>
              <w:tl2br w:val="nil"/>
              <w:tr2bl w:val="nil"/>
            </w:tcBorders>
            <w:shd w:val="clear" w:color="auto" w:fill="auto"/>
            <w:vAlign w:val="center"/>
          </w:tcPr>
          <w:p w14:paraId="3D9B52EB">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mg/kg</w:t>
            </w:r>
          </w:p>
        </w:tc>
        <w:tc>
          <w:tcPr>
            <w:tcW w:w="900" w:type="dxa"/>
            <w:tcBorders>
              <w:tl2br w:val="nil"/>
              <w:tr2bl w:val="nil"/>
            </w:tcBorders>
            <w:shd w:val="clear" w:color="auto" w:fill="auto"/>
            <w:vAlign w:val="center"/>
          </w:tcPr>
          <w:p w14:paraId="567C4237">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70</w:t>
            </w:r>
          </w:p>
        </w:tc>
        <w:tc>
          <w:tcPr>
            <w:tcW w:w="1236" w:type="dxa"/>
            <w:tcBorders>
              <w:tl2br w:val="nil"/>
              <w:tr2bl w:val="nil"/>
            </w:tcBorders>
            <w:shd w:val="clear" w:color="auto" w:fill="auto"/>
            <w:vAlign w:val="center"/>
          </w:tcPr>
          <w:p w14:paraId="3BEE8524">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6" w:type="dxa"/>
            <w:tcBorders>
              <w:tl2br w:val="nil"/>
              <w:tr2bl w:val="nil"/>
            </w:tcBorders>
            <w:shd w:val="clear" w:color="auto" w:fill="auto"/>
            <w:vAlign w:val="center"/>
          </w:tcPr>
          <w:p w14:paraId="1BBD181E">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6" w:type="dxa"/>
            <w:tcBorders>
              <w:tl2br w:val="nil"/>
              <w:tr2bl w:val="nil"/>
            </w:tcBorders>
            <w:shd w:val="clear" w:color="auto" w:fill="auto"/>
            <w:vAlign w:val="center"/>
          </w:tcPr>
          <w:p w14:paraId="556B3536">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6" w:type="dxa"/>
            <w:tcBorders>
              <w:tl2br w:val="nil"/>
              <w:tr2bl w:val="nil"/>
            </w:tcBorders>
            <w:shd w:val="clear" w:color="auto" w:fill="auto"/>
            <w:vAlign w:val="center"/>
          </w:tcPr>
          <w:p w14:paraId="6582E86D">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6" w:type="dxa"/>
            <w:tcBorders>
              <w:tl2br w:val="nil"/>
              <w:tr2bl w:val="nil"/>
            </w:tcBorders>
            <w:shd w:val="clear" w:color="auto" w:fill="auto"/>
            <w:vAlign w:val="center"/>
          </w:tcPr>
          <w:p w14:paraId="0E36971E">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6" w:type="dxa"/>
            <w:tcBorders>
              <w:tl2br w:val="nil"/>
              <w:tr2bl w:val="nil"/>
            </w:tcBorders>
            <w:shd w:val="clear" w:color="auto" w:fill="auto"/>
            <w:vAlign w:val="center"/>
          </w:tcPr>
          <w:p w14:paraId="2BB8E775">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6" w:type="dxa"/>
            <w:tcBorders>
              <w:tl2br w:val="nil"/>
              <w:tr2bl w:val="nil"/>
            </w:tcBorders>
            <w:shd w:val="clear" w:color="auto" w:fill="auto"/>
            <w:vAlign w:val="center"/>
          </w:tcPr>
          <w:p w14:paraId="3A608075">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8" w:type="dxa"/>
            <w:tcBorders>
              <w:tl2br w:val="nil"/>
              <w:tr2bl w:val="nil"/>
            </w:tcBorders>
            <w:shd w:val="clear" w:color="auto" w:fill="auto"/>
            <w:vAlign w:val="center"/>
          </w:tcPr>
          <w:p w14:paraId="75F32DE0">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r>
      <w:tr w14:paraId="3637FC77">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992" w:type="dxa"/>
            <w:tcBorders>
              <w:tl2br w:val="nil"/>
              <w:tr2bl w:val="nil"/>
            </w:tcBorders>
            <w:shd w:val="clear" w:color="auto" w:fill="auto"/>
            <w:vAlign w:val="center"/>
          </w:tcPr>
          <w:p w14:paraId="78826B49">
            <w:pPr>
              <w:ind w:left="-105" w:right="-105"/>
              <w:jc w:val="center"/>
              <w:textAlignment w:val="center"/>
              <w:rPr>
                <w:color w:val="auto"/>
                <w:sz w:val="21"/>
                <w:szCs w:val="21"/>
                <w:highlight w:val="none"/>
              </w:rPr>
            </w:pPr>
            <w:r>
              <w:rPr>
                <w:rFonts w:hint="eastAsia"/>
                <w:color w:val="auto"/>
                <w:sz w:val="21"/>
                <w:szCs w:val="21"/>
                <w:highlight w:val="none"/>
                <w:lang w:bidi="ar"/>
              </w:rPr>
              <w:t>苯并</w:t>
            </w:r>
            <w:r>
              <w:rPr>
                <w:rFonts w:ascii="Times New Roman" w:hAnsi="Times New Roman" w:cs="Times New Roman"/>
                <w:color w:val="auto"/>
                <w:sz w:val="21"/>
                <w:szCs w:val="21"/>
                <w:highlight w:val="none"/>
                <w:lang w:bidi="ar"/>
              </w:rPr>
              <w:t>[a]</w:t>
            </w:r>
            <w:r>
              <w:rPr>
                <w:rFonts w:hint="eastAsia"/>
                <w:color w:val="auto"/>
                <w:sz w:val="21"/>
                <w:szCs w:val="21"/>
                <w:highlight w:val="none"/>
                <w:lang w:bidi="ar"/>
              </w:rPr>
              <w:t>蒽</w:t>
            </w:r>
          </w:p>
        </w:tc>
        <w:tc>
          <w:tcPr>
            <w:tcW w:w="870" w:type="dxa"/>
            <w:tcBorders>
              <w:tl2br w:val="nil"/>
              <w:tr2bl w:val="nil"/>
            </w:tcBorders>
            <w:shd w:val="clear" w:color="auto" w:fill="auto"/>
            <w:vAlign w:val="center"/>
          </w:tcPr>
          <w:p w14:paraId="5D4021A5">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mg/kg</w:t>
            </w:r>
          </w:p>
        </w:tc>
        <w:tc>
          <w:tcPr>
            <w:tcW w:w="900" w:type="dxa"/>
            <w:tcBorders>
              <w:tl2br w:val="nil"/>
              <w:tr2bl w:val="nil"/>
            </w:tcBorders>
            <w:shd w:val="clear" w:color="auto" w:fill="auto"/>
            <w:vAlign w:val="center"/>
          </w:tcPr>
          <w:p w14:paraId="1329A971">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15</w:t>
            </w:r>
          </w:p>
        </w:tc>
        <w:tc>
          <w:tcPr>
            <w:tcW w:w="1236" w:type="dxa"/>
            <w:tcBorders>
              <w:tl2br w:val="nil"/>
              <w:tr2bl w:val="nil"/>
            </w:tcBorders>
            <w:shd w:val="clear" w:color="auto" w:fill="auto"/>
            <w:vAlign w:val="center"/>
          </w:tcPr>
          <w:p w14:paraId="2F88488A">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6" w:type="dxa"/>
            <w:tcBorders>
              <w:tl2br w:val="nil"/>
              <w:tr2bl w:val="nil"/>
            </w:tcBorders>
            <w:shd w:val="clear" w:color="auto" w:fill="auto"/>
            <w:vAlign w:val="center"/>
          </w:tcPr>
          <w:p w14:paraId="69205CF1">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6" w:type="dxa"/>
            <w:tcBorders>
              <w:tl2br w:val="nil"/>
              <w:tr2bl w:val="nil"/>
            </w:tcBorders>
            <w:shd w:val="clear" w:color="auto" w:fill="auto"/>
            <w:vAlign w:val="center"/>
          </w:tcPr>
          <w:p w14:paraId="11AFAFE6">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6" w:type="dxa"/>
            <w:tcBorders>
              <w:tl2br w:val="nil"/>
              <w:tr2bl w:val="nil"/>
            </w:tcBorders>
            <w:shd w:val="clear" w:color="auto" w:fill="auto"/>
            <w:vAlign w:val="center"/>
          </w:tcPr>
          <w:p w14:paraId="3AC64D90">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6" w:type="dxa"/>
            <w:tcBorders>
              <w:tl2br w:val="nil"/>
              <w:tr2bl w:val="nil"/>
            </w:tcBorders>
            <w:shd w:val="clear" w:color="auto" w:fill="auto"/>
            <w:vAlign w:val="center"/>
          </w:tcPr>
          <w:p w14:paraId="24144796">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6" w:type="dxa"/>
            <w:tcBorders>
              <w:tl2br w:val="nil"/>
              <w:tr2bl w:val="nil"/>
            </w:tcBorders>
            <w:shd w:val="clear" w:color="auto" w:fill="auto"/>
            <w:vAlign w:val="center"/>
          </w:tcPr>
          <w:p w14:paraId="056BD4DC">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6" w:type="dxa"/>
            <w:tcBorders>
              <w:tl2br w:val="nil"/>
              <w:tr2bl w:val="nil"/>
            </w:tcBorders>
            <w:shd w:val="clear" w:color="auto" w:fill="auto"/>
            <w:vAlign w:val="center"/>
          </w:tcPr>
          <w:p w14:paraId="3E1F6229">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8" w:type="dxa"/>
            <w:tcBorders>
              <w:tl2br w:val="nil"/>
              <w:tr2bl w:val="nil"/>
            </w:tcBorders>
            <w:shd w:val="clear" w:color="auto" w:fill="auto"/>
            <w:vAlign w:val="center"/>
          </w:tcPr>
          <w:p w14:paraId="248BECF2">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r>
      <w:tr w14:paraId="57FECFC2">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992" w:type="dxa"/>
            <w:tcBorders>
              <w:tl2br w:val="nil"/>
              <w:tr2bl w:val="nil"/>
            </w:tcBorders>
            <w:shd w:val="clear" w:color="auto" w:fill="auto"/>
            <w:vAlign w:val="center"/>
          </w:tcPr>
          <w:p w14:paraId="564BB3BF">
            <w:pPr>
              <w:ind w:left="-105" w:right="-105"/>
              <w:jc w:val="center"/>
              <w:textAlignment w:val="center"/>
              <w:rPr>
                <w:color w:val="auto"/>
                <w:sz w:val="21"/>
                <w:szCs w:val="21"/>
                <w:highlight w:val="none"/>
              </w:rPr>
            </w:pPr>
            <w:r>
              <w:rPr>
                <w:rFonts w:hint="eastAsia"/>
                <w:color w:val="auto"/>
                <w:sz w:val="21"/>
                <w:szCs w:val="21"/>
                <w:highlight w:val="none"/>
                <w:lang w:bidi="ar"/>
              </w:rPr>
              <w:t>䓛</w:t>
            </w:r>
          </w:p>
        </w:tc>
        <w:tc>
          <w:tcPr>
            <w:tcW w:w="870" w:type="dxa"/>
            <w:tcBorders>
              <w:tl2br w:val="nil"/>
              <w:tr2bl w:val="nil"/>
            </w:tcBorders>
            <w:shd w:val="clear" w:color="auto" w:fill="auto"/>
            <w:vAlign w:val="center"/>
          </w:tcPr>
          <w:p w14:paraId="4BDBDEC0">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mg/kg</w:t>
            </w:r>
          </w:p>
        </w:tc>
        <w:tc>
          <w:tcPr>
            <w:tcW w:w="900" w:type="dxa"/>
            <w:tcBorders>
              <w:tl2br w:val="nil"/>
              <w:tr2bl w:val="nil"/>
            </w:tcBorders>
            <w:shd w:val="clear" w:color="auto" w:fill="auto"/>
            <w:vAlign w:val="center"/>
          </w:tcPr>
          <w:p w14:paraId="2019A6C3">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1293</w:t>
            </w:r>
          </w:p>
        </w:tc>
        <w:tc>
          <w:tcPr>
            <w:tcW w:w="1236" w:type="dxa"/>
            <w:tcBorders>
              <w:tl2br w:val="nil"/>
              <w:tr2bl w:val="nil"/>
            </w:tcBorders>
            <w:shd w:val="clear" w:color="auto" w:fill="auto"/>
            <w:vAlign w:val="center"/>
          </w:tcPr>
          <w:p w14:paraId="4B229BB0">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6" w:type="dxa"/>
            <w:tcBorders>
              <w:tl2br w:val="nil"/>
              <w:tr2bl w:val="nil"/>
            </w:tcBorders>
            <w:shd w:val="clear" w:color="auto" w:fill="auto"/>
            <w:vAlign w:val="center"/>
          </w:tcPr>
          <w:p w14:paraId="1329C0B9">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6" w:type="dxa"/>
            <w:tcBorders>
              <w:tl2br w:val="nil"/>
              <w:tr2bl w:val="nil"/>
            </w:tcBorders>
            <w:shd w:val="clear" w:color="auto" w:fill="auto"/>
            <w:vAlign w:val="center"/>
          </w:tcPr>
          <w:p w14:paraId="533E81F8">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6" w:type="dxa"/>
            <w:tcBorders>
              <w:tl2br w:val="nil"/>
              <w:tr2bl w:val="nil"/>
            </w:tcBorders>
            <w:shd w:val="clear" w:color="auto" w:fill="auto"/>
            <w:vAlign w:val="center"/>
          </w:tcPr>
          <w:p w14:paraId="2D5345AC">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6" w:type="dxa"/>
            <w:tcBorders>
              <w:tl2br w:val="nil"/>
              <w:tr2bl w:val="nil"/>
            </w:tcBorders>
            <w:shd w:val="clear" w:color="auto" w:fill="auto"/>
            <w:vAlign w:val="center"/>
          </w:tcPr>
          <w:p w14:paraId="33E14EE8">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6" w:type="dxa"/>
            <w:tcBorders>
              <w:tl2br w:val="nil"/>
              <w:tr2bl w:val="nil"/>
            </w:tcBorders>
            <w:shd w:val="clear" w:color="auto" w:fill="auto"/>
            <w:vAlign w:val="center"/>
          </w:tcPr>
          <w:p w14:paraId="06FD0683">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6" w:type="dxa"/>
            <w:tcBorders>
              <w:tl2br w:val="nil"/>
              <w:tr2bl w:val="nil"/>
            </w:tcBorders>
            <w:shd w:val="clear" w:color="auto" w:fill="auto"/>
            <w:vAlign w:val="center"/>
          </w:tcPr>
          <w:p w14:paraId="7E6B0651">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8" w:type="dxa"/>
            <w:tcBorders>
              <w:tl2br w:val="nil"/>
              <w:tr2bl w:val="nil"/>
            </w:tcBorders>
            <w:shd w:val="clear" w:color="auto" w:fill="auto"/>
            <w:vAlign w:val="center"/>
          </w:tcPr>
          <w:p w14:paraId="37B7EF08">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r>
      <w:tr w14:paraId="3DD37984">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992" w:type="dxa"/>
            <w:tcBorders>
              <w:tl2br w:val="nil"/>
              <w:tr2bl w:val="nil"/>
            </w:tcBorders>
            <w:shd w:val="clear" w:color="auto" w:fill="auto"/>
            <w:vAlign w:val="center"/>
          </w:tcPr>
          <w:p w14:paraId="35D2E406">
            <w:pPr>
              <w:ind w:left="-105" w:right="-105"/>
              <w:jc w:val="center"/>
              <w:textAlignment w:val="center"/>
              <w:rPr>
                <w:color w:val="auto"/>
                <w:sz w:val="21"/>
                <w:szCs w:val="21"/>
                <w:highlight w:val="none"/>
              </w:rPr>
            </w:pPr>
            <w:r>
              <w:rPr>
                <w:rFonts w:hint="eastAsia"/>
                <w:color w:val="auto"/>
                <w:sz w:val="21"/>
                <w:szCs w:val="21"/>
                <w:highlight w:val="none"/>
                <w:lang w:bidi="ar"/>
              </w:rPr>
              <w:t>苯并</w:t>
            </w:r>
            <w:r>
              <w:rPr>
                <w:rFonts w:ascii="Times New Roman" w:hAnsi="Times New Roman" w:cs="Times New Roman"/>
                <w:color w:val="auto"/>
                <w:sz w:val="21"/>
                <w:szCs w:val="21"/>
                <w:highlight w:val="none"/>
                <w:lang w:bidi="ar"/>
              </w:rPr>
              <w:t>[b]</w:t>
            </w:r>
            <w:r>
              <w:rPr>
                <w:rFonts w:hint="eastAsia"/>
                <w:color w:val="auto"/>
                <w:sz w:val="21"/>
                <w:szCs w:val="21"/>
                <w:highlight w:val="none"/>
                <w:lang w:bidi="ar"/>
              </w:rPr>
              <w:t>荧蒽</w:t>
            </w:r>
          </w:p>
        </w:tc>
        <w:tc>
          <w:tcPr>
            <w:tcW w:w="870" w:type="dxa"/>
            <w:tcBorders>
              <w:tl2br w:val="nil"/>
              <w:tr2bl w:val="nil"/>
            </w:tcBorders>
            <w:shd w:val="clear" w:color="auto" w:fill="auto"/>
            <w:vAlign w:val="center"/>
          </w:tcPr>
          <w:p w14:paraId="751061D8">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mg/kg</w:t>
            </w:r>
          </w:p>
        </w:tc>
        <w:tc>
          <w:tcPr>
            <w:tcW w:w="900" w:type="dxa"/>
            <w:tcBorders>
              <w:tl2br w:val="nil"/>
              <w:tr2bl w:val="nil"/>
            </w:tcBorders>
            <w:shd w:val="clear" w:color="auto" w:fill="auto"/>
            <w:vAlign w:val="center"/>
          </w:tcPr>
          <w:p w14:paraId="09857EE3">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15</w:t>
            </w:r>
          </w:p>
        </w:tc>
        <w:tc>
          <w:tcPr>
            <w:tcW w:w="1236" w:type="dxa"/>
            <w:tcBorders>
              <w:tl2br w:val="nil"/>
              <w:tr2bl w:val="nil"/>
            </w:tcBorders>
            <w:shd w:val="clear" w:color="auto" w:fill="auto"/>
            <w:vAlign w:val="center"/>
          </w:tcPr>
          <w:p w14:paraId="34CDD50E">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6" w:type="dxa"/>
            <w:tcBorders>
              <w:tl2br w:val="nil"/>
              <w:tr2bl w:val="nil"/>
            </w:tcBorders>
            <w:shd w:val="clear" w:color="auto" w:fill="auto"/>
            <w:vAlign w:val="center"/>
          </w:tcPr>
          <w:p w14:paraId="29E9F0C6">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6" w:type="dxa"/>
            <w:tcBorders>
              <w:tl2br w:val="nil"/>
              <w:tr2bl w:val="nil"/>
            </w:tcBorders>
            <w:shd w:val="clear" w:color="auto" w:fill="auto"/>
            <w:vAlign w:val="center"/>
          </w:tcPr>
          <w:p w14:paraId="0DF6038C">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6" w:type="dxa"/>
            <w:tcBorders>
              <w:tl2br w:val="nil"/>
              <w:tr2bl w:val="nil"/>
            </w:tcBorders>
            <w:shd w:val="clear" w:color="auto" w:fill="auto"/>
            <w:vAlign w:val="center"/>
          </w:tcPr>
          <w:p w14:paraId="4F7BA3A8">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6" w:type="dxa"/>
            <w:tcBorders>
              <w:tl2br w:val="nil"/>
              <w:tr2bl w:val="nil"/>
            </w:tcBorders>
            <w:shd w:val="clear" w:color="auto" w:fill="auto"/>
            <w:vAlign w:val="center"/>
          </w:tcPr>
          <w:p w14:paraId="00D910E6">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6" w:type="dxa"/>
            <w:tcBorders>
              <w:tl2br w:val="nil"/>
              <w:tr2bl w:val="nil"/>
            </w:tcBorders>
            <w:shd w:val="clear" w:color="auto" w:fill="auto"/>
            <w:vAlign w:val="center"/>
          </w:tcPr>
          <w:p w14:paraId="035DE24C">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6" w:type="dxa"/>
            <w:tcBorders>
              <w:tl2br w:val="nil"/>
              <w:tr2bl w:val="nil"/>
            </w:tcBorders>
            <w:shd w:val="clear" w:color="auto" w:fill="auto"/>
            <w:vAlign w:val="center"/>
          </w:tcPr>
          <w:p w14:paraId="52ADF5E8">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8" w:type="dxa"/>
            <w:tcBorders>
              <w:tl2br w:val="nil"/>
              <w:tr2bl w:val="nil"/>
            </w:tcBorders>
            <w:shd w:val="clear" w:color="auto" w:fill="auto"/>
            <w:vAlign w:val="center"/>
          </w:tcPr>
          <w:p w14:paraId="0563F67E">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r>
      <w:tr w14:paraId="39D9F80B">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992" w:type="dxa"/>
            <w:tcBorders>
              <w:tl2br w:val="nil"/>
              <w:tr2bl w:val="nil"/>
            </w:tcBorders>
            <w:shd w:val="clear" w:color="auto" w:fill="auto"/>
            <w:vAlign w:val="center"/>
          </w:tcPr>
          <w:p w14:paraId="5E0E538F">
            <w:pPr>
              <w:ind w:left="-105" w:right="-105"/>
              <w:jc w:val="center"/>
              <w:textAlignment w:val="center"/>
              <w:rPr>
                <w:color w:val="auto"/>
                <w:sz w:val="21"/>
                <w:szCs w:val="21"/>
                <w:highlight w:val="none"/>
              </w:rPr>
            </w:pPr>
            <w:r>
              <w:rPr>
                <w:rFonts w:hint="eastAsia"/>
                <w:color w:val="auto"/>
                <w:sz w:val="21"/>
                <w:szCs w:val="21"/>
                <w:highlight w:val="none"/>
                <w:lang w:bidi="ar"/>
              </w:rPr>
              <w:t>苯并</w:t>
            </w:r>
            <w:r>
              <w:rPr>
                <w:rFonts w:ascii="Times New Roman" w:hAnsi="Times New Roman" w:cs="Times New Roman"/>
                <w:color w:val="auto"/>
                <w:sz w:val="21"/>
                <w:szCs w:val="21"/>
                <w:highlight w:val="none"/>
                <w:lang w:bidi="ar"/>
              </w:rPr>
              <w:t>[k]</w:t>
            </w:r>
            <w:r>
              <w:rPr>
                <w:rFonts w:hint="eastAsia"/>
                <w:color w:val="auto"/>
                <w:sz w:val="21"/>
                <w:szCs w:val="21"/>
                <w:highlight w:val="none"/>
                <w:lang w:bidi="ar"/>
              </w:rPr>
              <w:t>荧蒽</w:t>
            </w:r>
          </w:p>
        </w:tc>
        <w:tc>
          <w:tcPr>
            <w:tcW w:w="870" w:type="dxa"/>
            <w:tcBorders>
              <w:tl2br w:val="nil"/>
              <w:tr2bl w:val="nil"/>
            </w:tcBorders>
            <w:shd w:val="clear" w:color="auto" w:fill="auto"/>
            <w:vAlign w:val="center"/>
          </w:tcPr>
          <w:p w14:paraId="44E684C4">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mg/kg</w:t>
            </w:r>
          </w:p>
        </w:tc>
        <w:tc>
          <w:tcPr>
            <w:tcW w:w="900" w:type="dxa"/>
            <w:tcBorders>
              <w:tl2br w:val="nil"/>
              <w:tr2bl w:val="nil"/>
            </w:tcBorders>
            <w:shd w:val="clear" w:color="auto" w:fill="auto"/>
            <w:vAlign w:val="center"/>
          </w:tcPr>
          <w:p w14:paraId="396F62B2">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151</w:t>
            </w:r>
          </w:p>
        </w:tc>
        <w:tc>
          <w:tcPr>
            <w:tcW w:w="1236" w:type="dxa"/>
            <w:tcBorders>
              <w:tl2br w:val="nil"/>
              <w:tr2bl w:val="nil"/>
            </w:tcBorders>
            <w:shd w:val="clear" w:color="auto" w:fill="auto"/>
            <w:vAlign w:val="center"/>
          </w:tcPr>
          <w:p w14:paraId="404A9364">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6" w:type="dxa"/>
            <w:tcBorders>
              <w:tl2br w:val="nil"/>
              <w:tr2bl w:val="nil"/>
            </w:tcBorders>
            <w:shd w:val="clear" w:color="auto" w:fill="auto"/>
            <w:vAlign w:val="center"/>
          </w:tcPr>
          <w:p w14:paraId="041AB01D">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6" w:type="dxa"/>
            <w:tcBorders>
              <w:tl2br w:val="nil"/>
              <w:tr2bl w:val="nil"/>
            </w:tcBorders>
            <w:shd w:val="clear" w:color="auto" w:fill="auto"/>
            <w:vAlign w:val="center"/>
          </w:tcPr>
          <w:p w14:paraId="035AE32E">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6" w:type="dxa"/>
            <w:tcBorders>
              <w:tl2br w:val="nil"/>
              <w:tr2bl w:val="nil"/>
            </w:tcBorders>
            <w:shd w:val="clear" w:color="auto" w:fill="auto"/>
            <w:vAlign w:val="center"/>
          </w:tcPr>
          <w:p w14:paraId="34CFE83A">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6" w:type="dxa"/>
            <w:tcBorders>
              <w:tl2br w:val="nil"/>
              <w:tr2bl w:val="nil"/>
            </w:tcBorders>
            <w:shd w:val="clear" w:color="auto" w:fill="auto"/>
            <w:vAlign w:val="center"/>
          </w:tcPr>
          <w:p w14:paraId="2A34ED41">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6" w:type="dxa"/>
            <w:tcBorders>
              <w:tl2br w:val="nil"/>
              <w:tr2bl w:val="nil"/>
            </w:tcBorders>
            <w:shd w:val="clear" w:color="auto" w:fill="auto"/>
            <w:vAlign w:val="center"/>
          </w:tcPr>
          <w:p w14:paraId="5923066B">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6" w:type="dxa"/>
            <w:tcBorders>
              <w:tl2br w:val="nil"/>
              <w:tr2bl w:val="nil"/>
            </w:tcBorders>
            <w:shd w:val="clear" w:color="auto" w:fill="auto"/>
            <w:vAlign w:val="center"/>
          </w:tcPr>
          <w:p w14:paraId="0E5BACCD">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8" w:type="dxa"/>
            <w:tcBorders>
              <w:tl2br w:val="nil"/>
              <w:tr2bl w:val="nil"/>
            </w:tcBorders>
            <w:shd w:val="clear" w:color="auto" w:fill="auto"/>
            <w:vAlign w:val="center"/>
          </w:tcPr>
          <w:p w14:paraId="7DBF0355">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r>
      <w:tr w14:paraId="4D622D20">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992" w:type="dxa"/>
            <w:tcBorders>
              <w:tl2br w:val="nil"/>
              <w:tr2bl w:val="nil"/>
            </w:tcBorders>
            <w:shd w:val="clear" w:color="auto" w:fill="auto"/>
            <w:vAlign w:val="center"/>
          </w:tcPr>
          <w:p w14:paraId="34B309BD">
            <w:pPr>
              <w:ind w:left="-105" w:right="-105"/>
              <w:jc w:val="center"/>
              <w:textAlignment w:val="center"/>
              <w:rPr>
                <w:color w:val="auto"/>
                <w:sz w:val="21"/>
                <w:szCs w:val="21"/>
                <w:highlight w:val="none"/>
              </w:rPr>
            </w:pPr>
            <w:r>
              <w:rPr>
                <w:rFonts w:hint="eastAsia"/>
                <w:color w:val="auto"/>
                <w:sz w:val="21"/>
                <w:szCs w:val="21"/>
                <w:highlight w:val="none"/>
                <w:lang w:bidi="ar"/>
              </w:rPr>
              <w:t>苯并</w:t>
            </w:r>
            <w:r>
              <w:rPr>
                <w:rFonts w:ascii="Times New Roman" w:hAnsi="Times New Roman" w:cs="Times New Roman"/>
                <w:color w:val="auto"/>
                <w:sz w:val="21"/>
                <w:szCs w:val="21"/>
                <w:highlight w:val="none"/>
                <w:lang w:bidi="ar"/>
              </w:rPr>
              <w:t>[a]</w:t>
            </w:r>
            <w:r>
              <w:rPr>
                <w:rFonts w:hint="eastAsia"/>
                <w:color w:val="auto"/>
                <w:sz w:val="21"/>
                <w:szCs w:val="21"/>
                <w:highlight w:val="none"/>
                <w:lang w:bidi="ar"/>
              </w:rPr>
              <w:t>芘</w:t>
            </w:r>
          </w:p>
        </w:tc>
        <w:tc>
          <w:tcPr>
            <w:tcW w:w="870" w:type="dxa"/>
            <w:tcBorders>
              <w:tl2br w:val="nil"/>
              <w:tr2bl w:val="nil"/>
            </w:tcBorders>
            <w:shd w:val="clear" w:color="auto" w:fill="auto"/>
            <w:vAlign w:val="center"/>
          </w:tcPr>
          <w:p w14:paraId="2F3E457D">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mg/kg</w:t>
            </w:r>
          </w:p>
        </w:tc>
        <w:tc>
          <w:tcPr>
            <w:tcW w:w="900" w:type="dxa"/>
            <w:tcBorders>
              <w:tl2br w:val="nil"/>
              <w:tr2bl w:val="nil"/>
            </w:tcBorders>
            <w:shd w:val="clear" w:color="auto" w:fill="auto"/>
            <w:vAlign w:val="center"/>
          </w:tcPr>
          <w:p w14:paraId="02540736">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1.5</w:t>
            </w:r>
          </w:p>
        </w:tc>
        <w:tc>
          <w:tcPr>
            <w:tcW w:w="1236" w:type="dxa"/>
            <w:tcBorders>
              <w:tl2br w:val="nil"/>
              <w:tr2bl w:val="nil"/>
            </w:tcBorders>
            <w:shd w:val="clear" w:color="auto" w:fill="auto"/>
            <w:vAlign w:val="center"/>
          </w:tcPr>
          <w:p w14:paraId="3C02B6C9">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6" w:type="dxa"/>
            <w:tcBorders>
              <w:tl2br w:val="nil"/>
              <w:tr2bl w:val="nil"/>
            </w:tcBorders>
            <w:shd w:val="clear" w:color="auto" w:fill="auto"/>
            <w:vAlign w:val="center"/>
          </w:tcPr>
          <w:p w14:paraId="714B4CBB">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6" w:type="dxa"/>
            <w:tcBorders>
              <w:tl2br w:val="nil"/>
              <w:tr2bl w:val="nil"/>
            </w:tcBorders>
            <w:shd w:val="clear" w:color="auto" w:fill="auto"/>
            <w:vAlign w:val="center"/>
          </w:tcPr>
          <w:p w14:paraId="10C69353">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6" w:type="dxa"/>
            <w:tcBorders>
              <w:tl2br w:val="nil"/>
              <w:tr2bl w:val="nil"/>
            </w:tcBorders>
            <w:shd w:val="clear" w:color="auto" w:fill="auto"/>
            <w:vAlign w:val="center"/>
          </w:tcPr>
          <w:p w14:paraId="4F23994B">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6" w:type="dxa"/>
            <w:tcBorders>
              <w:tl2br w:val="nil"/>
              <w:tr2bl w:val="nil"/>
            </w:tcBorders>
            <w:shd w:val="clear" w:color="auto" w:fill="auto"/>
            <w:vAlign w:val="center"/>
          </w:tcPr>
          <w:p w14:paraId="69E6915F">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6" w:type="dxa"/>
            <w:tcBorders>
              <w:tl2br w:val="nil"/>
              <w:tr2bl w:val="nil"/>
            </w:tcBorders>
            <w:shd w:val="clear" w:color="auto" w:fill="auto"/>
            <w:vAlign w:val="center"/>
          </w:tcPr>
          <w:p w14:paraId="7722763A">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6" w:type="dxa"/>
            <w:tcBorders>
              <w:tl2br w:val="nil"/>
              <w:tr2bl w:val="nil"/>
            </w:tcBorders>
            <w:shd w:val="clear" w:color="auto" w:fill="auto"/>
            <w:vAlign w:val="center"/>
          </w:tcPr>
          <w:p w14:paraId="711B8144">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8" w:type="dxa"/>
            <w:tcBorders>
              <w:tl2br w:val="nil"/>
              <w:tr2bl w:val="nil"/>
            </w:tcBorders>
            <w:shd w:val="clear" w:color="auto" w:fill="auto"/>
            <w:vAlign w:val="center"/>
          </w:tcPr>
          <w:p w14:paraId="4261E05C">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r>
      <w:tr w14:paraId="263DACD6">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992" w:type="dxa"/>
            <w:tcBorders>
              <w:tl2br w:val="nil"/>
              <w:tr2bl w:val="nil"/>
            </w:tcBorders>
            <w:shd w:val="clear" w:color="auto" w:fill="auto"/>
            <w:vAlign w:val="center"/>
          </w:tcPr>
          <w:p w14:paraId="1705A863">
            <w:pPr>
              <w:ind w:left="-105" w:right="-105"/>
              <w:jc w:val="center"/>
              <w:textAlignment w:val="center"/>
              <w:rPr>
                <w:color w:val="auto"/>
                <w:sz w:val="21"/>
                <w:szCs w:val="21"/>
                <w:highlight w:val="none"/>
              </w:rPr>
            </w:pPr>
            <w:r>
              <w:rPr>
                <w:rFonts w:hint="eastAsia"/>
                <w:color w:val="auto"/>
                <w:sz w:val="21"/>
                <w:szCs w:val="21"/>
                <w:highlight w:val="none"/>
                <w:lang w:bidi="ar"/>
              </w:rPr>
              <w:t>茚并</w:t>
            </w:r>
            <w:r>
              <w:rPr>
                <w:rFonts w:ascii="Times New Roman" w:hAnsi="Times New Roman" w:cs="Times New Roman"/>
                <w:color w:val="auto"/>
                <w:sz w:val="21"/>
                <w:szCs w:val="21"/>
                <w:highlight w:val="none"/>
                <w:lang w:bidi="ar"/>
              </w:rPr>
              <w:t>[1,2,3-cd]</w:t>
            </w:r>
            <w:r>
              <w:rPr>
                <w:rFonts w:hint="eastAsia"/>
                <w:color w:val="auto"/>
                <w:sz w:val="21"/>
                <w:szCs w:val="21"/>
                <w:highlight w:val="none"/>
                <w:lang w:bidi="ar"/>
              </w:rPr>
              <w:t>芘</w:t>
            </w:r>
          </w:p>
        </w:tc>
        <w:tc>
          <w:tcPr>
            <w:tcW w:w="870" w:type="dxa"/>
            <w:tcBorders>
              <w:tl2br w:val="nil"/>
              <w:tr2bl w:val="nil"/>
            </w:tcBorders>
            <w:shd w:val="clear" w:color="auto" w:fill="auto"/>
            <w:vAlign w:val="center"/>
          </w:tcPr>
          <w:p w14:paraId="33311413">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mg/kg</w:t>
            </w:r>
          </w:p>
        </w:tc>
        <w:tc>
          <w:tcPr>
            <w:tcW w:w="900" w:type="dxa"/>
            <w:tcBorders>
              <w:tl2br w:val="nil"/>
              <w:tr2bl w:val="nil"/>
            </w:tcBorders>
            <w:shd w:val="clear" w:color="auto" w:fill="auto"/>
            <w:vAlign w:val="center"/>
          </w:tcPr>
          <w:p w14:paraId="4432708C">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15</w:t>
            </w:r>
          </w:p>
        </w:tc>
        <w:tc>
          <w:tcPr>
            <w:tcW w:w="1236" w:type="dxa"/>
            <w:tcBorders>
              <w:tl2br w:val="nil"/>
              <w:tr2bl w:val="nil"/>
            </w:tcBorders>
            <w:shd w:val="clear" w:color="auto" w:fill="auto"/>
            <w:vAlign w:val="center"/>
          </w:tcPr>
          <w:p w14:paraId="5F2A3EF0">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6" w:type="dxa"/>
            <w:tcBorders>
              <w:tl2br w:val="nil"/>
              <w:tr2bl w:val="nil"/>
            </w:tcBorders>
            <w:shd w:val="clear" w:color="auto" w:fill="auto"/>
            <w:vAlign w:val="center"/>
          </w:tcPr>
          <w:p w14:paraId="49EEB595">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6" w:type="dxa"/>
            <w:tcBorders>
              <w:tl2br w:val="nil"/>
              <w:tr2bl w:val="nil"/>
            </w:tcBorders>
            <w:shd w:val="clear" w:color="auto" w:fill="auto"/>
            <w:vAlign w:val="center"/>
          </w:tcPr>
          <w:p w14:paraId="57055025">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6" w:type="dxa"/>
            <w:tcBorders>
              <w:tl2br w:val="nil"/>
              <w:tr2bl w:val="nil"/>
            </w:tcBorders>
            <w:shd w:val="clear" w:color="auto" w:fill="auto"/>
            <w:vAlign w:val="center"/>
          </w:tcPr>
          <w:p w14:paraId="01FB6A48">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6" w:type="dxa"/>
            <w:tcBorders>
              <w:tl2br w:val="nil"/>
              <w:tr2bl w:val="nil"/>
            </w:tcBorders>
            <w:shd w:val="clear" w:color="auto" w:fill="auto"/>
            <w:vAlign w:val="center"/>
          </w:tcPr>
          <w:p w14:paraId="25BB27AC">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6" w:type="dxa"/>
            <w:tcBorders>
              <w:tl2br w:val="nil"/>
              <w:tr2bl w:val="nil"/>
            </w:tcBorders>
            <w:shd w:val="clear" w:color="auto" w:fill="auto"/>
            <w:vAlign w:val="center"/>
          </w:tcPr>
          <w:p w14:paraId="6BC60651">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6" w:type="dxa"/>
            <w:tcBorders>
              <w:tl2br w:val="nil"/>
              <w:tr2bl w:val="nil"/>
            </w:tcBorders>
            <w:shd w:val="clear" w:color="auto" w:fill="auto"/>
            <w:vAlign w:val="center"/>
          </w:tcPr>
          <w:p w14:paraId="007F4952">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8" w:type="dxa"/>
            <w:tcBorders>
              <w:tl2br w:val="nil"/>
              <w:tr2bl w:val="nil"/>
            </w:tcBorders>
            <w:shd w:val="clear" w:color="auto" w:fill="auto"/>
            <w:vAlign w:val="center"/>
          </w:tcPr>
          <w:p w14:paraId="60D5C905">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r>
      <w:tr w14:paraId="235C68C9">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992" w:type="dxa"/>
            <w:tcBorders>
              <w:tl2br w:val="nil"/>
              <w:tr2bl w:val="nil"/>
            </w:tcBorders>
            <w:shd w:val="clear" w:color="auto" w:fill="auto"/>
            <w:vAlign w:val="center"/>
          </w:tcPr>
          <w:p w14:paraId="4C79E394">
            <w:pPr>
              <w:ind w:left="-105" w:right="-105"/>
              <w:jc w:val="center"/>
              <w:textAlignment w:val="center"/>
              <w:rPr>
                <w:color w:val="auto"/>
                <w:sz w:val="21"/>
                <w:szCs w:val="21"/>
                <w:highlight w:val="none"/>
              </w:rPr>
            </w:pPr>
            <w:r>
              <w:rPr>
                <w:rFonts w:hint="eastAsia"/>
                <w:color w:val="auto"/>
                <w:sz w:val="21"/>
                <w:szCs w:val="21"/>
                <w:highlight w:val="none"/>
                <w:lang w:bidi="ar"/>
              </w:rPr>
              <w:t>二苯并</w:t>
            </w:r>
            <w:r>
              <w:rPr>
                <w:rFonts w:ascii="Times New Roman" w:hAnsi="Times New Roman" w:cs="Times New Roman"/>
                <w:color w:val="auto"/>
                <w:sz w:val="21"/>
                <w:szCs w:val="21"/>
                <w:highlight w:val="none"/>
                <w:lang w:bidi="ar"/>
              </w:rPr>
              <w:t>[a,h]</w:t>
            </w:r>
            <w:r>
              <w:rPr>
                <w:rFonts w:hint="eastAsia"/>
                <w:color w:val="auto"/>
                <w:sz w:val="21"/>
                <w:szCs w:val="21"/>
                <w:highlight w:val="none"/>
                <w:lang w:bidi="ar"/>
              </w:rPr>
              <w:t>蒽</w:t>
            </w:r>
          </w:p>
        </w:tc>
        <w:tc>
          <w:tcPr>
            <w:tcW w:w="870" w:type="dxa"/>
            <w:tcBorders>
              <w:tl2br w:val="nil"/>
              <w:tr2bl w:val="nil"/>
            </w:tcBorders>
            <w:shd w:val="clear" w:color="auto" w:fill="auto"/>
            <w:vAlign w:val="center"/>
          </w:tcPr>
          <w:p w14:paraId="52C83068">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mg/kg</w:t>
            </w:r>
          </w:p>
        </w:tc>
        <w:tc>
          <w:tcPr>
            <w:tcW w:w="900" w:type="dxa"/>
            <w:tcBorders>
              <w:tl2br w:val="nil"/>
              <w:tr2bl w:val="nil"/>
            </w:tcBorders>
            <w:shd w:val="clear" w:color="auto" w:fill="auto"/>
            <w:vAlign w:val="center"/>
          </w:tcPr>
          <w:p w14:paraId="5D9E9BE6">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1.5</w:t>
            </w:r>
          </w:p>
        </w:tc>
        <w:tc>
          <w:tcPr>
            <w:tcW w:w="1236" w:type="dxa"/>
            <w:tcBorders>
              <w:tl2br w:val="nil"/>
              <w:tr2bl w:val="nil"/>
            </w:tcBorders>
            <w:shd w:val="clear" w:color="auto" w:fill="auto"/>
            <w:vAlign w:val="center"/>
          </w:tcPr>
          <w:p w14:paraId="1CC134B3">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6" w:type="dxa"/>
            <w:tcBorders>
              <w:tl2br w:val="nil"/>
              <w:tr2bl w:val="nil"/>
            </w:tcBorders>
            <w:shd w:val="clear" w:color="auto" w:fill="auto"/>
            <w:vAlign w:val="center"/>
          </w:tcPr>
          <w:p w14:paraId="423E7FE9">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6" w:type="dxa"/>
            <w:tcBorders>
              <w:tl2br w:val="nil"/>
              <w:tr2bl w:val="nil"/>
            </w:tcBorders>
            <w:shd w:val="clear" w:color="auto" w:fill="auto"/>
            <w:vAlign w:val="center"/>
          </w:tcPr>
          <w:p w14:paraId="49593971">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6" w:type="dxa"/>
            <w:tcBorders>
              <w:tl2br w:val="nil"/>
              <w:tr2bl w:val="nil"/>
            </w:tcBorders>
            <w:shd w:val="clear" w:color="auto" w:fill="auto"/>
            <w:vAlign w:val="center"/>
          </w:tcPr>
          <w:p w14:paraId="0011BAA5">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6" w:type="dxa"/>
            <w:tcBorders>
              <w:tl2br w:val="nil"/>
              <w:tr2bl w:val="nil"/>
            </w:tcBorders>
            <w:shd w:val="clear" w:color="auto" w:fill="auto"/>
            <w:vAlign w:val="center"/>
          </w:tcPr>
          <w:p w14:paraId="5480A1C8">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6" w:type="dxa"/>
            <w:tcBorders>
              <w:tl2br w:val="nil"/>
              <w:tr2bl w:val="nil"/>
            </w:tcBorders>
            <w:shd w:val="clear" w:color="auto" w:fill="auto"/>
            <w:vAlign w:val="center"/>
          </w:tcPr>
          <w:p w14:paraId="6A45472F">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6" w:type="dxa"/>
            <w:tcBorders>
              <w:tl2br w:val="nil"/>
              <w:tr2bl w:val="nil"/>
            </w:tcBorders>
            <w:shd w:val="clear" w:color="auto" w:fill="auto"/>
            <w:vAlign w:val="center"/>
          </w:tcPr>
          <w:p w14:paraId="7030D9FC">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8" w:type="dxa"/>
            <w:tcBorders>
              <w:tl2br w:val="nil"/>
              <w:tr2bl w:val="nil"/>
            </w:tcBorders>
            <w:shd w:val="clear" w:color="auto" w:fill="auto"/>
            <w:vAlign w:val="center"/>
          </w:tcPr>
          <w:p w14:paraId="487BABD0">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r>
    </w:tbl>
    <w:p w14:paraId="3A1D5F73">
      <w:pPr>
        <w:pStyle w:val="15"/>
        <w:spacing w:line="360" w:lineRule="auto"/>
        <w:ind w:left="-105" w:right="-105" w:firstLine="482"/>
        <w:rPr>
          <w:rFonts w:eastAsia="宋体" w:cs="Times New Roman"/>
          <w:b w:val="0"/>
          <w:bCs/>
          <w:color w:val="auto"/>
          <w:sz w:val="24"/>
          <w:szCs w:val="18"/>
          <w:highlight w:val="none"/>
        </w:rPr>
      </w:pPr>
      <w:r>
        <w:rPr>
          <w:rFonts w:eastAsia="宋体" w:cs="Times New Roman"/>
          <w:color w:val="auto"/>
          <w:sz w:val="24"/>
          <w:szCs w:val="18"/>
          <w:highlight w:val="none"/>
        </w:rPr>
        <w:t>表</w:t>
      </w:r>
      <w:r>
        <w:rPr>
          <w:rFonts w:eastAsia="宋体" w:cs="Times New Roman"/>
          <w:color w:val="auto"/>
          <w:sz w:val="24"/>
          <w:szCs w:val="18"/>
          <w:highlight w:val="none"/>
        </w:rPr>
        <w:fldChar w:fldCharType="begin"/>
      </w:r>
      <w:r>
        <w:rPr>
          <w:rFonts w:eastAsia="宋体" w:cs="Times New Roman"/>
          <w:color w:val="auto"/>
          <w:sz w:val="24"/>
          <w:szCs w:val="18"/>
          <w:highlight w:val="none"/>
        </w:rPr>
        <w:instrText xml:space="preserve"> STYLEREF 2 \s </w:instrText>
      </w:r>
      <w:r>
        <w:rPr>
          <w:rFonts w:eastAsia="宋体" w:cs="Times New Roman"/>
          <w:color w:val="auto"/>
          <w:sz w:val="24"/>
          <w:szCs w:val="18"/>
          <w:highlight w:val="none"/>
        </w:rPr>
        <w:fldChar w:fldCharType="separate"/>
      </w:r>
      <w:r>
        <w:rPr>
          <w:rFonts w:eastAsia="宋体" w:cs="Times New Roman"/>
          <w:color w:val="auto"/>
          <w:sz w:val="24"/>
          <w:szCs w:val="18"/>
          <w:highlight w:val="none"/>
        </w:rPr>
        <w:t>5.3</w:t>
      </w:r>
      <w:r>
        <w:rPr>
          <w:rFonts w:eastAsia="宋体" w:cs="Times New Roman"/>
          <w:color w:val="auto"/>
          <w:sz w:val="24"/>
          <w:szCs w:val="18"/>
          <w:highlight w:val="none"/>
        </w:rPr>
        <w:fldChar w:fldCharType="end"/>
      </w:r>
      <w:r>
        <w:rPr>
          <w:rFonts w:eastAsia="宋体" w:cs="Times New Roman"/>
          <w:color w:val="auto"/>
          <w:sz w:val="24"/>
          <w:szCs w:val="18"/>
          <w:highlight w:val="none"/>
        </w:rPr>
        <w:noBreakHyphen/>
      </w:r>
      <w:r>
        <w:rPr>
          <w:rFonts w:eastAsia="宋体" w:cs="Times New Roman"/>
          <w:color w:val="auto"/>
          <w:sz w:val="24"/>
          <w:szCs w:val="18"/>
          <w:highlight w:val="none"/>
        </w:rPr>
        <w:fldChar w:fldCharType="begin"/>
      </w:r>
      <w:r>
        <w:rPr>
          <w:rFonts w:eastAsia="宋体" w:cs="Times New Roman"/>
          <w:color w:val="auto"/>
          <w:sz w:val="24"/>
          <w:szCs w:val="18"/>
          <w:highlight w:val="none"/>
        </w:rPr>
        <w:instrText xml:space="preserve"> SEQ 表 \* ARABIC \s 2 </w:instrText>
      </w:r>
      <w:r>
        <w:rPr>
          <w:rFonts w:eastAsia="宋体" w:cs="Times New Roman"/>
          <w:color w:val="auto"/>
          <w:sz w:val="24"/>
          <w:szCs w:val="18"/>
          <w:highlight w:val="none"/>
        </w:rPr>
        <w:fldChar w:fldCharType="separate"/>
      </w:r>
      <w:r>
        <w:rPr>
          <w:rFonts w:eastAsia="宋体" w:cs="Times New Roman"/>
          <w:color w:val="auto"/>
          <w:sz w:val="24"/>
          <w:szCs w:val="18"/>
          <w:highlight w:val="none"/>
        </w:rPr>
        <w:t>14</w:t>
      </w:r>
      <w:r>
        <w:rPr>
          <w:rFonts w:eastAsia="宋体" w:cs="Times New Roman"/>
          <w:color w:val="auto"/>
          <w:sz w:val="24"/>
          <w:szCs w:val="18"/>
          <w:highlight w:val="none"/>
        </w:rPr>
        <w:fldChar w:fldCharType="end"/>
      </w:r>
      <w:r>
        <w:rPr>
          <w:rFonts w:eastAsia="宋体" w:cs="Times New Roman"/>
          <w:color w:val="auto"/>
          <w:sz w:val="24"/>
          <w:szCs w:val="18"/>
          <w:highlight w:val="none"/>
        </w:rPr>
        <w:t>土壤监测点T</w:t>
      </w:r>
      <w:r>
        <w:rPr>
          <w:rFonts w:hint="eastAsia" w:eastAsia="宋体" w:cs="Times New Roman"/>
          <w:color w:val="auto"/>
          <w:sz w:val="24"/>
          <w:szCs w:val="18"/>
          <w:highlight w:val="none"/>
        </w:rPr>
        <w:t>1-</w:t>
      </w:r>
      <w:r>
        <w:rPr>
          <w:rFonts w:eastAsia="宋体" w:cs="Times New Roman"/>
          <w:color w:val="auto"/>
          <w:sz w:val="24"/>
          <w:szCs w:val="18"/>
          <w:highlight w:val="none"/>
        </w:rPr>
        <w:t>3污染风险筛选结果</w:t>
      </w:r>
    </w:p>
    <w:tbl>
      <w:tblPr>
        <w:tblStyle w:val="45"/>
        <w:tblW w:w="5000" w:type="pct"/>
        <w:tblInd w:w="91" w:type="dxa"/>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autofit"/>
        <w:tblCellMar>
          <w:top w:w="0" w:type="dxa"/>
          <w:left w:w="108" w:type="dxa"/>
          <w:bottom w:w="0" w:type="dxa"/>
          <w:right w:w="108" w:type="dxa"/>
        </w:tblCellMar>
      </w:tblPr>
      <w:tblGrid>
        <w:gridCol w:w="1992"/>
        <w:gridCol w:w="870"/>
        <w:gridCol w:w="885"/>
        <w:gridCol w:w="1238"/>
        <w:gridCol w:w="1238"/>
        <w:gridCol w:w="1238"/>
        <w:gridCol w:w="1238"/>
        <w:gridCol w:w="1238"/>
        <w:gridCol w:w="1238"/>
        <w:gridCol w:w="1238"/>
        <w:gridCol w:w="1239"/>
      </w:tblGrid>
      <w:tr w14:paraId="75898CD5">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992" w:type="dxa"/>
            <w:vMerge w:val="restart"/>
            <w:tcBorders>
              <w:tl2br w:val="nil"/>
              <w:tr2bl w:val="nil"/>
            </w:tcBorders>
            <w:shd w:val="clear" w:color="auto" w:fill="auto"/>
            <w:vAlign w:val="center"/>
          </w:tcPr>
          <w:p w14:paraId="03BBD381">
            <w:pPr>
              <w:ind w:left="-105" w:right="-105"/>
              <w:jc w:val="center"/>
              <w:textAlignment w:val="center"/>
              <w:rPr>
                <w:b/>
                <w:bCs/>
                <w:color w:val="auto"/>
                <w:sz w:val="21"/>
                <w:szCs w:val="21"/>
                <w:highlight w:val="none"/>
              </w:rPr>
            </w:pPr>
            <w:r>
              <w:rPr>
                <w:rFonts w:hint="eastAsia"/>
                <w:b/>
                <w:bCs/>
                <w:color w:val="auto"/>
                <w:sz w:val="21"/>
                <w:szCs w:val="21"/>
                <w:highlight w:val="none"/>
                <w:lang w:bidi="ar"/>
              </w:rPr>
              <w:t>检测项目</w:t>
            </w:r>
          </w:p>
        </w:tc>
        <w:tc>
          <w:tcPr>
            <w:tcW w:w="870" w:type="dxa"/>
            <w:vMerge w:val="restart"/>
            <w:tcBorders>
              <w:tl2br w:val="nil"/>
              <w:tr2bl w:val="nil"/>
            </w:tcBorders>
            <w:shd w:val="clear" w:color="auto" w:fill="auto"/>
            <w:vAlign w:val="center"/>
          </w:tcPr>
          <w:p w14:paraId="7CEFE006">
            <w:pPr>
              <w:ind w:left="-105" w:right="-105"/>
              <w:jc w:val="center"/>
              <w:textAlignment w:val="center"/>
              <w:rPr>
                <w:b/>
                <w:bCs/>
                <w:color w:val="auto"/>
                <w:sz w:val="21"/>
                <w:szCs w:val="21"/>
                <w:highlight w:val="none"/>
              </w:rPr>
            </w:pPr>
            <w:r>
              <w:rPr>
                <w:rFonts w:hint="eastAsia"/>
                <w:b/>
                <w:bCs/>
                <w:color w:val="auto"/>
                <w:sz w:val="21"/>
                <w:szCs w:val="21"/>
                <w:highlight w:val="none"/>
                <w:lang w:bidi="ar"/>
              </w:rPr>
              <w:t>单位</w:t>
            </w:r>
          </w:p>
        </w:tc>
        <w:tc>
          <w:tcPr>
            <w:tcW w:w="885" w:type="dxa"/>
            <w:vMerge w:val="restart"/>
            <w:tcBorders>
              <w:tl2br w:val="nil"/>
              <w:tr2bl w:val="nil"/>
            </w:tcBorders>
            <w:shd w:val="clear" w:color="auto" w:fill="auto"/>
            <w:vAlign w:val="center"/>
          </w:tcPr>
          <w:p w14:paraId="3B5163A9">
            <w:pPr>
              <w:ind w:left="-105" w:right="-105"/>
              <w:jc w:val="center"/>
              <w:textAlignment w:val="center"/>
              <w:rPr>
                <w:b/>
                <w:bCs/>
                <w:color w:val="auto"/>
                <w:sz w:val="21"/>
                <w:szCs w:val="21"/>
                <w:highlight w:val="none"/>
              </w:rPr>
            </w:pPr>
            <w:r>
              <w:rPr>
                <w:rFonts w:hint="eastAsia"/>
                <w:b/>
                <w:bCs/>
                <w:color w:val="auto"/>
                <w:sz w:val="21"/>
                <w:szCs w:val="21"/>
                <w:highlight w:val="none"/>
                <w:lang w:bidi="ar"/>
              </w:rPr>
              <w:t>筛选值</w:t>
            </w:r>
          </w:p>
        </w:tc>
        <w:tc>
          <w:tcPr>
            <w:tcW w:w="9905" w:type="dxa"/>
            <w:gridSpan w:val="8"/>
            <w:tcBorders>
              <w:tl2br w:val="nil"/>
              <w:tr2bl w:val="nil"/>
            </w:tcBorders>
            <w:shd w:val="clear" w:color="auto" w:fill="auto"/>
            <w:vAlign w:val="center"/>
          </w:tcPr>
          <w:p w14:paraId="657D0EF5">
            <w:pPr>
              <w:ind w:left="-105" w:right="-105"/>
              <w:jc w:val="center"/>
              <w:textAlignment w:val="center"/>
              <w:rPr>
                <w:rFonts w:ascii="Times New Roman" w:hAnsi="Times New Roman" w:cs="Times New Roman"/>
                <w:b/>
                <w:bCs/>
                <w:color w:val="auto"/>
                <w:sz w:val="21"/>
                <w:szCs w:val="21"/>
                <w:highlight w:val="none"/>
              </w:rPr>
            </w:pPr>
            <w:r>
              <w:rPr>
                <w:rFonts w:ascii="Times New Roman" w:hAnsi="Times New Roman" w:cs="Times New Roman"/>
                <w:b/>
                <w:bCs/>
                <w:color w:val="auto"/>
                <w:sz w:val="21"/>
                <w:szCs w:val="21"/>
                <w:highlight w:val="none"/>
                <w:lang w:bidi="ar"/>
              </w:rPr>
              <w:t>T1-3</w:t>
            </w:r>
          </w:p>
        </w:tc>
      </w:tr>
      <w:tr w14:paraId="168C654A">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992" w:type="dxa"/>
            <w:vMerge w:val="continue"/>
            <w:tcBorders>
              <w:tl2br w:val="nil"/>
              <w:tr2bl w:val="nil"/>
            </w:tcBorders>
            <w:shd w:val="clear" w:color="auto" w:fill="auto"/>
            <w:vAlign w:val="center"/>
          </w:tcPr>
          <w:p w14:paraId="1635A39C">
            <w:pPr>
              <w:ind w:left="-105" w:right="-105"/>
              <w:jc w:val="center"/>
              <w:rPr>
                <w:b/>
                <w:bCs/>
                <w:color w:val="auto"/>
                <w:sz w:val="21"/>
                <w:szCs w:val="21"/>
                <w:highlight w:val="none"/>
              </w:rPr>
            </w:pPr>
          </w:p>
        </w:tc>
        <w:tc>
          <w:tcPr>
            <w:tcW w:w="870" w:type="dxa"/>
            <w:vMerge w:val="continue"/>
            <w:tcBorders>
              <w:tl2br w:val="nil"/>
              <w:tr2bl w:val="nil"/>
            </w:tcBorders>
            <w:shd w:val="clear" w:color="auto" w:fill="auto"/>
            <w:vAlign w:val="center"/>
          </w:tcPr>
          <w:p w14:paraId="1142D884">
            <w:pPr>
              <w:ind w:left="-105" w:right="-105"/>
              <w:jc w:val="center"/>
              <w:rPr>
                <w:b/>
                <w:bCs/>
                <w:color w:val="auto"/>
                <w:sz w:val="21"/>
                <w:szCs w:val="21"/>
                <w:highlight w:val="none"/>
              </w:rPr>
            </w:pPr>
          </w:p>
        </w:tc>
        <w:tc>
          <w:tcPr>
            <w:tcW w:w="885" w:type="dxa"/>
            <w:vMerge w:val="continue"/>
            <w:tcBorders>
              <w:tl2br w:val="nil"/>
              <w:tr2bl w:val="nil"/>
            </w:tcBorders>
            <w:shd w:val="clear" w:color="auto" w:fill="auto"/>
            <w:vAlign w:val="center"/>
          </w:tcPr>
          <w:p w14:paraId="714153C5">
            <w:pPr>
              <w:ind w:left="-105" w:right="-105"/>
              <w:jc w:val="center"/>
              <w:rPr>
                <w:b/>
                <w:bCs/>
                <w:color w:val="auto"/>
                <w:sz w:val="21"/>
                <w:szCs w:val="21"/>
                <w:highlight w:val="none"/>
              </w:rPr>
            </w:pPr>
          </w:p>
        </w:tc>
        <w:tc>
          <w:tcPr>
            <w:tcW w:w="2476" w:type="dxa"/>
            <w:gridSpan w:val="2"/>
            <w:tcBorders>
              <w:tl2br w:val="nil"/>
              <w:tr2bl w:val="nil"/>
            </w:tcBorders>
            <w:shd w:val="clear" w:color="auto" w:fill="auto"/>
            <w:vAlign w:val="center"/>
          </w:tcPr>
          <w:p w14:paraId="155C7D5A">
            <w:pPr>
              <w:ind w:left="-105" w:right="-105"/>
              <w:jc w:val="center"/>
              <w:textAlignment w:val="center"/>
              <w:rPr>
                <w:rFonts w:ascii="Times New Roman" w:hAnsi="Times New Roman" w:cs="Times New Roman"/>
                <w:b/>
                <w:bCs/>
                <w:color w:val="auto"/>
                <w:sz w:val="21"/>
                <w:szCs w:val="21"/>
                <w:highlight w:val="none"/>
              </w:rPr>
            </w:pPr>
            <w:r>
              <w:rPr>
                <w:rFonts w:ascii="Times New Roman" w:hAnsi="Times New Roman" w:cs="Times New Roman"/>
                <w:b/>
                <w:bCs/>
                <w:color w:val="auto"/>
                <w:sz w:val="21"/>
                <w:szCs w:val="21"/>
                <w:highlight w:val="none"/>
                <w:lang w:bidi="ar"/>
              </w:rPr>
              <w:t>0-0.2m</w:t>
            </w:r>
          </w:p>
        </w:tc>
        <w:tc>
          <w:tcPr>
            <w:tcW w:w="2476" w:type="dxa"/>
            <w:gridSpan w:val="2"/>
            <w:tcBorders>
              <w:tl2br w:val="nil"/>
              <w:tr2bl w:val="nil"/>
            </w:tcBorders>
            <w:shd w:val="clear" w:color="auto" w:fill="auto"/>
            <w:vAlign w:val="center"/>
          </w:tcPr>
          <w:p w14:paraId="0DF48528">
            <w:pPr>
              <w:ind w:left="-105" w:right="-105"/>
              <w:jc w:val="center"/>
              <w:textAlignment w:val="center"/>
              <w:rPr>
                <w:rFonts w:ascii="Times New Roman" w:hAnsi="Times New Roman" w:cs="Times New Roman"/>
                <w:b/>
                <w:bCs/>
                <w:color w:val="auto"/>
                <w:sz w:val="21"/>
                <w:szCs w:val="21"/>
                <w:highlight w:val="none"/>
              </w:rPr>
            </w:pPr>
            <w:r>
              <w:rPr>
                <w:rFonts w:ascii="Times New Roman" w:hAnsi="Times New Roman" w:cs="Times New Roman"/>
                <w:b/>
                <w:bCs/>
                <w:color w:val="auto"/>
                <w:sz w:val="21"/>
                <w:szCs w:val="21"/>
                <w:highlight w:val="none"/>
                <w:lang w:bidi="ar"/>
              </w:rPr>
              <w:t>0.3-0.5m</w:t>
            </w:r>
          </w:p>
        </w:tc>
        <w:tc>
          <w:tcPr>
            <w:tcW w:w="2476" w:type="dxa"/>
            <w:gridSpan w:val="2"/>
            <w:tcBorders>
              <w:tl2br w:val="nil"/>
              <w:tr2bl w:val="nil"/>
            </w:tcBorders>
            <w:shd w:val="clear" w:color="auto" w:fill="auto"/>
            <w:vAlign w:val="center"/>
          </w:tcPr>
          <w:p w14:paraId="0E2B25BD">
            <w:pPr>
              <w:ind w:left="-105" w:right="-105"/>
              <w:jc w:val="center"/>
              <w:textAlignment w:val="center"/>
              <w:rPr>
                <w:rFonts w:ascii="Times New Roman" w:hAnsi="Times New Roman" w:cs="Times New Roman"/>
                <w:b/>
                <w:bCs/>
                <w:color w:val="auto"/>
                <w:sz w:val="21"/>
                <w:szCs w:val="21"/>
                <w:highlight w:val="none"/>
              </w:rPr>
            </w:pPr>
            <w:r>
              <w:rPr>
                <w:rFonts w:ascii="Times New Roman" w:hAnsi="Times New Roman" w:cs="Times New Roman"/>
                <w:b/>
                <w:bCs/>
                <w:color w:val="auto"/>
                <w:sz w:val="21"/>
                <w:szCs w:val="21"/>
                <w:highlight w:val="none"/>
                <w:lang w:bidi="ar"/>
              </w:rPr>
              <w:t>0.8-1.0m</w:t>
            </w:r>
          </w:p>
        </w:tc>
        <w:tc>
          <w:tcPr>
            <w:tcW w:w="2477" w:type="dxa"/>
            <w:gridSpan w:val="2"/>
            <w:tcBorders>
              <w:tl2br w:val="nil"/>
              <w:tr2bl w:val="nil"/>
            </w:tcBorders>
            <w:shd w:val="clear" w:color="auto" w:fill="auto"/>
            <w:vAlign w:val="center"/>
          </w:tcPr>
          <w:p w14:paraId="7E58A06A">
            <w:pPr>
              <w:ind w:left="-105" w:right="-105"/>
              <w:jc w:val="center"/>
              <w:textAlignment w:val="center"/>
              <w:rPr>
                <w:rFonts w:ascii="Times New Roman" w:hAnsi="Times New Roman" w:cs="Times New Roman"/>
                <w:b/>
                <w:bCs/>
                <w:color w:val="auto"/>
                <w:sz w:val="21"/>
                <w:szCs w:val="21"/>
                <w:highlight w:val="none"/>
              </w:rPr>
            </w:pPr>
            <w:r>
              <w:rPr>
                <w:rFonts w:ascii="Times New Roman" w:hAnsi="Times New Roman" w:cs="Times New Roman"/>
                <w:b/>
                <w:bCs/>
                <w:color w:val="auto"/>
                <w:sz w:val="21"/>
                <w:szCs w:val="21"/>
                <w:highlight w:val="none"/>
                <w:lang w:bidi="ar"/>
              </w:rPr>
              <w:t>1.8-2.0m</w:t>
            </w:r>
          </w:p>
        </w:tc>
      </w:tr>
      <w:tr w14:paraId="1EFEA6AB">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992" w:type="dxa"/>
            <w:vMerge w:val="continue"/>
            <w:tcBorders>
              <w:tl2br w:val="nil"/>
              <w:tr2bl w:val="nil"/>
            </w:tcBorders>
            <w:shd w:val="clear" w:color="auto" w:fill="auto"/>
            <w:vAlign w:val="center"/>
          </w:tcPr>
          <w:p w14:paraId="4F447556">
            <w:pPr>
              <w:ind w:left="-105" w:right="-105"/>
              <w:jc w:val="center"/>
              <w:rPr>
                <w:b/>
                <w:bCs/>
                <w:color w:val="auto"/>
                <w:sz w:val="21"/>
                <w:szCs w:val="21"/>
                <w:highlight w:val="none"/>
              </w:rPr>
            </w:pPr>
          </w:p>
        </w:tc>
        <w:tc>
          <w:tcPr>
            <w:tcW w:w="870" w:type="dxa"/>
            <w:vMerge w:val="continue"/>
            <w:tcBorders>
              <w:tl2br w:val="nil"/>
              <w:tr2bl w:val="nil"/>
            </w:tcBorders>
            <w:shd w:val="clear" w:color="auto" w:fill="auto"/>
            <w:vAlign w:val="center"/>
          </w:tcPr>
          <w:p w14:paraId="784984A2">
            <w:pPr>
              <w:ind w:left="-105" w:right="-105"/>
              <w:jc w:val="center"/>
              <w:rPr>
                <w:b/>
                <w:bCs/>
                <w:color w:val="auto"/>
                <w:sz w:val="21"/>
                <w:szCs w:val="21"/>
                <w:highlight w:val="none"/>
              </w:rPr>
            </w:pPr>
          </w:p>
        </w:tc>
        <w:tc>
          <w:tcPr>
            <w:tcW w:w="885" w:type="dxa"/>
            <w:vMerge w:val="continue"/>
            <w:tcBorders>
              <w:tl2br w:val="nil"/>
              <w:tr2bl w:val="nil"/>
            </w:tcBorders>
            <w:shd w:val="clear" w:color="auto" w:fill="auto"/>
            <w:vAlign w:val="center"/>
          </w:tcPr>
          <w:p w14:paraId="0A5ED998">
            <w:pPr>
              <w:ind w:left="-105" w:right="-105"/>
              <w:jc w:val="center"/>
              <w:rPr>
                <w:b/>
                <w:bCs/>
                <w:color w:val="auto"/>
                <w:sz w:val="21"/>
                <w:szCs w:val="21"/>
                <w:highlight w:val="none"/>
              </w:rPr>
            </w:pPr>
          </w:p>
        </w:tc>
        <w:tc>
          <w:tcPr>
            <w:tcW w:w="1238" w:type="dxa"/>
            <w:tcBorders>
              <w:tl2br w:val="nil"/>
              <w:tr2bl w:val="nil"/>
            </w:tcBorders>
            <w:shd w:val="clear" w:color="auto" w:fill="auto"/>
            <w:vAlign w:val="center"/>
          </w:tcPr>
          <w:p w14:paraId="61CA45C7">
            <w:pPr>
              <w:ind w:left="-105" w:right="-105"/>
              <w:jc w:val="center"/>
              <w:textAlignment w:val="center"/>
              <w:rPr>
                <w:b/>
                <w:bCs/>
                <w:color w:val="auto"/>
                <w:sz w:val="21"/>
                <w:szCs w:val="21"/>
                <w:highlight w:val="none"/>
              </w:rPr>
            </w:pPr>
            <w:r>
              <w:rPr>
                <w:rFonts w:hint="eastAsia"/>
                <w:b/>
                <w:bCs/>
                <w:color w:val="auto"/>
                <w:sz w:val="21"/>
                <w:szCs w:val="21"/>
                <w:highlight w:val="none"/>
                <w:lang w:bidi="ar"/>
              </w:rPr>
              <w:t>检测结果</w:t>
            </w:r>
          </w:p>
        </w:tc>
        <w:tc>
          <w:tcPr>
            <w:tcW w:w="1238" w:type="dxa"/>
            <w:tcBorders>
              <w:tl2br w:val="nil"/>
              <w:tr2bl w:val="nil"/>
            </w:tcBorders>
            <w:shd w:val="clear" w:color="auto" w:fill="auto"/>
            <w:vAlign w:val="center"/>
          </w:tcPr>
          <w:p w14:paraId="4A500D51">
            <w:pPr>
              <w:ind w:left="-105" w:right="-105"/>
              <w:jc w:val="center"/>
              <w:textAlignment w:val="center"/>
              <w:rPr>
                <w:b/>
                <w:bCs/>
                <w:color w:val="auto"/>
                <w:sz w:val="21"/>
                <w:szCs w:val="21"/>
                <w:highlight w:val="none"/>
              </w:rPr>
            </w:pPr>
            <w:r>
              <w:rPr>
                <w:rFonts w:hint="eastAsia"/>
                <w:b/>
                <w:bCs/>
                <w:color w:val="auto"/>
                <w:sz w:val="21"/>
                <w:szCs w:val="21"/>
                <w:highlight w:val="none"/>
                <w:lang w:bidi="ar"/>
              </w:rPr>
              <w:t>标准指数</w:t>
            </w:r>
          </w:p>
        </w:tc>
        <w:tc>
          <w:tcPr>
            <w:tcW w:w="1238" w:type="dxa"/>
            <w:tcBorders>
              <w:tl2br w:val="nil"/>
              <w:tr2bl w:val="nil"/>
            </w:tcBorders>
            <w:shd w:val="clear" w:color="auto" w:fill="auto"/>
            <w:vAlign w:val="center"/>
          </w:tcPr>
          <w:p w14:paraId="229F07FD">
            <w:pPr>
              <w:ind w:left="-105" w:right="-105"/>
              <w:jc w:val="center"/>
              <w:textAlignment w:val="center"/>
              <w:rPr>
                <w:b/>
                <w:bCs/>
                <w:color w:val="auto"/>
                <w:sz w:val="21"/>
                <w:szCs w:val="21"/>
                <w:highlight w:val="none"/>
              </w:rPr>
            </w:pPr>
            <w:r>
              <w:rPr>
                <w:rFonts w:hint="eastAsia"/>
                <w:b/>
                <w:bCs/>
                <w:color w:val="auto"/>
                <w:sz w:val="21"/>
                <w:szCs w:val="21"/>
                <w:highlight w:val="none"/>
                <w:lang w:bidi="ar"/>
              </w:rPr>
              <w:t>检测结果</w:t>
            </w:r>
          </w:p>
        </w:tc>
        <w:tc>
          <w:tcPr>
            <w:tcW w:w="1238" w:type="dxa"/>
            <w:tcBorders>
              <w:tl2br w:val="nil"/>
              <w:tr2bl w:val="nil"/>
            </w:tcBorders>
            <w:shd w:val="clear" w:color="auto" w:fill="auto"/>
            <w:vAlign w:val="center"/>
          </w:tcPr>
          <w:p w14:paraId="01AC5474">
            <w:pPr>
              <w:ind w:left="-105" w:right="-105"/>
              <w:jc w:val="center"/>
              <w:textAlignment w:val="center"/>
              <w:rPr>
                <w:b/>
                <w:bCs/>
                <w:color w:val="auto"/>
                <w:sz w:val="21"/>
                <w:szCs w:val="21"/>
                <w:highlight w:val="none"/>
              </w:rPr>
            </w:pPr>
            <w:r>
              <w:rPr>
                <w:rFonts w:hint="eastAsia"/>
                <w:b/>
                <w:bCs/>
                <w:color w:val="auto"/>
                <w:sz w:val="21"/>
                <w:szCs w:val="21"/>
                <w:highlight w:val="none"/>
                <w:lang w:bidi="ar"/>
              </w:rPr>
              <w:t>标准指数</w:t>
            </w:r>
          </w:p>
        </w:tc>
        <w:tc>
          <w:tcPr>
            <w:tcW w:w="1238" w:type="dxa"/>
            <w:tcBorders>
              <w:tl2br w:val="nil"/>
              <w:tr2bl w:val="nil"/>
            </w:tcBorders>
            <w:shd w:val="clear" w:color="auto" w:fill="auto"/>
            <w:vAlign w:val="center"/>
          </w:tcPr>
          <w:p w14:paraId="21DCDAC0">
            <w:pPr>
              <w:ind w:left="-105" w:right="-105"/>
              <w:jc w:val="center"/>
              <w:textAlignment w:val="center"/>
              <w:rPr>
                <w:b/>
                <w:bCs/>
                <w:color w:val="auto"/>
                <w:sz w:val="21"/>
                <w:szCs w:val="21"/>
                <w:highlight w:val="none"/>
              </w:rPr>
            </w:pPr>
            <w:r>
              <w:rPr>
                <w:rFonts w:hint="eastAsia"/>
                <w:b/>
                <w:bCs/>
                <w:color w:val="auto"/>
                <w:sz w:val="21"/>
                <w:szCs w:val="21"/>
                <w:highlight w:val="none"/>
                <w:lang w:bidi="ar"/>
              </w:rPr>
              <w:t>检测结果</w:t>
            </w:r>
          </w:p>
        </w:tc>
        <w:tc>
          <w:tcPr>
            <w:tcW w:w="1238" w:type="dxa"/>
            <w:tcBorders>
              <w:tl2br w:val="nil"/>
              <w:tr2bl w:val="nil"/>
            </w:tcBorders>
            <w:shd w:val="clear" w:color="auto" w:fill="auto"/>
            <w:vAlign w:val="center"/>
          </w:tcPr>
          <w:p w14:paraId="3B814BBB">
            <w:pPr>
              <w:ind w:left="-105" w:right="-105"/>
              <w:jc w:val="center"/>
              <w:textAlignment w:val="center"/>
              <w:rPr>
                <w:b/>
                <w:bCs/>
                <w:color w:val="auto"/>
                <w:sz w:val="21"/>
                <w:szCs w:val="21"/>
                <w:highlight w:val="none"/>
              </w:rPr>
            </w:pPr>
            <w:r>
              <w:rPr>
                <w:rFonts w:hint="eastAsia"/>
                <w:b/>
                <w:bCs/>
                <w:color w:val="auto"/>
                <w:sz w:val="21"/>
                <w:szCs w:val="21"/>
                <w:highlight w:val="none"/>
                <w:lang w:bidi="ar"/>
              </w:rPr>
              <w:t>标准指数</w:t>
            </w:r>
          </w:p>
        </w:tc>
        <w:tc>
          <w:tcPr>
            <w:tcW w:w="1238" w:type="dxa"/>
            <w:tcBorders>
              <w:tl2br w:val="nil"/>
              <w:tr2bl w:val="nil"/>
            </w:tcBorders>
            <w:shd w:val="clear" w:color="auto" w:fill="auto"/>
            <w:vAlign w:val="center"/>
          </w:tcPr>
          <w:p w14:paraId="18A42E23">
            <w:pPr>
              <w:ind w:left="-105" w:right="-105"/>
              <w:jc w:val="center"/>
              <w:textAlignment w:val="center"/>
              <w:rPr>
                <w:b/>
                <w:bCs/>
                <w:color w:val="auto"/>
                <w:sz w:val="21"/>
                <w:szCs w:val="21"/>
                <w:highlight w:val="none"/>
              </w:rPr>
            </w:pPr>
            <w:r>
              <w:rPr>
                <w:rFonts w:hint="eastAsia"/>
                <w:b/>
                <w:bCs/>
                <w:color w:val="auto"/>
                <w:sz w:val="21"/>
                <w:szCs w:val="21"/>
                <w:highlight w:val="none"/>
                <w:lang w:bidi="ar"/>
              </w:rPr>
              <w:t>检测结果</w:t>
            </w:r>
          </w:p>
        </w:tc>
        <w:tc>
          <w:tcPr>
            <w:tcW w:w="1239" w:type="dxa"/>
            <w:tcBorders>
              <w:tl2br w:val="nil"/>
              <w:tr2bl w:val="nil"/>
            </w:tcBorders>
            <w:shd w:val="clear" w:color="auto" w:fill="auto"/>
            <w:vAlign w:val="center"/>
          </w:tcPr>
          <w:p w14:paraId="58249F3C">
            <w:pPr>
              <w:ind w:left="-105" w:right="-105"/>
              <w:jc w:val="center"/>
              <w:textAlignment w:val="center"/>
              <w:rPr>
                <w:b/>
                <w:bCs/>
                <w:color w:val="auto"/>
                <w:sz w:val="21"/>
                <w:szCs w:val="21"/>
                <w:highlight w:val="none"/>
              </w:rPr>
            </w:pPr>
            <w:r>
              <w:rPr>
                <w:rFonts w:hint="eastAsia"/>
                <w:b/>
                <w:bCs/>
                <w:color w:val="auto"/>
                <w:sz w:val="21"/>
                <w:szCs w:val="21"/>
                <w:highlight w:val="none"/>
                <w:lang w:bidi="ar"/>
              </w:rPr>
              <w:t>标准指数</w:t>
            </w:r>
          </w:p>
        </w:tc>
      </w:tr>
      <w:tr w14:paraId="1B2A32CF">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992" w:type="dxa"/>
            <w:tcBorders>
              <w:tl2br w:val="nil"/>
              <w:tr2bl w:val="nil"/>
            </w:tcBorders>
            <w:shd w:val="clear" w:color="auto" w:fill="auto"/>
            <w:vAlign w:val="center"/>
          </w:tcPr>
          <w:p w14:paraId="25C12C20">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pH</w:t>
            </w:r>
          </w:p>
        </w:tc>
        <w:tc>
          <w:tcPr>
            <w:tcW w:w="870" w:type="dxa"/>
            <w:tcBorders>
              <w:tl2br w:val="nil"/>
              <w:tr2bl w:val="nil"/>
            </w:tcBorders>
            <w:shd w:val="clear" w:color="auto" w:fill="auto"/>
            <w:vAlign w:val="center"/>
          </w:tcPr>
          <w:p w14:paraId="0FB68AC4">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885" w:type="dxa"/>
            <w:tcBorders>
              <w:tl2br w:val="nil"/>
              <w:tr2bl w:val="nil"/>
            </w:tcBorders>
            <w:shd w:val="clear" w:color="auto" w:fill="auto"/>
            <w:vAlign w:val="center"/>
          </w:tcPr>
          <w:p w14:paraId="63E9C5C7">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8" w:type="dxa"/>
            <w:tcBorders>
              <w:tl2br w:val="nil"/>
              <w:tr2bl w:val="nil"/>
            </w:tcBorders>
            <w:shd w:val="clear" w:color="auto" w:fill="auto"/>
            <w:vAlign w:val="center"/>
          </w:tcPr>
          <w:p w14:paraId="30120826">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6.7</w:t>
            </w:r>
          </w:p>
        </w:tc>
        <w:tc>
          <w:tcPr>
            <w:tcW w:w="1238" w:type="dxa"/>
            <w:tcBorders>
              <w:tl2br w:val="nil"/>
              <w:tr2bl w:val="nil"/>
            </w:tcBorders>
            <w:shd w:val="clear" w:color="auto" w:fill="auto"/>
            <w:vAlign w:val="center"/>
          </w:tcPr>
          <w:p w14:paraId="411D7F19">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8" w:type="dxa"/>
            <w:tcBorders>
              <w:tl2br w:val="nil"/>
              <w:tr2bl w:val="nil"/>
            </w:tcBorders>
            <w:shd w:val="clear" w:color="auto" w:fill="auto"/>
            <w:vAlign w:val="center"/>
          </w:tcPr>
          <w:p w14:paraId="2EE27635">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6.76</w:t>
            </w:r>
          </w:p>
        </w:tc>
        <w:tc>
          <w:tcPr>
            <w:tcW w:w="1238" w:type="dxa"/>
            <w:tcBorders>
              <w:tl2br w:val="nil"/>
              <w:tr2bl w:val="nil"/>
            </w:tcBorders>
            <w:shd w:val="clear" w:color="auto" w:fill="auto"/>
            <w:vAlign w:val="center"/>
          </w:tcPr>
          <w:p w14:paraId="1D28ECAC">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8" w:type="dxa"/>
            <w:tcBorders>
              <w:tl2br w:val="nil"/>
              <w:tr2bl w:val="nil"/>
            </w:tcBorders>
            <w:shd w:val="clear" w:color="auto" w:fill="auto"/>
            <w:vAlign w:val="center"/>
          </w:tcPr>
          <w:p w14:paraId="53DEE4FE">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6.79</w:t>
            </w:r>
          </w:p>
        </w:tc>
        <w:tc>
          <w:tcPr>
            <w:tcW w:w="1238" w:type="dxa"/>
            <w:tcBorders>
              <w:tl2br w:val="nil"/>
              <w:tr2bl w:val="nil"/>
            </w:tcBorders>
            <w:shd w:val="clear" w:color="auto" w:fill="auto"/>
            <w:vAlign w:val="center"/>
          </w:tcPr>
          <w:p w14:paraId="1853BB48">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8" w:type="dxa"/>
            <w:tcBorders>
              <w:tl2br w:val="nil"/>
              <w:tr2bl w:val="nil"/>
            </w:tcBorders>
            <w:shd w:val="clear" w:color="auto" w:fill="auto"/>
            <w:vAlign w:val="center"/>
          </w:tcPr>
          <w:p w14:paraId="6939391D">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6.86</w:t>
            </w:r>
          </w:p>
        </w:tc>
        <w:tc>
          <w:tcPr>
            <w:tcW w:w="1239" w:type="dxa"/>
            <w:tcBorders>
              <w:tl2br w:val="nil"/>
              <w:tr2bl w:val="nil"/>
            </w:tcBorders>
            <w:shd w:val="clear" w:color="auto" w:fill="auto"/>
            <w:vAlign w:val="center"/>
          </w:tcPr>
          <w:p w14:paraId="7F6360CC">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r>
      <w:tr w14:paraId="22C59F21">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992" w:type="dxa"/>
            <w:tcBorders>
              <w:tl2br w:val="nil"/>
              <w:tr2bl w:val="nil"/>
            </w:tcBorders>
            <w:shd w:val="clear" w:color="auto" w:fill="auto"/>
            <w:vAlign w:val="center"/>
          </w:tcPr>
          <w:p w14:paraId="178E98E6">
            <w:pPr>
              <w:ind w:left="-105" w:right="-105"/>
              <w:jc w:val="center"/>
              <w:textAlignment w:val="center"/>
              <w:rPr>
                <w:color w:val="auto"/>
                <w:sz w:val="21"/>
                <w:szCs w:val="21"/>
                <w:highlight w:val="none"/>
              </w:rPr>
            </w:pPr>
            <w:r>
              <w:rPr>
                <w:rFonts w:hint="eastAsia"/>
                <w:color w:val="auto"/>
                <w:sz w:val="21"/>
                <w:szCs w:val="21"/>
                <w:highlight w:val="none"/>
                <w:lang w:bidi="ar"/>
              </w:rPr>
              <w:t>汞</w:t>
            </w:r>
          </w:p>
        </w:tc>
        <w:tc>
          <w:tcPr>
            <w:tcW w:w="870" w:type="dxa"/>
            <w:tcBorders>
              <w:tl2br w:val="nil"/>
              <w:tr2bl w:val="nil"/>
            </w:tcBorders>
            <w:shd w:val="clear" w:color="auto" w:fill="auto"/>
            <w:vAlign w:val="center"/>
          </w:tcPr>
          <w:p w14:paraId="36063EC1">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mg/kg</w:t>
            </w:r>
          </w:p>
        </w:tc>
        <w:tc>
          <w:tcPr>
            <w:tcW w:w="885" w:type="dxa"/>
            <w:tcBorders>
              <w:tl2br w:val="nil"/>
              <w:tr2bl w:val="nil"/>
            </w:tcBorders>
            <w:shd w:val="clear" w:color="auto" w:fill="auto"/>
            <w:vAlign w:val="center"/>
          </w:tcPr>
          <w:p w14:paraId="40871918">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38</w:t>
            </w:r>
          </w:p>
        </w:tc>
        <w:tc>
          <w:tcPr>
            <w:tcW w:w="1238" w:type="dxa"/>
            <w:tcBorders>
              <w:tl2br w:val="nil"/>
              <w:tr2bl w:val="nil"/>
            </w:tcBorders>
            <w:shd w:val="clear" w:color="auto" w:fill="auto"/>
            <w:vAlign w:val="center"/>
          </w:tcPr>
          <w:p w14:paraId="664BFE81">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0.17</w:t>
            </w:r>
          </w:p>
        </w:tc>
        <w:tc>
          <w:tcPr>
            <w:tcW w:w="1238" w:type="dxa"/>
            <w:tcBorders>
              <w:tl2br w:val="nil"/>
              <w:tr2bl w:val="nil"/>
            </w:tcBorders>
            <w:shd w:val="clear" w:color="auto" w:fill="auto"/>
            <w:vAlign w:val="center"/>
          </w:tcPr>
          <w:p w14:paraId="49AD586A">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 xml:space="preserve">0.0045 </w:t>
            </w:r>
          </w:p>
        </w:tc>
        <w:tc>
          <w:tcPr>
            <w:tcW w:w="1238" w:type="dxa"/>
            <w:tcBorders>
              <w:tl2br w:val="nil"/>
              <w:tr2bl w:val="nil"/>
            </w:tcBorders>
            <w:shd w:val="clear" w:color="auto" w:fill="auto"/>
            <w:vAlign w:val="center"/>
          </w:tcPr>
          <w:p w14:paraId="400B091B">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0.29</w:t>
            </w:r>
          </w:p>
        </w:tc>
        <w:tc>
          <w:tcPr>
            <w:tcW w:w="1238" w:type="dxa"/>
            <w:tcBorders>
              <w:tl2br w:val="nil"/>
              <w:tr2bl w:val="nil"/>
            </w:tcBorders>
            <w:shd w:val="clear" w:color="auto" w:fill="auto"/>
            <w:vAlign w:val="center"/>
          </w:tcPr>
          <w:p w14:paraId="633C0D8A">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 xml:space="preserve">0.0076 </w:t>
            </w:r>
          </w:p>
        </w:tc>
        <w:tc>
          <w:tcPr>
            <w:tcW w:w="1238" w:type="dxa"/>
            <w:tcBorders>
              <w:tl2br w:val="nil"/>
              <w:tr2bl w:val="nil"/>
            </w:tcBorders>
            <w:shd w:val="clear" w:color="auto" w:fill="auto"/>
            <w:vAlign w:val="center"/>
          </w:tcPr>
          <w:p w14:paraId="1A903326">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0.25</w:t>
            </w:r>
          </w:p>
        </w:tc>
        <w:tc>
          <w:tcPr>
            <w:tcW w:w="1238" w:type="dxa"/>
            <w:tcBorders>
              <w:tl2br w:val="nil"/>
              <w:tr2bl w:val="nil"/>
            </w:tcBorders>
            <w:shd w:val="clear" w:color="auto" w:fill="auto"/>
            <w:vAlign w:val="center"/>
          </w:tcPr>
          <w:p w14:paraId="0EE6D094">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 xml:space="preserve">0.0066 </w:t>
            </w:r>
          </w:p>
        </w:tc>
        <w:tc>
          <w:tcPr>
            <w:tcW w:w="1238" w:type="dxa"/>
            <w:tcBorders>
              <w:tl2br w:val="nil"/>
              <w:tr2bl w:val="nil"/>
            </w:tcBorders>
            <w:shd w:val="clear" w:color="auto" w:fill="auto"/>
            <w:vAlign w:val="center"/>
          </w:tcPr>
          <w:p w14:paraId="1EE09932">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0.07</w:t>
            </w:r>
          </w:p>
        </w:tc>
        <w:tc>
          <w:tcPr>
            <w:tcW w:w="1239" w:type="dxa"/>
            <w:tcBorders>
              <w:tl2br w:val="nil"/>
              <w:tr2bl w:val="nil"/>
            </w:tcBorders>
            <w:shd w:val="clear" w:color="auto" w:fill="auto"/>
            <w:vAlign w:val="center"/>
          </w:tcPr>
          <w:p w14:paraId="3EED0FBB">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 xml:space="preserve">0.0018 </w:t>
            </w:r>
          </w:p>
        </w:tc>
      </w:tr>
      <w:tr w14:paraId="01593C3C">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992" w:type="dxa"/>
            <w:tcBorders>
              <w:tl2br w:val="nil"/>
              <w:tr2bl w:val="nil"/>
            </w:tcBorders>
            <w:shd w:val="clear" w:color="auto" w:fill="auto"/>
            <w:vAlign w:val="center"/>
          </w:tcPr>
          <w:p w14:paraId="76F8ED62">
            <w:pPr>
              <w:ind w:left="-105" w:right="-105"/>
              <w:jc w:val="center"/>
              <w:textAlignment w:val="center"/>
              <w:rPr>
                <w:color w:val="auto"/>
                <w:sz w:val="21"/>
                <w:szCs w:val="21"/>
                <w:highlight w:val="none"/>
              </w:rPr>
            </w:pPr>
            <w:r>
              <w:rPr>
                <w:rFonts w:hint="eastAsia"/>
                <w:color w:val="auto"/>
                <w:sz w:val="21"/>
                <w:szCs w:val="21"/>
                <w:highlight w:val="none"/>
                <w:lang w:bidi="ar"/>
              </w:rPr>
              <w:t>砷</w:t>
            </w:r>
          </w:p>
        </w:tc>
        <w:tc>
          <w:tcPr>
            <w:tcW w:w="870" w:type="dxa"/>
            <w:tcBorders>
              <w:tl2br w:val="nil"/>
              <w:tr2bl w:val="nil"/>
            </w:tcBorders>
            <w:shd w:val="clear" w:color="auto" w:fill="auto"/>
            <w:vAlign w:val="center"/>
          </w:tcPr>
          <w:p w14:paraId="275312CC">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mg/kg</w:t>
            </w:r>
          </w:p>
        </w:tc>
        <w:tc>
          <w:tcPr>
            <w:tcW w:w="885" w:type="dxa"/>
            <w:tcBorders>
              <w:tl2br w:val="nil"/>
              <w:tr2bl w:val="nil"/>
            </w:tcBorders>
            <w:shd w:val="clear" w:color="auto" w:fill="auto"/>
            <w:vAlign w:val="center"/>
          </w:tcPr>
          <w:p w14:paraId="68A04B94">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60</w:t>
            </w:r>
          </w:p>
        </w:tc>
        <w:tc>
          <w:tcPr>
            <w:tcW w:w="1238" w:type="dxa"/>
            <w:tcBorders>
              <w:tl2br w:val="nil"/>
              <w:tr2bl w:val="nil"/>
            </w:tcBorders>
            <w:shd w:val="clear" w:color="auto" w:fill="auto"/>
            <w:vAlign w:val="center"/>
          </w:tcPr>
          <w:p w14:paraId="02B9BE3D">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10.5</w:t>
            </w:r>
          </w:p>
        </w:tc>
        <w:tc>
          <w:tcPr>
            <w:tcW w:w="1238" w:type="dxa"/>
            <w:tcBorders>
              <w:tl2br w:val="nil"/>
              <w:tr2bl w:val="nil"/>
            </w:tcBorders>
            <w:shd w:val="clear" w:color="auto" w:fill="auto"/>
            <w:vAlign w:val="center"/>
          </w:tcPr>
          <w:p w14:paraId="0183896D">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 xml:space="preserve">0.1750 </w:t>
            </w:r>
          </w:p>
        </w:tc>
        <w:tc>
          <w:tcPr>
            <w:tcW w:w="1238" w:type="dxa"/>
            <w:tcBorders>
              <w:tl2br w:val="nil"/>
              <w:tr2bl w:val="nil"/>
            </w:tcBorders>
            <w:shd w:val="clear" w:color="auto" w:fill="auto"/>
            <w:vAlign w:val="center"/>
          </w:tcPr>
          <w:p w14:paraId="351B79EA">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16</w:t>
            </w:r>
          </w:p>
        </w:tc>
        <w:tc>
          <w:tcPr>
            <w:tcW w:w="1238" w:type="dxa"/>
            <w:tcBorders>
              <w:tl2br w:val="nil"/>
              <w:tr2bl w:val="nil"/>
            </w:tcBorders>
            <w:shd w:val="clear" w:color="auto" w:fill="auto"/>
            <w:vAlign w:val="center"/>
          </w:tcPr>
          <w:p w14:paraId="201C42E2">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 xml:space="preserve">0.2667 </w:t>
            </w:r>
          </w:p>
        </w:tc>
        <w:tc>
          <w:tcPr>
            <w:tcW w:w="1238" w:type="dxa"/>
            <w:tcBorders>
              <w:tl2br w:val="nil"/>
              <w:tr2bl w:val="nil"/>
            </w:tcBorders>
            <w:shd w:val="clear" w:color="auto" w:fill="auto"/>
            <w:vAlign w:val="center"/>
          </w:tcPr>
          <w:p w14:paraId="44BBDF90">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12</w:t>
            </w:r>
          </w:p>
        </w:tc>
        <w:tc>
          <w:tcPr>
            <w:tcW w:w="1238" w:type="dxa"/>
            <w:tcBorders>
              <w:tl2br w:val="nil"/>
              <w:tr2bl w:val="nil"/>
            </w:tcBorders>
            <w:shd w:val="clear" w:color="auto" w:fill="auto"/>
            <w:vAlign w:val="center"/>
          </w:tcPr>
          <w:p w14:paraId="6A05B81E">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 xml:space="preserve">0.2000 </w:t>
            </w:r>
          </w:p>
        </w:tc>
        <w:tc>
          <w:tcPr>
            <w:tcW w:w="1238" w:type="dxa"/>
            <w:tcBorders>
              <w:tl2br w:val="nil"/>
              <w:tr2bl w:val="nil"/>
            </w:tcBorders>
            <w:shd w:val="clear" w:color="auto" w:fill="auto"/>
            <w:vAlign w:val="center"/>
          </w:tcPr>
          <w:p w14:paraId="120C72B6">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2.7</w:t>
            </w:r>
          </w:p>
        </w:tc>
        <w:tc>
          <w:tcPr>
            <w:tcW w:w="1239" w:type="dxa"/>
            <w:tcBorders>
              <w:tl2br w:val="nil"/>
              <w:tr2bl w:val="nil"/>
            </w:tcBorders>
            <w:shd w:val="clear" w:color="auto" w:fill="auto"/>
            <w:vAlign w:val="center"/>
          </w:tcPr>
          <w:p w14:paraId="73373DA3">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 xml:space="preserve">0.0450 </w:t>
            </w:r>
          </w:p>
        </w:tc>
      </w:tr>
      <w:tr w14:paraId="4606C77F">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992" w:type="dxa"/>
            <w:tcBorders>
              <w:tl2br w:val="nil"/>
              <w:tr2bl w:val="nil"/>
            </w:tcBorders>
            <w:shd w:val="clear" w:color="auto" w:fill="auto"/>
            <w:vAlign w:val="center"/>
          </w:tcPr>
          <w:p w14:paraId="4E8970AC">
            <w:pPr>
              <w:ind w:left="-105" w:right="-105"/>
              <w:jc w:val="center"/>
              <w:textAlignment w:val="center"/>
              <w:rPr>
                <w:color w:val="auto"/>
                <w:sz w:val="21"/>
                <w:szCs w:val="21"/>
                <w:highlight w:val="none"/>
              </w:rPr>
            </w:pPr>
            <w:r>
              <w:rPr>
                <w:rFonts w:hint="eastAsia"/>
                <w:color w:val="auto"/>
                <w:sz w:val="21"/>
                <w:szCs w:val="21"/>
                <w:highlight w:val="none"/>
                <w:lang w:bidi="ar"/>
              </w:rPr>
              <w:t>镉</w:t>
            </w:r>
          </w:p>
        </w:tc>
        <w:tc>
          <w:tcPr>
            <w:tcW w:w="870" w:type="dxa"/>
            <w:tcBorders>
              <w:tl2br w:val="nil"/>
              <w:tr2bl w:val="nil"/>
            </w:tcBorders>
            <w:shd w:val="clear" w:color="auto" w:fill="auto"/>
            <w:vAlign w:val="center"/>
          </w:tcPr>
          <w:p w14:paraId="7E802DFA">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mg/kg</w:t>
            </w:r>
          </w:p>
        </w:tc>
        <w:tc>
          <w:tcPr>
            <w:tcW w:w="885" w:type="dxa"/>
            <w:tcBorders>
              <w:tl2br w:val="nil"/>
              <w:tr2bl w:val="nil"/>
            </w:tcBorders>
            <w:shd w:val="clear" w:color="auto" w:fill="auto"/>
            <w:vAlign w:val="center"/>
          </w:tcPr>
          <w:p w14:paraId="08A9E4C2">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65</w:t>
            </w:r>
          </w:p>
        </w:tc>
        <w:tc>
          <w:tcPr>
            <w:tcW w:w="1238" w:type="dxa"/>
            <w:tcBorders>
              <w:tl2br w:val="nil"/>
              <w:tr2bl w:val="nil"/>
            </w:tcBorders>
            <w:shd w:val="clear" w:color="auto" w:fill="auto"/>
            <w:vAlign w:val="center"/>
          </w:tcPr>
          <w:p w14:paraId="36DC6DCF">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0.15</w:t>
            </w:r>
          </w:p>
        </w:tc>
        <w:tc>
          <w:tcPr>
            <w:tcW w:w="1238" w:type="dxa"/>
            <w:tcBorders>
              <w:tl2br w:val="nil"/>
              <w:tr2bl w:val="nil"/>
            </w:tcBorders>
            <w:shd w:val="clear" w:color="auto" w:fill="auto"/>
            <w:vAlign w:val="center"/>
          </w:tcPr>
          <w:p w14:paraId="0935FA63">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 xml:space="preserve">0.0023 </w:t>
            </w:r>
          </w:p>
        </w:tc>
        <w:tc>
          <w:tcPr>
            <w:tcW w:w="1238" w:type="dxa"/>
            <w:tcBorders>
              <w:tl2br w:val="nil"/>
              <w:tr2bl w:val="nil"/>
            </w:tcBorders>
            <w:shd w:val="clear" w:color="auto" w:fill="auto"/>
            <w:vAlign w:val="center"/>
          </w:tcPr>
          <w:p w14:paraId="683C748F">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0.18</w:t>
            </w:r>
          </w:p>
        </w:tc>
        <w:tc>
          <w:tcPr>
            <w:tcW w:w="1238" w:type="dxa"/>
            <w:tcBorders>
              <w:tl2br w:val="nil"/>
              <w:tr2bl w:val="nil"/>
            </w:tcBorders>
            <w:shd w:val="clear" w:color="auto" w:fill="auto"/>
            <w:vAlign w:val="center"/>
          </w:tcPr>
          <w:p w14:paraId="11B1A50A">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 xml:space="preserve">0.0028 </w:t>
            </w:r>
          </w:p>
        </w:tc>
        <w:tc>
          <w:tcPr>
            <w:tcW w:w="1238" w:type="dxa"/>
            <w:tcBorders>
              <w:tl2br w:val="nil"/>
              <w:tr2bl w:val="nil"/>
            </w:tcBorders>
            <w:shd w:val="clear" w:color="auto" w:fill="auto"/>
            <w:vAlign w:val="center"/>
          </w:tcPr>
          <w:p w14:paraId="4AF096A5">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0.15</w:t>
            </w:r>
          </w:p>
        </w:tc>
        <w:tc>
          <w:tcPr>
            <w:tcW w:w="1238" w:type="dxa"/>
            <w:tcBorders>
              <w:tl2br w:val="nil"/>
              <w:tr2bl w:val="nil"/>
            </w:tcBorders>
            <w:shd w:val="clear" w:color="auto" w:fill="auto"/>
            <w:vAlign w:val="center"/>
          </w:tcPr>
          <w:p w14:paraId="72FFA9AA">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 xml:space="preserve">0.0023 </w:t>
            </w:r>
          </w:p>
        </w:tc>
        <w:tc>
          <w:tcPr>
            <w:tcW w:w="1238" w:type="dxa"/>
            <w:tcBorders>
              <w:tl2br w:val="nil"/>
              <w:tr2bl w:val="nil"/>
            </w:tcBorders>
            <w:shd w:val="clear" w:color="auto" w:fill="auto"/>
            <w:vAlign w:val="center"/>
          </w:tcPr>
          <w:p w14:paraId="3DD18C90">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0.18</w:t>
            </w:r>
          </w:p>
        </w:tc>
        <w:tc>
          <w:tcPr>
            <w:tcW w:w="1239" w:type="dxa"/>
            <w:tcBorders>
              <w:tl2br w:val="nil"/>
              <w:tr2bl w:val="nil"/>
            </w:tcBorders>
            <w:shd w:val="clear" w:color="auto" w:fill="auto"/>
            <w:vAlign w:val="center"/>
          </w:tcPr>
          <w:p w14:paraId="5F141BA7">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 xml:space="preserve">0.0028 </w:t>
            </w:r>
          </w:p>
        </w:tc>
      </w:tr>
      <w:tr w14:paraId="487C4788">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992" w:type="dxa"/>
            <w:tcBorders>
              <w:tl2br w:val="nil"/>
              <w:tr2bl w:val="nil"/>
            </w:tcBorders>
            <w:shd w:val="clear" w:color="auto" w:fill="auto"/>
            <w:vAlign w:val="center"/>
          </w:tcPr>
          <w:p w14:paraId="6F5D2957">
            <w:pPr>
              <w:ind w:left="-105" w:right="-105"/>
              <w:jc w:val="center"/>
              <w:textAlignment w:val="center"/>
              <w:rPr>
                <w:color w:val="auto"/>
                <w:sz w:val="21"/>
                <w:szCs w:val="21"/>
                <w:highlight w:val="none"/>
              </w:rPr>
            </w:pPr>
            <w:r>
              <w:rPr>
                <w:rFonts w:hint="eastAsia"/>
                <w:color w:val="auto"/>
                <w:sz w:val="21"/>
                <w:szCs w:val="21"/>
                <w:highlight w:val="none"/>
                <w:lang w:bidi="ar"/>
              </w:rPr>
              <w:t>铜</w:t>
            </w:r>
          </w:p>
        </w:tc>
        <w:tc>
          <w:tcPr>
            <w:tcW w:w="870" w:type="dxa"/>
            <w:tcBorders>
              <w:tl2br w:val="nil"/>
              <w:tr2bl w:val="nil"/>
            </w:tcBorders>
            <w:shd w:val="clear" w:color="auto" w:fill="auto"/>
            <w:vAlign w:val="center"/>
          </w:tcPr>
          <w:p w14:paraId="10FE530D">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mg/kg</w:t>
            </w:r>
          </w:p>
        </w:tc>
        <w:tc>
          <w:tcPr>
            <w:tcW w:w="885" w:type="dxa"/>
            <w:tcBorders>
              <w:tl2br w:val="nil"/>
              <w:tr2bl w:val="nil"/>
            </w:tcBorders>
            <w:shd w:val="clear" w:color="auto" w:fill="auto"/>
            <w:vAlign w:val="center"/>
          </w:tcPr>
          <w:p w14:paraId="66874EA5">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18000</w:t>
            </w:r>
          </w:p>
        </w:tc>
        <w:tc>
          <w:tcPr>
            <w:tcW w:w="1238" w:type="dxa"/>
            <w:tcBorders>
              <w:tl2br w:val="nil"/>
              <w:tr2bl w:val="nil"/>
            </w:tcBorders>
            <w:shd w:val="clear" w:color="auto" w:fill="auto"/>
            <w:vAlign w:val="center"/>
          </w:tcPr>
          <w:p w14:paraId="19B26745">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21</w:t>
            </w:r>
          </w:p>
        </w:tc>
        <w:tc>
          <w:tcPr>
            <w:tcW w:w="1238" w:type="dxa"/>
            <w:tcBorders>
              <w:tl2br w:val="nil"/>
              <w:tr2bl w:val="nil"/>
            </w:tcBorders>
            <w:shd w:val="clear" w:color="auto" w:fill="auto"/>
            <w:vAlign w:val="center"/>
          </w:tcPr>
          <w:p w14:paraId="7913E922">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 xml:space="preserve">0.0012 </w:t>
            </w:r>
          </w:p>
        </w:tc>
        <w:tc>
          <w:tcPr>
            <w:tcW w:w="1238" w:type="dxa"/>
            <w:tcBorders>
              <w:tl2br w:val="nil"/>
              <w:tr2bl w:val="nil"/>
            </w:tcBorders>
            <w:shd w:val="clear" w:color="auto" w:fill="auto"/>
            <w:vAlign w:val="center"/>
          </w:tcPr>
          <w:p w14:paraId="225B1EB9">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21</w:t>
            </w:r>
          </w:p>
        </w:tc>
        <w:tc>
          <w:tcPr>
            <w:tcW w:w="1238" w:type="dxa"/>
            <w:tcBorders>
              <w:tl2br w:val="nil"/>
              <w:tr2bl w:val="nil"/>
            </w:tcBorders>
            <w:shd w:val="clear" w:color="auto" w:fill="auto"/>
            <w:vAlign w:val="center"/>
          </w:tcPr>
          <w:p w14:paraId="40D80BDC">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 xml:space="preserve">0.0012 </w:t>
            </w:r>
          </w:p>
        </w:tc>
        <w:tc>
          <w:tcPr>
            <w:tcW w:w="1238" w:type="dxa"/>
            <w:tcBorders>
              <w:tl2br w:val="nil"/>
              <w:tr2bl w:val="nil"/>
            </w:tcBorders>
            <w:shd w:val="clear" w:color="auto" w:fill="auto"/>
            <w:vAlign w:val="center"/>
          </w:tcPr>
          <w:p w14:paraId="638031BA">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25</w:t>
            </w:r>
          </w:p>
        </w:tc>
        <w:tc>
          <w:tcPr>
            <w:tcW w:w="1238" w:type="dxa"/>
            <w:tcBorders>
              <w:tl2br w:val="nil"/>
              <w:tr2bl w:val="nil"/>
            </w:tcBorders>
            <w:shd w:val="clear" w:color="auto" w:fill="auto"/>
            <w:vAlign w:val="center"/>
          </w:tcPr>
          <w:p w14:paraId="5BB3FF56">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 xml:space="preserve">0.0014 </w:t>
            </w:r>
          </w:p>
        </w:tc>
        <w:tc>
          <w:tcPr>
            <w:tcW w:w="1238" w:type="dxa"/>
            <w:tcBorders>
              <w:tl2br w:val="nil"/>
              <w:tr2bl w:val="nil"/>
            </w:tcBorders>
            <w:shd w:val="clear" w:color="auto" w:fill="auto"/>
            <w:vAlign w:val="center"/>
          </w:tcPr>
          <w:p w14:paraId="64C1B58A">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24</w:t>
            </w:r>
          </w:p>
        </w:tc>
        <w:tc>
          <w:tcPr>
            <w:tcW w:w="1239" w:type="dxa"/>
            <w:tcBorders>
              <w:tl2br w:val="nil"/>
              <w:tr2bl w:val="nil"/>
            </w:tcBorders>
            <w:shd w:val="clear" w:color="auto" w:fill="auto"/>
            <w:vAlign w:val="center"/>
          </w:tcPr>
          <w:p w14:paraId="1822B147">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 xml:space="preserve">0.0013 </w:t>
            </w:r>
          </w:p>
        </w:tc>
      </w:tr>
      <w:tr w14:paraId="782B1FCE">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992" w:type="dxa"/>
            <w:tcBorders>
              <w:tl2br w:val="nil"/>
              <w:tr2bl w:val="nil"/>
            </w:tcBorders>
            <w:shd w:val="clear" w:color="auto" w:fill="auto"/>
            <w:vAlign w:val="center"/>
          </w:tcPr>
          <w:p w14:paraId="03E8D7A4">
            <w:pPr>
              <w:ind w:left="-105" w:right="-105"/>
              <w:jc w:val="center"/>
              <w:textAlignment w:val="center"/>
              <w:rPr>
                <w:color w:val="auto"/>
                <w:sz w:val="21"/>
                <w:szCs w:val="21"/>
                <w:highlight w:val="none"/>
              </w:rPr>
            </w:pPr>
            <w:r>
              <w:rPr>
                <w:rFonts w:hint="eastAsia"/>
                <w:color w:val="auto"/>
                <w:sz w:val="21"/>
                <w:szCs w:val="21"/>
                <w:highlight w:val="none"/>
                <w:lang w:bidi="ar"/>
              </w:rPr>
              <w:t>铅</w:t>
            </w:r>
          </w:p>
        </w:tc>
        <w:tc>
          <w:tcPr>
            <w:tcW w:w="870" w:type="dxa"/>
            <w:tcBorders>
              <w:tl2br w:val="nil"/>
              <w:tr2bl w:val="nil"/>
            </w:tcBorders>
            <w:shd w:val="clear" w:color="auto" w:fill="auto"/>
            <w:vAlign w:val="center"/>
          </w:tcPr>
          <w:p w14:paraId="2B44CBC0">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mg/kg</w:t>
            </w:r>
          </w:p>
        </w:tc>
        <w:tc>
          <w:tcPr>
            <w:tcW w:w="885" w:type="dxa"/>
            <w:tcBorders>
              <w:tl2br w:val="nil"/>
              <w:tr2bl w:val="nil"/>
            </w:tcBorders>
            <w:shd w:val="clear" w:color="auto" w:fill="auto"/>
            <w:vAlign w:val="center"/>
          </w:tcPr>
          <w:p w14:paraId="77ED5BAE">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800</w:t>
            </w:r>
          </w:p>
        </w:tc>
        <w:tc>
          <w:tcPr>
            <w:tcW w:w="1238" w:type="dxa"/>
            <w:tcBorders>
              <w:tl2br w:val="nil"/>
              <w:tr2bl w:val="nil"/>
            </w:tcBorders>
            <w:shd w:val="clear" w:color="auto" w:fill="auto"/>
            <w:vAlign w:val="center"/>
          </w:tcPr>
          <w:p w14:paraId="646AA4B4">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28</w:t>
            </w:r>
          </w:p>
        </w:tc>
        <w:tc>
          <w:tcPr>
            <w:tcW w:w="1238" w:type="dxa"/>
            <w:tcBorders>
              <w:tl2br w:val="nil"/>
              <w:tr2bl w:val="nil"/>
            </w:tcBorders>
            <w:shd w:val="clear" w:color="auto" w:fill="auto"/>
            <w:vAlign w:val="center"/>
          </w:tcPr>
          <w:p w14:paraId="347C8FBC">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 xml:space="preserve">0.0350 </w:t>
            </w:r>
          </w:p>
        </w:tc>
        <w:tc>
          <w:tcPr>
            <w:tcW w:w="1238" w:type="dxa"/>
            <w:tcBorders>
              <w:tl2br w:val="nil"/>
              <w:tr2bl w:val="nil"/>
            </w:tcBorders>
            <w:shd w:val="clear" w:color="auto" w:fill="auto"/>
            <w:vAlign w:val="center"/>
          </w:tcPr>
          <w:p w14:paraId="22EE1596">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25</w:t>
            </w:r>
          </w:p>
        </w:tc>
        <w:tc>
          <w:tcPr>
            <w:tcW w:w="1238" w:type="dxa"/>
            <w:tcBorders>
              <w:tl2br w:val="nil"/>
              <w:tr2bl w:val="nil"/>
            </w:tcBorders>
            <w:shd w:val="clear" w:color="auto" w:fill="auto"/>
            <w:vAlign w:val="center"/>
          </w:tcPr>
          <w:p w14:paraId="451F2770">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 xml:space="preserve">0.0313 </w:t>
            </w:r>
          </w:p>
        </w:tc>
        <w:tc>
          <w:tcPr>
            <w:tcW w:w="1238" w:type="dxa"/>
            <w:tcBorders>
              <w:tl2br w:val="nil"/>
              <w:tr2bl w:val="nil"/>
            </w:tcBorders>
            <w:shd w:val="clear" w:color="auto" w:fill="auto"/>
            <w:vAlign w:val="center"/>
          </w:tcPr>
          <w:p w14:paraId="61068AB8">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24.3</w:t>
            </w:r>
          </w:p>
        </w:tc>
        <w:tc>
          <w:tcPr>
            <w:tcW w:w="1238" w:type="dxa"/>
            <w:tcBorders>
              <w:tl2br w:val="nil"/>
              <w:tr2bl w:val="nil"/>
            </w:tcBorders>
            <w:shd w:val="clear" w:color="auto" w:fill="auto"/>
            <w:vAlign w:val="center"/>
          </w:tcPr>
          <w:p w14:paraId="597DAB7D">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 xml:space="preserve">0.0304 </w:t>
            </w:r>
          </w:p>
        </w:tc>
        <w:tc>
          <w:tcPr>
            <w:tcW w:w="1238" w:type="dxa"/>
            <w:tcBorders>
              <w:tl2br w:val="nil"/>
              <w:tr2bl w:val="nil"/>
            </w:tcBorders>
            <w:shd w:val="clear" w:color="auto" w:fill="auto"/>
            <w:vAlign w:val="center"/>
          </w:tcPr>
          <w:p w14:paraId="524813EC">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23.9</w:t>
            </w:r>
          </w:p>
        </w:tc>
        <w:tc>
          <w:tcPr>
            <w:tcW w:w="1239" w:type="dxa"/>
            <w:tcBorders>
              <w:tl2br w:val="nil"/>
              <w:tr2bl w:val="nil"/>
            </w:tcBorders>
            <w:shd w:val="clear" w:color="auto" w:fill="auto"/>
            <w:vAlign w:val="center"/>
          </w:tcPr>
          <w:p w14:paraId="1ACB789F">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 xml:space="preserve">0.0299 </w:t>
            </w:r>
          </w:p>
        </w:tc>
      </w:tr>
      <w:tr w14:paraId="26ED80CC">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992" w:type="dxa"/>
            <w:tcBorders>
              <w:tl2br w:val="nil"/>
              <w:tr2bl w:val="nil"/>
            </w:tcBorders>
            <w:shd w:val="clear" w:color="auto" w:fill="auto"/>
            <w:vAlign w:val="center"/>
          </w:tcPr>
          <w:p w14:paraId="5A04462F">
            <w:pPr>
              <w:ind w:left="-105" w:right="-105"/>
              <w:jc w:val="center"/>
              <w:textAlignment w:val="center"/>
              <w:rPr>
                <w:color w:val="auto"/>
                <w:sz w:val="21"/>
                <w:szCs w:val="21"/>
                <w:highlight w:val="none"/>
              </w:rPr>
            </w:pPr>
            <w:r>
              <w:rPr>
                <w:rFonts w:hint="eastAsia"/>
                <w:color w:val="auto"/>
                <w:sz w:val="21"/>
                <w:szCs w:val="21"/>
                <w:highlight w:val="none"/>
                <w:lang w:bidi="ar"/>
              </w:rPr>
              <w:t>镍</w:t>
            </w:r>
          </w:p>
        </w:tc>
        <w:tc>
          <w:tcPr>
            <w:tcW w:w="870" w:type="dxa"/>
            <w:tcBorders>
              <w:tl2br w:val="nil"/>
              <w:tr2bl w:val="nil"/>
            </w:tcBorders>
            <w:shd w:val="clear" w:color="auto" w:fill="auto"/>
            <w:vAlign w:val="center"/>
          </w:tcPr>
          <w:p w14:paraId="1C577AFE">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mg/kg</w:t>
            </w:r>
          </w:p>
        </w:tc>
        <w:tc>
          <w:tcPr>
            <w:tcW w:w="885" w:type="dxa"/>
            <w:tcBorders>
              <w:tl2br w:val="nil"/>
              <w:tr2bl w:val="nil"/>
            </w:tcBorders>
            <w:shd w:val="clear" w:color="auto" w:fill="auto"/>
            <w:vAlign w:val="center"/>
          </w:tcPr>
          <w:p w14:paraId="67862BFC">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900</w:t>
            </w:r>
          </w:p>
        </w:tc>
        <w:tc>
          <w:tcPr>
            <w:tcW w:w="1238" w:type="dxa"/>
            <w:tcBorders>
              <w:tl2br w:val="nil"/>
              <w:tr2bl w:val="nil"/>
            </w:tcBorders>
            <w:shd w:val="clear" w:color="auto" w:fill="auto"/>
            <w:vAlign w:val="center"/>
          </w:tcPr>
          <w:p w14:paraId="1B2BAFEE">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25</w:t>
            </w:r>
          </w:p>
        </w:tc>
        <w:tc>
          <w:tcPr>
            <w:tcW w:w="1238" w:type="dxa"/>
            <w:tcBorders>
              <w:tl2br w:val="nil"/>
              <w:tr2bl w:val="nil"/>
            </w:tcBorders>
            <w:shd w:val="clear" w:color="auto" w:fill="auto"/>
            <w:vAlign w:val="center"/>
          </w:tcPr>
          <w:p w14:paraId="65870C6D">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 xml:space="preserve">0.0278 </w:t>
            </w:r>
          </w:p>
        </w:tc>
        <w:tc>
          <w:tcPr>
            <w:tcW w:w="1238" w:type="dxa"/>
            <w:tcBorders>
              <w:tl2br w:val="nil"/>
              <w:tr2bl w:val="nil"/>
            </w:tcBorders>
            <w:shd w:val="clear" w:color="auto" w:fill="auto"/>
            <w:vAlign w:val="center"/>
          </w:tcPr>
          <w:p w14:paraId="5AB78650">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24</w:t>
            </w:r>
          </w:p>
        </w:tc>
        <w:tc>
          <w:tcPr>
            <w:tcW w:w="1238" w:type="dxa"/>
            <w:tcBorders>
              <w:tl2br w:val="nil"/>
              <w:tr2bl w:val="nil"/>
            </w:tcBorders>
            <w:shd w:val="clear" w:color="auto" w:fill="auto"/>
            <w:vAlign w:val="center"/>
          </w:tcPr>
          <w:p w14:paraId="2CCDC616">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 xml:space="preserve">0.0267 </w:t>
            </w:r>
          </w:p>
        </w:tc>
        <w:tc>
          <w:tcPr>
            <w:tcW w:w="1238" w:type="dxa"/>
            <w:tcBorders>
              <w:tl2br w:val="nil"/>
              <w:tr2bl w:val="nil"/>
            </w:tcBorders>
            <w:shd w:val="clear" w:color="auto" w:fill="auto"/>
            <w:vAlign w:val="center"/>
          </w:tcPr>
          <w:p w14:paraId="72CA9CC2">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35</w:t>
            </w:r>
          </w:p>
        </w:tc>
        <w:tc>
          <w:tcPr>
            <w:tcW w:w="1238" w:type="dxa"/>
            <w:tcBorders>
              <w:tl2br w:val="nil"/>
              <w:tr2bl w:val="nil"/>
            </w:tcBorders>
            <w:shd w:val="clear" w:color="auto" w:fill="auto"/>
            <w:vAlign w:val="center"/>
          </w:tcPr>
          <w:p w14:paraId="7D677D97">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 xml:space="preserve">0.0389 </w:t>
            </w:r>
          </w:p>
        </w:tc>
        <w:tc>
          <w:tcPr>
            <w:tcW w:w="1238" w:type="dxa"/>
            <w:tcBorders>
              <w:tl2br w:val="nil"/>
              <w:tr2bl w:val="nil"/>
            </w:tcBorders>
            <w:shd w:val="clear" w:color="auto" w:fill="auto"/>
            <w:vAlign w:val="center"/>
          </w:tcPr>
          <w:p w14:paraId="06B44246">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33</w:t>
            </w:r>
          </w:p>
        </w:tc>
        <w:tc>
          <w:tcPr>
            <w:tcW w:w="1239" w:type="dxa"/>
            <w:tcBorders>
              <w:tl2br w:val="nil"/>
              <w:tr2bl w:val="nil"/>
            </w:tcBorders>
            <w:shd w:val="clear" w:color="auto" w:fill="auto"/>
            <w:vAlign w:val="center"/>
          </w:tcPr>
          <w:p w14:paraId="3178648C">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 xml:space="preserve">0.0367 </w:t>
            </w:r>
          </w:p>
        </w:tc>
      </w:tr>
      <w:tr w14:paraId="475C2038">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992" w:type="dxa"/>
            <w:tcBorders>
              <w:tl2br w:val="nil"/>
              <w:tr2bl w:val="nil"/>
            </w:tcBorders>
            <w:shd w:val="clear" w:color="auto" w:fill="auto"/>
            <w:vAlign w:val="center"/>
          </w:tcPr>
          <w:p w14:paraId="5EA0117C">
            <w:pPr>
              <w:ind w:left="-105" w:right="-105"/>
              <w:jc w:val="center"/>
              <w:textAlignment w:val="center"/>
              <w:rPr>
                <w:color w:val="auto"/>
                <w:sz w:val="21"/>
                <w:szCs w:val="21"/>
                <w:highlight w:val="none"/>
              </w:rPr>
            </w:pPr>
            <w:r>
              <w:rPr>
                <w:rFonts w:hint="eastAsia"/>
                <w:color w:val="auto"/>
                <w:sz w:val="21"/>
                <w:szCs w:val="21"/>
                <w:highlight w:val="none"/>
                <w:lang w:bidi="ar"/>
              </w:rPr>
              <w:t>六价铬</w:t>
            </w:r>
          </w:p>
        </w:tc>
        <w:tc>
          <w:tcPr>
            <w:tcW w:w="870" w:type="dxa"/>
            <w:tcBorders>
              <w:tl2br w:val="nil"/>
              <w:tr2bl w:val="nil"/>
            </w:tcBorders>
            <w:shd w:val="clear" w:color="auto" w:fill="auto"/>
            <w:vAlign w:val="center"/>
          </w:tcPr>
          <w:p w14:paraId="1C7F10A3">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mg/kg</w:t>
            </w:r>
          </w:p>
        </w:tc>
        <w:tc>
          <w:tcPr>
            <w:tcW w:w="885" w:type="dxa"/>
            <w:tcBorders>
              <w:tl2br w:val="nil"/>
              <w:tr2bl w:val="nil"/>
            </w:tcBorders>
            <w:shd w:val="clear" w:color="auto" w:fill="auto"/>
            <w:vAlign w:val="center"/>
          </w:tcPr>
          <w:p w14:paraId="033F34BF">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5.7</w:t>
            </w:r>
          </w:p>
        </w:tc>
        <w:tc>
          <w:tcPr>
            <w:tcW w:w="1238" w:type="dxa"/>
            <w:tcBorders>
              <w:tl2br w:val="nil"/>
              <w:tr2bl w:val="nil"/>
            </w:tcBorders>
            <w:shd w:val="clear" w:color="auto" w:fill="auto"/>
            <w:vAlign w:val="center"/>
          </w:tcPr>
          <w:p w14:paraId="21FEE0F7">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8" w:type="dxa"/>
            <w:tcBorders>
              <w:tl2br w:val="nil"/>
              <w:tr2bl w:val="nil"/>
            </w:tcBorders>
            <w:shd w:val="clear" w:color="auto" w:fill="auto"/>
            <w:vAlign w:val="center"/>
          </w:tcPr>
          <w:p w14:paraId="5975AF82">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8" w:type="dxa"/>
            <w:tcBorders>
              <w:tl2br w:val="nil"/>
              <w:tr2bl w:val="nil"/>
            </w:tcBorders>
            <w:shd w:val="clear" w:color="auto" w:fill="auto"/>
            <w:vAlign w:val="center"/>
          </w:tcPr>
          <w:p w14:paraId="07BEFE1A">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8" w:type="dxa"/>
            <w:tcBorders>
              <w:tl2br w:val="nil"/>
              <w:tr2bl w:val="nil"/>
            </w:tcBorders>
            <w:shd w:val="clear" w:color="auto" w:fill="auto"/>
            <w:vAlign w:val="center"/>
          </w:tcPr>
          <w:p w14:paraId="27D1E078">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8" w:type="dxa"/>
            <w:tcBorders>
              <w:tl2br w:val="nil"/>
              <w:tr2bl w:val="nil"/>
            </w:tcBorders>
            <w:shd w:val="clear" w:color="auto" w:fill="auto"/>
            <w:vAlign w:val="center"/>
          </w:tcPr>
          <w:p w14:paraId="75169F2D">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8" w:type="dxa"/>
            <w:tcBorders>
              <w:tl2br w:val="nil"/>
              <w:tr2bl w:val="nil"/>
            </w:tcBorders>
            <w:shd w:val="clear" w:color="auto" w:fill="auto"/>
            <w:vAlign w:val="center"/>
          </w:tcPr>
          <w:p w14:paraId="6FA3C4C0">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8" w:type="dxa"/>
            <w:tcBorders>
              <w:tl2br w:val="nil"/>
              <w:tr2bl w:val="nil"/>
            </w:tcBorders>
            <w:shd w:val="clear" w:color="auto" w:fill="auto"/>
            <w:vAlign w:val="center"/>
          </w:tcPr>
          <w:p w14:paraId="7A55C0D7">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9" w:type="dxa"/>
            <w:tcBorders>
              <w:tl2br w:val="nil"/>
              <w:tr2bl w:val="nil"/>
            </w:tcBorders>
            <w:shd w:val="clear" w:color="auto" w:fill="auto"/>
            <w:vAlign w:val="center"/>
          </w:tcPr>
          <w:p w14:paraId="3CCEBFA2">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r>
      <w:tr w14:paraId="15FBDD10">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992" w:type="dxa"/>
            <w:tcBorders>
              <w:tl2br w:val="nil"/>
              <w:tr2bl w:val="nil"/>
            </w:tcBorders>
            <w:shd w:val="clear" w:color="auto" w:fill="auto"/>
            <w:vAlign w:val="center"/>
          </w:tcPr>
          <w:p w14:paraId="14F7BB10">
            <w:pPr>
              <w:ind w:left="-105" w:right="-105"/>
              <w:jc w:val="center"/>
              <w:textAlignment w:val="center"/>
              <w:rPr>
                <w:color w:val="auto"/>
                <w:sz w:val="21"/>
                <w:szCs w:val="21"/>
                <w:highlight w:val="none"/>
              </w:rPr>
            </w:pPr>
            <w:r>
              <w:rPr>
                <w:rFonts w:hint="eastAsia"/>
                <w:color w:val="auto"/>
                <w:sz w:val="21"/>
                <w:szCs w:val="21"/>
                <w:highlight w:val="none"/>
                <w:lang w:bidi="ar"/>
              </w:rPr>
              <w:t>氯甲烷</w:t>
            </w:r>
          </w:p>
        </w:tc>
        <w:tc>
          <w:tcPr>
            <w:tcW w:w="870" w:type="dxa"/>
            <w:tcBorders>
              <w:tl2br w:val="nil"/>
              <w:tr2bl w:val="nil"/>
            </w:tcBorders>
            <w:shd w:val="clear" w:color="auto" w:fill="auto"/>
            <w:vAlign w:val="center"/>
          </w:tcPr>
          <w:p w14:paraId="7A764A0E">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mg/kg</w:t>
            </w:r>
          </w:p>
        </w:tc>
        <w:tc>
          <w:tcPr>
            <w:tcW w:w="885" w:type="dxa"/>
            <w:tcBorders>
              <w:tl2br w:val="nil"/>
              <w:tr2bl w:val="nil"/>
            </w:tcBorders>
            <w:shd w:val="clear" w:color="auto" w:fill="auto"/>
            <w:vAlign w:val="center"/>
          </w:tcPr>
          <w:p w14:paraId="10F9A1A0">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37</w:t>
            </w:r>
          </w:p>
        </w:tc>
        <w:tc>
          <w:tcPr>
            <w:tcW w:w="1238" w:type="dxa"/>
            <w:tcBorders>
              <w:tl2br w:val="nil"/>
              <w:tr2bl w:val="nil"/>
            </w:tcBorders>
            <w:shd w:val="clear" w:color="auto" w:fill="auto"/>
            <w:vAlign w:val="center"/>
          </w:tcPr>
          <w:p w14:paraId="0B311DB7">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8" w:type="dxa"/>
            <w:tcBorders>
              <w:tl2br w:val="nil"/>
              <w:tr2bl w:val="nil"/>
            </w:tcBorders>
            <w:shd w:val="clear" w:color="auto" w:fill="auto"/>
            <w:vAlign w:val="center"/>
          </w:tcPr>
          <w:p w14:paraId="7FFC665C">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8" w:type="dxa"/>
            <w:tcBorders>
              <w:tl2br w:val="nil"/>
              <w:tr2bl w:val="nil"/>
            </w:tcBorders>
            <w:shd w:val="clear" w:color="auto" w:fill="auto"/>
            <w:vAlign w:val="center"/>
          </w:tcPr>
          <w:p w14:paraId="572E09ED">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8" w:type="dxa"/>
            <w:tcBorders>
              <w:tl2br w:val="nil"/>
              <w:tr2bl w:val="nil"/>
            </w:tcBorders>
            <w:shd w:val="clear" w:color="auto" w:fill="auto"/>
            <w:vAlign w:val="center"/>
          </w:tcPr>
          <w:p w14:paraId="3D22B887">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8" w:type="dxa"/>
            <w:tcBorders>
              <w:tl2br w:val="nil"/>
              <w:tr2bl w:val="nil"/>
            </w:tcBorders>
            <w:shd w:val="clear" w:color="auto" w:fill="auto"/>
            <w:vAlign w:val="center"/>
          </w:tcPr>
          <w:p w14:paraId="23F036E2">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2.5</w:t>
            </w:r>
          </w:p>
        </w:tc>
        <w:tc>
          <w:tcPr>
            <w:tcW w:w="1238" w:type="dxa"/>
            <w:tcBorders>
              <w:tl2br w:val="nil"/>
              <w:tr2bl w:val="nil"/>
            </w:tcBorders>
            <w:shd w:val="clear" w:color="auto" w:fill="auto"/>
            <w:vAlign w:val="center"/>
          </w:tcPr>
          <w:p w14:paraId="0F06B7C5">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 xml:space="preserve">0.0676 </w:t>
            </w:r>
          </w:p>
        </w:tc>
        <w:tc>
          <w:tcPr>
            <w:tcW w:w="1238" w:type="dxa"/>
            <w:tcBorders>
              <w:tl2br w:val="nil"/>
              <w:tr2bl w:val="nil"/>
            </w:tcBorders>
            <w:shd w:val="clear" w:color="auto" w:fill="auto"/>
            <w:vAlign w:val="center"/>
          </w:tcPr>
          <w:p w14:paraId="69743ECE">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9.8</w:t>
            </w:r>
          </w:p>
        </w:tc>
        <w:tc>
          <w:tcPr>
            <w:tcW w:w="1239" w:type="dxa"/>
            <w:tcBorders>
              <w:tl2br w:val="nil"/>
              <w:tr2bl w:val="nil"/>
            </w:tcBorders>
            <w:shd w:val="clear" w:color="auto" w:fill="auto"/>
            <w:vAlign w:val="center"/>
          </w:tcPr>
          <w:p w14:paraId="7EF08D3F">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 xml:space="preserve">0.2649 </w:t>
            </w:r>
          </w:p>
        </w:tc>
      </w:tr>
      <w:tr w14:paraId="71402F9B">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992" w:type="dxa"/>
            <w:tcBorders>
              <w:tl2br w:val="nil"/>
              <w:tr2bl w:val="nil"/>
            </w:tcBorders>
            <w:shd w:val="clear" w:color="auto" w:fill="auto"/>
            <w:vAlign w:val="center"/>
          </w:tcPr>
          <w:p w14:paraId="78F428E6">
            <w:pPr>
              <w:ind w:left="-105" w:right="-105"/>
              <w:jc w:val="center"/>
              <w:textAlignment w:val="center"/>
              <w:rPr>
                <w:color w:val="auto"/>
                <w:sz w:val="21"/>
                <w:szCs w:val="21"/>
                <w:highlight w:val="none"/>
              </w:rPr>
            </w:pPr>
            <w:r>
              <w:rPr>
                <w:rFonts w:hint="eastAsia"/>
                <w:color w:val="auto"/>
                <w:sz w:val="21"/>
                <w:szCs w:val="21"/>
                <w:highlight w:val="none"/>
                <w:lang w:bidi="ar"/>
              </w:rPr>
              <w:t>氯乙烯</w:t>
            </w:r>
          </w:p>
        </w:tc>
        <w:tc>
          <w:tcPr>
            <w:tcW w:w="870" w:type="dxa"/>
            <w:tcBorders>
              <w:tl2br w:val="nil"/>
              <w:tr2bl w:val="nil"/>
            </w:tcBorders>
            <w:shd w:val="clear" w:color="auto" w:fill="auto"/>
            <w:vAlign w:val="center"/>
          </w:tcPr>
          <w:p w14:paraId="31E110D8">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mg/kg</w:t>
            </w:r>
          </w:p>
        </w:tc>
        <w:tc>
          <w:tcPr>
            <w:tcW w:w="885" w:type="dxa"/>
            <w:tcBorders>
              <w:tl2br w:val="nil"/>
              <w:tr2bl w:val="nil"/>
            </w:tcBorders>
            <w:shd w:val="clear" w:color="auto" w:fill="auto"/>
            <w:vAlign w:val="center"/>
          </w:tcPr>
          <w:p w14:paraId="46B1FF32">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0.43</w:t>
            </w:r>
          </w:p>
        </w:tc>
        <w:tc>
          <w:tcPr>
            <w:tcW w:w="1238" w:type="dxa"/>
            <w:tcBorders>
              <w:tl2br w:val="nil"/>
              <w:tr2bl w:val="nil"/>
            </w:tcBorders>
            <w:shd w:val="clear" w:color="auto" w:fill="auto"/>
            <w:vAlign w:val="center"/>
          </w:tcPr>
          <w:p w14:paraId="37DCC7C6">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8" w:type="dxa"/>
            <w:tcBorders>
              <w:tl2br w:val="nil"/>
              <w:tr2bl w:val="nil"/>
            </w:tcBorders>
            <w:shd w:val="clear" w:color="auto" w:fill="auto"/>
            <w:vAlign w:val="center"/>
          </w:tcPr>
          <w:p w14:paraId="53C1A007">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8" w:type="dxa"/>
            <w:tcBorders>
              <w:tl2br w:val="nil"/>
              <w:tr2bl w:val="nil"/>
            </w:tcBorders>
            <w:shd w:val="clear" w:color="auto" w:fill="auto"/>
            <w:vAlign w:val="center"/>
          </w:tcPr>
          <w:p w14:paraId="3DD93C40">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8" w:type="dxa"/>
            <w:tcBorders>
              <w:tl2br w:val="nil"/>
              <w:tr2bl w:val="nil"/>
            </w:tcBorders>
            <w:shd w:val="clear" w:color="auto" w:fill="auto"/>
            <w:vAlign w:val="center"/>
          </w:tcPr>
          <w:p w14:paraId="4CFD9716">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8" w:type="dxa"/>
            <w:tcBorders>
              <w:tl2br w:val="nil"/>
              <w:tr2bl w:val="nil"/>
            </w:tcBorders>
            <w:shd w:val="clear" w:color="auto" w:fill="auto"/>
            <w:vAlign w:val="center"/>
          </w:tcPr>
          <w:p w14:paraId="58F4C577">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8" w:type="dxa"/>
            <w:tcBorders>
              <w:tl2br w:val="nil"/>
              <w:tr2bl w:val="nil"/>
            </w:tcBorders>
            <w:shd w:val="clear" w:color="auto" w:fill="auto"/>
            <w:vAlign w:val="center"/>
          </w:tcPr>
          <w:p w14:paraId="0A6E4049">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8" w:type="dxa"/>
            <w:tcBorders>
              <w:tl2br w:val="nil"/>
              <w:tr2bl w:val="nil"/>
            </w:tcBorders>
            <w:shd w:val="clear" w:color="auto" w:fill="auto"/>
            <w:vAlign w:val="center"/>
          </w:tcPr>
          <w:p w14:paraId="617B96CB">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9" w:type="dxa"/>
            <w:tcBorders>
              <w:tl2br w:val="nil"/>
              <w:tr2bl w:val="nil"/>
            </w:tcBorders>
            <w:shd w:val="clear" w:color="auto" w:fill="auto"/>
            <w:vAlign w:val="center"/>
          </w:tcPr>
          <w:p w14:paraId="2B928780">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r>
      <w:tr w14:paraId="07426938">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992" w:type="dxa"/>
            <w:tcBorders>
              <w:tl2br w:val="nil"/>
              <w:tr2bl w:val="nil"/>
            </w:tcBorders>
            <w:shd w:val="clear" w:color="auto" w:fill="auto"/>
            <w:vAlign w:val="center"/>
          </w:tcPr>
          <w:p w14:paraId="6FF09740">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1,1-</w:t>
            </w:r>
            <w:r>
              <w:rPr>
                <w:rFonts w:hint="eastAsia"/>
                <w:color w:val="auto"/>
                <w:sz w:val="21"/>
                <w:szCs w:val="21"/>
                <w:highlight w:val="none"/>
                <w:lang w:bidi="ar"/>
              </w:rPr>
              <w:t>二氯乙烯</w:t>
            </w:r>
          </w:p>
        </w:tc>
        <w:tc>
          <w:tcPr>
            <w:tcW w:w="870" w:type="dxa"/>
            <w:tcBorders>
              <w:tl2br w:val="nil"/>
              <w:tr2bl w:val="nil"/>
            </w:tcBorders>
            <w:shd w:val="clear" w:color="auto" w:fill="auto"/>
            <w:vAlign w:val="center"/>
          </w:tcPr>
          <w:p w14:paraId="5257E901">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mg/kg</w:t>
            </w:r>
          </w:p>
        </w:tc>
        <w:tc>
          <w:tcPr>
            <w:tcW w:w="885" w:type="dxa"/>
            <w:tcBorders>
              <w:tl2br w:val="nil"/>
              <w:tr2bl w:val="nil"/>
            </w:tcBorders>
            <w:shd w:val="clear" w:color="auto" w:fill="auto"/>
            <w:vAlign w:val="center"/>
          </w:tcPr>
          <w:p w14:paraId="006D3CD8">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66</w:t>
            </w:r>
          </w:p>
        </w:tc>
        <w:tc>
          <w:tcPr>
            <w:tcW w:w="1238" w:type="dxa"/>
            <w:tcBorders>
              <w:tl2br w:val="nil"/>
              <w:tr2bl w:val="nil"/>
            </w:tcBorders>
            <w:shd w:val="clear" w:color="auto" w:fill="auto"/>
            <w:vAlign w:val="center"/>
          </w:tcPr>
          <w:p w14:paraId="09CAE22D">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8" w:type="dxa"/>
            <w:tcBorders>
              <w:tl2br w:val="nil"/>
              <w:tr2bl w:val="nil"/>
            </w:tcBorders>
            <w:shd w:val="clear" w:color="auto" w:fill="auto"/>
            <w:vAlign w:val="center"/>
          </w:tcPr>
          <w:p w14:paraId="7F9760E0">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8" w:type="dxa"/>
            <w:tcBorders>
              <w:tl2br w:val="nil"/>
              <w:tr2bl w:val="nil"/>
            </w:tcBorders>
            <w:shd w:val="clear" w:color="auto" w:fill="auto"/>
            <w:vAlign w:val="center"/>
          </w:tcPr>
          <w:p w14:paraId="63A36592">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8" w:type="dxa"/>
            <w:tcBorders>
              <w:tl2br w:val="nil"/>
              <w:tr2bl w:val="nil"/>
            </w:tcBorders>
            <w:shd w:val="clear" w:color="auto" w:fill="auto"/>
            <w:vAlign w:val="center"/>
          </w:tcPr>
          <w:p w14:paraId="27851736">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8" w:type="dxa"/>
            <w:tcBorders>
              <w:tl2br w:val="nil"/>
              <w:tr2bl w:val="nil"/>
            </w:tcBorders>
            <w:shd w:val="clear" w:color="auto" w:fill="auto"/>
            <w:vAlign w:val="center"/>
          </w:tcPr>
          <w:p w14:paraId="60F6E6CF">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8" w:type="dxa"/>
            <w:tcBorders>
              <w:tl2br w:val="nil"/>
              <w:tr2bl w:val="nil"/>
            </w:tcBorders>
            <w:shd w:val="clear" w:color="auto" w:fill="auto"/>
            <w:vAlign w:val="center"/>
          </w:tcPr>
          <w:p w14:paraId="5D7B2291">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8" w:type="dxa"/>
            <w:tcBorders>
              <w:tl2br w:val="nil"/>
              <w:tr2bl w:val="nil"/>
            </w:tcBorders>
            <w:shd w:val="clear" w:color="auto" w:fill="auto"/>
            <w:vAlign w:val="center"/>
          </w:tcPr>
          <w:p w14:paraId="723EDDF0">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9" w:type="dxa"/>
            <w:tcBorders>
              <w:tl2br w:val="nil"/>
              <w:tr2bl w:val="nil"/>
            </w:tcBorders>
            <w:shd w:val="clear" w:color="auto" w:fill="auto"/>
            <w:vAlign w:val="center"/>
          </w:tcPr>
          <w:p w14:paraId="37B7FB8E">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r>
      <w:tr w14:paraId="526B8960">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992" w:type="dxa"/>
            <w:tcBorders>
              <w:tl2br w:val="nil"/>
              <w:tr2bl w:val="nil"/>
            </w:tcBorders>
            <w:shd w:val="clear" w:color="auto" w:fill="auto"/>
            <w:vAlign w:val="center"/>
          </w:tcPr>
          <w:p w14:paraId="399229C3">
            <w:pPr>
              <w:ind w:left="-105" w:right="-105"/>
              <w:jc w:val="center"/>
              <w:textAlignment w:val="center"/>
              <w:rPr>
                <w:color w:val="auto"/>
                <w:sz w:val="21"/>
                <w:szCs w:val="21"/>
                <w:highlight w:val="none"/>
              </w:rPr>
            </w:pPr>
            <w:r>
              <w:rPr>
                <w:rFonts w:hint="eastAsia"/>
                <w:color w:val="auto"/>
                <w:sz w:val="21"/>
                <w:szCs w:val="21"/>
                <w:highlight w:val="none"/>
                <w:lang w:bidi="ar"/>
              </w:rPr>
              <w:t>二氯甲烷</w:t>
            </w:r>
          </w:p>
        </w:tc>
        <w:tc>
          <w:tcPr>
            <w:tcW w:w="870" w:type="dxa"/>
            <w:tcBorders>
              <w:tl2br w:val="nil"/>
              <w:tr2bl w:val="nil"/>
            </w:tcBorders>
            <w:shd w:val="clear" w:color="auto" w:fill="auto"/>
            <w:vAlign w:val="center"/>
          </w:tcPr>
          <w:p w14:paraId="3CB0C942">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mg/kg</w:t>
            </w:r>
          </w:p>
        </w:tc>
        <w:tc>
          <w:tcPr>
            <w:tcW w:w="885" w:type="dxa"/>
            <w:tcBorders>
              <w:tl2br w:val="nil"/>
              <w:tr2bl w:val="nil"/>
            </w:tcBorders>
            <w:shd w:val="clear" w:color="auto" w:fill="auto"/>
            <w:vAlign w:val="center"/>
          </w:tcPr>
          <w:p w14:paraId="188FA6DF">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616</w:t>
            </w:r>
          </w:p>
        </w:tc>
        <w:tc>
          <w:tcPr>
            <w:tcW w:w="1238" w:type="dxa"/>
            <w:tcBorders>
              <w:tl2br w:val="nil"/>
              <w:tr2bl w:val="nil"/>
            </w:tcBorders>
            <w:shd w:val="clear" w:color="auto" w:fill="auto"/>
            <w:vAlign w:val="center"/>
          </w:tcPr>
          <w:p w14:paraId="7325ACF4">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8" w:type="dxa"/>
            <w:tcBorders>
              <w:tl2br w:val="nil"/>
              <w:tr2bl w:val="nil"/>
            </w:tcBorders>
            <w:shd w:val="clear" w:color="auto" w:fill="auto"/>
            <w:vAlign w:val="center"/>
          </w:tcPr>
          <w:p w14:paraId="6EA294BA">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8" w:type="dxa"/>
            <w:tcBorders>
              <w:tl2br w:val="nil"/>
              <w:tr2bl w:val="nil"/>
            </w:tcBorders>
            <w:shd w:val="clear" w:color="auto" w:fill="auto"/>
            <w:vAlign w:val="center"/>
          </w:tcPr>
          <w:p w14:paraId="71D7AAE9">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8" w:type="dxa"/>
            <w:tcBorders>
              <w:tl2br w:val="nil"/>
              <w:tr2bl w:val="nil"/>
            </w:tcBorders>
            <w:shd w:val="clear" w:color="auto" w:fill="auto"/>
            <w:vAlign w:val="center"/>
          </w:tcPr>
          <w:p w14:paraId="0D7EB854">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8" w:type="dxa"/>
            <w:tcBorders>
              <w:tl2br w:val="nil"/>
              <w:tr2bl w:val="nil"/>
            </w:tcBorders>
            <w:shd w:val="clear" w:color="auto" w:fill="auto"/>
            <w:vAlign w:val="center"/>
          </w:tcPr>
          <w:p w14:paraId="3A7EEA81">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8" w:type="dxa"/>
            <w:tcBorders>
              <w:tl2br w:val="nil"/>
              <w:tr2bl w:val="nil"/>
            </w:tcBorders>
            <w:shd w:val="clear" w:color="auto" w:fill="auto"/>
            <w:vAlign w:val="center"/>
          </w:tcPr>
          <w:p w14:paraId="339BFB69">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8" w:type="dxa"/>
            <w:tcBorders>
              <w:tl2br w:val="nil"/>
              <w:tr2bl w:val="nil"/>
            </w:tcBorders>
            <w:shd w:val="clear" w:color="auto" w:fill="auto"/>
            <w:vAlign w:val="center"/>
          </w:tcPr>
          <w:p w14:paraId="2A7EF4C0">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9" w:type="dxa"/>
            <w:tcBorders>
              <w:tl2br w:val="nil"/>
              <w:tr2bl w:val="nil"/>
            </w:tcBorders>
            <w:shd w:val="clear" w:color="auto" w:fill="auto"/>
            <w:vAlign w:val="center"/>
          </w:tcPr>
          <w:p w14:paraId="7D6156FC">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r>
      <w:tr w14:paraId="3E020E36">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992" w:type="dxa"/>
            <w:tcBorders>
              <w:tl2br w:val="nil"/>
              <w:tr2bl w:val="nil"/>
            </w:tcBorders>
            <w:shd w:val="clear" w:color="auto" w:fill="auto"/>
            <w:vAlign w:val="center"/>
          </w:tcPr>
          <w:p w14:paraId="6F27E039">
            <w:pPr>
              <w:ind w:left="-105" w:right="-105"/>
              <w:jc w:val="center"/>
              <w:textAlignment w:val="center"/>
              <w:rPr>
                <w:color w:val="auto"/>
                <w:sz w:val="21"/>
                <w:szCs w:val="21"/>
                <w:highlight w:val="none"/>
              </w:rPr>
            </w:pPr>
            <w:r>
              <w:rPr>
                <w:rFonts w:hint="eastAsia"/>
                <w:color w:val="auto"/>
                <w:sz w:val="21"/>
                <w:szCs w:val="21"/>
                <w:highlight w:val="none"/>
                <w:lang w:bidi="ar"/>
              </w:rPr>
              <w:t>反式</w:t>
            </w:r>
            <w:r>
              <w:rPr>
                <w:rFonts w:ascii="Times New Roman" w:hAnsi="Times New Roman" w:cs="Times New Roman"/>
                <w:color w:val="auto"/>
                <w:sz w:val="21"/>
                <w:szCs w:val="21"/>
                <w:highlight w:val="none"/>
                <w:lang w:bidi="ar"/>
              </w:rPr>
              <w:t>-1,2-</w:t>
            </w:r>
            <w:r>
              <w:rPr>
                <w:rFonts w:hint="eastAsia"/>
                <w:color w:val="auto"/>
                <w:sz w:val="21"/>
                <w:szCs w:val="21"/>
                <w:highlight w:val="none"/>
                <w:lang w:bidi="ar"/>
              </w:rPr>
              <w:t>二氯乙烯</w:t>
            </w:r>
          </w:p>
        </w:tc>
        <w:tc>
          <w:tcPr>
            <w:tcW w:w="870" w:type="dxa"/>
            <w:tcBorders>
              <w:tl2br w:val="nil"/>
              <w:tr2bl w:val="nil"/>
            </w:tcBorders>
            <w:shd w:val="clear" w:color="auto" w:fill="auto"/>
            <w:vAlign w:val="center"/>
          </w:tcPr>
          <w:p w14:paraId="27FF5B1F">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mg/kg</w:t>
            </w:r>
          </w:p>
        </w:tc>
        <w:tc>
          <w:tcPr>
            <w:tcW w:w="885" w:type="dxa"/>
            <w:tcBorders>
              <w:tl2br w:val="nil"/>
              <w:tr2bl w:val="nil"/>
            </w:tcBorders>
            <w:shd w:val="clear" w:color="auto" w:fill="auto"/>
            <w:vAlign w:val="center"/>
          </w:tcPr>
          <w:p w14:paraId="5883602F">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54</w:t>
            </w:r>
          </w:p>
        </w:tc>
        <w:tc>
          <w:tcPr>
            <w:tcW w:w="1238" w:type="dxa"/>
            <w:tcBorders>
              <w:tl2br w:val="nil"/>
              <w:tr2bl w:val="nil"/>
            </w:tcBorders>
            <w:shd w:val="clear" w:color="auto" w:fill="auto"/>
            <w:vAlign w:val="center"/>
          </w:tcPr>
          <w:p w14:paraId="53BA6471">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8" w:type="dxa"/>
            <w:tcBorders>
              <w:tl2br w:val="nil"/>
              <w:tr2bl w:val="nil"/>
            </w:tcBorders>
            <w:shd w:val="clear" w:color="auto" w:fill="auto"/>
            <w:vAlign w:val="center"/>
          </w:tcPr>
          <w:p w14:paraId="2976B192">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8" w:type="dxa"/>
            <w:tcBorders>
              <w:tl2br w:val="nil"/>
              <w:tr2bl w:val="nil"/>
            </w:tcBorders>
            <w:shd w:val="clear" w:color="auto" w:fill="auto"/>
            <w:vAlign w:val="center"/>
          </w:tcPr>
          <w:p w14:paraId="67E83D53">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8" w:type="dxa"/>
            <w:tcBorders>
              <w:tl2br w:val="nil"/>
              <w:tr2bl w:val="nil"/>
            </w:tcBorders>
            <w:shd w:val="clear" w:color="auto" w:fill="auto"/>
            <w:vAlign w:val="center"/>
          </w:tcPr>
          <w:p w14:paraId="5C90E3A0">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8" w:type="dxa"/>
            <w:tcBorders>
              <w:tl2br w:val="nil"/>
              <w:tr2bl w:val="nil"/>
            </w:tcBorders>
            <w:shd w:val="clear" w:color="auto" w:fill="auto"/>
            <w:vAlign w:val="center"/>
          </w:tcPr>
          <w:p w14:paraId="67CEA427">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8" w:type="dxa"/>
            <w:tcBorders>
              <w:tl2br w:val="nil"/>
              <w:tr2bl w:val="nil"/>
            </w:tcBorders>
            <w:shd w:val="clear" w:color="auto" w:fill="auto"/>
            <w:vAlign w:val="center"/>
          </w:tcPr>
          <w:p w14:paraId="50CA1946">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8" w:type="dxa"/>
            <w:tcBorders>
              <w:tl2br w:val="nil"/>
              <w:tr2bl w:val="nil"/>
            </w:tcBorders>
            <w:shd w:val="clear" w:color="auto" w:fill="auto"/>
            <w:vAlign w:val="center"/>
          </w:tcPr>
          <w:p w14:paraId="2600C79B">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9" w:type="dxa"/>
            <w:tcBorders>
              <w:tl2br w:val="nil"/>
              <w:tr2bl w:val="nil"/>
            </w:tcBorders>
            <w:shd w:val="clear" w:color="auto" w:fill="auto"/>
            <w:vAlign w:val="center"/>
          </w:tcPr>
          <w:p w14:paraId="73C99865">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r>
      <w:tr w14:paraId="44F64BAD">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992" w:type="dxa"/>
            <w:tcBorders>
              <w:tl2br w:val="nil"/>
              <w:tr2bl w:val="nil"/>
            </w:tcBorders>
            <w:shd w:val="clear" w:color="auto" w:fill="auto"/>
            <w:vAlign w:val="center"/>
          </w:tcPr>
          <w:p w14:paraId="6E59C200">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1,1-</w:t>
            </w:r>
            <w:r>
              <w:rPr>
                <w:rFonts w:hint="eastAsia"/>
                <w:color w:val="auto"/>
                <w:sz w:val="21"/>
                <w:szCs w:val="21"/>
                <w:highlight w:val="none"/>
                <w:lang w:bidi="ar"/>
              </w:rPr>
              <w:t>二氯乙烷</w:t>
            </w:r>
          </w:p>
        </w:tc>
        <w:tc>
          <w:tcPr>
            <w:tcW w:w="870" w:type="dxa"/>
            <w:tcBorders>
              <w:tl2br w:val="nil"/>
              <w:tr2bl w:val="nil"/>
            </w:tcBorders>
            <w:shd w:val="clear" w:color="auto" w:fill="auto"/>
            <w:vAlign w:val="center"/>
          </w:tcPr>
          <w:p w14:paraId="688E6B74">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mg/kg</w:t>
            </w:r>
          </w:p>
        </w:tc>
        <w:tc>
          <w:tcPr>
            <w:tcW w:w="885" w:type="dxa"/>
            <w:tcBorders>
              <w:tl2br w:val="nil"/>
              <w:tr2bl w:val="nil"/>
            </w:tcBorders>
            <w:shd w:val="clear" w:color="auto" w:fill="auto"/>
            <w:vAlign w:val="center"/>
          </w:tcPr>
          <w:p w14:paraId="68314123">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9</w:t>
            </w:r>
          </w:p>
        </w:tc>
        <w:tc>
          <w:tcPr>
            <w:tcW w:w="1238" w:type="dxa"/>
            <w:tcBorders>
              <w:tl2br w:val="nil"/>
              <w:tr2bl w:val="nil"/>
            </w:tcBorders>
            <w:shd w:val="clear" w:color="auto" w:fill="auto"/>
            <w:vAlign w:val="center"/>
          </w:tcPr>
          <w:p w14:paraId="2B30BA79">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8" w:type="dxa"/>
            <w:tcBorders>
              <w:tl2br w:val="nil"/>
              <w:tr2bl w:val="nil"/>
            </w:tcBorders>
            <w:shd w:val="clear" w:color="auto" w:fill="auto"/>
            <w:vAlign w:val="center"/>
          </w:tcPr>
          <w:p w14:paraId="7EE9FF68">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8" w:type="dxa"/>
            <w:tcBorders>
              <w:tl2br w:val="nil"/>
              <w:tr2bl w:val="nil"/>
            </w:tcBorders>
            <w:shd w:val="clear" w:color="auto" w:fill="auto"/>
            <w:vAlign w:val="center"/>
          </w:tcPr>
          <w:p w14:paraId="0D0AB6B3">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8" w:type="dxa"/>
            <w:tcBorders>
              <w:tl2br w:val="nil"/>
              <w:tr2bl w:val="nil"/>
            </w:tcBorders>
            <w:shd w:val="clear" w:color="auto" w:fill="auto"/>
            <w:vAlign w:val="center"/>
          </w:tcPr>
          <w:p w14:paraId="608C7DAA">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8" w:type="dxa"/>
            <w:tcBorders>
              <w:tl2br w:val="nil"/>
              <w:tr2bl w:val="nil"/>
            </w:tcBorders>
            <w:shd w:val="clear" w:color="auto" w:fill="auto"/>
            <w:vAlign w:val="center"/>
          </w:tcPr>
          <w:p w14:paraId="54A576D4">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8" w:type="dxa"/>
            <w:tcBorders>
              <w:tl2br w:val="nil"/>
              <w:tr2bl w:val="nil"/>
            </w:tcBorders>
            <w:shd w:val="clear" w:color="auto" w:fill="auto"/>
            <w:vAlign w:val="center"/>
          </w:tcPr>
          <w:p w14:paraId="2D125C11">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8" w:type="dxa"/>
            <w:tcBorders>
              <w:tl2br w:val="nil"/>
              <w:tr2bl w:val="nil"/>
            </w:tcBorders>
            <w:shd w:val="clear" w:color="auto" w:fill="auto"/>
            <w:vAlign w:val="center"/>
          </w:tcPr>
          <w:p w14:paraId="2A2F1CC7">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9" w:type="dxa"/>
            <w:tcBorders>
              <w:tl2br w:val="nil"/>
              <w:tr2bl w:val="nil"/>
            </w:tcBorders>
            <w:shd w:val="clear" w:color="auto" w:fill="auto"/>
            <w:vAlign w:val="center"/>
          </w:tcPr>
          <w:p w14:paraId="2B3628C9">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r>
      <w:tr w14:paraId="36A750E8">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992" w:type="dxa"/>
            <w:tcBorders>
              <w:tl2br w:val="nil"/>
              <w:tr2bl w:val="nil"/>
            </w:tcBorders>
            <w:shd w:val="clear" w:color="auto" w:fill="auto"/>
            <w:vAlign w:val="center"/>
          </w:tcPr>
          <w:p w14:paraId="5ABB6CDF">
            <w:pPr>
              <w:ind w:left="-105" w:right="-105"/>
              <w:jc w:val="center"/>
              <w:textAlignment w:val="center"/>
              <w:rPr>
                <w:color w:val="auto"/>
                <w:sz w:val="21"/>
                <w:szCs w:val="21"/>
                <w:highlight w:val="none"/>
              </w:rPr>
            </w:pPr>
            <w:r>
              <w:rPr>
                <w:rFonts w:hint="eastAsia"/>
                <w:color w:val="auto"/>
                <w:sz w:val="21"/>
                <w:szCs w:val="21"/>
                <w:highlight w:val="none"/>
                <w:lang w:bidi="ar"/>
              </w:rPr>
              <w:t>顺式</w:t>
            </w:r>
            <w:r>
              <w:rPr>
                <w:rFonts w:ascii="Times New Roman" w:hAnsi="Times New Roman" w:cs="Times New Roman"/>
                <w:color w:val="auto"/>
                <w:sz w:val="21"/>
                <w:szCs w:val="21"/>
                <w:highlight w:val="none"/>
                <w:lang w:bidi="ar"/>
              </w:rPr>
              <w:t>-1,2-</w:t>
            </w:r>
            <w:r>
              <w:rPr>
                <w:rFonts w:hint="eastAsia"/>
                <w:color w:val="auto"/>
                <w:sz w:val="21"/>
                <w:szCs w:val="21"/>
                <w:highlight w:val="none"/>
                <w:lang w:bidi="ar"/>
              </w:rPr>
              <w:t>二氯乙烯</w:t>
            </w:r>
          </w:p>
        </w:tc>
        <w:tc>
          <w:tcPr>
            <w:tcW w:w="870" w:type="dxa"/>
            <w:tcBorders>
              <w:tl2br w:val="nil"/>
              <w:tr2bl w:val="nil"/>
            </w:tcBorders>
            <w:shd w:val="clear" w:color="auto" w:fill="auto"/>
            <w:vAlign w:val="center"/>
          </w:tcPr>
          <w:p w14:paraId="4C3A31AA">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mg/kg</w:t>
            </w:r>
          </w:p>
        </w:tc>
        <w:tc>
          <w:tcPr>
            <w:tcW w:w="885" w:type="dxa"/>
            <w:tcBorders>
              <w:tl2br w:val="nil"/>
              <w:tr2bl w:val="nil"/>
            </w:tcBorders>
            <w:shd w:val="clear" w:color="auto" w:fill="auto"/>
            <w:vAlign w:val="center"/>
          </w:tcPr>
          <w:p w14:paraId="3234F38E">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596</w:t>
            </w:r>
          </w:p>
        </w:tc>
        <w:tc>
          <w:tcPr>
            <w:tcW w:w="1238" w:type="dxa"/>
            <w:tcBorders>
              <w:tl2br w:val="nil"/>
              <w:tr2bl w:val="nil"/>
            </w:tcBorders>
            <w:shd w:val="clear" w:color="auto" w:fill="auto"/>
            <w:vAlign w:val="center"/>
          </w:tcPr>
          <w:p w14:paraId="76208945">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8" w:type="dxa"/>
            <w:tcBorders>
              <w:tl2br w:val="nil"/>
              <w:tr2bl w:val="nil"/>
            </w:tcBorders>
            <w:shd w:val="clear" w:color="auto" w:fill="auto"/>
            <w:vAlign w:val="center"/>
          </w:tcPr>
          <w:p w14:paraId="42573AE5">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8" w:type="dxa"/>
            <w:tcBorders>
              <w:tl2br w:val="nil"/>
              <w:tr2bl w:val="nil"/>
            </w:tcBorders>
            <w:shd w:val="clear" w:color="auto" w:fill="auto"/>
            <w:vAlign w:val="center"/>
          </w:tcPr>
          <w:p w14:paraId="111BB8E8">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8" w:type="dxa"/>
            <w:tcBorders>
              <w:tl2br w:val="nil"/>
              <w:tr2bl w:val="nil"/>
            </w:tcBorders>
            <w:shd w:val="clear" w:color="auto" w:fill="auto"/>
            <w:vAlign w:val="center"/>
          </w:tcPr>
          <w:p w14:paraId="149F2357">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8" w:type="dxa"/>
            <w:tcBorders>
              <w:tl2br w:val="nil"/>
              <w:tr2bl w:val="nil"/>
            </w:tcBorders>
            <w:shd w:val="clear" w:color="auto" w:fill="auto"/>
            <w:vAlign w:val="center"/>
          </w:tcPr>
          <w:p w14:paraId="085B3E82">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8" w:type="dxa"/>
            <w:tcBorders>
              <w:tl2br w:val="nil"/>
              <w:tr2bl w:val="nil"/>
            </w:tcBorders>
            <w:shd w:val="clear" w:color="auto" w:fill="auto"/>
            <w:vAlign w:val="center"/>
          </w:tcPr>
          <w:p w14:paraId="2F080748">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8" w:type="dxa"/>
            <w:tcBorders>
              <w:tl2br w:val="nil"/>
              <w:tr2bl w:val="nil"/>
            </w:tcBorders>
            <w:shd w:val="clear" w:color="auto" w:fill="auto"/>
            <w:vAlign w:val="center"/>
          </w:tcPr>
          <w:p w14:paraId="3132647D">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9" w:type="dxa"/>
            <w:tcBorders>
              <w:tl2br w:val="nil"/>
              <w:tr2bl w:val="nil"/>
            </w:tcBorders>
            <w:shd w:val="clear" w:color="auto" w:fill="auto"/>
            <w:vAlign w:val="center"/>
          </w:tcPr>
          <w:p w14:paraId="572322D5">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r>
      <w:tr w14:paraId="1E17F44A">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992" w:type="dxa"/>
            <w:tcBorders>
              <w:tl2br w:val="nil"/>
              <w:tr2bl w:val="nil"/>
            </w:tcBorders>
            <w:shd w:val="clear" w:color="auto" w:fill="auto"/>
            <w:vAlign w:val="center"/>
          </w:tcPr>
          <w:p w14:paraId="2F9347F3">
            <w:pPr>
              <w:ind w:left="-105" w:right="-105"/>
              <w:jc w:val="center"/>
              <w:textAlignment w:val="center"/>
              <w:rPr>
                <w:color w:val="auto"/>
                <w:sz w:val="21"/>
                <w:szCs w:val="21"/>
                <w:highlight w:val="none"/>
              </w:rPr>
            </w:pPr>
            <w:r>
              <w:rPr>
                <w:rFonts w:hint="eastAsia"/>
                <w:color w:val="auto"/>
                <w:sz w:val="21"/>
                <w:szCs w:val="21"/>
                <w:highlight w:val="none"/>
                <w:lang w:bidi="ar"/>
              </w:rPr>
              <w:t>氯仿</w:t>
            </w:r>
          </w:p>
        </w:tc>
        <w:tc>
          <w:tcPr>
            <w:tcW w:w="870" w:type="dxa"/>
            <w:tcBorders>
              <w:tl2br w:val="nil"/>
              <w:tr2bl w:val="nil"/>
            </w:tcBorders>
            <w:shd w:val="clear" w:color="auto" w:fill="auto"/>
            <w:vAlign w:val="center"/>
          </w:tcPr>
          <w:p w14:paraId="737933D8">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mg/kg</w:t>
            </w:r>
          </w:p>
        </w:tc>
        <w:tc>
          <w:tcPr>
            <w:tcW w:w="885" w:type="dxa"/>
            <w:tcBorders>
              <w:tl2br w:val="nil"/>
              <w:tr2bl w:val="nil"/>
            </w:tcBorders>
            <w:shd w:val="clear" w:color="auto" w:fill="auto"/>
            <w:vAlign w:val="center"/>
          </w:tcPr>
          <w:p w14:paraId="58BAE024">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0.9</w:t>
            </w:r>
          </w:p>
        </w:tc>
        <w:tc>
          <w:tcPr>
            <w:tcW w:w="1238" w:type="dxa"/>
            <w:tcBorders>
              <w:tl2br w:val="nil"/>
              <w:tr2bl w:val="nil"/>
            </w:tcBorders>
            <w:shd w:val="clear" w:color="auto" w:fill="auto"/>
            <w:vAlign w:val="center"/>
          </w:tcPr>
          <w:p w14:paraId="7533E3B5">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8" w:type="dxa"/>
            <w:tcBorders>
              <w:tl2br w:val="nil"/>
              <w:tr2bl w:val="nil"/>
            </w:tcBorders>
            <w:shd w:val="clear" w:color="auto" w:fill="auto"/>
            <w:vAlign w:val="center"/>
          </w:tcPr>
          <w:p w14:paraId="3E23BE1F">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8" w:type="dxa"/>
            <w:tcBorders>
              <w:tl2br w:val="nil"/>
              <w:tr2bl w:val="nil"/>
            </w:tcBorders>
            <w:shd w:val="clear" w:color="auto" w:fill="auto"/>
            <w:vAlign w:val="center"/>
          </w:tcPr>
          <w:p w14:paraId="3E949305">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8" w:type="dxa"/>
            <w:tcBorders>
              <w:tl2br w:val="nil"/>
              <w:tr2bl w:val="nil"/>
            </w:tcBorders>
            <w:shd w:val="clear" w:color="auto" w:fill="auto"/>
            <w:vAlign w:val="center"/>
          </w:tcPr>
          <w:p w14:paraId="07A05BF2">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8" w:type="dxa"/>
            <w:tcBorders>
              <w:tl2br w:val="nil"/>
              <w:tr2bl w:val="nil"/>
            </w:tcBorders>
            <w:shd w:val="clear" w:color="auto" w:fill="auto"/>
            <w:vAlign w:val="center"/>
          </w:tcPr>
          <w:p w14:paraId="61CE5BC8">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8" w:type="dxa"/>
            <w:tcBorders>
              <w:tl2br w:val="nil"/>
              <w:tr2bl w:val="nil"/>
            </w:tcBorders>
            <w:shd w:val="clear" w:color="auto" w:fill="auto"/>
            <w:vAlign w:val="center"/>
          </w:tcPr>
          <w:p w14:paraId="5A08AED7">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8" w:type="dxa"/>
            <w:tcBorders>
              <w:tl2br w:val="nil"/>
              <w:tr2bl w:val="nil"/>
            </w:tcBorders>
            <w:shd w:val="clear" w:color="auto" w:fill="auto"/>
            <w:vAlign w:val="center"/>
          </w:tcPr>
          <w:p w14:paraId="3812FE94">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9" w:type="dxa"/>
            <w:tcBorders>
              <w:tl2br w:val="nil"/>
              <w:tr2bl w:val="nil"/>
            </w:tcBorders>
            <w:shd w:val="clear" w:color="auto" w:fill="auto"/>
            <w:vAlign w:val="center"/>
          </w:tcPr>
          <w:p w14:paraId="23E40EF8">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r>
      <w:tr w14:paraId="4BB56229">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992" w:type="dxa"/>
            <w:tcBorders>
              <w:tl2br w:val="nil"/>
              <w:tr2bl w:val="nil"/>
            </w:tcBorders>
            <w:shd w:val="clear" w:color="auto" w:fill="auto"/>
            <w:vAlign w:val="center"/>
          </w:tcPr>
          <w:p w14:paraId="1C8E8755">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1,1,1-</w:t>
            </w:r>
            <w:r>
              <w:rPr>
                <w:rFonts w:hint="eastAsia"/>
                <w:color w:val="auto"/>
                <w:sz w:val="21"/>
                <w:szCs w:val="21"/>
                <w:highlight w:val="none"/>
                <w:lang w:bidi="ar"/>
              </w:rPr>
              <w:t>三氯乙烷</w:t>
            </w:r>
          </w:p>
        </w:tc>
        <w:tc>
          <w:tcPr>
            <w:tcW w:w="870" w:type="dxa"/>
            <w:tcBorders>
              <w:tl2br w:val="nil"/>
              <w:tr2bl w:val="nil"/>
            </w:tcBorders>
            <w:shd w:val="clear" w:color="auto" w:fill="auto"/>
            <w:vAlign w:val="center"/>
          </w:tcPr>
          <w:p w14:paraId="072F30A5">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mg/kg</w:t>
            </w:r>
          </w:p>
        </w:tc>
        <w:tc>
          <w:tcPr>
            <w:tcW w:w="885" w:type="dxa"/>
            <w:tcBorders>
              <w:tl2br w:val="nil"/>
              <w:tr2bl w:val="nil"/>
            </w:tcBorders>
            <w:shd w:val="clear" w:color="auto" w:fill="auto"/>
            <w:vAlign w:val="center"/>
          </w:tcPr>
          <w:p w14:paraId="4EE91E7D">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840</w:t>
            </w:r>
          </w:p>
        </w:tc>
        <w:tc>
          <w:tcPr>
            <w:tcW w:w="1238" w:type="dxa"/>
            <w:tcBorders>
              <w:tl2br w:val="nil"/>
              <w:tr2bl w:val="nil"/>
            </w:tcBorders>
            <w:shd w:val="clear" w:color="auto" w:fill="auto"/>
            <w:vAlign w:val="center"/>
          </w:tcPr>
          <w:p w14:paraId="5164D2F6">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8" w:type="dxa"/>
            <w:tcBorders>
              <w:tl2br w:val="nil"/>
              <w:tr2bl w:val="nil"/>
            </w:tcBorders>
            <w:shd w:val="clear" w:color="auto" w:fill="auto"/>
            <w:vAlign w:val="center"/>
          </w:tcPr>
          <w:p w14:paraId="7E563A6C">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8" w:type="dxa"/>
            <w:tcBorders>
              <w:tl2br w:val="nil"/>
              <w:tr2bl w:val="nil"/>
            </w:tcBorders>
            <w:shd w:val="clear" w:color="auto" w:fill="auto"/>
            <w:vAlign w:val="center"/>
          </w:tcPr>
          <w:p w14:paraId="1AB87B51">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8" w:type="dxa"/>
            <w:tcBorders>
              <w:tl2br w:val="nil"/>
              <w:tr2bl w:val="nil"/>
            </w:tcBorders>
            <w:shd w:val="clear" w:color="auto" w:fill="auto"/>
            <w:vAlign w:val="center"/>
          </w:tcPr>
          <w:p w14:paraId="71A260DA">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8" w:type="dxa"/>
            <w:tcBorders>
              <w:tl2br w:val="nil"/>
              <w:tr2bl w:val="nil"/>
            </w:tcBorders>
            <w:shd w:val="clear" w:color="auto" w:fill="auto"/>
            <w:vAlign w:val="center"/>
          </w:tcPr>
          <w:p w14:paraId="1BCC5699">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8" w:type="dxa"/>
            <w:tcBorders>
              <w:tl2br w:val="nil"/>
              <w:tr2bl w:val="nil"/>
            </w:tcBorders>
            <w:shd w:val="clear" w:color="auto" w:fill="auto"/>
            <w:vAlign w:val="center"/>
          </w:tcPr>
          <w:p w14:paraId="4FD29416">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8" w:type="dxa"/>
            <w:tcBorders>
              <w:tl2br w:val="nil"/>
              <w:tr2bl w:val="nil"/>
            </w:tcBorders>
            <w:shd w:val="clear" w:color="auto" w:fill="auto"/>
            <w:vAlign w:val="center"/>
          </w:tcPr>
          <w:p w14:paraId="660C45B0">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9" w:type="dxa"/>
            <w:tcBorders>
              <w:tl2br w:val="nil"/>
              <w:tr2bl w:val="nil"/>
            </w:tcBorders>
            <w:shd w:val="clear" w:color="auto" w:fill="auto"/>
            <w:vAlign w:val="center"/>
          </w:tcPr>
          <w:p w14:paraId="36F71735">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r>
      <w:tr w14:paraId="6D8CAECB">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992" w:type="dxa"/>
            <w:tcBorders>
              <w:tl2br w:val="nil"/>
              <w:tr2bl w:val="nil"/>
            </w:tcBorders>
            <w:shd w:val="clear" w:color="auto" w:fill="auto"/>
            <w:vAlign w:val="center"/>
          </w:tcPr>
          <w:p w14:paraId="3B1015C0">
            <w:pPr>
              <w:ind w:left="-105" w:right="-105"/>
              <w:jc w:val="center"/>
              <w:textAlignment w:val="center"/>
              <w:rPr>
                <w:color w:val="auto"/>
                <w:sz w:val="21"/>
                <w:szCs w:val="21"/>
                <w:highlight w:val="none"/>
              </w:rPr>
            </w:pPr>
            <w:r>
              <w:rPr>
                <w:rFonts w:hint="eastAsia"/>
                <w:color w:val="auto"/>
                <w:sz w:val="21"/>
                <w:szCs w:val="21"/>
                <w:highlight w:val="none"/>
                <w:lang w:bidi="ar"/>
              </w:rPr>
              <w:t>四氯化碳</w:t>
            </w:r>
          </w:p>
        </w:tc>
        <w:tc>
          <w:tcPr>
            <w:tcW w:w="870" w:type="dxa"/>
            <w:tcBorders>
              <w:tl2br w:val="nil"/>
              <w:tr2bl w:val="nil"/>
            </w:tcBorders>
            <w:shd w:val="clear" w:color="auto" w:fill="auto"/>
            <w:vAlign w:val="center"/>
          </w:tcPr>
          <w:p w14:paraId="092642F1">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mg/kg</w:t>
            </w:r>
          </w:p>
        </w:tc>
        <w:tc>
          <w:tcPr>
            <w:tcW w:w="885" w:type="dxa"/>
            <w:tcBorders>
              <w:tl2br w:val="nil"/>
              <w:tr2bl w:val="nil"/>
            </w:tcBorders>
            <w:shd w:val="clear" w:color="auto" w:fill="auto"/>
            <w:vAlign w:val="center"/>
          </w:tcPr>
          <w:p w14:paraId="2AFE6464">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2.8</w:t>
            </w:r>
          </w:p>
        </w:tc>
        <w:tc>
          <w:tcPr>
            <w:tcW w:w="1238" w:type="dxa"/>
            <w:tcBorders>
              <w:tl2br w:val="nil"/>
              <w:tr2bl w:val="nil"/>
            </w:tcBorders>
            <w:shd w:val="clear" w:color="auto" w:fill="auto"/>
            <w:vAlign w:val="center"/>
          </w:tcPr>
          <w:p w14:paraId="08EEF26B">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8" w:type="dxa"/>
            <w:tcBorders>
              <w:tl2br w:val="nil"/>
              <w:tr2bl w:val="nil"/>
            </w:tcBorders>
            <w:shd w:val="clear" w:color="auto" w:fill="auto"/>
            <w:vAlign w:val="center"/>
          </w:tcPr>
          <w:p w14:paraId="33408F99">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8" w:type="dxa"/>
            <w:tcBorders>
              <w:tl2br w:val="nil"/>
              <w:tr2bl w:val="nil"/>
            </w:tcBorders>
            <w:shd w:val="clear" w:color="auto" w:fill="auto"/>
            <w:vAlign w:val="center"/>
          </w:tcPr>
          <w:p w14:paraId="744AE3CF">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8" w:type="dxa"/>
            <w:tcBorders>
              <w:tl2br w:val="nil"/>
              <w:tr2bl w:val="nil"/>
            </w:tcBorders>
            <w:shd w:val="clear" w:color="auto" w:fill="auto"/>
            <w:vAlign w:val="center"/>
          </w:tcPr>
          <w:p w14:paraId="36F9E878">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8" w:type="dxa"/>
            <w:tcBorders>
              <w:tl2br w:val="nil"/>
              <w:tr2bl w:val="nil"/>
            </w:tcBorders>
            <w:shd w:val="clear" w:color="auto" w:fill="auto"/>
            <w:vAlign w:val="center"/>
          </w:tcPr>
          <w:p w14:paraId="17DB2C6F">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8" w:type="dxa"/>
            <w:tcBorders>
              <w:tl2br w:val="nil"/>
              <w:tr2bl w:val="nil"/>
            </w:tcBorders>
            <w:shd w:val="clear" w:color="auto" w:fill="auto"/>
            <w:vAlign w:val="center"/>
          </w:tcPr>
          <w:p w14:paraId="5DE6470F">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8" w:type="dxa"/>
            <w:tcBorders>
              <w:tl2br w:val="nil"/>
              <w:tr2bl w:val="nil"/>
            </w:tcBorders>
            <w:shd w:val="clear" w:color="auto" w:fill="auto"/>
            <w:vAlign w:val="center"/>
          </w:tcPr>
          <w:p w14:paraId="36FC5953">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9" w:type="dxa"/>
            <w:tcBorders>
              <w:tl2br w:val="nil"/>
              <w:tr2bl w:val="nil"/>
            </w:tcBorders>
            <w:shd w:val="clear" w:color="auto" w:fill="auto"/>
            <w:vAlign w:val="center"/>
          </w:tcPr>
          <w:p w14:paraId="3790C761">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r>
      <w:tr w14:paraId="45EA3D1D">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992" w:type="dxa"/>
            <w:tcBorders>
              <w:tl2br w:val="nil"/>
              <w:tr2bl w:val="nil"/>
            </w:tcBorders>
            <w:shd w:val="clear" w:color="auto" w:fill="auto"/>
            <w:vAlign w:val="center"/>
          </w:tcPr>
          <w:p w14:paraId="3F2CC6F9">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1,2-</w:t>
            </w:r>
            <w:r>
              <w:rPr>
                <w:rFonts w:hint="eastAsia"/>
                <w:color w:val="auto"/>
                <w:sz w:val="21"/>
                <w:szCs w:val="21"/>
                <w:highlight w:val="none"/>
                <w:lang w:bidi="ar"/>
              </w:rPr>
              <w:t>二氯乙烷</w:t>
            </w:r>
          </w:p>
        </w:tc>
        <w:tc>
          <w:tcPr>
            <w:tcW w:w="870" w:type="dxa"/>
            <w:tcBorders>
              <w:tl2br w:val="nil"/>
              <w:tr2bl w:val="nil"/>
            </w:tcBorders>
            <w:shd w:val="clear" w:color="auto" w:fill="auto"/>
            <w:vAlign w:val="center"/>
          </w:tcPr>
          <w:p w14:paraId="443A0E50">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mg/kg</w:t>
            </w:r>
          </w:p>
        </w:tc>
        <w:tc>
          <w:tcPr>
            <w:tcW w:w="885" w:type="dxa"/>
            <w:tcBorders>
              <w:tl2br w:val="nil"/>
              <w:tr2bl w:val="nil"/>
            </w:tcBorders>
            <w:shd w:val="clear" w:color="auto" w:fill="auto"/>
            <w:vAlign w:val="center"/>
          </w:tcPr>
          <w:p w14:paraId="6A27288D">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5</w:t>
            </w:r>
          </w:p>
        </w:tc>
        <w:tc>
          <w:tcPr>
            <w:tcW w:w="1238" w:type="dxa"/>
            <w:tcBorders>
              <w:tl2br w:val="nil"/>
              <w:tr2bl w:val="nil"/>
            </w:tcBorders>
            <w:shd w:val="clear" w:color="auto" w:fill="auto"/>
            <w:vAlign w:val="center"/>
          </w:tcPr>
          <w:p w14:paraId="68019A5C">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8" w:type="dxa"/>
            <w:tcBorders>
              <w:tl2br w:val="nil"/>
              <w:tr2bl w:val="nil"/>
            </w:tcBorders>
            <w:shd w:val="clear" w:color="auto" w:fill="auto"/>
            <w:vAlign w:val="center"/>
          </w:tcPr>
          <w:p w14:paraId="2610DB9E">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8" w:type="dxa"/>
            <w:tcBorders>
              <w:tl2br w:val="nil"/>
              <w:tr2bl w:val="nil"/>
            </w:tcBorders>
            <w:shd w:val="clear" w:color="auto" w:fill="auto"/>
            <w:vAlign w:val="center"/>
          </w:tcPr>
          <w:p w14:paraId="41B31296">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8" w:type="dxa"/>
            <w:tcBorders>
              <w:tl2br w:val="nil"/>
              <w:tr2bl w:val="nil"/>
            </w:tcBorders>
            <w:shd w:val="clear" w:color="auto" w:fill="auto"/>
            <w:vAlign w:val="center"/>
          </w:tcPr>
          <w:p w14:paraId="1B5D9E36">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8" w:type="dxa"/>
            <w:tcBorders>
              <w:tl2br w:val="nil"/>
              <w:tr2bl w:val="nil"/>
            </w:tcBorders>
            <w:shd w:val="clear" w:color="auto" w:fill="auto"/>
            <w:vAlign w:val="center"/>
          </w:tcPr>
          <w:p w14:paraId="485E9C6F">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8" w:type="dxa"/>
            <w:tcBorders>
              <w:tl2br w:val="nil"/>
              <w:tr2bl w:val="nil"/>
            </w:tcBorders>
            <w:shd w:val="clear" w:color="auto" w:fill="auto"/>
            <w:vAlign w:val="center"/>
          </w:tcPr>
          <w:p w14:paraId="2CF6BF7B">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8" w:type="dxa"/>
            <w:tcBorders>
              <w:tl2br w:val="nil"/>
              <w:tr2bl w:val="nil"/>
            </w:tcBorders>
            <w:shd w:val="clear" w:color="auto" w:fill="auto"/>
            <w:vAlign w:val="center"/>
          </w:tcPr>
          <w:p w14:paraId="1D0A5139">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9" w:type="dxa"/>
            <w:tcBorders>
              <w:tl2br w:val="nil"/>
              <w:tr2bl w:val="nil"/>
            </w:tcBorders>
            <w:shd w:val="clear" w:color="auto" w:fill="auto"/>
            <w:vAlign w:val="center"/>
          </w:tcPr>
          <w:p w14:paraId="4BAE896E">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r>
      <w:tr w14:paraId="3A5B43F1">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992" w:type="dxa"/>
            <w:tcBorders>
              <w:tl2br w:val="nil"/>
              <w:tr2bl w:val="nil"/>
            </w:tcBorders>
            <w:shd w:val="clear" w:color="auto" w:fill="auto"/>
            <w:vAlign w:val="center"/>
          </w:tcPr>
          <w:p w14:paraId="0A2779B9">
            <w:pPr>
              <w:ind w:left="-105" w:right="-105"/>
              <w:jc w:val="center"/>
              <w:textAlignment w:val="center"/>
              <w:rPr>
                <w:color w:val="auto"/>
                <w:sz w:val="21"/>
                <w:szCs w:val="21"/>
                <w:highlight w:val="none"/>
              </w:rPr>
            </w:pPr>
            <w:r>
              <w:rPr>
                <w:rFonts w:hint="eastAsia"/>
                <w:color w:val="auto"/>
                <w:sz w:val="21"/>
                <w:szCs w:val="21"/>
                <w:highlight w:val="none"/>
                <w:lang w:bidi="ar"/>
              </w:rPr>
              <w:t>苯</w:t>
            </w:r>
          </w:p>
        </w:tc>
        <w:tc>
          <w:tcPr>
            <w:tcW w:w="870" w:type="dxa"/>
            <w:tcBorders>
              <w:tl2br w:val="nil"/>
              <w:tr2bl w:val="nil"/>
            </w:tcBorders>
            <w:shd w:val="clear" w:color="auto" w:fill="auto"/>
            <w:vAlign w:val="center"/>
          </w:tcPr>
          <w:p w14:paraId="22D75F96">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mg/kg</w:t>
            </w:r>
          </w:p>
        </w:tc>
        <w:tc>
          <w:tcPr>
            <w:tcW w:w="885" w:type="dxa"/>
            <w:tcBorders>
              <w:tl2br w:val="nil"/>
              <w:tr2bl w:val="nil"/>
            </w:tcBorders>
            <w:shd w:val="clear" w:color="auto" w:fill="auto"/>
            <w:vAlign w:val="center"/>
          </w:tcPr>
          <w:p w14:paraId="6A5BE233">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4</w:t>
            </w:r>
          </w:p>
        </w:tc>
        <w:tc>
          <w:tcPr>
            <w:tcW w:w="1238" w:type="dxa"/>
            <w:tcBorders>
              <w:tl2br w:val="nil"/>
              <w:tr2bl w:val="nil"/>
            </w:tcBorders>
            <w:shd w:val="clear" w:color="auto" w:fill="auto"/>
            <w:vAlign w:val="center"/>
          </w:tcPr>
          <w:p w14:paraId="32EF3C51">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8" w:type="dxa"/>
            <w:tcBorders>
              <w:tl2br w:val="nil"/>
              <w:tr2bl w:val="nil"/>
            </w:tcBorders>
            <w:shd w:val="clear" w:color="auto" w:fill="auto"/>
            <w:vAlign w:val="center"/>
          </w:tcPr>
          <w:p w14:paraId="2F4EB8F1">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8" w:type="dxa"/>
            <w:tcBorders>
              <w:tl2br w:val="nil"/>
              <w:tr2bl w:val="nil"/>
            </w:tcBorders>
            <w:shd w:val="clear" w:color="auto" w:fill="auto"/>
            <w:vAlign w:val="center"/>
          </w:tcPr>
          <w:p w14:paraId="2A224BB2">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8" w:type="dxa"/>
            <w:tcBorders>
              <w:tl2br w:val="nil"/>
              <w:tr2bl w:val="nil"/>
            </w:tcBorders>
            <w:shd w:val="clear" w:color="auto" w:fill="auto"/>
            <w:vAlign w:val="center"/>
          </w:tcPr>
          <w:p w14:paraId="783FF5CA">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8" w:type="dxa"/>
            <w:tcBorders>
              <w:tl2br w:val="nil"/>
              <w:tr2bl w:val="nil"/>
            </w:tcBorders>
            <w:shd w:val="clear" w:color="auto" w:fill="auto"/>
            <w:vAlign w:val="center"/>
          </w:tcPr>
          <w:p w14:paraId="54827038">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8" w:type="dxa"/>
            <w:tcBorders>
              <w:tl2br w:val="nil"/>
              <w:tr2bl w:val="nil"/>
            </w:tcBorders>
            <w:shd w:val="clear" w:color="auto" w:fill="auto"/>
            <w:vAlign w:val="center"/>
          </w:tcPr>
          <w:p w14:paraId="751BB149">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8" w:type="dxa"/>
            <w:tcBorders>
              <w:tl2br w:val="nil"/>
              <w:tr2bl w:val="nil"/>
            </w:tcBorders>
            <w:shd w:val="clear" w:color="auto" w:fill="auto"/>
            <w:vAlign w:val="center"/>
          </w:tcPr>
          <w:p w14:paraId="739FABF9">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9" w:type="dxa"/>
            <w:tcBorders>
              <w:tl2br w:val="nil"/>
              <w:tr2bl w:val="nil"/>
            </w:tcBorders>
            <w:shd w:val="clear" w:color="auto" w:fill="auto"/>
            <w:vAlign w:val="center"/>
          </w:tcPr>
          <w:p w14:paraId="4EDB3931">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r>
      <w:tr w14:paraId="5A7B6637">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992" w:type="dxa"/>
            <w:tcBorders>
              <w:tl2br w:val="nil"/>
              <w:tr2bl w:val="nil"/>
            </w:tcBorders>
            <w:shd w:val="clear" w:color="auto" w:fill="auto"/>
            <w:vAlign w:val="center"/>
          </w:tcPr>
          <w:p w14:paraId="760DDFCE">
            <w:pPr>
              <w:ind w:left="-105" w:right="-105"/>
              <w:jc w:val="center"/>
              <w:textAlignment w:val="center"/>
              <w:rPr>
                <w:color w:val="auto"/>
                <w:sz w:val="21"/>
                <w:szCs w:val="21"/>
                <w:highlight w:val="none"/>
              </w:rPr>
            </w:pPr>
            <w:r>
              <w:rPr>
                <w:rFonts w:hint="eastAsia"/>
                <w:color w:val="auto"/>
                <w:sz w:val="21"/>
                <w:szCs w:val="21"/>
                <w:highlight w:val="none"/>
                <w:lang w:bidi="ar"/>
              </w:rPr>
              <w:t>三氯乙烯</w:t>
            </w:r>
          </w:p>
        </w:tc>
        <w:tc>
          <w:tcPr>
            <w:tcW w:w="870" w:type="dxa"/>
            <w:tcBorders>
              <w:tl2br w:val="nil"/>
              <w:tr2bl w:val="nil"/>
            </w:tcBorders>
            <w:shd w:val="clear" w:color="auto" w:fill="auto"/>
            <w:vAlign w:val="center"/>
          </w:tcPr>
          <w:p w14:paraId="2B21A7E0">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mg/kg</w:t>
            </w:r>
          </w:p>
        </w:tc>
        <w:tc>
          <w:tcPr>
            <w:tcW w:w="885" w:type="dxa"/>
            <w:tcBorders>
              <w:tl2br w:val="nil"/>
              <w:tr2bl w:val="nil"/>
            </w:tcBorders>
            <w:shd w:val="clear" w:color="auto" w:fill="auto"/>
            <w:vAlign w:val="center"/>
          </w:tcPr>
          <w:p w14:paraId="215CCAFD">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2.8</w:t>
            </w:r>
          </w:p>
        </w:tc>
        <w:tc>
          <w:tcPr>
            <w:tcW w:w="1238" w:type="dxa"/>
            <w:tcBorders>
              <w:tl2br w:val="nil"/>
              <w:tr2bl w:val="nil"/>
            </w:tcBorders>
            <w:shd w:val="clear" w:color="auto" w:fill="auto"/>
            <w:vAlign w:val="center"/>
          </w:tcPr>
          <w:p w14:paraId="515D9F04">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8" w:type="dxa"/>
            <w:tcBorders>
              <w:tl2br w:val="nil"/>
              <w:tr2bl w:val="nil"/>
            </w:tcBorders>
            <w:shd w:val="clear" w:color="auto" w:fill="auto"/>
            <w:vAlign w:val="center"/>
          </w:tcPr>
          <w:p w14:paraId="5D5B7D0A">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8" w:type="dxa"/>
            <w:tcBorders>
              <w:tl2br w:val="nil"/>
              <w:tr2bl w:val="nil"/>
            </w:tcBorders>
            <w:shd w:val="clear" w:color="auto" w:fill="auto"/>
            <w:vAlign w:val="center"/>
          </w:tcPr>
          <w:p w14:paraId="47D67DB8">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8" w:type="dxa"/>
            <w:tcBorders>
              <w:tl2br w:val="nil"/>
              <w:tr2bl w:val="nil"/>
            </w:tcBorders>
            <w:shd w:val="clear" w:color="auto" w:fill="auto"/>
            <w:vAlign w:val="center"/>
          </w:tcPr>
          <w:p w14:paraId="59B007FE">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8" w:type="dxa"/>
            <w:tcBorders>
              <w:tl2br w:val="nil"/>
              <w:tr2bl w:val="nil"/>
            </w:tcBorders>
            <w:shd w:val="clear" w:color="auto" w:fill="auto"/>
            <w:vAlign w:val="center"/>
          </w:tcPr>
          <w:p w14:paraId="1DFCD84E">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8" w:type="dxa"/>
            <w:tcBorders>
              <w:tl2br w:val="nil"/>
              <w:tr2bl w:val="nil"/>
            </w:tcBorders>
            <w:shd w:val="clear" w:color="auto" w:fill="auto"/>
            <w:vAlign w:val="center"/>
          </w:tcPr>
          <w:p w14:paraId="69268AA0">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8" w:type="dxa"/>
            <w:tcBorders>
              <w:tl2br w:val="nil"/>
              <w:tr2bl w:val="nil"/>
            </w:tcBorders>
            <w:shd w:val="clear" w:color="auto" w:fill="auto"/>
            <w:vAlign w:val="center"/>
          </w:tcPr>
          <w:p w14:paraId="68F5DF56">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9" w:type="dxa"/>
            <w:tcBorders>
              <w:tl2br w:val="nil"/>
              <w:tr2bl w:val="nil"/>
            </w:tcBorders>
            <w:shd w:val="clear" w:color="auto" w:fill="auto"/>
            <w:vAlign w:val="center"/>
          </w:tcPr>
          <w:p w14:paraId="2C59C81A">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r>
      <w:tr w14:paraId="603A66E4">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992" w:type="dxa"/>
            <w:tcBorders>
              <w:tl2br w:val="nil"/>
              <w:tr2bl w:val="nil"/>
            </w:tcBorders>
            <w:shd w:val="clear" w:color="auto" w:fill="auto"/>
            <w:vAlign w:val="center"/>
          </w:tcPr>
          <w:p w14:paraId="7A4DCD21">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1,2-</w:t>
            </w:r>
            <w:r>
              <w:rPr>
                <w:rFonts w:hint="eastAsia"/>
                <w:color w:val="auto"/>
                <w:sz w:val="21"/>
                <w:szCs w:val="21"/>
                <w:highlight w:val="none"/>
                <w:lang w:bidi="ar"/>
              </w:rPr>
              <w:t>二氯丙烷</w:t>
            </w:r>
          </w:p>
        </w:tc>
        <w:tc>
          <w:tcPr>
            <w:tcW w:w="870" w:type="dxa"/>
            <w:tcBorders>
              <w:tl2br w:val="nil"/>
              <w:tr2bl w:val="nil"/>
            </w:tcBorders>
            <w:shd w:val="clear" w:color="auto" w:fill="auto"/>
            <w:vAlign w:val="center"/>
          </w:tcPr>
          <w:p w14:paraId="4F3770F7">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mg/kg</w:t>
            </w:r>
          </w:p>
        </w:tc>
        <w:tc>
          <w:tcPr>
            <w:tcW w:w="885" w:type="dxa"/>
            <w:tcBorders>
              <w:tl2br w:val="nil"/>
              <w:tr2bl w:val="nil"/>
            </w:tcBorders>
            <w:shd w:val="clear" w:color="auto" w:fill="auto"/>
            <w:vAlign w:val="center"/>
          </w:tcPr>
          <w:p w14:paraId="634187C3">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5</w:t>
            </w:r>
          </w:p>
        </w:tc>
        <w:tc>
          <w:tcPr>
            <w:tcW w:w="1238" w:type="dxa"/>
            <w:tcBorders>
              <w:tl2br w:val="nil"/>
              <w:tr2bl w:val="nil"/>
            </w:tcBorders>
            <w:shd w:val="clear" w:color="auto" w:fill="auto"/>
            <w:vAlign w:val="center"/>
          </w:tcPr>
          <w:p w14:paraId="64FD7F86">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8" w:type="dxa"/>
            <w:tcBorders>
              <w:tl2br w:val="nil"/>
              <w:tr2bl w:val="nil"/>
            </w:tcBorders>
            <w:shd w:val="clear" w:color="auto" w:fill="auto"/>
            <w:vAlign w:val="center"/>
          </w:tcPr>
          <w:p w14:paraId="48B2F885">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8" w:type="dxa"/>
            <w:tcBorders>
              <w:tl2br w:val="nil"/>
              <w:tr2bl w:val="nil"/>
            </w:tcBorders>
            <w:shd w:val="clear" w:color="auto" w:fill="auto"/>
            <w:vAlign w:val="center"/>
          </w:tcPr>
          <w:p w14:paraId="7C3E1A20">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8" w:type="dxa"/>
            <w:tcBorders>
              <w:tl2br w:val="nil"/>
              <w:tr2bl w:val="nil"/>
            </w:tcBorders>
            <w:shd w:val="clear" w:color="auto" w:fill="auto"/>
            <w:vAlign w:val="center"/>
          </w:tcPr>
          <w:p w14:paraId="49CABC41">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8" w:type="dxa"/>
            <w:tcBorders>
              <w:tl2br w:val="nil"/>
              <w:tr2bl w:val="nil"/>
            </w:tcBorders>
            <w:shd w:val="clear" w:color="auto" w:fill="auto"/>
            <w:vAlign w:val="center"/>
          </w:tcPr>
          <w:p w14:paraId="441A6E03">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8" w:type="dxa"/>
            <w:tcBorders>
              <w:tl2br w:val="nil"/>
              <w:tr2bl w:val="nil"/>
            </w:tcBorders>
            <w:shd w:val="clear" w:color="auto" w:fill="auto"/>
            <w:vAlign w:val="center"/>
          </w:tcPr>
          <w:p w14:paraId="690CEAC3">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8" w:type="dxa"/>
            <w:tcBorders>
              <w:tl2br w:val="nil"/>
              <w:tr2bl w:val="nil"/>
            </w:tcBorders>
            <w:shd w:val="clear" w:color="auto" w:fill="auto"/>
            <w:vAlign w:val="center"/>
          </w:tcPr>
          <w:p w14:paraId="0E09CC48">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9" w:type="dxa"/>
            <w:tcBorders>
              <w:tl2br w:val="nil"/>
              <w:tr2bl w:val="nil"/>
            </w:tcBorders>
            <w:shd w:val="clear" w:color="auto" w:fill="auto"/>
            <w:vAlign w:val="center"/>
          </w:tcPr>
          <w:p w14:paraId="171DB2EB">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r>
      <w:tr w14:paraId="31A459C8">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992" w:type="dxa"/>
            <w:tcBorders>
              <w:tl2br w:val="nil"/>
              <w:tr2bl w:val="nil"/>
            </w:tcBorders>
            <w:shd w:val="clear" w:color="auto" w:fill="auto"/>
            <w:vAlign w:val="center"/>
          </w:tcPr>
          <w:p w14:paraId="1FCDC2AD">
            <w:pPr>
              <w:ind w:left="-105" w:right="-105"/>
              <w:jc w:val="center"/>
              <w:textAlignment w:val="center"/>
              <w:rPr>
                <w:color w:val="auto"/>
                <w:sz w:val="21"/>
                <w:szCs w:val="21"/>
                <w:highlight w:val="none"/>
              </w:rPr>
            </w:pPr>
            <w:r>
              <w:rPr>
                <w:rFonts w:hint="eastAsia"/>
                <w:color w:val="auto"/>
                <w:sz w:val="21"/>
                <w:szCs w:val="21"/>
                <w:highlight w:val="none"/>
                <w:lang w:bidi="ar"/>
              </w:rPr>
              <w:t>甲苯</w:t>
            </w:r>
          </w:p>
        </w:tc>
        <w:tc>
          <w:tcPr>
            <w:tcW w:w="870" w:type="dxa"/>
            <w:tcBorders>
              <w:tl2br w:val="nil"/>
              <w:tr2bl w:val="nil"/>
            </w:tcBorders>
            <w:shd w:val="clear" w:color="auto" w:fill="auto"/>
            <w:vAlign w:val="center"/>
          </w:tcPr>
          <w:p w14:paraId="74E97347">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mg/kg</w:t>
            </w:r>
          </w:p>
        </w:tc>
        <w:tc>
          <w:tcPr>
            <w:tcW w:w="885" w:type="dxa"/>
            <w:tcBorders>
              <w:tl2br w:val="nil"/>
              <w:tr2bl w:val="nil"/>
            </w:tcBorders>
            <w:shd w:val="clear" w:color="auto" w:fill="auto"/>
            <w:vAlign w:val="center"/>
          </w:tcPr>
          <w:p w14:paraId="31976D04">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1200</w:t>
            </w:r>
          </w:p>
        </w:tc>
        <w:tc>
          <w:tcPr>
            <w:tcW w:w="1238" w:type="dxa"/>
            <w:tcBorders>
              <w:tl2br w:val="nil"/>
              <w:tr2bl w:val="nil"/>
            </w:tcBorders>
            <w:shd w:val="clear" w:color="auto" w:fill="auto"/>
            <w:vAlign w:val="center"/>
          </w:tcPr>
          <w:p w14:paraId="211E75F3">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8" w:type="dxa"/>
            <w:tcBorders>
              <w:tl2br w:val="nil"/>
              <w:tr2bl w:val="nil"/>
            </w:tcBorders>
            <w:shd w:val="clear" w:color="auto" w:fill="auto"/>
            <w:vAlign w:val="center"/>
          </w:tcPr>
          <w:p w14:paraId="02C39A36">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8" w:type="dxa"/>
            <w:tcBorders>
              <w:tl2br w:val="nil"/>
              <w:tr2bl w:val="nil"/>
            </w:tcBorders>
            <w:shd w:val="clear" w:color="auto" w:fill="auto"/>
            <w:vAlign w:val="center"/>
          </w:tcPr>
          <w:p w14:paraId="6063F8E2">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8" w:type="dxa"/>
            <w:tcBorders>
              <w:tl2br w:val="nil"/>
              <w:tr2bl w:val="nil"/>
            </w:tcBorders>
            <w:shd w:val="clear" w:color="auto" w:fill="auto"/>
            <w:vAlign w:val="center"/>
          </w:tcPr>
          <w:p w14:paraId="11CD637D">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8" w:type="dxa"/>
            <w:tcBorders>
              <w:tl2br w:val="nil"/>
              <w:tr2bl w:val="nil"/>
            </w:tcBorders>
            <w:shd w:val="clear" w:color="auto" w:fill="auto"/>
            <w:vAlign w:val="center"/>
          </w:tcPr>
          <w:p w14:paraId="34B151D7">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8" w:type="dxa"/>
            <w:tcBorders>
              <w:tl2br w:val="nil"/>
              <w:tr2bl w:val="nil"/>
            </w:tcBorders>
            <w:shd w:val="clear" w:color="auto" w:fill="auto"/>
            <w:vAlign w:val="center"/>
          </w:tcPr>
          <w:p w14:paraId="1BA46AD1">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8" w:type="dxa"/>
            <w:tcBorders>
              <w:tl2br w:val="nil"/>
              <w:tr2bl w:val="nil"/>
            </w:tcBorders>
            <w:shd w:val="clear" w:color="auto" w:fill="auto"/>
            <w:vAlign w:val="center"/>
          </w:tcPr>
          <w:p w14:paraId="0FB9F346">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9" w:type="dxa"/>
            <w:tcBorders>
              <w:tl2br w:val="nil"/>
              <w:tr2bl w:val="nil"/>
            </w:tcBorders>
            <w:shd w:val="clear" w:color="auto" w:fill="auto"/>
            <w:vAlign w:val="center"/>
          </w:tcPr>
          <w:p w14:paraId="2ECE873E">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r>
      <w:tr w14:paraId="7FEDADA7">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992" w:type="dxa"/>
            <w:tcBorders>
              <w:tl2br w:val="nil"/>
              <w:tr2bl w:val="nil"/>
            </w:tcBorders>
            <w:shd w:val="clear" w:color="auto" w:fill="auto"/>
            <w:vAlign w:val="center"/>
          </w:tcPr>
          <w:p w14:paraId="6BA5225A">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1,1,2-</w:t>
            </w:r>
            <w:r>
              <w:rPr>
                <w:rFonts w:hint="eastAsia"/>
                <w:color w:val="auto"/>
                <w:sz w:val="21"/>
                <w:szCs w:val="21"/>
                <w:highlight w:val="none"/>
                <w:lang w:bidi="ar"/>
              </w:rPr>
              <w:t>三氯乙烷</w:t>
            </w:r>
          </w:p>
        </w:tc>
        <w:tc>
          <w:tcPr>
            <w:tcW w:w="870" w:type="dxa"/>
            <w:tcBorders>
              <w:tl2br w:val="nil"/>
              <w:tr2bl w:val="nil"/>
            </w:tcBorders>
            <w:shd w:val="clear" w:color="auto" w:fill="auto"/>
            <w:vAlign w:val="center"/>
          </w:tcPr>
          <w:p w14:paraId="70194E2D">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mg/kg</w:t>
            </w:r>
          </w:p>
        </w:tc>
        <w:tc>
          <w:tcPr>
            <w:tcW w:w="885" w:type="dxa"/>
            <w:tcBorders>
              <w:tl2br w:val="nil"/>
              <w:tr2bl w:val="nil"/>
            </w:tcBorders>
            <w:shd w:val="clear" w:color="auto" w:fill="auto"/>
            <w:vAlign w:val="center"/>
          </w:tcPr>
          <w:p w14:paraId="208F8D0D">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2.8</w:t>
            </w:r>
          </w:p>
        </w:tc>
        <w:tc>
          <w:tcPr>
            <w:tcW w:w="1238" w:type="dxa"/>
            <w:tcBorders>
              <w:tl2br w:val="nil"/>
              <w:tr2bl w:val="nil"/>
            </w:tcBorders>
            <w:shd w:val="clear" w:color="auto" w:fill="auto"/>
            <w:vAlign w:val="center"/>
          </w:tcPr>
          <w:p w14:paraId="63A2F440">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8" w:type="dxa"/>
            <w:tcBorders>
              <w:tl2br w:val="nil"/>
              <w:tr2bl w:val="nil"/>
            </w:tcBorders>
            <w:shd w:val="clear" w:color="auto" w:fill="auto"/>
            <w:vAlign w:val="center"/>
          </w:tcPr>
          <w:p w14:paraId="6FF9484E">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8" w:type="dxa"/>
            <w:tcBorders>
              <w:tl2br w:val="nil"/>
              <w:tr2bl w:val="nil"/>
            </w:tcBorders>
            <w:shd w:val="clear" w:color="auto" w:fill="auto"/>
            <w:vAlign w:val="center"/>
          </w:tcPr>
          <w:p w14:paraId="0F076072">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8" w:type="dxa"/>
            <w:tcBorders>
              <w:tl2br w:val="nil"/>
              <w:tr2bl w:val="nil"/>
            </w:tcBorders>
            <w:shd w:val="clear" w:color="auto" w:fill="auto"/>
            <w:vAlign w:val="center"/>
          </w:tcPr>
          <w:p w14:paraId="7F59A669">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8" w:type="dxa"/>
            <w:tcBorders>
              <w:tl2br w:val="nil"/>
              <w:tr2bl w:val="nil"/>
            </w:tcBorders>
            <w:shd w:val="clear" w:color="auto" w:fill="auto"/>
            <w:vAlign w:val="center"/>
          </w:tcPr>
          <w:p w14:paraId="0CF45F6A">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8" w:type="dxa"/>
            <w:tcBorders>
              <w:tl2br w:val="nil"/>
              <w:tr2bl w:val="nil"/>
            </w:tcBorders>
            <w:shd w:val="clear" w:color="auto" w:fill="auto"/>
            <w:vAlign w:val="center"/>
          </w:tcPr>
          <w:p w14:paraId="7F19BA0E">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8" w:type="dxa"/>
            <w:tcBorders>
              <w:tl2br w:val="nil"/>
              <w:tr2bl w:val="nil"/>
            </w:tcBorders>
            <w:shd w:val="clear" w:color="auto" w:fill="auto"/>
            <w:vAlign w:val="center"/>
          </w:tcPr>
          <w:p w14:paraId="390FCEB7">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9" w:type="dxa"/>
            <w:tcBorders>
              <w:tl2br w:val="nil"/>
              <w:tr2bl w:val="nil"/>
            </w:tcBorders>
            <w:shd w:val="clear" w:color="auto" w:fill="auto"/>
            <w:vAlign w:val="center"/>
          </w:tcPr>
          <w:p w14:paraId="11DA08D5">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r>
      <w:tr w14:paraId="12AD10DE">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992" w:type="dxa"/>
            <w:tcBorders>
              <w:tl2br w:val="nil"/>
              <w:tr2bl w:val="nil"/>
            </w:tcBorders>
            <w:shd w:val="clear" w:color="auto" w:fill="auto"/>
            <w:vAlign w:val="center"/>
          </w:tcPr>
          <w:p w14:paraId="3E169C6F">
            <w:pPr>
              <w:ind w:left="-105" w:right="-105"/>
              <w:jc w:val="center"/>
              <w:textAlignment w:val="center"/>
              <w:rPr>
                <w:color w:val="auto"/>
                <w:sz w:val="21"/>
                <w:szCs w:val="21"/>
                <w:highlight w:val="none"/>
              </w:rPr>
            </w:pPr>
            <w:r>
              <w:rPr>
                <w:rFonts w:hint="eastAsia"/>
                <w:color w:val="auto"/>
                <w:sz w:val="21"/>
                <w:szCs w:val="21"/>
                <w:highlight w:val="none"/>
                <w:lang w:bidi="ar"/>
              </w:rPr>
              <w:t>四氯乙烯</w:t>
            </w:r>
          </w:p>
        </w:tc>
        <w:tc>
          <w:tcPr>
            <w:tcW w:w="870" w:type="dxa"/>
            <w:tcBorders>
              <w:tl2br w:val="nil"/>
              <w:tr2bl w:val="nil"/>
            </w:tcBorders>
            <w:shd w:val="clear" w:color="auto" w:fill="auto"/>
            <w:vAlign w:val="center"/>
          </w:tcPr>
          <w:p w14:paraId="107F5BA4">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mg/kg</w:t>
            </w:r>
          </w:p>
        </w:tc>
        <w:tc>
          <w:tcPr>
            <w:tcW w:w="885" w:type="dxa"/>
            <w:tcBorders>
              <w:tl2br w:val="nil"/>
              <w:tr2bl w:val="nil"/>
            </w:tcBorders>
            <w:shd w:val="clear" w:color="auto" w:fill="auto"/>
            <w:vAlign w:val="center"/>
          </w:tcPr>
          <w:p w14:paraId="131D4C25">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53</w:t>
            </w:r>
          </w:p>
        </w:tc>
        <w:tc>
          <w:tcPr>
            <w:tcW w:w="1238" w:type="dxa"/>
            <w:tcBorders>
              <w:tl2br w:val="nil"/>
              <w:tr2bl w:val="nil"/>
            </w:tcBorders>
            <w:shd w:val="clear" w:color="auto" w:fill="auto"/>
            <w:vAlign w:val="center"/>
          </w:tcPr>
          <w:p w14:paraId="7504C24A">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8" w:type="dxa"/>
            <w:tcBorders>
              <w:tl2br w:val="nil"/>
              <w:tr2bl w:val="nil"/>
            </w:tcBorders>
            <w:shd w:val="clear" w:color="auto" w:fill="auto"/>
            <w:vAlign w:val="center"/>
          </w:tcPr>
          <w:p w14:paraId="72B4F72F">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8" w:type="dxa"/>
            <w:tcBorders>
              <w:tl2br w:val="nil"/>
              <w:tr2bl w:val="nil"/>
            </w:tcBorders>
            <w:shd w:val="clear" w:color="auto" w:fill="auto"/>
            <w:vAlign w:val="center"/>
          </w:tcPr>
          <w:p w14:paraId="7E1387D6">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8" w:type="dxa"/>
            <w:tcBorders>
              <w:tl2br w:val="nil"/>
              <w:tr2bl w:val="nil"/>
            </w:tcBorders>
            <w:shd w:val="clear" w:color="auto" w:fill="auto"/>
            <w:vAlign w:val="center"/>
          </w:tcPr>
          <w:p w14:paraId="72887D6F">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8" w:type="dxa"/>
            <w:tcBorders>
              <w:tl2br w:val="nil"/>
              <w:tr2bl w:val="nil"/>
            </w:tcBorders>
            <w:shd w:val="clear" w:color="auto" w:fill="auto"/>
            <w:vAlign w:val="center"/>
          </w:tcPr>
          <w:p w14:paraId="4A98C0A8">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8" w:type="dxa"/>
            <w:tcBorders>
              <w:tl2br w:val="nil"/>
              <w:tr2bl w:val="nil"/>
            </w:tcBorders>
            <w:shd w:val="clear" w:color="auto" w:fill="auto"/>
            <w:vAlign w:val="center"/>
          </w:tcPr>
          <w:p w14:paraId="55509869">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8" w:type="dxa"/>
            <w:tcBorders>
              <w:tl2br w:val="nil"/>
              <w:tr2bl w:val="nil"/>
            </w:tcBorders>
            <w:shd w:val="clear" w:color="auto" w:fill="auto"/>
            <w:vAlign w:val="center"/>
          </w:tcPr>
          <w:p w14:paraId="0F45CCAA">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9" w:type="dxa"/>
            <w:tcBorders>
              <w:tl2br w:val="nil"/>
              <w:tr2bl w:val="nil"/>
            </w:tcBorders>
            <w:shd w:val="clear" w:color="auto" w:fill="auto"/>
            <w:vAlign w:val="center"/>
          </w:tcPr>
          <w:p w14:paraId="07E4DE8D">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r>
      <w:tr w14:paraId="33C1ECD0">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992" w:type="dxa"/>
            <w:tcBorders>
              <w:tl2br w:val="nil"/>
              <w:tr2bl w:val="nil"/>
            </w:tcBorders>
            <w:shd w:val="clear" w:color="auto" w:fill="auto"/>
            <w:vAlign w:val="center"/>
          </w:tcPr>
          <w:p w14:paraId="0267E4B0">
            <w:pPr>
              <w:ind w:left="-105" w:right="-105"/>
              <w:jc w:val="center"/>
              <w:textAlignment w:val="center"/>
              <w:rPr>
                <w:color w:val="auto"/>
                <w:sz w:val="21"/>
                <w:szCs w:val="21"/>
                <w:highlight w:val="none"/>
              </w:rPr>
            </w:pPr>
            <w:r>
              <w:rPr>
                <w:rFonts w:hint="eastAsia"/>
                <w:color w:val="auto"/>
                <w:sz w:val="21"/>
                <w:szCs w:val="21"/>
                <w:highlight w:val="none"/>
                <w:lang w:bidi="ar"/>
              </w:rPr>
              <w:t>氯苯</w:t>
            </w:r>
          </w:p>
        </w:tc>
        <w:tc>
          <w:tcPr>
            <w:tcW w:w="870" w:type="dxa"/>
            <w:tcBorders>
              <w:tl2br w:val="nil"/>
              <w:tr2bl w:val="nil"/>
            </w:tcBorders>
            <w:shd w:val="clear" w:color="auto" w:fill="auto"/>
            <w:vAlign w:val="center"/>
          </w:tcPr>
          <w:p w14:paraId="4D1CF1FE">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mg/kg</w:t>
            </w:r>
          </w:p>
        </w:tc>
        <w:tc>
          <w:tcPr>
            <w:tcW w:w="885" w:type="dxa"/>
            <w:tcBorders>
              <w:tl2br w:val="nil"/>
              <w:tr2bl w:val="nil"/>
            </w:tcBorders>
            <w:shd w:val="clear" w:color="auto" w:fill="auto"/>
            <w:vAlign w:val="center"/>
          </w:tcPr>
          <w:p w14:paraId="7E7669E8">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270</w:t>
            </w:r>
          </w:p>
        </w:tc>
        <w:tc>
          <w:tcPr>
            <w:tcW w:w="1238" w:type="dxa"/>
            <w:tcBorders>
              <w:tl2br w:val="nil"/>
              <w:tr2bl w:val="nil"/>
            </w:tcBorders>
            <w:shd w:val="clear" w:color="auto" w:fill="auto"/>
            <w:vAlign w:val="center"/>
          </w:tcPr>
          <w:p w14:paraId="47C7660E">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8" w:type="dxa"/>
            <w:tcBorders>
              <w:tl2br w:val="nil"/>
              <w:tr2bl w:val="nil"/>
            </w:tcBorders>
            <w:shd w:val="clear" w:color="auto" w:fill="auto"/>
            <w:vAlign w:val="center"/>
          </w:tcPr>
          <w:p w14:paraId="710AFC1B">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8" w:type="dxa"/>
            <w:tcBorders>
              <w:tl2br w:val="nil"/>
              <w:tr2bl w:val="nil"/>
            </w:tcBorders>
            <w:shd w:val="clear" w:color="auto" w:fill="auto"/>
            <w:vAlign w:val="center"/>
          </w:tcPr>
          <w:p w14:paraId="62AA2BB8">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8" w:type="dxa"/>
            <w:tcBorders>
              <w:tl2br w:val="nil"/>
              <w:tr2bl w:val="nil"/>
            </w:tcBorders>
            <w:shd w:val="clear" w:color="auto" w:fill="auto"/>
            <w:vAlign w:val="center"/>
          </w:tcPr>
          <w:p w14:paraId="59BAC6A7">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8" w:type="dxa"/>
            <w:tcBorders>
              <w:tl2br w:val="nil"/>
              <w:tr2bl w:val="nil"/>
            </w:tcBorders>
            <w:shd w:val="clear" w:color="auto" w:fill="auto"/>
            <w:vAlign w:val="center"/>
          </w:tcPr>
          <w:p w14:paraId="3291804D">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8" w:type="dxa"/>
            <w:tcBorders>
              <w:tl2br w:val="nil"/>
              <w:tr2bl w:val="nil"/>
            </w:tcBorders>
            <w:shd w:val="clear" w:color="auto" w:fill="auto"/>
            <w:vAlign w:val="center"/>
          </w:tcPr>
          <w:p w14:paraId="04180C71">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8" w:type="dxa"/>
            <w:tcBorders>
              <w:tl2br w:val="nil"/>
              <w:tr2bl w:val="nil"/>
            </w:tcBorders>
            <w:shd w:val="clear" w:color="auto" w:fill="auto"/>
            <w:vAlign w:val="center"/>
          </w:tcPr>
          <w:p w14:paraId="6480F12A">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9" w:type="dxa"/>
            <w:tcBorders>
              <w:tl2br w:val="nil"/>
              <w:tr2bl w:val="nil"/>
            </w:tcBorders>
            <w:shd w:val="clear" w:color="auto" w:fill="auto"/>
            <w:vAlign w:val="center"/>
          </w:tcPr>
          <w:p w14:paraId="274A834C">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r>
      <w:tr w14:paraId="207C9FDD">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992" w:type="dxa"/>
            <w:tcBorders>
              <w:tl2br w:val="nil"/>
              <w:tr2bl w:val="nil"/>
            </w:tcBorders>
            <w:shd w:val="clear" w:color="auto" w:fill="auto"/>
            <w:vAlign w:val="center"/>
          </w:tcPr>
          <w:p w14:paraId="17CF5F1B">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1,1,1,2-</w:t>
            </w:r>
            <w:r>
              <w:rPr>
                <w:rFonts w:hint="eastAsia"/>
                <w:color w:val="auto"/>
                <w:sz w:val="21"/>
                <w:szCs w:val="21"/>
                <w:highlight w:val="none"/>
                <w:lang w:bidi="ar"/>
              </w:rPr>
              <w:t>四氯乙烷</w:t>
            </w:r>
          </w:p>
        </w:tc>
        <w:tc>
          <w:tcPr>
            <w:tcW w:w="870" w:type="dxa"/>
            <w:tcBorders>
              <w:tl2br w:val="nil"/>
              <w:tr2bl w:val="nil"/>
            </w:tcBorders>
            <w:shd w:val="clear" w:color="auto" w:fill="auto"/>
            <w:vAlign w:val="center"/>
          </w:tcPr>
          <w:p w14:paraId="7BF3AEE3">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mg/kg</w:t>
            </w:r>
          </w:p>
        </w:tc>
        <w:tc>
          <w:tcPr>
            <w:tcW w:w="885" w:type="dxa"/>
            <w:tcBorders>
              <w:tl2br w:val="nil"/>
              <w:tr2bl w:val="nil"/>
            </w:tcBorders>
            <w:shd w:val="clear" w:color="auto" w:fill="auto"/>
            <w:vAlign w:val="center"/>
          </w:tcPr>
          <w:p w14:paraId="7DEA6C52">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10</w:t>
            </w:r>
          </w:p>
        </w:tc>
        <w:tc>
          <w:tcPr>
            <w:tcW w:w="1238" w:type="dxa"/>
            <w:tcBorders>
              <w:tl2br w:val="nil"/>
              <w:tr2bl w:val="nil"/>
            </w:tcBorders>
            <w:shd w:val="clear" w:color="auto" w:fill="auto"/>
            <w:vAlign w:val="center"/>
          </w:tcPr>
          <w:p w14:paraId="1CCBB551">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8" w:type="dxa"/>
            <w:tcBorders>
              <w:tl2br w:val="nil"/>
              <w:tr2bl w:val="nil"/>
            </w:tcBorders>
            <w:shd w:val="clear" w:color="auto" w:fill="auto"/>
            <w:vAlign w:val="center"/>
          </w:tcPr>
          <w:p w14:paraId="7824BEB4">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8" w:type="dxa"/>
            <w:tcBorders>
              <w:tl2br w:val="nil"/>
              <w:tr2bl w:val="nil"/>
            </w:tcBorders>
            <w:shd w:val="clear" w:color="auto" w:fill="auto"/>
            <w:vAlign w:val="center"/>
          </w:tcPr>
          <w:p w14:paraId="57A0BCB1">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8" w:type="dxa"/>
            <w:tcBorders>
              <w:tl2br w:val="nil"/>
              <w:tr2bl w:val="nil"/>
            </w:tcBorders>
            <w:shd w:val="clear" w:color="auto" w:fill="auto"/>
            <w:vAlign w:val="center"/>
          </w:tcPr>
          <w:p w14:paraId="65CFFC40">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8" w:type="dxa"/>
            <w:tcBorders>
              <w:tl2br w:val="nil"/>
              <w:tr2bl w:val="nil"/>
            </w:tcBorders>
            <w:shd w:val="clear" w:color="auto" w:fill="auto"/>
            <w:vAlign w:val="center"/>
          </w:tcPr>
          <w:p w14:paraId="38238B4B">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8" w:type="dxa"/>
            <w:tcBorders>
              <w:tl2br w:val="nil"/>
              <w:tr2bl w:val="nil"/>
            </w:tcBorders>
            <w:shd w:val="clear" w:color="auto" w:fill="auto"/>
            <w:vAlign w:val="center"/>
          </w:tcPr>
          <w:p w14:paraId="65EED54A">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8" w:type="dxa"/>
            <w:tcBorders>
              <w:tl2br w:val="nil"/>
              <w:tr2bl w:val="nil"/>
            </w:tcBorders>
            <w:shd w:val="clear" w:color="auto" w:fill="auto"/>
            <w:vAlign w:val="center"/>
          </w:tcPr>
          <w:p w14:paraId="18CB5E3D">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9" w:type="dxa"/>
            <w:tcBorders>
              <w:tl2br w:val="nil"/>
              <w:tr2bl w:val="nil"/>
            </w:tcBorders>
            <w:shd w:val="clear" w:color="auto" w:fill="auto"/>
            <w:vAlign w:val="center"/>
          </w:tcPr>
          <w:p w14:paraId="4E4FC80B">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r>
      <w:tr w14:paraId="1F2D588B">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992" w:type="dxa"/>
            <w:tcBorders>
              <w:tl2br w:val="nil"/>
              <w:tr2bl w:val="nil"/>
            </w:tcBorders>
            <w:shd w:val="clear" w:color="auto" w:fill="auto"/>
            <w:vAlign w:val="center"/>
          </w:tcPr>
          <w:p w14:paraId="3CFFA27E">
            <w:pPr>
              <w:ind w:left="-105" w:right="-105"/>
              <w:jc w:val="center"/>
              <w:textAlignment w:val="center"/>
              <w:rPr>
                <w:color w:val="auto"/>
                <w:sz w:val="21"/>
                <w:szCs w:val="21"/>
                <w:highlight w:val="none"/>
              </w:rPr>
            </w:pPr>
            <w:r>
              <w:rPr>
                <w:rFonts w:hint="eastAsia"/>
                <w:color w:val="auto"/>
                <w:sz w:val="21"/>
                <w:szCs w:val="21"/>
                <w:highlight w:val="none"/>
                <w:lang w:bidi="ar"/>
              </w:rPr>
              <w:t>乙苯</w:t>
            </w:r>
          </w:p>
        </w:tc>
        <w:tc>
          <w:tcPr>
            <w:tcW w:w="870" w:type="dxa"/>
            <w:tcBorders>
              <w:tl2br w:val="nil"/>
              <w:tr2bl w:val="nil"/>
            </w:tcBorders>
            <w:shd w:val="clear" w:color="auto" w:fill="auto"/>
            <w:vAlign w:val="center"/>
          </w:tcPr>
          <w:p w14:paraId="44E7287A">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mg/kg</w:t>
            </w:r>
          </w:p>
        </w:tc>
        <w:tc>
          <w:tcPr>
            <w:tcW w:w="885" w:type="dxa"/>
            <w:tcBorders>
              <w:tl2br w:val="nil"/>
              <w:tr2bl w:val="nil"/>
            </w:tcBorders>
            <w:shd w:val="clear" w:color="auto" w:fill="auto"/>
            <w:vAlign w:val="center"/>
          </w:tcPr>
          <w:p w14:paraId="5973A037">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28</w:t>
            </w:r>
          </w:p>
        </w:tc>
        <w:tc>
          <w:tcPr>
            <w:tcW w:w="1238" w:type="dxa"/>
            <w:tcBorders>
              <w:tl2br w:val="nil"/>
              <w:tr2bl w:val="nil"/>
            </w:tcBorders>
            <w:shd w:val="clear" w:color="auto" w:fill="auto"/>
            <w:vAlign w:val="center"/>
          </w:tcPr>
          <w:p w14:paraId="685C98D9">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8" w:type="dxa"/>
            <w:tcBorders>
              <w:tl2br w:val="nil"/>
              <w:tr2bl w:val="nil"/>
            </w:tcBorders>
            <w:shd w:val="clear" w:color="auto" w:fill="auto"/>
            <w:vAlign w:val="center"/>
          </w:tcPr>
          <w:p w14:paraId="2DD60948">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8" w:type="dxa"/>
            <w:tcBorders>
              <w:tl2br w:val="nil"/>
              <w:tr2bl w:val="nil"/>
            </w:tcBorders>
            <w:shd w:val="clear" w:color="auto" w:fill="auto"/>
            <w:vAlign w:val="center"/>
          </w:tcPr>
          <w:p w14:paraId="155C8AD4">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8" w:type="dxa"/>
            <w:tcBorders>
              <w:tl2br w:val="nil"/>
              <w:tr2bl w:val="nil"/>
            </w:tcBorders>
            <w:shd w:val="clear" w:color="auto" w:fill="auto"/>
            <w:vAlign w:val="center"/>
          </w:tcPr>
          <w:p w14:paraId="5E7599F0">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8" w:type="dxa"/>
            <w:tcBorders>
              <w:tl2br w:val="nil"/>
              <w:tr2bl w:val="nil"/>
            </w:tcBorders>
            <w:shd w:val="clear" w:color="auto" w:fill="auto"/>
            <w:vAlign w:val="center"/>
          </w:tcPr>
          <w:p w14:paraId="4164E61F">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8" w:type="dxa"/>
            <w:tcBorders>
              <w:tl2br w:val="nil"/>
              <w:tr2bl w:val="nil"/>
            </w:tcBorders>
            <w:shd w:val="clear" w:color="auto" w:fill="auto"/>
            <w:vAlign w:val="center"/>
          </w:tcPr>
          <w:p w14:paraId="61955B3B">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8" w:type="dxa"/>
            <w:tcBorders>
              <w:tl2br w:val="nil"/>
              <w:tr2bl w:val="nil"/>
            </w:tcBorders>
            <w:shd w:val="clear" w:color="auto" w:fill="auto"/>
            <w:vAlign w:val="center"/>
          </w:tcPr>
          <w:p w14:paraId="1199CAB3">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9" w:type="dxa"/>
            <w:tcBorders>
              <w:tl2br w:val="nil"/>
              <w:tr2bl w:val="nil"/>
            </w:tcBorders>
            <w:shd w:val="clear" w:color="auto" w:fill="auto"/>
            <w:vAlign w:val="center"/>
          </w:tcPr>
          <w:p w14:paraId="3F9DBC23">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r>
      <w:tr w14:paraId="1FFD6CA3">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992" w:type="dxa"/>
            <w:tcBorders>
              <w:tl2br w:val="nil"/>
              <w:tr2bl w:val="nil"/>
            </w:tcBorders>
            <w:shd w:val="clear" w:color="auto" w:fill="auto"/>
            <w:vAlign w:val="center"/>
          </w:tcPr>
          <w:p w14:paraId="4F6AE0CD">
            <w:pPr>
              <w:ind w:left="-105" w:right="-105"/>
              <w:jc w:val="center"/>
              <w:textAlignment w:val="center"/>
              <w:rPr>
                <w:color w:val="auto"/>
                <w:sz w:val="21"/>
                <w:szCs w:val="21"/>
                <w:highlight w:val="none"/>
              </w:rPr>
            </w:pPr>
            <w:r>
              <w:rPr>
                <w:rFonts w:hint="eastAsia"/>
                <w:color w:val="auto"/>
                <w:sz w:val="21"/>
                <w:szCs w:val="21"/>
                <w:highlight w:val="none"/>
                <w:lang w:bidi="ar"/>
              </w:rPr>
              <w:t>间</w:t>
            </w:r>
            <w:r>
              <w:rPr>
                <w:rFonts w:ascii="Times New Roman" w:hAnsi="Times New Roman" w:cs="Times New Roman"/>
                <w:color w:val="auto"/>
                <w:sz w:val="21"/>
                <w:szCs w:val="21"/>
                <w:highlight w:val="none"/>
                <w:lang w:bidi="ar"/>
              </w:rPr>
              <w:t>/</w:t>
            </w:r>
            <w:r>
              <w:rPr>
                <w:rFonts w:hint="eastAsia"/>
                <w:color w:val="auto"/>
                <w:sz w:val="21"/>
                <w:szCs w:val="21"/>
                <w:highlight w:val="none"/>
                <w:lang w:bidi="ar"/>
              </w:rPr>
              <w:t>对</w:t>
            </w:r>
            <w:r>
              <w:rPr>
                <w:rFonts w:ascii="Times New Roman" w:hAnsi="Times New Roman" w:cs="Times New Roman"/>
                <w:color w:val="auto"/>
                <w:sz w:val="21"/>
                <w:szCs w:val="21"/>
                <w:highlight w:val="none"/>
                <w:lang w:bidi="ar"/>
              </w:rPr>
              <w:t>-</w:t>
            </w:r>
            <w:r>
              <w:rPr>
                <w:rFonts w:hint="eastAsia"/>
                <w:color w:val="auto"/>
                <w:sz w:val="21"/>
                <w:szCs w:val="21"/>
                <w:highlight w:val="none"/>
                <w:lang w:bidi="ar"/>
              </w:rPr>
              <w:t>二甲苯</w:t>
            </w:r>
          </w:p>
        </w:tc>
        <w:tc>
          <w:tcPr>
            <w:tcW w:w="870" w:type="dxa"/>
            <w:tcBorders>
              <w:tl2br w:val="nil"/>
              <w:tr2bl w:val="nil"/>
            </w:tcBorders>
            <w:shd w:val="clear" w:color="auto" w:fill="auto"/>
            <w:vAlign w:val="center"/>
          </w:tcPr>
          <w:p w14:paraId="58789EDA">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mg/kg</w:t>
            </w:r>
          </w:p>
        </w:tc>
        <w:tc>
          <w:tcPr>
            <w:tcW w:w="885" w:type="dxa"/>
            <w:tcBorders>
              <w:tl2br w:val="nil"/>
              <w:tr2bl w:val="nil"/>
            </w:tcBorders>
            <w:shd w:val="clear" w:color="auto" w:fill="auto"/>
            <w:vAlign w:val="center"/>
          </w:tcPr>
          <w:p w14:paraId="4CE1088D">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570</w:t>
            </w:r>
          </w:p>
        </w:tc>
        <w:tc>
          <w:tcPr>
            <w:tcW w:w="1238" w:type="dxa"/>
            <w:tcBorders>
              <w:tl2br w:val="nil"/>
              <w:tr2bl w:val="nil"/>
            </w:tcBorders>
            <w:shd w:val="clear" w:color="auto" w:fill="auto"/>
            <w:vAlign w:val="center"/>
          </w:tcPr>
          <w:p w14:paraId="575E56FC">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8" w:type="dxa"/>
            <w:tcBorders>
              <w:tl2br w:val="nil"/>
              <w:tr2bl w:val="nil"/>
            </w:tcBorders>
            <w:shd w:val="clear" w:color="auto" w:fill="auto"/>
            <w:vAlign w:val="center"/>
          </w:tcPr>
          <w:p w14:paraId="404F64FC">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8" w:type="dxa"/>
            <w:tcBorders>
              <w:tl2br w:val="nil"/>
              <w:tr2bl w:val="nil"/>
            </w:tcBorders>
            <w:shd w:val="clear" w:color="auto" w:fill="auto"/>
            <w:vAlign w:val="center"/>
          </w:tcPr>
          <w:p w14:paraId="20B004C6">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2.5</w:t>
            </w:r>
          </w:p>
        </w:tc>
        <w:tc>
          <w:tcPr>
            <w:tcW w:w="1238" w:type="dxa"/>
            <w:tcBorders>
              <w:tl2br w:val="nil"/>
              <w:tr2bl w:val="nil"/>
            </w:tcBorders>
            <w:shd w:val="clear" w:color="auto" w:fill="auto"/>
            <w:vAlign w:val="center"/>
          </w:tcPr>
          <w:p w14:paraId="14C740ED">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 xml:space="preserve">0.0044 </w:t>
            </w:r>
          </w:p>
        </w:tc>
        <w:tc>
          <w:tcPr>
            <w:tcW w:w="1238" w:type="dxa"/>
            <w:tcBorders>
              <w:tl2br w:val="nil"/>
              <w:tr2bl w:val="nil"/>
            </w:tcBorders>
            <w:shd w:val="clear" w:color="auto" w:fill="auto"/>
            <w:vAlign w:val="center"/>
          </w:tcPr>
          <w:p w14:paraId="7494CE50">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8" w:type="dxa"/>
            <w:tcBorders>
              <w:tl2br w:val="nil"/>
              <w:tr2bl w:val="nil"/>
            </w:tcBorders>
            <w:shd w:val="clear" w:color="auto" w:fill="auto"/>
            <w:vAlign w:val="center"/>
          </w:tcPr>
          <w:p w14:paraId="0E0494BB">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8" w:type="dxa"/>
            <w:tcBorders>
              <w:tl2br w:val="nil"/>
              <w:tr2bl w:val="nil"/>
            </w:tcBorders>
            <w:shd w:val="clear" w:color="auto" w:fill="auto"/>
            <w:vAlign w:val="center"/>
          </w:tcPr>
          <w:p w14:paraId="47B45DB5">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9" w:type="dxa"/>
            <w:tcBorders>
              <w:tl2br w:val="nil"/>
              <w:tr2bl w:val="nil"/>
            </w:tcBorders>
            <w:shd w:val="clear" w:color="auto" w:fill="auto"/>
            <w:vAlign w:val="center"/>
          </w:tcPr>
          <w:p w14:paraId="53A09EFC">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r>
      <w:tr w14:paraId="45354AF6">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992" w:type="dxa"/>
            <w:tcBorders>
              <w:tl2br w:val="nil"/>
              <w:tr2bl w:val="nil"/>
            </w:tcBorders>
            <w:shd w:val="clear" w:color="auto" w:fill="auto"/>
            <w:vAlign w:val="center"/>
          </w:tcPr>
          <w:p w14:paraId="3C972D73">
            <w:pPr>
              <w:ind w:left="-105" w:right="-105"/>
              <w:jc w:val="center"/>
              <w:textAlignment w:val="center"/>
              <w:rPr>
                <w:color w:val="auto"/>
                <w:sz w:val="21"/>
                <w:szCs w:val="21"/>
                <w:highlight w:val="none"/>
              </w:rPr>
            </w:pPr>
            <w:r>
              <w:rPr>
                <w:rFonts w:hint="eastAsia"/>
                <w:color w:val="auto"/>
                <w:sz w:val="21"/>
                <w:szCs w:val="21"/>
                <w:highlight w:val="none"/>
                <w:lang w:bidi="ar"/>
              </w:rPr>
              <w:t>邻</w:t>
            </w:r>
            <w:r>
              <w:rPr>
                <w:rFonts w:ascii="Times New Roman" w:hAnsi="Times New Roman" w:cs="Times New Roman"/>
                <w:color w:val="auto"/>
                <w:sz w:val="21"/>
                <w:szCs w:val="21"/>
                <w:highlight w:val="none"/>
                <w:lang w:bidi="ar"/>
              </w:rPr>
              <w:t>-</w:t>
            </w:r>
            <w:r>
              <w:rPr>
                <w:rFonts w:hint="eastAsia"/>
                <w:color w:val="auto"/>
                <w:sz w:val="21"/>
                <w:szCs w:val="21"/>
                <w:highlight w:val="none"/>
                <w:lang w:bidi="ar"/>
              </w:rPr>
              <w:t>二甲苯</w:t>
            </w:r>
          </w:p>
        </w:tc>
        <w:tc>
          <w:tcPr>
            <w:tcW w:w="870" w:type="dxa"/>
            <w:tcBorders>
              <w:tl2br w:val="nil"/>
              <w:tr2bl w:val="nil"/>
            </w:tcBorders>
            <w:shd w:val="clear" w:color="auto" w:fill="auto"/>
            <w:vAlign w:val="center"/>
          </w:tcPr>
          <w:p w14:paraId="70523986">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mg/kg</w:t>
            </w:r>
          </w:p>
        </w:tc>
        <w:tc>
          <w:tcPr>
            <w:tcW w:w="885" w:type="dxa"/>
            <w:tcBorders>
              <w:tl2br w:val="nil"/>
              <w:tr2bl w:val="nil"/>
            </w:tcBorders>
            <w:shd w:val="clear" w:color="auto" w:fill="auto"/>
            <w:vAlign w:val="center"/>
          </w:tcPr>
          <w:p w14:paraId="2AC5CB83">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640</w:t>
            </w:r>
          </w:p>
        </w:tc>
        <w:tc>
          <w:tcPr>
            <w:tcW w:w="1238" w:type="dxa"/>
            <w:tcBorders>
              <w:tl2br w:val="nil"/>
              <w:tr2bl w:val="nil"/>
            </w:tcBorders>
            <w:shd w:val="clear" w:color="auto" w:fill="auto"/>
            <w:vAlign w:val="center"/>
          </w:tcPr>
          <w:p w14:paraId="20A2E530">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8" w:type="dxa"/>
            <w:tcBorders>
              <w:tl2br w:val="nil"/>
              <w:tr2bl w:val="nil"/>
            </w:tcBorders>
            <w:shd w:val="clear" w:color="auto" w:fill="auto"/>
            <w:vAlign w:val="center"/>
          </w:tcPr>
          <w:p w14:paraId="2AD33B8D">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8" w:type="dxa"/>
            <w:tcBorders>
              <w:tl2br w:val="nil"/>
              <w:tr2bl w:val="nil"/>
            </w:tcBorders>
            <w:shd w:val="clear" w:color="auto" w:fill="auto"/>
            <w:vAlign w:val="center"/>
          </w:tcPr>
          <w:p w14:paraId="60CAA1F5">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1.3</w:t>
            </w:r>
          </w:p>
        </w:tc>
        <w:tc>
          <w:tcPr>
            <w:tcW w:w="1238" w:type="dxa"/>
            <w:tcBorders>
              <w:tl2br w:val="nil"/>
              <w:tr2bl w:val="nil"/>
            </w:tcBorders>
            <w:shd w:val="clear" w:color="auto" w:fill="auto"/>
            <w:vAlign w:val="center"/>
          </w:tcPr>
          <w:p w14:paraId="3CFA2088">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 xml:space="preserve">0.0020 </w:t>
            </w:r>
          </w:p>
        </w:tc>
        <w:tc>
          <w:tcPr>
            <w:tcW w:w="1238" w:type="dxa"/>
            <w:tcBorders>
              <w:tl2br w:val="nil"/>
              <w:tr2bl w:val="nil"/>
            </w:tcBorders>
            <w:shd w:val="clear" w:color="auto" w:fill="auto"/>
            <w:vAlign w:val="center"/>
          </w:tcPr>
          <w:p w14:paraId="31165736">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8" w:type="dxa"/>
            <w:tcBorders>
              <w:tl2br w:val="nil"/>
              <w:tr2bl w:val="nil"/>
            </w:tcBorders>
            <w:shd w:val="clear" w:color="auto" w:fill="auto"/>
            <w:vAlign w:val="center"/>
          </w:tcPr>
          <w:p w14:paraId="7BE67414">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8" w:type="dxa"/>
            <w:tcBorders>
              <w:tl2br w:val="nil"/>
              <w:tr2bl w:val="nil"/>
            </w:tcBorders>
            <w:shd w:val="clear" w:color="auto" w:fill="auto"/>
            <w:vAlign w:val="center"/>
          </w:tcPr>
          <w:p w14:paraId="77D478F9">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9" w:type="dxa"/>
            <w:tcBorders>
              <w:tl2br w:val="nil"/>
              <w:tr2bl w:val="nil"/>
            </w:tcBorders>
            <w:shd w:val="clear" w:color="auto" w:fill="auto"/>
            <w:vAlign w:val="center"/>
          </w:tcPr>
          <w:p w14:paraId="2FED2EFC">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r>
      <w:tr w14:paraId="7FD41922">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992" w:type="dxa"/>
            <w:tcBorders>
              <w:tl2br w:val="nil"/>
              <w:tr2bl w:val="nil"/>
            </w:tcBorders>
            <w:shd w:val="clear" w:color="auto" w:fill="auto"/>
            <w:vAlign w:val="center"/>
          </w:tcPr>
          <w:p w14:paraId="59F35698">
            <w:pPr>
              <w:ind w:left="-105" w:right="-105"/>
              <w:jc w:val="center"/>
              <w:textAlignment w:val="center"/>
              <w:rPr>
                <w:color w:val="auto"/>
                <w:sz w:val="21"/>
                <w:szCs w:val="21"/>
                <w:highlight w:val="none"/>
              </w:rPr>
            </w:pPr>
            <w:r>
              <w:rPr>
                <w:rFonts w:hint="eastAsia"/>
                <w:color w:val="auto"/>
                <w:sz w:val="21"/>
                <w:szCs w:val="21"/>
                <w:highlight w:val="none"/>
                <w:lang w:bidi="ar"/>
              </w:rPr>
              <w:t>苯乙烯</w:t>
            </w:r>
          </w:p>
        </w:tc>
        <w:tc>
          <w:tcPr>
            <w:tcW w:w="870" w:type="dxa"/>
            <w:tcBorders>
              <w:tl2br w:val="nil"/>
              <w:tr2bl w:val="nil"/>
            </w:tcBorders>
            <w:shd w:val="clear" w:color="auto" w:fill="auto"/>
            <w:vAlign w:val="center"/>
          </w:tcPr>
          <w:p w14:paraId="0D4B4461">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mg/kg</w:t>
            </w:r>
          </w:p>
        </w:tc>
        <w:tc>
          <w:tcPr>
            <w:tcW w:w="885" w:type="dxa"/>
            <w:tcBorders>
              <w:tl2br w:val="nil"/>
              <w:tr2bl w:val="nil"/>
            </w:tcBorders>
            <w:shd w:val="clear" w:color="auto" w:fill="auto"/>
            <w:vAlign w:val="center"/>
          </w:tcPr>
          <w:p w14:paraId="100AD28A">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1290</w:t>
            </w:r>
          </w:p>
        </w:tc>
        <w:tc>
          <w:tcPr>
            <w:tcW w:w="1238" w:type="dxa"/>
            <w:tcBorders>
              <w:tl2br w:val="nil"/>
              <w:tr2bl w:val="nil"/>
            </w:tcBorders>
            <w:shd w:val="clear" w:color="auto" w:fill="auto"/>
            <w:vAlign w:val="center"/>
          </w:tcPr>
          <w:p w14:paraId="0FA70FB4">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8" w:type="dxa"/>
            <w:tcBorders>
              <w:tl2br w:val="nil"/>
              <w:tr2bl w:val="nil"/>
            </w:tcBorders>
            <w:shd w:val="clear" w:color="auto" w:fill="auto"/>
            <w:vAlign w:val="center"/>
          </w:tcPr>
          <w:p w14:paraId="79519147">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8" w:type="dxa"/>
            <w:tcBorders>
              <w:tl2br w:val="nil"/>
              <w:tr2bl w:val="nil"/>
            </w:tcBorders>
            <w:shd w:val="clear" w:color="auto" w:fill="auto"/>
            <w:vAlign w:val="center"/>
          </w:tcPr>
          <w:p w14:paraId="005AA62A">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8" w:type="dxa"/>
            <w:tcBorders>
              <w:tl2br w:val="nil"/>
              <w:tr2bl w:val="nil"/>
            </w:tcBorders>
            <w:shd w:val="clear" w:color="auto" w:fill="auto"/>
            <w:vAlign w:val="center"/>
          </w:tcPr>
          <w:p w14:paraId="3296C619">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8" w:type="dxa"/>
            <w:tcBorders>
              <w:tl2br w:val="nil"/>
              <w:tr2bl w:val="nil"/>
            </w:tcBorders>
            <w:shd w:val="clear" w:color="auto" w:fill="auto"/>
            <w:vAlign w:val="center"/>
          </w:tcPr>
          <w:p w14:paraId="2B4050ED">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8" w:type="dxa"/>
            <w:tcBorders>
              <w:tl2br w:val="nil"/>
              <w:tr2bl w:val="nil"/>
            </w:tcBorders>
            <w:shd w:val="clear" w:color="auto" w:fill="auto"/>
            <w:vAlign w:val="center"/>
          </w:tcPr>
          <w:p w14:paraId="2BBA7EB1">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8" w:type="dxa"/>
            <w:tcBorders>
              <w:tl2br w:val="nil"/>
              <w:tr2bl w:val="nil"/>
            </w:tcBorders>
            <w:shd w:val="clear" w:color="auto" w:fill="auto"/>
            <w:vAlign w:val="center"/>
          </w:tcPr>
          <w:p w14:paraId="3F1D7D3F">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9" w:type="dxa"/>
            <w:tcBorders>
              <w:tl2br w:val="nil"/>
              <w:tr2bl w:val="nil"/>
            </w:tcBorders>
            <w:shd w:val="clear" w:color="auto" w:fill="auto"/>
            <w:vAlign w:val="center"/>
          </w:tcPr>
          <w:p w14:paraId="0BA4B33B">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r>
      <w:tr w14:paraId="161FC798">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992" w:type="dxa"/>
            <w:tcBorders>
              <w:tl2br w:val="nil"/>
              <w:tr2bl w:val="nil"/>
            </w:tcBorders>
            <w:shd w:val="clear" w:color="auto" w:fill="auto"/>
            <w:vAlign w:val="center"/>
          </w:tcPr>
          <w:p w14:paraId="7BC42B7B">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1,1,2,2-</w:t>
            </w:r>
            <w:r>
              <w:rPr>
                <w:rFonts w:hint="eastAsia"/>
                <w:color w:val="auto"/>
                <w:sz w:val="21"/>
                <w:szCs w:val="21"/>
                <w:highlight w:val="none"/>
                <w:lang w:bidi="ar"/>
              </w:rPr>
              <w:t>四氯乙烷</w:t>
            </w:r>
          </w:p>
        </w:tc>
        <w:tc>
          <w:tcPr>
            <w:tcW w:w="870" w:type="dxa"/>
            <w:tcBorders>
              <w:tl2br w:val="nil"/>
              <w:tr2bl w:val="nil"/>
            </w:tcBorders>
            <w:shd w:val="clear" w:color="auto" w:fill="auto"/>
            <w:vAlign w:val="center"/>
          </w:tcPr>
          <w:p w14:paraId="45ACF9C7">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mg/kg</w:t>
            </w:r>
          </w:p>
        </w:tc>
        <w:tc>
          <w:tcPr>
            <w:tcW w:w="885" w:type="dxa"/>
            <w:tcBorders>
              <w:tl2br w:val="nil"/>
              <w:tr2bl w:val="nil"/>
            </w:tcBorders>
            <w:shd w:val="clear" w:color="auto" w:fill="auto"/>
            <w:vAlign w:val="center"/>
          </w:tcPr>
          <w:p w14:paraId="45F2096A">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6.8</w:t>
            </w:r>
          </w:p>
        </w:tc>
        <w:tc>
          <w:tcPr>
            <w:tcW w:w="1238" w:type="dxa"/>
            <w:tcBorders>
              <w:tl2br w:val="nil"/>
              <w:tr2bl w:val="nil"/>
            </w:tcBorders>
            <w:shd w:val="clear" w:color="auto" w:fill="auto"/>
            <w:vAlign w:val="center"/>
          </w:tcPr>
          <w:p w14:paraId="263162E0">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8" w:type="dxa"/>
            <w:tcBorders>
              <w:tl2br w:val="nil"/>
              <w:tr2bl w:val="nil"/>
            </w:tcBorders>
            <w:shd w:val="clear" w:color="auto" w:fill="auto"/>
            <w:vAlign w:val="center"/>
          </w:tcPr>
          <w:p w14:paraId="07B92F95">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8" w:type="dxa"/>
            <w:tcBorders>
              <w:tl2br w:val="nil"/>
              <w:tr2bl w:val="nil"/>
            </w:tcBorders>
            <w:shd w:val="clear" w:color="auto" w:fill="auto"/>
            <w:vAlign w:val="center"/>
          </w:tcPr>
          <w:p w14:paraId="136BC9C7">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8" w:type="dxa"/>
            <w:tcBorders>
              <w:tl2br w:val="nil"/>
              <w:tr2bl w:val="nil"/>
            </w:tcBorders>
            <w:shd w:val="clear" w:color="auto" w:fill="auto"/>
            <w:vAlign w:val="center"/>
          </w:tcPr>
          <w:p w14:paraId="74B10D6E">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8" w:type="dxa"/>
            <w:tcBorders>
              <w:tl2br w:val="nil"/>
              <w:tr2bl w:val="nil"/>
            </w:tcBorders>
            <w:shd w:val="clear" w:color="auto" w:fill="auto"/>
            <w:vAlign w:val="center"/>
          </w:tcPr>
          <w:p w14:paraId="5F75B4FF">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8" w:type="dxa"/>
            <w:tcBorders>
              <w:tl2br w:val="nil"/>
              <w:tr2bl w:val="nil"/>
            </w:tcBorders>
            <w:shd w:val="clear" w:color="auto" w:fill="auto"/>
            <w:vAlign w:val="center"/>
          </w:tcPr>
          <w:p w14:paraId="30B50DC2">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8" w:type="dxa"/>
            <w:tcBorders>
              <w:tl2br w:val="nil"/>
              <w:tr2bl w:val="nil"/>
            </w:tcBorders>
            <w:shd w:val="clear" w:color="auto" w:fill="auto"/>
            <w:vAlign w:val="center"/>
          </w:tcPr>
          <w:p w14:paraId="59E3A2E4">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9" w:type="dxa"/>
            <w:tcBorders>
              <w:tl2br w:val="nil"/>
              <w:tr2bl w:val="nil"/>
            </w:tcBorders>
            <w:shd w:val="clear" w:color="auto" w:fill="auto"/>
            <w:vAlign w:val="center"/>
          </w:tcPr>
          <w:p w14:paraId="21CA99E8">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r>
      <w:tr w14:paraId="279D7A24">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992" w:type="dxa"/>
            <w:tcBorders>
              <w:tl2br w:val="nil"/>
              <w:tr2bl w:val="nil"/>
            </w:tcBorders>
            <w:shd w:val="clear" w:color="auto" w:fill="auto"/>
            <w:vAlign w:val="center"/>
          </w:tcPr>
          <w:p w14:paraId="1B2C3E38">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1,2,3-</w:t>
            </w:r>
            <w:r>
              <w:rPr>
                <w:rFonts w:hint="eastAsia"/>
                <w:color w:val="auto"/>
                <w:sz w:val="21"/>
                <w:szCs w:val="21"/>
                <w:highlight w:val="none"/>
                <w:lang w:bidi="ar"/>
              </w:rPr>
              <w:t>三氯丙烷</w:t>
            </w:r>
          </w:p>
        </w:tc>
        <w:tc>
          <w:tcPr>
            <w:tcW w:w="870" w:type="dxa"/>
            <w:tcBorders>
              <w:tl2br w:val="nil"/>
              <w:tr2bl w:val="nil"/>
            </w:tcBorders>
            <w:shd w:val="clear" w:color="auto" w:fill="auto"/>
            <w:vAlign w:val="center"/>
          </w:tcPr>
          <w:p w14:paraId="21640BA1">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mg/kg</w:t>
            </w:r>
          </w:p>
        </w:tc>
        <w:tc>
          <w:tcPr>
            <w:tcW w:w="885" w:type="dxa"/>
            <w:tcBorders>
              <w:tl2br w:val="nil"/>
              <w:tr2bl w:val="nil"/>
            </w:tcBorders>
            <w:shd w:val="clear" w:color="auto" w:fill="auto"/>
            <w:vAlign w:val="center"/>
          </w:tcPr>
          <w:p w14:paraId="7D26B0EE">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0.5</w:t>
            </w:r>
          </w:p>
        </w:tc>
        <w:tc>
          <w:tcPr>
            <w:tcW w:w="1238" w:type="dxa"/>
            <w:tcBorders>
              <w:tl2br w:val="nil"/>
              <w:tr2bl w:val="nil"/>
            </w:tcBorders>
            <w:shd w:val="clear" w:color="auto" w:fill="auto"/>
            <w:vAlign w:val="center"/>
          </w:tcPr>
          <w:p w14:paraId="2CB75587">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8" w:type="dxa"/>
            <w:tcBorders>
              <w:tl2br w:val="nil"/>
              <w:tr2bl w:val="nil"/>
            </w:tcBorders>
            <w:shd w:val="clear" w:color="auto" w:fill="auto"/>
            <w:vAlign w:val="center"/>
          </w:tcPr>
          <w:p w14:paraId="3D77E9A8">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8" w:type="dxa"/>
            <w:tcBorders>
              <w:tl2br w:val="nil"/>
              <w:tr2bl w:val="nil"/>
            </w:tcBorders>
            <w:shd w:val="clear" w:color="auto" w:fill="auto"/>
            <w:vAlign w:val="center"/>
          </w:tcPr>
          <w:p w14:paraId="39304C80">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8" w:type="dxa"/>
            <w:tcBorders>
              <w:tl2br w:val="nil"/>
              <w:tr2bl w:val="nil"/>
            </w:tcBorders>
            <w:shd w:val="clear" w:color="auto" w:fill="auto"/>
            <w:vAlign w:val="center"/>
          </w:tcPr>
          <w:p w14:paraId="037CC797">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8" w:type="dxa"/>
            <w:tcBorders>
              <w:tl2br w:val="nil"/>
              <w:tr2bl w:val="nil"/>
            </w:tcBorders>
            <w:shd w:val="clear" w:color="auto" w:fill="auto"/>
            <w:vAlign w:val="center"/>
          </w:tcPr>
          <w:p w14:paraId="1854EA5E">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8" w:type="dxa"/>
            <w:tcBorders>
              <w:tl2br w:val="nil"/>
              <w:tr2bl w:val="nil"/>
            </w:tcBorders>
            <w:shd w:val="clear" w:color="auto" w:fill="auto"/>
            <w:vAlign w:val="center"/>
          </w:tcPr>
          <w:p w14:paraId="54B4B77A">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8" w:type="dxa"/>
            <w:tcBorders>
              <w:tl2br w:val="nil"/>
              <w:tr2bl w:val="nil"/>
            </w:tcBorders>
            <w:shd w:val="clear" w:color="auto" w:fill="auto"/>
            <w:vAlign w:val="center"/>
          </w:tcPr>
          <w:p w14:paraId="3FD749E5">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9" w:type="dxa"/>
            <w:tcBorders>
              <w:tl2br w:val="nil"/>
              <w:tr2bl w:val="nil"/>
            </w:tcBorders>
            <w:shd w:val="clear" w:color="auto" w:fill="auto"/>
            <w:vAlign w:val="center"/>
          </w:tcPr>
          <w:p w14:paraId="47E6FCEC">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r>
      <w:tr w14:paraId="3CFAC430">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992" w:type="dxa"/>
            <w:tcBorders>
              <w:tl2br w:val="nil"/>
              <w:tr2bl w:val="nil"/>
            </w:tcBorders>
            <w:shd w:val="clear" w:color="auto" w:fill="auto"/>
            <w:vAlign w:val="center"/>
          </w:tcPr>
          <w:p w14:paraId="2468AC78">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1,4-</w:t>
            </w:r>
            <w:r>
              <w:rPr>
                <w:rFonts w:hint="eastAsia"/>
                <w:color w:val="auto"/>
                <w:sz w:val="21"/>
                <w:szCs w:val="21"/>
                <w:highlight w:val="none"/>
                <w:lang w:bidi="ar"/>
              </w:rPr>
              <w:t>二氯苯</w:t>
            </w:r>
          </w:p>
        </w:tc>
        <w:tc>
          <w:tcPr>
            <w:tcW w:w="870" w:type="dxa"/>
            <w:tcBorders>
              <w:tl2br w:val="nil"/>
              <w:tr2bl w:val="nil"/>
            </w:tcBorders>
            <w:shd w:val="clear" w:color="auto" w:fill="auto"/>
            <w:vAlign w:val="center"/>
          </w:tcPr>
          <w:p w14:paraId="40F2F396">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mg/kg</w:t>
            </w:r>
          </w:p>
        </w:tc>
        <w:tc>
          <w:tcPr>
            <w:tcW w:w="885" w:type="dxa"/>
            <w:tcBorders>
              <w:tl2br w:val="nil"/>
              <w:tr2bl w:val="nil"/>
            </w:tcBorders>
            <w:shd w:val="clear" w:color="auto" w:fill="auto"/>
            <w:vAlign w:val="center"/>
          </w:tcPr>
          <w:p w14:paraId="4F732BB0">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20</w:t>
            </w:r>
          </w:p>
        </w:tc>
        <w:tc>
          <w:tcPr>
            <w:tcW w:w="1238" w:type="dxa"/>
            <w:tcBorders>
              <w:tl2br w:val="nil"/>
              <w:tr2bl w:val="nil"/>
            </w:tcBorders>
            <w:shd w:val="clear" w:color="auto" w:fill="auto"/>
            <w:vAlign w:val="center"/>
          </w:tcPr>
          <w:p w14:paraId="2BE370C3">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8" w:type="dxa"/>
            <w:tcBorders>
              <w:tl2br w:val="nil"/>
              <w:tr2bl w:val="nil"/>
            </w:tcBorders>
            <w:shd w:val="clear" w:color="auto" w:fill="auto"/>
            <w:vAlign w:val="center"/>
          </w:tcPr>
          <w:p w14:paraId="4CD19C52">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8" w:type="dxa"/>
            <w:tcBorders>
              <w:tl2br w:val="nil"/>
              <w:tr2bl w:val="nil"/>
            </w:tcBorders>
            <w:shd w:val="clear" w:color="auto" w:fill="auto"/>
            <w:vAlign w:val="center"/>
          </w:tcPr>
          <w:p w14:paraId="7C5CE055">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8" w:type="dxa"/>
            <w:tcBorders>
              <w:tl2br w:val="nil"/>
              <w:tr2bl w:val="nil"/>
            </w:tcBorders>
            <w:shd w:val="clear" w:color="auto" w:fill="auto"/>
            <w:vAlign w:val="center"/>
          </w:tcPr>
          <w:p w14:paraId="620890CD">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8" w:type="dxa"/>
            <w:tcBorders>
              <w:tl2br w:val="nil"/>
              <w:tr2bl w:val="nil"/>
            </w:tcBorders>
            <w:shd w:val="clear" w:color="auto" w:fill="auto"/>
            <w:vAlign w:val="center"/>
          </w:tcPr>
          <w:p w14:paraId="4DC633DE">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8" w:type="dxa"/>
            <w:tcBorders>
              <w:tl2br w:val="nil"/>
              <w:tr2bl w:val="nil"/>
            </w:tcBorders>
            <w:shd w:val="clear" w:color="auto" w:fill="auto"/>
            <w:vAlign w:val="center"/>
          </w:tcPr>
          <w:p w14:paraId="7EE6D8CD">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8" w:type="dxa"/>
            <w:tcBorders>
              <w:tl2br w:val="nil"/>
              <w:tr2bl w:val="nil"/>
            </w:tcBorders>
            <w:shd w:val="clear" w:color="auto" w:fill="auto"/>
            <w:vAlign w:val="center"/>
          </w:tcPr>
          <w:p w14:paraId="47CBBCA4">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9" w:type="dxa"/>
            <w:tcBorders>
              <w:tl2br w:val="nil"/>
              <w:tr2bl w:val="nil"/>
            </w:tcBorders>
            <w:shd w:val="clear" w:color="auto" w:fill="auto"/>
            <w:vAlign w:val="center"/>
          </w:tcPr>
          <w:p w14:paraId="2D9FAEA0">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r>
      <w:tr w14:paraId="51082668">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992" w:type="dxa"/>
            <w:tcBorders>
              <w:tl2br w:val="nil"/>
              <w:tr2bl w:val="nil"/>
            </w:tcBorders>
            <w:shd w:val="clear" w:color="auto" w:fill="auto"/>
            <w:vAlign w:val="center"/>
          </w:tcPr>
          <w:p w14:paraId="4A50327C">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1,2-</w:t>
            </w:r>
            <w:r>
              <w:rPr>
                <w:rFonts w:hint="eastAsia"/>
                <w:color w:val="auto"/>
                <w:sz w:val="21"/>
                <w:szCs w:val="21"/>
                <w:highlight w:val="none"/>
                <w:lang w:bidi="ar"/>
              </w:rPr>
              <w:t>二氯苯</w:t>
            </w:r>
          </w:p>
        </w:tc>
        <w:tc>
          <w:tcPr>
            <w:tcW w:w="870" w:type="dxa"/>
            <w:tcBorders>
              <w:tl2br w:val="nil"/>
              <w:tr2bl w:val="nil"/>
            </w:tcBorders>
            <w:shd w:val="clear" w:color="auto" w:fill="auto"/>
            <w:vAlign w:val="center"/>
          </w:tcPr>
          <w:p w14:paraId="47B398A2">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mg/kg</w:t>
            </w:r>
          </w:p>
        </w:tc>
        <w:tc>
          <w:tcPr>
            <w:tcW w:w="885" w:type="dxa"/>
            <w:tcBorders>
              <w:tl2br w:val="nil"/>
              <w:tr2bl w:val="nil"/>
            </w:tcBorders>
            <w:shd w:val="clear" w:color="auto" w:fill="auto"/>
            <w:vAlign w:val="center"/>
          </w:tcPr>
          <w:p w14:paraId="2E8FE035">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560</w:t>
            </w:r>
          </w:p>
        </w:tc>
        <w:tc>
          <w:tcPr>
            <w:tcW w:w="1238" w:type="dxa"/>
            <w:tcBorders>
              <w:tl2br w:val="nil"/>
              <w:tr2bl w:val="nil"/>
            </w:tcBorders>
            <w:shd w:val="clear" w:color="auto" w:fill="auto"/>
            <w:vAlign w:val="center"/>
          </w:tcPr>
          <w:p w14:paraId="4C55242E">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8" w:type="dxa"/>
            <w:tcBorders>
              <w:tl2br w:val="nil"/>
              <w:tr2bl w:val="nil"/>
            </w:tcBorders>
            <w:shd w:val="clear" w:color="auto" w:fill="auto"/>
            <w:vAlign w:val="center"/>
          </w:tcPr>
          <w:p w14:paraId="22BBBFC6">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8" w:type="dxa"/>
            <w:tcBorders>
              <w:tl2br w:val="nil"/>
              <w:tr2bl w:val="nil"/>
            </w:tcBorders>
            <w:shd w:val="clear" w:color="auto" w:fill="auto"/>
            <w:vAlign w:val="center"/>
          </w:tcPr>
          <w:p w14:paraId="380E8628">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8" w:type="dxa"/>
            <w:tcBorders>
              <w:tl2br w:val="nil"/>
              <w:tr2bl w:val="nil"/>
            </w:tcBorders>
            <w:shd w:val="clear" w:color="auto" w:fill="auto"/>
            <w:vAlign w:val="center"/>
          </w:tcPr>
          <w:p w14:paraId="2F7FAEEF">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8" w:type="dxa"/>
            <w:tcBorders>
              <w:tl2br w:val="nil"/>
              <w:tr2bl w:val="nil"/>
            </w:tcBorders>
            <w:shd w:val="clear" w:color="auto" w:fill="auto"/>
            <w:vAlign w:val="center"/>
          </w:tcPr>
          <w:p w14:paraId="388136B2">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8" w:type="dxa"/>
            <w:tcBorders>
              <w:tl2br w:val="nil"/>
              <w:tr2bl w:val="nil"/>
            </w:tcBorders>
            <w:shd w:val="clear" w:color="auto" w:fill="auto"/>
            <w:vAlign w:val="center"/>
          </w:tcPr>
          <w:p w14:paraId="506CDE90">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8" w:type="dxa"/>
            <w:tcBorders>
              <w:tl2br w:val="nil"/>
              <w:tr2bl w:val="nil"/>
            </w:tcBorders>
            <w:shd w:val="clear" w:color="auto" w:fill="auto"/>
            <w:vAlign w:val="center"/>
          </w:tcPr>
          <w:p w14:paraId="12518421">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9" w:type="dxa"/>
            <w:tcBorders>
              <w:tl2br w:val="nil"/>
              <w:tr2bl w:val="nil"/>
            </w:tcBorders>
            <w:shd w:val="clear" w:color="auto" w:fill="auto"/>
            <w:vAlign w:val="center"/>
          </w:tcPr>
          <w:p w14:paraId="25658B77">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r>
      <w:tr w14:paraId="7F2775CC">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992" w:type="dxa"/>
            <w:tcBorders>
              <w:tl2br w:val="nil"/>
              <w:tr2bl w:val="nil"/>
            </w:tcBorders>
            <w:shd w:val="clear" w:color="auto" w:fill="auto"/>
            <w:vAlign w:val="center"/>
          </w:tcPr>
          <w:p w14:paraId="59665BC9">
            <w:pPr>
              <w:ind w:left="-105" w:right="-105"/>
              <w:jc w:val="center"/>
              <w:textAlignment w:val="center"/>
              <w:rPr>
                <w:color w:val="auto"/>
                <w:sz w:val="21"/>
                <w:szCs w:val="21"/>
                <w:highlight w:val="none"/>
              </w:rPr>
            </w:pPr>
            <w:r>
              <w:rPr>
                <w:rFonts w:hint="eastAsia"/>
                <w:color w:val="auto"/>
                <w:sz w:val="21"/>
                <w:szCs w:val="21"/>
                <w:highlight w:val="none"/>
                <w:lang w:bidi="ar"/>
              </w:rPr>
              <w:t>苯胺</w:t>
            </w:r>
          </w:p>
        </w:tc>
        <w:tc>
          <w:tcPr>
            <w:tcW w:w="870" w:type="dxa"/>
            <w:tcBorders>
              <w:tl2br w:val="nil"/>
              <w:tr2bl w:val="nil"/>
            </w:tcBorders>
            <w:shd w:val="clear" w:color="auto" w:fill="auto"/>
            <w:vAlign w:val="center"/>
          </w:tcPr>
          <w:p w14:paraId="7142EDDC">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mg/kg</w:t>
            </w:r>
          </w:p>
        </w:tc>
        <w:tc>
          <w:tcPr>
            <w:tcW w:w="885" w:type="dxa"/>
            <w:tcBorders>
              <w:tl2br w:val="nil"/>
              <w:tr2bl w:val="nil"/>
            </w:tcBorders>
            <w:shd w:val="clear" w:color="auto" w:fill="auto"/>
            <w:vAlign w:val="center"/>
          </w:tcPr>
          <w:p w14:paraId="7A8DC9FE">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260</w:t>
            </w:r>
          </w:p>
        </w:tc>
        <w:tc>
          <w:tcPr>
            <w:tcW w:w="1238" w:type="dxa"/>
            <w:tcBorders>
              <w:tl2br w:val="nil"/>
              <w:tr2bl w:val="nil"/>
            </w:tcBorders>
            <w:shd w:val="clear" w:color="auto" w:fill="auto"/>
            <w:vAlign w:val="center"/>
          </w:tcPr>
          <w:p w14:paraId="6415691E">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8" w:type="dxa"/>
            <w:tcBorders>
              <w:tl2br w:val="nil"/>
              <w:tr2bl w:val="nil"/>
            </w:tcBorders>
            <w:shd w:val="clear" w:color="auto" w:fill="auto"/>
            <w:vAlign w:val="center"/>
          </w:tcPr>
          <w:p w14:paraId="51573B23">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8" w:type="dxa"/>
            <w:tcBorders>
              <w:tl2br w:val="nil"/>
              <w:tr2bl w:val="nil"/>
            </w:tcBorders>
            <w:shd w:val="clear" w:color="auto" w:fill="auto"/>
            <w:vAlign w:val="center"/>
          </w:tcPr>
          <w:p w14:paraId="7C39CB49">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8" w:type="dxa"/>
            <w:tcBorders>
              <w:tl2br w:val="nil"/>
              <w:tr2bl w:val="nil"/>
            </w:tcBorders>
            <w:shd w:val="clear" w:color="auto" w:fill="auto"/>
            <w:vAlign w:val="center"/>
          </w:tcPr>
          <w:p w14:paraId="52D46D07">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8" w:type="dxa"/>
            <w:tcBorders>
              <w:tl2br w:val="nil"/>
              <w:tr2bl w:val="nil"/>
            </w:tcBorders>
            <w:shd w:val="clear" w:color="auto" w:fill="auto"/>
            <w:vAlign w:val="center"/>
          </w:tcPr>
          <w:p w14:paraId="21C091A4">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8" w:type="dxa"/>
            <w:tcBorders>
              <w:tl2br w:val="nil"/>
              <w:tr2bl w:val="nil"/>
            </w:tcBorders>
            <w:shd w:val="clear" w:color="auto" w:fill="auto"/>
            <w:vAlign w:val="center"/>
          </w:tcPr>
          <w:p w14:paraId="39BFFBCD">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8" w:type="dxa"/>
            <w:tcBorders>
              <w:tl2br w:val="nil"/>
              <w:tr2bl w:val="nil"/>
            </w:tcBorders>
            <w:shd w:val="clear" w:color="auto" w:fill="auto"/>
            <w:vAlign w:val="center"/>
          </w:tcPr>
          <w:p w14:paraId="56D102C3">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9" w:type="dxa"/>
            <w:tcBorders>
              <w:tl2br w:val="nil"/>
              <w:tr2bl w:val="nil"/>
            </w:tcBorders>
            <w:shd w:val="clear" w:color="auto" w:fill="auto"/>
            <w:vAlign w:val="center"/>
          </w:tcPr>
          <w:p w14:paraId="48A5F575">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r>
      <w:tr w14:paraId="7E088FAA">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992" w:type="dxa"/>
            <w:tcBorders>
              <w:tl2br w:val="nil"/>
              <w:tr2bl w:val="nil"/>
            </w:tcBorders>
            <w:shd w:val="clear" w:color="auto" w:fill="auto"/>
            <w:vAlign w:val="center"/>
          </w:tcPr>
          <w:p w14:paraId="5CB220C8">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2-</w:t>
            </w:r>
            <w:r>
              <w:rPr>
                <w:rFonts w:hint="eastAsia"/>
                <w:color w:val="auto"/>
                <w:sz w:val="21"/>
                <w:szCs w:val="21"/>
                <w:highlight w:val="none"/>
                <w:lang w:bidi="ar"/>
              </w:rPr>
              <w:t>氯酚</w:t>
            </w:r>
          </w:p>
        </w:tc>
        <w:tc>
          <w:tcPr>
            <w:tcW w:w="870" w:type="dxa"/>
            <w:tcBorders>
              <w:tl2br w:val="nil"/>
              <w:tr2bl w:val="nil"/>
            </w:tcBorders>
            <w:shd w:val="clear" w:color="auto" w:fill="auto"/>
            <w:vAlign w:val="center"/>
          </w:tcPr>
          <w:p w14:paraId="4BDA0906">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mg/kg</w:t>
            </w:r>
          </w:p>
        </w:tc>
        <w:tc>
          <w:tcPr>
            <w:tcW w:w="885" w:type="dxa"/>
            <w:tcBorders>
              <w:tl2br w:val="nil"/>
              <w:tr2bl w:val="nil"/>
            </w:tcBorders>
            <w:shd w:val="clear" w:color="auto" w:fill="auto"/>
            <w:vAlign w:val="center"/>
          </w:tcPr>
          <w:p w14:paraId="3436F103">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2256</w:t>
            </w:r>
          </w:p>
        </w:tc>
        <w:tc>
          <w:tcPr>
            <w:tcW w:w="1238" w:type="dxa"/>
            <w:tcBorders>
              <w:tl2br w:val="nil"/>
              <w:tr2bl w:val="nil"/>
            </w:tcBorders>
            <w:shd w:val="clear" w:color="auto" w:fill="auto"/>
            <w:vAlign w:val="center"/>
          </w:tcPr>
          <w:p w14:paraId="53E36D9B">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8" w:type="dxa"/>
            <w:tcBorders>
              <w:tl2br w:val="nil"/>
              <w:tr2bl w:val="nil"/>
            </w:tcBorders>
            <w:shd w:val="clear" w:color="auto" w:fill="auto"/>
            <w:vAlign w:val="center"/>
          </w:tcPr>
          <w:p w14:paraId="6749A4DD">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8" w:type="dxa"/>
            <w:tcBorders>
              <w:tl2br w:val="nil"/>
              <w:tr2bl w:val="nil"/>
            </w:tcBorders>
            <w:shd w:val="clear" w:color="auto" w:fill="auto"/>
            <w:vAlign w:val="center"/>
          </w:tcPr>
          <w:p w14:paraId="11687325">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8" w:type="dxa"/>
            <w:tcBorders>
              <w:tl2br w:val="nil"/>
              <w:tr2bl w:val="nil"/>
            </w:tcBorders>
            <w:shd w:val="clear" w:color="auto" w:fill="auto"/>
            <w:vAlign w:val="center"/>
          </w:tcPr>
          <w:p w14:paraId="41A6DE64">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8" w:type="dxa"/>
            <w:tcBorders>
              <w:tl2br w:val="nil"/>
              <w:tr2bl w:val="nil"/>
            </w:tcBorders>
            <w:shd w:val="clear" w:color="auto" w:fill="auto"/>
            <w:vAlign w:val="center"/>
          </w:tcPr>
          <w:p w14:paraId="42B8B999">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8" w:type="dxa"/>
            <w:tcBorders>
              <w:tl2br w:val="nil"/>
              <w:tr2bl w:val="nil"/>
            </w:tcBorders>
            <w:shd w:val="clear" w:color="auto" w:fill="auto"/>
            <w:vAlign w:val="center"/>
          </w:tcPr>
          <w:p w14:paraId="5E793DEC">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8" w:type="dxa"/>
            <w:tcBorders>
              <w:tl2br w:val="nil"/>
              <w:tr2bl w:val="nil"/>
            </w:tcBorders>
            <w:shd w:val="clear" w:color="auto" w:fill="auto"/>
            <w:vAlign w:val="center"/>
          </w:tcPr>
          <w:p w14:paraId="4DD533E8">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9" w:type="dxa"/>
            <w:tcBorders>
              <w:tl2br w:val="nil"/>
              <w:tr2bl w:val="nil"/>
            </w:tcBorders>
            <w:shd w:val="clear" w:color="auto" w:fill="auto"/>
            <w:vAlign w:val="center"/>
          </w:tcPr>
          <w:p w14:paraId="295B9EAA">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r>
      <w:tr w14:paraId="732DB348">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992" w:type="dxa"/>
            <w:tcBorders>
              <w:tl2br w:val="nil"/>
              <w:tr2bl w:val="nil"/>
            </w:tcBorders>
            <w:shd w:val="clear" w:color="auto" w:fill="auto"/>
            <w:vAlign w:val="center"/>
          </w:tcPr>
          <w:p w14:paraId="6B1D6E65">
            <w:pPr>
              <w:ind w:left="-105" w:right="-105"/>
              <w:jc w:val="center"/>
              <w:textAlignment w:val="center"/>
              <w:rPr>
                <w:color w:val="auto"/>
                <w:sz w:val="21"/>
                <w:szCs w:val="21"/>
                <w:highlight w:val="none"/>
              </w:rPr>
            </w:pPr>
            <w:r>
              <w:rPr>
                <w:rFonts w:hint="eastAsia"/>
                <w:color w:val="auto"/>
                <w:sz w:val="21"/>
                <w:szCs w:val="21"/>
                <w:highlight w:val="none"/>
                <w:lang w:bidi="ar"/>
              </w:rPr>
              <w:t>硝基苯</w:t>
            </w:r>
          </w:p>
        </w:tc>
        <w:tc>
          <w:tcPr>
            <w:tcW w:w="870" w:type="dxa"/>
            <w:tcBorders>
              <w:tl2br w:val="nil"/>
              <w:tr2bl w:val="nil"/>
            </w:tcBorders>
            <w:shd w:val="clear" w:color="auto" w:fill="auto"/>
            <w:vAlign w:val="center"/>
          </w:tcPr>
          <w:p w14:paraId="5B292BC0">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mg/kg</w:t>
            </w:r>
          </w:p>
        </w:tc>
        <w:tc>
          <w:tcPr>
            <w:tcW w:w="885" w:type="dxa"/>
            <w:tcBorders>
              <w:tl2br w:val="nil"/>
              <w:tr2bl w:val="nil"/>
            </w:tcBorders>
            <w:shd w:val="clear" w:color="auto" w:fill="auto"/>
            <w:vAlign w:val="center"/>
          </w:tcPr>
          <w:p w14:paraId="72FBF927">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76</w:t>
            </w:r>
          </w:p>
        </w:tc>
        <w:tc>
          <w:tcPr>
            <w:tcW w:w="1238" w:type="dxa"/>
            <w:tcBorders>
              <w:tl2br w:val="nil"/>
              <w:tr2bl w:val="nil"/>
            </w:tcBorders>
            <w:shd w:val="clear" w:color="auto" w:fill="auto"/>
            <w:vAlign w:val="center"/>
          </w:tcPr>
          <w:p w14:paraId="627E899B">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8" w:type="dxa"/>
            <w:tcBorders>
              <w:tl2br w:val="nil"/>
              <w:tr2bl w:val="nil"/>
            </w:tcBorders>
            <w:shd w:val="clear" w:color="auto" w:fill="auto"/>
            <w:vAlign w:val="center"/>
          </w:tcPr>
          <w:p w14:paraId="3974A3D6">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8" w:type="dxa"/>
            <w:tcBorders>
              <w:tl2br w:val="nil"/>
              <w:tr2bl w:val="nil"/>
            </w:tcBorders>
            <w:shd w:val="clear" w:color="auto" w:fill="auto"/>
            <w:vAlign w:val="center"/>
          </w:tcPr>
          <w:p w14:paraId="3F87CE8C">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8" w:type="dxa"/>
            <w:tcBorders>
              <w:tl2br w:val="nil"/>
              <w:tr2bl w:val="nil"/>
            </w:tcBorders>
            <w:shd w:val="clear" w:color="auto" w:fill="auto"/>
            <w:vAlign w:val="center"/>
          </w:tcPr>
          <w:p w14:paraId="67C5BDDB">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8" w:type="dxa"/>
            <w:tcBorders>
              <w:tl2br w:val="nil"/>
              <w:tr2bl w:val="nil"/>
            </w:tcBorders>
            <w:shd w:val="clear" w:color="auto" w:fill="auto"/>
            <w:vAlign w:val="center"/>
          </w:tcPr>
          <w:p w14:paraId="6C8F69CC">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8" w:type="dxa"/>
            <w:tcBorders>
              <w:tl2br w:val="nil"/>
              <w:tr2bl w:val="nil"/>
            </w:tcBorders>
            <w:shd w:val="clear" w:color="auto" w:fill="auto"/>
            <w:vAlign w:val="center"/>
          </w:tcPr>
          <w:p w14:paraId="61BE81FF">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8" w:type="dxa"/>
            <w:tcBorders>
              <w:tl2br w:val="nil"/>
              <w:tr2bl w:val="nil"/>
            </w:tcBorders>
            <w:shd w:val="clear" w:color="auto" w:fill="auto"/>
            <w:vAlign w:val="center"/>
          </w:tcPr>
          <w:p w14:paraId="60E4E6B1">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9" w:type="dxa"/>
            <w:tcBorders>
              <w:tl2br w:val="nil"/>
              <w:tr2bl w:val="nil"/>
            </w:tcBorders>
            <w:shd w:val="clear" w:color="auto" w:fill="auto"/>
            <w:vAlign w:val="center"/>
          </w:tcPr>
          <w:p w14:paraId="1F84FDA0">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r>
      <w:tr w14:paraId="63A99879">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992" w:type="dxa"/>
            <w:tcBorders>
              <w:tl2br w:val="nil"/>
              <w:tr2bl w:val="nil"/>
            </w:tcBorders>
            <w:shd w:val="clear" w:color="auto" w:fill="auto"/>
            <w:vAlign w:val="center"/>
          </w:tcPr>
          <w:p w14:paraId="60BF6B6A">
            <w:pPr>
              <w:ind w:left="-105" w:right="-105"/>
              <w:jc w:val="center"/>
              <w:textAlignment w:val="center"/>
              <w:rPr>
                <w:color w:val="auto"/>
                <w:sz w:val="21"/>
                <w:szCs w:val="21"/>
                <w:highlight w:val="none"/>
              </w:rPr>
            </w:pPr>
            <w:r>
              <w:rPr>
                <w:rFonts w:hint="eastAsia"/>
                <w:color w:val="auto"/>
                <w:sz w:val="21"/>
                <w:szCs w:val="21"/>
                <w:highlight w:val="none"/>
                <w:lang w:bidi="ar"/>
              </w:rPr>
              <w:t>萘</w:t>
            </w:r>
          </w:p>
        </w:tc>
        <w:tc>
          <w:tcPr>
            <w:tcW w:w="870" w:type="dxa"/>
            <w:tcBorders>
              <w:tl2br w:val="nil"/>
              <w:tr2bl w:val="nil"/>
            </w:tcBorders>
            <w:shd w:val="clear" w:color="auto" w:fill="auto"/>
            <w:vAlign w:val="center"/>
          </w:tcPr>
          <w:p w14:paraId="55CEFBCA">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mg/kg</w:t>
            </w:r>
          </w:p>
        </w:tc>
        <w:tc>
          <w:tcPr>
            <w:tcW w:w="885" w:type="dxa"/>
            <w:tcBorders>
              <w:tl2br w:val="nil"/>
              <w:tr2bl w:val="nil"/>
            </w:tcBorders>
            <w:shd w:val="clear" w:color="auto" w:fill="auto"/>
            <w:vAlign w:val="center"/>
          </w:tcPr>
          <w:p w14:paraId="324D6406">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70</w:t>
            </w:r>
          </w:p>
        </w:tc>
        <w:tc>
          <w:tcPr>
            <w:tcW w:w="1238" w:type="dxa"/>
            <w:tcBorders>
              <w:tl2br w:val="nil"/>
              <w:tr2bl w:val="nil"/>
            </w:tcBorders>
            <w:shd w:val="clear" w:color="auto" w:fill="auto"/>
            <w:vAlign w:val="center"/>
          </w:tcPr>
          <w:p w14:paraId="2EF10158">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8" w:type="dxa"/>
            <w:tcBorders>
              <w:tl2br w:val="nil"/>
              <w:tr2bl w:val="nil"/>
            </w:tcBorders>
            <w:shd w:val="clear" w:color="auto" w:fill="auto"/>
            <w:vAlign w:val="center"/>
          </w:tcPr>
          <w:p w14:paraId="56A0E5AF">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8" w:type="dxa"/>
            <w:tcBorders>
              <w:tl2br w:val="nil"/>
              <w:tr2bl w:val="nil"/>
            </w:tcBorders>
            <w:shd w:val="clear" w:color="auto" w:fill="auto"/>
            <w:vAlign w:val="center"/>
          </w:tcPr>
          <w:p w14:paraId="4FF914AB">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8" w:type="dxa"/>
            <w:tcBorders>
              <w:tl2br w:val="nil"/>
              <w:tr2bl w:val="nil"/>
            </w:tcBorders>
            <w:shd w:val="clear" w:color="auto" w:fill="auto"/>
            <w:vAlign w:val="center"/>
          </w:tcPr>
          <w:p w14:paraId="25CFA561">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8" w:type="dxa"/>
            <w:tcBorders>
              <w:tl2br w:val="nil"/>
              <w:tr2bl w:val="nil"/>
            </w:tcBorders>
            <w:shd w:val="clear" w:color="auto" w:fill="auto"/>
            <w:vAlign w:val="center"/>
          </w:tcPr>
          <w:p w14:paraId="698DECA4">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8" w:type="dxa"/>
            <w:tcBorders>
              <w:tl2br w:val="nil"/>
              <w:tr2bl w:val="nil"/>
            </w:tcBorders>
            <w:shd w:val="clear" w:color="auto" w:fill="auto"/>
            <w:vAlign w:val="center"/>
          </w:tcPr>
          <w:p w14:paraId="5EE52515">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8" w:type="dxa"/>
            <w:tcBorders>
              <w:tl2br w:val="nil"/>
              <w:tr2bl w:val="nil"/>
            </w:tcBorders>
            <w:shd w:val="clear" w:color="auto" w:fill="auto"/>
            <w:vAlign w:val="center"/>
          </w:tcPr>
          <w:p w14:paraId="68B06E68">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9" w:type="dxa"/>
            <w:tcBorders>
              <w:tl2br w:val="nil"/>
              <w:tr2bl w:val="nil"/>
            </w:tcBorders>
            <w:shd w:val="clear" w:color="auto" w:fill="auto"/>
            <w:vAlign w:val="center"/>
          </w:tcPr>
          <w:p w14:paraId="1351C116">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r>
      <w:tr w14:paraId="23AA929E">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992" w:type="dxa"/>
            <w:tcBorders>
              <w:tl2br w:val="nil"/>
              <w:tr2bl w:val="nil"/>
            </w:tcBorders>
            <w:shd w:val="clear" w:color="auto" w:fill="auto"/>
            <w:vAlign w:val="center"/>
          </w:tcPr>
          <w:p w14:paraId="6B68ADAB">
            <w:pPr>
              <w:ind w:left="-105" w:right="-105"/>
              <w:jc w:val="center"/>
              <w:textAlignment w:val="center"/>
              <w:rPr>
                <w:color w:val="auto"/>
                <w:sz w:val="21"/>
                <w:szCs w:val="21"/>
                <w:highlight w:val="none"/>
              </w:rPr>
            </w:pPr>
            <w:r>
              <w:rPr>
                <w:rFonts w:hint="eastAsia"/>
                <w:color w:val="auto"/>
                <w:sz w:val="21"/>
                <w:szCs w:val="21"/>
                <w:highlight w:val="none"/>
                <w:lang w:bidi="ar"/>
              </w:rPr>
              <w:t>苯并</w:t>
            </w:r>
            <w:r>
              <w:rPr>
                <w:rFonts w:ascii="Times New Roman" w:hAnsi="Times New Roman" w:cs="Times New Roman"/>
                <w:color w:val="auto"/>
                <w:sz w:val="21"/>
                <w:szCs w:val="21"/>
                <w:highlight w:val="none"/>
                <w:lang w:bidi="ar"/>
              </w:rPr>
              <w:t>[a]</w:t>
            </w:r>
            <w:r>
              <w:rPr>
                <w:rFonts w:hint="eastAsia"/>
                <w:color w:val="auto"/>
                <w:sz w:val="21"/>
                <w:szCs w:val="21"/>
                <w:highlight w:val="none"/>
                <w:lang w:bidi="ar"/>
              </w:rPr>
              <w:t>蒽</w:t>
            </w:r>
          </w:p>
        </w:tc>
        <w:tc>
          <w:tcPr>
            <w:tcW w:w="870" w:type="dxa"/>
            <w:tcBorders>
              <w:tl2br w:val="nil"/>
              <w:tr2bl w:val="nil"/>
            </w:tcBorders>
            <w:shd w:val="clear" w:color="auto" w:fill="auto"/>
            <w:vAlign w:val="center"/>
          </w:tcPr>
          <w:p w14:paraId="1184052A">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mg/kg</w:t>
            </w:r>
          </w:p>
        </w:tc>
        <w:tc>
          <w:tcPr>
            <w:tcW w:w="885" w:type="dxa"/>
            <w:tcBorders>
              <w:tl2br w:val="nil"/>
              <w:tr2bl w:val="nil"/>
            </w:tcBorders>
            <w:shd w:val="clear" w:color="auto" w:fill="auto"/>
            <w:vAlign w:val="center"/>
          </w:tcPr>
          <w:p w14:paraId="3FCFE1C3">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15</w:t>
            </w:r>
          </w:p>
        </w:tc>
        <w:tc>
          <w:tcPr>
            <w:tcW w:w="1238" w:type="dxa"/>
            <w:tcBorders>
              <w:tl2br w:val="nil"/>
              <w:tr2bl w:val="nil"/>
            </w:tcBorders>
            <w:shd w:val="clear" w:color="auto" w:fill="auto"/>
            <w:vAlign w:val="center"/>
          </w:tcPr>
          <w:p w14:paraId="5D38094D">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0.1</w:t>
            </w:r>
          </w:p>
        </w:tc>
        <w:tc>
          <w:tcPr>
            <w:tcW w:w="1238" w:type="dxa"/>
            <w:tcBorders>
              <w:tl2br w:val="nil"/>
              <w:tr2bl w:val="nil"/>
            </w:tcBorders>
            <w:shd w:val="clear" w:color="auto" w:fill="auto"/>
            <w:vAlign w:val="center"/>
          </w:tcPr>
          <w:p w14:paraId="0C2394BE">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 xml:space="preserve">0.0067 </w:t>
            </w:r>
          </w:p>
        </w:tc>
        <w:tc>
          <w:tcPr>
            <w:tcW w:w="1238" w:type="dxa"/>
            <w:tcBorders>
              <w:tl2br w:val="nil"/>
              <w:tr2bl w:val="nil"/>
            </w:tcBorders>
            <w:shd w:val="clear" w:color="auto" w:fill="auto"/>
            <w:vAlign w:val="center"/>
          </w:tcPr>
          <w:p w14:paraId="4BCE75BE">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0.6</w:t>
            </w:r>
          </w:p>
        </w:tc>
        <w:tc>
          <w:tcPr>
            <w:tcW w:w="1238" w:type="dxa"/>
            <w:tcBorders>
              <w:tl2br w:val="nil"/>
              <w:tr2bl w:val="nil"/>
            </w:tcBorders>
            <w:shd w:val="clear" w:color="auto" w:fill="auto"/>
            <w:vAlign w:val="center"/>
          </w:tcPr>
          <w:p w14:paraId="5BD09968">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 xml:space="preserve">0.0400 </w:t>
            </w:r>
          </w:p>
        </w:tc>
        <w:tc>
          <w:tcPr>
            <w:tcW w:w="1238" w:type="dxa"/>
            <w:tcBorders>
              <w:tl2br w:val="nil"/>
              <w:tr2bl w:val="nil"/>
            </w:tcBorders>
            <w:shd w:val="clear" w:color="auto" w:fill="auto"/>
            <w:vAlign w:val="center"/>
          </w:tcPr>
          <w:p w14:paraId="550B9EAB">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8" w:type="dxa"/>
            <w:tcBorders>
              <w:tl2br w:val="nil"/>
              <w:tr2bl w:val="nil"/>
            </w:tcBorders>
            <w:shd w:val="clear" w:color="auto" w:fill="auto"/>
            <w:vAlign w:val="center"/>
          </w:tcPr>
          <w:p w14:paraId="5819F08F">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8" w:type="dxa"/>
            <w:tcBorders>
              <w:tl2br w:val="nil"/>
              <w:tr2bl w:val="nil"/>
            </w:tcBorders>
            <w:shd w:val="clear" w:color="auto" w:fill="auto"/>
            <w:vAlign w:val="center"/>
          </w:tcPr>
          <w:p w14:paraId="56831A86">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0.3</w:t>
            </w:r>
          </w:p>
        </w:tc>
        <w:tc>
          <w:tcPr>
            <w:tcW w:w="1239" w:type="dxa"/>
            <w:tcBorders>
              <w:tl2br w:val="nil"/>
              <w:tr2bl w:val="nil"/>
            </w:tcBorders>
            <w:shd w:val="clear" w:color="auto" w:fill="auto"/>
            <w:vAlign w:val="center"/>
          </w:tcPr>
          <w:p w14:paraId="30D49C4F">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 xml:space="preserve">0.0200 </w:t>
            </w:r>
          </w:p>
        </w:tc>
      </w:tr>
      <w:tr w14:paraId="1479F522">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992" w:type="dxa"/>
            <w:tcBorders>
              <w:tl2br w:val="nil"/>
              <w:tr2bl w:val="nil"/>
            </w:tcBorders>
            <w:shd w:val="clear" w:color="auto" w:fill="auto"/>
            <w:vAlign w:val="center"/>
          </w:tcPr>
          <w:p w14:paraId="723A8114">
            <w:pPr>
              <w:ind w:left="-105" w:right="-105"/>
              <w:jc w:val="center"/>
              <w:textAlignment w:val="center"/>
              <w:rPr>
                <w:color w:val="auto"/>
                <w:sz w:val="21"/>
                <w:szCs w:val="21"/>
                <w:highlight w:val="none"/>
              </w:rPr>
            </w:pPr>
            <w:r>
              <w:rPr>
                <w:rFonts w:hint="eastAsia"/>
                <w:color w:val="auto"/>
                <w:sz w:val="21"/>
                <w:szCs w:val="21"/>
                <w:highlight w:val="none"/>
                <w:lang w:bidi="ar"/>
              </w:rPr>
              <w:t>䓛</w:t>
            </w:r>
          </w:p>
        </w:tc>
        <w:tc>
          <w:tcPr>
            <w:tcW w:w="870" w:type="dxa"/>
            <w:tcBorders>
              <w:tl2br w:val="nil"/>
              <w:tr2bl w:val="nil"/>
            </w:tcBorders>
            <w:shd w:val="clear" w:color="auto" w:fill="auto"/>
            <w:vAlign w:val="center"/>
          </w:tcPr>
          <w:p w14:paraId="107130F1">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mg/kg</w:t>
            </w:r>
          </w:p>
        </w:tc>
        <w:tc>
          <w:tcPr>
            <w:tcW w:w="885" w:type="dxa"/>
            <w:tcBorders>
              <w:tl2br w:val="nil"/>
              <w:tr2bl w:val="nil"/>
            </w:tcBorders>
            <w:shd w:val="clear" w:color="auto" w:fill="auto"/>
            <w:vAlign w:val="center"/>
          </w:tcPr>
          <w:p w14:paraId="76C11A69">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1293</w:t>
            </w:r>
          </w:p>
        </w:tc>
        <w:tc>
          <w:tcPr>
            <w:tcW w:w="1238" w:type="dxa"/>
            <w:tcBorders>
              <w:tl2br w:val="nil"/>
              <w:tr2bl w:val="nil"/>
            </w:tcBorders>
            <w:shd w:val="clear" w:color="auto" w:fill="auto"/>
            <w:vAlign w:val="center"/>
          </w:tcPr>
          <w:p w14:paraId="6E14781E">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0.1</w:t>
            </w:r>
          </w:p>
        </w:tc>
        <w:tc>
          <w:tcPr>
            <w:tcW w:w="1238" w:type="dxa"/>
            <w:tcBorders>
              <w:tl2br w:val="nil"/>
              <w:tr2bl w:val="nil"/>
            </w:tcBorders>
            <w:shd w:val="clear" w:color="auto" w:fill="auto"/>
            <w:vAlign w:val="center"/>
          </w:tcPr>
          <w:p w14:paraId="60E1CB10">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 xml:space="preserve">0.0001 </w:t>
            </w:r>
          </w:p>
        </w:tc>
        <w:tc>
          <w:tcPr>
            <w:tcW w:w="1238" w:type="dxa"/>
            <w:tcBorders>
              <w:tl2br w:val="nil"/>
              <w:tr2bl w:val="nil"/>
            </w:tcBorders>
            <w:shd w:val="clear" w:color="auto" w:fill="auto"/>
            <w:vAlign w:val="center"/>
          </w:tcPr>
          <w:p w14:paraId="1ED19D0D">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0.6</w:t>
            </w:r>
          </w:p>
        </w:tc>
        <w:tc>
          <w:tcPr>
            <w:tcW w:w="1238" w:type="dxa"/>
            <w:tcBorders>
              <w:tl2br w:val="nil"/>
              <w:tr2bl w:val="nil"/>
            </w:tcBorders>
            <w:shd w:val="clear" w:color="auto" w:fill="auto"/>
            <w:vAlign w:val="center"/>
          </w:tcPr>
          <w:p w14:paraId="75445E9B">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 xml:space="preserve">0.0005 </w:t>
            </w:r>
          </w:p>
        </w:tc>
        <w:tc>
          <w:tcPr>
            <w:tcW w:w="1238" w:type="dxa"/>
            <w:tcBorders>
              <w:tl2br w:val="nil"/>
              <w:tr2bl w:val="nil"/>
            </w:tcBorders>
            <w:shd w:val="clear" w:color="auto" w:fill="auto"/>
            <w:vAlign w:val="center"/>
          </w:tcPr>
          <w:p w14:paraId="62C3783A">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8" w:type="dxa"/>
            <w:tcBorders>
              <w:tl2br w:val="nil"/>
              <w:tr2bl w:val="nil"/>
            </w:tcBorders>
            <w:shd w:val="clear" w:color="auto" w:fill="auto"/>
            <w:vAlign w:val="center"/>
          </w:tcPr>
          <w:p w14:paraId="1898DDE4">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8" w:type="dxa"/>
            <w:tcBorders>
              <w:tl2br w:val="nil"/>
              <w:tr2bl w:val="nil"/>
            </w:tcBorders>
            <w:shd w:val="clear" w:color="auto" w:fill="auto"/>
            <w:vAlign w:val="center"/>
          </w:tcPr>
          <w:p w14:paraId="1CA89916">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0.3</w:t>
            </w:r>
          </w:p>
        </w:tc>
        <w:tc>
          <w:tcPr>
            <w:tcW w:w="1239" w:type="dxa"/>
            <w:tcBorders>
              <w:tl2br w:val="nil"/>
              <w:tr2bl w:val="nil"/>
            </w:tcBorders>
            <w:shd w:val="clear" w:color="auto" w:fill="auto"/>
            <w:vAlign w:val="center"/>
          </w:tcPr>
          <w:p w14:paraId="5A5738BA">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 xml:space="preserve">0.0002 </w:t>
            </w:r>
          </w:p>
        </w:tc>
      </w:tr>
      <w:tr w14:paraId="10C13A30">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992" w:type="dxa"/>
            <w:tcBorders>
              <w:tl2br w:val="nil"/>
              <w:tr2bl w:val="nil"/>
            </w:tcBorders>
            <w:shd w:val="clear" w:color="auto" w:fill="auto"/>
            <w:vAlign w:val="center"/>
          </w:tcPr>
          <w:p w14:paraId="351D5786">
            <w:pPr>
              <w:ind w:left="-105" w:right="-105"/>
              <w:jc w:val="center"/>
              <w:textAlignment w:val="center"/>
              <w:rPr>
                <w:color w:val="auto"/>
                <w:sz w:val="21"/>
                <w:szCs w:val="21"/>
                <w:highlight w:val="none"/>
              </w:rPr>
            </w:pPr>
            <w:r>
              <w:rPr>
                <w:rFonts w:hint="eastAsia"/>
                <w:color w:val="auto"/>
                <w:sz w:val="21"/>
                <w:szCs w:val="21"/>
                <w:highlight w:val="none"/>
                <w:lang w:bidi="ar"/>
              </w:rPr>
              <w:t>苯并</w:t>
            </w:r>
            <w:r>
              <w:rPr>
                <w:rFonts w:ascii="Times New Roman" w:hAnsi="Times New Roman" w:cs="Times New Roman"/>
                <w:color w:val="auto"/>
                <w:sz w:val="21"/>
                <w:szCs w:val="21"/>
                <w:highlight w:val="none"/>
                <w:lang w:bidi="ar"/>
              </w:rPr>
              <w:t>[b]</w:t>
            </w:r>
            <w:r>
              <w:rPr>
                <w:rFonts w:hint="eastAsia"/>
                <w:color w:val="auto"/>
                <w:sz w:val="21"/>
                <w:szCs w:val="21"/>
                <w:highlight w:val="none"/>
                <w:lang w:bidi="ar"/>
              </w:rPr>
              <w:t>荧蒽</w:t>
            </w:r>
          </w:p>
        </w:tc>
        <w:tc>
          <w:tcPr>
            <w:tcW w:w="870" w:type="dxa"/>
            <w:tcBorders>
              <w:tl2br w:val="nil"/>
              <w:tr2bl w:val="nil"/>
            </w:tcBorders>
            <w:shd w:val="clear" w:color="auto" w:fill="auto"/>
            <w:vAlign w:val="center"/>
          </w:tcPr>
          <w:p w14:paraId="35A047FD">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mg/kg</w:t>
            </w:r>
          </w:p>
        </w:tc>
        <w:tc>
          <w:tcPr>
            <w:tcW w:w="885" w:type="dxa"/>
            <w:tcBorders>
              <w:tl2br w:val="nil"/>
              <w:tr2bl w:val="nil"/>
            </w:tcBorders>
            <w:shd w:val="clear" w:color="auto" w:fill="auto"/>
            <w:vAlign w:val="center"/>
          </w:tcPr>
          <w:p w14:paraId="7B8533E8">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15</w:t>
            </w:r>
          </w:p>
        </w:tc>
        <w:tc>
          <w:tcPr>
            <w:tcW w:w="1238" w:type="dxa"/>
            <w:tcBorders>
              <w:tl2br w:val="nil"/>
              <w:tr2bl w:val="nil"/>
            </w:tcBorders>
            <w:shd w:val="clear" w:color="auto" w:fill="auto"/>
            <w:vAlign w:val="center"/>
          </w:tcPr>
          <w:p w14:paraId="36ED9468">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8" w:type="dxa"/>
            <w:tcBorders>
              <w:tl2br w:val="nil"/>
              <w:tr2bl w:val="nil"/>
            </w:tcBorders>
            <w:shd w:val="clear" w:color="auto" w:fill="auto"/>
            <w:vAlign w:val="center"/>
          </w:tcPr>
          <w:p w14:paraId="52A108B5">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8" w:type="dxa"/>
            <w:tcBorders>
              <w:tl2br w:val="nil"/>
              <w:tr2bl w:val="nil"/>
            </w:tcBorders>
            <w:shd w:val="clear" w:color="auto" w:fill="auto"/>
            <w:vAlign w:val="center"/>
          </w:tcPr>
          <w:p w14:paraId="1ABF19DA">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0.4</w:t>
            </w:r>
          </w:p>
        </w:tc>
        <w:tc>
          <w:tcPr>
            <w:tcW w:w="1238" w:type="dxa"/>
            <w:tcBorders>
              <w:tl2br w:val="nil"/>
              <w:tr2bl w:val="nil"/>
            </w:tcBorders>
            <w:shd w:val="clear" w:color="auto" w:fill="auto"/>
            <w:vAlign w:val="center"/>
          </w:tcPr>
          <w:p w14:paraId="62052A58">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 xml:space="preserve">0.0267 </w:t>
            </w:r>
          </w:p>
        </w:tc>
        <w:tc>
          <w:tcPr>
            <w:tcW w:w="1238" w:type="dxa"/>
            <w:tcBorders>
              <w:tl2br w:val="nil"/>
              <w:tr2bl w:val="nil"/>
            </w:tcBorders>
            <w:shd w:val="clear" w:color="auto" w:fill="auto"/>
            <w:vAlign w:val="center"/>
          </w:tcPr>
          <w:p w14:paraId="430066A1">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8" w:type="dxa"/>
            <w:tcBorders>
              <w:tl2br w:val="nil"/>
              <w:tr2bl w:val="nil"/>
            </w:tcBorders>
            <w:shd w:val="clear" w:color="auto" w:fill="auto"/>
            <w:vAlign w:val="center"/>
          </w:tcPr>
          <w:p w14:paraId="2D5E69DE">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8" w:type="dxa"/>
            <w:tcBorders>
              <w:tl2br w:val="nil"/>
              <w:tr2bl w:val="nil"/>
            </w:tcBorders>
            <w:shd w:val="clear" w:color="auto" w:fill="auto"/>
            <w:vAlign w:val="center"/>
          </w:tcPr>
          <w:p w14:paraId="2E13EFA5">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0.4</w:t>
            </w:r>
          </w:p>
        </w:tc>
        <w:tc>
          <w:tcPr>
            <w:tcW w:w="1239" w:type="dxa"/>
            <w:tcBorders>
              <w:tl2br w:val="nil"/>
              <w:tr2bl w:val="nil"/>
            </w:tcBorders>
            <w:shd w:val="clear" w:color="auto" w:fill="auto"/>
            <w:vAlign w:val="center"/>
          </w:tcPr>
          <w:p w14:paraId="3BA086FF">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 xml:space="preserve">0.0267 </w:t>
            </w:r>
          </w:p>
        </w:tc>
      </w:tr>
      <w:tr w14:paraId="4CF8C428">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992" w:type="dxa"/>
            <w:tcBorders>
              <w:tl2br w:val="nil"/>
              <w:tr2bl w:val="nil"/>
            </w:tcBorders>
            <w:shd w:val="clear" w:color="auto" w:fill="auto"/>
            <w:vAlign w:val="center"/>
          </w:tcPr>
          <w:p w14:paraId="5DC6C3EF">
            <w:pPr>
              <w:ind w:left="-105" w:right="-105"/>
              <w:jc w:val="center"/>
              <w:textAlignment w:val="center"/>
              <w:rPr>
                <w:color w:val="auto"/>
                <w:sz w:val="21"/>
                <w:szCs w:val="21"/>
                <w:highlight w:val="none"/>
              </w:rPr>
            </w:pPr>
            <w:r>
              <w:rPr>
                <w:rFonts w:hint="eastAsia"/>
                <w:color w:val="auto"/>
                <w:sz w:val="21"/>
                <w:szCs w:val="21"/>
                <w:highlight w:val="none"/>
                <w:lang w:bidi="ar"/>
              </w:rPr>
              <w:t>苯并</w:t>
            </w:r>
            <w:r>
              <w:rPr>
                <w:rFonts w:ascii="Times New Roman" w:hAnsi="Times New Roman" w:cs="Times New Roman"/>
                <w:color w:val="auto"/>
                <w:sz w:val="21"/>
                <w:szCs w:val="21"/>
                <w:highlight w:val="none"/>
                <w:lang w:bidi="ar"/>
              </w:rPr>
              <w:t>[k]</w:t>
            </w:r>
            <w:r>
              <w:rPr>
                <w:rFonts w:hint="eastAsia"/>
                <w:color w:val="auto"/>
                <w:sz w:val="21"/>
                <w:szCs w:val="21"/>
                <w:highlight w:val="none"/>
                <w:lang w:bidi="ar"/>
              </w:rPr>
              <w:t>荧蒽</w:t>
            </w:r>
          </w:p>
        </w:tc>
        <w:tc>
          <w:tcPr>
            <w:tcW w:w="870" w:type="dxa"/>
            <w:tcBorders>
              <w:tl2br w:val="nil"/>
              <w:tr2bl w:val="nil"/>
            </w:tcBorders>
            <w:shd w:val="clear" w:color="auto" w:fill="auto"/>
            <w:vAlign w:val="center"/>
          </w:tcPr>
          <w:p w14:paraId="6D0B2ED5">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mg/kg</w:t>
            </w:r>
          </w:p>
        </w:tc>
        <w:tc>
          <w:tcPr>
            <w:tcW w:w="885" w:type="dxa"/>
            <w:tcBorders>
              <w:tl2br w:val="nil"/>
              <w:tr2bl w:val="nil"/>
            </w:tcBorders>
            <w:shd w:val="clear" w:color="auto" w:fill="auto"/>
            <w:vAlign w:val="center"/>
          </w:tcPr>
          <w:p w14:paraId="744B89A1">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151</w:t>
            </w:r>
          </w:p>
        </w:tc>
        <w:tc>
          <w:tcPr>
            <w:tcW w:w="1238" w:type="dxa"/>
            <w:tcBorders>
              <w:tl2br w:val="nil"/>
              <w:tr2bl w:val="nil"/>
            </w:tcBorders>
            <w:shd w:val="clear" w:color="auto" w:fill="auto"/>
            <w:vAlign w:val="center"/>
          </w:tcPr>
          <w:p w14:paraId="442E9F5E">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8" w:type="dxa"/>
            <w:tcBorders>
              <w:tl2br w:val="nil"/>
              <w:tr2bl w:val="nil"/>
            </w:tcBorders>
            <w:shd w:val="clear" w:color="auto" w:fill="auto"/>
            <w:vAlign w:val="center"/>
          </w:tcPr>
          <w:p w14:paraId="3C62BDE8">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8" w:type="dxa"/>
            <w:tcBorders>
              <w:tl2br w:val="nil"/>
              <w:tr2bl w:val="nil"/>
            </w:tcBorders>
            <w:shd w:val="clear" w:color="auto" w:fill="auto"/>
            <w:vAlign w:val="center"/>
          </w:tcPr>
          <w:p w14:paraId="5802EF0C">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0.4</w:t>
            </w:r>
          </w:p>
        </w:tc>
        <w:tc>
          <w:tcPr>
            <w:tcW w:w="1238" w:type="dxa"/>
            <w:tcBorders>
              <w:tl2br w:val="nil"/>
              <w:tr2bl w:val="nil"/>
            </w:tcBorders>
            <w:shd w:val="clear" w:color="auto" w:fill="auto"/>
            <w:vAlign w:val="center"/>
          </w:tcPr>
          <w:p w14:paraId="63509FF4">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 xml:space="preserve">0.0026 </w:t>
            </w:r>
          </w:p>
        </w:tc>
        <w:tc>
          <w:tcPr>
            <w:tcW w:w="1238" w:type="dxa"/>
            <w:tcBorders>
              <w:tl2br w:val="nil"/>
              <w:tr2bl w:val="nil"/>
            </w:tcBorders>
            <w:shd w:val="clear" w:color="auto" w:fill="auto"/>
            <w:vAlign w:val="center"/>
          </w:tcPr>
          <w:p w14:paraId="6CDFCCE1">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8" w:type="dxa"/>
            <w:tcBorders>
              <w:tl2br w:val="nil"/>
              <w:tr2bl w:val="nil"/>
            </w:tcBorders>
            <w:shd w:val="clear" w:color="auto" w:fill="auto"/>
            <w:vAlign w:val="center"/>
          </w:tcPr>
          <w:p w14:paraId="76B100E3">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8" w:type="dxa"/>
            <w:tcBorders>
              <w:tl2br w:val="nil"/>
              <w:tr2bl w:val="nil"/>
            </w:tcBorders>
            <w:shd w:val="clear" w:color="auto" w:fill="auto"/>
            <w:vAlign w:val="center"/>
          </w:tcPr>
          <w:p w14:paraId="067D1798">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0.3</w:t>
            </w:r>
          </w:p>
        </w:tc>
        <w:tc>
          <w:tcPr>
            <w:tcW w:w="1239" w:type="dxa"/>
            <w:tcBorders>
              <w:tl2br w:val="nil"/>
              <w:tr2bl w:val="nil"/>
            </w:tcBorders>
            <w:shd w:val="clear" w:color="auto" w:fill="auto"/>
            <w:vAlign w:val="center"/>
          </w:tcPr>
          <w:p w14:paraId="080344D7">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 xml:space="preserve">0.0020 </w:t>
            </w:r>
          </w:p>
        </w:tc>
      </w:tr>
      <w:tr w14:paraId="69747E65">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992" w:type="dxa"/>
            <w:tcBorders>
              <w:tl2br w:val="nil"/>
              <w:tr2bl w:val="nil"/>
            </w:tcBorders>
            <w:shd w:val="clear" w:color="auto" w:fill="auto"/>
            <w:vAlign w:val="center"/>
          </w:tcPr>
          <w:p w14:paraId="064172EC">
            <w:pPr>
              <w:ind w:left="-105" w:right="-105"/>
              <w:jc w:val="center"/>
              <w:textAlignment w:val="center"/>
              <w:rPr>
                <w:color w:val="auto"/>
                <w:sz w:val="21"/>
                <w:szCs w:val="21"/>
                <w:highlight w:val="none"/>
              </w:rPr>
            </w:pPr>
            <w:r>
              <w:rPr>
                <w:rFonts w:hint="eastAsia"/>
                <w:color w:val="auto"/>
                <w:sz w:val="21"/>
                <w:szCs w:val="21"/>
                <w:highlight w:val="none"/>
                <w:lang w:bidi="ar"/>
              </w:rPr>
              <w:t>苯并</w:t>
            </w:r>
            <w:r>
              <w:rPr>
                <w:rFonts w:ascii="Times New Roman" w:hAnsi="Times New Roman" w:cs="Times New Roman"/>
                <w:color w:val="auto"/>
                <w:sz w:val="21"/>
                <w:szCs w:val="21"/>
                <w:highlight w:val="none"/>
                <w:lang w:bidi="ar"/>
              </w:rPr>
              <w:t>[a]</w:t>
            </w:r>
            <w:r>
              <w:rPr>
                <w:rFonts w:hint="eastAsia"/>
                <w:color w:val="auto"/>
                <w:sz w:val="21"/>
                <w:szCs w:val="21"/>
                <w:highlight w:val="none"/>
                <w:lang w:bidi="ar"/>
              </w:rPr>
              <w:t>芘</w:t>
            </w:r>
          </w:p>
        </w:tc>
        <w:tc>
          <w:tcPr>
            <w:tcW w:w="870" w:type="dxa"/>
            <w:tcBorders>
              <w:tl2br w:val="nil"/>
              <w:tr2bl w:val="nil"/>
            </w:tcBorders>
            <w:shd w:val="clear" w:color="auto" w:fill="auto"/>
            <w:vAlign w:val="center"/>
          </w:tcPr>
          <w:p w14:paraId="1AF2A86C">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mg/kg</w:t>
            </w:r>
          </w:p>
        </w:tc>
        <w:tc>
          <w:tcPr>
            <w:tcW w:w="885" w:type="dxa"/>
            <w:tcBorders>
              <w:tl2br w:val="nil"/>
              <w:tr2bl w:val="nil"/>
            </w:tcBorders>
            <w:shd w:val="clear" w:color="auto" w:fill="auto"/>
            <w:vAlign w:val="center"/>
          </w:tcPr>
          <w:p w14:paraId="5E489F92">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1.5</w:t>
            </w:r>
          </w:p>
        </w:tc>
        <w:tc>
          <w:tcPr>
            <w:tcW w:w="1238" w:type="dxa"/>
            <w:tcBorders>
              <w:tl2br w:val="nil"/>
              <w:tr2bl w:val="nil"/>
            </w:tcBorders>
            <w:shd w:val="clear" w:color="auto" w:fill="auto"/>
            <w:vAlign w:val="center"/>
          </w:tcPr>
          <w:p w14:paraId="12E929D8">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8" w:type="dxa"/>
            <w:tcBorders>
              <w:tl2br w:val="nil"/>
              <w:tr2bl w:val="nil"/>
            </w:tcBorders>
            <w:shd w:val="clear" w:color="auto" w:fill="auto"/>
            <w:vAlign w:val="center"/>
          </w:tcPr>
          <w:p w14:paraId="52E87C54">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8" w:type="dxa"/>
            <w:tcBorders>
              <w:tl2br w:val="nil"/>
              <w:tr2bl w:val="nil"/>
            </w:tcBorders>
            <w:shd w:val="clear" w:color="auto" w:fill="auto"/>
            <w:vAlign w:val="center"/>
          </w:tcPr>
          <w:p w14:paraId="3A668448">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0.4</w:t>
            </w:r>
          </w:p>
        </w:tc>
        <w:tc>
          <w:tcPr>
            <w:tcW w:w="1238" w:type="dxa"/>
            <w:tcBorders>
              <w:tl2br w:val="nil"/>
              <w:tr2bl w:val="nil"/>
            </w:tcBorders>
            <w:shd w:val="clear" w:color="auto" w:fill="auto"/>
            <w:vAlign w:val="center"/>
          </w:tcPr>
          <w:p w14:paraId="42029819">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 xml:space="preserve">0.2667 </w:t>
            </w:r>
          </w:p>
        </w:tc>
        <w:tc>
          <w:tcPr>
            <w:tcW w:w="1238" w:type="dxa"/>
            <w:tcBorders>
              <w:tl2br w:val="nil"/>
              <w:tr2bl w:val="nil"/>
            </w:tcBorders>
            <w:shd w:val="clear" w:color="auto" w:fill="auto"/>
            <w:vAlign w:val="center"/>
          </w:tcPr>
          <w:p w14:paraId="3B8DCD47">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8" w:type="dxa"/>
            <w:tcBorders>
              <w:tl2br w:val="nil"/>
              <w:tr2bl w:val="nil"/>
            </w:tcBorders>
            <w:shd w:val="clear" w:color="auto" w:fill="auto"/>
            <w:vAlign w:val="center"/>
          </w:tcPr>
          <w:p w14:paraId="2757F256">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8" w:type="dxa"/>
            <w:tcBorders>
              <w:tl2br w:val="nil"/>
              <w:tr2bl w:val="nil"/>
            </w:tcBorders>
            <w:shd w:val="clear" w:color="auto" w:fill="auto"/>
            <w:vAlign w:val="center"/>
          </w:tcPr>
          <w:p w14:paraId="063F0186">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0.3</w:t>
            </w:r>
          </w:p>
        </w:tc>
        <w:tc>
          <w:tcPr>
            <w:tcW w:w="1239" w:type="dxa"/>
            <w:tcBorders>
              <w:tl2br w:val="nil"/>
              <w:tr2bl w:val="nil"/>
            </w:tcBorders>
            <w:shd w:val="clear" w:color="auto" w:fill="auto"/>
            <w:vAlign w:val="center"/>
          </w:tcPr>
          <w:p w14:paraId="78EF662A">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 xml:space="preserve">0.2000 </w:t>
            </w:r>
          </w:p>
        </w:tc>
      </w:tr>
      <w:tr w14:paraId="0AF10427">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992" w:type="dxa"/>
            <w:tcBorders>
              <w:tl2br w:val="nil"/>
              <w:tr2bl w:val="nil"/>
            </w:tcBorders>
            <w:shd w:val="clear" w:color="auto" w:fill="auto"/>
            <w:vAlign w:val="center"/>
          </w:tcPr>
          <w:p w14:paraId="535592E9">
            <w:pPr>
              <w:ind w:left="-105" w:right="-105"/>
              <w:jc w:val="center"/>
              <w:textAlignment w:val="center"/>
              <w:rPr>
                <w:color w:val="auto"/>
                <w:sz w:val="21"/>
                <w:szCs w:val="21"/>
                <w:highlight w:val="none"/>
              </w:rPr>
            </w:pPr>
            <w:r>
              <w:rPr>
                <w:rFonts w:hint="eastAsia"/>
                <w:color w:val="auto"/>
                <w:sz w:val="21"/>
                <w:szCs w:val="21"/>
                <w:highlight w:val="none"/>
                <w:lang w:bidi="ar"/>
              </w:rPr>
              <w:t>茚并</w:t>
            </w:r>
            <w:r>
              <w:rPr>
                <w:rFonts w:ascii="Times New Roman" w:hAnsi="Times New Roman" w:cs="Times New Roman"/>
                <w:color w:val="auto"/>
                <w:sz w:val="21"/>
                <w:szCs w:val="21"/>
                <w:highlight w:val="none"/>
                <w:lang w:bidi="ar"/>
              </w:rPr>
              <w:t>[1,2,3-cd]</w:t>
            </w:r>
            <w:r>
              <w:rPr>
                <w:rFonts w:hint="eastAsia"/>
                <w:color w:val="auto"/>
                <w:sz w:val="21"/>
                <w:szCs w:val="21"/>
                <w:highlight w:val="none"/>
                <w:lang w:bidi="ar"/>
              </w:rPr>
              <w:t>芘</w:t>
            </w:r>
          </w:p>
        </w:tc>
        <w:tc>
          <w:tcPr>
            <w:tcW w:w="870" w:type="dxa"/>
            <w:tcBorders>
              <w:tl2br w:val="nil"/>
              <w:tr2bl w:val="nil"/>
            </w:tcBorders>
            <w:shd w:val="clear" w:color="auto" w:fill="auto"/>
            <w:vAlign w:val="center"/>
          </w:tcPr>
          <w:p w14:paraId="587D557F">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mg/kg</w:t>
            </w:r>
          </w:p>
        </w:tc>
        <w:tc>
          <w:tcPr>
            <w:tcW w:w="885" w:type="dxa"/>
            <w:tcBorders>
              <w:tl2br w:val="nil"/>
              <w:tr2bl w:val="nil"/>
            </w:tcBorders>
            <w:shd w:val="clear" w:color="auto" w:fill="auto"/>
            <w:vAlign w:val="center"/>
          </w:tcPr>
          <w:p w14:paraId="2516182A">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15</w:t>
            </w:r>
          </w:p>
        </w:tc>
        <w:tc>
          <w:tcPr>
            <w:tcW w:w="1238" w:type="dxa"/>
            <w:tcBorders>
              <w:tl2br w:val="nil"/>
              <w:tr2bl w:val="nil"/>
            </w:tcBorders>
            <w:shd w:val="clear" w:color="auto" w:fill="auto"/>
            <w:vAlign w:val="center"/>
          </w:tcPr>
          <w:p w14:paraId="2BF81C8A">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8" w:type="dxa"/>
            <w:tcBorders>
              <w:tl2br w:val="nil"/>
              <w:tr2bl w:val="nil"/>
            </w:tcBorders>
            <w:shd w:val="clear" w:color="auto" w:fill="auto"/>
            <w:vAlign w:val="center"/>
          </w:tcPr>
          <w:p w14:paraId="631B316C">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8" w:type="dxa"/>
            <w:tcBorders>
              <w:tl2br w:val="nil"/>
              <w:tr2bl w:val="nil"/>
            </w:tcBorders>
            <w:shd w:val="clear" w:color="auto" w:fill="auto"/>
            <w:vAlign w:val="center"/>
          </w:tcPr>
          <w:p w14:paraId="642B6226">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0.3</w:t>
            </w:r>
          </w:p>
        </w:tc>
        <w:tc>
          <w:tcPr>
            <w:tcW w:w="1238" w:type="dxa"/>
            <w:tcBorders>
              <w:tl2br w:val="nil"/>
              <w:tr2bl w:val="nil"/>
            </w:tcBorders>
            <w:shd w:val="clear" w:color="auto" w:fill="auto"/>
            <w:vAlign w:val="center"/>
          </w:tcPr>
          <w:p w14:paraId="3A4479DD">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 xml:space="preserve">0.0200 </w:t>
            </w:r>
          </w:p>
        </w:tc>
        <w:tc>
          <w:tcPr>
            <w:tcW w:w="1238" w:type="dxa"/>
            <w:tcBorders>
              <w:tl2br w:val="nil"/>
              <w:tr2bl w:val="nil"/>
            </w:tcBorders>
            <w:shd w:val="clear" w:color="auto" w:fill="auto"/>
            <w:vAlign w:val="center"/>
          </w:tcPr>
          <w:p w14:paraId="0238BD86">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8" w:type="dxa"/>
            <w:tcBorders>
              <w:tl2br w:val="nil"/>
              <w:tr2bl w:val="nil"/>
            </w:tcBorders>
            <w:shd w:val="clear" w:color="auto" w:fill="auto"/>
            <w:vAlign w:val="center"/>
          </w:tcPr>
          <w:p w14:paraId="179BAB0E">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8" w:type="dxa"/>
            <w:tcBorders>
              <w:tl2br w:val="nil"/>
              <w:tr2bl w:val="nil"/>
            </w:tcBorders>
            <w:shd w:val="clear" w:color="auto" w:fill="auto"/>
            <w:vAlign w:val="center"/>
          </w:tcPr>
          <w:p w14:paraId="2C39FDD1">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0.2</w:t>
            </w:r>
          </w:p>
        </w:tc>
        <w:tc>
          <w:tcPr>
            <w:tcW w:w="1239" w:type="dxa"/>
            <w:tcBorders>
              <w:tl2br w:val="nil"/>
              <w:tr2bl w:val="nil"/>
            </w:tcBorders>
            <w:shd w:val="clear" w:color="auto" w:fill="auto"/>
            <w:vAlign w:val="center"/>
          </w:tcPr>
          <w:p w14:paraId="1E4489D7">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 xml:space="preserve">0.0133 </w:t>
            </w:r>
          </w:p>
        </w:tc>
      </w:tr>
      <w:tr w14:paraId="37EEA6B1">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992" w:type="dxa"/>
            <w:tcBorders>
              <w:tl2br w:val="nil"/>
              <w:tr2bl w:val="nil"/>
            </w:tcBorders>
            <w:shd w:val="clear" w:color="auto" w:fill="auto"/>
            <w:vAlign w:val="center"/>
          </w:tcPr>
          <w:p w14:paraId="14807778">
            <w:pPr>
              <w:ind w:left="-105" w:right="-105"/>
              <w:jc w:val="center"/>
              <w:textAlignment w:val="center"/>
              <w:rPr>
                <w:color w:val="auto"/>
                <w:sz w:val="21"/>
                <w:szCs w:val="21"/>
                <w:highlight w:val="none"/>
              </w:rPr>
            </w:pPr>
            <w:r>
              <w:rPr>
                <w:rFonts w:hint="eastAsia"/>
                <w:color w:val="auto"/>
                <w:sz w:val="21"/>
                <w:szCs w:val="21"/>
                <w:highlight w:val="none"/>
                <w:lang w:bidi="ar"/>
              </w:rPr>
              <w:t>二苯并</w:t>
            </w:r>
            <w:r>
              <w:rPr>
                <w:rFonts w:ascii="Times New Roman" w:hAnsi="Times New Roman" w:cs="Times New Roman"/>
                <w:color w:val="auto"/>
                <w:sz w:val="21"/>
                <w:szCs w:val="21"/>
                <w:highlight w:val="none"/>
                <w:lang w:bidi="ar"/>
              </w:rPr>
              <w:t>[a,h]</w:t>
            </w:r>
            <w:r>
              <w:rPr>
                <w:rFonts w:hint="eastAsia"/>
                <w:color w:val="auto"/>
                <w:sz w:val="21"/>
                <w:szCs w:val="21"/>
                <w:highlight w:val="none"/>
                <w:lang w:bidi="ar"/>
              </w:rPr>
              <w:t>蒽</w:t>
            </w:r>
          </w:p>
        </w:tc>
        <w:tc>
          <w:tcPr>
            <w:tcW w:w="870" w:type="dxa"/>
            <w:tcBorders>
              <w:tl2br w:val="nil"/>
              <w:tr2bl w:val="nil"/>
            </w:tcBorders>
            <w:shd w:val="clear" w:color="auto" w:fill="auto"/>
            <w:vAlign w:val="center"/>
          </w:tcPr>
          <w:p w14:paraId="49B1D256">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mg/kg</w:t>
            </w:r>
          </w:p>
        </w:tc>
        <w:tc>
          <w:tcPr>
            <w:tcW w:w="885" w:type="dxa"/>
            <w:tcBorders>
              <w:tl2br w:val="nil"/>
              <w:tr2bl w:val="nil"/>
            </w:tcBorders>
            <w:shd w:val="clear" w:color="auto" w:fill="auto"/>
            <w:vAlign w:val="center"/>
          </w:tcPr>
          <w:p w14:paraId="324B9D52">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1.5</w:t>
            </w:r>
          </w:p>
        </w:tc>
        <w:tc>
          <w:tcPr>
            <w:tcW w:w="1238" w:type="dxa"/>
            <w:tcBorders>
              <w:tl2br w:val="nil"/>
              <w:tr2bl w:val="nil"/>
            </w:tcBorders>
            <w:shd w:val="clear" w:color="auto" w:fill="auto"/>
            <w:vAlign w:val="center"/>
          </w:tcPr>
          <w:p w14:paraId="5314FC47">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8" w:type="dxa"/>
            <w:tcBorders>
              <w:tl2br w:val="nil"/>
              <w:tr2bl w:val="nil"/>
            </w:tcBorders>
            <w:shd w:val="clear" w:color="auto" w:fill="auto"/>
            <w:vAlign w:val="center"/>
          </w:tcPr>
          <w:p w14:paraId="115FA672">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8" w:type="dxa"/>
            <w:tcBorders>
              <w:tl2br w:val="nil"/>
              <w:tr2bl w:val="nil"/>
            </w:tcBorders>
            <w:shd w:val="clear" w:color="auto" w:fill="auto"/>
            <w:vAlign w:val="center"/>
          </w:tcPr>
          <w:p w14:paraId="6AB24118">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8" w:type="dxa"/>
            <w:tcBorders>
              <w:tl2br w:val="nil"/>
              <w:tr2bl w:val="nil"/>
            </w:tcBorders>
            <w:shd w:val="clear" w:color="auto" w:fill="auto"/>
            <w:vAlign w:val="center"/>
          </w:tcPr>
          <w:p w14:paraId="339ED9AB">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8" w:type="dxa"/>
            <w:tcBorders>
              <w:tl2br w:val="nil"/>
              <w:tr2bl w:val="nil"/>
            </w:tcBorders>
            <w:shd w:val="clear" w:color="auto" w:fill="auto"/>
            <w:vAlign w:val="center"/>
          </w:tcPr>
          <w:p w14:paraId="04B70940">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8" w:type="dxa"/>
            <w:tcBorders>
              <w:tl2br w:val="nil"/>
              <w:tr2bl w:val="nil"/>
            </w:tcBorders>
            <w:shd w:val="clear" w:color="auto" w:fill="auto"/>
            <w:vAlign w:val="center"/>
          </w:tcPr>
          <w:p w14:paraId="7190056D">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238" w:type="dxa"/>
            <w:tcBorders>
              <w:tl2br w:val="nil"/>
              <w:tr2bl w:val="nil"/>
            </w:tcBorders>
            <w:shd w:val="clear" w:color="auto" w:fill="auto"/>
            <w:vAlign w:val="center"/>
          </w:tcPr>
          <w:p w14:paraId="4521F375">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239" w:type="dxa"/>
            <w:tcBorders>
              <w:tl2br w:val="nil"/>
              <w:tr2bl w:val="nil"/>
            </w:tcBorders>
            <w:shd w:val="clear" w:color="auto" w:fill="auto"/>
            <w:vAlign w:val="center"/>
          </w:tcPr>
          <w:p w14:paraId="0EF2BEE9">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r>
    </w:tbl>
    <w:p w14:paraId="6C441128">
      <w:pPr>
        <w:pStyle w:val="15"/>
        <w:spacing w:line="360" w:lineRule="auto"/>
        <w:ind w:left="-105" w:right="-105" w:firstLine="482"/>
        <w:rPr>
          <w:rFonts w:eastAsia="宋体" w:cs="Times New Roman"/>
          <w:b w:val="0"/>
          <w:color w:val="auto"/>
          <w:kern w:val="0"/>
          <w:sz w:val="24"/>
          <w:szCs w:val="24"/>
          <w:highlight w:val="none"/>
        </w:rPr>
      </w:pPr>
      <w:r>
        <w:rPr>
          <w:rFonts w:eastAsia="宋体" w:cs="Times New Roman"/>
          <w:color w:val="auto"/>
          <w:sz w:val="24"/>
          <w:szCs w:val="18"/>
          <w:highlight w:val="none"/>
        </w:rPr>
        <w:t>表</w:t>
      </w:r>
      <w:r>
        <w:rPr>
          <w:rFonts w:eastAsia="宋体" w:cs="Times New Roman"/>
          <w:color w:val="auto"/>
          <w:sz w:val="24"/>
          <w:szCs w:val="18"/>
          <w:highlight w:val="none"/>
        </w:rPr>
        <w:fldChar w:fldCharType="begin"/>
      </w:r>
      <w:r>
        <w:rPr>
          <w:rFonts w:eastAsia="宋体" w:cs="Times New Roman"/>
          <w:color w:val="auto"/>
          <w:sz w:val="24"/>
          <w:szCs w:val="18"/>
          <w:highlight w:val="none"/>
        </w:rPr>
        <w:instrText xml:space="preserve"> STYLEREF 2 \s </w:instrText>
      </w:r>
      <w:r>
        <w:rPr>
          <w:rFonts w:eastAsia="宋体" w:cs="Times New Roman"/>
          <w:color w:val="auto"/>
          <w:sz w:val="24"/>
          <w:szCs w:val="18"/>
          <w:highlight w:val="none"/>
        </w:rPr>
        <w:fldChar w:fldCharType="separate"/>
      </w:r>
      <w:r>
        <w:rPr>
          <w:rFonts w:eastAsia="宋体" w:cs="Times New Roman"/>
          <w:color w:val="auto"/>
          <w:sz w:val="24"/>
          <w:szCs w:val="18"/>
          <w:highlight w:val="none"/>
        </w:rPr>
        <w:t>5.3</w:t>
      </w:r>
      <w:r>
        <w:rPr>
          <w:rFonts w:eastAsia="宋体" w:cs="Times New Roman"/>
          <w:color w:val="auto"/>
          <w:sz w:val="24"/>
          <w:szCs w:val="18"/>
          <w:highlight w:val="none"/>
        </w:rPr>
        <w:fldChar w:fldCharType="end"/>
      </w:r>
      <w:r>
        <w:rPr>
          <w:rFonts w:eastAsia="宋体" w:cs="Times New Roman"/>
          <w:color w:val="auto"/>
          <w:sz w:val="24"/>
          <w:szCs w:val="18"/>
          <w:highlight w:val="none"/>
        </w:rPr>
        <w:noBreakHyphen/>
      </w:r>
      <w:r>
        <w:rPr>
          <w:rFonts w:eastAsia="宋体" w:cs="Times New Roman"/>
          <w:color w:val="auto"/>
          <w:sz w:val="24"/>
          <w:szCs w:val="18"/>
          <w:highlight w:val="none"/>
        </w:rPr>
        <w:fldChar w:fldCharType="begin"/>
      </w:r>
      <w:r>
        <w:rPr>
          <w:rFonts w:eastAsia="宋体" w:cs="Times New Roman"/>
          <w:color w:val="auto"/>
          <w:sz w:val="24"/>
          <w:szCs w:val="18"/>
          <w:highlight w:val="none"/>
        </w:rPr>
        <w:instrText xml:space="preserve"> SEQ 表 \* ARABIC \s 2 </w:instrText>
      </w:r>
      <w:r>
        <w:rPr>
          <w:rFonts w:eastAsia="宋体" w:cs="Times New Roman"/>
          <w:color w:val="auto"/>
          <w:sz w:val="24"/>
          <w:szCs w:val="18"/>
          <w:highlight w:val="none"/>
        </w:rPr>
        <w:fldChar w:fldCharType="separate"/>
      </w:r>
      <w:r>
        <w:rPr>
          <w:rFonts w:eastAsia="宋体" w:cs="Times New Roman"/>
          <w:color w:val="auto"/>
          <w:sz w:val="24"/>
          <w:szCs w:val="18"/>
          <w:highlight w:val="none"/>
        </w:rPr>
        <w:t>15</w:t>
      </w:r>
      <w:r>
        <w:rPr>
          <w:rFonts w:eastAsia="宋体" w:cs="Times New Roman"/>
          <w:color w:val="auto"/>
          <w:sz w:val="24"/>
          <w:szCs w:val="18"/>
          <w:highlight w:val="none"/>
        </w:rPr>
        <w:fldChar w:fldCharType="end"/>
      </w:r>
      <w:r>
        <w:rPr>
          <w:rFonts w:eastAsia="宋体" w:cs="Times New Roman"/>
          <w:bCs/>
          <w:color w:val="auto"/>
          <w:kern w:val="0"/>
          <w:sz w:val="24"/>
          <w:szCs w:val="24"/>
          <w:highlight w:val="none"/>
        </w:rPr>
        <w:t>本项目范围</w:t>
      </w:r>
      <w:r>
        <w:rPr>
          <w:rFonts w:hint="eastAsia" w:eastAsia="宋体" w:cs="Times New Roman"/>
          <w:bCs/>
          <w:color w:val="auto"/>
          <w:kern w:val="0"/>
          <w:sz w:val="24"/>
          <w:szCs w:val="24"/>
          <w:highlight w:val="none"/>
        </w:rPr>
        <w:t>内、</w:t>
      </w:r>
      <w:r>
        <w:rPr>
          <w:rFonts w:eastAsia="宋体" w:cs="Times New Roman"/>
          <w:bCs/>
          <w:color w:val="auto"/>
          <w:kern w:val="0"/>
          <w:sz w:val="24"/>
          <w:szCs w:val="24"/>
          <w:highlight w:val="none"/>
        </w:rPr>
        <w:t>外土壤监测点T</w:t>
      </w:r>
      <w:r>
        <w:rPr>
          <w:rFonts w:hint="eastAsia" w:eastAsia="宋体" w:cs="Times New Roman"/>
          <w:bCs/>
          <w:color w:val="auto"/>
          <w:kern w:val="0"/>
          <w:sz w:val="24"/>
          <w:szCs w:val="24"/>
          <w:highlight w:val="none"/>
        </w:rPr>
        <w:t>1-4</w:t>
      </w:r>
      <w:r>
        <w:rPr>
          <w:rFonts w:eastAsia="宋体" w:cs="Times New Roman"/>
          <w:bCs/>
          <w:color w:val="auto"/>
          <w:kern w:val="0"/>
          <w:sz w:val="24"/>
          <w:szCs w:val="24"/>
          <w:highlight w:val="none"/>
        </w:rPr>
        <w:t>、T</w:t>
      </w:r>
      <w:r>
        <w:rPr>
          <w:rFonts w:hint="eastAsia" w:eastAsia="宋体" w:cs="Times New Roman"/>
          <w:bCs/>
          <w:color w:val="auto"/>
          <w:kern w:val="0"/>
          <w:sz w:val="24"/>
          <w:szCs w:val="24"/>
          <w:highlight w:val="none"/>
        </w:rPr>
        <w:t>2-1</w:t>
      </w:r>
      <w:r>
        <w:rPr>
          <w:rFonts w:eastAsia="宋体" w:cs="Times New Roman"/>
          <w:bCs/>
          <w:color w:val="auto"/>
          <w:kern w:val="0"/>
          <w:sz w:val="24"/>
          <w:szCs w:val="24"/>
          <w:highlight w:val="none"/>
        </w:rPr>
        <w:t>、T</w:t>
      </w:r>
      <w:r>
        <w:rPr>
          <w:rFonts w:hint="eastAsia" w:eastAsia="宋体" w:cs="Times New Roman"/>
          <w:bCs/>
          <w:color w:val="auto"/>
          <w:kern w:val="0"/>
          <w:sz w:val="24"/>
          <w:szCs w:val="24"/>
          <w:highlight w:val="none"/>
        </w:rPr>
        <w:t>2-2</w:t>
      </w:r>
      <w:r>
        <w:rPr>
          <w:rFonts w:eastAsia="宋体" w:cs="Times New Roman"/>
          <w:bCs/>
          <w:color w:val="auto"/>
          <w:kern w:val="0"/>
          <w:sz w:val="24"/>
          <w:szCs w:val="24"/>
          <w:highlight w:val="none"/>
        </w:rPr>
        <w:t>污染风险筛选结果</w:t>
      </w:r>
    </w:p>
    <w:tbl>
      <w:tblPr>
        <w:tblStyle w:val="45"/>
        <w:tblW w:w="5000" w:type="pct"/>
        <w:tblInd w:w="91" w:type="dxa"/>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autofit"/>
        <w:tblCellMar>
          <w:top w:w="0" w:type="dxa"/>
          <w:left w:w="108" w:type="dxa"/>
          <w:bottom w:w="0" w:type="dxa"/>
          <w:right w:w="108" w:type="dxa"/>
        </w:tblCellMar>
      </w:tblPr>
      <w:tblGrid>
        <w:gridCol w:w="1992"/>
        <w:gridCol w:w="885"/>
        <w:gridCol w:w="1341"/>
        <w:gridCol w:w="1406"/>
        <w:gridCol w:w="1738"/>
        <w:gridCol w:w="1406"/>
        <w:gridCol w:w="1738"/>
        <w:gridCol w:w="1407"/>
        <w:gridCol w:w="1739"/>
      </w:tblGrid>
      <w:tr w14:paraId="4E677D46">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992" w:type="dxa"/>
            <w:vMerge w:val="restart"/>
            <w:tcBorders>
              <w:tl2br w:val="nil"/>
              <w:tr2bl w:val="nil"/>
            </w:tcBorders>
            <w:shd w:val="clear" w:color="auto" w:fill="auto"/>
            <w:vAlign w:val="center"/>
          </w:tcPr>
          <w:p w14:paraId="7AF896A9">
            <w:pPr>
              <w:ind w:left="-105" w:right="-105"/>
              <w:jc w:val="center"/>
              <w:textAlignment w:val="center"/>
              <w:rPr>
                <w:b/>
                <w:bCs/>
                <w:color w:val="auto"/>
                <w:sz w:val="21"/>
                <w:szCs w:val="21"/>
                <w:highlight w:val="none"/>
              </w:rPr>
            </w:pPr>
            <w:r>
              <w:rPr>
                <w:rFonts w:hint="eastAsia"/>
                <w:b/>
                <w:bCs/>
                <w:color w:val="auto"/>
                <w:sz w:val="21"/>
                <w:szCs w:val="21"/>
                <w:highlight w:val="none"/>
                <w:lang w:bidi="ar"/>
              </w:rPr>
              <w:t>检测项目</w:t>
            </w:r>
          </w:p>
        </w:tc>
        <w:tc>
          <w:tcPr>
            <w:tcW w:w="885" w:type="dxa"/>
            <w:vMerge w:val="restart"/>
            <w:tcBorders>
              <w:tl2br w:val="nil"/>
              <w:tr2bl w:val="nil"/>
            </w:tcBorders>
            <w:shd w:val="clear" w:color="auto" w:fill="auto"/>
            <w:vAlign w:val="center"/>
          </w:tcPr>
          <w:p w14:paraId="473B614F">
            <w:pPr>
              <w:ind w:left="-105" w:right="-105"/>
              <w:jc w:val="center"/>
              <w:textAlignment w:val="center"/>
              <w:rPr>
                <w:b/>
                <w:bCs/>
                <w:color w:val="auto"/>
                <w:sz w:val="21"/>
                <w:szCs w:val="21"/>
                <w:highlight w:val="none"/>
              </w:rPr>
            </w:pPr>
            <w:r>
              <w:rPr>
                <w:rFonts w:hint="eastAsia"/>
                <w:b/>
                <w:bCs/>
                <w:color w:val="auto"/>
                <w:sz w:val="21"/>
                <w:szCs w:val="21"/>
                <w:highlight w:val="none"/>
                <w:lang w:bidi="ar"/>
              </w:rPr>
              <w:t>单位</w:t>
            </w:r>
          </w:p>
        </w:tc>
        <w:tc>
          <w:tcPr>
            <w:tcW w:w="1341" w:type="dxa"/>
            <w:vMerge w:val="restart"/>
            <w:tcBorders>
              <w:tl2br w:val="nil"/>
              <w:tr2bl w:val="nil"/>
            </w:tcBorders>
            <w:shd w:val="clear" w:color="auto" w:fill="auto"/>
            <w:vAlign w:val="center"/>
          </w:tcPr>
          <w:p w14:paraId="4F7B4BC2">
            <w:pPr>
              <w:ind w:left="-105" w:right="-105"/>
              <w:jc w:val="center"/>
              <w:textAlignment w:val="center"/>
              <w:rPr>
                <w:b/>
                <w:bCs/>
                <w:color w:val="auto"/>
                <w:sz w:val="21"/>
                <w:szCs w:val="21"/>
                <w:highlight w:val="none"/>
              </w:rPr>
            </w:pPr>
            <w:r>
              <w:rPr>
                <w:rFonts w:hint="eastAsia"/>
                <w:b/>
                <w:bCs/>
                <w:color w:val="auto"/>
                <w:sz w:val="21"/>
                <w:szCs w:val="21"/>
                <w:highlight w:val="none"/>
                <w:lang w:bidi="ar"/>
              </w:rPr>
              <w:t>筛选值</w:t>
            </w:r>
          </w:p>
        </w:tc>
        <w:tc>
          <w:tcPr>
            <w:tcW w:w="3144" w:type="dxa"/>
            <w:gridSpan w:val="2"/>
            <w:tcBorders>
              <w:tl2br w:val="nil"/>
              <w:tr2bl w:val="nil"/>
            </w:tcBorders>
            <w:shd w:val="clear" w:color="auto" w:fill="auto"/>
            <w:vAlign w:val="center"/>
          </w:tcPr>
          <w:p w14:paraId="445AECCB">
            <w:pPr>
              <w:ind w:left="-105" w:right="-105"/>
              <w:jc w:val="center"/>
              <w:textAlignment w:val="center"/>
              <w:rPr>
                <w:rFonts w:ascii="Times New Roman" w:hAnsi="Times New Roman" w:cs="Times New Roman"/>
                <w:b/>
                <w:bCs/>
                <w:color w:val="auto"/>
                <w:sz w:val="21"/>
                <w:szCs w:val="21"/>
                <w:highlight w:val="none"/>
              </w:rPr>
            </w:pPr>
            <w:r>
              <w:rPr>
                <w:rFonts w:ascii="Times New Roman" w:hAnsi="Times New Roman" w:cs="Times New Roman"/>
                <w:b/>
                <w:bCs/>
                <w:color w:val="auto"/>
                <w:sz w:val="21"/>
                <w:szCs w:val="21"/>
                <w:highlight w:val="none"/>
                <w:lang w:bidi="ar"/>
              </w:rPr>
              <w:t>T1-4</w:t>
            </w:r>
          </w:p>
        </w:tc>
        <w:tc>
          <w:tcPr>
            <w:tcW w:w="3144" w:type="dxa"/>
            <w:gridSpan w:val="2"/>
            <w:tcBorders>
              <w:tl2br w:val="nil"/>
              <w:tr2bl w:val="nil"/>
            </w:tcBorders>
            <w:shd w:val="clear" w:color="auto" w:fill="auto"/>
            <w:vAlign w:val="center"/>
          </w:tcPr>
          <w:p w14:paraId="6DB1D8B9">
            <w:pPr>
              <w:ind w:left="-105" w:right="-105"/>
              <w:jc w:val="center"/>
              <w:textAlignment w:val="center"/>
              <w:rPr>
                <w:rFonts w:ascii="Times New Roman" w:hAnsi="Times New Roman" w:cs="Times New Roman"/>
                <w:b/>
                <w:bCs/>
                <w:color w:val="auto"/>
                <w:sz w:val="21"/>
                <w:szCs w:val="21"/>
                <w:highlight w:val="none"/>
              </w:rPr>
            </w:pPr>
            <w:r>
              <w:rPr>
                <w:rFonts w:ascii="Times New Roman" w:hAnsi="Times New Roman" w:cs="Times New Roman"/>
                <w:b/>
                <w:bCs/>
                <w:color w:val="auto"/>
                <w:sz w:val="21"/>
                <w:szCs w:val="21"/>
                <w:highlight w:val="none"/>
                <w:lang w:bidi="ar"/>
              </w:rPr>
              <w:t>T2-1</w:t>
            </w:r>
          </w:p>
        </w:tc>
        <w:tc>
          <w:tcPr>
            <w:tcW w:w="3146" w:type="dxa"/>
            <w:gridSpan w:val="2"/>
            <w:tcBorders>
              <w:tl2br w:val="nil"/>
              <w:tr2bl w:val="nil"/>
            </w:tcBorders>
            <w:shd w:val="clear" w:color="auto" w:fill="auto"/>
            <w:vAlign w:val="center"/>
          </w:tcPr>
          <w:p w14:paraId="37664F63">
            <w:pPr>
              <w:ind w:left="-105" w:right="-105"/>
              <w:jc w:val="center"/>
              <w:textAlignment w:val="center"/>
              <w:rPr>
                <w:rFonts w:ascii="Times New Roman" w:hAnsi="Times New Roman" w:cs="Times New Roman"/>
                <w:b/>
                <w:bCs/>
                <w:color w:val="auto"/>
                <w:sz w:val="21"/>
                <w:szCs w:val="21"/>
                <w:highlight w:val="none"/>
              </w:rPr>
            </w:pPr>
            <w:r>
              <w:rPr>
                <w:rFonts w:ascii="Times New Roman" w:hAnsi="Times New Roman" w:cs="Times New Roman"/>
                <w:b/>
                <w:bCs/>
                <w:color w:val="auto"/>
                <w:sz w:val="21"/>
                <w:szCs w:val="21"/>
                <w:highlight w:val="none"/>
                <w:lang w:bidi="ar"/>
              </w:rPr>
              <w:t>T2-2</w:t>
            </w:r>
          </w:p>
        </w:tc>
      </w:tr>
      <w:tr w14:paraId="0664C3A3">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992" w:type="dxa"/>
            <w:vMerge w:val="continue"/>
            <w:tcBorders>
              <w:tl2br w:val="nil"/>
              <w:tr2bl w:val="nil"/>
            </w:tcBorders>
            <w:shd w:val="clear" w:color="auto" w:fill="auto"/>
            <w:vAlign w:val="center"/>
          </w:tcPr>
          <w:p w14:paraId="1472197F">
            <w:pPr>
              <w:ind w:left="-105" w:right="-105"/>
              <w:jc w:val="center"/>
              <w:rPr>
                <w:b/>
                <w:bCs/>
                <w:color w:val="auto"/>
                <w:sz w:val="21"/>
                <w:szCs w:val="21"/>
                <w:highlight w:val="none"/>
              </w:rPr>
            </w:pPr>
          </w:p>
        </w:tc>
        <w:tc>
          <w:tcPr>
            <w:tcW w:w="885" w:type="dxa"/>
            <w:vMerge w:val="continue"/>
            <w:tcBorders>
              <w:tl2br w:val="nil"/>
              <w:tr2bl w:val="nil"/>
            </w:tcBorders>
            <w:shd w:val="clear" w:color="auto" w:fill="auto"/>
            <w:vAlign w:val="center"/>
          </w:tcPr>
          <w:p w14:paraId="313BEEF7">
            <w:pPr>
              <w:ind w:left="-105" w:right="-105"/>
              <w:jc w:val="center"/>
              <w:rPr>
                <w:b/>
                <w:bCs/>
                <w:color w:val="auto"/>
                <w:sz w:val="21"/>
                <w:szCs w:val="21"/>
                <w:highlight w:val="none"/>
              </w:rPr>
            </w:pPr>
          </w:p>
        </w:tc>
        <w:tc>
          <w:tcPr>
            <w:tcW w:w="1341" w:type="dxa"/>
            <w:vMerge w:val="continue"/>
            <w:tcBorders>
              <w:tl2br w:val="nil"/>
              <w:tr2bl w:val="nil"/>
            </w:tcBorders>
            <w:shd w:val="clear" w:color="auto" w:fill="auto"/>
            <w:vAlign w:val="center"/>
          </w:tcPr>
          <w:p w14:paraId="1BCC106A">
            <w:pPr>
              <w:ind w:left="-105" w:right="-105"/>
              <w:jc w:val="center"/>
              <w:rPr>
                <w:b/>
                <w:bCs/>
                <w:color w:val="auto"/>
                <w:sz w:val="21"/>
                <w:szCs w:val="21"/>
                <w:highlight w:val="none"/>
              </w:rPr>
            </w:pPr>
          </w:p>
        </w:tc>
        <w:tc>
          <w:tcPr>
            <w:tcW w:w="3144" w:type="dxa"/>
            <w:gridSpan w:val="2"/>
            <w:tcBorders>
              <w:tl2br w:val="nil"/>
              <w:tr2bl w:val="nil"/>
            </w:tcBorders>
            <w:shd w:val="clear" w:color="auto" w:fill="auto"/>
            <w:vAlign w:val="center"/>
          </w:tcPr>
          <w:p w14:paraId="48B2CF65">
            <w:pPr>
              <w:ind w:left="-105" w:right="-105"/>
              <w:jc w:val="center"/>
              <w:textAlignment w:val="center"/>
              <w:rPr>
                <w:rFonts w:ascii="Times New Roman" w:hAnsi="Times New Roman" w:cs="Times New Roman"/>
                <w:b/>
                <w:bCs/>
                <w:color w:val="auto"/>
                <w:sz w:val="21"/>
                <w:szCs w:val="21"/>
                <w:highlight w:val="none"/>
              </w:rPr>
            </w:pPr>
            <w:r>
              <w:rPr>
                <w:rFonts w:ascii="Times New Roman" w:hAnsi="Times New Roman" w:cs="Times New Roman"/>
                <w:b/>
                <w:bCs/>
                <w:color w:val="auto"/>
                <w:sz w:val="21"/>
                <w:szCs w:val="21"/>
                <w:highlight w:val="none"/>
                <w:lang w:bidi="ar"/>
              </w:rPr>
              <w:t>0-0.2m</w:t>
            </w:r>
          </w:p>
        </w:tc>
        <w:tc>
          <w:tcPr>
            <w:tcW w:w="3144" w:type="dxa"/>
            <w:gridSpan w:val="2"/>
            <w:tcBorders>
              <w:tl2br w:val="nil"/>
              <w:tr2bl w:val="nil"/>
            </w:tcBorders>
            <w:shd w:val="clear" w:color="auto" w:fill="auto"/>
            <w:vAlign w:val="center"/>
          </w:tcPr>
          <w:p w14:paraId="0D480A5A">
            <w:pPr>
              <w:ind w:left="-105" w:right="-105"/>
              <w:jc w:val="center"/>
              <w:textAlignment w:val="center"/>
              <w:rPr>
                <w:rFonts w:ascii="Times New Roman" w:hAnsi="Times New Roman" w:cs="Times New Roman"/>
                <w:b/>
                <w:bCs/>
                <w:color w:val="auto"/>
                <w:sz w:val="21"/>
                <w:szCs w:val="21"/>
                <w:highlight w:val="none"/>
              </w:rPr>
            </w:pPr>
            <w:r>
              <w:rPr>
                <w:rFonts w:ascii="Times New Roman" w:hAnsi="Times New Roman" w:cs="Times New Roman"/>
                <w:b/>
                <w:bCs/>
                <w:color w:val="auto"/>
                <w:sz w:val="21"/>
                <w:szCs w:val="21"/>
                <w:highlight w:val="none"/>
                <w:lang w:bidi="ar"/>
              </w:rPr>
              <w:t>0-0.2m</w:t>
            </w:r>
          </w:p>
        </w:tc>
        <w:tc>
          <w:tcPr>
            <w:tcW w:w="3146" w:type="dxa"/>
            <w:gridSpan w:val="2"/>
            <w:tcBorders>
              <w:tl2br w:val="nil"/>
              <w:tr2bl w:val="nil"/>
            </w:tcBorders>
            <w:shd w:val="clear" w:color="auto" w:fill="auto"/>
            <w:vAlign w:val="center"/>
          </w:tcPr>
          <w:p w14:paraId="18045F95">
            <w:pPr>
              <w:ind w:left="-105" w:right="-105"/>
              <w:jc w:val="center"/>
              <w:textAlignment w:val="center"/>
              <w:rPr>
                <w:rFonts w:ascii="Times New Roman" w:hAnsi="Times New Roman" w:cs="Times New Roman"/>
                <w:b/>
                <w:bCs/>
                <w:color w:val="auto"/>
                <w:sz w:val="21"/>
                <w:szCs w:val="21"/>
                <w:highlight w:val="none"/>
              </w:rPr>
            </w:pPr>
            <w:r>
              <w:rPr>
                <w:rFonts w:ascii="Times New Roman" w:hAnsi="Times New Roman" w:cs="Times New Roman"/>
                <w:b/>
                <w:bCs/>
                <w:color w:val="auto"/>
                <w:sz w:val="21"/>
                <w:szCs w:val="21"/>
                <w:highlight w:val="none"/>
                <w:lang w:bidi="ar"/>
              </w:rPr>
              <w:t>0-0.2m</w:t>
            </w:r>
          </w:p>
        </w:tc>
      </w:tr>
      <w:tr w14:paraId="1B1FAC9D">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992" w:type="dxa"/>
            <w:vMerge w:val="continue"/>
            <w:tcBorders>
              <w:tl2br w:val="nil"/>
              <w:tr2bl w:val="nil"/>
            </w:tcBorders>
            <w:shd w:val="clear" w:color="auto" w:fill="auto"/>
            <w:vAlign w:val="center"/>
          </w:tcPr>
          <w:p w14:paraId="356F45D1">
            <w:pPr>
              <w:ind w:left="-105" w:right="-105"/>
              <w:jc w:val="center"/>
              <w:rPr>
                <w:b/>
                <w:bCs/>
                <w:color w:val="auto"/>
                <w:sz w:val="21"/>
                <w:szCs w:val="21"/>
                <w:highlight w:val="none"/>
              </w:rPr>
            </w:pPr>
          </w:p>
        </w:tc>
        <w:tc>
          <w:tcPr>
            <w:tcW w:w="885" w:type="dxa"/>
            <w:vMerge w:val="continue"/>
            <w:tcBorders>
              <w:tl2br w:val="nil"/>
              <w:tr2bl w:val="nil"/>
            </w:tcBorders>
            <w:shd w:val="clear" w:color="auto" w:fill="auto"/>
            <w:vAlign w:val="center"/>
          </w:tcPr>
          <w:p w14:paraId="6DF30AEA">
            <w:pPr>
              <w:ind w:left="-105" w:right="-105"/>
              <w:jc w:val="center"/>
              <w:rPr>
                <w:b/>
                <w:bCs/>
                <w:color w:val="auto"/>
                <w:sz w:val="21"/>
                <w:szCs w:val="21"/>
                <w:highlight w:val="none"/>
              </w:rPr>
            </w:pPr>
          </w:p>
        </w:tc>
        <w:tc>
          <w:tcPr>
            <w:tcW w:w="1341" w:type="dxa"/>
            <w:vMerge w:val="continue"/>
            <w:tcBorders>
              <w:tl2br w:val="nil"/>
              <w:tr2bl w:val="nil"/>
            </w:tcBorders>
            <w:shd w:val="clear" w:color="auto" w:fill="auto"/>
            <w:vAlign w:val="center"/>
          </w:tcPr>
          <w:p w14:paraId="6D5C0527">
            <w:pPr>
              <w:ind w:left="-105" w:right="-105"/>
              <w:jc w:val="center"/>
              <w:rPr>
                <w:b/>
                <w:bCs/>
                <w:color w:val="auto"/>
                <w:sz w:val="21"/>
                <w:szCs w:val="21"/>
                <w:highlight w:val="none"/>
              </w:rPr>
            </w:pPr>
          </w:p>
        </w:tc>
        <w:tc>
          <w:tcPr>
            <w:tcW w:w="1406" w:type="dxa"/>
            <w:tcBorders>
              <w:tl2br w:val="nil"/>
              <w:tr2bl w:val="nil"/>
            </w:tcBorders>
            <w:shd w:val="clear" w:color="auto" w:fill="auto"/>
            <w:vAlign w:val="center"/>
          </w:tcPr>
          <w:p w14:paraId="73E3F854">
            <w:pPr>
              <w:ind w:left="-105" w:right="-105"/>
              <w:jc w:val="center"/>
              <w:textAlignment w:val="center"/>
              <w:rPr>
                <w:b/>
                <w:bCs/>
                <w:color w:val="auto"/>
                <w:sz w:val="21"/>
                <w:szCs w:val="21"/>
                <w:highlight w:val="none"/>
              </w:rPr>
            </w:pPr>
            <w:r>
              <w:rPr>
                <w:rFonts w:hint="eastAsia"/>
                <w:b/>
                <w:bCs/>
                <w:color w:val="auto"/>
                <w:sz w:val="21"/>
                <w:szCs w:val="21"/>
                <w:highlight w:val="none"/>
                <w:lang w:bidi="ar"/>
              </w:rPr>
              <w:t>检测结果</w:t>
            </w:r>
          </w:p>
        </w:tc>
        <w:tc>
          <w:tcPr>
            <w:tcW w:w="1738" w:type="dxa"/>
            <w:tcBorders>
              <w:tl2br w:val="nil"/>
              <w:tr2bl w:val="nil"/>
            </w:tcBorders>
            <w:shd w:val="clear" w:color="auto" w:fill="auto"/>
            <w:vAlign w:val="center"/>
          </w:tcPr>
          <w:p w14:paraId="7724CCA8">
            <w:pPr>
              <w:ind w:left="-105" w:right="-105"/>
              <w:jc w:val="center"/>
              <w:textAlignment w:val="center"/>
              <w:rPr>
                <w:b/>
                <w:bCs/>
                <w:color w:val="auto"/>
                <w:sz w:val="21"/>
                <w:szCs w:val="21"/>
                <w:highlight w:val="none"/>
              </w:rPr>
            </w:pPr>
            <w:r>
              <w:rPr>
                <w:rFonts w:hint="eastAsia"/>
                <w:b/>
                <w:bCs/>
                <w:color w:val="auto"/>
                <w:sz w:val="21"/>
                <w:szCs w:val="21"/>
                <w:highlight w:val="none"/>
                <w:lang w:bidi="ar"/>
              </w:rPr>
              <w:t>标准指数</w:t>
            </w:r>
          </w:p>
        </w:tc>
        <w:tc>
          <w:tcPr>
            <w:tcW w:w="1406" w:type="dxa"/>
            <w:tcBorders>
              <w:tl2br w:val="nil"/>
              <w:tr2bl w:val="nil"/>
            </w:tcBorders>
            <w:shd w:val="clear" w:color="auto" w:fill="auto"/>
            <w:vAlign w:val="center"/>
          </w:tcPr>
          <w:p w14:paraId="48D150D5">
            <w:pPr>
              <w:ind w:left="-105" w:right="-105"/>
              <w:jc w:val="center"/>
              <w:textAlignment w:val="center"/>
              <w:rPr>
                <w:b/>
                <w:bCs/>
                <w:color w:val="auto"/>
                <w:sz w:val="21"/>
                <w:szCs w:val="21"/>
                <w:highlight w:val="none"/>
              </w:rPr>
            </w:pPr>
            <w:r>
              <w:rPr>
                <w:rFonts w:hint="eastAsia"/>
                <w:b/>
                <w:bCs/>
                <w:color w:val="auto"/>
                <w:sz w:val="21"/>
                <w:szCs w:val="21"/>
                <w:highlight w:val="none"/>
                <w:lang w:bidi="ar"/>
              </w:rPr>
              <w:t>检测结果</w:t>
            </w:r>
          </w:p>
        </w:tc>
        <w:tc>
          <w:tcPr>
            <w:tcW w:w="1738" w:type="dxa"/>
            <w:tcBorders>
              <w:tl2br w:val="nil"/>
              <w:tr2bl w:val="nil"/>
            </w:tcBorders>
            <w:shd w:val="clear" w:color="auto" w:fill="auto"/>
            <w:vAlign w:val="center"/>
          </w:tcPr>
          <w:p w14:paraId="054482F1">
            <w:pPr>
              <w:ind w:left="-105" w:right="-105"/>
              <w:jc w:val="center"/>
              <w:textAlignment w:val="center"/>
              <w:rPr>
                <w:b/>
                <w:bCs/>
                <w:color w:val="auto"/>
                <w:sz w:val="21"/>
                <w:szCs w:val="21"/>
                <w:highlight w:val="none"/>
              </w:rPr>
            </w:pPr>
            <w:r>
              <w:rPr>
                <w:rFonts w:hint="eastAsia"/>
                <w:b/>
                <w:bCs/>
                <w:color w:val="auto"/>
                <w:sz w:val="21"/>
                <w:szCs w:val="21"/>
                <w:highlight w:val="none"/>
                <w:lang w:bidi="ar"/>
              </w:rPr>
              <w:t>标准指数</w:t>
            </w:r>
          </w:p>
        </w:tc>
        <w:tc>
          <w:tcPr>
            <w:tcW w:w="1407" w:type="dxa"/>
            <w:tcBorders>
              <w:tl2br w:val="nil"/>
              <w:tr2bl w:val="nil"/>
            </w:tcBorders>
            <w:shd w:val="clear" w:color="auto" w:fill="auto"/>
            <w:vAlign w:val="center"/>
          </w:tcPr>
          <w:p w14:paraId="759B3D79">
            <w:pPr>
              <w:ind w:left="-105" w:right="-105"/>
              <w:jc w:val="center"/>
              <w:textAlignment w:val="center"/>
              <w:rPr>
                <w:b/>
                <w:bCs/>
                <w:color w:val="auto"/>
                <w:sz w:val="21"/>
                <w:szCs w:val="21"/>
                <w:highlight w:val="none"/>
              </w:rPr>
            </w:pPr>
            <w:r>
              <w:rPr>
                <w:rFonts w:hint="eastAsia"/>
                <w:b/>
                <w:bCs/>
                <w:color w:val="auto"/>
                <w:sz w:val="21"/>
                <w:szCs w:val="21"/>
                <w:highlight w:val="none"/>
                <w:lang w:bidi="ar"/>
              </w:rPr>
              <w:t>检测结果</w:t>
            </w:r>
          </w:p>
        </w:tc>
        <w:tc>
          <w:tcPr>
            <w:tcW w:w="1739" w:type="dxa"/>
            <w:tcBorders>
              <w:tl2br w:val="nil"/>
              <w:tr2bl w:val="nil"/>
            </w:tcBorders>
            <w:shd w:val="clear" w:color="auto" w:fill="auto"/>
            <w:vAlign w:val="center"/>
          </w:tcPr>
          <w:p w14:paraId="340407EE">
            <w:pPr>
              <w:ind w:left="-105" w:right="-105"/>
              <w:jc w:val="center"/>
              <w:textAlignment w:val="center"/>
              <w:rPr>
                <w:b/>
                <w:bCs/>
                <w:color w:val="auto"/>
                <w:sz w:val="21"/>
                <w:szCs w:val="21"/>
                <w:highlight w:val="none"/>
              </w:rPr>
            </w:pPr>
            <w:r>
              <w:rPr>
                <w:rFonts w:hint="eastAsia"/>
                <w:b/>
                <w:bCs/>
                <w:color w:val="auto"/>
                <w:sz w:val="21"/>
                <w:szCs w:val="21"/>
                <w:highlight w:val="none"/>
                <w:lang w:bidi="ar"/>
              </w:rPr>
              <w:t>标准指数</w:t>
            </w:r>
          </w:p>
        </w:tc>
      </w:tr>
      <w:tr w14:paraId="0E9682C7">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992" w:type="dxa"/>
            <w:tcBorders>
              <w:tl2br w:val="nil"/>
              <w:tr2bl w:val="nil"/>
            </w:tcBorders>
            <w:shd w:val="clear" w:color="auto" w:fill="auto"/>
            <w:vAlign w:val="center"/>
          </w:tcPr>
          <w:p w14:paraId="1ADF5A30">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pH</w:t>
            </w:r>
          </w:p>
        </w:tc>
        <w:tc>
          <w:tcPr>
            <w:tcW w:w="885" w:type="dxa"/>
            <w:tcBorders>
              <w:tl2br w:val="nil"/>
              <w:tr2bl w:val="nil"/>
            </w:tcBorders>
            <w:shd w:val="clear" w:color="auto" w:fill="auto"/>
            <w:vAlign w:val="center"/>
          </w:tcPr>
          <w:p w14:paraId="02954FB5">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341" w:type="dxa"/>
            <w:tcBorders>
              <w:tl2br w:val="nil"/>
              <w:tr2bl w:val="nil"/>
            </w:tcBorders>
            <w:shd w:val="clear" w:color="auto" w:fill="auto"/>
            <w:vAlign w:val="center"/>
          </w:tcPr>
          <w:p w14:paraId="1EEE4978">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406" w:type="dxa"/>
            <w:tcBorders>
              <w:tl2br w:val="nil"/>
              <w:tr2bl w:val="nil"/>
            </w:tcBorders>
            <w:shd w:val="clear" w:color="auto" w:fill="auto"/>
            <w:vAlign w:val="center"/>
          </w:tcPr>
          <w:p w14:paraId="599E1059">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8.23</w:t>
            </w:r>
          </w:p>
        </w:tc>
        <w:tc>
          <w:tcPr>
            <w:tcW w:w="1738" w:type="dxa"/>
            <w:tcBorders>
              <w:tl2br w:val="nil"/>
              <w:tr2bl w:val="nil"/>
            </w:tcBorders>
            <w:shd w:val="clear" w:color="auto" w:fill="auto"/>
            <w:vAlign w:val="center"/>
          </w:tcPr>
          <w:p w14:paraId="745058B0">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406" w:type="dxa"/>
            <w:tcBorders>
              <w:tl2br w:val="nil"/>
              <w:tr2bl w:val="nil"/>
            </w:tcBorders>
            <w:shd w:val="clear" w:color="auto" w:fill="auto"/>
            <w:vAlign w:val="center"/>
          </w:tcPr>
          <w:p w14:paraId="31BB3775">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5.99</w:t>
            </w:r>
          </w:p>
        </w:tc>
        <w:tc>
          <w:tcPr>
            <w:tcW w:w="1738" w:type="dxa"/>
            <w:tcBorders>
              <w:tl2br w:val="nil"/>
              <w:tr2bl w:val="nil"/>
            </w:tcBorders>
            <w:shd w:val="clear" w:color="auto" w:fill="auto"/>
            <w:vAlign w:val="center"/>
          </w:tcPr>
          <w:p w14:paraId="402B1883">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407" w:type="dxa"/>
            <w:tcBorders>
              <w:tl2br w:val="nil"/>
              <w:tr2bl w:val="nil"/>
            </w:tcBorders>
            <w:shd w:val="clear" w:color="auto" w:fill="auto"/>
            <w:vAlign w:val="center"/>
          </w:tcPr>
          <w:p w14:paraId="2C32862F">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6.34</w:t>
            </w:r>
          </w:p>
        </w:tc>
        <w:tc>
          <w:tcPr>
            <w:tcW w:w="1739" w:type="dxa"/>
            <w:tcBorders>
              <w:tl2br w:val="nil"/>
              <w:tr2bl w:val="nil"/>
            </w:tcBorders>
            <w:shd w:val="clear" w:color="auto" w:fill="auto"/>
            <w:vAlign w:val="center"/>
          </w:tcPr>
          <w:p w14:paraId="352CC84B">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r>
      <w:tr w14:paraId="080F97D9">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992" w:type="dxa"/>
            <w:tcBorders>
              <w:tl2br w:val="nil"/>
              <w:tr2bl w:val="nil"/>
            </w:tcBorders>
            <w:shd w:val="clear" w:color="auto" w:fill="auto"/>
            <w:vAlign w:val="center"/>
          </w:tcPr>
          <w:p w14:paraId="110D25C4">
            <w:pPr>
              <w:ind w:left="-105" w:right="-105"/>
              <w:jc w:val="center"/>
              <w:textAlignment w:val="center"/>
              <w:rPr>
                <w:color w:val="auto"/>
                <w:sz w:val="21"/>
                <w:szCs w:val="21"/>
                <w:highlight w:val="none"/>
              </w:rPr>
            </w:pPr>
            <w:r>
              <w:rPr>
                <w:rFonts w:hint="eastAsia"/>
                <w:color w:val="auto"/>
                <w:sz w:val="21"/>
                <w:szCs w:val="21"/>
                <w:highlight w:val="none"/>
                <w:lang w:bidi="ar"/>
              </w:rPr>
              <w:t>汞</w:t>
            </w:r>
          </w:p>
        </w:tc>
        <w:tc>
          <w:tcPr>
            <w:tcW w:w="885" w:type="dxa"/>
            <w:tcBorders>
              <w:tl2br w:val="nil"/>
              <w:tr2bl w:val="nil"/>
            </w:tcBorders>
            <w:shd w:val="clear" w:color="auto" w:fill="auto"/>
            <w:vAlign w:val="center"/>
          </w:tcPr>
          <w:p w14:paraId="029E92BC">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mg/kg</w:t>
            </w:r>
          </w:p>
        </w:tc>
        <w:tc>
          <w:tcPr>
            <w:tcW w:w="1341" w:type="dxa"/>
            <w:tcBorders>
              <w:tl2br w:val="nil"/>
              <w:tr2bl w:val="nil"/>
            </w:tcBorders>
            <w:shd w:val="clear" w:color="auto" w:fill="auto"/>
            <w:vAlign w:val="center"/>
          </w:tcPr>
          <w:p w14:paraId="323D5FD5">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38</w:t>
            </w:r>
          </w:p>
        </w:tc>
        <w:tc>
          <w:tcPr>
            <w:tcW w:w="1406" w:type="dxa"/>
            <w:tcBorders>
              <w:tl2br w:val="nil"/>
              <w:tr2bl w:val="nil"/>
            </w:tcBorders>
            <w:shd w:val="clear" w:color="auto" w:fill="auto"/>
            <w:vAlign w:val="center"/>
          </w:tcPr>
          <w:p w14:paraId="01C7CD20">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0.114</w:t>
            </w:r>
          </w:p>
        </w:tc>
        <w:tc>
          <w:tcPr>
            <w:tcW w:w="1738" w:type="dxa"/>
            <w:tcBorders>
              <w:tl2br w:val="nil"/>
              <w:tr2bl w:val="nil"/>
            </w:tcBorders>
            <w:shd w:val="clear" w:color="auto" w:fill="auto"/>
            <w:vAlign w:val="center"/>
          </w:tcPr>
          <w:p w14:paraId="6BE4E036">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 xml:space="preserve">0.0030 </w:t>
            </w:r>
          </w:p>
        </w:tc>
        <w:tc>
          <w:tcPr>
            <w:tcW w:w="1406" w:type="dxa"/>
            <w:tcBorders>
              <w:tl2br w:val="nil"/>
              <w:tr2bl w:val="nil"/>
            </w:tcBorders>
            <w:shd w:val="clear" w:color="auto" w:fill="auto"/>
            <w:vAlign w:val="center"/>
          </w:tcPr>
          <w:p w14:paraId="78762F22">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0.242</w:t>
            </w:r>
          </w:p>
        </w:tc>
        <w:tc>
          <w:tcPr>
            <w:tcW w:w="1738" w:type="dxa"/>
            <w:tcBorders>
              <w:tl2br w:val="nil"/>
              <w:tr2bl w:val="nil"/>
            </w:tcBorders>
            <w:shd w:val="clear" w:color="auto" w:fill="auto"/>
            <w:vAlign w:val="center"/>
          </w:tcPr>
          <w:p w14:paraId="1A2DA4FB">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 xml:space="preserve">0.0064 </w:t>
            </w:r>
          </w:p>
        </w:tc>
        <w:tc>
          <w:tcPr>
            <w:tcW w:w="1407" w:type="dxa"/>
            <w:tcBorders>
              <w:tl2br w:val="nil"/>
              <w:tr2bl w:val="nil"/>
            </w:tcBorders>
            <w:shd w:val="clear" w:color="auto" w:fill="auto"/>
            <w:vAlign w:val="center"/>
          </w:tcPr>
          <w:p w14:paraId="36343C93">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0.262</w:t>
            </w:r>
          </w:p>
        </w:tc>
        <w:tc>
          <w:tcPr>
            <w:tcW w:w="1739" w:type="dxa"/>
            <w:tcBorders>
              <w:tl2br w:val="nil"/>
              <w:tr2bl w:val="nil"/>
            </w:tcBorders>
            <w:shd w:val="clear" w:color="auto" w:fill="auto"/>
            <w:vAlign w:val="center"/>
          </w:tcPr>
          <w:p w14:paraId="65E72B59">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 xml:space="preserve">0.0069 </w:t>
            </w:r>
          </w:p>
        </w:tc>
      </w:tr>
      <w:tr w14:paraId="2BB7C83B">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992" w:type="dxa"/>
            <w:tcBorders>
              <w:tl2br w:val="nil"/>
              <w:tr2bl w:val="nil"/>
            </w:tcBorders>
            <w:shd w:val="clear" w:color="auto" w:fill="auto"/>
            <w:vAlign w:val="center"/>
          </w:tcPr>
          <w:p w14:paraId="11539DE7">
            <w:pPr>
              <w:ind w:left="-105" w:right="-105"/>
              <w:jc w:val="center"/>
              <w:textAlignment w:val="center"/>
              <w:rPr>
                <w:color w:val="auto"/>
                <w:sz w:val="21"/>
                <w:szCs w:val="21"/>
                <w:highlight w:val="none"/>
              </w:rPr>
            </w:pPr>
            <w:r>
              <w:rPr>
                <w:rFonts w:hint="eastAsia"/>
                <w:color w:val="auto"/>
                <w:sz w:val="21"/>
                <w:szCs w:val="21"/>
                <w:highlight w:val="none"/>
                <w:lang w:bidi="ar"/>
              </w:rPr>
              <w:t>砷</w:t>
            </w:r>
          </w:p>
        </w:tc>
        <w:tc>
          <w:tcPr>
            <w:tcW w:w="885" w:type="dxa"/>
            <w:tcBorders>
              <w:tl2br w:val="nil"/>
              <w:tr2bl w:val="nil"/>
            </w:tcBorders>
            <w:shd w:val="clear" w:color="auto" w:fill="auto"/>
            <w:vAlign w:val="center"/>
          </w:tcPr>
          <w:p w14:paraId="551D095D">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mg/kg</w:t>
            </w:r>
          </w:p>
        </w:tc>
        <w:tc>
          <w:tcPr>
            <w:tcW w:w="1341" w:type="dxa"/>
            <w:tcBorders>
              <w:tl2br w:val="nil"/>
              <w:tr2bl w:val="nil"/>
            </w:tcBorders>
            <w:shd w:val="clear" w:color="auto" w:fill="auto"/>
            <w:vAlign w:val="center"/>
          </w:tcPr>
          <w:p w14:paraId="038BEB4C">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60</w:t>
            </w:r>
          </w:p>
        </w:tc>
        <w:tc>
          <w:tcPr>
            <w:tcW w:w="1406" w:type="dxa"/>
            <w:tcBorders>
              <w:tl2br w:val="nil"/>
              <w:tr2bl w:val="nil"/>
            </w:tcBorders>
            <w:shd w:val="clear" w:color="auto" w:fill="auto"/>
            <w:vAlign w:val="center"/>
          </w:tcPr>
          <w:p w14:paraId="12A8E9DB">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7.55</w:t>
            </w:r>
          </w:p>
        </w:tc>
        <w:tc>
          <w:tcPr>
            <w:tcW w:w="1738" w:type="dxa"/>
            <w:tcBorders>
              <w:tl2br w:val="nil"/>
              <w:tr2bl w:val="nil"/>
            </w:tcBorders>
            <w:shd w:val="clear" w:color="auto" w:fill="auto"/>
            <w:vAlign w:val="center"/>
          </w:tcPr>
          <w:p w14:paraId="2E827B19">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 xml:space="preserve">0.1258 </w:t>
            </w:r>
          </w:p>
        </w:tc>
        <w:tc>
          <w:tcPr>
            <w:tcW w:w="1406" w:type="dxa"/>
            <w:tcBorders>
              <w:tl2br w:val="nil"/>
              <w:tr2bl w:val="nil"/>
            </w:tcBorders>
            <w:shd w:val="clear" w:color="auto" w:fill="auto"/>
            <w:vAlign w:val="center"/>
          </w:tcPr>
          <w:p w14:paraId="307B094B">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7.61</w:t>
            </w:r>
          </w:p>
        </w:tc>
        <w:tc>
          <w:tcPr>
            <w:tcW w:w="1738" w:type="dxa"/>
            <w:tcBorders>
              <w:tl2br w:val="nil"/>
              <w:tr2bl w:val="nil"/>
            </w:tcBorders>
            <w:shd w:val="clear" w:color="auto" w:fill="auto"/>
            <w:vAlign w:val="center"/>
          </w:tcPr>
          <w:p w14:paraId="6C84FC40">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 xml:space="preserve">0.1268 </w:t>
            </w:r>
          </w:p>
        </w:tc>
        <w:tc>
          <w:tcPr>
            <w:tcW w:w="1407" w:type="dxa"/>
            <w:tcBorders>
              <w:tl2br w:val="nil"/>
              <w:tr2bl w:val="nil"/>
            </w:tcBorders>
            <w:shd w:val="clear" w:color="auto" w:fill="auto"/>
            <w:vAlign w:val="center"/>
          </w:tcPr>
          <w:p w14:paraId="7E44DFD9">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8.45</w:t>
            </w:r>
          </w:p>
        </w:tc>
        <w:tc>
          <w:tcPr>
            <w:tcW w:w="1739" w:type="dxa"/>
            <w:tcBorders>
              <w:tl2br w:val="nil"/>
              <w:tr2bl w:val="nil"/>
            </w:tcBorders>
            <w:shd w:val="clear" w:color="auto" w:fill="auto"/>
            <w:vAlign w:val="center"/>
          </w:tcPr>
          <w:p w14:paraId="13D9A7E3">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 xml:space="preserve">0.1408 </w:t>
            </w:r>
          </w:p>
        </w:tc>
      </w:tr>
      <w:tr w14:paraId="0C62E035">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992" w:type="dxa"/>
            <w:tcBorders>
              <w:tl2br w:val="nil"/>
              <w:tr2bl w:val="nil"/>
            </w:tcBorders>
            <w:shd w:val="clear" w:color="auto" w:fill="auto"/>
            <w:vAlign w:val="center"/>
          </w:tcPr>
          <w:p w14:paraId="3227FDA4">
            <w:pPr>
              <w:ind w:left="-105" w:right="-105"/>
              <w:jc w:val="center"/>
              <w:textAlignment w:val="center"/>
              <w:rPr>
                <w:color w:val="auto"/>
                <w:sz w:val="21"/>
                <w:szCs w:val="21"/>
                <w:highlight w:val="none"/>
              </w:rPr>
            </w:pPr>
            <w:r>
              <w:rPr>
                <w:rFonts w:hint="eastAsia"/>
                <w:color w:val="auto"/>
                <w:sz w:val="21"/>
                <w:szCs w:val="21"/>
                <w:highlight w:val="none"/>
                <w:lang w:bidi="ar"/>
              </w:rPr>
              <w:t>镉</w:t>
            </w:r>
          </w:p>
        </w:tc>
        <w:tc>
          <w:tcPr>
            <w:tcW w:w="885" w:type="dxa"/>
            <w:tcBorders>
              <w:tl2br w:val="nil"/>
              <w:tr2bl w:val="nil"/>
            </w:tcBorders>
            <w:shd w:val="clear" w:color="auto" w:fill="auto"/>
            <w:vAlign w:val="center"/>
          </w:tcPr>
          <w:p w14:paraId="42ACB1D0">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mg/kg</w:t>
            </w:r>
          </w:p>
        </w:tc>
        <w:tc>
          <w:tcPr>
            <w:tcW w:w="1341" w:type="dxa"/>
            <w:tcBorders>
              <w:tl2br w:val="nil"/>
              <w:tr2bl w:val="nil"/>
            </w:tcBorders>
            <w:shd w:val="clear" w:color="auto" w:fill="auto"/>
            <w:vAlign w:val="center"/>
          </w:tcPr>
          <w:p w14:paraId="469D0B59">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65</w:t>
            </w:r>
          </w:p>
        </w:tc>
        <w:tc>
          <w:tcPr>
            <w:tcW w:w="1406" w:type="dxa"/>
            <w:tcBorders>
              <w:tl2br w:val="nil"/>
              <w:tr2bl w:val="nil"/>
            </w:tcBorders>
            <w:shd w:val="clear" w:color="auto" w:fill="auto"/>
            <w:vAlign w:val="center"/>
          </w:tcPr>
          <w:p w14:paraId="33AF0C40">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0.05</w:t>
            </w:r>
          </w:p>
        </w:tc>
        <w:tc>
          <w:tcPr>
            <w:tcW w:w="1738" w:type="dxa"/>
            <w:tcBorders>
              <w:tl2br w:val="nil"/>
              <w:tr2bl w:val="nil"/>
            </w:tcBorders>
            <w:shd w:val="clear" w:color="auto" w:fill="auto"/>
            <w:vAlign w:val="center"/>
          </w:tcPr>
          <w:p w14:paraId="34EB9C26">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 xml:space="preserve">0.0008 </w:t>
            </w:r>
          </w:p>
        </w:tc>
        <w:tc>
          <w:tcPr>
            <w:tcW w:w="1406" w:type="dxa"/>
            <w:tcBorders>
              <w:tl2br w:val="nil"/>
              <w:tr2bl w:val="nil"/>
            </w:tcBorders>
            <w:shd w:val="clear" w:color="auto" w:fill="auto"/>
            <w:vAlign w:val="center"/>
          </w:tcPr>
          <w:p w14:paraId="744A4C45">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0.19</w:t>
            </w:r>
          </w:p>
        </w:tc>
        <w:tc>
          <w:tcPr>
            <w:tcW w:w="1738" w:type="dxa"/>
            <w:tcBorders>
              <w:tl2br w:val="nil"/>
              <w:tr2bl w:val="nil"/>
            </w:tcBorders>
            <w:shd w:val="clear" w:color="auto" w:fill="auto"/>
            <w:vAlign w:val="center"/>
          </w:tcPr>
          <w:p w14:paraId="171F97DC">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 xml:space="preserve">0.0029 </w:t>
            </w:r>
          </w:p>
        </w:tc>
        <w:tc>
          <w:tcPr>
            <w:tcW w:w="1407" w:type="dxa"/>
            <w:tcBorders>
              <w:tl2br w:val="nil"/>
              <w:tr2bl w:val="nil"/>
            </w:tcBorders>
            <w:shd w:val="clear" w:color="auto" w:fill="auto"/>
            <w:vAlign w:val="center"/>
          </w:tcPr>
          <w:p w14:paraId="7A6A9CD3">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0.16</w:t>
            </w:r>
          </w:p>
        </w:tc>
        <w:tc>
          <w:tcPr>
            <w:tcW w:w="1739" w:type="dxa"/>
            <w:tcBorders>
              <w:tl2br w:val="nil"/>
              <w:tr2bl w:val="nil"/>
            </w:tcBorders>
            <w:shd w:val="clear" w:color="auto" w:fill="auto"/>
            <w:vAlign w:val="center"/>
          </w:tcPr>
          <w:p w14:paraId="39B57603">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 xml:space="preserve">0.0025 </w:t>
            </w:r>
          </w:p>
        </w:tc>
      </w:tr>
      <w:tr w14:paraId="6223B421">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992" w:type="dxa"/>
            <w:tcBorders>
              <w:tl2br w:val="nil"/>
              <w:tr2bl w:val="nil"/>
            </w:tcBorders>
            <w:shd w:val="clear" w:color="auto" w:fill="auto"/>
            <w:vAlign w:val="center"/>
          </w:tcPr>
          <w:p w14:paraId="40E36F2C">
            <w:pPr>
              <w:ind w:left="-105" w:right="-105"/>
              <w:jc w:val="center"/>
              <w:textAlignment w:val="center"/>
              <w:rPr>
                <w:color w:val="auto"/>
                <w:sz w:val="21"/>
                <w:szCs w:val="21"/>
                <w:highlight w:val="none"/>
              </w:rPr>
            </w:pPr>
            <w:r>
              <w:rPr>
                <w:rFonts w:hint="eastAsia"/>
                <w:color w:val="auto"/>
                <w:sz w:val="21"/>
                <w:szCs w:val="21"/>
                <w:highlight w:val="none"/>
                <w:lang w:bidi="ar"/>
              </w:rPr>
              <w:t>铜</w:t>
            </w:r>
          </w:p>
        </w:tc>
        <w:tc>
          <w:tcPr>
            <w:tcW w:w="885" w:type="dxa"/>
            <w:tcBorders>
              <w:tl2br w:val="nil"/>
              <w:tr2bl w:val="nil"/>
            </w:tcBorders>
            <w:shd w:val="clear" w:color="auto" w:fill="auto"/>
            <w:vAlign w:val="center"/>
          </w:tcPr>
          <w:p w14:paraId="151F7B42">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mg/kg</w:t>
            </w:r>
          </w:p>
        </w:tc>
        <w:tc>
          <w:tcPr>
            <w:tcW w:w="1341" w:type="dxa"/>
            <w:tcBorders>
              <w:tl2br w:val="nil"/>
              <w:tr2bl w:val="nil"/>
            </w:tcBorders>
            <w:shd w:val="clear" w:color="auto" w:fill="auto"/>
            <w:vAlign w:val="center"/>
          </w:tcPr>
          <w:p w14:paraId="428A5A78">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18000</w:t>
            </w:r>
          </w:p>
        </w:tc>
        <w:tc>
          <w:tcPr>
            <w:tcW w:w="1406" w:type="dxa"/>
            <w:tcBorders>
              <w:tl2br w:val="nil"/>
              <w:tr2bl w:val="nil"/>
            </w:tcBorders>
            <w:shd w:val="clear" w:color="auto" w:fill="auto"/>
            <w:vAlign w:val="center"/>
          </w:tcPr>
          <w:p w14:paraId="72E4CC52">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17</w:t>
            </w:r>
          </w:p>
        </w:tc>
        <w:tc>
          <w:tcPr>
            <w:tcW w:w="1738" w:type="dxa"/>
            <w:tcBorders>
              <w:tl2br w:val="nil"/>
              <w:tr2bl w:val="nil"/>
            </w:tcBorders>
            <w:shd w:val="clear" w:color="auto" w:fill="auto"/>
            <w:vAlign w:val="center"/>
          </w:tcPr>
          <w:p w14:paraId="5A17F29D">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 xml:space="preserve">0.0009 </w:t>
            </w:r>
          </w:p>
        </w:tc>
        <w:tc>
          <w:tcPr>
            <w:tcW w:w="1406" w:type="dxa"/>
            <w:tcBorders>
              <w:tl2br w:val="nil"/>
              <w:tr2bl w:val="nil"/>
            </w:tcBorders>
            <w:shd w:val="clear" w:color="auto" w:fill="auto"/>
            <w:vAlign w:val="center"/>
          </w:tcPr>
          <w:p w14:paraId="13E11E52">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34</w:t>
            </w:r>
          </w:p>
        </w:tc>
        <w:tc>
          <w:tcPr>
            <w:tcW w:w="1738" w:type="dxa"/>
            <w:tcBorders>
              <w:tl2br w:val="nil"/>
              <w:tr2bl w:val="nil"/>
            </w:tcBorders>
            <w:shd w:val="clear" w:color="auto" w:fill="auto"/>
            <w:vAlign w:val="center"/>
          </w:tcPr>
          <w:p w14:paraId="0CCBED8A">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 xml:space="preserve">0.0019 </w:t>
            </w:r>
          </w:p>
        </w:tc>
        <w:tc>
          <w:tcPr>
            <w:tcW w:w="1407" w:type="dxa"/>
            <w:tcBorders>
              <w:tl2br w:val="nil"/>
              <w:tr2bl w:val="nil"/>
            </w:tcBorders>
            <w:shd w:val="clear" w:color="auto" w:fill="auto"/>
            <w:vAlign w:val="center"/>
          </w:tcPr>
          <w:p w14:paraId="25ECB867">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33</w:t>
            </w:r>
          </w:p>
        </w:tc>
        <w:tc>
          <w:tcPr>
            <w:tcW w:w="1739" w:type="dxa"/>
            <w:tcBorders>
              <w:tl2br w:val="nil"/>
              <w:tr2bl w:val="nil"/>
            </w:tcBorders>
            <w:shd w:val="clear" w:color="auto" w:fill="auto"/>
            <w:vAlign w:val="center"/>
          </w:tcPr>
          <w:p w14:paraId="6349AF09">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 xml:space="preserve">0.0018 </w:t>
            </w:r>
          </w:p>
        </w:tc>
      </w:tr>
      <w:tr w14:paraId="2F4E9A51">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992" w:type="dxa"/>
            <w:tcBorders>
              <w:tl2br w:val="nil"/>
              <w:tr2bl w:val="nil"/>
            </w:tcBorders>
            <w:shd w:val="clear" w:color="auto" w:fill="auto"/>
            <w:vAlign w:val="center"/>
          </w:tcPr>
          <w:p w14:paraId="36FE18D1">
            <w:pPr>
              <w:ind w:left="-105" w:right="-105"/>
              <w:jc w:val="center"/>
              <w:textAlignment w:val="center"/>
              <w:rPr>
                <w:color w:val="auto"/>
                <w:sz w:val="21"/>
                <w:szCs w:val="21"/>
                <w:highlight w:val="none"/>
              </w:rPr>
            </w:pPr>
            <w:r>
              <w:rPr>
                <w:rFonts w:hint="eastAsia"/>
                <w:color w:val="auto"/>
                <w:sz w:val="21"/>
                <w:szCs w:val="21"/>
                <w:highlight w:val="none"/>
                <w:lang w:bidi="ar"/>
              </w:rPr>
              <w:t>铅</w:t>
            </w:r>
          </w:p>
        </w:tc>
        <w:tc>
          <w:tcPr>
            <w:tcW w:w="885" w:type="dxa"/>
            <w:tcBorders>
              <w:tl2br w:val="nil"/>
              <w:tr2bl w:val="nil"/>
            </w:tcBorders>
            <w:shd w:val="clear" w:color="auto" w:fill="auto"/>
            <w:vAlign w:val="center"/>
          </w:tcPr>
          <w:p w14:paraId="1F5E9E5F">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mg/kg</w:t>
            </w:r>
          </w:p>
        </w:tc>
        <w:tc>
          <w:tcPr>
            <w:tcW w:w="1341" w:type="dxa"/>
            <w:tcBorders>
              <w:tl2br w:val="nil"/>
              <w:tr2bl w:val="nil"/>
            </w:tcBorders>
            <w:shd w:val="clear" w:color="auto" w:fill="auto"/>
            <w:vAlign w:val="center"/>
          </w:tcPr>
          <w:p w14:paraId="63F16EF6">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800</w:t>
            </w:r>
          </w:p>
        </w:tc>
        <w:tc>
          <w:tcPr>
            <w:tcW w:w="1406" w:type="dxa"/>
            <w:tcBorders>
              <w:tl2br w:val="nil"/>
              <w:tr2bl w:val="nil"/>
            </w:tcBorders>
            <w:shd w:val="clear" w:color="auto" w:fill="auto"/>
            <w:vAlign w:val="center"/>
          </w:tcPr>
          <w:p w14:paraId="4407C274">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20.5</w:t>
            </w:r>
          </w:p>
        </w:tc>
        <w:tc>
          <w:tcPr>
            <w:tcW w:w="1738" w:type="dxa"/>
            <w:tcBorders>
              <w:tl2br w:val="nil"/>
              <w:tr2bl w:val="nil"/>
            </w:tcBorders>
            <w:shd w:val="clear" w:color="auto" w:fill="auto"/>
            <w:vAlign w:val="center"/>
          </w:tcPr>
          <w:p w14:paraId="5DD82381">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 xml:space="preserve">0.0256 </w:t>
            </w:r>
          </w:p>
        </w:tc>
        <w:tc>
          <w:tcPr>
            <w:tcW w:w="1406" w:type="dxa"/>
            <w:tcBorders>
              <w:tl2br w:val="nil"/>
              <w:tr2bl w:val="nil"/>
            </w:tcBorders>
            <w:shd w:val="clear" w:color="auto" w:fill="auto"/>
            <w:vAlign w:val="center"/>
          </w:tcPr>
          <w:p w14:paraId="72CF596E">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32</w:t>
            </w:r>
          </w:p>
        </w:tc>
        <w:tc>
          <w:tcPr>
            <w:tcW w:w="1738" w:type="dxa"/>
            <w:tcBorders>
              <w:tl2br w:val="nil"/>
              <w:tr2bl w:val="nil"/>
            </w:tcBorders>
            <w:shd w:val="clear" w:color="auto" w:fill="auto"/>
            <w:vAlign w:val="center"/>
          </w:tcPr>
          <w:p w14:paraId="014BB03D">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 xml:space="preserve">0.0400 </w:t>
            </w:r>
          </w:p>
        </w:tc>
        <w:tc>
          <w:tcPr>
            <w:tcW w:w="1407" w:type="dxa"/>
            <w:tcBorders>
              <w:tl2br w:val="nil"/>
              <w:tr2bl w:val="nil"/>
            </w:tcBorders>
            <w:shd w:val="clear" w:color="auto" w:fill="auto"/>
            <w:vAlign w:val="center"/>
          </w:tcPr>
          <w:p w14:paraId="3943BA6A">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29</w:t>
            </w:r>
          </w:p>
        </w:tc>
        <w:tc>
          <w:tcPr>
            <w:tcW w:w="1739" w:type="dxa"/>
            <w:tcBorders>
              <w:tl2br w:val="nil"/>
              <w:tr2bl w:val="nil"/>
            </w:tcBorders>
            <w:shd w:val="clear" w:color="auto" w:fill="auto"/>
            <w:vAlign w:val="center"/>
          </w:tcPr>
          <w:p w14:paraId="2FE3E0B8">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 xml:space="preserve">0.0363 </w:t>
            </w:r>
          </w:p>
        </w:tc>
      </w:tr>
      <w:tr w14:paraId="6A03A0E5">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992" w:type="dxa"/>
            <w:tcBorders>
              <w:tl2br w:val="nil"/>
              <w:tr2bl w:val="nil"/>
            </w:tcBorders>
            <w:shd w:val="clear" w:color="auto" w:fill="auto"/>
            <w:vAlign w:val="center"/>
          </w:tcPr>
          <w:p w14:paraId="49799E3B">
            <w:pPr>
              <w:ind w:left="-105" w:right="-105"/>
              <w:jc w:val="center"/>
              <w:textAlignment w:val="center"/>
              <w:rPr>
                <w:color w:val="auto"/>
                <w:sz w:val="21"/>
                <w:szCs w:val="21"/>
                <w:highlight w:val="none"/>
              </w:rPr>
            </w:pPr>
            <w:r>
              <w:rPr>
                <w:rFonts w:hint="eastAsia"/>
                <w:color w:val="auto"/>
                <w:sz w:val="21"/>
                <w:szCs w:val="21"/>
                <w:highlight w:val="none"/>
                <w:lang w:bidi="ar"/>
              </w:rPr>
              <w:t>镍</w:t>
            </w:r>
          </w:p>
        </w:tc>
        <w:tc>
          <w:tcPr>
            <w:tcW w:w="885" w:type="dxa"/>
            <w:tcBorders>
              <w:tl2br w:val="nil"/>
              <w:tr2bl w:val="nil"/>
            </w:tcBorders>
            <w:shd w:val="clear" w:color="auto" w:fill="auto"/>
            <w:vAlign w:val="center"/>
          </w:tcPr>
          <w:p w14:paraId="29BA019B">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mg/kg</w:t>
            </w:r>
          </w:p>
        </w:tc>
        <w:tc>
          <w:tcPr>
            <w:tcW w:w="1341" w:type="dxa"/>
            <w:tcBorders>
              <w:tl2br w:val="nil"/>
              <w:tr2bl w:val="nil"/>
            </w:tcBorders>
            <w:shd w:val="clear" w:color="auto" w:fill="auto"/>
            <w:vAlign w:val="center"/>
          </w:tcPr>
          <w:p w14:paraId="05A216D1">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900</w:t>
            </w:r>
          </w:p>
        </w:tc>
        <w:tc>
          <w:tcPr>
            <w:tcW w:w="1406" w:type="dxa"/>
            <w:tcBorders>
              <w:tl2br w:val="nil"/>
              <w:tr2bl w:val="nil"/>
            </w:tcBorders>
            <w:shd w:val="clear" w:color="auto" w:fill="auto"/>
            <w:vAlign w:val="center"/>
          </w:tcPr>
          <w:p w14:paraId="3134DAAD">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25</w:t>
            </w:r>
          </w:p>
        </w:tc>
        <w:tc>
          <w:tcPr>
            <w:tcW w:w="1738" w:type="dxa"/>
            <w:tcBorders>
              <w:tl2br w:val="nil"/>
              <w:tr2bl w:val="nil"/>
            </w:tcBorders>
            <w:shd w:val="clear" w:color="auto" w:fill="auto"/>
            <w:vAlign w:val="center"/>
          </w:tcPr>
          <w:p w14:paraId="4541F678">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 xml:space="preserve">0.0278 </w:t>
            </w:r>
          </w:p>
        </w:tc>
        <w:tc>
          <w:tcPr>
            <w:tcW w:w="1406" w:type="dxa"/>
            <w:tcBorders>
              <w:tl2br w:val="nil"/>
              <w:tr2bl w:val="nil"/>
            </w:tcBorders>
            <w:shd w:val="clear" w:color="auto" w:fill="auto"/>
            <w:vAlign w:val="center"/>
          </w:tcPr>
          <w:p w14:paraId="640EE411">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28</w:t>
            </w:r>
          </w:p>
        </w:tc>
        <w:tc>
          <w:tcPr>
            <w:tcW w:w="1738" w:type="dxa"/>
            <w:tcBorders>
              <w:tl2br w:val="nil"/>
              <w:tr2bl w:val="nil"/>
            </w:tcBorders>
            <w:shd w:val="clear" w:color="auto" w:fill="auto"/>
            <w:vAlign w:val="center"/>
          </w:tcPr>
          <w:p w14:paraId="7B3C993F">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 xml:space="preserve">0.0311 </w:t>
            </w:r>
          </w:p>
        </w:tc>
        <w:tc>
          <w:tcPr>
            <w:tcW w:w="1407" w:type="dxa"/>
            <w:tcBorders>
              <w:tl2br w:val="nil"/>
              <w:tr2bl w:val="nil"/>
            </w:tcBorders>
            <w:shd w:val="clear" w:color="auto" w:fill="auto"/>
            <w:vAlign w:val="center"/>
          </w:tcPr>
          <w:p w14:paraId="51A45E9F">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27</w:t>
            </w:r>
          </w:p>
        </w:tc>
        <w:tc>
          <w:tcPr>
            <w:tcW w:w="1739" w:type="dxa"/>
            <w:tcBorders>
              <w:tl2br w:val="nil"/>
              <w:tr2bl w:val="nil"/>
            </w:tcBorders>
            <w:shd w:val="clear" w:color="auto" w:fill="auto"/>
            <w:vAlign w:val="center"/>
          </w:tcPr>
          <w:p w14:paraId="25428E35">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 xml:space="preserve">0.0300 </w:t>
            </w:r>
          </w:p>
        </w:tc>
      </w:tr>
      <w:tr w14:paraId="0C53EB50">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992" w:type="dxa"/>
            <w:tcBorders>
              <w:tl2br w:val="nil"/>
              <w:tr2bl w:val="nil"/>
            </w:tcBorders>
            <w:shd w:val="clear" w:color="auto" w:fill="auto"/>
            <w:vAlign w:val="center"/>
          </w:tcPr>
          <w:p w14:paraId="01FF1EC0">
            <w:pPr>
              <w:ind w:left="-105" w:right="-105"/>
              <w:jc w:val="center"/>
              <w:textAlignment w:val="center"/>
              <w:rPr>
                <w:color w:val="auto"/>
                <w:sz w:val="21"/>
                <w:szCs w:val="21"/>
                <w:highlight w:val="none"/>
              </w:rPr>
            </w:pPr>
            <w:r>
              <w:rPr>
                <w:rFonts w:hint="eastAsia"/>
                <w:color w:val="auto"/>
                <w:sz w:val="21"/>
                <w:szCs w:val="21"/>
                <w:highlight w:val="none"/>
                <w:lang w:bidi="ar"/>
              </w:rPr>
              <w:t>六价铬</w:t>
            </w:r>
          </w:p>
        </w:tc>
        <w:tc>
          <w:tcPr>
            <w:tcW w:w="885" w:type="dxa"/>
            <w:tcBorders>
              <w:tl2br w:val="nil"/>
              <w:tr2bl w:val="nil"/>
            </w:tcBorders>
            <w:shd w:val="clear" w:color="auto" w:fill="auto"/>
            <w:vAlign w:val="center"/>
          </w:tcPr>
          <w:p w14:paraId="4B692767">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mg/kg</w:t>
            </w:r>
          </w:p>
        </w:tc>
        <w:tc>
          <w:tcPr>
            <w:tcW w:w="1341" w:type="dxa"/>
            <w:tcBorders>
              <w:tl2br w:val="nil"/>
              <w:tr2bl w:val="nil"/>
            </w:tcBorders>
            <w:shd w:val="clear" w:color="auto" w:fill="auto"/>
            <w:vAlign w:val="center"/>
          </w:tcPr>
          <w:p w14:paraId="73ECA072">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5.7</w:t>
            </w:r>
          </w:p>
        </w:tc>
        <w:tc>
          <w:tcPr>
            <w:tcW w:w="1406" w:type="dxa"/>
            <w:tcBorders>
              <w:tl2br w:val="nil"/>
              <w:tr2bl w:val="nil"/>
            </w:tcBorders>
            <w:shd w:val="clear" w:color="auto" w:fill="auto"/>
            <w:vAlign w:val="center"/>
          </w:tcPr>
          <w:p w14:paraId="54B94AFB">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738" w:type="dxa"/>
            <w:tcBorders>
              <w:tl2br w:val="nil"/>
              <w:tr2bl w:val="nil"/>
            </w:tcBorders>
            <w:shd w:val="clear" w:color="auto" w:fill="auto"/>
            <w:vAlign w:val="center"/>
          </w:tcPr>
          <w:p w14:paraId="744C6082">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406" w:type="dxa"/>
            <w:tcBorders>
              <w:tl2br w:val="nil"/>
              <w:tr2bl w:val="nil"/>
            </w:tcBorders>
            <w:shd w:val="clear" w:color="auto" w:fill="auto"/>
            <w:vAlign w:val="center"/>
          </w:tcPr>
          <w:p w14:paraId="1C3A1CE6">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738" w:type="dxa"/>
            <w:tcBorders>
              <w:tl2br w:val="nil"/>
              <w:tr2bl w:val="nil"/>
            </w:tcBorders>
            <w:shd w:val="clear" w:color="auto" w:fill="auto"/>
            <w:vAlign w:val="center"/>
          </w:tcPr>
          <w:p w14:paraId="55043D57">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407" w:type="dxa"/>
            <w:tcBorders>
              <w:tl2br w:val="nil"/>
              <w:tr2bl w:val="nil"/>
            </w:tcBorders>
            <w:shd w:val="clear" w:color="auto" w:fill="auto"/>
            <w:vAlign w:val="center"/>
          </w:tcPr>
          <w:p w14:paraId="4D3F44A7">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739" w:type="dxa"/>
            <w:tcBorders>
              <w:tl2br w:val="nil"/>
              <w:tr2bl w:val="nil"/>
            </w:tcBorders>
            <w:shd w:val="clear" w:color="auto" w:fill="auto"/>
            <w:vAlign w:val="center"/>
          </w:tcPr>
          <w:p w14:paraId="2A764C0B">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r>
      <w:tr w14:paraId="38E2BC86">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992" w:type="dxa"/>
            <w:tcBorders>
              <w:tl2br w:val="nil"/>
              <w:tr2bl w:val="nil"/>
            </w:tcBorders>
            <w:shd w:val="clear" w:color="auto" w:fill="auto"/>
            <w:vAlign w:val="center"/>
          </w:tcPr>
          <w:p w14:paraId="39672136">
            <w:pPr>
              <w:ind w:left="-105" w:right="-105"/>
              <w:jc w:val="center"/>
              <w:textAlignment w:val="center"/>
              <w:rPr>
                <w:color w:val="auto"/>
                <w:sz w:val="21"/>
                <w:szCs w:val="21"/>
                <w:highlight w:val="none"/>
              </w:rPr>
            </w:pPr>
            <w:r>
              <w:rPr>
                <w:rFonts w:hint="eastAsia"/>
                <w:color w:val="auto"/>
                <w:sz w:val="21"/>
                <w:szCs w:val="21"/>
                <w:highlight w:val="none"/>
                <w:lang w:bidi="ar"/>
              </w:rPr>
              <w:t>氯甲烷</w:t>
            </w:r>
          </w:p>
        </w:tc>
        <w:tc>
          <w:tcPr>
            <w:tcW w:w="885" w:type="dxa"/>
            <w:tcBorders>
              <w:tl2br w:val="nil"/>
              <w:tr2bl w:val="nil"/>
            </w:tcBorders>
            <w:shd w:val="clear" w:color="auto" w:fill="auto"/>
            <w:vAlign w:val="center"/>
          </w:tcPr>
          <w:p w14:paraId="1C1BC410">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mg/kg</w:t>
            </w:r>
          </w:p>
        </w:tc>
        <w:tc>
          <w:tcPr>
            <w:tcW w:w="1341" w:type="dxa"/>
            <w:tcBorders>
              <w:tl2br w:val="nil"/>
              <w:tr2bl w:val="nil"/>
            </w:tcBorders>
            <w:shd w:val="clear" w:color="auto" w:fill="auto"/>
            <w:vAlign w:val="center"/>
          </w:tcPr>
          <w:p w14:paraId="499841D0">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37</w:t>
            </w:r>
          </w:p>
        </w:tc>
        <w:tc>
          <w:tcPr>
            <w:tcW w:w="1406" w:type="dxa"/>
            <w:tcBorders>
              <w:tl2br w:val="nil"/>
              <w:tr2bl w:val="nil"/>
            </w:tcBorders>
            <w:shd w:val="clear" w:color="auto" w:fill="auto"/>
            <w:vAlign w:val="center"/>
          </w:tcPr>
          <w:p w14:paraId="73AF9DAB">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738" w:type="dxa"/>
            <w:tcBorders>
              <w:tl2br w:val="nil"/>
              <w:tr2bl w:val="nil"/>
            </w:tcBorders>
            <w:shd w:val="clear" w:color="auto" w:fill="auto"/>
            <w:vAlign w:val="center"/>
          </w:tcPr>
          <w:p w14:paraId="7979D4E2">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406" w:type="dxa"/>
            <w:tcBorders>
              <w:tl2br w:val="nil"/>
              <w:tr2bl w:val="nil"/>
            </w:tcBorders>
            <w:shd w:val="clear" w:color="auto" w:fill="auto"/>
            <w:vAlign w:val="center"/>
          </w:tcPr>
          <w:p w14:paraId="639F2CB0">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738" w:type="dxa"/>
            <w:tcBorders>
              <w:tl2br w:val="nil"/>
              <w:tr2bl w:val="nil"/>
            </w:tcBorders>
            <w:shd w:val="clear" w:color="auto" w:fill="auto"/>
            <w:vAlign w:val="center"/>
          </w:tcPr>
          <w:p w14:paraId="40844397">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407" w:type="dxa"/>
            <w:tcBorders>
              <w:tl2br w:val="nil"/>
              <w:tr2bl w:val="nil"/>
            </w:tcBorders>
            <w:shd w:val="clear" w:color="auto" w:fill="auto"/>
            <w:vAlign w:val="center"/>
          </w:tcPr>
          <w:p w14:paraId="4D0D19EA">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739" w:type="dxa"/>
            <w:tcBorders>
              <w:tl2br w:val="nil"/>
              <w:tr2bl w:val="nil"/>
            </w:tcBorders>
            <w:shd w:val="clear" w:color="auto" w:fill="auto"/>
            <w:vAlign w:val="center"/>
          </w:tcPr>
          <w:p w14:paraId="7A9D1D2A">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r>
      <w:tr w14:paraId="51E002F3">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992" w:type="dxa"/>
            <w:tcBorders>
              <w:tl2br w:val="nil"/>
              <w:tr2bl w:val="nil"/>
            </w:tcBorders>
            <w:shd w:val="clear" w:color="auto" w:fill="auto"/>
            <w:vAlign w:val="center"/>
          </w:tcPr>
          <w:p w14:paraId="5D18543D">
            <w:pPr>
              <w:ind w:left="-105" w:right="-105"/>
              <w:jc w:val="center"/>
              <w:textAlignment w:val="center"/>
              <w:rPr>
                <w:color w:val="auto"/>
                <w:sz w:val="21"/>
                <w:szCs w:val="21"/>
                <w:highlight w:val="none"/>
              </w:rPr>
            </w:pPr>
            <w:r>
              <w:rPr>
                <w:rFonts w:hint="eastAsia"/>
                <w:color w:val="auto"/>
                <w:sz w:val="21"/>
                <w:szCs w:val="21"/>
                <w:highlight w:val="none"/>
                <w:lang w:bidi="ar"/>
              </w:rPr>
              <w:t>氯乙烯</w:t>
            </w:r>
          </w:p>
        </w:tc>
        <w:tc>
          <w:tcPr>
            <w:tcW w:w="885" w:type="dxa"/>
            <w:tcBorders>
              <w:tl2br w:val="nil"/>
              <w:tr2bl w:val="nil"/>
            </w:tcBorders>
            <w:shd w:val="clear" w:color="auto" w:fill="auto"/>
            <w:vAlign w:val="center"/>
          </w:tcPr>
          <w:p w14:paraId="3F57138B">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mg/kg</w:t>
            </w:r>
          </w:p>
        </w:tc>
        <w:tc>
          <w:tcPr>
            <w:tcW w:w="1341" w:type="dxa"/>
            <w:tcBorders>
              <w:tl2br w:val="nil"/>
              <w:tr2bl w:val="nil"/>
            </w:tcBorders>
            <w:shd w:val="clear" w:color="auto" w:fill="auto"/>
            <w:vAlign w:val="center"/>
          </w:tcPr>
          <w:p w14:paraId="75EC8B67">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0.43</w:t>
            </w:r>
          </w:p>
        </w:tc>
        <w:tc>
          <w:tcPr>
            <w:tcW w:w="1406" w:type="dxa"/>
            <w:tcBorders>
              <w:tl2br w:val="nil"/>
              <w:tr2bl w:val="nil"/>
            </w:tcBorders>
            <w:shd w:val="clear" w:color="auto" w:fill="auto"/>
            <w:vAlign w:val="center"/>
          </w:tcPr>
          <w:p w14:paraId="503B4ACB">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738" w:type="dxa"/>
            <w:tcBorders>
              <w:tl2br w:val="nil"/>
              <w:tr2bl w:val="nil"/>
            </w:tcBorders>
            <w:shd w:val="clear" w:color="auto" w:fill="auto"/>
            <w:vAlign w:val="center"/>
          </w:tcPr>
          <w:p w14:paraId="34DF7C29">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406" w:type="dxa"/>
            <w:tcBorders>
              <w:tl2br w:val="nil"/>
              <w:tr2bl w:val="nil"/>
            </w:tcBorders>
            <w:shd w:val="clear" w:color="auto" w:fill="auto"/>
            <w:vAlign w:val="center"/>
          </w:tcPr>
          <w:p w14:paraId="06966276">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738" w:type="dxa"/>
            <w:tcBorders>
              <w:tl2br w:val="nil"/>
              <w:tr2bl w:val="nil"/>
            </w:tcBorders>
            <w:shd w:val="clear" w:color="auto" w:fill="auto"/>
            <w:vAlign w:val="center"/>
          </w:tcPr>
          <w:p w14:paraId="32FD609E">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407" w:type="dxa"/>
            <w:tcBorders>
              <w:tl2br w:val="nil"/>
              <w:tr2bl w:val="nil"/>
            </w:tcBorders>
            <w:shd w:val="clear" w:color="auto" w:fill="auto"/>
            <w:vAlign w:val="center"/>
          </w:tcPr>
          <w:p w14:paraId="02EC231F">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739" w:type="dxa"/>
            <w:tcBorders>
              <w:tl2br w:val="nil"/>
              <w:tr2bl w:val="nil"/>
            </w:tcBorders>
            <w:shd w:val="clear" w:color="auto" w:fill="auto"/>
            <w:vAlign w:val="center"/>
          </w:tcPr>
          <w:p w14:paraId="5DDD23A3">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r>
      <w:tr w14:paraId="3F552956">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992" w:type="dxa"/>
            <w:tcBorders>
              <w:tl2br w:val="nil"/>
              <w:tr2bl w:val="nil"/>
            </w:tcBorders>
            <w:shd w:val="clear" w:color="auto" w:fill="auto"/>
            <w:vAlign w:val="center"/>
          </w:tcPr>
          <w:p w14:paraId="211F43C2">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1,1-</w:t>
            </w:r>
            <w:r>
              <w:rPr>
                <w:rFonts w:hint="eastAsia"/>
                <w:color w:val="auto"/>
                <w:sz w:val="21"/>
                <w:szCs w:val="21"/>
                <w:highlight w:val="none"/>
                <w:lang w:bidi="ar"/>
              </w:rPr>
              <w:t>二氯乙烯</w:t>
            </w:r>
          </w:p>
        </w:tc>
        <w:tc>
          <w:tcPr>
            <w:tcW w:w="885" w:type="dxa"/>
            <w:tcBorders>
              <w:tl2br w:val="nil"/>
              <w:tr2bl w:val="nil"/>
            </w:tcBorders>
            <w:shd w:val="clear" w:color="auto" w:fill="auto"/>
            <w:vAlign w:val="center"/>
          </w:tcPr>
          <w:p w14:paraId="0AB9AD05">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mg/kg</w:t>
            </w:r>
          </w:p>
        </w:tc>
        <w:tc>
          <w:tcPr>
            <w:tcW w:w="1341" w:type="dxa"/>
            <w:tcBorders>
              <w:tl2br w:val="nil"/>
              <w:tr2bl w:val="nil"/>
            </w:tcBorders>
            <w:shd w:val="clear" w:color="auto" w:fill="auto"/>
            <w:vAlign w:val="center"/>
          </w:tcPr>
          <w:p w14:paraId="3D8D557F">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66</w:t>
            </w:r>
          </w:p>
        </w:tc>
        <w:tc>
          <w:tcPr>
            <w:tcW w:w="1406" w:type="dxa"/>
            <w:tcBorders>
              <w:tl2br w:val="nil"/>
              <w:tr2bl w:val="nil"/>
            </w:tcBorders>
            <w:shd w:val="clear" w:color="auto" w:fill="auto"/>
            <w:vAlign w:val="center"/>
          </w:tcPr>
          <w:p w14:paraId="4965AF87">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738" w:type="dxa"/>
            <w:tcBorders>
              <w:tl2br w:val="nil"/>
              <w:tr2bl w:val="nil"/>
            </w:tcBorders>
            <w:shd w:val="clear" w:color="auto" w:fill="auto"/>
            <w:vAlign w:val="center"/>
          </w:tcPr>
          <w:p w14:paraId="78BD119A">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406" w:type="dxa"/>
            <w:tcBorders>
              <w:tl2br w:val="nil"/>
              <w:tr2bl w:val="nil"/>
            </w:tcBorders>
            <w:shd w:val="clear" w:color="auto" w:fill="auto"/>
            <w:vAlign w:val="center"/>
          </w:tcPr>
          <w:p w14:paraId="0AD2688D">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738" w:type="dxa"/>
            <w:tcBorders>
              <w:tl2br w:val="nil"/>
              <w:tr2bl w:val="nil"/>
            </w:tcBorders>
            <w:shd w:val="clear" w:color="auto" w:fill="auto"/>
            <w:vAlign w:val="center"/>
          </w:tcPr>
          <w:p w14:paraId="40362E58">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407" w:type="dxa"/>
            <w:tcBorders>
              <w:tl2br w:val="nil"/>
              <w:tr2bl w:val="nil"/>
            </w:tcBorders>
            <w:shd w:val="clear" w:color="auto" w:fill="auto"/>
            <w:vAlign w:val="center"/>
          </w:tcPr>
          <w:p w14:paraId="7D76E185">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739" w:type="dxa"/>
            <w:tcBorders>
              <w:tl2br w:val="nil"/>
              <w:tr2bl w:val="nil"/>
            </w:tcBorders>
            <w:shd w:val="clear" w:color="auto" w:fill="auto"/>
            <w:vAlign w:val="center"/>
          </w:tcPr>
          <w:p w14:paraId="326CB494">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r>
      <w:tr w14:paraId="31C564DB">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992" w:type="dxa"/>
            <w:tcBorders>
              <w:tl2br w:val="nil"/>
              <w:tr2bl w:val="nil"/>
            </w:tcBorders>
            <w:shd w:val="clear" w:color="auto" w:fill="auto"/>
            <w:vAlign w:val="center"/>
          </w:tcPr>
          <w:p w14:paraId="2872D938">
            <w:pPr>
              <w:ind w:left="-105" w:right="-105"/>
              <w:jc w:val="center"/>
              <w:textAlignment w:val="center"/>
              <w:rPr>
                <w:color w:val="auto"/>
                <w:sz w:val="21"/>
                <w:szCs w:val="21"/>
                <w:highlight w:val="none"/>
              </w:rPr>
            </w:pPr>
            <w:r>
              <w:rPr>
                <w:rFonts w:hint="eastAsia"/>
                <w:color w:val="auto"/>
                <w:sz w:val="21"/>
                <w:szCs w:val="21"/>
                <w:highlight w:val="none"/>
                <w:lang w:bidi="ar"/>
              </w:rPr>
              <w:t>二氯甲烷</w:t>
            </w:r>
          </w:p>
        </w:tc>
        <w:tc>
          <w:tcPr>
            <w:tcW w:w="885" w:type="dxa"/>
            <w:tcBorders>
              <w:tl2br w:val="nil"/>
              <w:tr2bl w:val="nil"/>
            </w:tcBorders>
            <w:shd w:val="clear" w:color="auto" w:fill="auto"/>
            <w:vAlign w:val="center"/>
          </w:tcPr>
          <w:p w14:paraId="0B635EFC">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mg/kg</w:t>
            </w:r>
          </w:p>
        </w:tc>
        <w:tc>
          <w:tcPr>
            <w:tcW w:w="1341" w:type="dxa"/>
            <w:tcBorders>
              <w:tl2br w:val="nil"/>
              <w:tr2bl w:val="nil"/>
            </w:tcBorders>
            <w:shd w:val="clear" w:color="auto" w:fill="auto"/>
            <w:vAlign w:val="center"/>
          </w:tcPr>
          <w:p w14:paraId="61A97E36">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616</w:t>
            </w:r>
          </w:p>
        </w:tc>
        <w:tc>
          <w:tcPr>
            <w:tcW w:w="1406" w:type="dxa"/>
            <w:tcBorders>
              <w:tl2br w:val="nil"/>
              <w:tr2bl w:val="nil"/>
            </w:tcBorders>
            <w:shd w:val="clear" w:color="auto" w:fill="auto"/>
            <w:vAlign w:val="center"/>
          </w:tcPr>
          <w:p w14:paraId="0FD437FD">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738" w:type="dxa"/>
            <w:tcBorders>
              <w:tl2br w:val="nil"/>
              <w:tr2bl w:val="nil"/>
            </w:tcBorders>
            <w:shd w:val="clear" w:color="auto" w:fill="auto"/>
            <w:vAlign w:val="center"/>
          </w:tcPr>
          <w:p w14:paraId="70A92B70">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406" w:type="dxa"/>
            <w:tcBorders>
              <w:tl2br w:val="nil"/>
              <w:tr2bl w:val="nil"/>
            </w:tcBorders>
            <w:shd w:val="clear" w:color="auto" w:fill="auto"/>
            <w:vAlign w:val="center"/>
          </w:tcPr>
          <w:p w14:paraId="2DE39E95">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738" w:type="dxa"/>
            <w:tcBorders>
              <w:tl2br w:val="nil"/>
              <w:tr2bl w:val="nil"/>
            </w:tcBorders>
            <w:shd w:val="clear" w:color="auto" w:fill="auto"/>
            <w:vAlign w:val="center"/>
          </w:tcPr>
          <w:p w14:paraId="30207042">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407" w:type="dxa"/>
            <w:tcBorders>
              <w:tl2br w:val="nil"/>
              <w:tr2bl w:val="nil"/>
            </w:tcBorders>
            <w:shd w:val="clear" w:color="auto" w:fill="auto"/>
            <w:vAlign w:val="center"/>
          </w:tcPr>
          <w:p w14:paraId="57056288">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739" w:type="dxa"/>
            <w:tcBorders>
              <w:tl2br w:val="nil"/>
              <w:tr2bl w:val="nil"/>
            </w:tcBorders>
            <w:shd w:val="clear" w:color="auto" w:fill="auto"/>
            <w:vAlign w:val="center"/>
          </w:tcPr>
          <w:p w14:paraId="3AFBCD14">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r>
      <w:tr w14:paraId="6DB94B55">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992" w:type="dxa"/>
            <w:tcBorders>
              <w:tl2br w:val="nil"/>
              <w:tr2bl w:val="nil"/>
            </w:tcBorders>
            <w:shd w:val="clear" w:color="auto" w:fill="auto"/>
            <w:vAlign w:val="center"/>
          </w:tcPr>
          <w:p w14:paraId="359C3509">
            <w:pPr>
              <w:ind w:left="-105" w:right="-105"/>
              <w:jc w:val="center"/>
              <w:textAlignment w:val="center"/>
              <w:rPr>
                <w:color w:val="auto"/>
                <w:sz w:val="21"/>
                <w:szCs w:val="21"/>
                <w:highlight w:val="none"/>
              </w:rPr>
            </w:pPr>
            <w:r>
              <w:rPr>
                <w:rFonts w:hint="eastAsia"/>
                <w:color w:val="auto"/>
                <w:sz w:val="21"/>
                <w:szCs w:val="21"/>
                <w:highlight w:val="none"/>
                <w:lang w:bidi="ar"/>
              </w:rPr>
              <w:t>反式</w:t>
            </w:r>
            <w:r>
              <w:rPr>
                <w:rFonts w:ascii="Times New Roman" w:hAnsi="Times New Roman" w:cs="Times New Roman"/>
                <w:color w:val="auto"/>
                <w:sz w:val="21"/>
                <w:szCs w:val="21"/>
                <w:highlight w:val="none"/>
                <w:lang w:bidi="ar"/>
              </w:rPr>
              <w:t>-1,2-</w:t>
            </w:r>
            <w:r>
              <w:rPr>
                <w:rFonts w:hint="eastAsia"/>
                <w:color w:val="auto"/>
                <w:sz w:val="21"/>
                <w:szCs w:val="21"/>
                <w:highlight w:val="none"/>
                <w:lang w:bidi="ar"/>
              </w:rPr>
              <w:t>二氯乙烯</w:t>
            </w:r>
          </w:p>
        </w:tc>
        <w:tc>
          <w:tcPr>
            <w:tcW w:w="885" w:type="dxa"/>
            <w:tcBorders>
              <w:tl2br w:val="nil"/>
              <w:tr2bl w:val="nil"/>
            </w:tcBorders>
            <w:shd w:val="clear" w:color="auto" w:fill="auto"/>
            <w:vAlign w:val="center"/>
          </w:tcPr>
          <w:p w14:paraId="17B99F93">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mg/kg</w:t>
            </w:r>
          </w:p>
        </w:tc>
        <w:tc>
          <w:tcPr>
            <w:tcW w:w="1341" w:type="dxa"/>
            <w:tcBorders>
              <w:tl2br w:val="nil"/>
              <w:tr2bl w:val="nil"/>
            </w:tcBorders>
            <w:shd w:val="clear" w:color="auto" w:fill="auto"/>
            <w:vAlign w:val="center"/>
          </w:tcPr>
          <w:p w14:paraId="7DF3BEC7">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54</w:t>
            </w:r>
          </w:p>
        </w:tc>
        <w:tc>
          <w:tcPr>
            <w:tcW w:w="1406" w:type="dxa"/>
            <w:tcBorders>
              <w:tl2br w:val="nil"/>
              <w:tr2bl w:val="nil"/>
            </w:tcBorders>
            <w:shd w:val="clear" w:color="auto" w:fill="auto"/>
            <w:vAlign w:val="center"/>
          </w:tcPr>
          <w:p w14:paraId="4D7DD876">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738" w:type="dxa"/>
            <w:tcBorders>
              <w:tl2br w:val="nil"/>
              <w:tr2bl w:val="nil"/>
            </w:tcBorders>
            <w:shd w:val="clear" w:color="auto" w:fill="auto"/>
            <w:vAlign w:val="center"/>
          </w:tcPr>
          <w:p w14:paraId="7B66F5BF">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406" w:type="dxa"/>
            <w:tcBorders>
              <w:tl2br w:val="nil"/>
              <w:tr2bl w:val="nil"/>
            </w:tcBorders>
            <w:shd w:val="clear" w:color="auto" w:fill="auto"/>
            <w:vAlign w:val="center"/>
          </w:tcPr>
          <w:p w14:paraId="38B00E71">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738" w:type="dxa"/>
            <w:tcBorders>
              <w:tl2br w:val="nil"/>
              <w:tr2bl w:val="nil"/>
            </w:tcBorders>
            <w:shd w:val="clear" w:color="auto" w:fill="auto"/>
            <w:vAlign w:val="center"/>
          </w:tcPr>
          <w:p w14:paraId="5F0CF45A">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407" w:type="dxa"/>
            <w:tcBorders>
              <w:tl2br w:val="nil"/>
              <w:tr2bl w:val="nil"/>
            </w:tcBorders>
            <w:shd w:val="clear" w:color="auto" w:fill="auto"/>
            <w:vAlign w:val="center"/>
          </w:tcPr>
          <w:p w14:paraId="7C937C27">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739" w:type="dxa"/>
            <w:tcBorders>
              <w:tl2br w:val="nil"/>
              <w:tr2bl w:val="nil"/>
            </w:tcBorders>
            <w:shd w:val="clear" w:color="auto" w:fill="auto"/>
            <w:vAlign w:val="center"/>
          </w:tcPr>
          <w:p w14:paraId="5F29BF70">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r>
      <w:tr w14:paraId="459619B9">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992" w:type="dxa"/>
            <w:tcBorders>
              <w:tl2br w:val="nil"/>
              <w:tr2bl w:val="nil"/>
            </w:tcBorders>
            <w:shd w:val="clear" w:color="auto" w:fill="auto"/>
            <w:vAlign w:val="center"/>
          </w:tcPr>
          <w:p w14:paraId="209A8972">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1,1-</w:t>
            </w:r>
            <w:r>
              <w:rPr>
                <w:rFonts w:hint="eastAsia"/>
                <w:color w:val="auto"/>
                <w:sz w:val="21"/>
                <w:szCs w:val="21"/>
                <w:highlight w:val="none"/>
                <w:lang w:bidi="ar"/>
              </w:rPr>
              <w:t>二氯乙烷</w:t>
            </w:r>
          </w:p>
        </w:tc>
        <w:tc>
          <w:tcPr>
            <w:tcW w:w="885" w:type="dxa"/>
            <w:tcBorders>
              <w:tl2br w:val="nil"/>
              <w:tr2bl w:val="nil"/>
            </w:tcBorders>
            <w:shd w:val="clear" w:color="auto" w:fill="auto"/>
            <w:vAlign w:val="center"/>
          </w:tcPr>
          <w:p w14:paraId="7F2AE848">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mg/kg</w:t>
            </w:r>
          </w:p>
        </w:tc>
        <w:tc>
          <w:tcPr>
            <w:tcW w:w="1341" w:type="dxa"/>
            <w:tcBorders>
              <w:tl2br w:val="nil"/>
              <w:tr2bl w:val="nil"/>
            </w:tcBorders>
            <w:shd w:val="clear" w:color="auto" w:fill="auto"/>
            <w:vAlign w:val="center"/>
          </w:tcPr>
          <w:p w14:paraId="33EF7E83">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9</w:t>
            </w:r>
          </w:p>
        </w:tc>
        <w:tc>
          <w:tcPr>
            <w:tcW w:w="1406" w:type="dxa"/>
            <w:tcBorders>
              <w:tl2br w:val="nil"/>
              <w:tr2bl w:val="nil"/>
            </w:tcBorders>
            <w:shd w:val="clear" w:color="auto" w:fill="auto"/>
            <w:vAlign w:val="center"/>
          </w:tcPr>
          <w:p w14:paraId="304456CC">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738" w:type="dxa"/>
            <w:tcBorders>
              <w:tl2br w:val="nil"/>
              <w:tr2bl w:val="nil"/>
            </w:tcBorders>
            <w:shd w:val="clear" w:color="auto" w:fill="auto"/>
            <w:vAlign w:val="center"/>
          </w:tcPr>
          <w:p w14:paraId="6802E5D0">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406" w:type="dxa"/>
            <w:tcBorders>
              <w:tl2br w:val="nil"/>
              <w:tr2bl w:val="nil"/>
            </w:tcBorders>
            <w:shd w:val="clear" w:color="auto" w:fill="auto"/>
            <w:vAlign w:val="center"/>
          </w:tcPr>
          <w:p w14:paraId="2931A7AB">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738" w:type="dxa"/>
            <w:tcBorders>
              <w:tl2br w:val="nil"/>
              <w:tr2bl w:val="nil"/>
            </w:tcBorders>
            <w:shd w:val="clear" w:color="auto" w:fill="auto"/>
            <w:vAlign w:val="center"/>
          </w:tcPr>
          <w:p w14:paraId="216F3E84">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407" w:type="dxa"/>
            <w:tcBorders>
              <w:tl2br w:val="nil"/>
              <w:tr2bl w:val="nil"/>
            </w:tcBorders>
            <w:shd w:val="clear" w:color="auto" w:fill="auto"/>
            <w:vAlign w:val="center"/>
          </w:tcPr>
          <w:p w14:paraId="76BAB263">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739" w:type="dxa"/>
            <w:tcBorders>
              <w:tl2br w:val="nil"/>
              <w:tr2bl w:val="nil"/>
            </w:tcBorders>
            <w:shd w:val="clear" w:color="auto" w:fill="auto"/>
            <w:vAlign w:val="center"/>
          </w:tcPr>
          <w:p w14:paraId="3B1A9313">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r>
      <w:tr w14:paraId="710444E2">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992" w:type="dxa"/>
            <w:tcBorders>
              <w:tl2br w:val="nil"/>
              <w:tr2bl w:val="nil"/>
            </w:tcBorders>
            <w:shd w:val="clear" w:color="auto" w:fill="auto"/>
            <w:vAlign w:val="center"/>
          </w:tcPr>
          <w:p w14:paraId="3808393F">
            <w:pPr>
              <w:ind w:left="-105" w:right="-105"/>
              <w:jc w:val="center"/>
              <w:textAlignment w:val="center"/>
              <w:rPr>
                <w:color w:val="auto"/>
                <w:sz w:val="21"/>
                <w:szCs w:val="21"/>
                <w:highlight w:val="none"/>
              </w:rPr>
            </w:pPr>
            <w:r>
              <w:rPr>
                <w:rFonts w:hint="eastAsia"/>
                <w:color w:val="auto"/>
                <w:sz w:val="21"/>
                <w:szCs w:val="21"/>
                <w:highlight w:val="none"/>
                <w:lang w:bidi="ar"/>
              </w:rPr>
              <w:t>顺式</w:t>
            </w:r>
            <w:r>
              <w:rPr>
                <w:rFonts w:ascii="Times New Roman" w:hAnsi="Times New Roman" w:cs="Times New Roman"/>
                <w:color w:val="auto"/>
                <w:sz w:val="21"/>
                <w:szCs w:val="21"/>
                <w:highlight w:val="none"/>
                <w:lang w:bidi="ar"/>
              </w:rPr>
              <w:t>-1,2-</w:t>
            </w:r>
            <w:r>
              <w:rPr>
                <w:rFonts w:hint="eastAsia"/>
                <w:color w:val="auto"/>
                <w:sz w:val="21"/>
                <w:szCs w:val="21"/>
                <w:highlight w:val="none"/>
                <w:lang w:bidi="ar"/>
              </w:rPr>
              <w:t>二氯乙烯</w:t>
            </w:r>
          </w:p>
        </w:tc>
        <w:tc>
          <w:tcPr>
            <w:tcW w:w="885" w:type="dxa"/>
            <w:tcBorders>
              <w:tl2br w:val="nil"/>
              <w:tr2bl w:val="nil"/>
            </w:tcBorders>
            <w:shd w:val="clear" w:color="auto" w:fill="auto"/>
            <w:vAlign w:val="center"/>
          </w:tcPr>
          <w:p w14:paraId="33EFF7BE">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mg/kg</w:t>
            </w:r>
          </w:p>
        </w:tc>
        <w:tc>
          <w:tcPr>
            <w:tcW w:w="1341" w:type="dxa"/>
            <w:tcBorders>
              <w:tl2br w:val="nil"/>
              <w:tr2bl w:val="nil"/>
            </w:tcBorders>
            <w:shd w:val="clear" w:color="auto" w:fill="auto"/>
            <w:vAlign w:val="center"/>
          </w:tcPr>
          <w:p w14:paraId="532138E7">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596</w:t>
            </w:r>
          </w:p>
        </w:tc>
        <w:tc>
          <w:tcPr>
            <w:tcW w:w="1406" w:type="dxa"/>
            <w:tcBorders>
              <w:tl2br w:val="nil"/>
              <w:tr2bl w:val="nil"/>
            </w:tcBorders>
            <w:shd w:val="clear" w:color="auto" w:fill="auto"/>
            <w:vAlign w:val="center"/>
          </w:tcPr>
          <w:p w14:paraId="1D22E28B">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738" w:type="dxa"/>
            <w:tcBorders>
              <w:tl2br w:val="nil"/>
              <w:tr2bl w:val="nil"/>
            </w:tcBorders>
            <w:shd w:val="clear" w:color="auto" w:fill="auto"/>
            <w:vAlign w:val="center"/>
          </w:tcPr>
          <w:p w14:paraId="27AB8483">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406" w:type="dxa"/>
            <w:tcBorders>
              <w:tl2br w:val="nil"/>
              <w:tr2bl w:val="nil"/>
            </w:tcBorders>
            <w:shd w:val="clear" w:color="auto" w:fill="auto"/>
            <w:vAlign w:val="center"/>
          </w:tcPr>
          <w:p w14:paraId="6585C5BA">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738" w:type="dxa"/>
            <w:tcBorders>
              <w:tl2br w:val="nil"/>
              <w:tr2bl w:val="nil"/>
            </w:tcBorders>
            <w:shd w:val="clear" w:color="auto" w:fill="auto"/>
            <w:vAlign w:val="center"/>
          </w:tcPr>
          <w:p w14:paraId="374B94F7">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407" w:type="dxa"/>
            <w:tcBorders>
              <w:tl2br w:val="nil"/>
              <w:tr2bl w:val="nil"/>
            </w:tcBorders>
            <w:shd w:val="clear" w:color="auto" w:fill="auto"/>
            <w:vAlign w:val="center"/>
          </w:tcPr>
          <w:p w14:paraId="4DA1C010">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739" w:type="dxa"/>
            <w:tcBorders>
              <w:tl2br w:val="nil"/>
              <w:tr2bl w:val="nil"/>
            </w:tcBorders>
            <w:shd w:val="clear" w:color="auto" w:fill="auto"/>
            <w:vAlign w:val="center"/>
          </w:tcPr>
          <w:p w14:paraId="56F14292">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r>
      <w:tr w14:paraId="2F7E9970">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992" w:type="dxa"/>
            <w:tcBorders>
              <w:tl2br w:val="nil"/>
              <w:tr2bl w:val="nil"/>
            </w:tcBorders>
            <w:shd w:val="clear" w:color="auto" w:fill="auto"/>
            <w:vAlign w:val="center"/>
          </w:tcPr>
          <w:p w14:paraId="2B5BF3EB">
            <w:pPr>
              <w:ind w:left="-105" w:right="-105"/>
              <w:jc w:val="center"/>
              <w:textAlignment w:val="center"/>
              <w:rPr>
                <w:color w:val="auto"/>
                <w:sz w:val="21"/>
                <w:szCs w:val="21"/>
                <w:highlight w:val="none"/>
              </w:rPr>
            </w:pPr>
            <w:r>
              <w:rPr>
                <w:rFonts w:hint="eastAsia"/>
                <w:color w:val="auto"/>
                <w:sz w:val="21"/>
                <w:szCs w:val="21"/>
                <w:highlight w:val="none"/>
                <w:lang w:bidi="ar"/>
              </w:rPr>
              <w:t>氯仿</w:t>
            </w:r>
          </w:p>
        </w:tc>
        <w:tc>
          <w:tcPr>
            <w:tcW w:w="885" w:type="dxa"/>
            <w:tcBorders>
              <w:tl2br w:val="nil"/>
              <w:tr2bl w:val="nil"/>
            </w:tcBorders>
            <w:shd w:val="clear" w:color="auto" w:fill="auto"/>
            <w:vAlign w:val="center"/>
          </w:tcPr>
          <w:p w14:paraId="4E1C4C94">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mg/kg</w:t>
            </w:r>
          </w:p>
        </w:tc>
        <w:tc>
          <w:tcPr>
            <w:tcW w:w="1341" w:type="dxa"/>
            <w:tcBorders>
              <w:tl2br w:val="nil"/>
              <w:tr2bl w:val="nil"/>
            </w:tcBorders>
            <w:shd w:val="clear" w:color="auto" w:fill="auto"/>
            <w:vAlign w:val="center"/>
          </w:tcPr>
          <w:p w14:paraId="24A226D6">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0.9</w:t>
            </w:r>
          </w:p>
        </w:tc>
        <w:tc>
          <w:tcPr>
            <w:tcW w:w="1406" w:type="dxa"/>
            <w:tcBorders>
              <w:tl2br w:val="nil"/>
              <w:tr2bl w:val="nil"/>
            </w:tcBorders>
            <w:shd w:val="clear" w:color="auto" w:fill="auto"/>
            <w:vAlign w:val="center"/>
          </w:tcPr>
          <w:p w14:paraId="5DBF95C2">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738" w:type="dxa"/>
            <w:tcBorders>
              <w:tl2br w:val="nil"/>
              <w:tr2bl w:val="nil"/>
            </w:tcBorders>
            <w:shd w:val="clear" w:color="auto" w:fill="auto"/>
            <w:vAlign w:val="center"/>
          </w:tcPr>
          <w:p w14:paraId="5152C8F0">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406" w:type="dxa"/>
            <w:tcBorders>
              <w:tl2br w:val="nil"/>
              <w:tr2bl w:val="nil"/>
            </w:tcBorders>
            <w:shd w:val="clear" w:color="auto" w:fill="auto"/>
            <w:vAlign w:val="center"/>
          </w:tcPr>
          <w:p w14:paraId="05A7A48D">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738" w:type="dxa"/>
            <w:tcBorders>
              <w:tl2br w:val="nil"/>
              <w:tr2bl w:val="nil"/>
            </w:tcBorders>
            <w:shd w:val="clear" w:color="auto" w:fill="auto"/>
            <w:vAlign w:val="center"/>
          </w:tcPr>
          <w:p w14:paraId="4E7A488F">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407" w:type="dxa"/>
            <w:tcBorders>
              <w:tl2br w:val="nil"/>
              <w:tr2bl w:val="nil"/>
            </w:tcBorders>
            <w:shd w:val="clear" w:color="auto" w:fill="auto"/>
            <w:vAlign w:val="center"/>
          </w:tcPr>
          <w:p w14:paraId="1C7DDFEC">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739" w:type="dxa"/>
            <w:tcBorders>
              <w:tl2br w:val="nil"/>
              <w:tr2bl w:val="nil"/>
            </w:tcBorders>
            <w:shd w:val="clear" w:color="auto" w:fill="auto"/>
            <w:vAlign w:val="center"/>
          </w:tcPr>
          <w:p w14:paraId="67D179C3">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r>
      <w:tr w14:paraId="04261124">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992" w:type="dxa"/>
            <w:tcBorders>
              <w:tl2br w:val="nil"/>
              <w:tr2bl w:val="nil"/>
            </w:tcBorders>
            <w:shd w:val="clear" w:color="auto" w:fill="auto"/>
            <w:vAlign w:val="center"/>
          </w:tcPr>
          <w:p w14:paraId="5833916C">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1,1,1-</w:t>
            </w:r>
            <w:r>
              <w:rPr>
                <w:rFonts w:hint="eastAsia"/>
                <w:color w:val="auto"/>
                <w:sz w:val="21"/>
                <w:szCs w:val="21"/>
                <w:highlight w:val="none"/>
                <w:lang w:bidi="ar"/>
              </w:rPr>
              <w:t>三氯乙烷</w:t>
            </w:r>
          </w:p>
        </w:tc>
        <w:tc>
          <w:tcPr>
            <w:tcW w:w="885" w:type="dxa"/>
            <w:tcBorders>
              <w:tl2br w:val="nil"/>
              <w:tr2bl w:val="nil"/>
            </w:tcBorders>
            <w:shd w:val="clear" w:color="auto" w:fill="auto"/>
            <w:vAlign w:val="center"/>
          </w:tcPr>
          <w:p w14:paraId="579EC18B">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mg/kg</w:t>
            </w:r>
          </w:p>
        </w:tc>
        <w:tc>
          <w:tcPr>
            <w:tcW w:w="1341" w:type="dxa"/>
            <w:tcBorders>
              <w:tl2br w:val="nil"/>
              <w:tr2bl w:val="nil"/>
            </w:tcBorders>
            <w:shd w:val="clear" w:color="auto" w:fill="auto"/>
            <w:vAlign w:val="center"/>
          </w:tcPr>
          <w:p w14:paraId="3BF351D7">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840</w:t>
            </w:r>
          </w:p>
        </w:tc>
        <w:tc>
          <w:tcPr>
            <w:tcW w:w="1406" w:type="dxa"/>
            <w:tcBorders>
              <w:tl2br w:val="nil"/>
              <w:tr2bl w:val="nil"/>
            </w:tcBorders>
            <w:shd w:val="clear" w:color="auto" w:fill="auto"/>
            <w:vAlign w:val="center"/>
          </w:tcPr>
          <w:p w14:paraId="43EDE05A">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738" w:type="dxa"/>
            <w:tcBorders>
              <w:tl2br w:val="nil"/>
              <w:tr2bl w:val="nil"/>
            </w:tcBorders>
            <w:shd w:val="clear" w:color="auto" w:fill="auto"/>
            <w:vAlign w:val="center"/>
          </w:tcPr>
          <w:p w14:paraId="6A51B82E">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406" w:type="dxa"/>
            <w:tcBorders>
              <w:tl2br w:val="nil"/>
              <w:tr2bl w:val="nil"/>
            </w:tcBorders>
            <w:shd w:val="clear" w:color="auto" w:fill="auto"/>
            <w:vAlign w:val="center"/>
          </w:tcPr>
          <w:p w14:paraId="457782CC">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738" w:type="dxa"/>
            <w:tcBorders>
              <w:tl2br w:val="nil"/>
              <w:tr2bl w:val="nil"/>
            </w:tcBorders>
            <w:shd w:val="clear" w:color="auto" w:fill="auto"/>
            <w:vAlign w:val="center"/>
          </w:tcPr>
          <w:p w14:paraId="4408A2B0">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407" w:type="dxa"/>
            <w:tcBorders>
              <w:tl2br w:val="nil"/>
              <w:tr2bl w:val="nil"/>
            </w:tcBorders>
            <w:shd w:val="clear" w:color="auto" w:fill="auto"/>
            <w:vAlign w:val="center"/>
          </w:tcPr>
          <w:p w14:paraId="08D08E92">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739" w:type="dxa"/>
            <w:tcBorders>
              <w:tl2br w:val="nil"/>
              <w:tr2bl w:val="nil"/>
            </w:tcBorders>
            <w:shd w:val="clear" w:color="auto" w:fill="auto"/>
            <w:vAlign w:val="center"/>
          </w:tcPr>
          <w:p w14:paraId="290DC805">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r>
      <w:tr w14:paraId="41E21C7C">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992" w:type="dxa"/>
            <w:tcBorders>
              <w:tl2br w:val="nil"/>
              <w:tr2bl w:val="nil"/>
            </w:tcBorders>
            <w:shd w:val="clear" w:color="auto" w:fill="auto"/>
            <w:vAlign w:val="center"/>
          </w:tcPr>
          <w:p w14:paraId="7141D0FA">
            <w:pPr>
              <w:ind w:left="-105" w:right="-105"/>
              <w:jc w:val="center"/>
              <w:textAlignment w:val="center"/>
              <w:rPr>
                <w:color w:val="auto"/>
                <w:sz w:val="21"/>
                <w:szCs w:val="21"/>
                <w:highlight w:val="none"/>
              </w:rPr>
            </w:pPr>
            <w:r>
              <w:rPr>
                <w:rFonts w:hint="eastAsia"/>
                <w:color w:val="auto"/>
                <w:sz w:val="21"/>
                <w:szCs w:val="21"/>
                <w:highlight w:val="none"/>
                <w:lang w:bidi="ar"/>
              </w:rPr>
              <w:t>四氯化碳</w:t>
            </w:r>
          </w:p>
        </w:tc>
        <w:tc>
          <w:tcPr>
            <w:tcW w:w="885" w:type="dxa"/>
            <w:tcBorders>
              <w:tl2br w:val="nil"/>
              <w:tr2bl w:val="nil"/>
            </w:tcBorders>
            <w:shd w:val="clear" w:color="auto" w:fill="auto"/>
            <w:vAlign w:val="center"/>
          </w:tcPr>
          <w:p w14:paraId="1D7FF280">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mg/kg</w:t>
            </w:r>
          </w:p>
        </w:tc>
        <w:tc>
          <w:tcPr>
            <w:tcW w:w="1341" w:type="dxa"/>
            <w:tcBorders>
              <w:tl2br w:val="nil"/>
              <w:tr2bl w:val="nil"/>
            </w:tcBorders>
            <w:shd w:val="clear" w:color="auto" w:fill="auto"/>
            <w:vAlign w:val="center"/>
          </w:tcPr>
          <w:p w14:paraId="515442D6">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2.8</w:t>
            </w:r>
          </w:p>
        </w:tc>
        <w:tc>
          <w:tcPr>
            <w:tcW w:w="1406" w:type="dxa"/>
            <w:tcBorders>
              <w:tl2br w:val="nil"/>
              <w:tr2bl w:val="nil"/>
            </w:tcBorders>
            <w:shd w:val="clear" w:color="auto" w:fill="auto"/>
            <w:vAlign w:val="center"/>
          </w:tcPr>
          <w:p w14:paraId="105D9758">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738" w:type="dxa"/>
            <w:tcBorders>
              <w:tl2br w:val="nil"/>
              <w:tr2bl w:val="nil"/>
            </w:tcBorders>
            <w:shd w:val="clear" w:color="auto" w:fill="auto"/>
            <w:vAlign w:val="center"/>
          </w:tcPr>
          <w:p w14:paraId="5028B52A">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406" w:type="dxa"/>
            <w:tcBorders>
              <w:tl2br w:val="nil"/>
              <w:tr2bl w:val="nil"/>
            </w:tcBorders>
            <w:shd w:val="clear" w:color="auto" w:fill="auto"/>
            <w:vAlign w:val="center"/>
          </w:tcPr>
          <w:p w14:paraId="501B8AEB">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738" w:type="dxa"/>
            <w:tcBorders>
              <w:tl2br w:val="nil"/>
              <w:tr2bl w:val="nil"/>
            </w:tcBorders>
            <w:shd w:val="clear" w:color="auto" w:fill="auto"/>
            <w:vAlign w:val="center"/>
          </w:tcPr>
          <w:p w14:paraId="07D47E61">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407" w:type="dxa"/>
            <w:tcBorders>
              <w:tl2br w:val="nil"/>
              <w:tr2bl w:val="nil"/>
            </w:tcBorders>
            <w:shd w:val="clear" w:color="auto" w:fill="auto"/>
            <w:vAlign w:val="center"/>
          </w:tcPr>
          <w:p w14:paraId="1DDC39D2">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739" w:type="dxa"/>
            <w:tcBorders>
              <w:tl2br w:val="nil"/>
              <w:tr2bl w:val="nil"/>
            </w:tcBorders>
            <w:shd w:val="clear" w:color="auto" w:fill="auto"/>
            <w:vAlign w:val="center"/>
          </w:tcPr>
          <w:p w14:paraId="636780F5">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r>
      <w:tr w14:paraId="5726ECD5">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992" w:type="dxa"/>
            <w:tcBorders>
              <w:tl2br w:val="nil"/>
              <w:tr2bl w:val="nil"/>
            </w:tcBorders>
            <w:shd w:val="clear" w:color="auto" w:fill="auto"/>
            <w:vAlign w:val="center"/>
          </w:tcPr>
          <w:p w14:paraId="25A2A77C">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1,2-</w:t>
            </w:r>
            <w:r>
              <w:rPr>
                <w:rFonts w:hint="eastAsia"/>
                <w:color w:val="auto"/>
                <w:sz w:val="21"/>
                <w:szCs w:val="21"/>
                <w:highlight w:val="none"/>
                <w:lang w:bidi="ar"/>
              </w:rPr>
              <w:t>二氯乙烷</w:t>
            </w:r>
          </w:p>
        </w:tc>
        <w:tc>
          <w:tcPr>
            <w:tcW w:w="885" w:type="dxa"/>
            <w:tcBorders>
              <w:tl2br w:val="nil"/>
              <w:tr2bl w:val="nil"/>
            </w:tcBorders>
            <w:shd w:val="clear" w:color="auto" w:fill="auto"/>
            <w:vAlign w:val="center"/>
          </w:tcPr>
          <w:p w14:paraId="11540D40">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mg/kg</w:t>
            </w:r>
          </w:p>
        </w:tc>
        <w:tc>
          <w:tcPr>
            <w:tcW w:w="1341" w:type="dxa"/>
            <w:tcBorders>
              <w:tl2br w:val="nil"/>
              <w:tr2bl w:val="nil"/>
            </w:tcBorders>
            <w:shd w:val="clear" w:color="auto" w:fill="auto"/>
            <w:vAlign w:val="center"/>
          </w:tcPr>
          <w:p w14:paraId="135BA6D2">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5</w:t>
            </w:r>
          </w:p>
        </w:tc>
        <w:tc>
          <w:tcPr>
            <w:tcW w:w="1406" w:type="dxa"/>
            <w:tcBorders>
              <w:tl2br w:val="nil"/>
              <w:tr2bl w:val="nil"/>
            </w:tcBorders>
            <w:shd w:val="clear" w:color="auto" w:fill="auto"/>
            <w:vAlign w:val="center"/>
          </w:tcPr>
          <w:p w14:paraId="757A559E">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738" w:type="dxa"/>
            <w:tcBorders>
              <w:tl2br w:val="nil"/>
              <w:tr2bl w:val="nil"/>
            </w:tcBorders>
            <w:shd w:val="clear" w:color="auto" w:fill="auto"/>
            <w:vAlign w:val="center"/>
          </w:tcPr>
          <w:p w14:paraId="11414108">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406" w:type="dxa"/>
            <w:tcBorders>
              <w:tl2br w:val="nil"/>
              <w:tr2bl w:val="nil"/>
            </w:tcBorders>
            <w:shd w:val="clear" w:color="auto" w:fill="auto"/>
            <w:vAlign w:val="center"/>
          </w:tcPr>
          <w:p w14:paraId="0578DB84">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738" w:type="dxa"/>
            <w:tcBorders>
              <w:tl2br w:val="nil"/>
              <w:tr2bl w:val="nil"/>
            </w:tcBorders>
            <w:shd w:val="clear" w:color="auto" w:fill="auto"/>
            <w:vAlign w:val="center"/>
          </w:tcPr>
          <w:p w14:paraId="4762805E">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407" w:type="dxa"/>
            <w:tcBorders>
              <w:tl2br w:val="nil"/>
              <w:tr2bl w:val="nil"/>
            </w:tcBorders>
            <w:shd w:val="clear" w:color="auto" w:fill="auto"/>
            <w:vAlign w:val="center"/>
          </w:tcPr>
          <w:p w14:paraId="4A3AA253">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739" w:type="dxa"/>
            <w:tcBorders>
              <w:tl2br w:val="nil"/>
              <w:tr2bl w:val="nil"/>
            </w:tcBorders>
            <w:shd w:val="clear" w:color="auto" w:fill="auto"/>
            <w:vAlign w:val="center"/>
          </w:tcPr>
          <w:p w14:paraId="53AD775D">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r>
      <w:tr w14:paraId="1994C139">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992" w:type="dxa"/>
            <w:tcBorders>
              <w:tl2br w:val="nil"/>
              <w:tr2bl w:val="nil"/>
            </w:tcBorders>
            <w:shd w:val="clear" w:color="auto" w:fill="auto"/>
            <w:vAlign w:val="center"/>
          </w:tcPr>
          <w:p w14:paraId="28358C67">
            <w:pPr>
              <w:ind w:left="-105" w:right="-105"/>
              <w:jc w:val="center"/>
              <w:textAlignment w:val="center"/>
              <w:rPr>
                <w:color w:val="auto"/>
                <w:sz w:val="21"/>
                <w:szCs w:val="21"/>
                <w:highlight w:val="none"/>
              </w:rPr>
            </w:pPr>
            <w:r>
              <w:rPr>
                <w:rFonts w:hint="eastAsia"/>
                <w:color w:val="auto"/>
                <w:sz w:val="21"/>
                <w:szCs w:val="21"/>
                <w:highlight w:val="none"/>
                <w:lang w:bidi="ar"/>
              </w:rPr>
              <w:t>苯</w:t>
            </w:r>
          </w:p>
        </w:tc>
        <w:tc>
          <w:tcPr>
            <w:tcW w:w="885" w:type="dxa"/>
            <w:tcBorders>
              <w:tl2br w:val="nil"/>
              <w:tr2bl w:val="nil"/>
            </w:tcBorders>
            <w:shd w:val="clear" w:color="auto" w:fill="auto"/>
            <w:vAlign w:val="center"/>
          </w:tcPr>
          <w:p w14:paraId="32CF3050">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mg/kg</w:t>
            </w:r>
          </w:p>
        </w:tc>
        <w:tc>
          <w:tcPr>
            <w:tcW w:w="1341" w:type="dxa"/>
            <w:tcBorders>
              <w:tl2br w:val="nil"/>
              <w:tr2bl w:val="nil"/>
            </w:tcBorders>
            <w:shd w:val="clear" w:color="auto" w:fill="auto"/>
            <w:vAlign w:val="center"/>
          </w:tcPr>
          <w:p w14:paraId="072F0FBA">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4</w:t>
            </w:r>
          </w:p>
        </w:tc>
        <w:tc>
          <w:tcPr>
            <w:tcW w:w="1406" w:type="dxa"/>
            <w:tcBorders>
              <w:tl2br w:val="nil"/>
              <w:tr2bl w:val="nil"/>
            </w:tcBorders>
            <w:shd w:val="clear" w:color="auto" w:fill="auto"/>
            <w:vAlign w:val="center"/>
          </w:tcPr>
          <w:p w14:paraId="6BF22211">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738" w:type="dxa"/>
            <w:tcBorders>
              <w:tl2br w:val="nil"/>
              <w:tr2bl w:val="nil"/>
            </w:tcBorders>
            <w:shd w:val="clear" w:color="auto" w:fill="auto"/>
            <w:vAlign w:val="center"/>
          </w:tcPr>
          <w:p w14:paraId="60D68254">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406" w:type="dxa"/>
            <w:tcBorders>
              <w:tl2br w:val="nil"/>
              <w:tr2bl w:val="nil"/>
            </w:tcBorders>
            <w:shd w:val="clear" w:color="auto" w:fill="auto"/>
            <w:vAlign w:val="center"/>
          </w:tcPr>
          <w:p w14:paraId="2AE7EBA8">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738" w:type="dxa"/>
            <w:tcBorders>
              <w:tl2br w:val="nil"/>
              <w:tr2bl w:val="nil"/>
            </w:tcBorders>
            <w:shd w:val="clear" w:color="auto" w:fill="auto"/>
            <w:vAlign w:val="center"/>
          </w:tcPr>
          <w:p w14:paraId="754E731F">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407" w:type="dxa"/>
            <w:tcBorders>
              <w:tl2br w:val="nil"/>
              <w:tr2bl w:val="nil"/>
            </w:tcBorders>
            <w:shd w:val="clear" w:color="auto" w:fill="auto"/>
            <w:vAlign w:val="center"/>
          </w:tcPr>
          <w:p w14:paraId="4D41D607">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739" w:type="dxa"/>
            <w:tcBorders>
              <w:tl2br w:val="nil"/>
              <w:tr2bl w:val="nil"/>
            </w:tcBorders>
            <w:shd w:val="clear" w:color="auto" w:fill="auto"/>
            <w:vAlign w:val="center"/>
          </w:tcPr>
          <w:p w14:paraId="12CA4709">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r>
      <w:tr w14:paraId="4FFD3DFC">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992" w:type="dxa"/>
            <w:tcBorders>
              <w:tl2br w:val="nil"/>
              <w:tr2bl w:val="nil"/>
            </w:tcBorders>
            <w:shd w:val="clear" w:color="auto" w:fill="auto"/>
            <w:vAlign w:val="center"/>
          </w:tcPr>
          <w:p w14:paraId="08130D47">
            <w:pPr>
              <w:ind w:left="-105" w:right="-105"/>
              <w:jc w:val="center"/>
              <w:textAlignment w:val="center"/>
              <w:rPr>
                <w:color w:val="auto"/>
                <w:sz w:val="21"/>
                <w:szCs w:val="21"/>
                <w:highlight w:val="none"/>
              </w:rPr>
            </w:pPr>
            <w:r>
              <w:rPr>
                <w:rFonts w:hint="eastAsia"/>
                <w:color w:val="auto"/>
                <w:sz w:val="21"/>
                <w:szCs w:val="21"/>
                <w:highlight w:val="none"/>
                <w:lang w:bidi="ar"/>
              </w:rPr>
              <w:t>三氯乙烯</w:t>
            </w:r>
          </w:p>
        </w:tc>
        <w:tc>
          <w:tcPr>
            <w:tcW w:w="885" w:type="dxa"/>
            <w:tcBorders>
              <w:tl2br w:val="nil"/>
              <w:tr2bl w:val="nil"/>
            </w:tcBorders>
            <w:shd w:val="clear" w:color="auto" w:fill="auto"/>
            <w:vAlign w:val="center"/>
          </w:tcPr>
          <w:p w14:paraId="583A1F71">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mg/kg</w:t>
            </w:r>
          </w:p>
        </w:tc>
        <w:tc>
          <w:tcPr>
            <w:tcW w:w="1341" w:type="dxa"/>
            <w:tcBorders>
              <w:tl2br w:val="nil"/>
              <w:tr2bl w:val="nil"/>
            </w:tcBorders>
            <w:shd w:val="clear" w:color="auto" w:fill="auto"/>
            <w:vAlign w:val="center"/>
          </w:tcPr>
          <w:p w14:paraId="5EB45D7E">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2.8</w:t>
            </w:r>
          </w:p>
        </w:tc>
        <w:tc>
          <w:tcPr>
            <w:tcW w:w="1406" w:type="dxa"/>
            <w:tcBorders>
              <w:tl2br w:val="nil"/>
              <w:tr2bl w:val="nil"/>
            </w:tcBorders>
            <w:shd w:val="clear" w:color="auto" w:fill="auto"/>
            <w:vAlign w:val="center"/>
          </w:tcPr>
          <w:p w14:paraId="0CF0323A">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738" w:type="dxa"/>
            <w:tcBorders>
              <w:tl2br w:val="nil"/>
              <w:tr2bl w:val="nil"/>
            </w:tcBorders>
            <w:shd w:val="clear" w:color="auto" w:fill="auto"/>
            <w:vAlign w:val="center"/>
          </w:tcPr>
          <w:p w14:paraId="3B498ECF">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406" w:type="dxa"/>
            <w:tcBorders>
              <w:tl2br w:val="nil"/>
              <w:tr2bl w:val="nil"/>
            </w:tcBorders>
            <w:shd w:val="clear" w:color="auto" w:fill="auto"/>
            <w:vAlign w:val="center"/>
          </w:tcPr>
          <w:p w14:paraId="00262D02">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738" w:type="dxa"/>
            <w:tcBorders>
              <w:tl2br w:val="nil"/>
              <w:tr2bl w:val="nil"/>
            </w:tcBorders>
            <w:shd w:val="clear" w:color="auto" w:fill="auto"/>
            <w:vAlign w:val="center"/>
          </w:tcPr>
          <w:p w14:paraId="1A68B770">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407" w:type="dxa"/>
            <w:tcBorders>
              <w:tl2br w:val="nil"/>
              <w:tr2bl w:val="nil"/>
            </w:tcBorders>
            <w:shd w:val="clear" w:color="auto" w:fill="auto"/>
            <w:vAlign w:val="center"/>
          </w:tcPr>
          <w:p w14:paraId="66C62152">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739" w:type="dxa"/>
            <w:tcBorders>
              <w:tl2br w:val="nil"/>
              <w:tr2bl w:val="nil"/>
            </w:tcBorders>
            <w:shd w:val="clear" w:color="auto" w:fill="auto"/>
            <w:vAlign w:val="center"/>
          </w:tcPr>
          <w:p w14:paraId="490681BB">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r>
      <w:tr w14:paraId="559BB416">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992" w:type="dxa"/>
            <w:tcBorders>
              <w:tl2br w:val="nil"/>
              <w:tr2bl w:val="nil"/>
            </w:tcBorders>
            <w:shd w:val="clear" w:color="auto" w:fill="auto"/>
            <w:vAlign w:val="center"/>
          </w:tcPr>
          <w:p w14:paraId="376482BD">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1,2-</w:t>
            </w:r>
            <w:r>
              <w:rPr>
                <w:rFonts w:hint="eastAsia"/>
                <w:color w:val="auto"/>
                <w:sz w:val="21"/>
                <w:szCs w:val="21"/>
                <w:highlight w:val="none"/>
                <w:lang w:bidi="ar"/>
              </w:rPr>
              <w:t>二氯丙烷</w:t>
            </w:r>
          </w:p>
        </w:tc>
        <w:tc>
          <w:tcPr>
            <w:tcW w:w="885" w:type="dxa"/>
            <w:tcBorders>
              <w:tl2br w:val="nil"/>
              <w:tr2bl w:val="nil"/>
            </w:tcBorders>
            <w:shd w:val="clear" w:color="auto" w:fill="auto"/>
            <w:vAlign w:val="center"/>
          </w:tcPr>
          <w:p w14:paraId="6829A410">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mg/kg</w:t>
            </w:r>
          </w:p>
        </w:tc>
        <w:tc>
          <w:tcPr>
            <w:tcW w:w="1341" w:type="dxa"/>
            <w:tcBorders>
              <w:tl2br w:val="nil"/>
              <w:tr2bl w:val="nil"/>
            </w:tcBorders>
            <w:shd w:val="clear" w:color="auto" w:fill="auto"/>
            <w:vAlign w:val="center"/>
          </w:tcPr>
          <w:p w14:paraId="3F531F53">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5</w:t>
            </w:r>
          </w:p>
        </w:tc>
        <w:tc>
          <w:tcPr>
            <w:tcW w:w="1406" w:type="dxa"/>
            <w:tcBorders>
              <w:tl2br w:val="nil"/>
              <w:tr2bl w:val="nil"/>
            </w:tcBorders>
            <w:shd w:val="clear" w:color="auto" w:fill="auto"/>
            <w:vAlign w:val="center"/>
          </w:tcPr>
          <w:p w14:paraId="642C1541">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738" w:type="dxa"/>
            <w:tcBorders>
              <w:tl2br w:val="nil"/>
              <w:tr2bl w:val="nil"/>
            </w:tcBorders>
            <w:shd w:val="clear" w:color="auto" w:fill="auto"/>
            <w:vAlign w:val="center"/>
          </w:tcPr>
          <w:p w14:paraId="19A8B2C5">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406" w:type="dxa"/>
            <w:tcBorders>
              <w:tl2br w:val="nil"/>
              <w:tr2bl w:val="nil"/>
            </w:tcBorders>
            <w:shd w:val="clear" w:color="auto" w:fill="auto"/>
            <w:vAlign w:val="center"/>
          </w:tcPr>
          <w:p w14:paraId="2A10389B">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738" w:type="dxa"/>
            <w:tcBorders>
              <w:tl2br w:val="nil"/>
              <w:tr2bl w:val="nil"/>
            </w:tcBorders>
            <w:shd w:val="clear" w:color="auto" w:fill="auto"/>
            <w:vAlign w:val="center"/>
          </w:tcPr>
          <w:p w14:paraId="7DDC3746">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407" w:type="dxa"/>
            <w:tcBorders>
              <w:tl2br w:val="nil"/>
              <w:tr2bl w:val="nil"/>
            </w:tcBorders>
            <w:shd w:val="clear" w:color="auto" w:fill="auto"/>
            <w:vAlign w:val="center"/>
          </w:tcPr>
          <w:p w14:paraId="6813687A">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739" w:type="dxa"/>
            <w:tcBorders>
              <w:tl2br w:val="nil"/>
              <w:tr2bl w:val="nil"/>
            </w:tcBorders>
            <w:shd w:val="clear" w:color="auto" w:fill="auto"/>
            <w:vAlign w:val="center"/>
          </w:tcPr>
          <w:p w14:paraId="2F706291">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r>
      <w:tr w14:paraId="4C59AD1C">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992" w:type="dxa"/>
            <w:tcBorders>
              <w:tl2br w:val="nil"/>
              <w:tr2bl w:val="nil"/>
            </w:tcBorders>
            <w:shd w:val="clear" w:color="auto" w:fill="auto"/>
            <w:vAlign w:val="center"/>
          </w:tcPr>
          <w:p w14:paraId="72C06E68">
            <w:pPr>
              <w:ind w:left="-105" w:right="-105"/>
              <w:jc w:val="center"/>
              <w:textAlignment w:val="center"/>
              <w:rPr>
                <w:color w:val="auto"/>
                <w:sz w:val="21"/>
                <w:szCs w:val="21"/>
                <w:highlight w:val="none"/>
              </w:rPr>
            </w:pPr>
            <w:r>
              <w:rPr>
                <w:rFonts w:hint="eastAsia"/>
                <w:color w:val="auto"/>
                <w:sz w:val="21"/>
                <w:szCs w:val="21"/>
                <w:highlight w:val="none"/>
                <w:lang w:bidi="ar"/>
              </w:rPr>
              <w:t>甲苯</w:t>
            </w:r>
          </w:p>
        </w:tc>
        <w:tc>
          <w:tcPr>
            <w:tcW w:w="885" w:type="dxa"/>
            <w:tcBorders>
              <w:tl2br w:val="nil"/>
              <w:tr2bl w:val="nil"/>
            </w:tcBorders>
            <w:shd w:val="clear" w:color="auto" w:fill="auto"/>
            <w:vAlign w:val="center"/>
          </w:tcPr>
          <w:p w14:paraId="1E44C8FB">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mg/kg</w:t>
            </w:r>
          </w:p>
        </w:tc>
        <w:tc>
          <w:tcPr>
            <w:tcW w:w="1341" w:type="dxa"/>
            <w:tcBorders>
              <w:tl2br w:val="nil"/>
              <w:tr2bl w:val="nil"/>
            </w:tcBorders>
            <w:shd w:val="clear" w:color="auto" w:fill="auto"/>
            <w:vAlign w:val="center"/>
          </w:tcPr>
          <w:p w14:paraId="55BA53C5">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1200</w:t>
            </w:r>
          </w:p>
        </w:tc>
        <w:tc>
          <w:tcPr>
            <w:tcW w:w="1406" w:type="dxa"/>
            <w:tcBorders>
              <w:tl2br w:val="nil"/>
              <w:tr2bl w:val="nil"/>
            </w:tcBorders>
            <w:shd w:val="clear" w:color="auto" w:fill="auto"/>
            <w:vAlign w:val="center"/>
          </w:tcPr>
          <w:p w14:paraId="511B55A4">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738" w:type="dxa"/>
            <w:tcBorders>
              <w:tl2br w:val="nil"/>
              <w:tr2bl w:val="nil"/>
            </w:tcBorders>
            <w:shd w:val="clear" w:color="auto" w:fill="auto"/>
            <w:vAlign w:val="center"/>
          </w:tcPr>
          <w:p w14:paraId="56081075">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406" w:type="dxa"/>
            <w:tcBorders>
              <w:tl2br w:val="nil"/>
              <w:tr2bl w:val="nil"/>
            </w:tcBorders>
            <w:shd w:val="clear" w:color="auto" w:fill="auto"/>
            <w:vAlign w:val="center"/>
          </w:tcPr>
          <w:p w14:paraId="4BDB90A9">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738" w:type="dxa"/>
            <w:tcBorders>
              <w:tl2br w:val="nil"/>
              <w:tr2bl w:val="nil"/>
            </w:tcBorders>
            <w:shd w:val="clear" w:color="auto" w:fill="auto"/>
            <w:vAlign w:val="center"/>
          </w:tcPr>
          <w:p w14:paraId="603300EA">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407" w:type="dxa"/>
            <w:tcBorders>
              <w:tl2br w:val="nil"/>
              <w:tr2bl w:val="nil"/>
            </w:tcBorders>
            <w:shd w:val="clear" w:color="auto" w:fill="auto"/>
            <w:vAlign w:val="center"/>
          </w:tcPr>
          <w:p w14:paraId="6F87595C">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739" w:type="dxa"/>
            <w:tcBorders>
              <w:tl2br w:val="nil"/>
              <w:tr2bl w:val="nil"/>
            </w:tcBorders>
            <w:shd w:val="clear" w:color="auto" w:fill="auto"/>
            <w:vAlign w:val="center"/>
          </w:tcPr>
          <w:p w14:paraId="68E10D2E">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r>
      <w:tr w14:paraId="2EA998C0">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992" w:type="dxa"/>
            <w:tcBorders>
              <w:tl2br w:val="nil"/>
              <w:tr2bl w:val="nil"/>
            </w:tcBorders>
            <w:shd w:val="clear" w:color="auto" w:fill="auto"/>
            <w:vAlign w:val="center"/>
          </w:tcPr>
          <w:p w14:paraId="1ECBDE0A">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1,1,2-</w:t>
            </w:r>
            <w:r>
              <w:rPr>
                <w:rFonts w:hint="eastAsia"/>
                <w:color w:val="auto"/>
                <w:sz w:val="21"/>
                <w:szCs w:val="21"/>
                <w:highlight w:val="none"/>
                <w:lang w:bidi="ar"/>
              </w:rPr>
              <w:t>三氯乙烷</w:t>
            </w:r>
          </w:p>
        </w:tc>
        <w:tc>
          <w:tcPr>
            <w:tcW w:w="885" w:type="dxa"/>
            <w:tcBorders>
              <w:tl2br w:val="nil"/>
              <w:tr2bl w:val="nil"/>
            </w:tcBorders>
            <w:shd w:val="clear" w:color="auto" w:fill="auto"/>
            <w:vAlign w:val="center"/>
          </w:tcPr>
          <w:p w14:paraId="305C896D">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mg/kg</w:t>
            </w:r>
          </w:p>
        </w:tc>
        <w:tc>
          <w:tcPr>
            <w:tcW w:w="1341" w:type="dxa"/>
            <w:tcBorders>
              <w:tl2br w:val="nil"/>
              <w:tr2bl w:val="nil"/>
            </w:tcBorders>
            <w:shd w:val="clear" w:color="auto" w:fill="auto"/>
            <w:vAlign w:val="center"/>
          </w:tcPr>
          <w:p w14:paraId="7EA96CF9">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2.8</w:t>
            </w:r>
          </w:p>
        </w:tc>
        <w:tc>
          <w:tcPr>
            <w:tcW w:w="1406" w:type="dxa"/>
            <w:tcBorders>
              <w:tl2br w:val="nil"/>
              <w:tr2bl w:val="nil"/>
            </w:tcBorders>
            <w:shd w:val="clear" w:color="auto" w:fill="auto"/>
            <w:vAlign w:val="center"/>
          </w:tcPr>
          <w:p w14:paraId="642698DC">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738" w:type="dxa"/>
            <w:tcBorders>
              <w:tl2br w:val="nil"/>
              <w:tr2bl w:val="nil"/>
            </w:tcBorders>
            <w:shd w:val="clear" w:color="auto" w:fill="auto"/>
            <w:vAlign w:val="center"/>
          </w:tcPr>
          <w:p w14:paraId="444F186B">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406" w:type="dxa"/>
            <w:tcBorders>
              <w:tl2br w:val="nil"/>
              <w:tr2bl w:val="nil"/>
            </w:tcBorders>
            <w:shd w:val="clear" w:color="auto" w:fill="auto"/>
            <w:vAlign w:val="center"/>
          </w:tcPr>
          <w:p w14:paraId="2392895E">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738" w:type="dxa"/>
            <w:tcBorders>
              <w:tl2br w:val="nil"/>
              <w:tr2bl w:val="nil"/>
            </w:tcBorders>
            <w:shd w:val="clear" w:color="auto" w:fill="auto"/>
            <w:vAlign w:val="center"/>
          </w:tcPr>
          <w:p w14:paraId="02A479E9">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407" w:type="dxa"/>
            <w:tcBorders>
              <w:tl2br w:val="nil"/>
              <w:tr2bl w:val="nil"/>
            </w:tcBorders>
            <w:shd w:val="clear" w:color="auto" w:fill="auto"/>
            <w:vAlign w:val="center"/>
          </w:tcPr>
          <w:p w14:paraId="0D60462F">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739" w:type="dxa"/>
            <w:tcBorders>
              <w:tl2br w:val="nil"/>
              <w:tr2bl w:val="nil"/>
            </w:tcBorders>
            <w:shd w:val="clear" w:color="auto" w:fill="auto"/>
            <w:vAlign w:val="center"/>
          </w:tcPr>
          <w:p w14:paraId="6DD65A23">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r>
      <w:tr w14:paraId="461A27F6">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992" w:type="dxa"/>
            <w:tcBorders>
              <w:tl2br w:val="nil"/>
              <w:tr2bl w:val="nil"/>
            </w:tcBorders>
            <w:shd w:val="clear" w:color="auto" w:fill="auto"/>
            <w:vAlign w:val="center"/>
          </w:tcPr>
          <w:p w14:paraId="0B2AD63C">
            <w:pPr>
              <w:ind w:left="-105" w:right="-105"/>
              <w:jc w:val="center"/>
              <w:textAlignment w:val="center"/>
              <w:rPr>
                <w:color w:val="auto"/>
                <w:sz w:val="21"/>
                <w:szCs w:val="21"/>
                <w:highlight w:val="none"/>
              </w:rPr>
            </w:pPr>
            <w:r>
              <w:rPr>
                <w:rFonts w:hint="eastAsia"/>
                <w:color w:val="auto"/>
                <w:sz w:val="21"/>
                <w:szCs w:val="21"/>
                <w:highlight w:val="none"/>
                <w:lang w:bidi="ar"/>
              </w:rPr>
              <w:t>四氯乙烯</w:t>
            </w:r>
          </w:p>
        </w:tc>
        <w:tc>
          <w:tcPr>
            <w:tcW w:w="885" w:type="dxa"/>
            <w:tcBorders>
              <w:tl2br w:val="nil"/>
              <w:tr2bl w:val="nil"/>
            </w:tcBorders>
            <w:shd w:val="clear" w:color="auto" w:fill="auto"/>
            <w:vAlign w:val="center"/>
          </w:tcPr>
          <w:p w14:paraId="3CCD9C57">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mg/kg</w:t>
            </w:r>
          </w:p>
        </w:tc>
        <w:tc>
          <w:tcPr>
            <w:tcW w:w="1341" w:type="dxa"/>
            <w:tcBorders>
              <w:tl2br w:val="nil"/>
              <w:tr2bl w:val="nil"/>
            </w:tcBorders>
            <w:shd w:val="clear" w:color="auto" w:fill="auto"/>
            <w:vAlign w:val="center"/>
          </w:tcPr>
          <w:p w14:paraId="6A27289D">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53</w:t>
            </w:r>
          </w:p>
        </w:tc>
        <w:tc>
          <w:tcPr>
            <w:tcW w:w="1406" w:type="dxa"/>
            <w:tcBorders>
              <w:tl2br w:val="nil"/>
              <w:tr2bl w:val="nil"/>
            </w:tcBorders>
            <w:shd w:val="clear" w:color="auto" w:fill="auto"/>
            <w:vAlign w:val="center"/>
          </w:tcPr>
          <w:p w14:paraId="7685477F">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738" w:type="dxa"/>
            <w:tcBorders>
              <w:tl2br w:val="nil"/>
              <w:tr2bl w:val="nil"/>
            </w:tcBorders>
            <w:shd w:val="clear" w:color="auto" w:fill="auto"/>
            <w:vAlign w:val="center"/>
          </w:tcPr>
          <w:p w14:paraId="599F0865">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406" w:type="dxa"/>
            <w:tcBorders>
              <w:tl2br w:val="nil"/>
              <w:tr2bl w:val="nil"/>
            </w:tcBorders>
            <w:shd w:val="clear" w:color="auto" w:fill="auto"/>
            <w:vAlign w:val="center"/>
          </w:tcPr>
          <w:p w14:paraId="05EEC83F">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738" w:type="dxa"/>
            <w:tcBorders>
              <w:tl2br w:val="nil"/>
              <w:tr2bl w:val="nil"/>
            </w:tcBorders>
            <w:shd w:val="clear" w:color="auto" w:fill="auto"/>
            <w:vAlign w:val="center"/>
          </w:tcPr>
          <w:p w14:paraId="4E1DDF95">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407" w:type="dxa"/>
            <w:tcBorders>
              <w:tl2br w:val="nil"/>
              <w:tr2bl w:val="nil"/>
            </w:tcBorders>
            <w:shd w:val="clear" w:color="auto" w:fill="auto"/>
            <w:vAlign w:val="center"/>
          </w:tcPr>
          <w:p w14:paraId="756E7295">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739" w:type="dxa"/>
            <w:tcBorders>
              <w:tl2br w:val="nil"/>
              <w:tr2bl w:val="nil"/>
            </w:tcBorders>
            <w:shd w:val="clear" w:color="auto" w:fill="auto"/>
            <w:vAlign w:val="center"/>
          </w:tcPr>
          <w:p w14:paraId="38FB8CAD">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r>
      <w:tr w14:paraId="20CC4662">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992" w:type="dxa"/>
            <w:tcBorders>
              <w:tl2br w:val="nil"/>
              <w:tr2bl w:val="nil"/>
            </w:tcBorders>
            <w:shd w:val="clear" w:color="auto" w:fill="auto"/>
            <w:vAlign w:val="center"/>
          </w:tcPr>
          <w:p w14:paraId="0C4C07A6">
            <w:pPr>
              <w:ind w:left="-105" w:right="-105"/>
              <w:jc w:val="center"/>
              <w:textAlignment w:val="center"/>
              <w:rPr>
                <w:color w:val="auto"/>
                <w:sz w:val="21"/>
                <w:szCs w:val="21"/>
                <w:highlight w:val="none"/>
              </w:rPr>
            </w:pPr>
            <w:r>
              <w:rPr>
                <w:rFonts w:hint="eastAsia"/>
                <w:color w:val="auto"/>
                <w:sz w:val="21"/>
                <w:szCs w:val="21"/>
                <w:highlight w:val="none"/>
                <w:lang w:bidi="ar"/>
              </w:rPr>
              <w:t>氯苯</w:t>
            </w:r>
          </w:p>
        </w:tc>
        <w:tc>
          <w:tcPr>
            <w:tcW w:w="885" w:type="dxa"/>
            <w:tcBorders>
              <w:tl2br w:val="nil"/>
              <w:tr2bl w:val="nil"/>
            </w:tcBorders>
            <w:shd w:val="clear" w:color="auto" w:fill="auto"/>
            <w:vAlign w:val="center"/>
          </w:tcPr>
          <w:p w14:paraId="63B7E662">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mg/kg</w:t>
            </w:r>
          </w:p>
        </w:tc>
        <w:tc>
          <w:tcPr>
            <w:tcW w:w="1341" w:type="dxa"/>
            <w:tcBorders>
              <w:tl2br w:val="nil"/>
              <w:tr2bl w:val="nil"/>
            </w:tcBorders>
            <w:shd w:val="clear" w:color="auto" w:fill="auto"/>
            <w:vAlign w:val="center"/>
          </w:tcPr>
          <w:p w14:paraId="59A5BD2C">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270</w:t>
            </w:r>
          </w:p>
        </w:tc>
        <w:tc>
          <w:tcPr>
            <w:tcW w:w="1406" w:type="dxa"/>
            <w:tcBorders>
              <w:tl2br w:val="nil"/>
              <w:tr2bl w:val="nil"/>
            </w:tcBorders>
            <w:shd w:val="clear" w:color="auto" w:fill="auto"/>
            <w:vAlign w:val="center"/>
          </w:tcPr>
          <w:p w14:paraId="69790E9B">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738" w:type="dxa"/>
            <w:tcBorders>
              <w:tl2br w:val="nil"/>
              <w:tr2bl w:val="nil"/>
            </w:tcBorders>
            <w:shd w:val="clear" w:color="auto" w:fill="auto"/>
            <w:vAlign w:val="center"/>
          </w:tcPr>
          <w:p w14:paraId="59F524DF">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406" w:type="dxa"/>
            <w:tcBorders>
              <w:tl2br w:val="nil"/>
              <w:tr2bl w:val="nil"/>
            </w:tcBorders>
            <w:shd w:val="clear" w:color="auto" w:fill="auto"/>
            <w:vAlign w:val="center"/>
          </w:tcPr>
          <w:p w14:paraId="0877F573">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738" w:type="dxa"/>
            <w:tcBorders>
              <w:tl2br w:val="nil"/>
              <w:tr2bl w:val="nil"/>
            </w:tcBorders>
            <w:shd w:val="clear" w:color="auto" w:fill="auto"/>
            <w:vAlign w:val="center"/>
          </w:tcPr>
          <w:p w14:paraId="7F801245">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407" w:type="dxa"/>
            <w:tcBorders>
              <w:tl2br w:val="nil"/>
              <w:tr2bl w:val="nil"/>
            </w:tcBorders>
            <w:shd w:val="clear" w:color="auto" w:fill="auto"/>
            <w:vAlign w:val="center"/>
          </w:tcPr>
          <w:p w14:paraId="1C7EF256">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739" w:type="dxa"/>
            <w:tcBorders>
              <w:tl2br w:val="nil"/>
              <w:tr2bl w:val="nil"/>
            </w:tcBorders>
            <w:shd w:val="clear" w:color="auto" w:fill="auto"/>
            <w:vAlign w:val="center"/>
          </w:tcPr>
          <w:p w14:paraId="6785E1D3">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r>
      <w:tr w14:paraId="19D938AB">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992" w:type="dxa"/>
            <w:tcBorders>
              <w:tl2br w:val="nil"/>
              <w:tr2bl w:val="nil"/>
            </w:tcBorders>
            <w:shd w:val="clear" w:color="auto" w:fill="auto"/>
            <w:vAlign w:val="center"/>
          </w:tcPr>
          <w:p w14:paraId="63543AC4">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1,1,1,2-</w:t>
            </w:r>
            <w:r>
              <w:rPr>
                <w:rFonts w:hint="eastAsia"/>
                <w:color w:val="auto"/>
                <w:sz w:val="21"/>
                <w:szCs w:val="21"/>
                <w:highlight w:val="none"/>
                <w:lang w:bidi="ar"/>
              </w:rPr>
              <w:t>四氯乙烷</w:t>
            </w:r>
          </w:p>
        </w:tc>
        <w:tc>
          <w:tcPr>
            <w:tcW w:w="885" w:type="dxa"/>
            <w:tcBorders>
              <w:tl2br w:val="nil"/>
              <w:tr2bl w:val="nil"/>
            </w:tcBorders>
            <w:shd w:val="clear" w:color="auto" w:fill="auto"/>
            <w:vAlign w:val="center"/>
          </w:tcPr>
          <w:p w14:paraId="07E165D9">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mg/kg</w:t>
            </w:r>
          </w:p>
        </w:tc>
        <w:tc>
          <w:tcPr>
            <w:tcW w:w="1341" w:type="dxa"/>
            <w:tcBorders>
              <w:tl2br w:val="nil"/>
              <w:tr2bl w:val="nil"/>
            </w:tcBorders>
            <w:shd w:val="clear" w:color="auto" w:fill="auto"/>
            <w:vAlign w:val="center"/>
          </w:tcPr>
          <w:p w14:paraId="01FF728B">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10</w:t>
            </w:r>
          </w:p>
        </w:tc>
        <w:tc>
          <w:tcPr>
            <w:tcW w:w="1406" w:type="dxa"/>
            <w:tcBorders>
              <w:tl2br w:val="nil"/>
              <w:tr2bl w:val="nil"/>
            </w:tcBorders>
            <w:shd w:val="clear" w:color="auto" w:fill="auto"/>
            <w:vAlign w:val="center"/>
          </w:tcPr>
          <w:p w14:paraId="4620EC05">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738" w:type="dxa"/>
            <w:tcBorders>
              <w:tl2br w:val="nil"/>
              <w:tr2bl w:val="nil"/>
            </w:tcBorders>
            <w:shd w:val="clear" w:color="auto" w:fill="auto"/>
            <w:vAlign w:val="center"/>
          </w:tcPr>
          <w:p w14:paraId="28D7B1C8">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406" w:type="dxa"/>
            <w:tcBorders>
              <w:tl2br w:val="nil"/>
              <w:tr2bl w:val="nil"/>
            </w:tcBorders>
            <w:shd w:val="clear" w:color="auto" w:fill="auto"/>
            <w:vAlign w:val="center"/>
          </w:tcPr>
          <w:p w14:paraId="32D2CA7F">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738" w:type="dxa"/>
            <w:tcBorders>
              <w:tl2br w:val="nil"/>
              <w:tr2bl w:val="nil"/>
            </w:tcBorders>
            <w:shd w:val="clear" w:color="auto" w:fill="auto"/>
            <w:vAlign w:val="center"/>
          </w:tcPr>
          <w:p w14:paraId="4E2FA06A">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407" w:type="dxa"/>
            <w:tcBorders>
              <w:tl2br w:val="nil"/>
              <w:tr2bl w:val="nil"/>
            </w:tcBorders>
            <w:shd w:val="clear" w:color="auto" w:fill="auto"/>
            <w:vAlign w:val="center"/>
          </w:tcPr>
          <w:p w14:paraId="1466A172">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739" w:type="dxa"/>
            <w:tcBorders>
              <w:tl2br w:val="nil"/>
              <w:tr2bl w:val="nil"/>
            </w:tcBorders>
            <w:shd w:val="clear" w:color="auto" w:fill="auto"/>
            <w:vAlign w:val="center"/>
          </w:tcPr>
          <w:p w14:paraId="191462D4">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r>
      <w:tr w14:paraId="4B9896B9">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992" w:type="dxa"/>
            <w:tcBorders>
              <w:tl2br w:val="nil"/>
              <w:tr2bl w:val="nil"/>
            </w:tcBorders>
            <w:shd w:val="clear" w:color="auto" w:fill="auto"/>
            <w:vAlign w:val="center"/>
          </w:tcPr>
          <w:p w14:paraId="439A274C">
            <w:pPr>
              <w:ind w:left="-105" w:right="-105"/>
              <w:jc w:val="center"/>
              <w:textAlignment w:val="center"/>
              <w:rPr>
                <w:color w:val="auto"/>
                <w:sz w:val="21"/>
                <w:szCs w:val="21"/>
                <w:highlight w:val="none"/>
              </w:rPr>
            </w:pPr>
            <w:r>
              <w:rPr>
                <w:rFonts w:hint="eastAsia"/>
                <w:color w:val="auto"/>
                <w:sz w:val="21"/>
                <w:szCs w:val="21"/>
                <w:highlight w:val="none"/>
                <w:lang w:bidi="ar"/>
              </w:rPr>
              <w:t>乙苯</w:t>
            </w:r>
          </w:p>
        </w:tc>
        <w:tc>
          <w:tcPr>
            <w:tcW w:w="885" w:type="dxa"/>
            <w:tcBorders>
              <w:tl2br w:val="nil"/>
              <w:tr2bl w:val="nil"/>
            </w:tcBorders>
            <w:shd w:val="clear" w:color="auto" w:fill="auto"/>
            <w:vAlign w:val="center"/>
          </w:tcPr>
          <w:p w14:paraId="1D69EFC8">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mg/kg</w:t>
            </w:r>
          </w:p>
        </w:tc>
        <w:tc>
          <w:tcPr>
            <w:tcW w:w="1341" w:type="dxa"/>
            <w:tcBorders>
              <w:tl2br w:val="nil"/>
              <w:tr2bl w:val="nil"/>
            </w:tcBorders>
            <w:shd w:val="clear" w:color="auto" w:fill="auto"/>
            <w:vAlign w:val="center"/>
          </w:tcPr>
          <w:p w14:paraId="477F277C">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28</w:t>
            </w:r>
          </w:p>
        </w:tc>
        <w:tc>
          <w:tcPr>
            <w:tcW w:w="1406" w:type="dxa"/>
            <w:tcBorders>
              <w:tl2br w:val="nil"/>
              <w:tr2bl w:val="nil"/>
            </w:tcBorders>
            <w:shd w:val="clear" w:color="auto" w:fill="auto"/>
            <w:vAlign w:val="center"/>
          </w:tcPr>
          <w:p w14:paraId="12C3A746">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738" w:type="dxa"/>
            <w:tcBorders>
              <w:tl2br w:val="nil"/>
              <w:tr2bl w:val="nil"/>
            </w:tcBorders>
            <w:shd w:val="clear" w:color="auto" w:fill="auto"/>
            <w:vAlign w:val="center"/>
          </w:tcPr>
          <w:p w14:paraId="09D4D8C7">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406" w:type="dxa"/>
            <w:tcBorders>
              <w:tl2br w:val="nil"/>
              <w:tr2bl w:val="nil"/>
            </w:tcBorders>
            <w:shd w:val="clear" w:color="auto" w:fill="auto"/>
            <w:vAlign w:val="center"/>
          </w:tcPr>
          <w:p w14:paraId="004E549E">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738" w:type="dxa"/>
            <w:tcBorders>
              <w:tl2br w:val="nil"/>
              <w:tr2bl w:val="nil"/>
            </w:tcBorders>
            <w:shd w:val="clear" w:color="auto" w:fill="auto"/>
            <w:vAlign w:val="center"/>
          </w:tcPr>
          <w:p w14:paraId="0F7E3941">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407" w:type="dxa"/>
            <w:tcBorders>
              <w:tl2br w:val="nil"/>
              <w:tr2bl w:val="nil"/>
            </w:tcBorders>
            <w:shd w:val="clear" w:color="auto" w:fill="auto"/>
            <w:vAlign w:val="center"/>
          </w:tcPr>
          <w:p w14:paraId="76414324">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739" w:type="dxa"/>
            <w:tcBorders>
              <w:tl2br w:val="nil"/>
              <w:tr2bl w:val="nil"/>
            </w:tcBorders>
            <w:shd w:val="clear" w:color="auto" w:fill="auto"/>
            <w:vAlign w:val="center"/>
          </w:tcPr>
          <w:p w14:paraId="742A5708">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r>
      <w:tr w14:paraId="5B930D4E">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992" w:type="dxa"/>
            <w:tcBorders>
              <w:tl2br w:val="nil"/>
              <w:tr2bl w:val="nil"/>
            </w:tcBorders>
            <w:shd w:val="clear" w:color="auto" w:fill="auto"/>
            <w:vAlign w:val="center"/>
          </w:tcPr>
          <w:p w14:paraId="20205C43">
            <w:pPr>
              <w:ind w:left="-105" w:right="-105"/>
              <w:jc w:val="center"/>
              <w:textAlignment w:val="center"/>
              <w:rPr>
                <w:color w:val="auto"/>
                <w:sz w:val="21"/>
                <w:szCs w:val="21"/>
                <w:highlight w:val="none"/>
              </w:rPr>
            </w:pPr>
            <w:r>
              <w:rPr>
                <w:rFonts w:hint="eastAsia"/>
                <w:color w:val="auto"/>
                <w:sz w:val="21"/>
                <w:szCs w:val="21"/>
                <w:highlight w:val="none"/>
                <w:lang w:bidi="ar"/>
              </w:rPr>
              <w:t>间</w:t>
            </w:r>
            <w:r>
              <w:rPr>
                <w:rFonts w:ascii="Times New Roman" w:hAnsi="Times New Roman" w:cs="Times New Roman"/>
                <w:color w:val="auto"/>
                <w:sz w:val="21"/>
                <w:szCs w:val="21"/>
                <w:highlight w:val="none"/>
                <w:lang w:bidi="ar"/>
              </w:rPr>
              <w:t>/</w:t>
            </w:r>
            <w:r>
              <w:rPr>
                <w:rFonts w:hint="eastAsia"/>
                <w:color w:val="auto"/>
                <w:sz w:val="21"/>
                <w:szCs w:val="21"/>
                <w:highlight w:val="none"/>
                <w:lang w:bidi="ar"/>
              </w:rPr>
              <w:t>对</w:t>
            </w:r>
            <w:r>
              <w:rPr>
                <w:rFonts w:ascii="Times New Roman" w:hAnsi="Times New Roman" w:cs="Times New Roman"/>
                <w:color w:val="auto"/>
                <w:sz w:val="21"/>
                <w:szCs w:val="21"/>
                <w:highlight w:val="none"/>
                <w:lang w:bidi="ar"/>
              </w:rPr>
              <w:t>-</w:t>
            </w:r>
            <w:r>
              <w:rPr>
                <w:rFonts w:hint="eastAsia"/>
                <w:color w:val="auto"/>
                <w:sz w:val="21"/>
                <w:szCs w:val="21"/>
                <w:highlight w:val="none"/>
                <w:lang w:bidi="ar"/>
              </w:rPr>
              <w:t>二甲苯</w:t>
            </w:r>
          </w:p>
        </w:tc>
        <w:tc>
          <w:tcPr>
            <w:tcW w:w="885" w:type="dxa"/>
            <w:tcBorders>
              <w:tl2br w:val="nil"/>
              <w:tr2bl w:val="nil"/>
            </w:tcBorders>
            <w:shd w:val="clear" w:color="auto" w:fill="auto"/>
            <w:vAlign w:val="center"/>
          </w:tcPr>
          <w:p w14:paraId="0AEF3D48">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mg/kg</w:t>
            </w:r>
          </w:p>
        </w:tc>
        <w:tc>
          <w:tcPr>
            <w:tcW w:w="1341" w:type="dxa"/>
            <w:tcBorders>
              <w:tl2br w:val="nil"/>
              <w:tr2bl w:val="nil"/>
            </w:tcBorders>
            <w:shd w:val="clear" w:color="auto" w:fill="auto"/>
            <w:vAlign w:val="center"/>
          </w:tcPr>
          <w:p w14:paraId="2B54DDCA">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570</w:t>
            </w:r>
          </w:p>
        </w:tc>
        <w:tc>
          <w:tcPr>
            <w:tcW w:w="1406" w:type="dxa"/>
            <w:tcBorders>
              <w:tl2br w:val="nil"/>
              <w:tr2bl w:val="nil"/>
            </w:tcBorders>
            <w:shd w:val="clear" w:color="auto" w:fill="auto"/>
            <w:vAlign w:val="center"/>
          </w:tcPr>
          <w:p w14:paraId="0798E9CF">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738" w:type="dxa"/>
            <w:tcBorders>
              <w:tl2br w:val="nil"/>
              <w:tr2bl w:val="nil"/>
            </w:tcBorders>
            <w:shd w:val="clear" w:color="auto" w:fill="auto"/>
            <w:vAlign w:val="center"/>
          </w:tcPr>
          <w:p w14:paraId="542A72E3">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406" w:type="dxa"/>
            <w:tcBorders>
              <w:tl2br w:val="nil"/>
              <w:tr2bl w:val="nil"/>
            </w:tcBorders>
            <w:shd w:val="clear" w:color="auto" w:fill="auto"/>
            <w:vAlign w:val="center"/>
          </w:tcPr>
          <w:p w14:paraId="213E833C">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738" w:type="dxa"/>
            <w:tcBorders>
              <w:tl2br w:val="nil"/>
              <w:tr2bl w:val="nil"/>
            </w:tcBorders>
            <w:shd w:val="clear" w:color="auto" w:fill="auto"/>
            <w:vAlign w:val="center"/>
          </w:tcPr>
          <w:p w14:paraId="3217D34C">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407" w:type="dxa"/>
            <w:tcBorders>
              <w:tl2br w:val="nil"/>
              <w:tr2bl w:val="nil"/>
            </w:tcBorders>
            <w:shd w:val="clear" w:color="auto" w:fill="auto"/>
            <w:vAlign w:val="center"/>
          </w:tcPr>
          <w:p w14:paraId="1C16495B">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739" w:type="dxa"/>
            <w:tcBorders>
              <w:tl2br w:val="nil"/>
              <w:tr2bl w:val="nil"/>
            </w:tcBorders>
            <w:shd w:val="clear" w:color="auto" w:fill="auto"/>
            <w:vAlign w:val="center"/>
          </w:tcPr>
          <w:p w14:paraId="49EA8EF1">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r>
      <w:tr w14:paraId="5B6F0B2A">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992" w:type="dxa"/>
            <w:tcBorders>
              <w:tl2br w:val="nil"/>
              <w:tr2bl w:val="nil"/>
            </w:tcBorders>
            <w:shd w:val="clear" w:color="auto" w:fill="auto"/>
            <w:vAlign w:val="center"/>
          </w:tcPr>
          <w:p w14:paraId="16B11F67">
            <w:pPr>
              <w:ind w:left="-105" w:right="-105"/>
              <w:jc w:val="center"/>
              <w:textAlignment w:val="center"/>
              <w:rPr>
                <w:color w:val="auto"/>
                <w:sz w:val="21"/>
                <w:szCs w:val="21"/>
                <w:highlight w:val="none"/>
              </w:rPr>
            </w:pPr>
            <w:r>
              <w:rPr>
                <w:rFonts w:hint="eastAsia"/>
                <w:color w:val="auto"/>
                <w:sz w:val="21"/>
                <w:szCs w:val="21"/>
                <w:highlight w:val="none"/>
                <w:lang w:bidi="ar"/>
              </w:rPr>
              <w:t>邻</w:t>
            </w:r>
            <w:r>
              <w:rPr>
                <w:rFonts w:ascii="Times New Roman" w:hAnsi="Times New Roman" w:cs="Times New Roman"/>
                <w:color w:val="auto"/>
                <w:sz w:val="21"/>
                <w:szCs w:val="21"/>
                <w:highlight w:val="none"/>
                <w:lang w:bidi="ar"/>
              </w:rPr>
              <w:t>-</w:t>
            </w:r>
            <w:r>
              <w:rPr>
                <w:rFonts w:hint="eastAsia"/>
                <w:color w:val="auto"/>
                <w:sz w:val="21"/>
                <w:szCs w:val="21"/>
                <w:highlight w:val="none"/>
                <w:lang w:bidi="ar"/>
              </w:rPr>
              <w:t>二甲苯</w:t>
            </w:r>
          </w:p>
        </w:tc>
        <w:tc>
          <w:tcPr>
            <w:tcW w:w="885" w:type="dxa"/>
            <w:tcBorders>
              <w:tl2br w:val="nil"/>
              <w:tr2bl w:val="nil"/>
            </w:tcBorders>
            <w:shd w:val="clear" w:color="auto" w:fill="auto"/>
            <w:vAlign w:val="center"/>
          </w:tcPr>
          <w:p w14:paraId="690B61CA">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mg/kg</w:t>
            </w:r>
          </w:p>
        </w:tc>
        <w:tc>
          <w:tcPr>
            <w:tcW w:w="1341" w:type="dxa"/>
            <w:tcBorders>
              <w:tl2br w:val="nil"/>
              <w:tr2bl w:val="nil"/>
            </w:tcBorders>
            <w:shd w:val="clear" w:color="auto" w:fill="auto"/>
            <w:vAlign w:val="center"/>
          </w:tcPr>
          <w:p w14:paraId="156F7F88">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640</w:t>
            </w:r>
          </w:p>
        </w:tc>
        <w:tc>
          <w:tcPr>
            <w:tcW w:w="1406" w:type="dxa"/>
            <w:tcBorders>
              <w:tl2br w:val="nil"/>
              <w:tr2bl w:val="nil"/>
            </w:tcBorders>
            <w:shd w:val="clear" w:color="auto" w:fill="auto"/>
            <w:vAlign w:val="center"/>
          </w:tcPr>
          <w:p w14:paraId="07E5228F">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738" w:type="dxa"/>
            <w:tcBorders>
              <w:tl2br w:val="nil"/>
              <w:tr2bl w:val="nil"/>
            </w:tcBorders>
            <w:shd w:val="clear" w:color="auto" w:fill="auto"/>
            <w:vAlign w:val="center"/>
          </w:tcPr>
          <w:p w14:paraId="04A8495A">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406" w:type="dxa"/>
            <w:tcBorders>
              <w:tl2br w:val="nil"/>
              <w:tr2bl w:val="nil"/>
            </w:tcBorders>
            <w:shd w:val="clear" w:color="auto" w:fill="auto"/>
            <w:vAlign w:val="center"/>
          </w:tcPr>
          <w:p w14:paraId="27349928">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738" w:type="dxa"/>
            <w:tcBorders>
              <w:tl2br w:val="nil"/>
              <w:tr2bl w:val="nil"/>
            </w:tcBorders>
            <w:shd w:val="clear" w:color="auto" w:fill="auto"/>
            <w:vAlign w:val="center"/>
          </w:tcPr>
          <w:p w14:paraId="3FB7F13D">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407" w:type="dxa"/>
            <w:tcBorders>
              <w:tl2br w:val="nil"/>
              <w:tr2bl w:val="nil"/>
            </w:tcBorders>
            <w:shd w:val="clear" w:color="auto" w:fill="auto"/>
            <w:vAlign w:val="center"/>
          </w:tcPr>
          <w:p w14:paraId="6C212D81">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739" w:type="dxa"/>
            <w:tcBorders>
              <w:tl2br w:val="nil"/>
              <w:tr2bl w:val="nil"/>
            </w:tcBorders>
            <w:shd w:val="clear" w:color="auto" w:fill="auto"/>
            <w:vAlign w:val="center"/>
          </w:tcPr>
          <w:p w14:paraId="4132E5D0">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r>
      <w:tr w14:paraId="3087F399">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992" w:type="dxa"/>
            <w:tcBorders>
              <w:tl2br w:val="nil"/>
              <w:tr2bl w:val="nil"/>
            </w:tcBorders>
            <w:shd w:val="clear" w:color="auto" w:fill="auto"/>
            <w:vAlign w:val="center"/>
          </w:tcPr>
          <w:p w14:paraId="3625F7C5">
            <w:pPr>
              <w:ind w:left="-105" w:right="-105"/>
              <w:jc w:val="center"/>
              <w:textAlignment w:val="center"/>
              <w:rPr>
                <w:color w:val="auto"/>
                <w:sz w:val="21"/>
                <w:szCs w:val="21"/>
                <w:highlight w:val="none"/>
              </w:rPr>
            </w:pPr>
            <w:r>
              <w:rPr>
                <w:rFonts w:hint="eastAsia"/>
                <w:color w:val="auto"/>
                <w:sz w:val="21"/>
                <w:szCs w:val="21"/>
                <w:highlight w:val="none"/>
                <w:lang w:bidi="ar"/>
              </w:rPr>
              <w:t>苯乙烯</w:t>
            </w:r>
          </w:p>
        </w:tc>
        <w:tc>
          <w:tcPr>
            <w:tcW w:w="885" w:type="dxa"/>
            <w:tcBorders>
              <w:tl2br w:val="nil"/>
              <w:tr2bl w:val="nil"/>
            </w:tcBorders>
            <w:shd w:val="clear" w:color="auto" w:fill="auto"/>
            <w:vAlign w:val="center"/>
          </w:tcPr>
          <w:p w14:paraId="289D1D05">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mg/kg</w:t>
            </w:r>
          </w:p>
        </w:tc>
        <w:tc>
          <w:tcPr>
            <w:tcW w:w="1341" w:type="dxa"/>
            <w:tcBorders>
              <w:tl2br w:val="nil"/>
              <w:tr2bl w:val="nil"/>
            </w:tcBorders>
            <w:shd w:val="clear" w:color="auto" w:fill="auto"/>
            <w:vAlign w:val="center"/>
          </w:tcPr>
          <w:p w14:paraId="179B9DEE">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1290</w:t>
            </w:r>
          </w:p>
        </w:tc>
        <w:tc>
          <w:tcPr>
            <w:tcW w:w="1406" w:type="dxa"/>
            <w:tcBorders>
              <w:tl2br w:val="nil"/>
              <w:tr2bl w:val="nil"/>
            </w:tcBorders>
            <w:shd w:val="clear" w:color="auto" w:fill="auto"/>
            <w:vAlign w:val="center"/>
          </w:tcPr>
          <w:p w14:paraId="2DD36F18">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738" w:type="dxa"/>
            <w:tcBorders>
              <w:tl2br w:val="nil"/>
              <w:tr2bl w:val="nil"/>
            </w:tcBorders>
            <w:shd w:val="clear" w:color="auto" w:fill="auto"/>
            <w:vAlign w:val="center"/>
          </w:tcPr>
          <w:p w14:paraId="6ABADC67">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406" w:type="dxa"/>
            <w:tcBorders>
              <w:tl2br w:val="nil"/>
              <w:tr2bl w:val="nil"/>
            </w:tcBorders>
            <w:shd w:val="clear" w:color="auto" w:fill="auto"/>
            <w:vAlign w:val="center"/>
          </w:tcPr>
          <w:p w14:paraId="5206A13A">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738" w:type="dxa"/>
            <w:tcBorders>
              <w:tl2br w:val="nil"/>
              <w:tr2bl w:val="nil"/>
            </w:tcBorders>
            <w:shd w:val="clear" w:color="auto" w:fill="auto"/>
            <w:vAlign w:val="center"/>
          </w:tcPr>
          <w:p w14:paraId="08AE5CE6">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407" w:type="dxa"/>
            <w:tcBorders>
              <w:tl2br w:val="nil"/>
              <w:tr2bl w:val="nil"/>
            </w:tcBorders>
            <w:shd w:val="clear" w:color="auto" w:fill="auto"/>
            <w:vAlign w:val="center"/>
          </w:tcPr>
          <w:p w14:paraId="3B0C6D83">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739" w:type="dxa"/>
            <w:tcBorders>
              <w:tl2br w:val="nil"/>
              <w:tr2bl w:val="nil"/>
            </w:tcBorders>
            <w:shd w:val="clear" w:color="auto" w:fill="auto"/>
            <w:vAlign w:val="center"/>
          </w:tcPr>
          <w:p w14:paraId="0B83694C">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r>
      <w:tr w14:paraId="314F75AB">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992" w:type="dxa"/>
            <w:tcBorders>
              <w:tl2br w:val="nil"/>
              <w:tr2bl w:val="nil"/>
            </w:tcBorders>
            <w:shd w:val="clear" w:color="auto" w:fill="auto"/>
            <w:vAlign w:val="center"/>
          </w:tcPr>
          <w:p w14:paraId="17F7E8C7">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1,1,2,2-</w:t>
            </w:r>
            <w:r>
              <w:rPr>
                <w:rFonts w:hint="eastAsia"/>
                <w:color w:val="auto"/>
                <w:sz w:val="21"/>
                <w:szCs w:val="21"/>
                <w:highlight w:val="none"/>
                <w:lang w:bidi="ar"/>
              </w:rPr>
              <w:t>四氯乙烷</w:t>
            </w:r>
          </w:p>
        </w:tc>
        <w:tc>
          <w:tcPr>
            <w:tcW w:w="885" w:type="dxa"/>
            <w:tcBorders>
              <w:tl2br w:val="nil"/>
              <w:tr2bl w:val="nil"/>
            </w:tcBorders>
            <w:shd w:val="clear" w:color="auto" w:fill="auto"/>
            <w:vAlign w:val="center"/>
          </w:tcPr>
          <w:p w14:paraId="4DCF1545">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mg/kg</w:t>
            </w:r>
          </w:p>
        </w:tc>
        <w:tc>
          <w:tcPr>
            <w:tcW w:w="1341" w:type="dxa"/>
            <w:tcBorders>
              <w:tl2br w:val="nil"/>
              <w:tr2bl w:val="nil"/>
            </w:tcBorders>
            <w:shd w:val="clear" w:color="auto" w:fill="auto"/>
            <w:vAlign w:val="center"/>
          </w:tcPr>
          <w:p w14:paraId="6D03ED69">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6.8</w:t>
            </w:r>
          </w:p>
        </w:tc>
        <w:tc>
          <w:tcPr>
            <w:tcW w:w="1406" w:type="dxa"/>
            <w:tcBorders>
              <w:tl2br w:val="nil"/>
              <w:tr2bl w:val="nil"/>
            </w:tcBorders>
            <w:shd w:val="clear" w:color="auto" w:fill="auto"/>
            <w:vAlign w:val="center"/>
          </w:tcPr>
          <w:p w14:paraId="6F5B6470">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738" w:type="dxa"/>
            <w:tcBorders>
              <w:tl2br w:val="nil"/>
              <w:tr2bl w:val="nil"/>
            </w:tcBorders>
            <w:shd w:val="clear" w:color="auto" w:fill="auto"/>
            <w:vAlign w:val="center"/>
          </w:tcPr>
          <w:p w14:paraId="48C7ADB7">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406" w:type="dxa"/>
            <w:tcBorders>
              <w:tl2br w:val="nil"/>
              <w:tr2bl w:val="nil"/>
            </w:tcBorders>
            <w:shd w:val="clear" w:color="auto" w:fill="auto"/>
            <w:vAlign w:val="center"/>
          </w:tcPr>
          <w:p w14:paraId="12907F93">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738" w:type="dxa"/>
            <w:tcBorders>
              <w:tl2br w:val="nil"/>
              <w:tr2bl w:val="nil"/>
            </w:tcBorders>
            <w:shd w:val="clear" w:color="auto" w:fill="auto"/>
            <w:vAlign w:val="center"/>
          </w:tcPr>
          <w:p w14:paraId="29FF524D">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407" w:type="dxa"/>
            <w:tcBorders>
              <w:tl2br w:val="nil"/>
              <w:tr2bl w:val="nil"/>
            </w:tcBorders>
            <w:shd w:val="clear" w:color="auto" w:fill="auto"/>
            <w:vAlign w:val="center"/>
          </w:tcPr>
          <w:p w14:paraId="6897A80C">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739" w:type="dxa"/>
            <w:tcBorders>
              <w:tl2br w:val="nil"/>
              <w:tr2bl w:val="nil"/>
            </w:tcBorders>
            <w:shd w:val="clear" w:color="auto" w:fill="auto"/>
            <w:vAlign w:val="center"/>
          </w:tcPr>
          <w:p w14:paraId="25743686">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r>
      <w:tr w14:paraId="2BEA6966">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992" w:type="dxa"/>
            <w:tcBorders>
              <w:tl2br w:val="nil"/>
              <w:tr2bl w:val="nil"/>
            </w:tcBorders>
            <w:shd w:val="clear" w:color="auto" w:fill="auto"/>
            <w:vAlign w:val="center"/>
          </w:tcPr>
          <w:p w14:paraId="3A86E0E2">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1,2,3-</w:t>
            </w:r>
            <w:r>
              <w:rPr>
                <w:rFonts w:hint="eastAsia"/>
                <w:color w:val="auto"/>
                <w:sz w:val="21"/>
                <w:szCs w:val="21"/>
                <w:highlight w:val="none"/>
                <w:lang w:bidi="ar"/>
              </w:rPr>
              <w:t>三氯丙烷</w:t>
            </w:r>
          </w:p>
        </w:tc>
        <w:tc>
          <w:tcPr>
            <w:tcW w:w="885" w:type="dxa"/>
            <w:tcBorders>
              <w:tl2br w:val="nil"/>
              <w:tr2bl w:val="nil"/>
            </w:tcBorders>
            <w:shd w:val="clear" w:color="auto" w:fill="auto"/>
            <w:vAlign w:val="center"/>
          </w:tcPr>
          <w:p w14:paraId="12C92D79">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mg/kg</w:t>
            </w:r>
          </w:p>
        </w:tc>
        <w:tc>
          <w:tcPr>
            <w:tcW w:w="1341" w:type="dxa"/>
            <w:tcBorders>
              <w:tl2br w:val="nil"/>
              <w:tr2bl w:val="nil"/>
            </w:tcBorders>
            <w:shd w:val="clear" w:color="auto" w:fill="auto"/>
            <w:vAlign w:val="center"/>
          </w:tcPr>
          <w:p w14:paraId="1AF556E2">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0.5</w:t>
            </w:r>
          </w:p>
        </w:tc>
        <w:tc>
          <w:tcPr>
            <w:tcW w:w="1406" w:type="dxa"/>
            <w:tcBorders>
              <w:tl2br w:val="nil"/>
              <w:tr2bl w:val="nil"/>
            </w:tcBorders>
            <w:shd w:val="clear" w:color="auto" w:fill="auto"/>
            <w:vAlign w:val="center"/>
          </w:tcPr>
          <w:p w14:paraId="2336B762">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738" w:type="dxa"/>
            <w:tcBorders>
              <w:tl2br w:val="nil"/>
              <w:tr2bl w:val="nil"/>
            </w:tcBorders>
            <w:shd w:val="clear" w:color="auto" w:fill="auto"/>
            <w:vAlign w:val="center"/>
          </w:tcPr>
          <w:p w14:paraId="2C459F7F">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406" w:type="dxa"/>
            <w:tcBorders>
              <w:tl2br w:val="nil"/>
              <w:tr2bl w:val="nil"/>
            </w:tcBorders>
            <w:shd w:val="clear" w:color="auto" w:fill="auto"/>
            <w:vAlign w:val="center"/>
          </w:tcPr>
          <w:p w14:paraId="6FE963AC">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738" w:type="dxa"/>
            <w:tcBorders>
              <w:tl2br w:val="nil"/>
              <w:tr2bl w:val="nil"/>
            </w:tcBorders>
            <w:shd w:val="clear" w:color="auto" w:fill="auto"/>
            <w:vAlign w:val="center"/>
          </w:tcPr>
          <w:p w14:paraId="1D912292">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407" w:type="dxa"/>
            <w:tcBorders>
              <w:tl2br w:val="nil"/>
              <w:tr2bl w:val="nil"/>
            </w:tcBorders>
            <w:shd w:val="clear" w:color="auto" w:fill="auto"/>
            <w:vAlign w:val="center"/>
          </w:tcPr>
          <w:p w14:paraId="1E5791D3">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739" w:type="dxa"/>
            <w:tcBorders>
              <w:tl2br w:val="nil"/>
              <w:tr2bl w:val="nil"/>
            </w:tcBorders>
            <w:shd w:val="clear" w:color="auto" w:fill="auto"/>
            <w:vAlign w:val="center"/>
          </w:tcPr>
          <w:p w14:paraId="31D2FE92">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r>
      <w:tr w14:paraId="3680246C">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992" w:type="dxa"/>
            <w:tcBorders>
              <w:tl2br w:val="nil"/>
              <w:tr2bl w:val="nil"/>
            </w:tcBorders>
            <w:shd w:val="clear" w:color="auto" w:fill="auto"/>
            <w:vAlign w:val="center"/>
          </w:tcPr>
          <w:p w14:paraId="3DCED772">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1,4-</w:t>
            </w:r>
            <w:r>
              <w:rPr>
                <w:rFonts w:hint="eastAsia"/>
                <w:color w:val="auto"/>
                <w:sz w:val="21"/>
                <w:szCs w:val="21"/>
                <w:highlight w:val="none"/>
                <w:lang w:bidi="ar"/>
              </w:rPr>
              <w:t>二氯苯</w:t>
            </w:r>
          </w:p>
        </w:tc>
        <w:tc>
          <w:tcPr>
            <w:tcW w:w="885" w:type="dxa"/>
            <w:tcBorders>
              <w:tl2br w:val="nil"/>
              <w:tr2bl w:val="nil"/>
            </w:tcBorders>
            <w:shd w:val="clear" w:color="auto" w:fill="auto"/>
            <w:vAlign w:val="center"/>
          </w:tcPr>
          <w:p w14:paraId="0874E677">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mg/kg</w:t>
            </w:r>
          </w:p>
        </w:tc>
        <w:tc>
          <w:tcPr>
            <w:tcW w:w="1341" w:type="dxa"/>
            <w:tcBorders>
              <w:tl2br w:val="nil"/>
              <w:tr2bl w:val="nil"/>
            </w:tcBorders>
            <w:shd w:val="clear" w:color="auto" w:fill="auto"/>
            <w:vAlign w:val="center"/>
          </w:tcPr>
          <w:p w14:paraId="170CCC23">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20</w:t>
            </w:r>
          </w:p>
        </w:tc>
        <w:tc>
          <w:tcPr>
            <w:tcW w:w="1406" w:type="dxa"/>
            <w:tcBorders>
              <w:tl2br w:val="nil"/>
              <w:tr2bl w:val="nil"/>
            </w:tcBorders>
            <w:shd w:val="clear" w:color="auto" w:fill="auto"/>
            <w:vAlign w:val="center"/>
          </w:tcPr>
          <w:p w14:paraId="5F86D1E5">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738" w:type="dxa"/>
            <w:tcBorders>
              <w:tl2br w:val="nil"/>
              <w:tr2bl w:val="nil"/>
            </w:tcBorders>
            <w:shd w:val="clear" w:color="auto" w:fill="auto"/>
            <w:vAlign w:val="center"/>
          </w:tcPr>
          <w:p w14:paraId="3CCC5815">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406" w:type="dxa"/>
            <w:tcBorders>
              <w:tl2br w:val="nil"/>
              <w:tr2bl w:val="nil"/>
            </w:tcBorders>
            <w:shd w:val="clear" w:color="auto" w:fill="auto"/>
            <w:vAlign w:val="center"/>
          </w:tcPr>
          <w:p w14:paraId="4993AD07">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738" w:type="dxa"/>
            <w:tcBorders>
              <w:tl2br w:val="nil"/>
              <w:tr2bl w:val="nil"/>
            </w:tcBorders>
            <w:shd w:val="clear" w:color="auto" w:fill="auto"/>
            <w:vAlign w:val="center"/>
          </w:tcPr>
          <w:p w14:paraId="331D3CA1">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407" w:type="dxa"/>
            <w:tcBorders>
              <w:tl2br w:val="nil"/>
              <w:tr2bl w:val="nil"/>
            </w:tcBorders>
            <w:shd w:val="clear" w:color="auto" w:fill="auto"/>
            <w:vAlign w:val="center"/>
          </w:tcPr>
          <w:p w14:paraId="7DDB009A">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739" w:type="dxa"/>
            <w:tcBorders>
              <w:tl2br w:val="nil"/>
              <w:tr2bl w:val="nil"/>
            </w:tcBorders>
            <w:shd w:val="clear" w:color="auto" w:fill="auto"/>
            <w:vAlign w:val="center"/>
          </w:tcPr>
          <w:p w14:paraId="5E8F2AD8">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r>
      <w:tr w14:paraId="218D1AD0">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992" w:type="dxa"/>
            <w:tcBorders>
              <w:tl2br w:val="nil"/>
              <w:tr2bl w:val="nil"/>
            </w:tcBorders>
            <w:shd w:val="clear" w:color="auto" w:fill="auto"/>
            <w:vAlign w:val="center"/>
          </w:tcPr>
          <w:p w14:paraId="0C0F866A">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1,2-</w:t>
            </w:r>
            <w:r>
              <w:rPr>
                <w:rFonts w:hint="eastAsia"/>
                <w:color w:val="auto"/>
                <w:sz w:val="21"/>
                <w:szCs w:val="21"/>
                <w:highlight w:val="none"/>
                <w:lang w:bidi="ar"/>
              </w:rPr>
              <w:t>二氯苯</w:t>
            </w:r>
          </w:p>
        </w:tc>
        <w:tc>
          <w:tcPr>
            <w:tcW w:w="885" w:type="dxa"/>
            <w:tcBorders>
              <w:tl2br w:val="nil"/>
              <w:tr2bl w:val="nil"/>
            </w:tcBorders>
            <w:shd w:val="clear" w:color="auto" w:fill="auto"/>
            <w:vAlign w:val="center"/>
          </w:tcPr>
          <w:p w14:paraId="1424F682">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mg/kg</w:t>
            </w:r>
          </w:p>
        </w:tc>
        <w:tc>
          <w:tcPr>
            <w:tcW w:w="1341" w:type="dxa"/>
            <w:tcBorders>
              <w:tl2br w:val="nil"/>
              <w:tr2bl w:val="nil"/>
            </w:tcBorders>
            <w:shd w:val="clear" w:color="auto" w:fill="auto"/>
            <w:vAlign w:val="center"/>
          </w:tcPr>
          <w:p w14:paraId="220CF820">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560</w:t>
            </w:r>
          </w:p>
        </w:tc>
        <w:tc>
          <w:tcPr>
            <w:tcW w:w="1406" w:type="dxa"/>
            <w:tcBorders>
              <w:tl2br w:val="nil"/>
              <w:tr2bl w:val="nil"/>
            </w:tcBorders>
            <w:shd w:val="clear" w:color="auto" w:fill="auto"/>
            <w:vAlign w:val="center"/>
          </w:tcPr>
          <w:p w14:paraId="712AC967">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738" w:type="dxa"/>
            <w:tcBorders>
              <w:tl2br w:val="nil"/>
              <w:tr2bl w:val="nil"/>
            </w:tcBorders>
            <w:shd w:val="clear" w:color="auto" w:fill="auto"/>
            <w:vAlign w:val="center"/>
          </w:tcPr>
          <w:p w14:paraId="052CFD84">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406" w:type="dxa"/>
            <w:tcBorders>
              <w:tl2br w:val="nil"/>
              <w:tr2bl w:val="nil"/>
            </w:tcBorders>
            <w:shd w:val="clear" w:color="auto" w:fill="auto"/>
            <w:vAlign w:val="center"/>
          </w:tcPr>
          <w:p w14:paraId="1FF914AA">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738" w:type="dxa"/>
            <w:tcBorders>
              <w:tl2br w:val="nil"/>
              <w:tr2bl w:val="nil"/>
            </w:tcBorders>
            <w:shd w:val="clear" w:color="auto" w:fill="auto"/>
            <w:vAlign w:val="center"/>
          </w:tcPr>
          <w:p w14:paraId="657359F4">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407" w:type="dxa"/>
            <w:tcBorders>
              <w:tl2br w:val="nil"/>
              <w:tr2bl w:val="nil"/>
            </w:tcBorders>
            <w:shd w:val="clear" w:color="auto" w:fill="auto"/>
            <w:vAlign w:val="center"/>
          </w:tcPr>
          <w:p w14:paraId="7C218E39">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739" w:type="dxa"/>
            <w:tcBorders>
              <w:tl2br w:val="nil"/>
              <w:tr2bl w:val="nil"/>
            </w:tcBorders>
            <w:shd w:val="clear" w:color="auto" w:fill="auto"/>
            <w:vAlign w:val="center"/>
          </w:tcPr>
          <w:p w14:paraId="3E19FECF">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r>
      <w:tr w14:paraId="43B6EB26">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992" w:type="dxa"/>
            <w:tcBorders>
              <w:tl2br w:val="nil"/>
              <w:tr2bl w:val="nil"/>
            </w:tcBorders>
            <w:shd w:val="clear" w:color="auto" w:fill="auto"/>
            <w:vAlign w:val="center"/>
          </w:tcPr>
          <w:p w14:paraId="7850F430">
            <w:pPr>
              <w:ind w:left="-105" w:right="-105"/>
              <w:jc w:val="center"/>
              <w:textAlignment w:val="center"/>
              <w:rPr>
                <w:color w:val="auto"/>
                <w:sz w:val="21"/>
                <w:szCs w:val="21"/>
                <w:highlight w:val="none"/>
              </w:rPr>
            </w:pPr>
            <w:r>
              <w:rPr>
                <w:rFonts w:hint="eastAsia"/>
                <w:color w:val="auto"/>
                <w:sz w:val="21"/>
                <w:szCs w:val="21"/>
                <w:highlight w:val="none"/>
                <w:lang w:bidi="ar"/>
              </w:rPr>
              <w:t>苯胺</w:t>
            </w:r>
          </w:p>
        </w:tc>
        <w:tc>
          <w:tcPr>
            <w:tcW w:w="885" w:type="dxa"/>
            <w:tcBorders>
              <w:tl2br w:val="nil"/>
              <w:tr2bl w:val="nil"/>
            </w:tcBorders>
            <w:shd w:val="clear" w:color="auto" w:fill="auto"/>
            <w:vAlign w:val="center"/>
          </w:tcPr>
          <w:p w14:paraId="773CE627">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mg/kg</w:t>
            </w:r>
          </w:p>
        </w:tc>
        <w:tc>
          <w:tcPr>
            <w:tcW w:w="1341" w:type="dxa"/>
            <w:tcBorders>
              <w:tl2br w:val="nil"/>
              <w:tr2bl w:val="nil"/>
            </w:tcBorders>
            <w:shd w:val="clear" w:color="auto" w:fill="auto"/>
            <w:vAlign w:val="center"/>
          </w:tcPr>
          <w:p w14:paraId="1F8E95EC">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260</w:t>
            </w:r>
          </w:p>
        </w:tc>
        <w:tc>
          <w:tcPr>
            <w:tcW w:w="1406" w:type="dxa"/>
            <w:tcBorders>
              <w:tl2br w:val="nil"/>
              <w:tr2bl w:val="nil"/>
            </w:tcBorders>
            <w:shd w:val="clear" w:color="auto" w:fill="auto"/>
            <w:vAlign w:val="center"/>
          </w:tcPr>
          <w:p w14:paraId="1C3B0DC8">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738" w:type="dxa"/>
            <w:tcBorders>
              <w:tl2br w:val="nil"/>
              <w:tr2bl w:val="nil"/>
            </w:tcBorders>
            <w:shd w:val="clear" w:color="auto" w:fill="auto"/>
            <w:vAlign w:val="center"/>
          </w:tcPr>
          <w:p w14:paraId="53EF34FB">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406" w:type="dxa"/>
            <w:tcBorders>
              <w:tl2br w:val="nil"/>
              <w:tr2bl w:val="nil"/>
            </w:tcBorders>
            <w:shd w:val="clear" w:color="auto" w:fill="auto"/>
            <w:vAlign w:val="center"/>
          </w:tcPr>
          <w:p w14:paraId="32387D52">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738" w:type="dxa"/>
            <w:tcBorders>
              <w:tl2br w:val="nil"/>
              <w:tr2bl w:val="nil"/>
            </w:tcBorders>
            <w:shd w:val="clear" w:color="auto" w:fill="auto"/>
            <w:vAlign w:val="center"/>
          </w:tcPr>
          <w:p w14:paraId="416C2240">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407" w:type="dxa"/>
            <w:tcBorders>
              <w:tl2br w:val="nil"/>
              <w:tr2bl w:val="nil"/>
            </w:tcBorders>
            <w:shd w:val="clear" w:color="auto" w:fill="auto"/>
            <w:vAlign w:val="center"/>
          </w:tcPr>
          <w:p w14:paraId="37A0014C">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739" w:type="dxa"/>
            <w:tcBorders>
              <w:tl2br w:val="nil"/>
              <w:tr2bl w:val="nil"/>
            </w:tcBorders>
            <w:shd w:val="clear" w:color="auto" w:fill="auto"/>
            <w:vAlign w:val="center"/>
          </w:tcPr>
          <w:p w14:paraId="11F5A5E3">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r>
      <w:tr w14:paraId="095DFB4B">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992" w:type="dxa"/>
            <w:tcBorders>
              <w:tl2br w:val="nil"/>
              <w:tr2bl w:val="nil"/>
            </w:tcBorders>
            <w:shd w:val="clear" w:color="auto" w:fill="auto"/>
            <w:vAlign w:val="center"/>
          </w:tcPr>
          <w:p w14:paraId="71882D5B">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2-</w:t>
            </w:r>
            <w:r>
              <w:rPr>
                <w:rFonts w:hint="eastAsia"/>
                <w:color w:val="auto"/>
                <w:sz w:val="21"/>
                <w:szCs w:val="21"/>
                <w:highlight w:val="none"/>
                <w:lang w:bidi="ar"/>
              </w:rPr>
              <w:t>氯酚</w:t>
            </w:r>
          </w:p>
        </w:tc>
        <w:tc>
          <w:tcPr>
            <w:tcW w:w="885" w:type="dxa"/>
            <w:tcBorders>
              <w:tl2br w:val="nil"/>
              <w:tr2bl w:val="nil"/>
            </w:tcBorders>
            <w:shd w:val="clear" w:color="auto" w:fill="auto"/>
            <w:vAlign w:val="center"/>
          </w:tcPr>
          <w:p w14:paraId="4C95BB45">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mg/kg</w:t>
            </w:r>
          </w:p>
        </w:tc>
        <w:tc>
          <w:tcPr>
            <w:tcW w:w="1341" w:type="dxa"/>
            <w:tcBorders>
              <w:tl2br w:val="nil"/>
              <w:tr2bl w:val="nil"/>
            </w:tcBorders>
            <w:shd w:val="clear" w:color="auto" w:fill="auto"/>
            <w:vAlign w:val="center"/>
          </w:tcPr>
          <w:p w14:paraId="5E47A245">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2256</w:t>
            </w:r>
          </w:p>
        </w:tc>
        <w:tc>
          <w:tcPr>
            <w:tcW w:w="1406" w:type="dxa"/>
            <w:tcBorders>
              <w:tl2br w:val="nil"/>
              <w:tr2bl w:val="nil"/>
            </w:tcBorders>
            <w:shd w:val="clear" w:color="auto" w:fill="auto"/>
            <w:vAlign w:val="center"/>
          </w:tcPr>
          <w:p w14:paraId="4BBADB26">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738" w:type="dxa"/>
            <w:tcBorders>
              <w:tl2br w:val="nil"/>
              <w:tr2bl w:val="nil"/>
            </w:tcBorders>
            <w:shd w:val="clear" w:color="auto" w:fill="auto"/>
            <w:vAlign w:val="center"/>
          </w:tcPr>
          <w:p w14:paraId="31953BD1">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406" w:type="dxa"/>
            <w:tcBorders>
              <w:tl2br w:val="nil"/>
              <w:tr2bl w:val="nil"/>
            </w:tcBorders>
            <w:shd w:val="clear" w:color="auto" w:fill="auto"/>
            <w:vAlign w:val="center"/>
          </w:tcPr>
          <w:p w14:paraId="2780CEC2">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738" w:type="dxa"/>
            <w:tcBorders>
              <w:tl2br w:val="nil"/>
              <w:tr2bl w:val="nil"/>
            </w:tcBorders>
            <w:shd w:val="clear" w:color="auto" w:fill="auto"/>
            <w:vAlign w:val="center"/>
          </w:tcPr>
          <w:p w14:paraId="55F8BCE9">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407" w:type="dxa"/>
            <w:tcBorders>
              <w:tl2br w:val="nil"/>
              <w:tr2bl w:val="nil"/>
            </w:tcBorders>
            <w:shd w:val="clear" w:color="auto" w:fill="auto"/>
            <w:vAlign w:val="center"/>
          </w:tcPr>
          <w:p w14:paraId="53E0EBF6">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739" w:type="dxa"/>
            <w:tcBorders>
              <w:tl2br w:val="nil"/>
              <w:tr2bl w:val="nil"/>
            </w:tcBorders>
            <w:shd w:val="clear" w:color="auto" w:fill="auto"/>
            <w:vAlign w:val="center"/>
          </w:tcPr>
          <w:p w14:paraId="5541AC4C">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r>
      <w:tr w14:paraId="0BA41B3C">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992" w:type="dxa"/>
            <w:tcBorders>
              <w:tl2br w:val="nil"/>
              <w:tr2bl w:val="nil"/>
            </w:tcBorders>
            <w:shd w:val="clear" w:color="auto" w:fill="auto"/>
            <w:vAlign w:val="center"/>
          </w:tcPr>
          <w:p w14:paraId="0F615900">
            <w:pPr>
              <w:ind w:left="-105" w:right="-105"/>
              <w:jc w:val="center"/>
              <w:textAlignment w:val="center"/>
              <w:rPr>
                <w:color w:val="auto"/>
                <w:sz w:val="21"/>
                <w:szCs w:val="21"/>
                <w:highlight w:val="none"/>
              </w:rPr>
            </w:pPr>
            <w:r>
              <w:rPr>
                <w:rFonts w:hint="eastAsia"/>
                <w:color w:val="auto"/>
                <w:sz w:val="21"/>
                <w:szCs w:val="21"/>
                <w:highlight w:val="none"/>
                <w:lang w:bidi="ar"/>
              </w:rPr>
              <w:t>硝基苯</w:t>
            </w:r>
          </w:p>
        </w:tc>
        <w:tc>
          <w:tcPr>
            <w:tcW w:w="885" w:type="dxa"/>
            <w:tcBorders>
              <w:tl2br w:val="nil"/>
              <w:tr2bl w:val="nil"/>
            </w:tcBorders>
            <w:shd w:val="clear" w:color="auto" w:fill="auto"/>
            <w:vAlign w:val="center"/>
          </w:tcPr>
          <w:p w14:paraId="180B49C2">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mg/kg</w:t>
            </w:r>
          </w:p>
        </w:tc>
        <w:tc>
          <w:tcPr>
            <w:tcW w:w="1341" w:type="dxa"/>
            <w:tcBorders>
              <w:tl2br w:val="nil"/>
              <w:tr2bl w:val="nil"/>
            </w:tcBorders>
            <w:shd w:val="clear" w:color="auto" w:fill="auto"/>
            <w:vAlign w:val="center"/>
          </w:tcPr>
          <w:p w14:paraId="4F69340E">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76</w:t>
            </w:r>
          </w:p>
        </w:tc>
        <w:tc>
          <w:tcPr>
            <w:tcW w:w="1406" w:type="dxa"/>
            <w:tcBorders>
              <w:tl2br w:val="nil"/>
              <w:tr2bl w:val="nil"/>
            </w:tcBorders>
            <w:shd w:val="clear" w:color="auto" w:fill="auto"/>
            <w:vAlign w:val="center"/>
          </w:tcPr>
          <w:p w14:paraId="27708E8C">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738" w:type="dxa"/>
            <w:tcBorders>
              <w:tl2br w:val="nil"/>
              <w:tr2bl w:val="nil"/>
            </w:tcBorders>
            <w:shd w:val="clear" w:color="auto" w:fill="auto"/>
            <w:vAlign w:val="center"/>
          </w:tcPr>
          <w:p w14:paraId="625161FD">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406" w:type="dxa"/>
            <w:tcBorders>
              <w:tl2br w:val="nil"/>
              <w:tr2bl w:val="nil"/>
            </w:tcBorders>
            <w:shd w:val="clear" w:color="auto" w:fill="auto"/>
            <w:vAlign w:val="center"/>
          </w:tcPr>
          <w:p w14:paraId="3E0BF88D">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738" w:type="dxa"/>
            <w:tcBorders>
              <w:tl2br w:val="nil"/>
              <w:tr2bl w:val="nil"/>
            </w:tcBorders>
            <w:shd w:val="clear" w:color="auto" w:fill="auto"/>
            <w:vAlign w:val="center"/>
          </w:tcPr>
          <w:p w14:paraId="451C19D7">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407" w:type="dxa"/>
            <w:tcBorders>
              <w:tl2br w:val="nil"/>
              <w:tr2bl w:val="nil"/>
            </w:tcBorders>
            <w:shd w:val="clear" w:color="auto" w:fill="auto"/>
            <w:vAlign w:val="center"/>
          </w:tcPr>
          <w:p w14:paraId="73ED8667">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739" w:type="dxa"/>
            <w:tcBorders>
              <w:tl2br w:val="nil"/>
              <w:tr2bl w:val="nil"/>
            </w:tcBorders>
            <w:shd w:val="clear" w:color="auto" w:fill="auto"/>
            <w:vAlign w:val="center"/>
          </w:tcPr>
          <w:p w14:paraId="0AE6F263">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r>
      <w:tr w14:paraId="26CEF28C">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992" w:type="dxa"/>
            <w:tcBorders>
              <w:tl2br w:val="nil"/>
              <w:tr2bl w:val="nil"/>
            </w:tcBorders>
            <w:shd w:val="clear" w:color="auto" w:fill="auto"/>
            <w:vAlign w:val="center"/>
          </w:tcPr>
          <w:p w14:paraId="596C19CC">
            <w:pPr>
              <w:ind w:left="-105" w:right="-105"/>
              <w:jc w:val="center"/>
              <w:textAlignment w:val="center"/>
              <w:rPr>
                <w:color w:val="auto"/>
                <w:sz w:val="21"/>
                <w:szCs w:val="21"/>
                <w:highlight w:val="none"/>
              </w:rPr>
            </w:pPr>
            <w:r>
              <w:rPr>
                <w:rFonts w:hint="eastAsia"/>
                <w:color w:val="auto"/>
                <w:sz w:val="21"/>
                <w:szCs w:val="21"/>
                <w:highlight w:val="none"/>
                <w:lang w:bidi="ar"/>
              </w:rPr>
              <w:t>萘</w:t>
            </w:r>
          </w:p>
        </w:tc>
        <w:tc>
          <w:tcPr>
            <w:tcW w:w="885" w:type="dxa"/>
            <w:tcBorders>
              <w:tl2br w:val="nil"/>
              <w:tr2bl w:val="nil"/>
            </w:tcBorders>
            <w:shd w:val="clear" w:color="auto" w:fill="auto"/>
            <w:vAlign w:val="center"/>
          </w:tcPr>
          <w:p w14:paraId="1C4EB452">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mg/kg</w:t>
            </w:r>
          </w:p>
        </w:tc>
        <w:tc>
          <w:tcPr>
            <w:tcW w:w="1341" w:type="dxa"/>
            <w:tcBorders>
              <w:tl2br w:val="nil"/>
              <w:tr2bl w:val="nil"/>
            </w:tcBorders>
            <w:shd w:val="clear" w:color="auto" w:fill="auto"/>
            <w:vAlign w:val="center"/>
          </w:tcPr>
          <w:p w14:paraId="1587C849">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70</w:t>
            </w:r>
          </w:p>
        </w:tc>
        <w:tc>
          <w:tcPr>
            <w:tcW w:w="1406" w:type="dxa"/>
            <w:tcBorders>
              <w:tl2br w:val="nil"/>
              <w:tr2bl w:val="nil"/>
            </w:tcBorders>
            <w:shd w:val="clear" w:color="auto" w:fill="auto"/>
            <w:vAlign w:val="center"/>
          </w:tcPr>
          <w:p w14:paraId="2418750A">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738" w:type="dxa"/>
            <w:tcBorders>
              <w:tl2br w:val="nil"/>
              <w:tr2bl w:val="nil"/>
            </w:tcBorders>
            <w:shd w:val="clear" w:color="auto" w:fill="auto"/>
            <w:vAlign w:val="center"/>
          </w:tcPr>
          <w:p w14:paraId="46962E89">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406" w:type="dxa"/>
            <w:tcBorders>
              <w:tl2br w:val="nil"/>
              <w:tr2bl w:val="nil"/>
            </w:tcBorders>
            <w:shd w:val="clear" w:color="auto" w:fill="auto"/>
            <w:vAlign w:val="center"/>
          </w:tcPr>
          <w:p w14:paraId="6E7DB43D">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738" w:type="dxa"/>
            <w:tcBorders>
              <w:tl2br w:val="nil"/>
              <w:tr2bl w:val="nil"/>
            </w:tcBorders>
            <w:shd w:val="clear" w:color="auto" w:fill="auto"/>
            <w:vAlign w:val="center"/>
          </w:tcPr>
          <w:p w14:paraId="2B10EDCA">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407" w:type="dxa"/>
            <w:tcBorders>
              <w:tl2br w:val="nil"/>
              <w:tr2bl w:val="nil"/>
            </w:tcBorders>
            <w:shd w:val="clear" w:color="auto" w:fill="auto"/>
            <w:vAlign w:val="center"/>
          </w:tcPr>
          <w:p w14:paraId="51C71D94">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739" w:type="dxa"/>
            <w:tcBorders>
              <w:tl2br w:val="nil"/>
              <w:tr2bl w:val="nil"/>
            </w:tcBorders>
            <w:shd w:val="clear" w:color="auto" w:fill="auto"/>
            <w:vAlign w:val="center"/>
          </w:tcPr>
          <w:p w14:paraId="7002E06A">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r>
      <w:tr w14:paraId="04A40490">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992" w:type="dxa"/>
            <w:tcBorders>
              <w:tl2br w:val="nil"/>
              <w:tr2bl w:val="nil"/>
            </w:tcBorders>
            <w:shd w:val="clear" w:color="auto" w:fill="auto"/>
            <w:vAlign w:val="center"/>
          </w:tcPr>
          <w:p w14:paraId="79E4D6D2">
            <w:pPr>
              <w:ind w:left="-105" w:right="-105"/>
              <w:jc w:val="center"/>
              <w:textAlignment w:val="center"/>
              <w:rPr>
                <w:color w:val="auto"/>
                <w:sz w:val="21"/>
                <w:szCs w:val="21"/>
                <w:highlight w:val="none"/>
              </w:rPr>
            </w:pPr>
            <w:r>
              <w:rPr>
                <w:rFonts w:hint="eastAsia"/>
                <w:color w:val="auto"/>
                <w:sz w:val="21"/>
                <w:szCs w:val="21"/>
                <w:highlight w:val="none"/>
                <w:lang w:bidi="ar"/>
              </w:rPr>
              <w:t>苯并</w:t>
            </w:r>
            <w:r>
              <w:rPr>
                <w:rFonts w:ascii="Times New Roman" w:hAnsi="Times New Roman" w:cs="Times New Roman"/>
                <w:color w:val="auto"/>
                <w:sz w:val="21"/>
                <w:szCs w:val="21"/>
                <w:highlight w:val="none"/>
                <w:lang w:bidi="ar"/>
              </w:rPr>
              <w:t>[a]</w:t>
            </w:r>
            <w:r>
              <w:rPr>
                <w:rFonts w:hint="eastAsia"/>
                <w:color w:val="auto"/>
                <w:sz w:val="21"/>
                <w:szCs w:val="21"/>
                <w:highlight w:val="none"/>
                <w:lang w:bidi="ar"/>
              </w:rPr>
              <w:t>蒽</w:t>
            </w:r>
          </w:p>
        </w:tc>
        <w:tc>
          <w:tcPr>
            <w:tcW w:w="885" w:type="dxa"/>
            <w:tcBorders>
              <w:tl2br w:val="nil"/>
              <w:tr2bl w:val="nil"/>
            </w:tcBorders>
            <w:shd w:val="clear" w:color="auto" w:fill="auto"/>
            <w:vAlign w:val="center"/>
          </w:tcPr>
          <w:p w14:paraId="00B0607F">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mg/kg</w:t>
            </w:r>
          </w:p>
        </w:tc>
        <w:tc>
          <w:tcPr>
            <w:tcW w:w="1341" w:type="dxa"/>
            <w:tcBorders>
              <w:tl2br w:val="nil"/>
              <w:tr2bl w:val="nil"/>
            </w:tcBorders>
            <w:shd w:val="clear" w:color="auto" w:fill="auto"/>
            <w:vAlign w:val="center"/>
          </w:tcPr>
          <w:p w14:paraId="0AABDEE1">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15</w:t>
            </w:r>
          </w:p>
        </w:tc>
        <w:tc>
          <w:tcPr>
            <w:tcW w:w="1406" w:type="dxa"/>
            <w:tcBorders>
              <w:tl2br w:val="nil"/>
              <w:tr2bl w:val="nil"/>
            </w:tcBorders>
            <w:shd w:val="clear" w:color="auto" w:fill="auto"/>
            <w:vAlign w:val="center"/>
          </w:tcPr>
          <w:p w14:paraId="546A2549">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738" w:type="dxa"/>
            <w:tcBorders>
              <w:tl2br w:val="nil"/>
              <w:tr2bl w:val="nil"/>
            </w:tcBorders>
            <w:shd w:val="clear" w:color="auto" w:fill="auto"/>
            <w:vAlign w:val="center"/>
          </w:tcPr>
          <w:p w14:paraId="0C340B58">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406" w:type="dxa"/>
            <w:tcBorders>
              <w:tl2br w:val="nil"/>
              <w:tr2bl w:val="nil"/>
            </w:tcBorders>
            <w:shd w:val="clear" w:color="auto" w:fill="auto"/>
            <w:vAlign w:val="center"/>
          </w:tcPr>
          <w:p w14:paraId="771BBD4E">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0.2</w:t>
            </w:r>
          </w:p>
        </w:tc>
        <w:tc>
          <w:tcPr>
            <w:tcW w:w="1738" w:type="dxa"/>
            <w:tcBorders>
              <w:tl2br w:val="nil"/>
              <w:tr2bl w:val="nil"/>
            </w:tcBorders>
            <w:shd w:val="clear" w:color="auto" w:fill="auto"/>
            <w:vAlign w:val="center"/>
          </w:tcPr>
          <w:p w14:paraId="3551068F">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 xml:space="preserve">0.0133 </w:t>
            </w:r>
          </w:p>
        </w:tc>
        <w:tc>
          <w:tcPr>
            <w:tcW w:w="1407" w:type="dxa"/>
            <w:tcBorders>
              <w:tl2br w:val="nil"/>
              <w:tr2bl w:val="nil"/>
            </w:tcBorders>
            <w:shd w:val="clear" w:color="auto" w:fill="auto"/>
            <w:vAlign w:val="center"/>
          </w:tcPr>
          <w:p w14:paraId="444BBFBB">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0.4</w:t>
            </w:r>
          </w:p>
        </w:tc>
        <w:tc>
          <w:tcPr>
            <w:tcW w:w="1739" w:type="dxa"/>
            <w:tcBorders>
              <w:tl2br w:val="nil"/>
              <w:tr2bl w:val="nil"/>
            </w:tcBorders>
            <w:shd w:val="clear" w:color="auto" w:fill="auto"/>
            <w:vAlign w:val="center"/>
          </w:tcPr>
          <w:p w14:paraId="08D5AD99">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 xml:space="preserve">0.0267 </w:t>
            </w:r>
          </w:p>
        </w:tc>
      </w:tr>
      <w:tr w14:paraId="5E357DFC">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992" w:type="dxa"/>
            <w:tcBorders>
              <w:tl2br w:val="nil"/>
              <w:tr2bl w:val="nil"/>
            </w:tcBorders>
            <w:shd w:val="clear" w:color="auto" w:fill="auto"/>
            <w:vAlign w:val="center"/>
          </w:tcPr>
          <w:p w14:paraId="1F4F242A">
            <w:pPr>
              <w:ind w:left="-105" w:right="-105"/>
              <w:jc w:val="center"/>
              <w:textAlignment w:val="center"/>
              <w:rPr>
                <w:color w:val="auto"/>
                <w:sz w:val="21"/>
                <w:szCs w:val="21"/>
                <w:highlight w:val="none"/>
              </w:rPr>
            </w:pPr>
            <w:r>
              <w:rPr>
                <w:rFonts w:hint="eastAsia"/>
                <w:color w:val="auto"/>
                <w:sz w:val="21"/>
                <w:szCs w:val="21"/>
                <w:highlight w:val="none"/>
                <w:lang w:bidi="ar"/>
              </w:rPr>
              <w:t>䓛</w:t>
            </w:r>
          </w:p>
        </w:tc>
        <w:tc>
          <w:tcPr>
            <w:tcW w:w="885" w:type="dxa"/>
            <w:tcBorders>
              <w:tl2br w:val="nil"/>
              <w:tr2bl w:val="nil"/>
            </w:tcBorders>
            <w:shd w:val="clear" w:color="auto" w:fill="auto"/>
            <w:vAlign w:val="center"/>
          </w:tcPr>
          <w:p w14:paraId="372004F1">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mg/kg</w:t>
            </w:r>
          </w:p>
        </w:tc>
        <w:tc>
          <w:tcPr>
            <w:tcW w:w="1341" w:type="dxa"/>
            <w:tcBorders>
              <w:tl2br w:val="nil"/>
              <w:tr2bl w:val="nil"/>
            </w:tcBorders>
            <w:shd w:val="clear" w:color="auto" w:fill="auto"/>
            <w:vAlign w:val="center"/>
          </w:tcPr>
          <w:p w14:paraId="4765B3D9">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1293</w:t>
            </w:r>
          </w:p>
        </w:tc>
        <w:tc>
          <w:tcPr>
            <w:tcW w:w="1406" w:type="dxa"/>
            <w:tcBorders>
              <w:tl2br w:val="nil"/>
              <w:tr2bl w:val="nil"/>
            </w:tcBorders>
            <w:shd w:val="clear" w:color="auto" w:fill="auto"/>
            <w:vAlign w:val="center"/>
          </w:tcPr>
          <w:p w14:paraId="5F31AC12">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738" w:type="dxa"/>
            <w:tcBorders>
              <w:tl2br w:val="nil"/>
              <w:tr2bl w:val="nil"/>
            </w:tcBorders>
            <w:shd w:val="clear" w:color="auto" w:fill="auto"/>
            <w:vAlign w:val="center"/>
          </w:tcPr>
          <w:p w14:paraId="656CE559">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406" w:type="dxa"/>
            <w:tcBorders>
              <w:tl2br w:val="nil"/>
              <w:tr2bl w:val="nil"/>
            </w:tcBorders>
            <w:shd w:val="clear" w:color="auto" w:fill="auto"/>
            <w:vAlign w:val="center"/>
          </w:tcPr>
          <w:p w14:paraId="43CC6EDD">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0.2</w:t>
            </w:r>
          </w:p>
        </w:tc>
        <w:tc>
          <w:tcPr>
            <w:tcW w:w="1738" w:type="dxa"/>
            <w:tcBorders>
              <w:tl2br w:val="nil"/>
              <w:tr2bl w:val="nil"/>
            </w:tcBorders>
            <w:shd w:val="clear" w:color="auto" w:fill="auto"/>
            <w:vAlign w:val="center"/>
          </w:tcPr>
          <w:p w14:paraId="1A733677">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 xml:space="preserve">0.0002 </w:t>
            </w:r>
          </w:p>
        </w:tc>
        <w:tc>
          <w:tcPr>
            <w:tcW w:w="1407" w:type="dxa"/>
            <w:tcBorders>
              <w:tl2br w:val="nil"/>
              <w:tr2bl w:val="nil"/>
            </w:tcBorders>
            <w:shd w:val="clear" w:color="auto" w:fill="auto"/>
            <w:vAlign w:val="center"/>
          </w:tcPr>
          <w:p w14:paraId="698DD62A">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0.5</w:t>
            </w:r>
          </w:p>
        </w:tc>
        <w:tc>
          <w:tcPr>
            <w:tcW w:w="1739" w:type="dxa"/>
            <w:tcBorders>
              <w:tl2br w:val="nil"/>
              <w:tr2bl w:val="nil"/>
            </w:tcBorders>
            <w:shd w:val="clear" w:color="auto" w:fill="auto"/>
            <w:vAlign w:val="center"/>
          </w:tcPr>
          <w:p w14:paraId="26D29582">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 xml:space="preserve">0.0004 </w:t>
            </w:r>
          </w:p>
        </w:tc>
      </w:tr>
      <w:tr w14:paraId="703438FB">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992" w:type="dxa"/>
            <w:tcBorders>
              <w:tl2br w:val="nil"/>
              <w:tr2bl w:val="nil"/>
            </w:tcBorders>
            <w:shd w:val="clear" w:color="auto" w:fill="auto"/>
            <w:vAlign w:val="center"/>
          </w:tcPr>
          <w:p w14:paraId="261167C1">
            <w:pPr>
              <w:ind w:left="-105" w:right="-105"/>
              <w:jc w:val="center"/>
              <w:textAlignment w:val="center"/>
              <w:rPr>
                <w:color w:val="auto"/>
                <w:sz w:val="21"/>
                <w:szCs w:val="21"/>
                <w:highlight w:val="none"/>
              </w:rPr>
            </w:pPr>
            <w:r>
              <w:rPr>
                <w:rFonts w:hint="eastAsia"/>
                <w:color w:val="auto"/>
                <w:sz w:val="21"/>
                <w:szCs w:val="21"/>
                <w:highlight w:val="none"/>
                <w:lang w:bidi="ar"/>
              </w:rPr>
              <w:t>苯并</w:t>
            </w:r>
            <w:r>
              <w:rPr>
                <w:rFonts w:ascii="Times New Roman" w:hAnsi="Times New Roman" w:cs="Times New Roman"/>
                <w:color w:val="auto"/>
                <w:sz w:val="21"/>
                <w:szCs w:val="21"/>
                <w:highlight w:val="none"/>
                <w:lang w:bidi="ar"/>
              </w:rPr>
              <w:t>[b]</w:t>
            </w:r>
            <w:r>
              <w:rPr>
                <w:rFonts w:hint="eastAsia"/>
                <w:color w:val="auto"/>
                <w:sz w:val="21"/>
                <w:szCs w:val="21"/>
                <w:highlight w:val="none"/>
                <w:lang w:bidi="ar"/>
              </w:rPr>
              <w:t>荧蒽</w:t>
            </w:r>
          </w:p>
        </w:tc>
        <w:tc>
          <w:tcPr>
            <w:tcW w:w="885" w:type="dxa"/>
            <w:tcBorders>
              <w:tl2br w:val="nil"/>
              <w:tr2bl w:val="nil"/>
            </w:tcBorders>
            <w:shd w:val="clear" w:color="auto" w:fill="auto"/>
            <w:vAlign w:val="center"/>
          </w:tcPr>
          <w:p w14:paraId="324485BE">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mg/kg</w:t>
            </w:r>
          </w:p>
        </w:tc>
        <w:tc>
          <w:tcPr>
            <w:tcW w:w="1341" w:type="dxa"/>
            <w:tcBorders>
              <w:tl2br w:val="nil"/>
              <w:tr2bl w:val="nil"/>
            </w:tcBorders>
            <w:shd w:val="clear" w:color="auto" w:fill="auto"/>
            <w:vAlign w:val="center"/>
          </w:tcPr>
          <w:p w14:paraId="462A5DB8">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15</w:t>
            </w:r>
          </w:p>
        </w:tc>
        <w:tc>
          <w:tcPr>
            <w:tcW w:w="1406" w:type="dxa"/>
            <w:tcBorders>
              <w:tl2br w:val="nil"/>
              <w:tr2bl w:val="nil"/>
            </w:tcBorders>
            <w:shd w:val="clear" w:color="auto" w:fill="auto"/>
            <w:vAlign w:val="center"/>
          </w:tcPr>
          <w:p w14:paraId="5C3C4411">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738" w:type="dxa"/>
            <w:tcBorders>
              <w:tl2br w:val="nil"/>
              <w:tr2bl w:val="nil"/>
            </w:tcBorders>
            <w:shd w:val="clear" w:color="auto" w:fill="auto"/>
            <w:vAlign w:val="center"/>
          </w:tcPr>
          <w:p w14:paraId="5623197A">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406" w:type="dxa"/>
            <w:tcBorders>
              <w:tl2br w:val="nil"/>
              <w:tr2bl w:val="nil"/>
            </w:tcBorders>
            <w:shd w:val="clear" w:color="auto" w:fill="auto"/>
            <w:vAlign w:val="center"/>
          </w:tcPr>
          <w:p w14:paraId="4F0F92A3">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0.2</w:t>
            </w:r>
          </w:p>
        </w:tc>
        <w:tc>
          <w:tcPr>
            <w:tcW w:w="1738" w:type="dxa"/>
            <w:tcBorders>
              <w:tl2br w:val="nil"/>
              <w:tr2bl w:val="nil"/>
            </w:tcBorders>
            <w:shd w:val="clear" w:color="auto" w:fill="auto"/>
            <w:vAlign w:val="center"/>
          </w:tcPr>
          <w:p w14:paraId="7D54578C">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 xml:space="preserve">0.0133 </w:t>
            </w:r>
          </w:p>
        </w:tc>
        <w:tc>
          <w:tcPr>
            <w:tcW w:w="1407" w:type="dxa"/>
            <w:tcBorders>
              <w:tl2br w:val="nil"/>
              <w:tr2bl w:val="nil"/>
            </w:tcBorders>
            <w:shd w:val="clear" w:color="auto" w:fill="auto"/>
            <w:vAlign w:val="center"/>
          </w:tcPr>
          <w:p w14:paraId="7F9A8DD4">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0.5</w:t>
            </w:r>
          </w:p>
        </w:tc>
        <w:tc>
          <w:tcPr>
            <w:tcW w:w="1739" w:type="dxa"/>
            <w:tcBorders>
              <w:tl2br w:val="nil"/>
              <w:tr2bl w:val="nil"/>
            </w:tcBorders>
            <w:shd w:val="clear" w:color="auto" w:fill="auto"/>
            <w:vAlign w:val="center"/>
          </w:tcPr>
          <w:p w14:paraId="5219AF14">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 xml:space="preserve">0.0333 </w:t>
            </w:r>
          </w:p>
        </w:tc>
      </w:tr>
      <w:tr w14:paraId="375A31EF">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992" w:type="dxa"/>
            <w:tcBorders>
              <w:tl2br w:val="nil"/>
              <w:tr2bl w:val="nil"/>
            </w:tcBorders>
            <w:shd w:val="clear" w:color="auto" w:fill="auto"/>
            <w:vAlign w:val="center"/>
          </w:tcPr>
          <w:p w14:paraId="5B2D4FFD">
            <w:pPr>
              <w:ind w:left="-105" w:right="-105"/>
              <w:jc w:val="center"/>
              <w:textAlignment w:val="center"/>
              <w:rPr>
                <w:color w:val="auto"/>
                <w:sz w:val="21"/>
                <w:szCs w:val="21"/>
                <w:highlight w:val="none"/>
              </w:rPr>
            </w:pPr>
            <w:r>
              <w:rPr>
                <w:rFonts w:hint="eastAsia"/>
                <w:color w:val="auto"/>
                <w:sz w:val="21"/>
                <w:szCs w:val="21"/>
                <w:highlight w:val="none"/>
                <w:lang w:bidi="ar"/>
              </w:rPr>
              <w:t>苯并</w:t>
            </w:r>
            <w:r>
              <w:rPr>
                <w:rFonts w:ascii="Times New Roman" w:hAnsi="Times New Roman" w:cs="Times New Roman"/>
                <w:color w:val="auto"/>
                <w:sz w:val="21"/>
                <w:szCs w:val="21"/>
                <w:highlight w:val="none"/>
                <w:lang w:bidi="ar"/>
              </w:rPr>
              <w:t>[k]</w:t>
            </w:r>
            <w:r>
              <w:rPr>
                <w:rFonts w:hint="eastAsia"/>
                <w:color w:val="auto"/>
                <w:sz w:val="21"/>
                <w:szCs w:val="21"/>
                <w:highlight w:val="none"/>
                <w:lang w:bidi="ar"/>
              </w:rPr>
              <w:t>荧蒽</w:t>
            </w:r>
          </w:p>
        </w:tc>
        <w:tc>
          <w:tcPr>
            <w:tcW w:w="885" w:type="dxa"/>
            <w:tcBorders>
              <w:tl2br w:val="nil"/>
              <w:tr2bl w:val="nil"/>
            </w:tcBorders>
            <w:shd w:val="clear" w:color="auto" w:fill="auto"/>
            <w:vAlign w:val="center"/>
          </w:tcPr>
          <w:p w14:paraId="584E0B9D">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mg/kg</w:t>
            </w:r>
          </w:p>
        </w:tc>
        <w:tc>
          <w:tcPr>
            <w:tcW w:w="1341" w:type="dxa"/>
            <w:tcBorders>
              <w:tl2br w:val="nil"/>
              <w:tr2bl w:val="nil"/>
            </w:tcBorders>
            <w:shd w:val="clear" w:color="auto" w:fill="auto"/>
            <w:vAlign w:val="center"/>
          </w:tcPr>
          <w:p w14:paraId="092AF100">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151</w:t>
            </w:r>
          </w:p>
        </w:tc>
        <w:tc>
          <w:tcPr>
            <w:tcW w:w="1406" w:type="dxa"/>
            <w:tcBorders>
              <w:tl2br w:val="nil"/>
              <w:tr2bl w:val="nil"/>
            </w:tcBorders>
            <w:shd w:val="clear" w:color="auto" w:fill="auto"/>
            <w:vAlign w:val="center"/>
          </w:tcPr>
          <w:p w14:paraId="0CDFB0BC">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738" w:type="dxa"/>
            <w:tcBorders>
              <w:tl2br w:val="nil"/>
              <w:tr2bl w:val="nil"/>
            </w:tcBorders>
            <w:shd w:val="clear" w:color="auto" w:fill="auto"/>
            <w:vAlign w:val="center"/>
          </w:tcPr>
          <w:p w14:paraId="5A9E7763">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406" w:type="dxa"/>
            <w:tcBorders>
              <w:tl2br w:val="nil"/>
              <w:tr2bl w:val="nil"/>
            </w:tcBorders>
            <w:shd w:val="clear" w:color="auto" w:fill="auto"/>
            <w:vAlign w:val="center"/>
          </w:tcPr>
          <w:p w14:paraId="7D42793B">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0.2</w:t>
            </w:r>
          </w:p>
        </w:tc>
        <w:tc>
          <w:tcPr>
            <w:tcW w:w="1738" w:type="dxa"/>
            <w:tcBorders>
              <w:tl2br w:val="nil"/>
              <w:tr2bl w:val="nil"/>
            </w:tcBorders>
            <w:shd w:val="clear" w:color="auto" w:fill="auto"/>
            <w:vAlign w:val="center"/>
          </w:tcPr>
          <w:p w14:paraId="5718391B">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 xml:space="preserve">0.0013 </w:t>
            </w:r>
          </w:p>
        </w:tc>
        <w:tc>
          <w:tcPr>
            <w:tcW w:w="1407" w:type="dxa"/>
            <w:tcBorders>
              <w:tl2br w:val="nil"/>
              <w:tr2bl w:val="nil"/>
            </w:tcBorders>
            <w:shd w:val="clear" w:color="auto" w:fill="auto"/>
            <w:vAlign w:val="center"/>
          </w:tcPr>
          <w:p w14:paraId="01BA5671">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0.3</w:t>
            </w:r>
          </w:p>
        </w:tc>
        <w:tc>
          <w:tcPr>
            <w:tcW w:w="1739" w:type="dxa"/>
            <w:tcBorders>
              <w:tl2br w:val="nil"/>
              <w:tr2bl w:val="nil"/>
            </w:tcBorders>
            <w:shd w:val="clear" w:color="auto" w:fill="auto"/>
            <w:vAlign w:val="center"/>
          </w:tcPr>
          <w:p w14:paraId="7DE30B23">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 xml:space="preserve">0.0020 </w:t>
            </w:r>
          </w:p>
        </w:tc>
      </w:tr>
      <w:tr w14:paraId="2642A276">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992" w:type="dxa"/>
            <w:tcBorders>
              <w:tl2br w:val="nil"/>
              <w:tr2bl w:val="nil"/>
            </w:tcBorders>
            <w:shd w:val="clear" w:color="auto" w:fill="auto"/>
            <w:vAlign w:val="center"/>
          </w:tcPr>
          <w:p w14:paraId="1332475B">
            <w:pPr>
              <w:ind w:left="-105" w:right="-105"/>
              <w:jc w:val="center"/>
              <w:textAlignment w:val="center"/>
              <w:rPr>
                <w:color w:val="auto"/>
                <w:sz w:val="21"/>
                <w:szCs w:val="21"/>
                <w:highlight w:val="none"/>
              </w:rPr>
            </w:pPr>
            <w:r>
              <w:rPr>
                <w:rFonts w:hint="eastAsia"/>
                <w:color w:val="auto"/>
                <w:sz w:val="21"/>
                <w:szCs w:val="21"/>
                <w:highlight w:val="none"/>
                <w:lang w:bidi="ar"/>
              </w:rPr>
              <w:t>苯并</w:t>
            </w:r>
            <w:r>
              <w:rPr>
                <w:rFonts w:ascii="Times New Roman" w:hAnsi="Times New Roman" w:cs="Times New Roman"/>
                <w:color w:val="auto"/>
                <w:sz w:val="21"/>
                <w:szCs w:val="21"/>
                <w:highlight w:val="none"/>
                <w:lang w:bidi="ar"/>
              </w:rPr>
              <w:t>[a]</w:t>
            </w:r>
            <w:r>
              <w:rPr>
                <w:rFonts w:hint="eastAsia"/>
                <w:color w:val="auto"/>
                <w:sz w:val="21"/>
                <w:szCs w:val="21"/>
                <w:highlight w:val="none"/>
                <w:lang w:bidi="ar"/>
              </w:rPr>
              <w:t>芘</w:t>
            </w:r>
          </w:p>
        </w:tc>
        <w:tc>
          <w:tcPr>
            <w:tcW w:w="885" w:type="dxa"/>
            <w:tcBorders>
              <w:tl2br w:val="nil"/>
              <w:tr2bl w:val="nil"/>
            </w:tcBorders>
            <w:shd w:val="clear" w:color="auto" w:fill="auto"/>
            <w:vAlign w:val="center"/>
          </w:tcPr>
          <w:p w14:paraId="36E6B391">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mg/kg</w:t>
            </w:r>
          </w:p>
        </w:tc>
        <w:tc>
          <w:tcPr>
            <w:tcW w:w="1341" w:type="dxa"/>
            <w:tcBorders>
              <w:tl2br w:val="nil"/>
              <w:tr2bl w:val="nil"/>
            </w:tcBorders>
            <w:shd w:val="clear" w:color="auto" w:fill="auto"/>
            <w:vAlign w:val="center"/>
          </w:tcPr>
          <w:p w14:paraId="2DFCD793">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1.5</w:t>
            </w:r>
          </w:p>
        </w:tc>
        <w:tc>
          <w:tcPr>
            <w:tcW w:w="1406" w:type="dxa"/>
            <w:tcBorders>
              <w:tl2br w:val="nil"/>
              <w:tr2bl w:val="nil"/>
            </w:tcBorders>
            <w:shd w:val="clear" w:color="auto" w:fill="auto"/>
            <w:vAlign w:val="center"/>
          </w:tcPr>
          <w:p w14:paraId="0768A6A1">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738" w:type="dxa"/>
            <w:tcBorders>
              <w:tl2br w:val="nil"/>
              <w:tr2bl w:val="nil"/>
            </w:tcBorders>
            <w:shd w:val="clear" w:color="auto" w:fill="auto"/>
            <w:vAlign w:val="center"/>
          </w:tcPr>
          <w:p w14:paraId="7151FC92">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406" w:type="dxa"/>
            <w:tcBorders>
              <w:tl2br w:val="nil"/>
              <w:tr2bl w:val="nil"/>
            </w:tcBorders>
            <w:shd w:val="clear" w:color="auto" w:fill="auto"/>
            <w:vAlign w:val="center"/>
          </w:tcPr>
          <w:p w14:paraId="754D1221">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0.1</w:t>
            </w:r>
          </w:p>
        </w:tc>
        <w:tc>
          <w:tcPr>
            <w:tcW w:w="1738" w:type="dxa"/>
            <w:tcBorders>
              <w:tl2br w:val="nil"/>
              <w:tr2bl w:val="nil"/>
            </w:tcBorders>
            <w:shd w:val="clear" w:color="auto" w:fill="auto"/>
            <w:vAlign w:val="center"/>
          </w:tcPr>
          <w:p w14:paraId="6154E318">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 xml:space="preserve">0.0667 </w:t>
            </w:r>
          </w:p>
        </w:tc>
        <w:tc>
          <w:tcPr>
            <w:tcW w:w="1407" w:type="dxa"/>
            <w:tcBorders>
              <w:tl2br w:val="nil"/>
              <w:tr2bl w:val="nil"/>
            </w:tcBorders>
            <w:shd w:val="clear" w:color="auto" w:fill="auto"/>
            <w:vAlign w:val="center"/>
          </w:tcPr>
          <w:p w14:paraId="740ACB4C">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0.2</w:t>
            </w:r>
          </w:p>
        </w:tc>
        <w:tc>
          <w:tcPr>
            <w:tcW w:w="1739" w:type="dxa"/>
            <w:tcBorders>
              <w:tl2br w:val="nil"/>
              <w:tr2bl w:val="nil"/>
            </w:tcBorders>
            <w:shd w:val="clear" w:color="auto" w:fill="auto"/>
            <w:vAlign w:val="center"/>
          </w:tcPr>
          <w:p w14:paraId="059A82E1">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 xml:space="preserve">0.1333 </w:t>
            </w:r>
          </w:p>
        </w:tc>
      </w:tr>
      <w:tr w14:paraId="4D869B20">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992" w:type="dxa"/>
            <w:tcBorders>
              <w:tl2br w:val="nil"/>
              <w:tr2bl w:val="nil"/>
            </w:tcBorders>
            <w:shd w:val="clear" w:color="auto" w:fill="auto"/>
            <w:vAlign w:val="center"/>
          </w:tcPr>
          <w:p w14:paraId="0EAF2358">
            <w:pPr>
              <w:ind w:left="-105" w:right="-105"/>
              <w:jc w:val="center"/>
              <w:textAlignment w:val="center"/>
              <w:rPr>
                <w:color w:val="auto"/>
                <w:sz w:val="21"/>
                <w:szCs w:val="21"/>
                <w:highlight w:val="none"/>
              </w:rPr>
            </w:pPr>
            <w:r>
              <w:rPr>
                <w:rFonts w:hint="eastAsia"/>
                <w:color w:val="auto"/>
                <w:sz w:val="21"/>
                <w:szCs w:val="21"/>
                <w:highlight w:val="none"/>
                <w:lang w:bidi="ar"/>
              </w:rPr>
              <w:t>茚并</w:t>
            </w:r>
            <w:r>
              <w:rPr>
                <w:rFonts w:ascii="Times New Roman" w:hAnsi="Times New Roman" w:cs="Times New Roman"/>
                <w:color w:val="auto"/>
                <w:sz w:val="21"/>
                <w:szCs w:val="21"/>
                <w:highlight w:val="none"/>
                <w:lang w:bidi="ar"/>
              </w:rPr>
              <w:t>[1,2,3-cd]</w:t>
            </w:r>
            <w:r>
              <w:rPr>
                <w:rFonts w:hint="eastAsia"/>
                <w:color w:val="auto"/>
                <w:sz w:val="21"/>
                <w:szCs w:val="21"/>
                <w:highlight w:val="none"/>
                <w:lang w:bidi="ar"/>
              </w:rPr>
              <w:t>芘</w:t>
            </w:r>
          </w:p>
        </w:tc>
        <w:tc>
          <w:tcPr>
            <w:tcW w:w="885" w:type="dxa"/>
            <w:tcBorders>
              <w:tl2br w:val="nil"/>
              <w:tr2bl w:val="nil"/>
            </w:tcBorders>
            <w:shd w:val="clear" w:color="auto" w:fill="auto"/>
            <w:vAlign w:val="center"/>
          </w:tcPr>
          <w:p w14:paraId="5317FC57">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mg/kg</w:t>
            </w:r>
          </w:p>
        </w:tc>
        <w:tc>
          <w:tcPr>
            <w:tcW w:w="1341" w:type="dxa"/>
            <w:tcBorders>
              <w:tl2br w:val="nil"/>
              <w:tr2bl w:val="nil"/>
            </w:tcBorders>
            <w:shd w:val="clear" w:color="auto" w:fill="auto"/>
            <w:vAlign w:val="center"/>
          </w:tcPr>
          <w:p w14:paraId="21317C64">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15</w:t>
            </w:r>
          </w:p>
        </w:tc>
        <w:tc>
          <w:tcPr>
            <w:tcW w:w="1406" w:type="dxa"/>
            <w:tcBorders>
              <w:tl2br w:val="nil"/>
              <w:tr2bl w:val="nil"/>
            </w:tcBorders>
            <w:shd w:val="clear" w:color="auto" w:fill="auto"/>
            <w:vAlign w:val="center"/>
          </w:tcPr>
          <w:p w14:paraId="264B8764">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738" w:type="dxa"/>
            <w:tcBorders>
              <w:tl2br w:val="nil"/>
              <w:tr2bl w:val="nil"/>
            </w:tcBorders>
            <w:shd w:val="clear" w:color="auto" w:fill="auto"/>
            <w:vAlign w:val="center"/>
          </w:tcPr>
          <w:p w14:paraId="216587BC">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406" w:type="dxa"/>
            <w:tcBorders>
              <w:tl2br w:val="nil"/>
              <w:tr2bl w:val="nil"/>
            </w:tcBorders>
            <w:shd w:val="clear" w:color="auto" w:fill="auto"/>
            <w:vAlign w:val="center"/>
          </w:tcPr>
          <w:p w14:paraId="6B927904">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0.2</w:t>
            </w:r>
          </w:p>
        </w:tc>
        <w:tc>
          <w:tcPr>
            <w:tcW w:w="1738" w:type="dxa"/>
            <w:tcBorders>
              <w:tl2br w:val="nil"/>
              <w:tr2bl w:val="nil"/>
            </w:tcBorders>
            <w:shd w:val="clear" w:color="auto" w:fill="auto"/>
            <w:vAlign w:val="center"/>
          </w:tcPr>
          <w:p w14:paraId="4A8974EA">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 xml:space="preserve">0.0133 </w:t>
            </w:r>
          </w:p>
        </w:tc>
        <w:tc>
          <w:tcPr>
            <w:tcW w:w="1407" w:type="dxa"/>
            <w:tcBorders>
              <w:tl2br w:val="nil"/>
              <w:tr2bl w:val="nil"/>
            </w:tcBorders>
            <w:shd w:val="clear" w:color="auto" w:fill="auto"/>
            <w:vAlign w:val="center"/>
          </w:tcPr>
          <w:p w14:paraId="1CEEB144">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0.3</w:t>
            </w:r>
          </w:p>
        </w:tc>
        <w:tc>
          <w:tcPr>
            <w:tcW w:w="1739" w:type="dxa"/>
            <w:tcBorders>
              <w:tl2br w:val="nil"/>
              <w:tr2bl w:val="nil"/>
            </w:tcBorders>
            <w:shd w:val="clear" w:color="auto" w:fill="auto"/>
            <w:vAlign w:val="center"/>
          </w:tcPr>
          <w:p w14:paraId="6D07CFD4">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 xml:space="preserve">0.0200 </w:t>
            </w:r>
          </w:p>
        </w:tc>
      </w:tr>
      <w:tr w14:paraId="5023DE12">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1992" w:type="dxa"/>
            <w:tcBorders>
              <w:tl2br w:val="nil"/>
              <w:tr2bl w:val="nil"/>
            </w:tcBorders>
            <w:shd w:val="clear" w:color="auto" w:fill="auto"/>
            <w:vAlign w:val="center"/>
          </w:tcPr>
          <w:p w14:paraId="7805E6F3">
            <w:pPr>
              <w:ind w:left="-105" w:right="-105"/>
              <w:jc w:val="center"/>
              <w:textAlignment w:val="center"/>
              <w:rPr>
                <w:color w:val="auto"/>
                <w:sz w:val="21"/>
                <w:szCs w:val="21"/>
                <w:highlight w:val="none"/>
              </w:rPr>
            </w:pPr>
            <w:r>
              <w:rPr>
                <w:rFonts w:hint="eastAsia"/>
                <w:color w:val="auto"/>
                <w:sz w:val="21"/>
                <w:szCs w:val="21"/>
                <w:highlight w:val="none"/>
                <w:lang w:bidi="ar"/>
              </w:rPr>
              <w:t>二苯并</w:t>
            </w:r>
            <w:r>
              <w:rPr>
                <w:rFonts w:ascii="Times New Roman" w:hAnsi="Times New Roman" w:cs="Times New Roman"/>
                <w:color w:val="auto"/>
                <w:sz w:val="21"/>
                <w:szCs w:val="21"/>
                <w:highlight w:val="none"/>
                <w:lang w:bidi="ar"/>
              </w:rPr>
              <w:t>[a,h]</w:t>
            </w:r>
            <w:r>
              <w:rPr>
                <w:rFonts w:hint="eastAsia"/>
                <w:color w:val="auto"/>
                <w:sz w:val="21"/>
                <w:szCs w:val="21"/>
                <w:highlight w:val="none"/>
                <w:lang w:bidi="ar"/>
              </w:rPr>
              <w:t>蒽</w:t>
            </w:r>
          </w:p>
        </w:tc>
        <w:tc>
          <w:tcPr>
            <w:tcW w:w="885" w:type="dxa"/>
            <w:tcBorders>
              <w:tl2br w:val="nil"/>
              <w:tr2bl w:val="nil"/>
            </w:tcBorders>
            <w:shd w:val="clear" w:color="auto" w:fill="auto"/>
            <w:vAlign w:val="center"/>
          </w:tcPr>
          <w:p w14:paraId="47FD2D43">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mg/kg</w:t>
            </w:r>
          </w:p>
        </w:tc>
        <w:tc>
          <w:tcPr>
            <w:tcW w:w="1341" w:type="dxa"/>
            <w:tcBorders>
              <w:tl2br w:val="nil"/>
              <w:tr2bl w:val="nil"/>
            </w:tcBorders>
            <w:shd w:val="clear" w:color="auto" w:fill="auto"/>
            <w:vAlign w:val="center"/>
          </w:tcPr>
          <w:p w14:paraId="48A709C0">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1.5</w:t>
            </w:r>
          </w:p>
        </w:tc>
        <w:tc>
          <w:tcPr>
            <w:tcW w:w="1406" w:type="dxa"/>
            <w:tcBorders>
              <w:tl2br w:val="nil"/>
              <w:tr2bl w:val="nil"/>
            </w:tcBorders>
            <w:shd w:val="clear" w:color="auto" w:fill="auto"/>
            <w:vAlign w:val="center"/>
          </w:tcPr>
          <w:p w14:paraId="4CD8C621">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738" w:type="dxa"/>
            <w:tcBorders>
              <w:tl2br w:val="nil"/>
              <w:tr2bl w:val="nil"/>
            </w:tcBorders>
            <w:shd w:val="clear" w:color="auto" w:fill="auto"/>
            <w:vAlign w:val="center"/>
          </w:tcPr>
          <w:p w14:paraId="24510F26">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406" w:type="dxa"/>
            <w:tcBorders>
              <w:tl2br w:val="nil"/>
              <w:tr2bl w:val="nil"/>
            </w:tcBorders>
            <w:shd w:val="clear" w:color="auto" w:fill="auto"/>
            <w:vAlign w:val="center"/>
          </w:tcPr>
          <w:p w14:paraId="4201A591">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738" w:type="dxa"/>
            <w:tcBorders>
              <w:tl2br w:val="nil"/>
              <w:tr2bl w:val="nil"/>
            </w:tcBorders>
            <w:shd w:val="clear" w:color="auto" w:fill="auto"/>
            <w:vAlign w:val="center"/>
          </w:tcPr>
          <w:p w14:paraId="3B25FE9A">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407" w:type="dxa"/>
            <w:tcBorders>
              <w:tl2br w:val="nil"/>
              <w:tr2bl w:val="nil"/>
            </w:tcBorders>
            <w:shd w:val="clear" w:color="auto" w:fill="auto"/>
            <w:vAlign w:val="center"/>
          </w:tcPr>
          <w:p w14:paraId="420E0F9B">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739" w:type="dxa"/>
            <w:tcBorders>
              <w:tl2br w:val="nil"/>
              <w:tr2bl w:val="nil"/>
            </w:tcBorders>
            <w:shd w:val="clear" w:color="auto" w:fill="auto"/>
            <w:vAlign w:val="center"/>
          </w:tcPr>
          <w:p w14:paraId="5B369FE8">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r>
    </w:tbl>
    <w:p w14:paraId="40D5DA11">
      <w:pPr>
        <w:spacing w:line="360" w:lineRule="auto"/>
        <w:ind w:left="-105" w:right="-105"/>
        <w:rPr>
          <w:rFonts w:ascii="Times New Roman" w:hAnsi="Times New Roman"/>
          <w:color w:val="auto"/>
          <w:highlight w:val="none"/>
        </w:rPr>
      </w:pPr>
    </w:p>
    <w:p w14:paraId="53F61E5D">
      <w:pPr>
        <w:spacing w:line="360" w:lineRule="auto"/>
        <w:ind w:left="-105" w:right="-105"/>
        <w:rPr>
          <w:rFonts w:ascii="Times New Roman" w:hAnsi="Times New Roman"/>
          <w:color w:val="auto"/>
          <w:highlight w:val="none"/>
        </w:rPr>
        <w:sectPr>
          <w:pgSz w:w="16838" w:h="11906" w:orient="landscape"/>
          <w:pgMar w:top="1797" w:right="1701" w:bottom="1514" w:left="1701" w:header="851" w:footer="851" w:gutter="0"/>
          <w:pgBorders>
            <w:top w:val="none" w:sz="0" w:space="0"/>
            <w:left w:val="none" w:sz="0" w:space="0"/>
            <w:bottom w:val="none" w:sz="0" w:space="0"/>
            <w:right w:val="none" w:sz="0" w:space="0"/>
          </w:pgBorders>
          <w:cols w:space="720" w:num="1"/>
          <w:docGrid w:linePitch="498" w:charSpace="0"/>
        </w:sectPr>
      </w:pPr>
    </w:p>
    <w:p w14:paraId="2F26ADBC">
      <w:pPr>
        <w:spacing w:line="360" w:lineRule="auto"/>
        <w:ind w:left="-105" w:right="-105" w:firstLine="480" w:firstLineChars="200"/>
        <w:rPr>
          <w:rFonts w:ascii="Times New Roman" w:hAnsi="Times New Roman"/>
          <w:color w:val="auto"/>
          <w:highlight w:val="none"/>
        </w:rPr>
      </w:pPr>
      <w:r>
        <w:rPr>
          <w:rFonts w:ascii="Times New Roman" w:hAnsi="Times New Roman"/>
          <w:color w:val="auto"/>
          <w:highlight w:val="none"/>
        </w:rPr>
        <w:t>（3）现状数据统计及结论</w:t>
      </w:r>
    </w:p>
    <w:p w14:paraId="35F5E692">
      <w:pPr>
        <w:spacing w:line="360" w:lineRule="auto"/>
        <w:ind w:left="-105" w:right="-105" w:firstLine="480" w:firstLineChars="200"/>
        <w:rPr>
          <w:rFonts w:ascii="Times New Roman" w:hAnsi="Times New Roman"/>
          <w:color w:val="auto"/>
          <w:highlight w:val="none"/>
        </w:rPr>
      </w:pPr>
      <w:r>
        <w:rPr>
          <w:rFonts w:ascii="Times New Roman" w:hAnsi="Times New Roman"/>
          <w:color w:val="auto"/>
          <w:highlight w:val="none"/>
        </w:rPr>
        <w:t>根据监测结果，对土壤监测数据进行统计分析，具体见下表。</w:t>
      </w:r>
    </w:p>
    <w:p w14:paraId="3477CAEB">
      <w:pPr>
        <w:pStyle w:val="15"/>
        <w:spacing w:line="360" w:lineRule="auto"/>
        <w:ind w:left="-105" w:right="-105" w:firstLine="482"/>
        <w:rPr>
          <w:rFonts w:eastAsia="宋体" w:cs="Times New Roman"/>
          <w:bCs/>
          <w:color w:val="auto"/>
          <w:kern w:val="0"/>
          <w:sz w:val="24"/>
          <w:szCs w:val="24"/>
          <w:highlight w:val="none"/>
        </w:rPr>
      </w:pPr>
      <w:r>
        <w:rPr>
          <w:rFonts w:eastAsia="宋体" w:cs="Times New Roman"/>
          <w:color w:val="auto"/>
          <w:sz w:val="24"/>
          <w:szCs w:val="18"/>
          <w:highlight w:val="none"/>
        </w:rPr>
        <w:t>表</w:t>
      </w:r>
      <w:r>
        <w:rPr>
          <w:rFonts w:eastAsia="宋体" w:cs="Times New Roman"/>
          <w:color w:val="auto"/>
          <w:sz w:val="24"/>
          <w:szCs w:val="18"/>
          <w:highlight w:val="none"/>
        </w:rPr>
        <w:fldChar w:fldCharType="begin"/>
      </w:r>
      <w:r>
        <w:rPr>
          <w:rFonts w:eastAsia="宋体" w:cs="Times New Roman"/>
          <w:color w:val="auto"/>
          <w:sz w:val="24"/>
          <w:szCs w:val="18"/>
          <w:highlight w:val="none"/>
        </w:rPr>
        <w:instrText xml:space="preserve"> STYLEREF 2 \s </w:instrText>
      </w:r>
      <w:r>
        <w:rPr>
          <w:rFonts w:eastAsia="宋体" w:cs="Times New Roman"/>
          <w:color w:val="auto"/>
          <w:sz w:val="24"/>
          <w:szCs w:val="18"/>
          <w:highlight w:val="none"/>
        </w:rPr>
        <w:fldChar w:fldCharType="separate"/>
      </w:r>
      <w:r>
        <w:rPr>
          <w:rFonts w:eastAsia="宋体" w:cs="Times New Roman"/>
          <w:color w:val="auto"/>
          <w:sz w:val="24"/>
          <w:szCs w:val="18"/>
          <w:highlight w:val="none"/>
        </w:rPr>
        <w:t>5.3</w:t>
      </w:r>
      <w:r>
        <w:rPr>
          <w:rFonts w:eastAsia="宋体" w:cs="Times New Roman"/>
          <w:color w:val="auto"/>
          <w:sz w:val="24"/>
          <w:szCs w:val="18"/>
          <w:highlight w:val="none"/>
        </w:rPr>
        <w:fldChar w:fldCharType="end"/>
      </w:r>
      <w:r>
        <w:rPr>
          <w:rFonts w:eastAsia="宋体" w:cs="Times New Roman"/>
          <w:color w:val="auto"/>
          <w:sz w:val="24"/>
          <w:szCs w:val="18"/>
          <w:highlight w:val="none"/>
        </w:rPr>
        <w:noBreakHyphen/>
      </w:r>
      <w:r>
        <w:rPr>
          <w:rFonts w:eastAsia="宋体" w:cs="Times New Roman"/>
          <w:color w:val="auto"/>
          <w:sz w:val="24"/>
          <w:szCs w:val="18"/>
          <w:highlight w:val="none"/>
        </w:rPr>
        <w:fldChar w:fldCharType="begin"/>
      </w:r>
      <w:r>
        <w:rPr>
          <w:rFonts w:eastAsia="宋体" w:cs="Times New Roman"/>
          <w:color w:val="auto"/>
          <w:sz w:val="24"/>
          <w:szCs w:val="18"/>
          <w:highlight w:val="none"/>
        </w:rPr>
        <w:instrText xml:space="preserve"> SEQ 表 \* ARABIC \s 2 </w:instrText>
      </w:r>
      <w:r>
        <w:rPr>
          <w:rFonts w:eastAsia="宋体" w:cs="Times New Roman"/>
          <w:color w:val="auto"/>
          <w:sz w:val="24"/>
          <w:szCs w:val="18"/>
          <w:highlight w:val="none"/>
        </w:rPr>
        <w:fldChar w:fldCharType="separate"/>
      </w:r>
      <w:r>
        <w:rPr>
          <w:rFonts w:eastAsia="宋体" w:cs="Times New Roman"/>
          <w:color w:val="auto"/>
          <w:sz w:val="24"/>
          <w:szCs w:val="18"/>
          <w:highlight w:val="none"/>
        </w:rPr>
        <w:t>16</w:t>
      </w:r>
      <w:r>
        <w:rPr>
          <w:rFonts w:eastAsia="宋体" w:cs="Times New Roman"/>
          <w:color w:val="auto"/>
          <w:sz w:val="24"/>
          <w:szCs w:val="18"/>
          <w:highlight w:val="none"/>
        </w:rPr>
        <w:fldChar w:fldCharType="end"/>
      </w:r>
      <w:r>
        <w:rPr>
          <w:rFonts w:eastAsia="宋体" w:cs="Times New Roman"/>
          <w:bCs/>
          <w:color w:val="auto"/>
          <w:kern w:val="0"/>
          <w:sz w:val="24"/>
          <w:szCs w:val="24"/>
          <w:highlight w:val="none"/>
        </w:rPr>
        <w:t>土壤现状质量数据统计结果</w:t>
      </w:r>
    </w:p>
    <w:tbl>
      <w:tblPr>
        <w:tblStyle w:val="45"/>
        <w:tblW w:w="5000" w:type="pct"/>
        <w:jc w:val="center"/>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autofit"/>
        <w:tblCellMar>
          <w:top w:w="0" w:type="dxa"/>
          <w:left w:w="108" w:type="dxa"/>
          <w:bottom w:w="0" w:type="dxa"/>
          <w:right w:w="108" w:type="dxa"/>
        </w:tblCellMar>
      </w:tblPr>
      <w:tblGrid>
        <w:gridCol w:w="1740"/>
        <w:gridCol w:w="1155"/>
        <w:gridCol w:w="1015"/>
        <w:gridCol w:w="1304"/>
        <w:gridCol w:w="1304"/>
        <w:gridCol w:w="1611"/>
        <w:gridCol w:w="1611"/>
        <w:gridCol w:w="1304"/>
        <w:gridCol w:w="1304"/>
        <w:gridCol w:w="1304"/>
      </w:tblGrid>
      <w:tr w14:paraId="52225518">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1740" w:type="dxa"/>
            <w:tcBorders>
              <w:tl2br w:val="nil"/>
              <w:tr2bl w:val="nil"/>
            </w:tcBorders>
            <w:shd w:val="clear" w:color="auto" w:fill="auto"/>
            <w:vAlign w:val="center"/>
          </w:tcPr>
          <w:p w14:paraId="0DFED308">
            <w:pPr>
              <w:ind w:left="-105" w:right="-105"/>
              <w:jc w:val="center"/>
              <w:textAlignment w:val="center"/>
              <w:rPr>
                <w:b/>
                <w:bCs/>
                <w:color w:val="auto"/>
                <w:sz w:val="21"/>
                <w:szCs w:val="21"/>
                <w:highlight w:val="none"/>
              </w:rPr>
            </w:pPr>
            <w:r>
              <w:rPr>
                <w:rFonts w:hint="eastAsia"/>
                <w:b/>
                <w:bCs/>
                <w:color w:val="auto"/>
                <w:sz w:val="21"/>
                <w:szCs w:val="21"/>
                <w:highlight w:val="none"/>
                <w:lang w:bidi="ar"/>
              </w:rPr>
              <w:t>检测项目</w:t>
            </w:r>
          </w:p>
        </w:tc>
        <w:tc>
          <w:tcPr>
            <w:tcW w:w="1155" w:type="dxa"/>
            <w:tcBorders>
              <w:tl2br w:val="nil"/>
              <w:tr2bl w:val="nil"/>
            </w:tcBorders>
            <w:shd w:val="clear" w:color="auto" w:fill="auto"/>
            <w:vAlign w:val="center"/>
          </w:tcPr>
          <w:p w14:paraId="0388DC49">
            <w:pPr>
              <w:ind w:left="-105" w:right="-105"/>
              <w:jc w:val="center"/>
              <w:textAlignment w:val="center"/>
              <w:rPr>
                <w:b/>
                <w:bCs/>
                <w:color w:val="auto"/>
                <w:sz w:val="21"/>
                <w:szCs w:val="21"/>
                <w:highlight w:val="none"/>
              </w:rPr>
            </w:pPr>
            <w:r>
              <w:rPr>
                <w:rFonts w:hint="eastAsia"/>
                <w:b/>
                <w:bCs/>
                <w:color w:val="auto"/>
                <w:sz w:val="21"/>
                <w:szCs w:val="21"/>
                <w:highlight w:val="none"/>
                <w:lang w:bidi="ar"/>
              </w:rPr>
              <w:t>样本数量</w:t>
            </w:r>
          </w:p>
        </w:tc>
        <w:tc>
          <w:tcPr>
            <w:tcW w:w="1015" w:type="dxa"/>
            <w:tcBorders>
              <w:tl2br w:val="nil"/>
              <w:tr2bl w:val="nil"/>
            </w:tcBorders>
            <w:shd w:val="clear" w:color="auto" w:fill="auto"/>
            <w:vAlign w:val="center"/>
          </w:tcPr>
          <w:p w14:paraId="026C0A66">
            <w:pPr>
              <w:ind w:left="-105" w:right="-105"/>
              <w:jc w:val="center"/>
              <w:textAlignment w:val="center"/>
              <w:rPr>
                <w:b/>
                <w:bCs/>
                <w:color w:val="auto"/>
                <w:sz w:val="21"/>
                <w:szCs w:val="21"/>
                <w:highlight w:val="none"/>
              </w:rPr>
            </w:pPr>
            <w:r>
              <w:rPr>
                <w:rFonts w:hint="eastAsia"/>
                <w:b/>
                <w:bCs/>
                <w:color w:val="auto"/>
                <w:sz w:val="21"/>
                <w:szCs w:val="21"/>
                <w:highlight w:val="none"/>
                <w:lang w:bidi="ar"/>
              </w:rPr>
              <w:t>单位</w:t>
            </w:r>
          </w:p>
        </w:tc>
        <w:tc>
          <w:tcPr>
            <w:tcW w:w="1304" w:type="dxa"/>
            <w:tcBorders>
              <w:tl2br w:val="nil"/>
              <w:tr2bl w:val="nil"/>
            </w:tcBorders>
            <w:shd w:val="clear" w:color="auto" w:fill="auto"/>
            <w:vAlign w:val="center"/>
          </w:tcPr>
          <w:p w14:paraId="255A1525">
            <w:pPr>
              <w:ind w:left="-105" w:right="-105"/>
              <w:jc w:val="center"/>
              <w:textAlignment w:val="center"/>
              <w:rPr>
                <w:b/>
                <w:bCs/>
                <w:color w:val="auto"/>
                <w:sz w:val="21"/>
                <w:szCs w:val="21"/>
                <w:highlight w:val="none"/>
              </w:rPr>
            </w:pPr>
            <w:r>
              <w:rPr>
                <w:rFonts w:hint="eastAsia"/>
                <w:b/>
                <w:bCs/>
                <w:color w:val="auto"/>
                <w:sz w:val="21"/>
                <w:szCs w:val="21"/>
                <w:highlight w:val="none"/>
                <w:lang w:bidi="ar"/>
              </w:rPr>
              <w:t>最大值</w:t>
            </w:r>
          </w:p>
        </w:tc>
        <w:tc>
          <w:tcPr>
            <w:tcW w:w="1304" w:type="dxa"/>
            <w:tcBorders>
              <w:tl2br w:val="nil"/>
              <w:tr2bl w:val="nil"/>
            </w:tcBorders>
            <w:shd w:val="clear" w:color="auto" w:fill="auto"/>
            <w:vAlign w:val="center"/>
          </w:tcPr>
          <w:p w14:paraId="019CFB4B">
            <w:pPr>
              <w:ind w:left="-105" w:right="-105"/>
              <w:jc w:val="center"/>
              <w:textAlignment w:val="center"/>
              <w:rPr>
                <w:b/>
                <w:bCs/>
                <w:color w:val="auto"/>
                <w:sz w:val="21"/>
                <w:szCs w:val="21"/>
                <w:highlight w:val="none"/>
              </w:rPr>
            </w:pPr>
            <w:r>
              <w:rPr>
                <w:rFonts w:hint="eastAsia"/>
                <w:b/>
                <w:bCs/>
                <w:color w:val="auto"/>
                <w:sz w:val="21"/>
                <w:szCs w:val="21"/>
                <w:highlight w:val="none"/>
                <w:lang w:bidi="ar"/>
              </w:rPr>
              <w:t>最小值</w:t>
            </w:r>
          </w:p>
        </w:tc>
        <w:tc>
          <w:tcPr>
            <w:tcW w:w="1611" w:type="dxa"/>
            <w:tcBorders>
              <w:tl2br w:val="nil"/>
              <w:tr2bl w:val="nil"/>
            </w:tcBorders>
            <w:shd w:val="clear" w:color="auto" w:fill="auto"/>
            <w:vAlign w:val="center"/>
          </w:tcPr>
          <w:p w14:paraId="5C5DF570">
            <w:pPr>
              <w:ind w:left="-105" w:right="-105"/>
              <w:jc w:val="center"/>
              <w:textAlignment w:val="center"/>
              <w:rPr>
                <w:b/>
                <w:bCs/>
                <w:color w:val="auto"/>
                <w:sz w:val="21"/>
                <w:szCs w:val="21"/>
                <w:highlight w:val="none"/>
              </w:rPr>
            </w:pPr>
            <w:r>
              <w:rPr>
                <w:rFonts w:hint="eastAsia"/>
                <w:b/>
                <w:bCs/>
                <w:color w:val="auto"/>
                <w:sz w:val="21"/>
                <w:szCs w:val="21"/>
                <w:highlight w:val="none"/>
                <w:lang w:bidi="ar"/>
              </w:rPr>
              <w:t>均值</w:t>
            </w:r>
          </w:p>
        </w:tc>
        <w:tc>
          <w:tcPr>
            <w:tcW w:w="1611" w:type="dxa"/>
            <w:tcBorders>
              <w:tl2br w:val="nil"/>
              <w:tr2bl w:val="nil"/>
            </w:tcBorders>
            <w:shd w:val="clear" w:color="auto" w:fill="auto"/>
            <w:vAlign w:val="center"/>
          </w:tcPr>
          <w:p w14:paraId="7E6DC243">
            <w:pPr>
              <w:ind w:left="-105" w:right="-105"/>
              <w:jc w:val="center"/>
              <w:textAlignment w:val="center"/>
              <w:rPr>
                <w:b/>
                <w:bCs/>
                <w:color w:val="auto"/>
                <w:sz w:val="21"/>
                <w:szCs w:val="21"/>
                <w:highlight w:val="none"/>
              </w:rPr>
            </w:pPr>
            <w:r>
              <w:rPr>
                <w:rFonts w:hint="eastAsia"/>
                <w:b/>
                <w:bCs/>
                <w:color w:val="auto"/>
                <w:sz w:val="21"/>
                <w:szCs w:val="21"/>
                <w:highlight w:val="none"/>
                <w:lang w:bidi="ar"/>
              </w:rPr>
              <w:t>标准差</w:t>
            </w:r>
          </w:p>
        </w:tc>
        <w:tc>
          <w:tcPr>
            <w:tcW w:w="1304" w:type="dxa"/>
            <w:tcBorders>
              <w:tl2br w:val="nil"/>
              <w:tr2bl w:val="nil"/>
            </w:tcBorders>
            <w:shd w:val="clear" w:color="auto" w:fill="auto"/>
            <w:vAlign w:val="center"/>
          </w:tcPr>
          <w:p w14:paraId="2A33390F">
            <w:pPr>
              <w:ind w:left="-105" w:right="-105"/>
              <w:jc w:val="center"/>
              <w:textAlignment w:val="center"/>
              <w:rPr>
                <w:b/>
                <w:bCs/>
                <w:color w:val="auto"/>
                <w:sz w:val="21"/>
                <w:szCs w:val="21"/>
                <w:highlight w:val="none"/>
              </w:rPr>
            </w:pPr>
            <w:r>
              <w:rPr>
                <w:rFonts w:hint="eastAsia"/>
                <w:b/>
                <w:bCs/>
                <w:color w:val="auto"/>
                <w:sz w:val="21"/>
                <w:szCs w:val="21"/>
                <w:highlight w:val="none"/>
                <w:lang w:bidi="ar"/>
              </w:rPr>
              <w:t>检出率</w:t>
            </w:r>
            <w:r>
              <w:rPr>
                <w:rFonts w:ascii="Times New Roman" w:hAnsi="Times New Roman" w:cs="Times New Roman"/>
                <w:b/>
                <w:bCs/>
                <w:color w:val="auto"/>
                <w:sz w:val="21"/>
                <w:szCs w:val="21"/>
                <w:highlight w:val="none"/>
                <w:lang w:bidi="ar"/>
              </w:rPr>
              <w:t>/%</w:t>
            </w:r>
          </w:p>
        </w:tc>
        <w:tc>
          <w:tcPr>
            <w:tcW w:w="1304" w:type="dxa"/>
            <w:tcBorders>
              <w:tl2br w:val="nil"/>
              <w:tr2bl w:val="nil"/>
            </w:tcBorders>
            <w:shd w:val="clear" w:color="auto" w:fill="auto"/>
            <w:vAlign w:val="center"/>
          </w:tcPr>
          <w:p w14:paraId="3445BBD7">
            <w:pPr>
              <w:ind w:left="-105" w:right="-105"/>
              <w:jc w:val="center"/>
              <w:textAlignment w:val="center"/>
              <w:rPr>
                <w:b/>
                <w:bCs/>
                <w:color w:val="auto"/>
                <w:sz w:val="21"/>
                <w:szCs w:val="21"/>
                <w:highlight w:val="none"/>
              </w:rPr>
            </w:pPr>
            <w:r>
              <w:rPr>
                <w:rFonts w:hint="eastAsia"/>
                <w:b/>
                <w:bCs/>
                <w:color w:val="auto"/>
                <w:sz w:val="21"/>
                <w:szCs w:val="21"/>
                <w:highlight w:val="none"/>
                <w:lang w:bidi="ar"/>
              </w:rPr>
              <w:t>超标率</w:t>
            </w:r>
            <w:r>
              <w:rPr>
                <w:rFonts w:ascii="Times New Roman" w:hAnsi="Times New Roman" w:cs="Times New Roman"/>
                <w:b/>
                <w:bCs/>
                <w:color w:val="auto"/>
                <w:sz w:val="21"/>
                <w:szCs w:val="21"/>
                <w:highlight w:val="none"/>
                <w:lang w:bidi="ar"/>
              </w:rPr>
              <w:t>/%</w:t>
            </w:r>
          </w:p>
        </w:tc>
        <w:tc>
          <w:tcPr>
            <w:tcW w:w="1304" w:type="dxa"/>
            <w:tcBorders>
              <w:tl2br w:val="nil"/>
              <w:tr2bl w:val="nil"/>
            </w:tcBorders>
            <w:shd w:val="clear" w:color="auto" w:fill="auto"/>
            <w:vAlign w:val="center"/>
          </w:tcPr>
          <w:p w14:paraId="14F2B617">
            <w:pPr>
              <w:ind w:left="-105" w:right="-105"/>
              <w:jc w:val="center"/>
              <w:textAlignment w:val="center"/>
              <w:rPr>
                <w:b/>
                <w:bCs/>
                <w:color w:val="auto"/>
                <w:sz w:val="21"/>
                <w:szCs w:val="21"/>
                <w:highlight w:val="none"/>
              </w:rPr>
            </w:pPr>
            <w:r>
              <w:rPr>
                <w:rFonts w:hint="eastAsia"/>
                <w:b/>
                <w:bCs/>
                <w:color w:val="auto"/>
                <w:sz w:val="21"/>
                <w:szCs w:val="21"/>
                <w:highlight w:val="none"/>
                <w:lang w:bidi="ar"/>
              </w:rPr>
              <w:t>最大超标率</w:t>
            </w:r>
            <w:r>
              <w:rPr>
                <w:rFonts w:ascii="Times New Roman" w:hAnsi="Times New Roman" w:cs="Times New Roman"/>
                <w:b/>
                <w:bCs/>
                <w:color w:val="auto"/>
                <w:sz w:val="21"/>
                <w:szCs w:val="21"/>
                <w:highlight w:val="none"/>
                <w:lang w:bidi="ar"/>
              </w:rPr>
              <w:t>/%</w:t>
            </w:r>
          </w:p>
        </w:tc>
      </w:tr>
      <w:tr w14:paraId="107E09ED">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1740" w:type="dxa"/>
            <w:tcBorders>
              <w:tl2br w:val="nil"/>
              <w:tr2bl w:val="nil"/>
            </w:tcBorders>
            <w:shd w:val="clear" w:color="auto" w:fill="auto"/>
            <w:vAlign w:val="center"/>
          </w:tcPr>
          <w:p w14:paraId="50E0F51D">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pH</w:t>
            </w:r>
          </w:p>
        </w:tc>
        <w:tc>
          <w:tcPr>
            <w:tcW w:w="1155" w:type="dxa"/>
            <w:tcBorders>
              <w:tl2br w:val="nil"/>
              <w:tr2bl w:val="nil"/>
            </w:tcBorders>
            <w:shd w:val="clear" w:color="auto" w:fill="auto"/>
            <w:vAlign w:val="center"/>
          </w:tcPr>
          <w:p w14:paraId="179C5E2F">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15</w:t>
            </w:r>
          </w:p>
        </w:tc>
        <w:tc>
          <w:tcPr>
            <w:tcW w:w="1015" w:type="dxa"/>
            <w:tcBorders>
              <w:tl2br w:val="nil"/>
              <w:tr2bl w:val="nil"/>
            </w:tcBorders>
            <w:shd w:val="clear" w:color="auto" w:fill="auto"/>
            <w:vAlign w:val="center"/>
          </w:tcPr>
          <w:p w14:paraId="68E5DD73">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c>
          <w:tcPr>
            <w:tcW w:w="1304" w:type="dxa"/>
            <w:tcBorders>
              <w:tl2br w:val="nil"/>
              <w:tr2bl w:val="nil"/>
            </w:tcBorders>
            <w:shd w:val="clear" w:color="auto" w:fill="auto"/>
            <w:vAlign w:val="center"/>
          </w:tcPr>
          <w:p w14:paraId="45C03F52">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8.23</w:t>
            </w:r>
          </w:p>
        </w:tc>
        <w:tc>
          <w:tcPr>
            <w:tcW w:w="1304" w:type="dxa"/>
            <w:tcBorders>
              <w:tl2br w:val="nil"/>
              <w:tr2bl w:val="nil"/>
            </w:tcBorders>
            <w:shd w:val="clear" w:color="auto" w:fill="auto"/>
            <w:vAlign w:val="center"/>
          </w:tcPr>
          <w:p w14:paraId="35BFC8ED">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5.99</w:t>
            </w:r>
          </w:p>
        </w:tc>
        <w:tc>
          <w:tcPr>
            <w:tcW w:w="1611" w:type="dxa"/>
            <w:tcBorders>
              <w:tl2br w:val="nil"/>
              <w:tr2bl w:val="nil"/>
            </w:tcBorders>
            <w:shd w:val="clear" w:color="auto" w:fill="auto"/>
            <w:vAlign w:val="center"/>
          </w:tcPr>
          <w:p w14:paraId="090FFF8C">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6.81</w:t>
            </w:r>
          </w:p>
        </w:tc>
        <w:tc>
          <w:tcPr>
            <w:tcW w:w="1611" w:type="dxa"/>
            <w:tcBorders>
              <w:tl2br w:val="nil"/>
              <w:tr2bl w:val="nil"/>
            </w:tcBorders>
            <w:shd w:val="clear" w:color="auto" w:fill="auto"/>
            <w:vAlign w:val="center"/>
          </w:tcPr>
          <w:p w14:paraId="148A78A2">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0.4599</w:t>
            </w:r>
          </w:p>
        </w:tc>
        <w:tc>
          <w:tcPr>
            <w:tcW w:w="1304" w:type="dxa"/>
            <w:tcBorders>
              <w:tl2br w:val="nil"/>
              <w:tr2bl w:val="nil"/>
            </w:tcBorders>
            <w:shd w:val="clear" w:color="auto" w:fill="auto"/>
            <w:vAlign w:val="center"/>
          </w:tcPr>
          <w:p w14:paraId="4C1DDB90">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100%</w:t>
            </w:r>
          </w:p>
        </w:tc>
        <w:tc>
          <w:tcPr>
            <w:tcW w:w="1304" w:type="dxa"/>
            <w:tcBorders>
              <w:tl2br w:val="nil"/>
              <w:tr2bl w:val="nil"/>
            </w:tcBorders>
            <w:shd w:val="clear" w:color="auto" w:fill="auto"/>
            <w:vAlign w:val="center"/>
          </w:tcPr>
          <w:p w14:paraId="5AA15549">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0</w:t>
            </w:r>
          </w:p>
        </w:tc>
        <w:tc>
          <w:tcPr>
            <w:tcW w:w="1304" w:type="dxa"/>
            <w:tcBorders>
              <w:tl2br w:val="nil"/>
              <w:tr2bl w:val="nil"/>
            </w:tcBorders>
            <w:shd w:val="clear" w:color="auto" w:fill="auto"/>
            <w:vAlign w:val="center"/>
          </w:tcPr>
          <w:p w14:paraId="3B84703F">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r>
      <w:tr w14:paraId="447F6D05">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1740" w:type="dxa"/>
            <w:tcBorders>
              <w:tl2br w:val="nil"/>
              <w:tr2bl w:val="nil"/>
            </w:tcBorders>
            <w:shd w:val="clear" w:color="auto" w:fill="auto"/>
            <w:vAlign w:val="center"/>
          </w:tcPr>
          <w:p w14:paraId="2E478F63">
            <w:pPr>
              <w:ind w:left="-105" w:right="-105"/>
              <w:jc w:val="center"/>
              <w:textAlignment w:val="center"/>
              <w:rPr>
                <w:color w:val="auto"/>
                <w:sz w:val="21"/>
                <w:szCs w:val="21"/>
                <w:highlight w:val="none"/>
              </w:rPr>
            </w:pPr>
            <w:r>
              <w:rPr>
                <w:rFonts w:hint="eastAsia"/>
                <w:color w:val="auto"/>
                <w:sz w:val="21"/>
                <w:szCs w:val="21"/>
                <w:highlight w:val="none"/>
                <w:lang w:bidi="ar"/>
              </w:rPr>
              <w:t>汞</w:t>
            </w:r>
          </w:p>
        </w:tc>
        <w:tc>
          <w:tcPr>
            <w:tcW w:w="1155" w:type="dxa"/>
            <w:tcBorders>
              <w:tl2br w:val="nil"/>
              <w:tr2bl w:val="nil"/>
            </w:tcBorders>
            <w:shd w:val="clear" w:color="auto" w:fill="auto"/>
            <w:vAlign w:val="center"/>
          </w:tcPr>
          <w:p w14:paraId="76B04DB8">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15</w:t>
            </w:r>
          </w:p>
        </w:tc>
        <w:tc>
          <w:tcPr>
            <w:tcW w:w="1015" w:type="dxa"/>
            <w:tcBorders>
              <w:tl2br w:val="nil"/>
              <w:tr2bl w:val="nil"/>
            </w:tcBorders>
            <w:shd w:val="clear" w:color="auto" w:fill="auto"/>
            <w:vAlign w:val="center"/>
          </w:tcPr>
          <w:p w14:paraId="35BA5D30">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mg/kg</w:t>
            </w:r>
          </w:p>
        </w:tc>
        <w:tc>
          <w:tcPr>
            <w:tcW w:w="1304" w:type="dxa"/>
            <w:tcBorders>
              <w:tl2br w:val="nil"/>
              <w:tr2bl w:val="nil"/>
            </w:tcBorders>
            <w:shd w:val="clear" w:color="auto" w:fill="auto"/>
            <w:vAlign w:val="center"/>
          </w:tcPr>
          <w:p w14:paraId="14C76AFC">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0.29</w:t>
            </w:r>
          </w:p>
        </w:tc>
        <w:tc>
          <w:tcPr>
            <w:tcW w:w="1304" w:type="dxa"/>
            <w:tcBorders>
              <w:tl2br w:val="nil"/>
              <w:tr2bl w:val="nil"/>
            </w:tcBorders>
            <w:shd w:val="clear" w:color="auto" w:fill="auto"/>
            <w:vAlign w:val="center"/>
          </w:tcPr>
          <w:p w14:paraId="6F94C4D5">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0.02</w:t>
            </w:r>
          </w:p>
        </w:tc>
        <w:tc>
          <w:tcPr>
            <w:tcW w:w="1611" w:type="dxa"/>
            <w:tcBorders>
              <w:tl2br w:val="nil"/>
              <w:tr2bl w:val="nil"/>
            </w:tcBorders>
            <w:shd w:val="clear" w:color="auto" w:fill="auto"/>
            <w:vAlign w:val="center"/>
          </w:tcPr>
          <w:p w14:paraId="34535C74">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0.14</w:t>
            </w:r>
          </w:p>
        </w:tc>
        <w:tc>
          <w:tcPr>
            <w:tcW w:w="1611" w:type="dxa"/>
            <w:tcBorders>
              <w:tl2br w:val="nil"/>
              <w:tr2bl w:val="nil"/>
            </w:tcBorders>
            <w:shd w:val="clear" w:color="auto" w:fill="auto"/>
            <w:vAlign w:val="center"/>
          </w:tcPr>
          <w:p w14:paraId="3A9B5CB1">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0.0951</w:t>
            </w:r>
          </w:p>
        </w:tc>
        <w:tc>
          <w:tcPr>
            <w:tcW w:w="1304" w:type="dxa"/>
            <w:tcBorders>
              <w:tl2br w:val="nil"/>
              <w:tr2bl w:val="nil"/>
            </w:tcBorders>
            <w:shd w:val="clear" w:color="auto" w:fill="auto"/>
            <w:vAlign w:val="center"/>
          </w:tcPr>
          <w:p w14:paraId="24E4D160">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100%</w:t>
            </w:r>
          </w:p>
        </w:tc>
        <w:tc>
          <w:tcPr>
            <w:tcW w:w="1304" w:type="dxa"/>
            <w:tcBorders>
              <w:tl2br w:val="nil"/>
              <w:tr2bl w:val="nil"/>
            </w:tcBorders>
            <w:shd w:val="clear" w:color="auto" w:fill="auto"/>
            <w:vAlign w:val="center"/>
          </w:tcPr>
          <w:p w14:paraId="25FD95F1">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0</w:t>
            </w:r>
          </w:p>
        </w:tc>
        <w:tc>
          <w:tcPr>
            <w:tcW w:w="1304" w:type="dxa"/>
            <w:tcBorders>
              <w:tl2br w:val="nil"/>
              <w:tr2bl w:val="nil"/>
            </w:tcBorders>
            <w:shd w:val="clear" w:color="auto" w:fill="auto"/>
            <w:vAlign w:val="center"/>
          </w:tcPr>
          <w:p w14:paraId="5707FC49">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r>
      <w:tr w14:paraId="6885ADCF">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1740" w:type="dxa"/>
            <w:tcBorders>
              <w:tl2br w:val="nil"/>
              <w:tr2bl w:val="nil"/>
            </w:tcBorders>
            <w:shd w:val="clear" w:color="auto" w:fill="auto"/>
            <w:vAlign w:val="center"/>
          </w:tcPr>
          <w:p w14:paraId="6D7F5B1F">
            <w:pPr>
              <w:ind w:left="-105" w:right="-105"/>
              <w:jc w:val="center"/>
              <w:textAlignment w:val="center"/>
              <w:rPr>
                <w:color w:val="auto"/>
                <w:sz w:val="21"/>
                <w:szCs w:val="21"/>
                <w:highlight w:val="none"/>
              </w:rPr>
            </w:pPr>
            <w:r>
              <w:rPr>
                <w:rFonts w:hint="eastAsia"/>
                <w:color w:val="auto"/>
                <w:sz w:val="21"/>
                <w:szCs w:val="21"/>
                <w:highlight w:val="none"/>
                <w:lang w:bidi="ar"/>
              </w:rPr>
              <w:t>砷</w:t>
            </w:r>
          </w:p>
        </w:tc>
        <w:tc>
          <w:tcPr>
            <w:tcW w:w="1155" w:type="dxa"/>
            <w:tcBorders>
              <w:tl2br w:val="nil"/>
              <w:tr2bl w:val="nil"/>
            </w:tcBorders>
            <w:shd w:val="clear" w:color="auto" w:fill="auto"/>
            <w:vAlign w:val="center"/>
          </w:tcPr>
          <w:p w14:paraId="33A6AA02">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15</w:t>
            </w:r>
          </w:p>
        </w:tc>
        <w:tc>
          <w:tcPr>
            <w:tcW w:w="1015" w:type="dxa"/>
            <w:tcBorders>
              <w:tl2br w:val="nil"/>
              <w:tr2bl w:val="nil"/>
            </w:tcBorders>
            <w:shd w:val="clear" w:color="auto" w:fill="auto"/>
            <w:vAlign w:val="center"/>
          </w:tcPr>
          <w:p w14:paraId="05D1C58B">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mg/kg</w:t>
            </w:r>
          </w:p>
        </w:tc>
        <w:tc>
          <w:tcPr>
            <w:tcW w:w="1304" w:type="dxa"/>
            <w:tcBorders>
              <w:tl2br w:val="nil"/>
              <w:tr2bl w:val="nil"/>
            </w:tcBorders>
            <w:shd w:val="clear" w:color="auto" w:fill="auto"/>
            <w:vAlign w:val="center"/>
          </w:tcPr>
          <w:p w14:paraId="2BFBA40B">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17.7</w:t>
            </w:r>
          </w:p>
        </w:tc>
        <w:tc>
          <w:tcPr>
            <w:tcW w:w="1304" w:type="dxa"/>
            <w:tcBorders>
              <w:tl2br w:val="nil"/>
              <w:tr2bl w:val="nil"/>
            </w:tcBorders>
            <w:shd w:val="clear" w:color="auto" w:fill="auto"/>
            <w:vAlign w:val="center"/>
          </w:tcPr>
          <w:p w14:paraId="6D1553D4">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2.7</w:t>
            </w:r>
          </w:p>
        </w:tc>
        <w:tc>
          <w:tcPr>
            <w:tcW w:w="1611" w:type="dxa"/>
            <w:tcBorders>
              <w:tl2br w:val="nil"/>
              <w:tr2bl w:val="nil"/>
            </w:tcBorders>
            <w:shd w:val="clear" w:color="auto" w:fill="auto"/>
            <w:vAlign w:val="center"/>
          </w:tcPr>
          <w:p w14:paraId="584159B4">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11.99</w:t>
            </w:r>
          </w:p>
        </w:tc>
        <w:tc>
          <w:tcPr>
            <w:tcW w:w="1611" w:type="dxa"/>
            <w:tcBorders>
              <w:tl2br w:val="nil"/>
              <w:tr2bl w:val="nil"/>
            </w:tcBorders>
            <w:shd w:val="clear" w:color="auto" w:fill="auto"/>
            <w:vAlign w:val="center"/>
          </w:tcPr>
          <w:p w14:paraId="63FA5EDB">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4.1919</w:t>
            </w:r>
          </w:p>
        </w:tc>
        <w:tc>
          <w:tcPr>
            <w:tcW w:w="1304" w:type="dxa"/>
            <w:tcBorders>
              <w:tl2br w:val="nil"/>
              <w:tr2bl w:val="nil"/>
            </w:tcBorders>
            <w:shd w:val="clear" w:color="auto" w:fill="auto"/>
            <w:vAlign w:val="center"/>
          </w:tcPr>
          <w:p w14:paraId="4A4E2FE5">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100%</w:t>
            </w:r>
          </w:p>
        </w:tc>
        <w:tc>
          <w:tcPr>
            <w:tcW w:w="1304" w:type="dxa"/>
            <w:tcBorders>
              <w:tl2br w:val="nil"/>
              <w:tr2bl w:val="nil"/>
            </w:tcBorders>
            <w:shd w:val="clear" w:color="auto" w:fill="auto"/>
            <w:vAlign w:val="center"/>
          </w:tcPr>
          <w:p w14:paraId="43D26B89">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0</w:t>
            </w:r>
          </w:p>
        </w:tc>
        <w:tc>
          <w:tcPr>
            <w:tcW w:w="1304" w:type="dxa"/>
            <w:tcBorders>
              <w:tl2br w:val="nil"/>
              <w:tr2bl w:val="nil"/>
            </w:tcBorders>
            <w:shd w:val="clear" w:color="auto" w:fill="auto"/>
            <w:vAlign w:val="center"/>
          </w:tcPr>
          <w:p w14:paraId="18763DFE">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r>
      <w:tr w14:paraId="1F2765B9">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1740" w:type="dxa"/>
            <w:tcBorders>
              <w:tl2br w:val="nil"/>
              <w:tr2bl w:val="nil"/>
            </w:tcBorders>
            <w:shd w:val="clear" w:color="auto" w:fill="auto"/>
            <w:vAlign w:val="center"/>
          </w:tcPr>
          <w:p w14:paraId="33BDDBCE">
            <w:pPr>
              <w:ind w:left="-105" w:right="-105"/>
              <w:jc w:val="center"/>
              <w:textAlignment w:val="center"/>
              <w:rPr>
                <w:color w:val="auto"/>
                <w:sz w:val="21"/>
                <w:szCs w:val="21"/>
                <w:highlight w:val="none"/>
              </w:rPr>
            </w:pPr>
            <w:r>
              <w:rPr>
                <w:rFonts w:hint="eastAsia"/>
                <w:color w:val="auto"/>
                <w:sz w:val="21"/>
                <w:szCs w:val="21"/>
                <w:highlight w:val="none"/>
                <w:lang w:bidi="ar"/>
              </w:rPr>
              <w:t>镉</w:t>
            </w:r>
          </w:p>
        </w:tc>
        <w:tc>
          <w:tcPr>
            <w:tcW w:w="1155" w:type="dxa"/>
            <w:tcBorders>
              <w:tl2br w:val="nil"/>
              <w:tr2bl w:val="nil"/>
            </w:tcBorders>
            <w:shd w:val="clear" w:color="auto" w:fill="auto"/>
            <w:vAlign w:val="center"/>
          </w:tcPr>
          <w:p w14:paraId="23B78434">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15</w:t>
            </w:r>
          </w:p>
        </w:tc>
        <w:tc>
          <w:tcPr>
            <w:tcW w:w="1015" w:type="dxa"/>
            <w:tcBorders>
              <w:tl2br w:val="nil"/>
              <w:tr2bl w:val="nil"/>
            </w:tcBorders>
            <w:shd w:val="clear" w:color="auto" w:fill="auto"/>
            <w:vAlign w:val="center"/>
          </w:tcPr>
          <w:p w14:paraId="788F3209">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mg/kg</w:t>
            </w:r>
          </w:p>
        </w:tc>
        <w:tc>
          <w:tcPr>
            <w:tcW w:w="1304" w:type="dxa"/>
            <w:tcBorders>
              <w:tl2br w:val="nil"/>
              <w:tr2bl w:val="nil"/>
            </w:tcBorders>
            <w:shd w:val="clear" w:color="auto" w:fill="auto"/>
            <w:vAlign w:val="center"/>
          </w:tcPr>
          <w:p w14:paraId="7E6CD567">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0.24</w:t>
            </w:r>
          </w:p>
        </w:tc>
        <w:tc>
          <w:tcPr>
            <w:tcW w:w="1304" w:type="dxa"/>
            <w:tcBorders>
              <w:tl2br w:val="nil"/>
              <w:tr2bl w:val="nil"/>
            </w:tcBorders>
            <w:shd w:val="clear" w:color="auto" w:fill="auto"/>
            <w:vAlign w:val="center"/>
          </w:tcPr>
          <w:p w14:paraId="09ABE73D">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0.05</w:t>
            </w:r>
          </w:p>
        </w:tc>
        <w:tc>
          <w:tcPr>
            <w:tcW w:w="1611" w:type="dxa"/>
            <w:tcBorders>
              <w:tl2br w:val="nil"/>
              <w:tr2bl w:val="nil"/>
            </w:tcBorders>
            <w:shd w:val="clear" w:color="auto" w:fill="auto"/>
            <w:vAlign w:val="center"/>
          </w:tcPr>
          <w:p w14:paraId="1338C9BF">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0.18</w:t>
            </w:r>
          </w:p>
        </w:tc>
        <w:tc>
          <w:tcPr>
            <w:tcW w:w="1611" w:type="dxa"/>
            <w:tcBorders>
              <w:tl2br w:val="nil"/>
              <w:tr2bl w:val="nil"/>
            </w:tcBorders>
            <w:shd w:val="clear" w:color="auto" w:fill="auto"/>
            <w:vAlign w:val="center"/>
          </w:tcPr>
          <w:p w14:paraId="10FE791A">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0.0466</w:t>
            </w:r>
          </w:p>
        </w:tc>
        <w:tc>
          <w:tcPr>
            <w:tcW w:w="1304" w:type="dxa"/>
            <w:tcBorders>
              <w:tl2br w:val="nil"/>
              <w:tr2bl w:val="nil"/>
            </w:tcBorders>
            <w:shd w:val="clear" w:color="auto" w:fill="auto"/>
            <w:vAlign w:val="center"/>
          </w:tcPr>
          <w:p w14:paraId="590598AB">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100%</w:t>
            </w:r>
          </w:p>
        </w:tc>
        <w:tc>
          <w:tcPr>
            <w:tcW w:w="1304" w:type="dxa"/>
            <w:tcBorders>
              <w:tl2br w:val="nil"/>
              <w:tr2bl w:val="nil"/>
            </w:tcBorders>
            <w:shd w:val="clear" w:color="auto" w:fill="auto"/>
            <w:vAlign w:val="center"/>
          </w:tcPr>
          <w:p w14:paraId="32145460">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0</w:t>
            </w:r>
          </w:p>
        </w:tc>
        <w:tc>
          <w:tcPr>
            <w:tcW w:w="1304" w:type="dxa"/>
            <w:tcBorders>
              <w:tl2br w:val="nil"/>
              <w:tr2bl w:val="nil"/>
            </w:tcBorders>
            <w:shd w:val="clear" w:color="auto" w:fill="auto"/>
            <w:vAlign w:val="center"/>
          </w:tcPr>
          <w:p w14:paraId="4787FE4C">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r>
      <w:tr w14:paraId="717875F0">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1740" w:type="dxa"/>
            <w:tcBorders>
              <w:tl2br w:val="nil"/>
              <w:tr2bl w:val="nil"/>
            </w:tcBorders>
            <w:shd w:val="clear" w:color="auto" w:fill="auto"/>
            <w:vAlign w:val="center"/>
          </w:tcPr>
          <w:p w14:paraId="24B20320">
            <w:pPr>
              <w:ind w:left="-105" w:right="-105"/>
              <w:jc w:val="center"/>
              <w:textAlignment w:val="center"/>
              <w:rPr>
                <w:color w:val="auto"/>
                <w:sz w:val="21"/>
                <w:szCs w:val="21"/>
                <w:highlight w:val="none"/>
              </w:rPr>
            </w:pPr>
            <w:r>
              <w:rPr>
                <w:rFonts w:hint="eastAsia"/>
                <w:color w:val="auto"/>
                <w:sz w:val="21"/>
                <w:szCs w:val="21"/>
                <w:highlight w:val="none"/>
                <w:lang w:bidi="ar"/>
              </w:rPr>
              <w:t>铜</w:t>
            </w:r>
          </w:p>
        </w:tc>
        <w:tc>
          <w:tcPr>
            <w:tcW w:w="1155" w:type="dxa"/>
            <w:tcBorders>
              <w:tl2br w:val="nil"/>
              <w:tr2bl w:val="nil"/>
            </w:tcBorders>
            <w:shd w:val="clear" w:color="auto" w:fill="auto"/>
            <w:vAlign w:val="center"/>
          </w:tcPr>
          <w:p w14:paraId="5D878012">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15</w:t>
            </w:r>
          </w:p>
        </w:tc>
        <w:tc>
          <w:tcPr>
            <w:tcW w:w="1015" w:type="dxa"/>
            <w:tcBorders>
              <w:tl2br w:val="nil"/>
              <w:tr2bl w:val="nil"/>
            </w:tcBorders>
            <w:shd w:val="clear" w:color="auto" w:fill="auto"/>
            <w:vAlign w:val="center"/>
          </w:tcPr>
          <w:p w14:paraId="5BFCDC2D">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mg/kg</w:t>
            </w:r>
          </w:p>
        </w:tc>
        <w:tc>
          <w:tcPr>
            <w:tcW w:w="1304" w:type="dxa"/>
            <w:tcBorders>
              <w:tl2br w:val="nil"/>
              <w:tr2bl w:val="nil"/>
            </w:tcBorders>
            <w:shd w:val="clear" w:color="auto" w:fill="auto"/>
            <w:vAlign w:val="center"/>
          </w:tcPr>
          <w:p w14:paraId="68097AC6">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34</w:t>
            </w:r>
          </w:p>
        </w:tc>
        <w:tc>
          <w:tcPr>
            <w:tcW w:w="1304" w:type="dxa"/>
            <w:tcBorders>
              <w:tl2br w:val="nil"/>
              <w:tr2bl w:val="nil"/>
            </w:tcBorders>
            <w:shd w:val="clear" w:color="auto" w:fill="auto"/>
            <w:vAlign w:val="center"/>
          </w:tcPr>
          <w:p w14:paraId="21BFB2D0">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17</w:t>
            </w:r>
          </w:p>
        </w:tc>
        <w:tc>
          <w:tcPr>
            <w:tcW w:w="1611" w:type="dxa"/>
            <w:tcBorders>
              <w:tl2br w:val="nil"/>
              <w:tr2bl w:val="nil"/>
            </w:tcBorders>
            <w:shd w:val="clear" w:color="auto" w:fill="auto"/>
            <w:vAlign w:val="center"/>
          </w:tcPr>
          <w:p w14:paraId="072935DF">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26.13</w:t>
            </w:r>
          </w:p>
        </w:tc>
        <w:tc>
          <w:tcPr>
            <w:tcW w:w="1611" w:type="dxa"/>
            <w:tcBorders>
              <w:tl2br w:val="nil"/>
              <w:tr2bl w:val="nil"/>
            </w:tcBorders>
            <w:shd w:val="clear" w:color="auto" w:fill="auto"/>
            <w:vAlign w:val="center"/>
          </w:tcPr>
          <w:p w14:paraId="4665365B">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4.6116</w:t>
            </w:r>
          </w:p>
        </w:tc>
        <w:tc>
          <w:tcPr>
            <w:tcW w:w="1304" w:type="dxa"/>
            <w:tcBorders>
              <w:tl2br w:val="nil"/>
              <w:tr2bl w:val="nil"/>
            </w:tcBorders>
            <w:shd w:val="clear" w:color="auto" w:fill="auto"/>
            <w:vAlign w:val="center"/>
          </w:tcPr>
          <w:p w14:paraId="5A15E4A6">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100%</w:t>
            </w:r>
          </w:p>
        </w:tc>
        <w:tc>
          <w:tcPr>
            <w:tcW w:w="1304" w:type="dxa"/>
            <w:tcBorders>
              <w:tl2br w:val="nil"/>
              <w:tr2bl w:val="nil"/>
            </w:tcBorders>
            <w:shd w:val="clear" w:color="auto" w:fill="auto"/>
            <w:vAlign w:val="center"/>
          </w:tcPr>
          <w:p w14:paraId="5A4E2E4F">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0</w:t>
            </w:r>
          </w:p>
        </w:tc>
        <w:tc>
          <w:tcPr>
            <w:tcW w:w="1304" w:type="dxa"/>
            <w:tcBorders>
              <w:tl2br w:val="nil"/>
              <w:tr2bl w:val="nil"/>
            </w:tcBorders>
            <w:shd w:val="clear" w:color="auto" w:fill="auto"/>
            <w:vAlign w:val="center"/>
          </w:tcPr>
          <w:p w14:paraId="5123FDBB">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r>
      <w:tr w14:paraId="5D86424E">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1740" w:type="dxa"/>
            <w:tcBorders>
              <w:tl2br w:val="nil"/>
              <w:tr2bl w:val="nil"/>
            </w:tcBorders>
            <w:shd w:val="clear" w:color="auto" w:fill="auto"/>
            <w:vAlign w:val="center"/>
          </w:tcPr>
          <w:p w14:paraId="4F3E4CD6">
            <w:pPr>
              <w:ind w:left="-105" w:right="-105"/>
              <w:jc w:val="center"/>
              <w:textAlignment w:val="center"/>
              <w:rPr>
                <w:color w:val="auto"/>
                <w:sz w:val="21"/>
                <w:szCs w:val="21"/>
                <w:highlight w:val="none"/>
              </w:rPr>
            </w:pPr>
            <w:r>
              <w:rPr>
                <w:rFonts w:hint="eastAsia"/>
                <w:color w:val="auto"/>
                <w:sz w:val="21"/>
                <w:szCs w:val="21"/>
                <w:highlight w:val="none"/>
                <w:lang w:bidi="ar"/>
              </w:rPr>
              <w:t>铅</w:t>
            </w:r>
          </w:p>
        </w:tc>
        <w:tc>
          <w:tcPr>
            <w:tcW w:w="1155" w:type="dxa"/>
            <w:tcBorders>
              <w:tl2br w:val="nil"/>
              <w:tr2bl w:val="nil"/>
            </w:tcBorders>
            <w:shd w:val="clear" w:color="auto" w:fill="auto"/>
            <w:vAlign w:val="center"/>
          </w:tcPr>
          <w:p w14:paraId="390022CE">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15</w:t>
            </w:r>
          </w:p>
        </w:tc>
        <w:tc>
          <w:tcPr>
            <w:tcW w:w="1015" w:type="dxa"/>
            <w:tcBorders>
              <w:tl2br w:val="nil"/>
              <w:tr2bl w:val="nil"/>
            </w:tcBorders>
            <w:shd w:val="clear" w:color="auto" w:fill="auto"/>
            <w:vAlign w:val="center"/>
          </w:tcPr>
          <w:p w14:paraId="5C108DC2">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mg/kg</w:t>
            </w:r>
          </w:p>
        </w:tc>
        <w:tc>
          <w:tcPr>
            <w:tcW w:w="1304" w:type="dxa"/>
            <w:tcBorders>
              <w:tl2br w:val="nil"/>
              <w:tr2bl w:val="nil"/>
            </w:tcBorders>
            <w:shd w:val="clear" w:color="auto" w:fill="auto"/>
            <w:vAlign w:val="center"/>
          </w:tcPr>
          <w:p w14:paraId="3EFBB87F">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32</w:t>
            </w:r>
          </w:p>
        </w:tc>
        <w:tc>
          <w:tcPr>
            <w:tcW w:w="1304" w:type="dxa"/>
            <w:tcBorders>
              <w:tl2br w:val="nil"/>
              <w:tr2bl w:val="nil"/>
            </w:tcBorders>
            <w:shd w:val="clear" w:color="auto" w:fill="auto"/>
            <w:vAlign w:val="center"/>
          </w:tcPr>
          <w:p w14:paraId="0932BE86">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20.5</w:t>
            </w:r>
          </w:p>
        </w:tc>
        <w:tc>
          <w:tcPr>
            <w:tcW w:w="1611" w:type="dxa"/>
            <w:tcBorders>
              <w:tl2br w:val="nil"/>
              <w:tr2bl w:val="nil"/>
            </w:tcBorders>
            <w:shd w:val="clear" w:color="auto" w:fill="auto"/>
            <w:vAlign w:val="center"/>
          </w:tcPr>
          <w:p w14:paraId="4280D14B">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25.39</w:t>
            </w:r>
          </w:p>
        </w:tc>
        <w:tc>
          <w:tcPr>
            <w:tcW w:w="1611" w:type="dxa"/>
            <w:tcBorders>
              <w:tl2br w:val="nil"/>
              <w:tr2bl w:val="nil"/>
            </w:tcBorders>
            <w:shd w:val="clear" w:color="auto" w:fill="auto"/>
            <w:vAlign w:val="center"/>
          </w:tcPr>
          <w:p w14:paraId="73DAEC67">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3.2857</w:t>
            </w:r>
          </w:p>
        </w:tc>
        <w:tc>
          <w:tcPr>
            <w:tcW w:w="1304" w:type="dxa"/>
            <w:tcBorders>
              <w:tl2br w:val="nil"/>
              <w:tr2bl w:val="nil"/>
            </w:tcBorders>
            <w:shd w:val="clear" w:color="auto" w:fill="auto"/>
            <w:vAlign w:val="center"/>
          </w:tcPr>
          <w:p w14:paraId="118AE5B6">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100%</w:t>
            </w:r>
          </w:p>
        </w:tc>
        <w:tc>
          <w:tcPr>
            <w:tcW w:w="1304" w:type="dxa"/>
            <w:tcBorders>
              <w:tl2br w:val="nil"/>
              <w:tr2bl w:val="nil"/>
            </w:tcBorders>
            <w:shd w:val="clear" w:color="auto" w:fill="auto"/>
            <w:vAlign w:val="center"/>
          </w:tcPr>
          <w:p w14:paraId="4476F08A">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0</w:t>
            </w:r>
          </w:p>
        </w:tc>
        <w:tc>
          <w:tcPr>
            <w:tcW w:w="1304" w:type="dxa"/>
            <w:tcBorders>
              <w:tl2br w:val="nil"/>
              <w:tr2bl w:val="nil"/>
            </w:tcBorders>
            <w:shd w:val="clear" w:color="auto" w:fill="auto"/>
            <w:vAlign w:val="center"/>
          </w:tcPr>
          <w:p w14:paraId="14FD507A">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r>
      <w:tr w14:paraId="057A9885">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1740" w:type="dxa"/>
            <w:tcBorders>
              <w:tl2br w:val="nil"/>
              <w:tr2bl w:val="nil"/>
            </w:tcBorders>
            <w:shd w:val="clear" w:color="auto" w:fill="auto"/>
            <w:vAlign w:val="center"/>
          </w:tcPr>
          <w:p w14:paraId="7DB24E51">
            <w:pPr>
              <w:ind w:left="-105" w:right="-105"/>
              <w:jc w:val="center"/>
              <w:textAlignment w:val="center"/>
              <w:rPr>
                <w:color w:val="auto"/>
                <w:sz w:val="21"/>
                <w:szCs w:val="21"/>
                <w:highlight w:val="none"/>
              </w:rPr>
            </w:pPr>
            <w:r>
              <w:rPr>
                <w:rFonts w:hint="eastAsia"/>
                <w:color w:val="auto"/>
                <w:sz w:val="21"/>
                <w:szCs w:val="21"/>
                <w:highlight w:val="none"/>
                <w:lang w:bidi="ar"/>
              </w:rPr>
              <w:t>镍</w:t>
            </w:r>
          </w:p>
        </w:tc>
        <w:tc>
          <w:tcPr>
            <w:tcW w:w="1155" w:type="dxa"/>
            <w:tcBorders>
              <w:tl2br w:val="nil"/>
              <w:tr2bl w:val="nil"/>
            </w:tcBorders>
            <w:shd w:val="clear" w:color="auto" w:fill="auto"/>
            <w:vAlign w:val="center"/>
          </w:tcPr>
          <w:p w14:paraId="204F099F">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15</w:t>
            </w:r>
          </w:p>
        </w:tc>
        <w:tc>
          <w:tcPr>
            <w:tcW w:w="1015" w:type="dxa"/>
            <w:tcBorders>
              <w:tl2br w:val="nil"/>
              <w:tr2bl w:val="nil"/>
            </w:tcBorders>
            <w:shd w:val="clear" w:color="auto" w:fill="auto"/>
            <w:vAlign w:val="center"/>
          </w:tcPr>
          <w:p w14:paraId="1F551D3A">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mg/kg</w:t>
            </w:r>
          </w:p>
        </w:tc>
        <w:tc>
          <w:tcPr>
            <w:tcW w:w="1304" w:type="dxa"/>
            <w:tcBorders>
              <w:tl2br w:val="nil"/>
              <w:tr2bl w:val="nil"/>
            </w:tcBorders>
            <w:shd w:val="clear" w:color="auto" w:fill="auto"/>
            <w:vAlign w:val="center"/>
          </w:tcPr>
          <w:p w14:paraId="40665716">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47</w:t>
            </w:r>
          </w:p>
        </w:tc>
        <w:tc>
          <w:tcPr>
            <w:tcW w:w="1304" w:type="dxa"/>
            <w:tcBorders>
              <w:tl2br w:val="nil"/>
              <w:tr2bl w:val="nil"/>
            </w:tcBorders>
            <w:shd w:val="clear" w:color="auto" w:fill="auto"/>
            <w:vAlign w:val="center"/>
          </w:tcPr>
          <w:p w14:paraId="172040E9">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24</w:t>
            </w:r>
          </w:p>
        </w:tc>
        <w:tc>
          <w:tcPr>
            <w:tcW w:w="1611" w:type="dxa"/>
            <w:tcBorders>
              <w:tl2br w:val="nil"/>
              <w:tr2bl w:val="nil"/>
            </w:tcBorders>
            <w:shd w:val="clear" w:color="auto" w:fill="auto"/>
            <w:vAlign w:val="center"/>
          </w:tcPr>
          <w:p w14:paraId="06DD5700">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33.60</w:t>
            </w:r>
          </w:p>
        </w:tc>
        <w:tc>
          <w:tcPr>
            <w:tcW w:w="1611" w:type="dxa"/>
            <w:tcBorders>
              <w:tl2br w:val="nil"/>
              <w:tr2bl w:val="nil"/>
            </w:tcBorders>
            <w:shd w:val="clear" w:color="auto" w:fill="auto"/>
            <w:vAlign w:val="center"/>
          </w:tcPr>
          <w:p w14:paraId="5B986034">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7.3368</w:t>
            </w:r>
          </w:p>
        </w:tc>
        <w:tc>
          <w:tcPr>
            <w:tcW w:w="1304" w:type="dxa"/>
            <w:tcBorders>
              <w:tl2br w:val="nil"/>
              <w:tr2bl w:val="nil"/>
            </w:tcBorders>
            <w:shd w:val="clear" w:color="auto" w:fill="auto"/>
            <w:vAlign w:val="center"/>
          </w:tcPr>
          <w:p w14:paraId="0327F006">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100%</w:t>
            </w:r>
          </w:p>
        </w:tc>
        <w:tc>
          <w:tcPr>
            <w:tcW w:w="1304" w:type="dxa"/>
            <w:tcBorders>
              <w:tl2br w:val="nil"/>
              <w:tr2bl w:val="nil"/>
            </w:tcBorders>
            <w:shd w:val="clear" w:color="auto" w:fill="auto"/>
            <w:vAlign w:val="center"/>
          </w:tcPr>
          <w:p w14:paraId="6F38A512">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0</w:t>
            </w:r>
          </w:p>
        </w:tc>
        <w:tc>
          <w:tcPr>
            <w:tcW w:w="1304" w:type="dxa"/>
            <w:tcBorders>
              <w:tl2br w:val="nil"/>
              <w:tr2bl w:val="nil"/>
            </w:tcBorders>
            <w:shd w:val="clear" w:color="auto" w:fill="auto"/>
            <w:vAlign w:val="center"/>
          </w:tcPr>
          <w:p w14:paraId="35D43A9A">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r>
      <w:tr w14:paraId="73527E1F">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1740" w:type="dxa"/>
            <w:tcBorders>
              <w:tl2br w:val="nil"/>
              <w:tr2bl w:val="nil"/>
            </w:tcBorders>
            <w:shd w:val="clear" w:color="auto" w:fill="auto"/>
            <w:vAlign w:val="center"/>
          </w:tcPr>
          <w:p w14:paraId="7FF502DE">
            <w:pPr>
              <w:ind w:left="-105" w:right="-105"/>
              <w:jc w:val="center"/>
              <w:textAlignment w:val="center"/>
              <w:rPr>
                <w:color w:val="auto"/>
                <w:sz w:val="21"/>
                <w:szCs w:val="21"/>
                <w:highlight w:val="none"/>
              </w:rPr>
            </w:pPr>
            <w:r>
              <w:rPr>
                <w:rFonts w:hint="eastAsia"/>
                <w:color w:val="auto"/>
                <w:sz w:val="21"/>
                <w:szCs w:val="21"/>
                <w:highlight w:val="none"/>
                <w:lang w:bidi="ar"/>
              </w:rPr>
              <w:t>六价铬</w:t>
            </w:r>
          </w:p>
        </w:tc>
        <w:tc>
          <w:tcPr>
            <w:tcW w:w="1155" w:type="dxa"/>
            <w:tcBorders>
              <w:tl2br w:val="nil"/>
              <w:tr2bl w:val="nil"/>
            </w:tcBorders>
            <w:shd w:val="clear" w:color="auto" w:fill="auto"/>
            <w:vAlign w:val="center"/>
          </w:tcPr>
          <w:p w14:paraId="4D072388">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15</w:t>
            </w:r>
          </w:p>
        </w:tc>
        <w:tc>
          <w:tcPr>
            <w:tcW w:w="1015" w:type="dxa"/>
            <w:tcBorders>
              <w:tl2br w:val="nil"/>
              <w:tr2bl w:val="nil"/>
            </w:tcBorders>
            <w:shd w:val="clear" w:color="auto" w:fill="auto"/>
            <w:vAlign w:val="center"/>
          </w:tcPr>
          <w:p w14:paraId="27846B14">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mg/kg</w:t>
            </w:r>
          </w:p>
        </w:tc>
        <w:tc>
          <w:tcPr>
            <w:tcW w:w="1304" w:type="dxa"/>
            <w:tcBorders>
              <w:tl2br w:val="nil"/>
              <w:tr2bl w:val="nil"/>
            </w:tcBorders>
            <w:shd w:val="clear" w:color="auto" w:fill="auto"/>
            <w:vAlign w:val="center"/>
          </w:tcPr>
          <w:p w14:paraId="06886C7C">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304" w:type="dxa"/>
            <w:tcBorders>
              <w:tl2br w:val="nil"/>
              <w:tr2bl w:val="nil"/>
            </w:tcBorders>
            <w:shd w:val="clear" w:color="auto" w:fill="auto"/>
            <w:vAlign w:val="center"/>
          </w:tcPr>
          <w:p w14:paraId="46779A9D">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611" w:type="dxa"/>
            <w:tcBorders>
              <w:tl2br w:val="nil"/>
              <w:tr2bl w:val="nil"/>
            </w:tcBorders>
            <w:shd w:val="clear" w:color="auto" w:fill="auto"/>
            <w:vAlign w:val="center"/>
          </w:tcPr>
          <w:p w14:paraId="1AE7E250">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611" w:type="dxa"/>
            <w:tcBorders>
              <w:tl2br w:val="nil"/>
              <w:tr2bl w:val="nil"/>
            </w:tcBorders>
            <w:shd w:val="clear" w:color="auto" w:fill="auto"/>
            <w:vAlign w:val="center"/>
          </w:tcPr>
          <w:p w14:paraId="242F9FF1">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304" w:type="dxa"/>
            <w:tcBorders>
              <w:tl2br w:val="nil"/>
              <w:tr2bl w:val="nil"/>
            </w:tcBorders>
            <w:shd w:val="clear" w:color="auto" w:fill="auto"/>
            <w:vAlign w:val="center"/>
          </w:tcPr>
          <w:p w14:paraId="3B1F9594">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0%</w:t>
            </w:r>
          </w:p>
        </w:tc>
        <w:tc>
          <w:tcPr>
            <w:tcW w:w="1304" w:type="dxa"/>
            <w:tcBorders>
              <w:tl2br w:val="nil"/>
              <w:tr2bl w:val="nil"/>
            </w:tcBorders>
            <w:shd w:val="clear" w:color="auto" w:fill="auto"/>
            <w:vAlign w:val="center"/>
          </w:tcPr>
          <w:p w14:paraId="341156E0">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0</w:t>
            </w:r>
          </w:p>
        </w:tc>
        <w:tc>
          <w:tcPr>
            <w:tcW w:w="1304" w:type="dxa"/>
            <w:tcBorders>
              <w:tl2br w:val="nil"/>
              <w:tr2bl w:val="nil"/>
            </w:tcBorders>
            <w:shd w:val="clear" w:color="auto" w:fill="auto"/>
            <w:vAlign w:val="center"/>
          </w:tcPr>
          <w:p w14:paraId="0139A16E">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r>
      <w:tr w14:paraId="59BECB5B">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1740" w:type="dxa"/>
            <w:tcBorders>
              <w:tl2br w:val="nil"/>
              <w:tr2bl w:val="nil"/>
            </w:tcBorders>
            <w:shd w:val="clear" w:color="auto" w:fill="auto"/>
            <w:vAlign w:val="center"/>
          </w:tcPr>
          <w:p w14:paraId="21B1DA16">
            <w:pPr>
              <w:ind w:left="-105" w:right="-105"/>
              <w:jc w:val="center"/>
              <w:textAlignment w:val="center"/>
              <w:rPr>
                <w:color w:val="auto"/>
                <w:sz w:val="21"/>
                <w:szCs w:val="21"/>
                <w:highlight w:val="none"/>
              </w:rPr>
            </w:pPr>
            <w:r>
              <w:rPr>
                <w:rFonts w:hint="eastAsia"/>
                <w:color w:val="auto"/>
                <w:sz w:val="21"/>
                <w:szCs w:val="21"/>
                <w:highlight w:val="none"/>
                <w:lang w:bidi="ar"/>
              </w:rPr>
              <w:t>氯甲烷</w:t>
            </w:r>
          </w:p>
        </w:tc>
        <w:tc>
          <w:tcPr>
            <w:tcW w:w="1155" w:type="dxa"/>
            <w:tcBorders>
              <w:tl2br w:val="nil"/>
              <w:tr2bl w:val="nil"/>
            </w:tcBorders>
            <w:shd w:val="clear" w:color="auto" w:fill="auto"/>
            <w:vAlign w:val="center"/>
          </w:tcPr>
          <w:p w14:paraId="1F455D92">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15</w:t>
            </w:r>
          </w:p>
        </w:tc>
        <w:tc>
          <w:tcPr>
            <w:tcW w:w="1015" w:type="dxa"/>
            <w:tcBorders>
              <w:tl2br w:val="nil"/>
              <w:tr2bl w:val="nil"/>
            </w:tcBorders>
            <w:shd w:val="clear" w:color="auto" w:fill="auto"/>
            <w:vAlign w:val="center"/>
          </w:tcPr>
          <w:p w14:paraId="4DBA9BA1">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mg/kg</w:t>
            </w:r>
          </w:p>
        </w:tc>
        <w:tc>
          <w:tcPr>
            <w:tcW w:w="1304" w:type="dxa"/>
            <w:tcBorders>
              <w:tl2br w:val="nil"/>
              <w:tr2bl w:val="nil"/>
            </w:tcBorders>
            <w:shd w:val="clear" w:color="auto" w:fill="auto"/>
            <w:vAlign w:val="center"/>
          </w:tcPr>
          <w:p w14:paraId="165A281A">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9.8</w:t>
            </w:r>
          </w:p>
        </w:tc>
        <w:tc>
          <w:tcPr>
            <w:tcW w:w="1304" w:type="dxa"/>
            <w:tcBorders>
              <w:tl2br w:val="nil"/>
              <w:tr2bl w:val="nil"/>
            </w:tcBorders>
            <w:shd w:val="clear" w:color="auto" w:fill="auto"/>
            <w:vAlign w:val="center"/>
          </w:tcPr>
          <w:p w14:paraId="41BAC3AD">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611" w:type="dxa"/>
            <w:tcBorders>
              <w:tl2br w:val="nil"/>
              <w:tr2bl w:val="nil"/>
            </w:tcBorders>
            <w:shd w:val="clear" w:color="auto" w:fill="auto"/>
            <w:vAlign w:val="center"/>
          </w:tcPr>
          <w:p w14:paraId="2EA07E45">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1.13</w:t>
            </w:r>
          </w:p>
        </w:tc>
        <w:tc>
          <w:tcPr>
            <w:tcW w:w="1611" w:type="dxa"/>
            <w:tcBorders>
              <w:tl2br w:val="nil"/>
              <w:tr2bl w:val="nil"/>
            </w:tcBorders>
            <w:shd w:val="clear" w:color="auto" w:fill="auto"/>
            <w:vAlign w:val="center"/>
          </w:tcPr>
          <w:p w14:paraId="57B0690C">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2.7309</w:t>
            </w:r>
          </w:p>
        </w:tc>
        <w:tc>
          <w:tcPr>
            <w:tcW w:w="1304" w:type="dxa"/>
            <w:tcBorders>
              <w:tl2br w:val="nil"/>
              <w:tr2bl w:val="nil"/>
            </w:tcBorders>
            <w:shd w:val="clear" w:color="auto" w:fill="auto"/>
            <w:vAlign w:val="center"/>
          </w:tcPr>
          <w:p w14:paraId="7197847C">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20%</w:t>
            </w:r>
          </w:p>
        </w:tc>
        <w:tc>
          <w:tcPr>
            <w:tcW w:w="1304" w:type="dxa"/>
            <w:tcBorders>
              <w:tl2br w:val="nil"/>
              <w:tr2bl w:val="nil"/>
            </w:tcBorders>
            <w:shd w:val="clear" w:color="auto" w:fill="auto"/>
            <w:vAlign w:val="center"/>
          </w:tcPr>
          <w:p w14:paraId="7EE88B91">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0</w:t>
            </w:r>
          </w:p>
        </w:tc>
        <w:tc>
          <w:tcPr>
            <w:tcW w:w="1304" w:type="dxa"/>
            <w:tcBorders>
              <w:tl2br w:val="nil"/>
              <w:tr2bl w:val="nil"/>
            </w:tcBorders>
            <w:shd w:val="clear" w:color="auto" w:fill="auto"/>
            <w:vAlign w:val="center"/>
          </w:tcPr>
          <w:p w14:paraId="07991F85">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r>
      <w:tr w14:paraId="59977F99">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1740" w:type="dxa"/>
            <w:tcBorders>
              <w:tl2br w:val="nil"/>
              <w:tr2bl w:val="nil"/>
            </w:tcBorders>
            <w:shd w:val="clear" w:color="auto" w:fill="auto"/>
            <w:vAlign w:val="center"/>
          </w:tcPr>
          <w:p w14:paraId="236620FF">
            <w:pPr>
              <w:ind w:left="-105" w:right="-105"/>
              <w:jc w:val="center"/>
              <w:textAlignment w:val="center"/>
              <w:rPr>
                <w:color w:val="auto"/>
                <w:sz w:val="21"/>
                <w:szCs w:val="21"/>
                <w:highlight w:val="none"/>
              </w:rPr>
            </w:pPr>
            <w:r>
              <w:rPr>
                <w:rFonts w:hint="eastAsia"/>
                <w:color w:val="auto"/>
                <w:sz w:val="21"/>
                <w:szCs w:val="21"/>
                <w:highlight w:val="none"/>
                <w:lang w:bidi="ar"/>
              </w:rPr>
              <w:t>氯乙烯</w:t>
            </w:r>
          </w:p>
        </w:tc>
        <w:tc>
          <w:tcPr>
            <w:tcW w:w="1155" w:type="dxa"/>
            <w:tcBorders>
              <w:tl2br w:val="nil"/>
              <w:tr2bl w:val="nil"/>
            </w:tcBorders>
            <w:shd w:val="clear" w:color="auto" w:fill="auto"/>
            <w:vAlign w:val="center"/>
          </w:tcPr>
          <w:p w14:paraId="5CC1716C">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15</w:t>
            </w:r>
          </w:p>
        </w:tc>
        <w:tc>
          <w:tcPr>
            <w:tcW w:w="1015" w:type="dxa"/>
            <w:tcBorders>
              <w:tl2br w:val="nil"/>
              <w:tr2bl w:val="nil"/>
            </w:tcBorders>
            <w:shd w:val="clear" w:color="auto" w:fill="auto"/>
            <w:vAlign w:val="center"/>
          </w:tcPr>
          <w:p w14:paraId="35BAA3AC">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mg/kg</w:t>
            </w:r>
          </w:p>
        </w:tc>
        <w:tc>
          <w:tcPr>
            <w:tcW w:w="1304" w:type="dxa"/>
            <w:tcBorders>
              <w:tl2br w:val="nil"/>
              <w:tr2bl w:val="nil"/>
            </w:tcBorders>
            <w:shd w:val="clear" w:color="auto" w:fill="auto"/>
            <w:vAlign w:val="center"/>
          </w:tcPr>
          <w:p w14:paraId="283A9DA9">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304" w:type="dxa"/>
            <w:tcBorders>
              <w:tl2br w:val="nil"/>
              <w:tr2bl w:val="nil"/>
            </w:tcBorders>
            <w:shd w:val="clear" w:color="auto" w:fill="auto"/>
            <w:vAlign w:val="center"/>
          </w:tcPr>
          <w:p w14:paraId="0A07BEB5">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611" w:type="dxa"/>
            <w:tcBorders>
              <w:tl2br w:val="nil"/>
              <w:tr2bl w:val="nil"/>
            </w:tcBorders>
            <w:shd w:val="clear" w:color="auto" w:fill="auto"/>
            <w:vAlign w:val="center"/>
          </w:tcPr>
          <w:p w14:paraId="25DDF8D7">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611" w:type="dxa"/>
            <w:tcBorders>
              <w:tl2br w:val="nil"/>
              <w:tr2bl w:val="nil"/>
            </w:tcBorders>
            <w:shd w:val="clear" w:color="auto" w:fill="auto"/>
            <w:vAlign w:val="center"/>
          </w:tcPr>
          <w:p w14:paraId="1F2360FC">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304" w:type="dxa"/>
            <w:tcBorders>
              <w:tl2br w:val="nil"/>
              <w:tr2bl w:val="nil"/>
            </w:tcBorders>
            <w:shd w:val="clear" w:color="auto" w:fill="auto"/>
            <w:vAlign w:val="center"/>
          </w:tcPr>
          <w:p w14:paraId="2F6EF977">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0%</w:t>
            </w:r>
          </w:p>
        </w:tc>
        <w:tc>
          <w:tcPr>
            <w:tcW w:w="1304" w:type="dxa"/>
            <w:tcBorders>
              <w:tl2br w:val="nil"/>
              <w:tr2bl w:val="nil"/>
            </w:tcBorders>
            <w:shd w:val="clear" w:color="auto" w:fill="auto"/>
            <w:vAlign w:val="center"/>
          </w:tcPr>
          <w:p w14:paraId="77A600F0">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0</w:t>
            </w:r>
          </w:p>
        </w:tc>
        <w:tc>
          <w:tcPr>
            <w:tcW w:w="1304" w:type="dxa"/>
            <w:tcBorders>
              <w:tl2br w:val="nil"/>
              <w:tr2bl w:val="nil"/>
            </w:tcBorders>
            <w:shd w:val="clear" w:color="auto" w:fill="auto"/>
            <w:vAlign w:val="center"/>
          </w:tcPr>
          <w:p w14:paraId="799C2DC6">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r>
      <w:tr w14:paraId="4457C977">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1740" w:type="dxa"/>
            <w:tcBorders>
              <w:tl2br w:val="nil"/>
              <w:tr2bl w:val="nil"/>
            </w:tcBorders>
            <w:shd w:val="clear" w:color="auto" w:fill="auto"/>
            <w:vAlign w:val="center"/>
          </w:tcPr>
          <w:p w14:paraId="5ADDE677">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1,1-</w:t>
            </w:r>
            <w:r>
              <w:rPr>
                <w:rFonts w:hint="eastAsia"/>
                <w:color w:val="auto"/>
                <w:sz w:val="21"/>
                <w:szCs w:val="21"/>
                <w:highlight w:val="none"/>
                <w:lang w:bidi="ar"/>
              </w:rPr>
              <w:t>二氯乙烯</w:t>
            </w:r>
          </w:p>
        </w:tc>
        <w:tc>
          <w:tcPr>
            <w:tcW w:w="1155" w:type="dxa"/>
            <w:tcBorders>
              <w:tl2br w:val="nil"/>
              <w:tr2bl w:val="nil"/>
            </w:tcBorders>
            <w:shd w:val="clear" w:color="auto" w:fill="auto"/>
            <w:vAlign w:val="center"/>
          </w:tcPr>
          <w:p w14:paraId="7973E6B1">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15</w:t>
            </w:r>
          </w:p>
        </w:tc>
        <w:tc>
          <w:tcPr>
            <w:tcW w:w="1015" w:type="dxa"/>
            <w:tcBorders>
              <w:tl2br w:val="nil"/>
              <w:tr2bl w:val="nil"/>
            </w:tcBorders>
            <w:shd w:val="clear" w:color="auto" w:fill="auto"/>
            <w:vAlign w:val="center"/>
          </w:tcPr>
          <w:p w14:paraId="57773DC4">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mg/kg</w:t>
            </w:r>
          </w:p>
        </w:tc>
        <w:tc>
          <w:tcPr>
            <w:tcW w:w="1304" w:type="dxa"/>
            <w:tcBorders>
              <w:tl2br w:val="nil"/>
              <w:tr2bl w:val="nil"/>
            </w:tcBorders>
            <w:shd w:val="clear" w:color="auto" w:fill="auto"/>
            <w:vAlign w:val="center"/>
          </w:tcPr>
          <w:p w14:paraId="52EDCE35">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304" w:type="dxa"/>
            <w:tcBorders>
              <w:tl2br w:val="nil"/>
              <w:tr2bl w:val="nil"/>
            </w:tcBorders>
            <w:shd w:val="clear" w:color="auto" w:fill="auto"/>
            <w:vAlign w:val="center"/>
          </w:tcPr>
          <w:p w14:paraId="0B435962">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611" w:type="dxa"/>
            <w:tcBorders>
              <w:tl2br w:val="nil"/>
              <w:tr2bl w:val="nil"/>
            </w:tcBorders>
            <w:shd w:val="clear" w:color="auto" w:fill="auto"/>
            <w:vAlign w:val="center"/>
          </w:tcPr>
          <w:p w14:paraId="29019B98">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611" w:type="dxa"/>
            <w:tcBorders>
              <w:tl2br w:val="nil"/>
              <w:tr2bl w:val="nil"/>
            </w:tcBorders>
            <w:shd w:val="clear" w:color="auto" w:fill="auto"/>
            <w:vAlign w:val="center"/>
          </w:tcPr>
          <w:p w14:paraId="0C01F94B">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304" w:type="dxa"/>
            <w:tcBorders>
              <w:tl2br w:val="nil"/>
              <w:tr2bl w:val="nil"/>
            </w:tcBorders>
            <w:shd w:val="clear" w:color="auto" w:fill="auto"/>
            <w:vAlign w:val="center"/>
          </w:tcPr>
          <w:p w14:paraId="03BA43E2">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0%</w:t>
            </w:r>
          </w:p>
        </w:tc>
        <w:tc>
          <w:tcPr>
            <w:tcW w:w="1304" w:type="dxa"/>
            <w:tcBorders>
              <w:tl2br w:val="nil"/>
              <w:tr2bl w:val="nil"/>
            </w:tcBorders>
            <w:shd w:val="clear" w:color="auto" w:fill="auto"/>
            <w:vAlign w:val="center"/>
          </w:tcPr>
          <w:p w14:paraId="4A4D32DF">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0</w:t>
            </w:r>
          </w:p>
        </w:tc>
        <w:tc>
          <w:tcPr>
            <w:tcW w:w="1304" w:type="dxa"/>
            <w:tcBorders>
              <w:tl2br w:val="nil"/>
              <w:tr2bl w:val="nil"/>
            </w:tcBorders>
            <w:shd w:val="clear" w:color="auto" w:fill="auto"/>
            <w:vAlign w:val="center"/>
          </w:tcPr>
          <w:p w14:paraId="4D372DD5">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r>
      <w:tr w14:paraId="676C6C38">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1740" w:type="dxa"/>
            <w:tcBorders>
              <w:tl2br w:val="nil"/>
              <w:tr2bl w:val="nil"/>
            </w:tcBorders>
            <w:shd w:val="clear" w:color="auto" w:fill="auto"/>
            <w:vAlign w:val="center"/>
          </w:tcPr>
          <w:p w14:paraId="776F6627">
            <w:pPr>
              <w:ind w:left="-105" w:right="-105"/>
              <w:jc w:val="center"/>
              <w:textAlignment w:val="center"/>
              <w:rPr>
                <w:color w:val="auto"/>
                <w:sz w:val="21"/>
                <w:szCs w:val="21"/>
                <w:highlight w:val="none"/>
              </w:rPr>
            </w:pPr>
            <w:r>
              <w:rPr>
                <w:rFonts w:hint="eastAsia"/>
                <w:color w:val="auto"/>
                <w:sz w:val="21"/>
                <w:szCs w:val="21"/>
                <w:highlight w:val="none"/>
                <w:lang w:bidi="ar"/>
              </w:rPr>
              <w:t>二氯甲烷</w:t>
            </w:r>
          </w:p>
        </w:tc>
        <w:tc>
          <w:tcPr>
            <w:tcW w:w="1155" w:type="dxa"/>
            <w:tcBorders>
              <w:tl2br w:val="nil"/>
              <w:tr2bl w:val="nil"/>
            </w:tcBorders>
            <w:shd w:val="clear" w:color="auto" w:fill="auto"/>
            <w:vAlign w:val="center"/>
          </w:tcPr>
          <w:p w14:paraId="579354EC">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15</w:t>
            </w:r>
          </w:p>
        </w:tc>
        <w:tc>
          <w:tcPr>
            <w:tcW w:w="1015" w:type="dxa"/>
            <w:tcBorders>
              <w:tl2br w:val="nil"/>
              <w:tr2bl w:val="nil"/>
            </w:tcBorders>
            <w:shd w:val="clear" w:color="auto" w:fill="auto"/>
            <w:vAlign w:val="center"/>
          </w:tcPr>
          <w:p w14:paraId="5C6C3138">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mg/kg</w:t>
            </w:r>
          </w:p>
        </w:tc>
        <w:tc>
          <w:tcPr>
            <w:tcW w:w="1304" w:type="dxa"/>
            <w:tcBorders>
              <w:tl2br w:val="nil"/>
              <w:tr2bl w:val="nil"/>
            </w:tcBorders>
            <w:shd w:val="clear" w:color="auto" w:fill="auto"/>
            <w:vAlign w:val="center"/>
          </w:tcPr>
          <w:p w14:paraId="7B264994">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304" w:type="dxa"/>
            <w:tcBorders>
              <w:tl2br w:val="nil"/>
              <w:tr2bl w:val="nil"/>
            </w:tcBorders>
            <w:shd w:val="clear" w:color="auto" w:fill="auto"/>
            <w:vAlign w:val="center"/>
          </w:tcPr>
          <w:p w14:paraId="264C431C">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611" w:type="dxa"/>
            <w:tcBorders>
              <w:tl2br w:val="nil"/>
              <w:tr2bl w:val="nil"/>
            </w:tcBorders>
            <w:shd w:val="clear" w:color="auto" w:fill="auto"/>
            <w:vAlign w:val="center"/>
          </w:tcPr>
          <w:p w14:paraId="2C8D6768">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611" w:type="dxa"/>
            <w:tcBorders>
              <w:tl2br w:val="nil"/>
              <w:tr2bl w:val="nil"/>
            </w:tcBorders>
            <w:shd w:val="clear" w:color="auto" w:fill="auto"/>
            <w:vAlign w:val="center"/>
          </w:tcPr>
          <w:p w14:paraId="148D0CF5">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304" w:type="dxa"/>
            <w:tcBorders>
              <w:tl2br w:val="nil"/>
              <w:tr2bl w:val="nil"/>
            </w:tcBorders>
            <w:shd w:val="clear" w:color="auto" w:fill="auto"/>
            <w:vAlign w:val="center"/>
          </w:tcPr>
          <w:p w14:paraId="79E6722D">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0%</w:t>
            </w:r>
          </w:p>
        </w:tc>
        <w:tc>
          <w:tcPr>
            <w:tcW w:w="1304" w:type="dxa"/>
            <w:tcBorders>
              <w:tl2br w:val="nil"/>
              <w:tr2bl w:val="nil"/>
            </w:tcBorders>
            <w:shd w:val="clear" w:color="auto" w:fill="auto"/>
            <w:vAlign w:val="center"/>
          </w:tcPr>
          <w:p w14:paraId="07017E89">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0</w:t>
            </w:r>
          </w:p>
        </w:tc>
        <w:tc>
          <w:tcPr>
            <w:tcW w:w="1304" w:type="dxa"/>
            <w:tcBorders>
              <w:tl2br w:val="nil"/>
              <w:tr2bl w:val="nil"/>
            </w:tcBorders>
            <w:shd w:val="clear" w:color="auto" w:fill="auto"/>
            <w:vAlign w:val="center"/>
          </w:tcPr>
          <w:p w14:paraId="06ECCADB">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r>
      <w:tr w14:paraId="16F7315C">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1740" w:type="dxa"/>
            <w:tcBorders>
              <w:tl2br w:val="nil"/>
              <w:tr2bl w:val="nil"/>
            </w:tcBorders>
            <w:shd w:val="clear" w:color="auto" w:fill="auto"/>
            <w:vAlign w:val="center"/>
          </w:tcPr>
          <w:p w14:paraId="46432C6B">
            <w:pPr>
              <w:ind w:left="-105" w:right="-105"/>
              <w:jc w:val="center"/>
              <w:textAlignment w:val="center"/>
              <w:rPr>
                <w:color w:val="auto"/>
                <w:sz w:val="21"/>
                <w:szCs w:val="21"/>
                <w:highlight w:val="none"/>
              </w:rPr>
            </w:pPr>
            <w:r>
              <w:rPr>
                <w:rFonts w:hint="eastAsia"/>
                <w:color w:val="auto"/>
                <w:sz w:val="21"/>
                <w:szCs w:val="21"/>
                <w:highlight w:val="none"/>
                <w:lang w:bidi="ar"/>
              </w:rPr>
              <w:t>反式</w:t>
            </w:r>
            <w:r>
              <w:rPr>
                <w:rFonts w:ascii="Times New Roman" w:hAnsi="Times New Roman" w:cs="Times New Roman"/>
                <w:color w:val="auto"/>
                <w:sz w:val="21"/>
                <w:szCs w:val="21"/>
                <w:highlight w:val="none"/>
                <w:lang w:bidi="ar"/>
              </w:rPr>
              <w:t>-1,2-</w:t>
            </w:r>
            <w:r>
              <w:rPr>
                <w:rFonts w:hint="eastAsia"/>
                <w:color w:val="auto"/>
                <w:sz w:val="21"/>
                <w:szCs w:val="21"/>
                <w:highlight w:val="none"/>
                <w:lang w:bidi="ar"/>
              </w:rPr>
              <w:t>二氯乙烯</w:t>
            </w:r>
          </w:p>
        </w:tc>
        <w:tc>
          <w:tcPr>
            <w:tcW w:w="1155" w:type="dxa"/>
            <w:tcBorders>
              <w:tl2br w:val="nil"/>
              <w:tr2bl w:val="nil"/>
            </w:tcBorders>
            <w:shd w:val="clear" w:color="auto" w:fill="auto"/>
            <w:vAlign w:val="center"/>
          </w:tcPr>
          <w:p w14:paraId="67254CD4">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15</w:t>
            </w:r>
          </w:p>
        </w:tc>
        <w:tc>
          <w:tcPr>
            <w:tcW w:w="1015" w:type="dxa"/>
            <w:tcBorders>
              <w:tl2br w:val="nil"/>
              <w:tr2bl w:val="nil"/>
            </w:tcBorders>
            <w:shd w:val="clear" w:color="auto" w:fill="auto"/>
            <w:vAlign w:val="center"/>
          </w:tcPr>
          <w:p w14:paraId="16F68403">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mg/kg</w:t>
            </w:r>
          </w:p>
        </w:tc>
        <w:tc>
          <w:tcPr>
            <w:tcW w:w="1304" w:type="dxa"/>
            <w:tcBorders>
              <w:tl2br w:val="nil"/>
              <w:tr2bl w:val="nil"/>
            </w:tcBorders>
            <w:shd w:val="clear" w:color="auto" w:fill="auto"/>
            <w:vAlign w:val="center"/>
          </w:tcPr>
          <w:p w14:paraId="0FF85A6E">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304" w:type="dxa"/>
            <w:tcBorders>
              <w:tl2br w:val="nil"/>
              <w:tr2bl w:val="nil"/>
            </w:tcBorders>
            <w:shd w:val="clear" w:color="auto" w:fill="auto"/>
            <w:vAlign w:val="center"/>
          </w:tcPr>
          <w:p w14:paraId="66CDCB29">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611" w:type="dxa"/>
            <w:tcBorders>
              <w:tl2br w:val="nil"/>
              <w:tr2bl w:val="nil"/>
            </w:tcBorders>
            <w:shd w:val="clear" w:color="auto" w:fill="auto"/>
            <w:vAlign w:val="center"/>
          </w:tcPr>
          <w:p w14:paraId="5EA8900F">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611" w:type="dxa"/>
            <w:tcBorders>
              <w:tl2br w:val="nil"/>
              <w:tr2bl w:val="nil"/>
            </w:tcBorders>
            <w:shd w:val="clear" w:color="auto" w:fill="auto"/>
            <w:vAlign w:val="center"/>
          </w:tcPr>
          <w:p w14:paraId="78804CAE">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304" w:type="dxa"/>
            <w:tcBorders>
              <w:tl2br w:val="nil"/>
              <w:tr2bl w:val="nil"/>
            </w:tcBorders>
            <w:shd w:val="clear" w:color="auto" w:fill="auto"/>
            <w:vAlign w:val="center"/>
          </w:tcPr>
          <w:p w14:paraId="27DE10B4">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0%</w:t>
            </w:r>
          </w:p>
        </w:tc>
        <w:tc>
          <w:tcPr>
            <w:tcW w:w="1304" w:type="dxa"/>
            <w:tcBorders>
              <w:tl2br w:val="nil"/>
              <w:tr2bl w:val="nil"/>
            </w:tcBorders>
            <w:shd w:val="clear" w:color="auto" w:fill="auto"/>
            <w:vAlign w:val="center"/>
          </w:tcPr>
          <w:p w14:paraId="4275F16F">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0</w:t>
            </w:r>
          </w:p>
        </w:tc>
        <w:tc>
          <w:tcPr>
            <w:tcW w:w="1304" w:type="dxa"/>
            <w:tcBorders>
              <w:tl2br w:val="nil"/>
              <w:tr2bl w:val="nil"/>
            </w:tcBorders>
            <w:shd w:val="clear" w:color="auto" w:fill="auto"/>
            <w:vAlign w:val="center"/>
          </w:tcPr>
          <w:p w14:paraId="168BB79A">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r>
      <w:tr w14:paraId="603EC49E">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1740" w:type="dxa"/>
            <w:tcBorders>
              <w:tl2br w:val="nil"/>
              <w:tr2bl w:val="nil"/>
            </w:tcBorders>
            <w:shd w:val="clear" w:color="auto" w:fill="auto"/>
            <w:vAlign w:val="center"/>
          </w:tcPr>
          <w:p w14:paraId="32F660CF">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1,1-</w:t>
            </w:r>
            <w:r>
              <w:rPr>
                <w:rFonts w:hint="eastAsia"/>
                <w:color w:val="auto"/>
                <w:sz w:val="21"/>
                <w:szCs w:val="21"/>
                <w:highlight w:val="none"/>
                <w:lang w:bidi="ar"/>
              </w:rPr>
              <w:t>二氯乙烷</w:t>
            </w:r>
          </w:p>
        </w:tc>
        <w:tc>
          <w:tcPr>
            <w:tcW w:w="1155" w:type="dxa"/>
            <w:tcBorders>
              <w:tl2br w:val="nil"/>
              <w:tr2bl w:val="nil"/>
            </w:tcBorders>
            <w:shd w:val="clear" w:color="auto" w:fill="auto"/>
            <w:vAlign w:val="center"/>
          </w:tcPr>
          <w:p w14:paraId="649F5902">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15</w:t>
            </w:r>
          </w:p>
        </w:tc>
        <w:tc>
          <w:tcPr>
            <w:tcW w:w="1015" w:type="dxa"/>
            <w:tcBorders>
              <w:tl2br w:val="nil"/>
              <w:tr2bl w:val="nil"/>
            </w:tcBorders>
            <w:shd w:val="clear" w:color="auto" w:fill="auto"/>
            <w:vAlign w:val="center"/>
          </w:tcPr>
          <w:p w14:paraId="0A64159C">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mg/kg</w:t>
            </w:r>
          </w:p>
        </w:tc>
        <w:tc>
          <w:tcPr>
            <w:tcW w:w="1304" w:type="dxa"/>
            <w:tcBorders>
              <w:tl2br w:val="nil"/>
              <w:tr2bl w:val="nil"/>
            </w:tcBorders>
            <w:shd w:val="clear" w:color="auto" w:fill="auto"/>
            <w:vAlign w:val="center"/>
          </w:tcPr>
          <w:p w14:paraId="25871EB3">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304" w:type="dxa"/>
            <w:tcBorders>
              <w:tl2br w:val="nil"/>
              <w:tr2bl w:val="nil"/>
            </w:tcBorders>
            <w:shd w:val="clear" w:color="auto" w:fill="auto"/>
            <w:vAlign w:val="center"/>
          </w:tcPr>
          <w:p w14:paraId="551D0827">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611" w:type="dxa"/>
            <w:tcBorders>
              <w:tl2br w:val="nil"/>
              <w:tr2bl w:val="nil"/>
            </w:tcBorders>
            <w:shd w:val="clear" w:color="auto" w:fill="auto"/>
            <w:vAlign w:val="center"/>
          </w:tcPr>
          <w:p w14:paraId="34EFCBD2">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611" w:type="dxa"/>
            <w:tcBorders>
              <w:tl2br w:val="nil"/>
              <w:tr2bl w:val="nil"/>
            </w:tcBorders>
            <w:shd w:val="clear" w:color="auto" w:fill="auto"/>
            <w:vAlign w:val="center"/>
          </w:tcPr>
          <w:p w14:paraId="352CEA61">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304" w:type="dxa"/>
            <w:tcBorders>
              <w:tl2br w:val="nil"/>
              <w:tr2bl w:val="nil"/>
            </w:tcBorders>
            <w:shd w:val="clear" w:color="auto" w:fill="auto"/>
            <w:vAlign w:val="center"/>
          </w:tcPr>
          <w:p w14:paraId="401C39DB">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0%</w:t>
            </w:r>
          </w:p>
        </w:tc>
        <w:tc>
          <w:tcPr>
            <w:tcW w:w="1304" w:type="dxa"/>
            <w:tcBorders>
              <w:tl2br w:val="nil"/>
              <w:tr2bl w:val="nil"/>
            </w:tcBorders>
            <w:shd w:val="clear" w:color="auto" w:fill="auto"/>
            <w:vAlign w:val="center"/>
          </w:tcPr>
          <w:p w14:paraId="3D43A917">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0</w:t>
            </w:r>
          </w:p>
        </w:tc>
        <w:tc>
          <w:tcPr>
            <w:tcW w:w="1304" w:type="dxa"/>
            <w:tcBorders>
              <w:tl2br w:val="nil"/>
              <w:tr2bl w:val="nil"/>
            </w:tcBorders>
            <w:shd w:val="clear" w:color="auto" w:fill="auto"/>
            <w:vAlign w:val="center"/>
          </w:tcPr>
          <w:p w14:paraId="26D2FD1C">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r>
      <w:tr w14:paraId="03D643A0">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1740" w:type="dxa"/>
            <w:tcBorders>
              <w:tl2br w:val="nil"/>
              <w:tr2bl w:val="nil"/>
            </w:tcBorders>
            <w:shd w:val="clear" w:color="auto" w:fill="auto"/>
            <w:vAlign w:val="center"/>
          </w:tcPr>
          <w:p w14:paraId="275C0A7B">
            <w:pPr>
              <w:ind w:left="-105" w:right="-105"/>
              <w:jc w:val="center"/>
              <w:textAlignment w:val="center"/>
              <w:rPr>
                <w:color w:val="auto"/>
                <w:sz w:val="21"/>
                <w:szCs w:val="21"/>
                <w:highlight w:val="none"/>
              </w:rPr>
            </w:pPr>
            <w:r>
              <w:rPr>
                <w:rFonts w:hint="eastAsia"/>
                <w:color w:val="auto"/>
                <w:sz w:val="21"/>
                <w:szCs w:val="21"/>
                <w:highlight w:val="none"/>
                <w:lang w:bidi="ar"/>
              </w:rPr>
              <w:t>顺式</w:t>
            </w:r>
            <w:r>
              <w:rPr>
                <w:rFonts w:ascii="Times New Roman" w:hAnsi="Times New Roman" w:cs="Times New Roman"/>
                <w:color w:val="auto"/>
                <w:sz w:val="21"/>
                <w:szCs w:val="21"/>
                <w:highlight w:val="none"/>
                <w:lang w:bidi="ar"/>
              </w:rPr>
              <w:t>-1,2-</w:t>
            </w:r>
            <w:r>
              <w:rPr>
                <w:rFonts w:hint="eastAsia"/>
                <w:color w:val="auto"/>
                <w:sz w:val="21"/>
                <w:szCs w:val="21"/>
                <w:highlight w:val="none"/>
                <w:lang w:bidi="ar"/>
              </w:rPr>
              <w:t>二氯乙烯</w:t>
            </w:r>
          </w:p>
        </w:tc>
        <w:tc>
          <w:tcPr>
            <w:tcW w:w="1155" w:type="dxa"/>
            <w:tcBorders>
              <w:tl2br w:val="nil"/>
              <w:tr2bl w:val="nil"/>
            </w:tcBorders>
            <w:shd w:val="clear" w:color="auto" w:fill="auto"/>
            <w:vAlign w:val="center"/>
          </w:tcPr>
          <w:p w14:paraId="0FB9F276">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15</w:t>
            </w:r>
          </w:p>
        </w:tc>
        <w:tc>
          <w:tcPr>
            <w:tcW w:w="1015" w:type="dxa"/>
            <w:tcBorders>
              <w:tl2br w:val="nil"/>
              <w:tr2bl w:val="nil"/>
            </w:tcBorders>
            <w:shd w:val="clear" w:color="auto" w:fill="auto"/>
            <w:vAlign w:val="center"/>
          </w:tcPr>
          <w:p w14:paraId="27ECCA77">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mg/kg</w:t>
            </w:r>
          </w:p>
        </w:tc>
        <w:tc>
          <w:tcPr>
            <w:tcW w:w="1304" w:type="dxa"/>
            <w:tcBorders>
              <w:tl2br w:val="nil"/>
              <w:tr2bl w:val="nil"/>
            </w:tcBorders>
            <w:shd w:val="clear" w:color="auto" w:fill="auto"/>
            <w:vAlign w:val="center"/>
          </w:tcPr>
          <w:p w14:paraId="2B832C89">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304" w:type="dxa"/>
            <w:tcBorders>
              <w:tl2br w:val="nil"/>
              <w:tr2bl w:val="nil"/>
            </w:tcBorders>
            <w:shd w:val="clear" w:color="auto" w:fill="auto"/>
            <w:vAlign w:val="center"/>
          </w:tcPr>
          <w:p w14:paraId="07EF9691">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611" w:type="dxa"/>
            <w:tcBorders>
              <w:tl2br w:val="nil"/>
              <w:tr2bl w:val="nil"/>
            </w:tcBorders>
            <w:shd w:val="clear" w:color="auto" w:fill="auto"/>
            <w:vAlign w:val="center"/>
          </w:tcPr>
          <w:p w14:paraId="0C506C07">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611" w:type="dxa"/>
            <w:tcBorders>
              <w:tl2br w:val="nil"/>
              <w:tr2bl w:val="nil"/>
            </w:tcBorders>
            <w:shd w:val="clear" w:color="auto" w:fill="auto"/>
            <w:vAlign w:val="center"/>
          </w:tcPr>
          <w:p w14:paraId="2FF55AEA">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304" w:type="dxa"/>
            <w:tcBorders>
              <w:tl2br w:val="nil"/>
              <w:tr2bl w:val="nil"/>
            </w:tcBorders>
            <w:shd w:val="clear" w:color="auto" w:fill="auto"/>
            <w:vAlign w:val="center"/>
          </w:tcPr>
          <w:p w14:paraId="780A6449">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0%</w:t>
            </w:r>
          </w:p>
        </w:tc>
        <w:tc>
          <w:tcPr>
            <w:tcW w:w="1304" w:type="dxa"/>
            <w:tcBorders>
              <w:tl2br w:val="nil"/>
              <w:tr2bl w:val="nil"/>
            </w:tcBorders>
            <w:shd w:val="clear" w:color="auto" w:fill="auto"/>
            <w:vAlign w:val="center"/>
          </w:tcPr>
          <w:p w14:paraId="6402A605">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0</w:t>
            </w:r>
          </w:p>
        </w:tc>
        <w:tc>
          <w:tcPr>
            <w:tcW w:w="1304" w:type="dxa"/>
            <w:tcBorders>
              <w:tl2br w:val="nil"/>
              <w:tr2bl w:val="nil"/>
            </w:tcBorders>
            <w:shd w:val="clear" w:color="auto" w:fill="auto"/>
            <w:vAlign w:val="center"/>
          </w:tcPr>
          <w:p w14:paraId="67A8D0D4">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r>
      <w:tr w14:paraId="4332AF55">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1740" w:type="dxa"/>
            <w:tcBorders>
              <w:tl2br w:val="nil"/>
              <w:tr2bl w:val="nil"/>
            </w:tcBorders>
            <w:shd w:val="clear" w:color="auto" w:fill="auto"/>
            <w:vAlign w:val="center"/>
          </w:tcPr>
          <w:p w14:paraId="543CC2EF">
            <w:pPr>
              <w:ind w:left="-105" w:right="-105"/>
              <w:jc w:val="center"/>
              <w:textAlignment w:val="center"/>
              <w:rPr>
                <w:color w:val="auto"/>
                <w:sz w:val="21"/>
                <w:szCs w:val="21"/>
                <w:highlight w:val="none"/>
              </w:rPr>
            </w:pPr>
            <w:r>
              <w:rPr>
                <w:rFonts w:hint="eastAsia"/>
                <w:color w:val="auto"/>
                <w:sz w:val="21"/>
                <w:szCs w:val="21"/>
                <w:highlight w:val="none"/>
                <w:lang w:bidi="ar"/>
              </w:rPr>
              <w:t>氯仿</w:t>
            </w:r>
          </w:p>
        </w:tc>
        <w:tc>
          <w:tcPr>
            <w:tcW w:w="1155" w:type="dxa"/>
            <w:tcBorders>
              <w:tl2br w:val="nil"/>
              <w:tr2bl w:val="nil"/>
            </w:tcBorders>
            <w:shd w:val="clear" w:color="auto" w:fill="auto"/>
            <w:vAlign w:val="center"/>
          </w:tcPr>
          <w:p w14:paraId="363D21E9">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15</w:t>
            </w:r>
          </w:p>
        </w:tc>
        <w:tc>
          <w:tcPr>
            <w:tcW w:w="1015" w:type="dxa"/>
            <w:tcBorders>
              <w:tl2br w:val="nil"/>
              <w:tr2bl w:val="nil"/>
            </w:tcBorders>
            <w:shd w:val="clear" w:color="auto" w:fill="auto"/>
            <w:vAlign w:val="center"/>
          </w:tcPr>
          <w:p w14:paraId="50F01A4B">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mg/kg</w:t>
            </w:r>
          </w:p>
        </w:tc>
        <w:tc>
          <w:tcPr>
            <w:tcW w:w="1304" w:type="dxa"/>
            <w:tcBorders>
              <w:tl2br w:val="nil"/>
              <w:tr2bl w:val="nil"/>
            </w:tcBorders>
            <w:shd w:val="clear" w:color="auto" w:fill="auto"/>
            <w:vAlign w:val="center"/>
          </w:tcPr>
          <w:p w14:paraId="2AA9A6ED">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304" w:type="dxa"/>
            <w:tcBorders>
              <w:tl2br w:val="nil"/>
              <w:tr2bl w:val="nil"/>
            </w:tcBorders>
            <w:shd w:val="clear" w:color="auto" w:fill="auto"/>
            <w:vAlign w:val="center"/>
          </w:tcPr>
          <w:p w14:paraId="6E9F30C8">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611" w:type="dxa"/>
            <w:tcBorders>
              <w:tl2br w:val="nil"/>
              <w:tr2bl w:val="nil"/>
            </w:tcBorders>
            <w:shd w:val="clear" w:color="auto" w:fill="auto"/>
            <w:vAlign w:val="center"/>
          </w:tcPr>
          <w:p w14:paraId="01E9C3DC">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611" w:type="dxa"/>
            <w:tcBorders>
              <w:tl2br w:val="nil"/>
              <w:tr2bl w:val="nil"/>
            </w:tcBorders>
            <w:shd w:val="clear" w:color="auto" w:fill="auto"/>
            <w:vAlign w:val="center"/>
          </w:tcPr>
          <w:p w14:paraId="556E4DE4">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304" w:type="dxa"/>
            <w:tcBorders>
              <w:tl2br w:val="nil"/>
              <w:tr2bl w:val="nil"/>
            </w:tcBorders>
            <w:shd w:val="clear" w:color="auto" w:fill="auto"/>
            <w:vAlign w:val="center"/>
          </w:tcPr>
          <w:p w14:paraId="3008C44F">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0%</w:t>
            </w:r>
          </w:p>
        </w:tc>
        <w:tc>
          <w:tcPr>
            <w:tcW w:w="1304" w:type="dxa"/>
            <w:tcBorders>
              <w:tl2br w:val="nil"/>
              <w:tr2bl w:val="nil"/>
            </w:tcBorders>
            <w:shd w:val="clear" w:color="auto" w:fill="auto"/>
            <w:vAlign w:val="center"/>
          </w:tcPr>
          <w:p w14:paraId="44727B4E">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0</w:t>
            </w:r>
          </w:p>
        </w:tc>
        <w:tc>
          <w:tcPr>
            <w:tcW w:w="1304" w:type="dxa"/>
            <w:tcBorders>
              <w:tl2br w:val="nil"/>
              <w:tr2bl w:val="nil"/>
            </w:tcBorders>
            <w:shd w:val="clear" w:color="auto" w:fill="auto"/>
            <w:vAlign w:val="center"/>
          </w:tcPr>
          <w:p w14:paraId="050B03FF">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r>
      <w:tr w14:paraId="7011BFC2">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1740" w:type="dxa"/>
            <w:tcBorders>
              <w:tl2br w:val="nil"/>
              <w:tr2bl w:val="nil"/>
            </w:tcBorders>
            <w:shd w:val="clear" w:color="auto" w:fill="auto"/>
            <w:vAlign w:val="center"/>
          </w:tcPr>
          <w:p w14:paraId="30C4D63F">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1,1,1-</w:t>
            </w:r>
            <w:r>
              <w:rPr>
                <w:rFonts w:hint="eastAsia"/>
                <w:color w:val="auto"/>
                <w:sz w:val="21"/>
                <w:szCs w:val="21"/>
                <w:highlight w:val="none"/>
                <w:lang w:bidi="ar"/>
              </w:rPr>
              <w:t>三氯乙烷</w:t>
            </w:r>
          </w:p>
        </w:tc>
        <w:tc>
          <w:tcPr>
            <w:tcW w:w="1155" w:type="dxa"/>
            <w:tcBorders>
              <w:tl2br w:val="nil"/>
              <w:tr2bl w:val="nil"/>
            </w:tcBorders>
            <w:shd w:val="clear" w:color="auto" w:fill="auto"/>
            <w:vAlign w:val="center"/>
          </w:tcPr>
          <w:p w14:paraId="3784853F">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15</w:t>
            </w:r>
          </w:p>
        </w:tc>
        <w:tc>
          <w:tcPr>
            <w:tcW w:w="1015" w:type="dxa"/>
            <w:tcBorders>
              <w:tl2br w:val="nil"/>
              <w:tr2bl w:val="nil"/>
            </w:tcBorders>
            <w:shd w:val="clear" w:color="auto" w:fill="auto"/>
            <w:vAlign w:val="center"/>
          </w:tcPr>
          <w:p w14:paraId="109A5D89">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mg/kg</w:t>
            </w:r>
          </w:p>
        </w:tc>
        <w:tc>
          <w:tcPr>
            <w:tcW w:w="1304" w:type="dxa"/>
            <w:tcBorders>
              <w:tl2br w:val="nil"/>
              <w:tr2bl w:val="nil"/>
            </w:tcBorders>
            <w:shd w:val="clear" w:color="auto" w:fill="auto"/>
            <w:vAlign w:val="center"/>
          </w:tcPr>
          <w:p w14:paraId="7A8DF051">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304" w:type="dxa"/>
            <w:tcBorders>
              <w:tl2br w:val="nil"/>
              <w:tr2bl w:val="nil"/>
            </w:tcBorders>
            <w:shd w:val="clear" w:color="auto" w:fill="auto"/>
            <w:vAlign w:val="center"/>
          </w:tcPr>
          <w:p w14:paraId="0AE48C73">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611" w:type="dxa"/>
            <w:tcBorders>
              <w:tl2br w:val="nil"/>
              <w:tr2bl w:val="nil"/>
            </w:tcBorders>
            <w:shd w:val="clear" w:color="auto" w:fill="auto"/>
            <w:vAlign w:val="center"/>
          </w:tcPr>
          <w:p w14:paraId="4CC79143">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611" w:type="dxa"/>
            <w:tcBorders>
              <w:tl2br w:val="nil"/>
              <w:tr2bl w:val="nil"/>
            </w:tcBorders>
            <w:shd w:val="clear" w:color="auto" w:fill="auto"/>
            <w:vAlign w:val="center"/>
          </w:tcPr>
          <w:p w14:paraId="4E575943">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304" w:type="dxa"/>
            <w:tcBorders>
              <w:tl2br w:val="nil"/>
              <w:tr2bl w:val="nil"/>
            </w:tcBorders>
            <w:shd w:val="clear" w:color="auto" w:fill="auto"/>
            <w:vAlign w:val="center"/>
          </w:tcPr>
          <w:p w14:paraId="7684A403">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0%</w:t>
            </w:r>
          </w:p>
        </w:tc>
        <w:tc>
          <w:tcPr>
            <w:tcW w:w="1304" w:type="dxa"/>
            <w:tcBorders>
              <w:tl2br w:val="nil"/>
              <w:tr2bl w:val="nil"/>
            </w:tcBorders>
            <w:shd w:val="clear" w:color="auto" w:fill="auto"/>
            <w:vAlign w:val="center"/>
          </w:tcPr>
          <w:p w14:paraId="6E35B7C4">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0</w:t>
            </w:r>
          </w:p>
        </w:tc>
        <w:tc>
          <w:tcPr>
            <w:tcW w:w="1304" w:type="dxa"/>
            <w:tcBorders>
              <w:tl2br w:val="nil"/>
              <w:tr2bl w:val="nil"/>
            </w:tcBorders>
            <w:shd w:val="clear" w:color="auto" w:fill="auto"/>
            <w:vAlign w:val="center"/>
          </w:tcPr>
          <w:p w14:paraId="13EB067D">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r>
      <w:tr w14:paraId="2BCDE795">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1740" w:type="dxa"/>
            <w:tcBorders>
              <w:tl2br w:val="nil"/>
              <w:tr2bl w:val="nil"/>
            </w:tcBorders>
            <w:shd w:val="clear" w:color="auto" w:fill="auto"/>
            <w:vAlign w:val="center"/>
          </w:tcPr>
          <w:p w14:paraId="19BC22A4">
            <w:pPr>
              <w:ind w:left="-105" w:right="-105"/>
              <w:jc w:val="center"/>
              <w:textAlignment w:val="center"/>
              <w:rPr>
                <w:color w:val="auto"/>
                <w:sz w:val="21"/>
                <w:szCs w:val="21"/>
                <w:highlight w:val="none"/>
              </w:rPr>
            </w:pPr>
            <w:r>
              <w:rPr>
                <w:rFonts w:hint="eastAsia"/>
                <w:color w:val="auto"/>
                <w:sz w:val="21"/>
                <w:szCs w:val="21"/>
                <w:highlight w:val="none"/>
                <w:lang w:bidi="ar"/>
              </w:rPr>
              <w:t>四氯化碳</w:t>
            </w:r>
          </w:p>
        </w:tc>
        <w:tc>
          <w:tcPr>
            <w:tcW w:w="1155" w:type="dxa"/>
            <w:tcBorders>
              <w:tl2br w:val="nil"/>
              <w:tr2bl w:val="nil"/>
            </w:tcBorders>
            <w:shd w:val="clear" w:color="auto" w:fill="auto"/>
            <w:vAlign w:val="center"/>
          </w:tcPr>
          <w:p w14:paraId="30DAD8E0">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15</w:t>
            </w:r>
          </w:p>
        </w:tc>
        <w:tc>
          <w:tcPr>
            <w:tcW w:w="1015" w:type="dxa"/>
            <w:tcBorders>
              <w:tl2br w:val="nil"/>
              <w:tr2bl w:val="nil"/>
            </w:tcBorders>
            <w:shd w:val="clear" w:color="auto" w:fill="auto"/>
            <w:vAlign w:val="center"/>
          </w:tcPr>
          <w:p w14:paraId="6CBA1834">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mg/kg</w:t>
            </w:r>
          </w:p>
        </w:tc>
        <w:tc>
          <w:tcPr>
            <w:tcW w:w="1304" w:type="dxa"/>
            <w:tcBorders>
              <w:tl2br w:val="nil"/>
              <w:tr2bl w:val="nil"/>
            </w:tcBorders>
            <w:shd w:val="clear" w:color="auto" w:fill="auto"/>
            <w:vAlign w:val="center"/>
          </w:tcPr>
          <w:p w14:paraId="1CC6FC74">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304" w:type="dxa"/>
            <w:tcBorders>
              <w:tl2br w:val="nil"/>
              <w:tr2bl w:val="nil"/>
            </w:tcBorders>
            <w:shd w:val="clear" w:color="auto" w:fill="auto"/>
            <w:vAlign w:val="center"/>
          </w:tcPr>
          <w:p w14:paraId="3420B7B5">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611" w:type="dxa"/>
            <w:tcBorders>
              <w:tl2br w:val="nil"/>
              <w:tr2bl w:val="nil"/>
            </w:tcBorders>
            <w:shd w:val="clear" w:color="auto" w:fill="auto"/>
            <w:vAlign w:val="center"/>
          </w:tcPr>
          <w:p w14:paraId="3BD376B2">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611" w:type="dxa"/>
            <w:tcBorders>
              <w:tl2br w:val="nil"/>
              <w:tr2bl w:val="nil"/>
            </w:tcBorders>
            <w:shd w:val="clear" w:color="auto" w:fill="auto"/>
            <w:vAlign w:val="center"/>
          </w:tcPr>
          <w:p w14:paraId="68D4DB06">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304" w:type="dxa"/>
            <w:tcBorders>
              <w:tl2br w:val="nil"/>
              <w:tr2bl w:val="nil"/>
            </w:tcBorders>
            <w:shd w:val="clear" w:color="auto" w:fill="auto"/>
            <w:vAlign w:val="center"/>
          </w:tcPr>
          <w:p w14:paraId="1E8DEE66">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0%</w:t>
            </w:r>
          </w:p>
        </w:tc>
        <w:tc>
          <w:tcPr>
            <w:tcW w:w="1304" w:type="dxa"/>
            <w:tcBorders>
              <w:tl2br w:val="nil"/>
              <w:tr2bl w:val="nil"/>
            </w:tcBorders>
            <w:shd w:val="clear" w:color="auto" w:fill="auto"/>
            <w:vAlign w:val="center"/>
          </w:tcPr>
          <w:p w14:paraId="08AE8E07">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0</w:t>
            </w:r>
          </w:p>
        </w:tc>
        <w:tc>
          <w:tcPr>
            <w:tcW w:w="1304" w:type="dxa"/>
            <w:tcBorders>
              <w:tl2br w:val="nil"/>
              <w:tr2bl w:val="nil"/>
            </w:tcBorders>
            <w:shd w:val="clear" w:color="auto" w:fill="auto"/>
            <w:vAlign w:val="center"/>
          </w:tcPr>
          <w:p w14:paraId="7E3F8960">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r>
      <w:tr w14:paraId="5A58825B">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1740" w:type="dxa"/>
            <w:tcBorders>
              <w:tl2br w:val="nil"/>
              <w:tr2bl w:val="nil"/>
            </w:tcBorders>
            <w:shd w:val="clear" w:color="auto" w:fill="auto"/>
            <w:vAlign w:val="center"/>
          </w:tcPr>
          <w:p w14:paraId="22F8F26E">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1,2-</w:t>
            </w:r>
            <w:r>
              <w:rPr>
                <w:rFonts w:hint="eastAsia"/>
                <w:color w:val="auto"/>
                <w:sz w:val="21"/>
                <w:szCs w:val="21"/>
                <w:highlight w:val="none"/>
                <w:lang w:bidi="ar"/>
              </w:rPr>
              <w:t>二氯乙烷</w:t>
            </w:r>
          </w:p>
        </w:tc>
        <w:tc>
          <w:tcPr>
            <w:tcW w:w="1155" w:type="dxa"/>
            <w:tcBorders>
              <w:tl2br w:val="nil"/>
              <w:tr2bl w:val="nil"/>
            </w:tcBorders>
            <w:shd w:val="clear" w:color="auto" w:fill="auto"/>
            <w:vAlign w:val="center"/>
          </w:tcPr>
          <w:p w14:paraId="29DA22BD">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15</w:t>
            </w:r>
          </w:p>
        </w:tc>
        <w:tc>
          <w:tcPr>
            <w:tcW w:w="1015" w:type="dxa"/>
            <w:tcBorders>
              <w:tl2br w:val="nil"/>
              <w:tr2bl w:val="nil"/>
            </w:tcBorders>
            <w:shd w:val="clear" w:color="auto" w:fill="auto"/>
            <w:vAlign w:val="center"/>
          </w:tcPr>
          <w:p w14:paraId="0F5E9981">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mg/kg</w:t>
            </w:r>
          </w:p>
        </w:tc>
        <w:tc>
          <w:tcPr>
            <w:tcW w:w="1304" w:type="dxa"/>
            <w:tcBorders>
              <w:tl2br w:val="nil"/>
              <w:tr2bl w:val="nil"/>
            </w:tcBorders>
            <w:shd w:val="clear" w:color="auto" w:fill="auto"/>
            <w:vAlign w:val="center"/>
          </w:tcPr>
          <w:p w14:paraId="0112D6F2">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304" w:type="dxa"/>
            <w:tcBorders>
              <w:tl2br w:val="nil"/>
              <w:tr2bl w:val="nil"/>
            </w:tcBorders>
            <w:shd w:val="clear" w:color="auto" w:fill="auto"/>
            <w:vAlign w:val="center"/>
          </w:tcPr>
          <w:p w14:paraId="274EFD95">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611" w:type="dxa"/>
            <w:tcBorders>
              <w:tl2br w:val="nil"/>
              <w:tr2bl w:val="nil"/>
            </w:tcBorders>
            <w:shd w:val="clear" w:color="auto" w:fill="auto"/>
            <w:vAlign w:val="center"/>
          </w:tcPr>
          <w:p w14:paraId="5B1C0064">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611" w:type="dxa"/>
            <w:tcBorders>
              <w:tl2br w:val="nil"/>
              <w:tr2bl w:val="nil"/>
            </w:tcBorders>
            <w:shd w:val="clear" w:color="auto" w:fill="auto"/>
            <w:vAlign w:val="center"/>
          </w:tcPr>
          <w:p w14:paraId="7982B67D">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304" w:type="dxa"/>
            <w:tcBorders>
              <w:tl2br w:val="nil"/>
              <w:tr2bl w:val="nil"/>
            </w:tcBorders>
            <w:shd w:val="clear" w:color="auto" w:fill="auto"/>
            <w:vAlign w:val="center"/>
          </w:tcPr>
          <w:p w14:paraId="2F86EEEF">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0%</w:t>
            </w:r>
          </w:p>
        </w:tc>
        <w:tc>
          <w:tcPr>
            <w:tcW w:w="1304" w:type="dxa"/>
            <w:tcBorders>
              <w:tl2br w:val="nil"/>
              <w:tr2bl w:val="nil"/>
            </w:tcBorders>
            <w:shd w:val="clear" w:color="auto" w:fill="auto"/>
            <w:vAlign w:val="center"/>
          </w:tcPr>
          <w:p w14:paraId="02E0BB5F">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0</w:t>
            </w:r>
          </w:p>
        </w:tc>
        <w:tc>
          <w:tcPr>
            <w:tcW w:w="1304" w:type="dxa"/>
            <w:tcBorders>
              <w:tl2br w:val="nil"/>
              <w:tr2bl w:val="nil"/>
            </w:tcBorders>
            <w:shd w:val="clear" w:color="auto" w:fill="auto"/>
            <w:vAlign w:val="center"/>
          </w:tcPr>
          <w:p w14:paraId="2ED88C25">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r>
      <w:tr w14:paraId="64934FEA">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1740" w:type="dxa"/>
            <w:tcBorders>
              <w:tl2br w:val="nil"/>
              <w:tr2bl w:val="nil"/>
            </w:tcBorders>
            <w:shd w:val="clear" w:color="auto" w:fill="auto"/>
            <w:vAlign w:val="center"/>
          </w:tcPr>
          <w:p w14:paraId="6F26D8FB">
            <w:pPr>
              <w:ind w:left="-105" w:right="-105"/>
              <w:jc w:val="center"/>
              <w:textAlignment w:val="center"/>
              <w:rPr>
                <w:color w:val="auto"/>
                <w:sz w:val="21"/>
                <w:szCs w:val="21"/>
                <w:highlight w:val="none"/>
              </w:rPr>
            </w:pPr>
            <w:r>
              <w:rPr>
                <w:rFonts w:hint="eastAsia"/>
                <w:color w:val="auto"/>
                <w:sz w:val="21"/>
                <w:szCs w:val="21"/>
                <w:highlight w:val="none"/>
                <w:lang w:bidi="ar"/>
              </w:rPr>
              <w:t>苯</w:t>
            </w:r>
          </w:p>
        </w:tc>
        <w:tc>
          <w:tcPr>
            <w:tcW w:w="1155" w:type="dxa"/>
            <w:tcBorders>
              <w:tl2br w:val="nil"/>
              <w:tr2bl w:val="nil"/>
            </w:tcBorders>
            <w:shd w:val="clear" w:color="auto" w:fill="auto"/>
            <w:vAlign w:val="center"/>
          </w:tcPr>
          <w:p w14:paraId="788290CF">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15</w:t>
            </w:r>
          </w:p>
        </w:tc>
        <w:tc>
          <w:tcPr>
            <w:tcW w:w="1015" w:type="dxa"/>
            <w:tcBorders>
              <w:tl2br w:val="nil"/>
              <w:tr2bl w:val="nil"/>
            </w:tcBorders>
            <w:shd w:val="clear" w:color="auto" w:fill="auto"/>
            <w:vAlign w:val="center"/>
          </w:tcPr>
          <w:p w14:paraId="28E1822A">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mg/kg</w:t>
            </w:r>
          </w:p>
        </w:tc>
        <w:tc>
          <w:tcPr>
            <w:tcW w:w="1304" w:type="dxa"/>
            <w:tcBorders>
              <w:tl2br w:val="nil"/>
              <w:tr2bl w:val="nil"/>
            </w:tcBorders>
            <w:shd w:val="clear" w:color="auto" w:fill="auto"/>
            <w:vAlign w:val="center"/>
          </w:tcPr>
          <w:p w14:paraId="015E2F28">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304" w:type="dxa"/>
            <w:tcBorders>
              <w:tl2br w:val="nil"/>
              <w:tr2bl w:val="nil"/>
            </w:tcBorders>
            <w:shd w:val="clear" w:color="auto" w:fill="auto"/>
            <w:vAlign w:val="center"/>
          </w:tcPr>
          <w:p w14:paraId="12D0E820">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611" w:type="dxa"/>
            <w:tcBorders>
              <w:tl2br w:val="nil"/>
              <w:tr2bl w:val="nil"/>
            </w:tcBorders>
            <w:shd w:val="clear" w:color="auto" w:fill="auto"/>
            <w:vAlign w:val="center"/>
          </w:tcPr>
          <w:p w14:paraId="6F894C9A">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611" w:type="dxa"/>
            <w:tcBorders>
              <w:tl2br w:val="nil"/>
              <w:tr2bl w:val="nil"/>
            </w:tcBorders>
            <w:shd w:val="clear" w:color="auto" w:fill="auto"/>
            <w:vAlign w:val="center"/>
          </w:tcPr>
          <w:p w14:paraId="61F8362B">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304" w:type="dxa"/>
            <w:tcBorders>
              <w:tl2br w:val="nil"/>
              <w:tr2bl w:val="nil"/>
            </w:tcBorders>
            <w:shd w:val="clear" w:color="auto" w:fill="auto"/>
            <w:vAlign w:val="center"/>
          </w:tcPr>
          <w:p w14:paraId="55A0C3B1">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0%</w:t>
            </w:r>
          </w:p>
        </w:tc>
        <w:tc>
          <w:tcPr>
            <w:tcW w:w="1304" w:type="dxa"/>
            <w:tcBorders>
              <w:tl2br w:val="nil"/>
              <w:tr2bl w:val="nil"/>
            </w:tcBorders>
            <w:shd w:val="clear" w:color="auto" w:fill="auto"/>
            <w:vAlign w:val="center"/>
          </w:tcPr>
          <w:p w14:paraId="14E67F1E">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0</w:t>
            </w:r>
          </w:p>
        </w:tc>
        <w:tc>
          <w:tcPr>
            <w:tcW w:w="1304" w:type="dxa"/>
            <w:tcBorders>
              <w:tl2br w:val="nil"/>
              <w:tr2bl w:val="nil"/>
            </w:tcBorders>
            <w:shd w:val="clear" w:color="auto" w:fill="auto"/>
            <w:vAlign w:val="center"/>
          </w:tcPr>
          <w:p w14:paraId="76A1EE53">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r>
      <w:tr w14:paraId="353E70D1">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1740" w:type="dxa"/>
            <w:tcBorders>
              <w:tl2br w:val="nil"/>
              <w:tr2bl w:val="nil"/>
            </w:tcBorders>
            <w:shd w:val="clear" w:color="auto" w:fill="auto"/>
            <w:vAlign w:val="center"/>
          </w:tcPr>
          <w:p w14:paraId="57F1B5BD">
            <w:pPr>
              <w:ind w:left="-105" w:right="-105"/>
              <w:jc w:val="center"/>
              <w:textAlignment w:val="center"/>
              <w:rPr>
                <w:color w:val="auto"/>
                <w:sz w:val="21"/>
                <w:szCs w:val="21"/>
                <w:highlight w:val="none"/>
              </w:rPr>
            </w:pPr>
            <w:r>
              <w:rPr>
                <w:rFonts w:hint="eastAsia"/>
                <w:color w:val="auto"/>
                <w:sz w:val="21"/>
                <w:szCs w:val="21"/>
                <w:highlight w:val="none"/>
                <w:lang w:bidi="ar"/>
              </w:rPr>
              <w:t>三氯乙烯</w:t>
            </w:r>
          </w:p>
        </w:tc>
        <w:tc>
          <w:tcPr>
            <w:tcW w:w="1155" w:type="dxa"/>
            <w:tcBorders>
              <w:tl2br w:val="nil"/>
              <w:tr2bl w:val="nil"/>
            </w:tcBorders>
            <w:shd w:val="clear" w:color="auto" w:fill="auto"/>
            <w:vAlign w:val="center"/>
          </w:tcPr>
          <w:p w14:paraId="2405141E">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15</w:t>
            </w:r>
          </w:p>
        </w:tc>
        <w:tc>
          <w:tcPr>
            <w:tcW w:w="1015" w:type="dxa"/>
            <w:tcBorders>
              <w:tl2br w:val="nil"/>
              <w:tr2bl w:val="nil"/>
            </w:tcBorders>
            <w:shd w:val="clear" w:color="auto" w:fill="auto"/>
            <w:vAlign w:val="center"/>
          </w:tcPr>
          <w:p w14:paraId="6A31CB6C">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mg/kg</w:t>
            </w:r>
          </w:p>
        </w:tc>
        <w:tc>
          <w:tcPr>
            <w:tcW w:w="1304" w:type="dxa"/>
            <w:tcBorders>
              <w:tl2br w:val="nil"/>
              <w:tr2bl w:val="nil"/>
            </w:tcBorders>
            <w:shd w:val="clear" w:color="auto" w:fill="auto"/>
            <w:vAlign w:val="center"/>
          </w:tcPr>
          <w:p w14:paraId="437C2CFF">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304" w:type="dxa"/>
            <w:tcBorders>
              <w:tl2br w:val="nil"/>
              <w:tr2bl w:val="nil"/>
            </w:tcBorders>
            <w:shd w:val="clear" w:color="auto" w:fill="auto"/>
            <w:vAlign w:val="center"/>
          </w:tcPr>
          <w:p w14:paraId="18DADC3A">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611" w:type="dxa"/>
            <w:tcBorders>
              <w:tl2br w:val="nil"/>
              <w:tr2bl w:val="nil"/>
            </w:tcBorders>
            <w:shd w:val="clear" w:color="auto" w:fill="auto"/>
            <w:vAlign w:val="center"/>
          </w:tcPr>
          <w:p w14:paraId="31A90875">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611" w:type="dxa"/>
            <w:tcBorders>
              <w:tl2br w:val="nil"/>
              <w:tr2bl w:val="nil"/>
            </w:tcBorders>
            <w:shd w:val="clear" w:color="auto" w:fill="auto"/>
            <w:vAlign w:val="center"/>
          </w:tcPr>
          <w:p w14:paraId="5025969D">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304" w:type="dxa"/>
            <w:tcBorders>
              <w:tl2br w:val="nil"/>
              <w:tr2bl w:val="nil"/>
            </w:tcBorders>
            <w:shd w:val="clear" w:color="auto" w:fill="auto"/>
            <w:vAlign w:val="center"/>
          </w:tcPr>
          <w:p w14:paraId="5307C57B">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0%</w:t>
            </w:r>
          </w:p>
        </w:tc>
        <w:tc>
          <w:tcPr>
            <w:tcW w:w="1304" w:type="dxa"/>
            <w:tcBorders>
              <w:tl2br w:val="nil"/>
              <w:tr2bl w:val="nil"/>
            </w:tcBorders>
            <w:shd w:val="clear" w:color="auto" w:fill="auto"/>
            <w:vAlign w:val="center"/>
          </w:tcPr>
          <w:p w14:paraId="6A4308EB">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0</w:t>
            </w:r>
          </w:p>
        </w:tc>
        <w:tc>
          <w:tcPr>
            <w:tcW w:w="1304" w:type="dxa"/>
            <w:tcBorders>
              <w:tl2br w:val="nil"/>
              <w:tr2bl w:val="nil"/>
            </w:tcBorders>
            <w:shd w:val="clear" w:color="auto" w:fill="auto"/>
            <w:vAlign w:val="center"/>
          </w:tcPr>
          <w:p w14:paraId="0CD7D0E3">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r>
      <w:tr w14:paraId="0C708026">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1740" w:type="dxa"/>
            <w:tcBorders>
              <w:tl2br w:val="nil"/>
              <w:tr2bl w:val="nil"/>
            </w:tcBorders>
            <w:shd w:val="clear" w:color="auto" w:fill="auto"/>
            <w:vAlign w:val="center"/>
          </w:tcPr>
          <w:p w14:paraId="2AAB5D7C">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1,2-</w:t>
            </w:r>
            <w:r>
              <w:rPr>
                <w:rFonts w:hint="eastAsia"/>
                <w:color w:val="auto"/>
                <w:sz w:val="21"/>
                <w:szCs w:val="21"/>
                <w:highlight w:val="none"/>
                <w:lang w:bidi="ar"/>
              </w:rPr>
              <w:t>二氯丙烷</w:t>
            </w:r>
          </w:p>
        </w:tc>
        <w:tc>
          <w:tcPr>
            <w:tcW w:w="1155" w:type="dxa"/>
            <w:tcBorders>
              <w:tl2br w:val="nil"/>
              <w:tr2bl w:val="nil"/>
            </w:tcBorders>
            <w:shd w:val="clear" w:color="auto" w:fill="auto"/>
            <w:vAlign w:val="center"/>
          </w:tcPr>
          <w:p w14:paraId="041C8FC8">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15</w:t>
            </w:r>
          </w:p>
        </w:tc>
        <w:tc>
          <w:tcPr>
            <w:tcW w:w="1015" w:type="dxa"/>
            <w:tcBorders>
              <w:tl2br w:val="nil"/>
              <w:tr2bl w:val="nil"/>
            </w:tcBorders>
            <w:shd w:val="clear" w:color="auto" w:fill="auto"/>
            <w:vAlign w:val="center"/>
          </w:tcPr>
          <w:p w14:paraId="21A46A31">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mg/kg</w:t>
            </w:r>
          </w:p>
        </w:tc>
        <w:tc>
          <w:tcPr>
            <w:tcW w:w="1304" w:type="dxa"/>
            <w:tcBorders>
              <w:tl2br w:val="nil"/>
              <w:tr2bl w:val="nil"/>
            </w:tcBorders>
            <w:shd w:val="clear" w:color="auto" w:fill="auto"/>
            <w:vAlign w:val="center"/>
          </w:tcPr>
          <w:p w14:paraId="69004806">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304" w:type="dxa"/>
            <w:tcBorders>
              <w:tl2br w:val="nil"/>
              <w:tr2bl w:val="nil"/>
            </w:tcBorders>
            <w:shd w:val="clear" w:color="auto" w:fill="auto"/>
            <w:vAlign w:val="center"/>
          </w:tcPr>
          <w:p w14:paraId="5E047AAC">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611" w:type="dxa"/>
            <w:tcBorders>
              <w:tl2br w:val="nil"/>
              <w:tr2bl w:val="nil"/>
            </w:tcBorders>
            <w:shd w:val="clear" w:color="auto" w:fill="auto"/>
            <w:vAlign w:val="center"/>
          </w:tcPr>
          <w:p w14:paraId="5A125F40">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611" w:type="dxa"/>
            <w:tcBorders>
              <w:tl2br w:val="nil"/>
              <w:tr2bl w:val="nil"/>
            </w:tcBorders>
            <w:shd w:val="clear" w:color="auto" w:fill="auto"/>
            <w:vAlign w:val="center"/>
          </w:tcPr>
          <w:p w14:paraId="4CAB498B">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304" w:type="dxa"/>
            <w:tcBorders>
              <w:tl2br w:val="nil"/>
              <w:tr2bl w:val="nil"/>
            </w:tcBorders>
            <w:shd w:val="clear" w:color="auto" w:fill="auto"/>
            <w:vAlign w:val="center"/>
          </w:tcPr>
          <w:p w14:paraId="2E3176A0">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0%</w:t>
            </w:r>
          </w:p>
        </w:tc>
        <w:tc>
          <w:tcPr>
            <w:tcW w:w="1304" w:type="dxa"/>
            <w:tcBorders>
              <w:tl2br w:val="nil"/>
              <w:tr2bl w:val="nil"/>
            </w:tcBorders>
            <w:shd w:val="clear" w:color="auto" w:fill="auto"/>
            <w:vAlign w:val="center"/>
          </w:tcPr>
          <w:p w14:paraId="3A78EF7B">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0</w:t>
            </w:r>
          </w:p>
        </w:tc>
        <w:tc>
          <w:tcPr>
            <w:tcW w:w="1304" w:type="dxa"/>
            <w:tcBorders>
              <w:tl2br w:val="nil"/>
              <w:tr2bl w:val="nil"/>
            </w:tcBorders>
            <w:shd w:val="clear" w:color="auto" w:fill="auto"/>
            <w:vAlign w:val="center"/>
          </w:tcPr>
          <w:p w14:paraId="6948ED08">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r>
      <w:tr w14:paraId="1CD2D8C3">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1740" w:type="dxa"/>
            <w:tcBorders>
              <w:tl2br w:val="nil"/>
              <w:tr2bl w:val="nil"/>
            </w:tcBorders>
            <w:shd w:val="clear" w:color="auto" w:fill="auto"/>
            <w:vAlign w:val="center"/>
          </w:tcPr>
          <w:p w14:paraId="262FEF6F">
            <w:pPr>
              <w:ind w:left="-105" w:right="-105"/>
              <w:jc w:val="center"/>
              <w:textAlignment w:val="center"/>
              <w:rPr>
                <w:color w:val="auto"/>
                <w:sz w:val="21"/>
                <w:szCs w:val="21"/>
                <w:highlight w:val="none"/>
              </w:rPr>
            </w:pPr>
            <w:r>
              <w:rPr>
                <w:rFonts w:hint="eastAsia"/>
                <w:color w:val="auto"/>
                <w:sz w:val="21"/>
                <w:szCs w:val="21"/>
                <w:highlight w:val="none"/>
                <w:lang w:bidi="ar"/>
              </w:rPr>
              <w:t>甲苯</w:t>
            </w:r>
          </w:p>
        </w:tc>
        <w:tc>
          <w:tcPr>
            <w:tcW w:w="1155" w:type="dxa"/>
            <w:tcBorders>
              <w:tl2br w:val="nil"/>
              <w:tr2bl w:val="nil"/>
            </w:tcBorders>
            <w:shd w:val="clear" w:color="auto" w:fill="auto"/>
            <w:vAlign w:val="center"/>
          </w:tcPr>
          <w:p w14:paraId="4B559B9C">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15</w:t>
            </w:r>
          </w:p>
        </w:tc>
        <w:tc>
          <w:tcPr>
            <w:tcW w:w="1015" w:type="dxa"/>
            <w:tcBorders>
              <w:tl2br w:val="nil"/>
              <w:tr2bl w:val="nil"/>
            </w:tcBorders>
            <w:shd w:val="clear" w:color="auto" w:fill="auto"/>
            <w:vAlign w:val="center"/>
          </w:tcPr>
          <w:p w14:paraId="1BB6D8D2">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mg/kg</w:t>
            </w:r>
          </w:p>
        </w:tc>
        <w:tc>
          <w:tcPr>
            <w:tcW w:w="1304" w:type="dxa"/>
            <w:tcBorders>
              <w:tl2br w:val="nil"/>
              <w:tr2bl w:val="nil"/>
            </w:tcBorders>
            <w:shd w:val="clear" w:color="auto" w:fill="auto"/>
            <w:vAlign w:val="center"/>
          </w:tcPr>
          <w:p w14:paraId="71F51420">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304" w:type="dxa"/>
            <w:tcBorders>
              <w:tl2br w:val="nil"/>
              <w:tr2bl w:val="nil"/>
            </w:tcBorders>
            <w:shd w:val="clear" w:color="auto" w:fill="auto"/>
            <w:vAlign w:val="center"/>
          </w:tcPr>
          <w:p w14:paraId="696F12B6">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611" w:type="dxa"/>
            <w:tcBorders>
              <w:tl2br w:val="nil"/>
              <w:tr2bl w:val="nil"/>
            </w:tcBorders>
            <w:shd w:val="clear" w:color="auto" w:fill="auto"/>
            <w:vAlign w:val="center"/>
          </w:tcPr>
          <w:p w14:paraId="79D1F216">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611" w:type="dxa"/>
            <w:tcBorders>
              <w:tl2br w:val="nil"/>
              <w:tr2bl w:val="nil"/>
            </w:tcBorders>
            <w:shd w:val="clear" w:color="auto" w:fill="auto"/>
            <w:vAlign w:val="center"/>
          </w:tcPr>
          <w:p w14:paraId="5C13A339">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304" w:type="dxa"/>
            <w:tcBorders>
              <w:tl2br w:val="nil"/>
              <w:tr2bl w:val="nil"/>
            </w:tcBorders>
            <w:shd w:val="clear" w:color="auto" w:fill="auto"/>
            <w:vAlign w:val="center"/>
          </w:tcPr>
          <w:p w14:paraId="4CE96239">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0%</w:t>
            </w:r>
          </w:p>
        </w:tc>
        <w:tc>
          <w:tcPr>
            <w:tcW w:w="1304" w:type="dxa"/>
            <w:tcBorders>
              <w:tl2br w:val="nil"/>
              <w:tr2bl w:val="nil"/>
            </w:tcBorders>
            <w:shd w:val="clear" w:color="auto" w:fill="auto"/>
            <w:vAlign w:val="center"/>
          </w:tcPr>
          <w:p w14:paraId="76EFA503">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0</w:t>
            </w:r>
          </w:p>
        </w:tc>
        <w:tc>
          <w:tcPr>
            <w:tcW w:w="1304" w:type="dxa"/>
            <w:tcBorders>
              <w:tl2br w:val="nil"/>
              <w:tr2bl w:val="nil"/>
            </w:tcBorders>
            <w:shd w:val="clear" w:color="auto" w:fill="auto"/>
            <w:vAlign w:val="center"/>
          </w:tcPr>
          <w:p w14:paraId="2C23CC09">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r>
      <w:tr w14:paraId="3ADC77BE">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1740" w:type="dxa"/>
            <w:tcBorders>
              <w:tl2br w:val="nil"/>
              <w:tr2bl w:val="nil"/>
            </w:tcBorders>
            <w:shd w:val="clear" w:color="auto" w:fill="auto"/>
            <w:vAlign w:val="center"/>
          </w:tcPr>
          <w:p w14:paraId="044A312F">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1,1,2-</w:t>
            </w:r>
            <w:r>
              <w:rPr>
                <w:rFonts w:hint="eastAsia"/>
                <w:color w:val="auto"/>
                <w:sz w:val="21"/>
                <w:szCs w:val="21"/>
                <w:highlight w:val="none"/>
                <w:lang w:bidi="ar"/>
              </w:rPr>
              <w:t>三氯乙烷</w:t>
            </w:r>
          </w:p>
        </w:tc>
        <w:tc>
          <w:tcPr>
            <w:tcW w:w="1155" w:type="dxa"/>
            <w:tcBorders>
              <w:tl2br w:val="nil"/>
              <w:tr2bl w:val="nil"/>
            </w:tcBorders>
            <w:shd w:val="clear" w:color="auto" w:fill="auto"/>
            <w:vAlign w:val="center"/>
          </w:tcPr>
          <w:p w14:paraId="696140B9">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15</w:t>
            </w:r>
          </w:p>
        </w:tc>
        <w:tc>
          <w:tcPr>
            <w:tcW w:w="1015" w:type="dxa"/>
            <w:tcBorders>
              <w:tl2br w:val="nil"/>
              <w:tr2bl w:val="nil"/>
            </w:tcBorders>
            <w:shd w:val="clear" w:color="auto" w:fill="auto"/>
            <w:vAlign w:val="center"/>
          </w:tcPr>
          <w:p w14:paraId="5BCBF2D3">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mg/kg</w:t>
            </w:r>
          </w:p>
        </w:tc>
        <w:tc>
          <w:tcPr>
            <w:tcW w:w="1304" w:type="dxa"/>
            <w:tcBorders>
              <w:tl2br w:val="nil"/>
              <w:tr2bl w:val="nil"/>
            </w:tcBorders>
            <w:shd w:val="clear" w:color="auto" w:fill="auto"/>
            <w:vAlign w:val="center"/>
          </w:tcPr>
          <w:p w14:paraId="5023AD60">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304" w:type="dxa"/>
            <w:tcBorders>
              <w:tl2br w:val="nil"/>
              <w:tr2bl w:val="nil"/>
            </w:tcBorders>
            <w:shd w:val="clear" w:color="auto" w:fill="auto"/>
            <w:vAlign w:val="center"/>
          </w:tcPr>
          <w:p w14:paraId="080A7F33">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611" w:type="dxa"/>
            <w:tcBorders>
              <w:tl2br w:val="nil"/>
              <w:tr2bl w:val="nil"/>
            </w:tcBorders>
            <w:shd w:val="clear" w:color="auto" w:fill="auto"/>
            <w:vAlign w:val="center"/>
          </w:tcPr>
          <w:p w14:paraId="2594A64F">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611" w:type="dxa"/>
            <w:tcBorders>
              <w:tl2br w:val="nil"/>
              <w:tr2bl w:val="nil"/>
            </w:tcBorders>
            <w:shd w:val="clear" w:color="auto" w:fill="auto"/>
            <w:vAlign w:val="center"/>
          </w:tcPr>
          <w:p w14:paraId="6B767B01">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304" w:type="dxa"/>
            <w:tcBorders>
              <w:tl2br w:val="nil"/>
              <w:tr2bl w:val="nil"/>
            </w:tcBorders>
            <w:shd w:val="clear" w:color="auto" w:fill="auto"/>
            <w:vAlign w:val="center"/>
          </w:tcPr>
          <w:p w14:paraId="7EBF2216">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0%</w:t>
            </w:r>
          </w:p>
        </w:tc>
        <w:tc>
          <w:tcPr>
            <w:tcW w:w="1304" w:type="dxa"/>
            <w:tcBorders>
              <w:tl2br w:val="nil"/>
              <w:tr2bl w:val="nil"/>
            </w:tcBorders>
            <w:shd w:val="clear" w:color="auto" w:fill="auto"/>
            <w:vAlign w:val="center"/>
          </w:tcPr>
          <w:p w14:paraId="483CB2E7">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0</w:t>
            </w:r>
          </w:p>
        </w:tc>
        <w:tc>
          <w:tcPr>
            <w:tcW w:w="1304" w:type="dxa"/>
            <w:tcBorders>
              <w:tl2br w:val="nil"/>
              <w:tr2bl w:val="nil"/>
            </w:tcBorders>
            <w:shd w:val="clear" w:color="auto" w:fill="auto"/>
            <w:vAlign w:val="center"/>
          </w:tcPr>
          <w:p w14:paraId="5285DB17">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r>
      <w:tr w14:paraId="6C8DC5A1">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1740" w:type="dxa"/>
            <w:tcBorders>
              <w:tl2br w:val="nil"/>
              <w:tr2bl w:val="nil"/>
            </w:tcBorders>
            <w:shd w:val="clear" w:color="auto" w:fill="auto"/>
            <w:vAlign w:val="center"/>
          </w:tcPr>
          <w:p w14:paraId="337A14CA">
            <w:pPr>
              <w:ind w:left="-105" w:right="-105"/>
              <w:jc w:val="center"/>
              <w:textAlignment w:val="center"/>
              <w:rPr>
                <w:color w:val="auto"/>
                <w:sz w:val="21"/>
                <w:szCs w:val="21"/>
                <w:highlight w:val="none"/>
              </w:rPr>
            </w:pPr>
            <w:r>
              <w:rPr>
                <w:rFonts w:hint="eastAsia"/>
                <w:color w:val="auto"/>
                <w:sz w:val="21"/>
                <w:szCs w:val="21"/>
                <w:highlight w:val="none"/>
                <w:lang w:bidi="ar"/>
              </w:rPr>
              <w:t>四氯乙烯</w:t>
            </w:r>
          </w:p>
        </w:tc>
        <w:tc>
          <w:tcPr>
            <w:tcW w:w="1155" w:type="dxa"/>
            <w:tcBorders>
              <w:tl2br w:val="nil"/>
              <w:tr2bl w:val="nil"/>
            </w:tcBorders>
            <w:shd w:val="clear" w:color="auto" w:fill="auto"/>
            <w:vAlign w:val="center"/>
          </w:tcPr>
          <w:p w14:paraId="3060057C">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15</w:t>
            </w:r>
          </w:p>
        </w:tc>
        <w:tc>
          <w:tcPr>
            <w:tcW w:w="1015" w:type="dxa"/>
            <w:tcBorders>
              <w:tl2br w:val="nil"/>
              <w:tr2bl w:val="nil"/>
            </w:tcBorders>
            <w:shd w:val="clear" w:color="auto" w:fill="auto"/>
            <w:vAlign w:val="center"/>
          </w:tcPr>
          <w:p w14:paraId="578C9A19">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mg/kg</w:t>
            </w:r>
          </w:p>
        </w:tc>
        <w:tc>
          <w:tcPr>
            <w:tcW w:w="1304" w:type="dxa"/>
            <w:tcBorders>
              <w:tl2br w:val="nil"/>
              <w:tr2bl w:val="nil"/>
            </w:tcBorders>
            <w:shd w:val="clear" w:color="auto" w:fill="auto"/>
            <w:vAlign w:val="center"/>
          </w:tcPr>
          <w:p w14:paraId="1F346F78">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304" w:type="dxa"/>
            <w:tcBorders>
              <w:tl2br w:val="nil"/>
              <w:tr2bl w:val="nil"/>
            </w:tcBorders>
            <w:shd w:val="clear" w:color="auto" w:fill="auto"/>
            <w:vAlign w:val="center"/>
          </w:tcPr>
          <w:p w14:paraId="49867CD8">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611" w:type="dxa"/>
            <w:tcBorders>
              <w:tl2br w:val="nil"/>
              <w:tr2bl w:val="nil"/>
            </w:tcBorders>
            <w:shd w:val="clear" w:color="auto" w:fill="auto"/>
            <w:vAlign w:val="center"/>
          </w:tcPr>
          <w:p w14:paraId="55892ADB">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611" w:type="dxa"/>
            <w:tcBorders>
              <w:tl2br w:val="nil"/>
              <w:tr2bl w:val="nil"/>
            </w:tcBorders>
            <w:shd w:val="clear" w:color="auto" w:fill="auto"/>
            <w:vAlign w:val="center"/>
          </w:tcPr>
          <w:p w14:paraId="5F56A627">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304" w:type="dxa"/>
            <w:tcBorders>
              <w:tl2br w:val="nil"/>
              <w:tr2bl w:val="nil"/>
            </w:tcBorders>
            <w:shd w:val="clear" w:color="auto" w:fill="auto"/>
            <w:vAlign w:val="center"/>
          </w:tcPr>
          <w:p w14:paraId="321B1BE8">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0%</w:t>
            </w:r>
          </w:p>
        </w:tc>
        <w:tc>
          <w:tcPr>
            <w:tcW w:w="1304" w:type="dxa"/>
            <w:tcBorders>
              <w:tl2br w:val="nil"/>
              <w:tr2bl w:val="nil"/>
            </w:tcBorders>
            <w:shd w:val="clear" w:color="auto" w:fill="auto"/>
            <w:vAlign w:val="center"/>
          </w:tcPr>
          <w:p w14:paraId="78502374">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0</w:t>
            </w:r>
          </w:p>
        </w:tc>
        <w:tc>
          <w:tcPr>
            <w:tcW w:w="1304" w:type="dxa"/>
            <w:tcBorders>
              <w:tl2br w:val="nil"/>
              <w:tr2bl w:val="nil"/>
            </w:tcBorders>
            <w:shd w:val="clear" w:color="auto" w:fill="auto"/>
            <w:vAlign w:val="center"/>
          </w:tcPr>
          <w:p w14:paraId="453238D5">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r>
      <w:tr w14:paraId="4A9A6BF6">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1740" w:type="dxa"/>
            <w:tcBorders>
              <w:tl2br w:val="nil"/>
              <w:tr2bl w:val="nil"/>
            </w:tcBorders>
            <w:shd w:val="clear" w:color="auto" w:fill="auto"/>
            <w:vAlign w:val="center"/>
          </w:tcPr>
          <w:p w14:paraId="778E3455">
            <w:pPr>
              <w:ind w:left="-105" w:right="-105"/>
              <w:jc w:val="center"/>
              <w:textAlignment w:val="center"/>
              <w:rPr>
                <w:color w:val="auto"/>
                <w:sz w:val="21"/>
                <w:szCs w:val="21"/>
                <w:highlight w:val="none"/>
              </w:rPr>
            </w:pPr>
            <w:r>
              <w:rPr>
                <w:rFonts w:hint="eastAsia"/>
                <w:color w:val="auto"/>
                <w:sz w:val="21"/>
                <w:szCs w:val="21"/>
                <w:highlight w:val="none"/>
                <w:lang w:bidi="ar"/>
              </w:rPr>
              <w:t>氯苯</w:t>
            </w:r>
          </w:p>
        </w:tc>
        <w:tc>
          <w:tcPr>
            <w:tcW w:w="1155" w:type="dxa"/>
            <w:tcBorders>
              <w:tl2br w:val="nil"/>
              <w:tr2bl w:val="nil"/>
            </w:tcBorders>
            <w:shd w:val="clear" w:color="auto" w:fill="auto"/>
            <w:vAlign w:val="center"/>
          </w:tcPr>
          <w:p w14:paraId="50A12082">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15</w:t>
            </w:r>
          </w:p>
        </w:tc>
        <w:tc>
          <w:tcPr>
            <w:tcW w:w="1015" w:type="dxa"/>
            <w:tcBorders>
              <w:tl2br w:val="nil"/>
              <w:tr2bl w:val="nil"/>
            </w:tcBorders>
            <w:shd w:val="clear" w:color="auto" w:fill="auto"/>
            <w:vAlign w:val="center"/>
          </w:tcPr>
          <w:p w14:paraId="6AE963CF">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mg/kg</w:t>
            </w:r>
          </w:p>
        </w:tc>
        <w:tc>
          <w:tcPr>
            <w:tcW w:w="1304" w:type="dxa"/>
            <w:tcBorders>
              <w:tl2br w:val="nil"/>
              <w:tr2bl w:val="nil"/>
            </w:tcBorders>
            <w:shd w:val="clear" w:color="auto" w:fill="auto"/>
            <w:vAlign w:val="center"/>
          </w:tcPr>
          <w:p w14:paraId="7E9CAFC5">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304" w:type="dxa"/>
            <w:tcBorders>
              <w:tl2br w:val="nil"/>
              <w:tr2bl w:val="nil"/>
            </w:tcBorders>
            <w:shd w:val="clear" w:color="auto" w:fill="auto"/>
            <w:vAlign w:val="center"/>
          </w:tcPr>
          <w:p w14:paraId="41B06861">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611" w:type="dxa"/>
            <w:tcBorders>
              <w:tl2br w:val="nil"/>
              <w:tr2bl w:val="nil"/>
            </w:tcBorders>
            <w:shd w:val="clear" w:color="auto" w:fill="auto"/>
            <w:vAlign w:val="center"/>
          </w:tcPr>
          <w:p w14:paraId="12602AE1">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611" w:type="dxa"/>
            <w:tcBorders>
              <w:tl2br w:val="nil"/>
              <w:tr2bl w:val="nil"/>
            </w:tcBorders>
            <w:shd w:val="clear" w:color="auto" w:fill="auto"/>
            <w:vAlign w:val="center"/>
          </w:tcPr>
          <w:p w14:paraId="2FD13431">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304" w:type="dxa"/>
            <w:tcBorders>
              <w:tl2br w:val="nil"/>
              <w:tr2bl w:val="nil"/>
            </w:tcBorders>
            <w:shd w:val="clear" w:color="auto" w:fill="auto"/>
            <w:vAlign w:val="center"/>
          </w:tcPr>
          <w:p w14:paraId="78FF730B">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0%</w:t>
            </w:r>
          </w:p>
        </w:tc>
        <w:tc>
          <w:tcPr>
            <w:tcW w:w="1304" w:type="dxa"/>
            <w:tcBorders>
              <w:tl2br w:val="nil"/>
              <w:tr2bl w:val="nil"/>
            </w:tcBorders>
            <w:shd w:val="clear" w:color="auto" w:fill="auto"/>
            <w:vAlign w:val="center"/>
          </w:tcPr>
          <w:p w14:paraId="72D1A2DC">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0</w:t>
            </w:r>
          </w:p>
        </w:tc>
        <w:tc>
          <w:tcPr>
            <w:tcW w:w="1304" w:type="dxa"/>
            <w:tcBorders>
              <w:tl2br w:val="nil"/>
              <w:tr2bl w:val="nil"/>
            </w:tcBorders>
            <w:shd w:val="clear" w:color="auto" w:fill="auto"/>
            <w:vAlign w:val="center"/>
          </w:tcPr>
          <w:p w14:paraId="37EC0587">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r>
      <w:tr w14:paraId="796B59DA">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1740" w:type="dxa"/>
            <w:tcBorders>
              <w:tl2br w:val="nil"/>
              <w:tr2bl w:val="nil"/>
            </w:tcBorders>
            <w:shd w:val="clear" w:color="auto" w:fill="auto"/>
            <w:vAlign w:val="center"/>
          </w:tcPr>
          <w:p w14:paraId="70768586">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1,1,1,2-</w:t>
            </w:r>
            <w:r>
              <w:rPr>
                <w:rFonts w:hint="eastAsia"/>
                <w:color w:val="auto"/>
                <w:sz w:val="21"/>
                <w:szCs w:val="21"/>
                <w:highlight w:val="none"/>
                <w:lang w:bidi="ar"/>
              </w:rPr>
              <w:t>四氯乙烷</w:t>
            </w:r>
          </w:p>
        </w:tc>
        <w:tc>
          <w:tcPr>
            <w:tcW w:w="1155" w:type="dxa"/>
            <w:tcBorders>
              <w:tl2br w:val="nil"/>
              <w:tr2bl w:val="nil"/>
            </w:tcBorders>
            <w:shd w:val="clear" w:color="auto" w:fill="auto"/>
            <w:vAlign w:val="center"/>
          </w:tcPr>
          <w:p w14:paraId="7FF41258">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15</w:t>
            </w:r>
          </w:p>
        </w:tc>
        <w:tc>
          <w:tcPr>
            <w:tcW w:w="1015" w:type="dxa"/>
            <w:tcBorders>
              <w:tl2br w:val="nil"/>
              <w:tr2bl w:val="nil"/>
            </w:tcBorders>
            <w:shd w:val="clear" w:color="auto" w:fill="auto"/>
            <w:vAlign w:val="center"/>
          </w:tcPr>
          <w:p w14:paraId="0A74B637">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mg/kg</w:t>
            </w:r>
          </w:p>
        </w:tc>
        <w:tc>
          <w:tcPr>
            <w:tcW w:w="1304" w:type="dxa"/>
            <w:tcBorders>
              <w:tl2br w:val="nil"/>
              <w:tr2bl w:val="nil"/>
            </w:tcBorders>
            <w:shd w:val="clear" w:color="auto" w:fill="auto"/>
            <w:vAlign w:val="center"/>
          </w:tcPr>
          <w:p w14:paraId="25FA0E85">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304" w:type="dxa"/>
            <w:tcBorders>
              <w:tl2br w:val="nil"/>
              <w:tr2bl w:val="nil"/>
            </w:tcBorders>
            <w:shd w:val="clear" w:color="auto" w:fill="auto"/>
            <w:vAlign w:val="center"/>
          </w:tcPr>
          <w:p w14:paraId="4EE11F8D">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611" w:type="dxa"/>
            <w:tcBorders>
              <w:tl2br w:val="nil"/>
              <w:tr2bl w:val="nil"/>
            </w:tcBorders>
            <w:shd w:val="clear" w:color="auto" w:fill="auto"/>
            <w:vAlign w:val="center"/>
          </w:tcPr>
          <w:p w14:paraId="3C7E2A84">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611" w:type="dxa"/>
            <w:tcBorders>
              <w:tl2br w:val="nil"/>
              <w:tr2bl w:val="nil"/>
            </w:tcBorders>
            <w:shd w:val="clear" w:color="auto" w:fill="auto"/>
            <w:vAlign w:val="center"/>
          </w:tcPr>
          <w:p w14:paraId="50216B22">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304" w:type="dxa"/>
            <w:tcBorders>
              <w:tl2br w:val="nil"/>
              <w:tr2bl w:val="nil"/>
            </w:tcBorders>
            <w:shd w:val="clear" w:color="auto" w:fill="auto"/>
            <w:vAlign w:val="center"/>
          </w:tcPr>
          <w:p w14:paraId="5AE8A763">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0%</w:t>
            </w:r>
          </w:p>
        </w:tc>
        <w:tc>
          <w:tcPr>
            <w:tcW w:w="1304" w:type="dxa"/>
            <w:tcBorders>
              <w:tl2br w:val="nil"/>
              <w:tr2bl w:val="nil"/>
            </w:tcBorders>
            <w:shd w:val="clear" w:color="auto" w:fill="auto"/>
            <w:vAlign w:val="center"/>
          </w:tcPr>
          <w:p w14:paraId="49876175">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0</w:t>
            </w:r>
          </w:p>
        </w:tc>
        <w:tc>
          <w:tcPr>
            <w:tcW w:w="1304" w:type="dxa"/>
            <w:tcBorders>
              <w:tl2br w:val="nil"/>
              <w:tr2bl w:val="nil"/>
            </w:tcBorders>
            <w:shd w:val="clear" w:color="auto" w:fill="auto"/>
            <w:vAlign w:val="center"/>
          </w:tcPr>
          <w:p w14:paraId="0CBE4D89">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r>
      <w:tr w14:paraId="2CBEB60C">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1740" w:type="dxa"/>
            <w:tcBorders>
              <w:tl2br w:val="nil"/>
              <w:tr2bl w:val="nil"/>
            </w:tcBorders>
            <w:shd w:val="clear" w:color="auto" w:fill="auto"/>
            <w:vAlign w:val="center"/>
          </w:tcPr>
          <w:p w14:paraId="012AE71F">
            <w:pPr>
              <w:ind w:left="-105" w:right="-105"/>
              <w:jc w:val="center"/>
              <w:textAlignment w:val="center"/>
              <w:rPr>
                <w:color w:val="auto"/>
                <w:sz w:val="21"/>
                <w:szCs w:val="21"/>
                <w:highlight w:val="none"/>
              </w:rPr>
            </w:pPr>
            <w:r>
              <w:rPr>
                <w:rFonts w:hint="eastAsia"/>
                <w:color w:val="auto"/>
                <w:sz w:val="21"/>
                <w:szCs w:val="21"/>
                <w:highlight w:val="none"/>
                <w:lang w:bidi="ar"/>
              </w:rPr>
              <w:t>乙苯</w:t>
            </w:r>
          </w:p>
        </w:tc>
        <w:tc>
          <w:tcPr>
            <w:tcW w:w="1155" w:type="dxa"/>
            <w:tcBorders>
              <w:tl2br w:val="nil"/>
              <w:tr2bl w:val="nil"/>
            </w:tcBorders>
            <w:shd w:val="clear" w:color="auto" w:fill="auto"/>
            <w:vAlign w:val="center"/>
          </w:tcPr>
          <w:p w14:paraId="40E3D133">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15</w:t>
            </w:r>
          </w:p>
        </w:tc>
        <w:tc>
          <w:tcPr>
            <w:tcW w:w="1015" w:type="dxa"/>
            <w:tcBorders>
              <w:tl2br w:val="nil"/>
              <w:tr2bl w:val="nil"/>
            </w:tcBorders>
            <w:shd w:val="clear" w:color="auto" w:fill="auto"/>
            <w:vAlign w:val="center"/>
          </w:tcPr>
          <w:p w14:paraId="5398B582">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mg/kg</w:t>
            </w:r>
          </w:p>
        </w:tc>
        <w:tc>
          <w:tcPr>
            <w:tcW w:w="1304" w:type="dxa"/>
            <w:tcBorders>
              <w:tl2br w:val="nil"/>
              <w:tr2bl w:val="nil"/>
            </w:tcBorders>
            <w:shd w:val="clear" w:color="auto" w:fill="auto"/>
            <w:vAlign w:val="center"/>
          </w:tcPr>
          <w:p w14:paraId="48B7B6CA">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304" w:type="dxa"/>
            <w:tcBorders>
              <w:tl2br w:val="nil"/>
              <w:tr2bl w:val="nil"/>
            </w:tcBorders>
            <w:shd w:val="clear" w:color="auto" w:fill="auto"/>
            <w:vAlign w:val="center"/>
          </w:tcPr>
          <w:p w14:paraId="53371E57">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611" w:type="dxa"/>
            <w:tcBorders>
              <w:tl2br w:val="nil"/>
              <w:tr2bl w:val="nil"/>
            </w:tcBorders>
            <w:shd w:val="clear" w:color="auto" w:fill="auto"/>
            <w:vAlign w:val="center"/>
          </w:tcPr>
          <w:p w14:paraId="6BE71704">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611" w:type="dxa"/>
            <w:tcBorders>
              <w:tl2br w:val="nil"/>
              <w:tr2bl w:val="nil"/>
            </w:tcBorders>
            <w:shd w:val="clear" w:color="auto" w:fill="auto"/>
            <w:vAlign w:val="center"/>
          </w:tcPr>
          <w:p w14:paraId="7A361092">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304" w:type="dxa"/>
            <w:tcBorders>
              <w:tl2br w:val="nil"/>
              <w:tr2bl w:val="nil"/>
            </w:tcBorders>
            <w:shd w:val="clear" w:color="auto" w:fill="auto"/>
            <w:vAlign w:val="center"/>
          </w:tcPr>
          <w:p w14:paraId="1B6C532C">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0%</w:t>
            </w:r>
          </w:p>
        </w:tc>
        <w:tc>
          <w:tcPr>
            <w:tcW w:w="1304" w:type="dxa"/>
            <w:tcBorders>
              <w:tl2br w:val="nil"/>
              <w:tr2bl w:val="nil"/>
            </w:tcBorders>
            <w:shd w:val="clear" w:color="auto" w:fill="auto"/>
            <w:vAlign w:val="center"/>
          </w:tcPr>
          <w:p w14:paraId="4619F56B">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0</w:t>
            </w:r>
          </w:p>
        </w:tc>
        <w:tc>
          <w:tcPr>
            <w:tcW w:w="1304" w:type="dxa"/>
            <w:tcBorders>
              <w:tl2br w:val="nil"/>
              <w:tr2bl w:val="nil"/>
            </w:tcBorders>
            <w:shd w:val="clear" w:color="auto" w:fill="auto"/>
            <w:vAlign w:val="center"/>
          </w:tcPr>
          <w:p w14:paraId="74515E0D">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r>
      <w:tr w14:paraId="53DA3535">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1740" w:type="dxa"/>
            <w:tcBorders>
              <w:tl2br w:val="nil"/>
              <w:tr2bl w:val="nil"/>
            </w:tcBorders>
            <w:shd w:val="clear" w:color="auto" w:fill="auto"/>
            <w:vAlign w:val="center"/>
          </w:tcPr>
          <w:p w14:paraId="67F0A874">
            <w:pPr>
              <w:ind w:left="-105" w:right="-105"/>
              <w:jc w:val="center"/>
              <w:textAlignment w:val="center"/>
              <w:rPr>
                <w:color w:val="auto"/>
                <w:sz w:val="21"/>
                <w:szCs w:val="21"/>
                <w:highlight w:val="none"/>
              </w:rPr>
            </w:pPr>
            <w:r>
              <w:rPr>
                <w:rFonts w:hint="eastAsia"/>
                <w:color w:val="auto"/>
                <w:sz w:val="21"/>
                <w:szCs w:val="21"/>
                <w:highlight w:val="none"/>
                <w:lang w:bidi="ar"/>
              </w:rPr>
              <w:t>间</w:t>
            </w:r>
            <w:r>
              <w:rPr>
                <w:rFonts w:ascii="Times New Roman" w:hAnsi="Times New Roman" w:cs="Times New Roman"/>
                <w:color w:val="auto"/>
                <w:sz w:val="21"/>
                <w:szCs w:val="21"/>
                <w:highlight w:val="none"/>
                <w:lang w:bidi="ar"/>
              </w:rPr>
              <w:t>/</w:t>
            </w:r>
            <w:r>
              <w:rPr>
                <w:rFonts w:hint="eastAsia"/>
                <w:color w:val="auto"/>
                <w:sz w:val="21"/>
                <w:szCs w:val="21"/>
                <w:highlight w:val="none"/>
                <w:lang w:bidi="ar"/>
              </w:rPr>
              <w:t>对</w:t>
            </w:r>
            <w:r>
              <w:rPr>
                <w:rFonts w:ascii="Times New Roman" w:hAnsi="Times New Roman" w:cs="Times New Roman"/>
                <w:color w:val="auto"/>
                <w:sz w:val="21"/>
                <w:szCs w:val="21"/>
                <w:highlight w:val="none"/>
                <w:lang w:bidi="ar"/>
              </w:rPr>
              <w:t>-</w:t>
            </w:r>
            <w:r>
              <w:rPr>
                <w:rFonts w:hint="eastAsia"/>
                <w:color w:val="auto"/>
                <w:sz w:val="21"/>
                <w:szCs w:val="21"/>
                <w:highlight w:val="none"/>
                <w:lang w:bidi="ar"/>
              </w:rPr>
              <w:t>二甲苯</w:t>
            </w:r>
          </w:p>
        </w:tc>
        <w:tc>
          <w:tcPr>
            <w:tcW w:w="1155" w:type="dxa"/>
            <w:tcBorders>
              <w:tl2br w:val="nil"/>
              <w:tr2bl w:val="nil"/>
            </w:tcBorders>
            <w:shd w:val="clear" w:color="auto" w:fill="auto"/>
            <w:vAlign w:val="center"/>
          </w:tcPr>
          <w:p w14:paraId="3E384E04">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15</w:t>
            </w:r>
          </w:p>
        </w:tc>
        <w:tc>
          <w:tcPr>
            <w:tcW w:w="1015" w:type="dxa"/>
            <w:tcBorders>
              <w:tl2br w:val="nil"/>
              <w:tr2bl w:val="nil"/>
            </w:tcBorders>
            <w:shd w:val="clear" w:color="auto" w:fill="auto"/>
            <w:vAlign w:val="center"/>
          </w:tcPr>
          <w:p w14:paraId="5063367A">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mg/kg</w:t>
            </w:r>
          </w:p>
        </w:tc>
        <w:tc>
          <w:tcPr>
            <w:tcW w:w="1304" w:type="dxa"/>
            <w:tcBorders>
              <w:tl2br w:val="nil"/>
              <w:tr2bl w:val="nil"/>
            </w:tcBorders>
            <w:shd w:val="clear" w:color="auto" w:fill="auto"/>
            <w:vAlign w:val="center"/>
          </w:tcPr>
          <w:p w14:paraId="168AB353">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2.5</w:t>
            </w:r>
          </w:p>
        </w:tc>
        <w:tc>
          <w:tcPr>
            <w:tcW w:w="1304" w:type="dxa"/>
            <w:tcBorders>
              <w:tl2br w:val="nil"/>
              <w:tr2bl w:val="nil"/>
            </w:tcBorders>
            <w:shd w:val="clear" w:color="auto" w:fill="auto"/>
            <w:vAlign w:val="center"/>
          </w:tcPr>
          <w:p w14:paraId="19C2EA9F">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611" w:type="dxa"/>
            <w:tcBorders>
              <w:tl2br w:val="nil"/>
              <w:tr2bl w:val="nil"/>
            </w:tcBorders>
            <w:shd w:val="clear" w:color="auto" w:fill="auto"/>
            <w:vAlign w:val="center"/>
          </w:tcPr>
          <w:p w14:paraId="175A28FA">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0.17</w:t>
            </w:r>
          </w:p>
        </w:tc>
        <w:tc>
          <w:tcPr>
            <w:tcW w:w="1611" w:type="dxa"/>
            <w:tcBorders>
              <w:tl2br w:val="nil"/>
              <w:tr2bl w:val="nil"/>
            </w:tcBorders>
            <w:shd w:val="clear" w:color="auto" w:fill="auto"/>
            <w:vAlign w:val="center"/>
          </w:tcPr>
          <w:p w14:paraId="640CAE27">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0.6455</w:t>
            </w:r>
          </w:p>
        </w:tc>
        <w:tc>
          <w:tcPr>
            <w:tcW w:w="1304" w:type="dxa"/>
            <w:tcBorders>
              <w:tl2br w:val="nil"/>
              <w:tr2bl w:val="nil"/>
            </w:tcBorders>
            <w:shd w:val="clear" w:color="auto" w:fill="auto"/>
            <w:vAlign w:val="center"/>
          </w:tcPr>
          <w:p w14:paraId="6230E89F">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7%</w:t>
            </w:r>
          </w:p>
        </w:tc>
        <w:tc>
          <w:tcPr>
            <w:tcW w:w="1304" w:type="dxa"/>
            <w:tcBorders>
              <w:tl2br w:val="nil"/>
              <w:tr2bl w:val="nil"/>
            </w:tcBorders>
            <w:shd w:val="clear" w:color="auto" w:fill="auto"/>
            <w:vAlign w:val="center"/>
          </w:tcPr>
          <w:p w14:paraId="31D27A45">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0</w:t>
            </w:r>
          </w:p>
        </w:tc>
        <w:tc>
          <w:tcPr>
            <w:tcW w:w="1304" w:type="dxa"/>
            <w:tcBorders>
              <w:tl2br w:val="nil"/>
              <w:tr2bl w:val="nil"/>
            </w:tcBorders>
            <w:shd w:val="clear" w:color="auto" w:fill="auto"/>
            <w:vAlign w:val="center"/>
          </w:tcPr>
          <w:p w14:paraId="048AB7E8">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r>
      <w:tr w14:paraId="06E06AFA">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1740" w:type="dxa"/>
            <w:tcBorders>
              <w:tl2br w:val="nil"/>
              <w:tr2bl w:val="nil"/>
            </w:tcBorders>
            <w:shd w:val="clear" w:color="auto" w:fill="auto"/>
            <w:vAlign w:val="center"/>
          </w:tcPr>
          <w:p w14:paraId="3AB1D014">
            <w:pPr>
              <w:ind w:left="-105" w:right="-105"/>
              <w:jc w:val="center"/>
              <w:textAlignment w:val="center"/>
              <w:rPr>
                <w:color w:val="auto"/>
                <w:sz w:val="21"/>
                <w:szCs w:val="21"/>
                <w:highlight w:val="none"/>
              </w:rPr>
            </w:pPr>
            <w:r>
              <w:rPr>
                <w:rFonts w:hint="eastAsia"/>
                <w:color w:val="auto"/>
                <w:sz w:val="21"/>
                <w:szCs w:val="21"/>
                <w:highlight w:val="none"/>
                <w:lang w:bidi="ar"/>
              </w:rPr>
              <w:t>邻</w:t>
            </w:r>
            <w:r>
              <w:rPr>
                <w:rFonts w:ascii="Times New Roman" w:hAnsi="Times New Roman" w:cs="Times New Roman"/>
                <w:color w:val="auto"/>
                <w:sz w:val="21"/>
                <w:szCs w:val="21"/>
                <w:highlight w:val="none"/>
                <w:lang w:bidi="ar"/>
              </w:rPr>
              <w:t>-</w:t>
            </w:r>
            <w:r>
              <w:rPr>
                <w:rFonts w:hint="eastAsia"/>
                <w:color w:val="auto"/>
                <w:sz w:val="21"/>
                <w:szCs w:val="21"/>
                <w:highlight w:val="none"/>
                <w:lang w:bidi="ar"/>
              </w:rPr>
              <w:t>二甲苯</w:t>
            </w:r>
          </w:p>
        </w:tc>
        <w:tc>
          <w:tcPr>
            <w:tcW w:w="1155" w:type="dxa"/>
            <w:tcBorders>
              <w:tl2br w:val="nil"/>
              <w:tr2bl w:val="nil"/>
            </w:tcBorders>
            <w:shd w:val="clear" w:color="auto" w:fill="auto"/>
            <w:vAlign w:val="center"/>
          </w:tcPr>
          <w:p w14:paraId="5C9503CE">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15</w:t>
            </w:r>
          </w:p>
        </w:tc>
        <w:tc>
          <w:tcPr>
            <w:tcW w:w="1015" w:type="dxa"/>
            <w:tcBorders>
              <w:tl2br w:val="nil"/>
              <w:tr2bl w:val="nil"/>
            </w:tcBorders>
            <w:shd w:val="clear" w:color="auto" w:fill="auto"/>
            <w:vAlign w:val="center"/>
          </w:tcPr>
          <w:p w14:paraId="73E8B989">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mg/kg</w:t>
            </w:r>
          </w:p>
        </w:tc>
        <w:tc>
          <w:tcPr>
            <w:tcW w:w="1304" w:type="dxa"/>
            <w:tcBorders>
              <w:tl2br w:val="nil"/>
              <w:tr2bl w:val="nil"/>
            </w:tcBorders>
            <w:shd w:val="clear" w:color="auto" w:fill="auto"/>
            <w:vAlign w:val="center"/>
          </w:tcPr>
          <w:p w14:paraId="3A86A80D">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1.3</w:t>
            </w:r>
          </w:p>
        </w:tc>
        <w:tc>
          <w:tcPr>
            <w:tcW w:w="1304" w:type="dxa"/>
            <w:tcBorders>
              <w:tl2br w:val="nil"/>
              <w:tr2bl w:val="nil"/>
            </w:tcBorders>
            <w:shd w:val="clear" w:color="auto" w:fill="auto"/>
            <w:vAlign w:val="center"/>
          </w:tcPr>
          <w:p w14:paraId="78F2E53E">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611" w:type="dxa"/>
            <w:tcBorders>
              <w:tl2br w:val="nil"/>
              <w:tr2bl w:val="nil"/>
            </w:tcBorders>
            <w:shd w:val="clear" w:color="auto" w:fill="auto"/>
            <w:vAlign w:val="center"/>
          </w:tcPr>
          <w:p w14:paraId="4564585E">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0.09</w:t>
            </w:r>
          </w:p>
        </w:tc>
        <w:tc>
          <w:tcPr>
            <w:tcW w:w="1611" w:type="dxa"/>
            <w:tcBorders>
              <w:tl2br w:val="nil"/>
              <w:tr2bl w:val="nil"/>
            </w:tcBorders>
            <w:shd w:val="clear" w:color="auto" w:fill="auto"/>
            <w:vAlign w:val="center"/>
          </w:tcPr>
          <w:p w14:paraId="487A6479">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0.3357</w:t>
            </w:r>
          </w:p>
        </w:tc>
        <w:tc>
          <w:tcPr>
            <w:tcW w:w="1304" w:type="dxa"/>
            <w:tcBorders>
              <w:tl2br w:val="nil"/>
              <w:tr2bl w:val="nil"/>
            </w:tcBorders>
            <w:shd w:val="clear" w:color="auto" w:fill="auto"/>
            <w:vAlign w:val="center"/>
          </w:tcPr>
          <w:p w14:paraId="65A5A910">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7%</w:t>
            </w:r>
          </w:p>
        </w:tc>
        <w:tc>
          <w:tcPr>
            <w:tcW w:w="1304" w:type="dxa"/>
            <w:tcBorders>
              <w:tl2br w:val="nil"/>
              <w:tr2bl w:val="nil"/>
            </w:tcBorders>
            <w:shd w:val="clear" w:color="auto" w:fill="auto"/>
            <w:vAlign w:val="center"/>
          </w:tcPr>
          <w:p w14:paraId="7C22A534">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0</w:t>
            </w:r>
          </w:p>
        </w:tc>
        <w:tc>
          <w:tcPr>
            <w:tcW w:w="1304" w:type="dxa"/>
            <w:tcBorders>
              <w:tl2br w:val="nil"/>
              <w:tr2bl w:val="nil"/>
            </w:tcBorders>
            <w:shd w:val="clear" w:color="auto" w:fill="auto"/>
            <w:vAlign w:val="center"/>
          </w:tcPr>
          <w:p w14:paraId="2E7B42B3">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r>
      <w:tr w14:paraId="29C015A1">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1740" w:type="dxa"/>
            <w:tcBorders>
              <w:tl2br w:val="nil"/>
              <w:tr2bl w:val="nil"/>
            </w:tcBorders>
            <w:shd w:val="clear" w:color="auto" w:fill="auto"/>
            <w:vAlign w:val="center"/>
          </w:tcPr>
          <w:p w14:paraId="64AEA057">
            <w:pPr>
              <w:ind w:left="-105" w:right="-105"/>
              <w:jc w:val="center"/>
              <w:textAlignment w:val="center"/>
              <w:rPr>
                <w:color w:val="auto"/>
                <w:sz w:val="21"/>
                <w:szCs w:val="21"/>
                <w:highlight w:val="none"/>
              </w:rPr>
            </w:pPr>
            <w:r>
              <w:rPr>
                <w:rFonts w:hint="eastAsia"/>
                <w:color w:val="auto"/>
                <w:sz w:val="21"/>
                <w:szCs w:val="21"/>
                <w:highlight w:val="none"/>
                <w:lang w:bidi="ar"/>
              </w:rPr>
              <w:t>苯乙烯</w:t>
            </w:r>
          </w:p>
        </w:tc>
        <w:tc>
          <w:tcPr>
            <w:tcW w:w="1155" w:type="dxa"/>
            <w:tcBorders>
              <w:tl2br w:val="nil"/>
              <w:tr2bl w:val="nil"/>
            </w:tcBorders>
            <w:shd w:val="clear" w:color="auto" w:fill="auto"/>
            <w:vAlign w:val="center"/>
          </w:tcPr>
          <w:p w14:paraId="217449CD">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15</w:t>
            </w:r>
          </w:p>
        </w:tc>
        <w:tc>
          <w:tcPr>
            <w:tcW w:w="1015" w:type="dxa"/>
            <w:tcBorders>
              <w:tl2br w:val="nil"/>
              <w:tr2bl w:val="nil"/>
            </w:tcBorders>
            <w:shd w:val="clear" w:color="auto" w:fill="auto"/>
            <w:vAlign w:val="center"/>
          </w:tcPr>
          <w:p w14:paraId="77EB80DE">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mg/kg</w:t>
            </w:r>
          </w:p>
        </w:tc>
        <w:tc>
          <w:tcPr>
            <w:tcW w:w="1304" w:type="dxa"/>
            <w:tcBorders>
              <w:tl2br w:val="nil"/>
              <w:tr2bl w:val="nil"/>
            </w:tcBorders>
            <w:shd w:val="clear" w:color="auto" w:fill="auto"/>
            <w:vAlign w:val="center"/>
          </w:tcPr>
          <w:p w14:paraId="602D12AB">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304" w:type="dxa"/>
            <w:tcBorders>
              <w:tl2br w:val="nil"/>
              <w:tr2bl w:val="nil"/>
            </w:tcBorders>
            <w:shd w:val="clear" w:color="auto" w:fill="auto"/>
            <w:vAlign w:val="center"/>
          </w:tcPr>
          <w:p w14:paraId="4997C408">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611" w:type="dxa"/>
            <w:tcBorders>
              <w:tl2br w:val="nil"/>
              <w:tr2bl w:val="nil"/>
            </w:tcBorders>
            <w:shd w:val="clear" w:color="auto" w:fill="auto"/>
            <w:vAlign w:val="center"/>
          </w:tcPr>
          <w:p w14:paraId="05EF746D">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611" w:type="dxa"/>
            <w:tcBorders>
              <w:tl2br w:val="nil"/>
              <w:tr2bl w:val="nil"/>
            </w:tcBorders>
            <w:shd w:val="clear" w:color="auto" w:fill="auto"/>
            <w:vAlign w:val="center"/>
          </w:tcPr>
          <w:p w14:paraId="5975F66F">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304" w:type="dxa"/>
            <w:tcBorders>
              <w:tl2br w:val="nil"/>
              <w:tr2bl w:val="nil"/>
            </w:tcBorders>
            <w:shd w:val="clear" w:color="auto" w:fill="auto"/>
            <w:vAlign w:val="center"/>
          </w:tcPr>
          <w:p w14:paraId="27ABF0C4">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0%</w:t>
            </w:r>
          </w:p>
        </w:tc>
        <w:tc>
          <w:tcPr>
            <w:tcW w:w="1304" w:type="dxa"/>
            <w:tcBorders>
              <w:tl2br w:val="nil"/>
              <w:tr2bl w:val="nil"/>
            </w:tcBorders>
            <w:shd w:val="clear" w:color="auto" w:fill="auto"/>
            <w:vAlign w:val="center"/>
          </w:tcPr>
          <w:p w14:paraId="2400EC09">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0</w:t>
            </w:r>
          </w:p>
        </w:tc>
        <w:tc>
          <w:tcPr>
            <w:tcW w:w="1304" w:type="dxa"/>
            <w:tcBorders>
              <w:tl2br w:val="nil"/>
              <w:tr2bl w:val="nil"/>
            </w:tcBorders>
            <w:shd w:val="clear" w:color="auto" w:fill="auto"/>
            <w:vAlign w:val="center"/>
          </w:tcPr>
          <w:p w14:paraId="7E4E87A1">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r>
      <w:tr w14:paraId="5B19A48B">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1740" w:type="dxa"/>
            <w:tcBorders>
              <w:tl2br w:val="nil"/>
              <w:tr2bl w:val="nil"/>
            </w:tcBorders>
            <w:shd w:val="clear" w:color="auto" w:fill="auto"/>
            <w:vAlign w:val="center"/>
          </w:tcPr>
          <w:p w14:paraId="1A6EBF12">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1,1,2,2-</w:t>
            </w:r>
            <w:r>
              <w:rPr>
                <w:rFonts w:hint="eastAsia"/>
                <w:color w:val="auto"/>
                <w:sz w:val="21"/>
                <w:szCs w:val="21"/>
                <w:highlight w:val="none"/>
                <w:lang w:bidi="ar"/>
              </w:rPr>
              <w:t>四氯乙烷</w:t>
            </w:r>
          </w:p>
        </w:tc>
        <w:tc>
          <w:tcPr>
            <w:tcW w:w="1155" w:type="dxa"/>
            <w:tcBorders>
              <w:tl2br w:val="nil"/>
              <w:tr2bl w:val="nil"/>
            </w:tcBorders>
            <w:shd w:val="clear" w:color="auto" w:fill="auto"/>
            <w:vAlign w:val="center"/>
          </w:tcPr>
          <w:p w14:paraId="7F2695B1">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15</w:t>
            </w:r>
          </w:p>
        </w:tc>
        <w:tc>
          <w:tcPr>
            <w:tcW w:w="1015" w:type="dxa"/>
            <w:tcBorders>
              <w:tl2br w:val="nil"/>
              <w:tr2bl w:val="nil"/>
            </w:tcBorders>
            <w:shd w:val="clear" w:color="auto" w:fill="auto"/>
            <w:vAlign w:val="center"/>
          </w:tcPr>
          <w:p w14:paraId="37836A3D">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mg/kg</w:t>
            </w:r>
          </w:p>
        </w:tc>
        <w:tc>
          <w:tcPr>
            <w:tcW w:w="1304" w:type="dxa"/>
            <w:tcBorders>
              <w:tl2br w:val="nil"/>
              <w:tr2bl w:val="nil"/>
            </w:tcBorders>
            <w:shd w:val="clear" w:color="auto" w:fill="auto"/>
            <w:vAlign w:val="center"/>
          </w:tcPr>
          <w:p w14:paraId="7988E8F3">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304" w:type="dxa"/>
            <w:tcBorders>
              <w:tl2br w:val="nil"/>
              <w:tr2bl w:val="nil"/>
            </w:tcBorders>
            <w:shd w:val="clear" w:color="auto" w:fill="auto"/>
            <w:vAlign w:val="center"/>
          </w:tcPr>
          <w:p w14:paraId="41B416F0">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611" w:type="dxa"/>
            <w:tcBorders>
              <w:tl2br w:val="nil"/>
              <w:tr2bl w:val="nil"/>
            </w:tcBorders>
            <w:shd w:val="clear" w:color="auto" w:fill="auto"/>
            <w:vAlign w:val="center"/>
          </w:tcPr>
          <w:p w14:paraId="516139D1">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611" w:type="dxa"/>
            <w:tcBorders>
              <w:tl2br w:val="nil"/>
              <w:tr2bl w:val="nil"/>
            </w:tcBorders>
            <w:shd w:val="clear" w:color="auto" w:fill="auto"/>
            <w:vAlign w:val="center"/>
          </w:tcPr>
          <w:p w14:paraId="56C26387">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304" w:type="dxa"/>
            <w:tcBorders>
              <w:tl2br w:val="nil"/>
              <w:tr2bl w:val="nil"/>
            </w:tcBorders>
            <w:shd w:val="clear" w:color="auto" w:fill="auto"/>
            <w:vAlign w:val="center"/>
          </w:tcPr>
          <w:p w14:paraId="693E4415">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0%</w:t>
            </w:r>
          </w:p>
        </w:tc>
        <w:tc>
          <w:tcPr>
            <w:tcW w:w="1304" w:type="dxa"/>
            <w:tcBorders>
              <w:tl2br w:val="nil"/>
              <w:tr2bl w:val="nil"/>
            </w:tcBorders>
            <w:shd w:val="clear" w:color="auto" w:fill="auto"/>
            <w:vAlign w:val="center"/>
          </w:tcPr>
          <w:p w14:paraId="381A41AE">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0</w:t>
            </w:r>
          </w:p>
        </w:tc>
        <w:tc>
          <w:tcPr>
            <w:tcW w:w="1304" w:type="dxa"/>
            <w:tcBorders>
              <w:tl2br w:val="nil"/>
              <w:tr2bl w:val="nil"/>
            </w:tcBorders>
            <w:shd w:val="clear" w:color="auto" w:fill="auto"/>
            <w:vAlign w:val="center"/>
          </w:tcPr>
          <w:p w14:paraId="575FACBE">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r>
      <w:tr w14:paraId="0A7F1A85">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1740" w:type="dxa"/>
            <w:tcBorders>
              <w:tl2br w:val="nil"/>
              <w:tr2bl w:val="nil"/>
            </w:tcBorders>
            <w:shd w:val="clear" w:color="auto" w:fill="auto"/>
            <w:vAlign w:val="center"/>
          </w:tcPr>
          <w:p w14:paraId="7E7E8E1D">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1,2,3-</w:t>
            </w:r>
            <w:r>
              <w:rPr>
                <w:rFonts w:hint="eastAsia"/>
                <w:color w:val="auto"/>
                <w:sz w:val="21"/>
                <w:szCs w:val="21"/>
                <w:highlight w:val="none"/>
                <w:lang w:bidi="ar"/>
              </w:rPr>
              <w:t>三氯丙烷</w:t>
            </w:r>
          </w:p>
        </w:tc>
        <w:tc>
          <w:tcPr>
            <w:tcW w:w="1155" w:type="dxa"/>
            <w:tcBorders>
              <w:tl2br w:val="nil"/>
              <w:tr2bl w:val="nil"/>
            </w:tcBorders>
            <w:shd w:val="clear" w:color="auto" w:fill="auto"/>
            <w:vAlign w:val="center"/>
          </w:tcPr>
          <w:p w14:paraId="3F6CA680">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15</w:t>
            </w:r>
          </w:p>
        </w:tc>
        <w:tc>
          <w:tcPr>
            <w:tcW w:w="1015" w:type="dxa"/>
            <w:tcBorders>
              <w:tl2br w:val="nil"/>
              <w:tr2bl w:val="nil"/>
            </w:tcBorders>
            <w:shd w:val="clear" w:color="auto" w:fill="auto"/>
            <w:vAlign w:val="center"/>
          </w:tcPr>
          <w:p w14:paraId="52186FAF">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mg/kg</w:t>
            </w:r>
          </w:p>
        </w:tc>
        <w:tc>
          <w:tcPr>
            <w:tcW w:w="1304" w:type="dxa"/>
            <w:tcBorders>
              <w:tl2br w:val="nil"/>
              <w:tr2bl w:val="nil"/>
            </w:tcBorders>
            <w:shd w:val="clear" w:color="auto" w:fill="auto"/>
            <w:vAlign w:val="center"/>
          </w:tcPr>
          <w:p w14:paraId="5326EB0F">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304" w:type="dxa"/>
            <w:tcBorders>
              <w:tl2br w:val="nil"/>
              <w:tr2bl w:val="nil"/>
            </w:tcBorders>
            <w:shd w:val="clear" w:color="auto" w:fill="auto"/>
            <w:vAlign w:val="center"/>
          </w:tcPr>
          <w:p w14:paraId="667F3E6A">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611" w:type="dxa"/>
            <w:tcBorders>
              <w:tl2br w:val="nil"/>
              <w:tr2bl w:val="nil"/>
            </w:tcBorders>
            <w:shd w:val="clear" w:color="auto" w:fill="auto"/>
            <w:vAlign w:val="center"/>
          </w:tcPr>
          <w:p w14:paraId="4DB0E254">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611" w:type="dxa"/>
            <w:tcBorders>
              <w:tl2br w:val="nil"/>
              <w:tr2bl w:val="nil"/>
            </w:tcBorders>
            <w:shd w:val="clear" w:color="auto" w:fill="auto"/>
            <w:vAlign w:val="center"/>
          </w:tcPr>
          <w:p w14:paraId="734311DE">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304" w:type="dxa"/>
            <w:tcBorders>
              <w:tl2br w:val="nil"/>
              <w:tr2bl w:val="nil"/>
            </w:tcBorders>
            <w:shd w:val="clear" w:color="auto" w:fill="auto"/>
            <w:vAlign w:val="center"/>
          </w:tcPr>
          <w:p w14:paraId="604212B2">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0%</w:t>
            </w:r>
          </w:p>
        </w:tc>
        <w:tc>
          <w:tcPr>
            <w:tcW w:w="1304" w:type="dxa"/>
            <w:tcBorders>
              <w:tl2br w:val="nil"/>
              <w:tr2bl w:val="nil"/>
            </w:tcBorders>
            <w:shd w:val="clear" w:color="auto" w:fill="auto"/>
            <w:vAlign w:val="center"/>
          </w:tcPr>
          <w:p w14:paraId="04214929">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0</w:t>
            </w:r>
          </w:p>
        </w:tc>
        <w:tc>
          <w:tcPr>
            <w:tcW w:w="1304" w:type="dxa"/>
            <w:tcBorders>
              <w:tl2br w:val="nil"/>
              <w:tr2bl w:val="nil"/>
            </w:tcBorders>
            <w:shd w:val="clear" w:color="auto" w:fill="auto"/>
            <w:vAlign w:val="center"/>
          </w:tcPr>
          <w:p w14:paraId="3394B6E2">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r>
      <w:tr w14:paraId="29BD7D18">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1740" w:type="dxa"/>
            <w:tcBorders>
              <w:tl2br w:val="nil"/>
              <w:tr2bl w:val="nil"/>
            </w:tcBorders>
            <w:shd w:val="clear" w:color="auto" w:fill="auto"/>
            <w:vAlign w:val="center"/>
          </w:tcPr>
          <w:p w14:paraId="517D7545">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1,4-</w:t>
            </w:r>
            <w:r>
              <w:rPr>
                <w:rFonts w:hint="eastAsia"/>
                <w:color w:val="auto"/>
                <w:sz w:val="21"/>
                <w:szCs w:val="21"/>
                <w:highlight w:val="none"/>
                <w:lang w:bidi="ar"/>
              </w:rPr>
              <w:t>二氯苯</w:t>
            </w:r>
          </w:p>
        </w:tc>
        <w:tc>
          <w:tcPr>
            <w:tcW w:w="1155" w:type="dxa"/>
            <w:tcBorders>
              <w:tl2br w:val="nil"/>
              <w:tr2bl w:val="nil"/>
            </w:tcBorders>
            <w:shd w:val="clear" w:color="auto" w:fill="auto"/>
            <w:vAlign w:val="center"/>
          </w:tcPr>
          <w:p w14:paraId="197985DA">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15</w:t>
            </w:r>
          </w:p>
        </w:tc>
        <w:tc>
          <w:tcPr>
            <w:tcW w:w="1015" w:type="dxa"/>
            <w:tcBorders>
              <w:tl2br w:val="nil"/>
              <w:tr2bl w:val="nil"/>
            </w:tcBorders>
            <w:shd w:val="clear" w:color="auto" w:fill="auto"/>
            <w:vAlign w:val="center"/>
          </w:tcPr>
          <w:p w14:paraId="5BA3DBB1">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mg/kg</w:t>
            </w:r>
          </w:p>
        </w:tc>
        <w:tc>
          <w:tcPr>
            <w:tcW w:w="1304" w:type="dxa"/>
            <w:tcBorders>
              <w:tl2br w:val="nil"/>
              <w:tr2bl w:val="nil"/>
            </w:tcBorders>
            <w:shd w:val="clear" w:color="auto" w:fill="auto"/>
            <w:vAlign w:val="center"/>
          </w:tcPr>
          <w:p w14:paraId="2070A141">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304" w:type="dxa"/>
            <w:tcBorders>
              <w:tl2br w:val="nil"/>
              <w:tr2bl w:val="nil"/>
            </w:tcBorders>
            <w:shd w:val="clear" w:color="auto" w:fill="auto"/>
            <w:vAlign w:val="center"/>
          </w:tcPr>
          <w:p w14:paraId="30265A8B">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611" w:type="dxa"/>
            <w:tcBorders>
              <w:tl2br w:val="nil"/>
              <w:tr2bl w:val="nil"/>
            </w:tcBorders>
            <w:shd w:val="clear" w:color="auto" w:fill="auto"/>
            <w:vAlign w:val="center"/>
          </w:tcPr>
          <w:p w14:paraId="683CC852">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611" w:type="dxa"/>
            <w:tcBorders>
              <w:tl2br w:val="nil"/>
              <w:tr2bl w:val="nil"/>
            </w:tcBorders>
            <w:shd w:val="clear" w:color="auto" w:fill="auto"/>
            <w:vAlign w:val="center"/>
          </w:tcPr>
          <w:p w14:paraId="05AEBFBF">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304" w:type="dxa"/>
            <w:tcBorders>
              <w:tl2br w:val="nil"/>
              <w:tr2bl w:val="nil"/>
            </w:tcBorders>
            <w:shd w:val="clear" w:color="auto" w:fill="auto"/>
            <w:vAlign w:val="center"/>
          </w:tcPr>
          <w:p w14:paraId="1C802993">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0%</w:t>
            </w:r>
          </w:p>
        </w:tc>
        <w:tc>
          <w:tcPr>
            <w:tcW w:w="1304" w:type="dxa"/>
            <w:tcBorders>
              <w:tl2br w:val="nil"/>
              <w:tr2bl w:val="nil"/>
            </w:tcBorders>
            <w:shd w:val="clear" w:color="auto" w:fill="auto"/>
            <w:vAlign w:val="center"/>
          </w:tcPr>
          <w:p w14:paraId="69762EF7">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0</w:t>
            </w:r>
          </w:p>
        </w:tc>
        <w:tc>
          <w:tcPr>
            <w:tcW w:w="1304" w:type="dxa"/>
            <w:tcBorders>
              <w:tl2br w:val="nil"/>
              <w:tr2bl w:val="nil"/>
            </w:tcBorders>
            <w:shd w:val="clear" w:color="auto" w:fill="auto"/>
            <w:vAlign w:val="center"/>
          </w:tcPr>
          <w:p w14:paraId="45A626EB">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r>
      <w:tr w14:paraId="34C63912">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1740" w:type="dxa"/>
            <w:tcBorders>
              <w:tl2br w:val="nil"/>
              <w:tr2bl w:val="nil"/>
            </w:tcBorders>
            <w:shd w:val="clear" w:color="auto" w:fill="auto"/>
            <w:vAlign w:val="center"/>
          </w:tcPr>
          <w:p w14:paraId="4E45F444">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1,2-</w:t>
            </w:r>
            <w:r>
              <w:rPr>
                <w:rFonts w:hint="eastAsia"/>
                <w:color w:val="auto"/>
                <w:sz w:val="21"/>
                <w:szCs w:val="21"/>
                <w:highlight w:val="none"/>
                <w:lang w:bidi="ar"/>
              </w:rPr>
              <w:t>二氯苯</w:t>
            </w:r>
          </w:p>
        </w:tc>
        <w:tc>
          <w:tcPr>
            <w:tcW w:w="1155" w:type="dxa"/>
            <w:tcBorders>
              <w:tl2br w:val="nil"/>
              <w:tr2bl w:val="nil"/>
            </w:tcBorders>
            <w:shd w:val="clear" w:color="auto" w:fill="auto"/>
            <w:vAlign w:val="center"/>
          </w:tcPr>
          <w:p w14:paraId="0EC39A38">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15</w:t>
            </w:r>
          </w:p>
        </w:tc>
        <w:tc>
          <w:tcPr>
            <w:tcW w:w="1015" w:type="dxa"/>
            <w:tcBorders>
              <w:tl2br w:val="nil"/>
              <w:tr2bl w:val="nil"/>
            </w:tcBorders>
            <w:shd w:val="clear" w:color="auto" w:fill="auto"/>
            <w:vAlign w:val="center"/>
          </w:tcPr>
          <w:p w14:paraId="3EF2E6F0">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mg/kg</w:t>
            </w:r>
          </w:p>
        </w:tc>
        <w:tc>
          <w:tcPr>
            <w:tcW w:w="1304" w:type="dxa"/>
            <w:tcBorders>
              <w:tl2br w:val="nil"/>
              <w:tr2bl w:val="nil"/>
            </w:tcBorders>
            <w:shd w:val="clear" w:color="auto" w:fill="auto"/>
            <w:vAlign w:val="center"/>
          </w:tcPr>
          <w:p w14:paraId="3B8996B2">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304" w:type="dxa"/>
            <w:tcBorders>
              <w:tl2br w:val="nil"/>
              <w:tr2bl w:val="nil"/>
            </w:tcBorders>
            <w:shd w:val="clear" w:color="auto" w:fill="auto"/>
            <w:vAlign w:val="center"/>
          </w:tcPr>
          <w:p w14:paraId="21CB4C61">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611" w:type="dxa"/>
            <w:tcBorders>
              <w:tl2br w:val="nil"/>
              <w:tr2bl w:val="nil"/>
            </w:tcBorders>
            <w:shd w:val="clear" w:color="auto" w:fill="auto"/>
            <w:vAlign w:val="center"/>
          </w:tcPr>
          <w:p w14:paraId="3D90433C">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611" w:type="dxa"/>
            <w:tcBorders>
              <w:tl2br w:val="nil"/>
              <w:tr2bl w:val="nil"/>
            </w:tcBorders>
            <w:shd w:val="clear" w:color="auto" w:fill="auto"/>
            <w:vAlign w:val="center"/>
          </w:tcPr>
          <w:p w14:paraId="5C0B0579">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304" w:type="dxa"/>
            <w:tcBorders>
              <w:tl2br w:val="nil"/>
              <w:tr2bl w:val="nil"/>
            </w:tcBorders>
            <w:shd w:val="clear" w:color="auto" w:fill="auto"/>
            <w:vAlign w:val="center"/>
          </w:tcPr>
          <w:p w14:paraId="3616B644">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0%</w:t>
            </w:r>
          </w:p>
        </w:tc>
        <w:tc>
          <w:tcPr>
            <w:tcW w:w="1304" w:type="dxa"/>
            <w:tcBorders>
              <w:tl2br w:val="nil"/>
              <w:tr2bl w:val="nil"/>
            </w:tcBorders>
            <w:shd w:val="clear" w:color="auto" w:fill="auto"/>
            <w:vAlign w:val="center"/>
          </w:tcPr>
          <w:p w14:paraId="01C1E6E2">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0</w:t>
            </w:r>
          </w:p>
        </w:tc>
        <w:tc>
          <w:tcPr>
            <w:tcW w:w="1304" w:type="dxa"/>
            <w:tcBorders>
              <w:tl2br w:val="nil"/>
              <w:tr2bl w:val="nil"/>
            </w:tcBorders>
            <w:shd w:val="clear" w:color="auto" w:fill="auto"/>
            <w:vAlign w:val="center"/>
          </w:tcPr>
          <w:p w14:paraId="5BAB3778">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r>
      <w:tr w14:paraId="6BE83C0C">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1740" w:type="dxa"/>
            <w:tcBorders>
              <w:tl2br w:val="nil"/>
              <w:tr2bl w:val="nil"/>
            </w:tcBorders>
            <w:shd w:val="clear" w:color="auto" w:fill="auto"/>
            <w:vAlign w:val="center"/>
          </w:tcPr>
          <w:p w14:paraId="602E7D1E">
            <w:pPr>
              <w:ind w:left="-105" w:right="-105"/>
              <w:jc w:val="center"/>
              <w:textAlignment w:val="center"/>
              <w:rPr>
                <w:color w:val="auto"/>
                <w:sz w:val="21"/>
                <w:szCs w:val="21"/>
                <w:highlight w:val="none"/>
              </w:rPr>
            </w:pPr>
            <w:r>
              <w:rPr>
                <w:rFonts w:hint="eastAsia"/>
                <w:color w:val="auto"/>
                <w:sz w:val="21"/>
                <w:szCs w:val="21"/>
                <w:highlight w:val="none"/>
                <w:lang w:bidi="ar"/>
              </w:rPr>
              <w:t>苯胺</w:t>
            </w:r>
          </w:p>
        </w:tc>
        <w:tc>
          <w:tcPr>
            <w:tcW w:w="1155" w:type="dxa"/>
            <w:tcBorders>
              <w:tl2br w:val="nil"/>
              <w:tr2bl w:val="nil"/>
            </w:tcBorders>
            <w:shd w:val="clear" w:color="auto" w:fill="auto"/>
            <w:vAlign w:val="center"/>
          </w:tcPr>
          <w:p w14:paraId="4B0F8828">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15</w:t>
            </w:r>
          </w:p>
        </w:tc>
        <w:tc>
          <w:tcPr>
            <w:tcW w:w="1015" w:type="dxa"/>
            <w:tcBorders>
              <w:tl2br w:val="nil"/>
              <w:tr2bl w:val="nil"/>
            </w:tcBorders>
            <w:shd w:val="clear" w:color="auto" w:fill="auto"/>
            <w:vAlign w:val="center"/>
          </w:tcPr>
          <w:p w14:paraId="4402B9CC">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mg/kg</w:t>
            </w:r>
          </w:p>
        </w:tc>
        <w:tc>
          <w:tcPr>
            <w:tcW w:w="1304" w:type="dxa"/>
            <w:tcBorders>
              <w:tl2br w:val="nil"/>
              <w:tr2bl w:val="nil"/>
            </w:tcBorders>
            <w:shd w:val="clear" w:color="auto" w:fill="auto"/>
            <w:vAlign w:val="center"/>
          </w:tcPr>
          <w:p w14:paraId="20790467">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304" w:type="dxa"/>
            <w:tcBorders>
              <w:tl2br w:val="nil"/>
              <w:tr2bl w:val="nil"/>
            </w:tcBorders>
            <w:shd w:val="clear" w:color="auto" w:fill="auto"/>
            <w:vAlign w:val="center"/>
          </w:tcPr>
          <w:p w14:paraId="7B2F66A6">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611" w:type="dxa"/>
            <w:tcBorders>
              <w:tl2br w:val="nil"/>
              <w:tr2bl w:val="nil"/>
            </w:tcBorders>
            <w:shd w:val="clear" w:color="auto" w:fill="auto"/>
            <w:vAlign w:val="center"/>
          </w:tcPr>
          <w:p w14:paraId="40E7E9B4">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611" w:type="dxa"/>
            <w:tcBorders>
              <w:tl2br w:val="nil"/>
              <w:tr2bl w:val="nil"/>
            </w:tcBorders>
            <w:shd w:val="clear" w:color="auto" w:fill="auto"/>
            <w:vAlign w:val="center"/>
          </w:tcPr>
          <w:p w14:paraId="67FDA56F">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304" w:type="dxa"/>
            <w:tcBorders>
              <w:tl2br w:val="nil"/>
              <w:tr2bl w:val="nil"/>
            </w:tcBorders>
            <w:shd w:val="clear" w:color="auto" w:fill="auto"/>
            <w:vAlign w:val="center"/>
          </w:tcPr>
          <w:p w14:paraId="02C5473B">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0%</w:t>
            </w:r>
          </w:p>
        </w:tc>
        <w:tc>
          <w:tcPr>
            <w:tcW w:w="1304" w:type="dxa"/>
            <w:tcBorders>
              <w:tl2br w:val="nil"/>
              <w:tr2bl w:val="nil"/>
            </w:tcBorders>
            <w:shd w:val="clear" w:color="auto" w:fill="auto"/>
            <w:vAlign w:val="center"/>
          </w:tcPr>
          <w:p w14:paraId="16E4D483">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0</w:t>
            </w:r>
          </w:p>
        </w:tc>
        <w:tc>
          <w:tcPr>
            <w:tcW w:w="1304" w:type="dxa"/>
            <w:tcBorders>
              <w:tl2br w:val="nil"/>
              <w:tr2bl w:val="nil"/>
            </w:tcBorders>
            <w:shd w:val="clear" w:color="auto" w:fill="auto"/>
            <w:vAlign w:val="center"/>
          </w:tcPr>
          <w:p w14:paraId="4F569B06">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r>
      <w:tr w14:paraId="5D6A5B72">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1740" w:type="dxa"/>
            <w:tcBorders>
              <w:tl2br w:val="nil"/>
              <w:tr2bl w:val="nil"/>
            </w:tcBorders>
            <w:shd w:val="clear" w:color="auto" w:fill="auto"/>
            <w:vAlign w:val="center"/>
          </w:tcPr>
          <w:p w14:paraId="7C909891">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2-</w:t>
            </w:r>
            <w:r>
              <w:rPr>
                <w:rFonts w:hint="eastAsia"/>
                <w:color w:val="auto"/>
                <w:sz w:val="21"/>
                <w:szCs w:val="21"/>
                <w:highlight w:val="none"/>
                <w:lang w:bidi="ar"/>
              </w:rPr>
              <w:t>氯酚</w:t>
            </w:r>
          </w:p>
        </w:tc>
        <w:tc>
          <w:tcPr>
            <w:tcW w:w="1155" w:type="dxa"/>
            <w:tcBorders>
              <w:tl2br w:val="nil"/>
              <w:tr2bl w:val="nil"/>
            </w:tcBorders>
            <w:shd w:val="clear" w:color="auto" w:fill="auto"/>
            <w:vAlign w:val="center"/>
          </w:tcPr>
          <w:p w14:paraId="3E7E3D06">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15</w:t>
            </w:r>
          </w:p>
        </w:tc>
        <w:tc>
          <w:tcPr>
            <w:tcW w:w="1015" w:type="dxa"/>
            <w:tcBorders>
              <w:tl2br w:val="nil"/>
              <w:tr2bl w:val="nil"/>
            </w:tcBorders>
            <w:shd w:val="clear" w:color="auto" w:fill="auto"/>
            <w:vAlign w:val="center"/>
          </w:tcPr>
          <w:p w14:paraId="6780D071">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mg/kg</w:t>
            </w:r>
          </w:p>
        </w:tc>
        <w:tc>
          <w:tcPr>
            <w:tcW w:w="1304" w:type="dxa"/>
            <w:tcBorders>
              <w:tl2br w:val="nil"/>
              <w:tr2bl w:val="nil"/>
            </w:tcBorders>
            <w:shd w:val="clear" w:color="auto" w:fill="auto"/>
            <w:vAlign w:val="center"/>
          </w:tcPr>
          <w:p w14:paraId="58ADE6B5">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304" w:type="dxa"/>
            <w:tcBorders>
              <w:tl2br w:val="nil"/>
              <w:tr2bl w:val="nil"/>
            </w:tcBorders>
            <w:shd w:val="clear" w:color="auto" w:fill="auto"/>
            <w:vAlign w:val="center"/>
          </w:tcPr>
          <w:p w14:paraId="661C0244">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611" w:type="dxa"/>
            <w:tcBorders>
              <w:tl2br w:val="nil"/>
              <w:tr2bl w:val="nil"/>
            </w:tcBorders>
            <w:shd w:val="clear" w:color="auto" w:fill="auto"/>
            <w:vAlign w:val="center"/>
          </w:tcPr>
          <w:p w14:paraId="51CE1724">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611" w:type="dxa"/>
            <w:tcBorders>
              <w:tl2br w:val="nil"/>
              <w:tr2bl w:val="nil"/>
            </w:tcBorders>
            <w:shd w:val="clear" w:color="auto" w:fill="auto"/>
            <w:vAlign w:val="center"/>
          </w:tcPr>
          <w:p w14:paraId="3318C8D1">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304" w:type="dxa"/>
            <w:tcBorders>
              <w:tl2br w:val="nil"/>
              <w:tr2bl w:val="nil"/>
            </w:tcBorders>
            <w:shd w:val="clear" w:color="auto" w:fill="auto"/>
            <w:vAlign w:val="center"/>
          </w:tcPr>
          <w:p w14:paraId="4C8AE392">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0%</w:t>
            </w:r>
          </w:p>
        </w:tc>
        <w:tc>
          <w:tcPr>
            <w:tcW w:w="1304" w:type="dxa"/>
            <w:tcBorders>
              <w:tl2br w:val="nil"/>
              <w:tr2bl w:val="nil"/>
            </w:tcBorders>
            <w:shd w:val="clear" w:color="auto" w:fill="auto"/>
            <w:vAlign w:val="center"/>
          </w:tcPr>
          <w:p w14:paraId="230DB30F">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0</w:t>
            </w:r>
          </w:p>
        </w:tc>
        <w:tc>
          <w:tcPr>
            <w:tcW w:w="1304" w:type="dxa"/>
            <w:tcBorders>
              <w:tl2br w:val="nil"/>
              <w:tr2bl w:val="nil"/>
            </w:tcBorders>
            <w:shd w:val="clear" w:color="auto" w:fill="auto"/>
            <w:vAlign w:val="center"/>
          </w:tcPr>
          <w:p w14:paraId="3058E90D">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r>
      <w:tr w14:paraId="18DA7467">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1740" w:type="dxa"/>
            <w:tcBorders>
              <w:tl2br w:val="nil"/>
              <w:tr2bl w:val="nil"/>
            </w:tcBorders>
            <w:shd w:val="clear" w:color="auto" w:fill="auto"/>
            <w:vAlign w:val="center"/>
          </w:tcPr>
          <w:p w14:paraId="76907AEE">
            <w:pPr>
              <w:ind w:left="-105" w:right="-105"/>
              <w:jc w:val="center"/>
              <w:textAlignment w:val="center"/>
              <w:rPr>
                <w:color w:val="auto"/>
                <w:sz w:val="21"/>
                <w:szCs w:val="21"/>
                <w:highlight w:val="none"/>
              </w:rPr>
            </w:pPr>
            <w:r>
              <w:rPr>
                <w:rFonts w:hint="eastAsia"/>
                <w:color w:val="auto"/>
                <w:sz w:val="21"/>
                <w:szCs w:val="21"/>
                <w:highlight w:val="none"/>
                <w:lang w:bidi="ar"/>
              </w:rPr>
              <w:t>硝基苯</w:t>
            </w:r>
          </w:p>
        </w:tc>
        <w:tc>
          <w:tcPr>
            <w:tcW w:w="1155" w:type="dxa"/>
            <w:tcBorders>
              <w:tl2br w:val="nil"/>
              <w:tr2bl w:val="nil"/>
            </w:tcBorders>
            <w:shd w:val="clear" w:color="auto" w:fill="auto"/>
            <w:vAlign w:val="center"/>
          </w:tcPr>
          <w:p w14:paraId="444D7EE7">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15</w:t>
            </w:r>
          </w:p>
        </w:tc>
        <w:tc>
          <w:tcPr>
            <w:tcW w:w="1015" w:type="dxa"/>
            <w:tcBorders>
              <w:tl2br w:val="nil"/>
              <w:tr2bl w:val="nil"/>
            </w:tcBorders>
            <w:shd w:val="clear" w:color="auto" w:fill="auto"/>
            <w:vAlign w:val="center"/>
          </w:tcPr>
          <w:p w14:paraId="4A252585">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mg/kg</w:t>
            </w:r>
          </w:p>
        </w:tc>
        <w:tc>
          <w:tcPr>
            <w:tcW w:w="1304" w:type="dxa"/>
            <w:tcBorders>
              <w:tl2br w:val="nil"/>
              <w:tr2bl w:val="nil"/>
            </w:tcBorders>
            <w:shd w:val="clear" w:color="auto" w:fill="auto"/>
            <w:vAlign w:val="center"/>
          </w:tcPr>
          <w:p w14:paraId="59D8B1BF">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304" w:type="dxa"/>
            <w:tcBorders>
              <w:tl2br w:val="nil"/>
              <w:tr2bl w:val="nil"/>
            </w:tcBorders>
            <w:shd w:val="clear" w:color="auto" w:fill="auto"/>
            <w:vAlign w:val="center"/>
          </w:tcPr>
          <w:p w14:paraId="1F816AA4">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611" w:type="dxa"/>
            <w:tcBorders>
              <w:tl2br w:val="nil"/>
              <w:tr2bl w:val="nil"/>
            </w:tcBorders>
            <w:shd w:val="clear" w:color="auto" w:fill="auto"/>
            <w:vAlign w:val="center"/>
          </w:tcPr>
          <w:p w14:paraId="606C74E5">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611" w:type="dxa"/>
            <w:tcBorders>
              <w:tl2br w:val="nil"/>
              <w:tr2bl w:val="nil"/>
            </w:tcBorders>
            <w:shd w:val="clear" w:color="auto" w:fill="auto"/>
            <w:vAlign w:val="center"/>
          </w:tcPr>
          <w:p w14:paraId="33C74DC6">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304" w:type="dxa"/>
            <w:tcBorders>
              <w:tl2br w:val="nil"/>
              <w:tr2bl w:val="nil"/>
            </w:tcBorders>
            <w:shd w:val="clear" w:color="auto" w:fill="auto"/>
            <w:vAlign w:val="center"/>
          </w:tcPr>
          <w:p w14:paraId="114C9480">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0%</w:t>
            </w:r>
          </w:p>
        </w:tc>
        <w:tc>
          <w:tcPr>
            <w:tcW w:w="1304" w:type="dxa"/>
            <w:tcBorders>
              <w:tl2br w:val="nil"/>
              <w:tr2bl w:val="nil"/>
            </w:tcBorders>
            <w:shd w:val="clear" w:color="auto" w:fill="auto"/>
            <w:vAlign w:val="center"/>
          </w:tcPr>
          <w:p w14:paraId="6B3AD0C6">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0</w:t>
            </w:r>
          </w:p>
        </w:tc>
        <w:tc>
          <w:tcPr>
            <w:tcW w:w="1304" w:type="dxa"/>
            <w:tcBorders>
              <w:tl2br w:val="nil"/>
              <w:tr2bl w:val="nil"/>
            </w:tcBorders>
            <w:shd w:val="clear" w:color="auto" w:fill="auto"/>
            <w:vAlign w:val="center"/>
          </w:tcPr>
          <w:p w14:paraId="7DAE915F">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r>
      <w:tr w14:paraId="1C926A76">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1740" w:type="dxa"/>
            <w:tcBorders>
              <w:tl2br w:val="nil"/>
              <w:tr2bl w:val="nil"/>
            </w:tcBorders>
            <w:shd w:val="clear" w:color="auto" w:fill="auto"/>
            <w:vAlign w:val="center"/>
          </w:tcPr>
          <w:p w14:paraId="2FA42D3D">
            <w:pPr>
              <w:ind w:left="-105" w:right="-105"/>
              <w:jc w:val="center"/>
              <w:textAlignment w:val="center"/>
              <w:rPr>
                <w:color w:val="auto"/>
                <w:sz w:val="21"/>
                <w:szCs w:val="21"/>
                <w:highlight w:val="none"/>
              </w:rPr>
            </w:pPr>
            <w:r>
              <w:rPr>
                <w:rFonts w:hint="eastAsia"/>
                <w:color w:val="auto"/>
                <w:sz w:val="21"/>
                <w:szCs w:val="21"/>
                <w:highlight w:val="none"/>
                <w:lang w:bidi="ar"/>
              </w:rPr>
              <w:t>萘</w:t>
            </w:r>
          </w:p>
        </w:tc>
        <w:tc>
          <w:tcPr>
            <w:tcW w:w="1155" w:type="dxa"/>
            <w:tcBorders>
              <w:tl2br w:val="nil"/>
              <w:tr2bl w:val="nil"/>
            </w:tcBorders>
            <w:shd w:val="clear" w:color="auto" w:fill="auto"/>
            <w:vAlign w:val="center"/>
          </w:tcPr>
          <w:p w14:paraId="7194A373">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15</w:t>
            </w:r>
          </w:p>
        </w:tc>
        <w:tc>
          <w:tcPr>
            <w:tcW w:w="1015" w:type="dxa"/>
            <w:tcBorders>
              <w:tl2br w:val="nil"/>
              <w:tr2bl w:val="nil"/>
            </w:tcBorders>
            <w:shd w:val="clear" w:color="auto" w:fill="auto"/>
            <w:vAlign w:val="center"/>
          </w:tcPr>
          <w:p w14:paraId="618D160E">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mg/kg</w:t>
            </w:r>
          </w:p>
        </w:tc>
        <w:tc>
          <w:tcPr>
            <w:tcW w:w="1304" w:type="dxa"/>
            <w:tcBorders>
              <w:tl2br w:val="nil"/>
              <w:tr2bl w:val="nil"/>
            </w:tcBorders>
            <w:shd w:val="clear" w:color="auto" w:fill="auto"/>
            <w:vAlign w:val="center"/>
          </w:tcPr>
          <w:p w14:paraId="0F6BD4A0">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304" w:type="dxa"/>
            <w:tcBorders>
              <w:tl2br w:val="nil"/>
              <w:tr2bl w:val="nil"/>
            </w:tcBorders>
            <w:shd w:val="clear" w:color="auto" w:fill="auto"/>
            <w:vAlign w:val="center"/>
          </w:tcPr>
          <w:p w14:paraId="1C8B7DDA">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611" w:type="dxa"/>
            <w:tcBorders>
              <w:tl2br w:val="nil"/>
              <w:tr2bl w:val="nil"/>
            </w:tcBorders>
            <w:shd w:val="clear" w:color="auto" w:fill="auto"/>
            <w:vAlign w:val="center"/>
          </w:tcPr>
          <w:p w14:paraId="6B881AF7">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611" w:type="dxa"/>
            <w:tcBorders>
              <w:tl2br w:val="nil"/>
              <w:tr2bl w:val="nil"/>
            </w:tcBorders>
            <w:shd w:val="clear" w:color="auto" w:fill="auto"/>
            <w:vAlign w:val="center"/>
          </w:tcPr>
          <w:p w14:paraId="1CD8F007">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304" w:type="dxa"/>
            <w:tcBorders>
              <w:tl2br w:val="nil"/>
              <w:tr2bl w:val="nil"/>
            </w:tcBorders>
            <w:shd w:val="clear" w:color="auto" w:fill="auto"/>
            <w:vAlign w:val="center"/>
          </w:tcPr>
          <w:p w14:paraId="24AA39F6">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0%</w:t>
            </w:r>
          </w:p>
        </w:tc>
        <w:tc>
          <w:tcPr>
            <w:tcW w:w="1304" w:type="dxa"/>
            <w:tcBorders>
              <w:tl2br w:val="nil"/>
              <w:tr2bl w:val="nil"/>
            </w:tcBorders>
            <w:shd w:val="clear" w:color="auto" w:fill="auto"/>
            <w:vAlign w:val="center"/>
          </w:tcPr>
          <w:p w14:paraId="68F1AA99">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0</w:t>
            </w:r>
          </w:p>
        </w:tc>
        <w:tc>
          <w:tcPr>
            <w:tcW w:w="1304" w:type="dxa"/>
            <w:tcBorders>
              <w:tl2br w:val="nil"/>
              <w:tr2bl w:val="nil"/>
            </w:tcBorders>
            <w:shd w:val="clear" w:color="auto" w:fill="auto"/>
            <w:vAlign w:val="center"/>
          </w:tcPr>
          <w:p w14:paraId="65569960">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r>
      <w:tr w14:paraId="1DBEC106">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1740" w:type="dxa"/>
            <w:tcBorders>
              <w:tl2br w:val="nil"/>
              <w:tr2bl w:val="nil"/>
            </w:tcBorders>
            <w:shd w:val="clear" w:color="auto" w:fill="auto"/>
            <w:vAlign w:val="center"/>
          </w:tcPr>
          <w:p w14:paraId="0D86BC58">
            <w:pPr>
              <w:ind w:left="-105" w:right="-105"/>
              <w:jc w:val="center"/>
              <w:textAlignment w:val="center"/>
              <w:rPr>
                <w:color w:val="auto"/>
                <w:sz w:val="21"/>
                <w:szCs w:val="21"/>
                <w:highlight w:val="none"/>
              </w:rPr>
            </w:pPr>
            <w:r>
              <w:rPr>
                <w:rFonts w:hint="eastAsia"/>
                <w:color w:val="auto"/>
                <w:sz w:val="21"/>
                <w:szCs w:val="21"/>
                <w:highlight w:val="none"/>
                <w:lang w:bidi="ar"/>
              </w:rPr>
              <w:t>苯并</w:t>
            </w:r>
            <w:r>
              <w:rPr>
                <w:rFonts w:ascii="Times New Roman" w:hAnsi="Times New Roman" w:cs="Times New Roman"/>
                <w:color w:val="auto"/>
                <w:sz w:val="21"/>
                <w:szCs w:val="21"/>
                <w:highlight w:val="none"/>
                <w:lang w:bidi="ar"/>
              </w:rPr>
              <w:t>[a]</w:t>
            </w:r>
            <w:r>
              <w:rPr>
                <w:rFonts w:hint="eastAsia"/>
                <w:color w:val="auto"/>
                <w:sz w:val="21"/>
                <w:szCs w:val="21"/>
                <w:highlight w:val="none"/>
                <w:lang w:bidi="ar"/>
              </w:rPr>
              <w:t>蒽</w:t>
            </w:r>
          </w:p>
        </w:tc>
        <w:tc>
          <w:tcPr>
            <w:tcW w:w="1155" w:type="dxa"/>
            <w:tcBorders>
              <w:tl2br w:val="nil"/>
              <w:tr2bl w:val="nil"/>
            </w:tcBorders>
            <w:shd w:val="clear" w:color="auto" w:fill="auto"/>
            <w:vAlign w:val="center"/>
          </w:tcPr>
          <w:p w14:paraId="56365C3F">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15</w:t>
            </w:r>
          </w:p>
        </w:tc>
        <w:tc>
          <w:tcPr>
            <w:tcW w:w="1015" w:type="dxa"/>
            <w:tcBorders>
              <w:tl2br w:val="nil"/>
              <w:tr2bl w:val="nil"/>
            </w:tcBorders>
            <w:shd w:val="clear" w:color="auto" w:fill="auto"/>
            <w:vAlign w:val="center"/>
          </w:tcPr>
          <w:p w14:paraId="58174FF6">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mg/kg</w:t>
            </w:r>
          </w:p>
        </w:tc>
        <w:tc>
          <w:tcPr>
            <w:tcW w:w="1304" w:type="dxa"/>
            <w:tcBorders>
              <w:tl2br w:val="nil"/>
              <w:tr2bl w:val="nil"/>
            </w:tcBorders>
            <w:shd w:val="clear" w:color="auto" w:fill="auto"/>
            <w:vAlign w:val="center"/>
          </w:tcPr>
          <w:p w14:paraId="68BD0D21">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0.6</w:t>
            </w:r>
          </w:p>
        </w:tc>
        <w:tc>
          <w:tcPr>
            <w:tcW w:w="1304" w:type="dxa"/>
            <w:tcBorders>
              <w:tl2br w:val="nil"/>
              <w:tr2bl w:val="nil"/>
            </w:tcBorders>
            <w:shd w:val="clear" w:color="auto" w:fill="auto"/>
            <w:vAlign w:val="center"/>
          </w:tcPr>
          <w:p w14:paraId="115E69B3">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611" w:type="dxa"/>
            <w:tcBorders>
              <w:tl2br w:val="nil"/>
              <w:tr2bl w:val="nil"/>
            </w:tcBorders>
            <w:shd w:val="clear" w:color="auto" w:fill="auto"/>
            <w:vAlign w:val="center"/>
          </w:tcPr>
          <w:p w14:paraId="116A19EC">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0.11</w:t>
            </w:r>
          </w:p>
        </w:tc>
        <w:tc>
          <w:tcPr>
            <w:tcW w:w="1611" w:type="dxa"/>
            <w:tcBorders>
              <w:tl2br w:val="nil"/>
              <w:tr2bl w:val="nil"/>
            </w:tcBorders>
            <w:shd w:val="clear" w:color="auto" w:fill="auto"/>
            <w:vAlign w:val="center"/>
          </w:tcPr>
          <w:p w14:paraId="1A865E1E">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0.1870</w:t>
            </w:r>
          </w:p>
        </w:tc>
        <w:tc>
          <w:tcPr>
            <w:tcW w:w="1304" w:type="dxa"/>
            <w:tcBorders>
              <w:tl2br w:val="nil"/>
              <w:tr2bl w:val="nil"/>
            </w:tcBorders>
            <w:shd w:val="clear" w:color="auto" w:fill="auto"/>
            <w:vAlign w:val="center"/>
          </w:tcPr>
          <w:p w14:paraId="31BF77FD">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33%</w:t>
            </w:r>
          </w:p>
        </w:tc>
        <w:tc>
          <w:tcPr>
            <w:tcW w:w="1304" w:type="dxa"/>
            <w:tcBorders>
              <w:tl2br w:val="nil"/>
              <w:tr2bl w:val="nil"/>
            </w:tcBorders>
            <w:shd w:val="clear" w:color="auto" w:fill="auto"/>
            <w:vAlign w:val="center"/>
          </w:tcPr>
          <w:p w14:paraId="3F07B9BE">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0</w:t>
            </w:r>
          </w:p>
        </w:tc>
        <w:tc>
          <w:tcPr>
            <w:tcW w:w="1304" w:type="dxa"/>
            <w:tcBorders>
              <w:tl2br w:val="nil"/>
              <w:tr2bl w:val="nil"/>
            </w:tcBorders>
            <w:shd w:val="clear" w:color="auto" w:fill="auto"/>
            <w:vAlign w:val="center"/>
          </w:tcPr>
          <w:p w14:paraId="3875AA0E">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r>
      <w:tr w14:paraId="3CE1CC19">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1740" w:type="dxa"/>
            <w:tcBorders>
              <w:tl2br w:val="nil"/>
              <w:tr2bl w:val="nil"/>
            </w:tcBorders>
            <w:shd w:val="clear" w:color="auto" w:fill="auto"/>
            <w:vAlign w:val="center"/>
          </w:tcPr>
          <w:p w14:paraId="5AC3777F">
            <w:pPr>
              <w:ind w:left="-105" w:right="-105"/>
              <w:jc w:val="center"/>
              <w:textAlignment w:val="center"/>
              <w:rPr>
                <w:color w:val="auto"/>
                <w:sz w:val="21"/>
                <w:szCs w:val="21"/>
                <w:highlight w:val="none"/>
              </w:rPr>
            </w:pPr>
            <w:r>
              <w:rPr>
                <w:rFonts w:hint="eastAsia"/>
                <w:color w:val="auto"/>
                <w:sz w:val="21"/>
                <w:szCs w:val="21"/>
                <w:highlight w:val="none"/>
                <w:lang w:bidi="ar"/>
              </w:rPr>
              <w:t>䓛</w:t>
            </w:r>
          </w:p>
        </w:tc>
        <w:tc>
          <w:tcPr>
            <w:tcW w:w="1155" w:type="dxa"/>
            <w:tcBorders>
              <w:tl2br w:val="nil"/>
              <w:tr2bl w:val="nil"/>
            </w:tcBorders>
            <w:shd w:val="clear" w:color="auto" w:fill="auto"/>
            <w:vAlign w:val="center"/>
          </w:tcPr>
          <w:p w14:paraId="723F9BC3">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15</w:t>
            </w:r>
          </w:p>
        </w:tc>
        <w:tc>
          <w:tcPr>
            <w:tcW w:w="1015" w:type="dxa"/>
            <w:tcBorders>
              <w:tl2br w:val="nil"/>
              <w:tr2bl w:val="nil"/>
            </w:tcBorders>
            <w:shd w:val="clear" w:color="auto" w:fill="auto"/>
            <w:vAlign w:val="center"/>
          </w:tcPr>
          <w:p w14:paraId="1A6A693A">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mg/kg</w:t>
            </w:r>
          </w:p>
        </w:tc>
        <w:tc>
          <w:tcPr>
            <w:tcW w:w="1304" w:type="dxa"/>
            <w:tcBorders>
              <w:tl2br w:val="nil"/>
              <w:tr2bl w:val="nil"/>
            </w:tcBorders>
            <w:shd w:val="clear" w:color="auto" w:fill="auto"/>
            <w:vAlign w:val="center"/>
          </w:tcPr>
          <w:p w14:paraId="6CD083DF">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0.6</w:t>
            </w:r>
          </w:p>
        </w:tc>
        <w:tc>
          <w:tcPr>
            <w:tcW w:w="1304" w:type="dxa"/>
            <w:tcBorders>
              <w:tl2br w:val="nil"/>
              <w:tr2bl w:val="nil"/>
            </w:tcBorders>
            <w:shd w:val="clear" w:color="auto" w:fill="auto"/>
            <w:vAlign w:val="center"/>
          </w:tcPr>
          <w:p w14:paraId="5AD2B6D6">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611" w:type="dxa"/>
            <w:tcBorders>
              <w:tl2br w:val="nil"/>
              <w:tr2bl w:val="nil"/>
            </w:tcBorders>
            <w:shd w:val="clear" w:color="auto" w:fill="auto"/>
            <w:vAlign w:val="center"/>
          </w:tcPr>
          <w:p w14:paraId="58EF86D0">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0.11</w:t>
            </w:r>
          </w:p>
        </w:tc>
        <w:tc>
          <w:tcPr>
            <w:tcW w:w="1611" w:type="dxa"/>
            <w:tcBorders>
              <w:tl2br w:val="nil"/>
              <w:tr2bl w:val="nil"/>
            </w:tcBorders>
            <w:shd w:val="clear" w:color="auto" w:fill="auto"/>
            <w:vAlign w:val="center"/>
          </w:tcPr>
          <w:p w14:paraId="42B42474">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0.1995</w:t>
            </w:r>
          </w:p>
        </w:tc>
        <w:tc>
          <w:tcPr>
            <w:tcW w:w="1304" w:type="dxa"/>
            <w:tcBorders>
              <w:tl2br w:val="nil"/>
              <w:tr2bl w:val="nil"/>
            </w:tcBorders>
            <w:shd w:val="clear" w:color="auto" w:fill="auto"/>
            <w:vAlign w:val="center"/>
          </w:tcPr>
          <w:p w14:paraId="1BF4BB5E">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33%</w:t>
            </w:r>
          </w:p>
        </w:tc>
        <w:tc>
          <w:tcPr>
            <w:tcW w:w="1304" w:type="dxa"/>
            <w:tcBorders>
              <w:tl2br w:val="nil"/>
              <w:tr2bl w:val="nil"/>
            </w:tcBorders>
            <w:shd w:val="clear" w:color="auto" w:fill="auto"/>
            <w:vAlign w:val="center"/>
          </w:tcPr>
          <w:p w14:paraId="3F5D373E">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0</w:t>
            </w:r>
          </w:p>
        </w:tc>
        <w:tc>
          <w:tcPr>
            <w:tcW w:w="1304" w:type="dxa"/>
            <w:tcBorders>
              <w:tl2br w:val="nil"/>
              <w:tr2bl w:val="nil"/>
            </w:tcBorders>
            <w:shd w:val="clear" w:color="auto" w:fill="auto"/>
            <w:vAlign w:val="center"/>
          </w:tcPr>
          <w:p w14:paraId="2179564C">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r>
      <w:tr w14:paraId="0CFDAF20">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1740" w:type="dxa"/>
            <w:tcBorders>
              <w:tl2br w:val="nil"/>
              <w:tr2bl w:val="nil"/>
            </w:tcBorders>
            <w:shd w:val="clear" w:color="auto" w:fill="auto"/>
            <w:vAlign w:val="center"/>
          </w:tcPr>
          <w:p w14:paraId="4085D072">
            <w:pPr>
              <w:ind w:left="-105" w:right="-105"/>
              <w:jc w:val="center"/>
              <w:textAlignment w:val="center"/>
              <w:rPr>
                <w:color w:val="auto"/>
                <w:sz w:val="21"/>
                <w:szCs w:val="21"/>
                <w:highlight w:val="none"/>
              </w:rPr>
            </w:pPr>
            <w:r>
              <w:rPr>
                <w:rFonts w:hint="eastAsia"/>
                <w:color w:val="auto"/>
                <w:sz w:val="21"/>
                <w:szCs w:val="21"/>
                <w:highlight w:val="none"/>
                <w:lang w:bidi="ar"/>
              </w:rPr>
              <w:t>苯并</w:t>
            </w:r>
            <w:r>
              <w:rPr>
                <w:rFonts w:ascii="Times New Roman" w:hAnsi="Times New Roman" w:cs="Times New Roman"/>
                <w:color w:val="auto"/>
                <w:sz w:val="21"/>
                <w:szCs w:val="21"/>
                <w:highlight w:val="none"/>
                <w:lang w:bidi="ar"/>
              </w:rPr>
              <w:t>[b]</w:t>
            </w:r>
            <w:r>
              <w:rPr>
                <w:rFonts w:hint="eastAsia"/>
                <w:color w:val="auto"/>
                <w:sz w:val="21"/>
                <w:szCs w:val="21"/>
                <w:highlight w:val="none"/>
                <w:lang w:bidi="ar"/>
              </w:rPr>
              <w:t>荧蒽</w:t>
            </w:r>
          </w:p>
        </w:tc>
        <w:tc>
          <w:tcPr>
            <w:tcW w:w="1155" w:type="dxa"/>
            <w:tcBorders>
              <w:tl2br w:val="nil"/>
              <w:tr2bl w:val="nil"/>
            </w:tcBorders>
            <w:shd w:val="clear" w:color="auto" w:fill="auto"/>
            <w:vAlign w:val="center"/>
          </w:tcPr>
          <w:p w14:paraId="5D0FB026">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15</w:t>
            </w:r>
          </w:p>
        </w:tc>
        <w:tc>
          <w:tcPr>
            <w:tcW w:w="1015" w:type="dxa"/>
            <w:tcBorders>
              <w:tl2br w:val="nil"/>
              <w:tr2bl w:val="nil"/>
            </w:tcBorders>
            <w:shd w:val="clear" w:color="auto" w:fill="auto"/>
            <w:vAlign w:val="center"/>
          </w:tcPr>
          <w:p w14:paraId="5AEEEC20">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mg/kg</w:t>
            </w:r>
          </w:p>
        </w:tc>
        <w:tc>
          <w:tcPr>
            <w:tcW w:w="1304" w:type="dxa"/>
            <w:tcBorders>
              <w:tl2br w:val="nil"/>
              <w:tr2bl w:val="nil"/>
            </w:tcBorders>
            <w:shd w:val="clear" w:color="auto" w:fill="auto"/>
            <w:vAlign w:val="center"/>
          </w:tcPr>
          <w:p w14:paraId="1B6302CE">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0.5</w:t>
            </w:r>
          </w:p>
        </w:tc>
        <w:tc>
          <w:tcPr>
            <w:tcW w:w="1304" w:type="dxa"/>
            <w:tcBorders>
              <w:tl2br w:val="nil"/>
              <w:tr2bl w:val="nil"/>
            </w:tcBorders>
            <w:shd w:val="clear" w:color="auto" w:fill="auto"/>
            <w:vAlign w:val="center"/>
          </w:tcPr>
          <w:p w14:paraId="35130BD3">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611" w:type="dxa"/>
            <w:tcBorders>
              <w:tl2br w:val="nil"/>
              <w:tr2bl w:val="nil"/>
            </w:tcBorders>
            <w:shd w:val="clear" w:color="auto" w:fill="auto"/>
            <w:vAlign w:val="center"/>
          </w:tcPr>
          <w:p w14:paraId="50BCE61D">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0.10</w:t>
            </w:r>
          </w:p>
        </w:tc>
        <w:tc>
          <w:tcPr>
            <w:tcW w:w="1611" w:type="dxa"/>
            <w:tcBorders>
              <w:tl2br w:val="nil"/>
              <w:tr2bl w:val="nil"/>
            </w:tcBorders>
            <w:shd w:val="clear" w:color="auto" w:fill="auto"/>
            <w:vAlign w:val="center"/>
          </w:tcPr>
          <w:p w14:paraId="3B77AE7F">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0.1813</w:t>
            </w:r>
          </w:p>
        </w:tc>
        <w:tc>
          <w:tcPr>
            <w:tcW w:w="1304" w:type="dxa"/>
            <w:tcBorders>
              <w:tl2br w:val="nil"/>
              <w:tr2bl w:val="nil"/>
            </w:tcBorders>
            <w:shd w:val="clear" w:color="auto" w:fill="auto"/>
            <w:vAlign w:val="center"/>
          </w:tcPr>
          <w:p w14:paraId="486BACB7">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27%</w:t>
            </w:r>
          </w:p>
        </w:tc>
        <w:tc>
          <w:tcPr>
            <w:tcW w:w="1304" w:type="dxa"/>
            <w:tcBorders>
              <w:tl2br w:val="nil"/>
              <w:tr2bl w:val="nil"/>
            </w:tcBorders>
            <w:shd w:val="clear" w:color="auto" w:fill="auto"/>
            <w:vAlign w:val="center"/>
          </w:tcPr>
          <w:p w14:paraId="7E63999E">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0</w:t>
            </w:r>
          </w:p>
        </w:tc>
        <w:tc>
          <w:tcPr>
            <w:tcW w:w="1304" w:type="dxa"/>
            <w:tcBorders>
              <w:tl2br w:val="nil"/>
              <w:tr2bl w:val="nil"/>
            </w:tcBorders>
            <w:shd w:val="clear" w:color="auto" w:fill="auto"/>
            <w:vAlign w:val="center"/>
          </w:tcPr>
          <w:p w14:paraId="4FC67216">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r>
      <w:tr w14:paraId="0BCC2226">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1740" w:type="dxa"/>
            <w:tcBorders>
              <w:tl2br w:val="nil"/>
              <w:tr2bl w:val="nil"/>
            </w:tcBorders>
            <w:shd w:val="clear" w:color="auto" w:fill="auto"/>
            <w:vAlign w:val="center"/>
          </w:tcPr>
          <w:p w14:paraId="62CF12FC">
            <w:pPr>
              <w:ind w:left="-105" w:right="-105"/>
              <w:jc w:val="center"/>
              <w:textAlignment w:val="center"/>
              <w:rPr>
                <w:color w:val="auto"/>
                <w:sz w:val="21"/>
                <w:szCs w:val="21"/>
                <w:highlight w:val="none"/>
              </w:rPr>
            </w:pPr>
            <w:r>
              <w:rPr>
                <w:rFonts w:hint="eastAsia"/>
                <w:color w:val="auto"/>
                <w:sz w:val="21"/>
                <w:szCs w:val="21"/>
                <w:highlight w:val="none"/>
                <w:lang w:bidi="ar"/>
              </w:rPr>
              <w:t>苯并</w:t>
            </w:r>
            <w:r>
              <w:rPr>
                <w:rFonts w:ascii="Times New Roman" w:hAnsi="Times New Roman" w:cs="Times New Roman"/>
                <w:color w:val="auto"/>
                <w:sz w:val="21"/>
                <w:szCs w:val="21"/>
                <w:highlight w:val="none"/>
                <w:lang w:bidi="ar"/>
              </w:rPr>
              <w:t>[k]</w:t>
            </w:r>
            <w:r>
              <w:rPr>
                <w:rFonts w:hint="eastAsia"/>
                <w:color w:val="auto"/>
                <w:sz w:val="21"/>
                <w:szCs w:val="21"/>
                <w:highlight w:val="none"/>
                <w:lang w:bidi="ar"/>
              </w:rPr>
              <w:t>荧蒽</w:t>
            </w:r>
          </w:p>
        </w:tc>
        <w:tc>
          <w:tcPr>
            <w:tcW w:w="1155" w:type="dxa"/>
            <w:tcBorders>
              <w:tl2br w:val="nil"/>
              <w:tr2bl w:val="nil"/>
            </w:tcBorders>
            <w:shd w:val="clear" w:color="auto" w:fill="auto"/>
            <w:vAlign w:val="center"/>
          </w:tcPr>
          <w:p w14:paraId="148C8CB4">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15</w:t>
            </w:r>
          </w:p>
        </w:tc>
        <w:tc>
          <w:tcPr>
            <w:tcW w:w="1015" w:type="dxa"/>
            <w:tcBorders>
              <w:tl2br w:val="nil"/>
              <w:tr2bl w:val="nil"/>
            </w:tcBorders>
            <w:shd w:val="clear" w:color="auto" w:fill="auto"/>
            <w:vAlign w:val="center"/>
          </w:tcPr>
          <w:p w14:paraId="16D50ED3">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mg/kg</w:t>
            </w:r>
          </w:p>
        </w:tc>
        <w:tc>
          <w:tcPr>
            <w:tcW w:w="1304" w:type="dxa"/>
            <w:tcBorders>
              <w:tl2br w:val="nil"/>
              <w:tr2bl w:val="nil"/>
            </w:tcBorders>
            <w:shd w:val="clear" w:color="auto" w:fill="auto"/>
            <w:vAlign w:val="center"/>
          </w:tcPr>
          <w:p w14:paraId="4FE01820">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0.4</w:t>
            </w:r>
          </w:p>
        </w:tc>
        <w:tc>
          <w:tcPr>
            <w:tcW w:w="1304" w:type="dxa"/>
            <w:tcBorders>
              <w:tl2br w:val="nil"/>
              <w:tr2bl w:val="nil"/>
            </w:tcBorders>
            <w:shd w:val="clear" w:color="auto" w:fill="auto"/>
            <w:vAlign w:val="center"/>
          </w:tcPr>
          <w:p w14:paraId="516D9A29">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611" w:type="dxa"/>
            <w:tcBorders>
              <w:tl2br w:val="nil"/>
              <w:tr2bl w:val="nil"/>
            </w:tcBorders>
            <w:shd w:val="clear" w:color="auto" w:fill="auto"/>
            <w:vAlign w:val="center"/>
          </w:tcPr>
          <w:p w14:paraId="7CB5A80C">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0.08</w:t>
            </w:r>
          </w:p>
        </w:tc>
        <w:tc>
          <w:tcPr>
            <w:tcW w:w="1611" w:type="dxa"/>
            <w:tcBorders>
              <w:tl2br w:val="nil"/>
              <w:tr2bl w:val="nil"/>
            </w:tcBorders>
            <w:shd w:val="clear" w:color="auto" w:fill="auto"/>
            <w:vAlign w:val="center"/>
          </w:tcPr>
          <w:p w14:paraId="4088A907">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0.1424</w:t>
            </w:r>
          </w:p>
        </w:tc>
        <w:tc>
          <w:tcPr>
            <w:tcW w:w="1304" w:type="dxa"/>
            <w:tcBorders>
              <w:tl2br w:val="nil"/>
              <w:tr2bl w:val="nil"/>
            </w:tcBorders>
            <w:shd w:val="clear" w:color="auto" w:fill="auto"/>
            <w:vAlign w:val="center"/>
          </w:tcPr>
          <w:p w14:paraId="63284F42">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27%</w:t>
            </w:r>
          </w:p>
        </w:tc>
        <w:tc>
          <w:tcPr>
            <w:tcW w:w="1304" w:type="dxa"/>
            <w:tcBorders>
              <w:tl2br w:val="nil"/>
              <w:tr2bl w:val="nil"/>
            </w:tcBorders>
            <w:shd w:val="clear" w:color="auto" w:fill="auto"/>
            <w:vAlign w:val="center"/>
          </w:tcPr>
          <w:p w14:paraId="3F926BEA">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0</w:t>
            </w:r>
          </w:p>
        </w:tc>
        <w:tc>
          <w:tcPr>
            <w:tcW w:w="1304" w:type="dxa"/>
            <w:tcBorders>
              <w:tl2br w:val="nil"/>
              <w:tr2bl w:val="nil"/>
            </w:tcBorders>
            <w:shd w:val="clear" w:color="auto" w:fill="auto"/>
            <w:vAlign w:val="center"/>
          </w:tcPr>
          <w:p w14:paraId="0D07798F">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r>
      <w:tr w14:paraId="4436C59D">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1740" w:type="dxa"/>
            <w:tcBorders>
              <w:tl2br w:val="nil"/>
              <w:tr2bl w:val="nil"/>
            </w:tcBorders>
            <w:shd w:val="clear" w:color="auto" w:fill="auto"/>
            <w:vAlign w:val="center"/>
          </w:tcPr>
          <w:p w14:paraId="0D6E34A1">
            <w:pPr>
              <w:ind w:left="-105" w:right="-105"/>
              <w:jc w:val="center"/>
              <w:textAlignment w:val="center"/>
              <w:rPr>
                <w:color w:val="auto"/>
                <w:sz w:val="21"/>
                <w:szCs w:val="21"/>
                <w:highlight w:val="none"/>
              </w:rPr>
            </w:pPr>
            <w:r>
              <w:rPr>
                <w:rFonts w:hint="eastAsia"/>
                <w:color w:val="auto"/>
                <w:sz w:val="21"/>
                <w:szCs w:val="21"/>
                <w:highlight w:val="none"/>
                <w:lang w:bidi="ar"/>
              </w:rPr>
              <w:t>苯并</w:t>
            </w:r>
            <w:r>
              <w:rPr>
                <w:rFonts w:ascii="Times New Roman" w:hAnsi="Times New Roman" w:cs="Times New Roman"/>
                <w:color w:val="auto"/>
                <w:sz w:val="21"/>
                <w:szCs w:val="21"/>
                <w:highlight w:val="none"/>
                <w:lang w:bidi="ar"/>
              </w:rPr>
              <w:t>[a]</w:t>
            </w:r>
            <w:r>
              <w:rPr>
                <w:rFonts w:hint="eastAsia"/>
                <w:color w:val="auto"/>
                <w:sz w:val="21"/>
                <w:szCs w:val="21"/>
                <w:highlight w:val="none"/>
                <w:lang w:bidi="ar"/>
              </w:rPr>
              <w:t>芘</w:t>
            </w:r>
          </w:p>
        </w:tc>
        <w:tc>
          <w:tcPr>
            <w:tcW w:w="1155" w:type="dxa"/>
            <w:tcBorders>
              <w:tl2br w:val="nil"/>
              <w:tr2bl w:val="nil"/>
            </w:tcBorders>
            <w:shd w:val="clear" w:color="auto" w:fill="auto"/>
            <w:vAlign w:val="center"/>
          </w:tcPr>
          <w:p w14:paraId="5EF1C446">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15</w:t>
            </w:r>
          </w:p>
        </w:tc>
        <w:tc>
          <w:tcPr>
            <w:tcW w:w="1015" w:type="dxa"/>
            <w:tcBorders>
              <w:tl2br w:val="nil"/>
              <w:tr2bl w:val="nil"/>
            </w:tcBorders>
            <w:shd w:val="clear" w:color="auto" w:fill="auto"/>
            <w:vAlign w:val="center"/>
          </w:tcPr>
          <w:p w14:paraId="18496470">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mg/kg</w:t>
            </w:r>
          </w:p>
        </w:tc>
        <w:tc>
          <w:tcPr>
            <w:tcW w:w="1304" w:type="dxa"/>
            <w:tcBorders>
              <w:tl2br w:val="nil"/>
              <w:tr2bl w:val="nil"/>
            </w:tcBorders>
            <w:shd w:val="clear" w:color="auto" w:fill="auto"/>
            <w:vAlign w:val="center"/>
          </w:tcPr>
          <w:p w14:paraId="0B293BA6">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0.4</w:t>
            </w:r>
          </w:p>
        </w:tc>
        <w:tc>
          <w:tcPr>
            <w:tcW w:w="1304" w:type="dxa"/>
            <w:tcBorders>
              <w:tl2br w:val="nil"/>
              <w:tr2bl w:val="nil"/>
            </w:tcBorders>
            <w:shd w:val="clear" w:color="auto" w:fill="auto"/>
            <w:vAlign w:val="center"/>
          </w:tcPr>
          <w:p w14:paraId="217B8975">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611" w:type="dxa"/>
            <w:tcBorders>
              <w:tl2br w:val="nil"/>
              <w:tr2bl w:val="nil"/>
            </w:tcBorders>
            <w:shd w:val="clear" w:color="auto" w:fill="auto"/>
            <w:vAlign w:val="center"/>
          </w:tcPr>
          <w:p w14:paraId="1057147D">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0.07</w:t>
            </w:r>
          </w:p>
        </w:tc>
        <w:tc>
          <w:tcPr>
            <w:tcW w:w="1611" w:type="dxa"/>
            <w:tcBorders>
              <w:tl2br w:val="nil"/>
              <w:tr2bl w:val="nil"/>
            </w:tcBorders>
            <w:shd w:val="clear" w:color="auto" w:fill="auto"/>
            <w:vAlign w:val="center"/>
          </w:tcPr>
          <w:p w14:paraId="0BA9361A">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0.1291</w:t>
            </w:r>
          </w:p>
        </w:tc>
        <w:tc>
          <w:tcPr>
            <w:tcW w:w="1304" w:type="dxa"/>
            <w:tcBorders>
              <w:tl2br w:val="nil"/>
              <w:tr2bl w:val="nil"/>
            </w:tcBorders>
            <w:shd w:val="clear" w:color="auto" w:fill="auto"/>
            <w:vAlign w:val="center"/>
          </w:tcPr>
          <w:p w14:paraId="05108204">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27%</w:t>
            </w:r>
          </w:p>
        </w:tc>
        <w:tc>
          <w:tcPr>
            <w:tcW w:w="1304" w:type="dxa"/>
            <w:tcBorders>
              <w:tl2br w:val="nil"/>
              <w:tr2bl w:val="nil"/>
            </w:tcBorders>
            <w:shd w:val="clear" w:color="auto" w:fill="auto"/>
            <w:vAlign w:val="center"/>
          </w:tcPr>
          <w:p w14:paraId="00F93C16">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0</w:t>
            </w:r>
          </w:p>
        </w:tc>
        <w:tc>
          <w:tcPr>
            <w:tcW w:w="1304" w:type="dxa"/>
            <w:tcBorders>
              <w:tl2br w:val="nil"/>
              <w:tr2bl w:val="nil"/>
            </w:tcBorders>
            <w:shd w:val="clear" w:color="auto" w:fill="auto"/>
            <w:vAlign w:val="center"/>
          </w:tcPr>
          <w:p w14:paraId="3D602685">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r>
      <w:tr w14:paraId="03EBC8D7">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1740" w:type="dxa"/>
            <w:tcBorders>
              <w:tl2br w:val="nil"/>
              <w:tr2bl w:val="nil"/>
            </w:tcBorders>
            <w:shd w:val="clear" w:color="auto" w:fill="auto"/>
            <w:vAlign w:val="center"/>
          </w:tcPr>
          <w:p w14:paraId="4880AB12">
            <w:pPr>
              <w:ind w:left="-105" w:right="-105"/>
              <w:jc w:val="center"/>
              <w:textAlignment w:val="center"/>
              <w:rPr>
                <w:color w:val="auto"/>
                <w:sz w:val="21"/>
                <w:szCs w:val="21"/>
                <w:highlight w:val="none"/>
              </w:rPr>
            </w:pPr>
            <w:r>
              <w:rPr>
                <w:rFonts w:hint="eastAsia"/>
                <w:color w:val="auto"/>
                <w:sz w:val="21"/>
                <w:szCs w:val="21"/>
                <w:highlight w:val="none"/>
                <w:lang w:bidi="ar"/>
              </w:rPr>
              <w:t>茚并</w:t>
            </w:r>
            <w:r>
              <w:rPr>
                <w:rFonts w:ascii="Times New Roman" w:hAnsi="Times New Roman" w:cs="Times New Roman"/>
                <w:color w:val="auto"/>
                <w:sz w:val="21"/>
                <w:szCs w:val="21"/>
                <w:highlight w:val="none"/>
                <w:lang w:bidi="ar"/>
              </w:rPr>
              <w:t>[1,2,3-cd]</w:t>
            </w:r>
            <w:r>
              <w:rPr>
                <w:rFonts w:hint="eastAsia"/>
                <w:color w:val="auto"/>
                <w:sz w:val="21"/>
                <w:szCs w:val="21"/>
                <w:highlight w:val="none"/>
                <w:lang w:bidi="ar"/>
              </w:rPr>
              <w:t>芘</w:t>
            </w:r>
          </w:p>
        </w:tc>
        <w:tc>
          <w:tcPr>
            <w:tcW w:w="1155" w:type="dxa"/>
            <w:tcBorders>
              <w:tl2br w:val="nil"/>
              <w:tr2bl w:val="nil"/>
            </w:tcBorders>
            <w:shd w:val="clear" w:color="auto" w:fill="auto"/>
            <w:vAlign w:val="center"/>
          </w:tcPr>
          <w:p w14:paraId="0FD748B2">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15</w:t>
            </w:r>
          </w:p>
        </w:tc>
        <w:tc>
          <w:tcPr>
            <w:tcW w:w="1015" w:type="dxa"/>
            <w:tcBorders>
              <w:tl2br w:val="nil"/>
              <w:tr2bl w:val="nil"/>
            </w:tcBorders>
            <w:shd w:val="clear" w:color="auto" w:fill="auto"/>
            <w:vAlign w:val="center"/>
          </w:tcPr>
          <w:p w14:paraId="14C39E98">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mg/kg</w:t>
            </w:r>
          </w:p>
        </w:tc>
        <w:tc>
          <w:tcPr>
            <w:tcW w:w="1304" w:type="dxa"/>
            <w:tcBorders>
              <w:tl2br w:val="nil"/>
              <w:tr2bl w:val="nil"/>
            </w:tcBorders>
            <w:shd w:val="clear" w:color="auto" w:fill="auto"/>
            <w:vAlign w:val="center"/>
          </w:tcPr>
          <w:p w14:paraId="220C4C1A">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0.3</w:t>
            </w:r>
          </w:p>
        </w:tc>
        <w:tc>
          <w:tcPr>
            <w:tcW w:w="1304" w:type="dxa"/>
            <w:tcBorders>
              <w:tl2br w:val="nil"/>
              <w:tr2bl w:val="nil"/>
            </w:tcBorders>
            <w:shd w:val="clear" w:color="auto" w:fill="auto"/>
            <w:vAlign w:val="center"/>
          </w:tcPr>
          <w:p w14:paraId="6E7E3087">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611" w:type="dxa"/>
            <w:tcBorders>
              <w:tl2br w:val="nil"/>
              <w:tr2bl w:val="nil"/>
            </w:tcBorders>
            <w:shd w:val="clear" w:color="auto" w:fill="auto"/>
            <w:vAlign w:val="center"/>
          </w:tcPr>
          <w:p w14:paraId="472C37CB">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0.07</w:t>
            </w:r>
          </w:p>
        </w:tc>
        <w:tc>
          <w:tcPr>
            <w:tcW w:w="1611" w:type="dxa"/>
            <w:tcBorders>
              <w:tl2br w:val="nil"/>
              <w:tr2bl w:val="nil"/>
            </w:tcBorders>
            <w:shd w:val="clear" w:color="auto" w:fill="auto"/>
            <w:vAlign w:val="center"/>
          </w:tcPr>
          <w:p w14:paraId="1777FBF1">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0.1175</w:t>
            </w:r>
          </w:p>
        </w:tc>
        <w:tc>
          <w:tcPr>
            <w:tcW w:w="1304" w:type="dxa"/>
            <w:tcBorders>
              <w:tl2br w:val="nil"/>
              <w:tr2bl w:val="nil"/>
            </w:tcBorders>
            <w:shd w:val="clear" w:color="auto" w:fill="auto"/>
            <w:vAlign w:val="center"/>
          </w:tcPr>
          <w:p w14:paraId="7B2ED0D4">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27%</w:t>
            </w:r>
          </w:p>
        </w:tc>
        <w:tc>
          <w:tcPr>
            <w:tcW w:w="1304" w:type="dxa"/>
            <w:tcBorders>
              <w:tl2br w:val="nil"/>
              <w:tr2bl w:val="nil"/>
            </w:tcBorders>
            <w:shd w:val="clear" w:color="auto" w:fill="auto"/>
            <w:vAlign w:val="center"/>
          </w:tcPr>
          <w:p w14:paraId="03C4BC9E">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0</w:t>
            </w:r>
          </w:p>
        </w:tc>
        <w:tc>
          <w:tcPr>
            <w:tcW w:w="1304" w:type="dxa"/>
            <w:tcBorders>
              <w:tl2br w:val="nil"/>
              <w:tr2bl w:val="nil"/>
            </w:tcBorders>
            <w:shd w:val="clear" w:color="auto" w:fill="auto"/>
            <w:vAlign w:val="center"/>
          </w:tcPr>
          <w:p w14:paraId="6AA74AEC">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r>
      <w:tr w14:paraId="5EAC2EEE">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1740" w:type="dxa"/>
            <w:tcBorders>
              <w:tl2br w:val="nil"/>
              <w:tr2bl w:val="nil"/>
            </w:tcBorders>
            <w:shd w:val="clear" w:color="auto" w:fill="auto"/>
            <w:vAlign w:val="center"/>
          </w:tcPr>
          <w:p w14:paraId="5E0EBA77">
            <w:pPr>
              <w:ind w:left="-105" w:right="-105"/>
              <w:jc w:val="center"/>
              <w:textAlignment w:val="center"/>
              <w:rPr>
                <w:color w:val="auto"/>
                <w:sz w:val="21"/>
                <w:szCs w:val="21"/>
                <w:highlight w:val="none"/>
              </w:rPr>
            </w:pPr>
            <w:r>
              <w:rPr>
                <w:rFonts w:hint="eastAsia"/>
                <w:color w:val="auto"/>
                <w:sz w:val="21"/>
                <w:szCs w:val="21"/>
                <w:highlight w:val="none"/>
                <w:lang w:bidi="ar"/>
              </w:rPr>
              <w:t>二苯并</w:t>
            </w:r>
            <w:r>
              <w:rPr>
                <w:rFonts w:ascii="Times New Roman" w:hAnsi="Times New Roman" w:cs="Times New Roman"/>
                <w:color w:val="auto"/>
                <w:sz w:val="21"/>
                <w:szCs w:val="21"/>
                <w:highlight w:val="none"/>
                <w:lang w:bidi="ar"/>
              </w:rPr>
              <w:t>[a,h]</w:t>
            </w:r>
            <w:r>
              <w:rPr>
                <w:rFonts w:hint="eastAsia"/>
                <w:color w:val="auto"/>
                <w:sz w:val="21"/>
                <w:szCs w:val="21"/>
                <w:highlight w:val="none"/>
                <w:lang w:bidi="ar"/>
              </w:rPr>
              <w:t>蒽</w:t>
            </w:r>
          </w:p>
        </w:tc>
        <w:tc>
          <w:tcPr>
            <w:tcW w:w="1155" w:type="dxa"/>
            <w:tcBorders>
              <w:tl2br w:val="nil"/>
              <w:tr2bl w:val="nil"/>
            </w:tcBorders>
            <w:shd w:val="clear" w:color="auto" w:fill="auto"/>
            <w:vAlign w:val="center"/>
          </w:tcPr>
          <w:p w14:paraId="6B7954B3">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15</w:t>
            </w:r>
          </w:p>
        </w:tc>
        <w:tc>
          <w:tcPr>
            <w:tcW w:w="1015" w:type="dxa"/>
            <w:tcBorders>
              <w:tl2br w:val="nil"/>
              <w:tr2bl w:val="nil"/>
            </w:tcBorders>
            <w:shd w:val="clear" w:color="auto" w:fill="auto"/>
            <w:vAlign w:val="center"/>
          </w:tcPr>
          <w:p w14:paraId="6066D365">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mg/kg</w:t>
            </w:r>
          </w:p>
        </w:tc>
        <w:tc>
          <w:tcPr>
            <w:tcW w:w="1304" w:type="dxa"/>
            <w:tcBorders>
              <w:tl2br w:val="nil"/>
              <w:tr2bl w:val="nil"/>
            </w:tcBorders>
            <w:shd w:val="clear" w:color="auto" w:fill="auto"/>
            <w:vAlign w:val="center"/>
          </w:tcPr>
          <w:p w14:paraId="24372D21">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304" w:type="dxa"/>
            <w:tcBorders>
              <w:tl2br w:val="nil"/>
              <w:tr2bl w:val="nil"/>
            </w:tcBorders>
            <w:shd w:val="clear" w:color="auto" w:fill="auto"/>
            <w:vAlign w:val="center"/>
          </w:tcPr>
          <w:p w14:paraId="24D8BB2F">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611" w:type="dxa"/>
            <w:tcBorders>
              <w:tl2br w:val="nil"/>
              <w:tr2bl w:val="nil"/>
            </w:tcBorders>
            <w:shd w:val="clear" w:color="auto" w:fill="auto"/>
            <w:vAlign w:val="center"/>
          </w:tcPr>
          <w:p w14:paraId="0250ACB5">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611" w:type="dxa"/>
            <w:tcBorders>
              <w:tl2br w:val="nil"/>
              <w:tr2bl w:val="nil"/>
            </w:tcBorders>
            <w:shd w:val="clear" w:color="auto" w:fill="auto"/>
            <w:vAlign w:val="center"/>
          </w:tcPr>
          <w:p w14:paraId="2CA55DD4">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ND</w:t>
            </w:r>
          </w:p>
        </w:tc>
        <w:tc>
          <w:tcPr>
            <w:tcW w:w="1304" w:type="dxa"/>
            <w:tcBorders>
              <w:tl2br w:val="nil"/>
              <w:tr2bl w:val="nil"/>
            </w:tcBorders>
            <w:shd w:val="clear" w:color="auto" w:fill="auto"/>
            <w:vAlign w:val="center"/>
          </w:tcPr>
          <w:p w14:paraId="5C54EF88">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0%</w:t>
            </w:r>
          </w:p>
        </w:tc>
        <w:tc>
          <w:tcPr>
            <w:tcW w:w="1304" w:type="dxa"/>
            <w:tcBorders>
              <w:tl2br w:val="nil"/>
              <w:tr2bl w:val="nil"/>
            </w:tcBorders>
            <w:shd w:val="clear" w:color="auto" w:fill="auto"/>
            <w:vAlign w:val="center"/>
          </w:tcPr>
          <w:p w14:paraId="1C4A165F">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0</w:t>
            </w:r>
          </w:p>
        </w:tc>
        <w:tc>
          <w:tcPr>
            <w:tcW w:w="1304" w:type="dxa"/>
            <w:tcBorders>
              <w:tl2br w:val="nil"/>
              <w:tr2bl w:val="nil"/>
            </w:tcBorders>
            <w:shd w:val="clear" w:color="auto" w:fill="auto"/>
            <w:vAlign w:val="center"/>
          </w:tcPr>
          <w:p w14:paraId="6EE2238D">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w:t>
            </w:r>
          </w:p>
        </w:tc>
      </w:tr>
    </w:tbl>
    <w:p w14:paraId="71EB748E">
      <w:pPr>
        <w:spacing w:line="360" w:lineRule="auto"/>
        <w:ind w:left="-105" w:right="-105" w:firstLine="480" w:firstLineChars="200"/>
        <w:rPr>
          <w:rFonts w:ascii="Times New Roman" w:hAnsi="Times New Roman"/>
          <w:color w:val="auto"/>
          <w:highlight w:val="none"/>
        </w:rPr>
      </w:pPr>
    </w:p>
    <w:p w14:paraId="21ACF9F3">
      <w:pPr>
        <w:spacing w:line="360" w:lineRule="auto"/>
        <w:ind w:left="-105" w:right="-105" w:firstLine="480" w:firstLineChars="200"/>
        <w:rPr>
          <w:rFonts w:ascii="Times New Roman" w:hAnsi="Times New Roman"/>
          <w:color w:val="auto"/>
          <w:highlight w:val="none"/>
        </w:rPr>
      </w:pPr>
    </w:p>
    <w:p w14:paraId="6FDD5C9E">
      <w:pPr>
        <w:spacing w:line="360" w:lineRule="auto"/>
        <w:ind w:left="-105" w:right="-105"/>
        <w:rPr>
          <w:rFonts w:ascii="Times New Roman" w:hAnsi="Times New Roman"/>
          <w:color w:val="auto"/>
          <w:highlight w:val="none"/>
        </w:rPr>
        <w:sectPr>
          <w:pgSz w:w="16838" w:h="11906" w:orient="landscape"/>
          <w:pgMar w:top="1797" w:right="1701" w:bottom="1514" w:left="1701" w:header="851" w:footer="851" w:gutter="0"/>
          <w:pgBorders>
            <w:top w:val="none" w:sz="0" w:space="0"/>
            <w:left w:val="none" w:sz="0" w:space="0"/>
            <w:bottom w:val="none" w:sz="0" w:space="0"/>
            <w:right w:val="none" w:sz="0" w:space="0"/>
          </w:pgBorders>
          <w:cols w:space="720" w:num="1"/>
          <w:docGrid w:linePitch="498" w:charSpace="0"/>
        </w:sectPr>
      </w:pPr>
    </w:p>
    <w:p w14:paraId="66405D19">
      <w:pPr>
        <w:keepNext w:val="0"/>
        <w:keepLines w:val="0"/>
        <w:pageBreakBefore w:val="0"/>
        <w:widowControl/>
        <w:kinsoku/>
        <w:wordWrap/>
        <w:overflowPunct/>
        <w:topLinePunct w:val="0"/>
        <w:autoSpaceDE/>
        <w:autoSpaceDN/>
        <w:bidi w:val="0"/>
        <w:adjustRightInd/>
        <w:snapToGrid/>
        <w:spacing w:line="360" w:lineRule="auto"/>
        <w:ind w:left="0" w:right="0" w:firstLine="482"/>
        <w:jc w:val="both"/>
        <w:textAlignment w:val="auto"/>
        <w:rPr>
          <w:rFonts w:ascii="Times New Roman" w:hAnsi="Times New Roman"/>
          <w:color w:val="auto"/>
          <w:highlight w:val="none"/>
        </w:rPr>
      </w:pPr>
      <w:r>
        <w:rPr>
          <w:rFonts w:ascii="Times New Roman" w:hAnsi="Times New Roman" w:cs="Times New Roman"/>
          <w:color w:val="auto"/>
          <w:highlight w:val="none"/>
        </w:rPr>
        <w:t>监测结果显示，</w:t>
      </w:r>
      <w:r>
        <w:rPr>
          <w:rFonts w:hint="eastAsia" w:ascii="Times New Roman" w:hAnsi="Times New Roman" w:cs="Times New Roman"/>
          <w:color w:val="auto"/>
          <w:highlight w:val="none"/>
          <w:lang w:val="en-US" w:eastAsia="zh-CN"/>
        </w:rPr>
        <w:t>厂内</w:t>
      </w:r>
      <w:r>
        <w:rPr>
          <w:rFonts w:ascii="Times New Roman" w:hAnsi="Times New Roman" w:cs="Times New Roman"/>
          <w:color w:val="auto"/>
          <w:highlight w:val="none"/>
        </w:rPr>
        <w:t>各监测点位土壤中各因子均能够达到《土壤环境质量建设用地土壤污染风险管控标准（试行）》（GB36600-2018）中表1筛选值中</w:t>
      </w:r>
      <w:r>
        <w:rPr>
          <w:rFonts w:hint="eastAsia" w:ascii="Times New Roman" w:hAnsi="Times New Roman" w:cs="Times New Roman"/>
          <w:color w:val="auto"/>
          <w:highlight w:val="none"/>
        </w:rPr>
        <w:t>“</w:t>
      </w:r>
      <w:r>
        <w:rPr>
          <w:rFonts w:ascii="Times New Roman" w:hAnsi="Times New Roman" w:cs="Times New Roman"/>
          <w:color w:val="auto"/>
          <w:highlight w:val="none"/>
        </w:rPr>
        <w:t>第二类用地</w:t>
      </w:r>
      <w:r>
        <w:rPr>
          <w:rFonts w:hint="eastAsia" w:ascii="Times New Roman" w:hAnsi="Times New Roman" w:cs="Times New Roman"/>
          <w:color w:val="auto"/>
          <w:highlight w:val="none"/>
        </w:rPr>
        <w:t>”</w:t>
      </w:r>
      <w:r>
        <w:rPr>
          <w:rFonts w:ascii="Times New Roman" w:hAnsi="Times New Roman" w:cs="Times New Roman"/>
          <w:color w:val="auto"/>
          <w:highlight w:val="none"/>
        </w:rPr>
        <w:t>标准，</w:t>
      </w:r>
      <w:r>
        <w:rPr>
          <w:rFonts w:hint="eastAsia"/>
          <w:color w:val="auto"/>
          <w:highlight w:val="none"/>
        </w:rPr>
        <w:t>敏感点</w:t>
      </w:r>
      <w:r>
        <w:rPr>
          <w:rFonts w:hint="default" w:ascii="Times New Roman" w:hAnsi="Times New Roman" w:cs="Times New Roman"/>
          <w:color w:val="auto"/>
          <w:highlight w:val="none"/>
        </w:rPr>
        <w:t>处满足《土壤环境质量建设用地土壤污染风险管控标准（试行）》（GB36600-2018）中第一类</w:t>
      </w:r>
      <w:r>
        <w:rPr>
          <w:rFonts w:hint="eastAsia"/>
          <w:color w:val="auto"/>
          <w:highlight w:val="none"/>
        </w:rPr>
        <w:t>用地要求筛选值要求</w:t>
      </w:r>
      <w:r>
        <w:rPr>
          <w:rFonts w:hint="eastAsia"/>
          <w:color w:val="auto"/>
          <w:highlight w:val="none"/>
          <w:lang w:eastAsia="zh-CN"/>
        </w:rPr>
        <w:t>，</w:t>
      </w:r>
      <w:r>
        <w:rPr>
          <w:rFonts w:ascii="Times New Roman" w:hAnsi="Times New Roman" w:cs="Times New Roman"/>
          <w:color w:val="auto"/>
          <w:highlight w:val="none"/>
        </w:rPr>
        <w:t>pH达到《环境影响评价技术导则 土壤环境（试行）》（HJ964-2018）表D.2中标准，土壤无酸化或碱化情况</w:t>
      </w:r>
      <w:r>
        <w:rPr>
          <w:rFonts w:ascii="Times New Roman" w:hAnsi="Times New Roman"/>
          <w:color w:val="auto"/>
          <w:highlight w:val="none"/>
        </w:rPr>
        <w:t>。</w:t>
      </w:r>
    </w:p>
    <w:p w14:paraId="46784EB8">
      <w:pPr>
        <w:spacing w:line="360" w:lineRule="auto"/>
        <w:ind w:left="-105" w:right="-105" w:firstLine="480"/>
        <w:rPr>
          <w:rFonts w:ascii="Times New Roman" w:hAnsi="Times New Roman"/>
          <w:color w:val="auto"/>
          <w:highlight w:val="none"/>
        </w:rPr>
      </w:pPr>
    </w:p>
    <w:p w14:paraId="7A8D4558">
      <w:pPr>
        <w:spacing w:line="360" w:lineRule="auto"/>
        <w:ind w:left="-105" w:right="-105" w:firstLine="400"/>
        <w:rPr>
          <w:rFonts w:ascii="Times New Roman" w:hAnsi="Times New Roman"/>
          <w:color w:val="auto"/>
          <w:sz w:val="20"/>
          <w:szCs w:val="20"/>
          <w:highlight w:val="none"/>
        </w:rPr>
        <w:sectPr>
          <w:headerReference r:id="rId21" w:type="default"/>
          <w:headerReference r:id="rId22" w:type="even"/>
          <w:pgSz w:w="11906" w:h="16838"/>
          <w:pgMar w:top="1440" w:right="1701" w:bottom="1440" w:left="1701" w:header="851" w:footer="851" w:gutter="0"/>
          <w:pgBorders>
            <w:top w:val="none" w:sz="0" w:space="0"/>
            <w:left w:val="none" w:sz="0" w:space="0"/>
            <w:bottom w:val="none" w:sz="0" w:space="0"/>
            <w:right w:val="none" w:sz="0" w:space="0"/>
          </w:pgBorders>
          <w:cols w:space="720" w:num="1"/>
          <w:docGrid w:linePitch="498" w:charSpace="-2336"/>
        </w:sectPr>
      </w:pPr>
    </w:p>
    <w:p w14:paraId="4A75C6BB">
      <w:pPr>
        <w:pStyle w:val="3"/>
        <w:numPr>
          <w:ilvl w:val="0"/>
          <w:numId w:val="6"/>
        </w:numPr>
        <w:spacing w:before="120" w:beforeLines="50" w:afterLines="50" w:line="360" w:lineRule="auto"/>
        <w:ind w:left="-105" w:right="-105"/>
        <w:rPr>
          <w:rFonts w:ascii="Times New Roman" w:eastAsia="宋体"/>
          <w:color w:val="auto"/>
          <w:sz w:val="32"/>
          <w:szCs w:val="32"/>
          <w:highlight w:val="none"/>
        </w:rPr>
      </w:pPr>
      <w:bookmarkStart w:id="356" w:name="_Toc21074"/>
      <w:bookmarkStart w:id="357" w:name="_Toc15160"/>
      <w:bookmarkStart w:id="358" w:name="_Toc60653544"/>
      <w:r>
        <w:rPr>
          <w:rFonts w:ascii="Times New Roman" w:eastAsia="宋体"/>
          <w:color w:val="auto"/>
          <w:sz w:val="32"/>
          <w:szCs w:val="32"/>
          <w:highlight w:val="none"/>
        </w:rPr>
        <w:t>环境影响预测与评价</w:t>
      </w:r>
      <w:bookmarkEnd w:id="356"/>
      <w:bookmarkEnd w:id="357"/>
      <w:bookmarkEnd w:id="358"/>
    </w:p>
    <w:p w14:paraId="4D2AF0AD">
      <w:pPr>
        <w:pStyle w:val="4"/>
        <w:numPr>
          <w:ilvl w:val="1"/>
          <w:numId w:val="6"/>
        </w:numPr>
        <w:tabs>
          <w:tab w:val="left" w:pos="426"/>
        </w:tabs>
        <w:spacing w:before="120" w:beforeLines="50" w:after="120" w:afterLines="50" w:line="360" w:lineRule="auto"/>
        <w:ind w:left="-105" w:right="-105"/>
        <w:rPr>
          <w:rFonts w:ascii="Times New Roman" w:eastAsia="宋体"/>
          <w:color w:val="auto"/>
          <w:sz w:val="28"/>
          <w:szCs w:val="28"/>
          <w:highlight w:val="none"/>
        </w:rPr>
      </w:pPr>
      <w:bookmarkStart w:id="359" w:name="_Toc60653545"/>
      <w:bookmarkStart w:id="360" w:name="_Toc1026"/>
      <w:bookmarkStart w:id="361" w:name="_Toc1955"/>
      <w:r>
        <w:rPr>
          <w:rFonts w:ascii="Times New Roman" w:eastAsia="宋体"/>
          <w:color w:val="auto"/>
          <w:sz w:val="28"/>
          <w:szCs w:val="28"/>
          <w:highlight w:val="none"/>
        </w:rPr>
        <w:t>大气环境影响分析</w:t>
      </w:r>
      <w:bookmarkEnd w:id="359"/>
      <w:bookmarkEnd w:id="360"/>
    </w:p>
    <w:p w14:paraId="172ECCDC">
      <w:pPr>
        <w:pStyle w:val="5"/>
        <w:keepLines w:val="0"/>
        <w:numPr>
          <w:ilvl w:val="2"/>
          <w:numId w:val="0"/>
        </w:numPr>
        <w:tabs>
          <w:tab w:val="left" w:pos="567"/>
          <w:tab w:val="left" w:pos="709"/>
          <w:tab w:val="left" w:pos="993"/>
          <w:tab w:val="left" w:pos="6663"/>
        </w:tabs>
        <w:spacing w:before="0" w:after="0" w:line="360" w:lineRule="auto"/>
        <w:ind w:right="-105"/>
        <w:rPr>
          <w:rFonts w:eastAsia="宋体"/>
          <w:color w:val="auto"/>
          <w:sz w:val="28"/>
          <w:szCs w:val="28"/>
          <w:highlight w:val="none"/>
        </w:rPr>
      </w:pPr>
      <w:bookmarkStart w:id="362" w:name="_Toc60653546"/>
      <w:r>
        <w:rPr>
          <w:rFonts w:hint="eastAsia" w:eastAsia="宋体"/>
          <w:color w:val="auto"/>
          <w:sz w:val="28"/>
          <w:szCs w:val="28"/>
          <w:highlight w:val="none"/>
        </w:rPr>
        <w:t>6.1.1</w:t>
      </w:r>
      <w:r>
        <w:rPr>
          <w:rFonts w:eastAsia="宋体"/>
          <w:color w:val="auto"/>
          <w:sz w:val="28"/>
          <w:szCs w:val="28"/>
          <w:highlight w:val="none"/>
        </w:rPr>
        <w:t>基本气象参数</w:t>
      </w:r>
      <w:bookmarkEnd w:id="362"/>
    </w:p>
    <w:p w14:paraId="6966CE7B">
      <w:pPr>
        <w:spacing w:line="360" w:lineRule="auto"/>
        <w:ind w:left="-105" w:right="-105" w:firstLine="480" w:firstLineChars="200"/>
        <w:jc w:val="both"/>
        <w:rPr>
          <w:rFonts w:ascii="Times New Roman" w:hAnsi="Times New Roman"/>
          <w:color w:val="auto"/>
          <w:szCs w:val="18"/>
          <w:highlight w:val="none"/>
        </w:rPr>
      </w:pPr>
      <w:r>
        <w:rPr>
          <w:rFonts w:ascii="Times New Roman" w:hAnsi="Times New Roman" w:cs="Times New Roman"/>
          <w:color w:val="auto"/>
          <w:highlight w:val="none"/>
        </w:rPr>
        <w:t>本项目位于无锡市锡山区。评价区域近20年风向、风速、风频统计见</w:t>
      </w:r>
      <w:r>
        <w:rPr>
          <w:rFonts w:ascii="Times New Roman" w:hAnsi="Times New Roman" w:cs="Times New Roman"/>
          <w:color w:val="auto"/>
          <w:highlight w:val="none"/>
        </w:rPr>
        <w:fldChar w:fldCharType="begin"/>
      </w:r>
      <w:r>
        <w:rPr>
          <w:rFonts w:ascii="Times New Roman" w:hAnsi="Times New Roman" w:cs="Times New Roman"/>
          <w:color w:val="auto"/>
          <w:highlight w:val="none"/>
        </w:rPr>
        <w:instrText xml:space="preserve"> REF _Ref38869888 \h  \* MERGEFORMAT </w:instrText>
      </w:r>
      <w:r>
        <w:rPr>
          <w:rFonts w:ascii="Times New Roman" w:hAnsi="Times New Roman" w:cs="Times New Roman"/>
          <w:color w:val="auto"/>
          <w:highlight w:val="none"/>
        </w:rPr>
        <w:fldChar w:fldCharType="separate"/>
      </w:r>
      <w:r>
        <w:rPr>
          <w:rFonts w:ascii="Times New Roman" w:hAnsi="Times New Roman" w:cs="Times New Roman"/>
          <w:color w:val="auto"/>
          <w:szCs w:val="18"/>
          <w:highlight w:val="none"/>
        </w:rPr>
        <w:t>表</w:t>
      </w:r>
      <w:r>
        <w:rPr>
          <w:rFonts w:ascii="Times New Roman" w:hAnsi="Times New Roman" w:cs="Times New Roman"/>
          <w:color w:val="auto"/>
          <w:szCs w:val="18"/>
          <w:highlight w:val="none"/>
        </w:rPr>
        <w:fldChar w:fldCharType="begin"/>
      </w:r>
      <w:r>
        <w:rPr>
          <w:rFonts w:ascii="Times New Roman" w:hAnsi="Times New Roman" w:cs="Times New Roman"/>
          <w:color w:val="auto"/>
          <w:szCs w:val="18"/>
          <w:highlight w:val="none"/>
        </w:rPr>
        <w:instrText xml:space="preserve"> STYLEREF 2</w:instrText>
      </w:r>
      <w:r>
        <w:rPr>
          <w:rFonts w:ascii="Times New Roman" w:hAnsi="Times New Roman" w:cs="Times New Roman"/>
          <w:color w:val="auto"/>
          <w:highlight w:val="none"/>
        </w:rPr>
        <w:instrText xml:space="preserve"> \s </w:instrText>
      </w:r>
      <w:r>
        <w:rPr>
          <w:rFonts w:ascii="Times New Roman" w:hAnsi="Times New Roman" w:cs="Times New Roman"/>
          <w:color w:val="auto"/>
          <w:highlight w:val="none"/>
        </w:rPr>
        <w:fldChar w:fldCharType="separate"/>
      </w:r>
      <w:r>
        <w:rPr>
          <w:rFonts w:ascii="Times New Roman" w:hAnsi="Times New Roman" w:cs="Times New Roman"/>
          <w:color w:val="auto"/>
          <w:highlight w:val="none"/>
        </w:rPr>
        <w:t>6.1</w:t>
      </w:r>
      <w:r>
        <w:rPr>
          <w:rFonts w:ascii="Times New Roman" w:hAnsi="Times New Roman" w:cs="Times New Roman"/>
          <w:color w:val="auto"/>
          <w:highlight w:val="none"/>
        </w:rPr>
        <w:fldChar w:fldCharType="end"/>
      </w:r>
      <w:r>
        <w:rPr>
          <w:rFonts w:ascii="Times New Roman" w:hAnsi="Times New Roman" w:cs="Times New Roman"/>
          <w:color w:val="auto"/>
          <w:highlight w:val="none"/>
        </w:rPr>
        <w:noBreakHyphen/>
      </w:r>
      <w:r>
        <w:rPr>
          <w:rFonts w:ascii="Times New Roman" w:hAnsi="Times New Roman" w:cs="Times New Roman"/>
          <w:color w:val="auto"/>
          <w:highlight w:val="none"/>
        </w:rPr>
        <w:t>1</w:t>
      </w:r>
      <w:r>
        <w:rPr>
          <w:rFonts w:ascii="Times New Roman" w:hAnsi="Times New Roman" w:cs="Times New Roman"/>
          <w:color w:val="auto"/>
          <w:highlight w:val="none"/>
        </w:rPr>
        <w:fldChar w:fldCharType="end"/>
      </w:r>
      <w:r>
        <w:rPr>
          <w:rFonts w:ascii="Times New Roman" w:hAnsi="Times New Roman" w:cs="Times New Roman"/>
          <w:color w:val="auto"/>
          <w:highlight w:val="none"/>
        </w:rPr>
        <w:t>、</w:t>
      </w:r>
      <w:r>
        <w:rPr>
          <w:rFonts w:ascii="Times New Roman" w:hAnsi="Times New Roman" w:cs="Times New Roman"/>
          <w:color w:val="auto"/>
          <w:highlight w:val="none"/>
        </w:rPr>
        <w:fldChar w:fldCharType="begin"/>
      </w:r>
      <w:r>
        <w:rPr>
          <w:rFonts w:ascii="Times New Roman" w:hAnsi="Times New Roman" w:cs="Times New Roman"/>
          <w:color w:val="auto"/>
          <w:highlight w:val="none"/>
        </w:rPr>
        <w:instrText xml:space="preserve"> REF _Ref38869901 \h  \* MERGEFORMAT </w:instrText>
      </w:r>
      <w:r>
        <w:rPr>
          <w:rFonts w:ascii="Times New Roman" w:hAnsi="Times New Roman" w:cs="Times New Roman"/>
          <w:color w:val="auto"/>
          <w:highlight w:val="none"/>
        </w:rPr>
        <w:fldChar w:fldCharType="separate"/>
      </w:r>
      <w:r>
        <w:rPr>
          <w:rFonts w:ascii="Times New Roman" w:hAnsi="Times New Roman" w:cs="Times New Roman"/>
          <w:color w:val="auto"/>
          <w:szCs w:val="22"/>
          <w:highlight w:val="none"/>
        </w:rPr>
        <w:t>表</w:t>
      </w:r>
      <w:r>
        <w:rPr>
          <w:rFonts w:ascii="Times New Roman" w:hAnsi="Times New Roman" w:cs="Times New Roman"/>
          <w:color w:val="auto"/>
          <w:szCs w:val="22"/>
          <w:highlight w:val="none"/>
        </w:rPr>
        <w:fldChar w:fldCharType="begin"/>
      </w:r>
      <w:r>
        <w:rPr>
          <w:rFonts w:ascii="Times New Roman" w:hAnsi="Times New Roman" w:cs="Times New Roman"/>
          <w:color w:val="auto"/>
          <w:szCs w:val="18"/>
          <w:highlight w:val="none"/>
        </w:rPr>
        <w:instrText xml:space="preserve"> STYLEREF 2</w:instrText>
      </w:r>
      <w:r>
        <w:rPr>
          <w:rFonts w:ascii="Times New Roman" w:hAnsi="Times New Roman" w:cs="Times New Roman"/>
          <w:color w:val="auto"/>
          <w:highlight w:val="none"/>
        </w:rPr>
        <w:instrText xml:space="preserve"> \s </w:instrText>
      </w:r>
      <w:r>
        <w:rPr>
          <w:rFonts w:ascii="Times New Roman" w:hAnsi="Times New Roman" w:cs="Times New Roman"/>
          <w:color w:val="auto"/>
          <w:highlight w:val="none"/>
        </w:rPr>
        <w:fldChar w:fldCharType="separate"/>
      </w:r>
      <w:r>
        <w:rPr>
          <w:rFonts w:ascii="Times New Roman" w:hAnsi="Times New Roman" w:cs="Times New Roman"/>
          <w:color w:val="auto"/>
          <w:highlight w:val="none"/>
        </w:rPr>
        <w:t>6.1</w:t>
      </w:r>
      <w:r>
        <w:rPr>
          <w:rFonts w:ascii="Times New Roman" w:hAnsi="Times New Roman" w:cs="Times New Roman"/>
          <w:color w:val="auto"/>
          <w:highlight w:val="none"/>
        </w:rPr>
        <w:fldChar w:fldCharType="end"/>
      </w:r>
      <w:r>
        <w:rPr>
          <w:rFonts w:ascii="Times New Roman" w:hAnsi="Times New Roman" w:cs="Times New Roman"/>
          <w:color w:val="auto"/>
          <w:highlight w:val="none"/>
        </w:rPr>
        <w:noBreakHyphen/>
      </w:r>
      <w:r>
        <w:rPr>
          <w:rFonts w:ascii="Times New Roman" w:hAnsi="Times New Roman" w:cs="Times New Roman"/>
          <w:color w:val="auto"/>
          <w:highlight w:val="none"/>
        </w:rPr>
        <w:t>2</w:t>
      </w:r>
      <w:r>
        <w:rPr>
          <w:rFonts w:ascii="Times New Roman" w:hAnsi="Times New Roman" w:cs="Times New Roman"/>
          <w:color w:val="auto"/>
          <w:highlight w:val="none"/>
        </w:rPr>
        <w:fldChar w:fldCharType="end"/>
      </w:r>
      <w:r>
        <w:rPr>
          <w:rFonts w:ascii="Times New Roman" w:hAnsi="Times New Roman" w:cs="Times New Roman"/>
          <w:color w:val="auto"/>
          <w:highlight w:val="none"/>
        </w:rPr>
        <w:t>。由统计资料可见，年盛行风为ESE，达10.4%。各风向平均风速在2.36-2.82m/s之间。各季节盛行风向不尽相同，冬季以WNW为主，春夏季以ESE为主；秋季则以NE为主。常年静风频率12.8%，全年平均风速2.63m/s，各季风速变化不大。全年各风向上污染风频和风向频率基本一致，以SE、ESE方向为最大，达10.87%和10.60%，以WSW方向为最小，仅2.61%。</w:t>
      </w:r>
    </w:p>
    <w:p w14:paraId="46E9B6A8">
      <w:pPr>
        <w:pStyle w:val="15"/>
        <w:spacing w:line="360" w:lineRule="auto"/>
        <w:ind w:left="-105" w:right="-105" w:firstLine="482"/>
        <w:rPr>
          <w:rFonts w:eastAsia="宋体" w:cs="Times New Roman"/>
          <w:color w:val="auto"/>
          <w:kern w:val="0"/>
          <w:sz w:val="24"/>
          <w:szCs w:val="24"/>
          <w:highlight w:val="none"/>
        </w:rPr>
      </w:pPr>
      <w:bookmarkStart w:id="363" w:name="_Ref38869888"/>
      <w:r>
        <w:rPr>
          <w:rFonts w:eastAsia="宋体" w:cs="Times New Roman"/>
          <w:color w:val="auto"/>
          <w:sz w:val="24"/>
          <w:szCs w:val="18"/>
          <w:highlight w:val="none"/>
        </w:rPr>
        <w:t>表</w:t>
      </w:r>
      <w:r>
        <w:rPr>
          <w:rFonts w:eastAsia="宋体" w:cs="Times New Roman"/>
          <w:color w:val="auto"/>
          <w:sz w:val="24"/>
          <w:szCs w:val="18"/>
          <w:highlight w:val="none"/>
        </w:rPr>
        <w:fldChar w:fldCharType="begin"/>
      </w:r>
      <w:r>
        <w:rPr>
          <w:rFonts w:eastAsia="宋体" w:cs="Times New Roman"/>
          <w:color w:val="auto"/>
          <w:sz w:val="24"/>
          <w:szCs w:val="18"/>
          <w:highlight w:val="none"/>
        </w:rPr>
        <w:instrText xml:space="preserve"> STYLEREF 2 \s </w:instrText>
      </w:r>
      <w:r>
        <w:rPr>
          <w:rFonts w:eastAsia="宋体" w:cs="Times New Roman"/>
          <w:color w:val="auto"/>
          <w:sz w:val="24"/>
          <w:szCs w:val="18"/>
          <w:highlight w:val="none"/>
        </w:rPr>
        <w:fldChar w:fldCharType="separate"/>
      </w:r>
      <w:r>
        <w:rPr>
          <w:rFonts w:eastAsia="宋体" w:cs="Times New Roman"/>
          <w:color w:val="auto"/>
          <w:sz w:val="24"/>
          <w:szCs w:val="18"/>
          <w:highlight w:val="none"/>
        </w:rPr>
        <w:t>6.1</w:t>
      </w:r>
      <w:r>
        <w:rPr>
          <w:rFonts w:eastAsia="宋体" w:cs="Times New Roman"/>
          <w:color w:val="auto"/>
          <w:sz w:val="24"/>
          <w:szCs w:val="18"/>
          <w:highlight w:val="none"/>
        </w:rPr>
        <w:fldChar w:fldCharType="end"/>
      </w:r>
      <w:r>
        <w:rPr>
          <w:rFonts w:eastAsia="宋体" w:cs="Times New Roman"/>
          <w:color w:val="auto"/>
          <w:sz w:val="24"/>
          <w:szCs w:val="18"/>
          <w:highlight w:val="none"/>
        </w:rPr>
        <w:noBreakHyphen/>
      </w:r>
      <w:r>
        <w:rPr>
          <w:rFonts w:eastAsia="宋体" w:cs="Times New Roman"/>
          <w:color w:val="auto"/>
          <w:sz w:val="24"/>
          <w:szCs w:val="18"/>
          <w:highlight w:val="none"/>
        </w:rPr>
        <w:fldChar w:fldCharType="begin"/>
      </w:r>
      <w:r>
        <w:rPr>
          <w:rFonts w:eastAsia="宋体" w:cs="Times New Roman"/>
          <w:color w:val="auto"/>
          <w:sz w:val="24"/>
          <w:szCs w:val="18"/>
          <w:highlight w:val="none"/>
        </w:rPr>
        <w:instrText xml:space="preserve"> SEQ 表 \* ARABIC \s 2 </w:instrText>
      </w:r>
      <w:r>
        <w:rPr>
          <w:rFonts w:eastAsia="宋体" w:cs="Times New Roman"/>
          <w:color w:val="auto"/>
          <w:sz w:val="24"/>
          <w:szCs w:val="18"/>
          <w:highlight w:val="none"/>
        </w:rPr>
        <w:fldChar w:fldCharType="separate"/>
      </w:r>
      <w:r>
        <w:rPr>
          <w:rFonts w:eastAsia="宋体" w:cs="Times New Roman"/>
          <w:color w:val="auto"/>
          <w:sz w:val="24"/>
          <w:szCs w:val="18"/>
          <w:highlight w:val="none"/>
        </w:rPr>
        <w:t>1</w:t>
      </w:r>
      <w:r>
        <w:rPr>
          <w:rFonts w:eastAsia="宋体" w:cs="Times New Roman"/>
          <w:color w:val="auto"/>
          <w:sz w:val="24"/>
          <w:szCs w:val="18"/>
          <w:highlight w:val="none"/>
        </w:rPr>
        <w:fldChar w:fldCharType="end"/>
      </w:r>
      <w:bookmarkEnd w:id="363"/>
      <w:r>
        <w:rPr>
          <w:rFonts w:eastAsia="宋体" w:cs="Times New Roman"/>
          <w:color w:val="auto"/>
          <w:kern w:val="0"/>
          <w:sz w:val="24"/>
          <w:szCs w:val="24"/>
          <w:highlight w:val="none"/>
        </w:rPr>
        <w:t>无锡近20年各风向平均风速、风向频率（%）和污染风频</w:t>
      </w:r>
    </w:p>
    <w:tbl>
      <w:tblPr>
        <w:tblStyle w:val="45"/>
        <w:tblW w:w="8728"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257"/>
        <w:gridCol w:w="830"/>
        <w:gridCol w:w="830"/>
        <w:gridCol w:w="830"/>
        <w:gridCol w:w="830"/>
        <w:gridCol w:w="830"/>
        <w:gridCol w:w="830"/>
        <w:gridCol w:w="830"/>
        <w:gridCol w:w="830"/>
        <w:gridCol w:w="831"/>
      </w:tblGrid>
      <w:tr w14:paraId="1E2177F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05" w:hRule="atLeast"/>
          <w:jc w:val="center"/>
        </w:trPr>
        <w:tc>
          <w:tcPr>
            <w:tcW w:w="1257" w:type="dxa"/>
            <w:vAlign w:val="center"/>
          </w:tcPr>
          <w:p w14:paraId="1FC8373B">
            <w:pPr>
              <w:ind w:left="-105" w:right="-105"/>
              <w:jc w:val="center"/>
              <w:rPr>
                <w:rFonts w:ascii="Times New Roman" w:hAnsi="Times New Roman"/>
                <w:b/>
                <w:bCs/>
                <w:color w:val="auto"/>
                <w:sz w:val="21"/>
                <w:szCs w:val="21"/>
                <w:highlight w:val="none"/>
              </w:rPr>
            </w:pPr>
            <w:r>
              <w:rPr>
                <w:rFonts w:ascii="Times New Roman" w:hAnsi="Times New Roman"/>
                <w:b/>
                <w:bCs/>
                <w:color w:val="auto"/>
                <w:sz w:val="21"/>
                <w:szCs w:val="21"/>
                <w:highlight w:val="none"/>
              </w:rPr>
              <w:t>风向</w:t>
            </w:r>
          </w:p>
        </w:tc>
        <w:tc>
          <w:tcPr>
            <w:tcW w:w="830" w:type="dxa"/>
            <w:vAlign w:val="center"/>
          </w:tcPr>
          <w:p w14:paraId="2967636F">
            <w:pPr>
              <w:ind w:left="-105" w:right="-105"/>
              <w:jc w:val="center"/>
              <w:rPr>
                <w:rFonts w:ascii="Times New Roman" w:hAnsi="Times New Roman"/>
                <w:color w:val="auto"/>
                <w:sz w:val="21"/>
                <w:szCs w:val="21"/>
                <w:highlight w:val="none"/>
              </w:rPr>
            </w:pPr>
            <w:r>
              <w:rPr>
                <w:rFonts w:ascii="Times New Roman" w:hAnsi="Times New Roman"/>
                <w:color w:val="auto"/>
                <w:sz w:val="21"/>
                <w:szCs w:val="21"/>
                <w:highlight w:val="none"/>
              </w:rPr>
              <w:t>N</w:t>
            </w:r>
          </w:p>
        </w:tc>
        <w:tc>
          <w:tcPr>
            <w:tcW w:w="830" w:type="dxa"/>
            <w:vAlign w:val="center"/>
          </w:tcPr>
          <w:p w14:paraId="5EBCDFA4">
            <w:pPr>
              <w:ind w:left="-105" w:right="-105"/>
              <w:jc w:val="center"/>
              <w:rPr>
                <w:rFonts w:ascii="Times New Roman" w:hAnsi="Times New Roman"/>
                <w:color w:val="auto"/>
                <w:sz w:val="21"/>
                <w:szCs w:val="21"/>
                <w:highlight w:val="none"/>
              </w:rPr>
            </w:pPr>
            <w:r>
              <w:rPr>
                <w:rFonts w:ascii="Times New Roman" w:hAnsi="Times New Roman"/>
                <w:color w:val="auto"/>
                <w:sz w:val="21"/>
                <w:szCs w:val="21"/>
                <w:highlight w:val="none"/>
              </w:rPr>
              <w:t>NNE</w:t>
            </w:r>
          </w:p>
        </w:tc>
        <w:tc>
          <w:tcPr>
            <w:tcW w:w="830" w:type="dxa"/>
            <w:vAlign w:val="center"/>
          </w:tcPr>
          <w:p w14:paraId="53FC327D">
            <w:pPr>
              <w:ind w:left="-105" w:right="-105"/>
              <w:jc w:val="center"/>
              <w:rPr>
                <w:rFonts w:ascii="Times New Roman" w:hAnsi="Times New Roman"/>
                <w:color w:val="auto"/>
                <w:sz w:val="21"/>
                <w:szCs w:val="21"/>
                <w:highlight w:val="none"/>
              </w:rPr>
            </w:pPr>
            <w:r>
              <w:rPr>
                <w:rFonts w:ascii="Times New Roman" w:hAnsi="Times New Roman"/>
                <w:color w:val="auto"/>
                <w:sz w:val="21"/>
                <w:szCs w:val="21"/>
                <w:highlight w:val="none"/>
              </w:rPr>
              <w:t>NE</w:t>
            </w:r>
          </w:p>
        </w:tc>
        <w:tc>
          <w:tcPr>
            <w:tcW w:w="830" w:type="dxa"/>
            <w:vAlign w:val="center"/>
          </w:tcPr>
          <w:p w14:paraId="68B21732">
            <w:pPr>
              <w:ind w:left="-105" w:right="-105"/>
              <w:jc w:val="center"/>
              <w:rPr>
                <w:rFonts w:ascii="Times New Roman" w:hAnsi="Times New Roman"/>
                <w:color w:val="auto"/>
                <w:sz w:val="21"/>
                <w:szCs w:val="21"/>
                <w:highlight w:val="none"/>
              </w:rPr>
            </w:pPr>
            <w:r>
              <w:rPr>
                <w:rFonts w:ascii="Times New Roman" w:hAnsi="Times New Roman"/>
                <w:color w:val="auto"/>
                <w:sz w:val="21"/>
                <w:szCs w:val="21"/>
                <w:highlight w:val="none"/>
              </w:rPr>
              <w:t>ENE</w:t>
            </w:r>
          </w:p>
        </w:tc>
        <w:tc>
          <w:tcPr>
            <w:tcW w:w="830" w:type="dxa"/>
            <w:vAlign w:val="center"/>
          </w:tcPr>
          <w:p w14:paraId="3FDCBB68">
            <w:pPr>
              <w:ind w:left="-105" w:right="-105"/>
              <w:jc w:val="center"/>
              <w:rPr>
                <w:rFonts w:ascii="Times New Roman" w:hAnsi="Times New Roman"/>
                <w:color w:val="auto"/>
                <w:sz w:val="21"/>
                <w:szCs w:val="21"/>
                <w:highlight w:val="none"/>
              </w:rPr>
            </w:pPr>
            <w:r>
              <w:rPr>
                <w:rFonts w:ascii="Times New Roman" w:hAnsi="Times New Roman"/>
                <w:color w:val="auto"/>
                <w:sz w:val="21"/>
                <w:szCs w:val="21"/>
                <w:highlight w:val="none"/>
              </w:rPr>
              <w:t>E</w:t>
            </w:r>
          </w:p>
        </w:tc>
        <w:tc>
          <w:tcPr>
            <w:tcW w:w="830" w:type="dxa"/>
            <w:vAlign w:val="center"/>
          </w:tcPr>
          <w:p w14:paraId="08AE06CC">
            <w:pPr>
              <w:ind w:left="-105" w:right="-105"/>
              <w:jc w:val="center"/>
              <w:rPr>
                <w:rFonts w:ascii="Times New Roman" w:hAnsi="Times New Roman"/>
                <w:color w:val="auto"/>
                <w:sz w:val="21"/>
                <w:szCs w:val="21"/>
                <w:highlight w:val="none"/>
              </w:rPr>
            </w:pPr>
            <w:r>
              <w:rPr>
                <w:rFonts w:ascii="Times New Roman" w:hAnsi="Times New Roman"/>
                <w:color w:val="auto"/>
                <w:sz w:val="21"/>
                <w:szCs w:val="21"/>
                <w:highlight w:val="none"/>
              </w:rPr>
              <w:t>ESE</w:t>
            </w:r>
          </w:p>
        </w:tc>
        <w:tc>
          <w:tcPr>
            <w:tcW w:w="830" w:type="dxa"/>
            <w:vAlign w:val="center"/>
          </w:tcPr>
          <w:p w14:paraId="796E0F30">
            <w:pPr>
              <w:ind w:left="-105" w:right="-105"/>
              <w:jc w:val="center"/>
              <w:rPr>
                <w:rFonts w:ascii="Times New Roman" w:hAnsi="Times New Roman"/>
                <w:color w:val="auto"/>
                <w:sz w:val="21"/>
                <w:szCs w:val="21"/>
                <w:highlight w:val="none"/>
              </w:rPr>
            </w:pPr>
            <w:r>
              <w:rPr>
                <w:rFonts w:ascii="Times New Roman" w:hAnsi="Times New Roman"/>
                <w:color w:val="auto"/>
                <w:sz w:val="21"/>
                <w:szCs w:val="21"/>
                <w:highlight w:val="none"/>
              </w:rPr>
              <w:t>SE</w:t>
            </w:r>
          </w:p>
        </w:tc>
        <w:tc>
          <w:tcPr>
            <w:tcW w:w="830" w:type="dxa"/>
            <w:vAlign w:val="center"/>
          </w:tcPr>
          <w:p w14:paraId="787B2858">
            <w:pPr>
              <w:ind w:left="-105" w:right="-105"/>
              <w:jc w:val="center"/>
              <w:rPr>
                <w:rFonts w:ascii="Times New Roman" w:hAnsi="Times New Roman"/>
                <w:color w:val="auto"/>
                <w:sz w:val="21"/>
                <w:szCs w:val="21"/>
                <w:highlight w:val="none"/>
              </w:rPr>
            </w:pPr>
            <w:r>
              <w:rPr>
                <w:rFonts w:ascii="Times New Roman" w:hAnsi="Times New Roman"/>
                <w:color w:val="auto"/>
                <w:sz w:val="21"/>
                <w:szCs w:val="21"/>
                <w:highlight w:val="none"/>
              </w:rPr>
              <w:t>SSE</w:t>
            </w:r>
          </w:p>
        </w:tc>
        <w:tc>
          <w:tcPr>
            <w:tcW w:w="831" w:type="dxa"/>
            <w:vAlign w:val="center"/>
          </w:tcPr>
          <w:p w14:paraId="548414DB">
            <w:pPr>
              <w:ind w:left="-105" w:right="-105"/>
              <w:jc w:val="center"/>
              <w:rPr>
                <w:rFonts w:ascii="Times New Roman" w:hAnsi="Times New Roman"/>
                <w:color w:val="auto"/>
                <w:sz w:val="21"/>
                <w:szCs w:val="21"/>
                <w:highlight w:val="none"/>
              </w:rPr>
            </w:pPr>
            <w:r>
              <w:rPr>
                <w:rFonts w:ascii="Times New Roman" w:hAnsi="Times New Roman"/>
                <w:color w:val="auto"/>
                <w:sz w:val="21"/>
                <w:szCs w:val="21"/>
                <w:highlight w:val="none"/>
              </w:rPr>
              <w:t>S</w:t>
            </w:r>
          </w:p>
        </w:tc>
      </w:tr>
      <w:tr w14:paraId="00EFF07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1257" w:type="dxa"/>
            <w:vAlign w:val="center"/>
          </w:tcPr>
          <w:p w14:paraId="38B4D891">
            <w:pPr>
              <w:ind w:left="-105" w:right="-105"/>
              <w:jc w:val="center"/>
              <w:rPr>
                <w:rFonts w:ascii="Times New Roman" w:hAnsi="Times New Roman"/>
                <w:b/>
                <w:bCs/>
                <w:color w:val="auto"/>
                <w:sz w:val="21"/>
                <w:szCs w:val="21"/>
                <w:highlight w:val="none"/>
              </w:rPr>
            </w:pPr>
            <w:r>
              <w:rPr>
                <w:rFonts w:ascii="Times New Roman" w:hAnsi="Times New Roman"/>
                <w:b/>
                <w:bCs/>
                <w:color w:val="auto"/>
                <w:sz w:val="21"/>
                <w:szCs w:val="21"/>
                <w:highlight w:val="none"/>
              </w:rPr>
              <w:t>风速（m/s）</w:t>
            </w:r>
          </w:p>
        </w:tc>
        <w:tc>
          <w:tcPr>
            <w:tcW w:w="830" w:type="dxa"/>
            <w:vAlign w:val="center"/>
          </w:tcPr>
          <w:p w14:paraId="394FB301">
            <w:pPr>
              <w:ind w:left="-105" w:right="-105"/>
              <w:jc w:val="center"/>
              <w:rPr>
                <w:rFonts w:ascii="Times New Roman" w:hAnsi="Times New Roman"/>
                <w:color w:val="auto"/>
                <w:sz w:val="21"/>
                <w:szCs w:val="21"/>
                <w:highlight w:val="none"/>
              </w:rPr>
            </w:pPr>
            <w:r>
              <w:rPr>
                <w:rFonts w:ascii="Times New Roman" w:hAnsi="Times New Roman"/>
                <w:color w:val="auto"/>
                <w:sz w:val="21"/>
                <w:szCs w:val="21"/>
                <w:highlight w:val="none"/>
              </w:rPr>
              <w:t>2.5</w:t>
            </w:r>
          </w:p>
        </w:tc>
        <w:tc>
          <w:tcPr>
            <w:tcW w:w="830" w:type="dxa"/>
            <w:vAlign w:val="center"/>
          </w:tcPr>
          <w:p w14:paraId="47B3EF57">
            <w:pPr>
              <w:ind w:left="-105" w:right="-105"/>
              <w:jc w:val="center"/>
              <w:rPr>
                <w:rFonts w:ascii="Times New Roman" w:hAnsi="Times New Roman"/>
                <w:color w:val="auto"/>
                <w:sz w:val="21"/>
                <w:szCs w:val="21"/>
                <w:highlight w:val="none"/>
              </w:rPr>
            </w:pPr>
            <w:r>
              <w:rPr>
                <w:rFonts w:ascii="Times New Roman" w:hAnsi="Times New Roman"/>
                <w:color w:val="auto"/>
                <w:sz w:val="21"/>
                <w:szCs w:val="21"/>
                <w:highlight w:val="none"/>
              </w:rPr>
              <w:t>2.8</w:t>
            </w:r>
          </w:p>
        </w:tc>
        <w:tc>
          <w:tcPr>
            <w:tcW w:w="830" w:type="dxa"/>
            <w:vAlign w:val="center"/>
          </w:tcPr>
          <w:p w14:paraId="0C51703A">
            <w:pPr>
              <w:ind w:left="-105" w:right="-105"/>
              <w:jc w:val="center"/>
              <w:rPr>
                <w:rFonts w:ascii="Times New Roman" w:hAnsi="Times New Roman"/>
                <w:color w:val="auto"/>
                <w:sz w:val="21"/>
                <w:szCs w:val="21"/>
                <w:highlight w:val="none"/>
              </w:rPr>
            </w:pPr>
            <w:r>
              <w:rPr>
                <w:rFonts w:ascii="Times New Roman" w:hAnsi="Times New Roman"/>
                <w:color w:val="auto"/>
                <w:sz w:val="21"/>
                <w:szCs w:val="21"/>
                <w:highlight w:val="none"/>
              </w:rPr>
              <w:t>2.8</w:t>
            </w:r>
          </w:p>
        </w:tc>
        <w:tc>
          <w:tcPr>
            <w:tcW w:w="830" w:type="dxa"/>
            <w:vAlign w:val="center"/>
          </w:tcPr>
          <w:p w14:paraId="64BFDDD6">
            <w:pPr>
              <w:ind w:left="-105" w:right="-105"/>
              <w:jc w:val="center"/>
              <w:rPr>
                <w:rFonts w:ascii="Times New Roman" w:hAnsi="Times New Roman"/>
                <w:color w:val="auto"/>
                <w:sz w:val="21"/>
                <w:szCs w:val="21"/>
                <w:highlight w:val="none"/>
              </w:rPr>
            </w:pPr>
            <w:r>
              <w:rPr>
                <w:rFonts w:ascii="Times New Roman" w:hAnsi="Times New Roman"/>
                <w:color w:val="auto"/>
                <w:sz w:val="21"/>
                <w:szCs w:val="21"/>
                <w:highlight w:val="none"/>
              </w:rPr>
              <w:t>2.9</w:t>
            </w:r>
          </w:p>
        </w:tc>
        <w:tc>
          <w:tcPr>
            <w:tcW w:w="830" w:type="dxa"/>
            <w:vAlign w:val="center"/>
          </w:tcPr>
          <w:p w14:paraId="16231C58">
            <w:pPr>
              <w:ind w:left="-105" w:right="-105"/>
              <w:jc w:val="center"/>
              <w:rPr>
                <w:rFonts w:ascii="Times New Roman" w:hAnsi="Times New Roman"/>
                <w:color w:val="auto"/>
                <w:sz w:val="21"/>
                <w:szCs w:val="21"/>
                <w:highlight w:val="none"/>
              </w:rPr>
            </w:pPr>
            <w:r>
              <w:rPr>
                <w:rFonts w:ascii="Times New Roman" w:hAnsi="Times New Roman"/>
                <w:color w:val="auto"/>
                <w:sz w:val="21"/>
                <w:szCs w:val="21"/>
                <w:highlight w:val="none"/>
              </w:rPr>
              <w:t>2.7</w:t>
            </w:r>
          </w:p>
        </w:tc>
        <w:tc>
          <w:tcPr>
            <w:tcW w:w="830" w:type="dxa"/>
            <w:vAlign w:val="center"/>
          </w:tcPr>
          <w:p w14:paraId="077E7516">
            <w:pPr>
              <w:ind w:left="-105" w:right="-105"/>
              <w:jc w:val="center"/>
              <w:rPr>
                <w:rFonts w:ascii="Times New Roman" w:hAnsi="Times New Roman"/>
                <w:color w:val="auto"/>
                <w:sz w:val="21"/>
                <w:szCs w:val="21"/>
                <w:highlight w:val="none"/>
              </w:rPr>
            </w:pPr>
            <w:r>
              <w:rPr>
                <w:rFonts w:ascii="Times New Roman" w:hAnsi="Times New Roman"/>
                <w:color w:val="auto"/>
                <w:sz w:val="21"/>
                <w:szCs w:val="21"/>
                <w:highlight w:val="none"/>
              </w:rPr>
              <w:t>3.0</w:t>
            </w:r>
          </w:p>
        </w:tc>
        <w:tc>
          <w:tcPr>
            <w:tcW w:w="830" w:type="dxa"/>
            <w:vAlign w:val="center"/>
          </w:tcPr>
          <w:p w14:paraId="13AB7F92">
            <w:pPr>
              <w:ind w:left="-105" w:right="-105"/>
              <w:jc w:val="center"/>
              <w:rPr>
                <w:rFonts w:ascii="Times New Roman" w:hAnsi="Times New Roman"/>
                <w:color w:val="auto"/>
                <w:sz w:val="21"/>
                <w:szCs w:val="21"/>
                <w:highlight w:val="none"/>
              </w:rPr>
            </w:pPr>
            <w:r>
              <w:rPr>
                <w:rFonts w:ascii="Times New Roman" w:hAnsi="Times New Roman"/>
                <w:color w:val="auto"/>
                <w:sz w:val="21"/>
                <w:szCs w:val="21"/>
                <w:highlight w:val="none"/>
              </w:rPr>
              <w:t>2.7</w:t>
            </w:r>
          </w:p>
        </w:tc>
        <w:tc>
          <w:tcPr>
            <w:tcW w:w="830" w:type="dxa"/>
            <w:vAlign w:val="center"/>
          </w:tcPr>
          <w:p w14:paraId="2F4F4339">
            <w:pPr>
              <w:ind w:left="-105" w:right="-105"/>
              <w:jc w:val="center"/>
              <w:rPr>
                <w:rFonts w:ascii="Times New Roman" w:hAnsi="Times New Roman"/>
                <w:color w:val="auto"/>
                <w:sz w:val="21"/>
                <w:szCs w:val="21"/>
                <w:highlight w:val="none"/>
              </w:rPr>
            </w:pPr>
            <w:r>
              <w:rPr>
                <w:rFonts w:ascii="Times New Roman" w:hAnsi="Times New Roman"/>
                <w:color w:val="auto"/>
                <w:sz w:val="21"/>
                <w:szCs w:val="21"/>
                <w:highlight w:val="none"/>
              </w:rPr>
              <w:t>2.3</w:t>
            </w:r>
          </w:p>
        </w:tc>
        <w:tc>
          <w:tcPr>
            <w:tcW w:w="831" w:type="dxa"/>
            <w:vAlign w:val="center"/>
          </w:tcPr>
          <w:p w14:paraId="3F4C8BC0">
            <w:pPr>
              <w:ind w:left="-105" w:right="-105"/>
              <w:jc w:val="center"/>
              <w:rPr>
                <w:rFonts w:ascii="Times New Roman" w:hAnsi="Times New Roman"/>
                <w:color w:val="auto"/>
                <w:sz w:val="21"/>
                <w:szCs w:val="21"/>
                <w:highlight w:val="none"/>
              </w:rPr>
            </w:pPr>
            <w:r>
              <w:rPr>
                <w:rFonts w:ascii="Times New Roman" w:hAnsi="Times New Roman"/>
                <w:color w:val="auto"/>
                <w:sz w:val="21"/>
                <w:szCs w:val="21"/>
                <w:highlight w:val="none"/>
              </w:rPr>
              <w:t>2.5</w:t>
            </w:r>
          </w:p>
        </w:tc>
      </w:tr>
      <w:tr w14:paraId="3B71931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05" w:hRule="atLeast"/>
          <w:jc w:val="center"/>
        </w:trPr>
        <w:tc>
          <w:tcPr>
            <w:tcW w:w="1257" w:type="dxa"/>
            <w:vAlign w:val="center"/>
          </w:tcPr>
          <w:p w14:paraId="4ED59D24">
            <w:pPr>
              <w:ind w:left="-105" w:right="-105"/>
              <w:jc w:val="center"/>
              <w:rPr>
                <w:rFonts w:ascii="Times New Roman" w:hAnsi="Times New Roman"/>
                <w:b/>
                <w:bCs/>
                <w:color w:val="auto"/>
                <w:sz w:val="21"/>
                <w:szCs w:val="21"/>
                <w:highlight w:val="none"/>
              </w:rPr>
            </w:pPr>
            <w:r>
              <w:rPr>
                <w:rFonts w:ascii="Times New Roman" w:hAnsi="Times New Roman"/>
                <w:b/>
                <w:bCs/>
                <w:color w:val="auto"/>
                <w:sz w:val="21"/>
                <w:szCs w:val="21"/>
                <w:highlight w:val="none"/>
              </w:rPr>
              <w:t>风频（%）</w:t>
            </w:r>
          </w:p>
        </w:tc>
        <w:tc>
          <w:tcPr>
            <w:tcW w:w="830" w:type="dxa"/>
            <w:vAlign w:val="center"/>
          </w:tcPr>
          <w:p w14:paraId="356EEC9A">
            <w:pPr>
              <w:ind w:left="-105" w:right="-105"/>
              <w:jc w:val="center"/>
              <w:rPr>
                <w:rFonts w:ascii="Times New Roman" w:hAnsi="Times New Roman"/>
                <w:color w:val="auto"/>
                <w:sz w:val="21"/>
                <w:szCs w:val="21"/>
                <w:highlight w:val="none"/>
              </w:rPr>
            </w:pPr>
            <w:r>
              <w:rPr>
                <w:rFonts w:ascii="Times New Roman" w:hAnsi="Times New Roman"/>
                <w:color w:val="auto"/>
                <w:sz w:val="21"/>
                <w:szCs w:val="21"/>
                <w:highlight w:val="none"/>
              </w:rPr>
              <w:t>6.9</w:t>
            </w:r>
          </w:p>
        </w:tc>
        <w:tc>
          <w:tcPr>
            <w:tcW w:w="830" w:type="dxa"/>
            <w:vAlign w:val="center"/>
          </w:tcPr>
          <w:p w14:paraId="1E368BC3">
            <w:pPr>
              <w:ind w:left="-105" w:right="-105"/>
              <w:jc w:val="center"/>
              <w:rPr>
                <w:rFonts w:ascii="Times New Roman" w:hAnsi="Times New Roman"/>
                <w:color w:val="auto"/>
                <w:sz w:val="21"/>
                <w:szCs w:val="21"/>
                <w:highlight w:val="none"/>
              </w:rPr>
            </w:pPr>
            <w:r>
              <w:rPr>
                <w:rFonts w:ascii="Times New Roman" w:hAnsi="Times New Roman"/>
                <w:color w:val="auto"/>
                <w:sz w:val="21"/>
                <w:szCs w:val="21"/>
                <w:highlight w:val="none"/>
              </w:rPr>
              <w:t>4.7</w:t>
            </w:r>
          </w:p>
        </w:tc>
        <w:tc>
          <w:tcPr>
            <w:tcW w:w="830" w:type="dxa"/>
            <w:vAlign w:val="center"/>
          </w:tcPr>
          <w:p w14:paraId="7D98A33F">
            <w:pPr>
              <w:ind w:left="-105" w:right="-105"/>
              <w:jc w:val="center"/>
              <w:rPr>
                <w:rFonts w:ascii="Times New Roman" w:hAnsi="Times New Roman"/>
                <w:color w:val="auto"/>
                <w:sz w:val="21"/>
                <w:szCs w:val="21"/>
                <w:highlight w:val="none"/>
              </w:rPr>
            </w:pPr>
            <w:r>
              <w:rPr>
                <w:rFonts w:ascii="Times New Roman" w:hAnsi="Times New Roman"/>
                <w:color w:val="auto"/>
                <w:sz w:val="21"/>
                <w:szCs w:val="21"/>
                <w:highlight w:val="none"/>
              </w:rPr>
              <w:t>7.0</w:t>
            </w:r>
          </w:p>
        </w:tc>
        <w:tc>
          <w:tcPr>
            <w:tcW w:w="830" w:type="dxa"/>
            <w:vAlign w:val="center"/>
          </w:tcPr>
          <w:p w14:paraId="7A35E489">
            <w:pPr>
              <w:ind w:left="-105" w:right="-105"/>
              <w:jc w:val="center"/>
              <w:rPr>
                <w:rFonts w:ascii="Times New Roman" w:hAnsi="Times New Roman"/>
                <w:color w:val="auto"/>
                <w:sz w:val="21"/>
                <w:szCs w:val="21"/>
                <w:highlight w:val="none"/>
              </w:rPr>
            </w:pPr>
            <w:r>
              <w:rPr>
                <w:rFonts w:ascii="Times New Roman" w:hAnsi="Times New Roman"/>
                <w:color w:val="auto"/>
                <w:sz w:val="21"/>
                <w:szCs w:val="21"/>
                <w:highlight w:val="none"/>
              </w:rPr>
              <w:t>5.7</w:t>
            </w:r>
          </w:p>
        </w:tc>
        <w:tc>
          <w:tcPr>
            <w:tcW w:w="830" w:type="dxa"/>
            <w:vAlign w:val="center"/>
          </w:tcPr>
          <w:p w14:paraId="5D623C57">
            <w:pPr>
              <w:ind w:left="-105" w:right="-105"/>
              <w:jc w:val="center"/>
              <w:rPr>
                <w:rFonts w:ascii="Times New Roman" w:hAnsi="Times New Roman"/>
                <w:color w:val="auto"/>
                <w:sz w:val="21"/>
                <w:szCs w:val="21"/>
                <w:highlight w:val="none"/>
              </w:rPr>
            </w:pPr>
            <w:r>
              <w:rPr>
                <w:rFonts w:ascii="Times New Roman" w:hAnsi="Times New Roman"/>
                <w:color w:val="auto"/>
                <w:sz w:val="21"/>
                <w:szCs w:val="21"/>
                <w:highlight w:val="none"/>
              </w:rPr>
              <w:t>6.9</w:t>
            </w:r>
          </w:p>
        </w:tc>
        <w:tc>
          <w:tcPr>
            <w:tcW w:w="830" w:type="dxa"/>
            <w:vAlign w:val="center"/>
          </w:tcPr>
          <w:p w14:paraId="77A95835">
            <w:pPr>
              <w:ind w:left="-105" w:right="-105"/>
              <w:jc w:val="center"/>
              <w:rPr>
                <w:rFonts w:ascii="Times New Roman" w:hAnsi="Times New Roman"/>
                <w:color w:val="auto"/>
                <w:sz w:val="21"/>
                <w:szCs w:val="21"/>
                <w:highlight w:val="none"/>
              </w:rPr>
            </w:pPr>
            <w:r>
              <w:rPr>
                <w:rFonts w:ascii="Times New Roman" w:hAnsi="Times New Roman"/>
                <w:color w:val="auto"/>
                <w:sz w:val="21"/>
                <w:szCs w:val="21"/>
                <w:highlight w:val="none"/>
              </w:rPr>
              <w:t>10.4</w:t>
            </w:r>
          </w:p>
        </w:tc>
        <w:tc>
          <w:tcPr>
            <w:tcW w:w="830" w:type="dxa"/>
            <w:vAlign w:val="center"/>
          </w:tcPr>
          <w:p w14:paraId="169DB63E">
            <w:pPr>
              <w:ind w:left="-105" w:right="-105"/>
              <w:jc w:val="center"/>
              <w:rPr>
                <w:rFonts w:ascii="Times New Roman" w:hAnsi="Times New Roman"/>
                <w:color w:val="auto"/>
                <w:sz w:val="21"/>
                <w:szCs w:val="21"/>
                <w:highlight w:val="none"/>
              </w:rPr>
            </w:pPr>
            <w:r>
              <w:rPr>
                <w:rFonts w:ascii="Times New Roman" w:hAnsi="Times New Roman"/>
                <w:color w:val="auto"/>
                <w:sz w:val="21"/>
                <w:szCs w:val="21"/>
                <w:highlight w:val="none"/>
              </w:rPr>
              <w:t>9.6</w:t>
            </w:r>
          </w:p>
        </w:tc>
        <w:tc>
          <w:tcPr>
            <w:tcW w:w="830" w:type="dxa"/>
            <w:vAlign w:val="center"/>
          </w:tcPr>
          <w:p w14:paraId="73FB0529">
            <w:pPr>
              <w:ind w:left="-105" w:right="-105"/>
              <w:jc w:val="center"/>
              <w:rPr>
                <w:rFonts w:ascii="Times New Roman" w:hAnsi="Times New Roman"/>
                <w:color w:val="auto"/>
                <w:sz w:val="21"/>
                <w:szCs w:val="21"/>
                <w:highlight w:val="none"/>
              </w:rPr>
            </w:pPr>
            <w:r>
              <w:rPr>
                <w:rFonts w:ascii="Times New Roman" w:hAnsi="Times New Roman"/>
                <w:color w:val="auto"/>
                <w:sz w:val="21"/>
                <w:szCs w:val="21"/>
                <w:highlight w:val="none"/>
              </w:rPr>
              <w:t>5.2</w:t>
            </w:r>
          </w:p>
        </w:tc>
        <w:tc>
          <w:tcPr>
            <w:tcW w:w="831" w:type="dxa"/>
            <w:vAlign w:val="center"/>
          </w:tcPr>
          <w:p w14:paraId="26729927">
            <w:pPr>
              <w:ind w:left="-105" w:right="-105"/>
              <w:jc w:val="center"/>
              <w:rPr>
                <w:rFonts w:ascii="Times New Roman" w:hAnsi="Times New Roman"/>
                <w:color w:val="auto"/>
                <w:sz w:val="21"/>
                <w:szCs w:val="21"/>
                <w:highlight w:val="none"/>
              </w:rPr>
            </w:pPr>
            <w:r>
              <w:rPr>
                <w:rFonts w:ascii="Times New Roman" w:hAnsi="Times New Roman"/>
                <w:color w:val="auto"/>
                <w:sz w:val="21"/>
                <w:szCs w:val="21"/>
                <w:highlight w:val="none"/>
              </w:rPr>
              <w:t>3.4</w:t>
            </w:r>
          </w:p>
        </w:tc>
      </w:tr>
      <w:tr w14:paraId="68AD232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05" w:hRule="atLeast"/>
          <w:jc w:val="center"/>
        </w:trPr>
        <w:tc>
          <w:tcPr>
            <w:tcW w:w="1257" w:type="dxa"/>
            <w:vAlign w:val="center"/>
          </w:tcPr>
          <w:p w14:paraId="59DB9ADD">
            <w:pPr>
              <w:ind w:left="-105" w:right="-105"/>
              <w:jc w:val="center"/>
              <w:rPr>
                <w:rFonts w:ascii="Times New Roman" w:hAnsi="Times New Roman"/>
                <w:b/>
                <w:bCs/>
                <w:color w:val="auto"/>
                <w:sz w:val="21"/>
                <w:szCs w:val="21"/>
                <w:highlight w:val="none"/>
              </w:rPr>
            </w:pPr>
            <w:r>
              <w:rPr>
                <w:rFonts w:ascii="Times New Roman" w:hAnsi="Times New Roman"/>
                <w:b/>
                <w:bCs/>
                <w:color w:val="auto"/>
                <w:sz w:val="21"/>
                <w:szCs w:val="21"/>
                <w:highlight w:val="none"/>
              </w:rPr>
              <w:t>污染风频（%）</w:t>
            </w:r>
          </w:p>
        </w:tc>
        <w:tc>
          <w:tcPr>
            <w:tcW w:w="830" w:type="dxa"/>
            <w:vAlign w:val="center"/>
          </w:tcPr>
          <w:p w14:paraId="3A45C6A3">
            <w:pPr>
              <w:ind w:left="-105" w:right="-105"/>
              <w:jc w:val="center"/>
              <w:rPr>
                <w:rFonts w:ascii="Times New Roman" w:hAnsi="Times New Roman"/>
                <w:color w:val="auto"/>
                <w:sz w:val="21"/>
                <w:szCs w:val="21"/>
                <w:highlight w:val="none"/>
              </w:rPr>
            </w:pPr>
            <w:r>
              <w:rPr>
                <w:rFonts w:ascii="Times New Roman" w:hAnsi="Times New Roman"/>
                <w:color w:val="auto"/>
                <w:sz w:val="21"/>
                <w:szCs w:val="21"/>
                <w:highlight w:val="none"/>
              </w:rPr>
              <w:t>8.44</w:t>
            </w:r>
          </w:p>
        </w:tc>
        <w:tc>
          <w:tcPr>
            <w:tcW w:w="830" w:type="dxa"/>
            <w:vAlign w:val="center"/>
          </w:tcPr>
          <w:p w14:paraId="165C0FD0">
            <w:pPr>
              <w:ind w:left="-105" w:right="-105"/>
              <w:jc w:val="center"/>
              <w:rPr>
                <w:rFonts w:ascii="Times New Roman" w:hAnsi="Times New Roman"/>
                <w:color w:val="auto"/>
                <w:sz w:val="21"/>
                <w:szCs w:val="21"/>
                <w:highlight w:val="none"/>
              </w:rPr>
            </w:pPr>
            <w:r>
              <w:rPr>
                <w:rFonts w:ascii="Times New Roman" w:hAnsi="Times New Roman"/>
                <w:color w:val="auto"/>
                <w:sz w:val="21"/>
                <w:szCs w:val="21"/>
                <w:highlight w:val="none"/>
              </w:rPr>
              <w:t>5.11</w:t>
            </w:r>
          </w:p>
        </w:tc>
        <w:tc>
          <w:tcPr>
            <w:tcW w:w="830" w:type="dxa"/>
            <w:vAlign w:val="center"/>
          </w:tcPr>
          <w:p w14:paraId="4457275F">
            <w:pPr>
              <w:ind w:left="-105" w:right="-105"/>
              <w:jc w:val="center"/>
              <w:rPr>
                <w:rFonts w:ascii="Times New Roman" w:hAnsi="Times New Roman"/>
                <w:color w:val="auto"/>
                <w:sz w:val="21"/>
                <w:szCs w:val="21"/>
                <w:highlight w:val="none"/>
              </w:rPr>
            </w:pPr>
            <w:r>
              <w:rPr>
                <w:rFonts w:ascii="Times New Roman" w:hAnsi="Times New Roman"/>
                <w:color w:val="auto"/>
                <w:sz w:val="21"/>
                <w:szCs w:val="21"/>
                <w:highlight w:val="none"/>
              </w:rPr>
              <w:t>7.64</w:t>
            </w:r>
          </w:p>
        </w:tc>
        <w:tc>
          <w:tcPr>
            <w:tcW w:w="830" w:type="dxa"/>
            <w:vAlign w:val="center"/>
          </w:tcPr>
          <w:p w14:paraId="1EB9063E">
            <w:pPr>
              <w:ind w:left="-105" w:right="-105"/>
              <w:jc w:val="center"/>
              <w:rPr>
                <w:rFonts w:ascii="Times New Roman" w:hAnsi="Times New Roman"/>
                <w:color w:val="auto"/>
                <w:sz w:val="21"/>
                <w:szCs w:val="21"/>
                <w:highlight w:val="none"/>
              </w:rPr>
            </w:pPr>
            <w:r>
              <w:rPr>
                <w:rFonts w:ascii="Times New Roman" w:hAnsi="Times New Roman"/>
                <w:color w:val="auto"/>
                <w:sz w:val="21"/>
                <w:szCs w:val="21"/>
                <w:highlight w:val="none"/>
              </w:rPr>
              <w:t>5.99</w:t>
            </w:r>
          </w:p>
        </w:tc>
        <w:tc>
          <w:tcPr>
            <w:tcW w:w="830" w:type="dxa"/>
            <w:vAlign w:val="center"/>
          </w:tcPr>
          <w:p w14:paraId="6B87F632">
            <w:pPr>
              <w:ind w:left="-105" w:right="-105"/>
              <w:jc w:val="center"/>
              <w:rPr>
                <w:rFonts w:ascii="Times New Roman" w:hAnsi="Times New Roman"/>
                <w:color w:val="auto"/>
                <w:sz w:val="21"/>
                <w:szCs w:val="21"/>
                <w:highlight w:val="none"/>
              </w:rPr>
            </w:pPr>
            <w:r>
              <w:rPr>
                <w:rFonts w:ascii="Times New Roman" w:hAnsi="Times New Roman"/>
                <w:color w:val="auto"/>
                <w:sz w:val="21"/>
                <w:szCs w:val="21"/>
                <w:highlight w:val="none"/>
              </w:rPr>
              <w:t>7.80</w:t>
            </w:r>
          </w:p>
        </w:tc>
        <w:tc>
          <w:tcPr>
            <w:tcW w:w="830" w:type="dxa"/>
            <w:vAlign w:val="center"/>
          </w:tcPr>
          <w:p w14:paraId="5F195E72">
            <w:pPr>
              <w:ind w:left="-105" w:right="-105"/>
              <w:jc w:val="center"/>
              <w:rPr>
                <w:rFonts w:ascii="Times New Roman" w:hAnsi="Times New Roman"/>
                <w:color w:val="auto"/>
                <w:sz w:val="21"/>
                <w:szCs w:val="21"/>
                <w:highlight w:val="none"/>
              </w:rPr>
            </w:pPr>
            <w:r>
              <w:rPr>
                <w:rFonts w:ascii="Times New Roman" w:hAnsi="Times New Roman"/>
                <w:color w:val="auto"/>
                <w:sz w:val="21"/>
                <w:szCs w:val="21"/>
                <w:highlight w:val="none"/>
              </w:rPr>
              <w:t>10.60</w:t>
            </w:r>
          </w:p>
        </w:tc>
        <w:tc>
          <w:tcPr>
            <w:tcW w:w="830" w:type="dxa"/>
            <w:vAlign w:val="center"/>
          </w:tcPr>
          <w:p w14:paraId="6FE84B28">
            <w:pPr>
              <w:ind w:left="-105" w:right="-105"/>
              <w:jc w:val="center"/>
              <w:rPr>
                <w:rFonts w:ascii="Times New Roman" w:hAnsi="Times New Roman"/>
                <w:color w:val="auto"/>
                <w:sz w:val="21"/>
                <w:szCs w:val="21"/>
                <w:highlight w:val="none"/>
              </w:rPr>
            </w:pPr>
            <w:r>
              <w:rPr>
                <w:rFonts w:ascii="Times New Roman" w:hAnsi="Times New Roman"/>
                <w:color w:val="auto"/>
                <w:sz w:val="21"/>
                <w:szCs w:val="21"/>
                <w:highlight w:val="none"/>
              </w:rPr>
              <w:t>10.87</w:t>
            </w:r>
          </w:p>
        </w:tc>
        <w:tc>
          <w:tcPr>
            <w:tcW w:w="830" w:type="dxa"/>
            <w:vAlign w:val="center"/>
          </w:tcPr>
          <w:p w14:paraId="206BEDE7">
            <w:pPr>
              <w:ind w:left="-105" w:right="-105"/>
              <w:jc w:val="center"/>
              <w:rPr>
                <w:rFonts w:ascii="Times New Roman" w:hAnsi="Times New Roman"/>
                <w:color w:val="auto"/>
                <w:sz w:val="21"/>
                <w:szCs w:val="21"/>
                <w:highlight w:val="none"/>
              </w:rPr>
            </w:pPr>
            <w:r>
              <w:rPr>
                <w:rFonts w:ascii="Times New Roman" w:hAnsi="Times New Roman"/>
                <w:color w:val="auto"/>
                <w:sz w:val="21"/>
                <w:szCs w:val="21"/>
                <w:highlight w:val="none"/>
              </w:rPr>
              <w:t>6.90</w:t>
            </w:r>
          </w:p>
        </w:tc>
        <w:tc>
          <w:tcPr>
            <w:tcW w:w="831" w:type="dxa"/>
            <w:vAlign w:val="center"/>
          </w:tcPr>
          <w:p w14:paraId="2DC95AE6">
            <w:pPr>
              <w:ind w:left="-105" w:right="-105"/>
              <w:jc w:val="center"/>
              <w:rPr>
                <w:rFonts w:ascii="Times New Roman" w:hAnsi="Times New Roman"/>
                <w:color w:val="auto"/>
                <w:sz w:val="21"/>
                <w:szCs w:val="21"/>
                <w:highlight w:val="none"/>
              </w:rPr>
            </w:pPr>
            <w:r>
              <w:rPr>
                <w:rFonts w:ascii="Times New Roman" w:hAnsi="Times New Roman"/>
                <w:color w:val="auto"/>
                <w:sz w:val="21"/>
                <w:szCs w:val="21"/>
                <w:highlight w:val="none"/>
              </w:rPr>
              <w:t>4.15</w:t>
            </w:r>
          </w:p>
        </w:tc>
      </w:tr>
      <w:tr w14:paraId="7D90001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05" w:hRule="atLeast"/>
          <w:jc w:val="center"/>
        </w:trPr>
        <w:tc>
          <w:tcPr>
            <w:tcW w:w="1257" w:type="dxa"/>
            <w:vAlign w:val="center"/>
          </w:tcPr>
          <w:p w14:paraId="13534F9D">
            <w:pPr>
              <w:ind w:left="-105" w:right="-105"/>
              <w:jc w:val="center"/>
              <w:rPr>
                <w:rFonts w:ascii="Times New Roman" w:hAnsi="Times New Roman"/>
                <w:b/>
                <w:bCs/>
                <w:color w:val="auto"/>
                <w:sz w:val="21"/>
                <w:szCs w:val="21"/>
                <w:highlight w:val="none"/>
              </w:rPr>
            </w:pPr>
            <w:r>
              <w:rPr>
                <w:rFonts w:ascii="Times New Roman" w:hAnsi="Times New Roman"/>
                <w:b/>
                <w:bCs/>
                <w:color w:val="auto"/>
                <w:sz w:val="21"/>
                <w:szCs w:val="21"/>
                <w:highlight w:val="none"/>
              </w:rPr>
              <w:t>风向</w:t>
            </w:r>
          </w:p>
        </w:tc>
        <w:tc>
          <w:tcPr>
            <w:tcW w:w="830" w:type="dxa"/>
            <w:vAlign w:val="center"/>
          </w:tcPr>
          <w:p w14:paraId="266F20C1">
            <w:pPr>
              <w:ind w:left="-105" w:right="-105"/>
              <w:jc w:val="center"/>
              <w:rPr>
                <w:rFonts w:ascii="Times New Roman" w:hAnsi="Times New Roman"/>
                <w:color w:val="auto"/>
                <w:sz w:val="21"/>
                <w:szCs w:val="21"/>
                <w:highlight w:val="none"/>
              </w:rPr>
            </w:pPr>
            <w:r>
              <w:rPr>
                <w:rFonts w:ascii="Times New Roman" w:hAnsi="Times New Roman"/>
                <w:color w:val="auto"/>
                <w:sz w:val="21"/>
                <w:szCs w:val="21"/>
                <w:highlight w:val="none"/>
              </w:rPr>
              <w:t>SSW</w:t>
            </w:r>
          </w:p>
        </w:tc>
        <w:tc>
          <w:tcPr>
            <w:tcW w:w="830" w:type="dxa"/>
            <w:vAlign w:val="center"/>
          </w:tcPr>
          <w:p w14:paraId="5A04BCA9">
            <w:pPr>
              <w:ind w:left="-105" w:right="-105"/>
              <w:jc w:val="center"/>
              <w:rPr>
                <w:rFonts w:ascii="Times New Roman" w:hAnsi="Times New Roman"/>
                <w:color w:val="auto"/>
                <w:sz w:val="21"/>
                <w:szCs w:val="21"/>
                <w:highlight w:val="none"/>
              </w:rPr>
            </w:pPr>
            <w:r>
              <w:rPr>
                <w:rFonts w:ascii="Times New Roman" w:hAnsi="Times New Roman"/>
                <w:color w:val="auto"/>
                <w:sz w:val="21"/>
                <w:szCs w:val="21"/>
                <w:highlight w:val="none"/>
              </w:rPr>
              <w:t>SW</w:t>
            </w:r>
          </w:p>
        </w:tc>
        <w:tc>
          <w:tcPr>
            <w:tcW w:w="830" w:type="dxa"/>
            <w:vAlign w:val="center"/>
          </w:tcPr>
          <w:p w14:paraId="24959F78">
            <w:pPr>
              <w:ind w:left="-105" w:right="-105"/>
              <w:jc w:val="center"/>
              <w:rPr>
                <w:rFonts w:ascii="Times New Roman" w:hAnsi="Times New Roman"/>
                <w:color w:val="auto"/>
                <w:sz w:val="21"/>
                <w:szCs w:val="21"/>
                <w:highlight w:val="none"/>
              </w:rPr>
            </w:pPr>
            <w:r>
              <w:rPr>
                <w:rFonts w:ascii="Times New Roman" w:hAnsi="Times New Roman"/>
                <w:color w:val="auto"/>
                <w:sz w:val="21"/>
                <w:szCs w:val="21"/>
                <w:highlight w:val="none"/>
              </w:rPr>
              <w:t>WSW</w:t>
            </w:r>
          </w:p>
        </w:tc>
        <w:tc>
          <w:tcPr>
            <w:tcW w:w="830" w:type="dxa"/>
            <w:vAlign w:val="center"/>
          </w:tcPr>
          <w:p w14:paraId="3E449753">
            <w:pPr>
              <w:ind w:left="-105" w:right="-105"/>
              <w:jc w:val="center"/>
              <w:rPr>
                <w:rFonts w:ascii="Times New Roman" w:hAnsi="Times New Roman"/>
                <w:color w:val="auto"/>
                <w:sz w:val="21"/>
                <w:szCs w:val="21"/>
                <w:highlight w:val="none"/>
              </w:rPr>
            </w:pPr>
            <w:r>
              <w:rPr>
                <w:rFonts w:ascii="Times New Roman" w:hAnsi="Times New Roman"/>
                <w:color w:val="auto"/>
                <w:sz w:val="21"/>
                <w:szCs w:val="21"/>
                <w:highlight w:val="none"/>
              </w:rPr>
              <w:t>W</w:t>
            </w:r>
          </w:p>
        </w:tc>
        <w:tc>
          <w:tcPr>
            <w:tcW w:w="830" w:type="dxa"/>
            <w:vAlign w:val="center"/>
          </w:tcPr>
          <w:p w14:paraId="0BAFA65F">
            <w:pPr>
              <w:ind w:left="-105" w:right="-105"/>
              <w:jc w:val="center"/>
              <w:rPr>
                <w:rFonts w:ascii="Times New Roman" w:hAnsi="Times New Roman"/>
                <w:color w:val="auto"/>
                <w:sz w:val="21"/>
                <w:szCs w:val="21"/>
                <w:highlight w:val="none"/>
              </w:rPr>
            </w:pPr>
            <w:r>
              <w:rPr>
                <w:rFonts w:ascii="Times New Roman" w:hAnsi="Times New Roman"/>
                <w:color w:val="auto"/>
                <w:sz w:val="21"/>
                <w:szCs w:val="21"/>
                <w:highlight w:val="none"/>
              </w:rPr>
              <w:t>WNW</w:t>
            </w:r>
          </w:p>
        </w:tc>
        <w:tc>
          <w:tcPr>
            <w:tcW w:w="830" w:type="dxa"/>
            <w:vAlign w:val="center"/>
          </w:tcPr>
          <w:p w14:paraId="70EC7757">
            <w:pPr>
              <w:ind w:left="-105" w:right="-105"/>
              <w:jc w:val="center"/>
              <w:rPr>
                <w:rFonts w:ascii="Times New Roman" w:hAnsi="Times New Roman"/>
                <w:color w:val="auto"/>
                <w:sz w:val="21"/>
                <w:szCs w:val="21"/>
                <w:highlight w:val="none"/>
              </w:rPr>
            </w:pPr>
            <w:r>
              <w:rPr>
                <w:rFonts w:ascii="Times New Roman" w:hAnsi="Times New Roman"/>
                <w:color w:val="auto"/>
                <w:sz w:val="21"/>
                <w:szCs w:val="21"/>
                <w:highlight w:val="none"/>
              </w:rPr>
              <w:t>NW</w:t>
            </w:r>
          </w:p>
        </w:tc>
        <w:tc>
          <w:tcPr>
            <w:tcW w:w="830" w:type="dxa"/>
            <w:vAlign w:val="center"/>
          </w:tcPr>
          <w:p w14:paraId="54E598E8">
            <w:pPr>
              <w:ind w:left="-105" w:right="-105"/>
              <w:jc w:val="center"/>
              <w:rPr>
                <w:rFonts w:ascii="Times New Roman" w:hAnsi="Times New Roman"/>
                <w:color w:val="auto"/>
                <w:sz w:val="21"/>
                <w:szCs w:val="21"/>
                <w:highlight w:val="none"/>
              </w:rPr>
            </w:pPr>
            <w:r>
              <w:rPr>
                <w:rFonts w:ascii="Times New Roman" w:hAnsi="Times New Roman"/>
                <w:color w:val="auto"/>
                <w:sz w:val="21"/>
                <w:szCs w:val="21"/>
                <w:highlight w:val="none"/>
              </w:rPr>
              <w:t>NNW</w:t>
            </w:r>
          </w:p>
        </w:tc>
        <w:tc>
          <w:tcPr>
            <w:tcW w:w="830" w:type="dxa"/>
            <w:vAlign w:val="center"/>
          </w:tcPr>
          <w:p w14:paraId="6490DB34">
            <w:pPr>
              <w:ind w:left="-105" w:right="-105"/>
              <w:jc w:val="center"/>
              <w:rPr>
                <w:rFonts w:ascii="Times New Roman" w:hAnsi="Times New Roman"/>
                <w:color w:val="auto"/>
                <w:sz w:val="21"/>
                <w:szCs w:val="21"/>
                <w:highlight w:val="none"/>
              </w:rPr>
            </w:pPr>
            <w:r>
              <w:rPr>
                <w:rFonts w:ascii="Times New Roman" w:hAnsi="Times New Roman"/>
                <w:color w:val="auto"/>
                <w:sz w:val="21"/>
                <w:szCs w:val="21"/>
                <w:highlight w:val="none"/>
              </w:rPr>
              <w:t>C</w:t>
            </w:r>
          </w:p>
        </w:tc>
        <w:tc>
          <w:tcPr>
            <w:tcW w:w="831" w:type="dxa"/>
            <w:vAlign w:val="center"/>
          </w:tcPr>
          <w:p w14:paraId="4A9A4251">
            <w:pPr>
              <w:ind w:left="-105" w:right="-105"/>
              <w:jc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w:t>
            </w:r>
          </w:p>
        </w:tc>
      </w:tr>
      <w:tr w14:paraId="1D8F389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05" w:hRule="atLeast"/>
          <w:jc w:val="center"/>
        </w:trPr>
        <w:tc>
          <w:tcPr>
            <w:tcW w:w="1257" w:type="dxa"/>
            <w:vAlign w:val="center"/>
          </w:tcPr>
          <w:p w14:paraId="14938302">
            <w:pPr>
              <w:ind w:left="-105" w:right="-105"/>
              <w:jc w:val="center"/>
              <w:rPr>
                <w:rFonts w:ascii="Times New Roman" w:hAnsi="Times New Roman"/>
                <w:b/>
                <w:bCs/>
                <w:color w:val="auto"/>
                <w:sz w:val="21"/>
                <w:szCs w:val="21"/>
                <w:highlight w:val="none"/>
              </w:rPr>
            </w:pPr>
            <w:r>
              <w:rPr>
                <w:rFonts w:ascii="Times New Roman" w:hAnsi="Times New Roman"/>
                <w:b/>
                <w:bCs/>
                <w:color w:val="auto"/>
                <w:sz w:val="21"/>
                <w:szCs w:val="21"/>
                <w:highlight w:val="none"/>
              </w:rPr>
              <w:t>风速（m/s）</w:t>
            </w:r>
          </w:p>
        </w:tc>
        <w:tc>
          <w:tcPr>
            <w:tcW w:w="830" w:type="dxa"/>
            <w:vAlign w:val="center"/>
          </w:tcPr>
          <w:p w14:paraId="407CFCB3">
            <w:pPr>
              <w:ind w:left="-105" w:right="-105"/>
              <w:jc w:val="center"/>
              <w:rPr>
                <w:rFonts w:ascii="Times New Roman" w:hAnsi="Times New Roman"/>
                <w:color w:val="auto"/>
                <w:sz w:val="21"/>
                <w:szCs w:val="21"/>
                <w:highlight w:val="none"/>
              </w:rPr>
            </w:pPr>
            <w:r>
              <w:rPr>
                <w:rFonts w:ascii="Times New Roman" w:hAnsi="Times New Roman"/>
                <w:color w:val="auto"/>
                <w:sz w:val="21"/>
                <w:szCs w:val="21"/>
                <w:highlight w:val="none"/>
              </w:rPr>
              <w:t>2.2</w:t>
            </w:r>
          </w:p>
        </w:tc>
        <w:tc>
          <w:tcPr>
            <w:tcW w:w="830" w:type="dxa"/>
            <w:vAlign w:val="center"/>
          </w:tcPr>
          <w:p w14:paraId="180F47E6">
            <w:pPr>
              <w:ind w:left="-105" w:right="-105"/>
              <w:jc w:val="center"/>
              <w:rPr>
                <w:rFonts w:ascii="Times New Roman" w:hAnsi="Times New Roman"/>
                <w:color w:val="auto"/>
                <w:sz w:val="21"/>
                <w:szCs w:val="21"/>
                <w:highlight w:val="none"/>
              </w:rPr>
            </w:pPr>
            <w:r>
              <w:rPr>
                <w:rFonts w:ascii="Times New Roman" w:hAnsi="Times New Roman"/>
                <w:color w:val="auto"/>
                <w:sz w:val="21"/>
                <w:szCs w:val="21"/>
                <w:highlight w:val="none"/>
              </w:rPr>
              <w:t>1.8</w:t>
            </w:r>
          </w:p>
        </w:tc>
        <w:tc>
          <w:tcPr>
            <w:tcW w:w="830" w:type="dxa"/>
            <w:vAlign w:val="center"/>
          </w:tcPr>
          <w:p w14:paraId="55B9880F">
            <w:pPr>
              <w:ind w:left="-105" w:right="-105"/>
              <w:jc w:val="center"/>
              <w:rPr>
                <w:rFonts w:ascii="Times New Roman" w:hAnsi="Times New Roman"/>
                <w:color w:val="auto"/>
                <w:sz w:val="21"/>
                <w:szCs w:val="21"/>
                <w:highlight w:val="none"/>
              </w:rPr>
            </w:pPr>
            <w:r>
              <w:rPr>
                <w:rFonts w:ascii="Times New Roman" w:hAnsi="Times New Roman"/>
                <w:color w:val="auto"/>
                <w:sz w:val="21"/>
                <w:szCs w:val="21"/>
                <w:highlight w:val="none"/>
              </w:rPr>
              <w:t>2.7</w:t>
            </w:r>
          </w:p>
        </w:tc>
        <w:tc>
          <w:tcPr>
            <w:tcW w:w="830" w:type="dxa"/>
            <w:vAlign w:val="center"/>
          </w:tcPr>
          <w:p w14:paraId="0038E042">
            <w:pPr>
              <w:ind w:left="-105" w:right="-105"/>
              <w:jc w:val="center"/>
              <w:rPr>
                <w:rFonts w:ascii="Times New Roman" w:hAnsi="Times New Roman"/>
                <w:color w:val="auto"/>
                <w:sz w:val="21"/>
                <w:szCs w:val="21"/>
                <w:highlight w:val="none"/>
              </w:rPr>
            </w:pPr>
            <w:r>
              <w:rPr>
                <w:rFonts w:ascii="Times New Roman" w:hAnsi="Times New Roman"/>
                <w:color w:val="auto"/>
                <w:sz w:val="21"/>
                <w:szCs w:val="21"/>
                <w:highlight w:val="none"/>
              </w:rPr>
              <w:t>3.5</w:t>
            </w:r>
          </w:p>
        </w:tc>
        <w:tc>
          <w:tcPr>
            <w:tcW w:w="830" w:type="dxa"/>
            <w:vAlign w:val="center"/>
          </w:tcPr>
          <w:p w14:paraId="32E973D2">
            <w:pPr>
              <w:ind w:left="-105" w:right="-105"/>
              <w:jc w:val="center"/>
              <w:rPr>
                <w:rFonts w:ascii="Times New Roman" w:hAnsi="Times New Roman"/>
                <w:color w:val="auto"/>
                <w:sz w:val="21"/>
                <w:szCs w:val="21"/>
                <w:highlight w:val="none"/>
              </w:rPr>
            </w:pPr>
            <w:r>
              <w:rPr>
                <w:rFonts w:ascii="Times New Roman" w:hAnsi="Times New Roman"/>
                <w:color w:val="auto"/>
                <w:sz w:val="21"/>
                <w:szCs w:val="21"/>
                <w:highlight w:val="none"/>
              </w:rPr>
              <w:t>3.7</w:t>
            </w:r>
          </w:p>
        </w:tc>
        <w:tc>
          <w:tcPr>
            <w:tcW w:w="830" w:type="dxa"/>
            <w:vAlign w:val="center"/>
          </w:tcPr>
          <w:p w14:paraId="54BA876D">
            <w:pPr>
              <w:ind w:left="-105" w:right="-105"/>
              <w:jc w:val="center"/>
              <w:rPr>
                <w:rFonts w:ascii="Times New Roman" w:hAnsi="Times New Roman"/>
                <w:color w:val="auto"/>
                <w:sz w:val="21"/>
                <w:szCs w:val="21"/>
                <w:highlight w:val="none"/>
              </w:rPr>
            </w:pPr>
            <w:r>
              <w:rPr>
                <w:rFonts w:ascii="Times New Roman" w:hAnsi="Times New Roman"/>
                <w:color w:val="auto"/>
                <w:sz w:val="21"/>
                <w:szCs w:val="21"/>
                <w:highlight w:val="none"/>
              </w:rPr>
              <w:t>2.8</w:t>
            </w:r>
          </w:p>
        </w:tc>
        <w:tc>
          <w:tcPr>
            <w:tcW w:w="830" w:type="dxa"/>
            <w:vAlign w:val="center"/>
          </w:tcPr>
          <w:p w14:paraId="56B8C76E">
            <w:pPr>
              <w:ind w:left="-105" w:right="-105"/>
              <w:jc w:val="center"/>
              <w:rPr>
                <w:rFonts w:ascii="Times New Roman" w:hAnsi="Times New Roman"/>
                <w:color w:val="auto"/>
                <w:sz w:val="21"/>
                <w:szCs w:val="21"/>
                <w:highlight w:val="none"/>
              </w:rPr>
            </w:pPr>
            <w:r>
              <w:rPr>
                <w:rFonts w:ascii="Times New Roman" w:hAnsi="Times New Roman"/>
                <w:color w:val="auto"/>
                <w:sz w:val="21"/>
                <w:szCs w:val="21"/>
                <w:highlight w:val="none"/>
              </w:rPr>
              <w:t>2.5</w:t>
            </w:r>
          </w:p>
        </w:tc>
        <w:tc>
          <w:tcPr>
            <w:tcW w:w="830" w:type="dxa"/>
            <w:vAlign w:val="center"/>
          </w:tcPr>
          <w:p w14:paraId="0D6E9437">
            <w:pPr>
              <w:ind w:left="-105" w:right="-105"/>
              <w:jc w:val="center"/>
              <w:rPr>
                <w:rFonts w:ascii="Times New Roman" w:hAnsi="Times New Roman"/>
                <w:color w:val="auto"/>
                <w:sz w:val="21"/>
                <w:szCs w:val="21"/>
                <w:highlight w:val="none"/>
              </w:rPr>
            </w:pPr>
            <w:r>
              <w:rPr>
                <w:rFonts w:ascii="Times New Roman" w:hAnsi="Times New Roman"/>
                <w:color w:val="auto"/>
                <w:sz w:val="21"/>
                <w:szCs w:val="21"/>
                <w:highlight w:val="none"/>
              </w:rPr>
              <w:t>0</w:t>
            </w:r>
          </w:p>
        </w:tc>
        <w:tc>
          <w:tcPr>
            <w:tcW w:w="831" w:type="dxa"/>
            <w:vAlign w:val="center"/>
          </w:tcPr>
          <w:p w14:paraId="3CCA6C27">
            <w:pPr>
              <w:ind w:left="-105" w:right="-105"/>
              <w:jc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w:t>
            </w:r>
          </w:p>
        </w:tc>
      </w:tr>
      <w:tr w14:paraId="4257589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05" w:hRule="atLeast"/>
          <w:jc w:val="center"/>
        </w:trPr>
        <w:tc>
          <w:tcPr>
            <w:tcW w:w="1257" w:type="dxa"/>
            <w:vAlign w:val="center"/>
          </w:tcPr>
          <w:p w14:paraId="3202D51D">
            <w:pPr>
              <w:ind w:left="-105" w:right="-105"/>
              <w:jc w:val="center"/>
              <w:rPr>
                <w:rFonts w:ascii="Times New Roman" w:hAnsi="Times New Roman"/>
                <w:b/>
                <w:bCs/>
                <w:color w:val="auto"/>
                <w:sz w:val="21"/>
                <w:szCs w:val="21"/>
                <w:highlight w:val="none"/>
              </w:rPr>
            </w:pPr>
            <w:r>
              <w:rPr>
                <w:rFonts w:ascii="Times New Roman" w:hAnsi="Times New Roman"/>
                <w:b/>
                <w:bCs/>
                <w:color w:val="auto"/>
                <w:sz w:val="21"/>
                <w:szCs w:val="21"/>
                <w:highlight w:val="none"/>
              </w:rPr>
              <w:t>风频（%）</w:t>
            </w:r>
          </w:p>
        </w:tc>
        <w:tc>
          <w:tcPr>
            <w:tcW w:w="830" w:type="dxa"/>
            <w:vAlign w:val="center"/>
          </w:tcPr>
          <w:p w14:paraId="1992527A">
            <w:pPr>
              <w:ind w:left="-105" w:right="-105"/>
              <w:jc w:val="center"/>
              <w:rPr>
                <w:rFonts w:ascii="Times New Roman" w:hAnsi="Times New Roman"/>
                <w:color w:val="auto"/>
                <w:sz w:val="21"/>
                <w:szCs w:val="21"/>
                <w:highlight w:val="none"/>
              </w:rPr>
            </w:pPr>
            <w:r>
              <w:rPr>
                <w:rFonts w:ascii="Times New Roman" w:hAnsi="Times New Roman"/>
                <w:color w:val="auto"/>
                <w:sz w:val="21"/>
                <w:szCs w:val="21"/>
                <w:highlight w:val="none"/>
              </w:rPr>
              <w:t>2.5</w:t>
            </w:r>
          </w:p>
        </w:tc>
        <w:tc>
          <w:tcPr>
            <w:tcW w:w="830" w:type="dxa"/>
            <w:vAlign w:val="center"/>
          </w:tcPr>
          <w:p w14:paraId="23DF05E5">
            <w:pPr>
              <w:ind w:left="-105" w:right="-105"/>
              <w:jc w:val="center"/>
              <w:rPr>
                <w:rFonts w:ascii="Times New Roman" w:hAnsi="Times New Roman"/>
                <w:color w:val="auto"/>
                <w:sz w:val="21"/>
                <w:szCs w:val="21"/>
                <w:highlight w:val="none"/>
              </w:rPr>
            </w:pPr>
            <w:r>
              <w:rPr>
                <w:rFonts w:ascii="Times New Roman" w:hAnsi="Times New Roman"/>
                <w:color w:val="auto"/>
                <w:sz w:val="21"/>
                <w:szCs w:val="21"/>
                <w:highlight w:val="none"/>
              </w:rPr>
              <w:t>2.0</w:t>
            </w:r>
          </w:p>
        </w:tc>
        <w:tc>
          <w:tcPr>
            <w:tcW w:w="830" w:type="dxa"/>
            <w:vAlign w:val="center"/>
          </w:tcPr>
          <w:p w14:paraId="2FF9B7D6">
            <w:pPr>
              <w:ind w:left="-105" w:right="-105"/>
              <w:jc w:val="center"/>
              <w:rPr>
                <w:rFonts w:ascii="Times New Roman" w:hAnsi="Times New Roman"/>
                <w:color w:val="auto"/>
                <w:sz w:val="21"/>
                <w:szCs w:val="21"/>
                <w:highlight w:val="none"/>
              </w:rPr>
            </w:pPr>
            <w:r>
              <w:rPr>
                <w:rFonts w:ascii="Times New Roman" w:hAnsi="Times New Roman"/>
                <w:color w:val="auto"/>
                <w:sz w:val="21"/>
                <w:szCs w:val="21"/>
                <w:highlight w:val="none"/>
              </w:rPr>
              <w:t>2.3</w:t>
            </w:r>
          </w:p>
        </w:tc>
        <w:tc>
          <w:tcPr>
            <w:tcW w:w="830" w:type="dxa"/>
            <w:vAlign w:val="center"/>
          </w:tcPr>
          <w:p w14:paraId="06C5D31E">
            <w:pPr>
              <w:ind w:left="-105" w:right="-105"/>
              <w:jc w:val="center"/>
              <w:rPr>
                <w:rFonts w:ascii="Times New Roman" w:hAnsi="Times New Roman"/>
                <w:color w:val="auto"/>
                <w:sz w:val="21"/>
                <w:szCs w:val="21"/>
                <w:highlight w:val="none"/>
              </w:rPr>
            </w:pPr>
            <w:r>
              <w:rPr>
                <w:rFonts w:ascii="Times New Roman" w:hAnsi="Times New Roman"/>
                <w:color w:val="auto"/>
                <w:sz w:val="21"/>
                <w:szCs w:val="21"/>
                <w:highlight w:val="none"/>
              </w:rPr>
              <w:t>3.8</w:t>
            </w:r>
          </w:p>
        </w:tc>
        <w:tc>
          <w:tcPr>
            <w:tcW w:w="830" w:type="dxa"/>
            <w:vAlign w:val="center"/>
          </w:tcPr>
          <w:p w14:paraId="353ED526">
            <w:pPr>
              <w:ind w:left="-105" w:right="-105"/>
              <w:jc w:val="center"/>
              <w:rPr>
                <w:rFonts w:ascii="Times New Roman" w:hAnsi="Times New Roman"/>
                <w:color w:val="auto"/>
                <w:sz w:val="21"/>
                <w:szCs w:val="21"/>
                <w:highlight w:val="none"/>
              </w:rPr>
            </w:pPr>
            <w:r>
              <w:rPr>
                <w:rFonts w:ascii="Times New Roman" w:hAnsi="Times New Roman"/>
                <w:color w:val="auto"/>
                <w:sz w:val="21"/>
                <w:szCs w:val="21"/>
                <w:highlight w:val="none"/>
              </w:rPr>
              <w:t>6.8</w:t>
            </w:r>
          </w:p>
        </w:tc>
        <w:tc>
          <w:tcPr>
            <w:tcW w:w="830" w:type="dxa"/>
            <w:vAlign w:val="center"/>
          </w:tcPr>
          <w:p w14:paraId="55E699A3">
            <w:pPr>
              <w:ind w:left="-105" w:right="-105"/>
              <w:jc w:val="center"/>
              <w:rPr>
                <w:rFonts w:ascii="Times New Roman" w:hAnsi="Times New Roman"/>
                <w:color w:val="auto"/>
                <w:sz w:val="21"/>
                <w:szCs w:val="21"/>
                <w:highlight w:val="none"/>
              </w:rPr>
            </w:pPr>
            <w:r>
              <w:rPr>
                <w:rFonts w:ascii="Times New Roman" w:hAnsi="Times New Roman"/>
                <w:color w:val="auto"/>
                <w:sz w:val="21"/>
                <w:szCs w:val="21"/>
                <w:highlight w:val="none"/>
              </w:rPr>
              <w:t>5.3</w:t>
            </w:r>
          </w:p>
        </w:tc>
        <w:tc>
          <w:tcPr>
            <w:tcW w:w="830" w:type="dxa"/>
            <w:vAlign w:val="center"/>
          </w:tcPr>
          <w:p w14:paraId="686FA6E9">
            <w:pPr>
              <w:ind w:left="-105" w:right="-105"/>
              <w:jc w:val="center"/>
              <w:rPr>
                <w:rFonts w:ascii="Times New Roman" w:hAnsi="Times New Roman"/>
                <w:color w:val="auto"/>
                <w:sz w:val="21"/>
                <w:szCs w:val="21"/>
                <w:highlight w:val="none"/>
              </w:rPr>
            </w:pPr>
            <w:r>
              <w:rPr>
                <w:rFonts w:ascii="Times New Roman" w:hAnsi="Times New Roman"/>
                <w:color w:val="auto"/>
                <w:sz w:val="21"/>
                <w:szCs w:val="21"/>
                <w:highlight w:val="none"/>
              </w:rPr>
              <w:t>5.4</w:t>
            </w:r>
          </w:p>
        </w:tc>
        <w:tc>
          <w:tcPr>
            <w:tcW w:w="830" w:type="dxa"/>
            <w:vAlign w:val="center"/>
          </w:tcPr>
          <w:p w14:paraId="635ECA23">
            <w:pPr>
              <w:ind w:left="-105" w:right="-105"/>
              <w:jc w:val="center"/>
              <w:rPr>
                <w:rFonts w:ascii="Times New Roman" w:hAnsi="Times New Roman"/>
                <w:color w:val="auto"/>
                <w:sz w:val="21"/>
                <w:szCs w:val="21"/>
                <w:highlight w:val="none"/>
              </w:rPr>
            </w:pPr>
            <w:r>
              <w:rPr>
                <w:rFonts w:ascii="Times New Roman" w:hAnsi="Times New Roman"/>
                <w:color w:val="auto"/>
                <w:sz w:val="21"/>
                <w:szCs w:val="21"/>
                <w:highlight w:val="none"/>
              </w:rPr>
              <w:t>12.8</w:t>
            </w:r>
          </w:p>
        </w:tc>
        <w:tc>
          <w:tcPr>
            <w:tcW w:w="831" w:type="dxa"/>
            <w:vAlign w:val="center"/>
          </w:tcPr>
          <w:p w14:paraId="258A07AA">
            <w:pPr>
              <w:ind w:left="-105" w:right="-105"/>
              <w:jc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w:t>
            </w:r>
          </w:p>
        </w:tc>
      </w:tr>
      <w:tr w14:paraId="134548E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05" w:hRule="atLeast"/>
          <w:jc w:val="center"/>
        </w:trPr>
        <w:tc>
          <w:tcPr>
            <w:tcW w:w="1257" w:type="dxa"/>
            <w:vAlign w:val="center"/>
          </w:tcPr>
          <w:p w14:paraId="7CCBC1F3">
            <w:pPr>
              <w:ind w:left="-105" w:right="-105"/>
              <w:jc w:val="center"/>
              <w:rPr>
                <w:rFonts w:ascii="Times New Roman" w:hAnsi="Times New Roman"/>
                <w:b/>
                <w:bCs/>
                <w:color w:val="auto"/>
                <w:sz w:val="21"/>
                <w:szCs w:val="21"/>
                <w:highlight w:val="none"/>
              </w:rPr>
            </w:pPr>
            <w:r>
              <w:rPr>
                <w:rFonts w:ascii="Times New Roman" w:hAnsi="Times New Roman"/>
                <w:b/>
                <w:bCs/>
                <w:color w:val="auto"/>
                <w:sz w:val="21"/>
                <w:szCs w:val="21"/>
                <w:highlight w:val="none"/>
              </w:rPr>
              <w:t>污染风频（%）</w:t>
            </w:r>
          </w:p>
        </w:tc>
        <w:tc>
          <w:tcPr>
            <w:tcW w:w="830" w:type="dxa"/>
            <w:vAlign w:val="center"/>
          </w:tcPr>
          <w:p w14:paraId="1FE5270D">
            <w:pPr>
              <w:ind w:left="-105" w:right="-105"/>
              <w:jc w:val="center"/>
              <w:rPr>
                <w:rFonts w:ascii="Times New Roman" w:hAnsi="Times New Roman"/>
                <w:color w:val="auto"/>
                <w:sz w:val="21"/>
                <w:szCs w:val="21"/>
                <w:highlight w:val="none"/>
              </w:rPr>
            </w:pPr>
            <w:r>
              <w:rPr>
                <w:rFonts w:ascii="Times New Roman" w:hAnsi="Times New Roman"/>
                <w:color w:val="auto"/>
                <w:sz w:val="21"/>
                <w:szCs w:val="21"/>
                <w:highlight w:val="none"/>
              </w:rPr>
              <w:t>3.46</w:t>
            </w:r>
          </w:p>
        </w:tc>
        <w:tc>
          <w:tcPr>
            <w:tcW w:w="830" w:type="dxa"/>
            <w:vAlign w:val="center"/>
          </w:tcPr>
          <w:p w14:paraId="52439FC4">
            <w:pPr>
              <w:ind w:left="-105" w:right="-105"/>
              <w:jc w:val="center"/>
              <w:rPr>
                <w:rFonts w:ascii="Times New Roman" w:hAnsi="Times New Roman"/>
                <w:color w:val="auto"/>
                <w:sz w:val="21"/>
                <w:szCs w:val="21"/>
                <w:highlight w:val="none"/>
              </w:rPr>
            </w:pPr>
            <w:r>
              <w:rPr>
                <w:rFonts w:ascii="Times New Roman" w:hAnsi="Times New Roman"/>
                <w:color w:val="auto"/>
                <w:sz w:val="21"/>
                <w:szCs w:val="21"/>
                <w:highlight w:val="none"/>
              </w:rPr>
              <w:t>5.09</w:t>
            </w:r>
          </w:p>
        </w:tc>
        <w:tc>
          <w:tcPr>
            <w:tcW w:w="830" w:type="dxa"/>
            <w:vAlign w:val="center"/>
          </w:tcPr>
          <w:p w14:paraId="6F33CCB9">
            <w:pPr>
              <w:ind w:left="-105" w:right="-105"/>
              <w:jc w:val="center"/>
              <w:rPr>
                <w:rFonts w:ascii="Times New Roman" w:hAnsi="Times New Roman"/>
                <w:color w:val="auto"/>
                <w:sz w:val="21"/>
                <w:szCs w:val="21"/>
                <w:highlight w:val="none"/>
              </w:rPr>
            </w:pPr>
            <w:r>
              <w:rPr>
                <w:rFonts w:ascii="Times New Roman" w:hAnsi="Times New Roman"/>
                <w:color w:val="auto"/>
                <w:sz w:val="21"/>
                <w:szCs w:val="21"/>
                <w:highlight w:val="none"/>
              </w:rPr>
              <w:t>2.61</w:t>
            </w:r>
          </w:p>
        </w:tc>
        <w:tc>
          <w:tcPr>
            <w:tcW w:w="830" w:type="dxa"/>
            <w:vAlign w:val="center"/>
          </w:tcPr>
          <w:p w14:paraId="4B5B80B6">
            <w:pPr>
              <w:ind w:left="-105" w:right="-105"/>
              <w:jc w:val="center"/>
              <w:rPr>
                <w:rFonts w:ascii="Times New Roman" w:hAnsi="Times New Roman"/>
                <w:color w:val="auto"/>
                <w:sz w:val="21"/>
                <w:szCs w:val="21"/>
                <w:highlight w:val="none"/>
              </w:rPr>
            </w:pPr>
            <w:r>
              <w:rPr>
                <w:rFonts w:ascii="Times New Roman" w:hAnsi="Times New Roman"/>
                <w:color w:val="auto"/>
                <w:sz w:val="21"/>
                <w:szCs w:val="21"/>
                <w:highlight w:val="none"/>
              </w:rPr>
              <w:t>3.33</w:t>
            </w:r>
          </w:p>
        </w:tc>
        <w:tc>
          <w:tcPr>
            <w:tcW w:w="830" w:type="dxa"/>
            <w:vAlign w:val="center"/>
          </w:tcPr>
          <w:p w14:paraId="36B3FA02">
            <w:pPr>
              <w:ind w:left="-105" w:right="-105"/>
              <w:jc w:val="center"/>
              <w:rPr>
                <w:rFonts w:ascii="Times New Roman" w:hAnsi="Times New Roman"/>
                <w:color w:val="auto"/>
                <w:sz w:val="21"/>
                <w:szCs w:val="21"/>
                <w:highlight w:val="none"/>
              </w:rPr>
            </w:pPr>
            <w:r>
              <w:rPr>
                <w:rFonts w:ascii="Times New Roman" w:hAnsi="Times New Roman"/>
                <w:color w:val="auto"/>
                <w:sz w:val="21"/>
                <w:szCs w:val="21"/>
                <w:highlight w:val="none"/>
              </w:rPr>
              <w:t>5.62</w:t>
            </w:r>
          </w:p>
        </w:tc>
        <w:tc>
          <w:tcPr>
            <w:tcW w:w="830" w:type="dxa"/>
            <w:vAlign w:val="center"/>
          </w:tcPr>
          <w:p w14:paraId="6C778D90">
            <w:pPr>
              <w:ind w:left="-105" w:right="-105"/>
              <w:jc w:val="center"/>
              <w:rPr>
                <w:rFonts w:ascii="Times New Roman" w:hAnsi="Times New Roman"/>
                <w:color w:val="auto"/>
                <w:sz w:val="21"/>
                <w:szCs w:val="21"/>
                <w:highlight w:val="none"/>
              </w:rPr>
            </w:pPr>
            <w:r>
              <w:rPr>
                <w:rFonts w:ascii="Times New Roman" w:hAnsi="Times New Roman"/>
                <w:color w:val="auto"/>
                <w:sz w:val="21"/>
                <w:szCs w:val="21"/>
                <w:highlight w:val="none"/>
              </w:rPr>
              <w:t>5.78</w:t>
            </w:r>
          </w:p>
        </w:tc>
        <w:tc>
          <w:tcPr>
            <w:tcW w:w="830" w:type="dxa"/>
            <w:vAlign w:val="center"/>
          </w:tcPr>
          <w:p w14:paraId="3949F16A">
            <w:pPr>
              <w:ind w:left="-105" w:right="-105"/>
              <w:jc w:val="center"/>
              <w:rPr>
                <w:rFonts w:ascii="Times New Roman" w:hAnsi="Times New Roman"/>
                <w:color w:val="auto"/>
                <w:sz w:val="21"/>
                <w:szCs w:val="21"/>
                <w:highlight w:val="none"/>
              </w:rPr>
            </w:pPr>
            <w:r>
              <w:rPr>
                <w:rFonts w:ascii="Times New Roman" w:hAnsi="Times New Roman"/>
                <w:color w:val="auto"/>
                <w:sz w:val="21"/>
                <w:szCs w:val="21"/>
                <w:highlight w:val="none"/>
              </w:rPr>
              <w:t>6.60</w:t>
            </w:r>
          </w:p>
        </w:tc>
        <w:tc>
          <w:tcPr>
            <w:tcW w:w="830" w:type="dxa"/>
            <w:vAlign w:val="center"/>
          </w:tcPr>
          <w:p w14:paraId="0C3101B4">
            <w:pPr>
              <w:ind w:left="-105" w:right="-105"/>
              <w:jc w:val="center"/>
              <w:rPr>
                <w:rFonts w:ascii="Times New Roman" w:hAnsi="Times New Roman"/>
                <w:color w:val="auto"/>
                <w:sz w:val="21"/>
                <w:szCs w:val="21"/>
                <w:highlight w:val="none"/>
              </w:rPr>
            </w:pPr>
            <w:r>
              <w:rPr>
                <w:rFonts w:ascii="Times New Roman" w:hAnsi="Times New Roman"/>
                <w:color w:val="auto"/>
                <w:sz w:val="21"/>
                <w:szCs w:val="21"/>
                <w:highlight w:val="none"/>
              </w:rPr>
              <w:t>/</w:t>
            </w:r>
          </w:p>
        </w:tc>
        <w:tc>
          <w:tcPr>
            <w:tcW w:w="831" w:type="dxa"/>
            <w:vAlign w:val="center"/>
          </w:tcPr>
          <w:p w14:paraId="1D96D8AC">
            <w:pPr>
              <w:ind w:left="-105" w:right="-105"/>
              <w:jc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w:t>
            </w:r>
          </w:p>
        </w:tc>
      </w:tr>
    </w:tbl>
    <w:p w14:paraId="4620E838">
      <w:pPr>
        <w:spacing w:line="360" w:lineRule="auto"/>
        <w:ind w:left="-105" w:right="-105" w:firstLine="402"/>
        <w:rPr>
          <w:rFonts w:ascii="Times New Roman" w:hAnsi="Times New Roman"/>
          <w:b/>
          <w:bCs/>
          <w:color w:val="auto"/>
          <w:sz w:val="20"/>
          <w:szCs w:val="20"/>
          <w:highlight w:val="none"/>
        </w:rPr>
      </w:pPr>
      <w:r>
        <w:rPr>
          <w:rFonts w:ascii="Times New Roman" w:hAnsi="Times New Roman"/>
          <w:b/>
          <w:bCs/>
          <w:color w:val="auto"/>
          <w:sz w:val="20"/>
          <w:szCs w:val="20"/>
          <w:highlight w:val="none"/>
        </w:rPr>
        <w:t>注：静风频率已按小风频率分配。</w:t>
      </w:r>
    </w:p>
    <w:p w14:paraId="158F6268">
      <w:pPr>
        <w:pStyle w:val="15"/>
        <w:spacing w:line="360" w:lineRule="auto"/>
        <w:ind w:left="-105" w:right="-105" w:firstLine="482"/>
        <w:rPr>
          <w:rFonts w:eastAsia="宋体" w:cs="Times New Roman"/>
          <w:color w:val="auto"/>
          <w:sz w:val="24"/>
          <w:szCs w:val="18"/>
          <w:highlight w:val="none"/>
        </w:rPr>
      </w:pPr>
      <w:bookmarkStart w:id="364" w:name="_Ref38869901"/>
      <w:r>
        <w:rPr>
          <w:rFonts w:eastAsia="宋体" w:cs="Times New Roman"/>
          <w:color w:val="auto"/>
          <w:sz w:val="24"/>
          <w:szCs w:val="18"/>
          <w:highlight w:val="none"/>
        </w:rPr>
        <w:t>表</w:t>
      </w:r>
      <w:r>
        <w:rPr>
          <w:rFonts w:eastAsia="宋体" w:cs="Times New Roman"/>
          <w:color w:val="auto"/>
          <w:sz w:val="24"/>
          <w:szCs w:val="18"/>
          <w:highlight w:val="none"/>
        </w:rPr>
        <w:fldChar w:fldCharType="begin"/>
      </w:r>
      <w:r>
        <w:rPr>
          <w:rFonts w:eastAsia="宋体" w:cs="Times New Roman"/>
          <w:color w:val="auto"/>
          <w:sz w:val="24"/>
          <w:szCs w:val="18"/>
          <w:highlight w:val="none"/>
        </w:rPr>
        <w:instrText xml:space="preserve"> STYLEREF 2 \s </w:instrText>
      </w:r>
      <w:r>
        <w:rPr>
          <w:rFonts w:eastAsia="宋体" w:cs="Times New Roman"/>
          <w:color w:val="auto"/>
          <w:sz w:val="24"/>
          <w:szCs w:val="18"/>
          <w:highlight w:val="none"/>
        </w:rPr>
        <w:fldChar w:fldCharType="separate"/>
      </w:r>
      <w:r>
        <w:rPr>
          <w:rFonts w:eastAsia="宋体" w:cs="Times New Roman"/>
          <w:color w:val="auto"/>
          <w:sz w:val="24"/>
          <w:szCs w:val="18"/>
          <w:highlight w:val="none"/>
        </w:rPr>
        <w:t>6.1</w:t>
      </w:r>
      <w:r>
        <w:rPr>
          <w:rFonts w:eastAsia="宋体" w:cs="Times New Roman"/>
          <w:color w:val="auto"/>
          <w:sz w:val="24"/>
          <w:szCs w:val="18"/>
          <w:highlight w:val="none"/>
        </w:rPr>
        <w:fldChar w:fldCharType="end"/>
      </w:r>
      <w:r>
        <w:rPr>
          <w:rFonts w:eastAsia="宋体" w:cs="Times New Roman"/>
          <w:color w:val="auto"/>
          <w:sz w:val="24"/>
          <w:szCs w:val="18"/>
          <w:highlight w:val="none"/>
        </w:rPr>
        <w:noBreakHyphen/>
      </w:r>
      <w:r>
        <w:rPr>
          <w:rFonts w:eastAsia="宋体" w:cs="Times New Roman"/>
          <w:color w:val="auto"/>
          <w:sz w:val="24"/>
          <w:szCs w:val="18"/>
          <w:highlight w:val="none"/>
        </w:rPr>
        <w:fldChar w:fldCharType="begin"/>
      </w:r>
      <w:r>
        <w:rPr>
          <w:rFonts w:eastAsia="宋体" w:cs="Times New Roman"/>
          <w:color w:val="auto"/>
          <w:sz w:val="24"/>
          <w:szCs w:val="18"/>
          <w:highlight w:val="none"/>
        </w:rPr>
        <w:instrText xml:space="preserve"> SEQ 表 \* ARABIC \s 2 </w:instrText>
      </w:r>
      <w:r>
        <w:rPr>
          <w:rFonts w:eastAsia="宋体" w:cs="Times New Roman"/>
          <w:color w:val="auto"/>
          <w:sz w:val="24"/>
          <w:szCs w:val="18"/>
          <w:highlight w:val="none"/>
        </w:rPr>
        <w:fldChar w:fldCharType="separate"/>
      </w:r>
      <w:r>
        <w:rPr>
          <w:rFonts w:eastAsia="宋体" w:cs="Times New Roman"/>
          <w:color w:val="auto"/>
          <w:sz w:val="24"/>
          <w:szCs w:val="18"/>
          <w:highlight w:val="none"/>
        </w:rPr>
        <w:t>2</w:t>
      </w:r>
      <w:r>
        <w:rPr>
          <w:rFonts w:eastAsia="宋体" w:cs="Times New Roman"/>
          <w:color w:val="auto"/>
          <w:sz w:val="24"/>
          <w:szCs w:val="18"/>
          <w:highlight w:val="none"/>
        </w:rPr>
        <w:fldChar w:fldCharType="end"/>
      </w:r>
      <w:bookmarkEnd w:id="364"/>
      <w:r>
        <w:rPr>
          <w:rFonts w:eastAsia="宋体" w:cs="Times New Roman"/>
          <w:color w:val="auto"/>
          <w:sz w:val="24"/>
          <w:szCs w:val="18"/>
          <w:highlight w:val="none"/>
        </w:rPr>
        <w:t>各月风速、最多风向及其频率</w:t>
      </w:r>
    </w:p>
    <w:tbl>
      <w:tblPr>
        <w:tblStyle w:val="45"/>
        <w:tblW w:w="9424" w:type="dxa"/>
        <w:jc w:val="center"/>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fixed"/>
        <w:tblCellMar>
          <w:top w:w="0" w:type="dxa"/>
          <w:left w:w="108" w:type="dxa"/>
          <w:bottom w:w="0" w:type="dxa"/>
          <w:right w:w="108" w:type="dxa"/>
        </w:tblCellMar>
      </w:tblPr>
      <w:tblGrid>
        <w:gridCol w:w="1147"/>
        <w:gridCol w:w="636"/>
        <w:gridCol w:w="636"/>
        <w:gridCol w:w="637"/>
        <w:gridCol w:w="636"/>
        <w:gridCol w:w="636"/>
        <w:gridCol w:w="636"/>
        <w:gridCol w:w="636"/>
        <w:gridCol w:w="636"/>
        <w:gridCol w:w="636"/>
        <w:gridCol w:w="636"/>
        <w:gridCol w:w="637"/>
        <w:gridCol w:w="636"/>
        <w:gridCol w:w="643"/>
      </w:tblGrid>
      <w:tr w14:paraId="0BE5CE8E">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108" w:type="dxa"/>
            <w:bottom w:w="0" w:type="dxa"/>
            <w:right w:w="108" w:type="dxa"/>
          </w:tblCellMar>
        </w:tblPrEx>
        <w:trPr>
          <w:trHeight w:val="340" w:hRule="atLeast"/>
          <w:jc w:val="center"/>
        </w:trPr>
        <w:tc>
          <w:tcPr>
            <w:tcW w:w="1147" w:type="dxa"/>
            <w:tcBorders>
              <w:left w:val="nil"/>
              <w:bottom w:val="single" w:color="000000" w:sz="4" w:space="0"/>
              <w:right w:val="single" w:color="000000" w:sz="4" w:space="0"/>
            </w:tcBorders>
            <w:vAlign w:val="center"/>
          </w:tcPr>
          <w:p w14:paraId="02721399">
            <w:pPr>
              <w:pStyle w:val="98"/>
              <w:ind w:left="-105" w:right="-105"/>
              <w:rPr>
                <w:rFonts w:eastAsia="宋体"/>
                <w:b/>
                <w:bCs/>
                <w:color w:val="auto"/>
                <w:sz w:val="21"/>
                <w:szCs w:val="21"/>
                <w:highlight w:val="none"/>
              </w:rPr>
            </w:pPr>
            <w:r>
              <w:rPr>
                <w:rFonts w:eastAsia="宋体"/>
                <w:b/>
                <w:bCs/>
                <w:color w:val="auto"/>
                <w:sz w:val="21"/>
                <w:szCs w:val="21"/>
                <w:highlight w:val="none"/>
              </w:rPr>
              <w:t>月份</w:t>
            </w:r>
          </w:p>
        </w:tc>
        <w:tc>
          <w:tcPr>
            <w:tcW w:w="636" w:type="dxa"/>
            <w:tcBorders>
              <w:left w:val="single" w:color="000000" w:sz="4" w:space="0"/>
              <w:bottom w:val="single" w:color="000000" w:sz="4" w:space="0"/>
              <w:right w:val="single" w:color="000000" w:sz="4" w:space="0"/>
            </w:tcBorders>
            <w:vAlign w:val="center"/>
          </w:tcPr>
          <w:p w14:paraId="220A6F3A">
            <w:pPr>
              <w:pStyle w:val="98"/>
              <w:ind w:left="-105" w:right="-105"/>
              <w:rPr>
                <w:rFonts w:eastAsia="宋体"/>
                <w:color w:val="auto"/>
                <w:sz w:val="21"/>
                <w:szCs w:val="21"/>
                <w:highlight w:val="none"/>
              </w:rPr>
            </w:pPr>
            <w:r>
              <w:rPr>
                <w:rFonts w:eastAsia="宋体"/>
                <w:color w:val="auto"/>
                <w:sz w:val="21"/>
                <w:szCs w:val="21"/>
                <w:highlight w:val="none"/>
              </w:rPr>
              <w:t>1</w:t>
            </w:r>
          </w:p>
        </w:tc>
        <w:tc>
          <w:tcPr>
            <w:tcW w:w="636" w:type="dxa"/>
            <w:tcBorders>
              <w:left w:val="single" w:color="000000" w:sz="4" w:space="0"/>
              <w:bottom w:val="single" w:color="000000" w:sz="4" w:space="0"/>
              <w:right w:val="single" w:color="000000" w:sz="4" w:space="0"/>
            </w:tcBorders>
            <w:vAlign w:val="center"/>
          </w:tcPr>
          <w:p w14:paraId="3C8B37CC">
            <w:pPr>
              <w:pStyle w:val="98"/>
              <w:ind w:left="-105" w:right="-105"/>
              <w:rPr>
                <w:rFonts w:eastAsia="宋体"/>
                <w:color w:val="auto"/>
                <w:sz w:val="21"/>
                <w:szCs w:val="21"/>
                <w:highlight w:val="none"/>
              </w:rPr>
            </w:pPr>
            <w:r>
              <w:rPr>
                <w:rFonts w:eastAsia="宋体"/>
                <w:color w:val="auto"/>
                <w:sz w:val="21"/>
                <w:szCs w:val="21"/>
                <w:highlight w:val="none"/>
              </w:rPr>
              <w:t>2</w:t>
            </w:r>
          </w:p>
        </w:tc>
        <w:tc>
          <w:tcPr>
            <w:tcW w:w="637" w:type="dxa"/>
            <w:tcBorders>
              <w:left w:val="single" w:color="000000" w:sz="4" w:space="0"/>
              <w:bottom w:val="single" w:color="000000" w:sz="4" w:space="0"/>
              <w:right w:val="single" w:color="000000" w:sz="4" w:space="0"/>
            </w:tcBorders>
            <w:vAlign w:val="center"/>
          </w:tcPr>
          <w:p w14:paraId="0533B57D">
            <w:pPr>
              <w:pStyle w:val="98"/>
              <w:ind w:left="-105" w:right="-105"/>
              <w:rPr>
                <w:rFonts w:eastAsia="宋体"/>
                <w:color w:val="auto"/>
                <w:sz w:val="21"/>
                <w:szCs w:val="21"/>
                <w:highlight w:val="none"/>
              </w:rPr>
            </w:pPr>
            <w:r>
              <w:rPr>
                <w:rFonts w:eastAsia="宋体"/>
                <w:color w:val="auto"/>
                <w:sz w:val="21"/>
                <w:szCs w:val="21"/>
                <w:highlight w:val="none"/>
              </w:rPr>
              <w:t>3</w:t>
            </w:r>
          </w:p>
        </w:tc>
        <w:tc>
          <w:tcPr>
            <w:tcW w:w="636" w:type="dxa"/>
            <w:tcBorders>
              <w:left w:val="single" w:color="000000" w:sz="4" w:space="0"/>
              <w:bottom w:val="single" w:color="000000" w:sz="4" w:space="0"/>
              <w:right w:val="single" w:color="000000" w:sz="4" w:space="0"/>
            </w:tcBorders>
            <w:vAlign w:val="center"/>
          </w:tcPr>
          <w:p w14:paraId="193E5080">
            <w:pPr>
              <w:pStyle w:val="98"/>
              <w:ind w:left="-105" w:right="-105"/>
              <w:rPr>
                <w:rFonts w:eastAsia="宋体"/>
                <w:color w:val="auto"/>
                <w:sz w:val="21"/>
                <w:szCs w:val="21"/>
                <w:highlight w:val="none"/>
              </w:rPr>
            </w:pPr>
            <w:r>
              <w:rPr>
                <w:rFonts w:eastAsia="宋体"/>
                <w:color w:val="auto"/>
                <w:sz w:val="21"/>
                <w:szCs w:val="21"/>
                <w:highlight w:val="none"/>
              </w:rPr>
              <w:t>4</w:t>
            </w:r>
          </w:p>
        </w:tc>
        <w:tc>
          <w:tcPr>
            <w:tcW w:w="636" w:type="dxa"/>
            <w:tcBorders>
              <w:left w:val="single" w:color="000000" w:sz="4" w:space="0"/>
              <w:bottom w:val="single" w:color="000000" w:sz="4" w:space="0"/>
              <w:right w:val="single" w:color="000000" w:sz="4" w:space="0"/>
            </w:tcBorders>
            <w:vAlign w:val="center"/>
          </w:tcPr>
          <w:p w14:paraId="6349ADBA">
            <w:pPr>
              <w:pStyle w:val="98"/>
              <w:ind w:left="-105" w:right="-105"/>
              <w:rPr>
                <w:rFonts w:eastAsia="宋体"/>
                <w:color w:val="auto"/>
                <w:sz w:val="21"/>
                <w:szCs w:val="21"/>
                <w:highlight w:val="none"/>
              </w:rPr>
            </w:pPr>
            <w:r>
              <w:rPr>
                <w:rFonts w:eastAsia="宋体"/>
                <w:color w:val="auto"/>
                <w:sz w:val="21"/>
                <w:szCs w:val="21"/>
                <w:highlight w:val="none"/>
              </w:rPr>
              <w:t>5</w:t>
            </w:r>
          </w:p>
        </w:tc>
        <w:tc>
          <w:tcPr>
            <w:tcW w:w="636" w:type="dxa"/>
            <w:tcBorders>
              <w:left w:val="single" w:color="000000" w:sz="4" w:space="0"/>
              <w:bottom w:val="single" w:color="000000" w:sz="4" w:space="0"/>
              <w:right w:val="single" w:color="000000" w:sz="4" w:space="0"/>
            </w:tcBorders>
            <w:vAlign w:val="center"/>
          </w:tcPr>
          <w:p w14:paraId="52AF502A">
            <w:pPr>
              <w:pStyle w:val="98"/>
              <w:ind w:left="-105" w:right="-105"/>
              <w:rPr>
                <w:rFonts w:eastAsia="宋体"/>
                <w:color w:val="auto"/>
                <w:sz w:val="21"/>
                <w:szCs w:val="21"/>
                <w:highlight w:val="none"/>
              </w:rPr>
            </w:pPr>
            <w:r>
              <w:rPr>
                <w:rFonts w:eastAsia="宋体"/>
                <w:color w:val="auto"/>
                <w:sz w:val="21"/>
                <w:szCs w:val="21"/>
                <w:highlight w:val="none"/>
              </w:rPr>
              <w:t>6</w:t>
            </w:r>
          </w:p>
        </w:tc>
        <w:tc>
          <w:tcPr>
            <w:tcW w:w="636" w:type="dxa"/>
            <w:tcBorders>
              <w:left w:val="single" w:color="000000" w:sz="4" w:space="0"/>
              <w:bottom w:val="single" w:color="000000" w:sz="4" w:space="0"/>
              <w:right w:val="single" w:color="000000" w:sz="4" w:space="0"/>
            </w:tcBorders>
            <w:vAlign w:val="center"/>
          </w:tcPr>
          <w:p w14:paraId="17F13247">
            <w:pPr>
              <w:pStyle w:val="98"/>
              <w:ind w:left="-105" w:right="-105"/>
              <w:rPr>
                <w:rFonts w:eastAsia="宋体"/>
                <w:color w:val="auto"/>
                <w:sz w:val="21"/>
                <w:szCs w:val="21"/>
                <w:highlight w:val="none"/>
              </w:rPr>
            </w:pPr>
            <w:r>
              <w:rPr>
                <w:rFonts w:eastAsia="宋体"/>
                <w:color w:val="auto"/>
                <w:sz w:val="21"/>
                <w:szCs w:val="21"/>
                <w:highlight w:val="none"/>
              </w:rPr>
              <w:t>7</w:t>
            </w:r>
          </w:p>
        </w:tc>
        <w:tc>
          <w:tcPr>
            <w:tcW w:w="636" w:type="dxa"/>
            <w:tcBorders>
              <w:left w:val="single" w:color="000000" w:sz="4" w:space="0"/>
              <w:bottom w:val="single" w:color="000000" w:sz="4" w:space="0"/>
              <w:right w:val="single" w:color="000000" w:sz="4" w:space="0"/>
            </w:tcBorders>
            <w:vAlign w:val="center"/>
          </w:tcPr>
          <w:p w14:paraId="22D54AEA">
            <w:pPr>
              <w:pStyle w:val="98"/>
              <w:ind w:left="-105" w:right="-105"/>
              <w:rPr>
                <w:rFonts w:eastAsia="宋体"/>
                <w:color w:val="auto"/>
                <w:sz w:val="21"/>
                <w:szCs w:val="21"/>
                <w:highlight w:val="none"/>
              </w:rPr>
            </w:pPr>
            <w:r>
              <w:rPr>
                <w:rFonts w:eastAsia="宋体"/>
                <w:color w:val="auto"/>
                <w:sz w:val="21"/>
                <w:szCs w:val="21"/>
                <w:highlight w:val="none"/>
              </w:rPr>
              <w:t>8</w:t>
            </w:r>
          </w:p>
        </w:tc>
        <w:tc>
          <w:tcPr>
            <w:tcW w:w="636" w:type="dxa"/>
            <w:tcBorders>
              <w:left w:val="single" w:color="000000" w:sz="4" w:space="0"/>
              <w:bottom w:val="single" w:color="000000" w:sz="4" w:space="0"/>
              <w:right w:val="single" w:color="000000" w:sz="4" w:space="0"/>
            </w:tcBorders>
            <w:vAlign w:val="center"/>
          </w:tcPr>
          <w:p w14:paraId="75DD6BC6">
            <w:pPr>
              <w:pStyle w:val="98"/>
              <w:ind w:left="-105" w:right="-105"/>
              <w:rPr>
                <w:rFonts w:eastAsia="宋体"/>
                <w:color w:val="auto"/>
                <w:sz w:val="21"/>
                <w:szCs w:val="21"/>
                <w:highlight w:val="none"/>
              </w:rPr>
            </w:pPr>
            <w:r>
              <w:rPr>
                <w:rFonts w:eastAsia="宋体"/>
                <w:color w:val="auto"/>
                <w:sz w:val="21"/>
                <w:szCs w:val="21"/>
                <w:highlight w:val="none"/>
              </w:rPr>
              <w:t>9</w:t>
            </w:r>
          </w:p>
        </w:tc>
        <w:tc>
          <w:tcPr>
            <w:tcW w:w="636" w:type="dxa"/>
            <w:tcBorders>
              <w:left w:val="single" w:color="000000" w:sz="4" w:space="0"/>
              <w:bottom w:val="single" w:color="000000" w:sz="4" w:space="0"/>
              <w:right w:val="single" w:color="000000" w:sz="4" w:space="0"/>
            </w:tcBorders>
            <w:vAlign w:val="center"/>
          </w:tcPr>
          <w:p w14:paraId="715FF73C">
            <w:pPr>
              <w:pStyle w:val="98"/>
              <w:ind w:left="-105" w:right="-105"/>
              <w:rPr>
                <w:rFonts w:eastAsia="宋体"/>
                <w:color w:val="auto"/>
                <w:sz w:val="21"/>
                <w:szCs w:val="21"/>
                <w:highlight w:val="none"/>
              </w:rPr>
            </w:pPr>
            <w:r>
              <w:rPr>
                <w:rFonts w:eastAsia="宋体"/>
                <w:color w:val="auto"/>
                <w:sz w:val="21"/>
                <w:szCs w:val="21"/>
                <w:highlight w:val="none"/>
              </w:rPr>
              <w:t>10</w:t>
            </w:r>
          </w:p>
        </w:tc>
        <w:tc>
          <w:tcPr>
            <w:tcW w:w="637" w:type="dxa"/>
            <w:tcBorders>
              <w:left w:val="single" w:color="000000" w:sz="4" w:space="0"/>
              <w:bottom w:val="single" w:color="000000" w:sz="4" w:space="0"/>
              <w:right w:val="single" w:color="000000" w:sz="4" w:space="0"/>
            </w:tcBorders>
            <w:vAlign w:val="center"/>
          </w:tcPr>
          <w:p w14:paraId="2B4418D8">
            <w:pPr>
              <w:pStyle w:val="98"/>
              <w:ind w:left="-105" w:right="-105"/>
              <w:rPr>
                <w:rFonts w:eastAsia="宋体"/>
                <w:color w:val="auto"/>
                <w:sz w:val="21"/>
                <w:szCs w:val="21"/>
                <w:highlight w:val="none"/>
              </w:rPr>
            </w:pPr>
            <w:r>
              <w:rPr>
                <w:rFonts w:eastAsia="宋体"/>
                <w:color w:val="auto"/>
                <w:sz w:val="21"/>
                <w:szCs w:val="21"/>
                <w:highlight w:val="none"/>
              </w:rPr>
              <w:t>11</w:t>
            </w:r>
          </w:p>
        </w:tc>
        <w:tc>
          <w:tcPr>
            <w:tcW w:w="636" w:type="dxa"/>
            <w:tcBorders>
              <w:left w:val="single" w:color="000000" w:sz="4" w:space="0"/>
              <w:bottom w:val="single" w:color="000000" w:sz="4" w:space="0"/>
              <w:right w:val="single" w:color="000000" w:sz="4" w:space="0"/>
            </w:tcBorders>
            <w:vAlign w:val="center"/>
          </w:tcPr>
          <w:p w14:paraId="6B8FBAAD">
            <w:pPr>
              <w:pStyle w:val="98"/>
              <w:ind w:left="-105" w:right="-105"/>
              <w:rPr>
                <w:rFonts w:eastAsia="宋体"/>
                <w:color w:val="auto"/>
                <w:sz w:val="21"/>
                <w:szCs w:val="21"/>
                <w:highlight w:val="none"/>
              </w:rPr>
            </w:pPr>
            <w:r>
              <w:rPr>
                <w:rFonts w:eastAsia="宋体"/>
                <w:color w:val="auto"/>
                <w:sz w:val="21"/>
                <w:szCs w:val="21"/>
                <w:highlight w:val="none"/>
              </w:rPr>
              <w:t>12</w:t>
            </w:r>
          </w:p>
        </w:tc>
        <w:tc>
          <w:tcPr>
            <w:tcW w:w="643" w:type="dxa"/>
            <w:tcBorders>
              <w:left w:val="single" w:color="000000" w:sz="4" w:space="0"/>
              <w:bottom w:val="single" w:color="000000" w:sz="4" w:space="0"/>
              <w:right w:val="nil"/>
            </w:tcBorders>
            <w:vAlign w:val="center"/>
          </w:tcPr>
          <w:p w14:paraId="59C1E762">
            <w:pPr>
              <w:pStyle w:val="98"/>
              <w:ind w:left="-105" w:right="-105"/>
              <w:rPr>
                <w:rFonts w:eastAsia="宋体"/>
                <w:color w:val="auto"/>
                <w:sz w:val="21"/>
                <w:szCs w:val="21"/>
                <w:highlight w:val="none"/>
              </w:rPr>
            </w:pPr>
            <w:r>
              <w:rPr>
                <w:rFonts w:eastAsia="宋体"/>
                <w:color w:val="auto"/>
                <w:sz w:val="21"/>
                <w:szCs w:val="21"/>
                <w:highlight w:val="none"/>
              </w:rPr>
              <w:t>全年</w:t>
            </w:r>
          </w:p>
        </w:tc>
      </w:tr>
      <w:tr w14:paraId="67F4EAD4">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108" w:type="dxa"/>
            <w:bottom w:w="0" w:type="dxa"/>
            <w:right w:w="108" w:type="dxa"/>
          </w:tblCellMar>
        </w:tblPrEx>
        <w:trPr>
          <w:trHeight w:val="340" w:hRule="atLeast"/>
          <w:jc w:val="center"/>
        </w:trPr>
        <w:tc>
          <w:tcPr>
            <w:tcW w:w="1147" w:type="dxa"/>
            <w:tcBorders>
              <w:top w:val="single" w:color="000000" w:sz="4" w:space="0"/>
              <w:left w:val="nil"/>
              <w:bottom w:val="single" w:color="000000" w:sz="4" w:space="0"/>
              <w:right w:val="single" w:color="000000" w:sz="4" w:space="0"/>
            </w:tcBorders>
            <w:vAlign w:val="center"/>
          </w:tcPr>
          <w:p w14:paraId="1DB60B42">
            <w:pPr>
              <w:pStyle w:val="98"/>
              <w:ind w:left="-105" w:right="-105"/>
              <w:rPr>
                <w:rFonts w:eastAsia="宋体"/>
                <w:b/>
                <w:bCs/>
                <w:color w:val="auto"/>
                <w:sz w:val="21"/>
                <w:szCs w:val="21"/>
                <w:highlight w:val="none"/>
              </w:rPr>
            </w:pPr>
            <w:r>
              <w:rPr>
                <w:rFonts w:eastAsia="宋体"/>
                <w:b/>
                <w:bCs/>
                <w:color w:val="auto"/>
                <w:sz w:val="21"/>
                <w:szCs w:val="21"/>
                <w:highlight w:val="none"/>
              </w:rPr>
              <w:t>风速（m/s）</w:t>
            </w:r>
          </w:p>
        </w:tc>
        <w:tc>
          <w:tcPr>
            <w:tcW w:w="636" w:type="dxa"/>
            <w:tcBorders>
              <w:top w:val="single" w:color="000000" w:sz="4" w:space="0"/>
              <w:left w:val="single" w:color="000000" w:sz="4" w:space="0"/>
              <w:bottom w:val="single" w:color="000000" w:sz="4" w:space="0"/>
              <w:right w:val="single" w:color="000000" w:sz="4" w:space="0"/>
            </w:tcBorders>
            <w:vAlign w:val="center"/>
          </w:tcPr>
          <w:p w14:paraId="4B0954CE">
            <w:pPr>
              <w:pStyle w:val="98"/>
              <w:ind w:left="-105" w:right="-105"/>
              <w:rPr>
                <w:rFonts w:eastAsia="宋体"/>
                <w:color w:val="auto"/>
                <w:sz w:val="21"/>
                <w:szCs w:val="21"/>
                <w:highlight w:val="none"/>
              </w:rPr>
            </w:pPr>
            <w:r>
              <w:rPr>
                <w:rFonts w:eastAsia="宋体"/>
                <w:color w:val="auto"/>
                <w:sz w:val="21"/>
                <w:szCs w:val="21"/>
                <w:highlight w:val="none"/>
              </w:rPr>
              <w:t>2.36</w:t>
            </w:r>
          </w:p>
        </w:tc>
        <w:tc>
          <w:tcPr>
            <w:tcW w:w="636" w:type="dxa"/>
            <w:tcBorders>
              <w:top w:val="single" w:color="000000" w:sz="4" w:space="0"/>
              <w:left w:val="single" w:color="000000" w:sz="4" w:space="0"/>
              <w:bottom w:val="single" w:color="000000" w:sz="4" w:space="0"/>
              <w:right w:val="single" w:color="000000" w:sz="4" w:space="0"/>
            </w:tcBorders>
            <w:vAlign w:val="center"/>
          </w:tcPr>
          <w:p w14:paraId="6C121D09">
            <w:pPr>
              <w:pStyle w:val="98"/>
              <w:ind w:left="-105" w:right="-105"/>
              <w:rPr>
                <w:rFonts w:eastAsia="宋体"/>
                <w:color w:val="auto"/>
                <w:sz w:val="21"/>
                <w:szCs w:val="21"/>
                <w:highlight w:val="none"/>
              </w:rPr>
            </w:pPr>
            <w:r>
              <w:rPr>
                <w:rFonts w:eastAsia="宋体"/>
                <w:color w:val="auto"/>
                <w:sz w:val="21"/>
                <w:szCs w:val="21"/>
                <w:highlight w:val="none"/>
              </w:rPr>
              <w:t>2.76</w:t>
            </w:r>
          </w:p>
        </w:tc>
        <w:tc>
          <w:tcPr>
            <w:tcW w:w="637" w:type="dxa"/>
            <w:tcBorders>
              <w:top w:val="single" w:color="000000" w:sz="4" w:space="0"/>
              <w:left w:val="single" w:color="000000" w:sz="4" w:space="0"/>
              <w:bottom w:val="single" w:color="000000" w:sz="4" w:space="0"/>
              <w:right w:val="single" w:color="000000" w:sz="4" w:space="0"/>
            </w:tcBorders>
            <w:vAlign w:val="center"/>
          </w:tcPr>
          <w:p w14:paraId="44BFBDDC">
            <w:pPr>
              <w:pStyle w:val="98"/>
              <w:ind w:left="-105" w:right="-105"/>
              <w:rPr>
                <w:rFonts w:eastAsia="宋体"/>
                <w:color w:val="auto"/>
                <w:sz w:val="21"/>
                <w:szCs w:val="21"/>
                <w:highlight w:val="none"/>
              </w:rPr>
            </w:pPr>
            <w:r>
              <w:rPr>
                <w:rFonts w:eastAsia="宋体"/>
                <w:color w:val="auto"/>
                <w:sz w:val="21"/>
                <w:szCs w:val="21"/>
                <w:highlight w:val="none"/>
              </w:rPr>
              <w:t>2.82</w:t>
            </w:r>
          </w:p>
        </w:tc>
        <w:tc>
          <w:tcPr>
            <w:tcW w:w="636" w:type="dxa"/>
            <w:tcBorders>
              <w:top w:val="single" w:color="000000" w:sz="4" w:space="0"/>
              <w:left w:val="single" w:color="000000" w:sz="4" w:space="0"/>
              <w:bottom w:val="single" w:color="000000" w:sz="4" w:space="0"/>
              <w:right w:val="single" w:color="000000" w:sz="4" w:space="0"/>
            </w:tcBorders>
            <w:vAlign w:val="center"/>
          </w:tcPr>
          <w:p w14:paraId="7EB0B1E2">
            <w:pPr>
              <w:pStyle w:val="98"/>
              <w:ind w:left="-105" w:right="-105"/>
              <w:rPr>
                <w:rFonts w:eastAsia="宋体"/>
                <w:color w:val="auto"/>
                <w:sz w:val="21"/>
                <w:szCs w:val="21"/>
                <w:highlight w:val="none"/>
              </w:rPr>
            </w:pPr>
            <w:r>
              <w:rPr>
                <w:rFonts w:eastAsia="宋体"/>
                <w:color w:val="auto"/>
                <w:sz w:val="21"/>
                <w:szCs w:val="21"/>
                <w:highlight w:val="none"/>
              </w:rPr>
              <w:t>2.71</w:t>
            </w:r>
          </w:p>
        </w:tc>
        <w:tc>
          <w:tcPr>
            <w:tcW w:w="636" w:type="dxa"/>
            <w:tcBorders>
              <w:top w:val="single" w:color="000000" w:sz="4" w:space="0"/>
              <w:left w:val="single" w:color="000000" w:sz="4" w:space="0"/>
              <w:bottom w:val="single" w:color="000000" w:sz="4" w:space="0"/>
              <w:right w:val="single" w:color="000000" w:sz="4" w:space="0"/>
            </w:tcBorders>
            <w:vAlign w:val="center"/>
          </w:tcPr>
          <w:p w14:paraId="501872CB">
            <w:pPr>
              <w:pStyle w:val="98"/>
              <w:ind w:left="-105" w:right="-105"/>
              <w:rPr>
                <w:rFonts w:eastAsia="宋体"/>
                <w:color w:val="auto"/>
                <w:sz w:val="21"/>
                <w:szCs w:val="21"/>
                <w:highlight w:val="none"/>
              </w:rPr>
            </w:pPr>
            <w:r>
              <w:rPr>
                <w:rFonts w:eastAsia="宋体"/>
                <w:color w:val="auto"/>
                <w:sz w:val="21"/>
                <w:szCs w:val="21"/>
                <w:highlight w:val="none"/>
              </w:rPr>
              <w:t>2.68</w:t>
            </w:r>
          </w:p>
        </w:tc>
        <w:tc>
          <w:tcPr>
            <w:tcW w:w="636" w:type="dxa"/>
            <w:tcBorders>
              <w:top w:val="single" w:color="000000" w:sz="4" w:space="0"/>
              <w:left w:val="single" w:color="000000" w:sz="4" w:space="0"/>
              <w:bottom w:val="single" w:color="000000" w:sz="4" w:space="0"/>
              <w:right w:val="single" w:color="000000" w:sz="4" w:space="0"/>
            </w:tcBorders>
            <w:vAlign w:val="center"/>
          </w:tcPr>
          <w:p w14:paraId="31E1BADC">
            <w:pPr>
              <w:pStyle w:val="98"/>
              <w:ind w:left="-105" w:right="-105"/>
              <w:rPr>
                <w:rFonts w:eastAsia="宋体"/>
                <w:color w:val="auto"/>
                <w:sz w:val="21"/>
                <w:szCs w:val="21"/>
                <w:highlight w:val="none"/>
              </w:rPr>
            </w:pPr>
            <w:r>
              <w:rPr>
                <w:rFonts w:eastAsia="宋体"/>
                <w:color w:val="auto"/>
                <w:sz w:val="21"/>
                <w:szCs w:val="21"/>
                <w:highlight w:val="none"/>
              </w:rPr>
              <w:t>2.55</w:t>
            </w:r>
          </w:p>
        </w:tc>
        <w:tc>
          <w:tcPr>
            <w:tcW w:w="636" w:type="dxa"/>
            <w:tcBorders>
              <w:top w:val="single" w:color="000000" w:sz="4" w:space="0"/>
              <w:left w:val="single" w:color="000000" w:sz="4" w:space="0"/>
              <w:bottom w:val="single" w:color="000000" w:sz="4" w:space="0"/>
              <w:right w:val="single" w:color="000000" w:sz="4" w:space="0"/>
            </w:tcBorders>
            <w:vAlign w:val="center"/>
          </w:tcPr>
          <w:p w14:paraId="42670A72">
            <w:pPr>
              <w:pStyle w:val="98"/>
              <w:ind w:left="-105" w:right="-105"/>
              <w:rPr>
                <w:rFonts w:eastAsia="宋体"/>
                <w:color w:val="auto"/>
                <w:sz w:val="21"/>
                <w:szCs w:val="21"/>
                <w:highlight w:val="none"/>
              </w:rPr>
            </w:pPr>
            <w:r>
              <w:rPr>
                <w:rFonts w:eastAsia="宋体"/>
                <w:color w:val="auto"/>
                <w:sz w:val="21"/>
                <w:szCs w:val="21"/>
                <w:highlight w:val="none"/>
              </w:rPr>
              <w:t>2.58</w:t>
            </w:r>
          </w:p>
        </w:tc>
        <w:tc>
          <w:tcPr>
            <w:tcW w:w="636" w:type="dxa"/>
            <w:tcBorders>
              <w:top w:val="single" w:color="000000" w:sz="4" w:space="0"/>
              <w:left w:val="single" w:color="000000" w:sz="4" w:space="0"/>
              <w:bottom w:val="single" w:color="000000" w:sz="4" w:space="0"/>
              <w:right w:val="single" w:color="000000" w:sz="4" w:space="0"/>
            </w:tcBorders>
            <w:vAlign w:val="center"/>
          </w:tcPr>
          <w:p w14:paraId="4CDB0EC5">
            <w:pPr>
              <w:pStyle w:val="98"/>
              <w:ind w:left="-105" w:right="-105"/>
              <w:rPr>
                <w:rFonts w:eastAsia="宋体"/>
                <w:color w:val="auto"/>
                <w:sz w:val="21"/>
                <w:szCs w:val="21"/>
                <w:highlight w:val="none"/>
              </w:rPr>
            </w:pPr>
            <w:r>
              <w:rPr>
                <w:rFonts w:eastAsia="宋体"/>
                <w:color w:val="auto"/>
                <w:sz w:val="21"/>
                <w:szCs w:val="21"/>
                <w:highlight w:val="none"/>
              </w:rPr>
              <w:t>2.68</w:t>
            </w:r>
          </w:p>
        </w:tc>
        <w:tc>
          <w:tcPr>
            <w:tcW w:w="636" w:type="dxa"/>
            <w:tcBorders>
              <w:top w:val="single" w:color="000000" w:sz="4" w:space="0"/>
              <w:left w:val="single" w:color="000000" w:sz="4" w:space="0"/>
              <w:bottom w:val="single" w:color="000000" w:sz="4" w:space="0"/>
              <w:right w:val="single" w:color="000000" w:sz="4" w:space="0"/>
            </w:tcBorders>
            <w:vAlign w:val="center"/>
          </w:tcPr>
          <w:p w14:paraId="03D0E4B1">
            <w:pPr>
              <w:pStyle w:val="98"/>
              <w:ind w:left="-105" w:right="-105"/>
              <w:rPr>
                <w:rFonts w:eastAsia="宋体"/>
                <w:color w:val="auto"/>
                <w:sz w:val="21"/>
                <w:szCs w:val="21"/>
                <w:highlight w:val="none"/>
              </w:rPr>
            </w:pPr>
            <w:r>
              <w:rPr>
                <w:rFonts w:eastAsia="宋体"/>
                <w:color w:val="auto"/>
                <w:sz w:val="21"/>
                <w:szCs w:val="21"/>
                <w:highlight w:val="none"/>
              </w:rPr>
              <w:t>2.39</w:t>
            </w:r>
          </w:p>
        </w:tc>
        <w:tc>
          <w:tcPr>
            <w:tcW w:w="636" w:type="dxa"/>
            <w:tcBorders>
              <w:top w:val="single" w:color="000000" w:sz="4" w:space="0"/>
              <w:left w:val="single" w:color="000000" w:sz="4" w:space="0"/>
              <w:bottom w:val="single" w:color="000000" w:sz="4" w:space="0"/>
              <w:right w:val="single" w:color="000000" w:sz="4" w:space="0"/>
            </w:tcBorders>
            <w:vAlign w:val="center"/>
          </w:tcPr>
          <w:p w14:paraId="47C903B6">
            <w:pPr>
              <w:pStyle w:val="98"/>
              <w:ind w:left="-105" w:right="-105"/>
              <w:rPr>
                <w:rFonts w:eastAsia="宋体"/>
                <w:color w:val="auto"/>
                <w:sz w:val="21"/>
                <w:szCs w:val="21"/>
                <w:highlight w:val="none"/>
              </w:rPr>
            </w:pPr>
            <w:r>
              <w:rPr>
                <w:rFonts w:eastAsia="宋体"/>
                <w:color w:val="auto"/>
                <w:sz w:val="21"/>
                <w:szCs w:val="21"/>
                <w:highlight w:val="none"/>
              </w:rPr>
              <w:t>2.51</w:t>
            </w:r>
          </w:p>
        </w:tc>
        <w:tc>
          <w:tcPr>
            <w:tcW w:w="637" w:type="dxa"/>
            <w:tcBorders>
              <w:top w:val="single" w:color="000000" w:sz="4" w:space="0"/>
              <w:left w:val="single" w:color="000000" w:sz="4" w:space="0"/>
              <w:bottom w:val="single" w:color="000000" w:sz="4" w:space="0"/>
              <w:right w:val="single" w:color="000000" w:sz="4" w:space="0"/>
            </w:tcBorders>
            <w:vAlign w:val="center"/>
          </w:tcPr>
          <w:p w14:paraId="03B96B12">
            <w:pPr>
              <w:pStyle w:val="98"/>
              <w:ind w:left="-105" w:right="-105"/>
              <w:rPr>
                <w:rFonts w:eastAsia="宋体"/>
                <w:color w:val="auto"/>
                <w:sz w:val="21"/>
                <w:szCs w:val="21"/>
                <w:highlight w:val="none"/>
              </w:rPr>
            </w:pPr>
            <w:r>
              <w:rPr>
                <w:rFonts w:eastAsia="宋体"/>
                <w:color w:val="auto"/>
                <w:sz w:val="21"/>
                <w:szCs w:val="21"/>
                <w:highlight w:val="none"/>
              </w:rPr>
              <w:t>2.68</w:t>
            </w:r>
          </w:p>
        </w:tc>
        <w:tc>
          <w:tcPr>
            <w:tcW w:w="636" w:type="dxa"/>
            <w:tcBorders>
              <w:top w:val="single" w:color="000000" w:sz="4" w:space="0"/>
              <w:left w:val="single" w:color="000000" w:sz="4" w:space="0"/>
              <w:bottom w:val="single" w:color="000000" w:sz="4" w:space="0"/>
              <w:right w:val="single" w:color="000000" w:sz="4" w:space="0"/>
            </w:tcBorders>
            <w:vAlign w:val="center"/>
          </w:tcPr>
          <w:p w14:paraId="167D4EDF">
            <w:pPr>
              <w:pStyle w:val="98"/>
              <w:ind w:left="-105" w:right="-105"/>
              <w:rPr>
                <w:rFonts w:eastAsia="宋体"/>
                <w:color w:val="auto"/>
                <w:sz w:val="21"/>
                <w:szCs w:val="21"/>
                <w:highlight w:val="none"/>
              </w:rPr>
            </w:pPr>
            <w:r>
              <w:rPr>
                <w:rFonts w:eastAsia="宋体"/>
                <w:color w:val="auto"/>
                <w:sz w:val="21"/>
                <w:szCs w:val="21"/>
                <w:highlight w:val="none"/>
              </w:rPr>
              <w:t>2.82</w:t>
            </w:r>
          </w:p>
        </w:tc>
        <w:tc>
          <w:tcPr>
            <w:tcW w:w="643" w:type="dxa"/>
            <w:tcBorders>
              <w:top w:val="single" w:color="000000" w:sz="4" w:space="0"/>
              <w:left w:val="single" w:color="000000" w:sz="4" w:space="0"/>
              <w:bottom w:val="single" w:color="000000" w:sz="4" w:space="0"/>
              <w:right w:val="nil"/>
            </w:tcBorders>
            <w:vAlign w:val="center"/>
          </w:tcPr>
          <w:p w14:paraId="6974201C">
            <w:pPr>
              <w:pStyle w:val="98"/>
              <w:ind w:left="-105" w:right="-105"/>
              <w:rPr>
                <w:rFonts w:eastAsia="宋体"/>
                <w:color w:val="auto"/>
                <w:sz w:val="21"/>
                <w:szCs w:val="21"/>
                <w:highlight w:val="none"/>
              </w:rPr>
            </w:pPr>
            <w:r>
              <w:rPr>
                <w:rFonts w:eastAsia="宋体"/>
                <w:color w:val="auto"/>
                <w:sz w:val="21"/>
                <w:szCs w:val="21"/>
                <w:highlight w:val="none"/>
              </w:rPr>
              <w:t>2.63</w:t>
            </w:r>
          </w:p>
        </w:tc>
      </w:tr>
      <w:tr w14:paraId="1E096E53">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108" w:type="dxa"/>
            <w:bottom w:w="0" w:type="dxa"/>
            <w:right w:w="108" w:type="dxa"/>
          </w:tblCellMar>
        </w:tblPrEx>
        <w:trPr>
          <w:trHeight w:val="340" w:hRule="atLeast"/>
          <w:jc w:val="center"/>
        </w:trPr>
        <w:tc>
          <w:tcPr>
            <w:tcW w:w="1147" w:type="dxa"/>
            <w:tcBorders>
              <w:top w:val="single" w:color="000000" w:sz="4" w:space="0"/>
              <w:left w:val="nil"/>
              <w:bottom w:val="single" w:color="000000" w:sz="4" w:space="0"/>
              <w:right w:val="single" w:color="000000" w:sz="4" w:space="0"/>
            </w:tcBorders>
            <w:vAlign w:val="center"/>
          </w:tcPr>
          <w:p w14:paraId="0B9E8006">
            <w:pPr>
              <w:pStyle w:val="98"/>
              <w:ind w:left="-105" w:right="-105"/>
              <w:rPr>
                <w:rFonts w:eastAsia="宋体"/>
                <w:b/>
                <w:bCs/>
                <w:color w:val="auto"/>
                <w:sz w:val="21"/>
                <w:szCs w:val="21"/>
                <w:highlight w:val="none"/>
              </w:rPr>
            </w:pPr>
            <w:r>
              <w:rPr>
                <w:rFonts w:eastAsia="宋体"/>
                <w:b/>
                <w:bCs/>
                <w:color w:val="auto"/>
                <w:sz w:val="21"/>
                <w:szCs w:val="21"/>
                <w:highlight w:val="none"/>
              </w:rPr>
              <w:t>最多风向</w:t>
            </w:r>
          </w:p>
        </w:tc>
        <w:tc>
          <w:tcPr>
            <w:tcW w:w="636" w:type="dxa"/>
            <w:tcBorders>
              <w:top w:val="single" w:color="000000" w:sz="4" w:space="0"/>
              <w:left w:val="single" w:color="000000" w:sz="4" w:space="0"/>
              <w:bottom w:val="single" w:color="000000" w:sz="4" w:space="0"/>
              <w:right w:val="single" w:color="000000" w:sz="4" w:space="0"/>
            </w:tcBorders>
            <w:vAlign w:val="center"/>
          </w:tcPr>
          <w:p w14:paraId="257411FE">
            <w:pPr>
              <w:pStyle w:val="98"/>
              <w:ind w:left="-105" w:right="-105"/>
              <w:rPr>
                <w:rFonts w:eastAsia="宋体"/>
                <w:color w:val="auto"/>
                <w:sz w:val="21"/>
                <w:szCs w:val="21"/>
                <w:highlight w:val="none"/>
              </w:rPr>
            </w:pPr>
            <w:r>
              <w:rPr>
                <w:rFonts w:eastAsia="宋体"/>
                <w:color w:val="auto"/>
                <w:sz w:val="21"/>
                <w:szCs w:val="21"/>
                <w:highlight w:val="none"/>
              </w:rPr>
              <w:t>WNW</w:t>
            </w:r>
          </w:p>
        </w:tc>
        <w:tc>
          <w:tcPr>
            <w:tcW w:w="636" w:type="dxa"/>
            <w:tcBorders>
              <w:top w:val="single" w:color="000000" w:sz="4" w:space="0"/>
              <w:left w:val="single" w:color="000000" w:sz="4" w:space="0"/>
              <w:bottom w:val="single" w:color="000000" w:sz="4" w:space="0"/>
              <w:right w:val="single" w:color="000000" w:sz="4" w:space="0"/>
            </w:tcBorders>
            <w:vAlign w:val="center"/>
          </w:tcPr>
          <w:p w14:paraId="089DBEFD">
            <w:pPr>
              <w:pStyle w:val="98"/>
              <w:ind w:left="-105" w:right="-105"/>
              <w:rPr>
                <w:rFonts w:eastAsia="宋体"/>
                <w:color w:val="auto"/>
                <w:sz w:val="21"/>
                <w:szCs w:val="21"/>
                <w:highlight w:val="none"/>
              </w:rPr>
            </w:pPr>
            <w:r>
              <w:rPr>
                <w:rFonts w:eastAsia="宋体"/>
                <w:color w:val="auto"/>
                <w:sz w:val="21"/>
                <w:szCs w:val="21"/>
                <w:highlight w:val="none"/>
              </w:rPr>
              <w:t>ESE</w:t>
            </w:r>
          </w:p>
        </w:tc>
        <w:tc>
          <w:tcPr>
            <w:tcW w:w="637" w:type="dxa"/>
            <w:tcBorders>
              <w:top w:val="single" w:color="000000" w:sz="4" w:space="0"/>
              <w:left w:val="single" w:color="000000" w:sz="4" w:space="0"/>
              <w:bottom w:val="single" w:color="000000" w:sz="4" w:space="0"/>
              <w:right w:val="single" w:color="000000" w:sz="4" w:space="0"/>
            </w:tcBorders>
            <w:vAlign w:val="center"/>
          </w:tcPr>
          <w:p w14:paraId="6B5F27F5">
            <w:pPr>
              <w:pStyle w:val="98"/>
              <w:ind w:left="-105" w:right="-105"/>
              <w:rPr>
                <w:rFonts w:eastAsia="宋体"/>
                <w:color w:val="auto"/>
                <w:sz w:val="21"/>
                <w:szCs w:val="21"/>
                <w:highlight w:val="none"/>
              </w:rPr>
            </w:pPr>
            <w:r>
              <w:rPr>
                <w:rFonts w:eastAsia="宋体"/>
                <w:color w:val="auto"/>
                <w:sz w:val="21"/>
                <w:szCs w:val="21"/>
                <w:highlight w:val="none"/>
              </w:rPr>
              <w:t>ESE</w:t>
            </w:r>
          </w:p>
        </w:tc>
        <w:tc>
          <w:tcPr>
            <w:tcW w:w="636" w:type="dxa"/>
            <w:tcBorders>
              <w:top w:val="single" w:color="000000" w:sz="4" w:space="0"/>
              <w:left w:val="single" w:color="000000" w:sz="4" w:space="0"/>
              <w:bottom w:val="single" w:color="000000" w:sz="4" w:space="0"/>
              <w:right w:val="single" w:color="000000" w:sz="4" w:space="0"/>
            </w:tcBorders>
            <w:vAlign w:val="center"/>
          </w:tcPr>
          <w:p w14:paraId="626E52A2">
            <w:pPr>
              <w:pStyle w:val="98"/>
              <w:ind w:left="-105" w:right="-105"/>
              <w:rPr>
                <w:rFonts w:eastAsia="宋体"/>
                <w:color w:val="auto"/>
                <w:sz w:val="21"/>
                <w:szCs w:val="21"/>
                <w:highlight w:val="none"/>
              </w:rPr>
            </w:pPr>
            <w:r>
              <w:rPr>
                <w:rFonts w:eastAsia="宋体"/>
                <w:color w:val="auto"/>
                <w:sz w:val="21"/>
                <w:szCs w:val="21"/>
                <w:highlight w:val="none"/>
              </w:rPr>
              <w:t>ESE</w:t>
            </w:r>
          </w:p>
        </w:tc>
        <w:tc>
          <w:tcPr>
            <w:tcW w:w="636" w:type="dxa"/>
            <w:tcBorders>
              <w:top w:val="single" w:color="000000" w:sz="4" w:space="0"/>
              <w:left w:val="single" w:color="000000" w:sz="4" w:space="0"/>
              <w:bottom w:val="single" w:color="000000" w:sz="4" w:space="0"/>
              <w:right w:val="single" w:color="000000" w:sz="4" w:space="0"/>
            </w:tcBorders>
            <w:vAlign w:val="center"/>
          </w:tcPr>
          <w:p w14:paraId="75051863">
            <w:pPr>
              <w:pStyle w:val="98"/>
              <w:ind w:left="-105" w:right="-105"/>
              <w:rPr>
                <w:rFonts w:eastAsia="宋体"/>
                <w:color w:val="auto"/>
                <w:sz w:val="21"/>
                <w:szCs w:val="21"/>
                <w:highlight w:val="none"/>
              </w:rPr>
            </w:pPr>
            <w:r>
              <w:rPr>
                <w:rFonts w:eastAsia="宋体"/>
                <w:color w:val="auto"/>
                <w:sz w:val="21"/>
                <w:szCs w:val="21"/>
                <w:highlight w:val="none"/>
              </w:rPr>
              <w:t>ESE</w:t>
            </w:r>
          </w:p>
        </w:tc>
        <w:tc>
          <w:tcPr>
            <w:tcW w:w="636" w:type="dxa"/>
            <w:tcBorders>
              <w:top w:val="single" w:color="000000" w:sz="4" w:space="0"/>
              <w:left w:val="single" w:color="000000" w:sz="4" w:space="0"/>
              <w:bottom w:val="single" w:color="000000" w:sz="4" w:space="0"/>
              <w:right w:val="single" w:color="000000" w:sz="4" w:space="0"/>
            </w:tcBorders>
            <w:vAlign w:val="center"/>
          </w:tcPr>
          <w:p w14:paraId="621DBEB9">
            <w:pPr>
              <w:pStyle w:val="98"/>
              <w:ind w:left="-105" w:right="-105"/>
              <w:rPr>
                <w:rFonts w:eastAsia="宋体"/>
                <w:color w:val="auto"/>
                <w:sz w:val="21"/>
                <w:szCs w:val="21"/>
                <w:highlight w:val="none"/>
              </w:rPr>
            </w:pPr>
            <w:r>
              <w:rPr>
                <w:rFonts w:eastAsia="宋体"/>
                <w:color w:val="auto"/>
                <w:sz w:val="21"/>
                <w:szCs w:val="21"/>
                <w:highlight w:val="none"/>
              </w:rPr>
              <w:t>ESE</w:t>
            </w:r>
          </w:p>
        </w:tc>
        <w:tc>
          <w:tcPr>
            <w:tcW w:w="636" w:type="dxa"/>
            <w:tcBorders>
              <w:top w:val="single" w:color="000000" w:sz="4" w:space="0"/>
              <w:left w:val="single" w:color="000000" w:sz="4" w:space="0"/>
              <w:bottom w:val="single" w:color="000000" w:sz="4" w:space="0"/>
              <w:right w:val="single" w:color="000000" w:sz="4" w:space="0"/>
            </w:tcBorders>
            <w:vAlign w:val="center"/>
          </w:tcPr>
          <w:p w14:paraId="27FF7336">
            <w:pPr>
              <w:pStyle w:val="98"/>
              <w:ind w:left="-105" w:right="-105"/>
              <w:rPr>
                <w:rFonts w:eastAsia="宋体"/>
                <w:color w:val="auto"/>
                <w:sz w:val="21"/>
                <w:szCs w:val="21"/>
                <w:highlight w:val="none"/>
              </w:rPr>
            </w:pPr>
            <w:r>
              <w:rPr>
                <w:rFonts w:eastAsia="宋体"/>
                <w:color w:val="auto"/>
                <w:sz w:val="21"/>
                <w:szCs w:val="21"/>
                <w:highlight w:val="none"/>
              </w:rPr>
              <w:t>ESE</w:t>
            </w:r>
          </w:p>
        </w:tc>
        <w:tc>
          <w:tcPr>
            <w:tcW w:w="636" w:type="dxa"/>
            <w:tcBorders>
              <w:top w:val="single" w:color="000000" w:sz="4" w:space="0"/>
              <w:left w:val="single" w:color="000000" w:sz="4" w:space="0"/>
              <w:bottom w:val="single" w:color="000000" w:sz="4" w:space="0"/>
              <w:right w:val="single" w:color="000000" w:sz="4" w:space="0"/>
            </w:tcBorders>
            <w:vAlign w:val="center"/>
          </w:tcPr>
          <w:p w14:paraId="72969CBF">
            <w:pPr>
              <w:pStyle w:val="98"/>
              <w:ind w:left="-105" w:right="-105"/>
              <w:rPr>
                <w:rFonts w:eastAsia="宋体"/>
                <w:color w:val="auto"/>
                <w:sz w:val="21"/>
                <w:szCs w:val="21"/>
                <w:highlight w:val="none"/>
              </w:rPr>
            </w:pPr>
            <w:r>
              <w:rPr>
                <w:rFonts w:eastAsia="宋体"/>
                <w:color w:val="auto"/>
                <w:sz w:val="21"/>
                <w:szCs w:val="21"/>
                <w:highlight w:val="none"/>
              </w:rPr>
              <w:t>NNW</w:t>
            </w:r>
          </w:p>
        </w:tc>
        <w:tc>
          <w:tcPr>
            <w:tcW w:w="636" w:type="dxa"/>
            <w:tcBorders>
              <w:top w:val="single" w:color="000000" w:sz="4" w:space="0"/>
              <w:left w:val="single" w:color="000000" w:sz="4" w:space="0"/>
              <w:bottom w:val="single" w:color="000000" w:sz="4" w:space="0"/>
              <w:right w:val="single" w:color="000000" w:sz="4" w:space="0"/>
            </w:tcBorders>
            <w:vAlign w:val="center"/>
          </w:tcPr>
          <w:p w14:paraId="388F3D55">
            <w:pPr>
              <w:pStyle w:val="98"/>
              <w:ind w:left="-105" w:right="-105"/>
              <w:rPr>
                <w:rFonts w:eastAsia="宋体"/>
                <w:color w:val="auto"/>
                <w:sz w:val="21"/>
                <w:szCs w:val="21"/>
                <w:highlight w:val="none"/>
              </w:rPr>
            </w:pPr>
            <w:r>
              <w:rPr>
                <w:rFonts w:eastAsia="宋体"/>
                <w:color w:val="auto"/>
                <w:sz w:val="21"/>
                <w:szCs w:val="21"/>
                <w:highlight w:val="none"/>
              </w:rPr>
              <w:t>NE</w:t>
            </w:r>
          </w:p>
        </w:tc>
        <w:tc>
          <w:tcPr>
            <w:tcW w:w="636" w:type="dxa"/>
            <w:tcBorders>
              <w:top w:val="single" w:color="000000" w:sz="4" w:space="0"/>
              <w:left w:val="single" w:color="000000" w:sz="4" w:space="0"/>
              <w:bottom w:val="single" w:color="000000" w:sz="4" w:space="0"/>
              <w:right w:val="single" w:color="000000" w:sz="4" w:space="0"/>
            </w:tcBorders>
            <w:vAlign w:val="center"/>
          </w:tcPr>
          <w:p w14:paraId="65D846C8">
            <w:pPr>
              <w:pStyle w:val="98"/>
              <w:ind w:left="-105" w:right="-105"/>
              <w:rPr>
                <w:rFonts w:eastAsia="宋体"/>
                <w:color w:val="auto"/>
                <w:sz w:val="21"/>
                <w:szCs w:val="21"/>
                <w:highlight w:val="none"/>
              </w:rPr>
            </w:pPr>
            <w:r>
              <w:rPr>
                <w:rFonts w:eastAsia="宋体"/>
                <w:color w:val="auto"/>
                <w:sz w:val="21"/>
                <w:szCs w:val="21"/>
                <w:highlight w:val="none"/>
              </w:rPr>
              <w:t>NE</w:t>
            </w:r>
          </w:p>
        </w:tc>
        <w:tc>
          <w:tcPr>
            <w:tcW w:w="637" w:type="dxa"/>
            <w:tcBorders>
              <w:top w:val="single" w:color="000000" w:sz="4" w:space="0"/>
              <w:left w:val="single" w:color="000000" w:sz="4" w:space="0"/>
              <w:bottom w:val="single" w:color="000000" w:sz="4" w:space="0"/>
              <w:right w:val="single" w:color="000000" w:sz="4" w:space="0"/>
            </w:tcBorders>
            <w:vAlign w:val="center"/>
          </w:tcPr>
          <w:p w14:paraId="76D03BE3">
            <w:pPr>
              <w:pStyle w:val="98"/>
              <w:ind w:left="-105" w:right="-105"/>
              <w:rPr>
                <w:rFonts w:eastAsia="宋体"/>
                <w:color w:val="auto"/>
                <w:sz w:val="21"/>
                <w:szCs w:val="21"/>
                <w:highlight w:val="none"/>
              </w:rPr>
            </w:pPr>
            <w:r>
              <w:rPr>
                <w:rFonts w:eastAsia="宋体"/>
                <w:color w:val="auto"/>
                <w:sz w:val="21"/>
                <w:szCs w:val="21"/>
                <w:highlight w:val="none"/>
              </w:rPr>
              <w:t>WNW</w:t>
            </w:r>
          </w:p>
        </w:tc>
        <w:tc>
          <w:tcPr>
            <w:tcW w:w="636" w:type="dxa"/>
            <w:tcBorders>
              <w:top w:val="single" w:color="000000" w:sz="4" w:space="0"/>
              <w:left w:val="single" w:color="000000" w:sz="4" w:space="0"/>
              <w:bottom w:val="single" w:color="000000" w:sz="4" w:space="0"/>
              <w:right w:val="single" w:color="000000" w:sz="4" w:space="0"/>
            </w:tcBorders>
            <w:vAlign w:val="center"/>
          </w:tcPr>
          <w:p w14:paraId="130D944E">
            <w:pPr>
              <w:pStyle w:val="98"/>
              <w:ind w:left="-105" w:right="-105"/>
              <w:rPr>
                <w:rFonts w:eastAsia="宋体"/>
                <w:color w:val="auto"/>
                <w:sz w:val="21"/>
                <w:szCs w:val="21"/>
                <w:highlight w:val="none"/>
              </w:rPr>
            </w:pPr>
            <w:r>
              <w:rPr>
                <w:rFonts w:eastAsia="宋体"/>
                <w:color w:val="auto"/>
                <w:sz w:val="21"/>
                <w:szCs w:val="21"/>
                <w:highlight w:val="none"/>
              </w:rPr>
              <w:t>N</w:t>
            </w:r>
          </w:p>
        </w:tc>
        <w:tc>
          <w:tcPr>
            <w:tcW w:w="643" w:type="dxa"/>
            <w:tcBorders>
              <w:top w:val="single" w:color="000000" w:sz="4" w:space="0"/>
              <w:left w:val="single" w:color="000000" w:sz="4" w:space="0"/>
              <w:bottom w:val="single" w:color="000000" w:sz="4" w:space="0"/>
              <w:right w:val="nil"/>
            </w:tcBorders>
            <w:vAlign w:val="center"/>
          </w:tcPr>
          <w:p w14:paraId="0A3DB43B">
            <w:pPr>
              <w:pStyle w:val="98"/>
              <w:ind w:left="-105" w:right="-105"/>
              <w:rPr>
                <w:rFonts w:eastAsia="宋体"/>
                <w:color w:val="auto"/>
                <w:sz w:val="21"/>
                <w:szCs w:val="21"/>
                <w:highlight w:val="none"/>
              </w:rPr>
            </w:pPr>
            <w:r>
              <w:rPr>
                <w:rFonts w:eastAsia="宋体"/>
                <w:color w:val="auto"/>
                <w:sz w:val="21"/>
                <w:szCs w:val="21"/>
                <w:highlight w:val="none"/>
              </w:rPr>
              <w:t>ESE</w:t>
            </w:r>
          </w:p>
        </w:tc>
      </w:tr>
      <w:tr w14:paraId="73C69AA9">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108" w:type="dxa"/>
            <w:bottom w:w="0" w:type="dxa"/>
            <w:right w:w="108" w:type="dxa"/>
          </w:tblCellMar>
        </w:tblPrEx>
        <w:trPr>
          <w:trHeight w:val="340" w:hRule="atLeast"/>
          <w:jc w:val="center"/>
        </w:trPr>
        <w:tc>
          <w:tcPr>
            <w:tcW w:w="1147" w:type="dxa"/>
            <w:tcBorders>
              <w:top w:val="single" w:color="000000" w:sz="4" w:space="0"/>
              <w:left w:val="nil"/>
              <w:bottom w:val="single" w:color="000000" w:sz="4" w:space="0"/>
              <w:right w:val="single" w:color="000000" w:sz="4" w:space="0"/>
            </w:tcBorders>
            <w:vAlign w:val="center"/>
          </w:tcPr>
          <w:p w14:paraId="5C2D527F">
            <w:pPr>
              <w:pStyle w:val="98"/>
              <w:ind w:left="-105" w:right="-105"/>
              <w:rPr>
                <w:rFonts w:eastAsia="宋体"/>
                <w:b/>
                <w:bCs/>
                <w:color w:val="auto"/>
                <w:sz w:val="21"/>
                <w:szCs w:val="21"/>
                <w:highlight w:val="none"/>
              </w:rPr>
            </w:pPr>
            <w:r>
              <w:rPr>
                <w:rFonts w:eastAsia="宋体"/>
                <w:b/>
                <w:bCs/>
                <w:color w:val="auto"/>
                <w:sz w:val="21"/>
                <w:szCs w:val="21"/>
                <w:highlight w:val="none"/>
              </w:rPr>
              <w:t>风频（%）</w:t>
            </w:r>
          </w:p>
        </w:tc>
        <w:tc>
          <w:tcPr>
            <w:tcW w:w="636" w:type="dxa"/>
            <w:tcBorders>
              <w:top w:val="single" w:color="000000" w:sz="4" w:space="0"/>
              <w:left w:val="single" w:color="000000" w:sz="4" w:space="0"/>
              <w:bottom w:val="single" w:color="000000" w:sz="4" w:space="0"/>
              <w:right w:val="single" w:color="000000" w:sz="4" w:space="0"/>
            </w:tcBorders>
            <w:vAlign w:val="center"/>
          </w:tcPr>
          <w:p w14:paraId="503AF1C1">
            <w:pPr>
              <w:pStyle w:val="98"/>
              <w:ind w:left="-105" w:right="-105"/>
              <w:rPr>
                <w:rFonts w:eastAsia="宋体"/>
                <w:color w:val="auto"/>
                <w:sz w:val="21"/>
                <w:szCs w:val="21"/>
                <w:highlight w:val="none"/>
              </w:rPr>
            </w:pPr>
            <w:r>
              <w:rPr>
                <w:rFonts w:eastAsia="宋体"/>
                <w:color w:val="auto"/>
                <w:sz w:val="21"/>
                <w:szCs w:val="21"/>
                <w:highlight w:val="none"/>
              </w:rPr>
              <w:t>12.8</w:t>
            </w:r>
          </w:p>
        </w:tc>
        <w:tc>
          <w:tcPr>
            <w:tcW w:w="636" w:type="dxa"/>
            <w:tcBorders>
              <w:top w:val="single" w:color="000000" w:sz="4" w:space="0"/>
              <w:left w:val="single" w:color="000000" w:sz="4" w:space="0"/>
              <w:bottom w:val="single" w:color="000000" w:sz="4" w:space="0"/>
              <w:right w:val="single" w:color="000000" w:sz="4" w:space="0"/>
            </w:tcBorders>
            <w:vAlign w:val="center"/>
          </w:tcPr>
          <w:p w14:paraId="6E302B48">
            <w:pPr>
              <w:pStyle w:val="98"/>
              <w:ind w:left="-105" w:right="-105"/>
              <w:rPr>
                <w:rFonts w:eastAsia="宋体"/>
                <w:color w:val="auto"/>
                <w:sz w:val="21"/>
                <w:szCs w:val="21"/>
                <w:highlight w:val="none"/>
              </w:rPr>
            </w:pPr>
            <w:r>
              <w:rPr>
                <w:rFonts w:eastAsia="宋体"/>
                <w:color w:val="auto"/>
                <w:sz w:val="21"/>
                <w:szCs w:val="21"/>
                <w:highlight w:val="none"/>
              </w:rPr>
              <w:t>9.0</w:t>
            </w:r>
          </w:p>
        </w:tc>
        <w:tc>
          <w:tcPr>
            <w:tcW w:w="637" w:type="dxa"/>
            <w:tcBorders>
              <w:top w:val="single" w:color="000000" w:sz="4" w:space="0"/>
              <w:left w:val="single" w:color="000000" w:sz="4" w:space="0"/>
              <w:bottom w:val="single" w:color="000000" w:sz="4" w:space="0"/>
              <w:right w:val="single" w:color="000000" w:sz="4" w:space="0"/>
            </w:tcBorders>
            <w:vAlign w:val="center"/>
          </w:tcPr>
          <w:p w14:paraId="6163C462">
            <w:pPr>
              <w:pStyle w:val="98"/>
              <w:ind w:left="-105" w:right="-105"/>
              <w:rPr>
                <w:rFonts w:eastAsia="宋体"/>
                <w:color w:val="auto"/>
                <w:sz w:val="21"/>
                <w:szCs w:val="21"/>
                <w:highlight w:val="none"/>
              </w:rPr>
            </w:pPr>
            <w:r>
              <w:rPr>
                <w:rFonts w:eastAsia="宋体"/>
                <w:color w:val="auto"/>
                <w:sz w:val="21"/>
                <w:szCs w:val="21"/>
                <w:highlight w:val="none"/>
              </w:rPr>
              <w:t>13.8</w:t>
            </w:r>
          </w:p>
        </w:tc>
        <w:tc>
          <w:tcPr>
            <w:tcW w:w="636" w:type="dxa"/>
            <w:tcBorders>
              <w:top w:val="single" w:color="000000" w:sz="4" w:space="0"/>
              <w:left w:val="single" w:color="000000" w:sz="4" w:space="0"/>
              <w:bottom w:val="single" w:color="000000" w:sz="4" w:space="0"/>
              <w:right w:val="single" w:color="000000" w:sz="4" w:space="0"/>
            </w:tcBorders>
            <w:vAlign w:val="center"/>
          </w:tcPr>
          <w:p w14:paraId="42654AF9">
            <w:pPr>
              <w:pStyle w:val="98"/>
              <w:ind w:left="-105" w:right="-105"/>
              <w:rPr>
                <w:rFonts w:eastAsia="宋体"/>
                <w:color w:val="auto"/>
                <w:sz w:val="21"/>
                <w:szCs w:val="21"/>
                <w:highlight w:val="none"/>
              </w:rPr>
            </w:pPr>
            <w:r>
              <w:rPr>
                <w:rFonts w:eastAsia="宋体"/>
                <w:color w:val="auto"/>
                <w:sz w:val="21"/>
                <w:szCs w:val="21"/>
                <w:highlight w:val="none"/>
              </w:rPr>
              <w:t>15.6</w:t>
            </w:r>
          </w:p>
        </w:tc>
        <w:tc>
          <w:tcPr>
            <w:tcW w:w="636" w:type="dxa"/>
            <w:tcBorders>
              <w:top w:val="single" w:color="000000" w:sz="4" w:space="0"/>
              <w:left w:val="single" w:color="000000" w:sz="4" w:space="0"/>
              <w:bottom w:val="single" w:color="000000" w:sz="4" w:space="0"/>
              <w:right w:val="single" w:color="000000" w:sz="4" w:space="0"/>
            </w:tcBorders>
            <w:vAlign w:val="center"/>
          </w:tcPr>
          <w:p w14:paraId="02DD9911">
            <w:pPr>
              <w:pStyle w:val="98"/>
              <w:ind w:left="-105" w:right="-105"/>
              <w:rPr>
                <w:rFonts w:eastAsia="宋体"/>
                <w:color w:val="auto"/>
                <w:sz w:val="21"/>
                <w:szCs w:val="21"/>
                <w:highlight w:val="none"/>
              </w:rPr>
            </w:pPr>
            <w:r>
              <w:rPr>
                <w:rFonts w:eastAsia="宋体"/>
                <w:color w:val="auto"/>
                <w:sz w:val="21"/>
                <w:szCs w:val="21"/>
                <w:highlight w:val="none"/>
              </w:rPr>
              <w:t>12.6</w:t>
            </w:r>
          </w:p>
        </w:tc>
        <w:tc>
          <w:tcPr>
            <w:tcW w:w="636" w:type="dxa"/>
            <w:tcBorders>
              <w:top w:val="single" w:color="000000" w:sz="4" w:space="0"/>
              <w:left w:val="single" w:color="000000" w:sz="4" w:space="0"/>
              <w:bottom w:val="single" w:color="000000" w:sz="4" w:space="0"/>
              <w:right w:val="single" w:color="000000" w:sz="4" w:space="0"/>
            </w:tcBorders>
            <w:vAlign w:val="center"/>
          </w:tcPr>
          <w:p w14:paraId="00F3E644">
            <w:pPr>
              <w:pStyle w:val="98"/>
              <w:ind w:left="-105" w:right="-105"/>
              <w:rPr>
                <w:rFonts w:eastAsia="宋体"/>
                <w:color w:val="auto"/>
                <w:sz w:val="21"/>
                <w:szCs w:val="21"/>
                <w:highlight w:val="none"/>
              </w:rPr>
            </w:pPr>
            <w:r>
              <w:rPr>
                <w:rFonts w:eastAsia="宋体"/>
                <w:color w:val="auto"/>
                <w:sz w:val="21"/>
                <w:szCs w:val="21"/>
                <w:highlight w:val="none"/>
              </w:rPr>
              <w:t>19.6</w:t>
            </w:r>
          </w:p>
        </w:tc>
        <w:tc>
          <w:tcPr>
            <w:tcW w:w="636" w:type="dxa"/>
            <w:tcBorders>
              <w:top w:val="single" w:color="000000" w:sz="4" w:space="0"/>
              <w:left w:val="single" w:color="000000" w:sz="4" w:space="0"/>
              <w:bottom w:val="single" w:color="000000" w:sz="4" w:space="0"/>
              <w:right w:val="single" w:color="000000" w:sz="4" w:space="0"/>
            </w:tcBorders>
            <w:vAlign w:val="center"/>
          </w:tcPr>
          <w:p w14:paraId="3EFC0332">
            <w:pPr>
              <w:pStyle w:val="98"/>
              <w:ind w:left="-105" w:right="-105"/>
              <w:rPr>
                <w:rFonts w:eastAsia="宋体"/>
                <w:color w:val="auto"/>
                <w:sz w:val="21"/>
                <w:szCs w:val="21"/>
                <w:highlight w:val="none"/>
              </w:rPr>
            </w:pPr>
            <w:r>
              <w:rPr>
                <w:rFonts w:eastAsia="宋体"/>
                <w:color w:val="auto"/>
                <w:sz w:val="21"/>
                <w:szCs w:val="21"/>
                <w:highlight w:val="none"/>
              </w:rPr>
              <w:t>14.8</w:t>
            </w:r>
          </w:p>
        </w:tc>
        <w:tc>
          <w:tcPr>
            <w:tcW w:w="636" w:type="dxa"/>
            <w:tcBorders>
              <w:top w:val="single" w:color="000000" w:sz="4" w:space="0"/>
              <w:left w:val="single" w:color="000000" w:sz="4" w:space="0"/>
              <w:bottom w:val="single" w:color="000000" w:sz="4" w:space="0"/>
              <w:right w:val="single" w:color="000000" w:sz="4" w:space="0"/>
            </w:tcBorders>
            <w:vAlign w:val="center"/>
          </w:tcPr>
          <w:p w14:paraId="47BF7A64">
            <w:pPr>
              <w:pStyle w:val="98"/>
              <w:ind w:left="-105" w:right="-105"/>
              <w:rPr>
                <w:rFonts w:eastAsia="宋体"/>
                <w:color w:val="auto"/>
                <w:sz w:val="21"/>
                <w:szCs w:val="21"/>
                <w:highlight w:val="none"/>
              </w:rPr>
            </w:pPr>
            <w:r>
              <w:rPr>
                <w:rFonts w:eastAsia="宋体"/>
                <w:color w:val="auto"/>
                <w:sz w:val="21"/>
                <w:szCs w:val="21"/>
                <w:highlight w:val="none"/>
              </w:rPr>
              <w:t>11.8</w:t>
            </w:r>
          </w:p>
        </w:tc>
        <w:tc>
          <w:tcPr>
            <w:tcW w:w="636" w:type="dxa"/>
            <w:tcBorders>
              <w:top w:val="single" w:color="000000" w:sz="4" w:space="0"/>
              <w:left w:val="single" w:color="000000" w:sz="4" w:space="0"/>
              <w:bottom w:val="single" w:color="000000" w:sz="4" w:space="0"/>
              <w:right w:val="single" w:color="000000" w:sz="4" w:space="0"/>
            </w:tcBorders>
            <w:vAlign w:val="center"/>
          </w:tcPr>
          <w:p w14:paraId="30A65223">
            <w:pPr>
              <w:pStyle w:val="98"/>
              <w:ind w:left="-105" w:right="-105"/>
              <w:rPr>
                <w:rFonts w:eastAsia="宋体"/>
                <w:color w:val="auto"/>
                <w:sz w:val="21"/>
                <w:szCs w:val="21"/>
                <w:highlight w:val="none"/>
              </w:rPr>
            </w:pPr>
            <w:r>
              <w:rPr>
                <w:rFonts w:eastAsia="宋体"/>
                <w:color w:val="auto"/>
                <w:sz w:val="21"/>
                <w:szCs w:val="21"/>
                <w:highlight w:val="none"/>
              </w:rPr>
              <w:t>12.6</w:t>
            </w:r>
          </w:p>
        </w:tc>
        <w:tc>
          <w:tcPr>
            <w:tcW w:w="636" w:type="dxa"/>
            <w:tcBorders>
              <w:top w:val="single" w:color="000000" w:sz="4" w:space="0"/>
              <w:left w:val="single" w:color="000000" w:sz="4" w:space="0"/>
              <w:bottom w:val="single" w:color="000000" w:sz="4" w:space="0"/>
              <w:right w:val="single" w:color="000000" w:sz="4" w:space="0"/>
            </w:tcBorders>
            <w:vAlign w:val="center"/>
          </w:tcPr>
          <w:p w14:paraId="4EEF037E">
            <w:pPr>
              <w:pStyle w:val="98"/>
              <w:ind w:left="-105" w:right="-105"/>
              <w:rPr>
                <w:rFonts w:eastAsia="宋体"/>
                <w:color w:val="auto"/>
                <w:sz w:val="21"/>
                <w:szCs w:val="21"/>
                <w:highlight w:val="none"/>
              </w:rPr>
            </w:pPr>
            <w:r>
              <w:rPr>
                <w:rFonts w:eastAsia="宋体"/>
                <w:color w:val="auto"/>
                <w:sz w:val="21"/>
                <w:szCs w:val="21"/>
                <w:highlight w:val="none"/>
              </w:rPr>
              <w:t>12.4</w:t>
            </w:r>
          </w:p>
        </w:tc>
        <w:tc>
          <w:tcPr>
            <w:tcW w:w="637" w:type="dxa"/>
            <w:tcBorders>
              <w:top w:val="single" w:color="000000" w:sz="4" w:space="0"/>
              <w:left w:val="single" w:color="000000" w:sz="4" w:space="0"/>
              <w:bottom w:val="single" w:color="000000" w:sz="4" w:space="0"/>
              <w:right w:val="single" w:color="000000" w:sz="4" w:space="0"/>
            </w:tcBorders>
            <w:vAlign w:val="center"/>
          </w:tcPr>
          <w:p w14:paraId="11AEE597">
            <w:pPr>
              <w:pStyle w:val="98"/>
              <w:ind w:left="-105" w:right="-105"/>
              <w:rPr>
                <w:rFonts w:eastAsia="宋体"/>
                <w:color w:val="auto"/>
                <w:sz w:val="21"/>
                <w:szCs w:val="21"/>
                <w:highlight w:val="none"/>
              </w:rPr>
            </w:pPr>
            <w:r>
              <w:rPr>
                <w:rFonts w:eastAsia="宋体"/>
                <w:color w:val="auto"/>
                <w:sz w:val="21"/>
                <w:szCs w:val="21"/>
                <w:highlight w:val="none"/>
              </w:rPr>
              <w:t>10.2</w:t>
            </w:r>
          </w:p>
        </w:tc>
        <w:tc>
          <w:tcPr>
            <w:tcW w:w="636" w:type="dxa"/>
            <w:tcBorders>
              <w:top w:val="single" w:color="000000" w:sz="4" w:space="0"/>
              <w:left w:val="single" w:color="000000" w:sz="4" w:space="0"/>
              <w:bottom w:val="single" w:color="000000" w:sz="4" w:space="0"/>
              <w:right w:val="single" w:color="000000" w:sz="4" w:space="0"/>
            </w:tcBorders>
            <w:vAlign w:val="center"/>
          </w:tcPr>
          <w:p w14:paraId="1E3BEF63">
            <w:pPr>
              <w:pStyle w:val="98"/>
              <w:ind w:left="-105" w:right="-105"/>
              <w:rPr>
                <w:rFonts w:eastAsia="宋体"/>
                <w:color w:val="auto"/>
                <w:sz w:val="21"/>
                <w:szCs w:val="21"/>
                <w:highlight w:val="none"/>
              </w:rPr>
            </w:pPr>
            <w:r>
              <w:rPr>
                <w:rFonts w:eastAsia="宋体"/>
                <w:color w:val="auto"/>
                <w:sz w:val="21"/>
                <w:szCs w:val="21"/>
                <w:highlight w:val="none"/>
              </w:rPr>
              <w:t>12.4</w:t>
            </w:r>
          </w:p>
        </w:tc>
        <w:tc>
          <w:tcPr>
            <w:tcW w:w="643" w:type="dxa"/>
            <w:tcBorders>
              <w:top w:val="single" w:color="000000" w:sz="4" w:space="0"/>
              <w:left w:val="single" w:color="000000" w:sz="4" w:space="0"/>
              <w:bottom w:val="single" w:color="000000" w:sz="4" w:space="0"/>
              <w:right w:val="nil"/>
            </w:tcBorders>
            <w:vAlign w:val="center"/>
          </w:tcPr>
          <w:p w14:paraId="120C5161">
            <w:pPr>
              <w:pStyle w:val="98"/>
              <w:ind w:left="-105" w:right="-105"/>
              <w:rPr>
                <w:rFonts w:eastAsia="宋体"/>
                <w:color w:val="auto"/>
                <w:sz w:val="21"/>
                <w:szCs w:val="21"/>
                <w:highlight w:val="none"/>
              </w:rPr>
            </w:pPr>
            <w:r>
              <w:rPr>
                <w:rFonts w:eastAsia="宋体"/>
                <w:color w:val="auto"/>
                <w:sz w:val="21"/>
                <w:szCs w:val="21"/>
                <w:highlight w:val="none"/>
              </w:rPr>
              <w:t>10.4</w:t>
            </w:r>
          </w:p>
        </w:tc>
      </w:tr>
      <w:tr w14:paraId="0FDFEC2D">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108" w:type="dxa"/>
            <w:bottom w:w="0" w:type="dxa"/>
            <w:right w:w="108" w:type="dxa"/>
          </w:tblCellMar>
        </w:tblPrEx>
        <w:trPr>
          <w:trHeight w:val="671" w:hRule="atLeast"/>
          <w:jc w:val="center"/>
        </w:trPr>
        <w:tc>
          <w:tcPr>
            <w:tcW w:w="1147" w:type="dxa"/>
            <w:tcBorders>
              <w:top w:val="single" w:color="000000" w:sz="4" w:space="0"/>
              <w:left w:val="nil"/>
              <w:right w:val="single" w:color="000000" w:sz="4" w:space="0"/>
            </w:tcBorders>
            <w:vAlign w:val="center"/>
          </w:tcPr>
          <w:p w14:paraId="7439616C">
            <w:pPr>
              <w:pStyle w:val="98"/>
              <w:ind w:left="-105" w:right="-105"/>
              <w:rPr>
                <w:rFonts w:eastAsia="宋体"/>
                <w:b/>
                <w:bCs/>
                <w:color w:val="auto"/>
                <w:sz w:val="21"/>
                <w:szCs w:val="21"/>
                <w:highlight w:val="none"/>
              </w:rPr>
            </w:pPr>
            <w:r>
              <w:rPr>
                <w:rFonts w:eastAsia="宋体"/>
                <w:b/>
                <w:bCs/>
                <w:color w:val="auto"/>
                <w:sz w:val="21"/>
                <w:szCs w:val="21"/>
                <w:highlight w:val="none"/>
              </w:rPr>
              <w:t>静风频率</w:t>
            </w:r>
          </w:p>
          <w:p w14:paraId="14F4B2C7">
            <w:pPr>
              <w:pStyle w:val="98"/>
              <w:ind w:left="-105" w:right="-105"/>
              <w:rPr>
                <w:rFonts w:eastAsia="宋体"/>
                <w:b/>
                <w:bCs/>
                <w:color w:val="auto"/>
                <w:sz w:val="21"/>
                <w:szCs w:val="21"/>
                <w:highlight w:val="none"/>
              </w:rPr>
            </w:pPr>
            <w:r>
              <w:rPr>
                <w:rFonts w:eastAsia="宋体"/>
                <w:b/>
                <w:bCs/>
                <w:color w:val="auto"/>
                <w:sz w:val="21"/>
                <w:szCs w:val="21"/>
                <w:highlight w:val="none"/>
              </w:rPr>
              <w:t>（%）</w:t>
            </w:r>
          </w:p>
        </w:tc>
        <w:tc>
          <w:tcPr>
            <w:tcW w:w="636" w:type="dxa"/>
            <w:tcBorders>
              <w:top w:val="single" w:color="000000" w:sz="4" w:space="0"/>
              <w:left w:val="single" w:color="000000" w:sz="4" w:space="0"/>
              <w:right w:val="single" w:color="000000" w:sz="4" w:space="0"/>
            </w:tcBorders>
            <w:vAlign w:val="center"/>
          </w:tcPr>
          <w:p w14:paraId="4C5E13F5">
            <w:pPr>
              <w:pStyle w:val="98"/>
              <w:ind w:left="-105" w:right="-105"/>
              <w:rPr>
                <w:rFonts w:eastAsia="宋体"/>
                <w:color w:val="auto"/>
                <w:sz w:val="21"/>
                <w:szCs w:val="21"/>
                <w:highlight w:val="none"/>
              </w:rPr>
            </w:pPr>
            <w:r>
              <w:rPr>
                <w:rFonts w:eastAsia="宋体"/>
                <w:color w:val="auto"/>
                <w:sz w:val="21"/>
                <w:szCs w:val="21"/>
                <w:highlight w:val="none"/>
              </w:rPr>
              <w:t>17.6</w:t>
            </w:r>
          </w:p>
        </w:tc>
        <w:tc>
          <w:tcPr>
            <w:tcW w:w="636" w:type="dxa"/>
            <w:tcBorders>
              <w:top w:val="single" w:color="000000" w:sz="4" w:space="0"/>
              <w:left w:val="single" w:color="000000" w:sz="4" w:space="0"/>
              <w:right w:val="single" w:color="000000" w:sz="4" w:space="0"/>
            </w:tcBorders>
            <w:vAlign w:val="center"/>
          </w:tcPr>
          <w:p w14:paraId="5536B480">
            <w:pPr>
              <w:pStyle w:val="98"/>
              <w:ind w:left="-105" w:right="-105"/>
              <w:rPr>
                <w:rFonts w:eastAsia="宋体"/>
                <w:color w:val="auto"/>
                <w:sz w:val="21"/>
                <w:szCs w:val="21"/>
                <w:highlight w:val="none"/>
              </w:rPr>
            </w:pPr>
            <w:r>
              <w:rPr>
                <w:rFonts w:eastAsia="宋体"/>
                <w:color w:val="auto"/>
                <w:sz w:val="21"/>
                <w:szCs w:val="21"/>
                <w:highlight w:val="none"/>
              </w:rPr>
              <w:t>16.0</w:t>
            </w:r>
          </w:p>
        </w:tc>
        <w:tc>
          <w:tcPr>
            <w:tcW w:w="637" w:type="dxa"/>
            <w:tcBorders>
              <w:top w:val="single" w:color="000000" w:sz="4" w:space="0"/>
              <w:left w:val="single" w:color="000000" w:sz="4" w:space="0"/>
              <w:right w:val="single" w:color="000000" w:sz="4" w:space="0"/>
            </w:tcBorders>
            <w:vAlign w:val="center"/>
          </w:tcPr>
          <w:p w14:paraId="42649B14">
            <w:pPr>
              <w:pStyle w:val="98"/>
              <w:ind w:left="-105" w:right="-105"/>
              <w:rPr>
                <w:rFonts w:eastAsia="宋体"/>
                <w:color w:val="auto"/>
                <w:sz w:val="21"/>
                <w:szCs w:val="21"/>
                <w:highlight w:val="none"/>
              </w:rPr>
            </w:pPr>
            <w:r>
              <w:rPr>
                <w:rFonts w:eastAsia="宋体"/>
                <w:color w:val="auto"/>
                <w:sz w:val="21"/>
                <w:szCs w:val="21"/>
                <w:highlight w:val="none"/>
              </w:rPr>
              <w:t>10.8</w:t>
            </w:r>
          </w:p>
        </w:tc>
        <w:tc>
          <w:tcPr>
            <w:tcW w:w="636" w:type="dxa"/>
            <w:tcBorders>
              <w:top w:val="single" w:color="000000" w:sz="4" w:space="0"/>
              <w:left w:val="single" w:color="000000" w:sz="4" w:space="0"/>
              <w:right w:val="single" w:color="000000" w:sz="4" w:space="0"/>
            </w:tcBorders>
            <w:vAlign w:val="center"/>
          </w:tcPr>
          <w:p w14:paraId="4FAB7C3A">
            <w:pPr>
              <w:pStyle w:val="98"/>
              <w:ind w:left="-105" w:right="-105"/>
              <w:rPr>
                <w:rFonts w:eastAsia="宋体"/>
                <w:color w:val="auto"/>
                <w:sz w:val="21"/>
                <w:szCs w:val="21"/>
                <w:highlight w:val="none"/>
              </w:rPr>
            </w:pPr>
            <w:r>
              <w:rPr>
                <w:rFonts w:eastAsia="宋体"/>
                <w:color w:val="auto"/>
                <w:sz w:val="21"/>
                <w:szCs w:val="21"/>
                <w:highlight w:val="none"/>
              </w:rPr>
              <w:t>12.4</w:t>
            </w:r>
          </w:p>
        </w:tc>
        <w:tc>
          <w:tcPr>
            <w:tcW w:w="636" w:type="dxa"/>
            <w:tcBorders>
              <w:top w:val="single" w:color="000000" w:sz="4" w:space="0"/>
              <w:left w:val="single" w:color="000000" w:sz="4" w:space="0"/>
              <w:right w:val="single" w:color="000000" w:sz="4" w:space="0"/>
            </w:tcBorders>
            <w:vAlign w:val="center"/>
          </w:tcPr>
          <w:p w14:paraId="43EB2AFD">
            <w:pPr>
              <w:pStyle w:val="98"/>
              <w:ind w:left="-105" w:right="-105"/>
              <w:rPr>
                <w:rFonts w:eastAsia="宋体"/>
                <w:color w:val="auto"/>
                <w:sz w:val="21"/>
                <w:szCs w:val="21"/>
                <w:highlight w:val="none"/>
              </w:rPr>
            </w:pPr>
            <w:r>
              <w:rPr>
                <w:rFonts w:eastAsia="宋体"/>
                <w:color w:val="auto"/>
                <w:sz w:val="21"/>
                <w:szCs w:val="21"/>
                <w:highlight w:val="none"/>
              </w:rPr>
              <w:t>9.8</w:t>
            </w:r>
          </w:p>
        </w:tc>
        <w:tc>
          <w:tcPr>
            <w:tcW w:w="636" w:type="dxa"/>
            <w:tcBorders>
              <w:top w:val="single" w:color="000000" w:sz="4" w:space="0"/>
              <w:left w:val="single" w:color="000000" w:sz="4" w:space="0"/>
              <w:right w:val="single" w:color="000000" w:sz="4" w:space="0"/>
            </w:tcBorders>
            <w:vAlign w:val="center"/>
          </w:tcPr>
          <w:p w14:paraId="78CB66E3">
            <w:pPr>
              <w:pStyle w:val="98"/>
              <w:ind w:left="-105" w:right="-105"/>
              <w:rPr>
                <w:rFonts w:eastAsia="宋体"/>
                <w:color w:val="auto"/>
                <w:sz w:val="21"/>
                <w:szCs w:val="21"/>
                <w:highlight w:val="none"/>
              </w:rPr>
            </w:pPr>
            <w:r>
              <w:rPr>
                <w:rFonts w:eastAsia="宋体"/>
                <w:color w:val="auto"/>
                <w:sz w:val="21"/>
                <w:szCs w:val="21"/>
                <w:highlight w:val="none"/>
              </w:rPr>
              <w:t>11.0</w:t>
            </w:r>
          </w:p>
        </w:tc>
        <w:tc>
          <w:tcPr>
            <w:tcW w:w="636" w:type="dxa"/>
            <w:tcBorders>
              <w:top w:val="single" w:color="000000" w:sz="4" w:space="0"/>
              <w:left w:val="single" w:color="000000" w:sz="4" w:space="0"/>
              <w:right w:val="single" w:color="000000" w:sz="4" w:space="0"/>
            </w:tcBorders>
            <w:vAlign w:val="center"/>
          </w:tcPr>
          <w:p w14:paraId="1903037B">
            <w:pPr>
              <w:pStyle w:val="98"/>
              <w:ind w:left="-105" w:right="-105"/>
              <w:rPr>
                <w:rFonts w:eastAsia="宋体"/>
                <w:color w:val="auto"/>
                <w:sz w:val="21"/>
                <w:szCs w:val="21"/>
                <w:highlight w:val="none"/>
              </w:rPr>
            </w:pPr>
            <w:r>
              <w:rPr>
                <w:rFonts w:eastAsia="宋体"/>
                <w:color w:val="auto"/>
                <w:sz w:val="21"/>
                <w:szCs w:val="21"/>
                <w:highlight w:val="none"/>
              </w:rPr>
              <w:t>11.4</w:t>
            </w:r>
          </w:p>
        </w:tc>
        <w:tc>
          <w:tcPr>
            <w:tcW w:w="636" w:type="dxa"/>
            <w:tcBorders>
              <w:top w:val="single" w:color="000000" w:sz="4" w:space="0"/>
              <w:left w:val="single" w:color="000000" w:sz="4" w:space="0"/>
              <w:right w:val="single" w:color="000000" w:sz="4" w:space="0"/>
            </w:tcBorders>
            <w:vAlign w:val="center"/>
          </w:tcPr>
          <w:p w14:paraId="691D0969">
            <w:pPr>
              <w:pStyle w:val="98"/>
              <w:ind w:left="-105" w:right="-105"/>
              <w:rPr>
                <w:rFonts w:eastAsia="宋体"/>
                <w:color w:val="auto"/>
                <w:sz w:val="21"/>
                <w:szCs w:val="21"/>
                <w:highlight w:val="none"/>
              </w:rPr>
            </w:pPr>
            <w:r>
              <w:rPr>
                <w:rFonts w:eastAsia="宋体"/>
                <w:color w:val="auto"/>
                <w:sz w:val="21"/>
                <w:szCs w:val="21"/>
                <w:highlight w:val="none"/>
              </w:rPr>
              <w:t>8.0</w:t>
            </w:r>
          </w:p>
        </w:tc>
        <w:tc>
          <w:tcPr>
            <w:tcW w:w="636" w:type="dxa"/>
            <w:tcBorders>
              <w:top w:val="single" w:color="000000" w:sz="4" w:space="0"/>
              <w:left w:val="single" w:color="000000" w:sz="4" w:space="0"/>
              <w:right w:val="single" w:color="000000" w:sz="4" w:space="0"/>
            </w:tcBorders>
            <w:vAlign w:val="center"/>
          </w:tcPr>
          <w:p w14:paraId="37E15CB5">
            <w:pPr>
              <w:pStyle w:val="98"/>
              <w:ind w:left="-105" w:right="-105"/>
              <w:rPr>
                <w:rFonts w:eastAsia="宋体"/>
                <w:color w:val="auto"/>
                <w:sz w:val="21"/>
                <w:szCs w:val="21"/>
                <w:highlight w:val="none"/>
              </w:rPr>
            </w:pPr>
            <w:r>
              <w:rPr>
                <w:rFonts w:eastAsia="宋体"/>
                <w:color w:val="auto"/>
                <w:sz w:val="21"/>
                <w:szCs w:val="21"/>
                <w:highlight w:val="none"/>
              </w:rPr>
              <w:t>12.0</w:t>
            </w:r>
          </w:p>
        </w:tc>
        <w:tc>
          <w:tcPr>
            <w:tcW w:w="636" w:type="dxa"/>
            <w:tcBorders>
              <w:top w:val="single" w:color="000000" w:sz="4" w:space="0"/>
              <w:left w:val="single" w:color="000000" w:sz="4" w:space="0"/>
              <w:right w:val="single" w:color="000000" w:sz="4" w:space="0"/>
            </w:tcBorders>
            <w:vAlign w:val="center"/>
          </w:tcPr>
          <w:p w14:paraId="3AE2C1AD">
            <w:pPr>
              <w:pStyle w:val="98"/>
              <w:ind w:left="-105" w:right="-105"/>
              <w:rPr>
                <w:rFonts w:eastAsia="宋体"/>
                <w:color w:val="auto"/>
                <w:sz w:val="21"/>
                <w:szCs w:val="21"/>
                <w:highlight w:val="none"/>
              </w:rPr>
            </w:pPr>
            <w:r>
              <w:rPr>
                <w:rFonts w:eastAsia="宋体"/>
                <w:color w:val="auto"/>
                <w:sz w:val="21"/>
                <w:szCs w:val="21"/>
                <w:highlight w:val="none"/>
              </w:rPr>
              <w:t>12.6</w:t>
            </w:r>
          </w:p>
        </w:tc>
        <w:tc>
          <w:tcPr>
            <w:tcW w:w="637" w:type="dxa"/>
            <w:tcBorders>
              <w:top w:val="single" w:color="000000" w:sz="4" w:space="0"/>
              <w:left w:val="single" w:color="000000" w:sz="4" w:space="0"/>
              <w:right w:val="single" w:color="000000" w:sz="4" w:space="0"/>
            </w:tcBorders>
            <w:vAlign w:val="center"/>
          </w:tcPr>
          <w:p w14:paraId="178C5336">
            <w:pPr>
              <w:pStyle w:val="98"/>
              <w:ind w:left="-105" w:right="-105"/>
              <w:rPr>
                <w:rFonts w:eastAsia="宋体"/>
                <w:color w:val="auto"/>
                <w:sz w:val="21"/>
                <w:szCs w:val="21"/>
                <w:highlight w:val="none"/>
              </w:rPr>
            </w:pPr>
            <w:r>
              <w:rPr>
                <w:rFonts w:eastAsia="宋体"/>
                <w:color w:val="auto"/>
                <w:sz w:val="21"/>
                <w:szCs w:val="21"/>
                <w:highlight w:val="none"/>
              </w:rPr>
              <w:t>17.4</w:t>
            </w:r>
          </w:p>
        </w:tc>
        <w:tc>
          <w:tcPr>
            <w:tcW w:w="636" w:type="dxa"/>
            <w:tcBorders>
              <w:top w:val="single" w:color="000000" w:sz="4" w:space="0"/>
              <w:left w:val="single" w:color="000000" w:sz="4" w:space="0"/>
              <w:right w:val="single" w:color="000000" w:sz="4" w:space="0"/>
            </w:tcBorders>
            <w:vAlign w:val="center"/>
          </w:tcPr>
          <w:p w14:paraId="57E9D3B4">
            <w:pPr>
              <w:pStyle w:val="98"/>
              <w:ind w:left="-105" w:right="-105"/>
              <w:rPr>
                <w:rFonts w:eastAsia="宋体"/>
                <w:color w:val="auto"/>
                <w:sz w:val="21"/>
                <w:szCs w:val="21"/>
                <w:highlight w:val="none"/>
              </w:rPr>
            </w:pPr>
            <w:r>
              <w:rPr>
                <w:rFonts w:eastAsia="宋体"/>
                <w:color w:val="auto"/>
                <w:sz w:val="21"/>
                <w:szCs w:val="21"/>
                <w:highlight w:val="none"/>
              </w:rPr>
              <w:t>15.0</w:t>
            </w:r>
          </w:p>
        </w:tc>
        <w:tc>
          <w:tcPr>
            <w:tcW w:w="643" w:type="dxa"/>
            <w:tcBorders>
              <w:top w:val="single" w:color="000000" w:sz="4" w:space="0"/>
              <w:left w:val="single" w:color="000000" w:sz="4" w:space="0"/>
              <w:right w:val="nil"/>
            </w:tcBorders>
            <w:vAlign w:val="center"/>
          </w:tcPr>
          <w:p w14:paraId="49E8FB02">
            <w:pPr>
              <w:pStyle w:val="98"/>
              <w:ind w:left="-105" w:right="-105"/>
              <w:rPr>
                <w:rFonts w:eastAsia="宋体"/>
                <w:color w:val="auto"/>
                <w:sz w:val="21"/>
                <w:szCs w:val="21"/>
                <w:highlight w:val="none"/>
              </w:rPr>
            </w:pPr>
            <w:r>
              <w:rPr>
                <w:rFonts w:eastAsia="宋体"/>
                <w:color w:val="auto"/>
                <w:sz w:val="21"/>
                <w:szCs w:val="21"/>
                <w:highlight w:val="none"/>
              </w:rPr>
              <w:t>12.8</w:t>
            </w:r>
          </w:p>
        </w:tc>
      </w:tr>
    </w:tbl>
    <w:p w14:paraId="19B15BA9">
      <w:pPr>
        <w:spacing w:line="360" w:lineRule="auto"/>
        <w:ind w:left="-105" w:right="-105" w:firstLine="480"/>
        <w:rPr>
          <w:rFonts w:ascii="Times New Roman" w:hAnsi="Times New Roman"/>
          <w:color w:val="auto"/>
          <w:highlight w:val="none"/>
        </w:rPr>
        <w:sectPr>
          <w:headerReference r:id="rId23" w:type="default"/>
          <w:headerReference r:id="rId24" w:type="even"/>
          <w:pgSz w:w="11906" w:h="16838"/>
          <w:pgMar w:top="1440" w:right="1701" w:bottom="1440" w:left="1701" w:header="851" w:footer="851" w:gutter="0"/>
          <w:pgBorders>
            <w:top w:val="none" w:sz="0" w:space="0"/>
            <w:left w:val="none" w:sz="0" w:space="0"/>
            <w:bottom w:val="none" w:sz="0" w:space="0"/>
            <w:right w:val="none" w:sz="0" w:space="0"/>
          </w:pgBorders>
          <w:cols w:space="720" w:num="1"/>
          <w:docGrid w:linePitch="498" w:charSpace="-2336"/>
        </w:sectPr>
      </w:pPr>
      <w:r>
        <w:rPr>
          <w:rFonts w:ascii="Times New Roman" w:hAnsi="Times New Roman"/>
          <w:color w:val="auto"/>
          <w:highlight w:val="none"/>
        </w:rPr>
        <w:t>评价区域近年大气稳定度、风速、风向联合频率见</w:t>
      </w:r>
      <w:r>
        <w:rPr>
          <w:rFonts w:ascii="Times New Roman" w:hAnsi="Times New Roman"/>
          <w:color w:val="auto"/>
          <w:highlight w:val="none"/>
        </w:rPr>
        <w:fldChar w:fldCharType="begin"/>
      </w:r>
      <w:r>
        <w:rPr>
          <w:rFonts w:ascii="Times New Roman" w:hAnsi="Times New Roman"/>
          <w:color w:val="auto"/>
          <w:highlight w:val="none"/>
        </w:rPr>
        <w:instrText xml:space="preserve"> REF _Ref38871352 \h  \* MERGEFORMAT </w:instrText>
      </w:r>
      <w:r>
        <w:rPr>
          <w:rFonts w:ascii="Times New Roman" w:hAnsi="Times New Roman"/>
          <w:color w:val="auto"/>
          <w:highlight w:val="none"/>
        </w:rPr>
        <w:fldChar w:fldCharType="separate"/>
      </w:r>
      <w:r>
        <w:rPr>
          <w:rFonts w:ascii="Times New Roman" w:hAnsi="Times New Roman"/>
          <w:color w:val="auto"/>
          <w:szCs w:val="22"/>
          <w:highlight w:val="none"/>
        </w:rPr>
        <w:t>表6.1</w:t>
      </w:r>
      <w:r>
        <w:rPr>
          <w:rFonts w:ascii="Times New Roman" w:hAnsi="Times New Roman"/>
          <w:color w:val="auto"/>
          <w:szCs w:val="22"/>
          <w:highlight w:val="none"/>
        </w:rPr>
        <w:noBreakHyphen/>
      </w:r>
      <w:r>
        <w:rPr>
          <w:rFonts w:ascii="Times New Roman" w:hAnsi="Times New Roman"/>
          <w:color w:val="auto"/>
          <w:szCs w:val="22"/>
          <w:highlight w:val="none"/>
        </w:rPr>
        <w:t>3</w:t>
      </w:r>
      <w:r>
        <w:rPr>
          <w:rFonts w:ascii="Times New Roman" w:hAnsi="Times New Roman"/>
          <w:color w:val="auto"/>
          <w:highlight w:val="none"/>
        </w:rPr>
        <w:fldChar w:fldCharType="end"/>
      </w:r>
      <w:r>
        <w:rPr>
          <w:rFonts w:ascii="Times New Roman" w:hAnsi="Times New Roman"/>
          <w:color w:val="auto"/>
          <w:highlight w:val="none"/>
        </w:rPr>
        <w:t>。无锡地区近年各风向频率，平均风速情况见</w:t>
      </w:r>
      <w:r>
        <w:rPr>
          <w:rFonts w:ascii="Times New Roman" w:hAnsi="Times New Roman"/>
          <w:color w:val="auto"/>
          <w:highlight w:val="none"/>
        </w:rPr>
        <w:fldChar w:fldCharType="begin"/>
      </w:r>
      <w:r>
        <w:rPr>
          <w:rFonts w:ascii="Times New Roman" w:hAnsi="Times New Roman"/>
          <w:color w:val="auto"/>
          <w:highlight w:val="none"/>
        </w:rPr>
        <w:instrText xml:space="preserve"> REF _Ref38871358 \h  \* MERGEFORMAT </w:instrText>
      </w:r>
      <w:r>
        <w:rPr>
          <w:rFonts w:ascii="Times New Roman" w:hAnsi="Times New Roman"/>
          <w:color w:val="auto"/>
          <w:highlight w:val="none"/>
        </w:rPr>
        <w:fldChar w:fldCharType="separate"/>
      </w:r>
      <w:r>
        <w:rPr>
          <w:rFonts w:ascii="Times New Roman" w:hAnsi="Times New Roman"/>
          <w:color w:val="auto"/>
          <w:szCs w:val="22"/>
          <w:highlight w:val="none"/>
        </w:rPr>
        <w:t>表6.1</w:t>
      </w:r>
      <w:r>
        <w:rPr>
          <w:rFonts w:ascii="Times New Roman" w:hAnsi="Times New Roman"/>
          <w:color w:val="auto"/>
          <w:szCs w:val="22"/>
          <w:highlight w:val="none"/>
        </w:rPr>
        <w:noBreakHyphen/>
      </w:r>
      <w:r>
        <w:rPr>
          <w:rFonts w:ascii="Times New Roman" w:hAnsi="Times New Roman"/>
          <w:color w:val="auto"/>
          <w:szCs w:val="22"/>
          <w:highlight w:val="none"/>
        </w:rPr>
        <w:t>4</w:t>
      </w:r>
      <w:r>
        <w:rPr>
          <w:rFonts w:ascii="Times New Roman" w:hAnsi="Times New Roman"/>
          <w:color w:val="auto"/>
          <w:highlight w:val="none"/>
        </w:rPr>
        <w:fldChar w:fldCharType="end"/>
      </w:r>
      <w:r>
        <w:rPr>
          <w:rFonts w:ascii="Times New Roman" w:hAnsi="Times New Roman"/>
          <w:color w:val="auto"/>
          <w:highlight w:val="none"/>
        </w:rPr>
        <w:t>。风玫瑰图见</w:t>
      </w:r>
      <w:r>
        <w:rPr>
          <w:rFonts w:ascii="Times New Roman" w:hAnsi="Times New Roman"/>
          <w:color w:val="auto"/>
          <w:highlight w:val="none"/>
        </w:rPr>
        <w:fldChar w:fldCharType="begin"/>
      </w:r>
      <w:r>
        <w:rPr>
          <w:rFonts w:ascii="Times New Roman" w:hAnsi="Times New Roman"/>
          <w:color w:val="auto"/>
          <w:highlight w:val="none"/>
        </w:rPr>
        <w:instrText xml:space="preserve"> REF _Ref38871502 \h  \* MERGEFORMAT </w:instrText>
      </w:r>
      <w:r>
        <w:rPr>
          <w:rFonts w:ascii="Times New Roman" w:hAnsi="Times New Roman"/>
          <w:color w:val="auto"/>
          <w:highlight w:val="none"/>
        </w:rPr>
        <w:fldChar w:fldCharType="separate"/>
      </w:r>
      <w:r>
        <w:rPr>
          <w:rFonts w:ascii="Times New Roman" w:hAnsi="Times New Roman"/>
          <w:color w:val="auto"/>
          <w:szCs w:val="22"/>
          <w:highlight w:val="none"/>
        </w:rPr>
        <w:t>图6.1</w:t>
      </w:r>
      <w:r>
        <w:rPr>
          <w:rFonts w:ascii="Times New Roman" w:hAnsi="Times New Roman"/>
          <w:color w:val="auto"/>
          <w:szCs w:val="22"/>
          <w:highlight w:val="none"/>
        </w:rPr>
        <w:noBreakHyphen/>
      </w:r>
      <w:r>
        <w:rPr>
          <w:rFonts w:ascii="Times New Roman" w:hAnsi="Times New Roman"/>
          <w:color w:val="auto"/>
          <w:szCs w:val="22"/>
          <w:highlight w:val="none"/>
        </w:rPr>
        <w:t>1无锡市年风玫瑰图</w:t>
      </w:r>
      <w:r>
        <w:rPr>
          <w:rFonts w:ascii="Times New Roman" w:hAnsi="Times New Roman"/>
          <w:color w:val="auto"/>
          <w:highlight w:val="none"/>
        </w:rPr>
        <w:fldChar w:fldCharType="end"/>
      </w:r>
      <w:r>
        <w:rPr>
          <w:rFonts w:ascii="Times New Roman" w:hAnsi="Times New Roman"/>
          <w:color w:val="auto"/>
          <w:highlight w:val="none"/>
        </w:rPr>
        <w:t>。</w:t>
      </w:r>
    </w:p>
    <w:p w14:paraId="3A8B8AAE">
      <w:pPr>
        <w:pStyle w:val="15"/>
        <w:spacing w:line="360" w:lineRule="auto"/>
        <w:ind w:left="-105" w:right="-105" w:firstLine="482"/>
        <w:rPr>
          <w:rFonts w:eastAsia="宋体" w:cs="Times New Roman"/>
          <w:color w:val="auto"/>
          <w:sz w:val="24"/>
          <w:szCs w:val="18"/>
          <w:highlight w:val="none"/>
        </w:rPr>
      </w:pPr>
      <w:bookmarkStart w:id="365" w:name="_Ref38871352"/>
      <w:r>
        <w:rPr>
          <w:rFonts w:eastAsia="宋体" w:cs="Times New Roman"/>
          <w:color w:val="auto"/>
          <w:sz w:val="24"/>
          <w:szCs w:val="18"/>
          <w:highlight w:val="none"/>
        </w:rPr>
        <w:t>表</w:t>
      </w:r>
      <w:r>
        <w:rPr>
          <w:rFonts w:eastAsia="宋体" w:cs="Times New Roman"/>
          <w:color w:val="auto"/>
          <w:sz w:val="24"/>
          <w:szCs w:val="18"/>
          <w:highlight w:val="none"/>
        </w:rPr>
        <w:fldChar w:fldCharType="begin"/>
      </w:r>
      <w:r>
        <w:rPr>
          <w:rFonts w:eastAsia="宋体" w:cs="Times New Roman"/>
          <w:color w:val="auto"/>
          <w:sz w:val="24"/>
          <w:szCs w:val="18"/>
          <w:highlight w:val="none"/>
        </w:rPr>
        <w:instrText xml:space="preserve"> STYLEREF 2 \s </w:instrText>
      </w:r>
      <w:r>
        <w:rPr>
          <w:rFonts w:eastAsia="宋体" w:cs="Times New Roman"/>
          <w:color w:val="auto"/>
          <w:sz w:val="24"/>
          <w:szCs w:val="18"/>
          <w:highlight w:val="none"/>
        </w:rPr>
        <w:fldChar w:fldCharType="separate"/>
      </w:r>
      <w:r>
        <w:rPr>
          <w:rFonts w:eastAsia="宋体" w:cs="Times New Roman"/>
          <w:color w:val="auto"/>
          <w:sz w:val="24"/>
          <w:szCs w:val="18"/>
          <w:highlight w:val="none"/>
        </w:rPr>
        <w:t>6.1</w:t>
      </w:r>
      <w:r>
        <w:rPr>
          <w:rFonts w:eastAsia="宋体" w:cs="Times New Roman"/>
          <w:color w:val="auto"/>
          <w:sz w:val="24"/>
          <w:szCs w:val="18"/>
          <w:highlight w:val="none"/>
        </w:rPr>
        <w:fldChar w:fldCharType="end"/>
      </w:r>
      <w:r>
        <w:rPr>
          <w:rFonts w:eastAsia="宋体" w:cs="Times New Roman"/>
          <w:color w:val="auto"/>
          <w:sz w:val="24"/>
          <w:szCs w:val="18"/>
          <w:highlight w:val="none"/>
        </w:rPr>
        <w:noBreakHyphen/>
      </w:r>
      <w:r>
        <w:rPr>
          <w:rFonts w:eastAsia="宋体" w:cs="Times New Roman"/>
          <w:color w:val="auto"/>
          <w:sz w:val="24"/>
          <w:szCs w:val="18"/>
          <w:highlight w:val="none"/>
        </w:rPr>
        <w:fldChar w:fldCharType="begin"/>
      </w:r>
      <w:r>
        <w:rPr>
          <w:rFonts w:eastAsia="宋体" w:cs="Times New Roman"/>
          <w:color w:val="auto"/>
          <w:sz w:val="24"/>
          <w:szCs w:val="18"/>
          <w:highlight w:val="none"/>
        </w:rPr>
        <w:instrText xml:space="preserve"> SEQ 表 \* ARABIC \s 2 </w:instrText>
      </w:r>
      <w:r>
        <w:rPr>
          <w:rFonts w:eastAsia="宋体" w:cs="Times New Roman"/>
          <w:color w:val="auto"/>
          <w:sz w:val="24"/>
          <w:szCs w:val="18"/>
          <w:highlight w:val="none"/>
        </w:rPr>
        <w:fldChar w:fldCharType="separate"/>
      </w:r>
      <w:r>
        <w:rPr>
          <w:rFonts w:eastAsia="宋体" w:cs="Times New Roman"/>
          <w:color w:val="auto"/>
          <w:sz w:val="24"/>
          <w:szCs w:val="18"/>
          <w:highlight w:val="none"/>
        </w:rPr>
        <w:t>3</w:t>
      </w:r>
      <w:r>
        <w:rPr>
          <w:rFonts w:eastAsia="宋体" w:cs="Times New Roman"/>
          <w:color w:val="auto"/>
          <w:sz w:val="24"/>
          <w:szCs w:val="18"/>
          <w:highlight w:val="none"/>
        </w:rPr>
        <w:fldChar w:fldCharType="end"/>
      </w:r>
      <w:bookmarkEnd w:id="365"/>
      <w:r>
        <w:rPr>
          <w:rFonts w:eastAsia="宋体" w:cs="Times New Roman"/>
          <w:color w:val="auto"/>
          <w:sz w:val="24"/>
          <w:szCs w:val="18"/>
          <w:highlight w:val="none"/>
        </w:rPr>
        <w:t>风向、风速、稳定度联合频率表</w:t>
      </w:r>
    </w:p>
    <w:tbl>
      <w:tblPr>
        <w:tblStyle w:val="45"/>
        <w:tblW w:w="13892" w:type="dxa"/>
        <w:jc w:val="center"/>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fixed"/>
        <w:tblCellMar>
          <w:top w:w="0" w:type="dxa"/>
          <w:left w:w="108" w:type="dxa"/>
          <w:bottom w:w="0" w:type="dxa"/>
          <w:right w:w="108" w:type="dxa"/>
        </w:tblCellMar>
      </w:tblPr>
      <w:tblGrid>
        <w:gridCol w:w="1116"/>
        <w:gridCol w:w="742"/>
        <w:gridCol w:w="683"/>
        <w:gridCol w:w="683"/>
        <w:gridCol w:w="686"/>
        <w:gridCol w:w="683"/>
        <w:gridCol w:w="683"/>
        <w:gridCol w:w="683"/>
        <w:gridCol w:w="685"/>
        <w:gridCol w:w="683"/>
        <w:gridCol w:w="683"/>
        <w:gridCol w:w="683"/>
        <w:gridCol w:w="683"/>
        <w:gridCol w:w="683"/>
        <w:gridCol w:w="684"/>
        <w:gridCol w:w="686"/>
        <w:gridCol w:w="684"/>
        <w:gridCol w:w="645"/>
        <w:gridCol w:w="1134"/>
      </w:tblGrid>
      <w:tr w14:paraId="1FE890FC">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108" w:type="dxa"/>
            <w:bottom w:w="0" w:type="dxa"/>
            <w:right w:w="108" w:type="dxa"/>
          </w:tblCellMar>
        </w:tblPrEx>
        <w:trPr>
          <w:trHeight w:val="415" w:hRule="atLeast"/>
          <w:jc w:val="center"/>
        </w:trPr>
        <w:tc>
          <w:tcPr>
            <w:tcW w:w="1116" w:type="dxa"/>
            <w:vMerge w:val="restart"/>
            <w:tcBorders>
              <w:left w:val="nil"/>
              <w:right w:val="single" w:color="000000" w:sz="4" w:space="0"/>
            </w:tcBorders>
            <w:vAlign w:val="center"/>
          </w:tcPr>
          <w:p w14:paraId="45FE1F89">
            <w:pPr>
              <w:pStyle w:val="98"/>
              <w:ind w:left="-105" w:right="-105"/>
              <w:rPr>
                <w:rFonts w:eastAsia="宋体"/>
                <w:b/>
                <w:color w:val="auto"/>
                <w:sz w:val="21"/>
                <w:szCs w:val="21"/>
                <w:highlight w:val="none"/>
              </w:rPr>
            </w:pPr>
            <w:r>
              <w:rPr>
                <w:rFonts w:eastAsia="宋体"/>
                <w:b/>
                <w:color w:val="auto"/>
                <w:w w:val="90"/>
                <w:sz w:val="21"/>
                <w:szCs w:val="21"/>
                <w:highlight w:val="none"/>
              </w:rPr>
              <w:t>风速（m/s）</w:t>
            </w:r>
          </w:p>
        </w:tc>
        <w:tc>
          <w:tcPr>
            <w:tcW w:w="742" w:type="dxa"/>
            <w:vMerge w:val="restart"/>
            <w:tcBorders>
              <w:left w:val="single" w:color="000000" w:sz="4" w:space="0"/>
              <w:right w:val="single" w:color="000000" w:sz="4" w:space="0"/>
            </w:tcBorders>
            <w:vAlign w:val="center"/>
          </w:tcPr>
          <w:p w14:paraId="0EDE6FC3">
            <w:pPr>
              <w:pStyle w:val="98"/>
              <w:ind w:left="-105" w:right="-105"/>
              <w:rPr>
                <w:rFonts w:eastAsia="宋体"/>
                <w:b/>
                <w:color w:val="auto"/>
                <w:sz w:val="21"/>
                <w:szCs w:val="21"/>
                <w:highlight w:val="none"/>
              </w:rPr>
            </w:pPr>
            <w:r>
              <w:rPr>
                <w:rFonts w:eastAsia="宋体"/>
                <w:b/>
                <w:color w:val="auto"/>
                <w:sz w:val="21"/>
                <w:szCs w:val="21"/>
                <w:highlight w:val="none"/>
              </w:rPr>
              <w:t>稳定</w:t>
            </w:r>
          </w:p>
          <w:p w14:paraId="347F94D7">
            <w:pPr>
              <w:pStyle w:val="98"/>
              <w:ind w:left="-105" w:right="-105"/>
              <w:rPr>
                <w:rFonts w:eastAsia="宋体"/>
                <w:b/>
                <w:color w:val="auto"/>
                <w:sz w:val="21"/>
                <w:szCs w:val="21"/>
                <w:highlight w:val="none"/>
              </w:rPr>
            </w:pPr>
            <w:r>
              <w:rPr>
                <w:rFonts w:eastAsia="宋体"/>
                <w:b/>
                <w:color w:val="auto"/>
                <w:sz w:val="21"/>
                <w:szCs w:val="21"/>
                <w:highlight w:val="none"/>
              </w:rPr>
              <w:t>度</w:t>
            </w:r>
          </w:p>
        </w:tc>
        <w:tc>
          <w:tcPr>
            <w:tcW w:w="10900" w:type="dxa"/>
            <w:gridSpan w:val="16"/>
            <w:tcBorders>
              <w:left w:val="single" w:color="000000" w:sz="4" w:space="0"/>
              <w:bottom w:val="single" w:color="000000" w:sz="4" w:space="0"/>
              <w:right w:val="single" w:color="000000" w:sz="4" w:space="0"/>
            </w:tcBorders>
            <w:vAlign w:val="center"/>
          </w:tcPr>
          <w:p w14:paraId="081295DC">
            <w:pPr>
              <w:pStyle w:val="98"/>
              <w:ind w:left="-105" w:right="-105"/>
              <w:rPr>
                <w:rFonts w:eastAsia="宋体"/>
                <w:b/>
                <w:color w:val="auto"/>
                <w:sz w:val="21"/>
                <w:szCs w:val="21"/>
                <w:highlight w:val="none"/>
              </w:rPr>
            </w:pPr>
            <w:r>
              <w:rPr>
                <w:rFonts w:eastAsia="宋体"/>
                <w:b/>
                <w:color w:val="auto"/>
                <w:sz w:val="21"/>
                <w:szCs w:val="21"/>
                <w:highlight w:val="none"/>
              </w:rPr>
              <w:t>风向</w:t>
            </w:r>
          </w:p>
        </w:tc>
        <w:tc>
          <w:tcPr>
            <w:tcW w:w="1134" w:type="dxa"/>
            <w:vMerge w:val="restart"/>
            <w:tcBorders>
              <w:left w:val="single" w:color="000000" w:sz="4" w:space="0"/>
              <w:right w:val="nil"/>
            </w:tcBorders>
            <w:vAlign w:val="center"/>
          </w:tcPr>
          <w:p w14:paraId="08BED7FF">
            <w:pPr>
              <w:pStyle w:val="98"/>
              <w:ind w:left="-105" w:right="-105"/>
              <w:rPr>
                <w:rFonts w:eastAsia="宋体"/>
                <w:b/>
                <w:color w:val="auto"/>
                <w:sz w:val="21"/>
                <w:szCs w:val="21"/>
                <w:highlight w:val="none"/>
              </w:rPr>
            </w:pPr>
            <w:r>
              <w:rPr>
                <w:rFonts w:eastAsia="宋体"/>
                <w:b/>
                <w:color w:val="auto"/>
                <w:sz w:val="21"/>
                <w:szCs w:val="21"/>
                <w:highlight w:val="none"/>
              </w:rPr>
              <w:t>各方位共计</w:t>
            </w:r>
          </w:p>
        </w:tc>
      </w:tr>
      <w:tr w14:paraId="32627533">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108" w:type="dxa"/>
            <w:bottom w:w="0" w:type="dxa"/>
            <w:right w:w="108" w:type="dxa"/>
          </w:tblCellMar>
        </w:tblPrEx>
        <w:trPr>
          <w:trHeight w:val="208" w:hRule="atLeast"/>
          <w:jc w:val="center"/>
        </w:trPr>
        <w:tc>
          <w:tcPr>
            <w:tcW w:w="1116" w:type="dxa"/>
            <w:vMerge w:val="continue"/>
            <w:tcBorders>
              <w:left w:val="nil"/>
              <w:bottom w:val="single" w:color="000000" w:sz="4" w:space="0"/>
              <w:right w:val="single" w:color="000000" w:sz="4" w:space="0"/>
            </w:tcBorders>
            <w:vAlign w:val="center"/>
          </w:tcPr>
          <w:p w14:paraId="3AB36CB0">
            <w:pPr>
              <w:pStyle w:val="98"/>
              <w:ind w:left="-105" w:right="-105"/>
              <w:rPr>
                <w:rFonts w:eastAsia="宋体"/>
                <w:color w:val="auto"/>
                <w:sz w:val="21"/>
                <w:szCs w:val="21"/>
                <w:highlight w:val="none"/>
              </w:rPr>
            </w:pPr>
          </w:p>
        </w:tc>
        <w:tc>
          <w:tcPr>
            <w:tcW w:w="742" w:type="dxa"/>
            <w:vMerge w:val="continue"/>
            <w:tcBorders>
              <w:left w:val="single" w:color="000000" w:sz="4" w:space="0"/>
              <w:bottom w:val="single" w:color="000000" w:sz="4" w:space="0"/>
              <w:right w:val="single" w:color="000000" w:sz="4" w:space="0"/>
            </w:tcBorders>
            <w:vAlign w:val="center"/>
          </w:tcPr>
          <w:p w14:paraId="1675B34D">
            <w:pPr>
              <w:pStyle w:val="98"/>
              <w:ind w:left="-105" w:right="-105"/>
              <w:rPr>
                <w:rFonts w:eastAsia="宋体"/>
                <w:color w:val="auto"/>
                <w:sz w:val="21"/>
                <w:szCs w:val="21"/>
                <w:highlight w:val="none"/>
              </w:rPr>
            </w:pPr>
          </w:p>
        </w:tc>
        <w:tc>
          <w:tcPr>
            <w:tcW w:w="683" w:type="dxa"/>
            <w:tcBorders>
              <w:top w:val="single" w:color="000000" w:sz="4" w:space="0"/>
              <w:left w:val="single" w:color="000000" w:sz="4" w:space="0"/>
              <w:bottom w:val="single" w:color="000000" w:sz="4" w:space="0"/>
              <w:right w:val="single" w:color="000000" w:sz="4" w:space="0"/>
            </w:tcBorders>
            <w:vAlign w:val="center"/>
          </w:tcPr>
          <w:p w14:paraId="6C9A7830">
            <w:pPr>
              <w:pStyle w:val="98"/>
              <w:ind w:left="-105" w:right="-105"/>
              <w:rPr>
                <w:rFonts w:eastAsia="宋体"/>
                <w:b/>
                <w:color w:val="auto"/>
                <w:sz w:val="21"/>
                <w:szCs w:val="21"/>
                <w:highlight w:val="none"/>
              </w:rPr>
            </w:pPr>
            <w:r>
              <w:rPr>
                <w:rFonts w:hint="eastAsia" w:eastAsia="宋体"/>
                <w:b/>
                <w:color w:val="auto"/>
                <w:sz w:val="21"/>
                <w:szCs w:val="21"/>
                <w:highlight w:val="none"/>
                <w:lang w:val="en-US"/>
              </w:rPr>
              <w:t>N</w:t>
            </w:r>
          </w:p>
        </w:tc>
        <w:tc>
          <w:tcPr>
            <w:tcW w:w="683" w:type="dxa"/>
            <w:tcBorders>
              <w:top w:val="single" w:color="000000" w:sz="4" w:space="0"/>
              <w:left w:val="single" w:color="000000" w:sz="4" w:space="0"/>
              <w:bottom w:val="single" w:color="000000" w:sz="4" w:space="0"/>
              <w:right w:val="single" w:color="000000" w:sz="4" w:space="0"/>
            </w:tcBorders>
            <w:vAlign w:val="center"/>
          </w:tcPr>
          <w:p w14:paraId="606BC784">
            <w:pPr>
              <w:pStyle w:val="98"/>
              <w:ind w:left="-105" w:right="-105"/>
              <w:rPr>
                <w:rFonts w:eastAsia="宋体"/>
                <w:b/>
                <w:color w:val="auto"/>
                <w:sz w:val="21"/>
                <w:szCs w:val="21"/>
                <w:highlight w:val="none"/>
              </w:rPr>
            </w:pPr>
            <w:r>
              <w:rPr>
                <w:rFonts w:eastAsia="宋体"/>
                <w:b/>
                <w:color w:val="auto"/>
                <w:sz w:val="21"/>
                <w:szCs w:val="21"/>
                <w:highlight w:val="none"/>
              </w:rPr>
              <w:t>NNE</w:t>
            </w:r>
          </w:p>
        </w:tc>
        <w:tc>
          <w:tcPr>
            <w:tcW w:w="686" w:type="dxa"/>
            <w:tcBorders>
              <w:top w:val="single" w:color="000000" w:sz="4" w:space="0"/>
              <w:left w:val="single" w:color="000000" w:sz="4" w:space="0"/>
              <w:bottom w:val="single" w:color="000000" w:sz="4" w:space="0"/>
              <w:right w:val="single" w:color="000000" w:sz="4" w:space="0"/>
            </w:tcBorders>
            <w:vAlign w:val="center"/>
          </w:tcPr>
          <w:p w14:paraId="74615EE5">
            <w:pPr>
              <w:pStyle w:val="98"/>
              <w:ind w:left="-105" w:right="-105"/>
              <w:rPr>
                <w:rFonts w:eastAsia="宋体"/>
                <w:b/>
                <w:color w:val="auto"/>
                <w:sz w:val="21"/>
                <w:szCs w:val="21"/>
                <w:highlight w:val="none"/>
              </w:rPr>
            </w:pPr>
            <w:r>
              <w:rPr>
                <w:rFonts w:eastAsia="宋体"/>
                <w:b/>
                <w:color w:val="auto"/>
                <w:sz w:val="21"/>
                <w:szCs w:val="21"/>
                <w:highlight w:val="none"/>
              </w:rPr>
              <w:t>NE</w:t>
            </w:r>
          </w:p>
        </w:tc>
        <w:tc>
          <w:tcPr>
            <w:tcW w:w="683" w:type="dxa"/>
            <w:tcBorders>
              <w:top w:val="single" w:color="000000" w:sz="4" w:space="0"/>
              <w:left w:val="single" w:color="000000" w:sz="4" w:space="0"/>
              <w:bottom w:val="single" w:color="000000" w:sz="4" w:space="0"/>
              <w:right w:val="single" w:color="000000" w:sz="4" w:space="0"/>
            </w:tcBorders>
            <w:vAlign w:val="center"/>
          </w:tcPr>
          <w:p w14:paraId="7F6E386D">
            <w:pPr>
              <w:pStyle w:val="98"/>
              <w:ind w:left="-105" w:right="-105"/>
              <w:rPr>
                <w:rFonts w:eastAsia="宋体"/>
                <w:b/>
                <w:color w:val="auto"/>
                <w:sz w:val="21"/>
                <w:szCs w:val="21"/>
                <w:highlight w:val="none"/>
              </w:rPr>
            </w:pPr>
            <w:r>
              <w:rPr>
                <w:rFonts w:eastAsia="宋体"/>
                <w:b/>
                <w:color w:val="auto"/>
                <w:sz w:val="21"/>
                <w:szCs w:val="21"/>
                <w:highlight w:val="none"/>
              </w:rPr>
              <w:t>ENE</w:t>
            </w:r>
          </w:p>
        </w:tc>
        <w:tc>
          <w:tcPr>
            <w:tcW w:w="683" w:type="dxa"/>
            <w:tcBorders>
              <w:top w:val="single" w:color="000000" w:sz="4" w:space="0"/>
              <w:left w:val="single" w:color="000000" w:sz="4" w:space="0"/>
              <w:bottom w:val="single" w:color="000000" w:sz="4" w:space="0"/>
              <w:right w:val="single" w:color="000000" w:sz="4" w:space="0"/>
            </w:tcBorders>
            <w:vAlign w:val="center"/>
          </w:tcPr>
          <w:p w14:paraId="53539764">
            <w:pPr>
              <w:pStyle w:val="98"/>
              <w:ind w:left="-105" w:right="-105"/>
              <w:rPr>
                <w:rFonts w:eastAsia="宋体"/>
                <w:b/>
                <w:color w:val="auto"/>
                <w:sz w:val="21"/>
                <w:szCs w:val="21"/>
                <w:highlight w:val="none"/>
              </w:rPr>
            </w:pPr>
            <w:r>
              <w:rPr>
                <w:rFonts w:eastAsia="宋体"/>
                <w:b/>
                <w:color w:val="auto"/>
                <w:sz w:val="21"/>
                <w:szCs w:val="21"/>
                <w:highlight w:val="none"/>
              </w:rPr>
              <w:t>E</w:t>
            </w:r>
          </w:p>
        </w:tc>
        <w:tc>
          <w:tcPr>
            <w:tcW w:w="683" w:type="dxa"/>
            <w:tcBorders>
              <w:top w:val="single" w:color="000000" w:sz="4" w:space="0"/>
              <w:left w:val="single" w:color="000000" w:sz="4" w:space="0"/>
              <w:bottom w:val="single" w:color="000000" w:sz="4" w:space="0"/>
              <w:right w:val="single" w:color="000000" w:sz="4" w:space="0"/>
            </w:tcBorders>
            <w:vAlign w:val="center"/>
          </w:tcPr>
          <w:p w14:paraId="09F69896">
            <w:pPr>
              <w:pStyle w:val="98"/>
              <w:ind w:left="-105" w:right="-105"/>
              <w:rPr>
                <w:rFonts w:eastAsia="宋体"/>
                <w:b/>
                <w:color w:val="auto"/>
                <w:sz w:val="21"/>
                <w:szCs w:val="21"/>
                <w:highlight w:val="none"/>
              </w:rPr>
            </w:pPr>
            <w:r>
              <w:rPr>
                <w:rFonts w:eastAsia="宋体"/>
                <w:b/>
                <w:color w:val="auto"/>
                <w:sz w:val="21"/>
                <w:szCs w:val="21"/>
                <w:highlight w:val="none"/>
              </w:rPr>
              <w:t>ESE</w:t>
            </w:r>
          </w:p>
        </w:tc>
        <w:tc>
          <w:tcPr>
            <w:tcW w:w="685" w:type="dxa"/>
            <w:tcBorders>
              <w:top w:val="single" w:color="000000" w:sz="4" w:space="0"/>
              <w:left w:val="single" w:color="000000" w:sz="4" w:space="0"/>
              <w:bottom w:val="single" w:color="000000" w:sz="4" w:space="0"/>
              <w:right w:val="single" w:color="000000" w:sz="4" w:space="0"/>
            </w:tcBorders>
            <w:vAlign w:val="center"/>
          </w:tcPr>
          <w:p w14:paraId="293DC4EF">
            <w:pPr>
              <w:pStyle w:val="98"/>
              <w:ind w:left="-105" w:right="-105"/>
              <w:rPr>
                <w:rFonts w:eastAsia="宋体"/>
                <w:b/>
                <w:color w:val="auto"/>
                <w:sz w:val="21"/>
                <w:szCs w:val="21"/>
                <w:highlight w:val="none"/>
              </w:rPr>
            </w:pPr>
            <w:r>
              <w:rPr>
                <w:rFonts w:eastAsia="宋体"/>
                <w:b/>
                <w:color w:val="auto"/>
                <w:sz w:val="21"/>
                <w:szCs w:val="21"/>
                <w:highlight w:val="none"/>
              </w:rPr>
              <w:t>SE</w:t>
            </w:r>
          </w:p>
        </w:tc>
        <w:tc>
          <w:tcPr>
            <w:tcW w:w="683" w:type="dxa"/>
            <w:tcBorders>
              <w:top w:val="single" w:color="000000" w:sz="4" w:space="0"/>
              <w:left w:val="single" w:color="000000" w:sz="4" w:space="0"/>
              <w:bottom w:val="single" w:color="000000" w:sz="4" w:space="0"/>
              <w:right w:val="single" w:color="000000" w:sz="4" w:space="0"/>
            </w:tcBorders>
            <w:vAlign w:val="center"/>
          </w:tcPr>
          <w:p w14:paraId="31D7179F">
            <w:pPr>
              <w:pStyle w:val="98"/>
              <w:ind w:left="-105" w:right="-105"/>
              <w:rPr>
                <w:rFonts w:eastAsia="宋体"/>
                <w:b/>
                <w:color w:val="auto"/>
                <w:sz w:val="21"/>
                <w:szCs w:val="21"/>
                <w:highlight w:val="none"/>
              </w:rPr>
            </w:pPr>
            <w:r>
              <w:rPr>
                <w:rFonts w:eastAsia="宋体"/>
                <w:b/>
                <w:color w:val="auto"/>
                <w:sz w:val="21"/>
                <w:szCs w:val="21"/>
                <w:highlight w:val="none"/>
              </w:rPr>
              <w:t>SSE</w:t>
            </w:r>
          </w:p>
        </w:tc>
        <w:tc>
          <w:tcPr>
            <w:tcW w:w="683" w:type="dxa"/>
            <w:tcBorders>
              <w:top w:val="single" w:color="000000" w:sz="4" w:space="0"/>
              <w:left w:val="single" w:color="000000" w:sz="4" w:space="0"/>
              <w:bottom w:val="single" w:color="000000" w:sz="4" w:space="0"/>
              <w:right w:val="single" w:color="000000" w:sz="4" w:space="0"/>
            </w:tcBorders>
            <w:vAlign w:val="center"/>
          </w:tcPr>
          <w:p w14:paraId="257F8FB9">
            <w:pPr>
              <w:pStyle w:val="98"/>
              <w:ind w:left="-105" w:right="-105"/>
              <w:rPr>
                <w:rFonts w:eastAsia="宋体"/>
                <w:b/>
                <w:color w:val="auto"/>
                <w:sz w:val="21"/>
                <w:szCs w:val="21"/>
                <w:highlight w:val="none"/>
              </w:rPr>
            </w:pPr>
            <w:r>
              <w:rPr>
                <w:rFonts w:eastAsia="宋体"/>
                <w:b/>
                <w:color w:val="auto"/>
                <w:sz w:val="21"/>
                <w:szCs w:val="21"/>
                <w:highlight w:val="none"/>
              </w:rPr>
              <w:t>S</w:t>
            </w:r>
          </w:p>
        </w:tc>
        <w:tc>
          <w:tcPr>
            <w:tcW w:w="683" w:type="dxa"/>
            <w:tcBorders>
              <w:top w:val="single" w:color="000000" w:sz="4" w:space="0"/>
              <w:left w:val="single" w:color="000000" w:sz="4" w:space="0"/>
              <w:bottom w:val="single" w:color="000000" w:sz="4" w:space="0"/>
              <w:right w:val="single" w:color="000000" w:sz="4" w:space="0"/>
            </w:tcBorders>
            <w:vAlign w:val="center"/>
          </w:tcPr>
          <w:p w14:paraId="7431789C">
            <w:pPr>
              <w:pStyle w:val="98"/>
              <w:ind w:left="-105" w:right="-105"/>
              <w:rPr>
                <w:rFonts w:eastAsia="宋体"/>
                <w:b/>
                <w:color w:val="auto"/>
                <w:sz w:val="21"/>
                <w:szCs w:val="21"/>
                <w:highlight w:val="none"/>
              </w:rPr>
            </w:pPr>
            <w:r>
              <w:rPr>
                <w:rFonts w:eastAsia="宋体"/>
                <w:b/>
                <w:color w:val="auto"/>
                <w:sz w:val="21"/>
                <w:szCs w:val="21"/>
                <w:highlight w:val="none"/>
              </w:rPr>
              <w:t>SSW</w:t>
            </w:r>
          </w:p>
        </w:tc>
        <w:tc>
          <w:tcPr>
            <w:tcW w:w="683" w:type="dxa"/>
            <w:tcBorders>
              <w:top w:val="single" w:color="000000" w:sz="4" w:space="0"/>
              <w:left w:val="single" w:color="000000" w:sz="4" w:space="0"/>
              <w:bottom w:val="single" w:color="000000" w:sz="4" w:space="0"/>
              <w:right w:val="single" w:color="000000" w:sz="4" w:space="0"/>
            </w:tcBorders>
            <w:vAlign w:val="center"/>
          </w:tcPr>
          <w:p w14:paraId="2E7D8679">
            <w:pPr>
              <w:pStyle w:val="98"/>
              <w:ind w:left="-105" w:right="-105"/>
              <w:rPr>
                <w:rFonts w:eastAsia="宋体"/>
                <w:b/>
                <w:color w:val="auto"/>
                <w:sz w:val="21"/>
                <w:szCs w:val="21"/>
                <w:highlight w:val="none"/>
              </w:rPr>
            </w:pPr>
            <w:r>
              <w:rPr>
                <w:rFonts w:eastAsia="宋体"/>
                <w:b/>
                <w:color w:val="auto"/>
                <w:sz w:val="21"/>
                <w:szCs w:val="21"/>
                <w:highlight w:val="none"/>
              </w:rPr>
              <w:t>SW</w:t>
            </w:r>
          </w:p>
        </w:tc>
        <w:tc>
          <w:tcPr>
            <w:tcW w:w="683" w:type="dxa"/>
            <w:tcBorders>
              <w:top w:val="single" w:color="000000" w:sz="4" w:space="0"/>
              <w:left w:val="single" w:color="000000" w:sz="4" w:space="0"/>
              <w:bottom w:val="single" w:color="000000" w:sz="4" w:space="0"/>
              <w:right w:val="single" w:color="000000" w:sz="4" w:space="0"/>
            </w:tcBorders>
            <w:vAlign w:val="center"/>
          </w:tcPr>
          <w:p w14:paraId="1FB374B9">
            <w:pPr>
              <w:pStyle w:val="98"/>
              <w:ind w:left="-105" w:right="-105"/>
              <w:rPr>
                <w:rFonts w:eastAsia="宋体"/>
                <w:b/>
                <w:color w:val="auto"/>
                <w:sz w:val="21"/>
                <w:szCs w:val="21"/>
                <w:highlight w:val="none"/>
              </w:rPr>
            </w:pPr>
            <w:r>
              <w:rPr>
                <w:rFonts w:eastAsia="宋体"/>
                <w:b/>
                <w:color w:val="auto"/>
                <w:sz w:val="21"/>
                <w:szCs w:val="21"/>
                <w:highlight w:val="none"/>
              </w:rPr>
              <w:t>WSW</w:t>
            </w:r>
          </w:p>
        </w:tc>
        <w:tc>
          <w:tcPr>
            <w:tcW w:w="684" w:type="dxa"/>
            <w:tcBorders>
              <w:top w:val="single" w:color="000000" w:sz="4" w:space="0"/>
              <w:left w:val="single" w:color="000000" w:sz="4" w:space="0"/>
              <w:bottom w:val="single" w:color="000000" w:sz="4" w:space="0"/>
              <w:right w:val="single" w:color="000000" w:sz="4" w:space="0"/>
            </w:tcBorders>
            <w:vAlign w:val="center"/>
          </w:tcPr>
          <w:p w14:paraId="0C8686CA">
            <w:pPr>
              <w:pStyle w:val="98"/>
              <w:ind w:left="-105" w:right="-105"/>
              <w:rPr>
                <w:rFonts w:eastAsia="宋体"/>
                <w:b/>
                <w:color w:val="auto"/>
                <w:sz w:val="21"/>
                <w:szCs w:val="21"/>
                <w:highlight w:val="none"/>
              </w:rPr>
            </w:pPr>
            <w:r>
              <w:rPr>
                <w:rFonts w:eastAsia="宋体"/>
                <w:b/>
                <w:color w:val="auto"/>
                <w:sz w:val="21"/>
                <w:szCs w:val="21"/>
                <w:highlight w:val="none"/>
              </w:rPr>
              <w:t>W</w:t>
            </w:r>
          </w:p>
        </w:tc>
        <w:tc>
          <w:tcPr>
            <w:tcW w:w="686" w:type="dxa"/>
            <w:tcBorders>
              <w:top w:val="single" w:color="000000" w:sz="4" w:space="0"/>
              <w:left w:val="single" w:color="000000" w:sz="4" w:space="0"/>
              <w:bottom w:val="single" w:color="000000" w:sz="4" w:space="0"/>
              <w:right w:val="single" w:color="000000" w:sz="4" w:space="0"/>
            </w:tcBorders>
            <w:vAlign w:val="center"/>
          </w:tcPr>
          <w:p w14:paraId="4DCA99DD">
            <w:pPr>
              <w:pStyle w:val="98"/>
              <w:ind w:left="-105" w:right="-105"/>
              <w:rPr>
                <w:rFonts w:eastAsia="宋体"/>
                <w:b/>
                <w:color w:val="auto"/>
                <w:sz w:val="21"/>
                <w:szCs w:val="21"/>
                <w:highlight w:val="none"/>
              </w:rPr>
            </w:pPr>
            <w:r>
              <w:rPr>
                <w:rFonts w:eastAsia="宋体"/>
                <w:b/>
                <w:color w:val="auto"/>
                <w:sz w:val="21"/>
                <w:szCs w:val="21"/>
                <w:highlight w:val="none"/>
              </w:rPr>
              <w:t>WNW</w:t>
            </w:r>
          </w:p>
        </w:tc>
        <w:tc>
          <w:tcPr>
            <w:tcW w:w="684" w:type="dxa"/>
            <w:tcBorders>
              <w:top w:val="single" w:color="000000" w:sz="4" w:space="0"/>
              <w:left w:val="single" w:color="000000" w:sz="4" w:space="0"/>
              <w:bottom w:val="single" w:color="000000" w:sz="4" w:space="0"/>
              <w:right w:val="single" w:color="000000" w:sz="4" w:space="0"/>
            </w:tcBorders>
            <w:vAlign w:val="center"/>
          </w:tcPr>
          <w:p w14:paraId="079B5E41">
            <w:pPr>
              <w:pStyle w:val="98"/>
              <w:ind w:left="-105" w:right="-105"/>
              <w:rPr>
                <w:rFonts w:eastAsia="宋体"/>
                <w:b/>
                <w:color w:val="auto"/>
                <w:sz w:val="21"/>
                <w:szCs w:val="21"/>
                <w:highlight w:val="none"/>
              </w:rPr>
            </w:pPr>
            <w:r>
              <w:rPr>
                <w:rFonts w:eastAsia="宋体"/>
                <w:b/>
                <w:color w:val="auto"/>
                <w:sz w:val="21"/>
                <w:szCs w:val="21"/>
                <w:highlight w:val="none"/>
              </w:rPr>
              <w:t>NW</w:t>
            </w:r>
          </w:p>
        </w:tc>
        <w:tc>
          <w:tcPr>
            <w:tcW w:w="645" w:type="dxa"/>
            <w:tcBorders>
              <w:top w:val="single" w:color="000000" w:sz="4" w:space="0"/>
              <w:left w:val="single" w:color="000000" w:sz="4" w:space="0"/>
              <w:bottom w:val="single" w:color="000000" w:sz="4" w:space="0"/>
              <w:right w:val="single" w:color="000000" w:sz="4" w:space="0"/>
            </w:tcBorders>
            <w:vAlign w:val="center"/>
          </w:tcPr>
          <w:p w14:paraId="59E9AD23">
            <w:pPr>
              <w:pStyle w:val="98"/>
              <w:ind w:left="-105" w:right="-105"/>
              <w:rPr>
                <w:rFonts w:eastAsia="宋体"/>
                <w:b/>
                <w:color w:val="auto"/>
                <w:sz w:val="21"/>
                <w:szCs w:val="21"/>
                <w:highlight w:val="none"/>
              </w:rPr>
            </w:pPr>
            <w:r>
              <w:rPr>
                <w:rFonts w:eastAsia="宋体"/>
                <w:b/>
                <w:color w:val="auto"/>
                <w:sz w:val="21"/>
                <w:szCs w:val="21"/>
                <w:highlight w:val="none"/>
              </w:rPr>
              <w:t>NNW</w:t>
            </w:r>
          </w:p>
        </w:tc>
        <w:tc>
          <w:tcPr>
            <w:tcW w:w="1134" w:type="dxa"/>
            <w:vMerge w:val="continue"/>
            <w:tcBorders>
              <w:left w:val="single" w:color="000000" w:sz="4" w:space="0"/>
              <w:bottom w:val="single" w:color="000000" w:sz="4" w:space="0"/>
              <w:right w:val="nil"/>
            </w:tcBorders>
            <w:vAlign w:val="center"/>
          </w:tcPr>
          <w:p w14:paraId="4F1A00C8">
            <w:pPr>
              <w:pStyle w:val="98"/>
              <w:ind w:left="-105" w:right="-105"/>
              <w:rPr>
                <w:rFonts w:eastAsia="宋体"/>
                <w:color w:val="auto"/>
                <w:sz w:val="21"/>
                <w:szCs w:val="21"/>
                <w:highlight w:val="none"/>
              </w:rPr>
            </w:pPr>
          </w:p>
        </w:tc>
      </w:tr>
      <w:tr w14:paraId="447461AA">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108" w:type="dxa"/>
            <w:bottom w:w="0" w:type="dxa"/>
            <w:right w:w="108" w:type="dxa"/>
          </w:tblCellMar>
        </w:tblPrEx>
        <w:trPr>
          <w:trHeight w:val="210" w:hRule="atLeast"/>
          <w:jc w:val="center"/>
        </w:trPr>
        <w:tc>
          <w:tcPr>
            <w:tcW w:w="1116" w:type="dxa"/>
            <w:vMerge w:val="restart"/>
            <w:tcBorders>
              <w:top w:val="single" w:color="000000" w:sz="4" w:space="0"/>
              <w:left w:val="nil"/>
              <w:bottom w:val="single" w:color="000000" w:sz="4" w:space="0"/>
              <w:right w:val="single" w:color="000000" w:sz="4" w:space="0"/>
            </w:tcBorders>
            <w:vAlign w:val="center"/>
          </w:tcPr>
          <w:p w14:paraId="7045170A">
            <w:pPr>
              <w:pStyle w:val="98"/>
              <w:ind w:left="-105" w:right="-105"/>
              <w:rPr>
                <w:rFonts w:eastAsia="宋体"/>
                <w:color w:val="auto"/>
                <w:sz w:val="21"/>
                <w:szCs w:val="21"/>
                <w:highlight w:val="none"/>
              </w:rPr>
            </w:pPr>
            <w:r>
              <w:rPr>
                <w:rFonts w:eastAsia="宋体"/>
                <w:color w:val="auto"/>
                <w:sz w:val="21"/>
                <w:szCs w:val="21"/>
                <w:highlight w:val="none"/>
              </w:rPr>
              <w:t>≤2.0</w:t>
            </w:r>
          </w:p>
        </w:tc>
        <w:tc>
          <w:tcPr>
            <w:tcW w:w="742" w:type="dxa"/>
            <w:tcBorders>
              <w:top w:val="single" w:color="000000" w:sz="4" w:space="0"/>
              <w:left w:val="single" w:color="000000" w:sz="4" w:space="0"/>
              <w:bottom w:val="single" w:color="000000" w:sz="4" w:space="0"/>
              <w:right w:val="single" w:color="000000" w:sz="4" w:space="0"/>
            </w:tcBorders>
            <w:vAlign w:val="center"/>
          </w:tcPr>
          <w:p w14:paraId="4E7B8D2F">
            <w:pPr>
              <w:pStyle w:val="98"/>
              <w:ind w:left="-105" w:right="-105"/>
              <w:rPr>
                <w:rFonts w:eastAsia="宋体"/>
                <w:color w:val="auto"/>
                <w:sz w:val="21"/>
                <w:szCs w:val="21"/>
                <w:highlight w:val="none"/>
              </w:rPr>
            </w:pPr>
            <w:r>
              <w:rPr>
                <w:rFonts w:eastAsia="宋体"/>
                <w:color w:val="auto"/>
                <w:sz w:val="21"/>
                <w:szCs w:val="21"/>
                <w:highlight w:val="none"/>
              </w:rPr>
              <w:t>A</w:t>
            </w:r>
          </w:p>
        </w:tc>
        <w:tc>
          <w:tcPr>
            <w:tcW w:w="683" w:type="dxa"/>
            <w:tcBorders>
              <w:top w:val="single" w:color="000000" w:sz="4" w:space="0"/>
              <w:left w:val="single" w:color="000000" w:sz="4" w:space="0"/>
              <w:bottom w:val="single" w:color="000000" w:sz="4" w:space="0"/>
              <w:right w:val="single" w:color="000000" w:sz="4" w:space="0"/>
            </w:tcBorders>
            <w:vAlign w:val="center"/>
          </w:tcPr>
          <w:p w14:paraId="6B3EB228">
            <w:pPr>
              <w:pStyle w:val="98"/>
              <w:ind w:left="-105" w:right="-105"/>
              <w:rPr>
                <w:rFonts w:eastAsia="宋体"/>
                <w:color w:val="auto"/>
                <w:sz w:val="21"/>
                <w:szCs w:val="21"/>
                <w:highlight w:val="none"/>
              </w:rPr>
            </w:pPr>
            <w:r>
              <w:rPr>
                <w:rFonts w:eastAsia="宋体"/>
                <w:color w:val="auto"/>
                <w:sz w:val="21"/>
                <w:szCs w:val="21"/>
                <w:highlight w:val="none"/>
              </w:rPr>
              <w:t>/</w:t>
            </w:r>
          </w:p>
        </w:tc>
        <w:tc>
          <w:tcPr>
            <w:tcW w:w="683" w:type="dxa"/>
            <w:tcBorders>
              <w:top w:val="single" w:color="000000" w:sz="4" w:space="0"/>
              <w:left w:val="single" w:color="000000" w:sz="4" w:space="0"/>
              <w:bottom w:val="single" w:color="000000" w:sz="4" w:space="0"/>
              <w:right w:val="single" w:color="000000" w:sz="4" w:space="0"/>
            </w:tcBorders>
            <w:vAlign w:val="center"/>
          </w:tcPr>
          <w:p w14:paraId="72406921">
            <w:pPr>
              <w:pStyle w:val="98"/>
              <w:ind w:left="-105" w:right="-105"/>
              <w:rPr>
                <w:rFonts w:eastAsia="宋体"/>
                <w:color w:val="auto"/>
                <w:sz w:val="21"/>
                <w:szCs w:val="21"/>
                <w:highlight w:val="none"/>
              </w:rPr>
            </w:pPr>
            <w:r>
              <w:rPr>
                <w:rFonts w:eastAsia="宋体"/>
                <w:color w:val="auto"/>
                <w:sz w:val="21"/>
                <w:szCs w:val="21"/>
                <w:highlight w:val="none"/>
              </w:rPr>
              <w:t>0.1</w:t>
            </w:r>
          </w:p>
        </w:tc>
        <w:tc>
          <w:tcPr>
            <w:tcW w:w="686" w:type="dxa"/>
            <w:tcBorders>
              <w:top w:val="single" w:color="000000" w:sz="4" w:space="0"/>
              <w:left w:val="single" w:color="000000" w:sz="4" w:space="0"/>
              <w:bottom w:val="single" w:color="000000" w:sz="4" w:space="0"/>
              <w:right w:val="single" w:color="000000" w:sz="4" w:space="0"/>
            </w:tcBorders>
            <w:vAlign w:val="center"/>
          </w:tcPr>
          <w:p w14:paraId="57ACFA12">
            <w:pPr>
              <w:pStyle w:val="98"/>
              <w:ind w:left="-105" w:right="-105"/>
              <w:rPr>
                <w:rFonts w:eastAsia="宋体"/>
                <w:color w:val="auto"/>
                <w:sz w:val="21"/>
                <w:szCs w:val="21"/>
                <w:highlight w:val="none"/>
              </w:rPr>
            </w:pPr>
            <w:r>
              <w:rPr>
                <w:rFonts w:eastAsia="宋体"/>
                <w:color w:val="auto"/>
                <w:sz w:val="21"/>
                <w:szCs w:val="21"/>
                <w:highlight w:val="none"/>
              </w:rPr>
              <w:t>/</w:t>
            </w:r>
          </w:p>
        </w:tc>
        <w:tc>
          <w:tcPr>
            <w:tcW w:w="683" w:type="dxa"/>
            <w:tcBorders>
              <w:top w:val="single" w:color="000000" w:sz="4" w:space="0"/>
              <w:left w:val="single" w:color="000000" w:sz="4" w:space="0"/>
              <w:bottom w:val="single" w:color="000000" w:sz="4" w:space="0"/>
              <w:right w:val="single" w:color="000000" w:sz="4" w:space="0"/>
            </w:tcBorders>
            <w:vAlign w:val="center"/>
          </w:tcPr>
          <w:p w14:paraId="34A97706">
            <w:pPr>
              <w:pStyle w:val="98"/>
              <w:ind w:left="-105" w:right="-105"/>
              <w:rPr>
                <w:rFonts w:eastAsia="宋体"/>
                <w:color w:val="auto"/>
                <w:sz w:val="21"/>
                <w:szCs w:val="21"/>
                <w:highlight w:val="none"/>
              </w:rPr>
            </w:pPr>
            <w:r>
              <w:rPr>
                <w:rFonts w:eastAsia="宋体"/>
                <w:color w:val="auto"/>
                <w:sz w:val="21"/>
                <w:szCs w:val="21"/>
                <w:highlight w:val="none"/>
              </w:rPr>
              <w:t>0.1</w:t>
            </w:r>
          </w:p>
        </w:tc>
        <w:tc>
          <w:tcPr>
            <w:tcW w:w="683" w:type="dxa"/>
            <w:tcBorders>
              <w:top w:val="single" w:color="000000" w:sz="4" w:space="0"/>
              <w:left w:val="single" w:color="000000" w:sz="4" w:space="0"/>
              <w:bottom w:val="single" w:color="000000" w:sz="4" w:space="0"/>
              <w:right w:val="single" w:color="000000" w:sz="4" w:space="0"/>
            </w:tcBorders>
            <w:vAlign w:val="center"/>
          </w:tcPr>
          <w:p w14:paraId="14420394">
            <w:pPr>
              <w:pStyle w:val="98"/>
              <w:ind w:left="-105" w:right="-105"/>
              <w:rPr>
                <w:rFonts w:eastAsia="宋体"/>
                <w:color w:val="auto"/>
                <w:sz w:val="21"/>
                <w:szCs w:val="21"/>
                <w:highlight w:val="none"/>
              </w:rPr>
            </w:pPr>
            <w:r>
              <w:rPr>
                <w:rFonts w:eastAsia="宋体"/>
                <w:color w:val="auto"/>
                <w:sz w:val="21"/>
                <w:szCs w:val="21"/>
                <w:highlight w:val="none"/>
              </w:rPr>
              <w:t>0.1</w:t>
            </w:r>
          </w:p>
        </w:tc>
        <w:tc>
          <w:tcPr>
            <w:tcW w:w="683" w:type="dxa"/>
            <w:tcBorders>
              <w:top w:val="single" w:color="000000" w:sz="4" w:space="0"/>
              <w:left w:val="single" w:color="000000" w:sz="4" w:space="0"/>
              <w:bottom w:val="single" w:color="000000" w:sz="4" w:space="0"/>
              <w:right w:val="single" w:color="000000" w:sz="4" w:space="0"/>
            </w:tcBorders>
            <w:vAlign w:val="center"/>
          </w:tcPr>
          <w:p w14:paraId="09C021D6">
            <w:pPr>
              <w:pStyle w:val="98"/>
              <w:ind w:left="-105" w:right="-105"/>
              <w:rPr>
                <w:rFonts w:eastAsia="宋体"/>
                <w:color w:val="auto"/>
                <w:sz w:val="21"/>
                <w:szCs w:val="21"/>
                <w:highlight w:val="none"/>
              </w:rPr>
            </w:pPr>
            <w:r>
              <w:rPr>
                <w:rFonts w:eastAsia="宋体"/>
                <w:color w:val="auto"/>
                <w:sz w:val="21"/>
                <w:szCs w:val="21"/>
                <w:highlight w:val="none"/>
              </w:rPr>
              <w:t>0.1</w:t>
            </w:r>
          </w:p>
        </w:tc>
        <w:tc>
          <w:tcPr>
            <w:tcW w:w="685" w:type="dxa"/>
            <w:tcBorders>
              <w:top w:val="single" w:color="000000" w:sz="4" w:space="0"/>
              <w:left w:val="single" w:color="000000" w:sz="4" w:space="0"/>
              <w:bottom w:val="single" w:color="000000" w:sz="4" w:space="0"/>
              <w:right w:val="single" w:color="000000" w:sz="4" w:space="0"/>
            </w:tcBorders>
            <w:vAlign w:val="center"/>
          </w:tcPr>
          <w:p w14:paraId="6AD67E61">
            <w:pPr>
              <w:pStyle w:val="98"/>
              <w:ind w:left="-105" w:right="-105"/>
              <w:rPr>
                <w:rFonts w:eastAsia="宋体"/>
                <w:color w:val="auto"/>
                <w:sz w:val="21"/>
                <w:szCs w:val="21"/>
                <w:highlight w:val="none"/>
              </w:rPr>
            </w:pPr>
            <w:r>
              <w:rPr>
                <w:rFonts w:eastAsia="宋体"/>
                <w:color w:val="auto"/>
                <w:sz w:val="21"/>
                <w:szCs w:val="21"/>
                <w:highlight w:val="none"/>
              </w:rPr>
              <w:t>0.1</w:t>
            </w:r>
          </w:p>
        </w:tc>
        <w:tc>
          <w:tcPr>
            <w:tcW w:w="683" w:type="dxa"/>
            <w:tcBorders>
              <w:top w:val="single" w:color="000000" w:sz="4" w:space="0"/>
              <w:left w:val="single" w:color="000000" w:sz="4" w:space="0"/>
              <w:bottom w:val="single" w:color="000000" w:sz="4" w:space="0"/>
              <w:right w:val="single" w:color="000000" w:sz="4" w:space="0"/>
            </w:tcBorders>
            <w:vAlign w:val="center"/>
          </w:tcPr>
          <w:p w14:paraId="0AB62B1F">
            <w:pPr>
              <w:pStyle w:val="98"/>
              <w:ind w:left="-105" w:right="-105"/>
              <w:rPr>
                <w:rFonts w:eastAsia="宋体"/>
                <w:color w:val="auto"/>
                <w:sz w:val="21"/>
                <w:szCs w:val="21"/>
                <w:highlight w:val="none"/>
              </w:rPr>
            </w:pPr>
            <w:r>
              <w:rPr>
                <w:rFonts w:eastAsia="宋体"/>
                <w:color w:val="auto"/>
                <w:sz w:val="21"/>
                <w:szCs w:val="21"/>
                <w:highlight w:val="none"/>
              </w:rPr>
              <w:t>/</w:t>
            </w:r>
          </w:p>
        </w:tc>
        <w:tc>
          <w:tcPr>
            <w:tcW w:w="683" w:type="dxa"/>
            <w:tcBorders>
              <w:top w:val="single" w:color="000000" w:sz="4" w:space="0"/>
              <w:left w:val="single" w:color="000000" w:sz="4" w:space="0"/>
              <w:bottom w:val="single" w:color="000000" w:sz="4" w:space="0"/>
              <w:right w:val="single" w:color="000000" w:sz="4" w:space="0"/>
            </w:tcBorders>
            <w:vAlign w:val="center"/>
          </w:tcPr>
          <w:p w14:paraId="14C3AC66">
            <w:pPr>
              <w:pStyle w:val="98"/>
              <w:ind w:left="-105" w:right="-105"/>
              <w:rPr>
                <w:rFonts w:eastAsia="宋体"/>
                <w:color w:val="auto"/>
                <w:sz w:val="21"/>
                <w:szCs w:val="21"/>
                <w:highlight w:val="none"/>
              </w:rPr>
            </w:pPr>
            <w:r>
              <w:rPr>
                <w:rFonts w:eastAsia="宋体"/>
                <w:color w:val="auto"/>
                <w:sz w:val="21"/>
                <w:szCs w:val="21"/>
                <w:highlight w:val="none"/>
              </w:rPr>
              <w:t>0.3</w:t>
            </w:r>
          </w:p>
        </w:tc>
        <w:tc>
          <w:tcPr>
            <w:tcW w:w="683" w:type="dxa"/>
            <w:tcBorders>
              <w:top w:val="single" w:color="000000" w:sz="4" w:space="0"/>
              <w:left w:val="single" w:color="000000" w:sz="4" w:space="0"/>
              <w:bottom w:val="single" w:color="000000" w:sz="4" w:space="0"/>
              <w:right w:val="single" w:color="000000" w:sz="4" w:space="0"/>
            </w:tcBorders>
            <w:vAlign w:val="center"/>
          </w:tcPr>
          <w:p w14:paraId="412E5F72">
            <w:pPr>
              <w:pStyle w:val="98"/>
              <w:ind w:left="-105" w:right="-105"/>
              <w:rPr>
                <w:rFonts w:eastAsia="宋体"/>
                <w:color w:val="auto"/>
                <w:sz w:val="21"/>
                <w:szCs w:val="21"/>
                <w:highlight w:val="none"/>
              </w:rPr>
            </w:pPr>
            <w:r>
              <w:rPr>
                <w:rFonts w:eastAsia="宋体"/>
                <w:color w:val="auto"/>
                <w:sz w:val="21"/>
                <w:szCs w:val="21"/>
                <w:highlight w:val="none"/>
              </w:rPr>
              <w:t>0.1</w:t>
            </w:r>
          </w:p>
        </w:tc>
        <w:tc>
          <w:tcPr>
            <w:tcW w:w="683" w:type="dxa"/>
            <w:tcBorders>
              <w:top w:val="single" w:color="000000" w:sz="4" w:space="0"/>
              <w:left w:val="single" w:color="000000" w:sz="4" w:space="0"/>
              <w:bottom w:val="single" w:color="000000" w:sz="4" w:space="0"/>
              <w:right w:val="single" w:color="000000" w:sz="4" w:space="0"/>
            </w:tcBorders>
            <w:vAlign w:val="center"/>
          </w:tcPr>
          <w:p w14:paraId="6FDB98D9">
            <w:pPr>
              <w:pStyle w:val="98"/>
              <w:ind w:left="-105" w:right="-105"/>
              <w:rPr>
                <w:rFonts w:eastAsia="宋体"/>
                <w:color w:val="auto"/>
                <w:sz w:val="21"/>
                <w:szCs w:val="21"/>
                <w:highlight w:val="none"/>
              </w:rPr>
            </w:pPr>
            <w:r>
              <w:rPr>
                <w:rFonts w:eastAsia="宋体"/>
                <w:color w:val="auto"/>
                <w:sz w:val="21"/>
                <w:szCs w:val="21"/>
                <w:highlight w:val="none"/>
              </w:rPr>
              <w:t>0.1</w:t>
            </w:r>
          </w:p>
        </w:tc>
        <w:tc>
          <w:tcPr>
            <w:tcW w:w="683" w:type="dxa"/>
            <w:tcBorders>
              <w:top w:val="single" w:color="000000" w:sz="4" w:space="0"/>
              <w:left w:val="single" w:color="000000" w:sz="4" w:space="0"/>
              <w:bottom w:val="single" w:color="000000" w:sz="4" w:space="0"/>
              <w:right w:val="single" w:color="000000" w:sz="4" w:space="0"/>
            </w:tcBorders>
            <w:vAlign w:val="center"/>
          </w:tcPr>
          <w:p w14:paraId="1B8ED751">
            <w:pPr>
              <w:pStyle w:val="98"/>
              <w:ind w:left="-105" w:right="-105"/>
              <w:rPr>
                <w:rFonts w:eastAsia="宋体"/>
                <w:color w:val="auto"/>
                <w:sz w:val="21"/>
                <w:szCs w:val="21"/>
                <w:highlight w:val="none"/>
              </w:rPr>
            </w:pPr>
            <w:r>
              <w:rPr>
                <w:rFonts w:eastAsia="宋体"/>
                <w:color w:val="auto"/>
                <w:sz w:val="21"/>
                <w:szCs w:val="21"/>
                <w:highlight w:val="none"/>
              </w:rPr>
              <w:t>0.1</w:t>
            </w:r>
          </w:p>
        </w:tc>
        <w:tc>
          <w:tcPr>
            <w:tcW w:w="684" w:type="dxa"/>
            <w:tcBorders>
              <w:top w:val="single" w:color="000000" w:sz="4" w:space="0"/>
              <w:left w:val="single" w:color="000000" w:sz="4" w:space="0"/>
              <w:bottom w:val="single" w:color="000000" w:sz="4" w:space="0"/>
              <w:right w:val="single" w:color="000000" w:sz="4" w:space="0"/>
            </w:tcBorders>
          </w:tcPr>
          <w:p w14:paraId="2DF352E6">
            <w:pPr>
              <w:pStyle w:val="98"/>
              <w:ind w:left="-105" w:right="-105"/>
              <w:rPr>
                <w:rFonts w:eastAsia="宋体"/>
                <w:color w:val="auto"/>
                <w:sz w:val="21"/>
                <w:szCs w:val="21"/>
                <w:highlight w:val="none"/>
              </w:rPr>
            </w:pPr>
            <w:r>
              <w:rPr>
                <w:rFonts w:eastAsia="宋体"/>
                <w:color w:val="auto"/>
                <w:sz w:val="21"/>
                <w:szCs w:val="21"/>
                <w:highlight w:val="none"/>
              </w:rPr>
              <w:t>/</w:t>
            </w:r>
          </w:p>
        </w:tc>
        <w:tc>
          <w:tcPr>
            <w:tcW w:w="686" w:type="dxa"/>
            <w:tcBorders>
              <w:top w:val="single" w:color="000000" w:sz="4" w:space="0"/>
              <w:left w:val="single" w:color="000000" w:sz="4" w:space="0"/>
              <w:bottom w:val="single" w:color="000000" w:sz="4" w:space="0"/>
              <w:right w:val="single" w:color="000000" w:sz="4" w:space="0"/>
            </w:tcBorders>
          </w:tcPr>
          <w:p w14:paraId="48DE9770">
            <w:pPr>
              <w:pStyle w:val="98"/>
              <w:ind w:left="-105" w:right="-105"/>
              <w:rPr>
                <w:rFonts w:eastAsia="宋体"/>
                <w:color w:val="auto"/>
                <w:sz w:val="21"/>
                <w:szCs w:val="21"/>
                <w:highlight w:val="none"/>
              </w:rPr>
            </w:pPr>
            <w:r>
              <w:rPr>
                <w:rFonts w:eastAsia="宋体"/>
                <w:color w:val="auto"/>
                <w:sz w:val="21"/>
                <w:szCs w:val="21"/>
                <w:highlight w:val="none"/>
              </w:rPr>
              <w:t>/</w:t>
            </w:r>
          </w:p>
        </w:tc>
        <w:tc>
          <w:tcPr>
            <w:tcW w:w="684" w:type="dxa"/>
            <w:tcBorders>
              <w:top w:val="single" w:color="000000" w:sz="4" w:space="0"/>
              <w:left w:val="single" w:color="000000" w:sz="4" w:space="0"/>
              <w:bottom w:val="single" w:color="000000" w:sz="4" w:space="0"/>
              <w:right w:val="single" w:color="000000" w:sz="4" w:space="0"/>
            </w:tcBorders>
          </w:tcPr>
          <w:p w14:paraId="37535CD9">
            <w:pPr>
              <w:pStyle w:val="98"/>
              <w:ind w:left="-105" w:right="-105"/>
              <w:rPr>
                <w:rFonts w:eastAsia="宋体"/>
                <w:color w:val="auto"/>
                <w:sz w:val="21"/>
                <w:szCs w:val="21"/>
                <w:highlight w:val="none"/>
              </w:rPr>
            </w:pPr>
            <w:r>
              <w:rPr>
                <w:rFonts w:eastAsia="宋体"/>
                <w:color w:val="auto"/>
                <w:sz w:val="21"/>
                <w:szCs w:val="21"/>
                <w:highlight w:val="none"/>
              </w:rPr>
              <w:t>/</w:t>
            </w:r>
          </w:p>
        </w:tc>
        <w:tc>
          <w:tcPr>
            <w:tcW w:w="645" w:type="dxa"/>
            <w:tcBorders>
              <w:top w:val="single" w:color="000000" w:sz="4" w:space="0"/>
              <w:left w:val="single" w:color="000000" w:sz="4" w:space="0"/>
              <w:bottom w:val="single" w:color="000000" w:sz="4" w:space="0"/>
              <w:right w:val="single" w:color="000000" w:sz="4" w:space="0"/>
            </w:tcBorders>
          </w:tcPr>
          <w:p w14:paraId="7BD6F5B4">
            <w:pPr>
              <w:pStyle w:val="98"/>
              <w:ind w:left="-105" w:right="-105"/>
              <w:rPr>
                <w:rFonts w:eastAsia="宋体"/>
                <w:color w:val="auto"/>
                <w:sz w:val="21"/>
                <w:szCs w:val="21"/>
                <w:highlight w:val="none"/>
              </w:rPr>
            </w:pPr>
            <w:r>
              <w:rPr>
                <w:rFonts w:eastAsia="宋体"/>
                <w:color w:val="auto"/>
                <w:sz w:val="21"/>
                <w:szCs w:val="21"/>
                <w:highlight w:val="none"/>
              </w:rPr>
              <w:t>/</w:t>
            </w:r>
          </w:p>
        </w:tc>
        <w:tc>
          <w:tcPr>
            <w:tcW w:w="1134" w:type="dxa"/>
            <w:tcBorders>
              <w:top w:val="single" w:color="000000" w:sz="4" w:space="0"/>
              <w:left w:val="single" w:color="000000" w:sz="4" w:space="0"/>
              <w:bottom w:val="single" w:color="000000" w:sz="4" w:space="0"/>
              <w:right w:val="nil"/>
            </w:tcBorders>
            <w:vAlign w:val="center"/>
          </w:tcPr>
          <w:p w14:paraId="2F674E4C">
            <w:pPr>
              <w:pStyle w:val="98"/>
              <w:ind w:left="-105" w:right="-105"/>
              <w:rPr>
                <w:rFonts w:eastAsia="宋体"/>
                <w:color w:val="auto"/>
                <w:sz w:val="21"/>
                <w:szCs w:val="21"/>
                <w:highlight w:val="none"/>
              </w:rPr>
            </w:pPr>
            <w:r>
              <w:rPr>
                <w:rFonts w:eastAsia="宋体"/>
                <w:color w:val="auto"/>
                <w:sz w:val="21"/>
                <w:szCs w:val="21"/>
                <w:highlight w:val="none"/>
              </w:rPr>
              <w:t>1.00</w:t>
            </w:r>
          </w:p>
        </w:tc>
      </w:tr>
      <w:tr w14:paraId="7F5F4B67">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108" w:type="dxa"/>
            <w:bottom w:w="0" w:type="dxa"/>
            <w:right w:w="108" w:type="dxa"/>
          </w:tblCellMar>
        </w:tblPrEx>
        <w:trPr>
          <w:trHeight w:val="210" w:hRule="atLeast"/>
          <w:jc w:val="center"/>
        </w:trPr>
        <w:tc>
          <w:tcPr>
            <w:tcW w:w="1116" w:type="dxa"/>
            <w:vMerge w:val="continue"/>
            <w:tcBorders>
              <w:top w:val="nil"/>
              <w:left w:val="nil"/>
              <w:bottom w:val="single" w:color="000000" w:sz="4" w:space="0"/>
              <w:right w:val="single" w:color="000000" w:sz="4" w:space="0"/>
            </w:tcBorders>
            <w:vAlign w:val="center"/>
          </w:tcPr>
          <w:p w14:paraId="1EDC289D">
            <w:pPr>
              <w:ind w:left="-105" w:right="-105"/>
              <w:jc w:val="center"/>
              <w:rPr>
                <w:rFonts w:ascii="Times New Roman" w:hAnsi="Times New Roman" w:cs="Times New Roman"/>
                <w:color w:val="auto"/>
                <w:sz w:val="21"/>
                <w:szCs w:val="21"/>
                <w:highlight w:val="none"/>
              </w:rPr>
            </w:pPr>
          </w:p>
        </w:tc>
        <w:tc>
          <w:tcPr>
            <w:tcW w:w="742" w:type="dxa"/>
            <w:tcBorders>
              <w:top w:val="single" w:color="000000" w:sz="4" w:space="0"/>
              <w:left w:val="single" w:color="000000" w:sz="4" w:space="0"/>
              <w:bottom w:val="single" w:color="000000" w:sz="4" w:space="0"/>
              <w:right w:val="single" w:color="000000" w:sz="4" w:space="0"/>
            </w:tcBorders>
            <w:vAlign w:val="center"/>
          </w:tcPr>
          <w:p w14:paraId="12B2A2EA">
            <w:pPr>
              <w:pStyle w:val="98"/>
              <w:ind w:left="-105" w:right="-105"/>
              <w:rPr>
                <w:rFonts w:eastAsia="宋体"/>
                <w:color w:val="auto"/>
                <w:sz w:val="21"/>
                <w:szCs w:val="21"/>
                <w:highlight w:val="none"/>
              </w:rPr>
            </w:pPr>
            <w:r>
              <w:rPr>
                <w:rFonts w:eastAsia="宋体"/>
                <w:color w:val="auto"/>
                <w:sz w:val="21"/>
                <w:szCs w:val="21"/>
                <w:highlight w:val="none"/>
              </w:rPr>
              <w:t>B</w:t>
            </w:r>
          </w:p>
        </w:tc>
        <w:tc>
          <w:tcPr>
            <w:tcW w:w="683" w:type="dxa"/>
            <w:tcBorders>
              <w:top w:val="single" w:color="000000" w:sz="4" w:space="0"/>
              <w:left w:val="single" w:color="000000" w:sz="4" w:space="0"/>
              <w:bottom w:val="single" w:color="000000" w:sz="4" w:space="0"/>
              <w:right w:val="single" w:color="000000" w:sz="4" w:space="0"/>
            </w:tcBorders>
            <w:vAlign w:val="center"/>
          </w:tcPr>
          <w:p w14:paraId="1DC3E2FC">
            <w:pPr>
              <w:pStyle w:val="98"/>
              <w:ind w:left="-105" w:right="-105"/>
              <w:rPr>
                <w:rFonts w:eastAsia="宋体"/>
                <w:color w:val="auto"/>
                <w:sz w:val="21"/>
                <w:szCs w:val="21"/>
                <w:highlight w:val="none"/>
              </w:rPr>
            </w:pPr>
            <w:r>
              <w:rPr>
                <w:rFonts w:eastAsia="宋体"/>
                <w:color w:val="auto"/>
                <w:sz w:val="21"/>
                <w:szCs w:val="21"/>
                <w:highlight w:val="none"/>
              </w:rPr>
              <w:t>0.5</w:t>
            </w:r>
          </w:p>
        </w:tc>
        <w:tc>
          <w:tcPr>
            <w:tcW w:w="683" w:type="dxa"/>
            <w:tcBorders>
              <w:top w:val="single" w:color="000000" w:sz="4" w:space="0"/>
              <w:left w:val="single" w:color="000000" w:sz="4" w:space="0"/>
              <w:bottom w:val="single" w:color="000000" w:sz="4" w:space="0"/>
              <w:right w:val="single" w:color="000000" w:sz="4" w:space="0"/>
            </w:tcBorders>
            <w:vAlign w:val="center"/>
          </w:tcPr>
          <w:p w14:paraId="458885B3">
            <w:pPr>
              <w:pStyle w:val="98"/>
              <w:ind w:left="-105" w:right="-105"/>
              <w:rPr>
                <w:rFonts w:eastAsia="宋体"/>
                <w:color w:val="auto"/>
                <w:sz w:val="21"/>
                <w:szCs w:val="21"/>
                <w:highlight w:val="none"/>
              </w:rPr>
            </w:pPr>
            <w:r>
              <w:rPr>
                <w:rFonts w:eastAsia="宋体"/>
                <w:color w:val="auto"/>
                <w:sz w:val="21"/>
                <w:szCs w:val="21"/>
                <w:highlight w:val="none"/>
              </w:rPr>
              <w:t>0.8</w:t>
            </w:r>
          </w:p>
        </w:tc>
        <w:tc>
          <w:tcPr>
            <w:tcW w:w="686" w:type="dxa"/>
            <w:tcBorders>
              <w:top w:val="single" w:color="000000" w:sz="4" w:space="0"/>
              <w:left w:val="single" w:color="000000" w:sz="4" w:space="0"/>
              <w:bottom w:val="single" w:color="000000" w:sz="4" w:space="0"/>
              <w:right w:val="single" w:color="000000" w:sz="4" w:space="0"/>
            </w:tcBorders>
            <w:vAlign w:val="center"/>
          </w:tcPr>
          <w:p w14:paraId="186BAA05">
            <w:pPr>
              <w:pStyle w:val="98"/>
              <w:ind w:left="-105" w:right="-105"/>
              <w:rPr>
                <w:rFonts w:eastAsia="宋体"/>
                <w:color w:val="auto"/>
                <w:sz w:val="21"/>
                <w:szCs w:val="21"/>
                <w:highlight w:val="none"/>
              </w:rPr>
            </w:pPr>
            <w:r>
              <w:rPr>
                <w:rFonts w:eastAsia="宋体"/>
                <w:color w:val="auto"/>
                <w:sz w:val="21"/>
                <w:szCs w:val="21"/>
                <w:highlight w:val="none"/>
              </w:rPr>
              <w:t>1.0</w:t>
            </w:r>
          </w:p>
        </w:tc>
        <w:tc>
          <w:tcPr>
            <w:tcW w:w="683" w:type="dxa"/>
            <w:tcBorders>
              <w:top w:val="single" w:color="000000" w:sz="4" w:space="0"/>
              <w:left w:val="single" w:color="000000" w:sz="4" w:space="0"/>
              <w:bottom w:val="single" w:color="000000" w:sz="4" w:space="0"/>
              <w:right w:val="single" w:color="000000" w:sz="4" w:space="0"/>
            </w:tcBorders>
            <w:vAlign w:val="center"/>
          </w:tcPr>
          <w:p w14:paraId="6D43AEDD">
            <w:pPr>
              <w:pStyle w:val="98"/>
              <w:ind w:left="-105" w:right="-105"/>
              <w:rPr>
                <w:rFonts w:eastAsia="宋体"/>
                <w:color w:val="auto"/>
                <w:sz w:val="21"/>
                <w:szCs w:val="21"/>
                <w:highlight w:val="none"/>
              </w:rPr>
            </w:pPr>
            <w:r>
              <w:rPr>
                <w:rFonts w:eastAsia="宋体"/>
                <w:color w:val="auto"/>
                <w:sz w:val="21"/>
                <w:szCs w:val="21"/>
                <w:highlight w:val="none"/>
              </w:rPr>
              <w:t>0.1</w:t>
            </w:r>
          </w:p>
        </w:tc>
        <w:tc>
          <w:tcPr>
            <w:tcW w:w="683" w:type="dxa"/>
            <w:tcBorders>
              <w:top w:val="single" w:color="000000" w:sz="4" w:space="0"/>
              <w:left w:val="single" w:color="000000" w:sz="4" w:space="0"/>
              <w:bottom w:val="single" w:color="000000" w:sz="4" w:space="0"/>
              <w:right w:val="single" w:color="000000" w:sz="4" w:space="0"/>
            </w:tcBorders>
            <w:vAlign w:val="center"/>
          </w:tcPr>
          <w:p w14:paraId="68C507EA">
            <w:pPr>
              <w:pStyle w:val="98"/>
              <w:ind w:left="-105" w:right="-105"/>
              <w:rPr>
                <w:rFonts w:eastAsia="宋体"/>
                <w:color w:val="auto"/>
                <w:sz w:val="21"/>
                <w:szCs w:val="21"/>
                <w:highlight w:val="none"/>
              </w:rPr>
            </w:pPr>
            <w:r>
              <w:rPr>
                <w:rFonts w:eastAsia="宋体"/>
                <w:color w:val="auto"/>
                <w:sz w:val="21"/>
                <w:szCs w:val="21"/>
                <w:highlight w:val="none"/>
              </w:rPr>
              <w:t>0.2</w:t>
            </w:r>
          </w:p>
        </w:tc>
        <w:tc>
          <w:tcPr>
            <w:tcW w:w="683" w:type="dxa"/>
            <w:tcBorders>
              <w:top w:val="single" w:color="000000" w:sz="4" w:space="0"/>
              <w:left w:val="single" w:color="000000" w:sz="4" w:space="0"/>
              <w:bottom w:val="single" w:color="000000" w:sz="4" w:space="0"/>
              <w:right w:val="single" w:color="000000" w:sz="4" w:space="0"/>
            </w:tcBorders>
            <w:vAlign w:val="center"/>
          </w:tcPr>
          <w:p w14:paraId="57A3E113">
            <w:pPr>
              <w:pStyle w:val="98"/>
              <w:ind w:left="-105" w:right="-105"/>
              <w:rPr>
                <w:rFonts w:eastAsia="宋体"/>
                <w:color w:val="auto"/>
                <w:sz w:val="21"/>
                <w:szCs w:val="21"/>
                <w:highlight w:val="none"/>
              </w:rPr>
            </w:pPr>
            <w:r>
              <w:rPr>
                <w:rFonts w:eastAsia="宋体"/>
                <w:color w:val="auto"/>
                <w:sz w:val="21"/>
                <w:szCs w:val="21"/>
                <w:highlight w:val="none"/>
              </w:rPr>
              <w:t>0.8</w:t>
            </w:r>
          </w:p>
        </w:tc>
        <w:tc>
          <w:tcPr>
            <w:tcW w:w="685" w:type="dxa"/>
            <w:tcBorders>
              <w:top w:val="single" w:color="000000" w:sz="4" w:space="0"/>
              <w:left w:val="single" w:color="000000" w:sz="4" w:space="0"/>
              <w:bottom w:val="single" w:color="000000" w:sz="4" w:space="0"/>
              <w:right w:val="single" w:color="000000" w:sz="4" w:space="0"/>
            </w:tcBorders>
            <w:vAlign w:val="center"/>
          </w:tcPr>
          <w:p w14:paraId="154C4565">
            <w:pPr>
              <w:pStyle w:val="98"/>
              <w:ind w:left="-105" w:right="-105"/>
              <w:rPr>
                <w:rFonts w:eastAsia="宋体"/>
                <w:color w:val="auto"/>
                <w:sz w:val="21"/>
                <w:szCs w:val="21"/>
                <w:highlight w:val="none"/>
              </w:rPr>
            </w:pPr>
            <w:r>
              <w:rPr>
                <w:rFonts w:eastAsia="宋体"/>
                <w:color w:val="auto"/>
                <w:sz w:val="21"/>
                <w:szCs w:val="21"/>
                <w:highlight w:val="none"/>
              </w:rPr>
              <w:t>0.7</w:t>
            </w:r>
          </w:p>
        </w:tc>
        <w:tc>
          <w:tcPr>
            <w:tcW w:w="683" w:type="dxa"/>
            <w:tcBorders>
              <w:top w:val="single" w:color="000000" w:sz="4" w:space="0"/>
              <w:left w:val="single" w:color="000000" w:sz="4" w:space="0"/>
              <w:bottom w:val="single" w:color="000000" w:sz="4" w:space="0"/>
              <w:right w:val="single" w:color="000000" w:sz="4" w:space="0"/>
            </w:tcBorders>
            <w:vAlign w:val="center"/>
          </w:tcPr>
          <w:p w14:paraId="644CCDC9">
            <w:pPr>
              <w:pStyle w:val="98"/>
              <w:ind w:left="-105" w:right="-105"/>
              <w:rPr>
                <w:rFonts w:eastAsia="宋体"/>
                <w:color w:val="auto"/>
                <w:sz w:val="21"/>
                <w:szCs w:val="21"/>
                <w:highlight w:val="none"/>
              </w:rPr>
            </w:pPr>
            <w:r>
              <w:rPr>
                <w:rFonts w:eastAsia="宋体"/>
                <w:color w:val="auto"/>
                <w:sz w:val="21"/>
                <w:szCs w:val="21"/>
                <w:highlight w:val="none"/>
              </w:rPr>
              <w:t>0.7</w:t>
            </w:r>
          </w:p>
        </w:tc>
        <w:tc>
          <w:tcPr>
            <w:tcW w:w="683" w:type="dxa"/>
            <w:tcBorders>
              <w:top w:val="single" w:color="000000" w:sz="4" w:space="0"/>
              <w:left w:val="single" w:color="000000" w:sz="4" w:space="0"/>
              <w:bottom w:val="single" w:color="000000" w:sz="4" w:space="0"/>
              <w:right w:val="single" w:color="000000" w:sz="4" w:space="0"/>
            </w:tcBorders>
            <w:vAlign w:val="center"/>
          </w:tcPr>
          <w:p w14:paraId="3D51FE06">
            <w:pPr>
              <w:pStyle w:val="98"/>
              <w:ind w:left="-105" w:right="-105"/>
              <w:rPr>
                <w:rFonts w:eastAsia="宋体"/>
                <w:color w:val="auto"/>
                <w:sz w:val="21"/>
                <w:szCs w:val="21"/>
                <w:highlight w:val="none"/>
              </w:rPr>
            </w:pPr>
            <w:r>
              <w:rPr>
                <w:rFonts w:eastAsia="宋体"/>
                <w:color w:val="auto"/>
                <w:sz w:val="21"/>
                <w:szCs w:val="21"/>
                <w:highlight w:val="none"/>
              </w:rPr>
              <w:t>/</w:t>
            </w:r>
          </w:p>
        </w:tc>
        <w:tc>
          <w:tcPr>
            <w:tcW w:w="683" w:type="dxa"/>
            <w:tcBorders>
              <w:top w:val="single" w:color="000000" w:sz="4" w:space="0"/>
              <w:left w:val="single" w:color="000000" w:sz="4" w:space="0"/>
              <w:bottom w:val="single" w:color="000000" w:sz="4" w:space="0"/>
              <w:right w:val="single" w:color="000000" w:sz="4" w:space="0"/>
            </w:tcBorders>
            <w:vAlign w:val="center"/>
          </w:tcPr>
          <w:p w14:paraId="00FEE9B3">
            <w:pPr>
              <w:pStyle w:val="98"/>
              <w:ind w:left="-105" w:right="-105"/>
              <w:rPr>
                <w:rFonts w:eastAsia="宋体"/>
                <w:color w:val="auto"/>
                <w:sz w:val="21"/>
                <w:szCs w:val="21"/>
                <w:highlight w:val="none"/>
              </w:rPr>
            </w:pPr>
            <w:r>
              <w:rPr>
                <w:rFonts w:eastAsia="宋体"/>
                <w:color w:val="auto"/>
                <w:sz w:val="21"/>
                <w:szCs w:val="21"/>
                <w:highlight w:val="none"/>
              </w:rPr>
              <w:t>1.0</w:t>
            </w:r>
          </w:p>
        </w:tc>
        <w:tc>
          <w:tcPr>
            <w:tcW w:w="683" w:type="dxa"/>
            <w:tcBorders>
              <w:top w:val="single" w:color="000000" w:sz="4" w:space="0"/>
              <w:left w:val="single" w:color="000000" w:sz="4" w:space="0"/>
              <w:bottom w:val="single" w:color="000000" w:sz="4" w:space="0"/>
              <w:right w:val="single" w:color="000000" w:sz="4" w:space="0"/>
            </w:tcBorders>
            <w:vAlign w:val="center"/>
          </w:tcPr>
          <w:p w14:paraId="7A0895B6">
            <w:pPr>
              <w:pStyle w:val="98"/>
              <w:ind w:left="-105" w:right="-105"/>
              <w:rPr>
                <w:rFonts w:eastAsia="宋体"/>
                <w:color w:val="auto"/>
                <w:sz w:val="21"/>
                <w:szCs w:val="21"/>
                <w:highlight w:val="none"/>
              </w:rPr>
            </w:pPr>
            <w:r>
              <w:rPr>
                <w:rFonts w:eastAsia="宋体"/>
                <w:color w:val="auto"/>
                <w:sz w:val="21"/>
                <w:szCs w:val="21"/>
                <w:highlight w:val="none"/>
              </w:rPr>
              <w:t>0.3</w:t>
            </w:r>
          </w:p>
        </w:tc>
        <w:tc>
          <w:tcPr>
            <w:tcW w:w="683" w:type="dxa"/>
            <w:tcBorders>
              <w:top w:val="single" w:color="000000" w:sz="4" w:space="0"/>
              <w:left w:val="single" w:color="000000" w:sz="4" w:space="0"/>
              <w:bottom w:val="single" w:color="000000" w:sz="4" w:space="0"/>
              <w:right w:val="single" w:color="000000" w:sz="4" w:space="0"/>
            </w:tcBorders>
            <w:vAlign w:val="center"/>
          </w:tcPr>
          <w:p w14:paraId="4917C46E">
            <w:pPr>
              <w:pStyle w:val="98"/>
              <w:ind w:left="-105" w:right="-105"/>
              <w:rPr>
                <w:rFonts w:eastAsia="宋体"/>
                <w:color w:val="auto"/>
                <w:sz w:val="21"/>
                <w:szCs w:val="21"/>
                <w:highlight w:val="none"/>
              </w:rPr>
            </w:pPr>
            <w:r>
              <w:rPr>
                <w:rFonts w:eastAsia="宋体"/>
                <w:color w:val="auto"/>
                <w:sz w:val="21"/>
                <w:szCs w:val="21"/>
                <w:highlight w:val="none"/>
              </w:rPr>
              <w:t>0.1</w:t>
            </w:r>
          </w:p>
        </w:tc>
        <w:tc>
          <w:tcPr>
            <w:tcW w:w="684" w:type="dxa"/>
            <w:tcBorders>
              <w:top w:val="single" w:color="000000" w:sz="4" w:space="0"/>
              <w:left w:val="single" w:color="000000" w:sz="4" w:space="0"/>
              <w:bottom w:val="single" w:color="000000" w:sz="4" w:space="0"/>
              <w:right w:val="single" w:color="000000" w:sz="4" w:space="0"/>
            </w:tcBorders>
            <w:vAlign w:val="center"/>
          </w:tcPr>
          <w:p w14:paraId="69A4F272">
            <w:pPr>
              <w:pStyle w:val="98"/>
              <w:ind w:left="-105" w:right="-105"/>
              <w:rPr>
                <w:rFonts w:eastAsia="宋体"/>
                <w:color w:val="auto"/>
                <w:sz w:val="21"/>
                <w:szCs w:val="21"/>
                <w:highlight w:val="none"/>
              </w:rPr>
            </w:pPr>
            <w:r>
              <w:rPr>
                <w:rFonts w:eastAsia="宋体"/>
                <w:color w:val="auto"/>
                <w:sz w:val="21"/>
                <w:szCs w:val="21"/>
                <w:highlight w:val="none"/>
              </w:rPr>
              <w:t>0.1</w:t>
            </w:r>
          </w:p>
        </w:tc>
        <w:tc>
          <w:tcPr>
            <w:tcW w:w="686" w:type="dxa"/>
            <w:tcBorders>
              <w:top w:val="single" w:color="000000" w:sz="4" w:space="0"/>
              <w:left w:val="single" w:color="000000" w:sz="4" w:space="0"/>
              <w:bottom w:val="single" w:color="000000" w:sz="4" w:space="0"/>
              <w:right w:val="single" w:color="000000" w:sz="4" w:space="0"/>
            </w:tcBorders>
          </w:tcPr>
          <w:p w14:paraId="68FDAB5A">
            <w:pPr>
              <w:pStyle w:val="98"/>
              <w:ind w:left="-105" w:right="-105"/>
              <w:rPr>
                <w:rFonts w:eastAsia="宋体"/>
                <w:color w:val="auto"/>
                <w:sz w:val="21"/>
                <w:szCs w:val="21"/>
                <w:highlight w:val="none"/>
              </w:rPr>
            </w:pPr>
            <w:r>
              <w:rPr>
                <w:rFonts w:eastAsia="宋体"/>
                <w:color w:val="auto"/>
                <w:sz w:val="21"/>
                <w:szCs w:val="21"/>
                <w:highlight w:val="none"/>
              </w:rPr>
              <w:t>/</w:t>
            </w:r>
          </w:p>
        </w:tc>
        <w:tc>
          <w:tcPr>
            <w:tcW w:w="684" w:type="dxa"/>
            <w:tcBorders>
              <w:top w:val="single" w:color="000000" w:sz="4" w:space="0"/>
              <w:left w:val="single" w:color="000000" w:sz="4" w:space="0"/>
              <w:bottom w:val="single" w:color="000000" w:sz="4" w:space="0"/>
              <w:right w:val="single" w:color="000000" w:sz="4" w:space="0"/>
            </w:tcBorders>
            <w:vAlign w:val="center"/>
          </w:tcPr>
          <w:p w14:paraId="4616EEFE">
            <w:pPr>
              <w:pStyle w:val="98"/>
              <w:ind w:left="-105" w:right="-105"/>
              <w:rPr>
                <w:rFonts w:eastAsia="宋体"/>
                <w:color w:val="auto"/>
                <w:sz w:val="21"/>
                <w:szCs w:val="21"/>
                <w:highlight w:val="none"/>
              </w:rPr>
            </w:pPr>
            <w:r>
              <w:rPr>
                <w:rFonts w:eastAsia="宋体"/>
                <w:color w:val="auto"/>
                <w:sz w:val="21"/>
                <w:szCs w:val="21"/>
                <w:highlight w:val="none"/>
              </w:rPr>
              <w:t>0.3</w:t>
            </w:r>
          </w:p>
        </w:tc>
        <w:tc>
          <w:tcPr>
            <w:tcW w:w="645" w:type="dxa"/>
            <w:tcBorders>
              <w:top w:val="single" w:color="000000" w:sz="4" w:space="0"/>
              <w:left w:val="single" w:color="000000" w:sz="4" w:space="0"/>
              <w:bottom w:val="single" w:color="000000" w:sz="4" w:space="0"/>
              <w:right w:val="single" w:color="000000" w:sz="4" w:space="0"/>
            </w:tcBorders>
            <w:vAlign w:val="center"/>
          </w:tcPr>
          <w:p w14:paraId="78E9E173">
            <w:pPr>
              <w:pStyle w:val="98"/>
              <w:ind w:left="-105" w:right="-105"/>
              <w:rPr>
                <w:rFonts w:eastAsia="宋体"/>
                <w:color w:val="auto"/>
                <w:sz w:val="21"/>
                <w:szCs w:val="21"/>
                <w:highlight w:val="none"/>
              </w:rPr>
            </w:pPr>
            <w:r>
              <w:rPr>
                <w:rFonts w:eastAsia="宋体"/>
                <w:color w:val="auto"/>
                <w:sz w:val="21"/>
                <w:szCs w:val="21"/>
                <w:highlight w:val="none"/>
              </w:rPr>
              <w:t>0.3</w:t>
            </w:r>
          </w:p>
        </w:tc>
        <w:tc>
          <w:tcPr>
            <w:tcW w:w="1134" w:type="dxa"/>
            <w:tcBorders>
              <w:top w:val="single" w:color="000000" w:sz="4" w:space="0"/>
              <w:left w:val="single" w:color="000000" w:sz="4" w:space="0"/>
              <w:bottom w:val="single" w:color="000000" w:sz="4" w:space="0"/>
              <w:right w:val="nil"/>
            </w:tcBorders>
            <w:vAlign w:val="center"/>
          </w:tcPr>
          <w:p w14:paraId="51504BF7">
            <w:pPr>
              <w:pStyle w:val="98"/>
              <w:ind w:left="-105" w:right="-105"/>
              <w:rPr>
                <w:rFonts w:eastAsia="宋体"/>
                <w:color w:val="auto"/>
                <w:sz w:val="21"/>
                <w:szCs w:val="21"/>
                <w:highlight w:val="none"/>
              </w:rPr>
            </w:pPr>
            <w:r>
              <w:rPr>
                <w:rFonts w:eastAsia="宋体"/>
                <w:color w:val="auto"/>
                <w:sz w:val="21"/>
                <w:szCs w:val="21"/>
                <w:highlight w:val="none"/>
              </w:rPr>
              <w:t>6.9</w:t>
            </w:r>
          </w:p>
        </w:tc>
      </w:tr>
      <w:tr w14:paraId="4A6168CB">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108" w:type="dxa"/>
            <w:bottom w:w="0" w:type="dxa"/>
            <w:right w:w="108" w:type="dxa"/>
          </w:tblCellMar>
        </w:tblPrEx>
        <w:trPr>
          <w:trHeight w:val="210" w:hRule="atLeast"/>
          <w:jc w:val="center"/>
        </w:trPr>
        <w:tc>
          <w:tcPr>
            <w:tcW w:w="1116" w:type="dxa"/>
            <w:vMerge w:val="continue"/>
            <w:tcBorders>
              <w:top w:val="nil"/>
              <w:left w:val="nil"/>
              <w:bottom w:val="single" w:color="000000" w:sz="4" w:space="0"/>
              <w:right w:val="single" w:color="000000" w:sz="4" w:space="0"/>
            </w:tcBorders>
            <w:vAlign w:val="center"/>
          </w:tcPr>
          <w:p w14:paraId="1201C8AF">
            <w:pPr>
              <w:ind w:left="-105" w:right="-105"/>
              <w:jc w:val="center"/>
              <w:rPr>
                <w:rFonts w:ascii="Times New Roman" w:hAnsi="Times New Roman" w:cs="Times New Roman"/>
                <w:color w:val="auto"/>
                <w:sz w:val="21"/>
                <w:szCs w:val="21"/>
                <w:highlight w:val="none"/>
              </w:rPr>
            </w:pPr>
          </w:p>
        </w:tc>
        <w:tc>
          <w:tcPr>
            <w:tcW w:w="742" w:type="dxa"/>
            <w:tcBorders>
              <w:top w:val="single" w:color="000000" w:sz="4" w:space="0"/>
              <w:left w:val="single" w:color="000000" w:sz="4" w:space="0"/>
              <w:bottom w:val="single" w:color="000000" w:sz="4" w:space="0"/>
              <w:right w:val="single" w:color="000000" w:sz="4" w:space="0"/>
            </w:tcBorders>
            <w:vAlign w:val="center"/>
          </w:tcPr>
          <w:p w14:paraId="709037BC">
            <w:pPr>
              <w:pStyle w:val="98"/>
              <w:ind w:left="-105" w:right="-105"/>
              <w:rPr>
                <w:rFonts w:eastAsia="宋体"/>
                <w:color w:val="auto"/>
                <w:sz w:val="21"/>
                <w:szCs w:val="21"/>
                <w:highlight w:val="none"/>
              </w:rPr>
            </w:pPr>
            <w:r>
              <w:rPr>
                <w:rFonts w:eastAsia="宋体"/>
                <w:color w:val="auto"/>
                <w:sz w:val="21"/>
                <w:szCs w:val="21"/>
                <w:highlight w:val="none"/>
              </w:rPr>
              <w:t>C</w:t>
            </w:r>
          </w:p>
        </w:tc>
        <w:tc>
          <w:tcPr>
            <w:tcW w:w="683" w:type="dxa"/>
            <w:tcBorders>
              <w:top w:val="single" w:color="000000" w:sz="4" w:space="0"/>
              <w:left w:val="single" w:color="000000" w:sz="4" w:space="0"/>
              <w:bottom w:val="single" w:color="000000" w:sz="4" w:space="0"/>
              <w:right w:val="single" w:color="000000" w:sz="4" w:space="0"/>
            </w:tcBorders>
            <w:vAlign w:val="center"/>
          </w:tcPr>
          <w:p w14:paraId="66C1D081">
            <w:pPr>
              <w:pStyle w:val="98"/>
              <w:ind w:left="-105" w:right="-105"/>
              <w:rPr>
                <w:rFonts w:eastAsia="宋体"/>
                <w:color w:val="auto"/>
                <w:sz w:val="21"/>
                <w:szCs w:val="21"/>
                <w:highlight w:val="none"/>
              </w:rPr>
            </w:pPr>
            <w:r>
              <w:rPr>
                <w:rFonts w:eastAsia="宋体"/>
                <w:color w:val="auto"/>
                <w:sz w:val="21"/>
                <w:szCs w:val="21"/>
                <w:highlight w:val="none"/>
              </w:rPr>
              <w:t>/</w:t>
            </w:r>
          </w:p>
        </w:tc>
        <w:tc>
          <w:tcPr>
            <w:tcW w:w="683" w:type="dxa"/>
            <w:tcBorders>
              <w:top w:val="single" w:color="000000" w:sz="4" w:space="0"/>
              <w:left w:val="single" w:color="000000" w:sz="4" w:space="0"/>
              <w:bottom w:val="single" w:color="000000" w:sz="4" w:space="0"/>
              <w:right w:val="single" w:color="000000" w:sz="4" w:space="0"/>
            </w:tcBorders>
            <w:vAlign w:val="center"/>
          </w:tcPr>
          <w:p w14:paraId="070C768E">
            <w:pPr>
              <w:pStyle w:val="98"/>
              <w:ind w:left="-105" w:right="-105"/>
              <w:rPr>
                <w:rFonts w:eastAsia="宋体"/>
                <w:color w:val="auto"/>
                <w:sz w:val="21"/>
                <w:szCs w:val="21"/>
                <w:highlight w:val="none"/>
              </w:rPr>
            </w:pPr>
            <w:r>
              <w:rPr>
                <w:rFonts w:eastAsia="宋体"/>
                <w:color w:val="auto"/>
                <w:sz w:val="21"/>
                <w:szCs w:val="21"/>
                <w:highlight w:val="none"/>
              </w:rPr>
              <w:t>1.3</w:t>
            </w:r>
          </w:p>
        </w:tc>
        <w:tc>
          <w:tcPr>
            <w:tcW w:w="686" w:type="dxa"/>
            <w:tcBorders>
              <w:top w:val="single" w:color="000000" w:sz="4" w:space="0"/>
              <w:left w:val="single" w:color="000000" w:sz="4" w:space="0"/>
              <w:bottom w:val="single" w:color="000000" w:sz="4" w:space="0"/>
              <w:right w:val="single" w:color="000000" w:sz="4" w:space="0"/>
            </w:tcBorders>
            <w:vAlign w:val="center"/>
          </w:tcPr>
          <w:p w14:paraId="4ECD8D32">
            <w:pPr>
              <w:pStyle w:val="98"/>
              <w:ind w:left="-105" w:right="-105"/>
              <w:rPr>
                <w:rFonts w:eastAsia="宋体"/>
                <w:color w:val="auto"/>
                <w:sz w:val="21"/>
                <w:szCs w:val="21"/>
                <w:highlight w:val="none"/>
              </w:rPr>
            </w:pPr>
            <w:r>
              <w:rPr>
                <w:rFonts w:eastAsia="宋体"/>
                <w:color w:val="auto"/>
                <w:sz w:val="21"/>
                <w:szCs w:val="21"/>
                <w:highlight w:val="none"/>
              </w:rPr>
              <w:t>2.6</w:t>
            </w:r>
          </w:p>
        </w:tc>
        <w:tc>
          <w:tcPr>
            <w:tcW w:w="683" w:type="dxa"/>
            <w:tcBorders>
              <w:top w:val="single" w:color="000000" w:sz="4" w:space="0"/>
              <w:left w:val="single" w:color="000000" w:sz="4" w:space="0"/>
              <w:bottom w:val="single" w:color="000000" w:sz="4" w:space="0"/>
              <w:right w:val="single" w:color="000000" w:sz="4" w:space="0"/>
            </w:tcBorders>
            <w:vAlign w:val="center"/>
          </w:tcPr>
          <w:p w14:paraId="11566DBF">
            <w:pPr>
              <w:pStyle w:val="98"/>
              <w:ind w:left="-105" w:right="-105"/>
              <w:rPr>
                <w:rFonts w:eastAsia="宋体"/>
                <w:color w:val="auto"/>
                <w:sz w:val="21"/>
                <w:szCs w:val="21"/>
                <w:highlight w:val="none"/>
              </w:rPr>
            </w:pPr>
            <w:r>
              <w:rPr>
                <w:rFonts w:eastAsia="宋体"/>
                <w:color w:val="auto"/>
                <w:sz w:val="21"/>
                <w:szCs w:val="21"/>
                <w:highlight w:val="none"/>
              </w:rPr>
              <w:t>/</w:t>
            </w:r>
          </w:p>
        </w:tc>
        <w:tc>
          <w:tcPr>
            <w:tcW w:w="683" w:type="dxa"/>
            <w:tcBorders>
              <w:top w:val="single" w:color="000000" w:sz="4" w:space="0"/>
              <w:left w:val="single" w:color="000000" w:sz="4" w:space="0"/>
              <w:bottom w:val="single" w:color="000000" w:sz="4" w:space="0"/>
              <w:right w:val="single" w:color="000000" w:sz="4" w:space="0"/>
            </w:tcBorders>
            <w:vAlign w:val="center"/>
          </w:tcPr>
          <w:p w14:paraId="00B2CF36">
            <w:pPr>
              <w:pStyle w:val="98"/>
              <w:ind w:left="-105" w:right="-105"/>
              <w:rPr>
                <w:rFonts w:eastAsia="宋体"/>
                <w:color w:val="auto"/>
                <w:sz w:val="21"/>
                <w:szCs w:val="21"/>
                <w:highlight w:val="none"/>
              </w:rPr>
            </w:pPr>
            <w:r>
              <w:rPr>
                <w:rFonts w:eastAsia="宋体"/>
                <w:color w:val="auto"/>
                <w:sz w:val="21"/>
                <w:szCs w:val="21"/>
                <w:highlight w:val="none"/>
              </w:rPr>
              <w:t>1.7</w:t>
            </w:r>
          </w:p>
        </w:tc>
        <w:tc>
          <w:tcPr>
            <w:tcW w:w="683" w:type="dxa"/>
            <w:tcBorders>
              <w:top w:val="single" w:color="000000" w:sz="4" w:space="0"/>
              <w:left w:val="single" w:color="000000" w:sz="4" w:space="0"/>
              <w:bottom w:val="single" w:color="000000" w:sz="4" w:space="0"/>
              <w:right w:val="single" w:color="000000" w:sz="4" w:space="0"/>
            </w:tcBorders>
            <w:vAlign w:val="center"/>
          </w:tcPr>
          <w:p w14:paraId="6A434851">
            <w:pPr>
              <w:pStyle w:val="98"/>
              <w:ind w:left="-105" w:right="-105"/>
              <w:rPr>
                <w:rFonts w:eastAsia="宋体"/>
                <w:color w:val="auto"/>
                <w:sz w:val="21"/>
                <w:szCs w:val="21"/>
                <w:highlight w:val="none"/>
              </w:rPr>
            </w:pPr>
            <w:r>
              <w:rPr>
                <w:rFonts w:eastAsia="宋体"/>
                <w:color w:val="auto"/>
                <w:sz w:val="21"/>
                <w:szCs w:val="21"/>
                <w:highlight w:val="none"/>
              </w:rPr>
              <w:t>2.6</w:t>
            </w:r>
          </w:p>
        </w:tc>
        <w:tc>
          <w:tcPr>
            <w:tcW w:w="685" w:type="dxa"/>
            <w:tcBorders>
              <w:top w:val="single" w:color="000000" w:sz="4" w:space="0"/>
              <w:left w:val="single" w:color="000000" w:sz="4" w:space="0"/>
              <w:bottom w:val="single" w:color="000000" w:sz="4" w:space="0"/>
              <w:right w:val="single" w:color="000000" w:sz="4" w:space="0"/>
            </w:tcBorders>
            <w:vAlign w:val="center"/>
          </w:tcPr>
          <w:p w14:paraId="3FDD295E">
            <w:pPr>
              <w:pStyle w:val="98"/>
              <w:ind w:left="-105" w:right="-105"/>
              <w:rPr>
                <w:rFonts w:eastAsia="宋体"/>
                <w:color w:val="auto"/>
                <w:sz w:val="21"/>
                <w:szCs w:val="21"/>
                <w:highlight w:val="none"/>
              </w:rPr>
            </w:pPr>
            <w:r>
              <w:rPr>
                <w:rFonts w:eastAsia="宋体"/>
                <w:color w:val="auto"/>
                <w:sz w:val="21"/>
                <w:szCs w:val="21"/>
                <w:highlight w:val="none"/>
              </w:rPr>
              <w:t>1.3</w:t>
            </w:r>
          </w:p>
        </w:tc>
        <w:tc>
          <w:tcPr>
            <w:tcW w:w="683" w:type="dxa"/>
            <w:tcBorders>
              <w:top w:val="single" w:color="000000" w:sz="4" w:space="0"/>
              <w:left w:val="single" w:color="000000" w:sz="4" w:space="0"/>
              <w:bottom w:val="single" w:color="000000" w:sz="4" w:space="0"/>
              <w:right w:val="single" w:color="000000" w:sz="4" w:space="0"/>
            </w:tcBorders>
            <w:vAlign w:val="center"/>
          </w:tcPr>
          <w:p w14:paraId="14B1FE38">
            <w:pPr>
              <w:pStyle w:val="98"/>
              <w:ind w:left="-105" w:right="-105"/>
              <w:rPr>
                <w:rFonts w:eastAsia="宋体"/>
                <w:color w:val="auto"/>
                <w:sz w:val="21"/>
                <w:szCs w:val="21"/>
                <w:highlight w:val="none"/>
              </w:rPr>
            </w:pPr>
            <w:r>
              <w:rPr>
                <w:rFonts w:eastAsia="宋体"/>
                <w:color w:val="auto"/>
                <w:sz w:val="21"/>
                <w:szCs w:val="21"/>
                <w:highlight w:val="none"/>
              </w:rPr>
              <w:t>0.4</w:t>
            </w:r>
          </w:p>
        </w:tc>
        <w:tc>
          <w:tcPr>
            <w:tcW w:w="683" w:type="dxa"/>
            <w:tcBorders>
              <w:top w:val="single" w:color="000000" w:sz="4" w:space="0"/>
              <w:left w:val="single" w:color="000000" w:sz="4" w:space="0"/>
              <w:bottom w:val="single" w:color="000000" w:sz="4" w:space="0"/>
              <w:right w:val="single" w:color="000000" w:sz="4" w:space="0"/>
            </w:tcBorders>
            <w:vAlign w:val="center"/>
          </w:tcPr>
          <w:p w14:paraId="27B844AA">
            <w:pPr>
              <w:pStyle w:val="98"/>
              <w:ind w:left="-105" w:right="-105"/>
              <w:rPr>
                <w:rFonts w:eastAsia="宋体"/>
                <w:color w:val="auto"/>
                <w:sz w:val="21"/>
                <w:szCs w:val="21"/>
                <w:highlight w:val="none"/>
              </w:rPr>
            </w:pPr>
            <w:r>
              <w:rPr>
                <w:rFonts w:eastAsia="宋体"/>
                <w:color w:val="auto"/>
                <w:sz w:val="21"/>
                <w:szCs w:val="21"/>
                <w:highlight w:val="none"/>
              </w:rPr>
              <w:t>1.3</w:t>
            </w:r>
          </w:p>
        </w:tc>
        <w:tc>
          <w:tcPr>
            <w:tcW w:w="683" w:type="dxa"/>
            <w:tcBorders>
              <w:top w:val="single" w:color="000000" w:sz="4" w:space="0"/>
              <w:left w:val="single" w:color="000000" w:sz="4" w:space="0"/>
              <w:bottom w:val="single" w:color="000000" w:sz="4" w:space="0"/>
              <w:right w:val="single" w:color="000000" w:sz="4" w:space="0"/>
            </w:tcBorders>
            <w:vAlign w:val="center"/>
          </w:tcPr>
          <w:p w14:paraId="6781C2F1">
            <w:pPr>
              <w:pStyle w:val="98"/>
              <w:ind w:left="-105" w:right="-105"/>
              <w:rPr>
                <w:rFonts w:eastAsia="宋体"/>
                <w:color w:val="auto"/>
                <w:sz w:val="21"/>
                <w:szCs w:val="21"/>
                <w:highlight w:val="none"/>
              </w:rPr>
            </w:pPr>
            <w:r>
              <w:rPr>
                <w:rFonts w:eastAsia="宋体"/>
                <w:color w:val="auto"/>
                <w:sz w:val="21"/>
                <w:szCs w:val="21"/>
                <w:highlight w:val="none"/>
              </w:rPr>
              <w:t>1.3</w:t>
            </w:r>
          </w:p>
        </w:tc>
        <w:tc>
          <w:tcPr>
            <w:tcW w:w="683" w:type="dxa"/>
            <w:tcBorders>
              <w:top w:val="single" w:color="000000" w:sz="4" w:space="0"/>
              <w:left w:val="single" w:color="000000" w:sz="4" w:space="0"/>
              <w:bottom w:val="single" w:color="000000" w:sz="4" w:space="0"/>
              <w:right w:val="single" w:color="000000" w:sz="4" w:space="0"/>
            </w:tcBorders>
          </w:tcPr>
          <w:p w14:paraId="7FC6CA34">
            <w:pPr>
              <w:pStyle w:val="98"/>
              <w:ind w:left="-105" w:right="-105"/>
              <w:rPr>
                <w:rFonts w:eastAsia="宋体"/>
                <w:color w:val="auto"/>
                <w:sz w:val="21"/>
                <w:szCs w:val="21"/>
                <w:highlight w:val="none"/>
              </w:rPr>
            </w:pPr>
            <w:r>
              <w:rPr>
                <w:rFonts w:eastAsia="宋体"/>
                <w:color w:val="auto"/>
                <w:sz w:val="21"/>
                <w:szCs w:val="21"/>
                <w:highlight w:val="none"/>
              </w:rPr>
              <w:t>/</w:t>
            </w:r>
          </w:p>
        </w:tc>
        <w:tc>
          <w:tcPr>
            <w:tcW w:w="683" w:type="dxa"/>
            <w:tcBorders>
              <w:top w:val="single" w:color="000000" w:sz="4" w:space="0"/>
              <w:left w:val="single" w:color="000000" w:sz="4" w:space="0"/>
              <w:bottom w:val="single" w:color="000000" w:sz="4" w:space="0"/>
              <w:right w:val="single" w:color="000000" w:sz="4" w:space="0"/>
            </w:tcBorders>
          </w:tcPr>
          <w:p w14:paraId="1723DF85">
            <w:pPr>
              <w:pStyle w:val="98"/>
              <w:ind w:left="-105" w:right="-105"/>
              <w:rPr>
                <w:rFonts w:eastAsia="宋体"/>
                <w:color w:val="auto"/>
                <w:sz w:val="21"/>
                <w:szCs w:val="21"/>
                <w:highlight w:val="none"/>
              </w:rPr>
            </w:pPr>
            <w:r>
              <w:rPr>
                <w:rFonts w:eastAsia="宋体"/>
                <w:color w:val="auto"/>
                <w:sz w:val="21"/>
                <w:szCs w:val="21"/>
                <w:highlight w:val="none"/>
              </w:rPr>
              <w:t>/</w:t>
            </w:r>
          </w:p>
        </w:tc>
        <w:tc>
          <w:tcPr>
            <w:tcW w:w="684" w:type="dxa"/>
            <w:tcBorders>
              <w:top w:val="single" w:color="000000" w:sz="4" w:space="0"/>
              <w:left w:val="single" w:color="000000" w:sz="4" w:space="0"/>
              <w:bottom w:val="single" w:color="000000" w:sz="4" w:space="0"/>
              <w:right w:val="single" w:color="000000" w:sz="4" w:space="0"/>
            </w:tcBorders>
            <w:vAlign w:val="center"/>
          </w:tcPr>
          <w:p w14:paraId="433D01DB">
            <w:pPr>
              <w:pStyle w:val="98"/>
              <w:ind w:left="-105" w:right="-105"/>
              <w:rPr>
                <w:rFonts w:eastAsia="宋体"/>
                <w:color w:val="auto"/>
                <w:sz w:val="21"/>
                <w:szCs w:val="21"/>
                <w:highlight w:val="none"/>
              </w:rPr>
            </w:pPr>
            <w:r>
              <w:rPr>
                <w:rFonts w:eastAsia="宋体"/>
                <w:color w:val="auto"/>
                <w:sz w:val="21"/>
                <w:szCs w:val="21"/>
                <w:highlight w:val="none"/>
              </w:rPr>
              <w:t>1.3</w:t>
            </w:r>
          </w:p>
        </w:tc>
        <w:tc>
          <w:tcPr>
            <w:tcW w:w="686" w:type="dxa"/>
            <w:tcBorders>
              <w:top w:val="single" w:color="000000" w:sz="4" w:space="0"/>
              <w:left w:val="single" w:color="000000" w:sz="4" w:space="0"/>
              <w:bottom w:val="single" w:color="000000" w:sz="4" w:space="0"/>
              <w:right w:val="single" w:color="000000" w:sz="4" w:space="0"/>
            </w:tcBorders>
          </w:tcPr>
          <w:p w14:paraId="4F5E5F74">
            <w:pPr>
              <w:pStyle w:val="98"/>
              <w:ind w:left="-105" w:right="-105"/>
              <w:rPr>
                <w:rFonts w:eastAsia="宋体"/>
                <w:color w:val="auto"/>
                <w:sz w:val="21"/>
                <w:szCs w:val="21"/>
                <w:highlight w:val="none"/>
              </w:rPr>
            </w:pPr>
            <w:r>
              <w:rPr>
                <w:rFonts w:eastAsia="宋体"/>
                <w:color w:val="auto"/>
                <w:sz w:val="21"/>
                <w:szCs w:val="21"/>
                <w:highlight w:val="none"/>
              </w:rPr>
              <w:t>/</w:t>
            </w:r>
          </w:p>
        </w:tc>
        <w:tc>
          <w:tcPr>
            <w:tcW w:w="684" w:type="dxa"/>
            <w:tcBorders>
              <w:top w:val="single" w:color="000000" w:sz="4" w:space="0"/>
              <w:left w:val="single" w:color="000000" w:sz="4" w:space="0"/>
              <w:bottom w:val="single" w:color="000000" w:sz="4" w:space="0"/>
              <w:right w:val="single" w:color="000000" w:sz="4" w:space="0"/>
            </w:tcBorders>
            <w:vAlign w:val="center"/>
          </w:tcPr>
          <w:p w14:paraId="43AC0F28">
            <w:pPr>
              <w:pStyle w:val="98"/>
              <w:ind w:left="-105" w:right="-105"/>
              <w:rPr>
                <w:rFonts w:eastAsia="宋体"/>
                <w:color w:val="auto"/>
                <w:sz w:val="21"/>
                <w:szCs w:val="21"/>
                <w:highlight w:val="none"/>
              </w:rPr>
            </w:pPr>
            <w:r>
              <w:rPr>
                <w:rFonts w:eastAsia="宋体"/>
                <w:color w:val="auto"/>
                <w:sz w:val="21"/>
                <w:szCs w:val="21"/>
                <w:highlight w:val="none"/>
              </w:rPr>
              <w:t>1.3</w:t>
            </w:r>
          </w:p>
        </w:tc>
        <w:tc>
          <w:tcPr>
            <w:tcW w:w="645" w:type="dxa"/>
            <w:tcBorders>
              <w:top w:val="single" w:color="000000" w:sz="4" w:space="0"/>
              <w:left w:val="single" w:color="000000" w:sz="4" w:space="0"/>
              <w:bottom w:val="single" w:color="000000" w:sz="4" w:space="0"/>
              <w:right w:val="single" w:color="000000" w:sz="4" w:space="0"/>
            </w:tcBorders>
            <w:vAlign w:val="center"/>
          </w:tcPr>
          <w:p w14:paraId="6B24EBAD">
            <w:pPr>
              <w:pStyle w:val="98"/>
              <w:ind w:left="-105" w:right="-105"/>
              <w:rPr>
                <w:rFonts w:eastAsia="宋体"/>
                <w:color w:val="auto"/>
                <w:sz w:val="21"/>
                <w:szCs w:val="21"/>
                <w:highlight w:val="none"/>
              </w:rPr>
            </w:pPr>
            <w:r>
              <w:rPr>
                <w:rFonts w:eastAsia="宋体"/>
                <w:color w:val="auto"/>
                <w:sz w:val="21"/>
                <w:szCs w:val="21"/>
                <w:highlight w:val="none"/>
              </w:rPr>
              <w:t>0.4</w:t>
            </w:r>
          </w:p>
        </w:tc>
        <w:tc>
          <w:tcPr>
            <w:tcW w:w="1134" w:type="dxa"/>
            <w:tcBorders>
              <w:top w:val="single" w:color="000000" w:sz="4" w:space="0"/>
              <w:left w:val="single" w:color="000000" w:sz="4" w:space="0"/>
              <w:bottom w:val="single" w:color="000000" w:sz="4" w:space="0"/>
              <w:right w:val="nil"/>
            </w:tcBorders>
            <w:vAlign w:val="center"/>
          </w:tcPr>
          <w:p w14:paraId="197EA55A">
            <w:pPr>
              <w:pStyle w:val="98"/>
              <w:ind w:left="-105" w:right="-105"/>
              <w:rPr>
                <w:rFonts w:eastAsia="宋体"/>
                <w:color w:val="auto"/>
                <w:sz w:val="21"/>
                <w:szCs w:val="21"/>
                <w:highlight w:val="none"/>
              </w:rPr>
            </w:pPr>
            <w:r>
              <w:rPr>
                <w:rFonts w:eastAsia="宋体"/>
                <w:color w:val="auto"/>
                <w:sz w:val="21"/>
                <w:szCs w:val="21"/>
                <w:highlight w:val="none"/>
              </w:rPr>
              <w:t>15.7</w:t>
            </w:r>
          </w:p>
        </w:tc>
      </w:tr>
      <w:tr w14:paraId="6843C7FF">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108" w:type="dxa"/>
            <w:bottom w:w="0" w:type="dxa"/>
            <w:right w:w="108" w:type="dxa"/>
          </w:tblCellMar>
        </w:tblPrEx>
        <w:trPr>
          <w:trHeight w:val="211" w:hRule="atLeast"/>
          <w:jc w:val="center"/>
        </w:trPr>
        <w:tc>
          <w:tcPr>
            <w:tcW w:w="1116" w:type="dxa"/>
            <w:vMerge w:val="continue"/>
            <w:tcBorders>
              <w:top w:val="nil"/>
              <w:left w:val="nil"/>
              <w:bottom w:val="single" w:color="000000" w:sz="4" w:space="0"/>
              <w:right w:val="single" w:color="000000" w:sz="4" w:space="0"/>
            </w:tcBorders>
            <w:vAlign w:val="center"/>
          </w:tcPr>
          <w:p w14:paraId="4C667A0F">
            <w:pPr>
              <w:ind w:left="-105" w:right="-105"/>
              <w:jc w:val="center"/>
              <w:rPr>
                <w:rFonts w:ascii="Times New Roman" w:hAnsi="Times New Roman" w:cs="Times New Roman"/>
                <w:color w:val="auto"/>
                <w:sz w:val="21"/>
                <w:szCs w:val="21"/>
                <w:highlight w:val="none"/>
              </w:rPr>
            </w:pPr>
          </w:p>
        </w:tc>
        <w:tc>
          <w:tcPr>
            <w:tcW w:w="742" w:type="dxa"/>
            <w:tcBorders>
              <w:top w:val="single" w:color="000000" w:sz="4" w:space="0"/>
              <w:left w:val="single" w:color="000000" w:sz="4" w:space="0"/>
              <w:bottom w:val="single" w:color="000000" w:sz="4" w:space="0"/>
              <w:right w:val="single" w:color="000000" w:sz="4" w:space="0"/>
            </w:tcBorders>
            <w:vAlign w:val="center"/>
          </w:tcPr>
          <w:p w14:paraId="03766D0E">
            <w:pPr>
              <w:pStyle w:val="98"/>
              <w:ind w:left="-105" w:right="-105"/>
              <w:rPr>
                <w:rFonts w:eastAsia="宋体"/>
                <w:color w:val="auto"/>
                <w:sz w:val="21"/>
                <w:szCs w:val="21"/>
                <w:highlight w:val="none"/>
              </w:rPr>
            </w:pPr>
            <w:r>
              <w:rPr>
                <w:rFonts w:eastAsia="宋体"/>
                <w:color w:val="auto"/>
                <w:sz w:val="21"/>
                <w:szCs w:val="21"/>
                <w:highlight w:val="none"/>
              </w:rPr>
              <w:t>D</w:t>
            </w:r>
          </w:p>
        </w:tc>
        <w:tc>
          <w:tcPr>
            <w:tcW w:w="683" w:type="dxa"/>
            <w:tcBorders>
              <w:top w:val="single" w:color="000000" w:sz="4" w:space="0"/>
              <w:left w:val="single" w:color="000000" w:sz="4" w:space="0"/>
              <w:bottom w:val="single" w:color="000000" w:sz="4" w:space="0"/>
              <w:right w:val="single" w:color="000000" w:sz="4" w:space="0"/>
            </w:tcBorders>
            <w:vAlign w:val="center"/>
          </w:tcPr>
          <w:p w14:paraId="61F7D7F1">
            <w:pPr>
              <w:pStyle w:val="98"/>
              <w:ind w:left="-105" w:right="-105"/>
              <w:rPr>
                <w:rFonts w:eastAsia="宋体"/>
                <w:color w:val="auto"/>
                <w:sz w:val="21"/>
                <w:szCs w:val="21"/>
                <w:highlight w:val="none"/>
              </w:rPr>
            </w:pPr>
            <w:r>
              <w:rPr>
                <w:rFonts w:eastAsia="宋体"/>
                <w:color w:val="auto"/>
                <w:sz w:val="21"/>
                <w:szCs w:val="21"/>
                <w:highlight w:val="none"/>
              </w:rPr>
              <w:t>4.0</w:t>
            </w:r>
          </w:p>
        </w:tc>
        <w:tc>
          <w:tcPr>
            <w:tcW w:w="683" w:type="dxa"/>
            <w:tcBorders>
              <w:top w:val="single" w:color="000000" w:sz="4" w:space="0"/>
              <w:left w:val="single" w:color="000000" w:sz="4" w:space="0"/>
              <w:bottom w:val="single" w:color="000000" w:sz="4" w:space="0"/>
              <w:right w:val="single" w:color="000000" w:sz="4" w:space="0"/>
            </w:tcBorders>
            <w:vAlign w:val="center"/>
          </w:tcPr>
          <w:p w14:paraId="5BB01571">
            <w:pPr>
              <w:pStyle w:val="98"/>
              <w:ind w:left="-105" w:right="-105"/>
              <w:rPr>
                <w:rFonts w:eastAsia="宋体"/>
                <w:color w:val="auto"/>
                <w:sz w:val="21"/>
                <w:szCs w:val="21"/>
                <w:highlight w:val="none"/>
              </w:rPr>
            </w:pPr>
            <w:r>
              <w:rPr>
                <w:rFonts w:eastAsia="宋体"/>
                <w:color w:val="auto"/>
                <w:sz w:val="21"/>
                <w:szCs w:val="21"/>
                <w:highlight w:val="none"/>
              </w:rPr>
              <w:t>3.0</w:t>
            </w:r>
          </w:p>
        </w:tc>
        <w:tc>
          <w:tcPr>
            <w:tcW w:w="686" w:type="dxa"/>
            <w:tcBorders>
              <w:top w:val="single" w:color="000000" w:sz="4" w:space="0"/>
              <w:left w:val="single" w:color="000000" w:sz="4" w:space="0"/>
              <w:bottom w:val="single" w:color="000000" w:sz="4" w:space="0"/>
              <w:right w:val="single" w:color="000000" w:sz="4" w:space="0"/>
            </w:tcBorders>
            <w:vAlign w:val="center"/>
          </w:tcPr>
          <w:p w14:paraId="008CE7C8">
            <w:pPr>
              <w:pStyle w:val="98"/>
              <w:ind w:left="-105" w:right="-105"/>
              <w:rPr>
                <w:rFonts w:eastAsia="宋体"/>
                <w:color w:val="auto"/>
                <w:sz w:val="21"/>
                <w:szCs w:val="21"/>
                <w:highlight w:val="none"/>
              </w:rPr>
            </w:pPr>
            <w:r>
              <w:rPr>
                <w:rFonts w:eastAsia="宋体"/>
                <w:color w:val="auto"/>
                <w:sz w:val="21"/>
                <w:szCs w:val="21"/>
                <w:highlight w:val="none"/>
              </w:rPr>
              <w:t>6.1</w:t>
            </w:r>
          </w:p>
        </w:tc>
        <w:tc>
          <w:tcPr>
            <w:tcW w:w="683" w:type="dxa"/>
            <w:tcBorders>
              <w:top w:val="single" w:color="000000" w:sz="4" w:space="0"/>
              <w:left w:val="single" w:color="000000" w:sz="4" w:space="0"/>
              <w:bottom w:val="single" w:color="000000" w:sz="4" w:space="0"/>
              <w:right w:val="single" w:color="000000" w:sz="4" w:space="0"/>
            </w:tcBorders>
            <w:vAlign w:val="center"/>
          </w:tcPr>
          <w:p w14:paraId="3136D8D7">
            <w:pPr>
              <w:pStyle w:val="98"/>
              <w:ind w:left="-105" w:right="-105"/>
              <w:rPr>
                <w:rFonts w:eastAsia="宋体"/>
                <w:color w:val="auto"/>
                <w:sz w:val="21"/>
                <w:szCs w:val="21"/>
                <w:highlight w:val="none"/>
              </w:rPr>
            </w:pPr>
            <w:r>
              <w:rPr>
                <w:rFonts w:eastAsia="宋体"/>
                <w:color w:val="auto"/>
                <w:sz w:val="21"/>
                <w:szCs w:val="21"/>
                <w:highlight w:val="none"/>
              </w:rPr>
              <w:t>4.2</w:t>
            </w:r>
          </w:p>
        </w:tc>
        <w:tc>
          <w:tcPr>
            <w:tcW w:w="683" w:type="dxa"/>
            <w:tcBorders>
              <w:top w:val="single" w:color="000000" w:sz="4" w:space="0"/>
              <w:left w:val="single" w:color="000000" w:sz="4" w:space="0"/>
              <w:bottom w:val="single" w:color="000000" w:sz="4" w:space="0"/>
              <w:right w:val="single" w:color="000000" w:sz="4" w:space="0"/>
            </w:tcBorders>
            <w:vAlign w:val="center"/>
          </w:tcPr>
          <w:p w14:paraId="1A879479">
            <w:pPr>
              <w:pStyle w:val="98"/>
              <w:ind w:left="-105" w:right="-105"/>
              <w:rPr>
                <w:rFonts w:eastAsia="宋体"/>
                <w:color w:val="auto"/>
                <w:sz w:val="21"/>
                <w:szCs w:val="21"/>
                <w:highlight w:val="none"/>
              </w:rPr>
            </w:pPr>
            <w:r>
              <w:rPr>
                <w:rFonts w:eastAsia="宋体"/>
                <w:color w:val="auto"/>
                <w:sz w:val="21"/>
                <w:szCs w:val="21"/>
                <w:highlight w:val="none"/>
              </w:rPr>
              <w:t>4.3</w:t>
            </w:r>
          </w:p>
        </w:tc>
        <w:tc>
          <w:tcPr>
            <w:tcW w:w="683" w:type="dxa"/>
            <w:tcBorders>
              <w:top w:val="single" w:color="000000" w:sz="4" w:space="0"/>
              <w:left w:val="single" w:color="000000" w:sz="4" w:space="0"/>
              <w:bottom w:val="single" w:color="000000" w:sz="4" w:space="0"/>
              <w:right w:val="single" w:color="000000" w:sz="4" w:space="0"/>
            </w:tcBorders>
            <w:vAlign w:val="center"/>
          </w:tcPr>
          <w:p w14:paraId="72D9F6E2">
            <w:pPr>
              <w:pStyle w:val="98"/>
              <w:ind w:left="-105" w:right="-105"/>
              <w:rPr>
                <w:rFonts w:eastAsia="宋体"/>
                <w:color w:val="auto"/>
                <w:sz w:val="21"/>
                <w:szCs w:val="21"/>
                <w:highlight w:val="none"/>
              </w:rPr>
            </w:pPr>
            <w:r>
              <w:rPr>
                <w:rFonts w:eastAsia="宋体"/>
                <w:color w:val="auto"/>
                <w:sz w:val="21"/>
                <w:szCs w:val="21"/>
                <w:highlight w:val="none"/>
              </w:rPr>
              <w:t>2.8</w:t>
            </w:r>
          </w:p>
        </w:tc>
        <w:tc>
          <w:tcPr>
            <w:tcW w:w="685" w:type="dxa"/>
            <w:tcBorders>
              <w:top w:val="single" w:color="000000" w:sz="4" w:space="0"/>
              <w:left w:val="single" w:color="000000" w:sz="4" w:space="0"/>
              <w:bottom w:val="single" w:color="000000" w:sz="4" w:space="0"/>
              <w:right w:val="single" w:color="000000" w:sz="4" w:space="0"/>
            </w:tcBorders>
            <w:vAlign w:val="center"/>
          </w:tcPr>
          <w:p w14:paraId="16F4A863">
            <w:pPr>
              <w:pStyle w:val="98"/>
              <w:ind w:left="-105" w:right="-105"/>
              <w:rPr>
                <w:rFonts w:eastAsia="宋体"/>
                <w:color w:val="auto"/>
                <w:sz w:val="21"/>
                <w:szCs w:val="21"/>
                <w:highlight w:val="none"/>
              </w:rPr>
            </w:pPr>
            <w:r>
              <w:rPr>
                <w:rFonts w:eastAsia="宋体"/>
                <w:color w:val="auto"/>
                <w:sz w:val="21"/>
                <w:szCs w:val="21"/>
                <w:highlight w:val="none"/>
              </w:rPr>
              <w:t>2.4</w:t>
            </w:r>
          </w:p>
        </w:tc>
        <w:tc>
          <w:tcPr>
            <w:tcW w:w="683" w:type="dxa"/>
            <w:tcBorders>
              <w:top w:val="single" w:color="000000" w:sz="4" w:space="0"/>
              <w:left w:val="single" w:color="000000" w:sz="4" w:space="0"/>
              <w:bottom w:val="single" w:color="000000" w:sz="4" w:space="0"/>
              <w:right w:val="single" w:color="000000" w:sz="4" w:space="0"/>
            </w:tcBorders>
            <w:vAlign w:val="center"/>
          </w:tcPr>
          <w:p w14:paraId="2E470A03">
            <w:pPr>
              <w:pStyle w:val="98"/>
              <w:ind w:left="-105" w:right="-105"/>
              <w:rPr>
                <w:rFonts w:eastAsia="宋体"/>
                <w:color w:val="auto"/>
                <w:sz w:val="21"/>
                <w:szCs w:val="21"/>
                <w:highlight w:val="none"/>
              </w:rPr>
            </w:pPr>
            <w:r>
              <w:rPr>
                <w:rFonts w:eastAsia="宋体"/>
                <w:color w:val="auto"/>
                <w:sz w:val="21"/>
                <w:szCs w:val="21"/>
                <w:highlight w:val="none"/>
              </w:rPr>
              <w:t>2.1</w:t>
            </w:r>
          </w:p>
        </w:tc>
        <w:tc>
          <w:tcPr>
            <w:tcW w:w="683" w:type="dxa"/>
            <w:tcBorders>
              <w:top w:val="single" w:color="000000" w:sz="4" w:space="0"/>
              <w:left w:val="single" w:color="000000" w:sz="4" w:space="0"/>
              <w:bottom w:val="single" w:color="000000" w:sz="4" w:space="0"/>
              <w:right w:val="single" w:color="000000" w:sz="4" w:space="0"/>
            </w:tcBorders>
            <w:vAlign w:val="center"/>
          </w:tcPr>
          <w:p w14:paraId="52619341">
            <w:pPr>
              <w:pStyle w:val="98"/>
              <w:ind w:left="-105" w:right="-105"/>
              <w:rPr>
                <w:rFonts w:eastAsia="宋体"/>
                <w:color w:val="auto"/>
                <w:sz w:val="21"/>
                <w:szCs w:val="21"/>
                <w:highlight w:val="none"/>
              </w:rPr>
            </w:pPr>
            <w:r>
              <w:rPr>
                <w:rFonts w:eastAsia="宋体"/>
                <w:color w:val="auto"/>
                <w:sz w:val="21"/>
                <w:szCs w:val="21"/>
                <w:highlight w:val="none"/>
              </w:rPr>
              <w:t>2.2</w:t>
            </w:r>
          </w:p>
        </w:tc>
        <w:tc>
          <w:tcPr>
            <w:tcW w:w="683" w:type="dxa"/>
            <w:tcBorders>
              <w:top w:val="single" w:color="000000" w:sz="4" w:space="0"/>
              <w:left w:val="single" w:color="000000" w:sz="4" w:space="0"/>
              <w:bottom w:val="single" w:color="000000" w:sz="4" w:space="0"/>
              <w:right w:val="single" w:color="000000" w:sz="4" w:space="0"/>
            </w:tcBorders>
            <w:vAlign w:val="center"/>
          </w:tcPr>
          <w:p w14:paraId="72E90569">
            <w:pPr>
              <w:pStyle w:val="98"/>
              <w:ind w:left="-105" w:right="-105"/>
              <w:rPr>
                <w:rFonts w:eastAsia="宋体"/>
                <w:color w:val="auto"/>
                <w:sz w:val="21"/>
                <w:szCs w:val="21"/>
                <w:highlight w:val="none"/>
              </w:rPr>
            </w:pPr>
            <w:r>
              <w:rPr>
                <w:rFonts w:eastAsia="宋体"/>
                <w:color w:val="auto"/>
                <w:sz w:val="21"/>
                <w:szCs w:val="21"/>
                <w:highlight w:val="none"/>
              </w:rPr>
              <w:t>2.2</w:t>
            </w:r>
          </w:p>
        </w:tc>
        <w:tc>
          <w:tcPr>
            <w:tcW w:w="683" w:type="dxa"/>
            <w:tcBorders>
              <w:top w:val="single" w:color="000000" w:sz="4" w:space="0"/>
              <w:left w:val="single" w:color="000000" w:sz="4" w:space="0"/>
              <w:bottom w:val="single" w:color="000000" w:sz="4" w:space="0"/>
              <w:right w:val="single" w:color="000000" w:sz="4" w:space="0"/>
            </w:tcBorders>
            <w:vAlign w:val="center"/>
          </w:tcPr>
          <w:p w14:paraId="330240C1">
            <w:pPr>
              <w:pStyle w:val="98"/>
              <w:ind w:left="-105" w:right="-105"/>
              <w:rPr>
                <w:rFonts w:eastAsia="宋体"/>
                <w:color w:val="auto"/>
                <w:sz w:val="21"/>
                <w:szCs w:val="21"/>
                <w:highlight w:val="none"/>
              </w:rPr>
            </w:pPr>
            <w:r>
              <w:rPr>
                <w:rFonts w:eastAsia="宋体"/>
                <w:color w:val="auto"/>
                <w:sz w:val="21"/>
                <w:szCs w:val="21"/>
                <w:highlight w:val="none"/>
              </w:rPr>
              <w:t>1.2</w:t>
            </w:r>
          </w:p>
        </w:tc>
        <w:tc>
          <w:tcPr>
            <w:tcW w:w="683" w:type="dxa"/>
            <w:tcBorders>
              <w:top w:val="single" w:color="000000" w:sz="4" w:space="0"/>
              <w:left w:val="single" w:color="000000" w:sz="4" w:space="0"/>
              <w:bottom w:val="single" w:color="000000" w:sz="4" w:space="0"/>
              <w:right w:val="single" w:color="000000" w:sz="4" w:space="0"/>
            </w:tcBorders>
            <w:vAlign w:val="center"/>
          </w:tcPr>
          <w:p w14:paraId="0CDEBD27">
            <w:pPr>
              <w:pStyle w:val="98"/>
              <w:ind w:left="-105" w:right="-105"/>
              <w:rPr>
                <w:rFonts w:eastAsia="宋体"/>
                <w:color w:val="auto"/>
                <w:sz w:val="21"/>
                <w:szCs w:val="21"/>
                <w:highlight w:val="none"/>
              </w:rPr>
            </w:pPr>
            <w:r>
              <w:rPr>
                <w:rFonts w:eastAsia="宋体"/>
                <w:color w:val="auto"/>
                <w:sz w:val="21"/>
                <w:szCs w:val="21"/>
                <w:highlight w:val="none"/>
              </w:rPr>
              <w:t>0.7</w:t>
            </w:r>
          </w:p>
        </w:tc>
        <w:tc>
          <w:tcPr>
            <w:tcW w:w="684" w:type="dxa"/>
            <w:tcBorders>
              <w:top w:val="single" w:color="000000" w:sz="4" w:space="0"/>
              <w:left w:val="single" w:color="000000" w:sz="4" w:space="0"/>
              <w:bottom w:val="single" w:color="000000" w:sz="4" w:space="0"/>
              <w:right w:val="single" w:color="000000" w:sz="4" w:space="0"/>
            </w:tcBorders>
            <w:vAlign w:val="center"/>
          </w:tcPr>
          <w:p w14:paraId="5F79A0AE">
            <w:pPr>
              <w:pStyle w:val="98"/>
              <w:ind w:left="-105" w:right="-105"/>
              <w:rPr>
                <w:rFonts w:eastAsia="宋体"/>
                <w:color w:val="auto"/>
                <w:sz w:val="21"/>
                <w:szCs w:val="21"/>
                <w:highlight w:val="none"/>
              </w:rPr>
            </w:pPr>
            <w:r>
              <w:rPr>
                <w:rFonts w:eastAsia="宋体"/>
                <w:color w:val="auto"/>
                <w:sz w:val="21"/>
                <w:szCs w:val="21"/>
                <w:highlight w:val="none"/>
              </w:rPr>
              <w:t>1.0</w:t>
            </w:r>
          </w:p>
        </w:tc>
        <w:tc>
          <w:tcPr>
            <w:tcW w:w="686" w:type="dxa"/>
            <w:tcBorders>
              <w:top w:val="single" w:color="000000" w:sz="4" w:space="0"/>
              <w:left w:val="single" w:color="000000" w:sz="4" w:space="0"/>
              <w:bottom w:val="single" w:color="000000" w:sz="4" w:space="0"/>
              <w:right w:val="single" w:color="000000" w:sz="4" w:space="0"/>
            </w:tcBorders>
            <w:vAlign w:val="center"/>
          </w:tcPr>
          <w:p w14:paraId="5AB61ECC">
            <w:pPr>
              <w:pStyle w:val="98"/>
              <w:ind w:left="-105" w:right="-105"/>
              <w:rPr>
                <w:rFonts w:eastAsia="宋体"/>
                <w:color w:val="auto"/>
                <w:sz w:val="21"/>
                <w:szCs w:val="21"/>
                <w:highlight w:val="none"/>
              </w:rPr>
            </w:pPr>
            <w:r>
              <w:rPr>
                <w:rFonts w:eastAsia="宋体"/>
                <w:color w:val="auto"/>
                <w:sz w:val="21"/>
                <w:szCs w:val="21"/>
                <w:highlight w:val="none"/>
              </w:rPr>
              <w:t>3.8</w:t>
            </w:r>
          </w:p>
        </w:tc>
        <w:tc>
          <w:tcPr>
            <w:tcW w:w="684" w:type="dxa"/>
            <w:tcBorders>
              <w:top w:val="single" w:color="000000" w:sz="4" w:space="0"/>
              <w:left w:val="single" w:color="000000" w:sz="4" w:space="0"/>
              <w:bottom w:val="single" w:color="000000" w:sz="4" w:space="0"/>
              <w:right w:val="single" w:color="000000" w:sz="4" w:space="0"/>
            </w:tcBorders>
            <w:vAlign w:val="center"/>
          </w:tcPr>
          <w:p w14:paraId="63C320FD">
            <w:pPr>
              <w:pStyle w:val="98"/>
              <w:ind w:left="-105" w:right="-105"/>
              <w:rPr>
                <w:rFonts w:eastAsia="宋体"/>
                <w:color w:val="auto"/>
                <w:sz w:val="21"/>
                <w:szCs w:val="21"/>
                <w:highlight w:val="none"/>
              </w:rPr>
            </w:pPr>
            <w:r>
              <w:rPr>
                <w:rFonts w:eastAsia="宋体"/>
                <w:color w:val="auto"/>
                <w:sz w:val="21"/>
                <w:szCs w:val="21"/>
                <w:highlight w:val="none"/>
              </w:rPr>
              <w:t>4.9</w:t>
            </w:r>
          </w:p>
        </w:tc>
        <w:tc>
          <w:tcPr>
            <w:tcW w:w="645" w:type="dxa"/>
            <w:tcBorders>
              <w:top w:val="single" w:color="000000" w:sz="4" w:space="0"/>
              <w:left w:val="single" w:color="000000" w:sz="4" w:space="0"/>
              <w:bottom w:val="single" w:color="000000" w:sz="4" w:space="0"/>
              <w:right w:val="single" w:color="000000" w:sz="4" w:space="0"/>
            </w:tcBorders>
            <w:vAlign w:val="center"/>
          </w:tcPr>
          <w:p w14:paraId="5DFC5950">
            <w:pPr>
              <w:pStyle w:val="98"/>
              <w:ind w:left="-105" w:right="-105"/>
              <w:rPr>
                <w:rFonts w:eastAsia="宋体"/>
                <w:color w:val="auto"/>
                <w:sz w:val="21"/>
                <w:szCs w:val="21"/>
                <w:highlight w:val="none"/>
              </w:rPr>
            </w:pPr>
            <w:r>
              <w:rPr>
                <w:rFonts w:eastAsia="宋体"/>
                <w:color w:val="auto"/>
                <w:sz w:val="21"/>
                <w:szCs w:val="21"/>
                <w:highlight w:val="none"/>
              </w:rPr>
              <w:t>3.7</w:t>
            </w:r>
          </w:p>
        </w:tc>
        <w:tc>
          <w:tcPr>
            <w:tcW w:w="1134" w:type="dxa"/>
            <w:tcBorders>
              <w:top w:val="single" w:color="000000" w:sz="4" w:space="0"/>
              <w:left w:val="single" w:color="000000" w:sz="4" w:space="0"/>
              <w:bottom w:val="single" w:color="000000" w:sz="4" w:space="0"/>
              <w:right w:val="nil"/>
            </w:tcBorders>
            <w:vAlign w:val="center"/>
          </w:tcPr>
          <w:p w14:paraId="66C5F8FA">
            <w:pPr>
              <w:pStyle w:val="98"/>
              <w:ind w:left="-105" w:right="-105"/>
              <w:rPr>
                <w:rFonts w:eastAsia="宋体"/>
                <w:color w:val="auto"/>
                <w:sz w:val="21"/>
                <w:szCs w:val="21"/>
                <w:highlight w:val="none"/>
              </w:rPr>
            </w:pPr>
            <w:r>
              <w:rPr>
                <w:rFonts w:eastAsia="宋体"/>
                <w:color w:val="auto"/>
                <w:sz w:val="21"/>
                <w:szCs w:val="21"/>
                <w:highlight w:val="none"/>
              </w:rPr>
              <w:t>47.9</w:t>
            </w:r>
          </w:p>
        </w:tc>
      </w:tr>
      <w:tr w14:paraId="08F11CA2">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108" w:type="dxa"/>
            <w:bottom w:w="0" w:type="dxa"/>
            <w:right w:w="108" w:type="dxa"/>
          </w:tblCellMar>
        </w:tblPrEx>
        <w:trPr>
          <w:trHeight w:val="210" w:hRule="atLeast"/>
          <w:jc w:val="center"/>
        </w:trPr>
        <w:tc>
          <w:tcPr>
            <w:tcW w:w="1116" w:type="dxa"/>
            <w:vMerge w:val="continue"/>
            <w:tcBorders>
              <w:top w:val="nil"/>
              <w:left w:val="nil"/>
              <w:bottom w:val="single" w:color="000000" w:sz="4" w:space="0"/>
              <w:right w:val="single" w:color="000000" w:sz="4" w:space="0"/>
            </w:tcBorders>
            <w:vAlign w:val="center"/>
          </w:tcPr>
          <w:p w14:paraId="1029812A">
            <w:pPr>
              <w:ind w:left="-105" w:right="-105"/>
              <w:jc w:val="center"/>
              <w:rPr>
                <w:rFonts w:ascii="Times New Roman" w:hAnsi="Times New Roman" w:cs="Times New Roman"/>
                <w:color w:val="auto"/>
                <w:sz w:val="21"/>
                <w:szCs w:val="21"/>
                <w:highlight w:val="none"/>
              </w:rPr>
            </w:pPr>
          </w:p>
        </w:tc>
        <w:tc>
          <w:tcPr>
            <w:tcW w:w="742" w:type="dxa"/>
            <w:tcBorders>
              <w:top w:val="single" w:color="000000" w:sz="4" w:space="0"/>
              <w:left w:val="single" w:color="000000" w:sz="4" w:space="0"/>
              <w:bottom w:val="single" w:color="000000" w:sz="4" w:space="0"/>
              <w:right w:val="single" w:color="000000" w:sz="4" w:space="0"/>
            </w:tcBorders>
            <w:vAlign w:val="center"/>
          </w:tcPr>
          <w:p w14:paraId="6D7C693B">
            <w:pPr>
              <w:pStyle w:val="98"/>
              <w:ind w:left="-105" w:right="-105"/>
              <w:rPr>
                <w:rFonts w:eastAsia="宋体"/>
                <w:color w:val="auto"/>
                <w:sz w:val="21"/>
                <w:szCs w:val="21"/>
                <w:highlight w:val="none"/>
              </w:rPr>
            </w:pPr>
            <w:r>
              <w:rPr>
                <w:rFonts w:eastAsia="宋体"/>
                <w:color w:val="auto"/>
                <w:sz w:val="21"/>
                <w:szCs w:val="21"/>
                <w:highlight w:val="none"/>
              </w:rPr>
              <w:t>E</w:t>
            </w:r>
          </w:p>
        </w:tc>
        <w:tc>
          <w:tcPr>
            <w:tcW w:w="683" w:type="dxa"/>
            <w:tcBorders>
              <w:top w:val="single" w:color="000000" w:sz="4" w:space="0"/>
              <w:left w:val="single" w:color="000000" w:sz="4" w:space="0"/>
              <w:bottom w:val="single" w:color="000000" w:sz="4" w:space="0"/>
              <w:right w:val="single" w:color="000000" w:sz="4" w:space="0"/>
            </w:tcBorders>
            <w:vAlign w:val="center"/>
          </w:tcPr>
          <w:p w14:paraId="1B8D7845">
            <w:pPr>
              <w:pStyle w:val="98"/>
              <w:ind w:left="-105" w:right="-105"/>
              <w:rPr>
                <w:rFonts w:eastAsia="宋体"/>
                <w:color w:val="auto"/>
                <w:sz w:val="21"/>
                <w:szCs w:val="21"/>
                <w:highlight w:val="none"/>
              </w:rPr>
            </w:pPr>
            <w:r>
              <w:rPr>
                <w:rFonts w:eastAsia="宋体"/>
                <w:color w:val="auto"/>
                <w:sz w:val="21"/>
                <w:szCs w:val="21"/>
                <w:highlight w:val="none"/>
              </w:rPr>
              <w:t>1.9</w:t>
            </w:r>
          </w:p>
        </w:tc>
        <w:tc>
          <w:tcPr>
            <w:tcW w:w="683" w:type="dxa"/>
            <w:tcBorders>
              <w:top w:val="single" w:color="000000" w:sz="4" w:space="0"/>
              <w:left w:val="single" w:color="000000" w:sz="4" w:space="0"/>
              <w:bottom w:val="single" w:color="000000" w:sz="4" w:space="0"/>
              <w:right w:val="single" w:color="000000" w:sz="4" w:space="0"/>
            </w:tcBorders>
            <w:vAlign w:val="center"/>
          </w:tcPr>
          <w:p w14:paraId="1ABD8B24">
            <w:pPr>
              <w:pStyle w:val="98"/>
              <w:ind w:left="-105" w:right="-105"/>
              <w:rPr>
                <w:rFonts w:eastAsia="宋体"/>
                <w:color w:val="auto"/>
                <w:sz w:val="21"/>
                <w:szCs w:val="21"/>
                <w:highlight w:val="none"/>
              </w:rPr>
            </w:pPr>
            <w:r>
              <w:rPr>
                <w:rFonts w:eastAsia="宋体"/>
                <w:color w:val="auto"/>
                <w:sz w:val="21"/>
                <w:szCs w:val="21"/>
                <w:highlight w:val="none"/>
              </w:rPr>
              <w:t>1.0</w:t>
            </w:r>
          </w:p>
        </w:tc>
        <w:tc>
          <w:tcPr>
            <w:tcW w:w="686" w:type="dxa"/>
            <w:tcBorders>
              <w:top w:val="single" w:color="000000" w:sz="4" w:space="0"/>
              <w:left w:val="single" w:color="000000" w:sz="4" w:space="0"/>
              <w:bottom w:val="single" w:color="000000" w:sz="4" w:space="0"/>
              <w:right w:val="single" w:color="000000" w:sz="4" w:space="0"/>
            </w:tcBorders>
            <w:vAlign w:val="center"/>
          </w:tcPr>
          <w:p w14:paraId="59CA936C">
            <w:pPr>
              <w:pStyle w:val="98"/>
              <w:ind w:left="-105" w:right="-105"/>
              <w:rPr>
                <w:rFonts w:eastAsia="宋体"/>
                <w:color w:val="auto"/>
                <w:sz w:val="21"/>
                <w:szCs w:val="21"/>
                <w:highlight w:val="none"/>
              </w:rPr>
            </w:pPr>
            <w:r>
              <w:rPr>
                <w:rFonts w:eastAsia="宋体"/>
                <w:color w:val="auto"/>
                <w:sz w:val="21"/>
                <w:szCs w:val="21"/>
                <w:highlight w:val="none"/>
              </w:rPr>
              <w:t>2.0</w:t>
            </w:r>
          </w:p>
        </w:tc>
        <w:tc>
          <w:tcPr>
            <w:tcW w:w="683" w:type="dxa"/>
            <w:tcBorders>
              <w:top w:val="single" w:color="000000" w:sz="4" w:space="0"/>
              <w:left w:val="single" w:color="000000" w:sz="4" w:space="0"/>
              <w:bottom w:val="single" w:color="000000" w:sz="4" w:space="0"/>
              <w:right w:val="single" w:color="000000" w:sz="4" w:space="0"/>
            </w:tcBorders>
            <w:vAlign w:val="center"/>
          </w:tcPr>
          <w:p w14:paraId="64111E21">
            <w:pPr>
              <w:pStyle w:val="98"/>
              <w:ind w:left="-105" w:right="-105"/>
              <w:rPr>
                <w:rFonts w:eastAsia="宋体"/>
                <w:color w:val="auto"/>
                <w:sz w:val="21"/>
                <w:szCs w:val="21"/>
                <w:highlight w:val="none"/>
              </w:rPr>
            </w:pPr>
            <w:r>
              <w:rPr>
                <w:rFonts w:eastAsia="宋体"/>
                <w:color w:val="auto"/>
                <w:sz w:val="21"/>
                <w:szCs w:val="21"/>
                <w:highlight w:val="none"/>
              </w:rPr>
              <w:t>1.5</w:t>
            </w:r>
          </w:p>
        </w:tc>
        <w:tc>
          <w:tcPr>
            <w:tcW w:w="683" w:type="dxa"/>
            <w:tcBorders>
              <w:top w:val="single" w:color="000000" w:sz="4" w:space="0"/>
              <w:left w:val="single" w:color="000000" w:sz="4" w:space="0"/>
              <w:bottom w:val="single" w:color="000000" w:sz="4" w:space="0"/>
              <w:right w:val="single" w:color="000000" w:sz="4" w:space="0"/>
            </w:tcBorders>
            <w:vAlign w:val="center"/>
          </w:tcPr>
          <w:p w14:paraId="77C4ABF0">
            <w:pPr>
              <w:pStyle w:val="98"/>
              <w:ind w:left="-105" w:right="-105"/>
              <w:rPr>
                <w:rFonts w:eastAsia="宋体"/>
                <w:color w:val="auto"/>
                <w:sz w:val="21"/>
                <w:szCs w:val="21"/>
                <w:highlight w:val="none"/>
              </w:rPr>
            </w:pPr>
            <w:r>
              <w:rPr>
                <w:rFonts w:eastAsia="宋体"/>
                <w:color w:val="auto"/>
                <w:sz w:val="21"/>
                <w:szCs w:val="21"/>
                <w:highlight w:val="none"/>
              </w:rPr>
              <w:t>1.8</w:t>
            </w:r>
          </w:p>
        </w:tc>
        <w:tc>
          <w:tcPr>
            <w:tcW w:w="683" w:type="dxa"/>
            <w:tcBorders>
              <w:top w:val="single" w:color="000000" w:sz="4" w:space="0"/>
              <w:left w:val="single" w:color="000000" w:sz="4" w:space="0"/>
              <w:bottom w:val="single" w:color="000000" w:sz="4" w:space="0"/>
              <w:right w:val="single" w:color="000000" w:sz="4" w:space="0"/>
            </w:tcBorders>
            <w:vAlign w:val="center"/>
          </w:tcPr>
          <w:p w14:paraId="5FA7954A">
            <w:pPr>
              <w:pStyle w:val="98"/>
              <w:ind w:left="-105" w:right="-105"/>
              <w:rPr>
                <w:rFonts w:eastAsia="宋体"/>
                <w:color w:val="auto"/>
                <w:sz w:val="21"/>
                <w:szCs w:val="21"/>
                <w:highlight w:val="none"/>
              </w:rPr>
            </w:pPr>
            <w:r>
              <w:rPr>
                <w:rFonts w:eastAsia="宋体"/>
                <w:color w:val="auto"/>
                <w:sz w:val="21"/>
                <w:szCs w:val="21"/>
                <w:highlight w:val="none"/>
              </w:rPr>
              <w:t>1.6</w:t>
            </w:r>
          </w:p>
        </w:tc>
        <w:tc>
          <w:tcPr>
            <w:tcW w:w="685" w:type="dxa"/>
            <w:tcBorders>
              <w:top w:val="single" w:color="000000" w:sz="4" w:space="0"/>
              <w:left w:val="single" w:color="000000" w:sz="4" w:space="0"/>
              <w:bottom w:val="single" w:color="000000" w:sz="4" w:space="0"/>
              <w:right w:val="single" w:color="000000" w:sz="4" w:space="0"/>
            </w:tcBorders>
            <w:vAlign w:val="center"/>
          </w:tcPr>
          <w:p w14:paraId="48FD5DD5">
            <w:pPr>
              <w:pStyle w:val="98"/>
              <w:ind w:left="-105" w:right="-105"/>
              <w:rPr>
                <w:rFonts w:eastAsia="宋体"/>
                <w:color w:val="auto"/>
                <w:sz w:val="21"/>
                <w:szCs w:val="21"/>
                <w:highlight w:val="none"/>
              </w:rPr>
            </w:pPr>
            <w:r>
              <w:rPr>
                <w:rFonts w:eastAsia="宋体"/>
                <w:color w:val="auto"/>
                <w:sz w:val="21"/>
                <w:szCs w:val="21"/>
                <w:highlight w:val="none"/>
              </w:rPr>
              <w:t>2.4</w:t>
            </w:r>
          </w:p>
        </w:tc>
        <w:tc>
          <w:tcPr>
            <w:tcW w:w="683" w:type="dxa"/>
            <w:tcBorders>
              <w:top w:val="single" w:color="000000" w:sz="4" w:space="0"/>
              <w:left w:val="single" w:color="000000" w:sz="4" w:space="0"/>
              <w:bottom w:val="single" w:color="000000" w:sz="4" w:space="0"/>
              <w:right w:val="single" w:color="000000" w:sz="4" w:space="0"/>
            </w:tcBorders>
            <w:vAlign w:val="center"/>
          </w:tcPr>
          <w:p w14:paraId="3CC25383">
            <w:pPr>
              <w:pStyle w:val="98"/>
              <w:ind w:left="-105" w:right="-105"/>
              <w:rPr>
                <w:rFonts w:eastAsia="宋体"/>
                <w:color w:val="auto"/>
                <w:sz w:val="21"/>
                <w:szCs w:val="21"/>
                <w:highlight w:val="none"/>
              </w:rPr>
            </w:pPr>
            <w:r>
              <w:rPr>
                <w:rFonts w:eastAsia="宋体"/>
                <w:color w:val="auto"/>
                <w:sz w:val="21"/>
                <w:szCs w:val="21"/>
                <w:highlight w:val="none"/>
              </w:rPr>
              <w:t>1.0</w:t>
            </w:r>
          </w:p>
        </w:tc>
        <w:tc>
          <w:tcPr>
            <w:tcW w:w="683" w:type="dxa"/>
            <w:tcBorders>
              <w:top w:val="single" w:color="000000" w:sz="4" w:space="0"/>
              <w:left w:val="single" w:color="000000" w:sz="4" w:space="0"/>
              <w:bottom w:val="single" w:color="000000" w:sz="4" w:space="0"/>
              <w:right w:val="single" w:color="000000" w:sz="4" w:space="0"/>
            </w:tcBorders>
            <w:vAlign w:val="center"/>
          </w:tcPr>
          <w:p w14:paraId="2231B48E">
            <w:pPr>
              <w:pStyle w:val="98"/>
              <w:ind w:left="-105" w:right="-105"/>
              <w:rPr>
                <w:rFonts w:eastAsia="宋体"/>
                <w:color w:val="auto"/>
                <w:sz w:val="21"/>
                <w:szCs w:val="21"/>
                <w:highlight w:val="none"/>
              </w:rPr>
            </w:pPr>
            <w:r>
              <w:rPr>
                <w:rFonts w:eastAsia="宋体"/>
                <w:color w:val="auto"/>
                <w:sz w:val="21"/>
                <w:szCs w:val="21"/>
                <w:highlight w:val="none"/>
              </w:rPr>
              <w:t>0.9</w:t>
            </w:r>
          </w:p>
        </w:tc>
        <w:tc>
          <w:tcPr>
            <w:tcW w:w="683" w:type="dxa"/>
            <w:tcBorders>
              <w:top w:val="single" w:color="000000" w:sz="4" w:space="0"/>
              <w:left w:val="single" w:color="000000" w:sz="4" w:space="0"/>
              <w:bottom w:val="single" w:color="000000" w:sz="4" w:space="0"/>
              <w:right w:val="single" w:color="000000" w:sz="4" w:space="0"/>
            </w:tcBorders>
            <w:vAlign w:val="center"/>
          </w:tcPr>
          <w:p w14:paraId="359D6523">
            <w:pPr>
              <w:pStyle w:val="98"/>
              <w:ind w:left="-105" w:right="-105"/>
              <w:rPr>
                <w:rFonts w:eastAsia="宋体"/>
                <w:color w:val="auto"/>
                <w:sz w:val="21"/>
                <w:szCs w:val="21"/>
                <w:highlight w:val="none"/>
              </w:rPr>
            </w:pPr>
            <w:r>
              <w:rPr>
                <w:rFonts w:eastAsia="宋体"/>
                <w:color w:val="auto"/>
                <w:sz w:val="21"/>
                <w:szCs w:val="21"/>
                <w:highlight w:val="none"/>
              </w:rPr>
              <w:t>0.4</w:t>
            </w:r>
          </w:p>
        </w:tc>
        <w:tc>
          <w:tcPr>
            <w:tcW w:w="683" w:type="dxa"/>
            <w:tcBorders>
              <w:top w:val="single" w:color="000000" w:sz="4" w:space="0"/>
              <w:left w:val="single" w:color="000000" w:sz="4" w:space="0"/>
              <w:bottom w:val="single" w:color="000000" w:sz="4" w:space="0"/>
              <w:right w:val="single" w:color="000000" w:sz="4" w:space="0"/>
            </w:tcBorders>
            <w:vAlign w:val="center"/>
          </w:tcPr>
          <w:p w14:paraId="4788406A">
            <w:pPr>
              <w:pStyle w:val="98"/>
              <w:ind w:left="-105" w:right="-105"/>
              <w:rPr>
                <w:rFonts w:eastAsia="宋体"/>
                <w:color w:val="auto"/>
                <w:sz w:val="21"/>
                <w:szCs w:val="21"/>
                <w:highlight w:val="none"/>
              </w:rPr>
            </w:pPr>
            <w:r>
              <w:rPr>
                <w:rFonts w:eastAsia="宋体"/>
                <w:color w:val="auto"/>
                <w:sz w:val="21"/>
                <w:szCs w:val="21"/>
                <w:highlight w:val="none"/>
              </w:rPr>
              <w:t>0.7</w:t>
            </w:r>
          </w:p>
        </w:tc>
        <w:tc>
          <w:tcPr>
            <w:tcW w:w="683" w:type="dxa"/>
            <w:tcBorders>
              <w:top w:val="single" w:color="000000" w:sz="4" w:space="0"/>
              <w:left w:val="single" w:color="000000" w:sz="4" w:space="0"/>
              <w:bottom w:val="single" w:color="000000" w:sz="4" w:space="0"/>
              <w:right w:val="single" w:color="000000" w:sz="4" w:space="0"/>
            </w:tcBorders>
            <w:vAlign w:val="center"/>
          </w:tcPr>
          <w:p w14:paraId="46392AFD">
            <w:pPr>
              <w:pStyle w:val="98"/>
              <w:ind w:left="-105" w:right="-105"/>
              <w:rPr>
                <w:rFonts w:eastAsia="宋体"/>
                <w:color w:val="auto"/>
                <w:sz w:val="21"/>
                <w:szCs w:val="21"/>
                <w:highlight w:val="none"/>
              </w:rPr>
            </w:pPr>
            <w:r>
              <w:rPr>
                <w:rFonts w:eastAsia="宋体"/>
                <w:color w:val="auto"/>
                <w:sz w:val="21"/>
                <w:szCs w:val="21"/>
                <w:highlight w:val="none"/>
              </w:rPr>
              <w:t>0.4</w:t>
            </w:r>
          </w:p>
        </w:tc>
        <w:tc>
          <w:tcPr>
            <w:tcW w:w="684" w:type="dxa"/>
            <w:tcBorders>
              <w:top w:val="single" w:color="000000" w:sz="4" w:space="0"/>
              <w:left w:val="single" w:color="000000" w:sz="4" w:space="0"/>
              <w:bottom w:val="single" w:color="000000" w:sz="4" w:space="0"/>
              <w:right w:val="single" w:color="000000" w:sz="4" w:space="0"/>
            </w:tcBorders>
            <w:vAlign w:val="center"/>
          </w:tcPr>
          <w:p w14:paraId="031D354D">
            <w:pPr>
              <w:pStyle w:val="98"/>
              <w:ind w:left="-105" w:right="-105"/>
              <w:rPr>
                <w:rFonts w:eastAsia="宋体"/>
                <w:color w:val="auto"/>
                <w:sz w:val="21"/>
                <w:szCs w:val="21"/>
                <w:highlight w:val="none"/>
              </w:rPr>
            </w:pPr>
            <w:r>
              <w:rPr>
                <w:rFonts w:eastAsia="宋体"/>
                <w:color w:val="auto"/>
                <w:sz w:val="21"/>
                <w:szCs w:val="21"/>
                <w:highlight w:val="none"/>
              </w:rPr>
              <w:t>0.7</w:t>
            </w:r>
          </w:p>
        </w:tc>
        <w:tc>
          <w:tcPr>
            <w:tcW w:w="686" w:type="dxa"/>
            <w:tcBorders>
              <w:top w:val="single" w:color="000000" w:sz="4" w:space="0"/>
              <w:left w:val="single" w:color="000000" w:sz="4" w:space="0"/>
              <w:bottom w:val="single" w:color="000000" w:sz="4" w:space="0"/>
              <w:right w:val="single" w:color="000000" w:sz="4" w:space="0"/>
            </w:tcBorders>
            <w:vAlign w:val="center"/>
          </w:tcPr>
          <w:p w14:paraId="7987305B">
            <w:pPr>
              <w:pStyle w:val="98"/>
              <w:ind w:left="-105" w:right="-105"/>
              <w:rPr>
                <w:rFonts w:eastAsia="宋体"/>
                <w:color w:val="auto"/>
                <w:sz w:val="21"/>
                <w:szCs w:val="21"/>
                <w:highlight w:val="none"/>
              </w:rPr>
            </w:pPr>
            <w:r>
              <w:rPr>
                <w:rFonts w:eastAsia="宋体"/>
                <w:color w:val="auto"/>
                <w:sz w:val="21"/>
                <w:szCs w:val="21"/>
                <w:highlight w:val="none"/>
              </w:rPr>
              <w:t>0.4</w:t>
            </w:r>
          </w:p>
        </w:tc>
        <w:tc>
          <w:tcPr>
            <w:tcW w:w="684" w:type="dxa"/>
            <w:tcBorders>
              <w:top w:val="single" w:color="000000" w:sz="4" w:space="0"/>
              <w:left w:val="single" w:color="000000" w:sz="4" w:space="0"/>
              <w:bottom w:val="single" w:color="000000" w:sz="4" w:space="0"/>
              <w:right w:val="single" w:color="000000" w:sz="4" w:space="0"/>
            </w:tcBorders>
            <w:vAlign w:val="center"/>
          </w:tcPr>
          <w:p w14:paraId="33FA19D0">
            <w:pPr>
              <w:pStyle w:val="98"/>
              <w:ind w:left="-105" w:right="-105"/>
              <w:rPr>
                <w:rFonts w:eastAsia="宋体"/>
                <w:color w:val="auto"/>
                <w:sz w:val="21"/>
                <w:szCs w:val="21"/>
                <w:highlight w:val="none"/>
              </w:rPr>
            </w:pPr>
            <w:r>
              <w:rPr>
                <w:rFonts w:eastAsia="宋体"/>
                <w:color w:val="auto"/>
                <w:sz w:val="21"/>
                <w:szCs w:val="21"/>
                <w:highlight w:val="none"/>
              </w:rPr>
              <w:t>1.2</w:t>
            </w:r>
          </w:p>
        </w:tc>
        <w:tc>
          <w:tcPr>
            <w:tcW w:w="645" w:type="dxa"/>
            <w:tcBorders>
              <w:top w:val="single" w:color="000000" w:sz="4" w:space="0"/>
              <w:left w:val="single" w:color="000000" w:sz="4" w:space="0"/>
              <w:bottom w:val="single" w:color="000000" w:sz="4" w:space="0"/>
              <w:right w:val="single" w:color="000000" w:sz="4" w:space="0"/>
            </w:tcBorders>
            <w:vAlign w:val="center"/>
          </w:tcPr>
          <w:p w14:paraId="0BA5E9E4">
            <w:pPr>
              <w:pStyle w:val="98"/>
              <w:ind w:left="-105" w:right="-105"/>
              <w:rPr>
                <w:rFonts w:eastAsia="宋体"/>
                <w:color w:val="auto"/>
                <w:sz w:val="21"/>
                <w:szCs w:val="21"/>
                <w:highlight w:val="none"/>
              </w:rPr>
            </w:pPr>
            <w:r>
              <w:rPr>
                <w:rFonts w:eastAsia="宋体"/>
                <w:color w:val="auto"/>
                <w:sz w:val="21"/>
                <w:szCs w:val="21"/>
                <w:highlight w:val="none"/>
              </w:rPr>
              <w:t>0.9</w:t>
            </w:r>
          </w:p>
        </w:tc>
        <w:tc>
          <w:tcPr>
            <w:tcW w:w="1134" w:type="dxa"/>
            <w:tcBorders>
              <w:top w:val="single" w:color="000000" w:sz="4" w:space="0"/>
              <w:left w:val="single" w:color="000000" w:sz="4" w:space="0"/>
              <w:bottom w:val="single" w:color="000000" w:sz="4" w:space="0"/>
              <w:right w:val="nil"/>
            </w:tcBorders>
            <w:vAlign w:val="center"/>
          </w:tcPr>
          <w:p w14:paraId="461A72EF">
            <w:pPr>
              <w:pStyle w:val="98"/>
              <w:ind w:left="-105" w:right="-105"/>
              <w:rPr>
                <w:rFonts w:eastAsia="宋体"/>
                <w:color w:val="auto"/>
                <w:sz w:val="21"/>
                <w:szCs w:val="21"/>
                <w:highlight w:val="none"/>
              </w:rPr>
            </w:pPr>
            <w:r>
              <w:rPr>
                <w:rFonts w:eastAsia="宋体"/>
                <w:color w:val="auto"/>
                <w:sz w:val="21"/>
                <w:szCs w:val="21"/>
                <w:highlight w:val="none"/>
              </w:rPr>
              <w:t>18.5</w:t>
            </w:r>
          </w:p>
        </w:tc>
      </w:tr>
      <w:tr w14:paraId="3A0CFA39">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108" w:type="dxa"/>
            <w:bottom w:w="0" w:type="dxa"/>
            <w:right w:w="108" w:type="dxa"/>
          </w:tblCellMar>
        </w:tblPrEx>
        <w:trPr>
          <w:trHeight w:val="208" w:hRule="atLeast"/>
          <w:jc w:val="center"/>
        </w:trPr>
        <w:tc>
          <w:tcPr>
            <w:tcW w:w="1116" w:type="dxa"/>
            <w:vMerge w:val="continue"/>
            <w:tcBorders>
              <w:top w:val="nil"/>
              <w:left w:val="nil"/>
              <w:bottom w:val="single" w:color="000000" w:sz="4" w:space="0"/>
              <w:right w:val="single" w:color="000000" w:sz="4" w:space="0"/>
            </w:tcBorders>
            <w:vAlign w:val="center"/>
          </w:tcPr>
          <w:p w14:paraId="0FC9F9EB">
            <w:pPr>
              <w:ind w:left="-105" w:right="-105"/>
              <w:jc w:val="center"/>
              <w:rPr>
                <w:rFonts w:ascii="Times New Roman" w:hAnsi="Times New Roman" w:cs="Times New Roman"/>
                <w:color w:val="auto"/>
                <w:sz w:val="21"/>
                <w:szCs w:val="21"/>
                <w:highlight w:val="none"/>
              </w:rPr>
            </w:pPr>
          </w:p>
        </w:tc>
        <w:tc>
          <w:tcPr>
            <w:tcW w:w="742" w:type="dxa"/>
            <w:tcBorders>
              <w:top w:val="single" w:color="000000" w:sz="4" w:space="0"/>
              <w:left w:val="single" w:color="000000" w:sz="4" w:space="0"/>
              <w:bottom w:val="single" w:color="000000" w:sz="4" w:space="0"/>
              <w:right w:val="single" w:color="000000" w:sz="4" w:space="0"/>
            </w:tcBorders>
            <w:vAlign w:val="center"/>
          </w:tcPr>
          <w:p w14:paraId="30EB4DB6">
            <w:pPr>
              <w:pStyle w:val="98"/>
              <w:ind w:left="-105" w:right="-105"/>
              <w:rPr>
                <w:rFonts w:eastAsia="宋体"/>
                <w:color w:val="auto"/>
                <w:sz w:val="21"/>
                <w:szCs w:val="21"/>
                <w:highlight w:val="none"/>
              </w:rPr>
            </w:pPr>
            <w:r>
              <w:rPr>
                <w:rFonts w:eastAsia="宋体"/>
                <w:color w:val="auto"/>
                <w:sz w:val="21"/>
                <w:szCs w:val="21"/>
                <w:highlight w:val="none"/>
              </w:rPr>
              <w:t>F</w:t>
            </w:r>
          </w:p>
        </w:tc>
        <w:tc>
          <w:tcPr>
            <w:tcW w:w="683" w:type="dxa"/>
            <w:tcBorders>
              <w:top w:val="single" w:color="000000" w:sz="4" w:space="0"/>
              <w:left w:val="single" w:color="000000" w:sz="4" w:space="0"/>
              <w:bottom w:val="single" w:color="000000" w:sz="4" w:space="0"/>
              <w:right w:val="single" w:color="000000" w:sz="4" w:space="0"/>
            </w:tcBorders>
            <w:vAlign w:val="center"/>
          </w:tcPr>
          <w:p w14:paraId="468C4B1A">
            <w:pPr>
              <w:pStyle w:val="98"/>
              <w:ind w:left="-105" w:right="-105"/>
              <w:rPr>
                <w:rFonts w:eastAsia="宋体"/>
                <w:color w:val="auto"/>
                <w:sz w:val="21"/>
                <w:szCs w:val="21"/>
                <w:highlight w:val="none"/>
              </w:rPr>
            </w:pPr>
            <w:r>
              <w:rPr>
                <w:rFonts w:eastAsia="宋体"/>
                <w:color w:val="auto"/>
                <w:sz w:val="21"/>
                <w:szCs w:val="21"/>
                <w:highlight w:val="none"/>
              </w:rPr>
              <w:t>0.6</w:t>
            </w:r>
          </w:p>
        </w:tc>
        <w:tc>
          <w:tcPr>
            <w:tcW w:w="683" w:type="dxa"/>
            <w:tcBorders>
              <w:top w:val="single" w:color="000000" w:sz="4" w:space="0"/>
              <w:left w:val="single" w:color="000000" w:sz="4" w:space="0"/>
              <w:bottom w:val="single" w:color="000000" w:sz="4" w:space="0"/>
              <w:right w:val="single" w:color="000000" w:sz="4" w:space="0"/>
            </w:tcBorders>
            <w:vAlign w:val="center"/>
          </w:tcPr>
          <w:p w14:paraId="1743A9D2">
            <w:pPr>
              <w:pStyle w:val="98"/>
              <w:ind w:left="-105" w:right="-105"/>
              <w:rPr>
                <w:rFonts w:eastAsia="宋体"/>
                <w:color w:val="auto"/>
                <w:sz w:val="21"/>
                <w:szCs w:val="21"/>
                <w:highlight w:val="none"/>
              </w:rPr>
            </w:pPr>
            <w:r>
              <w:rPr>
                <w:rFonts w:eastAsia="宋体"/>
                <w:color w:val="auto"/>
                <w:sz w:val="21"/>
                <w:szCs w:val="21"/>
                <w:highlight w:val="none"/>
              </w:rPr>
              <w:t>0.7</w:t>
            </w:r>
          </w:p>
        </w:tc>
        <w:tc>
          <w:tcPr>
            <w:tcW w:w="686" w:type="dxa"/>
            <w:tcBorders>
              <w:top w:val="single" w:color="000000" w:sz="4" w:space="0"/>
              <w:left w:val="single" w:color="000000" w:sz="4" w:space="0"/>
              <w:bottom w:val="single" w:color="000000" w:sz="4" w:space="0"/>
              <w:right w:val="single" w:color="000000" w:sz="4" w:space="0"/>
            </w:tcBorders>
            <w:vAlign w:val="center"/>
          </w:tcPr>
          <w:p w14:paraId="3EBD6113">
            <w:pPr>
              <w:pStyle w:val="98"/>
              <w:ind w:left="-105" w:right="-105"/>
              <w:rPr>
                <w:rFonts w:eastAsia="宋体"/>
                <w:color w:val="auto"/>
                <w:sz w:val="21"/>
                <w:szCs w:val="21"/>
                <w:highlight w:val="none"/>
              </w:rPr>
            </w:pPr>
            <w:r>
              <w:rPr>
                <w:rFonts w:eastAsia="宋体"/>
                <w:color w:val="auto"/>
                <w:sz w:val="21"/>
                <w:szCs w:val="21"/>
                <w:highlight w:val="none"/>
              </w:rPr>
              <w:t>0.6</w:t>
            </w:r>
          </w:p>
        </w:tc>
        <w:tc>
          <w:tcPr>
            <w:tcW w:w="683" w:type="dxa"/>
            <w:tcBorders>
              <w:top w:val="single" w:color="000000" w:sz="4" w:space="0"/>
              <w:left w:val="single" w:color="000000" w:sz="4" w:space="0"/>
              <w:bottom w:val="single" w:color="000000" w:sz="4" w:space="0"/>
              <w:right w:val="single" w:color="000000" w:sz="4" w:space="0"/>
            </w:tcBorders>
            <w:vAlign w:val="center"/>
          </w:tcPr>
          <w:p w14:paraId="5A3F4684">
            <w:pPr>
              <w:pStyle w:val="98"/>
              <w:ind w:left="-105" w:right="-105"/>
              <w:rPr>
                <w:rFonts w:eastAsia="宋体"/>
                <w:color w:val="auto"/>
                <w:sz w:val="21"/>
                <w:szCs w:val="21"/>
                <w:highlight w:val="none"/>
              </w:rPr>
            </w:pPr>
            <w:r>
              <w:rPr>
                <w:rFonts w:eastAsia="宋体"/>
                <w:color w:val="auto"/>
                <w:sz w:val="21"/>
                <w:szCs w:val="21"/>
                <w:highlight w:val="none"/>
              </w:rPr>
              <w:t>0.6</w:t>
            </w:r>
          </w:p>
        </w:tc>
        <w:tc>
          <w:tcPr>
            <w:tcW w:w="683" w:type="dxa"/>
            <w:tcBorders>
              <w:top w:val="single" w:color="000000" w:sz="4" w:space="0"/>
              <w:left w:val="single" w:color="000000" w:sz="4" w:space="0"/>
              <w:bottom w:val="single" w:color="000000" w:sz="4" w:space="0"/>
              <w:right w:val="single" w:color="000000" w:sz="4" w:space="0"/>
            </w:tcBorders>
            <w:vAlign w:val="center"/>
          </w:tcPr>
          <w:p w14:paraId="1F773F56">
            <w:pPr>
              <w:pStyle w:val="98"/>
              <w:ind w:left="-105" w:right="-105"/>
              <w:rPr>
                <w:rFonts w:eastAsia="宋体"/>
                <w:color w:val="auto"/>
                <w:sz w:val="21"/>
                <w:szCs w:val="21"/>
                <w:highlight w:val="none"/>
              </w:rPr>
            </w:pPr>
            <w:r>
              <w:rPr>
                <w:rFonts w:eastAsia="宋体"/>
                <w:color w:val="auto"/>
                <w:sz w:val="21"/>
                <w:szCs w:val="21"/>
                <w:highlight w:val="none"/>
              </w:rPr>
              <w:t>0.6</w:t>
            </w:r>
          </w:p>
        </w:tc>
        <w:tc>
          <w:tcPr>
            <w:tcW w:w="683" w:type="dxa"/>
            <w:tcBorders>
              <w:top w:val="single" w:color="000000" w:sz="4" w:space="0"/>
              <w:left w:val="single" w:color="000000" w:sz="4" w:space="0"/>
              <w:bottom w:val="single" w:color="000000" w:sz="4" w:space="0"/>
              <w:right w:val="single" w:color="000000" w:sz="4" w:space="0"/>
            </w:tcBorders>
            <w:vAlign w:val="center"/>
          </w:tcPr>
          <w:p w14:paraId="015FC2E6">
            <w:pPr>
              <w:pStyle w:val="98"/>
              <w:ind w:left="-105" w:right="-105"/>
              <w:rPr>
                <w:rFonts w:eastAsia="宋体"/>
                <w:color w:val="auto"/>
                <w:sz w:val="21"/>
                <w:szCs w:val="21"/>
                <w:highlight w:val="none"/>
              </w:rPr>
            </w:pPr>
            <w:r>
              <w:rPr>
                <w:rFonts w:eastAsia="宋体"/>
                <w:color w:val="auto"/>
                <w:sz w:val="21"/>
                <w:szCs w:val="21"/>
                <w:highlight w:val="none"/>
              </w:rPr>
              <w:t>0.8</w:t>
            </w:r>
          </w:p>
        </w:tc>
        <w:tc>
          <w:tcPr>
            <w:tcW w:w="685" w:type="dxa"/>
            <w:tcBorders>
              <w:top w:val="single" w:color="000000" w:sz="4" w:space="0"/>
              <w:left w:val="single" w:color="000000" w:sz="4" w:space="0"/>
              <w:bottom w:val="single" w:color="000000" w:sz="4" w:space="0"/>
              <w:right w:val="single" w:color="000000" w:sz="4" w:space="0"/>
            </w:tcBorders>
            <w:vAlign w:val="center"/>
          </w:tcPr>
          <w:p w14:paraId="4DB10B91">
            <w:pPr>
              <w:pStyle w:val="98"/>
              <w:ind w:left="-105" w:right="-105"/>
              <w:rPr>
                <w:rFonts w:eastAsia="宋体"/>
                <w:color w:val="auto"/>
                <w:sz w:val="21"/>
                <w:szCs w:val="21"/>
                <w:highlight w:val="none"/>
              </w:rPr>
            </w:pPr>
            <w:r>
              <w:rPr>
                <w:rFonts w:eastAsia="宋体"/>
                <w:color w:val="auto"/>
                <w:sz w:val="21"/>
                <w:szCs w:val="21"/>
                <w:highlight w:val="none"/>
              </w:rPr>
              <w:t>1.6</w:t>
            </w:r>
          </w:p>
        </w:tc>
        <w:tc>
          <w:tcPr>
            <w:tcW w:w="683" w:type="dxa"/>
            <w:tcBorders>
              <w:top w:val="single" w:color="000000" w:sz="4" w:space="0"/>
              <w:left w:val="single" w:color="000000" w:sz="4" w:space="0"/>
              <w:bottom w:val="single" w:color="000000" w:sz="4" w:space="0"/>
              <w:right w:val="single" w:color="000000" w:sz="4" w:space="0"/>
            </w:tcBorders>
            <w:vAlign w:val="center"/>
          </w:tcPr>
          <w:p w14:paraId="28BCC4DB">
            <w:pPr>
              <w:pStyle w:val="98"/>
              <w:ind w:left="-105" w:right="-105"/>
              <w:rPr>
                <w:rFonts w:eastAsia="宋体"/>
                <w:color w:val="auto"/>
                <w:sz w:val="21"/>
                <w:szCs w:val="21"/>
                <w:highlight w:val="none"/>
              </w:rPr>
            </w:pPr>
            <w:r>
              <w:rPr>
                <w:rFonts w:eastAsia="宋体"/>
                <w:color w:val="auto"/>
                <w:sz w:val="21"/>
                <w:szCs w:val="21"/>
                <w:highlight w:val="none"/>
              </w:rPr>
              <w:t>1.1</w:t>
            </w:r>
          </w:p>
        </w:tc>
        <w:tc>
          <w:tcPr>
            <w:tcW w:w="683" w:type="dxa"/>
            <w:tcBorders>
              <w:top w:val="single" w:color="000000" w:sz="4" w:space="0"/>
              <w:left w:val="single" w:color="000000" w:sz="4" w:space="0"/>
              <w:bottom w:val="single" w:color="000000" w:sz="4" w:space="0"/>
              <w:right w:val="single" w:color="000000" w:sz="4" w:space="0"/>
            </w:tcBorders>
            <w:vAlign w:val="center"/>
          </w:tcPr>
          <w:p w14:paraId="2AE9F7A7">
            <w:pPr>
              <w:pStyle w:val="98"/>
              <w:ind w:left="-105" w:right="-105"/>
              <w:rPr>
                <w:rFonts w:eastAsia="宋体"/>
                <w:color w:val="auto"/>
                <w:sz w:val="21"/>
                <w:szCs w:val="21"/>
                <w:highlight w:val="none"/>
              </w:rPr>
            </w:pPr>
            <w:r>
              <w:rPr>
                <w:rFonts w:eastAsia="宋体"/>
                <w:color w:val="auto"/>
                <w:sz w:val="21"/>
                <w:szCs w:val="21"/>
                <w:highlight w:val="none"/>
              </w:rPr>
              <w:t>0.6</w:t>
            </w:r>
          </w:p>
        </w:tc>
        <w:tc>
          <w:tcPr>
            <w:tcW w:w="683" w:type="dxa"/>
            <w:tcBorders>
              <w:top w:val="single" w:color="000000" w:sz="4" w:space="0"/>
              <w:left w:val="single" w:color="000000" w:sz="4" w:space="0"/>
              <w:bottom w:val="single" w:color="000000" w:sz="4" w:space="0"/>
              <w:right w:val="single" w:color="000000" w:sz="4" w:space="0"/>
            </w:tcBorders>
            <w:vAlign w:val="center"/>
          </w:tcPr>
          <w:p w14:paraId="08DEEEAA">
            <w:pPr>
              <w:pStyle w:val="98"/>
              <w:ind w:left="-105" w:right="-105"/>
              <w:rPr>
                <w:rFonts w:eastAsia="宋体"/>
                <w:color w:val="auto"/>
                <w:sz w:val="21"/>
                <w:szCs w:val="21"/>
                <w:highlight w:val="none"/>
              </w:rPr>
            </w:pPr>
            <w:r>
              <w:rPr>
                <w:rFonts w:eastAsia="宋体"/>
                <w:color w:val="auto"/>
                <w:sz w:val="21"/>
                <w:szCs w:val="21"/>
                <w:highlight w:val="none"/>
              </w:rPr>
              <w:t>0.5</w:t>
            </w:r>
          </w:p>
        </w:tc>
        <w:tc>
          <w:tcPr>
            <w:tcW w:w="683" w:type="dxa"/>
            <w:tcBorders>
              <w:top w:val="single" w:color="000000" w:sz="4" w:space="0"/>
              <w:left w:val="single" w:color="000000" w:sz="4" w:space="0"/>
              <w:bottom w:val="single" w:color="000000" w:sz="4" w:space="0"/>
              <w:right w:val="single" w:color="000000" w:sz="4" w:space="0"/>
            </w:tcBorders>
            <w:vAlign w:val="center"/>
          </w:tcPr>
          <w:p w14:paraId="0965D73F">
            <w:pPr>
              <w:pStyle w:val="98"/>
              <w:ind w:left="-105" w:right="-105"/>
              <w:rPr>
                <w:rFonts w:eastAsia="宋体"/>
                <w:color w:val="auto"/>
                <w:sz w:val="21"/>
                <w:szCs w:val="21"/>
                <w:highlight w:val="none"/>
              </w:rPr>
            </w:pPr>
            <w:r>
              <w:rPr>
                <w:rFonts w:eastAsia="宋体"/>
                <w:color w:val="auto"/>
                <w:sz w:val="21"/>
                <w:szCs w:val="21"/>
                <w:highlight w:val="none"/>
              </w:rPr>
              <w:t>0.5</w:t>
            </w:r>
          </w:p>
        </w:tc>
        <w:tc>
          <w:tcPr>
            <w:tcW w:w="683" w:type="dxa"/>
            <w:tcBorders>
              <w:top w:val="single" w:color="000000" w:sz="4" w:space="0"/>
              <w:left w:val="single" w:color="000000" w:sz="4" w:space="0"/>
              <w:bottom w:val="single" w:color="000000" w:sz="4" w:space="0"/>
              <w:right w:val="single" w:color="000000" w:sz="4" w:space="0"/>
            </w:tcBorders>
            <w:vAlign w:val="center"/>
          </w:tcPr>
          <w:p w14:paraId="064FA6E2">
            <w:pPr>
              <w:pStyle w:val="98"/>
              <w:ind w:left="-105" w:right="-105"/>
              <w:rPr>
                <w:rFonts w:eastAsia="宋体"/>
                <w:color w:val="auto"/>
                <w:sz w:val="21"/>
                <w:szCs w:val="21"/>
                <w:highlight w:val="none"/>
              </w:rPr>
            </w:pPr>
            <w:r>
              <w:rPr>
                <w:rFonts w:eastAsia="宋体"/>
                <w:color w:val="auto"/>
                <w:sz w:val="21"/>
                <w:szCs w:val="21"/>
                <w:highlight w:val="none"/>
              </w:rPr>
              <w:t>0.3</w:t>
            </w:r>
          </w:p>
        </w:tc>
        <w:tc>
          <w:tcPr>
            <w:tcW w:w="684" w:type="dxa"/>
            <w:tcBorders>
              <w:top w:val="single" w:color="000000" w:sz="4" w:space="0"/>
              <w:left w:val="single" w:color="000000" w:sz="4" w:space="0"/>
              <w:bottom w:val="single" w:color="000000" w:sz="4" w:space="0"/>
              <w:right w:val="single" w:color="000000" w:sz="4" w:space="0"/>
            </w:tcBorders>
            <w:vAlign w:val="center"/>
          </w:tcPr>
          <w:p w14:paraId="7C9E272C">
            <w:pPr>
              <w:pStyle w:val="98"/>
              <w:ind w:left="-105" w:right="-105"/>
              <w:rPr>
                <w:rFonts w:eastAsia="宋体"/>
                <w:color w:val="auto"/>
                <w:sz w:val="21"/>
                <w:szCs w:val="21"/>
                <w:highlight w:val="none"/>
              </w:rPr>
            </w:pPr>
            <w:r>
              <w:rPr>
                <w:rFonts w:eastAsia="宋体"/>
                <w:color w:val="auto"/>
                <w:sz w:val="21"/>
                <w:szCs w:val="21"/>
                <w:highlight w:val="none"/>
              </w:rPr>
              <w:t>0.4</w:t>
            </w:r>
          </w:p>
        </w:tc>
        <w:tc>
          <w:tcPr>
            <w:tcW w:w="686" w:type="dxa"/>
            <w:tcBorders>
              <w:top w:val="single" w:color="000000" w:sz="4" w:space="0"/>
              <w:left w:val="single" w:color="000000" w:sz="4" w:space="0"/>
              <w:bottom w:val="single" w:color="000000" w:sz="4" w:space="0"/>
              <w:right w:val="single" w:color="000000" w:sz="4" w:space="0"/>
            </w:tcBorders>
            <w:vAlign w:val="center"/>
          </w:tcPr>
          <w:p w14:paraId="33F869F6">
            <w:pPr>
              <w:pStyle w:val="98"/>
              <w:ind w:left="-105" w:right="-105"/>
              <w:rPr>
                <w:rFonts w:eastAsia="宋体"/>
                <w:color w:val="auto"/>
                <w:sz w:val="21"/>
                <w:szCs w:val="21"/>
                <w:highlight w:val="none"/>
              </w:rPr>
            </w:pPr>
            <w:r>
              <w:rPr>
                <w:rFonts w:eastAsia="宋体"/>
                <w:color w:val="auto"/>
                <w:sz w:val="21"/>
                <w:szCs w:val="21"/>
                <w:highlight w:val="none"/>
              </w:rPr>
              <w:t>0.3</w:t>
            </w:r>
          </w:p>
        </w:tc>
        <w:tc>
          <w:tcPr>
            <w:tcW w:w="684" w:type="dxa"/>
            <w:tcBorders>
              <w:top w:val="single" w:color="000000" w:sz="4" w:space="0"/>
              <w:left w:val="single" w:color="000000" w:sz="4" w:space="0"/>
              <w:bottom w:val="single" w:color="000000" w:sz="4" w:space="0"/>
              <w:right w:val="single" w:color="000000" w:sz="4" w:space="0"/>
            </w:tcBorders>
            <w:vAlign w:val="center"/>
          </w:tcPr>
          <w:p w14:paraId="2306CADF">
            <w:pPr>
              <w:pStyle w:val="98"/>
              <w:ind w:left="-105" w:right="-105"/>
              <w:rPr>
                <w:rFonts w:eastAsia="宋体"/>
                <w:color w:val="auto"/>
                <w:sz w:val="21"/>
                <w:szCs w:val="21"/>
                <w:highlight w:val="none"/>
              </w:rPr>
            </w:pPr>
            <w:r>
              <w:rPr>
                <w:rFonts w:eastAsia="宋体"/>
                <w:color w:val="auto"/>
                <w:sz w:val="21"/>
                <w:szCs w:val="21"/>
                <w:highlight w:val="none"/>
              </w:rPr>
              <w:t>0.5</w:t>
            </w:r>
          </w:p>
        </w:tc>
        <w:tc>
          <w:tcPr>
            <w:tcW w:w="645" w:type="dxa"/>
            <w:tcBorders>
              <w:top w:val="single" w:color="000000" w:sz="4" w:space="0"/>
              <w:left w:val="single" w:color="000000" w:sz="4" w:space="0"/>
              <w:bottom w:val="single" w:color="000000" w:sz="4" w:space="0"/>
              <w:right w:val="single" w:color="000000" w:sz="4" w:space="0"/>
            </w:tcBorders>
            <w:vAlign w:val="center"/>
          </w:tcPr>
          <w:p w14:paraId="177C3113">
            <w:pPr>
              <w:pStyle w:val="98"/>
              <w:ind w:left="-105" w:right="-105"/>
              <w:rPr>
                <w:rFonts w:eastAsia="宋体"/>
                <w:color w:val="auto"/>
                <w:sz w:val="21"/>
                <w:szCs w:val="21"/>
                <w:highlight w:val="none"/>
              </w:rPr>
            </w:pPr>
            <w:r>
              <w:rPr>
                <w:rFonts w:eastAsia="宋体"/>
                <w:color w:val="auto"/>
                <w:sz w:val="21"/>
                <w:szCs w:val="21"/>
                <w:highlight w:val="none"/>
              </w:rPr>
              <w:t>0.4</w:t>
            </w:r>
          </w:p>
        </w:tc>
        <w:tc>
          <w:tcPr>
            <w:tcW w:w="1134" w:type="dxa"/>
            <w:tcBorders>
              <w:top w:val="single" w:color="000000" w:sz="4" w:space="0"/>
              <w:left w:val="single" w:color="000000" w:sz="4" w:space="0"/>
              <w:bottom w:val="single" w:color="000000" w:sz="4" w:space="0"/>
              <w:right w:val="nil"/>
            </w:tcBorders>
            <w:vAlign w:val="center"/>
          </w:tcPr>
          <w:p w14:paraId="0A6AC6B5">
            <w:pPr>
              <w:pStyle w:val="98"/>
              <w:ind w:left="-105" w:right="-105"/>
              <w:rPr>
                <w:rFonts w:eastAsia="宋体"/>
                <w:color w:val="auto"/>
                <w:sz w:val="21"/>
                <w:szCs w:val="21"/>
                <w:highlight w:val="none"/>
              </w:rPr>
            </w:pPr>
            <w:r>
              <w:rPr>
                <w:rFonts w:eastAsia="宋体"/>
                <w:color w:val="auto"/>
                <w:sz w:val="21"/>
                <w:szCs w:val="21"/>
                <w:highlight w:val="none"/>
              </w:rPr>
              <w:t>10.0</w:t>
            </w:r>
          </w:p>
        </w:tc>
      </w:tr>
      <w:tr w14:paraId="11F96D96">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108" w:type="dxa"/>
            <w:bottom w:w="0" w:type="dxa"/>
            <w:right w:w="108" w:type="dxa"/>
          </w:tblCellMar>
        </w:tblPrEx>
        <w:trPr>
          <w:trHeight w:val="210" w:hRule="atLeast"/>
          <w:jc w:val="center"/>
        </w:trPr>
        <w:tc>
          <w:tcPr>
            <w:tcW w:w="1116" w:type="dxa"/>
            <w:vMerge w:val="restart"/>
            <w:tcBorders>
              <w:top w:val="single" w:color="000000" w:sz="4" w:space="0"/>
              <w:left w:val="nil"/>
              <w:bottom w:val="single" w:color="000000" w:sz="4" w:space="0"/>
              <w:right w:val="single" w:color="000000" w:sz="4" w:space="0"/>
            </w:tcBorders>
            <w:vAlign w:val="center"/>
          </w:tcPr>
          <w:p w14:paraId="269CA427">
            <w:pPr>
              <w:pStyle w:val="98"/>
              <w:ind w:left="-105" w:right="-105"/>
              <w:rPr>
                <w:rFonts w:eastAsia="宋体"/>
                <w:color w:val="auto"/>
                <w:sz w:val="21"/>
                <w:szCs w:val="21"/>
                <w:highlight w:val="none"/>
              </w:rPr>
            </w:pPr>
            <w:r>
              <w:rPr>
                <w:rFonts w:eastAsia="宋体"/>
                <w:color w:val="auto"/>
                <w:sz w:val="21"/>
                <w:szCs w:val="21"/>
                <w:highlight w:val="none"/>
              </w:rPr>
              <w:t>2.1-3.0</w:t>
            </w:r>
          </w:p>
        </w:tc>
        <w:tc>
          <w:tcPr>
            <w:tcW w:w="742" w:type="dxa"/>
            <w:tcBorders>
              <w:top w:val="single" w:color="000000" w:sz="4" w:space="0"/>
              <w:left w:val="single" w:color="000000" w:sz="4" w:space="0"/>
              <w:bottom w:val="single" w:color="000000" w:sz="4" w:space="0"/>
              <w:right w:val="single" w:color="000000" w:sz="4" w:space="0"/>
            </w:tcBorders>
            <w:vAlign w:val="center"/>
          </w:tcPr>
          <w:p w14:paraId="3EDE349F">
            <w:pPr>
              <w:pStyle w:val="98"/>
              <w:ind w:left="-105" w:right="-105"/>
              <w:rPr>
                <w:rFonts w:eastAsia="宋体"/>
                <w:color w:val="auto"/>
                <w:sz w:val="21"/>
                <w:szCs w:val="21"/>
                <w:highlight w:val="none"/>
              </w:rPr>
            </w:pPr>
            <w:r>
              <w:rPr>
                <w:rFonts w:eastAsia="宋体"/>
                <w:color w:val="auto"/>
                <w:sz w:val="21"/>
                <w:szCs w:val="21"/>
                <w:highlight w:val="none"/>
              </w:rPr>
              <w:t>A</w:t>
            </w:r>
          </w:p>
        </w:tc>
        <w:tc>
          <w:tcPr>
            <w:tcW w:w="683" w:type="dxa"/>
            <w:tcBorders>
              <w:top w:val="single" w:color="000000" w:sz="4" w:space="0"/>
              <w:left w:val="single" w:color="000000" w:sz="4" w:space="0"/>
              <w:bottom w:val="single" w:color="000000" w:sz="4" w:space="0"/>
              <w:right w:val="single" w:color="000000" w:sz="4" w:space="0"/>
            </w:tcBorders>
            <w:vAlign w:val="center"/>
          </w:tcPr>
          <w:p w14:paraId="663F0C10">
            <w:pPr>
              <w:pStyle w:val="98"/>
              <w:ind w:left="-105" w:right="-105"/>
              <w:rPr>
                <w:rFonts w:eastAsia="宋体"/>
                <w:color w:val="auto"/>
                <w:sz w:val="21"/>
                <w:szCs w:val="21"/>
                <w:highlight w:val="none"/>
              </w:rPr>
            </w:pPr>
            <w:r>
              <w:rPr>
                <w:rFonts w:eastAsia="宋体"/>
                <w:color w:val="auto"/>
                <w:sz w:val="21"/>
                <w:szCs w:val="21"/>
                <w:highlight w:val="none"/>
              </w:rPr>
              <w:t>/</w:t>
            </w:r>
          </w:p>
        </w:tc>
        <w:tc>
          <w:tcPr>
            <w:tcW w:w="683" w:type="dxa"/>
            <w:tcBorders>
              <w:top w:val="single" w:color="000000" w:sz="4" w:space="0"/>
              <w:left w:val="single" w:color="000000" w:sz="4" w:space="0"/>
              <w:bottom w:val="single" w:color="000000" w:sz="4" w:space="0"/>
              <w:right w:val="single" w:color="000000" w:sz="4" w:space="0"/>
            </w:tcBorders>
            <w:vAlign w:val="center"/>
          </w:tcPr>
          <w:p w14:paraId="7E912C72">
            <w:pPr>
              <w:pStyle w:val="98"/>
              <w:ind w:left="-105" w:right="-105"/>
              <w:rPr>
                <w:rFonts w:eastAsia="宋体"/>
                <w:color w:val="auto"/>
                <w:sz w:val="21"/>
                <w:szCs w:val="21"/>
                <w:highlight w:val="none"/>
              </w:rPr>
            </w:pPr>
            <w:r>
              <w:rPr>
                <w:rFonts w:eastAsia="宋体"/>
                <w:color w:val="auto"/>
                <w:sz w:val="21"/>
                <w:szCs w:val="21"/>
                <w:highlight w:val="none"/>
              </w:rPr>
              <w:t>/</w:t>
            </w:r>
          </w:p>
        </w:tc>
        <w:tc>
          <w:tcPr>
            <w:tcW w:w="686" w:type="dxa"/>
            <w:tcBorders>
              <w:top w:val="single" w:color="000000" w:sz="4" w:space="0"/>
              <w:left w:val="single" w:color="000000" w:sz="4" w:space="0"/>
              <w:bottom w:val="single" w:color="000000" w:sz="4" w:space="0"/>
              <w:right w:val="single" w:color="000000" w:sz="4" w:space="0"/>
            </w:tcBorders>
            <w:vAlign w:val="center"/>
          </w:tcPr>
          <w:p w14:paraId="4E5C4BD0">
            <w:pPr>
              <w:pStyle w:val="98"/>
              <w:ind w:left="-105" w:right="-105"/>
              <w:rPr>
                <w:rFonts w:eastAsia="宋体"/>
                <w:color w:val="auto"/>
                <w:sz w:val="21"/>
                <w:szCs w:val="21"/>
                <w:highlight w:val="none"/>
              </w:rPr>
            </w:pPr>
            <w:r>
              <w:rPr>
                <w:rFonts w:eastAsia="宋体"/>
                <w:color w:val="auto"/>
                <w:sz w:val="21"/>
                <w:szCs w:val="21"/>
                <w:highlight w:val="none"/>
              </w:rPr>
              <w:t>/</w:t>
            </w:r>
          </w:p>
        </w:tc>
        <w:tc>
          <w:tcPr>
            <w:tcW w:w="683" w:type="dxa"/>
            <w:tcBorders>
              <w:top w:val="single" w:color="000000" w:sz="4" w:space="0"/>
              <w:left w:val="single" w:color="000000" w:sz="4" w:space="0"/>
              <w:bottom w:val="single" w:color="000000" w:sz="4" w:space="0"/>
              <w:right w:val="single" w:color="000000" w:sz="4" w:space="0"/>
            </w:tcBorders>
            <w:vAlign w:val="center"/>
          </w:tcPr>
          <w:p w14:paraId="152F8885">
            <w:pPr>
              <w:pStyle w:val="98"/>
              <w:ind w:left="-105" w:right="-105"/>
              <w:rPr>
                <w:rFonts w:eastAsia="宋体"/>
                <w:color w:val="auto"/>
                <w:sz w:val="21"/>
                <w:szCs w:val="21"/>
                <w:highlight w:val="none"/>
              </w:rPr>
            </w:pPr>
            <w:r>
              <w:rPr>
                <w:rFonts w:eastAsia="宋体"/>
                <w:color w:val="auto"/>
                <w:sz w:val="21"/>
                <w:szCs w:val="21"/>
                <w:highlight w:val="none"/>
              </w:rPr>
              <w:t>/</w:t>
            </w:r>
          </w:p>
        </w:tc>
        <w:tc>
          <w:tcPr>
            <w:tcW w:w="683" w:type="dxa"/>
            <w:tcBorders>
              <w:top w:val="single" w:color="000000" w:sz="4" w:space="0"/>
              <w:left w:val="single" w:color="000000" w:sz="4" w:space="0"/>
              <w:bottom w:val="single" w:color="000000" w:sz="4" w:space="0"/>
              <w:right w:val="single" w:color="000000" w:sz="4" w:space="0"/>
            </w:tcBorders>
            <w:vAlign w:val="center"/>
          </w:tcPr>
          <w:p w14:paraId="1C9521B2">
            <w:pPr>
              <w:pStyle w:val="98"/>
              <w:ind w:left="-105" w:right="-105"/>
              <w:rPr>
                <w:rFonts w:eastAsia="宋体"/>
                <w:color w:val="auto"/>
                <w:sz w:val="21"/>
                <w:szCs w:val="21"/>
                <w:highlight w:val="none"/>
              </w:rPr>
            </w:pPr>
            <w:r>
              <w:rPr>
                <w:rFonts w:eastAsia="宋体"/>
                <w:color w:val="auto"/>
                <w:sz w:val="21"/>
                <w:szCs w:val="21"/>
                <w:highlight w:val="none"/>
              </w:rPr>
              <w:t>/</w:t>
            </w:r>
          </w:p>
        </w:tc>
        <w:tc>
          <w:tcPr>
            <w:tcW w:w="683" w:type="dxa"/>
            <w:tcBorders>
              <w:top w:val="single" w:color="000000" w:sz="4" w:space="0"/>
              <w:left w:val="single" w:color="000000" w:sz="4" w:space="0"/>
              <w:bottom w:val="single" w:color="000000" w:sz="4" w:space="0"/>
              <w:right w:val="single" w:color="000000" w:sz="4" w:space="0"/>
            </w:tcBorders>
            <w:vAlign w:val="center"/>
          </w:tcPr>
          <w:p w14:paraId="146FEE27">
            <w:pPr>
              <w:pStyle w:val="98"/>
              <w:ind w:left="-105" w:right="-105"/>
              <w:rPr>
                <w:rFonts w:eastAsia="宋体"/>
                <w:color w:val="auto"/>
                <w:sz w:val="21"/>
                <w:szCs w:val="21"/>
                <w:highlight w:val="none"/>
              </w:rPr>
            </w:pPr>
            <w:r>
              <w:rPr>
                <w:rFonts w:eastAsia="宋体"/>
                <w:color w:val="auto"/>
                <w:sz w:val="21"/>
                <w:szCs w:val="21"/>
                <w:highlight w:val="none"/>
              </w:rPr>
              <w:t>/</w:t>
            </w:r>
          </w:p>
        </w:tc>
        <w:tc>
          <w:tcPr>
            <w:tcW w:w="685" w:type="dxa"/>
            <w:tcBorders>
              <w:top w:val="single" w:color="000000" w:sz="4" w:space="0"/>
              <w:left w:val="single" w:color="000000" w:sz="4" w:space="0"/>
              <w:bottom w:val="single" w:color="000000" w:sz="4" w:space="0"/>
              <w:right w:val="single" w:color="000000" w:sz="4" w:space="0"/>
            </w:tcBorders>
            <w:vAlign w:val="center"/>
          </w:tcPr>
          <w:p w14:paraId="44E24CB6">
            <w:pPr>
              <w:pStyle w:val="98"/>
              <w:ind w:left="-105" w:right="-105"/>
              <w:rPr>
                <w:rFonts w:eastAsia="宋体"/>
                <w:color w:val="auto"/>
                <w:sz w:val="21"/>
                <w:szCs w:val="21"/>
                <w:highlight w:val="none"/>
              </w:rPr>
            </w:pPr>
            <w:r>
              <w:rPr>
                <w:rFonts w:eastAsia="宋体"/>
                <w:color w:val="auto"/>
                <w:sz w:val="21"/>
                <w:szCs w:val="21"/>
                <w:highlight w:val="none"/>
              </w:rPr>
              <w:t>/</w:t>
            </w:r>
          </w:p>
        </w:tc>
        <w:tc>
          <w:tcPr>
            <w:tcW w:w="683" w:type="dxa"/>
            <w:tcBorders>
              <w:top w:val="single" w:color="000000" w:sz="4" w:space="0"/>
              <w:left w:val="single" w:color="000000" w:sz="4" w:space="0"/>
              <w:bottom w:val="single" w:color="000000" w:sz="4" w:space="0"/>
              <w:right w:val="single" w:color="000000" w:sz="4" w:space="0"/>
            </w:tcBorders>
            <w:vAlign w:val="center"/>
          </w:tcPr>
          <w:p w14:paraId="05E51D06">
            <w:pPr>
              <w:pStyle w:val="98"/>
              <w:ind w:left="-105" w:right="-105"/>
              <w:rPr>
                <w:rFonts w:eastAsia="宋体"/>
                <w:color w:val="auto"/>
                <w:sz w:val="21"/>
                <w:szCs w:val="21"/>
                <w:highlight w:val="none"/>
              </w:rPr>
            </w:pPr>
            <w:r>
              <w:rPr>
                <w:rFonts w:eastAsia="宋体"/>
                <w:color w:val="auto"/>
                <w:sz w:val="21"/>
                <w:szCs w:val="21"/>
                <w:highlight w:val="none"/>
              </w:rPr>
              <w:t>/</w:t>
            </w:r>
          </w:p>
        </w:tc>
        <w:tc>
          <w:tcPr>
            <w:tcW w:w="683" w:type="dxa"/>
            <w:tcBorders>
              <w:top w:val="single" w:color="000000" w:sz="4" w:space="0"/>
              <w:left w:val="single" w:color="000000" w:sz="4" w:space="0"/>
              <w:bottom w:val="single" w:color="000000" w:sz="4" w:space="0"/>
              <w:right w:val="single" w:color="000000" w:sz="4" w:space="0"/>
            </w:tcBorders>
          </w:tcPr>
          <w:p w14:paraId="79434CE7">
            <w:pPr>
              <w:pStyle w:val="98"/>
              <w:ind w:left="-105" w:right="-105"/>
              <w:rPr>
                <w:rFonts w:eastAsia="宋体"/>
                <w:color w:val="auto"/>
                <w:sz w:val="21"/>
                <w:szCs w:val="21"/>
                <w:highlight w:val="none"/>
              </w:rPr>
            </w:pPr>
            <w:r>
              <w:rPr>
                <w:rFonts w:eastAsia="宋体"/>
                <w:color w:val="auto"/>
                <w:sz w:val="21"/>
                <w:szCs w:val="21"/>
                <w:highlight w:val="none"/>
              </w:rPr>
              <w:t>/</w:t>
            </w:r>
          </w:p>
        </w:tc>
        <w:tc>
          <w:tcPr>
            <w:tcW w:w="683" w:type="dxa"/>
            <w:tcBorders>
              <w:top w:val="single" w:color="000000" w:sz="4" w:space="0"/>
              <w:left w:val="single" w:color="000000" w:sz="4" w:space="0"/>
              <w:bottom w:val="single" w:color="000000" w:sz="4" w:space="0"/>
              <w:right w:val="single" w:color="000000" w:sz="4" w:space="0"/>
            </w:tcBorders>
          </w:tcPr>
          <w:p w14:paraId="1ABFD297">
            <w:pPr>
              <w:pStyle w:val="98"/>
              <w:ind w:left="-105" w:right="-105"/>
              <w:rPr>
                <w:rFonts w:eastAsia="宋体"/>
                <w:color w:val="auto"/>
                <w:sz w:val="21"/>
                <w:szCs w:val="21"/>
                <w:highlight w:val="none"/>
              </w:rPr>
            </w:pPr>
            <w:r>
              <w:rPr>
                <w:rFonts w:eastAsia="宋体"/>
                <w:color w:val="auto"/>
                <w:sz w:val="21"/>
                <w:szCs w:val="21"/>
                <w:highlight w:val="none"/>
              </w:rPr>
              <w:t>/</w:t>
            </w:r>
          </w:p>
        </w:tc>
        <w:tc>
          <w:tcPr>
            <w:tcW w:w="683" w:type="dxa"/>
            <w:tcBorders>
              <w:top w:val="single" w:color="000000" w:sz="4" w:space="0"/>
              <w:left w:val="single" w:color="000000" w:sz="4" w:space="0"/>
              <w:bottom w:val="single" w:color="000000" w:sz="4" w:space="0"/>
              <w:right w:val="single" w:color="000000" w:sz="4" w:space="0"/>
            </w:tcBorders>
          </w:tcPr>
          <w:p w14:paraId="2141ADF6">
            <w:pPr>
              <w:pStyle w:val="98"/>
              <w:ind w:left="-105" w:right="-105"/>
              <w:rPr>
                <w:rFonts w:eastAsia="宋体"/>
                <w:color w:val="auto"/>
                <w:sz w:val="21"/>
                <w:szCs w:val="21"/>
                <w:highlight w:val="none"/>
              </w:rPr>
            </w:pPr>
            <w:r>
              <w:rPr>
                <w:rFonts w:eastAsia="宋体"/>
                <w:color w:val="auto"/>
                <w:sz w:val="21"/>
                <w:szCs w:val="21"/>
                <w:highlight w:val="none"/>
              </w:rPr>
              <w:t>/</w:t>
            </w:r>
          </w:p>
        </w:tc>
        <w:tc>
          <w:tcPr>
            <w:tcW w:w="683" w:type="dxa"/>
            <w:tcBorders>
              <w:top w:val="single" w:color="000000" w:sz="4" w:space="0"/>
              <w:left w:val="single" w:color="000000" w:sz="4" w:space="0"/>
              <w:bottom w:val="single" w:color="000000" w:sz="4" w:space="0"/>
              <w:right w:val="single" w:color="000000" w:sz="4" w:space="0"/>
            </w:tcBorders>
          </w:tcPr>
          <w:p w14:paraId="19FA82C5">
            <w:pPr>
              <w:pStyle w:val="98"/>
              <w:ind w:left="-105" w:right="-105"/>
              <w:rPr>
                <w:rFonts w:eastAsia="宋体"/>
                <w:color w:val="auto"/>
                <w:sz w:val="21"/>
                <w:szCs w:val="21"/>
                <w:highlight w:val="none"/>
              </w:rPr>
            </w:pPr>
            <w:r>
              <w:rPr>
                <w:rFonts w:eastAsia="宋体"/>
                <w:color w:val="auto"/>
                <w:sz w:val="21"/>
                <w:szCs w:val="21"/>
                <w:highlight w:val="none"/>
              </w:rPr>
              <w:t>/</w:t>
            </w:r>
          </w:p>
        </w:tc>
        <w:tc>
          <w:tcPr>
            <w:tcW w:w="684" w:type="dxa"/>
            <w:tcBorders>
              <w:top w:val="single" w:color="000000" w:sz="4" w:space="0"/>
              <w:left w:val="single" w:color="000000" w:sz="4" w:space="0"/>
              <w:bottom w:val="single" w:color="000000" w:sz="4" w:space="0"/>
              <w:right w:val="single" w:color="000000" w:sz="4" w:space="0"/>
            </w:tcBorders>
          </w:tcPr>
          <w:p w14:paraId="2B66EE9C">
            <w:pPr>
              <w:pStyle w:val="98"/>
              <w:ind w:left="-105" w:right="-105"/>
              <w:rPr>
                <w:rFonts w:eastAsia="宋体"/>
                <w:color w:val="auto"/>
                <w:sz w:val="21"/>
                <w:szCs w:val="21"/>
                <w:highlight w:val="none"/>
              </w:rPr>
            </w:pPr>
            <w:r>
              <w:rPr>
                <w:rFonts w:eastAsia="宋体"/>
                <w:color w:val="auto"/>
                <w:sz w:val="21"/>
                <w:szCs w:val="21"/>
                <w:highlight w:val="none"/>
              </w:rPr>
              <w:t>/</w:t>
            </w:r>
          </w:p>
        </w:tc>
        <w:tc>
          <w:tcPr>
            <w:tcW w:w="686" w:type="dxa"/>
            <w:tcBorders>
              <w:top w:val="single" w:color="000000" w:sz="4" w:space="0"/>
              <w:left w:val="single" w:color="000000" w:sz="4" w:space="0"/>
              <w:bottom w:val="single" w:color="000000" w:sz="4" w:space="0"/>
              <w:right w:val="single" w:color="000000" w:sz="4" w:space="0"/>
            </w:tcBorders>
          </w:tcPr>
          <w:p w14:paraId="4FF5F990">
            <w:pPr>
              <w:pStyle w:val="98"/>
              <w:ind w:left="-105" w:right="-105"/>
              <w:rPr>
                <w:rFonts w:eastAsia="宋体"/>
                <w:color w:val="auto"/>
                <w:sz w:val="21"/>
                <w:szCs w:val="21"/>
                <w:highlight w:val="none"/>
              </w:rPr>
            </w:pPr>
            <w:r>
              <w:rPr>
                <w:rFonts w:eastAsia="宋体"/>
                <w:color w:val="auto"/>
                <w:sz w:val="21"/>
                <w:szCs w:val="21"/>
                <w:highlight w:val="none"/>
              </w:rPr>
              <w:t>/</w:t>
            </w:r>
          </w:p>
        </w:tc>
        <w:tc>
          <w:tcPr>
            <w:tcW w:w="684" w:type="dxa"/>
            <w:tcBorders>
              <w:top w:val="single" w:color="000000" w:sz="4" w:space="0"/>
              <w:left w:val="single" w:color="000000" w:sz="4" w:space="0"/>
              <w:bottom w:val="single" w:color="000000" w:sz="4" w:space="0"/>
              <w:right w:val="single" w:color="000000" w:sz="4" w:space="0"/>
            </w:tcBorders>
            <w:vAlign w:val="center"/>
          </w:tcPr>
          <w:p w14:paraId="781409E1">
            <w:pPr>
              <w:pStyle w:val="98"/>
              <w:ind w:left="-105" w:right="-105"/>
              <w:rPr>
                <w:rFonts w:eastAsia="宋体"/>
                <w:color w:val="auto"/>
                <w:sz w:val="21"/>
                <w:szCs w:val="21"/>
                <w:highlight w:val="none"/>
              </w:rPr>
            </w:pPr>
            <w:r>
              <w:rPr>
                <w:rFonts w:eastAsia="宋体"/>
                <w:color w:val="auto"/>
                <w:sz w:val="21"/>
                <w:szCs w:val="21"/>
                <w:highlight w:val="none"/>
              </w:rPr>
              <w:t>1.20</w:t>
            </w:r>
          </w:p>
        </w:tc>
        <w:tc>
          <w:tcPr>
            <w:tcW w:w="645" w:type="dxa"/>
            <w:tcBorders>
              <w:top w:val="single" w:color="000000" w:sz="4" w:space="0"/>
              <w:left w:val="single" w:color="000000" w:sz="4" w:space="0"/>
              <w:bottom w:val="single" w:color="000000" w:sz="4" w:space="0"/>
              <w:right w:val="single" w:color="000000" w:sz="4" w:space="0"/>
            </w:tcBorders>
            <w:vAlign w:val="center"/>
          </w:tcPr>
          <w:p w14:paraId="5D5D321D">
            <w:pPr>
              <w:pStyle w:val="98"/>
              <w:ind w:left="-105" w:right="-105"/>
              <w:rPr>
                <w:rFonts w:eastAsia="宋体"/>
                <w:color w:val="auto"/>
                <w:sz w:val="21"/>
                <w:szCs w:val="21"/>
                <w:highlight w:val="none"/>
              </w:rPr>
            </w:pPr>
            <w:r>
              <w:rPr>
                <w:rFonts w:eastAsia="宋体"/>
                <w:color w:val="auto"/>
                <w:sz w:val="21"/>
                <w:szCs w:val="21"/>
                <w:highlight w:val="none"/>
              </w:rPr>
              <w:t>/</w:t>
            </w:r>
          </w:p>
        </w:tc>
        <w:tc>
          <w:tcPr>
            <w:tcW w:w="1134" w:type="dxa"/>
            <w:tcBorders>
              <w:top w:val="single" w:color="000000" w:sz="4" w:space="0"/>
              <w:left w:val="single" w:color="000000" w:sz="4" w:space="0"/>
              <w:bottom w:val="single" w:color="000000" w:sz="4" w:space="0"/>
              <w:right w:val="nil"/>
            </w:tcBorders>
            <w:vAlign w:val="center"/>
          </w:tcPr>
          <w:p w14:paraId="1A0F34C2">
            <w:pPr>
              <w:pStyle w:val="98"/>
              <w:ind w:left="-105" w:right="-105"/>
              <w:rPr>
                <w:rFonts w:eastAsia="宋体"/>
                <w:color w:val="auto"/>
                <w:sz w:val="21"/>
                <w:szCs w:val="21"/>
                <w:highlight w:val="none"/>
              </w:rPr>
            </w:pPr>
            <w:r>
              <w:rPr>
                <w:rFonts w:eastAsia="宋体"/>
                <w:color w:val="auto"/>
                <w:sz w:val="21"/>
                <w:szCs w:val="21"/>
                <w:highlight w:val="none"/>
              </w:rPr>
              <w:t>1.20</w:t>
            </w:r>
          </w:p>
        </w:tc>
      </w:tr>
      <w:tr w14:paraId="1FF98710">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108" w:type="dxa"/>
            <w:bottom w:w="0" w:type="dxa"/>
            <w:right w:w="108" w:type="dxa"/>
          </w:tblCellMar>
        </w:tblPrEx>
        <w:trPr>
          <w:trHeight w:val="210" w:hRule="atLeast"/>
          <w:jc w:val="center"/>
        </w:trPr>
        <w:tc>
          <w:tcPr>
            <w:tcW w:w="1116" w:type="dxa"/>
            <w:vMerge w:val="continue"/>
            <w:tcBorders>
              <w:top w:val="nil"/>
              <w:left w:val="nil"/>
              <w:bottom w:val="single" w:color="000000" w:sz="4" w:space="0"/>
              <w:right w:val="single" w:color="000000" w:sz="4" w:space="0"/>
            </w:tcBorders>
            <w:vAlign w:val="center"/>
          </w:tcPr>
          <w:p w14:paraId="33E84843">
            <w:pPr>
              <w:ind w:left="-105" w:right="-105"/>
              <w:jc w:val="center"/>
              <w:rPr>
                <w:rFonts w:ascii="Times New Roman" w:hAnsi="Times New Roman" w:cs="Times New Roman"/>
                <w:color w:val="auto"/>
                <w:sz w:val="21"/>
                <w:szCs w:val="21"/>
                <w:highlight w:val="none"/>
              </w:rPr>
            </w:pPr>
          </w:p>
        </w:tc>
        <w:tc>
          <w:tcPr>
            <w:tcW w:w="742" w:type="dxa"/>
            <w:tcBorders>
              <w:top w:val="single" w:color="000000" w:sz="4" w:space="0"/>
              <w:left w:val="single" w:color="000000" w:sz="4" w:space="0"/>
              <w:bottom w:val="single" w:color="000000" w:sz="4" w:space="0"/>
              <w:right w:val="single" w:color="000000" w:sz="4" w:space="0"/>
            </w:tcBorders>
            <w:vAlign w:val="center"/>
          </w:tcPr>
          <w:p w14:paraId="75D52D97">
            <w:pPr>
              <w:pStyle w:val="98"/>
              <w:ind w:left="-105" w:right="-105"/>
              <w:rPr>
                <w:rFonts w:eastAsia="宋体"/>
                <w:color w:val="auto"/>
                <w:sz w:val="21"/>
                <w:szCs w:val="21"/>
                <w:highlight w:val="none"/>
              </w:rPr>
            </w:pPr>
            <w:r>
              <w:rPr>
                <w:rFonts w:eastAsia="宋体"/>
                <w:color w:val="auto"/>
                <w:sz w:val="21"/>
                <w:szCs w:val="21"/>
                <w:highlight w:val="none"/>
              </w:rPr>
              <w:t>B</w:t>
            </w:r>
          </w:p>
        </w:tc>
        <w:tc>
          <w:tcPr>
            <w:tcW w:w="683" w:type="dxa"/>
            <w:tcBorders>
              <w:top w:val="single" w:color="000000" w:sz="4" w:space="0"/>
              <w:left w:val="single" w:color="000000" w:sz="4" w:space="0"/>
              <w:bottom w:val="single" w:color="000000" w:sz="4" w:space="0"/>
              <w:right w:val="single" w:color="000000" w:sz="4" w:space="0"/>
            </w:tcBorders>
            <w:vAlign w:val="center"/>
          </w:tcPr>
          <w:p w14:paraId="4A521C02">
            <w:pPr>
              <w:pStyle w:val="98"/>
              <w:ind w:left="-105" w:right="-105"/>
              <w:rPr>
                <w:rFonts w:eastAsia="宋体"/>
                <w:color w:val="auto"/>
                <w:sz w:val="21"/>
                <w:szCs w:val="21"/>
                <w:highlight w:val="none"/>
              </w:rPr>
            </w:pPr>
            <w:r>
              <w:rPr>
                <w:rFonts w:eastAsia="宋体"/>
                <w:color w:val="auto"/>
                <w:sz w:val="21"/>
                <w:szCs w:val="21"/>
                <w:highlight w:val="none"/>
              </w:rPr>
              <w:t>0.4</w:t>
            </w:r>
          </w:p>
        </w:tc>
        <w:tc>
          <w:tcPr>
            <w:tcW w:w="683" w:type="dxa"/>
            <w:tcBorders>
              <w:top w:val="single" w:color="000000" w:sz="4" w:space="0"/>
              <w:left w:val="single" w:color="000000" w:sz="4" w:space="0"/>
              <w:bottom w:val="single" w:color="000000" w:sz="4" w:space="0"/>
              <w:right w:val="single" w:color="000000" w:sz="4" w:space="0"/>
            </w:tcBorders>
            <w:vAlign w:val="center"/>
          </w:tcPr>
          <w:p w14:paraId="23D94143">
            <w:pPr>
              <w:pStyle w:val="98"/>
              <w:ind w:left="-105" w:right="-105"/>
              <w:rPr>
                <w:rFonts w:eastAsia="宋体"/>
                <w:color w:val="auto"/>
                <w:sz w:val="21"/>
                <w:szCs w:val="21"/>
                <w:highlight w:val="none"/>
              </w:rPr>
            </w:pPr>
            <w:r>
              <w:rPr>
                <w:rFonts w:eastAsia="宋体"/>
                <w:color w:val="auto"/>
                <w:sz w:val="21"/>
                <w:szCs w:val="21"/>
                <w:highlight w:val="none"/>
              </w:rPr>
              <w:t>/</w:t>
            </w:r>
          </w:p>
        </w:tc>
        <w:tc>
          <w:tcPr>
            <w:tcW w:w="686" w:type="dxa"/>
            <w:tcBorders>
              <w:top w:val="single" w:color="000000" w:sz="4" w:space="0"/>
              <w:left w:val="single" w:color="000000" w:sz="4" w:space="0"/>
              <w:bottom w:val="single" w:color="000000" w:sz="4" w:space="0"/>
              <w:right w:val="single" w:color="000000" w:sz="4" w:space="0"/>
            </w:tcBorders>
            <w:vAlign w:val="center"/>
          </w:tcPr>
          <w:p w14:paraId="194943FF">
            <w:pPr>
              <w:pStyle w:val="98"/>
              <w:ind w:left="-105" w:right="-105"/>
              <w:rPr>
                <w:rFonts w:eastAsia="宋体"/>
                <w:color w:val="auto"/>
                <w:sz w:val="21"/>
                <w:szCs w:val="21"/>
                <w:highlight w:val="none"/>
              </w:rPr>
            </w:pPr>
            <w:r>
              <w:rPr>
                <w:rFonts w:eastAsia="宋体"/>
                <w:color w:val="auto"/>
                <w:sz w:val="21"/>
                <w:szCs w:val="21"/>
                <w:highlight w:val="none"/>
              </w:rPr>
              <w:t>/</w:t>
            </w:r>
          </w:p>
        </w:tc>
        <w:tc>
          <w:tcPr>
            <w:tcW w:w="683" w:type="dxa"/>
            <w:tcBorders>
              <w:top w:val="single" w:color="000000" w:sz="4" w:space="0"/>
              <w:left w:val="single" w:color="000000" w:sz="4" w:space="0"/>
              <w:bottom w:val="single" w:color="000000" w:sz="4" w:space="0"/>
              <w:right w:val="single" w:color="000000" w:sz="4" w:space="0"/>
            </w:tcBorders>
            <w:vAlign w:val="center"/>
          </w:tcPr>
          <w:p w14:paraId="786CE0A8">
            <w:pPr>
              <w:pStyle w:val="98"/>
              <w:ind w:left="-105" w:right="-105"/>
              <w:rPr>
                <w:rFonts w:eastAsia="宋体"/>
                <w:color w:val="auto"/>
                <w:sz w:val="21"/>
                <w:szCs w:val="21"/>
                <w:highlight w:val="none"/>
              </w:rPr>
            </w:pPr>
            <w:r>
              <w:rPr>
                <w:rFonts w:eastAsia="宋体"/>
                <w:color w:val="auto"/>
                <w:sz w:val="21"/>
                <w:szCs w:val="21"/>
                <w:highlight w:val="none"/>
              </w:rPr>
              <w:t>0.2</w:t>
            </w:r>
          </w:p>
        </w:tc>
        <w:tc>
          <w:tcPr>
            <w:tcW w:w="683" w:type="dxa"/>
            <w:tcBorders>
              <w:top w:val="single" w:color="000000" w:sz="4" w:space="0"/>
              <w:left w:val="single" w:color="000000" w:sz="4" w:space="0"/>
              <w:bottom w:val="single" w:color="000000" w:sz="4" w:space="0"/>
              <w:right w:val="single" w:color="000000" w:sz="4" w:space="0"/>
            </w:tcBorders>
            <w:vAlign w:val="center"/>
          </w:tcPr>
          <w:p w14:paraId="357C7384">
            <w:pPr>
              <w:pStyle w:val="98"/>
              <w:ind w:left="-105" w:right="-105"/>
              <w:rPr>
                <w:rFonts w:eastAsia="宋体"/>
                <w:color w:val="auto"/>
                <w:sz w:val="21"/>
                <w:szCs w:val="21"/>
                <w:highlight w:val="none"/>
              </w:rPr>
            </w:pPr>
            <w:r>
              <w:rPr>
                <w:rFonts w:eastAsia="宋体"/>
                <w:color w:val="auto"/>
                <w:sz w:val="21"/>
                <w:szCs w:val="21"/>
                <w:highlight w:val="none"/>
              </w:rPr>
              <w:t>/</w:t>
            </w:r>
          </w:p>
        </w:tc>
        <w:tc>
          <w:tcPr>
            <w:tcW w:w="683" w:type="dxa"/>
            <w:tcBorders>
              <w:top w:val="single" w:color="000000" w:sz="4" w:space="0"/>
              <w:left w:val="single" w:color="000000" w:sz="4" w:space="0"/>
              <w:bottom w:val="single" w:color="000000" w:sz="4" w:space="0"/>
              <w:right w:val="single" w:color="000000" w:sz="4" w:space="0"/>
            </w:tcBorders>
            <w:vAlign w:val="center"/>
          </w:tcPr>
          <w:p w14:paraId="7C570E07">
            <w:pPr>
              <w:pStyle w:val="98"/>
              <w:ind w:left="-105" w:right="-105"/>
              <w:rPr>
                <w:rFonts w:eastAsia="宋体"/>
                <w:color w:val="auto"/>
                <w:sz w:val="21"/>
                <w:szCs w:val="21"/>
                <w:highlight w:val="none"/>
              </w:rPr>
            </w:pPr>
            <w:r>
              <w:rPr>
                <w:rFonts w:eastAsia="宋体"/>
                <w:color w:val="auto"/>
                <w:sz w:val="21"/>
                <w:szCs w:val="21"/>
                <w:highlight w:val="none"/>
              </w:rPr>
              <w:t>0.7</w:t>
            </w:r>
          </w:p>
        </w:tc>
        <w:tc>
          <w:tcPr>
            <w:tcW w:w="685" w:type="dxa"/>
            <w:tcBorders>
              <w:top w:val="single" w:color="000000" w:sz="4" w:space="0"/>
              <w:left w:val="single" w:color="000000" w:sz="4" w:space="0"/>
              <w:bottom w:val="single" w:color="000000" w:sz="4" w:space="0"/>
              <w:right w:val="single" w:color="000000" w:sz="4" w:space="0"/>
            </w:tcBorders>
            <w:vAlign w:val="center"/>
          </w:tcPr>
          <w:p w14:paraId="10356252">
            <w:pPr>
              <w:pStyle w:val="98"/>
              <w:ind w:left="-105" w:right="-105"/>
              <w:rPr>
                <w:rFonts w:eastAsia="宋体"/>
                <w:color w:val="auto"/>
                <w:sz w:val="21"/>
                <w:szCs w:val="21"/>
                <w:highlight w:val="none"/>
              </w:rPr>
            </w:pPr>
            <w:r>
              <w:rPr>
                <w:rFonts w:eastAsia="宋体"/>
                <w:color w:val="auto"/>
                <w:sz w:val="21"/>
                <w:szCs w:val="21"/>
                <w:highlight w:val="none"/>
              </w:rPr>
              <w:t>0.4</w:t>
            </w:r>
          </w:p>
        </w:tc>
        <w:tc>
          <w:tcPr>
            <w:tcW w:w="683" w:type="dxa"/>
            <w:tcBorders>
              <w:top w:val="single" w:color="000000" w:sz="4" w:space="0"/>
              <w:left w:val="single" w:color="000000" w:sz="4" w:space="0"/>
              <w:bottom w:val="single" w:color="000000" w:sz="4" w:space="0"/>
              <w:right w:val="single" w:color="000000" w:sz="4" w:space="0"/>
            </w:tcBorders>
            <w:vAlign w:val="center"/>
          </w:tcPr>
          <w:p w14:paraId="13A85F82">
            <w:pPr>
              <w:pStyle w:val="98"/>
              <w:ind w:left="-105" w:right="-105"/>
              <w:rPr>
                <w:rFonts w:eastAsia="宋体"/>
                <w:color w:val="auto"/>
                <w:sz w:val="21"/>
                <w:szCs w:val="21"/>
                <w:highlight w:val="none"/>
              </w:rPr>
            </w:pPr>
            <w:r>
              <w:rPr>
                <w:rFonts w:eastAsia="宋体"/>
                <w:color w:val="auto"/>
                <w:sz w:val="21"/>
                <w:szCs w:val="21"/>
                <w:highlight w:val="none"/>
              </w:rPr>
              <w:t>0.9</w:t>
            </w:r>
          </w:p>
        </w:tc>
        <w:tc>
          <w:tcPr>
            <w:tcW w:w="683" w:type="dxa"/>
            <w:tcBorders>
              <w:top w:val="single" w:color="000000" w:sz="4" w:space="0"/>
              <w:left w:val="single" w:color="000000" w:sz="4" w:space="0"/>
              <w:bottom w:val="single" w:color="000000" w:sz="4" w:space="0"/>
              <w:right w:val="single" w:color="000000" w:sz="4" w:space="0"/>
            </w:tcBorders>
            <w:vAlign w:val="center"/>
          </w:tcPr>
          <w:p w14:paraId="24B37EBC">
            <w:pPr>
              <w:pStyle w:val="98"/>
              <w:ind w:left="-105" w:right="-105"/>
              <w:rPr>
                <w:rFonts w:eastAsia="宋体"/>
                <w:color w:val="auto"/>
                <w:sz w:val="21"/>
                <w:szCs w:val="21"/>
                <w:highlight w:val="none"/>
              </w:rPr>
            </w:pPr>
            <w:r>
              <w:rPr>
                <w:rFonts w:eastAsia="宋体"/>
                <w:color w:val="auto"/>
                <w:sz w:val="21"/>
                <w:szCs w:val="21"/>
                <w:highlight w:val="none"/>
              </w:rPr>
              <w:t>0.5</w:t>
            </w:r>
          </w:p>
        </w:tc>
        <w:tc>
          <w:tcPr>
            <w:tcW w:w="683" w:type="dxa"/>
            <w:tcBorders>
              <w:top w:val="single" w:color="000000" w:sz="4" w:space="0"/>
              <w:left w:val="single" w:color="000000" w:sz="4" w:space="0"/>
              <w:bottom w:val="single" w:color="000000" w:sz="4" w:space="0"/>
              <w:right w:val="single" w:color="000000" w:sz="4" w:space="0"/>
            </w:tcBorders>
            <w:vAlign w:val="center"/>
          </w:tcPr>
          <w:p w14:paraId="1ECECBBD">
            <w:pPr>
              <w:pStyle w:val="98"/>
              <w:ind w:left="-105" w:right="-105"/>
              <w:rPr>
                <w:rFonts w:eastAsia="宋体"/>
                <w:color w:val="auto"/>
                <w:sz w:val="21"/>
                <w:szCs w:val="21"/>
                <w:highlight w:val="none"/>
              </w:rPr>
            </w:pPr>
            <w:r>
              <w:rPr>
                <w:rFonts w:eastAsia="宋体"/>
                <w:color w:val="auto"/>
                <w:sz w:val="21"/>
                <w:szCs w:val="21"/>
                <w:highlight w:val="none"/>
              </w:rPr>
              <w:t>0.5</w:t>
            </w:r>
          </w:p>
        </w:tc>
        <w:tc>
          <w:tcPr>
            <w:tcW w:w="683" w:type="dxa"/>
            <w:tcBorders>
              <w:top w:val="single" w:color="000000" w:sz="4" w:space="0"/>
              <w:left w:val="single" w:color="000000" w:sz="4" w:space="0"/>
              <w:bottom w:val="single" w:color="000000" w:sz="4" w:space="0"/>
              <w:right w:val="single" w:color="000000" w:sz="4" w:space="0"/>
            </w:tcBorders>
            <w:vAlign w:val="center"/>
          </w:tcPr>
          <w:p w14:paraId="0709FDA7">
            <w:pPr>
              <w:pStyle w:val="98"/>
              <w:ind w:left="-105" w:right="-105"/>
              <w:rPr>
                <w:rFonts w:eastAsia="宋体"/>
                <w:color w:val="auto"/>
                <w:sz w:val="21"/>
                <w:szCs w:val="21"/>
                <w:highlight w:val="none"/>
              </w:rPr>
            </w:pPr>
            <w:r>
              <w:rPr>
                <w:rFonts w:eastAsia="宋体"/>
                <w:color w:val="auto"/>
                <w:sz w:val="21"/>
                <w:szCs w:val="21"/>
                <w:highlight w:val="none"/>
              </w:rPr>
              <w:t>0.4</w:t>
            </w:r>
          </w:p>
        </w:tc>
        <w:tc>
          <w:tcPr>
            <w:tcW w:w="683" w:type="dxa"/>
            <w:tcBorders>
              <w:top w:val="single" w:color="000000" w:sz="4" w:space="0"/>
              <w:left w:val="single" w:color="000000" w:sz="4" w:space="0"/>
              <w:bottom w:val="single" w:color="000000" w:sz="4" w:space="0"/>
              <w:right w:val="single" w:color="000000" w:sz="4" w:space="0"/>
            </w:tcBorders>
            <w:vAlign w:val="center"/>
          </w:tcPr>
          <w:p w14:paraId="44CDF8F2">
            <w:pPr>
              <w:pStyle w:val="98"/>
              <w:ind w:left="-105" w:right="-105"/>
              <w:rPr>
                <w:rFonts w:eastAsia="宋体"/>
                <w:color w:val="auto"/>
                <w:sz w:val="21"/>
                <w:szCs w:val="21"/>
                <w:highlight w:val="none"/>
              </w:rPr>
            </w:pPr>
            <w:r>
              <w:rPr>
                <w:rFonts w:eastAsia="宋体"/>
                <w:color w:val="auto"/>
                <w:sz w:val="21"/>
                <w:szCs w:val="21"/>
                <w:highlight w:val="none"/>
              </w:rPr>
              <w:t>0.2</w:t>
            </w:r>
          </w:p>
        </w:tc>
        <w:tc>
          <w:tcPr>
            <w:tcW w:w="684" w:type="dxa"/>
            <w:tcBorders>
              <w:top w:val="single" w:color="000000" w:sz="4" w:space="0"/>
              <w:left w:val="single" w:color="000000" w:sz="4" w:space="0"/>
              <w:bottom w:val="single" w:color="000000" w:sz="4" w:space="0"/>
              <w:right w:val="single" w:color="000000" w:sz="4" w:space="0"/>
            </w:tcBorders>
          </w:tcPr>
          <w:p w14:paraId="2DB90087">
            <w:pPr>
              <w:pStyle w:val="98"/>
              <w:ind w:left="-105" w:right="-105"/>
              <w:rPr>
                <w:rFonts w:eastAsia="宋体"/>
                <w:color w:val="auto"/>
                <w:sz w:val="21"/>
                <w:szCs w:val="21"/>
                <w:highlight w:val="none"/>
              </w:rPr>
            </w:pPr>
            <w:r>
              <w:rPr>
                <w:rFonts w:eastAsia="宋体"/>
                <w:color w:val="auto"/>
                <w:sz w:val="21"/>
                <w:szCs w:val="21"/>
                <w:highlight w:val="none"/>
              </w:rPr>
              <w:t>/</w:t>
            </w:r>
          </w:p>
        </w:tc>
        <w:tc>
          <w:tcPr>
            <w:tcW w:w="686" w:type="dxa"/>
            <w:tcBorders>
              <w:top w:val="single" w:color="000000" w:sz="4" w:space="0"/>
              <w:left w:val="single" w:color="000000" w:sz="4" w:space="0"/>
              <w:bottom w:val="single" w:color="000000" w:sz="4" w:space="0"/>
              <w:right w:val="single" w:color="000000" w:sz="4" w:space="0"/>
            </w:tcBorders>
          </w:tcPr>
          <w:p w14:paraId="7BA5399B">
            <w:pPr>
              <w:pStyle w:val="98"/>
              <w:ind w:left="-105" w:right="-105"/>
              <w:rPr>
                <w:rFonts w:eastAsia="宋体"/>
                <w:color w:val="auto"/>
                <w:sz w:val="21"/>
                <w:szCs w:val="21"/>
                <w:highlight w:val="none"/>
              </w:rPr>
            </w:pPr>
            <w:r>
              <w:rPr>
                <w:rFonts w:eastAsia="宋体"/>
                <w:color w:val="auto"/>
                <w:sz w:val="21"/>
                <w:szCs w:val="21"/>
                <w:highlight w:val="none"/>
              </w:rPr>
              <w:t>/</w:t>
            </w:r>
          </w:p>
        </w:tc>
        <w:tc>
          <w:tcPr>
            <w:tcW w:w="684" w:type="dxa"/>
            <w:tcBorders>
              <w:top w:val="single" w:color="000000" w:sz="4" w:space="0"/>
              <w:left w:val="single" w:color="000000" w:sz="4" w:space="0"/>
              <w:bottom w:val="single" w:color="000000" w:sz="4" w:space="0"/>
              <w:right w:val="single" w:color="000000" w:sz="4" w:space="0"/>
            </w:tcBorders>
            <w:vAlign w:val="center"/>
          </w:tcPr>
          <w:p w14:paraId="0C87202C">
            <w:pPr>
              <w:pStyle w:val="98"/>
              <w:ind w:left="-105" w:right="-105"/>
              <w:rPr>
                <w:rFonts w:eastAsia="宋体"/>
                <w:color w:val="auto"/>
                <w:sz w:val="21"/>
                <w:szCs w:val="21"/>
                <w:highlight w:val="none"/>
              </w:rPr>
            </w:pPr>
            <w:r>
              <w:rPr>
                <w:rFonts w:eastAsia="宋体"/>
                <w:color w:val="auto"/>
                <w:sz w:val="21"/>
                <w:szCs w:val="21"/>
                <w:highlight w:val="none"/>
              </w:rPr>
              <w:t>0.7</w:t>
            </w:r>
          </w:p>
        </w:tc>
        <w:tc>
          <w:tcPr>
            <w:tcW w:w="645" w:type="dxa"/>
            <w:tcBorders>
              <w:top w:val="single" w:color="000000" w:sz="4" w:space="0"/>
              <w:left w:val="single" w:color="000000" w:sz="4" w:space="0"/>
              <w:bottom w:val="single" w:color="000000" w:sz="4" w:space="0"/>
              <w:right w:val="single" w:color="000000" w:sz="4" w:space="0"/>
            </w:tcBorders>
            <w:vAlign w:val="center"/>
          </w:tcPr>
          <w:p w14:paraId="2DF64B82">
            <w:pPr>
              <w:pStyle w:val="98"/>
              <w:ind w:left="-105" w:right="-105"/>
              <w:rPr>
                <w:rFonts w:eastAsia="宋体"/>
                <w:color w:val="auto"/>
                <w:sz w:val="21"/>
                <w:szCs w:val="21"/>
                <w:highlight w:val="none"/>
              </w:rPr>
            </w:pPr>
            <w:r>
              <w:rPr>
                <w:rFonts w:eastAsia="宋体"/>
                <w:color w:val="auto"/>
                <w:sz w:val="21"/>
                <w:szCs w:val="21"/>
                <w:highlight w:val="none"/>
              </w:rPr>
              <w:t>0.9</w:t>
            </w:r>
          </w:p>
        </w:tc>
        <w:tc>
          <w:tcPr>
            <w:tcW w:w="1134" w:type="dxa"/>
            <w:tcBorders>
              <w:top w:val="single" w:color="000000" w:sz="4" w:space="0"/>
              <w:left w:val="single" w:color="000000" w:sz="4" w:space="0"/>
              <w:bottom w:val="single" w:color="000000" w:sz="4" w:space="0"/>
              <w:right w:val="nil"/>
            </w:tcBorders>
            <w:vAlign w:val="center"/>
          </w:tcPr>
          <w:p w14:paraId="491785C3">
            <w:pPr>
              <w:pStyle w:val="98"/>
              <w:ind w:left="-105" w:right="-105"/>
              <w:rPr>
                <w:rFonts w:eastAsia="宋体"/>
                <w:color w:val="auto"/>
                <w:sz w:val="21"/>
                <w:szCs w:val="21"/>
                <w:highlight w:val="none"/>
              </w:rPr>
            </w:pPr>
            <w:r>
              <w:rPr>
                <w:rFonts w:eastAsia="宋体"/>
                <w:color w:val="auto"/>
                <w:sz w:val="21"/>
                <w:szCs w:val="21"/>
                <w:highlight w:val="none"/>
              </w:rPr>
              <w:t>5.8</w:t>
            </w:r>
          </w:p>
        </w:tc>
      </w:tr>
      <w:tr w14:paraId="7EA197A4">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108" w:type="dxa"/>
            <w:bottom w:w="0" w:type="dxa"/>
            <w:right w:w="108" w:type="dxa"/>
          </w:tblCellMar>
        </w:tblPrEx>
        <w:trPr>
          <w:trHeight w:val="210" w:hRule="atLeast"/>
          <w:jc w:val="center"/>
        </w:trPr>
        <w:tc>
          <w:tcPr>
            <w:tcW w:w="1116" w:type="dxa"/>
            <w:vMerge w:val="continue"/>
            <w:tcBorders>
              <w:top w:val="nil"/>
              <w:left w:val="nil"/>
              <w:bottom w:val="single" w:color="000000" w:sz="4" w:space="0"/>
              <w:right w:val="single" w:color="000000" w:sz="4" w:space="0"/>
            </w:tcBorders>
            <w:vAlign w:val="center"/>
          </w:tcPr>
          <w:p w14:paraId="6C36ECD3">
            <w:pPr>
              <w:ind w:left="-105" w:right="-105"/>
              <w:jc w:val="center"/>
              <w:rPr>
                <w:rFonts w:ascii="Times New Roman" w:hAnsi="Times New Roman" w:cs="Times New Roman"/>
                <w:color w:val="auto"/>
                <w:sz w:val="21"/>
                <w:szCs w:val="21"/>
                <w:highlight w:val="none"/>
              </w:rPr>
            </w:pPr>
          </w:p>
        </w:tc>
        <w:tc>
          <w:tcPr>
            <w:tcW w:w="742" w:type="dxa"/>
            <w:tcBorders>
              <w:top w:val="single" w:color="000000" w:sz="4" w:space="0"/>
              <w:left w:val="single" w:color="000000" w:sz="4" w:space="0"/>
              <w:bottom w:val="single" w:color="000000" w:sz="4" w:space="0"/>
              <w:right w:val="single" w:color="000000" w:sz="4" w:space="0"/>
            </w:tcBorders>
            <w:vAlign w:val="center"/>
          </w:tcPr>
          <w:p w14:paraId="79AC9278">
            <w:pPr>
              <w:pStyle w:val="98"/>
              <w:ind w:left="-105" w:right="-105"/>
              <w:rPr>
                <w:rFonts w:eastAsia="宋体"/>
                <w:color w:val="auto"/>
                <w:sz w:val="21"/>
                <w:szCs w:val="21"/>
                <w:highlight w:val="none"/>
              </w:rPr>
            </w:pPr>
            <w:r>
              <w:rPr>
                <w:rFonts w:eastAsia="宋体"/>
                <w:color w:val="auto"/>
                <w:sz w:val="21"/>
                <w:szCs w:val="21"/>
                <w:highlight w:val="none"/>
              </w:rPr>
              <w:t>C</w:t>
            </w:r>
          </w:p>
        </w:tc>
        <w:tc>
          <w:tcPr>
            <w:tcW w:w="683" w:type="dxa"/>
            <w:tcBorders>
              <w:top w:val="single" w:color="000000" w:sz="4" w:space="0"/>
              <w:left w:val="single" w:color="000000" w:sz="4" w:space="0"/>
              <w:bottom w:val="single" w:color="000000" w:sz="4" w:space="0"/>
              <w:right w:val="single" w:color="000000" w:sz="4" w:space="0"/>
            </w:tcBorders>
            <w:vAlign w:val="center"/>
          </w:tcPr>
          <w:p w14:paraId="32831B16">
            <w:pPr>
              <w:pStyle w:val="98"/>
              <w:ind w:left="-105" w:right="-105"/>
              <w:rPr>
                <w:rFonts w:eastAsia="宋体"/>
                <w:color w:val="auto"/>
                <w:sz w:val="21"/>
                <w:szCs w:val="21"/>
                <w:highlight w:val="none"/>
              </w:rPr>
            </w:pPr>
            <w:r>
              <w:rPr>
                <w:rFonts w:eastAsia="宋体"/>
                <w:color w:val="auto"/>
                <w:sz w:val="21"/>
                <w:szCs w:val="21"/>
                <w:highlight w:val="none"/>
              </w:rPr>
              <w:t>1.1</w:t>
            </w:r>
          </w:p>
        </w:tc>
        <w:tc>
          <w:tcPr>
            <w:tcW w:w="683" w:type="dxa"/>
            <w:tcBorders>
              <w:top w:val="single" w:color="000000" w:sz="4" w:space="0"/>
              <w:left w:val="single" w:color="000000" w:sz="4" w:space="0"/>
              <w:bottom w:val="single" w:color="000000" w:sz="4" w:space="0"/>
              <w:right w:val="single" w:color="000000" w:sz="4" w:space="0"/>
            </w:tcBorders>
            <w:vAlign w:val="center"/>
          </w:tcPr>
          <w:p w14:paraId="2F48C2EB">
            <w:pPr>
              <w:pStyle w:val="98"/>
              <w:ind w:left="-105" w:right="-105"/>
              <w:rPr>
                <w:rFonts w:eastAsia="宋体"/>
                <w:color w:val="auto"/>
                <w:sz w:val="21"/>
                <w:szCs w:val="21"/>
                <w:highlight w:val="none"/>
              </w:rPr>
            </w:pPr>
            <w:r>
              <w:rPr>
                <w:rFonts w:eastAsia="宋体"/>
                <w:color w:val="auto"/>
                <w:sz w:val="21"/>
                <w:szCs w:val="21"/>
                <w:highlight w:val="none"/>
              </w:rPr>
              <w:t>0.5</w:t>
            </w:r>
          </w:p>
        </w:tc>
        <w:tc>
          <w:tcPr>
            <w:tcW w:w="686" w:type="dxa"/>
            <w:tcBorders>
              <w:top w:val="single" w:color="000000" w:sz="4" w:space="0"/>
              <w:left w:val="single" w:color="000000" w:sz="4" w:space="0"/>
              <w:bottom w:val="single" w:color="000000" w:sz="4" w:space="0"/>
              <w:right w:val="single" w:color="000000" w:sz="4" w:space="0"/>
            </w:tcBorders>
            <w:vAlign w:val="center"/>
          </w:tcPr>
          <w:p w14:paraId="30E1DB9B">
            <w:pPr>
              <w:pStyle w:val="98"/>
              <w:ind w:left="-105" w:right="-105"/>
              <w:rPr>
                <w:rFonts w:eastAsia="宋体"/>
                <w:color w:val="auto"/>
                <w:sz w:val="21"/>
                <w:szCs w:val="21"/>
                <w:highlight w:val="none"/>
              </w:rPr>
            </w:pPr>
            <w:r>
              <w:rPr>
                <w:rFonts w:eastAsia="宋体"/>
                <w:color w:val="auto"/>
                <w:sz w:val="21"/>
                <w:szCs w:val="21"/>
                <w:highlight w:val="none"/>
              </w:rPr>
              <w:t>0.6</w:t>
            </w:r>
          </w:p>
        </w:tc>
        <w:tc>
          <w:tcPr>
            <w:tcW w:w="683" w:type="dxa"/>
            <w:tcBorders>
              <w:top w:val="single" w:color="000000" w:sz="4" w:space="0"/>
              <w:left w:val="single" w:color="000000" w:sz="4" w:space="0"/>
              <w:bottom w:val="single" w:color="000000" w:sz="4" w:space="0"/>
              <w:right w:val="single" w:color="000000" w:sz="4" w:space="0"/>
            </w:tcBorders>
            <w:vAlign w:val="center"/>
          </w:tcPr>
          <w:p w14:paraId="1FD4575B">
            <w:pPr>
              <w:pStyle w:val="98"/>
              <w:ind w:left="-105" w:right="-105"/>
              <w:rPr>
                <w:rFonts w:eastAsia="宋体"/>
                <w:color w:val="auto"/>
                <w:sz w:val="21"/>
                <w:szCs w:val="21"/>
                <w:highlight w:val="none"/>
              </w:rPr>
            </w:pPr>
            <w:r>
              <w:rPr>
                <w:rFonts w:eastAsia="宋体"/>
                <w:color w:val="auto"/>
                <w:sz w:val="21"/>
                <w:szCs w:val="21"/>
                <w:highlight w:val="none"/>
              </w:rPr>
              <w:t>0.6</w:t>
            </w:r>
          </w:p>
        </w:tc>
        <w:tc>
          <w:tcPr>
            <w:tcW w:w="683" w:type="dxa"/>
            <w:tcBorders>
              <w:top w:val="single" w:color="000000" w:sz="4" w:space="0"/>
              <w:left w:val="single" w:color="000000" w:sz="4" w:space="0"/>
              <w:bottom w:val="single" w:color="000000" w:sz="4" w:space="0"/>
              <w:right w:val="single" w:color="000000" w:sz="4" w:space="0"/>
            </w:tcBorders>
            <w:vAlign w:val="center"/>
          </w:tcPr>
          <w:p w14:paraId="320DCA53">
            <w:pPr>
              <w:pStyle w:val="98"/>
              <w:ind w:left="-105" w:right="-105"/>
              <w:rPr>
                <w:rFonts w:eastAsia="宋体"/>
                <w:color w:val="auto"/>
                <w:sz w:val="21"/>
                <w:szCs w:val="21"/>
                <w:highlight w:val="none"/>
              </w:rPr>
            </w:pPr>
            <w:r>
              <w:rPr>
                <w:rFonts w:eastAsia="宋体"/>
                <w:color w:val="auto"/>
                <w:sz w:val="21"/>
                <w:szCs w:val="21"/>
                <w:highlight w:val="none"/>
              </w:rPr>
              <w:t>0.5</w:t>
            </w:r>
          </w:p>
        </w:tc>
        <w:tc>
          <w:tcPr>
            <w:tcW w:w="683" w:type="dxa"/>
            <w:tcBorders>
              <w:top w:val="single" w:color="000000" w:sz="4" w:space="0"/>
              <w:left w:val="single" w:color="000000" w:sz="4" w:space="0"/>
              <w:bottom w:val="single" w:color="000000" w:sz="4" w:space="0"/>
              <w:right w:val="single" w:color="000000" w:sz="4" w:space="0"/>
            </w:tcBorders>
            <w:vAlign w:val="center"/>
          </w:tcPr>
          <w:p w14:paraId="08AE0E94">
            <w:pPr>
              <w:pStyle w:val="98"/>
              <w:ind w:left="-105" w:right="-105"/>
              <w:rPr>
                <w:rFonts w:eastAsia="宋体"/>
                <w:color w:val="auto"/>
                <w:sz w:val="21"/>
                <w:szCs w:val="21"/>
                <w:highlight w:val="none"/>
              </w:rPr>
            </w:pPr>
            <w:r>
              <w:rPr>
                <w:rFonts w:eastAsia="宋体"/>
                <w:color w:val="auto"/>
                <w:sz w:val="21"/>
                <w:szCs w:val="21"/>
                <w:highlight w:val="none"/>
              </w:rPr>
              <w:t>0.9</w:t>
            </w:r>
          </w:p>
        </w:tc>
        <w:tc>
          <w:tcPr>
            <w:tcW w:w="685" w:type="dxa"/>
            <w:tcBorders>
              <w:top w:val="single" w:color="000000" w:sz="4" w:space="0"/>
              <w:left w:val="single" w:color="000000" w:sz="4" w:space="0"/>
              <w:bottom w:val="single" w:color="000000" w:sz="4" w:space="0"/>
              <w:right w:val="single" w:color="000000" w:sz="4" w:space="0"/>
            </w:tcBorders>
            <w:vAlign w:val="center"/>
          </w:tcPr>
          <w:p w14:paraId="616A7310">
            <w:pPr>
              <w:pStyle w:val="98"/>
              <w:ind w:left="-105" w:right="-105"/>
              <w:rPr>
                <w:rFonts w:eastAsia="宋体"/>
                <w:color w:val="auto"/>
                <w:sz w:val="21"/>
                <w:szCs w:val="21"/>
                <w:highlight w:val="none"/>
              </w:rPr>
            </w:pPr>
            <w:r>
              <w:rPr>
                <w:rFonts w:eastAsia="宋体"/>
                <w:color w:val="auto"/>
                <w:sz w:val="21"/>
                <w:szCs w:val="21"/>
                <w:highlight w:val="none"/>
              </w:rPr>
              <w:t>1.6</w:t>
            </w:r>
          </w:p>
        </w:tc>
        <w:tc>
          <w:tcPr>
            <w:tcW w:w="683" w:type="dxa"/>
            <w:tcBorders>
              <w:top w:val="single" w:color="000000" w:sz="4" w:space="0"/>
              <w:left w:val="single" w:color="000000" w:sz="4" w:space="0"/>
              <w:bottom w:val="single" w:color="000000" w:sz="4" w:space="0"/>
              <w:right w:val="single" w:color="000000" w:sz="4" w:space="0"/>
            </w:tcBorders>
            <w:vAlign w:val="center"/>
          </w:tcPr>
          <w:p w14:paraId="03FC0BE7">
            <w:pPr>
              <w:pStyle w:val="98"/>
              <w:ind w:left="-105" w:right="-105"/>
              <w:rPr>
                <w:rFonts w:eastAsia="宋体"/>
                <w:color w:val="auto"/>
                <w:sz w:val="21"/>
                <w:szCs w:val="21"/>
                <w:highlight w:val="none"/>
              </w:rPr>
            </w:pPr>
            <w:r>
              <w:rPr>
                <w:rFonts w:eastAsia="宋体"/>
                <w:color w:val="auto"/>
                <w:sz w:val="21"/>
                <w:szCs w:val="21"/>
                <w:highlight w:val="none"/>
              </w:rPr>
              <w:t>1.8</w:t>
            </w:r>
          </w:p>
        </w:tc>
        <w:tc>
          <w:tcPr>
            <w:tcW w:w="683" w:type="dxa"/>
            <w:tcBorders>
              <w:top w:val="single" w:color="000000" w:sz="4" w:space="0"/>
              <w:left w:val="single" w:color="000000" w:sz="4" w:space="0"/>
              <w:bottom w:val="single" w:color="000000" w:sz="4" w:space="0"/>
              <w:right w:val="single" w:color="000000" w:sz="4" w:space="0"/>
            </w:tcBorders>
            <w:vAlign w:val="center"/>
          </w:tcPr>
          <w:p w14:paraId="6BAE2C63">
            <w:pPr>
              <w:pStyle w:val="98"/>
              <w:ind w:left="-105" w:right="-105"/>
              <w:rPr>
                <w:rFonts w:eastAsia="宋体"/>
                <w:color w:val="auto"/>
                <w:sz w:val="21"/>
                <w:szCs w:val="21"/>
                <w:highlight w:val="none"/>
              </w:rPr>
            </w:pPr>
            <w:r>
              <w:rPr>
                <w:rFonts w:eastAsia="宋体"/>
                <w:color w:val="auto"/>
                <w:sz w:val="21"/>
                <w:szCs w:val="21"/>
                <w:highlight w:val="none"/>
              </w:rPr>
              <w:t>1.4</w:t>
            </w:r>
          </w:p>
        </w:tc>
        <w:tc>
          <w:tcPr>
            <w:tcW w:w="683" w:type="dxa"/>
            <w:tcBorders>
              <w:top w:val="single" w:color="000000" w:sz="4" w:space="0"/>
              <w:left w:val="single" w:color="000000" w:sz="4" w:space="0"/>
              <w:bottom w:val="single" w:color="000000" w:sz="4" w:space="0"/>
              <w:right w:val="single" w:color="000000" w:sz="4" w:space="0"/>
            </w:tcBorders>
            <w:vAlign w:val="center"/>
          </w:tcPr>
          <w:p w14:paraId="29BFD7B7">
            <w:pPr>
              <w:pStyle w:val="98"/>
              <w:ind w:left="-105" w:right="-105"/>
              <w:rPr>
                <w:rFonts w:eastAsia="宋体"/>
                <w:color w:val="auto"/>
                <w:sz w:val="21"/>
                <w:szCs w:val="21"/>
                <w:highlight w:val="none"/>
              </w:rPr>
            </w:pPr>
            <w:r>
              <w:rPr>
                <w:rFonts w:eastAsia="宋体"/>
                <w:color w:val="auto"/>
                <w:sz w:val="21"/>
                <w:szCs w:val="21"/>
                <w:highlight w:val="none"/>
              </w:rPr>
              <w:t>0.6</w:t>
            </w:r>
          </w:p>
        </w:tc>
        <w:tc>
          <w:tcPr>
            <w:tcW w:w="683" w:type="dxa"/>
            <w:tcBorders>
              <w:top w:val="single" w:color="000000" w:sz="4" w:space="0"/>
              <w:left w:val="single" w:color="000000" w:sz="4" w:space="0"/>
              <w:bottom w:val="single" w:color="000000" w:sz="4" w:space="0"/>
              <w:right w:val="single" w:color="000000" w:sz="4" w:space="0"/>
            </w:tcBorders>
            <w:vAlign w:val="center"/>
          </w:tcPr>
          <w:p w14:paraId="3DE65086">
            <w:pPr>
              <w:pStyle w:val="98"/>
              <w:ind w:left="-105" w:right="-105"/>
              <w:rPr>
                <w:rFonts w:eastAsia="宋体"/>
                <w:color w:val="auto"/>
                <w:sz w:val="21"/>
                <w:szCs w:val="21"/>
                <w:highlight w:val="none"/>
              </w:rPr>
            </w:pPr>
            <w:r>
              <w:rPr>
                <w:rFonts w:eastAsia="宋体"/>
                <w:color w:val="auto"/>
                <w:sz w:val="21"/>
                <w:szCs w:val="21"/>
                <w:highlight w:val="none"/>
              </w:rPr>
              <w:t>0.5</w:t>
            </w:r>
          </w:p>
        </w:tc>
        <w:tc>
          <w:tcPr>
            <w:tcW w:w="683" w:type="dxa"/>
            <w:tcBorders>
              <w:top w:val="single" w:color="000000" w:sz="4" w:space="0"/>
              <w:left w:val="single" w:color="000000" w:sz="4" w:space="0"/>
              <w:bottom w:val="single" w:color="000000" w:sz="4" w:space="0"/>
              <w:right w:val="single" w:color="000000" w:sz="4" w:space="0"/>
            </w:tcBorders>
            <w:vAlign w:val="center"/>
          </w:tcPr>
          <w:p w14:paraId="499C25F6">
            <w:pPr>
              <w:pStyle w:val="98"/>
              <w:ind w:left="-105" w:right="-105"/>
              <w:rPr>
                <w:rFonts w:eastAsia="宋体"/>
                <w:color w:val="auto"/>
                <w:sz w:val="21"/>
                <w:szCs w:val="21"/>
                <w:highlight w:val="none"/>
              </w:rPr>
            </w:pPr>
            <w:r>
              <w:rPr>
                <w:rFonts w:eastAsia="宋体"/>
                <w:color w:val="auto"/>
                <w:sz w:val="21"/>
                <w:szCs w:val="21"/>
                <w:highlight w:val="none"/>
              </w:rPr>
              <w:t>0.2</w:t>
            </w:r>
          </w:p>
        </w:tc>
        <w:tc>
          <w:tcPr>
            <w:tcW w:w="684" w:type="dxa"/>
            <w:tcBorders>
              <w:top w:val="single" w:color="000000" w:sz="4" w:space="0"/>
              <w:left w:val="single" w:color="000000" w:sz="4" w:space="0"/>
              <w:bottom w:val="single" w:color="000000" w:sz="4" w:space="0"/>
              <w:right w:val="single" w:color="000000" w:sz="4" w:space="0"/>
            </w:tcBorders>
            <w:vAlign w:val="center"/>
          </w:tcPr>
          <w:p w14:paraId="01215D1D">
            <w:pPr>
              <w:pStyle w:val="98"/>
              <w:ind w:left="-105" w:right="-105"/>
              <w:rPr>
                <w:rFonts w:eastAsia="宋体"/>
                <w:color w:val="auto"/>
                <w:sz w:val="21"/>
                <w:szCs w:val="21"/>
                <w:highlight w:val="none"/>
              </w:rPr>
            </w:pPr>
            <w:r>
              <w:rPr>
                <w:rFonts w:eastAsia="宋体"/>
                <w:color w:val="auto"/>
                <w:sz w:val="21"/>
                <w:szCs w:val="21"/>
                <w:highlight w:val="none"/>
              </w:rPr>
              <w:t>0.9</w:t>
            </w:r>
          </w:p>
        </w:tc>
        <w:tc>
          <w:tcPr>
            <w:tcW w:w="686" w:type="dxa"/>
            <w:tcBorders>
              <w:top w:val="single" w:color="000000" w:sz="4" w:space="0"/>
              <w:left w:val="single" w:color="000000" w:sz="4" w:space="0"/>
              <w:bottom w:val="single" w:color="000000" w:sz="4" w:space="0"/>
              <w:right w:val="single" w:color="000000" w:sz="4" w:space="0"/>
            </w:tcBorders>
            <w:vAlign w:val="center"/>
          </w:tcPr>
          <w:p w14:paraId="2A62A426">
            <w:pPr>
              <w:pStyle w:val="98"/>
              <w:ind w:left="-105" w:right="-105"/>
              <w:rPr>
                <w:rFonts w:eastAsia="宋体"/>
                <w:color w:val="auto"/>
                <w:sz w:val="21"/>
                <w:szCs w:val="21"/>
                <w:highlight w:val="none"/>
              </w:rPr>
            </w:pPr>
            <w:r>
              <w:rPr>
                <w:rFonts w:eastAsia="宋体"/>
                <w:color w:val="auto"/>
                <w:sz w:val="21"/>
                <w:szCs w:val="21"/>
                <w:highlight w:val="none"/>
              </w:rPr>
              <w:t>0.5</w:t>
            </w:r>
          </w:p>
        </w:tc>
        <w:tc>
          <w:tcPr>
            <w:tcW w:w="684" w:type="dxa"/>
            <w:tcBorders>
              <w:top w:val="single" w:color="000000" w:sz="4" w:space="0"/>
              <w:left w:val="single" w:color="000000" w:sz="4" w:space="0"/>
              <w:bottom w:val="single" w:color="000000" w:sz="4" w:space="0"/>
              <w:right w:val="single" w:color="000000" w:sz="4" w:space="0"/>
            </w:tcBorders>
            <w:vAlign w:val="center"/>
          </w:tcPr>
          <w:p w14:paraId="3AD356A5">
            <w:pPr>
              <w:pStyle w:val="98"/>
              <w:ind w:left="-105" w:right="-105"/>
              <w:rPr>
                <w:rFonts w:eastAsia="宋体"/>
                <w:color w:val="auto"/>
                <w:sz w:val="21"/>
                <w:szCs w:val="21"/>
                <w:highlight w:val="none"/>
              </w:rPr>
            </w:pPr>
            <w:r>
              <w:rPr>
                <w:rFonts w:eastAsia="宋体"/>
                <w:color w:val="auto"/>
                <w:sz w:val="21"/>
                <w:szCs w:val="21"/>
                <w:highlight w:val="none"/>
              </w:rPr>
              <w:t>4.7</w:t>
            </w:r>
          </w:p>
        </w:tc>
        <w:tc>
          <w:tcPr>
            <w:tcW w:w="645" w:type="dxa"/>
            <w:tcBorders>
              <w:top w:val="single" w:color="000000" w:sz="4" w:space="0"/>
              <w:left w:val="single" w:color="000000" w:sz="4" w:space="0"/>
              <w:bottom w:val="single" w:color="000000" w:sz="4" w:space="0"/>
              <w:right w:val="single" w:color="000000" w:sz="4" w:space="0"/>
            </w:tcBorders>
            <w:vAlign w:val="center"/>
          </w:tcPr>
          <w:p w14:paraId="22883628">
            <w:pPr>
              <w:pStyle w:val="98"/>
              <w:ind w:left="-105" w:right="-105"/>
              <w:rPr>
                <w:rFonts w:eastAsia="宋体"/>
                <w:color w:val="auto"/>
                <w:sz w:val="21"/>
                <w:szCs w:val="21"/>
                <w:highlight w:val="none"/>
              </w:rPr>
            </w:pPr>
            <w:r>
              <w:rPr>
                <w:rFonts w:eastAsia="宋体"/>
                <w:color w:val="auto"/>
                <w:sz w:val="21"/>
                <w:szCs w:val="21"/>
                <w:highlight w:val="none"/>
              </w:rPr>
              <w:t>2.2</w:t>
            </w:r>
          </w:p>
        </w:tc>
        <w:tc>
          <w:tcPr>
            <w:tcW w:w="1134" w:type="dxa"/>
            <w:tcBorders>
              <w:top w:val="single" w:color="000000" w:sz="4" w:space="0"/>
              <w:left w:val="single" w:color="000000" w:sz="4" w:space="0"/>
              <w:bottom w:val="single" w:color="000000" w:sz="4" w:space="0"/>
              <w:right w:val="nil"/>
            </w:tcBorders>
            <w:vAlign w:val="center"/>
          </w:tcPr>
          <w:p w14:paraId="3338D207">
            <w:pPr>
              <w:pStyle w:val="98"/>
              <w:ind w:left="-105" w:right="-105"/>
              <w:rPr>
                <w:rFonts w:eastAsia="宋体"/>
                <w:color w:val="auto"/>
                <w:sz w:val="21"/>
                <w:szCs w:val="21"/>
                <w:highlight w:val="none"/>
              </w:rPr>
            </w:pPr>
            <w:r>
              <w:rPr>
                <w:rFonts w:eastAsia="宋体"/>
                <w:color w:val="auto"/>
                <w:sz w:val="21"/>
                <w:szCs w:val="21"/>
                <w:highlight w:val="none"/>
              </w:rPr>
              <w:t>18.3</w:t>
            </w:r>
          </w:p>
        </w:tc>
      </w:tr>
      <w:tr w14:paraId="2173E94E">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108" w:type="dxa"/>
            <w:bottom w:w="0" w:type="dxa"/>
            <w:right w:w="108" w:type="dxa"/>
          </w:tblCellMar>
        </w:tblPrEx>
        <w:trPr>
          <w:trHeight w:val="210" w:hRule="atLeast"/>
          <w:jc w:val="center"/>
        </w:trPr>
        <w:tc>
          <w:tcPr>
            <w:tcW w:w="1116" w:type="dxa"/>
            <w:vMerge w:val="continue"/>
            <w:tcBorders>
              <w:top w:val="nil"/>
              <w:left w:val="nil"/>
              <w:bottom w:val="single" w:color="000000" w:sz="4" w:space="0"/>
              <w:right w:val="single" w:color="000000" w:sz="4" w:space="0"/>
            </w:tcBorders>
            <w:vAlign w:val="center"/>
          </w:tcPr>
          <w:p w14:paraId="4DAB8DB6">
            <w:pPr>
              <w:ind w:left="-105" w:right="-105"/>
              <w:jc w:val="center"/>
              <w:rPr>
                <w:rFonts w:ascii="Times New Roman" w:hAnsi="Times New Roman" w:cs="Times New Roman"/>
                <w:color w:val="auto"/>
                <w:sz w:val="21"/>
                <w:szCs w:val="21"/>
                <w:highlight w:val="none"/>
              </w:rPr>
            </w:pPr>
          </w:p>
        </w:tc>
        <w:tc>
          <w:tcPr>
            <w:tcW w:w="742" w:type="dxa"/>
            <w:tcBorders>
              <w:top w:val="single" w:color="000000" w:sz="4" w:space="0"/>
              <w:left w:val="single" w:color="000000" w:sz="4" w:space="0"/>
              <w:bottom w:val="single" w:color="000000" w:sz="4" w:space="0"/>
              <w:right w:val="single" w:color="000000" w:sz="4" w:space="0"/>
            </w:tcBorders>
            <w:vAlign w:val="center"/>
          </w:tcPr>
          <w:p w14:paraId="3DA44211">
            <w:pPr>
              <w:pStyle w:val="98"/>
              <w:ind w:left="-105" w:right="-105"/>
              <w:rPr>
                <w:rFonts w:eastAsia="宋体"/>
                <w:color w:val="auto"/>
                <w:sz w:val="21"/>
                <w:szCs w:val="21"/>
                <w:highlight w:val="none"/>
              </w:rPr>
            </w:pPr>
            <w:r>
              <w:rPr>
                <w:rFonts w:eastAsia="宋体"/>
                <w:color w:val="auto"/>
                <w:sz w:val="21"/>
                <w:szCs w:val="21"/>
                <w:highlight w:val="none"/>
              </w:rPr>
              <w:t>D</w:t>
            </w:r>
          </w:p>
        </w:tc>
        <w:tc>
          <w:tcPr>
            <w:tcW w:w="683" w:type="dxa"/>
            <w:tcBorders>
              <w:top w:val="single" w:color="000000" w:sz="4" w:space="0"/>
              <w:left w:val="single" w:color="000000" w:sz="4" w:space="0"/>
              <w:bottom w:val="single" w:color="000000" w:sz="4" w:space="0"/>
              <w:right w:val="single" w:color="000000" w:sz="4" w:space="0"/>
            </w:tcBorders>
            <w:vAlign w:val="center"/>
          </w:tcPr>
          <w:p w14:paraId="5D317E74">
            <w:pPr>
              <w:pStyle w:val="98"/>
              <w:ind w:left="-105" w:right="-105"/>
              <w:rPr>
                <w:rFonts w:eastAsia="宋体"/>
                <w:color w:val="auto"/>
                <w:sz w:val="21"/>
                <w:szCs w:val="21"/>
                <w:highlight w:val="none"/>
              </w:rPr>
            </w:pPr>
            <w:r>
              <w:rPr>
                <w:rFonts w:eastAsia="宋体"/>
                <w:color w:val="auto"/>
                <w:sz w:val="21"/>
                <w:szCs w:val="21"/>
                <w:highlight w:val="none"/>
              </w:rPr>
              <w:t>7.2</w:t>
            </w:r>
          </w:p>
        </w:tc>
        <w:tc>
          <w:tcPr>
            <w:tcW w:w="683" w:type="dxa"/>
            <w:tcBorders>
              <w:top w:val="single" w:color="000000" w:sz="4" w:space="0"/>
              <w:left w:val="single" w:color="000000" w:sz="4" w:space="0"/>
              <w:bottom w:val="single" w:color="000000" w:sz="4" w:space="0"/>
              <w:right w:val="single" w:color="000000" w:sz="4" w:space="0"/>
            </w:tcBorders>
            <w:vAlign w:val="center"/>
          </w:tcPr>
          <w:p w14:paraId="489494BC">
            <w:pPr>
              <w:pStyle w:val="98"/>
              <w:ind w:left="-105" w:right="-105"/>
              <w:rPr>
                <w:rFonts w:eastAsia="宋体"/>
                <w:color w:val="auto"/>
                <w:sz w:val="21"/>
                <w:szCs w:val="21"/>
                <w:highlight w:val="none"/>
              </w:rPr>
            </w:pPr>
            <w:r>
              <w:rPr>
                <w:rFonts w:eastAsia="宋体"/>
                <w:color w:val="auto"/>
                <w:sz w:val="21"/>
                <w:szCs w:val="21"/>
                <w:highlight w:val="none"/>
              </w:rPr>
              <w:t>3.0</w:t>
            </w:r>
          </w:p>
        </w:tc>
        <w:tc>
          <w:tcPr>
            <w:tcW w:w="686" w:type="dxa"/>
            <w:tcBorders>
              <w:top w:val="single" w:color="000000" w:sz="4" w:space="0"/>
              <w:left w:val="single" w:color="000000" w:sz="4" w:space="0"/>
              <w:bottom w:val="single" w:color="000000" w:sz="4" w:space="0"/>
              <w:right w:val="single" w:color="000000" w:sz="4" w:space="0"/>
            </w:tcBorders>
            <w:vAlign w:val="center"/>
          </w:tcPr>
          <w:p w14:paraId="1D6C1CCF">
            <w:pPr>
              <w:pStyle w:val="98"/>
              <w:ind w:left="-105" w:right="-105"/>
              <w:rPr>
                <w:rFonts w:eastAsia="宋体"/>
                <w:color w:val="auto"/>
                <w:sz w:val="21"/>
                <w:szCs w:val="21"/>
                <w:highlight w:val="none"/>
              </w:rPr>
            </w:pPr>
            <w:r>
              <w:rPr>
                <w:rFonts w:eastAsia="宋体"/>
                <w:color w:val="auto"/>
                <w:sz w:val="21"/>
                <w:szCs w:val="21"/>
                <w:highlight w:val="none"/>
              </w:rPr>
              <w:t>6.1</w:t>
            </w:r>
          </w:p>
        </w:tc>
        <w:tc>
          <w:tcPr>
            <w:tcW w:w="683" w:type="dxa"/>
            <w:tcBorders>
              <w:top w:val="single" w:color="000000" w:sz="4" w:space="0"/>
              <w:left w:val="single" w:color="000000" w:sz="4" w:space="0"/>
              <w:bottom w:val="single" w:color="000000" w:sz="4" w:space="0"/>
              <w:right w:val="single" w:color="000000" w:sz="4" w:space="0"/>
            </w:tcBorders>
            <w:vAlign w:val="center"/>
          </w:tcPr>
          <w:p w14:paraId="1A3538DF">
            <w:pPr>
              <w:pStyle w:val="98"/>
              <w:ind w:left="-105" w:right="-105"/>
              <w:rPr>
                <w:rFonts w:eastAsia="宋体"/>
                <w:color w:val="auto"/>
                <w:sz w:val="21"/>
                <w:szCs w:val="21"/>
                <w:highlight w:val="none"/>
              </w:rPr>
            </w:pPr>
            <w:r>
              <w:rPr>
                <w:rFonts w:eastAsia="宋体"/>
                <w:color w:val="auto"/>
                <w:sz w:val="21"/>
                <w:szCs w:val="21"/>
                <w:highlight w:val="none"/>
              </w:rPr>
              <w:t>3.3</w:t>
            </w:r>
          </w:p>
        </w:tc>
        <w:tc>
          <w:tcPr>
            <w:tcW w:w="683" w:type="dxa"/>
            <w:tcBorders>
              <w:top w:val="single" w:color="000000" w:sz="4" w:space="0"/>
              <w:left w:val="single" w:color="000000" w:sz="4" w:space="0"/>
              <w:bottom w:val="single" w:color="000000" w:sz="4" w:space="0"/>
              <w:right w:val="single" w:color="000000" w:sz="4" w:space="0"/>
            </w:tcBorders>
            <w:vAlign w:val="center"/>
          </w:tcPr>
          <w:p w14:paraId="64395887">
            <w:pPr>
              <w:pStyle w:val="98"/>
              <w:ind w:left="-105" w:right="-105"/>
              <w:rPr>
                <w:rFonts w:eastAsia="宋体"/>
                <w:color w:val="auto"/>
                <w:sz w:val="21"/>
                <w:szCs w:val="21"/>
                <w:highlight w:val="none"/>
              </w:rPr>
            </w:pPr>
            <w:r>
              <w:rPr>
                <w:rFonts w:eastAsia="宋体"/>
                <w:color w:val="auto"/>
                <w:sz w:val="21"/>
                <w:szCs w:val="21"/>
                <w:highlight w:val="none"/>
              </w:rPr>
              <w:t>4.5</w:t>
            </w:r>
          </w:p>
        </w:tc>
        <w:tc>
          <w:tcPr>
            <w:tcW w:w="683" w:type="dxa"/>
            <w:tcBorders>
              <w:top w:val="single" w:color="000000" w:sz="4" w:space="0"/>
              <w:left w:val="single" w:color="000000" w:sz="4" w:space="0"/>
              <w:bottom w:val="single" w:color="000000" w:sz="4" w:space="0"/>
              <w:right w:val="single" w:color="000000" w:sz="4" w:space="0"/>
            </w:tcBorders>
            <w:vAlign w:val="center"/>
          </w:tcPr>
          <w:p w14:paraId="1AFB9012">
            <w:pPr>
              <w:pStyle w:val="98"/>
              <w:ind w:left="-105" w:right="-105"/>
              <w:rPr>
                <w:rFonts w:eastAsia="宋体"/>
                <w:color w:val="auto"/>
                <w:sz w:val="21"/>
                <w:szCs w:val="21"/>
                <w:highlight w:val="none"/>
              </w:rPr>
            </w:pPr>
            <w:r>
              <w:rPr>
                <w:rFonts w:eastAsia="宋体"/>
                <w:color w:val="auto"/>
                <w:sz w:val="21"/>
                <w:szCs w:val="21"/>
                <w:highlight w:val="none"/>
              </w:rPr>
              <w:t>5.7</w:t>
            </w:r>
          </w:p>
        </w:tc>
        <w:tc>
          <w:tcPr>
            <w:tcW w:w="685" w:type="dxa"/>
            <w:tcBorders>
              <w:top w:val="single" w:color="000000" w:sz="4" w:space="0"/>
              <w:left w:val="single" w:color="000000" w:sz="4" w:space="0"/>
              <w:bottom w:val="single" w:color="000000" w:sz="4" w:space="0"/>
              <w:right w:val="single" w:color="000000" w:sz="4" w:space="0"/>
            </w:tcBorders>
            <w:vAlign w:val="center"/>
          </w:tcPr>
          <w:p w14:paraId="609EE405">
            <w:pPr>
              <w:pStyle w:val="98"/>
              <w:ind w:left="-105" w:right="-105"/>
              <w:rPr>
                <w:rFonts w:eastAsia="宋体"/>
                <w:color w:val="auto"/>
                <w:sz w:val="21"/>
                <w:szCs w:val="21"/>
                <w:highlight w:val="none"/>
              </w:rPr>
            </w:pPr>
            <w:r>
              <w:rPr>
                <w:rFonts w:eastAsia="宋体"/>
                <w:color w:val="auto"/>
                <w:sz w:val="21"/>
                <w:szCs w:val="21"/>
                <w:highlight w:val="none"/>
              </w:rPr>
              <w:t>3.3</w:t>
            </w:r>
          </w:p>
        </w:tc>
        <w:tc>
          <w:tcPr>
            <w:tcW w:w="683" w:type="dxa"/>
            <w:tcBorders>
              <w:top w:val="single" w:color="000000" w:sz="4" w:space="0"/>
              <w:left w:val="single" w:color="000000" w:sz="4" w:space="0"/>
              <w:bottom w:val="single" w:color="000000" w:sz="4" w:space="0"/>
              <w:right w:val="single" w:color="000000" w:sz="4" w:space="0"/>
            </w:tcBorders>
            <w:vAlign w:val="center"/>
          </w:tcPr>
          <w:p w14:paraId="06504955">
            <w:pPr>
              <w:pStyle w:val="98"/>
              <w:ind w:left="-105" w:right="-105"/>
              <w:rPr>
                <w:rFonts w:eastAsia="宋体"/>
                <w:color w:val="auto"/>
                <w:sz w:val="21"/>
                <w:szCs w:val="21"/>
                <w:highlight w:val="none"/>
              </w:rPr>
            </w:pPr>
            <w:r>
              <w:rPr>
                <w:rFonts w:eastAsia="宋体"/>
                <w:color w:val="auto"/>
                <w:sz w:val="21"/>
                <w:szCs w:val="21"/>
                <w:highlight w:val="none"/>
              </w:rPr>
              <w:t>2.3</w:t>
            </w:r>
          </w:p>
        </w:tc>
        <w:tc>
          <w:tcPr>
            <w:tcW w:w="683" w:type="dxa"/>
            <w:tcBorders>
              <w:top w:val="single" w:color="000000" w:sz="4" w:space="0"/>
              <w:left w:val="single" w:color="000000" w:sz="4" w:space="0"/>
              <w:bottom w:val="single" w:color="000000" w:sz="4" w:space="0"/>
              <w:right w:val="single" w:color="000000" w:sz="4" w:space="0"/>
            </w:tcBorders>
            <w:vAlign w:val="center"/>
          </w:tcPr>
          <w:p w14:paraId="1BC0F24B">
            <w:pPr>
              <w:pStyle w:val="98"/>
              <w:ind w:left="-105" w:right="-105"/>
              <w:rPr>
                <w:rFonts w:eastAsia="宋体"/>
                <w:color w:val="auto"/>
                <w:sz w:val="21"/>
                <w:szCs w:val="21"/>
                <w:highlight w:val="none"/>
              </w:rPr>
            </w:pPr>
            <w:r>
              <w:rPr>
                <w:rFonts w:eastAsia="宋体"/>
                <w:color w:val="auto"/>
                <w:sz w:val="21"/>
                <w:szCs w:val="21"/>
                <w:highlight w:val="none"/>
              </w:rPr>
              <w:t>0.9</w:t>
            </w:r>
          </w:p>
        </w:tc>
        <w:tc>
          <w:tcPr>
            <w:tcW w:w="683" w:type="dxa"/>
            <w:tcBorders>
              <w:top w:val="single" w:color="000000" w:sz="4" w:space="0"/>
              <w:left w:val="single" w:color="000000" w:sz="4" w:space="0"/>
              <w:bottom w:val="single" w:color="000000" w:sz="4" w:space="0"/>
              <w:right w:val="single" w:color="000000" w:sz="4" w:space="0"/>
            </w:tcBorders>
            <w:vAlign w:val="center"/>
          </w:tcPr>
          <w:p w14:paraId="7E4FEAAC">
            <w:pPr>
              <w:pStyle w:val="98"/>
              <w:ind w:left="-105" w:right="-105"/>
              <w:rPr>
                <w:rFonts w:eastAsia="宋体"/>
                <w:color w:val="auto"/>
                <w:sz w:val="21"/>
                <w:szCs w:val="21"/>
                <w:highlight w:val="none"/>
              </w:rPr>
            </w:pPr>
            <w:r>
              <w:rPr>
                <w:rFonts w:eastAsia="宋体"/>
                <w:color w:val="auto"/>
                <w:sz w:val="21"/>
                <w:szCs w:val="21"/>
                <w:highlight w:val="none"/>
              </w:rPr>
              <w:t>0.9</w:t>
            </w:r>
          </w:p>
        </w:tc>
        <w:tc>
          <w:tcPr>
            <w:tcW w:w="683" w:type="dxa"/>
            <w:tcBorders>
              <w:top w:val="single" w:color="000000" w:sz="4" w:space="0"/>
              <w:left w:val="single" w:color="000000" w:sz="4" w:space="0"/>
              <w:bottom w:val="single" w:color="000000" w:sz="4" w:space="0"/>
              <w:right w:val="single" w:color="000000" w:sz="4" w:space="0"/>
            </w:tcBorders>
            <w:vAlign w:val="center"/>
          </w:tcPr>
          <w:p w14:paraId="55191264">
            <w:pPr>
              <w:pStyle w:val="98"/>
              <w:ind w:left="-105" w:right="-105"/>
              <w:rPr>
                <w:rFonts w:eastAsia="宋体"/>
                <w:color w:val="auto"/>
                <w:sz w:val="21"/>
                <w:szCs w:val="21"/>
                <w:highlight w:val="none"/>
              </w:rPr>
            </w:pPr>
            <w:r>
              <w:rPr>
                <w:rFonts w:eastAsia="宋体"/>
                <w:color w:val="auto"/>
                <w:sz w:val="21"/>
                <w:szCs w:val="21"/>
                <w:highlight w:val="none"/>
              </w:rPr>
              <w:t>0.3</w:t>
            </w:r>
          </w:p>
        </w:tc>
        <w:tc>
          <w:tcPr>
            <w:tcW w:w="683" w:type="dxa"/>
            <w:tcBorders>
              <w:top w:val="single" w:color="000000" w:sz="4" w:space="0"/>
              <w:left w:val="single" w:color="000000" w:sz="4" w:space="0"/>
              <w:bottom w:val="single" w:color="000000" w:sz="4" w:space="0"/>
              <w:right w:val="single" w:color="000000" w:sz="4" w:space="0"/>
            </w:tcBorders>
            <w:vAlign w:val="center"/>
          </w:tcPr>
          <w:p w14:paraId="2290E587">
            <w:pPr>
              <w:pStyle w:val="98"/>
              <w:ind w:left="-105" w:right="-105"/>
              <w:rPr>
                <w:rFonts w:eastAsia="宋体"/>
                <w:color w:val="auto"/>
                <w:sz w:val="21"/>
                <w:szCs w:val="21"/>
                <w:highlight w:val="none"/>
              </w:rPr>
            </w:pPr>
            <w:r>
              <w:rPr>
                <w:rFonts w:eastAsia="宋体"/>
                <w:color w:val="auto"/>
                <w:sz w:val="21"/>
                <w:szCs w:val="21"/>
                <w:highlight w:val="none"/>
              </w:rPr>
              <w:t>0.6</w:t>
            </w:r>
          </w:p>
        </w:tc>
        <w:tc>
          <w:tcPr>
            <w:tcW w:w="684" w:type="dxa"/>
            <w:tcBorders>
              <w:top w:val="single" w:color="000000" w:sz="4" w:space="0"/>
              <w:left w:val="single" w:color="000000" w:sz="4" w:space="0"/>
              <w:bottom w:val="single" w:color="000000" w:sz="4" w:space="0"/>
              <w:right w:val="single" w:color="000000" w:sz="4" w:space="0"/>
            </w:tcBorders>
            <w:vAlign w:val="center"/>
          </w:tcPr>
          <w:p w14:paraId="74F13F15">
            <w:pPr>
              <w:pStyle w:val="98"/>
              <w:ind w:left="-105" w:right="-105"/>
              <w:rPr>
                <w:rFonts w:eastAsia="宋体"/>
                <w:color w:val="auto"/>
                <w:sz w:val="21"/>
                <w:szCs w:val="21"/>
                <w:highlight w:val="none"/>
              </w:rPr>
            </w:pPr>
            <w:r>
              <w:rPr>
                <w:rFonts w:eastAsia="宋体"/>
                <w:color w:val="auto"/>
                <w:sz w:val="21"/>
                <w:szCs w:val="21"/>
                <w:highlight w:val="none"/>
              </w:rPr>
              <w:t>1.2</w:t>
            </w:r>
          </w:p>
        </w:tc>
        <w:tc>
          <w:tcPr>
            <w:tcW w:w="686" w:type="dxa"/>
            <w:tcBorders>
              <w:top w:val="single" w:color="000000" w:sz="4" w:space="0"/>
              <w:left w:val="single" w:color="000000" w:sz="4" w:space="0"/>
              <w:bottom w:val="single" w:color="000000" w:sz="4" w:space="0"/>
              <w:right w:val="single" w:color="000000" w:sz="4" w:space="0"/>
            </w:tcBorders>
            <w:vAlign w:val="center"/>
          </w:tcPr>
          <w:p w14:paraId="68755AF7">
            <w:pPr>
              <w:pStyle w:val="98"/>
              <w:ind w:left="-105" w:right="-105"/>
              <w:rPr>
                <w:rFonts w:eastAsia="宋体"/>
                <w:color w:val="auto"/>
                <w:sz w:val="21"/>
                <w:szCs w:val="21"/>
                <w:highlight w:val="none"/>
              </w:rPr>
            </w:pPr>
            <w:r>
              <w:rPr>
                <w:rFonts w:eastAsia="宋体"/>
                <w:color w:val="auto"/>
                <w:sz w:val="21"/>
                <w:szCs w:val="21"/>
                <w:highlight w:val="none"/>
              </w:rPr>
              <w:t>0.9</w:t>
            </w:r>
          </w:p>
        </w:tc>
        <w:tc>
          <w:tcPr>
            <w:tcW w:w="684" w:type="dxa"/>
            <w:tcBorders>
              <w:top w:val="single" w:color="000000" w:sz="4" w:space="0"/>
              <w:left w:val="single" w:color="000000" w:sz="4" w:space="0"/>
              <w:bottom w:val="single" w:color="000000" w:sz="4" w:space="0"/>
              <w:right w:val="single" w:color="000000" w:sz="4" w:space="0"/>
            </w:tcBorders>
            <w:vAlign w:val="center"/>
          </w:tcPr>
          <w:p w14:paraId="289A15FF">
            <w:pPr>
              <w:pStyle w:val="98"/>
              <w:ind w:left="-105" w:right="-105"/>
              <w:rPr>
                <w:rFonts w:eastAsia="宋体"/>
                <w:color w:val="auto"/>
                <w:sz w:val="21"/>
                <w:szCs w:val="21"/>
                <w:highlight w:val="none"/>
              </w:rPr>
            </w:pPr>
            <w:r>
              <w:rPr>
                <w:rFonts w:eastAsia="宋体"/>
                <w:color w:val="auto"/>
                <w:sz w:val="21"/>
                <w:szCs w:val="21"/>
                <w:highlight w:val="none"/>
              </w:rPr>
              <w:t>2.7</w:t>
            </w:r>
          </w:p>
        </w:tc>
        <w:tc>
          <w:tcPr>
            <w:tcW w:w="645" w:type="dxa"/>
            <w:tcBorders>
              <w:top w:val="single" w:color="000000" w:sz="4" w:space="0"/>
              <w:left w:val="single" w:color="000000" w:sz="4" w:space="0"/>
              <w:bottom w:val="single" w:color="000000" w:sz="4" w:space="0"/>
              <w:right w:val="single" w:color="000000" w:sz="4" w:space="0"/>
            </w:tcBorders>
            <w:vAlign w:val="center"/>
          </w:tcPr>
          <w:p w14:paraId="6568A49A">
            <w:pPr>
              <w:pStyle w:val="98"/>
              <w:ind w:left="-105" w:right="-105"/>
              <w:rPr>
                <w:rFonts w:eastAsia="宋体"/>
                <w:color w:val="auto"/>
                <w:sz w:val="21"/>
                <w:szCs w:val="21"/>
                <w:highlight w:val="none"/>
              </w:rPr>
            </w:pPr>
            <w:r>
              <w:rPr>
                <w:rFonts w:eastAsia="宋体"/>
                <w:color w:val="auto"/>
                <w:sz w:val="21"/>
                <w:szCs w:val="21"/>
                <w:highlight w:val="none"/>
              </w:rPr>
              <w:t>1.5</w:t>
            </w:r>
          </w:p>
        </w:tc>
        <w:tc>
          <w:tcPr>
            <w:tcW w:w="1134" w:type="dxa"/>
            <w:tcBorders>
              <w:top w:val="single" w:color="000000" w:sz="4" w:space="0"/>
              <w:left w:val="single" w:color="000000" w:sz="4" w:space="0"/>
              <w:bottom w:val="single" w:color="000000" w:sz="4" w:space="0"/>
              <w:right w:val="nil"/>
            </w:tcBorders>
            <w:vAlign w:val="center"/>
          </w:tcPr>
          <w:p w14:paraId="06ED7146">
            <w:pPr>
              <w:pStyle w:val="98"/>
              <w:ind w:left="-105" w:right="-105"/>
              <w:rPr>
                <w:rFonts w:eastAsia="宋体"/>
                <w:color w:val="auto"/>
                <w:sz w:val="21"/>
                <w:szCs w:val="21"/>
                <w:highlight w:val="none"/>
              </w:rPr>
            </w:pPr>
            <w:r>
              <w:rPr>
                <w:rFonts w:eastAsia="宋体"/>
                <w:color w:val="auto"/>
                <w:sz w:val="21"/>
                <w:szCs w:val="21"/>
                <w:highlight w:val="none"/>
              </w:rPr>
              <w:t>44.2</w:t>
            </w:r>
          </w:p>
        </w:tc>
      </w:tr>
      <w:tr w14:paraId="497AEB0D">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108" w:type="dxa"/>
            <w:bottom w:w="0" w:type="dxa"/>
            <w:right w:w="108" w:type="dxa"/>
          </w:tblCellMar>
        </w:tblPrEx>
        <w:trPr>
          <w:trHeight w:val="210" w:hRule="atLeast"/>
          <w:jc w:val="center"/>
        </w:trPr>
        <w:tc>
          <w:tcPr>
            <w:tcW w:w="1116" w:type="dxa"/>
            <w:vMerge w:val="continue"/>
            <w:tcBorders>
              <w:top w:val="nil"/>
              <w:left w:val="nil"/>
              <w:bottom w:val="single" w:color="000000" w:sz="4" w:space="0"/>
              <w:right w:val="single" w:color="000000" w:sz="4" w:space="0"/>
            </w:tcBorders>
            <w:vAlign w:val="center"/>
          </w:tcPr>
          <w:p w14:paraId="6BCAF86F">
            <w:pPr>
              <w:ind w:left="-105" w:right="-105"/>
              <w:jc w:val="center"/>
              <w:rPr>
                <w:rFonts w:ascii="Times New Roman" w:hAnsi="Times New Roman" w:cs="Times New Roman"/>
                <w:color w:val="auto"/>
                <w:sz w:val="21"/>
                <w:szCs w:val="21"/>
                <w:highlight w:val="none"/>
              </w:rPr>
            </w:pPr>
          </w:p>
        </w:tc>
        <w:tc>
          <w:tcPr>
            <w:tcW w:w="742" w:type="dxa"/>
            <w:tcBorders>
              <w:top w:val="single" w:color="000000" w:sz="4" w:space="0"/>
              <w:left w:val="single" w:color="000000" w:sz="4" w:space="0"/>
              <w:bottom w:val="single" w:color="000000" w:sz="4" w:space="0"/>
              <w:right w:val="single" w:color="000000" w:sz="4" w:space="0"/>
            </w:tcBorders>
            <w:vAlign w:val="center"/>
          </w:tcPr>
          <w:p w14:paraId="39FE5584">
            <w:pPr>
              <w:pStyle w:val="98"/>
              <w:ind w:left="-105" w:right="-105"/>
              <w:rPr>
                <w:rFonts w:eastAsia="宋体"/>
                <w:color w:val="auto"/>
                <w:sz w:val="21"/>
                <w:szCs w:val="21"/>
                <w:highlight w:val="none"/>
              </w:rPr>
            </w:pPr>
            <w:r>
              <w:rPr>
                <w:rFonts w:eastAsia="宋体"/>
                <w:color w:val="auto"/>
                <w:sz w:val="21"/>
                <w:szCs w:val="21"/>
                <w:highlight w:val="none"/>
              </w:rPr>
              <w:t>E</w:t>
            </w:r>
          </w:p>
        </w:tc>
        <w:tc>
          <w:tcPr>
            <w:tcW w:w="683" w:type="dxa"/>
            <w:tcBorders>
              <w:top w:val="single" w:color="000000" w:sz="4" w:space="0"/>
              <w:left w:val="single" w:color="000000" w:sz="4" w:space="0"/>
              <w:bottom w:val="single" w:color="000000" w:sz="4" w:space="0"/>
              <w:right w:val="single" w:color="000000" w:sz="4" w:space="0"/>
            </w:tcBorders>
            <w:vAlign w:val="center"/>
          </w:tcPr>
          <w:p w14:paraId="7692A686">
            <w:pPr>
              <w:pStyle w:val="98"/>
              <w:ind w:left="-105" w:right="-105"/>
              <w:rPr>
                <w:rFonts w:eastAsia="宋体"/>
                <w:color w:val="auto"/>
                <w:sz w:val="21"/>
                <w:szCs w:val="21"/>
                <w:highlight w:val="none"/>
              </w:rPr>
            </w:pPr>
            <w:r>
              <w:rPr>
                <w:rFonts w:eastAsia="宋体"/>
                <w:color w:val="auto"/>
                <w:sz w:val="21"/>
                <w:szCs w:val="21"/>
                <w:highlight w:val="none"/>
              </w:rPr>
              <w:t>1.0</w:t>
            </w:r>
          </w:p>
        </w:tc>
        <w:tc>
          <w:tcPr>
            <w:tcW w:w="683" w:type="dxa"/>
            <w:tcBorders>
              <w:top w:val="single" w:color="000000" w:sz="4" w:space="0"/>
              <w:left w:val="single" w:color="000000" w:sz="4" w:space="0"/>
              <w:bottom w:val="single" w:color="000000" w:sz="4" w:space="0"/>
              <w:right w:val="single" w:color="000000" w:sz="4" w:space="0"/>
            </w:tcBorders>
            <w:vAlign w:val="center"/>
          </w:tcPr>
          <w:p w14:paraId="29FA987E">
            <w:pPr>
              <w:pStyle w:val="98"/>
              <w:ind w:left="-105" w:right="-105"/>
              <w:rPr>
                <w:rFonts w:eastAsia="宋体"/>
                <w:color w:val="auto"/>
                <w:sz w:val="21"/>
                <w:szCs w:val="21"/>
                <w:highlight w:val="none"/>
              </w:rPr>
            </w:pPr>
          </w:p>
        </w:tc>
        <w:tc>
          <w:tcPr>
            <w:tcW w:w="686" w:type="dxa"/>
            <w:tcBorders>
              <w:top w:val="single" w:color="000000" w:sz="4" w:space="0"/>
              <w:left w:val="single" w:color="000000" w:sz="4" w:space="0"/>
              <w:bottom w:val="single" w:color="000000" w:sz="4" w:space="0"/>
              <w:right w:val="single" w:color="000000" w:sz="4" w:space="0"/>
            </w:tcBorders>
            <w:vAlign w:val="center"/>
          </w:tcPr>
          <w:p w14:paraId="54D60CCC">
            <w:pPr>
              <w:pStyle w:val="98"/>
              <w:ind w:left="-105" w:right="-105"/>
              <w:rPr>
                <w:rFonts w:eastAsia="宋体"/>
                <w:color w:val="auto"/>
                <w:sz w:val="21"/>
                <w:szCs w:val="21"/>
                <w:highlight w:val="none"/>
              </w:rPr>
            </w:pPr>
            <w:r>
              <w:rPr>
                <w:rFonts w:eastAsia="宋体"/>
                <w:color w:val="auto"/>
                <w:sz w:val="21"/>
                <w:szCs w:val="21"/>
                <w:highlight w:val="none"/>
              </w:rPr>
              <w:t>1.0</w:t>
            </w:r>
          </w:p>
        </w:tc>
        <w:tc>
          <w:tcPr>
            <w:tcW w:w="683" w:type="dxa"/>
            <w:tcBorders>
              <w:top w:val="single" w:color="000000" w:sz="4" w:space="0"/>
              <w:left w:val="single" w:color="000000" w:sz="4" w:space="0"/>
              <w:bottom w:val="single" w:color="000000" w:sz="4" w:space="0"/>
              <w:right w:val="single" w:color="000000" w:sz="4" w:space="0"/>
            </w:tcBorders>
            <w:vAlign w:val="center"/>
          </w:tcPr>
          <w:p w14:paraId="11A73651">
            <w:pPr>
              <w:pStyle w:val="98"/>
              <w:ind w:left="-105" w:right="-105"/>
              <w:rPr>
                <w:rFonts w:eastAsia="宋体"/>
                <w:color w:val="auto"/>
                <w:sz w:val="21"/>
                <w:szCs w:val="21"/>
                <w:highlight w:val="none"/>
              </w:rPr>
            </w:pPr>
            <w:r>
              <w:rPr>
                <w:rFonts w:eastAsia="宋体"/>
                <w:color w:val="auto"/>
                <w:sz w:val="21"/>
                <w:szCs w:val="21"/>
                <w:highlight w:val="none"/>
              </w:rPr>
              <w:t>1.0</w:t>
            </w:r>
          </w:p>
        </w:tc>
        <w:tc>
          <w:tcPr>
            <w:tcW w:w="683" w:type="dxa"/>
            <w:tcBorders>
              <w:top w:val="single" w:color="000000" w:sz="4" w:space="0"/>
              <w:left w:val="single" w:color="000000" w:sz="4" w:space="0"/>
              <w:bottom w:val="single" w:color="000000" w:sz="4" w:space="0"/>
              <w:right w:val="single" w:color="000000" w:sz="4" w:space="0"/>
            </w:tcBorders>
            <w:vAlign w:val="center"/>
          </w:tcPr>
          <w:p w14:paraId="71AE06FD">
            <w:pPr>
              <w:pStyle w:val="98"/>
              <w:ind w:left="-105" w:right="-105"/>
              <w:rPr>
                <w:rFonts w:eastAsia="宋体"/>
                <w:color w:val="auto"/>
                <w:sz w:val="21"/>
                <w:szCs w:val="21"/>
                <w:highlight w:val="none"/>
              </w:rPr>
            </w:pPr>
            <w:r>
              <w:rPr>
                <w:rFonts w:eastAsia="宋体"/>
                <w:color w:val="auto"/>
                <w:sz w:val="21"/>
                <w:szCs w:val="21"/>
                <w:highlight w:val="none"/>
              </w:rPr>
              <w:t>1.7</w:t>
            </w:r>
          </w:p>
        </w:tc>
        <w:tc>
          <w:tcPr>
            <w:tcW w:w="683" w:type="dxa"/>
            <w:tcBorders>
              <w:top w:val="single" w:color="000000" w:sz="4" w:space="0"/>
              <w:left w:val="single" w:color="000000" w:sz="4" w:space="0"/>
              <w:bottom w:val="single" w:color="000000" w:sz="4" w:space="0"/>
              <w:right w:val="single" w:color="000000" w:sz="4" w:space="0"/>
            </w:tcBorders>
            <w:vAlign w:val="center"/>
          </w:tcPr>
          <w:p w14:paraId="081AFFE5">
            <w:pPr>
              <w:pStyle w:val="98"/>
              <w:ind w:left="-105" w:right="-105"/>
              <w:rPr>
                <w:rFonts w:eastAsia="宋体"/>
                <w:color w:val="auto"/>
                <w:sz w:val="21"/>
                <w:szCs w:val="21"/>
                <w:highlight w:val="none"/>
              </w:rPr>
            </w:pPr>
            <w:r>
              <w:rPr>
                <w:rFonts w:eastAsia="宋体"/>
                <w:color w:val="auto"/>
                <w:sz w:val="21"/>
                <w:szCs w:val="21"/>
                <w:highlight w:val="none"/>
              </w:rPr>
              <w:t>3.0</w:t>
            </w:r>
          </w:p>
        </w:tc>
        <w:tc>
          <w:tcPr>
            <w:tcW w:w="685" w:type="dxa"/>
            <w:tcBorders>
              <w:top w:val="single" w:color="000000" w:sz="4" w:space="0"/>
              <w:left w:val="single" w:color="000000" w:sz="4" w:space="0"/>
              <w:bottom w:val="single" w:color="000000" w:sz="4" w:space="0"/>
              <w:right w:val="single" w:color="000000" w:sz="4" w:space="0"/>
            </w:tcBorders>
            <w:vAlign w:val="center"/>
          </w:tcPr>
          <w:p w14:paraId="2FD78E57">
            <w:pPr>
              <w:pStyle w:val="98"/>
              <w:ind w:left="-105" w:right="-105"/>
              <w:rPr>
                <w:rFonts w:eastAsia="宋体"/>
                <w:color w:val="auto"/>
                <w:sz w:val="21"/>
                <w:szCs w:val="21"/>
                <w:highlight w:val="none"/>
              </w:rPr>
            </w:pPr>
            <w:r>
              <w:rPr>
                <w:rFonts w:eastAsia="宋体"/>
                <w:color w:val="auto"/>
                <w:sz w:val="21"/>
                <w:szCs w:val="21"/>
                <w:highlight w:val="none"/>
              </w:rPr>
              <w:t>3.0</w:t>
            </w:r>
          </w:p>
        </w:tc>
        <w:tc>
          <w:tcPr>
            <w:tcW w:w="683" w:type="dxa"/>
            <w:tcBorders>
              <w:top w:val="single" w:color="000000" w:sz="4" w:space="0"/>
              <w:left w:val="single" w:color="000000" w:sz="4" w:space="0"/>
              <w:bottom w:val="single" w:color="000000" w:sz="4" w:space="0"/>
              <w:right w:val="single" w:color="000000" w:sz="4" w:space="0"/>
            </w:tcBorders>
            <w:vAlign w:val="center"/>
          </w:tcPr>
          <w:p w14:paraId="2AF35F5F">
            <w:pPr>
              <w:pStyle w:val="98"/>
              <w:ind w:left="-105" w:right="-105"/>
              <w:rPr>
                <w:rFonts w:eastAsia="宋体"/>
                <w:color w:val="auto"/>
                <w:sz w:val="21"/>
                <w:szCs w:val="21"/>
                <w:highlight w:val="none"/>
              </w:rPr>
            </w:pPr>
            <w:r>
              <w:rPr>
                <w:rFonts w:eastAsia="宋体"/>
                <w:color w:val="auto"/>
                <w:sz w:val="21"/>
                <w:szCs w:val="21"/>
                <w:highlight w:val="none"/>
              </w:rPr>
              <w:t>1.0</w:t>
            </w:r>
          </w:p>
        </w:tc>
        <w:tc>
          <w:tcPr>
            <w:tcW w:w="683" w:type="dxa"/>
            <w:tcBorders>
              <w:top w:val="single" w:color="000000" w:sz="4" w:space="0"/>
              <w:left w:val="single" w:color="000000" w:sz="4" w:space="0"/>
              <w:bottom w:val="single" w:color="000000" w:sz="4" w:space="0"/>
              <w:right w:val="single" w:color="000000" w:sz="4" w:space="0"/>
            </w:tcBorders>
            <w:vAlign w:val="center"/>
          </w:tcPr>
          <w:p w14:paraId="6198396E">
            <w:pPr>
              <w:pStyle w:val="98"/>
              <w:ind w:left="-105" w:right="-105"/>
              <w:rPr>
                <w:rFonts w:eastAsia="宋体"/>
                <w:color w:val="auto"/>
                <w:sz w:val="21"/>
                <w:szCs w:val="21"/>
                <w:highlight w:val="none"/>
              </w:rPr>
            </w:pPr>
            <w:r>
              <w:rPr>
                <w:rFonts w:eastAsia="宋体"/>
                <w:color w:val="auto"/>
                <w:sz w:val="21"/>
                <w:szCs w:val="21"/>
                <w:highlight w:val="none"/>
              </w:rPr>
              <w:t>0.4</w:t>
            </w:r>
          </w:p>
        </w:tc>
        <w:tc>
          <w:tcPr>
            <w:tcW w:w="683" w:type="dxa"/>
            <w:tcBorders>
              <w:top w:val="single" w:color="000000" w:sz="4" w:space="0"/>
              <w:left w:val="single" w:color="000000" w:sz="4" w:space="0"/>
              <w:bottom w:val="single" w:color="000000" w:sz="4" w:space="0"/>
              <w:right w:val="single" w:color="000000" w:sz="4" w:space="0"/>
            </w:tcBorders>
            <w:vAlign w:val="center"/>
          </w:tcPr>
          <w:p w14:paraId="72022A23">
            <w:pPr>
              <w:pStyle w:val="98"/>
              <w:ind w:left="-105" w:right="-105"/>
              <w:rPr>
                <w:rFonts w:eastAsia="宋体"/>
                <w:color w:val="auto"/>
                <w:sz w:val="21"/>
                <w:szCs w:val="21"/>
                <w:highlight w:val="none"/>
              </w:rPr>
            </w:pPr>
            <w:r>
              <w:rPr>
                <w:rFonts w:eastAsia="宋体"/>
                <w:color w:val="auto"/>
                <w:sz w:val="21"/>
                <w:szCs w:val="21"/>
                <w:highlight w:val="none"/>
              </w:rPr>
              <w:t>0.7</w:t>
            </w:r>
          </w:p>
        </w:tc>
        <w:tc>
          <w:tcPr>
            <w:tcW w:w="683" w:type="dxa"/>
            <w:tcBorders>
              <w:top w:val="single" w:color="000000" w:sz="4" w:space="0"/>
              <w:left w:val="single" w:color="000000" w:sz="4" w:space="0"/>
              <w:bottom w:val="single" w:color="000000" w:sz="4" w:space="0"/>
              <w:right w:val="single" w:color="000000" w:sz="4" w:space="0"/>
            </w:tcBorders>
            <w:vAlign w:val="center"/>
          </w:tcPr>
          <w:p w14:paraId="738E69A9">
            <w:pPr>
              <w:pStyle w:val="98"/>
              <w:ind w:left="-105" w:right="-105"/>
              <w:rPr>
                <w:rFonts w:eastAsia="宋体"/>
                <w:color w:val="auto"/>
                <w:sz w:val="21"/>
                <w:szCs w:val="21"/>
                <w:highlight w:val="none"/>
              </w:rPr>
            </w:pPr>
            <w:r>
              <w:rPr>
                <w:rFonts w:eastAsia="宋体"/>
                <w:color w:val="auto"/>
                <w:sz w:val="21"/>
                <w:szCs w:val="21"/>
                <w:highlight w:val="none"/>
              </w:rPr>
              <w:t>0.7</w:t>
            </w:r>
          </w:p>
        </w:tc>
        <w:tc>
          <w:tcPr>
            <w:tcW w:w="683" w:type="dxa"/>
            <w:tcBorders>
              <w:top w:val="single" w:color="000000" w:sz="4" w:space="0"/>
              <w:left w:val="single" w:color="000000" w:sz="4" w:space="0"/>
              <w:bottom w:val="single" w:color="000000" w:sz="4" w:space="0"/>
              <w:right w:val="single" w:color="000000" w:sz="4" w:space="0"/>
            </w:tcBorders>
            <w:vAlign w:val="center"/>
          </w:tcPr>
          <w:p w14:paraId="0516B41D">
            <w:pPr>
              <w:pStyle w:val="98"/>
              <w:ind w:left="-105" w:right="-105"/>
              <w:rPr>
                <w:rFonts w:eastAsia="宋体"/>
                <w:color w:val="auto"/>
                <w:sz w:val="21"/>
                <w:szCs w:val="21"/>
                <w:highlight w:val="none"/>
              </w:rPr>
            </w:pPr>
            <w:r>
              <w:rPr>
                <w:rFonts w:eastAsia="宋体"/>
                <w:color w:val="auto"/>
                <w:sz w:val="21"/>
                <w:szCs w:val="21"/>
                <w:highlight w:val="none"/>
              </w:rPr>
              <w:t>0.4</w:t>
            </w:r>
          </w:p>
        </w:tc>
        <w:tc>
          <w:tcPr>
            <w:tcW w:w="684" w:type="dxa"/>
            <w:tcBorders>
              <w:top w:val="single" w:color="000000" w:sz="4" w:space="0"/>
              <w:left w:val="single" w:color="000000" w:sz="4" w:space="0"/>
              <w:bottom w:val="single" w:color="000000" w:sz="4" w:space="0"/>
              <w:right w:val="single" w:color="000000" w:sz="4" w:space="0"/>
            </w:tcBorders>
            <w:vAlign w:val="center"/>
          </w:tcPr>
          <w:p w14:paraId="16215A65">
            <w:pPr>
              <w:pStyle w:val="98"/>
              <w:ind w:left="-105" w:right="-105"/>
              <w:rPr>
                <w:rFonts w:eastAsia="宋体"/>
                <w:color w:val="auto"/>
                <w:sz w:val="21"/>
                <w:szCs w:val="21"/>
                <w:highlight w:val="none"/>
              </w:rPr>
            </w:pPr>
            <w:r>
              <w:rPr>
                <w:rFonts w:eastAsia="宋体"/>
                <w:color w:val="auto"/>
                <w:sz w:val="21"/>
                <w:szCs w:val="21"/>
                <w:highlight w:val="none"/>
              </w:rPr>
              <w:t>1.0</w:t>
            </w:r>
          </w:p>
        </w:tc>
        <w:tc>
          <w:tcPr>
            <w:tcW w:w="686" w:type="dxa"/>
            <w:tcBorders>
              <w:top w:val="single" w:color="000000" w:sz="4" w:space="0"/>
              <w:left w:val="single" w:color="000000" w:sz="4" w:space="0"/>
              <w:bottom w:val="single" w:color="000000" w:sz="4" w:space="0"/>
              <w:right w:val="single" w:color="000000" w:sz="4" w:space="0"/>
            </w:tcBorders>
            <w:vAlign w:val="center"/>
          </w:tcPr>
          <w:p w14:paraId="61A36883">
            <w:pPr>
              <w:pStyle w:val="98"/>
              <w:ind w:left="-105" w:right="-105"/>
              <w:rPr>
                <w:rFonts w:eastAsia="宋体"/>
                <w:color w:val="auto"/>
                <w:sz w:val="21"/>
                <w:szCs w:val="21"/>
                <w:highlight w:val="none"/>
              </w:rPr>
            </w:pPr>
            <w:r>
              <w:rPr>
                <w:rFonts w:eastAsia="宋体"/>
                <w:color w:val="auto"/>
                <w:sz w:val="21"/>
                <w:szCs w:val="21"/>
                <w:highlight w:val="none"/>
              </w:rPr>
              <w:t>0.7</w:t>
            </w:r>
          </w:p>
        </w:tc>
        <w:tc>
          <w:tcPr>
            <w:tcW w:w="684" w:type="dxa"/>
            <w:tcBorders>
              <w:top w:val="single" w:color="000000" w:sz="4" w:space="0"/>
              <w:left w:val="single" w:color="000000" w:sz="4" w:space="0"/>
              <w:bottom w:val="single" w:color="000000" w:sz="4" w:space="0"/>
              <w:right w:val="single" w:color="000000" w:sz="4" w:space="0"/>
            </w:tcBorders>
            <w:vAlign w:val="center"/>
          </w:tcPr>
          <w:p w14:paraId="46D2C187">
            <w:pPr>
              <w:pStyle w:val="98"/>
              <w:ind w:left="-105" w:right="-105"/>
              <w:rPr>
                <w:rFonts w:eastAsia="宋体"/>
                <w:color w:val="auto"/>
                <w:sz w:val="21"/>
                <w:szCs w:val="21"/>
                <w:highlight w:val="none"/>
              </w:rPr>
            </w:pPr>
            <w:r>
              <w:rPr>
                <w:rFonts w:eastAsia="宋体"/>
                <w:color w:val="auto"/>
                <w:sz w:val="21"/>
                <w:szCs w:val="21"/>
                <w:highlight w:val="none"/>
              </w:rPr>
              <w:t>1.3</w:t>
            </w:r>
          </w:p>
        </w:tc>
        <w:tc>
          <w:tcPr>
            <w:tcW w:w="645" w:type="dxa"/>
            <w:tcBorders>
              <w:top w:val="single" w:color="000000" w:sz="4" w:space="0"/>
              <w:left w:val="single" w:color="000000" w:sz="4" w:space="0"/>
              <w:bottom w:val="single" w:color="000000" w:sz="4" w:space="0"/>
              <w:right w:val="single" w:color="000000" w:sz="4" w:space="0"/>
            </w:tcBorders>
            <w:vAlign w:val="center"/>
          </w:tcPr>
          <w:p w14:paraId="502BD2CF">
            <w:pPr>
              <w:pStyle w:val="98"/>
              <w:ind w:left="-105" w:right="-105"/>
              <w:rPr>
                <w:rFonts w:eastAsia="宋体"/>
                <w:color w:val="auto"/>
                <w:sz w:val="21"/>
                <w:szCs w:val="21"/>
                <w:highlight w:val="none"/>
              </w:rPr>
            </w:pPr>
            <w:r>
              <w:rPr>
                <w:rFonts w:eastAsia="宋体"/>
                <w:color w:val="auto"/>
                <w:sz w:val="21"/>
                <w:szCs w:val="21"/>
                <w:highlight w:val="none"/>
              </w:rPr>
              <w:t>1.7</w:t>
            </w:r>
          </w:p>
        </w:tc>
        <w:tc>
          <w:tcPr>
            <w:tcW w:w="1134" w:type="dxa"/>
            <w:tcBorders>
              <w:top w:val="single" w:color="000000" w:sz="4" w:space="0"/>
              <w:left w:val="single" w:color="000000" w:sz="4" w:space="0"/>
              <w:bottom w:val="single" w:color="000000" w:sz="4" w:space="0"/>
              <w:right w:val="nil"/>
            </w:tcBorders>
            <w:vAlign w:val="center"/>
          </w:tcPr>
          <w:p w14:paraId="63EB239C">
            <w:pPr>
              <w:pStyle w:val="98"/>
              <w:ind w:left="-105" w:right="-105"/>
              <w:rPr>
                <w:rFonts w:eastAsia="宋体"/>
                <w:color w:val="auto"/>
                <w:sz w:val="21"/>
                <w:szCs w:val="21"/>
                <w:highlight w:val="none"/>
              </w:rPr>
            </w:pPr>
            <w:r>
              <w:rPr>
                <w:rFonts w:eastAsia="宋体"/>
                <w:color w:val="auto"/>
                <w:sz w:val="21"/>
                <w:szCs w:val="21"/>
                <w:highlight w:val="none"/>
              </w:rPr>
              <w:t>18.5</w:t>
            </w:r>
          </w:p>
        </w:tc>
      </w:tr>
      <w:tr w14:paraId="19B7D78B">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108" w:type="dxa"/>
            <w:bottom w:w="0" w:type="dxa"/>
            <w:right w:w="108" w:type="dxa"/>
          </w:tblCellMar>
        </w:tblPrEx>
        <w:trPr>
          <w:trHeight w:val="208" w:hRule="atLeast"/>
          <w:jc w:val="center"/>
        </w:trPr>
        <w:tc>
          <w:tcPr>
            <w:tcW w:w="1116" w:type="dxa"/>
            <w:vMerge w:val="continue"/>
            <w:tcBorders>
              <w:top w:val="nil"/>
              <w:left w:val="nil"/>
              <w:bottom w:val="single" w:color="000000" w:sz="4" w:space="0"/>
              <w:right w:val="single" w:color="000000" w:sz="4" w:space="0"/>
            </w:tcBorders>
            <w:vAlign w:val="center"/>
          </w:tcPr>
          <w:p w14:paraId="0F540C82">
            <w:pPr>
              <w:ind w:left="-105" w:right="-105"/>
              <w:jc w:val="center"/>
              <w:rPr>
                <w:rFonts w:ascii="Times New Roman" w:hAnsi="Times New Roman" w:cs="Times New Roman"/>
                <w:color w:val="auto"/>
                <w:sz w:val="21"/>
                <w:szCs w:val="21"/>
                <w:highlight w:val="none"/>
              </w:rPr>
            </w:pPr>
          </w:p>
        </w:tc>
        <w:tc>
          <w:tcPr>
            <w:tcW w:w="742" w:type="dxa"/>
            <w:tcBorders>
              <w:top w:val="single" w:color="000000" w:sz="4" w:space="0"/>
              <w:left w:val="single" w:color="000000" w:sz="4" w:space="0"/>
              <w:bottom w:val="single" w:color="000000" w:sz="4" w:space="0"/>
              <w:right w:val="single" w:color="000000" w:sz="4" w:space="0"/>
            </w:tcBorders>
            <w:vAlign w:val="center"/>
          </w:tcPr>
          <w:p w14:paraId="0F5E0496">
            <w:pPr>
              <w:pStyle w:val="98"/>
              <w:ind w:left="-105" w:right="-105"/>
              <w:rPr>
                <w:rFonts w:eastAsia="宋体"/>
                <w:color w:val="auto"/>
                <w:sz w:val="21"/>
                <w:szCs w:val="21"/>
                <w:highlight w:val="none"/>
              </w:rPr>
            </w:pPr>
            <w:r>
              <w:rPr>
                <w:rFonts w:eastAsia="宋体"/>
                <w:color w:val="auto"/>
                <w:sz w:val="21"/>
                <w:szCs w:val="21"/>
                <w:highlight w:val="none"/>
              </w:rPr>
              <w:t>F</w:t>
            </w:r>
          </w:p>
        </w:tc>
        <w:tc>
          <w:tcPr>
            <w:tcW w:w="683" w:type="dxa"/>
            <w:tcBorders>
              <w:top w:val="single" w:color="000000" w:sz="4" w:space="0"/>
              <w:left w:val="single" w:color="000000" w:sz="4" w:space="0"/>
              <w:bottom w:val="single" w:color="000000" w:sz="4" w:space="0"/>
              <w:right w:val="single" w:color="000000" w:sz="4" w:space="0"/>
            </w:tcBorders>
            <w:vAlign w:val="center"/>
          </w:tcPr>
          <w:p w14:paraId="392FA1B7">
            <w:pPr>
              <w:pStyle w:val="98"/>
              <w:ind w:left="-105" w:right="-105"/>
              <w:rPr>
                <w:rFonts w:eastAsia="宋体"/>
                <w:color w:val="auto"/>
                <w:sz w:val="21"/>
                <w:szCs w:val="21"/>
                <w:highlight w:val="none"/>
              </w:rPr>
            </w:pPr>
            <w:r>
              <w:rPr>
                <w:rFonts w:eastAsia="宋体"/>
                <w:color w:val="auto"/>
                <w:sz w:val="21"/>
                <w:szCs w:val="21"/>
                <w:highlight w:val="none"/>
              </w:rPr>
              <w:t>0.7</w:t>
            </w:r>
          </w:p>
        </w:tc>
        <w:tc>
          <w:tcPr>
            <w:tcW w:w="683" w:type="dxa"/>
            <w:tcBorders>
              <w:top w:val="single" w:color="000000" w:sz="4" w:space="0"/>
              <w:left w:val="single" w:color="000000" w:sz="4" w:space="0"/>
              <w:bottom w:val="single" w:color="000000" w:sz="4" w:space="0"/>
              <w:right w:val="single" w:color="000000" w:sz="4" w:space="0"/>
            </w:tcBorders>
            <w:vAlign w:val="center"/>
          </w:tcPr>
          <w:p w14:paraId="1B347ADB">
            <w:pPr>
              <w:pStyle w:val="98"/>
              <w:ind w:left="-105" w:right="-105"/>
              <w:rPr>
                <w:rFonts w:eastAsia="宋体"/>
                <w:color w:val="auto"/>
                <w:sz w:val="21"/>
                <w:szCs w:val="21"/>
                <w:highlight w:val="none"/>
              </w:rPr>
            </w:pPr>
            <w:r>
              <w:rPr>
                <w:rFonts w:eastAsia="宋体"/>
                <w:color w:val="auto"/>
                <w:sz w:val="21"/>
                <w:szCs w:val="21"/>
                <w:highlight w:val="none"/>
              </w:rPr>
              <w:t>0.3</w:t>
            </w:r>
          </w:p>
        </w:tc>
        <w:tc>
          <w:tcPr>
            <w:tcW w:w="686" w:type="dxa"/>
            <w:tcBorders>
              <w:top w:val="single" w:color="000000" w:sz="4" w:space="0"/>
              <w:left w:val="single" w:color="000000" w:sz="4" w:space="0"/>
              <w:bottom w:val="single" w:color="000000" w:sz="4" w:space="0"/>
              <w:right w:val="single" w:color="000000" w:sz="4" w:space="0"/>
            </w:tcBorders>
            <w:vAlign w:val="center"/>
          </w:tcPr>
          <w:p w14:paraId="52D22543">
            <w:pPr>
              <w:pStyle w:val="98"/>
              <w:ind w:left="-105" w:right="-105"/>
              <w:rPr>
                <w:rFonts w:eastAsia="宋体"/>
                <w:color w:val="auto"/>
                <w:sz w:val="21"/>
                <w:szCs w:val="21"/>
                <w:highlight w:val="none"/>
              </w:rPr>
            </w:pPr>
            <w:r>
              <w:rPr>
                <w:rFonts w:eastAsia="宋体"/>
                <w:color w:val="auto"/>
                <w:sz w:val="21"/>
                <w:szCs w:val="21"/>
                <w:highlight w:val="none"/>
              </w:rPr>
              <w:t>0.3</w:t>
            </w:r>
          </w:p>
        </w:tc>
        <w:tc>
          <w:tcPr>
            <w:tcW w:w="683" w:type="dxa"/>
            <w:tcBorders>
              <w:top w:val="single" w:color="000000" w:sz="4" w:space="0"/>
              <w:left w:val="single" w:color="000000" w:sz="4" w:space="0"/>
              <w:bottom w:val="single" w:color="000000" w:sz="4" w:space="0"/>
              <w:right w:val="single" w:color="000000" w:sz="4" w:space="0"/>
            </w:tcBorders>
            <w:vAlign w:val="center"/>
          </w:tcPr>
          <w:p w14:paraId="27C229A6">
            <w:pPr>
              <w:pStyle w:val="98"/>
              <w:ind w:left="-105" w:right="-105"/>
              <w:rPr>
                <w:rFonts w:eastAsia="宋体"/>
                <w:color w:val="auto"/>
                <w:sz w:val="21"/>
                <w:szCs w:val="21"/>
                <w:highlight w:val="none"/>
              </w:rPr>
            </w:pPr>
            <w:r>
              <w:rPr>
                <w:rFonts w:eastAsia="宋体"/>
                <w:color w:val="auto"/>
                <w:sz w:val="21"/>
                <w:szCs w:val="21"/>
                <w:highlight w:val="none"/>
              </w:rPr>
              <w:t>1.2</w:t>
            </w:r>
          </w:p>
        </w:tc>
        <w:tc>
          <w:tcPr>
            <w:tcW w:w="683" w:type="dxa"/>
            <w:tcBorders>
              <w:top w:val="single" w:color="000000" w:sz="4" w:space="0"/>
              <w:left w:val="single" w:color="000000" w:sz="4" w:space="0"/>
              <w:bottom w:val="single" w:color="000000" w:sz="4" w:space="0"/>
              <w:right w:val="single" w:color="000000" w:sz="4" w:space="0"/>
            </w:tcBorders>
            <w:vAlign w:val="center"/>
          </w:tcPr>
          <w:p w14:paraId="30BC1049">
            <w:pPr>
              <w:pStyle w:val="98"/>
              <w:ind w:left="-105" w:right="-105"/>
              <w:rPr>
                <w:rFonts w:eastAsia="宋体"/>
                <w:color w:val="auto"/>
                <w:sz w:val="21"/>
                <w:szCs w:val="21"/>
                <w:highlight w:val="none"/>
              </w:rPr>
            </w:pPr>
            <w:r>
              <w:rPr>
                <w:rFonts w:eastAsia="宋体"/>
                <w:color w:val="auto"/>
                <w:sz w:val="21"/>
                <w:szCs w:val="21"/>
                <w:highlight w:val="none"/>
              </w:rPr>
              <w:t>0.7</w:t>
            </w:r>
          </w:p>
        </w:tc>
        <w:tc>
          <w:tcPr>
            <w:tcW w:w="683" w:type="dxa"/>
            <w:tcBorders>
              <w:top w:val="single" w:color="000000" w:sz="4" w:space="0"/>
              <w:left w:val="single" w:color="000000" w:sz="4" w:space="0"/>
              <w:bottom w:val="single" w:color="000000" w:sz="4" w:space="0"/>
              <w:right w:val="single" w:color="000000" w:sz="4" w:space="0"/>
            </w:tcBorders>
            <w:vAlign w:val="center"/>
          </w:tcPr>
          <w:p w14:paraId="1429101C">
            <w:pPr>
              <w:pStyle w:val="98"/>
              <w:ind w:left="-105" w:right="-105"/>
              <w:rPr>
                <w:rFonts w:eastAsia="宋体"/>
                <w:color w:val="auto"/>
                <w:sz w:val="21"/>
                <w:szCs w:val="21"/>
                <w:highlight w:val="none"/>
              </w:rPr>
            </w:pPr>
            <w:r>
              <w:rPr>
                <w:rFonts w:eastAsia="宋体"/>
                <w:color w:val="auto"/>
                <w:sz w:val="21"/>
                <w:szCs w:val="21"/>
                <w:highlight w:val="none"/>
              </w:rPr>
              <w:t>2.2</w:t>
            </w:r>
          </w:p>
        </w:tc>
        <w:tc>
          <w:tcPr>
            <w:tcW w:w="685" w:type="dxa"/>
            <w:tcBorders>
              <w:top w:val="single" w:color="000000" w:sz="4" w:space="0"/>
              <w:left w:val="single" w:color="000000" w:sz="4" w:space="0"/>
              <w:bottom w:val="single" w:color="000000" w:sz="4" w:space="0"/>
              <w:right w:val="single" w:color="000000" w:sz="4" w:space="0"/>
            </w:tcBorders>
            <w:vAlign w:val="center"/>
          </w:tcPr>
          <w:p w14:paraId="16AC4375">
            <w:pPr>
              <w:pStyle w:val="98"/>
              <w:ind w:left="-105" w:right="-105"/>
              <w:rPr>
                <w:rFonts w:eastAsia="宋体"/>
                <w:color w:val="auto"/>
                <w:sz w:val="21"/>
                <w:szCs w:val="21"/>
                <w:highlight w:val="none"/>
              </w:rPr>
            </w:pPr>
            <w:r>
              <w:rPr>
                <w:rFonts w:eastAsia="宋体"/>
                <w:color w:val="auto"/>
                <w:sz w:val="21"/>
                <w:szCs w:val="21"/>
                <w:highlight w:val="none"/>
              </w:rPr>
              <w:t>3.4</w:t>
            </w:r>
          </w:p>
        </w:tc>
        <w:tc>
          <w:tcPr>
            <w:tcW w:w="683" w:type="dxa"/>
            <w:tcBorders>
              <w:top w:val="single" w:color="000000" w:sz="4" w:space="0"/>
              <w:left w:val="single" w:color="000000" w:sz="4" w:space="0"/>
              <w:bottom w:val="single" w:color="000000" w:sz="4" w:space="0"/>
              <w:right w:val="single" w:color="000000" w:sz="4" w:space="0"/>
            </w:tcBorders>
            <w:vAlign w:val="center"/>
          </w:tcPr>
          <w:p w14:paraId="7E2BC937">
            <w:pPr>
              <w:pStyle w:val="98"/>
              <w:ind w:left="-105" w:right="-105"/>
              <w:rPr>
                <w:rFonts w:eastAsia="宋体"/>
                <w:color w:val="auto"/>
                <w:sz w:val="21"/>
                <w:szCs w:val="21"/>
                <w:highlight w:val="none"/>
              </w:rPr>
            </w:pPr>
            <w:r>
              <w:rPr>
                <w:rFonts w:eastAsia="宋体"/>
                <w:color w:val="auto"/>
                <w:sz w:val="21"/>
                <w:szCs w:val="21"/>
                <w:highlight w:val="none"/>
              </w:rPr>
              <w:t>0.7</w:t>
            </w:r>
          </w:p>
        </w:tc>
        <w:tc>
          <w:tcPr>
            <w:tcW w:w="683" w:type="dxa"/>
            <w:tcBorders>
              <w:top w:val="single" w:color="000000" w:sz="4" w:space="0"/>
              <w:left w:val="single" w:color="000000" w:sz="4" w:space="0"/>
              <w:bottom w:val="single" w:color="000000" w:sz="4" w:space="0"/>
              <w:right w:val="single" w:color="000000" w:sz="4" w:space="0"/>
            </w:tcBorders>
            <w:vAlign w:val="center"/>
          </w:tcPr>
          <w:p w14:paraId="44BB0958">
            <w:pPr>
              <w:pStyle w:val="98"/>
              <w:ind w:left="-105" w:right="-105"/>
              <w:rPr>
                <w:rFonts w:eastAsia="宋体"/>
                <w:color w:val="auto"/>
                <w:sz w:val="21"/>
                <w:szCs w:val="21"/>
                <w:highlight w:val="none"/>
              </w:rPr>
            </w:pPr>
            <w:r>
              <w:rPr>
                <w:rFonts w:eastAsia="宋体"/>
                <w:color w:val="auto"/>
                <w:sz w:val="21"/>
                <w:szCs w:val="21"/>
                <w:highlight w:val="none"/>
              </w:rPr>
              <w:t>0.9</w:t>
            </w:r>
          </w:p>
        </w:tc>
        <w:tc>
          <w:tcPr>
            <w:tcW w:w="683" w:type="dxa"/>
            <w:tcBorders>
              <w:top w:val="single" w:color="000000" w:sz="4" w:space="0"/>
              <w:left w:val="single" w:color="000000" w:sz="4" w:space="0"/>
              <w:bottom w:val="single" w:color="000000" w:sz="4" w:space="0"/>
              <w:right w:val="single" w:color="000000" w:sz="4" w:space="0"/>
            </w:tcBorders>
          </w:tcPr>
          <w:p w14:paraId="446C57BF">
            <w:pPr>
              <w:pStyle w:val="98"/>
              <w:ind w:left="-105" w:right="-105"/>
              <w:rPr>
                <w:rFonts w:eastAsia="宋体"/>
                <w:color w:val="auto"/>
                <w:sz w:val="21"/>
                <w:szCs w:val="21"/>
                <w:highlight w:val="none"/>
              </w:rPr>
            </w:pPr>
            <w:r>
              <w:rPr>
                <w:rFonts w:eastAsia="宋体"/>
                <w:color w:val="auto"/>
                <w:sz w:val="21"/>
                <w:szCs w:val="21"/>
                <w:highlight w:val="none"/>
              </w:rPr>
              <w:t>/</w:t>
            </w:r>
          </w:p>
        </w:tc>
        <w:tc>
          <w:tcPr>
            <w:tcW w:w="683" w:type="dxa"/>
            <w:tcBorders>
              <w:top w:val="single" w:color="000000" w:sz="4" w:space="0"/>
              <w:left w:val="single" w:color="000000" w:sz="4" w:space="0"/>
              <w:bottom w:val="single" w:color="000000" w:sz="4" w:space="0"/>
              <w:right w:val="single" w:color="000000" w:sz="4" w:space="0"/>
            </w:tcBorders>
          </w:tcPr>
          <w:p w14:paraId="485B91D3">
            <w:pPr>
              <w:pStyle w:val="98"/>
              <w:ind w:left="-105" w:right="-105"/>
              <w:rPr>
                <w:rFonts w:eastAsia="宋体"/>
                <w:color w:val="auto"/>
                <w:sz w:val="21"/>
                <w:szCs w:val="21"/>
                <w:highlight w:val="none"/>
              </w:rPr>
            </w:pPr>
            <w:r>
              <w:rPr>
                <w:rFonts w:eastAsia="宋体"/>
                <w:color w:val="auto"/>
                <w:sz w:val="21"/>
                <w:szCs w:val="21"/>
                <w:highlight w:val="none"/>
              </w:rPr>
              <w:t>/</w:t>
            </w:r>
          </w:p>
        </w:tc>
        <w:tc>
          <w:tcPr>
            <w:tcW w:w="683" w:type="dxa"/>
            <w:tcBorders>
              <w:top w:val="single" w:color="000000" w:sz="4" w:space="0"/>
              <w:left w:val="single" w:color="000000" w:sz="4" w:space="0"/>
              <w:bottom w:val="single" w:color="000000" w:sz="4" w:space="0"/>
              <w:right w:val="single" w:color="000000" w:sz="4" w:space="0"/>
            </w:tcBorders>
            <w:vAlign w:val="center"/>
          </w:tcPr>
          <w:p w14:paraId="2AB5DE55">
            <w:pPr>
              <w:pStyle w:val="98"/>
              <w:ind w:left="-105" w:right="-105"/>
              <w:rPr>
                <w:rFonts w:eastAsia="宋体"/>
                <w:color w:val="auto"/>
                <w:sz w:val="21"/>
                <w:szCs w:val="21"/>
                <w:highlight w:val="none"/>
              </w:rPr>
            </w:pPr>
            <w:r>
              <w:rPr>
                <w:rFonts w:eastAsia="宋体"/>
                <w:color w:val="auto"/>
                <w:sz w:val="21"/>
                <w:szCs w:val="21"/>
                <w:highlight w:val="none"/>
              </w:rPr>
              <w:t>0.3</w:t>
            </w:r>
          </w:p>
        </w:tc>
        <w:tc>
          <w:tcPr>
            <w:tcW w:w="684" w:type="dxa"/>
            <w:tcBorders>
              <w:top w:val="single" w:color="000000" w:sz="4" w:space="0"/>
              <w:left w:val="single" w:color="000000" w:sz="4" w:space="0"/>
              <w:bottom w:val="single" w:color="000000" w:sz="4" w:space="0"/>
              <w:right w:val="single" w:color="000000" w:sz="4" w:space="0"/>
            </w:tcBorders>
            <w:vAlign w:val="center"/>
          </w:tcPr>
          <w:p w14:paraId="1FBCD0AD">
            <w:pPr>
              <w:pStyle w:val="98"/>
              <w:ind w:left="-105" w:right="-105"/>
              <w:rPr>
                <w:rFonts w:eastAsia="宋体"/>
                <w:color w:val="auto"/>
                <w:sz w:val="21"/>
                <w:szCs w:val="21"/>
                <w:highlight w:val="none"/>
              </w:rPr>
            </w:pPr>
            <w:r>
              <w:rPr>
                <w:rFonts w:eastAsia="宋体"/>
                <w:color w:val="auto"/>
                <w:sz w:val="21"/>
                <w:szCs w:val="21"/>
                <w:highlight w:val="none"/>
              </w:rPr>
              <w:t>/</w:t>
            </w:r>
          </w:p>
        </w:tc>
        <w:tc>
          <w:tcPr>
            <w:tcW w:w="686" w:type="dxa"/>
            <w:tcBorders>
              <w:top w:val="single" w:color="000000" w:sz="4" w:space="0"/>
              <w:left w:val="single" w:color="000000" w:sz="4" w:space="0"/>
              <w:bottom w:val="single" w:color="000000" w:sz="4" w:space="0"/>
              <w:right w:val="single" w:color="000000" w:sz="4" w:space="0"/>
            </w:tcBorders>
            <w:vAlign w:val="center"/>
          </w:tcPr>
          <w:p w14:paraId="777B87F8">
            <w:pPr>
              <w:pStyle w:val="98"/>
              <w:ind w:left="-105" w:right="-105"/>
              <w:rPr>
                <w:rFonts w:eastAsia="宋体"/>
                <w:color w:val="auto"/>
                <w:sz w:val="21"/>
                <w:szCs w:val="21"/>
                <w:highlight w:val="none"/>
              </w:rPr>
            </w:pPr>
            <w:r>
              <w:rPr>
                <w:rFonts w:eastAsia="宋体"/>
                <w:color w:val="auto"/>
                <w:sz w:val="21"/>
                <w:szCs w:val="21"/>
                <w:highlight w:val="none"/>
              </w:rPr>
              <w:t>1.9</w:t>
            </w:r>
          </w:p>
        </w:tc>
        <w:tc>
          <w:tcPr>
            <w:tcW w:w="684" w:type="dxa"/>
            <w:tcBorders>
              <w:top w:val="single" w:color="000000" w:sz="4" w:space="0"/>
              <w:left w:val="single" w:color="000000" w:sz="4" w:space="0"/>
              <w:bottom w:val="single" w:color="000000" w:sz="4" w:space="0"/>
              <w:right w:val="single" w:color="000000" w:sz="4" w:space="0"/>
            </w:tcBorders>
          </w:tcPr>
          <w:p w14:paraId="77B3D2A4">
            <w:pPr>
              <w:pStyle w:val="98"/>
              <w:ind w:left="-105" w:right="-105"/>
              <w:rPr>
                <w:rFonts w:eastAsia="宋体"/>
                <w:color w:val="auto"/>
                <w:sz w:val="21"/>
                <w:szCs w:val="21"/>
                <w:highlight w:val="none"/>
              </w:rPr>
            </w:pPr>
            <w:r>
              <w:rPr>
                <w:rFonts w:eastAsia="宋体"/>
                <w:color w:val="auto"/>
                <w:sz w:val="21"/>
                <w:szCs w:val="21"/>
                <w:highlight w:val="none"/>
              </w:rPr>
              <w:t>/</w:t>
            </w:r>
          </w:p>
        </w:tc>
        <w:tc>
          <w:tcPr>
            <w:tcW w:w="645" w:type="dxa"/>
            <w:tcBorders>
              <w:top w:val="single" w:color="000000" w:sz="4" w:space="0"/>
              <w:left w:val="single" w:color="000000" w:sz="4" w:space="0"/>
              <w:bottom w:val="single" w:color="000000" w:sz="4" w:space="0"/>
              <w:right w:val="single" w:color="000000" w:sz="4" w:space="0"/>
            </w:tcBorders>
          </w:tcPr>
          <w:p w14:paraId="171113E9">
            <w:pPr>
              <w:pStyle w:val="98"/>
              <w:ind w:left="-105" w:right="-105"/>
              <w:rPr>
                <w:rFonts w:eastAsia="宋体"/>
                <w:color w:val="auto"/>
                <w:sz w:val="21"/>
                <w:szCs w:val="21"/>
                <w:highlight w:val="none"/>
              </w:rPr>
            </w:pPr>
            <w:r>
              <w:rPr>
                <w:rFonts w:eastAsia="宋体"/>
                <w:color w:val="auto"/>
                <w:sz w:val="21"/>
                <w:szCs w:val="21"/>
                <w:highlight w:val="none"/>
              </w:rPr>
              <w:t>/</w:t>
            </w:r>
          </w:p>
        </w:tc>
        <w:tc>
          <w:tcPr>
            <w:tcW w:w="1134" w:type="dxa"/>
            <w:tcBorders>
              <w:top w:val="single" w:color="000000" w:sz="4" w:space="0"/>
              <w:left w:val="single" w:color="000000" w:sz="4" w:space="0"/>
              <w:bottom w:val="single" w:color="000000" w:sz="4" w:space="0"/>
              <w:right w:val="nil"/>
            </w:tcBorders>
            <w:vAlign w:val="center"/>
          </w:tcPr>
          <w:p w14:paraId="1E2FB0E7">
            <w:pPr>
              <w:pStyle w:val="98"/>
              <w:ind w:left="-105" w:right="-105"/>
              <w:rPr>
                <w:rFonts w:eastAsia="宋体"/>
                <w:color w:val="auto"/>
                <w:sz w:val="21"/>
                <w:szCs w:val="21"/>
                <w:highlight w:val="none"/>
              </w:rPr>
            </w:pPr>
            <w:r>
              <w:rPr>
                <w:rFonts w:eastAsia="宋体"/>
                <w:color w:val="auto"/>
                <w:sz w:val="21"/>
                <w:szCs w:val="21"/>
                <w:highlight w:val="none"/>
              </w:rPr>
              <w:t>12.0</w:t>
            </w:r>
          </w:p>
        </w:tc>
      </w:tr>
      <w:tr w14:paraId="263A6512">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108" w:type="dxa"/>
            <w:bottom w:w="0" w:type="dxa"/>
            <w:right w:w="108" w:type="dxa"/>
          </w:tblCellMar>
        </w:tblPrEx>
        <w:trPr>
          <w:trHeight w:val="210" w:hRule="atLeast"/>
          <w:jc w:val="center"/>
        </w:trPr>
        <w:tc>
          <w:tcPr>
            <w:tcW w:w="1116" w:type="dxa"/>
            <w:vMerge w:val="restart"/>
            <w:tcBorders>
              <w:top w:val="single" w:color="000000" w:sz="4" w:space="0"/>
              <w:left w:val="nil"/>
              <w:bottom w:val="single" w:color="000000" w:sz="4" w:space="0"/>
              <w:right w:val="single" w:color="000000" w:sz="4" w:space="0"/>
            </w:tcBorders>
            <w:vAlign w:val="center"/>
          </w:tcPr>
          <w:p w14:paraId="3DEBA716">
            <w:pPr>
              <w:pStyle w:val="98"/>
              <w:ind w:left="-105" w:right="-105"/>
              <w:rPr>
                <w:rFonts w:eastAsia="宋体"/>
                <w:color w:val="auto"/>
                <w:sz w:val="21"/>
                <w:szCs w:val="21"/>
                <w:highlight w:val="none"/>
              </w:rPr>
            </w:pPr>
            <w:r>
              <w:rPr>
                <w:rFonts w:eastAsia="宋体"/>
                <w:color w:val="auto"/>
                <w:sz w:val="21"/>
                <w:szCs w:val="21"/>
                <w:highlight w:val="none"/>
              </w:rPr>
              <w:t>3.1-5.0</w:t>
            </w:r>
          </w:p>
        </w:tc>
        <w:tc>
          <w:tcPr>
            <w:tcW w:w="742" w:type="dxa"/>
            <w:tcBorders>
              <w:top w:val="single" w:color="000000" w:sz="4" w:space="0"/>
              <w:left w:val="single" w:color="000000" w:sz="4" w:space="0"/>
              <w:bottom w:val="single" w:color="000000" w:sz="4" w:space="0"/>
              <w:right w:val="single" w:color="000000" w:sz="4" w:space="0"/>
            </w:tcBorders>
            <w:vAlign w:val="center"/>
          </w:tcPr>
          <w:p w14:paraId="31E40EE3">
            <w:pPr>
              <w:pStyle w:val="98"/>
              <w:ind w:left="-105" w:right="-105"/>
              <w:rPr>
                <w:rFonts w:eastAsia="宋体"/>
                <w:color w:val="auto"/>
                <w:sz w:val="21"/>
                <w:szCs w:val="21"/>
                <w:highlight w:val="none"/>
              </w:rPr>
            </w:pPr>
            <w:r>
              <w:rPr>
                <w:rFonts w:eastAsia="宋体"/>
                <w:color w:val="auto"/>
                <w:sz w:val="21"/>
                <w:szCs w:val="21"/>
                <w:highlight w:val="none"/>
              </w:rPr>
              <w:t>A</w:t>
            </w:r>
          </w:p>
        </w:tc>
        <w:tc>
          <w:tcPr>
            <w:tcW w:w="683" w:type="dxa"/>
            <w:tcBorders>
              <w:top w:val="single" w:color="000000" w:sz="4" w:space="0"/>
              <w:left w:val="single" w:color="000000" w:sz="4" w:space="0"/>
              <w:bottom w:val="single" w:color="000000" w:sz="4" w:space="0"/>
              <w:right w:val="single" w:color="000000" w:sz="4" w:space="0"/>
            </w:tcBorders>
            <w:vAlign w:val="center"/>
          </w:tcPr>
          <w:p w14:paraId="73D2E69C">
            <w:pPr>
              <w:pStyle w:val="98"/>
              <w:ind w:left="-105" w:right="-105"/>
              <w:rPr>
                <w:rFonts w:eastAsia="宋体"/>
                <w:color w:val="auto"/>
                <w:sz w:val="21"/>
                <w:szCs w:val="21"/>
                <w:highlight w:val="none"/>
              </w:rPr>
            </w:pPr>
            <w:r>
              <w:rPr>
                <w:rFonts w:eastAsia="宋体"/>
                <w:color w:val="auto"/>
                <w:sz w:val="21"/>
                <w:szCs w:val="21"/>
                <w:highlight w:val="none"/>
              </w:rPr>
              <w:t>/</w:t>
            </w:r>
          </w:p>
        </w:tc>
        <w:tc>
          <w:tcPr>
            <w:tcW w:w="683" w:type="dxa"/>
            <w:tcBorders>
              <w:top w:val="single" w:color="000000" w:sz="4" w:space="0"/>
              <w:left w:val="single" w:color="000000" w:sz="4" w:space="0"/>
              <w:bottom w:val="single" w:color="000000" w:sz="4" w:space="0"/>
              <w:right w:val="single" w:color="000000" w:sz="4" w:space="0"/>
            </w:tcBorders>
            <w:vAlign w:val="center"/>
          </w:tcPr>
          <w:p w14:paraId="0CC2059F">
            <w:pPr>
              <w:pStyle w:val="98"/>
              <w:ind w:left="-105" w:right="-105"/>
              <w:rPr>
                <w:rFonts w:eastAsia="宋体"/>
                <w:color w:val="auto"/>
                <w:sz w:val="21"/>
                <w:szCs w:val="21"/>
                <w:highlight w:val="none"/>
              </w:rPr>
            </w:pPr>
            <w:r>
              <w:rPr>
                <w:rFonts w:eastAsia="宋体"/>
                <w:color w:val="auto"/>
                <w:sz w:val="21"/>
                <w:szCs w:val="21"/>
                <w:highlight w:val="none"/>
              </w:rPr>
              <w:t>/</w:t>
            </w:r>
          </w:p>
        </w:tc>
        <w:tc>
          <w:tcPr>
            <w:tcW w:w="686" w:type="dxa"/>
            <w:tcBorders>
              <w:top w:val="single" w:color="000000" w:sz="4" w:space="0"/>
              <w:left w:val="single" w:color="000000" w:sz="4" w:space="0"/>
              <w:bottom w:val="single" w:color="000000" w:sz="4" w:space="0"/>
              <w:right w:val="single" w:color="000000" w:sz="4" w:space="0"/>
            </w:tcBorders>
            <w:vAlign w:val="center"/>
          </w:tcPr>
          <w:p w14:paraId="0A61396E">
            <w:pPr>
              <w:pStyle w:val="98"/>
              <w:ind w:left="-105" w:right="-105"/>
              <w:rPr>
                <w:rFonts w:eastAsia="宋体"/>
                <w:color w:val="auto"/>
                <w:sz w:val="21"/>
                <w:szCs w:val="21"/>
                <w:highlight w:val="none"/>
              </w:rPr>
            </w:pPr>
            <w:r>
              <w:rPr>
                <w:rFonts w:eastAsia="宋体"/>
                <w:color w:val="auto"/>
                <w:sz w:val="21"/>
                <w:szCs w:val="21"/>
                <w:highlight w:val="none"/>
              </w:rPr>
              <w:t>/</w:t>
            </w:r>
          </w:p>
        </w:tc>
        <w:tc>
          <w:tcPr>
            <w:tcW w:w="683" w:type="dxa"/>
            <w:tcBorders>
              <w:top w:val="single" w:color="000000" w:sz="4" w:space="0"/>
              <w:left w:val="single" w:color="000000" w:sz="4" w:space="0"/>
              <w:bottom w:val="single" w:color="000000" w:sz="4" w:space="0"/>
              <w:right w:val="single" w:color="000000" w:sz="4" w:space="0"/>
            </w:tcBorders>
            <w:vAlign w:val="center"/>
          </w:tcPr>
          <w:p w14:paraId="47A60EC7">
            <w:pPr>
              <w:pStyle w:val="98"/>
              <w:ind w:left="-105" w:right="-105"/>
              <w:rPr>
                <w:rFonts w:eastAsia="宋体"/>
                <w:color w:val="auto"/>
                <w:sz w:val="21"/>
                <w:szCs w:val="21"/>
                <w:highlight w:val="none"/>
              </w:rPr>
            </w:pPr>
            <w:r>
              <w:rPr>
                <w:rFonts w:eastAsia="宋体"/>
                <w:color w:val="auto"/>
                <w:sz w:val="21"/>
                <w:szCs w:val="21"/>
                <w:highlight w:val="none"/>
              </w:rPr>
              <w:t>/</w:t>
            </w:r>
          </w:p>
        </w:tc>
        <w:tc>
          <w:tcPr>
            <w:tcW w:w="683" w:type="dxa"/>
            <w:tcBorders>
              <w:top w:val="single" w:color="000000" w:sz="4" w:space="0"/>
              <w:left w:val="single" w:color="000000" w:sz="4" w:space="0"/>
              <w:bottom w:val="single" w:color="000000" w:sz="4" w:space="0"/>
              <w:right w:val="single" w:color="000000" w:sz="4" w:space="0"/>
            </w:tcBorders>
            <w:vAlign w:val="center"/>
          </w:tcPr>
          <w:p w14:paraId="5F66E854">
            <w:pPr>
              <w:pStyle w:val="98"/>
              <w:ind w:left="-105" w:right="-105"/>
              <w:rPr>
                <w:rFonts w:eastAsia="宋体"/>
                <w:color w:val="auto"/>
                <w:sz w:val="21"/>
                <w:szCs w:val="21"/>
                <w:highlight w:val="none"/>
              </w:rPr>
            </w:pPr>
            <w:r>
              <w:rPr>
                <w:rFonts w:eastAsia="宋体"/>
                <w:color w:val="auto"/>
                <w:sz w:val="21"/>
                <w:szCs w:val="21"/>
                <w:highlight w:val="none"/>
              </w:rPr>
              <w:t>/</w:t>
            </w:r>
          </w:p>
        </w:tc>
        <w:tc>
          <w:tcPr>
            <w:tcW w:w="683" w:type="dxa"/>
            <w:tcBorders>
              <w:top w:val="single" w:color="000000" w:sz="4" w:space="0"/>
              <w:left w:val="single" w:color="000000" w:sz="4" w:space="0"/>
              <w:bottom w:val="single" w:color="000000" w:sz="4" w:space="0"/>
              <w:right w:val="single" w:color="000000" w:sz="4" w:space="0"/>
            </w:tcBorders>
            <w:vAlign w:val="center"/>
          </w:tcPr>
          <w:p w14:paraId="4E7B6583">
            <w:pPr>
              <w:pStyle w:val="98"/>
              <w:ind w:left="-105" w:right="-105"/>
              <w:rPr>
                <w:rFonts w:eastAsia="宋体"/>
                <w:color w:val="auto"/>
                <w:sz w:val="21"/>
                <w:szCs w:val="21"/>
                <w:highlight w:val="none"/>
              </w:rPr>
            </w:pPr>
            <w:r>
              <w:rPr>
                <w:rFonts w:eastAsia="宋体"/>
                <w:color w:val="auto"/>
                <w:sz w:val="21"/>
                <w:szCs w:val="21"/>
                <w:highlight w:val="none"/>
              </w:rPr>
              <w:t>/</w:t>
            </w:r>
          </w:p>
        </w:tc>
        <w:tc>
          <w:tcPr>
            <w:tcW w:w="685" w:type="dxa"/>
            <w:tcBorders>
              <w:top w:val="single" w:color="000000" w:sz="4" w:space="0"/>
              <w:left w:val="single" w:color="000000" w:sz="4" w:space="0"/>
              <w:bottom w:val="single" w:color="000000" w:sz="4" w:space="0"/>
              <w:right w:val="single" w:color="000000" w:sz="4" w:space="0"/>
            </w:tcBorders>
            <w:vAlign w:val="center"/>
          </w:tcPr>
          <w:p w14:paraId="15BDBD52">
            <w:pPr>
              <w:pStyle w:val="98"/>
              <w:ind w:left="-105" w:right="-105"/>
              <w:rPr>
                <w:rFonts w:eastAsia="宋体"/>
                <w:color w:val="auto"/>
                <w:sz w:val="21"/>
                <w:szCs w:val="21"/>
                <w:highlight w:val="none"/>
              </w:rPr>
            </w:pPr>
            <w:r>
              <w:rPr>
                <w:rFonts w:eastAsia="宋体"/>
                <w:color w:val="auto"/>
                <w:sz w:val="21"/>
                <w:szCs w:val="21"/>
                <w:highlight w:val="none"/>
              </w:rPr>
              <w:t>/</w:t>
            </w:r>
          </w:p>
        </w:tc>
        <w:tc>
          <w:tcPr>
            <w:tcW w:w="683" w:type="dxa"/>
            <w:tcBorders>
              <w:top w:val="single" w:color="000000" w:sz="4" w:space="0"/>
              <w:left w:val="single" w:color="000000" w:sz="4" w:space="0"/>
              <w:bottom w:val="single" w:color="000000" w:sz="4" w:space="0"/>
              <w:right w:val="single" w:color="000000" w:sz="4" w:space="0"/>
            </w:tcBorders>
            <w:vAlign w:val="center"/>
          </w:tcPr>
          <w:p w14:paraId="66BCB399">
            <w:pPr>
              <w:pStyle w:val="98"/>
              <w:ind w:left="-105" w:right="-105"/>
              <w:rPr>
                <w:rFonts w:eastAsia="宋体"/>
                <w:color w:val="auto"/>
                <w:sz w:val="21"/>
                <w:szCs w:val="21"/>
                <w:highlight w:val="none"/>
              </w:rPr>
            </w:pPr>
          </w:p>
        </w:tc>
        <w:tc>
          <w:tcPr>
            <w:tcW w:w="683" w:type="dxa"/>
            <w:tcBorders>
              <w:top w:val="single" w:color="000000" w:sz="4" w:space="0"/>
              <w:left w:val="single" w:color="000000" w:sz="4" w:space="0"/>
              <w:bottom w:val="single" w:color="000000" w:sz="4" w:space="0"/>
              <w:right w:val="single" w:color="000000" w:sz="4" w:space="0"/>
            </w:tcBorders>
          </w:tcPr>
          <w:p w14:paraId="7DFAFFB6">
            <w:pPr>
              <w:pStyle w:val="98"/>
              <w:ind w:left="-105" w:right="-105"/>
              <w:rPr>
                <w:rFonts w:eastAsia="宋体"/>
                <w:color w:val="auto"/>
                <w:sz w:val="21"/>
                <w:szCs w:val="21"/>
                <w:highlight w:val="none"/>
              </w:rPr>
            </w:pPr>
            <w:r>
              <w:rPr>
                <w:rFonts w:eastAsia="宋体"/>
                <w:color w:val="auto"/>
                <w:sz w:val="21"/>
                <w:szCs w:val="21"/>
                <w:highlight w:val="none"/>
              </w:rPr>
              <w:t>/</w:t>
            </w:r>
          </w:p>
        </w:tc>
        <w:tc>
          <w:tcPr>
            <w:tcW w:w="683" w:type="dxa"/>
            <w:tcBorders>
              <w:top w:val="single" w:color="000000" w:sz="4" w:space="0"/>
              <w:left w:val="single" w:color="000000" w:sz="4" w:space="0"/>
              <w:bottom w:val="single" w:color="000000" w:sz="4" w:space="0"/>
              <w:right w:val="single" w:color="000000" w:sz="4" w:space="0"/>
            </w:tcBorders>
          </w:tcPr>
          <w:p w14:paraId="7AFEB921">
            <w:pPr>
              <w:pStyle w:val="98"/>
              <w:ind w:left="-105" w:right="-105"/>
              <w:rPr>
                <w:rFonts w:eastAsia="宋体"/>
                <w:color w:val="auto"/>
                <w:sz w:val="21"/>
                <w:szCs w:val="21"/>
                <w:highlight w:val="none"/>
              </w:rPr>
            </w:pPr>
            <w:r>
              <w:rPr>
                <w:rFonts w:eastAsia="宋体"/>
                <w:color w:val="auto"/>
                <w:sz w:val="21"/>
                <w:szCs w:val="21"/>
                <w:highlight w:val="none"/>
              </w:rPr>
              <w:t>/</w:t>
            </w:r>
          </w:p>
        </w:tc>
        <w:tc>
          <w:tcPr>
            <w:tcW w:w="683" w:type="dxa"/>
            <w:tcBorders>
              <w:top w:val="single" w:color="000000" w:sz="4" w:space="0"/>
              <w:left w:val="single" w:color="000000" w:sz="4" w:space="0"/>
              <w:bottom w:val="single" w:color="000000" w:sz="4" w:space="0"/>
              <w:right w:val="single" w:color="000000" w:sz="4" w:space="0"/>
            </w:tcBorders>
          </w:tcPr>
          <w:p w14:paraId="420E9CBB">
            <w:pPr>
              <w:pStyle w:val="98"/>
              <w:ind w:left="-105" w:right="-105"/>
              <w:rPr>
                <w:rFonts w:eastAsia="宋体"/>
                <w:color w:val="auto"/>
                <w:sz w:val="21"/>
                <w:szCs w:val="21"/>
                <w:highlight w:val="none"/>
              </w:rPr>
            </w:pPr>
            <w:r>
              <w:rPr>
                <w:rFonts w:eastAsia="宋体"/>
                <w:color w:val="auto"/>
                <w:sz w:val="21"/>
                <w:szCs w:val="21"/>
                <w:highlight w:val="none"/>
              </w:rPr>
              <w:t>/</w:t>
            </w:r>
          </w:p>
        </w:tc>
        <w:tc>
          <w:tcPr>
            <w:tcW w:w="683" w:type="dxa"/>
            <w:tcBorders>
              <w:top w:val="single" w:color="000000" w:sz="4" w:space="0"/>
              <w:left w:val="single" w:color="000000" w:sz="4" w:space="0"/>
              <w:bottom w:val="single" w:color="000000" w:sz="4" w:space="0"/>
              <w:right w:val="single" w:color="000000" w:sz="4" w:space="0"/>
            </w:tcBorders>
          </w:tcPr>
          <w:p w14:paraId="6554F1D5">
            <w:pPr>
              <w:pStyle w:val="98"/>
              <w:ind w:left="-105" w:right="-105"/>
              <w:rPr>
                <w:rFonts w:eastAsia="宋体"/>
                <w:color w:val="auto"/>
                <w:sz w:val="21"/>
                <w:szCs w:val="21"/>
                <w:highlight w:val="none"/>
              </w:rPr>
            </w:pPr>
            <w:r>
              <w:rPr>
                <w:rFonts w:eastAsia="宋体"/>
                <w:color w:val="auto"/>
                <w:sz w:val="21"/>
                <w:szCs w:val="21"/>
                <w:highlight w:val="none"/>
              </w:rPr>
              <w:t>/</w:t>
            </w:r>
          </w:p>
        </w:tc>
        <w:tc>
          <w:tcPr>
            <w:tcW w:w="684" w:type="dxa"/>
            <w:tcBorders>
              <w:top w:val="single" w:color="000000" w:sz="4" w:space="0"/>
              <w:left w:val="single" w:color="000000" w:sz="4" w:space="0"/>
              <w:bottom w:val="single" w:color="000000" w:sz="4" w:space="0"/>
              <w:right w:val="single" w:color="000000" w:sz="4" w:space="0"/>
            </w:tcBorders>
          </w:tcPr>
          <w:p w14:paraId="7DE9B47B">
            <w:pPr>
              <w:pStyle w:val="98"/>
              <w:ind w:left="-105" w:right="-105"/>
              <w:rPr>
                <w:rFonts w:eastAsia="宋体"/>
                <w:color w:val="auto"/>
                <w:sz w:val="21"/>
                <w:szCs w:val="21"/>
                <w:highlight w:val="none"/>
              </w:rPr>
            </w:pPr>
            <w:r>
              <w:rPr>
                <w:rFonts w:eastAsia="宋体"/>
                <w:color w:val="auto"/>
                <w:sz w:val="21"/>
                <w:szCs w:val="21"/>
                <w:highlight w:val="none"/>
              </w:rPr>
              <w:t>/</w:t>
            </w:r>
          </w:p>
        </w:tc>
        <w:tc>
          <w:tcPr>
            <w:tcW w:w="686" w:type="dxa"/>
            <w:tcBorders>
              <w:top w:val="single" w:color="000000" w:sz="4" w:space="0"/>
              <w:left w:val="single" w:color="000000" w:sz="4" w:space="0"/>
              <w:bottom w:val="single" w:color="000000" w:sz="4" w:space="0"/>
              <w:right w:val="single" w:color="000000" w:sz="4" w:space="0"/>
            </w:tcBorders>
            <w:vAlign w:val="center"/>
          </w:tcPr>
          <w:p w14:paraId="7763AFEF">
            <w:pPr>
              <w:pStyle w:val="98"/>
              <w:ind w:left="-105" w:right="-105"/>
              <w:rPr>
                <w:rFonts w:eastAsia="宋体"/>
                <w:color w:val="auto"/>
                <w:sz w:val="21"/>
                <w:szCs w:val="21"/>
                <w:highlight w:val="none"/>
              </w:rPr>
            </w:pPr>
            <w:r>
              <w:rPr>
                <w:rFonts w:eastAsia="宋体"/>
                <w:color w:val="auto"/>
                <w:sz w:val="21"/>
                <w:szCs w:val="21"/>
                <w:highlight w:val="none"/>
              </w:rPr>
              <w:t>/</w:t>
            </w:r>
          </w:p>
        </w:tc>
        <w:tc>
          <w:tcPr>
            <w:tcW w:w="684" w:type="dxa"/>
            <w:tcBorders>
              <w:top w:val="single" w:color="000000" w:sz="4" w:space="0"/>
              <w:left w:val="single" w:color="000000" w:sz="4" w:space="0"/>
              <w:bottom w:val="single" w:color="000000" w:sz="4" w:space="0"/>
              <w:right w:val="single" w:color="000000" w:sz="4" w:space="0"/>
            </w:tcBorders>
          </w:tcPr>
          <w:p w14:paraId="3FB00999">
            <w:pPr>
              <w:pStyle w:val="98"/>
              <w:ind w:left="-105" w:right="-105"/>
              <w:rPr>
                <w:rFonts w:eastAsia="宋体"/>
                <w:color w:val="auto"/>
                <w:sz w:val="21"/>
                <w:szCs w:val="21"/>
                <w:highlight w:val="none"/>
              </w:rPr>
            </w:pPr>
            <w:r>
              <w:rPr>
                <w:rFonts w:eastAsia="宋体"/>
                <w:color w:val="auto"/>
                <w:sz w:val="21"/>
                <w:szCs w:val="21"/>
                <w:highlight w:val="none"/>
              </w:rPr>
              <w:t>/</w:t>
            </w:r>
          </w:p>
        </w:tc>
        <w:tc>
          <w:tcPr>
            <w:tcW w:w="645" w:type="dxa"/>
            <w:tcBorders>
              <w:top w:val="single" w:color="000000" w:sz="4" w:space="0"/>
              <w:left w:val="single" w:color="000000" w:sz="4" w:space="0"/>
              <w:bottom w:val="single" w:color="000000" w:sz="4" w:space="0"/>
              <w:right w:val="single" w:color="000000" w:sz="4" w:space="0"/>
            </w:tcBorders>
          </w:tcPr>
          <w:p w14:paraId="2A071A63">
            <w:pPr>
              <w:pStyle w:val="98"/>
              <w:ind w:left="-105" w:right="-105"/>
              <w:rPr>
                <w:rFonts w:eastAsia="宋体"/>
                <w:color w:val="auto"/>
                <w:sz w:val="21"/>
                <w:szCs w:val="21"/>
                <w:highlight w:val="none"/>
              </w:rPr>
            </w:pPr>
            <w:r>
              <w:rPr>
                <w:rFonts w:eastAsia="宋体"/>
                <w:color w:val="auto"/>
                <w:sz w:val="21"/>
                <w:szCs w:val="21"/>
                <w:highlight w:val="none"/>
              </w:rPr>
              <w:t>/</w:t>
            </w:r>
          </w:p>
        </w:tc>
        <w:tc>
          <w:tcPr>
            <w:tcW w:w="1134" w:type="dxa"/>
            <w:tcBorders>
              <w:top w:val="single" w:color="000000" w:sz="4" w:space="0"/>
              <w:left w:val="single" w:color="000000" w:sz="4" w:space="0"/>
              <w:bottom w:val="single" w:color="000000" w:sz="4" w:space="0"/>
              <w:right w:val="nil"/>
            </w:tcBorders>
            <w:vAlign w:val="center"/>
          </w:tcPr>
          <w:p w14:paraId="3B4B22D7">
            <w:pPr>
              <w:pStyle w:val="98"/>
              <w:ind w:left="-105" w:right="-105"/>
              <w:rPr>
                <w:rFonts w:eastAsia="宋体"/>
                <w:color w:val="auto"/>
                <w:sz w:val="21"/>
                <w:szCs w:val="21"/>
                <w:highlight w:val="none"/>
              </w:rPr>
            </w:pPr>
            <w:r>
              <w:rPr>
                <w:rFonts w:eastAsia="宋体"/>
                <w:color w:val="auto"/>
                <w:sz w:val="21"/>
                <w:szCs w:val="21"/>
                <w:highlight w:val="none"/>
              </w:rPr>
              <w:t>/</w:t>
            </w:r>
          </w:p>
        </w:tc>
      </w:tr>
      <w:tr w14:paraId="35200E1D">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108" w:type="dxa"/>
            <w:bottom w:w="0" w:type="dxa"/>
            <w:right w:w="108" w:type="dxa"/>
          </w:tblCellMar>
        </w:tblPrEx>
        <w:trPr>
          <w:trHeight w:val="210" w:hRule="atLeast"/>
          <w:jc w:val="center"/>
        </w:trPr>
        <w:tc>
          <w:tcPr>
            <w:tcW w:w="1116" w:type="dxa"/>
            <w:vMerge w:val="continue"/>
            <w:tcBorders>
              <w:top w:val="nil"/>
              <w:left w:val="nil"/>
              <w:bottom w:val="single" w:color="000000" w:sz="4" w:space="0"/>
              <w:right w:val="single" w:color="000000" w:sz="4" w:space="0"/>
            </w:tcBorders>
            <w:vAlign w:val="center"/>
          </w:tcPr>
          <w:p w14:paraId="5EA447E1">
            <w:pPr>
              <w:ind w:left="-105" w:right="-105"/>
              <w:jc w:val="center"/>
              <w:rPr>
                <w:rFonts w:ascii="Times New Roman" w:hAnsi="Times New Roman" w:cs="Times New Roman"/>
                <w:color w:val="auto"/>
                <w:sz w:val="21"/>
                <w:szCs w:val="21"/>
                <w:highlight w:val="none"/>
              </w:rPr>
            </w:pPr>
          </w:p>
        </w:tc>
        <w:tc>
          <w:tcPr>
            <w:tcW w:w="742" w:type="dxa"/>
            <w:tcBorders>
              <w:top w:val="single" w:color="000000" w:sz="4" w:space="0"/>
              <w:left w:val="single" w:color="000000" w:sz="4" w:space="0"/>
              <w:bottom w:val="single" w:color="000000" w:sz="4" w:space="0"/>
              <w:right w:val="single" w:color="000000" w:sz="4" w:space="0"/>
            </w:tcBorders>
            <w:vAlign w:val="center"/>
          </w:tcPr>
          <w:p w14:paraId="03378D64">
            <w:pPr>
              <w:pStyle w:val="98"/>
              <w:ind w:left="-105" w:right="-105"/>
              <w:rPr>
                <w:rFonts w:eastAsia="宋体"/>
                <w:color w:val="auto"/>
                <w:sz w:val="21"/>
                <w:szCs w:val="21"/>
                <w:highlight w:val="none"/>
              </w:rPr>
            </w:pPr>
            <w:r>
              <w:rPr>
                <w:rFonts w:eastAsia="宋体"/>
                <w:color w:val="auto"/>
                <w:sz w:val="21"/>
                <w:szCs w:val="21"/>
                <w:highlight w:val="none"/>
              </w:rPr>
              <w:t>B</w:t>
            </w:r>
          </w:p>
        </w:tc>
        <w:tc>
          <w:tcPr>
            <w:tcW w:w="683" w:type="dxa"/>
            <w:tcBorders>
              <w:top w:val="single" w:color="000000" w:sz="4" w:space="0"/>
              <w:left w:val="single" w:color="000000" w:sz="4" w:space="0"/>
              <w:bottom w:val="single" w:color="000000" w:sz="4" w:space="0"/>
              <w:right w:val="single" w:color="000000" w:sz="4" w:space="0"/>
            </w:tcBorders>
            <w:vAlign w:val="center"/>
          </w:tcPr>
          <w:p w14:paraId="3F0908E4">
            <w:pPr>
              <w:pStyle w:val="98"/>
              <w:ind w:left="-105" w:right="-105"/>
              <w:rPr>
                <w:rFonts w:eastAsia="宋体"/>
                <w:color w:val="auto"/>
                <w:sz w:val="21"/>
                <w:szCs w:val="21"/>
                <w:highlight w:val="none"/>
              </w:rPr>
            </w:pPr>
            <w:r>
              <w:rPr>
                <w:rFonts w:eastAsia="宋体"/>
                <w:color w:val="auto"/>
                <w:sz w:val="21"/>
                <w:szCs w:val="21"/>
                <w:highlight w:val="none"/>
              </w:rPr>
              <w:t>1.1</w:t>
            </w:r>
          </w:p>
        </w:tc>
        <w:tc>
          <w:tcPr>
            <w:tcW w:w="683" w:type="dxa"/>
            <w:tcBorders>
              <w:top w:val="single" w:color="000000" w:sz="4" w:space="0"/>
              <w:left w:val="single" w:color="000000" w:sz="4" w:space="0"/>
              <w:bottom w:val="single" w:color="000000" w:sz="4" w:space="0"/>
              <w:right w:val="single" w:color="000000" w:sz="4" w:space="0"/>
            </w:tcBorders>
            <w:vAlign w:val="center"/>
          </w:tcPr>
          <w:p w14:paraId="28887DDA">
            <w:pPr>
              <w:pStyle w:val="98"/>
              <w:ind w:left="-105" w:right="-105"/>
              <w:rPr>
                <w:rFonts w:eastAsia="宋体"/>
                <w:color w:val="auto"/>
                <w:sz w:val="21"/>
                <w:szCs w:val="21"/>
                <w:highlight w:val="none"/>
              </w:rPr>
            </w:pPr>
            <w:r>
              <w:rPr>
                <w:rFonts w:eastAsia="宋体"/>
                <w:color w:val="auto"/>
                <w:sz w:val="21"/>
                <w:szCs w:val="21"/>
                <w:highlight w:val="none"/>
              </w:rPr>
              <w:t>/</w:t>
            </w:r>
          </w:p>
        </w:tc>
        <w:tc>
          <w:tcPr>
            <w:tcW w:w="686" w:type="dxa"/>
            <w:tcBorders>
              <w:top w:val="single" w:color="000000" w:sz="4" w:space="0"/>
              <w:left w:val="single" w:color="000000" w:sz="4" w:space="0"/>
              <w:bottom w:val="single" w:color="000000" w:sz="4" w:space="0"/>
              <w:right w:val="single" w:color="000000" w:sz="4" w:space="0"/>
            </w:tcBorders>
            <w:vAlign w:val="center"/>
          </w:tcPr>
          <w:p w14:paraId="5BC6F97F">
            <w:pPr>
              <w:pStyle w:val="98"/>
              <w:ind w:left="-105" w:right="-105"/>
              <w:rPr>
                <w:rFonts w:eastAsia="宋体"/>
                <w:color w:val="auto"/>
                <w:sz w:val="21"/>
                <w:szCs w:val="21"/>
                <w:highlight w:val="none"/>
              </w:rPr>
            </w:pPr>
            <w:r>
              <w:rPr>
                <w:rFonts w:eastAsia="宋体"/>
                <w:color w:val="auto"/>
                <w:sz w:val="21"/>
                <w:szCs w:val="21"/>
                <w:highlight w:val="none"/>
              </w:rPr>
              <w:t>/</w:t>
            </w:r>
          </w:p>
        </w:tc>
        <w:tc>
          <w:tcPr>
            <w:tcW w:w="683" w:type="dxa"/>
            <w:tcBorders>
              <w:top w:val="single" w:color="000000" w:sz="4" w:space="0"/>
              <w:left w:val="single" w:color="000000" w:sz="4" w:space="0"/>
              <w:bottom w:val="single" w:color="000000" w:sz="4" w:space="0"/>
              <w:right w:val="single" w:color="000000" w:sz="4" w:space="0"/>
            </w:tcBorders>
            <w:vAlign w:val="center"/>
          </w:tcPr>
          <w:p w14:paraId="07ABBFDB">
            <w:pPr>
              <w:pStyle w:val="98"/>
              <w:ind w:left="-105" w:right="-105"/>
              <w:rPr>
                <w:rFonts w:eastAsia="宋体"/>
                <w:color w:val="auto"/>
                <w:sz w:val="21"/>
                <w:szCs w:val="21"/>
                <w:highlight w:val="none"/>
              </w:rPr>
            </w:pPr>
            <w:r>
              <w:rPr>
                <w:rFonts w:eastAsia="宋体"/>
                <w:color w:val="auto"/>
                <w:sz w:val="21"/>
                <w:szCs w:val="21"/>
                <w:highlight w:val="none"/>
              </w:rPr>
              <w:t>0.8</w:t>
            </w:r>
          </w:p>
        </w:tc>
        <w:tc>
          <w:tcPr>
            <w:tcW w:w="683" w:type="dxa"/>
            <w:tcBorders>
              <w:top w:val="single" w:color="000000" w:sz="4" w:space="0"/>
              <w:left w:val="single" w:color="000000" w:sz="4" w:space="0"/>
              <w:bottom w:val="single" w:color="000000" w:sz="4" w:space="0"/>
              <w:right w:val="single" w:color="000000" w:sz="4" w:space="0"/>
            </w:tcBorders>
            <w:vAlign w:val="center"/>
          </w:tcPr>
          <w:p w14:paraId="73DE1ADE">
            <w:pPr>
              <w:pStyle w:val="98"/>
              <w:ind w:left="-105" w:right="-105"/>
              <w:rPr>
                <w:rFonts w:eastAsia="宋体"/>
                <w:color w:val="auto"/>
                <w:sz w:val="21"/>
                <w:szCs w:val="21"/>
                <w:highlight w:val="none"/>
              </w:rPr>
            </w:pPr>
            <w:r>
              <w:rPr>
                <w:rFonts w:eastAsia="宋体"/>
                <w:color w:val="auto"/>
                <w:sz w:val="21"/>
                <w:szCs w:val="21"/>
                <w:highlight w:val="none"/>
              </w:rPr>
              <w:t>0.3</w:t>
            </w:r>
          </w:p>
        </w:tc>
        <w:tc>
          <w:tcPr>
            <w:tcW w:w="683" w:type="dxa"/>
            <w:tcBorders>
              <w:top w:val="single" w:color="000000" w:sz="4" w:space="0"/>
              <w:left w:val="single" w:color="000000" w:sz="4" w:space="0"/>
              <w:bottom w:val="single" w:color="000000" w:sz="4" w:space="0"/>
              <w:right w:val="single" w:color="000000" w:sz="4" w:space="0"/>
            </w:tcBorders>
            <w:vAlign w:val="center"/>
          </w:tcPr>
          <w:p w14:paraId="7EC001B6">
            <w:pPr>
              <w:pStyle w:val="98"/>
              <w:ind w:left="-105" w:right="-105"/>
              <w:rPr>
                <w:rFonts w:eastAsia="宋体"/>
                <w:color w:val="auto"/>
                <w:sz w:val="21"/>
                <w:szCs w:val="21"/>
                <w:highlight w:val="none"/>
              </w:rPr>
            </w:pPr>
            <w:r>
              <w:rPr>
                <w:rFonts w:eastAsia="宋体"/>
                <w:color w:val="auto"/>
                <w:sz w:val="21"/>
                <w:szCs w:val="21"/>
                <w:highlight w:val="none"/>
              </w:rPr>
              <w:t>1.1</w:t>
            </w:r>
          </w:p>
        </w:tc>
        <w:tc>
          <w:tcPr>
            <w:tcW w:w="685" w:type="dxa"/>
            <w:tcBorders>
              <w:top w:val="single" w:color="000000" w:sz="4" w:space="0"/>
              <w:left w:val="single" w:color="000000" w:sz="4" w:space="0"/>
              <w:bottom w:val="single" w:color="000000" w:sz="4" w:space="0"/>
              <w:right w:val="single" w:color="000000" w:sz="4" w:space="0"/>
            </w:tcBorders>
            <w:vAlign w:val="center"/>
          </w:tcPr>
          <w:p w14:paraId="10E915A5">
            <w:pPr>
              <w:pStyle w:val="98"/>
              <w:ind w:left="-105" w:right="-105"/>
              <w:rPr>
                <w:rFonts w:eastAsia="宋体"/>
                <w:color w:val="auto"/>
                <w:sz w:val="21"/>
                <w:szCs w:val="21"/>
                <w:highlight w:val="none"/>
              </w:rPr>
            </w:pPr>
            <w:r>
              <w:rPr>
                <w:rFonts w:eastAsia="宋体"/>
                <w:color w:val="auto"/>
                <w:sz w:val="21"/>
                <w:szCs w:val="21"/>
                <w:highlight w:val="none"/>
              </w:rPr>
              <w:t>1.3</w:t>
            </w:r>
          </w:p>
        </w:tc>
        <w:tc>
          <w:tcPr>
            <w:tcW w:w="683" w:type="dxa"/>
            <w:tcBorders>
              <w:top w:val="single" w:color="000000" w:sz="4" w:space="0"/>
              <w:left w:val="single" w:color="000000" w:sz="4" w:space="0"/>
              <w:bottom w:val="single" w:color="000000" w:sz="4" w:space="0"/>
              <w:right w:val="single" w:color="000000" w:sz="4" w:space="0"/>
            </w:tcBorders>
            <w:vAlign w:val="center"/>
          </w:tcPr>
          <w:p w14:paraId="0527896C">
            <w:pPr>
              <w:pStyle w:val="98"/>
              <w:ind w:left="-105" w:right="-105"/>
              <w:rPr>
                <w:rFonts w:eastAsia="宋体"/>
                <w:color w:val="auto"/>
                <w:sz w:val="21"/>
                <w:szCs w:val="21"/>
                <w:highlight w:val="none"/>
              </w:rPr>
            </w:pPr>
            <w:r>
              <w:rPr>
                <w:rFonts w:eastAsia="宋体"/>
                <w:color w:val="auto"/>
                <w:sz w:val="21"/>
                <w:szCs w:val="21"/>
                <w:highlight w:val="none"/>
              </w:rPr>
              <w:t>1.3</w:t>
            </w:r>
          </w:p>
        </w:tc>
        <w:tc>
          <w:tcPr>
            <w:tcW w:w="683" w:type="dxa"/>
            <w:tcBorders>
              <w:top w:val="single" w:color="000000" w:sz="4" w:space="0"/>
              <w:left w:val="single" w:color="000000" w:sz="4" w:space="0"/>
              <w:bottom w:val="single" w:color="000000" w:sz="4" w:space="0"/>
              <w:right w:val="single" w:color="000000" w:sz="4" w:space="0"/>
            </w:tcBorders>
          </w:tcPr>
          <w:p w14:paraId="1EEC8240">
            <w:pPr>
              <w:pStyle w:val="98"/>
              <w:ind w:left="-105" w:right="-105"/>
              <w:rPr>
                <w:rFonts w:eastAsia="宋体"/>
                <w:color w:val="auto"/>
                <w:sz w:val="21"/>
                <w:szCs w:val="21"/>
                <w:highlight w:val="none"/>
              </w:rPr>
            </w:pPr>
            <w:r>
              <w:rPr>
                <w:rFonts w:eastAsia="宋体"/>
                <w:color w:val="auto"/>
                <w:sz w:val="21"/>
                <w:szCs w:val="21"/>
                <w:highlight w:val="none"/>
              </w:rPr>
              <w:t>/</w:t>
            </w:r>
          </w:p>
        </w:tc>
        <w:tc>
          <w:tcPr>
            <w:tcW w:w="683" w:type="dxa"/>
            <w:tcBorders>
              <w:top w:val="single" w:color="000000" w:sz="4" w:space="0"/>
              <w:left w:val="single" w:color="000000" w:sz="4" w:space="0"/>
              <w:bottom w:val="single" w:color="000000" w:sz="4" w:space="0"/>
              <w:right w:val="single" w:color="000000" w:sz="4" w:space="0"/>
            </w:tcBorders>
          </w:tcPr>
          <w:p w14:paraId="24E41E7F">
            <w:pPr>
              <w:pStyle w:val="98"/>
              <w:ind w:left="-105" w:right="-105"/>
              <w:rPr>
                <w:rFonts w:eastAsia="宋体"/>
                <w:color w:val="auto"/>
                <w:sz w:val="21"/>
                <w:szCs w:val="21"/>
                <w:highlight w:val="none"/>
              </w:rPr>
            </w:pPr>
            <w:r>
              <w:rPr>
                <w:rFonts w:eastAsia="宋体"/>
                <w:color w:val="auto"/>
                <w:sz w:val="21"/>
                <w:szCs w:val="21"/>
                <w:highlight w:val="none"/>
              </w:rPr>
              <w:t>/</w:t>
            </w:r>
          </w:p>
        </w:tc>
        <w:tc>
          <w:tcPr>
            <w:tcW w:w="683" w:type="dxa"/>
            <w:tcBorders>
              <w:top w:val="single" w:color="000000" w:sz="4" w:space="0"/>
              <w:left w:val="single" w:color="000000" w:sz="4" w:space="0"/>
              <w:bottom w:val="single" w:color="000000" w:sz="4" w:space="0"/>
              <w:right w:val="single" w:color="000000" w:sz="4" w:space="0"/>
            </w:tcBorders>
          </w:tcPr>
          <w:p w14:paraId="689C3ABC">
            <w:pPr>
              <w:pStyle w:val="98"/>
              <w:ind w:left="-105" w:right="-105"/>
              <w:rPr>
                <w:rFonts w:eastAsia="宋体"/>
                <w:color w:val="auto"/>
                <w:sz w:val="21"/>
                <w:szCs w:val="21"/>
                <w:highlight w:val="none"/>
              </w:rPr>
            </w:pPr>
            <w:r>
              <w:rPr>
                <w:rFonts w:eastAsia="宋体"/>
                <w:color w:val="auto"/>
                <w:sz w:val="21"/>
                <w:szCs w:val="21"/>
                <w:highlight w:val="none"/>
              </w:rPr>
              <w:t>/</w:t>
            </w:r>
          </w:p>
        </w:tc>
        <w:tc>
          <w:tcPr>
            <w:tcW w:w="683" w:type="dxa"/>
            <w:tcBorders>
              <w:top w:val="single" w:color="000000" w:sz="4" w:space="0"/>
              <w:left w:val="single" w:color="000000" w:sz="4" w:space="0"/>
              <w:bottom w:val="single" w:color="000000" w:sz="4" w:space="0"/>
              <w:right w:val="single" w:color="000000" w:sz="4" w:space="0"/>
            </w:tcBorders>
            <w:vAlign w:val="center"/>
          </w:tcPr>
          <w:p w14:paraId="2F341184">
            <w:pPr>
              <w:pStyle w:val="98"/>
              <w:ind w:left="-105" w:right="-105"/>
              <w:rPr>
                <w:rFonts w:eastAsia="宋体"/>
                <w:color w:val="auto"/>
                <w:sz w:val="21"/>
                <w:szCs w:val="21"/>
                <w:highlight w:val="none"/>
              </w:rPr>
            </w:pPr>
            <w:r>
              <w:rPr>
                <w:rFonts w:eastAsia="宋体"/>
                <w:color w:val="auto"/>
                <w:sz w:val="21"/>
                <w:szCs w:val="21"/>
                <w:highlight w:val="none"/>
              </w:rPr>
              <w:t>0.3</w:t>
            </w:r>
          </w:p>
        </w:tc>
        <w:tc>
          <w:tcPr>
            <w:tcW w:w="684" w:type="dxa"/>
            <w:tcBorders>
              <w:top w:val="single" w:color="000000" w:sz="4" w:space="0"/>
              <w:left w:val="single" w:color="000000" w:sz="4" w:space="0"/>
              <w:bottom w:val="single" w:color="000000" w:sz="4" w:space="0"/>
              <w:right w:val="single" w:color="000000" w:sz="4" w:space="0"/>
            </w:tcBorders>
            <w:vAlign w:val="center"/>
          </w:tcPr>
          <w:p w14:paraId="29DB3C1C">
            <w:pPr>
              <w:pStyle w:val="98"/>
              <w:ind w:left="-105" w:right="-105"/>
              <w:rPr>
                <w:rFonts w:eastAsia="宋体"/>
                <w:color w:val="auto"/>
                <w:sz w:val="21"/>
                <w:szCs w:val="21"/>
                <w:highlight w:val="none"/>
              </w:rPr>
            </w:pPr>
            <w:r>
              <w:rPr>
                <w:rFonts w:eastAsia="宋体"/>
                <w:color w:val="auto"/>
                <w:sz w:val="21"/>
                <w:szCs w:val="21"/>
                <w:highlight w:val="none"/>
              </w:rPr>
              <w:t>0.8</w:t>
            </w:r>
          </w:p>
        </w:tc>
        <w:tc>
          <w:tcPr>
            <w:tcW w:w="686" w:type="dxa"/>
            <w:tcBorders>
              <w:top w:val="single" w:color="000000" w:sz="4" w:space="0"/>
              <w:left w:val="single" w:color="000000" w:sz="4" w:space="0"/>
              <w:bottom w:val="single" w:color="000000" w:sz="4" w:space="0"/>
              <w:right w:val="single" w:color="000000" w:sz="4" w:space="0"/>
            </w:tcBorders>
            <w:vAlign w:val="center"/>
          </w:tcPr>
          <w:p w14:paraId="3496E696">
            <w:pPr>
              <w:pStyle w:val="98"/>
              <w:ind w:left="-105" w:right="-105"/>
              <w:rPr>
                <w:rFonts w:eastAsia="宋体"/>
                <w:color w:val="auto"/>
                <w:sz w:val="21"/>
                <w:szCs w:val="21"/>
                <w:highlight w:val="none"/>
              </w:rPr>
            </w:pPr>
            <w:r>
              <w:rPr>
                <w:rFonts w:eastAsia="宋体"/>
                <w:color w:val="auto"/>
                <w:sz w:val="21"/>
                <w:szCs w:val="21"/>
                <w:highlight w:val="none"/>
              </w:rPr>
              <w:t>0.3</w:t>
            </w:r>
          </w:p>
        </w:tc>
        <w:tc>
          <w:tcPr>
            <w:tcW w:w="684" w:type="dxa"/>
            <w:tcBorders>
              <w:top w:val="single" w:color="000000" w:sz="4" w:space="0"/>
              <w:left w:val="single" w:color="000000" w:sz="4" w:space="0"/>
              <w:bottom w:val="single" w:color="000000" w:sz="4" w:space="0"/>
              <w:right w:val="single" w:color="000000" w:sz="4" w:space="0"/>
            </w:tcBorders>
          </w:tcPr>
          <w:p w14:paraId="3A47B9D1">
            <w:pPr>
              <w:pStyle w:val="98"/>
              <w:ind w:left="-105" w:right="-105"/>
              <w:rPr>
                <w:rFonts w:eastAsia="宋体"/>
                <w:color w:val="auto"/>
                <w:sz w:val="21"/>
                <w:szCs w:val="21"/>
                <w:highlight w:val="none"/>
              </w:rPr>
            </w:pPr>
            <w:r>
              <w:rPr>
                <w:rFonts w:eastAsia="宋体"/>
                <w:color w:val="auto"/>
                <w:sz w:val="21"/>
                <w:szCs w:val="21"/>
                <w:highlight w:val="none"/>
              </w:rPr>
              <w:t>/</w:t>
            </w:r>
          </w:p>
        </w:tc>
        <w:tc>
          <w:tcPr>
            <w:tcW w:w="645" w:type="dxa"/>
            <w:tcBorders>
              <w:top w:val="single" w:color="000000" w:sz="4" w:space="0"/>
              <w:left w:val="single" w:color="000000" w:sz="4" w:space="0"/>
              <w:bottom w:val="single" w:color="000000" w:sz="4" w:space="0"/>
              <w:right w:val="single" w:color="000000" w:sz="4" w:space="0"/>
            </w:tcBorders>
          </w:tcPr>
          <w:p w14:paraId="74C72317">
            <w:pPr>
              <w:pStyle w:val="98"/>
              <w:ind w:left="-105" w:right="-105"/>
              <w:rPr>
                <w:rFonts w:eastAsia="宋体"/>
                <w:color w:val="auto"/>
                <w:sz w:val="21"/>
                <w:szCs w:val="21"/>
                <w:highlight w:val="none"/>
              </w:rPr>
            </w:pPr>
            <w:r>
              <w:rPr>
                <w:rFonts w:eastAsia="宋体"/>
                <w:color w:val="auto"/>
                <w:sz w:val="21"/>
                <w:szCs w:val="21"/>
                <w:highlight w:val="none"/>
              </w:rPr>
              <w:t>/</w:t>
            </w:r>
          </w:p>
        </w:tc>
        <w:tc>
          <w:tcPr>
            <w:tcW w:w="1134" w:type="dxa"/>
            <w:tcBorders>
              <w:top w:val="single" w:color="000000" w:sz="4" w:space="0"/>
              <w:left w:val="single" w:color="000000" w:sz="4" w:space="0"/>
              <w:bottom w:val="single" w:color="000000" w:sz="4" w:space="0"/>
              <w:right w:val="nil"/>
            </w:tcBorders>
            <w:vAlign w:val="center"/>
          </w:tcPr>
          <w:p w14:paraId="6DCA4EAF">
            <w:pPr>
              <w:pStyle w:val="98"/>
              <w:ind w:left="-105" w:right="-105"/>
              <w:rPr>
                <w:rFonts w:eastAsia="宋体"/>
                <w:color w:val="auto"/>
                <w:sz w:val="21"/>
                <w:szCs w:val="21"/>
                <w:highlight w:val="none"/>
              </w:rPr>
            </w:pPr>
            <w:r>
              <w:rPr>
                <w:rFonts w:eastAsia="宋体"/>
                <w:color w:val="auto"/>
                <w:sz w:val="21"/>
                <w:szCs w:val="21"/>
                <w:highlight w:val="none"/>
              </w:rPr>
              <w:t>7.1</w:t>
            </w:r>
          </w:p>
        </w:tc>
      </w:tr>
      <w:tr w14:paraId="47DBBC0F">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108" w:type="dxa"/>
            <w:bottom w:w="0" w:type="dxa"/>
            <w:right w:w="108" w:type="dxa"/>
          </w:tblCellMar>
        </w:tblPrEx>
        <w:trPr>
          <w:trHeight w:val="210" w:hRule="atLeast"/>
          <w:jc w:val="center"/>
        </w:trPr>
        <w:tc>
          <w:tcPr>
            <w:tcW w:w="1116" w:type="dxa"/>
            <w:vMerge w:val="continue"/>
            <w:tcBorders>
              <w:top w:val="nil"/>
              <w:left w:val="nil"/>
              <w:bottom w:val="single" w:color="000000" w:sz="4" w:space="0"/>
              <w:right w:val="single" w:color="000000" w:sz="4" w:space="0"/>
            </w:tcBorders>
            <w:vAlign w:val="center"/>
          </w:tcPr>
          <w:p w14:paraId="6CC081BF">
            <w:pPr>
              <w:ind w:left="-105" w:right="-105"/>
              <w:jc w:val="center"/>
              <w:rPr>
                <w:rFonts w:ascii="Times New Roman" w:hAnsi="Times New Roman" w:cs="Times New Roman"/>
                <w:color w:val="auto"/>
                <w:sz w:val="21"/>
                <w:szCs w:val="21"/>
                <w:highlight w:val="none"/>
              </w:rPr>
            </w:pPr>
          </w:p>
        </w:tc>
        <w:tc>
          <w:tcPr>
            <w:tcW w:w="742" w:type="dxa"/>
            <w:tcBorders>
              <w:top w:val="single" w:color="000000" w:sz="4" w:space="0"/>
              <w:left w:val="single" w:color="000000" w:sz="4" w:space="0"/>
              <w:bottom w:val="single" w:color="000000" w:sz="4" w:space="0"/>
              <w:right w:val="single" w:color="000000" w:sz="4" w:space="0"/>
            </w:tcBorders>
            <w:vAlign w:val="center"/>
          </w:tcPr>
          <w:p w14:paraId="772F0037">
            <w:pPr>
              <w:pStyle w:val="98"/>
              <w:ind w:left="-105" w:right="-105"/>
              <w:rPr>
                <w:rFonts w:eastAsia="宋体"/>
                <w:color w:val="auto"/>
                <w:sz w:val="21"/>
                <w:szCs w:val="21"/>
                <w:highlight w:val="none"/>
              </w:rPr>
            </w:pPr>
            <w:r>
              <w:rPr>
                <w:rFonts w:eastAsia="宋体"/>
                <w:color w:val="auto"/>
                <w:sz w:val="21"/>
                <w:szCs w:val="21"/>
                <w:highlight w:val="none"/>
              </w:rPr>
              <w:t>C</w:t>
            </w:r>
          </w:p>
        </w:tc>
        <w:tc>
          <w:tcPr>
            <w:tcW w:w="683" w:type="dxa"/>
            <w:tcBorders>
              <w:top w:val="single" w:color="000000" w:sz="4" w:space="0"/>
              <w:left w:val="single" w:color="000000" w:sz="4" w:space="0"/>
              <w:bottom w:val="single" w:color="000000" w:sz="4" w:space="0"/>
              <w:right w:val="single" w:color="000000" w:sz="4" w:space="0"/>
            </w:tcBorders>
            <w:vAlign w:val="center"/>
          </w:tcPr>
          <w:p w14:paraId="64077CC3">
            <w:pPr>
              <w:pStyle w:val="98"/>
              <w:ind w:left="-105" w:right="-105"/>
              <w:rPr>
                <w:rFonts w:eastAsia="宋体"/>
                <w:color w:val="auto"/>
                <w:sz w:val="21"/>
                <w:szCs w:val="21"/>
                <w:highlight w:val="none"/>
              </w:rPr>
            </w:pPr>
            <w:r>
              <w:rPr>
                <w:rFonts w:eastAsia="宋体"/>
                <w:color w:val="auto"/>
                <w:sz w:val="21"/>
                <w:szCs w:val="21"/>
                <w:highlight w:val="none"/>
              </w:rPr>
              <w:t>0.9</w:t>
            </w:r>
          </w:p>
        </w:tc>
        <w:tc>
          <w:tcPr>
            <w:tcW w:w="683" w:type="dxa"/>
            <w:tcBorders>
              <w:top w:val="single" w:color="000000" w:sz="4" w:space="0"/>
              <w:left w:val="single" w:color="000000" w:sz="4" w:space="0"/>
              <w:bottom w:val="single" w:color="000000" w:sz="4" w:space="0"/>
              <w:right w:val="single" w:color="000000" w:sz="4" w:space="0"/>
            </w:tcBorders>
            <w:vAlign w:val="center"/>
          </w:tcPr>
          <w:p w14:paraId="5E524FFC">
            <w:pPr>
              <w:pStyle w:val="98"/>
              <w:ind w:left="-105" w:right="-105"/>
              <w:rPr>
                <w:rFonts w:eastAsia="宋体"/>
                <w:color w:val="auto"/>
                <w:sz w:val="21"/>
                <w:szCs w:val="21"/>
                <w:highlight w:val="none"/>
              </w:rPr>
            </w:pPr>
            <w:r>
              <w:rPr>
                <w:rFonts w:eastAsia="宋体"/>
                <w:color w:val="auto"/>
                <w:sz w:val="21"/>
                <w:szCs w:val="21"/>
                <w:highlight w:val="none"/>
              </w:rPr>
              <w:t>0.3</w:t>
            </w:r>
          </w:p>
        </w:tc>
        <w:tc>
          <w:tcPr>
            <w:tcW w:w="686" w:type="dxa"/>
            <w:tcBorders>
              <w:top w:val="single" w:color="000000" w:sz="4" w:space="0"/>
              <w:left w:val="single" w:color="000000" w:sz="4" w:space="0"/>
              <w:bottom w:val="single" w:color="000000" w:sz="4" w:space="0"/>
              <w:right w:val="single" w:color="000000" w:sz="4" w:space="0"/>
            </w:tcBorders>
            <w:vAlign w:val="center"/>
          </w:tcPr>
          <w:p w14:paraId="483259DD">
            <w:pPr>
              <w:pStyle w:val="98"/>
              <w:ind w:left="-105" w:right="-105"/>
              <w:rPr>
                <w:rFonts w:eastAsia="宋体"/>
                <w:color w:val="auto"/>
                <w:sz w:val="21"/>
                <w:szCs w:val="21"/>
                <w:highlight w:val="none"/>
              </w:rPr>
            </w:pPr>
            <w:r>
              <w:rPr>
                <w:rFonts w:eastAsia="宋体"/>
                <w:color w:val="auto"/>
                <w:sz w:val="21"/>
                <w:szCs w:val="21"/>
                <w:highlight w:val="none"/>
              </w:rPr>
              <w:t>0.3</w:t>
            </w:r>
          </w:p>
        </w:tc>
        <w:tc>
          <w:tcPr>
            <w:tcW w:w="683" w:type="dxa"/>
            <w:tcBorders>
              <w:top w:val="single" w:color="000000" w:sz="4" w:space="0"/>
              <w:left w:val="single" w:color="000000" w:sz="4" w:space="0"/>
              <w:bottom w:val="single" w:color="000000" w:sz="4" w:space="0"/>
              <w:right w:val="single" w:color="000000" w:sz="4" w:space="0"/>
            </w:tcBorders>
            <w:vAlign w:val="center"/>
          </w:tcPr>
          <w:p w14:paraId="5C2ED47B">
            <w:pPr>
              <w:pStyle w:val="98"/>
              <w:ind w:left="-105" w:right="-105"/>
              <w:rPr>
                <w:rFonts w:eastAsia="宋体"/>
                <w:color w:val="auto"/>
                <w:sz w:val="21"/>
                <w:szCs w:val="21"/>
                <w:highlight w:val="none"/>
              </w:rPr>
            </w:pPr>
            <w:r>
              <w:rPr>
                <w:rFonts w:eastAsia="宋体"/>
                <w:color w:val="auto"/>
                <w:sz w:val="21"/>
                <w:szCs w:val="21"/>
                <w:highlight w:val="none"/>
              </w:rPr>
              <w:t>1.7</w:t>
            </w:r>
          </w:p>
        </w:tc>
        <w:tc>
          <w:tcPr>
            <w:tcW w:w="683" w:type="dxa"/>
            <w:tcBorders>
              <w:top w:val="single" w:color="000000" w:sz="4" w:space="0"/>
              <w:left w:val="single" w:color="000000" w:sz="4" w:space="0"/>
              <w:bottom w:val="single" w:color="000000" w:sz="4" w:space="0"/>
              <w:right w:val="single" w:color="000000" w:sz="4" w:space="0"/>
            </w:tcBorders>
            <w:vAlign w:val="center"/>
          </w:tcPr>
          <w:p w14:paraId="02997DF4">
            <w:pPr>
              <w:pStyle w:val="98"/>
              <w:ind w:left="-105" w:right="-105"/>
              <w:rPr>
                <w:rFonts w:eastAsia="宋体"/>
                <w:color w:val="auto"/>
                <w:sz w:val="21"/>
                <w:szCs w:val="21"/>
                <w:highlight w:val="none"/>
              </w:rPr>
            </w:pPr>
            <w:r>
              <w:rPr>
                <w:rFonts w:eastAsia="宋体"/>
                <w:color w:val="auto"/>
                <w:sz w:val="21"/>
                <w:szCs w:val="21"/>
                <w:highlight w:val="none"/>
              </w:rPr>
              <w:t>1.1</w:t>
            </w:r>
          </w:p>
        </w:tc>
        <w:tc>
          <w:tcPr>
            <w:tcW w:w="683" w:type="dxa"/>
            <w:tcBorders>
              <w:top w:val="single" w:color="000000" w:sz="4" w:space="0"/>
              <w:left w:val="single" w:color="000000" w:sz="4" w:space="0"/>
              <w:bottom w:val="single" w:color="000000" w:sz="4" w:space="0"/>
              <w:right w:val="single" w:color="000000" w:sz="4" w:space="0"/>
            </w:tcBorders>
            <w:vAlign w:val="center"/>
          </w:tcPr>
          <w:p w14:paraId="6C881E3C">
            <w:pPr>
              <w:pStyle w:val="98"/>
              <w:ind w:left="-105" w:right="-105"/>
              <w:rPr>
                <w:rFonts w:eastAsia="宋体"/>
                <w:color w:val="auto"/>
                <w:sz w:val="21"/>
                <w:szCs w:val="21"/>
                <w:highlight w:val="none"/>
              </w:rPr>
            </w:pPr>
            <w:r>
              <w:rPr>
                <w:rFonts w:eastAsia="宋体"/>
                <w:color w:val="auto"/>
                <w:sz w:val="21"/>
                <w:szCs w:val="21"/>
                <w:highlight w:val="none"/>
              </w:rPr>
              <w:t>2.3</w:t>
            </w:r>
          </w:p>
        </w:tc>
        <w:tc>
          <w:tcPr>
            <w:tcW w:w="685" w:type="dxa"/>
            <w:tcBorders>
              <w:top w:val="single" w:color="000000" w:sz="4" w:space="0"/>
              <w:left w:val="single" w:color="000000" w:sz="4" w:space="0"/>
              <w:bottom w:val="single" w:color="000000" w:sz="4" w:space="0"/>
              <w:right w:val="single" w:color="000000" w:sz="4" w:space="0"/>
            </w:tcBorders>
            <w:vAlign w:val="center"/>
          </w:tcPr>
          <w:p w14:paraId="2836196E">
            <w:pPr>
              <w:pStyle w:val="98"/>
              <w:ind w:left="-105" w:right="-105"/>
              <w:rPr>
                <w:rFonts w:eastAsia="宋体"/>
                <w:color w:val="auto"/>
                <w:sz w:val="21"/>
                <w:szCs w:val="21"/>
                <w:highlight w:val="none"/>
              </w:rPr>
            </w:pPr>
            <w:r>
              <w:rPr>
                <w:rFonts w:eastAsia="宋体"/>
                <w:color w:val="auto"/>
                <w:sz w:val="21"/>
                <w:szCs w:val="21"/>
                <w:highlight w:val="none"/>
              </w:rPr>
              <w:t>1.4</w:t>
            </w:r>
          </w:p>
        </w:tc>
        <w:tc>
          <w:tcPr>
            <w:tcW w:w="683" w:type="dxa"/>
            <w:tcBorders>
              <w:top w:val="single" w:color="000000" w:sz="4" w:space="0"/>
              <w:left w:val="single" w:color="000000" w:sz="4" w:space="0"/>
              <w:bottom w:val="single" w:color="000000" w:sz="4" w:space="0"/>
              <w:right w:val="single" w:color="000000" w:sz="4" w:space="0"/>
            </w:tcBorders>
            <w:vAlign w:val="center"/>
          </w:tcPr>
          <w:p w14:paraId="4E108E7C">
            <w:pPr>
              <w:pStyle w:val="98"/>
              <w:ind w:left="-105" w:right="-105"/>
              <w:rPr>
                <w:rFonts w:eastAsia="宋体"/>
                <w:color w:val="auto"/>
                <w:sz w:val="21"/>
                <w:szCs w:val="21"/>
                <w:highlight w:val="none"/>
              </w:rPr>
            </w:pPr>
            <w:r>
              <w:rPr>
                <w:rFonts w:eastAsia="宋体"/>
                <w:color w:val="auto"/>
                <w:sz w:val="21"/>
                <w:szCs w:val="21"/>
                <w:highlight w:val="none"/>
              </w:rPr>
              <w:t>1.7</w:t>
            </w:r>
          </w:p>
        </w:tc>
        <w:tc>
          <w:tcPr>
            <w:tcW w:w="683" w:type="dxa"/>
            <w:tcBorders>
              <w:top w:val="single" w:color="000000" w:sz="4" w:space="0"/>
              <w:left w:val="single" w:color="000000" w:sz="4" w:space="0"/>
              <w:bottom w:val="single" w:color="000000" w:sz="4" w:space="0"/>
              <w:right w:val="single" w:color="000000" w:sz="4" w:space="0"/>
            </w:tcBorders>
            <w:vAlign w:val="center"/>
          </w:tcPr>
          <w:p w14:paraId="4EBDF413">
            <w:pPr>
              <w:pStyle w:val="98"/>
              <w:ind w:left="-105" w:right="-105"/>
              <w:rPr>
                <w:rFonts w:eastAsia="宋体"/>
                <w:color w:val="auto"/>
                <w:sz w:val="21"/>
                <w:szCs w:val="21"/>
                <w:highlight w:val="none"/>
              </w:rPr>
            </w:pPr>
            <w:r>
              <w:rPr>
                <w:rFonts w:eastAsia="宋体"/>
                <w:color w:val="auto"/>
                <w:sz w:val="21"/>
                <w:szCs w:val="21"/>
                <w:highlight w:val="none"/>
              </w:rPr>
              <w:t>0.8</w:t>
            </w:r>
          </w:p>
        </w:tc>
        <w:tc>
          <w:tcPr>
            <w:tcW w:w="683" w:type="dxa"/>
            <w:tcBorders>
              <w:top w:val="single" w:color="000000" w:sz="4" w:space="0"/>
              <w:left w:val="single" w:color="000000" w:sz="4" w:space="0"/>
              <w:bottom w:val="single" w:color="000000" w:sz="4" w:space="0"/>
              <w:right w:val="single" w:color="000000" w:sz="4" w:space="0"/>
            </w:tcBorders>
            <w:vAlign w:val="center"/>
          </w:tcPr>
          <w:p w14:paraId="616586AD">
            <w:pPr>
              <w:pStyle w:val="98"/>
              <w:ind w:left="-105" w:right="-105"/>
              <w:rPr>
                <w:rFonts w:eastAsia="宋体"/>
                <w:color w:val="auto"/>
                <w:sz w:val="21"/>
                <w:szCs w:val="21"/>
                <w:highlight w:val="none"/>
              </w:rPr>
            </w:pPr>
            <w:r>
              <w:rPr>
                <w:rFonts w:eastAsia="宋体"/>
                <w:color w:val="auto"/>
                <w:sz w:val="21"/>
                <w:szCs w:val="21"/>
                <w:highlight w:val="none"/>
              </w:rPr>
              <w:t>0.9</w:t>
            </w:r>
          </w:p>
        </w:tc>
        <w:tc>
          <w:tcPr>
            <w:tcW w:w="683" w:type="dxa"/>
            <w:tcBorders>
              <w:top w:val="single" w:color="000000" w:sz="4" w:space="0"/>
              <w:left w:val="single" w:color="000000" w:sz="4" w:space="0"/>
              <w:bottom w:val="single" w:color="000000" w:sz="4" w:space="0"/>
              <w:right w:val="single" w:color="000000" w:sz="4" w:space="0"/>
            </w:tcBorders>
            <w:vAlign w:val="center"/>
          </w:tcPr>
          <w:p w14:paraId="0739F7ED">
            <w:pPr>
              <w:pStyle w:val="98"/>
              <w:ind w:left="-105" w:right="-105"/>
              <w:rPr>
                <w:rFonts w:eastAsia="宋体"/>
                <w:color w:val="auto"/>
                <w:sz w:val="21"/>
                <w:szCs w:val="21"/>
                <w:highlight w:val="none"/>
              </w:rPr>
            </w:pPr>
            <w:r>
              <w:rPr>
                <w:rFonts w:eastAsia="宋体"/>
                <w:color w:val="auto"/>
                <w:sz w:val="21"/>
                <w:szCs w:val="21"/>
                <w:highlight w:val="none"/>
              </w:rPr>
              <w:t>1.1</w:t>
            </w:r>
          </w:p>
        </w:tc>
        <w:tc>
          <w:tcPr>
            <w:tcW w:w="683" w:type="dxa"/>
            <w:tcBorders>
              <w:top w:val="single" w:color="000000" w:sz="4" w:space="0"/>
              <w:left w:val="single" w:color="000000" w:sz="4" w:space="0"/>
              <w:bottom w:val="single" w:color="000000" w:sz="4" w:space="0"/>
              <w:right w:val="single" w:color="000000" w:sz="4" w:space="0"/>
            </w:tcBorders>
            <w:vAlign w:val="center"/>
          </w:tcPr>
          <w:p w14:paraId="66D9B52D">
            <w:pPr>
              <w:pStyle w:val="98"/>
              <w:ind w:left="-105" w:right="-105"/>
              <w:rPr>
                <w:rFonts w:eastAsia="宋体"/>
                <w:color w:val="auto"/>
                <w:sz w:val="21"/>
                <w:szCs w:val="21"/>
                <w:highlight w:val="none"/>
              </w:rPr>
            </w:pPr>
            <w:r>
              <w:rPr>
                <w:rFonts w:eastAsia="宋体"/>
                <w:color w:val="auto"/>
                <w:sz w:val="21"/>
                <w:szCs w:val="21"/>
                <w:highlight w:val="none"/>
              </w:rPr>
              <w:t>0.3</w:t>
            </w:r>
          </w:p>
        </w:tc>
        <w:tc>
          <w:tcPr>
            <w:tcW w:w="684" w:type="dxa"/>
            <w:tcBorders>
              <w:top w:val="single" w:color="000000" w:sz="4" w:space="0"/>
              <w:left w:val="single" w:color="000000" w:sz="4" w:space="0"/>
              <w:bottom w:val="single" w:color="000000" w:sz="4" w:space="0"/>
              <w:right w:val="single" w:color="000000" w:sz="4" w:space="0"/>
            </w:tcBorders>
            <w:vAlign w:val="center"/>
          </w:tcPr>
          <w:p w14:paraId="75049EB2">
            <w:pPr>
              <w:pStyle w:val="98"/>
              <w:ind w:left="-105" w:right="-105"/>
              <w:rPr>
                <w:rFonts w:eastAsia="宋体"/>
                <w:color w:val="auto"/>
                <w:sz w:val="21"/>
                <w:szCs w:val="21"/>
                <w:highlight w:val="none"/>
              </w:rPr>
            </w:pPr>
            <w:r>
              <w:rPr>
                <w:rFonts w:eastAsia="宋体"/>
                <w:color w:val="auto"/>
                <w:sz w:val="21"/>
                <w:szCs w:val="21"/>
                <w:highlight w:val="none"/>
              </w:rPr>
              <w:t>1.1</w:t>
            </w:r>
          </w:p>
        </w:tc>
        <w:tc>
          <w:tcPr>
            <w:tcW w:w="686" w:type="dxa"/>
            <w:tcBorders>
              <w:top w:val="single" w:color="000000" w:sz="4" w:space="0"/>
              <w:left w:val="single" w:color="000000" w:sz="4" w:space="0"/>
              <w:bottom w:val="single" w:color="000000" w:sz="4" w:space="0"/>
              <w:right w:val="single" w:color="000000" w:sz="4" w:space="0"/>
            </w:tcBorders>
            <w:vAlign w:val="center"/>
          </w:tcPr>
          <w:p w14:paraId="420E1020">
            <w:pPr>
              <w:pStyle w:val="98"/>
              <w:ind w:left="-105" w:right="-105"/>
              <w:rPr>
                <w:rFonts w:eastAsia="宋体"/>
                <w:color w:val="auto"/>
                <w:sz w:val="21"/>
                <w:szCs w:val="21"/>
                <w:highlight w:val="none"/>
              </w:rPr>
            </w:pPr>
            <w:r>
              <w:rPr>
                <w:rFonts w:eastAsia="宋体"/>
                <w:color w:val="auto"/>
                <w:sz w:val="21"/>
                <w:szCs w:val="21"/>
                <w:highlight w:val="none"/>
              </w:rPr>
              <w:t>1.1</w:t>
            </w:r>
          </w:p>
        </w:tc>
        <w:tc>
          <w:tcPr>
            <w:tcW w:w="684" w:type="dxa"/>
            <w:tcBorders>
              <w:top w:val="single" w:color="000000" w:sz="4" w:space="0"/>
              <w:left w:val="single" w:color="000000" w:sz="4" w:space="0"/>
              <w:bottom w:val="single" w:color="000000" w:sz="4" w:space="0"/>
              <w:right w:val="single" w:color="000000" w:sz="4" w:space="0"/>
            </w:tcBorders>
            <w:vAlign w:val="center"/>
          </w:tcPr>
          <w:p w14:paraId="044B2AC8">
            <w:pPr>
              <w:pStyle w:val="98"/>
              <w:ind w:left="-105" w:right="-105"/>
              <w:rPr>
                <w:rFonts w:eastAsia="宋体"/>
                <w:color w:val="auto"/>
                <w:sz w:val="21"/>
                <w:szCs w:val="21"/>
                <w:highlight w:val="none"/>
              </w:rPr>
            </w:pPr>
            <w:r>
              <w:rPr>
                <w:rFonts w:eastAsia="宋体"/>
                <w:color w:val="auto"/>
                <w:sz w:val="21"/>
                <w:szCs w:val="21"/>
                <w:highlight w:val="none"/>
              </w:rPr>
              <w:t>1.7</w:t>
            </w:r>
          </w:p>
        </w:tc>
        <w:tc>
          <w:tcPr>
            <w:tcW w:w="645" w:type="dxa"/>
            <w:tcBorders>
              <w:top w:val="single" w:color="000000" w:sz="4" w:space="0"/>
              <w:left w:val="single" w:color="000000" w:sz="4" w:space="0"/>
              <w:bottom w:val="single" w:color="000000" w:sz="4" w:space="0"/>
              <w:right w:val="single" w:color="000000" w:sz="4" w:space="0"/>
            </w:tcBorders>
            <w:vAlign w:val="center"/>
          </w:tcPr>
          <w:p w14:paraId="01479E36">
            <w:pPr>
              <w:pStyle w:val="98"/>
              <w:ind w:left="-105" w:right="-105"/>
              <w:rPr>
                <w:rFonts w:eastAsia="宋体"/>
                <w:color w:val="auto"/>
                <w:sz w:val="21"/>
                <w:szCs w:val="21"/>
                <w:highlight w:val="none"/>
              </w:rPr>
            </w:pPr>
            <w:r>
              <w:rPr>
                <w:rFonts w:eastAsia="宋体"/>
                <w:color w:val="auto"/>
                <w:sz w:val="21"/>
                <w:szCs w:val="21"/>
                <w:highlight w:val="none"/>
              </w:rPr>
              <w:t>0.9</w:t>
            </w:r>
          </w:p>
        </w:tc>
        <w:tc>
          <w:tcPr>
            <w:tcW w:w="1134" w:type="dxa"/>
            <w:tcBorders>
              <w:top w:val="single" w:color="000000" w:sz="4" w:space="0"/>
              <w:left w:val="single" w:color="000000" w:sz="4" w:space="0"/>
              <w:bottom w:val="single" w:color="000000" w:sz="4" w:space="0"/>
              <w:right w:val="nil"/>
            </w:tcBorders>
            <w:vAlign w:val="center"/>
          </w:tcPr>
          <w:p w14:paraId="5355668B">
            <w:pPr>
              <w:pStyle w:val="98"/>
              <w:ind w:left="-105" w:right="-105"/>
              <w:rPr>
                <w:rFonts w:eastAsia="宋体"/>
                <w:color w:val="auto"/>
                <w:sz w:val="21"/>
                <w:szCs w:val="21"/>
                <w:highlight w:val="none"/>
              </w:rPr>
            </w:pPr>
            <w:r>
              <w:rPr>
                <w:rFonts w:eastAsia="宋体"/>
                <w:color w:val="auto"/>
                <w:sz w:val="21"/>
                <w:szCs w:val="21"/>
                <w:highlight w:val="none"/>
              </w:rPr>
              <w:t>17.0</w:t>
            </w:r>
          </w:p>
        </w:tc>
      </w:tr>
      <w:tr w14:paraId="268EEADB">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108" w:type="dxa"/>
            <w:bottom w:w="0" w:type="dxa"/>
            <w:right w:w="108" w:type="dxa"/>
          </w:tblCellMar>
        </w:tblPrEx>
        <w:trPr>
          <w:trHeight w:val="210" w:hRule="atLeast"/>
          <w:jc w:val="center"/>
        </w:trPr>
        <w:tc>
          <w:tcPr>
            <w:tcW w:w="1116" w:type="dxa"/>
            <w:vMerge w:val="continue"/>
            <w:tcBorders>
              <w:top w:val="nil"/>
              <w:left w:val="nil"/>
              <w:bottom w:val="single" w:color="000000" w:sz="4" w:space="0"/>
              <w:right w:val="single" w:color="000000" w:sz="4" w:space="0"/>
            </w:tcBorders>
            <w:vAlign w:val="center"/>
          </w:tcPr>
          <w:p w14:paraId="7A10D73D">
            <w:pPr>
              <w:ind w:left="-105" w:right="-105"/>
              <w:jc w:val="center"/>
              <w:rPr>
                <w:rFonts w:ascii="Times New Roman" w:hAnsi="Times New Roman" w:cs="Times New Roman"/>
                <w:color w:val="auto"/>
                <w:sz w:val="21"/>
                <w:szCs w:val="21"/>
                <w:highlight w:val="none"/>
              </w:rPr>
            </w:pPr>
          </w:p>
        </w:tc>
        <w:tc>
          <w:tcPr>
            <w:tcW w:w="742" w:type="dxa"/>
            <w:tcBorders>
              <w:top w:val="single" w:color="000000" w:sz="4" w:space="0"/>
              <w:left w:val="single" w:color="000000" w:sz="4" w:space="0"/>
              <w:bottom w:val="single" w:color="000000" w:sz="4" w:space="0"/>
              <w:right w:val="single" w:color="000000" w:sz="4" w:space="0"/>
            </w:tcBorders>
            <w:vAlign w:val="center"/>
          </w:tcPr>
          <w:p w14:paraId="3274BA98">
            <w:pPr>
              <w:pStyle w:val="98"/>
              <w:ind w:left="-105" w:right="-105"/>
              <w:rPr>
                <w:rFonts w:eastAsia="宋体"/>
                <w:color w:val="auto"/>
                <w:sz w:val="21"/>
                <w:szCs w:val="21"/>
                <w:highlight w:val="none"/>
              </w:rPr>
            </w:pPr>
            <w:r>
              <w:rPr>
                <w:rFonts w:eastAsia="宋体"/>
                <w:color w:val="auto"/>
                <w:sz w:val="21"/>
                <w:szCs w:val="21"/>
                <w:highlight w:val="none"/>
              </w:rPr>
              <w:t>D</w:t>
            </w:r>
          </w:p>
        </w:tc>
        <w:tc>
          <w:tcPr>
            <w:tcW w:w="683" w:type="dxa"/>
            <w:tcBorders>
              <w:top w:val="single" w:color="000000" w:sz="4" w:space="0"/>
              <w:left w:val="single" w:color="000000" w:sz="4" w:space="0"/>
              <w:bottom w:val="single" w:color="000000" w:sz="4" w:space="0"/>
              <w:right w:val="single" w:color="000000" w:sz="4" w:space="0"/>
            </w:tcBorders>
            <w:vAlign w:val="center"/>
          </w:tcPr>
          <w:p w14:paraId="453397B2">
            <w:pPr>
              <w:pStyle w:val="98"/>
              <w:ind w:left="-105" w:right="-105"/>
              <w:rPr>
                <w:rFonts w:eastAsia="宋体"/>
                <w:color w:val="auto"/>
                <w:sz w:val="21"/>
                <w:szCs w:val="21"/>
                <w:highlight w:val="none"/>
              </w:rPr>
            </w:pPr>
            <w:r>
              <w:rPr>
                <w:rFonts w:eastAsia="宋体"/>
                <w:color w:val="auto"/>
                <w:sz w:val="21"/>
                <w:szCs w:val="21"/>
                <w:highlight w:val="none"/>
              </w:rPr>
              <w:t>8.3</w:t>
            </w:r>
          </w:p>
        </w:tc>
        <w:tc>
          <w:tcPr>
            <w:tcW w:w="683" w:type="dxa"/>
            <w:tcBorders>
              <w:top w:val="single" w:color="000000" w:sz="4" w:space="0"/>
              <w:left w:val="single" w:color="000000" w:sz="4" w:space="0"/>
              <w:bottom w:val="single" w:color="000000" w:sz="4" w:space="0"/>
              <w:right w:val="single" w:color="000000" w:sz="4" w:space="0"/>
            </w:tcBorders>
            <w:vAlign w:val="center"/>
          </w:tcPr>
          <w:p w14:paraId="488FF210">
            <w:pPr>
              <w:pStyle w:val="98"/>
              <w:ind w:left="-105" w:right="-105"/>
              <w:rPr>
                <w:rFonts w:eastAsia="宋体"/>
                <w:color w:val="auto"/>
                <w:sz w:val="21"/>
                <w:szCs w:val="21"/>
                <w:highlight w:val="none"/>
              </w:rPr>
            </w:pPr>
            <w:r>
              <w:rPr>
                <w:rFonts w:eastAsia="宋体"/>
                <w:color w:val="auto"/>
                <w:sz w:val="21"/>
                <w:szCs w:val="21"/>
                <w:highlight w:val="none"/>
              </w:rPr>
              <w:t>1.6</w:t>
            </w:r>
          </w:p>
        </w:tc>
        <w:tc>
          <w:tcPr>
            <w:tcW w:w="686" w:type="dxa"/>
            <w:tcBorders>
              <w:top w:val="single" w:color="000000" w:sz="4" w:space="0"/>
              <w:left w:val="single" w:color="000000" w:sz="4" w:space="0"/>
              <w:bottom w:val="single" w:color="000000" w:sz="4" w:space="0"/>
              <w:right w:val="single" w:color="000000" w:sz="4" w:space="0"/>
            </w:tcBorders>
            <w:vAlign w:val="center"/>
          </w:tcPr>
          <w:p w14:paraId="7BA130DA">
            <w:pPr>
              <w:pStyle w:val="98"/>
              <w:ind w:left="-105" w:right="-105"/>
              <w:rPr>
                <w:rFonts w:eastAsia="宋体"/>
                <w:color w:val="auto"/>
                <w:sz w:val="21"/>
                <w:szCs w:val="21"/>
                <w:highlight w:val="none"/>
              </w:rPr>
            </w:pPr>
            <w:r>
              <w:rPr>
                <w:rFonts w:eastAsia="宋体"/>
                <w:color w:val="auto"/>
                <w:sz w:val="21"/>
                <w:szCs w:val="21"/>
                <w:highlight w:val="none"/>
              </w:rPr>
              <w:t>4.4</w:t>
            </w:r>
          </w:p>
        </w:tc>
        <w:tc>
          <w:tcPr>
            <w:tcW w:w="683" w:type="dxa"/>
            <w:tcBorders>
              <w:top w:val="single" w:color="000000" w:sz="4" w:space="0"/>
              <w:left w:val="single" w:color="000000" w:sz="4" w:space="0"/>
              <w:bottom w:val="single" w:color="000000" w:sz="4" w:space="0"/>
              <w:right w:val="single" w:color="000000" w:sz="4" w:space="0"/>
            </w:tcBorders>
            <w:vAlign w:val="center"/>
          </w:tcPr>
          <w:p w14:paraId="1C5BED36">
            <w:pPr>
              <w:pStyle w:val="98"/>
              <w:ind w:left="-105" w:right="-105"/>
              <w:rPr>
                <w:rFonts w:eastAsia="宋体"/>
                <w:color w:val="auto"/>
                <w:sz w:val="21"/>
                <w:szCs w:val="21"/>
                <w:highlight w:val="none"/>
              </w:rPr>
            </w:pPr>
            <w:r>
              <w:rPr>
                <w:rFonts w:eastAsia="宋体"/>
                <w:color w:val="auto"/>
                <w:sz w:val="21"/>
                <w:szCs w:val="21"/>
                <w:highlight w:val="none"/>
              </w:rPr>
              <w:t>3.6</w:t>
            </w:r>
          </w:p>
        </w:tc>
        <w:tc>
          <w:tcPr>
            <w:tcW w:w="683" w:type="dxa"/>
            <w:tcBorders>
              <w:top w:val="single" w:color="000000" w:sz="4" w:space="0"/>
              <w:left w:val="single" w:color="000000" w:sz="4" w:space="0"/>
              <w:bottom w:val="single" w:color="000000" w:sz="4" w:space="0"/>
              <w:right w:val="single" w:color="000000" w:sz="4" w:space="0"/>
            </w:tcBorders>
            <w:vAlign w:val="center"/>
          </w:tcPr>
          <w:p w14:paraId="77774E14">
            <w:pPr>
              <w:pStyle w:val="98"/>
              <w:ind w:left="-105" w:right="-105"/>
              <w:rPr>
                <w:rFonts w:eastAsia="宋体"/>
                <w:color w:val="auto"/>
                <w:sz w:val="21"/>
                <w:szCs w:val="21"/>
                <w:highlight w:val="none"/>
              </w:rPr>
            </w:pPr>
            <w:r>
              <w:rPr>
                <w:rFonts w:eastAsia="宋体"/>
                <w:color w:val="auto"/>
                <w:sz w:val="21"/>
                <w:szCs w:val="21"/>
                <w:highlight w:val="none"/>
              </w:rPr>
              <w:t>4.9</w:t>
            </w:r>
          </w:p>
        </w:tc>
        <w:tc>
          <w:tcPr>
            <w:tcW w:w="683" w:type="dxa"/>
            <w:tcBorders>
              <w:top w:val="single" w:color="000000" w:sz="4" w:space="0"/>
              <w:left w:val="single" w:color="000000" w:sz="4" w:space="0"/>
              <w:bottom w:val="single" w:color="000000" w:sz="4" w:space="0"/>
              <w:right w:val="single" w:color="000000" w:sz="4" w:space="0"/>
            </w:tcBorders>
            <w:vAlign w:val="center"/>
          </w:tcPr>
          <w:p w14:paraId="00F6761C">
            <w:pPr>
              <w:pStyle w:val="98"/>
              <w:ind w:left="-105" w:right="-105"/>
              <w:rPr>
                <w:rFonts w:eastAsia="宋体"/>
                <w:color w:val="auto"/>
                <w:sz w:val="21"/>
                <w:szCs w:val="21"/>
                <w:highlight w:val="none"/>
              </w:rPr>
            </w:pPr>
            <w:r>
              <w:rPr>
                <w:rFonts w:eastAsia="宋体"/>
                <w:color w:val="auto"/>
                <w:sz w:val="21"/>
                <w:szCs w:val="21"/>
                <w:highlight w:val="none"/>
              </w:rPr>
              <w:t>9.7</w:t>
            </w:r>
          </w:p>
        </w:tc>
        <w:tc>
          <w:tcPr>
            <w:tcW w:w="685" w:type="dxa"/>
            <w:tcBorders>
              <w:top w:val="single" w:color="000000" w:sz="4" w:space="0"/>
              <w:left w:val="single" w:color="000000" w:sz="4" w:space="0"/>
              <w:bottom w:val="single" w:color="000000" w:sz="4" w:space="0"/>
              <w:right w:val="single" w:color="000000" w:sz="4" w:space="0"/>
            </w:tcBorders>
            <w:vAlign w:val="center"/>
          </w:tcPr>
          <w:p w14:paraId="3A6840FF">
            <w:pPr>
              <w:pStyle w:val="98"/>
              <w:ind w:left="-105" w:right="-105"/>
              <w:rPr>
                <w:rFonts w:eastAsia="宋体"/>
                <w:color w:val="auto"/>
                <w:sz w:val="21"/>
                <w:szCs w:val="21"/>
                <w:highlight w:val="none"/>
              </w:rPr>
            </w:pPr>
            <w:r>
              <w:rPr>
                <w:rFonts w:eastAsia="宋体"/>
                <w:color w:val="auto"/>
                <w:sz w:val="21"/>
                <w:szCs w:val="21"/>
                <w:highlight w:val="none"/>
              </w:rPr>
              <w:t>6.9</w:t>
            </w:r>
          </w:p>
        </w:tc>
        <w:tc>
          <w:tcPr>
            <w:tcW w:w="683" w:type="dxa"/>
            <w:tcBorders>
              <w:top w:val="single" w:color="000000" w:sz="4" w:space="0"/>
              <w:left w:val="single" w:color="000000" w:sz="4" w:space="0"/>
              <w:bottom w:val="single" w:color="000000" w:sz="4" w:space="0"/>
              <w:right w:val="single" w:color="000000" w:sz="4" w:space="0"/>
            </w:tcBorders>
            <w:vAlign w:val="center"/>
          </w:tcPr>
          <w:p w14:paraId="405FE34C">
            <w:pPr>
              <w:pStyle w:val="98"/>
              <w:ind w:left="-105" w:right="-105"/>
              <w:rPr>
                <w:rFonts w:eastAsia="宋体"/>
                <w:color w:val="auto"/>
                <w:sz w:val="21"/>
                <w:szCs w:val="21"/>
                <w:highlight w:val="none"/>
              </w:rPr>
            </w:pPr>
            <w:r>
              <w:rPr>
                <w:rFonts w:eastAsia="宋体"/>
                <w:color w:val="auto"/>
                <w:sz w:val="21"/>
                <w:szCs w:val="21"/>
                <w:highlight w:val="none"/>
              </w:rPr>
              <w:t>3.3</w:t>
            </w:r>
          </w:p>
        </w:tc>
        <w:tc>
          <w:tcPr>
            <w:tcW w:w="683" w:type="dxa"/>
            <w:tcBorders>
              <w:top w:val="single" w:color="000000" w:sz="4" w:space="0"/>
              <w:left w:val="single" w:color="000000" w:sz="4" w:space="0"/>
              <w:bottom w:val="single" w:color="000000" w:sz="4" w:space="0"/>
              <w:right w:val="single" w:color="000000" w:sz="4" w:space="0"/>
            </w:tcBorders>
            <w:vAlign w:val="center"/>
          </w:tcPr>
          <w:p w14:paraId="419E8FC3">
            <w:pPr>
              <w:pStyle w:val="98"/>
              <w:ind w:left="-105" w:right="-105"/>
              <w:rPr>
                <w:rFonts w:eastAsia="宋体"/>
                <w:color w:val="auto"/>
                <w:sz w:val="21"/>
                <w:szCs w:val="21"/>
                <w:highlight w:val="none"/>
              </w:rPr>
            </w:pPr>
            <w:r>
              <w:rPr>
                <w:rFonts w:eastAsia="宋体"/>
                <w:color w:val="auto"/>
                <w:sz w:val="21"/>
                <w:szCs w:val="21"/>
                <w:highlight w:val="none"/>
              </w:rPr>
              <w:t>1.1</w:t>
            </w:r>
          </w:p>
        </w:tc>
        <w:tc>
          <w:tcPr>
            <w:tcW w:w="683" w:type="dxa"/>
            <w:tcBorders>
              <w:top w:val="single" w:color="000000" w:sz="4" w:space="0"/>
              <w:left w:val="single" w:color="000000" w:sz="4" w:space="0"/>
              <w:bottom w:val="single" w:color="000000" w:sz="4" w:space="0"/>
              <w:right w:val="single" w:color="000000" w:sz="4" w:space="0"/>
            </w:tcBorders>
            <w:vAlign w:val="center"/>
          </w:tcPr>
          <w:p w14:paraId="59783E26">
            <w:pPr>
              <w:pStyle w:val="98"/>
              <w:ind w:left="-105" w:right="-105"/>
              <w:rPr>
                <w:rFonts w:eastAsia="宋体"/>
                <w:color w:val="auto"/>
                <w:sz w:val="21"/>
                <w:szCs w:val="21"/>
                <w:highlight w:val="none"/>
              </w:rPr>
            </w:pPr>
            <w:r>
              <w:rPr>
                <w:rFonts w:eastAsia="宋体"/>
                <w:color w:val="auto"/>
                <w:sz w:val="21"/>
                <w:szCs w:val="21"/>
                <w:highlight w:val="none"/>
              </w:rPr>
              <w:t>0.5</w:t>
            </w:r>
          </w:p>
        </w:tc>
        <w:tc>
          <w:tcPr>
            <w:tcW w:w="683" w:type="dxa"/>
            <w:tcBorders>
              <w:top w:val="single" w:color="000000" w:sz="4" w:space="0"/>
              <w:left w:val="single" w:color="000000" w:sz="4" w:space="0"/>
              <w:bottom w:val="single" w:color="000000" w:sz="4" w:space="0"/>
              <w:right w:val="single" w:color="000000" w:sz="4" w:space="0"/>
            </w:tcBorders>
            <w:vAlign w:val="center"/>
          </w:tcPr>
          <w:p w14:paraId="183FFD39">
            <w:pPr>
              <w:pStyle w:val="98"/>
              <w:ind w:left="-105" w:right="-105"/>
              <w:rPr>
                <w:rFonts w:eastAsia="宋体"/>
                <w:color w:val="auto"/>
                <w:sz w:val="21"/>
                <w:szCs w:val="21"/>
                <w:highlight w:val="none"/>
              </w:rPr>
            </w:pPr>
            <w:r>
              <w:rPr>
                <w:rFonts w:eastAsia="宋体"/>
                <w:color w:val="auto"/>
                <w:sz w:val="21"/>
                <w:szCs w:val="21"/>
                <w:highlight w:val="none"/>
              </w:rPr>
              <w:t>0.5</w:t>
            </w:r>
          </w:p>
        </w:tc>
        <w:tc>
          <w:tcPr>
            <w:tcW w:w="683" w:type="dxa"/>
            <w:tcBorders>
              <w:top w:val="single" w:color="000000" w:sz="4" w:space="0"/>
              <w:left w:val="single" w:color="000000" w:sz="4" w:space="0"/>
              <w:bottom w:val="single" w:color="000000" w:sz="4" w:space="0"/>
              <w:right w:val="single" w:color="000000" w:sz="4" w:space="0"/>
            </w:tcBorders>
            <w:vAlign w:val="center"/>
          </w:tcPr>
          <w:p w14:paraId="26102F5C">
            <w:pPr>
              <w:pStyle w:val="98"/>
              <w:ind w:left="-105" w:right="-105"/>
              <w:rPr>
                <w:rFonts w:eastAsia="宋体"/>
                <w:color w:val="auto"/>
                <w:sz w:val="21"/>
                <w:szCs w:val="21"/>
                <w:highlight w:val="none"/>
              </w:rPr>
            </w:pPr>
            <w:r>
              <w:rPr>
                <w:rFonts w:eastAsia="宋体"/>
                <w:color w:val="auto"/>
                <w:sz w:val="21"/>
                <w:szCs w:val="21"/>
                <w:highlight w:val="none"/>
              </w:rPr>
              <w:t>0.5</w:t>
            </w:r>
          </w:p>
        </w:tc>
        <w:tc>
          <w:tcPr>
            <w:tcW w:w="684" w:type="dxa"/>
            <w:tcBorders>
              <w:top w:val="single" w:color="000000" w:sz="4" w:space="0"/>
              <w:left w:val="single" w:color="000000" w:sz="4" w:space="0"/>
              <w:bottom w:val="single" w:color="000000" w:sz="4" w:space="0"/>
              <w:right w:val="single" w:color="000000" w:sz="4" w:space="0"/>
            </w:tcBorders>
            <w:vAlign w:val="center"/>
          </w:tcPr>
          <w:p w14:paraId="595F73BC">
            <w:pPr>
              <w:pStyle w:val="98"/>
              <w:ind w:left="-105" w:right="-105"/>
              <w:rPr>
                <w:rFonts w:eastAsia="宋体"/>
                <w:color w:val="auto"/>
                <w:sz w:val="21"/>
                <w:szCs w:val="21"/>
                <w:highlight w:val="none"/>
              </w:rPr>
            </w:pPr>
            <w:r>
              <w:rPr>
                <w:rFonts w:eastAsia="宋体"/>
                <w:color w:val="auto"/>
                <w:sz w:val="21"/>
                <w:szCs w:val="21"/>
                <w:highlight w:val="none"/>
              </w:rPr>
              <w:t>0.7</w:t>
            </w:r>
          </w:p>
        </w:tc>
        <w:tc>
          <w:tcPr>
            <w:tcW w:w="686" w:type="dxa"/>
            <w:tcBorders>
              <w:top w:val="single" w:color="000000" w:sz="4" w:space="0"/>
              <w:left w:val="single" w:color="000000" w:sz="4" w:space="0"/>
              <w:bottom w:val="single" w:color="000000" w:sz="4" w:space="0"/>
              <w:right w:val="single" w:color="000000" w:sz="4" w:space="0"/>
            </w:tcBorders>
            <w:vAlign w:val="center"/>
          </w:tcPr>
          <w:p w14:paraId="41845135">
            <w:pPr>
              <w:pStyle w:val="98"/>
              <w:ind w:left="-105" w:right="-105"/>
              <w:rPr>
                <w:rFonts w:eastAsia="宋体"/>
                <w:color w:val="auto"/>
                <w:sz w:val="21"/>
                <w:szCs w:val="21"/>
                <w:highlight w:val="none"/>
              </w:rPr>
            </w:pPr>
            <w:r>
              <w:rPr>
                <w:rFonts w:eastAsia="宋体"/>
                <w:color w:val="auto"/>
                <w:sz w:val="21"/>
                <w:szCs w:val="21"/>
                <w:highlight w:val="none"/>
              </w:rPr>
              <w:t>1.6</w:t>
            </w:r>
          </w:p>
        </w:tc>
        <w:tc>
          <w:tcPr>
            <w:tcW w:w="684" w:type="dxa"/>
            <w:tcBorders>
              <w:top w:val="single" w:color="000000" w:sz="4" w:space="0"/>
              <w:left w:val="single" w:color="000000" w:sz="4" w:space="0"/>
              <w:bottom w:val="single" w:color="000000" w:sz="4" w:space="0"/>
              <w:right w:val="single" w:color="000000" w:sz="4" w:space="0"/>
            </w:tcBorders>
            <w:vAlign w:val="center"/>
          </w:tcPr>
          <w:p w14:paraId="791CAA9A">
            <w:pPr>
              <w:pStyle w:val="98"/>
              <w:ind w:left="-105" w:right="-105"/>
              <w:rPr>
                <w:rFonts w:eastAsia="宋体"/>
                <w:color w:val="auto"/>
                <w:sz w:val="21"/>
                <w:szCs w:val="21"/>
                <w:highlight w:val="none"/>
              </w:rPr>
            </w:pPr>
            <w:r>
              <w:rPr>
                <w:rFonts w:eastAsia="宋体"/>
                <w:color w:val="auto"/>
                <w:sz w:val="21"/>
                <w:szCs w:val="21"/>
                <w:highlight w:val="none"/>
              </w:rPr>
              <w:t>6.9</w:t>
            </w:r>
          </w:p>
        </w:tc>
        <w:tc>
          <w:tcPr>
            <w:tcW w:w="645" w:type="dxa"/>
            <w:tcBorders>
              <w:top w:val="single" w:color="000000" w:sz="4" w:space="0"/>
              <w:left w:val="single" w:color="000000" w:sz="4" w:space="0"/>
              <w:bottom w:val="single" w:color="000000" w:sz="4" w:space="0"/>
              <w:right w:val="single" w:color="000000" w:sz="4" w:space="0"/>
            </w:tcBorders>
            <w:vAlign w:val="center"/>
          </w:tcPr>
          <w:p w14:paraId="409CD565">
            <w:pPr>
              <w:pStyle w:val="98"/>
              <w:ind w:left="-105" w:right="-105"/>
              <w:rPr>
                <w:rFonts w:eastAsia="宋体"/>
                <w:color w:val="auto"/>
                <w:sz w:val="21"/>
                <w:szCs w:val="21"/>
                <w:highlight w:val="none"/>
              </w:rPr>
            </w:pPr>
            <w:r>
              <w:rPr>
                <w:rFonts w:eastAsia="宋体"/>
                <w:color w:val="auto"/>
                <w:sz w:val="21"/>
                <w:szCs w:val="21"/>
                <w:highlight w:val="none"/>
              </w:rPr>
              <w:t>5.8</w:t>
            </w:r>
          </w:p>
        </w:tc>
        <w:tc>
          <w:tcPr>
            <w:tcW w:w="1134" w:type="dxa"/>
            <w:tcBorders>
              <w:top w:val="single" w:color="000000" w:sz="4" w:space="0"/>
              <w:left w:val="single" w:color="000000" w:sz="4" w:space="0"/>
              <w:bottom w:val="single" w:color="000000" w:sz="4" w:space="0"/>
              <w:right w:val="nil"/>
            </w:tcBorders>
            <w:vAlign w:val="center"/>
          </w:tcPr>
          <w:p w14:paraId="1344FCF9">
            <w:pPr>
              <w:pStyle w:val="98"/>
              <w:ind w:left="-105" w:right="-105"/>
              <w:rPr>
                <w:rFonts w:eastAsia="宋体"/>
                <w:color w:val="auto"/>
                <w:sz w:val="21"/>
                <w:szCs w:val="21"/>
                <w:highlight w:val="none"/>
              </w:rPr>
            </w:pPr>
            <w:r>
              <w:rPr>
                <w:rFonts w:eastAsia="宋体"/>
                <w:color w:val="auto"/>
                <w:sz w:val="21"/>
                <w:szCs w:val="21"/>
                <w:highlight w:val="none"/>
              </w:rPr>
              <w:t>60.1</w:t>
            </w:r>
          </w:p>
        </w:tc>
      </w:tr>
      <w:tr w14:paraId="79143261">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108" w:type="dxa"/>
            <w:bottom w:w="0" w:type="dxa"/>
            <w:right w:w="108" w:type="dxa"/>
          </w:tblCellMar>
        </w:tblPrEx>
        <w:trPr>
          <w:trHeight w:val="210" w:hRule="atLeast"/>
          <w:jc w:val="center"/>
        </w:trPr>
        <w:tc>
          <w:tcPr>
            <w:tcW w:w="1116" w:type="dxa"/>
            <w:vMerge w:val="continue"/>
            <w:tcBorders>
              <w:top w:val="nil"/>
              <w:left w:val="nil"/>
              <w:bottom w:val="single" w:color="000000" w:sz="4" w:space="0"/>
              <w:right w:val="single" w:color="000000" w:sz="4" w:space="0"/>
            </w:tcBorders>
            <w:vAlign w:val="center"/>
          </w:tcPr>
          <w:p w14:paraId="36A6A06F">
            <w:pPr>
              <w:ind w:left="-105" w:right="-105"/>
              <w:jc w:val="center"/>
              <w:rPr>
                <w:rFonts w:ascii="Times New Roman" w:hAnsi="Times New Roman" w:cs="Times New Roman"/>
                <w:color w:val="auto"/>
                <w:sz w:val="21"/>
                <w:szCs w:val="21"/>
                <w:highlight w:val="none"/>
              </w:rPr>
            </w:pPr>
          </w:p>
        </w:tc>
        <w:tc>
          <w:tcPr>
            <w:tcW w:w="742" w:type="dxa"/>
            <w:tcBorders>
              <w:top w:val="single" w:color="000000" w:sz="4" w:space="0"/>
              <w:left w:val="single" w:color="000000" w:sz="4" w:space="0"/>
              <w:bottom w:val="single" w:color="000000" w:sz="4" w:space="0"/>
              <w:right w:val="single" w:color="000000" w:sz="4" w:space="0"/>
            </w:tcBorders>
            <w:vAlign w:val="center"/>
          </w:tcPr>
          <w:p w14:paraId="76E9EB99">
            <w:pPr>
              <w:pStyle w:val="98"/>
              <w:ind w:left="-105" w:right="-105"/>
              <w:rPr>
                <w:rFonts w:eastAsia="宋体"/>
                <w:color w:val="auto"/>
                <w:sz w:val="21"/>
                <w:szCs w:val="21"/>
                <w:highlight w:val="none"/>
              </w:rPr>
            </w:pPr>
            <w:r>
              <w:rPr>
                <w:rFonts w:eastAsia="宋体"/>
                <w:color w:val="auto"/>
                <w:sz w:val="21"/>
                <w:szCs w:val="21"/>
                <w:highlight w:val="none"/>
              </w:rPr>
              <w:t>E</w:t>
            </w:r>
          </w:p>
        </w:tc>
        <w:tc>
          <w:tcPr>
            <w:tcW w:w="683" w:type="dxa"/>
            <w:tcBorders>
              <w:top w:val="single" w:color="000000" w:sz="4" w:space="0"/>
              <w:left w:val="single" w:color="000000" w:sz="4" w:space="0"/>
              <w:bottom w:val="single" w:color="000000" w:sz="4" w:space="0"/>
              <w:right w:val="single" w:color="000000" w:sz="4" w:space="0"/>
            </w:tcBorders>
            <w:vAlign w:val="center"/>
          </w:tcPr>
          <w:p w14:paraId="6452329F">
            <w:pPr>
              <w:pStyle w:val="98"/>
              <w:ind w:left="-105" w:right="-105"/>
              <w:rPr>
                <w:rFonts w:eastAsia="宋体"/>
                <w:color w:val="auto"/>
                <w:sz w:val="21"/>
                <w:szCs w:val="21"/>
                <w:highlight w:val="none"/>
              </w:rPr>
            </w:pPr>
            <w:r>
              <w:rPr>
                <w:rFonts w:eastAsia="宋体"/>
                <w:color w:val="auto"/>
                <w:sz w:val="21"/>
                <w:szCs w:val="21"/>
                <w:highlight w:val="none"/>
              </w:rPr>
              <w:t>0.6</w:t>
            </w:r>
          </w:p>
        </w:tc>
        <w:tc>
          <w:tcPr>
            <w:tcW w:w="683" w:type="dxa"/>
            <w:tcBorders>
              <w:top w:val="single" w:color="000000" w:sz="4" w:space="0"/>
              <w:left w:val="single" w:color="000000" w:sz="4" w:space="0"/>
              <w:bottom w:val="single" w:color="000000" w:sz="4" w:space="0"/>
              <w:right w:val="single" w:color="000000" w:sz="4" w:space="0"/>
            </w:tcBorders>
          </w:tcPr>
          <w:p w14:paraId="26E8F515">
            <w:pPr>
              <w:pStyle w:val="98"/>
              <w:ind w:left="-105" w:right="-105"/>
              <w:rPr>
                <w:rFonts w:eastAsia="宋体"/>
                <w:color w:val="auto"/>
                <w:sz w:val="21"/>
                <w:szCs w:val="21"/>
                <w:highlight w:val="none"/>
              </w:rPr>
            </w:pPr>
            <w:r>
              <w:rPr>
                <w:rFonts w:eastAsia="宋体"/>
                <w:color w:val="auto"/>
                <w:sz w:val="21"/>
                <w:szCs w:val="21"/>
                <w:highlight w:val="none"/>
              </w:rPr>
              <w:t>/</w:t>
            </w:r>
          </w:p>
        </w:tc>
        <w:tc>
          <w:tcPr>
            <w:tcW w:w="686" w:type="dxa"/>
            <w:tcBorders>
              <w:top w:val="single" w:color="000000" w:sz="4" w:space="0"/>
              <w:left w:val="single" w:color="000000" w:sz="4" w:space="0"/>
              <w:bottom w:val="single" w:color="000000" w:sz="4" w:space="0"/>
              <w:right w:val="single" w:color="000000" w:sz="4" w:space="0"/>
            </w:tcBorders>
          </w:tcPr>
          <w:p w14:paraId="3A448100">
            <w:pPr>
              <w:pStyle w:val="98"/>
              <w:ind w:left="-105" w:right="-105"/>
              <w:rPr>
                <w:rFonts w:eastAsia="宋体"/>
                <w:color w:val="auto"/>
                <w:sz w:val="21"/>
                <w:szCs w:val="21"/>
                <w:highlight w:val="none"/>
              </w:rPr>
            </w:pPr>
            <w:r>
              <w:rPr>
                <w:rFonts w:eastAsia="宋体"/>
                <w:color w:val="auto"/>
                <w:sz w:val="21"/>
                <w:szCs w:val="21"/>
                <w:highlight w:val="none"/>
              </w:rPr>
              <w:t>/</w:t>
            </w:r>
          </w:p>
        </w:tc>
        <w:tc>
          <w:tcPr>
            <w:tcW w:w="683" w:type="dxa"/>
            <w:tcBorders>
              <w:top w:val="single" w:color="000000" w:sz="4" w:space="0"/>
              <w:left w:val="single" w:color="000000" w:sz="4" w:space="0"/>
              <w:bottom w:val="single" w:color="000000" w:sz="4" w:space="0"/>
              <w:right w:val="single" w:color="000000" w:sz="4" w:space="0"/>
            </w:tcBorders>
            <w:vAlign w:val="center"/>
          </w:tcPr>
          <w:p w14:paraId="6C67E70F">
            <w:pPr>
              <w:pStyle w:val="98"/>
              <w:ind w:left="-105" w:right="-105"/>
              <w:rPr>
                <w:rFonts w:eastAsia="宋体"/>
                <w:color w:val="auto"/>
                <w:sz w:val="21"/>
                <w:szCs w:val="21"/>
                <w:highlight w:val="none"/>
              </w:rPr>
            </w:pPr>
            <w:r>
              <w:rPr>
                <w:rFonts w:eastAsia="宋体"/>
                <w:color w:val="auto"/>
                <w:sz w:val="21"/>
                <w:szCs w:val="21"/>
                <w:highlight w:val="none"/>
              </w:rPr>
              <w:t>1.8</w:t>
            </w:r>
          </w:p>
        </w:tc>
        <w:tc>
          <w:tcPr>
            <w:tcW w:w="683" w:type="dxa"/>
            <w:tcBorders>
              <w:top w:val="single" w:color="000000" w:sz="4" w:space="0"/>
              <w:left w:val="single" w:color="000000" w:sz="4" w:space="0"/>
              <w:bottom w:val="single" w:color="000000" w:sz="4" w:space="0"/>
              <w:right w:val="single" w:color="000000" w:sz="4" w:space="0"/>
            </w:tcBorders>
            <w:vAlign w:val="center"/>
          </w:tcPr>
          <w:p w14:paraId="0A27B476">
            <w:pPr>
              <w:pStyle w:val="98"/>
              <w:ind w:left="-105" w:right="-105"/>
              <w:rPr>
                <w:rFonts w:eastAsia="宋体"/>
                <w:color w:val="auto"/>
                <w:sz w:val="21"/>
                <w:szCs w:val="21"/>
                <w:highlight w:val="none"/>
              </w:rPr>
            </w:pPr>
            <w:r>
              <w:rPr>
                <w:rFonts w:eastAsia="宋体"/>
                <w:color w:val="auto"/>
                <w:sz w:val="21"/>
                <w:szCs w:val="21"/>
                <w:highlight w:val="none"/>
              </w:rPr>
              <w:t>/</w:t>
            </w:r>
          </w:p>
        </w:tc>
        <w:tc>
          <w:tcPr>
            <w:tcW w:w="683" w:type="dxa"/>
            <w:tcBorders>
              <w:top w:val="single" w:color="000000" w:sz="4" w:space="0"/>
              <w:left w:val="single" w:color="000000" w:sz="4" w:space="0"/>
              <w:bottom w:val="single" w:color="000000" w:sz="4" w:space="0"/>
              <w:right w:val="single" w:color="000000" w:sz="4" w:space="0"/>
            </w:tcBorders>
            <w:vAlign w:val="center"/>
          </w:tcPr>
          <w:p w14:paraId="741D1158">
            <w:pPr>
              <w:pStyle w:val="98"/>
              <w:ind w:left="-105" w:right="-105"/>
              <w:rPr>
                <w:rFonts w:eastAsia="宋体"/>
                <w:color w:val="auto"/>
                <w:sz w:val="21"/>
                <w:szCs w:val="21"/>
                <w:highlight w:val="none"/>
              </w:rPr>
            </w:pPr>
            <w:r>
              <w:rPr>
                <w:rFonts w:eastAsia="宋体"/>
                <w:color w:val="auto"/>
                <w:sz w:val="21"/>
                <w:szCs w:val="21"/>
                <w:highlight w:val="none"/>
              </w:rPr>
              <w:t>4.1</w:t>
            </w:r>
          </w:p>
        </w:tc>
        <w:tc>
          <w:tcPr>
            <w:tcW w:w="685" w:type="dxa"/>
            <w:tcBorders>
              <w:top w:val="single" w:color="000000" w:sz="4" w:space="0"/>
              <w:left w:val="single" w:color="000000" w:sz="4" w:space="0"/>
              <w:bottom w:val="single" w:color="000000" w:sz="4" w:space="0"/>
              <w:right w:val="single" w:color="000000" w:sz="4" w:space="0"/>
            </w:tcBorders>
            <w:vAlign w:val="center"/>
          </w:tcPr>
          <w:p w14:paraId="7A6E2AEC">
            <w:pPr>
              <w:pStyle w:val="98"/>
              <w:ind w:left="-105" w:right="-105"/>
              <w:rPr>
                <w:rFonts w:eastAsia="宋体"/>
                <w:color w:val="auto"/>
                <w:sz w:val="21"/>
                <w:szCs w:val="21"/>
                <w:highlight w:val="none"/>
              </w:rPr>
            </w:pPr>
            <w:r>
              <w:rPr>
                <w:rFonts w:eastAsia="宋体"/>
                <w:color w:val="auto"/>
                <w:sz w:val="21"/>
                <w:szCs w:val="21"/>
                <w:highlight w:val="none"/>
              </w:rPr>
              <w:t>4.1</w:t>
            </w:r>
          </w:p>
        </w:tc>
        <w:tc>
          <w:tcPr>
            <w:tcW w:w="683" w:type="dxa"/>
            <w:tcBorders>
              <w:top w:val="single" w:color="000000" w:sz="4" w:space="0"/>
              <w:left w:val="single" w:color="000000" w:sz="4" w:space="0"/>
              <w:bottom w:val="single" w:color="000000" w:sz="4" w:space="0"/>
              <w:right w:val="single" w:color="000000" w:sz="4" w:space="0"/>
            </w:tcBorders>
          </w:tcPr>
          <w:p w14:paraId="7CF5E028">
            <w:pPr>
              <w:pStyle w:val="98"/>
              <w:ind w:left="-105" w:right="-105"/>
              <w:rPr>
                <w:rFonts w:eastAsia="宋体"/>
                <w:color w:val="auto"/>
                <w:sz w:val="21"/>
                <w:szCs w:val="21"/>
                <w:highlight w:val="none"/>
              </w:rPr>
            </w:pPr>
            <w:r>
              <w:rPr>
                <w:rFonts w:eastAsia="宋体"/>
                <w:color w:val="auto"/>
                <w:sz w:val="21"/>
                <w:szCs w:val="21"/>
                <w:highlight w:val="none"/>
              </w:rPr>
              <w:t>/</w:t>
            </w:r>
          </w:p>
        </w:tc>
        <w:tc>
          <w:tcPr>
            <w:tcW w:w="683" w:type="dxa"/>
            <w:tcBorders>
              <w:top w:val="single" w:color="000000" w:sz="4" w:space="0"/>
              <w:left w:val="single" w:color="000000" w:sz="4" w:space="0"/>
              <w:bottom w:val="single" w:color="000000" w:sz="4" w:space="0"/>
              <w:right w:val="single" w:color="000000" w:sz="4" w:space="0"/>
            </w:tcBorders>
          </w:tcPr>
          <w:p w14:paraId="0F82988F">
            <w:pPr>
              <w:pStyle w:val="98"/>
              <w:ind w:left="-105" w:right="-105"/>
              <w:rPr>
                <w:rFonts w:eastAsia="宋体"/>
                <w:color w:val="auto"/>
                <w:sz w:val="21"/>
                <w:szCs w:val="21"/>
                <w:highlight w:val="none"/>
              </w:rPr>
            </w:pPr>
            <w:r>
              <w:rPr>
                <w:rFonts w:eastAsia="宋体"/>
                <w:color w:val="auto"/>
                <w:sz w:val="21"/>
                <w:szCs w:val="21"/>
                <w:highlight w:val="none"/>
              </w:rPr>
              <w:t>/</w:t>
            </w:r>
          </w:p>
        </w:tc>
        <w:tc>
          <w:tcPr>
            <w:tcW w:w="683" w:type="dxa"/>
            <w:tcBorders>
              <w:top w:val="single" w:color="000000" w:sz="4" w:space="0"/>
              <w:left w:val="single" w:color="000000" w:sz="4" w:space="0"/>
              <w:bottom w:val="single" w:color="000000" w:sz="4" w:space="0"/>
              <w:right w:val="single" w:color="000000" w:sz="4" w:space="0"/>
            </w:tcBorders>
          </w:tcPr>
          <w:p w14:paraId="4A89B1D4">
            <w:pPr>
              <w:pStyle w:val="98"/>
              <w:ind w:left="-105" w:right="-105"/>
              <w:rPr>
                <w:rFonts w:eastAsia="宋体"/>
                <w:color w:val="auto"/>
                <w:sz w:val="21"/>
                <w:szCs w:val="21"/>
                <w:highlight w:val="none"/>
              </w:rPr>
            </w:pPr>
            <w:r>
              <w:rPr>
                <w:rFonts w:eastAsia="宋体"/>
                <w:color w:val="auto"/>
                <w:sz w:val="21"/>
                <w:szCs w:val="21"/>
                <w:highlight w:val="none"/>
              </w:rPr>
              <w:t>/</w:t>
            </w:r>
          </w:p>
        </w:tc>
        <w:tc>
          <w:tcPr>
            <w:tcW w:w="683" w:type="dxa"/>
            <w:tcBorders>
              <w:top w:val="single" w:color="000000" w:sz="4" w:space="0"/>
              <w:left w:val="single" w:color="000000" w:sz="4" w:space="0"/>
              <w:bottom w:val="single" w:color="000000" w:sz="4" w:space="0"/>
              <w:right w:val="single" w:color="000000" w:sz="4" w:space="0"/>
            </w:tcBorders>
          </w:tcPr>
          <w:p w14:paraId="440AA6F1">
            <w:pPr>
              <w:pStyle w:val="98"/>
              <w:ind w:left="-105" w:right="-105"/>
              <w:rPr>
                <w:rFonts w:eastAsia="宋体"/>
                <w:color w:val="auto"/>
                <w:sz w:val="21"/>
                <w:szCs w:val="21"/>
                <w:highlight w:val="none"/>
              </w:rPr>
            </w:pPr>
            <w:r>
              <w:rPr>
                <w:rFonts w:eastAsia="宋体"/>
                <w:color w:val="auto"/>
                <w:sz w:val="21"/>
                <w:szCs w:val="21"/>
                <w:highlight w:val="none"/>
              </w:rPr>
              <w:t>/</w:t>
            </w:r>
          </w:p>
        </w:tc>
        <w:tc>
          <w:tcPr>
            <w:tcW w:w="683" w:type="dxa"/>
            <w:tcBorders>
              <w:top w:val="single" w:color="000000" w:sz="4" w:space="0"/>
              <w:left w:val="single" w:color="000000" w:sz="4" w:space="0"/>
              <w:bottom w:val="single" w:color="000000" w:sz="4" w:space="0"/>
              <w:right w:val="single" w:color="000000" w:sz="4" w:space="0"/>
            </w:tcBorders>
          </w:tcPr>
          <w:p w14:paraId="4DBD95C8">
            <w:pPr>
              <w:pStyle w:val="98"/>
              <w:ind w:left="-105" w:right="-105"/>
              <w:rPr>
                <w:rFonts w:eastAsia="宋体"/>
                <w:color w:val="auto"/>
                <w:sz w:val="21"/>
                <w:szCs w:val="21"/>
                <w:highlight w:val="none"/>
              </w:rPr>
            </w:pPr>
            <w:r>
              <w:rPr>
                <w:rFonts w:eastAsia="宋体"/>
                <w:color w:val="auto"/>
                <w:sz w:val="21"/>
                <w:szCs w:val="21"/>
                <w:highlight w:val="none"/>
              </w:rPr>
              <w:t>/</w:t>
            </w:r>
          </w:p>
        </w:tc>
        <w:tc>
          <w:tcPr>
            <w:tcW w:w="684" w:type="dxa"/>
            <w:tcBorders>
              <w:top w:val="single" w:color="000000" w:sz="4" w:space="0"/>
              <w:left w:val="single" w:color="000000" w:sz="4" w:space="0"/>
              <w:bottom w:val="single" w:color="000000" w:sz="4" w:space="0"/>
              <w:right w:val="single" w:color="000000" w:sz="4" w:space="0"/>
            </w:tcBorders>
            <w:vAlign w:val="center"/>
          </w:tcPr>
          <w:p w14:paraId="3DE2A62B">
            <w:pPr>
              <w:pStyle w:val="98"/>
              <w:ind w:left="-105" w:right="-105"/>
              <w:rPr>
                <w:rFonts w:eastAsia="宋体"/>
                <w:color w:val="auto"/>
                <w:sz w:val="21"/>
                <w:szCs w:val="21"/>
                <w:highlight w:val="none"/>
              </w:rPr>
            </w:pPr>
            <w:r>
              <w:rPr>
                <w:rFonts w:eastAsia="宋体"/>
                <w:color w:val="auto"/>
                <w:sz w:val="21"/>
                <w:szCs w:val="21"/>
                <w:highlight w:val="none"/>
              </w:rPr>
              <w:t>1.6</w:t>
            </w:r>
          </w:p>
        </w:tc>
        <w:tc>
          <w:tcPr>
            <w:tcW w:w="686" w:type="dxa"/>
            <w:tcBorders>
              <w:top w:val="single" w:color="000000" w:sz="4" w:space="0"/>
              <w:left w:val="single" w:color="000000" w:sz="4" w:space="0"/>
              <w:bottom w:val="single" w:color="000000" w:sz="4" w:space="0"/>
              <w:right w:val="single" w:color="000000" w:sz="4" w:space="0"/>
            </w:tcBorders>
            <w:vAlign w:val="center"/>
          </w:tcPr>
          <w:p w14:paraId="2F9E6669">
            <w:pPr>
              <w:pStyle w:val="98"/>
              <w:ind w:left="-105" w:right="-105"/>
              <w:rPr>
                <w:rFonts w:eastAsia="宋体"/>
                <w:color w:val="auto"/>
                <w:sz w:val="21"/>
                <w:szCs w:val="21"/>
                <w:highlight w:val="none"/>
              </w:rPr>
            </w:pPr>
            <w:r>
              <w:rPr>
                <w:rFonts w:eastAsia="宋体"/>
                <w:color w:val="auto"/>
                <w:sz w:val="21"/>
                <w:szCs w:val="21"/>
                <w:highlight w:val="none"/>
              </w:rPr>
              <w:t>1.2</w:t>
            </w:r>
          </w:p>
        </w:tc>
        <w:tc>
          <w:tcPr>
            <w:tcW w:w="684" w:type="dxa"/>
            <w:tcBorders>
              <w:top w:val="single" w:color="000000" w:sz="4" w:space="0"/>
              <w:left w:val="single" w:color="000000" w:sz="4" w:space="0"/>
              <w:bottom w:val="single" w:color="000000" w:sz="4" w:space="0"/>
              <w:right w:val="single" w:color="000000" w:sz="4" w:space="0"/>
            </w:tcBorders>
            <w:vAlign w:val="center"/>
          </w:tcPr>
          <w:p w14:paraId="76048E45">
            <w:pPr>
              <w:pStyle w:val="98"/>
              <w:ind w:left="-105" w:right="-105"/>
              <w:rPr>
                <w:rFonts w:eastAsia="宋体"/>
                <w:color w:val="auto"/>
                <w:sz w:val="21"/>
                <w:szCs w:val="21"/>
                <w:highlight w:val="none"/>
              </w:rPr>
            </w:pPr>
            <w:r>
              <w:rPr>
                <w:rFonts w:eastAsia="宋体"/>
                <w:color w:val="auto"/>
                <w:sz w:val="21"/>
                <w:szCs w:val="21"/>
                <w:highlight w:val="none"/>
              </w:rPr>
              <w:t>2.9</w:t>
            </w:r>
          </w:p>
        </w:tc>
        <w:tc>
          <w:tcPr>
            <w:tcW w:w="645" w:type="dxa"/>
            <w:tcBorders>
              <w:top w:val="single" w:color="000000" w:sz="4" w:space="0"/>
              <w:left w:val="single" w:color="000000" w:sz="4" w:space="0"/>
              <w:bottom w:val="single" w:color="000000" w:sz="4" w:space="0"/>
              <w:right w:val="single" w:color="000000" w:sz="4" w:space="0"/>
            </w:tcBorders>
            <w:vAlign w:val="center"/>
          </w:tcPr>
          <w:p w14:paraId="52B28509">
            <w:pPr>
              <w:pStyle w:val="98"/>
              <w:ind w:left="-105" w:right="-105"/>
              <w:rPr>
                <w:rFonts w:eastAsia="宋体"/>
                <w:color w:val="auto"/>
                <w:sz w:val="21"/>
                <w:szCs w:val="21"/>
                <w:highlight w:val="none"/>
              </w:rPr>
            </w:pPr>
            <w:r>
              <w:rPr>
                <w:rFonts w:eastAsia="宋体"/>
                <w:color w:val="auto"/>
                <w:sz w:val="21"/>
                <w:szCs w:val="21"/>
                <w:highlight w:val="none"/>
              </w:rPr>
              <w:t>0.6</w:t>
            </w:r>
          </w:p>
        </w:tc>
        <w:tc>
          <w:tcPr>
            <w:tcW w:w="1134" w:type="dxa"/>
            <w:tcBorders>
              <w:top w:val="single" w:color="000000" w:sz="4" w:space="0"/>
              <w:left w:val="single" w:color="000000" w:sz="4" w:space="0"/>
              <w:bottom w:val="single" w:color="000000" w:sz="4" w:space="0"/>
              <w:right w:val="nil"/>
            </w:tcBorders>
            <w:vAlign w:val="center"/>
          </w:tcPr>
          <w:p w14:paraId="075C379B">
            <w:pPr>
              <w:pStyle w:val="98"/>
              <w:ind w:left="-105" w:right="-105"/>
              <w:rPr>
                <w:rFonts w:eastAsia="宋体"/>
                <w:color w:val="auto"/>
                <w:sz w:val="21"/>
                <w:szCs w:val="21"/>
                <w:highlight w:val="none"/>
              </w:rPr>
            </w:pPr>
            <w:r>
              <w:rPr>
                <w:rFonts w:eastAsia="宋体"/>
                <w:color w:val="auto"/>
                <w:sz w:val="21"/>
                <w:szCs w:val="21"/>
                <w:highlight w:val="none"/>
              </w:rPr>
              <w:t>15.8</w:t>
            </w:r>
          </w:p>
        </w:tc>
      </w:tr>
      <w:tr w14:paraId="34226273">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108" w:type="dxa"/>
            <w:bottom w:w="0" w:type="dxa"/>
            <w:right w:w="108" w:type="dxa"/>
          </w:tblCellMar>
        </w:tblPrEx>
        <w:trPr>
          <w:trHeight w:val="208" w:hRule="atLeast"/>
          <w:jc w:val="center"/>
        </w:trPr>
        <w:tc>
          <w:tcPr>
            <w:tcW w:w="1116" w:type="dxa"/>
            <w:vMerge w:val="restart"/>
            <w:tcBorders>
              <w:top w:val="single" w:color="000000" w:sz="4" w:space="0"/>
              <w:left w:val="nil"/>
              <w:bottom w:val="single" w:color="000000" w:sz="4" w:space="0"/>
              <w:right w:val="single" w:color="000000" w:sz="4" w:space="0"/>
            </w:tcBorders>
            <w:vAlign w:val="center"/>
          </w:tcPr>
          <w:p w14:paraId="2378CD0A">
            <w:pPr>
              <w:pStyle w:val="98"/>
              <w:ind w:left="-105" w:right="-105"/>
              <w:rPr>
                <w:rFonts w:eastAsia="宋体"/>
                <w:color w:val="auto"/>
                <w:sz w:val="21"/>
                <w:szCs w:val="21"/>
                <w:highlight w:val="none"/>
              </w:rPr>
            </w:pPr>
            <w:r>
              <w:rPr>
                <w:rFonts w:eastAsia="宋体"/>
                <w:color w:val="auto"/>
                <w:sz w:val="21"/>
                <w:szCs w:val="21"/>
                <w:highlight w:val="none"/>
              </w:rPr>
              <w:t>5.1-6.0</w:t>
            </w:r>
          </w:p>
        </w:tc>
        <w:tc>
          <w:tcPr>
            <w:tcW w:w="742" w:type="dxa"/>
            <w:tcBorders>
              <w:top w:val="single" w:color="000000" w:sz="4" w:space="0"/>
              <w:left w:val="single" w:color="000000" w:sz="4" w:space="0"/>
              <w:bottom w:val="single" w:color="000000" w:sz="4" w:space="0"/>
              <w:right w:val="single" w:color="000000" w:sz="4" w:space="0"/>
            </w:tcBorders>
            <w:vAlign w:val="center"/>
          </w:tcPr>
          <w:p w14:paraId="28515A34">
            <w:pPr>
              <w:pStyle w:val="98"/>
              <w:ind w:left="-105" w:right="-105"/>
              <w:rPr>
                <w:rFonts w:eastAsia="宋体"/>
                <w:color w:val="auto"/>
                <w:sz w:val="21"/>
                <w:szCs w:val="21"/>
                <w:highlight w:val="none"/>
              </w:rPr>
            </w:pPr>
            <w:r>
              <w:rPr>
                <w:rFonts w:eastAsia="宋体"/>
                <w:color w:val="auto"/>
                <w:sz w:val="21"/>
                <w:szCs w:val="21"/>
                <w:highlight w:val="none"/>
              </w:rPr>
              <w:t>A</w:t>
            </w:r>
          </w:p>
        </w:tc>
        <w:tc>
          <w:tcPr>
            <w:tcW w:w="683" w:type="dxa"/>
            <w:tcBorders>
              <w:top w:val="single" w:color="000000" w:sz="4" w:space="0"/>
              <w:left w:val="single" w:color="000000" w:sz="4" w:space="0"/>
              <w:bottom w:val="single" w:color="000000" w:sz="4" w:space="0"/>
              <w:right w:val="single" w:color="000000" w:sz="4" w:space="0"/>
            </w:tcBorders>
          </w:tcPr>
          <w:p w14:paraId="2C0861B0">
            <w:pPr>
              <w:pStyle w:val="98"/>
              <w:ind w:left="-105" w:right="-105"/>
              <w:rPr>
                <w:rFonts w:eastAsia="宋体"/>
                <w:color w:val="auto"/>
                <w:sz w:val="21"/>
                <w:szCs w:val="21"/>
                <w:highlight w:val="none"/>
              </w:rPr>
            </w:pPr>
            <w:r>
              <w:rPr>
                <w:rFonts w:eastAsia="宋体"/>
                <w:color w:val="auto"/>
                <w:sz w:val="21"/>
                <w:szCs w:val="21"/>
                <w:highlight w:val="none"/>
              </w:rPr>
              <w:t>/</w:t>
            </w:r>
          </w:p>
        </w:tc>
        <w:tc>
          <w:tcPr>
            <w:tcW w:w="683" w:type="dxa"/>
            <w:tcBorders>
              <w:top w:val="single" w:color="000000" w:sz="4" w:space="0"/>
              <w:left w:val="single" w:color="000000" w:sz="4" w:space="0"/>
              <w:bottom w:val="single" w:color="000000" w:sz="4" w:space="0"/>
              <w:right w:val="single" w:color="000000" w:sz="4" w:space="0"/>
            </w:tcBorders>
          </w:tcPr>
          <w:p w14:paraId="1A226895">
            <w:pPr>
              <w:pStyle w:val="98"/>
              <w:ind w:left="-105" w:right="-105"/>
              <w:rPr>
                <w:rFonts w:eastAsia="宋体"/>
                <w:color w:val="auto"/>
                <w:sz w:val="21"/>
                <w:szCs w:val="21"/>
                <w:highlight w:val="none"/>
              </w:rPr>
            </w:pPr>
            <w:r>
              <w:rPr>
                <w:rFonts w:eastAsia="宋体"/>
                <w:color w:val="auto"/>
                <w:sz w:val="21"/>
                <w:szCs w:val="21"/>
                <w:highlight w:val="none"/>
              </w:rPr>
              <w:t>/</w:t>
            </w:r>
          </w:p>
        </w:tc>
        <w:tc>
          <w:tcPr>
            <w:tcW w:w="686" w:type="dxa"/>
            <w:tcBorders>
              <w:top w:val="single" w:color="000000" w:sz="4" w:space="0"/>
              <w:left w:val="single" w:color="000000" w:sz="4" w:space="0"/>
              <w:bottom w:val="single" w:color="000000" w:sz="4" w:space="0"/>
              <w:right w:val="single" w:color="000000" w:sz="4" w:space="0"/>
            </w:tcBorders>
          </w:tcPr>
          <w:p w14:paraId="7F86BF33">
            <w:pPr>
              <w:pStyle w:val="98"/>
              <w:ind w:left="-105" w:right="-105"/>
              <w:rPr>
                <w:rFonts w:eastAsia="宋体"/>
                <w:color w:val="auto"/>
                <w:sz w:val="21"/>
                <w:szCs w:val="21"/>
                <w:highlight w:val="none"/>
              </w:rPr>
            </w:pPr>
            <w:r>
              <w:rPr>
                <w:rFonts w:eastAsia="宋体"/>
                <w:color w:val="auto"/>
                <w:sz w:val="21"/>
                <w:szCs w:val="21"/>
                <w:highlight w:val="none"/>
              </w:rPr>
              <w:t>/</w:t>
            </w:r>
          </w:p>
        </w:tc>
        <w:tc>
          <w:tcPr>
            <w:tcW w:w="683" w:type="dxa"/>
            <w:tcBorders>
              <w:top w:val="single" w:color="000000" w:sz="4" w:space="0"/>
              <w:left w:val="single" w:color="000000" w:sz="4" w:space="0"/>
              <w:bottom w:val="single" w:color="000000" w:sz="4" w:space="0"/>
              <w:right w:val="single" w:color="000000" w:sz="4" w:space="0"/>
            </w:tcBorders>
          </w:tcPr>
          <w:p w14:paraId="624A0C6C">
            <w:pPr>
              <w:pStyle w:val="98"/>
              <w:ind w:left="-105" w:right="-105"/>
              <w:rPr>
                <w:rFonts w:eastAsia="宋体"/>
                <w:color w:val="auto"/>
                <w:sz w:val="21"/>
                <w:szCs w:val="21"/>
                <w:highlight w:val="none"/>
              </w:rPr>
            </w:pPr>
            <w:r>
              <w:rPr>
                <w:rFonts w:eastAsia="宋体"/>
                <w:color w:val="auto"/>
                <w:sz w:val="21"/>
                <w:szCs w:val="21"/>
                <w:highlight w:val="none"/>
              </w:rPr>
              <w:t>/</w:t>
            </w:r>
          </w:p>
        </w:tc>
        <w:tc>
          <w:tcPr>
            <w:tcW w:w="683" w:type="dxa"/>
            <w:tcBorders>
              <w:top w:val="single" w:color="000000" w:sz="4" w:space="0"/>
              <w:left w:val="single" w:color="000000" w:sz="4" w:space="0"/>
              <w:bottom w:val="single" w:color="000000" w:sz="4" w:space="0"/>
              <w:right w:val="single" w:color="000000" w:sz="4" w:space="0"/>
            </w:tcBorders>
          </w:tcPr>
          <w:p w14:paraId="43AA78C6">
            <w:pPr>
              <w:pStyle w:val="98"/>
              <w:ind w:left="-105" w:right="-105"/>
              <w:rPr>
                <w:rFonts w:eastAsia="宋体"/>
                <w:color w:val="auto"/>
                <w:sz w:val="21"/>
                <w:szCs w:val="21"/>
                <w:highlight w:val="none"/>
              </w:rPr>
            </w:pPr>
            <w:r>
              <w:rPr>
                <w:rFonts w:eastAsia="宋体"/>
                <w:color w:val="auto"/>
                <w:sz w:val="21"/>
                <w:szCs w:val="21"/>
                <w:highlight w:val="none"/>
              </w:rPr>
              <w:t>/</w:t>
            </w:r>
          </w:p>
        </w:tc>
        <w:tc>
          <w:tcPr>
            <w:tcW w:w="683" w:type="dxa"/>
            <w:tcBorders>
              <w:top w:val="single" w:color="000000" w:sz="4" w:space="0"/>
              <w:left w:val="single" w:color="000000" w:sz="4" w:space="0"/>
              <w:bottom w:val="single" w:color="000000" w:sz="4" w:space="0"/>
              <w:right w:val="single" w:color="000000" w:sz="4" w:space="0"/>
            </w:tcBorders>
          </w:tcPr>
          <w:p w14:paraId="76BE39A6">
            <w:pPr>
              <w:pStyle w:val="98"/>
              <w:ind w:left="-105" w:right="-105"/>
              <w:rPr>
                <w:rFonts w:eastAsia="宋体"/>
                <w:color w:val="auto"/>
                <w:sz w:val="21"/>
                <w:szCs w:val="21"/>
                <w:highlight w:val="none"/>
              </w:rPr>
            </w:pPr>
            <w:r>
              <w:rPr>
                <w:rFonts w:eastAsia="宋体"/>
                <w:color w:val="auto"/>
                <w:sz w:val="21"/>
                <w:szCs w:val="21"/>
                <w:highlight w:val="none"/>
              </w:rPr>
              <w:t>/</w:t>
            </w:r>
          </w:p>
        </w:tc>
        <w:tc>
          <w:tcPr>
            <w:tcW w:w="685" w:type="dxa"/>
            <w:tcBorders>
              <w:top w:val="single" w:color="000000" w:sz="4" w:space="0"/>
              <w:left w:val="single" w:color="000000" w:sz="4" w:space="0"/>
              <w:bottom w:val="single" w:color="000000" w:sz="4" w:space="0"/>
              <w:right w:val="single" w:color="000000" w:sz="4" w:space="0"/>
            </w:tcBorders>
          </w:tcPr>
          <w:p w14:paraId="2C2080B6">
            <w:pPr>
              <w:pStyle w:val="98"/>
              <w:ind w:left="-105" w:right="-105"/>
              <w:rPr>
                <w:rFonts w:eastAsia="宋体"/>
                <w:color w:val="auto"/>
                <w:sz w:val="21"/>
                <w:szCs w:val="21"/>
                <w:highlight w:val="none"/>
              </w:rPr>
            </w:pPr>
            <w:r>
              <w:rPr>
                <w:rFonts w:eastAsia="宋体"/>
                <w:color w:val="auto"/>
                <w:sz w:val="21"/>
                <w:szCs w:val="21"/>
                <w:highlight w:val="none"/>
              </w:rPr>
              <w:t>/</w:t>
            </w:r>
          </w:p>
        </w:tc>
        <w:tc>
          <w:tcPr>
            <w:tcW w:w="683" w:type="dxa"/>
            <w:tcBorders>
              <w:top w:val="single" w:color="000000" w:sz="4" w:space="0"/>
              <w:left w:val="single" w:color="000000" w:sz="4" w:space="0"/>
              <w:bottom w:val="single" w:color="000000" w:sz="4" w:space="0"/>
              <w:right w:val="single" w:color="000000" w:sz="4" w:space="0"/>
            </w:tcBorders>
          </w:tcPr>
          <w:p w14:paraId="18DD799B">
            <w:pPr>
              <w:pStyle w:val="98"/>
              <w:ind w:left="-105" w:right="-105"/>
              <w:rPr>
                <w:rFonts w:eastAsia="宋体"/>
                <w:color w:val="auto"/>
                <w:sz w:val="21"/>
                <w:szCs w:val="21"/>
                <w:highlight w:val="none"/>
              </w:rPr>
            </w:pPr>
            <w:r>
              <w:rPr>
                <w:rFonts w:eastAsia="宋体"/>
                <w:color w:val="auto"/>
                <w:sz w:val="21"/>
                <w:szCs w:val="21"/>
                <w:highlight w:val="none"/>
              </w:rPr>
              <w:t>/</w:t>
            </w:r>
          </w:p>
        </w:tc>
        <w:tc>
          <w:tcPr>
            <w:tcW w:w="683" w:type="dxa"/>
            <w:tcBorders>
              <w:top w:val="single" w:color="000000" w:sz="4" w:space="0"/>
              <w:left w:val="single" w:color="000000" w:sz="4" w:space="0"/>
              <w:bottom w:val="single" w:color="000000" w:sz="4" w:space="0"/>
              <w:right w:val="single" w:color="000000" w:sz="4" w:space="0"/>
            </w:tcBorders>
          </w:tcPr>
          <w:p w14:paraId="65A9F25D">
            <w:pPr>
              <w:pStyle w:val="98"/>
              <w:ind w:left="-105" w:right="-105"/>
              <w:rPr>
                <w:rFonts w:eastAsia="宋体"/>
                <w:color w:val="auto"/>
                <w:sz w:val="21"/>
                <w:szCs w:val="21"/>
                <w:highlight w:val="none"/>
              </w:rPr>
            </w:pPr>
            <w:r>
              <w:rPr>
                <w:rFonts w:eastAsia="宋体"/>
                <w:color w:val="auto"/>
                <w:sz w:val="21"/>
                <w:szCs w:val="21"/>
                <w:highlight w:val="none"/>
              </w:rPr>
              <w:t>/</w:t>
            </w:r>
          </w:p>
        </w:tc>
        <w:tc>
          <w:tcPr>
            <w:tcW w:w="683" w:type="dxa"/>
            <w:tcBorders>
              <w:top w:val="single" w:color="000000" w:sz="4" w:space="0"/>
              <w:left w:val="single" w:color="000000" w:sz="4" w:space="0"/>
              <w:bottom w:val="single" w:color="000000" w:sz="4" w:space="0"/>
              <w:right w:val="single" w:color="000000" w:sz="4" w:space="0"/>
            </w:tcBorders>
          </w:tcPr>
          <w:p w14:paraId="3C8742CC">
            <w:pPr>
              <w:pStyle w:val="98"/>
              <w:ind w:left="-105" w:right="-105"/>
              <w:rPr>
                <w:rFonts w:eastAsia="宋体"/>
                <w:color w:val="auto"/>
                <w:sz w:val="21"/>
                <w:szCs w:val="21"/>
                <w:highlight w:val="none"/>
              </w:rPr>
            </w:pPr>
            <w:r>
              <w:rPr>
                <w:rFonts w:eastAsia="宋体"/>
                <w:color w:val="auto"/>
                <w:sz w:val="21"/>
                <w:szCs w:val="21"/>
                <w:highlight w:val="none"/>
              </w:rPr>
              <w:t>/</w:t>
            </w:r>
          </w:p>
        </w:tc>
        <w:tc>
          <w:tcPr>
            <w:tcW w:w="683" w:type="dxa"/>
            <w:tcBorders>
              <w:top w:val="single" w:color="000000" w:sz="4" w:space="0"/>
              <w:left w:val="single" w:color="000000" w:sz="4" w:space="0"/>
              <w:bottom w:val="single" w:color="000000" w:sz="4" w:space="0"/>
              <w:right w:val="single" w:color="000000" w:sz="4" w:space="0"/>
            </w:tcBorders>
          </w:tcPr>
          <w:p w14:paraId="6BC8B757">
            <w:pPr>
              <w:pStyle w:val="98"/>
              <w:ind w:left="-105" w:right="-105"/>
              <w:rPr>
                <w:rFonts w:eastAsia="宋体"/>
                <w:color w:val="auto"/>
                <w:sz w:val="21"/>
                <w:szCs w:val="21"/>
                <w:highlight w:val="none"/>
              </w:rPr>
            </w:pPr>
            <w:r>
              <w:rPr>
                <w:rFonts w:eastAsia="宋体"/>
                <w:color w:val="auto"/>
                <w:sz w:val="21"/>
                <w:szCs w:val="21"/>
                <w:highlight w:val="none"/>
              </w:rPr>
              <w:t>/</w:t>
            </w:r>
          </w:p>
        </w:tc>
        <w:tc>
          <w:tcPr>
            <w:tcW w:w="683" w:type="dxa"/>
            <w:tcBorders>
              <w:top w:val="single" w:color="000000" w:sz="4" w:space="0"/>
              <w:left w:val="single" w:color="000000" w:sz="4" w:space="0"/>
              <w:bottom w:val="single" w:color="000000" w:sz="4" w:space="0"/>
              <w:right w:val="single" w:color="000000" w:sz="4" w:space="0"/>
            </w:tcBorders>
          </w:tcPr>
          <w:p w14:paraId="61C56B54">
            <w:pPr>
              <w:pStyle w:val="98"/>
              <w:ind w:left="-105" w:right="-105"/>
              <w:rPr>
                <w:rFonts w:eastAsia="宋体"/>
                <w:color w:val="auto"/>
                <w:sz w:val="21"/>
                <w:szCs w:val="21"/>
                <w:highlight w:val="none"/>
              </w:rPr>
            </w:pPr>
            <w:r>
              <w:rPr>
                <w:rFonts w:eastAsia="宋体"/>
                <w:color w:val="auto"/>
                <w:sz w:val="21"/>
                <w:szCs w:val="21"/>
                <w:highlight w:val="none"/>
              </w:rPr>
              <w:t>/</w:t>
            </w:r>
          </w:p>
        </w:tc>
        <w:tc>
          <w:tcPr>
            <w:tcW w:w="684" w:type="dxa"/>
            <w:tcBorders>
              <w:top w:val="single" w:color="000000" w:sz="4" w:space="0"/>
              <w:left w:val="single" w:color="000000" w:sz="4" w:space="0"/>
              <w:bottom w:val="single" w:color="000000" w:sz="4" w:space="0"/>
              <w:right w:val="single" w:color="000000" w:sz="4" w:space="0"/>
            </w:tcBorders>
          </w:tcPr>
          <w:p w14:paraId="5F9E2C25">
            <w:pPr>
              <w:pStyle w:val="98"/>
              <w:ind w:left="-105" w:right="-105"/>
              <w:rPr>
                <w:rFonts w:eastAsia="宋体"/>
                <w:color w:val="auto"/>
                <w:sz w:val="21"/>
                <w:szCs w:val="21"/>
                <w:highlight w:val="none"/>
              </w:rPr>
            </w:pPr>
            <w:r>
              <w:rPr>
                <w:rFonts w:eastAsia="宋体"/>
                <w:color w:val="auto"/>
                <w:sz w:val="21"/>
                <w:szCs w:val="21"/>
                <w:highlight w:val="none"/>
              </w:rPr>
              <w:t>/</w:t>
            </w:r>
          </w:p>
        </w:tc>
        <w:tc>
          <w:tcPr>
            <w:tcW w:w="686" w:type="dxa"/>
            <w:tcBorders>
              <w:top w:val="single" w:color="000000" w:sz="4" w:space="0"/>
              <w:left w:val="single" w:color="000000" w:sz="4" w:space="0"/>
              <w:bottom w:val="single" w:color="000000" w:sz="4" w:space="0"/>
              <w:right w:val="single" w:color="000000" w:sz="4" w:space="0"/>
            </w:tcBorders>
          </w:tcPr>
          <w:p w14:paraId="5CCA9549">
            <w:pPr>
              <w:pStyle w:val="98"/>
              <w:ind w:left="-105" w:right="-105"/>
              <w:rPr>
                <w:rFonts w:eastAsia="宋体"/>
                <w:color w:val="auto"/>
                <w:sz w:val="21"/>
                <w:szCs w:val="21"/>
                <w:highlight w:val="none"/>
              </w:rPr>
            </w:pPr>
            <w:r>
              <w:rPr>
                <w:rFonts w:eastAsia="宋体"/>
                <w:color w:val="auto"/>
                <w:sz w:val="21"/>
                <w:szCs w:val="21"/>
                <w:highlight w:val="none"/>
              </w:rPr>
              <w:t>/</w:t>
            </w:r>
          </w:p>
        </w:tc>
        <w:tc>
          <w:tcPr>
            <w:tcW w:w="684" w:type="dxa"/>
            <w:tcBorders>
              <w:top w:val="single" w:color="000000" w:sz="4" w:space="0"/>
              <w:left w:val="single" w:color="000000" w:sz="4" w:space="0"/>
              <w:bottom w:val="single" w:color="000000" w:sz="4" w:space="0"/>
              <w:right w:val="single" w:color="000000" w:sz="4" w:space="0"/>
            </w:tcBorders>
          </w:tcPr>
          <w:p w14:paraId="1ACF60BA">
            <w:pPr>
              <w:pStyle w:val="98"/>
              <w:ind w:left="-105" w:right="-105"/>
              <w:rPr>
                <w:rFonts w:eastAsia="宋体"/>
                <w:color w:val="auto"/>
                <w:sz w:val="21"/>
                <w:szCs w:val="21"/>
                <w:highlight w:val="none"/>
              </w:rPr>
            </w:pPr>
            <w:r>
              <w:rPr>
                <w:rFonts w:eastAsia="宋体"/>
                <w:color w:val="auto"/>
                <w:sz w:val="21"/>
                <w:szCs w:val="21"/>
                <w:highlight w:val="none"/>
              </w:rPr>
              <w:t>/</w:t>
            </w:r>
          </w:p>
        </w:tc>
        <w:tc>
          <w:tcPr>
            <w:tcW w:w="645" w:type="dxa"/>
            <w:tcBorders>
              <w:top w:val="single" w:color="000000" w:sz="4" w:space="0"/>
              <w:left w:val="single" w:color="000000" w:sz="4" w:space="0"/>
              <w:bottom w:val="single" w:color="000000" w:sz="4" w:space="0"/>
              <w:right w:val="single" w:color="000000" w:sz="4" w:space="0"/>
            </w:tcBorders>
          </w:tcPr>
          <w:p w14:paraId="5547AA50">
            <w:pPr>
              <w:pStyle w:val="98"/>
              <w:ind w:left="-105" w:right="-105"/>
              <w:rPr>
                <w:rFonts w:eastAsia="宋体"/>
                <w:color w:val="auto"/>
                <w:sz w:val="21"/>
                <w:szCs w:val="21"/>
                <w:highlight w:val="none"/>
              </w:rPr>
            </w:pPr>
            <w:r>
              <w:rPr>
                <w:rFonts w:eastAsia="宋体"/>
                <w:color w:val="auto"/>
                <w:sz w:val="21"/>
                <w:szCs w:val="21"/>
                <w:highlight w:val="none"/>
              </w:rPr>
              <w:t>/</w:t>
            </w:r>
          </w:p>
        </w:tc>
        <w:tc>
          <w:tcPr>
            <w:tcW w:w="1134" w:type="dxa"/>
            <w:tcBorders>
              <w:top w:val="single" w:color="000000" w:sz="4" w:space="0"/>
              <w:left w:val="single" w:color="000000" w:sz="4" w:space="0"/>
              <w:bottom w:val="single" w:color="000000" w:sz="4" w:space="0"/>
              <w:right w:val="nil"/>
            </w:tcBorders>
          </w:tcPr>
          <w:p w14:paraId="706BF6BB">
            <w:pPr>
              <w:pStyle w:val="98"/>
              <w:ind w:left="-105" w:right="-105"/>
              <w:rPr>
                <w:rFonts w:eastAsia="宋体"/>
                <w:color w:val="auto"/>
                <w:sz w:val="21"/>
                <w:szCs w:val="21"/>
                <w:highlight w:val="none"/>
              </w:rPr>
            </w:pPr>
            <w:r>
              <w:rPr>
                <w:rFonts w:eastAsia="宋体"/>
                <w:color w:val="auto"/>
                <w:sz w:val="21"/>
                <w:szCs w:val="21"/>
                <w:highlight w:val="none"/>
              </w:rPr>
              <w:t>/</w:t>
            </w:r>
          </w:p>
        </w:tc>
      </w:tr>
      <w:tr w14:paraId="09148556">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108" w:type="dxa"/>
            <w:bottom w:w="0" w:type="dxa"/>
            <w:right w:w="108" w:type="dxa"/>
          </w:tblCellMar>
        </w:tblPrEx>
        <w:trPr>
          <w:trHeight w:val="210" w:hRule="atLeast"/>
          <w:jc w:val="center"/>
        </w:trPr>
        <w:tc>
          <w:tcPr>
            <w:tcW w:w="1116" w:type="dxa"/>
            <w:vMerge w:val="continue"/>
            <w:tcBorders>
              <w:top w:val="nil"/>
              <w:left w:val="nil"/>
              <w:bottom w:val="single" w:color="000000" w:sz="4" w:space="0"/>
              <w:right w:val="single" w:color="000000" w:sz="4" w:space="0"/>
            </w:tcBorders>
            <w:vAlign w:val="center"/>
          </w:tcPr>
          <w:p w14:paraId="146D13C8">
            <w:pPr>
              <w:ind w:left="-105" w:right="-105"/>
              <w:jc w:val="center"/>
              <w:rPr>
                <w:rFonts w:ascii="Times New Roman" w:hAnsi="Times New Roman" w:cs="Times New Roman"/>
                <w:color w:val="auto"/>
                <w:sz w:val="21"/>
                <w:szCs w:val="21"/>
                <w:highlight w:val="none"/>
              </w:rPr>
            </w:pPr>
          </w:p>
        </w:tc>
        <w:tc>
          <w:tcPr>
            <w:tcW w:w="742" w:type="dxa"/>
            <w:tcBorders>
              <w:top w:val="single" w:color="000000" w:sz="4" w:space="0"/>
              <w:left w:val="single" w:color="000000" w:sz="4" w:space="0"/>
              <w:bottom w:val="single" w:color="000000" w:sz="4" w:space="0"/>
              <w:right w:val="single" w:color="000000" w:sz="4" w:space="0"/>
            </w:tcBorders>
            <w:vAlign w:val="center"/>
          </w:tcPr>
          <w:p w14:paraId="13E097FD">
            <w:pPr>
              <w:pStyle w:val="98"/>
              <w:ind w:left="-105" w:right="-105"/>
              <w:rPr>
                <w:rFonts w:eastAsia="宋体"/>
                <w:color w:val="auto"/>
                <w:sz w:val="21"/>
                <w:szCs w:val="21"/>
                <w:highlight w:val="none"/>
              </w:rPr>
            </w:pPr>
            <w:r>
              <w:rPr>
                <w:rFonts w:eastAsia="宋体"/>
                <w:color w:val="auto"/>
                <w:sz w:val="21"/>
                <w:szCs w:val="21"/>
                <w:highlight w:val="none"/>
              </w:rPr>
              <w:t>B</w:t>
            </w:r>
          </w:p>
        </w:tc>
        <w:tc>
          <w:tcPr>
            <w:tcW w:w="683" w:type="dxa"/>
            <w:tcBorders>
              <w:top w:val="single" w:color="000000" w:sz="4" w:space="0"/>
              <w:left w:val="single" w:color="000000" w:sz="4" w:space="0"/>
              <w:bottom w:val="single" w:color="000000" w:sz="4" w:space="0"/>
              <w:right w:val="single" w:color="000000" w:sz="4" w:space="0"/>
            </w:tcBorders>
          </w:tcPr>
          <w:p w14:paraId="295B3F8A">
            <w:pPr>
              <w:pStyle w:val="98"/>
              <w:ind w:left="-105" w:right="-105"/>
              <w:rPr>
                <w:rFonts w:eastAsia="宋体"/>
                <w:color w:val="auto"/>
                <w:sz w:val="21"/>
                <w:szCs w:val="21"/>
                <w:highlight w:val="none"/>
              </w:rPr>
            </w:pPr>
            <w:r>
              <w:rPr>
                <w:rFonts w:eastAsia="宋体"/>
                <w:color w:val="auto"/>
                <w:sz w:val="21"/>
                <w:szCs w:val="21"/>
                <w:highlight w:val="none"/>
              </w:rPr>
              <w:t>/</w:t>
            </w:r>
          </w:p>
        </w:tc>
        <w:tc>
          <w:tcPr>
            <w:tcW w:w="683" w:type="dxa"/>
            <w:tcBorders>
              <w:top w:val="single" w:color="000000" w:sz="4" w:space="0"/>
              <w:left w:val="single" w:color="000000" w:sz="4" w:space="0"/>
              <w:bottom w:val="single" w:color="000000" w:sz="4" w:space="0"/>
              <w:right w:val="single" w:color="000000" w:sz="4" w:space="0"/>
            </w:tcBorders>
          </w:tcPr>
          <w:p w14:paraId="5AC8661D">
            <w:pPr>
              <w:pStyle w:val="98"/>
              <w:ind w:left="-105" w:right="-105"/>
              <w:rPr>
                <w:rFonts w:eastAsia="宋体"/>
                <w:color w:val="auto"/>
                <w:sz w:val="21"/>
                <w:szCs w:val="21"/>
                <w:highlight w:val="none"/>
              </w:rPr>
            </w:pPr>
            <w:r>
              <w:rPr>
                <w:rFonts w:eastAsia="宋体"/>
                <w:color w:val="auto"/>
                <w:sz w:val="21"/>
                <w:szCs w:val="21"/>
                <w:highlight w:val="none"/>
              </w:rPr>
              <w:t>/</w:t>
            </w:r>
          </w:p>
        </w:tc>
        <w:tc>
          <w:tcPr>
            <w:tcW w:w="686" w:type="dxa"/>
            <w:tcBorders>
              <w:top w:val="single" w:color="000000" w:sz="4" w:space="0"/>
              <w:left w:val="single" w:color="000000" w:sz="4" w:space="0"/>
              <w:bottom w:val="single" w:color="000000" w:sz="4" w:space="0"/>
              <w:right w:val="single" w:color="000000" w:sz="4" w:space="0"/>
            </w:tcBorders>
          </w:tcPr>
          <w:p w14:paraId="3A71EA0A">
            <w:pPr>
              <w:pStyle w:val="98"/>
              <w:ind w:left="-105" w:right="-105"/>
              <w:rPr>
                <w:rFonts w:eastAsia="宋体"/>
                <w:color w:val="auto"/>
                <w:sz w:val="21"/>
                <w:szCs w:val="21"/>
                <w:highlight w:val="none"/>
              </w:rPr>
            </w:pPr>
            <w:r>
              <w:rPr>
                <w:rFonts w:eastAsia="宋体"/>
                <w:color w:val="auto"/>
                <w:sz w:val="21"/>
                <w:szCs w:val="21"/>
                <w:highlight w:val="none"/>
              </w:rPr>
              <w:t>/</w:t>
            </w:r>
          </w:p>
        </w:tc>
        <w:tc>
          <w:tcPr>
            <w:tcW w:w="683" w:type="dxa"/>
            <w:tcBorders>
              <w:top w:val="single" w:color="000000" w:sz="4" w:space="0"/>
              <w:left w:val="single" w:color="000000" w:sz="4" w:space="0"/>
              <w:bottom w:val="single" w:color="000000" w:sz="4" w:space="0"/>
              <w:right w:val="single" w:color="000000" w:sz="4" w:space="0"/>
            </w:tcBorders>
          </w:tcPr>
          <w:p w14:paraId="065F99FD">
            <w:pPr>
              <w:pStyle w:val="98"/>
              <w:ind w:left="-105" w:right="-105"/>
              <w:rPr>
                <w:rFonts w:eastAsia="宋体"/>
                <w:color w:val="auto"/>
                <w:sz w:val="21"/>
                <w:szCs w:val="21"/>
                <w:highlight w:val="none"/>
              </w:rPr>
            </w:pPr>
            <w:r>
              <w:rPr>
                <w:rFonts w:eastAsia="宋体"/>
                <w:color w:val="auto"/>
                <w:sz w:val="21"/>
                <w:szCs w:val="21"/>
                <w:highlight w:val="none"/>
              </w:rPr>
              <w:t>/</w:t>
            </w:r>
          </w:p>
        </w:tc>
        <w:tc>
          <w:tcPr>
            <w:tcW w:w="683" w:type="dxa"/>
            <w:tcBorders>
              <w:top w:val="single" w:color="000000" w:sz="4" w:space="0"/>
              <w:left w:val="single" w:color="000000" w:sz="4" w:space="0"/>
              <w:bottom w:val="single" w:color="000000" w:sz="4" w:space="0"/>
              <w:right w:val="single" w:color="000000" w:sz="4" w:space="0"/>
            </w:tcBorders>
          </w:tcPr>
          <w:p w14:paraId="5C9388F7">
            <w:pPr>
              <w:pStyle w:val="98"/>
              <w:ind w:left="-105" w:right="-105"/>
              <w:rPr>
                <w:rFonts w:eastAsia="宋体"/>
                <w:color w:val="auto"/>
                <w:sz w:val="21"/>
                <w:szCs w:val="21"/>
                <w:highlight w:val="none"/>
              </w:rPr>
            </w:pPr>
            <w:r>
              <w:rPr>
                <w:rFonts w:eastAsia="宋体"/>
                <w:color w:val="auto"/>
                <w:sz w:val="21"/>
                <w:szCs w:val="21"/>
                <w:highlight w:val="none"/>
              </w:rPr>
              <w:t>/</w:t>
            </w:r>
          </w:p>
        </w:tc>
        <w:tc>
          <w:tcPr>
            <w:tcW w:w="683" w:type="dxa"/>
            <w:tcBorders>
              <w:top w:val="single" w:color="000000" w:sz="4" w:space="0"/>
              <w:left w:val="single" w:color="000000" w:sz="4" w:space="0"/>
              <w:bottom w:val="single" w:color="000000" w:sz="4" w:space="0"/>
              <w:right w:val="single" w:color="000000" w:sz="4" w:space="0"/>
            </w:tcBorders>
          </w:tcPr>
          <w:p w14:paraId="6477FF07">
            <w:pPr>
              <w:pStyle w:val="98"/>
              <w:ind w:left="-105" w:right="-105"/>
              <w:rPr>
                <w:rFonts w:eastAsia="宋体"/>
                <w:color w:val="auto"/>
                <w:sz w:val="21"/>
                <w:szCs w:val="21"/>
                <w:highlight w:val="none"/>
              </w:rPr>
            </w:pPr>
            <w:r>
              <w:rPr>
                <w:rFonts w:eastAsia="宋体"/>
                <w:color w:val="auto"/>
                <w:sz w:val="21"/>
                <w:szCs w:val="21"/>
                <w:highlight w:val="none"/>
              </w:rPr>
              <w:t>/</w:t>
            </w:r>
          </w:p>
        </w:tc>
        <w:tc>
          <w:tcPr>
            <w:tcW w:w="685" w:type="dxa"/>
            <w:tcBorders>
              <w:top w:val="single" w:color="000000" w:sz="4" w:space="0"/>
              <w:left w:val="single" w:color="000000" w:sz="4" w:space="0"/>
              <w:bottom w:val="single" w:color="000000" w:sz="4" w:space="0"/>
              <w:right w:val="single" w:color="000000" w:sz="4" w:space="0"/>
            </w:tcBorders>
          </w:tcPr>
          <w:p w14:paraId="6EE90777">
            <w:pPr>
              <w:pStyle w:val="98"/>
              <w:ind w:left="-105" w:right="-105"/>
              <w:rPr>
                <w:rFonts w:eastAsia="宋体"/>
                <w:color w:val="auto"/>
                <w:sz w:val="21"/>
                <w:szCs w:val="21"/>
                <w:highlight w:val="none"/>
              </w:rPr>
            </w:pPr>
            <w:r>
              <w:rPr>
                <w:rFonts w:eastAsia="宋体"/>
                <w:color w:val="auto"/>
                <w:sz w:val="21"/>
                <w:szCs w:val="21"/>
                <w:highlight w:val="none"/>
              </w:rPr>
              <w:t>/</w:t>
            </w:r>
          </w:p>
        </w:tc>
        <w:tc>
          <w:tcPr>
            <w:tcW w:w="683" w:type="dxa"/>
            <w:tcBorders>
              <w:top w:val="single" w:color="000000" w:sz="4" w:space="0"/>
              <w:left w:val="single" w:color="000000" w:sz="4" w:space="0"/>
              <w:bottom w:val="single" w:color="000000" w:sz="4" w:space="0"/>
              <w:right w:val="single" w:color="000000" w:sz="4" w:space="0"/>
            </w:tcBorders>
          </w:tcPr>
          <w:p w14:paraId="6DEA1088">
            <w:pPr>
              <w:pStyle w:val="98"/>
              <w:ind w:left="-105" w:right="-105"/>
              <w:rPr>
                <w:rFonts w:eastAsia="宋体"/>
                <w:color w:val="auto"/>
                <w:sz w:val="21"/>
                <w:szCs w:val="21"/>
                <w:highlight w:val="none"/>
              </w:rPr>
            </w:pPr>
            <w:r>
              <w:rPr>
                <w:rFonts w:eastAsia="宋体"/>
                <w:color w:val="auto"/>
                <w:sz w:val="21"/>
                <w:szCs w:val="21"/>
                <w:highlight w:val="none"/>
              </w:rPr>
              <w:t>/</w:t>
            </w:r>
          </w:p>
        </w:tc>
        <w:tc>
          <w:tcPr>
            <w:tcW w:w="683" w:type="dxa"/>
            <w:tcBorders>
              <w:top w:val="single" w:color="000000" w:sz="4" w:space="0"/>
              <w:left w:val="single" w:color="000000" w:sz="4" w:space="0"/>
              <w:bottom w:val="single" w:color="000000" w:sz="4" w:space="0"/>
              <w:right w:val="single" w:color="000000" w:sz="4" w:space="0"/>
            </w:tcBorders>
          </w:tcPr>
          <w:p w14:paraId="582D76A7">
            <w:pPr>
              <w:pStyle w:val="98"/>
              <w:ind w:left="-105" w:right="-105"/>
              <w:rPr>
                <w:rFonts w:eastAsia="宋体"/>
                <w:color w:val="auto"/>
                <w:sz w:val="21"/>
                <w:szCs w:val="21"/>
                <w:highlight w:val="none"/>
              </w:rPr>
            </w:pPr>
            <w:r>
              <w:rPr>
                <w:rFonts w:eastAsia="宋体"/>
                <w:color w:val="auto"/>
                <w:sz w:val="21"/>
                <w:szCs w:val="21"/>
                <w:highlight w:val="none"/>
              </w:rPr>
              <w:t>/</w:t>
            </w:r>
          </w:p>
        </w:tc>
        <w:tc>
          <w:tcPr>
            <w:tcW w:w="683" w:type="dxa"/>
            <w:tcBorders>
              <w:top w:val="single" w:color="000000" w:sz="4" w:space="0"/>
              <w:left w:val="single" w:color="000000" w:sz="4" w:space="0"/>
              <w:bottom w:val="single" w:color="000000" w:sz="4" w:space="0"/>
              <w:right w:val="single" w:color="000000" w:sz="4" w:space="0"/>
            </w:tcBorders>
          </w:tcPr>
          <w:p w14:paraId="16B14D67">
            <w:pPr>
              <w:pStyle w:val="98"/>
              <w:ind w:left="-105" w:right="-105"/>
              <w:rPr>
                <w:rFonts w:eastAsia="宋体"/>
                <w:color w:val="auto"/>
                <w:sz w:val="21"/>
                <w:szCs w:val="21"/>
                <w:highlight w:val="none"/>
              </w:rPr>
            </w:pPr>
            <w:r>
              <w:rPr>
                <w:rFonts w:eastAsia="宋体"/>
                <w:color w:val="auto"/>
                <w:sz w:val="21"/>
                <w:szCs w:val="21"/>
                <w:highlight w:val="none"/>
              </w:rPr>
              <w:t>/</w:t>
            </w:r>
          </w:p>
        </w:tc>
        <w:tc>
          <w:tcPr>
            <w:tcW w:w="683" w:type="dxa"/>
            <w:tcBorders>
              <w:top w:val="single" w:color="000000" w:sz="4" w:space="0"/>
              <w:left w:val="single" w:color="000000" w:sz="4" w:space="0"/>
              <w:bottom w:val="single" w:color="000000" w:sz="4" w:space="0"/>
              <w:right w:val="single" w:color="000000" w:sz="4" w:space="0"/>
            </w:tcBorders>
          </w:tcPr>
          <w:p w14:paraId="16EA4AB4">
            <w:pPr>
              <w:pStyle w:val="98"/>
              <w:ind w:left="-105" w:right="-105"/>
              <w:rPr>
                <w:rFonts w:eastAsia="宋体"/>
                <w:color w:val="auto"/>
                <w:sz w:val="21"/>
                <w:szCs w:val="21"/>
                <w:highlight w:val="none"/>
              </w:rPr>
            </w:pPr>
            <w:r>
              <w:rPr>
                <w:rFonts w:eastAsia="宋体"/>
                <w:color w:val="auto"/>
                <w:sz w:val="21"/>
                <w:szCs w:val="21"/>
                <w:highlight w:val="none"/>
              </w:rPr>
              <w:t>/</w:t>
            </w:r>
          </w:p>
        </w:tc>
        <w:tc>
          <w:tcPr>
            <w:tcW w:w="683" w:type="dxa"/>
            <w:tcBorders>
              <w:top w:val="single" w:color="000000" w:sz="4" w:space="0"/>
              <w:left w:val="single" w:color="000000" w:sz="4" w:space="0"/>
              <w:bottom w:val="single" w:color="000000" w:sz="4" w:space="0"/>
              <w:right w:val="single" w:color="000000" w:sz="4" w:space="0"/>
            </w:tcBorders>
          </w:tcPr>
          <w:p w14:paraId="23696DBB">
            <w:pPr>
              <w:pStyle w:val="98"/>
              <w:ind w:left="-105" w:right="-105"/>
              <w:rPr>
                <w:rFonts w:eastAsia="宋体"/>
                <w:color w:val="auto"/>
                <w:sz w:val="21"/>
                <w:szCs w:val="21"/>
                <w:highlight w:val="none"/>
              </w:rPr>
            </w:pPr>
            <w:r>
              <w:rPr>
                <w:rFonts w:eastAsia="宋体"/>
                <w:color w:val="auto"/>
                <w:sz w:val="21"/>
                <w:szCs w:val="21"/>
                <w:highlight w:val="none"/>
              </w:rPr>
              <w:t>/</w:t>
            </w:r>
          </w:p>
        </w:tc>
        <w:tc>
          <w:tcPr>
            <w:tcW w:w="684" w:type="dxa"/>
            <w:tcBorders>
              <w:top w:val="single" w:color="000000" w:sz="4" w:space="0"/>
              <w:left w:val="single" w:color="000000" w:sz="4" w:space="0"/>
              <w:bottom w:val="single" w:color="000000" w:sz="4" w:space="0"/>
              <w:right w:val="single" w:color="000000" w:sz="4" w:space="0"/>
            </w:tcBorders>
          </w:tcPr>
          <w:p w14:paraId="47A993E0">
            <w:pPr>
              <w:pStyle w:val="98"/>
              <w:ind w:left="-105" w:right="-105"/>
              <w:rPr>
                <w:rFonts w:eastAsia="宋体"/>
                <w:color w:val="auto"/>
                <w:sz w:val="21"/>
                <w:szCs w:val="21"/>
                <w:highlight w:val="none"/>
              </w:rPr>
            </w:pPr>
            <w:r>
              <w:rPr>
                <w:rFonts w:eastAsia="宋体"/>
                <w:color w:val="auto"/>
                <w:sz w:val="21"/>
                <w:szCs w:val="21"/>
                <w:highlight w:val="none"/>
              </w:rPr>
              <w:t>/</w:t>
            </w:r>
          </w:p>
        </w:tc>
        <w:tc>
          <w:tcPr>
            <w:tcW w:w="686" w:type="dxa"/>
            <w:tcBorders>
              <w:top w:val="single" w:color="000000" w:sz="4" w:space="0"/>
              <w:left w:val="single" w:color="000000" w:sz="4" w:space="0"/>
              <w:bottom w:val="single" w:color="000000" w:sz="4" w:space="0"/>
              <w:right w:val="single" w:color="000000" w:sz="4" w:space="0"/>
            </w:tcBorders>
          </w:tcPr>
          <w:p w14:paraId="27CB70D8">
            <w:pPr>
              <w:pStyle w:val="98"/>
              <w:ind w:left="-105" w:right="-105"/>
              <w:rPr>
                <w:rFonts w:eastAsia="宋体"/>
                <w:color w:val="auto"/>
                <w:sz w:val="21"/>
                <w:szCs w:val="21"/>
                <w:highlight w:val="none"/>
              </w:rPr>
            </w:pPr>
            <w:r>
              <w:rPr>
                <w:rFonts w:eastAsia="宋体"/>
                <w:color w:val="auto"/>
                <w:sz w:val="21"/>
                <w:szCs w:val="21"/>
                <w:highlight w:val="none"/>
              </w:rPr>
              <w:t>/</w:t>
            </w:r>
          </w:p>
        </w:tc>
        <w:tc>
          <w:tcPr>
            <w:tcW w:w="684" w:type="dxa"/>
            <w:tcBorders>
              <w:top w:val="single" w:color="000000" w:sz="4" w:space="0"/>
              <w:left w:val="single" w:color="000000" w:sz="4" w:space="0"/>
              <w:bottom w:val="single" w:color="000000" w:sz="4" w:space="0"/>
              <w:right w:val="single" w:color="000000" w:sz="4" w:space="0"/>
            </w:tcBorders>
          </w:tcPr>
          <w:p w14:paraId="1B1A2311">
            <w:pPr>
              <w:pStyle w:val="98"/>
              <w:ind w:left="-105" w:right="-105"/>
              <w:rPr>
                <w:rFonts w:eastAsia="宋体"/>
                <w:color w:val="auto"/>
                <w:sz w:val="21"/>
                <w:szCs w:val="21"/>
                <w:highlight w:val="none"/>
              </w:rPr>
            </w:pPr>
            <w:r>
              <w:rPr>
                <w:rFonts w:eastAsia="宋体"/>
                <w:color w:val="auto"/>
                <w:sz w:val="21"/>
                <w:szCs w:val="21"/>
                <w:highlight w:val="none"/>
              </w:rPr>
              <w:t>/</w:t>
            </w:r>
          </w:p>
        </w:tc>
        <w:tc>
          <w:tcPr>
            <w:tcW w:w="645" w:type="dxa"/>
            <w:tcBorders>
              <w:top w:val="single" w:color="000000" w:sz="4" w:space="0"/>
              <w:left w:val="single" w:color="000000" w:sz="4" w:space="0"/>
              <w:bottom w:val="single" w:color="000000" w:sz="4" w:space="0"/>
              <w:right w:val="single" w:color="000000" w:sz="4" w:space="0"/>
            </w:tcBorders>
          </w:tcPr>
          <w:p w14:paraId="19CEA05C">
            <w:pPr>
              <w:pStyle w:val="98"/>
              <w:ind w:left="-105" w:right="-105"/>
              <w:rPr>
                <w:rFonts w:eastAsia="宋体"/>
                <w:color w:val="auto"/>
                <w:sz w:val="21"/>
                <w:szCs w:val="21"/>
                <w:highlight w:val="none"/>
              </w:rPr>
            </w:pPr>
            <w:r>
              <w:rPr>
                <w:rFonts w:eastAsia="宋体"/>
                <w:color w:val="auto"/>
                <w:sz w:val="21"/>
                <w:szCs w:val="21"/>
                <w:highlight w:val="none"/>
              </w:rPr>
              <w:t>/</w:t>
            </w:r>
          </w:p>
        </w:tc>
        <w:tc>
          <w:tcPr>
            <w:tcW w:w="1134" w:type="dxa"/>
            <w:tcBorders>
              <w:top w:val="single" w:color="000000" w:sz="4" w:space="0"/>
              <w:left w:val="single" w:color="000000" w:sz="4" w:space="0"/>
              <w:bottom w:val="single" w:color="000000" w:sz="4" w:space="0"/>
              <w:right w:val="nil"/>
            </w:tcBorders>
          </w:tcPr>
          <w:p w14:paraId="76250291">
            <w:pPr>
              <w:pStyle w:val="98"/>
              <w:ind w:left="-105" w:right="-105"/>
              <w:rPr>
                <w:rFonts w:eastAsia="宋体"/>
                <w:color w:val="auto"/>
                <w:sz w:val="21"/>
                <w:szCs w:val="21"/>
                <w:highlight w:val="none"/>
              </w:rPr>
            </w:pPr>
            <w:r>
              <w:rPr>
                <w:rFonts w:eastAsia="宋体"/>
                <w:color w:val="auto"/>
                <w:sz w:val="21"/>
                <w:szCs w:val="21"/>
                <w:highlight w:val="none"/>
              </w:rPr>
              <w:t>/</w:t>
            </w:r>
          </w:p>
        </w:tc>
      </w:tr>
      <w:tr w14:paraId="2ED7530C">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108" w:type="dxa"/>
            <w:bottom w:w="0" w:type="dxa"/>
            <w:right w:w="108" w:type="dxa"/>
          </w:tblCellMar>
        </w:tblPrEx>
        <w:trPr>
          <w:trHeight w:val="210" w:hRule="atLeast"/>
          <w:jc w:val="center"/>
        </w:trPr>
        <w:tc>
          <w:tcPr>
            <w:tcW w:w="1116" w:type="dxa"/>
            <w:vMerge w:val="continue"/>
            <w:tcBorders>
              <w:top w:val="nil"/>
              <w:left w:val="nil"/>
              <w:bottom w:val="single" w:color="000000" w:sz="4" w:space="0"/>
              <w:right w:val="single" w:color="000000" w:sz="4" w:space="0"/>
            </w:tcBorders>
            <w:vAlign w:val="center"/>
          </w:tcPr>
          <w:p w14:paraId="4E34DE76">
            <w:pPr>
              <w:ind w:left="-105" w:right="-105"/>
              <w:jc w:val="center"/>
              <w:rPr>
                <w:rFonts w:ascii="Times New Roman" w:hAnsi="Times New Roman" w:cs="Times New Roman"/>
                <w:color w:val="auto"/>
                <w:sz w:val="21"/>
                <w:szCs w:val="21"/>
                <w:highlight w:val="none"/>
              </w:rPr>
            </w:pPr>
          </w:p>
        </w:tc>
        <w:tc>
          <w:tcPr>
            <w:tcW w:w="742" w:type="dxa"/>
            <w:tcBorders>
              <w:top w:val="single" w:color="000000" w:sz="4" w:space="0"/>
              <w:left w:val="single" w:color="000000" w:sz="4" w:space="0"/>
              <w:bottom w:val="single" w:color="000000" w:sz="4" w:space="0"/>
              <w:right w:val="single" w:color="000000" w:sz="4" w:space="0"/>
            </w:tcBorders>
            <w:vAlign w:val="center"/>
          </w:tcPr>
          <w:p w14:paraId="525D409B">
            <w:pPr>
              <w:pStyle w:val="98"/>
              <w:ind w:left="-105" w:right="-105"/>
              <w:rPr>
                <w:rFonts w:eastAsia="宋体"/>
                <w:color w:val="auto"/>
                <w:sz w:val="21"/>
                <w:szCs w:val="21"/>
                <w:highlight w:val="none"/>
              </w:rPr>
            </w:pPr>
            <w:r>
              <w:rPr>
                <w:rFonts w:eastAsia="宋体"/>
                <w:color w:val="auto"/>
                <w:sz w:val="21"/>
                <w:szCs w:val="21"/>
                <w:highlight w:val="none"/>
              </w:rPr>
              <w:t>C</w:t>
            </w:r>
          </w:p>
        </w:tc>
        <w:tc>
          <w:tcPr>
            <w:tcW w:w="683" w:type="dxa"/>
            <w:tcBorders>
              <w:top w:val="single" w:color="000000" w:sz="4" w:space="0"/>
              <w:left w:val="single" w:color="000000" w:sz="4" w:space="0"/>
              <w:bottom w:val="single" w:color="000000" w:sz="4" w:space="0"/>
              <w:right w:val="single" w:color="000000" w:sz="4" w:space="0"/>
            </w:tcBorders>
          </w:tcPr>
          <w:p w14:paraId="4295170F">
            <w:pPr>
              <w:pStyle w:val="98"/>
              <w:ind w:left="-105" w:right="-105"/>
              <w:rPr>
                <w:rFonts w:eastAsia="宋体"/>
                <w:color w:val="auto"/>
                <w:sz w:val="21"/>
                <w:szCs w:val="21"/>
                <w:highlight w:val="none"/>
              </w:rPr>
            </w:pPr>
            <w:r>
              <w:rPr>
                <w:rFonts w:eastAsia="宋体"/>
                <w:color w:val="auto"/>
                <w:sz w:val="21"/>
                <w:szCs w:val="21"/>
                <w:highlight w:val="none"/>
              </w:rPr>
              <w:t>/</w:t>
            </w:r>
          </w:p>
        </w:tc>
        <w:tc>
          <w:tcPr>
            <w:tcW w:w="683" w:type="dxa"/>
            <w:tcBorders>
              <w:top w:val="single" w:color="000000" w:sz="4" w:space="0"/>
              <w:left w:val="single" w:color="000000" w:sz="4" w:space="0"/>
              <w:bottom w:val="single" w:color="000000" w:sz="4" w:space="0"/>
              <w:right w:val="single" w:color="000000" w:sz="4" w:space="0"/>
            </w:tcBorders>
          </w:tcPr>
          <w:p w14:paraId="4E6ADCF9">
            <w:pPr>
              <w:pStyle w:val="98"/>
              <w:ind w:left="-105" w:right="-105"/>
              <w:rPr>
                <w:rFonts w:eastAsia="宋体"/>
                <w:color w:val="auto"/>
                <w:sz w:val="21"/>
                <w:szCs w:val="21"/>
                <w:highlight w:val="none"/>
              </w:rPr>
            </w:pPr>
            <w:r>
              <w:rPr>
                <w:rFonts w:eastAsia="宋体"/>
                <w:color w:val="auto"/>
                <w:sz w:val="21"/>
                <w:szCs w:val="21"/>
                <w:highlight w:val="none"/>
              </w:rPr>
              <w:t>/</w:t>
            </w:r>
          </w:p>
        </w:tc>
        <w:tc>
          <w:tcPr>
            <w:tcW w:w="686" w:type="dxa"/>
            <w:tcBorders>
              <w:top w:val="single" w:color="000000" w:sz="4" w:space="0"/>
              <w:left w:val="single" w:color="000000" w:sz="4" w:space="0"/>
              <w:bottom w:val="single" w:color="000000" w:sz="4" w:space="0"/>
              <w:right w:val="single" w:color="000000" w:sz="4" w:space="0"/>
            </w:tcBorders>
          </w:tcPr>
          <w:p w14:paraId="6D8450CF">
            <w:pPr>
              <w:pStyle w:val="98"/>
              <w:ind w:left="-105" w:right="-105"/>
              <w:rPr>
                <w:rFonts w:eastAsia="宋体"/>
                <w:color w:val="auto"/>
                <w:sz w:val="21"/>
                <w:szCs w:val="21"/>
                <w:highlight w:val="none"/>
              </w:rPr>
            </w:pPr>
            <w:r>
              <w:rPr>
                <w:rFonts w:eastAsia="宋体"/>
                <w:color w:val="auto"/>
                <w:sz w:val="21"/>
                <w:szCs w:val="21"/>
                <w:highlight w:val="none"/>
              </w:rPr>
              <w:t>/</w:t>
            </w:r>
          </w:p>
        </w:tc>
        <w:tc>
          <w:tcPr>
            <w:tcW w:w="683" w:type="dxa"/>
            <w:tcBorders>
              <w:top w:val="single" w:color="000000" w:sz="4" w:space="0"/>
              <w:left w:val="single" w:color="000000" w:sz="4" w:space="0"/>
              <w:bottom w:val="single" w:color="000000" w:sz="4" w:space="0"/>
              <w:right w:val="single" w:color="000000" w:sz="4" w:space="0"/>
            </w:tcBorders>
          </w:tcPr>
          <w:p w14:paraId="07A24A1A">
            <w:pPr>
              <w:pStyle w:val="98"/>
              <w:ind w:left="-105" w:right="-105"/>
              <w:rPr>
                <w:rFonts w:eastAsia="宋体"/>
                <w:color w:val="auto"/>
                <w:sz w:val="21"/>
                <w:szCs w:val="21"/>
                <w:highlight w:val="none"/>
              </w:rPr>
            </w:pPr>
            <w:r>
              <w:rPr>
                <w:rFonts w:eastAsia="宋体"/>
                <w:color w:val="auto"/>
                <w:sz w:val="21"/>
                <w:szCs w:val="21"/>
                <w:highlight w:val="none"/>
              </w:rPr>
              <w:t>/</w:t>
            </w:r>
          </w:p>
        </w:tc>
        <w:tc>
          <w:tcPr>
            <w:tcW w:w="683" w:type="dxa"/>
            <w:tcBorders>
              <w:top w:val="single" w:color="000000" w:sz="4" w:space="0"/>
              <w:left w:val="single" w:color="000000" w:sz="4" w:space="0"/>
              <w:bottom w:val="single" w:color="000000" w:sz="4" w:space="0"/>
              <w:right w:val="single" w:color="000000" w:sz="4" w:space="0"/>
            </w:tcBorders>
          </w:tcPr>
          <w:p w14:paraId="2667F5E2">
            <w:pPr>
              <w:pStyle w:val="98"/>
              <w:ind w:left="-105" w:right="-105"/>
              <w:rPr>
                <w:rFonts w:eastAsia="宋体"/>
                <w:color w:val="auto"/>
                <w:sz w:val="21"/>
                <w:szCs w:val="21"/>
                <w:highlight w:val="none"/>
              </w:rPr>
            </w:pPr>
            <w:r>
              <w:rPr>
                <w:rFonts w:eastAsia="宋体"/>
                <w:color w:val="auto"/>
                <w:sz w:val="21"/>
                <w:szCs w:val="21"/>
                <w:highlight w:val="none"/>
              </w:rPr>
              <w:t>/</w:t>
            </w:r>
          </w:p>
        </w:tc>
        <w:tc>
          <w:tcPr>
            <w:tcW w:w="683" w:type="dxa"/>
            <w:tcBorders>
              <w:top w:val="single" w:color="000000" w:sz="4" w:space="0"/>
              <w:left w:val="single" w:color="000000" w:sz="4" w:space="0"/>
              <w:bottom w:val="single" w:color="000000" w:sz="4" w:space="0"/>
              <w:right w:val="single" w:color="000000" w:sz="4" w:space="0"/>
            </w:tcBorders>
          </w:tcPr>
          <w:p w14:paraId="508257C7">
            <w:pPr>
              <w:pStyle w:val="98"/>
              <w:ind w:left="-105" w:right="-105"/>
              <w:rPr>
                <w:rFonts w:eastAsia="宋体"/>
                <w:color w:val="auto"/>
                <w:sz w:val="21"/>
                <w:szCs w:val="21"/>
                <w:highlight w:val="none"/>
              </w:rPr>
            </w:pPr>
            <w:r>
              <w:rPr>
                <w:rFonts w:eastAsia="宋体"/>
                <w:color w:val="auto"/>
                <w:sz w:val="21"/>
                <w:szCs w:val="21"/>
                <w:highlight w:val="none"/>
              </w:rPr>
              <w:t>/</w:t>
            </w:r>
          </w:p>
        </w:tc>
        <w:tc>
          <w:tcPr>
            <w:tcW w:w="685" w:type="dxa"/>
            <w:tcBorders>
              <w:top w:val="single" w:color="000000" w:sz="4" w:space="0"/>
              <w:left w:val="single" w:color="000000" w:sz="4" w:space="0"/>
              <w:bottom w:val="single" w:color="000000" w:sz="4" w:space="0"/>
              <w:right w:val="single" w:color="000000" w:sz="4" w:space="0"/>
            </w:tcBorders>
            <w:vAlign w:val="center"/>
          </w:tcPr>
          <w:p w14:paraId="786AD2DB">
            <w:pPr>
              <w:pStyle w:val="98"/>
              <w:ind w:left="-105" w:right="-105"/>
              <w:rPr>
                <w:rFonts w:eastAsia="宋体"/>
                <w:color w:val="auto"/>
                <w:sz w:val="21"/>
                <w:szCs w:val="21"/>
                <w:highlight w:val="none"/>
              </w:rPr>
            </w:pPr>
            <w:r>
              <w:rPr>
                <w:rFonts w:eastAsia="宋体"/>
                <w:color w:val="auto"/>
                <w:sz w:val="21"/>
                <w:szCs w:val="21"/>
                <w:highlight w:val="none"/>
              </w:rPr>
              <w:t>8.6</w:t>
            </w:r>
          </w:p>
        </w:tc>
        <w:tc>
          <w:tcPr>
            <w:tcW w:w="683" w:type="dxa"/>
            <w:tcBorders>
              <w:top w:val="single" w:color="000000" w:sz="4" w:space="0"/>
              <w:left w:val="single" w:color="000000" w:sz="4" w:space="0"/>
              <w:bottom w:val="single" w:color="000000" w:sz="4" w:space="0"/>
              <w:right w:val="single" w:color="000000" w:sz="4" w:space="0"/>
            </w:tcBorders>
            <w:vAlign w:val="center"/>
          </w:tcPr>
          <w:p w14:paraId="2AA5478B">
            <w:pPr>
              <w:pStyle w:val="98"/>
              <w:ind w:left="-105" w:right="-105"/>
              <w:rPr>
                <w:rFonts w:eastAsia="宋体"/>
                <w:color w:val="auto"/>
                <w:sz w:val="21"/>
                <w:szCs w:val="21"/>
                <w:highlight w:val="none"/>
              </w:rPr>
            </w:pPr>
            <w:r>
              <w:rPr>
                <w:rFonts w:eastAsia="宋体"/>
                <w:color w:val="auto"/>
                <w:sz w:val="21"/>
                <w:szCs w:val="21"/>
                <w:highlight w:val="none"/>
              </w:rPr>
              <w:t>4.2</w:t>
            </w:r>
          </w:p>
        </w:tc>
        <w:tc>
          <w:tcPr>
            <w:tcW w:w="683" w:type="dxa"/>
            <w:tcBorders>
              <w:top w:val="single" w:color="000000" w:sz="4" w:space="0"/>
              <w:left w:val="single" w:color="000000" w:sz="4" w:space="0"/>
              <w:bottom w:val="single" w:color="000000" w:sz="4" w:space="0"/>
              <w:right w:val="single" w:color="000000" w:sz="4" w:space="0"/>
            </w:tcBorders>
          </w:tcPr>
          <w:p w14:paraId="3485733E">
            <w:pPr>
              <w:pStyle w:val="98"/>
              <w:ind w:left="-105" w:right="-105"/>
              <w:rPr>
                <w:rFonts w:eastAsia="宋体"/>
                <w:color w:val="auto"/>
                <w:sz w:val="21"/>
                <w:szCs w:val="21"/>
                <w:highlight w:val="none"/>
              </w:rPr>
            </w:pPr>
            <w:r>
              <w:rPr>
                <w:rFonts w:eastAsia="宋体"/>
                <w:color w:val="auto"/>
                <w:sz w:val="21"/>
                <w:szCs w:val="21"/>
                <w:highlight w:val="none"/>
              </w:rPr>
              <w:t>/</w:t>
            </w:r>
          </w:p>
        </w:tc>
        <w:tc>
          <w:tcPr>
            <w:tcW w:w="683" w:type="dxa"/>
            <w:tcBorders>
              <w:top w:val="single" w:color="000000" w:sz="4" w:space="0"/>
              <w:left w:val="single" w:color="000000" w:sz="4" w:space="0"/>
              <w:bottom w:val="single" w:color="000000" w:sz="4" w:space="0"/>
              <w:right w:val="single" w:color="000000" w:sz="4" w:space="0"/>
            </w:tcBorders>
          </w:tcPr>
          <w:p w14:paraId="5672F3C1">
            <w:pPr>
              <w:pStyle w:val="98"/>
              <w:ind w:left="-105" w:right="-105"/>
              <w:rPr>
                <w:rFonts w:eastAsia="宋体"/>
                <w:color w:val="auto"/>
                <w:sz w:val="21"/>
                <w:szCs w:val="21"/>
                <w:highlight w:val="none"/>
              </w:rPr>
            </w:pPr>
            <w:r>
              <w:rPr>
                <w:rFonts w:eastAsia="宋体"/>
                <w:color w:val="auto"/>
                <w:sz w:val="21"/>
                <w:szCs w:val="21"/>
                <w:highlight w:val="none"/>
              </w:rPr>
              <w:t>/</w:t>
            </w:r>
          </w:p>
        </w:tc>
        <w:tc>
          <w:tcPr>
            <w:tcW w:w="683" w:type="dxa"/>
            <w:tcBorders>
              <w:top w:val="single" w:color="000000" w:sz="4" w:space="0"/>
              <w:left w:val="single" w:color="000000" w:sz="4" w:space="0"/>
              <w:bottom w:val="single" w:color="000000" w:sz="4" w:space="0"/>
              <w:right w:val="single" w:color="000000" w:sz="4" w:space="0"/>
            </w:tcBorders>
          </w:tcPr>
          <w:p w14:paraId="532A138D">
            <w:pPr>
              <w:pStyle w:val="98"/>
              <w:ind w:left="-105" w:right="-105"/>
              <w:rPr>
                <w:rFonts w:eastAsia="宋体"/>
                <w:color w:val="auto"/>
                <w:sz w:val="21"/>
                <w:szCs w:val="21"/>
                <w:highlight w:val="none"/>
              </w:rPr>
            </w:pPr>
            <w:r>
              <w:rPr>
                <w:rFonts w:eastAsia="宋体"/>
                <w:color w:val="auto"/>
                <w:sz w:val="21"/>
                <w:szCs w:val="21"/>
                <w:highlight w:val="none"/>
              </w:rPr>
              <w:t>/</w:t>
            </w:r>
          </w:p>
        </w:tc>
        <w:tc>
          <w:tcPr>
            <w:tcW w:w="683" w:type="dxa"/>
            <w:tcBorders>
              <w:top w:val="single" w:color="000000" w:sz="4" w:space="0"/>
              <w:left w:val="single" w:color="000000" w:sz="4" w:space="0"/>
              <w:bottom w:val="single" w:color="000000" w:sz="4" w:space="0"/>
              <w:right w:val="single" w:color="000000" w:sz="4" w:space="0"/>
            </w:tcBorders>
          </w:tcPr>
          <w:p w14:paraId="1A3C82DC">
            <w:pPr>
              <w:pStyle w:val="98"/>
              <w:ind w:left="-105" w:right="-105"/>
              <w:rPr>
                <w:rFonts w:eastAsia="宋体"/>
                <w:color w:val="auto"/>
                <w:sz w:val="21"/>
                <w:szCs w:val="21"/>
                <w:highlight w:val="none"/>
              </w:rPr>
            </w:pPr>
            <w:r>
              <w:rPr>
                <w:rFonts w:eastAsia="宋体"/>
                <w:color w:val="auto"/>
                <w:sz w:val="21"/>
                <w:szCs w:val="21"/>
                <w:highlight w:val="none"/>
              </w:rPr>
              <w:t>/</w:t>
            </w:r>
          </w:p>
        </w:tc>
        <w:tc>
          <w:tcPr>
            <w:tcW w:w="684" w:type="dxa"/>
            <w:tcBorders>
              <w:top w:val="single" w:color="000000" w:sz="4" w:space="0"/>
              <w:left w:val="single" w:color="000000" w:sz="4" w:space="0"/>
              <w:bottom w:val="single" w:color="000000" w:sz="4" w:space="0"/>
              <w:right w:val="single" w:color="000000" w:sz="4" w:space="0"/>
            </w:tcBorders>
            <w:vAlign w:val="center"/>
          </w:tcPr>
          <w:p w14:paraId="64EBCDC5">
            <w:pPr>
              <w:pStyle w:val="98"/>
              <w:ind w:left="-105" w:right="-105"/>
              <w:rPr>
                <w:rFonts w:eastAsia="宋体"/>
                <w:color w:val="auto"/>
                <w:sz w:val="21"/>
                <w:szCs w:val="21"/>
                <w:highlight w:val="none"/>
              </w:rPr>
            </w:pPr>
            <w:r>
              <w:rPr>
                <w:rFonts w:eastAsia="宋体"/>
                <w:color w:val="auto"/>
                <w:sz w:val="21"/>
                <w:szCs w:val="21"/>
                <w:highlight w:val="none"/>
              </w:rPr>
              <w:t>/</w:t>
            </w:r>
          </w:p>
        </w:tc>
        <w:tc>
          <w:tcPr>
            <w:tcW w:w="686" w:type="dxa"/>
            <w:tcBorders>
              <w:top w:val="single" w:color="000000" w:sz="4" w:space="0"/>
              <w:left w:val="single" w:color="000000" w:sz="4" w:space="0"/>
              <w:bottom w:val="single" w:color="000000" w:sz="4" w:space="0"/>
              <w:right w:val="single" w:color="000000" w:sz="4" w:space="0"/>
            </w:tcBorders>
            <w:vAlign w:val="center"/>
          </w:tcPr>
          <w:p w14:paraId="0CE44C4C">
            <w:pPr>
              <w:pStyle w:val="98"/>
              <w:ind w:left="-105" w:right="-105"/>
              <w:rPr>
                <w:rFonts w:eastAsia="宋体"/>
                <w:color w:val="auto"/>
                <w:sz w:val="21"/>
                <w:szCs w:val="21"/>
                <w:highlight w:val="none"/>
              </w:rPr>
            </w:pPr>
            <w:r>
              <w:rPr>
                <w:rFonts w:eastAsia="宋体"/>
                <w:color w:val="auto"/>
                <w:sz w:val="21"/>
                <w:szCs w:val="21"/>
                <w:highlight w:val="none"/>
              </w:rPr>
              <w:t>4.2</w:t>
            </w:r>
          </w:p>
        </w:tc>
        <w:tc>
          <w:tcPr>
            <w:tcW w:w="684" w:type="dxa"/>
            <w:tcBorders>
              <w:top w:val="single" w:color="000000" w:sz="4" w:space="0"/>
              <w:left w:val="single" w:color="000000" w:sz="4" w:space="0"/>
              <w:bottom w:val="single" w:color="000000" w:sz="4" w:space="0"/>
              <w:right w:val="single" w:color="000000" w:sz="4" w:space="0"/>
            </w:tcBorders>
            <w:vAlign w:val="center"/>
          </w:tcPr>
          <w:p w14:paraId="53FA01A5">
            <w:pPr>
              <w:pStyle w:val="98"/>
              <w:ind w:left="-105" w:right="-105"/>
              <w:rPr>
                <w:rFonts w:eastAsia="宋体"/>
                <w:color w:val="auto"/>
                <w:sz w:val="21"/>
                <w:szCs w:val="21"/>
                <w:highlight w:val="none"/>
              </w:rPr>
            </w:pPr>
          </w:p>
        </w:tc>
        <w:tc>
          <w:tcPr>
            <w:tcW w:w="645" w:type="dxa"/>
            <w:tcBorders>
              <w:top w:val="single" w:color="000000" w:sz="4" w:space="0"/>
              <w:left w:val="single" w:color="000000" w:sz="4" w:space="0"/>
              <w:bottom w:val="single" w:color="000000" w:sz="4" w:space="0"/>
              <w:right w:val="single" w:color="000000" w:sz="4" w:space="0"/>
            </w:tcBorders>
            <w:vAlign w:val="center"/>
          </w:tcPr>
          <w:p w14:paraId="21BDAD3C">
            <w:pPr>
              <w:pStyle w:val="98"/>
              <w:ind w:left="-105" w:right="-105"/>
              <w:rPr>
                <w:rFonts w:eastAsia="宋体"/>
                <w:color w:val="auto"/>
                <w:sz w:val="21"/>
                <w:szCs w:val="21"/>
                <w:highlight w:val="none"/>
              </w:rPr>
            </w:pPr>
            <w:r>
              <w:rPr>
                <w:rFonts w:eastAsia="宋体"/>
                <w:color w:val="auto"/>
                <w:sz w:val="21"/>
                <w:szCs w:val="21"/>
                <w:highlight w:val="none"/>
              </w:rPr>
              <w:t>4.2</w:t>
            </w:r>
          </w:p>
        </w:tc>
        <w:tc>
          <w:tcPr>
            <w:tcW w:w="1134" w:type="dxa"/>
            <w:tcBorders>
              <w:top w:val="single" w:color="000000" w:sz="4" w:space="0"/>
              <w:left w:val="single" w:color="000000" w:sz="4" w:space="0"/>
              <w:bottom w:val="single" w:color="000000" w:sz="4" w:space="0"/>
              <w:right w:val="nil"/>
            </w:tcBorders>
            <w:vAlign w:val="center"/>
          </w:tcPr>
          <w:p w14:paraId="355167AA">
            <w:pPr>
              <w:pStyle w:val="98"/>
              <w:ind w:left="-105" w:right="-105"/>
              <w:rPr>
                <w:rFonts w:eastAsia="宋体"/>
                <w:color w:val="auto"/>
                <w:sz w:val="21"/>
                <w:szCs w:val="21"/>
                <w:highlight w:val="none"/>
              </w:rPr>
            </w:pPr>
            <w:r>
              <w:rPr>
                <w:rFonts w:eastAsia="宋体"/>
                <w:color w:val="auto"/>
                <w:sz w:val="21"/>
                <w:szCs w:val="21"/>
                <w:highlight w:val="none"/>
              </w:rPr>
              <w:t>21.2</w:t>
            </w:r>
          </w:p>
        </w:tc>
      </w:tr>
      <w:tr w14:paraId="3DF9B376">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108" w:type="dxa"/>
            <w:bottom w:w="0" w:type="dxa"/>
            <w:right w:w="108" w:type="dxa"/>
          </w:tblCellMar>
        </w:tblPrEx>
        <w:trPr>
          <w:trHeight w:val="210" w:hRule="atLeast"/>
          <w:jc w:val="center"/>
        </w:trPr>
        <w:tc>
          <w:tcPr>
            <w:tcW w:w="1116" w:type="dxa"/>
            <w:vMerge w:val="continue"/>
            <w:tcBorders>
              <w:top w:val="nil"/>
              <w:left w:val="nil"/>
              <w:bottom w:val="single" w:color="000000" w:sz="4" w:space="0"/>
              <w:right w:val="single" w:color="000000" w:sz="4" w:space="0"/>
            </w:tcBorders>
            <w:vAlign w:val="center"/>
          </w:tcPr>
          <w:p w14:paraId="61B8D137">
            <w:pPr>
              <w:ind w:left="-105" w:right="-105"/>
              <w:jc w:val="center"/>
              <w:rPr>
                <w:rFonts w:ascii="Times New Roman" w:hAnsi="Times New Roman" w:cs="Times New Roman"/>
                <w:color w:val="auto"/>
                <w:sz w:val="21"/>
                <w:szCs w:val="21"/>
                <w:highlight w:val="none"/>
              </w:rPr>
            </w:pPr>
          </w:p>
        </w:tc>
        <w:tc>
          <w:tcPr>
            <w:tcW w:w="742" w:type="dxa"/>
            <w:tcBorders>
              <w:top w:val="single" w:color="000000" w:sz="4" w:space="0"/>
              <w:left w:val="single" w:color="000000" w:sz="4" w:space="0"/>
              <w:bottom w:val="single" w:color="000000" w:sz="4" w:space="0"/>
              <w:right w:val="single" w:color="000000" w:sz="4" w:space="0"/>
            </w:tcBorders>
            <w:vAlign w:val="center"/>
          </w:tcPr>
          <w:p w14:paraId="66A5A026">
            <w:pPr>
              <w:pStyle w:val="98"/>
              <w:ind w:left="-105" w:right="-105"/>
              <w:rPr>
                <w:rFonts w:eastAsia="宋体"/>
                <w:color w:val="auto"/>
                <w:sz w:val="21"/>
                <w:szCs w:val="21"/>
                <w:highlight w:val="none"/>
              </w:rPr>
            </w:pPr>
            <w:r>
              <w:rPr>
                <w:rFonts w:eastAsia="宋体"/>
                <w:color w:val="auto"/>
                <w:sz w:val="21"/>
                <w:szCs w:val="21"/>
                <w:highlight w:val="none"/>
              </w:rPr>
              <w:t>D</w:t>
            </w:r>
          </w:p>
        </w:tc>
        <w:tc>
          <w:tcPr>
            <w:tcW w:w="683" w:type="dxa"/>
            <w:tcBorders>
              <w:top w:val="single" w:color="000000" w:sz="4" w:space="0"/>
              <w:left w:val="single" w:color="000000" w:sz="4" w:space="0"/>
              <w:bottom w:val="single" w:color="000000" w:sz="4" w:space="0"/>
              <w:right w:val="single" w:color="000000" w:sz="4" w:space="0"/>
            </w:tcBorders>
          </w:tcPr>
          <w:p w14:paraId="0FF88246">
            <w:pPr>
              <w:pStyle w:val="98"/>
              <w:ind w:left="-105" w:right="-105"/>
              <w:rPr>
                <w:rFonts w:eastAsia="宋体"/>
                <w:color w:val="auto"/>
                <w:sz w:val="21"/>
                <w:szCs w:val="21"/>
                <w:highlight w:val="none"/>
              </w:rPr>
            </w:pPr>
            <w:r>
              <w:rPr>
                <w:rFonts w:eastAsia="宋体"/>
                <w:color w:val="auto"/>
                <w:sz w:val="21"/>
                <w:szCs w:val="21"/>
                <w:highlight w:val="none"/>
              </w:rPr>
              <w:t>/</w:t>
            </w:r>
          </w:p>
        </w:tc>
        <w:tc>
          <w:tcPr>
            <w:tcW w:w="683" w:type="dxa"/>
            <w:tcBorders>
              <w:top w:val="single" w:color="000000" w:sz="4" w:space="0"/>
              <w:left w:val="single" w:color="000000" w:sz="4" w:space="0"/>
              <w:bottom w:val="single" w:color="000000" w:sz="4" w:space="0"/>
              <w:right w:val="single" w:color="000000" w:sz="4" w:space="0"/>
            </w:tcBorders>
          </w:tcPr>
          <w:p w14:paraId="3C92D589">
            <w:pPr>
              <w:pStyle w:val="98"/>
              <w:ind w:left="-105" w:right="-105"/>
              <w:rPr>
                <w:rFonts w:eastAsia="宋体"/>
                <w:color w:val="auto"/>
                <w:sz w:val="21"/>
                <w:szCs w:val="21"/>
                <w:highlight w:val="none"/>
              </w:rPr>
            </w:pPr>
            <w:r>
              <w:rPr>
                <w:rFonts w:eastAsia="宋体"/>
                <w:color w:val="auto"/>
                <w:sz w:val="21"/>
                <w:szCs w:val="21"/>
                <w:highlight w:val="none"/>
              </w:rPr>
              <w:t>/</w:t>
            </w:r>
          </w:p>
        </w:tc>
        <w:tc>
          <w:tcPr>
            <w:tcW w:w="686" w:type="dxa"/>
            <w:tcBorders>
              <w:top w:val="single" w:color="000000" w:sz="4" w:space="0"/>
              <w:left w:val="single" w:color="000000" w:sz="4" w:space="0"/>
              <w:bottom w:val="single" w:color="000000" w:sz="4" w:space="0"/>
              <w:right w:val="single" w:color="000000" w:sz="4" w:space="0"/>
            </w:tcBorders>
          </w:tcPr>
          <w:p w14:paraId="7B4F2F2C">
            <w:pPr>
              <w:pStyle w:val="98"/>
              <w:ind w:left="-105" w:right="-105"/>
              <w:rPr>
                <w:rFonts w:eastAsia="宋体"/>
                <w:color w:val="auto"/>
                <w:sz w:val="21"/>
                <w:szCs w:val="21"/>
                <w:highlight w:val="none"/>
              </w:rPr>
            </w:pPr>
            <w:r>
              <w:rPr>
                <w:rFonts w:eastAsia="宋体"/>
                <w:color w:val="auto"/>
                <w:sz w:val="21"/>
                <w:szCs w:val="21"/>
                <w:highlight w:val="none"/>
              </w:rPr>
              <w:t>/</w:t>
            </w:r>
          </w:p>
        </w:tc>
        <w:tc>
          <w:tcPr>
            <w:tcW w:w="683" w:type="dxa"/>
            <w:tcBorders>
              <w:top w:val="single" w:color="000000" w:sz="4" w:space="0"/>
              <w:left w:val="single" w:color="000000" w:sz="4" w:space="0"/>
              <w:bottom w:val="single" w:color="000000" w:sz="4" w:space="0"/>
              <w:right w:val="single" w:color="000000" w:sz="4" w:space="0"/>
            </w:tcBorders>
          </w:tcPr>
          <w:p w14:paraId="4ED7B747">
            <w:pPr>
              <w:pStyle w:val="98"/>
              <w:ind w:left="-105" w:right="-105"/>
              <w:rPr>
                <w:rFonts w:eastAsia="宋体"/>
                <w:color w:val="auto"/>
                <w:sz w:val="21"/>
                <w:szCs w:val="21"/>
                <w:highlight w:val="none"/>
              </w:rPr>
            </w:pPr>
            <w:r>
              <w:rPr>
                <w:rFonts w:eastAsia="宋体"/>
                <w:color w:val="auto"/>
                <w:sz w:val="21"/>
                <w:szCs w:val="21"/>
                <w:highlight w:val="none"/>
              </w:rPr>
              <w:t>/</w:t>
            </w:r>
          </w:p>
        </w:tc>
        <w:tc>
          <w:tcPr>
            <w:tcW w:w="683" w:type="dxa"/>
            <w:tcBorders>
              <w:top w:val="single" w:color="000000" w:sz="4" w:space="0"/>
              <w:left w:val="single" w:color="000000" w:sz="4" w:space="0"/>
              <w:bottom w:val="single" w:color="000000" w:sz="4" w:space="0"/>
              <w:right w:val="single" w:color="000000" w:sz="4" w:space="0"/>
            </w:tcBorders>
            <w:vAlign w:val="center"/>
          </w:tcPr>
          <w:p w14:paraId="0FE498FD">
            <w:pPr>
              <w:pStyle w:val="98"/>
              <w:ind w:left="-105" w:right="-105"/>
              <w:rPr>
                <w:rFonts w:eastAsia="宋体"/>
                <w:color w:val="auto"/>
                <w:sz w:val="21"/>
                <w:szCs w:val="21"/>
                <w:highlight w:val="none"/>
              </w:rPr>
            </w:pPr>
            <w:r>
              <w:rPr>
                <w:rFonts w:eastAsia="宋体"/>
                <w:color w:val="auto"/>
                <w:sz w:val="21"/>
                <w:szCs w:val="21"/>
                <w:highlight w:val="none"/>
              </w:rPr>
              <w:t>13.1</w:t>
            </w:r>
          </w:p>
        </w:tc>
        <w:tc>
          <w:tcPr>
            <w:tcW w:w="683" w:type="dxa"/>
            <w:tcBorders>
              <w:top w:val="single" w:color="000000" w:sz="4" w:space="0"/>
              <w:left w:val="single" w:color="000000" w:sz="4" w:space="0"/>
              <w:bottom w:val="single" w:color="000000" w:sz="4" w:space="0"/>
              <w:right w:val="single" w:color="000000" w:sz="4" w:space="0"/>
            </w:tcBorders>
            <w:vAlign w:val="center"/>
          </w:tcPr>
          <w:p w14:paraId="1974C59F">
            <w:pPr>
              <w:pStyle w:val="98"/>
              <w:ind w:left="-105" w:right="-105"/>
              <w:rPr>
                <w:rFonts w:eastAsia="宋体"/>
                <w:color w:val="auto"/>
                <w:sz w:val="21"/>
                <w:szCs w:val="21"/>
                <w:highlight w:val="none"/>
              </w:rPr>
            </w:pPr>
            <w:r>
              <w:rPr>
                <w:rFonts w:eastAsia="宋体"/>
                <w:color w:val="auto"/>
                <w:sz w:val="21"/>
                <w:szCs w:val="21"/>
                <w:highlight w:val="none"/>
              </w:rPr>
              <w:t>8.8</w:t>
            </w:r>
          </w:p>
        </w:tc>
        <w:tc>
          <w:tcPr>
            <w:tcW w:w="685" w:type="dxa"/>
            <w:tcBorders>
              <w:top w:val="single" w:color="000000" w:sz="4" w:space="0"/>
              <w:left w:val="single" w:color="000000" w:sz="4" w:space="0"/>
              <w:bottom w:val="single" w:color="000000" w:sz="4" w:space="0"/>
              <w:right w:val="single" w:color="000000" w:sz="4" w:space="0"/>
            </w:tcBorders>
            <w:vAlign w:val="center"/>
          </w:tcPr>
          <w:p w14:paraId="0F5542A0">
            <w:pPr>
              <w:pStyle w:val="98"/>
              <w:ind w:left="-105" w:right="-105"/>
              <w:rPr>
                <w:rFonts w:eastAsia="宋体"/>
                <w:color w:val="auto"/>
                <w:sz w:val="21"/>
                <w:szCs w:val="21"/>
                <w:highlight w:val="none"/>
              </w:rPr>
            </w:pPr>
            <w:r>
              <w:rPr>
                <w:rFonts w:eastAsia="宋体"/>
                <w:color w:val="auto"/>
                <w:sz w:val="21"/>
                <w:szCs w:val="21"/>
                <w:highlight w:val="none"/>
              </w:rPr>
              <w:t>13.3</w:t>
            </w:r>
          </w:p>
        </w:tc>
        <w:tc>
          <w:tcPr>
            <w:tcW w:w="683" w:type="dxa"/>
            <w:tcBorders>
              <w:top w:val="single" w:color="000000" w:sz="4" w:space="0"/>
              <w:left w:val="single" w:color="000000" w:sz="4" w:space="0"/>
              <w:bottom w:val="single" w:color="000000" w:sz="4" w:space="0"/>
              <w:right w:val="single" w:color="000000" w:sz="4" w:space="0"/>
            </w:tcBorders>
            <w:vAlign w:val="center"/>
          </w:tcPr>
          <w:p w14:paraId="2641A50D">
            <w:pPr>
              <w:pStyle w:val="98"/>
              <w:ind w:left="-105" w:right="-105"/>
              <w:rPr>
                <w:rFonts w:eastAsia="宋体"/>
                <w:color w:val="auto"/>
                <w:sz w:val="21"/>
                <w:szCs w:val="21"/>
                <w:highlight w:val="none"/>
              </w:rPr>
            </w:pPr>
            <w:r>
              <w:rPr>
                <w:rFonts w:eastAsia="宋体"/>
                <w:color w:val="auto"/>
                <w:sz w:val="21"/>
                <w:szCs w:val="21"/>
                <w:highlight w:val="none"/>
              </w:rPr>
              <w:t>13.1</w:t>
            </w:r>
          </w:p>
        </w:tc>
        <w:tc>
          <w:tcPr>
            <w:tcW w:w="683" w:type="dxa"/>
            <w:tcBorders>
              <w:top w:val="single" w:color="000000" w:sz="4" w:space="0"/>
              <w:left w:val="single" w:color="000000" w:sz="4" w:space="0"/>
              <w:bottom w:val="single" w:color="000000" w:sz="4" w:space="0"/>
              <w:right w:val="single" w:color="000000" w:sz="4" w:space="0"/>
            </w:tcBorders>
          </w:tcPr>
          <w:p w14:paraId="2873D0BF">
            <w:pPr>
              <w:pStyle w:val="98"/>
              <w:ind w:left="-105" w:right="-105"/>
              <w:rPr>
                <w:rFonts w:eastAsia="宋体"/>
                <w:color w:val="auto"/>
                <w:sz w:val="21"/>
                <w:szCs w:val="21"/>
                <w:highlight w:val="none"/>
              </w:rPr>
            </w:pPr>
            <w:r>
              <w:rPr>
                <w:rFonts w:eastAsia="宋体"/>
                <w:color w:val="auto"/>
                <w:sz w:val="21"/>
                <w:szCs w:val="21"/>
                <w:highlight w:val="none"/>
              </w:rPr>
              <w:t>/</w:t>
            </w:r>
          </w:p>
        </w:tc>
        <w:tc>
          <w:tcPr>
            <w:tcW w:w="683" w:type="dxa"/>
            <w:tcBorders>
              <w:top w:val="single" w:color="000000" w:sz="4" w:space="0"/>
              <w:left w:val="single" w:color="000000" w:sz="4" w:space="0"/>
              <w:bottom w:val="single" w:color="000000" w:sz="4" w:space="0"/>
              <w:right w:val="single" w:color="000000" w:sz="4" w:space="0"/>
            </w:tcBorders>
          </w:tcPr>
          <w:p w14:paraId="54932C66">
            <w:pPr>
              <w:pStyle w:val="98"/>
              <w:ind w:left="-105" w:right="-105"/>
              <w:rPr>
                <w:rFonts w:eastAsia="宋体"/>
                <w:color w:val="auto"/>
                <w:sz w:val="21"/>
                <w:szCs w:val="21"/>
                <w:highlight w:val="none"/>
              </w:rPr>
            </w:pPr>
            <w:r>
              <w:rPr>
                <w:rFonts w:eastAsia="宋体"/>
                <w:color w:val="auto"/>
                <w:sz w:val="21"/>
                <w:szCs w:val="21"/>
                <w:highlight w:val="none"/>
              </w:rPr>
              <w:t>/</w:t>
            </w:r>
          </w:p>
        </w:tc>
        <w:tc>
          <w:tcPr>
            <w:tcW w:w="683" w:type="dxa"/>
            <w:tcBorders>
              <w:top w:val="single" w:color="000000" w:sz="4" w:space="0"/>
              <w:left w:val="single" w:color="000000" w:sz="4" w:space="0"/>
              <w:bottom w:val="single" w:color="000000" w:sz="4" w:space="0"/>
              <w:right w:val="single" w:color="000000" w:sz="4" w:space="0"/>
            </w:tcBorders>
          </w:tcPr>
          <w:p w14:paraId="108157D1">
            <w:pPr>
              <w:pStyle w:val="98"/>
              <w:ind w:left="-105" w:right="-105"/>
              <w:rPr>
                <w:rFonts w:eastAsia="宋体"/>
                <w:color w:val="auto"/>
                <w:sz w:val="21"/>
                <w:szCs w:val="21"/>
                <w:highlight w:val="none"/>
              </w:rPr>
            </w:pPr>
            <w:r>
              <w:rPr>
                <w:rFonts w:eastAsia="宋体"/>
                <w:color w:val="auto"/>
                <w:sz w:val="21"/>
                <w:szCs w:val="21"/>
                <w:highlight w:val="none"/>
              </w:rPr>
              <w:t>/</w:t>
            </w:r>
          </w:p>
        </w:tc>
        <w:tc>
          <w:tcPr>
            <w:tcW w:w="683" w:type="dxa"/>
            <w:tcBorders>
              <w:top w:val="single" w:color="000000" w:sz="4" w:space="0"/>
              <w:left w:val="single" w:color="000000" w:sz="4" w:space="0"/>
              <w:bottom w:val="single" w:color="000000" w:sz="4" w:space="0"/>
              <w:right w:val="single" w:color="000000" w:sz="4" w:space="0"/>
            </w:tcBorders>
          </w:tcPr>
          <w:p w14:paraId="22B4528D">
            <w:pPr>
              <w:pStyle w:val="98"/>
              <w:ind w:left="-105" w:right="-105"/>
              <w:rPr>
                <w:rFonts w:eastAsia="宋体"/>
                <w:color w:val="auto"/>
                <w:sz w:val="21"/>
                <w:szCs w:val="21"/>
                <w:highlight w:val="none"/>
              </w:rPr>
            </w:pPr>
            <w:r>
              <w:rPr>
                <w:rFonts w:eastAsia="宋体"/>
                <w:color w:val="auto"/>
                <w:sz w:val="21"/>
                <w:szCs w:val="21"/>
                <w:highlight w:val="none"/>
              </w:rPr>
              <w:t>/</w:t>
            </w:r>
          </w:p>
        </w:tc>
        <w:tc>
          <w:tcPr>
            <w:tcW w:w="684" w:type="dxa"/>
            <w:tcBorders>
              <w:top w:val="single" w:color="000000" w:sz="4" w:space="0"/>
              <w:left w:val="single" w:color="000000" w:sz="4" w:space="0"/>
              <w:bottom w:val="single" w:color="000000" w:sz="4" w:space="0"/>
              <w:right w:val="single" w:color="000000" w:sz="4" w:space="0"/>
            </w:tcBorders>
            <w:vAlign w:val="center"/>
          </w:tcPr>
          <w:p w14:paraId="17B867A7">
            <w:pPr>
              <w:pStyle w:val="98"/>
              <w:ind w:left="-105" w:right="-105"/>
              <w:rPr>
                <w:rFonts w:eastAsia="宋体"/>
                <w:color w:val="auto"/>
                <w:sz w:val="21"/>
                <w:szCs w:val="21"/>
                <w:highlight w:val="none"/>
              </w:rPr>
            </w:pPr>
            <w:r>
              <w:rPr>
                <w:rFonts w:eastAsia="宋体"/>
                <w:color w:val="auto"/>
                <w:sz w:val="21"/>
                <w:szCs w:val="21"/>
                <w:highlight w:val="none"/>
              </w:rPr>
              <w:t>2.2</w:t>
            </w:r>
          </w:p>
        </w:tc>
        <w:tc>
          <w:tcPr>
            <w:tcW w:w="686" w:type="dxa"/>
            <w:tcBorders>
              <w:top w:val="single" w:color="000000" w:sz="4" w:space="0"/>
              <w:left w:val="single" w:color="000000" w:sz="4" w:space="0"/>
              <w:bottom w:val="single" w:color="000000" w:sz="4" w:space="0"/>
              <w:right w:val="single" w:color="000000" w:sz="4" w:space="0"/>
            </w:tcBorders>
            <w:vAlign w:val="center"/>
          </w:tcPr>
          <w:p w14:paraId="17E43136">
            <w:pPr>
              <w:pStyle w:val="98"/>
              <w:ind w:left="-105" w:right="-105"/>
              <w:rPr>
                <w:rFonts w:eastAsia="宋体"/>
                <w:color w:val="auto"/>
                <w:sz w:val="21"/>
                <w:szCs w:val="21"/>
                <w:highlight w:val="none"/>
              </w:rPr>
            </w:pPr>
            <w:r>
              <w:rPr>
                <w:rFonts w:eastAsia="宋体"/>
                <w:color w:val="auto"/>
                <w:sz w:val="21"/>
                <w:szCs w:val="21"/>
                <w:highlight w:val="none"/>
              </w:rPr>
              <w:t>10.9</w:t>
            </w:r>
          </w:p>
        </w:tc>
        <w:tc>
          <w:tcPr>
            <w:tcW w:w="684" w:type="dxa"/>
            <w:tcBorders>
              <w:top w:val="single" w:color="000000" w:sz="4" w:space="0"/>
              <w:left w:val="single" w:color="000000" w:sz="4" w:space="0"/>
              <w:bottom w:val="single" w:color="000000" w:sz="4" w:space="0"/>
              <w:right w:val="single" w:color="000000" w:sz="4" w:space="0"/>
            </w:tcBorders>
            <w:vAlign w:val="center"/>
          </w:tcPr>
          <w:p w14:paraId="12EF20D3">
            <w:pPr>
              <w:pStyle w:val="98"/>
              <w:ind w:left="-105" w:right="-105"/>
              <w:rPr>
                <w:rFonts w:eastAsia="宋体"/>
                <w:color w:val="auto"/>
                <w:sz w:val="21"/>
                <w:szCs w:val="21"/>
                <w:highlight w:val="none"/>
              </w:rPr>
            </w:pPr>
            <w:r>
              <w:rPr>
                <w:rFonts w:eastAsia="宋体"/>
                <w:color w:val="auto"/>
                <w:sz w:val="21"/>
                <w:szCs w:val="21"/>
                <w:highlight w:val="none"/>
              </w:rPr>
              <w:t>10.9</w:t>
            </w:r>
          </w:p>
        </w:tc>
        <w:tc>
          <w:tcPr>
            <w:tcW w:w="645" w:type="dxa"/>
            <w:tcBorders>
              <w:top w:val="single" w:color="000000" w:sz="4" w:space="0"/>
              <w:left w:val="single" w:color="000000" w:sz="4" w:space="0"/>
              <w:bottom w:val="single" w:color="000000" w:sz="4" w:space="0"/>
              <w:right w:val="single" w:color="000000" w:sz="4" w:space="0"/>
            </w:tcBorders>
            <w:vAlign w:val="center"/>
          </w:tcPr>
          <w:p w14:paraId="09678B19">
            <w:pPr>
              <w:pStyle w:val="98"/>
              <w:ind w:left="-105" w:right="-105"/>
              <w:rPr>
                <w:rFonts w:eastAsia="宋体"/>
                <w:color w:val="auto"/>
                <w:sz w:val="21"/>
                <w:szCs w:val="21"/>
                <w:highlight w:val="none"/>
              </w:rPr>
            </w:pPr>
            <w:r>
              <w:rPr>
                <w:rFonts w:eastAsia="宋体"/>
                <w:color w:val="auto"/>
                <w:sz w:val="21"/>
                <w:szCs w:val="21"/>
                <w:highlight w:val="none"/>
              </w:rPr>
              <w:t>6.5</w:t>
            </w:r>
          </w:p>
        </w:tc>
        <w:tc>
          <w:tcPr>
            <w:tcW w:w="1134" w:type="dxa"/>
            <w:tcBorders>
              <w:top w:val="single" w:color="000000" w:sz="4" w:space="0"/>
              <w:left w:val="single" w:color="000000" w:sz="4" w:space="0"/>
              <w:bottom w:val="single" w:color="000000" w:sz="4" w:space="0"/>
              <w:right w:val="nil"/>
            </w:tcBorders>
            <w:vAlign w:val="center"/>
          </w:tcPr>
          <w:p w14:paraId="35276540">
            <w:pPr>
              <w:pStyle w:val="98"/>
              <w:ind w:left="-105" w:right="-105"/>
              <w:rPr>
                <w:rFonts w:eastAsia="宋体"/>
                <w:color w:val="auto"/>
                <w:sz w:val="21"/>
                <w:szCs w:val="21"/>
                <w:highlight w:val="none"/>
              </w:rPr>
            </w:pPr>
            <w:r>
              <w:rPr>
                <w:rFonts w:eastAsia="宋体"/>
                <w:color w:val="auto"/>
                <w:sz w:val="21"/>
                <w:szCs w:val="21"/>
                <w:highlight w:val="none"/>
              </w:rPr>
              <w:t>78.8</w:t>
            </w:r>
          </w:p>
        </w:tc>
      </w:tr>
      <w:tr w14:paraId="0567FDE2">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108" w:type="dxa"/>
            <w:bottom w:w="0" w:type="dxa"/>
            <w:right w:w="108" w:type="dxa"/>
          </w:tblCellMar>
        </w:tblPrEx>
        <w:trPr>
          <w:trHeight w:val="210" w:hRule="atLeast"/>
          <w:jc w:val="center"/>
        </w:trPr>
        <w:tc>
          <w:tcPr>
            <w:tcW w:w="1116" w:type="dxa"/>
            <w:vMerge w:val="continue"/>
            <w:tcBorders>
              <w:top w:val="nil"/>
              <w:left w:val="nil"/>
              <w:bottom w:val="single" w:color="000000" w:sz="4" w:space="0"/>
              <w:right w:val="single" w:color="000000" w:sz="4" w:space="0"/>
            </w:tcBorders>
            <w:vAlign w:val="center"/>
          </w:tcPr>
          <w:p w14:paraId="389194DC">
            <w:pPr>
              <w:ind w:left="-105" w:right="-105"/>
              <w:jc w:val="center"/>
              <w:rPr>
                <w:rFonts w:ascii="Times New Roman" w:hAnsi="Times New Roman" w:cs="Times New Roman"/>
                <w:color w:val="auto"/>
                <w:sz w:val="21"/>
                <w:szCs w:val="21"/>
                <w:highlight w:val="none"/>
              </w:rPr>
            </w:pPr>
          </w:p>
        </w:tc>
        <w:tc>
          <w:tcPr>
            <w:tcW w:w="742" w:type="dxa"/>
            <w:tcBorders>
              <w:top w:val="single" w:color="000000" w:sz="4" w:space="0"/>
              <w:left w:val="single" w:color="000000" w:sz="4" w:space="0"/>
              <w:bottom w:val="single" w:color="000000" w:sz="4" w:space="0"/>
              <w:right w:val="single" w:color="000000" w:sz="4" w:space="0"/>
            </w:tcBorders>
            <w:vAlign w:val="center"/>
          </w:tcPr>
          <w:p w14:paraId="24D8DA9C">
            <w:pPr>
              <w:pStyle w:val="98"/>
              <w:ind w:left="-105" w:right="-105"/>
              <w:rPr>
                <w:rFonts w:eastAsia="宋体"/>
                <w:color w:val="auto"/>
                <w:sz w:val="21"/>
                <w:szCs w:val="21"/>
                <w:highlight w:val="none"/>
              </w:rPr>
            </w:pPr>
            <w:r>
              <w:rPr>
                <w:rFonts w:eastAsia="宋体"/>
                <w:color w:val="auto"/>
                <w:sz w:val="21"/>
                <w:szCs w:val="21"/>
                <w:highlight w:val="none"/>
              </w:rPr>
              <w:t>E</w:t>
            </w:r>
          </w:p>
        </w:tc>
        <w:tc>
          <w:tcPr>
            <w:tcW w:w="683" w:type="dxa"/>
            <w:tcBorders>
              <w:top w:val="single" w:color="000000" w:sz="4" w:space="0"/>
              <w:left w:val="single" w:color="000000" w:sz="4" w:space="0"/>
              <w:bottom w:val="single" w:color="000000" w:sz="4" w:space="0"/>
              <w:right w:val="single" w:color="000000" w:sz="4" w:space="0"/>
            </w:tcBorders>
          </w:tcPr>
          <w:p w14:paraId="7CEAAAC4">
            <w:pPr>
              <w:pStyle w:val="98"/>
              <w:ind w:left="-105" w:right="-105"/>
              <w:rPr>
                <w:rFonts w:eastAsia="宋体"/>
                <w:color w:val="auto"/>
                <w:sz w:val="21"/>
                <w:szCs w:val="21"/>
                <w:highlight w:val="none"/>
              </w:rPr>
            </w:pPr>
            <w:r>
              <w:rPr>
                <w:rFonts w:eastAsia="宋体"/>
                <w:color w:val="auto"/>
                <w:sz w:val="21"/>
                <w:szCs w:val="21"/>
                <w:highlight w:val="none"/>
              </w:rPr>
              <w:t>/</w:t>
            </w:r>
          </w:p>
        </w:tc>
        <w:tc>
          <w:tcPr>
            <w:tcW w:w="683" w:type="dxa"/>
            <w:tcBorders>
              <w:top w:val="single" w:color="000000" w:sz="4" w:space="0"/>
              <w:left w:val="single" w:color="000000" w:sz="4" w:space="0"/>
              <w:bottom w:val="single" w:color="000000" w:sz="4" w:space="0"/>
              <w:right w:val="single" w:color="000000" w:sz="4" w:space="0"/>
            </w:tcBorders>
          </w:tcPr>
          <w:p w14:paraId="45C87761">
            <w:pPr>
              <w:pStyle w:val="98"/>
              <w:ind w:left="-105" w:right="-105"/>
              <w:rPr>
                <w:rFonts w:eastAsia="宋体"/>
                <w:color w:val="auto"/>
                <w:sz w:val="21"/>
                <w:szCs w:val="21"/>
                <w:highlight w:val="none"/>
              </w:rPr>
            </w:pPr>
            <w:r>
              <w:rPr>
                <w:rFonts w:eastAsia="宋体"/>
                <w:color w:val="auto"/>
                <w:sz w:val="21"/>
                <w:szCs w:val="21"/>
                <w:highlight w:val="none"/>
              </w:rPr>
              <w:t>/</w:t>
            </w:r>
          </w:p>
        </w:tc>
        <w:tc>
          <w:tcPr>
            <w:tcW w:w="686" w:type="dxa"/>
            <w:tcBorders>
              <w:top w:val="single" w:color="000000" w:sz="4" w:space="0"/>
              <w:left w:val="single" w:color="000000" w:sz="4" w:space="0"/>
              <w:bottom w:val="single" w:color="000000" w:sz="4" w:space="0"/>
              <w:right w:val="single" w:color="000000" w:sz="4" w:space="0"/>
            </w:tcBorders>
          </w:tcPr>
          <w:p w14:paraId="26C3617E">
            <w:pPr>
              <w:pStyle w:val="98"/>
              <w:ind w:left="-105" w:right="-105"/>
              <w:rPr>
                <w:rFonts w:eastAsia="宋体"/>
                <w:color w:val="auto"/>
                <w:sz w:val="21"/>
                <w:szCs w:val="21"/>
                <w:highlight w:val="none"/>
              </w:rPr>
            </w:pPr>
            <w:r>
              <w:rPr>
                <w:rFonts w:eastAsia="宋体"/>
                <w:color w:val="auto"/>
                <w:sz w:val="21"/>
                <w:szCs w:val="21"/>
                <w:highlight w:val="none"/>
              </w:rPr>
              <w:t>/</w:t>
            </w:r>
          </w:p>
        </w:tc>
        <w:tc>
          <w:tcPr>
            <w:tcW w:w="683" w:type="dxa"/>
            <w:tcBorders>
              <w:top w:val="single" w:color="000000" w:sz="4" w:space="0"/>
              <w:left w:val="single" w:color="000000" w:sz="4" w:space="0"/>
              <w:bottom w:val="single" w:color="000000" w:sz="4" w:space="0"/>
              <w:right w:val="single" w:color="000000" w:sz="4" w:space="0"/>
            </w:tcBorders>
          </w:tcPr>
          <w:p w14:paraId="2D8F44E1">
            <w:pPr>
              <w:pStyle w:val="98"/>
              <w:ind w:left="-105" w:right="-105"/>
              <w:rPr>
                <w:rFonts w:eastAsia="宋体"/>
                <w:color w:val="auto"/>
                <w:sz w:val="21"/>
                <w:szCs w:val="21"/>
                <w:highlight w:val="none"/>
              </w:rPr>
            </w:pPr>
            <w:r>
              <w:rPr>
                <w:rFonts w:eastAsia="宋体"/>
                <w:color w:val="auto"/>
                <w:sz w:val="21"/>
                <w:szCs w:val="21"/>
                <w:highlight w:val="none"/>
              </w:rPr>
              <w:t>/</w:t>
            </w:r>
          </w:p>
        </w:tc>
        <w:tc>
          <w:tcPr>
            <w:tcW w:w="683" w:type="dxa"/>
            <w:tcBorders>
              <w:top w:val="single" w:color="000000" w:sz="4" w:space="0"/>
              <w:left w:val="single" w:color="000000" w:sz="4" w:space="0"/>
              <w:bottom w:val="single" w:color="000000" w:sz="4" w:space="0"/>
              <w:right w:val="single" w:color="000000" w:sz="4" w:space="0"/>
            </w:tcBorders>
          </w:tcPr>
          <w:p w14:paraId="5FC6CF09">
            <w:pPr>
              <w:pStyle w:val="98"/>
              <w:ind w:left="-105" w:right="-105"/>
              <w:rPr>
                <w:rFonts w:eastAsia="宋体"/>
                <w:color w:val="auto"/>
                <w:sz w:val="21"/>
                <w:szCs w:val="21"/>
                <w:highlight w:val="none"/>
              </w:rPr>
            </w:pPr>
            <w:r>
              <w:rPr>
                <w:rFonts w:eastAsia="宋体"/>
                <w:color w:val="auto"/>
                <w:sz w:val="21"/>
                <w:szCs w:val="21"/>
                <w:highlight w:val="none"/>
              </w:rPr>
              <w:t>/</w:t>
            </w:r>
          </w:p>
        </w:tc>
        <w:tc>
          <w:tcPr>
            <w:tcW w:w="683" w:type="dxa"/>
            <w:tcBorders>
              <w:top w:val="single" w:color="000000" w:sz="4" w:space="0"/>
              <w:left w:val="single" w:color="000000" w:sz="4" w:space="0"/>
              <w:bottom w:val="single" w:color="000000" w:sz="4" w:space="0"/>
              <w:right w:val="single" w:color="000000" w:sz="4" w:space="0"/>
            </w:tcBorders>
          </w:tcPr>
          <w:p w14:paraId="2F99A415">
            <w:pPr>
              <w:pStyle w:val="98"/>
              <w:ind w:left="-105" w:right="-105"/>
              <w:rPr>
                <w:rFonts w:eastAsia="宋体"/>
                <w:color w:val="auto"/>
                <w:sz w:val="21"/>
                <w:szCs w:val="21"/>
                <w:highlight w:val="none"/>
              </w:rPr>
            </w:pPr>
            <w:r>
              <w:rPr>
                <w:rFonts w:eastAsia="宋体"/>
                <w:color w:val="auto"/>
                <w:sz w:val="21"/>
                <w:szCs w:val="21"/>
                <w:highlight w:val="none"/>
              </w:rPr>
              <w:t>/</w:t>
            </w:r>
          </w:p>
        </w:tc>
        <w:tc>
          <w:tcPr>
            <w:tcW w:w="685" w:type="dxa"/>
            <w:tcBorders>
              <w:top w:val="single" w:color="000000" w:sz="4" w:space="0"/>
              <w:left w:val="single" w:color="000000" w:sz="4" w:space="0"/>
              <w:bottom w:val="single" w:color="000000" w:sz="4" w:space="0"/>
              <w:right w:val="single" w:color="000000" w:sz="4" w:space="0"/>
            </w:tcBorders>
          </w:tcPr>
          <w:p w14:paraId="3AF4B80D">
            <w:pPr>
              <w:pStyle w:val="98"/>
              <w:ind w:left="-105" w:right="-105"/>
              <w:rPr>
                <w:rFonts w:eastAsia="宋体"/>
                <w:color w:val="auto"/>
                <w:sz w:val="21"/>
                <w:szCs w:val="21"/>
                <w:highlight w:val="none"/>
              </w:rPr>
            </w:pPr>
            <w:r>
              <w:rPr>
                <w:rFonts w:eastAsia="宋体"/>
                <w:color w:val="auto"/>
                <w:sz w:val="21"/>
                <w:szCs w:val="21"/>
                <w:highlight w:val="none"/>
              </w:rPr>
              <w:t>/</w:t>
            </w:r>
          </w:p>
        </w:tc>
        <w:tc>
          <w:tcPr>
            <w:tcW w:w="683" w:type="dxa"/>
            <w:tcBorders>
              <w:top w:val="single" w:color="000000" w:sz="4" w:space="0"/>
              <w:left w:val="single" w:color="000000" w:sz="4" w:space="0"/>
              <w:bottom w:val="single" w:color="000000" w:sz="4" w:space="0"/>
              <w:right w:val="single" w:color="000000" w:sz="4" w:space="0"/>
            </w:tcBorders>
          </w:tcPr>
          <w:p w14:paraId="2E5FF195">
            <w:pPr>
              <w:pStyle w:val="98"/>
              <w:ind w:left="-105" w:right="-105"/>
              <w:rPr>
                <w:rFonts w:eastAsia="宋体"/>
                <w:color w:val="auto"/>
                <w:sz w:val="21"/>
                <w:szCs w:val="21"/>
                <w:highlight w:val="none"/>
              </w:rPr>
            </w:pPr>
            <w:r>
              <w:rPr>
                <w:rFonts w:eastAsia="宋体"/>
                <w:color w:val="auto"/>
                <w:sz w:val="21"/>
                <w:szCs w:val="21"/>
                <w:highlight w:val="none"/>
              </w:rPr>
              <w:t>/</w:t>
            </w:r>
          </w:p>
        </w:tc>
        <w:tc>
          <w:tcPr>
            <w:tcW w:w="683" w:type="dxa"/>
            <w:tcBorders>
              <w:top w:val="single" w:color="000000" w:sz="4" w:space="0"/>
              <w:left w:val="single" w:color="000000" w:sz="4" w:space="0"/>
              <w:bottom w:val="single" w:color="000000" w:sz="4" w:space="0"/>
              <w:right w:val="single" w:color="000000" w:sz="4" w:space="0"/>
            </w:tcBorders>
          </w:tcPr>
          <w:p w14:paraId="42A5DEB8">
            <w:pPr>
              <w:pStyle w:val="98"/>
              <w:ind w:left="-105" w:right="-105"/>
              <w:rPr>
                <w:rFonts w:eastAsia="宋体"/>
                <w:color w:val="auto"/>
                <w:sz w:val="21"/>
                <w:szCs w:val="21"/>
                <w:highlight w:val="none"/>
              </w:rPr>
            </w:pPr>
            <w:r>
              <w:rPr>
                <w:rFonts w:eastAsia="宋体"/>
                <w:color w:val="auto"/>
                <w:sz w:val="21"/>
                <w:szCs w:val="21"/>
                <w:highlight w:val="none"/>
              </w:rPr>
              <w:t>/</w:t>
            </w:r>
          </w:p>
        </w:tc>
        <w:tc>
          <w:tcPr>
            <w:tcW w:w="683" w:type="dxa"/>
            <w:tcBorders>
              <w:top w:val="single" w:color="000000" w:sz="4" w:space="0"/>
              <w:left w:val="single" w:color="000000" w:sz="4" w:space="0"/>
              <w:bottom w:val="single" w:color="000000" w:sz="4" w:space="0"/>
              <w:right w:val="single" w:color="000000" w:sz="4" w:space="0"/>
            </w:tcBorders>
          </w:tcPr>
          <w:p w14:paraId="27DA3E68">
            <w:pPr>
              <w:pStyle w:val="98"/>
              <w:ind w:left="-105" w:right="-105"/>
              <w:rPr>
                <w:rFonts w:eastAsia="宋体"/>
                <w:color w:val="auto"/>
                <w:sz w:val="21"/>
                <w:szCs w:val="21"/>
                <w:highlight w:val="none"/>
              </w:rPr>
            </w:pPr>
            <w:r>
              <w:rPr>
                <w:rFonts w:eastAsia="宋体"/>
                <w:color w:val="auto"/>
                <w:sz w:val="21"/>
                <w:szCs w:val="21"/>
                <w:highlight w:val="none"/>
              </w:rPr>
              <w:t>/</w:t>
            </w:r>
          </w:p>
        </w:tc>
        <w:tc>
          <w:tcPr>
            <w:tcW w:w="683" w:type="dxa"/>
            <w:tcBorders>
              <w:top w:val="single" w:color="000000" w:sz="4" w:space="0"/>
              <w:left w:val="single" w:color="000000" w:sz="4" w:space="0"/>
              <w:bottom w:val="single" w:color="000000" w:sz="4" w:space="0"/>
              <w:right w:val="single" w:color="000000" w:sz="4" w:space="0"/>
            </w:tcBorders>
          </w:tcPr>
          <w:p w14:paraId="26094A54">
            <w:pPr>
              <w:pStyle w:val="98"/>
              <w:ind w:left="-105" w:right="-105"/>
              <w:rPr>
                <w:rFonts w:eastAsia="宋体"/>
                <w:color w:val="auto"/>
                <w:sz w:val="21"/>
                <w:szCs w:val="21"/>
                <w:highlight w:val="none"/>
              </w:rPr>
            </w:pPr>
            <w:r>
              <w:rPr>
                <w:rFonts w:eastAsia="宋体"/>
                <w:color w:val="auto"/>
                <w:sz w:val="21"/>
                <w:szCs w:val="21"/>
                <w:highlight w:val="none"/>
              </w:rPr>
              <w:t>/</w:t>
            </w:r>
          </w:p>
        </w:tc>
        <w:tc>
          <w:tcPr>
            <w:tcW w:w="683" w:type="dxa"/>
            <w:tcBorders>
              <w:top w:val="single" w:color="000000" w:sz="4" w:space="0"/>
              <w:left w:val="single" w:color="000000" w:sz="4" w:space="0"/>
              <w:bottom w:val="single" w:color="000000" w:sz="4" w:space="0"/>
              <w:right w:val="single" w:color="000000" w:sz="4" w:space="0"/>
            </w:tcBorders>
          </w:tcPr>
          <w:p w14:paraId="215004AD">
            <w:pPr>
              <w:pStyle w:val="98"/>
              <w:ind w:left="-105" w:right="-105"/>
              <w:rPr>
                <w:rFonts w:eastAsia="宋体"/>
                <w:color w:val="auto"/>
                <w:sz w:val="21"/>
                <w:szCs w:val="21"/>
                <w:highlight w:val="none"/>
              </w:rPr>
            </w:pPr>
            <w:r>
              <w:rPr>
                <w:rFonts w:eastAsia="宋体"/>
                <w:color w:val="auto"/>
                <w:sz w:val="21"/>
                <w:szCs w:val="21"/>
                <w:highlight w:val="none"/>
              </w:rPr>
              <w:t>/</w:t>
            </w:r>
          </w:p>
        </w:tc>
        <w:tc>
          <w:tcPr>
            <w:tcW w:w="684" w:type="dxa"/>
            <w:tcBorders>
              <w:top w:val="single" w:color="000000" w:sz="4" w:space="0"/>
              <w:left w:val="single" w:color="000000" w:sz="4" w:space="0"/>
              <w:bottom w:val="single" w:color="000000" w:sz="4" w:space="0"/>
              <w:right w:val="single" w:color="000000" w:sz="4" w:space="0"/>
            </w:tcBorders>
          </w:tcPr>
          <w:p w14:paraId="6D9C09C2">
            <w:pPr>
              <w:pStyle w:val="98"/>
              <w:ind w:left="-105" w:right="-105"/>
              <w:rPr>
                <w:rFonts w:eastAsia="宋体"/>
                <w:color w:val="auto"/>
                <w:sz w:val="21"/>
                <w:szCs w:val="21"/>
                <w:highlight w:val="none"/>
              </w:rPr>
            </w:pPr>
            <w:r>
              <w:rPr>
                <w:rFonts w:eastAsia="宋体"/>
                <w:color w:val="auto"/>
                <w:sz w:val="21"/>
                <w:szCs w:val="21"/>
                <w:highlight w:val="none"/>
              </w:rPr>
              <w:t>/</w:t>
            </w:r>
          </w:p>
        </w:tc>
        <w:tc>
          <w:tcPr>
            <w:tcW w:w="686" w:type="dxa"/>
            <w:tcBorders>
              <w:top w:val="single" w:color="000000" w:sz="4" w:space="0"/>
              <w:left w:val="single" w:color="000000" w:sz="4" w:space="0"/>
              <w:bottom w:val="single" w:color="000000" w:sz="4" w:space="0"/>
              <w:right w:val="single" w:color="000000" w:sz="4" w:space="0"/>
            </w:tcBorders>
          </w:tcPr>
          <w:p w14:paraId="360902E1">
            <w:pPr>
              <w:pStyle w:val="98"/>
              <w:ind w:left="-105" w:right="-105"/>
              <w:rPr>
                <w:rFonts w:eastAsia="宋体"/>
                <w:color w:val="auto"/>
                <w:sz w:val="21"/>
                <w:szCs w:val="21"/>
                <w:highlight w:val="none"/>
              </w:rPr>
            </w:pPr>
            <w:r>
              <w:rPr>
                <w:rFonts w:eastAsia="宋体"/>
                <w:color w:val="auto"/>
                <w:sz w:val="21"/>
                <w:szCs w:val="21"/>
                <w:highlight w:val="none"/>
              </w:rPr>
              <w:t>/</w:t>
            </w:r>
          </w:p>
        </w:tc>
        <w:tc>
          <w:tcPr>
            <w:tcW w:w="684" w:type="dxa"/>
            <w:tcBorders>
              <w:top w:val="single" w:color="000000" w:sz="4" w:space="0"/>
              <w:left w:val="single" w:color="000000" w:sz="4" w:space="0"/>
              <w:bottom w:val="single" w:color="000000" w:sz="4" w:space="0"/>
              <w:right w:val="single" w:color="000000" w:sz="4" w:space="0"/>
            </w:tcBorders>
          </w:tcPr>
          <w:p w14:paraId="5EECF950">
            <w:pPr>
              <w:pStyle w:val="98"/>
              <w:ind w:left="-105" w:right="-105"/>
              <w:rPr>
                <w:rFonts w:eastAsia="宋体"/>
                <w:color w:val="auto"/>
                <w:sz w:val="21"/>
                <w:szCs w:val="21"/>
                <w:highlight w:val="none"/>
              </w:rPr>
            </w:pPr>
            <w:r>
              <w:rPr>
                <w:rFonts w:eastAsia="宋体"/>
                <w:color w:val="auto"/>
                <w:sz w:val="21"/>
                <w:szCs w:val="21"/>
                <w:highlight w:val="none"/>
              </w:rPr>
              <w:t>/</w:t>
            </w:r>
          </w:p>
        </w:tc>
        <w:tc>
          <w:tcPr>
            <w:tcW w:w="645" w:type="dxa"/>
            <w:tcBorders>
              <w:top w:val="single" w:color="000000" w:sz="4" w:space="0"/>
              <w:left w:val="single" w:color="000000" w:sz="4" w:space="0"/>
              <w:bottom w:val="single" w:color="000000" w:sz="4" w:space="0"/>
              <w:right w:val="single" w:color="000000" w:sz="4" w:space="0"/>
            </w:tcBorders>
          </w:tcPr>
          <w:p w14:paraId="5E392D10">
            <w:pPr>
              <w:pStyle w:val="98"/>
              <w:ind w:left="-105" w:right="-105"/>
              <w:rPr>
                <w:rFonts w:eastAsia="宋体"/>
                <w:color w:val="auto"/>
                <w:sz w:val="21"/>
                <w:szCs w:val="21"/>
                <w:highlight w:val="none"/>
              </w:rPr>
            </w:pPr>
            <w:r>
              <w:rPr>
                <w:rFonts w:eastAsia="宋体"/>
                <w:color w:val="auto"/>
                <w:sz w:val="21"/>
                <w:szCs w:val="21"/>
                <w:highlight w:val="none"/>
              </w:rPr>
              <w:t>/</w:t>
            </w:r>
          </w:p>
        </w:tc>
        <w:tc>
          <w:tcPr>
            <w:tcW w:w="1134" w:type="dxa"/>
            <w:tcBorders>
              <w:top w:val="single" w:color="000000" w:sz="4" w:space="0"/>
              <w:left w:val="single" w:color="000000" w:sz="4" w:space="0"/>
              <w:bottom w:val="single" w:color="000000" w:sz="4" w:space="0"/>
              <w:right w:val="nil"/>
            </w:tcBorders>
          </w:tcPr>
          <w:p w14:paraId="26B5F9EA">
            <w:pPr>
              <w:pStyle w:val="98"/>
              <w:ind w:left="-105" w:right="-105"/>
              <w:rPr>
                <w:rFonts w:eastAsia="宋体"/>
                <w:color w:val="auto"/>
                <w:sz w:val="21"/>
                <w:szCs w:val="21"/>
                <w:highlight w:val="none"/>
              </w:rPr>
            </w:pPr>
            <w:r>
              <w:rPr>
                <w:rFonts w:eastAsia="宋体"/>
                <w:color w:val="auto"/>
                <w:sz w:val="21"/>
                <w:szCs w:val="21"/>
                <w:highlight w:val="none"/>
              </w:rPr>
              <w:t>/</w:t>
            </w:r>
          </w:p>
        </w:tc>
      </w:tr>
      <w:tr w14:paraId="0778598D">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108" w:type="dxa"/>
            <w:bottom w:w="0" w:type="dxa"/>
            <w:right w:w="108" w:type="dxa"/>
          </w:tblCellMar>
        </w:tblPrEx>
        <w:trPr>
          <w:trHeight w:val="202" w:hRule="atLeast"/>
          <w:jc w:val="center"/>
        </w:trPr>
        <w:tc>
          <w:tcPr>
            <w:tcW w:w="1116" w:type="dxa"/>
            <w:vMerge w:val="restart"/>
            <w:tcBorders>
              <w:top w:val="single" w:color="000000" w:sz="4" w:space="0"/>
              <w:left w:val="nil"/>
              <w:right w:val="single" w:color="000000" w:sz="4" w:space="0"/>
            </w:tcBorders>
            <w:vAlign w:val="center"/>
          </w:tcPr>
          <w:p w14:paraId="3E539F57">
            <w:pPr>
              <w:pStyle w:val="98"/>
              <w:ind w:left="-105" w:right="-105"/>
              <w:rPr>
                <w:rFonts w:eastAsia="宋体"/>
                <w:color w:val="auto"/>
                <w:sz w:val="21"/>
                <w:szCs w:val="21"/>
                <w:highlight w:val="none"/>
              </w:rPr>
            </w:pPr>
            <w:r>
              <w:rPr>
                <w:rFonts w:eastAsia="宋体"/>
                <w:color w:val="auto"/>
                <w:sz w:val="21"/>
                <w:szCs w:val="21"/>
                <w:highlight w:val="none"/>
              </w:rPr>
              <w:t>〉6.0</w:t>
            </w:r>
          </w:p>
        </w:tc>
        <w:tc>
          <w:tcPr>
            <w:tcW w:w="742" w:type="dxa"/>
            <w:tcBorders>
              <w:top w:val="single" w:color="000000" w:sz="4" w:space="0"/>
              <w:left w:val="single" w:color="000000" w:sz="4" w:space="0"/>
              <w:bottom w:val="single" w:color="000000" w:sz="4" w:space="0"/>
              <w:right w:val="single" w:color="000000" w:sz="4" w:space="0"/>
            </w:tcBorders>
            <w:vAlign w:val="center"/>
          </w:tcPr>
          <w:p w14:paraId="68296DF8">
            <w:pPr>
              <w:pStyle w:val="98"/>
              <w:ind w:left="-105" w:right="-105"/>
              <w:rPr>
                <w:rFonts w:eastAsia="宋体"/>
                <w:color w:val="auto"/>
                <w:sz w:val="21"/>
                <w:szCs w:val="21"/>
                <w:highlight w:val="none"/>
              </w:rPr>
            </w:pPr>
            <w:r>
              <w:rPr>
                <w:rFonts w:eastAsia="宋体"/>
                <w:color w:val="auto"/>
                <w:sz w:val="21"/>
                <w:szCs w:val="21"/>
                <w:highlight w:val="none"/>
              </w:rPr>
              <w:t>A</w:t>
            </w:r>
          </w:p>
        </w:tc>
        <w:tc>
          <w:tcPr>
            <w:tcW w:w="683" w:type="dxa"/>
            <w:tcBorders>
              <w:top w:val="single" w:color="000000" w:sz="4" w:space="0"/>
              <w:left w:val="single" w:color="000000" w:sz="4" w:space="0"/>
              <w:bottom w:val="single" w:color="000000" w:sz="4" w:space="0"/>
              <w:right w:val="single" w:color="000000" w:sz="4" w:space="0"/>
            </w:tcBorders>
          </w:tcPr>
          <w:p w14:paraId="2101E33E">
            <w:pPr>
              <w:pStyle w:val="98"/>
              <w:ind w:left="-105" w:right="-105"/>
              <w:rPr>
                <w:rFonts w:eastAsia="宋体"/>
                <w:color w:val="auto"/>
                <w:sz w:val="21"/>
                <w:szCs w:val="21"/>
                <w:highlight w:val="none"/>
              </w:rPr>
            </w:pPr>
            <w:r>
              <w:rPr>
                <w:rFonts w:eastAsia="宋体"/>
                <w:color w:val="auto"/>
                <w:sz w:val="21"/>
                <w:szCs w:val="21"/>
                <w:highlight w:val="none"/>
              </w:rPr>
              <w:t>/</w:t>
            </w:r>
          </w:p>
        </w:tc>
        <w:tc>
          <w:tcPr>
            <w:tcW w:w="683" w:type="dxa"/>
            <w:tcBorders>
              <w:top w:val="single" w:color="000000" w:sz="4" w:space="0"/>
              <w:left w:val="single" w:color="000000" w:sz="4" w:space="0"/>
              <w:bottom w:val="single" w:color="000000" w:sz="4" w:space="0"/>
              <w:right w:val="single" w:color="000000" w:sz="4" w:space="0"/>
            </w:tcBorders>
          </w:tcPr>
          <w:p w14:paraId="1692462E">
            <w:pPr>
              <w:pStyle w:val="98"/>
              <w:ind w:left="-105" w:right="-105"/>
              <w:rPr>
                <w:rFonts w:eastAsia="宋体"/>
                <w:color w:val="auto"/>
                <w:sz w:val="21"/>
                <w:szCs w:val="21"/>
                <w:highlight w:val="none"/>
              </w:rPr>
            </w:pPr>
            <w:r>
              <w:rPr>
                <w:rFonts w:eastAsia="宋体"/>
                <w:color w:val="auto"/>
                <w:sz w:val="21"/>
                <w:szCs w:val="21"/>
                <w:highlight w:val="none"/>
              </w:rPr>
              <w:t>/</w:t>
            </w:r>
          </w:p>
        </w:tc>
        <w:tc>
          <w:tcPr>
            <w:tcW w:w="686" w:type="dxa"/>
            <w:tcBorders>
              <w:top w:val="single" w:color="000000" w:sz="4" w:space="0"/>
              <w:left w:val="single" w:color="000000" w:sz="4" w:space="0"/>
              <w:bottom w:val="single" w:color="000000" w:sz="4" w:space="0"/>
              <w:right w:val="single" w:color="000000" w:sz="4" w:space="0"/>
            </w:tcBorders>
          </w:tcPr>
          <w:p w14:paraId="0FAA9981">
            <w:pPr>
              <w:pStyle w:val="98"/>
              <w:ind w:left="-105" w:right="-105"/>
              <w:rPr>
                <w:rFonts w:eastAsia="宋体"/>
                <w:color w:val="auto"/>
                <w:sz w:val="21"/>
                <w:szCs w:val="21"/>
                <w:highlight w:val="none"/>
              </w:rPr>
            </w:pPr>
            <w:r>
              <w:rPr>
                <w:rFonts w:eastAsia="宋体"/>
                <w:color w:val="auto"/>
                <w:sz w:val="21"/>
                <w:szCs w:val="21"/>
                <w:highlight w:val="none"/>
              </w:rPr>
              <w:t>/</w:t>
            </w:r>
          </w:p>
        </w:tc>
        <w:tc>
          <w:tcPr>
            <w:tcW w:w="683" w:type="dxa"/>
            <w:tcBorders>
              <w:top w:val="single" w:color="000000" w:sz="4" w:space="0"/>
              <w:left w:val="single" w:color="000000" w:sz="4" w:space="0"/>
              <w:bottom w:val="single" w:color="000000" w:sz="4" w:space="0"/>
              <w:right w:val="single" w:color="000000" w:sz="4" w:space="0"/>
            </w:tcBorders>
          </w:tcPr>
          <w:p w14:paraId="1CE58E70">
            <w:pPr>
              <w:pStyle w:val="98"/>
              <w:ind w:left="-105" w:right="-105"/>
              <w:rPr>
                <w:rFonts w:eastAsia="宋体"/>
                <w:color w:val="auto"/>
                <w:sz w:val="21"/>
                <w:szCs w:val="21"/>
                <w:highlight w:val="none"/>
              </w:rPr>
            </w:pPr>
            <w:r>
              <w:rPr>
                <w:rFonts w:eastAsia="宋体"/>
                <w:color w:val="auto"/>
                <w:sz w:val="21"/>
                <w:szCs w:val="21"/>
                <w:highlight w:val="none"/>
              </w:rPr>
              <w:t>/</w:t>
            </w:r>
          </w:p>
        </w:tc>
        <w:tc>
          <w:tcPr>
            <w:tcW w:w="683" w:type="dxa"/>
            <w:tcBorders>
              <w:top w:val="single" w:color="000000" w:sz="4" w:space="0"/>
              <w:left w:val="single" w:color="000000" w:sz="4" w:space="0"/>
              <w:bottom w:val="single" w:color="000000" w:sz="4" w:space="0"/>
              <w:right w:val="single" w:color="000000" w:sz="4" w:space="0"/>
            </w:tcBorders>
          </w:tcPr>
          <w:p w14:paraId="1155DEB4">
            <w:pPr>
              <w:pStyle w:val="98"/>
              <w:ind w:left="-105" w:right="-105"/>
              <w:rPr>
                <w:rFonts w:eastAsia="宋体"/>
                <w:color w:val="auto"/>
                <w:sz w:val="21"/>
                <w:szCs w:val="21"/>
                <w:highlight w:val="none"/>
              </w:rPr>
            </w:pPr>
            <w:r>
              <w:rPr>
                <w:rFonts w:eastAsia="宋体"/>
                <w:color w:val="auto"/>
                <w:sz w:val="21"/>
                <w:szCs w:val="21"/>
                <w:highlight w:val="none"/>
              </w:rPr>
              <w:t>/</w:t>
            </w:r>
          </w:p>
        </w:tc>
        <w:tc>
          <w:tcPr>
            <w:tcW w:w="683" w:type="dxa"/>
            <w:tcBorders>
              <w:top w:val="single" w:color="000000" w:sz="4" w:space="0"/>
              <w:left w:val="single" w:color="000000" w:sz="4" w:space="0"/>
              <w:bottom w:val="single" w:color="000000" w:sz="4" w:space="0"/>
              <w:right w:val="single" w:color="000000" w:sz="4" w:space="0"/>
            </w:tcBorders>
          </w:tcPr>
          <w:p w14:paraId="2A913705">
            <w:pPr>
              <w:pStyle w:val="98"/>
              <w:ind w:left="-105" w:right="-105"/>
              <w:rPr>
                <w:rFonts w:eastAsia="宋体"/>
                <w:color w:val="auto"/>
                <w:sz w:val="21"/>
                <w:szCs w:val="21"/>
                <w:highlight w:val="none"/>
              </w:rPr>
            </w:pPr>
            <w:r>
              <w:rPr>
                <w:rFonts w:eastAsia="宋体"/>
                <w:color w:val="auto"/>
                <w:sz w:val="21"/>
                <w:szCs w:val="21"/>
                <w:highlight w:val="none"/>
              </w:rPr>
              <w:t>/</w:t>
            </w:r>
          </w:p>
        </w:tc>
        <w:tc>
          <w:tcPr>
            <w:tcW w:w="685" w:type="dxa"/>
            <w:tcBorders>
              <w:top w:val="single" w:color="000000" w:sz="4" w:space="0"/>
              <w:left w:val="single" w:color="000000" w:sz="4" w:space="0"/>
              <w:bottom w:val="single" w:color="000000" w:sz="4" w:space="0"/>
              <w:right w:val="single" w:color="000000" w:sz="4" w:space="0"/>
            </w:tcBorders>
          </w:tcPr>
          <w:p w14:paraId="0BC8B039">
            <w:pPr>
              <w:pStyle w:val="98"/>
              <w:ind w:left="-105" w:right="-105"/>
              <w:rPr>
                <w:rFonts w:eastAsia="宋体"/>
                <w:color w:val="auto"/>
                <w:sz w:val="21"/>
                <w:szCs w:val="21"/>
                <w:highlight w:val="none"/>
              </w:rPr>
            </w:pPr>
            <w:r>
              <w:rPr>
                <w:rFonts w:eastAsia="宋体"/>
                <w:color w:val="auto"/>
                <w:sz w:val="21"/>
                <w:szCs w:val="21"/>
                <w:highlight w:val="none"/>
              </w:rPr>
              <w:t>/</w:t>
            </w:r>
          </w:p>
        </w:tc>
        <w:tc>
          <w:tcPr>
            <w:tcW w:w="683" w:type="dxa"/>
            <w:tcBorders>
              <w:top w:val="single" w:color="000000" w:sz="4" w:space="0"/>
              <w:left w:val="single" w:color="000000" w:sz="4" w:space="0"/>
              <w:bottom w:val="single" w:color="000000" w:sz="4" w:space="0"/>
              <w:right w:val="single" w:color="000000" w:sz="4" w:space="0"/>
            </w:tcBorders>
          </w:tcPr>
          <w:p w14:paraId="57626E4B">
            <w:pPr>
              <w:pStyle w:val="98"/>
              <w:ind w:left="-105" w:right="-105"/>
              <w:rPr>
                <w:rFonts w:eastAsia="宋体"/>
                <w:color w:val="auto"/>
                <w:sz w:val="21"/>
                <w:szCs w:val="21"/>
                <w:highlight w:val="none"/>
              </w:rPr>
            </w:pPr>
            <w:r>
              <w:rPr>
                <w:rFonts w:eastAsia="宋体"/>
                <w:color w:val="auto"/>
                <w:sz w:val="21"/>
                <w:szCs w:val="21"/>
                <w:highlight w:val="none"/>
              </w:rPr>
              <w:t>/</w:t>
            </w:r>
          </w:p>
        </w:tc>
        <w:tc>
          <w:tcPr>
            <w:tcW w:w="683" w:type="dxa"/>
            <w:tcBorders>
              <w:top w:val="single" w:color="000000" w:sz="4" w:space="0"/>
              <w:left w:val="single" w:color="000000" w:sz="4" w:space="0"/>
              <w:bottom w:val="single" w:color="000000" w:sz="4" w:space="0"/>
              <w:right w:val="single" w:color="000000" w:sz="4" w:space="0"/>
            </w:tcBorders>
          </w:tcPr>
          <w:p w14:paraId="39965E0C">
            <w:pPr>
              <w:pStyle w:val="98"/>
              <w:ind w:left="-105" w:right="-105"/>
              <w:rPr>
                <w:rFonts w:eastAsia="宋体"/>
                <w:color w:val="auto"/>
                <w:sz w:val="21"/>
                <w:szCs w:val="21"/>
                <w:highlight w:val="none"/>
              </w:rPr>
            </w:pPr>
            <w:r>
              <w:rPr>
                <w:rFonts w:eastAsia="宋体"/>
                <w:color w:val="auto"/>
                <w:sz w:val="21"/>
                <w:szCs w:val="21"/>
                <w:highlight w:val="none"/>
              </w:rPr>
              <w:t>/</w:t>
            </w:r>
          </w:p>
        </w:tc>
        <w:tc>
          <w:tcPr>
            <w:tcW w:w="683" w:type="dxa"/>
            <w:tcBorders>
              <w:top w:val="single" w:color="000000" w:sz="4" w:space="0"/>
              <w:left w:val="single" w:color="000000" w:sz="4" w:space="0"/>
              <w:bottom w:val="single" w:color="000000" w:sz="4" w:space="0"/>
              <w:right w:val="single" w:color="000000" w:sz="4" w:space="0"/>
            </w:tcBorders>
          </w:tcPr>
          <w:p w14:paraId="5809765A">
            <w:pPr>
              <w:pStyle w:val="98"/>
              <w:ind w:left="-105" w:right="-105"/>
              <w:rPr>
                <w:rFonts w:eastAsia="宋体"/>
                <w:color w:val="auto"/>
                <w:sz w:val="21"/>
                <w:szCs w:val="21"/>
                <w:highlight w:val="none"/>
              </w:rPr>
            </w:pPr>
            <w:r>
              <w:rPr>
                <w:rFonts w:eastAsia="宋体"/>
                <w:color w:val="auto"/>
                <w:sz w:val="21"/>
                <w:szCs w:val="21"/>
                <w:highlight w:val="none"/>
              </w:rPr>
              <w:t>/</w:t>
            </w:r>
          </w:p>
        </w:tc>
        <w:tc>
          <w:tcPr>
            <w:tcW w:w="683" w:type="dxa"/>
            <w:tcBorders>
              <w:top w:val="single" w:color="000000" w:sz="4" w:space="0"/>
              <w:left w:val="single" w:color="000000" w:sz="4" w:space="0"/>
              <w:bottom w:val="single" w:color="000000" w:sz="4" w:space="0"/>
              <w:right w:val="single" w:color="000000" w:sz="4" w:space="0"/>
            </w:tcBorders>
          </w:tcPr>
          <w:p w14:paraId="0FA0B8DE">
            <w:pPr>
              <w:pStyle w:val="98"/>
              <w:ind w:left="-105" w:right="-105"/>
              <w:rPr>
                <w:rFonts w:eastAsia="宋体"/>
                <w:color w:val="auto"/>
                <w:sz w:val="21"/>
                <w:szCs w:val="21"/>
                <w:highlight w:val="none"/>
              </w:rPr>
            </w:pPr>
            <w:r>
              <w:rPr>
                <w:rFonts w:eastAsia="宋体"/>
                <w:color w:val="auto"/>
                <w:sz w:val="21"/>
                <w:szCs w:val="21"/>
                <w:highlight w:val="none"/>
              </w:rPr>
              <w:t>/</w:t>
            </w:r>
          </w:p>
        </w:tc>
        <w:tc>
          <w:tcPr>
            <w:tcW w:w="683" w:type="dxa"/>
            <w:tcBorders>
              <w:top w:val="single" w:color="000000" w:sz="4" w:space="0"/>
              <w:left w:val="single" w:color="000000" w:sz="4" w:space="0"/>
              <w:bottom w:val="single" w:color="000000" w:sz="4" w:space="0"/>
              <w:right w:val="single" w:color="000000" w:sz="4" w:space="0"/>
            </w:tcBorders>
          </w:tcPr>
          <w:p w14:paraId="30D800AF">
            <w:pPr>
              <w:pStyle w:val="98"/>
              <w:ind w:left="-105" w:right="-105"/>
              <w:rPr>
                <w:rFonts w:eastAsia="宋体"/>
                <w:color w:val="auto"/>
                <w:sz w:val="21"/>
                <w:szCs w:val="21"/>
                <w:highlight w:val="none"/>
              </w:rPr>
            </w:pPr>
            <w:r>
              <w:rPr>
                <w:rFonts w:eastAsia="宋体"/>
                <w:color w:val="auto"/>
                <w:sz w:val="21"/>
                <w:szCs w:val="21"/>
                <w:highlight w:val="none"/>
              </w:rPr>
              <w:t>/</w:t>
            </w:r>
          </w:p>
        </w:tc>
        <w:tc>
          <w:tcPr>
            <w:tcW w:w="684" w:type="dxa"/>
            <w:tcBorders>
              <w:top w:val="single" w:color="000000" w:sz="4" w:space="0"/>
              <w:left w:val="single" w:color="000000" w:sz="4" w:space="0"/>
              <w:bottom w:val="single" w:color="000000" w:sz="4" w:space="0"/>
              <w:right w:val="single" w:color="000000" w:sz="4" w:space="0"/>
            </w:tcBorders>
          </w:tcPr>
          <w:p w14:paraId="0CF49FB2">
            <w:pPr>
              <w:pStyle w:val="98"/>
              <w:ind w:left="-105" w:right="-105"/>
              <w:rPr>
                <w:rFonts w:eastAsia="宋体"/>
                <w:color w:val="auto"/>
                <w:sz w:val="21"/>
                <w:szCs w:val="21"/>
                <w:highlight w:val="none"/>
              </w:rPr>
            </w:pPr>
            <w:r>
              <w:rPr>
                <w:rFonts w:eastAsia="宋体"/>
                <w:color w:val="auto"/>
                <w:sz w:val="21"/>
                <w:szCs w:val="21"/>
                <w:highlight w:val="none"/>
              </w:rPr>
              <w:t>/</w:t>
            </w:r>
          </w:p>
        </w:tc>
        <w:tc>
          <w:tcPr>
            <w:tcW w:w="686" w:type="dxa"/>
            <w:tcBorders>
              <w:top w:val="single" w:color="000000" w:sz="4" w:space="0"/>
              <w:left w:val="single" w:color="000000" w:sz="4" w:space="0"/>
              <w:bottom w:val="single" w:color="000000" w:sz="4" w:space="0"/>
              <w:right w:val="single" w:color="000000" w:sz="4" w:space="0"/>
            </w:tcBorders>
          </w:tcPr>
          <w:p w14:paraId="46CDD67B">
            <w:pPr>
              <w:pStyle w:val="98"/>
              <w:ind w:left="-105" w:right="-105"/>
              <w:rPr>
                <w:rFonts w:eastAsia="宋体"/>
                <w:color w:val="auto"/>
                <w:sz w:val="21"/>
                <w:szCs w:val="21"/>
                <w:highlight w:val="none"/>
              </w:rPr>
            </w:pPr>
            <w:r>
              <w:rPr>
                <w:rFonts w:eastAsia="宋体"/>
                <w:color w:val="auto"/>
                <w:sz w:val="21"/>
                <w:szCs w:val="21"/>
                <w:highlight w:val="none"/>
              </w:rPr>
              <w:t>/</w:t>
            </w:r>
          </w:p>
        </w:tc>
        <w:tc>
          <w:tcPr>
            <w:tcW w:w="684" w:type="dxa"/>
            <w:tcBorders>
              <w:top w:val="single" w:color="000000" w:sz="4" w:space="0"/>
              <w:left w:val="single" w:color="000000" w:sz="4" w:space="0"/>
              <w:bottom w:val="single" w:color="000000" w:sz="4" w:space="0"/>
              <w:right w:val="single" w:color="000000" w:sz="4" w:space="0"/>
            </w:tcBorders>
          </w:tcPr>
          <w:p w14:paraId="09F6B556">
            <w:pPr>
              <w:pStyle w:val="98"/>
              <w:ind w:left="-105" w:right="-105"/>
              <w:rPr>
                <w:rFonts w:eastAsia="宋体"/>
                <w:color w:val="auto"/>
                <w:sz w:val="21"/>
                <w:szCs w:val="21"/>
                <w:highlight w:val="none"/>
              </w:rPr>
            </w:pPr>
            <w:r>
              <w:rPr>
                <w:rFonts w:eastAsia="宋体"/>
                <w:color w:val="auto"/>
                <w:sz w:val="21"/>
                <w:szCs w:val="21"/>
                <w:highlight w:val="none"/>
              </w:rPr>
              <w:t>/</w:t>
            </w:r>
          </w:p>
        </w:tc>
        <w:tc>
          <w:tcPr>
            <w:tcW w:w="645" w:type="dxa"/>
            <w:tcBorders>
              <w:top w:val="single" w:color="000000" w:sz="4" w:space="0"/>
              <w:left w:val="single" w:color="000000" w:sz="4" w:space="0"/>
              <w:bottom w:val="single" w:color="000000" w:sz="4" w:space="0"/>
              <w:right w:val="single" w:color="000000" w:sz="4" w:space="0"/>
            </w:tcBorders>
          </w:tcPr>
          <w:p w14:paraId="382E78A4">
            <w:pPr>
              <w:pStyle w:val="98"/>
              <w:ind w:left="-105" w:right="-105"/>
              <w:rPr>
                <w:rFonts w:eastAsia="宋体"/>
                <w:color w:val="auto"/>
                <w:sz w:val="21"/>
                <w:szCs w:val="21"/>
                <w:highlight w:val="none"/>
              </w:rPr>
            </w:pPr>
            <w:r>
              <w:rPr>
                <w:rFonts w:eastAsia="宋体"/>
                <w:color w:val="auto"/>
                <w:sz w:val="21"/>
                <w:szCs w:val="21"/>
                <w:highlight w:val="none"/>
              </w:rPr>
              <w:t>/</w:t>
            </w:r>
          </w:p>
        </w:tc>
        <w:tc>
          <w:tcPr>
            <w:tcW w:w="1134" w:type="dxa"/>
            <w:tcBorders>
              <w:top w:val="single" w:color="000000" w:sz="4" w:space="0"/>
              <w:left w:val="single" w:color="000000" w:sz="4" w:space="0"/>
              <w:bottom w:val="single" w:color="000000" w:sz="4" w:space="0"/>
              <w:right w:val="nil"/>
            </w:tcBorders>
          </w:tcPr>
          <w:p w14:paraId="0727E2C1">
            <w:pPr>
              <w:pStyle w:val="98"/>
              <w:ind w:left="-105" w:right="-105"/>
              <w:rPr>
                <w:rFonts w:eastAsia="宋体"/>
                <w:color w:val="auto"/>
                <w:sz w:val="21"/>
                <w:szCs w:val="21"/>
                <w:highlight w:val="none"/>
              </w:rPr>
            </w:pPr>
            <w:r>
              <w:rPr>
                <w:rFonts w:eastAsia="宋体"/>
                <w:color w:val="auto"/>
                <w:sz w:val="21"/>
                <w:szCs w:val="21"/>
                <w:highlight w:val="none"/>
              </w:rPr>
              <w:t>/</w:t>
            </w:r>
          </w:p>
        </w:tc>
      </w:tr>
      <w:tr w14:paraId="4F48B623">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108" w:type="dxa"/>
            <w:bottom w:w="0" w:type="dxa"/>
            <w:right w:w="108" w:type="dxa"/>
          </w:tblCellMar>
        </w:tblPrEx>
        <w:trPr>
          <w:trHeight w:val="191" w:hRule="atLeast"/>
          <w:jc w:val="center"/>
        </w:trPr>
        <w:tc>
          <w:tcPr>
            <w:tcW w:w="1116" w:type="dxa"/>
            <w:vMerge w:val="continue"/>
            <w:tcBorders>
              <w:top w:val="nil"/>
              <w:left w:val="nil"/>
              <w:right w:val="single" w:color="000000" w:sz="4" w:space="0"/>
            </w:tcBorders>
            <w:vAlign w:val="center"/>
          </w:tcPr>
          <w:p w14:paraId="78358AF6">
            <w:pPr>
              <w:ind w:left="-105" w:right="-105"/>
              <w:jc w:val="center"/>
              <w:rPr>
                <w:rFonts w:ascii="Times New Roman" w:hAnsi="Times New Roman" w:cs="Times New Roman"/>
                <w:color w:val="auto"/>
                <w:sz w:val="21"/>
                <w:szCs w:val="21"/>
                <w:highlight w:val="none"/>
              </w:rPr>
            </w:pPr>
          </w:p>
        </w:tc>
        <w:tc>
          <w:tcPr>
            <w:tcW w:w="742" w:type="dxa"/>
            <w:tcBorders>
              <w:top w:val="single" w:color="000000" w:sz="4" w:space="0"/>
              <w:left w:val="single" w:color="000000" w:sz="4" w:space="0"/>
              <w:bottom w:val="single" w:color="000000" w:sz="4" w:space="0"/>
              <w:right w:val="single" w:color="000000" w:sz="4" w:space="0"/>
            </w:tcBorders>
            <w:vAlign w:val="center"/>
          </w:tcPr>
          <w:p w14:paraId="0396994A">
            <w:pPr>
              <w:pStyle w:val="98"/>
              <w:ind w:left="-105" w:right="-105"/>
              <w:rPr>
                <w:rFonts w:eastAsia="宋体"/>
                <w:color w:val="auto"/>
                <w:sz w:val="21"/>
                <w:szCs w:val="21"/>
                <w:highlight w:val="none"/>
              </w:rPr>
            </w:pPr>
            <w:r>
              <w:rPr>
                <w:rFonts w:eastAsia="宋体"/>
                <w:color w:val="auto"/>
                <w:sz w:val="21"/>
                <w:szCs w:val="21"/>
                <w:highlight w:val="none"/>
              </w:rPr>
              <w:t>B</w:t>
            </w:r>
          </w:p>
        </w:tc>
        <w:tc>
          <w:tcPr>
            <w:tcW w:w="683" w:type="dxa"/>
            <w:tcBorders>
              <w:top w:val="single" w:color="000000" w:sz="4" w:space="0"/>
              <w:left w:val="single" w:color="000000" w:sz="4" w:space="0"/>
              <w:bottom w:val="single" w:color="000000" w:sz="4" w:space="0"/>
              <w:right w:val="single" w:color="000000" w:sz="4" w:space="0"/>
            </w:tcBorders>
          </w:tcPr>
          <w:p w14:paraId="35989879">
            <w:pPr>
              <w:pStyle w:val="98"/>
              <w:ind w:left="-105" w:right="-105"/>
              <w:rPr>
                <w:rFonts w:eastAsia="宋体"/>
                <w:color w:val="auto"/>
                <w:sz w:val="21"/>
                <w:szCs w:val="21"/>
                <w:highlight w:val="none"/>
              </w:rPr>
            </w:pPr>
            <w:r>
              <w:rPr>
                <w:rFonts w:eastAsia="宋体"/>
                <w:color w:val="auto"/>
                <w:sz w:val="21"/>
                <w:szCs w:val="21"/>
                <w:highlight w:val="none"/>
              </w:rPr>
              <w:t>/</w:t>
            </w:r>
          </w:p>
        </w:tc>
        <w:tc>
          <w:tcPr>
            <w:tcW w:w="683" w:type="dxa"/>
            <w:tcBorders>
              <w:top w:val="single" w:color="000000" w:sz="4" w:space="0"/>
              <w:left w:val="single" w:color="000000" w:sz="4" w:space="0"/>
              <w:bottom w:val="single" w:color="000000" w:sz="4" w:space="0"/>
              <w:right w:val="single" w:color="000000" w:sz="4" w:space="0"/>
            </w:tcBorders>
          </w:tcPr>
          <w:p w14:paraId="437AAFAB">
            <w:pPr>
              <w:pStyle w:val="98"/>
              <w:ind w:left="-105" w:right="-105"/>
              <w:rPr>
                <w:rFonts w:eastAsia="宋体"/>
                <w:color w:val="auto"/>
                <w:sz w:val="21"/>
                <w:szCs w:val="21"/>
                <w:highlight w:val="none"/>
              </w:rPr>
            </w:pPr>
            <w:r>
              <w:rPr>
                <w:rFonts w:eastAsia="宋体"/>
                <w:color w:val="auto"/>
                <w:sz w:val="21"/>
                <w:szCs w:val="21"/>
                <w:highlight w:val="none"/>
              </w:rPr>
              <w:t>/</w:t>
            </w:r>
          </w:p>
        </w:tc>
        <w:tc>
          <w:tcPr>
            <w:tcW w:w="686" w:type="dxa"/>
            <w:tcBorders>
              <w:top w:val="single" w:color="000000" w:sz="4" w:space="0"/>
              <w:left w:val="single" w:color="000000" w:sz="4" w:space="0"/>
              <w:bottom w:val="single" w:color="000000" w:sz="4" w:space="0"/>
              <w:right w:val="single" w:color="000000" w:sz="4" w:space="0"/>
            </w:tcBorders>
          </w:tcPr>
          <w:p w14:paraId="794BE39E">
            <w:pPr>
              <w:pStyle w:val="98"/>
              <w:ind w:left="-105" w:right="-105"/>
              <w:rPr>
                <w:rFonts w:eastAsia="宋体"/>
                <w:color w:val="auto"/>
                <w:sz w:val="21"/>
                <w:szCs w:val="21"/>
                <w:highlight w:val="none"/>
              </w:rPr>
            </w:pPr>
            <w:r>
              <w:rPr>
                <w:rFonts w:eastAsia="宋体"/>
                <w:color w:val="auto"/>
                <w:sz w:val="21"/>
                <w:szCs w:val="21"/>
                <w:highlight w:val="none"/>
              </w:rPr>
              <w:t>/</w:t>
            </w:r>
          </w:p>
        </w:tc>
        <w:tc>
          <w:tcPr>
            <w:tcW w:w="683" w:type="dxa"/>
            <w:tcBorders>
              <w:top w:val="single" w:color="000000" w:sz="4" w:space="0"/>
              <w:left w:val="single" w:color="000000" w:sz="4" w:space="0"/>
              <w:bottom w:val="single" w:color="000000" w:sz="4" w:space="0"/>
              <w:right w:val="single" w:color="000000" w:sz="4" w:space="0"/>
            </w:tcBorders>
          </w:tcPr>
          <w:p w14:paraId="47AA95D5">
            <w:pPr>
              <w:pStyle w:val="98"/>
              <w:ind w:left="-105" w:right="-105"/>
              <w:rPr>
                <w:rFonts w:eastAsia="宋体"/>
                <w:color w:val="auto"/>
                <w:sz w:val="21"/>
                <w:szCs w:val="21"/>
                <w:highlight w:val="none"/>
              </w:rPr>
            </w:pPr>
            <w:r>
              <w:rPr>
                <w:rFonts w:eastAsia="宋体"/>
                <w:color w:val="auto"/>
                <w:sz w:val="21"/>
                <w:szCs w:val="21"/>
                <w:highlight w:val="none"/>
              </w:rPr>
              <w:t>/</w:t>
            </w:r>
          </w:p>
        </w:tc>
        <w:tc>
          <w:tcPr>
            <w:tcW w:w="683" w:type="dxa"/>
            <w:tcBorders>
              <w:top w:val="single" w:color="000000" w:sz="4" w:space="0"/>
              <w:left w:val="single" w:color="000000" w:sz="4" w:space="0"/>
              <w:bottom w:val="single" w:color="000000" w:sz="4" w:space="0"/>
              <w:right w:val="single" w:color="000000" w:sz="4" w:space="0"/>
            </w:tcBorders>
          </w:tcPr>
          <w:p w14:paraId="4E65F6CF">
            <w:pPr>
              <w:pStyle w:val="98"/>
              <w:ind w:left="-105" w:right="-105"/>
              <w:rPr>
                <w:rFonts w:eastAsia="宋体"/>
                <w:color w:val="auto"/>
                <w:sz w:val="21"/>
                <w:szCs w:val="21"/>
                <w:highlight w:val="none"/>
              </w:rPr>
            </w:pPr>
            <w:r>
              <w:rPr>
                <w:rFonts w:eastAsia="宋体"/>
                <w:color w:val="auto"/>
                <w:sz w:val="21"/>
                <w:szCs w:val="21"/>
                <w:highlight w:val="none"/>
              </w:rPr>
              <w:t>/</w:t>
            </w:r>
          </w:p>
        </w:tc>
        <w:tc>
          <w:tcPr>
            <w:tcW w:w="683" w:type="dxa"/>
            <w:tcBorders>
              <w:top w:val="single" w:color="000000" w:sz="4" w:space="0"/>
              <w:left w:val="single" w:color="000000" w:sz="4" w:space="0"/>
              <w:bottom w:val="single" w:color="000000" w:sz="4" w:space="0"/>
              <w:right w:val="single" w:color="000000" w:sz="4" w:space="0"/>
            </w:tcBorders>
          </w:tcPr>
          <w:p w14:paraId="114AF1DF">
            <w:pPr>
              <w:pStyle w:val="98"/>
              <w:ind w:left="-105" w:right="-105"/>
              <w:rPr>
                <w:rFonts w:eastAsia="宋体"/>
                <w:color w:val="auto"/>
                <w:sz w:val="21"/>
                <w:szCs w:val="21"/>
                <w:highlight w:val="none"/>
              </w:rPr>
            </w:pPr>
            <w:r>
              <w:rPr>
                <w:rFonts w:eastAsia="宋体"/>
                <w:color w:val="auto"/>
                <w:sz w:val="21"/>
                <w:szCs w:val="21"/>
                <w:highlight w:val="none"/>
              </w:rPr>
              <w:t>/</w:t>
            </w:r>
          </w:p>
        </w:tc>
        <w:tc>
          <w:tcPr>
            <w:tcW w:w="685" w:type="dxa"/>
            <w:tcBorders>
              <w:top w:val="single" w:color="000000" w:sz="4" w:space="0"/>
              <w:left w:val="single" w:color="000000" w:sz="4" w:space="0"/>
              <w:bottom w:val="single" w:color="000000" w:sz="4" w:space="0"/>
              <w:right w:val="single" w:color="000000" w:sz="4" w:space="0"/>
            </w:tcBorders>
          </w:tcPr>
          <w:p w14:paraId="716E33DC">
            <w:pPr>
              <w:pStyle w:val="98"/>
              <w:ind w:left="-105" w:right="-105"/>
              <w:rPr>
                <w:rFonts w:eastAsia="宋体"/>
                <w:color w:val="auto"/>
                <w:sz w:val="21"/>
                <w:szCs w:val="21"/>
                <w:highlight w:val="none"/>
              </w:rPr>
            </w:pPr>
            <w:r>
              <w:rPr>
                <w:rFonts w:eastAsia="宋体"/>
                <w:color w:val="auto"/>
                <w:sz w:val="21"/>
                <w:szCs w:val="21"/>
                <w:highlight w:val="none"/>
              </w:rPr>
              <w:t>/</w:t>
            </w:r>
          </w:p>
        </w:tc>
        <w:tc>
          <w:tcPr>
            <w:tcW w:w="683" w:type="dxa"/>
            <w:tcBorders>
              <w:top w:val="single" w:color="000000" w:sz="4" w:space="0"/>
              <w:left w:val="single" w:color="000000" w:sz="4" w:space="0"/>
              <w:bottom w:val="single" w:color="000000" w:sz="4" w:space="0"/>
              <w:right w:val="single" w:color="000000" w:sz="4" w:space="0"/>
            </w:tcBorders>
          </w:tcPr>
          <w:p w14:paraId="12A0A73D">
            <w:pPr>
              <w:pStyle w:val="98"/>
              <w:ind w:left="-105" w:right="-105"/>
              <w:rPr>
                <w:rFonts w:eastAsia="宋体"/>
                <w:color w:val="auto"/>
                <w:sz w:val="21"/>
                <w:szCs w:val="21"/>
                <w:highlight w:val="none"/>
              </w:rPr>
            </w:pPr>
            <w:r>
              <w:rPr>
                <w:rFonts w:eastAsia="宋体"/>
                <w:color w:val="auto"/>
                <w:sz w:val="21"/>
                <w:szCs w:val="21"/>
                <w:highlight w:val="none"/>
              </w:rPr>
              <w:t>/</w:t>
            </w:r>
          </w:p>
        </w:tc>
        <w:tc>
          <w:tcPr>
            <w:tcW w:w="683" w:type="dxa"/>
            <w:tcBorders>
              <w:top w:val="single" w:color="000000" w:sz="4" w:space="0"/>
              <w:left w:val="single" w:color="000000" w:sz="4" w:space="0"/>
              <w:bottom w:val="single" w:color="000000" w:sz="4" w:space="0"/>
              <w:right w:val="single" w:color="000000" w:sz="4" w:space="0"/>
            </w:tcBorders>
          </w:tcPr>
          <w:p w14:paraId="02B0FA0A">
            <w:pPr>
              <w:pStyle w:val="98"/>
              <w:ind w:left="-105" w:right="-105"/>
              <w:rPr>
                <w:rFonts w:eastAsia="宋体"/>
                <w:color w:val="auto"/>
                <w:sz w:val="21"/>
                <w:szCs w:val="21"/>
                <w:highlight w:val="none"/>
              </w:rPr>
            </w:pPr>
            <w:r>
              <w:rPr>
                <w:rFonts w:eastAsia="宋体"/>
                <w:color w:val="auto"/>
                <w:sz w:val="21"/>
                <w:szCs w:val="21"/>
                <w:highlight w:val="none"/>
              </w:rPr>
              <w:t>/</w:t>
            </w:r>
          </w:p>
        </w:tc>
        <w:tc>
          <w:tcPr>
            <w:tcW w:w="683" w:type="dxa"/>
            <w:tcBorders>
              <w:top w:val="single" w:color="000000" w:sz="4" w:space="0"/>
              <w:left w:val="single" w:color="000000" w:sz="4" w:space="0"/>
              <w:bottom w:val="single" w:color="000000" w:sz="4" w:space="0"/>
              <w:right w:val="single" w:color="000000" w:sz="4" w:space="0"/>
            </w:tcBorders>
          </w:tcPr>
          <w:p w14:paraId="7AF1BFBA">
            <w:pPr>
              <w:pStyle w:val="98"/>
              <w:ind w:left="-105" w:right="-105"/>
              <w:rPr>
                <w:rFonts w:eastAsia="宋体"/>
                <w:color w:val="auto"/>
                <w:sz w:val="21"/>
                <w:szCs w:val="21"/>
                <w:highlight w:val="none"/>
              </w:rPr>
            </w:pPr>
            <w:r>
              <w:rPr>
                <w:rFonts w:eastAsia="宋体"/>
                <w:color w:val="auto"/>
                <w:sz w:val="21"/>
                <w:szCs w:val="21"/>
                <w:highlight w:val="none"/>
              </w:rPr>
              <w:t>/</w:t>
            </w:r>
          </w:p>
        </w:tc>
        <w:tc>
          <w:tcPr>
            <w:tcW w:w="683" w:type="dxa"/>
            <w:tcBorders>
              <w:top w:val="single" w:color="000000" w:sz="4" w:space="0"/>
              <w:left w:val="single" w:color="000000" w:sz="4" w:space="0"/>
              <w:bottom w:val="single" w:color="000000" w:sz="4" w:space="0"/>
              <w:right w:val="single" w:color="000000" w:sz="4" w:space="0"/>
            </w:tcBorders>
          </w:tcPr>
          <w:p w14:paraId="7D628BD4">
            <w:pPr>
              <w:pStyle w:val="98"/>
              <w:ind w:left="-105" w:right="-105"/>
              <w:rPr>
                <w:rFonts w:eastAsia="宋体"/>
                <w:color w:val="auto"/>
                <w:sz w:val="21"/>
                <w:szCs w:val="21"/>
                <w:highlight w:val="none"/>
              </w:rPr>
            </w:pPr>
            <w:r>
              <w:rPr>
                <w:rFonts w:eastAsia="宋体"/>
                <w:color w:val="auto"/>
                <w:sz w:val="21"/>
                <w:szCs w:val="21"/>
                <w:highlight w:val="none"/>
              </w:rPr>
              <w:t>/</w:t>
            </w:r>
          </w:p>
        </w:tc>
        <w:tc>
          <w:tcPr>
            <w:tcW w:w="683" w:type="dxa"/>
            <w:tcBorders>
              <w:top w:val="single" w:color="000000" w:sz="4" w:space="0"/>
              <w:left w:val="single" w:color="000000" w:sz="4" w:space="0"/>
              <w:bottom w:val="single" w:color="000000" w:sz="4" w:space="0"/>
              <w:right w:val="single" w:color="000000" w:sz="4" w:space="0"/>
            </w:tcBorders>
          </w:tcPr>
          <w:p w14:paraId="6A69F1C8">
            <w:pPr>
              <w:pStyle w:val="98"/>
              <w:ind w:left="-105" w:right="-105"/>
              <w:rPr>
                <w:rFonts w:eastAsia="宋体"/>
                <w:color w:val="auto"/>
                <w:sz w:val="21"/>
                <w:szCs w:val="21"/>
                <w:highlight w:val="none"/>
              </w:rPr>
            </w:pPr>
            <w:r>
              <w:rPr>
                <w:rFonts w:eastAsia="宋体"/>
                <w:color w:val="auto"/>
                <w:sz w:val="21"/>
                <w:szCs w:val="21"/>
                <w:highlight w:val="none"/>
              </w:rPr>
              <w:t>/</w:t>
            </w:r>
          </w:p>
        </w:tc>
        <w:tc>
          <w:tcPr>
            <w:tcW w:w="684" w:type="dxa"/>
            <w:tcBorders>
              <w:top w:val="single" w:color="000000" w:sz="4" w:space="0"/>
              <w:left w:val="single" w:color="000000" w:sz="4" w:space="0"/>
              <w:bottom w:val="single" w:color="000000" w:sz="4" w:space="0"/>
              <w:right w:val="single" w:color="000000" w:sz="4" w:space="0"/>
            </w:tcBorders>
          </w:tcPr>
          <w:p w14:paraId="18EC5FA7">
            <w:pPr>
              <w:pStyle w:val="98"/>
              <w:ind w:left="-105" w:right="-105"/>
              <w:rPr>
                <w:rFonts w:eastAsia="宋体"/>
                <w:color w:val="auto"/>
                <w:sz w:val="21"/>
                <w:szCs w:val="21"/>
                <w:highlight w:val="none"/>
              </w:rPr>
            </w:pPr>
            <w:r>
              <w:rPr>
                <w:rFonts w:eastAsia="宋体"/>
                <w:color w:val="auto"/>
                <w:sz w:val="21"/>
                <w:szCs w:val="21"/>
                <w:highlight w:val="none"/>
              </w:rPr>
              <w:t>/</w:t>
            </w:r>
          </w:p>
        </w:tc>
        <w:tc>
          <w:tcPr>
            <w:tcW w:w="686" w:type="dxa"/>
            <w:tcBorders>
              <w:top w:val="single" w:color="000000" w:sz="4" w:space="0"/>
              <w:left w:val="single" w:color="000000" w:sz="4" w:space="0"/>
              <w:bottom w:val="single" w:color="000000" w:sz="4" w:space="0"/>
              <w:right w:val="single" w:color="000000" w:sz="4" w:space="0"/>
            </w:tcBorders>
          </w:tcPr>
          <w:p w14:paraId="3BD55AD7">
            <w:pPr>
              <w:pStyle w:val="98"/>
              <w:ind w:left="-105" w:right="-105"/>
              <w:rPr>
                <w:rFonts w:eastAsia="宋体"/>
                <w:color w:val="auto"/>
                <w:sz w:val="21"/>
                <w:szCs w:val="21"/>
                <w:highlight w:val="none"/>
              </w:rPr>
            </w:pPr>
            <w:r>
              <w:rPr>
                <w:rFonts w:eastAsia="宋体"/>
                <w:color w:val="auto"/>
                <w:sz w:val="21"/>
                <w:szCs w:val="21"/>
                <w:highlight w:val="none"/>
              </w:rPr>
              <w:t>/</w:t>
            </w:r>
          </w:p>
        </w:tc>
        <w:tc>
          <w:tcPr>
            <w:tcW w:w="684" w:type="dxa"/>
            <w:tcBorders>
              <w:top w:val="single" w:color="000000" w:sz="4" w:space="0"/>
              <w:left w:val="single" w:color="000000" w:sz="4" w:space="0"/>
              <w:bottom w:val="single" w:color="000000" w:sz="4" w:space="0"/>
              <w:right w:val="single" w:color="000000" w:sz="4" w:space="0"/>
            </w:tcBorders>
          </w:tcPr>
          <w:p w14:paraId="30D8054A">
            <w:pPr>
              <w:pStyle w:val="98"/>
              <w:ind w:left="-105" w:right="-105"/>
              <w:rPr>
                <w:rFonts w:eastAsia="宋体"/>
                <w:color w:val="auto"/>
                <w:sz w:val="21"/>
                <w:szCs w:val="21"/>
                <w:highlight w:val="none"/>
              </w:rPr>
            </w:pPr>
            <w:r>
              <w:rPr>
                <w:rFonts w:eastAsia="宋体"/>
                <w:color w:val="auto"/>
                <w:sz w:val="21"/>
                <w:szCs w:val="21"/>
                <w:highlight w:val="none"/>
              </w:rPr>
              <w:t>/</w:t>
            </w:r>
          </w:p>
        </w:tc>
        <w:tc>
          <w:tcPr>
            <w:tcW w:w="645" w:type="dxa"/>
            <w:tcBorders>
              <w:top w:val="single" w:color="000000" w:sz="4" w:space="0"/>
              <w:left w:val="single" w:color="000000" w:sz="4" w:space="0"/>
              <w:bottom w:val="single" w:color="000000" w:sz="4" w:space="0"/>
              <w:right w:val="single" w:color="000000" w:sz="4" w:space="0"/>
            </w:tcBorders>
          </w:tcPr>
          <w:p w14:paraId="20FCB51D">
            <w:pPr>
              <w:pStyle w:val="98"/>
              <w:ind w:left="-105" w:right="-105"/>
              <w:rPr>
                <w:rFonts w:eastAsia="宋体"/>
                <w:color w:val="auto"/>
                <w:sz w:val="21"/>
                <w:szCs w:val="21"/>
                <w:highlight w:val="none"/>
              </w:rPr>
            </w:pPr>
            <w:r>
              <w:rPr>
                <w:rFonts w:eastAsia="宋体"/>
                <w:color w:val="auto"/>
                <w:sz w:val="21"/>
                <w:szCs w:val="21"/>
                <w:highlight w:val="none"/>
              </w:rPr>
              <w:t>/</w:t>
            </w:r>
          </w:p>
        </w:tc>
        <w:tc>
          <w:tcPr>
            <w:tcW w:w="1134" w:type="dxa"/>
            <w:tcBorders>
              <w:top w:val="single" w:color="000000" w:sz="4" w:space="0"/>
              <w:left w:val="single" w:color="000000" w:sz="4" w:space="0"/>
              <w:bottom w:val="single" w:color="000000" w:sz="4" w:space="0"/>
              <w:right w:val="nil"/>
            </w:tcBorders>
          </w:tcPr>
          <w:p w14:paraId="76E2633D">
            <w:pPr>
              <w:pStyle w:val="98"/>
              <w:ind w:left="-105" w:right="-105"/>
              <w:rPr>
                <w:rFonts w:eastAsia="宋体"/>
                <w:color w:val="auto"/>
                <w:sz w:val="21"/>
                <w:szCs w:val="21"/>
                <w:highlight w:val="none"/>
              </w:rPr>
            </w:pPr>
            <w:r>
              <w:rPr>
                <w:rFonts w:eastAsia="宋体"/>
                <w:color w:val="auto"/>
                <w:sz w:val="21"/>
                <w:szCs w:val="21"/>
                <w:highlight w:val="none"/>
              </w:rPr>
              <w:t>/</w:t>
            </w:r>
          </w:p>
        </w:tc>
      </w:tr>
      <w:tr w14:paraId="57AA4CC3">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108" w:type="dxa"/>
            <w:bottom w:w="0" w:type="dxa"/>
            <w:right w:w="108" w:type="dxa"/>
          </w:tblCellMar>
        </w:tblPrEx>
        <w:trPr>
          <w:trHeight w:val="193" w:hRule="atLeast"/>
          <w:jc w:val="center"/>
        </w:trPr>
        <w:tc>
          <w:tcPr>
            <w:tcW w:w="1116" w:type="dxa"/>
            <w:vMerge w:val="continue"/>
            <w:tcBorders>
              <w:top w:val="nil"/>
              <w:left w:val="nil"/>
              <w:right w:val="single" w:color="000000" w:sz="4" w:space="0"/>
            </w:tcBorders>
            <w:vAlign w:val="center"/>
          </w:tcPr>
          <w:p w14:paraId="098238F2">
            <w:pPr>
              <w:ind w:left="-105" w:right="-105"/>
              <w:jc w:val="center"/>
              <w:rPr>
                <w:rFonts w:ascii="Times New Roman" w:hAnsi="Times New Roman" w:cs="Times New Roman"/>
                <w:color w:val="auto"/>
                <w:sz w:val="21"/>
                <w:szCs w:val="21"/>
                <w:highlight w:val="none"/>
              </w:rPr>
            </w:pPr>
          </w:p>
        </w:tc>
        <w:tc>
          <w:tcPr>
            <w:tcW w:w="742" w:type="dxa"/>
            <w:tcBorders>
              <w:top w:val="single" w:color="000000" w:sz="4" w:space="0"/>
              <w:left w:val="single" w:color="000000" w:sz="4" w:space="0"/>
              <w:bottom w:val="single" w:color="000000" w:sz="4" w:space="0"/>
              <w:right w:val="single" w:color="000000" w:sz="4" w:space="0"/>
            </w:tcBorders>
            <w:vAlign w:val="center"/>
          </w:tcPr>
          <w:p w14:paraId="5E548DC2">
            <w:pPr>
              <w:pStyle w:val="98"/>
              <w:ind w:left="-105" w:right="-105"/>
              <w:rPr>
                <w:rFonts w:eastAsia="宋体"/>
                <w:color w:val="auto"/>
                <w:sz w:val="21"/>
                <w:szCs w:val="21"/>
                <w:highlight w:val="none"/>
              </w:rPr>
            </w:pPr>
            <w:r>
              <w:rPr>
                <w:rFonts w:eastAsia="宋体"/>
                <w:color w:val="auto"/>
                <w:sz w:val="21"/>
                <w:szCs w:val="21"/>
                <w:highlight w:val="none"/>
              </w:rPr>
              <w:t>C</w:t>
            </w:r>
          </w:p>
        </w:tc>
        <w:tc>
          <w:tcPr>
            <w:tcW w:w="683" w:type="dxa"/>
            <w:tcBorders>
              <w:top w:val="single" w:color="000000" w:sz="4" w:space="0"/>
              <w:left w:val="single" w:color="000000" w:sz="4" w:space="0"/>
              <w:bottom w:val="single" w:color="000000" w:sz="4" w:space="0"/>
              <w:right w:val="single" w:color="000000" w:sz="4" w:space="0"/>
            </w:tcBorders>
          </w:tcPr>
          <w:p w14:paraId="58D3221E">
            <w:pPr>
              <w:pStyle w:val="98"/>
              <w:ind w:left="-105" w:right="-105"/>
              <w:rPr>
                <w:rFonts w:eastAsia="宋体"/>
                <w:color w:val="auto"/>
                <w:sz w:val="21"/>
                <w:szCs w:val="21"/>
                <w:highlight w:val="none"/>
              </w:rPr>
            </w:pPr>
            <w:r>
              <w:rPr>
                <w:rFonts w:eastAsia="宋体"/>
                <w:color w:val="auto"/>
                <w:sz w:val="21"/>
                <w:szCs w:val="21"/>
                <w:highlight w:val="none"/>
              </w:rPr>
              <w:t>/</w:t>
            </w:r>
          </w:p>
        </w:tc>
        <w:tc>
          <w:tcPr>
            <w:tcW w:w="683" w:type="dxa"/>
            <w:tcBorders>
              <w:top w:val="single" w:color="000000" w:sz="4" w:space="0"/>
              <w:left w:val="single" w:color="000000" w:sz="4" w:space="0"/>
              <w:bottom w:val="single" w:color="000000" w:sz="4" w:space="0"/>
              <w:right w:val="single" w:color="000000" w:sz="4" w:space="0"/>
            </w:tcBorders>
          </w:tcPr>
          <w:p w14:paraId="1FF838B7">
            <w:pPr>
              <w:pStyle w:val="98"/>
              <w:ind w:left="-105" w:right="-105"/>
              <w:rPr>
                <w:rFonts w:eastAsia="宋体"/>
                <w:color w:val="auto"/>
                <w:sz w:val="21"/>
                <w:szCs w:val="21"/>
                <w:highlight w:val="none"/>
              </w:rPr>
            </w:pPr>
            <w:r>
              <w:rPr>
                <w:rFonts w:eastAsia="宋体"/>
                <w:color w:val="auto"/>
                <w:sz w:val="21"/>
                <w:szCs w:val="21"/>
                <w:highlight w:val="none"/>
              </w:rPr>
              <w:t>/</w:t>
            </w:r>
          </w:p>
        </w:tc>
        <w:tc>
          <w:tcPr>
            <w:tcW w:w="686" w:type="dxa"/>
            <w:tcBorders>
              <w:top w:val="single" w:color="000000" w:sz="4" w:space="0"/>
              <w:left w:val="single" w:color="000000" w:sz="4" w:space="0"/>
              <w:bottom w:val="single" w:color="000000" w:sz="4" w:space="0"/>
              <w:right w:val="single" w:color="000000" w:sz="4" w:space="0"/>
            </w:tcBorders>
          </w:tcPr>
          <w:p w14:paraId="11E3D14E">
            <w:pPr>
              <w:pStyle w:val="98"/>
              <w:ind w:left="-105" w:right="-105"/>
              <w:rPr>
                <w:rFonts w:eastAsia="宋体"/>
                <w:color w:val="auto"/>
                <w:sz w:val="21"/>
                <w:szCs w:val="21"/>
                <w:highlight w:val="none"/>
              </w:rPr>
            </w:pPr>
            <w:r>
              <w:rPr>
                <w:rFonts w:eastAsia="宋体"/>
                <w:color w:val="auto"/>
                <w:sz w:val="21"/>
                <w:szCs w:val="21"/>
                <w:highlight w:val="none"/>
              </w:rPr>
              <w:t>/</w:t>
            </w:r>
          </w:p>
        </w:tc>
        <w:tc>
          <w:tcPr>
            <w:tcW w:w="683" w:type="dxa"/>
            <w:tcBorders>
              <w:top w:val="single" w:color="000000" w:sz="4" w:space="0"/>
              <w:left w:val="single" w:color="000000" w:sz="4" w:space="0"/>
              <w:bottom w:val="single" w:color="000000" w:sz="4" w:space="0"/>
              <w:right w:val="single" w:color="000000" w:sz="4" w:space="0"/>
            </w:tcBorders>
          </w:tcPr>
          <w:p w14:paraId="5CCD1B34">
            <w:pPr>
              <w:pStyle w:val="98"/>
              <w:ind w:left="-105" w:right="-105"/>
              <w:rPr>
                <w:rFonts w:eastAsia="宋体"/>
                <w:color w:val="auto"/>
                <w:sz w:val="21"/>
                <w:szCs w:val="21"/>
                <w:highlight w:val="none"/>
              </w:rPr>
            </w:pPr>
            <w:r>
              <w:rPr>
                <w:rFonts w:eastAsia="宋体"/>
                <w:color w:val="auto"/>
                <w:sz w:val="21"/>
                <w:szCs w:val="21"/>
                <w:highlight w:val="none"/>
              </w:rPr>
              <w:t>/</w:t>
            </w:r>
          </w:p>
        </w:tc>
        <w:tc>
          <w:tcPr>
            <w:tcW w:w="683" w:type="dxa"/>
            <w:tcBorders>
              <w:top w:val="single" w:color="000000" w:sz="4" w:space="0"/>
              <w:left w:val="single" w:color="000000" w:sz="4" w:space="0"/>
              <w:bottom w:val="single" w:color="000000" w:sz="4" w:space="0"/>
              <w:right w:val="single" w:color="000000" w:sz="4" w:space="0"/>
            </w:tcBorders>
          </w:tcPr>
          <w:p w14:paraId="011BA1D5">
            <w:pPr>
              <w:pStyle w:val="98"/>
              <w:ind w:left="-105" w:right="-105"/>
              <w:rPr>
                <w:rFonts w:eastAsia="宋体"/>
                <w:color w:val="auto"/>
                <w:sz w:val="21"/>
                <w:szCs w:val="21"/>
                <w:highlight w:val="none"/>
              </w:rPr>
            </w:pPr>
            <w:r>
              <w:rPr>
                <w:rFonts w:eastAsia="宋体"/>
                <w:color w:val="auto"/>
                <w:sz w:val="21"/>
                <w:szCs w:val="21"/>
                <w:highlight w:val="none"/>
              </w:rPr>
              <w:t>/</w:t>
            </w:r>
          </w:p>
        </w:tc>
        <w:tc>
          <w:tcPr>
            <w:tcW w:w="683" w:type="dxa"/>
            <w:tcBorders>
              <w:top w:val="single" w:color="000000" w:sz="4" w:space="0"/>
              <w:left w:val="single" w:color="000000" w:sz="4" w:space="0"/>
              <w:bottom w:val="single" w:color="000000" w:sz="4" w:space="0"/>
              <w:right w:val="single" w:color="000000" w:sz="4" w:space="0"/>
            </w:tcBorders>
          </w:tcPr>
          <w:p w14:paraId="35BB972C">
            <w:pPr>
              <w:pStyle w:val="98"/>
              <w:ind w:left="-105" w:right="-105"/>
              <w:rPr>
                <w:rFonts w:eastAsia="宋体"/>
                <w:color w:val="auto"/>
                <w:sz w:val="21"/>
                <w:szCs w:val="21"/>
                <w:highlight w:val="none"/>
              </w:rPr>
            </w:pPr>
            <w:r>
              <w:rPr>
                <w:rFonts w:eastAsia="宋体"/>
                <w:color w:val="auto"/>
                <w:sz w:val="21"/>
                <w:szCs w:val="21"/>
                <w:highlight w:val="none"/>
              </w:rPr>
              <w:t>/</w:t>
            </w:r>
          </w:p>
        </w:tc>
        <w:tc>
          <w:tcPr>
            <w:tcW w:w="685" w:type="dxa"/>
            <w:tcBorders>
              <w:top w:val="single" w:color="000000" w:sz="4" w:space="0"/>
              <w:left w:val="single" w:color="000000" w:sz="4" w:space="0"/>
              <w:bottom w:val="single" w:color="000000" w:sz="4" w:space="0"/>
              <w:right w:val="single" w:color="000000" w:sz="4" w:space="0"/>
            </w:tcBorders>
          </w:tcPr>
          <w:p w14:paraId="627CF20A">
            <w:pPr>
              <w:pStyle w:val="98"/>
              <w:ind w:left="-105" w:right="-105"/>
              <w:rPr>
                <w:rFonts w:eastAsia="宋体"/>
                <w:color w:val="auto"/>
                <w:sz w:val="21"/>
                <w:szCs w:val="21"/>
                <w:highlight w:val="none"/>
              </w:rPr>
            </w:pPr>
            <w:r>
              <w:rPr>
                <w:rFonts w:eastAsia="宋体"/>
                <w:color w:val="auto"/>
                <w:sz w:val="21"/>
                <w:szCs w:val="21"/>
                <w:highlight w:val="none"/>
              </w:rPr>
              <w:t>/</w:t>
            </w:r>
          </w:p>
        </w:tc>
        <w:tc>
          <w:tcPr>
            <w:tcW w:w="683" w:type="dxa"/>
            <w:tcBorders>
              <w:top w:val="single" w:color="000000" w:sz="4" w:space="0"/>
              <w:left w:val="single" w:color="000000" w:sz="4" w:space="0"/>
              <w:bottom w:val="single" w:color="000000" w:sz="4" w:space="0"/>
              <w:right w:val="single" w:color="000000" w:sz="4" w:space="0"/>
            </w:tcBorders>
          </w:tcPr>
          <w:p w14:paraId="7ED15461">
            <w:pPr>
              <w:pStyle w:val="98"/>
              <w:ind w:left="-105" w:right="-105"/>
              <w:rPr>
                <w:rFonts w:eastAsia="宋体"/>
                <w:color w:val="auto"/>
                <w:sz w:val="21"/>
                <w:szCs w:val="21"/>
                <w:highlight w:val="none"/>
              </w:rPr>
            </w:pPr>
            <w:r>
              <w:rPr>
                <w:rFonts w:eastAsia="宋体"/>
                <w:color w:val="auto"/>
                <w:sz w:val="21"/>
                <w:szCs w:val="21"/>
                <w:highlight w:val="none"/>
              </w:rPr>
              <w:t>/</w:t>
            </w:r>
          </w:p>
        </w:tc>
        <w:tc>
          <w:tcPr>
            <w:tcW w:w="683" w:type="dxa"/>
            <w:tcBorders>
              <w:top w:val="single" w:color="000000" w:sz="4" w:space="0"/>
              <w:left w:val="single" w:color="000000" w:sz="4" w:space="0"/>
              <w:bottom w:val="single" w:color="000000" w:sz="4" w:space="0"/>
              <w:right w:val="single" w:color="000000" w:sz="4" w:space="0"/>
            </w:tcBorders>
          </w:tcPr>
          <w:p w14:paraId="70C8B156">
            <w:pPr>
              <w:pStyle w:val="98"/>
              <w:ind w:left="-105" w:right="-105"/>
              <w:rPr>
                <w:rFonts w:eastAsia="宋体"/>
                <w:color w:val="auto"/>
                <w:sz w:val="21"/>
                <w:szCs w:val="21"/>
                <w:highlight w:val="none"/>
              </w:rPr>
            </w:pPr>
            <w:r>
              <w:rPr>
                <w:rFonts w:eastAsia="宋体"/>
                <w:color w:val="auto"/>
                <w:sz w:val="21"/>
                <w:szCs w:val="21"/>
                <w:highlight w:val="none"/>
              </w:rPr>
              <w:t>/</w:t>
            </w:r>
          </w:p>
        </w:tc>
        <w:tc>
          <w:tcPr>
            <w:tcW w:w="683" w:type="dxa"/>
            <w:tcBorders>
              <w:top w:val="single" w:color="000000" w:sz="4" w:space="0"/>
              <w:left w:val="single" w:color="000000" w:sz="4" w:space="0"/>
              <w:bottom w:val="single" w:color="000000" w:sz="4" w:space="0"/>
              <w:right w:val="single" w:color="000000" w:sz="4" w:space="0"/>
            </w:tcBorders>
          </w:tcPr>
          <w:p w14:paraId="68F54DCE">
            <w:pPr>
              <w:pStyle w:val="98"/>
              <w:ind w:left="-105" w:right="-105"/>
              <w:rPr>
                <w:rFonts w:eastAsia="宋体"/>
                <w:color w:val="auto"/>
                <w:sz w:val="21"/>
                <w:szCs w:val="21"/>
                <w:highlight w:val="none"/>
              </w:rPr>
            </w:pPr>
            <w:r>
              <w:rPr>
                <w:rFonts w:eastAsia="宋体"/>
                <w:color w:val="auto"/>
                <w:sz w:val="21"/>
                <w:szCs w:val="21"/>
                <w:highlight w:val="none"/>
              </w:rPr>
              <w:t>/</w:t>
            </w:r>
          </w:p>
        </w:tc>
        <w:tc>
          <w:tcPr>
            <w:tcW w:w="683" w:type="dxa"/>
            <w:tcBorders>
              <w:top w:val="single" w:color="000000" w:sz="4" w:space="0"/>
              <w:left w:val="single" w:color="000000" w:sz="4" w:space="0"/>
              <w:bottom w:val="single" w:color="000000" w:sz="4" w:space="0"/>
              <w:right w:val="single" w:color="000000" w:sz="4" w:space="0"/>
            </w:tcBorders>
          </w:tcPr>
          <w:p w14:paraId="0E82796F">
            <w:pPr>
              <w:pStyle w:val="98"/>
              <w:ind w:left="-105" w:right="-105"/>
              <w:rPr>
                <w:rFonts w:eastAsia="宋体"/>
                <w:color w:val="auto"/>
                <w:sz w:val="21"/>
                <w:szCs w:val="21"/>
                <w:highlight w:val="none"/>
              </w:rPr>
            </w:pPr>
            <w:r>
              <w:rPr>
                <w:rFonts w:eastAsia="宋体"/>
                <w:color w:val="auto"/>
                <w:sz w:val="21"/>
                <w:szCs w:val="21"/>
                <w:highlight w:val="none"/>
              </w:rPr>
              <w:t>/</w:t>
            </w:r>
          </w:p>
        </w:tc>
        <w:tc>
          <w:tcPr>
            <w:tcW w:w="683" w:type="dxa"/>
            <w:tcBorders>
              <w:top w:val="single" w:color="000000" w:sz="4" w:space="0"/>
              <w:left w:val="single" w:color="000000" w:sz="4" w:space="0"/>
              <w:bottom w:val="single" w:color="000000" w:sz="4" w:space="0"/>
              <w:right w:val="single" w:color="000000" w:sz="4" w:space="0"/>
            </w:tcBorders>
          </w:tcPr>
          <w:p w14:paraId="15E852E4">
            <w:pPr>
              <w:pStyle w:val="98"/>
              <w:ind w:left="-105" w:right="-105"/>
              <w:rPr>
                <w:rFonts w:eastAsia="宋体"/>
                <w:color w:val="auto"/>
                <w:sz w:val="21"/>
                <w:szCs w:val="21"/>
                <w:highlight w:val="none"/>
              </w:rPr>
            </w:pPr>
            <w:r>
              <w:rPr>
                <w:rFonts w:eastAsia="宋体"/>
                <w:color w:val="auto"/>
                <w:sz w:val="21"/>
                <w:szCs w:val="21"/>
                <w:highlight w:val="none"/>
              </w:rPr>
              <w:t>/</w:t>
            </w:r>
          </w:p>
        </w:tc>
        <w:tc>
          <w:tcPr>
            <w:tcW w:w="684" w:type="dxa"/>
            <w:tcBorders>
              <w:top w:val="single" w:color="000000" w:sz="4" w:space="0"/>
              <w:left w:val="single" w:color="000000" w:sz="4" w:space="0"/>
              <w:bottom w:val="single" w:color="000000" w:sz="4" w:space="0"/>
              <w:right w:val="single" w:color="000000" w:sz="4" w:space="0"/>
            </w:tcBorders>
          </w:tcPr>
          <w:p w14:paraId="2973C120">
            <w:pPr>
              <w:pStyle w:val="98"/>
              <w:ind w:left="-105" w:right="-105"/>
              <w:rPr>
                <w:rFonts w:eastAsia="宋体"/>
                <w:color w:val="auto"/>
                <w:sz w:val="21"/>
                <w:szCs w:val="21"/>
                <w:highlight w:val="none"/>
              </w:rPr>
            </w:pPr>
            <w:r>
              <w:rPr>
                <w:rFonts w:eastAsia="宋体"/>
                <w:color w:val="auto"/>
                <w:sz w:val="21"/>
                <w:szCs w:val="21"/>
                <w:highlight w:val="none"/>
              </w:rPr>
              <w:t>/</w:t>
            </w:r>
          </w:p>
        </w:tc>
        <w:tc>
          <w:tcPr>
            <w:tcW w:w="686" w:type="dxa"/>
            <w:tcBorders>
              <w:top w:val="single" w:color="000000" w:sz="4" w:space="0"/>
              <w:left w:val="single" w:color="000000" w:sz="4" w:space="0"/>
              <w:bottom w:val="single" w:color="000000" w:sz="4" w:space="0"/>
              <w:right w:val="single" w:color="000000" w:sz="4" w:space="0"/>
            </w:tcBorders>
          </w:tcPr>
          <w:p w14:paraId="0DEBB559">
            <w:pPr>
              <w:pStyle w:val="98"/>
              <w:ind w:left="-105" w:right="-105"/>
              <w:rPr>
                <w:rFonts w:eastAsia="宋体"/>
                <w:color w:val="auto"/>
                <w:sz w:val="21"/>
                <w:szCs w:val="21"/>
                <w:highlight w:val="none"/>
              </w:rPr>
            </w:pPr>
            <w:r>
              <w:rPr>
                <w:rFonts w:eastAsia="宋体"/>
                <w:color w:val="auto"/>
                <w:sz w:val="21"/>
                <w:szCs w:val="21"/>
                <w:highlight w:val="none"/>
              </w:rPr>
              <w:t>/</w:t>
            </w:r>
          </w:p>
        </w:tc>
        <w:tc>
          <w:tcPr>
            <w:tcW w:w="684" w:type="dxa"/>
            <w:tcBorders>
              <w:top w:val="single" w:color="000000" w:sz="4" w:space="0"/>
              <w:left w:val="single" w:color="000000" w:sz="4" w:space="0"/>
              <w:bottom w:val="single" w:color="000000" w:sz="4" w:space="0"/>
              <w:right w:val="single" w:color="000000" w:sz="4" w:space="0"/>
            </w:tcBorders>
          </w:tcPr>
          <w:p w14:paraId="69271004">
            <w:pPr>
              <w:pStyle w:val="98"/>
              <w:ind w:left="-105" w:right="-105"/>
              <w:rPr>
                <w:rFonts w:eastAsia="宋体"/>
                <w:color w:val="auto"/>
                <w:sz w:val="21"/>
                <w:szCs w:val="21"/>
                <w:highlight w:val="none"/>
              </w:rPr>
            </w:pPr>
            <w:r>
              <w:rPr>
                <w:rFonts w:eastAsia="宋体"/>
                <w:color w:val="auto"/>
                <w:sz w:val="21"/>
                <w:szCs w:val="21"/>
                <w:highlight w:val="none"/>
              </w:rPr>
              <w:t>/</w:t>
            </w:r>
          </w:p>
        </w:tc>
        <w:tc>
          <w:tcPr>
            <w:tcW w:w="645" w:type="dxa"/>
            <w:tcBorders>
              <w:top w:val="single" w:color="000000" w:sz="4" w:space="0"/>
              <w:left w:val="single" w:color="000000" w:sz="4" w:space="0"/>
              <w:bottom w:val="single" w:color="000000" w:sz="4" w:space="0"/>
              <w:right w:val="single" w:color="000000" w:sz="4" w:space="0"/>
            </w:tcBorders>
          </w:tcPr>
          <w:p w14:paraId="66CB6C1E">
            <w:pPr>
              <w:pStyle w:val="98"/>
              <w:ind w:left="-105" w:right="-105"/>
              <w:rPr>
                <w:rFonts w:eastAsia="宋体"/>
                <w:color w:val="auto"/>
                <w:sz w:val="21"/>
                <w:szCs w:val="21"/>
                <w:highlight w:val="none"/>
              </w:rPr>
            </w:pPr>
            <w:r>
              <w:rPr>
                <w:rFonts w:eastAsia="宋体"/>
                <w:color w:val="auto"/>
                <w:sz w:val="21"/>
                <w:szCs w:val="21"/>
                <w:highlight w:val="none"/>
              </w:rPr>
              <w:t>/</w:t>
            </w:r>
          </w:p>
        </w:tc>
        <w:tc>
          <w:tcPr>
            <w:tcW w:w="1134" w:type="dxa"/>
            <w:tcBorders>
              <w:top w:val="single" w:color="000000" w:sz="4" w:space="0"/>
              <w:left w:val="single" w:color="000000" w:sz="4" w:space="0"/>
              <w:bottom w:val="single" w:color="000000" w:sz="4" w:space="0"/>
              <w:right w:val="nil"/>
            </w:tcBorders>
          </w:tcPr>
          <w:p w14:paraId="20A2244E">
            <w:pPr>
              <w:pStyle w:val="98"/>
              <w:ind w:left="-105" w:right="-105"/>
              <w:rPr>
                <w:rFonts w:eastAsia="宋体"/>
                <w:color w:val="auto"/>
                <w:sz w:val="21"/>
                <w:szCs w:val="21"/>
                <w:highlight w:val="none"/>
              </w:rPr>
            </w:pPr>
            <w:r>
              <w:rPr>
                <w:rFonts w:eastAsia="宋体"/>
                <w:color w:val="auto"/>
                <w:sz w:val="21"/>
                <w:szCs w:val="21"/>
                <w:highlight w:val="none"/>
              </w:rPr>
              <w:t>/</w:t>
            </w:r>
          </w:p>
        </w:tc>
      </w:tr>
      <w:tr w14:paraId="61526B49">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108" w:type="dxa"/>
            <w:bottom w:w="0" w:type="dxa"/>
            <w:right w:w="108" w:type="dxa"/>
          </w:tblCellMar>
        </w:tblPrEx>
        <w:trPr>
          <w:trHeight w:val="193" w:hRule="atLeast"/>
          <w:jc w:val="center"/>
        </w:trPr>
        <w:tc>
          <w:tcPr>
            <w:tcW w:w="1116" w:type="dxa"/>
            <w:vMerge w:val="continue"/>
            <w:tcBorders>
              <w:top w:val="nil"/>
              <w:left w:val="nil"/>
              <w:right w:val="single" w:color="000000" w:sz="4" w:space="0"/>
            </w:tcBorders>
            <w:vAlign w:val="center"/>
          </w:tcPr>
          <w:p w14:paraId="76B9B439">
            <w:pPr>
              <w:ind w:left="-105" w:right="-105"/>
              <w:jc w:val="center"/>
              <w:rPr>
                <w:rFonts w:ascii="Times New Roman" w:hAnsi="Times New Roman" w:cs="Times New Roman"/>
                <w:color w:val="auto"/>
                <w:sz w:val="21"/>
                <w:szCs w:val="21"/>
                <w:highlight w:val="none"/>
              </w:rPr>
            </w:pPr>
          </w:p>
        </w:tc>
        <w:tc>
          <w:tcPr>
            <w:tcW w:w="742" w:type="dxa"/>
            <w:tcBorders>
              <w:top w:val="single" w:color="000000" w:sz="4" w:space="0"/>
              <w:left w:val="single" w:color="000000" w:sz="4" w:space="0"/>
              <w:bottom w:val="single" w:color="000000" w:sz="4" w:space="0"/>
              <w:right w:val="single" w:color="000000" w:sz="4" w:space="0"/>
            </w:tcBorders>
            <w:vAlign w:val="center"/>
          </w:tcPr>
          <w:p w14:paraId="40F612A0">
            <w:pPr>
              <w:pStyle w:val="98"/>
              <w:ind w:left="-105" w:right="-105"/>
              <w:rPr>
                <w:rFonts w:eastAsia="宋体"/>
                <w:color w:val="auto"/>
                <w:sz w:val="21"/>
                <w:szCs w:val="21"/>
                <w:highlight w:val="none"/>
              </w:rPr>
            </w:pPr>
            <w:r>
              <w:rPr>
                <w:rFonts w:eastAsia="宋体"/>
                <w:color w:val="auto"/>
                <w:sz w:val="21"/>
                <w:szCs w:val="21"/>
                <w:highlight w:val="none"/>
              </w:rPr>
              <w:t>D</w:t>
            </w:r>
          </w:p>
        </w:tc>
        <w:tc>
          <w:tcPr>
            <w:tcW w:w="683" w:type="dxa"/>
            <w:tcBorders>
              <w:top w:val="single" w:color="000000" w:sz="4" w:space="0"/>
              <w:left w:val="single" w:color="000000" w:sz="4" w:space="0"/>
              <w:bottom w:val="single" w:color="000000" w:sz="4" w:space="0"/>
              <w:right w:val="single" w:color="000000" w:sz="4" w:space="0"/>
            </w:tcBorders>
          </w:tcPr>
          <w:p w14:paraId="5D1279AB">
            <w:pPr>
              <w:pStyle w:val="98"/>
              <w:ind w:left="-105" w:right="-105"/>
              <w:rPr>
                <w:rFonts w:eastAsia="宋体"/>
                <w:color w:val="auto"/>
                <w:sz w:val="21"/>
                <w:szCs w:val="21"/>
                <w:highlight w:val="none"/>
              </w:rPr>
            </w:pPr>
            <w:r>
              <w:rPr>
                <w:rFonts w:eastAsia="宋体"/>
                <w:color w:val="auto"/>
                <w:sz w:val="21"/>
                <w:szCs w:val="21"/>
                <w:highlight w:val="none"/>
              </w:rPr>
              <w:t>/</w:t>
            </w:r>
          </w:p>
        </w:tc>
        <w:tc>
          <w:tcPr>
            <w:tcW w:w="683" w:type="dxa"/>
            <w:tcBorders>
              <w:top w:val="single" w:color="000000" w:sz="4" w:space="0"/>
              <w:left w:val="single" w:color="000000" w:sz="4" w:space="0"/>
              <w:bottom w:val="single" w:color="000000" w:sz="4" w:space="0"/>
              <w:right w:val="single" w:color="000000" w:sz="4" w:space="0"/>
            </w:tcBorders>
          </w:tcPr>
          <w:p w14:paraId="5AE98F2B">
            <w:pPr>
              <w:pStyle w:val="98"/>
              <w:ind w:left="-105" w:right="-105"/>
              <w:rPr>
                <w:rFonts w:eastAsia="宋体"/>
                <w:color w:val="auto"/>
                <w:sz w:val="21"/>
                <w:szCs w:val="21"/>
                <w:highlight w:val="none"/>
              </w:rPr>
            </w:pPr>
            <w:r>
              <w:rPr>
                <w:rFonts w:eastAsia="宋体"/>
                <w:color w:val="auto"/>
                <w:sz w:val="21"/>
                <w:szCs w:val="21"/>
                <w:highlight w:val="none"/>
              </w:rPr>
              <w:t>/</w:t>
            </w:r>
          </w:p>
        </w:tc>
        <w:tc>
          <w:tcPr>
            <w:tcW w:w="686" w:type="dxa"/>
            <w:tcBorders>
              <w:top w:val="single" w:color="000000" w:sz="4" w:space="0"/>
              <w:left w:val="single" w:color="000000" w:sz="4" w:space="0"/>
              <w:bottom w:val="single" w:color="000000" w:sz="4" w:space="0"/>
              <w:right w:val="single" w:color="000000" w:sz="4" w:space="0"/>
            </w:tcBorders>
            <w:vAlign w:val="center"/>
          </w:tcPr>
          <w:p w14:paraId="2DB65208">
            <w:pPr>
              <w:pStyle w:val="98"/>
              <w:ind w:left="-105" w:right="-105"/>
              <w:rPr>
                <w:rFonts w:eastAsia="宋体"/>
                <w:color w:val="auto"/>
                <w:sz w:val="21"/>
                <w:szCs w:val="21"/>
                <w:highlight w:val="none"/>
              </w:rPr>
            </w:pPr>
            <w:r>
              <w:rPr>
                <w:rFonts w:eastAsia="宋体"/>
                <w:color w:val="auto"/>
                <w:sz w:val="21"/>
                <w:szCs w:val="21"/>
                <w:highlight w:val="none"/>
              </w:rPr>
              <w:t>5.3</w:t>
            </w:r>
          </w:p>
        </w:tc>
        <w:tc>
          <w:tcPr>
            <w:tcW w:w="683" w:type="dxa"/>
            <w:tcBorders>
              <w:top w:val="single" w:color="000000" w:sz="4" w:space="0"/>
              <w:left w:val="single" w:color="000000" w:sz="4" w:space="0"/>
              <w:bottom w:val="single" w:color="000000" w:sz="4" w:space="0"/>
              <w:right w:val="single" w:color="000000" w:sz="4" w:space="0"/>
            </w:tcBorders>
            <w:vAlign w:val="center"/>
          </w:tcPr>
          <w:p w14:paraId="519C5481">
            <w:pPr>
              <w:pStyle w:val="98"/>
              <w:ind w:left="-105" w:right="-105"/>
              <w:rPr>
                <w:rFonts w:eastAsia="宋体"/>
                <w:color w:val="auto"/>
                <w:sz w:val="21"/>
                <w:szCs w:val="21"/>
                <w:highlight w:val="none"/>
              </w:rPr>
            </w:pPr>
            <w:r>
              <w:rPr>
                <w:rFonts w:eastAsia="宋体"/>
                <w:color w:val="auto"/>
                <w:sz w:val="21"/>
                <w:szCs w:val="21"/>
                <w:highlight w:val="none"/>
              </w:rPr>
              <w:t>15.8</w:t>
            </w:r>
          </w:p>
        </w:tc>
        <w:tc>
          <w:tcPr>
            <w:tcW w:w="683" w:type="dxa"/>
            <w:tcBorders>
              <w:top w:val="single" w:color="000000" w:sz="4" w:space="0"/>
              <w:left w:val="single" w:color="000000" w:sz="4" w:space="0"/>
              <w:bottom w:val="single" w:color="000000" w:sz="4" w:space="0"/>
              <w:right w:val="single" w:color="000000" w:sz="4" w:space="0"/>
            </w:tcBorders>
            <w:vAlign w:val="center"/>
          </w:tcPr>
          <w:p w14:paraId="76EB3CA1">
            <w:pPr>
              <w:pStyle w:val="98"/>
              <w:ind w:left="-105" w:right="-105"/>
              <w:rPr>
                <w:rFonts w:eastAsia="宋体"/>
                <w:color w:val="auto"/>
                <w:sz w:val="21"/>
                <w:szCs w:val="21"/>
                <w:highlight w:val="none"/>
              </w:rPr>
            </w:pPr>
            <w:r>
              <w:rPr>
                <w:rFonts w:eastAsia="宋体"/>
                <w:color w:val="auto"/>
                <w:sz w:val="21"/>
                <w:szCs w:val="21"/>
                <w:highlight w:val="none"/>
              </w:rPr>
              <w:t>15.8</w:t>
            </w:r>
          </w:p>
        </w:tc>
        <w:tc>
          <w:tcPr>
            <w:tcW w:w="683" w:type="dxa"/>
            <w:tcBorders>
              <w:top w:val="single" w:color="000000" w:sz="4" w:space="0"/>
              <w:left w:val="single" w:color="000000" w:sz="4" w:space="0"/>
              <w:bottom w:val="single" w:color="000000" w:sz="4" w:space="0"/>
              <w:right w:val="single" w:color="000000" w:sz="4" w:space="0"/>
            </w:tcBorders>
            <w:vAlign w:val="center"/>
          </w:tcPr>
          <w:p w14:paraId="23F75936">
            <w:pPr>
              <w:pStyle w:val="98"/>
              <w:ind w:left="-105" w:right="-105"/>
              <w:rPr>
                <w:rFonts w:eastAsia="宋体"/>
                <w:color w:val="auto"/>
                <w:sz w:val="21"/>
                <w:szCs w:val="21"/>
                <w:highlight w:val="none"/>
              </w:rPr>
            </w:pPr>
            <w:r>
              <w:rPr>
                <w:rFonts w:eastAsia="宋体"/>
                <w:color w:val="auto"/>
                <w:sz w:val="21"/>
                <w:szCs w:val="21"/>
                <w:highlight w:val="none"/>
              </w:rPr>
              <w:t>5.3</w:t>
            </w:r>
          </w:p>
        </w:tc>
        <w:tc>
          <w:tcPr>
            <w:tcW w:w="685" w:type="dxa"/>
            <w:tcBorders>
              <w:top w:val="single" w:color="000000" w:sz="4" w:space="0"/>
              <w:left w:val="single" w:color="000000" w:sz="4" w:space="0"/>
              <w:bottom w:val="single" w:color="000000" w:sz="4" w:space="0"/>
              <w:right w:val="single" w:color="000000" w:sz="4" w:space="0"/>
            </w:tcBorders>
            <w:vAlign w:val="center"/>
          </w:tcPr>
          <w:p w14:paraId="6197B172">
            <w:pPr>
              <w:pStyle w:val="98"/>
              <w:ind w:left="-105" w:right="-105"/>
              <w:rPr>
                <w:rFonts w:eastAsia="宋体"/>
                <w:color w:val="auto"/>
                <w:sz w:val="21"/>
                <w:szCs w:val="21"/>
                <w:highlight w:val="none"/>
              </w:rPr>
            </w:pPr>
            <w:r>
              <w:rPr>
                <w:rFonts w:eastAsia="宋体"/>
                <w:color w:val="auto"/>
                <w:sz w:val="21"/>
                <w:szCs w:val="21"/>
                <w:highlight w:val="none"/>
              </w:rPr>
              <w:t>10.5</w:t>
            </w:r>
          </w:p>
        </w:tc>
        <w:tc>
          <w:tcPr>
            <w:tcW w:w="683" w:type="dxa"/>
            <w:tcBorders>
              <w:top w:val="single" w:color="000000" w:sz="4" w:space="0"/>
              <w:left w:val="single" w:color="000000" w:sz="4" w:space="0"/>
              <w:bottom w:val="single" w:color="000000" w:sz="4" w:space="0"/>
              <w:right w:val="single" w:color="000000" w:sz="4" w:space="0"/>
            </w:tcBorders>
          </w:tcPr>
          <w:p w14:paraId="4ED6604A">
            <w:pPr>
              <w:pStyle w:val="98"/>
              <w:ind w:left="-105" w:right="-105"/>
              <w:rPr>
                <w:rFonts w:eastAsia="宋体"/>
                <w:color w:val="auto"/>
                <w:sz w:val="21"/>
                <w:szCs w:val="21"/>
                <w:highlight w:val="none"/>
              </w:rPr>
            </w:pPr>
            <w:r>
              <w:rPr>
                <w:rFonts w:eastAsia="宋体"/>
                <w:color w:val="auto"/>
                <w:sz w:val="21"/>
                <w:szCs w:val="21"/>
                <w:highlight w:val="none"/>
              </w:rPr>
              <w:t>/</w:t>
            </w:r>
          </w:p>
        </w:tc>
        <w:tc>
          <w:tcPr>
            <w:tcW w:w="683" w:type="dxa"/>
            <w:tcBorders>
              <w:top w:val="single" w:color="000000" w:sz="4" w:space="0"/>
              <w:left w:val="single" w:color="000000" w:sz="4" w:space="0"/>
              <w:bottom w:val="single" w:color="000000" w:sz="4" w:space="0"/>
              <w:right w:val="single" w:color="000000" w:sz="4" w:space="0"/>
            </w:tcBorders>
          </w:tcPr>
          <w:p w14:paraId="0727937F">
            <w:pPr>
              <w:pStyle w:val="98"/>
              <w:ind w:left="-105" w:right="-105"/>
              <w:rPr>
                <w:rFonts w:eastAsia="宋体"/>
                <w:color w:val="auto"/>
                <w:sz w:val="21"/>
                <w:szCs w:val="21"/>
                <w:highlight w:val="none"/>
              </w:rPr>
            </w:pPr>
            <w:r>
              <w:rPr>
                <w:rFonts w:eastAsia="宋体"/>
                <w:color w:val="auto"/>
                <w:sz w:val="21"/>
                <w:szCs w:val="21"/>
                <w:highlight w:val="none"/>
              </w:rPr>
              <w:t>/</w:t>
            </w:r>
          </w:p>
        </w:tc>
        <w:tc>
          <w:tcPr>
            <w:tcW w:w="683" w:type="dxa"/>
            <w:tcBorders>
              <w:top w:val="single" w:color="000000" w:sz="4" w:space="0"/>
              <w:left w:val="single" w:color="000000" w:sz="4" w:space="0"/>
              <w:bottom w:val="single" w:color="000000" w:sz="4" w:space="0"/>
              <w:right w:val="single" w:color="000000" w:sz="4" w:space="0"/>
            </w:tcBorders>
          </w:tcPr>
          <w:p w14:paraId="223057C5">
            <w:pPr>
              <w:pStyle w:val="98"/>
              <w:ind w:left="-105" w:right="-105"/>
              <w:rPr>
                <w:rFonts w:eastAsia="宋体"/>
                <w:color w:val="auto"/>
                <w:sz w:val="21"/>
                <w:szCs w:val="21"/>
                <w:highlight w:val="none"/>
              </w:rPr>
            </w:pPr>
            <w:r>
              <w:rPr>
                <w:rFonts w:eastAsia="宋体"/>
                <w:color w:val="auto"/>
                <w:sz w:val="21"/>
                <w:szCs w:val="21"/>
                <w:highlight w:val="none"/>
              </w:rPr>
              <w:t>/</w:t>
            </w:r>
          </w:p>
        </w:tc>
        <w:tc>
          <w:tcPr>
            <w:tcW w:w="683" w:type="dxa"/>
            <w:tcBorders>
              <w:top w:val="single" w:color="000000" w:sz="4" w:space="0"/>
              <w:left w:val="single" w:color="000000" w:sz="4" w:space="0"/>
              <w:bottom w:val="single" w:color="000000" w:sz="4" w:space="0"/>
              <w:right w:val="single" w:color="000000" w:sz="4" w:space="0"/>
            </w:tcBorders>
          </w:tcPr>
          <w:p w14:paraId="4DAA2C0F">
            <w:pPr>
              <w:pStyle w:val="98"/>
              <w:ind w:left="-105" w:right="-105"/>
              <w:rPr>
                <w:rFonts w:eastAsia="宋体"/>
                <w:color w:val="auto"/>
                <w:sz w:val="21"/>
                <w:szCs w:val="21"/>
                <w:highlight w:val="none"/>
              </w:rPr>
            </w:pPr>
            <w:r>
              <w:rPr>
                <w:rFonts w:eastAsia="宋体"/>
                <w:color w:val="auto"/>
                <w:sz w:val="21"/>
                <w:szCs w:val="21"/>
                <w:highlight w:val="none"/>
              </w:rPr>
              <w:t>/</w:t>
            </w:r>
          </w:p>
        </w:tc>
        <w:tc>
          <w:tcPr>
            <w:tcW w:w="683" w:type="dxa"/>
            <w:tcBorders>
              <w:top w:val="single" w:color="000000" w:sz="4" w:space="0"/>
              <w:left w:val="single" w:color="000000" w:sz="4" w:space="0"/>
              <w:bottom w:val="single" w:color="000000" w:sz="4" w:space="0"/>
              <w:right w:val="single" w:color="000000" w:sz="4" w:space="0"/>
            </w:tcBorders>
            <w:vAlign w:val="center"/>
          </w:tcPr>
          <w:p w14:paraId="3706AE7D">
            <w:pPr>
              <w:pStyle w:val="98"/>
              <w:ind w:left="-105" w:right="-105"/>
              <w:rPr>
                <w:rFonts w:eastAsia="宋体"/>
                <w:color w:val="auto"/>
                <w:sz w:val="21"/>
                <w:szCs w:val="21"/>
                <w:highlight w:val="none"/>
              </w:rPr>
            </w:pPr>
            <w:r>
              <w:rPr>
                <w:rFonts w:eastAsia="宋体"/>
                <w:color w:val="auto"/>
                <w:sz w:val="21"/>
                <w:szCs w:val="21"/>
                <w:highlight w:val="none"/>
              </w:rPr>
              <w:t>5.3</w:t>
            </w:r>
          </w:p>
        </w:tc>
        <w:tc>
          <w:tcPr>
            <w:tcW w:w="684" w:type="dxa"/>
            <w:tcBorders>
              <w:top w:val="single" w:color="000000" w:sz="4" w:space="0"/>
              <w:left w:val="single" w:color="000000" w:sz="4" w:space="0"/>
              <w:bottom w:val="single" w:color="000000" w:sz="4" w:space="0"/>
              <w:right w:val="single" w:color="000000" w:sz="4" w:space="0"/>
            </w:tcBorders>
            <w:vAlign w:val="center"/>
          </w:tcPr>
          <w:p w14:paraId="340846A7">
            <w:pPr>
              <w:pStyle w:val="98"/>
              <w:ind w:left="-105" w:right="-105"/>
              <w:rPr>
                <w:rFonts w:eastAsia="宋体"/>
                <w:color w:val="auto"/>
                <w:sz w:val="21"/>
                <w:szCs w:val="21"/>
                <w:highlight w:val="none"/>
              </w:rPr>
            </w:pPr>
            <w:r>
              <w:rPr>
                <w:rFonts w:eastAsia="宋体"/>
                <w:color w:val="auto"/>
                <w:sz w:val="21"/>
                <w:szCs w:val="21"/>
                <w:highlight w:val="none"/>
              </w:rPr>
              <w:t>/</w:t>
            </w:r>
          </w:p>
        </w:tc>
        <w:tc>
          <w:tcPr>
            <w:tcW w:w="686" w:type="dxa"/>
            <w:tcBorders>
              <w:top w:val="single" w:color="000000" w:sz="4" w:space="0"/>
              <w:left w:val="single" w:color="000000" w:sz="4" w:space="0"/>
              <w:bottom w:val="single" w:color="000000" w:sz="4" w:space="0"/>
              <w:right w:val="single" w:color="000000" w:sz="4" w:space="0"/>
            </w:tcBorders>
            <w:vAlign w:val="center"/>
          </w:tcPr>
          <w:p w14:paraId="4C4D870B">
            <w:pPr>
              <w:pStyle w:val="98"/>
              <w:ind w:left="-105" w:right="-105"/>
              <w:rPr>
                <w:rFonts w:eastAsia="宋体"/>
                <w:color w:val="auto"/>
                <w:sz w:val="21"/>
                <w:szCs w:val="21"/>
                <w:highlight w:val="none"/>
              </w:rPr>
            </w:pPr>
            <w:r>
              <w:rPr>
                <w:rFonts w:eastAsia="宋体"/>
                <w:color w:val="auto"/>
                <w:sz w:val="21"/>
                <w:szCs w:val="21"/>
                <w:highlight w:val="none"/>
              </w:rPr>
              <w:t>21.1</w:t>
            </w:r>
          </w:p>
        </w:tc>
        <w:tc>
          <w:tcPr>
            <w:tcW w:w="684" w:type="dxa"/>
            <w:tcBorders>
              <w:top w:val="single" w:color="000000" w:sz="4" w:space="0"/>
              <w:left w:val="single" w:color="000000" w:sz="4" w:space="0"/>
              <w:bottom w:val="single" w:color="000000" w:sz="4" w:space="0"/>
              <w:right w:val="single" w:color="000000" w:sz="4" w:space="0"/>
            </w:tcBorders>
            <w:vAlign w:val="center"/>
          </w:tcPr>
          <w:p w14:paraId="3963CDFF">
            <w:pPr>
              <w:pStyle w:val="98"/>
              <w:ind w:left="-105" w:right="-105"/>
              <w:rPr>
                <w:rFonts w:eastAsia="宋体"/>
                <w:color w:val="auto"/>
                <w:sz w:val="21"/>
                <w:szCs w:val="21"/>
                <w:highlight w:val="none"/>
              </w:rPr>
            </w:pPr>
            <w:r>
              <w:rPr>
                <w:rFonts w:eastAsia="宋体"/>
                <w:color w:val="auto"/>
                <w:sz w:val="21"/>
                <w:szCs w:val="21"/>
                <w:highlight w:val="none"/>
              </w:rPr>
              <w:t>15.8</w:t>
            </w:r>
          </w:p>
        </w:tc>
        <w:tc>
          <w:tcPr>
            <w:tcW w:w="645" w:type="dxa"/>
            <w:tcBorders>
              <w:top w:val="single" w:color="000000" w:sz="4" w:space="0"/>
              <w:left w:val="single" w:color="000000" w:sz="4" w:space="0"/>
              <w:bottom w:val="single" w:color="000000" w:sz="4" w:space="0"/>
              <w:right w:val="single" w:color="000000" w:sz="4" w:space="0"/>
            </w:tcBorders>
            <w:vAlign w:val="center"/>
          </w:tcPr>
          <w:p w14:paraId="53468A4F">
            <w:pPr>
              <w:pStyle w:val="98"/>
              <w:ind w:left="-105" w:right="-105"/>
              <w:rPr>
                <w:rFonts w:eastAsia="宋体"/>
                <w:color w:val="auto"/>
                <w:sz w:val="21"/>
                <w:szCs w:val="21"/>
                <w:highlight w:val="none"/>
              </w:rPr>
            </w:pPr>
            <w:r>
              <w:rPr>
                <w:rFonts w:eastAsia="宋体"/>
                <w:color w:val="auto"/>
                <w:sz w:val="21"/>
                <w:szCs w:val="21"/>
                <w:highlight w:val="none"/>
              </w:rPr>
              <w:t>5.3</w:t>
            </w:r>
          </w:p>
        </w:tc>
        <w:tc>
          <w:tcPr>
            <w:tcW w:w="1134" w:type="dxa"/>
            <w:tcBorders>
              <w:top w:val="single" w:color="000000" w:sz="4" w:space="0"/>
              <w:left w:val="single" w:color="000000" w:sz="4" w:space="0"/>
              <w:bottom w:val="single" w:color="000000" w:sz="4" w:space="0"/>
              <w:right w:val="nil"/>
            </w:tcBorders>
            <w:vAlign w:val="center"/>
          </w:tcPr>
          <w:p w14:paraId="3FD22E05">
            <w:pPr>
              <w:pStyle w:val="98"/>
              <w:ind w:left="-105" w:right="-105"/>
              <w:rPr>
                <w:rFonts w:eastAsia="宋体"/>
                <w:color w:val="auto"/>
                <w:sz w:val="21"/>
                <w:szCs w:val="21"/>
                <w:highlight w:val="none"/>
              </w:rPr>
            </w:pPr>
            <w:r>
              <w:rPr>
                <w:rFonts w:eastAsia="宋体"/>
                <w:color w:val="auto"/>
                <w:sz w:val="21"/>
                <w:szCs w:val="21"/>
                <w:highlight w:val="none"/>
              </w:rPr>
              <w:t>100</w:t>
            </w:r>
          </w:p>
        </w:tc>
      </w:tr>
      <w:tr w14:paraId="7430783A">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108" w:type="dxa"/>
            <w:bottom w:w="0" w:type="dxa"/>
            <w:right w:w="108" w:type="dxa"/>
          </w:tblCellMar>
        </w:tblPrEx>
        <w:trPr>
          <w:trHeight w:val="202" w:hRule="atLeast"/>
          <w:jc w:val="center"/>
        </w:trPr>
        <w:tc>
          <w:tcPr>
            <w:tcW w:w="1116" w:type="dxa"/>
            <w:vMerge w:val="continue"/>
            <w:tcBorders>
              <w:top w:val="nil"/>
              <w:left w:val="nil"/>
              <w:right w:val="single" w:color="000000" w:sz="4" w:space="0"/>
            </w:tcBorders>
            <w:vAlign w:val="center"/>
          </w:tcPr>
          <w:p w14:paraId="2AC67E04">
            <w:pPr>
              <w:ind w:left="-105" w:right="-105"/>
              <w:jc w:val="center"/>
              <w:rPr>
                <w:rFonts w:ascii="Times New Roman" w:hAnsi="Times New Roman" w:cs="Times New Roman"/>
                <w:color w:val="auto"/>
                <w:sz w:val="21"/>
                <w:szCs w:val="21"/>
                <w:highlight w:val="none"/>
              </w:rPr>
            </w:pPr>
          </w:p>
        </w:tc>
        <w:tc>
          <w:tcPr>
            <w:tcW w:w="742" w:type="dxa"/>
            <w:tcBorders>
              <w:top w:val="single" w:color="000000" w:sz="4" w:space="0"/>
              <w:left w:val="single" w:color="000000" w:sz="4" w:space="0"/>
              <w:right w:val="single" w:color="000000" w:sz="4" w:space="0"/>
            </w:tcBorders>
            <w:vAlign w:val="center"/>
          </w:tcPr>
          <w:p w14:paraId="0A0C0465">
            <w:pPr>
              <w:pStyle w:val="98"/>
              <w:ind w:left="-105" w:right="-105"/>
              <w:rPr>
                <w:rFonts w:eastAsia="宋体"/>
                <w:color w:val="auto"/>
                <w:sz w:val="21"/>
                <w:szCs w:val="21"/>
                <w:highlight w:val="none"/>
              </w:rPr>
            </w:pPr>
            <w:r>
              <w:rPr>
                <w:rFonts w:eastAsia="宋体"/>
                <w:color w:val="auto"/>
                <w:sz w:val="21"/>
                <w:szCs w:val="21"/>
                <w:highlight w:val="none"/>
              </w:rPr>
              <w:t>E</w:t>
            </w:r>
          </w:p>
        </w:tc>
        <w:tc>
          <w:tcPr>
            <w:tcW w:w="683" w:type="dxa"/>
            <w:tcBorders>
              <w:top w:val="single" w:color="000000" w:sz="4" w:space="0"/>
              <w:left w:val="single" w:color="000000" w:sz="4" w:space="0"/>
              <w:right w:val="single" w:color="000000" w:sz="4" w:space="0"/>
            </w:tcBorders>
          </w:tcPr>
          <w:p w14:paraId="4897E052">
            <w:pPr>
              <w:pStyle w:val="98"/>
              <w:ind w:left="-105" w:right="-105"/>
              <w:rPr>
                <w:rFonts w:eastAsia="宋体"/>
                <w:color w:val="auto"/>
                <w:sz w:val="21"/>
                <w:szCs w:val="21"/>
                <w:highlight w:val="none"/>
              </w:rPr>
            </w:pPr>
            <w:r>
              <w:rPr>
                <w:rFonts w:eastAsia="宋体"/>
                <w:color w:val="auto"/>
                <w:sz w:val="21"/>
                <w:szCs w:val="21"/>
                <w:highlight w:val="none"/>
              </w:rPr>
              <w:t>/</w:t>
            </w:r>
          </w:p>
        </w:tc>
        <w:tc>
          <w:tcPr>
            <w:tcW w:w="683" w:type="dxa"/>
            <w:tcBorders>
              <w:top w:val="single" w:color="000000" w:sz="4" w:space="0"/>
              <w:left w:val="single" w:color="000000" w:sz="4" w:space="0"/>
              <w:right w:val="single" w:color="000000" w:sz="4" w:space="0"/>
            </w:tcBorders>
          </w:tcPr>
          <w:p w14:paraId="7F9CAD42">
            <w:pPr>
              <w:pStyle w:val="98"/>
              <w:ind w:left="-105" w:right="-105"/>
              <w:rPr>
                <w:rFonts w:eastAsia="宋体"/>
                <w:color w:val="auto"/>
                <w:sz w:val="21"/>
                <w:szCs w:val="21"/>
                <w:highlight w:val="none"/>
              </w:rPr>
            </w:pPr>
            <w:r>
              <w:rPr>
                <w:rFonts w:eastAsia="宋体"/>
                <w:color w:val="auto"/>
                <w:sz w:val="21"/>
                <w:szCs w:val="21"/>
                <w:highlight w:val="none"/>
              </w:rPr>
              <w:t>/</w:t>
            </w:r>
          </w:p>
        </w:tc>
        <w:tc>
          <w:tcPr>
            <w:tcW w:w="686" w:type="dxa"/>
            <w:tcBorders>
              <w:top w:val="single" w:color="000000" w:sz="4" w:space="0"/>
              <w:left w:val="single" w:color="000000" w:sz="4" w:space="0"/>
              <w:right w:val="single" w:color="000000" w:sz="4" w:space="0"/>
            </w:tcBorders>
          </w:tcPr>
          <w:p w14:paraId="1A697B66">
            <w:pPr>
              <w:pStyle w:val="98"/>
              <w:ind w:left="-105" w:right="-105"/>
              <w:rPr>
                <w:rFonts w:eastAsia="宋体"/>
                <w:color w:val="auto"/>
                <w:sz w:val="21"/>
                <w:szCs w:val="21"/>
                <w:highlight w:val="none"/>
              </w:rPr>
            </w:pPr>
            <w:r>
              <w:rPr>
                <w:rFonts w:eastAsia="宋体"/>
                <w:color w:val="auto"/>
                <w:sz w:val="21"/>
                <w:szCs w:val="21"/>
                <w:highlight w:val="none"/>
              </w:rPr>
              <w:t>/</w:t>
            </w:r>
          </w:p>
        </w:tc>
        <w:tc>
          <w:tcPr>
            <w:tcW w:w="683" w:type="dxa"/>
            <w:tcBorders>
              <w:top w:val="single" w:color="000000" w:sz="4" w:space="0"/>
              <w:left w:val="single" w:color="000000" w:sz="4" w:space="0"/>
              <w:right w:val="single" w:color="000000" w:sz="4" w:space="0"/>
            </w:tcBorders>
          </w:tcPr>
          <w:p w14:paraId="4AA6CBB0">
            <w:pPr>
              <w:pStyle w:val="98"/>
              <w:ind w:left="-105" w:right="-105"/>
              <w:rPr>
                <w:rFonts w:eastAsia="宋体"/>
                <w:color w:val="auto"/>
                <w:sz w:val="21"/>
                <w:szCs w:val="21"/>
                <w:highlight w:val="none"/>
              </w:rPr>
            </w:pPr>
            <w:r>
              <w:rPr>
                <w:rFonts w:eastAsia="宋体"/>
                <w:color w:val="auto"/>
                <w:sz w:val="21"/>
                <w:szCs w:val="21"/>
                <w:highlight w:val="none"/>
              </w:rPr>
              <w:t>/</w:t>
            </w:r>
          </w:p>
        </w:tc>
        <w:tc>
          <w:tcPr>
            <w:tcW w:w="683" w:type="dxa"/>
            <w:tcBorders>
              <w:top w:val="single" w:color="000000" w:sz="4" w:space="0"/>
              <w:left w:val="single" w:color="000000" w:sz="4" w:space="0"/>
              <w:right w:val="single" w:color="000000" w:sz="4" w:space="0"/>
            </w:tcBorders>
          </w:tcPr>
          <w:p w14:paraId="3135D43B">
            <w:pPr>
              <w:pStyle w:val="98"/>
              <w:ind w:left="-105" w:right="-105"/>
              <w:rPr>
                <w:rFonts w:eastAsia="宋体"/>
                <w:color w:val="auto"/>
                <w:sz w:val="21"/>
                <w:szCs w:val="21"/>
                <w:highlight w:val="none"/>
              </w:rPr>
            </w:pPr>
            <w:r>
              <w:rPr>
                <w:rFonts w:eastAsia="宋体"/>
                <w:color w:val="auto"/>
                <w:sz w:val="21"/>
                <w:szCs w:val="21"/>
                <w:highlight w:val="none"/>
              </w:rPr>
              <w:t>/</w:t>
            </w:r>
          </w:p>
        </w:tc>
        <w:tc>
          <w:tcPr>
            <w:tcW w:w="683" w:type="dxa"/>
            <w:tcBorders>
              <w:top w:val="single" w:color="000000" w:sz="4" w:space="0"/>
              <w:left w:val="single" w:color="000000" w:sz="4" w:space="0"/>
              <w:right w:val="single" w:color="000000" w:sz="4" w:space="0"/>
            </w:tcBorders>
          </w:tcPr>
          <w:p w14:paraId="3D0F2CF8">
            <w:pPr>
              <w:pStyle w:val="98"/>
              <w:ind w:left="-105" w:right="-105"/>
              <w:rPr>
                <w:rFonts w:eastAsia="宋体"/>
                <w:color w:val="auto"/>
                <w:sz w:val="21"/>
                <w:szCs w:val="21"/>
                <w:highlight w:val="none"/>
              </w:rPr>
            </w:pPr>
            <w:r>
              <w:rPr>
                <w:rFonts w:eastAsia="宋体"/>
                <w:color w:val="auto"/>
                <w:sz w:val="21"/>
                <w:szCs w:val="21"/>
                <w:highlight w:val="none"/>
              </w:rPr>
              <w:t>/</w:t>
            </w:r>
          </w:p>
        </w:tc>
        <w:tc>
          <w:tcPr>
            <w:tcW w:w="685" w:type="dxa"/>
            <w:tcBorders>
              <w:top w:val="single" w:color="000000" w:sz="4" w:space="0"/>
              <w:left w:val="single" w:color="000000" w:sz="4" w:space="0"/>
              <w:right w:val="single" w:color="000000" w:sz="4" w:space="0"/>
            </w:tcBorders>
          </w:tcPr>
          <w:p w14:paraId="0B743534">
            <w:pPr>
              <w:pStyle w:val="98"/>
              <w:ind w:left="-105" w:right="-105"/>
              <w:rPr>
                <w:rFonts w:eastAsia="宋体"/>
                <w:color w:val="auto"/>
                <w:sz w:val="21"/>
                <w:szCs w:val="21"/>
                <w:highlight w:val="none"/>
              </w:rPr>
            </w:pPr>
            <w:r>
              <w:rPr>
                <w:rFonts w:eastAsia="宋体"/>
                <w:color w:val="auto"/>
                <w:sz w:val="21"/>
                <w:szCs w:val="21"/>
                <w:highlight w:val="none"/>
              </w:rPr>
              <w:t>/</w:t>
            </w:r>
          </w:p>
        </w:tc>
        <w:tc>
          <w:tcPr>
            <w:tcW w:w="683" w:type="dxa"/>
            <w:tcBorders>
              <w:top w:val="single" w:color="000000" w:sz="4" w:space="0"/>
              <w:left w:val="single" w:color="000000" w:sz="4" w:space="0"/>
              <w:right w:val="single" w:color="000000" w:sz="4" w:space="0"/>
            </w:tcBorders>
          </w:tcPr>
          <w:p w14:paraId="6FCA4A2A">
            <w:pPr>
              <w:pStyle w:val="98"/>
              <w:ind w:left="-105" w:right="-105"/>
              <w:rPr>
                <w:rFonts w:eastAsia="宋体"/>
                <w:color w:val="auto"/>
                <w:sz w:val="21"/>
                <w:szCs w:val="21"/>
                <w:highlight w:val="none"/>
              </w:rPr>
            </w:pPr>
            <w:r>
              <w:rPr>
                <w:rFonts w:eastAsia="宋体"/>
                <w:color w:val="auto"/>
                <w:sz w:val="21"/>
                <w:szCs w:val="21"/>
                <w:highlight w:val="none"/>
              </w:rPr>
              <w:t>/</w:t>
            </w:r>
          </w:p>
        </w:tc>
        <w:tc>
          <w:tcPr>
            <w:tcW w:w="683" w:type="dxa"/>
            <w:tcBorders>
              <w:top w:val="single" w:color="000000" w:sz="4" w:space="0"/>
              <w:left w:val="single" w:color="000000" w:sz="4" w:space="0"/>
              <w:right w:val="single" w:color="000000" w:sz="4" w:space="0"/>
            </w:tcBorders>
          </w:tcPr>
          <w:p w14:paraId="25E45854">
            <w:pPr>
              <w:pStyle w:val="98"/>
              <w:ind w:left="-105" w:right="-105"/>
              <w:rPr>
                <w:rFonts w:eastAsia="宋体"/>
                <w:color w:val="auto"/>
                <w:sz w:val="21"/>
                <w:szCs w:val="21"/>
                <w:highlight w:val="none"/>
              </w:rPr>
            </w:pPr>
            <w:r>
              <w:rPr>
                <w:rFonts w:eastAsia="宋体"/>
                <w:color w:val="auto"/>
                <w:sz w:val="21"/>
                <w:szCs w:val="21"/>
                <w:highlight w:val="none"/>
              </w:rPr>
              <w:t>/</w:t>
            </w:r>
          </w:p>
        </w:tc>
        <w:tc>
          <w:tcPr>
            <w:tcW w:w="683" w:type="dxa"/>
            <w:tcBorders>
              <w:top w:val="single" w:color="000000" w:sz="4" w:space="0"/>
              <w:left w:val="single" w:color="000000" w:sz="4" w:space="0"/>
              <w:right w:val="single" w:color="000000" w:sz="4" w:space="0"/>
            </w:tcBorders>
          </w:tcPr>
          <w:p w14:paraId="57F782F8">
            <w:pPr>
              <w:pStyle w:val="98"/>
              <w:ind w:left="-105" w:right="-105"/>
              <w:rPr>
                <w:rFonts w:eastAsia="宋体"/>
                <w:color w:val="auto"/>
                <w:sz w:val="21"/>
                <w:szCs w:val="21"/>
                <w:highlight w:val="none"/>
              </w:rPr>
            </w:pPr>
            <w:r>
              <w:rPr>
                <w:rFonts w:eastAsia="宋体"/>
                <w:color w:val="auto"/>
                <w:sz w:val="21"/>
                <w:szCs w:val="21"/>
                <w:highlight w:val="none"/>
              </w:rPr>
              <w:t>/</w:t>
            </w:r>
          </w:p>
        </w:tc>
        <w:tc>
          <w:tcPr>
            <w:tcW w:w="683" w:type="dxa"/>
            <w:tcBorders>
              <w:top w:val="single" w:color="000000" w:sz="4" w:space="0"/>
              <w:left w:val="single" w:color="000000" w:sz="4" w:space="0"/>
              <w:right w:val="single" w:color="000000" w:sz="4" w:space="0"/>
            </w:tcBorders>
          </w:tcPr>
          <w:p w14:paraId="363A9EA5">
            <w:pPr>
              <w:pStyle w:val="98"/>
              <w:ind w:left="-105" w:right="-105"/>
              <w:rPr>
                <w:rFonts w:eastAsia="宋体"/>
                <w:color w:val="auto"/>
                <w:sz w:val="21"/>
                <w:szCs w:val="21"/>
                <w:highlight w:val="none"/>
              </w:rPr>
            </w:pPr>
            <w:r>
              <w:rPr>
                <w:rFonts w:eastAsia="宋体"/>
                <w:color w:val="auto"/>
                <w:sz w:val="21"/>
                <w:szCs w:val="21"/>
                <w:highlight w:val="none"/>
              </w:rPr>
              <w:t>/</w:t>
            </w:r>
          </w:p>
        </w:tc>
        <w:tc>
          <w:tcPr>
            <w:tcW w:w="683" w:type="dxa"/>
            <w:tcBorders>
              <w:top w:val="single" w:color="000000" w:sz="4" w:space="0"/>
              <w:left w:val="single" w:color="000000" w:sz="4" w:space="0"/>
              <w:right w:val="single" w:color="000000" w:sz="4" w:space="0"/>
            </w:tcBorders>
          </w:tcPr>
          <w:p w14:paraId="41A4908D">
            <w:pPr>
              <w:pStyle w:val="98"/>
              <w:ind w:left="-105" w:right="-105"/>
              <w:rPr>
                <w:rFonts w:eastAsia="宋体"/>
                <w:color w:val="auto"/>
                <w:sz w:val="21"/>
                <w:szCs w:val="21"/>
                <w:highlight w:val="none"/>
              </w:rPr>
            </w:pPr>
            <w:r>
              <w:rPr>
                <w:rFonts w:eastAsia="宋体"/>
                <w:color w:val="auto"/>
                <w:sz w:val="21"/>
                <w:szCs w:val="21"/>
                <w:highlight w:val="none"/>
              </w:rPr>
              <w:t>/</w:t>
            </w:r>
          </w:p>
        </w:tc>
        <w:tc>
          <w:tcPr>
            <w:tcW w:w="684" w:type="dxa"/>
            <w:tcBorders>
              <w:top w:val="single" w:color="000000" w:sz="4" w:space="0"/>
              <w:left w:val="single" w:color="000000" w:sz="4" w:space="0"/>
              <w:right w:val="single" w:color="000000" w:sz="4" w:space="0"/>
            </w:tcBorders>
          </w:tcPr>
          <w:p w14:paraId="44D2C342">
            <w:pPr>
              <w:pStyle w:val="98"/>
              <w:ind w:left="-105" w:right="-105"/>
              <w:rPr>
                <w:rFonts w:eastAsia="宋体"/>
                <w:color w:val="auto"/>
                <w:sz w:val="21"/>
                <w:szCs w:val="21"/>
                <w:highlight w:val="none"/>
              </w:rPr>
            </w:pPr>
            <w:r>
              <w:rPr>
                <w:rFonts w:eastAsia="宋体"/>
                <w:color w:val="auto"/>
                <w:sz w:val="21"/>
                <w:szCs w:val="21"/>
                <w:highlight w:val="none"/>
              </w:rPr>
              <w:t>/</w:t>
            </w:r>
          </w:p>
        </w:tc>
        <w:tc>
          <w:tcPr>
            <w:tcW w:w="686" w:type="dxa"/>
            <w:tcBorders>
              <w:top w:val="single" w:color="000000" w:sz="4" w:space="0"/>
              <w:left w:val="single" w:color="000000" w:sz="4" w:space="0"/>
              <w:right w:val="single" w:color="000000" w:sz="4" w:space="0"/>
            </w:tcBorders>
          </w:tcPr>
          <w:p w14:paraId="6BE842F4">
            <w:pPr>
              <w:pStyle w:val="98"/>
              <w:ind w:left="-105" w:right="-105"/>
              <w:rPr>
                <w:rFonts w:eastAsia="宋体"/>
                <w:color w:val="auto"/>
                <w:sz w:val="21"/>
                <w:szCs w:val="21"/>
                <w:highlight w:val="none"/>
              </w:rPr>
            </w:pPr>
            <w:r>
              <w:rPr>
                <w:rFonts w:eastAsia="宋体"/>
                <w:color w:val="auto"/>
                <w:sz w:val="21"/>
                <w:szCs w:val="21"/>
                <w:highlight w:val="none"/>
              </w:rPr>
              <w:t>/</w:t>
            </w:r>
          </w:p>
        </w:tc>
        <w:tc>
          <w:tcPr>
            <w:tcW w:w="684" w:type="dxa"/>
            <w:tcBorders>
              <w:top w:val="single" w:color="000000" w:sz="4" w:space="0"/>
              <w:left w:val="single" w:color="000000" w:sz="4" w:space="0"/>
              <w:right w:val="single" w:color="000000" w:sz="4" w:space="0"/>
            </w:tcBorders>
          </w:tcPr>
          <w:p w14:paraId="153B4500">
            <w:pPr>
              <w:pStyle w:val="98"/>
              <w:ind w:left="-105" w:right="-105"/>
              <w:rPr>
                <w:rFonts w:eastAsia="宋体"/>
                <w:color w:val="auto"/>
                <w:sz w:val="21"/>
                <w:szCs w:val="21"/>
                <w:highlight w:val="none"/>
              </w:rPr>
            </w:pPr>
            <w:r>
              <w:rPr>
                <w:rFonts w:eastAsia="宋体"/>
                <w:color w:val="auto"/>
                <w:sz w:val="21"/>
                <w:szCs w:val="21"/>
                <w:highlight w:val="none"/>
              </w:rPr>
              <w:t>/</w:t>
            </w:r>
          </w:p>
        </w:tc>
        <w:tc>
          <w:tcPr>
            <w:tcW w:w="645" w:type="dxa"/>
            <w:tcBorders>
              <w:top w:val="single" w:color="000000" w:sz="4" w:space="0"/>
              <w:left w:val="single" w:color="000000" w:sz="4" w:space="0"/>
              <w:right w:val="single" w:color="000000" w:sz="4" w:space="0"/>
            </w:tcBorders>
          </w:tcPr>
          <w:p w14:paraId="7CCC5510">
            <w:pPr>
              <w:pStyle w:val="98"/>
              <w:ind w:left="-105" w:right="-105"/>
              <w:rPr>
                <w:rFonts w:eastAsia="宋体"/>
                <w:color w:val="auto"/>
                <w:sz w:val="21"/>
                <w:szCs w:val="21"/>
                <w:highlight w:val="none"/>
              </w:rPr>
            </w:pPr>
            <w:r>
              <w:rPr>
                <w:rFonts w:eastAsia="宋体"/>
                <w:color w:val="auto"/>
                <w:sz w:val="21"/>
                <w:szCs w:val="21"/>
                <w:highlight w:val="none"/>
              </w:rPr>
              <w:t>/</w:t>
            </w:r>
          </w:p>
        </w:tc>
        <w:tc>
          <w:tcPr>
            <w:tcW w:w="1134" w:type="dxa"/>
            <w:tcBorders>
              <w:top w:val="single" w:color="000000" w:sz="4" w:space="0"/>
              <w:left w:val="single" w:color="000000" w:sz="4" w:space="0"/>
              <w:right w:val="nil"/>
            </w:tcBorders>
          </w:tcPr>
          <w:p w14:paraId="2B7B194C">
            <w:pPr>
              <w:pStyle w:val="98"/>
              <w:ind w:left="-105" w:right="-105"/>
              <w:rPr>
                <w:rFonts w:eastAsia="宋体"/>
                <w:color w:val="auto"/>
                <w:sz w:val="21"/>
                <w:szCs w:val="21"/>
                <w:highlight w:val="none"/>
              </w:rPr>
            </w:pPr>
            <w:r>
              <w:rPr>
                <w:rFonts w:eastAsia="宋体"/>
                <w:color w:val="auto"/>
                <w:sz w:val="21"/>
                <w:szCs w:val="21"/>
                <w:highlight w:val="none"/>
              </w:rPr>
              <w:t>/</w:t>
            </w:r>
          </w:p>
        </w:tc>
      </w:tr>
    </w:tbl>
    <w:p w14:paraId="4943F635">
      <w:pPr>
        <w:pStyle w:val="15"/>
        <w:ind w:left="-105" w:right="-105" w:firstLine="482"/>
        <w:rPr>
          <w:rFonts w:eastAsia="宋体" w:cs="Times New Roman"/>
          <w:color w:val="auto"/>
          <w:sz w:val="24"/>
          <w:szCs w:val="18"/>
          <w:highlight w:val="none"/>
        </w:rPr>
      </w:pPr>
      <w:bookmarkStart w:id="366" w:name="_Ref38871358"/>
    </w:p>
    <w:p w14:paraId="32A9C5AA">
      <w:pPr>
        <w:pStyle w:val="15"/>
        <w:ind w:left="-105" w:right="-105" w:firstLine="482"/>
        <w:rPr>
          <w:rFonts w:eastAsia="宋体" w:cs="Times New Roman"/>
          <w:color w:val="auto"/>
          <w:sz w:val="24"/>
          <w:szCs w:val="18"/>
          <w:highlight w:val="none"/>
        </w:rPr>
      </w:pPr>
      <w:r>
        <w:rPr>
          <w:rFonts w:eastAsia="宋体" w:cs="Times New Roman"/>
          <w:color w:val="auto"/>
          <w:sz w:val="24"/>
          <w:szCs w:val="18"/>
          <w:highlight w:val="none"/>
        </w:rPr>
        <w:t>表</w:t>
      </w:r>
      <w:r>
        <w:rPr>
          <w:rFonts w:eastAsia="宋体" w:cs="Times New Roman"/>
          <w:color w:val="auto"/>
          <w:sz w:val="24"/>
          <w:szCs w:val="18"/>
          <w:highlight w:val="none"/>
        </w:rPr>
        <w:fldChar w:fldCharType="begin"/>
      </w:r>
      <w:r>
        <w:rPr>
          <w:rFonts w:eastAsia="宋体" w:cs="Times New Roman"/>
          <w:color w:val="auto"/>
          <w:sz w:val="24"/>
          <w:szCs w:val="18"/>
          <w:highlight w:val="none"/>
        </w:rPr>
        <w:instrText xml:space="preserve"> STYLEREF 2 \s </w:instrText>
      </w:r>
      <w:r>
        <w:rPr>
          <w:rFonts w:eastAsia="宋体" w:cs="Times New Roman"/>
          <w:color w:val="auto"/>
          <w:sz w:val="24"/>
          <w:szCs w:val="18"/>
          <w:highlight w:val="none"/>
        </w:rPr>
        <w:fldChar w:fldCharType="separate"/>
      </w:r>
      <w:r>
        <w:rPr>
          <w:rFonts w:eastAsia="宋体" w:cs="Times New Roman"/>
          <w:color w:val="auto"/>
          <w:sz w:val="24"/>
          <w:szCs w:val="18"/>
          <w:highlight w:val="none"/>
        </w:rPr>
        <w:t>6.1</w:t>
      </w:r>
      <w:r>
        <w:rPr>
          <w:rFonts w:eastAsia="宋体" w:cs="Times New Roman"/>
          <w:color w:val="auto"/>
          <w:sz w:val="24"/>
          <w:szCs w:val="18"/>
          <w:highlight w:val="none"/>
        </w:rPr>
        <w:fldChar w:fldCharType="end"/>
      </w:r>
      <w:r>
        <w:rPr>
          <w:rFonts w:eastAsia="宋体" w:cs="Times New Roman"/>
          <w:color w:val="auto"/>
          <w:sz w:val="24"/>
          <w:szCs w:val="18"/>
          <w:highlight w:val="none"/>
        </w:rPr>
        <w:noBreakHyphen/>
      </w:r>
      <w:r>
        <w:rPr>
          <w:rFonts w:eastAsia="宋体" w:cs="Times New Roman"/>
          <w:color w:val="auto"/>
          <w:sz w:val="24"/>
          <w:szCs w:val="18"/>
          <w:highlight w:val="none"/>
        </w:rPr>
        <w:fldChar w:fldCharType="begin"/>
      </w:r>
      <w:r>
        <w:rPr>
          <w:rFonts w:eastAsia="宋体" w:cs="Times New Roman"/>
          <w:color w:val="auto"/>
          <w:sz w:val="24"/>
          <w:szCs w:val="18"/>
          <w:highlight w:val="none"/>
        </w:rPr>
        <w:instrText xml:space="preserve"> SEQ 表 \* ARABIC \s 2 </w:instrText>
      </w:r>
      <w:r>
        <w:rPr>
          <w:rFonts w:eastAsia="宋体" w:cs="Times New Roman"/>
          <w:color w:val="auto"/>
          <w:sz w:val="24"/>
          <w:szCs w:val="18"/>
          <w:highlight w:val="none"/>
        </w:rPr>
        <w:fldChar w:fldCharType="separate"/>
      </w:r>
      <w:r>
        <w:rPr>
          <w:rFonts w:eastAsia="宋体" w:cs="Times New Roman"/>
          <w:color w:val="auto"/>
          <w:sz w:val="24"/>
          <w:szCs w:val="18"/>
          <w:highlight w:val="none"/>
        </w:rPr>
        <w:t>4</w:t>
      </w:r>
      <w:r>
        <w:rPr>
          <w:rFonts w:eastAsia="宋体" w:cs="Times New Roman"/>
          <w:color w:val="auto"/>
          <w:sz w:val="24"/>
          <w:szCs w:val="18"/>
          <w:highlight w:val="none"/>
        </w:rPr>
        <w:fldChar w:fldCharType="end"/>
      </w:r>
      <w:bookmarkEnd w:id="366"/>
      <w:r>
        <w:rPr>
          <w:rFonts w:eastAsia="宋体" w:cs="Times New Roman"/>
          <w:color w:val="auto"/>
          <w:sz w:val="24"/>
          <w:szCs w:val="18"/>
          <w:highlight w:val="none"/>
        </w:rPr>
        <w:t>各风向频率（%）、平均风速（m/s）统计表</w:t>
      </w:r>
    </w:p>
    <w:tbl>
      <w:tblPr>
        <w:tblStyle w:val="45"/>
        <w:tblW w:w="13863" w:type="dxa"/>
        <w:jc w:val="center"/>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fixed"/>
        <w:tblCellMar>
          <w:top w:w="0" w:type="dxa"/>
          <w:left w:w="108" w:type="dxa"/>
          <w:bottom w:w="0" w:type="dxa"/>
          <w:right w:w="108" w:type="dxa"/>
        </w:tblCellMar>
      </w:tblPr>
      <w:tblGrid>
        <w:gridCol w:w="687"/>
        <w:gridCol w:w="688"/>
        <w:gridCol w:w="687"/>
        <w:gridCol w:w="687"/>
        <w:gridCol w:w="687"/>
        <w:gridCol w:w="688"/>
        <w:gridCol w:w="687"/>
        <w:gridCol w:w="687"/>
        <w:gridCol w:w="687"/>
        <w:gridCol w:w="687"/>
        <w:gridCol w:w="687"/>
        <w:gridCol w:w="687"/>
        <w:gridCol w:w="684"/>
        <w:gridCol w:w="714"/>
        <w:gridCol w:w="686"/>
        <w:gridCol w:w="747"/>
        <w:gridCol w:w="686"/>
        <w:gridCol w:w="700"/>
        <w:gridCol w:w="686"/>
        <w:gridCol w:w="693"/>
        <w:gridCol w:w="21"/>
      </w:tblGrid>
      <w:tr w14:paraId="6470E254">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108" w:type="dxa"/>
            <w:bottom w:w="0" w:type="dxa"/>
            <w:right w:w="108" w:type="dxa"/>
          </w:tblCellMar>
        </w:tblPrEx>
        <w:trPr>
          <w:trHeight w:val="234" w:hRule="atLeast"/>
          <w:jc w:val="center"/>
        </w:trPr>
        <w:tc>
          <w:tcPr>
            <w:tcW w:w="1376" w:type="dxa"/>
            <w:gridSpan w:val="2"/>
            <w:vMerge w:val="restart"/>
            <w:tcBorders>
              <w:left w:val="nil"/>
              <w:bottom w:val="single" w:color="000000" w:sz="4" w:space="0"/>
              <w:right w:val="single" w:color="000000" w:sz="4" w:space="0"/>
            </w:tcBorders>
            <w:vAlign w:val="center"/>
          </w:tcPr>
          <w:p w14:paraId="50E572F6">
            <w:pPr>
              <w:pStyle w:val="98"/>
              <w:ind w:left="-105" w:right="-105"/>
              <w:rPr>
                <w:rFonts w:eastAsia="宋体"/>
                <w:b/>
                <w:bCs/>
                <w:color w:val="auto"/>
                <w:sz w:val="21"/>
                <w:szCs w:val="21"/>
                <w:highlight w:val="none"/>
              </w:rPr>
            </w:pPr>
            <w:r>
              <w:rPr>
                <w:rFonts w:eastAsia="宋体"/>
                <w:b/>
                <w:bCs/>
                <w:color w:val="auto"/>
                <w:sz w:val="21"/>
                <w:szCs w:val="21"/>
                <w:highlight w:val="none"/>
              </w:rPr>
              <w:t>月份</w:t>
            </w:r>
          </w:p>
        </w:tc>
        <w:tc>
          <w:tcPr>
            <w:tcW w:w="12487" w:type="dxa"/>
            <w:gridSpan w:val="19"/>
            <w:tcBorders>
              <w:left w:val="single" w:color="000000" w:sz="4" w:space="0"/>
              <w:bottom w:val="single" w:color="000000" w:sz="4" w:space="0"/>
              <w:right w:val="nil"/>
            </w:tcBorders>
            <w:vAlign w:val="center"/>
          </w:tcPr>
          <w:p w14:paraId="5F4E5F62">
            <w:pPr>
              <w:pStyle w:val="98"/>
              <w:ind w:left="-105" w:right="-105"/>
              <w:rPr>
                <w:rFonts w:eastAsia="宋体"/>
                <w:b/>
                <w:bCs/>
                <w:color w:val="auto"/>
                <w:sz w:val="21"/>
                <w:szCs w:val="21"/>
                <w:highlight w:val="none"/>
              </w:rPr>
            </w:pPr>
            <w:r>
              <w:rPr>
                <w:rFonts w:eastAsia="宋体"/>
                <w:b/>
                <w:bCs/>
                <w:color w:val="auto"/>
                <w:sz w:val="21"/>
                <w:szCs w:val="21"/>
                <w:highlight w:val="none"/>
              </w:rPr>
              <w:t>风向</w:t>
            </w:r>
          </w:p>
        </w:tc>
      </w:tr>
      <w:tr w14:paraId="0327569C">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108" w:type="dxa"/>
            <w:bottom w:w="0" w:type="dxa"/>
            <w:right w:w="108" w:type="dxa"/>
          </w:tblCellMar>
        </w:tblPrEx>
        <w:trPr>
          <w:gridAfter w:val="1"/>
          <w:wAfter w:w="20" w:type="dxa"/>
          <w:trHeight w:val="232" w:hRule="atLeast"/>
          <w:jc w:val="center"/>
        </w:trPr>
        <w:tc>
          <w:tcPr>
            <w:tcW w:w="1376" w:type="dxa"/>
            <w:gridSpan w:val="2"/>
            <w:vMerge w:val="continue"/>
            <w:tcBorders>
              <w:top w:val="nil"/>
              <w:left w:val="nil"/>
              <w:bottom w:val="single" w:color="000000" w:sz="4" w:space="0"/>
              <w:right w:val="single" w:color="000000" w:sz="4" w:space="0"/>
            </w:tcBorders>
            <w:vAlign w:val="center"/>
          </w:tcPr>
          <w:p w14:paraId="51CA109A">
            <w:pPr>
              <w:ind w:left="-105" w:right="-105"/>
              <w:jc w:val="center"/>
              <w:rPr>
                <w:rFonts w:ascii="Times New Roman" w:hAnsi="Times New Roman"/>
                <w:b/>
                <w:bCs/>
                <w:color w:val="auto"/>
                <w:sz w:val="21"/>
                <w:szCs w:val="21"/>
                <w:highlight w:val="none"/>
              </w:rPr>
            </w:pPr>
          </w:p>
        </w:tc>
        <w:tc>
          <w:tcPr>
            <w:tcW w:w="687" w:type="dxa"/>
            <w:tcBorders>
              <w:top w:val="single" w:color="000000" w:sz="4" w:space="0"/>
              <w:left w:val="single" w:color="000000" w:sz="4" w:space="0"/>
              <w:bottom w:val="single" w:color="000000" w:sz="4" w:space="0"/>
              <w:right w:val="single" w:color="000000" w:sz="4" w:space="0"/>
            </w:tcBorders>
            <w:vAlign w:val="center"/>
          </w:tcPr>
          <w:p w14:paraId="48B3649E">
            <w:pPr>
              <w:pStyle w:val="98"/>
              <w:ind w:left="-105" w:right="-105"/>
              <w:rPr>
                <w:rFonts w:eastAsia="宋体"/>
                <w:b/>
                <w:bCs/>
                <w:color w:val="auto"/>
                <w:sz w:val="21"/>
                <w:szCs w:val="21"/>
                <w:highlight w:val="none"/>
              </w:rPr>
            </w:pPr>
            <w:r>
              <w:rPr>
                <w:rFonts w:eastAsia="宋体"/>
                <w:b/>
                <w:bCs/>
                <w:color w:val="auto"/>
                <w:sz w:val="21"/>
                <w:szCs w:val="21"/>
                <w:highlight w:val="none"/>
              </w:rPr>
              <w:t>N</w:t>
            </w:r>
          </w:p>
        </w:tc>
        <w:tc>
          <w:tcPr>
            <w:tcW w:w="687" w:type="dxa"/>
            <w:tcBorders>
              <w:top w:val="single" w:color="000000" w:sz="4" w:space="0"/>
              <w:left w:val="single" w:color="000000" w:sz="4" w:space="0"/>
              <w:bottom w:val="single" w:color="000000" w:sz="4" w:space="0"/>
              <w:right w:val="single" w:color="000000" w:sz="4" w:space="0"/>
            </w:tcBorders>
            <w:vAlign w:val="center"/>
          </w:tcPr>
          <w:p w14:paraId="72C4AFB4">
            <w:pPr>
              <w:pStyle w:val="98"/>
              <w:ind w:left="-105" w:right="-105"/>
              <w:rPr>
                <w:rFonts w:eastAsia="宋体"/>
                <w:b/>
                <w:bCs/>
                <w:color w:val="auto"/>
                <w:sz w:val="21"/>
                <w:szCs w:val="21"/>
                <w:highlight w:val="none"/>
              </w:rPr>
            </w:pPr>
            <w:r>
              <w:rPr>
                <w:rFonts w:eastAsia="宋体"/>
                <w:b/>
                <w:bCs/>
                <w:color w:val="auto"/>
                <w:sz w:val="21"/>
                <w:szCs w:val="21"/>
                <w:highlight w:val="none"/>
              </w:rPr>
              <w:t>NNE</w:t>
            </w:r>
          </w:p>
        </w:tc>
        <w:tc>
          <w:tcPr>
            <w:tcW w:w="687" w:type="dxa"/>
            <w:tcBorders>
              <w:top w:val="single" w:color="000000" w:sz="4" w:space="0"/>
              <w:left w:val="single" w:color="000000" w:sz="4" w:space="0"/>
              <w:bottom w:val="single" w:color="000000" w:sz="4" w:space="0"/>
              <w:right w:val="single" w:color="000000" w:sz="4" w:space="0"/>
            </w:tcBorders>
            <w:vAlign w:val="center"/>
          </w:tcPr>
          <w:p w14:paraId="1B1DDECE">
            <w:pPr>
              <w:pStyle w:val="98"/>
              <w:ind w:left="-105" w:right="-105"/>
              <w:rPr>
                <w:rFonts w:eastAsia="宋体"/>
                <w:b/>
                <w:bCs/>
                <w:color w:val="auto"/>
                <w:sz w:val="21"/>
                <w:szCs w:val="21"/>
                <w:highlight w:val="none"/>
              </w:rPr>
            </w:pPr>
            <w:r>
              <w:rPr>
                <w:rFonts w:eastAsia="宋体"/>
                <w:b/>
                <w:bCs/>
                <w:color w:val="auto"/>
                <w:sz w:val="21"/>
                <w:szCs w:val="21"/>
                <w:highlight w:val="none"/>
              </w:rPr>
              <w:t>NE</w:t>
            </w:r>
          </w:p>
        </w:tc>
        <w:tc>
          <w:tcPr>
            <w:tcW w:w="688" w:type="dxa"/>
            <w:tcBorders>
              <w:top w:val="single" w:color="000000" w:sz="4" w:space="0"/>
              <w:left w:val="single" w:color="000000" w:sz="4" w:space="0"/>
              <w:bottom w:val="single" w:color="000000" w:sz="4" w:space="0"/>
              <w:right w:val="single" w:color="000000" w:sz="4" w:space="0"/>
            </w:tcBorders>
            <w:vAlign w:val="center"/>
          </w:tcPr>
          <w:p w14:paraId="6D98C7B2">
            <w:pPr>
              <w:pStyle w:val="98"/>
              <w:ind w:left="-105" w:right="-105"/>
              <w:rPr>
                <w:rFonts w:eastAsia="宋体"/>
                <w:b/>
                <w:bCs/>
                <w:color w:val="auto"/>
                <w:sz w:val="21"/>
                <w:szCs w:val="21"/>
                <w:highlight w:val="none"/>
              </w:rPr>
            </w:pPr>
            <w:r>
              <w:rPr>
                <w:rFonts w:eastAsia="宋体"/>
                <w:b/>
                <w:bCs/>
                <w:color w:val="auto"/>
                <w:sz w:val="21"/>
                <w:szCs w:val="21"/>
                <w:highlight w:val="none"/>
              </w:rPr>
              <w:t>ENE</w:t>
            </w:r>
          </w:p>
        </w:tc>
        <w:tc>
          <w:tcPr>
            <w:tcW w:w="687" w:type="dxa"/>
            <w:tcBorders>
              <w:top w:val="single" w:color="000000" w:sz="4" w:space="0"/>
              <w:left w:val="single" w:color="000000" w:sz="4" w:space="0"/>
              <w:bottom w:val="single" w:color="000000" w:sz="4" w:space="0"/>
              <w:right w:val="single" w:color="000000" w:sz="4" w:space="0"/>
            </w:tcBorders>
            <w:vAlign w:val="center"/>
          </w:tcPr>
          <w:p w14:paraId="2BC24520">
            <w:pPr>
              <w:pStyle w:val="98"/>
              <w:ind w:left="-105" w:right="-105"/>
              <w:rPr>
                <w:rFonts w:eastAsia="宋体"/>
                <w:b/>
                <w:bCs/>
                <w:color w:val="auto"/>
                <w:sz w:val="21"/>
                <w:szCs w:val="21"/>
                <w:highlight w:val="none"/>
              </w:rPr>
            </w:pPr>
            <w:r>
              <w:rPr>
                <w:rFonts w:eastAsia="宋体"/>
                <w:b/>
                <w:bCs/>
                <w:color w:val="auto"/>
                <w:sz w:val="21"/>
                <w:szCs w:val="21"/>
                <w:highlight w:val="none"/>
              </w:rPr>
              <w:t>E</w:t>
            </w:r>
          </w:p>
        </w:tc>
        <w:tc>
          <w:tcPr>
            <w:tcW w:w="687" w:type="dxa"/>
            <w:tcBorders>
              <w:top w:val="single" w:color="000000" w:sz="4" w:space="0"/>
              <w:left w:val="single" w:color="000000" w:sz="4" w:space="0"/>
              <w:bottom w:val="single" w:color="000000" w:sz="4" w:space="0"/>
              <w:right w:val="single" w:color="000000" w:sz="4" w:space="0"/>
            </w:tcBorders>
            <w:vAlign w:val="center"/>
          </w:tcPr>
          <w:p w14:paraId="628F4AC2">
            <w:pPr>
              <w:pStyle w:val="98"/>
              <w:ind w:left="-105" w:right="-105"/>
              <w:rPr>
                <w:rFonts w:eastAsia="宋体"/>
                <w:b/>
                <w:bCs/>
                <w:color w:val="auto"/>
                <w:sz w:val="21"/>
                <w:szCs w:val="21"/>
                <w:highlight w:val="none"/>
              </w:rPr>
            </w:pPr>
            <w:r>
              <w:rPr>
                <w:rFonts w:eastAsia="宋体"/>
                <w:b/>
                <w:bCs/>
                <w:color w:val="auto"/>
                <w:sz w:val="21"/>
                <w:szCs w:val="21"/>
                <w:highlight w:val="none"/>
              </w:rPr>
              <w:t>ESE</w:t>
            </w:r>
          </w:p>
        </w:tc>
        <w:tc>
          <w:tcPr>
            <w:tcW w:w="687" w:type="dxa"/>
            <w:tcBorders>
              <w:top w:val="single" w:color="000000" w:sz="4" w:space="0"/>
              <w:left w:val="single" w:color="000000" w:sz="4" w:space="0"/>
              <w:bottom w:val="single" w:color="000000" w:sz="4" w:space="0"/>
              <w:right w:val="single" w:color="000000" w:sz="4" w:space="0"/>
            </w:tcBorders>
            <w:vAlign w:val="center"/>
          </w:tcPr>
          <w:p w14:paraId="1B07F708">
            <w:pPr>
              <w:pStyle w:val="98"/>
              <w:ind w:left="-105" w:right="-105"/>
              <w:rPr>
                <w:rFonts w:eastAsia="宋体"/>
                <w:b/>
                <w:bCs/>
                <w:color w:val="auto"/>
                <w:sz w:val="21"/>
                <w:szCs w:val="21"/>
                <w:highlight w:val="none"/>
              </w:rPr>
            </w:pPr>
            <w:r>
              <w:rPr>
                <w:rFonts w:eastAsia="宋体"/>
                <w:b/>
                <w:bCs/>
                <w:color w:val="auto"/>
                <w:sz w:val="21"/>
                <w:szCs w:val="21"/>
                <w:highlight w:val="none"/>
              </w:rPr>
              <w:t>SE</w:t>
            </w:r>
          </w:p>
        </w:tc>
        <w:tc>
          <w:tcPr>
            <w:tcW w:w="687" w:type="dxa"/>
            <w:tcBorders>
              <w:top w:val="single" w:color="000000" w:sz="4" w:space="0"/>
              <w:left w:val="single" w:color="000000" w:sz="4" w:space="0"/>
              <w:bottom w:val="single" w:color="000000" w:sz="4" w:space="0"/>
              <w:right w:val="single" w:color="000000" w:sz="4" w:space="0"/>
            </w:tcBorders>
            <w:vAlign w:val="center"/>
          </w:tcPr>
          <w:p w14:paraId="46A69608">
            <w:pPr>
              <w:pStyle w:val="98"/>
              <w:ind w:left="-105" w:right="-105"/>
              <w:rPr>
                <w:rFonts w:eastAsia="宋体"/>
                <w:b/>
                <w:bCs/>
                <w:color w:val="auto"/>
                <w:sz w:val="21"/>
                <w:szCs w:val="21"/>
                <w:highlight w:val="none"/>
              </w:rPr>
            </w:pPr>
            <w:r>
              <w:rPr>
                <w:rFonts w:eastAsia="宋体"/>
                <w:b/>
                <w:bCs/>
                <w:color w:val="auto"/>
                <w:sz w:val="21"/>
                <w:szCs w:val="21"/>
                <w:highlight w:val="none"/>
              </w:rPr>
              <w:t>SSE</w:t>
            </w:r>
          </w:p>
        </w:tc>
        <w:tc>
          <w:tcPr>
            <w:tcW w:w="687" w:type="dxa"/>
            <w:tcBorders>
              <w:top w:val="single" w:color="000000" w:sz="4" w:space="0"/>
              <w:left w:val="single" w:color="000000" w:sz="4" w:space="0"/>
              <w:bottom w:val="single" w:color="000000" w:sz="4" w:space="0"/>
              <w:right w:val="single" w:color="000000" w:sz="4" w:space="0"/>
            </w:tcBorders>
            <w:vAlign w:val="center"/>
          </w:tcPr>
          <w:p w14:paraId="042F6192">
            <w:pPr>
              <w:pStyle w:val="98"/>
              <w:ind w:left="-105" w:right="-105"/>
              <w:rPr>
                <w:rFonts w:eastAsia="宋体"/>
                <w:b/>
                <w:bCs/>
                <w:color w:val="auto"/>
                <w:sz w:val="21"/>
                <w:szCs w:val="21"/>
                <w:highlight w:val="none"/>
              </w:rPr>
            </w:pPr>
            <w:r>
              <w:rPr>
                <w:rFonts w:eastAsia="宋体"/>
                <w:b/>
                <w:bCs/>
                <w:color w:val="auto"/>
                <w:sz w:val="21"/>
                <w:szCs w:val="21"/>
                <w:highlight w:val="none"/>
              </w:rPr>
              <w:t>S</w:t>
            </w:r>
          </w:p>
        </w:tc>
        <w:tc>
          <w:tcPr>
            <w:tcW w:w="687" w:type="dxa"/>
            <w:tcBorders>
              <w:top w:val="single" w:color="000000" w:sz="4" w:space="0"/>
              <w:left w:val="single" w:color="000000" w:sz="4" w:space="0"/>
              <w:bottom w:val="single" w:color="000000" w:sz="4" w:space="0"/>
              <w:right w:val="single" w:color="000000" w:sz="4" w:space="0"/>
            </w:tcBorders>
            <w:vAlign w:val="center"/>
          </w:tcPr>
          <w:p w14:paraId="16A265AA">
            <w:pPr>
              <w:pStyle w:val="98"/>
              <w:ind w:left="-105" w:right="-105"/>
              <w:rPr>
                <w:rFonts w:eastAsia="宋体"/>
                <w:b/>
                <w:bCs/>
                <w:color w:val="auto"/>
                <w:sz w:val="21"/>
                <w:szCs w:val="21"/>
                <w:highlight w:val="none"/>
              </w:rPr>
            </w:pPr>
            <w:r>
              <w:rPr>
                <w:rFonts w:eastAsia="宋体"/>
                <w:b/>
                <w:bCs/>
                <w:color w:val="auto"/>
                <w:sz w:val="21"/>
                <w:szCs w:val="21"/>
                <w:highlight w:val="none"/>
              </w:rPr>
              <w:t>SSW</w:t>
            </w:r>
          </w:p>
        </w:tc>
        <w:tc>
          <w:tcPr>
            <w:tcW w:w="684" w:type="dxa"/>
            <w:tcBorders>
              <w:top w:val="single" w:color="000000" w:sz="4" w:space="0"/>
              <w:left w:val="single" w:color="000000" w:sz="4" w:space="0"/>
              <w:bottom w:val="single" w:color="000000" w:sz="4" w:space="0"/>
              <w:right w:val="single" w:color="000000" w:sz="4" w:space="0"/>
            </w:tcBorders>
            <w:vAlign w:val="center"/>
          </w:tcPr>
          <w:p w14:paraId="245DF9B5">
            <w:pPr>
              <w:pStyle w:val="98"/>
              <w:ind w:left="-105" w:right="-105"/>
              <w:rPr>
                <w:rFonts w:eastAsia="宋体"/>
                <w:b/>
                <w:bCs/>
                <w:color w:val="auto"/>
                <w:sz w:val="21"/>
                <w:szCs w:val="21"/>
                <w:highlight w:val="none"/>
              </w:rPr>
            </w:pPr>
            <w:r>
              <w:rPr>
                <w:rFonts w:eastAsia="宋体"/>
                <w:b/>
                <w:bCs/>
                <w:color w:val="auto"/>
                <w:sz w:val="21"/>
                <w:szCs w:val="21"/>
                <w:highlight w:val="none"/>
              </w:rPr>
              <w:t>SW</w:t>
            </w:r>
          </w:p>
        </w:tc>
        <w:tc>
          <w:tcPr>
            <w:tcW w:w="714" w:type="dxa"/>
            <w:tcBorders>
              <w:top w:val="single" w:color="000000" w:sz="4" w:space="0"/>
              <w:left w:val="single" w:color="000000" w:sz="4" w:space="0"/>
              <w:bottom w:val="single" w:color="000000" w:sz="4" w:space="0"/>
              <w:right w:val="single" w:color="000000" w:sz="4" w:space="0"/>
            </w:tcBorders>
            <w:vAlign w:val="center"/>
          </w:tcPr>
          <w:p w14:paraId="52339A92">
            <w:pPr>
              <w:pStyle w:val="98"/>
              <w:ind w:left="-105" w:right="-105"/>
              <w:rPr>
                <w:rFonts w:eastAsia="宋体"/>
                <w:b/>
                <w:bCs/>
                <w:color w:val="auto"/>
                <w:sz w:val="21"/>
                <w:szCs w:val="21"/>
                <w:highlight w:val="none"/>
              </w:rPr>
            </w:pPr>
            <w:r>
              <w:rPr>
                <w:rFonts w:eastAsia="宋体"/>
                <w:b/>
                <w:bCs/>
                <w:color w:val="auto"/>
                <w:sz w:val="21"/>
                <w:szCs w:val="21"/>
                <w:highlight w:val="none"/>
              </w:rPr>
              <w:t>WSW</w:t>
            </w:r>
          </w:p>
        </w:tc>
        <w:tc>
          <w:tcPr>
            <w:tcW w:w="686" w:type="dxa"/>
            <w:tcBorders>
              <w:top w:val="single" w:color="000000" w:sz="4" w:space="0"/>
              <w:left w:val="single" w:color="000000" w:sz="4" w:space="0"/>
              <w:bottom w:val="single" w:color="000000" w:sz="4" w:space="0"/>
              <w:right w:val="single" w:color="000000" w:sz="4" w:space="0"/>
            </w:tcBorders>
            <w:vAlign w:val="center"/>
          </w:tcPr>
          <w:p w14:paraId="2B74E7F3">
            <w:pPr>
              <w:pStyle w:val="98"/>
              <w:ind w:left="-105" w:right="-105"/>
              <w:rPr>
                <w:rFonts w:eastAsia="宋体"/>
                <w:b/>
                <w:bCs/>
                <w:color w:val="auto"/>
                <w:sz w:val="21"/>
                <w:szCs w:val="21"/>
                <w:highlight w:val="none"/>
              </w:rPr>
            </w:pPr>
            <w:r>
              <w:rPr>
                <w:rFonts w:eastAsia="宋体"/>
                <w:b/>
                <w:bCs/>
                <w:color w:val="auto"/>
                <w:sz w:val="21"/>
                <w:szCs w:val="21"/>
                <w:highlight w:val="none"/>
              </w:rPr>
              <w:t>W</w:t>
            </w:r>
          </w:p>
        </w:tc>
        <w:tc>
          <w:tcPr>
            <w:tcW w:w="747" w:type="dxa"/>
            <w:tcBorders>
              <w:top w:val="single" w:color="000000" w:sz="4" w:space="0"/>
              <w:left w:val="single" w:color="000000" w:sz="4" w:space="0"/>
              <w:bottom w:val="single" w:color="000000" w:sz="4" w:space="0"/>
              <w:right w:val="single" w:color="000000" w:sz="4" w:space="0"/>
            </w:tcBorders>
            <w:vAlign w:val="center"/>
          </w:tcPr>
          <w:p w14:paraId="787D3121">
            <w:pPr>
              <w:pStyle w:val="98"/>
              <w:ind w:left="-105" w:right="-105"/>
              <w:rPr>
                <w:rFonts w:eastAsia="宋体"/>
                <w:b/>
                <w:bCs/>
                <w:color w:val="auto"/>
                <w:sz w:val="21"/>
                <w:szCs w:val="21"/>
                <w:highlight w:val="none"/>
              </w:rPr>
            </w:pPr>
            <w:r>
              <w:rPr>
                <w:rFonts w:eastAsia="宋体"/>
                <w:b/>
                <w:bCs/>
                <w:color w:val="auto"/>
                <w:sz w:val="21"/>
                <w:szCs w:val="21"/>
                <w:highlight w:val="none"/>
              </w:rPr>
              <w:t>WNW</w:t>
            </w:r>
          </w:p>
        </w:tc>
        <w:tc>
          <w:tcPr>
            <w:tcW w:w="686" w:type="dxa"/>
            <w:tcBorders>
              <w:top w:val="single" w:color="000000" w:sz="4" w:space="0"/>
              <w:left w:val="single" w:color="000000" w:sz="4" w:space="0"/>
              <w:bottom w:val="single" w:color="000000" w:sz="4" w:space="0"/>
              <w:right w:val="single" w:color="000000" w:sz="4" w:space="0"/>
            </w:tcBorders>
            <w:vAlign w:val="center"/>
          </w:tcPr>
          <w:p w14:paraId="272243E3">
            <w:pPr>
              <w:pStyle w:val="98"/>
              <w:ind w:left="-105" w:right="-105"/>
              <w:rPr>
                <w:rFonts w:eastAsia="宋体"/>
                <w:b/>
                <w:bCs/>
                <w:color w:val="auto"/>
                <w:sz w:val="21"/>
                <w:szCs w:val="21"/>
                <w:highlight w:val="none"/>
              </w:rPr>
            </w:pPr>
            <w:r>
              <w:rPr>
                <w:rFonts w:eastAsia="宋体"/>
                <w:b/>
                <w:bCs/>
                <w:color w:val="auto"/>
                <w:sz w:val="21"/>
                <w:szCs w:val="21"/>
                <w:highlight w:val="none"/>
              </w:rPr>
              <w:t>NW</w:t>
            </w:r>
          </w:p>
        </w:tc>
        <w:tc>
          <w:tcPr>
            <w:tcW w:w="700" w:type="dxa"/>
            <w:tcBorders>
              <w:top w:val="single" w:color="000000" w:sz="4" w:space="0"/>
              <w:left w:val="single" w:color="000000" w:sz="4" w:space="0"/>
              <w:bottom w:val="single" w:color="000000" w:sz="4" w:space="0"/>
              <w:right w:val="single" w:color="000000" w:sz="4" w:space="0"/>
            </w:tcBorders>
            <w:vAlign w:val="center"/>
          </w:tcPr>
          <w:p w14:paraId="79F706AE">
            <w:pPr>
              <w:pStyle w:val="98"/>
              <w:ind w:left="-105" w:right="-105"/>
              <w:rPr>
                <w:rFonts w:eastAsia="宋体"/>
                <w:b/>
                <w:bCs/>
                <w:color w:val="auto"/>
                <w:sz w:val="21"/>
                <w:szCs w:val="21"/>
                <w:highlight w:val="none"/>
              </w:rPr>
            </w:pPr>
            <w:r>
              <w:rPr>
                <w:rFonts w:eastAsia="宋体"/>
                <w:b/>
                <w:bCs/>
                <w:color w:val="auto"/>
                <w:sz w:val="21"/>
                <w:szCs w:val="21"/>
                <w:highlight w:val="none"/>
              </w:rPr>
              <w:t>NNW</w:t>
            </w:r>
          </w:p>
        </w:tc>
        <w:tc>
          <w:tcPr>
            <w:tcW w:w="686" w:type="dxa"/>
            <w:tcBorders>
              <w:top w:val="single" w:color="000000" w:sz="4" w:space="0"/>
              <w:left w:val="single" w:color="000000" w:sz="4" w:space="0"/>
              <w:bottom w:val="single" w:color="000000" w:sz="4" w:space="0"/>
              <w:right w:val="single" w:color="000000" w:sz="4" w:space="0"/>
            </w:tcBorders>
            <w:vAlign w:val="center"/>
          </w:tcPr>
          <w:p w14:paraId="5A04810C">
            <w:pPr>
              <w:pStyle w:val="98"/>
              <w:ind w:left="-105" w:right="-105"/>
              <w:rPr>
                <w:rFonts w:eastAsia="宋体"/>
                <w:b/>
                <w:bCs/>
                <w:color w:val="auto"/>
                <w:sz w:val="21"/>
                <w:szCs w:val="21"/>
                <w:highlight w:val="none"/>
              </w:rPr>
            </w:pPr>
            <w:r>
              <w:rPr>
                <w:rFonts w:eastAsia="宋体"/>
                <w:b/>
                <w:bCs/>
                <w:color w:val="auto"/>
                <w:sz w:val="21"/>
                <w:szCs w:val="21"/>
                <w:highlight w:val="none"/>
              </w:rPr>
              <w:t>C</w:t>
            </w:r>
          </w:p>
        </w:tc>
        <w:tc>
          <w:tcPr>
            <w:tcW w:w="693" w:type="dxa"/>
            <w:tcBorders>
              <w:top w:val="single" w:color="000000" w:sz="4" w:space="0"/>
              <w:left w:val="single" w:color="000000" w:sz="4" w:space="0"/>
              <w:bottom w:val="single" w:color="000000" w:sz="4" w:space="0"/>
              <w:right w:val="nil"/>
            </w:tcBorders>
            <w:vAlign w:val="center"/>
          </w:tcPr>
          <w:p w14:paraId="23330CEB">
            <w:pPr>
              <w:pStyle w:val="98"/>
              <w:ind w:left="-105" w:right="-105"/>
              <w:rPr>
                <w:rFonts w:eastAsia="宋体"/>
                <w:b/>
                <w:bCs/>
                <w:color w:val="auto"/>
                <w:sz w:val="21"/>
                <w:szCs w:val="21"/>
                <w:highlight w:val="none"/>
              </w:rPr>
            </w:pPr>
            <w:r>
              <w:rPr>
                <w:rFonts w:eastAsia="宋体"/>
                <w:b/>
                <w:bCs/>
                <w:color w:val="auto"/>
                <w:sz w:val="21"/>
                <w:szCs w:val="21"/>
                <w:highlight w:val="none"/>
              </w:rPr>
              <w:t>平均</w:t>
            </w:r>
          </w:p>
        </w:tc>
      </w:tr>
      <w:tr w14:paraId="52C27D88">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108" w:type="dxa"/>
            <w:bottom w:w="0" w:type="dxa"/>
            <w:right w:w="108" w:type="dxa"/>
          </w:tblCellMar>
        </w:tblPrEx>
        <w:trPr>
          <w:gridAfter w:val="1"/>
          <w:wAfter w:w="21" w:type="dxa"/>
          <w:trHeight w:val="232" w:hRule="atLeast"/>
          <w:jc w:val="center"/>
        </w:trPr>
        <w:tc>
          <w:tcPr>
            <w:tcW w:w="688" w:type="dxa"/>
            <w:vMerge w:val="restart"/>
            <w:tcBorders>
              <w:top w:val="single" w:color="000000" w:sz="4" w:space="0"/>
              <w:left w:val="nil"/>
              <w:bottom w:val="single" w:color="000000" w:sz="4" w:space="0"/>
              <w:right w:val="single" w:color="000000" w:sz="4" w:space="0"/>
            </w:tcBorders>
            <w:vAlign w:val="center"/>
          </w:tcPr>
          <w:p w14:paraId="4489209A">
            <w:pPr>
              <w:pStyle w:val="98"/>
              <w:ind w:left="-105" w:right="-105"/>
              <w:rPr>
                <w:rFonts w:eastAsia="宋体"/>
                <w:color w:val="auto"/>
                <w:sz w:val="21"/>
                <w:szCs w:val="21"/>
                <w:highlight w:val="none"/>
              </w:rPr>
            </w:pPr>
            <w:r>
              <w:rPr>
                <w:rFonts w:eastAsia="宋体"/>
                <w:color w:val="auto"/>
                <w:sz w:val="21"/>
                <w:szCs w:val="21"/>
                <w:highlight w:val="none"/>
              </w:rPr>
              <w:t>1月</w:t>
            </w:r>
          </w:p>
        </w:tc>
        <w:tc>
          <w:tcPr>
            <w:tcW w:w="687" w:type="dxa"/>
            <w:tcBorders>
              <w:top w:val="single" w:color="000000" w:sz="4" w:space="0"/>
              <w:left w:val="single" w:color="000000" w:sz="4" w:space="0"/>
              <w:bottom w:val="single" w:color="000000" w:sz="4" w:space="0"/>
              <w:right w:val="single" w:color="000000" w:sz="4" w:space="0"/>
            </w:tcBorders>
            <w:vAlign w:val="center"/>
          </w:tcPr>
          <w:p w14:paraId="5765C109">
            <w:pPr>
              <w:pStyle w:val="98"/>
              <w:ind w:left="-105" w:right="-105"/>
              <w:rPr>
                <w:rFonts w:eastAsia="宋体"/>
                <w:color w:val="auto"/>
                <w:sz w:val="21"/>
                <w:szCs w:val="21"/>
                <w:highlight w:val="none"/>
              </w:rPr>
            </w:pPr>
            <w:r>
              <w:rPr>
                <w:rFonts w:eastAsia="宋体"/>
                <w:color w:val="auto"/>
                <w:sz w:val="21"/>
                <w:szCs w:val="21"/>
                <w:highlight w:val="none"/>
              </w:rPr>
              <w:t>频率</w:t>
            </w:r>
          </w:p>
        </w:tc>
        <w:tc>
          <w:tcPr>
            <w:tcW w:w="687" w:type="dxa"/>
            <w:tcBorders>
              <w:top w:val="single" w:color="000000" w:sz="4" w:space="0"/>
              <w:left w:val="single" w:color="000000" w:sz="4" w:space="0"/>
              <w:bottom w:val="single" w:color="000000" w:sz="4" w:space="0"/>
              <w:right w:val="single" w:color="000000" w:sz="4" w:space="0"/>
            </w:tcBorders>
            <w:vAlign w:val="center"/>
          </w:tcPr>
          <w:p w14:paraId="61C12A96">
            <w:pPr>
              <w:pStyle w:val="98"/>
              <w:ind w:left="-105" w:right="-105"/>
              <w:rPr>
                <w:rFonts w:eastAsia="宋体"/>
                <w:color w:val="auto"/>
                <w:sz w:val="21"/>
                <w:szCs w:val="21"/>
                <w:highlight w:val="none"/>
              </w:rPr>
            </w:pPr>
            <w:r>
              <w:rPr>
                <w:rFonts w:eastAsia="宋体"/>
                <w:color w:val="auto"/>
                <w:sz w:val="21"/>
                <w:szCs w:val="21"/>
                <w:highlight w:val="none"/>
              </w:rPr>
              <w:t>7.6</w:t>
            </w:r>
          </w:p>
        </w:tc>
        <w:tc>
          <w:tcPr>
            <w:tcW w:w="687" w:type="dxa"/>
            <w:tcBorders>
              <w:top w:val="single" w:color="000000" w:sz="4" w:space="0"/>
              <w:left w:val="single" w:color="000000" w:sz="4" w:space="0"/>
              <w:bottom w:val="single" w:color="000000" w:sz="4" w:space="0"/>
              <w:right w:val="single" w:color="000000" w:sz="4" w:space="0"/>
            </w:tcBorders>
            <w:vAlign w:val="center"/>
          </w:tcPr>
          <w:p w14:paraId="64850C92">
            <w:pPr>
              <w:pStyle w:val="98"/>
              <w:ind w:left="-105" w:right="-105"/>
              <w:rPr>
                <w:rFonts w:eastAsia="宋体"/>
                <w:color w:val="auto"/>
                <w:sz w:val="21"/>
                <w:szCs w:val="21"/>
                <w:highlight w:val="none"/>
              </w:rPr>
            </w:pPr>
            <w:r>
              <w:rPr>
                <w:rFonts w:eastAsia="宋体"/>
                <w:color w:val="auto"/>
                <w:sz w:val="21"/>
                <w:szCs w:val="21"/>
                <w:highlight w:val="none"/>
              </w:rPr>
              <w:t>6.8</w:t>
            </w:r>
          </w:p>
        </w:tc>
        <w:tc>
          <w:tcPr>
            <w:tcW w:w="687" w:type="dxa"/>
            <w:tcBorders>
              <w:top w:val="single" w:color="000000" w:sz="4" w:space="0"/>
              <w:left w:val="single" w:color="000000" w:sz="4" w:space="0"/>
              <w:bottom w:val="single" w:color="000000" w:sz="4" w:space="0"/>
              <w:right w:val="single" w:color="000000" w:sz="4" w:space="0"/>
            </w:tcBorders>
            <w:vAlign w:val="center"/>
          </w:tcPr>
          <w:p w14:paraId="1AE2D2D7">
            <w:pPr>
              <w:pStyle w:val="98"/>
              <w:ind w:left="-105" w:right="-105"/>
              <w:rPr>
                <w:rFonts w:eastAsia="宋体"/>
                <w:color w:val="auto"/>
                <w:sz w:val="21"/>
                <w:szCs w:val="21"/>
                <w:highlight w:val="none"/>
              </w:rPr>
            </w:pPr>
            <w:r>
              <w:rPr>
                <w:rFonts w:eastAsia="宋体"/>
                <w:color w:val="auto"/>
                <w:sz w:val="21"/>
                <w:szCs w:val="21"/>
                <w:highlight w:val="none"/>
              </w:rPr>
              <w:t>4.8</w:t>
            </w:r>
          </w:p>
        </w:tc>
        <w:tc>
          <w:tcPr>
            <w:tcW w:w="688" w:type="dxa"/>
            <w:tcBorders>
              <w:top w:val="single" w:color="000000" w:sz="4" w:space="0"/>
              <w:left w:val="single" w:color="000000" w:sz="4" w:space="0"/>
              <w:bottom w:val="single" w:color="000000" w:sz="4" w:space="0"/>
              <w:right w:val="single" w:color="000000" w:sz="4" w:space="0"/>
            </w:tcBorders>
            <w:vAlign w:val="center"/>
          </w:tcPr>
          <w:p w14:paraId="2C5368E4">
            <w:pPr>
              <w:pStyle w:val="98"/>
              <w:ind w:left="-105" w:right="-105"/>
              <w:rPr>
                <w:rFonts w:eastAsia="宋体"/>
                <w:color w:val="auto"/>
                <w:sz w:val="21"/>
                <w:szCs w:val="21"/>
                <w:highlight w:val="none"/>
              </w:rPr>
            </w:pPr>
            <w:r>
              <w:rPr>
                <w:rFonts w:eastAsia="宋体"/>
                <w:color w:val="auto"/>
                <w:sz w:val="21"/>
                <w:szCs w:val="21"/>
                <w:highlight w:val="none"/>
              </w:rPr>
              <w:t>5.2</w:t>
            </w:r>
          </w:p>
        </w:tc>
        <w:tc>
          <w:tcPr>
            <w:tcW w:w="687" w:type="dxa"/>
            <w:tcBorders>
              <w:top w:val="single" w:color="000000" w:sz="4" w:space="0"/>
              <w:left w:val="single" w:color="000000" w:sz="4" w:space="0"/>
              <w:bottom w:val="single" w:color="000000" w:sz="4" w:space="0"/>
              <w:right w:val="single" w:color="000000" w:sz="4" w:space="0"/>
            </w:tcBorders>
            <w:vAlign w:val="center"/>
          </w:tcPr>
          <w:p w14:paraId="5D64803C">
            <w:pPr>
              <w:pStyle w:val="98"/>
              <w:ind w:left="-105" w:right="-105"/>
              <w:rPr>
                <w:rFonts w:eastAsia="宋体"/>
                <w:color w:val="auto"/>
                <w:sz w:val="21"/>
                <w:szCs w:val="21"/>
                <w:highlight w:val="none"/>
              </w:rPr>
            </w:pPr>
            <w:r>
              <w:rPr>
                <w:rFonts w:eastAsia="宋体"/>
                <w:color w:val="auto"/>
                <w:sz w:val="21"/>
                <w:szCs w:val="21"/>
                <w:highlight w:val="none"/>
              </w:rPr>
              <w:t>4</w:t>
            </w:r>
          </w:p>
        </w:tc>
        <w:tc>
          <w:tcPr>
            <w:tcW w:w="687" w:type="dxa"/>
            <w:tcBorders>
              <w:top w:val="single" w:color="000000" w:sz="4" w:space="0"/>
              <w:left w:val="single" w:color="000000" w:sz="4" w:space="0"/>
              <w:bottom w:val="single" w:color="000000" w:sz="4" w:space="0"/>
              <w:right w:val="single" w:color="000000" w:sz="4" w:space="0"/>
            </w:tcBorders>
            <w:vAlign w:val="center"/>
          </w:tcPr>
          <w:p w14:paraId="6DF63AAE">
            <w:pPr>
              <w:pStyle w:val="98"/>
              <w:ind w:left="-105" w:right="-105"/>
              <w:rPr>
                <w:rFonts w:eastAsia="宋体"/>
                <w:color w:val="auto"/>
                <w:sz w:val="21"/>
                <w:szCs w:val="21"/>
                <w:highlight w:val="none"/>
              </w:rPr>
            </w:pPr>
            <w:r>
              <w:rPr>
                <w:rFonts w:eastAsia="宋体"/>
                <w:color w:val="auto"/>
                <w:sz w:val="21"/>
                <w:szCs w:val="21"/>
                <w:highlight w:val="none"/>
              </w:rPr>
              <w:t>5</w:t>
            </w:r>
          </w:p>
        </w:tc>
        <w:tc>
          <w:tcPr>
            <w:tcW w:w="687" w:type="dxa"/>
            <w:tcBorders>
              <w:top w:val="single" w:color="000000" w:sz="4" w:space="0"/>
              <w:left w:val="single" w:color="000000" w:sz="4" w:space="0"/>
              <w:bottom w:val="single" w:color="000000" w:sz="4" w:space="0"/>
              <w:right w:val="single" w:color="000000" w:sz="4" w:space="0"/>
            </w:tcBorders>
            <w:vAlign w:val="center"/>
          </w:tcPr>
          <w:p w14:paraId="64205775">
            <w:pPr>
              <w:pStyle w:val="98"/>
              <w:ind w:left="-105" w:right="-105"/>
              <w:rPr>
                <w:rFonts w:eastAsia="宋体"/>
                <w:color w:val="auto"/>
                <w:sz w:val="21"/>
                <w:szCs w:val="21"/>
                <w:highlight w:val="none"/>
              </w:rPr>
            </w:pPr>
            <w:r>
              <w:rPr>
                <w:rFonts w:eastAsia="宋体"/>
                <w:color w:val="auto"/>
                <w:sz w:val="21"/>
                <w:szCs w:val="21"/>
                <w:highlight w:val="none"/>
              </w:rPr>
              <w:t>4.6</w:t>
            </w:r>
          </w:p>
        </w:tc>
        <w:tc>
          <w:tcPr>
            <w:tcW w:w="687" w:type="dxa"/>
            <w:tcBorders>
              <w:top w:val="single" w:color="000000" w:sz="4" w:space="0"/>
              <w:left w:val="single" w:color="000000" w:sz="4" w:space="0"/>
              <w:bottom w:val="single" w:color="000000" w:sz="4" w:space="0"/>
              <w:right w:val="single" w:color="000000" w:sz="4" w:space="0"/>
            </w:tcBorders>
            <w:vAlign w:val="center"/>
          </w:tcPr>
          <w:p w14:paraId="2799AC61">
            <w:pPr>
              <w:pStyle w:val="98"/>
              <w:ind w:left="-105" w:right="-105"/>
              <w:rPr>
                <w:rFonts w:eastAsia="宋体"/>
                <w:color w:val="auto"/>
                <w:sz w:val="21"/>
                <w:szCs w:val="21"/>
                <w:highlight w:val="none"/>
              </w:rPr>
            </w:pPr>
            <w:r>
              <w:rPr>
                <w:rFonts w:eastAsia="宋体"/>
                <w:color w:val="auto"/>
                <w:sz w:val="21"/>
                <w:szCs w:val="21"/>
                <w:highlight w:val="none"/>
              </w:rPr>
              <w:t>2.6</w:t>
            </w:r>
          </w:p>
        </w:tc>
        <w:tc>
          <w:tcPr>
            <w:tcW w:w="687" w:type="dxa"/>
            <w:tcBorders>
              <w:top w:val="single" w:color="000000" w:sz="4" w:space="0"/>
              <w:left w:val="single" w:color="000000" w:sz="4" w:space="0"/>
              <w:bottom w:val="single" w:color="000000" w:sz="4" w:space="0"/>
              <w:right w:val="single" w:color="000000" w:sz="4" w:space="0"/>
            </w:tcBorders>
            <w:vAlign w:val="center"/>
          </w:tcPr>
          <w:p w14:paraId="1B19F471">
            <w:pPr>
              <w:pStyle w:val="98"/>
              <w:ind w:left="-105" w:right="-105"/>
              <w:rPr>
                <w:rFonts w:eastAsia="宋体"/>
                <w:color w:val="auto"/>
                <w:sz w:val="21"/>
                <w:szCs w:val="21"/>
                <w:highlight w:val="none"/>
              </w:rPr>
            </w:pPr>
            <w:r>
              <w:rPr>
                <w:rFonts w:eastAsia="宋体"/>
                <w:color w:val="auto"/>
                <w:sz w:val="21"/>
                <w:szCs w:val="21"/>
                <w:highlight w:val="none"/>
              </w:rPr>
              <w:t>1</w:t>
            </w:r>
          </w:p>
        </w:tc>
        <w:tc>
          <w:tcPr>
            <w:tcW w:w="687" w:type="dxa"/>
            <w:tcBorders>
              <w:top w:val="single" w:color="000000" w:sz="4" w:space="0"/>
              <w:left w:val="single" w:color="000000" w:sz="4" w:space="0"/>
              <w:bottom w:val="single" w:color="000000" w:sz="4" w:space="0"/>
              <w:right w:val="single" w:color="000000" w:sz="4" w:space="0"/>
            </w:tcBorders>
            <w:vAlign w:val="center"/>
          </w:tcPr>
          <w:p w14:paraId="5608EA70">
            <w:pPr>
              <w:pStyle w:val="98"/>
              <w:ind w:left="-105" w:right="-105"/>
              <w:rPr>
                <w:rFonts w:eastAsia="宋体"/>
                <w:color w:val="auto"/>
                <w:sz w:val="21"/>
                <w:szCs w:val="21"/>
                <w:highlight w:val="none"/>
              </w:rPr>
            </w:pPr>
            <w:r>
              <w:rPr>
                <w:rFonts w:eastAsia="宋体"/>
                <w:color w:val="auto"/>
                <w:sz w:val="21"/>
                <w:szCs w:val="21"/>
                <w:highlight w:val="none"/>
              </w:rPr>
              <w:t>0.4</w:t>
            </w:r>
          </w:p>
        </w:tc>
        <w:tc>
          <w:tcPr>
            <w:tcW w:w="684" w:type="dxa"/>
            <w:tcBorders>
              <w:top w:val="single" w:color="000000" w:sz="4" w:space="0"/>
              <w:left w:val="single" w:color="000000" w:sz="4" w:space="0"/>
              <w:bottom w:val="single" w:color="000000" w:sz="4" w:space="0"/>
              <w:right w:val="single" w:color="000000" w:sz="4" w:space="0"/>
            </w:tcBorders>
            <w:vAlign w:val="center"/>
          </w:tcPr>
          <w:p w14:paraId="360432A0">
            <w:pPr>
              <w:pStyle w:val="98"/>
              <w:ind w:left="-105" w:right="-105"/>
              <w:rPr>
                <w:rFonts w:eastAsia="宋体"/>
                <w:color w:val="auto"/>
                <w:sz w:val="21"/>
                <w:szCs w:val="21"/>
                <w:highlight w:val="none"/>
              </w:rPr>
            </w:pPr>
            <w:r>
              <w:rPr>
                <w:rFonts w:eastAsia="宋体"/>
                <w:color w:val="auto"/>
                <w:sz w:val="21"/>
                <w:szCs w:val="21"/>
                <w:highlight w:val="none"/>
              </w:rPr>
              <w:t>1.2</w:t>
            </w:r>
          </w:p>
        </w:tc>
        <w:tc>
          <w:tcPr>
            <w:tcW w:w="714" w:type="dxa"/>
            <w:tcBorders>
              <w:top w:val="single" w:color="000000" w:sz="4" w:space="0"/>
              <w:left w:val="single" w:color="000000" w:sz="4" w:space="0"/>
              <w:bottom w:val="single" w:color="000000" w:sz="4" w:space="0"/>
              <w:right w:val="single" w:color="000000" w:sz="4" w:space="0"/>
            </w:tcBorders>
            <w:vAlign w:val="center"/>
          </w:tcPr>
          <w:p w14:paraId="42196663">
            <w:pPr>
              <w:pStyle w:val="98"/>
              <w:ind w:left="-105" w:right="-105"/>
              <w:rPr>
                <w:rFonts w:eastAsia="宋体"/>
                <w:color w:val="auto"/>
                <w:sz w:val="21"/>
                <w:szCs w:val="21"/>
                <w:highlight w:val="none"/>
              </w:rPr>
            </w:pPr>
            <w:r>
              <w:rPr>
                <w:rFonts w:eastAsia="宋体"/>
                <w:color w:val="auto"/>
                <w:sz w:val="21"/>
                <w:szCs w:val="21"/>
                <w:highlight w:val="none"/>
              </w:rPr>
              <w:t>3.4</w:t>
            </w:r>
          </w:p>
        </w:tc>
        <w:tc>
          <w:tcPr>
            <w:tcW w:w="686" w:type="dxa"/>
            <w:tcBorders>
              <w:top w:val="single" w:color="000000" w:sz="4" w:space="0"/>
              <w:left w:val="single" w:color="000000" w:sz="4" w:space="0"/>
              <w:bottom w:val="single" w:color="000000" w:sz="4" w:space="0"/>
              <w:right w:val="single" w:color="000000" w:sz="4" w:space="0"/>
            </w:tcBorders>
            <w:vAlign w:val="center"/>
          </w:tcPr>
          <w:p w14:paraId="5715587D">
            <w:pPr>
              <w:pStyle w:val="98"/>
              <w:ind w:left="-105" w:right="-105"/>
              <w:rPr>
                <w:rFonts w:eastAsia="宋体"/>
                <w:color w:val="auto"/>
                <w:sz w:val="21"/>
                <w:szCs w:val="21"/>
                <w:highlight w:val="none"/>
              </w:rPr>
            </w:pPr>
            <w:r>
              <w:rPr>
                <w:rFonts w:eastAsia="宋体"/>
                <w:color w:val="auto"/>
                <w:sz w:val="21"/>
                <w:szCs w:val="21"/>
                <w:highlight w:val="none"/>
              </w:rPr>
              <w:t>6.6</w:t>
            </w:r>
          </w:p>
        </w:tc>
        <w:tc>
          <w:tcPr>
            <w:tcW w:w="747" w:type="dxa"/>
            <w:tcBorders>
              <w:top w:val="single" w:color="000000" w:sz="4" w:space="0"/>
              <w:left w:val="single" w:color="000000" w:sz="4" w:space="0"/>
              <w:bottom w:val="single" w:color="000000" w:sz="4" w:space="0"/>
              <w:right w:val="single" w:color="000000" w:sz="4" w:space="0"/>
            </w:tcBorders>
            <w:vAlign w:val="center"/>
          </w:tcPr>
          <w:p w14:paraId="75FA61CA">
            <w:pPr>
              <w:pStyle w:val="98"/>
              <w:ind w:left="-105" w:right="-105"/>
              <w:rPr>
                <w:rFonts w:eastAsia="宋体"/>
                <w:color w:val="auto"/>
                <w:sz w:val="21"/>
                <w:szCs w:val="21"/>
                <w:highlight w:val="none"/>
              </w:rPr>
            </w:pPr>
            <w:r>
              <w:rPr>
                <w:rFonts w:eastAsia="宋体"/>
                <w:color w:val="auto"/>
                <w:sz w:val="21"/>
                <w:szCs w:val="21"/>
                <w:highlight w:val="none"/>
              </w:rPr>
              <w:t>12.8</w:t>
            </w:r>
          </w:p>
        </w:tc>
        <w:tc>
          <w:tcPr>
            <w:tcW w:w="686" w:type="dxa"/>
            <w:tcBorders>
              <w:top w:val="single" w:color="000000" w:sz="4" w:space="0"/>
              <w:left w:val="single" w:color="000000" w:sz="4" w:space="0"/>
              <w:bottom w:val="single" w:color="000000" w:sz="4" w:space="0"/>
              <w:right w:val="single" w:color="000000" w:sz="4" w:space="0"/>
            </w:tcBorders>
            <w:vAlign w:val="center"/>
          </w:tcPr>
          <w:p w14:paraId="585F3435">
            <w:pPr>
              <w:pStyle w:val="98"/>
              <w:ind w:left="-105" w:right="-105"/>
              <w:rPr>
                <w:rFonts w:eastAsia="宋体"/>
                <w:color w:val="auto"/>
                <w:sz w:val="21"/>
                <w:szCs w:val="21"/>
                <w:highlight w:val="none"/>
              </w:rPr>
            </w:pPr>
            <w:r>
              <w:rPr>
                <w:rFonts w:eastAsia="宋体"/>
                <w:color w:val="auto"/>
                <w:sz w:val="21"/>
                <w:szCs w:val="21"/>
                <w:highlight w:val="none"/>
              </w:rPr>
              <w:t>6.6</w:t>
            </w:r>
          </w:p>
        </w:tc>
        <w:tc>
          <w:tcPr>
            <w:tcW w:w="700" w:type="dxa"/>
            <w:tcBorders>
              <w:top w:val="single" w:color="000000" w:sz="4" w:space="0"/>
              <w:left w:val="single" w:color="000000" w:sz="4" w:space="0"/>
              <w:bottom w:val="single" w:color="000000" w:sz="4" w:space="0"/>
              <w:right w:val="single" w:color="000000" w:sz="4" w:space="0"/>
            </w:tcBorders>
            <w:vAlign w:val="center"/>
          </w:tcPr>
          <w:p w14:paraId="1AAE2871">
            <w:pPr>
              <w:pStyle w:val="98"/>
              <w:ind w:left="-105" w:right="-105"/>
              <w:rPr>
                <w:rFonts w:eastAsia="宋体"/>
                <w:color w:val="auto"/>
                <w:sz w:val="21"/>
                <w:szCs w:val="21"/>
                <w:highlight w:val="none"/>
              </w:rPr>
            </w:pPr>
            <w:r>
              <w:rPr>
                <w:rFonts w:eastAsia="宋体"/>
                <w:color w:val="auto"/>
                <w:sz w:val="21"/>
                <w:szCs w:val="21"/>
                <w:highlight w:val="none"/>
              </w:rPr>
              <w:t>9.2</w:t>
            </w:r>
          </w:p>
        </w:tc>
        <w:tc>
          <w:tcPr>
            <w:tcW w:w="686" w:type="dxa"/>
            <w:tcBorders>
              <w:top w:val="single" w:color="000000" w:sz="4" w:space="0"/>
              <w:left w:val="single" w:color="000000" w:sz="4" w:space="0"/>
              <w:bottom w:val="single" w:color="000000" w:sz="4" w:space="0"/>
              <w:right w:val="single" w:color="000000" w:sz="4" w:space="0"/>
            </w:tcBorders>
            <w:vAlign w:val="center"/>
          </w:tcPr>
          <w:p w14:paraId="66F628C7">
            <w:pPr>
              <w:pStyle w:val="98"/>
              <w:ind w:left="-105" w:right="-105"/>
              <w:rPr>
                <w:rFonts w:eastAsia="宋体"/>
                <w:color w:val="auto"/>
                <w:sz w:val="21"/>
                <w:szCs w:val="21"/>
                <w:highlight w:val="none"/>
              </w:rPr>
            </w:pPr>
            <w:r>
              <w:rPr>
                <w:rFonts w:eastAsia="宋体"/>
                <w:color w:val="auto"/>
                <w:sz w:val="21"/>
                <w:szCs w:val="21"/>
                <w:highlight w:val="none"/>
              </w:rPr>
              <w:t>17.6</w:t>
            </w:r>
          </w:p>
        </w:tc>
        <w:tc>
          <w:tcPr>
            <w:tcW w:w="693" w:type="dxa"/>
            <w:tcBorders>
              <w:top w:val="single" w:color="000000" w:sz="4" w:space="0"/>
              <w:left w:val="single" w:color="000000" w:sz="4" w:space="0"/>
              <w:bottom w:val="single" w:color="000000" w:sz="4" w:space="0"/>
              <w:right w:val="nil"/>
            </w:tcBorders>
            <w:vAlign w:val="center"/>
          </w:tcPr>
          <w:p w14:paraId="50658A19">
            <w:pPr>
              <w:pStyle w:val="98"/>
              <w:ind w:left="-105" w:right="-105"/>
              <w:rPr>
                <w:rFonts w:eastAsia="宋体"/>
                <w:color w:val="auto"/>
                <w:sz w:val="21"/>
                <w:szCs w:val="21"/>
                <w:highlight w:val="none"/>
              </w:rPr>
            </w:pPr>
            <w:r>
              <w:rPr>
                <w:rFonts w:eastAsia="宋体"/>
                <w:color w:val="auto"/>
                <w:sz w:val="21"/>
                <w:szCs w:val="21"/>
                <w:highlight w:val="none"/>
              </w:rPr>
              <w:t>/</w:t>
            </w:r>
          </w:p>
        </w:tc>
      </w:tr>
      <w:tr w14:paraId="45746B4D">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108" w:type="dxa"/>
            <w:bottom w:w="0" w:type="dxa"/>
            <w:right w:w="108" w:type="dxa"/>
          </w:tblCellMar>
        </w:tblPrEx>
        <w:trPr>
          <w:gridAfter w:val="1"/>
          <w:wAfter w:w="21" w:type="dxa"/>
          <w:trHeight w:val="232" w:hRule="atLeast"/>
          <w:jc w:val="center"/>
        </w:trPr>
        <w:tc>
          <w:tcPr>
            <w:tcW w:w="688" w:type="dxa"/>
            <w:vMerge w:val="continue"/>
            <w:tcBorders>
              <w:top w:val="nil"/>
              <w:left w:val="nil"/>
              <w:bottom w:val="single" w:color="000000" w:sz="4" w:space="0"/>
              <w:right w:val="single" w:color="000000" w:sz="4" w:space="0"/>
            </w:tcBorders>
            <w:vAlign w:val="center"/>
          </w:tcPr>
          <w:p w14:paraId="1FCC92BC">
            <w:pPr>
              <w:ind w:left="-105" w:right="-105"/>
              <w:jc w:val="center"/>
              <w:rPr>
                <w:rFonts w:ascii="Times New Roman" w:hAnsi="Times New Roman"/>
                <w:color w:val="auto"/>
                <w:sz w:val="21"/>
                <w:szCs w:val="21"/>
                <w:highlight w:val="none"/>
              </w:rPr>
            </w:pPr>
          </w:p>
        </w:tc>
        <w:tc>
          <w:tcPr>
            <w:tcW w:w="687" w:type="dxa"/>
            <w:tcBorders>
              <w:top w:val="single" w:color="000000" w:sz="4" w:space="0"/>
              <w:left w:val="single" w:color="000000" w:sz="4" w:space="0"/>
              <w:bottom w:val="single" w:color="000000" w:sz="4" w:space="0"/>
              <w:right w:val="single" w:color="000000" w:sz="4" w:space="0"/>
            </w:tcBorders>
            <w:vAlign w:val="center"/>
          </w:tcPr>
          <w:p w14:paraId="57E5F658">
            <w:pPr>
              <w:pStyle w:val="98"/>
              <w:ind w:left="-105" w:right="-105"/>
              <w:rPr>
                <w:rFonts w:eastAsia="宋体"/>
                <w:color w:val="auto"/>
                <w:sz w:val="21"/>
                <w:szCs w:val="21"/>
                <w:highlight w:val="none"/>
              </w:rPr>
            </w:pPr>
            <w:r>
              <w:rPr>
                <w:rFonts w:eastAsia="宋体"/>
                <w:color w:val="auto"/>
                <w:sz w:val="21"/>
                <w:szCs w:val="21"/>
                <w:highlight w:val="none"/>
              </w:rPr>
              <w:t>风速</w:t>
            </w:r>
          </w:p>
        </w:tc>
        <w:tc>
          <w:tcPr>
            <w:tcW w:w="687" w:type="dxa"/>
            <w:tcBorders>
              <w:top w:val="single" w:color="000000" w:sz="4" w:space="0"/>
              <w:left w:val="single" w:color="000000" w:sz="4" w:space="0"/>
              <w:bottom w:val="single" w:color="000000" w:sz="4" w:space="0"/>
              <w:right w:val="single" w:color="000000" w:sz="4" w:space="0"/>
            </w:tcBorders>
            <w:vAlign w:val="center"/>
          </w:tcPr>
          <w:p w14:paraId="41FC1377">
            <w:pPr>
              <w:pStyle w:val="98"/>
              <w:ind w:left="-105" w:right="-105"/>
              <w:rPr>
                <w:rFonts w:eastAsia="宋体"/>
                <w:color w:val="auto"/>
                <w:sz w:val="21"/>
                <w:szCs w:val="21"/>
                <w:highlight w:val="none"/>
              </w:rPr>
            </w:pPr>
            <w:r>
              <w:rPr>
                <w:rFonts w:eastAsia="宋体"/>
                <w:color w:val="auto"/>
                <w:sz w:val="21"/>
                <w:szCs w:val="21"/>
                <w:highlight w:val="none"/>
              </w:rPr>
              <w:t>2.2</w:t>
            </w:r>
          </w:p>
        </w:tc>
        <w:tc>
          <w:tcPr>
            <w:tcW w:w="687" w:type="dxa"/>
            <w:tcBorders>
              <w:top w:val="single" w:color="000000" w:sz="4" w:space="0"/>
              <w:left w:val="single" w:color="000000" w:sz="4" w:space="0"/>
              <w:bottom w:val="single" w:color="000000" w:sz="4" w:space="0"/>
              <w:right w:val="single" w:color="000000" w:sz="4" w:space="0"/>
            </w:tcBorders>
            <w:vAlign w:val="center"/>
          </w:tcPr>
          <w:p w14:paraId="76C2D83C">
            <w:pPr>
              <w:pStyle w:val="98"/>
              <w:ind w:left="-105" w:right="-105"/>
              <w:rPr>
                <w:rFonts w:eastAsia="宋体"/>
                <w:color w:val="auto"/>
                <w:sz w:val="21"/>
                <w:szCs w:val="21"/>
                <w:highlight w:val="none"/>
              </w:rPr>
            </w:pPr>
            <w:r>
              <w:rPr>
                <w:rFonts w:eastAsia="宋体"/>
                <w:color w:val="auto"/>
                <w:sz w:val="21"/>
                <w:szCs w:val="21"/>
                <w:highlight w:val="none"/>
              </w:rPr>
              <w:t>2.6</w:t>
            </w:r>
          </w:p>
        </w:tc>
        <w:tc>
          <w:tcPr>
            <w:tcW w:w="687" w:type="dxa"/>
            <w:tcBorders>
              <w:top w:val="single" w:color="000000" w:sz="4" w:space="0"/>
              <w:left w:val="single" w:color="000000" w:sz="4" w:space="0"/>
              <w:bottom w:val="single" w:color="000000" w:sz="4" w:space="0"/>
              <w:right w:val="single" w:color="000000" w:sz="4" w:space="0"/>
            </w:tcBorders>
            <w:vAlign w:val="center"/>
          </w:tcPr>
          <w:p w14:paraId="6A07D0F5">
            <w:pPr>
              <w:pStyle w:val="98"/>
              <w:ind w:left="-105" w:right="-105"/>
              <w:rPr>
                <w:rFonts w:eastAsia="宋体"/>
                <w:color w:val="auto"/>
                <w:sz w:val="21"/>
                <w:szCs w:val="21"/>
                <w:highlight w:val="none"/>
              </w:rPr>
            </w:pPr>
            <w:r>
              <w:rPr>
                <w:rFonts w:eastAsia="宋体"/>
                <w:color w:val="auto"/>
                <w:sz w:val="21"/>
                <w:szCs w:val="21"/>
                <w:highlight w:val="none"/>
              </w:rPr>
              <w:t>2.7</w:t>
            </w:r>
          </w:p>
        </w:tc>
        <w:tc>
          <w:tcPr>
            <w:tcW w:w="688" w:type="dxa"/>
            <w:tcBorders>
              <w:top w:val="single" w:color="000000" w:sz="4" w:space="0"/>
              <w:left w:val="single" w:color="000000" w:sz="4" w:space="0"/>
              <w:bottom w:val="single" w:color="000000" w:sz="4" w:space="0"/>
              <w:right w:val="single" w:color="000000" w:sz="4" w:space="0"/>
            </w:tcBorders>
            <w:vAlign w:val="center"/>
          </w:tcPr>
          <w:p w14:paraId="51FCD470">
            <w:pPr>
              <w:pStyle w:val="98"/>
              <w:ind w:left="-105" w:right="-105"/>
              <w:rPr>
                <w:rFonts w:eastAsia="宋体"/>
                <w:color w:val="auto"/>
                <w:sz w:val="21"/>
                <w:szCs w:val="21"/>
                <w:highlight w:val="none"/>
              </w:rPr>
            </w:pPr>
            <w:r>
              <w:rPr>
                <w:rFonts w:eastAsia="宋体"/>
                <w:color w:val="auto"/>
                <w:sz w:val="21"/>
                <w:szCs w:val="21"/>
                <w:highlight w:val="none"/>
              </w:rPr>
              <w:t>2.4</w:t>
            </w:r>
          </w:p>
        </w:tc>
        <w:tc>
          <w:tcPr>
            <w:tcW w:w="687" w:type="dxa"/>
            <w:tcBorders>
              <w:top w:val="single" w:color="000000" w:sz="4" w:space="0"/>
              <w:left w:val="single" w:color="000000" w:sz="4" w:space="0"/>
              <w:bottom w:val="single" w:color="000000" w:sz="4" w:space="0"/>
              <w:right w:val="single" w:color="000000" w:sz="4" w:space="0"/>
            </w:tcBorders>
            <w:vAlign w:val="center"/>
          </w:tcPr>
          <w:p w14:paraId="0AFBF7B5">
            <w:pPr>
              <w:pStyle w:val="98"/>
              <w:ind w:left="-105" w:right="-105"/>
              <w:rPr>
                <w:rFonts w:eastAsia="宋体"/>
                <w:color w:val="auto"/>
                <w:sz w:val="21"/>
                <w:szCs w:val="21"/>
                <w:highlight w:val="none"/>
              </w:rPr>
            </w:pPr>
            <w:r>
              <w:rPr>
                <w:rFonts w:eastAsia="宋体"/>
                <w:color w:val="auto"/>
                <w:sz w:val="21"/>
                <w:szCs w:val="21"/>
                <w:highlight w:val="none"/>
              </w:rPr>
              <w:t>2.4</w:t>
            </w:r>
          </w:p>
        </w:tc>
        <w:tc>
          <w:tcPr>
            <w:tcW w:w="687" w:type="dxa"/>
            <w:tcBorders>
              <w:top w:val="single" w:color="000000" w:sz="4" w:space="0"/>
              <w:left w:val="single" w:color="000000" w:sz="4" w:space="0"/>
              <w:bottom w:val="single" w:color="000000" w:sz="4" w:space="0"/>
              <w:right w:val="single" w:color="000000" w:sz="4" w:space="0"/>
            </w:tcBorders>
            <w:vAlign w:val="center"/>
          </w:tcPr>
          <w:p w14:paraId="49D06CA2">
            <w:pPr>
              <w:pStyle w:val="98"/>
              <w:ind w:left="-105" w:right="-105"/>
              <w:rPr>
                <w:rFonts w:eastAsia="宋体"/>
                <w:color w:val="auto"/>
                <w:sz w:val="21"/>
                <w:szCs w:val="21"/>
                <w:highlight w:val="none"/>
              </w:rPr>
            </w:pPr>
            <w:r>
              <w:rPr>
                <w:rFonts w:eastAsia="宋体"/>
                <w:color w:val="auto"/>
                <w:sz w:val="21"/>
                <w:szCs w:val="21"/>
                <w:highlight w:val="none"/>
              </w:rPr>
              <w:t>2.9</w:t>
            </w:r>
          </w:p>
        </w:tc>
        <w:tc>
          <w:tcPr>
            <w:tcW w:w="687" w:type="dxa"/>
            <w:tcBorders>
              <w:top w:val="single" w:color="000000" w:sz="4" w:space="0"/>
              <w:left w:val="single" w:color="000000" w:sz="4" w:space="0"/>
              <w:bottom w:val="single" w:color="000000" w:sz="4" w:space="0"/>
              <w:right w:val="single" w:color="000000" w:sz="4" w:space="0"/>
            </w:tcBorders>
            <w:vAlign w:val="center"/>
          </w:tcPr>
          <w:p w14:paraId="36F725ED">
            <w:pPr>
              <w:pStyle w:val="98"/>
              <w:ind w:left="-105" w:right="-105"/>
              <w:rPr>
                <w:rFonts w:eastAsia="宋体"/>
                <w:color w:val="auto"/>
                <w:sz w:val="21"/>
                <w:szCs w:val="21"/>
                <w:highlight w:val="none"/>
              </w:rPr>
            </w:pPr>
            <w:r>
              <w:rPr>
                <w:rFonts w:eastAsia="宋体"/>
                <w:color w:val="auto"/>
                <w:sz w:val="21"/>
                <w:szCs w:val="21"/>
                <w:highlight w:val="none"/>
              </w:rPr>
              <w:t>1.9</w:t>
            </w:r>
          </w:p>
        </w:tc>
        <w:tc>
          <w:tcPr>
            <w:tcW w:w="687" w:type="dxa"/>
            <w:tcBorders>
              <w:top w:val="single" w:color="000000" w:sz="4" w:space="0"/>
              <w:left w:val="single" w:color="000000" w:sz="4" w:space="0"/>
              <w:bottom w:val="single" w:color="000000" w:sz="4" w:space="0"/>
              <w:right w:val="single" w:color="000000" w:sz="4" w:space="0"/>
            </w:tcBorders>
            <w:vAlign w:val="center"/>
          </w:tcPr>
          <w:p w14:paraId="502F2ECA">
            <w:pPr>
              <w:pStyle w:val="98"/>
              <w:ind w:left="-105" w:right="-105"/>
              <w:rPr>
                <w:rFonts w:eastAsia="宋体"/>
                <w:color w:val="auto"/>
                <w:sz w:val="21"/>
                <w:szCs w:val="21"/>
                <w:highlight w:val="none"/>
              </w:rPr>
            </w:pPr>
            <w:r>
              <w:rPr>
                <w:rFonts w:eastAsia="宋体"/>
                <w:color w:val="auto"/>
                <w:sz w:val="21"/>
                <w:szCs w:val="21"/>
                <w:highlight w:val="none"/>
              </w:rPr>
              <w:t>1.1</w:t>
            </w:r>
          </w:p>
        </w:tc>
        <w:tc>
          <w:tcPr>
            <w:tcW w:w="687" w:type="dxa"/>
            <w:tcBorders>
              <w:top w:val="single" w:color="000000" w:sz="4" w:space="0"/>
              <w:left w:val="single" w:color="000000" w:sz="4" w:space="0"/>
              <w:bottom w:val="single" w:color="000000" w:sz="4" w:space="0"/>
              <w:right w:val="single" w:color="000000" w:sz="4" w:space="0"/>
            </w:tcBorders>
            <w:vAlign w:val="center"/>
          </w:tcPr>
          <w:p w14:paraId="3085DE67">
            <w:pPr>
              <w:pStyle w:val="98"/>
              <w:ind w:left="-105" w:right="-105"/>
              <w:rPr>
                <w:rFonts w:eastAsia="宋体"/>
                <w:color w:val="auto"/>
                <w:sz w:val="21"/>
                <w:szCs w:val="21"/>
                <w:highlight w:val="none"/>
              </w:rPr>
            </w:pPr>
            <w:r>
              <w:rPr>
                <w:rFonts w:eastAsia="宋体"/>
                <w:color w:val="auto"/>
                <w:sz w:val="21"/>
                <w:szCs w:val="21"/>
                <w:highlight w:val="none"/>
              </w:rPr>
              <w:t>2.3</w:t>
            </w:r>
          </w:p>
        </w:tc>
        <w:tc>
          <w:tcPr>
            <w:tcW w:w="687" w:type="dxa"/>
            <w:tcBorders>
              <w:top w:val="single" w:color="000000" w:sz="4" w:space="0"/>
              <w:left w:val="single" w:color="000000" w:sz="4" w:space="0"/>
              <w:bottom w:val="single" w:color="000000" w:sz="4" w:space="0"/>
              <w:right w:val="single" w:color="000000" w:sz="4" w:space="0"/>
            </w:tcBorders>
            <w:vAlign w:val="center"/>
          </w:tcPr>
          <w:p w14:paraId="24C9704C">
            <w:pPr>
              <w:pStyle w:val="98"/>
              <w:ind w:left="-105" w:right="-105"/>
              <w:rPr>
                <w:rFonts w:eastAsia="宋体"/>
                <w:color w:val="auto"/>
                <w:sz w:val="21"/>
                <w:szCs w:val="21"/>
                <w:highlight w:val="none"/>
              </w:rPr>
            </w:pPr>
            <w:r>
              <w:rPr>
                <w:rFonts w:eastAsia="宋体"/>
                <w:color w:val="auto"/>
                <w:sz w:val="21"/>
                <w:szCs w:val="21"/>
                <w:highlight w:val="none"/>
              </w:rPr>
              <w:t>0.6</w:t>
            </w:r>
          </w:p>
        </w:tc>
        <w:tc>
          <w:tcPr>
            <w:tcW w:w="684" w:type="dxa"/>
            <w:tcBorders>
              <w:top w:val="single" w:color="000000" w:sz="4" w:space="0"/>
              <w:left w:val="single" w:color="000000" w:sz="4" w:space="0"/>
              <w:bottom w:val="single" w:color="000000" w:sz="4" w:space="0"/>
              <w:right w:val="single" w:color="000000" w:sz="4" w:space="0"/>
            </w:tcBorders>
            <w:vAlign w:val="center"/>
          </w:tcPr>
          <w:p w14:paraId="43BD80E1">
            <w:pPr>
              <w:pStyle w:val="98"/>
              <w:ind w:left="-105" w:right="-105"/>
              <w:rPr>
                <w:rFonts w:eastAsia="宋体"/>
                <w:color w:val="auto"/>
                <w:sz w:val="21"/>
                <w:szCs w:val="21"/>
                <w:highlight w:val="none"/>
              </w:rPr>
            </w:pPr>
            <w:r>
              <w:rPr>
                <w:rFonts w:eastAsia="宋体"/>
                <w:color w:val="auto"/>
                <w:sz w:val="21"/>
                <w:szCs w:val="21"/>
                <w:highlight w:val="none"/>
              </w:rPr>
              <w:t>1.7</w:t>
            </w:r>
          </w:p>
        </w:tc>
        <w:tc>
          <w:tcPr>
            <w:tcW w:w="714" w:type="dxa"/>
            <w:tcBorders>
              <w:top w:val="single" w:color="000000" w:sz="4" w:space="0"/>
              <w:left w:val="single" w:color="000000" w:sz="4" w:space="0"/>
              <w:bottom w:val="single" w:color="000000" w:sz="4" w:space="0"/>
              <w:right w:val="single" w:color="000000" w:sz="4" w:space="0"/>
            </w:tcBorders>
            <w:vAlign w:val="center"/>
          </w:tcPr>
          <w:p w14:paraId="5FE71F8C">
            <w:pPr>
              <w:pStyle w:val="98"/>
              <w:ind w:left="-105" w:right="-105"/>
              <w:rPr>
                <w:rFonts w:eastAsia="宋体"/>
                <w:color w:val="auto"/>
                <w:sz w:val="21"/>
                <w:szCs w:val="21"/>
                <w:highlight w:val="none"/>
              </w:rPr>
            </w:pPr>
            <w:r>
              <w:rPr>
                <w:rFonts w:eastAsia="宋体"/>
                <w:color w:val="auto"/>
                <w:sz w:val="21"/>
                <w:szCs w:val="21"/>
                <w:highlight w:val="none"/>
              </w:rPr>
              <w:t>2.6</w:t>
            </w:r>
          </w:p>
        </w:tc>
        <w:tc>
          <w:tcPr>
            <w:tcW w:w="686" w:type="dxa"/>
            <w:tcBorders>
              <w:top w:val="single" w:color="000000" w:sz="4" w:space="0"/>
              <w:left w:val="single" w:color="000000" w:sz="4" w:space="0"/>
              <w:bottom w:val="single" w:color="000000" w:sz="4" w:space="0"/>
              <w:right w:val="single" w:color="000000" w:sz="4" w:space="0"/>
            </w:tcBorders>
            <w:vAlign w:val="center"/>
          </w:tcPr>
          <w:p w14:paraId="5AC7998C">
            <w:pPr>
              <w:pStyle w:val="98"/>
              <w:ind w:left="-105" w:right="-105"/>
              <w:rPr>
                <w:rFonts w:eastAsia="宋体"/>
                <w:color w:val="auto"/>
                <w:sz w:val="21"/>
                <w:szCs w:val="21"/>
                <w:highlight w:val="none"/>
              </w:rPr>
            </w:pPr>
            <w:r>
              <w:rPr>
                <w:rFonts w:eastAsia="宋体"/>
                <w:color w:val="auto"/>
                <w:sz w:val="21"/>
                <w:szCs w:val="21"/>
                <w:highlight w:val="none"/>
              </w:rPr>
              <w:t>3.5</w:t>
            </w:r>
          </w:p>
        </w:tc>
        <w:tc>
          <w:tcPr>
            <w:tcW w:w="747" w:type="dxa"/>
            <w:tcBorders>
              <w:top w:val="single" w:color="000000" w:sz="4" w:space="0"/>
              <w:left w:val="single" w:color="000000" w:sz="4" w:space="0"/>
              <w:bottom w:val="single" w:color="000000" w:sz="4" w:space="0"/>
              <w:right w:val="single" w:color="000000" w:sz="4" w:space="0"/>
            </w:tcBorders>
            <w:vAlign w:val="center"/>
          </w:tcPr>
          <w:p w14:paraId="24DA7556">
            <w:pPr>
              <w:pStyle w:val="98"/>
              <w:ind w:left="-105" w:right="-105"/>
              <w:rPr>
                <w:rFonts w:eastAsia="宋体"/>
                <w:color w:val="auto"/>
                <w:sz w:val="21"/>
                <w:szCs w:val="21"/>
                <w:highlight w:val="none"/>
              </w:rPr>
            </w:pPr>
            <w:r>
              <w:rPr>
                <w:rFonts w:eastAsia="宋体"/>
                <w:color w:val="auto"/>
                <w:sz w:val="21"/>
                <w:szCs w:val="21"/>
                <w:highlight w:val="none"/>
              </w:rPr>
              <w:t>3.4</w:t>
            </w:r>
          </w:p>
        </w:tc>
        <w:tc>
          <w:tcPr>
            <w:tcW w:w="686" w:type="dxa"/>
            <w:tcBorders>
              <w:top w:val="single" w:color="000000" w:sz="4" w:space="0"/>
              <w:left w:val="single" w:color="000000" w:sz="4" w:space="0"/>
              <w:bottom w:val="single" w:color="000000" w:sz="4" w:space="0"/>
              <w:right w:val="single" w:color="000000" w:sz="4" w:space="0"/>
            </w:tcBorders>
            <w:vAlign w:val="center"/>
          </w:tcPr>
          <w:p w14:paraId="7EEDE939">
            <w:pPr>
              <w:pStyle w:val="98"/>
              <w:ind w:left="-105" w:right="-105"/>
              <w:rPr>
                <w:rFonts w:eastAsia="宋体"/>
                <w:color w:val="auto"/>
                <w:sz w:val="21"/>
                <w:szCs w:val="21"/>
                <w:highlight w:val="none"/>
              </w:rPr>
            </w:pPr>
            <w:r>
              <w:rPr>
                <w:rFonts w:eastAsia="宋体"/>
                <w:color w:val="auto"/>
                <w:sz w:val="21"/>
                <w:szCs w:val="21"/>
                <w:highlight w:val="none"/>
              </w:rPr>
              <w:t>2.8</w:t>
            </w:r>
          </w:p>
        </w:tc>
        <w:tc>
          <w:tcPr>
            <w:tcW w:w="700" w:type="dxa"/>
            <w:tcBorders>
              <w:top w:val="single" w:color="000000" w:sz="4" w:space="0"/>
              <w:left w:val="single" w:color="000000" w:sz="4" w:space="0"/>
              <w:bottom w:val="single" w:color="000000" w:sz="4" w:space="0"/>
              <w:right w:val="single" w:color="000000" w:sz="4" w:space="0"/>
            </w:tcBorders>
            <w:vAlign w:val="center"/>
          </w:tcPr>
          <w:p w14:paraId="75106607">
            <w:pPr>
              <w:pStyle w:val="98"/>
              <w:ind w:left="-105" w:right="-105"/>
              <w:rPr>
                <w:rFonts w:eastAsia="宋体"/>
                <w:color w:val="auto"/>
                <w:sz w:val="21"/>
                <w:szCs w:val="21"/>
                <w:highlight w:val="none"/>
              </w:rPr>
            </w:pPr>
            <w:r>
              <w:rPr>
                <w:rFonts w:eastAsia="宋体"/>
                <w:color w:val="auto"/>
                <w:sz w:val="21"/>
                <w:szCs w:val="21"/>
                <w:highlight w:val="none"/>
              </w:rPr>
              <w:t>2.6</w:t>
            </w:r>
          </w:p>
        </w:tc>
        <w:tc>
          <w:tcPr>
            <w:tcW w:w="686" w:type="dxa"/>
            <w:tcBorders>
              <w:top w:val="single" w:color="000000" w:sz="4" w:space="0"/>
              <w:left w:val="single" w:color="000000" w:sz="4" w:space="0"/>
              <w:bottom w:val="single" w:color="000000" w:sz="4" w:space="0"/>
              <w:right w:val="single" w:color="000000" w:sz="4" w:space="0"/>
            </w:tcBorders>
            <w:vAlign w:val="center"/>
          </w:tcPr>
          <w:p w14:paraId="3559B7AD">
            <w:pPr>
              <w:pStyle w:val="98"/>
              <w:ind w:left="-105" w:right="-105"/>
              <w:rPr>
                <w:rFonts w:eastAsia="宋体"/>
                <w:color w:val="auto"/>
                <w:sz w:val="21"/>
                <w:szCs w:val="21"/>
                <w:highlight w:val="none"/>
              </w:rPr>
            </w:pPr>
            <w:r>
              <w:rPr>
                <w:rFonts w:eastAsia="宋体"/>
                <w:color w:val="auto"/>
                <w:sz w:val="21"/>
                <w:szCs w:val="21"/>
                <w:highlight w:val="none"/>
              </w:rPr>
              <w:t>/</w:t>
            </w:r>
          </w:p>
        </w:tc>
        <w:tc>
          <w:tcPr>
            <w:tcW w:w="693" w:type="dxa"/>
            <w:tcBorders>
              <w:top w:val="single" w:color="000000" w:sz="4" w:space="0"/>
              <w:left w:val="single" w:color="000000" w:sz="4" w:space="0"/>
              <w:bottom w:val="single" w:color="000000" w:sz="4" w:space="0"/>
              <w:right w:val="nil"/>
            </w:tcBorders>
            <w:vAlign w:val="center"/>
          </w:tcPr>
          <w:p w14:paraId="1F1DCC74">
            <w:pPr>
              <w:pStyle w:val="98"/>
              <w:ind w:left="-105" w:right="-105"/>
              <w:rPr>
                <w:rFonts w:eastAsia="宋体"/>
                <w:color w:val="auto"/>
                <w:sz w:val="21"/>
                <w:szCs w:val="21"/>
                <w:highlight w:val="none"/>
              </w:rPr>
            </w:pPr>
            <w:r>
              <w:rPr>
                <w:rFonts w:eastAsia="宋体"/>
                <w:color w:val="auto"/>
                <w:sz w:val="21"/>
                <w:szCs w:val="21"/>
                <w:highlight w:val="none"/>
              </w:rPr>
              <w:t>2.36</w:t>
            </w:r>
          </w:p>
        </w:tc>
      </w:tr>
      <w:tr w14:paraId="4A62703E">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108" w:type="dxa"/>
            <w:bottom w:w="0" w:type="dxa"/>
            <w:right w:w="108" w:type="dxa"/>
          </w:tblCellMar>
        </w:tblPrEx>
        <w:trPr>
          <w:gridAfter w:val="1"/>
          <w:wAfter w:w="21" w:type="dxa"/>
          <w:trHeight w:val="232" w:hRule="atLeast"/>
          <w:jc w:val="center"/>
        </w:trPr>
        <w:tc>
          <w:tcPr>
            <w:tcW w:w="688" w:type="dxa"/>
            <w:vMerge w:val="restart"/>
            <w:tcBorders>
              <w:top w:val="single" w:color="000000" w:sz="4" w:space="0"/>
              <w:left w:val="nil"/>
              <w:bottom w:val="single" w:color="000000" w:sz="4" w:space="0"/>
              <w:right w:val="single" w:color="000000" w:sz="4" w:space="0"/>
            </w:tcBorders>
            <w:vAlign w:val="center"/>
          </w:tcPr>
          <w:p w14:paraId="19BA471F">
            <w:pPr>
              <w:pStyle w:val="98"/>
              <w:ind w:left="-105" w:right="-105"/>
              <w:rPr>
                <w:rFonts w:eastAsia="宋体"/>
                <w:color w:val="auto"/>
                <w:sz w:val="21"/>
                <w:szCs w:val="21"/>
                <w:highlight w:val="none"/>
              </w:rPr>
            </w:pPr>
            <w:r>
              <w:rPr>
                <w:rFonts w:eastAsia="宋体"/>
                <w:color w:val="auto"/>
                <w:sz w:val="21"/>
                <w:szCs w:val="21"/>
                <w:highlight w:val="none"/>
              </w:rPr>
              <w:t>2月</w:t>
            </w:r>
          </w:p>
        </w:tc>
        <w:tc>
          <w:tcPr>
            <w:tcW w:w="687" w:type="dxa"/>
            <w:tcBorders>
              <w:top w:val="single" w:color="000000" w:sz="4" w:space="0"/>
              <w:left w:val="single" w:color="000000" w:sz="4" w:space="0"/>
              <w:bottom w:val="single" w:color="000000" w:sz="4" w:space="0"/>
              <w:right w:val="single" w:color="000000" w:sz="4" w:space="0"/>
            </w:tcBorders>
            <w:vAlign w:val="center"/>
          </w:tcPr>
          <w:p w14:paraId="5A9071B9">
            <w:pPr>
              <w:pStyle w:val="98"/>
              <w:ind w:left="-105" w:right="-105"/>
              <w:rPr>
                <w:rFonts w:eastAsia="宋体"/>
                <w:color w:val="auto"/>
                <w:sz w:val="21"/>
                <w:szCs w:val="21"/>
                <w:highlight w:val="none"/>
              </w:rPr>
            </w:pPr>
            <w:r>
              <w:rPr>
                <w:rFonts w:eastAsia="宋体"/>
                <w:color w:val="auto"/>
                <w:sz w:val="21"/>
                <w:szCs w:val="21"/>
                <w:highlight w:val="none"/>
              </w:rPr>
              <w:t>频率</w:t>
            </w:r>
          </w:p>
        </w:tc>
        <w:tc>
          <w:tcPr>
            <w:tcW w:w="687" w:type="dxa"/>
            <w:tcBorders>
              <w:top w:val="single" w:color="000000" w:sz="4" w:space="0"/>
              <w:left w:val="single" w:color="000000" w:sz="4" w:space="0"/>
              <w:bottom w:val="single" w:color="000000" w:sz="4" w:space="0"/>
              <w:right w:val="single" w:color="000000" w:sz="4" w:space="0"/>
            </w:tcBorders>
            <w:vAlign w:val="center"/>
          </w:tcPr>
          <w:p w14:paraId="5231BBB3">
            <w:pPr>
              <w:pStyle w:val="98"/>
              <w:ind w:left="-105" w:right="-105"/>
              <w:rPr>
                <w:rFonts w:eastAsia="宋体"/>
                <w:color w:val="auto"/>
                <w:sz w:val="21"/>
                <w:szCs w:val="21"/>
                <w:highlight w:val="none"/>
              </w:rPr>
            </w:pPr>
            <w:r>
              <w:rPr>
                <w:rFonts w:eastAsia="宋体"/>
                <w:color w:val="auto"/>
                <w:sz w:val="21"/>
                <w:szCs w:val="21"/>
                <w:highlight w:val="none"/>
              </w:rPr>
              <w:t>8</w:t>
            </w:r>
          </w:p>
        </w:tc>
        <w:tc>
          <w:tcPr>
            <w:tcW w:w="687" w:type="dxa"/>
            <w:tcBorders>
              <w:top w:val="single" w:color="000000" w:sz="4" w:space="0"/>
              <w:left w:val="single" w:color="000000" w:sz="4" w:space="0"/>
              <w:bottom w:val="single" w:color="000000" w:sz="4" w:space="0"/>
              <w:right w:val="single" w:color="000000" w:sz="4" w:space="0"/>
            </w:tcBorders>
            <w:vAlign w:val="center"/>
          </w:tcPr>
          <w:p w14:paraId="302E5609">
            <w:pPr>
              <w:pStyle w:val="98"/>
              <w:ind w:left="-105" w:right="-105"/>
              <w:rPr>
                <w:rFonts w:eastAsia="宋体"/>
                <w:color w:val="auto"/>
                <w:sz w:val="21"/>
                <w:szCs w:val="21"/>
                <w:highlight w:val="none"/>
              </w:rPr>
            </w:pPr>
            <w:r>
              <w:rPr>
                <w:rFonts w:eastAsia="宋体"/>
                <w:color w:val="auto"/>
                <w:sz w:val="21"/>
                <w:szCs w:val="21"/>
                <w:highlight w:val="none"/>
              </w:rPr>
              <w:t>6</w:t>
            </w:r>
          </w:p>
        </w:tc>
        <w:tc>
          <w:tcPr>
            <w:tcW w:w="687" w:type="dxa"/>
            <w:tcBorders>
              <w:top w:val="single" w:color="000000" w:sz="4" w:space="0"/>
              <w:left w:val="single" w:color="000000" w:sz="4" w:space="0"/>
              <w:bottom w:val="single" w:color="000000" w:sz="4" w:space="0"/>
              <w:right w:val="single" w:color="000000" w:sz="4" w:space="0"/>
            </w:tcBorders>
            <w:vAlign w:val="center"/>
          </w:tcPr>
          <w:p w14:paraId="446A8474">
            <w:pPr>
              <w:pStyle w:val="98"/>
              <w:ind w:left="-105" w:right="-105"/>
              <w:rPr>
                <w:rFonts w:eastAsia="宋体"/>
                <w:color w:val="auto"/>
                <w:sz w:val="21"/>
                <w:szCs w:val="21"/>
                <w:highlight w:val="none"/>
              </w:rPr>
            </w:pPr>
            <w:r>
              <w:rPr>
                <w:rFonts w:eastAsia="宋体"/>
                <w:color w:val="auto"/>
                <w:sz w:val="21"/>
                <w:szCs w:val="21"/>
                <w:highlight w:val="none"/>
              </w:rPr>
              <w:t>8.2</w:t>
            </w:r>
          </w:p>
        </w:tc>
        <w:tc>
          <w:tcPr>
            <w:tcW w:w="688" w:type="dxa"/>
            <w:tcBorders>
              <w:top w:val="single" w:color="000000" w:sz="4" w:space="0"/>
              <w:left w:val="single" w:color="000000" w:sz="4" w:space="0"/>
              <w:bottom w:val="single" w:color="000000" w:sz="4" w:space="0"/>
              <w:right w:val="single" w:color="000000" w:sz="4" w:space="0"/>
            </w:tcBorders>
            <w:vAlign w:val="center"/>
          </w:tcPr>
          <w:p w14:paraId="643B0A8F">
            <w:pPr>
              <w:pStyle w:val="98"/>
              <w:ind w:left="-105" w:right="-105"/>
              <w:rPr>
                <w:rFonts w:eastAsia="宋体"/>
                <w:color w:val="auto"/>
                <w:sz w:val="21"/>
                <w:szCs w:val="21"/>
                <w:highlight w:val="none"/>
              </w:rPr>
            </w:pPr>
            <w:r>
              <w:rPr>
                <w:rFonts w:eastAsia="宋体"/>
                <w:color w:val="auto"/>
                <w:sz w:val="21"/>
                <w:szCs w:val="21"/>
                <w:highlight w:val="none"/>
              </w:rPr>
              <w:t>7.2</w:t>
            </w:r>
          </w:p>
        </w:tc>
        <w:tc>
          <w:tcPr>
            <w:tcW w:w="687" w:type="dxa"/>
            <w:tcBorders>
              <w:top w:val="single" w:color="000000" w:sz="4" w:space="0"/>
              <w:left w:val="single" w:color="000000" w:sz="4" w:space="0"/>
              <w:bottom w:val="single" w:color="000000" w:sz="4" w:space="0"/>
              <w:right w:val="single" w:color="000000" w:sz="4" w:space="0"/>
            </w:tcBorders>
            <w:vAlign w:val="center"/>
          </w:tcPr>
          <w:p w14:paraId="5BE653EB">
            <w:pPr>
              <w:pStyle w:val="98"/>
              <w:ind w:left="-105" w:right="-105"/>
              <w:rPr>
                <w:rFonts w:eastAsia="宋体"/>
                <w:color w:val="auto"/>
                <w:sz w:val="21"/>
                <w:szCs w:val="21"/>
                <w:highlight w:val="none"/>
              </w:rPr>
            </w:pPr>
            <w:r>
              <w:rPr>
                <w:rFonts w:eastAsia="宋体"/>
                <w:color w:val="auto"/>
                <w:sz w:val="21"/>
                <w:szCs w:val="21"/>
                <w:highlight w:val="none"/>
              </w:rPr>
              <w:t>4.8</w:t>
            </w:r>
          </w:p>
        </w:tc>
        <w:tc>
          <w:tcPr>
            <w:tcW w:w="687" w:type="dxa"/>
            <w:tcBorders>
              <w:top w:val="single" w:color="000000" w:sz="4" w:space="0"/>
              <w:left w:val="single" w:color="000000" w:sz="4" w:space="0"/>
              <w:bottom w:val="single" w:color="000000" w:sz="4" w:space="0"/>
              <w:right w:val="single" w:color="000000" w:sz="4" w:space="0"/>
            </w:tcBorders>
            <w:vAlign w:val="center"/>
          </w:tcPr>
          <w:p w14:paraId="30F1B696">
            <w:pPr>
              <w:pStyle w:val="98"/>
              <w:ind w:left="-105" w:right="-105"/>
              <w:rPr>
                <w:rFonts w:eastAsia="宋体"/>
                <w:color w:val="auto"/>
                <w:sz w:val="21"/>
                <w:szCs w:val="21"/>
                <w:highlight w:val="none"/>
              </w:rPr>
            </w:pPr>
            <w:r>
              <w:rPr>
                <w:rFonts w:eastAsia="宋体"/>
                <w:color w:val="auto"/>
                <w:sz w:val="21"/>
                <w:szCs w:val="21"/>
                <w:highlight w:val="none"/>
              </w:rPr>
              <w:t>9</w:t>
            </w:r>
          </w:p>
        </w:tc>
        <w:tc>
          <w:tcPr>
            <w:tcW w:w="687" w:type="dxa"/>
            <w:tcBorders>
              <w:top w:val="single" w:color="000000" w:sz="4" w:space="0"/>
              <w:left w:val="single" w:color="000000" w:sz="4" w:space="0"/>
              <w:bottom w:val="single" w:color="000000" w:sz="4" w:space="0"/>
              <w:right w:val="single" w:color="000000" w:sz="4" w:space="0"/>
            </w:tcBorders>
            <w:vAlign w:val="center"/>
          </w:tcPr>
          <w:p w14:paraId="6EF41821">
            <w:pPr>
              <w:pStyle w:val="98"/>
              <w:ind w:left="-105" w:right="-105"/>
              <w:rPr>
                <w:rFonts w:eastAsia="宋体"/>
                <w:color w:val="auto"/>
                <w:sz w:val="21"/>
                <w:szCs w:val="21"/>
                <w:highlight w:val="none"/>
              </w:rPr>
            </w:pPr>
            <w:r>
              <w:rPr>
                <w:rFonts w:eastAsia="宋体"/>
                <w:color w:val="auto"/>
                <w:sz w:val="21"/>
                <w:szCs w:val="21"/>
                <w:highlight w:val="none"/>
              </w:rPr>
              <w:t>5</w:t>
            </w:r>
          </w:p>
        </w:tc>
        <w:tc>
          <w:tcPr>
            <w:tcW w:w="687" w:type="dxa"/>
            <w:tcBorders>
              <w:top w:val="single" w:color="000000" w:sz="4" w:space="0"/>
              <w:left w:val="single" w:color="000000" w:sz="4" w:space="0"/>
              <w:bottom w:val="single" w:color="000000" w:sz="4" w:space="0"/>
              <w:right w:val="single" w:color="000000" w:sz="4" w:space="0"/>
            </w:tcBorders>
            <w:vAlign w:val="center"/>
          </w:tcPr>
          <w:p w14:paraId="6E09C674">
            <w:pPr>
              <w:pStyle w:val="98"/>
              <w:ind w:left="-105" w:right="-105"/>
              <w:rPr>
                <w:rFonts w:eastAsia="宋体"/>
                <w:color w:val="auto"/>
                <w:sz w:val="21"/>
                <w:szCs w:val="21"/>
                <w:highlight w:val="none"/>
              </w:rPr>
            </w:pPr>
            <w:r>
              <w:rPr>
                <w:rFonts w:eastAsia="宋体"/>
                <w:color w:val="auto"/>
                <w:sz w:val="21"/>
                <w:szCs w:val="21"/>
                <w:highlight w:val="none"/>
              </w:rPr>
              <w:t>4.6</w:t>
            </w:r>
          </w:p>
        </w:tc>
        <w:tc>
          <w:tcPr>
            <w:tcW w:w="687" w:type="dxa"/>
            <w:tcBorders>
              <w:top w:val="single" w:color="000000" w:sz="4" w:space="0"/>
              <w:left w:val="single" w:color="000000" w:sz="4" w:space="0"/>
              <w:bottom w:val="single" w:color="000000" w:sz="4" w:space="0"/>
              <w:right w:val="single" w:color="000000" w:sz="4" w:space="0"/>
            </w:tcBorders>
            <w:vAlign w:val="center"/>
          </w:tcPr>
          <w:p w14:paraId="449378D2">
            <w:pPr>
              <w:pStyle w:val="98"/>
              <w:ind w:left="-105" w:right="-105"/>
              <w:rPr>
                <w:rFonts w:eastAsia="宋体"/>
                <w:color w:val="auto"/>
                <w:sz w:val="21"/>
                <w:szCs w:val="21"/>
                <w:highlight w:val="none"/>
              </w:rPr>
            </w:pPr>
            <w:r>
              <w:rPr>
                <w:rFonts w:eastAsia="宋体"/>
                <w:color w:val="auto"/>
                <w:sz w:val="21"/>
                <w:szCs w:val="21"/>
                <w:highlight w:val="none"/>
              </w:rPr>
              <w:t>1.4</w:t>
            </w:r>
          </w:p>
        </w:tc>
        <w:tc>
          <w:tcPr>
            <w:tcW w:w="687" w:type="dxa"/>
            <w:tcBorders>
              <w:top w:val="single" w:color="000000" w:sz="4" w:space="0"/>
              <w:left w:val="single" w:color="000000" w:sz="4" w:space="0"/>
              <w:bottom w:val="single" w:color="000000" w:sz="4" w:space="0"/>
              <w:right w:val="single" w:color="000000" w:sz="4" w:space="0"/>
            </w:tcBorders>
            <w:vAlign w:val="center"/>
          </w:tcPr>
          <w:p w14:paraId="415C0E13">
            <w:pPr>
              <w:pStyle w:val="98"/>
              <w:ind w:left="-105" w:right="-105"/>
              <w:rPr>
                <w:rFonts w:eastAsia="宋体"/>
                <w:color w:val="auto"/>
                <w:sz w:val="21"/>
                <w:szCs w:val="21"/>
                <w:highlight w:val="none"/>
              </w:rPr>
            </w:pPr>
            <w:r>
              <w:rPr>
                <w:rFonts w:eastAsia="宋体"/>
                <w:color w:val="auto"/>
                <w:sz w:val="21"/>
                <w:szCs w:val="21"/>
                <w:highlight w:val="none"/>
              </w:rPr>
              <w:t>3.4</w:t>
            </w:r>
          </w:p>
        </w:tc>
        <w:tc>
          <w:tcPr>
            <w:tcW w:w="684" w:type="dxa"/>
            <w:tcBorders>
              <w:top w:val="single" w:color="000000" w:sz="4" w:space="0"/>
              <w:left w:val="single" w:color="000000" w:sz="4" w:space="0"/>
              <w:bottom w:val="single" w:color="000000" w:sz="4" w:space="0"/>
              <w:right w:val="single" w:color="000000" w:sz="4" w:space="0"/>
            </w:tcBorders>
            <w:vAlign w:val="center"/>
          </w:tcPr>
          <w:p w14:paraId="32B595CE">
            <w:pPr>
              <w:pStyle w:val="98"/>
              <w:ind w:left="-105" w:right="-105"/>
              <w:rPr>
                <w:rFonts w:eastAsia="宋体"/>
                <w:color w:val="auto"/>
                <w:sz w:val="21"/>
                <w:szCs w:val="21"/>
                <w:highlight w:val="none"/>
              </w:rPr>
            </w:pPr>
            <w:r>
              <w:rPr>
                <w:rFonts w:eastAsia="宋体"/>
                <w:color w:val="auto"/>
                <w:sz w:val="21"/>
                <w:szCs w:val="21"/>
                <w:highlight w:val="none"/>
              </w:rPr>
              <w:t>2</w:t>
            </w:r>
          </w:p>
        </w:tc>
        <w:tc>
          <w:tcPr>
            <w:tcW w:w="714" w:type="dxa"/>
            <w:tcBorders>
              <w:top w:val="single" w:color="000000" w:sz="4" w:space="0"/>
              <w:left w:val="single" w:color="000000" w:sz="4" w:space="0"/>
              <w:bottom w:val="single" w:color="000000" w:sz="4" w:space="0"/>
              <w:right w:val="single" w:color="000000" w:sz="4" w:space="0"/>
            </w:tcBorders>
            <w:vAlign w:val="center"/>
          </w:tcPr>
          <w:p w14:paraId="223C815A">
            <w:pPr>
              <w:pStyle w:val="98"/>
              <w:ind w:left="-105" w:right="-105"/>
              <w:rPr>
                <w:rFonts w:eastAsia="宋体"/>
                <w:color w:val="auto"/>
                <w:sz w:val="21"/>
                <w:szCs w:val="21"/>
                <w:highlight w:val="none"/>
              </w:rPr>
            </w:pPr>
            <w:r>
              <w:rPr>
                <w:rFonts w:eastAsia="宋体"/>
                <w:color w:val="auto"/>
                <w:sz w:val="21"/>
                <w:szCs w:val="21"/>
                <w:highlight w:val="none"/>
              </w:rPr>
              <w:t>1.6</w:t>
            </w:r>
          </w:p>
        </w:tc>
        <w:tc>
          <w:tcPr>
            <w:tcW w:w="686" w:type="dxa"/>
            <w:tcBorders>
              <w:top w:val="single" w:color="000000" w:sz="4" w:space="0"/>
              <w:left w:val="single" w:color="000000" w:sz="4" w:space="0"/>
              <w:bottom w:val="single" w:color="000000" w:sz="4" w:space="0"/>
              <w:right w:val="single" w:color="000000" w:sz="4" w:space="0"/>
            </w:tcBorders>
            <w:vAlign w:val="center"/>
          </w:tcPr>
          <w:p w14:paraId="623F12C7">
            <w:pPr>
              <w:pStyle w:val="98"/>
              <w:ind w:left="-105" w:right="-105"/>
              <w:rPr>
                <w:rFonts w:eastAsia="宋体"/>
                <w:color w:val="auto"/>
                <w:sz w:val="21"/>
                <w:szCs w:val="21"/>
                <w:highlight w:val="none"/>
              </w:rPr>
            </w:pPr>
            <w:r>
              <w:rPr>
                <w:rFonts w:eastAsia="宋体"/>
                <w:color w:val="auto"/>
                <w:sz w:val="21"/>
                <w:szCs w:val="21"/>
                <w:highlight w:val="none"/>
              </w:rPr>
              <w:t>4.8</w:t>
            </w:r>
          </w:p>
        </w:tc>
        <w:tc>
          <w:tcPr>
            <w:tcW w:w="747" w:type="dxa"/>
            <w:tcBorders>
              <w:top w:val="single" w:color="000000" w:sz="4" w:space="0"/>
              <w:left w:val="single" w:color="000000" w:sz="4" w:space="0"/>
              <w:bottom w:val="single" w:color="000000" w:sz="4" w:space="0"/>
              <w:right w:val="single" w:color="000000" w:sz="4" w:space="0"/>
            </w:tcBorders>
            <w:vAlign w:val="center"/>
          </w:tcPr>
          <w:p w14:paraId="5C1A9080">
            <w:pPr>
              <w:pStyle w:val="98"/>
              <w:ind w:left="-105" w:right="-105"/>
              <w:rPr>
                <w:rFonts w:eastAsia="宋体"/>
                <w:color w:val="auto"/>
                <w:sz w:val="21"/>
                <w:szCs w:val="21"/>
                <w:highlight w:val="none"/>
              </w:rPr>
            </w:pPr>
            <w:r>
              <w:rPr>
                <w:rFonts w:eastAsia="宋体"/>
                <w:color w:val="auto"/>
                <w:sz w:val="21"/>
                <w:szCs w:val="21"/>
                <w:highlight w:val="none"/>
              </w:rPr>
              <w:t>8.8</w:t>
            </w:r>
          </w:p>
        </w:tc>
        <w:tc>
          <w:tcPr>
            <w:tcW w:w="686" w:type="dxa"/>
            <w:tcBorders>
              <w:top w:val="single" w:color="000000" w:sz="4" w:space="0"/>
              <w:left w:val="single" w:color="000000" w:sz="4" w:space="0"/>
              <w:bottom w:val="single" w:color="000000" w:sz="4" w:space="0"/>
              <w:right w:val="single" w:color="000000" w:sz="4" w:space="0"/>
            </w:tcBorders>
            <w:vAlign w:val="center"/>
          </w:tcPr>
          <w:p w14:paraId="52F30509">
            <w:pPr>
              <w:pStyle w:val="98"/>
              <w:ind w:left="-105" w:right="-105"/>
              <w:rPr>
                <w:rFonts w:eastAsia="宋体"/>
                <w:color w:val="auto"/>
                <w:sz w:val="21"/>
                <w:szCs w:val="21"/>
                <w:highlight w:val="none"/>
              </w:rPr>
            </w:pPr>
            <w:r>
              <w:rPr>
                <w:rFonts w:eastAsia="宋体"/>
                <w:color w:val="auto"/>
                <w:sz w:val="21"/>
                <w:szCs w:val="21"/>
                <w:highlight w:val="none"/>
              </w:rPr>
              <w:t>5.4</w:t>
            </w:r>
          </w:p>
        </w:tc>
        <w:tc>
          <w:tcPr>
            <w:tcW w:w="700" w:type="dxa"/>
            <w:tcBorders>
              <w:top w:val="single" w:color="000000" w:sz="4" w:space="0"/>
              <w:left w:val="single" w:color="000000" w:sz="4" w:space="0"/>
              <w:bottom w:val="single" w:color="000000" w:sz="4" w:space="0"/>
              <w:right w:val="single" w:color="000000" w:sz="4" w:space="0"/>
            </w:tcBorders>
            <w:vAlign w:val="center"/>
          </w:tcPr>
          <w:p w14:paraId="3B9E8FF1">
            <w:pPr>
              <w:pStyle w:val="98"/>
              <w:ind w:left="-105" w:right="-105"/>
              <w:rPr>
                <w:rFonts w:eastAsia="宋体"/>
                <w:color w:val="auto"/>
                <w:sz w:val="21"/>
                <w:szCs w:val="21"/>
                <w:highlight w:val="none"/>
              </w:rPr>
            </w:pPr>
            <w:r>
              <w:rPr>
                <w:rFonts w:eastAsia="宋体"/>
                <w:color w:val="auto"/>
                <w:sz w:val="21"/>
                <w:szCs w:val="21"/>
                <w:highlight w:val="none"/>
              </w:rPr>
              <w:t>4.2</w:t>
            </w:r>
          </w:p>
        </w:tc>
        <w:tc>
          <w:tcPr>
            <w:tcW w:w="686" w:type="dxa"/>
            <w:tcBorders>
              <w:top w:val="single" w:color="000000" w:sz="4" w:space="0"/>
              <w:left w:val="single" w:color="000000" w:sz="4" w:space="0"/>
              <w:bottom w:val="single" w:color="000000" w:sz="4" w:space="0"/>
              <w:right w:val="single" w:color="000000" w:sz="4" w:space="0"/>
            </w:tcBorders>
            <w:vAlign w:val="center"/>
          </w:tcPr>
          <w:p w14:paraId="71D3C4AF">
            <w:pPr>
              <w:pStyle w:val="98"/>
              <w:ind w:left="-105" w:right="-105"/>
              <w:rPr>
                <w:rFonts w:eastAsia="宋体"/>
                <w:color w:val="auto"/>
                <w:sz w:val="21"/>
                <w:szCs w:val="21"/>
                <w:highlight w:val="none"/>
              </w:rPr>
            </w:pPr>
            <w:r>
              <w:rPr>
                <w:rFonts w:eastAsia="宋体"/>
                <w:color w:val="auto"/>
                <w:sz w:val="21"/>
                <w:szCs w:val="21"/>
                <w:highlight w:val="none"/>
              </w:rPr>
              <w:t>16</w:t>
            </w:r>
          </w:p>
        </w:tc>
        <w:tc>
          <w:tcPr>
            <w:tcW w:w="693" w:type="dxa"/>
            <w:tcBorders>
              <w:top w:val="single" w:color="000000" w:sz="4" w:space="0"/>
              <w:left w:val="single" w:color="000000" w:sz="4" w:space="0"/>
              <w:bottom w:val="single" w:color="000000" w:sz="4" w:space="0"/>
              <w:right w:val="nil"/>
            </w:tcBorders>
            <w:vAlign w:val="center"/>
          </w:tcPr>
          <w:p w14:paraId="06F01B64">
            <w:pPr>
              <w:pStyle w:val="98"/>
              <w:ind w:left="-105" w:right="-105"/>
              <w:rPr>
                <w:rFonts w:eastAsia="宋体"/>
                <w:color w:val="auto"/>
                <w:sz w:val="21"/>
                <w:szCs w:val="21"/>
                <w:highlight w:val="none"/>
              </w:rPr>
            </w:pPr>
            <w:r>
              <w:rPr>
                <w:rFonts w:eastAsia="宋体"/>
                <w:color w:val="auto"/>
                <w:sz w:val="21"/>
                <w:szCs w:val="21"/>
                <w:highlight w:val="none"/>
              </w:rPr>
              <w:t>/</w:t>
            </w:r>
          </w:p>
        </w:tc>
      </w:tr>
      <w:tr w14:paraId="1006C456">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108" w:type="dxa"/>
            <w:bottom w:w="0" w:type="dxa"/>
            <w:right w:w="108" w:type="dxa"/>
          </w:tblCellMar>
        </w:tblPrEx>
        <w:trPr>
          <w:gridAfter w:val="1"/>
          <w:wAfter w:w="21" w:type="dxa"/>
          <w:trHeight w:val="232" w:hRule="atLeast"/>
          <w:jc w:val="center"/>
        </w:trPr>
        <w:tc>
          <w:tcPr>
            <w:tcW w:w="688" w:type="dxa"/>
            <w:vMerge w:val="continue"/>
            <w:tcBorders>
              <w:top w:val="nil"/>
              <w:left w:val="nil"/>
              <w:bottom w:val="single" w:color="000000" w:sz="4" w:space="0"/>
              <w:right w:val="single" w:color="000000" w:sz="4" w:space="0"/>
            </w:tcBorders>
            <w:vAlign w:val="center"/>
          </w:tcPr>
          <w:p w14:paraId="73D69C8D">
            <w:pPr>
              <w:ind w:left="-105" w:right="-105"/>
              <w:jc w:val="center"/>
              <w:rPr>
                <w:rFonts w:ascii="Times New Roman" w:hAnsi="Times New Roman"/>
                <w:color w:val="auto"/>
                <w:sz w:val="21"/>
                <w:szCs w:val="21"/>
                <w:highlight w:val="none"/>
              </w:rPr>
            </w:pPr>
          </w:p>
        </w:tc>
        <w:tc>
          <w:tcPr>
            <w:tcW w:w="687" w:type="dxa"/>
            <w:tcBorders>
              <w:top w:val="single" w:color="000000" w:sz="4" w:space="0"/>
              <w:left w:val="single" w:color="000000" w:sz="4" w:space="0"/>
              <w:bottom w:val="single" w:color="000000" w:sz="4" w:space="0"/>
              <w:right w:val="single" w:color="000000" w:sz="4" w:space="0"/>
            </w:tcBorders>
            <w:vAlign w:val="center"/>
          </w:tcPr>
          <w:p w14:paraId="77BF6D96">
            <w:pPr>
              <w:pStyle w:val="98"/>
              <w:ind w:left="-105" w:right="-105"/>
              <w:rPr>
                <w:rFonts w:eastAsia="宋体"/>
                <w:color w:val="auto"/>
                <w:sz w:val="21"/>
                <w:szCs w:val="21"/>
                <w:highlight w:val="none"/>
              </w:rPr>
            </w:pPr>
            <w:r>
              <w:rPr>
                <w:rFonts w:eastAsia="宋体"/>
                <w:color w:val="auto"/>
                <w:sz w:val="21"/>
                <w:szCs w:val="21"/>
                <w:highlight w:val="none"/>
              </w:rPr>
              <w:t>风速</w:t>
            </w:r>
          </w:p>
        </w:tc>
        <w:tc>
          <w:tcPr>
            <w:tcW w:w="687" w:type="dxa"/>
            <w:tcBorders>
              <w:top w:val="single" w:color="000000" w:sz="4" w:space="0"/>
              <w:left w:val="single" w:color="000000" w:sz="4" w:space="0"/>
              <w:bottom w:val="single" w:color="000000" w:sz="4" w:space="0"/>
              <w:right w:val="single" w:color="000000" w:sz="4" w:space="0"/>
            </w:tcBorders>
            <w:vAlign w:val="center"/>
          </w:tcPr>
          <w:p w14:paraId="21CDC5DB">
            <w:pPr>
              <w:pStyle w:val="98"/>
              <w:ind w:left="-105" w:right="-105"/>
              <w:rPr>
                <w:rFonts w:eastAsia="宋体"/>
                <w:color w:val="auto"/>
                <w:sz w:val="21"/>
                <w:szCs w:val="21"/>
                <w:highlight w:val="none"/>
              </w:rPr>
            </w:pPr>
            <w:r>
              <w:rPr>
                <w:rFonts w:eastAsia="宋体"/>
                <w:color w:val="auto"/>
                <w:sz w:val="21"/>
                <w:szCs w:val="21"/>
                <w:highlight w:val="none"/>
              </w:rPr>
              <w:t>2.1</w:t>
            </w:r>
          </w:p>
        </w:tc>
        <w:tc>
          <w:tcPr>
            <w:tcW w:w="687" w:type="dxa"/>
            <w:tcBorders>
              <w:top w:val="single" w:color="000000" w:sz="4" w:space="0"/>
              <w:left w:val="single" w:color="000000" w:sz="4" w:space="0"/>
              <w:bottom w:val="single" w:color="000000" w:sz="4" w:space="0"/>
              <w:right w:val="single" w:color="000000" w:sz="4" w:space="0"/>
            </w:tcBorders>
            <w:vAlign w:val="center"/>
          </w:tcPr>
          <w:p w14:paraId="6F72B02F">
            <w:pPr>
              <w:pStyle w:val="98"/>
              <w:ind w:left="-105" w:right="-105"/>
              <w:rPr>
                <w:rFonts w:eastAsia="宋体"/>
                <w:color w:val="auto"/>
                <w:sz w:val="21"/>
                <w:szCs w:val="21"/>
                <w:highlight w:val="none"/>
              </w:rPr>
            </w:pPr>
            <w:r>
              <w:rPr>
                <w:rFonts w:eastAsia="宋体"/>
                <w:color w:val="auto"/>
                <w:sz w:val="21"/>
                <w:szCs w:val="21"/>
                <w:highlight w:val="none"/>
              </w:rPr>
              <w:t>2.9</w:t>
            </w:r>
          </w:p>
        </w:tc>
        <w:tc>
          <w:tcPr>
            <w:tcW w:w="687" w:type="dxa"/>
            <w:tcBorders>
              <w:top w:val="single" w:color="000000" w:sz="4" w:space="0"/>
              <w:left w:val="single" w:color="000000" w:sz="4" w:space="0"/>
              <w:bottom w:val="single" w:color="000000" w:sz="4" w:space="0"/>
              <w:right w:val="single" w:color="000000" w:sz="4" w:space="0"/>
            </w:tcBorders>
            <w:vAlign w:val="center"/>
          </w:tcPr>
          <w:p w14:paraId="212CCC32">
            <w:pPr>
              <w:pStyle w:val="98"/>
              <w:ind w:left="-105" w:right="-105"/>
              <w:rPr>
                <w:rFonts w:eastAsia="宋体"/>
                <w:color w:val="auto"/>
                <w:sz w:val="21"/>
                <w:szCs w:val="21"/>
                <w:highlight w:val="none"/>
              </w:rPr>
            </w:pPr>
            <w:r>
              <w:rPr>
                <w:rFonts w:eastAsia="宋体"/>
                <w:color w:val="auto"/>
                <w:sz w:val="21"/>
                <w:szCs w:val="21"/>
                <w:highlight w:val="none"/>
              </w:rPr>
              <w:t>2.8</w:t>
            </w:r>
          </w:p>
        </w:tc>
        <w:tc>
          <w:tcPr>
            <w:tcW w:w="688" w:type="dxa"/>
            <w:tcBorders>
              <w:top w:val="single" w:color="000000" w:sz="4" w:space="0"/>
              <w:left w:val="single" w:color="000000" w:sz="4" w:space="0"/>
              <w:bottom w:val="single" w:color="000000" w:sz="4" w:space="0"/>
              <w:right w:val="single" w:color="000000" w:sz="4" w:space="0"/>
            </w:tcBorders>
            <w:vAlign w:val="center"/>
          </w:tcPr>
          <w:p w14:paraId="7267CB62">
            <w:pPr>
              <w:pStyle w:val="98"/>
              <w:ind w:left="-105" w:right="-105"/>
              <w:rPr>
                <w:rFonts w:eastAsia="宋体"/>
                <w:color w:val="auto"/>
                <w:sz w:val="21"/>
                <w:szCs w:val="21"/>
                <w:highlight w:val="none"/>
              </w:rPr>
            </w:pPr>
            <w:r>
              <w:rPr>
                <w:rFonts w:eastAsia="宋体"/>
                <w:color w:val="auto"/>
                <w:sz w:val="21"/>
                <w:szCs w:val="21"/>
                <w:highlight w:val="none"/>
              </w:rPr>
              <w:t>3.2</w:t>
            </w:r>
          </w:p>
        </w:tc>
        <w:tc>
          <w:tcPr>
            <w:tcW w:w="687" w:type="dxa"/>
            <w:tcBorders>
              <w:top w:val="single" w:color="000000" w:sz="4" w:space="0"/>
              <w:left w:val="single" w:color="000000" w:sz="4" w:space="0"/>
              <w:bottom w:val="single" w:color="000000" w:sz="4" w:space="0"/>
              <w:right w:val="single" w:color="000000" w:sz="4" w:space="0"/>
            </w:tcBorders>
            <w:vAlign w:val="center"/>
          </w:tcPr>
          <w:p w14:paraId="3A4BBB7A">
            <w:pPr>
              <w:pStyle w:val="98"/>
              <w:ind w:left="-105" w:right="-105"/>
              <w:rPr>
                <w:rFonts w:eastAsia="宋体"/>
                <w:color w:val="auto"/>
                <w:sz w:val="21"/>
                <w:szCs w:val="21"/>
                <w:highlight w:val="none"/>
              </w:rPr>
            </w:pPr>
            <w:r>
              <w:rPr>
                <w:rFonts w:eastAsia="宋体"/>
                <w:color w:val="auto"/>
                <w:sz w:val="21"/>
                <w:szCs w:val="21"/>
                <w:highlight w:val="none"/>
              </w:rPr>
              <w:t>2.5</w:t>
            </w:r>
          </w:p>
        </w:tc>
        <w:tc>
          <w:tcPr>
            <w:tcW w:w="687" w:type="dxa"/>
            <w:tcBorders>
              <w:top w:val="single" w:color="000000" w:sz="4" w:space="0"/>
              <w:left w:val="single" w:color="000000" w:sz="4" w:space="0"/>
              <w:bottom w:val="single" w:color="000000" w:sz="4" w:space="0"/>
              <w:right w:val="single" w:color="000000" w:sz="4" w:space="0"/>
            </w:tcBorders>
            <w:vAlign w:val="center"/>
          </w:tcPr>
          <w:p w14:paraId="3608809D">
            <w:pPr>
              <w:pStyle w:val="98"/>
              <w:ind w:left="-105" w:right="-105"/>
              <w:rPr>
                <w:rFonts w:eastAsia="宋体"/>
                <w:color w:val="auto"/>
                <w:sz w:val="21"/>
                <w:szCs w:val="21"/>
                <w:highlight w:val="none"/>
              </w:rPr>
            </w:pPr>
            <w:r>
              <w:rPr>
                <w:rFonts w:eastAsia="宋体"/>
                <w:color w:val="auto"/>
                <w:sz w:val="21"/>
                <w:szCs w:val="21"/>
                <w:highlight w:val="none"/>
              </w:rPr>
              <w:t>3.1</w:t>
            </w:r>
          </w:p>
        </w:tc>
        <w:tc>
          <w:tcPr>
            <w:tcW w:w="687" w:type="dxa"/>
            <w:tcBorders>
              <w:top w:val="single" w:color="000000" w:sz="4" w:space="0"/>
              <w:left w:val="single" w:color="000000" w:sz="4" w:space="0"/>
              <w:bottom w:val="single" w:color="000000" w:sz="4" w:space="0"/>
              <w:right w:val="single" w:color="000000" w:sz="4" w:space="0"/>
            </w:tcBorders>
            <w:vAlign w:val="center"/>
          </w:tcPr>
          <w:p w14:paraId="0754CFF7">
            <w:pPr>
              <w:pStyle w:val="98"/>
              <w:ind w:left="-105" w:right="-105"/>
              <w:rPr>
                <w:rFonts w:eastAsia="宋体"/>
                <w:color w:val="auto"/>
                <w:sz w:val="21"/>
                <w:szCs w:val="21"/>
                <w:highlight w:val="none"/>
              </w:rPr>
            </w:pPr>
            <w:r>
              <w:rPr>
                <w:rFonts w:eastAsia="宋体"/>
                <w:color w:val="auto"/>
                <w:sz w:val="21"/>
                <w:szCs w:val="21"/>
                <w:highlight w:val="none"/>
              </w:rPr>
              <w:t>2.7</w:t>
            </w:r>
          </w:p>
        </w:tc>
        <w:tc>
          <w:tcPr>
            <w:tcW w:w="687" w:type="dxa"/>
            <w:tcBorders>
              <w:top w:val="single" w:color="000000" w:sz="4" w:space="0"/>
              <w:left w:val="single" w:color="000000" w:sz="4" w:space="0"/>
              <w:bottom w:val="single" w:color="000000" w:sz="4" w:space="0"/>
              <w:right w:val="single" w:color="000000" w:sz="4" w:space="0"/>
            </w:tcBorders>
            <w:vAlign w:val="center"/>
          </w:tcPr>
          <w:p w14:paraId="13312660">
            <w:pPr>
              <w:pStyle w:val="98"/>
              <w:ind w:left="-105" w:right="-105"/>
              <w:rPr>
                <w:rFonts w:eastAsia="宋体"/>
                <w:color w:val="auto"/>
                <w:sz w:val="21"/>
                <w:szCs w:val="21"/>
                <w:highlight w:val="none"/>
              </w:rPr>
            </w:pPr>
            <w:r>
              <w:rPr>
                <w:rFonts w:eastAsia="宋体"/>
                <w:color w:val="auto"/>
                <w:sz w:val="21"/>
                <w:szCs w:val="21"/>
                <w:highlight w:val="none"/>
              </w:rPr>
              <w:t>1.9</w:t>
            </w:r>
          </w:p>
        </w:tc>
        <w:tc>
          <w:tcPr>
            <w:tcW w:w="687" w:type="dxa"/>
            <w:tcBorders>
              <w:top w:val="single" w:color="000000" w:sz="4" w:space="0"/>
              <w:left w:val="single" w:color="000000" w:sz="4" w:space="0"/>
              <w:bottom w:val="single" w:color="000000" w:sz="4" w:space="0"/>
              <w:right w:val="single" w:color="000000" w:sz="4" w:space="0"/>
            </w:tcBorders>
            <w:vAlign w:val="center"/>
          </w:tcPr>
          <w:p w14:paraId="6813D0F1">
            <w:pPr>
              <w:pStyle w:val="98"/>
              <w:ind w:left="-105" w:right="-105"/>
              <w:rPr>
                <w:rFonts w:eastAsia="宋体"/>
                <w:color w:val="auto"/>
                <w:sz w:val="21"/>
                <w:szCs w:val="21"/>
                <w:highlight w:val="none"/>
              </w:rPr>
            </w:pPr>
            <w:r>
              <w:rPr>
                <w:rFonts w:eastAsia="宋体"/>
                <w:color w:val="auto"/>
                <w:sz w:val="21"/>
                <w:szCs w:val="21"/>
                <w:highlight w:val="none"/>
              </w:rPr>
              <w:t>1.5</w:t>
            </w:r>
          </w:p>
        </w:tc>
        <w:tc>
          <w:tcPr>
            <w:tcW w:w="687" w:type="dxa"/>
            <w:tcBorders>
              <w:top w:val="single" w:color="000000" w:sz="4" w:space="0"/>
              <w:left w:val="single" w:color="000000" w:sz="4" w:space="0"/>
              <w:bottom w:val="single" w:color="000000" w:sz="4" w:space="0"/>
              <w:right w:val="single" w:color="000000" w:sz="4" w:space="0"/>
            </w:tcBorders>
            <w:vAlign w:val="center"/>
          </w:tcPr>
          <w:p w14:paraId="5E3ACC53">
            <w:pPr>
              <w:pStyle w:val="98"/>
              <w:ind w:left="-105" w:right="-105"/>
              <w:rPr>
                <w:rFonts w:eastAsia="宋体"/>
                <w:color w:val="auto"/>
                <w:sz w:val="21"/>
                <w:szCs w:val="21"/>
                <w:highlight w:val="none"/>
              </w:rPr>
            </w:pPr>
            <w:r>
              <w:rPr>
                <w:rFonts w:eastAsia="宋体"/>
                <w:color w:val="auto"/>
                <w:sz w:val="21"/>
                <w:szCs w:val="21"/>
                <w:highlight w:val="none"/>
              </w:rPr>
              <w:t>2.6</w:t>
            </w:r>
          </w:p>
        </w:tc>
        <w:tc>
          <w:tcPr>
            <w:tcW w:w="684" w:type="dxa"/>
            <w:tcBorders>
              <w:top w:val="single" w:color="000000" w:sz="4" w:space="0"/>
              <w:left w:val="single" w:color="000000" w:sz="4" w:space="0"/>
              <w:bottom w:val="single" w:color="000000" w:sz="4" w:space="0"/>
              <w:right w:val="single" w:color="000000" w:sz="4" w:space="0"/>
            </w:tcBorders>
            <w:vAlign w:val="center"/>
          </w:tcPr>
          <w:p w14:paraId="3E29F424">
            <w:pPr>
              <w:pStyle w:val="98"/>
              <w:ind w:left="-105" w:right="-105"/>
              <w:rPr>
                <w:rFonts w:eastAsia="宋体"/>
                <w:color w:val="auto"/>
                <w:sz w:val="21"/>
                <w:szCs w:val="21"/>
                <w:highlight w:val="none"/>
              </w:rPr>
            </w:pPr>
            <w:r>
              <w:rPr>
                <w:rFonts w:eastAsia="宋体"/>
                <w:color w:val="auto"/>
                <w:sz w:val="21"/>
                <w:szCs w:val="21"/>
                <w:highlight w:val="none"/>
              </w:rPr>
              <w:t>1.7</w:t>
            </w:r>
          </w:p>
        </w:tc>
        <w:tc>
          <w:tcPr>
            <w:tcW w:w="714" w:type="dxa"/>
            <w:tcBorders>
              <w:top w:val="single" w:color="000000" w:sz="4" w:space="0"/>
              <w:left w:val="single" w:color="000000" w:sz="4" w:space="0"/>
              <w:bottom w:val="single" w:color="000000" w:sz="4" w:space="0"/>
              <w:right w:val="single" w:color="000000" w:sz="4" w:space="0"/>
            </w:tcBorders>
            <w:vAlign w:val="center"/>
          </w:tcPr>
          <w:p w14:paraId="5A7BBD83">
            <w:pPr>
              <w:pStyle w:val="98"/>
              <w:ind w:left="-105" w:right="-105"/>
              <w:rPr>
                <w:rFonts w:eastAsia="宋体"/>
                <w:color w:val="auto"/>
                <w:sz w:val="21"/>
                <w:szCs w:val="21"/>
                <w:highlight w:val="none"/>
              </w:rPr>
            </w:pPr>
            <w:r>
              <w:rPr>
                <w:rFonts w:eastAsia="宋体"/>
                <w:color w:val="auto"/>
                <w:sz w:val="21"/>
                <w:szCs w:val="21"/>
                <w:highlight w:val="none"/>
              </w:rPr>
              <w:t>2.2</w:t>
            </w:r>
          </w:p>
        </w:tc>
        <w:tc>
          <w:tcPr>
            <w:tcW w:w="686" w:type="dxa"/>
            <w:tcBorders>
              <w:top w:val="single" w:color="000000" w:sz="4" w:space="0"/>
              <w:left w:val="single" w:color="000000" w:sz="4" w:space="0"/>
              <w:bottom w:val="single" w:color="000000" w:sz="4" w:space="0"/>
              <w:right w:val="single" w:color="000000" w:sz="4" w:space="0"/>
            </w:tcBorders>
            <w:vAlign w:val="center"/>
          </w:tcPr>
          <w:p w14:paraId="114ED122">
            <w:pPr>
              <w:pStyle w:val="98"/>
              <w:ind w:left="-105" w:right="-105"/>
              <w:rPr>
                <w:rFonts w:eastAsia="宋体"/>
                <w:color w:val="auto"/>
                <w:sz w:val="21"/>
                <w:szCs w:val="21"/>
                <w:highlight w:val="none"/>
              </w:rPr>
            </w:pPr>
            <w:r>
              <w:rPr>
                <w:rFonts w:eastAsia="宋体"/>
                <w:color w:val="auto"/>
                <w:sz w:val="21"/>
                <w:szCs w:val="21"/>
                <w:highlight w:val="none"/>
              </w:rPr>
              <w:t>5</w:t>
            </w:r>
          </w:p>
        </w:tc>
        <w:tc>
          <w:tcPr>
            <w:tcW w:w="747" w:type="dxa"/>
            <w:tcBorders>
              <w:top w:val="single" w:color="000000" w:sz="4" w:space="0"/>
              <w:left w:val="single" w:color="000000" w:sz="4" w:space="0"/>
              <w:bottom w:val="single" w:color="000000" w:sz="4" w:space="0"/>
              <w:right w:val="single" w:color="000000" w:sz="4" w:space="0"/>
            </w:tcBorders>
            <w:vAlign w:val="center"/>
          </w:tcPr>
          <w:p w14:paraId="651AC776">
            <w:pPr>
              <w:pStyle w:val="98"/>
              <w:ind w:left="-105" w:right="-105"/>
              <w:rPr>
                <w:rFonts w:eastAsia="宋体"/>
                <w:color w:val="auto"/>
                <w:sz w:val="21"/>
                <w:szCs w:val="21"/>
                <w:highlight w:val="none"/>
              </w:rPr>
            </w:pPr>
            <w:r>
              <w:rPr>
                <w:rFonts w:eastAsia="宋体"/>
                <w:color w:val="auto"/>
                <w:sz w:val="21"/>
                <w:szCs w:val="21"/>
                <w:highlight w:val="none"/>
              </w:rPr>
              <w:t>3.5</w:t>
            </w:r>
          </w:p>
        </w:tc>
        <w:tc>
          <w:tcPr>
            <w:tcW w:w="686" w:type="dxa"/>
            <w:tcBorders>
              <w:top w:val="single" w:color="000000" w:sz="4" w:space="0"/>
              <w:left w:val="single" w:color="000000" w:sz="4" w:space="0"/>
              <w:bottom w:val="single" w:color="000000" w:sz="4" w:space="0"/>
              <w:right w:val="single" w:color="000000" w:sz="4" w:space="0"/>
            </w:tcBorders>
            <w:vAlign w:val="center"/>
          </w:tcPr>
          <w:p w14:paraId="61E87BD5">
            <w:pPr>
              <w:pStyle w:val="98"/>
              <w:ind w:left="-105" w:right="-105"/>
              <w:rPr>
                <w:rFonts w:eastAsia="宋体"/>
                <w:color w:val="auto"/>
                <w:sz w:val="21"/>
                <w:szCs w:val="21"/>
                <w:highlight w:val="none"/>
              </w:rPr>
            </w:pPr>
            <w:r>
              <w:rPr>
                <w:rFonts w:eastAsia="宋体"/>
                <w:color w:val="auto"/>
                <w:sz w:val="21"/>
                <w:szCs w:val="21"/>
                <w:highlight w:val="none"/>
              </w:rPr>
              <w:t>3.5</w:t>
            </w:r>
          </w:p>
        </w:tc>
        <w:tc>
          <w:tcPr>
            <w:tcW w:w="700" w:type="dxa"/>
            <w:tcBorders>
              <w:top w:val="single" w:color="000000" w:sz="4" w:space="0"/>
              <w:left w:val="single" w:color="000000" w:sz="4" w:space="0"/>
              <w:bottom w:val="single" w:color="000000" w:sz="4" w:space="0"/>
              <w:right w:val="single" w:color="000000" w:sz="4" w:space="0"/>
            </w:tcBorders>
            <w:vAlign w:val="center"/>
          </w:tcPr>
          <w:p w14:paraId="665E5B52">
            <w:pPr>
              <w:pStyle w:val="98"/>
              <w:ind w:left="-105" w:right="-105"/>
              <w:rPr>
                <w:rFonts w:eastAsia="宋体"/>
                <w:color w:val="auto"/>
                <w:sz w:val="21"/>
                <w:szCs w:val="21"/>
                <w:highlight w:val="none"/>
              </w:rPr>
            </w:pPr>
            <w:r>
              <w:rPr>
                <w:rFonts w:eastAsia="宋体"/>
                <w:color w:val="auto"/>
                <w:sz w:val="21"/>
                <w:szCs w:val="21"/>
                <w:highlight w:val="none"/>
              </w:rPr>
              <w:t>2.9</w:t>
            </w:r>
          </w:p>
        </w:tc>
        <w:tc>
          <w:tcPr>
            <w:tcW w:w="686" w:type="dxa"/>
            <w:tcBorders>
              <w:top w:val="single" w:color="000000" w:sz="4" w:space="0"/>
              <w:left w:val="single" w:color="000000" w:sz="4" w:space="0"/>
              <w:bottom w:val="single" w:color="000000" w:sz="4" w:space="0"/>
              <w:right w:val="single" w:color="000000" w:sz="4" w:space="0"/>
            </w:tcBorders>
            <w:vAlign w:val="center"/>
          </w:tcPr>
          <w:p w14:paraId="10EABFAB">
            <w:pPr>
              <w:pStyle w:val="98"/>
              <w:ind w:left="-105" w:right="-105"/>
              <w:rPr>
                <w:rFonts w:eastAsia="宋体"/>
                <w:color w:val="auto"/>
                <w:sz w:val="21"/>
                <w:szCs w:val="21"/>
                <w:highlight w:val="none"/>
              </w:rPr>
            </w:pPr>
            <w:r>
              <w:rPr>
                <w:rFonts w:eastAsia="宋体"/>
                <w:color w:val="auto"/>
                <w:sz w:val="21"/>
                <w:szCs w:val="21"/>
                <w:highlight w:val="none"/>
              </w:rPr>
              <w:t>/</w:t>
            </w:r>
          </w:p>
        </w:tc>
        <w:tc>
          <w:tcPr>
            <w:tcW w:w="693" w:type="dxa"/>
            <w:tcBorders>
              <w:top w:val="single" w:color="000000" w:sz="4" w:space="0"/>
              <w:left w:val="single" w:color="000000" w:sz="4" w:space="0"/>
              <w:bottom w:val="single" w:color="000000" w:sz="4" w:space="0"/>
              <w:right w:val="nil"/>
            </w:tcBorders>
            <w:vAlign w:val="center"/>
          </w:tcPr>
          <w:p w14:paraId="139E2551">
            <w:pPr>
              <w:pStyle w:val="98"/>
              <w:ind w:left="-105" w:right="-105"/>
              <w:rPr>
                <w:rFonts w:eastAsia="宋体"/>
                <w:color w:val="auto"/>
                <w:sz w:val="21"/>
                <w:szCs w:val="21"/>
                <w:highlight w:val="none"/>
              </w:rPr>
            </w:pPr>
            <w:r>
              <w:rPr>
                <w:rFonts w:eastAsia="宋体"/>
                <w:color w:val="auto"/>
                <w:sz w:val="21"/>
                <w:szCs w:val="21"/>
                <w:highlight w:val="none"/>
              </w:rPr>
              <w:t>2.76</w:t>
            </w:r>
          </w:p>
        </w:tc>
      </w:tr>
      <w:tr w14:paraId="1A41F419">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108" w:type="dxa"/>
            <w:bottom w:w="0" w:type="dxa"/>
            <w:right w:w="108" w:type="dxa"/>
          </w:tblCellMar>
        </w:tblPrEx>
        <w:trPr>
          <w:gridAfter w:val="1"/>
          <w:wAfter w:w="21" w:type="dxa"/>
          <w:trHeight w:val="235" w:hRule="atLeast"/>
          <w:jc w:val="center"/>
        </w:trPr>
        <w:tc>
          <w:tcPr>
            <w:tcW w:w="688" w:type="dxa"/>
            <w:vMerge w:val="restart"/>
            <w:tcBorders>
              <w:top w:val="single" w:color="000000" w:sz="4" w:space="0"/>
              <w:left w:val="nil"/>
              <w:bottom w:val="single" w:color="000000" w:sz="4" w:space="0"/>
              <w:right w:val="single" w:color="000000" w:sz="4" w:space="0"/>
            </w:tcBorders>
            <w:vAlign w:val="center"/>
          </w:tcPr>
          <w:p w14:paraId="4FBCB44B">
            <w:pPr>
              <w:pStyle w:val="98"/>
              <w:ind w:left="-105" w:right="-105"/>
              <w:rPr>
                <w:rFonts w:eastAsia="宋体"/>
                <w:color w:val="auto"/>
                <w:sz w:val="21"/>
                <w:szCs w:val="21"/>
                <w:highlight w:val="none"/>
              </w:rPr>
            </w:pPr>
            <w:r>
              <w:rPr>
                <w:rFonts w:eastAsia="宋体"/>
                <w:color w:val="auto"/>
                <w:sz w:val="21"/>
                <w:szCs w:val="21"/>
                <w:highlight w:val="none"/>
              </w:rPr>
              <w:t>3月</w:t>
            </w:r>
          </w:p>
        </w:tc>
        <w:tc>
          <w:tcPr>
            <w:tcW w:w="687" w:type="dxa"/>
            <w:tcBorders>
              <w:top w:val="single" w:color="000000" w:sz="4" w:space="0"/>
              <w:left w:val="single" w:color="000000" w:sz="4" w:space="0"/>
              <w:bottom w:val="single" w:color="000000" w:sz="4" w:space="0"/>
              <w:right w:val="single" w:color="000000" w:sz="4" w:space="0"/>
            </w:tcBorders>
            <w:vAlign w:val="center"/>
          </w:tcPr>
          <w:p w14:paraId="3E01F831">
            <w:pPr>
              <w:pStyle w:val="98"/>
              <w:ind w:left="-105" w:right="-105"/>
              <w:rPr>
                <w:rFonts w:eastAsia="宋体"/>
                <w:color w:val="auto"/>
                <w:sz w:val="21"/>
                <w:szCs w:val="21"/>
                <w:highlight w:val="none"/>
              </w:rPr>
            </w:pPr>
            <w:r>
              <w:rPr>
                <w:rFonts w:eastAsia="宋体"/>
                <w:color w:val="auto"/>
                <w:sz w:val="21"/>
                <w:szCs w:val="21"/>
                <w:highlight w:val="none"/>
              </w:rPr>
              <w:t>频率</w:t>
            </w:r>
          </w:p>
        </w:tc>
        <w:tc>
          <w:tcPr>
            <w:tcW w:w="687" w:type="dxa"/>
            <w:tcBorders>
              <w:top w:val="single" w:color="000000" w:sz="4" w:space="0"/>
              <w:left w:val="single" w:color="000000" w:sz="4" w:space="0"/>
              <w:bottom w:val="single" w:color="000000" w:sz="4" w:space="0"/>
              <w:right w:val="single" w:color="000000" w:sz="4" w:space="0"/>
            </w:tcBorders>
            <w:vAlign w:val="center"/>
          </w:tcPr>
          <w:p w14:paraId="6113E8C5">
            <w:pPr>
              <w:pStyle w:val="98"/>
              <w:ind w:left="-105" w:right="-105"/>
              <w:rPr>
                <w:rFonts w:eastAsia="宋体"/>
                <w:color w:val="auto"/>
                <w:sz w:val="21"/>
                <w:szCs w:val="21"/>
                <w:highlight w:val="none"/>
              </w:rPr>
            </w:pPr>
            <w:r>
              <w:rPr>
                <w:rFonts w:eastAsia="宋体"/>
                <w:color w:val="auto"/>
                <w:sz w:val="21"/>
                <w:szCs w:val="21"/>
                <w:highlight w:val="none"/>
              </w:rPr>
              <w:t>7</w:t>
            </w:r>
          </w:p>
        </w:tc>
        <w:tc>
          <w:tcPr>
            <w:tcW w:w="687" w:type="dxa"/>
            <w:tcBorders>
              <w:top w:val="single" w:color="000000" w:sz="4" w:space="0"/>
              <w:left w:val="single" w:color="000000" w:sz="4" w:space="0"/>
              <w:bottom w:val="single" w:color="000000" w:sz="4" w:space="0"/>
              <w:right w:val="single" w:color="000000" w:sz="4" w:space="0"/>
            </w:tcBorders>
            <w:vAlign w:val="center"/>
          </w:tcPr>
          <w:p w14:paraId="469BD2C4">
            <w:pPr>
              <w:pStyle w:val="98"/>
              <w:ind w:left="-105" w:right="-105"/>
              <w:rPr>
                <w:rFonts w:eastAsia="宋体"/>
                <w:color w:val="auto"/>
                <w:sz w:val="21"/>
                <w:szCs w:val="21"/>
                <w:highlight w:val="none"/>
              </w:rPr>
            </w:pPr>
            <w:r>
              <w:rPr>
                <w:rFonts w:eastAsia="宋体"/>
                <w:color w:val="auto"/>
                <w:sz w:val="21"/>
                <w:szCs w:val="21"/>
                <w:highlight w:val="none"/>
              </w:rPr>
              <w:t>6.8</w:t>
            </w:r>
          </w:p>
        </w:tc>
        <w:tc>
          <w:tcPr>
            <w:tcW w:w="687" w:type="dxa"/>
            <w:tcBorders>
              <w:top w:val="single" w:color="000000" w:sz="4" w:space="0"/>
              <w:left w:val="single" w:color="000000" w:sz="4" w:space="0"/>
              <w:bottom w:val="single" w:color="000000" w:sz="4" w:space="0"/>
              <w:right w:val="single" w:color="000000" w:sz="4" w:space="0"/>
            </w:tcBorders>
            <w:vAlign w:val="center"/>
          </w:tcPr>
          <w:p w14:paraId="5E88BF95">
            <w:pPr>
              <w:pStyle w:val="98"/>
              <w:ind w:left="-105" w:right="-105"/>
              <w:rPr>
                <w:rFonts w:eastAsia="宋体"/>
                <w:color w:val="auto"/>
                <w:sz w:val="21"/>
                <w:szCs w:val="21"/>
                <w:highlight w:val="none"/>
              </w:rPr>
            </w:pPr>
            <w:r>
              <w:rPr>
                <w:rFonts w:eastAsia="宋体"/>
                <w:color w:val="auto"/>
                <w:sz w:val="21"/>
                <w:szCs w:val="21"/>
                <w:highlight w:val="none"/>
              </w:rPr>
              <w:t>8</w:t>
            </w:r>
          </w:p>
        </w:tc>
        <w:tc>
          <w:tcPr>
            <w:tcW w:w="688" w:type="dxa"/>
            <w:tcBorders>
              <w:top w:val="single" w:color="000000" w:sz="4" w:space="0"/>
              <w:left w:val="single" w:color="000000" w:sz="4" w:space="0"/>
              <w:bottom w:val="single" w:color="000000" w:sz="4" w:space="0"/>
              <w:right w:val="single" w:color="000000" w:sz="4" w:space="0"/>
            </w:tcBorders>
            <w:vAlign w:val="center"/>
          </w:tcPr>
          <w:p w14:paraId="276E08C3">
            <w:pPr>
              <w:pStyle w:val="98"/>
              <w:ind w:left="-105" w:right="-105"/>
              <w:rPr>
                <w:rFonts w:eastAsia="宋体"/>
                <w:color w:val="auto"/>
                <w:sz w:val="21"/>
                <w:szCs w:val="21"/>
                <w:highlight w:val="none"/>
              </w:rPr>
            </w:pPr>
            <w:r>
              <w:rPr>
                <w:rFonts w:eastAsia="宋体"/>
                <w:color w:val="auto"/>
                <w:sz w:val="21"/>
                <w:szCs w:val="21"/>
                <w:highlight w:val="none"/>
              </w:rPr>
              <w:t>5.6</w:t>
            </w:r>
          </w:p>
        </w:tc>
        <w:tc>
          <w:tcPr>
            <w:tcW w:w="687" w:type="dxa"/>
            <w:tcBorders>
              <w:top w:val="single" w:color="000000" w:sz="4" w:space="0"/>
              <w:left w:val="single" w:color="000000" w:sz="4" w:space="0"/>
              <w:bottom w:val="single" w:color="000000" w:sz="4" w:space="0"/>
              <w:right w:val="single" w:color="000000" w:sz="4" w:space="0"/>
            </w:tcBorders>
            <w:vAlign w:val="center"/>
          </w:tcPr>
          <w:p w14:paraId="731DB684">
            <w:pPr>
              <w:pStyle w:val="98"/>
              <w:ind w:left="-105" w:right="-105"/>
              <w:rPr>
                <w:rFonts w:eastAsia="宋体"/>
                <w:color w:val="auto"/>
                <w:sz w:val="21"/>
                <w:szCs w:val="21"/>
                <w:highlight w:val="none"/>
              </w:rPr>
            </w:pPr>
            <w:r>
              <w:rPr>
                <w:rFonts w:eastAsia="宋体"/>
                <w:color w:val="auto"/>
                <w:sz w:val="21"/>
                <w:szCs w:val="21"/>
                <w:highlight w:val="none"/>
              </w:rPr>
              <w:t>6</w:t>
            </w:r>
          </w:p>
        </w:tc>
        <w:tc>
          <w:tcPr>
            <w:tcW w:w="687" w:type="dxa"/>
            <w:tcBorders>
              <w:top w:val="single" w:color="000000" w:sz="4" w:space="0"/>
              <w:left w:val="single" w:color="000000" w:sz="4" w:space="0"/>
              <w:bottom w:val="single" w:color="000000" w:sz="4" w:space="0"/>
              <w:right w:val="single" w:color="000000" w:sz="4" w:space="0"/>
            </w:tcBorders>
            <w:vAlign w:val="center"/>
          </w:tcPr>
          <w:p w14:paraId="266B0E54">
            <w:pPr>
              <w:pStyle w:val="98"/>
              <w:ind w:left="-105" w:right="-105"/>
              <w:rPr>
                <w:rFonts w:eastAsia="宋体"/>
                <w:color w:val="auto"/>
                <w:sz w:val="21"/>
                <w:szCs w:val="21"/>
                <w:highlight w:val="none"/>
              </w:rPr>
            </w:pPr>
            <w:r>
              <w:rPr>
                <w:rFonts w:eastAsia="宋体"/>
                <w:color w:val="auto"/>
                <w:sz w:val="21"/>
                <w:szCs w:val="21"/>
                <w:highlight w:val="none"/>
              </w:rPr>
              <w:t>13.8</w:t>
            </w:r>
          </w:p>
        </w:tc>
        <w:tc>
          <w:tcPr>
            <w:tcW w:w="687" w:type="dxa"/>
            <w:tcBorders>
              <w:top w:val="single" w:color="000000" w:sz="4" w:space="0"/>
              <w:left w:val="single" w:color="000000" w:sz="4" w:space="0"/>
              <w:bottom w:val="single" w:color="000000" w:sz="4" w:space="0"/>
              <w:right w:val="single" w:color="000000" w:sz="4" w:space="0"/>
            </w:tcBorders>
            <w:vAlign w:val="center"/>
          </w:tcPr>
          <w:p w14:paraId="446F4D83">
            <w:pPr>
              <w:pStyle w:val="98"/>
              <w:ind w:left="-105" w:right="-105"/>
              <w:rPr>
                <w:rFonts w:eastAsia="宋体"/>
                <w:color w:val="auto"/>
                <w:sz w:val="21"/>
                <w:szCs w:val="21"/>
                <w:highlight w:val="none"/>
              </w:rPr>
            </w:pPr>
            <w:r>
              <w:rPr>
                <w:rFonts w:eastAsia="宋体"/>
                <w:color w:val="auto"/>
                <w:sz w:val="21"/>
                <w:szCs w:val="21"/>
                <w:highlight w:val="none"/>
              </w:rPr>
              <w:t>7.6</w:t>
            </w:r>
          </w:p>
        </w:tc>
        <w:tc>
          <w:tcPr>
            <w:tcW w:w="687" w:type="dxa"/>
            <w:tcBorders>
              <w:top w:val="single" w:color="000000" w:sz="4" w:space="0"/>
              <w:left w:val="single" w:color="000000" w:sz="4" w:space="0"/>
              <w:bottom w:val="single" w:color="000000" w:sz="4" w:space="0"/>
              <w:right w:val="single" w:color="000000" w:sz="4" w:space="0"/>
            </w:tcBorders>
            <w:vAlign w:val="center"/>
          </w:tcPr>
          <w:p w14:paraId="348BF5BD">
            <w:pPr>
              <w:pStyle w:val="98"/>
              <w:ind w:left="-105" w:right="-105"/>
              <w:rPr>
                <w:rFonts w:eastAsia="宋体"/>
                <w:color w:val="auto"/>
                <w:sz w:val="21"/>
                <w:szCs w:val="21"/>
                <w:highlight w:val="none"/>
              </w:rPr>
            </w:pPr>
            <w:r>
              <w:rPr>
                <w:rFonts w:eastAsia="宋体"/>
                <w:color w:val="auto"/>
                <w:sz w:val="21"/>
                <w:szCs w:val="21"/>
                <w:highlight w:val="none"/>
              </w:rPr>
              <w:t>5.2</w:t>
            </w:r>
          </w:p>
        </w:tc>
        <w:tc>
          <w:tcPr>
            <w:tcW w:w="687" w:type="dxa"/>
            <w:tcBorders>
              <w:top w:val="single" w:color="000000" w:sz="4" w:space="0"/>
              <w:left w:val="single" w:color="000000" w:sz="4" w:space="0"/>
              <w:bottom w:val="single" w:color="000000" w:sz="4" w:space="0"/>
              <w:right w:val="single" w:color="000000" w:sz="4" w:space="0"/>
            </w:tcBorders>
            <w:vAlign w:val="center"/>
          </w:tcPr>
          <w:p w14:paraId="1DEEAC8A">
            <w:pPr>
              <w:pStyle w:val="98"/>
              <w:ind w:left="-105" w:right="-105"/>
              <w:rPr>
                <w:rFonts w:eastAsia="宋体"/>
                <w:color w:val="auto"/>
                <w:sz w:val="21"/>
                <w:szCs w:val="21"/>
                <w:highlight w:val="none"/>
              </w:rPr>
            </w:pPr>
            <w:r>
              <w:rPr>
                <w:rFonts w:eastAsia="宋体"/>
                <w:color w:val="auto"/>
                <w:sz w:val="21"/>
                <w:szCs w:val="21"/>
                <w:highlight w:val="none"/>
              </w:rPr>
              <w:t>3.2</w:t>
            </w:r>
          </w:p>
        </w:tc>
        <w:tc>
          <w:tcPr>
            <w:tcW w:w="687" w:type="dxa"/>
            <w:tcBorders>
              <w:top w:val="single" w:color="000000" w:sz="4" w:space="0"/>
              <w:left w:val="single" w:color="000000" w:sz="4" w:space="0"/>
              <w:bottom w:val="single" w:color="000000" w:sz="4" w:space="0"/>
              <w:right w:val="single" w:color="000000" w:sz="4" w:space="0"/>
            </w:tcBorders>
            <w:vAlign w:val="center"/>
          </w:tcPr>
          <w:p w14:paraId="7F6167A3">
            <w:pPr>
              <w:pStyle w:val="98"/>
              <w:ind w:left="-105" w:right="-105"/>
              <w:rPr>
                <w:rFonts w:eastAsia="宋体"/>
                <w:color w:val="auto"/>
                <w:sz w:val="21"/>
                <w:szCs w:val="21"/>
                <w:highlight w:val="none"/>
              </w:rPr>
            </w:pPr>
            <w:r>
              <w:rPr>
                <w:rFonts w:eastAsia="宋体"/>
                <w:color w:val="auto"/>
                <w:sz w:val="21"/>
                <w:szCs w:val="21"/>
                <w:highlight w:val="none"/>
              </w:rPr>
              <w:t>2</w:t>
            </w:r>
          </w:p>
        </w:tc>
        <w:tc>
          <w:tcPr>
            <w:tcW w:w="684" w:type="dxa"/>
            <w:tcBorders>
              <w:top w:val="single" w:color="000000" w:sz="4" w:space="0"/>
              <w:left w:val="single" w:color="000000" w:sz="4" w:space="0"/>
              <w:bottom w:val="single" w:color="000000" w:sz="4" w:space="0"/>
              <w:right w:val="single" w:color="000000" w:sz="4" w:space="0"/>
            </w:tcBorders>
            <w:vAlign w:val="center"/>
          </w:tcPr>
          <w:p w14:paraId="66C0C035">
            <w:pPr>
              <w:pStyle w:val="98"/>
              <w:ind w:left="-105" w:right="-105"/>
              <w:rPr>
                <w:rFonts w:eastAsia="宋体"/>
                <w:color w:val="auto"/>
                <w:sz w:val="21"/>
                <w:szCs w:val="21"/>
                <w:highlight w:val="none"/>
              </w:rPr>
            </w:pPr>
            <w:r>
              <w:rPr>
                <w:rFonts w:eastAsia="宋体"/>
                <w:color w:val="auto"/>
                <w:sz w:val="21"/>
                <w:szCs w:val="21"/>
                <w:highlight w:val="none"/>
              </w:rPr>
              <w:t>1.6</w:t>
            </w:r>
          </w:p>
        </w:tc>
        <w:tc>
          <w:tcPr>
            <w:tcW w:w="714" w:type="dxa"/>
            <w:tcBorders>
              <w:top w:val="single" w:color="000000" w:sz="4" w:space="0"/>
              <w:left w:val="single" w:color="000000" w:sz="4" w:space="0"/>
              <w:bottom w:val="single" w:color="000000" w:sz="4" w:space="0"/>
              <w:right w:val="single" w:color="000000" w:sz="4" w:space="0"/>
            </w:tcBorders>
            <w:vAlign w:val="center"/>
          </w:tcPr>
          <w:p w14:paraId="480A4529">
            <w:pPr>
              <w:pStyle w:val="98"/>
              <w:ind w:left="-105" w:right="-105"/>
              <w:rPr>
                <w:rFonts w:eastAsia="宋体"/>
                <w:color w:val="auto"/>
                <w:sz w:val="21"/>
                <w:szCs w:val="21"/>
                <w:highlight w:val="none"/>
              </w:rPr>
            </w:pPr>
            <w:r>
              <w:rPr>
                <w:rFonts w:eastAsia="宋体"/>
                <w:color w:val="auto"/>
                <w:sz w:val="21"/>
                <w:szCs w:val="21"/>
                <w:highlight w:val="none"/>
              </w:rPr>
              <w:t>3.2</w:t>
            </w:r>
          </w:p>
        </w:tc>
        <w:tc>
          <w:tcPr>
            <w:tcW w:w="686" w:type="dxa"/>
            <w:tcBorders>
              <w:top w:val="single" w:color="000000" w:sz="4" w:space="0"/>
              <w:left w:val="single" w:color="000000" w:sz="4" w:space="0"/>
              <w:bottom w:val="single" w:color="000000" w:sz="4" w:space="0"/>
              <w:right w:val="single" w:color="000000" w:sz="4" w:space="0"/>
            </w:tcBorders>
            <w:vAlign w:val="center"/>
          </w:tcPr>
          <w:p w14:paraId="291099CF">
            <w:pPr>
              <w:pStyle w:val="98"/>
              <w:ind w:left="-105" w:right="-105"/>
              <w:rPr>
                <w:rFonts w:eastAsia="宋体"/>
                <w:color w:val="auto"/>
                <w:sz w:val="21"/>
                <w:szCs w:val="21"/>
                <w:highlight w:val="none"/>
              </w:rPr>
            </w:pPr>
            <w:r>
              <w:rPr>
                <w:rFonts w:eastAsia="宋体"/>
                <w:color w:val="auto"/>
                <w:sz w:val="21"/>
                <w:szCs w:val="21"/>
                <w:highlight w:val="none"/>
              </w:rPr>
              <w:t>3.2</w:t>
            </w:r>
          </w:p>
        </w:tc>
        <w:tc>
          <w:tcPr>
            <w:tcW w:w="747" w:type="dxa"/>
            <w:tcBorders>
              <w:top w:val="single" w:color="000000" w:sz="4" w:space="0"/>
              <w:left w:val="single" w:color="000000" w:sz="4" w:space="0"/>
              <w:bottom w:val="single" w:color="000000" w:sz="4" w:space="0"/>
              <w:right w:val="single" w:color="000000" w:sz="4" w:space="0"/>
            </w:tcBorders>
            <w:vAlign w:val="center"/>
          </w:tcPr>
          <w:p w14:paraId="04394397">
            <w:pPr>
              <w:pStyle w:val="98"/>
              <w:ind w:left="-105" w:right="-105"/>
              <w:rPr>
                <w:rFonts w:eastAsia="宋体"/>
                <w:color w:val="auto"/>
                <w:sz w:val="21"/>
                <w:szCs w:val="21"/>
                <w:highlight w:val="none"/>
              </w:rPr>
            </w:pPr>
            <w:r>
              <w:rPr>
                <w:rFonts w:eastAsia="宋体"/>
                <w:color w:val="auto"/>
                <w:sz w:val="21"/>
                <w:szCs w:val="21"/>
                <w:highlight w:val="none"/>
              </w:rPr>
              <w:t>4.4</w:t>
            </w:r>
          </w:p>
        </w:tc>
        <w:tc>
          <w:tcPr>
            <w:tcW w:w="686" w:type="dxa"/>
            <w:tcBorders>
              <w:top w:val="single" w:color="000000" w:sz="4" w:space="0"/>
              <w:left w:val="single" w:color="000000" w:sz="4" w:space="0"/>
              <w:bottom w:val="single" w:color="000000" w:sz="4" w:space="0"/>
              <w:right w:val="single" w:color="000000" w:sz="4" w:space="0"/>
            </w:tcBorders>
            <w:vAlign w:val="center"/>
          </w:tcPr>
          <w:p w14:paraId="34E5FCD4">
            <w:pPr>
              <w:pStyle w:val="98"/>
              <w:ind w:left="-105" w:right="-105"/>
              <w:rPr>
                <w:rFonts w:eastAsia="宋体"/>
                <w:color w:val="auto"/>
                <w:sz w:val="21"/>
                <w:szCs w:val="21"/>
                <w:highlight w:val="none"/>
              </w:rPr>
            </w:pPr>
            <w:r>
              <w:rPr>
                <w:rFonts w:eastAsia="宋体"/>
                <w:color w:val="auto"/>
                <w:sz w:val="21"/>
                <w:szCs w:val="21"/>
                <w:highlight w:val="none"/>
              </w:rPr>
              <w:t>6.6</w:t>
            </w:r>
          </w:p>
        </w:tc>
        <w:tc>
          <w:tcPr>
            <w:tcW w:w="700" w:type="dxa"/>
            <w:tcBorders>
              <w:top w:val="single" w:color="000000" w:sz="4" w:space="0"/>
              <w:left w:val="single" w:color="000000" w:sz="4" w:space="0"/>
              <w:bottom w:val="single" w:color="000000" w:sz="4" w:space="0"/>
              <w:right w:val="single" w:color="000000" w:sz="4" w:space="0"/>
            </w:tcBorders>
            <w:vAlign w:val="center"/>
          </w:tcPr>
          <w:p w14:paraId="02F3EB9D">
            <w:pPr>
              <w:pStyle w:val="98"/>
              <w:ind w:left="-105" w:right="-105"/>
              <w:rPr>
                <w:rFonts w:eastAsia="宋体"/>
                <w:color w:val="auto"/>
                <w:sz w:val="21"/>
                <w:szCs w:val="21"/>
                <w:highlight w:val="none"/>
              </w:rPr>
            </w:pPr>
            <w:r>
              <w:rPr>
                <w:rFonts w:eastAsia="宋体"/>
                <w:color w:val="auto"/>
                <w:sz w:val="21"/>
                <w:szCs w:val="21"/>
                <w:highlight w:val="none"/>
              </w:rPr>
              <w:t>5.2</w:t>
            </w:r>
          </w:p>
        </w:tc>
        <w:tc>
          <w:tcPr>
            <w:tcW w:w="686" w:type="dxa"/>
            <w:tcBorders>
              <w:top w:val="single" w:color="000000" w:sz="4" w:space="0"/>
              <w:left w:val="single" w:color="000000" w:sz="4" w:space="0"/>
              <w:bottom w:val="single" w:color="000000" w:sz="4" w:space="0"/>
              <w:right w:val="single" w:color="000000" w:sz="4" w:space="0"/>
            </w:tcBorders>
            <w:vAlign w:val="center"/>
          </w:tcPr>
          <w:p w14:paraId="1ED9205C">
            <w:pPr>
              <w:pStyle w:val="98"/>
              <w:ind w:left="-105" w:right="-105"/>
              <w:rPr>
                <w:rFonts w:eastAsia="宋体"/>
                <w:color w:val="auto"/>
                <w:sz w:val="21"/>
                <w:szCs w:val="21"/>
                <w:highlight w:val="none"/>
              </w:rPr>
            </w:pPr>
            <w:r>
              <w:rPr>
                <w:rFonts w:eastAsia="宋体"/>
                <w:color w:val="auto"/>
                <w:sz w:val="21"/>
                <w:szCs w:val="21"/>
                <w:highlight w:val="none"/>
              </w:rPr>
              <w:t>10.8</w:t>
            </w:r>
          </w:p>
        </w:tc>
        <w:tc>
          <w:tcPr>
            <w:tcW w:w="693" w:type="dxa"/>
            <w:tcBorders>
              <w:top w:val="single" w:color="000000" w:sz="4" w:space="0"/>
              <w:left w:val="single" w:color="000000" w:sz="4" w:space="0"/>
              <w:bottom w:val="single" w:color="000000" w:sz="4" w:space="0"/>
              <w:right w:val="nil"/>
            </w:tcBorders>
            <w:vAlign w:val="center"/>
          </w:tcPr>
          <w:p w14:paraId="0FC3AF02">
            <w:pPr>
              <w:pStyle w:val="98"/>
              <w:ind w:left="-105" w:right="-105"/>
              <w:rPr>
                <w:rFonts w:eastAsia="宋体"/>
                <w:color w:val="auto"/>
                <w:sz w:val="21"/>
                <w:szCs w:val="21"/>
                <w:highlight w:val="none"/>
              </w:rPr>
            </w:pPr>
            <w:r>
              <w:rPr>
                <w:rFonts w:eastAsia="宋体"/>
                <w:color w:val="auto"/>
                <w:sz w:val="21"/>
                <w:szCs w:val="21"/>
                <w:highlight w:val="none"/>
              </w:rPr>
              <w:t>/</w:t>
            </w:r>
          </w:p>
        </w:tc>
      </w:tr>
      <w:tr w14:paraId="61CF80EB">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108" w:type="dxa"/>
            <w:bottom w:w="0" w:type="dxa"/>
            <w:right w:w="108" w:type="dxa"/>
          </w:tblCellMar>
        </w:tblPrEx>
        <w:trPr>
          <w:gridAfter w:val="1"/>
          <w:wAfter w:w="21" w:type="dxa"/>
          <w:trHeight w:val="233" w:hRule="atLeast"/>
          <w:jc w:val="center"/>
        </w:trPr>
        <w:tc>
          <w:tcPr>
            <w:tcW w:w="688" w:type="dxa"/>
            <w:vMerge w:val="continue"/>
            <w:tcBorders>
              <w:top w:val="nil"/>
              <w:left w:val="nil"/>
              <w:bottom w:val="single" w:color="000000" w:sz="4" w:space="0"/>
              <w:right w:val="single" w:color="000000" w:sz="4" w:space="0"/>
            </w:tcBorders>
            <w:vAlign w:val="center"/>
          </w:tcPr>
          <w:p w14:paraId="2BE9EC7F">
            <w:pPr>
              <w:ind w:left="-105" w:right="-105"/>
              <w:jc w:val="center"/>
              <w:rPr>
                <w:rFonts w:ascii="Times New Roman" w:hAnsi="Times New Roman"/>
                <w:color w:val="auto"/>
                <w:sz w:val="21"/>
                <w:szCs w:val="21"/>
                <w:highlight w:val="none"/>
              </w:rPr>
            </w:pPr>
          </w:p>
        </w:tc>
        <w:tc>
          <w:tcPr>
            <w:tcW w:w="687" w:type="dxa"/>
            <w:tcBorders>
              <w:top w:val="single" w:color="000000" w:sz="4" w:space="0"/>
              <w:left w:val="single" w:color="000000" w:sz="4" w:space="0"/>
              <w:bottom w:val="single" w:color="000000" w:sz="4" w:space="0"/>
              <w:right w:val="single" w:color="000000" w:sz="4" w:space="0"/>
            </w:tcBorders>
            <w:vAlign w:val="center"/>
          </w:tcPr>
          <w:p w14:paraId="45E53105">
            <w:pPr>
              <w:pStyle w:val="98"/>
              <w:ind w:left="-105" w:right="-105"/>
              <w:rPr>
                <w:rFonts w:eastAsia="宋体"/>
                <w:color w:val="auto"/>
                <w:sz w:val="21"/>
                <w:szCs w:val="21"/>
                <w:highlight w:val="none"/>
              </w:rPr>
            </w:pPr>
            <w:r>
              <w:rPr>
                <w:rFonts w:eastAsia="宋体"/>
                <w:color w:val="auto"/>
                <w:sz w:val="21"/>
                <w:szCs w:val="21"/>
                <w:highlight w:val="none"/>
              </w:rPr>
              <w:t>风速</w:t>
            </w:r>
          </w:p>
        </w:tc>
        <w:tc>
          <w:tcPr>
            <w:tcW w:w="687" w:type="dxa"/>
            <w:tcBorders>
              <w:top w:val="single" w:color="000000" w:sz="4" w:space="0"/>
              <w:left w:val="single" w:color="000000" w:sz="4" w:space="0"/>
              <w:bottom w:val="single" w:color="000000" w:sz="4" w:space="0"/>
              <w:right w:val="single" w:color="000000" w:sz="4" w:space="0"/>
            </w:tcBorders>
            <w:vAlign w:val="center"/>
          </w:tcPr>
          <w:p w14:paraId="5183FEC4">
            <w:pPr>
              <w:pStyle w:val="98"/>
              <w:ind w:left="-105" w:right="-105"/>
              <w:rPr>
                <w:rFonts w:eastAsia="宋体"/>
                <w:color w:val="auto"/>
                <w:sz w:val="21"/>
                <w:szCs w:val="21"/>
                <w:highlight w:val="none"/>
              </w:rPr>
            </w:pPr>
            <w:r>
              <w:rPr>
                <w:rFonts w:eastAsia="宋体"/>
                <w:color w:val="auto"/>
                <w:sz w:val="21"/>
                <w:szCs w:val="21"/>
                <w:highlight w:val="none"/>
              </w:rPr>
              <w:t>2.9</w:t>
            </w:r>
          </w:p>
        </w:tc>
        <w:tc>
          <w:tcPr>
            <w:tcW w:w="687" w:type="dxa"/>
            <w:tcBorders>
              <w:top w:val="single" w:color="000000" w:sz="4" w:space="0"/>
              <w:left w:val="single" w:color="000000" w:sz="4" w:space="0"/>
              <w:bottom w:val="single" w:color="000000" w:sz="4" w:space="0"/>
              <w:right w:val="single" w:color="000000" w:sz="4" w:space="0"/>
            </w:tcBorders>
            <w:vAlign w:val="center"/>
          </w:tcPr>
          <w:p w14:paraId="02730C9A">
            <w:pPr>
              <w:pStyle w:val="98"/>
              <w:ind w:left="-105" w:right="-105"/>
              <w:rPr>
                <w:rFonts w:eastAsia="宋体"/>
                <w:color w:val="auto"/>
                <w:sz w:val="21"/>
                <w:szCs w:val="21"/>
                <w:highlight w:val="none"/>
              </w:rPr>
            </w:pPr>
            <w:r>
              <w:rPr>
                <w:rFonts w:eastAsia="宋体"/>
                <w:color w:val="auto"/>
                <w:sz w:val="21"/>
                <w:szCs w:val="21"/>
                <w:highlight w:val="none"/>
              </w:rPr>
              <w:t>3.7</w:t>
            </w:r>
          </w:p>
        </w:tc>
        <w:tc>
          <w:tcPr>
            <w:tcW w:w="687" w:type="dxa"/>
            <w:tcBorders>
              <w:top w:val="single" w:color="000000" w:sz="4" w:space="0"/>
              <w:left w:val="single" w:color="000000" w:sz="4" w:space="0"/>
              <w:bottom w:val="single" w:color="000000" w:sz="4" w:space="0"/>
              <w:right w:val="single" w:color="000000" w:sz="4" w:space="0"/>
            </w:tcBorders>
            <w:vAlign w:val="center"/>
          </w:tcPr>
          <w:p w14:paraId="1332BDB6">
            <w:pPr>
              <w:pStyle w:val="98"/>
              <w:ind w:left="-105" w:right="-105"/>
              <w:rPr>
                <w:rFonts w:eastAsia="宋体"/>
                <w:color w:val="auto"/>
                <w:sz w:val="21"/>
                <w:szCs w:val="21"/>
                <w:highlight w:val="none"/>
              </w:rPr>
            </w:pPr>
            <w:r>
              <w:rPr>
                <w:rFonts w:eastAsia="宋体"/>
                <w:color w:val="auto"/>
                <w:sz w:val="21"/>
                <w:szCs w:val="21"/>
                <w:highlight w:val="none"/>
              </w:rPr>
              <w:t>3.6</w:t>
            </w:r>
          </w:p>
        </w:tc>
        <w:tc>
          <w:tcPr>
            <w:tcW w:w="688" w:type="dxa"/>
            <w:tcBorders>
              <w:top w:val="single" w:color="000000" w:sz="4" w:space="0"/>
              <w:left w:val="single" w:color="000000" w:sz="4" w:space="0"/>
              <w:bottom w:val="single" w:color="000000" w:sz="4" w:space="0"/>
              <w:right w:val="single" w:color="000000" w:sz="4" w:space="0"/>
            </w:tcBorders>
            <w:vAlign w:val="center"/>
          </w:tcPr>
          <w:p w14:paraId="1F663A9C">
            <w:pPr>
              <w:pStyle w:val="98"/>
              <w:ind w:left="-105" w:right="-105"/>
              <w:rPr>
                <w:rFonts w:eastAsia="宋体"/>
                <w:color w:val="auto"/>
                <w:sz w:val="21"/>
                <w:szCs w:val="21"/>
                <w:highlight w:val="none"/>
              </w:rPr>
            </w:pPr>
            <w:r>
              <w:rPr>
                <w:rFonts w:eastAsia="宋体"/>
                <w:color w:val="auto"/>
                <w:sz w:val="21"/>
                <w:szCs w:val="21"/>
                <w:highlight w:val="none"/>
              </w:rPr>
              <w:t>3</w:t>
            </w:r>
          </w:p>
        </w:tc>
        <w:tc>
          <w:tcPr>
            <w:tcW w:w="687" w:type="dxa"/>
            <w:tcBorders>
              <w:top w:val="single" w:color="000000" w:sz="4" w:space="0"/>
              <w:left w:val="single" w:color="000000" w:sz="4" w:space="0"/>
              <w:bottom w:val="single" w:color="000000" w:sz="4" w:space="0"/>
              <w:right w:val="single" w:color="000000" w:sz="4" w:space="0"/>
            </w:tcBorders>
            <w:vAlign w:val="center"/>
          </w:tcPr>
          <w:p w14:paraId="7565519E">
            <w:pPr>
              <w:pStyle w:val="98"/>
              <w:ind w:left="-105" w:right="-105"/>
              <w:rPr>
                <w:rFonts w:eastAsia="宋体"/>
                <w:color w:val="auto"/>
                <w:sz w:val="21"/>
                <w:szCs w:val="21"/>
                <w:highlight w:val="none"/>
              </w:rPr>
            </w:pPr>
            <w:r>
              <w:rPr>
                <w:rFonts w:eastAsia="宋体"/>
                <w:color w:val="auto"/>
                <w:sz w:val="21"/>
                <w:szCs w:val="21"/>
                <w:highlight w:val="none"/>
              </w:rPr>
              <w:t>2.4</w:t>
            </w:r>
          </w:p>
        </w:tc>
        <w:tc>
          <w:tcPr>
            <w:tcW w:w="687" w:type="dxa"/>
            <w:tcBorders>
              <w:top w:val="single" w:color="000000" w:sz="4" w:space="0"/>
              <w:left w:val="single" w:color="000000" w:sz="4" w:space="0"/>
              <w:bottom w:val="single" w:color="000000" w:sz="4" w:space="0"/>
              <w:right w:val="single" w:color="000000" w:sz="4" w:space="0"/>
            </w:tcBorders>
            <w:vAlign w:val="center"/>
          </w:tcPr>
          <w:p w14:paraId="145C4311">
            <w:pPr>
              <w:pStyle w:val="98"/>
              <w:ind w:left="-105" w:right="-105"/>
              <w:rPr>
                <w:rFonts w:eastAsia="宋体"/>
                <w:color w:val="auto"/>
                <w:sz w:val="21"/>
                <w:szCs w:val="21"/>
                <w:highlight w:val="none"/>
              </w:rPr>
            </w:pPr>
            <w:r>
              <w:rPr>
                <w:rFonts w:eastAsia="宋体"/>
                <w:color w:val="auto"/>
                <w:sz w:val="21"/>
                <w:szCs w:val="21"/>
                <w:highlight w:val="none"/>
              </w:rPr>
              <w:t>2.9</w:t>
            </w:r>
          </w:p>
        </w:tc>
        <w:tc>
          <w:tcPr>
            <w:tcW w:w="687" w:type="dxa"/>
            <w:tcBorders>
              <w:top w:val="single" w:color="000000" w:sz="4" w:space="0"/>
              <w:left w:val="single" w:color="000000" w:sz="4" w:space="0"/>
              <w:bottom w:val="single" w:color="000000" w:sz="4" w:space="0"/>
              <w:right w:val="single" w:color="000000" w:sz="4" w:space="0"/>
            </w:tcBorders>
            <w:vAlign w:val="center"/>
          </w:tcPr>
          <w:p w14:paraId="688C7010">
            <w:pPr>
              <w:pStyle w:val="98"/>
              <w:ind w:left="-105" w:right="-105"/>
              <w:rPr>
                <w:rFonts w:eastAsia="宋体"/>
                <w:color w:val="auto"/>
                <w:sz w:val="21"/>
                <w:szCs w:val="21"/>
                <w:highlight w:val="none"/>
              </w:rPr>
            </w:pPr>
            <w:r>
              <w:rPr>
                <w:rFonts w:eastAsia="宋体"/>
                <w:color w:val="auto"/>
                <w:sz w:val="21"/>
                <w:szCs w:val="21"/>
                <w:highlight w:val="none"/>
              </w:rPr>
              <w:t>2.8</w:t>
            </w:r>
          </w:p>
        </w:tc>
        <w:tc>
          <w:tcPr>
            <w:tcW w:w="687" w:type="dxa"/>
            <w:tcBorders>
              <w:top w:val="single" w:color="000000" w:sz="4" w:space="0"/>
              <w:left w:val="single" w:color="000000" w:sz="4" w:space="0"/>
              <w:bottom w:val="single" w:color="000000" w:sz="4" w:space="0"/>
              <w:right w:val="single" w:color="000000" w:sz="4" w:space="0"/>
            </w:tcBorders>
            <w:vAlign w:val="center"/>
          </w:tcPr>
          <w:p w14:paraId="2F720769">
            <w:pPr>
              <w:pStyle w:val="98"/>
              <w:ind w:left="-105" w:right="-105"/>
              <w:rPr>
                <w:rFonts w:eastAsia="宋体"/>
                <w:color w:val="auto"/>
                <w:sz w:val="21"/>
                <w:szCs w:val="21"/>
                <w:highlight w:val="none"/>
              </w:rPr>
            </w:pPr>
            <w:r>
              <w:rPr>
                <w:rFonts w:eastAsia="宋体"/>
                <w:color w:val="auto"/>
                <w:sz w:val="21"/>
                <w:szCs w:val="21"/>
                <w:highlight w:val="none"/>
              </w:rPr>
              <w:t>2.5</w:t>
            </w:r>
          </w:p>
        </w:tc>
        <w:tc>
          <w:tcPr>
            <w:tcW w:w="687" w:type="dxa"/>
            <w:tcBorders>
              <w:top w:val="single" w:color="000000" w:sz="4" w:space="0"/>
              <w:left w:val="single" w:color="000000" w:sz="4" w:space="0"/>
              <w:bottom w:val="single" w:color="000000" w:sz="4" w:space="0"/>
              <w:right w:val="single" w:color="000000" w:sz="4" w:space="0"/>
            </w:tcBorders>
            <w:vAlign w:val="center"/>
          </w:tcPr>
          <w:p w14:paraId="3A773EB5">
            <w:pPr>
              <w:pStyle w:val="98"/>
              <w:ind w:left="-105" w:right="-105"/>
              <w:rPr>
                <w:rFonts w:eastAsia="宋体"/>
                <w:color w:val="auto"/>
                <w:sz w:val="21"/>
                <w:szCs w:val="21"/>
                <w:highlight w:val="none"/>
              </w:rPr>
            </w:pPr>
            <w:r>
              <w:rPr>
                <w:rFonts w:eastAsia="宋体"/>
                <w:color w:val="auto"/>
                <w:sz w:val="21"/>
                <w:szCs w:val="21"/>
                <w:highlight w:val="none"/>
              </w:rPr>
              <w:t>2.1</w:t>
            </w:r>
          </w:p>
        </w:tc>
        <w:tc>
          <w:tcPr>
            <w:tcW w:w="687" w:type="dxa"/>
            <w:tcBorders>
              <w:top w:val="single" w:color="000000" w:sz="4" w:space="0"/>
              <w:left w:val="single" w:color="000000" w:sz="4" w:space="0"/>
              <w:bottom w:val="single" w:color="000000" w:sz="4" w:space="0"/>
              <w:right w:val="single" w:color="000000" w:sz="4" w:space="0"/>
            </w:tcBorders>
            <w:vAlign w:val="center"/>
          </w:tcPr>
          <w:p w14:paraId="45BEDE3D">
            <w:pPr>
              <w:pStyle w:val="98"/>
              <w:ind w:left="-105" w:right="-105"/>
              <w:rPr>
                <w:rFonts w:eastAsia="宋体"/>
                <w:color w:val="auto"/>
                <w:sz w:val="21"/>
                <w:szCs w:val="21"/>
                <w:highlight w:val="none"/>
              </w:rPr>
            </w:pPr>
            <w:r>
              <w:rPr>
                <w:rFonts w:eastAsia="宋体"/>
                <w:color w:val="auto"/>
                <w:sz w:val="21"/>
                <w:szCs w:val="21"/>
                <w:highlight w:val="none"/>
              </w:rPr>
              <w:t>2.2</w:t>
            </w:r>
          </w:p>
        </w:tc>
        <w:tc>
          <w:tcPr>
            <w:tcW w:w="684" w:type="dxa"/>
            <w:tcBorders>
              <w:top w:val="single" w:color="000000" w:sz="4" w:space="0"/>
              <w:left w:val="single" w:color="000000" w:sz="4" w:space="0"/>
              <w:bottom w:val="single" w:color="000000" w:sz="4" w:space="0"/>
              <w:right w:val="single" w:color="000000" w:sz="4" w:space="0"/>
            </w:tcBorders>
            <w:vAlign w:val="center"/>
          </w:tcPr>
          <w:p w14:paraId="22941973">
            <w:pPr>
              <w:pStyle w:val="98"/>
              <w:ind w:left="-105" w:right="-105"/>
              <w:rPr>
                <w:rFonts w:eastAsia="宋体"/>
                <w:color w:val="auto"/>
                <w:sz w:val="21"/>
                <w:szCs w:val="21"/>
                <w:highlight w:val="none"/>
              </w:rPr>
            </w:pPr>
            <w:r>
              <w:rPr>
                <w:rFonts w:eastAsia="宋体"/>
                <w:color w:val="auto"/>
                <w:sz w:val="21"/>
                <w:szCs w:val="21"/>
                <w:highlight w:val="none"/>
              </w:rPr>
              <w:t>1.8</w:t>
            </w:r>
          </w:p>
        </w:tc>
        <w:tc>
          <w:tcPr>
            <w:tcW w:w="714" w:type="dxa"/>
            <w:tcBorders>
              <w:top w:val="single" w:color="000000" w:sz="4" w:space="0"/>
              <w:left w:val="single" w:color="000000" w:sz="4" w:space="0"/>
              <w:bottom w:val="single" w:color="000000" w:sz="4" w:space="0"/>
              <w:right w:val="single" w:color="000000" w:sz="4" w:space="0"/>
            </w:tcBorders>
            <w:vAlign w:val="center"/>
          </w:tcPr>
          <w:p w14:paraId="13463963">
            <w:pPr>
              <w:pStyle w:val="98"/>
              <w:ind w:left="-105" w:right="-105"/>
              <w:rPr>
                <w:rFonts w:eastAsia="宋体"/>
                <w:color w:val="auto"/>
                <w:sz w:val="21"/>
                <w:szCs w:val="21"/>
                <w:highlight w:val="none"/>
              </w:rPr>
            </w:pPr>
            <w:r>
              <w:rPr>
                <w:rFonts w:eastAsia="宋体"/>
                <w:color w:val="auto"/>
                <w:sz w:val="21"/>
                <w:szCs w:val="21"/>
                <w:highlight w:val="none"/>
              </w:rPr>
              <w:t>2.2</w:t>
            </w:r>
          </w:p>
        </w:tc>
        <w:tc>
          <w:tcPr>
            <w:tcW w:w="686" w:type="dxa"/>
            <w:tcBorders>
              <w:top w:val="single" w:color="000000" w:sz="4" w:space="0"/>
              <w:left w:val="single" w:color="000000" w:sz="4" w:space="0"/>
              <w:bottom w:val="single" w:color="000000" w:sz="4" w:space="0"/>
              <w:right w:val="single" w:color="000000" w:sz="4" w:space="0"/>
            </w:tcBorders>
            <w:vAlign w:val="center"/>
          </w:tcPr>
          <w:p w14:paraId="2045A9D8">
            <w:pPr>
              <w:pStyle w:val="98"/>
              <w:ind w:left="-105" w:right="-105"/>
              <w:rPr>
                <w:rFonts w:eastAsia="宋体"/>
                <w:color w:val="auto"/>
                <w:sz w:val="21"/>
                <w:szCs w:val="21"/>
                <w:highlight w:val="none"/>
              </w:rPr>
            </w:pPr>
            <w:r>
              <w:rPr>
                <w:rFonts w:eastAsia="宋体"/>
                <w:color w:val="auto"/>
                <w:sz w:val="21"/>
                <w:szCs w:val="21"/>
                <w:highlight w:val="none"/>
              </w:rPr>
              <w:t>3</w:t>
            </w:r>
          </w:p>
        </w:tc>
        <w:tc>
          <w:tcPr>
            <w:tcW w:w="747" w:type="dxa"/>
            <w:tcBorders>
              <w:top w:val="single" w:color="000000" w:sz="4" w:space="0"/>
              <w:left w:val="single" w:color="000000" w:sz="4" w:space="0"/>
              <w:bottom w:val="single" w:color="000000" w:sz="4" w:space="0"/>
              <w:right w:val="single" w:color="000000" w:sz="4" w:space="0"/>
            </w:tcBorders>
            <w:vAlign w:val="center"/>
          </w:tcPr>
          <w:p w14:paraId="339310F4">
            <w:pPr>
              <w:pStyle w:val="98"/>
              <w:ind w:left="-105" w:right="-105"/>
              <w:rPr>
                <w:rFonts w:eastAsia="宋体"/>
                <w:color w:val="auto"/>
                <w:sz w:val="21"/>
                <w:szCs w:val="21"/>
                <w:highlight w:val="none"/>
              </w:rPr>
            </w:pPr>
            <w:r>
              <w:rPr>
                <w:rFonts w:eastAsia="宋体"/>
                <w:color w:val="auto"/>
                <w:sz w:val="21"/>
                <w:szCs w:val="21"/>
                <w:highlight w:val="none"/>
              </w:rPr>
              <w:t>4.5</w:t>
            </w:r>
          </w:p>
        </w:tc>
        <w:tc>
          <w:tcPr>
            <w:tcW w:w="686" w:type="dxa"/>
            <w:tcBorders>
              <w:top w:val="single" w:color="000000" w:sz="4" w:space="0"/>
              <w:left w:val="single" w:color="000000" w:sz="4" w:space="0"/>
              <w:bottom w:val="single" w:color="000000" w:sz="4" w:space="0"/>
              <w:right w:val="single" w:color="000000" w:sz="4" w:space="0"/>
            </w:tcBorders>
            <w:vAlign w:val="center"/>
          </w:tcPr>
          <w:p w14:paraId="2723AB73">
            <w:pPr>
              <w:pStyle w:val="98"/>
              <w:ind w:left="-105" w:right="-105"/>
              <w:rPr>
                <w:rFonts w:eastAsia="宋体"/>
                <w:color w:val="auto"/>
                <w:sz w:val="21"/>
                <w:szCs w:val="21"/>
                <w:highlight w:val="none"/>
              </w:rPr>
            </w:pPr>
            <w:r>
              <w:rPr>
                <w:rFonts w:eastAsia="宋体"/>
                <w:color w:val="auto"/>
                <w:sz w:val="21"/>
                <w:szCs w:val="21"/>
                <w:highlight w:val="none"/>
              </w:rPr>
              <w:t>2.8</w:t>
            </w:r>
          </w:p>
        </w:tc>
        <w:tc>
          <w:tcPr>
            <w:tcW w:w="700" w:type="dxa"/>
            <w:tcBorders>
              <w:top w:val="single" w:color="000000" w:sz="4" w:space="0"/>
              <w:left w:val="single" w:color="000000" w:sz="4" w:space="0"/>
              <w:bottom w:val="single" w:color="000000" w:sz="4" w:space="0"/>
              <w:right w:val="single" w:color="000000" w:sz="4" w:space="0"/>
            </w:tcBorders>
            <w:vAlign w:val="center"/>
          </w:tcPr>
          <w:p w14:paraId="2F876F01">
            <w:pPr>
              <w:pStyle w:val="98"/>
              <w:ind w:left="-105" w:right="-105"/>
              <w:rPr>
                <w:rFonts w:eastAsia="宋体"/>
                <w:color w:val="auto"/>
                <w:sz w:val="21"/>
                <w:szCs w:val="21"/>
                <w:highlight w:val="none"/>
              </w:rPr>
            </w:pPr>
            <w:r>
              <w:rPr>
                <w:rFonts w:eastAsia="宋体"/>
                <w:color w:val="auto"/>
                <w:sz w:val="21"/>
                <w:szCs w:val="21"/>
                <w:highlight w:val="none"/>
              </w:rPr>
              <w:t>2.7</w:t>
            </w:r>
          </w:p>
        </w:tc>
        <w:tc>
          <w:tcPr>
            <w:tcW w:w="686" w:type="dxa"/>
            <w:tcBorders>
              <w:top w:val="single" w:color="000000" w:sz="4" w:space="0"/>
              <w:left w:val="single" w:color="000000" w:sz="4" w:space="0"/>
              <w:bottom w:val="single" w:color="000000" w:sz="4" w:space="0"/>
              <w:right w:val="single" w:color="000000" w:sz="4" w:space="0"/>
            </w:tcBorders>
            <w:vAlign w:val="center"/>
          </w:tcPr>
          <w:p w14:paraId="447EF7CB">
            <w:pPr>
              <w:pStyle w:val="98"/>
              <w:ind w:left="-105" w:right="-105"/>
              <w:rPr>
                <w:rFonts w:eastAsia="宋体"/>
                <w:color w:val="auto"/>
                <w:sz w:val="21"/>
                <w:szCs w:val="21"/>
                <w:highlight w:val="none"/>
              </w:rPr>
            </w:pPr>
            <w:r>
              <w:rPr>
                <w:rFonts w:eastAsia="宋体"/>
                <w:color w:val="auto"/>
                <w:sz w:val="21"/>
                <w:szCs w:val="21"/>
                <w:highlight w:val="none"/>
              </w:rPr>
              <w:t>/</w:t>
            </w:r>
          </w:p>
        </w:tc>
        <w:tc>
          <w:tcPr>
            <w:tcW w:w="693" w:type="dxa"/>
            <w:tcBorders>
              <w:top w:val="single" w:color="000000" w:sz="4" w:space="0"/>
              <w:left w:val="single" w:color="000000" w:sz="4" w:space="0"/>
              <w:bottom w:val="single" w:color="000000" w:sz="4" w:space="0"/>
              <w:right w:val="nil"/>
            </w:tcBorders>
            <w:vAlign w:val="center"/>
          </w:tcPr>
          <w:p w14:paraId="7366B3AB">
            <w:pPr>
              <w:pStyle w:val="98"/>
              <w:ind w:left="-105" w:right="-105"/>
              <w:rPr>
                <w:rFonts w:eastAsia="宋体"/>
                <w:color w:val="auto"/>
                <w:sz w:val="21"/>
                <w:szCs w:val="21"/>
                <w:highlight w:val="none"/>
              </w:rPr>
            </w:pPr>
            <w:r>
              <w:rPr>
                <w:rFonts w:eastAsia="宋体"/>
                <w:color w:val="auto"/>
                <w:sz w:val="21"/>
                <w:szCs w:val="21"/>
                <w:highlight w:val="none"/>
              </w:rPr>
              <w:t>2.82</w:t>
            </w:r>
          </w:p>
        </w:tc>
      </w:tr>
      <w:tr w14:paraId="004E40E9">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108" w:type="dxa"/>
            <w:bottom w:w="0" w:type="dxa"/>
            <w:right w:w="108" w:type="dxa"/>
          </w:tblCellMar>
        </w:tblPrEx>
        <w:trPr>
          <w:gridAfter w:val="1"/>
          <w:wAfter w:w="21" w:type="dxa"/>
          <w:trHeight w:val="232" w:hRule="atLeast"/>
          <w:jc w:val="center"/>
        </w:trPr>
        <w:tc>
          <w:tcPr>
            <w:tcW w:w="688" w:type="dxa"/>
            <w:vMerge w:val="restart"/>
            <w:tcBorders>
              <w:top w:val="single" w:color="000000" w:sz="4" w:space="0"/>
              <w:left w:val="nil"/>
              <w:bottom w:val="single" w:color="000000" w:sz="4" w:space="0"/>
              <w:right w:val="single" w:color="000000" w:sz="4" w:space="0"/>
            </w:tcBorders>
            <w:vAlign w:val="center"/>
          </w:tcPr>
          <w:p w14:paraId="060816BD">
            <w:pPr>
              <w:pStyle w:val="98"/>
              <w:ind w:left="-105" w:right="-105"/>
              <w:rPr>
                <w:rFonts w:eastAsia="宋体"/>
                <w:color w:val="auto"/>
                <w:sz w:val="21"/>
                <w:szCs w:val="21"/>
                <w:highlight w:val="none"/>
              </w:rPr>
            </w:pPr>
            <w:r>
              <w:rPr>
                <w:rFonts w:eastAsia="宋体"/>
                <w:color w:val="auto"/>
                <w:sz w:val="21"/>
                <w:szCs w:val="21"/>
                <w:highlight w:val="none"/>
              </w:rPr>
              <w:t>4月</w:t>
            </w:r>
          </w:p>
        </w:tc>
        <w:tc>
          <w:tcPr>
            <w:tcW w:w="687" w:type="dxa"/>
            <w:tcBorders>
              <w:top w:val="single" w:color="000000" w:sz="4" w:space="0"/>
              <w:left w:val="single" w:color="000000" w:sz="4" w:space="0"/>
              <w:bottom w:val="single" w:color="000000" w:sz="4" w:space="0"/>
              <w:right w:val="single" w:color="000000" w:sz="4" w:space="0"/>
            </w:tcBorders>
            <w:vAlign w:val="center"/>
          </w:tcPr>
          <w:p w14:paraId="51F1AEEA">
            <w:pPr>
              <w:pStyle w:val="98"/>
              <w:ind w:left="-105" w:right="-105"/>
              <w:rPr>
                <w:rFonts w:eastAsia="宋体"/>
                <w:color w:val="auto"/>
                <w:sz w:val="21"/>
                <w:szCs w:val="21"/>
                <w:highlight w:val="none"/>
              </w:rPr>
            </w:pPr>
            <w:r>
              <w:rPr>
                <w:rFonts w:eastAsia="宋体"/>
                <w:color w:val="auto"/>
                <w:sz w:val="21"/>
                <w:szCs w:val="21"/>
                <w:highlight w:val="none"/>
              </w:rPr>
              <w:t>频率</w:t>
            </w:r>
          </w:p>
        </w:tc>
        <w:tc>
          <w:tcPr>
            <w:tcW w:w="687" w:type="dxa"/>
            <w:tcBorders>
              <w:top w:val="single" w:color="000000" w:sz="4" w:space="0"/>
              <w:left w:val="single" w:color="000000" w:sz="4" w:space="0"/>
              <w:bottom w:val="single" w:color="000000" w:sz="4" w:space="0"/>
              <w:right w:val="single" w:color="000000" w:sz="4" w:space="0"/>
            </w:tcBorders>
            <w:vAlign w:val="center"/>
          </w:tcPr>
          <w:p w14:paraId="5BAFFED0">
            <w:pPr>
              <w:pStyle w:val="98"/>
              <w:ind w:left="-105" w:right="-105"/>
              <w:rPr>
                <w:rFonts w:eastAsia="宋体"/>
                <w:color w:val="auto"/>
                <w:sz w:val="21"/>
                <w:szCs w:val="21"/>
                <w:highlight w:val="none"/>
              </w:rPr>
            </w:pPr>
            <w:r>
              <w:rPr>
                <w:rFonts w:eastAsia="宋体"/>
                <w:color w:val="auto"/>
                <w:sz w:val="21"/>
                <w:szCs w:val="21"/>
                <w:highlight w:val="none"/>
              </w:rPr>
              <w:t>4.2</w:t>
            </w:r>
          </w:p>
        </w:tc>
        <w:tc>
          <w:tcPr>
            <w:tcW w:w="687" w:type="dxa"/>
            <w:tcBorders>
              <w:top w:val="single" w:color="000000" w:sz="4" w:space="0"/>
              <w:left w:val="single" w:color="000000" w:sz="4" w:space="0"/>
              <w:bottom w:val="single" w:color="000000" w:sz="4" w:space="0"/>
              <w:right w:val="single" w:color="000000" w:sz="4" w:space="0"/>
            </w:tcBorders>
            <w:vAlign w:val="center"/>
          </w:tcPr>
          <w:p w14:paraId="10D36A7A">
            <w:pPr>
              <w:pStyle w:val="98"/>
              <w:ind w:left="-105" w:right="-105"/>
              <w:rPr>
                <w:rFonts w:eastAsia="宋体"/>
                <w:color w:val="auto"/>
                <w:sz w:val="21"/>
                <w:szCs w:val="21"/>
                <w:highlight w:val="none"/>
              </w:rPr>
            </w:pPr>
            <w:r>
              <w:rPr>
                <w:rFonts w:eastAsia="宋体"/>
                <w:color w:val="auto"/>
                <w:sz w:val="21"/>
                <w:szCs w:val="21"/>
                <w:highlight w:val="none"/>
              </w:rPr>
              <w:t>4.2</w:t>
            </w:r>
          </w:p>
        </w:tc>
        <w:tc>
          <w:tcPr>
            <w:tcW w:w="687" w:type="dxa"/>
            <w:tcBorders>
              <w:top w:val="single" w:color="000000" w:sz="4" w:space="0"/>
              <w:left w:val="single" w:color="000000" w:sz="4" w:space="0"/>
              <w:bottom w:val="single" w:color="000000" w:sz="4" w:space="0"/>
              <w:right w:val="single" w:color="000000" w:sz="4" w:space="0"/>
            </w:tcBorders>
            <w:vAlign w:val="center"/>
          </w:tcPr>
          <w:p w14:paraId="2B349B4D">
            <w:pPr>
              <w:pStyle w:val="98"/>
              <w:ind w:left="-105" w:right="-105"/>
              <w:rPr>
                <w:rFonts w:eastAsia="宋体"/>
                <w:color w:val="auto"/>
                <w:sz w:val="21"/>
                <w:szCs w:val="21"/>
                <w:highlight w:val="none"/>
              </w:rPr>
            </w:pPr>
            <w:r>
              <w:rPr>
                <w:rFonts w:eastAsia="宋体"/>
                <w:color w:val="auto"/>
                <w:sz w:val="21"/>
                <w:szCs w:val="21"/>
                <w:highlight w:val="none"/>
              </w:rPr>
              <w:t>6.6</w:t>
            </w:r>
          </w:p>
        </w:tc>
        <w:tc>
          <w:tcPr>
            <w:tcW w:w="688" w:type="dxa"/>
            <w:tcBorders>
              <w:top w:val="single" w:color="000000" w:sz="4" w:space="0"/>
              <w:left w:val="single" w:color="000000" w:sz="4" w:space="0"/>
              <w:bottom w:val="single" w:color="000000" w:sz="4" w:space="0"/>
              <w:right w:val="single" w:color="000000" w:sz="4" w:space="0"/>
            </w:tcBorders>
            <w:vAlign w:val="center"/>
          </w:tcPr>
          <w:p w14:paraId="77ABF8DE">
            <w:pPr>
              <w:pStyle w:val="98"/>
              <w:ind w:left="-105" w:right="-105"/>
              <w:rPr>
                <w:rFonts w:eastAsia="宋体"/>
                <w:color w:val="auto"/>
                <w:sz w:val="21"/>
                <w:szCs w:val="21"/>
                <w:highlight w:val="none"/>
              </w:rPr>
            </w:pPr>
            <w:r>
              <w:rPr>
                <w:rFonts w:eastAsia="宋体"/>
                <w:color w:val="auto"/>
                <w:sz w:val="21"/>
                <w:szCs w:val="21"/>
                <w:highlight w:val="none"/>
              </w:rPr>
              <w:t>6.6</w:t>
            </w:r>
          </w:p>
        </w:tc>
        <w:tc>
          <w:tcPr>
            <w:tcW w:w="687" w:type="dxa"/>
            <w:tcBorders>
              <w:top w:val="single" w:color="000000" w:sz="4" w:space="0"/>
              <w:left w:val="single" w:color="000000" w:sz="4" w:space="0"/>
              <w:bottom w:val="single" w:color="000000" w:sz="4" w:space="0"/>
              <w:right w:val="single" w:color="000000" w:sz="4" w:space="0"/>
            </w:tcBorders>
            <w:vAlign w:val="center"/>
          </w:tcPr>
          <w:p w14:paraId="45D2760C">
            <w:pPr>
              <w:pStyle w:val="98"/>
              <w:ind w:left="-105" w:right="-105"/>
              <w:rPr>
                <w:rFonts w:eastAsia="宋体"/>
                <w:color w:val="auto"/>
                <w:sz w:val="21"/>
                <w:szCs w:val="21"/>
                <w:highlight w:val="none"/>
              </w:rPr>
            </w:pPr>
            <w:r>
              <w:rPr>
                <w:rFonts w:eastAsia="宋体"/>
                <w:color w:val="auto"/>
                <w:sz w:val="21"/>
                <w:szCs w:val="21"/>
                <w:highlight w:val="none"/>
              </w:rPr>
              <w:t>9.2</w:t>
            </w:r>
          </w:p>
        </w:tc>
        <w:tc>
          <w:tcPr>
            <w:tcW w:w="687" w:type="dxa"/>
            <w:tcBorders>
              <w:top w:val="single" w:color="000000" w:sz="4" w:space="0"/>
              <w:left w:val="single" w:color="000000" w:sz="4" w:space="0"/>
              <w:bottom w:val="single" w:color="000000" w:sz="4" w:space="0"/>
              <w:right w:val="single" w:color="000000" w:sz="4" w:space="0"/>
            </w:tcBorders>
            <w:vAlign w:val="center"/>
          </w:tcPr>
          <w:p w14:paraId="1D819120">
            <w:pPr>
              <w:pStyle w:val="98"/>
              <w:ind w:left="-105" w:right="-105"/>
              <w:rPr>
                <w:rFonts w:eastAsia="宋体"/>
                <w:color w:val="auto"/>
                <w:sz w:val="21"/>
                <w:szCs w:val="21"/>
                <w:highlight w:val="none"/>
              </w:rPr>
            </w:pPr>
            <w:r>
              <w:rPr>
                <w:rFonts w:eastAsia="宋体"/>
                <w:color w:val="auto"/>
                <w:sz w:val="21"/>
                <w:szCs w:val="21"/>
                <w:highlight w:val="none"/>
              </w:rPr>
              <w:t>15.6</w:t>
            </w:r>
          </w:p>
        </w:tc>
        <w:tc>
          <w:tcPr>
            <w:tcW w:w="687" w:type="dxa"/>
            <w:tcBorders>
              <w:top w:val="single" w:color="000000" w:sz="4" w:space="0"/>
              <w:left w:val="single" w:color="000000" w:sz="4" w:space="0"/>
              <w:bottom w:val="single" w:color="000000" w:sz="4" w:space="0"/>
              <w:right w:val="single" w:color="000000" w:sz="4" w:space="0"/>
            </w:tcBorders>
            <w:vAlign w:val="center"/>
          </w:tcPr>
          <w:p w14:paraId="27B86C7B">
            <w:pPr>
              <w:pStyle w:val="98"/>
              <w:ind w:left="-105" w:right="-105"/>
              <w:rPr>
                <w:rFonts w:eastAsia="宋体"/>
                <w:color w:val="auto"/>
                <w:sz w:val="21"/>
                <w:szCs w:val="21"/>
                <w:highlight w:val="none"/>
              </w:rPr>
            </w:pPr>
            <w:r>
              <w:rPr>
                <w:rFonts w:eastAsia="宋体"/>
                <w:color w:val="auto"/>
                <w:sz w:val="21"/>
                <w:szCs w:val="21"/>
                <w:highlight w:val="none"/>
              </w:rPr>
              <w:t>13</w:t>
            </w:r>
          </w:p>
        </w:tc>
        <w:tc>
          <w:tcPr>
            <w:tcW w:w="687" w:type="dxa"/>
            <w:tcBorders>
              <w:top w:val="single" w:color="000000" w:sz="4" w:space="0"/>
              <w:left w:val="single" w:color="000000" w:sz="4" w:space="0"/>
              <w:bottom w:val="single" w:color="000000" w:sz="4" w:space="0"/>
              <w:right w:val="single" w:color="000000" w:sz="4" w:space="0"/>
            </w:tcBorders>
            <w:vAlign w:val="center"/>
          </w:tcPr>
          <w:p w14:paraId="7779349C">
            <w:pPr>
              <w:pStyle w:val="98"/>
              <w:ind w:left="-105" w:right="-105"/>
              <w:rPr>
                <w:rFonts w:eastAsia="宋体"/>
                <w:color w:val="auto"/>
                <w:sz w:val="21"/>
                <w:szCs w:val="21"/>
                <w:highlight w:val="none"/>
              </w:rPr>
            </w:pPr>
            <w:r>
              <w:rPr>
                <w:rFonts w:eastAsia="宋体"/>
                <w:color w:val="auto"/>
                <w:sz w:val="21"/>
                <w:szCs w:val="21"/>
                <w:highlight w:val="none"/>
              </w:rPr>
              <w:t>6.6</w:t>
            </w:r>
          </w:p>
        </w:tc>
        <w:tc>
          <w:tcPr>
            <w:tcW w:w="687" w:type="dxa"/>
            <w:tcBorders>
              <w:top w:val="single" w:color="000000" w:sz="4" w:space="0"/>
              <w:left w:val="single" w:color="000000" w:sz="4" w:space="0"/>
              <w:bottom w:val="single" w:color="000000" w:sz="4" w:space="0"/>
              <w:right w:val="single" w:color="000000" w:sz="4" w:space="0"/>
            </w:tcBorders>
            <w:vAlign w:val="center"/>
          </w:tcPr>
          <w:p w14:paraId="1FBDDEFE">
            <w:pPr>
              <w:pStyle w:val="98"/>
              <w:ind w:left="-105" w:right="-105"/>
              <w:rPr>
                <w:rFonts w:eastAsia="宋体"/>
                <w:color w:val="auto"/>
                <w:sz w:val="21"/>
                <w:szCs w:val="21"/>
                <w:highlight w:val="none"/>
              </w:rPr>
            </w:pPr>
            <w:r>
              <w:rPr>
                <w:rFonts w:eastAsia="宋体"/>
                <w:color w:val="auto"/>
                <w:sz w:val="21"/>
                <w:szCs w:val="21"/>
                <w:highlight w:val="none"/>
              </w:rPr>
              <w:t>3.8</w:t>
            </w:r>
          </w:p>
        </w:tc>
        <w:tc>
          <w:tcPr>
            <w:tcW w:w="687" w:type="dxa"/>
            <w:tcBorders>
              <w:top w:val="single" w:color="000000" w:sz="4" w:space="0"/>
              <w:left w:val="single" w:color="000000" w:sz="4" w:space="0"/>
              <w:bottom w:val="single" w:color="000000" w:sz="4" w:space="0"/>
              <w:right w:val="single" w:color="000000" w:sz="4" w:space="0"/>
            </w:tcBorders>
            <w:vAlign w:val="center"/>
          </w:tcPr>
          <w:p w14:paraId="12429E9E">
            <w:pPr>
              <w:pStyle w:val="98"/>
              <w:ind w:left="-105" w:right="-105"/>
              <w:rPr>
                <w:rFonts w:eastAsia="宋体"/>
                <w:color w:val="auto"/>
                <w:sz w:val="21"/>
                <w:szCs w:val="21"/>
                <w:highlight w:val="none"/>
              </w:rPr>
            </w:pPr>
            <w:r>
              <w:rPr>
                <w:rFonts w:eastAsia="宋体"/>
                <w:color w:val="auto"/>
                <w:sz w:val="21"/>
                <w:szCs w:val="21"/>
                <w:highlight w:val="none"/>
              </w:rPr>
              <w:t>2.2</w:t>
            </w:r>
          </w:p>
        </w:tc>
        <w:tc>
          <w:tcPr>
            <w:tcW w:w="684" w:type="dxa"/>
            <w:tcBorders>
              <w:top w:val="single" w:color="000000" w:sz="4" w:space="0"/>
              <w:left w:val="single" w:color="000000" w:sz="4" w:space="0"/>
              <w:bottom w:val="single" w:color="000000" w:sz="4" w:space="0"/>
              <w:right w:val="single" w:color="000000" w:sz="4" w:space="0"/>
            </w:tcBorders>
            <w:vAlign w:val="center"/>
          </w:tcPr>
          <w:p w14:paraId="19AC552F">
            <w:pPr>
              <w:pStyle w:val="98"/>
              <w:ind w:left="-105" w:right="-105"/>
              <w:rPr>
                <w:rFonts w:eastAsia="宋体"/>
                <w:color w:val="auto"/>
                <w:sz w:val="21"/>
                <w:szCs w:val="21"/>
                <w:highlight w:val="none"/>
              </w:rPr>
            </w:pPr>
            <w:r>
              <w:rPr>
                <w:rFonts w:eastAsia="宋体"/>
                <w:color w:val="auto"/>
                <w:sz w:val="21"/>
                <w:szCs w:val="21"/>
                <w:highlight w:val="none"/>
              </w:rPr>
              <w:t>2.4</w:t>
            </w:r>
          </w:p>
        </w:tc>
        <w:tc>
          <w:tcPr>
            <w:tcW w:w="714" w:type="dxa"/>
            <w:tcBorders>
              <w:top w:val="single" w:color="000000" w:sz="4" w:space="0"/>
              <w:left w:val="single" w:color="000000" w:sz="4" w:space="0"/>
              <w:bottom w:val="single" w:color="000000" w:sz="4" w:space="0"/>
              <w:right w:val="single" w:color="000000" w:sz="4" w:space="0"/>
            </w:tcBorders>
            <w:vAlign w:val="center"/>
          </w:tcPr>
          <w:p w14:paraId="0B93EA4B">
            <w:pPr>
              <w:pStyle w:val="98"/>
              <w:ind w:left="-105" w:right="-105"/>
              <w:rPr>
                <w:rFonts w:eastAsia="宋体"/>
                <w:color w:val="auto"/>
                <w:sz w:val="21"/>
                <w:szCs w:val="21"/>
                <w:highlight w:val="none"/>
              </w:rPr>
            </w:pPr>
            <w:r>
              <w:rPr>
                <w:rFonts w:eastAsia="宋体"/>
                <w:color w:val="auto"/>
                <w:sz w:val="21"/>
                <w:szCs w:val="21"/>
                <w:highlight w:val="none"/>
              </w:rPr>
              <w:t>0.6</w:t>
            </w:r>
          </w:p>
        </w:tc>
        <w:tc>
          <w:tcPr>
            <w:tcW w:w="686" w:type="dxa"/>
            <w:tcBorders>
              <w:top w:val="single" w:color="000000" w:sz="4" w:space="0"/>
              <w:left w:val="single" w:color="000000" w:sz="4" w:space="0"/>
              <w:bottom w:val="single" w:color="000000" w:sz="4" w:space="0"/>
              <w:right w:val="single" w:color="000000" w:sz="4" w:space="0"/>
            </w:tcBorders>
            <w:vAlign w:val="center"/>
          </w:tcPr>
          <w:p w14:paraId="3598FE6C">
            <w:pPr>
              <w:pStyle w:val="98"/>
              <w:ind w:left="-105" w:right="-105"/>
              <w:rPr>
                <w:rFonts w:eastAsia="宋体"/>
                <w:color w:val="auto"/>
                <w:sz w:val="21"/>
                <w:szCs w:val="21"/>
                <w:highlight w:val="none"/>
              </w:rPr>
            </w:pPr>
            <w:r>
              <w:rPr>
                <w:rFonts w:eastAsia="宋体"/>
                <w:color w:val="auto"/>
                <w:sz w:val="21"/>
                <w:szCs w:val="21"/>
                <w:highlight w:val="none"/>
              </w:rPr>
              <w:t>2.4</w:t>
            </w:r>
          </w:p>
        </w:tc>
        <w:tc>
          <w:tcPr>
            <w:tcW w:w="747" w:type="dxa"/>
            <w:tcBorders>
              <w:top w:val="single" w:color="000000" w:sz="4" w:space="0"/>
              <w:left w:val="single" w:color="000000" w:sz="4" w:space="0"/>
              <w:bottom w:val="single" w:color="000000" w:sz="4" w:space="0"/>
              <w:right w:val="single" w:color="000000" w:sz="4" w:space="0"/>
            </w:tcBorders>
            <w:vAlign w:val="center"/>
          </w:tcPr>
          <w:p w14:paraId="0EC4D548">
            <w:pPr>
              <w:pStyle w:val="98"/>
              <w:ind w:left="-105" w:right="-105"/>
              <w:rPr>
                <w:rFonts w:eastAsia="宋体"/>
                <w:color w:val="auto"/>
                <w:sz w:val="21"/>
                <w:szCs w:val="21"/>
                <w:highlight w:val="none"/>
              </w:rPr>
            </w:pPr>
            <w:r>
              <w:rPr>
                <w:rFonts w:eastAsia="宋体"/>
                <w:color w:val="auto"/>
                <w:sz w:val="21"/>
                <w:szCs w:val="21"/>
                <w:highlight w:val="none"/>
              </w:rPr>
              <w:t>5.4</w:t>
            </w:r>
          </w:p>
        </w:tc>
        <w:tc>
          <w:tcPr>
            <w:tcW w:w="686" w:type="dxa"/>
            <w:tcBorders>
              <w:top w:val="single" w:color="000000" w:sz="4" w:space="0"/>
              <w:left w:val="single" w:color="000000" w:sz="4" w:space="0"/>
              <w:bottom w:val="single" w:color="000000" w:sz="4" w:space="0"/>
              <w:right w:val="single" w:color="000000" w:sz="4" w:space="0"/>
            </w:tcBorders>
            <w:vAlign w:val="center"/>
          </w:tcPr>
          <w:p w14:paraId="490A73AD">
            <w:pPr>
              <w:pStyle w:val="98"/>
              <w:ind w:left="-105" w:right="-105"/>
              <w:rPr>
                <w:rFonts w:eastAsia="宋体"/>
                <w:color w:val="auto"/>
                <w:sz w:val="21"/>
                <w:szCs w:val="21"/>
                <w:highlight w:val="none"/>
              </w:rPr>
            </w:pPr>
            <w:r>
              <w:rPr>
                <w:rFonts w:eastAsia="宋体"/>
                <w:color w:val="auto"/>
                <w:sz w:val="21"/>
                <w:szCs w:val="21"/>
                <w:highlight w:val="none"/>
              </w:rPr>
              <w:t>2.8</w:t>
            </w:r>
          </w:p>
        </w:tc>
        <w:tc>
          <w:tcPr>
            <w:tcW w:w="700" w:type="dxa"/>
            <w:tcBorders>
              <w:top w:val="single" w:color="000000" w:sz="4" w:space="0"/>
              <w:left w:val="single" w:color="000000" w:sz="4" w:space="0"/>
              <w:bottom w:val="single" w:color="000000" w:sz="4" w:space="0"/>
              <w:right w:val="single" w:color="000000" w:sz="4" w:space="0"/>
            </w:tcBorders>
            <w:vAlign w:val="center"/>
          </w:tcPr>
          <w:p w14:paraId="248A92FD">
            <w:pPr>
              <w:pStyle w:val="98"/>
              <w:ind w:left="-105" w:right="-105"/>
              <w:rPr>
                <w:rFonts w:eastAsia="宋体"/>
                <w:color w:val="auto"/>
                <w:sz w:val="21"/>
                <w:szCs w:val="21"/>
                <w:highlight w:val="none"/>
              </w:rPr>
            </w:pPr>
            <w:r>
              <w:rPr>
                <w:rFonts w:eastAsia="宋体"/>
                <w:color w:val="auto"/>
                <w:sz w:val="21"/>
                <w:szCs w:val="21"/>
                <w:highlight w:val="none"/>
              </w:rPr>
              <w:t>3.2</w:t>
            </w:r>
          </w:p>
        </w:tc>
        <w:tc>
          <w:tcPr>
            <w:tcW w:w="686" w:type="dxa"/>
            <w:tcBorders>
              <w:top w:val="single" w:color="000000" w:sz="4" w:space="0"/>
              <w:left w:val="single" w:color="000000" w:sz="4" w:space="0"/>
              <w:bottom w:val="single" w:color="000000" w:sz="4" w:space="0"/>
              <w:right w:val="single" w:color="000000" w:sz="4" w:space="0"/>
            </w:tcBorders>
            <w:vAlign w:val="center"/>
          </w:tcPr>
          <w:p w14:paraId="3FC5B602">
            <w:pPr>
              <w:pStyle w:val="98"/>
              <w:ind w:left="-105" w:right="-105"/>
              <w:rPr>
                <w:rFonts w:eastAsia="宋体"/>
                <w:color w:val="auto"/>
                <w:sz w:val="21"/>
                <w:szCs w:val="21"/>
                <w:highlight w:val="none"/>
              </w:rPr>
            </w:pPr>
            <w:r>
              <w:rPr>
                <w:rFonts w:eastAsia="宋体"/>
                <w:color w:val="auto"/>
                <w:sz w:val="21"/>
                <w:szCs w:val="21"/>
                <w:highlight w:val="none"/>
              </w:rPr>
              <w:t>12.4</w:t>
            </w:r>
          </w:p>
        </w:tc>
        <w:tc>
          <w:tcPr>
            <w:tcW w:w="693" w:type="dxa"/>
            <w:tcBorders>
              <w:top w:val="single" w:color="000000" w:sz="4" w:space="0"/>
              <w:left w:val="single" w:color="000000" w:sz="4" w:space="0"/>
              <w:bottom w:val="single" w:color="000000" w:sz="4" w:space="0"/>
              <w:right w:val="nil"/>
            </w:tcBorders>
            <w:vAlign w:val="center"/>
          </w:tcPr>
          <w:p w14:paraId="189B94D3">
            <w:pPr>
              <w:pStyle w:val="98"/>
              <w:ind w:left="-105" w:right="-105"/>
              <w:rPr>
                <w:rFonts w:eastAsia="宋体"/>
                <w:color w:val="auto"/>
                <w:sz w:val="21"/>
                <w:szCs w:val="21"/>
                <w:highlight w:val="none"/>
              </w:rPr>
            </w:pPr>
            <w:r>
              <w:rPr>
                <w:rFonts w:eastAsia="宋体"/>
                <w:color w:val="auto"/>
                <w:sz w:val="21"/>
                <w:szCs w:val="21"/>
                <w:highlight w:val="none"/>
              </w:rPr>
              <w:t>/</w:t>
            </w:r>
          </w:p>
        </w:tc>
      </w:tr>
      <w:tr w14:paraId="6156F2FC">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108" w:type="dxa"/>
            <w:bottom w:w="0" w:type="dxa"/>
            <w:right w:w="108" w:type="dxa"/>
          </w:tblCellMar>
        </w:tblPrEx>
        <w:trPr>
          <w:gridAfter w:val="1"/>
          <w:wAfter w:w="21" w:type="dxa"/>
          <w:trHeight w:val="232" w:hRule="atLeast"/>
          <w:jc w:val="center"/>
        </w:trPr>
        <w:tc>
          <w:tcPr>
            <w:tcW w:w="688" w:type="dxa"/>
            <w:vMerge w:val="continue"/>
            <w:tcBorders>
              <w:top w:val="nil"/>
              <w:left w:val="nil"/>
              <w:bottom w:val="single" w:color="000000" w:sz="4" w:space="0"/>
              <w:right w:val="single" w:color="000000" w:sz="4" w:space="0"/>
            </w:tcBorders>
            <w:vAlign w:val="center"/>
          </w:tcPr>
          <w:p w14:paraId="205F9960">
            <w:pPr>
              <w:ind w:left="-105" w:right="-105"/>
              <w:jc w:val="center"/>
              <w:rPr>
                <w:rFonts w:ascii="Times New Roman" w:hAnsi="Times New Roman"/>
                <w:color w:val="auto"/>
                <w:sz w:val="21"/>
                <w:szCs w:val="21"/>
                <w:highlight w:val="none"/>
              </w:rPr>
            </w:pPr>
          </w:p>
        </w:tc>
        <w:tc>
          <w:tcPr>
            <w:tcW w:w="687" w:type="dxa"/>
            <w:tcBorders>
              <w:top w:val="single" w:color="000000" w:sz="4" w:space="0"/>
              <w:left w:val="single" w:color="000000" w:sz="4" w:space="0"/>
              <w:bottom w:val="single" w:color="000000" w:sz="4" w:space="0"/>
              <w:right w:val="single" w:color="000000" w:sz="4" w:space="0"/>
            </w:tcBorders>
            <w:vAlign w:val="center"/>
          </w:tcPr>
          <w:p w14:paraId="143076D6">
            <w:pPr>
              <w:pStyle w:val="98"/>
              <w:ind w:left="-105" w:right="-105"/>
              <w:rPr>
                <w:rFonts w:eastAsia="宋体"/>
                <w:color w:val="auto"/>
                <w:sz w:val="21"/>
                <w:szCs w:val="21"/>
                <w:highlight w:val="none"/>
              </w:rPr>
            </w:pPr>
            <w:r>
              <w:rPr>
                <w:rFonts w:eastAsia="宋体"/>
                <w:color w:val="auto"/>
                <w:sz w:val="21"/>
                <w:szCs w:val="21"/>
                <w:highlight w:val="none"/>
              </w:rPr>
              <w:t>风速</w:t>
            </w:r>
          </w:p>
        </w:tc>
        <w:tc>
          <w:tcPr>
            <w:tcW w:w="687" w:type="dxa"/>
            <w:tcBorders>
              <w:top w:val="single" w:color="000000" w:sz="4" w:space="0"/>
              <w:left w:val="single" w:color="000000" w:sz="4" w:space="0"/>
              <w:bottom w:val="single" w:color="000000" w:sz="4" w:space="0"/>
              <w:right w:val="single" w:color="000000" w:sz="4" w:space="0"/>
            </w:tcBorders>
            <w:vAlign w:val="center"/>
          </w:tcPr>
          <w:p w14:paraId="2508F6F2">
            <w:pPr>
              <w:pStyle w:val="98"/>
              <w:ind w:left="-105" w:right="-105"/>
              <w:rPr>
                <w:rFonts w:eastAsia="宋体"/>
                <w:color w:val="auto"/>
                <w:sz w:val="21"/>
                <w:szCs w:val="21"/>
                <w:highlight w:val="none"/>
              </w:rPr>
            </w:pPr>
            <w:r>
              <w:rPr>
                <w:rFonts w:eastAsia="宋体"/>
                <w:color w:val="auto"/>
                <w:sz w:val="21"/>
                <w:szCs w:val="21"/>
                <w:highlight w:val="none"/>
              </w:rPr>
              <w:t>8</w:t>
            </w:r>
          </w:p>
        </w:tc>
        <w:tc>
          <w:tcPr>
            <w:tcW w:w="687" w:type="dxa"/>
            <w:tcBorders>
              <w:top w:val="single" w:color="000000" w:sz="4" w:space="0"/>
              <w:left w:val="single" w:color="000000" w:sz="4" w:space="0"/>
              <w:bottom w:val="single" w:color="000000" w:sz="4" w:space="0"/>
              <w:right w:val="single" w:color="000000" w:sz="4" w:space="0"/>
            </w:tcBorders>
            <w:vAlign w:val="center"/>
          </w:tcPr>
          <w:p w14:paraId="379DB3F3">
            <w:pPr>
              <w:pStyle w:val="98"/>
              <w:ind w:left="-105" w:right="-105"/>
              <w:rPr>
                <w:rFonts w:eastAsia="宋体"/>
                <w:color w:val="auto"/>
                <w:sz w:val="21"/>
                <w:szCs w:val="21"/>
                <w:highlight w:val="none"/>
              </w:rPr>
            </w:pPr>
            <w:r>
              <w:rPr>
                <w:rFonts w:eastAsia="宋体"/>
                <w:color w:val="auto"/>
                <w:sz w:val="21"/>
                <w:szCs w:val="21"/>
                <w:highlight w:val="none"/>
              </w:rPr>
              <w:t>3.1</w:t>
            </w:r>
          </w:p>
        </w:tc>
        <w:tc>
          <w:tcPr>
            <w:tcW w:w="687" w:type="dxa"/>
            <w:tcBorders>
              <w:top w:val="single" w:color="000000" w:sz="4" w:space="0"/>
              <w:left w:val="single" w:color="000000" w:sz="4" w:space="0"/>
              <w:bottom w:val="single" w:color="000000" w:sz="4" w:space="0"/>
              <w:right w:val="single" w:color="000000" w:sz="4" w:space="0"/>
            </w:tcBorders>
            <w:vAlign w:val="center"/>
          </w:tcPr>
          <w:p w14:paraId="3A2B8C5B">
            <w:pPr>
              <w:pStyle w:val="98"/>
              <w:ind w:left="-105" w:right="-105"/>
              <w:rPr>
                <w:rFonts w:eastAsia="宋体"/>
                <w:color w:val="auto"/>
                <w:sz w:val="21"/>
                <w:szCs w:val="21"/>
                <w:highlight w:val="none"/>
              </w:rPr>
            </w:pPr>
            <w:r>
              <w:rPr>
                <w:rFonts w:eastAsia="宋体"/>
                <w:color w:val="auto"/>
                <w:sz w:val="21"/>
                <w:szCs w:val="21"/>
                <w:highlight w:val="none"/>
              </w:rPr>
              <w:t>2.7</w:t>
            </w:r>
          </w:p>
        </w:tc>
        <w:tc>
          <w:tcPr>
            <w:tcW w:w="688" w:type="dxa"/>
            <w:tcBorders>
              <w:top w:val="single" w:color="000000" w:sz="4" w:space="0"/>
              <w:left w:val="single" w:color="000000" w:sz="4" w:space="0"/>
              <w:bottom w:val="single" w:color="000000" w:sz="4" w:space="0"/>
              <w:right w:val="single" w:color="000000" w:sz="4" w:space="0"/>
            </w:tcBorders>
            <w:vAlign w:val="center"/>
          </w:tcPr>
          <w:p w14:paraId="13AB75C3">
            <w:pPr>
              <w:pStyle w:val="98"/>
              <w:ind w:left="-105" w:right="-105"/>
              <w:rPr>
                <w:rFonts w:eastAsia="宋体"/>
                <w:color w:val="auto"/>
                <w:sz w:val="21"/>
                <w:szCs w:val="21"/>
                <w:highlight w:val="none"/>
              </w:rPr>
            </w:pPr>
            <w:r>
              <w:rPr>
                <w:rFonts w:eastAsia="宋体"/>
                <w:color w:val="auto"/>
                <w:sz w:val="21"/>
                <w:szCs w:val="21"/>
                <w:highlight w:val="none"/>
              </w:rPr>
              <w:t>2.9</w:t>
            </w:r>
          </w:p>
        </w:tc>
        <w:tc>
          <w:tcPr>
            <w:tcW w:w="687" w:type="dxa"/>
            <w:tcBorders>
              <w:top w:val="single" w:color="000000" w:sz="4" w:space="0"/>
              <w:left w:val="single" w:color="000000" w:sz="4" w:space="0"/>
              <w:bottom w:val="single" w:color="000000" w:sz="4" w:space="0"/>
              <w:right w:val="single" w:color="000000" w:sz="4" w:space="0"/>
            </w:tcBorders>
            <w:vAlign w:val="center"/>
          </w:tcPr>
          <w:p w14:paraId="7C445A44">
            <w:pPr>
              <w:pStyle w:val="98"/>
              <w:ind w:left="-105" w:right="-105"/>
              <w:rPr>
                <w:rFonts w:eastAsia="宋体"/>
                <w:color w:val="auto"/>
                <w:sz w:val="21"/>
                <w:szCs w:val="21"/>
                <w:highlight w:val="none"/>
              </w:rPr>
            </w:pPr>
            <w:r>
              <w:rPr>
                <w:rFonts w:eastAsia="宋体"/>
                <w:color w:val="auto"/>
                <w:sz w:val="21"/>
                <w:szCs w:val="21"/>
                <w:highlight w:val="none"/>
              </w:rPr>
              <w:t>3</w:t>
            </w:r>
          </w:p>
        </w:tc>
        <w:tc>
          <w:tcPr>
            <w:tcW w:w="687" w:type="dxa"/>
            <w:tcBorders>
              <w:top w:val="single" w:color="000000" w:sz="4" w:space="0"/>
              <w:left w:val="single" w:color="000000" w:sz="4" w:space="0"/>
              <w:bottom w:val="single" w:color="000000" w:sz="4" w:space="0"/>
              <w:right w:val="single" w:color="000000" w:sz="4" w:space="0"/>
            </w:tcBorders>
            <w:vAlign w:val="center"/>
          </w:tcPr>
          <w:p w14:paraId="2F71CE6A">
            <w:pPr>
              <w:pStyle w:val="98"/>
              <w:ind w:left="-105" w:right="-105"/>
              <w:rPr>
                <w:rFonts w:eastAsia="宋体"/>
                <w:color w:val="auto"/>
                <w:sz w:val="21"/>
                <w:szCs w:val="21"/>
                <w:highlight w:val="none"/>
              </w:rPr>
            </w:pPr>
            <w:r>
              <w:rPr>
                <w:rFonts w:eastAsia="宋体"/>
                <w:color w:val="auto"/>
                <w:sz w:val="21"/>
                <w:szCs w:val="21"/>
                <w:highlight w:val="none"/>
              </w:rPr>
              <w:t>3</w:t>
            </w:r>
          </w:p>
        </w:tc>
        <w:tc>
          <w:tcPr>
            <w:tcW w:w="687" w:type="dxa"/>
            <w:tcBorders>
              <w:top w:val="single" w:color="000000" w:sz="4" w:space="0"/>
              <w:left w:val="single" w:color="000000" w:sz="4" w:space="0"/>
              <w:bottom w:val="single" w:color="000000" w:sz="4" w:space="0"/>
              <w:right w:val="single" w:color="000000" w:sz="4" w:space="0"/>
            </w:tcBorders>
            <w:vAlign w:val="center"/>
          </w:tcPr>
          <w:p w14:paraId="15CE5480">
            <w:pPr>
              <w:pStyle w:val="98"/>
              <w:ind w:left="-105" w:right="-105"/>
              <w:rPr>
                <w:rFonts w:eastAsia="宋体"/>
                <w:color w:val="auto"/>
                <w:sz w:val="21"/>
                <w:szCs w:val="21"/>
                <w:highlight w:val="none"/>
              </w:rPr>
            </w:pPr>
            <w:r>
              <w:rPr>
                <w:rFonts w:eastAsia="宋体"/>
                <w:color w:val="auto"/>
                <w:sz w:val="21"/>
                <w:szCs w:val="21"/>
                <w:highlight w:val="none"/>
              </w:rPr>
              <w:t>2.7</w:t>
            </w:r>
          </w:p>
        </w:tc>
        <w:tc>
          <w:tcPr>
            <w:tcW w:w="687" w:type="dxa"/>
            <w:tcBorders>
              <w:top w:val="single" w:color="000000" w:sz="4" w:space="0"/>
              <w:left w:val="single" w:color="000000" w:sz="4" w:space="0"/>
              <w:bottom w:val="single" w:color="000000" w:sz="4" w:space="0"/>
              <w:right w:val="single" w:color="000000" w:sz="4" w:space="0"/>
            </w:tcBorders>
            <w:vAlign w:val="center"/>
          </w:tcPr>
          <w:p w14:paraId="22E4092C">
            <w:pPr>
              <w:pStyle w:val="98"/>
              <w:ind w:left="-105" w:right="-105"/>
              <w:rPr>
                <w:rFonts w:eastAsia="宋体"/>
                <w:color w:val="auto"/>
                <w:sz w:val="21"/>
                <w:szCs w:val="21"/>
                <w:highlight w:val="none"/>
              </w:rPr>
            </w:pPr>
            <w:r>
              <w:rPr>
                <w:rFonts w:eastAsia="宋体"/>
                <w:color w:val="auto"/>
                <w:sz w:val="21"/>
                <w:szCs w:val="21"/>
                <w:highlight w:val="none"/>
              </w:rPr>
              <w:t>2.1</w:t>
            </w:r>
          </w:p>
        </w:tc>
        <w:tc>
          <w:tcPr>
            <w:tcW w:w="687" w:type="dxa"/>
            <w:tcBorders>
              <w:top w:val="single" w:color="000000" w:sz="4" w:space="0"/>
              <w:left w:val="single" w:color="000000" w:sz="4" w:space="0"/>
              <w:bottom w:val="single" w:color="000000" w:sz="4" w:space="0"/>
              <w:right w:val="single" w:color="000000" w:sz="4" w:space="0"/>
            </w:tcBorders>
            <w:vAlign w:val="center"/>
          </w:tcPr>
          <w:p w14:paraId="7BB11311">
            <w:pPr>
              <w:pStyle w:val="98"/>
              <w:ind w:left="-105" w:right="-105"/>
              <w:rPr>
                <w:rFonts w:eastAsia="宋体"/>
                <w:color w:val="auto"/>
                <w:sz w:val="21"/>
                <w:szCs w:val="21"/>
                <w:highlight w:val="none"/>
              </w:rPr>
            </w:pPr>
            <w:r>
              <w:rPr>
                <w:rFonts w:eastAsia="宋体"/>
                <w:color w:val="auto"/>
                <w:sz w:val="21"/>
                <w:szCs w:val="21"/>
                <w:highlight w:val="none"/>
              </w:rPr>
              <w:t>2.3</w:t>
            </w:r>
          </w:p>
        </w:tc>
        <w:tc>
          <w:tcPr>
            <w:tcW w:w="687" w:type="dxa"/>
            <w:tcBorders>
              <w:top w:val="single" w:color="000000" w:sz="4" w:space="0"/>
              <w:left w:val="single" w:color="000000" w:sz="4" w:space="0"/>
              <w:bottom w:val="single" w:color="000000" w:sz="4" w:space="0"/>
              <w:right w:val="single" w:color="000000" w:sz="4" w:space="0"/>
            </w:tcBorders>
            <w:vAlign w:val="center"/>
          </w:tcPr>
          <w:p w14:paraId="7ECEC03D">
            <w:pPr>
              <w:pStyle w:val="98"/>
              <w:ind w:left="-105" w:right="-105"/>
              <w:rPr>
                <w:rFonts w:eastAsia="宋体"/>
                <w:color w:val="auto"/>
                <w:sz w:val="21"/>
                <w:szCs w:val="21"/>
                <w:highlight w:val="none"/>
              </w:rPr>
            </w:pPr>
            <w:r>
              <w:rPr>
                <w:rFonts w:eastAsia="宋体"/>
                <w:color w:val="auto"/>
                <w:sz w:val="21"/>
                <w:szCs w:val="21"/>
                <w:highlight w:val="none"/>
              </w:rPr>
              <w:t>2.3</w:t>
            </w:r>
          </w:p>
        </w:tc>
        <w:tc>
          <w:tcPr>
            <w:tcW w:w="684" w:type="dxa"/>
            <w:tcBorders>
              <w:top w:val="single" w:color="000000" w:sz="4" w:space="0"/>
              <w:left w:val="single" w:color="000000" w:sz="4" w:space="0"/>
              <w:bottom w:val="single" w:color="000000" w:sz="4" w:space="0"/>
              <w:right w:val="single" w:color="000000" w:sz="4" w:space="0"/>
            </w:tcBorders>
            <w:vAlign w:val="center"/>
          </w:tcPr>
          <w:p w14:paraId="691E019B">
            <w:pPr>
              <w:pStyle w:val="98"/>
              <w:ind w:left="-105" w:right="-105"/>
              <w:rPr>
                <w:rFonts w:eastAsia="宋体"/>
                <w:color w:val="auto"/>
                <w:sz w:val="21"/>
                <w:szCs w:val="21"/>
                <w:highlight w:val="none"/>
              </w:rPr>
            </w:pPr>
            <w:r>
              <w:rPr>
                <w:rFonts w:eastAsia="宋体"/>
                <w:color w:val="auto"/>
                <w:sz w:val="21"/>
                <w:szCs w:val="21"/>
                <w:highlight w:val="none"/>
              </w:rPr>
              <w:t>2.6</w:t>
            </w:r>
          </w:p>
        </w:tc>
        <w:tc>
          <w:tcPr>
            <w:tcW w:w="714" w:type="dxa"/>
            <w:tcBorders>
              <w:top w:val="single" w:color="000000" w:sz="4" w:space="0"/>
              <w:left w:val="single" w:color="000000" w:sz="4" w:space="0"/>
              <w:bottom w:val="single" w:color="000000" w:sz="4" w:space="0"/>
              <w:right w:val="single" w:color="000000" w:sz="4" w:space="0"/>
            </w:tcBorders>
            <w:vAlign w:val="center"/>
          </w:tcPr>
          <w:p w14:paraId="53A10B2B">
            <w:pPr>
              <w:pStyle w:val="98"/>
              <w:ind w:left="-105" w:right="-105"/>
              <w:rPr>
                <w:rFonts w:eastAsia="宋体"/>
                <w:color w:val="auto"/>
                <w:sz w:val="21"/>
                <w:szCs w:val="21"/>
                <w:highlight w:val="none"/>
              </w:rPr>
            </w:pPr>
            <w:r>
              <w:rPr>
                <w:rFonts w:eastAsia="宋体"/>
                <w:color w:val="auto"/>
                <w:sz w:val="21"/>
                <w:szCs w:val="21"/>
                <w:highlight w:val="none"/>
              </w:rPr>
              <w:t>1</w:t>
            </w:r>
          </w:p>
        </w:tc>
        <w:tc>
          <w:tcPr>
            <w:tcW w:w="686" w:type="dxa"/>
            <w:tcBorders>
              <w:top w:val="single" w:color="000000" w:sz="4" w:space="0"/>
              <w:left w:val="single" w:color="000000" w:sz="4" w:space="0"/>
              <w:bottom w:val="single" w:color="000000" w:sz="4" w:space="0"/>
              <w:right w:val="single" w:color="000000" w:sz="4" w:space="0"/>
            </w:tcBorders>
            <w:vAlign w:val="center"/>
          </w:tcPr>
          <w:p w14:paraId="74EB2036">
            <w:pPr>
              <w:pStyle w:val="98"/>
              <w:ind w:left="-105" w:right="-105"/>
              <w:rPr>
                <w:rFonts w:eastAsia="宋体"/>
                <w:color w:val="auto"/>
                <w:sz w:val="21"/>
                <w:szCs w:val="21"/>
                <w:highlight w:val="none"/>
              </w:rPr>
            </w:pPr>
            <w:r>
              <w:rPr>
                <w:rFonts w:eastAsia="宋体"/>
                <w:color w:val="auto"/>
                <w:sz w:val="21"/>
                <w:szCs w:val="21"/>
                <w:highlight w:val="none"/>
              </w:rPr>
              <w:t>2.9</w:t>
            </w:r>
          </w:p>
        </w:tc>
        <w:tc>
          <w:tcPr>
            <w:tcW w:w="747" w:type="dxa"/>
            <w:tcBorders>
              <w:top w:val="single" w:color="000000" w:sz="4" w:space="0"/>
              <w:left w:val="single" w:color="000000" w:sz="4" w:space="0"/>
              <w:bottom w:val="single" w:color="000000" w:sz="4" w:space="0"/>
              <w:right w:val="single" w:color="000000" w:sz="4" w:space="0"/>
            </w:tcBorders>
            <w:vAlign w:val="center"/>
          </w:tcPr>
          <w:p w14:paraId="4BCE440A">
            <w:pPr>
              <w:pStyle w:val="98"/>
              <w:ind w:left="-105" w:right="-105"/>
              <w:rPr>
                <w:rFonts w:eastAsia="宋体"/>
                <w:color w:val="auto"/>
                <w:sz w:val="21"/>
                <w:szCs w:val="21"/>
                <w:highlight w:val="none"/>
              </w:rPr>
            </w:pPr>
            <w:r>
              <w:rPr>
                <w:rFonts w:eastAsia="宋体"/>
                <w:color w:val="auto"/>
                <w:sz w:val="21"/>
                <w:szCs w:val="21"/>
                <w:highlight w:val="none"/>
              </w:rPr>
              <w:t>5.1</w:t>
            </w:r>
          </w:p>
        </w:tc>
        <w:tc>
          <w:tcPr>
            <w:tcW w:w="686" w:type="dxa"/>
            <w:tcBorders>
              <w:top w:val="single" w:color="000000" w:sz="4" w:space="0"/>
              <w:left w:val="single" w:color="000000" w:sz="4" w:space="0"/>
              <w:bottom w:val="single" w:color="000000" w:sz="4" w:space="0"/>
              <w:right w:val="single" w:color="000000" w:sz="4" w:space="0"/>
            </w:tcBorders>
            <w:vAlign w:val="center"/>
          </w:tcPr>
          <w:p w14:paraId="69912FD5">
            <w:pPr>
              <w:pStyle w:val="98"/>
              <w:ind w:left="-105" w:right="-105"/>
              <w:rPr>
                <w:rFonts w:eastAsia="宋体"/>
                <w:color w:val="auto"/>
                <w:sz w:val="21"/>
                <w:szCs w:val="21"/>
                <w:highlight w:val="none"/>
              </w:rPr>
            </w:pPr>
            <w:r>
              <w:rPr>
                <w:rFonts w:eastAsia="宋体"/>
                <w:color w:val="auto"/>
                <w:sz w:val="21"/>
                <w:szCs w:val="21"/>
                <w:highlight w:val="none"/>
              </w:rPr>
              <w:t>2.9</w:t>
            </w:r>
          </w:p>
        </w:tc>
        <w:tc>
          <w:tcPr>
            <w:tcW w:w="700" w:type="dxa"/>
            <w:tcBorders>
              <w:top w:val="single" w:color="000000" w:sz="4" w:space="0"/>
              <w:left w:val="single" w:color="000000" w:sz="4" w:space="0"/>
              <w:bottom w:val="single" w:color="000000" w:sz="4" w:space="0"/>
              <w:right w:val="single" w:color="000000" w:sz="4" w:space="0"/>
            </w:tcBorders>
            <w:vAlign w:val="center"/>
          </w:tcPr>
          <w:p w14:paraId="06CAD89D">
            <w:pPr>
              <w:pStyle w:val="98"/>
              <w:ind w:left="-105" w:right="-105"/>
              <w:rPr>
                <w:rFonts w:eastAsia="宋体"/>
                <w:color w:val="auto"/>
                <w:sz w:val="21"/>
                <w:szCs w:val="21"/>
                <w:highlight w:val="none"/>
              </w:rPr>
            </w:pPr>
            <w:r>
              <w:rPr>
                <w:rFonts w:eastAsia="宋体"/>
                <w:color w:val="auto"/>
                <w:sz w:val="21"/>
                <w:szCs w:val="21"/>
                <w:highlight w:val="none"/>
              </w:rPr>
              <w:t>2</w:t>
            </w:r>
          </w:p>
        </w:tc>
        <w:tc>
          <w:tcPr>
            <w:tcW w:w="686" w:type="dxa"/>
            <w:tcBorders>
              <w:top w:val="single" w:color="000000" w:sz="4" w:space="0"/>
              <w:left w:val="single" w:color="000000" w:sz="4" w:space="0"/>
              <w:bottom w:val="single" w:color="000000" w:sz="4" w:space="0"/>
              <w:right w:val="single" w:color="000000" w:sz="4" w:space="0"/>
            </w:tcBorders>
            <w:vAlign w:val="center"/>
          </w:tcPr>
          <w:p w14:paraId="25A75812">
            <w:pPr>
              <w:pStyle w:val="98"/>
              <w:ind w:left="-105" w:right="-105"/>
              <w:rPr>
                <w:rFonts w:eastAsia="宋体"/>
                <w:color w:val="auto"/>
                <w:sz w:val="21"/>
                <w:szCs w:val="21"/>
                <w:highlight w:val="none"/>
              </w:rPr>
            </w:pPr>
            <w:r>
              <w:rPr>
                <w:rFonts w:eastAsia="宋体"/>
                <w:color w:val="auto"/>
                <w:sz w:val="21"/>
                <w:szCs w:val="21"/>
                <w:highlight w:val="none"/>
              </w:rPr>
              <w:t>/</w:t>
            </w:r>
          </w:p>
        </w:tc>
        <w:tc>
          <w:tcPr>
            <w:tcW w:w="693" w:type="dxa"/>
            <w:tcBorders>
              <w:top w:val="single" w:color="000000" w:sz="4" w:space="0"/>
              <w:left w:val="single" w:color="000000" w:sz="4" w:space="0"/>
              <w:bottom w:val="single" w:color="000000" w:sz="4" w:space="0"/>
              <w:right w:val="nil"/>
            </w:tcBorders>
            <w:vAlign w:val="center"/>
          </w:tcPr>
          <w:p w14:paraId="65C7F927">
            <w:pPr>
              <w:pStyle w:val="98"/>
              <w:ind w:left="-105" w:right="-105"/>
              <w:rPr>
                <w:rFonts w:eastAsia="宋体"/>
                <w:color w:val="auto"/>
                <w:sz w:val="21"/>
                <w:szCs w:val="21"/>
                <w:highlight w:val="none"/>
              </w:rPr>
            </w:pPr>
            <w:r>
              <w:rPr>
                <w:rFonts w:eastAsia="宋体"/>
                <w:color w:val="auto"/>
                <w:sz w:val="21"/>
                <w:szCs w:val="21"/>
                <w:highlight w:val="none"/>
              </w:rPr>
              <w:t>2.71</w:t>
            </w:r>
          </w:p>
        </w:tc>
      </w:tr>
      <w:tr w14:paraId="5BB2A44F">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108" w:type="dxa"/>
            <w:bottom w:w="0" w:type="dxa"/>
            <w:right w:w="108" w:type="dxa"/>
          </w:tblCellMar>
        </w:tblPrEx>
        <w:trPr>
          <w:gridAfter w:val="1"/>
          <w:wAfter w:w="21" w:type="dxa"/>
          <w:trHeight w:val="232" w:hRule="atLeast"/>
          <w:jc w:val="center"/>
        </w:trPr>
        <w:tc>
          <w:tcPr>
            <w:tcW w:w="688" w:type="dxa"/>
            <w:vMerge w:val="restart"/>
            <w:tcBorders>
              <w:top w:val="single" w:color="000000" w:sz="4" w:space="0"/>
              <w:left w:val="nil"/>
              <w:bottom w:val="single" w:color="000000" w:sz="4" w:space="0"/>
              <w:right w:val="single" w:color="000000" w:sz="4" w:space="0"/>
            </w:tcBorders>
            <w:vAlign w:val="center"/>
          </w:tcPr>
          <w:p w14:paraId="4D1D4D95">
            <w:pPr>
              <w:pStyle w:val="98"/>
              <w:ind w:left="-105" w:right="-105"/>
              <w:rPr>
                <w:rFonts w:eastAsia="宋体"/>
                <w:color w:val="auto"/>
                <w:sz w:val="21"/>
                <w:szCs w:val="21"/>
                <w:highlight w:val="none"/>
              </w:rPr>
            </w:pPr>
            <w:r>
              <w:rPr>
                <w:rFonts w:eastAsia="宋体"/>
                <w:color w:val="auto"/>
                <w:sz w:val="21"/>
                <w:szCs w:val="21"/>
                <w:highlight w:val="none"/>
              </w:rPr>
              <w:t>5月</w:t>
            </w:r>
          </w:p>
        </w:tc>
        <w:tc>
          <w:tcPr>
            <w:tcW w:w="687" w:type="dxa"/>
            <w:tcBorders>
              <w:top w:val="single" w:color="000000" w:sz="4" w:space="0"/>
              <w:left w:val="single" w:color="000000" w:sz="4" w:space="0"/>
              <w:bottom w:val="single" w:color="000000" w:sz="4" w:space="0"/>
              <w:right w:val="single" w:color="000000" w:sz="4" w:space="0"/>
            </w:tcBorders>
            <w:vAlign w:val="center"/>
          </w:tcPr>
          <w:p w14:paraId="00706141">
            <w:pPr>
              <w:pStyle w:val="98"/>
              <w:ind w:left="-105" w:right="-105"/>
              <w:rPr>
                <w:rFonts w:eastAsia="宋体"/>
                <w:color w:val="auto"/>
                <w:sz w:val="21"/>
                <w:szCs w:val="21"/>
                <w:highlight w:val="none"/>
              </w:rPr>
            </w:pPr>
            <w:r>
              <w:rPr>
                <w:rFonts w:eastAsia="宋体"/>
                <w:color w:val="auto"/>
                <w:sz w:val="21"/>
                <w:szCs w:val="21"/>
                <w:highlight w:val="none"/>
              </w:rPr>
              <w:t>频率</w:t>
            </w:r>
          </w:p>
        </w:tc>
        <w:tc>
          <w:tcPr>
            <w:tcW w:w="687" w:type="dxa"/>
            <w:tcBorders>
              <w:top w:val="single" w:color="000000" w:sz="4" w:space="0"/>
              <w:left w:val="single" w:color="000000" w:sz="4" w:space="0"/>
              <w:bottom w:val="single" w:color="000000" w:sz="4" w:space="0"/>
              <w:right w:val="single" w:color="000000" w:sz="4" w:space="0"/>
            </w:tcBorders>
            <w:vAlign w:val="center"/>
          </w:tcPr>
          <w:p w14:paraId="1F008820">
            <w:pPr>
              <w:pStyle w:val="98"/>
              <w:ind w:left="-105" w:right="-105"/>
              <w:rPr>
                <w:rFonts w:eastAsia="宋体"/>
                <w:color w:val="auto"/>
                <w:sz w:val="21"/>
                <w:szCs w:val="21"/>
                <w:highlight w:val="none"/>
              </w:rPr>
            </w:pPr>
            <w:r>
              <w:rPr>
                <w:rFonts w:eastAsia="宋体"/>
                <w:color w:val="auto"/>
                <w:sz w:val="21"/>
                <w:szCs w:val="21"/>
                <w:highlight w:val="none"/>
              </w:rPr>
              <w:t>4</w:t>
            </w:r>
          </w:p>
        </w:tc>
        <w:tc>
          <w:tcPr>
            <w:tcW w:w="687" w:type="dxa"/>
            <w:tcBorders>
              <w:top w:val="single" w:color="000000" w:sz="4" w:space="0"/>
              <w:left w:val="single" w:color="000000" w:sz="4" w:space="0"/>
              <w:bottom w:val="single" w:color="000000" w:sz="4" w:space="0"/>
              <w:right w:val="single" w:color="000000" w:sz="4" w:space="0"/>
            </w:tcBorders>
            <w:vAlign w:val="center"/>
          </w:tcPr>
          <w:p w14:paraId="39442184">
            <w:pPr>
              <w:pStyle w:val="98"/>
              <w:ind w:left="-105" w:right="-105"/>
              <w:rPr>
                <w:rFonts w:eastAsia="宋体"/>
                <w:color w:val="auto"/>
                <w:sz w:val="21"/>
                <w:szCs w:val="21"/>
                <w:highlight w:val="none"/>
              </w:rPr>
            </w:pPr>
            <w:r>
              <w:rPr>
                <w:rFonts w:eastAsia="宋体"/>
                <w:color w:val="auto"/>
                <w:sz w:val="21"/>
                <w:szCs w:val="21"/>
                <w:highlight w:val="none"/>
              </w:rPr>
              <w:t>3</w:t>
            </w:r>
          </w:p>
        </w:tc>
        <w:tc>
          <w:tcPr>
            <w:tcW w:w="687" w:type="dxa"/>
            <w:tcBorders>
              <w:top w:val="single" w:color="000000" w:sz="4" w:space="0"/>
              <w:left w:val="single" w:color="000000" w:sz="4" w:space="0"/>
              <w:bottom w:val="single" w:color="000000" w:sz="4" w:space="0"/>
              <w:right w:val="single" w:color="000000" w:sz="4" w:space="0"/>
            </w:tcBorders>
            <w:vAlign w:val="center"/>
          </w:tcPr>
          <w:p w14:paraId="0C37CFCB">
            <w:pPr>
              <w:pStyle w:val="98"/>
              <w:ind w:left="-105" w:right="-105"/>
              <w:rPr>
                <w:rFonts w:eastAsia="宋体"/>
                <w:color w:val="auto"/>
                <w:sz w:val="21"/>
                <w:szCs w:val="21"/>
                <w:highlight w:val="none"/>
              </w:rPr>
            </w:pPr>
            <w:r>
              <w:rPr>
                <w:rFonts w:eastAsia="宋体"/>
                <w:color w:val="auto"/>
                <w:sz w:val="21"/>
                <w:szCs w:val="21"/>
                <w:highlight w:val="none"/>
              </w:rPr>
              <w:t>3.6</w:t>
            </w:r>
          </w:p>
        </w:tc>
        <w:tc>
          <w:tcPr>
            <w:tcW w:w="688" w:type="dxa"/>
            <w:tcBorders>
              <w:top w:val="single" w:color="000000" w:sz="4" w:space="0"/>
              <w:left w:val="single" w:color="000000" w:sz="4" w:space="0"/>
              <w:bottom w:val="single" w:color="000000" w:sz="4" w:space="0"/>
              <w:right w:val="single" w:color="000000" w:sz="4" w:space="0"/>
            </w:tcBorders>
            <w:vAlign w:val="center"/>
          </w:tcPr>
          <w:p w14:paraId="0741DB66">
            <w:pPr>
              <w:pStyle w:val="98"/>
              <w:ind w:left="-105" w:right="-105"/>
              <w:rPr>
                <w:rFonts w:eastAsia="宋体"/>
                <w:color w:val="auto"/>
                <w:sz w:val="21"/>
                <w:szCs w:val="21"/>
                <w:highlight w:val="none"/>
              </w:rPr>
            </w:pPr>
            <w:r>
              <w:rPr>
                <w:rFonts w:eastAsia="宋体"/>
                <w:color w:val="auto"/>
                <w:sz w:val="21"/>
                <w:szCs w:val="21"/>
                <w:highlight w:val="none"/>
              </w:rPr>
              <w:t>4.6</w:t>
            </w:r>
          </w:p>
        </w:tc>
        <w:tc>
          <w:tcPr>
            <w:tcW w:w="687" w:type="dxa"/>
            <w:tcBorders>
              <w:top w:val="single" w:color="000000" w:sz="4" w:space="0"/>
              <w:left w:val="single" w:color="000000" w:sz="4" w:space="0"/>
              <w:bottom w:val="single" w:color="000000" w:sz="4" w:space="0"/>
              <w:right w:val="single" w:color="000000" w:sz="4" w:space="0"/>
            </w:tcBorders>
            <w:vAlign w:val="center"/>
          </w:tcPr>
          <w:p w14:paraId="106BBE81">
            <w:pPr>
              <w:pStyle w:val="98"/>
              <w:ind w:left="-105" w:right="-105"/>
              <w:rPr>
                <w:rFonts w:eastAsia="宋体"/>
                <w:color w:val="auto"/>
                <w:sz w:val="21"/>
                <w:szCs w:val="21"/>
                <w:highlight w:val="none"/>
              </w:rPr>
            </w:pPr>
            <w:r>
              <w:rPr>
                <w:rFonts w:eastAsia="宋体"/>
                <w:color w:val="auto"/>
                <w:sz w:val="21"/>
                <w:szCs w:val="21"/>
                <w:highlight w:val="none"/>
              </w:rPr>
              <w:t>6.8</w:t>
            </w:r>
          </w:p>
        </w:tc>
        <w:tc>
          <w:tcPr>
            <w:tcW w:w="687" w:type="dxa"/>
            <w:tcBorders>
              <w:top w:val="single" w:color="000000" w:sz="4" w:space="0"/>
              <w:left w:val="single" w:color="000000" w:sz="4" w:space="0"/>
              <w:bottom w:val="single" w:color="000000" w:sz="4" w:space="0"/>
              <w:right w:val="single" w:color="000000" w:sz="4" w:space="0"/>
            </w:tcBorders>
            <w:vAlign w:val="center"/>
          </w:tcPr>
          <w:p w14:paraId="049DB153">
            <w:pPr>
              <w:pStyle w:val="98"/>
              <w:ind w:left="-105" w:right="-105"/>
              <w:rPr>
                <w:rFonts w:eastAsia="宋体"/>
                <w:color w:val="auto"/>
                <w:sz w:val="21"/>
                <w:szCs w:val="21"/>
                <w:highlight w:val="none"/>
              </w:rPr>
            </w:pPr>
            <w:r>
              <w:rPr>
                <w:rFonts w:eastAsia="宋体"/>
                <w:color w:val="auto"/>
                <w:sz w:val="21"/>
                <w:szCs w:val="21"/>
                <w:highlight w:val="none"/>
              </w:rPr>
              <w:t>12.6</w:t>
            </w:r>
          </w:p>
        </w:tc>
        <w:tc>
          <w:tcPr>
            <w:tcW w:w="687" w:type="dxa"/>
            <w:tcBorders>
              <w:top w:val="single" w:color="000000" w:sz="4" w:space="0"/>
              <w:left w:val="single" w:color="000000" w:sz="4" w:space="0"/>
              <w:bottom w:val="single" w:color="000000" w:sz="4" w:space="0"/>
              <w:right w:val="single" w:color="000000" w:sz="4" w:space="0"/>
            </w:tcBorders>
            <w:vAlign w:val="center"/>
          </w:tcPr>
          <w:p w14:paraId="5C3AE274">
            <w:pPr>
              <w:pStyle w:val="98"/>
              <w:ind w:left="-105" w:right="-105"/>
              <w:rPr>
                <w:rFonts w:eastAsia="宋体"/>
                <w:color w:val="auto"/>
                <w:sz w:val="21"/>
                <w:szCs w:val="21"/>
                <w:highlight w:val="none"/>
              </w:rPr>
            </w:pPr>
            <w:r>
              <w:rPr>
                <w:rFonts w:eastAsia="宋体"/>
                <w:color w:val="auto"/>
                <w:sz w:val="21"/>
                <w:szCs w:val="21"/>
                <w:highlight w:val="none"/>
              </w:rPr>
              <w:t>15.6</w:t>
            </w:r>
          </w:p>
        </w:tc>
        <w:tc>
          <w:tcPr>
            <w:tcW w:w="687" w:type="dxa"/>
            <w:tcBorders>
              <w:top w:val="single" w:color="000000" w:sz="4" w:space="0"/>
              <w:left w:val="single" w:color="000000" w:sz="4" w:space="0"/>
              <w:bottom w:val="single" w:color="000000" w:sz="4" w:space="0"/>
              <w:right w:val="single" w:color="000000" w:sz="4" w:space="0"/>
            </w:tcBorders>
            <w:vAlign w:val="center"/>
          </w:tcPr>
          <w:p w14:paraId="7443E650">
            <w:pPr>
              <w:pStyle w:val="98"/>
              <w:ind w:left="-105" w:right="-105"/>
              <w:rPr>
                <w:rFonts w:eastAsia="宋体"/>
                <w:color w:val="auto"/>
                <w:sz w:val="21"/>
                <w:szCs w:val="21"/>
                <w:highlight w:val="none"/>
              </w:rPr>
            </w:pPr>
            <w:r>
              <w:rPr>
                <w:rFonts w:eastAsia="宋体"/>
                <w:color w:val="auto"/>
                <w:sz w:val="21"/>
                <w:szCs w:val="21"/>
                <w:highlight w:val="none"/>
              </w:rPr>
              <w:t>7.6</w:t>
            </w:r>
          </w:p>
        </w:tc>
        <w:tc>
          <w:tcPr>
            <w:tcW w:w="687" w:type="dxa"/>
            <w:tcBorders>
              <w:top w:val="single" w:color="000000" w:sz="4" w:space="0"/>
              <w:left w:val="single" w:color="000000" w:sz="4" w:space="0"/>
              <w:bottom w:val="single" w:color="000000" w:sz="4" w:space="0"/>
              <w:right w:val="single" w:color="000000" w:sz="4" w:space="0"/>
            </w:tcBorders>
            <w:vAlign w:val="center"/>
          </w:tcPr>
          <w:p w14:paraId="233077C2">
            <w:pPr>
              <w:pStyle w:val="98"/>
              <w:ind w:left="-105" w:right="-105"/>
              <w:rPr>
                <w:rFonts w:eastAsia="宋体"/>
                <w:color w:val="auto"/>
                <w:sz w:val="21"/>
                <w:szCs w:val="21"/>
                <w:highlight w:val="none"/>
              </w:rPr>
            </w:pPr>
            <w:r>
              <w:rPr>
                <w:rFonts w:eastAsia="宋体"/>
                <w:color w:val="auto"/>
                <w:sz w:val="21"/>
                <w:szCs w:val="21"/>
                <w:highlight w:val="none"/>
              </w:rPr>
              <w:t>5</w:t>
            </w:r>
          </w:p>
        </w:tc>
        <w:tc>
          <w:tcPr>
            <w:tcW w:w="687" w:type="dxa"/>
            <w:tcBorders>
              <w:top w:val="single" w:color="000000" w:sz="4" w:space="0"/>
              <w:left w:val="single" w:color="000000" w:sz="4" w:space="0"/>
              <w:bottom w:val="single" w:color="000000" w:sz="4" w:space="0"/>
              <w:right w:val="single" w:color="000000" w:sz="4" w:space="0"/>
            </w:tcBorders>
            <w:vAlign w:val="center"/>
          </w:tcPr>
          <w:p w14:paraId="68D10435">
            <w:pPr>
              <w:pStyle w:val="98"/>
              <w:ind w:left="-105" w:right="-105"/>
              <w:rPr>
                <w:rFonts w:eastAsia="宋体"/>
                <w:color w:val="auto"/>
                <w:sz w:val="21"/>
                <w:szCs w:val="21"/>
                <w:highlight w:val="none"/>
              </w:rPr>
            </w:pPr>
            <w:r>
              <w:rPr>
                <w:rFonts w:eastAsia="宋体"/>
                <w:color w:val="auto"/>
                <w:sz w:val="21"/>
                <w:szCs w:val="21"/>
                <w:highlight w:val="none"/>
              </w:rPr>
              <w:t>3.8</w:t>
            </w:r>
          </w:p>
        </w:tc>
        <w:tc>
          <w:tcPr>
            <w:tcW w:w="684" w:type="dxa"/>
            <w:tcBorders>
              <w:top w:val="single" w:color="000000" w:sz="4" w:space="0"/>
              <w:left w:val="single" w:color="000000" w:sz="4" w:space="0"/>
              <w:bottom w:val="single" w:color="000000" w:sz="4" w:space="0"/>
              <w:right w:val="single" w:color="000000" w:sz="4" w:space="0"/>
            </w:tcBorders>
            <w:vAlign w:val="center"/>
          </w:tcPr>
          <w:p w14:paraId="2DED33E5">
            <w:pPr>
              <w:pStyle w:val="98"/>
              <w:ind w:left="-105" w:right="-105"/>
              <w:rPr>
                <w:rFonts w:eastAsia="宋体"/>
                <w:color w:val="auto"/>
                <w:sz w:val="21"/>
                <w:szCs w:val="21"/>
                <w:highlight w:val="none"/>
              </w:rPr>
            </w:pPr>
            <w:r>
              <w:rPr>
                <w:rFonts w:eastAsia="宋体"/>
                <w:color w:val="auto"/>
                <w:sz w:val="21"/>
                <w:szCs w:val="21"/>
                <w:highlight w:val="none"/>
              </w:rPr>
              <w:t>2.8</w:t>
            </w:r>
          </w:p>
        </w:tc>
        <w:tc>
          <w:tcPr>
            <w:tcW w:w="714" w:type="dxa"/>
            <w:tcBorders>
              <w:top w:val="single" w:color="000000" w:sz="4" w:space="0"/>
              <w:left w:val="single" w:color="000000" w:sz="4" w:space="0"/>
              <w:bottom w:val="single" w:color="000000" w:sz="4" w:space="0"/>
              <w:right w:val="single" w:color="000000" w:sz="4" w:space="0"/>
            </w:tcBorders>
            <w:vAlign w:val="center"/>
          </w:tcPr>
          <w:p w14:paraId="48A03130">
            <w:pPr>
              <w:pStyle w:val="98"/>
              <w:ind w:left="-105" w:right="-105"/>
              <w:rPr>
                <w:rFonts w:eastAsia="宋体"/>
                <w:color w:val="auto"/>
                <w:sz w:val="21"/>
                <w:szCs w:val="21"/>
                <w:highlight w:val="none"/>
              </w:rPr>
            </w:pPr>
            <w:r>
              <w:rPr>
                <w:rFonts w:eastAsia="宋体"/>
                <w:color w:val="auto"/>
                <w:sz w:val="21"/>
                <w:szCs w:val="21"/>
                <w:highlight w:val="none"/>
              </w:rPr>
              <w:t>3</w:t>
            </w:r>
          </w:p>
        </w:tc>
        <w:tc>
          <w:tcPr>
            <w:tcW w:w="686" w:type="dxa"/>
            <w:tcBorders>
              <w:top w:val="single" w:color="000000" w:sz="4" w:space="0"/>
              <w:left w:val="single" w:color="000000" w:sz="4" w:space="0"/>
              <w:bottom w:val="single" w:color="000000" w:sz="4" w:space="0"/>
              <w:right w:val="single" w:color="000000" w:sz="4" w:space="0"/>
            </w:tcBorders>
            <w:vAlign w:val="center"/>
          </w:tcPr>
          <w:p w14:paraId="6F392AB6">
            <w:pPr>
              <w:pStyle w:val="98"/>
              <w:ind w:left="-105" w:right="-105"/>
              <w:rPr>
                <w:rFonts w:eastAsia="宋体"/>
                <w:color w:val="auto"/>
                <w:sz w:val="21"/>
                <w:szCs w:val="21"/>
                <w:highlight w:val="none"/>
              </w:rPr>
            </w:pPr>
            <w:r>
              <w:rPr>
                <w:rFonts w:eastAsia="宋体"/>
                <w:color w:val="auto"/>
                <w:sz w:val="21"/>
                <w:szCs w:val="21"/>
                <w:highlight w:val="none"/>
              </w:rPr>
              <w:t>4.2</w:t>
            </w:r>
          </w:p>
        </w:tc>
        <w:tc>
          <w:tcPr>
            <w:tcW w:w="747" w:type="dxa"/>
            <w:tcBorders>
              <w:top w:val="single" w:color="000000" w:sz="4" w:space="0"/>
              <w:left w:val="single" w:color="000000" w:sz="4" w:space="0"/>
              <w:bottom w:val="single" w:color="000000" w:sz="4" w:space="0"/>
              <w:right w:val="single" w:color="000000" w:sz="4" w:space="0"/>
            </w:tcBorders>
            <w:vAlign w:val="center"/>
          </w:tcPr>
          <w:p w14:paraId="2CC823B7">
            <w:pPr>
              <w:pStyle w:val="98"/>
              <w:ind w:left="-105" w:right="-105"/>
              <w:rPr>
                <w:rFonts w:eastAsia="宋体"/>
                <w:color w:val="auto"/>
                <w:sz w:val="21"/>
                <w:szCs w:val="21"/>
                <w:highlight w:val="none"/>
              </w:rPr>
            </w:pPr>
            <w:r>
              <w:rPr>
                <w:rFonts w:eastAsia="宋体"/>
                <w:color w:val="auto"/>
                <w:sz w:val="21"/>
                <w:szCs w:val="21"/>
                <w:highlight w:val="none"/>
              </w:rPr>
              <w:t>6.8</w:t>
            </w:r>
          </w:p>
        </w:tc>
        <w:tc>
          <w:tcPr>
            <w:tcW w:w="686" w:type="dxa"/>
            <w:tcBorders>
              <w:top w:val="single" w:color="000000" w:sz="4" w:space="0"/>
              <w:left w:val="single" w:color="000000" w:sz="4" w:space="0"/>
              <w:bottom w:val="single" w:color="000000" w:sz="4" w:space="0"/>
              <w:right w:val="single" w:color="000000" w:sz="4" w:space="0"/>
            </w:tcBorders>
            <w:vAlign w:val="center"/>
          </w:tcPr>
          <w:p w14:paraId="46B149C9">
            <w:pPr>
              <w:pStyle w:val="98"/>
              <w:ind w:left="-105" w:right="-105"/>
              <w:rPr>
                <w:rFonts w:eastAsia="宋体"/>
                <w:color w:val="auto"/>
                <w:sz w:val="21"/>
                <w:szCs w:val="21"/>
                <w:highlight w:val="none"/>
              </w:rPr>
            </w:pPr>
            <w:r>
              <w:rPr>
                <w:rFonts w:eastAsia="宋体"/>
                <w:color w:val="auto"/>
                <w:sz w:val="21"/>
                <w:szCs w:val="21"/>
                <w:highlight w:val="none"/>
              </w:rPr>
              <w:t>4.4</w:t>
            </w:r>
          </w:p>
        </w:tc>
        <w:tc>
          <w:tcPr>
            <w:tcW w:w="700" w:type="dxa"/>
            <w:tcBorders>
              <w:top w:val="single" w:color="000000" w:sz="4" w:space="0"/>
              <w:left w:val="single" w:color="000000" w:sz="4" w:space="0"/>
              <w:bottom w:val="single" w:color="000000" w:sz="4" w:space="0"/>
              <w:right w:val="single" w:color="000000" w:sz="4" w:space="0"/>
            </w:tcBorders>
            <w:vAlign w:val="center"/>
          </w:tcPr>
          <w:p w14:paraId="4701CB38">
            <w:pPr>
              <w:pStyle w:val="98"/>
              <w:ind w:left="-105" w:right="-105"/>
              <w:rPr>
                <w:rFonts w:eastAsia="宋体"/>
                <w:color w:val="auto"/>
                <w:sz w:val="21"/>
                <w:szCs w:val="21"/>
                <w:highlight w:val="none"/>
              </w:rPr>
            </w:pPr>
            <w:r>
              <w:rPr>
                <w:rFonts w:eastAsia="宋体"/>
                <w:color w:val="auto"/>
                <w:sz w:val="21"/>
                <w:szCs w:val="21"/>
                <w:highlight w:val="none"/>
              </w:rPr>
              <w:t>3</w:t>
            </w:r>
          </w:p>
        </w:tc>
        <w:tc>
          <w:tcPr>
            <w:tcW w:w="686" w:type="dxa"/>
            <w:tcBorders>
              <w:top w:val="single" w:color="000000" w:sz="4" w:space="0"/>
              <w:left w:val="single" w:color="000000" w:sz="4" w:space="0"/>
              <w:bottom w:val="single" w:color="000000" w:sz="4" w:space="0"/>
              <w:right w:val="single" w:color="000000" w:sz="4" w:space="0"/>
            </w:tcBorders>
            <w:vAlign w:val="center"/>
          </w:tcPr>
          <w:p w14:paraId="27A6B60A">
            <w:pPr>
              <w:pStyle w:val="98"/>
              <w:ind w:left="-105" w:right="-105"/>
              <w:rPr>
                <w:rFonts w:eastAsia="宋体"/>
                <w:color w:val="auto"/>
                <w:sz w:val="21"/>
                <w:szCs w:val="21"/>
                <w:highlight w:val="none"/>
              </w:rPr>
            </w:pPr>
            <w:r>
              <w:rPr>
                <w:rFonts w:eastAsia="宋体"/>
                <w:color w:val="auto"/>
                <w:sz w:val="21"/>
                <w:szCs w:val="21"/>
                <w:highlight w:val="none"/>
              </w:rPr>
              <w:t>9.8</w:t>
            </w:r>
          </w:p>
        </w:tc>
        <w:tc>
          <w:tcPr>
            <w:tcW w:w="693" w:type="dxa"/>
            <w:tcBorders>
              <w:top w:val="single" w:color="000000" w:sz="4" w:space="0"/>
              <w:left w:val="single" w:color="000000" w:sz="4" w:space="0"/>
              <w:bottom w:val="single" w:color="000000" w:sz="4" w:space="0"/>
              <w:right w:val="nil"/>
            </w:tcBorders>
            <w:vAlign w:val="center"/>
          </w:tcPr>
          <w:p w14:paraId="0F53E9CE">
            <w:pPr>
              <w:pStyle w:val="98"/>
              <w:ind w:left="-105" w:right="-105"/>
              <w:rPr>
                <w:rFonts w:eastAsia="宋体"/>
                <w:color w:val="auto"/>
                <w:sz w:val="21"/>
                <w:szCs w:val="21"/>
                <w:highlight w:val="none"/>
              </w:rPr>
            </w:pPr>
            <w:r>
              <w:rPr>
                <w:rFonts w:eastAsia="宋体"/>
                <w:color w:val="auto"/>
                <w:sz w:val="21"/>
                <w:szCs w:val="21"/>
                <w:highlight w:val="none"/>
              </w:rPr>
              <w:t>/</w:t>
            </w:r>
          </w:p>
        </w:tc>
      </w:tr>
      <w:tr w14:paraId="68F01EA0">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108" w:type="dxa"/>
            <w:bottom w:w="0" w:type="dxa"/>
            <w:right w:w="108" w:type="dxa"/>
          </w:tblCellMar>
        </w:tblPrEx>
        <w:trPr>
          <w:gridAfter w:val="1"/>
          <w:wAfter w:w="21" w:type="dxa"/>
          <w:trHeight w:val="232" w:hRule="atLeast"/>
          <w:jc w:val="center"/>
        </w:trPr>
        <w:tc>
          <w:tcPr>
            <w:tcW w:w="688" w:type="dxa"/>
            <w:vMerge w:val="continue"/>
            <w:tcBorders>
              <w:top w:val="nil"/>
              <w:left w:val="nil"/>
              <w:bottom w:val="single" w:color="000000" w:sz="4" w:space="0"/>
              <w:right w:val="single" w:color="000000" w:sz="4" w:space="0"/>
            </w:tcBorders>
            <w:vAlign w:val="center"/>
          </w:tcPr>
          <w:p w14:paraId="1A762B03">
            <w:pPr>
              <w:ind w:left="-105" w:right="-105"/>
              <w:jc w:val="center"/>
              <w:rPr>
                <w:rFonts w:ascii="Times New Roman" w:hAnsi="Times New Roman"/>
                <w:color w:val="auto"/>
                <w:sz w:val="21"/>
                <w:szCs w:val="21"/>
                <w:highlight w:val="none"/>
              </w:rPr>
            </w:pPr>
          </w:p>
        </w:tc>
        <w:tc>
          <w:tcPr>
            <w:tcW w:w="687" w:type="dxa"/>
            <w:tcBorders>
              <w:top w:val="single" w:color="000000" w:sz="4" w:space="0"/>
              <w:left w:val="single" w:color="000000" w:sz="4" w:space="0"/>
              <w:bottom w:val="single" w:color="000000" w:sz="4" w:space="0"/>
              <w:right w:val="single" w:color="000000" w:sz="4" w:space="0"/>
            </w:tcBorders>
            <w:vAlign w:val="center"/>
          </w:tcPr>
          <w:p w14:paraId="19C2F105">
            <w:pPr>
              <w:pStyle w:val="98"/>
              <w:ind w:left="-105" w:right="-105"/>
              <w:rPr>
                <w:rFonts w:eastAsia="宋体"/>
                <w:color w:val="auto"/>
                <w:sz w:val="21"/>
                <w:szCs w:val="21"/>
                <w:highlight w:val="none"/>
              </w:rPr>
            </w:pPr>
            <w:r>
              <w:rPr>
                <w:rFonts w:eastAsia="宋体"/>
                <w:color w:val="auto"/>
                <w:sz w:val="21"/>
                <w:szCs w:val="21"/>
                <w:highlight w:val="none"/>
              </w:rPr>
              <w:t>风速</w:t>
            </w:r>
          </w:p>
        </w:tc>
        <w:tc>
          <w:tcPr>
            <w:tcW w:w="687" w:type="dxa"/>
            <w:tcBorders>
              <w:top w:val="single" w:color="000000" w:sz="4" w:space="0"/>
              <w:left w:val="single" w:color="000000" w:sz="4" w:space="0"/>
              <w:bottom w:val="single" w:color="000000" w:sz="4" w:space="0"/>
              <w:right w:val="single" w:color="000000" w:sz="4" w:space="0"/>
            </w:tcBorders>
            <w:vAlign w:val="center"/>
          </w:tcPr>
          <w:p w14:paraId="736A5A2E">
            <w:pPr>
              <w:pStyle w:val="98"/>
              <w:ind w:left="-105" w:right="-105"/>
              <w:rPr>
                <w:rFonts w:eastAsia="宋体"/>
                <w:color w:val="auto"/>
                <w:sz w:val="21"/>
                <w:szCs w:val="21"/>
                <w:highlight w:val="none"/>
              </w:rPr>
            </w:pPr>
            <w:r>
              <w:rPr>
                <w:rFonts w:eastAsia="宋体"/>
                <w:color w:val="auto"/>
                <w:sz w:val="21"/>
                <w:szCs w:val="21"/>
                <w:highlight w:val="none"/>
              </w:rPr>
              <w:t>3</w:t>
            </w:r>
          </w:p>
        </w:tc>
        <w:tc>
          <w:tcPr>
            <w:tcW w:w="687" w:type="dxa"/>
            <w:tcBorders>
              <w:top w:val="single" w:color="000000" w:sz="4" w:space="0"/>
              <w:left w:val="single" w:color="000000" w:sz="4" w:space="0"/>
              <w:bottom w:val="single" w:color="000000" w:sz="4" w:space="0"/>
              <w:right w:val="single" w:color="000000" w:sz="4" w:space="0"/>
            </w:tcBorders>
            <w:vAlign w:val="center"/>
          </w:tcPr>
          <w:p w14:paraId="490285EE">
            <w:pPr>
              <w:pStyle w:val="98"/>
              <w:ind w:left="-105" w:right="-105"/>
              <w:rPr>
                <w:rFonts w:eastAsia="宋体"/>
                <w:color w:val="auto"/>
                <w:sz w:val="21"/>
                <w:szCs w:val="21"/>
                <w:highlight w:val="none"/>
              </w:rPr>
            </w:pPr>
            <w:r>
              <w:rPr>
                <w:rFonts w:eastAsia="宋体"/>
                <w:color w:val="auto"/>
                <w:sz w:val="21"/>
                <w:szCs w:val="21"/>
                <w:highlight w:val="none"/>
              </w:rPr>
              <w:t>2.7</w:t>
            </w:r>
          </w:p>
        </w:tc>
        <w:tc>
          <w:tcPr>
            <w:tcW w:w="687" w:type="dxa"/>
            <w:tcBorders>
              <w:top w:val="single" w:color="000000" w:sz="4" w:space="0"/>
              <w:left w:val="single" w:color="000000" w:sz="4" w:space="0"/>
              <w:bottom w:val="single" w:color="000000" w:sz="4" w:space="0"/>
              <w:right w:val="single" w:color="000000" w:sz="4" w:space="0"/>
            </w:tcBorders>
            <w:vAlign w:val="center"/>
          </w:tcPr>
          <w:p w14:paraId="0D4B1A0B">
            <w:pPr>
              <w:pStyle w:val="98"/>
              <w:ind w:left="-105" w:right="-105"/>
              <w:rPr>
                <w:rFonts w:eastAsia="宋体"/>
                <w:color w:val="auto"/>
                <w:sz w:val="21"/>
                <w:szCs w:val="21"/>
                <w:highlight w:val="none"/>
              </w:rPr>
            </w:pPr>
            <w:r>
              <w:rPr>
                <w:rFonts w:eastAsia="宋体"/>
                <w:color w:val="auto"/>
                <w:sz w:val="21"/>
                <w:szCs w:val="21"/>
                <w:highlight w:val="none"/>
              </w:rPr>
              <w:t>2.7</w:t>
            </w:r>
          </w:p>
        </w:tc>
        <w:tc>
          <w:tcPr>
            <w:tcW w:w="688" w:type="dxa"/>
            <w:tcBorders>
              <w:top w:val="single" w:color="000000" w:sz="4" w:space="0"/>
              <w:left w:val="single" w:color="000000" w:sz="4" w:space="0"/>
              <w:bottom w:val="single" w:color="000000" w:sz="4" w:space="0"/>
              <w:right w:val="single" w:color="000000" w:sz="4" w:space="0"/>
            </w:tcBorders>
            <w:vAlign w:val="center"/>
          </w:tcPr>
          <w:p w14:paraId="772BD45C">
            <w:pPr>
              <w:pStyle w:val="98"/>
              <w:ind w:left="-105" w:right="-105"/>
              <w:rPr>
                <w:rFonts w:eastAsia="宋体"/>
                <w:color w:val="auto"/>
                <w:sz w:val="21"/>
                <w:szCs w:val="21"/>
                <w:highlight w:val="none"/>
              </w:rPr>
            </w:pPr>
            <w:r>
              <w:rPr>
                <w:rFonts w:eastAsia="宋体"/>
                <w:color w:val="auto"/>
                <w:sz w:val="21"/>
                <w:szCs w:val="21"/>
                <w:highlight w:val="none"/>
              </w:rPr>
              <w:t>3.3</w:t>
            </w:r>
          </w:p>
        </w:tc>
        <w:tc>
          <w:tcPr>
            <w:tcW w:w="687" w:type="dxa"/>
            <w:tcBorders>
              <w:top w:val="single" w:color="000000" w:sz="4" w:space="0"/>
              <w:left w:val="single" w:color="000000" w:sz="4" w:space="0"/>
              <w:bottom w:val="single" w:color="000000" w:sz="4" w:space="0"/>
              <w:right w:val="single" w:color="000000" w:sz="4" w:space="0"/>
            </w:tcBorders>
            <w:vAlign w:val="center"/>
          </w:tcPr>
          <w:p w14:paraId="261289F5">
            <w:pPr>
              <w:pStyle w:val="98"/>
              <w:ind w:left="-105" w:right="-105"/>
              <w:rPr>
                <w:rFonts w:eastAsia="宋体"/>
                <w:color w:val="auto"/>
                <w:sz w:val="21"/>
                <w:szCs w:val="21"/>
                <w:highlight w:val="none"/>
              </w:rPr>
            </w:pPr>
            <w:r>
              <w:rPr>
                <w:rFonts w:eastAsia="宋体"/>
                <w:color w:val="auto"/>
                <w:sz w:val="21"/>
                <w:szCs w:val="21"/>
                <w:highlight w:val="none"/>
              </w:rPr>
              <w:t>2.8</w:t>
            </w:r>
          </w:p>
        </w:tc>
        <w:tc>
          <w:tcPr>
            <w:tcW w:w="687" w:type="dxa"/>
            <w:tcBorders>
              <w:top w:val="single" w:color="000000" w:sz="4" w:space="0"/>
              <w:left w:val="single" w:color="000000" w:sz="4" w:space="0"/>
              <w:bottom w:val="single" w:color="000000" w:sz="4" w:space="0"/>
              <w:right w:val="single" w:color="000000" w:sz="4" w:space="0"/>
            </w:tcBorders>
            <w:vAlign w:val="center"/>
          </w:tcPr>
          <w:p w14:paraId="33A1EA1C">
            <w:pPr>
              <w:pStyle w:val="98"/>
              <w:ind w:left="-105" w:right="-105"/>
              <w:rPr>
                <w:rFonts w:eastAsia="宋体"/>
                <w:color w:val="auto"/>
                <w:sz w:val="21"/>
                <w:szCs w:val="21"/>
                <w:highlight w:val="none"/>
              </w:rPr>
            </w:pPr>
            <w:r>
              <w:rPr>
                <w:rFonts w:eastAsia="宋体"/>
                <w:color w:val="auto"/>
                <w:sz w:val="21"/>
                <w:szCs w:val="21"/>
                <w:highlight w:val="none"/>
              </w:rPr>
              <w:t>3.3</w:t>
            </w:r>
          </w:p>
        </w:tc>
        <w:tc>
          <w:tcPr>
            <w:tcW w:w="687" w:type="dxa"/>
            <w:tcBorders>
              <w:top w:val="single" w:color="000000" w:sz="4" w:space="0"/>
              <w:left w:val="single" w:color="000000" w:sz="4" w:space="0"/>
              <w:bottom w:val="single" w:color="000000" w:sz="4" w:space="0"/>
              <w:right w:val="single" w:color="000000" w:sz="4" w:space="0"/>
            </w:tcBorders>
            <w:vAlign w:val="center"/>
          </w:tcPr>
          <w:p w14:paraId="2E8252E6">
            <w:pPr>
              <w:pStyle w:val="98"/>
              <w:ind w:left="-105" w:right="-105"/>
              <w:rPr>
                <w:rFonts w:eastAsia="宋体"/>
                <w:color w:val="auto"/>
                <w:sz w:val="21"/>
                <w:szCs w:val="21"/>
                <w:highlight w:val="none"/>
              </w:rPr>
            </w:pPr>
            <w:r>
              <w:rPr>
                <w:rFonts w:eastAsia="宋体"/>
                <w:color w:val="auto"/>
                <w:sz w:val="21"/>
                <w:szCs w:val="21"/>
                <w:highlight w:val="none"/>
              </w:rPr>
              <w:t>3</w:t>
            </w:r>
          </w:p>
        </w:tc>
        <w:tc>
          <w:tcPr>
            <w:tcW w:w="687" w:type="dxa"/>
            <w:tcBorders>
              <w:top w:val="single" w:color="000000" w:sz="4" w:space="0"/>
              <w:left w:val="single" w:color="000000" w:sz="4" w:space="0"/>
              <w:bottom w:val="single" w:color="000000" w:sz="4" w:space="0"/>
              <w:right w:val="single" w:color="000000" w:sz="4" w:space="0"/>
            </w:tcBorders>
            <w:vAlign w:val="center"/>
          </w:tcPr>
          <w:p w14:paraId="32ED3D75">
            <w:pPr>
              <w:pStyle w:val="98"/>
              <w:ind w:left="-105" w:right="-105"/>
              <w:rPr>
                <w:rFonts w:eastAsia="宋体"/>
                <w:color w:val="auto"/>
                <w:sz w:val="21"/>
                <w:szCs w:val="21"/>
                <w:highlight w:val="none"/>
              </w:rPr>
            </w:pPr>
            <w:r>
              <w:rPr>
                <w:rFonts w:eastAsia="宋体"/>
                <w:color w:val="auto"/>
                <w:sz w:val="21"/>
                <w:szCs w:val="21"/>
                <w:highlight w:val="none"/>
              </w:rPr>
              <w:t>2.5</w:t>
            </w:r>
          </w:p>
        </w:tc>
        <w:tc>
          <w:tcPr>
            <w:tcW w:w="687" w:type="dxa"/>
            <w:tcBorders>
              <w:top w:val="single" w:color="000000" w:sz="4" w:space="0"/>
              <w:left w:val="single" w:color="000000" w:sz="4" w:space="0"/>
              <w:bottom w:val="single" w:color="000000" w:sz="4" w:space="0"/>
              <w:right w:val="single" w:color="000000" w:sz="4" w:space="0"/>
            </w:tcBorders>
            <w:vAlign w:val="center"/>
          </w:tcPr>
          <w:p w14:paraId="74900BA3">
            <w:pPr>
              <w:pStyle w:val="98"/>
              <w:ind w:left="-105" w:right="-105"/>
              <w:rPr>
                <w:rFonts w:eastAsia="宋体"/>
                <w:color w:val="auto"/>
                <w:sz w:val="21"/>
                <w:szCs w:val="21"/>
                <w:highlight w:val="none"/>
              </w:rPr>
            </w:pPr>
            <w:r>
              <w:rPr>
                <w:rFonts w:eastAsia="宋体"/>
                <w:color w:val="auto"/>
                <w:sz w:val="21"/>
                <w:szCs w:val="21"/>
                <w:highlight w:val="none"/>
              </w:rPr>
              <w:t>2.7</w:t>
            </w:r>
          </w:p>
        </w:tc>
        <w:tc>
          <w:tcPr>
            <w:tcW w:w="687" w:type="dxa"/>
            <w:tcBorders>
              <w:top w:val="single" w:color="000000" w:sz="4" w:space="0"/>
              <w:left w:val="single" w:color="000000" w:sz="4" w:space="0"/>
              <w:bottom w:val="single" w:color="000000" w:sz="4" w:space="0"/>
              <w:right w:val="single" w:color="000000" w:sz="4" w:space="0"/>
            </w:tcBorders>
            <w:vAlign w:val="center"/>
          </w:tcPr>
          <w:p w14:paraId="305B7A1F">
            <w:pPr>
              <w:pStyle w:val="98"/>
              <w:ind w:left="-105" w:right="-105"/>
              <w:rPr>
                <w:rFonts w:eastAsia="宋体"/>
                <w:color w:val="auto"/>
                <w:sz w:val="21"/>
                <w:szCs w:val="21"/>
                <w:highlight w:val="none"/>
              </w:rPr>
            </w:pPr>
            <w:r>
              <w:rPr>
                <w:rFonts w:eastAsia="宋体"/>
                <w:color w:val="auto"/>
                <w:sz w:val="21"/>
                <w:szCs w:val="21"/>
                <w:highlight w:val="none"/>
              </w:rPr>
              <w:t>1.9</w:t>
            </w:r>
          </w:p>
        </w:tc>
        <w:tc>
          <w:tcPr>
            <w:tcW w:w="684" w:type="dxa"/>
            <w:tcBorders>
              <w:top w:val="single" w:color="000000" w:sz="4" w:space="0"/>
              <w:left w:val="single" w:color="000000" w:sz="4" w:space="0"/>
              <w:bottom w:val="single" w:color="000000" w:sz="4" w:space="0"/>
              <w:right w:val="single" w:color="000000" w:sz="4" w:space="0"/>
            </w:tcBorders>
            <w:vAlign w:val="center"/>
          </w:tcPr>
          <w:p w14:paraId="27C1CE03">
            <w:pPr>
              <w:pStyle w:val="98"/>
              <w:ind w:left="-105" w:right="-105"/>
              <w:rPr>
                <w:rFonts w:eastAsia="宋体"/>
                <w:color w:val="auto"/>
                <w:sz w:val="21"/>
                <w:szCs w:val="21"/>
                <w:highlight w:val="none"/>
              </w:rPr>
            </w:pPr>
            <w:r>
              <w:rPr>
                <w:rFonts w:eastAsia="宋体"/>
                <w:color w:val="auto"/>
                <w:sz w:val="21"/>
                <w:szCs w:val="21"/>
                <w:highlight w:val="none"/>
              </w:rPr>
              <w:t>1.9</w:t>
            </w:r>
          </w:p>
        </w:tc>
        <w:tc>
          <w:tcPr>
            <w:tcW w:w="714" w:type="dxa"/>
            <w:tcBorders>
              <w:top w:val="single" w:color="000000" w:sz="4" w:space="0"/>
              <w:left w:val="single" w:color="000000" w:sz="4" w:space="0"/>
              <w:bottom w:val="single" w:color="000000" w:sz="4" w:space="0"/>
              <w:right w:val="single" w:color="000000" w:sz="4" w:space="0"/>
            </w:tcBorders>
            <w:vAlign w:val="center"/>
          </w:tcPr>
          <w:p w14:paraId="2CC85518">
            <w:pPr>
              <w:pStyle w:val="98"/>
              <w:ind w:left="-105" w:right="-105"/>
              <w:rPr>
                <w:rFonts w:eastAsia="宋体"/>
                <w:color w:val="auto"/>
                <w:sz w:val="21"/>
                <w:szCs w:val="21"/>
                <w:highlight w:val="none"/>
              </w:rPr>
            </w:pPr>
            <w:r>
              <w:rPr>
                <w:rFonts w:eastAsia="宋体"/>
                <w:color w:val="auto"/>
                <w:sz w:val="21"/>
                <w:szCs w:val="21"/>
                <w:highlight w:val="none"/>
              </w:rPr>
              <w:t>2.4</w:t>
            </w:r>
          </w:p>
        </w:tc>
        <w:tc>
          <w:tcPr>
            <w:tcW w:w="686" w:type="dxa"/>
            <w:tcBorders>
              <w:top w:val="single" w:color="000000" w:sz="4" w:space="0"/>
              <w:left w:val="single" w:color="000000" w:sz="4" w:space="0"/>
              <w:bottom w:val="single" w:color="000000" w:sz="4" w:space="0"/>
              <w:right w:val="single" w:color="000000" w:sz="4" w:space="0"/>
            </w:tcBorders>
            <w:vAlign w:val="center"/>
          </w:tcPr>
          <w:p w14:paraId="3BABDF19">
            <w:pPr>
              <w:pStyle w:val="98"/>
              <w:ind w:left="-105" w:right="-105"/>
              <w:rPr>
                <w:rFonts w:eastAsia="宋体"/>
                <w:color w:val="auto"/>
                <w:sz w:val="21"/>
                <w:szCs w:val="21"/>
                <w:highlight w:val="none"/>
              </w:rPr>
            </w:pPr>
            <w:r>
              <w:rPr>
                <w:rFonts w:eastAsia="宋体"/>
                <w:color w:val="auto"/>
                <w:sz w:val="21"/>
                <w:szCs w:val="21"/>
                <w:highlight w:val="none"/>
              </w:rPr>
              <w:t>2.6</w:t>
            </w:r>
          </w:p>
        </w:tc>
        <w:tc>
          <w:tcPr>
            <w:tcW w:w="747" w:type="dxa"/>
            <w:tcBorders>
              <w:top w:val="single" w:color="000000" w:sz="4" w:space="0"/>
              <w:left w:val="single" w:color="000000" w:sz="4" w:space="0"/>
              <w:bottom w:val="single" w:color="000000" w:sz="4" w:space="0"/>
              <w:right w:val="single" w:color="000000" w:sz="4" w:space="0"/>
            </w:tcBorders>
            <w:vAlign w:val="center"/>
          </w:tcPr>
          <w:p w14:paraId="3ED6FBDC">
            <w:pPr>
              <w:pStyle w:val="98"/>
              <w:ind w:left="-105" w:right="-105"/>
              <w:rPr>
                <w:rFonts w:eastAsia="宋体"/>
                <w:color w:val="auto"/>
                <w:sz w:val="21"/>
                <w:szCs w:val="21"/>
                <w:highlight w:val="none"/>
              </w:rPr>
            </w:pPr>
            <w:r>
              <w:rPr>
                <w:rFonts w:eastAsia="宋体"/>
                <w:color w:val="auto"/>
                <w:sz w:val="21"/>
                <w:szCs w:val="21"/>
                <w:highlight w:val="none"/>
              </w:rPr>
              <w:t>3.7</w:t>
            </w:r>
          </w:p>
        </w:tc>
        <w:tc>
          <w:tcPr>
            <w:tcW w:w="686" w:type="dxa"/>
            <w:tcBorders>
              <w:top w:val="single" w:color="000000" w:sz="4" w:space="0"/>
              <w:left w:val="single" w:color="000000" w:sz="4" w:space="0"/>
              <w:bottom w:val="single" w:color="000000" w:sz="4" w:space="0"/>
              <w:right w:val="single" w:color="000000" w:sz="4" w:space="0"/>
            </w:tcBorders>
            <w:vAlign w:val="center"/>
          </w:tcPr>
          <w:p w14:paraId="4FFA90A3">
            <w:pPr>
              <w:pStyle w:val="98"/>
              <w:ind w:left="-105" w:right="-105"/>
              <w:rPr>
                <w:rFonts w:eastAsia="宋体"/>
                <w:color w:val="auto"/>
                <w:sz w:val="21"/>
                <w:szCs w:val="21"/>
                <w:highlight w:val="none"/>
              </w:rPr>
            </w:pPr>
            <w:r>
              <w:rPr>
                <w:rFonts w:eastAsia="宋体"/>
                <w:color w:val="auto"/>
                <w:sz w:val="21"/>
                <w:szCs w:val="21"/>
                <w:highlight w:val="none"/>
              </w:rPr>
              <w:t>2.8</w:t>
            </w:r>
          </w:p>
        </w:tc>
        <w:tc>
          <w:tcPr>
            <w:tcW w:w="700" w:type="dxa"/>
            <w:tcBorders>
              <w:top w:val="single" w:color="000000" w:sz="4" w:space="0"/>
              <w:left w:val="single" w:color="000000" w:sz="4" w:space="0"/>
              <w:bottom w:val="single" w:color="000000" w:sz="4" w:space="0"/>
              <w:right w:val="single" w:color="000000" w:sz="4" w:space="0"/>
            </w:tcBorders>
            <w:vAlign w:val="center"/>
          </w:tcPr>
          <w:p w14:paraId="0173A1AE">
            <w:pPr>
              <w:pStyle w:val="98"/>
              <w:ind w:left="-105" w:right="-105"/>
              <w:rPr>
                <w:rFonts w:eastAsia="宋体"/>
                <w:color w:val="auto"/>
                <w:sz w:val="21"/>
                <w:szCs w:val="21"/>
                <w:highlight w:val="none"/>
              </w:rPr>
            </w:pPr>
            <w:r>
              <w:rPr>
                <w:rFonts w:eastAsia="宋体"/>
                <w:color w:val="auto"/>
                <w:sz w:val="21"/>
                <w:szCs w:val="21"/>
                <w:highlight w:val="none"/>
              </w:rPr>
              <w:t>1.8</w:t>
            </w:r>
          </w:p>
        </w:tc>
        <w:tc>
          <w:tcPr>
            <w:tcW w:w="686" w:type="dxa"/>
            <w:tcBorders>
              <w:top w:val="single" w:color="000000" w:sz="4" w:space="0"/>
              <w:left w:val="single" w:color="000000" w:sz="4" w:space="0"/>
              <w:bottom w:val="single" w:color="000000" w:sz="4" w:space="0"/>
              <w:right w:val="single" w:color="000000" w:sz="4" w:space="0"/>
            </w:tcBorders>
            <w:vAlign w:val="center"/>
          </w:tcPr>
          <w:p w14:paraId="073BC76F">
            <w:pPr>
              <w:pStyle w:val="98"/>
              <w:ind w:left="-105" w:right="-105"/>
              <w:rPr>
                <w:rFonts w:eastAsia="宋体"/>
                <w:color w:val="auto"/>
                <w:sz w:val="21"/>
                <w:szCs w:val="21"/>
                <w:highlight w:val="none"/>
              </w:rPr>
            </w:pPr>
            <w:r>
              <w:rPr>
                <w:rFonts w:eastAsia="宋体"/>
                <w:color w:val="auto"/>
                <w:sz w:val="21"/>
                <w:szCs w:val="21"/>
                <w:highlight w:val="none"/>
              </w:rPr>
              <w:t>/</w:t>
            </w:r>
          </w:p>
        </w:tc>
        <w:tc>
          <w:tcPr>
            <w:tcW w:w="693" w:type="dxa"/>
            <w:tcBorders>
              <w:top w:val="single" w:color="000000" w:sz="4" w:space="0"/>
              <w:left w:val="single" w:color="000000" w:sz="4" w:space="0"/>
              <w:bottom w:val="single" w:color="000000" w:sz="4" w:space="0"/>
              <w:right w:val="nil"/>
            </w:tcBorders>
            <w:vAlign w:val="center"/>
          </w:tcPr>
          <w:p w14:paraId="0D41B82F">
            <w:pPr>
              <w:pStyle w:val="98"/>
              <w:ind w:left="-105" w:right="-105"/>
              <w:rPr>
                <w:rFonts w:eastAsia="宋体"/>
                <w:color w:val="auto"/>
                <w:sz w:val="21"/>
                <w:szCs w:val="21"/>
                <w:highlight w:val="none"/>
              </w:rPr>
            </w:pPr>
            <w:r>
              <w:rPr>
                <w:rFonts w:eastAsia="宋体"/>
                <w:color w:val="auto"/>
                <w:sz w:val="21"/>
                <w:szCs w:val="21"/>
                <w:highlight w:val="none"/>
              </w:rPr>
              <w:t>2.68</w:t>
            </w:r>
          </w:p>
        </w:tc>
      </w:tr>
      <w:tr w14:paraId="00ADBE19">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108" w:type="dxa"/>
            <w:bottom w:w="0" w:type="dxa"/>
            <w:right w:w="108" w:type="dxa"/>
          </w:tblCellMar>
        </w:tblPrEx>
        <w:trPr>
          <w:gridAfter w:val="1"/>
          <w:wAfter w:w="21" w:type="dxa"/>
          <w:trHeight w:val="234" w:hRule="atLeast"/>
          <w:jc w:val="center"/>
        </w:trPr>
        <w:tc>
          <w:tcPr>
            <w:tcW w:w="688" w:type="dxa"/>
            <w:vMerge w:val="restart"/>
            <w:tcBorders>
              <w:top w:val="single" w:color="000000" w:sz="4" w:space="0"/>
              <w:left w:val="nil"/>
              <w:bottom w:val="single" w:color="000000" w:sz="4" w:space="0"/>
              <w:right w:val="single" w:color="000000" w:sz="4" w:space="0"/>
            </w:tcBorders>
            <w:vAlign w:val="center"/>
          </w:tcPr>
          <w:p w14:paraId="58922652">
            <w:pPr>
              <w:pStyle w:val="98"/>
              <w:ind w:left="-105" w:right="-105"/>
              <w:rPr>
                <w:rFonts w:eastAsia="宋体"/>
                <w:color w:val="auto"/>
                <w:sz w:val="21"/>
                <w:szCs w:val="21"/>
                <w:highlight w:val="none"/>
              </w:rPr>
            </w:pPr>
            <w:r>
              <w:rPr>
                <w:rFonts w:eastAsia="宋体"/>
                <w:color w:val="auto"/>
                <w:sz w:val="21"/>
                <w:szCs w:val="21"/>
                <w:highlight w:val="none"/>
              </w:rPr>
              <w:t>6月</w:t>
            </w:r>
          </w:p>
        </w:tc>
        <w:tc>
          <w:tcPr>
            <w:tcW w:w="687" w:type="dxa"/>
            <w:tcBorders>
              <w:top w:val="single" w:color="000000" w:sz="4" w:space="0"/>
              <w:left w:val="single" w:color="000000" w:sz="4" w:space="0"/>
              <w:bottom w:val="single" w:color="000000" w:sz="4" w:space="0"/>
              <w:right w:val="single" w:color="000000" w:sz="4" w:space="0"/>
            </w:tcBorders>
            <w:vAlign w:val="center"/>
          </w:tcPr>
          <w:p w14:paraId="49C4D7E0">
            <w:pPr>
              <w:pStyle w:val="98"/>
              <w:ind w:left="-105" w:right="-105"/>
              <w:rPr>
                <w:rFonts w:eastAsia="宋体"/>
                <w:color w:val="auto"/>
                <w:sz w:val="21"/>
                <w:szCs w:val="21"/>
                <w:highlight w:val="none"/>
              </w:rPr>
            </w:pPr>
            <w:r>
              <w:rPr>
                <w:rFonts w:eastAsia="宋体"/>
                <w:color w:val="auto"/>
                <w:sz w:val="21"/>
                <w:szCs w:val="21"/>
                <w:highlight w:val="none"/>
              </w:rPr>
              <w:t>频率</w:t>
            </w:r>
          </w:p>
        </w:tc>
        <w:tc>
          <w:tcPr>
            <w:tcW w:w="687" w:type="dxa"/>
            <w:tcBorders>
              <w:top w:val="single" w:color="000000" w:sz="4" w:space="0"/>
              <w:left w:val="single" w:color="000000" w:sz="4" w:space="0"/>
              <w:bottom w:val="single" w:color="000000" w:sz="4" w:space="0"/>
              <w:right w:val="single" w:color="000000" w:sz="4" w:space="0"/>
            </w:tcBorders>
            <w:vAlign w:val="center"/>
          </w:tcPr>
          <w:p w14:paraId="055C04E4">
            <w:pPr>
              <w:pStyle w:val="98"/>
              <w:ind w:left="-105" w:right="-105"/>
              <w:rPr>
                <w:rFonts w:eastAsia="宋体"/>
                <w:color w:val="auto"/>
                <w:sz w:val="21"/>
                <w:szCs w:val="21"/>
                <w:highlight w:val="none"/>
              </w:rPr>
            </w:pPr>
            <w:r>
              <w:rPr>
                <w:rFonts w:eastAsia="宋体"/>
                <w:color w:val="auto"/>
                <w:sz w:val="21"/>
                <w:szCs w:val="21"/>
                <w:highlight w:val="none"/>
              </w:rPr>
              <w:t>3.6</w:t>
            </w:r>
          </w:p>
        </w:tc>
        <w:tc>
          <w:tcPr>
            <w:tcW w:w="687" w:type="dxa"/>
            <w:tcBorders>
              <w:top w:val="single" w:color="000000" w:sz="4" w:space="0"/>
              <w:left w:val="single" w:color="000000" w:sz="4" w:space="0"/>
              <w:bottom w:val="single" w:color="000000" w:sz="4" w:space="0"/>
              <w:right w:val="single" w:color="000000" w:sz="4" w:space="0"/>
            </w:tcBorders>
            <w:vAlign w:val="center"/>
          </w:tcPr>
          <w:p w14:paraId="61818865">
            <w:pPr>
              <w:pStyle w:val="98"/>
              <w:ind w:left="-105" w:right="-105"/>
              <w:rPr>
                <w:rFonts w:eastAsia="宋体"/>
                <w:color w:val="auto"/>
                <w:sz w:val="21"/>
                <w:szCs w:val="21"/>
                <w:highlight w:val="none"/>
              </w:rPr>
            </w:pPr>
            <w:r>
              <w:rPr>
                <w:rFonts w:eastAsia="宋体"/>
                <w:color w:val="auto"/>
                <w:sz w:val="21"/>
                <w:szCs w:val="21"/>
                <w:highlight w:val="none"/>
              </w:rPr>
              <w:t>1.6</w:t>
            </w:r>
          </w:p>
        </w:tc>
        <w:tc>
          <w:tcPr>
            <w:tcW w:w="687" w:type="dxa"/>
            <w:tcBorders>
              <w:top w:val="single" w:color="000000" w:sz="4" w:space="0"/>
              <w:left w:val="single" w:color="000000" w:sz="4" w:space="0"/>
              <w:bottom w:val="single" w:color="000000" w:sz="4" w:space="0"/>
              <w:right w:val="single" w:color="000000" w:sz="4" w:space="0"/>
            </w:tcBorders>
            <w:vAlign w:val="center"/>
          </w:tcPr>
          <w:p w14:paraId="77D3D300">
            <w:pPr>
              <w:pStyle w:val="98"/>
              <w:ind w:left="-105" w:right="-105"/>
              <w:rPr>
                <w:rFonts w:eastAsia="宋体"/>
                <w:color w:val="auto"/>
                <w:sz w:val="21"/>
                <w:szCs w:val="21"/>
                <w:highlight w:val="none"/>
              </w:rPr>
            </w:pPr>
            <w:r>
              <w:rPr>
                <w:rFonts w:eastAsia="宋体"/>
                <w:color w:val="auto"/>
                <w:sz w:val="21"/>
                <w:szCs w:val="21"/>
                <w:highlight w:val="none"/>
              </w:rPr>
              <w:t>3</w:t>
            </w:r>
          </w:p>
        </w:tc>
        <w:tc>
          <w:tcPr>
            <w:tcW w:w="688" w:type="dxa"/>
            <w:tcBorders>
              <w:top w:val="single" w:color="000000" w:sz="4" w:space="0"/>
              <w:left w:val="single" w:color="000000" w:sz="4" w:space="0"/>
              <w:bottom w:val="single" w:color="000000" w:sz="4" w:space="0"/>
              <w:right w:val="single" w:color="000000" w:sz="4" w:space="0"/>
            </w:tcBorders>
            <w:vAlign w:val="center"/>
          </w:tcPr>
          <w:p w14:paraId="04BAAEBB">
            <w:pPr>
              <w:pStyle w:val="98"/>
              <w:ind w:left="-105" w:right="-105"/>
              <w:rPr>
                <w:rFonts w:eastAsia="宋体"/>
                <w:color w:val="auto"/>
                <w:sz w:val="21"/>
                <w:szCs w:val="21"/>
                <w:highlight w:val="none"/>
              </w:rPr>
            </w:pPr>
            <w:r>
              <w:rPr>
                <w:rFonts w:eastAsia="宋体"/>
                <w:color w:val="auto"/>
                <w:sz w:val="21"/>
                <w:szCs w:val="21"/>
                <w:highlight w:val="none"/>
              </w:rPr>
              <w:t>4.8</w:t>
            </w:r>
          </w:p>
        </w:tc>
        <w:tc>
          <w:tcPr>
            <w:tcW w:w="687" w:type="dxa"/>
            <w:tcBorders>
              <w:top w:val="single" w:color="000000" w:sz="4" w:space="0"/>
              <w:left w:val="single" w:color="000000" w:sz="4" w:space="0"/>
              <w:bottom w:val="single" w:color="000000" w:sz="4" w:space="0"/>
              <w:right w:val="single" w:color="000000" w:sz="4" w:space="0"/>
            </w:tcBorders>
            <w:vAlign w:val="center"/>
          </w:tcPr>
          <w:p w14:paraId="4FE7A01E">
            <w:pPr>
              <w:pStyle w:val="98"/>
              <w:ind w:left="-105" w:right="-105"/>
              <w:rPr>
                <w:rFonts w:eastAsia="宋体"/>
                <w:color w:val="auto"/>
                <w:sz w:val="21"/>
                <w:szCs w:val="21"/>
                <w:highlight w:val="none"/>
              </w:rPr>
            </w:pPr>
            <w:r>
              <w:rPr>
                <w:rFonts w:eastAsia="宋体"/>
                <w:color w:val="auto"/>
                <w:sz w:val="21"/>
                <w:szCs w:val="21"/>
                <w:highlight w:val="none"/>
              </w:rPr>
              <w:t>12</w:t>
            </w:r>
          </w:p>
        </w:tc>
        <w:tc>
          <w:tcPr>
            <w:tcW w:w="687" w:type="dxa"/>
            <w:tcBorders>
              <w:top w:val="single" w:color="000000" w:sz="4" w:space="0"/>
              <w:left w:val="single" w:color="000000" w:sz="4" w:space="0"/>
              <w:bottom w:val="single" w:color="000000" w:sz="4" w:space="0"/>
              <w:right w:val="single" w:color="000000" w:sz="4" w:space="0"/>
            </w:tcBorders>
            <w:vAlign w:val="center"/>
          </w:tcPr>
          <w:p w14:paraId="7C2C9B71">
            <w:pPr>
              <w:pStyle w:val="98"/>
              <w:ind w:left="-105" w:right="-105"/>
              <w:rPr>
                <w:rFonts w:eastAsia="宋体"/>
                <w:color w:val="auto"/>
                <w:sz w:val="21"/>
                <w:szCs w:val="21"/>
                <w:highlight w:val="none"/>
              </w:rPr>
            </w:pPr>
            <w:r>
              <w:rPr>
                <w:rFonts w:eastAsia="宋体"/>
                <w:color w:val="auto"/>
                <w:sz w:val="21"/>
                <w:szCs w:val="21"/>
                <w:highlight w:val="none"/>
              </w:rPr>
              <w:t>19.6</w:t>
            </w:r>
          </w:p>
        </w:tc>
        <w:tc>
          <w:tcPr>
            <w:tcW w:w="687" w:type="dxa"/>
            <w:tcBorders>
              <w:top w:val="single" w:color="000000" w:sz="4" w:space="0"/>
              <w:left w:val="single" w:color="000000" w:sz="4" w:space="0"/>
              <w:bottom w:val="single" w:color="000000" w:sz="4" w:space="0"/>
              <w:right w:val="single" w:color="000000" w:sz="4" w:space="0"/>
            </w:tcBorders>
            <w:vAlign w:val="center"/>
          </w:tcPr>
          <w:p w14:paraId="2EF0C66D">
            <w:pPr>
              <w:pStyle w:val="98"/>
              <w:ind w:left="-105" w:right="-105"/>
              <w:rPr>
                <w:rFonts w:eastAsia="宋体"/>
                <w:color w:val="auto"/>
                <w:sz w:val="21"/>
                <w:szCs w:val="21"/>
                <w:highlight w:val="none"/>
              </w:rPr>
            </w:pPr>
            <w:r>
              <w:rPr>
                <w:rFonts w:eastAsia="宋体"/>
                <w:color w:val="auto"/>
                <w:sz w:val="21"/>
                <w:szCs w:val="21"/>
                <w:highlight w:val="none"/>
              </w:rPr>
              <w:t>14.6</w:t>
            </w:r>
          </w:p>
        </w:tc>
        <w:tc>
          <w:tcPr>
            <w:tcW w:w="687" w:type="dxa"/>
            <w:tcBorders>
              <w:top w:val="single" w:color="000000" w:sz="4" w:space="0"/>
              <w:left w:val="single" w:color="000000" w:sz="4" w:space="0"/>
              <w:bottom w:val="single" w:color="000000" w:sz="4" w:space="0"/>
              <w:right w:val="single" w:color="000000" w:sz="4" w:space="0"/>
            </w:tcBorders>
            <w:vAlign w:val="center"/>
          </w:tcPr>
          <w:p w14:paraId="69B35988">
            <w:pPr>
              <w:pStyle w:val="98"/>
              <w:ind w:left="-105" w:right="-105"/>
              <w:rPr>
                <w:rFonts w:eastAsia="宋体"/>
                <w:color w:val="auto"/>
                <w:sz w:val="21"/>
                <w:szCs w:val="21"/>
                <w:highlight w:val="none"/>
              </w:rPr>
            </w:pPr>
            <w:r>
              <w:rPr>
                <w:rFonts w:eastAsia="宋体"/>
                <w:color w:val="auto"/>
                <w:sz w:val="21"/>
                <w:szCs w:val="21"/>
                <w:highlight w:val="none"/>
              </w:rPr>
              <w:t>6.4</w:t>
            </w:r>
          </w:p>
        </w:tc>
        <w:tc>
          <w:tcPr>
            <w:tcW w:w="687" w:type="dxa"/>
            <w:tcBorders>
              <w:top w:val="single" w:color="000000" w:sz="4" w:space="0"/>
              <w:left w:val="single" w:color="000000" w:sz="4" w:space="0"/>
              <w:bottom w:val="single" w:color="000000" w:sz="4" w:space="0"/>
              <w:right w:val="single" w:color="000000" w:sz="4" w:space="0"/>
            </w:tcBorders>
            <w:vAlign w:val="center"/>
          </w:tcPr>
          <w:p w14:paraId="02150288">
            <w:pPr>
              <w:pStyle w:val="98"/>
              <w:ind w:left="-105" w:right="-105"/>
              <w:rPr>
                <w:rFonts w:eastAsia="宋体"/>
                <w:color w:val="auto"/>
                <w:sz w:val="21"/>
                <w:szCs w:val="21"/>
                <w:highlight w:val="none"/>
              </w:rPr>
            </w:pPr>
            <w:r>
              <w:rPr>
                <w:rFonts w:eastAsia="宋体"/>
                <w:color w:val="auto"/>
                <w:sz w:val="21"/>
                <w:szCs w:val="21"/>
                <w:highlight w:val="none"/>
              </w:rPr>
              <w:t>5.6</w:t>
            </w:r>
          </w:p>
        </w:tc>
        <w:tc>
          <w:tcPr>
            <w:tcW w:w="687" w:type="dxa"/>
            <w:tcBorders>
              <w:top w:val="single" w:color="000000" w:sz="4" w:space="0"/>
              <w:left w:val="single" w:color="000000" w:sz="4" w:space="0"/>
              <w:bottom w:val="single" w:color="000000" w:sz="4" w:space="0"/>
              <w:right w:val="single" w:color="000000" w:sz="4" w:space="0"/>
            </w:tcBorders>
            <w:vAlign w:val="center"/>
          </w:tcPr>
          <w:p w14:paraId="13E4FBDD">
            <w:pPr>
              <w:pStyle w:val="98"/>
              <w:ind w:left="-105" w:right="-105"/>
              <w:rPr>
                <w:rFonts w:eastAsia="宋体"/>
                <w:color w:val="auto"/>
                <w:sz w:val="21"/>
                <w:szCs w:val="21"/>
                <w:highlight w:val="none"/>
              </w:rPr>
            </w:pPr>
            <w:r>
              <w:rPr>
                <w:rFonts w:eastAsia="宋体"/>
                <w:color w:val="auto"/>
                <w:sz w:val="21"/>
                <w:szCs w:val="21"/>
                <w:highlight w:val="none"/>
              </w:rPr>
              <w:t>5.4</w:t>
            </w:r>
          </w:p>
        </w:tc>
        <w:tc>
          <w:tcPr>
            <w:tcW w:w="684" w:type="dxa"/>
            <w:tcBorders>
              <w:top w:val="single" w:color="000000" w:sz="4" w:space="0"/>
              <w:left w:val="single" w:color="000000" w:sz="4" w:space="0"/>
              <w:bottom w:val="single" w:color="000000" w:sz="4" w:space="0"/>
              <w:right w:val="single" w:color="000000" w:sz="4" w:space="0"/>
            </w:tcBorders>
            <w:vAlign w:val="center"/>
          </w:tcPr>
          <w:p w14:paraId="0ECC270B">
            <w:pPr>
              <w:pStyle w:val="98"/>
              <w:ind w:left="-105" w:right="-105"/>
              <w:rPr>
                <w:rFonts w:eastAsia="宋体"/>
                <w:color w:val="auto"/>
                <w:sz w:val="21"/>
                <w:szCs w:val="21"/>
                <w:highlight w:val="none"/>
              </w:rPr>
            </w:pPr>
            <w:r>
              <w:rPr>
                <w:rFonts w:eastAsia="宋体"/>
                <w:color w:val="auto"/>
                <w:sz w:val="21"/>
                <w:szCs w:val="21"/>
                <w:highlight w:val="none"/>
              </w:rPr>
              <w:t>2.8</w:t>
            </w:r>
          </w:p>
        </w:tc>
        <w:tc>
          <w:tcPr>
            <w:tcW w:w="714" w:type="dxa"/>
            <w:tcBorders>
              <w:top w:val="single" w:color="000000" w:sz="4" w:space="0"/>
              <w:left w:val="single" w:color="000000" w:sz="4" w:space="0"/>
              <w:bottom w:val="single" w:color="000000" w:sz="4" w:space="0"/>
              <w:right w:val="single" w:color="000000" w:sz="4" w:space="0"/>
            </w:tcBorders>
            <w:vAlign w:val="center"/>
          </w:tcPr>
          <w:p w14:paraId="45A32710">
            <w:pPr>
              <w:pStyle w:val="98"/>
              <w:ind w:left="-105" w:right="-105"/>
              <w:rPr>
                <w:rFonts w:eastAsia="宋体"/>
                <w:color w:val="auto"/>
                <w:sz w:val="21"/>
                <w:szCs w:val="21"/>
                <w:highlight w:val="none"/>
              </w:rPr>
            </w:pPr>
            <w:r>
              <w:rPr>
                <w:rFonts w:eastAsia="宋体"/>
                <w:color w:val="auto"/>
                <w:sz w:val="21"/>
                <w:szCs w:val="21"/>
                <w:highlight w:val="none"/>
              </w:rPr>
              <w:t>3</w:t>
            </w:r>
          </w:p>
        </w:tc>
        <w:tc>
          <w:tcPr>
            <w:tcW w:w="686" w:type="dxa"/>
            <w:tcBorders>
              <w:top w:val="single" w:color="000000" w:sz="4" w:space="0"/>
              <w:left w:val="single" w:color="000000" w:sz="4" w:space="0"/>
              <w:bottom w:val="single" w:color="000000" w:sz="4" w:space="0"/>
              <w:right w:val="single" w:color="000000" w:sz="4" w:space="0"/>
            </w:tcBorders>
            <w:vAlign w:val="center"/>
          </w:tcPr>
          <w:p w14:paraId="5C432785">
            <w:pPr>
              <w:pStyle w:val="98"/>
              <w:ind w:left="-105" w:right="-105"/>
              <w:rPr>
                <w:rFonts w:eastAsia="宋体"/>
                <w:color w:val="auto"/>
                <w:sz w:val="21"/>
                <w:szCs w:val="21"/>
                <w:highlight w:val="none"/>
              </w:rPr>
            </w:pPr>
            <w:r>
              <w:rPr>
                <w:rFonts w:eastAsia="宋体"/>
                <w:color w:val="auto"/>
                <w:sz w:val="21"/>
                <w:szCs w:val="21"/>
                <w:highlight w:val="none"/>
              </w:rPr>
              <w:t>1.8</w:t>
            </w:r>
          </w:p>
        </w:tc>
        <w:tc>
          <w:tcPr>
            <w:tcW w:w="747" w:type="dxa"/>
            <w:tcBorders>
              <w:top w:val="single" w:color="000000" w:sz="4" w:space="0"/>
              <w:left w:val="single" w:color="000000" w:sz="4" w:space="0"/>
              <w:bottom w:val="single" w:color="000000" w:sz="4" w:space="0"/>
              <w:right w:val="single" w:color="000000" w:sz="4" w:space="0"/>
            </w:tcBorders>
            <w:vAlign w:val="center"/>
          </w:tcPr>
          <w:p w14:paraId="0DFCE438">
            <w:pPr>
              <w:pStyle w:val="98"/>
              <w:ind w:left="-105" w:right="-105"/>
              <w:rPr>
                <w:rFonts w:eastAsia="宋体"/>
                <w:color w:val="auto"/>
                <w:sz w:val="21"/>
                <w:szCs w:val="21"/>
                <w:highlight w:val="none"/>
              </w:rPr>
            </w:pPr>
            <w:r>
              <w:rPr>
                <w:rFonts w:eastAsia="宋体"/>
                <w:color w:val="auto"/>
                <w:sz w:val="21"/>
                <w:szCs w:val="21"/>
                <w:highlight w:val="none"/>
              </w:rPr>
              <w:t>3</w:t>
            </w:r>
          </w:p>
        </w:tc>
        <w:tc>
          <w:tcPr>
            <w:tcW w:w="686" w:type="dxa"/>
            <w:tcBorders>
              <w:top w:val="single" w:color="000000" w:sz="4" w:space="0"/>
              <w:left w:val="single" w:color="000000" w:sz="4" w:space="0"/>
              <w:bottom w:val="single" w:color="000000" w:sz="4" w:space="0"/>
              <w:right w:val="single" w:color="000000" w:sz="4" w:space="0"/>
            </w:tcBorders>
            <w:vAlign w:val="center"/>
          </w:tcPr>
          <w:p w14:paraId="4538F84B">
            <w:pPr>
              <w:pStyle w:val="98"/>
              <w:ind w:left="-105" w:right="-105"/>
              <w:rPr>
                <w:rFonts w:eastAsia="宋体"/>
                <w:color w:val="auto"/>
                <w:sz w:val="21"/>
                <w:szCs w:val="21"/>
                <w:highlight w:val="none"/>
              </w:rPr>
            </w:pPr>
            <w:r>
              <w:rPr>
                <w:rFonts w:eastAsia="宋体"/>
                <w:color w:val="auto"/>
                <w:sz w:val="21"/>
                <w:szCs w:val="21"/>
                <w:highlight w:val="none"/>
              </w:rPr>
              <w:t>2</w:t>
            </w:r>
          </w:p>
        </w:tc>
        <w:tc>
          <w:tcPr>
            <w:tcW w:w="700" w:type="dxa"/>
            <w:tcBorders>
              <w:top w:val="single" w:color="000000" w:sz="4" w:space="0"/>
              <w:left w:val="single" w:color="000000" w:sz="4" w:space="0"/>
              <w:bottom w:val="single" w:color="000000" w:sz="4" w:space="0"/>
              <w:right w:val="single" w:color="000000" w:sz="4" w:space="0"/>
            </w:tcBorders>
            <w:vAlign w:val="center"/>
          </w:tcPr>
          <w:p w14:paraId="648C1603">
            <w:pPr>
              <w:pStyle w:val="98"/>
              <w:ind w:left="-105" w:right="-105"/>
              <w:rPr>
                <w:rFonts w:eastAsia="宋体"/>
                <w:color w:val="auto"/>
                <w:sz w:val="21"/>
                <w:szCs w:val="21"/>
                <w:highlight w:val="none"/>
              </w:rPr>
            </w:pPr>
            <w:r>
              <w:rPr>
                <w:rFonts w:eastAsia="宋体"/>
                <w:color w:val="auto"/>
                <w:sz w:val="21"/>
                <w:szCs w:val="21"/>
                <w:highlight w:val="none"/>
              </w:rPr>
              <w:t>2</w:t>
            </w:r>
          </w:p>
        </w:tc>
        <w:tc>
          <w:tcPr>
            <w:tcW w:w="686" w:type="dxa"/>
            <w:tcBorders>
              <w:top w:val="single" w:color="000000" w:sz="4" w:space="0"/>
              <w:left w:val="single" w:color="000000" w:sz="4" w:space="0"/>
              <w:bottom w:val="single" w:color="000000" w:sz="4" w:space="0"/>
              <w:right w:val="single" w:color="000000" w:sz="4" w:space="0"/>
            </w:tcBorders>
            <w:vAlign w:val="center"/>
          </w:tcPr>
          <w:p w14:paraId="5BEEA1F5">
            <w:pPr>
              <w:pStyle w:val="98"/>
              <w:ind w:left="-105" w:right="-105"/>
              <w:rPr>
                <w:rFonts w:eastAsia="宋体"/>
                <w:color w:val="auto"/>
                <w:sz w:val="21"/>
                <w:szCs w:val="21"/>
                <w:highlight w:val="none"/>
              </w:rPr>
            </w:pPr>
            <w:r>
              <w:rPr>
                <w:rFonts w:eastAsia="宋体"/>
                <w:color w:val="auto"/>
                <w:sz w:val="21"/>
                <w:szCs w:val="21"/>
                <w:highlight w:val="none"/>
              </w:rPr>
              <w:t>11</w:t>
            </w:r>
          </w:p>
        </w:tc>
        <w:tc>
          <w:tcPr>
            <w:tcW w:w="693" w:type="dxa"/>
            <w:tcBorders>
              <w:top w:val="single" w:color="000000" w:sz="4" w:space="0"/>
              <w:left w:val="single" w:color="000000" w:sz="4" w:space="0"/>
              <w:bottom w:val="single" w:color="000000" w:sz="4" w:space="0"/>
              <w:right w:val="nil"/>
            </w:tcBorders>
            <w:vAlign w:val="center"/>
          </w:tcPr>
          <w:p w14:paraId="4581A7AD">
            <w:pPr>
              <w:pStyle w:val="98"/>
              <w:ind w:left="-105" w:right="-105"/>
              <w:rPr>
                <w:rFonts w:eastAsia="宋体"/>
                <w:color w:val="auto"/>
                <w:sz w:val="21"/>
                <w:szCs w:val="21"/>
                <w:highlight w:val="none"/>
              </w:rPr>
            </w:pPr>
            <w:r>
              <w:rPr>
                <w:rFonts w:eastAsia="宋体"/>
                <w:color w:val="auto"/>
                <w:sz w:val="21"/>
                <w:szCs w:val="21"/>
                <w:highlight w:val="none"/>
              </w:rPr>
              <w:t>/</w:t>
            </w:r>
          </w:p>
        </w:tc>
      </w:tr>
      <w:tr w14:paraId="77FA825E">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108" w:type="dxa"/>
            <w:bottom w:w="0" w:type="dxa"/>
            <w:right w:w="108" w:type="dxa"/>
          </w:tblCellMar>
        </w:tblPrEx>
        <w:trPr>
          <w:gridAfter w:val="1"/>
          <w:wAfter w:w="21" w:type="dxa"/>
          <w:trHeight w:val="232" w:hRule="atLeast"/>
          <w:jc w:val="center"/>
        </w:trPr>
        <w:tc>
          <w:tcPr>
            <w:tcW w:w="688" w:type="dxa"/>
            <w:vMerge w:val="continue"/>
            <w:tcBorders>
              <w:top w:val="nil"/>
              <w:left w:val="nil"/>
              <w:bottom w:val="single" w:color="000000" w:sz="4" w:space="0"/>
              <w:right w:val="single" w:color="000000" w:sz="4" w:space="0"/>
            </w:tcBorders>
            <w:vAlign w:val="center"/>
          </w:tcPr>
          <w:p w14:paraId="5D706BEC">
            <w:pPr>
              <w:ind w:left="-105" w:right="-105"/>
              <w:jc w:val="center"/>
              <w:rPr>
                <w:rFonts w:ascii="Times New Roman" w:hAnsi="Times New Roman"/>
                <w:color w:val="auto"/>
                <w:sz w:val="21"/>
                <w:szCs w:val="21"/>
                <w:highlight w:val="none"/>
              </w:rPr>
            </w:pPr>
          </w:p>
        </w:tc>
        <w:tc>
          <w:tcPr>
            <w:tcW w:w="687" w:type="dxa"/>
            <w:tcBorders>
              <w:top w:val="single" w:color="000000" w:sz="4" w:space="0"/>
              <w:left w:val="single" w:color="000000" w:sz="4" w:space="0"/>
              <w:bottom w:val="single" w:color="000000" w:sz="4" w:space="0"/>
              <w:right w:val="single" w:color="000000" w:sz="4" w:space="0"/>
            </w:tcBorders>
            <w:vAlign w:val="center"/>
          </w:tcPr>
          <w:p w14:paraId="29FD2544">
            <w:pPr>
              <w:pStyle w:val="98"/>
              <w:ind w:left="-105" w:right="-105"/>
              <w:rPr>
                <w:rFonts w:eastAsia="宋体"/>
                <w:color w:val="auto"/>
                <w:sz w:val="21"/>
                <w:szCs w:val="21"/>
                <w:highlight w:val="none"/>
              </w:rPr>
            </w:pPr>
            <w:r>
              <w:rPr>
                <w:rFonts w:eastAsia="宋体"/>
                <w:color w:val="auto"/>
                <w:sz w:val="21"/>
                <w:szCs w:val="21"/>
                <w:highlight w:val="none"/>
              </w:rPr>
              <w:t>风速</w:t>
            </w:r>
          </w:p>
        </w:tc>
        <w:tc>
          <w:tcPr>
            <w:tcW w:w="687" w:type="dxa"/>
            <w:tcBorders>
              <w:top w:val="single" w:color="000000" w:sz="4" w:space="0"/>
              <w:left w:val="single" w:color="000000" w:sz="4" w:space="0"/>
              <w:bottom w:val="single" w:color="000000" w:sz="4" w:space="0"/>
              <w:right w:val="single" w:color="000000" w:sz="4" w:space="0"/>
            </w:tcBorders>
            <w:vAlign w:val="center"/>
          </w:tcPr>
          <w:p w14:paraId="26BA0452">
            <w:pPr>
              <w:pStyle w:val="98"/>
              <w:ind w:left="-105" w:right="-105"/>
              <w:rPr>
                <w:rFonts w:eastAsia="宋体"/>
                <w:color w:val="auto"/>
                <w:sz w:val="21"/>
                <w:szCs w:val="21"/>
                <w:highlight w:val="none"/>
              </w:rPr>
            </w:pPr>
            <w:r>
              <w:rPr>
                <w:rFonts w:eastAsia="宋体"/>
                <w:color w:val="auto"/>
                <w:sz w:val="21"/>
                <w:szCs w:val="21"/>
                <w:highlight w:val="none"/>
              </w:rPr>
              <w:t>2.5</w:t>
            </w:r>
          </w:p>
        </w:tc>
        <w:tc>
          <w:tcPr>
            <w:tcW w:w="687" w:type="dxa"/>
            <w:tcBorders>
              <w:top w:val="single" w:color="000000" w:sz="4" w:space="0"/>
              <w:left w:val="single" w:color="000000" w:sz="4" w:space="0"/>
              <w:bottom w:val="single" w:color="000000" w:sz="4" w:space="0"/>
              <w:right w:val="single" w:color="000000" w:sz="4" w:space="0"/>
            </w:tcBorders>
            <w:vAlign w:val="center"/>
          </w:tcPr>
          <w:p w14:paraId="6177E01A">
            <w:pPr>
              <w:pStyle w:val="98"/>
              <w:ind w:left="-105" w:right="-105"/>
              <w:rPr>
                <w:rFonts w:eastAsia="宋体"/>
                <w:color w:val="auto"/>
                <w:sz w:val="21"/>
                <w:szCs w:val="21"/>
                <w:highlight w:val="none"/>
              </w:rPr>
            </w:pPr>
            <w:r>
              <w:rPr>
                <w:rFonts w:eastAsia="宋体"/>
                <w:color w:val="auto"/>
                <w:sz w:val="21"/>
                <w:szCs w:val="21"/>
                <w:highlight w:val="none"/>
              </w:rPr>
              <w:t>2.5</w:t>
            </w:r>
          </w:p>
        </w:tc>
        <w:tc>
          <w:tcPr>
            <w:tcW w:w="687" w:type="dxa"/>
            <w:tcBorders>
              <w:top w:val="single" w:color="000000" w:sz="4" w:space="0"/>
              <w:left w:val="single" w:color="000000" w:sz="4" w:space="0"/>
              <w:bottom w:val="single" w:color="000000" w:sz="4" w:space="0"/>
              <w:right w:val="single" w:color="000000" w:sz="4" w:space="0"/>
            </w:tcBorders>
            <w:vAlign w:val="center"/>
          </w:tcPr>
          <w:p w14:paraId="48678C13">
            <w:pPr>
              <w:pStyle w:val="98"/>
              <w:ind w:left="-105" w:right="-105"/>
              <w:rPr>
                <w:rFonts w:eastAsia="宋体"/>
                <w:color w:val="auto"/>
                <w:sz w:val="21"/>
                <w:szCs w:val="21"/>
                <w:highlight w:val="none"/>
              </w:rPr>
            </w:pPr>
            <w:r>
              <w:rPr>
                <w:rFonts w:eastAsia="宋体"/>
                <w:color w:val="auto"/>
                <w:sz w:val="21"/>
                <w:szCs w:val="21"/>
                <w:highlight w:val="none"/>
              </w:rPr>
              <w:t>2.7</w:t>
            </w:r>
          </w:p>
        </w:tc>
        <w:tc>
          <w:tcPr>
            <w:tcW w:w="688" w:type="dxa"/>
            <w:tcBorders>
              <w:top w:val="single" w:color="000000" w:sz="4" w:space="0"/>
              <w:left w:val="single" w:color="000000" w:sz="4" w:space="0"/>
              <w:bottom w:val="single" w:color="000000" w:sz="4" w:space="0"/>
              <w:right w:val="single" w:color="000000" w:sz="4" w:space="0"/>
            </w:tcBorders>
            <w:vAlign w:val="center"/>
          </w:tcPr>
          <w:p w14:paraId="22563B06">
            <w:pPr>
              <w:pStyle w:val="98"/>
              <w:ind w:left="-105" w:right="-105"/>
              <w:rPr>
                <w:rFonts w:eastAsia="宋体"/>
                <w:color w:val="auto"/>
                <w:sz w:val="21"/>
                <w:szCs w:val="21"/>
                <w:highlight w:val="none"/>
              </w:rPr>
            </w:pPr>
            <w:r>
              <w:rPr>
                <w:rFonts w:eastAsia="宋体"/>
                <w:color w:val="auto"/>
                <w:sz w:val="21"/>
                <w:szCs w:val="21"/>
                <w:highlight w:val="none"/>
              </w:rPr>
              <w:t>2.7</w:t>
            </w:r>
          </w:p>
        </w:tc>
        <w:tc>
          <w:tcPr>
            <w:tcW w:w="687" w:type="dxa"/>
            <w:tcBorders>
              <w:top w:val="single" w:color="000000" w:sz="4" w:space="0"/>
              <w:left w:val="single" w:color="000000" w:sz="4" w:space="0"/>
              <w:bottom w:val="single" w:color="000000" w:sz="4" w:space="0"/>
              <w:right w:val="single" w:color="000000" w:sz="4" w:space="0"/>
            </w:tcBorders>
            <w:vAlign w:val="center"/>
          </w:tcPr>
          <w:p w14:paraId="5B95FED3">
            <w:pPr>
              <w:pStyle w:val="98"/>
              <w:ind w:left="-105" w:right="-105"/>
              <w:rPr>
                <w:rFonts w:eastAsia="宋体"/>
                <w:color w:val="auto"/>
                <w:sz w:val="21"/>
                <w:szCs w:val="21"/>
                <w:highlight w:val="none"/>
              </w:rPr>
            </w:pPr>
            <w:r>
              <w:rPr>
                <w:rFonts w:eastAsia="宋体"/>
                <w:color w:val="auto"/>
                <w:sz w:val="21"/>
                <w:szCs w:val="21"/>
                <w:highlight w:val="none"/>
              </w:rPr>
              <w:t>2.69</w:t>
            </w:r>
          </w:p>
        </w:tc>
        <w:tc>
          <w:tcPr>
            <w:tcW w:w="687" w:type="dxa"/>
            <w:tcBorders>
              <w:top w:val="single" w:color="000000" w:sz="4" w:space="0"/>
              <w:left w:val="single" w:color="000000" w:sz="4" w:space="0"/>
              <w:bottom w:val="single" w:color="000000" w:sz="4" w:space="0"/>
              <w:right w:val="single" w:color="000000" w:sz="4" w:space="0"/>
            </w:tcBorders>
            <w:vAlign w:val="center"/>
          </w:tcPr>
          <w:p w14:paraId="41C2F637">
            <w:pPr>
              <w:pStyle w:val="98"/>
              <w:ind w:left="-105" w:right="-105"/>
              <w:rPr>
                <w:rFonts w:eastAsia="宋体"/>
                <w:color w:val="auto"/>
                <w:sz w:val="21"/>
                <w:szCs w:val="21"/>
                <w:highlight w:val="none"/>
              </w:rPr>
            </w:pPr>
            <w:r>
              <w:rPr>
                <w:rFonts w:eastAsia="宋体"/>
                <w:color w:val="auto"/>
                <w:sz w:val="21"/>
                <w:szCs w:val="21"/>
                <w:highlight w:val="none"/>
              </w:rPr>
              <w:t>3.1</w:t>
            </w:r>
          </w:p>
        </w:tc>
        <w:tc>
          <w:tcPr>
            <w:tcW w:w="687" w:type="dxa"/>
            <w:tcBorders>
              <w:top w:val="single" w:color="000000" w:sz="4" w:space="0"/>
              <w:left w:val="single" w:color="000000" w:sz="4" w:space="0"/>
              <w:bottom w:val="single" w:color="000000" w:sz="4" w:space="0"/>
              <w:right w:val="single" w:color="000000" w:sz="4" w:space="0"/>
            </w:tcBorders>
            <w:vAlign w:val="center"/>
          </w:tcPr>
          <w:p w14:paraId="1295EA5A">
            <w:pPr>
              <w:pStyle w:val="98"/>
              <w:ind w:left="-105" w:right="-105"/>
              <w:rPr>
                <w:rFonts w:eastAsia="宋体"/>
                <w:color w:val="auto"/>
                <w:sz w:val="21"/>
                <w:szCs w:val="21"/>
                <w:highlight w:val="none"/>
              </w:rPr>
            </w:pPr>
            <w:r>
              <w:rPr>
                <w:rFonts w:eastAsia="宋体"/>
                <w:color w:val="auto"/>
                <w:sz w:val="21"/>
                <w:szCs w:val="21"/>
                <w:highlight w:val="none"/>
              </w:rPr>
              <w:t>2.7</w:t>
            </w:r>
          </w:p>
        </w:tc>
        <w:tc>
          <w:tcPr>
            <w:tcW w:w="687" w:type="dxa"/>
            <w:tcBorders>
              <w:top w:val="single" w:color="000000" w:sz="4" w:space="0"/>
              <w:left w:val="single" w:color="000000" w:sz="4" w:space="0"/>
              <w:bottom w:val="single" w:color="000000" w:sz="4" w:space="0"/>
              <w:right w:val="single" w:color="000000" w:sz="4" w:space="0"/>
            </w:tcBorders>
            <w:vAlign w:val="center"/>
          </w:tcPr>
          <w:p w14:paraId="70C24956">
            <w:pPr>
              <w:pStyle w:val="98"/>
              <w:ind w:left="-105" w:right="-105"/>
              <w:rPr>
                <w:rFonts w:eastAsia="宋体"/>
                <w:color w:val="auto"/>
                <w:sz w:val="21"/>
                <w:szCs w:val="21"/>
                <w:highlight w:val="none"/>
              </w:rPr>
            </w:pPr>
            <w:r>
              <w:rPr>
                <w:rFonts w:eastAsia="宋体"/>
                <w:color w:val="auto"/>
                <w:sz w:val="21"/>
                <w:szCs w:val="21"/>
                <w:highlight w:val="none"/>
              </w:rPr>
              <w:t>2.4</w:t>
            </w:r>
          </w:p>
        </w:tc>
        <w:tc>
          <w:tcPr>
            <w:tcW w:w="687" w:type="dxa"/>
            <w:tcBorders>
              <w:top w:val="single" w:color="000000" w:sz="4" w:space="0"/>
              <w:left w:val="single" w:color="000000" w:sz="4" w:space="0"/>
              <w:bottom w:val="single" w:color="000000" w:sz="4" w:space="0"/>
              <w:right w:val="single" w:color="000000" w:sz="4" w:space="0"/>
            </w:tcBorders>
            <w:vAlign w:val="center"/>
          </w:tcPr>
          <w:p w14:paraId="63474F6F">
            <w:pPr>
              <w:pStyle w:val="98"/>
              <w:ind w:left="-105" w:right="-105"/>
              <w:rPr>
                <w:rFonts w:eastAsia="宋体"/>
                <w:color w:val="auto"/>
                <w:sz w:val="21"/>
                <w:szCs w:val="21"/>
                <w:highlight w:val="none"/>
              </w:rPr>
            </w:pPr>
            <w:r>
              <w:rPr>
                <w:rFonts w:eastAsia="宋体"/>
                <w:color w:val="auto"/>
                <w:sz w:val="21"/>
                <w:szCs w:val="21"/>
                <w:highlight w:val="none"/>
              </w:rPr>
              <w:t>2.3</w:t>
            </w:r>
          </w:p>
        </w:tc>
        <w:tc>
          <w:tcPr>
            <w:tcW w:w="687" w:type="dxa"/>
            <w:tcBorders>
              <w:top w:val="single" w:color="000000" w:sz="4" w:space="0"/>
              <w:left w:val="single" w:color="000000" w:sz="4" w:space="0"/>
              <w:bottom w:val="single" w:color="000000" w:sz="4" w:space="0"/>
              <w:right w:val="single" w:color="000000" w:sz="4" w:space="0"/>
            </w:tcBorders>
            <w:vAlign w:val="center"/>
          </w:tcPr>
          <w:p w14:paraId="5F80ADDD">
            <w:pPr>
              <w:pStyle w:val="98"/>
              <w:ind w:left="-105" w:right="-105"/>
              <w:rPr>
                <w:rFonts w:eastAsia="宋体"/>
                <w:color w:val="auto"/>
                <w:sz w:val="21"/>
                <w:szCs w:val="21"/>
                <w:highlight w:val="none"/>
              </w:rPr>
            </w:pPr>
            <w:r>
              <w:rPr>
                <w:rFonts w:eastAsia="宋体"/>
                <w:color w:val="auto"/>
                <w:sz w:val="21"/>
                <w:szCs w:val="21"/>
                <w:highlight w:val="none"/>
              </w:rPr>
              <w:t>2.7</w:t>
            </w:r>
          </w:p>
        </w:tc>
        <w:tc>
          <w:tcPr>
            <w:tcW w:w="684" w:type="dxa"/>
            <w:tcBorders>
              <w:top w:val="single" w:color="000000" w:sz="4" w:space="0"/>
              <w:left w:val="single" w:color="000000" w:sz="4" w:space="0"/>
              <w:bottom w:val="single" w:color="000000" w:sz="4" w:space="0"/>
              <w:right w:val="single" w:color="000000" w:sz="4" w:space="0"/>
            </w:tcBorders>
            <w:vAlign w:val="center"/>
          </w:tcPr>
          <w:p w14:paraId="0F44B251">
            <w:pPr>
              <w:pStyle w:val="98"/>
              <w:ind w:left="-105" w:right="-105"/>
              <w:rPr>
                <w:rFonts w:eastAsia="宋体"/>
                <w:color w:val="auto"/>
                <w:sz w:val="21"/>
                <w:szCs w:val="21"/>
                <w:highlight w:val="none"/>
              </w:rPr>
            </w:pPr>
            <w:r>
              <w:rPr>
                <w:rFonts w:eastAsia="宋体"/>
                <w:color w:val="auto"/>
                <w:sz w:val="21"/>
                <w:szCs w:val="21"/>
                <w:highlight w:val="none"/>
              </w:rPr>
              <w:t>1.8</w:t>
            </w:r>
          </w:p>
        </w:tc>
        <w:tc>
          <w:tcPr>
            <w:tcW w:w="714" w:type="dxa"/>
            <w:tcBorders>
              <w:top w:val="single" w:color="000000" w:sz="4" w:space="0"/>
              <w:left w:val="single" w:color="000000" w:sz="4" w:space="0"/>
              <w:bottom w:val="single" w:color="000000" w:sz="4" w:space="0"/>
              <w:right w:val="single" w:color="000000" w:sz="4" w:space="0"/>
            </w:tcBorders>
            <w:vAlign w:val="center"/>
          </w:tcPr>
          <w:p w14:paraId="7970AF7B">
            <w:pPr>
              <w:pStyle w:val="98"/>
              <w:ind w:left="-105" w:right="-105"/>
              <w:rPr>
                <w:rFonts w:eastAsia="宋体"/>
                <w:color w:val="auto"/>
                <w:sz w:val="21"/>
                <w:szCs w:val="21"/>
                <w:highlight w:val="none"/>
              </w:rPr>
            </w:pPr>
            <w:r>
              <w:rPr>
                <w:rFonts w:eastAsia="宋体"/>
                <w:color w:val="auto"/>
                <w:sz w:val="21"/>
                <w:szCs w:val="21"/>
                <w:highlight w:val="none"/>
              </w:rPr>
              <w:t>2.4</w:t>
            </w:r>
          </w:p>
        </w:tc>
        <w:tc>
          <w:tcPr>
            <w:tcW w:w="686" w:type="dxa"/>
            <w:tcBorders>
              <w:top w:val="single" w:color="000000" w:sz="4" w:space="0"/>
              <w:left w:val="single" w:color="000000" w:sz="4" w:space="0"/>
              <w:bottom w:val="single" w:color="000000" w:sz="4" w:space="0"/>
              <w:right w:val="single" w:color="000000" w:sz="4" w:space="0"/>
            </w:tcBorders>
            <w:vAlign w:val="center"/>
          </w:tcPr>
          <w:p w14:paraId="493EB853">
            <w:pPr>
              <w:pStyle w:val="98"/>
              <w:ind w:left="-105" w:right="-105"/>
              <w:rPr>
                <w:rFonts w:eastAsia="宋体"/>
                <w:color w:val="auto"/>
                <w:sz w:val="21"/>
                <w:szCs w:val="21"/>
                <w:highlight w:val="none"/>
              </w:rPr>
            </w:pPr>
            <w:r>
              <w:rPr>
                <w:rFonts w:eastAsia="宋体"/>
                <w:color w:val="auto"/>
                <w:sz w:val="21"/>
                <w:szCs w:val="21"/>
                <w:highlight w:val="none"/>
              </w:rPr>
              <w:t>2.4</w:t>
            </w:r>
          </w:p>
        </w:tc>
        <w:tc>
          <w:tcPr>
            <w:tcW w:w="747" w:type="dxa"/>
            <w:tcBorders>
              <w:top w:val="single" w:color="000000" w:sz="4" w:space="0"/>
              <w:left w:val="single" w:color="000000" w:sz="4" w:space="0"/>
              <w:bottom w:val="single" w:color="000000" w:sz="4" w:space="0"/>
              <w:right w:val="single" w:color="000000" w:sz="4" w:space="0"/>
            </w:tcBorders>
            <w:vAlign w:val="center"/>
          </w:tcPr>
          <w:p w14:paraId="1D11D8E6">
            <w:pPr>
              <w:pStyle w:val="98"/>
              <w:ind w:left="-105" w:right="-105"/>
              <w:rPr>
                <w:rFonts w:eastAsia="宋体"/>
                <w:color w:val="auto"/>
                <w:sz w:val="21"/>
                <w:szCs w:val="21"/>
                <w:highlight w:val="none"/>
              </w:rPr>
            </w:pPr>
            <w:r>
              <w:rPr>
                <w:rFonts w:eastAsia="宋体"/>
                <w:color w:val="auto"/>
                <w:sz w:val="21"/>
                <w:szCs w:val="21"/>
                <w:highlight w:val="none"/>
              </w:rPr>
              <w:t>3.2</w:t>
            </w:r>
          </w:p>
        </w:tc>
        <w:tc>
          <w:tcPr>
            <w:tcW w:w="686" w:type="dxa"/>
            <w:tcBorders>
              <w:top w:val="single" w:color="000000" w:sz="4" w:space="0"/>
              <w:left w:val="single" w:color="000000" w:sz="4" w:space="0"/>
              <w:bottom w:val="single" w:color="000000" w:sz="4" w:space="0"/>
              <w:right w:val="single" w:color="000000" w:sz="4" w:space="0"/>
            </w:tcBorders>
            <w:vAlign w:val="center"/>
          </w:tcPr>
          <w:p w14:paraId="12FBF0BD">
            <w:pPr>
              <w:pStyle w:val="98"/>
              <w:ind w:left="-105" w:right="-105"/>
              <w:rPr>
                <w:rFonts w:eastAsia="宋体"/>
                <w:color w:val="auto"/>
                <w:sz w:val="21"/>
                <w:szCs w:val="21"/>
                <w:highlight w:val="none"/>
              </w:rPr>
            </w:pPr>
            <w:r>
              <w:rPr>
                <w:rFonts w:eastAsia="宋体"/>
                <w:color w:val="auto"/>
                <w:sz w:val="21"/>
                <w:szCs w:val="21"/>
                <w:highlight w:val="none"/>
              </w:rPr>
              <w:t>2.1</w:t>
            </w:r>
          </w:p>
        </w:tc>
        <w:tc>
          <w:tcPr>
            <w:tcW w:w="700" w:type="dxa"/>
            <w:tcBorders>
              <w:top w:val="single" w:color="000000" w:sz="4" w:space="0"/>
              <w:left w:val="single" w:color="000000" w:sz="4" w:space="0"/>
              <w:bottom w:val="single" w:color="000000" w:sz="4" w:space="0"/>
              <w:right w:val="single" w:color="000000" w:sz="4" w:space="0"/>
            </w:tcBorders>
            <w:vAlign w:val="center"/>
          </w:tcPr>
          <w:p w14:paraId="08F54860">
            <w:pPr>
              <w:pStyle w:val="98"/>
              <w:ind w:left="-105" w:right="-105"/>
              <w:rPr>
                <w:rFonts w:eastAsia="宋体"/>
                <w:color w:val="auto"/>
                <w:sz w:val="21"/>
                <w:szCs w:val="21"/>
                <w:highlight w:val="none"/>
              </w:rPr>
            </w:pPr>
            <w:r>
              <w:rPr>
                <w:rFonts w:eastAsia="宋体"/>
                <w:color w:val="auto"/>
                <w:sz w:val="21"/>
                <w:szCs w:val="21"/>
                <w:highlight w:val="none"/>
              </w:rPr>
              <w:t>2.7</w:t>
            </w:r>
          </w:p>
        </w:tc>
        <w:tc>
          <w:tcPr>
            <w:tcW w:w="686" w:type="dxa"/>
            <w:tcBorders>
              <w:top w:val="single" w:color="000000" w:sz="4" w:space="0"/>
              <w:left w:val="single" w:color="000000" w:sz="4" w:space="0"/>
              <w:bottom w:val="single" w:color="000000" w:sz="4" w:space="0"/>
              <w:right w:val="single" w:color="000000" w:sz="4" w:space="0"/>
            </w:tcBorders>
            <w:vAlign w:val="center"/>
          </w:tcPr>
          <w:p w14:paraId="5B420D82">
            <w:pPr>
              <w:pStyle w:val="98"/>
              <w:ind w:left="-105" w:right="-105"/>
              <w:rPr>
                <w:rFonts w:eastAsia="宋体"/>
                <w:color w:val="auto"/>
                <w:sz w:val="21"/>
                <w:szCs w:val="21"/>
                <w:highlight w:val="none"/>
              </w:rPr>
            </w:pPr>
            <w:r>
              <w:rPr>
                <w:rFonts w:eastAsia="宋体"/>
                <w:color w:val="auto"/>
                <w:sz w:val="21"/>
                <w:szCs w:val="21"/>
                <w:highlight w:val="none"/>
              </w:rPr>
              <w:t>/</w:t>
            </w:r>
          </w:p>
        </w:tc>
        <w:tc>
          <w:tcPr>
            <w:tcW w:w="693" w:type="dxa"/>
            <w:tcBorders>
              <w:top w:val="single" w:color="000000" w:sz="4" w:space="0"/>
              <w:left w:val="single" w:color="000000" w:sz="4" w:space="0"/>
              <w:bottom w:val="single" w:color="000000" w:sz="4" w:space="0"/>
              <w:right w:val="nil"/>
            </w:tcBorders>
            <w:vAlign w:val="center"/>
          </w:tcPr>
          <w:p w14:paraId="4694416D">
            <w:pPr>
              <w:pStyle w:val="98"/>
              <w:ind w:left="-105" w:right="-105"/>
              <w:rPr>
                <w:rFonts w:eastAsia="宋体"/>
                <w:color w:val="auto"/>
                <w:sz w:val="21"/>
                <w:szCs w:val="21"/>
                <w:highlight w:val="none"/>
              </w:rPr>
            </w:pPr>
            <w:r>
              <w:rPr>
                <w:rFonts w:eastAsia="宋体"/>
                <w:color w:val="auto"/>
                <w:sz w:val="21"/>
                <w:szCs w:val="21"/>
                <w:highlight w:val="none"/>
              </w:rPr>
              <w:t>2.55</w:t>
            </w:r>
          </w:p>
        </w:tc>
      </w:tr>
      <w:tr w14:paraId="0F8C4EB2">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108" w:type="dxa"/>
            <w:bottom w:w="0" w:type="dxa"/>
            <w:right w:w="108" w:type="dxa"/>
          </w:tblCellMar>
        </w:tblPrEx>
        <w:trPr>
          <w:gridAfter w:val="1"/>
          <w:wAfter w:w="21" w:type="dxa"/>
          <w:trHeight w:val="232" w:hRule="atLeast"/>
          <w:jc w:val="center"/>
        </w:trPr>
        <w:tc>
          <w:tcPr>
            <w:tcW w:w="688" w:type="dxa"/>
            <w:vMerge w:val="restart"/>
            <w:tcBorders>
              <w:top w:val="single" w:color="000000" w:sz="4" w:space="0"/>
              <w:left w:val="nil"/>
              <w:bottom w:val="single" w:color="000000" w:sz="4" w:space="0"/>
              <w:right w:val="single" w:color="000000" w:sz="4" w:space="0"/>
            </w:tcBorders>
            <w:vAlign w:val="center"/>
          </w:tcPr>
          <w:p w14:paraId="5BD0AF13">
            <w:pPr>
              <w:pStyle w:val="98"/>
              <w:ind w:left="-105" w:right="-105"/>
              <w:rPr>
                <w:rFonts w:eastAsia="宋体"/>
                <w:color w:val="auto"/>
                <w:sz w:val="21"/>
                <w:szCs w:val="21"/>
                <w:highlight w:val="none"/>
              </w:rPr>
            </w:pPr>
            <w:r>
              <w:rPr>
                <w:rFonts w:eastAsia="宋体"/>
                <w:color w:val="auto"/>
                <w:sz w:val="21"/>
                <w:szCs w:val="21"/>
                <w:highlight w:val="none"/>
              </w:rPr>
              <w:t>7月</w:t>
            </w:r>
          </w:p>
        </w:tc>
        <w:tc>
          <w:tcPr>
            <w:tcW w:w="687" w:type="dxa"/>
            <w:tcBorders>
              <w:top w:val="single" w:color="000000" w:sz="4" w:space="0"/>
              <w:left w:val="single" w:color="000000" w:sz="4" w:space="0"/>
              <w:bottom w:val="single" w:color="000000" w:sz="4" w:space="0"/>
              <w:right w:val="single" w:color="000000" w:sz="4" w:space="0"/>
            </w:tcBorders>
            <w:vAlign w:val="center"/>
          </w:tcPr>
          <w:p w14:paraId="3514C1A0">
            <w:pPr>
              <w:pStyle w:val="98"/>
              <w:ind w:left="-105" w:right="-105"/>
              <w:rPr>
                <w:rFonts w:eastAsia="宋体"/>
                <w:color w:val="auto"/>
                <w:sz w:val="21"/>
                <w:szCs w:val="21"/>
                <w:highlight w:val="none"/>
              </w:rPr>
            </w:pPr>
            <w:r>
              <w:rPr>
                <w:rFonts w:eastAsia="宋体"/>
                <w:color w:val="auto"/>
                <w:sz w:val="21"/>
                <w:szCs w:val="21"/>
                <w:highlight w:val="none"/>
              </w:rPr>
              <w:t>频率</w:t>
            </w:r>
          </w:p>
        </w:tc>
        <w:tc>
          <w:tcPr>
            <w:tcW w:w="687" w:type="dxa"/>
            <w:tcBorders>
              <w:top w:val="single" w:color="000000" w:sz="4" w:space="0"/>
              <w:left w:val="single" w:color="000000" w:sz="4" w:space="0"/>
              <w:bottom w:val="single" w:color="000000" w:sz="4" w:space="0"/>
              <w:right w:val="single" w:color="000000" w:sz="4" w:space="0"/>
            </w:tcBorders>
            <w:vAlign w:val="center"/>
          </w:tcPr>
          <w:p w14:paraId="4CF9FDA7">
            <w:pPr>
              <w:pStyle w:val="98"/>
              <w:ind w:left="-105" w:right="-105"/>
              <w:rPr>
                <w:rFonts w:eastAsia="宋体"/>
                <w:color w:val="auto"/>
                <w:sz w:val="21"/>
                <w:szCs w:val="21"/>
                <w:highlight w:val="none"/>
              </w:rPr>
            </w:pPr>
            <w:r>
              <w:rPr>
                <w:rFonts w:eastAsia="宋体"/>
                <w:color w:val="auto"/>
                <w:sz w:val="21"/>
                <w:szCs w:val="21"/>
                <w:highlight w:val="none"/>
              </w:rPr>
              <w:t>1.8</w:t>
            </w:r>
          </w:p>
        </w:tc>
        <w:tc>
          <w:tcPr>
            <w:tcW w:w="687" w:type="dxa"/>
            <w:tcBorders>
              <w:top w:val="single" w:color="000000" w:sz="4" w:space="0"/>
              <w:left w:val="single" w:color="000000" w:sz="4" w:space="0"/>
              <w:bottom w:val="single" w:color="000000" w:sz="4" w:space="0"/>
              <w:right w:val="single" w:color="000000" w:sz="4" w:space="0"/>
            </w:tcBorders>
            <w:vAlign w:val="center"/>
          </w:tcPr>
          <w:p w14:paraId="5B24FCD9">
            <w:pPr>
              <w:pStyle w:val="98"/>
              <w:ind w:left="-105" w:right="-105"/>
              <w:rPr>
                <w:rFonts w:eastAsia="宋体"/>
                <w:color w:val="auto"/>
                <w:sz w:val="21"/>
                <w:szCs w:val="21"/>
                <w:highlight w:val="none"/>
              </w:rPr>
            </w:pPr>
            <w:r>
              <w:rPr>
                <w:rFonts w:eastAsia="宋体"/>
                <w:color w:val="auto"/>
                <w:sz w:val="21"/>
                <w:szCs w:val="21"/>
                <w:highlight w:val="none"/>
              </w:rPr>
              <w:t>1.2</w:t>
            </w:r>
          </w:p>
        </w:tc>
        <w:tc>
          <w:tcPr>
            <w:tcW w:w="687" w:type="dxa"/>
            <w:tcBorders>
              <w:top w:val="single" w:color="000000" w:sz="4" w:space="0"/>
              <w:left w:val="single" w:color="000000" w:sz="4" w:space="0"/>
              <w:bottom w:val="single" w:color="000000" w:sz="4" w:space="0"/>
              <w:right w:val="single" w:color="000000" w:sz="4" w:space="0"/>
            </w:tcBorders>
            <w:vAlign w:val="center"/>
          </w:tcPr>
          <w:p w14:paraId="6C19CDB8">
            <w:pPr>
              <w:pStyle w:val="98"/>
              <w:ind w:left="-105" w:right="-105"/>
              <w:rPr>
                <w:rFonts w:eastAsia="宋体"/>
                <w:color w:val="auto"/>
                <w:sz w:val="21"/>
                <w:szCs w:val="21"/>
                <w:highlight w:val="none"/>
              </w:rPr>
            </w:pPr>
            <w:r>
              <w:rPr>
                <w:rFonts w:eastAsia="宋体"/>
                <w:color w:val="auto"/>
                <w:sz w:val="21"/>
                <w:szCs w:val="21"/>
                <w:highlight w:val="none"/>
              </w:rPr>
              <w:t>2.8</w:t>
            </w:r>
          </w:p>
        </w:tc>
        <w:tc>
          <w:tcPr>
            <w:tcW w:w="688" w:type="dxa"/>
            <w:tcBorders>
              <w:top w:val="single" w:color="000000" w:sz="4" w:space="0"/>
              <w:left w:val="single" w:color="000000" w:sz="4" w:space="0"/>
              <w:bottom w:val="single" w:color="000000" w:sz="4" w:space="0"/>
              <w:right w:val="single" w:color="000000" w:sz="4" w:space="0"/>
            </w:tcBorders>
            <w:vAlign w:val="center"/>
          </w:tcPr>
          <w:p w14:paraId="1FF6F8E4">
            <w:pPr>
              <w:pStyle w:val="98"/>
              <w:ind w:left="-105" w:right="-105"/>
              <w:rPr>
                <w:rFonts w:eastAsia="宋体"/>
                <w:color w:val="auto"/>
                <w:sz w:val="21"/>
                <w:szCs w:val="21"/>
                <w:highlight w:val="none"/>
              </w:rPr>
            </w:pPr>
            <w:r>
              <w:rPr>
                <w:rFonts w:eastAsia="宋体"/>
                <w:color w:val="auto"/>
                <w:sz w:val="21"/>
                <w:szCs w:val="21"/>
                <w:highlight w:val="none"/>
              </w:rPr>
              <w:t>4.2</w:t>
            </w:r>
          </w:p>
        </w:tc>
        <w:tc>
          <w:tcPr>
            <w:tcW w:w="687" w:type="dxa"/>
            <w:tcBorders>
              <w:top w:val="single" w:color="000000" w:sz="4" w:space="0"/>
              <w:left w:val="single" w:color="000000" w:sz="4" w:space="0"/>
              <w:bottom w:val="single" w:color="000000" w:sz="4" w:space="0"/>
              <w:right w:val="single" w:color="000000" w:sz="4" w:space="0"/>
            </w:tcBorders>
            <w:vAlign w:val="center"/>
          </w:tcPr>
          <w:p w14:paraId="02D8708F">
            <w:pPr>
              <w:pStyle w:val="98"/>
              <w:ind w:left="-105" w:right="-105"/>
              <w:rPr>
                <w:rFonts w:eastAsia="宋体"/>
                <w:color w:val="auto"/>
                <w:sz w:val="21"/>
                <w:szCs w:val="21"/>
                <w:highlight w:val="none"/>
              </w:rPr>
            </w:pPr>
            <w:r>
              <w:rPr>
                <w:rFonts w:eastAsia="宋体"/>
                <w:color w:val="auto"/>
                <w:sz w:val="21"/>
                <w:szCs w:val="21"/>
                <w:highlight w:val="none"/>
              </w:rPr>
              <w:t>7.6</w:t>
            </w:r>
          </w:p>
        </w:tc>
        <w:tc>
          <w:tcPr>
            <w:tcW w:w="687" w:type="dxa"/>
            <w:tcBorders>
              <w:top w:val="single" w:color="000000" w:sz="4" w:space="0"/>
              <w:left w:val="single" w:color="000000" w:sz="4" w:space="0"/>
              <w:bottom w:val="single" w:color="000000" w:sz="4" w:space="0"/>
              <w:right w:val="single" w:color="000000" w:sz="4" w:space="0"/>
            </w:tcBorders>
            <w:vAlign w:val="center"/>
          </w:tcPr>
          <w:p w14:paraId="585E9EDF">
            <w:pPr>
              <w:pStyle w:val="98"/>
              <w:ind w:left="-105" w:right="-105"/>
              <w:rPr>
                <w:rFonts w:eastAsia="宋体"/>
                <w:color w:val="auto"/>
                <w:sz w:val="21"/>
                <w:szCs w:val="21"/>
                <w:highlight w:val="none"/>
              </w:rPr>
            </w:pPr>
            <w:r>
              <w:rPr>
                <w:rFonts w:eastAsia="宋体"/>
                <w:color w:val="auto"/>
                <w:sz w:val="21"/>
                <w:szCs w:val="21"/>
                <w:highlight w:val="none"/>
              </w:rPr>
              <w:t>14.8</w:t>
            </w:r>
          </w:p>
        </w:tc>
        <w:tc>
          <w:tcPr>
            <w:tcW w:w="687" w:type="dxa"/>
            <w:tcBorders>
              <w:top w:val="single" w:color="000000" w:sz="4" w:space="0"/>
              <w:left w:val="single" w:color="000000" w:sz="4" w:space="0"/>
              <w:bottom w:val="single" w:color="000000" w:sz="4" w:space="0"/>
              <w:right w:val="single" w:color="000000" w:sz="4" w:space="0"/>
            </w:tcBorders>
            <w:vAlign w:val="center"/>
          </w:tcPr>
          <w:p w14:paraId="23F23D0F">
            <w:pPr>
              <w:pStyle w:val="98"/>
              <w:ind w:left="-105" w:right="-105"/>
              <w:rPr>
                <w:rFonts w:eastAsia="宋体"/>
                <w:color w:val="auto"/>
                <w:sz w:val="21"/>
                <w:szCs w:val="21"/>
                <w:highlight w:val="none"/>
              </w:rPr>
            </w:pPr>
            <w:r>
              <w:rPr>
                <w:rFonts w:eastAsia="宋体"/>
                <w:color w:val="auto"/>
                <w:sz w:val="21"/>
                <w:szCs w:val="21"/>
                <w:highlight w:val="none"/>
              </w:rPr>
              <w:t>15</w:t>
            </w:r>
          </w:p>
        </w:tc>
        <w:tc>
          <w:tcPr>
            <w:tcW w:w="687" w:type="dxa"/>
            <w:tcBorders>
              <w:top w:val="single" w:color="000000" w:sz="4" w:space="0"/>
              <w:left w:val="single" w:color="000000" w:sz="4" w:space="0"/>
              <w:bottom w:val="single" w:color="000000" w:sz="4" w:space="0"/>
              <w:right w:val="single" w:color="000000" w:sz="4" w:space="0"/>
            </w:tcBorders>
            <w:vAlign w:val="center"/>
          </w:tcPr>
          <w:p w14:paraId="513B25EB">
            <w:pPr>
              <w:pStyle w:val="98"/>
              <w:ind w:left="-105" w:right="-105"/>
              <w:rPr>
                <w:rFonts w:eastAsia="宋体"/>
                <w:color w:val="auto"/>
                <w:sz w:val="21"/>
                <w:szCs w:val="21"/>
                <w:highlight w:val="none"/>
              </w:rPr>
            </w:pPr>
            <w:r>
              <w:rPr>
                <w:rFonts w:eastAsia="宋体"/>
                <w:color w:val="auto"/>
                <w:sz w:val="21"/>
                <w:szCs w:val="21"/>
                <w:highlight w:val="none"/>
              </w:rPr>
              <w:t>11.2</w:t>
            </w:r>
          </w:p>
        </w:tc>
        <w:tc>
          <w:tcPr>
            <w:tcW w:w="687" w:type="dxa"/>
            <w:tcBorders>
              <w:top w:val="single" w:color="000000" w:sz="4" w:space="0"/>
              <w:left w:val="single" w:color="000000" w:sz="4" w:space="0"/>
              <w:bottom w:val="single" w:color="000000" w:sz="4" w:space="0"/>
              <w:right w:val="single" w:color="000000" w:sz="4" w:space="0"/>
            </w:tcBorders>
            <w:vAlign w:val="center"/>
          </w:tcPr>
          <w:p w14:paraId="421E1A0C">
            <w:pPr>
              <w:pStyle w:val="98"/>
              <w:ind w:left="-105" w:right="-105"/>
              <w:rPr>
                <w:rFonts w:eastAsia="宋体"/>
                <w:color w:val="auto"/>
                <w:sz w:val="21"/>
                <w:szCs w:val="21"/>
                <w:highlight w:val="none"/>
              </w:rPr>
            </w:pPr>
            <w:r>
              <w:rPr>
                <w:rFonts w:eastAsia="宋体"/>
                <w:color w:val="auto"/>
                <w:sz w:val="21"/>
                <w:szCs w:val="21"/>
                <w:highlight w:val="none"/>
              </w:rPr>
              <w:t>9</w:t>
            </w:r>
          </w:p>
        </w:tc>
        <w:tc>
          <w:tcPr>
            <w:tcW w:w="687" w:type="dxa"/>
            <w:tcBorders>
              <w:top w:val="single" w:color="000000" w:sz="4" w:space="0"/>
              <w:left w:val="single" w:color="000000" w:sz="4" w:space="0"/>
              <w:bottom w:val="single" w:color="000000" w:sz="4" w:space="0"/>
              <w:right w:val="single" w:color="000000" w:sz="4" w:space="0"/>
            </w:tcBorders>
            <w:vAlign w:val="center"/>
          </w:tcPr>
          <w:p w14:paraId="7A5AE04C">
            <w:pPr>
              <w:pStyle w:val="98"/>
              <w:ind w:left="-105" w:right="-105"/>
              <w:rPr>
                <w:rFonts w:eastAsia="宋体"/>
                <w:color w:val="auto"/>
                <w:sz w:val="21"/>
                <w:szCs w:val="21"/>
                <w:highlight w:val="none"/>
              </w:rPr>
            </w:pPr>
            <w:r>
              <w:rPr>
                <w:rFonts w:eastAsia="宋体"/>
                <w:color w:val="auto"/>
                <w:sz w:val="21"/>
                <w:szCs w:val="21"/>
                <w:highlight w:val="none"/>
              </w:rPr>
              <w:t>3.8</w:t>
            </w:r>
          </w:p>
        </w:tc>
        <w:tc>
          <w:tcPr>
            <w:tcW w:w="684" w:type="dxa"/>
            <w:tcBorders>
              <w:top w:val="single" w:color="000000" w:sz="4" w:space="0"/>
              <w:left w:val="single" w:color="000000" w:sz="4" w:space="0"/>
              <w:bottom w:val="single" w:color="000000" w:sz="4" w:space="0"/>
              <w:right w:val="single" w:color="000000" w:sz="4" w:space="0"/>
            </w:tcBorders>
            <w:vAlign w:val="center"/>
          </w:tcPr>
          <w:p w14:paraId="3733DD76">
            <w:pPr>
              <w:pStyle w:val="98"/>
              <w:ind w:left="-105" w:right="-105"/>
              <w:rPr>
                <w:rFonts w:eastAsia="宋体"/>
                <w:color w:val="auto"/>
                <w:sz w:val="21"/>
                <w:szCs w:val="21"/>
                <w:highlight w:val="none"/>
              </w:rPr>
            </w:pPr>
            <w:r>
              <w:rPr>
                <w:rFonts w:eastAsia="宋体"/>
                <w:color w:val="auto"/>
                <w:sz w:val="21"/>
                <w:szCs w:val="21"/>
                <w:highlight w:val="none"/>
              </w:rPr>
              <w:t>3.2</w:t>
            </w:r>
          </w:p>
        </w:tc>
        <w:tc>
          <w:tcPr>
            <w:tcW w:w="714" w:type="dxa"/>
            <w:tcBorders>
              <w:top w:val="single" w:color="000000" w:sz="4" w:space="0"/>
              <w:left w:val="single" w:color="000000" w:sz="4" w:space="0"/>
              <w:bottom w:val="single" w:color="000000" w:sz="4" w:space="0"/>
              <w:right w:val="single" w:color="000000" w:sz="4" w:space="0"/>
            </w:tcBorders>
            <w:vAlign w:val="center"/>
          </w:tcPr>
          <w:p w14:paraId="024AF143">
            <w:pPr>
              <w:pStyle w:val="98"/>
              <w:ind w:left="-105" w:right="-105"/>
              <w:rPr>
                <w:rFonts w:eastAsia="宋体"/>
                <w:color w:val="auto"/>
                <w:sz w:val="21"/>
                <w:szCs w:val="21"/>
                <w:highlight w:val="none"/>
              </w:rPr>
            </w:pPr>
            <w:r>
              <w:rPr>
                <w:rFonts w:eastAsia="宋体"/>
                <w:color w:val="auto"/>
                <w:sz w:val="21"/>
                <w:szCs w:val="21"/>
                <w:highlight w:val="none"/>
              </w:rPr>
              <w:t>4.8</w:t>
            </w:r>
          </w:p>
        </w:tc>
        <w:tc>
          <w:tcPr>
            <w:tcW w:w="686" w:type="dxa"/>
            <w:tcBorders>
              <w:top w:val="single" w:color="000000" w:sz="4" w:space="0"/>
              <w:left w:val="single" w:color="000000" w:sz="4" w:space="0"/>
              <w:bottom w:val="single" w:color="000000" w:sz="4" w:space="0"/>
              <w:right w:val="single" w:color="000000" w:sz="4" w:space="0"/>
            </w:tcBorders>
            <w:vAlign w:val="center"/>
          </w:tcPr>
          <w:p w14:paraId="30DD69E2">
            <w:pPr>
              <w:pStyle w:val="98"/>
              <w:ind w:left="-105" w:right="-105"/>
              <w:rPr>
                <w:rFonts w:eastAsia="宋体"/>
                <w:color w:val="auto"/>
                <w:sz w:val="21"/>
                <w:szCs w:val="21"/>
                <w:highlight w:val="none"/>
              </w:rPr>
            </w:pPr>
            <w:r>
              <w:rPr>
                <w:rFonts w:eastAsia="宋体"/>
                <w:color w:val="auto"/>
                <w:sz w:val="21"/>
                <w:szCs w:val="21"/>
                <w:highlight w:val="none"/>
              </w:rPr>
              <w:t>3.8</w:t>
            </w:r>
          </w:p>
        </w:tc>
        <w:tc>
          <w:tcPr>
            <w:tcW w:w="747" w:type="dxa"/>
            <w:tcBorders>
              <w:top w:val="single" w:color="000000" w:sz="4" w:space="0"/>
              <w:left w:val="single" w:color="000000" w:sz="4" w:space="0"/>
              <w:bottom w:val="single" w:color="000000" w:sz="4" w:space="0"/>
              <w:right w:val="single" w:color="000000" w:sz="4" w:space="0"/>
            </w:tcBorders>
            <w:vAlign w:val="center"/>
          </w:tcPr>
          <w:p w14:paraId="38014473">
            <w:pPr>
              <w:pStyle w:val="98"/>
              <w:ind w:left="-105" w:right="-105"/>
              <w:rPr>
                <w:rFonts w:eastAsia="宋体"/>
                <w:color w:val="auto"/>
                <w:sz w:val="21"/>
                <w:szCs w:val="21"/>
                <w:highlight w:val="none"/>
              </w:rPr>
            </w:pPr>
            <w:r>
              <w:rPr>
                <w:rFonts w:eastAsia="宋体"/>
                <w:color w:val="auto"/>
                <w:sz w:val="21"/>
                <w:szCs w:val="21"/>
                <w:highlight w:val="none"/>
              </w:rPr>
              <w:t>1.6</w:t>
            </w:r>
          </w:p>
        </w:tc>
        <w:tc>
          <w:tcPr>
            <w:tcW w:w="686" w:type="dxa"/>
            <w:tcBorders>
              <w:top w:val="single" w:color="000000" w:sz="4" w:space="0"/>
              <w:left w:val="single" w:color="000000" w:sz="4" w:space="0"/>
              <w:bottom w:val="single" w:color="000000" w:sz="4" w:space="0"/>
              <w:right w:val="single" w:color="000000" w:sz="4" w:space="0"/>
            </w:tcBorders>
            <w:vAlign w:val="center"/>
          </w:tcPr>
          <w:p w14:paraId="45178EFC">
            <w:pPr>
              <w:pStyle w:val="98"/>
              <w:ind w:left="-105" w:right="-105"/>
              <w:rPr>
                <w:rFonts w:eastAsia="宋体"/>
                <w:color w:val="auto"/>
                <w:sz w:val="21"/>
                <w:szCs w:val="21"/>
                <w:highlight w:val="none"/>
              </w:rPr>
            </w:pPr>
            <w:r>
              <w:rPr>
                <w:rFonts w:eastAsia="宋体"/>
                <w:color w:val="auto"/>
                <w:sz w:val="21"/>
                <w:szCs w:val="21"/>
                <w:highlight w:val="none"/>
              </w:rPr>
              <w:t>2.6</w:t>
            </w:r>
          </w:p>
        </w:tc>
        <w:tc>
          <w:tcPr>
            <w:tcW w:w="700" w:type="dxa"/>
            <w:tcBorders>
              <w:top w:val="single" w:color="000000" w:sz="4" w:space="0"/>
              <w:left w:val="single" w:color="000000" w:sz="4" w:space="0"/>
              <w:bottom w:val="single" w:color="000000" w:sz="4" w:space="0"/>
              <w:right w:val="single" w:color="000000" w:sz="4" w:space="0"/>
            </w:tcBorders>
            <w:vAlign w:val="center"/>
          </w:tcPr>
          <w:p w14:paraId="4CC8D187">
            <w:pPr>
              <w:pStyle w:val="98"/>
              <w:ind w:left="-105" w:right="-105"/>
              <w:rPr>
                <w:rFonts w:eastAsia="宋体"/>
                <w:color w:val="auto"/>
                <w:sz w:val="21"/>
                <w:szCs w:val="21"/>
                <w:highlight w:val="none"/>
              </w:rPr>
            </w:pPr>
            <w:r>
              <w:rPr>
                <w:rFonts w:eastAsia="宋体"/>
                <w:color w:val="auto"/>
                <w:sz w:val="21"/>
                <w:szCs w:val="21"/>
                <w:highlight w:val="none"/>
              </w:rPr>
              <w:t>1.4</w:t>
            </w:r>
          </w:p>
        </w:tc>
        <w:tc>
          <w:tcPr>
            <w:tcW w:w="686" w:type="dxa"/>
            <w:tcBorders>
              <w:top w:val="single" w:color="000000" w:sz="4" w:space="0"/>
              <w:left w:val="single" w:color="000000" w:sz="4" w:space="0"/>
              <w:bottom w:val="single" w:color="000000" w:sz="4" w:space="0"/>
              <w:right w:val="single" w:color="000000" w:sz="4" w:space="0"/>
            </w:tcBorders>
            <w:vAlign w:val="center"/>
          </w:tcPr>
          <w:p w14:paraId="04D71387">
            <w:pPr>
              <w:pStyle w:val="98"/>
              <w:ind w:left="-105" w:right="-105"/>
              <w:rPr>
                <w:rFonts w:eastAsia="宋体"/>
                <w:color w:val="auto"/>
                <w:sz w:val="21"/>
                <w:szCs w:val="21"/>
                <w:highlight w:val="none"/>
              </w:rPr>
            </w:pPr>
            <w:r>
              <w:rPr>
                <w:rFonts w:eastAsia="宋体"/>
                <w:color w:val="auto"/>
                <w:sz w:val="21"/>
                <w:szCs w:val="21"/>
                <w:highlight w:val="none"/>
              </w:rPr>
              <w:t>11.4</w:t>
            </w:r>
          </w:p>
        </w:tc>
        <w:tc>
          <w:tcPr>
            <w:tcW w:w="693" w:type="dxa"/>
            <w:tcBorders>
              <w:top w:val="single" w:color="000000" w:sz="4" w:space="0"/>
              <w:left w:val="single" w:color="000000" w:sz="4" w:space="0"/>
              <w:bottom w:val="single" w:color="000000" w:sz="4" w:space="0"/>
              <w:right w:val="nil"/>
            </w:tcBorders>
            <w:vAlign w:val="center"/>
          </w:tcPr>
          <w:p w14:paraId="67F03B54">
            <w:pPr>
              <w:pStyle w:val="98"/>
              <w:ind w:left="-105" w:right="-105"/>
              <w:rPr>
                <w:rFonts w:eastAsia="宋体"/>
                <w:color w:val="auto"/>
                <w:sz w:val="21"/>
                <w:szCs w:val="21"/>
                <w:highlight w:val="none"/>
              </w:rPr>
            </w:pPr>
            <w:r>
              <w:rPr>
                <w:rFonts w:eastAsia="宋体"/>
                <w:color w:val="auto"/>
                <w:sz w:val="21"/>
                <w:szCs w:val="21"/>
                <w:highlight w:val="none"/>
              </w:rPr>
              <w:t>/</w:t>
            </w:r>
          </w:p>
        </w:tc>
      </w:tr>
      <w:tr w14:paraId="3C9CEE36">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108" w:type="dxa"/>
            <w:bottom w:w="0" w:type="dxa"/>
            <w:right w:w="108" w:type="dxa"/>
          </w:tblCellMar>
        </w:tblPrEx>
        <w:trPr>
          <w:gridAfter w:val="1"/>
          <w:wAfter w:w="21" w:type="dxa"/>
          <w:trHeight w:val="232" w:hRule="atLeast"/>
          <w:jc w:val="center"/>
        </w:trPr>
        <w:tc>
          <w:tcPr>
            <w:tcW w:w="688" w:type="dxa"/>
            <w:vMerge w:val="continue"/>
            <w:tcBorders>
              <w:top w:val="nil"/>
              <w:left w:val="nil"/>
              <w:bottom w:val="single" w:color="000000" w:sz="4" w:space="0"/>
              <w:right w:val="single" w:color="000000" w:sz="4" w:space="0"/>
            </w:tcBorders>
            <w:vAlign w:val="center"/>
          </w:tcPr>
          <w:p w14:paraId="49994873">
            <w:pPr>
              <w:ind w:left="-105" w:right="-105"/>
              <w:jc w:val="center"/>
              <w:rPr>
                <w:rFonts w:ascii="Times New Roman" w:hAnsi="Times New Roman"/>
                <w:color w:val="auto"/>
                <w:sz w:val="21"/>
                <w:szCs w:val="21"/>
                <w:highlight w:val="none"/>
              </w:rPr>
            </w:pPr>
          </w:p>
        </w:tc>
        <w:tc>
          <w:tcPr>
            <w:tcW w:w="687" w:type="dxa"/>
            <w:tcBorders>
              <w:top w:val="single" w:color="000000" w:sz="4" w:space="0"/>
              <w:left w:val="single" w:color="000000" w:sz="4" w:space="0"/>
              <w:bottom w:val="single" w:color="000000" w:sz="4" w:space="0"/>
              <w:right w:val="single" w:color="000000" w:sz="4" w:space="0"/>
            </w:tcBorders>
            <w:vAlign w:val="center"/>
          </w:tcPr>
          <w:p w14:paraId="49827086">
            <w:pPr>
              <w:pStyle w:val="98"/>
              <w:ind w:left="-105" w:right="-105"/>
              <w:rPr>
                <w:rFonts w:eastAsia="宋体"/>
                <w:color w:val="auto"/>
                <w:sz w:val="21"/>
                <w:szCs w:val="21"/>
                <w:highlight w:val="none"/>
              </w:rPr>
            </w:pPr>
            <w:r>
              <w:rPr>
                <w:rFonts w:eastAsia="宋体"/>
                <w:color w:val="auto"/>
                <w:sz w:val="21"/>
                <w:szCs w:val="21"/>
                <w:highlight w:val="none"/>
              </w:rPr>
              <w:t>风速</w:t>
            </w:r>
          </w:p>
        </w:tc>
        <w:tc>
          <w:tcPr>
            <w:tcW w:w="687" w:type="dxa"/>
            <w:tcBorders>
              <w:top w:val="single" w:color="000000" w:sz="4" w:space="0"/>
              <w:left w:val="single" w:color="000000" w:sz="4" w:space="0"/>
              <w:bottom w:val="single" w:color="000000" w:sz="4" w:space="0"/>
              <w:right w:val="single" w:color="000000" w:sz="4" w:space="0"/>
            </w:tcBorders>
            <w:vAlign w:val="center"/>
          </w:tcPr>
          <w:p w14:paraId="521244C7">
            <w:pPr>
              <w:pStyle w:val="98"/>
              <w:ind w:left="-105" w:right="-105"/>
              <w:rPr>
                <w:rFonts w:eastAsia="宋体"/>
                <w:color w:val="auto"/>
                <w:sz w:val="21"/>
                <w:szCs w:val="21"/>
                <w:highlight w:val="none"/>
              </w:rPr>
            </w:pPr>
            <w:r>
              <w:rPr>
                <w:rFonts w:eastAsia="宋体"/>
                <w:color w:val="auto"/>
                <w:sz w:val="21"/>
                <w:szCs w:val="21"/>
                <w:highlight w:val="none"/>
              </w:rPr>
              <w:t>1.7</w:t>
            </w:r>
          </w:p>
        </w:tc>
        <w:tc>
          <w:tcPr>
            <w:tcW w:w="687" w:type="dxa"/>
            <w:tcBorders>
              <w:top w:val="single" w:color="000000" w:sz="4" w:space="0"/>
              <w:left w:val="single" w:color="000000" w:sz="4" w:space="0"/>
              <w:bottom w:val="single" w:color="000000" w:sz="4" w:space="0"/>
              <w:right w:val="single" w:color="000000" w:sz="4" w:space="0"/>
            </w:tcBorders>
            <w:vAlign w:val="center"/>
          </w:tcPr>
          <w:p w14:paraId="5C3BCA71">
            <w:pPr>
              <w:pStyle w:val="98"/>
              <w:ind w:left="-105" w:right="-105"/>
              <w:rPr>
                <w:rFonts w:eastAsia="宋体"/>
                <w:color w:val="auto"/>
                <w:sz w:val="21"/>
                <w:szCs w:val="21"/>
                <w:highlight w:val="none"/>
              </w:rPr>
            </w:pPr>
            <w:r>
              <w:rPr>
                <w:rFonts w:eastAsia="宋体"/>
                <w:color w:val="auto"/>
                <w:sz w:val="21"/>
                <w:szCs w:val="21"/>
                <w:highlight w:val="none"/>
              </w:rPr>
              <w:t>2</w:t>
            </w:r>
          </w:p>
        </w:tc>
        <w:tc>
          <w:tcPr>
            <w:tcW w:w="687" w:type="dxa"/>
            <w:tcBorders>
              <w:top w:val="single" w:color="000000" w:sz="4" w:space="0"/>
              <w:left w:val="single" w:color="000000" w:sz="4" w:space="0"/>
              <w:bottom w:val="single" w:color="000000" w:sz="4" w:space="0"/>
              <w:right w:val="single" w:color="000000" w:sz="4" w:space="0"/>
            </w:tcBorders>
            <w:vAlign w:val="center"/>
          </w:tcPr>
          <w:p w14:paraId="103109F4">
            <w:pPr>
              <w:pStyle w:val="98"/>
              <w:ind w:left="-105" w:right="-105"/>
              <w:rPr>
                <w:rFonts w:eastAsia="宋体"/>
                <w:color w:val="auto"/>
                <w:sz w:val="21"/>
                <w:szCs w:val="21"/>
                <w:highlight w:val="none"/>
              </w:rPr>
            </w:pPr>
            <w:r>
              <w:rPr>
                <w:rFonts w:eastAsia="宋体"/>
                <w:color w:val="auto"/>
                <w:sz w:val="21"/>
                <w:szCs w:val="21"/>
                <w:highlight w:val="none"/>
              </w:rPr>
              <w:t>2.5</w:t>
            </w:r>
          </w:p>
        </w:tc>
        <w:tc>
          <w:tcPr>
            <w:tcW w:w="688" w:type="dxa"/>
            <w:tcBorders>
              <w:top w:val="single" w:color="000000" w:sz="4" w:space="0"/>
              <w:left w:val="single" w:color="000000" w:sz="4" w:space="0"/>
              <w:bottom w:val="single" w:color="000000" w:sz="4" w:space="0"/>
              <w:right w:val="single" w:color="000000" w:sz="4" w:space="0"/>
            </w:tcBorders>
            <w:vAlign w:val="center"/>
          </w:tcPr>
          <w:p w14:paraId="32D97678">
            <w:pPr>
              <w:pStyle w:val="98"/>
              <w:ind w:left="-105" w:right="-105"/>
              <w:rPr>
                <w:rFonts w:eastAsia="宋体"/>
                <w:color w:val="auto"/>
                <w:sz w:val="21"/>
                <w:szCs w:val="21"/>
                <w:highlight w:val="none"/>
              </w:rPr>
            </w:pPr>
            <w:r>
              <w:rPr>
                <w:rFonts w:eastAsia="宋体"/>
                <w:color w:val="auto"/>
                <w:sz w:val="21"/>
                <w:szCs w:val="21"/>
                <w:highlight w:val="none"/>
              </w:rPr>
              <w:t>2.8</w:t>
            </w:r>
          </w:p>
        </w:tc>
        <w:tc>
          <w:tcPr>
            <w:tcW w:w="687" w:type="dxa"/>
            <w:tcBorders>
              <w:top w:val="single" w:color="000000" w:sz="4" w:space="0"/>
              <w:left w:val="single" w:color="000000" w:sz="4" w:space="0"/>
              <w:bottom w:val="single" w:color="000000" w:sz="4" w:space="0"/>
              <w:right w:val="single" w:color="000000" w:sz="4" w:space="0"/>
            </w:tcBorders>
            <w:vAlign w:val="center"/>
          </w:tcPr>
          <w:p w14:paraId="70D69F60">
            <w:pPr>
              <w:pStyle w:val="98"/>
              <w:ind w:left="-105" w:right="-105"/>
              <w:rPr>
                <w:rFonts w:eastAsia="宋体"/>
                <w:color w:val="auto"/>
                <w:sz w:val="21"/>
                <w:szCs w:val="21"/>
                <w:highlight w:val="none"/>
              </w:rPr>
            </w:pPr>
            <w:r>
              <w:rPr>
                <w:rFonts w:eastAsia="宋体"/>
                <w:color w:val="auto"/>
                <w:sz w:val="21"/>
                <w:szCs w:val="21"/>
                <w:highlight w:val="none"/>
              </w:rPr>
              <w:t>2.6</w:t>
            </w:r>
          </w:p>
        </w:tc>
        <w:tc>
          <w:tcPr>
            <w:tcW w:w="687" w:type="dxa"/>
            <w:tcBorders>
              <w:top w:val="single" w:color="000000" w:sz="4" w:space="0"/>
              <w:left w:val="single" w:color="000000" w:sz="4" w:space="0"/>
              <w:bottom w:val="single" w:color="000000" w:sz="4" w:space="0"/>
              <w:right w:val="single" w:color="000000" w:sz="4" w:space="0"/>
            </w:tcBorders>
            <w:vAlign w:val="center"/>
          </w:tcPr>
          <w:p w14:paraId="0A9AB9C2">
            <w:pPr>
              <w:pStyle w:val="98"/>
              <w:ind w:left="-105" w:right="-105"/>
              <w:rPr>
                <w:rFonts w:eastAsia="宋体"/>
                <w:color w:val="auto"/>
                <w:sz w:val="21"/>
                <w:szCs w:val="21"/>
                <w:highlight w:val="none"/>
              </w:rPr>
            </w:pPr>
            <w:r>
              <w:rPr>
                <w:rFonts w:eastAsia="宋体"/>
                <w:color w:val="auto"/>
                <w:sz w:val="21"/>
                <w:szCs w:val="21"/>
                <w:highlight w:val="none"/>
              </w:rPr>
              <w:t>2.8</w:t>
            </w:r>
          </w:p>
        </w:tc>
        <w:tc>
          <w:tcPr>
            <w:tcW w:w="687" w:type="dxa"/>
            <w:tcBorders>
              <w:top w:val="single" w:color="000000" w:sz="4" w:space="0"/>
              <w:left w:val="single" w:color="000000" w:sz="4" w:space="0"/>
              <w:bottom w:val="single" w:color="000000" w:sz="4" w:space="0"/>
              <w:right w:val="single" w:color="000000" w:sz="4" w:space="0"/>
            </w:tcBorders>
            <w:vAlign w:val="center"/>
          </w:tcPr>
          <w:p w14:paraId="56CB04B0">
            <w:pPr>
              <w:pStyle w:val="98"/>
              <w:ind w:left="-105" w:right="-105"/>
              <w:rPr>
                <w:rFonts w:eastAsia="宋体"/>
                <w:color w:val="auto"/>
                <w:sz w:val="21"/>
                <w:szCs w:val="21"/>
                <w:highlight w:val="none"/>
              </w:rPr>
            </w:pPr>
            <w:r>
              <w:rPr>
                <w:rFonts w:eastAsia="宋体"/>
                <w:color w:val="auto"/>
                <w:sz w:val="21"/>
                <w:szCs w:val="21"/>
                <w:highlight w:val="none"/>
              </w:rPr>
              <w:t>2.7</w:t>
            </w:r>
          </w:p>
        </w:tc>
        <w:tc>
          <w:tcPr>
            <w:tcW w:w="687" w:type="dxa"/>
            <w:tcBorders>
              <w:top w:val="single" w:color="000000" w:sz="4" w:space="0"/>
              <w:left w:val="single" w:color="000000" w:sz="4" w:space="0"/>
              <w:bottom w:val="single" w:color="000000" w:sz="4" w:space="0"/>
              <w:right w:val="single" w:color="000000" w:sz="4" w:space="0"/>
            </w:tcBorders>
            <w:vAlign w:val="center"/>
          </w:tcPr>
          <w:p w14:paraId="13BC0411">
            <w:pPr>
              <w:pStyle w:val="98"/>
              <w:ind w:left="-105" w:right="-105"/>
              <w:rPr>
                <w:rFonts w:eastAsia="宋体"/>
                <w:color w:val="auto"/>
                <w:sz w:val="21"/>
                <w:szCs w:val="21"/>
                <w:highlight w:val="none"/>
              </w:rPr>
            </w:pPr>
            <w:r>
              <w:rPr>
                <w:rFonts w:eastAsia="宋体"/>
                <w:color w:val="auto"/>
                <w:sz w:val="21"/>
                <w:szCs w:val="21"/>
                <w:highlight w:val="none"/>
              </w:rPr>
              <w:t>2.9</w:t>
            </w:r>
          </w:p>
        </w:tc>
        <w:tc>
          <w:tcPr>
            <w:tcW w:w="687" w:type="dxa"/>
            <w:tcBorders>
              <w:top w:val="single" w:color="000000" w:sz="4" w:space="0"/>
              <w:left w:val="single" w:color="000000" w:sz="4" w:space="0"/>
              <w:bottom w:val="single" w:color="000000" w:sz="4" w:space="0"/>
              <w:right w:val="single" w:color="000000" w:sz="4" w:space="0"/>
            </w:tcBorders>
            <w:vAlign w:val="center"/>
          </w:tcPr>
          <w:p w14:paraId="55F2EF05">
            <w:pPr>
              <w:pStyle w:val="98"/>
              <w:ind w:left="-105" w:right="-105"/>
              <w:rPr>
                <w:rFonts w:eastAsia="宋体"/>
                <w:color w:val="auto"/>
                <w:sz w:val="21"/>
                <w:szCs w:val="21"/>
                <w:highlight w:val="none"/>
              </w:rPr>
            </w:pPr>
            <w:r>
              <w:rPr>
                <w:rFonts w:eastAsia="宋体"/>
                <w:color w:val="auto"/>
                <w:sz w:val="21"/>
                <w:szCs w:val="21"/>
                <w:highlight w:val="none"/>
              </w:rPr>
              <w:t>2.8</w:t>
            </w:r>
          </w:p>
        </w:tc>
        <w:tc>
          <w:tcPr>
            <w:tcW w:w="687" w:type="dxa"/>
            <w:tcBorders>
              <w:top w:val="single" w:color="000000" w:sz="4" w:space="0"/>
              <w:left w:val="single" w:color="000000" w:sz="4" w:space="0"/>
              <w:bottom w:val="single" w:color="000000" w:sz="4" w:space="0"/>
              <w:right w:val="single" w:color="000000" w:sz="4" w:space="0"/>
            </w:tcBorders>
            <w:vAlign w:val="center"/>
          </w:tcPr>
          <w:p w14:paraId="75093A5F">
            <w:pPr>
              <w:pStyle w:val="98"/>
              <w:ind w:left="-105" w:right="-105"/>
              <w:rPr>
                <w:rFonts w:eastAsia="宋体"/>
                <w:color w:val="auto"/>
                <w:sz w:val="21"/>
                <w:szCs w:val="21"/>
                <w:highlight w:val="none"/>
              </w:rPr>
            </w:pPr>
            <w:r>
              <w:rPr>
                <w:rFonts w:eastAsia="宋体"/>
                <w:color w:val="auto"/>
                <w:sz w:val="21"/>
                <w:szCs w:val="21"/>
                <w:highlight w:val="none"/>
              </w:rPr>
              <w:t>2</w:t>
            </w:r>
          </w:p>
        </w:tc>
        <w:tc>
          <w:tcPr>
            <w:tcW w:w="684" w:type="dxa"/>
            <w:tcBorders>
              <w:top w:val="single" w:color="000000" w:sz="4" w:space="0"/>
              <w:left w:val="single" w:color="000000" w:sz="4" w:space="0"/>
              <w:bottom w:val="single" w:color="000000" w:sz="4" w:space="0"/>
              <w:right w:val="single" w:color="000000" w:sz="4" w:space="0"/>
            </w:tcBorders>
            <w:vAlign w:val="center"/>
          </w:tcPr>
          <w:p w14:paraId="755B47BF">
            <w:pPr>
              <w:pStyle w:val="98"/>
              <w:ind w:left="-105" w:right="-105"/>
              <w:rPr>
                <w:rFonts w:eastAsia="宋体"/>
                <w:color w:val="auto"/>
                <w:sz w:val="21"/>
                <w:szCs w:val="21"/>
                <w:highlight w:val="none"/>
              </w:rPr>
            </w:pPr>
            <w:r>
              <w:rPr>
                <w:rFonts w:eastAsia="宋体"/>
                <w:color w:val="auto"/>
                <w:sz w:val="21"/>
                <w:szCs w:val="21"/>
                <w:highlight w:val="none"/>
              </w:rPr>
              <w:t>2.1</w:t>
            </w:r>
          </w:p>
        </w:tc>
        <w:tc>
          <w:tcPr>
            <w:tcW w:w="714" w:type="dxa"/>
            <w:tcBorders>
              <w:top w:val="single" w:color="000000" w:sz="4" w:space="0"/>
              <w:left w:val="single" w:color="000000" w:sz="4" w:space="0"/>
              <w:bottom w:val="single" w:color="000000" w:sz="4" w:space="0"/>
              <w:right w:val="single" w:color="000000" w:sz="4" w:space="0"/>
            </w:tcBorders>
            <w:vAlign w:val="center"/>
          </w:tcPr>
          <w:p w14:paraId="68E62B4A">
            <w:pPr>
              <w:pStyle w:val="98"/>
              <w:ind w:left="-105" w:right="-105"/>
              <w:rPr>
                <w:rFonts w:eastAsia="宋体"/>
                <w:color w:val="auto"/>
                <w:sz w:val="21"/>
                <w:szCs w:val="21"/>
                <w:highlight w:val="none"/>
              </w:rPr>
            </w:pPr>
            <w:r>
              <w:rPr>
                <w:rFonts w:eastAsia="宋体"/>
                <w:color w:val="auto"/>
                <w:sz w:val="21"/>
                <w:szCs w:val="21"/>
                <w:highlight w:val="none"/>
              </w:rPr>
              <w:t>3.3</w:t>
            </w:r>
          </w:p>
        </w:tc>
        <w:tc>
          <w:tcPr>
            <w:tcW w:w="686" w:type="dxa"/>
            <w:tcBorders>
              <w:top w:val="single" w:color="000000" w:sz="4" w:space="0"/>
              <w:left w:val="single" w:color="000000" w:sz="4" w:space="0"/>
              <w:bottom w:val="single" w:color="000000" w:sz="4" w:space="0"/>
              <w:right w:val="single" w:color="000000" w:sz="4" w:space="0"/>
            </w:tcBorders>
            <w:vAlign w:val="center"/>
          </w:tcPr>
          <w:p w14:paraId="338473AD">
            <w:pPr>
              <w:pStyle w:val="98"/>
              <w:ind w:left="-105" w:right="-105"/>
              <w:rPr>
                <w:rFonts w:eastAsia="宋体"/>
                <w:color w:val="auto"/>
                <w:sz w:val="21"/>
                <w:szCs w:val="21"/>
                <w:highlight w:val="none"/>
              </w:rPr>
            </w:pPr>
            <w:r>
              <w:rPr>
                <w:rFonts w:eastAsia="宋体"/>
                <w:color w:val="auto"/>
                <w:sz w:val="21"/>
                <w:szCs w:val="21"/>
                <w:highlight w:val="none"/>
              </w:rPr>
              <w:t>3.6</w:t>
            </w:r>
          </w:p>
        </w:tc>
        <w:tc>
          <w:tcPr>
            <w:tcW w:w="747" w:type="dxa"/>
            <w:tcBorders>
              <w:top w:val="single" w:color="000000" w:sz="4" w:space="0"/>
              <w:left w:val="single" w:color="000000" w:sz="4" w:space="0"/>
              <w:bottom w:val="single" w:color="000000" w:sz="4" w:space="0"/>
              <w:right w:val="single" w:color="000000" w:sz="4" w:space="0"/>
            </w:tcBorders>
            <w:vAlign w:val="center"/>
          </w:tcPr>
          <w:p w14:paraId="5A5F542F">
            <w:pPr>
              <w:pStyle w:val="98"/>
              <w:ind w:left="-105" w:right="-105"/>
              <w:rPr>
                <w:rFonts w:eastAsia="宋体"/>
                <w:color w:val="auto"/>
                <w:sz w:val="21"/>
                <w:szCs w:val="21"/>
                <w:highlight w:val="none"/>
              </w:rPr>
            </w:pPr>
            <w:r>
              <w:rPr>
                <w:rFonts w:eastAsia="宋体"/>
                <w:color w:val="auto"/>
                <w:sz w:val="21"/>
                <w:szCs w:val="21"/>
                <w:highlight w:val="none"/>
              </w:rPr>
              <w:t>2.9</w:t>
            </w:r>
          </w:p>
        </w:tc>
        <w:tc>
          <w:tcPr>
            <w:tcW w:w="686" w:type="dxa"/>
            <w:tcBorders>
              <w:top w:val="single" w:color="000000" w:sz="4" w:space="0"/>
              <w:left w:val="single" w:color="000000" w:sz="4" w:space="0"/>
              <w:bottom w:val="single" w:color="000000" w:sz="4" w:space="0"/>
              <w:right w:val="single" w:color="000000" w:sz="4" w:space="0"/>
            </w:tcBorders>
            <w:vAlign w:val="center"/>
          </w:tcPr>
          <w:p w14:paraId="2741D8BE">
            <w:pPr>
              <w:pStyle w:val="98"/>
              <w:ind w:left="-105" w:right="-105"/>
              <w:rPr>
                <w:rFonts w:eastAsia="宋体"/>
                <w:color w:val="auto"/>
                <w:sz w:val="21"/>
                <w:szCs w:val="21"/>
                <w:highlight w:val="none"/>
              </w:rPr>
            </w:pPr>
            <w:r>
              <w:rPr>
                <w:rFonts w:eastAsia="宋体"/>
                <w:color w:val="auto"/>
                <w:sz w:val="21"/>
                <w:szCs w:val="21"/>
                <w:highlight w:val="none"/>
              </w:rPr>
              <w:t>2.2</w:t>
            </w:r>
          </w:p>
        </w:tc>
        <w:tc>
          <w:tcPr>
            <w:tcW w:w="700" w:type="dxa"/>
            <w:tcBorders>
              <w:top w:val="single" w:color="000000" w:sz="4" w:space="0"/>
              <w:left w:val="single" w:color="000000" w:sz="4" w:space="0"/>
              <w:bottom w:val="single" w:color="000000" w:sz="4" w:space="0"/>
              <w:right w:val="single" w:color="000000" w:sz="4" w:space="0"/>
            </w:tcBorders>
            <w:vAlign w:val="center"/>
          </w:tcPr>
          <w:p w14:paraId="1794666A">
            <w:pPr>
              <w:pStyle w:val="98"/>
              <w:ind w:left="-105" w:right="-105"/>
              <w:rPr>
                <w:rFonts w:eastAsia="宋体"/>
                <w:color w:val="auto"/>
                <w:sz w:val="21"/>
                <w:szCs w:val="21"/>
                <w:highlight w:val="none"/>
              </w:rPr>
            </w:pPr>
            <w:r>
              <w:rPr>
                <w:rFonts w:eastAsia="宋体"/>
                <w:color w:val="auto"/>
                <w:sz w:val="21"/>
                <w:szCs w:val="21"/>
                <w:highlight w:val="none"/>
              </w:rPr>
              <w:t>2.4</w:t>
            </w:r>
          </w:p>
        </w:tc>
        <w:tc>
          <w:tcPr>
            <w:tcW w:w="686" w:type="dxa"/>
            <w:tcBorders>
              <w:top w:val="single" w:color="000000" w:sz="4" w:space="0"/>
              <w:left w:val="single" w:color="000000" w:sz="4" w:space="0"/>
              <w:bottom w:val="single" w:color="000000" w:sz="4" w:space="0"/>
              <w:right w:val="single" w:color="000000" w:sz="4" w:space="0"/>
            </w:tcBorders>
            <w:vAlign w:val="center"/>
          </w:tcPr>
          <w:p w14:paraId="197B4AD8">
            <w:pPr>
              <w:pStyle w:val="98"/>
              <w:ind w:left="-105" w:right="-105"/>
              <w:rPr>
                <w:rFonts w:eastAsia="宋体"/>
                <w:color w:val="auto"/>
                <w:sz w:val="21"/>
                <w:szCs w:val="21"/>
                <w:highlight w:val="none"/>
              </w:rPr>
            </w:pPr>
            <w:r>
              <w:rPr>
                <w:rFonts w:eastAsia="宋体"/>
                <w:color w:val="auto"/>
                <w:sz w:val="21"/>
                <w:szCs w:val="21"/>
                <w:highlight w:val="none"/>
              </w:rPr>
              <w:t>/</w:t>
            </w:r>
          </w:p>
        </w:tc>
        <w:tc>
          <w:tcPr>
            <w:tcW w:w="693" w:type="dxa"/>
            <w:tcBorders>
              <w:top w:val="single" w:color="000000" w:sz="4" w:space="0"/>
              <w:left w:val="single" w:color="000000" w:sz="4" w:space="0"/>
              <w:bottom w:val="single" w:color="000000" w:sz="4" w:space="0"/>
              <w:right w:val="nil"/>
            </w:tcBorders>
            <w:vAlign w:val="center"/>
          </w:tcPr>
          <w:p w14:paraId="0043FAFA">
            <w:pPr>
              <w:pStyle w:val="98"/>
              <w:ind w:left="-105" w:right="-105"/>
              <w:rPr>
                <w:rFonts w:eastAsia="宋体"/>
                <w:color w:val="auto"/>
                <w:sz w:val="21"/>
                <w:szCs w:val="21"/>
                <w:highlight w:val="none"/>
              </w:rPr>
            </w:pPr>
            <w:r>
              <w:rPr>
                <w:rFonts w:eastAsia="宋体"/>
                <w:color w:val="auto"/>
                <w:sz w:val="21"/>
                <w:szCs w:val="21"/>
                <w:highlight w:val="none"/>
              </w:rPr>
              <w:t>2.58</w:t>
            </w:r>
          </w:p>
        </w:tc>
      </w:tr>
      <w:tr w14:paraId="4AECAA38">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108" w:type="dxa"/>
            <w:bottom w:w="0" w:type="dxa"/>
            <w:right w:w="108" w:type="dxa"/>
          </w:tblCellMar>
        </w:tblPrEx>
        <w:trPr>
          <w:gridAfter w:val="1"/>
          <w:wAfter w:w="21" w:type="dxa"/>
          <w:trHeight w:val="232" w:hRule="atLeast"/>
          <w:jc w:val="center"/>
        </w:trPr>
        <w:tc>
          <w:tcPr>
            <w:tcW w:w="688" w:type="dxa"/>
            <w:vMerge w:val="restart"/>
            <w:tcBorders>
              <w:top w:val="single" w:color="000000" w:sz="4" w:space="0"/>
              <w:left w:val="nil"/>
              <w:bottom w:val="single" w:color="000000" w:sz="4" w:space="0"/>
              <w:right w:val="single" w:color="000000" w:sz="4" w:space="0"/>
            </w:tcBorders>
            <w:vAlign w:val="center"/>
          </w:tcPr>
          <w:p w14:paraId="6D3CED6B">
            <w:pPr>
              <w:pStyle w:val="98"/>
              <w:ind w:left="-105" w:right="-105"/>
              <w:rPr>
                <w:rFonts w:eastAsia="宋体"/>
                <w:color w:val="auto"/>
                <w:sz w:val="21"/>
                <w:szCs w:val="21"/>
                <w:highlight w:val="none"/>
              </w:rPr>
            </w:pPr>
            <w:r>
              <w:rPr>
                <w:rFonts w:eastAsia="宋体"/>
                <w:color w:val="auto"/>
                <w:sz w:val="21"/>
                <w:szCs w:val="21"/>
                <w:highlight w:val="none"/>
              </w:rPr>
              <w:t>8月</w:t>
            </w:r>
          </w:p>
        </w:tc>
        <w:tc>
          <w:tcPr>
            <w:tcW w:w="687" w:type="dxa"/>
            <w:tcBorders>
              <w:top w:val="single" w:color="000000" w:sz="4" w:space="0"/>
              <w:left w:val="single" w:color="000000" w:sz="4" w:space="0"/>
              <w:bottom w:val="single" w:color="000000" w:sz="4" w:space="0"/>
              <w:right w:val="single" w:color="000000" w:sz="4" w:space="0"/>
            </w:tcBorders>
            <w:vAlign w:val="center"/>
          </w:tcPr>
          <w:p w14:paraId="58F60855">
            <w:pPr>
              <w:pStyle w:val="98"/>
              <w:ind w:left="-105" w:right="-105"/>
              <w:rPr>
                <w:rFonts w:eastAsia="宋体"/>
                <w:color w:val="auto"/>
                <w:sz w:val="21"/>
                <w:szCs w:val="21"/>
                <w:highlight w:val="none"/>
              </w:rPr>
            </w:pPr>
            <w:r>
              <w:rPr>
                <w:rFonts w:eastAsia="宋体"/>
                <w:color w:val="auto"/>
                <w:sz w:val="21"/>
                <w:szCs w:val="21"/>
                <w:highlight w:val="none"/>
              </w:rPr>
              <w:t>频率</w:t>
            </w:r>
          </w:p>
        </w:tc>
        <w:tc>
          <w:tcPr>
            <w:tcW w:w="687" w:type="dxa"/>
            <w:tcBorders>
              <w:top w:val="single" w:color="000000" w:sz="4" w:space="0"/>
              <w:left w:val="single" w:color="000000" w:sz="4" w:space="0"/>
              <w:bottom w:val="single" w:color="000000" w:sz="4" w:space="0"/>
              <w:right w:val="single" w:color="000000" w:sz="4" w:space="0"/>
            </w:tcBorders>
            <w:vAlign w:val="center"/>
          </w:tcPr>
          <w:p w14:paraId="3AE274BE">
            <w:pPr>
              <w:pStyle w:val="98"/>
              <w:ind w:left="-105" w:right="-105"/>
              <w:rPr>
                <w:rFonts w:eastAsia="宋体"/>
                <w:color w:val="auto"/>
                <w:sz w:val="21"/>
                <w:szCs w:val="21"/>
                <w:highlight w:val="none"/>
              </w:rPr>
            </w:pPr>
            <w:r>
              <w:rPr>
                <w:rFonts w:eastAsia="宋体"/>
                <w:color w:val="auto"/>
                <w:sz w:val="21"/>
                <w:szCs w:val="21"/>
                <w:highlight w:val="none"/>
              </w:rPr>
              <w:t>5.4</w:t>
            </w:r>
          </w:p>
        </w:tc>
        <w:tc>
          <w:tcPr>
            <w:tcW w:w="687" w:type="dxa"/>
            <w:tcBorders>
              <w:top w:val="single" w:color="000000" w:sz="4" w:space="0"/>
              <w:left w:val="single" w:color="000000" w:sz="4" w:space="0"/>
              <w:bottom w:val="single" w:color="000000" w:sz="4" w:space="0"/>
              <w:right w:val="single" w:color="000000" w:sz="4" w:space="0"/>
            </w:tcBorders>
            <w:vAlign w:val="center"/>
          </w:tcPr>
          <w:p w14:paraId="1D76B120">
            <w:pPr>
              <w:pStyle w:val="98"/>
              <w:ind w:left="-105" w:right="-105"/>
              <w:rPr>
                <w:rFonts w:eastAsia="宋体"/>
                <w:color w:val="auto"/>
                <w:sz w:val="21"/>
                <w:szCs w:val="21"/>
                <w:highlight w:val="none"/>
              </w:rPr>
            </w:pPr>
            <w:r>
              <w:rPr>
                <w:rFonts w:eastAsia="宋体"/>
                <w:color w:val="auto"/>
                <w:sz w:val="21"/>
                <w:szCs w:val="21"/>
                <w:highlight w:val="none"/>
              </w:rPr>
              <w:t>4</w:t>
            </w:r>
          </w:p>
        </w:tc>
        <w:tc>
          <w:tcPr>
            <w:tcW w:w="687" w:type="dxa"/>
            <w:tcBorders>
              <w:top w:val="single" w:color="000000" w:sz="4" w:space="0"/>
              <w:left w:val="single" w:color="000000" w:sz="4" w:space="0"/>
              <w:bottom w:val="single" w:color="000000" w:sz="4" w:space="0"/>
              <w:right w:val="single" w:color="000000" w:sz="4" w:space="0"/>
            </w:tcBorders>
            <w:vAlign w:val="center"/>
          </w:tcPr>
          <w:p w14:paraId="5A55CA39">
            <w:pPr>
              <w:pStyle w:val="98"/>
              <w:ind w:left="-105" w:right="-105"/>
              <w:rPr>
                <w:rFonts w:eastAsia="宋体"/>
                <w:color w:val="auto"/>
                <w:sz w:val="21"/>
                <w:szCs w:val="21"/>
                <w:highlight w:val="none"/>
              </w:rPr>
            </w:pPr>
            <w:r>
              <w:rPr>
                <w:rFonts w:eastAsia="宋体"/>
                <w:color w:val="auto"/>
                <w:sz w:val="21"/>
                <w:szCs w:val="21"/>
                <w:highlight w:val="none"/>
              </w:rPr>
              <w:t>9.6</w:t>
            </w:r>
          </w:p>
        </w:tc>
        <w:tc>
          <w:tcPr>
            <w:tcW w:w="688" w:type="dxa"/>
            <w:tcBorders>
              <w:top w:val="single" w:color="000000" w:sz="4" w:space="0"/>
              <w:left w:val="single" w:color="000000" w:sz="4" w:space="0"/>
              <w:bottom w:val="single" w:color="000000" w:sz="4" w:space="0"/>
              <w:right w:val="single" w:color="000000" w:sz="4" w:space="0"/>
            </w:tcBorders>
            <w:vAlign w:val="center"/>
          </w:tcPr>
          <w:p w14:paraId="48BC41E6">
            <w:pPr>
              <w:pStyle w:val="98"/>
              <w:ind w:left="-105" w:right="-105"/>
              <w:rPr>
                <w:rFonts w:eastAsia="宋体"/>
                <w:color w:val="auto"/>
                <w:sz w:val="21"/>
                <w:szCs w:val="21"/>
                <w:highlight w:val="none"/>
              </w:rPr>
            </w:pPr>
            <w:r>
              <w:rPr>
                <w:rFonts w:eastAsia="宋体"/>
                <w:color w:val="auto"/>
                <w:sz w:val="21"/>
                <w:szCs w:val="21"/>
                <w:highlight w:val="none"/>
              </w:rPr>
              <w:t>7.4</w:t>
            </w:r>
          </w:p>
        </w:tc>
        <w:tc>
          <w:tcPr>
            <w:tcW w:w="687" w:type="dxa"/>
            <w:tcBorders>
              <w:top w:val="single" w:color="000000" w:sz="4" w:space="0"/>
              <w:left w:val="single" w:color="000000" w:sz="4" w:space="0"/>
              <w:bottom w:val="single" w:color="000000" w:sz="4" w:space="0"/>
              <w:right w:val="single" w:color="000000" w:sz="4" w:space="0"/>
            </w:tcBorders>
            <w:vAlign w:val="center"/>
          </w:tcPr>
          <w:p w14:paraId="44E7A674">
            <w:pPr>
              <w:pStyle w:val="98"/>
              <w:ind w:left="-105" w:right="-105"/>
              <w:rPr>
                <w:rFonts w:eastAsia="宋体"/>
                <w:color w:val="auto"/>
                <w:sz w:val="21"/>
                <w:szCs w:val="21"/>
                <w:highlight w:val="none"/>
              </w:rPr>
            </w:pPr>
            <w:r>
              <w:rPr>
                <w:rFonts w:eastAsia="宋体"/>
                <w:color w:val="auto"/>
                <w:sz w:val="21"/>
                <w:szCs w:val="21"/>
                <w:highlight w:val="none"/>
              </w:rPr>
              <w:t>10.2</w:t>
            </w:r>
          </w:p>
        </w:tc>
        <w:tc>
          <w:tcPr>
            <w:tcW w:w="687" w:type="dxa"/>
            <w:tcBorders>
              <w:top w:val="single" w:color="000000" w:sz="4" w:space="0"/>
              <w:left w:val="single" w:color="000000" w:sz="4" w:space="0"/>
              <w:bottom w:val="single" w:color="000000" w:sz="4" w:space="0"/>
              <w:right w:val="single" w:color="000000" w:sz="4" w:space="0"/>
            </w:tcBorders>
            <w:vAlign w:val="center"/>
          </w:tcPr>
          <w:p w14:paraId="6DD77D22">
            <w:pPr>
              <w:pStyle w:val="98"/>
              <w:ind w:left="-105" w:right="-105"/>
              <w:rPr>
                <w:rFonts w:eastAsia="宋体"/>
                <w:color w:val="auto"/>
                <w:sz w:val="21"/>
                <w:szCs w:val="21"/>
                <w:highlight w:val="none"/>
              </w:rPr>
            </w:pPr>
            <w:r>
              <w:rPr>
                <w:rFonts w:eastAsia="宋体"/>
                <w:color w:val="auto"/>
                <w:sz w:val="21"/>
                <w:szCs w:val="21"/>
                <w:highlight w:val="none"/>
              </w:rPr>
              <w:t>11.2</w:t>
            </w:r>
          </w:p>
        </w:tc>
        <w:tc>
          <w:tcPr>
            <w:tcW w:w="687" w:type="dxa"/>
            <w:tcBorders>
              <w:top w:val="single" w:color="000000" w:sz="4" w:space="0"/>
              <w:left w:val="single" w:color="000000" w:sz="4" w:space="0"/>
              <w:bottom w:val="single" w:color="000000" w:sz="4" w:space="0"/>
              <w:right w:val="single" w:color="000000" w:sz="4" w:space="0"/>
            </w:tcBorders>
            <w:vAlign w:val="center"/>
          </w:tcPr>
          <w:p w14:paraId="64FD8D39">
            <w:pPr>
              <w:pStyle w:val="98"/>
              <w:ind w:left="-105" w:right="-105"/>
              <w:rPr>
                <w:rFonts w:eastAsia="宋体"/>
                <w:color w:val="auto"/>
                <w:sz w:val="21"/>
                <w:szCs w:val="21"/>
                <w:highlight w:val="none"/>
              </w:rPr>
            </w:pPr>
            <w:r>
              <w:rPr>
                <w:rFonts w:eastAsia="宋体"/>
                <w:color w:val="auto"/>
                <w:sz w:val="21"/>
                <w:szCs w:val="21"/>
                <w:highlight w:val="none"/>
              </w:rPr>
              <w:t>12.4</w:t>
            </w:r>
          </w:p>
        </w:tc>
        <w:tc>
          <w:tcPr>
            <w:tcW w:w="687" w:type="dxa"/>
            <w:tcBorders>
              <w:top w:val="single" w:color="000000" w:sz="4" w:space="0"/>
              <w:left w:val="single" w:color="000000" w:sz="4" w:space="0"/>
              <w:bottom w:val="single" w:color="000000" w:sz="4" w:space="0"/>
              <w:right w:val="single" w:color="000000" w:sz="4" w:space="0"/>
            </w:tcBorders>
            <w:vAlign w:val="center"/>
          </w:tcPr>
          <w:p w14:paraId="00FB8E7C">
            <w:pPr>
              <w:pStyle w:val="98"/>
              <w:ind w:left="-105" w:right="-105"/>
              <w:rPr>
                <w:rFonts w:eastAsia="宋体"/>
                <w:color w:val="auto"/>
                <w:sz w:val="21"/>
                <w:szCs w:val="21"/>
                <w:highlight w:val="none"/>
              </w:rPr>
            </w:pPr>
            <w:r>
              <w:rPr>
                <w:rFonts w:eastAsia="宋体"/>
                <w:color w:val="auto"/>
                <w:sz w:val="21"/>
                <w:szCs w:val="21"/>
                <w:highlight w:val="none"/>
              </w:rPr>
              <w:t>6</w:t>
            </w:r>
          </w:p>
        </w:tc>
        <w:tc>
          <w:tcPr>
            <w:tcW w:w="687" w:type="dxa"/>
            <w:tcBorders>
              <w:top w:val="single" w:color="000000" w:sz="4" w:space="0"/>
              <w:left w:val="single" w:color="000000" w:sz="4" w:space="0"/>
              <w:bottom w:val="single" w:color="000000" w:sz="4" w:space="0"/>
              <w:right w:val="single" w:color="000000" w:sz="4" w:space="0"/>
            </w:tcBorders>
            <w:vAlign w:val="center"/>
          </w:tcPr>
          <w:p w14:paraId="7A2EA618">
            <w:pPr>
              <w:pStyle w:val="98"/>
              <w:ind w:left="-105" w:right="-105"/>
              <w:rPr>
                <w:rFonts w:eastAsia="宋体"/>
                <w:color w:val="auto"/>
                <w:sz w:val="21"/>
                <w:szCs w:val="21"/>
                <w:highlight w:val="none"/>
              </w:rPr>
            </w:pPr>
            <w:r>
              <w:rPr>
                <w:rFonts w:eastAsia="宋体"/>
                <w:color w:val="auto"/>
                <w:sz w:val="21"/>
                <w:szCs w:val="21"/>
                <w:highlight w:val="none"/>
              </w:rPr>
              <w:t>4.2</w:t>
            </w:r>
          </w:p>
        </w:tc>
        <w:tc>
          <w:tcPr>
            <w:tcW w:w="687" w:type="dxa"/>
            <w:tcBorders>
              <w:top w:val="single" w:color="000000" w:sz="4" w:space="0"/>
              <w:left w:val="single" w:color="000000" w:sz="4" w:space="0"/>
              <w:bottom w:val="single" w:color="000000" w:sz="4" w:space="0"/>
              <w:right w:val="single" w:color="000000" w:sz="4" w:space="0"/>
            </w:tcBorders>
            <w:vAlign w:val="center"/>
          </w:tcPr>
          <w:p w14:paraId="586561EE">
            <w:pPr>
              <w:pStyle w:val="98"/>
              <w:ind w:left="-105" w:right="-105"/>
              <w:rPr>
                <w:rFonts w:eastAsia="宋体"/>
                <w:color w:val="auto"/>
                <w:sz w:val="21"/>
                <w:szCs w:val="21"/>
                <w:highlight w:val="none"/>
              </w:rPr>
            </w:pPr>
            <w:r>
              <w:rPr>
                <w:rFonts w:eastAsia="宋体"/>
                <w:color w:val="auto"/>
                <w:sz w:val="21"/>
                <w:szCs w:val="21"/>
                <w:highlight w:val="none"/>
              </w:rPr>
              <w:t>2.2</w:t>
            </w:r>
          </w:p>
        </w:tc>
        <w:tc>
          <w:tcPr>
            <w:tcW w:w="684" w:type="dxa"/>
            <w:tcBorders>
              <w:top w:val="single" w:color="000000" w:sz="4" w:space="0"/>
              <w:left w:val="single" w:color="000000" w:sz="4" w:space="0"/>
              <w:bottom w:val="single" w:color="000000" w:sz="4" w:space="0"/>
              <w:right w:val="single" w:color="000000" w:sz="4" w:space="0"/>
            </w:tcBorders>
            <w:vAlign w:val="center"/>
          </w:tcPr>
          <w:p w14:paraId="3DED090A">
            <w:pPr>
              <w:pStyle w:val="98"/>
              <w:ind w:left="-105" w:right="-105"/>
              <w:rPr>
                <w:rFonts w:eastAsia="宋体"/>
                <w:color w:val="auto"/>
                <w:sz w:val="21"/>
                <w:szCs w:val="21"/>
                <w:highlight w:val="none"/>
              </w:rPr>
            </w:pPr>
            <w:r>
              <w:rPr>
                <w:rFonts w:eastAsia="宋体"/>
                <w:color w:val="auto"/>
                <w:sz w:val="21"/>
                <w:szCs w:val="21"/>
                <w:highlight w:val="none"/>
              </w:rPr>
              <w:t>2.6</w:t>
            </w:r>
          </w:p>
        </w:tc>
        <w:tc>
          <w:tcPr>
            <w:tcW w:w="714" w:type="dxa"/>
            <w:tcBorders>
              <w:top w:val="single" w:color="000000" w:sz="4" w:space="0"/>
              <w:left w:val="single" w:color="000000" w:sz="4" w:space="0"/>
              <w:bottom w:val="single" w:color="000000" w:sz="4" w:space="0"/>
              <w:right w:val="single" w:color="000000" w:sz="4" w:space="0"/>
            </w:tcBorders>
            <w:vAlign w:val="center"/>
          </w:tcPr>
          <w:p w14:paraId="0910529F">
            <w:pPr>
              <w:pStyle w:val="98"/>
              <w:ind w:left="-105" w:right="-105"/>
              <w:rPr>
                <w:rFonts w:eastAsia="宋体"/>
                <w:color w:val="auto"/>
                <w:sz w:val="21"/>
                <w:szCs w:val="21"/>
                <w:highlight w:val="none"/>
              </w:rPr>
            </w:pPr>
            <w:r>
              <w:rPr>
                <w:rFonts w:eastAsia="宋体"/>
                <w:color w:val="auto"/>
                <w:sz w:val="21"/>
                <w:szCs w:val="21"/>
                <w:highlight w:val="none"/>
              </w:rPr>
              <w:t>2</w:t>
            </w:r>
          </w:p>
        </w:tc>
        <w:tc>
          <w:tcPr>
            <w:tcW w:w="686" w:type="dxa"/>
            <w:tcBorders>
              <w:top w:val="single" w:color="000000" w:sz="4" w:space="0"/>
              <w:left w:val="single" w:color="000000" w:sz="4" w:space="0"/>
              <w:bottom w:val="single" w:color="000000" w:sz="4" w:space="0"/>
              <w:right w:val="single" w:color="000000" w:sz="4" w:space="0"/>
            </w:tcBorders>
            <w:vAlign w:val="center"/>
          </w:tcPr>
          <w:p w14:paraId="3282CEF6">
            <w:pPr>
              <w:pStyle w:val="98"/>
              <w:ind w:left="-105" w:right="-105"/>
              <w:rPr>
                <w:rFonts w:eastAsia="宋体"/>
                <w:color w:val="auto"/>
                <w:sz w:val="21"/>
                <w:szCs w:val="21"/>
                <w:highlight w:val="none"/>
              </w:rPr>
            </w:pPr>
            <w:r>
              <w:rPr>
                <w:rFonts w:eastAsia="宋体"/>
                <w:color w:val="auto"/>
                <w:sz w:val="21"/>
                <w:szCs w:val="21"/>
                <w:highlight w:val="none"/>
              </w:rPr>
              <w:t>3.8</w:t>
            </w:r>
          </w:p>
        </w:tc>
        <w:tc>
          <w:tcPr>
            <w:tcW w:w="747" w:type="dxa"/>
            <w:tcBorders>
              <w:top w:val="single" w:color="000000" w:sz="4" w:space="0"/>
              <w:left w:val="single" w:color="000000" w:sz="4" w:space="0"/>
              <w:bottom w:val="single" w:color="000000" w:sz="4" w:space="0"/>
              <w:right w:val="single" w:color="000000" w:sz="4" w:space="0"/>
            </w:tcBorders>
            <w:vAlign w:val="center"/>
          </w:tcPr>
          <w:p w14:paraId="67312580">
            <w:pPr>
              <w:pStyle w:val="98"/>
              <w:ind w:left="-105" w:right="-105"/>
              <w:rPr>
                <w:rFonts w:eastAsia="宋体"/>
                <w:color w:val="auto"/>
                <w:sz w:val="21"/>
                <w:szCs w:val="21"/>
                <w:highlight w:val="none"/>
              </w:rPr>
            </w:pPr>
            <w:r>
              <w:rPr>
                <w:rFonts w:eastAsia="宋体"/>
                <w:color w:val="auto"/>
                <w:sz w:val="21"/>
                <w:szCs w:val="21"/>
                <w:highlight w:val="none"/>
              </w:rPr>
              <w:t>4.8</w:t>
            </w:r>
          </w:p>
        </w:tc>
        <w:tc>
          <w:tcPr>
            <w:tcW w:w="686" w:type="dxa"/>
            <w:tcBorders>
              <w:top w:val="single" w:color="000000" w:sz="4" w:space="0"/>
              <w:left w:val="single" w:color="000000" w:sz="4" w:space="0"/>
              <w:bottom w:val="single" w:color="000000" w:sz="4" w:space="0"/>
              <w:right w:val="single" w:color="000000" w:sz="4" w:space="0"/>
            </w:tcBorders>
            <w:vAlign w:val="center"/>
          </w:tcPr>
          <w:p w14:paraId="10575047">
            <w:pPr>
              <w:pStyle w:val="98"/>
              <w:ind w:left="-105" w:right="-105"/>
              <w:rPr>
                <w:rFonts w:eastAsia="宋体"/>
                <w:color w:val="auto"/>
                <w:sz w:val="21"/>
                <w:szCs w:val="21"/>
                <w:highlight w:val="none"/>
              </w:rPr>
            </w:pPr>
            <w:r>
              <w:rPr>
                <w:rFonts w:eastAsia="宋体"/>
                <w:color w:val="auto"/>
                <w:sz w:val="21"/>
                <w:szCs w:val="21"/>
                <w:highlight w:val="none"/>
              </w:rPr>
              <w:t>4.8</w:t>
            </w:r>
          </w:p>
        </w:tc>
        <w:tc>
          <w:tcPr>
            <w:tcW w:w="700" w:type="dxa"/>
            <w:tcBorders>
              <w:top w:val="single" w:color="000000" w:sz="4" w:space="0"/>
              <w:left w:val="single" w:color="000000" w:sz="4" w:space="0"/>
              <w:bottom w:val="single" w:color="000000" w:sz="4" w:space="0"/>
              <w:right w:val="single" w:color="000000" w:sz="4" w:space="0"/>
            </w:tcBorders>
            <w:vAlign w:val="center"/>
          </w:tcPr>
          <w:p w14:paraId="02CFA2D0">
            <w:pPr>
              <w:pStyle w:val="98"/>
              <w:ind w:left="-105" w:right="-105"/>
              <w:rPr>
                <w:rFonts w:eastAsia="宋体"/>
                <w:color w:val="auto"/>
                <w:sz w:val="21"/>
                <w:szCs w:val="21"/>
                <w:highlight w:val="none"/>
              </w:rPr>
            </w:pPr>
            <w:r>
              <w:rPr>
                <w:rFonts w:eastAsia="宋体"/>
                <w:color w:val="auto"/>
                <w:sz w:val="21"/>
                <w:szCs w:val="21"/>
                <w:highlight w:val="none"/>
              </w:rPr>
              <w:t>11.8</w:t>
            </w:r>
          </w:p>
        </w:tc>
        <w:tc>
          <w:tcPr>
            <w:tcW w:w="686" w:type="dxa"/>
            <w:tcBorders>
              <w:top w:val="single" w:color="000000" w:sz="4" w:space="0"/>
              <w:left w:val="single" w:color="000000" w:sz="4" w:space="0"/>
              <w:bottom w:val="single" w:color="000000" w:sz="4" w:space="0"/>
              <w:right w:val="single" w:color="000000" w:sz="4" w:space="0"/>
            </w:tcBorders>
            <w:vAlign w:val="center"/>
          </w:tcPr>
          <w:p w14:paraId="61A581D9">
            <w:pPr>
              <w:pStyle w:val="98"/>
              <w:ind w:left="-105" w:right="-105"/>
              <w:rPr>
                <w:rFonts w:eastAsia="宋体"/>
                <w:color w:val="auto"/>
                <w:sz w:val="21"/>
                <w:szCs w:val="21"/>
                <w:highlight w:val="none"/>
              </w:rPr>
            </w:pPr>
            <w:r>
              <w:rPr>
                <w:rFonts w:eastAsia="宋体"/>
                <w:color w:val="auto"/>
                <w:sz w:val="21"/>
                <w:szCs w:val="21"/>
                <w:highlight w:val="none"/>
              </w:rPr>
              <w:t>8</w:t>
            </w:r>
          </w:p>
        </w:tc>
        <w:tc>
          <w:tcPr>
            <w:tcW w:w="693" w:type="dxa"/>
            <w:tcBorders>
              <w:top w:val="single" w:color="000000" w:sz="4" w:space="0"/>
              <w:left w:val="single" w:color="000000" w:sz="4" w:space="0"/>
              <w:bottom w:val="single" w:color="000000" w:sz="4" w:space="0"/>
              <w:right w:val="nil"/>
            </w:tcBorders>
            <w:vAlign w:val="center"/>
          </w:tcPr>
          <w:p w14:paraId="48F2D3F6">
            <w:pPr>
              <w:pStyle w:val="98"/>
              <w:ind w:left="-105" w:right="-105"/>
              <w:rPr>
                <w:rFonts w:eastAsia="宋体"/>
                <w:color w:val="auto"/>
                <w:sz w:val="21"/>
                <w:szCs w:val="21"/>
                <w:highlight w:val="none"/>
              </w:rPr>
            </w:pPr>
            <w:r>
              <w:rPr>
                <w:rFonts w:eastAsia="宋体"/>
                <w:color w:val="auto"/>
                <w:sz w:val="21"/>
                <w:szCs w:val="21"/>
                <w:highlight w:val="none"/>
              </w:rPr>
              <w:t>/</w:t>
            </w:r>
          </w:p>
        </w:tc>
      </w:tr>
      <w:tr w14:paraId="18DCB817">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108" w:type="dxa"/>
            <w:bottom w:w="0" w:type="dxa"/>
            <w:right w:w="108" w:type="dxa"/>
          </w:tblCellMar>
        </w:tblPrEx>
        <w:trPr>
          <w:gridAfter w:val="1"/>
          <w:wAfter w:w="21" w:type="dxa"/>
          <w:trHeight w:val="232" w:hRule="atLeast"/>
          <w:jc w:val="center"/>
        </w:trPr>
        <w:tc>
          <w:tcPr>
            <w:tcW w:w="688" w:type="dxa"/>
            <w:vMerge w:val="continue"/>
            <w:tcBorders>
              <w:top w:val="nil"/>
              <w:left w:val="nil"/>
              <w:bottom w:val="single" w:color="000000" w:sz="4" w:space="0"/>
              <w:right w:val="single" w:color="000000" w:sz="4" w:space="0"/>
            </w:tcBorders>
            <w:vAlign w:val="center"/>
          </w:tcPr>
          <w:p w14:paraId="146A8108">
            <w:pPr>
              <w:ind w:left="-105" w:right="-105"/>
              <w:jc w:val="center"/>
              <w:rPr>
                <w:rFonts w:ascii="Times New Roman" w:hAnsi="Times New Roman"/>
                <w:color w:val="auto"/>
                <w:sz w:val="21"/>
                <w:szCs w:val="21"/>
                <w:highlight w:val="none"/>
              </w:rPr>
            </w:pPr>
          </w:p>
        </w:tc>
        <w:tc>
          <w:tcPr>
            <w:tcW w:w="687" w:type="dxa"/>
            <w:tcBorders>
              <w:top w:val="single" w:color="000000" w:sz="4" w:space="0"/>
              <w:left w:val="single" w:color="000000" w:sz="4" w:space="0"/>
              <w:bottom w:val="single" w:color="000000" w:sz="4" w:space="0"/>
              <w:right w:val="single" w:color="000000" w:sz="4" w:space="0"/>
            </w:tcBorders>
            <w:vAlign w:val="center"/>
          </w:tcPr>
          <w:p w14:paraId="595B6F29">
            <w:pPr>
              <w:pStyle w:val="98"/>
              <w:ind w:left="-105" w:right="-105"/>
              <w:rPr>
                <w:rFonts w:eastAsia="宋体"/>
                <w:color w:val="auto"/>
                <w:sz w:val="21"/>
                <w:szCs w:val="21"/>
                <w:highlight w:val="none"/>
              </w:rPr>
            </w:pPr>
            <w:r>
              <w:rPr>
                <w:rFonts w:eastAsia="宋体"/>
                <w:color w:val="auto"/>
                <w:sz w:val="21"/>
                <w:szCs w:val="21"/>
                <w:highlight w:val="none"/>
              </w:rPr>
              <w:t>风速</w:t>
            </w:r>
          </w:p>
        </w:tc>
        <w:tc>
          <w:tcPr>
            <w:tcW w:w="687" w:type="dxa"/>
            <w:tcBorders>
              <w:top w:val="single" w:color="000000" w:sz="4" w:space="0"/>
              <w:left w:val="single" w:color="000000" w:sz="4" w:space="0"/>
              <w:bottom w:val="single" w:color="000000" w:sz="4" w:space="0"/>
              <w:right w:val="single" w:color="000000" w:sz="4" w:space="0"/>
            </w:tcBorders>
            <w:vAlign w:val="center"/>
          </w:tcPr>
          <w:p w14:paraId="7215D05F">
            <w:pPr>
              <w:pStyle w:val="98"/>
              <w:ind w:left="-105" w:right="-105"/>
              <w:rPr>
                <w:rFonts w:eastAsia="宋体"/>
                <w:color w:val="auto"/>
                <w:sz w:val="21"/>
                <w:szCs w:val="21"/>
                <w:highlight w:val="none"/>
              </w:rPr>
            </w:pPr>
            <w:r>
              <w:rPr>
                <w:rFonts w:eastAsia="宋体"/>
                <w:color w:val="auto"/>
                <w:sz w:val="21"/>
                <w:szCs w:val="21"/>
                <w:highlight w:val="none"/>
              </w:rPr>
              <w:t>2.1</w:t>
            </w:r>
          </w:p>
        </w:tc>
        <w:tc>
          <w:tcPr>
            <w:tcW w:w="687" w:type="dxa"/>
            <w:tcBorders>
              <w:top w:val="single" w:color="000000" w:sz="4" w:space="0"/>
              <w:left w:val="single" w:color="000000" w:sz="4" w:space="0"/>
              <w:bottom w:val="single" w:color="000000" w:sz="4" w:space="0"/>
              <w:right w:val="single" w:color="000000" w:sz="4" w:space="0"/>
            </w:tcBorders>
            <w:vAlign w:val="center"/>
          </w:tcPr>
          <w:p w14:paraId="7391D6B0">
            <w:pPr>
              <w:pStyle w:val="98"/>
              <w:ind w:left="-105" w:right="-105"/>
              <w:rPr>
                <w:rFonts w:eastAsia="宋体"/>
                <w:color w:val="auto"/>
                <w:sz w:val="21"/>
                <w:szCs w:val="21"/>
                <w:highlight w:val="none"/>
              </w:rPr>
            </w:pPr>
            <w:r>
              <w:rPr>
                <w:rFonts w:eastAsia="宋体"/>
                <w:color w:val="auto"/>
                <w:sz w:val="21"/>
                <w:szCs w:val="21"/>
                <w:highlight w:val="none"/>
              </w:rPr>
              <w:t>1.9</w:t>
            </w:r>
          </w:p>
        </w:tc>
        <w:tc>
          <w:tcPr>
            <w:tcW w:w="687" w:type="dxa"/>
            <w:tcBorders>
              <w:top w:val="single" w:color="000000" w:sz="4" w:space="0"/>
              <w:left w:val="single" w:color="000000" w:sz="4" w:space="0"/>
              <w:bottom w:val="single" w:color="000000" w:sz="4" w:space="0"/>
              <w:right w:val="single" w:color="000000" w:sz="4" w:space="0"/>
            </w:tcBorders>
            <w:vAlign w:val="center"/>
          </w:tcPr>
          <w:p w14:paraId="14634B07">
            <w:pPr>
              <w:pStyle w:val="98"/>
              <w:ind w:left="-105" w:right="-105"/>
              <w:rPr>
                <w:rFonts w:eastAsia="宋体"/>
                <w:color w:val="auto"/>
                <w:sz w:val="21"/>
                <w:szCs w:val="21"/>
                <w:highlight w:val="none"/>
              </w:rPr>
            </w:pPr>
            <w:r>
              <w:rPr>
                <w:rFonts w:eastAsia="宋体"/>
                <w:color w:val="auto"/>
                <w:sz w:val="21"/>
                <w:szCs w:val="21"/>
                <w:highlight w:val="none"/>
              </w:rPr>
              <w:t>2.6</w:t>
            </w:r>
          </w:p>
        </w:tc>
        <w:tc>
          <w:tcPr>
            <w:tcW w:w="688" w:type="dxa"/>
            <w:tcBorders>
              <w:top w:val="single" w:color="000000" w:sz="4" w:space="0"/>
              <w:left w:val="single" w:color="000000" w:sz="4" w:space="0"/>
              <w:bottom w:val="single" w:color="000000" w:sz="4" w:space="0"/>
              <w:right w:val="single" w:color="000000" w:sz="4" w:space="0"/>
            </w:tcBorders>
            <w:vAlign w:val="center"/>
          </w:tcPr>
          <w:p w14:paraId="019E07A0">
            <w:pPr>
              <w:pStyle w:val="98"/>
              <w:ind w:left="-105" w:right="-105"/>
              <w:rPr>
                <w:rFonts w:eastAsia="宋体"/>
                <w:color w:val="auto"/>
                <w:sz w:val="21"/>
                <w:szCs w:val="21"/>
                <w:highlight w:val="none"/>
              </w:rPr>
            </w:pPr>
            <w:r>
              <w:rPr>
                <w:rFonts w:eastAsia="宋体"/>
                <w:color w:val="auto"/>
                <w:sz w:val="21"/>
                <w:szCs w:val="21"/>
                <w:highlight w:val="none"/>
              </w:rPr>
              <w:t>2.7</w:t>
            </w:r>
          </w:p>
        </w:tc>
        <w:tc>
          <w:tcPr>
            <w:tcW w:w="687" w:type="dxa"/>
            <w:tcBorders>
              <w:top w:val="single" w:color="000000" w:sz="4" w:space="0"/>
              <w:left w:val="single" w:color="000000" w:sz="4" w:space="0"/>
              <w:bottom w:val="single" w:color="000000" w:sz="4" w:space="0"/>
              <w:right w:val="single" w:color="000000" w:sz="4" w:space="0"/>
            </w:tcBorders>
            <w:vAlign w:val="center"/>
          </w:tcPr>
          <w:p w14:paraId="4475A8BA">
            <w:pPr>
              <w:pStyle w:val="98"/>
              <w:ind w:left="-105" w:right="-105"/>
              <w:rPr>
                <w:rFonts w:eastAsia="宋体"/>
                <w:color w:val="auto"/>
                <w:sz w:val="21"/>
                <w:szCs w:val="21"/>
                <w:highlight w:val="none"/>
              </w:rPr>
            </w:pPr>
            <w:r>
              <w:rPr>
                <w:rFonts w:eastAsia="宋体"/>
                <w:color w:val="auto"/>
                <w:sz w:val="21"/>
                <w:szCs w:val="21"/>
                <w:highlight w:val="none"/>
              </w:rPr>
              <w:t>3.1</w:t>
            </w:r>
          </w:p>
        </w:tc>
        <w:tc>
          <w:tcPr>
            <w:tcW w:w="687" w:type="dxa"/>
            <w:tcBorders>
              <w:top w:val="single" w:color="000000" w:sz="4" w:space="0"/>
              <w:left w:val="single" w:color="000000" w:sz="4" w:space="0"/>
              <w:bottom w:val="single" w:color="000000" w:sz="4" w:space="0"/>
              <w:right w:val="single" w:color="000000" w:sz="4" w:space="0"/>
            </w:tcBorders>
            <w:vAlign w:val="center"/>
          </w:tcPr>
          <w:p w14:paraId="7566B3C5">
            <w:pPr>
              <w:pStyle w:val="98"/>
              <w:ind w:left="-105" w:right="-105"/>
              <w:rPr>
                <w:rFonts w:eastAsia="宋体"/>
                <w:color w:val="auto"/>
                <w:sz w:val="21"/>
                <w:szCs w:val="21"/>
                <w:highlight w:val="none"/>
              </w:rPr>
            </w:pPr>
            <w:r>
              <w:rPr>
                <w:rFonts w:eastAsia="宋体"/>
                <w:color w:val="auto"/>
                <w:sz w:val="21"/>
                <w:szCs w:val="21"/>
                <w:highlight w:val="none"/>
              </w:rPr>
              <w:t>2.9</w:t>
            </w:r>
          </w:p>
        </w:tc>
        <w:tc>
          <w:tcPr>
            <w:tcW w:w="687" w:type="dxa"/>
            <w:tcBorders>
              <w:top w:val="single" w:color="000000" w:sz="4" w:space="0"/>
              <w:left w:val="single" w:color="000000" w:sz="4" w:space="0"/>
              <w:bottom w:val="single" w:color="000000" w:sz="4" w:space="0"/>
              <w:right w:val="single" w:color="000000" w:sz="4" w:space="0"/>
            </w:tcBorders>
            <w:vAlign w:val="center"/>
          </w:tcPr>
          <w:p w14:paraId="49B3033E">
            <w:pPr>
              <w:pStyle w:val="98"/>
              <w:ind w:left="-105" w:right="-105"/>
              <w:rPr>
                <w:rFonts w:eastAsia="宋体"/>
                <w:color w:val="auto"/>
                <w:sz w:val="21"/>
                <w:szCs w:val="21"/>
                <w:highlight w:val="none"/>
              </w:rPr>
            </w:pPr>
            <w:r>
              <w:rPr>
                <w:rFonts w:eastAsia="宋体"/>
                <w:color w:val="auto"/>
                <w:sz w:val="21"/>
                <w:szCs w:val="21"/>
                <w:highlight w:val="none"/>
              </w:rPr>
              <w:t>2.6</w:t>
            </w:r>
          </w:p>
        </w:tc>
        <w:tc>
          <w:tcPr>
            <w:tcW w:w="687" w:type="dxa"/>
            <w:tcBorders>
              <w:top w:val="single" w:color="000000" w:sz="4" w:space="0"/>
              <w:left w:val="single" w:color="000000" w:sz="4" w:space="0"/>
              <w:bottom w:val="single" w:color="000000" w:sz="4" w:space="0"/>
              <w:right w:val="single" w:color="000000" w:sz="4" w:space="0"/>
            </w:tcBorders>
            <w:vAlign w:val="center"/>
          </w:tcPr>
          <w:p w14:paraId="03C66E60">
            <w:pPr>
              <w:pStyle w:val="98"/>
              <w:ind w:left="-105" w:right="-105"/>
              <w:rPr>
                <w:rFonts w:eastAsia="宋体"/>
                <w:color w:val="auto"/>
                <w:sz w:val="21"/>
                <w:szCs w:val="21"/>
                <w:highlight w:val="none"/>
              </w:rPr>
            </w:pPr>
            <w:r>
              <w:rPr>
                <w:rFonts w:eastAsia="宋体"/>
                <w:color w:val="auto"/>
                <w:sz w:val="21"/>
                <w:szCs w:val="21"/>
                <w:highlight w:val="none"/>
              </w:rPr>
              <w:t>2</w:t>
            </w:r>
          </w:p>
        </w:tc>
        <w:tc>
          <w:tcPr>
            <w:tcW w:w="687" w:type="dxa"/>
            <w:tcBorders>
              <w:top w:val="single" w:color="000000" w:sz="4" w:space="0"/>
              <w:left w:val="single" w:color="000000" w:sz="4" w:space="0"/>
              <w:bottom w:val="single" w:color="000000" w:sz="4" w:space="0"/>
              <w:right w:val="single" w:color="000000" w:sz="4" w:space="0"/>
            </w:tcBorders>
            <w:vAlign w:val="center"/>
          </w:tcPr>
          <w:p w14:paraId="22670873">
            <w:pPr>
              <w:pStyle w:val="98"/>
              <w:ind w:left="-105" w:right="-105"/>
              <w:rPr>
                <w:rFonts w:eastAsia="宋体"/>
                <w:color w:val="auto"/>
                <w:sz w:val="21"/>
                <w:szCs w:val="21"/>
                <w:highlight w:val="none"/>
              </w:rPr>
            </w:pPr>
            <w:r>
              <w:rPr>
                <w:rFonts w:eastAsia="宋体"/>
                <w:color w:val="auto"/>
                <w:sz w:val="21"/>
                <w:szCs w:val="21"/>
                <w:highlight w:val="none"/>
              </w:rPr>
              <w:t>3.1</w:t>
            </w:r>
          </w:p>
        </w:tc>
        <w:tc>
          <w:tcPr>
            <w:tcW w:w="687" w:type="dxa"/>
            <w:tcBorders>
              <w:top w:val="single" w:color="000000" w:sz="4" w:space="0"/>
              <w:left w:val="single" w:color="000000" w:sz="4" w:space="0"/>
              <w:bottom w:val="single" w:color="000000" w:sz="4" w:space="0"/>
              <w:right w:val="single" w:color="000000" w:sz="4" w:space="0"/>
            </w:tcBorders>
            <w:vAlign w:val="center"/>
          </w:tcPr>
          <w:p w14:paraId="20119DA1">
            <w:pPr>
              <w:pStyle w:val="98"/>
              <w:ind w:left="-105" w:right="-105"/>
              <w:rPr>
                <w:rFonts w:eastAsia="宋体"/>
                <w:color w:val="auto"/>
                <w:sz w:val="21"/>
                <w:szCs w:val="21"/>
                <w:highlight w:val="none"/>
              </w:rPr>
            </w:pPr>
            <w:r>
              <w:rPr>
                <w:rFonts w:eastAsia="宋体"/>
                <w:color w:val="auto"/>
                <w:sz w:val="21"/>
                <w:szCs w:val="21"/>
                <w:highlight w:val="none"/>
              </w:rPr>
              <w:t>1.9</w:t>
            </w:r>
          </w:p>
        </w:tc>
        <w:tc>
          <w:tcPr>
            <w:tcW w:w="684" w:type="dxa"/>
            <w:tcBorders>
              <w:top w:val="single" w:color="000000" w:sz="4" w:space="0"/>
              <w:left w:val="single" w:color="000000" w:sz="4" w:space="0"/>
              <w:bottom w:val="single" w:color="000000" w:sz="4" w:space="0"/>
              <w:right w:val="single" w:color="000000" w:sz="4" w:space="0"/>
            </w:tcBorders>
            <w:vAlign w:val="center"/>
          </w:tcPr>
          <w:p w14:paraId="7970D3FC">
            <w:pPr>
              <w:pStyle w:val="98"/>
              <w:ind w:left="-105" w:right="-105"/>
              <w:rPr>
                <w:rFonts w:eastAsia="宋体"/>
                <w:color w:val="auto"/>
                <w:sz w:val="21"/>
                <w:szCs w:val="21"/>
                <w:highlight w:val="none"/>
              </w:rPr>
            </w:pPr>
            <w:r>
              <w:rPr>
                <w:rFonts w:eastAsia="宋体"/>
                <w:color w:val="auto"/>
                <w:sz w:val="21"/>
                <w:szCs w:val="21"/>
                <w:highlight w:val="none"/>
              </w:rPr>
              <w:t>2.1</w:t>
            </w:r>
          </w:p>
        </w:tc>
        <w:tc>
          <w:tcPr>
            <w:tcW w:w="714" w:type="dxa"/>
            <w:tcBorders>
              <w:top w:val="single" w:color="000000" w:sz="4" w:space="0"/>
              <w:left w:val="single" w:color="000000" w:sz="4" w:space="0"/>
              <w:bottom w:val="single" w:color="000000" w:sz="4" w:space="0"/>
              <w:right w:val="single" w:color="000000" w:sz="4" w:space="0"/>
            </w:tcBorders>
            <w:vAlign w:val="center"/>
          </w:tcPr>
          <w:p w14:paraId="04A4CC43">
            <w:pPr>
              <w:pStyle w:val="98"/>
              <w:ind w:left="-105" w:right="-105"/>
              <w:rPr>
                <w:rFonts w:eastAsia="宋体"/>
                <w:color w:val="auto"/>
                <w:sz w:val="21"/>
                <w:szCs w:val="21"/>
                <w:highlight w:val="none"/>
              </w:rPr>
            </w:pPr>
            <w:r>
              <w:rPr>
                <w:rFonts w:eastAsia="宋体"/>
                <w:color w:val="auto"/>
                <w:sz w:val="21"/>
                <w:szCs w:val="21"/>
                <w:highlight w:val="none"/>
              </w:rPr>
              <w:t>3.8</w:t>
            </w:r>
          </w:p>
        </w:tc>
        <w:tc>
          <w:tcPr>
            <w:tcW w:w="686" w:type="dxa"/>
            <w:tcBorders>
              <w:top w:val="single" w:color="000000" w:sz="4" w:space="0"/>
              <w:left w:val="single" w:color="000000" w:sz="4" w:space="0"/>
              <w:bottom w:val="single" w:color="000000" w:sz="4" w:space="0"/>
              <w:right w:val="single" w:color="000000" w:sz="4" w:space="0"/>
            </w:tcBorders>
            <w:vAlign w:val="center"/>
          </w:tcPr>
          <w:p w14:paraId="37B52FBE">
            <w:pPr>
              <w:pStyle w:val="98"/>
              <w:ind w:left="-105" w:right="-105"/>
              <w:rPr>
                <w:rFonts w:eastAsia="宋体"/>
                <w:color w:val="auto"/>
                <w:sz w:val="21"/>
                <w:szCs w:val="21"/>
                <w:highlight w:val="none"/>
              </w:rPr>
            </w:pPr>
            <w:r>
              <w:rPr>
                <w:rFonts w:eastAsia="宋体"/>
                <w:color w:val="auto"/>
                <w:sz w:val="21"/>
                <w:szCs w:val="21"/>
                <w:highlight w:val="none"/>
              </w:rPr>
              <w:t>3.8</w:t>
            </w:r>
          </w:p>
        </w:tc>
        <w:tc>
          <w:tcPr>
            <w:tcW w:w="747" w:type="dxa"/>
            <w:tcBorders>
              <w:top w:val="single" w:color="000000" w:sz="4" w:space="0"/>
              <w:left w:val="single" w:color="000000" w:sz="4" w:space="0"/>
              <w:bottom w:val="single" w:color="000000" w:sz="4" w:space="0"/>
              <w:right w:val="single" w:color="000000" w:sz="4" w:space="0"/>
            </w:tcBorders>
            <w:vAlign w:val="center"/>
          </w:tcPr>
          <w:p w14:paraId="0175975D">
            <w:pPr>
              <w:pStyle w:val="98"/>
              <w:ind w:left="-105" w:right="-105"/>
              <w:rPr>
                <w:rFonts w:eastAsia="宋体"/>
                <w:color w:val="auto"/>
                <w:sz w:val="21"/>
                <w:szCs w:val="21"/>
                <w:highlight w:val="none"/>
              </w:rPr>
            </w:pPr>
            <w:r>
              <w:rPr>
                <w:rFonts w:eastAsia="宋体"/>
                <w:color w:val="auto"/>
                <w:sz w:val="21"/>
                <w:szCs w:val="21"/>
                <w:highlight w:val="none"/>
              </w:rPr>
              <w:t>3.2</w:t>
            </w:r>
          </w:p>
        </w:tc>
        <w:tc>
          <w:tcPr>
            <w:tcW w:w="686" w:type="dxa"/>
            <w:tcBorders>
              <w:top w:val="single" w:color="000000" w:sz="4" w:space="0"/>
              <w:left w:val="single" w:color="000000" w:sz="4" w:space="0"/>
              <w:bottom w:val="single" w:color="000000" w:sz="4" w:space="0"/>
              <w:right w:val="single" w:color="000000" w:sz="4" w:space="0"/>
            </w:tcBorders>
            <w:vAlign w:val="center"/>
          </w:tcPr>
          <w:p w14:paraId="7958B669">
            <w:pPr>
              <w:pStyle w:val="98"/>
              <w:ind w:left="-105" w:right="-105"/>
              <w:rPr>
                <w:rFonts w:eastAsia="宋体"/>
                <w:color w:val="auto"/>
                <w:sz w:val="21"/>
                <w:szCs w:val="21"/>
                <w:highlight w:val="none"/>
              </w:rPr>
            </w:pPr>
            <w:r>
              <w:rPr>
                <w:rFonts w:eastAsia="宋体"/>
                <w:color w:val="auto"/>
                <w:sz w:val="21"/>
                <w:szCs w:val="21"/>
                <w:highlight w:val="none"/>
              </w:rPr>
              <w:t>2.4</w:t>
            </w:r>
          </w:p>
        </w:tc>
        <w:tc>
          <w:tcPr>
            <w:tcW w:w="700" w:type="dxa"/>
            <w:tcBorders>
              <w:top w:val="single" w:color="000000" w:sz="4" w:space="0"/>
              <w:left w:val="single" w:color="000000" w:sz="4" w:space="0"/>
              <w:bottom w:val="single" w:color="000000" w:sz="4" w:space="0"/>
              <w:right w:val="single" w:color="000000" w:sz="4" w:space="0"/>
            </w:tcBorders>
            <w:vAlign w:val="center"/>
          </w:tcPr>
          <w:p w14:paraId="1C1C3782">
            <w:pPr>
              <w:pStyle w:val="98"/>
              <w:ind w:left="-105" w:right="-105"/>
              <w:rPr>
                <w:rFonts w:eastAsia="宋体"/>
                <w:color w:val="auto"/>
                <w:sz w:val="21"/>
                <w:szCs w:val="21"/>
                <w:highlight w:val="none"/>
              </w:rPr>
            </w:pPr>
            <w:r>
              <w:rPr>
                <w:rFonts w:eastAsia="宋体"/>
                <w:color w:val="auto"/>
                <w:sz w:val="21"/>
                <w:szCs w:val="21"/>
                <w:highlight w:val="none"/>
              </w:rPr>
              <w:t>2.6</w:t>
            </w:r>
          </w:p>
        </w:tc>
        <w:tc>
          <w:tcPr>
            <w:tcW w:w="686" w:type="dxa"/>
            <w:tcBorders>
              <w:top w:val="single" w:color="000000" w:sz="4" w:space="0"/>
              <w:left w:val="single" w:color="000000" w:sz="4" w:space="0"/>
              <w:bottom w:val="single" w:color="000000" w:sz="4" w:space="0"/>
              <w:right w:val="single" w:color="000000" w:sz="4" w:space="0"/>
            </w:tcBorders>
            <w:vAlign w:val="center"/>
          </w:tcPr>
          <w:p w14:paraId="77796371">
            <w:pPr>
              <w:pStyle w:val="98"/>
              <w:ind w:left="-105" w:right="-105"/>
              <w:rPr>
                <w:rFonts w:eastAsia="宋体"/>
                <w:color w:val="auto"/>
                <w:sz w:val="21"/>
                <w:szCs w:val="21"/>
                <w:highlight w:val="none"/>
              </w:rPr>
            </w:pPr>
            <w:r>
              <w:rPr>
                <w:rFonts w:eastAsia="宋体"/>
                <w:color w:val="auto"/>
                <w:sz w:val="21"/>
                <w:szCs w:val="21"/>
                <w:highlight w:val="none"/>
              </w:rPr>
              <w:t>/</w:t>
            </w:r>
          </w:p>
        </w:tc>
        <w:tc>
          <w:tcPr>
            <w:tcW w:w="693" w:type="dxa"/>
            <w:tcBorders>
              <w:top w:val="single" w:color="000000" w:sz="4" w:space="0"/>
              <w:left w:val="single" w:color="000000" w:sz="4" w:space="0"/>
              <w:bottom w:val="single" w:color="000000" w:sz="4" w:space="0"/>
              <w:right w:val="nil"/>
            </w:tcBorders>
            <w:vAlign w:val="center"/>
          </w:tcPr>
          <w:p w14:paraId="68F0D780">
            <w:pPr>
              <w:pStyle w:val="98"/>
              <w:ind w:left="-105" w:right="-105"/>
              <w:rPr>
                <w:rFonts w:eastAsia="宋体"/>
                <w:color w:val="auto"/>
                <w:sz w:val="21"/>
                <w:szCs w:val="21"/>
                <w:highlight w:val="none"/>
              </w:rPr>
            </w:pPr>
            <w:r>
              <w:rPr>
                <w:rFonts w:eastAsia="宋体"/>
                <w:color w:val="auto"/>
                <w:sz w:val="21"/>
                <w:szCs w:val="21"/>
                <w:highlight w:val="none"/>
              </w:rPr>
              <w:t>2.68</w:t>
            </w:r>
          </w:p>
        </w:tc>
      </w:tr>
      <w:tr w14:paraId="59B3D33E">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108" w:type="dxa"/>
            <w:bottom w:w="0" w:type="dxa"/>
            <w:right w:w="108" w:type="dxa"/>
          </w:tblCellMar>
        </w:tblPrEx>
        <w:trPr>
          <w:gridAfter w:val="1"/>
          <w:wAfter w:w="21" w:type="dxa"/>
          <w:trHeight w:val="235" w:hRule="atLeast"/>
          <w:jc w:val="center"/>
        </w:trPr>
        <w:tc>
          <w:tcPr>
            <w:tcW w:w="688" w:type="dxa"/>
            <w:vMerge w:val="restart"/>
            <w:tcBorders>
              <w:top w:val="single" w:color="000000" w:sz="4" w:space="0"/>
              <w:left w:val="nil"/>
              <w:bottom w:val="single" w:color="000000" w:sz="4" w:space="0"/>
              <w:right w:val="single" w:color="000000" w:sz="4" w:space="0"/>
            </w:tcBorders>
            <w:vAlign w:val="center"/>
          </w:tcPr>
          <w:p w14:paraId="73EBD5D0">
            <w:pPr>
              <w:pStyle w:val="98"/>
              <w:ind w:left="-105" w:right="-105"/>
              <w:rPr>
                <w:rFonts w:eastAsia="宋体"/>
                <w:color w:val="auto"/>
                <w:sz w:val="21"/>
                <w:szCs w:val="21"/>
                <w:highlight w:val="none"/>
              </w:rPr>
            </w:pPr>
            <w:r>
              <w:rPr>
                <w:rFonts w:eastAsia="宋体"/>
                <w:color w:val="auto"/>
                <w:sz w:val="21"/>
                <w:szCs w:val="21"/>
                <w:highlight w:val="none"/>
              </w:rPr>
              <w:t>9月</w:t>
            </w:r>
          </w:p>
        </w:tc>
        <w:tc>
          <w:tcPr>
            <w:tcW w:w="687" w:type="dxa"/>
            <w:tcBorders>
              <w:top w:val="single" w:color="000000" w:sz="4" w:space="0"/>
              <w:left w:val="single" w:color="000000" w:sz="4" w:space="0"/>
              <w:bottom w:val="single" w:color="000000" w:sz="4" w:space="0"/>
              <w:right w:val="single" w:color="000000" w:sz="4" w:space="0"/>
            </w:tcBorders>
            <w:vAlign w:val="center"/>
          </w:tcPr>
          <w:p w14:paraId="3D77B12D">
            <w:pPr>
              <w:pStyle w:val="98"/>
              <w:ind w:left="-105" w:right="-105"/>
              <w:rPr>
                <w:rFonts w:eastAsia="宋体"/>
                <w:color w:val="auto"/>
                <w:sz w:val="21"/>
                <w:szCs w:val="21"/>
                <w:highlight w:val="none"/>
              </w:rPr>
            </w:pPr>
            <w:r>
              <w:rPr>
                <w:rFonts w:eastAsia="宋体"/>
                <w:color w:val="auto"/>
                <w:sz w:val="21"/>
                <w:szCs w:val="21"/>
                <w:highlight w:val="none"/>
              </w:rPr>
              <w:t>频率</w:t>
            </w:r>
          </w:p>
        </w:tc>
        <w:tc>
          <w:tcPr>
            <w:tcW w:w="687" w:type="dxa"/>
            <w:tcBorders>
              <w:top w:val="single" w:color="000000" w:sz="4" w:space="0"/>
              <w:left w:val="single" w:color="000000" w:sz="4" w:space="0"/>
              <w:bottom w:val="single" w:color="000000" w:sz="4" w:space="0"/>
              <w:right w:val="single" w:color="000000" w:sz="4" w:space="0"/>
            </w:tcBorders>
            <w:vAlign w:val="center"/>
          </w:tcPr>
          <w:p w14:paraId="6911D74E">
            <w:pPr>
              <w:pStyle w:val="98"/>
              <w:ind w:left="-105" w:right="-105"/>
              <w:rPr>
                <w:rFonts w:eastAsia="宋体"/>
                <w:color w:val="auto"/>
                <w:sz w:val="21"/>
                <w:szCs w:val="21"/>
                <w:highlight w:val="none"/>
              </w:rPr>
            </w:pPr>
            <w:r>
              <w:rPr>
                <w:rFonts w:eastAsia="宋体"/>
                <w:color w:val="auto"/>
                <w:sz w:val="21"/>
                <w:szCs w:val="21"/>
                <w:highlight w:val="none"/>
              </w:rPr>
              <w:t>9.4</w:t>
            </w:r>
          </w:p>
        </w:tc>
        <w:tc>
          <w:tcPr>
            <w:tcW w:w="687" w:type="dxa"/>
            <w:tcBorders>
              <w:top w:val="single" w:color="000000" w:sz="4" w:space="0"/>
              <w:left w:val="single" w:color="000000" w:sz="4" w:space="0"/>
              <w:bottom w:val="single" w:color="000000" w:sz="4" w:space="0"/>
              <w:right w:val="single" w:color="000000" w:sz="4" w:space="0"/>
            </w:tcBorders>
            <w:vAlign w:val="center"/>
          </w:tcPr>
          <w:p w14:paraId="46E6DAC4">
            <w:pPr>
              <w:pStyle w:val="98"/>
              <w:ind w:left="-105" w:right="-105"/>
              <w:rPr>
                <w:rFonts w:eastAsia="宋体"/>
                <w:color w:val="auto"/>
                <w:sz w:val="21"/>
                <w:szCs w:val="21"/>
                <w:highlight w:val="none"/>
              </w:rPr>
            </w:pPr>
            <w:r>
              <w:rPr>
                <w:rFonts w:eastAsia="宋体"/>
                <w:color w:val="auto"/>
                <w:sz w:val="21"/>
                <w:szCs w:val="21"/>
                <w:highlight w:val="none"/>
              </w:rPr>
              <w:t>6.4</w:t>
            </w:r>
          </w:p>
        </w:tc>
        <w:tc>
          <w:tcPr>
            <w:tcW w:w="687" w:type="dxa"/>
            <w:tcBorders>
              <w:top w:val="single" w:color="000000" w:sz="4" w:space="0"/>
              <w:left w:val="single" w:color="000000" w:sz="4" w:space="0"/>
              <w:bottom w:val="single" w:color="000000" w:sz="4" w:space="0"/>
              <w:right w:val="single" w:color="000000" w:sz="4" w:space="0"/>
            </w:tcBorders>
            <w:vAlign w:val="center"/>
          </w:tcPr>
          <w:p w14:paraId="63FDF265">
            <w:pPr>
              <w:pStyle w:val="98"/>
              <w:ind w:left="-105" w:right="-105"/>
              <w:rPr>
                <w:rFonts w:eastAsia="宋体"/>
                <w:color w:val="auto"/>
                <w:sz w:val="21"/>
                <w:szCs w:val="21"/>
                <w:highlight w:val="none"/>
              </w:rPr>
            </w:pPr>
            <w:r>
              <w:rPr>
                <w:rFonts w:eastAsia="宋体"/>
                <w:color w:val="auto"/>
                <w:sz w:val="21"/>
                <w:szCs w:val="21"/>
                <w:highlight w:val="none"/>
              </w:rPr>
              <w:t>12.6</w:t>
            </w:r>
          </w:p>
        </w:tc>
        <w:tc>
          <w:tcPr>
            <w:tcW w:w="688" w:type="dxa"/>
            <w:tcBorders>
              <w:top w:val="single" w:color="000000" w:sz="4" w:space="0"/>
              <w:left w:val="single" w:color="000000" w:sz="4" w:space="0"/>
              <w:bottom w:val="single" w:color="000000" w:sz="4" w:space="0"/>
              <w:right w:val="single" w:color="000000" w:sz="4" w:space="0"/>
            </w:tcBorders>
            <w:vAlign w:val="center"/>
          </w:tcPr>
          <w:p w14:paraId="2D5209AF">
            <w:pPr>
              <w:pStyle w:val="98"/>
              <w:ind w:left="-105" w:right="-105"/>
              <w:rPr>
                <w:rFonts w:eastAsia="宋体"/>
                <w:color w:val="auto"/>
                <w:sz w:val="21"/>
                <w:szCs w:val="21"/>
                <w:highlight w:val="none"/>
              </w:rPr>
            </w:pPr>
            <w:r>
              <w:rPr>
                <w:rFonts w:eastAsia="宋体"/>
                <w:color w:val="auto"/>
                <w:sz w:val="21"/>
                <w:szCs w:val="21"/>
                <w:highlight w:val="none"/>
              </w:rPr>
              <w:t>10</w:t>
            </w:r>
          </w:p>
        </w:tc>
        <w:tc>
          <w:tcPr>
            <w:tcW w:w="687" w:type="dxa"/>
            <w:tcBorders>
              <w:top w:val="single" w:color="000000" w:sz="4" w:space="0"/>
              <w:left w:val="single" w:color="000000" w:sz="4" w:space="0"/>
              <w:bottom w:val="single" w:color="000000" w:sz="4" w:space="0"/>
              <w:right w:val="single" w:color="000000" w:sz="4" w:space="0"/>
            </w:tcBorders>
            <w:vAlign w:val="center"/>
          </w:tcPr>
          <w:p w14:paraId="0862232F">
            <w:pPr>
              <w:pStyle w:val="98"/>
              <w:ind w:left="-105" w:right="-105"/>
              <w:rPr>
                <w:rFonts w:eastAsia="宋体"/>
                <w:color w:val="auto"/>
                <w:sz w:val="21"/>
                <w:szCs w:val="21"/>
                <w:highlight w:val="none"/>
              </w:rPr>
            </w:pPr>
            <w:r>
              <w:rPr>
                <w:rFonts w:eastAsia="宋体"/>
                <w:color w:val="auto"/>
                <w:sz w:val="21"/>
                <w:szCs w:val="21"/>
                <w:highlight w:val="none"/>
              </w:rPr>
              <w:t>9.4</w:t>
            </w:r>
          </w:p>
        </w:tc>
        <w:tc>
          <w:tcPr>
            <w:tcW w:w="687" w:type="dxa"/>
            <w:tcBorders>
              <w:top w:val="single" w:color="000000" w:sz="4" w:space="0"/>
              <w:left w:val="single" w:color="000000" w:sz="4" w:space="0"/>
              <w:bottom w:val="single" w:color="000000" w:sz="4" w:space="0"/>
              <w:right w:val="single" w:color="000000" w:sz="4" w:space="0"/>
            </w:tcBorders>
            <w:vAlign w:val="center"/>
          </w:tcPr>
          <w:p w14:paraId="10E47D5A">
            <w:pPr>
              <w:pStyle w:val="98"/>
              <w:ind w:left="-105" w:right="-105"/>
              <w:rPr>
                <w:rFonts w:eastAsia="宋体"/>
                <w:color w:val="auto"/>
                <w:sz w:val="21"/>
                <w:szCs w:val="21"/>
                <w:highlight w:val="none"/>
              </w:rPr>
            </w:pPr>
            <w:r>
              <w:rPr>
                <w:rFonts w:eastAsia="宋体"/>
                <w:color w:val="auto"/>
                <w:sz w:val="21"/>
                <w:szCs w:val="21"/>
                <w:highlight w:val="none"/>
              </w:rPr>
              <w:t>9.4</w:t>
            </w:r>
          </w:p>
        </w:tc>
        <w:tc>
          <w:tcPr>
            <w:tcW w:w="687" w:type="dxa"/>
            <w:tcBorders>
              <w:top w:val="single" w:color="000000" w:sz="4" w:space="0"/>
              <w:left w:val="single" w:color="000000" w:sz="4" w:space="0"/>
              <w:bottom w:val="single" w:color="000000" w:sz="4" w:space="0"/>
              <w:right w:val="single" w:color="000000" w:sz="4" w:space="0"/>
            </w:tcBorders>
            <w:vAlign w:val="center"/>
          </w:tcPr>
          <w:p w14:paraId="347F22E0">
            <w:pPr>
              <w:pStyle w:val="98"/>
              <w:ind w:left="-105" w:right="-105"/>
              <w:rPr>
                <w:rFonts w:eastAsia="宋体"/>
                <w:color w:val="auto"/>
                <w:sz w:val="21"/>
                <w:szCs w:val="21"/>
                <w:highlight w:val="none"/>
              </w:rPr>
            </w:pPr>
            <w:r>
              <w:rPr>
                <w:rFonts w:eastAsia="宋体"/>
                <w:color w:val="auto"/>
                <w:sz w:val="21"/>
                <w:szCs w:val="21"/>
                <w:highlight w:val="none"/>
              </w:rPr>
              <w:t>7.4</w:t>
            </w:r>
          </w:p>
        </w:tc>
        <w:tc>
          <w:tcPr>
            <w:tcW w:w="687" w:type="dxa"/>
            <w:tcBorders>
              <w:top w:val="single" w:color="000000" w:sz="4" w:space="0"/>
              <w:left w:val="single" w:color="000000" w:sz="4" w:space="0"/>
              <w:bottom w:val="single" w:color="000000" w:sz="4" w:space="0"/>
              <w:right w:val="single" w:color="000000" w:sz="4" w:space="0"/>
            </w:tcBorders>
            <w:vAlign w:val="center"/>
          </w:tcPr>
          <w:p w14:paraId="5EC358FF">
            <w:pPr>
              <w:pStyle w:val="98"/>
              <w:ind w:left="-105" w:right="-105"/>
              <w:rPr>
                <w:rFonts w:eastAsia="宋体"/>
                <w:color w:val="auto"/>
                <w:sz w:val="21"/>
                <w:szCs w:val="21"/>
                <w:highlight w:val="none"/>
              </w:rPr>
            </w:pPr>
            <w:r>
              <w:rPr>
                <w:rFonts w:eastAsia="宋体"/>
                <w:color w:val="auto"/>
                <w:sz w:val="21"/>
                <w:szCs w:val="21"/>
                <w:highlight w:val="none"/>
              </w:rPr>
              <w:t>1.6</w:t>
            </w:r>
          </w:p>
        </w:tc>
        <w:tc>
          <w:tcPr>
            <w:tcW w:w="687" w:type="dxa"/>
            <w:tcBorders>
              <w:top w:val="single" w:color="000000" w:sz="4" w:space="0"/>
              <w:left w:val="single" w:color="000000" w:sz="4" w:space="0"/>
              <w:bottom w:val="single" w:color="000000" w:sz="4" w:space="0"/>
              <w:right w:val="single" w:color="000000" w:sz="4" w:space="0"/>
            </w:tcBorders>
            <w:vAlign w:val="center"/>
          </w:tcPr>
          <w:p w14:paraId="575C4953">
            <w:pPr>
              <w:pStyle w:val="98"/>
              <w:ind w:left="-105" w:right="-105"/>
              <w:rPr>
                <w:rFonts w:eastAsia="宋体"/>
                <w:color w:val="auto"/>
                <w:sz w:val="21"/>
                <w:szCs w:val="21"/>
                <w:highlight w:val="none"/>
              </w:rPr>
            </w:pPr>
            <w:r>
              <w:rPr>
                <w:rFonts w:eastAsia="宋体"/>
                <w:color w:val="auto"/>
                <w:sz w:val="21"/>
                <w:szCs w:val="21"/>
                <w:highlight w:val="none"/>
              </w:rPr>
              <w:t>1.6</w:t>
            </w:r>
          </w:p>
        </w:tc>
        <w:tc>
          <w:tcPr>
            <w:tcW w:w="687" w:type="dxa"/>
            <w:tcBorders>
              <w:top w:val="single" w:color="000000" w:sz="4" w:space="0"/>
              <w:left w:val="single" w:color="000000" w:sz="4" w:space="0"/>
              <w:bottom w:val="single" w:color="000000" w:sz="4" w:space="0"/>
              <w:right w:val="single" w:color="000000" w:sz="4" w:space="0"/>
            </w:tcBorders>
            <w:vAlign w:val="center"/>
          </w:tcPr>
          <w:p w14:paraId="6C5A60ED">
            <w:pPr>
              <w:pStyle w:val="98"/>
              <w:ind w:left="-105" w:right="-105"/>
              <w:rPr>
                <w:rFonts w:eastAsia="宋体"/>
                <w:color w:val="auto"/>
                <w:sz w:val="21"/>
                <w:szCs w:val="21"/>
                <w:highlight w:val="none"/>
              </w:rPr>
            </w:pPr>
            <w:r>
              <w:rPr>
                <w:rFonts w:eastAsia="宋体"/>
                <w:color w:val="auto"/>
                <w:sz w:val="21"/>
                <w:szCs w:val="21"/>
                <w:highlight w:val="none"/>
              </w:rPr>
              <w:t>1</w:t>
            </w:r>
          </w:p>
        </w:tc>
        <w:tc>
          <w:tcPr>
            <w:tcW w:w="684" w:type="dxa"/>
            <w:tcBorders>
              <w:top w:val="single" w:color="000000" w:sz="4" w:space="0"/>
              <w:left w:val="single" w:color="000000" w:sz="4" w:space="0"/>
              <w:bottom w:val="single" w:color="000000" w:sz="4" w:space="0"/>
              <w:right w:val="single" w:color="000000" w:sz="4" w:space="0"/>
            </w:tcBorders>
            <w:vAlign w:val="center"/>
          </w:tcPr>
          <w:p w14:paraId="0CEA6035">
            <w:pPr>
              <w:pStyle w:val="98"/>
              <w:ind w:left="-105" w:right="-105"/>
              <w:rPr>
                <w:rFonts w:eastAsia="宋体"/>
                <w:color w:val="auto"/>
                <w:sz w:val="21"/>
                <w:szCs w:val="21"/>
                <w:highlight w:val="none"/>
              </w:rPr>
            </w:pPr>
            <w:r>
              <w:rPr>
                <w:rFonts w:eastAsia="宋体"/>
                <w:color w:val="auto"/>
                <w:sz w:val="21"/>
                <w:szCs w:val="21"/>
                <w:highlight w:val="none"/>
              </w:rPr>
              <w:t>1.2</w:t>
            </w:r>
          </w:p>
        </w:tc>
        <w:tc>
          <w:tcPr>
            <w:tcW w:w="714" w:type="dxa"/>
            <w:tcBorders>
              <w:top w:val="single" w:color="000000" w:sz="4" w:space="0"/>
              <w:left w:val="single" w:color="000000" w:sz="4" w:space="0"/>
              <w:bottom w:val="single" w:color="000000" w:sz="4" w:space="0"/>
              <w:right w:val="single" w:color="000000" w:sz="4" w:space="0"/>
            </w:tcBorders>
            <w:vAlign w:val="center"/>
          </w:tcPr>
          <w:p w14:paraId="28B6198C">
            <w:pPr>
              <w:pStyle w:val="98"/>
              <w:ind w:left="-105" w:right="-105"/>
              <w:rPr>
                <w:rFonts w:eastAsia="宋体"/>
                <w:color w:val="auto"/>
                <w:sz w:val="21"/>
                <w:szCs w:val="21"/>
                <w:highlight w:val="none"/>
              </w:rPr>
            </w:pPr>
            <w:r>
              <w:rPr>
                <w:rFonts w:eastAsia="宋体"/>
                <w:color w:val="auto"/>
                <w:sz w:val="21"/>
                <w:szCs w:val="21"/>
                <w:highlight w:val="none"/>
              </w:rPr>
              <w:t>1.4</w:t>
            </w:r>
          </w:p>
        </w:tc>
        <w:tc>
          <w:tcPr>
            <w:tcW w:w="686" w:type="dxa"/>
            <w:tcBorders>
              <w:top w:val="single" w:color="000000" w:sz="4" w:space="0"/>
              <w:left w:val="single" w:color="000000" w:sz="4" w:space="0"/>
              <w:bottom w:val="single" w:color="000000" w:sz="4" w:space="0"/>
              <w:right w:val="single" w:color="000000" w:sz="4" w:space="0"/>
            </w:tcBorders>
            <w:vAlign w:val="center"/>
          </w:tcPr>
          <w:p w14:paraId="0FB175A9">
            <w:pPr>
              <w:pStyle w:val="98"/>
              <w:ind w:left="-105" w:right="-105"/>
              <w:rPr>
                <w:rFonts w:eastAsia="宋体"/>
                <w:color w:val="auto"/>
                <w:sz w:val="21"/>
                <w:szCs w:val="21"/>
                <w:highlight w:val="none"/>
              </w:rPr>
            </w:pPr>
            <w:r>
              <w:rPr>
                <w:rFonts w:eastAsia="宋体"/>
                <w:color w:val="auto"/>
                <w:sz w:val="21"/>
                <w:szCs w:val="21"/>
                <w:highlight w:val="none"/>
              </w:rPr>
              <w:t>3.4</w:t>
            </w:r>
          </w:p>
        </w:tc>
        <w:tc>
          <w:tcPr>
            <w:tcW w:w="747" w:type="dxa"/>
            <w:tcBorders>
              <w:top w:val="single" w:color="000000" w:sz="4" w:space="0"/>
              <w:left w:val="single" w:color="000000" w:sz="4" w:space="0"/>
              <w:bottom w:val="single" w:color="000000" w:sz="4" w:space="0"/>
              <w:right w:val="single" w:color="000000" w:sz="4" w:space="0"/>
            </w:tcBorders>
            <w:vAlign w:val="center"/>
          </w:tcPr>
          <w:p w14:paraId="76833C3A">
            <w:pPr>
              <w:pStyle w:val="98"/>
              <w:ind w:left="-105" w:right="-105"/>
              <w:rPr>
                <w:rFonts w:eastAsia="宋体"/>
                <w:color w:val="auto"/>
                <w:sz w:val="21"/>
                <w:szCs w:val="21"/>
                <w:highlight w:val="none"/>
              </w:rPr>
            </w:pPr>
            <w:r>
              <w:rPr>
                <w:rFonts w:eastAsia="宋体"/>
                <w:color w:val="auto"/>
                <w:sz w:val="21"/>
                <w:szCs w:val="21"/>
                <w:highlight w:val="none"/>
              </w:rPr>
              <w:t>4.2</w:t>
            </w:r>
          </w:p>
        </w:tc>
        <w:tc>
          <w:tcPr>
            <w:tcW w:w="686" w:type="dxa"/>
            <w:tcBorders>
              <w:top w:val="single" w:color="000000" w:sz="4" w:space="0"/>
              <w:left w:val="single" w:color="000000" w:sz="4" w:space="0"/>
              <w:bottom w:val="single" w:color="000000" w:sz="4" w:space="0"/>
              <w:right w:val="single" w:color="000000" w:sz="4" w:space="0"/>
            </w:tcBorders>
            <w:vAlign w:val="center"/>
          </w:tcPr>
          <w:p w14:paraId="273609CD">
            <w:pPr>
              <w:pStyle w:val="98"/>
              <w:ind w:left="-105" w:right="-105"/>
              <w:rPr>
                <w:rFonts w:eastAsia="宋体"/>
                <w:color w:val="auto"/>
                <w:sz w:val="21"/>
                <w:szCs w:val="21"/>
                <w:highlight w:val="none"/>
              </w:rPr>
            </w:pPr>
            <w:r>
              <w:rPr>
                <w:rFonts w:eastAsia="宋体"/>
                <w:color w:val="auto"/>
                <w:sz w:val="21"/>
                <w:szCs w:val="21"/>
                <w:highlight w:val="none"/>
              </w:rPr>
              <w:t>4.4</w:t>
            </w:r>
          </w:p>
        </w:tc>
        <w:tc>
          <w:tcPr>
            <w:tcW w:w="700" w:type="dxa"/>
            <w:tcBorders>
              <w:top w:val="single" w:color="000000" w:sz="4" w:space="0"/>
              <w:left w:val="single" w:color="000000" w:sz="4" w:space="0"/>
              <w:bottom w:val="single" w:color="000000" w:sz="4" w:space="0"/>
              <w:right w:val="single" w:color="000000" w:sz="4" w:space="0"/>
            </w:tcBorders>
            <w:vAlign w:val="center"/>
          </w:tcPr>
          <w:p w14:paraId="2CB33259">
            <w:pPr>
              <w:pStyle w:val="98"/>
              <w:ind w:left="-105" w:right="-105"/>
              <w:rPr>
                <w:rFonts w:eastAsia="宋体"/>
                <w:color w:val="auto"/>
                <w:sz w:val="21"/>
                <w:szCs w:val="21"/>
                <w:highlight w:val="none"/>
              </w:rPr>
            </w:pPr>
            <w:r>
              <w:rPr>
                <w:rFonts w:eastAsia="宋体"/>
                <w:color w:val="auto"/>
                <w:sz w:val="21"/>
                <w:szCs w:val="21"/>
                <w:highlight w:val="none"/>
              </w:rPr>
              <w:t>4.4</w:t>
            </w:r>
          </w:p>
        </w:tc>
        <w:tc>
          <w:tcPr>
            <w:tcW w:w="686" w:type="dxa"/>
            <w:tcBorders>
              <w:top w:val="single" w:color="000000" w:sz="4" w:space="0"/>
              <w:left w:val="single" w:color="000000" w:sz="4" w:space="0"/>
              <w:bottom w:val="single" w:color="000000" w:sz="4" w:space="0"/>
              <w:right w:val="single" w:color="000000" w:sz="4" w:space="0"/>
            </w:tcBorders>
            <w:vAlign w:val="center"/>
          </w:tcPr>
          <w:p w14:paraId="697426C1">
            <w:pPr>
              <w:pStyle w:val="98"/>
              <w:ind w:left="-105" w:right="-105"/>
              <w:rPr>
                <w:rFonts w:eastAsia="宋体"/>
                <w:color w:val="auto"/>
                <w:sz w:val="21"/>
                <w:szCs w:val="21"/>
                <w:highlight w:val="none"/>
              </w:rPr>
            </w:pPr>
            <w:r>
              <w:rPr>
                <w:rFonts w:eastAsia="宋体"/>
                <w:color w:val="auto"/>
                <w:sz w:val="21"/>
                <w:szCs w:val="21"/>
                <w:highlight w:val="none"/>
              </w:rPr>
              <w:t>12</w:t>
            </w:r>
          </w:p>
        </w:tc>
        <w:tc>
          <w:tcPr>
            <w:tcW w:w="693" w:type="dxa"/>
            <w:tcBorders>
              <w:top w:val="single" w:color="000000" w:sz="4" w:space="0"/>
              <w:left w:val="single" w:color="000000" w:sz="4" w:space="0"/>
              <w:bottom w:val="single" w:color="000000" w:sz="4" w:space="0"/>
              <w:right w:val="nil"/>
            </w:tcBorders>
            <w:vAlign w:val="center"/>
          </w:tcPr>
          <w:p w14:paraId="49BCFD85">
            <w:pPr>
              <w:pStyle w:val="98"/>
              <w:ind w:left="-105" w:right="-105"/>
              <w:rPr>
                <w:rFonts w:eastAsia="宋体"/>
                <w:color w:val="auto"/>
                <w:sz w:val="21"/>
                <w:szCs w:val="21"/>
                <w:highlight w:val="none"/>
              </w:rPr>
            </w:pPr>
            <w:r>
              <w:rPr>
                <w:rFonts w:eastAsia="宋体"/>
                <w:color w:val="auto"/>
                <w:sz w:val="21"/>
                <w:szCs w:val="21"/>
                <w:highlight w:val="none"/>
              </w:rPr>
              <w:t>/</w:t>
            </w:r>
          </w:p>
        </w:tc>
      </w:tr>
      <w:tr w14:paraId="3755240D">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108" w:type="dxa"/>
            <w:bottom w:w="0" w:type="dxa"/>
            <w:right w:w="108" w:type="dxa"/>
          </w:tblCellMar>
        </w:tblPrEx>
        <w:trPr>
          <w:gridAfter w:val="1"/>
          <w:wAfter w:w="21" w:type="dxa"/>
          <w:trHeight w:val="232" w:hRule="atLeast"/>
          <w:jc w:val="center"/>
        </w:trPr>
        <w:tc>
          <w:tcPr>
            <w:tcW w:w="688" w:type="dxa"/>
            <w:vMerge w:val="continue"/>
            <w:tcBorders>
              <w:top w:val="nil"/>
              <w:left w:val="nil"/>
              <w:bottom w:val="single" w:color="000000" w:sz="4" w:space="0"/>
              <w:right w:val="single" w:color="000000" w:sz="4" w:space="0"/>
            </w:tcBorders>
            <w:vAlign w:val="center"/>
          </w:tcPr>
          <w:p w14:paraId="00E9BF9E">
            <w:pPr>
              <w:ind w:left="-105" w:right="-105"/>
              <w:jc w:val="center"/>
              <w:rPr>
                <w:rFonts w:ascii="Times New Roman" w:hAnsi="Times New Roman"/>
                <w:color w:val="auto"/>
                <w:sz w:val="21"/>
                <w:szCs w:val="21"/>
                <w:highlight w:val="none"/>
              </w:rPr>
            </w:pPr>
          </w:p>
        </w:tc>
        <w:tc>
          <w:tcPr>
            <w:tcW w:w="687" w:type="dxa"/>
            <w:tcBorders>
              <w:top w:val="single" w:color="000000" w:sz="4" w:space="0"/>
              <w:left w:val="single" w:color="000000" w:sz="4" w:space="0"/>
              <w:bottom w:val="single" w:color="000000" w:sz="4" w:space="0"/>
              <w:right w:val="single" w:color="000000" w:sz="4" w:space="0"/>
            </w:tcBorders>
            <w:vAlign w:val="center"/>
          </w:tcPr>
          <w:p w14:paraId="2500BCE6">
            <w:pPr>
              <w:pStyle w:val="98"/>
              <w:ind w:left="-105" w:right="-105"/>
              <w:rPr>
                <w:rFonts w:eastAsia="宋体"/>
                <w:color w:val="auto"/>
                <w:sz w:val="21"/>
                <w:szCs w:val="21"/>
                <w:highlight w:val="none"/>
              </w:rPr>
            </w:pPr>
            <w:r>
              <w:rPr>
                <w:rFonts w:eastAsia="宋体"/>
                <w:color w:val="auto"/>
                <w:sz w:val="21"/>
                <w:szCs w:val="21"/>
                <w:highlight w:val="none"/>
              </w:rPr>
              <w:t>风速</w:t>
            </w:r>
          </w:p>
        </w:tc>
        <w:tc>
          <w:tcPr>
            <w:tcW w:w="687" w:type="dxa"/>
            <w:tcBorders>
              <w:top w:val="single" w:color="000000" w:sz="4" w:space="0"/>
              <w:left w:val="single" w:color="000000" w:sz="4" w:space="0"/>
              <w:bottom w:val="single" w:color="000000" w:sz="4" w:space="0"/>
              <w:right w:val="single" w:color="000000" w:sz="4" w:space="0"/>
            </w:tcBorders>
            <w:vAlign w:val="center"/>
          </w:tcPr>
          <w:p w14:paraId="44BEB0CC">
            <w:pPr>
              <w:pStyle w:val="98"/>
              <w:ind w:left="-105" w:right="-105"/>
              <w:rPr>
                <w:rFonts w:eastAsia="宋体"/>
                <w:color w:val="auto"/>
                <w:sz w:val="21"/>
                <w:szCs w:val="21"/>
                <w:highlight w:val="none"/>
              </w:rPr>
            </w:pPr>
            <w:r>
              <w:rPr>
                <w:rFonts w:eastAsia="宋体"/>
                <w:color w:val="auto"/>
                <w:sz w:val="21"/>
                <w:szCs w:val="21"/>
                <w:highlight w:val="none"/>
              </w:rPr>
              <w:t>0.4</w:t>
            </w:r>
          </w:p>
        </w:tc>
        <w:tc>
          <w:tcPr>
            <w:tcW w:w="687" w:type="dxa"/>
            <w:tcBorders>
              <w:top w:val="single" w:color="000000" w:sz="4" w:space="0"/>
              <w:left w:val="single" w:color="000000" w:sz="4" w:space="0"/>
              <w:bottom w:val="single" w:color="000000" w:sz="4" w:space="0"/>
              <w:right w:val="single" w:color="000000" w:sz="4" w:space="0"/>
            </w:tcBorders>
            <w:vAlign w:val="center"/>
          </w:tcPr>
          <w:p w14:paraId="2AA79646">
            <w:pPr>
              <w:pStyle w:val="98"/>
              <w:ind w:left="-105" w:right="-105"/>
              <w:rPr>
                <w:rFonts w:eastAsia="宋体"/>
                <w:color w:val="auto"/>
                <w:sz w:val="21"/>
                <w:szCs w:val="21"/>
                <w:highlight w:val="none"/>
              </w:rPr>
            </w:pPr>
            <w:r>
              <w:rPr>
                <w:rFonts w:eastAsia="宋体"/>
                <w:color w:val="auto"/>
                <w:sz w:val="21"/>
                <w:szCs w:val="21"/>
                <w:highlight w:val="none"/>
              </w:rPr>
              <w:t>2.3</w:t>
            </w:r>
          </w:p>
        </w:tc>
        <w:tc>
          <w:tcPr>
            <w:tcW w:w="687" w:type="dxa"/>
            <w:tcBorders>
              <w:top w:val="single" w:color="000000" w:sz="4" w:space="0"/>
              <w:left w:val="single" w:color="000000" w:sz="4" w:space="0"/>
              <w:bottom w:val="single" w:color="000000" w:sz="4" w:space="0"/>
              <w:right w:val="single" w:color="000000" w:sz="4" w:space="0"/>
            </w:tcBorders>
            <w:vAlign w:val="center"/>
          </w:tcPr>
          <w:p w14:paraId="383E009A">
            <w:pPr>
              <w:pStyle w:val="98"/>
              <w:ind w:left="-105" w:right="-105"/>
              <w:rPr>
                <w:rFonts w:eastAsia="宋体"/>
                <w:color w:val="auto"/>
                <w:sz w:val="21"/>
                <w:szCs w:val="21"/>
                <w:highlight w:val="none"/>
              </w:rPr>
            </w:pPr>
            <w:r>
              <w:rPr>
                <w:rFonts w:eastAsia="宋体"/>
                <w:color w:val="auto"/>
                <w:sz w:val="21"/>
                <w:szCs w:val="21"/>
                <w:highlight w:val="none"/>
              </w:rPr>
              <w:t>2.8</w:t>
            </w:r>
          </w:p>
        </w:tc>
        <w:tc>
          <w:tcPr>
            <w:tcW w:w="688" w:type="dxa"/>
            <w:tcBorders>
              <w:top w:val="single" w:color="000000" w:sz="4" w:space="0"/>
              <w:left w:val="single" w:color="000000" w:sz="4" w:space="0"/>
              <w:bottom w:val="single" w:color="000000" w:sz="4" w:space="0"/>
              <w:right w:val="single" w:color="000000" w:sz="4" w:space="0"/>
            </w:tcBorders>
            <w:vAlign w:val="center"/>
          </w:tcPr>
          <w:p w14:paraId="32C46F61">
            <w:pPr>
              <w:pStyle w:val="98"/>
              <w:ind w:left="-105" w:right="-105"/>
              <w:rPr>
                <w:rFonts w:eastAsia="宋体"/>
                <w:color w:val="auto"/>
                <w:sz w:val="21"/>
                <w:szCs w:val="21"/>
                <w:highlight w:val="none"/>
              </w:rPr>
            </w:pPr>
            <w:r>
              <w:rPr>
                <w:rFonts w:eastAsia="宋体"/>
                <w:color w:val="auto"/>
                <w:sz w:val="21"/>
                <w:szCs w:val="21"/>
                <w:highlight w:val="none"/>
              </w:rPr>
              <w:t>2.8</w:t>
            </w:r>
          </w:p>
        </w:tc>
        <w:tc>
          <w:tcPr>
            <w:tcW w:w="687" w:type="dxa"/>
            <w:tcBorders>
              <w:top w:val="single" w:color="000000" w:sz="4" w:space="0"/>
              <w:left w:val="single" w:color="000000" w:sz="4" w:space="0"/>
              <w:bottom w:val="single" w:color="000000" w:sz="4" w:space="0"/>
              <w:right w:val="single" w:color="000000" w:sz="4" w:space="0"/>
            </w:tcBorders>
            <w:vAlign w:val="center"/>
          </w:tcPr>
          <w:p w14:paraId="04BBCB84">
            <w:pPr>
              <w:pStyle w:val="98"/>
              <w:ind w:left="-105" w:right="-105"/>
              <w:rPr>
                <w:rFonts w:eastAsia="宋体"/>
                <w:color w:val="auto"/>
                <w:sz w:val="21"/>
                <w:szCs w:val="21"/>
                <w:highlight w:val="none"/>
              </w:rPr>
            </w:pPr>
            <w:r>
              <w:rPr>
                <w:rFonts w:eastAsia="宋体"/>
                <w:color w:val="auto"/>
                <w:sz w:val="21"/>
                <w:szCs w:val="21"/>
                <w:highlight w:val="none"/>
              </w:rPr>
              <w:t>2.9</w:t>
            </w:r>
          </w:p>
        </w:tc>
        <w:tc>
          <w:tcPr>
            <w:tcW w:w="687" w:type="dxa"/>
            <w:tcBorders>
              <w:top w:val="single" w:color="000000" w:sz="4" w:space="0"/>
              <w:left w:val="single" w:color="000000" w:sz="4" w:space="0"/>
              <w:bottom w:val="single" w:color="000000" w:sz="4" w:space="0"/>
              <w:right w:val="single" w:color="000000" w:sz="4" w:space="0"/>
            </w:tcBorders>
            <w:vAlign w:val="center"/>
          </w:tcPr>
          <w:p w14:paraId="553BCEDD">
            <w:pPr>
              <w:pStyle w:val="98"/>
              <w:ind w:left="-105" w:right="-105"/>
              <w:rPr>
                <w:rFonts w:eastAsia="宋体"/>
                <w:color w:val="auto"/>
                <w:sz w:val="21"/>
                <w:szCs w:val="21"/>
                <w:highlight w:val="none"/>
              </w:rPr>
            </w:pPr>
            <w:r>
              <w:rPr>
                <w:rFonts w:eastAsia="宋体"/>
                <w:color w:val="auto"/>
                <w:sz w:val="21"/>
                <w:szCs w:val="21"/>
                <w:highlight w:val="none"/>
              </w:rPr>
              <w:t>2.7</w:t>
            </w:r>
          </w:p>
        </w:tc>
        <w:tc>
          <w:tcPr>
            <w:tcW w:w="687" w:type="dxa"/>
            <w:tcBorders>
              <w:top w:val="single" w:color="000000" w:sz="4" w:space="0"/>
              <w:left w:val="single" w:color="000000" w:sz="4" w:space="0"/>
              <w:bottom w:val="single" w:color="000000" w:sz="4" w:space="0"/>
              <w:right w:val="single" w:color="000000" w:sz="4" w:space="0"/>
            </w:tcBorders>
            <w:vAlign w:val="center"/>
          </w:tcPr>
          <w:p w14:paraId="683F9AE7">
            <w:pPr>
              <w:pStyle w:val="98"/>
              <w:ind w:left="-105" w:right="-105"/>
              <w:rPr>
                <w:rFonts w:eastAsia="宋体"/>
                <w:color w:val="auto"/>
                <w:sz w:val="21"/>
                <w:szCs w:val="21"/>
                <w:highlight w:val="none"/>
              </w:rPr>
            </w:pPr>
            <w:r>
              <w:rPr>
                <w:rFonts w:eastAsia="宋体"/>
                <w:color w:val="auto"/>
                <w:sz w:val="21"/>
                <w:szCs w:val="21"/>
                <w:highlight w:val="none"/>
              </w:rPr>
              <w:t>2.4</w:t>
            </w:r>
          </w:p>
        </w:tc>
        <w:tc>
          <w:tcPr>
            <w:tcW w:w="687" w:type="dxa"/>
            <w:tcBorders>
              <w:top w:val="single" w:color="000000" w:sz="4" w:space="0"/>
              <w:left w:val="single" w:color="000000" w:sz="4" w:space="0"/>
              <w:bottom w:val="single" w:color="000000" w:sz="4" w:space="0"/>
              <w:right w:val="single" w:color="000000" w:sz="4" w:space="0"/>
            </w:tcBorders>
            <w:vAlign w:val="center"/>
          </w:tcPr>
          <w:p w14:paraId="3AA31171">
            <w:pPr>
              <w:pStyle w:val="98"/>
              <w:ind w:left="-105" w:right="-105"/>
              <w:rPr>
                <w:rFonts w:eastAsia="宋体"/>
                <w:color w:val="auto"/>
                <w:sz w:val="21"/>
                <w:szCs w:val="21"/>
                <w:highlight w:val="none"/>
              </w:rPr>
            </w:pPr>
            <w:r>
              <w:rPr>
                <w:rFonts w:eastAsia="宋体"/>
                <w:color w:val="auto"/>
                <w:sz w:val="21"/>
                <w:szCs w:val="21"/>
                <w:highlight w:val="none"/>
              </w:rPr>
              <w:t>1.5</w:t>
            </w:r>
          </w:p>
        </w:tc>
        <w:tc>
          <w:tcPr>
            <w:tcW w:w="687" w:type="dxa"/>
            <w:tcBorders>
              <w:top w:val="single" w:color="000000" w:sz="4" w:space="0"/>
              <w:left w:val="single" w:color="000000" w:sz="4" w:space="0"/>
              <w:bottom w:val="single" w:color="000000" w:sz="4" w:space="0"/>
              <w:right w:val="single" w:color="000000" w:sz="4" w:space="0"/>
            </w:tcBorders>
            <w:vAlign w:val="center"/>
          </w:tcPr>
          <w:p w14:paraId="50964827">
            <w:pPr>
              <w:pStyle w:val="98"/>
              <w:ind w:left="-105" w:right="-105"/>
              <w:rPr>
                <w:rFonts w:eastAsia="宋体"/>
                <w:color w:val="auto"/>
                <w:sz w:val="21"/>
                <w:szCs w:val="21"/>
                <w:highlight w:val="none"/>
              </w:rPr>
            </w:pPr>
            <w:r>
              <w:rPr>
                <w:rFonts w:eastAsia="宋体"/>
                <w:color w:val="auto"/>
                <w:sz w:val="21"/>
                <w:szCs w:val="21"/>
                <w:highlight w:val="none"/>
              </w:rPr>
              <w:t>2.1</w:t>
            </w:r>
          </w:p>
        </w:tc>
        <w:tc>
          <w:tcPr>
            <w:tcW w:w="687" w:type="dxa"/>
            <w:tcBorders>
              <w:top w:val="single" w:color="000000" w:sz="4" w:space="0"/>
              <w:left w:val="single" w:color="000000" w:sz="4" w:space="0"/>
              <w:bottom w:val="single" w:color="000000" w:sz="4" w:space="0"/>
              <w:right w:val="single" w:color="000000" w:sz="4" w:space="0"/>
            </w:tcBorders>
            <w:vAlign w:val="center"/>
          </w:tcPr>
          <w:p w14:paraId="0B50EB2D">
            <w:pPr>
              <w:pStyle w:val="98"/>
              <w:ind w:left="-105" w:right="-105"/>
              <w:rPr>
                <w:rFonts w:eastAsia="宋体"/>
                <w:color w:val="auto"/>
                <w:sz w:val="21"/>
                <w:szCs w:val="21"/>
                <w:highlight w:val="none"/>
              </w:rPr>
            </w:pPr>
            <w:r>
              <w:rPr>
                <w:rFonts w:eastAsia="宋体"/>
                <w:color w:val="auto"/>
                <w:sz w:val="21"/>
                <w:szCs w:val="21"/>
                <w:highlight w:val="none"/>
              </w:rPr>
              <w:t>1.2</w:t>
            </w:r>
          </w:p>
        </w:tc>
        <w:tc>
          <w:tcPr>
            <w:tcW w:w="684" w:type="dxa"/>
            <w:tcBorders>
              <w:top w:val="single" w:color="000000" w:sz="4" w:space="0"/>
              <w:left w:val="single" w:color="000000" w:sz="4" w:space="0"/>
              <w:bottom w:val="single" w:color="000000" w:sz="4" w:space="0"/>
              <w:right w:val="single" w:color="000000" w:sz="4" w:space="0"/>
            </w:tcBorders>
            <w:vAlign w:val="center"/>
          </w:tcPr>
          <w:p w14:paraId="58501B2F">
            <w:pPr>
              <w:pStyle w:val="98"/>
              <w:ind w:left="-105" w:right="-105"/>
              <w:rPr>
                <w:rFonts w:eastAsia="宋体"/>
                <w:color w:val="auto"/>
                <w:sz w:val="21"/>
                <w:szCs w:val="21"/>
                <w:highlight w:val="none"/>
              </w:rPr>
            </w:pPr>
            <w:r>
              <w:rPr>
                <w:rFonts w:eastAsia="宋体"/>
                <w:color w:val="auto"/>
                <w:sz w:val="21"/>
                <w:szCs w:val="21"/>
                <w:highlight w:val="none"/>
              </w:rPr>
              <w:t>1</w:t>
            </w:r>
          </w:p>
        </w:tc>
        <w:tc>
          <w:tcPr>
            <w:tcW w:w="714" w:type="dxa"/>
            <w:tcBorders>
              <w:top w:val="single" w:color="000000" w:sz="4" w:space="0"/>
              <w:left w:val="single" w:color="000000" w:sz="4" w:space="0"/>
              <w:bottom w:val="single" w:color="000000" w:sz="4" w:space="0"/>
              <w:right w:val="single" w:color="000000" w:sz="4" w:space="0"/>
            </w:tcBorders>
            <w:vAlign w:val="center"/>
          </w:tcPr>
          <w:p w14:paraId="79940383">
            <w:pPr>
              <w:pStyle w:val="98"/>
              <w:ind w:left="-105" w:right="-105"/>
              <w:rPr>
                <w:rFonts w:eastAsia="宋体"/>
                <w:color w:val="auto"/>
                <w:sz w:val="21"/>
                <w:szCs w:val="21"/>
                <w:highlight w:val="none"/>
              </w:rPr>
            </w:pPr>
            <w:r>
              <w:rPr>
                <w:rFonts w:eastAsia="宋体"/>
                <w:color w:val="auto"/>
                <w:sz w:val="21"/>
                <w:szCs w:val="21"/>
                <w:highlight w:val="none"/>
              </w:rPr>
              <w:t>3.4</w:t>
            </w:r>
          </w:p>
        </w:tc>
        <w:tc>
          <w:tcPr>
            <w:tcW w:w="686" w:type="dxa"/>
            <w:tcBorders>
              <w:top w:val="single" w:color="000000" w:sz="4" w:space="0"/>
              <w:left w:val="single" w:color="000000" w:sz="4" w:space="0"/>
              <w:bottom w:val="single" w:color="000000" w:sz="4" w:space="0"/>
              <w:right w:val="single" w:color="000000" w:sz="4" w:space="0"/>
            </w:tcBorders>
            <w:vAlign w:val="center"/>
          </w:tcPr>
          <w:p w14:paraId="165BB996">
            <w:pPr>
              <w:pStyle w:val="98"/>
              <w:ind w:left="-105" w:right="-105"/>
              <w:rPr>
                <w:rFonts w:eastAsia="宋体"/>
                <w:color w:val="auto"/>
                <w:sz w:val="21"/>
                <w:szCs w:val="21"/>
                <w:highlight w:val="none"/>
              </w:rPr>
            </w:pPr>
            <w:r>
              <w:rPr>
                <w:rFonts w:eastAsia="宋体"/>
                <w:color w:val="auto"/>
                <w:sz w:val="21"/>
                <w:szCs w:val="21"/>
                <w:highlight w:val="none"/>
              </w:rPr>
              <w:t>3</w:t>
            </w:r>
          </w:p>
        </w:tc>
        <w:tc>
          <w:tcPr>
            <w:tcW w:w="747" w:type="dxa"/>
            <w:tcBorders>
              <w:top w:val="single" w:color="000000" w:sz="4" w:space="0"/>
              <w:left w:val="single" w:color="000000" w:sz="4" w:space="0"/>
              <w:bottom w:val="single" w:color="000000" w:sz="4" w:space="0"/>
              <w:right w:val="single" w:color="000000" w:sz="4" w:space="0"/>
            </w:tcBorders>
            <w:vAlign w:val="center"/>
          </w:tcPr>
          <w:p w14:paraId="6481097D">
            <w:pPr>
              <w:pStyle w:val="98"/>
              <w:ind w:left="-105" w:right="-105"/>
              <w:rPr>
                <w:rFonts w:eastAsia="宋体"/>
                <w:color w:val="auto"/>
                <w:sz w:val="21"/>
                <w:szCs w:val="21"/>
                <w:highlight w:val="none"/>
              </w:rPr>
            </w:pPr>
            <w:r>
              <w:rPr>
                <w:rFonts w:eastAsia="宋体"/>
                <w:color w:val="auto"/>
                <w:sz w:val="21"/>
                <w:szCs w:val="21"/>
                <w:highlight w:val="none"/>
              </w:rPr>
              <w:t>3.2</w:t>
            </w:r>
          </w:p>
        </w:tc>
        <w:tc>
          <w:tcPr>
            <w:tcW w:w="686" w:type="dxa"/>
            <w:tcBorders>
              <w:top w:val="single" w:color="000000" w:sz="4" w:space="0"/>
              <w:left w:val="single" w:color="000000" w:sz="4" w:space="0"/>
              <w:bottom w:val="single" w:color="000000" w:sz="4" w:space="0"/>
              <w:right w:val="single" w:color="000000" w:sz="4" w:space="0"/>
            </w:tcBorders>
            <w:vAlign w:val="center"/>
          </w:tcPr>
          <w:p w14:paraId="4DD19BA6">
            <w:pPr>
              <w:pStyle w:val="98"/>
              <w:ind w:left="-105" w:right="-105"/>
              <w:rPr>
                <w:rFonts w:eastAsia="宋体"/>
                <w:color w:val="auto"/>
                <w:sz w:val="21"/>
                <w:szCs w:val="21"/>
                <w:highlight w:val="none"/>
              </w:rPr>
            </w:pPr>
            <w:r>
              <w:rPr>
                <w:rFonts w:eastAsia="宋体"/>
                <w:color w:val="auto"/>
                <w:sz w:val="21"/>
                <w:szCs w:val="21"/>
                <w:highlight w:val="none"/>
              </w:rPr>
              <w:t>2.2</w:t>
            </w:r>
          </w:p>
        </w:tc>
        <w:tc>
          <w:tcPr>
            <w:tcW w:w="700" w:type="dxa"/>
            <w:tcBorders>
              <w:top w:val="single" w:color="000000" w:sz="4" w:space="0"/>
              <w:left w:val="single" w:color="000000" w:sz="4" w:space="0"/>
              <w:bottom w:val="single" w:color="000000" w:sz="4" w:space="0"/>
              <w:right w:val="single" w:color="000000" w:sz="4" w:space="0"/>
            </w:tcBorders>
            <w:vAlign w:val="center"/>
          </w:tcPr>
          <w:p w14:paraId="20149DC7">
            <w:pPr>
              <w:pStyle w:val="98"/>
              <w:ind w:left="-105" w:right="-105"/>
              <w:rPr>
                <w:rFonts w:eastAsia="宋体"/>
                <w:color w:val="auto"/>
                <w:sz w:val="21"/>
                <w:szCs w:val="21"/>
                <w:highlight w:val="none"/>
              </w:rPr>
            </w:pPr>
            <w:r>
              <w:rPr>
                <w:rFonts w:eastAsia="宋体"/>
                <w:color w:val="auto"/>
                <w:sz w:val="21"/>
                <w:szCs w:val="21"/>
                <w:highlight w:val="none"/>
              </w:rPr>
              <w:t>2.4</w:t>
            </w:r>
          </w:p>
        </w:tc>
        <w:tc>
          <w:tcPr>
            <w:tcW w:w="686" w:type="dxa"/>
            <w:tcBorders>
              <w:top w:val="single" w:color="000000" w:sz="4" w:space="0"/>
              <w:left w:val="single" w:color="000000" w:sz="4" w:space="0"/>
              <w:bottom w:val="single" w:color="000000" w:sz="4" w:space="0"/>
              <w:right w:val="single" w:color="000000" w:sz="4" w:space="0"/>
            </w:tcBorders>
            <w:vAlign w:val="center"/>
          </w:tcPr>
          <w:p w14:paraId="4F6BCA49">
            <w:pPr>
              <w:pStyle w:val="98"/>
              <w:ind w:left="-105" w:right="-105"/>
              <w:rPr>
                <w:rFonts w:eastAsia="宋体"/>
                <w:color w:val="auto"/>
                <w:sz w:val="21"/>
                <w:szCs w:val="21"/>
                <w:highlight w:val="none"/>
              </w:rPr>
            </w:pPr>
            <w:r>
              <w:rPr>
                <w:rFonts w:eastAsia="宋体"/>
                <w:color w:val="auto"/>
                <w:sz w:val="21"/>
                <w:szCs w:val="21"/>
                <w:highlight w:val="none"/>
              </w:rPr>
              <w:t>/</w:t>
            </w:r>
          </w:p>
        </w:tc>
        <w:tc>
          <w:tcPr>
            <w:tcW w:w="693" w:type="dxa"/>
            <w:tcBorders>
              <w:top w:val="single" w:color="000000" w:sz="4" w:space="0"/>
              <w:left w:val="single" w:color="000000" w:sz="4" w:space="0"/>
              <w:bottom w:val="single" w:color="000000" w:sz="4" w:space="0"/>
              <w:right w:val="nil"/>
            </w:tcBorders>
            <w:vAlign w:val="center"/>
          </w:tcPr>
          <w:p w14:paraId="29BF0F52">
            <w:pPr>
              <w:pStyle w:val="98"/>
              <w:ind w:left="-105" w:right="-105"/>
              <w:rPr>
                <w:rFonts w:eastAsia="宋体"/>
                <w:color w:val="auto"/>
                <w:sz w:val="21"/>
                <w:szCs w:val="21"/>
                <w:highlight w:val="none"/>
              </w:rPr>
            </w:pPr>
            <w:r>
              <w:rPr>
                <w:rFonts w:eastAsia="宋体"/>
                <w:color w:val="auto"/>
                <w:sz w:val="21"/>
                <w:szCs w:val="21"/>
                <w:highlight w:val="none"/>
              </w:rPr>
              <w:t>2.39</w:t>
            </w:r>
          </w:p>
        </w:tc>
      </w:tr>
      <w:tr w14:paraId="180C9212">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108" w:type="dxa"/>
            <w:bottom w:w="0" w:type="dxa"/>
            <w:right w:w="108" w:type="dxa"/>
          </w:tblCellMar>
        </w:tblPrEx>
        <w:trPr>
          <w:gridAfter w:val="1"/>
          <w:wAfter w:w="21" w:type="dxa"/>
          <w:trHeight w:val="232" w:hRule="atLeast"/>
          <w:jc w:val="center"/>
        </w:trPr>
        <w:tc>
          <w:tcPr>
            <w:tcW w:w="688" w:type="dxa"/>
            <w:vMerge w:val="restart"/>
            <w:tcBorders>
              <w:top w:val="single" w:color="000000" w:sz="4" w:space="0"/>
              <w:left w:val="nil"/>
              <w:bottom w:val="single" w:color="000000" w:sz="4" w:space="0"/>
              <w:right w:val="single" w:color="000000" w:sz="4" w:space="0"/>
            </w:tcBorders>
            <w:vAlign w:val="center"/>
          </w:tcPr>
          <w:p w14:paraId="5EA890CF">
            <w:pPr>
              <w:pStyle w:val="98"/>
              <w:ind w:left="-105" w:right="-105"/>
              <w:rPr>
                <w:rFonts w:eastAsia="宋体"/>
                <w:color w:val="auto"/>
                <w:sz w:val="21"/>
                <w:szCs w:val="21"/>
                <w:highlight w:val="none"/>
              </w:rPr>
            </w:pPr>
            <w:r>
              <w:rPr>
                <w:rFonts w:eastAsia="宋体"/>
                <w:color w:val="auto"/>
                <w:sz w:val="21"/>
                <w:szCs w:val="21"/>
                <w:highlight w:val="none"/>
              </w:rPr>
              <w:t>10月</w:t>
            </w:r>
          </w:p>
        </w:tc>
        <w:tc>
          <w:tcPr>
            <w:tcW w:w="687" w:type="dxa"/>
            <w:tcBorders>
              <w:top w:val="single" w:color="000000" w:sz="4" w:space="0"/>
              <w:left w:val="single" w:color="000000" w:sz="4" w:space="0"/>
              <w:bottom w:val="single" w:color="000000" w:sz="4" w:space="0"/>
              <w:right w:val="single" w:color="000000" w:sz="4" w:space="0"/>
            </w:tcBorders>
            <w:vAlign w:val="center"/>
          </w:tcPr>
          <w:p w14:paraId="004C947C">
            <w:pPr>
              <w:pStyle w:val="98"/>
              <w:ind w:left="-105" w:right="-105"/>
              <w:rPr>
                <w:rFonts w:eastAsia="宋体"/>
                <w:color w:val="auto"/>
                <w:sz w:val="21"/>
                <w:szCs w:val="21"/>
                <w:highlight w:val="none"/>
              </w:rPr>
            </w:pPr>
            <w:r>
              <w:rPr>
                <w:rFonts w:eastAsia="宋体"/>
                <w:color w:val="auto"/>
                <w:sz w:val="21"/>
                <w:szCs w:val="21"/>
                <w:highlight w:val="none"/>
              </w:rPr>
              <w:t>频率</w:t>
            </w:r>
          </w:p>
        </w:tc>
        <w:tc>
          <w:tcPr>
            <w:tcW w:w="687" w:type="dxa"/>
            <w:tcBorders>
              <w:top w:val="single" w:color="000000" w:sz="4" w:space="0"/>
              <w:left w:val="single" w:color="000000" w:sz="4" w:space="0"/>
              <w:bottom w:val="single" w:color="000000" w:sz="4" w:space="0"/>
              <w:right w:val="single" w:color="000000" w:sz="4" w:space="0"/>
            </w:tcBorders>
            <w:vAlign w:val="center"/>
          </w:tcPr>
          <w:p w14:paraId="73BC6983">
            <w:pPr>
              <w:pStyle w:val="98"/>
              <w:ind w:left="-105" w:right="-105"/>
              <w:rPr>
                <w:rFonts w:eastAsia="宋体"/>
                <w:color w:val="auto"/>
                <w:sz w:val="21"/>
                <w:szCs w:val="21"/>
                <w:highlight w:val="none"/>
              </w:rPr>
            </w:pPr>
            <w:r>
              <w:rPr>
                <w:rFonts w:eastAsia="宋体"/>
                <w:color w:val="auto"/>
                <w:sz w:val="21"/>
                <w:szCs w:val="21"/>
                <w:highlight w:val="none"/>
              </w:rPr>
              <w:t>11.4</w:t>
            </w:r>
          </w:p>
        </w:tc>
        <w:tc>
          <w:tcPr>
            <w:tcW w:w="687" w:type="dxa"/>
            <w:tcBorders>
              <w:top w:val="single" w:color="000000" w:sz="4" w:space="0"/>
              <w:left w:val="single" w:color="000000" w:sz="4" w:space="0"/>
              <w:bottom w:val="single" w:color="000000" w:sz="4" w:space="0"/>
              <w:right w:val="single" w:color="000000" w:sz="4" w:space="0"/>
            </w:tcBorders>
            <w:vAlign w:val="center"/>
          </w:tcPr>
          <w:p w14:paraId="28073A1C">
            <w:pPr>
              <w:pStyle w:val="98"/>
              <w:ind w:left="-105" w:right="-105"/>
              <w:rPr>
                <w:rFonts w:eastAsia="宋体"/>
                <w:color w:val="auto"/>
                <w:sz w:val="21"/>
                <w:szCs w:val="21"/>
                <w:highlight w:val="none"/>
              </w:rPr>
            </w:pPr>
            <w:r>
              <w:rPr>
                <w:rFonts w:eastAsia="宋体"/>
                <w:color w:val="auto"/>
                <w:sz w:val="21"/>
                <w:szCs w:val="21"/>
                <w:highlight w:val="none"/>
              </w:rPr>
              <w:t>5.2</w:t>
            </w:r>
          </w:p>
        </w:tc>
        <w:tc>
          <w:tcPr>
            <w:tcW w:w="687" w:type="dxa"/>
            <w:tcBorders>
              <w:top w:val="single" w:color="000000" w:sz="4" w:space="0"/>
              <w:left w:val="single" w:color="000000" w:sz="4" w:space="0"/>
              <w:bottom w:val="single" w:color="000000" w:sz="4" w:space="0"/>
              <w:right w:val="single" w:color="000000" w:sz="4" w:space="0"/>
            </w:tcBorders>
            <w:vAlign w:val="center"/>
          </w:tcPr>
          <w:p w14:paraId="341AC6B8">
            <w:pPr>
              <w:pStyle w:val="98"/>
              <w:ind w:left="-105" w:right="-105"/>
              <w:rPr>
                <w:rFonts w:eastAsia="宋体"/>
                <w:color w:val="auto"/>
                <w:sz w:val="21"/>
                <w:szCs w:val="21"/>
                <w:highlight w:val="none"/>
              </w:rPr>
            </w:pPr>
            <w:r>
              <w:rPr>
                <w:rFonts w:eastAsia="宋体"/>
                <w:color w:val="auto"/>
                <w:sz w:val="21"/>
                <w:szCs w:val="21"/>
                <w:highlight w:val="none"/>
              </w:rPr>
              <w:t>12.4</w:t>
            </w:r>
          </w:p>
        </w:tc>
        <w:tc>
          <w:tcPr>
            <w:tcW w:w="688" w:type="dxa"/>
            <w:tcBorders>
              <w:top w:val="single" w:color="000000" w:sz="4" w:space="0"/>
              <w:left w:val="single" w:color="000000" w:sz="4" w:space="0"/>
              <w:bottom w:val="single" w:color="000000" w:sz="4" w:space="0"/>
              <w:right w:val="single" w:color="000000" w:sz="4" w:space="0"/>
            </w:tcBorders>
            <w:vAlign w:val="center"/>
          </w:tcPr>
          <w:p w14:paraId="65F4FB9C">
            <w:pPr>
              <w:pStyle w:val="98"/>
              <w:ind w:left="-105" w:right="-105"/>
              <w:rPr>
                <w:rFonts w:eastAsia="宋体"/>
                <w:color w:val="auto"/>
                <w:sz w:val="21"/>
                <w:szCs w:val="21"/>
                <w:highlight w:val="none"/>
              </w:rPr>
            </w:pPr>
            <w:r>
              <w:rPr>
                <w:rFonts w:eastAsia="宋体"/>
                <w:color w:val="auto"/>
                <w:sz w:val="21"/>
                <w:szCs w:val="21"/>
                <w:highlight w:val="none"/>
              </w:rPr>
              <w:t>5.4</w:t>
            </w:r>
          </w:p>
        </w:tc>
        <w:tc>
          <w:tcPr>
            <w:tcW w:w="687" w:type="dxa"/>
            <w:tcBorders>
              <w:top w:val="single" w:color="000000" w:sz="4" w:space="0"/>
              <w:left w:val="single" w:color="000000" w:sz="4" w:space="0"/>
              <w:bottom w:val="single" w:color="000000" w:sz="4" w:space="0"/>
              <w:right w:val="single" w:color="000000" w:sz="4" w:space="0"/>
            </w:tcBorders>
            <w:vAlign w:val="center"/>
          </w:tcPr>
          <w:p w14:paraId="795E7787">
            <w:pPr>
              <w:pStyle w:val="98"/>
              <w:ind w:left="-105" w:right="-105"/>
              <w:rPr>
                <w:rFonts w:eastAsia="宋体"/>
                <w:color w:val="auto"/>
                <w:sz w:val="21"/>
                <w:szCs w:val="21"/>
                <w:highlight w:val="none"/>
              </w:rPr>
            </w:pPr>
            <w:r>
              <w:rPr>
                <w:rFonts w:eastAsia="宋体"/>
                <w:color w:val="auto"/>
                <w:sz w:val="21"/>
                <w:szCs w:val="21"/>
                <w:highlight w:val="none"/>
              </w:rPr>
              <w:t>5.4</w:t>
            </w:r>
          </w:p>
        </w:tc>
        <w:tc>
          <w:tcPr>
            <w:tcW w:w="687" w:type="dxa"/>
            <w:tcBorders>
              <w:top w:val="single" w:color="000000" w:sz="4" w:space="0"/>
              <w:left w:val="single" w:color="000000" w:sz="4" w:space="0"/>
              <w:bottom w:val="single" w:color="000000" w:sz="4" w:space="0"/>
              <w:right w:val="single" w:color="000000" w:sz="4" w:space="0"/>
            </w:tcBorders>
            <w:vAlign w:val="center"/>
          </w:tcPr>
          <w:p w14:paraId="06042789">
            <w:pPr>
              <w:pStyle w:val="98"/>
              <w:ind w:left="-105" w:right="-105"/>
              <w:rPr>
                <w:rFonts w:eastAsia="宋体"/>
                <w:color w:val="auto"/>
                <w:sz w:val="21"/>
                <w:szCs w:val="21"/>
                <w:highlight w:val="none"/>
              </w:rPr>
            </w:pPr>
            <w:r>
              <w:rPr>
                <w:rFonts w:eastAsia="宋体"/>
                <w:color w:val="auto"/>
                <w:sz w:val="21"/>
                <w:szCs w:val="21"/>
                <w:highlight w:val="none"/>
              </w:rPr>
              <w:t>7</w:t>
            </w:r>
          </w:p>
        </w:tc>
        <w:tc>
          <w:tcPr>
            <w:tcW w:w="687" w:type="dxa"/>
            <w:tcBorders>
              <w:top w:val="single" w:color="000000" w:sz="4" w:space="0"/>
              <w:left w:val="single" w:color="000000" w:sz="4" w:space="0"/>
              <w:bottom w:val="single" w:color="000000" w:sz="4" w:space="0"/>
              <w:right w:val="single" w:color="000000" w:sz="4" w:space="0"/>
            </w:tcBorders>
            <w:vAlign w:val="center"/>
          </w:tcPr>
          <w:p w14:paraId="23AF3A72">
            <w:pPr>
              <w:pStyle w:val="98"/>
              <w:ind w:left="-105" w:right="-105"/>
              <w:rPr>
                <w:rFonts w:eastAsia="宋体"/>
                <w:color w:val="auto"/>
                <w:sz w:val="21"/>
                <w:szCs w:val="21"/>
                <w:highlight w:val="none"/>
              </w:rPr>
            </w:pPr>
            <w:r>
              <w:rPr>
                <w:rFonts w:eastAsia="宋体"/>
                <w:color w:val="auto"/>
                <w:sz w:val="21"/>
                <w:szCs w:val="21"/>
                <w:highlight w:val="none"/>
              </w:rPr>
              <w:t>6</w:t>
            </w:r>
          </w:p>
        </w:tc>
        <w:tc>
          <w:tcPr>
            <w:tcW w:w="687" w:type="dxa"/>
            <w:tcBorders>
              <w:top w:val="single" w:color="000000" w:sz="4" w:space="0"/>
              <w:left w:val="single" w:color="000000" w:sz="4" w:space="0"/>
              <w:bottom w:val="single" w:color="000000" w:sz="4" w:space="0"/>
              <w:right w:val="single" w:color="000000" w:sz="4" w:space="0"/>
            </w:tcBorders>
            <w:vAlign w:val="center"/>
          </w:tcPr>
          <w:p w14:paraId="4918F461">
            <w:pPr>
              <w:pStyle w:val="98"/>
              <w:ind w:left="-105" w:right="-105"/>
              <w:rPr>
                <w:rFonts w:eastAsia="宋体"/>
                <w:color w:val="auto"/>
                <w:sz w:val="21"/>
                <w:szCs w:val="21"/>
                <w:highlight w:val="none"/>
              </w:rPr>
            </w:pPr>
            <w:r>
              <w:rPr>
                <w:rFonts w:eastAsia="宋体"/>
                <w:color w:val="auto"/>
                <w:sz w:val="21"/>
                <w:szCs w:val="21"/>
                <w:highlight w:val="none"/>
              </w:rPr>
              <w:t>2.6</w:t>
            </w:r>
          </w:p>
        </w:tc>
        <w:tc>
          <w:tcPr>
            <w:tcW w:w="687" w:type="dxa"/>
            <w:tcBorders>
              <w:top w:val="single" w:color="000000" w:sz="4" w:space="0"/>
              <w:left w:val="single" w:color="000000" w:sz="4" w:space="0"/>
              <w:bottom w:val="single" w:color="000000" w:sz="4" w:space="0"/>
              <w:right w:val="single" w:color="000000" w:sz="4" w:space="0"/>
            </w:tcBorders>
            <w:vAlign w:val="center"/>
          </w:tcPr>
          <w:p w14:paraId="08CD27A8">
            <w:pPr>
              <w:pStyle w:val="98"/>
              <w:ind w:left="-105" w:right="-105"/>
              <w:rPr>
                <w:rFonts w:eastAsia="宋体"/>
                <w:color w:val="auto"/>
                <w:sz w:val="21"/>
                <w:szCs w:val="21"/>
                <w:highlight w:val="none"/>
              </w:rPr>
            </w:pPr>
            <w:r>
              <w:rPr>
                <w:rFonts w:eastAsia="宋体"/>
                <w:color w:val="auto"/>
                <w:sz w:val="21"/>
                <w:szCs w:val="21"/>
                <w:highlight w:val="none"/>
              </w:rPr>
              <w:t>1.6</w:t>
            </w:r>
          </w:p>
        </w:tc>
        <w:tc>
          <w:tcPr>
            <w:tcW w:w="687" w:type="dxa"/>
            <w:tcBorders>
              <w:top w:val="single" w:color="000000" w:sz="4" w:space="0"/>
              <w:left w:val="single" w:color="000000" w:sz="4" w:space="0"/>
              <w:bottom w:val="single" w:color="000000" w:sz="4" w:space="0"/>
              <w:right w:val="single" w:color="000000" w:sz="4" w:space="0"/>
            </w:tcBorders>
            <w:vAlign w:val="center"/>
          </w:tcPr>
          <w:p w14:paraId="47EDB959">
            <w:pPr>
              <w:pStyle w:val="98"/>
              <w:ind w:left="-105" w:right="-105"/>
              <w:rPr>
                <w:rFonts w:eastAsia="宋体"/>
                <w:color w:val="auto"/>
                <w:sz w:val="21"/>
                <w:szCs w:val="21"/>
                <w:highlight w:val="none"/>
              </w:rPr>
            </w:pPr>
            <w:r>
              <w:rPr>
                <w:rFonts w:eastAsia="宋体"/>
                <w:color w:val="auto"/>
                <w:sz w:val="21"/>
                <w:szCs w:val="21"/>
                <w:highlight w:val="none"/>
              </w:rPr>
              <w:t>0.4</w:t>
            </w:r>
          </w:p>
        </w:tc>
        <w:tc>
          <w:tcPr>
            <w:tcW w:w="684" w:type="dxa"/>
            <w:tcBorders>
              <w:top w:val="single" w:color="000000" w:sz="4" w:space="0"/>
              <w:left w:val="single" w:color="000000" w:sz="4" w:space="0"/>
              <w:bottom w:val="single" w:color="000000" w:sz="4" w:space="0"/>
              <w:right w:val="single" w:color="000000" w:sz="4" w:space="0"/>
            </w:tcBorders>
            <w:vAlign w:val="center"/>
          </w:tcPr>
          <w:p w14:paraId="6D5A82AD">
            <w:pPr>
              <w:pStyle w:val="98"/>
              <w:ind w:left="-105" w:right="-105"/>
              <w:rPr>
                <w:rFonts w:eastAsia="宋体"/>
                <w:color w:val="auto"/>
                <w:sz w:val="21"/>
                <w:szCs w:val="21"/>
                <w:highlight w:val="none"/>
              </w:rPr>
            </w:pPr>
            <w:r>
              <w:rPr>
                <w:rFonts w:eastAsia="宋体"/>
                <w:color w:val="auto"/>
                <w:sz w:val="21"/>
                <w:szCs w:val="21"/>
                <w:highlight w:val="none"/>
              </w:rPr>
              <w:t>1</w:t>
            </w:r>
          </w:p>
        </w:tc>
        <w:tc>
          <w:tcPr>
            <w:tcW w:w="714" w:type="dxa"/>
            <w:tcBorders>
              <w:top w:val="single" w:color="000000" w:sz="4" w:space="0"/>
              <w:left w:val="single" w:color="000000" w:sz="4" w:space="0"/>
              <w:bottom w:val="single" w:color="000000" w:sz="4" w:space="0"/>
              <w:right w:val="single" w:color="000000" w:sz="4" w:space="0"/>
            </w:tcBorders>
            <w:vAlign w:val="center"/>
          </w:tcPr>
          <w:p w14:paraId="10054B85">
            <w:pPr>
              <w:pStyle w:val="98"/>
              <w:ind w:left="-105" w:right="-105"/>
              <w:rPr>
                <w:rFonts w:eastAsia="宋体"/>
                <w:color w:val="auto"/>
                <w:sz w:val="21"/>
                <w:szCs w:val="21"/>
                <w:highlight w:val="none"/>
              </w:rPr>
            </w:pPr>
            <w:r>
              <w:rPr>
                <w:rFonts w:eastAsia="宋体"/>
                <w:color w:val="auto"/>
                <w:sz w:val="21"/>
                <w:szCs w:val="21"/>
                <w:highlight w:val="none"/>
              </w:rPr>
              <w:t>1.2</w:t>
            </w:r>
          </w:p>
        </w:tc>
        <w:tc>
          <w:tcPr>
            <w:tcW w:w="686" w:type="dxa"/>
            <w:tcBorders>
              <w:top w:val="single" w:color="000000" w:sz="4" w:space="0"/>
              <w:left w:val="single" w:color="000000" w:sz="4" w:space="0"/>
              <w:bottom w:val="single" w:color="000000" w:sz="4" w:space="0"/>
              <w:right w:val="single" w:color="000000" w:sz="4" w:space="0"/>
            </w:tcBorders>
            <w:vAlign w:val="center"/>
          </w:tcPr>
          <w:p w14:paraId="00466704">
            <w:pPr>
              <w:pStyle w:val="98"/>
              <w:ind w:left="-105" w:right="-105"/>
              <w:rPr>
                <w:rFonts w:eastAsia="宋体"/>
                <w:color w:val="auto"/>
                <w:sz w:val="21"/>
                <w:szCs w:val="21"/>
                <w:highlight w:val="none"/>
              </w:rPr>
            </w:pPr>
            <w:r>
              <w:rPr>
                <w:rFonts w:eastAsia="宋体"/>
                <w:color w:val="auto"/>
                <w:sz w:val="21"/>
                <w:szCs w:val="21"/>
                <w:highlight w:val="none"/>
              </w:rPr>
              <w:t>2.4</w:t>
            </w:r>
          </w:p>
        </w:tc>
        <w:tc>
          <w:tcPr>
            <w:tcW w:w="747" w:type="dxa"/>
            <w:tcBorders>
              <w:top w:val="single" w:color="000000" w:sz="4" w:space="0"/>
              <w:left w:val="single" w:color="000000" w:sz="4" w:space="0"/>
              <w:bottom w:val="single" w:color="000000" w:sz="4" w:space="0"/>
              <w:right w:val="single" w:color="000000" w:sz="4" w:space="0"/>
            </w:tcBorders>
            <w:vAlign w:val="center"/>
          </w:tcPr>
          <w:p w14:paraId="53751B53">
            <w:pPr>
              <w:pStyle w:val="98"/>
              <w:ind w:left="-105" w:right="-105"/>
              <w:rPr>
                <w:rFonts w:eastAsia="宋体"/>
                <w:color w:val="auto"/>
                <w:sz w:val="21"/>
                <w:szCs w:val="21"/>
                <w:highlight w:val="none"/>
              </w:rPr>
            </w:pPr>
            <w:r>
              <w:rPr>
                <w:rFonts w:eastAsia="宋体"/>
                <w:color w:val="auto"/>
                <w:sz w:val="21"/>
                <w:szCs w:val="21"/>
                <w:highlight w:val="none"/>
              </w:rPr>
              <w:t>7.6</w:t>
            </w:r>
          </w:p>
        </w:tc>
        <w:tc>
          <w:tcPr>
            <w:tcW w:w="686" w:type="dxa"/>
            <w:tcBorders>
              <w:top w:val="single" w:color="000000" w:sz="4" w:space="0"/>
              <w:left w:val="single" w:color="000000" w:sz="4" w:space="0"/>
              <w:bottom w:val="single" w:color="000000" w:sz="4" w:space="0"/>
              <w:right w:val="single" w:color="000000" w:sz="4" w:space="0"/>
            </w:tcBorders>
            <w:vAlign w:val="center"/>
          </w:tcPr>
          <w:p w14:paraId="52E05F3A">
            <w:pPr>
              <w:pStyle w:val="98"/>
              <w:ind w:left="-105" w:right="-105"/>
              <w:rPr>
                <w:rFonts w:eastAsia="宋体"/>
                <w:color w:val="auto"/>
                <w:sz w:val="21"/>
                <w:szCs w:val="21"/>
                <w:highlight w:val="none"/>
              </w:rPr>
            </w:pPr>
            <w:r>
              <w:rPr>
                <w:rFonts w:eastAsia="宋体"/>
                <w:color w:val="auto"/>
                <w:sz w:val="21"/>
                <w:szCs w:val="21"/>
                <w:highlight w:val="none"/>
              </w:rPr>
              <w:t>10</w:t>
            </w:r>
          </w:p>
        </w:tc>
        <w:tc>
          <w:tcPr>
            <w:tcW w:w="700" w:type="dxa"/>
            <w:tcBorders>
              <w:top w:val="single" w:color="000000" w:sz="4" w:space="0"/>
              <w:left w:val="single" w:color="000000" w:sz="4" w:space="0"/>
              <w:bottom w:val="single" w:color="000000" w:sz="4" w:space="0"/>
              <w:right w:val="single" w:color="000000" w:sz="4" w:space="0"/>
            </w:tcBorders>
            <w:vAlign w:val="center"/>
          </w:tcPr>
          <w:p w14:paraId="26F4C875">
            <w:pPr>
              <w:pStyle w:val="98"/>
              <w:ind w:left="-105" w:right="-105"/>
              <w:rPr>
                <w:rFonts w:eastAsia="宋体"/>
                <w:color w:val="auto"/>
                <w:sz w:val="21"/>
                <w:szCs w:val="21"/>
                <w:highlight w:val="none"/>
              </w:rPr>
            </w:pPr>
            <w:r>
              <w:rPr>
                <w:rFonts w:eastAsia="宋体"/>
                <w:color w:val="auto"/>
                <w:sz w:val="21"/>
                <w:szCs w:val="21"/>
                <w:highlight w:val="none"/>
              </w:rPr>
              <w:t>6.6</w:t>
            </w:r>
          </w:p>
        </w:tc>
        <w:tc>
          <w:tcPr>
            <w:tcW w:w="686" w:type="dxa"/>
            <w:tcBorders>
              <w:top w:val="single" w:color="000000" w:sz="4" w:space="0"/>
              <w:left w:val="single" w:color="000000" w:sz="4" w:space="0"/>
              <w:bottom w:val="single" w:color="000000" w:sz="4" w:space="0"/>
              <w:right w:val="single" w:color="000000" w:sz="4" w:space="0"/>
            </w:tcBorders>
            <w:vAlign w:val="center"/>
          </w:tcPr>
          <w:p w14:paraId="711A2D03">
            <w:pPr>
              <w:pStyle w:val="98"/>
              <w:ind w:left="-105" w:right="-105"/>
              <w:rPr>
                <w:rFonts w:eastAsia="宋体"/>
                <w:color w:val="auto"/>
                <w:sz w:val="21"/>
                <w:szCs w:val="21"/>
                <w:highlight w:val="none"/>
              </w:rPr>
            </w:pPr>
            <w:r>
              <w:rPr>
                <w:rFonts w:eastAsia="宋体"/>
                <w:color w:val="auto"/>
                <w:sz w:val="21"/>
                <w:szCs w:val="21"/>
                <w:highlight w:val="none"/>
              </w:rPr>
              <w:t>12.6</w:t>
            </w:r>
          </w:p>
        </w:tc>
        <w:tc>
          <w:tcPr>
            <w:tcW w:w="693" w:type="dxa"/>
            <w:tcBorders>
              <w:top w:val="single" w:color="000000" w:sz="4" w:space="0"/>
              <w:left w:val="single" w:color="000000" w:sz="4" w:space="0"/>
              <w:bottom w:val="single" w:color="000000" w:sz="4" w:space="0"/>
              <w:right w:val="nil"/>
            </w:tcBorders>
            <w:vAlign w:val="center"/>
          </w:tcPr>
          <w:p w14:paraId="0F03C222">
            <w:pPr>
              <w:pStyle w:val="98"/>
              <w:ind w:left="-105" w:right="-105"/>
              <w:rPr>
                <w:rFonts w:eastAsia="宋体"/>
                <w:color w:val="auto"/>
                <w:sz w:val="21"/>
                <w:szCs w:val="21"/>
                <w:highlight w:val="none"/>
              </w:rPr>
            </w:pPr>
            <w:r>
              <w:rPr>
                <w:rFonts w:eastAsia="宋体"/>
                <w:color w:val="auto"/>
                <w:sz w:val="21"/>
                <w:szCs w:val="21"/>
                <w:highlight w:val="none"/>
              </w:rPr>
              <w:t>/</w:t>
            </w:r>
          </w:p>
        </w:tc>
      </w:tr>
      <w:tr w14:paraId="6F89A5C9">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108" w:type="dxa"/>
            <w:bottom w:w="0" w:type="dxa"/>
            <w:right w:w="108" w:type="dxa"/>
          </w:tblCellMar>
        </w:tblPrEx>
        <w:trPr>
          <w:gridAfter w:val="1"/>
          <w:wAfter w:w="21" w:type="dxa"/>
          <w:trHeight w:val="232" w:hRule="atLeast"/>
          <w:jc w:val="center"/>
        </w:trPr>
        <w:tc>
          <w:tcPr>
            <w:tcW w:w="688" w:type="dxa"/>
            <w:vMerge w:val="continue"/>
            <w:tcBorders>
              <w:top w:val="nil"/>
              <w:left w:val="nil"/>
              <w:bottom w:val="single" w:color="000000" w:sz="4" w:space="0"/>
              <w:right w:val="single" w:color="000000" w:sz="4" w:space="0"/>
            </w:tcBorders>
            <w:vAlign w:val="center"/>
          </w:tcPr>
          <w:p w14:paraId="7CD243A1">
            <w:pPr>
              <w:ind w:left="-105" w:right="-105"/>
              <w:jc w:val="center"/>
              <w:rPr>
                <w:rFonts w:ascii="Times New Roman" w:hAnsi="Times New Roman"/>
                <w:color w:val="auto"/>
                <w:sz w:val="21"/>
                <w:szCs w:val="21"/>
                <w:highlight w:val="none"/>
              </w:rPr>
            </w:pPr>
          </w:p>
        </w:tc>
        <w:tc>
          <w:tcPr>
            <w:tcW w:w="687" w:type="dxa"/>
            <w:tcBorders>
              <w:top w:val="single" w:color="000000" w:sz="4" w:space="0"/>
              <w:left w:val="single" w:color="000000" w:sz="4" w:space="0"/>
              <w:bottom w:val="single" w:color="000000" w:sz="4" w:space="0"/>
              <w:right w:val="single" w:color="000000" w:sz="4" w:space="0"/>
            </w:tcBorders>
            <w:vAlign w:val="center"/>
          </w:tcPr>
          <w:p w14:paraId="4C73FD14">
            <w:pPr>
              <w:pStyle w:val="98"/>
              <w:ind w:left="-105" w:right="-105"/>
              <w:rPr>
                <w:rFonts w:eastAsia="宋体"/>
                <w:color w:val="auto"/>
                <w:sz w:val="21"/>
                <w:szCs w:val="21"/>
                <w:highlight w:val="none"/>
              </w:rPr>
            </w:pPr>
            <w:r>
              <w:rPr>
                <w:rFonts w:eastAsia="宋体"/>
                <w:color w:val="auto"/>
                <w:sz w:val="21"/>
                <w:szCs w:val="21"/>
                <w:highlight w:val="none"/>
              </w:rPr>
              <w:t>风速</w:t>
            </w:r>
          </w:p>
        </w:tc>
        <w:tc>
          <w:tcPr>
            <w:tcW w:w="687" w:type="dxa"/>
            <w:tcBorders>
              <w:top w:val="single" w:color="000000" w:sz="4" w:space="0"/>
              <w:left w:val="single" w:color="000000" w:sz="4" w:space="0"/>
              <w:bottom w:val="single" w:color="000000" w:sz="4" w:space="0"/>
              <w:right w:val="single" w:color="000000" w:sz="4" w:space="0"/>
            </w:tcBorders>
            <w:vAlign w:val="center"/>
          </w:tcPr>
          <w:p w14:paraId="6048A72D">
            <w:pPr>
              <w:pStyle w:val="98"/>
              <w:ind w:left="-105" w:right="-105"/>
              <w:rPr>
                <w:rFonts w:eastAsia="宋体"/>
                <w:color w:val="auto"/>
                <w:sz w:val="21"/>
                <w:szCs w:val="21"/>
                <w:highlight w:val="none"/>
              </w:rPr>
            </w:pPr>
            <w:r>
              <w:rPr>
                <w:rFonts w:eastAsia="宋体"/>
                <w:color w:val="auto"/>
                <w:sz w:val="21"/>
                <w:szCs w:val="21"/>
                <w:highlight w:val="none"/>
              </w:rPr>
              <w:t>2.5</w:t>
            </w:r>
          </w:p>
        </w:tc>
        <w:tc>
          <w:tcPr>
            <w:tcW w:w="687" w:type="dxa"/>
            <w:tcBorders>
              <w:top w:val="single" w:color="000000" w:sz="4" w:space="0"/>
              <w:left w:val="single" w:color="000000" w:sz="4" w:space="0"/>
              <w:bottom w:val="single" w:color="000000" w:sz="4" w:space="0"/>
              <w:right w:val="single" w:color="000000" w:sz="4" w:space="0"/>
            </w:tcBorders>
            <w:vAlign w:val="center"/>
          </w:tcPr>
          <w:p w14:paraId="0E32B55D">
            <w:pPr>
              <w:pStyle w:val="98"/>
              <w:ind w:left="-105" w:right="-105"/>
              <w:rPr>
                <w:rFonts w:eastAsia="宋体"/>
                <w:color w:val="auto"/>
                <w:sz w:val="21"/>
                <w:szCs w:val="21"/>
                <w:highlight w:val="none"/>
              </w:rPr>
            </w:pPr>
            <w:r>
              <w:rPr>
                <w:rFonts w:eastAsia="宋体"/>
                <w:color w:val="auto"/>
                <w:sz w:val="21"/>
                <w:szCs w:val="21"/>
                <w:highlight w:val="none"/>
              </w:rPr>
              <w:t>2.8</w:t>
            </w:r>
          </w:p>
        </w:tc>
        <w:tc>
          <w:tcPr>
            <w:tcW w:w="687" w:type="dxa"/>
            <w:tcBorders>
              <w:top w:val="single" w:color="000000" w:sz="4" w:space="0"/>
              <w:left w:val="single" w:color="000000" w:sz="4" w:space="0"/>
              <w:bottom w:val="single" w:color="000000" w:sz="4" w:space="0"/>
              <w:right w:val="single" w:color="000000" w:sz="4" w:space="0"/>
            </w:tcBorders>
            <w:vAlign w:val="center"/>
          </w:tcPr>
          <w:p w14:paraId="72E9F1F6">
            <w:pPr>
              <w:pStyle w:val="98"/>
              <w:ind w:left="-105" w:right="-105"/>
              <w:rPr>
                <w:rFonts w:eastAsia="宋体"/>
                <w:color w:val="auto"/>
                <w:sz w:val="21"/>
                <w:szCs w:val="21"/>
                <w:highlight w:val="none"/>
              </w:rPr>
            </w:pPr>
            <w:r>
              <w:rPr>
                <w:rFonts w:eastAsia="宋体"/>
                <w:color w:val="auto"/>
                <w:sz w:val="21"/>
                <w:szCs w:val="21"/>
                <w:highlight w:val="none"/>
              </w:rPr>
              <w:t>2.8</w:t>
            </w:r>
          </w:p>
        </w:tc>
        <w:tc>
          <w:tcPr>
            <w:tcW w:w="688" w:type="dxa"/>
            <w:tcBorders>
              <w:top w:val="single" w:color="000000" w:sz="4" w:space="0"/>
              <w:left w:val="single" w:color="000000" w:sz="4" w:space="0"/>
              <w:bottom w:val="single" w:color="000000" w:sz="4" w:space="0"/>
              <w:right w:val="single" w:color="000000" w:sz="4" w:space="0"/>
            </w:tcBorders>
            <w:vAlign w:val="center"/>
          </w:tcPr>
          <w:p w14:paraId="0A48F298">
            <w:pPr>
              <w:pStyle w:val="98"/>
              <w:ind w:left="-105" w:right="-105"/>
              <w:rPr>
                <w:rFonts w:eastAsia="宋体"/>
                <w:color w:val="auto"/>
                <w:sz w:val="21"/>
                <w:szCs w:val="21"/>
                <w:highlight w:val="none"/>
              </w:rPr>
            </w:pPr>
            <w:r>
              <w:rPr>
                <w:rFonts w:eastAsia="宋体"/>
                <w:color w:val="auto"/>
                <w:sz w:val="21"/>
                <w:szCs w:val="21"/>
                <w:highlight w:val="none"/>
              </w:rPr>
              <w:t>2.6</w:t>
            </w:r>
          </w:p>
        </w:tc>
        <w:tc>
          <w:tcPr>
            <w:tcW w:w="687" w:type="dxa"/>
            <w:tcBorders>
              <w:top w:val="single" w:color="000000" w:sz="4" w:space="0"/>
              <w:left w:val="single" w:color="000000" w:sz="4" w:space="0"/>
              <w:bottom w:val="single" w:color="000000" w:sz="4" w:space="0"/>
              <w:right w:val="single" w:color="000000" w:sz="4" w:space="0"/>
            </w:tcBorders>
            <w:vAlign w:val="center"/>
          </w:tcPr>
          <w:p w14:paraId="28765BF0">
            <w:pPr>
              <w:pStyle w:val="98"/>
              <w:ind w:left="-105" w:right="-105"/>
              <w:rPr>
                <w:rFonts w:eastAsia="宋体"/>
                <w:color w:val="auto"/>
                <w:sz w:val="21"/>
                <w:szCs w:val="21"/>
                <w:highlight w:val="none"/>
              </w:rPr>
            </w:pPr>
            <w:r>
              <w:rPr>
                <w:rFonts w:eastAsia="宋体"/>
                <w:color w:val="auto"/>
                <w:sz w:val="21"/>
                <w:szCs w:val="21"/>
                <w:highlight w:val="none"/>
              </w:rPr>
              <w:t>3.1</w:t>
            </w:r>
          </w:p>
        </w:tc>
        <w:tc>
          <w:tcPr>
            <w:tcW w:w="687" w:type="dxa"/>
            <w:tcBorders>
              <w:top w:val="single" w:color="000000" w:sz="4" w:space="0"/>
              <w:left w:val="single" w:color="000000" w:sz="4" w:space="0"/>
              <w:bottom w:val="single" w:color="000000" w:sz="4" w:space="0"/>
              <w:right w:val="single" w:color="000000" w:sz="4" w:space="0"/>
            </w:tcBorders>
            <w:vAlign w:val="center"/>
          </w:tcPr>
          <w:p w14:paraId="0461AD2E">
            <w:pPr>
              <w:pStyle w:val="98"/>
              <w:ind w:left="-105" w:right="-105"/>
              <w:rPr>
                <w:rFonts w:eastAsia="宋体"/>
                <w:color w:val="auto"/>
                <w:sz w:val="21"/>
                <w:szCs w:val="21"/>
                <w:highlight w:val="none"/>
              </w:rPr>
            </w:pPr>
            <w:r>
              <w:rPr>
                <w:rFonts w:eastAsia="宋体"/>
                <w:color w:val="auto"/>
                <w:sz w:val="21"/>
                <w:szCs w:val="21"/>
                <w:highlight w:val="none"/>
              </w:rPr>
              <w:t>2.8</w:t>
            </w:r>
          </w:p>
        </w:tc>
        <w:tc>
          <w:tcPr>
            <w:tcW w:w="687" w:type="dxa"/>
            <w:tcBorders>
              <w:top w:val="single" w:color="000000" w:sz="4" w:space="0"/>
              <w:left w:val="single" w:color="000000" w:sz="4" w:space="0"/>
              <w:bottom w:val="single" w:color="000000" w:sz="4" w:space="0"/>
              <w:right w:val="single" w:color="000000" w:sz="4" w:space="0"/>
            </w:tcBorders>
            <w:vAlign w:val="center"/>
          </w:tcPr>
          <w:p w14:paraId="551E201F">
            <w:pPr>
              <w:pStyle w:val="98"/>
              <w:ind w:left="-105" w:right="-105"/>
              <w:rPr>
                <w:rFonts w:eastAsia="宋体"/>
                <w:color w:val="auto"/>
                <w:sz w:val="21"/>
                <w:szCs w:val="21"/>
                <w:highlight w:val="none"/>
              </w:rPr>
            </w:pPr>
            <w:r>
              <w:rPr>
                <w:rFonts w:eastAsia="宋体"/>
                <w:color w:val="auto"/>
                <w:sz w:val="21"/>
                <w:szCs w:val="21"/>
                <w:highlight w:val="none"/>
              </w:rPr>
              <w:t>2.7</w:t>
            </w:r>
          </w:p>
        </w:tc>
        <w:tc>
          <w:tcPr>
            <w:tcW w:w="687" w:type="dxa"/>
            <w:tcBorders>
              <w:top w:val="single" w:color="000000" w:sz="4" w:space="0"/>
              <w:left w:val="single" w:color="000000" w:sz="4" w:space="0"/>
              <w:bottom w:val="single" w:color="000000" w:sz="4" w:space="0"/>
              <w:right w:val="single" w:color="000000" w:sz="4" w:space="0"/>
            </w:tcBorders>
            <w:vAlign w:val="center"/>
          </w:tcPr>
          <w:p w14:paraId="1A22763A">
            <w:pPr>
              <w:pStyle w:val="98"/>
              <w:ind w:left="-105" w:right="-105"/>
              <w:rPr>
                <w:rFonts w:eastAsia="宋体"/>
                <w:color w:val="auto"/>
                <w:sz w:val="21"/>
                <w:szCs w:val="21"/>
                <w:highlight w:val="none"/>
              </w:rPr>
            </w:pPr>
            <w:r>
              <w:rPr>
                <w:rFonts w:eastAsia="宋体"/>
                <w:color w:val="auto"/>
                <w:sz w:val="21"/>
                <w:szCs w:val="21"/>
                <w:highlight w:val="none"/>
              </w:rPr>
              <w:t>2.4</w:t>
            </w:r>
          </w:p>
        </w:tc>
        <w:tc>
          <w:tcPr>
            <w:tcW w:w="687" w:type="dxa"/>
            <w:tcBorders>
              <w:top w:val="single" w:color="000000" w:sz="4" w:space="0"/>
              <w:left w:val="single" w:color="000000" w:sz="4" w:space="0"/>
              <w:bottom w:val="single" w:color="000000" w:sz="4" w:space="0"/>
              <w:right w:val="single" w:color="000000" w:sz="4" w:space="0"/>
            </w:tcBorders>
            <w:vAlign w:val="center"/>
          </w:tcPr>
          <w:p w14:paraId="13234A2C">
            <w:pPr>
              <w:pStyle w:val="98"/>
              <w:ind w:left="-105" w:right="-105"/>
              <w:rPr>
                <w:rFonts w:eastAsia="宋体"/>
                <w:color w:val="auto"/>
                <w:sz w:val="21"/>
                <w:szCs w:val="21"/>
                <w:highlight w:val="none"/>
              </w:rPr>
            </w:pPr>
            <w:r>
              <w:rPr>
                <w:rFonts w:eastAsia="宋体"/>
                <w:color w:val="auto"/>
                <w:sz w:val="21"/>
                <w:szCs w:val="21"/>
                <w:highlight w:val="none"/>
              </w:rPr>
              <w:t>1.9</w:t>
            </w:r>
          </w:p>
        </w:tc>
        <w:tc>
          <w:tcPr>
            <w:tcW w:w="687" w:type="dxa"/>
            <w:tcBorders>
              <w:top w:val="single" w:color="000000" w:sz="4" w:space="0"/>
              <w:left w:val="single" w:color="000000" w:sz="4" w:space="0"/>
              <w:bottom w:val="single" w:color="000000" w:sz="4" w:space="0"/>
              <w:right w:val="single" w:color="000000" w:sz="4" w:space="0"/>
            </w:tcBorders>
            <w:vAlign w:val="center"/>
          </w:tcPr>
          <w:p w14:paraId="2FD7FEA6">
            <w:pPr>
              <w:pStyle w:val="98"/>
              <w:ind w:left="-105" w:right="-105"/>
              <w:rPr>
                <w:rFonts w:eastAsia="宋体"/>
                <w:color w:val="auto"/>
                <w:sz w:val="21"/>
                <w:szCs w:val="21"/>
                <w:highlight w:val="none"/>
              </w:rPr>
            </w:pPr>
            <w:r>
              <w:rPr>
                <w:rFonts w:eastAsia="宋体"/>
                <w:color w:val="auto"/>
                <w:sz w:val="21"/>
                <w:szCs w:val="21"/>
                <w:highlight w:val="none"/>
              </w:rPr>
              <w:t>1</w:t>
            </w:r>
          </w:p>
        </w:tc>
        <w:tc>
          <w:tcPr>
            <w:tcW w:w="684" w:type="dxa"/>
            <w:tcBorders>
              <w:top w:val="single" w:color="000000" w:sz="4" w:space="0"/>
              <w:left w:val="single" w:color="000000" w:sz="4" w:space="0"/>
              <w:bottom w:val="single" w:color="000000" w:sz="4" w:space="0"/>
              <w:right w:val="single" w:color="000000" w:sz="4" w:space="0"/>
            </w:tcBorders>
            <w:vAlign w:val="center"/>
          </w:tcPr>
          <w:p w14:paraId="14BB9A58">
            <w:pPr>
              <w:pStyle w:val="98"/>
              <w:ind w:left="-105" w:right="-105"/>
              <w:rPr>
                <w:rFonts w:eastAsia="宋体"/>
                <w:color w:val="auto"/>
                <w:sz w:val="21"/>
                <w:szCs w:val="21"/>
                <w:highlight w:val="none"/>
              </w:rPr>
            </w:pPr>
            <w:r>
              <w:rPr>
                <w:rFonts w:eastAsia="宋体"/>
                <w:color w:val="auto"/>
                <w:sz w:val="21"/>
                <w:szCs w:val="21"/>
                <w:highlight w:val="none"/>
              </w:rPr>
              <w:t>1.3</w:t>
            </w:r>
          </w:p>
        </w:tc>
        <w:tc>
          <w:tcPr>
            <w:tcW w:w="714" w:type="dxa"/>
            <w:tcBorders>
              <w:top w:val="single" w:color="000000" w:sz="4" w:space="0"/>
              <w:left w:val="single" w:color="000000" w:sz="4" w:space="0"/>
              <w:bottom w:val="single" w:color="000000" w:sz="4" w:space="0"/>
              <w:right w:val="single" w:color="000000" w:sz="4" w:space="0"/>
            </w:tcBorders>
            <w:vAlign w:val="center"/>
          </w:tcPr>
          <w:p w14:paraId="1B03A109">
            <w:pPr>
              <w:pStyle w:val="98"/>
              <w:ind w:left="-105" w:right="-105"/>
              <w:rPr>
                <w:rFonts w:eastAsia="宋体"/>
                <w:color w:val="auto"/>
                <w:sz w:val="21"/>
                <w:szCs w:val="21"/>
                <w:highlight w:val="none"/>
              </w:rPr>
            </w:pPr>
            <w:r>
              <w:rPr>
                <w:rFonts w:eastAsia="宋体"/>
                <w:color w:val="auto"/>
                <w:sz w:val="21"/>
                <w:szCs w:val="21"/>
                <w:highlight w:val="none"/>
              </w:rPr>
              <w:t>1.5</w:t>
            </w:r>
          </w:p>
        </w:tc>
        <w:tc>
          <w:tcPr>
            <w:tcW w:w="686" w:type="dxa"/>
            <w:tcBorders>
              <w:top w:val="single" w:color="000000" w:sz="4" w:space="0"/>
              <w:left w:val="single" w:color="000000" w:sz="4" w:space="0"/>
              <w:bottom w:val="single" w:color="000000" w:sz="4" w:space="0"/>
              <w:right w:val="single" w:color="000000" w:sz="4" w:space="0"/>
            </w:tcBorders>
            <w:vAlign w:val="center"/>
          </w:tcPr>
          <w:p w14:paraId="7849DF95">
            <w:pPr>
              <w:pStyle w:val="98"/>
              <w:ind w:left="-105" w:right="-105"/>
              <w:rPr>
                <w:rFonts w:eastAsia="宋体"/>
                <w:color w:val="auto"/>
                <w:sz w:val="21"/>
                <w:szCs w:val="21"/>
                <w:highlight w:val="none"/>
              </w:rPr>
            </w:pPr>
            <w:r>
              <w:rPr>
                <w:rFonts w:eastAsia="宋体"/>
                <w:color w:val="auto"/>
                <w:sz w:val="21"/>
                <w:szCs w:val="21"/>
                <w:highlight w:val="none"/>
              </w:rPr>
              <w:t>4.4</w:t>
            </w:r>
          </w:p>
        </w:tc>
        <w:tc>
          <w:tcPr>
            <w:tcW w:w="747" w:type="dxa"/>
            <w:tcBorders>
              <w:top w:val="single" w:color="000000" w:sz="4" w:space="0"/>
              <w:left w:val="single" w:color="000000" w:sz="4" w:space="0"/>
              <w:bottom w:val="single" w:color="000000" w:sz="4" w:space="0"/>
              <w:right w:val="single" w:color="000000" w:sz="4" w:space="0"/>
            </w:tcBorders>
            <w:vAlign w:val="center"/>
          </w:tcPr>
          <w:p w14:paraId="775EB308">
            <w:pPr>
              <w:pStyle w:val="98"/>
              <w:ind w:left="-105" w:right="-105"/>
              <w:rPr>
                <w:rFonts w:eastAsia="宋体"/>
                <w:color w:val="auto"/>
                <w:sz w:val="21"/>
                <w:szCs w:val="21"/>
                <w:highlight w:val="none"/>
              </w:rPr>
            </w:pPr>
            <w:r>
              <w:rPr>
                <w:rFonts w:eastAsia="宋体"/>
                <w:color w:val="auto"/>
                <w:sz w:val="21"/>
                <w:szCs w:val="21"/>
                <w:highlight w:val="none"/>
              </w:rPr>
              <w:t>3.5</w:t>
            </w:r>
          </w:p>
        </w:tc>
        <w:tc>
          <w:tcPr>
            <w:tcW w:w="686" w:type="dxa"/>
            <w:tcBorders>
              <w:top w:val="single" w:color="000000" w:sz="4" w:space="0"/>
              <w:left w:val="single" w:color="000000" w:sz="4" w:space="0"/>
              <w:bottom w:val="single" w:color="000000" w:sz="4" w:space="0"/>
              <w:right w:val="single" w:color="000000" w:sz="4" w:space="0"/>
            </w:tcBorders>
            <w:vAlign w:val="center"/>
          </w:tcPr>
          <w:p w14:paraId="5CDE162A">
            <w:pPr>
              <w:pStyle w:val="98"/>
              <w:ind w:left="-105" w:right="-105"/>
              <w:rPr>
                <w:rFonts w:eastAsia="宋体"/>
                <w:color w:val="auto"/>
                <w:sz w:val="21"/>
                <w:szCs w:val="21"/>
                <w:highlight w:val="none"/>
              </w:rPr>
            </w:pPr>
            <w:r>
              <w:rPr>
                <w:rFonts w:eastAsia="宋体"/>
                <w:color w:val="auto"/>
                <w:sz w:val="21"/>
                <w:szCs w:val="21"/>
                <w:highlight w:val="none"/>
              </w:rPr>
              <w:t>2.6</w:t>
            </w:r>
          </w:p>
        </w:tc>
        <w:tc>
          <w:tcPr>
            <w:tcW w:w="700" w:type="dxa"/>
            <w:tcBorders>
              <w:top w:val="single" w:color="000000" w:sz="4" w:space="0"/>
              <w:left w:val="single" w:color="000000" w:sz="4" w:space="0"/>
              <w:bottom w:val="single" w:color="000000" w:sz="4" w:space="0"/>
              <w:right w:val="single" w:color="000000" w:sz="4" w:space="0"/>
            </w:tcBorders>
            <w:vAlign w:val="center"/>
          </w:tcPr>
          <w:p w14:paraId="6BDF01EA">
            <w:pPr>
              <w:pStyle w:val="98"/>
              <w:ind w:left="-105" w:right="-105"/>
              <w:rPr>
                <w:rFonts w:eastAsia="宋体"/>
                <w:color w:val="auto"/>
                <w:sz w:val="21"/>
                <w:szCs w:val="21"/>
                <w:highlight w:val="none"/>
              </w:rPr>
            </w:pPr>
            <w:r>
              <w:rPr>
                <w:rFonts w:eastAsia="宋体"/>
                <w:color w:val="auto"/>
                <w:sz w:val="21"/>
                <w:szCs w:val="21"/>
                <w:highlight w:val="none"/>
              </w:rPr>
              <w:t>2.2</w:t>
            </w:r>
          </w:p>
        </w:tc>
        <w:tc>
          <w:tcPr>
            <w:tcW w:w="686" w:type="dxa"/>
            <w:tcBorders>
              <w:top w:val="single" w:color="000000" w:sz="4" w:space="0"/>
              <w:left w:val="single" w:color="000000" w:sz="4" w:space="0"/>
              <w:bottom w:val="single" w:color="000000" w:sz="4" w:space="0"/>
              <w:right w:val="single" w:color="000000" w:sz="4" w:space="0"/>
            </w:tcBorders>
            <w:vAlign w:val="center"/>
          </w:tcPr>
          <w:p w14:paraId="07DF541D">
            <w:pPr>
              <w:pStyle w:val="98"/>
              <w:ind w:left="-105" w:right="-105"/>
              <w:rPr>
                <w:rFonts w:eastAsia="宋体"/>
                <w:color w:val="auto"/>
                <w:sz w:val="21"/>
                <w:szCs w:val="21"/>
                <w:highlight w:val="none"/>
              </w:rPr>
            </w:pPr>
            <w:r>
              <w:rPr>
                <w:rFonts w:eastAsia="宋体"/>
                <w:color w:val="auto"/>
                <w:sz w:val="21"/>
                <w:szCs w:val="21"/>
                <w:highlight w:val="none"/>
              </w:rPr>
              <w:t>/</w:t>
            </w:r>
          </w:p>
        </w:tc>
        <w:tc>
          <w:tcPr>
            <w:tcW w:w="693" w:type="dxa"/>
            <w:tcBorders>
              <w:top w:val="single" w:color="000000" w:sz="4" w:space="0"/>
              <w:left w:val="single" w:color="000000" w:sz="4" w:space="0"/>
              <w:bottom w:val="single" w:color="000000" w:sz="4" w:space="0"/>
              <w:right w:val="nil"/>
            </w:tcBorders>
            <w:vAlign w:val="center"/>
          </w:tcPr>
          <w:p w14:paraId="397163AE">
            <w:pPr>
              <w:pStyle w:val="98"/>
              <w:ind w:left="-105" w:right="-105"/>
              <w:rPr>
                <w:rFonts w:eastAsia="宋体"/>
                <w:color w:val="auto"/>
                <w:sz w:val="21"/>
                <w:szCs w:val="21"/>
                <w:highlight w:val="none"/>
              </w:rPr>
            </w:pPr>
            <w:r>
              <w:rPr>
                <w:rFonts w:eastAsia="宋体"/>
                <w:color w:val="auto"/>
                <w:sz w:val="21"/>
                <w:szCs w:val="21"/>
                <w:highlight w:val="none"/>
              </w:rPr>
              <w:t>2.51</w:t>
            </w:r>
          </w:p>
        </w:tc>
      </w:tr>
      <w:tr w14:paraId="03A5BBCE">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108" w:type="dxa"/>
            <w:bottom w:w="0" w:type="dxa"/>
            <w:right w:w="108" w:type="dxa"/>
          </w:tblCellMar>
        </w:tblPrEx>
        <w:trPr>
          <w:gridAfter w:val="1"/>
          <w:wAfter w:w="21" w:type="dxa"/>
          <w:trHeight w:val="232" w:hRule="atLeast"/>
          <w:jc w:val="center"/>
        </w:trPr>
        <w:tc>
          <w:tcPr>
            <w:tcW w:w="688" w:type="dxa"/>
            <w:vMerge w:val="restart"/>
            <w:tcBorders>
              <w:top w:val="single" w:color="000000" w:sz="4" w:space="0"/>
              <w:left w:val="nil"/>
              <w:bottom w:val="single" w:color="000000" w:sz="4" w:space="0"/>
              <w:right w:val="single" w:color="000000" w:sz="4" w:space="0"/>
            </w:tcBorders>
            <w:vAlign w:val="center"/>
          </w:tcPr>
          <w:p w14:paraId="0949E782">
            <w:pPr>
              <w:pStyle w:val="98"/>
              <w:ind w:left="-105" w:right="-105"/>
              <w:rPr>
                <w:rFonts w:eastAsia="宋体"/>
                <w:color w:val="auto"/>
                <w:sz w:val="21"/>
                <w:szCs w:val="21"/>
                <w:highlight w:val="none"/>
              </w:rPr>
            </w:pPr>
            <w:r>
              <w:rPr>
                <w:rFonts w:eastAsia="宋体"/>
                <w:color w:val="auto"/>
                <w:sz w:val="21"/>
                <w:szCs w:val="21"/>
                <w:highlight w:val="none"/>
              </w:rPr>
              <w:t>11月</w:t>
            </w:r>
          </w:p>
        </w:tc>
        <w:tc>
          <w:tcPr>
            <w:tcW w:w="687" w:type="dxa"/>
            <w:tcBorders>
              <w:top w:val="single" w:color="000000" w:sz="4" w:space="0"/>
              <w:left w:val="single" w:color="000000" w:sz="4" w:space="0"/>
              <w:bottom w:val="single" w:color="000000" w:sz="4" w:space="0"/>
              <w:right w:val="single" w:color="000000" w:sz="4" w:space="0"/>
            </w:tcBorders>
            <w:vAlign w:val="center"/>
          </w:tcPr>
          <w:p w14:paraId="66330A82">
            <w:pPr>
              <w:pStyle w:val="98"/>
              <w:ind w:left="-105" w:right="-105"/>
              <w:rPr>
                <w:rFonts w:eastAsia="宋体"/>
                <w:color w:val="auto"/>
                <w:sz w:val="21"/>
                <w:szCs w:val="21"/>
                <w:highlight w:val="none"/>
              </w:rPr>
            </w:pPr>
            <w:r>
              <w:rPr>
                <w:rFonts w:eastAsia="宋体"/>
                <w:color w:val="auto"/>
                <w:sz w:val="21"/>
                <w:szCs w:val="21"/>
                <w:highlight w:val="none"/>
              </w:rPr>
              <w:t>频率</w:t>
            </w:r>
          </w:p>
        </w:tc>
        <w:tc>
          <w:tcPr>
            <w:tcW w:w="687" w:type="dxa"/>
            <w:tcBorders>
              <w:top w:val="single" w:color="000000" w:sz="4" w:space="0"/>
              <w:left w:val="single" w:color="000000" w:sz="4" w:space="0"/>
              <w:bottom w:val="single" w:color="000000" w:sz="4" w:space="0"/>
              <w:right w:val="single" w:color="000000" w:sz="4" w:space="0"/>
            </w:tcBorders>
            <w:vAlign w:val="center"/>
          </w:tcPr>
          <w:p w14:paraId="447B3AC1">
            <w:pPr>
              <w:pStyle w:val="98"/>
              <w:ind w:left="-105" w:right="-105"/>
              <w:rPr>
                <w:rFonts w:eastAsia="宋体"/>
                <w:color w:val="auto"/>
                <w:sz w:val="21"/>
                <w:szCs w:val="21"/>
                <w:highlight w:val="none"/>
              </w:rPr>
            </w:pPr>
            <w:r>
              <w:rPr>
                <w:rFonts w:eastAsia="宋体"/>
                <w:color w:val="auto"/>
                <w:sz w:val="21"/>
                <w:szCs w:val="21"/>
                <w:highlight w:val="none"/>
              </w:rPr>
              <w:t>8.2</w:t>
            </w:r>
          </w:p>
        </w:tc>
        <w:tc>
          <w:tcPr>
            <w:tcW w:w="687" w:type="dxa"/>
            <w:tcBorders>
              <w:top w:val="single" w:color="000000" w:sz="4" w:space="0"/>
              <w:left w:val="single" w:color="000000" w:sz="4" w:space="0"/>
              <w:bottom w:val="single" w:color="000000" w:sz="4" w:space="0"/>
              <w:right w:val="single" w:color="000000" w:sz="4" w:space="0"/>
            </w:tcBorders>
            <w:vAlign w:val="center"/>
          </w:tcPr>
          <w:p w14:paraId="7C8B59D2">
            <w:pPr>
              <w:pStyle w:val="98"/>
              <w:ind w:left="-105" w:right="-105"/>
              <w:rPr>
                <w:rFonts w:eastAsia="宋体"/>
                <w:color w:val="auto"/>
                <w:sz w:val="21"/>
                <w:szCs w:val="21"/>
                <w:highlight w:val="none"/>
              </w:rPr>
            </w:pPr>
            <w:r>
              <w:rPr>
                <w:rFonts w:eastAsia="宋体"/>
                <w:color w:val="auto"/>
                <w:sz w:val="21"/>
                <w:szCs w:val="21"/>
                <w:highlight w:val="none"/>
              </w:rPr>
              <w:t>5.4</w:t>
            </w:r>
          </w:p>
        </w:tc>
        <w:tc>
          <w:tcPr>
            <w:tcW w:w="687" w:type="dxa"/>
            <w:tcBorders>
              <w:top w:val="single" w:color="000000" w:sz="4" w:space="0"/>
              <w:left w:val="single" w:color="000000" w:sz="4" w:space="0"/>
              <w:bottom w:val="single" w:color="000000" w:sz="4" w:space="0"/>
              <w:right w:val="single" w:color="000000" w:sz="4" w:space="0"/>
            </w:tcBorders>
            <w:vAlign w:val="center"/>
          </w:tcPr>
          <w:p w14:paraId="18C4462A">
            <w:pPr>
              <w:pStyle w:val="98"/>
              <w:ind w:left="-105" w:right="-105"/>
              <w:rPr>
                <w:rFonts w:eastAsia="宋体"/>
                <w:color w:val="auto"/>
                <w:sz w:val="21"/>
                <w:szCs w:val="21"/>
                <w:highlight w:val="none"/>
              </w:rPr>
            </w:pPr>
            <w:r>
              <w:rPr>
                <w:rFonts w:eastAsia="宋体"/>
                <w:color w:val="auto"/>
                <w:sz w:val="21"/>
                <w:szCs w:val="21"/>
                <w:highlight w:val="none"/>
              </w:rPr>
              <w:t>5.4</w:t>
            </w:r>
          </w:p>
        </w:tc>
        <w:tc>
          <w:tcPr>
            <w:tcW w:w="688" w:type="dxa"/>
            <w:tcBorders>
              <w:top w:val="single" w:color="000000" w:sz="4" w:space="0"/>
              <w:left w:val="single" w:color="000000" w:sz="4" w:space="0"/>
              <w:bottom w:val="single" w:color="000000" w:sz="4" w:space="0"/>
              <w:right w:val="single" w:color="000000" w:sz="4" w:space="0"/>
            </w:tcBorders>
            <w:vAlign w:val="center"/>
          </w:tcPr>
          <w:p w14:paraId="1A975CFE">
            <w:pPr>
              <w:pStyle w:val="98"/>
              <w:ind w:left="-105" w:right="-105"/>
              <w:rPr>
                <w:rFonts w:eastAsia="宋体"/>
                <w:color w:val="auto"/>
                <w:sz w:val="21"/>
                <w:szCs w:val="21"/>
                <w:highlight w:val="none"/>
              </w:rPr>
            </w:pPr>
            <w:r>
              <w:rPr>
                <w:rFonts w:eastAsia="宋体"/>
                <w:color w:val="auto"/>
                <w:sz w:val="21"/>
                <w:szCs w:val="21"/>
                <w:highlight w:val="none"/>
              </w:rPr>
              <w:t>5.6</w:t>
            </w:r>
          </w:p>
        </w:tc>
        <w:tc>
          <w:tcPr>
            <w:tcW w:w="687" w:type="dxa"/>
            <w:tcBorders>
              <w:top w:val="single" w:color="000000" w:sz="4" w:space="0"/>
              <w:left w:val="single" w:color="000000" w:sz="4" w:space="0"/>
              <w:bottom w:val="single" w:color="000000" w:sz="4" w:space="0"/>
              <w:right w:val="single" w:color="000000" w:sz="4" w:space="0"/>
            </w:tcBorders>
            <w:vAlign w:val="center"/>
          </w:tcPr>
          <w:p w14:paraId="6D67DEB1">
            <w:pPr>
              <w:pStyle w:val="98"/>
              <w:ind w:left="-105" w:right="-105"/>
              <w:rPr>
                <w:rFonts w:eastAsia="宋体"/>
                <w:color w:val="auto"/>
                <w:sz w:val="21"/>
                <w:szCs w:val="21"/>
                <w:highlight w:val="none"/>
              </w:rPr>
            </w:pPr>
            <w:r>
              <w:rPr>
                <w:rFonts w:eastAsia="宋体"/>
                <w:color w:val="auto"/>
                <w:sz w:val="21"/>
                <w:szCs w:val="21"/>
                <w:highlight w:val="none"/>
              </w:rPr>
              <w:t>4</w:t>
            </w:r>
          </w:p>
        </w:tc>
        <w:tc>
          <w:tcPr>
            <w:tcW w:w="687" w:type="dxa"/>
            <w:tcBorders>
              <w:top w:val="single" w:color="000000" w:sz="4" w:space="0"/>
              <w:left w:val="single" w:color="000000" w:sz="4" w:space="0"/>
              <w:bottom w:val="single" w:color="000000" w:sz="4" w:space="0"/>
              <w:right w:val="single" w:color="000000" w:sz="4" w:space="0"/>
            </w:tcBorders>
            <w:vAlign w:val="center"/>
          </w:tcPr>
          <w:p w14:paraId="6C5F4652">
            <w:pPr>
              <w:pStyle w:val="98"/>
              <w:ind w:left="-105" w:right="-105"/>
              <w:rPr>
                <w:rFonts w:eastAsia="宋体"/>
                <w:color w:val="auto"/>
                <w:sz w:val="21"/>
                <w:szCs w:val="21"/>
                <w:highlight w:val="none"/>
              </w:rPr>
            </w:pPr>
            <w:r>
              <w:rPr>
                <w:rFonts w:eastAsia="宋体"/>
                <w:color w:val="auto"/>
                <w:sz w:val="21"/>
                <w:szCs w:val="21"/>
                <w:highlight w:val="none"/>
              </w:rPr>
              <w:t>9.2</w:t>
            </w:r>
          </w:p>
        </w:tc>
        <w:tc>
          <w:tcPr>
            <w:tcW w:w="687" w:type="dxa"/>
            <w:tcBorders>
              <w:top w:val="single" w:color="000000" w:sz="4" w:space="0"/>
              <w:left w:val="single" w:color="000000" w:sz="4" w:space="0"/>
              <w:bottom w:val="single" w:color="000000" w:sz="4" w:space="0"/>
              <w:right w:val="single" w:color="000000" w:sz="4" w:space="0"/>
            </w:tcBorders>
            <w:vAlign w:val="center"/>
          </w:tcPr>
          <w:p w14:paraId="311FDA1A">
            <w:pPr>
              <w:pStyle w:val="98"/>
              <w:ind w:left="-105" w:right="-105"/>
              <w:rPr>
                <w:rFonts w:eastAsia="宋体"/>
                <w:color w:val="auto"/>
                <w:sz w:val="21"/>
                <w:szCs w:val="21"/>
                <w:highlight w:val="none"/>
              </w:rPr>
            </w:pPr>
            <w:r>
              <w:rPr>
                <w:rFonts w:eastAsia="宋体"/>
                <w:color w:val="auto"/>
                <w:sz w:val="21"/>
                <w:szCs w:val="21"/>
                <w:highlight w:val="none"/>
              </w:rPr>
              <w:t>8.2</w:t>
            </w:r>
          </w:p>
        </w:tc>
        <w:tc>
          <w:tcPr>
            <w:tcW w:w="687" w:type="dxa"/>
            <w:tcBorders>
              <w:top w:val="single" w:color="000000" w:sz="4" w:space="0"/>
              <w:left w:val="single" w:color="000000" w:sz="4" w:space="0"/>
              <w:bottom w:val="single" w:color="000000" w:sz="4" w:space="0"/>
              <w:right w:val="single" w:color="000000" w:sz="4" w:space="0"/>
            </w:tcBorders>
            <w:vAlign w:val="center"/>
          </w:tcPr>
          <w:p w14:paraId="77A08E19">
            <w:pPr>
              <w:pStyle w:val="98"/>
              <w:ind w:left="-105" w:right="-105"/>
              <w:rPr>
                <w:rFonts w:eastAsia="宋体"/>
                <w:color w:val="auto"/>
                <w:sz w:val="21"/>
                <w:szCs w:val="21"/>
                <w:highlight w:val="none"/>
              </w:rPr>
            </w:pPr>
            <w:r>
              <w:rPr>
                <w:rFonts w:eastAsia="宋体"/>
                <w:color w:val="auto"/>
                <w:sz w:val="21"/>
                <w:szCs w:val="21"/>
                <w:highlight w:val="none"/>
              </w:rPr>
              <w:t>3.6</w:t>
            </w:r>
          </w:p>
        </w:tc>
        <w:tc>
          <w:tcPr>
            <w:tcW w:w="687" w:type="dxa"/>
            <w:tcBorders>
              <w:top w:val="single" w:color="000000" w:sz="4" w:space="0"/>
              <w:left w:val="single" w:color="000000" w:sz="4" w:space="0"/>
              <w:bottom w:val="single" w:color="000000" w:sz="4" w:space="0"/>
              <w:right w:val="single" w:color="000000" w:sz="4" w:space="0"/>
            </w:tcBorders>
            <w:vAlign w:val="center"/>
          </w:tcPr>
          <w:p w14:paraId="198AAA8F">
            <w:pPr>
              <w:pStyle w:val="98"/>
              <w:ind w:left="-105" w:right="-105"/>
              <w:rPr>
                <w:rFonts w:eastAsia="宋体"/>
                <w:color w:val="auto"/>
                <w:sz w:val="21"/>
                <w:szCs w:val="21"/>
                <w:highlight w:val="none"/>
              </w:rPr>
            </w:pPr>
            <w:r>
              <w:rPr>
                <w:rFonts w:eastAsia="宋体"/>
                <w:color w:val="auto"/>
                <w:sz w:val="21"/>
                <w:szCs w:val="21"/>
                <w:highlight w:val="none"/>
              </w:rPr>
              <w:t>2.8</w:t>
            </w:r>
          </w:p>
        </w:tc>
        <w:tc>
          <w:tcPr>
            <w:tcW w:w="687" w:type="dxa"/>
            <w:tcBorders>
              <w:top w:val="single" w:color="000000" w:sz="4" w:space="0"/>
              <w:left w:val="single" w:color="000000" w:sz="4" w:space="0"/>
              <w:bottom w:val="single" w:color="000000" w:sz="4" w:space="0"/>
              <w:right w:val="single" w:color="000000" w:sz="4" w:space="0"/>
            </w:tcBorders>
            <w:vAlign w:val="center"/>
          </w:tcPr>
          <w:p w14:paraId="4BFBA86B">
            <w:pPr>
              <w:pStyle w:val="98"/>
              <w:ind w:left="-105" w:right="-105"/>
              <w:rPr>
                <w:rFonts w:eastAsia="宋体"/>
                <w:color w:val="auto"/>
                <w:sz w:val="21"/>
                <w:szCs w:val="21"/>
                <w:highlight w:val="none"/>
              </w:rPr>
            </w:pPr>
            <w:r>
              <w:rPr>
                <w:rFonts w:eastAsia="宋体"/>
                <w:color w:val="auto"/>
                <w:sz w:val="21"/>
                <w:szCs w:val="21"/>
                <w:highlight w:val="none"/>
              </w:rPr>
              <w:t>2.6</w:t>
            </w:r>
          </w:p>
        </w:tc>
        <w:tc>
          <w:tcPr>
            <w:tcW w:w="684" w:type="dxa"/>
            <w:tcBorders>
              <w:top w:val="single" w:color="000000" w:sz="4" w:space="0"/>
              <w:left w:val="single" w:color="000000" w:sz="4" w:space="0"/>
              <w:bottom w:val="single" w:color="000000" w:sz="4" w:space="0"/>
              <w:right w:val="single" w:color="000000" w:sz="4" w:space="0"/>
            </w:tcBorders>
            <w:vAlign w:val="center"/>
          </w:tcPr>
          <w:p w14:paraId="050BD7BE">
            <w:pPr>
              <w:pStyle w:val="98"/>
              <w:ind w:left="-105" w:right="-105"/>
              <w:rPr>
                <w:rFonts w:eastAsia="宋体"/>
                <w:color w:val="auto"/>
                <w:sz w:val="21"/>
                <w:szCs w:val="21"/>
                <w:highlight w:val="none"/>
              </w:rPr>
            </w:pPr>
            <w:r>
              <w:rPr>
                <w:rFonts w:eastAsia="宋体"/>
                <w:color w:val="auto"/>
                <w:sz w:val="21"/>
                <w:szCs w:val="21"/>
                <w:highlight w:val="none"/>
              </w:rPr>
              <w:t>2</w:t>
            </w:r>
          </w:p>
        </w:tc>
        <w:tc>
          <w:tcPr>
            <w:tcW w:w="714" w:type="dxa"/>
            <w:tcBorders>
              <w:top w:val="single" w:color="000000" w:sz="4" w:space="0"/>
              <w:left w:val="single" w:color="000000" w:sz="4" w:space="0"/>
              <w:bottom w:val="single" w:color="000000" w:sz="4" w:space="0"/>
              <w:right w:val="single" w:color="000000" w:sz="4" w:space="0"/>
            </w:tcBorders>
            <w:vAlign w:val="center"/>
          </w:tcPr>
          <w:p w14:paraId="27C493AC">
            <w:pPr>
              <w:pStyle w:val="98"/>
              <w:ind w:left="-105" w:right="-105"/>
              <w:rPr>
                <w:rFonts w:eastAsia="宋体"/>
                <w:color w:val="auto"/>
                <w:sz w:val="21"/>
                <w:szCs w:val="21"/>
                <w:highlight w:val="none"/>
              </w:rPr>
            </w:pPr>
            <w:r>
              <w:rPr>
                <w:rFonts w:eastAsia="宋体"/>
                <w:color w:val="auto"/>
                <w:sz w:val="21"/>
                <w:szCs w:val="21"/>
                <w:highlight w:val="none"/>
              </w:rPr>
              <w:t>0.8</w:t>
            </w:r>
          </w:p>
        </w:tc>
        <w:tc>
          <w:tcPr>
            <w:tcW w:w="686" w:type="dxa"/>
            <w:tcBorders>
              <w:top w:val="single" w:color="000000" w:sz="4" w:space="0"/>
              <w:left w:val="single" w:color="000000" w:sz="4" w:space="0"/>
              <w:bottom w:val="single" w:color="000000" w:sz="4" w:space="0"/>
              <w:right w:val="single" w:color="000000" w:sz="4" w:space="0"/>
            </w:tcBorders>
            <w:vAlign w:val="center"/>
          </w:tcPr>
          <w:p w14:paraId="57969AED">
            <w:pPr>
              <w:pStyle w:val="98"/>
              <w:ind w:left="-105" w:right="-105"/>
              <w:rPr>
                <w:rFonts w:eastAsia="宋体"/>
                <w:color w:val="auto"/>
                <w:sz w:val="21"/>
                <w:szCs w:val="21"/>
                <w:highlight w:val="none"/>
              </w:rPr>
            </w:pPr>
            <w:r>
              <w:rPr>
                <w:rFonts w:eastAsia="宋体"/>
                <w:color w:val="auto"/>
                <w:sz w:val="21"/>
                <w:szCs w:val="21"/>
                <w:highlight w:val="none"/>
              </w:rPr>
              <w:t>4.6</w:t>
            </w:r>
          </w:p>
        </w:tc>
        <w:tc>
          <w:tcPr>
            <w:tcW w:w="747" w:type="dxa"/>
            <w:tcBorders>
              <w:top w:val="single" w:color="000000" w:sz="4" w:space="0"/>
              <w:left w:val="single" w:color="000000" w:sz="4" w:space="0"/>
              <w:bottom w:val="single" w:color="000000" w:sz="4" w:space="0"/>
              <w:right w:val="single" w:color="000000" w:sz="4" w:space="0"/>
            </w:tcBorders>
            <w:vAlign w:val="center"/>
          </w:tcPr>
          <w:p w14:paraId="1514E8A3">
            <w:pPr>
              <w:pStyle w:val="98"/>
              <w:ind w:left="-105" w:right="-105"/>
              <w:rPr>
                <w:rFonts w:eastAsia="宋体"/>
                <w:color w:val="auto"/>
                <w:sz w:val="21"/>
                <w:szCs w:val="21"/>
                <w:highlight w:val="none"/>
              </w:rPr>
            </w:pPr>
            <w:r>
              <w:rPr>
                <w:rFonts w:eastAsia="宋体"/>
                <w:color w:val="auto"/>
                <w:sz w:val="21"/>
                <w:szCs w:val="21"/>
                <w:highlight w:val="none"/>
              </w:rPr>
              <w:t>10.2</w:t>
            </w:r>
          </w:p>
        </w:tc>
        <w:tc>
          <w:tcPr>
            <w:tcW w:w="686" w:type="dxa"/>
            <w:tcBorders>
              <w:top w:val="single" w:color="000000" w:sz="4" w:space="0"/>
              <w:left w:val="single" w:color="000000" w:sz="4" w:space="0"/>
              <w:bottom w:val="single" w:color="000000" w:sz="4" w:space="0"/>
              <w:right w:val="single" w:color="000000" w:sz="4" w:space="0"/>
            </w:tcBorders>
            <w:vAlign w:val="center"/>
          </w:tcPr>
          <w:p w14:paraId="5D5DE877">
            <w:pPr>
              <w:pStyle w:val="98"/>
              <w:ind w:left="-105" w:right="-105"/>
              <w:rPr>
                <w:rFonts w:eastAsia="宋体"/>
                <w:color w:val="auto"/>
                <w:sz w:val="21"/>
                <w:szCs w:val="21"/>
                <w:highlight w:val="none"/>
              </w:rPr>
            </w:pPr>
            <w:r>
              <w:rPr>
                <w:rFonts w:eastAsia="宋体"/>
                <w:color w:val="auto"/>
                <w:sz w:val="21"/>
                <w:szCs w:val="21"/>
                <w:highlight w:val="none"/>
              </w:rPr>
              <w:t>6</w:t>
            </w:r>
          </w:p>
        </w:tc>
        <w:tc>
          <w:tcPr>
            <w:tcW w:w="700" w:type="dxa"/>
            <w:tcBorders>
              <w:top w:val="single" w:color="000000" w:sz="4" w:space="0"/>
              <w:left w:val="single" w:color="000000" w:sz="4" w:space="0"/>
              <w:bottom w:val="single" w:color="000000" w:sz="4" w:space="0"/>
              <w:right w:val="single" w:color="000000" w:sz="4" w:space="0"/>
            </w:tcBorders>
            <w:vAlign w:val="center"/>
          </w:tcPr>
          <w:p w14:paraId="6E5AA1C8">
            <w:pPr>
              <w:pStyle w:val="98"/>
              <w:ind w:left="-105" w:right="-105"/>
              <w:rPr>
                <w:rFonts w:eastAsia="宋体"/>
                <w:color w:val="auto"/>
                <w:sz w:val="21"/>
                <w:szCs w:val="21"/>
                <w:highlight w:val="none"/>
              </w:rPr>
            </w:pPr>
            <w:r>
              <w:rPr>
                <w:rFonts w:eastAsia="宋体"/>
                <w:color w:val="auto"/>
                <w:sz w:val="21"/>
                <w:szCs w:val="21"/>
                <w:highlight w:val="none"/>
              </w:rPr>
              <w:t>5.8</w:t>
            </w:r>
          </w:p>
        </w:tc>
        <w:tc>
          <w:tcPr>
            <w:tcW w:w="686" w:type="dxa"/>
            <w:tcBorders>
              <w:top w:val="single" w:color="000000" w:sz="4" w:space="0"/>
              <w:left w:val="single" w:color="000000" w:sz="4" w:space="0"/>
              <w:bottom w:val="single" w:color="000000" w:sz="4" w:space="0"/>
              <w:right w:val="single" w:color="000000" w:sz="4" w:space="0"/>
            </w:tcBorders>
            <w:vAlign w:val="center"/>
          </w:tcPr>
          <w:p w14:paraId="7EFC2E9F">
            <w:pPr>
              <w:pStyle w:val="98"/>
              <w:ind w:left="-105" w:right="-105"/>
              <w:rPr>
                <w:rFonts w:eastAsia="宋体"/>
                <w:color w:val="auto"/>
                <w:sz w:val="21"/>
                <w:szCs w:val="21"/>
                <w:highlight w:val="none"/>
              </w:rPr>
            </w:pPr>
            <w:r>
              <w:rPr>
                <w:rFonts w:eastAsia="宋体"/>
                <w:color w:val="auto"/>
                <w:sz w:val="21"/>
                <w:szCs w:val="21"/>
                <w:highlight w:val="none"/>
              </w:rPr>
              <w:t>17.4</w:t>
            </w:r>
          </w:p>
        </w:tc>
        <w:tc>
          <w:tcPr>
            <w:tcW w:w="693" w:type="dxa"/>
            <w:tcBorders>
              <w:top w:val="single" w:color="000000" w:sz="4" w:space="0"/>
              <w:left w:val="single" w:color="000000" w:sz="4" w:space="0"/>
              <w:bottom w:val="single" w:color="000000" w:sz="4" w:space="0"/>
              <w:right w:val="nil"/>
            </w:tcBorders>
            <w:vAlign w:val="center"/>
          </w:tcPr>
          <w:p w14:paraId="670C103B">
            <w:pPr>
              <w:pStyle w:val="98"/>
              <w:ind w:left="-105" w:right="-105"/>
              <w:rPr>
                <w:rFonts w:eastAsia="宋体"/>
                <w:color w:val="auto"/>
                <w:sz w:val="21"/>
                <w:szCs w:val="21"/>
                <w:highlight w:val="none"/>
              </w:rPr>
            </w:pPr>
            <w:r>
              <w:rPr>
                <w:rFonts w:eastAsia="宋体"/>
                <w:color w:val="auto"/>
                <w:sz w:val="21"/>
                <w:szCs w:val="21"/>
                <w:highlight w:val="none"/>
              </w:rPr>
              <w:t>/</w:t>
            </w:r>
          </w:p>
        </w:tc>
      </w:tr>
      <w:tr w14:paraId="7714AF56">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108" w:type="dxa"/>
            <w:bottom w:w="0" w:type="dxa"/>
            <w:right w:w="108" w:type="dxa"/>
          </w:tblCellMar>
        </w:tblPrEx>
        <w:trPr>
          <w:gridAfter w:val="1"/>
          <w:wAfter w:w="21" w:type="dxa"/>
          <w:trHeight w:val="232" w:hRule="atLeast"/>
          <w:jc w:val="center"/>
        </w:trPr>
        <w:tc>
          <w:tcPr>
            <w:tcW w:w="688" w:type="dxa"/>
            <w:vMerge w:val="continue"/>
            <w:tcBorders>
              <w:top w:val="nil"/>
              <w:left w:val="nil"/>
              <w:bottom w:val="single" w:color="000000" w:sz="4" w:space="0"/>
              <w:right w:val="single" w:color="000000" w:sz="4" w:space="0"/>
            </w:tcBorders>
            <w:vAlign w:val="center"/>
          </w:tcPr>
          <w:p w14:paraId="10204ACC">
            <w:pPr>
              <w:ind w:left="-105" w:right="-105"/>
              <w:jc w:val="center"/>
              <w:rPr>
                <w:rFonts w:ascii="Times New Roman" w:hAnsi="Times New Roman"/>
                <w:color w:val="auto"/>
                <w:sz w:val="21"/>
                <w:szCs w:val="21"/>
                <w:highlight w:val="none"/>
              </w:rPr>
            </w:pPr>
          </w:p>
        </w:tc>
        <w:tc>
          <w:tcPr>
            <w:tcW w:w="687" w:type="dxa"/>
            <w:tcBorders>
              <w:top w:val="single" w:color="000000" w:sz="4" w:space="0"/>
              <w:left w:val="single" w:color="000000" w:sz="4" w:space="0"/>
              <w:bottom w:val="single" w:color="000000" w:sz="4" w:space="0"/>
              <w:right w:val="single" w:color="000000" w:sz="4" w:space="0"/>
            </w:tcBorders>
            <w:vAlign w:val="center"/>
          </w:tcPr>
          <w:p w14:paraId="7B404B1E">
            <w:pPr>
              <w:pStyle w:val="98"/>
              <w:ind w:left="-105" w:right="-105"/>
              <w:rPr>
                <w:rFonts w:eastAsia="宋体"/>
                <w:color w:val="auto"/>
                <w:sz w:val="21"/>
                <w:szCs w:val="21"/>
                <w:highlight w:val="none"/>
              </w:rPr>
            </w:pPr>
            <w:r>
              <w:rPr>
                <w:rFonts w:eastAsia="宋体"/>
                <w:color w:val="auto"/>
                <w:sz w:val="21"/>
                <w:szCs w:val="21"/>
                <w:highlight w:val="none"/>
              </w:rPr>
              <w:t>风速</w:t>
            </w:r>
          </w:p>
        </w:tc>
        <w:tc>
          <w:tcPr>
            <w:tcW w:w="687" w:type="dxa"/>
            <w:tcBorders>
              <w:top w:val="single" w:color="000000" w:sz="4" w:space="0"/>
              <w:left w:val="single" w:color="000000" w:sz="4" w:space="0"/>
              <w:bottom w:val="single" w:color="000000" w:sz="4" w:space="0"/>
              <w:right w:val="single" w:color="000000" w:sz="4" w:space="0"/>
            </w:tcBorders>
            <w:vAlign w:val="center"/>
          </w:tcPr>
          <w:p w14:paraId="50EC1608">
            <w:pPr>
              <w:pStyle w:val="98"/>
              <w:ind w:left="-105" w:right="-105"/>
              <w:rPr>
                <w:rFonts w:eastAsia="宋体"/>
                <w:color w:val="auto"/>
                <w:sz w:val="21"/>
                <w:szCs w:val="21"/>
                <w:highlight w:val="none"/>
              </w:rPr>
            </w:pPr>
            <w:r>
              <w:rPr>
                <w:rFonts w:eastAsia="宋体"/>
                <w:color w:val="auto"/>
                <w:sz w:val="21"/>
                <w:szCs w:val="21"/>
                <w:highlight w:val="none"/>
              </w:rPr>
              <w:t>3</w:t>
            </w:r>
          </w:p>
        </w:tc>
        <w:tc>
          <w:tcPr>
            <w:tcW w:w="687" w:type="dxa"/>
            <w:tcBorders>
              <w:top w:val="single" w:color="000000" w:sz="4" w:space="0"/>
              <w:left w:val="single" w:color="000000" w:sz="4" w:space="0"/>
              <w:bottom w:val="single" w:color="000000" w:sz="4" w:space="0"/>
              <w:right w:val="single" w:color="000000" w:sz="4" w:space="0"/>
            </w:tcBorders>
            <w:vAlign w:val="center"/>
          </w:tcPr>
          <w:p w14:paraId="4AFF5DAB">
            <w:pPr>
              <w:pStyle w:val="98"/>
              <w:ind w:left="-105" w:right="-105"/>
              <w:rPr>
                <w:rFonts w:eastAsia="宋体"/>
                <w:color w:val="auto"/>
                <w:sz w:val="21"/>
                <w:szCs w:val="21"/>
                <w:highlight w:val="none"/>
              </w:rPr>
            </w:pPr>
            <w:r>
              <w:rPr>
                <w:rFonts w:eastAsia="宋体"/>
                <w:color w:val="auto"/>
                <w:sz w:val="21"/>
                <w:szCs w:val="21"/>
                <w:highlight w:val="none"/>
              </w:rPr>
              <w:t>2.7</w:t>
            </w:r>
          </w:p>
        </w:tc>
        <w:tc>
          <w:tcPr>
            <w:tcW w:w="687" w:type="dxa"/>
            <w:tcBorders>
              <w:top w:val="single" w:color="000000" w:sz="4" w:space="0"/>
              <w:left w:val="single" w:color="000000" w:sz="4" w:space="0"/>
              <w:bottom w:val="single" w:color="000000" w:sz="4" w:space="0"/>
              <w:right w:val="single" w:color="000000" w:sz="4" w:space="0"/>
            </w:tcBorders>
            <w:vAlign w:val="center"/>
          </w:tcPr>
          <w:p w14:paraId="4B0AC52F">
            <w:pPr>
              <w:pStyle w:val="98"/>
              <w:ind w:left="-105" w:right="-105"/>
              <w:rPr>
                <w:rFonts w:eastAsia="宋体"/>
                <w:color w:val="auto"/>
                <w:sz w:val="21"/>
                <w:szCs w:val="21"/>
                <w:highlight w:val="none"/>
              </w:rPr>
            </w:pPr>
            <w:r>
              <w:rPr>
                <w:rFonts w:eastAsia="宋体"/>
                <w:color w:val="auto"/>
                <w:sz w:val="21"/>
                <w:szCs w:val="21"/>
                <w:highlight w:val="none"/>
              </w:rPr>
              <w:t>2.4</w:t>
            </w:r>
          </w:p>
        </w:tc>
        <w:tc>
          <w:tcPr>
            <w:tcW w:w="688" w:type="dxa"/>
            <w:tcBorders>
              <w:top w:val="single" w:color="000000" w:sz="4" w:space="0"/>
              <w:left w:val="single" w:color="000000" w:sz="4" w:space="0"/>
              <w:bottom w:val="single" w:color="000000" w:sz="4" w:space="0"/>
              <w:right w:val="single" w:color="000000" w:sz="4" w:space="0"/>
            </w:tcBorders>
            <w:vAlign w:val="center"/>
          </w:tcPr>
          <w:p w14:paraId="435241C5">
            <w:pPr>
              <w:pStyle w:val="98"/>
              <w:ind w:left="-105" w:right="-105"/>
              <w:rPr>
                <w:rFonts w:eastAsia="宋体"/>
                <w:color w:val="auto"/>
                <w:sz w:val="21"/>
                <w:szCs w:val="21"/>
                <w:highlight w:val="none"/>
              </w:rPr>
            </w:pPr>
            <w:r>
              <w:rPr>
                <w:rFonts w:eastAsia="宋体"/>
                <w:color w:val="auto"/>
                <w:sz w:val="21"/>
                <w:szCs w:val="21"/>
                <w:highlight w:val="none"/>
              </w:rPr>
              <w:t>2.9</w:t>
            </w:r>
          </w:p>
        </w:tc>
        <w:tc>
          <w:tcPr>
            <w:tcW w:w="687" w:type="dxa"/>
            <w:tcBorders>
              <w:top w:val="single" w:color="000000" w:sz="4" w:space="0"/>
              <w:left w:val="single" w:color="000000" w:sz="4" w:space="0"/>
              <w:bottom w:val="single" w:color="000000" w:sz="4" w:space="0"/>
              <w:right w:val="single" w:color="000000" w:sz="4" w:space="0"/>
            </w:tcBorders>
            <w:vAlign w:val="center"/>
          </w:tcPr>
          <w:p w14:paraId="55D10AC5">
            <w:pPr>
              <w:pStyle w:val="98"/>
              <w:ind w:left="-105" w:right="-105"/>
              <w:rPr>
                <w:rFonts w:eastAsia="宋体"/>
                <w:color w:val="auto"/>
                <w:sz w:val="21"/>
                <w:szCs w:val="21"/>
                <w:highlight w:val="none"/>
              </w:rPr>
            </w:pPr>
            <w:r>
              <w:rPr>
                <w:rFonts w:eastAsia="宋体"/>
                <w:color w:val="auto"/>
                <w:sz w:val="21"/>
                <w:szCs w:val="21"/>
                <w:highlight w:val="none"/>
              </w:rPr>
              <w:t>2.7</w:t>
            </w:r>
          </w:p>
        </w:tc>
        <w:tc>
          <w:tcPr>
            <w:tcW w:w="687" w:type="dxa"/>
            <w:tcBorders>
              <w:top w:val="single" w:color="000000" w:sz="4" w:space="0"/>
              <w:left w:val="single" w:color="000000" w:sz="4" w:space="0"/>
              <w:bottom w:val="single" w:color="000000" w:sz="4" w:space="0"/>
              <w:right w:val="single" w:color="000000" w:sz="4" w:space="0"/>
            </w:tcBorders>
            <w:vAlign w:val="center"/>
          </w:tcPr>
          <w:p w14:paraId="3BFC6AEB">
            <w:pPr>
              <w:pStyle w:val="98"/>
              <w:ind w:left="-105" w:right="-105"/>
              <w:rPr>
                <w:rFonts w:eastAsia="宋体"/>
                <w:color w:val="auto"/>
                <w:sz w:val="21"/>
                <w:szCs w:val="21"/>
                <w:highlight w:val="none"/>
              </w:rPr>
            </w:pPr>
            <w:r>
              <w:rPr>
                <w:rFonts w:eastAsia="宋体"/>
                <w:color w:val="auto"/>
                <w:sz w:val="21"/>
                <w:szCs w:val="21"/>
                <w:highlight w:val="none"/>
              </w:rPr>
              <w:t>3.1</w:t>
            </w:r>
          </w:p>
        </w:tc>
        <w:tc>
          <w:tcPr>
            <w:tcW w:w="687" w:type="dxa"/>
            <w:tcBorders>
              <w:top w:val="single" w:color="000000" w:sz="4" w:space="0"/>
              <w:left w:val="single" w:color="000000" w:sz="4" w:space="0"/>
              <w:bottom w:val="single" w:color="000000" w:sz="4" w:space="0"/>
              <w:right w:val="single" w:color="000000" w:sz="4" w:space="0"/>
            </w:tcBorders>
            <w:vAlign w:val="center"/>
          </w:tcPr>
          <w:p w14:paraId="3E659E24">
            <w:pPr>
              <w:pStyle w:val="98"/>
              <w:ind w:left="-105" w:right="-105"/>
              <w:rPr>
                <w:rFonts w:eastAsia="宋体"/>
                <w:color w:val="auto"/>
                <w:sz w:val="21"/>
                <w:szCs w:val="21"/>
                <w:highlight w:val="none"/>
              </w:rPr>
            </w:pPr>
            <w:r>
              <w:rPr>
                <w:rFonts w:eastAsia="宋体"/>
                <w:color w:val="auto"/>
                <w:sz w:val="21"/>
                <w:szCs w:val="21"/>
                <w:highlight w:val="none"/>
              </w:rPr>
              <w:t>2.5</w:t>
            </w:r>
          </w:p>
        </w:tc>
        <w:tc>
          <w:tcPr>
            <w:tcW w:w="687" w:type="dxa"/>
            <w:tcBorders>
              <w:top w:val="single" w:color="000000" w:sz="4" w:space="0"/>
              <w:left w:val="single" w:color="000000" w:sz="4" w:space="0"/>
              <w:bottom w:val="single" w:color="000000" w:sz="4" w:space="0"/>
              <w:right w:val="single" w:color="000000" w:sz="4" w:space="0"/>
            </w:tcBorders>
            <w:vAlign w:val="center"/>
          </w:tcPr>
          <w:p w14:paraId="2D768102">
            <w:pPr>
              <w:pStyle w:val="98"/>
              <w:ind w:left="-105" w:right="-105"/>
              <w:rPr>
                <w:rFonts w:eastAsia="宋体"/>
                <w:color w:val="auto"/>
                <w:sz w:val="21"/>
                <w:szCs w:val="21"/>
                <w:highlight w:val="none"/>
              </w:rPr>
            </w:pPr>
            <w:r>
              <w:rPr>
                <w:rFonts w:eastAsia="宋体"/>
                <w:color w:val="auto"/>
                <w:sz w:val="21"/>
                <w:szCs w:val="21"/>
                <w:highlight w:val="none"/>
              </w:rPr>
              <w:t>2.7</w:t>
            </w:r>
          </w:p>
        </w:tc>
        <w:tc>
          <w:tcPr>
            <w:tcW w:w="687" w:type="dxa"/>
            <w:tcBorders>
              <w:top w:val="single" w:color="000000" w:sz="4" w:space="0"/>
              <w:left w:val="single" w:color="000000" w:sz="4" w:space="0"/>
              <w:bottom w:val="single" w:color="000000" w:sz="4" w:space="0"/>
              <w:right w:val="single" w:color="000000" w:sz="4" w:space="0"/>
            </w:tcBorders>
            <w:vAlign w:val="center"/>
          </w:tcPr>
          <w:p w14:paraId="6A583360">
            <w:pPr>
              <w:pStyle w:val="98"/>
              <w:ind w:left="-105" w:right="-105"/>
              <w:rPr>
                <w:rFonts w:eastAsia="宋体"/>
                <w:color w:val="auto"/>
                <w:sz w:val="21"/>
                <w:szCs w:val="21"/>
                <w:highlight w:val="none"/>
              </w:rPr>
            </w:pPr>
            <w:r>
              <w:rPr>
                <w:rFonts w:eastAsia="宋体"/>
                <w:color w:val="auto"/>
                <w:sz w:val="21"/>
                <w:szCs w:val="21"/>
                <w:highlight w:val="none"/>
              </w:rPr>
              <w:t>2.5</w:t>
            </w:r>
          </w:p>
        </w:tc>
        <w:tc>
          <w:tcPr>
            <w:tcW w:w="687" w:type="dxa"/>
            <w:tcBorders>
              <w:top w:val="single" w:color="000000" w:sz="4" w:space="0"/>
              <w:left w:val="single" w:color="000000" w:sz="4" w:space="0"/>
              <w:bottom w:val="single" w:color="000000" w:sz="4" w:space="0"/>
              <w:right w:val="single" w:color="000000" w:sz="4" w:space="0"/>
            </w:tcBorders>
            <w:vAlign w:val="center"/>
          </w:tcPr>
          <w:p w14:paraId="238D9D5E">
            <w:pPr>
              <w:pStyle w:val="98"/>
              <w:ind w:left="-105" w:right="-105"/>
              <w:rPr>
                <w:rFonts w:eastAsia="宋体"/>
                <w:color w:val="auto"/>
                <w:sz w:val="21"/>
                <w:szCs w:val="21"/>
                <w:highlight w:val="none"/>
              </w:rPr>
            </w:pPr>
            <w:r>
              <w:rPr>
                <w:rFonts w:eastAsia="宋体"/>
                <w:color w:val="auto"/>
                <w:sz w:val="21"/>
                <w:szCs w:val="21"/>
                <w:highlight w:val="none"/>
              </w:rPr>
              <w:t>2.2</w:t>
            </w:r>
          </w:p>
        </w:tc>
        <w:tc>
          <w:tcPr>
            <w:tcW w:w="684" w:type="dxa"/>
            <w:tcBorders>
              <w:top w:val="single" w:color="000000" w:sz="4" w:space="0"/>
              <w:left w:val="single" w:color="000000" w:sz="4" w:space="0"/>
              <w:bottom w:val="single" w:color="000000" w:sz="4" w:space="0"/>
              <w:right w:val="single" w:color="000000" w:sz="4" w:space="0"/>
            </w:tcBorders>
            <w:vAlign w:val="center"/>
          </w:tcPr>
          <w:p w14:paraId="6F685A8B">
            <w:pPr>
              <w:pStyle w:val="98"/>
              <w:ind w:left="-105" w:right="-105"/>
              <w:rPr>
                <w:rFonts w:eastAsia="宋体"/>
                <w:color w:val="auto"/>
                <w:sz w:val="21"/>
                <w:szCs w:val="21"/>
                <w:highlight w:val="none"/>
              </w:rPr>
            </w:pPr>
            <w:r>
              <w:rPr>
                <w:rFonts w:eastAsia="宋体"/>
                <w:color w:val="auto"/>
                <w:sz w:val="21"/>
                <w:szCs w:val="21"/>
                <w:highlight w:val="none"/>
              </w:rPr>
              <w:t>1.5</w:t>
            </w:r>
          </w:p>
        </w:tc>
        <w:tc>
          <w:tcPr>
            <w:tcW w:w="714" w:type="dxa"/>
            <w:tcBorders>
              <w:top w:val="single" w:color="000000" w:sz="4" w:space="0"/>
              <w:left w:val="single" w:color="000000" w:sz="4" w:space="0"/>
              <w:bottom w:val="single" w:color="000000" w:sz="4" w:space="0"/>
              <w:right w:val="single" w:color="000000" w:sz="4" w:space="0"/>
            </w:tcBorders>
            <w:vAlign w:val="center"/>
          </w:tcPr>
          <w:p w14:paraId="4C3F19C8">
            <w:pPr>
              <w:pStyle w:val="98"/>
              <w:ind w:left="-105" w:right="-105"/>
              <w:rPr>
                <w:rFonts w:eastAsia="宋体"/>
                <w:color w:val="auto"/>
                <w:sz w:val="21"/>
                <w:szCs w:val="21"/>
                <w:highlight w:val="none"/>
              </w:rPr>
            </w:pPr>
            <w:r>
              <w:rPr>
                <w:rFonts w:eastAsia="宋体"/>
                <w:color w:val="auto"/>
                <w:sz w:val="21"/>
                <w:szCs w:val="21"/>
                <w:highlight w:val="none"/>
              </w:rPr>
              <w:t>1.2</w:t>
            </w:r>
          </w:p>
        </w:tc>
        <w:tc>
          <w:tcPr>
            <w:tcW w:w="686" w:type="dxa"/>
            <w:tcBorders>
              <w:top w:val="single" w:color="000000" w:sz="4" w:space="0"/>
              <w:left w:val="single" w:color="000000" w:sz="4" w:space="0"/>
              <w:bottom w:val="single" w:color="000000" w:sz="4" w:space="0"/>
              <w:right w:val="single" w:color="000000" w:sz="4" w:space="0"/>
            </w:tcBorders>
            <w:vAlign w:val="center"/>
          </w:tcPr>
          <w:p w14:paraId="46562018">
            <w:pPr>
              <w:pStyle w:val="98"/>
              <w:ind w:left="-105" w:right="-105"/>
              <w:rPr>
                <w:rFonts w:eastAsia="宋体"/>
                <w:color w:val="auto"/>
                <w:sz w:val="21"/>
                <w:szCs w:val="21"/>
                <w:highlight w:val="none"/>
              </w:rPr>
            </w:pPr>
            <w:r>
              <w:rPr>
                <w:rFonts w:eastAsia="宋体"/>
                <w:color w:val="auto"/>
                <w:sz w:val="21"/>
                <w:szCs w:val="21"/>
                <w:highlight w:val="none"/>
              </w:rPr>
              <w:t>3.1</w:t>
            </w:r>
          </w:p>
        </w:tc>
        <w:tc>
          <w:tcPr>
            <w:tcW w:w="747" w:type="dxa"/>
            <w:tcBorders>
              <w:top w:val="single" w:color="000000" w:sz="4" w:space="0"/>
              <w:left w:val="single" w:color="000000" w:sz="4" w:space="0"/>
              <w:bottom w:val="single" w:color="000000" w:sz="4" w:space="0"/>
              <w:right w:val="single" w:color="000000" w:sz="4" w:space="0"/>
            </w:tcBorders>
            <w:vAlign w:val="center"/>
          </w:tcPr>
          <w:p w14:paraId="69C59BD7">
            <w:pPr>
              <w:pStyle w:val="98"/>
              <w:ind w:left="-105" w:right="-105"/>
              <w:rPr>
                <w:rFonts w:eastAsia="宋体"/>
                <w:color w:val="auto"/>
                <w:sz w:val="21"/>
                <w:szCs w:val="21"/>
                <w:highlight w:val="none"/>
              </w:rPr>
            </w:pPr>
            <w:r>
              <w:rPr>
                <w:rFonts w:eastAsia="宋体"/>
                <w:color w:val="auto"/>
                <w:sz w:val="21"/>
                <w:szCs w:val="21"/>
                <w:highlight w:val="none"/>
              </w:rPr>
              <w:t>4.2</w:t>
            </w:r>
          </w:p>
        </w:tc>
        <w:tc>
          <w:tcPr>
            <w:tcW w:w="686" w:type="dxa"/>
            <w:tcBorders>
              <w:top w:val="single" w:color="000000" w:sz="4" w:space="0"/>
              <w:left w:val="single" w:color="000000" w:sz="4" w:space="0"/>
              <w:bottom w:val="single" w:color="000000" w:sz="4" w:space="0"/>
              <w:right w:val="single" w:color="000000" w:sz="4" w:space="0"/>
            </w:tcBorders>
            <w:vAlign w:val="center"/>
          </w:tcPr>
          <w:p w14:paraId="0BD3E31E">
            <w:pPr>
              <w:pStyle w:val="98"/>
              <w:ind w:left="-105" w:right="-105"/>
              <w:rPr>
                <w:rFonts w:eastAsia="宋体"/>
                <w:color w:val="auto"/>
                <w:sz w:val="21"/>
                <w:szCs w:val="21"/>
                <w:highlight w:val="none"/>
              </w:rPr>
            </w:pPr>
            <w:r>
              <w:rPr>
                <w:rFonts w:eastAsia="宋体"/>
                <w:color w:val="auto"/>
                <w:sz w:val="21"/>
                <w:szCs w:val="21"/>
                <w:highlight w:val="none"/>
              </w:rPr>
              <w:t>3.5</w:t>
            </w:r>
          </w:p>
        </w:tc>
        <w:tc>
          <w:tcPr>
            <w:tcW w:w="700" w:type="dxa"/>
            <w:tcBorders>
              <w:top w:val="single" w:color="000000" w:sz="4" w:space="0"/>
              <w:left w:val="single" w:color="000000" w:sz="4" w:space="0"/>
              <w:bottom w:val="single" w:color="000000" w:sz="4" w:space="0"/>
              <w:right w:val="single" w:color="000000" w:sz="4" w:space="0"/>
            </w:tcBorders>
            <w:vAlign w:val="center"/>
          </w:tcPr>
          <w:p w14:paraId="1B9E166D">
            <w:pPr>
              <w:pStyle w:val="98"/>
              <w:ind w:left="-105" w:right="-105"/>
              <w:rPr>
                <w:rFonts w:eastAsia="宋体"/>
                <w:color w:val="auto"/>
                <w:sz w:val="21"/>
                <w:szCs w:val="21"/>
                <w:highlight w:val="none"/>
              </w:rPr>
            </w:pPr>
            <w:r>
              <w:rPr>
                <w:rFonts w:eastAsia="宋体"/>
                <w:color w:val="auto"/>
                <w:sz w:val="21"/>
                <w:szCs w:val="21"/>
                <w:highlight w:val="none"/>
              </w:rPr>
              <w:t>2.7</w:t>
            </w:r>
          </w:p>
        </w:tc>
        <w:tc>
          <w:tcPr>
            <w:tcW w:w="686" w:type="dxa"/>
            <w:tcBorders>
              <w:top w:val="single" w:color="000000" w:sz="4" w:space="0"/>
              <w:left w:val="single" w:color="000000" w:sz="4" w:space="0"/>
              <w:bottom w:val="single" w:color="000000" w:sz="4" w:space="0"/>
              <w:right w:val="single" w:color="000000" w:sz="4" w:space="0"/>
            </w:tcBorders>
            <w:vAlign w:val="center"/>
          </w:tcPr>
          <w:p w14:paraId="5F5140D2">
            <w:pPr>
              <w:pStyle w:val="98"/>
              <w:ind w:left="-105" w:right="-105"/>
              <w:rPr>
                <w:rFonts w:eastAsia="宋体"/>
                <w:color w:val="auto"/>
                <w:sz w:val="21"/>
                <w:szCs w:val="21"/>
                <w:highlight w:val="none"/>
              </w:rPr>
            </w:pPr>
            <w:r>
              <w:rPr>
                <w:rFonts w:eastAsia="宋体"/>
                <w:color w:val="auto"/>
                <w:sz w:val="21"/>
                <w:szCs w:val="21"/>
                <w:highlight w:val="none"/>
              </w:rPr>
              <w:t>/</w:t>
            </w:r>
          </w:p>
        </w:tc>
        <w:tc>
          <w:tcPr>
            <w:tcW w:w="693" w:type="dxa"/>
            <w:tcBorders>
              <w:top w:val="single" w:color="000000" w:sz="4" w:space="0"/>
              <w:left w:val="single" w:color="000000" w:sz="4" w:space="0"/>
              <w:bottom w:val="single" w:color="000000" w:sz="4" w:space="0"/>
              <w:right w:val="nil"/>
            </w:tcBorders>
            <w:vAlign w:val="center"/>
          </w:tcPr>
          <w:p w14:paraId="368DD550">
            <w:pPr>
              <w:pStyle w:val="98"/>
              <w:ind w:left="-105" w:right="-105"/>
              <w:rPr>
                <w:rFonts w:eastAsia="宋体"/>
                <w:color w:val="auto"/>
                <w:sz w:val="21"/>
                <w:szCs w:val="21"/>
                <w:highlight w:val="none"/>
              </w:rPr>
            </w:pPr>
            <w:r>
              <w:rPr>
                <w:rFonts w:eastAsia="宋体"/>
                <w:color w:val="auto"/>
                <w:sz w:val="21"/>
                <w:szCs w:val="21"/>
                <w:highlight w:val="none"/>
              </w:rPr>
              <w:t>2.68</w:t>
            </w:r>
          </w:p>
        </w:tc>
      </w:tr>
      <w:tr w14:paraId="133F5DBC">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108" w:type="dxa"/>
            <w:bottom w:w="0" w:type="dxa"/>
            <w:right w:w="108" w:type="dxa"/>
          </w:tblCellMar>
        </w:tblPrEx>
        <w:trPr>
          <w:gridAfter w:val="1"/>
          <w:wAfter w:w="21" w:type="dxa"/>
          <w:trHeight w:val="235" w:hRule="atLeast"/>
          <w:jc w:val="center"/>
        </w:trPr>
        <w:tc>
          <w:tcPr>
            <w:tcW w:w="688" w:type="dxa"/>
            <w:vMerge w:val="restart"/>
            <w:tcBorders>
              <w:top w:val="single" w:color="000000" w:sz="4" w:space="0"/>
              <w:left w:val="nil"/>
              <w:bottom w:val="single" w:color="000000" w:sz="4" w:space="0"/>
              <w:right w:val="single" w:color="000000" w:sz="4" w:space="0"/>
            </w:tcBorders>
            <w:vAlign w:val="center"/>
          </w:tcPr>
          <w:p w14:paraId="5B0B742B">
            <w:pPr>
              <w:pStyle w:val="98"/>
              <w:ind w:left="-105" w:right="-105"/>
              <w:rPr>
                <w:rFonts w:eastAsia="宋体"/>
                <w:color w:val="auto"/>
                <w:sz w:val="21"/>
                <w:szCs w:val="21"/>
                <w:highlight w:val="none"/>
              </w:rPr>
            </w:pPr>
            <w:r>
              <w:rPr>
                <w:rFonts w:eastAsia="宋体"/>
                <w:color w:val="auto"/>
                <w:sz w:val="21"/>
                <w:szCs w:val="21"/>
                <w:highlight w:val="none"/>
              </w:rPr>
              <w:t>12月</w:t>
            </w:r>
          </w:p>
        </w:tc>
        <w:tc>
          <w:tcPr>
            <w:tcW w:w="687" w:type="dxa"/>
            <w:tcBorders>
              <w:top w:val="single" w:color="000000" w:sz="4" w:space="0"/>
              <w:left w:val="single" w:color="000000" w:sz="4" w:space="0"/>
              <w:bottom w:val="single" w:color="000000" w:sz="4" w:space="0"/>
              <w:right w:val="single" w:color="000000" w:sz="4" w:space="0"/>
            </w:tcBorders>
            <w:vAlign w:val="center"/>
          </w:tcPr>
          <w:p w14:paraId="3E305A54">
            <w:pPr>
              <w:pStyle w:val="98"/>
              <w:ind w:left="-105" w:right="-105"/>
              <w:rPr>
                <w:rFonts w:eastAsia="宋体"/>
                <w:color w:val="auto"/>
                <w:sz w:val="21"/>
                <w:szCs w:val="21"/>
                <w:highlight w:val="none"/>
              </w:rPr>
            </w:pPr>
            <w:r>
              <w:rPr>
                <w:rFonts w:eastAsia="宋体"/>
                <w:color w:val="auto"/>
                <w:sz w:val="21"/>
                <w:szCs w:val="21"/>
                <w:highlight w:val="none"/>
              </w:rPr>
              <w:t>频率</w:t>
            </w:r>
          </w:p>
        </w:tc>
        <w:tc>
          <w:tcPr>
            <w:tcW w:w="687" w:type="dxa"/>
            <w:tcBorders>
              <w:top w:val="single" w:color="000000" w:sz="4" w:space="0"/>
              <w:left w:val="single" w:color="000000" w:sz="4" w:space="0"/>
              <w:bottom w:val="single" w:color="000000" w:sz="4" w:space="0"/>
              <w:right w:val="single" w:color="000000" w:sz="4" w:space="0"/>
            </w:tcBorders>
            <w:vAlign w:val="center"/>
          </w:tcPr>
          <w:p w14:paraId="11D17B0D">
            <w:pPr>
              <w:pStyle w:val="98"/>
              <w:ind w:left="-105" w:right="-105"/>
              <w:rPr>
                <w:rFonts w:eastAsia="宋体"/>
                <w:color w:val="auto"/>
                <w:sz w:val="21"/>
                <w:szCs w:val="21"/>
                <w:highlight w:val="none"/>
              </w:rPr>
            </w:pPr>
            <w:r>
              <w:rPr>
                <w:rFonts w:eastAsia="宋体"/>
                <w:color w:val="auto"/>
                <w:sz w:val="21"/>
                <w:szCs w:val="21"/>
                <w:highlight w:val="none"/>
              </w:rPr>
              <w:t>12.4</w:t>
            </w:r>
          </w:p>
        </w:tc>
        <w:tc>
          <w:tcPr>
            <w:tcW w:w="687" w:type="dxa"/>
            <w:tcBorders>
              <w:top w:val="single" w:color="000000" w:sz="4" w:space="0"/>
              <w:left w:val="single" w:color="000000" w:sz="4" w:space="0"/>
              <w:bottom w:val="single" w:color="000000" w:sz="4" w:space="0"/>
              <w:right w:val="single" w:color="000000" w:sz="4" w:space="0"/>
            </w:tcBorders>
            <w:vAlign w:val="center"/>
          </w:tcPr>
          <w:p w14:paraId="211D22CC">
            <w:pPr>
              <w:pStyle w:val="98"/>
              <w:ind w:left="-105" w:right="-105"/>
              <w:rPr>
                <w:rFonts w:eastAsia="宋体"/>
                <w:color w:val="auto"/>
                <w:sz w:val="21"/>
                <w:szCs w:val="21"/>
                <w:highlight w:val="none"/>
              </w:rPr>
            </w:pPr>
            <w:r>
              <w:rPr>
                <w:rFonts w:eastAsia="宋体"/>
                <w:color w:val="auto"/>
                <w:sz w:val="21"/>
                <w:szCs w:val="21"/>
                <w:highlight w:val="none"/>
              </w:rPr>
              <w:t>5.6</w:t>
            </w:r>
          </w:p>
        </w:tc>
        <w:tc>
          <w:tcPr>
            <w:tcW w:w="687" w:type="dxa"/>
            <w:tcBorders>
              <w:top w:val="single" w:color="000000" w:sz="4" w:space="0"/>
              <w:left w:val="single" w:color="000000" w:sz="4" w:space="0"/>
              <w:bottom w:val="single" w:color="000000" w:sz="4" w:space="0"/>
              <w:right w:val="single" w:color="000000" w:sz="4" w:space="0"/>
            </w:tcBorders>
            <w:vAlign w:val="center"/>
          </w:tcPr>
          <w:p w14:paraId="0FFBEC8F">
            <w:pPr>
              <w:pStyle w:val="98"/>
              <w:ind w:left="-105" w:right="-105"/>
              <w:rPr>
                <w:rFonts w:eastAsia="宋体"/>
                <w:color w:val="auto"/>
                <w:sz w:val="21"/>
                <w:szCs w:val="21"/>
                <w:highlight w:val="none"/>
              </w:rPr>
            </w:pPr>
            <w:r>
              <w:rPr>
                <w:rFonts w:eastAsia="宋体"/>
                <w:color w:val="auto"/>
                <w:sz w:val="21"/>
                <w:szCs w:val="21"/>
                <w:highlight w:val="none"/>
              </w:rPr>
              <w:t>7</w:t>
            </w:r>
          </w:p>
        </w:tc>
        <w:tc>
          <w:tcPr>
            <w:tcW w:w="688" w:type="dxa"/>
            <w:tcBorders>
              <w:top w:val="single" w:color="000000" w:sz="4" w:space="0"/>
              <w:left w:val="single" w:color="000000" w:sz="4" w:space="0"/>
              <w:bottom w:val="single" w:color="000000" w:sz="4" w:space="0"/>
              <w:right w:val="single" w:color="000000" w:sz="4" w:space="0"/>
            </w:tcBorders>
            <w:vAlign w:val="center"/>
          </w:tcPr>
          <w:p w14:paraId="56D4F672">
            <w:pPr>
              <w:pStyle w:val="98"/>
              <w:ind w:left="-105" w:right="-105"/>
              <w:rPr>
                <w:rFonts w:eastAsia="宋体"/>
                <w:color w:val="auto"/>
                <w:sz w:val="21"/>
                <w:szCs w:val="21"/>
                <w:highlight w:val="none"/>
              </w:rPr>
            </w:pPr>
            <w:r>
              <w:rPr>
                <w:rFonts w:eastAsia="宋体"/>
                <w:color w:val="auto"/>
                <w:sz w:val="21"/>
                <w:szCs w:val="21"/>
                <w:highlight w:val="none"/>
              </w:rPr>
              <w:t>3.8</w:t>
            </w:r>
          </w:p>
        </w:tc>
        <w:tc>
          <w:tcPr>
            <w:tcW w:w="687" w:type="dxa"/>
            <w:tcBorders>
              <w:top w:val="single" w:color="000000" w:sz="4" w:space="0"/>
              <w:left w:val="single" w:color="000000" w:sz="4" w:space="0"/>
              <w:bottom w:val="single" w:color="000000" w:sz="4" w:space="0"/>
              <w:right w:val="single" w:color="000000" w:sz="4" w:space="0"/>
            </w:tcBorders>
            <w:vAlign w:val="center"/>
          </w:tcPr>
          <w:p w14:paraId="6168229B">
            <w:pPr>
              <w:pStyle w:val="98"/>
              <w:ind w:left="-105" w:right="-105"/>
              <w:rPr>
                <w:rFonts w:eastAsia="宋体"/>
                <w:color w:val="auto"/>
                <w:sz w:val="21"/>
                <w:szCs w:val="21"/>
                <w:highlight w:val="none"/>
              </w:rPr>
            </w:pPr>
            <w:r>
              <w:rPr>
                <w:rFonts w:eastAsia="宋体"/>
                <w:color w:val="auto"/>
                <w:sz w:val="21"/>
                <w:szCs w:val="21"/>
                <w:highlight w:val="none"/>
              </w:rPr>
              <w:t>3.8</w:t>
            </w:r>
          </w:p>
        </w:tc>
        <w:tc>
          <w:tcPr>
            <w:tcW w:w="687" w:type="dxa"/>
            <w:tcBorders>
              <w:top w:val="single" w:color="000000" w:sz="4" w:space="0"/>
              <w:left w:val="single" w:color="000000" w:sz="4" w:space="0"/>
              <w:bottom w:val="single" w:color="000000" w:sz="4" w:space="0"/>
              <w:right w:val="single" w:color="000000" w:sz="4" w:space="0"/>
            </w:tcBorders>
            <w:vAlign w:val="center"/>
          </w:tcPr>
          <w:p w14:paraId="470EFB4C">
            <w:pPr>
              <w:pStyle w:val="98"/>
              <w:ind w:left="-105" w:right="-105"/>
              <w:rPr>
                <w:rFonts w:eastAsia="宋体"/>
                <w:color w:val="auto"/>
                <w:sz w:val="21"/>
                <w:szCs w:val="21"/>
                <w:highlight w:val="none"/>
              </w:rPr>
            </w:pPr>
            <w:r>
              <w:rPr>
                <w:rFonts w:eastAsia="宋体"/>
                <w:color w:val="auto"/>
                <w:sz w:val="21"/>
                <w:szCs w:val="21"/>
                <w:highlight w:val="none"/>
              </w:rPr>
              <w:t>5.6</w:t>
            </w:r>
          </w:p>
        </w:tc>
        <w:tc>
          <w:tcPr>
            <w:tcW w:w="687" w:type="dxa"/>
            <w:tcBorders>
              <w:top w:val="single" w:color="000000" w:sz="4" w:space="0"/>
              <w:left w:val="single" w:color="000000" w:sz="4" w:space="0"/>
              <w:bottom w:val="single" w:color="000000" w:sz="4" w:space="0"/>
              <w:right w:val="single" w:color="000000" w:sz="4" w:space="0"/>
            </w:tcBorders>
            <w:vAlign w:val="center"/>
          </w:tcPr>
          <w:p w14:paraId="616D4853">
            <w:pPr>
              <w:pStyle w:val="98"/>
              <w:ind w:left="-105" w:right="-105"/>
              <w:rPr>
                <w:rFonts w:eastAsia="宋体"/>
                <w:color w:val="auto"/>
                <w:sz w:val="21"/>
                <w:szCs w:val="21"/>
                <w:highlight w:val="none"/>
              </w:rPr>
            </w:pPr>
            <w:r>
              <w:rPr>
                <w:rFonts w:eastAsia="宋体"/>
                <w:color w:val="auto"/>
                <w:sz w:val="21"/>
                <w:szCs w:val="21"/>
                <w:highlight w:val="none"/>
              </w:rPr>
              <w:t>5.6</w:t>
            </w:r>
          </w:p>
        </w:tc>
        <w:tc>
          <w:tcPr>
            <w:tcW w:w="687" w:type="dxa"/>
            <w:tcBorders>
              <w:top w:val="single" w:color="000000" w:sz="4" w:space="0"/>
              <w:left w:val="single" w:color="000000" w:sz="4" w:space="0"/>
              <w:bottom w:val="single" w:color="000000" w:sz="4" w:space="0"/>
              <w:right w:val="single" w:color="000000" w:sz="4" w:space="0"/>
            </w:tcBorders>
            <w:vAlign w:val="center"/>
          </w:tcPr>
          <w:p w14:paraId="0DA59737">
            <w:pPr>
              <w:pStyle w:val="98"/>
              <w:ind w:left="-105" w:right="-105"/>
              <w:rPr>
                <w:rFonts w:eastAsia="宋体"/>
                <w:color w:val="auto"/>
                <w:sz w:val="21"/>
                <w:szCs w:val="21"/>
                <w:highlight w:val="none"/>
              </w:rPr>
            </w:pPr>
            <w:r>
              <w:rPr>
                <w:rFonts w:eastAsia="宋体"/>
                <w:color w:val="auto"/>
                <w:sz w:val="21"/>
                <w:szCs w:val="21"/>
                <w:highlight w:val="none"/>
              </w:rPr>
              <w:t>4</w:t>
            </w:r>
          </w:p>
        </w:tc>
        <w:tc>
          <w:tcPr>
            <w:tcW w:w="687" w:type="dxa"/>
            <w:tcBorders>
              <w:top w:val="single" w:color="000000" w:sz="4" w:space="0"/>
              <w:left w:val="single" w:color="000000" w:sz="4" w:space="0"/>
              <w:bottom w:val="single" w:color="000000" w:sz="4" w:space="0"/>
              <w:right w:val="single" w:color="000000" w:sz="4" w:space="0"/>
            </w:tcBorders>
            <w:vAlign w:val="center"/>
          </w:tcPr>
          <w:p w14:paraId="1A8A9C97">
            <w:pPr>
              <w:pStyle w:val="98"/>
              <w:ind w:left="-105" w:right="-105"/>
              <w:rPr>
                <w:rFonts w:eastAsia="宋体"/>
                <w:color w:val="auto"/>
                <w:sz w:val="21"/>
                <w:szCs w:val="21"/>
                <w:highlight w:val="none"/>
              </w:rPr>
            </w:pPr>
            <w:r>
              <w:rPr>
                <w:rFonts w:eastAsia="宋体"/>
                <w:color w:val="auto"/>
                <w:sz w:val="21"/>
                <w:szCs w:val="21"/>
                <w:highlight w:val="none"/>
              </w:rPr>
              <w:t>1.6</w:t>
            </w:r>
          </w:p>
        </w:tc>
        <w:tc>
          <w:tcPr>
            <w:tcW w:w="687" w:type="dxa"/>
            <w:tcBorders>
              <w:top w:val="single" w:color="000000" w:sz="4" w:space="0"/>
              <w:left w:val="single" w:color="000000" w:sz="4" w:space="0"/>
              <w:bottom w:val="single" w:color="000000" w:sz="4" w:space="0"/>
              <w:right w:val="single" w:color="000000" w:sz="4" w:space="0"/>
            </w:tcBorders>
            <w:vAlign w:val="center"/>
          </w:tcPr>
          <w:p w14:paraId="79C463BF">
            <w:pPr>
              <w:pStyle w:val="98"/>
              <w:ind w:left="-105" w:right="-105"/>
              <w:rPr>
                <w:rFonts w:eastAsia="宋体"/>
                <w:color w:val="auto"/>
                <w:sz w:val="21"/>
                <w:szCs w:val="21"/>
                <w:highlight w:val="none"/>
              </w:rPr>
            </w:pPr>
            <w:r>
              <w:rPr>
                <w:rFonts w:eastAsia="宋体"/>
                <w:color w:val="auto"/>
                <w:sz w:val="21"/>
                <w:szCs w:val="21"/>
                <w:highlight w:val="none"/>
              </w:rPr>
              <w:t>2.6</w:t>
            </w:r>
          </w:p>
        </w:tc>
        <w:tc>
          <w:tcPr>
            <w:tcW w:w="684" w:type="dxa"/>
            <w:tcBorders>
              <w:top w:val="single" w:color="000000" w:sz="4" w:space="0"/>
              <w:left w:val="single" w:color="000000" w:sz="4" w:space="0"/>
              <w:bottom w:val="single" w:color="000000" w:sz="4" w:space="0"/>
              <w:right w:val="single" w:color="000000" w:sz="4" w:space="0"/>
            </w:tcBorders>
            <w:vAlign w:val="center"/>
          </w:tcPr>
          <w:p w14:paraId="35601F2F">
            <w:pPr>
              <w:pStyle w:val="98"/>
              <w:ind w:left="-105" w:right="-105"/>
              <w:rPr>
                <w:rFonts w:eastAsia="宋体"/>
                <w:color w:val="auto"/>
                <w:sz w:val="21"/>
                <w:szCs w:val="21"/>
                <w:highlight w:val="none"/>
              </w:rPr>
            </w:pPr>
            <w:r>
              <w:rPr>
                <w:rFonts w:eastAsia="宋体"/>
                <w:color w:val="auto"/>
                <w:sz w:val="21"/>
                <w:szCs w:val="21"/>
                <w:highlight w:val="none"/>
              </w:rPr>
              <w:t>1.2</w:t>
            </w:r>
          </w:p>
        </w:tc>
        <w:tc>
          <w:tcPr>
            <w:tcW w:w="714" w:type="dxa"/>
            <w:tcBorders>
              <w:top w:val="single" w:color="000000" w:sz="4" w:space="0"/>
              <w:left w:val="single" w:color="000000" w:sz="4" w:space="0"/>
              <w:bottom w:val="single" w:color="000000" w:sz="4" w:space="0"/>
              <w:right w:val="single" w:color="000000" w:sz="4" w:space="0"/>
            </w:tcBorders>
            <w:vAlign w:val="center"/>
          </w:tcPr>
          <w:p w14:paraId="0399FACF">
            <w:pPr>
              <w:pStyle w:val="98"/>
              <w:ind w:left="-105" w:right="-105"/>
              <w:rPr>
                <w:rFonts w:eastAsia="宋体"/>
                <w:color w:val="auto"/>
                <w:sz w:val="21"/>
                <w:szCs w:val="21"/>
                <w:highlight w:val="none"/>
              </w:rPr>
            </w:pPr>
            <w:r>
              <w:rPr>
                <w:rFonts w:eastAsia="宋体"/>
                <w:color w:val="auto"/>
                <w:sz w:val="21"/>
                <w:szCs w:val="21"/>
                <w:highlight w:val="none"/>
              </w:rPr>
              <w:t>1.4</w:t>
            </w:r>
          </w:p>
        </w:tc>
        <w:tc>
          <w:tcPr>
            <w:tcW w:w="686" w:type="dxa"/>
            <w:tcBorders>
              <w:top w:val="single" w:color="000000" w:sz="4" w:space="0"/>
              <w:left w:val="single" w:color="000000" w:sz="4" w:space="0"/>
              <w:bottom w:val="single" w:color="000000" w:sz="4" w:space="0"/>
              <w:right w:val="single" w:color="000000" w:sz="4" w:space="0"/>
            </w:tcBorders>
            <w:vAlign w:val="center"/>
          </w:tcPr>
          <w:p w14:paraId="1418D348">
            <w:pPr>
              <w:pStyle w:val="98"/>
              <w:ind w:left="-105" w:right="-105"/>
              <w:rPr>
                <w:rFonts w:eastAsia="宋体"/>
                <w:color w:val="auto"/>
                <w:sz w:val="21"/>
                <w:szCs w:val="21"/>
                <w:highlight w:val="none"/>
              </w:rPr>
            </w:pPr>
            <w:r>
              <w:rPr>
                <w:rFonts w:eastAsia="宋体"/>
                <w:color w:val="auto"/>
                <w:sz w:val="21"/>
                <w:szCs w:val="21"/>
                <w:highlight w:val="none"/>
              </w:rPr>
              <w:t>4.2</w:t>
            </w:r>
          </w:p>
        </w:tc>
        <w:tc>
          <w:tcPr>
            <w:tcW w:w="747" w:type="dxa"/>
            <w:tcBorders>
              <w:top w:val="single" w:color="000000" w:sz="4" w:space="0"/>
              <w:left w:val="single" w:color="000000" w:sz="4" w:space="0"/>
              <w:bottom w:val="single" w:color="000000" w:sz="4" w:space="0"/>
              <w:right w:val="single" w:color="000000" w:sz="4" w:space="0"/>
            </w:tcBorders>
            <w:vAlign w:val="center"/>
          </w:tcPr>
          <w:p w14:paraId="559BE564">
            <w:pPr>
              <w:pStyle w:val="98"/>
              <w:ind w:left="-105" w:right="-105"/>
              <w:rPr>
                <w:rFonts w:eastAsia="宋体"/>
                <w:color w:val="auto"/>
                <w:sz w:val="21"/>
                <w:szCs w:val="21"/>
                <w:highlight w:val="none"/>
              </w:rPr>
            </w:pPr>
            <w:r>
              <w:rPr>
                <w:rFonts w:eastAsia="宋体"/>
                <w:color w:val="auto"/>
                <w:sz w:val="21"/>
                <w:szCs w:val="21"/>
                <w:highlight w:val="none"/>
              </w:rPr>
              <w:t>11.4</w:t>
            </w:r>
          </w:p>
        </w:tc>
        <w:tc>
          <w:tcPr>
            <w:tcW w:w="686" w:type="dxa"/>
            <w:tcBorders>
              <w:top w:val="single" w:color="000000" w:sz="4" w:space="0"/>
              <w:left w:val="single" w:color="000000" w:sz="4" w:space="0"/>
              <w:bottom w:val="single" w:color="000000" w:sz="4" w:space="0"/>
              <w:right w:val="single" w:color="000000" w:sz="4" w:space="0"/>
            </w:tcBorders>
            <w:vAlign w:val="center"/>
          </w:tcPr>
          <w:p w14:paraId="715A7482">
            <w:pPr>
              <w:pStyle w:val="98"/>
              <w:ind w:left="-105" w:right="-105"/>
              <w:rPr>
                <w:rFonts w:eastAsia="宋体"/>
                <w:color w:val="auto"/>
                <w:sz w:val="21"/>
                <w:szCs w:val="21"/>
                <w:highlight w:val="none"/>
              </w:rPr>
            </w:pPr>
            <w:r>
              <w:rPr>
                <w:rFonts w:eastAsia="宋体"/>
                <w:color w:val="auto"/>
                <w:sz w:val="21"/>
                <w:szCs w:val="21"/>
                <w:highlight w:val="none"/>
              </w:rPr>
              <w:t>8.2</w:t>
            </w:r>
          </w:p>
        </w:tc>
        <w:tc>
          <w:tcPr>
            <w:tcW w:w="700" w:type="dxa"/>
            <w:tcBorders>
              <w:top w:val="single" w:color="000000" w:sz="4" w:space="0"/>
              <w:left w:val="single" w:color="000000" w:sz="4" w:space="0"/>
              <w:bottom w:val="single" w:color="000000" w:sz="4" w:space="0"/>
              <w:right w:val="single" w:color="000000" w:sz="4" w:space="0"/>
            </w:tcBorders>
            <w:vAlign w:val="center"/>
          </w:tcPr>
          <w:p w14:paraId="457A15EA">
            <w:pPr>
              <w:pStyle w:val="98"/>
              <w:ind w:left="-105" w:right="-105"/>
              <w:rPr>
                <w:rFonts w:eastAsia="宋体"/>
                <w:color w:val="auto"/>
                <w:sz w:val="21"/>
                <w:szCs w:val="21"/>
                <w:highlight w:val="none"/>
              </w:rPr>
            </w:pPr>
            <w:r>
              <w:rPr>
                <w:rFonts w:eastAsia="宋体"/>
                <w:color w:val="auto"/>
                <w:sz w:val="21"/>
                <w:szCs w:val="21"/>
                <w:highlight w:val="none"/>
              </w:rPr>
              <w:t>7.4</w:t>
            </w:r>
          </w:p>
        </w:tc>
        <w:tc>
          <w:tcPr>
            <w:tcW w:w="686" w:type="dxa"/>
            <w:tcBorders>
              <w:top w:val="single" w:color="000000" w:sz="4" w:space="0"/>
              <w:left w:val="single" w:color="000000" w:sz="4" w:space="0"/>
              <w:bottom w:val="single" w:color="000000" w:sz="4" w:space="0"/>
              <w:right w:val="single" w:color="000000" w:sz="4" w:space="0"/>
            </w:tcBorders>
            <w:vAlign w:val="center"/>
          </w:tcPr>
          <w:p w14:paraId="31075F2F">
            <w:pPr>
              <w:pStyle w:val="98"/>
              <w:ind w:left="-105" w:right="-105"/>
              <w:rPr>
                <w:rFonts w:eastAsia="宋体"/>
                <w:color w:val="auto"/>
                <w:sz w:val="21"/>
                <w:szCs w:val="21"/>
                <w:highlight w:val="none"/>
              </w:rPr>
            </w:pPr>
            <w:r>
              <w:rPr>
                <w:rFonts w:eastAsia="宋体"/>
                <w:color w:val="auto"/>
                <w:sz w:val="21"/>
                <w:szCs w:val="21"/>
                <w:highlight w:val="none"/>
              </w:rPr>
              <w:t>15</w:t>
            </w:r>
          </w:p>
        </w:tc>
        <w:tc>
          <w:tcPr>
            <w:tcW w:w="693" w:type="dxa"/>
            <w:tcBorders>
              <w:top w:val="single" w:color="000000" w:sz="4" w:space="0"/>
              <w:left w:val="single" w:color="000000" w:sz="4" w:space="0"/>
              <w:bottom w:val="single" w:color="000000" w:sz="4" w:space="0"/>
              <w:right w:val="nil"/>
            </w:tcBorders>
            <w:vAlign w:val="center"/>
          </w:tcPr>
          <w:p w14:paraId="01D28F35">
            <w:pPr>
              <w:pStyle w:val="98"/>
              <w:ind w:left="-105" w:right="-105"/>
              <w:rPr>
                <w:rFonts w:eastAsia="宋体"/>
                <w:color w:val="auto"/>
                <w:sz w:val="21"/>
                <w:szCs w:val="21"/>
                <w:highlight w:val="none"/>
              </w:rPr>
            </w:pPr>
            <w:r>
              <w:rPr>
                <w:rFonts w:eastAsia="宋体"/>
                <w:color w:val="auto"/>
                <w:sz w:val="21"/>
                <w:szCs w:val="21"/>
                <w:highlight w:val="none"/>
              </w:rPr>
              <w:t>/</w:t>
            </w:r>
          </w:p>
        </w:tc>
      </w:tr>
      <w:tr w14:paraId="615A4936">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108" w:type="dxa"/>
            <w:bottom w:w="0" w:type="dxa"/>
            <w:right w:w="108" w:type="dxa"/>
          </w:tblCellMar>
        </w:tblPrEx>
        <w:trPr>
          <w:gridAfter w:val="1"/>
          <w:wAfter w:w="21" w:type="dxa"/>
          <w:trHeight w:val="232" w:hRule="atLeast"/>
          <w:jc w:val="center"/>
        </w:trPr>
        <w:tc>
          <w:tcPr>
            <w:tcW w:w="688" w:type="dxa"/>
            <w:vMerge w:val="continue"/>
            <w:tcBorders>
              <w:top w:val="nil"/>
              <w:left w:val="nil"/>
              <w:bottom w:val="single" w:color="000000" w:sz="4" w:space="0"/>
              <w:right w:val="single" w:color="000000" w:sz="4" w:space="0"/>
            </w:tcBorders>
            <w:vAlign w:val="center"/>
          </w:tcPr>
          <w:p w14:paraId="4F4FDC26">
            <w:pPr>
              <w:ind w:left="-105" w:right="-105"/>
              <w:jc w:val="center"/>
              <w:rPr>
                <w:rFonts w:ascii="Times New Roman" w:hAnsi="Times New Roman"/>
                <w:color w:val="auto"/>
                <w:sz w:val="21"/>
                <w:szCs w:val="21"/>
                <w:highlight w:val="none"/>
              </w:rPr>
            </w:pPr>
          </w:p>
        </w:tc>
        <w:tc>
          <w:tcPr>
            <w:tcW w:w="687" w:type="dxa"/>
            <w:tcBorders>
              <w:top w:val="single" w:color="000000" w:sz="4" w:space="0"/>
              <w:left w:val="single" w:color="000000" w:sz="4" w:space="0"/>
              <w:bottom w:val="single" w:color="000000" w:sz="4" w:space="0"/>
              <w:right w:val="single" w:color="000000" w:sz="4" w:space="0"/>
            </w:tcBorders>
            <w:vAlign w:val="center"/>
          </w:tcPr>
          <w:p w14:paraId="7401AF1D">
            <w:pPr>
              <w:pStyle w:val="98"/>
              <w:ind w:left="-105" w:right="-105"/>
              <w:rPr>
                <w:rFonts w:eastAsia="宋体"/>
                <w:color w:val="auto"/>
                <w:sz w:val="21"/>
                <w:szCs w:val="21"/>
                <w:highlight w:val="none"/>
              </w:rPr>
            </w:pPr>
            <w:r>
              <w:rPr>
                <w:rFonts w:eastAsia="宋体"/>
                <w:color w:val="auto"/>
                <w:sz w:val="21"/>
                <w:szCs w:val="21"/>
                <w:highlight w:val="none"/>
              </w:rPr>
              <w:t>风速</w:t>
            </w:r>
          </w:p>
        </w:tc>
        <w:tc>
          <w:tcPr>
            <w:tcW w:w="687" w:type="dxa"/>
            <w:tcBorders>
              <w:top w:val="single" w:color="000000" w:sz="4" w:space="0"/>
              <w:left w:val="single" w:color="000000" w:sz="4" w:space="0"/>
              <w:bottom w:val="single" w:color="000000" w:sz="4" w:space="0"/>
              <w:right w:val="single" w:color="000000" w:sz="4" w:space="0"/>
            </w:tcBorders>
            <w:vAlign w:val="center"/>
          </w:tcPr>
          <w:p w14:paraId="18ECDFE8">
            <w:pPr>
              <w:pStyle w:val="98"/>
              <w:ind w:left="-105" w:right="-105"/>
              <w:rPr>
                <w:rFonts w:eastAsia="宋体"/>
                <w:color w:val="auto"/>
                <w:sz w:val="21"/>
                <w:szCs w:val="21"/>
                <w:highlight w:val="none"/>
              </w:rPr>
            </w:pPr>
            <w:r>
              <w:rPr>
                <w:rFonts w:eastAsia="宋体"/>
                <w:color w:val="auto"/>
                <w:sz w:val="21"/>
                <w:szCs w:val="21"/>
                <w:highlight w:val="none"/>
              </w:rPr>
              <w:t>2.5</w:t>
            </w:r>
          </w:p>
        </w:tc>
        <w:tc>
          <w:tcPr>
            <w:tcW w:w="687" w:type="dxa"/>
            <w:tcBorders>
              <w:top w:val="single" w:color="000000" w:sz="4" w:space="0"/>
              <w:left w:val="single" w:color="000000" w:sz="4" w:space="0"/>
              <w:bottom w:val="single" w:color="000000" w:sz="4" w:space="0"/>
              <w:right w:val="single" w:color="000000" w:sz="4" w:space="0"/>
            </w:tcBorders>
            <w:vAlign w:val="center"/>
          </w:tcPr>
          <w:p w14:paraId="1C87676D">
            <w:pPr>
              <w:pStyle w:val="98"/>
              <w:ind w:left="-105" w:right="-105"/>
              <w:rPr>
                <w:rFonts w:eastAsia="宋体"/>
                <w:color w:val="auto"/>
                <w:sz w:val="21"/>
                <w:szCs w:val="21"/>
                <w:highlight w:val="none"/>
              </w:rPr>
            </w:pPr>
            <w:r>
              <w:rPr>
                <w:rFonts w:eastAsia="宋体"/>
                <w:color w:val="auto"/>
                <w:sz w:val="21"/>
                <w:szCs w:val="21"/>
                <w:highlight w:val="none"/>
              </w:rPr>
              <w:t>3</w:t>
            </w:r>
          </w:p>
        </w:tc>
        <w:tc>
          <w:tcPr>
            <w:tcW w:w="687" w:type="dxa"/>
            <w:tcBorders>
              <w:top w:val="single" w:color="000000" w:sz="4" w:space="0"/>
              <w:left w:val="single" w:color="000000" w:sz="4" w:space="0"/>
              <w:bottom w:val="single" w:color="000000" w:sz="4" w:space="0"/>
              <w:right w:val="single" w:color="000000" w:sz="4" w:space="0"/>
            </w:tcBorders>
            <w:vAlign w:val="center"/>
          </w:tcPr>
          <w:p w14:paraId="4F00F5CE">
            <w:pPr>
              <w:pStyle w:val="98"/>
              <w:ind w:left="-105" w:right="-105"/>
              <w:rPr>
                <w:rFonts w:eastAsia="宋体"/>
                <w:color w:val="auto"/>
                <w:sz w:val="21"/>
                <w:szCs w:val="21"/>
                <w:highlight w:val="none"/>
              </w:rPr>
            </w:pPr>
            <w:r>
              <w:rPr>
                <w:rFonts w:eastAsia="宋体"/>
                <w:color w:val="auto"/>
                <w:sz w:val="21"/>
                <w:szCs w:val="21"/>
                <w:highlight w:val="none"/>
              </w:rPr>
              <w:t>2.9</w:t>
            </w:r>
          </w:p>
        </w:tc>
        <w:tc>
          <w:tcPr>
            <w:tcW w:w="688" w:type="dxa"/>
            <w:tcBorders>
              <w:top w:val="single" w:color="000000" w:sz="4" w:space="0"/>
              <w:left w:val="single" w:color="000000" w:sz="4" w:space="0"/>
              <w:bottom w:val="single" w:color="000000" w:sz="4" w:space="0"/>
              <w:right w:val="single" w:color="000000" w:sz="4" w:space="0"/>
            </w:tcBorders>
            <w:vAlign w:val="center"/>
          </w:tcPr>
          <w:p w14:paraId="5E030A70">
            <w:pPr>
              <w:pStyle w:val="98"/>
              <w:ind w:left="-105" w:right="-105"/>
              <w:rPr>
                <w:rFonts w:eastAsia="宋体"/>
                <w:color w:val="auto"/>
                <w:sz w:val="21"/>
                <w:szCs w:val="21"/>
                <w:highlight w:val="none"/>
              </w:rPr>
            </w:pPr>
            <w:r>
              <w:rPr>
                <w:rFonts w:eastAsia="宋体"/>
                <w:color w:val="auto"/>
                <w:sz w:val="21"/>
                <w:szCs w:val="21"/>
                <w:highlight w:val="none"/>
              </w:rPr>
              <w:t>3.1</w:t>
            </w:r>
          </w:p>
        </w:tc>
        <w:tc>
          <w:tcPr>
            <w:tcW w:w="687" w:type="dxa"/>
            <w:tcBorders>
              <w:top w:val="single" w:color="000000" w:sz="4" w:space="0"/>
              <w:left w:val="single" w:color="000000" w:sz="4" w:space="0"/>
              <w:bottom w:val="single" w:color="000000" w:sz="4" w:space="0"/>
              <w:right w:val="single" w:color="000000" w:sz="4" w:space="0"/>
            </w:tcBorders>
            <w:vAlign w:val="center"/>
          </w:tcPr>
          <w:p w14:paraId="78A375C2">
            <w:pPr>
              <w:pStyle w:val="98"/>
              <w:ind w:left="-105" w:right="-105"/>
              <w:rPr>
                <w:rFonts w:eastAsia="宋体"/>
                <w:color w:val="auto"/>
                <w:sz w:val="21"/>
                <w:szCs w:val="21"/>
                <w:highlight w:val="none"/>
              </w:rPr>
            </w:pPr>
            <w:r>
              <w:rPr>
                <w:rFonts w:eastAsia="宋体"/>
                <w:color w:val="auto"/>
                <w:sz w:val="21"/>
                <w:szCs w:val="21"/>
                <w:highlight w:val="none"/>
              </w:rPr>
              <w:t>2.2</w:t>
            </w:r>
          </w:p>
        </w:tc>
        <w:tc>
          <w:tcPr>
            <w:tcW w:w="687" w:type="dxa"/>
            <w:tcBorders>
              <w:top w:val="single" w:color="000000" w:sz="4" w:space="0"/>
              <w:left w:val="single" w:color="000000" w:sz="4" w:space="0"/>
              <w:bottom w:val="single" w:color="000000" w:sz="4" w:space="0"/>
              <w:right w:val="single" w:color="000000" w:sz="4" w:space="0"/>
            </w:tcBorders>
            <w:vAlign w:val="center"/>
          </w:tcPr>
          <w:p w14:paraId="2ED2C387">
            <w:pPr>
              <w:pStyle w:val="98"/>
              <w:ind w:left="-105" w:right="-105"/>
              <w:rPr>
                <w:rFonts w:eastAsia="宋体"/>
                <w:color w:val="auto"/>
                <w:sz w:val="21"/>
                <w:szCs w:val="21"/>
                <w:highlight w:val="none"/>
              </w:rPr>
            </w:pPr>
            <w:r>
              <w:rPr>
                <w:rFonts w:eastAsia="宋体"/>
                <w:color w:val="auto"/>
                <w:sz w:val="21"/>
                <w:szCs w:val="21"/>
                <w:highlight w:val="none"/>
              </w:rPr>
              <w:t>2.6</w:t>
            </w:r>
          </w:p>
        </w:tc>
        <w:tc>
          <w:tcPr>
            <w:tcW w:w="687" w:type="dxa"/>
            <w:tcBorders>
              <w:top w:val="single" w:color="000000" w:sz="4" w:space="0"/>
              <w:left w:val="single" w:color="000000" w:sz="4" w:space="0"/>
              <w:bottom w:val="single" w:color="000000" w:sz="4" w:space="0"/>
              <w:right w:val="single" w:color="000000" w:sz="4" w:space="0"/>
            </w:tcBorders>
            <w:vAlign w:val="center"/>
          </w:tcPr>
          <w:p w14:paraId="0B42D877">
            <w:pPr>
              <w:pStyle w:val="98"/>
              <w:ind w:left="-105" w:right="-105"/>
              <w:rPr>
                <w:rFonts w:eastAsia="宋体"/>
                <w:color w:val="auto"/>
                <w:sz w:val="21"/>
                <w:szCs w:val="21"/>
                <w:highlight w:val="none"/>
              </w:rPr>
            </w:pPr>
            <w:r>
              <w:rPr>
                <w:rFonts w:eastAsia="宋体"/>
                <w:color w:val="auto"/>
                <w:sz w:val="21"/>
                <w:szCs w:val="21"/>
                <w:highlight w:val="none"/>
              </w:rPr>
              <w:t>2.6</w:t>
            </w:r>
          </w:p>
        </w:tc>
        <w:tc>
          <w:tcPr>
            <w:tcW w:w="687" w:type="dxa"/>
            <w:tcBorders>
              <w:top w:val="single" w:color="000000" w:sz="4" w:space="0"/>
              <w:left w:val="single" w:color="000000" w:sz="4" w:space="0"/>
              <w:bottom w:val="single" w:color="000000" w:sz="4" w:space="0"/>
              <w:right w:val="single" w:color="000000" w:sz="4" w:space="0"/>
            </w:tcBorders>
            <w:vAlign w:val="center"/>
          </w:tcPr>
          <w:p w14:paraId="227927EE">
            <w:pPr>
              <w:pStyle w:val="98"/>
              <w:ind w:left="-105" w:right="-105"/>
              <w:rPr>
                <w:rFonts w:eastAsia="宋体"/>
                <w:color w:val="auto"/>
                <w:sz w:val="21"/>
                <w:szCs w:val="21"/>
                <w:highlight w:val="none"/>
              </w:rPr>
            </w:pPr>
            <w:r>
              <w:rPr>
                <w:rFonts w:eastAsia="宋体"/>
                <w:color w:val="auto"/>
                <w:sz w:val="21"/>
                <w:szCs w:val="21"/>
                <w:highlight w:val="none"/>
              </w:rPr>
              <w:t>2.2</w:t>
            </w:r>
          </w:p>
        </w:tc>
        <w:tc>
          <w:tcPr>
            <w:tcW w:w="687" w:type="dxa"/>
            <w:tcBorders>
              <w:top w:val="single" w:color="000000" w:sz="4" w:space="0"/>
              <w:left w:val="single" w:color="000000" w:sz="4" w:space="0"/>
              <w:bottom w:val="single" w:color="000000" w:sz="4" w:space="0"/>
              <w:right w:val="single" w:color="000000" w:sz="4" w:space="0"/>
            </w:tcBorders>
            <w:vAlign w:val="center"/>
          </w:tcPr>
          <w:p w14:paraId="6CBA91EF">
            <w:pPr>
              <w:pStyle w:val="98"/>
              <w:ind w:left="-105" w:right="-105"/>
              <w:rPr>
                <w:rFonts w:eastAsia="宋体"/>
                <w:color w:val="auto"/>
                <w:sz w:val="21"/>
                <w:szCs w:val="21"/>
                <w:highlight w:val="none"/>
              </w:rPr>
            </w:pPr>
            <w:r>
              <w:rPr>
                <w:rFonts w:eastAsia="宋体"/>
                <w:color w:val="auto"/>
                <w:sz w:val="21"/>
                <w:szCs w:val="21"/>
                <w:highlight w:val="none"/>
              </w:rPr>
              <w:t>2.6</w:t>
            </w:r>
          </w:p>
        </w:tc>
        <w:tc>
          <w:tcPr>
            <w:tcW w:w="687" w:type="dxa"/>
            <w:tcBorders>
              <w:top w:val="single" w:color="000000" w:sz="4" w:space="0"/>
              <w:left w:val="single" w:color="000000" w:sz="4" w:space="0"/>
              <w:bottom w:val="single" w:color="000000" w:sz="4" w:space="0"/>
              <w:right w:val="single" w:color="000000" w:sz="4" w:space="0"/>
            </w:tcBorders>
            <w:vAlign w:val="center"/>
          </w:tcPr>
          <w:p w14:paraId="1DA3DC97">
            <w:pPr>
              <w:pStyle w:val="98"/>
              <w:ind w:left="-105" w:right="-105"/>
              <w:rPr>
                <w:rFonts w:eastAsia="宋体"/>
                <w:color w:val="auto"/>
                <w:sz w:val="21"/>
                <w:szCs w:val="21"/>
                <w:highlight w:val="none"/>
              </w:rPr>
            </w:pPr>
            <w:r>
              <w:rPr>
                <w:rFonts w:eastAsia="宋体"/>
                <w:color w:val="auto"/>
                <w:sz w:val="21"/>
                <w:szCs w:val="21"/>
                <w:highlight w:val="none"/>
              </w:rPr>
              <w:t>2.7</w:t>
            </w:r>
          </w:p>
        </w:tc>
        <w:tc>
          <w:tcPr>
            <w:tcW w:w="684" w:type="dxa"/>
            <w:tcBorders>
              <w:top w:val="single" w:color="000000" w:sz="4" w:space="0"/>
              <w:left w:val="single" w:color="000000" w:sz="4" w:space="0"/>
              <w:bottom w:val="single" w:color="000000" w:sz="4" w:space="0"/>
              <w:right w:val="single" w:color="000000" w:sz="4" w:space="0"/>
            </w:tcBorders>
            <w:vAlign w:val="center"/>
          </w:tcPr>
          <w:p w14:paraId="60B848D7">
            <w:pPr>
              <w:pStyle w:val="98"/>
              <w:ind w:left="-105" w:right="-105"/>
              <w:rPr>
                <w:rFonts w:eastAsia="宋体"/>
                <w:color w:val="auto"/>
                <w:sz w:val="21"/>
                <w:szCs w:val="21"/>
                <w:highlight w:val="none"/>
              </w:rPr>
            </w:pPr>
            <w:r>
              <w:rPr>
                <w:rFonts w:eastAsia="宋体"/>
                <w:color w:val="auto"/>
                <w:sz w:val="21"/>
                <w:szCs w:val="21"/>
                <w:highlight w:val="none"/>
              </w:rPr>
              <w:t>1.2</w:t>
            </w:r>
          </w:p>
        </w:tc>
        <w:tc>
          <w:tcPr>
            <w:tcW w:w="714" w:type="dxa"/>
            <w:tcBorders>
              <w:top w:val="single" w:color="000000" w:sz="4" w:space="0"/>
              <w:left w:val="single" w:color="000000" w:sz="4" w:space="0"/>
              <w:bottom w:val="single" w:color="000000" w:sz="4" w:space="0"/>
              <w:right w:val="single" w:color="000000" w:sz="4" w:space="0"/>
            </w:tcBorders>
            <w:vAlign w:val="center"/>
          </w:tcPr>
          <w:p w14:paraId="7F13FBC1">
            <w:pPr>
              <w:pStyle w:val="98"/>
              <w:ind w:left="-105" w:right="-105"/>
              <w:rPr>
                <w:rFonts w:eastAsia="宋体"/>
                <w:color w:val="auto"/>
                <w:sz w:val="21"/>
                <w:szCs w:val="21"/>
                <w:highlight w:val="none"/>
              </w:rPr>
            </w:pPr>
            <w:r>
              <w:rPr>
                <w:rFonts w:eastAsia="宋体"/>
                <w:color w:val="auto"/>
                <w:sz w:val="21"/>
                <w:szCs w:val="21"/>
                <w:highlight w:val="none"/>
              </w:rPr>
              <w:t>3.7</w:t>
            </w:r>
          </w:p>
        </w:tc>
        <w:tc>
          <w:tcPr>
            <w:tcW w:w="686" w:type="dxa"/>
            <w:tcBorders>
              <w:top w:val="single" w:color="000000" w:sz="4" w:space="0"/>
              <w:left w:val="single" w:color="000000" w:sz="4" w:space="0"/>
              <w:bottom w:val="single" w:color="000000" w:sz="4" w:space="0"/>
              <w:right w:val="single" w:color="000000" w:sz="4" w:space="0"/>
            </w:tcBorders>
            <w:vAlign w:val="center"/>
          </w:tcPr>
          <w:p w14:paraId="469B6E81">
            <w:pPr>
              <w:pStyle w:val="98"/>
              <w:ind w:left="-105" w:right="-105"/>
              <w:rPr>
                <w:rFonts w:eastAsia="宋体"/>
                <w:color w:val="auto"/>
                <w:sz w:val="21"/>
                <w:szCs w:val="21"/>
                <w:highlight w:val="none"/>
              </w:rPr>
            </w:pPr>
            <w:r>
              <w:rPr>
                <w:rFonts w:eastAsia="宋体"/>
                <w:color w:val="auto"/>
                <w:sz w:val="21"/>
                <w:szCs w:val="21"/>
                <w:highlight w:val="none"/>
              </w:rPr>
              <w:t>4.3</w:t>
            </w:r>
          </w:p>
        </w:tc>
        <w:tc>
          <w:tcPr>
            <w:tcW w:w="747" w:type="dxa"/>
            <w:tcBorders>
              <w:top w:val="single" w:color="000000" w:sz="4" w:space="0"/>
              <w:left w:val="single" w:color="000000" w:sz="4" w:space="0"/>
              <w:bottom w:val="single" w:color="000000" w:sz="4" w:space="0"/>
              <w:right w:val="single" w:color="000000" w:sz="4" w:space="0"/>
            </w:tcBorders>
            <w:vAlign w:val="center"/>
          </w:tcPr>
          <w:p w14:paraId="2EECC457">
            <w:pPr>
              <w:pStyle w:val="98"/>
              <w:ind w:left="-105" w:right="-105"/>
              <w:rPr>
                <w:rFonts w:eastAsia="宋体"/>
                <w:color w:val="auto"/>
                <w:sz w:val="21"/>
                <w:szCs w:val="21"/>
                <w:highlight w:val="none"/>
              </w:rPr>
            </w:pPr>
            <w:r>
              <w:rPr>
                <w:rFonts w:eastAsia="宋体"/>
                <w:color w:val="auto"/>
                <w:sz w:val="21"/>
                <w:szCs w:val="21"/>
                <w:highlight w:val="none"/>
              </w:rPr>
              <w:t>3.5</w:t>
            </w:r>
          </w:p>
        </w:tc>
        <w:tc>
          <w:tcPr>
            <w:tcW w:w="686" w:type="dxa"/>
            <w:tcBorders>
              <w:top w:val="single" w:color="000000" w:sz="4" w:space="0"/>
              <w:left w:val="single" w:color="000000" w:sz="4" w:space="0"/>
              <w:bottom w:val="single" w:color="000000" w:sz="4" w:space="0"/>
              <w:right w:val="single" w:color="000000" w:sz="4" w:space="0"/>
            </w:tcBorders>
            <w:vAlign w:val="center"/>
          </w:tcPr>
          <w:p w14:paraId="0F6C21D8">
            <w:pPr>
              <w:pStyle w:val="98"/>
              <w:ind w:left="-105" w:right="-105"/>
              <w:rPr>
                <w:rFonts w:eastAsia="宋体"/>
                <w:color w:val="auto"/>
                <w:sz w:val="21"/>
                <w:szCs w:val="21"/>
                <w:highlight w:val="none"/>
              </w:rPr>
            </w:pPr>
            <w:r>
              <w:rPr>
                <w:rFonts w:eastAsia="宋体"/>
                <w:color w:val="auto"/>
                <w:sz w:val="21"/>
                <w:szCs w:val="21"/>
                <w:highlight w:val="none"/>
              </w:rPr>
              <w:t>3.2</w:t>
            </w:r>
          </w:p>
        </w:tc>
        <w:tc>
          <w:tcPr>
            <w:tcW w:w="700" w:type="dxa"/>
            <w:tcBorders>
              <w:top w:val="single" w:color="000000" w:sz="4" w:space="0"/>
              <w:left w:val="single" w:color="000000" w:sz="4" w:space="0"/>
              <w:bottom w:val="single" w:color="000000" w:sz="4" w:space="0"/>
              <w:right w:val="single" w:color="000000" w:sz="4" w:space="0"/>
            </w:tcBorders>
            <w:vAlign w:val="center"/>
          </w:tcPr>
          <w:p w14:paraId="4C278489">
            <w:pPr>
              <w:pStyle w:val="98"/>
              <w:ind w:left="-105" w:right="-105"/>
              <w:rPr>
                <w:rFonts w:eastAsia="宋体"/>
                <w:color w:val="auto"/>
                <w:sz w:val="21"/>
                <w:szCs w:val="21"/>
                <w:highlight w:val="none"/>
              </w:rPr>
            </w:pPr>
            <w:r>
              <w:rPr>
                <w:rFonts w:eastAsia="宋体"/>
                <w:color w:val="auto"/>
                <w:sz w:val="21"/>
                <w:szCs w:val="21"/>
                <w:highlight w:val="none"/>
              </w:rPr>
              <w:t>2.8</w:t>
            </w:r>
          </w:p>
        </w:tc>
        <w:tc>
          <w:tcPr>
            <w:tcW w:w="686" w:type="dxa"/>
            <w:tcBorders>
              <w:top w:val="single" w:color="000000" w:sz="4" w:space="0"/>
              <w:left w:val="single" w:color="000000" w:sz="4" w:space="0"/>
              <w:bottom w:val="single" w:color="000000" w:sz="4" w:space="0"/>
              <w:right w:val="single" w:color="000000" w:sz="4" w:space="0"/>
            </w:tcBorders>
            <w:vAlign w:val="center"/>
          </w:tcPr>
          <w:p w14:paraId="26E94CAB">
            <w:pPr>
              <w:pStyle w:val="98"/>
              <w:ind w:left="-105" w:right="-105"/>
              <w:rPr>
                <w:rFonts w:eastAsia="宋体"/>
                <w:color w:val="auto"/>
                <w:sz w:val="21"/>
                <w:szCs w:val="21"/>
                <w:highlight w:val="none"/>
              </w:rPr>
            </w:pPr>
            <w:r>
              <w:rPr>
                <w:rFonts w:eastAsia="宋体"/>
                <w:color w:val="auto"/>
                <w:sz w:val="21"/>
                <w:szCs w:val="21"/>
                <w:highlight w:val="none"/>
              </w:rPr>
              <w:t>/</w:t>
            </w:r>
          </w:p>
        </w:tc>
        <w:tc>
          <w:tcPr>
            <w:tcW w:w="693" w:type="dxa"/>
            <w:tcBorders>
              <w:top w:val="single" w:color="000000" w:sz="4" w:space="0"/>
              <w:left w:val="single" w:color="000000" w:sz="4" w:space="0"/>
              <w:bottom w:val="single" w:color="000000" w:sz="4" w:space="0"/>
              <w:right w:val="nil"/>
            </w:tcBorders>
            <w:vAlign w:val="center"/>
          </w:tcPr>
          <w:p w14:paraId="4787EDB9">
            <w:pPr>
              <w:pStyle w:val="98"/>
              <w:ind w:left="-105" w:right="-105"/>
              <w:rPr>
                <w:rFonts w:eastAsia="宋体"/>
                <w:color w:val="auto"/>
                <w:sz w:val="21"/>
                <w:szCs w:val="21"/>
                <w:highlight w:val="none"/>
              </w:rPr>
            </w:pPr>
            <w:r>
              <w:rPr>
                <w:rFonts w:eastAsia="宋体"/>
                <w:color w:val="auto"/>
                <w:sz w:val="21"/>
                <w:szCs w:val="21"/>
                <w:highlight w:val="none"/>
              </w:rPr>
              <w:t>2.82</w:t>
            </w:r>
          </w:p>
        </w:tc>
      </w:tr>
      <w:tr w14:paraId="6F6CB2A0">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108" w:type="dxa"/>
            <w:bottom w:w="0" w:type="dxa"/>
            <w:right w:w="108" w:type="dxa"/>
          </w:tblCellMar>
        </w:tblPrEx>
        <w:trPr>
          <w:gridAfter w:val="1"/>
          <w:wAfter w:w="21" w:type="dxa"/>
          <w:trHeight w:val="222" w:hRule="atLeast"/>
          <w:jc w:val="center"/>
        </w:trPr>
        <w:tc>
          <w:tcPr>
            <w:tcW w:w="688" w:type="dxa"/>
            <w:vMerge w:val="restart"/>
            <w:tcBorders>
              <w:top w:val="single" w:color="000000" w:sz="4" w:space="0"/>
              <w:left w:val="nil"/>
              <w:right w:val="single" w:color="000000" w:sz="4" w:space="0"/>
            </w:tcBorders>
            <w:vAlign w:val="center"/>
          </w:tcPr>
          <w:p w14:paraId="4F3072A5">
            <w:pPr>
              <w:pStyle w:val="98"/>
              <w:ind w:left="-105" w:right="-105"/>
              <w:rPr>
                <w:rFonts w:eastAsia="宋体"/>
                <w:color w:val="auto"/>
                <w:sz w:val="21"/>
                <w:szCs w:val="21"/>
                <w:highlight w:val="none"/>
              </w:rPr>
            </w:pPr>
            <w:r>
              <w:rPr>
                <w:rFonts w:eastAsia="宋体"/>
                <w:color w:val="auto"/>
                <w:sz w:val="21"/>
                <w:szCs w:val="21"/>
                <w:highlight w:val="none"/>
              </w:rPr>
              <w:t>全年平均</w:t>
            </w:r>
          </w:p>
        </w:tc>
        <w:tc>
          <w:tcPr>
            <w:tcW w:w="687" w:type="dxa"/>
            <w:tcBorders>
              <w:top w:val="single" w:color="000000" w:sz="4" w:space="0"/>
              <w:left w:val="single" w:color="000000" w:sz="4" w:space="0"/>
              <w:bottom w:val="single" w:color="000000" w:sz="4" w:space="0"/>
              <w:right w:val="single" w:color="000000" w:sz="4" w:space="0"/>
            </w:tcBorders>
            <w:vAlign w:val="center"/>
          </w:tcPr>
          <w:p w14:paraId="6312A4C5">
            <w:pPr>
              <w:pStyle w:val="98"/>
              <w:ind w:left="-105" w:right="-105"/>
              <w:rPr>
                <w:rFonts w:eastAsia="宋体"/>
                <w:color w:val="auto"/>
                <w:sz w:val="21"/>
                <w:szCs w:val="21"/>
                <w:highlight w:val="none"/>
              </w:rPr>
            </w:pPr>
            <w:r>
              <w:rPr>
                <w:rFonts w:eastAsia="宋体"/>
                <w:color w:val="auto"/>
                <w:sz w:val="21"/>
                <w:szCs w:val="21"/>
                <w:highlight w:val="none"/>
              </w:rPr>
              <w:t>频率</w:t>
            </w:r>
          </w:p>
        </w:tc>
        <w:tc>
          <w:tcPr>
            <w:tcW w:w="687" w:type="dxa"/>
            <w:tcBorders>
              <w:top w:val="single" w:color="000000" w:sz="4" w:space="0"/>
              <w:left w:val="single" w:color="000000" w:sz="4" w:space="0"/>
              <w:bottom w:val="single" w:color="000000" w:sz="4" w:space="0"/>
              <w:right w:val="single" w:color="000000" w:sz="4" w:space="0"/>
            </w:tcBorders>
            <w:vAlign w:val="center"/>
          </w:tcPr>
          <w:p w14:paraId="15D38309">
            <w:pPr>
              <w:pStyle w:val="98"/>
              <w:ind w:left="-105" w:right="-105"/>
              <w:rPr>
                <w:rFonts w:eastAsia="宋体"/>
                <w:color w:val="auto"/>
                <w:sz w:val="21"/>
                <w:szCs w:val="21"/>
                <w:highlight w:val="none"/>
              </w:rPr>
            </w:pPr>
            <w:r>
              <w:rPr>
                <w:rFonts w:eastAsia="宋体"/>
                <w:color w:val="auto"/>
                <w:sz w:val="21"/>
                <w:szCs w:val="21"/>
                <w:highlight w:val="none"/>
              </w:rPr>
              <w:t>6.9</w:t>
            </w:r>
          </w:p>
        </w:tc>
        <w:tc>
          <w:tcPr>
            <w:tcW w:w="687" w:type="dxa"/>
            <w:tcBorders>
              <w:top w:val="single" w:color="000000" w:sz="4" w:space="0"/>
              <w:left w:val="single" w:color="000000" w:sz="4" w:space="0"/>
              <w:bottom w:val="single" w:color="000000" w:sz="4" w:space="0"/>
              <w:right w:val="single" w:color="000000" w:sz="4" w:space="0"/>
            </w:tcBorders>
            <w:vAlign w:val="center"/>
          </w:tcPr>
          <w:p w14:paraId="1656914D">
            <w:pPr>
              <w:pStyle w:val="98"/>
              <w:ind w:left="-105" w:right="-105"/>
              <w:rPr>
                <w:rFonts w:eastAsia="宋体"/>
                <w:color w:val="auto"/>
                <w:sz w:val="21"/>
                <w:szCs w:val="21"/>
                <w:highlight w:val="none"/>
              </w:rPr>
            </w:pPr>
            <w:r>
              <w:rPr>
                <w:rFonts w:eastAsia="宋体"/>
                <w:color w:val="auto"/>
                <w:sz w:val="21"/>
                <w:szCs w:val="21"/>
                <w:highlight w:val="none"/>
              </w:rPr>
              <w:t>4.7</w:t>
            </w:r>
          </w:p>
        </w:tc>
        <w:tc>
          <w:tcPr>
            <w:tcW w:w="687" w:type="dxa"/>
            <w:tcBorders>
              <w:top w:val="single" w:color="000000" w:sz="4" w:space="0"/>
              <w:left w:val="single" w:color="000000" w:sz="4" w:space="0"/>
              <w:bottom w:val="single" w:color="000000" w:sz="4" w:space="0"/>
              <w:right w:val="single" w:color="000000" w:sz="4" w:space="0"/>
            </w:tcBorders>
            <w:vAlign w:val="center"/>
          </w:tcPr>
          <w:p w14:paraId="51C91384">
            <w:pPr>
              <w:pStyle w:val="98"/>
              <w:ind w:left="-105" w:right="-105"/>
              <w:rPr>
                <w:rFonts w:eastAsia="宋体"/>
                <w:color w:val="auto"/>
                <w:sz w:val="21"/>
                <w:szCs w:val="21"/>
                <w:highlight w:val="none"/>
              </w:rPr>
            </w:pPr>
            <w:r>
              <w:rPr>
                <w:rFonts w:eastAsia="宋体"/>
                <w:color w:val="auto"/>
                <w:sz w:val="21"/>
                <w:szCs w:val="21"/>
                <w:highlight w:val="none"/>
              </w:rPr>
              <w:t>7</w:t>
            </w:r>
          </w:p>
        </w:tc>
        <w:tc>
          <w:tcPr>
            <w:tcW w:w="688" w:type="dxa"/>
            <w:tcBorders>
              <w:top w:val="single" w:color="000000" w:sz="4" w:space="0"/>
              <w:left w:val="single" w:color="000000" w:sz="4" w:space="0"/>
              <w:bottom w:val="single" w:color="000000" w:sz="4" w:space="0"/>
              <w:right w:val="single" w:color="000000" w:sz="4" w:space="0"/>
            </w:tcBorders>
            <w:vAlign w:val="center"/>
          </w:tcPr>
          <w:p w14:paraId="55CC16D0">
            <w:pPr>
              <w:pStyle w:val="98"/>
              <w:ind w:left="-105" w:right="-105"/>
              <w:rPr>
                <w:rFonts w:eastAsia="宋体"/>
                <w:color w:val="auto"/>
                <w:sz w:val="21"/>
                <w:szCs w:val="21"/>
                <w:highlight w:val="none"/>
              </w:rPr>
            </w:pPr>
            <w:r>
              <w:rPr>
                <w:rFonts w:eastAsia="宋体"/>
                <w:color w:val="auto"/>
                <w:sz w:val="21"/>
                <w:szCs w:val="21"/>
                <w:highlight w:val="none"/>
              </w:rPr>
              <w:t>5.7</w:t>
            </w:r>
          </w:p>
        </w:tc>
        <w:tc>
          <w:tcPr>
            <w:tcW w:w="687" w:type="dxa"/>
            <w:tcBorders>
              <w:top w:val="single" w:color="000000" w:sz="4" w:space="0"/>
              <w:left w:val="single" w:color="000000" w:sz="4" w:space="0"/>
              <w:bottom w:val="single" w:color="000000" w:sz="4" w:space="0"/>
              <w:right w:val="single" w:color="000000" w:sz="4" w:space="0"/>
            </w:tcBorders>
            <w:vAlign w:val="center"/>
          </w:tcPr>
          <w:p w14:paraId="619539E9">
            <w:pPr>
              <w:pStyle w:val="98"/>
              <w:ind w:left="-105" w:right="-105"/>
              <w:rPr>
                <w:rFonts w:eastAsia="宋体"/>
                <w:color w:val="auto"/>
                <w:sz w:val="21"/>
                <w:szCs w:val="21"/>
                <w:highlight w:val="none"/>
              </w:rPr>
            </w:pPr>
            <w:r>
              <w:rPr>
                <w:rFonts w:eastAsia="宋体"/>
                <w:color w:val="auto"/>
                <w:sz w:val="21"/>
                <w:szCs w:val="21"/>
                <w:highlight w:val="none"/>
              </w:rPr>
              <w:t>6.9</w:t>
            </w:r>
          </w:p>
        </w:tc>
        <w:tc>
          <w:tcPr>
            <w:tcW w:w="687" w:type="dxa"/>
            <w:tcBorders>
              <w:top w:val="single" w:color="000000" w:sz="4" w:space="0"/>
              <w:left w:val="single" w:color="000000" w:sz="4" w:space="0"/>
              <w:bottom w:val="single" w:color="000000" w:sz="4" w:space="0"/>
              <w:right w:val="single" w:color="000000" w:sz="4" w:space="0"/>
            </w:tcBorders>
            <w:vAlign w:val="center"/>
          </w:tcPr>
          <w:p w14:paraId="25C38F81">
            <w:pPr>
              <w:pStyle w:val="98"/>
              <w:ind w:left="-105" w:right="-105"/>
              <w:rPr>
                <w:rFonts w:eastAsia="宋体"/>
                <w:color w:val="auto"/>
                <w:sz w:val="21"/>
                <w:szCs w:val="21"/>
                <w:highlight w:val="none"/>
              </w:rPr>
            </w:pPr>
            <w:r>
              <w:rPr>
                <w:rFonts w:eastAsia="宋体"/>
                <w:color w:val="auto"/>
                <w:sz w:val="21"/>
                <w:szCs w:val="21"/>
                <w:highlight w:val="none"/>
              </w:rPr>
              <w:t>10.4</w:t>
            </w:r>
          </w:p>
        </w:tc>
        <w:tc>
          <w:tcPr>
            <w:tcW w:w="687" w:type="dxa"/>
            <w:tcBorders>
              <w:top w:val="single" w:color="000000" w:sz="4" w:space="0"/>
              <w:left w:val="single" w:color="000000" w:sz="4" w:space="0"/>
              <w:bottom w:val="single" w:color="000000" w:sz="4" w:space="0"/>
              <w:right w:val="single" w:color="000000" w:sz="4" w:space="0"/>
            </w:tcBorders>
            <w:vAlign w:val="center"/>
          </w:tcPr>
          <w:p w14:paraId="5E0CA8AB">
            <w:pPr>
              <w:pStyle w:val="98"/>
              <w:ind w:left="-105" w:right="-105"/>
              <w:rPr>
                <w:rFonts w:eastAsia="宋体"/>
                <w:color w:val="auto"/>
                <w:sz w:val="21"/>
                <w:szCs w:val="21"/>
                <w:highlight w:val="none"/>
              </w:rPr>
            </w:pPr>
            <w:r>
              <w:rPr>
                <w:rFonts w:eastAsia="宋体"/>
                <w:color w:val="auto"/>
                <w:sz w:val="21"/>
                <w:szCs w:val="21"/>
                <w:highlight w:val="none"/>
              </w:rPr>
              <w:t>9.6</w:t>
            </w:r>
          </w:p>
        </w:tc>
        <w:tc>
          <w:tcPr>
            <w:tcW w:w="687" w:type="dxa"/>
            <w:tcBorders>
              <w:top w:val="single" w:color="000000" w:sz="4" w:space="0"/>
              <w:left w:val="single" w:color="000000" w:sz="4" w:space="0"/>
              <w:bottom w:val="single" w:color="000000" w:sz="4" w:space="0"/>
              <w:right w:val="single" w:color="000000" w:sz="4" w:space="0"/>
            </w:tcBorders>
            <w:vAlign w:val="center"/>
          </w:tcPr>
          <w:p w14:paraId="345D9827">
            <w:pPr>
              <w:pStyle w:val="98"/>
              <w:ind w:left="-105" w:right="-105"/>
              <w:rPr>
                <w:rFonts w:eastAsia="宋体"/>
                <w:color w:val="auto"/>
                <w:sz w:val="21"/>
                <w:szCs w:val="21"/>
                <w:highlight w:val="none"/>
              </w:rPr>
            </w:pPr>
            <w:r>
              <w:rPr>
                <w:rFonts w:eastAsia="宋体"/>
                <w:color w:val="auto"/>
                <w:sz w:val="21"/>
                <w:szCs w:val="21"/>
                <w:highlight w:val="none"/>
              </w:rPr>
              <w:t>5.2</w:t>
            </w:r>
          </w:p>
        </w:tc>
        <w:tc>
          <w:tcPr>
            <w:tcW w:w="687" w:type="dxa"/>
            <w:tcBorders>
              <w:top w:val="single" w:color="000000" w:sz="4" w:space="0"/>
              <w:left w:val="single" w:color="000000" w:sz="4" w:space="0"/>
              <w:bottom w:val="single" w:color="000000" w:sz="4" w:space="0"/>
              <w:right w:val="single" w:color="000000" w:sz="4" w:space="0"/>
            </w:tcBorders>
            <w:vAlign w:val="center"/>
          </w:tcPr>
          <w:p w14:paraId="2FCB0F32">
            <w:pPr>
              <w:pStyle w:val="98"/>
              <w:ind w:left="-105" w:right="-105"/>
              <w:rPr>
                <w:rFonts w:eastAsia="宋体"/>
                <w:color w:val="auto"/>
                <w:sz w:val="21"/>
                <w:szCs w:val="21"/>
                <w:highlight w:val="none"/>
              </w:rPr>
            </w:pPr>
            <w:r>
              <w:rPr>
                <w:rFonts w:eastAsia="宋体"/>
                <w:color w:val="auto"/>
                <w:sz w:val="21"/>
                <w:szCs w:val="21"/>
                <w:highlight w:val="none"/>
              </w:rPr>
              <w:t>3.4</w:t>
            </w:r>
          </w:p>
        </w:tc>
        <w:tc>
          <w:tcPr>
            <w:tcW w:w="687" w:type="dxa"/>
            <w:tcBorders>
              <w:top w:val="single" w:color="000000" w:sz="4" w:space="0"/>
              <w:left w:val="single" w:color="000000" w:sz="4" w:space="0"/>
              <w:bottom w:val="single" w:color="000000" w:sz="4" w:space="0"/>
              <w:right w:val="single" w:color="000000" w:sz="4" w:space="0"/>
            </w:tcBorders>
            <w:vAlign w:val="center"/>
          </w:tcPr>
          <w:p w14:paraId="14B02B02">
            <w:pPr>
              <w:pStyle w:val="98"/>
              <w:ind w:left="-105" w:right="-105"/>
              <w:rPr>
                <w:rFonts w:eastAsia="宋体"/>
                <w:color w:val="auto"/>
                <w:sz w:val="21"/>
                <w:szCs w:val="21"/>
                <w:highlight w:val="none"/>
              </w:rPr>
            </w:pPr>
            <w:r>
              <w:rPr>
                <w:rFonts w:eastAsia="宋体"/>
                <w:color w:val="auto"/>
                <w:sz w:val="21"/>
                <w:szCs w:val="21"/>
                <w:highlight w:val="none"/>
              </w:rPr>
              <w:t>2.5</w:t>
            </w:r>
          </w:p>
        </w:tc>
        <w:tc>
          <w:tcPr>
            <w:tcW w:w="684" w:type="dxa"/>
            <w:tcBorders>
              <w:top w:val="single" w:color="000000" w:sz="4" w:space="0"/>
              <w:left w:val="single" w:color="000000" w:sz="4" w:space="0"/>
              <w:bottom w:val="single" w:color="000000" w:sz="4" w:space="0"/>
              <w:right w:val="single" w:color="000000" w:sz="4" w:space="0"/>
            </w:tcBorders>
            <w:vAlign w:val="center"/>
          </w:tcPr>
          <w:p w14:paraId="6A6CE8AE">
            <w:pPr>
              <w:pStyle w:val="98"/>
              <w:ind w:left="-105" w:right="-105"/>
              <w:rPr>
                <w:rFonts w:eastAsia="宋体"/>
                <w:color w:val="auto"/>
                <w:sz w:val="21"/>
                <w:szCs w:val="21"/>
                <w:highlight w:val="none"/>
              </w:rPr>
            </w:pPr>
            <w:r>
              <w:rPr>
                <w:rFonts w:eastAsia="宋体"/>
                <w:color w:val="auto"/>
                <w:sz w:val="21"/>
                <w:szCs w:val="21"/>
                <w:highlight w:val="none"/>
              </w:rPr>
              <w:t>2</w:t>
            </w:r>
          </w:p>
        </w:tc>
        <w:tc>
          <w:tcPr>
            <w:tcW w:w="714" w:type="dxa"/>
            <w:tcBorders>
              <w:top w:val="single" w:color="000000" w:sz="4" w:space="0"/>
              <w:left w:val="single" w:color="000000" w:sz="4" w:space="0"/>
              <w:bottom w:val="single" w:color="000000" w:sz="4" w:space="0"/>
              <w:right w:val="single" w:color="000000" w:sz="4" w:space="0"/>
            </w:tcBorders>
            <w:vAlign w:val="center"/>
          </w:tcPr>
          <w:p w14:paraId="305570B5">
            <w:pPr>
              <w:pStyle w:val="98"/>
              <w:ind w:left="-105" w:right="-105"/>
              <w:rPr>
                <w:rFonts w:eastAsia="宋体"/>
                <w:color w:val="auto"/>
                <w:sz w:val="21"/>
                <w:szCs w:val="21"/>
                <w:highlight w:val="none"/>
              </w:rPr>
            </w:pPr>
            <w:r>
              <w:rPr>
                <w:rFonts w:eastAsia="宋体"/>
                <w:color w:val="auto"/>
                <w:sz w:val="21"/>
                <w:szCs w:val="21"/>
                <w:highlight w:val="none"/>
              </w:rPr>
              <w:t>2.3</w:t>
            </w:r>
          </w:p>
        </w:tc>
        <w:tc>
          <w:tcPr>
            <w:tcW w:w="686" w:type="dxa"/>
            <w:tcBorders>
              <w:top w:val="single" w:color="000000" w:sz="4" w:space="0"/>
              <w:left w:val="single" w:color="000000" w:sz="4" w:space="0"/>
              <w:bottom w:val="single" w:color="000000" w:sz="4" w:space="0"/>
              <w:right w:val="single" w:color="000000" w:sz="4" w:space="0"/>
            </w:tcBorders>
            <w:vAlign w:val="center"/>
          </w:tcPr>
          <w:p w14:paraId="0BF94867">
            <w:pPr>
              <w:pStyle w:val="98"/>
              <w:ind w:left="-105" w:right="-105"/>
              <w:rPr>
                <w:rFonts w:eastAsia="宋体"/>
                <w:color w:val="auto"/>
                <w:sz w:val="21"/>
                <w:szCs w:val="21"/>
                <w:highlight w:val="none"/>
              </w:rPr>
            </w:pPr>
            <w:r>
              <w:rPr>
                <w:rFonts w:eastAsia="宋体"/>
                <w:color w:val="auto"/>
                <w:sz w:val="21"/>
                <w:szCs w:val="21"/>
                <w:highlight w:val="none"/>
              </w:rPr>
              <w:t>3.8</w:t>
            </w:r>
          </w:p>
        </w:tc>
        <w:tc>
          <w:tcPr>
            <w:tcW w:w="747" w:type="dxa"/>
            <w:tcBorders>
              <w:top w:val="single" w:color="000000" w:sz="4" w:space="0"/>
              <w:left w:val="single" w:color="000000" w:sz="4" w:space="0"/>
              <w:bottom w:val="single" w:color="000000" w:sz="4" w:space="0"/>
              <w:right w:val="single" w:color="000000" w:sz="4" w:space="0"/>
            </w:tcBorders>
            <w:vAlign w:val="center"/>
          </w:tcPr>
          <w:p w14:paraId="54A506DD">
            <w:pPr>
              <w:pStyle w:val="98"/>
              <w:ind w:left="-105" w:right="-105"/>
              <w:rPr>
                <w:rFonts w:eastAsia="宋体"/>
                <w:color w:val="auto"/>
                <w:sz w:val="21"/>
                <w:szCs w:val="21"/>
                <w:highlight w:val="none"/>
              </w:rPr>
            </w:pPr>
            <w:r>
              <w:rPr>
                <w:rFonts w:eastAsia="宋体"/>
                <w:color w:val="auto"/>
                <w:sz w:val="21"/>
                <w:szCs w:val="21"/>
                <w:highlight w:val="none"/>
              </w:rPr>
              <w:t>6.8</w:t>
            </w:r>
          </w:p>
        </w:tc>
        <w:tc>
          <w:tcPr>
            <w:tcW w:w="686" w:type="dxa"/>
            <w:tcBorders>
              <w:top w:val="single" w:color="000000" w:sz="4" w:space="0"/>
              <w:left w:val="single" w:color="000000" w:sz="4" w:space="0"/>
              <w:bottom w:val="single" w:color="000000" w:sz="4" w:space="0"/>
              <w:right w:val="single" w:color="000000" w:sz="4" w:space="0"/>
            </w:tcBorders>
            <w:vAlign w:val="center"/>
          </w:tcPr>
          <w:p w14:paraId="74AE3A0B">
            <w:pPr>
              <w:pStyle w:val="98"/>
              <w:ind w:left="-105" w:right="-105"/>
              <w:rPr>
                <w:rFonts w:eastAsia="宋体"/>
                <w:color w:val="auto"/>
                <w:sz w:val="21"/>
                <w:szCs w:val="21"/>
                <w:highlight w:val="none"/>
              </w:rPr>
            </w:pPr>
            <w:r>
              <w:rPr>
                <w:rFonts w:eastAsia="宋体"/>
                <w:color w:val="auto"/>
                <w:sz w:val="21"/>
                <w:szCs w:val="21"/>
                <w:highlight w:val="none"/>
              </w:rPr>
              <w:t>5.3</w:t>
            </w:r>
          </w:p>
        </w:tc>
        <w:tc>
          <w:tcPr>
            <w:tcW w:w="700" w:type="dxa"/>
            <w:tcBorders>
              <w:top w:val="single" w:color="000000" w:sz="4" w:space="0"/>
              <w:left w:val="single" w:color="000000" w:sz="4" w:space="0"/>
              <w:bottom w:val="single" w:color="000000" w:sz="4" w:space="0"/>
              <w:right w:val="single" w:color="000000" w:sz="4" w:space="0"/>
            </w:tcBorders>
            <w:vAlign w:val="center"/>
          </w:tcPr>
          <w:p w14:paraId="314DD995">
            <w:pPr>
              <w:pStyle w:val="98"/>
              <w:ind w:left="-105" w:right="-105"/>
              <w:rPr>
                <w:rFonts w:eastAsia="宋体"/>
                <w:color w:val="auto"/>
                <w:sz w:val="21"/>
                <w:szCs w:val="21"/>
                <w:highlight w:val="none"/>
              </w:rPr>
            </w:pPr>
            <w:r>
              <w:rPr>
                <w:rFonts w:eastAsia="宋体"/>
                <w:color w:val="auto"/>
                <w:sz w:val="21"/>
                <w:szCs w:val="21"/>
                <w:highlight w:val="none"/>
              </w:rPr>
              <w:t>5.4</w:t>
            </w:r>
          </w:p>
        </w:tc>
        <w:tc>
          <w:tcPr>
            <w:tcW w:w="686" w:type="dxa"/>
            <w:tcBorders>
              <w:top w:val="single" w:color="000000" w:sz="4" w:space="0"/>
              <w:left w:val="single" w:color="000000" w:sz="4" w:space="0"/>
              <w:bottom w:val="single" w:color="000000" w:sz="4" w:space="0"/>
              <w:right w:val="single" w:color="000000" w:sz="4" w:space="0"/>
            </w:tcBorders>
            <w:vAlign w:val="center"/>
          </w:tcPr>
          <w:p w14:paraId="2D662395">
            <w:pPr>
              <w:pStyle w:val="98"/>
              <w:ind w:left="-105" w:right="-105"/>
              <w:rPr>
                <w:rFonts w:eastAsia="宋体"/>
                <w:color w:val="auto"/>
                <w:sz w:val="21"/>
                <w:szCs w:val="21"/>
                <w:highlight w:val="none"/>
              </w:rPr>
            </w:pPr>
            <w:r>
              <w:rPr>
                <w:rFonts w:eastAsia="宋体"/>
                <w:color w:val="auto"/>
                <w:sz w:val="21"/>
                <w:szCs w:val="21"/>
                <w:highlight w:val="none"/>
              </w:rPr>
              <w:t>12.8</w:t>
            </w:r>
          </w:p>
        </w:tc>
        <w:tc>
          <w:tcPr>
            <w:tcW w:w="693" w:type="dxa"/>
            <w:tcBorders>
              <w:top w:val="single" w:color="000000" w:sz="4" w:space="0"/>
              <w:left w:val="single" w:color="000000" w:sz="4" w:space="0"/>
              <w:bottom w:val="single" w:color="000000" w:sz="4" w:space="0"/>
              <w:right w:val="nil"/>
            </w:tcBorders>
            <w:vAlign w:val="center"/>
          </w:tcPr>
          <w:p w14:paraId="76AAACEF">
            <w:pPr>
              <w:pStyle w:val="98"/>
              <w:ind w:left="-105" w:right="-105"/>
              <w:rPr>
                <w:rFonts w:eastAsia="宋体"/>
                <w:color w:val="auto"/>
                <w:sz w:val="21"/>
                <w:szCs w:val="21"/>
                <w:highlight w:val="none"/>
              </w:rPr>
            </w:pPr>
            <w:r>
              <w:rPr>
                <w:rFonts w:eastAsia="宋体"/>
                <w:color w:val="auto"/>
                <w:sz w:val="21"/>
                <w:szCs w:val="21"/>
                <w:highlight w:val="none"/>
              </w:rPr>
              <w:t>100</w:t>
            </w:r>
          </w:p>
        </w:tc>
      </w:tr>
      <w:tr w14:paraId="2AEAF17C">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108" w:type="dxa"/>
            <w:bottom w:w="0" w:type="dxa"/>
            <w:right w:w="108" w:type="dxa"/>
          </w:tblCellMar>
        </w:tblPrEx>
        <w:trPr>
          <w:gridAfter w:val="1"/>
          <w:wAfter w:w="21" w:type="dxa"/>
          <w:trHeight w:val="225" w:hRule="atLeast"/>
          <w:jc w:val="center"/>
        </w:trPr>
        <w:tc>
          <w:tcPr>
            <w:tcW w:w="688" w:type="dxa"/>
            <w:vMerge w:val="continue"/>
            <w:tcBorders>
              <w:top w:val="nil"/>
              <w:left w:val="nil"/>
              <w:right w:val="single" w:color="000000" w:sz="4" w:space="0"/>
            </w:tcBorders>
            <w:vAlign w:val="center"/>
          </w:tcPr>
          <w:p w14:paraId="73EEFA3D">
            <w:pPr>
              <w:ind w:left="-105" w:right="-105"/>
              <w:jc w:val="center"/>
              <w:rPr>
                <w:rFonts w:ascii="Times New Roman" w:hAnsi="Times New Roman"/>
                <w:color w:val="auto"/>
                <w:sz w:val="21"/>
                <w:szCs w:val="21"/>
                <w:highlight w:val="none"/>
              </w:rPr>
            </w:pPr>
          </w:p>
        </w:tc>
        <w:tc>
          <w:tcPr>
            <w:tcW w:w="687" w:type="dxa"/>
            <w:tcBorders>
              <w:top w:val="single" w:color="000000" w:sz="4" w:space="0"/>
              <w:left w:val="single" w:color="000000" w:sz="4" w:space="0"/>
              <w:right w:val="single" w:color="000000" w:sz="4" w:space="0"/>
            </w:tcBorders>
            <w:vAlign w:val="center"/>
          </w:tcPr>
          <w:p w14:paraId="6E5E5095">
            <w:pPr>
              <w:pStyle w:val="98"/>
              <w:ind w:left="-105" w:right="-105"/>
              <w:rPr>
                <w:rFonts w:eastAsia="宋体"/>
                <w:color w:val="auto"/>
                <w:sz w:val="21"/>
                <w:szCs w:val="21"/>
                <w:highlight w:val="none"/>
              </w:rPr>
            </w:pPr>
            <w:r>
              <w:rPr>
                <w:rFonts w:eastAsia="宋体"/>
                <w:color w:val="auto"/>
                <w:sz w:val="21"/>
                <w:szCs w:val="21"/>
                <w:highlight w:val="none"/>
              </w:rPr>
              <w:t>风速</w:t>
            </w:r>
          </w:p>
        </w:tc>
        <w:tc>
          <w:tcPr>
            <w:tcW w:w="687" w:type="dxa"/>
            <w:tcBorders>
              <w:top w:val="single" w:color="000000" w:sz="4" w:space="0"/>
              <w:left w:val="single" w:color="000000" w:sz="4" w:space="0"/>
              <w:right w:val="single" w:color="000000" w:sz="4" w:space="0"/>
            </w:tcBorders>
            <w:vAlign w:val="center"/>
          </w:tcPr>
          <w:p w14:paraId="337C459F">
            <w:pPr>
              <w:pStyle w:val="98"/>
              <w:ind w:left="-105" w:right="-105"/>
              <w:rPr>
                <w:rFonts w:eastAsia="宋体"/>
                <w:color w:val="auto"/>
                <w:sz w:val="21"/>
                <w:szCs w:val="21"/>
                <w:highlight w:val="none"/>
              </w:rPr>
            </w:pPr>
            <w:r>
              <w:rPr>
                <w:rFonts w:eastAsia="宋体"/>
                <w:color w:val="auto"/>
                <w:sz w:val="21"/>
                <w:szCs w:val="21"/>
                <w:highlight w:val="none"/>
              </w:rPr>
              <w:t>2.5</w:t>
            </w:r>
          </w:p>
        </w:tc>
        <w:tc>
          <w:tcPr>
            <w:tcW w:w="687" w:type="dxa"/>
            <w:tcBorders>
              <w:top w:val="single" w:color="000000" w:sz="4" w:space="0"/>
              <w:left w:val="single" w:color="000000" w:sz="4" w:space="0"/>
              <w:right w:val="single" w:color="000000" w:sz="4" w:space="0"/>
            </w:tcBorders>
            <w:vAlign w:val="center"/>
          </w:tcPr>
          <w:p w14:paraId="39807E0C">
            <w:pPr>
              <w:pStyle w:val="98"/>
              <w:ind w:left="-105" w:right="-105"/>
              <w:rPr>
                <w:rFonts w:eastAsia="宋体"/>
                <w:color w:val="auto"/>
                <w:sz w:val="21"/>
                <w:szCs w:val="21"/>
                <w:highlight w:val="none"/>
              </w:rPr>
            </w:pPr>
            <w:r>
              <w:rPr>
                <w:rFonts w:eastAsia="宋体"/>
                <w:color w:val="auto"/>
                <w:sz w:val="21"/>
                <w:szCs w:val="21"/>
                <w:highlight w:val="none"/>
              </w:rPr>
              <w:t>2.8</w:t>
            </w:r>
          </w:p>
        </w:tc>
        <w:tc>
          <w:tcPr>
            <w:tcW w:w="687" w:type="dxa"/>
            <w:tcBorders>
              <w:top w:val="single" w:color="000000" w:sz="4" w:space="0"/>
              <w:left w:val="single" w:color="000000" w:sz="4" w:space="0"/>
              <w:right w:val="single" w:color="000000" w:sz="4" w:space="0"/>
            </w:tcBorders>
            <w:vAlign w:val="center"/>
          </w:tcPr>
          <w:p w14:paraId="4C05F34F">
            <w:pPr>
              <w:pStyle w:val="98"/>
              <w:ind w:left="-105" w:right="-105"/>
              <w:rPr>
                <w:rFonts w:eastAsia="宋体"/>
                <w:color w:val="auto"/>
                <w:sz w:val="21"/>
                <w:szCs w:val="21"/>
                <w:highlight w:val="none"/>
              </w:rPr>
            </w:pPr>
            <w:r>
              <w:rPr>
                <w:rFonts w:eastAsia="宋体"/>
                <w:color w:val="auto"/>
                <w:sz w:val="21"/>
                <w:szCs w:val="21"/>
                <w:highlight w:val="none"/>
              </w:rPr>
              <w:t>2.8</w:t>
            </w:r>
          </w:p>
        </w:tc>
        <w:tc>
          <w:tcPr>
            <w:tcW w:w="688" w:type="dxa"/>
            <w:tcBorders>
              <w:top w:val="single" w:color="000000" w:sz="4" w:space="0"/>
              <w:left w:val="single" w:color="000000" w:sz="4" w:space="0"/>
              <w:right w:val="single" w:color="000000" w:sz="4" w:space="0"/>
            </w:tcBorders>
            <w:vAlign w:val="center"/>
          </w:tcPr>
          <w:p w14:paraId="7B9CE735">
            <w:pPr>
              <w:pStyle w:val="98"/>
              <w:ind w:left="-105" w:right="-105"/>
              <w:rPr>
                <w:rFonts w:eastAsia="宋体"/>
                <w:color w:val="auto"/>
                <w:sz w:val="21"/>
                <w:szCs w:val="21"/>
                <w:highlight w:val="none"/>
              </w:rPr>
            </w:pPr>
            <w:r>
              <w:rPr>
                <w:rFonts w:eastAsia="宋体"/>
                <w:color w:val="auto"/>
                <w:sz w:val="21"/>
                <w:szCs w:val="21"/>
                <w:highlight w:val="none"/>
              </w:rPr>
              <w:t>2.9</w:t>
            </w:r>
          </w:p>
        </w:tc>
        <w:tc>
          <w:tcPr>
            <w:tcW w:w="687" w:type="dxa"/>
            <w:tcBorders>
              <w:top w:val="single" w:color="000000" w:sz="4" w:space="0"/>
              <w:left w:val="single" w:color="000000" w:sz="4" w:space="0"/>
              <w:right w:val="single" w:color="000000" w:sz="4" w:space="0"/>
            </w:tcBorders>
            <w:vAlign w:val="center"/>
          </w:tcPr>
          <w:p w14:paraId="65E7E8C7">
            <w:pPr>
              <w:pStyle w:val="98"/>
              <w:ind w:left="-105" w:right="-105"/>
              <w:rPr>
                <w:rFonts w:eastAsia="宋体"/>
                <w:color w:val="auto"/>
                <w:sz w:val="21"/>
                <w:szCs w:val="21"/>
                <w:highlight w:val="none"/>
              </w:rPr>
            </w:pPr>
            <w:r>
              <w:rPr>
                <w:rFonts w:eastAsia="宋体"/>
                <w:color w:val="auto"/>
                <w:sz w:val="21"/>
                <w:szCs w:val="21"/>
                <w:highlight w:val="none"/>
              </w:rPr>
              <w:t>2.7</w:t>
            </w:r>
          </w:p>
        </w:tc>
        <w:tc>
          <w:tcPr>
            <w:tcW w:w="687" w:type="dxa"/>
            <w:tcBorders>
              <w:top w:val="single" w:color="000000" w:sz="4" w:space="0"/>
              <w:left w:val="single" w:color="000000" w:sz="4" w:space="0"/>
              <w:right w:val="single" w:color="000000" w:sz="4" w:space="0"/>
            </w:tcBorders>
            <w:vAlign w:val="center"/>
          </w:tcPr>
          <w:p w14:paraId="5C01C9FE">
            <w:pPr>
              <w:pStyle w:val="98"/>
              <w:ind w:left="-105" w:right="-105"/>
              <w:rPr>
                <w:rFonts w:eastAsia="宋体"/>
                <w:color w:val="auto"/>
                <w:sz w:val="21"/>
                <w:szCs w:val="21"/>
                <w:highlight w:val="none"/>
              </w:rPr>
            </w:pPr>
            <w:r>
              <w:rPr>
                <w:rFonts w:eastAsia="宋体"/>
                <w:color w:val="auto"/>
                <w:sz w:val="21"/>
                <w:szCs w:val="21"/>
                <w:highlight w:val="none"/>
              </w:rPr>
              <w:t>3</w:t>
            </w:r>
          </w:p>
        </w:tc>
        <w:tc>
          <w:tcPr>
            <w:tcW w:w="687" w:type="dxa"/>
            <w:tcBorders>
              <w:top w:val="single" w:color="000000" w:sz="4" w:space="0"/>
              <w:left w:val="single" w:color="000000" w:sz="4" w:space="0"/>
              <w:right w:val="single" w:color="000000" w:sz="4" w:space="0"/>
            </w:tcBorders>
            <w:vAlign w:val="center"/>
          </w:tcPr>
          <w:p w14:paraId="064F0BD1">
            <w:pPr>
              <w:pStyle w:val="98"/>
              <w:ind w:left="-105" w:right="-105"/>
              <w:rPr>
                <w:rFonts w:eastAsia="宋体"/>
                <w:color w:val="auto"/>
                <w:sz w:val="21"/>
                <w:szCs w:val="21"/>
                <w:highlight w:val="none"/>
              </w:rPr>
            </w:pPr>
            <w:r>
              <w:rPr>
                <w:rFonts w:eastAsia="宋体"/>
                <w:color w:val="auto"/>
                <w:sz w:val="21"/>
                <w:szCs w:val="21"/>
                <w:highlight w:val="none"/>
              </w:rPr>
              <w:t>2.7</w:t>
            </w:r>
          </w:p>
        </w:tc>
        <w:tc>
          <w:tcPr>
            <w:tcW w:w="687" w:type="dxa"/>
            <w:tcBorders>
              <w:top w:val="single" w:color="000000" w:sz="4" w:space="0"/>
              <w:left w:val="single" w:color="000000" w:sz="4" w:space="0"/>
              <w:right w:val="single" w:color="000000" w:sz="4" w:space="0"/>
            </w:tcBorders>
            <w:vAlign w:val="center"/>
          </w:tcPr>
          <w:p w14:paraId="46ECE2CC">
            <w:pPr>
              <w:pStyle w:val="98"/>
              <w:ind w:left="-105" w:right="-105"/>
              <w:rPr>
                <w:rFonts w:eastAsia="宋体"/>
                <w:color w:val="auto"/>
                <w:sz w:val="21"/>
                <w:szCs w:val="21"/>
                <w:highlight w:val="none"/>
              </w:rPr>
            </w:pPr>
            <w:r>
              <w:rPr>
                <w:rFonts w:eastAsia="宋体"/>
                <w:color w:val="auto"/>
                <w:sz w:val="21"/>
                <w:szCs w:val="21"/>
                <w:highlight w:val="none"/>
              </w:rPr>
              <w:t>2.3</w:t>
            </w:r>
          </w:p>
        </w:tc>
        <w:tc>
          <w:tcPr>
            <w:tcW w:w="687" w:type="dxa"/>
            <w:tcBorders>
              <w:top w:val="single" w:color="000000" w:sz="4" w:space="0"/>
              <w:left w:val="single" w:color="000000" w:sz="4" w:space="0"/>
              <w:right w:val="single" w:color="000000" w:sz="4" w:space="0"/>
            </w:tcBorders>
            <w:vAlign w:val="center"/>
          </w:tcPr>
          <w:p w14:paraId="06D45C5B">
            <w:pPr>
              <w:pStyle w:val="98"/>
              <w:ind w:left="-105" w:right="-105"/>
              <w:rPr>
                <w:rFonts w:eastAsia="宋体"/>
                <w:color w:val="auto"/>
                <w:sz w:val="21"/>
                <w:szCs w:val="21"/>
                <w:highlight w:val="none"/>
              </w:rPr>
            </w:pPr>
            <w:r>
              <w:rPr>
                <w:rFonts w:eastAsia="宋体"/>
                <w:color w:val="auto"/>
                <w:sz w:val="21"/>
                <w:szCs w:val="21"/>
                <w:highlight w:val="none"/>
              </w:rPr>
              <w:t>2.5</w:t>
            </w:r>
          </w:p>
        </w:tc>
        <w:tc>
          <w:tcPr>
            <w:tcW w:w="687" w:type="dxa"/>
            <w:tcBorders>
              <w:top w:val="single" w:color="000000" w:sz="4" w:space="0"/>
              <w:left w:val="single" w:color="000000" w:sz="4" w:space="0"/>
              <w:right w:val="single" w:color="000000" w:sz="4" w:space="0"/>
            </w:tcBorders>
            <w:vAlign w:val="center"/>
          </w:tcPr>
          <w:p w14:paraId="488076AE">
            <w:pPr>
              <w:pStyle w:val="98"/>
              <w:ind w:left="-105" w:right="-105"/>
              <w:rPr>
                <w:rFonts w:eastAsia="宋体"/>
                <w:color w:val="auto"/>
                <w:sz w:val="21"/>
                <w:szCs w:val="21"/>
                <w:highlight w:val="none"/>
              </w:rPr>
            </w:pPr>
            <w:r>
              <w:rPr>
                <w:rFonts w:eastAsia="宋体"/>
                <w:color w:val="auto"/>
                <w:sz w:val="21"/>
                <w:szCs w:val="21"/>
                <w:highlight w:val="none"/>
              </w:rPr>
              <w:t>2.2</w:t>
            </w:r>
          </w:p>
        </w:tc>
        <w:tc>
          <w:tcPr>
            <w:tcW w:w="684" w:type="dxa"/>
            <w:tcBorders>
              <w:top w:val="single" w:color="000000" w:sz="4" w:space="0"/>
              <w:left w:val="single" w:color="000000" w:sz="4" w:space="0"/>
              <w:right w:val="single" w:color="000000" w:sz="4" w:space="0"/>
            </w:tcBorders>
            <w:vAlign w:val="center"/>
          </w:tcPr>
          <w:p w14:paraId="7FC90237">
            <w:pPr>
              <w:pStyle w:val="98"/>
              <w:ind w:left="-105" w:right="-105"/>
              <w:rPr>
                <w:rFonts w:eastAsia="宋体"/>
                <w:color w:val="auto"/>
                <w:sz w:val="21"/>
                <w:szCs w:val="21"/>
                <w:highlight w:val="none"/>
              </w:rPr>
            </w:pPr>
            <w:r>
              <w:rPr>
                <w:rFonts w:eastAsia="宋体"/>
                <w:color w:val="auto"/>
                <w:sz w:val="21"/>
                <w:szCs w:val="21"/>
                <w:highlight w:val="none"/>
              </w:rPr>
              <w:t>1.8</w:t>
            </w:r>
          </w:p>
        </w:tc>
        <w:tc>
          <w:tcPr>
            <w:tcW w:w="714" w:type="dxa"/>
            <w:tcBorders>
              <w:top w:val="single" w:color="000000" w:sz="4" w:space="0"/>
              <w:left w:val="single" w:color="000000" w:sz="4" w:space="0"/>
              <w:right w:val="single" w:color="000000" w:sz="4" w:space="0"/>
            </w:tcBorders>
            <w:vAlign w:val="center"/>
          </w:tcPr>
          <w:p w14:paraId="5669FA87">
            <w:pPr>
              <w:pStyle w:val="98"/>
              <w:ind w:left="-105" w:right="-105"/>
              <w:rPr>
                <w:rFonts w:eastAsia="宋体"/>
                <w:color w:val="auto"/>
                <w:sz w:val="21"/>
                <w:szCs w:val="21"/>
                <w:highlight w:val="none"/>
              </w:rPr>
            </w:pPr>
            <w:r>
              <w:rPr>
                <w:rFonts w:eastAsia="宋体"/>
                <w:color w:val="auto"/>
                <w:sz w:val="21"/>
                <w:szCs w:val="21"/>
                <w:highlight w:val="none"/>
              </w:rPr>
              <w:t>2.7</w:t>
            </w:r>
          </w:p>
        </w:tc>
        <w:tc>
          <w:tcPr>
            <w:tcW w:w="686" w:type="dxa"/>
            <w:tcBorders>
              <w:top w:val="single" w:color="000000" w:sz="4" w:space="0"/>
              <w:left w:val="single" w:color="000000" w:sz="4" w:space="0"/>
              <w:right w:val="single" w:color="000000" w:sz="4" w:space="0"/>
            </w:tcBorders>
            <w:vAlign w:val="center"/>
          </w:tcPr>
          <w:p w14:paraId="67948BFC">
            <w:pPr>
              <w:pStyle w:val="98"/>
              <w:ind w:left="-105" w:right="-105"/>
              <w:rPr>
                <w:rFonts w:eastAsia="宋体"/>
                <w:color w:val="auto"/>
                <w:sz w:val="21"/>
                <w:szCs w:val="21"/>
                <w:highlight w:val="none"/>
              </w:rPr>
            </w:pPr>
            <w:r>
              <w:rPr>
                <w:rFonts w:eastAsia="宋体"/>
                <w:color w:val="auto"/>
                <w:sz w:val="21"/>
                <w:szCs w:val="21"/>
                <w:highlight w:val="none"/>
              </w:rPr>
              <w:t>3.5</w:t>
            </w:r>
          </w:p>
        </w:tc>
        <w:tc>
          <w:tcPr>
            <w:tcW w:w="747" w:type="dxa"/>
            <w:tcBorders>
              <w:top w:val="single" w:color="000000" w:sz="4" w:space="0"/>
              <w:left w:val="single" w:color="000000" w:sz="4" w:space="0"/>
              <w:right w:val="single" w:color="000000" w:sz="4" w:space="0"/>
            </w:tcBorders>
            <w:vAlign w:val="center"/>
          </w:tcPr>
          <w:p w14:paraId="15DDC14C">
            <w:pPr>
              <w:pStyle w:val="98"/>
              <w:ind w:left="-105" w:right="-105"/>
              <w:rPr>
                <w:rFonts w:eastAsia="宋体"/>
                <w:color w:val="auto"/>
                <w:sz w:val="21"/>
                <w:szCs w:val="21"/>
                <w:highlight w:val="none"/>
              </w:rPr>
            </w:pPr>
            <w:r>
              <w:rPr>
                <w:rFonts w:eastAsia="宋体"/>
                <w:color w:val="auto"/>
                <w:sz w:val="21"/>
                <w:szCs w:val="21"/>
                <w:highlight w:val="none"/>
              </w:rPr>
              <w:t>3.7</w:t>
            </w:r>
          </w:p>
        </w:tc>
        <w:tc>
          <w:tcPr>
            <w:tcW w:w="686" w:type="dxa"/>
            <w:tcBorders>
              <w:top w:val="single" w:color="000000" w:sz="4" w:space="0"/>
              <w:left w:val="single" w:color="000000" w:sz="4" w:space="0"/>
              <w:right w:val="single" w:color="000000" w:sz="4" w:space="0"/>
            </w:tcBorders>
            <w:vAlign w:val="center"/>
          </w:tcPr>
          <w:p w14:paraId="6E494BA6">
            <w:pPr>
              <w:pStyle w:val="98"/>
              <w:ind w:left="-105" w:right="-105"/>
              <w:rPr>
                <w:rFonts w:eastAsia="宋体"/>
                <w:color w:val="auto"/>
                <w:sz w:val="21"/>
                <w:szCs w:val="21"/>
                <w:highlight w:val="none"/>
              </w:rPr>
            </w:pPr>
            <w:r>
              <w:rPr>
                <w:rFonts w:eastAsia="宋体"/>
                <w:color w:val="auto"/>
                <w:sz w:val="21"/>
                <w:szCs w:val="21"/>
                <w:highlight w:val="none"/>
              </w:rPr>
              <w:t>2.8</w:t>
            </w:r>
          </w:p>
        </w:tc>
        <w:tc>
          <w:tcPr>
            <w:tcW w:w="700" w:type="dxa"/>
            <w:tcBorders>
              <w:top w:val="single" w:color="000000" w:sz="4" w:space="0"/>
              <w:left w:val="single" w:color="000000" w:sz="4" w:space="0"/>
              <w:right w:val="single" w:color="000000" w:sz="4" w:space="0"/>
            </w:tcBorders>
            <w:vAlign w:val="center"/>
          </w:tcPr>
          <w:p w14:paraId="72AEA62D">
            <w:pPr>
              <w:pStyle w:val="98"/>
              <w:ind w:left="-105" w:right="-105"/>
              <w:rPr>
                <w:rFonts w:eastAsia="宋体"/>
                <w:color w:val="auto"/>
                <w:sz w:val="21"/>
                <w:szCs w:val="21"/>
                <w:highlight w:val="none"/>
              </w:rPr>
            </w:pPr>
            <w:r>
              <w:rPr>
                <w:rFonts w:eastAsia="宋体"/>
                <w:color w:val="auto"/>
                <w:sz w:val="21"/>
                <w:szCs w:val="21"/>
                <w:highlight w:val="none"/>
              </w:rPr>
              <w:t>2.5</w:t>
            </w:r>
          </w:p>
        </w:tc>
        <w:tc>
          <w:tcPr>
            <w:tcW w:w="686" w:type="dxa"/>
            <w:tcBorders>
              <w:top w:val="single" w:color="000000" w:sz="4" w:space="0"/>
              <w:left w:val="single" w:color="000000" w:sz="4" w:space="0"/>
              <w:right w:val="single" w:color="000000" w:sz="4" w:space="0"/>
            </w:tcBorders>
            <w:vAlign w:val="center"/>
          </w:tcPr>
          <w:p w14:paraId="18502D5C">
            <w:pPr>
              <w:pStyle w:val="98"/>
              <w:ind w:left="-105" w:right="-105"/>
              <w:rPr>
                <w:rFonts w:eastAsia="宋体"/>
                <w:color w:val="auto"/>
                <w:sz w:val="21"/>
                <w:szCs w:val="21"/>
                <w:highlight w:val="none"/>
              </w:rPr>
            </w:pPr>
            <w:r>
              <w:rPr>
                <w:rFonts w:eastAsia="宋体"/>
                <w:color w:val="auto"/>
                <w:sz w:val="21"/>
                <w:szCs w:val="21"/>
                <w:highlight w:val="none"/>
              </w:rPr>
              <w:t>/</w:t>
            </w:r>
          </w:p>
        </w:tc>
        <w:tc>
          <w:tcPr>
            <w:tcW w:w="693" w:type="dxa"/>
            <w:tcBorders>
              <w:top w:val="single" w:color="000000" w:sz="4" w:space="0"/>
              <w:left w:val="single" w:color="000000" w:sz="4" w:space="0"/>
              <w:right w:val="nil"/>
            </w:tcBorders>
            <w:vAlign w:val="center"/>
          </w:tcPr>
          <w:p w14:paraId="0BCE6390">
            <w:pPr>
              <w:pStyle w:val="98"/>
              <w:ind w:left="-105" w:right="-105"/>
              <w:rPr>
                <w:rFonts w:eastAsia="宋体"/>
                <w:color w:val="auto"/>
                <w:sz w:val="21"/>
                <w:szCs w:val="21"/>
                <w:highlight w:val="none"/>
              </w:rPr>
            </w:pPr>
            <w:r>
              <w:rPr>
                <w:rFonts w:eastAsia="宋体"/>
                <w:color w:val="auto"/>
                <w:sz w:val="21"/>
                <w:szCs w:val="21"/>
                <w:highlight w:val="none"/>
              </w:rPr>
              <w:t>2.63</w:t>
            </w:r>
          </w:p>
        </w:tc>
      </w:tr>
    </w:tbl>
    <w:p w14:paraId="06E85D8B">
      <w:pPr>
        <w:spacing w:line="360" w:lineRule="auto"/>
        <w:ind w:left="-105" w:right="-105" w:firstLine="480"/>
        <w:rPr>
          <w:rFonts w:ascii="Times New Roman" w:hAnsi="Times New Roman"/>
          <w:color w:val="auto"/>
          <w:highlight w:val="none"/>
        </w:rPr>
        <w:sectPr>
          <w:pgSz w:w="16838" w:h="11906" w:orient="landscape"/>
          <w:pgMar w:top="1797" w:right="1701" w:bottom="1514" w:left="1701" w:header="851" w:footer="851" w:gutter="0"/>
          <w:pgBorders>
            <w:top w:val="none" w:sz="0" w:space="0"/>
            <w:left w:val="none" w:sz="0" w:space="0"/>
            <w:bottom w:val="none" w:sz="0" w:space="0"/>
            <w:right w:val="none" w:sz="0" w:space="0"/>
          </w:pgBorders>
          <w:cols w:space="720" w:num="1"/>
          <w:docGrid w:linePitch="498" w:charSpace="-2336"/>
        </w:sectPr>
      </w:pPr>
    </w:p>
    <w:p w14:paraId="68A16239">
      <w:pPr>
        <w:spacing w:line="360" w:lineRule="auto"/>
        <w:ind w:left="-105" w:right="-105" w:firstLine="360"/>
        <w:jc w:val="center"/>
        <w:rPr>
          <w:rFonts w:ascii="Times New Roman" w:hAnsi="Times New Roman"/>
          <w:color w:val="auto"/>
          <w:szCs w:val="22"/>
          <w:highlight w:val="none"/>
        </w:rPr>
      </w:pPr>
      <w:r>
        <w:rPr>
          <w:rFonts w:ascii="Times New Roman" w:hAnsi="Times New Roman"/>
          <w:color w:val="auto"/>
          <w:sz w:val="18"/>
          <w:szCs w:val="22"/>
          <w:highlight w:val="none"/>
        </w:rPr>
        <w:drawing>
          <wp:inline distT="0" distB="0" distL="0" distR="0">
            <wp:extent cx="3527425" cy="5711825"/>
            <wp:effectExtent l="0" t="0" r="0" b="0"/>
            <wp:docPr id="28" name="image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16.png"/>
                    <pic:cNvPicPr>
                      <a:picLocks noChangeAspect="1"/>
                    </pic:cNvPicPr>
                  </pic:nvPicPr>
                  <pic:blipFill>
                    <a:blip r:embed="rId47" cstate="print"/>
                    <a:stretch>
                      <a:fillRect/>
                    </a:stretch>
                  </pic:blipFill>
                  <pic:spPr>
                    <a:xfrm>
                      <a:off x="0" y="0"/>
                      <a:ext cx="3527704" cy="5712333"/>
                    </a:xfrm>
                    <a:prstGeom prst="rect">
                      <a:avLst/>
                    </a:prstGeom>
                  </pic:spPr>
                </pic:pic>
              </a:graphicData>
            </a:graphic>
          </wp:inline>
        </w:drawing>
      </w:r>
    </w:p>
    <w:p w14:paraId="3E59AEE5">
      <w:pPr>
        <w:pStyle w:val="15"/>
        <w:spacing w:line="360" w:lineRule="auto"/>
        <w:ind w:left="-105" w:right="-105" w:firstLine="482"/>
        <w:rPr>
          <w:rFonts w:eastAsia="宋体" w:cs="Times New Roman"/>
          <w:color w:val="auto"/>
          <w:sz w:val="24"/>
          <w:szCs w:val="18"/>
          <w:highlight w:val="none"/>
        </w:rPr>
      </w:pPr>
      <w:bookmarkStart w:id="367" w:name="_Ref38871502"/>
      <w:r>
        <w:rPr>
          <w:rFonts w:eastAsia="宋体" w:cs="Times New Roman"/>
          <w:color w:val="auto"/>
          <w:sz w:val="24"/>
          <w:szCs w:val="18"/>
          <w:highlight w:val="none"/>
        </w:rPr>
        <w:t>图</w:t>
      </w:r>
      <w:r>
        <w:rPr>
          <w:rFonts w:eastAsia="宋体" w:cs="Times New Roman"/>
          <w:color w:val="auto"/>
          <w:sz w:val="24"/>
          <w:szCs w:val="18"/>
          <w:highlight w:val="none"/>
        </w:rPr>
        <w:fldChar w:fldCharType="begin"/>
      </w:r>
      <w:r>
        <w:rPr>
          <w:rFonts w:eastAsia="宋体" w:cs="Times New Roman"/>
          <w:color w:val="auto"/>
          <w:sz w:val="24"/>
          <w:szCs w:val="18"/>
          <w:highlight w:val="none"/>
        </w:rPr>
        <w:instrText xml:space="preserve"> STYLEREF 2 \s </w:instrText>
      </w:r>
      <w:r>
        <w:rPr>
          <w:rFonts w:eastAsia="宋体" w:cs="Times New Roman"/>
          <w:color w:val="auto"/>
          <w:sz w:val="24"/>
          <w:szCs w:val="18"/>
          <w:highlight w:val="none"/>
        </w:rPr>
        <w:fldChar w:fldCharType="separate"/>
      </w:r>
      <w:r>
        <w:rPr>
          <w:rFonts w:eastAsia="宋体" w:cs="Times New Roman"/>
          <w:color w:val="auto"/>
          <w:sz w:val="24"/>
          <w:szCs w:val="18"/>
          <w:highlight w:val="none"/>
        </w:rPr>
        <w:t>6.1</w:t>
      </w:r>
      <w:r>
        <w:rPr>
          <w:rFonts w:eastAsia="宋体" w:cs="Times New Roman"/>
          <w:color w:val="auto"/>
          <w:sz w:val="24"/>
          <w:szCs w:val="18"/>
          <w:highlight w:val="none"/>
        </w:rPr>
        <w:fldChar w:fldCharType="end"/>
      </w:r>
      <w:r>
        <w:rPr>
          <w:rFonts w:eastAsia="宋体" w:cs="Times New Roman"/>
          <w:color w:val="auto"/>
          <w:sz w:val="24"/>
          <w:szCs w:val="18"/>
          <w:highlight w:val="none"/>
        </w:rPr>
        <w:noBreakHyphen/>
      </w:r>
      <w:r>
        <w:rPr>
          <w:rFonts w:eastAsia="宋体" w:cs="Times New Roman"/>
          <w:color w:val="auto"/>
          <w:sz w:val="24"/>
          <w:szCs w:val="18"/>
          <w:highlight w:val="none"/>
        </w:rPr>
        <w:fldChar w:fldCharType="begin"/>
      </w:r>
      <w:r>
        <w:rPr>
          <w:rFonts w:eastAsia="宋体" w:cs="Times New Roman"/>
          <w:color w:val="auto"/>
          <w:sz w:val="24"/>
          <w:szCs w:val="18"/>
          <w:highlight w:val="none"/>
        </w:rPr>
        <w:instrText xml:space="preserve"> SEQ 图 \* ARABIC \s 2 </w:instrText>
      </w:r>
      <w:r>
        <w:rPr>
          <w:rFonts w:eastAsia="宋体" w:cs="Times New Roman"/>
          <w:color w:val="auto"/>
          <w:sz w:val="24"/>
          <w:szCs w:val="18"/>
          <w:highlight w:val="none"/>
        </w:rPr>
        <w:fldChar w:fldCharType="separate"/>
      </w:r>
      <w:r>
        <w:rPr>
          <w:rFonts w:eastAsia="宋体" w:cs="Times New Roman"/>
          <w:color w:val="auto"/>
          <w:sz w:val="24"/>
          <w:szCs w:val="18"/>
          <w:highlight w:val="none"/>
        </w:rPr>
        <w:t>1</w:t>
      </w:r>
      <w:r>
        <w:rPr>
          <w:rFonts w:eastAsia="宋体" w:cs="Times New Roman"/>
          <w:color w:val="auto"/>
          <w:sz w:val="24"/>
          <w:szCs w:val="18"/>
          <w:highlight w:val="none"/>
        </w:rPr>
        <w:fldChar w:fldCharType="end"/>
      </w:r>
      <w:r>
        <w:rPr>
          <w:rFonts w:eastAsia="宋体" w:cs="Times New Roman"/>
          <w:color w:val="auto"/>
          <w:sz w:val="24"/>
          <w:szCs w:val="18"/>
          <w:highlight w:val="none"/>
        </w:rPr>
        <w:t>无锡市年风玫瑰图</w:t>
      </w:r>
      <w:bookmarkEnd w:id="367"/>
    </w:p>
    <w:p w14:paraId="05E099FB">
      <w:pPr>
        <w:pStyle w:val="5"/>
        <w:keepLines w:val="0"/>
        <w:numPr>
          <w:ilvl w:val="2"/>
          <w:numId w:val="0"/>
        </w:numPr>
        <w:tabs>
          <w:tab w:val="left" w:pos="567"/>
          <w:tab w:val="left" w:pos="709"/>
          <w:tab w:val="left" w:pos="993"/>
          <w:tab w:val="left" w:pos="6663"/>
        </w:tabs>
        <w:spacing w:before="0" w:after="0" w:line="360" w:lineRule="auto"/>
        <w:ind w:right="-105"/>
        <w:rPr>
          <w:rFonts w:eastAsia="宋体"/>
          <w:color w:val="auto"/>
          <w:sz w:val="28"/>
          <w:szCs w:val="28"/>
          <w:highlight w:val="none"/>
        </w:rPr>
      </w:pPr>
      <w:bookmarkStart w:id="368" w:name="_Toc60653547"/>
      <w:r>
        <w:rPr>
          <w:rFonts w:hint="eastAsia" w:eastAsia="宋体"/>
          <w:color w:val="auto"/>
          <w:sz w:val="28"/>
          <w:szCs w:val="28"/>
          <w:highlight w:val="none"/>
        </w:rPr>
        <w:t>6.1.2</w:t>
      </w:r>
      <w:r>
        <w:rPr>
          <w:rFonts w:eastAsia="宋体"/>
          <w:color w:val="auto"/>
          <w:sz w:val="28"/>
          <w:szCs w:val="28"/>
          <w:highlight w:val="none"/>
        </w:rPr>
        <w:t>预测模式</w:t>
      </w:r>
      <w:bookmarkEnd w:id="368"/>
    </w:p>
    <w:p w14:paraId="5912B055">
      <w:pPr>
        <w:spacing w:line="360" w:lineRule="auto"/>
        <w:ind w:left="-105" w:right="-105" w:firstLine="480" w:firstLineChars="200"/>
        <w:jc w:val="both"/>
        <w:rPr>
          <w:rFonts w:ascii="Times New Roman" w:hAnsi="Times New Roman" w:cs="Times New Roman"/>
          <w:color w:val="auto"/>
          <w:highlight w:val="none"/>
        </w:rPr>
      </w:pPr>
      <w:r>
        <w:rPr>
          <w:rFonts w:ascii="Times New Roman" w:hAnsi="Times New Roman" w:cs="Times New Roman"/>
          <w:color w:val="auto"/>
          <w:highlight w:val="none"/>
        </w:rPr>
        <w:t>采用《环境影响评价技术导则大气环境》（HJ2.2-2018）附录A推荐模型中估算模型AERSCREEN进行预测，按照预测结果判断是否需要进一步预测分析。</w:t>
      </w:r>
    </w:p>
    <w:p w14:paraId="10B84AC8">
      <w:pPr>
        <w:spacing w:line="360" w:lineRule="auto"/>
        <w:ind w:left="-105" w:right="-105" w:firstLine="480"/>
        <w:rPr>
          <w:rFonts w:ascii="Times New Roman" w:hAnsi="Times New Roman"/>
          <w:color w:val="auto"/>
          <w:szCs w:val="22"/>
          <w:highlight w:val="none"/>
        </w:rPr>
      </w:pPr>
      <w:r>
        <w:rPr>
          <w:rFonts w:ascii="Times New Roman" w:hAnsi="Times New Roman" w:cs="Times New Roman"/>
          <w:color w:val="auto"/>
          <w:highlight w:val="none"/>
        </w:rPr>
        <w:t>估算模型参数选取详见</w:t>
      </w:r>
      <w:r>
        <w:rPr>
          <w:rFonts w:hint="eastAsia" w:ascii="Times New Roman" w:hAnsi="Times New Roman" w:cs="Times New Roman"/>
          <w:color w:val="auto"/>
          <w:highlight w:val="none"/>
        </w:rPr>
        <w:t>表</w:t>
      </w:r>
      <w:r>
        <w:rPr>
          <w:rFonts w:ascii="Times New Roman" w:hAnsi="Times New Roman" w:cs="Times New Roman"/>
          <w:color w:val="auto"/>
          <w:highlight w:val="none"/>
        </w:rPr>
        <w:t>2.4-2。</w:t>
      </w:r>
    </w:p>
    <w:p w14:paraId="7A36EED1">
      <w:pPr>
        <w:pStyle w:val="5"/>
        <w:keepLines w:val="0"/>
        <w:numPr>
          <w:ilvl w:val="2"/>
          <w:numId w:val="0"/>
        </w:numPr>
        <w:tabs>
          <w:tab w:val="left" w:pos="567"/>
          <w:tab w:val="left" w:pos="709"/>
          <w:tab w:val="left" w:pos="993"/>
          <w:tab w:val="left" w:pos="6663"/>
        </w:tabs>
        <w:spacing w:before="0" w:after="0" w:line="360" w:lineRule="auto"/>
        <w:ind w:right="-105"/>
        <w:rPr>
          <w:rFonts w:eastAsia="宋体"/>
          <w:color w:val="auto"/>
          <w:sz w:val="28"/>
          <w:szCs w:val="28"/>
          <w:highlight w:val="none"/>
        </w:rPr>
      </w:pPr>
      <w:bookmarkStart w:id="369" w:name="_Toc60653548"/>
      <w:r>
        <w:rPr>
          <w:rFonts w:hint="eastAsia" w:eastAsia="宋体"/>
          <w:color w:val="auto"/>
          <w:sz w:val="28"/>
          <w:szCs w:val="28"/>
          <w:highlight w:val="none"/>
        </w:rPr>
        <w:t>6.1.3</w:t>
      </w:r>
      <w:r>
        <w:rPr>
          <w:rFonts w:eastAsia="宋体"/>
          <w:color w:val="auto"/>
          <w:sz w:val="28"/>
          <w:szCs w:val="28"/>
          <w:highlight w:val="none"/>
        </w:rPr>
        <w:t>评价等级</w:t>
      </w:r>
      <w:bookmarkEnd w:id="369"/>
    </w:p>
    <w:p w14:paraId="0FE409D2">
      <w:pPr>
        <w:spacing w:line="360" w:lineRule="auto"/>
        <w:ind w:left="-105" w:right="-105" w:firstLine="480"/>
        <w:rPr>
          <w:rFonts w:ascii="Times New Roman" w:hAnsi="Times New Roman"/>
          <w:color w:val="auto"/>
          <w:highlight w:val="none"/>
        </w:rPr>
      </w:pPr>
      <w:r>
        <w:rPr>
          <w:rFonts w:ascii="Times New Roman" w:hAnsi="Times New Roman"/>
          <w:color w:val="auto"/>
          <w:highlight w:val="none"/>
        </w:rPr>
        <w:t>根据《环境影响评价技术导则大气环境》（HJ2.2-2018）的规定，大气环境评价工作分级根据项目污染物初步调查结果，分别计算项目排放污染物的最大空气质量浓度占标率Pi（第i个污染物，简称“最大浓度占标率”），及第i个污染物的地面空气质量浓度达到标准值的10%时所对应的最远距离D10%。其中Pi定义见下公式：</w:t>
      </w:r>
    </w:p>
    <w:p w14:paraId="0A6CA072">
      <w:pPr>
        <w:spacing w:after="120" w:afterLines="50" w:line="360" w:lineRule="auto"/>
        <w:ind w:left="-105" w:right="-105" w:firstLine="480"/>
        <w:rPr>
          <w:rFonts w:ascii="Times New Roman" w:hAnsi="Times New Roman"/>
          <w:color w:val="auto"/>
          <w:highlight w:val="none"/>
        </w:rPr>
      </w:pPr>
      <m:oMathPara>
        <m:oMath>
          <m:sSub>
            <m:sSubPr>
              <m:ctrlPr>
                <w:rPr>
                  <w:rFonts w:ascii="Cambria Math" w:hAnsi="Cambria Math"/>
                  <w:color w:val="auto"/>
                  <w:highlight w:val="none"/>
                </w:rPr>
              </m:ctrlPr>
            </m:sSubPr>
            <m:e>
              <m:r>
                <m:rPr/>
                <w:rPr>
                  <w:rFonts w:ascii="Cambria Math" w:hAnsi="Cambria Math"/>
                  <w:color w:val="auto"/>
                  <w:highlight w:val="none"/>
                </w:rPr>
                <m:t>P</m:t>
              </m:r>
              <m:ctrlPr>
                <w:rPr>
                  <w:rFonts w:ascii="Cambria Math" w:hAnsi="Cambria Math"/>
                  <w:color w:val="auto"/>
                  <w:highlight w:val="none"/>
                </w:rPr>
              </m:ctrlPr>
            </m:e>
            <m:sub>
              <m:r>
                <m:rPr/>
                <w:rPr>
                  <w:rFonts w:ascii="Cambria Math" w:hAnsi="Cambria Math"/>
                  <w:color w:val="auto"/>
                  <w:highlight w:val="none"/>
                </w:rPr>
                <m:t>i</m:t>
              </m:r>
              <m:ctrlPr>
                <w:rPr>
                  <w:rFonts w:ascii="Cambria Math" w:hAnsi="Cambria Math"/>
                  <w:color w:val="auto"/>
                  <w:highlight w:val="none"/>
                </w:rPr>
              </m:ctrlPr>
            </m:sub>
          </m:sSub>
          <m:r>
            <m:rPr>
              <m:sty m:val="p"/>
            </m:rPr>
            <w:rPr>
              <w:rFonts w:ascii="Cambria Math" w:hAnsi="Cambria Math"/>
              <w:color w:val="auto"/>
              <w:highlight w:val="none"/>
            </w:rPr>
            <m:t>=</m:t>
          </m:r>
          <m:f>
            <m:fPr>
              <m:ctrlPr>
                <w:rPr>
                  <w:rFonts w:ascii="Cambria Math" w:hAnsi="Cambria Math"/>
                  <w:color w:val="auto"/>
                  <w:highlight w:val="none"/>
                </w:rPr>
              </m:ctrlPr>
            </m:fPr>
            <m:num>
              <m:sSub>
                <m:sSubPr>
                  <m:ctrlPr>
                    <w:rPr>
                      <w:rFonts w:ascii="Cambria Math" w:hAnsi="Cambria Math"/>
                      <w:color w:val="auto"/>
                      <w:highlight w:val="none"/>
                    </w:rPr>
                  </m:ctrlPr>
                </m:sSubPr>
                <m:e>
                  <m:r>
                    <m:rPr/>
                    <w:rPr>
                      <w:rFonts w:ascii="Cambria Math" w:hAnsi="Cambria Math"/>
                      <w:color w:val="auto"/>
                      <w:highlight w:val="none"/>
                    </w:rPr>
                    <m:t>C</m:t>
                  </m:r>
                  <m:ctrlPr>
                    <w:rPr>
                      <w:rFonts w:ascii="Cambria Math" w:hAnsi="Cambria Math"/>
                      <w:color w:val="auto"/>
                      <w:highlight w:val="none"/>
                    </w:rPr>
                  </m:ctrlPr>
                </m:e>
                <m:sub>
                  <m:r>
                    <m:rPr/>
                    <w:rPr>
                      <w:rFonts w:ascii="Cambria Math" w:hAnsi="Cambria Math"/>
                      <w:color w:val="auto"/>
                      <w:highlight w:val="none"/>
                    </w:rPr>
                    <m:t>i</m:t>
                  </m:r>
                  <m:ctrlPr>
                    <w:rPr>
                      <w:rFonts w:ascii="Cambria Math" w:hAnsi="Cambria Math"/>
                      <w:color w:val="auto"/>
                      <w:highlight w:val="none"/>
                    </w:rPr>
                  </m:ctrlPr>
                </m:sub>
              </m:sSub>
              <m:ctrlPr>
                <w:rPr>
                  <w:rFonts w:ascii="Cambria Math" w:hAnsi="Cambria Math"/>
                  <w:color w:val="auto"/>
                  <w:highlight w:val="none"/>
                </w:rPr>
              </m:ctrlPr>
            </m:num>
            <m:den>
              <m:sSub>
                <m:sSubPr>
                  <m:ctrlPr>
                    <w:rPr>
                      <w:rFonts w:ascii="Cambria Math" w:hAnsi="Cambria Math"/>
                      <w:color w:val="auto"/>
                      <w:highlight w:val="none"/>
                    </w:rPr>
                  </m:ctrlPr>
                </m:sSubPr>
                <m:e>
                  <m:r>
                    <m:rPr/>
                    <w:rPr>
                      <w:rFonts w:ascii="Cambria Math" w:hAnsi="Cambria Math"/>
                      <w:color w:val="auto"/>
                      <w:highlight w:val="none"/>
                    </w:rPr>
                    <m:t>C</m:t>
                  </m:r>
                  <m:ctrlPr>
                    <w:rPr>
                      <w:rFonts w:ascii="Cambria Math" w:hAnsi="Cambria Math"/>
                      <w:color w:val="auto"/>
                      <w:highlight w:val="none"/>
                    </w:rPr>
                  </m:ctrlPr>
                </m:e>
                <m:sub>
                  <m:r>
                    <m:rPr>
                      <m:sty m:val="p"/>
                    </m:rPr>
                    <w:rPr>
                      <w:rFonts w:ascii="Cambria Math" w:hAnsi="Cambria Math"/>
                      <w:color w:val="auto"/>
                      <w:highlight w:val="none"/>
                    </w:rPr>
                    <m:t>0</m:t>
                  </m:r>
                  <m:r>
                    <m:rPr/>
                    <w:rPr>
                      <w:rFonts w:ascii="Cambria Math" w:hAnsi="Cambria Math"/>
                      <w:color w:val="auto"/>
                      <w:highlight w:val="none"/>
                    </w:rPr>
                    <m:t>i</m:t>
                  </m:r>
                  <m:ctrlPr>
                    <w:rPr>
                      <w:rFonts w:ascii="Cambria Math" w:hAnsi="Cambria Math"/>
                      <w:color w:val="auto"/>
                      <w:highlight w:val="none"/>
                    </w:rPr>
                  </m:ctrlPr>
                </m:sub>
              </m:sSub>
              <m:ctrlPr>
                <w:rPr>
                  <w:rFonts w:ascii="Cambria Math" w:hAnsi="Cambria Math"/>
                  <w:color w:val="auto"/>
                  <w:highlight w:val="none"/>
                </w:rPr>
              </m:ctrlPr>
            </m:den>
          </m:f>
          <m:r>
            <m:rPr>
              <m:sty m:val="p"/>
            </m:rPr>
            <w:rPr>
              <w:rFonts w:ascii="Cambria Math" w:hAnsi="Cambria Math"/>
              <w:color w:val="auto"/>
              <w:highlight w:val="none"/>
            </w:rPr>
            <m:t>×100%</m:t>
          </m:r>
        </m:oMath>
      </m:oMathPara>
    </w:p>
    <w:p w14:paraId="20CF2009">
      <w:pPr>
        <w:spacing w:line="360" w:lineRule="auto"/>
        <w:ind w:left="-105" w:right="-105" w:firstLine="480"/>
        <w:rPr>
          <w:rFonts w:ascii="Times New Roman" w:hAnsi="Times New Roman"/>
          <w:color w:val="auto"/>
          <w:highlight w:val="none"/>
        </w:rPr>
      </w:pPr>
      <w:r>
        <w:rPr>
          <w:rFonts w:ascii="Times New Roman" w:hAnsi="Times New Roman"/>
          <w:color w:val="auto"/>
          <w:highlight w:val="none"/>
        </w:rPr>
        <w:t>式中：P</w:t>
      </w:r>
      <w:r>
        <w:rPr>
          <w:rFonts w:ascii="Times New Roman" w:hAnsi="Times New Roman"/>
          <w:color w:val="auto"/>
          <w:highlight w:val="none"/>
          <w:vertAlign w:val="subscript"/>
        </w:rPr>
        <w:t>i</w:t>
      </w:r>
      <w:r>
        <w:rPr>
          <w:rFonts w:ascii="Times New Roman" w:hAnsi="Times New Roman"/>
          <w:color w:val="auto"/>
          <w:highlight w:val="none"/>
        </w:rPr>
        <w:t>—第i个污染物的最大地面空气质量浓度占标率，%；</w:t>
      </w:r>
    </w:p>
    <w:p w14:paraId="7F044B34">
      <w:pPr>
        <w:spacing w:line="360" w:lineRule="auto"/>
        <w:ind w:left="1200" w:leftChars="500" w:right="-105"/>
        <w:rPr>
          <w:rFonts w:ascii="Times New Roman" w:hAnsi="Times New Roman"/>
          <w:color w:val="auto"/>
          <w:highlight w:val="none"/>
        </w:rPr>
      </w:pPr>
      <w:r>
        <w:rPr>
          <w:rFonts w:ascii="Times New Roman" w:hAnsi="Times New Roman"/>
          <w:color w:val="auto"/>
          <w:highlight w:val="none"/>
        </w:rPr>
        <w:t>C</w:t>
      </w:r>
      <w:r>
        <w:rPr>
          <w:rFonts w:ascii="Times New Roman" w:hAnsi="Times New Roman"/>
          <w:color w:val="auto"/>
          <w:highlight w:val="none"/>
          <w:vertAlign w:val="subscript"/>
        </w:rPr>
        <w:t>i</w:t>
      </w:r>
      <w:r>
        <w:rPr>
          <w:rFonts w:ascii="Times New Roman" w:hAnsi="Times New Roman"/>
          <w:color w:val="auto"/>
          <w:highlight w:val="none"/>
        </w:rPr>
        <w:t>—采用估算模型计算出的第i个污染物的最大1h地面空气质量浓度，μg/m</w:t>
      </w:r>
      <w:r>
        <w:rPr>
          <w:rFonts w:ascii="Times New Roman" w:hAnsi="Times New Roman"/>
          <w:color w:val="auto"/>
          <w:highlight w:val="none"/>
          <w:vertAlign w:val="superscript"/>
        </w:rPr>
        <w:t>3</w:t>
      </w:r>
      <w:r>
        <w:rPr>
          <w:rFonts w:ascii="Times New Roman" w:hAnsi="Times New Roman"/>
          <w:color w:val="auto"/>
          <w:highlight w:val="none"/>
        </w:rPr>
        <w:t>；</w:t>
      </w:r>
    </w:p>
    <w:p w14:paraId="66DB667D">
      <w:pPr>
        <w:spacing w:line="360" w:lineRule="auto"/>
        <w:ind w:left="-105" w:right="-105" w:firstLine="1200" w:firstLineChars="500"/>
        <w:rPr>
          <w:rFonts w:ascii="Times New Roman" w:hAnsi="Times New Roman"/>
          <w:color w:val="auto"/>
          <w:highlight w:val="none"/>
        </w:rPr>
      </w:pPr>
      <w:r>
        <w:rPr>
          <w:rFonts w:ascii="Times New Roman" w:hAnsi="Times New Roman"/>
          <w:color w:val="auto"/>
          <w:highlight w:val="none"/>
        </w:rPr>
        <w:t>C</w:t>
      </w:r>
      <w:r>
        <w:rPr>
          <w:rFonts w:ascii="Times New Roman" w:hAnsi="Times New Roman"/>
          <w:color w:val="auto"/>
          <w:highlight w:val="none"/>
          <w:vertAlign w:val="subscript"/>
        </w:rPr>
        <w:t>0i</w:t>
      </w:r>
      <w:r>
        <w:rPr>
          <w:rFonts w:ascii="Times New Roman" w:hAnsi="Times New Roman"/>
          <w:color w:val="auto"/>
          <w:highlight w:val="none"/>
        </w:rPr>
        <w:t>—第i个污染物的环境空气质量浓度标准，μg/m</w:t>
      </w:r>
      <w:r>
        <w:rPr>
          <w:rFonts w:ascii="Times New Roman" w:hAnsi="Times New Roman"/>
          <w:color w:val="auto"/>
          <w:highlight w:val="none"/>
          <w:vertAlign w:val="superscript"/>
        </w:rPr>
        <w:t>3</w:t>
      </w:r>
      <w:r>
        <w:rPr>
          <w:rFonts w:ascii="Times New Roman" w:hAnsi="Times New Roman"/>
          <w:color w:val="auto"/>
          <w:highlight w:val="none"/>
        </w:rPr>
        <w:t>。</w:t>
      </w:r>
    </w:p>
    <w:p w14:paraId="3B5320D3">
      <w:pPr>
        <w:spacing w:line="360" w:lineRule="auto"/>
        <w:ind w:left="-105" w:right="-105" w:firstLine="480"/>
        <w:jc w:val="both"/>
        <w:rPr>
          <w:rFonts w:ascii="Times New Roman" w:hAnsi="Times New Roman"/>
          <w:color w:val="auto"/>
          <w:highlight w:val="none"/>
        </w:rPr>
      </w:pPr>
      <w:r>
        <w:rPr>
          <w:rFonts w:ascii="Times New Roman" w:hAnsi="Times New Roman"/>
          <w:color w:val="auto"/>
          <w:highlight w:val="none"/>
        </w:rPr>
        <w:t>一般选用GB3095中1h平均质量浓度的二级浓度限值，如项目位于一类环境空气功能区，应选择相应的一级浓度限值；对该标准中未包含的污染物，使用5.2确定的各评价因子1h平均质量浓度限值。对仅有8h平均质量浓度限值、日平均质量浓度限值或者年平均质量浓度限值的，可分别按2倍、3倍、6倍折算为1h平均浓度限值。</w:t>
      </w:r>
    </w:p>
    <w:p w14:paraId="5D9AA67D">
      <w:pPr>
        <w:spacing w:line="360" w:lineRule="auto"/>
        <w:ind w:left="-105" w:right="-105" w:firstLine="480"/>
        <w:jc w:val="both"/>
        <w:rPr>
          <w:rFonts w:ascii="Times New Roman" w:hAnsi="Times New Roman"/>
          <w:color w:val="auto"/>
          <w:highlight w:val="none"/>
        </w:rPr>
      </w:pPr>
      <w:r>
        <w:rPr>
          <w:rFonts w:ascii="Times New Roman" w:hAnsi="Times New Roman"/>
          <w:color w:val="auto"/>
          <w:highlight w:val="none"/>
        </w:rPr>
        <w:t>大气评价工作等级按下表的分级判据进行划分，最大地面空气质量浓度占标率Pi按下述公式计算，如果污染物数i大于1，取P值中最大者Pmax：</w:t>
      </w:r>
    </w:p>
    <w:p w14:paraId="756651E8">
      <w:pPr>
        <w:pStyle w:val="15"/>
        <w:spacing w:line="360" w:lineRule="auto"/>
        <w:ind w:left="-105" w:right="-105" w:firstLine="482"/>
        <w:rPr>
          <w:rFonts w:eastAsia="宋体" w:cs="Times New Roman"/>
          <w:color w:val="auto"/>
          <w:sz w:val="24"/>
          <w:szCs w:val="18"/>
          <w:highlight w:val="none"/>
        </w:rPr>
      </w:pPr>
      <w:r>
        <w:rPr>
          <w:rFonts w:eastAsia="宋体" w:cs="Times New Roman"/>
          <w:color w:val="auto"/>
          <w:sz w:val="24"/>
          <w:szCs w:val="18"/>
          <w:highlight w:val="none"/>
        </w:rPr>
        <w:t>表</w:t>
      </w:r>
      <w:r>
        <w:rPr>
          <w:rFonts w:eastAsia="宋体" w:cs="Times New Roman"/>
          <w:color w:val="auto"/>
          <w:sz w:val="24"/>
          <w:szCs w:val="18"/>
          <w:highlight w:val="none"/>
        </w:rPr>
        <w:fldChar w:fldCharType="begin"/>
      </w:r>
      <w:r>
        <w:rPr>
          <w:rFonts w:eastAsia="宋体" w:cs="Times New Roman"/>
          <w:color w:val="auto"/>
          <w:sz w:val="24"/>
          <w:szCs w:val="18"/>
          <w:highlight w:val="none"/>
        </w:rPr>
        <w:instrText xml:space="preserve"> STYLEREF 2 \s </w:instrText>
      </w:r>
      <w:r>
        <w:rPr>
          <w:rFonts w:eastAsia="宋体" w:cs="Times New Roman"/>
          <w:color w:val="auto"/>
          <w:sz w:val="24"/>
          <w:szCs w:val="18"/>
          <w:highlight w:val="none"/>
        </w:rPr>
        <w:fldChar w:fldCharType="separate"/>
      </w:r>
      <w:r>
        <w:rPr>
          <w:rFonts w:eastAsia="宋体" w:cs="Times New Roman"/>
          <w:color w:val="auto"/>
          <w:sz w:val="24"/>
          <w:szCs w:val="18"/>
          <w:highlight w:val="none"/>
        </w:rPr>
        <w:t>6.1</w:t>
      </w:r>
      <w:r>
        <w:rPr>
          <w:rFonts w:eastAsia="宋体" w:cs="Times New Roman"/>
          <w:color w:val="auto"/>
          <w:sz w:val="24"/>
          <w:szCs w:val="18"/>
          <w:highlight w:val="none"/>
        </w:rPr>
        <w:fldChar w:fldCharType="end"/>
      </w:r>
      <w:r>
        <w:rPr>
          <w:rFonts w:eastAsia="宋体" w:cs="Times New Roman"/>
          <w:color w:val="auto"/>
          <w:sz w:val="24"/>
          <w:szCs w:val="18"/>
          <w:highlight w:val="none"/>
        </w:rPr>
        <w:noBreakHyphen/>
      </w:r>
      <w:r>
        <w:rPr>
          <w:rFonts w:eastAsia="宋体" w:cs="Times New Roman"/>
          <w:color w:val="auto"/>
          <w:sz w:val="24"/>
          <w:szCs w:val="18"/>
          <w:highlight w:val="none"/>
        </w:rPr>
        <w:fldChar w:fldCharType="begin"/>
      </w:r>
      <w:r>
        <w:rPr>
          <w:rFonts w:eastAsia="宋体" w:cs="Times New Roman"/>
          <w:color w:val="auto"/>
          <w:sz w:val="24"/>
          <w:szCs w:val="18"/>
          <w:highlight w:val="none"/>
        </w:rPr>
        <w:instrText xml:space="preserve"> SEQ 表 \* ARABIC \s 2 </w:instrText>
      </w:r>
      <w:r>
        <w:rPr>
          <w:rFonts w:eastAsia="宋体" w:cs="Times New Roman"/>
          <w:color w:val="auto"/>
          <w:sz w:val="24"/>
          <w:szCs w:val="18"/>
          <w:highlight w:val="none"/>
        </w:rPr>
        <w:fldChar w:fldCharType="separate"/>
      </w:r>
      <w:r>
        <w:rPr>
          <w:rFonts w:eastAsia="宋体" w:cs="Times New Roman"/>
          <w:color w:val="auto"/>
          <w:sz w:val="24"/>
          <w:szCs w:val="18"/>
          <w:highlight w:val="none"/>
        </w:rPr>
        <w:t>5</w:t>
      </w:r>
      <w:r>
        <w:rPr>
          <w:rFonts w:eastAsia="宋体" w:cs="Times New Roman"/>
          <w:color w:val="auto"/>
          <w:sz w:val="24"/>
          <w:szCs w:val="18"/>
          <w:highlight w:val="none"/>
        </w:rPr>
        <w:fldChar w:fldCharType="end"/>
      </w:r>
      <w:r>
        <w:rPr>
          <w:rFonts w:eastAsia="宋体" w:cs="Times New Roman"/>
          <w:color w:val="auto"/>
          <w:sz w:val="24"/>
          <w:szCs w:val="18"/>
          <w:highlight w:val="none"/>
        </w:rPr>
        <w:t>评价等级判别表</w:t>
      </w:r>
    </w:p>
    <w:tbl>
      <w:tblPr>
        <w:tblStyle w:val="45"/>
        <w:tblW w:w="9070"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28" w:type="dxa"/>
          <w:bottom w:w="0" w:type="dxa"/>
          <w:right w:w="28" w:type="dxa"/>
        </w:tblCellMar>
      </w:tblPr>
      <w:tblGrid>
        <w:gridCol w:w="4174"/>
        <w:gridCol w:w="4896"/>
      </w:tblGrid>
      <w:tr w14:paraId="45BD382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cantSplit/>
          <w:trHeight w:val="241" w:hRule="atLeast"/>
          <w:jc w:val="center"/>
        </w:trPr>
        <w:tc>
          <w:tcPr>
            <w:tcW w:w="4174" w:type="dxa"/>
            <w:shd w:val="clear" w:color="auto" w:fill="auto"/>
            <w:vAlign w:val="center"/>
          </w:tcPr>
          <w:p w14:paraId="67EBB142">
            <w:pPr>
              <w:pStyle w:val="118"/>
              <w:ind w:left="-105" w:right="-105"/>
              <w:rPr>
                <w:rFonts w:ascii="Times New Roman" w:hAnsi="Times New Roman" w:eastAsia="宋体"/>
                <w:b/>
                <w:bCs/>
                <w:color w:val="auto"/>
                <w:sz w:val="21"/>
                <w:szCs w:val="21"/>
                <w:highlight w:val="none"/>
              </w:rPr>
            </w:pPr>
            <w:r>
              <w:rPr>
                <w:rFonts w:ascii="Times New Roman" w:hAnsi="Times New Roman" w:eastAsia="宋体"/>
                <w:b/>
                <w:bCs/>
                <w:color w:val="auto"/>
                <w:sz w:val="21"/>
                <w:szCs w:val="21"/>
                <w:highlight w:val="none"/>
              </w:rPr>
              <w:t>评价等级</w:t>
            </w:r>
          </w:p>
        </w:tc>
        <w:tc>
          <w:tcPr>
            <w:tcW w:w="4896" w:type="dxa"/>
            <w:shd w:val="clear" w:color="auto" w:fill="auto"/>
            <w:vAlign w:val="center"/>
          </w:tcPr>
          <w:p w14:paraId="5CDA7716">
            <w:pPr>
              <w:pStyle w:val="118"/>
              <w:ind w:left="-105" w:right="-105"/>
              <w:rPr>
                <w:rFonts w:ascii="Times New Roman" w:hAnsi="Times New Roman" w:eastAsia="宋体"/>
                <w:b/>
                <w:bCs/>
                <w:color w:val="auto"/>
                <w:sz w:val="21"/>
                <w:szCs w:val="21"/>
                <w:highlight w:val="none"/>
              </w:rPr>
            </w:pPr>
            <w:r>
              <w:rPr>
                <w:rFonts w:ascii="Times New Roman" w:hAnsi="Times New Roman" w:eastAsia="宋体"/>
                <w:b/>
                <w:bCs/>
                <w:color w:val="auto"/>
                <w:sz w:val="21"/>
                <w:szCs w:val="21"/>
                <w:highlight w:val="none"/>
              </w:rPr>
              <w:t>评价工作分级判据</w:t>
            </w:r>
          </w:p>
        </w:tc>
      </w:tr>
      <w:tr w14:paraId="40C586E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cantSplit/>
          <w:jc w:val="center"/>
        </w:trPr>
        <w:tc>
          <w:tcPr>
            <w:tcW w:w="4174" w:type="dxa"/>
            <w:vAlign w:val="center"/>
          </w:tcPr>
          <w:p w14:paraId="26AAB333">
            <w:pPr>
              <w:pStyle w:val="118"/>
              <w:ind w:left="-105" w:right="-105"/>
              <w:rPr>
                <w:rFonts w:ascii="Times New Roman" w:hAnsi="Times New Roman" w:eastAsia="宋体"/>
                <w:color w:val="auto"/>
                <w:sz w:val="21"/>
                <w:szCs w:val="21"/>
                <w:highlight w:val="none"/>
              </w:rPr>
            </w:pPr>
            <w:r>
              <w:rPr>
                <w:rFonts w:ascii="Times New Roman" w:hAnsi="Times New Roman" w:eastAsia="宋体"/>
                <w:color w:val="auto"/>
                <w:sz w:val="21"/>
                <w:szCs w:val="21"/>
                <w:highlight w:val="none"/>
              </w:rPr>
              <w:t>一级评价</w:t>
            </w:r>
          </w:p>
        </w:tc>
        <w:tc>
          <w:tcPr>
            <w:tcW w:w="4896" w:type="dxa"/>
            <w:vAlign w:val="center"/>
          </w:tcPr>
          <w:p w14:paraId="044E0391">
            <w:pPr>
              <w:pStyle w:val="118"/>
              <w:ind w:left="-105" w:right="-105"/>
              <w:rPr>
                <w:rFonts w:ascii="Times New Roman" w:hAnsi="Times New Roman" w:eastAsia="宋体"/>
                <w:color w:val="auto"/>
                <w:kern w:val="0"/>
                <w:sz w:val="21"/>
                <w:szCs w:val="21"/>
                <w:highlight w:val="none"/>
              </w:rPr>
            </w:pPr>
            <w:r>
              <w:rPr>
                <w:rFonts w:ascii="Times New Roman" w:hAnsi="Times New Roman" w:eastAsia="宋体"/>
                <w:i/>
                <w:color w:val="auto"/>
                <w:sz w:val="21"/>
                <w:szCs w:val="21"/>
                <w:highlight w:val="none"/>
              </w:rPr>
              <w:t>P</w:t>
            </w:r>
            <w:r>
              <w:rPr>
                <w:rFonts w:ascii="Times New Roman" w:hAnsi="Times New Roman" w:eastAsia="宋体"/>
                <w:i/>
                <w:color w:val="auto"/>
                <w:sz w:val="21"/>
                <w:szCs w:val="21"/>
                <w:highlight w:val="none"/>
                <w:vertAlign w:val="subscript"/>
              </w:rPr>
              <w:t>max</w:t>
            </w:r>
            <w:r>
              <w:rPr>
                <w:rFonts w:ascii="Times New Roman" w:hAnsi="Times New Roman" w:eastAsia="宋体"/>
                <w:color w:val="auto"/>
                <w:sz w:val="21"/>
                <w:szCs w:val="21"/>
                <w:highlight w:val="none"/>
              </w:rPr>
              <w:t>≥10%</w:t>
            </w:r>
          </w:p>
        </w:tc>
      </w:tr>
      <w:tr w14:paraId="080AB73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cantSplit/>
          <w:jc w:val="center"/>
        </w:trPr>
        <w:tc>
          <w:tcPr>
            <w:tcW w:w="4174" w:type="dxa"/>
            <w:vAlign w:val="center"/>
          </w:tcPr>
          <w:p w14:paraId="3CB45AA1">
            <w:pPr>
              <w:pStyle w:val="118"/>
              <w:ind w:left="-105" w:right="-105"/>
              <w:rPr>
                <w:rFonts w:ascii="Times New Roman" w:hAnsi="Times New Roman" w:eastAsia="宋体"/>
                <w:color w:val="auto"/>
                <w:sz w:val="21"/>
                <w:szCs w:val="21"/>
                <w:highlight w:val="none"/>
              </w:rPr>
            </w:pPr>
            <w:r>
              <w:rPr>
                <w:rFonts w:ascii="Times New Roman" w:hAnsi="Times New Roman" w:eastAsia="宋体"/>
                <w:color w:val="auto"/>
                <w:sz w:val="21"/>
                <w:szCs w:val="21"/>
                <w:highlight w:val="none"/>
              </w:rPr>
              <w:t>二级评价</w:t>
            </w:r>
          </w:p>
        </w:tc>
        <w:tc>
          <w:tcPr>
            <w:tcW w:w="4896" w:type="dxa"/>
            <w:vAlign w:val="center"/>
          </w:tcPr>
          <w:p w14:paraId="4B269DA4">
            <w:pPr>
              <w:pStyle w:val="118"/>
              <w:ind w:left="-105" w:right="-105"/>
              <w:rPr>
                <w:rFonts w:ascii="Times New Roman" w:hAnsi="Times New Roman" w:eastAsia="宋体"/>
                <w:color w:val="auto"/>
                <w:kern w:val="0"/>
                <w:sz w:val="21"/>
                <w:szCs w:val="21"/>
                <w:highlight w:val="none"/>
              </w:rPr>
            </w:pPr>
            <w:r>
              <w:rPr>
                <w:rFonts w:ascii="Times New Roman" w:hAnsi="Times New Roman" w:eastAsia="宋体"/>
                <w:color w:val="auto"/>
                <w:sz w:val="21"/>
                <w:szCs w:val="21"/>
                <w:highlight w:val="none"/>
              </w:rPr>
              <w:t>1</w:t>
            </w:r>
            <w:r>
              <w:rPr>
                <w:rFonts w:ascii="Times New Roman" w:hAnsi="Times New Roman" w:eastAsia="宋体"/>
                <w:i/>
                <w:color w:val="auto"/>
                <w:sz w:val="21"/>
                <w:szCs w:val="21"/>
                <w:highlight w:val="none"/>
              </w:rPr>
              <w:t>%≤P</w:t>
            </w:r>
            <w:r>
              <w:rPr>
                <w:rFonts w:ascii="Times New Roman" w:hAnsi="Times New Roman" w:eastAsia="宋体"/>
                <w:i/>
                <w:color w:val="auto"/>
                <w:sz w:val="21"/>
                <w:szCs w:val="21"/>
                <w:highlight w:val="none"/>
                <w:vertAlign w:val="subscript"/>
              </w:rPr>
              <w:t>max</w:t>
            </w:r>
            <w:r>
              <w:rPr>
                <w:rFonts w:ascii="Times New Roman" w:hAnsi="Times New Roman" w:eastAsia="宋体"/>
                <w:color w:val="auto"/>
                <w:sz w:val="21"/>
                <w:szCs w:val="21"/>
                <w:highlight w:val="none"/>
              </w:rPr>
              <w:t>＜10%</w:t>
            </w:r>
          </w:p>
        </w:tc>
      </w:tr>
      <w:tr w14:paraId="1EDBBA7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cantSplit/>
          <w:jc w:val="center"/>
        </w:trPr>
        <w:tc>
          <w:tcPr>
            <w:tcW w:w="4174" w:type="dxa"/>
            <w:vAlign w:val="center"/>
          </w:tcPr>
          <w:p w14:paraId="793A5172">
            <w:pPr>
              <w:pStyle w:val="118"/>
              <w:ind w:left="-105" w:right="-105"/>
              <w:rPr>
                <w:rFonts w:ascii="Times New Roman" w:hAnsi="Times New Roman" w:eastAsia="宋体"/>
                <w:color w:val="auto"/>
                <w:sz w:val="21"/>
                <w:szCs w:val="21"/>
                <w:highlight w:val="none"/>
              </w:rPr>
            </w:pPr>
            <w:r>
              <w:rPr>
                <w:rFonts w:ascii="Times New Roman" w:hAnsi="Times New Roman" w:eastAsia="宋体"/>
                <w:color w:val="auto"/>
                <w:sz w:val="21"/>
                <w:szCs w:val="21"/>
                <w:highlight w:val="none"/>
              </w:rPr>
              <w:t>三级评价</w:t>
            </w:r>
          </w:p>
        </w:tc>
        <w:tc>
          <w:tcPr>
            <w:tcW w:w="4896" w:type="dxa"/>
            <w:vAlign w:val="center"/>
          </w:tcPr>
          <w:p w14:paraId="5BD9188F">
            <w:pPr>
              <w:pStyle w:val="118"/>
              <w:ind w:left="-105" w:right="-105"/>
              <w:rPr>
                <w:rFonts w:ascii="Times New Roman" w:hAnsi="Times New Roman" w:eastAsia="宋体"/>
                <w:color w:val="auto"/>
                <w:kern w:val="0"/>
                <w:sz w:val="21"/>
                <w:szCs w:val="21"/>
                <w:highlight w:val="none"/>
              </w:rPr>
            </w:pPr>
            <w:r>
              <w:rPr>
                <w:rFonts w:ascii="Times New Roman" w:hAnsi="Times New Roman" w:eastAsia="宋体"/>
                <w:i/>
                <w:color w:val="auto"/>
                <w:sz w:val="21"/>
                <w:szCs w:val="21"/>
                <w:highlight w:val="none"/>
              </w:rPr>
              <w:t>P</w:t>
            </w:r>
            <w:r>
              <w:rPr>
                <w:rFonts w:ascii="Times New Roman" w:hAnsi="Times New Roman" w:eastAsia="宋体"/>
                <w:i/>
                <w:color w:val="auto"/>
                <w:sz w:val="21"/>
                <w:szCs w:val="21"/>
                <w:highlight w:val="none"/>
                <w:vertAlign w:val="subscript"/>
              </w:rPr>
              <w:t>max</w:t>
            </w:r>
            <w:r>
              <w:rPr>
                <w:rFonts w:ascii="Times New Roman" w:hAnsi="Times New Roman" w:eastAsia="宋体"/>
                <w:color w:val="auto"/>
                <w:sz w:val="21"/>
                <w:szCs w:val="21"/>
                <w:highlight w:val="none"/>
              </w:rPr>
              <w:t>＜1%</w:t>
            </w:r>
          </w:p>
        </w:tc>
      </w:tr>
    </w:tbl>
    <w:p w14:paraId="5B6C8CC5">
      <w:pPr>
        <w:ind w:left="-105" w:right="-105"/>
        <w:rPr>
          <w:color w:val="auto"/>
          <w:highlight w:val="none"/>
        </w:rPr>
      </w:pPr>
      <w:bookmarkStart w:id="370" w:name="_Toc60653549"/>
    </w:p>
    <w:p w14:paraId="679EAB2A">
      <w:pPr>
        <w:pStyle w:val="5"/>
        <w:keepLines w:val="0"/>
        <w:numPr>
          <w:ilvl w:val="2"/>
          <w:numId w:val="0"/>
        </w:numPr>
        <w:tabs>
          <w:tab w:val="left" w:pos="567"/>
          <w:tab w:val="left" w:pos="709"/>
          <w:tab w:val="left" w:pos="993"/>
          <w:tab w:val="left" w:pos="6663"/>
        </w:tabs>
        <w:spacing w:before="0" w:after="0" w:line="360" w:lineRule="auto"/>
        <w:ind w:right="-105"/>
        <w:rPr>
          <w:rFonts w:eastAsia="宋体"/>
          <w:color w:val="auto"/>
          <w:sz w:val="28"/>
          <w:szCs w:val="28"/>
          <w:highlight w:val="none"/>
        </w:rPr>
      </w:pPr>
      <w:r>
        <w:rPr>
          <w:rFonts w:hint="eastAsia" w:eastAsia="宋体"/>
          <w:color w:val="auto"/>
          <w:sz w:val="28"/>
          <w:szCs w:val="28"/>
          <w:highlight w:val="none"/>
        </w:rPr>
        <w:t>6.1.4</w:t>
      </w:r>
      <w:r>
        <w:rPr>
          <w:rFonts w:eastAsia="宋体"/>
          <w:color w:val="auto"/>
          <w:sz w:val="28"/>
          <w:szCs w:val="28"/>
          <w:highlight w:val="none"/>
        </w:rPr>
        <w:t>污染源预测参数</w:t>
      </w:r>
      <w:bookmarkEnd w:id="370"/>
    </w:p>
    <w:p w14:paraId="4CC4CA4A">
      <w:pPr>
        <w:spacing w:line="360" w:lineRule="auto"/>
        <w:ind w:left="-105" w:right="-105" w:firstLine="480"/>
        <w:rPr>
          <w:rFonts w:ascii="Times New Roman" w:hAnsi="Times New Roman"/>
          <w:color w:val="auto"/>
          <w:highlight w:val="none"/>
        </w:rPr>
        <w:sectPr>
          <w:pgSz w:w="11906" w:h="16838"/>
          <w:pgMar w:top="1440" w:right="1701" w:bottom="1440" w:left="1701" w:header="851" w:footer="851" w:gutter="0"/>
          <w:pgBorders>
            <w:top w:val="none" w:sz="0" w:space="0"/>
            <w:left w:val="none" w:sz="0" w:space="0"/>
            <w:bottom w:val="none" w:sz="0" w:space="0"/>
            <w:right w:val="none" w:sz="0" w:space="0"/>
          </w:pgBorders>
          <w:cols w:space="720" w:num="1"/>
          <w:docGrid w:linePitch="498" w:charSpace="-2336"/>
        </w:sectPr>
      </w:pPr>
      <w:r>
        <w:rPr>
          <w:rFonts w:ascii="Times New Roman" w:hAnsi="Times New Roman"/>
          <w:color w:val="auto"/>
          <w:highlight w:val="none"/>
        </w:rPr>
        <w:t>根据工程分析，各主要废气污染物排放参数见</w:t>
      </w:r>
      <w:r>
        <w:rPr>
          <w:rFonts w:ascii="Times New Roman" w:hAnsi="Times New Roman" w:cs="Times New Roman"/>
          <w:color w:val="auto"/>
          <w:highlight w:val="none"/>
        </w:rPr>
        <w:fldChar w:fldCharType="begin"/>
      </w:r>
      <w:r>
        <w:rPr>
          <w:rFonts w:ascii="Times New Roman" w:hAnsi="Times New Roman" w:cs="Times New Roman"/>
          <w:color w:val="auto"/>
          <w:highlight w:val="none"/>
        </w:rPr>
        <w:instrText xml:space="preserve"> REF _Ref38547013 \h  \* MERGEFORMAT </w:instrText>
      </w:r>
      <w:r>
        <w:rPr>
          <w:rFonts w:ascii="Times New Roman" w:hAnsi="Times New Roman" w:cs="Times New Roman"/>
          <w:color w:val="auto"/>
          <w:highlight w:val="none"/>
        </w:rPr>
        <w:fldChar w:fldCharType="separate"/>
      </w:r>
      <w:r>
        <w:rPr>
          <w:rFonts w:ascii="Times New Roman" w:hAnsi="Times New Roman" w:cs="Times New Roman"/>
          <w:color w:val="auto"/>
          <w:szCs w:val="22"/>
          <w:highlight w:val="none"/>
        </w:rPr>
        <w:t>表</w:t>
      </w:r>
      <w:r>
        <w:rPr>
          <w:rFonts w:ascii="Times New Roman" w:hAnsi="Times New Roman" w:cs="Times New Roman"/>
          <w:color w:val="auto"/>
          <w:szCs w:val="22"/>
          <w:highlight w:val="none"/>
        </w:rPr>
        <w:fldChar w:fldCharType="begin"/>
      </w:r>
      <w:r>
        <w:rPr>
          <w:rFonts w:ascii="Times New Roman" w:hAnsi="Times New Roman" w:cs="Times New Roman"/>
          <w:color w:val="auto"/>
          <w:szCs w:val="22"/>
          <w:highlight w:val="none"/>
        </w:rPr>
        <w:instrText xml:space="preserve"> STYLEREF</w:instrText>
      </w:r>
      <w:r>
        <w:rPr>
          <w:rFonts w:ascii="Times New Roman" w:hAnsi="Times New Roman" w:cs="Times New Roman"/>
          <w:color w:val="auto"/>
          <w:highlight w:val="none"/>
        </w:rPr>
        <w:instrText xml:space="preserve"> 2 \s </w:instrText>
      </w:r>
      <w:r>
        <w:rPr>
          <w:rFonts w:ascii="Times New Roman" w:hAnsi="Times New Roman" w:cs="Times New Roman"/>
          <w:color w:val="auto"/>
          <w:highlight w:val="none"/>
        </w:rPr>
        <w:fldChar w:fldCharType="separate"/>
      </w:r>
      <w:r>
        <w:rPr>
          <w:rFonts w:ascii="Times New Roman" w:hAnsi="Times New Roman" w:cs="Times New Roman"/>
          <w:color w:val="auto"/>
          <w:highlight w:val="none"/>
        </w:rPr>
        <w:t>6.1</w:t>
      </w:r>
      <w:r>
        <w:rPr>
          <w:rFonts w:ascii="Times New Roman" w:hAnsi="Times New Roman" w:cs="Times New Roman"/>
          <w:color w:val="auto"/>
          <w:highlight w:val="none"/>
        </w:rPr>
        <w:fldChar w:fldCharType="end"/>
      </w:r>
      <w:r>
        <w:rPr>
          <w:rFonts w:ascii="Times New Roman" w:hAnsi="Times New Roman" w:cs="Times New Roman"/>
          <w:color w:val="auto"/>
          <w:highlight w:val="none"/>
        </w:rPr>
        <w:noBreakHyphen/>
      </w:r>
      <w:r>
        <w:rPr>
          <w:rFonts w:ascii="Times New Roman" w:hAnsi="Times New Roman" w:cs="Times New Roman"/>
          <w:color w:val="auto"/>
          <w:highlight w:val="none"/>
        </w:rPr>
        <w:t>6</w:t>
      </w:r>
      <w:r>
        <w:rPr>
          <w:rFonts w:ascii="Times New Roman" w:hAnsi="Times New Roman" w:cs="Times New Roman"/>
          <w:color w:val="auto"/>
          <w:highlight w:val="none"/>
        </w:rPr>
        <w:fldChar w:fldCharType="end"/>
      </w:r>
      <w:r>
        <w:rPr>
          <w:rFonts w:ascii="Times New Roman" w:hAnsi="Times New Roman" w:cs="Times New Roman"/>
          <w:color w:val="auto"/>
          <w:highlight w:val="none"/>
        </w:rPr>
        <w:t>和</w:t>
      </w:r>
      <w:r>
        <w:rPr>
          <w:rFonts w:ascii="Times New Roman" w:hAnsi="Times New Roman" w:cs="Times New Roman"/>
          <w:color w:val="auto"/>
          <w:highlight w:val="none"/>
        </w:rPr>
        <w:fldChar w:fldCharType="begin"/>
      </w:r>
      <w:r>
        <w:rPr>
          <w:rFonts w:ascii="Times New Roman" w:hAnsi="Times New Roman" w:cs="Times New Roman"/>
          <w:color w:val="auto"/>
          <w:highlight w:val="none"/>
        </w:rPr>
        <w:instrText xml:space="preserve"> REF _Ref38547020 \h  \* MERGEFORMAT </w:instrText>
      </w:r>
      <w:r>
        <w:rPr>
          <w:rFonts w:ascii="Times New Roman" w:hAnsi="Times New Roman" w:cs="Times New Roman"/>
          <w:color w:val="auto"/>
          <w:highlight w:val="none"/>
        </w:rPr>
        <w:fldChar w:fldCharType="separate"/>
      </w:r>
      <w:r>
        <w:rPr>
          <w:rFonts w:ascii="Times New Roman" w:hAnsi="Times New Roman" w:cs="Times New Roman"/>
          <w:color w:val="auto"/>
          <w:szCs w:val="22"/>
          <w:highlight w:val="none"/>
        </w:rPr>
        <w:t>表</w:t>
      </w:r>
      <w:r>
        <w:rPr>
          <w:rFonts w:ascii="Times New Roman" w:hAnsi="Times New Roman" w:cs="Times New Roman"/>
          <w:color w:val="auto"/>
          <w:szCs w:val="22"/>
          <w:highlight w:val="none"/>
        </w:rPr>
        <w:fldChar w:fldCharType="begin"/>
      </w:r>
      <w:r>
        <w:rPr>
          <w:rFonts w:ascii="Times New Roman" w:hAnsi="Times New Roman" w:cs="Times New Roman"/>
          <w:color w:val="auto"/>
          <w:szCs w:val="22"/>
          <w:highlight w:val="none"/>
        </w:rPr>
        <w:instrText xml:space="preserve"> STYLEREF</w:instrText>
      </w:r>
      <w:r>
        <w:rPr>
          <w:rFonts w:ascii="Times New Roman" w:hAnsi="Times New Roman" w:cs="Times New Roman"/>
          <w:color w:val="auto"/>
          <w:highlight w:val="none"/>
        </w:rPr>
        <w:instrText xml:space="preserve"> 2 \s </w:instrText>
      </w:r>
      <w:r>
        <w:rPr>
          <w:rFonts w:ascii="Times New Roman" w:hAnsi="Times New Roman" w:cs="Times New Roman"/>
          <w:color w:val="auto"/>
          <w:highlight w:val="none"/>
        </w:rPr>
        <w:fldChar w:fldCharType="separate"/>
      </w:r>
      <w:r>
        <w:rPr>
          <w:rFonts w:ascii="Times New Roman" w:hAnsi="Times New Roman" w:cs="Times New Roman"/>
          <w:color w:val="auto"/>
          <w:highlight w:val="none"/>
        </w:rPr>
        <w:t>6.1</w:t>
      </w:r>
      <w:r>
        <w:rPr>
          <w:rFonts w:ascii="Times New Roman" w:hAnsi="Times New Roman" w:cs="Times New Roman"/>
          <w:color w:val="auto"/>
          <w:highlight w:val="none"/>
        </w:rPr>
        <w:fldChar w:fldCharType="end"/>
      </w:r>
      <w:r>
        <w:rPr>
          <w:rFonts w:ascii="Times New Roman" w:hAnsi="Times New Roman" w:cs="Times New Roman"/>
          <w:color w:val="auto"/>
          <w:highlight w:val="none"/>
        </w:rPr>
        <w:noBreakHyphen/>
      </w:r>
      <w:r>
        <w:rPr>
          <w:rFonts w:ascii="Times New Roman" w:hAnsi="Times New Roman" w:cs="Times New Roman"/>
          <w:color w:val="auto"/>
          <w:highlight w:val="none"/>
        </w:rPr>
        <w:t>7</w:t>
      </w:r>
      <w:r>
        <w:rPr>
          <w:rFonts w:ascii="Times New Roman" w:hAnsi="Times New Roman" w:cs="Times New Roman"/>
          <w:color w:val="auto"/>
          <w:highlight w:val="none"/>
        </w:rPr>
        <w:fldChar w:fldCharType="end"/>
      </w:r>
      <w:r>
        <w:rPr>
          <w:rFonts w:ascii="Times New Roman" w:hAnsi="Times New Roman"/>
          <w:color w:val="auto"/>
          <w:highlight w:val="none"/>
        </w:rPr>
        <w:t>。</w:t>
      </w:r>
    </w:p>
    <w:p w14:paraId="3A580DF1">
      <w:pPr>
        <w:pStyle w:val="15"/>
        <w:spacing w:line="360" w:lineRule="auto"/>
        <w:ind w:left="-105" w:right="-105" w:firstLine="482"/>
        <w:rPr>
          <w:rFonts w:eastAsia="宋体" w:cs="Times New Roman"/>
          <w:b w:val="0"/>
          <w:bCs/>
          <w:color w:val="auto"/>
          <w:sz w:val="24"/>
          <w:szCs w:val="18"/>
          <w:highlight w:val="none"/>
        </w:rPr>
      </w:pPr>
      <w:bookmarkStart w:id="371" w:name="_Ref38547013"/>
      <w:r>
        <w:rPr>
          <w:rFonts w:eastAsia="宋体" w:cs="Times New Roman"/>
          <w:color w:val="auto"/>
          <w:sz w:val="24"/>
          <w:szCs w:val="18"/>
          <w:highlight w:val="none"/>
        </w:rPr>
        <w:t>表</w:t>
      </w:r>
      <w:r>
        <w:rPr>
          <w:rFonts w:eastAsia="宋体" w:cs="Times New Roman"/>
          <w:color w:val="auto"/>
          <w:sz w:val="24"/>
          <w:szCs w:val="18"/>
          <w:highlight w:val="none"/>
        </w:rPr>
        <w:fldChar w:fldCharType="begin"/>
      </w:r>
      <w:r>
        <w:rPr>
          <w:rFonts w:eastAsia="宋体" w:cs="Times New Roman"/>
          <w:color w:val="auto"/>
          <w:sz w:val="24"/>
          <w:szCs w:val="18"/>
          <w:highlight w:val="none"/>
        </w:rPr>
        <w:instrText xml:space="preserve"> STYLEREF 2 \s </w:instrText>
      </w:r>
      <w:r>
        <w:rPr>
          <w:rFonts w:eastAsia="宋体" w:cs="Times New Roman"/>
          <w:color w:val="auto"/>
          <w:sz w:val="24"/>
          <w:szCs w:val="18"/>
          <w:highlight w:val="none"/>
        </w:rPr>
        <w:fldChar w:fldCharType="separate"/>
      </w:r>
      <w:r>
        <w:rPr>
          <w:rFonts w:eastAsia="宋体" w:cs="Times New Roman"/>
          <w:color w:val="auto"/>
          <w:sz w:val="24"/>
          <w:szCs w:val="18"/>
          <w:highlight w:val="none"/>
        </w:rPr>
        <w:t>6.1</w:t>
      </w:r>
      <w:r>
        <w:rPr>
          <w:rFonts w:eastAsia="宋体" w:cs="Times New Roman"/>
          <w:color w:val="auto"/>
          <w:sz w:val="24"/>
          <w:szCs w:val="18"/>
          <w:highlight w:val="none"/>
        </w:rPr>
        <w:fldChar w:fldCharType="end"/>
      </w:r>
      <w:r>
        <w:rPr>
          <w:rFonts w:eastAsia="宋体" w:cs="Times New Roman"/>
          <w:color w:val="auto"/>
          <w:sz w:val="24"/>
          <w:szCs w:val="18"/>
          <w:highlight w:val="none"/>
        </w:rPr>
        <w:noBreakHyphen/>
      </w:r>
      <w:r>
        <w:rPr>
          <w:rFonts w:eastAsia="宋体" w:cs="Times New Roman"/>
          <w:color w:val="auto"/>
          <w:sz w:val="24"/>
          <w:szCs w:val="18"/>
          <w:highlight w:val="none"/>
        </w:rPr>
        <w:fldChar w:fldCharType="begin"/>
      </w:r>
      <w:r>
        <w:rPr>
          <w:rFonts w:eastAsia="宋体" w:cs="Times New Roman"/>
          <w:color w:val="auto"/>
          <w:sz w:val="24"/>
          <w:szCs w:val="18"/>
          <w:highlight w:val="none"/>
        </w:rPr>
        <w:instrText xml:space="preserve"> SEQ 表 \* ARABIC \s 2 </w:instrText>
      </w:r>
      <w:r>
        <w:rPr>
          <w:rFonts w:eastAsia="宋体" w:cs="Times New Roman"/>
          <w:color w:val="auto"/>
          <w:sz w:val="24"/>
          <w:szCs w:val="18"/>
          <w:highlight w:val="none"/>
        </w:rPr>
        <w:fldChar w:fldCharType="separate"/>
      </w:r>
      <w:r>
        <w:rPr>
          <w:rFonts w:eastAsia="宋体" w:cs="Times New Roman"/>
          <w:color w:val="auto"/>
          <w:sz w:val="24"/>
          <w:szCs w:val="18"/>
          <w:highlight w:val="none"/>
        </w:rPr>
        <w:t>6</w:t>
      </w:r>
      <w:r>
        <w:rPr>
          <w:rFonts w:eastAsia="宋体" w:cs="Times New Roman"/>
          <w:color w:val="auto"/>
          <w:sz w:val="24"/>
          <w:szCs w:val="18"/>
          <w:highlight w:val="none"/>
        </w:rPr>
        <w:fldChar w:fldCharType="end"/>
      </w:r>
      <w:bookmarkEnd w:id="371"/>
      <w:r>
        <w:rPr>
          <w:rFonts w:eastAsia="宋体" w:cs="Times New Roman"/>
          <w:bCs/>
          <w:color w:val="auto"/>
          <w:sz w:val="24"/>
          <w:szCs w:val="18"/>
          <w:highlight w:val="none"/>
        </w:rPr>
        <w:t>本项目点源参数表</w:t>
      </w:r>
    </w:p>
    <w:tbl>
      <w:tblPr>
        <w:tblStyle w:val="45"/>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28" w:type="dxa"/>
          <w:bottom w:w="0" w:type="dxa"/>
          <w:right w:w="28" w:type="dxa"/>
        </w:tblCellMar>
      </w:tblPr>
      <w:tblGrid>
        <w:gridCol w:w="804"/>
        <w:gridCol w:w="1301"/>
        <w:gridCol w:w="956"/>
        <w:gridCol w:w="956"/>
        <w:gridCol w:w="1337"/>
        <w:gridCol w:w="804"/>
        <w:gridCol w:w="1071"/>
        <w:gridCol w:w="1604"/>
        <w:gridCol w:w="1255"/>
        <w:gridCol w:w="1139"/>
        <w:gridCol w:w="955"/>
        <w:gridCol w:w="1310"/>
      </w:tblGrid>
      <w:tr w14:paraId="1128656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cantSplit/>
          <w:trHeight w:val="335" w:hRule="atLeast"/>
          <w:jc w:val="center"/>
        </w:trPr>
        <w:tc>
          <w:tcPr>
            <w:tcW w:w="863" w:type="dxa"/>
            <w:shd w:val="clear" w:color="auto" w:fill="auto"/>
            <w:vAlign w:val="center"/>
          </w:tcPr>
          <w:p w14:paraId="5EC87594">
            <w:pPr>
              <w:pStyle w:val="118"/>
              <w:keepNext w:val="0"/>
              <w:keepLines w:val="0"/>
              <w:pageBreakBefore w:val="0"/>
              <w:kinsoku/>
              <w:wordWrap/>
              <w:overflowPunct/>
              <w:topLinePunct w:val="0"/>
              <w:autoSpaceDE/>
              <w:autoSpaceDN/>
              <w:bidi w:val="0"/>
              <w:adjustRightInd/>
              <w:snapToGrid/>
              <w:ind w:left="0" w:right="0"/>
              <w:textAlignment w:val="auto"/>
              <w:rPr>
                <w:rFonts w:ascii="Times New Roman" w:hAnsi="Times New Roman" w:eastAsia="宋体"/>
                <w:b/>
                <w:bCs/>
                <w:color w:val="auto"/>
                <w:sz w:val="21"/>
                <w:szCs w:val="21"/>
                <w:highlight w:val="none"/>
              </w:rPr>
            </w:pPr>
            <w:r>
              <w:rPr>
                <w:rFonts w:ascii="Times New Roman" w:hAnsi="Times New Roman" w:eastAsia="宋体"/>
                <w:b/>
                <w:bCs/>
                <w:color w:val="auto"/>
                <w:sz w:val="21"/>
                <w:szCs w:val="21"/>
                <w:highlight w:val="none"/>
              </w:rPr>
              <w:t>排气筒编号</w:t>
            </w:r>
          </w:p>
        </w:tc>
        <w:tc>
          <w:tcPr>
            <w:tcW w:w="1399" w:type="dxa"/>
            <w:shd w:val="clear" w:color="auto" w:fill="auto"/>
            <w:vAlign w:val="center"/>
          </w:tcPr>
          <w:p w14:paraId="7E12407E">
            <w:pPr>
              <w:pStyle w:val="118"/>
              <w:keepNext w:val="0"/>
              <w:keepLines w:val="0"/>
              <w:pageBreakBefore w:val="0"/>
              <w:kinsoku/>
              <w:wordWrap/>
              <w:overflowPunct/>
              <w:topLinePunct w:val="0"/>
              <w:autoSpaceDE/>
              <w:autoSpaceDN/>
              <w:bidi w:val="0"/>
              <w:adjustRightInd/>
              <w:snapToGrid/>
              <w:ind w:left="0" w:right="0"/>
              <w:textAlignment w:val="auto"/>
              <w:rPr>
                <w:rFonts w:ascii="Times New Roman" w:hAnsi="Times New Roman" w:eastAsia="宋体"/>
                <w:b/>
                <w:bCs/>
                <w:color w:val="auto"/>
                <w:sz w:val="21"/>
                <w:szCs w:val="21"/>
                <w:highlight w:val="none"/>
              </w:rPr>
            </w:pPr>
            <w:r>
              <w:rPr>
                <w:rFonts w:ascii="Times New Roman" w:hAnsi="Times New Roman" w:eastAsia="宋体"/>
                <w:b/>
                <w:bCs/>
                <w:color w:val="auto"/>
                <w:sz w:val="21"/>
                <w:szCs w:val="21"/>
                <w:highlight w:val="none"/>
              </w:rPr>
              <w:t>名称</w:t>
            </w:r>
          </w:p>
        </w:tc>
        <w:tc>
          <w:tcPr>
            <w:tcW w:w="1026" w:type="dxa"/>
            <w:shd w:val="clear" w:color="auto" w:fill="auto"/>
            <w:vAlign w:val="center"/>
          </w:tcPr>
          <w:p w14:paraId="188DDD05">
            <w:pPr>
              <w:pStyle w:val="118"/>
              <w:keepNext w:val="0"/>
              <w:keepLines w:val="0"/>
              <w:pageBreakBefore w:val="0"/>
              <w:kinsoku/>
              <w:wordWrap/>
              <w:overflowPunct/>
              <w:topLinePunct w:val="0"/>
              <w:autoSpaceDE/>
              <w:autoSpaceDN/>
              <w:bidi w:val="0"/>
              <w:adjustRightInd/>
              <w:snapToGrid/>
              <w:ind w:left="0" w:right="0"/>
              <w:textAlignment w:val="auto"/>
              <w:rPr>
                <w:rFonts w:ascii="Times New Roman" w:hAnsi="Times New Roman" w:eastAsia="宋体"/>
                <w:b/>
                <w:bCs/>
                <w:color w:val="auto"/>
                <w:sz w:val="21"/>
                <w:szCs w:val="21"/>
                <w:highlight w:val="none"/>
              </w:rPr>
            </w:pPr>
            <w:r>
              <w:rPr>
                <w:rFonts w:ascii="Times New Roman" w:hAnsi="Times New Roman" w:eastAsia="宋体"/>
                <w:b/>
                <w:bCs/>
                <w:color w:val="auto"/>
                <w:sz w:val="21"/>
                <w:szCs w:val="21"/>
                <w:highlight w:val="none"/>
              </w:rPr>
              <w:t>X坐标</w:t>
            </w:r>
          </w:p>
        </w:tc>
        <w:tc>
          <w:tcPr>
            <w:tcW w:w="1027" w:type="dxa"/>
            <w:shd w:val="clear" w:color="auto" w:fill="auto"/>
            <w:vAlign w:val="center"/>
          </w:tcPr>
          <w:p w14:paraId="2FAFA1E7">
            <w:pPr>
              <w:pStyle w:val="118"/>
              <w:keepNext w:val="0"/>
              <w:keepLines w:val="0"/>
              <w:pageBreakBefore w:val="0"/>
              <w:kinsoku/>
              <w:wordWrap/>
              <w:overflowPunct/>
              <w:topLinePunct w:val="0"/>
              <w:autoSpaceDE/>
              <w:autoSpaceDN/>
              <w:bidi w:val="0"/>
              <w:adjustRightInd/>
              <w:snapToGrid/>
              <w:ind w:left="0" w:right="0"/>
              <w:textAlignment w:val="auto"/>
              <w:rPr>
                <w:rFonts w:ascii="Times New Roman" w:hAnsi="Times New Roman" w:eastAsia="宋体"/>
                <w:b/>
                <w:bCs/>
                <w:color w:val="auto"/>
                <w:sz w:val="21"/>
                <w:szCs w:val="21"/>
                <w:highlight w:val="none"/>
              </w:rPr>
            </w:pPr>
            <w:r>
              <w:rPr>
                <w:rFonts w:ascii="Times New Roman" w:hAnsi="Times New Roman" w:eastAsia="宋体"/>
                <w:b/>
                <w:bCs/>
                <w:color w:val="auto"/>
                <w:sz w:val="21"/>
                <w:szCs w:val="21"/>
                <w:highlight w:val="none"/>
              </w:rPr>
              <w:t>Y坐标</w:t>
            </w:r>
          </w:p>
        </w:tc>
        <w:tc>
          <w:tcPr>
            <w:tcW w:w="1438" w:type="dxa"/>
            <w:shd w:val="clear" w:color="auto" w:fill="auto"/>
            <w:vAlign w:val="center"/>
          </w:tcPr>
          <w:p w14:paraId="062EF350">
            <w:pPr>
              <w:pStyle w:val="118"/>
              <w:keepNext w:val="0"/>
              <w:keepLines w:val="0"/>
              <w:pageBreakBefore w:val="0"/>
              <w:kinsoku/>
              <w:wordWrap/>
              <w:overflowPunct/>
              <w:topLinePunct w:val="0"/>
              <w:autoSpaceDE/>
              <w:autoSpaceDN/>
              <w:bidi w:val="0"/>
              <w:adjustRightInd/>
              <w:snapToGrid/>
              <w:ind w:left="0" w:right="0"/>
              <w:textAlignment w:val="auto"/>
              <w:rPr>
                <w:rFonts w:ascii="Times New Roman" w:hAnsi="Times New Roman" w:eastAsia="宋体"/>
                <w:b/>
                <w:bCs/>
                <w:color w:val="auto"/>
                <w:sz w:val="21"/>
                <w:szCs w:val="21"/>
                <w:highlight w:val="none"/>
              </w:rPr>
            </w:pPr>
            <w:r>
              <w:rPr>
                <w:rFonts w:ascii="Times New Roman" w:hAnsi="Times New Roman" w:eastAsia="宋体"/>
                <w:b/>
                <w:bCs/>
                <w:color w:val="auto"/>
                <w:sz w:val="21"/>
                <w:szCs w:val="21"/>
                <w:highlight w:val="none"/>
              </w:rPr>
              <w:t>排气筒底部海拔高度/m</w:t>
            </w:r>
          </w:p>
        </w:tc>
        <w:tc>
          <w:tcPr>
            <w:tcW w:w="863" w:type="dxa"/>
            <w:shd w:val="clear" w:color="auto" w:fill="auto"/>
            <w:vAlign w:val="center"/>
          </w:tcPr>
          <w:p w14:paraId="1A7E2A79">
            <w:pPr>
              <w:pStyle w:val="118"/>
              <w:keepNext w:val="0"/>
              <w:keepLines w:val="0"/>
              <w:pageBreakBefore w:val="0"/>
              <w:kinsoku/>
              <w:wordWrap/>
              <w:overflowPunct/>
              <w:topLinePunct w:val="0"/>
              <w:autoSpaceDE/>
              <w:autoSpaceDN/>
              <w:bidi w:val="0"/>
              <w:adjustRightInd/>
              <w:snapToGrid/>
              <w:ind w:left="0" w:right="0"/>
              <w:textAlignment w:val="auto"/>
              <w:rPr>
                <w:rFonts w:ascii="Times New Roman" w:hAnsi="Times New Roman" w:eastAsia="宋体"/>
                <w:b/>
                <w:bCs/>
                <w:color w:val="auto"/>
                <w:sz w:val="21"/>
                <w:szCs w:val="21"/>
                <w:highlight w:val="none"/>
              </w:rPr>
            </w:pPr>
            <w:r>
              <w:rPr>
                <w:rFonts w:ascii="Times New Roman" w:hAnsi="Times New Roman" w:eastAsia="宋体"/>
                <w:b/>
                <w:bCs/>
                <w:color w:val="auto"/>
                <w:sz w:val="21"/>
                <w:szCs w:val="21"/>
                <w:highlight w:val="none"/>
              </w:rPr>
              <w:t>排气筒高度/m</w:t>
            </w:r>
          </w:p>
        </w:tc>
        <w:tc>
          <w:tcPr>
            <w:tcW w:w="1151" w:type="dxa"/>
            <w:shd w:val="clear" w:color="auto" w:fill="auto"/>
            <w:vAlign w:val="center"/>
          </w:tcPr>
          <w:p w14:paraId="2007617B">
            <w:pPr>
              <w:pStyle w:val="118"/>
              <w:keepNext w:val="0"/>
              <w:keepLines w:val="0"/>
              <w:pageBreakBefore w:val="0"/>
              <w:kinsoku/>
              <w:wordWrap/>
              <w:overflowPunct/>
              <w:topLinePunct w:val="0"/>
              <w:autoSpaceDE/>
              <w:autoSpaceDN/>
              <w:bidi w:val="0"/>
              <w:adjustRightInd/>
              <w:snapToGrid/>
              <w:ind w:left="0" w:right="0"/>
              <w:textAlignment w:val="auto"/>
              <w:rPr>
                <w:rFonts w:ascii="Times New Roman" w:hAnsi="Times New Roman" w:eastAsia="宋体"/>
                <w:b/>
                <w:bCs/>
                <w:color w:val="auto"/>
                <w:sz w:val="21"/>
                <w:szCs w:val="21"/>
                <w:highlight w:val="none"/>
              </w:rPr>
            </w:pPr>
            <w:r>
              <w:rPr>
                <w:rFonts w:ascii="Times New Roman" w:hAnsi="Times New Roman" w:eastAsia="宋体"/>
                <w:b/>
                <w:bCs/>
                <w:color w:val="auto"/>
                <w:sz w:val="21"/>
                <w:szCs w:val="21"/>
                <w:highlight w:val="none"/>
              </w:rPr>
              <w:t>排气筒出口内径/m</w:t>
            </w:r>
          </w:p>
        </w:tc>
        <w:tc>
          <w:tcPr>
            <w:tcW w:w="1726" w:type="dxa"/>
            <w:shd w:val="clear" w:color="auto" w:fill="auto"/>
            <w:vAlign w:val="center"/>
          </w:tcPr>
          <w:p w14:paraId="632AF738">
            <w:pPr>
              <w:pStyle w:val="118"/>
              <w:keepNext w:val="0"/>
              <w:keepLines w:val="0"/>
              <w:pageBreakBefore w:val="0"/>
              <w:kinsoku/>
              <w:wordWrap/>
              <w:overflowPunct/>
              <w:topLinePunct w:val="0"/>
              <w:autoSpaceDE/>
              <w:autoSpaceDN/>
              <w:bidi w:val="0"/>
              <w:adjustRightInd/>
              <w:snapToGrid/>
              <w:ind w:left="0" w:right="0"/>
              <w:textAlignment w:val="auto"/>
              <w:rPr>
                <w:rFonts w:ascii="Times New Roman" w:hAnsi="Times New Roman" w:eastAsia="宋体"/>
                <w:b/>
                <w:bCs/>
                <w:color w:val="auto"/>
                <w:sz w:val="21"/>
                <w:szCs w:val="21"/>
                <w:highlight w:val="none"/>
              </w:rPr>
            </w:pPr>
            <w:r>
              <w:rPr>
                <w:rFonts w:ascii="Times New Roman" w:hAnsi="Times New Roman" w:eastAsia="宋体"/>
                <w:b/>
                <w:bCs/>
                <w:color w:val="auto"/>
                <w:sz w:val="21"/>
                <w:szCs w:val="21"/>
                <w:highlight w:val="none"/>
              </w:rPr>
              <w:t>烟气流速/（m/s）</w:t>
            </w:r>
          </w:p>
        </w:tc>
        <w:tc>
          <w:tcPr>
            <w:tcW w:w="1349" w:type="dxa"/>
            <w:shd w:val="clear" w:color="auto" w:fill="auto"/>
            <w:vAlign w:val="center"/>
          </w:tcPr>
          <w:p w14:paraId="0879C3A0">
            <w:pPr>
              <w:pStyle w:val="118"/>
              <w:keepNext w:val="0"/>
              <w:keepLines w:val="0"/>
              <w:pageBreakBefore w:val="0"/>
              <w:kinsoku/>
              <w:wordWrap/>
              <w:overflowPunct/>
              <w:topLinePunct w:val="0"/>
              <w:autoSpaceDE/>
              <w:autoSpaceDN/>
              <w:bidi w:val="0"/>
              <w:adjustRightInd/>
              <w:snapToGrid/>
              <w:ind w:left="0" w:right="0"/>
              <w:textAlignment w:val="auto"/>
              <w:rPr>
                <w:rFonts w:ascii="Times New Roman" w:hAnsi="Times New Roman" w:eastAsia="宋体"/>
                <w:b/>
                <w:bCs/>
                <w:color w:val="auto"/>
                <w:sz w:val="21"/>
                <w:szCs w:val="21"/>
                <w:highlight w:val="none"/>
              </w:rPr>
            </w:pPr>
            <w:r>
              <w:rPr>
                <w:rFonts w:ascii="Times New Roman" w:hAnsi="Times New Roman" w:eastAsia="宋体"/>
                <w:b/>
                <w:bCs/>
                <w:color w:val="auto"/>
                <w:sz w:val="21"/>
                <w:szCs w:val="21"/>
                <w:highlight w:val="none"/>
              </w:rPr>
              <w:t>烟气温度/℃</w:t>
            </w:r>
          </w:p>
        </w:tc>
        <w:tc>
          <w:tcPr>
            <w:tcW w:w="1224" w:type="dxa"/>
            <w:shd w:val="clear" w:color="auto" w:fill="auto"/>
            <w:vAlign w:val="center"/>
          </w:tcPr>
          <w:p w14:paraId="285C8BE0">
            <w:pPr>
              <w:pStyle w:val="118"/>
              <w:keepNext w:val="0"/>
              <w:keepLines w:val="0"/>
              <w:pageBreakBefore w:val="0"/>
              <w:kinsoku/>
              <w:wordWrap/>
              <w:overflowPunct/>
              <w:topLinePunct w:val="0"/>
              <w:autoSpaceDE/>
              <w:autoSpaceDN/>
              <w:bidi w:val="0"/>
              <w:adjustRightInd/>
              <w:snapToGrid/>
              <w:ind w:left="0" w:right="0"/>
              <w:textAlignment w:val="auto"/>
              <w:rPr>
                <w:rFonts w:ascii="Times New Roman" w:hAnsi="Times New Roman" w:eastAsia="宋体"/>
                <w:b/>
                <w:bCs/>
                <w:color w:val="auto"/>
                <w:sz w:val="21"/>
                <w:szCs w:val="21"/>
                <w:highlight w:val="none"/>
              </w:rPr>
            </w:pPr>
            <w:r>
              <w:rPr>
                <w:rFonts w:ascii="Times New Roman" w:hAnsi="Times New Roman" w:eastAsia="宋体"/>
                <w:b/>
                <w:bCs/>
                <w:color w:val="auto"/>
                <w:sz w:val="21"/>
                <w:szCs w:val="21"/>
                <w:highlight w:val="none"/>
              </w:rPr>
              <w:t>年排放小时数/h</w:t>
            </w:r>
          </w:p>
        </w:tc>
        <w:tc>
          <w:tcPr>
            <w:tcW w:w="1024" w:type="dxa"/>
            <w:shd w:val="clear" w:color="auto" w:fill="auto"/>
            <w:vAlign w:val="center"/>
          </w:tcPr>
          <w:p w14:paraId="049B38F3">
            <w:pPr>
              <w:pStyle w:val="118"/>
              <w:keepNext w:val="0"/>
              <w:keepLines w:val="0"/>
              <w:pageBreakBefore w:val="0"/>
              <w:kinsoku/>
              <w:wordWrap/>
              <w:overflowPunct/>
              <w:topLinePunct w:val="0"/>
              <w:autoSpaceDE/>
              <w:autoSpaceDN/>
              <w:bidi w:val="0"/>
              <w:adjustRightInd/>
              <w:snapToGrid/>
              <w:ind w:left="0" w:right="0"/>
              <w:textAlignment w:val="auto"/>
              <w:rPr>
                <w:rFonts w:ascii="Times New Roman" w:hAnsi="Times New Roman" w:eastAsia="宋体"/>
                <w:b/>
                <w:bCs/>
                <w:color w:val="auto"/>
                <w:sz w:val="21"/>
                <w:szCs w:val="21"/>
                <w:highlight w:val="none"/>
              </w:rPr>
            </w:pPr>
            <w:r>
              <w:rPr>
                <w:rFonts w:ascii="Times New Roman" w:hAnsi="Times New Roman" w:eastAsia="宋体"/>
                <w:b/>
                <w:bCs/>
                <w:color w:val="auto"/>
                <w:sz w:val="21"/>
                <w:szCs w:val="21"/>
                <w:highlight w:val="none"/>
              </w:rPr>
              <w:t>排放工况</w:t>
            </w:r>
          </w:p>
        </w:tc>
        <w:tc>
          <w:tcPr>
            <w:tcW w:w="1407" w:type="dxa"/>
            <w:shd w:val="clear" w:color="auto" w:fill="auto"/>
            <w:vAlign w:val="center"/>
          </w:tcPr>
          <w:p w14:paraId="354B1A1D">
            <w:pPr>
              <w:pStyle w:val="118"/>
              <w:keepNext w:val="0"/>
              <w:keepLines w:val="0"/>
              <w:pageBreakBefore w:val="0"/>
              <w:kinsoku/>
              <w:wordWrap/>
              <w:overflowPunct/>
              <w:topLinePunct w:val="0"/>
              <w:autoSpaceDE/>
              <w:autoSpaceDN/>
              <w:bidi w:val="0"/>
              <w:adjustRightInd/>
              <w:snapToGrid/>
              <w:ind w:left="0" w:right="0"/>
              <w:textAlignment w:val="auto"/>
              <w:rPr>
                <w:rFonts w:ascii="Times New Roman" w:hAnsi="Times New Roman" w:eastAsia="宋体"/>
                <w:b/>
                <w:bCs/>
                <w:color w:val="auto"/>
                <w:sz w:val="21"/>
                <w:szCs w:val="21"/>
                <w:highlight w:val="none"/>
              </w:rPr>
            </w:pPr>
            <w:r>
              <w:rPr>
                <w:rFonts w:ascii="Times New Roman" w:hAnsi="Times New Roman" w:eastAsia="宋体"/>
                <w:b/>
                <w:bCs/>
                <w:color w:val="auto"/>
                <w:sz w:val="21"/>
                <w:szCs w:val="21"/>
                <w:highlight w:val="none"/>
              </w:rPr>
              <w:t>污染物排放速率/（g/s）</w:t>
            </w:r>
          </w:p>
        </w:tc>
      </w:tr>
      <w:tr w14:paraId="51910AF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cantSplit/>
          <w:trHeight w:val="335" w:hRule="atLeast"/>
          <w:jc w:val="center"/>
        </w:trPr>
        <w:tc>
          <w:tcPr>
            <w:tcW w:w="863" w:type="dxa"/>
            <w:vAlign w:val="center"/>
          </w:tcPr>
          <w:p w14:paraId="70127687">
            <w:pPr>
              <w:pStyle w:val="118"/>
              <w:keepNext w:val="0"/>
              <w:keepLines w:val="0"/>
              <w:pageBreakBefore w:val="0"/>
              <w:kinsoku/>
              <w:wordWrap/>
              <w:overflowPunct/>
              <w:topLinePunct w:val="0"/>
              <w:autoSpaceDE/>
              <w:autoSpaceDN/>
              <w:bidi w:val="0"/>
              <w:adjustRightInd/>
              <w:snapToGrid/>
              <w:ind w:left="0" w:right="0"/>
              <w:textAlignment w:val="auto"/>
              <w:rPr>
                <w:rFonts w:ascii="Times New Roman" w:hAnsi="Times New Roman" w:eastAsia="宋体"/>
                <w:color w:val="auto"/>
                <w:sz w:val="21"/>
                <w:szCs w:val="21"/>
                <w:highlight w:val="none"/>
              </w:rPr>
            </w:pPr>
            <w:r>
              <w:rPr>
                <w:rFonts w:hint="eastAsia" w:ascii="Times New Roman" w:hAnsi="Times New Roman" w:eastAsia="宋体"/>
                <w:color w:val="auto"/>
                <w:sz w:val="21"/>
                <w:szCs w:val="21"/>
                <w:highlight w:val="none"/>
              </w:rPr>
              <w:t>DA005</w:t>
            </w:r>
          </w:p>
        </w:tc>
        <w:tc>
          <w:tcPr>
            <w:tcW w:w="1399" w:type="dxa"/>
            <w:vAlign w:val="center"/>
          </w:tcPr>
          <w:p w14:paraId="0BC2D843">
            <w:pPr>
              <w:keepNext w:val="0"/>
              <w:keepLines w:val="0"/>
              <w:pageBreakBefore w:val="0"/>
              <w:kinsoku/>
              <w:wordWrap/>
              <w:overflowPunct/>
              <w:topLinePunct w:val="0"/>
              <w:autoSpaceDE/>
              <w:autoSpaceDN/>
              <w:bidi w:val="0"/>
              <w:adjustRightInd/>
              <w:snapToGrid/>
              <w:ind w:left="0" w:right="0"/>
              <w:jc w:val="center"/>
              <w:textAlignment w:val="auto"/>
              <w:rPr>
                <w:rFonts w:ascii="Times New Roman" w:hAnsi="Times New Roman"/>
                <w:color w:val="auto"/>
                <w:sz w:val="21"/>
                <w:szCs w:val="21"/>
                <w:highlight w:val="none"/>
              </w:rPr>
            </w:pPr>
            <w:r>
              <w:rPr>
                <w:rFonts w:hint="eastAsia" w:ascii="Times New Roman" w:hAnsi="Times New Roman" w:cs="Times New Roman"/>
                <w:color w:val="auto"/>
                <w:sz w:val="21"/>
                <w:szCs w:val="21"/>
                <w:highlight w:val="none"/>
              </w:rPr>
              <w:t>非甲烷总烃</w:t>
            </w:r>
          </w:p>
        </w:tc>
        <w:tc>
          <w:tcPr>
            <w:tcW w:w="1026" w:type="dxa"/>
            <w:vAlign w:val="center"/>
          </w:tcPr>
          <w:p w14:paraId="443FDC5A">
            <w:pPr>
              <w:keepNext w:val="0"/>
              <w:keepLines w:val="0"/>
              <w:pageBreakBefore w:val="0"/>
              <w:kinsoku/>
              <w:wordWrap/>
              <w:overflowPunct/>
              <w:topLinePunct w:val="0"/>
              <w:autoSpaceDE/>
              <w:autoSpaceDN/>
              <w:bidi w:val="0"/>
              <w:adjustRightInd/>
              <w:snapToGrid/>
              <w:ind w:left="0" w:right="0"/>
              <w:jc w:val="center"/>
              <w:textAlignment w:val="auto"/>
              <w:rPr>
                <w:rFonts w:ascii="Times New Roman" w:hAnsi="Times New Roman"/>
                <w:color w:val="auto"/>
                <w:sz w:val="21"/>
                <w:szCs w:val="21"/>
                <w:highlight w:val="none"/>
              </w:rPr>
            </w:pPr>
            <w:r>
              <w:rPr>
                <w:rFonts w:hint="eastAsia" w:ascii="Times New Roman" w:hAnsi="Times New Roman" w:cs="Times New Roman"/>
                <w:color w:val="auto"/>
                <w:sz w:val="21"/>
                <w:szCs w:val="21"/>
                <w:highlight w:val="none"/>
              </w:rPr>
              <w:t>75</w:t>
            </w:r>
          </w:p>
        </w:tc>
        <w:tc>
          <w:tcPr>
            <w:tcW w:w="1027" w:type="dxa"/>
            <w:vAlign w:val="center"/>
          </w:tcPr>
          <w:p w14:paraId="59D069E9">
            <w:pPr>
              <w:keepNext w:val="0"/>
              <w:keepLines w:val="0"/>
              <w:pageBreakBefore w:val="0"/>
              <w:kinsoku/>
              <w:wordWrap/>
              <w:overflowPunct/>
              <w:topLinePunct w:val="0"/>
              <w:autoSpaceDE/>
              <w:autoSpaceDN/>
              <w:bidi w:val="0"/>
              <w:adjustRightInd/>
              <w:snapToGrid/>
              <w:ind w:left="0" w:right="0"/>
              <w:jc w:val="center"/>
              <w:textAlignment w:val="auto"/>
              <w:rPr>
                <w:rFonts w:ascii="Times New Roman" w:hAnsi="Times New Roman"/>
                <w:color w:val="auto"/>
                <w:sz w:val="21"/>
                <w:szCs w:val="21"/>
                <w:highlight w:val="none"/>
              </w:rPr>
            </w:pPr>
            <w:r>
              <w:rPr>
                <w:rFonts w:hint="eastAsia" w:ascii="Times New Roman" w:hAnsi="Times New Roman" w:cs="Times New Roman"/>
                <w:color w:val="auto"/>
                <w:sz w:val="21"/>
                <w:szCs w:val="21"/>
                <w:highlight w:val="none"/>
              </w:rPr>
              <w:t>122</w:t>
            </w:r>
          </w:p>
        </w:tc>
        <w:tc>
          <w:tcPr>
            <w:tcW w:w="1438" w:type="dxa"/>
            <w:vAlign w:val="center"/>
          </w:tcPr>
          <w:p w14:paraId="5D29F916">
            <w:pPr>
              <w:pStyle w:val="118"/>
              <w:keepNext w:val="0"/>
              <w:keepLines w:val="0"/>
              <w:pageBreakBefore w:val="0"/>
              <w:kinsoku/>
              <w:wordWrap/>
              <w:overflowPunct/>
              <w:topLinePunct w:val="0"/>
              <w:autoSpaceDE/>
              <w:autoSpaceDN/>
              <w:bidi w:val="0"/>
              <w:adjustRightInd/>
              <w:snapToGrid/>
              <w:ind w:left="0" w:right="0"/>
              <w:textAlignment w:val="auto"/>
              <w:rPr>
                <w:rFonts w:ascii="Times New Roman" w:hAnsi="Times New Roman" w:eastAsia="宋体"/>
                <w:color w:val="auto"/>
                <w:kern w:val="0"/>
                <w:sz w:val="21"/>
                <w:szCs w:val="21"/>
                <w:highlight w:val="none"/>
              </w:rPr>
            </w:pPr>
            <w:r>
              <w:rPr>
                <w:rFonts w:hint="eastAsia" w:ascii="Times New Roman" w:hAnsi="Times New Roman" w:eastAsia="宋体"/>
                <w:color w:val="auto"/>
                <w:kern w:val="0"/>
                <w:sz w:val="21"/>
                <w:szCs w:val="21"/>
                <w:highlight w:val="none"/>
              </w:rPr>
              <w:t>6</w:t>
            </w:r>
          </w:p>
        </w:tc>
        <w:tc>
          <w:tcPr>
            <w:tcW w:w="863" w:type="dxa"/>
            <w:vAlign w:val="center"/>
          </w:tcPr>
          <w:p w14:paraId="0C6297A2">
            <w:pPr>
              <w:pStyle w:val="118"/>
              <w:keepNext w:val="0"/>
              <w:keepLines w:val="0"/>
              <w:pageBreakBefore w:val="0"/>
              <w:kinsoku/>
              <w:wordWrap/>
              <w:overflowPunct/>
              <w:topLinePunct w:val="0"/>
              <w:autoSpaceDE/>
              <w:autoSpaceDN/>
              <w:bidi w:val="0"/>
              <w:adjustRightInd/>
              <w:snapToGrid/>
              <w:ind w:left="0" w:right="0"/>
              <w:textAlignment w:val="auto"/>
              <w:rPr>
                <w:rFonts w:ascii="Times New Roman" w:hAnsi="Times New Roman" w:eastAsia="宋体"/>
                <w:color w:val="auto"/>
                <w:kern w:val="0"/>
                <w:sz w:val="21"/>
                <w:szCs w:val="21"/>
                <w:highlight w:val="none"/>
              </w:rPr>
            </w:pPr>
            <w:r>
              <w:rPr>
                <w:rFonts w:hint="eastAsia" w:ascii="Times New Roman" w:hAnsi="Times New Roman" w:eastAsia="宋体"/>
                <w:color w:val="auto"/>
                <w:kern w:val="0"/>
                <w:sz w:val="21"/>
                <w:szCs w:val="21"/>
                <w:highlight w:val="none"/>
              </w:rPr>
              <w:t>20</w:t>
            </w:r>
          </w:p>
        </w:tc>
        <w:tc>
          <w:tcPr>
            <w:tcW w:w="1151" w:type="dxa"/>
            <w:vAlign w:val="center"/>
          </w:tcPr>
          <w:p w14:paraId="40D1E1E1">
            <w:pPr>
              <w:pStyle w:val="118"/>
              <w:keepNext w:val="0"/>
              <w:keepLines w:val="0"/>
              <w:pageBreakBefore w:val="0"/>
              <w:kinsoku/>
              <w:wordWrap/>
              <w:overflowPunct/>
              <w:topLinePunct w:val="0"/>
              <w:autoSpaceDE/>
              <w:autoSpaceDN/>
              <w:bidi w:val="0"/>
              <w:adjustRightInd/>
              <w:snapToGrid/>
              <w:ind w:left="0" w:right="0"/>
              <w:textAlignment w:val="auto"/>
              <w:rPr>
                <w:rFonts w:ascii="Times New Roman" w:hAnsi="Times New Roman" w:eastAsia="宋体"/>
                <w:color w:val="auto"/>
                <w:kern w:val="0"/>
                <w:sz w:val="21"/>
                <w:szCs w:val="21"/>
                <w:highlight w:val="none"/>
              </w:rPr>
            </w:pPr>
            <w:r>
              <w:rPr>
                <w:rFonts w:hint="eastAsia" w:ascii="Times New Roman" w:hAnsi="Times New Roman" w:eastAsia="宋体"/>
                <w:color w:val="auto"/>
                <w:kern w:val="0"/>
                <w:sz w:val="21"/>
                <w:szCs w:val="21"/>
                <w:highlight w:val="none"/>
              </w:rPr>
              <w:t>0.7</w:t>
            </w:r>
          </w:p>
        </w:tc>
        <w:tc>
          <w:tcPr>
            <w:tcW w:w="1726" w:type="dxa"/>
            <w:vAlign w:val="center"/>
          </w:tcPr>
          <w:p w14:paraId="6C093B8A">
            <w:pPr>
              <w:keepNext w:val="0"/>
              <w:keepLines w:val="0"/>
              <w:pageBreakBefore w:val="0"/>
              <w:kinsoku/>
              <w:wordWrap/>
              <w:overflowPunct/>
              <w:topLinePunct w:val="0"/>
              <w:autoSpaceDE/>
              <w:autoSpaceDN/>
              <w:bidi w:val="0"/>
              <w:adjustRightInd/>
              <w:snapToGrid/>
              <w:ind w:left="0" w:right="0"/>
              <w:jc w:val="center"/>
              <w:textAlignment w:val="auto"/>
              <w:rPr>
                <w:rFonts w:ascii="Times New Roman" w:hAnsi="Times New Roman"/>
                <w:color w:val="auto"/>
                <w:sz w:val="21"/>
                <w:szCs w:val="21"/>
                <w:highlight w:val="none"/>
              </w:rPr>
            </w:pPr>
            <w:r>
              <w:rPr>
                <w:rFonts w:hint="eastAsia" w:ascii="Times New Roman" w:hAnsi="Times New Roman"/>
                <w:color w:val="auto"/>
                <w:sz w:val="21"/>
                <w:szCs w:val="21"/>
                <w:highlight w:val="none"/>
              </w:rPr>
              <w:t>14.443144556</w:t>
            </w:r>
          </w:p>
        </w:tc>
        <w:tc>
          <w:tcPr>
            <w:tcW w:w="1349" w:type="dxa"/>
            <w:vAlign w:val="center"/>
          </w:tcPr>
          <w:p w14:paraId="4977EA4F">
            <w:pPr>
              <w:pStyle w:val="118"/>
              <w:keepNext w:val="0"/>
              <w:keepLines w:val="0"/>
              <w:pageBreakBefore w:val="0"/>
              <w:kinsoku/>
              <w:wordWrap/>
              <w:overflowPunct/>
              <w:topLinePunct w:val="0"/>
              <w:autoSpaceDE/>
              <w:autoSpaceDN/>
              <w:bidi w:val="0"/>
              <w:adjustRightInd/>
              <w:snapToGrid/>
              <w:ind w:left="0" w:right="0"/>
              <w:textAlignment w:val="auto"/>
              <w:rPr>
                <w:rFonts w:ascii="Times New Roman" w:hAnsi="Times New Roman" w:eastAsia="宋体"/>
                <w:color w:val="auto"/>
                <w:kern w:val="0"/>
                <w:sz w:val="21"/>
                <w:szCs w:val="21"/>
                <w:highlight w:val="none"/>
              </w:rPr>
            </w:pPr>
            <w:r>
              <w:rPr>
                <w:rFonts w:ascii="Times New Roman" w:hAnsi="Times New Roman" w:eastAsia="宋体"/>
                <w:color w:val="auto"/>
                <w:kern w:val="0"/>
                <w:sz w:val="21"/>
                <w:szCs w:val="21"/>
                <w:highlight w:val="none"/>
              </w:rPr>
              <w:t>20</w:t>
            </w:r>
          </w:p>
        </w:tc>
        <w:tc>
          <w:tcPr>
            <w:tcW w:w="1224" w:type="dxa"/>
            <w:vAlign w:val="center"/>
          </w:tcPr>
          <w:p w14:paraId="2FCF6188">
            <w:pPr>
              <w:pStyle w:val="118"/>
              <w:keepNext w:val="0"/>
              <w:keepLines w:val="0"/>
              <w:pageBreakBefore w:val="0"/>
              <w:kinsoku/>
              <w:wordWrap/>
              <w:overflowPunct/>
              <w:topLinePunct w:val="0"/>
              <w:autoSpaceDE/>
              <w:autoSpaceDN/>
              <w:bidi w:val="0"/>
              <w:adjustRightInd/>
              <w:snapToGrid/>
              <w:ind w:left="0" w:right="0"/>
              <w:textAlignment w:val="auto"/>
              <w:rPr>
                <w:rFonts w:ascii="Times New Roman" w:hAnsi="Times New Roman" w:eastAsia="宋体"/>
                <w:color w:val="auto"/>
                <w:kern w:val="0"/>
                <w:sz w:val="21"/>
                <w:szCs w:val="21"/>
                <w:highlight w:val="none"/>
              </w:rPr>
            </w:pPr>
            <w:r>
              <w:rPr>
                <w:rFonts w:hint="eastAsia" w:ascii="Times New Roman" w:hAnsi="Times New Roman" w:eastAsia="宋体"/>
                <w:color w:val="auto"/>
                <w:kern w:val="0"/>
                <w:sz w:val="21"/>
                <w:szCs w:val="21"/>
                <w:highlight w:val="none"/>
                <w:lang w:val="en-US" w:eastAsia="zh-CN"/>
              </w:rPr>
              <w:t>84</w:t>
            </w:r>
            <w:r>
              <w:rPr>
                <w:rFonts w:hint="eastAsia" w:ascii="Times New Roman" w:hAnsi="Times New Roman" w:eastAsia="宋体"/>
                <w:color w:val="auto"/>
                <w:kern w:val="0"/>
                <w:sz w:val="21"/>
                <w:szCs w:val="21"/>
                <w:highlight w:val="none"/>
              </w:rPr>
              <w:t>00</w:t>
            </w:r>
          </w:p>
        </w:tc>
        <w:tc>
          <w:tcPr>
            <w:tcW w:w="1024" w:type="dxa"/>
            <w:vAlign w:val="center"/>
          </w:tcPr>
          <w:p w14:paraId="2DA5BEC2">
            <w:pPr>
              <w:pStyle w:val="118"/>
              <w:keepNext w:val="0"/>
              <w:keepLines w:val="0"/>
              <w:pageBreakBefore w:val="0"/>
              <w:kinsoku/>
              <w:wordWrap/>
              <w:overflowPunct/>
              <w:topLinePunct w:val="0"/>
              <w:autoSpaceDE/>
              <w:autoSpaceDN/>
              <w:bidi w:val="0"/>
              <w:adjustRightInd/>
              <w:snapToGrid/>
              <w:ind w:left="0" w:right="0"/>
              <w:textAlignment w:val="auto"/>
              <w:rPr>
                <w:rFonts w:ascii="Times New Roman" w:hAnsi="Times New Roman" w:eastAsia="宋体"/>
                <w:color w:val="auto"/>
                <w:kern w:val="0"/>
                <w:sz w:val="21"/>
                <w:szCs w:val="21"/>
                <w:highlight w:val="none"/>
              </w:rPr>
            </w:pPr>
            <w:r>
              <w:rPr>
                <w:rFonts w:ascii="Times New Roman" w:hAnsi="Times New Roman" w:eastAsia="宋体"/>
                <w:color w:val="auto"/>
                <w:kern w:val="0"/>
                <w:sz w:val="21"/>
                <w:szCs w:val="21"/>
                <w:highlight w:val="none"/>
              </w:rPr>
              <w:t>正常</w:t>
            </w:r>
          </w:p>
        </w:tc>
        <w:tc>
          <w:tcPr>
            <w:tcW w:w="1407" w:type="dxa"/>
            <w:vAlign w:val="center"/>
          </w:tcPr>
          <w:p w14:paraId="53A7D44E">
            <w:pPr>
              <w:keepNext w:val="0"/>
              <w:keepLines w:val="0"/>
              <w:pageBreakBefore w:val="0"/>
              <w:kinsoku/>
              <w:wordWrap/>
              <w:overflowPunct/>
              <w:topLinePunct w:val="0"/>
              <w:autoSpaceDE/>
              <w:autoSpaceDN/>
              <w:bidi w:val="0"/>
              <w:adjustRightInd/>
              <w:snapToGrid/>
              <w:ind w:left="0" w:right="0"/>
              <w:jc w:val="center"/>
              <w:textAlignment w:val="auto"/>
              <w:rPr>
                <w:rFonts w:hint="default" w:ascii="Times New Roman" w:hAnsi="Times New Roman" w:eastAsia="等线"/>
                <w:color w:val="auto"/>
                <w:sz w:val="21"/>
                <w:szCs w:val="20"/>
                <w:highlight w:val="none"/>
                <w:lang w:val="en-US" w:eastAsia="zh-CN"/>
              </w:rPr>
            </w:pPr>
            <w:r>
              <w:rPr>
                <w:rFonts w:hint="eastAsia" w:ascii="Times New Roman" w:hAnsi="Times New Roman" w:eastAsia="等线"/>
                <w:color w:val="auto"/>
                <w:sz w:val="21"/>
                <w:szCs w:val="20"/>
                <w:highlight w:val="none"/>
                <w:lang w:val="en-US" w:eastAsia="zh-CN"/>
              </w:rPr>
              <w:t>0.0169497</w:t>
            </w:r>
          </w:p>
        </w:tc>
      </w:tr>
      <w:tr w14:paraId="2CBD9BE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cantSplit/>
          <w:trHeight w:val="335" w:hRule="atLeast"/>
          <w:jc w:val="center"/>
        </w:trPr>
        <w:tc>
          <w:tcPr>
            <w:tcW w:w="863" w:type="dxa"/>
            <w:vMerge w:val="restart"/>
            <w:vAlign w:val="center"/>
          </w:tcPr>
          <w:p w14:paraId="7E58B5B9">
            <w:pPr>
              <w:pStyle w:val="118"/>
              <w:keepNext w:val="0"/>
              <w:keepLines w:val="0"/>
              <w:pageBreakBefore w:val="0"/>
              <w:kinsoku/>
              <w:wordWrap/>
              <w:overflowPunct/>
              <w:topLinePunct w:val="0"/>
              <w:autoSpaceDE/>
              <w:autoSpaceDN/>
              <w:bidi w:val="0"/>
              <w:adjustRightInd/>
              <w:snapToGrid/>
              <w:ind w:left="0" w:right="0"/>
              <w:textAlignment w:val="auto"/>
              <w:rPr>
                <w:rFonts w:ascii="Times New Roman" w:hAnsi="Times New Roman" w:eastAsia="宋体"/>
                <w:color w:val="auto"/>
                <w:sz w:val="21"/>
                <w:szCs w:val="21"/>
                <w:highlight w:val="none"/>
              </w:rPr>
            </w:pPr>
            <w:r>
              <w:rPr>
                <w:rFonts w:hint="eastAsia" w:ascii="Times New Roman" w:hAnsi="Times New Roman" w:eastAsia="宋体"/>
                <w:color w:val="auto"/>
                <w:sz w:val="21"/>
                <w:szCs w:val="21"/>
                <w:highlight w:val="none"/>
              </w:rPr>
              <w:t>DA006</w:t>
            </w:r>
          </w:p>
        </w:tc>
        <w:tc>
          <w:tcPr>
            <w:tcW w:w="1399" w:type="dxa"/>
            <w:vAlign w:val="center"/>
          </w:tcPr>
          <w:p w14:paraId="1E8B6B5F">
            <w:pPr>
              <w:keepNext w:val="0"/>
              <w:keepLines w:val="0"/>
              <w:pageBreakBefore w:val="0"/>
              <w:kinsoku/>
              <w:wordWrap/>
              <w:overflowPunct/>
              <w:topLinePunct w:val="0"/>
              <w:autoSpaceDE/>
              <w:autoSpaceDN/>
              <w:bidi w:val="0"/>
              <w:adjustRightInd/>
              <w:snapToGrid/>
              <w:ind w:left="0" w:right="0"/>
              <w:jc w:val="center"/>
              <w:textAlignment w:val="auto"/>
              <w:rPr>
                <w:rFonts w:ascii="Times New Roman" w:hAnsi="Times New Roman"/>
                <w:color w:val="auto"/>
                <w:sz w:val="21"/>
                <w:szCs w:val="21"/>
                <w:highlight w:val="none"/>
              </w:rPr>
            </w:pPr>
            <w:r>
              <w:rPr>
                <w:rFonts w:hint="eastAsia" w:ascii="Times New Roman" w:hAnsi="Times New Roman" w:cs="Times New Roman"/>
                <w:color w:val="auto"/>
                <w:sz w:val="21"/>
                <w:szCs w:val="21"/>
                <w:highlight w:val="none"/>
              </w:rPr>
              <w:t>非甲烷总烃</w:t>
            </w:r>
          </w:p>
        </w:tc>
        <w:tc>
          <w:tcPr>
            <w:tcW w:w="1026" w:type="dxa"/>
            <w:vMerge w:val="restart"/>
            <w:vAlign w:val="center"/>
          </w:tcPr>
          <w:p w14:paraId="666B2A03">
            <w:pPr>
              <w:keepNext w:val="0"/>
              <w:keepLines w:val="0"/>
              <w:pageBreakBefore w:val="0"/>
              <w:kinsoku/>
              <w:wordWrap/>
              <w:overflowPunct/>
              <w:topLinePunct w:val="0"/>
              <w:autoSpaceDE/>
              <w:autoSpaceDN/>
              <w:bidi w:val="0"/>
              <w:adjustRightInd/>
              <w:snapToGrid/>
              <w:ind w:left="0" w:right="0"/>
              <w:jc w:val="center"/>
              <w:textAlignment w:val="auto"/>
              <w:rPr>
                <w:rFonts w:ascii="Times New Roman" w:hAnsi="Times New Roman"/>
                <w:color w:val="auto"/>
                <w:sz w:val="21"/>
                <w:szCs w:val="21"/>
                <w:highlight w:val="none"/>
              </w:rPr>
            </w:pPr>
            <w:r>
              <w:rPr>
                <w:rFonts w:hint="eastAsia" w:ascii="Times New Roman" w:hAnsi="Times New Roman" w:cs="Times New Roman"/>
                <w:color w:val="auto"/>
                <w:sz w:val="21"/>
                <w:szCs w:val="21"/>
                <w:highlight w:val="none"/>
              </w:rPr>
              <w:t>96</w:t>
            </w:r>
          </w:p>
        </w:tc>
        <w:tc>
          <w:tcPr>
            <w:tcW w:w="1027" w:type="dxa"/>
            <w:vMerge w:val="restart"/>
            <w:vAlign w:val="center"/>
          </w:tcPr>
          <w:p w14:paraId="0171A2B4">
            <w:pPr>
              <w:keepNext w:val="0"/>
              <w:keepLines w:val="0"/>
              <w:pageBreakBefore w:val="0"/>
              <w:kinsoku/>
              <w:wordWrap/>
              <w:overflowPunct/>
              <w:topLinePunct w:val="0"/>
              <w:autoSpaceDE/>
              <w:autoSpaceDN/>
              <w:bidi w:val="0"/>
              <w:adjustRightInd/>
              <w:snapToGrid/>
              <w:ind w:left="0" w:right="0"/>
              <w:jc w:val="center"/>
              <w:textAlignment w:val="auto"/>
              <w:rPr>
                <w:rFonts w:ascii="Times New Roman" w:hAnsi="Times New Roman"/>
                <w:color w:val="auto"/>
                <w:sz w:val="21"/>
                <w:szCs w:val="21"/>
                <w:highlight w:val="none"/>
              </w:rPr>
            </w:pPr>
            <w:r>
              <w:rPr>
                <w:rFonts w:hint="eastAsia" w:ascii="Times New Roman" w:hAnsi="Times New Roman" w:cs="Times New Roman"/>
                <w:color w:val="auto"/>
                <w:sz w:val="21"/>
                <w:szCs w:val="21"/>
                <w:highlight w:val="none"/>
              </w:rPr>
              <w:t>3.5</w:t>
            </w:r>
          </w:p>
        </w:tc>
        <w:tc>
          <w:tcPr>
            <w:tcW w:w="1438" w:type="dxa"/>
            <w:vMerge w:val="restart"/>
            <w:vAlign w:val="center"/>
          </w:tcPr>
          <w:p w14:paraId="7086E319">
            <w:pPr>
              <w:pStyle w:val="118"/>
              <w:keepNext w:val="0"/>
              <w:keepLines w:val="0"/>
              <w:pageBreakBefore w:val="0"/>
              <w:kinsoku/>
              <w:wordWrap/>
              <w:overflowPunct/>
              <w:topLinePunct w:val="0"/>
              <w:autoSpaceDE/>
              <w:autoSpaceDN/>
              <w:bidi w:val="0"/>
              <w:adjustRightInd/>
              <w:snapToGrid/>
              <w:ind w:left="0" w:right="0"/>
              <w:textAlignment w:val="auto"/>
              <w:rPr>
                <w:rFonts w:ascii="Times New Roman" w:hAnsi="Times New Roman" w:eastAsia="宋体"/>
                <w:color w:val="auto"/>
                <w:kern w:val="0"/>
                <w:sz w:val="21"/>
                <w:szCs w:val="21"/>
                <w:highlight w:val="none"/>
              </w:rPr>
            </w:pPr>
            <w:r>
              <w:rPr>
                <w:rFonts w:hint="eastAsia" w:ascii="Times New Roman" w:hAnsi="Times New Roman" w:eastAsia="宋体"/>
                <w:color w:val="auto"/>
                <w:kern w:val="0"/>
                <w:sz w:val="21"/>
                <w:szCs w:val="21"/>
                <w:highlight w:val="none"/>
              </w:rPr>
              <w:t>6</w:t>
            </w:r>
          </w:p>
        </w:tc>
        <w:tc>
          <w:tcPr>
            <w:tcW w:w="863" w:type="dxa"/>
            <w:vMerge w:val="restart"/>
            <w:vAlign w:val="center"/>
          </w:tcPr>
          <w:p w14:paraId="501C2F15">
            <w:pPr>
              <w:pStyle w:val="118"/>
              <w:keepNext w:val="0"/>
              <w:keepLines w:val="0"/>
              <w:pageBreakBefore w:val="0"/>
              <w:kinsoku/>
              <w:wordWrap/>
              <w:overflowPunct/>
              <w:topLinePunct w:val="0"/>
              <w:autoSpaceDE/>
              <w:autoSpaceDN/>
              <w:bidi w:val="0"/>
              <w:adjustRightInd/>
              <w:snapToGrid/>
              <w:ind w:left="0" w:right="0"/>
              <w:textAlignment w:val="auto"/>
              <w:rPr>
                <w:rFonts w:ascii="Times New Roman" w:hAnsi="Times New Roman" w:eastAsia="宋体"/>
                <w:color w:val="auto"/>
                <w:kern w:val="0"/>
                <w:sz w:val="21"/>
                <w:szCs w:val="21"/>
                <w:highlight w:val="none"/>
              </w:rPr>
            </w:pPr>
            <w:r>
              <w:rPr>
                <w:rFonts w:hint="eastAsia" w:ascii="Times New Roman" w:hAnsi="Times New Roman" w:eastAsia="宋体"/>
                <w:color w:val="auto"/>
                <w:kern w:val="0"/>
                <w:sz w:val="21"/>
                <w:szCs w:val="21"/>
                <w:highlight w:val="none"/>
              </w:rPr>
              <w:t>15</w:t>
            </w:r>
          </w:p>
        </w:tc>
        <w:tc>
          <w:tcPr>
            <w:tcW w:w="1151" w:type="dxa"/>
            <w:vMerge w:val="restart"/>
            <w:vAlign w:val="center"/>
          </w:tcPr>
          <w:p w14:paraId="3C85B1C4">
            <w:pPr>
              <w:pStyle w:val="118"/>
              <w:keepNext w:val="0"/>
              <w:keepLines w:val="0"/>
              <w:pageBreakBefore w:val="0"/>
              <w:kinsoku/>
              <w:wordWrap/>
              <w:overflowPunct/>
              <w:topLinePunct w:val="0"/>
              <w:autoSpaceDE/>
              <w:autoSpaceDN/>
              <w:bidi w:val="0"/>
              <w:adjustRightInd/>
              <w:snapToGrid/>
              <w:ind w:left="0" w:right="0"/>
              <w:textAlignment w:val="auto"/>
              <w:rPr>
                <w:rFonts w:ascii="Times New Roman" w:hAnsi="Times New Roman" w:eastAsia="宋体"/>
                <w:color w:val="auto"/>
                <w:kern w:val="0"/>
                <w:sz w:val="21"/>
                <w:szCs w:val="21"/>
                <w:highlight w:val="none"/>
              </w:rPr>
            </w:pPr>
            <w:r>
              <w:rPr>
                <w:rFonts w:hint="eastAsia" w:ascii="Times New Roman" w:hAnsi="Times New Roman" w:eastAsia="宋体"/>
                <w:color w:val="auto"/>
                <w:kern w:val="0"/>
                <w:sz w:val="21"/>
                <w:szCs w:val="21"/>
                <w:highlight w:val="none"/>
              </w:rPr>
              <w:t>0.32</w:t>
            </w:r>
          </w:p>
        </w:tc>
        <w:tc>
          <w:tcPr>
            <w:tcW w:w="1726" w:type="dxa"/>
            <w:vMerge w:val="restart"/>
            <w:vAlign w:val="center"/>
          </w:tcPr>
          <w:p w14:paraId="66DA1970">
            <w:pPr>
              <w:keepNext w:val="0"/>
              <w:keepLines w:val="0"/>
              <w:pageBreakBefore w:val="0"/>
              <w:kinsoku/>
              <w:wordWrap/>
              <w:overflowPunct/>
              <w:topLinePunct w:val="0"/>
              <w:autoSpaceDE/>
              <w:autoSpaceDN/>
              <w:bidi w:val="0"/>
              <w:adjustRightInd/>
              <w:snapToGrid/>
              <w:ind w:left="0" w:right="0"/>
              <w:jc w:val="center"/>
              <w:textAlignment w:val="auto"/>
              <w:rPr>
                <w:rFonts w:hint="default" w:ascii="Times New Roman" w:hAnsi="Times New Roman" w:eastAsia="宋体"/>
                <w:color w:val="auto"/>
                <w:sz w:val="21"/>
                <w:szCs w:val="21"/>
                <w:highlight w:val="none"/>
                <w:lang w:val="en-US" w:eastAsia="zh-CN"/>
              </w:rPr>
            </w:pPr>
            <w:r>
              <w:rPr>
                <w:rFonts w:hint="eastAsia" w:ascii="Times New Roman" w:hAnsi="Times New Roman"/>
                <w:color w:val="auto"/>
                <w:sz w:val="21"/>
                <w:szCs w:val="21"/>
                <w:highlight w:val="none"/>
                <w:lang w:val="en-US" w:eastAsia="zh-CN"/>
              </w:rPr>
              <w:t>14.26483413</w:t>
            </w:r>
          </w:p>
        </w:tc>
        <w:tc>
          <w:tcPr>
            <w:tcW w:w="1349" w:type="dxa"/>
            <w:vMerge w:val="restart"/>
            <w:vAlign w:val="center"/>
          </w:tcPr>
          <w:p w14:paraId="05DF6CA0">
            <w:pPr>
              <w:pStyle w:val="118"/>
              <w:keepNext w:val="0"/>
              <w:keepLines w:val="0"/>
              <w:pageBreakBefore w:val="0"/>
              <w:kinsoku/>
              <w:wordWrap/>
              <w:overflowPunct/>
              <w:topLinePunct w:val="0"/>
              <w:autoSpaceDE/>
              <w:autoSpaceDN/>
              <w:bidi w:val="0"/>
              <w:adjustRightInd/>
              <w:snapToGrid/>
              <w:ind w:left="0" w:right="0"/>
              <w:textAlignment w:val="auto"/>
              <w:rPr>
                <w:rFonts w:ascii="Times New Roman" w:hAnsi="Times New Roman" w:eastAsia="宋体"/>
                <w:color w:val="auto"/>
                <w:kern w:val="0"/>
                <w:sz w:val="21"/>
                <w:szCs w:val="21"/>
                <w:highlight w:val="none"/>
              </w:rPr>
            </w:pPr>
            <w:r>
              <w:rPr>
                <w:rFonts w:ascii="Times New Roman" w:hAnsi="Times New Roman" w:eastAsia="宋体"/>
                <w:color w:val="auto"/>
                <w:kern w:val="0"/>
                <w:sz w:val="21"/>
                <w:szCs w:val="21"/>
                <w:highlight w:val="none"/>
              </w:rPr>
              <w:t>20</w:t>
            </w:r>
          </w:p>
        </w:tc>
        <w:tc>
          <w:tcPr>
            <w:tcW w:w="1224" w:type="dxa"/>
            <w:vMerge w:val="restart"/>
            <w:vAlign w:val="center"/>
          </w:tcPr>
          <w:p w14:paraId="70E38971">
            <w:pPr>
              <w:pStyle w:val="118"/>
              <w:keepNext w:val="0"/>
              <w:keepLines w:val="0"/>
              <w:pageBreakBefore w:val="0"/>
              <w:kinsoku/>
              <w:wordWrap/>
              <w:overflowPunct/>
              <w:topLinePunct w:val="0"/>
              <w:autoSpaceDE/>
              <w:autoSpaceDN/>
              <w:bidi w:val="0"/>
              <w:adjustRightInd/>
              <w:snapToGrid/>
              <w:ind w:left="0" w:right="0"/>
              <w:textAlignment w:val="auto"/>
              <w:rPr>
                <w:rFonts w:ascii="Times New Roman" w:hAnsi="Times New Roman" w:eastAsia="宋体"/>
                <w:color w:val="auto"/>
                <w:kern w:val="0"/>
                <w:sz w:val="21"/>
                <w:szCs w:val="21"/>
                <w:highlight w:val="none"/>
              </w:rPr>
            </w:pPr>
            <w:r>
              <w:rPr>
                <w:rFonts w:hint="eastAsia" w:ascii="Times New Roman" w:hAnsi="Times New Roman" w:eastAsia="宋体"/>
                <w:color w:val="auto"/>
                <w:kern w:val="0"/>
                <w:sz w:val="21"/>
                <w:szCs w:val="21"/>
                <w:highlight w:val="none"/>
              </w:rPr>
              <w:t>500</w:t>
            </w:r>
          </w:p>
        </w:tc>
        <w:tc>
          <w:tcPr>
            <w:tcW w:w="1024" w:type="dxa"/>
            <w:vMerge w:val="restart"/>
            <w:vAlign w:val="center"/>
          </w:tcPr>
          <w:p w14:paraId="0D5999BC">
            <w:pPr>
              <w:pStyle w:val="118"/>
              <w:keepNext w:val="0"/>
              <w:keepLines w:val="0"/>
              <w:pageBreakBefore w:val="0"/>
              <w:kinsoku/>
              <w:wordWrap/>
              <w:overflowPunct/>
              <w:topLinePunct w:val="0"/>
              <w:autoSpaceDE/>
              <w:autoSpaceDN/>
              <w:bidi w:val="0"/>
              <w:adjustRightInd/>
              <w:snapToGrid/>
              <w:ind w:left="0" w:right="0"/>
              <w:textAlignment w:val="auto"/>
              <w:rPr>
                <w:rFonts w:ascii="Times New Roman" w:hAnsi="Times New Roman" w:eastAsia="宋体"/>
                <w:color w:val="auto"/>
                <w:kern w:val="0"/>
                <w:sz w:val="21"/>
                <w:szCs w:val="21"/>
                <w:highlight w:val="none"/>
              </w:rPr>
            </w:pPr>
            <w:r>
              <w:rPr>
                <w:rFonts w:ascii="Times New Roman" w:hAnsi="Times New Roman" w:eastAsia="宋体"/>
                <w:color w:val="auto"/>
                <w:kern w:val="0"/>
                <w:sz w:val="21"/>
                <w:szCs w:val="21"/>
                <w:highlight w:val="none"/>
              </w:rPr>
              <w:t>正常</w:t>
            </w:r>
          </w:p>
        </w:tc>
        <w:tc>
          <w:tcPr>
            <w:tcW w:w="1407" w:type="dxa"/>
            <w:vAlign w:val="center"/>
          </w:tcPr>
          <w:p w14:paraId="78579A8F">
            <w:pPr>
              <w:keepNext w:val="0"/>
              <w:keepLines w:val="0"/>
              <w:pageBreakBefore w:val="0"/>
              <w:kinsoku/>
              <w:wordWrap/>
              <w:overflowPunct/>
              <w:topLinePunct w:val="0"/>
              <w:autoSpaceDE/>
              <w:autoSpaceDN/>
              <w:bidi w:val="0"/>
              <w:adjustRightInd/>
              <w:snapToGrid/>
              <w:ind w:left="0" w:right="0"/>
              <w:jc w:val="center"/>
              <w:textAlignment w:val="auto"/>
              <w:rPr>
                <w:rFonts w:hint="default" w:ascii="Times New Roman" w:hAnsi="Times New Roman" w:eastAsia="等线"/>
                <w:color w:val="auto"/>
                <w:sz w:val="21"/>
                <w:szCs w:val="20"/>
                <w:highlight w:val="none"/>
                <w:lang w:val="en-US" w:eastAsia="zh-CN"/>
              </w:rPr>
            </w:pPr>
            <w:r>
              <w:rPr>
                <w:rFonts w:hint="eastAsia" w:ascii="Times New Roman" w:hAnsi="Times New Roman" w:eastAsia="等线"/>
                <w:color w:val="auto"/>
                <w:sz w:val="21"/>
                <w:szCs w:val="20"/>
                <w:highlight w:val="none"/>
                <w:lang w:val="en-US" w:eastAsia="zh-CN"/>
              </w:rPr>
              <w:t>0.000342878</w:t>
            </w:r>
          </w:p>
        </w:tc>
      </w:tr>
      <w:tr w14:paraId="520B0EA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cantSplit/>
          <w:trHeight w:val="335" w:hRule="atLeast"/>
          <w:jc w:val="center"/>
        </w:trPr>
        <w:tc>
          <w:tcPr>
            <w:tcW w:w="863" w:type="dxa"/>
            <w:vMerge w:val="continue"/>
            <w:vAlign w:val="center"/>
          </w:tcPr>
          <w:p w14:paraId="695CB77F">
            <w:pPr>
              <w:pStyle w:val="118"/>
              <w:keepNext w:val="0"/>
              <w:keepLines w:val="0"/>
              <w:pageBreakBefore w:val="0"/>
              <w:kinsoku/>
              <w:wordWrap/>
              <w:overflowPunct/>
              <w:topLinePunct w:val="0"/>
              <w:autoSpaceDE/>
              <w:autoSpaceDN/>
              <w:bidi w:val="0"/>
              <w:adjustRightInd/>
              <w:snapToGrid/>
              <w:ind w:left="0" w:right="0"/>
              <w:textAlignment w:val="auto"/>
              <w:rPr>
                <w:rFonts w:hint="eastAsia" w:ascii="Times New Roman" w:hAnsi="Times New Roman" w:eastAsia="宋体"/>
                <w:color w:val="auto"/>
                <w:sz w:val="21"/>
                <w:szCs w:val="21"/>
                <w:highlight w:val="none"/>
              </w:rPr>
            </w:pPr>
          </w:p>
        </w:tc>
        <w:tc>
          <w:tcPr>
            <w:tcW w:w="1399" w:type="dxa"/>
            <w:vAlign w:val="center"/>
          </w:tcPr>
          <w:p w14:paraId="2B15CCF4">
            <w:pPr>
              <w:keepNext w:val="0"/>
              <w:keepLines w:val="0"/>
              <w:pageBreakBefore w:val="0"/>
              <w:kinsoku/>
              <w:wordWrap/>
              <w:overflowPunct/>
              <w:topLinePunct w:val="0"/>
              <w:autoSpaceDE/>
              <w:autoSpaceDN/>
              <w:bidi w:val="0"/>
              <w:adjustRightInd/>
              <w:snapToGrid/>
              <w:ind w:left="0" w:right="0"/>
              <w:jc w:val="center"/>
              <w:textAlignment w:val="auto"/>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氮氧化物</w:t>
            </w:r>
          </w:p>
        </w:tc>
        <w:tc>
          <w:tcPr>
            <w:tcW w:w="1026" w:type="dxa"/>
            <w:vMerge w:val="continue"/>
            <w:vAlign w:val="center"/>
          </w:tcPr>
          <w:p w14:paraId="020B4412">
            <w:pPr>
              <w:keepNext w:val="0"/>
              <w:keepLines w:val="0"/>
              <w:pageBreakBefore w:val="0"/>
              <w:kinsoku/>
              <w:wordWrap/>
              <w:overflowPunct/>
              <w:topLinePunct w:val="0"/>
              <w:autoSpaceDE/>
              <w:autoSpaceDN/>
              <w:bidi w:val="0"/>
              <w:adjustRightInd/>
              <w:snapToGrid/>
              <w:ind w:left="0" w:right="0"/>
              <w:jc w:val="center"/>
              <w:textAlignment w:val="auto"/>
              <w:rPr>
                <w:rFonts w:hint="eastAsia" w:ascii="Times New Roman" w:hAnsi="Times New Roman" w:cs="Times New Roman"/>
                <w:color w:val="auto"/>
                <w:sz w:val="21"/>
                <w:szCs w:val="21"/>
                <w:highlight w:val="none"/>
              </w:rPr>
            </w:pPr>
          </w:p>
        </w:tc>
        <w:tc>
          <w:tcPr>
            <w:tcW w:w="1027" w:type="dxa"/>
            <w:vMerge w:val="continue"/>
            <w:vAlign w:val="center"/>
          </w:tcPr>
          <w:p w14:paraId="608715D6">
            <w:pPr>
              <w:keepNext w:val="0"/>
              <w:keepLines w:val="0"/>
              <w:pageBreakBefore w:val="0"/>
              <w:kinsoku/>
              <w:wordWrap/>
              <w:overflowPunct/>
              <w:topLinePunct w:val="0"/>
              <w:autoSpaceDE/>
              <w:autoSpaceDN/>
              <w:bidi w:val="0"/>
              <w:adjustRightInd/>
              <w:snapToGrid/>
              <w:ind w:left="0" w:right="0"/>
              <w:jc w:val="center"/>
              <w:textAlignment w:val="auto"/>
              <w:rPr>
                <w:rFonts w:hint="eastAsia" w:ascii="Times New Roman" w:hAnsi="Times New Roman" w:cs="Times New Roman"/>
                <w:color w:val="auto"/>
                <w:sz w:val="21"/>
                <w:szCs w:val="21"/>
                <w:highlight w:val="none"/>
              </w:rPr>
            </w:pPr>
          </w:p>
        </w:tc>
        <w:tc>
          <w:tcPr>
            <w:tcW w:w="1438" w:type="dxa"/>
            <w:vMerge w:val="continue"/>
            <w:vAlign w:val="center"/>
          </w:tcPr>
          <w:p w14:paraId="4B0CE9C8">
            <w:pPr>
              <w:pStyle w:val="118"/>
              <w:keepNext w:val="0"/>
              <w:keepLines w:val="0"/>
              <w:pageBreakBefore w:val="0"/>
              <w:kinsoku/>
              <w:wordWrap/>
              <w:overflowPunct/>
              <w:topLinePunct w:val="0"/>
              <w:autoSpaceDE/>
              <w:autoSpaceDN/>
              <w:bidi w:val="0"/>
              <w:adjustRightInd/>
              <w:snapToGrid/>
              <w:ind w:left="0" w:right="0"/>
              <w:textAlignment w:val="auto"/>
              <w:rPr>
                <w:rFonts w:hint="eastAsia" w:ascii="Times New Roman" w:hAnsi="Times New Roman" w:eastAsia="宋体"/>
                <w:color w:val="auto"/>
                <w:kern w:val="0"/>
                <w:sz w:val="21"/>
                <w:szCs w:val="21"/>
                <w:highlight w:val="none"/>
              </w:rPr>
            </w:pPr>
          </w:p>
        </w:tc>
        <w:tc>
          <w:tcPr>
            <w:tcW w:w="863" w:type="dxa"/>
            <w:vMerge w:val="continue"/>
            <w:vAlign w:val="center"/>
          </w:tcPr>
          <w:p w14:paraId="2C3C1887">
            <w:pPr>
              <w:pStyle w:val="118"/>
              <w:keepNext w:val="0"/>
              <w:keepLines w:val="0"/>
              <w:pageBreakBefore w:val="0"/>
              <w:kinsoku/>
              <w:wordWrap/>
              <w:overflowPunct/>
              <w:topLinePunct w:val="0"/>
              <w:autoSpaceDE/>
              <w:autoSpaceDN/>
              <w:bidi w:val="0"/>
              <w:adjustRightInd/>
              <w:snapToGrid/>
              <w:ind w:left="0" w:right="0"/>
              <w:textAlignment w:val="auto"/>
              <w:rPr>
                <w:rFonts w:hint="eastAsia" w:ascii="Times New Roman" w:hAnsi="Times New Roman" w:eastAsia="宋体"/>
                <w:color w:val="auto"/>
                <w:kern w:val="0"/>
                <w:sz w:val="21"/>
                <w:szCs w:val="21"/>
                <w:highlight w:val="none"/>
              </w:rPr>
            </w:pPr>
          </w:p>
        </w:tc>
        <w:tc>
          <w:tcPr>
            <w:tcW w:w="1151" w:type="dxa"/>
            <w:vMerge w:val="continue"/>
            <w:vAlign w:val="center"/>
          </w:tcPr>
          <w:p w14:paraId="414B1075">
            <w:pPr>
              <w:pStyle w:val="118"/>
              <w:keepNext w:val="0"/>
              <w:keepLines w:val="0"/>
              <w:pageBreakBefore w:val="0"/>
              <w:kinsoku/>
              <w:wordWrap/>
              <w:overflowPunct/>
              <w:topLinePunct w:val="0"/>
              <w:autoSpaceDE/>
              <w:autoSpaceDN/>
              <w:bidi w:val="0"/>
              <w:adjustRightInd/>
              <w:snapToGrid/>
              <w:ind w:left="0" w:right="0"/>
              <w:textAlignment w:val="auto"/>
              <w:rPr>
                <w:rFonts w:hint="eastAsia" w:ascii="Times New Roman" w:hAnsi="Times New Roman" w:eastAsia="宋体"/>
                <w:color w:val="auto"/>
                <w:kern w:val="0"/>
                <w:sz w:val="21"/>
                <w:szCs w:val="21"/>
                <w:highlight w:val="none"/>
              </w:rPr>
            </w:pPr>
          </w:p>
        </w:tc>
        <w:tc>
          <w:tcPr>
            <w:tcW w:w="1726" w:type="dxa"/>
            <w:vMerge w:val="continue"/>
            <w:vAlign w:val="center"/>
          </w:tcPr>
          <w:p w14:paraId="4BA33C60">
            <w:pPr>
              <w:keepNext w:val="0"/>
              <w:keepLines w:val="0"/>
              <w:pageBreakBefore w:val="0"/>
              <w:kinsoku/>
              <w:wordWrap/>
              <w:overflowPunct/>
              <w:topLinePunct w:val="0"/>
              <w:autoSpaceDE/>
              <w:autoSpaceDN/>
              <w:bidi w:val="0"/>
              <w:adjustRightInd/>
              <w:snapToGrid/>
              <w:ind w:left="0" w:right="0"/>
              <w:jc w:val="center"/>
              <w:textAlignment w:val="auto"/>
              <w:rPr>
                <w:rFonts w:hint="eastAsia" w:ascii="Times New Roman" w:hAnsi="Times New Roman"/>
                <w:color w:val="auto"/>
                <w:sz w:val="21"/>
                <w:szCs w:val="21"/>
                <w:highlight w:val="none"/>
              </w:rPr>
            </w:pPr>
          </w:p>
        </w:tc>
        <w:tc>
          <w:tcPr>
            <w:tcW w:w="1349" w:type="dxa"/>
            <w:vMerge w:val="continue"/>
            <w:vAlign w:val="center"/>
          </w:tcPr>
          <w:p w14:paraId="6B2F2CDE">
            <w:pPr>
              <w:pStyle w:val="118"/>
              <w:keepNext w:val="0"/>
              <w:keepLines w:val="0"/>
              <w:pageBreakBefore w:val="0"/>
              <w:kinsoku/>
              <w:wordWrap/>
              <w:overflowPunct/>
              <w:topLinePunct w:val="0"/>
              <w:autoSpaceDE/>
              <w:autoSpaceDN/>
              <w:bidi w:val="0"/>
              <w:adjustRightInd/>
              <w:snapToGrid/>
              <w:ind w:left="0" w:right="0"/>
              <w:textAlignment w:val="auto"/>
              <w:rPr>
                <w:rFonts w:ascii="Times New Roman" w:hAnsi="Times New Roman" w:eastAsia="宋体"/>
                <w:color w:val="auto"/>
                <w:kern w:val="0"/>
                <w:sz w:val="21"/>
                <w:szCs w:val="21"/>
                <w:highlight w:val="none"/>
              </w:rPr>
            </w:pPr>
          </w:p>
        </w:tc>
        <w:tc>
          <w:tcPr>
            <w:tcW w:w="1224" w:type="dxa"/>
            <w:vMerge w:val="continue"/>
            <w:vAlign w:val="center"/>
          </w:tcPr>
          <w:p w14:paraId="29C1CCF5">
            <w:pPr>
              <w:pStyle w:val="118"/>
              <w:keepNext w:val="0"/>
              <w:keepLines w:val="0"/>
              <w:pageBreakBefore w:val="0"/>
              <w:kinsoku/>
              <w:wordWrap/>
              <w:overflowPunct/>
              <w:topLinePunct w:val="0"/>
              <w:autoSpaceDE/>
              <w:autoSpaceDN/>
              <w:bidi w:val="0"/>
              <w:adjustRightInd/>
              <w:snapToGrid/>
              <w:ind w:left="0" w:right="0"/>
              <w:textAlignment w:val="auto"/>
              <w:rPr>
                <w:rFonts w:hint="eastAsia" w:ascii="Times New Roman" w:hAnsi="Times New Roman" w:eastAsia="宋体"/>
                <w:color w:val="auto"/>
                <w:kern w:val="0"/>
                <w:sz w:val="21"/>
                <w:szCs w:val="21"/>
                <w:highlight w:val="none"/>
              </w:rPr>
            </w:pPr>
          </w:p>
        </w:tc>
        <w:tc>
          <w:tcPr>
            <w:tcW w:w="1024" w:type="dxa"/>
            <w:vMerge w:val="continue"/>
            <w:vAlign w:val="center"/>
          </w:tcPr>
          <w:p w14:paraId="34B2D645">
            <w:pPr>
              <w:pStyle w:val="118"/>
              <w:keepNext w:val="0"/>
              <w:keepLines w:val="0"/>
              <w:pageBreakBefore w:val="0"/>
              <w:kinsoku/>
              <w:wordWrap/>
              <w:overflowPunct/>
              <w:topLinePunct w:val="0"/>
              <w:autoSpaceDE/>
              <w:autoSpaceDN/>
              <w:bidi w:val="0"/>
              <w:adjustRightInd/>
              <w:snapToGrid/>
              <w:ind w:left="0" w:right="0"/>
              <w:textAlignment w:val="auto"/>
              <w:rPr>
                <w:rFonts w:ascii="Times New Roman" w:hAnsi="Times New Roman" w:eastAsia="宋体"/>
                <w:color w:val="auto"/>
                <w:kern w:val="0"/>
                <w:sz w:val="21"/>
                <w:szCs w:val="21"/>
                <w:highlight w:val="none"/>
              </w:rPr>
            </w:pPr>
          </w:p>
        </w:tc>
        <w:tc>
          <w:tcPr>
            <w:tcW w:w="1407" w:type="dxa"/>
            <w:vAlign w:val="center"/>
          </w:tcPr>
          <w:p w14:paraId="509AB84B">
            <w:pPr>
              <w:keepNext w:val="0"/>
              <w:keepLines w:val="0"/>
              <w:pageBreakBefore w:val="0"/>
              <w:kinsoku/>
              <w:wordWrap/>
              <w:overflowPunct/>
              <w:topLinePunct w:val="0"/>
              <w:autoSpaceDE/>
              <w:autoSpaceDN/>
              <w:bidi w:val="0"/>
              <w:adjustRightInd/>
              <w:snapToGrid/>
              <w:ind w:left="0" w:right="0"/>
              <w:jc w:val="center"/>
              <w:textAlignment w:val="auto"/>
              <w:rPr>
                <w:rFonts w:hint="default" w:ascii="Times New Roman" w:hAnsi="Times New Roman" w:eastAsia="等线"/>
                <w:color w:val="auto"/>
                <w:sz w:val="21"/>
                <w:szCs w:val="20"/>
                <w:highlight w:val="none"/>
                <w:lang w:val="en-US" w:eastAsia="zh-CN"/>
              </w:rPr>
            </w:pPr>
            <w:r>
              <w:rPr>
                <w:rFonts w:hint="eastAsia" w:ascii="Times New Roman" w:hAnsi="Times New Roman" w:eastAsia="等线"/>
                <w:color w:val="auto"/>
                <w:sz w:val="21"/>
                <w:szCs w:val="20"/>
                <w:highlight w:val="none"/>
                <w:lang w:val="en-US" w:eastAsia="zh-CN"/>
              </w:rPr>
              <w:t>0.000165</w:t>
            </w:r>
          </w:p>
        </w:tc>
      </w:tr>
    </w:tbl>
    <w:p w14:paraId="50F680E3">
      <w:pPr>
        <w:pStyle w:val="15"/>
        <w:spacing w:line="360" w:lineRule="auto"/>
        <w:ind w:left="-105" w:right="-105" w:firstLine="400"/>
        <w:jc w:val="left"/>
        <w:rPr>
          <w:rFonts w:eastAsia="宋体" w:cs="Times New Roman"/>
          <w:b w:val="0"/>
          <w:bCs/>
          <w:color w:val="auto"/>
          <w:sz w:val="20"/>
          <w:szCs w:val="13"/>
          <w:highlight w:val="none"/>
        </w:rPr>
      </w:pPr>
      <w:r>
        <w:rPr>
          <w:rFonts w:eastAsia="宋体" w:cs="Times New Roman"/>
          <w:b w:val="0"/>
          <w:bCs/>
          <w:color w:val="auto"/>
          <w:sz w:val="20"/>
          <w:szCs w:val="13"/>
          <w:highlight w:val="none"/>
        </w:rPr>
        <w:t>注：原点（0,0）取为厂界</w:t>
      </w:r>
      <w:r>
        <w:rPr>
          <w:rFonts w:hint="eastAsia" w:eastAsia="宋体" w:cs="Times New Roman"/>
          <w:b w:val="0"/>
          <w:bCs/>
          <w:color w:val="auto"/>
          <w:sz w:val="20"/>
          <w:szCs w:val="13"/>
          <w:highlight w:val="none"/>
        </w:rPr>
        <w:t>西南</w:t>
      </w:r>
      <w:r>
        <w:rPr>
          <w:rFonts w:eastAsia="宋体" w:cs="Times New Roman"/>
          <w:b w:val="0"/>
          <w:bCs/>
          <w:color w:val="auto"/>
          <w:sz w:val="20"/>
          <w:szCs w:val="13"/>
          <w:highlight w:val="none"/>
        </w:rPr>
        <w:t>角。</w:t>
      </w:r>
    </w:p>
    <w:p w14:paraId="1AC3BB65">
      <w:pPr>
        <w:pStyle w:val="15"/>
        <w:spacing w:line="360" w:lineRule="auto"/>
        <w:ind w:left="-105" w:right="-105" w:firstLine="482"/>
        <w:rPr>
          <w:rFonts w:eastAsia="宋体" w:cs="Times New Roman"/>
          <w:b w:val="0"/>
          <w:bCs/>
          <w:color w:val="auto"/>
          <w:sz w:val="24"/>
          <w:szCs w:val="18"/>
          <w:highlight w:val="none"/>
        </w:rPr>
      </w:pPr>
      <w:bookmarkStart w:id="372" w:name="_Ref38547020"/>
      <w:r>
        <w:rPr>
          <w:rFonts w:eastAsia="宋体" w:cs="Times New Roman"/>
          <w:color w:val="auto"/>
          <w:sz w:val="24"/>
          <w:szCs w:val="18"/>
          <w:highlight w:val="none"/>
        </w:rPr>
        <w:t>表</w:t>
      </w:r>
      <w:r>
        <w:rPr>
          <w:rFonts w:eastAsia="宋体" w:cs="Times New Roman"/>
          <w:color w:val="auto"/>
          <w:sz w:val="24"/>
          <w:szCs w:val="18"/>
          <w:highlight w:val="none"/>
        </w:rPr>
        <w:fldChar w:fldCharType="begin"/>
      </w:r>
      <w:r>
        <w:rPr>
          <w:rFonts w:eastAsia="宋体" w:cs="Times New Roman"/>
          <w:color w:val="auto"/>
          <w:sz w:val="24"/>
          <w:szCs w:val="18"/>
          <w:highlight w:val="none"/>
        </w:rPr>
        <w:instrText xml:space="preserve"> STYLEREF 2 \s </w:instrText>
      </w:r>
      <w:r>
        <w:rPr>
          <w:rFonts w:eastAsia="宋体" w:cs="Times New Roman"/>
          <w:color w:val="auto"/>
          <w:sz w:val="24"/>
          <w:szCs w:val="18"/>
          <w:highlight w:val="none"/>
        </w:rPr>
        <w:fldChar w:fldCharType="separate"/>
      </w:r>
      <w:r>
        <w:rPr>
          <w:rFonts w:eastAsia="宋体" w:cs="Times New Roman"/>
          <w:color w:val="auto"/>
          <w:sz w:val="24"/>
          <w:szCs w:val="18"/>
          <w:highlight w:val="none"/>
        </w:rPr>
        <w:t>6.1</w:t>
      </w:r>
      <w:r>
        <w:rPr>
          <w:rFonts w:eastAsia="宋体" w:cs="Times New Roman"/>
          <w:color w:val="auto"/>
          <w:sz w:val="24"/>
          <w:szCs w:val="18"/>
          <w:highlight w:val="none"/>
        </w:rPr>
        <w:fldChar w:fldCharType="end"/>
      </w:r>
      <w:r>
        <w:rPr>
          <w:rFonts w:eastAsia="宋体" w:cs="Times New Roman"/>
          <w:color w:val="auto"/>
          <w:sz w:val="24"/>
          <w:szCs w:val="18"/>
          <w:highlight w:val="none"/>
        </w:rPr>
        <w:noBreakHyphen/>
      </w:r>
      <w:r>
        <w:rPr>
          <w:rFonts w:eastAsia="宋体" w:cs="Times New Roman"/>
          <w:color w:val="auto"/>
          <w:sz w:val="24"/>
          <w:szCs w:val="18"/>
          <w:highlight w:val="none"/>
        </w:rPr>
        <w:fldChar w:fldCharType="begin"/>
      </w:r>
      <w:r>
        <w:rPr>
          <w:rFonts w:eastAsia="宋体" w:cs="Times New Roman"/>
          <w:color w:val="auto"/>
          <w:sz w:val="24"/>
          <w:szCs w:val="18"/>
          <w:highlight w:val="none"/>
        </w:rPr>
        <w:instrText xml:space="preserve"> SEQ 表 \* ARABIC \s 2 </w:instrText>
      </w:r>
      <w:r>
        <w:rPr>
          <w:rFonts w:eastAsia="宋体" w:cs="Times New Roman"/>
          <w:color w:val="auto"/>
          <w:sz w:val="24"/>
          <w:szCs w:val="18"/>
          <w:highlight w:val="none"/>
        </w:rPr>
        <w:fldChar w:fldCharType="separate"/>
      </w:r>
      <w:r>
        <w:rPr>
          <w:rFonts w:eastAsia="宋体" w:cs="Times New Roman"/>
          <w:color w:val="auto"/>
          <w:sz w:val="24"/>
          <w:szCs w:val="18"/>
          <w:highlight w:val="none"/>
        </w:rPr>
        <w:t>7</w:t>
      </w:r>
      <w:r>
        <w:rPr>
          <w:rFonts w:eastAsia="宋体" w:cs="Times New Roman"/>
          <w:color w:val="auto"/>
          <w:sz w:val="24"/>
          <w:szCs w:val="18"/>
          <w:highlight w:val="none"/>
        </w:rPr>
        <w:fldChar w:fldCharType="end"/>
      </w:r>
      <w:bookmarkEnd w:id="372"/>
      <w:r>
        <w:rPr>
          <w:rFonts w:eastAsia="宋体" w:cs="Times New Roman"/>
          <w:bCs/>
          <w:color w:val="auto"/>
          <w:sz w:val="24"/>
          <w:szCs w:val="18"/>
          <w:highlight w:val="none"/>
        </w:rPr>
        <w:t>本项目面源参数表</w:t>
      </w:r>
    </w:p>
    <w:tbl>
      <w:tblPr>
        <w:tblStyle w:val="45"/>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28" w:type="dxa"/>
          <w:bottom w:w="0" w:type="dxa"/>
          <w:right w:w="28" w:type="dxa"/>
        </w:tblCellMar>
      </w:tblPr>
      <w:tblGrid>
        <w:gridCol w:w="412"/>
        <w:gridCol w:w="1089"/>
        <w:gridCol w:w="1089"/>
        <w:gridCol w:w="1092"/>
        <w:gridCol w:w="1092"/>
        <w:gridCol w:w="1094"/>
        <w:gridCol w:w="1094"/>
        <w:gridCol w:w="1093"/>
        <w:gridCol w:w="1091"/>
        <w:gridCol w:w="1091"/>
        <w:gridCol w:w="1091"/>
        <w:gridCol w:w="784"/>
        <w:gridCol w:w="1380"/>
      </w:tblGrid>
      <w:tr w14:paraId="0210B56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cantSplit/>
          <w:trHeight w:val="593" w:hRule="atLeast"/>
          <w:jc w:val="center"/>
        </w:trPr>
        <w:tc>
          <w:tcPr>
            <w:tcW w:w="412" w:type="dxa"/>
            <w:shd w:val="clear" w:color="auto" w:fill="auto"/>
            <w:vAlign w:val="center"/>
          </w:tcPr>
          <w:p w14:paraId="56287571">
            <w:pPr>
              <w:pStyle w:val="118"/>
              <w:keepNext w:val="0"/>
              <w:keepLines w:val="0"/>
              <w:pageBreakBefore w:val="0"/>
              <w:kinsoku/>
              <w:wordWrap/>
              <w:overflowPunct/>
              <w:topLinePunct w:val="0"/>
              <w:autoSpaceDE/>
              <w:autoSpaceDN/>
              <w:bidi w:val="0"/>
              <w:adjustRightInd/>
              <w:snapToGrid/>
              <w:ind w:left="0" w:right="0"/>
              <w:textAlignment w:val="auto"/>
              <w:rPr>
                <w:rFonts w:ascii="Times New Roman" w:hAnsi="Times New Roman" w:eastAsia="宋体"/>
                <w:b/>
                <w:bCs/>
                <w:color w:val="auto"/>
                <w:sz w:val="21"/>
                <w:szCs w:val="21"/>
                <w:highlight w:val="none"/>
              </w:rPr>
            </w:pPr>
            <w:r>
              <w:rPr>
                <w:rFonts w:ascii="Times New Roman" w:hAnsi="Times New Roman" w:eastAsia="宋体"/>
                <w:b/>
                <w:bCs/>
                <w:color w:val="auto"/>
                <w:sz w:val="21"/>
                <w:szCs w:val="21"/>
                <w:highlight w:val="none"/>
              </w:rPr>
              <w:t>编号</w:t>
            </w:r>
          </w:p>
        </w:tc>
        <w:tc>
          <w:tcPr>
            <w:tcW w:w="1089" w:type="dxa"/>
            <w:vAlign w:val="center"/>
          </w:tcPr>
          <w:p w14:paraId="71ED0032">
            <w:pPr>
              <w:pStyle w:val="118"/>
              <w:keepNext w:val="0"/>
              <w:keepLines w:val="0"/>
              <w:pageBreakBefore w:val="0"/>
              <w:kinsoku/>
              <w:wordWrap/>
              <w:overflowPunct/>
              <w:topLinePunct w:val="0"/>
              <w:autoSpaceDE/>
              <w:autoSpaceDN/>
              <w:bidi w:val="0"/>
              <w:adjustRightInd/>
              <w:snapToGrid/>
              <w:ind w:left="0" w:right="0"/>
              <w:textAlignment w:val="auto"/>
              <w:rPr>
                <w:rFonts w:ascii="Times New Roman" w:hAnsi="Times New Roman" w:eastAsia="宋体"/>
                <w:b/>
                <w:bCs/>
                <w:color w:val="auto"/>
                <w:sz w:val="21"/>
                <w:szCs w:val="21"/>
                <w:highlight w:val="none"/>
              </w:rPr>
            </w:pPr>
            <w:r>
              <w:rPr>
                <w:rFonts w:ascii="Times New Roman" w:hAnsi="Times New Roman" w:eastAsia="宋体"/>
                <w:b/>
                <w:bCs/>
                <w:color w:val="auto"/>
                <w:sz w:val="21"/>
                <w:szCs w:val="21"/>
                <w:highlight w:val="none"/>
              </w:rPr>
              <w:t>车间楼层</w:t>
            </w:r>
          </w:p>
        </w:tc>
        <w:tc>
          <w:tcPr>
            <w:tcW w:w="1089" w:type="dxa"/>
            <w:shd w:val="clear" w:color="auto" w:fill="auto"/>
            <w:vAlign w:val="center"/>
          </w:tcPr>
          <w:p w14:paraId="35A0918B">
            <w:pPr>
              <w:pStyle w:val="118"/>
              <w:keepNext w:val="0"/>
              <w:keepLines w:val="0"/>
              <w:pageBreakBefore w:val="0"/>
              <w:kinsoku/>
              <w:wordWrap/>
              <w:overflowPunct/>
              <w:topLinePunct w:val="0"/>
              <w:autoSpaceDE/>
              <w:autoSpaceDN/>
              <w:bidi w:val="0"/>
              <w:adjustRightInd/>
              <w:snapToGrid/>
              <w:ind w:left="0" w:right="0"/>
              <w:textAlignment w:val="auto"/>
              <w:rPr>
                <w:rFonts w:ascii="Times New Roman" w:hAnsi="Times New Roman" w:eastAsia="宋体"/>
                <w:b/>
                <w:bCs/>
                <w:color w:val="auto"/>
                <w:sz w:val="21"/>
                <w:szCs w:val="21"/>
                <w:highlight w:val="none"/>
              </w:rPr>
            </w:pPr>
            <w:r>
              <w:rPr>
                <w:rFonts w:ascii="Times New Roman" w:hAnsi="Times New Roman" w:eastAsia="宋体"/>
                <w:b/>
                <w:bCs/>
                <w:color w:val="auto"/>
                <w:sz w:val="21"/>
                <w:szCs w:val="21"/>
                <w:highlight w:val="none"/>
              </w:rPr>
              <w:t>名称</w:t>
            </w:r>
          </w:p>
        </w:tc>
        <w:tc>
          <w:tcPr>
            <w:tcW w:w="1092" w:type="dxa"/>
            <w:shd w:val="clear" w:color="auto" w:fill="auto"/>
            <w:vAlign w:val="center"/>
          </w:tcPr>
          <w:p w14:paraId="54C93F66">
            <w:pPr>
              <w:pStyle w:val="118"/>
              <w:keepNext w:val="0"/>
              <w:keepLines w:val="0"/>
              <w:pageBreakBefore w:val="0"/>
              <w:kinsoku/>
              <w:wordWrap/>
              <w:overflowPunct/>
              <w:topLinePunct w:val="0"/>
              <w:autoSpaceDE/>
              <w:autoSpaceDN/>
              <w:bidi w:val="0"/>
              <w:adjustRightInd/>
              <w:snapToGrid/>
              <w:ind w:left="0" w:right="0"/>
              <w:textAlignment w:val="auto"/>
              <w:rPr>
                <w:rFonts w:ascii="Times New Roman" w:hAnsi="Times New Roman" w:eastAsia="宋体"/>
                <w:b/>
                <w:bCs/>
                <w:color w:val="auto"/>
                <w:sz w:val="21"/>
                <w:szCs w:val="21"/>
                <w:highlight w:val="none"/>
              </w:rPr>
            </w:pPr>
            <w:r>
              <w:rPr>
                <w:rFonts w:ascii="Times New Roman" w:hAnsi="Times New Roman" w:eastAsia="宋体"/>
                <w:b/>
                <w:bCs/>
                <w:color w:val="auto"/>
                <w:sz w:val="21"/>
                <w:szCs w:val="21"/>
                <w:highlight w:val="none"/>
              </w:rPr>
              <w:t>X坐标</w:t>
            </w:r>
          </w:p>
        </w:tc>
        <w:tc>
          <w:tcPr>
            <w:tcW w:w="1092" w:type="dxa"/>
            <w:shd w:val="clear" w:color="auto" w:fill="auto"/>
            <w:vAlign w:val="center"/>
          </w:tcPr>
          <w:p w14:paraId="74CEBDF8">
            <w:pPr>
              <w:pStyle w:val="118"/>
              <w:keepNext w:val="0"/>
              <w:keepLines w:val="0"/>
              <w:pageBreakBefore w:val="0"/>
              <w:kinsoku/>
              <w:wordWrap/>
              <w:overflowPunct/>
              <w:topLinePunct w:val="0"/>
              <w:autoSpaceDE/>
              <w:autoSpaceDN/>
              <w:bidi w:val="0"/>
              <w:adjustRightInd/>
              <w:snapToGrid/>
              <w:ind w:left="0" w:right="0"/>
              <w:textAlignment w:val="auto"/>
              <w:rPr>
                <w:rFonts w:ascii="Times New Roman" w:hAnsi="Times New Roman" w:eastAsia="宋体"/>
                <w:b/>
                <w:bCs/>
                <w:color w:val="auto"/>
                <w:sz w:val="21"/>
                <w:szCs w:val="21"/>
                <w:highlight w:val="none"/>
              </w:rPr>
            </w:pPr>
            <w:r>
              <w:rPr>
                <w:rFonts w:ascii="Times New Roman" w:hAnsi="Times New Roman" w:eastAsia="宋体"/>
                <w:b/>
                <w:bCs/>
                <w:color w:val="auto"/>
                <w:sz w:val="21"/>
                <w:szCs w:val="21"/>
                <w:highlight w:val="none"/>
              </w:rPr>
              <w:t>Y坐标</w:t>
            </w:r>
          </w:p>
        </w:tc>
        <w:tc>
          <w:tcPr>
            <w:tcW w:w="1094" w:type="dxa"/>
            <w:shd w:val="clear" w:color="auto" w:fill="auto"/>
            <w:vAlign w:val="center"/>
          </w:tcPr>
          <w:p w14:paraId="28AEB444">
            <w:pPr>
              <w:pStyle w:val="118"/>
              <w:keepNext w:val="0"/>
              <w:keepLines w:val="0"/>
              <w:pageBreakBefore w:val="0"/>
              <w:kinsoku/>
              <w:wordWrap/>
              <w:overflowPunct/>
              <w:topLinePunct w:val="0"/>
              <w:autoSpaceDE/>
              <w:autoSpaceDN/>
              <w:bidi w:val="0"/>
              <w:adjustRightInd/>
              <w:snapToGrid/>
              <w:ind w:left="0" w:right="0"/>
              <w:textAlignment w:val="auto"/>
              <w:rPr>
                <w:rFonts w:ascii="Times New Roman" w:hAnsi="Times New Roman" w:eastAsia="宋体"/>
                <w:b/>
                <w:bCs/>
                <w:color w:val="auto"/>
                <w:sz w:val="21"/>
                <w:szCs w:val="21"/>
                <w:highlight w:val="none"/>
              </w:rPr>
            </w:pPr>
            <w:r>
              <w:rPr>
                <w:rFonts w:ascii="Times New Roman" w:hAnsi="Times New Roman" w:eastAsia="宋体"/>
                <w:b/>
                <w:bCs/>
                <w:color w:val="auto"/>
                <w:sz w:val="21"/>
                <w:szCs w:val="21"/>
                <w:highlight w:val="none"/>
              </w:rPr>
              <w:t>面源海拔高度/m</w:t>
            </w:r>
          </w:p>
        </w:tc>
        <w:tc>
          <w:tcPr>
            <w:tcW w:w="1094" w:type="dxa"/>
            <w:shd w:val="clear" w:color="auto" w:fill="auto"/>
            <w:vAlign w:val="center"/>
          </w:tcPr>
          <w:p w14:paraId="5F4E8CEC">
            <w:pPr>
              <w:pStyle w:val="118"/>
              <w:keepNext w:val="0"/>
              <w:keepLines w:val="0"/>
              <w:pageBreakBefore w:val="0"/>
              <w:kinsoku/>
              <w:wordWrap/>
              <w:overflowPunct/>
              <w:topLinePunct w:val="0"/>
              <w:autoSpaceDE/>
              <w:autoSpaceDN/>
              <w:bidi w:val="0"/>
              <w:adjustRightInd/>
              <w:snapToGrid/>
              <w:ind w:left="0" w:right="0"/>
              <w:textAlignment w:val="auto"/>
              <w:rPr>
                <w:rFonts w:ascii="Times New Roman" w:hAnsi="Times New Roman" w:eastAsia="宋体"/>
                <w:b/>
                <w:bCs/>
                <w:color w:val="auto"/>
                <w:sz w:val="21"/>
                <w:szCs w:val="21"/>
                <w:highlight w:val="none"/>
              </w:rPr>
            </w:pPr>
            <w:r>
              <w:rPr>
                <w:rFonts w:ascii="Times New Roman" w:hAnsi="Times New Roman" w:eastAsia="宋体"/>
                <w:b/>
                <w:bCs/>
                <w:color w:val="auto"/>
                <w:sz w:val="21"/>
                <w:szCs w:val="21"/>
                <w:highlight w:val="none"/>
              </w:rPr>
              <w:t>面源长度/m</w:t>
            </w:r>
          </w:p>
        </w:tc>
        <w:tc>
          <w:tcPr>
            <w:tcW w:w="1093" w:type="dxa"/>
            <w:shd w:val="clear" w:color="auto" w:fill="auto"/>
            <w:vAlign w:val="center"/>
          </w:tcPr>
          <w:p w14:paraId="6317B65D">
            <w:pPr>
              <w:pStyle w:val="118"/>
              <w:keepNext w:val="0"/>
              <w:keepLines w:val="0"/>
              <w:pageBreakBefore w:val="0"/>
              <w:kinsoku/>
              <w:wordWrap/>
              <w:overflowPunct/>
              <w:topLinePunct w:val="0"/>
              <w:autoSpaceDE/>
              <w:autoSpaceDN/>
              <w:bidi w:val="0"/>
              <w:adjustRightInd/>
              <w:snapToGrid/>
              <w:ind w:left="0" w:right="0"/>
              <w:textAlignment w:val="auto"/>
              <w:rPr>
                <w:rFonts w:ascii="Times New Roman" w:hAnsi="Times New Roman" w:eastAsia="宋体"/>
                <w:b/>
                <w:bCs/>
                <w:color w:val="auto"/>
                <w:sz w:val="21"/>
                <w:szCs w:val="21"/>
                <w:highlight w:val="none"/>
              </w:rPr>
            </w:pPr>
            <w:r>
              <w:rPr>
                <w:rFonts w:ascii="Times New Roman" w:hAnsi="Times New Roman" w:eastAsia="宋体"/>
                <w:b/>
                <w:bCs/>
                <w:color w:val="auto"/>
                <w:sz w:val="21"/>
                <w:szCs w:val="21"/>
                <w:highlight w:val="none"/>
              </w:rPr>
              <w:t>面源宽度/m</w:t>
            </w:r>
          </w:p>
        </w:tc>
        <w:tc>
          <w:tcPr>
            <w:tcW w:w="1091" w:type="dxa"/>
            <w:shd w:val="clear" w:color="auto" w:fill="auto"/>
            <w:vAlign w:val="center"/>
          </w:tcPr>
          <w:p w14:paraId="4611219B">
            <w:pPr>
              <w:pStyle w:val="118"/>
              <w:keepNext w:val="0"/>
              <w:keepLines w:val="0"/>
              <w:pageBreakBefore w:val="0"/>
              <w:kinsoku/>
              <w:wordWrap/>
              <w:overflowPunct/>
              <w:topLinePunct w:val="0"/>
              <w:autoSpaceDE/>
              <w:autoSpaceDN/>
              <w:bidi w:val="0"/>
              <w:adjustRightInd/>
              <w:snapToGrid/>
              <w:ind w:left="0" w:right="0"/>
              <w:textAlignment w:val="auto"/>
              <w:rPr>
                <w:rFonts w:ascii="Times New Roman" w:hAnsi="Times New Roman" w:eastAsia="宋体"/>
                <w:b/>
                <w:bCs/>
                <w:color w:val="auto"/>
                <w:sz w:val="21"/>
                <w:szCs w:val="21"/>
                <w:highlight w:val="none"/>
              </w:rPr>
            </w:pPr>
            <w:r>
              <w:rPr>
                <w:rFonts w:ascii="Times New Roman" w:hAnsi="Times New Roman" w:eastAsia="宋体"/>
                <w:b/>
                <w:bCs/>
                <w:color w:val="auto"/>
                <w:sz w:val="21"/>
                <w:szCs w:val="21"/>
                <w:highlight w:val="none"/>
              </w:rPr>
              <w:t>与正北向夹角/°</w:t>
            </w:r>
          </w:p>
        </w:tc>
        <w:tc>
          <w:tcPr>
            <w:tcW w:w="1091" w:type="dxa"/>
            <w:shd w:val="clear" w:color="auto" w:fill="auto"/>
            <w:vAlign w:val="center"/>
          </w:tcPr>
          <w:p w14:paraId="22704B87">
            <w:pPr>
              <w:pStyle w:val="118"/>
              <w:keepNext w:val="0"/>
              <w:keepLines w:val="0"/>
              <w:pageBreakBefore w:val="0"/>
              <w:kinsoku/>
              <w:wordWrap/>
              <w:overflowPunct/>
              <w:topLinePunct w:val="0"/>
              <w:autoSpaceDE/>
              <w:autoSpaceDN/>
              <w:bidi w:val="0"/>
              <w:adjustRightInd/>
              <w:snapToGrid/>
              <w:ind w:left="0" w:right="0"/>
              <w:textAlignment w:val="auto"/>
              <w:rPr>
                <w:rFonts w:ascii="Times New Roman" w:hAnsi="Times New Roman" w:eastAsia="宋体"/>
                <w:b/>
                <w:bCs/>
                <w:color w:val="auto"/>
                <w:sz w:val="21"/>
                <w:szCs w:val="21"/>
                <w:highlight w:val="none"/>
              </w:rPr>
            </w:pPr>
            <w:r>
              <w:rPr>
                <w:rFonts w:ascii="Times New Roman" w:hAnsi="Times New Roman" w:eastAsia="宋体"/>
                <w:b/>
                <w:bCs/>
                <w:color w:val="auto"/>
                <w:sz w:val="21"/>
                <w:szCs w:val="21"/>
                <w:highlight w:val="none"/>
              </w:rPr>
              <w:t>面源有效排放高度/m</w:t>
            </w:r>
          </w:p>
        </w:tc>
        <w:tc>
          <w:tcPr>
            <w:tcW w:w="1091" w:type="dxa"/>
            <w:shd w:val="clear" w:color="auto" w:fill="auto"/>
            <w:vAlign w:val="center"/>
          </w:tcPr>
          <w:p w14:paraId="064F4D30">
            <w:pPr>
              <w:pStyle w:val="118"/>
              <w:keepNext w:val="0"/>
              <w:keepLines w:val="0"/>
              <w:pageBreakBefore w:val="0"/>
              <w:kinsoku/>
              <w:wordWrap/>
              <w:overflowPunct/>
              <w:topLinePunct w:val="0"/>
              <w:autoSpaceDE/>
              <w:autoSpaceDN/>
              <w:bidi w:val="0"/>
              <w:adjustRightInd/>
              <w:snapToGrid/>
              <w:ind w:left="0" w:right="0"/>
              <w:textAlignment w:val="auto"/>
              <w:rPr>
                <w:rFonts w:ascii="Times New Roman" w:hAnsi="Times New Roman" w:eastAsia="宋体"/>
                <w:b/>
                <w:bCs/>
                <w:color w:val="auto"/>
                <w:sz w:val="21"/>
                <w:szCs w:val="21"/>
                <w:highlight w:val="none"/>
              </w:rPr>
            </w:pPr>
            <w:r>
              <w:rPr>
                <w:rFonts w:ascii="Times New Roman" w:hAnsi="Times New Roman" w:eastAsia="宋体"/>
                <w:b/>
                <w:bCs/>
                <w:color w:val="auto"/>
                <w:sz w:val="21"/>
                <w:szCs w:val="21"/>
                <w:highlight w:val="none"/>
              </w:rPr>
              <w:t>年排放小时数/h</w:t>
            </w:r>
          </w:p>
        </w:tc>
        <w:tc>
          <w:tcPr>
            <w:tcW w:w="784" w:type="dxa"/>
            <w:shd w:val="clear" w:color="auto" w:fill="auto"/>
            <w:vAlign w:val="center"/>
          </w:tcPr>
          <w:p w14:paraId="63C821BE">
            <w:pPr>
              <w:pStyle w:val="118"/>
              <w:keepNext w:val="0"/>
              <w:keepLines w:val="0"/>
              <w:pageBreakBefore w:val="0"/>
              <w:kinsoku/>
              <w:wordWrap/>
              <w:overflowPunct/>
              <w:topLinePunct w:val="0"/>
              <w:autoSpaceDE/>
              <w:autoSpaceDN/>
              <w:bidi w:val="0"/>
              <w:adjustRightInd/>
              <w:snapToGrid/>
              <w:ind w:left="0" w:right="0"/>
              <w:textAlignment w:val="auto"/>
              <w:rPr>
                <w:rFonts w:ascii="Times New Roman" w:hAnsi="Times New Roman" w:eastAsia="宋体"/>
                <w:b/>
                <w:bCs/>
                <w:color w:val="auto"/>
                <w:sz w:val="21"/>
                <w:szCs w:val="21"/>
                <w:highlight w:val="none"/>
              </w:rPr>
            </w:pPr>
            <w:r>
              <w:rPr>
                <w:rFonts w:ascii="Times New Roman" w:hAnsi="Times New Roman" w:eastAsia="宋体"/>
                <w:b/>
                <w:bCs/>
                <w:color w:val="auto"/>
                <w:sz w:val="21"/>
                <w:szCs w:val="21"/>
                <w:highlight w:val="none"/>
              </w:rPr>
              <w:t>排放工况</w:t>
            </w:r>
          </w:p>
        </w:tc>
        <w:tc>
          <w:tcPr>
            <w:tcW w:w="1380" w:type="dxa"/>
            <w:shd w:val="clear" w:color="auto" w:fill="auto"/>
            <w:vAlign w:val="center"/>
          </w:tcPr>
          <w:p w14:paraId="469AAACE">
            <w:pPr>
              <w:pStyle w:val="118"/>
              <w:keepNext w:val="0"/>
              <w:keepLines w:val="0"/>
              <w:pageBreakBefore w:val="0"/>
              <w:kinsoku/>
              <w:wordWrap/>
              <w:overflowPunct/>
              <w:topLinePunct w:val="0"/>
              <w:autoSpaceDE/>
              <w:autoSpaceDN/>
              <w:bidi w:val="0"/>
              <w:adjustRightInd/>
              <w:snapToGrid/>
              <w:ind w:left="0" w:right="0"/>
              <w:textAlignment w:val="auto"/>
              <w:rPr>
                <w:rFonts w:ascii="Times New Roman" w:hAnsi="Times New Roman" w:eastAsia="宋体"/>
                <w:b/>
                <w:bCs/>
                <w:color w:val="auto"/>
                <w:sz w:val="21"/>
                <w:szCs w:val="21"/>
                <w:highlight w:val="none"/>
              </w:rPr>
            </w:pPr>
            <w:r>
              <w:rPr>
                <w:rFonts w:ascii="Times New Roman" w:hAnsi="Times New Roman" w:eastAsia="宋体"/>
                <w:b/>
                <w:bCs/>
                <w:color w:val="auto"/>
                <w:sz w:val="21"/>
                <w:szCs w:val="21"/>
                <w:highlight w:val="none"/>
              </w:rPr>
              <w:t>污染物排放速率/（g/s）</w:t>
            </w:r>
          </w:p>
        </w:tc>
      </w:tr>
      <w:tr w14:paraId="2043FAC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cantSplit/>
          <w:trHeight w:val="283" w:hRule="atLeast"/>
          <w:jc w:val="center"/>
        </w:trPr>
        <w:tc>
          <w:tcPr>
            <w:tcW w:w="412" w:type="dxa"/>
            <w:vAlign w:val="center"/>
          </w:tcPr>
          <w:p w14:paraId="5875E584">
            <w:pPr>
              <w:pStyle w:val="118"/>
              <w:keepNext w:val="0"/>
              <w:keepLines w:val="0"/>
              <w:pageBreakBefore w:val="0"/>
              <w:kinsoku/>
              <w:wordWrap/>
              <w:overflowPunct/>
              <w:topLinePunct w:val="0"/>
              <w:autoSpaceDE/>
              <w:autoSpaceDN/>
              <w:bidi w:val="0"/>
              <w:adjustRightInd/>
              <w:snapToGrid/>
              <w:ind w:left="0" w:right="0"/>
              <w:textAlignment w:val="auto"/>
              <w:rPr>
                <w:rFonts w:ascii="Times New Roman" w:hAnsi="Times New Roman" w:eastAsia="宋体"/>
                <w:color w:val="auto"/>
                <w:sz w:val="21"/>
                <w:szCs w:val="21"/>
                <w:highlight w:val="none"/>
              </w:rPr>
            </w:pPr>
            <w:r>
              <w:rPr>
                <w:rFonts w:ascii="Times New Roman" w:hAnsi="Times New Roman" w:eastAsia="宋体"/>
                <w:color w:val="auto"/>
                <w:sz w:val="21"/>
                <w:szCs w:val="21"/>
                <w:highlight w:val="none"/>
              </w:rPr>
              <w:t>1</w:t>
            </w:r>
          </w:p>
        </w:tc>
        <w:tc>
          <w:tcPr>
            <w:tcW w:w="1089" w:type="dxa"/>
            <w:vAlign w:val="center"/>
          </w:tcPr>
          <w:p w14:paraId="6E1EF53F">
            <w:pPr>
              <w:keepNext w:val="0"/>
              <w:keepLines w:val="0"/>
              <w:pageBreakBefore w:val="0"/>
              <w:kinsoku/>
              <w:wordWrap/>
              <w:overflowPunct/>
              <w:topLinePunct w:val="0"/>
              <w:autoSpaceDE/>
              <w:autoSpaceDN/>
              <w:bidi w:val="0"/>
              <w:adjustRightInd/>
              <w:snapToGrid/>
              <w:ind w:left="0" w:right="0"/>
              <w:jc w:val="center"/>
              <w:textAlignment w:val="auto"/>
              <w:rPr>
                <w:rFonts w:ascii="Times New Roman" w:hAnsi="Times New Roman"/>
                <w:color w:val="auto"/>
                <w:sz w:val="21"/>
                <w:szCs w:val="21"/>
                <w:highlight w:val="none"/>
              </w:rPr>
            </w:pPr>
            <w:r>
              <w:rPr>
                <w:rFonts w:hint="eastAsia" w:ascii="Times New Roman" w:hAnsi="Times New Roman" w:cs="Times New Roman"/>
                <w:color w:val="auto"/>
                <w:sz w:val="21"/>
                <w:szCs w:val="21"/>
                <w:highlight w:val="none"/>
              </w:rPr>
              <w:t>二工场车间</w:t>
            </w:r>
          </w:p>
        </w:tc>
        <w:tc>
          <w:tcPr>
            <w:tcW w:w="1089" w:type="dxa"/>
            <w:vAlign w:val="center"/>
          </w:tcPr>
          <w:p w14:paraId="3BB9850F">
            <w:pPr>
              <w:keepNext w:val="0"/>
              <w:keepLines w:val="0"/>
              <w:pageBreakBefore w:val="0"/>
              <w:kinsoku/>
              <w:wordWrap/>
              <w:overflowPunct/>
              <w:topLinePunct w:val="0"/>
              <w:autoSpaceDE/>
              <w:autoSpaceDN/>
              <w:bidi w:val="0"/>
              <w:adjustRightInd/>
              <w:snapToGrid/>
              <w:ind w:left="0" w:right="0"/>
              <w:jc w:val="center"/>
              <w:textAlignment w:val="auto"/>
              <w:rPr>
                <w:rFonts w:ascii="Times New Roman" w:hAnsi="Times New Roman"/>
                <w:color w:val="auto"/>
                <w:sz w:val="21"/>
                <w:szCs w:val="21"/>
                <w:highlight w:val="none"/>
              </w:rPr>
            </w:pPr>
            <w:r>
              <w:rPr>
                <w:rFonts w:hint="eastAsia" w:ascii="Times New Roman" w:hAnsi="Times New Roman" w:cs="Times New Roman"/>
                <w:color w:val="auto"/>
                <w:sz w:val="21"/>
                <w:szCs w:val="21"/>
                <w:highlight w:val="none"/>
              </w:rPr>
              <w:t>非甲烷总烃</w:t>
            </w:r>
          </w:p>
        </w:tc>
        <w:tc>
          <w:tcPr>
            <w:tcW w:w="1092" w:type="dxa"/>
            <w:vAlign w:val="center"/>
          </w:tcPr>
          <w:p w14:paraId="51A29E48">
            <w:pPr>
              <w:pStyle w:val="118"/>
              <w:keepNext w:val="0"/>
              <w:keepLines w:val="0"/>
              <w:pageBreakBefore w:val="0"/>
              <w:kinsoku/>
              <w:wordWrap/>
              <w:overflowPunct/>
              <w:topLinePunct w:val="0"/>
              <w:autoSpaceDE/>
              <w:autoSpaceDN/>
              <w:bidi w:val="0"/>
              <w:adjustRightInd/>
              <w:snapToGrid/>
              <w:ind w:left="0" w:right="0"/>
              <w:textAlignment w:val="auto"/>
              <w:rPr>
                <w:rFonts w:ascii="Times New Roman" w:hAnsi="Times New Roman" w:eastAsia="宋体"/>
                <w:color w:val="auto"/>
                <w:kern w:val="0"/>
                <w:sz w:val="21"/>
                <w:szCs w:val="21"/>
                <w:highlight w:val="none"/>
              </w:rPr>
            </w:pPr>
            <w:r>
              <w:rPr>
                <w:rFonts w:hint="eastAsia" w:ascii="Times New Roman" w:hAnsi="Times New Roman" w:eastAsia="宋体"/>
                <w:color w:val="auto"/>
                <w:kern w:val="0"/>
                <w:sz w:val="21"/>
                <w:szCs w:val="21"/>
                <w:highlight w:val="none"/>
              </w:rPr>
              <w:t>65</w:t>
            </w:r>
          </w:p>
        </w:tc>
        <w:tc>
          <w:tcPr>
            <w:tcW w:w="1092" w:type="dxa"/>
            <w:vAlign w:val="center"/>
          </w:tcPr>
          <w:p w14:paraId="3DA2BC9E">
            <w:pPr>
              <w:pStyle w:val="118"/>
              <w:keepNext w:val="0"/>
              <w:keepLines w:val="0"/>
              <w:pageBreakBefore w:val="0"/>
              <w:kinsoku/>
              <w:wordWrap/>
              <w:overflowPunct/>
              <w:topLinePunct w:val="0"/>
              <w:autoSpaceDE/>
              <w:autoSpaceDN/>
              <w:bidi w:val="0"/>
              <w:adjustRightInd/>
              <w:snapToGrid/>
              <w:ind w:left="0" w:right="0"/>
              <w:textAlignment w:val="auto"/>
              <w:rPr>
                <w:rFonts w:ascii="Times New Roman" w:hAnsi="Times New Roman" w:eastAsia="宋体"/>
                <w:color w:val="auto"/>
                <w:kern w:val="0"/>
                <w:sz w:val="21"/>
                <w:szCs w:val="21"/>
                <w:highlight w:val="none"/>
              </w:rPr>
            </w:pPr>
            <w:r>
              <w:rPr>
                <w:rFonts w:hint="eastAsia" w:ascii="Times New Roman" w:hAnsi="Times New Roman" w:eastAsia="宋体"/>
                <w:color w:val="auto"/>
                <w:kern w:val="0"/>
                <w:sz w:val="21"/>
                <w:szCs w:val="21"/>
                <w:highlight w:val="none"/>
              </w:rPr>
              <w:t>105</w:t>
            </w:r>
          </w:p>
        </w:tc>
        <w:tc>
          <w:tcPr>
            <w:tcW w:w="1094" w:type="dxa"/>
            <w:vAlign w:val="center"/>
          </w:tcPr>
          <w:p w14:paraId="08E64759">
            <w:pPr>
              <w:pStyle w:val="118"/>
              <w:keepNext w:val="0"/>
              <w:keepLines w:val="0"/>
              <w:pageBreakBefore w:val="0"/>
              <w:kinsoku/>
              <w:wordWrap/>
              <w:overflowPunct/>
              <w:topLinePunct w:val="0"/>
              <w:autoSpaceDE/>
              <w:autoSpaceDN/>
              <w:bidi w:val="0"/>
              <w:adjustRightInd/>
              <w:snapToGrid/>
              <w:ind w:left="0" w:right="0"/>
              <w:textAlignment w:val="auto"/>
              <w:rPr>
                <w:rFonts w:ascii="Times New Roman" w:hAnsi="Times New Roman" w:eastAsia="宋体"/>
                <w:color w:val="auto"/>
                <w:kern w:val="0"/>
                <w:sz w:val="21"/>
                <w:szCs w:val="21"/>
                <w:highlight w:val="none"/>
              </w:rPr>
            </w:pPr>
            <w:r>
              <w:rPr>
                <w:rFonts w:hint="eastAsia" w:ascii="Times New Roman" w:hAnsi="Times New Roman" w:eastAsia="宋体"/>
                <w:color w:val="auto"/>
                <w:kern w:val="0"/>
                <w:sz w:val="21"/>
                <w:szCs w:val="21"/>
                <w:highlight w:val="none"/>
              </w:rPr>
              <w:t>6</w:t>
            </w:r>
          </w:p>
        </w:tc>
        <w:tc>
          <w:tcPr>
            <w:tcW w:w="1094" w:type="dxa"/>
            <w:vAlign w:val="center"/>
          </w:tcPr>
          <w:p w14:paraId="5421A8A3">
            <w:pPr>
              <w:pStyle w:val="118"/>
              <w:keepNext w:val="0"/>
              <w:keepLines w:val="0"/>
              <w:pageBreakBefore w:val="0"/>
              <w:kinsoku/>
              <w:wordWrap/>
              <w:overflowPunct/>
              <w:topLinePunct w:val="0"/>
              <w:autoSpaceDE/>
              <w:autoSpaceDN/>
              <w:bidi w:val="0"/>
              <w:adjustRightInd/>
              <w:snapToGrid/>
              <w:ind w:left="0" w:right="0"/>
              <w:textAlignment w:val="auto"/>
              <w:rPr>
                <w:rFonts w:ascii="Times New Roman" w:hAnsi="Times New Roman" w:eastAsia="宋体"/>
                <w:color w:val="auto"/>
                <w:kern w:val="0"/>
                <w:sz w:val="21"/>
                <w:szCs w:val="21"/>
                <w:highlight w:val="none"/>
              </w:rPr>
            </w:pPr>
            <w:r>
              <w:rPr>
                <w:rFonts w:hint="eastAsia" w:ascii="Times New Roman" w:hAnsi="Times New Roman" w:eastAsia="宋体"/>
                <w:color w:val="auto"/>
                <w:kern w:val="0"/>
                <w:sz w:val="21"/>
                <w:szCs w:val="21"/>
                <w:highlight w:val="none"/>
              </w:rPr>
              <w:t>21</w:t>
            </w:r>
          </w:p>
        </w:tc>
        <w:tc>
          <w:tcPr>
            <w:tcW w:w="1093" w:type="dxa"/>
            <w:vAlign w:val="center"/>
          </w:tcPr>
          <w:p w14:paraId="2D42A3B8">
            <w:pPr>
              <w:pStyle w:val="118"/>
              <w:keepNext w:val="0"/>
              <w:keepLines w:val="0"/>
              <w:pageBreakBefore w:val="0"/>
              <w:kinsoku/>
              <w:wordWrap/>
              <w:overflowPunct/>
              <w:topLinePunct w:val="0"/>
              <w:autoSpaceDE/>
              <w:autoSpaceDN/>
              <w:bidi w:val="0"/>
              <w:adjustRightInd/>
              <w:snapToGrid/>
              <w:ind w:left="0" w:right="0"/>
              <w:textAlignment w:val="auto"/>
              <w:rPr>
                <w:rFonts w:ascii="Times New Roman" w:hAnsi="Times New Roman" w:eastAsia="宋体"/>
                <w:color w:val="auto"/>
                <w:kern w:val="0"/>
                <w:sz w:val="21"/>
                <w:szCs w:val="21"/>
                <w:highlight w:val="none"/>
              </w:rPr>
            </w:pPr>
            <w:r>
              <w:rPr>
                <w:rFonts w:hint="eastAsia" w:ascii="Times New Roman" w:hAnsi="Times New Roman" w:eastAsia="宋体"/>
                <w:color w:val="auto"/>
                <w:kern w:val="0"/>
                <w:sz w:val="21"/>
                <w:szCs w:val="21"/>
                <w:highlight w:val="none"/>
              </w:rPr>
              <w:t>30</w:t>
            </w:r>
          </w:p>
        </w:tc>
        <w:tc>
          <w:tcPr>
            <w:tcW w:w="1091" w:type="dxa"/>
            <w:vAlign w:val="center"/>
          </w:tcPr>
          <w:p w14:paraId="45E036FA">
            <w:pPr>
              <w:pStyle w:val="118"/>
              <w:keepNext w:val="0"/>
              <w:keepLines w:val="0"/>
              <w:pageBreakBefore w:val="0"/>
              <w:kinsoku/>
              <w:wordWrap/>
              <w:overflowPunct/>
              <w:topLinePunct w:val="0"/>
              <w:autoSpaceDE/>
              <w:autoSpaceDN/>
              <w:bidi w:val="0"/>
              <w:adjustRightInd/>
              <w:snapToGrid/>
              <w:ind w:left="0" w:right="0"/>
              <w:textAlignment w:val="auto"/>
              <w:rPr>
                <w:rFonts w:ascii="Times New Roman" w:hAnsi="Times New Roman" w:eastAsia="宋体"/>
                <w:color w:val="auto"/>
                <w:kern w:val="0"/>
                <w:sz w:val="21"/>
                <w:szCs w:val="21"/>
                <w:highlight w:val="none"/>
              </w:rPr>
            </w:pPr>
            <w:r>
              <w:rPr>
                <w:rFonts w:hint="eastAsia" w:ascii="Times New Roman" w:hAnsi="Times New Roman" w:eastAsia="宋体"/>
                <w:color w:val="auto"/>
                <w:kern w:val="0"/>
                <w:sz w:val="21"/>
                <w:szCs w:val="21"/>
                <w:highlight w:val="none"/>
              </w:rPr>
              <w:t>-10</w:t>
            </w:r>
          </w:p>
        </w:tc>
        <w:tc>
          <w:tcPr>
            <w:tcW w:w="1091" w:type="dxa"/>
            <w:vAlign w:val="center"/>
          </w:tcPr>
          <w:p w14:paraId="52C1FBCC">
            <w:pPr>
              <w:pStyle w:val="118"/>
              <w:keepNext w:val="0"/>
              <w:keepLines w:val="0"/>
              <w:pageBreakBefore w:val="0"/>
              <w:kinsoku/>
              <w:wordWrap/>
              <w:overflowPunct/>
              <w:topLinePunct w:val="0"/>
              <w:autoSpaceDE/>
              <w:autoSpaceDN/>
              <w:bidi w:val="0"/>
              <w:adjustRightInd/>
              <w:snapToGrid/>
              <w:ind w:left="0" w:right="0"/>
              <w:textAlignment w:val="auto"/>
              <w:rPr>
                <w:rFonts w:ascii="Times New Roman" w:hAnsi="Times New Roman" w:eastAsia="宋体"/>
                <w:color w:val="auto"/>
                <w:kern w:val="0"/>
                <w:sz w:val="21"/>
                <w:szCs w:val="21"/>
                <w:highlight w:val="none"/>
              </w:rPr>
            </w:pPr>
            <w:r>
              <w:rPr>
                <w:rFonts w:hint="eastAsia" w:ascii="Times New Roman" w:hAnsi="Times New Roman" w:eastAsia="宋体"/>
                <w:color w:val="auto"/>
                <w:kern w:val="0"/>
                <w:sz w:val="21"/>
                <w:szCs w:val="21"/>
                <w:highlight w:val="none"/>
              </w:rPr>
              <w:t>12.4</w:t>
            </w:r>
          </w:p>
        </w:tc>
        <w:tc>
          <w:tcPr>
            <w:tcW w:w="1091" w:type="dxa"/>
            <w:vAlign w:val="center"/>
          </w:tcPr>
          <w:p w14:paraId="2DB4B7DB">
            <w:pPr>
              <w:pStyle w:val="118"/>
              <w:keepNext w:val="0"/>
              <w:keepLines w:val="0"/>
              <w:pageBreakBefore w:val="0"/>
              <w:kinsoku/>
              <w:wordWrap/>
              <w:overflowPunct/>
              <w:topLinePunct w:val="0"/>
              <w:autoSpaceDE/>
              <w:autoSpaceDN/>
              <w:bidi w:val="0"/>
              <w:adjustRightInd/>
              <w:snapToGrid/>
              <w:ind w:left="0" w:right="0"/>
              <w:textAlignment w:val="auto"/>
              <w:rPr>
                <w:rFonts w:ascii="Times New Roman" w:hAnsi="Times New Roman" w:eastAsia="宋体"/>
                <w:color w:val="auto"/>
                <w:kern w:val="0"/>
                <w:sz w:val="21"/>
                <w:szCs w:val="21"/>
                <w:highlight w:val="none"/>
              </w:rPr>
            </w:pPr>
            <w:r>
              <w:rPr>
                <w:rFonts w:hint="eastAsia" w:ascii="Times New Roman" w:hAnsi="Times New Roman" w:eastAsia="宋体"/>
                <w:color w:val="auto"/>
                <w:kern w:val="0"/>
                <w:sz w:val="21"/>
                <w:szCs w:val="21"/>
                <w:highlight w:val="none"/>
              </w:rPr>
              <w:t>84</w:t>
            </w:r>
            <w:r>
              <w:rPr>
                <w:rFonts w:ascii="Times New Roman" w:hAnsi="Times New Roman" w:eastAsia="宋体"/>
                <w:color w:val="auto"/>
                <w:kern w:val="0"/>
                <w:sz w:val="21"/>
                <w:szCs w:val="21"/>
                <w:highlight w:val="none"/>
              </w:rPr>
              <w:t>00</w:t>
            </w:r>
          </w:p>
        </w:tc>
        <w:tc>
          <w:tcPr>
            <w:tcW w:w="784" w:type="dxa"/>
            <w:vAlign w:val="center"/>
          </w:tcPr>
          <w:p w14:paraId="0CB9BF9F">
            <w:pPr>
              <w:pStyle w:val="118"/>
              <w:keepNext w:val="0"/>
              <w:keepLines w:val="0"/>
              <w:pageBreakBefore w:val="0"/>
              <w:kinsoku/>
              <w:wordWrap/>
              <w:overflowPunct/>
              <w:topLinePunct w:val="0"/>
              <w:autoSpaceDE/>
              <w:autoSpaceDN/>
              <w:bidi w:val="0"/>
              <w:adjustRightInd/>
              <w:snapToGrid/>
              <w:ind w:left="0" w:right="0"/>
              <w:textAlignment w:val="auto"/>
              <w:rPr>
                <w:rFonts w:ascii="Times New Roman" w:hAnsi="Times New Roman" w:eastAsia="宋体"/>
                <w:color w:val="auto"/>
                <w:kern w:val="0"/>
                <w:sz w:val="21"/>
                <w:szCs w:val="21"/>
                <w:highlight w:val="none"/>
              </w:rPr>
            </w:pPr>
            <w:r>
              <w:rPr>
                <w:rFonts w:ascii="Times New Roman" w:hAnsi="Times New Roman" w:eastAsia="宋体"/>
                <w:color w:val="auto"/>
                <w:kern w:val="0"/>
                <w:sz w:val="21"/>
                <w:szCs w:val="21"/>
                <w:highlight w:val="none"/>
              </w:rPr>
              <w:t>正常</w:t>
            </w:r>
          </w:p>
        </w:tc>
        <w:tc>
          <w:tcPr>
            <w:tcW w:w="1380" w:type="dxa"/>
            <w:vAlign w:val="center"/>
          </w:tcPr>
          <w:p w14:paraId="08E2D0B7">
            <w:pPr>
              <w:keepNext w:val="0"/>
              <w:keepLines w:val="0"/>
              <w:widowControl/>
              <w:suppressLineNumbers w:val="0"/>
              <w:jc w:val="center"/>
              <w:textAlignment w:val="center"/>
              <w:rPr>
                <w:rFonts w:hint="default" w:ascii="Times New Roman" w:hAnsi="Times New Roman" w:eastAsia="等线"/>
                <w:color w:val="auto"/>
                <w:sz w:val="21"/>
                <w:szCs w:val="20"/>
                <w:highlight w:val="none"/>
                <w:lang w:val="en-US" w:eastAsia="zh-CN"/>
              </w:rPr>
            </w:pPr>
            <w:r>
              <w:rPr>
                <w:rFonts w:hint="default" w:ascii="Times New Roman" w:hAnsi="Times New Roman" w:eastAsia="等线" w:cs="Times New Roman"/>
                <w:i w:val="0"/>
                <w:iCs w:val="0"/>
                <w:color w:val="auto"/>
                <w:kern w:val="0"/>
                <w:sz w:val="21"/>
                <w:szCs w:val="21"/>
                <w:highlight w:val="none"/>
                <w:u w:val="none"/>
                <w:lang w:val="en-US" w:eastAsia="zh-CN" w:bidi="ar"/>
              </w:rPr>
              <w:t>0.006068122</w:t>
            </w:r>
          </w:p>
        </w:tc>
      </w:tr>
      <w:tr w14:paraId="19725C4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cantSplit/>
          <w:trHeight w:val="283" w:hRule="atLeast"/>
          <w:jc w:val="center"/>
        </w:trPr>
        <w:tc>
          <w:tcPr>
            <w:tcW w:w="412" w:type="dxa"/>
            <w:vAlign w:val="center"/>
          </w:tcPr>
          <w:p w14:paraId="5DCF8754">
            <w:pPr>
              <w:pStyle w:val="118"/>
              <w:keepNext w:val="0"/>
              <w:keepLines w:val="0"/>
              <w:pageBreakBefore w:val="0"/>
              <w:kinsoku/>
              <w:wordWrap/>
              <w:overflowPunct/>
              <w:topLinePunct w:val="0"/>
              <w:autoSpaceDE/>
              <w:autoSpaceDN/>
              <w:bidi w:val="0"/>
              <w:adjustRightInd/>
              <w:snapToGrid/>
              <w:ind w:left="0" w:right="0"/>
              <w:textAlignment w:val="auto"/>
              <w:rPr>
                <w:rFonts w:ascii="Times New Roman" w:hAnsi="Times New Roman" w:eastAsia="宋体"/>
                <w:color w:val="auto"/>
                <w:sz w:val="21"/>
                <w:szCs w:val="21"/>
                <w:highlight w:val="none"/>
              </w:rPr>
            </w:pPr>
            <w:r>
              <w:rPr>
                <w:rFonts w:ascii="Times New Roman" w:hAnsi="Times New Roman" w:eastAsia="宋体"/>
                <w:color w:val="auto"/>
                <w:sz w:val="21"/>
                <w:szCs w:val="21"/>
                <w:highlight w:val="none"/>
              </w:rPr>
              <w:t>2</w:t>
            </w:r>
          </w:p>
        </w:tc>
        <w:tc>
          <w:tcPr>
            <w:tcW w:w="1089" w:type="dxa"/>
            <w:vMerge w:val="restart"/>
            <w:vAlign w:val="center"/>
          </w:tcPr>
          <w:p w14:paraId="331AB1E9">
            <w:pPr>
              <w:keepNext w:val="0"/>
              <w:keepLines w:val="0"/>
              <w:pageBreakBefore w:val="0"/>
              <w:kinsoku/>
              <w:wordWrap/>
              <w:overflowPunct/>
              <w:topLinePunct w:val="0"/>
              <w:autoSpaceDE/>
              <w:autoSpaceDN/>
              <w:bidi w:val="0"/>
              <w:adjustRightInd/>
              <w:snapToGrid/>
              <w:ind w:left="0" w:right="0"/>
              <w:jc w:val="center"/>
              <w:textAlignment w:val="auto"/>
              <w:rPr>
                <w:rFonts w:ascii="Times New Roman" w:hAnsi="Times New Roman"/>
                <w:color w:val="auto"/>
                <w:sz w:val="21"/>
                <w:szCs w:val="21"/>
                <w:highlight w:val="none"/>
              </w:rPr>
            </w:pPr>
            <w:r>
              <w:rPr>
                <w:rFonts w:hint="eastAsia" w:ascii="Times New Roman" w:hAnsi="Times New Roman" w:cs="Times New Roman"/>
                <w:color w:val="auto"/>
                <w:sz w:val="21"/>
                <w:szCs w:val="21"/>
                <w:highlight w:val="none"/>
              </w:rPr>
              <w:t>实验室</w:t>
            </w:r>
          </w:p>
        </w:tc>
        <w:tc>
          <w:tcPr>
            <w:tcW w:w="1089" w:type="dxa"/>
            <w:vAlign w:val="center"/>
          </w:tcPr>
          <w:p w14:paraId="521631E6">
            <w:pPr>
              <w:keepNext w:val="0"/>
              <w:keepLines w:val="0"/>
              <w:pageBreakBefore w:val="0"/>
              <w:kinsoku/>
              <w:wordWrap/>
              <w:overflowPunct/>
              <w:topLinePunct w:val="0"/>
              <w:autoSpaceDE/>
              <w:autoSpaceDN/>
              <w:bidi w:val="0"/>
              <w:adjustRightInd/>
              <w:snapToGrid/>
              <w:ind w:left="0" w:right="0"/>
              <w:jc w:val="center"/>
              <w:textAlignment w:val="auto"/>
              <w:rPr>
                <w:rFonts w:ascii="Times New Roman" w:hAnsi="Times New Roman"/>
                <w:color w:val="auto"/>
                <w:sz w:val="21"/>
                <w:szCs w:val="21"/>
                <w:highlight w:val="none"/>
              </w:rPr>
            </w:pPr>
            <w:r>
              <w:rPr>
                <w:rFonts w:hint="eastAsia" w:ascii="Times New Roman" w:hAnsi="Times New Roman" w:cs="Times New Roman"/>
                <w:color w:val="auto"/>
                <w:sz w:val="21"/>
                <w:szCs w:val="21"/>
                <w:highlight w:val="none"/>
              </w:rPr>
              <w:t>非甲烷总烃</w:t>
            </w:r>
            <w:r>
              <w:rPr>
                <w:rFonts w:hint="eastAsia" w:ascii="Times New Roman" w:hAnsi="Times New Roman"/>
                <w:color w:val="auto"/>
                <w:sz w:val="21"/>
                <w:szCs w:val="21"/>
                <w:highlight w:val="none"/>
              </w:rPr>
              <w:t>（含甲醇）</w:t>
            </w:r>
          </w:p>
        </w:tc>
        <w:tc>
          <w:tcPr>
            <w:tcW w:w="1092" w:type="dxa"/>
            <w:vMerge w:val="restart"/>
            <w:vAlign w:val="center"/>
          </w:tcPr>
          <w:p w14:paraId="1EDF8568">
            <w:pPr>
              <w:pStyle w:val="118"/>
              <w:keepNext w:val="0"/>
              <w:keepLines w:val="0"/>
              <w:pageBreakBefore w:val="0"/>
              <w:kinsoku/>
              <w:wordWrap/>
              <w:overflowPunct/>
              <w:topLinePunct w:val="0"/>
              <w:autoSpaceDE/>
              <w:autoSpaceDN/>
              <w:bidi w:val="0"/>
              <w:adjustRightInd/>
              <w:snapToGrid/>
              <w:ind w:left="0" w:right="0"/>
              <w:textAlignment w:val="auto"/>
              <w:rPr>
                <w:rFonts w:ascii="Times New Roman" w:hAnsi="Times New Roman" w:eastAsia="宋体"/>
                <w:color w:val="auto"/>
                <w:kern w:val="0"/>
                <w:sz w:val="21"/>
                <w:szCs w:val="21"/>
                <w:highlight w:val="none"/>
              </w:rPr>
            </w:pPr>
            <w:r>
              <w:rPr>
                <w:rFonts w:hint="eastAsia" w:ascii="Times New Roman" w:hAnsi="Times New Roman" w:eastAsia="宋体"/>
                <w:color w:val="auto"/>
                <w:kern w:val="0"/>
                <w:sz w:val="21"/>
                <w:szCs w:val="21"/>
                <w:highlight w:val="none"/>
              </w:rPr>
              <w:t>86</w:t>
            </w:r>
          </w:p>
        </w:tc>
        <w:tc>
          <w:tcPr>
            <w:tcW w:w="1092" w:type="dxa"/>
            <w:vMerge w:val="restart"/>
            <w:vAlign w:val="center"/>
          </w:tcPr>
          <w:p w14:paraId="166131E2">
            <w:pPr>
              <w:pStyle w:val="118"/>
              <w:keepNext w:val="0"/>
              <w:keepLines w:val="0"/>
              <w:pageBreakBefore w:val="0"/>
              <w:kinsoku/>
              <w:wordWrap/>
              <w:overflowPunct/>
              <w:topLinePunct w:val="0"/>
              <w:autoSpaceDE/>
              <w:autoSpaceDN/>
              <w:bidi w:val="0"/>
              <w:adjustRightInd/>
              <w:snapToGrid/>
              <w:ind w:left="0" w:right="0"/>
              <w:textAlignment w:val="auto"/>
              <w:rPr>
                <w:rFonts w:ascii="Times New Roman" w:hAnsi="Times New Roman" w:eastAsia="宋体"/>
                <w:color w:val="auto"/>
                <w:kern w:val="0"/>
                <w:sz w:val="21"/>
                <w:szCs w:val="21"/>
                <w:highlight w:val="none"/>
              </w:rPr>
            </w:pPr>
            <w:r>
              <w:rPr>
                <w:rFonts w:hint="eastAsia" w:ascii="Times New Roman" w:hAnsi="Times New Roman" w:eastAsia="宋体"/>
                <w:color w:val="auto"/>
                <w:kern w:val="0"/>
                <w:sz w:val="21"/>
                <w:szCs w:val="21"/>
                <w:highlight w:val="none"/>
              </w:rPr>
              <w:t>0</w:t>
            </w:r>
          </w:p>
        </w:tc>
        <w:tc>
          <w:tcPr>
            <w:tcW w:w="1094" w:type="dxa"/>
            <w:vMerge w:val="restart"/>
            <w:vAlign w:val="center"/>
          </w:tcPr>
          <w:p w14:paraId="04A6811C">
            <w:pPr>
              <w:pStyle w:val="118"/>
              <w:keepNext w:val="0"/>
              <w:keepLines w:val="0"/>
              <w:pageBreakBefore w:val="0"/>
              <w:kinsoku/>
              <w:wordWrap/>
              <w:overflowPunct/>
              <w:topLinePunct w:val="0"/>
              <w:autoSpaceDE/>
              <w:autoSpaceDN/>
              <w:bidi w:val="0"/>
              <w:adjustRightInd/>
              <w:snapToGrid/>
              <w:ind w:left="0" w:right="0"/>
              <w:textAlignment w:val="auto"/>
              <w:rPr>
                <w:rFonts w:ascii="Times New Roman" w:hAnsi="Times New Roman" w:eastAsia="宋体"/>
                <w:color w:val="auto"/>
                <w:kern w:val="0"/>
                <w:sz w:val="21"/>
                <w:szCs w:val="21"/>
                <w:highlight w:val="none"/>
              </w:rPr>
            </w:pPr>
            <w:r>
              <w:rPr>
                <w:rFonts w:hint="eastAsia" w:ascii="Times New Roman" w:hAnsi="Times New Roman" w:eastAsia="宋体"/>
                <w:color w:val="auto"/>
                <w:kern w:val="0"/>
                <w:sz w:val="21"/>
                <w:szCs w:val="21"/>
                <w:highlight w:val="none"/>
              </w:rPr>
              <w:t>6</w:t>
            </w:r>
          </w:p>
        </w:tc>
        <w:tc>
          <w:tcPr>
            <w:tcW w:w="1094" w:type="dxa"/>
            <w:vMerge w:val="restart"/>
            <w:vAlign w:val="center"/>
          </w:tcPr>
          <w:p w14:paraId="28790D69">
            <w:pPr>
              <w:pStyle w:val="118"/>
              <w:keepNext w:val="0"/>
              <w:keepLines w:val="0"/>
              <w:pageBreakBefore w:val="0"/>
              <w:kinsoku/>
              <w:wordWrap/>
              <w:overflowPunct/>
              <w:topLinePunct w:val="0"/>
              <w:autoSpaceDE/>
              <w:autoSpaceDN/>
              <w:bidi w:val="0"/>
              <w:adjustRightInd/>
              <w:snapToGrid/>
              <w:ind w:left="0" w:right="0"/>
              <w:textAlignment w:val="auto"/>
              <w:rPr>
                <w:rFonts w:ascii="Times New Roman" w:hAnsi="Times New Roman" w:eastAsia="宋体"/>
                <w:color w:val="auto"/>
                <w:kern w:val="0"/>
                <w:sz w:val="21"/>
                <w:szCs w:val="21"/>
                <w:highlight w:val="none"/>
              </w:rPr>
            </w:pPr>
            <w:r>
              <w:rPr>
                <w:rFonts w:hint="eastAsia" w:ascii="Times New Roman" w:hAnsi="Times New Roman" w:eastAsia="宋体"/>
                <w:color w:val="auto"/>
                <w:kern w:val="0"/>
                <w:sz w:val="21"/>
                <w:szCs w:val="21"/>
                <w:highlight w:val="none"/>
              </w:rPr>
              <w:t>29</w:t>
            </w:r>
          </w:p>
        </w:tc>
        <w:tc>
          <w:tcPr>
            <w:tcW w:w="1093" w:type="dxa"/>
            <w:vMerge w:val="restart"/>
            <w:vAlign w:val="center"/>
          </w:tcPr>
          <w:p w14:paraId="4955B362">
            <w:pPr>
              <w:pStyle w:val="118"/>
              <w:keepNext w:val="0"/>
              <w:keepLines w:val="0"/>
              <w:pageBreakBefore w:val="0"/>
              <w:kinsoku/>
              <w:wordWrap/>
              <w:overflowPunct/>
              <w:topLinePunct w:val="0"/>
              <w:autoSpaceDE/>
              <w:autoSpaceDN/>
              <w:bidi w:val="0"/>
              <w:adjustRightInd/>
              <w:snapToGrid/>
              <w:ind w:left="0" w:right="0"/>
              <w:textAlignment w:val="auto"/>
              <w:rPr>
                <w:rFonts w:ascii="Times New Roman" w:hAnsi="Times New Roman" w:eastAsia="宋体"/>
                <w:color w:val="auto"/>
                <w:kern w:val="0"/>
                <w:sz w:val="21"/>
                <w:szCs w:val="21"/>
                <w:highlight w:val="none"/>
              </w:rPr>
            </w:pPr>
            <w:r>
              <w:rPr>
                <w:rFonts w:hint="eastAsia" w:ascii="Times New Roman" w:hAnsi="Times New Roman" w:eastAsia="宋体"/>
                <w:color w:val="auto"/>
                <w:kern w:val="0"/>
                <w:sz w:val="21"/>
                <w:szCs w:val="21"/>
                <w:highlight w:val="none"/>
              </w:rPr>
              <w:t>12</w:t>
            </w:r>
          </w:p>
        </w:tc>
        <w:tc>
          <w:tcPr>
            <w:tcW w:w="1091" w:type="dxa"/>
            <w:vMerge w:val="restart"/>
            <w:vAlign w:val="center"/>
          </w:tcPr>
          <w:p w14:paraId="16D5995C">
            <w:pPr>
              <w:pStyle w:val="118"/>
              <w:keepNext w:val="0"/>
              <w:keepLines w:val="0"/>
              <w:pageBreakBefore w:val="0"/>
              <w:kinsoku/>
              <w:wordWrap/>
              <w:overflowPunct/>
              <w:topLinePunct w:val="0"/>
              <w:autoSpaceDE/>
              <w:autoSpaceDN/>
              <w:bidi w:val="0"/>
              <w:adjustRightInd/>
              <w:snapToGrid/>
              <w:ind w:left="0" w:right="0"/>
              <w:textAlignment w:val="auto"/>
              <w:rPr>
                <w:rFonts w:ascii="Times New Roman" w:hAnsi="Times New Roman" w:eastAsia="宋体"/>
                <w:color w:val="auto"/>
                <w:kern w:val="0"/>
                <w:sz w:val="21"/>
                <w:szCs w:val="21"/>
                <w:highlight w:val="none"/>
              </w:rPr>
            </w:pPr>
            <w:r>
              <w:rPr>
                <w:rFonts w:hint="eastAsia" w:ascii="Times New Roman" w:hAnsi="Times New Roman" w:eastAsia="宋体"/>
                <w:color w:val="auto"/>
                <w:kern w:val="0"/>
                <w:sz w:val="21"/>
                <w:szCs w:val="21"/>
                <w:highlight w:val="none"/>
              </w:rPr>
              <w:t>-10</w:t>
            </w:r>
          </w:p>
        </w:tc>
        <w:tc>
          <w:tcPr>
            <w:tcW w:w="1091" w:type="dxa"/>
            <w:vMerge w:val="restart"/>
            <w:vAlign w:val="center"/>
          </w:tcPr>
          <w:p w14:paraId="00DCB5B7">
            <w:pPr>
              <w:pStyle w:val="118"/>
              <w:keepNext w:val="0"/>
              <w:keepLines w:val="0"/>
              <w:pageBreakBefore w:val="0"/>
              <w:kinsoku/>
              <w:wordWrap/>
              <w:overflowPunct/>
              <w:topLinePunct w:val="0"/>
              <w:autoSpaceDE/>
              <w:autoSpaceDN/>
              <w:bidi w:val="0"/>
              <w:adjustRightInd/>
              <w:snapToGrid/>
              <w:ind w:left="0" w:right="0"/>
              <w:textAlignment w:val="auto"/>
              <w:rPr>
                <w:rFonts w:ascii="Times New Roman" w:hAnsi="Times New Roman" w:eastAsia="宋体"/>
                <w:color w:val="auto"/>
                <w:kern w:val="0"/>
                <w:sz w:val="21"/>
                <w:szCs w:val="21"/>
                <w:highlight w:val="none"/>
              </w:rPr>
            </w:pPr>
            <w:r>
              <w:rPr>
                <w:rFonts w:hint="eastAsia" w:ascii="Times New Roman" w:hAnsi="Times New Roman" w:eastAsia="宋体"/>
                <w:color w:val="auto"/>
                <w:kern w:val="0"/>
                <w:sz w:val="21"/>
                <w:szCs w:val="21"/>
                <w:highlight w:val="none"/>
              </w:rPr>
              <w:t>8.7</w:t>
            </w:r>
          </w:p>
        </w:tc>
        <w:tc>
          <w:tcPr>
            <w:tcW w:w="1091" w:type="dxa"/>
            <w:vMerge w:val="restart"/>
            <w:vAlign w:val="center"/>
          </w:tcPr>
          <w:p w14:paraId="5E73037D">
            <w:pPr>
              <w:pStyle w:val="118"/>
              <w:keepNext w:val="0"/>
              <w:keepLines w:val="0"/>
              <w:pageBreakBefore w:val="0"/>
              <w:kinsoku/>
              <w:wordWrap/>
              <w:overflowPunct/>
              <w:topLinePunct w:val="0"/>
              <w:autoSpaceDE/>
              <w:autoSpaceDN/>
              <w:bidi w:val="0"/>
              <w:adjustRightInd/>
              <w:snapToGrid/>
              <w:ind w:left="0" w:right="0"/>
              <w:textAlignment w:val="auto"/>
              <w:rPr>
                <w:rFonts w:ascii="Times New Roman" w:hAnsi="Times New Roman" w:eastAsia="宋体"/>
                <w:color w:val="auto"/>
                <w:kern w:val="0"/>
                <w:sz w:val="21"/>
                <w:szCs w:val="21"/>
                <w:highlight w:val="none"/>
              </w:rPr>
            </w:pPr>
            <w:r>
              <w:rPr>
                <w:rFonts w:hint="eastAsia" w:ascii="Times New Roman" w:hAnsi="Times New Roman" w:eastAsia="宋体"/>
                <w:color w:val="auto"/>
                <w:kern w:val="0"/>
                <w:sz w:val="21"/>
                <w:szCs w:val="21"/>
                <w:highlight w:val="none"/>
              </w:rPr>
              <w:t>5</w:t>
            </w:r>
            <w:r>
              <w:rPr>
                <w:rFonts w:ascii="Times New Roman" w:hAnsi="Times New Roman" w:eastAsia="宋体"/>
                <w:color w:val="auto"/>
                <w:kern w:val="0"/>
                <w:sz w:val="21"/>
                <w:szCs w:val="21"/>
                <w:highlight w:val="none"/>
              </w:rPr>
              <w:t>00</w:t>
            </w:r>
          </w:p>
        </w:tc>
        <w:tc>
          <w:tcPr>
            <w:tcW w:w="784" w:type="dxa"/>
            <w:vAlign w:val="center"/>
          </w:tcPr>
          <w:p w14:paraId="3F1E19C5">
            <w:pPr>
              <w:pStyle w:val="118"/>
              <w:keepNext w:val="0"/>
              <w:keepLines w:val="0"/>
              <w:pageBreakBefore w:val="0"/>
              <w:kinsoku/>
              <w:wordWrap/>
              <w:overflowPunct/>
              <w:topLinePunct w:val="0"/>
              <w:autoSpaceDE/>
              <w:autoSpaceDN/>
              <w:bidi w:val="0"/>
              <w:adjustRightInd/>
              <w:snapToGrid/>
              <w:ind w:left="0" w:right="0"/>
              <w:textAlignment w:val="auto"/>
              <w:rPr>
                <w:rFonts w:ascii="Times New Roman" w:hAnsi="Times New Roman" w:eastAsia="宋体"/>
                <w:color w:val="auto"/>
                <w:kern w:val="0"/>
                <w:sz w:val="21"/>
                <w:szCs w:val="21"/>
                <w:highlight w:val="none"/>
              </w:rPr>
            </w:pPr>
            <w:r>
              <w:rPr>
                <w:rFonts w:ascii="Times New Roman" w:hAnsi="Times New Roman" w:eastAsia="宋体"/>
                <w:color w:val="auto"/>
                <w:kern w:val="0"/>
                <w:sz w:val="21"/>
                <w:szCs w:val="21"/>
                <w:highlight w:val="none"/>
              </w:rPr>
              <w:t>正常</w:t>
            </w:r>
          </w:p>
        </w:tc>
        <w:tc>
          <w:tcPr>
            <w:tcW w:w="1380" w:type="dxa"/>
            <w:vAlign w:val="center"/>
          </w:tcPr>
          <w:p w14:paraId="40DC65CD">
            <w:pPr>
              <w:keepNext w:val="0"/>
              <w:keepLines w:val="0"/>
              <w:widowControl/>
              <w:suppressLineNumbers w:val="0"/>
              <w:jc w:val="center"/>
              <w:textAlignment w:val="center"/>
              <w:rPr>
                <w:rFonts w:ascii="Times New Roman" w:hAnsi="Times New Roman" w:eastAsia="等线"/>
                <w:color w:val="auto"/>
                <w:kern w:val="0"/>
                <w:sz w:val="21"/>
                <w:highlight w:val="none"/>
              </w:rPr>
            </w:pPr>
            <w:r>
              <w:rPr>
                <w:rFonts w:hint="default" w:ascii="Times New Roman" w:hAnsi="Times New Roman" w:eastAsia="等线" w:cs="Times New Roman"/>
                <w:i w:val="0"/>
                <w:iCs w:val="0"/>
                <w:color w:val="auto"/>
                <w:kern w:val="0"/>
                <w:sz w:val="21"/>
                <w:szCs w:val="21"/>
                <w:highlight w:val="none"/>
                <w:u w:val="none"/>
                <w:lang w:val="en-US" w:eastAsia="zh-CN" w:bidi="ar"/>
              </w:rPr>
              <w:t>0.000717889</w:t>
            </w:r>
          </w:p>
        </w:tc>
      </w:tr>
      <w:tr w14:paraId="3380994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cantSplit/>
          <w:trHeight w:val="283" w:hRule="atLeast"/>
          <w:jc w:val="center"/>
        </w:trPr>
        <w:tc>
          <w:tcPr>
            <w:tcW w:w="412" w:type="dxa"/>
            <w:vAlign w:val="center"/>
          </w:tcPr>
          <w:p w14:paraId="0CDDE37D">
            <w:pPr>
              <w:pStyle w:val="118"/>
              <w:keepNext w:val="0"/>
              <w:keepLines w:val="0"/>
              <w:pageBreakBefore w:val="0"/>
              <w:kinsoku/>
              <w:wordWrap/>
              <w:overflowPunct/>
              <w:topLinePunct w:val="0"/>
              <w:autoSpaceDE/>
              <w:autoSpaceDN/>
              <w:bidi w:val="0"/>
              <w:adjustRightInd/>
              <w:snapToGrid/>
              <w:ind w:left="0" w:right="0"/>
              <w:textAlignment w:val="auto"/>
              <w:rPr>
                <w:rFonts w:hint="eastAsia" w:ascii="Times New Roman" w:hAnsi="Times New Roman" w:eastAsia="宋体"/>
                <w:color w:val="auto"/>
                <w:sz w:val="21"/>
                <w:szCs w:val="21"/>
                <w:highlight w:val="none"/>
                <w:lang w:val="en-US" w:eastAsia="zh-CN"/>
              </w:rPr>
            </w:pPr>
            <w:r>
              <w:rPr>
                <w:rFonts w:hint="eastAsia" w:ascii="Times New Roman" w:hAnsi="Times New Roman" w:eastAsia="宋体"/>
                <w:color w:val="auto"/>
                <w:sz w:val="21"/>
                <w:szCs w:val="21"/>
                <w:highlight w:val="none"/>
                <w:lang w:val="en-US" w:eastAsia="zh-CN"/>
              </w:rPr>
              <w:t>3</w:t>
            </w:r>
          </w:p>
        </w:tc>
        <w:tc>
          <w:tcPr>
            <w:tcW w:w="1089" w:type="dxa"/>
            <w:vMerge w:val="continue"/>
            <w:vAlign w:val="center"/>
          </w:tcPr>
          <w:p w14:paraId="226B7F4F">
            <w:pPr>
              <w:keepNext w:val="0"/>
              <w:keepLines w:val="0"/>
              <w:pageBreakBefore w:val="0"/>
              <w:kinsoku/>
              <w:wordWrap/>
              <w:overflowPunct/>
              <w:topLinePunct w:val="0"/>
              <w:autoSpaceDE/>
              <w:autoSpaceDN/>
              <w:bidi w:val="0"/>
              <w:adjustRightInd/>
              <w:snapToGrid/>
              <w:ind w:left="0" w:right="0"/>
              <w:jc w:val="center"/>
              <w:textAlignment w:val="auto"/>
              <w:rPr>
                <w:rFonts w:hint="eastAsia" w:ascii="Times New Roman" w:hAnsi="Times New Roman" w:cs="Times New Roman"/>
                <w:color w:val="auto"/>
                <w:sz w:val="21"/>
                <w:szCs w:val="21"/>
                <w:highlight w:val="none"/>
              </w:rPr>
            </w:pPr>
          </w:p>
        </w:tc>
        <w:tc>
          <w:tcPr>
            <w:tcW w:w="1089" w:type="dxa"/>
            <w:vAlign w:val="center"/>
          </w:tcPr>
          <w:p w14:paraId="56354541">
            <w:pPr>
              <w:keepNext w:val="0"/>
              <w:keepLines w:val="0"/>
              <w:widowControl/>
              <w:suppressLineNumbers w:val="0"/>
              <w:jc w:val="center"/>
              <w:textAlignment w:val="center"/>
              <w:rPr>
                <w:rFonts w:hint="eastAsia" w:ascii="Times New Roman" w:hAnsi="Times New Roman" w:cs="Times New Roman"/>
                <w:color w:val="auto"/>
                <w:sz w:val="21"/>
                <w:szCs w:val="21"/>
                <w:highlight w:val="none"/>
              </w:rPr>
            </w:pPr>
            <w:r>
              <w:rPr>
                <w:rFonts w:hint="eastAsia" w:ascii="宋体" w:hAnsi="宋体" w:eastAsia="宋体" w:cs="宋体"/>
                <w:i w:val="0"/>
                <w:iCs w:val="0"/>
                <w:color w:val="auto"/>
                <w:kern w:val="0"/>
                <w:sz w:val="21"/>
                <w:szCs w:val="21"/>
                <w:highlight w:val="none"/>
                <w:u w:val="none"/>
                <w:lang w:val="en-US" w:eastAsia="zh-CN" w:bidi="ar"/>
              </w:rPr>
              <w:t>氮氧化物</w:t>
            </w:r>
          </w:p>
        </w:tc>
        <w:tc>
          <w:tcPr>
            <w:tcW w:w="1092" w:type="dxa"/>
            <w:vMerge w:val="continue"/>
            <w:vAlign w:val="center"/>
          </w:tcPr>
          <w:p w14:paraId="7B87A8F2">
            <w:pPr>
              <w:pStyle w:val="118"/>
              <w:keepNext w:val="0"/>
              <w:keepLines w:val="0"/>
              <w:pageBreakBefore w:val="0"/>
              <w:kinsoku/>
              <w:wordWrap/>
              <w:overflowPunct/>
              <w:topLinePunct w:val="0"/>
              <w:autoSpaceDE/>
              <w:autoSpaceDN/>
              <w:bidi w:val="0"/>
              <w:adjustRightInd/>
              <w:snapToGrid/>
              <w:ind w:left="0" w:right="0"/>
              <w:textAlignment w:val="auto"/>
              <w:rPr>
                <w:rFonts w:hint="eastAsia" w:ascii="Times New Roman" w:hAnsi="Times New Roman" w:eastAsia="宋体"/>
                <w:color w:val="auto"/>
                <w:kern w:val="0"/>
                <w:sz w:val="21"/>
                <w:szCs w:val="21"/>
                <w:highlight w:val="none"/>
              </w:rPr>
            </w:pPr>
          </w:p>
        </w:tc>
        <w:tc>
          <w:tcPr>
            <w:tcW w:w="1092" w:type="dxa"/>
            <w:vMerge w:val="continue"/>
            <w:vAlign w:val="center"/>
          </w:tcPr>
          <w:p w14:paraId="5505EA72">
            <w:pPr>
              <w:pStyle w:val="118"/>
              <w:keepNext w:val="0"/>
              <w:keepLines w:val="0"/>
              <w:pageBreakBefore w:val="0"/>
              <w:kinsoku/>
              <w:wordWrap/>
              <w:overflowPunct/>
              <w:topLinePunct w:val="0"/>
              <w:autoSpaceDE/>
              <w:autoSpaceDN/>
              <w:bidi w:val="0"/>
              <w:adjustRightInd/>
              <w:snapToGrid/>
              <w:ind w:left="0" w:right="0"/>
              <w:textAlignment w:val="auto"/>
              <w:rPr>
                <w:rFonts w:hint="eastAsia" w:ascii="Times New Roman" w:hAnsi="Times New Roman" w:eastAsia="宋体"/>
                <w:color w:val="auto"/>
                <w:kern w:val="0"/>
                <w:sz w:val="21"/>
                <w:szCs w:val="21"/>
                <w:highlight w:val="none"/>
              </w:rPr>
            </w:pPr>
          </w:p>
        </w:tc>
        <w:tc>
          <w:tcPr>
            <w:tcW w:w="1094" w:type="dxa"/>
            <w:vMerge w:val="continue"/>
            <w:vAlign w:val="center"/>
          </w:tcPr>
          <w:p w14:paraId="405359D6">
            <w:pPr>
              <w:pStyle w:val="118"/>
              <w:keepNext w:val="0"/>
              <w:keepLines w:val="0"/>
              <w:pageBreakBefore w:val="0"/>
              <w:kinsoku/>
              <w:wordWrap/>
              <w:overflowPunct/>
              <w:topLinePunct w:val="0"/>
              <w:autoSpaceDE/>
              <w:autoSpaceDN/>
              <w:bidi w:val="0"/>
              <w:adjustRightInd/>
              <w:snapToGrid/>
              <w:ind w:left="0" w:right="0"/>
              <w:textAlignment w:val="auto"/>
              <w:rPr>
                <w:rFonts w:hint="eastAsia" w:ascii="Times New Roman" w:hAnsi="Times New Roman" w:eastAsia="宋体"/>
                <w:color w:val="auto"/>
                <w:kern w:val="0"/>
                <w:sz w:val="21"/>
                <w:szCs w:val="21"/>
                <w:highlight w:val="none"/>
              </w:rPr>
            </w:pPr>
          </w:p>
        </w:tc>
        <w:tc>
          <w:tcPr>
            <w:tcW w:w="1094" w:type="dxa"/>
            <w:vMerge w:val="continue"/>
            <w:vAlign w:val="center"/>
          </w:tcPr>
          <w:p w14:paraId="4F29E48D">
            <w:pPr>
              <w:pStyle w:val="118"/>
              <w:keepNext w:val="0"/>
              <w:keepLines w:val="0"/>
              <w:pageBreakBefore w:val="0"/>
              <w:kinsoku/>
              <w:wordWrap/>
              <w:overflowPunct/>
              <w:topLinePunct w:val="0"/>
              <w:autoSpaceDE/>
              <w:autoSpaceDN/>
              <w:bidi w:val="0"/>
              <w:adjustRightInd/>
              <w:snapToGrid/>
              <w:ind w:left="0" w:right="0"/>
              <w:textAlignment w:val="auto"/>
              <w:rPr>
                <w:rFonts w:hint="eastAsia" w:ascii="Times New Roman" w:hAnsi="Times New Roman" w:eastAsia="宋体"/>
                <w:color w:val="auto"/>
                <w:kern w:val="0"/>
                <w:sz w:val="21"/>
                <w:szCs w:val="21"/>
                <w:highlight w:val="none"/>
              </w:rPr>
            </w:pPr>
          </w:p>
        </w:tc>
        <w:tc>
          <w:tcPr>
            <w:tcW w:w="1093" w:type="dxa"/>
            <w:vMerge w:val="continue"/>
            <w:vAlign w:val="center"/>
          </w:tcPr>
          <w:p w14:paraId="5D6BD52E">
            <w:pPr>
              <w:pStyle w:val="118"/>
              <w:keepNext w:val="0"/>
              <w:keepLines w:val="0"/>
              <w:pageBreakBefore w:val="0"/>
              <w:kinsoku/>
              <w:wordWrap/>
              <w:overflowPunct/>
              <w:topLinePunct w:val="0"/>
              <w:autoSpaceDE/>
              <w:autoSpaceDN/>
              <w:bidi w:val="0"/>
              <w:adjustRightInd/>
              <w:snapToGrid/>
              <w:ind w:left="0" w:right="0"/>
              <w:textAlignment w:val="auto"/>
              <w:rPr>
                <w:rFonts w:hint="eastAsia" w:ascii="Times New Roman" w:hAnsi="Times New Roman" w:eastAsia="宋体"/>
                <w:color w:val="auto"/>
                <w:kern w:val="0"/>
                <w:sz w:val="21"/>
                <w:szCs w:val="21"/>
                <w:highlight w:val="none"/>
              </w:rPr>
            </w:pPr>
          </w:p>
        </w:tc>
        <w:tc>
          <w:tcPr>
            <w:tcW w:w="1091" w:type="dxa"/>
            <w:vMerge w:val="continue"/>
            <w:vAlign w:val="center"/>
          </w:tcPr>
          <w:p w14:paraId="1FC147DB">
            <w:pPr>
              <w:pStyle w:val="118"/>
              <w:keepNext w:val="0"/>
              <w:keepLines w:val="0"/>
              <w:pageBreakBefore w:val="0"/>
              <w:kinsoku/>
              <w:wordWrap/>
              <w:overflowPunct/>
              <w:topLinePunct w:val="0"/>
              <w:autoSpaceDE/>
              <w:autoSpaceDN/>
              <w:bidi w:val="0"/>
              <w:adjustRightInd/>
              <w:snapToGrid/>
              <w:ind w:left="0" w:right="0"/>
              <w:textAlignment w:val="auto"/>
              <w:rPr>
                <w:rFonts w:hint="eastAsia" w:ascii="Times New Roman" w:hAnsi="Times New Roman" w:eastAsia="宋体"/>
                <w:color w:val="auto"/>
                <w:kern w:val="0"/>
                <w:sz w:val="21"/>
                <w:szCs w:val="21"/>
                <w:highlight w:val="none"/>
              </w:rPr>
            </w:pPr>
          </w:p>
        </w:tc>
        <w:tc>
          <w:tcPr>
            <w:tcW w:w="1091" w:type="dxa"/>
            <w:vMerge w:val="continue"/>
            <w:vAlign w:val="center"/>
          </w:tcPr>
          <w:p w14:paraId="78161D04">
            <w:pPr>
              <w:pStyle w:val="118"/>
              <w:keepNext w:val="0"/>
              <w:keepLines w:val="0"/>
              <w:pageBreakBefore w:val="0"/>
              <w:kinsoku/>
              <w:wordWrap/>
              <w:overflowPunct/>
              <w:topLinePunct w:val="0"/>
              <w:autoSpaceDE/>
              <w:autoSpaceDN/>
              <w:bidi w:val="0"/>
              <w:adjustRightInd/>
              <w:snapToGrid/>
              <w:ind w:left="0" w:right="0"/>
              <w:textAlignment w:val="auto"/>
              <w:rPr>
                <w:rFonts w:hint="eastAsia" w:ascii="Times New Roman" w:hAnsi="Times New Roman" w:eastAsia="宋体"/>
                <w:color w:val="auto"/>
                <w:kern w:val="0"/>
                <w:sz w:val="21"/>
                <w:szCs w:val="21"/>
                <w:highlight w:val="none"/>
              </w:rPr>
            </w:pPr>
          </w:p>
        </w:tc>
        <w:tc>
          <w:tcPr>
            <w:tcW w:w="1091" w:type="dxa"/>
            <w:vMerge w:val="continue"/>
            <w:vAlign w:val="center"/>
          </w:tcPr>
          <w:p w14:paraId="4A5BF88B">
            <w:pPr>
              <w:pStyle w:val="118"/>
              <w:keepNext w:val="0"/>
              <w:keepLines w:val="0"/>
              <w:pageBreakBefore w:val="0"/>
              <w:kinsoku/>
              <w:wordWrap/>
              <w:overflowPunct/>
              <w:topLinePunct w:val="0"/>
              <w:autoSpaceDE/>
              <w:autoSpaceDN/>
              <w:bidi w:val="0"/>
              <w:adjustRightInd/>
              <w:snapToGrid/>
              <w:ind w:left="0" w:right="0"/>
              <w:textAlignment w:val="auto"/>
              <w:rPr>
                <w:rFonts w:hint="eastAsia" w:ascii="Times New Roman" w:hAnsi="Times New Roman" w:eastAsia="宋体"/>
                <w:color w:val="auto"/>
                <w:kern w:val="0"/>
                <w:sz w:val="21"/>
                <w:szCs w:val="21"/>
                <w:highlight w:val="none"/>
              </w:rPr>
            </w:pPr>
          </w:p>
        </w:tc>
        <w:tc>
          <w:tcPr>
            <w:tcW w:w="784" w:type="dxa"/>
            <w:vAlign w:val="center"/>
          </w:tcPr>
          <w:p w14:paraId="74B370BF">
            <w:pPr>
              <w:keepNext w:val="0"/>
              <w:keepLines w:val="0"/>
              <w:pageBreakBefore w:val="0"/>
              <w:kinsoku/>
              <w:wordWrap/>
              <w:overflowPunct/>
              <w:topLinePunct w:val="0"/>
              <w:autoSpaceDE/>
              <w:autoSpaceDN/>
              <w:bidi w:val="0"/>
              <w:adjustRightInd/>
              <w:snapToGrid/>
              <w:ind w:left="0" w:right="0"/>
              <w:jc w:val="center"/>
              <w:textAlignment w:val="auto"/>
              <w:rPr>
                <w:rFonts w:ascii="Times New Roman" w:hAnsi="Times New Roman" w:eastAsia="宋体"/>
                <w:color w:val="auto"/>
                <w:kern w:val="0"/>
                <w:sz w:val="21"/>
                <w:szCs w:val="21"/>
                <w:highlight w:val="none"/>
              </w:rPr>
            </w:pPr>
            <w:r>
              <w:rPr>
                <w:rFonts w:ascii="Times New Roman" w:hAnsi="Times New Roman" w:eastAsia="宋体"/>
                <w:color w:val="auto"/>
                <w:kern w:val="0"/>
                <w:sz w:val="21"/>
                <w:szCs w:val="21"/>
                <w:highlight w:val="none"/>
              </w:rPr>
              <w:t>正常</w:t>
            </w:r>
          </w:p>
        </w:tc>
        <w:tc>
          <w:tcPr>
            <w:tcW w:w="1380" w:type="dxa"/>
            <w:vAlign w:val="center"/>
          </w:tcPr>
          <w:p w14:paraId="04D3A770">
            <w:pPr>
              <w:keepNext w:val="0"/>
              <w:keepLines w:val="0"/>
              <w:widowControl/>
              <w:suppressLineNumbers w:val="0"/>
              <w:jc w:val="center"/>
              <w:textAlignment w:val="center"/>
              <w:rPr>
                <w:rFonts w:hint="eastAsia" w:ascii="Times New Roman" w:hAnsi="Times New Roman" w:eastAsia="等线"/>
                <w:color w:val="auto"/>
                <w:kern w:val="0"/>
                <w:sz w:val="21"/>
                <w:highlight w:val="none"/>
              </w:rPr>
            </w:pPr>
            <w:r>
              <w:rPr>
                <w:rFonts w:hint="default" w:ascii="Times New Roman" w:hAnsi="Times New Roman" w:eastAsia="等线" w:cs="Times New Roman"/>
                <w:i w:val="0"/>
                <w:iCs w:val="0"/>
                <w:color w:val="auto"/>
                <w:kern w:val="0"/>
                <w:sz w:val="21"/>
                <w:szCs w:val="21"/>
                <w:highlight w:val="none"/>
                <w:u w:val="none"/>
                <w:lang w:val="en-US" w:eastAsia="zh-CN" w:bidi="ar"/>
              </w:rPr>
              <w:t>1.66667E-05</w:t>
            </w:r>
          </w:p>
        </w:tc>
      </w:tr>
      <w:tr w14:paraId="5331EC3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cantSplit/>
          <w:trHeight w:val="283" w:hRule="atLeast"/>
          <w:jc w:val="center"/>
        </w:trPr>
        <w:tc>
          <w:tcPr>
            <w:tcW w:w="412" w:type="dxa"/>
            <w:vAlign w:val="center"/>
          </w:tcPr>
          <w:p w14:paraId="52DDF742">
            <w:pPr>
              <w:pStyle w:val="118"/>
              <w:keepNext w:val="0"/>
              <w:keepLines w:val="0"/>
              <w:pageBreakBefore w:val="0"/>
              <w:kinsoku/>
              <w:wordWrap/>
              <w:overflowPunct/>
              <w:topLinePunct w:val="0"/>
              <w:autoSpaceDE/>
              <w:autoSpaceDN/>
              <w:bidi w:val="0"/>
              <w:adjustRightInd/>
              <w:snapToGrid/>
              <w:ind w:left="0" w:right="0"/>
              <w:textAlignment w:val="auto"/>
              <w:rPr>
                <w:rFonts w:hint="eastAsia" w:ascii="Times New Roman" w:hAnsi="Times New Roman" w:eastAsia="宋体"/>
                <w:color w:val="auto"/>
                <w:sz w:val="21"/>
                <w:szCs w:val="21"/>
                <w:highlight w:val="none"/>
                <w:lang w:val="en-US" w:eastAsia="zh-CN"/>
              </w:rPr>
            </w:pPr>
            <w:r>
              <w:rPr>
                <w:rFonts w:hint="eastAsia" w:ascii="Times New Roman" w:hAnsi="Times New Roman" w:eastAsia="宋体"/>
                <w:color w:val="auto"/>
                <w:sz w:val="21"/>
                <w:szCs w:val="21"/>
                <w:highlight w:val="none"/>
                <w:lang w:val="en-US" w:eastAsia="zh-CN"/>
              </w:rPr>
              <w:t>4</w:t>
            </w:r>
          </w:p>
        </w:tc>
        <w:tc>
          <w:tcPr>
            <w:tcW w:w="1089" w:type="dxa"/>
            <w:vMerge w:val="continue"/>
            <w:vAlign w:val="center"/>
          </w:tcPr>
          <w:p w14:paraId="5A5C00D6">
            <w:pPr>
              <w:keepNext w:val="0"/>
              <w:keepLines w:val="0"/>
              <w:pageBreakBefore w:val="0"/>
              <w:kinsoku/>
              <w:wordWrap/>
              <w:overflowPunct/>
              <w:topLinePunct w:val="0"/>
              <w:autoSpaceDE/>
              <w:autoSpaceDN/>
              <w:bidi w:val="0"/>
              <w:adjustRightInd/>
              <w:snapToGrid/>
              <w:ind w:left="0" w:right="0"/>
              <w:jc w:val="center"/>
              <w:textAlignment w:val="auto"/>
              <w:rPr>
                <w:rFonts w:hint="eastAsia" w:ascii="Times New Roman" w:hAnsi="Times New Roman" w:cs="Times New Roman"/>
                <w:color w:val="auto"/>
                <w:sz w:val="21"/>
                <w:szCs w:val="21"/>
                <w:highlight w:val="none"/>
              </w:rPr>
            </w:pPr>
          </w:p>
        </w:tc>
        <w:tc>
          <w:tcPr>
            <w:tcW w:w="1089" w:type="dxa"/>
            <w:vAlign w:val="center"/>
          </w:tcPr>
          <w:p w14:paraId="1C5DDE22">
            <w:pPr>
              <w:keepNext w:val="0"/>
              <w:keepLines w:val="0"/>
              <w:widowControl/>
              <w:suppressLineNumbers w:val="0"/>
              <w:jc w:val="center"/>
              <w:textAlignment w:val="center"/>
              <w:rPr>
                <w:rFonts w:hint="eastAsia" w:ascii="Times New Roman" w:hAnsi="Times New Roman" w:cs="Times New Roman"/>
                <w:color w:val="auto"/>
                <w:sz w:val="21"/>
                <w:szCs w:val="21"/>
                <w:highlight w:val="none"/>
              </w:rPr>
            </w:pPr>
            <w:r>
              <w:rPr>
                <w:rFonts w:hint="eastAsia" w:ascii="宋体" w:hAnsi="宋体" w:eastAsia="宋体" w:cs="宋体"/>
                <w:i w:val="0"/>
                <w:iCs w:val="0"/>
                <w:color w:val="auto"/>
                <w:kern w:val="0"/>
                <w:sz w:val="21"/>
                <w:szCs w:val="21"/>
                <w:highlight w:val="none"/>
                <w:u w:val="none"/>
                <w:lang w:val="en-US" w:eastAsia="zh-CN" w:bidi="ar"/>
              </w:rPr>
              <w:t>甲醇</w:t>
            </w:r>
          </w:p>
        </w:tc>
        <w:tc>
          <w:tcPr>
            <w:tcW w:w="1092" w:type="dxa"/>
            <w:vMerge w:val="continue"/>
            <w:vAlign w:val="center"/>
          </w:tcPr>
          <w:p w14:paraId="5C88AA79">
            <w:pPr>
              <w:pStyle w:val="118"/>
              <w:keepNext w:val="0"/>
              <w:keepLines w:val="0"/>
              <w:pageBreakBefore w:val="0"/>
              <w:kinsoku/>
              <w:wordWrap/>
              <w:overflowPunct/>
              <w:topLinePunct w:val="0"/>
              <w:autoSpaceDE/>
              <w:autoSpaceDN/>
              <w:bidi w:val="0"/>
              <w:adjustRightInd/>
              <w:snapToGrid/>
              <w:ind w:left="0" w:right="0"/>
              <w:textAlignment w:val="auto"/>
              <w:rPr>
                <w:rFonts w:hint="eastAsia" w:ascii="Times New Roman" w:hAnsi="Times New Roman" w:eastAsia="宋体"/>
                <w:color w:val="auto"/>
                <w:kern w:val="0"/>
                <w:sz w:val="21"/>
                <w:szCs w:val="21"/>
                <w:highlight w:val="none"/>
              </w:rPr>
            </w:pPr>
          </w:p>
        </w:tc>
        <w:tc>
          <w:tcPr>
            <w:tcW w:w="1092" w:type="dxa"/>
            <w:vMerge w:val="continue"/>
            <w:vAlign w:val="center"/>
          </w:tcPr>
          <w:p w14:paraId="542D265E">
            <w:pPr>
              <w:pStyle w:val="118"/>
              <w:keepNext w:val="0"/>
              <w:keepLines w:val="0"/>
              <w:pageBreakBefore w:val="0"/>
              <w:kinsoku/>
              <w:wordWrap/>
              <w:overflowPunct/>
              <w:topLinePunct w:val="0"/>
              <w:autoSpaceDE/>
              <w:autoSpaceDN/>
              <w:bidi w:val="0"/>
              <w:adjustRightInd/>
              <w:snapToGrid/>
              <w:ind w:left="0" w:right="0"/>
              <w:textAlignment w:val="auto"/>
              <w:rPr>
                <w:rFonts w:hint="eastAsia" w:ascii="Times New Roman" w:hAnsi="Times New Roman" w:eastAsia="宋体"/>
                <w:color w:val="auto"/>
                <w:kern w:val="0"/>
                <w:sz w:val="21"/>
                <w:szCs w:val="21"/>
                <w:highlight w:val="none"/>
              </w:rPr>
            </w:pPr>
          </w:p>
        </w:tc>
        <w:tc>
          <w:tcPr>
            <w:tcW w:w="1094" w:type="dxa"/>
            <w:vMerge w:val="continue"/>
            <w:vAlign w:val="center"/>
          </w:tcPr>
          <w:p w14:paraId="2A795D22">
            <w:pPr>
              <w:pStyle w:val="118"/>
              <w:keepNext w:val="0"/>
              <w:keepLines w:val="0"/>
              <w:pageBreakBefore w:val="0"/>
              <w:kinsoku/>
              <w:wordWrap/>
              <w:overflowPunct/>
              <w:topLinePunct w:val="0"/>
              <w:autoSpaceDE/>
              <w:autoSpaceDN/>
              <w:bidi w:val="0"/>
              <w:adjustRightInd/>
              <w:snapToGrid/>
              <w:ind w:left="0" w:right="0"/>
              <w:textAlignment w:val="auto"/>
              <w:rPr>
                <w:rFonts w:hint="eastAsia" w:ascii="Times New Roman" w:hAnsi="Times New Roman" w:eastAsia="宋体"/>
                <w:color w:val="auto"/>
                <w:kern w:val="0"/>
                <w:sz w:val="21"/>
                <w:szCs w:val="21"/>
                <w:highlight w:val="none"/>
              </w:rPr>
            </w:pPr>
          </w:p>
        </w:tc>
        <w:tc>
          <w:tcPr>
            <w:tcW w:w="1094" w:type="dxa"/>
            <w:vMerge w:val="continue"/>
            <w:vAlign w:val="center"/>
          </w:tcPr>
          <w:p w14:paraId="51D90BEF">
            <w:pPr>
              <w:pStyle w:val="118"/>
              <w:keepNext w:val="0"/>
              <w:keepLines w:val="0"/>
              <w:pageBreakBefore w:val="0"/>
              <w:kinsoku/>
              <w:wordWrap/>
              <w:overflowPunct/>
              <w:topLinePunct w:val="0"/>
              <w:autoSpaceDE/>
              <w:autoSpaceDN/>
              <w:bidi w:val="0"/>
              <w:adjustRightInd/>
              <w:snapToGrid/>
              <w:ind w:left="0" w:right="0"/>
              <w:textAlignment w:val="auto"/>
              <w:rPr>
                <w:rFonts w:hint="eastAsia" w:ascii="Times New Roman" w:hAnsi="Times New Roman" w:eastAsia="宋体"/>
                <w:color w:val="auto"/>
                <w:kern w:val="0"/>
                <w:sz w:val="21"/>
                <w:szCs w:val="21"/>
                <w:highlight w:val="none"/>
              </w:rPr>
            </w:pPr>
          </w:p>
        </w:tc>
        <w:tc>
          <w:tcPr>
            <w:tcW w:w="1093" w:type="dxa"/>
            <w:vMerge w:val="continue"/>
            <w:vAlign w:val="center"/>
          </w:tcPr>
          <w:p w14:paraId="750FC319">
            <w:pPr>
              <w:pStyle w:val="118"/>
              <w:keepNext w:val="0"/>
              <w:keepLines w:val="0"/>
              <w:pageBreakBefore w:val="0"/>
              <w:kinsoku/>
              <w:wordWrap/>
              <w:overflowPunct/>
              <w:topLinePunct w:val="0"/>
              <w:autoSpaceDE/>
              <w:autoSpaceDN/>
              <w:bidi w:val="0"/>
              <w:adjustRightInd/>
              <w:snapToGrid/>
              <w:ind w:left="0" w:right="0"/>
              <w:textAlignment w:val="auto"/>
              <w:rPr>
                <w:rFonts w:hint="eastAsia" w:ascii="Times New Roman" w:hAnsi="Times New Roman" w:eastAsia="宋体"/>
                <w:color w:val="auto"/>
                <w:kern w:val="0"/>
                <w:sz w:val="21"/>
                <w:szCs w:val="21"/>
                <w:highlight w:val="none"/>
              </w:rPr>
            </w:pPr>
          </w:p>
        </w:tc>
        <w:tc>
          <w:tcPr>
            <w:tcW w:w="1091" w:type="dxa"/>
            <w:vMerge w:val="continue"/>
            <w:vAlign w:val="center"/>
          </w:tcPr>
          <w:p w14:paraId="3A29014D">
            <w:pPr>
              <w:pStyle w:val="118"/>
              <w:keepNext w:val="0"/>
              <w:keepLines w:val="0"/>
              <w:pageBreakBefore w:val="0"/>
              <w:kinsoku/>
              <w:wordWrap/>
              <w:overflowPunct/>
              <w:topLinePunct w:val="0"/>
              <w:autoSpaceDE/>
              <w:autoSpaceDN/>
              <w:bidi w:val="0"/>
              <w:adjustRightInd/>
              <w:snapToGrid/>
              <w:ind w:left="0" w:right="0"/>
              <w:textAlignment w:val="auto"/>
              <w:rPr>
                <w:rFonts w:hint="eastAsia" w:ascii="Times New Roman" w:hAnsi="Times New Roman" w:eastAsia="宋体"/>
                <w:color w:val="auto"/>
                <w:kern w:val="0"/>
                <w:sz w:val="21"/>
                <w:szCs w:val="21"/>
                <w:highlight w:val="none"/>
              </w:rPr>
            </w:pPr>
          </w:p>
        </w:tc>
        <w:tc>
          <w:tcPr>
            <w:tcW w:w="1091" w:type="dxa"/>
            <w:vMerge w:val="continue"/>
            <w:vAlign w:val="center"/>
          </w:tcPr>
          <w:p w14:paraId="613D38CF">
            <w:pPr>
              <w:pStyle w:val="118"/>
              <w:keepNext w:val="0"/>
              <w:keepLines w:val="0"/>
              <w:pageBreakBefore w:val="0"/>
              <w:kinsoku/>
              <w:wordWrap/>
              <w:overflowPunct/>
              <w:topLinePunct w:val="0"/>
              <w:autoSpaceDE/>
              <w:autoSpaceDN/>
              <w:bidi w:val="0"/>
              <w:adjustRightInd/>
              <w:snapToGrid/>
              <w:ind w:left="0" w:right="0"/>
              <w:textAlignment w:val="auto"/>
              <w:rPr>
                <w:rFonts w:hint="eastAsia" w:ascii="Times New Roman" w:hAnsi="Times New Roman" w:eastAsia="宋体"/>
                <w:color w:val="auto"/>
                <w:kern w:val="0"/>
                <w:sz w:val="21"/>
                <w:szCs w:val="21"/>
                <w:highlight w:val="none"/>
              </w:rPr>
            </w:pPr>
          </w:p>
        </w:tc>
        <w:tc>
          <w:tcPr>
            <w:tcW w:w="1091" w:type="dxa"/>
            <w:vMerge w:val="continue"/>
            <w:vAlign w:val="center"/>
          </w:tcPr>
          <w:p w14:paraId="0D40D5A5">
            <w:pPr>
              <w:pStyle w:val="118"/>
              <w:keepNext w:val="0"/>
              <w:keepLines w:val="0"/>
              <w:pageBreakBefore w:val="0"/>
              <w:kinsoku/>
              <w:wordWrap/>
              <w:overflowPunct/>
              <w:topLinePunct w:val="0"/>
              <w:autoSpaceDE/>
              <w:autoSpaceDN/>
              <w:bidi w:val="0"/>
              <w:adjustRightInd/>
              <w:snapToGrid/>
              <w:ind w:left="0" w:right="0"/>
              <w:textAlignment w:val="auto"/>
              <w:rPr>
                <w:rFonts w:hint="eastAsia" w:ascii="Times New Roman" w:hAnsi="Times New Roman" w:eastAsia="宋体"/>
                <w:color w:val="auto"/>
                <w:kern w:val="0"/>
                <w:sz w:val="21"/>
                <w:szCs w:val="21"/>
                <w:highlight w:val="none"/>
              </w:rPr>
            </w:pPr>
          </w:p>
        </w:tc>
        <w:tc>
          <w:tcPr>
            <w:tcW w:w="784" w:type="dxa"/>
            <w:vAlign w:val="center"/>
          </w:tcPr>
          <w:p w14:paraId="36B29D7D">
            <w:pPr>
              <w:keepNext w:val="0"/>
              <w:keepLines w:val="0"/>
              <w:pageBreakBefore w:val="0"/>
              <w:kinsoku/>
              <w:wordWrap/>
              <w:overflowPunct/>
              <w:topLinePunct w:val="0"/>
              <w:autoSpaceDE/>
              <w:autoSpaceDN/>
              <w:bidi w:val="0"/>
              <w:adjustRightInd/>
              <w:snapToGrid/>
              <w:ind w:left="0" w:right="0"/>
              <w:jc w:val="center"/>
              <w:textAlignment w:val="auto"/>
              <w:rPr>
                <w:rFonts w:ascii="Times New Roman" w:hAnsi="Times New Roman" w:eastAsia="宋体"/>
                <w:color w:val="auto"/>
                <w:kern w:val="0"/>
                <w:sz w:val="21"/>
                <w:szCs w:val="21"/>
                <w:highlight w:val="none"/>
              </w:rPr>
            </w:pPr>
            <w:r>
              <w:rPr>
                <w:rFonts w:ascii="Times New Roman" w:hAnsi="Times New Roman" w:eastAsia="宋体"/>
                <w:color w:val="auto"/>
                <w:kern w:val="0"/>
                <w:sz w:val="21"/>
                <w:szCs w:val="21"/>
                <w:highlight w:val="none"/>
              </w:rPr>
              <w:t>正常</w:t>
            </w:r>
          </w:p>
        </w:tc>
        <w:tc>
          <w:tcPr>
            <w:tcW w:w="1380" w:type="dxa"/>
            <w:vAlign w:val="center"/>
          </w:tcPr>
          <w:p w14:paraId="4162B584">
            <w:pPr>
              <w:keepNext w:val="0"/>
              <w:keepLines w:val="0"/>
              <w:widowControl/>
              <w:suppressLineNumbers w:val="0"/>
              <w:jc w:val="center"/>
              <w:textAlignment w:val="center"/>
              <w:rPr>
                <w:rFonts w:hint="eastAsia" w:ascii="Times New Roman" w:hAnsi="Times New Roman" w:eastAsia="等线"/>
                <w:color w:val="auto"/>
                <w:kern w:val="0"/>
                <w:sz w:val="21"/>
                <w:highlight w:val="none"/>
              </w:rPr>
            </w:pPr>
            <w:r>
              <w:rPr>
                <w:rFonts w:hint="default" w:ascii="Times New Roman" w:hAnsi="Times New Roman" w:eastAsia="等线" w:cs="Times New Roman"/>
                <w:i w:val="0"/>
                <w:iCs w:val="0"/>
                <w:color w:val="auto"/>
                <w:kern w:val="0"/>
                <w:sz w:val="21"/>
                <w:szCs w:val="21"/>
                <w:highlight w:val="none"/>
                <w:u w:val="none"/>
                <w:lang w:val="en-US" w:eastAsia="zh-CN" w:bidi="ar"/>
              </w:rPr>
              <w:t>0.000444444</w:t>
            </w:r>
          </w:p>
        </w:tc>
      </w:tr>
    </w:tbl>
    <w:p w14:paraId="4D6610CB">
      <w:pPr>
        <w:pStyle w:val="15"/>
        <w:spacing w:line="360" w:lineRule="auto"/>
        <w:ind w:left="-105" w:right="-105" w:firstLine="400"/>
        <w:jc w:val="left"/>
        <w:rPr>
          <w:rFonts w:eastAsia="宋体" w:cs="Times New Roman"/>
          <w:b w:val="0"/>
          <w:bCs/>
          <w:color w:val="auto"/>
          <w:sz w:val="20"/>
          <w:szCs w:val="13"/>
          <w:highlight w:val="none"/>
        </w:rPr>
      </w:pPr>
      <w:r>
        <w:rPr>
          <w:rFonts w:eastAsia="宋体" w:cs="Times New Roman"/>
          <w:b w:val="0"/>
          <w:bCs/>
          <w:color w:val="auto"/>
          <w:sz w:val="20"/>
          <w:szCs w:val="13"/>
          <w:highlight w:val="none"/>
        </w:rPr>
        <w:t>注：原点（0,0）取为厂界</w:t>
      </w:r>
      <w:r>
        <w:rPr>
          <w:rFonts w:hint="eastAsia" w:eastAsia="宋体" w:cs="Times New Roman"/>
          <w:b w:val="0"/>
          <w:bCs/>
          <w:color w:val="auto"/>
          <w:sz w:val="20"/>
          <w:szCs w:val="13"/>
          <w:highlight w:val="none"/>
        </w:rPr>
        <w:t>西南</w:t>
      </w:r>
      <w:r>
        <w:rPr>
          <w:rFonts w:eastAsia="宋体" w:cs="Times New Roman"/>
          <w:b w:val="0"/>
          <w:bCs/>
          <w:color w:val="auto"/>
          <w:sz w:val="20"/>
          <w:szCs w:val="13"/>
          <w:highlight w:val="none"/>
        </w:rPr>
        <w:t>角。</w:t>
      </w:r>
    </w:p>
    <w:p w14:paraId="279F1D9F">
      <w:pPr>
        <w:spacing w:line="360" w:lineRule="auto"/>
        <w:ind w:left="-105" w:right="-105" w:firstLine="480"/>
        <w:rPr>
          <w:rFonts w:ascii="Times New Roman" w:hAnsi="Times New Roman"/>
          <w:color w:val="auto"/>
          <w:highlight w:val="none"/>
        </w:rPr>
      </w:pPr>
    </w:p>
    <w:p w14:paraId="39541B13">
      <w:pPr>
        <w:spacing w:line="360" w:lineRule="auto"/>
        <w:ind w:left="-105" w:right="-105" w:firstLine="480"/>
        <w:rPr>
          <w:rFonts w:ascii="Times New Roman" w:hAnsi="Times New Roman"/>
          <w:color w:val="auto"/>
          <w:highlight w:val="none"/>
        </w:rPr>
      </w:pPr>
    </w:p>
    <w:p w14:paraId="57A867A0">
      <w:pPr>
        <w:spacing w:line="360" w:lineRule="auto"/>
        <w:ind w:left="-105" w:right="-105" w:firstLine="480"/>
        <w:rPr>
          <w:rFonts w:ascii="Times New Roman" w:hAnsi="Times New Roman"/>
          <w:color w:val="auto"/>
          <w:highlight w:val="none"/>
        </w:rPr>
        <w:sectPr>
          <w:pgSz w:w="16838" w:h="11906" w:orient="landscape"/>
          <w:pgMar w:top="1797" w:right="1701" w:bottom="1514" w:left="1701" w:header="851" w:footer="851" w:gutter="0"/>
          <w:pgBorders>
            <w:top w:val="none" w:sz="0" w:space="0"/>
            <w:left w:val="none" w:sz="0" w:space="0"/>
            <w:bottom w:val="none" w:sz="0" w:space="0"/>
            <w:right w:val="none" w:sz="0" w:space="0"/>
          </w:pgBorders>
          <w:cols w:space="720" w:num="1"/>
          <w:docGrid w:linePitch="498" w:charSpace="-2336"/>
        </w:sectPr>
      </w:pPr>
    </w:p>
    <w:p w14:paraId="505267CC">
      <w:pPr>
        <w:pStyle w:val="5"/>
        <w:keepLines w:val="0"/>
        <w:numPr>
          <w:ilvl w:val="2"/>
          <w:numId w:val="0"/>
        </w:numPr>
        <w:tabs>
          <w:tab w:val="left" w:pos="567"/>
          <w:tab w:val="left" w:pos="709"/>
          <w:tab w:val="left" w:pos="993"/>
          <w:tab w:val="left" w:pos="6663"/>
        </w:tabs>
        <w:spacing w:before="0" w:after="0" w:line="360" w:lineRule="auto"/>
        <w:ind w:right="-105"/>
        <w:rPr>
          <w:rFonts w:eastAsia="宋体"/>
          <w:color w:val="auto"/>
          <w:sz w:val="28"/>
          <w:szCs w:val="28"/>
          <w:highlight w:val="none"/>
        </w:rPr>
      </w:pPr>
      <w:bookmarkStart w:id="373" w:name="_Toc60653550"/>
      <w:r>
        <w:rPr>
          <w:rFonts w:hint="eastAsia" w:eastAsia="宋体"/>
          <w:color w:val="auto"/>
          <w:sz w:val="28"/>
          <w:szCs w:val="28"/>
          <w:highlight w:val="none"/>
        </w:rPr>
        <w:t>6.1.5</w:t>
      </w:r>
      <w:r>
        <w:rPr>
          <w:rFonts w:eastAsia="宋体"/>
          <w:color w:val="auto"/>
          <w:sz w:val="28"/>
          <w:szCs w:val="28"/>
          <w:highlight w:val="none"/>
        </w:rPr>
        <w:t>预测结果分析</w:t>
      </w:r>
      <w:bookmarkEnd w:id="373"/>
    </w:p>
    <w:p w14:paraId="6FE9D58E">
      <w:pPr>
        <w:spacing w:line="360" w:lineRule="auto"/>
        <w:ind w:left="-105" w:right="-105" w:firstLine="480"/>
        <w:rPr>
          <w:rFonts w:ascii="Times New Roman" w:hAnsi="Times New Roman"/>
          <w:color w:val="auto"/>
          <w:highlight w:val="none"/>
        </w:rPr>
      </w:pPr>
      <w:r>
        <w:rPr>
          <w:rFonts w:ascii="Times New Roman" w:hAnsi="Times New Roman"/>
          <w:color w:val="auto"/>
          <w:highlight w:val="none"/>
        </w:rPr>
        <w:t>选取上述污染物排放参数，经AERSCREEN估算模型估算后，点源、面源估算结果详</w:t>
      </w:r>
      <w:r>
        <w:rPr>
          <w:rFonts w:ascii="Times New Roman" w:hAnsi="Times New Roman" w:cs="Times New Roman"/>
          <w:color w:val="auto"/>
          <w:highlight w:val="none"/>
        </w:rPr>
        <w:t>见</w:t>
      </w:r>
      <w:r>
        <w:rPr>
          <w:rFonts w:ascii="Times New Roman" w:hAnsi="Times New Roman" w:cs="Times New Roman"/>
          <w:color w:val="auto"/>
          <w:highlight w:val="none"/>
        </w:rPr>
        <w:fldChar w:fldCharType="begin"/>
      </w:r>
      <w:r>
        <w:rPr>
          <w:rFonts w:ascii="Times New Roman" w:hAnsi="Times New Roman" w:cs="Times New Roman"/>
          <w:color w:val="auto"/>
          <w:highlight w:val="none"/>
        </w:rPr>
        <w:instrText xml:space="preserve"> REF _Ref38808497 \h  \* MERGEFORMAT </w:instrText>
      </w:r>
      <w:r>
        <w:rPr>
          <w:rFonts w:ascii="Times New Roman" w:hAnsi="Times New Roman" w:cs="Times New Roman"/>
          <w:color w:val="auto"/>
          <w:highlight w:val="none"/>
        </w:rPr>
        <w:fldChar w:fldCharType="separate"/>
      </w:r>
      <w:r>
        <w:rPr>
          <w:rFonts w:ascii="Times New Roman" w:hAnsi="Times New Roman" w:cs="Times New Roman"/>
          <w:color w:val="auto"/>
          <w:szCs w:val="22"/>
          <w:highlight w:val="none"/>
        </w:rPr>
        <w:t>表</w:t>
      </w:r>
      <w:r>
        <w:rPr>
          <w:rFonts w:ascii="Times New Roman" w:hAnsi="Times New Roman" w:cs="Times New Roman"/>
          <w:color w:val="auto"/>
          <w:szCs w:val="22"/>
          <w:highlight w:val="none"/>
        </w:rPr>
        <w:fldChar w:fldCharType="begin"/>
      </w:r>
      <w:r>
        <w:rPr>
          <w:rFonts w:ascii="Times New Roman" w:hAnsi="Times New Roman" w:cs="Times New Roman"/>
          <w:color w:val="auto"/>
          <w:szCs w:val="22"/>
          <w:highlight w:val="none"/>
        </w:rPr>
        <w:instrText xml:space="preserve"> </w:instrText>
      </w:r>
      <w:r>
        <w:rPr>
          <w:rFonts w:ascii="Times New Roman" w:hAnsi="Times New Roman" w:cs="Times New Roman"/>
          <w:color w:val="auto"/>
          <w:highlight w:val="none"/>
        </w:rPr>
        <w:instrText xml:space="preserve">STYLEREF 2 \s </w:instrText>
      </w:r>
      <w:r>
        <w:rPr>
          <w:rFonts w:ascii="Times New Roman" w:hAnsi="Times New Roman" w:cs="Times New Roman"/>
          <w:color w:val="auto"/>
          <w:highlight w:val="none"/>
        </w:rPr>
        <w:fldChar w:fldCharType="separate"/>
      </w:r>
      <w:r>
        <w:rPr>
          <w:rFonts w:ascii="Times New Roman" w:hAnsi="Times New Roman" w:cs="Times New Roman"/>
          <w:color w:val="auto"/>
          <w:highlight w:val="none"/>
        </w:rPr>
        <w:t>6.1</w:t>
      </w:r>
      <w:r>
        <w:rPr>
          <w:rFonts w:ascii="Times New Roman" w:hAnsi="Times New Roman" w:cs="Times New Roman"/>
          <w:color w:val="auto"/>
          <w:highlight w:val="none"/>
        </w:rPr>
        <w:fldChar w:fldCharType="end"/>
      </w:r>
      <w:r>
        <w:rPr>
          <w:rFonts w:ascii="Times New Roman" w:hAnsi="Times New Roman" w:cs="Times New Roman"/>
          <w:color w:val="auto"/>
          <w:highlight w:val="none"/>
        </w:rPr>
        <w:noBreakHyphen/>
      </w:r>
      <w:r>
        <w:rPr>
          <w:rFonts w:ascii="Times New Roman" w:hAnsi="Times New Roman" w:cs="Times New Roman"/>
          <w:color w:val="auto"/>
          <w:highlight w:val="none"/>
        </w:rPr>
        <w:t>8</w:t>
      </w:r>
      <w:r>
        <w:rPr>
          <w:rFonts w:ascii="Times New Roman" w:hAnsi="Times New Roman" w:cs="Times New Roman"/>
          <w:color w:val="auto"/>
          <w:highlight w:val="none"/>
        </w:rPr>
        <w:fldChar w:fldCharType="end"/>
      </w:r>
      <w:r>
        <w:rPr>
          <w:rFonts w:ascii="Times New Roman" w:hAnsi="Times New Roman" w:cs="Times New Roman"/>
          <w:color w:val="auto"/>
          <w:highlight w:val="none"/>
        </w:rPr>
        <w:t>~</w:t>
      </w:r>
      <w:r>
        <w:rPr>
          <w:rFonts w:ascii="Times New Roman" w:hAnsi="Times New Roman" w:cs="Times New Roman"/>
          <w:color w:val="auto"/>
          <w:highlight w:val="none"/>
        </w:rPr>
        <w:fldChar w:fldCharType="begin"/>
      </w:r>
      <w:r>
        <w:rPr>
          <w:rFonts w:ascii="Times New Roman" w:hAnsi="Times New Roman" w:cs="Times New Roman"/>
          <w:color w:val="auto"/>
          <w:highlight w:val="none"/>
        </w:rPr>
        <w:instrText xml:space="preserve"> REF _Ref38808510 \h  \* MERGEFORMAT </w:instrText>
      </w:r>
      <w:r>
        <w:rPr>
          <w:rFonts w:ascii="Times New Roman" w:hAnsi="Times New Roman" w:cs="Times New Roman"/>
          <w:color w:val="auto"/>
          <w:highlight w:val="none"/>
        </w:rPr>
        <w:fldChar w:fldCharType="separate"/>
      </w:r>
      <w:r>
        <w:rPr>
          <w:rFonts w:ascii="Times New Roman" w:hAnsi="Times New Roman" w:cs="Times New Roman"/>
          <w:color w:val="auto"/>
          <w:szCs w:val="22"/>
          <w:highlight w:val="none"/>
        </w:rPr>
        <w:t>表</w:t>
      </w:r>
      <w:r>
        <w:rPr>
          <w:rFonts w:ascii="Times New Roman" w:hAnsi="Times New Roman" w:cs="Times New Roman"/>
          <w:color w:val="auto"/>
          <w:szCs w:val="22"/>
          <w:highlight w:val="none"/>
        </w:rPr>
        <w:fldChar w:fldCharType="begin"/>
      </w:r>
      <w:r>
        <w:rPr>
          <w:rFonts w:ascii="Times New Roman" w:hAnsi="Times New Roman" w:cs="Times New Roman"/>
          <w:color w:val="auto"/>
          <w:szCs w:val="22"/>
          <w:highlight w:val="none"/>
        </w:rPr>
        <w:instrText xml:space="preserve"> STYLEREF</w:instrText>
      </w:r>
      <w:r>
        <w:rPr>
          <w:rFonts w:ascii="Times New Roman" w:hAnsi="Times New Roman" w:cs="Times New Roman"/>
          <w:color w:val="auto"/>
          <w:highlight w:val="none"/>
        </w:rPr>
        <w:instrText xml:space="preserve"> 2 \s </w:instrText>
      </w:r>
      <w:r>
        <w:rPr>
          <w:rFonts w:ascii="Times New Roman" w:hAnsi="Times New Roman" w:cs="Times New Roman"/>
          <w:color w:val="auto"/>
          <w:highlight w:val="none"/>
        </w:rPr>
        <w:fldChar w:fldCharType="separate"/>
      </w:r>
      <w:r>
        <w:rPr>
          <w:rFonts w:ascii="Times New Roman" w:hAnsi="Times New Roman" w:cs="Times New Roman"/>
          <w:color w:val="auto"/>
          <w:highlight w:val="none"/>
        </w:rPr>
        <w:t>6.1</w:t>
      </w:r>
      <w:r>
        <w:rPr>
          <w:rFonts w:ascii="Times New Roman" w:hAnsi="Times New Roman" w:cs="Times New Roman"/>
          <w:color w:val="auto"/>
          <w:highlight w:val="none"/>
        </w:rPr>
        <w:fldChar w:fldCharType="end"/>
      </w:r>
      <w:r>
        <w:rPr>
          <w:rFonts w:ascii="Times New Roman" w:hAnsi="Times New Roman" w:cs="Times New Roman"/>
          <w:color w:val="auto"/>
          <w:highlight w:val="none"/>
        </w:rPr>
        <w:noBreakHyphen/>
      </w:r>
      <w:r>
        <w:rPr>
          <w:rFonts w:ascii="Times New Roman" w:hAnsi="Times New Roman" w:cs="Times New Roman"/>
          <w:color w:val="auto"/>
          <w:highlight w:val="none"/>
        </w:rPr>
        <w:t>10</w:t>
      </w:r>
      <w:r>
        <w:rPr>
          <w:rFonts w:ascii="Times New Roman" w:hAnsi="Times New Roman" w:cs="Times New Roman"/>
          <w:color w:val="auto"/>
          <w:highlight w:val="none"/>
        </w:rPr>
        <w:fldChar w:fldCharType="end"/>
      </w:r>
      <w:r>
        <w:rPr>
          <w:rFonts w:ascii="Times New Roman" w:hAnsi="Times New Roman"/>
          <w:color w:val="auto"/>
          <w:highlight w:val="none"/>
        </w:rPr>
        <w:t>。</w:t>
      </w:r>
      <w:bookmarkStart w:id="374" w:name="_Ref38808497"/>
      <w:bookmarkStart w:id="375" w:name="_Ref38871592"/>
    </w:p>
    <w:p w14:paraId="66B39F47">
      <w:pPr>
        <w:pStyle w:val="15"/>
        <w:spacing w:line="360" w:lineRule="auto"/>
        <w:ind w:left="-105" w:right="-105" w:firstLine="482"/>
        <w:rPr>
          <w:rFonts w:eastAsia="宋体" w:cs="Times New Roman"/>
          <w:color w:val="auto"/>
          <w:sz w:val="24"/>
          <w:szCs w:val="18"/>
          <w:highlight w:val="none"/>
        </w:rPr>
      </w:pPr>
      <w:r>
        <w:rPr>
          <w:rFonts w:eastAsia="宋体" w:cs="Times New Roman"/>
          <w:color w:val="auto"/>
          <w:sz w:val="24"/>
          <w:szCs w:val="18"/>
          <w:highlight w:val="none"/>
        </w:rPr>
        <w:t>表</w:t>
      </w:r>
      <w:r>
        <w:rPr>
          <w:rFonts w:eastAsia="宋体" w:cs="Times New Roman"/>
          <w:color w:val="auto"/>
          <w:sz w:val="24"/>
          <w:szCs w:val="18"/>
          <w:highlight w:val="none"/>
        </w:rPr>
        <w:fldChar w:fldCharType="begin"/>
      </w:r>
      <w:r>
        <w:rPr>
          <w:rFonts w:eastAsia="宋体" w:cs="Times New Roman"/>
          <w:color w:val="auto"/>
          <w:sz w:val="24"/>
          <w:szCs w:val="18"/>
          <w:highlight w:val="none"/>
        </w:rPr>
        <w:instrText xml:space="preserve"> STYLEREF 2 \s </w:instrText>
      </w:r>
      <w:r>
        <w:rPr>
          <w:rFonts w:eastAsia="宋体" w:cs="Times New Roman"/>
          <w:color w:val="auto"/>
          <w:sz w:val="24"/>
          <w:szCs w:val="18"/>
          <w:highlight w:val="none"/>
        </w:rPr>
        <w:fldChar w:fldCharType="separate"/>
      </w:r>
      <w:r>
        <w:rPr>
          <w:rFonts w:eastAsia="宋体" w:cs="Times New Roman"/>
          <w:color w:val="auto"/>
          <w:sz w:val="24"/>
          <w:szCs w:val="18"/>
          <w:highlight w:val="none"/>
        </w:rPr>
        <w:t>6.1</w:t>
      </w:r>
      <w:r>
        <w:rPr>
          <w:rFonts w:eastAsia="宋体" w:cs="Times New Roman"/>
          <w:color w:val="auto"/>
          <w:sz w:val="24"/>
          <w:szCs w:val="18"/>
          <w:highlight w:val="none"/>
        </w:rPr>
        <w:fldChar w:fldCharType="end"/>
      </w:r>
      <w:r>
        <w:rPr>
          <w:rFonts w:eastAsia="宋体" w:cs="Times New Roman"/>
          <w:color w:val="auto"/>
          <w:sz w:val="24"/>
          <w:szCs w:val="18"/>
          <w:highlight w:val="none"/>
        </w:rPr>
        <w:noBreakHyphen/>
      </w:r>
      <w:r>
        <w:rPr>
          <w:rFonts w:eastAsia="宋体" w:cs="Times New Roman"/>
          <w:color w:val="auto"/>
          <w:sz w:val="24"/>
          <w:szCs w:val="18"/>
          <w:highlight w:val="none"/>
        </w:rPr>
        <w:fldChar w:fldCharType="begin"/>
      </w:r>
      <w:r>
        <w:rPr>
          <w:rFonts w:eastAsia="宋体" w:cs="Times New Roman"/>
          <w:color w:val="auto"/>
          <w:sz w:val="24"/>
          <w:szCs w:val="18"/>
          <w:highlight w:val="none"/>
        </w:rPr>
        <w:instrText xml:space="preserve"> SEQ 表 \* ARABIC \s 2 </w:instrText>
      </w:r>
      <w:r>
        <w:rPr>
          <w:rFonts w:eastAsia="宋体" w:cs="Times New Roman"/>
          <w:color w:val="auto"/>
          <w:sz w:val="24"/>
          <w:szCs w:val="18"/>
          <w:highlight w:val="none"/>
        </w:rPr>
        <w:fldChar w:fldCharType="separate"/>
      </w:r>
      <w:r>
        <w:rPr>
          <w:rFonts w:eastAsia="宋体" w:cs="Times New Roman"/>
          <w:color w:val="auto"/>
          <w:sz w:val="24"/>
          <w:szCs w:val="18"/>
          <w:highlight w:val="none"/>
        </w:rPr>
        <w:t>8</w:t>
      </w:r>
      <w:r>
        <w:rPr>
          <w:rFonts w:eastAsia="宋体" w:cs="Times New Roman"/>
          <w:color w:val="auto"/>
          <w:sz w:val="24"/>
          <w:szCs w:val="18"/>
          <w:highlight w:val="none"/>
        </w:rPr>
        <w:fldChar w:fldCharType="end"/>
      </w:r>
      <w:bookmarkEnd w:id="374"/>
      <w:r>
        <w:rPr>
          <w:rFonts w:eastAsia="宋体" w:cs="Times New Roman"/>
          <w:color w:val="auto"/>
          <w:sz w:val="24"/>
          <w:szCs w:val="18"/>
          <w:highlight w:val="none"/>
        </w:rPr>
        <w:t>有组织（</w:t>
      </w:r>
      <w:r>
        <w:rPr>
          <w:rFonts w:hint="eastAsia" w:eastAsia="宋体" w:cs="Times New Roman"/>
          <w:color w:val="auto"/>
          <w:sz w:val="24"/>
          <w:szCs w:val="18"/>
          <w:highlight w:val="none"/>
        </w:rPr>
        <w:t>DA005、DA006</w:t>
      </w:r>
      <w:r>
        <w:rPr>
          <w:rFonts w:eastAsia="宋体" w:cs="Times New Roman"/>
          <w:color w:val="auto"/>
          <w:sz w:val="24"/>
          <w:szCs w:val="18"/>
          <w:highlight w:val="none"/>
        </w:rPr>
        <w:t>排气筒）排放大气污染物影响预测结果表</w:t>
      </w:r>
      <w:bookmarkEnd w:id="375"/>
    </w:p>
    <w:tbl>
      <w:tblPr>
        <w:tblStyle w:val="45"/>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1353"/>
        <w:gridCol w:w="1192"/>
        <w:gridCol w:w="1193"/>
        <w:gridCol w:w="1192"/>
        <w:gridCol w:w="1192"/>
        <w:gridCol w:w="1192"/>
        <w:gridCol w:w="1190"/>
      </w:tblGrid>
      <w:tr w14:paraId="7D49CC6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353" w:type="dxa"/>
            <w:vMerge w:val="restart"/>
            <w:vAlign w:val="center"/>
          </w:tcPr>
          <w:p w14:paraId="11ABAD9A">
            <w:pPr>
              <w:keepNext w:val="0"/>
              <w:keepLines w:val="0"/>
              <w:pageBreakBefore w:val="0"/>
              <w:widowControl/>
              <w:kinsoku/>
              <w:wordWrap/>
              <w:overflowPunct/>
              <w:topLinePunct w:val="0"/>
              <w:autoSpaceDE/>
              <w:autoSpaceDN/>
              <w:bidi w:val="0"/>
              <w:adjustRightInd/>
              <w:snapToGrid/>
              <w:ind w:left="0" w:right="0"/>
              <w:jc w:val="center"/>
              <w:rPr>
                <w:rFonts w:ascii="Times New Roman" w:hAnsi="Times New Roman"/>
                <w:b/>
                <w:color w:val="auto"/>
                <w:sz w:val="21"/>
                <w:szCs w:val="21"/>
                <w:highlight w:val="none"/>
              </w:rPr>
            </w:pPr>
            <w:r>
              <w:rPr>
                <w:rFonts w:ascii="Times New Roman" w:hAnsi="Times New Roman"/>
                <w:b/>
                <w:color w:val="auto"/>
                <w:sz w:val="21"/>
                <w:szCs w:val="21"/>
                <w:highlight w:val="none"/>
              </w:rPr>
              <w:t>距源中心下风向距离（m）</w:t>
            </w:r>
          </w:p>
        </w:tc>
        <w:tc>
          <w:tcPr>
            <w:tcW w:w="2385" w:type="dxa"/>
            <w:gridSpan w:val="2"/>
            <w:tcBorders>
              <w:left w:val="single" w:color="auto" w:sz="6" w:space="0"/>
            </w:tcBorders>
            <w:vAlign w:val="center"/>
          </w:tcPr>
          <w:p w14:paraId="607230C6">
            <w:pPr>
              <w:keepNext w:val="0"/>
              <w:keepLines w:val="0"/>
              <w:pageBreakBefore w:val="0"/>
              <w:widowControl/>
              <w:kinsoku/>
              <w:wordWrap/>
              <w:overflowPunct/>
              <w:topLinePunct w:val="0"/>
              <w:autoSpaceDE/>
              <w:autoSpaceDN/>
              <w:bidi w:val="0"/>
              <w:adjustRightInd/>
              <w:snapToGrid/>
              <w:ind w:left="0" w:right="0"/>
              <w:jc w:val="center"/>
              <w:rPr>
                <w:rFonts w:ascii="Times New Roman" w:hAnsi="Times New Roman"/>
                <w:b/>
                <w:color w:val="auto"/>
                <w:sz w:val="21"/>
                <w:szCs w:val="21"/>
                <w:highlight w:val="none"/>
              </w:rPr>
            </w:pPr>
            <w:r>
              <w:rPr>
                <w:rFonts w:hint="eastAsia" w:ascii="Times New Roman" w:hAnsi="Times New Roman"/>
                <w:b/>
                <w:color w:val="auto"/>
                <w:sz w:val="21"/>
                <w:szCs w:val="21"/>
                <w:highlight w:val="none"/>
              </w:rPr>
              <w:t>DA005</w:t>
            </w:r>
          </w:p>
        </w:tc>
        <w:tc>
          <w:tcPr>
            <w:tcW w:w="4766" w:type="dxa"/>
            <w:gridSpan w:val="4"/>
            <w:tcBorders>
              <w:left w:val="single" w:color="auto" w:sz="6" w:space="0"/>
            </w:tcBorders>
            <w:vAlign w:val="center"/>
          </w:tcPr>
          <w:p w14:paraId="21063884">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b/>
                <w:color w:val="auto"/>
                <w:sz w:val="21"/>
                <w:szCs w:val="21"/>
                <w:highlight w:val="none"/>
              </w:rPr>
            </w:pPr>
            <w:r>
              <w:rPr>
                <w:rFonts w:hint="eastAsia" w:ascii="Times New Roman" w:hAnsi="Times New Roman"/>
                <w:b/>
                <w:color w:val="auto"/>
                <w:sz w:val="21"/>
                <w:szCs w:val="21"/>
                <w:highlight w:val="none"/>
              </w:rPr>
              <w:t>DA006</w:t>
            </w:r>
          </w:p>
        </w:tc>
      </w:tr>
      <w:tr w14:paraId="37D2488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353" w:type="dxa"/>
            <w:vMerge w:val="continue"/>
            <w:vAlign w:val="center"/>
          </w:tcPr>
          <w:p w14:paraId="40224F80">
            <w:pPr>
              <w:keepNext w:val="0"/>
              <w:keepLines w:val="0"/>
              <w:pageBreakBefore w:val="0"/>
              <w:widowControl/>
              <w:kinsoku/>
              <w:wordWrap/>
              <w:overflowPunct/>
              <w:topLinePunct w:val="0"/>
              <w:autoSpaceDE/>
              <w:autoSpaceDN/>
              <w:bidi w:val="0"/>
              <w:adjustRightInd/>
              <w:snapToGrid/>
              <w:ind w:left="0" w:right="0"/>
              <w:jc w:val="center"/>
              <w:rPr>
                <w:rFonts w:ascii="Times New Roman" w:hAnsi="Times New Roman"/>
                <w:b/>
                <w:color w:val="auto"/>
                <w:sz w:val="21"/>
                <w:szCs w:val="21"/>
                <w:highlight w:val="none"/>
              </w:rPr>
            </w:pPr>
          </w:p>
        </w:tc>
        <w:tc>
          <w:tcPr>
            <w:tcW w:w="2385" w:type="dxa"/>
            <w:gridSpan w:val="2"/>
            <w:tcBorders>
              <w:left w:val="single" w:color="auto" w:sz="6" w:space="0"/>
              <w:right w:val="single" w:color="auto" w:sz="4" w:space="0"/>
            </w:tcBorders>
            <w:vAlign w:val="center"/>
          </w:tcPr>
          <w:p w14:paraId="6B2D4F07">
            <w:pPr>
              <w:keepNext w:val="0"/>
              <w:keepLines w:val="0"/>
              <w:pageBreakBefore w:val="0"/>
              <w:widowControl/>
              <w:kinsoku/>
              <w:wordWrap/>
              <w:overflowPunct/>
              <w:topLinePunct w:val="0"/>
              <w:autoSpaceDE/>
              <w:autoSpaceDN/>
              <w:bidi w:val="0"/>
              <w:adjustRightInd/>
              <w:snapToGrid/>
              <w:ind w:left="0" w:right="0"/>
              <w:jc w:val="center"/>
              <w:rPr>
                <w:rFonts w:ascii="Times New Roman" w:hAnsi="Times New Roman"/>
                <w:b/>
                <w:color w:val="auto"/>
                <w:sz w:val="21"/>
                <w:szCs w:val="21"/>
                <w:highlight w:val="none"/>
              </w:rPr>
            </w:pPr>
            <w:r>
              <w:rPr>
                <w:rFonts w:hint="eastAsia" w:ascii="Times New Roman" w:hAnsi="Times New Roman"/>
                <w:b/>
                <w:color w:val="auto"/>
                <w:sz w:val="21"/>
                <w:szCs w:val="21"/>
                <w:highlight w:val="none"/>
              </w:rPr>
              <w:t>非甲烷总烃</w:t>
            </w:r>
          </w:p>
        </w:tc>
        <w:tc>
          <w:tcPr>
            <w:tcW w:w="2384" w:type="dxa"/>
            <w:gridSpan w:val="2"/>
            <w:tcBorders>
              <w:left w:val="single" w:color="auto" w:sz="4" w:space="0"/>
            </w:tcBorders>
            <w:vAlign w:val="center"/>
          </w:tcPr>
          <w:p w14:paraId="52A006EC">
            <w:pPr>
              <w:keepNext w:val="0"/>
              <w:keepLines w:val="0"/>
              <w:pageBreakBefore w:val="0"/>
              <w:widowControl/>
              <w:kinsoku/>
              <w:wordWrap/>
              <w:overflowPunct/>
              <w:topLinePunct w:val="0"/>
              <w:autoSpaceDE/>
              <w:autoSpaceDN/>
              <w:bidi w:val="0"/>
              <w:adjustRightInd/>
              <w:snapToGrid/>
              <w:ind w:left="0" w:right="0"/>
              <w:jc w:val="center"/>
              <w:rPr>
                <w:rFonts w:ascii="Times New Roman" w:hAnsi="Times New Roman"/>
                <w:b/>
                <w:color w:val="auto"/>
                <w:sz w:val="21"/>
                <w:szCs w:val="21"/>
                <w:highlight w:val="none"/>
              </w:rPr>
            </w:pPr>
            <w:r>
              <w:rPr>
                <w:rFonts w:hint="eastAsia" w:ascii="Times New Roman" w:hAnsi="Times New Roman"/>
                <w:b/>
                <w:color w:val="auto"/>
                <w:sz w:val="21"/>
                <w:szCs w:val="21"/>
                <w:highlight w:val="none"/>
              </w:rPr>
              <w:t>非甲烷总烃</w:t>
            </w:r>
          </w:p>
        </w:tc>
        <w:tc>
          <w:tcPr>
            <w:tcW w:w="2382" w:type="dxa"/>
            <w:gridSpan w:val="2"/>
            <w:tcBorders>
              <w:left w:val="single" w:color="auto" w:sz="4" w:space="0"/>
            </w:tcBorders>
            <w:vAlign w:val="center"/>
          </w:tcPr>
          <w:p w14:paraId="7BC06AFD">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b/>
                <w:color w:val="auto"/>
                <w:sz w:val="21"/>
                <w:szCs w:val="21"/>
                <w:highlight w:val="none"/>
                <w:lang w:val="en-US" w:eastAsia="zh-CN"/>
              </w:rPr>
            </w:pPr>
            <w:r>
              <w:rPr>
                <w:rFonts w:hint="eastAsia" w:ascii="Times New Roman" w:hAnsi="Times New Roman"/>
                <w:b/>
                <w:color w:val="auto"/>
                <w:sz w:val="21"/>
                <w:szCs w:val="21"/>
                <w:highlight w:val="none"/>
                <w:lang w:val="en-US" w:eastAsia="zh-CN"/>
              </w:rPr>
              <w:t>氮氧化物</w:t>
            </w:r>
          </w:p>
        </w:tc>
      </w:tr>
      <w:tr w14:paraId="713B3A3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353" w:type="dxa"/>
            <w:vMerge w:val="continue"/>
            <w:vAlign w:val="center"/>
          </w:tcPr>
          <w:p w14:paraId="0C34353A">
            <w:pPr>
              <w:keepNext w:val="0"/>
              <w:keepLines w:val="0"/>
              <w:pageBreakBefore w:val="0"/>
              <w:widowControl/>
              <w:kinsoku/>
              <w:wordWrap/>
              <w:overflowPunct/>
              <w:topLinePunct w:val="0"/>
              <w:autoSpaceDE/>
              <w:autoSpaceDN/>
              <w:bidi w:val="0"/>
              <w:adjustRightInd/>
              <w:snapToGrid/>
              <w:ind w:left="0" w:right="0"/>
              <w:jc w:val="center"/>
              <w:rPr>
                <w:rFonts w:ascii="Times New Roman" w:hAnsi="Times New Roman"/>
                <w:b/>
                <w:color w:val="auto"/>
                <w:sz w:val="21"/>
                <w:szCs w:val="21"/>
                <w:highlight w:val="none"/>
              </w:rPr>
            </w:pPr>
          </w:p>
        </w:tc>
        <w:tc>
          <w:tcPr>
            <w:tcW w:w="1192" w:type="dxa"/>
            <w:tcBorders>
              <w:left w:val="single" w:color="auto" w:sz="6" w:space="0"/>
            </w:tcBorders>
            <w:vAlign w:val="center"/>
          </w:tcPr>
          <w:p w14:paraId="5B826AF1">
            <w:pPr>
              <w:keepNext w:val="0"/>
              <w:keepLines w:val="0"/>
              <w:pageBreakBefore w:val="0"/>
              <w:widowControl/>
              <w:kinsoku/>
              <w:wordWrap/>
              <w:overflowPunct/>
              <w:topLinePunct w:val="0"/>
              <w:autoSpaceDE/>
              <w:autoSpaceDN/>
              <w:bidi w:val="0"/>
              <w:adjustRightInd/>
              <w:snapToGrid/>
              <w:ind w:left="0" w:right="0"/>
              <w:jc w:val="center"/>
              <w:rPr>
                <w:rFonts w:ascii="Times New Roman" w:hAnsi="Times New Roman"/>
                <w:b/>
                <w:color w:val="auto"/>
                <w:sz w:val="21"/>
                <w:szCs w:val="21"/>
                <w:highlight w:val="none"/>
              </w:rPr>
            </w:pPr>
            <w:r>
              <w:rPr>
                <w:rFonts w:ascii="Times New Roman" w:hAnsi="Times New Roman"/>
                <w:b/>
                <w:color w:val="auto"/>
                <w:sz w:val="21"/>
                <w:szCs w:val="21"/>
                <w:highlight w:val="none"/>
              </w:rPr>
              <w:t>下风向预测浓度（μg/m</w:t>
            </w:r>
            <w:r>
              <w:rPr>
                <w:rFonts w:ascii="Times New Roman" w:hAnsi="Times New Roman"/>
                <w:b/>
                <w:color w:val="auto"/>
                <w:sz w:val="21"/>
                <w:szCs w:val="21"/>
                <w:highlight w:val="none"/>
                <w:vertAlign w:val="superscript"/>
              </w:rPr>
              <w:t>3</w:t>
            </w:r>
            <w:r>
              <w:rPr>
                <w:rFonts w:ascii="Times New Roman" w:hAnsi="Times New Roman"/>
                <w:b/>
                <w:color w:val="auto"/>
                <w:sz w:val="21"/>
                <w:szCs w:val="21"/>
                <w:highlight w:val="none"/>
              </w:rPr>
              <w:t>）</w:t>
            </w:r>
          </w:p>
        </w:tc>
        <w:tc>
          <w:tcPr>
            <w:tcW w:w="1193" w:type="dxa"/>
            <w:tcBorders>
              <w:left w:val="single" w:color="auto" w:sz="6" w:space="0"/>
            </w:tcBorders>
            <w:vAlign w:val="center"/>
          </w:tcPr>
          <w:p w14:paraId="5FE9F7A1">
            <w:pPr>
              <w:keepNext w:val="0"/>
              <w:keepLines w:val="0"/>
              <w:pageBreakBefore w:val="0"/>
              <w:widowControl/>
              <w:kinsoku/>
              <w:wordWrap/>
              <w:overflowPunct/>
              <w:topLinePunct w:val="0"/>
              <w:autoSpaceDE/>
              <w:autoSpaceDN/>
              <w:bidi w:val="0"/>
              <w:adjustRightInd/>
              <w:snapToGrid/>
              <w:ind w:left="0" w:right="0"/>
              <w:jc w:val="center"/>
              <w:rPr>
                <w:rFonts w:ascii="Times New Roman" w:hAnsi="Times New Roman"/>
                <w:b/>
                <w:color w:val="auto"/>
                <w:sz w:val="21"/>
                <w:szCs w:val="21"/>
                <w:highlight w:val="none"/>
              </w:rPr>
            </w:pPr>
            <w:r>
              <w:rPr>
                <w:rFonts w:ascii="Times New Roman" w:hAnsi="Times New Roman"/>
                <w:b/>
                <w:color w:val="auto"/>
                <w:sz w:val="21"/>
                <w:szCs w:val="21"/>
                <w:highlight w:val="none"/>
              </w:rPr>
              <w:t>浓度占标率（%）</w:t>
            </w:r>
          </w:p>
        </w:tc>
        <w:tc>
          <w:tcPr>
            <w:tcW w:w="1192" w:type="dxa"/>
            <w:tcBorders>
              <w:left w:val="single" w:color="auto" w:sz="6" w:space="0"/>
            </w:tcBorders>
            <w:vAlign w:val="center"/>
          </w:tcPr>
          <w:p w14:paraId="4C61FE61">
            <w:pPr>
              <w:keepNext w:val="0"/>
              <w:keepLines w:val="0"/>
              <w:pageBreakBefore w:val="0"/>
              <w:widowControl/>
              <w:kinsoku/>
              <w:wordWrap/>
              <w:overflowPunct/>
              <w:topLinePunct w:val="0"/>
              <w:autoSpaceDE/>
              <w:autoSpaceDN/>
              <w:bidi w:val="0"/>
              <w:adjustRightInd/>
              <w:snapToGrid/>
              <w:ind w:left="0" w:right="0"/>
              <w:jc w:val="center"/>
              <w:rPr>
                <w:rFonts w:ascii="Times New Roman" w:hAnsi="Times New Roman"/>
                <w:b/>
                <w:color w:val="auto"/>
                <w:sz w:val="21"/>
                <w:szCs w:val="21"/>
                <w:highlight w:val="none"/>
              </w:rPr>
            </w:pPr>
            <w:r>
              <w:rPr>
                <w:rFonts w:ascii="Times New Roman" w:hAnsi="Times New Roman"/>
                <w:b/>
                <w:color w:val="auto"/>
                <w:sz w:val="21"/>
                <w:szCs w:val="21"/>
                <w:highlight w:val="none"/>
              </w:rPr>
              <w:t>下风向预测浓度（μg/m</w:t>
            </w:r>
            <w:r>
              <w:rPr>
                <w:rFonts w:ascii="Times New Roman" w:hAnsi="Times New Roman"/>
                <w:b/>
                <w:color w:val="auto"/>
                <w:sz w:val="21"/>
                <w:szCs w:val="21"/>
                <w:highlight w:val="none"/>
                <w:vertAlign w:val="superscript"/>
              </w:rPr>
              <w:t>3</w:t>
            </w:r>
            <w:r>
              <w:rPr>
                <w:rFonts w:ascii="Times New Roman" w:hAnsi="Times New Roman"/>
                <w:b/>
                <w:color w:val="auto"/>
                <w:sz w:val="21"/>
                <w:szCs w:val="21"/>
                <w:highlight w:val="none"/>
              </w:rPr>
              <w:t>）</w:t>
            </w:r>
          </w:p>
        </w:tc>
        <w:tc>
          <w:tcPr>
            <w:tcW w:w="1192" w:type="dxa"/>
            <w:tcBorders>
              <w:left w:val="single" w:color="auto" w:sz="6" w:space="0"/>
            </w:tcBorders>
            <w:vAlign w:val="center"/>
          </w:tcPr>
          <w:p w14:paraId="212577DD">
            <w:pPr>
              <w:keepNext w:val="0"/>
              <w:keepLines w:val="0"/>
              <w:pageBreakBefore w:val="0"/>
              <w:widowControl/>
              <w:kinsoku/>
              <w:wordWrap/>
              <w:overflowPunct/>
              <w:topLinePunct w:val="0"/>
              <w:autoSpaceDE/>
              <w:autoSpaceDN/>
              <w:bidi w:val="0"/>
              <w:adjustRightInd/>
              <w:snapToGrid/>
              <w:ind w:left="0" w:right="0"/>
              <w:jc w:val="center"/>
              <w:rPr>
                <w:rFonts w:ascii="Times New Roman" w:hAnsi="Times New Roman"/>
                <w:b/>
                <w:color w:val="auto"/>
                <w:sz w:val="21"/>
                <w:szCs w:val="21"/>
                <w:highlight w:val="none"/>
              </w:rPr>
            </w:pPr>
            <w:r>
              <w:rPr>
                <w:rFonts w:ascii="Times New Roman" w:hAnsi="Times New Roman"/>
                <w:b/>
                <w:color w:val="auto"/>
                <w:sz w:val="21"/>
                <w:szCs w:val="21"/>
                <w:highlight w:val="none"/>
              </w:rPr>
              <w:t>浓度占标率（%）</w:t>
            </w:r>
          </w:p>
        </w:tc>
        <w:tc>
          <w:tcPr>
            <w:tcW w:w="1192" w:type="dxa"/>
            <w:tcBorders>
              <w:left w:val="single" w:color="auto" w:sz="6" w:space="0"/>
            </w:tcBorders>
            <w:vAlign w:val="center"/>
          </w:tcPr>
          <w:p w14:paraId="13302F68">
            <w:pPr>
              <w:keepNext w:val="0"/>
              <w:keepLines w:val="0"/>
              <w:pageBreakBefore w:val="0"/>
              <w:widowControl/>
              <w:kinsoku/>
              <w:wordWrap/>
              <w:overflowPunct/>
              <w:topLinePunct w:val="0"/>
              <w:autoSpaceDE/>
              <w:autoSpaceDN/>
              <w:bidi w:val="0"/>
              <w:adjustRightInd/>
              <w:snapToGrid/>
              <w:ind w:left="0" w:leftChars="0" w:right="0" w:rightChars="0"/>
              <w:jc w:val="center"/>
              <w:rPr>
                <w:rFonts w:ascii="Times New Roman" w:hAnsi="Times New Roman"/>
                <w:b/>
                <w:color w:val="auto"/>
                <w:sz w:val="21"/>
                <w:szCs w:val="21"/>
                <w:highlight w:val="none"/>
              </w:rPr>
            </w:pPr>
            <w:r>
              <w:rPr>
                <w:rFonts w:ascii="Times New Roman" w:hAnsi="Times New Roman"/>
                <w:b/>
                <w:color w:val="auto"/>
                <w:sz w:val="21"/>
                <w:szCs w:val="21"/>
                <w:highlight w:val="none"/>
              </w:rPr>
              <w:t>下风向预测浓度（μg/m</w:t>
            </w:r>
            <w:r>
              <w:rPr>
                <w:rFonts w:ascii="Times New Roman" w:hAnsi="Times New Roman"/>
                <w:b/>
                <w:color w:val="auto"/>
                <w:sz w:val="21"/>
                <w:szCs w:val="21"/>
                <w:highlight w:val="none"/>
                <w:vertAlign w:val="superscript"/>
              </w:rPr>
              <w:t>3</w:t>
            </w:r>
            <w:r>
              <w:rPr>
                <w:rFonts w:ascii="Times New Roman" w:hAnsi="Times New Roman"/>
                <w:b/>
                <w:color w:val="auto"/>
                <w:sz w:val="21"/>
                <w:szCs w:val="21"/>
                <w:highlight w:val="none"/>
              </w:rPr>
              <w:t>）</w:t>
            </w:r>
          </w:p>
        </w:tc>
        <w:tc>
          <w:tcPr>
            <w:tcW w:w="1190" w:type="dxa"/>
            <w:tcBorders>
              <w:left w:val="single" w:color="auto" w:sz="6" w:space="0"/>
            </w:tcBorders>
            <w:vAlign w:val="center"/>
          </w:tcPr>
          <w:p w14:paraId="7F2D5AE3">
            <w:pPr>
              <w:keepNext w:val="0"/>
              <w:keepLines w:val="0"/>
              <w:pageBreakBefore w:val="0"/>
              <w:widowControl/>
              <w:kinsoku/>
              <w:wordWrap/>
              <w:overflowPunct/>
              <w:topLinePunct w:val="0"/>
              <w:autoSpaceDE/>
              <w:autoSpaceDN/>
              <w:bidi w:val="0"/>
              <w:adjustRightInd/>
              <w:snapToGrid/>
              <w:ind w:left="0" w:leftChars="0" w:right="0" w:rightChars="0"/>
              <w:jc w:val="center"/>
              <w:rPr>
                <w:rFonts w:ascii="Times New Roman" w:hAnsi="Times New Roman"/>
                <w:b/>
                <w:color w:val="auto"/>
                <w:sz w:val="21"/>
                <w:szCs w:val="21"/>
                <w:highlight w:val="none"/>
              </w:rPr>
            </w:pPr>
            <w:r>
              <w:rPr>
                <w:rFonts w:ascii="Times New Roman" w:hAnsi="Times New Roman"/>
                <w:b/>
                <w:color w:val="auto"/>
                <w:sz w:val="21"/>
                <w:szCs w:val="21"/>
                <w:highlight w:val="none"/>
              </w:rPr>
              <w:t>浓度占标率（%）</w:t>
            </w:r>
          </w:p>
        </w:tc>
      </w:tr>
      <w:tr w14:paraId="090E961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353" w:type="dxa"/>
            <w:vAlign w:val="center"/>
          </w:tcPr>
          <w:p w14:paraId="038C69E6">
            <w:pPr>
              <w:keepNext w:val="0"/>
              <w:keepLines w:val="0"/>
              <w:pageBreakBefore w:val="0"/>
              <w:widowControl/>
              <w:kinsoku/>
              <w:wordWrap/>
              <w:overflowPunct/>
              <w:topLinePunct w:val="0"/>
              <w:autoSpaceDE/>
              <w:autoSpaceDN/>
              <w:bidi w:val="0"/>
              <w:adjustRightInd/>
              <w:snapToGrid/>
              <w:ind w:left="0" w:right="0"/>
              <w:jc w:val="center"/>
              <w:textAlignment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10</w:t>
            </w:r>
          </w:p>
        </w:tc>
        <w:tc>
          <w:tcPr>
            <w:tcW w:w="1192" w:type="dxa"/>
            <w:tcBorders>
              <w:left w:val="single" w:color="auto" w:sz="6" w:space="0"/>
            </w:tcBorders>
            <w:vAlign w:val="center"/>
          </w:tcPr>
          <w:p w14:paraId="1683B318">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0.049006</w:t>
            </w:r>
          </w:p>
        </w:tc>
        <w:tc>
          <w:tcPr>
            <w:tcW w:w="1193" w:type="dxa"/>
            <w:tcBorders>
              <w:left w:val="single" w:color="auto" w:sz="6" w:space="0"/>
            </w:tcBorders>
            <w:vAlign w:val="center"/>
          </w:tcPr>
          <w:p w14:paraId="35AC23C0">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0.00</w:t>
            </w:r>
          </w:p>
        </w:tc>
        <w:tc>
          <w:tcPr>
            <w:tcW w:w="1192" w:type="dxa"/>
            <w:tcBorders>
              <w:left w:val="single" w:color="auto" w:sz="6" w:space="0"/>
            </w:tcBorders>
            <w:vAlign w:val="center"/>
          </w:tcPr>
          <w:p w14:paraId="3D7AB08C">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0.0089976</w:t>
            </w:r>
          </w:p>
        </w:tc>
        <w:tc>
          <w:tcPr>
            <w:tcW w:w="1192" w:type="dxa"/>
            <w:tcBorders>
              <w:left w:val="single" w:color="auto" w:sz="6" w:space="0"/>
            </w:tcBorders>
            <w:vAlign w:val="center"/>
          </w:tcPr>
          <w:p w14:paraId="63B89FBC">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0.00</w:t>
            </w:r>
          </w:p>
        </w:tc>
        <w:tc>
          <w:tcPr>
            <w:tcW w:w="1192" w:type="dxa"/>
            <w:tcBorders>
              <w:left w:val="single" w:color="auto" w:sz="6" w:space="0"/>
            </w:tcBorders>
            <w:vAlign w:val="center"/>
          </w:tcPr>
          <w:p w14:paraId="59B77DAE">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0.00432983</w:t>
            </w:r>
          </w:p>
        </w:tc>
        <w:tc>
          <w:tcPr>
            <w:tcW w:w="1190" w:type="dxa"/>
            <w:tcBorders>
              <w:left w:val="single" w:color="auto" w:sz="6" w:space="0"/>
            </w:tcBorders>
            <w:vAlign w:val="center"/>
          </w:tcPr>
          <w:p w14:paraId="0B05209E">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0.00</w:t>
            </w:r>
          </w:p>
        </w:tc>
      </w:tr>
      <w:tr w14:paraId="6A6AEDF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353" w:type="dxa"/>
            <w:vAlign w:val="center"/>
          </w:tcPr>
          <w:p w14:paraId="7FB3DFB7">
            <w:pPr>
              <w:keepNext w:val="0"/>
              <w:keepLines w:val="0"/>
              <w:pageBreakBefore w:val="0"/>
              <w:widowControl/>
              <w:kinsoku/>
              <w:wordWrap/>
              <w:overflowPunct/>
              <w:topLinePunct w:val="0"/>
              <w:autoSpaceDE/>
              <w:autoSpaceDN/>
              <w:bidi w:val="0"/>
              <w:adjustRightInd/>
              <w:snapToGrid/>
              <w:ind w:left="0" w:right="0"/>
              <w:jc w:val="center"/>
              <w:textAlignment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25</w:t>
            </w:r>
          </w:p>
        </w:tc>
        <w:tc>
          <w:tcPr>
            <w:tcW w:w="1192" w:type="dxa"/>
            <w:tcBorders>
              <w:left w:val="single" w:color="auto" w:sz="6" w:space="0"/>
            </w:tcBorders>
            <w:vAlign w:val="center"/>
          </w:tcPr>
          <w:p w14:paraId="426B2FF5">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1.3047</w:t>
            </w:r>
          </w:p>
        </w:tc>
        <w:tc>
          <w:tcPr>
            <w:tcW w:w="1193" w:type="dxa"/>
            <w:tcBorders>
              <w:left w:val="single" w:color="auto" w:sz="6" w:space="0"/>
            </w:tcBorders>
            <w:vAlign w:val="center"/>
          </w:tcPr>
          <w:p w14:paraId="47F570A1">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0.10</w:t>
            </w:r>
          </w:p>
        </w:tc>
        <w:tc>
          <w:tcPr>
            <w:tcW w:w="1192" w:type="dxa"/>
            <w:tcBorders>
              <w:left w:val="single" w:color="auto" w:sz="6" w:space="0"/>
            </w:tcBorders>
            <w:vAlign w:val="center"/>
          </w:tcPr>
          <w:p w14:paraId="7F5B45C0">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0.081218</w:t>
            </w:r>
          </w:p>
        </w:tc>
        <w:tc>
          <w:tcPr>
            <w:tcW w:w="1192" w:type="dxa"/>
            <w:tcBorders>
              <w:left w:val="single" w:color="auto" w:sz="6" w:space="0"/>
            </w:tcBorders>
            <w:vAlign w:val="center"/>
          </w:tcPr>
          <w:p w14:paraId="1E3F9C2F">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0.00</w:t>
            </w:r>
          </w:p>
        </w:tc>
        <w:tc>
          <w:tcPr>
            <w:tcW w:w="1192" w:type="dxa"/>
            <w:tcBorders>
              <w:left w:val="single" w:color="auto" w:sz="6" w:space="0"/>
            </w:tcBorders>
            <w:vAlign w:val="center"/>
          </w:tcPr>
          <w:p w14:paraId="49F92EF0">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0.0390838</w:t>
            </w:r>
          </w:p>
        </w:tc>
        <w:tc>
          <w:tcPr>
            <w:tcW w:w="1190" w:type="dxa"/>
            <w:tcBorders>
              <w:left w:val="single" w:color="auto" w:sz="6" w:space="0"/>
            </w:tcBorders>
            <w:vAlign w:val="center"/>
          </w:tcPr>
          <w:p w14:paraId="51D0B974">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0.00</w:t>
            </w:r>
          </w:p>
        </w:tc>
      </w:tr>
      <w:tr w14:paraId="35193CF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353" w:type="dxa"/>
            <w:vAlign w:val="center"/>
          </w:tcPr>
          <w:p w14:paraId="04154113">
            <w:pPr>
              <w:keepNext w:val="0"/>
              <w:keepLines w:val="0"/>
              <w:pageBreakBefore w:val="0"/>
              <w:widowControl/>
              <w:kinsoku/>
              <w:wordWrap/>
              <w:overflowPunct/>
              <w:topLinePunct w:val="0"/>
              <w:autoSpaceDE/>
              <w:autoSpaceDN/>
              <w:bidi w:val="0"/>
              <w:adjustRightInd/>
              <w:snapToGrid/>
              <w:ind w:left="0" w:right="0"/>
              <w:jc w:val="center"/>
              <w:textAlignment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50</w:t>
            </w:r>
          </w:p>
        </w:tc>
        <w:tc>
          <w:tcPr>
            <w:tcW w:w="1192" w:type="dxa"/>
            <w:tcBorders>
              <w:left w:val="single" w:color="auto" w:sz="6" w:space="0"/>
            </w:tcBorders>
            <w:vAlign w:val="center"/>
          </w:tcPr>
          <w:p w14:paraId="058E973E">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1.1166</w:t>
            </w:r>
          </w:p>
        </w:tc>
        <w:tc>
          <w:tcPr>
            <w:tcW w:w="1193" w:type="dxa"/>
            <w:tcBorders>
              <w:left w:val="single" w:color="auto" w:sz="6" w:space="0"/>
            </w:tcBorders>
            <w:vAlign w:val="center"/>
          </w:tcPr>
          <w:p w14:paraId="3AF16C2B">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0.10</w:t>
            </w:r>
          </w:p>
        </w:tc>
        <w:tc>
          <w:tcPr>
            <w:tcW w:w="1192" w:type="dxa"/>
            <w:tcBorders>
              <w:left w:val="single" w:color="auto" w:sz="6" w:space="0"/>
            </w:tcBorders>
            <w:vAlign w:val="center"/>
          </w:tcPr>
          <w:p w14:paraId="24A98404">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0.068619</w:t>
            </w:r>
          </w:p>
        </w:tc>
        <w:tc>
          <w:tcPr>
            <w:tcW w:w="1192" w:type="dxa"/>
            <w:tcBorders>
              <w:left w:val="single" w:color="auto" w:sz="6" w:space="0"/>
            </w:tcBorders>
            <w:vAlign w:val="center"/>
          </w:tcPr>
          <w:p w14:paraId="561C389E">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0.00</w:t>
            </w:r>
          </w:p>
        </w:tc>
        <w:tc>
          <w:tcPr>
            <w:tcW w:w="1192" w:type="dxa"/>
            <w:tcBorders>
              <w:left w:val="single" w:color="auto" w:sz="6" w:space="0"/>
            </w:tcBorders>
            <w:vAlign w:val="center"/>
          </w:tcPr>
          <w:p w14:paraId="10750DD4">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0.0330209</w:t>
            </w:r>
          </w:p>
        </w:tc>
        <w:tc>
          <w:tcPr>
            <w:tcW w:w="1190" w:type="dxa"/>
            <w:tcBorders>
              <w:left w:val="single" w:color="auto" w:sz="6" w:space="0"/>
            </w:tcBorders>
            <w:vAlign w:val="center"/>
          </w:tcPr>
          <w:p w14:paraId="2F43918A">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0.00</w:t>
            </w:r>
          </w:p>
        </w:tc>
      </w:tr>
      <w:tr w14:paraId="0912E51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353" w:type="dxa"/>
            <w:vAlign w:val="center"/>
          </w:tcPr>
          <w:p w14:paraId="32580DAF">
            <w:pPr>
              <w:keepNext w:val="0"/>
              <w:keepLines w:val="0"/>
              <w:pageBreakBefore w:val="0"/>
              <w:widowControl/>
              <w:kinsoku/>
              <w:wordWrap/>
              <w:overflowPunct/>
              <w:topLinePunct w:val="0"/>
              <w:autoSpaceDE/>
              <w:autoSpaceDN/>
              <w:bidi w:val="0"/>
              <w:adjustRightInd/>
              <w:snapToGrid/>
              <w:ind w:left="0" w:right="0"/>
              <w:jc w:val="center"/>
              <w:textAlignment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70</w:t>
            </w:r>
          </w:p>
        </w:tc>
        <w:tc>
          <w:tcPr>
            <w:tcW w:w="1192" w:type="dxa"/>
            <w:tcBorders>
              <w:left w:val="single" w:color="auto" w:sz="6" w:space="0"/>
            </w:tcBorders>
            <w:vAlign w:val="center"/>
          </w:tcPr>
          <w:p w14:paraId="212F5D92">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w:t>
            </w:r>
          </w:p>
        </w:tc>
        <w:tc>
          <w:tcPr>
            <w:tcW w:w="1193" w:type="dxa"/>
            <w:tcBorders>
              <w:left w:val="single" w:color="auto" w:sz="6" w:space="0"/>
            </w:tcBorders>
            <w:vAlign w:val="center"/>
          </w:tcPr>
          <w:p w14:paraId="59F5A9A5">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w:t>
            </w:r>
          </w:p>
        </w:tc>
        <w:tc>
          <w:tcPr>
            <w:tcW w:w="1192" w:type="dxa"/>
            <w:tcBorders>
              <w:left w:val="single" w:color="auto" w:sz="6" w:space="0"/>
            </w:tcBorders>
            <w:vAlign w:val="center"/>
          </w:tcPr>
          <w:p w14:paraId="11704867">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0.14741</w:t>
            </w:r>
          </w:p>
        </w:tc>
        <w:tc>
          <w:tcPr>
            <w:tcW w:w="1192" w:type="dxa"/>
            <w:tcBorders>
              <w:left w:val="single" w:color="auto" w:sz="6" w:space="0"/>
            </w:tcBorders>
            <w:vAlign w:val="center"/>
          </w:tcPr>
          <w:p w14:paraId="06F63264">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0.00</w:t>
            </w:r>
          </w:p>
        </w:tc>
        <w:tc>
          <w:tcPr>
            <w:tcW w:w="1192" w:type="dxa"/>
            <w:tcBorders>
              <w:left w:val="single" w:color="auto" w:sz="6" w:space="0"/>
            </w:tcBorders>
            <w:vAlign w:val="center"/>
          </w:tcPr>
          <w:p w14:paraId="7858E456">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0.0709367</w:t>
            </w:r>
          </w:p>
        </w:tc>
        <w:tc>
          <w:tcPr>
            <w:tcW w:w="1190" w:type="dxa"/>
            <w:tcBorders>
              <w:left w:val="single" w:color="auto" w:sz="6" w:space="0"/>
            </w:tcBorders>
            <w:vAlign w:val="center"/>
          </w:tcPr>
          <w:p w14:paraId="24EB58D0">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0.00</w:t>
            </w:r>
          </w:p>
        </w:tc>
      </w:tr>
      <w:tr w14:paraId="62D2C75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353" w:type="dxa"/>
            <w:vAlign w:val="center"/>
          </w:tcPr>
          <w:p w14:paraId="0C0B4EAA">
            <w:pPr>
              <w:keepNext w:val="0"/>
              <w:keepLines w:val="0"/>
              <w:pageBreakBefore w:val="0"/>
              <w:widowControl/>
              <w:kinsoku/>
              <w:wordWrap/>
              <w:overflowPunct/>
              <w:topLinePunct w:val="0"/>
              <w:autoSpaceDE/>
              <w:autoSpaceDN/>
              <w:bidi w:val="0"/>
              <w:adjustRightInd/>
              <w:snapToGrid/>
              <w:ind w:left="0" w:right="0"/>
              <w:jc w:val="center"/>
              <w:textAlignment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75</w:t>
            </w:r>
          </w:p>
        </w:tc>
        <w:tc>
          <w:tcPr>
            <w:tcW w:w="1192" w:type="dxa"/>
            <w:tcBorders>
              <w:left w:val="single" w:color="auto" w:sz="6" w:space="0"/>
            </w:tcBorders>
            <w:vAlign w:val="center"/>
          </w:tcPr>
          <w:p w14:paraId="09664F90">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1.4606</w:t>
            </w:r>
          </w:p>
        </w:tc>
        <w:tc>
          <w:tcPr>
            <w:tcW w:w="1193" w:type="dxa"/>
            <w:tcBorders>
              <w:left w:val="single" w:color="auto" w:sz="6" w:space="0"/>
            </w:tcBorders>
            <w:vAlign w:val="center"/>
          </w:tcPr>
          <w:p w14:paraId="3976646D">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0.10</w:t>
            </w:r>
          </w:p>
        </w:tc>
        <w:tc>
          <w:tcPr>
            <w:tcW w:w="1192" w:type="dxa"/>
            <w:tcBorders>
              <w:left w:val="single" w:color="auto" w:sz="6" w:space="0"/>
            </w:tcBorders>
            <w:vAlign w:val="center"/>
          </w:tcPr>
          <w:p w14:paraId="47BBBD40">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0.1461</w:t>
            </w:r>
          </w:p>
        </w:tc>
        <w:tc>
          <w:tcPr>
            <w:tcW w:w="1192" w:type="dxa"/>
            <w:tcBorders>
              <w:left w:val="single" w:color="auto" w:sz="6" w:space="0"/>
            </w:tcBorders>
            <w:vAlign w:val="center"/>
          </w:tcPr>
          <w:p w14:paraId="3CE97D14">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0.00</w:t>
            </w:r>
          </w:p>
        </w:tc>
        <w:tc>
          <w:tcPr>
            <w:tcW w:w="1192" w:type="dxa"/>
            <w:tcBorders>
              <w:left w:val="single" w:color="auto" w:sz="6" w:space="0"/>
            </w:tcBorders>
            <w:vAlign w:val="center"/>
          </w:tcPr>
          <w:p w14:paraId="6F384220">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0.0703063</w:t>
            </w:r>
          </w:p>
        </w:tc>
        <w:tc>
          <w:tcPr>
            <w:tcW w:w="1190" w:type="dxa"/>
            <w:tcBorders>
              <w:left w:val="single" w:color="auto" w:sz="6" w:space="0"/>
            </w:tcBorders>
            <w:vAlign w:val="center"/>
          </w:tcPr>
          <w:p w14:paraId="39120D47">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0.00</w:t>
            </w:r>
          </w:p>
        </w:tc>
      </w:tr>
      <w:tr w14:paraId="07FB2DC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353" w:type="dxa"/>
            <w:vAlign w:val="center"/>
          </w:tcPr>
          <w:p w14:paraId="4DD7DCD5">
            <w:pPr>
              <w:keepNext w:val="0"/>
              <w:keepLines w:val="0"/>
              <w:pageBreakBefore w:val="0"/>
              <w:widowControl/>
              <w:kinsoku/>
              <w:wordWrap/>
              <w:overflowPunct/>
              <w:topLinePunct w:val="0"/>
              <w:autoSpaceDE/>
              <w:autoSpaceDN/>
              <w:bidi w:val="0"/>
              <w:adjustRightInd/>
              <w:snapToGrid/>
              <w:ind w:left="0" w:right="0"/>
              <w:jc w:val="center"/>
              <w:textAlignment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100</w:t>
            </w:r>
          </w:p>
        </w:tc>
        <w:tc>
          <w:tcPr>
            <w:tcW w:w="1192" w:type="dxa"/>
            <w:tcBorders>
              <w:left w:val="single" w:color="auto" w:sz="6" w:space="0"/>
            </w:tcBorders>
            <w:vAlign w:val="center"/>
          </w:tcPr>
          <w:p w14:paraId="00290263">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3.3179</w:t>
            </w:r>
          </w:p>
        </w:tc>
        <w:tc>
          <w:tcPr>
            <w:tcW w:w="1193" w:type="dxa"/>
            <w:tcBorders>
              <w:left w:val="single" w:color="auto" w:sz="6" w:space="0"/>
            </w:tcBorders>
            <w:vAlign w:val="center"/>
          </w:tcPr>
          <w:p w14:paraId="14A1D92C">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0.20</w:t>
            </w:r>
          </w:p>
        </w:tc>
        <w:tc>
          <w:tcPr>
            <w:tcW w:w="1192" w:type="dxa"/>
            <w:tcBorders>
              <w:left w:val="single" w:color="auto" w:sz="6" w:space="0"/>
            </w:tcBorders>
            <w:vAlign w:val="center"/>
          </w:tcPr>
          <w:p w14:paraId="7314AACC">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0.12381</w:t>
            </w:r>
          </w:p>
        </w:tc>
        <w:tc>
          <w:tcPr>
            <w:tcW w:w="1192" w:type="dxa"/>
            <w:tcBorders>
              <w:left w:val="single" w:color="auto" w:sz="6" w:space="0"/>
            </w:tcBorders>
            <w:vAlign w:val="center"/>
          </w:tcPr>
          <w:p w14:paraId="25BD501E">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0.00</w:t>
            </w:r>
          </w:p>
        </w:tc>
        <w:tc>
          <w:tcPr>
            <w:tcW w:w="1192" w:type="dxa"/>
            <w:tcBorders>
              <w:left w:val="single" w:color="auto" w:sz="6" w:space="0"/>
            </w:tcBorders>
            <w:vAlign w:val="center"/>
          </w:tcPr>
          <w:p w14:paraId="26186E17">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0.0595799</w:t>
            </w:r>
          </w:p>
        </w:tc>
        <w:tc>
          <w:tcPr>
            <w:tcW w:w="1190" w:type="dxa"/>
            <w:tcBorders>
              <w:left w:val="single" w:color="auto" w:sz="6" w:space="0"/>
            </w:tcBorders>
            <w:vAlign w:val="center"/>
          </w:tcPr>
          <w:p w14:paraId="38471A06">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0.00</w:t>
            </w:r>
          </w:p>
        </w:tc>
      </w:tr>
      <w:tr w14:paraId="47CFBDA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353" w:type="dxa"/>
            <w:vAlign w:val="center"/>
          </w:tcPr>
          <w:p w14:paraId="26A85E3D">
            <w:pPr>
              <w:keepNext w:val="0"/>
              <w:keepLines w:val="0"/>
              <w:pageBreakBefore w:val="0"/>
              <w:widowControl/>
              <w:kinsoku/>
              <w:wordWrap/>
              <w:overflowPunct/>
              <w:topLinePunct w:val="0"/>
              <w:autoSpaceDE/>
              <w:autoSpaceDN/>
              <w:bidi w:val="0"/>
              <w:adjustRightInd/>
              <w:snapToGrid/>
              <w:ind w:left="0" w:right="0"/>
              <w:jc w:val="center"/>
              <w:textAlignment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113</w:t>
            </w:r>
          </w:p>
        </w:tc>
        <w:tc>
          <w:tcPr>
            <w:tcW w:w="1192" w:type="dxa"/>
            <w:tcBorders>
              <w:left w:val="single" w:color="auto" w:sz="6" w:space="0"/>
            </w:tcBorders>
            <w:vAlign w:val="center"/>
          </w:tcPr>
          <w:p w14:paraId="0A5EE16A">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3.6573</w:t>
            </w:r>
          </w:p>
        </w:tc>
        <w:tc>
          <w:tcPr>
            <w:tcW w:w="1193" w:type="dxa"/>
            <w:tcBorders>
              <w:left w:val="single" w:color="auto" w:sz="6" w:space="0"/>
            </w:tcBorders>
            <w:vAlign w:val="center"/>
          </w:tcPr>
          <w:p w14:paraId="7B14D134">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0.20</w:t>
            </w:r>
          </w:p>
        </w:tc>
        <w:tc>
          <w:tcPr>
            <w:tcW w:w="1192" w:type="dxa"/>
            <w:tcBorders>
              <w:left w:val="single" w:color="auto" w:sz="6" w:space="0"/>
            </w:tcBorders>
            <w:vAlign w:val="center"/>
          </w:tcPr>
          <w:p w14:paraId="3FD548EF">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w:t>
            </w:r>
          </w:p>
        </w:tc>
        <w:tc>
          <w:tcPr>
            <w:tcW w:w="1192" w:type="dxa"/>
            <w:tcBorders>
              <w:left w:val="single" w:color="auto" w:sz="6" w:space="0"/>
            </w:tcBorders>
            <w:vAlign w:val="center"/>
          </w:tcPr>
          <w:p w14:paraId="1C422CD6">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w:t>
            </w:r>
          </w:p>
        </w:tc>
        <w:tc>
          <w:tcPr>
            <w:tcW w:w="1192" w:type="dxa"/>
            <w:tcBorders>
              <w:left w:val="single" w:color="auto" w:sz="6" w:space="0"/>
            </w:tcBorders>
            <w:vAlign w:val="center"/>
          </w:tcPr>
          <w:p w14:paraId="0C4EACDC">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w:t>
            </w:r>
          </w:p>
        </w:tc>
        <w:tc>
          <w:tcPr>
            <w:tcW w:w="1190" w:type="dxa"/>
            <w:tcBorders>
              <w:left w:val="single" w:color="auto" w:sz="6" w:space="0"/>
            </w:tcBorders>
            <w:vAlign w:val="center"/>
          </w:tcPr>
          <w:p w14:paraId="466634EC">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w:t>
            </w:r>
          </w:p>
        </w:tc>
      </w:tr>
      <w:tr w14:paraId="7FBAD68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353" w:type="dxa"/>
            <w:vAlign w:val="center"/>
          </w:tcPr>
          <w:p w14:paraId="33D84368">
            <w:pPr>
              <w:keepNext w:val="0"/>
              <w:keepLines w:val="0"/>
              <w:pageBreakBefore w:val="0"/>
              <w:widowControl/>
              <w:kinsoku/>
              <w:wordWrap/>
              <w:overflowPunct/>
              <w:topLinePunct w:val="0"/>
              <w:autoSpaceDE/>
              <w:autoSpaceDN/>
              <w:bidi w:val="0"/>
              <w:adjustRightInd/>
              <w:snapToGrid/>
              <w:ind w:left="0" w:right="0"/>
              <w:jc w:val="center"/>
              <w:textAlignment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125</w:t>
            </w:r>
          </w:p>
        </w:tc>
        <w:tc>
          <w:tcPr>
            <w:tcW w:w="1192" w:type="dxa"/>
            <w:tcBorders>
              <w:left w:val="single" w:color="auto" w:sz="6" w:space="0"/>
            </w:tcBorders>
            <w:vAlign w:val="center"/>
          </w:tcPr>
          <w:p w14:paraId="1EEB6805">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3.6049</w:t>
            </w:r>
          </w:p>
        </w:tc>
        <w:tc>
          <w:tcPr>
            <w:tcW w:w="1193" w:type="dxa"/>
            <w:tcBorders>
              <w:left w:val="single" w:color="auto" w:sz="6" w:space="0"/>
            </w:tcBorders>
            <w:vAlign w:val="center"/>
          </w:tcPr>
          <w:p w14:paraId="4ADB766C">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0.20</w:t>
            </w:r>
          </w:p>
        </w:tc>
        <w:tc>
          <w:tcPr>
            <w:tcW w:w="1192" w:type="dxa"/>
            <w:tcBorders>
              <w:left w:val="single" w:color="auto" w:sz="6" w:space="0"/>
            </w:tcBorders>
            <w:vAlign w:val="center"/>
          </w:tcPr>
          <w:p w14:paraId="348B8845">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0.098774</w:t>
            </w:r>
          </w:p>
        </w:tc>
        <w:tc>
          <w:tcPr>
            <w:tcW w:w="1192" w:type="dxa"/>
            <w:tcBorders>
              <w:left w:val="single" w:color="auto" w:sz="6" w:space="0"/>
            </w:tcBorders>
            <w:vAlign w:val="center"/>
          </w:tcPr>
          <w:p w14:paraId="01218B39">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0.00</w:t>
            </w:r>
          </w:p>
        </w:tc>
        <w:tc>
          <w:tcPr>
            <w:tcW w:w="1192" w:type="dxa"/>
            <w:tcBorders>
              <w:left w:val="single" w:color="auto" w:sz="6" w:space="0"/>
            </w:tcBorders>
            <w:vAlign w:val="center"/>
          </w:tcPr>
          <w:p w14:paraId="526D24B4">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0.0475321</w:t>
            </w:r>
          </w:p>
        </w:tc>
        <w:tc>
          <w:tcPr>
            <w:tcW w:w="1190" w:type="dxa"/>
            <w:tcBorders>
              <w:left w:val="single" w:color="auto" w:sz="6" w:space="0"/>
            </w:tcBorders>
            <w:vAlign w:val="center"/>
          </w:tcPr>
          <w:p w14:paraId="5CDFF8D5">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0.00</w:t>
            </w:r>
          </w:p>
        </w:tc>
      </w:tr>
      <w:tr w14:paraId="5BC89DC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353" w:type="dxa"/>
            <w:vAlign w:val="center"/>
          </w:tcPr>
          <w:p w14:paraId="7535C670">
            <w:pPr>
              <w:keepNext w:val="0"/>
              <w:keepLines w:val="0"/>
              <w:pageBreakBefore w:val="0"/>
              <w:widowControl/>
              <w:kinsoku/>
              <w:wordWrap/>
              <w:overflowPunct/>
              <w:topLinePunct w:val="0"/>
              <w:autoSpaceDE/>
              <w:autoSpaceDN/>
              <w:bidi w:val="0"/>
              <w:adjustRightInd/>
              <w:snapToGrid/>
              <w:ind w:left="0" w:right="0"/>
              <w:jc w:val="center"/>
              <w:textAlignment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150</w:t>
            </w:r>
          </w:p>
        </w:tc>
        <w:tc>
          <w:tcPr>
            <w:tcW w:w="1192" w:type="dxa"/>
            <w:tcBorders>
              <w:left w:val="single" w:color="auto" w:sz="6" w:space="0"/>
            </w:tcBorders>
            <w:vAlign w:val="center"/>
          </w:tcPr>
          <w:p w14:paraId="3637C72D">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3.295</w:t>
            </w:r>
          </w:p>
        </w:tc>
        <w:tc>
          <w:tcPr>
            <w:tcW w:w="1193" w:type="dxa"/>
            <w:tcBorders>
              <w:left w:val="single" w:color="auto" w:sz="6" w:space="0"/>
            </w:tcBorders>
            <w:vAlign w:val="center"/>
          </w:tcPr>
          <w:p w14:paraId="050FB347">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0.20</w:t>
            </w:r>
          </w:p>
        </w:tc>
        <w:tc>
          <w:tcPr>
            <w:tcW w:w="1192" w:type="dxa"/>
            <w:tcBorders>
              <w:left w:val="single" w:color="auto" w:sz="6" w:space="0"/>
            </w:tcBorders>
            <w:vAlign w:val="center"/>
          </w:tcPr>
          <w:p w14:paraId="4EC99781">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0.079013</w:t>
            </w:r>
          </w:p>
        </w:tc>
        <w:tc>
          <w:tcPr>
            <w:tcW w:w="1192" w:type="dxa"/>
            <w:tcBorders>
              <w:left w:val="single" w:color="auto" w:sz="6" w:space="0"/>
            </w:tcBorders>
            <w:vAlign w:val="center"/>
          </w:tcPr>
          <w:p w14:paraId="020447FF">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0.00</w:t>
            </w:r>
          </w:p>
        </w:tc>
        <w:tc>
          <w:tcPr>
            <w:tcW w:w="1192" w:type="dxa"/>
            <w:tcBorders>
              <w:left w:val="single" w:color="auto" w:sz="6" w:space="0"/>
            </w:tcBorders>
            <w:vAlign w:val="center"/>
          </w:tcPr>
          <w:p w14:paraId="66735813">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0.0380227</w:t>
            </w:r>
          </w:p>
        </w:tc>
        <w:tc>
          <w:tcPr>
            <w:tcW w:w="1190" w:type="dxa"/>
            <w:tcBorders>
              <w:left w:val="single" w:color="auto" w:sz="6" w:space="0"/>
            </w:tcBorders>
            <w:vAlign w:val="center"/>
          </w:tcPr>
          <w:p w14:paraId="3163B27E">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0.00</w:t>
            </w:r>
          </w:p>
        </w:tc>
      </w:tr>
      <w:tr w14:paraId="0CEB7E5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353" w:type="dxa"/>
            <w:vAlign w:val="center"/>
          </w:tcPr>
          <w:p w14:paraId="25757000">
            <w:pPr>
              <w:keepNext w:val="0"/>
              <w:keepLines w:val="0"/>
              <w:pageBreakBefore w:val="0"/>
              <w:widowControl/>
              <w:kinsoku/>
              <w:wordWrap/>
              <w:overflowPunct/>
              <w:topLinePunct w:val="0"/>
              <w:autoSpaceDE/>
              <w:autoSpaceDN/>
              <w:bidi w:val="0"/>
              <w:adjustRightInd/>
              <w:snapToGrid/>
              <w:ind w:left="0" w:right="0"/>
              <w:jc w:val="center"/>
              <w:textAlignment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175</w:t>
            </w:r>
          </w:p>
        </w:tc>
        <w:tc>
          <w:tcPr>
            <w:tcW w:w="1192" w:type="dxa"/>
            <w:tcBorders>
              <w:left w:val="single" w:color="auto" w:sz="6" w:space="0"/>
            </w:tcBorders>
            <w:vAlign w:val="center"/>
          </w:tcPr>
          <w:p w14:paraId="27519387">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2.9104</w:t>
            </w:r>
          </w:p>
        </w:tc>
        <w:tc>
          <w:tcPr>
            <w:tcW w:w="1193" w:type="dxa"/>
            <w:tcBorders>
              <w:left w:val="single" w:color="auto" w:sz="6" w:space="0"/>
            </w:tcBorders>
            <w:vAlign w:val="center"/>
          </w:tcPr>
          <w:p w14:paraId="184904B8">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0.10</w:t>
            </w:r>
          </w:p>
        </w:tc>
        <w:tc>
          <w:tcPr>
            <w:tcW w:w="1192" w:type="dxa"/>
            <w:tcBorders>
              <w:left w:val="single" w:color="auto" w:sz="6" w:space="0"/>
            </w:tcBorders>
            <w:vAlign w:val="center"/>
          </w:tcPr>
          <w:p w14:paraId="01FE6824">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0.064262</w:t>
            </w:r>
          </w:p>
        </w:tc>
        <w:tc>
          <w:tcPr>
            <w:tcW w:w="1192" w:type="dxa"/>
            <w:tcBorders>
              <w:left w:val="single" w:color="auto" w:sz="6" w:space="0"/>
            </w:tcBorders>
            <w:vAlign w:val="center"/>
          </w:tcPr>
          <w:p w14:paraId="3C60716F">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0.00</w:t>
            </w:r>
          </w:p>
        </w:tc>
        <w:tc>
          <w:tcPr>
            <w:tcW w:w="1192" w:type="dxa"/>
            <w:tcBorders>
              <w:left w:val="single" w:color="auto" w:sz="6" w:space="0"/>
            </w:tcBorders>
            <w:vAlign w:val="center"/>
          </w:tcPr>
          <w:p w14:paraId="033944B7">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0.0309242</w:t>
            </w:r>
          </w:p>
        </w:tc>
        <w:tc>
          <w:tcPr>
            <w:tcW w:w="1190" w:type="dxa"/>
            <w:tcBorders>
              <w:left w:val="single" w:color="auto" w:sz="6" w:space="0"/>
            </w:tcBorders>
            <w:vAlign w:val="center"/>
          </w:tcPr>
          <w:p w14:paraId="296AB9BF">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0.00</w:t>
            </w:r>
          </w:p>
        </w:tc>
      </w:tr>
      <w:tr w14:paraId="775BE54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353" w:type="dxa"/>
            <w:vAlign w:val="center"/>
          </w:tcPr>
          <w:p w14:paraId="1C80F9CA">
            <w:pPr>
              <w:keepNext w:val="0"/>
              <w:keepLines w:val="0"/>
              <w:pageBreakBefore w:val="0"/>
              <w:widowControl/>
              <w:kinsoku/>
              <w:wordWrap/>
              <w:overflowPunct/>
              <w:topLinePunct w:val="0"/>
              <w:autoSpaceDE/>
              <w:autoSpaceDN/>
              <w:bidi w:val="0"/>
              <w:adjustRightInd/>
              <w:snapToGrid/>
              <w:ind w:left="0" w:right="0"/>
              <w:jc w:val="center"/>
              <w:textAlignment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200</w:t>
            </w:r>
          </w:p>
        </w:tc>
        <w:tc>
          <w:tcPr>
            <w:tcW w:w="1192" w:type="dxa"/>
            <w:tcBorders>
              <w:left w:val="single" w:color="auto" w:sz="6" w:space="0"/>
            </w:tcBorders>
            <w:vAlign w:val="center"/>
          </w:tcPr>
          <w:p w14:paraId="0B88F3A5">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2.5469</w:t>
            </w:r>
          </w:p>
        </w:tc>
        <w:tc>
          <w:tcPr>
            <w:tcW w:w="1193" w:type="dxa"/>
            <w:tcBorders>
              <w:left w:val="single" w:color="auto" w:sz="6" w:space="0"/>
            </w:tcBorders>
            <w:vAlign w:val="center"/>
          </w:tcPr>
          <w:p w14:paraId="2B257815">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0.10</w:t>
            </w:r>
          </w:p>
        </w:tc>
        <w:tc>
          <w:tcPr>
            <w:tcW w:w="1192" w:type="dxa"/>
            <w:tcBorders>
              <w:left w:val="single" w:color="auto" w:sz="6" w:space="0"/>
            </w:tcBorders>
            <w:vAlign w:val="center"/>
          </w:tcPr>
          <w:p w14:paraId="4E8466EE">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0.053602</w:t>
            </w:r>
          </w:p>
        </w:tc>
        <w:tc>
          <w:tcPr>
            <w:tcW w:w="1192" w:type="dxa"/>
            <w:tcBorders>
              <w:left w:val="single" w:color="auto" w:sz="6" w:space="0"/>
            </w:tcBorders>
            <w:vAlign w:val="center"/>
          </w:tcPr>
          <w:p w14:paraId="1ACA0224">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0.00</w:t>
            </w:r>
          </w:p>
        </w:tc>
        <w:tc>
          <w:tcPr>
            <w:tcW w:w="1192" w:type="dxa"/>
            <w:tcBorders>
              <w:left w:val="single" w:color="auto" w:sz="6" w:space="0"/>
            </w:tcBorders>
            <w:vAlign w:val="center"/>
          </w:tcPr>
          <w:p w14:paraId="742356A9">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0.0257944</w:t>
            </w:r>
          </w:p>
        </w:tc>
        <w:tc>
          <w:tcPr>
            <w:tcW w:w="1190" w:type="dxa"/>
            <w:tcBorders>
              <w:left w:val="single" w:color="auto" w:sz="6" w:space="0"/>
            </w:tcBorders>
            <w:vAlign w:val="center"/>
          </w:tcPr>
          <w:p w14:paraId="42A3B127">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0.00</w:t>
            </w:r>
          </w:p>
        </w:tc>
      </w:tr>
      <w:tr w14:paraId="5A354B6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353" w:type="dxa"/>
            <w:vAlign w:val="center"/>
          </w:tcPr>
          <w:p w14:paraId="0EFE8567">
            <w:pPr>
              <w:keepNext w:val="0"/>
              <w:keepLines w:val="0"/>
              <w:pageBreakBefore w:val="0"/>
              <w:widowControl/>
              <w:kinsoku/>
              <w:wordWrap/>
              <w:overflowPunct/>
              <w:topLinePunct w:val="0"/>
              <w:autoSpaceDE/>
              <w:autoSpaceDN/>
              <w:bidi w:val="0"/>
              <w:adjustRightInd/>
              <w:snapToGrid/>
              <w:ind w:left="0" w:right="0"/>
              <w:jc w:val="center"/>
              <w:textAlignment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225</w:t>
            </w:r>
          </w:p>
        </w:tc>
        <w:tc>
          <w:tcPr>
            <w:tcW w:w="1192" w:type="dxa"/>
            <w:tcBorders>
              <w:left w:val="single" w:color="auto" w:sz="6" w:space="0"/>
            </w:tcBorders>
            <w:vAlign w:val="center"/>
          </w:tcPr>
          <w:p w14:paraId="4D7BB44A">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2.2304</w:t>
            </w:r>
          </w:p>
        </w:tc>
        <w:tc>
          <w:tcPr>
            <w:tcW w:w="1193" w:type="dxa"/>
            <w:tcBorders>
              <w:left w:val="single" w:color="auto" w:sz="6" w:space="0"/>
            </w:tcBorders>
            <w:vAlign w:val="center"/>
          </w:tcPr>
          <w:p w14:paraId="3730C6F7">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0.10</w:t>
            </w:r>
          </w:p>
        </w:tc>
        <w:tc>
          <w:tcPr>
            <w:tcW w:w="1192" w:type="dxa"/>
            <w:tcBorders>
              <w:left w:val="single" w:color="auto" w:sz="6" w:space="0"/>
            </w:tcBorders>
            <w:vAlign w:val="center"/>
          </w:tcPr>
          <w:p w14:paraId="1723A561">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0.05141</w:t>
            </w:r>
          </w:p>
        </w:tc>
        <w:tc>
          <w:tcPr>
            <w:tcW w:w="1192" w:type="dxa"/>
            <w:tcBorders>
              <w:left w:val="single" w:color="auto" w:sz="6" w:space="0"/>
            </w:tcBorders>
            <w:vAlign w:val="center"/>
          </w:tcPr>
          <w:p w14:paraId="10045685">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0.00</w:t>
            </w:r>
          </w:p>
        </w:tc>
        <w:tc>
          <w:tcPr>
            <w:tcW w:w="1192" w:type="dxa"/>
            <w:tcBorders>
              <w:left w:val="single" w:color="auto" w:sz="6" w:space="0"/>
            </w:tcBorders>
            <w:vAlign w:val="center"/>
          </w:tcPr>
          <w:p w14:paraId="7BDCEEFF">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0.0247396</w:t>
            </w:r>
          </w:p>
        </w:tc>
        <w:tc>
          <w:tcPr>
            <w:tcW w:w="1190" w:type="dxa"/>
            <w:tcBorders>
              <w:left w:val="single" w:color="auto" w:sz="6" w:space="0"/>
            </w:tcBorders>
            <w:vAlign w:val="center"/>
          </w:tcPr>
          <w:p w14:paraId="5A835A65">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0.00</w:t>
            </w:r>
          </w:p>
        </w:tc>
      </w:tr>
      <w:tr w14:paraId="5DDE3D7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353" w:type="dxa"/>
            <w:vAlign w:val="center"/>
          </w:tcPr>
          <w:p w14:paraId="585B0245">
            <w:pPr>
              <w:keepNext w:val="0"/>
              <w:keepLines w:val="0"/>
              <w:pageBreakBefore w:val="0"/>
              <w:widowControl/>
              <w:kinsoku/>
              <w:wordWrap/>
              <w:overflowPunct/>
              <w:topLinePunct w:val="0"/>
              <w:autoSpaceDE/>
              <w:autoSpaceDN/>
              <w:bidi w:val="0"/>
              <w:adjustRightInd/>
              <w:snapToGrid/>
              <w:ind w:left="0" w:right="0"/>
              <w:jc w:val="center"/>
              <w:textAlignment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250</w:t>
            </w:r>
          </w:p>
        </w:tc>
        <w:tc>
          <w:tcPr>
            <w:tcW w:w="1192" w:type="dxa"/>
            <w:tcBorders>
              <w:left w:val="single" w:color="auto" w:sz="6" w:space="0"/>
            </w:tcBorders>
            <w:vAlign w:val="center"/>
          </w:tcPr>
          <w:p w14:paraId="4FF0FB81">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1.9624</w:t>
            </w:r>
          </w:p>
        </w:tc>
        <w:tc>
          <w:tcPr>
            <w:tcW w:w="1193" w:type="dxa"/>
            <w:tcBorders>
              <w:left w:val="single" w:color="auto" w:sz="6" w:space="0"/>
            </w:tcBorders>
            <w:vAlign w:val="center"/>
          </w:tcPr>
          <w:p w14:paraId="1F140162">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0.10</w:t>
            </w:r>
          </w:p>
        </w:tc>
        <w:tc>
          <w:tcPr>
            <w:tcW w:w="1192" w:type="dxa"/>
            <w:tcBorders>
              <w:left w:val="single" w:color="auto" w:sz="6" w:space="0"/>
            </w:tcBorders>
            <w:vAlign w:val="center"/>
          </w:tcPr>
          <w:p w14:paraId="7B8EA3B4">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0.063333</w:t>
            </w:r>
          </w:p>
        </w:tc>
        <w:tc>
          <w:tcPr>
            <w:tcW w:w="1192" w:type="dxa"/>
            <w:tcBorders>
              <w:left w:val="single" w:color="auto" w:sz="6" w:space="0"/>
            </w:tcBorders>
            <w:vAlign w:val="center"/>
          </w:tcPr>
          <w:p w14:paraId="57EBA4C7">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0.00</w:t>
            </w:r>
          </w:p>
        </w:tc>
        <w:tc>
          <w:tcPr>
            <w:tcW w:w="1192" w:type="dxa"/>
            <w:tcBorders>
              <w:left w:val="single" w:color="auto" w:sz="6" w:space="0"/>
            </w:tcBorders>
            <w:vAlign w:val="center"/>
          </w:tcPr>
          <w:p w14:paraId="1EA6E60E">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0.0304772</w:t>
            </w:r>
          </w:p>
        </w:tc>
        <w:tc>
          <w:tcPr>
            <w:tcW w:w="1190" w:type="dxa"/>
            <w:tcBorders>
              <w:left w:val="single" w:color="auto" w:sz="6" w:space="0"/>
            </w:tcBorders>
            <w:vAlign w:val="center"/>
          </w:tcPr>
          <w:p w14:paraId="5A9D3A83">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0.00</w:t>
            </w:r>
          </w:p>
        </w:tc>
      </w:tr>
      <w:tr w14:paraId="0A4373D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353" w:type="dxa"/>
            <w:vAlign w:val="center"/>
          </w:tcPr>
          <w:p w14:paraId="1D2F70E1">
            <w:pPr>
              <w:keepNext w:val="0"/>
              <w:keepLines w:val="0"/>
              <w:pageBreakBefore w:val="0"/>
              <w:widowControl/>
              <w:kinsoku/>
              <w:wordWrap/>
              <w:overflowPunct/>
              <w:topLinePunct w:val="0"/>
              <w:autoSpaceDE/>
              <w:autoSpaceDN/>
              <w:bidi w:val="0"/>
              <w:adjustRightInd/>
              <w:snapToGrid/>
              <w:ind w:left="0" w:right="0"/>
              <w:jc w:val="center"/>
              <w:textAlignment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275</w:t>
            </w:r>
          </w:p>
        </w:tc>
        <w:tc>
          <w:tcPr>
            <w:tcW w:w="1192" w:type="dxa"/>
            <w:tcBorders>
              <w:left w:val="single" w:color="auto" w:sz="6" w:space="0"/>
            </w:tcBorders>
            <w:vAlign w:val="center"/>
          </w:tcPr>
          <w:p w14:paraId="6D865148">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1.7374</w:t>
            </w:r>
          </w:p>
        </w:tc>
        <w:tc>
          <w:tcPr>
            <w:tcW w:w="1193" w:type="dxa"/>
            <w:tcBorders>
              <w:left w:val="single" w:color="auto" w:sz="6" w:space="0"/>
            </w:tcBorders>
            <w:vAlign w:val="center"/>
          </w:tcPr>
          <w:p w14:paraId="73DA55D0">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0.10</w:t>
            </w:r>
          </w:p>
        </w:tc>
        <w:tc>
          <w:tcPr>
            <w:tcW w:w="1192" w:type="dxa"/>
            <w:tcBorders>
              <w:left w:val="single" w:color="auto" w:sz="6" w:space="0"/>
            </w:tcBorders>
            <w:vAlign w:val="center"/>
          </w:tcPr>
          <w:p w14:paraId="01DC30EF">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0.072329</w:t>
            </w:r>
          </w:p>
        </w:tc>
        <w:tc>
          <w:tcPr>
            <w:tcW w:w="1192" w:type="dxa"/>
            <w:tcBorders>
              <w:left w:val="single" w:color="auto" w:sz="6" w:space="0"/>
            </w:tcBorders>
            <w:vAlign w:val="center"/>
          </w:tcPr>
          <w:p w14:paraId="21881784">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0.00</w:t>
            </w:r>
          </w:p>
        </w:tc>
        <w:tc>
          <w:tcPr>
            <w:tcW w:w="1192" w:type="dxa"/>
            <w:tcBorders>
              <w:left w:val="single" w:color="auto" w:sz="6" w:space="0"/>
            </w:tcBorders>
            <w:vAlign w:val="center"/>
          </w:tcPr>
          <w:p w14:paraId="67F47BE1">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0.0348062</w:t>
            </w:r>
          </w:p>
        </w:tc>
        <w:tc>
          <w:tcPr>
            <w:tcW w:w="1190" w:type="dxa"/>
            <w:tcBorders>
              <w:left w:val="single" w:color="auto" w:sz="6" w:space="0"/>
            </w:tcBorders>
            <w:vAlign w:val="center"/>
          </w:tcPr>
          <w:p w14:paraId="32CA9D04">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0.00</w:t>
            </w:r>
          </w:p>
        </w:tc>
      </w:tr>
      <w:tr w14:paraId="6A97A4E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353" w:type="dxa"/>
            <w:vAlign w:val="center"/>
          </w:tcPr>
          <w:p w14:paraId="71C11E46">
            <w:pPr>
              <w:keepNext w:val="0"/>
              <w:keepLines w:val="0"/>
              <w:pageBreakBefore w:val="0"/>
              <w:widowControl/>
              <w:kinsoku/>
              <w:wordWrap/>
              <w:overflowPunct/>
              <w:topLinePunct w:val="0"/>
              <w:autoSpaceDE/>
              <w:autoSpaceDN/>
              <w:bidi w:val="0"/>
              <w:adjustRightInd/>
              <w:snapToGrid/>
              <w:ind w:left="0" w:right="0"/>
              <w:jc w:val="center"/>
              <w:textAlignment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300</w:t>
            </w:r>
          </w:p>
        </w:tc>
        <w:tc>
          <w:tcPr>
            <w:tcW w:w="1192" w:type="dxa"/>
            <w:tcBorders>
              <w:left w:val="single" w:color="auto" w:sz="6" w:space="0"/>
            </w:tcBorders>
            <w:vAlign w:val="center"/>
          </w:tcPr>
          <w:p w14:paraId="19B4BEFD">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1.5485</w:t>
            </w:r>
          </w:p>
        </w:tc>
        <w:tc>
          <w:tcPr>
            <w:tcW w:w="1193" w:type="dxa"/>
            <w:tcBorders>
              <w:left w:val="single" w:color="auto" w:sz="6" w:space="0"/>
            </w:tcBorders>
            <w:vAlign w:val="center"/>
          </w:tcPr>
          <w:p w14:paraId="625B5F5F">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0.10</w:t>
            </w:r>
          </w:p>
        </w:tc>
        <w:tc>
          <w:tcPr>
            <w:tcW w:w="1192" w:type="dxa"/>
            <w:tcBorders>
              <w:left w:val="single" w:color="auto" w:sz="6" w:space="0"/>
            </w:tcBorders>
            <w:vAlign w:val="center"/>
          </w:tcPr>
          <w:p w14:paraId="59E15E7E">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0.078143</w:t>
            </w:r>
          </w:p>
        </w:tc>
        <w:tc>
          <w:tcPr>
            <w:tcW w:w="1192" w:type="dxa"/>
            <w:tcBorders>
              <w:left w:val="single" w:color="auto" w:sz="6" w:space="0"/>
            </w:tcBorders>
            <w:vAlign w:val="center"/>
          </w:tcPr>
          <w:p w14:paraId="2FE8FD4A">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0.00</w:t>
            </w:r>
          </w:p>
        </w:tc>
        <w:tc>
          <w:tcPr>
            <w:tcW w:w="1192" w:type="dxa"/>
            <w:tcBorders>
              <w:left w:val="single" w:color="auto" w:sz="6" w:space="0"/>
            </w:tcBorders>
            <w:vAlign w:val="center"/>
          </w:tcPr>
          <w:p w14:paraId="6A850CC1">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0.037604</w:t>
            </w:r>
          </w:p>
        </w:tc>
        <w:tc>
          <w:tcPr>
            <w:tcW w:w="1190" w:type="dxa"/>
            <w:tcBorders>
              <w:left w:val="single" w:color="auto" w:sz="6" w:space="0"/>
            </w:tcBorders>
            <w:vAlign w:val="center"/>
          </w:tcPr>
          <w:p w14:paraId="3093B1A8">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0.00</w:t>
            </w:r>
          </w:p>
        </w:tc>
      </w:tr>
      <w:tr w14:paraId="678B095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353" w:type="dxa"/>
            <w:vAlign w:val="center"/>
          </w:tcPr>
          <w:p w14:paraId="764935E6">
            <w:pPr>
              <w:keepNext w:val="0"/>
              <w:keepLines w:val="0"/>
              <w:pageBreakBefore w:val="0"/>
              <w:widowControl/>
              <w:kinsoku/>
              <w:wordWrap/>
              <w:overflowPunct/>
              <w:topLinePunct w:val="0"/>
              <w:autoSpaceDE/>
              <w:autoSpaceDN/>
              <w:bidi w:val="0"/>
              <w:adjustRightInd/>
              <w:snapToGrid/>
              <w:ind w:left="0" w:right="0"/>
              <w:jc w:val="center"/>
              <w:textAlignment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400</w:t>
            </w:r>
          </w:p>
        </w:tc>
        <w:tc>
          <w:tcPr>
            <w:tcW w:w="1192" w:type="dxa"/>
            <w:tcBorders>
              <w:left w:val="single" w:color="auto" w:sz="6" w:space="0"/>
            </w:tcBorders>
            <w:vAlign w:val="center"/>
          </w:tcPr>
          <w:p w14:paraId="6ABAED13">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1.0769</w:t>
            </w:r>
          </w:p>
        </w:tc>
        <w:tc>
          <w:tcPr>
            <w:tcW w:w="1193" w:type="dxa"/>
            <w:tcBorders>
              <w:left w:val="single" w:color="auto" w:sz="6" w:space="0"/>
            </w:tcBorders>
            <w:vAlign w:val="center"/>
          </w:tcPr>
          <w:p w14:paraId="6FD95F01">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0.10</w:t>
            </w:r>
          </w:p>
        </w:tc>
        <w:tc>
          <w:tcPr>
            <w:tcW w:w="1192" w:type="dxa"/>
            <w:tcBorders>
              <w:left w:val="single" w:color="auto" w:sz="6" w:space="0"/>
            </w:tcBorders>
            <w:vAlign w:val="center"/>
          </w:tcPr>
          <w:p w14:paraId="609F5194">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0.075991</w:t>
            </w:r>
          </w:p>
        </w:tc>
        <w:tc>
          <w:tcPr>
            <w:tcW w:w="1192" w:type="dxa"/>
            <w:tcBorders>
              <w:left w:val="single" w:color="auto" w:sz="6" w:space="0"/>
            </w:tcBorders>
            <w:vAlign w:val="center"/>
          </w:tcPr>
          <w:p w14:paraId="003D22FE">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0.00</w:t>
            </w:r>
          </w:p>
        </w:tc>
        <w:tc>
          <w:tcPr>
            <w:tcW w:w="1192" w:type="dxa"/>
            <w:tcBorders>
              <w:left w:val="single" w:color="auto" w:sz="6" w:space="0"/>
            </w:tcBorders>
            <w:vAlign w:val="center"/>
          </w:tcPr>
          <w:p w14:paraId="7C833FBC">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0.0365684</w:t>
            </w:r>
          </w:p>
        </w:tc>
        <w:tc>
          <w:tcPr>
            <w:tcW w:w="1190" w:type="dxa"/>
            <w:tcBorders>
              <w:left w:val="single" w:color="auto" w:sz="6" w:space="0"/>
            </w:tcBorders>
            <w:vAlign w:val="center"/>
          </w:tcPr>
          <w:p w14:paraId="258C39A3">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0.00</w:t>
            </w:r>
          </w:p>
        </w:tc>
      </w:tr>
      <w:tr w14:paraId="5F8F15E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353" w:type="dxa"/>
            <w:vAlign w:val="center"/>
          </w:tcPr>
          <w:p w14:paraId="7E9AE178">
            <w:pPr>
              <w:keepNext w:val="0"/>
              <w:keepLines w:val="0"/>
              <w:pageBreakBefore w:val="0"/>
              <w:widowControl/>
              <w:kinsoku/>
              <w:wordWrap/>
              <w:overflowPunct/>
              <w:topLinePunct w:val="0"/>
              <w:autoSpaceDE/>
              <w:autoSpaceDN/>
              <w:bidi w:val="0"/>
              <w:adjustRightInd/>
              <w:snapToGrid/>
              <w:ind w:left="0" w:right="0"/>
              <w:jc w:val="center"/>
              <w:textAlignment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500</w:t>
            </w:r>
          </w:p>
        </w:tc>
        <w:tc>
          <w:tcPr>
            <w:tcW w:w="1192" w:type="dxa"/>
            <w:tcBorders>
              <w:left w:val="single" w:color="auto" w:sz="6" w:space="0"/>
            </w:tcBorders>
            <w:vAlign w:val="center"/>
          </w:tcPr>
          <w:p w14:paraId="27506E0F">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1.165</w:t>
            </w:r>
          </w:p>
        </w:tc>
        <w:tc>
          <w:tcPr>
            <w:tcW w:w="1193" w:type="dxa"/>
            <w:tcBorders>
              <w:left w:val="single" w:color="auto" w:sz="6" w:space="0"/>
            </w:tcBorders>
            <w:vAlign w:val="center"/>
          </w:tcPr>
          <w:p w14:paraId="4B6A84D7">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0.10</w:t>
            </w:r>
          </w:p>
        </w:tc>
        <w:tc>
          <w:tcPr>
            <w:tcW w:w="1192" w:type="dxa"/>
            <w:tcBorders>
              <w:left w:val="single" w:color="auto" w:sz="6" w:space="0"/>
            </w:tcBorders>
            <w:vAlign w:val="center"/>
          </w:tcPr>
          <w:p w14:paraId="3291FE47">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0.066288</w:t>
            </w:r>
          </w:p>
        </w:tc>
        <w:tc>
          <w:tcPr>
            <w:tcW w:w="1192" w:type="dxa"/>
            <w:tcBorders>
              <w:left w:val="single" w:color="auto" w:sz="6" w:space="0"/>
            </w:tcBorders>
            <w:vAlign w:val="center"/>
          </w:tcPr>
          <w:p w14:paraId="20E1EA19">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0.00</w:t>
            </w:r>
          </w:p>
        </w:tc>
        <w:tc>
          <w:tcPr>
            <w:tcW w:w="1192" w:type="dxa"/>
            <w:tcBorders>
              <w:left w:val="single" w:color="auto" w:sz="6" w:space="0"/>
            </w:tcBorders>
            <w:vAlign w:val="center"/>
          </w:tcPr>
          <w:p w14:paraId="46947569">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0.0318992</w:t>
            </w:r>
          </w:p>
        </w:tc>
        <w:tc>
          <w:tcPr>
            <w:tcW w:w="1190" w:type="dxa"/>
            <w:tcBorders>
              <w:left w:val="single" w:color="auto" w:sz="6" w:space="0"/>
            </w:tcBorders>
            <w:vAlign w:val="center"/>
          </w:tcPr>
          <w:p w14:paraId="24F41B88">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0.00</w:t>
            </w:r>
          </w:p>
        </w:tc>
      </w:tr>
      <w:tr w14:paraId="5A9CBC2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353" w:type="dxa"/>
            <w:vAlign w:val="center"/>
          </w:tcPr>
          <w:p w14:paraId="33EC6BB7">
            <w:pPr>
              <w:keepNext w:val="0"/>
              <w:keepLines w:val="0"/>
              <w:pageBreakBefore w:val="0"/>
              <w:widowControl/>
              <w:kinsoku/>
              <w:wordWrap/>
              <w:overflowPunct/>
              <w:topLinePunct w:val="0"/>
              <w:autoSpaceDE/>
              <w:autoSpaceDN/>
              <w:bidi w:val="0"/>
              <w:adjustRightInd/>
              <w:snapToGrid/>
              <w:ind w:left="0" w:right="0"/>
              <w:jc w:val="center"/>
              <w:textAlignment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600</w:t>
            </w:r>
          </w:p>
        </w:tc>
        <w:tc>
          <w:tcPr>
            <w:tcW w:w="1192" w:type="dxa"/>
            <w:tcBorders>
              <w:left w:val="single" w:color="auto" w:sz="6" w:space="0"/>
            </w:tcBorders>
            <w:vAlign w:val="center"/>
          </w:tcPr>
          <w:p w14:paraId="3DB91385">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1.3697</w:t>
            </w:r>
          </w:p>
        </w:tc>
        <w:tc>
          <w:tcPr>
            <w:tcW w:w="1193" w:type="dxa"/>
            <w:tcBorders>
              <w:left w:val="single" w:color="auto" w:sz="6" w:space="0"/>
            </w:tcBorders>
            <w:vAlign w:val="center"/>
          </w:tcPr>
          <w:p w14:paraId="37787EE0">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0.10</w:t>
            </w:r>
          </w:p>
        </w:tc>
        <w:tc>
          <w:tcPr>
            <w:tcW w:w="1192" w:type="dxa"/>
            <w:tcBorders>
              <w:left w:val="single" w:color="auto" w:sz="6" w:space="0"/>
            </w:tcBorders>
            <w:vAlign w:val="center"/>
          </w:tcPr>
          <w:p w14:paraId="0E9FCE55">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0.057809</w:t>
            </w:r>
          </w:p>
        </w:tc>
        <w:tc>
          <w:tcPr>
            <w:tcW w:w="1192" w:type="dxa"/>
            <w:tcBorders>
              <w:left w:val="single" w:color="auto" w:sz="6" w:space="0"/>
            </w:tcBorders>
            <w:vAlign w:val="center"/>
          </w:tcPr>
          <w:p w14:paraId="4F9E73B2">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0.00</w:t>
            </w:r>
          </w:p>
        </w:tc>
        <w:tc>
          <w:tcPr>
            <w:tcW w:w="1192" w:type="dxa"/>
            <w:tcBorders>
              <w:left w:val="single" w:color="auto" w:sz="6" w:space="0"/>
            </w:tcBorders>
            <w:vAlign w:val="center"/>
          </w:tcPr>
          <w:p w14:paraId="63E6FB83">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0.0278189</w:t>
            </w:r>
          </w:p>
        </w:tc>
        <w:tc>
          <w:tcPr>
            <w:tcW w:w="1190" w:type="dxa"/>
            <w:tcBorders>
              <w:left w:val="single" w:color="auto" w:sz="6" w:space="0"/>
            </w:tcBorders>
            <w:vAlign w:val="center"/>
          </w:tcPr>
          <w:p w14:paraId="497855AF">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0.00</w:t>
            </w:r>
          </w:p>
        </w:tc>
      </w:tr>
      <w:tr w14:paraId="7CA6432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353" w:type="dxa"/>
            <w:vAlign w:val="center"/>
          </w:tcPr>
          <w:p w14:paraId="54EB60A7">
            <w:pPr>
              <w:keepNext w:val="0"/>
              <w:keepLines w:val="0"/>
              <w:pageBreakBefore w:val="0"/>
              <w:widowControl/>
              <w:kinsoku/>
              <w:wordWrap/>
              <w:overflowPunct/>
              <w:topLinePunct w:val="0"/>
              <w:autoSpaceDE/>
              <w:autoSpaceDN/>
              <w:bidi w:val="0"/>
              <w:adjustRightInd/>
              <w:snapToGrid/>
              <w:ind w:left="0" w:right="0"/>
              <w:jc w:val="center"/>
              <w:textAlignment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700</w:t>
            </w:r>
          </w:p>
        </w:tc>
        <w:tc>
          <w:tcPr>
            <w:tcW w:w="1192" w:type="dxa"/>
            <w:tcBorders>
              <w:left w:val="single" w:color="auto" w:sz="6" w:space="0"/>
            </w:tcBorders>
            <w:vAlign w:val="center"/>
          </w:tcPr>
          <w:p w14:paraId="5B64E310">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1.527</w:t>
            </w:r>
          </w:p>
        </w:tc>
        <w:tc>
          <w:tcPr>
            <w:tcW w:w="1193" w:type="dxa"/>
            <w:tcBorders>
              <w:left w:val="single" w:color="auto" w:sz="6" w:space="0"/>
            </w:tcBorders>
            <w:vAlign w:val="center"/>
          </w:tcPr>
          <w:p w14:paraId="25F405A6">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0.10</w:t>
            </w:r>
          </w:p>
        </w:tc>
        <w:tc>
          <w:tcPr>
            <w:tcW w:w="1192" w:type="dxa"/>
            <w:tcBorders>
              <w:left w:val="single" w:color="auto" w:sz="6" w:space="0"/>
            </w:tcBorders>
            <w:vAlign w:val="center"/>
          </w:tcPr>
          <w:p w14:paraId="1090B548">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0.051187</w:t>
            </w:r>
          </w:p>
        </w:tc>
        <w:tc>
          <w:tcPr>
            <w:tcW w:w="1192" w:type="dxa"/>
            <w:tcBorders>
              <w:left w:val="single" w:color="auto" w:sz="6" w:space="0"/>
            </w:tcBorders>
            <w:vAlign w:val="center"/>
          </w:tcPr>
          <w:p w14:paraId="19493A17">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0.00</w:t>
            </w:r>
          </w:p>
        </w:tc>
        <w:tc>
          <w:tcPr>
            <w:tcW w:w="1192" w:type="dxa"/>
            <w:tcBorders>
              <w:left w:val="single" w:color="auto" w:sz="6" w:space="0"/>
            </w:tcBorders>
            <w:vAlign w:val="center"/>
          </w:tcPr>
          <w:p w14:paraId="64232C23">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0.0246322</w:t>
            </w:r>
          </w:p>
        </w:tc>
        <w:tc>
          <w:tcPr>
            <w:tcW w:w="1190" w:type="dxa"/>
            <w:tcBorders>
              <w:left w:val="single" w:color="auto" w:sz="6" w:space="0"/>
            </w:tcBorders>
            <w:vAlign w:val="center"/>
          </w:tcPr>
          <w:p w14:paraId="332ABBA8">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0.00</w:t>
            </w:r>
          </w:p>
        </w:tc>
      </w:tr>
      <w:tr w14:paraId="745C34E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353" w:type="dxa"/>
            <w:vAlign w:val="center"/>
          </w:tcPr>
          <w:p w14:paraId="72F85A20">
            <w:pPr>
              <w:keepNext w:val="0"/>
              <w:keepLines w:val="0"/>
              <w:pageBreakBefore w:val="0"/>
              <w:widowControl/>
              <w:kinsoku/>
              <w:wordWrap/>
              <w:overflowPunct/>
              <w:topLinePunct w:val="0"/>
              <w:autoSpaceDE/>
              <w:autoSpaceDN/>
              <w:bidi w:val="0"/>
              <w:adjustRightInd/>
              <w:snapToGrid/>
              <w:ind w:left="0" w:right="0"/>
              <w:jc w:val="center"/>
              <w:textAlignment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800</w:t>
            </w:r>
          </w:p>
        </w:tc>
        <w:tc>
          <w:tcPr>
            <w:tcW w:w="1192" w:type="dxa"/>
            <w:tcBorders>
              <w:left w:val="single" w:color="auto" w:sz="6" w:space="0"/>
            </w:tcBorders>
            <w:vAlign w:val="center"/>
          </w:tcPr>
          <w:p w14:paraId="6D8F5A1B">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1.4903</w:t>
            </w:r>
          </w:p>
        </w:tc>
        <w:tc>
          <w:tcPr>
            <w:tcW w:w="1193" w:type="dxa"/>
            <w:tcBorders>
              <w:left w:val="single" w:color="auto" w:sz="6" w:space="0"/>
            </w:tcBorders>
            <w:vAlign w:val="center"/>
          </w:tcPr>
          <w:p w14:paraId="06989E22">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0.10</w:t>
            </w:r>
          </w:p>
        </w:tc>
        <w:tc>
          <w:tcPr>
            <w:tcW w:w="1192" w:type="dxa"/>
            <w:tcBorders>
              <w:left w:val="single" w:color="auto" w:sz="6" w:space="0"/>
            </w:tcBorders>
            <w:vAlign w:val="center"/>
          </w:tcPr>
          <w:p w14:paraId="69A855AB">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0.045463</w:t>
            </w:r>
          </w:p>
        </w:tc>
        <w:tc>
          <w:tcPr>
            <w:tcW w:w="1192" w:type="dxa"/>
            <w:tcBorders>
              <w:left w:val="single" w:color="auto" w:sz="6" w:space="0"/>
            </w:tcBorders>
            <w:vAlign w:val="center"/>
          </w:tcPr>
          <w:p w14:paraId="7573A6BA">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0.00</w:t>
            </w:r>
          </w:p>
        </w:tc>
        <w:tc>
          <w:tcPr>
            <w:tcW w:w="1192" w:type="dxa"/>
            <w:tcBorders>
              <w:left w:val="single" w:color="auto" w:sz="6" w:space="0"/>
            </w:tcBorders>
            <w:vAlign w:val="center"/>
          </w:tcPr>
          <w:p w14:paraId="4E9BC1B6">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0.0218777</w:t>
            </w:r>
          </w:p>
        </w:tc>
        <w:tc>
          <w:tcPr>
            <w:tcW w:w="1190" w:type="dxa"/>
            <w:tcBorders>
              <w:left w:val="single" w:color="auto" w:sz="6" w:space="0"/>
            </w:tcBorders>
            <w:vAlign w:val="center"/>
          </w:tcPr>
          <w:p w14:paraId="49D7D931">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0.00</w:t>
            </w:r>
          </w:p>
        </w:tc>
      </w:tr>
      <w:tr w14:paraId="6893513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353" w:type="dxa"/>
            <w:vAlign w:val="center"/>
          </w:tcPr>
          <w:p w14:paraId="30186570">
            <w:pPr>
              <w:keepNext w:val="0"/>
              <w:keepLines w:val="0"/>
              <w:pageBreakBefore w:val="0"/>
              <w:widowControl/>
              <w:kinsoku/>
              <w:wordWrap/>
              <w:overflowPunct/>
              <w:topLinePunct w:val="0"/>
              <w:autoSpaceDE/>
              <w:autoSpaceDN/>
              <w:bidi w:val="0"/>
              <w:adjustRightInd/>
              <w:snapToGrid/>
              <w:ind w:left="0" w:right="0"/>
              <w:jc w:val="center"/>
              <w:textAlignment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900</w:t>
            </w:r>
          </w:p>
        </w:tc>
        <w:tc>
          <w:tcPr>
            <w:tcW w:w="1192" w:type="dxa"/>
            <w:tcBorders>
              <w:left w:val="single" w:color="auto" w:sz="6" w:space="0"/>
            </w:tcBorders>
            <w:vAlign w:val="center"/>
          </w:tcPr>
          <w:p w14:paraId="5D1DE5AD">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1.4161</w:t>
            </w:r>
          </w:p>
        </w:tc>
        <w:tc>
          <w:tcPr>
            <w:tcW w:w="1193" w:type="dxa"/>
            <w:tcBorders>
              <w:left w:val="single" w:color="auto" w:sz="6" w:space="0"/>
            </w:tcBorders>
            <w:vAlign w:val="center"/>
          </w:tcPr>
          <w:p w14:paraId="52AEE1BE">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0.10</w:t>
            </w:r>
          </w:p>
        </w:tc>
        <w:tc>
          <w:tcPr>
            <w:tcW w:w="1192" w:type="dxa"/>
            <w:tcBorders>
              <w:left w:val="single" w:color="auto" w:sz="6" w:space="0"/>
            </w:tcBorders>
            <w:vAlign w:val="center"/>
          </w:tcPr>
          <w:p w14:paraId="6DBAD752">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0.040592</w:t>
            </w:r>
          </w:p>
        </w:tc>
        <w:tc>
          <w:tcPr>
            <w:tcW w:w="1192" w:type="dxa"/>
            <w:tcBorders>
              <w:left w:val="single" w:color="auto" w:sz="6" w:space="0"/>
            </w:tcBorders>
            <w:vAlign w:val="center"/>
          </w:tcPr>
          <w:p w14:paraId="7125B81B">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0.00</w:t>
            </w:r>
          </w:p>
        </w:tc>
        <w:tc>
          <w:tcPr>
            <w:tcW w:w="1192" w:type="dxa"/>
            <w:tcBorders>
              <w:left w:val="single" w:color="auto" w:sz="6" w:space="0"/>
            </w:tcBorders>
            <w:vAlign w:val="center"/>
          </w:tcPr>
          <w:p w14:paraId="3C65C95F">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0.0195337</w:t>
            </w:r>
          </w:p>
        </w:tc>
        <w:tc>
          <w:tcPr>
            <w:tcW w:w="1190" w:type="dxa"/>
            <w:tcBorders>
              <w:left w:val="single" w:color="auto" w:sz="6" w:space="0"/>
            </w:tcBorders>
            <w:vAlign w:val="center"/>
          </w:tcPr>
          <w:p w14:paraId="2C0A4167">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0.00</w:t>
            </w:r>
          </w:p>
        </w:tc>
      </w:tr>
      <w:tr w14:paraId="23F46B6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353" w:type="dxa"/>
            <w:vAlign w:val="center"/>
          </w:tcPr>
          <w:p w14:paraId="2E786CB1">
            <w:pPr>
              <w:keepNext w:val="0"/>
              <w:keepLines w:val="0"/>
              <w:pageBreakBefore w:val="0"/>
              <w:widowControl/>
              <w:kinsoku/>
              <w:wordWrap/>
              <w:overflowPunct/>
              <w:topLinePunct w:val="0"/>
              <w:autoSpaceDE/>
              <w:autoSpaceDN/>
              <w:bidi w:val="0"/>
              <w:adjustRightInd/>
              <w:snapToGrid/>
              <w:ind w:left="0" w:right="0"/>
              <w:jc w:val="center"/>
              <w:textAlignment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1000</w:t>
            </w:r>
          </w:p>
        </w:tc>
        <w:tc>
          <w:tcPr>
            <w:tcW w:w="1192" w:type="dxa"/>
            <w:tcBorders>
              <w:left w:val="single" w:color="auto" w:sz="6" w:space="0"/>
            </w:tcBorders>
            <w:vAlign w:val="center"/>
          </w:tcPr>
          <w:p w14:paraId="304E3516">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1.3352</w:t>
            </w:r>
          </w:p>
        </w:tc>
        <w:tc>
          <w:tcPr>
            <w:tcW w:w="1193" w:type="dxa"/>
            <w:tcBorders>
              <w:left w:val="single" w:color="auto" w:sz="6" w:space="0"/>
            </w:tcBorders>
            <w:vAlign w:val="center"/>
          </w:tcPr>
          <w:p w14:paraId="206C6ED1">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0.10</w:t>
            </w:r>
          </w:p>
        </w:tc>
        <w:tc>
          <w:tcPr>
            <w:tcW w:w="1192" w:type="dxa"/>
            <w:tcBorders>
              <w:left w:val="single" w:color="auto" w:sz="6" w:space="0"/>
            </w:tcBorders>
            <w:vAlign w:val="center"/>
          </w:tcPr>
          <w:p w14:paraId="087C396D">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0.036462</w:t>
            </w:r>
          </w:p>
        </w:tc>
        <w:tc>
          <w:tcPr>
            <w:tcW w:w="1192" w:type="dxa"/>
            <w:tcBorders>
              <w:left w:val="single" w:color="auto" w:sz="6" w:space="0"/>
            </w:tcBorders>
            <w:vAlign w:val="center"/>
          </w:tcPr>
          <w:p w14:paraId="1311C6CD">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0.00</w:t>
            </w:r>
          </w:p>
        </w:tc>
        <w:tc>
          <w:tcPr>
            <w:tcW w:w="1192" w:type="dxa"/>
            <w:tcBorders>
              <w:left w:val="single" w:color="auto" w:sz="6" w:space="0"/>
            </w:tcBorders>
            <w:vAlign w:val="center"/>
          </w:tcPr>
          <w:p w14:paraId="0D453657">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0.0175463</w:t>
            </w:r>
          </w:p>
        </w:tc>
        <w:tc>
          <w:tcPr>
            <w:tcW w:w="1190" w:type="dxa"/>
            <w:tcBorders>
              <w:left w:val="single" w:color="auto" w:sz="6" w:space="0"/>
            </w:tcBorders>
            <w:vAlign w:val="center"/>
          </w:tcPr>
          <w:p w14:paraId="0DC754D0">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0.00</w:t>
            </w:r>
          </w:p>
        </w:tc>
      </w:tr>
      <w:tr w14:paraId="6E5F8C5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353" w:type="dxa"/>
            <w:vAlign w:val="center"/>
          </w:tcPr>
          <w:p w14:paraId="458B31D4">
            <w:pPr>
              <w:keepNext w:val="0"/>
              <w:keepLines w:val="0"/>
              <w:pageBreakBefore w:val="0"/>
              <w:widowControl/>
              <w:kinsoku/>
              <w:wordWrap/>
              <w:overflowPunct/>
              <w:topLinePunct w:val="0"/>
              <w:autoSpaceDE/>
              <w:autoSpaceDN/>
              <w:bidi w:val="0"/>
              <w:adjustRightInd/>
              <w:snapToGrid/>
              <w:ind w:left="0" w:right="0"/>
              <w:jc w:val="center"/>
              <w:textAlignment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1500</w:t>
            </w:r>
          </w:p>
        </w:tc>
        <w:tc>
          <w:tcPr>
            <w:tcW w:w="1192" w:type="dxa"/>
            <w:tcBorders>
              <w:left w:val="single" w:color="auto" w:sz="6" w:space="0"/>
            </w:tcBorders>
            <w:vAlign w:val="center"/>
          </w:tcPr>
          <w:p w14:paraId="743BA9ED">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0.99437</w:t>
            </w:r>
          </w:p>
        </w:tc>
        <w:tc>
          <w:tcPr>
            <w:tcW w:w="1193" w:type="dxa"/>
            <w:tcBorders>
              <w:left w:val="single" w:color="auto" w:sz="6" w:space="0"/>
            </w:tcBorders>
            <w:vAlign w:val="center"/>
          </w:tcPr>
          <w:p w14:paraId="65DAB5B3">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0.00</w:t>
            </w:r>
          </w:p>
        </w:tc>
        <w:tc>
          <w:tcPr>
            <w:tcW w:w="1192" w:type="dxa"/>
            <w:tcBorders>
              <w:left w:val="single" w:color="auto" w:sz="6" w:space="0"/>
            </w:tcBorders>
            <w:vAlign w:val="center"/>
          </w:tcPr>
          <w:p w14:paraId="7C694C84">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0.026258</w:t>
            </w:r>
          </w:p>
        </w:tc>
        <w:tc>
          <w:tcPr>
            <w:tcW w:w="1192" w:type="dxa"/>
            <w:tcBorders>
              <w:left w:val="single" w:color="auto" w:sz="6" w:space="0"/>
            </w:tcBorders>
            <w:vAlign w:val="center"/>
          </w:tcPr>
          <w:p w14:paraId="60A6AB79">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0.00</w:t>
            </w:r>
          </w:p>
        </w:tc>
        <w:tc>
          <w:tcPr>
            <w:tcW w:w="1192" w:type="dxa"/>
            <w:tcBorders>
              <w:left w:val="single" w:color="auto" w:sz="6" w:space="0"/>
            </w:tcBorders>
            <w:vAlign w:val="center"/>
          </w:tcPr>
          <w:p w14:paraId="0077C9C2">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0.0126359</w:t>
            </w:r>
          </w:p>
        </w:tc>
        <w:tc>
          <w:tcPr>
            <w:tcW w:w="1190" w:type="dxa"/>
            <w:tcBorders>
              <w:left w:val="single" w:color="auto" w:sz="6" w:space="0"/>
            </w:tcBorders>
            <w:vAlign w:val="center"/>
          </w:tcPr>
          <w:p w14:paraId="717E81B3">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0.00</w:t>
            </w:r>
          </w:p>
        </w:tc>
      </w:tr>
      <w:tr w14:paraId="271B649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353" w:type="dxa"/>
            <w:vAlign w:val="center"/>
          </w:tcPr>
          <w:p w14:paraId="186CD2E3">
            <w:pPr>
              <w:keepNext w:val="0"/>
              <w:keepLines w:val="0"/>
              <w:pageBreakBefore w:val="0"/>
              <w:widowControl/>
              <w:kinsoku/>
              <w:wordWrap/>
              <w:overflowPunct/>
              <w:topLinePunct w:val="0"/>
              <w:autoSpaceDE/>
              <w:autoSpaceDN/>
              <w:bidi w:val="0"/>
              <w:adjustRightInd/>
              <w:snapToGrid/>
              <w:ind w:left="0" w:right="0"/>
              <w:jc w:val="center"/>
              <w:textAlignment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2000</w:t>
            </w:r>
          </w:p>
        </w:tc>
        <w:tc>
          <w:tcPr>
            <w:tcW w:w="1192" w:type="dxa"/>
            <w:tcBorders>
              <w:left w:val="single" w:color="auto" w:sz="6" w:space="0"/>
            </w:tcBorders>
            <w:vAlign w:val="center"/>
          </w:tcPr>
          <w:p w14:paraId="7C8BEB9A">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0.791</w:t>
            </w:r>
          </w:p>
        </w:tc>
        <w:tc>
          <w:tcPr>
            <w:tcW w:w="1193" w:type="dxa"/>
            <w:tcBorders>
              <w:left w:val="single" w:color="auto" w:sz="6" w:space="0"/>
            </w:tcBorders>
            <w:vAlign w:val="center"/>
          </w:tcPr>
          <w:p w14:paraId="496D3F84">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0.00</w:t>
            </w:r>
          </w:p>
        </w:tc>
        <w:tc>
          <w:tcPr>
            <w:tcW w:w="1192" w:type="dxa"/>
            <w:tcBorders>
              <w:left w:val="single" w:color="auto" w:sz="6" w:space="0"/>
            </w:tcBorders>
            <w:vAlign w:val="center"/>
          </w:tcPr>
          <w:p w14:paraId="569962C0">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0.020838</w:t>
            </w:r>
          </w:p>
        </w:tc>
        <w:tc>
          <w:tcPr>
            <w:tcW w:w="1192" w:type="dxa"/>
            <w:tcBorders>
              <w:left w:val="single" w:color="auto" w:sz="6" w:space="0"/>
            </w:tcBorders>
            <w:vAlign w:val="center"/>
          </w:tcPr>
          <w:p w14:paraId="0DC9FD11">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0.00</w:t>
            </w:r>
          </w:p>
        </w:tc>
        <w:tc>
          <w:tcPr>
            <w:tcW w:w="1192" w:type="dxa"/>
            <w:tcBorders>
              <w:left w:val="single" w:color="auto" w:sz="6" w:space="0"/>
            </w:tcBorders>
            <w:vAlign w:val="center"/>
          </w:tcPr>
          <w:p w14:paraId="5A24C031">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0.0100277</w:t>
            </w:r>
          </w:p>
        </w:tc>
        <w:tc>
          <w:tcPr>
            <w:tcW w:w="1190" w:type="dxa"/>
            <w:tcBorders>
              <w:left w:val="single" w:color="auto" w:sz="6" w:space="0"/>
            </w:tcBorders>
            <w:vAlign w:val="center"/>
          </w:tcPr>
          <w:p w14:paraId="3F1423B3">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0.00</w:t>
            </w:r>
          </w:p>
        </w:tc>
      </w:tr>
      <w:tr w14:paraId="446A1EC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353" w:type="dxa"/>
            <w:vAlign w:val="center"/>
          </w:tcPr>
          <w:p w14:paraId="7026B9B2">
            <w:pPr>
              <w:keepNext w:val="0"/>
              <w:keepLines w:val="0"/>
              <w:pageBreakBefore w:val="0"/>
              <w:widowControl/>
              <w:kinsoku/>
              <w:wordWrap/>
              <w:overflowPunct/>
              <w:topLinePunct w:val="0"/>
              <w:autoSpaceDE/>
              <w:autoSpaceDN/>
              <w:bidi w:val="0"/>
              <w:adjustRightInd/>
              <w:snapToGrid/>
              <w:ind w:left="0" w:right="0"/>
              <w:jc w:val="center"/>
              <w:textAlignment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2500</w:t>
            </w:r>
          </w:p>
        </w:tc>
        <w:tc>
          <w:tcPr>
            <w:tcW w:w="1192" w:type="dxa"/>
            <w:tcBorders>
              <w:left w:val="single" w:color="auto" w:sz="6" w:space="0"/>
            </w:tcBorders>
            <w:vAlign w:val="center"/>
          </w:tcPr>
          <w:p w14:paraId="24C15230">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0.79231</w:t>
            </w:r>
          </w:p>
        </w:tc>
        <w:tc>
          <w:tcPr>
            <w:tcW w:w="1193" w:type="dxa"/>
            <w:tcBorders>
              <w:left w:val="single" w:color="auto" w:sz="6" w:space="0"/>
            </w:tcBorders>
            <w:vAlign w:val="center"/>
          </w:tcPr>
          <w:p w14:paraId="37C4B985">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0.00</w:t>
            </w:r>
          </w:p>
        </w:tc>
        <w:tc>
          <w:tcPr>
            <w:tcW w:w="1192" w:type="dxa"/>
            <w:tcBorders>
              <w:left w:val="single" w:color="auto" w:sz="6" w:space="0"/>
            </w:tcBorders>
            <w:vAlign w:val="center"/>
          </w:tcPr>
          <w:p w14:paraId="561AF4DB">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0.016982</w:t>
            </w:r>
          </w:p>
        </w:tc>
        <w:tc>
          <w:tcPr>
            <w:tcW w:w="1192" w:type="dxa"/>
            <w:tcBorders>
              <w:left w:val="single" w:color="auto" w:sz="6" w:space="0"/>
            </w:tcBorders>
            <w:vAlign w:val="center"/>
          </w:tcPr>
          <w:p w14:paraId="4AFED117">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0.00</w:t>
            </w:r>
          </w:p>
        </w:tc>
        <w:tc>
          <w:tcPr>
            <w:tcW w:w="1192" w:type="dxa"/>
            <w:tcBorders>
              <w:left w:val="single" w:color="auto" w:sz="6" w:space="0"/>
            </w:tcBorders>
            <w:vAlign w:val="center"/>
          </w:tcPr>
          <w:p w14:paraId="4E297550">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0.00817209</w:t>
            </w:r>
          </w:p>
        </w:tc>
        <w:tc>
          <w:tcPr>
            <w:tcW w:w="1190" w:type="dxa"/>
            <w:tcBorders>
              <w:left w:val="single" w:color="auto" w:sz="6" w:space="0"/>
            </w:tcBorders>
            <w:vAlign w:val="center"/>
          </w:tcPr>
          <w:p w14:paraId="55D2B995">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0.00</w:t>
            </w:r>
          </w:p>
        </w:tc>
      </w:tr>
      <w:tr w14:paraId="6CC5444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353" w:type="dxa"/>
            <w:vAlign w:val="center"/>
          </w:tcPr>
          <w:p w14:paraId="02EC7304">
            <w:pPr>
              <w:keepNext w:val="0"/>
              <w:keepLines w:val="0"/>
              <w:pageBreakBefore w:val="0"/>
              <w:widowControl/>
              <w:kinsoku/>
              <w:wordWrap/>
              <w:overflowPunct/>
              <w:topLinePunct w:val="0"/>
              <w:autoSpaceDE/>
              <w:autoSpaceDN/>
              <w:bidi w:val="0"/>
              <w:adjustRightInd/>
              <w:snapToGrid/>
              <w:ind w:left="0" w:right="0"/>
              <w:jc w:val="center"/>
              <w:rPr>
                <w:rFonts w:ascii="Times New Roman" w:hAnsi="Times New Roman"/>
                <w:color w:val="auto"/>
                <w:sz w:val="21"/>
                <w:szCs w:val="21"/>
                <w:highlight w:val="none"/>
              </w:rPr>
            </w:pPr>
            <w:r>
              <w:rPr>
                <w:rFonts w:ascii="Times New Roman" w:hAnsi="Times New Roman"/>
                <w:color w:val="auto"/>
                <w:sz w:val="21"/>
                <w:szCs w:val="21"/>
                <w:highlight w:val="none"/>
              </w:rPr>
              <w:t>下风向最大浓度</w:t>
            </w:r>
          </w:p>
        </w:tc>
        <w:tc>
          <w:tcPr>
            <w:tcW w:w="2385" w:type="dxa"/>
            <w:gridSpan w:val="2"/>
            <w:tcBorders>
              <w:left w:val="single" w:color="auto" w:sz="6" w:space="0"/>
            </w:tcBorders>
            <w:vAlign w:val="center"/>
          </w:tcPr>
          <w:p w14:paraId="1BB401AA">
            <w:pPr>
              <w:keepNext w:val="0"/>
              <w:keepLines w:val="0"/>
              <w:pageBreakBefore w:val="0"/>
              <w:widowControl/>
              <w:kinsoku/>
              <w:wordWrap/>
              <w:overflowPunct/>
              <w:topLinePunct w:val="0"/>
              <w:autoSpaceDE/>
              <w:autoSpaceDN/>
              <w:bidi w:val="0"/>
              <w:adjustRightInd/>
              <w:snapToGrid/>
              <w:ind w:left="0" w:right="0"/>
              <w:jc w:val="center"/>
              <w:textAlignment w:val="center"/>
              <w:rPr>
                <w:rFonts w:hint="default" w:ascii="Times New Roman" w:hAnsi="Times New Roman" w:eastAsia="宋体"/>
                <w:color w:val="auto"/>
                <w:sz w:val="21"/>
                <w:szCs w:val="21"/>
                <w:highlight w:val="none"/>
                <w:lang w:val="en-US" w:eastAsia="zh-CN"/>
              </w:rPr>
            </w:pPr>
            <w:r>
              <w:rPr>
                <w:rFonts w:hint="eastAsia" w:ascii="Times New Roman" w:hAnsi="Times New Roman"/>
                <w:color w:val="auto"/>
                <w:sz w:val="21"/>
                <w:szCs w:val="21"/>
                <w:highlight w:val="none"/>
                <w:lang w:val="en-US" w:eastAsia="zh-CN"/>
              </w:rPr>
              <w:t>3.6573</w:t>
            </w:r>
          </w:p>
        </w:tc>
        <w:tc>
          <w:tcPr>
            <w:tcW w:w="2384" w:type="dxa"/>
            <w:gridSpan w:val="2"/>
            <w:tcBorders>
              <w:left w:val="single" w:color="auto" w:sz="6" w:space="0"/>
            </w:tcBorders>
            <w:vAlign w:val="center"/>
          </w:tcPr>
          <w:p w14:paraId="4B3E98A3">
            <w:pPr>
              <w:keepNext w:val="0"/>
              <w:keepLines w:val="0"/>
              <w:pageBreakBefore w:val="0"/>
              <w:widowControl/>
              <w:kinsoku/>
              <w:wordWrap/>
              <w:overflowPunct/>
              <w:topLinePunct w:val="0"/>
              <w:autoSpaceDE/>
              <w:autoSpaceDN/>
              <w:bidi w:val="0"/>
              <w:adjustRightInd/>
              <w:snapToGrid/>
              <w:ind w:left="0" w:right="0"/>
              <w:jc w:val="center"/>
              <w:textAlignment w:val="center"/>
              <w:rPr>
                <w:rFonts w:hint="default" w:ascii="Times New Roman" w:hAnsi="Times New Roman" w:eastAsia="宋体"/>
                <w:color w:val="auto"/>
                <w:sz w:val="21"/>
                <w:szCs w:val="21"/>
                <w:highlight w:val="none"/>
                <w:lang w:val="en-US" w:eastAsia="zh-CN"/>
              </w:rPr>
            </w:pPr>
            <w:r>
              <w:rPr>
                <w:rFonts w:hint="eastAsia" w:ascii="Times New Roman" w:hAnsi="Times New Roman"/>
                <w:color w:val="auto"/>
                <w:sz w:val="21"/>
                <w:szCs w:val="21"/>
                <w:highlight w:val="none"/>
                <w:lang w:val="en-US" w:eastAsia="zh-CN"/>
              </w:rPr>
              <w:t>0.14741</w:t>
            </w:r>
          </w:p>
        </w:tc>
        <w:tc>
          <w:tcPr>
            <w:tcW w:w="2382" w:type="dxa"/>
            <w:gridSpan w:val="2"/>
            <w:tcBorders>
              <w:left w:val="single" w:color="auto" w:sz="6" w:space="0"/>
            </w:tcBorders>
            <w:vAlign w:val="center"/>
          </w:tcPr>
          <w:p w14:paraId="0F64F949">
            <w:pPr>
              <w:keepNext w:val="0"/>
              <w:keepLines w:val="0"/>
              <w:pageBreakBefore w:val="0"/>
              <w:widowControl/>
              <w:kinsoku/>
              <w:wordWrap/>
              <w:overflowPunct/>
              <w:topLinePunct w:val="0"/>
              <w:autoSpaceDE/>
              <w:autoSpaceDN/>
              <w:bidi w:val="0"/>
              <w:adjustRightInd/>
              <w:snapToGrid/>
              <w:ind w:left="0" w:right="0"/>
              <w:jc w:val="center"/>
              <w:textAlignment w:val="center"/>
              <w:rPr>
                <w:rFonts w:hint="default" w:ascii="Times New Roman" w:hAnsi="Times New Roman" w:cs="Times New Roman"/>
                <w:color w:val="auto"/>
                <w:position w:val="1"/>
                <w:sz w:val="21"/>
                <w:szCs w:val="21"/>
                <w:highlight w:val="none"/>
                <w:lang w:val="en-US" w:bidi="zh-CN"/>
              </w:rPr>
            </w:pPr>
            <w:r>
              <w:rPr>
                <w:rFonts w:hint="eastAsia" w:ascii="Times New Roman" w:hAnsi="Times New Roman" w:cs="Times New Roman"/>
                <w:color w:val="auto"/>
                <w:position w:val="1"/>
                <w:sz w:val="21"/>
                <w:szCs w:val="21"/>
                <w:highlight w:val="none"/>
                <w:lang w:val="en-US" w:bidi="zh-CN"/>
              </w:rPr>
              <w:t>0.0709367</w:t>
            </w:r>
          </w:p>
        </w:tc>
      </w:tr>
      <w:tr w14:paraId="20A0ECD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353" w:type="dxa"/>
            <w:vAlign w:val="center"/>
          </w:tcPr>
          <w:p w14:paraId="539562C7">
            <w:pPr>
              <w:keepNext w:val="0"/>
              <w:keepLines w:val="0"/>
              <w:pageBreakBefore w:val="0"/>
              <w:widowControl/>
              <w:kinsoku/>
              <w:wordWrap/>
              <w:overflowPunct/>
              <w:topLinePunct w:val="0"/>
              <w:autoSpaceDE/>
              <w:autoSpaceDN/>
              <w:bidi w:val="0"/>
              <w:adjustRightInd/>
              <w:snapToGrid/>
              <w:ind w:left="0" w:right="0"/>
              <w:jc w:val="center"/>
              <w:rPr>
                <w:rFonts w:ascii="Times New Roman" w:hAnsi="Times New Roman"/>
                <w:color w:val="auto"/>
                <w:sz w:val="21"/>
                <w:szCs w:val="21"/>
                <w:highlight w:val="none"/>
              </w:rPr>
            </w:pPr>
            <w:r>
              <w:rPr>
                <w:rFonts w:ascii="Times New Roman" w:hAnsi="Times New Roman"/>
                <w:color w:val="auto"/>
                <w:sz w:val="21"/>
                <w:szCs w:val="21"/>
                <w:highlight w:val="none"/>
              </w:rPr>
              <w:t>最大浓度出现距离（m）</w:t>
            </w:r>
          </w:p>
        </w:tc>
        <w:tc>
          <w:tcPr>
            <w:tcW w:w="2385" w:type="dxa"/>
            <w:gridSpan w:val="2"/>
            <w:tcBorders>
              <w:left w:val="single" w:color="auto" w:sz="6" w:space="0"/>
            </w:tcBorders>
            <w:vAlign w:val="center"/>
          </w:tcPr>
          <w:p w14:paraId="31D38003">
            <w:pPr>
              <w:keepNext w:val="0"/>
              <w:keepLines w:val="0"/>
              <w:pageBreakBefore w:val="0"/>
              <w:widowControl/>
              <w:kinsoku/>
              <w:wordWrap/>
              <w:overflowPunct/>
              <w:topLinePunct w:val="0"/>
              <w:autoSpaceDE/>
              <w:autoSpaceDN/>
              <w:bidi w:val="0"/>
              <w:adjustRightInd/>
              <w:snapToGrid/>
              <w:ind w:left="0" w:right="0"/>
              <w:jc w:val="center"/>
              <w:rPr>
                <w:rFonts w:hint="default" w:ascii="Times New Roman" w:hAnsi="Times New Roman" w:eastAsia="宋体"/>
                <w:color w:val="auto"/>
                <w:sz w:val="21"/>
                <w:szCs w:val="21"/>
                <w:highlight w:val="none"/>
                <w:lang w:val="en-US" w:eastAsia="zh-CN"/>
              </w:rPr>
            </w:pPr>
            <w:r>
              <w:rPr>
                <w:rFonts w:hint="eastAsia" w:ascii="Times New Roman" w:hAnsi="Times New Roman"/>
                <w:color w:val="auto"/>
                <w:sz w:val="21"/>
                <w:szCs w:val="21"/>
                <w:highlight w:val="none"/>
                <w:lang w:val="en-US" w:eastAsia="zh-CN"/>
              </w:rPr>
              <w:t>113</w:t>
            </w:r>
          </w:p>
        </w:tc>
        <w:tc>
          <w:tcPr>
            <w:tcW w:w="2384" w:type="dxa"/>
            <w:gridSpan w:val="2"/>
            <w:tcBorders>
              <w:left w:val="single" w:color="auto" w:sz="6" w:space="0"/>
            </w:tcBorders>
            <w:vAlign w:val="center"/>
          </w:tcPr>
          <w:p w14:paraId="1228BA2F">
            <w:pPr>
              <w:keepNext w:val="0"/>
              <w:keepLines w:val="0"/>
              <w:pageBreakBefore w:val="0"/>
              <w:widowControl/>
              <w:kinsoku/>
              <w:wordWrap/>
              <w:overflowPunct/>
              <w:topLinePunct w:val="0"/>
              <w:autoSpaceDE/>
              <w:autoSpaceDN/>
              <w:bidi w:val="0"/>
              <w:adjustRightInd/>
              <w:snapToGrid/>
              <w:ind w:left="0" w:right="0"/>
              <w:jc w:val="center"/>
              <w:rPr>
                <w:rFonts w:hint="default" w:ascii="Times New Roman" w:hAnsi="Times New Roman" w:eastAsia="宋体"/>
                <w:color w:val="auto"/>
                <w:sz w:val="21"/>
                <w:szCs w:val="21"/>
                <w:highlight w:val="none"/>
                <w:lang w:val="en-US" w:eastAsia="zh-CN"/>
              </w:rPr>
            </w:pPr>
            <w:r>
              <w:rPr>
                <w:rFonts w:hint="eastAsia" w:ascii="Times New Roman" w:hAnsi="Times New Roman"/>
                <w:color w:val="auto"/>
                <w:sz w:val="21"/>
                <w:szCs w:val="21"/>
                <w:highlight w:val="none"/>
                <w:lang w:val="en-US" w:eastAsia="zh-CN"/>
              </w:rPr>
              <w:t>70</w:t>
            </w:r>
          </w:p>
        </w:tc>
        <w:tc>
          <w:tcPr>
            <w:tcW w:w="2382" w:type="dxa"/>
            <w:gridSpan w:val="2"/>
            <w:tcBorders>
              <w:left w:val="single" w:color="auto" w:sz="6" w:space="0"/>
            </w:tcBorders>
            <w:vAlign w:val="center"/>
          </w:tcPr>
          <w:p w14:paraId="54D9A476">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color w:val="auto"/>
                <w:sz w:val="21"/>
                <w:szCs w:val="21"/>
                <w:highlight w:val="none"/>
              </w:rPr>
            </w:pPr>
            <w:r>
              <w:rPr>
                <w:rFonts w:hint="eastAsia" w:ascii="Times New Roman" w:hAnsi="Times New Roman"/>
                <w:color w:val="auto"/>
                <w:sz w:val="21"/>
                <w:szCs w:val="21"/>
                <w:highlight w:val="none"/>
                <w:lang w:val="en-US" w:eastAsia="zh-CN"/>
              </w:rPr>
              <w:t>70</w:t>
            </w:r>
          </w:p>
        </w:tc>
      </w:tr>
      <w:tr w14:paraId="59BD106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353" w:type="dxa"/>
            <w:vAlign w:val="center"/>
          </w:tcPr>
          <w:p w14:paraId="00737274">
            <w:pPr>
              <w:keepNext w:val="0"/>
              <w:keepLines w:val="0"/>
              <w:pageBreakBefore w:val="0"/>
              <w:widowControl/>
              <w:kinsoku/>
              <w:wordWrap/>
              <w:overflowPunct/>
              <w:topLinePunct w:val="0"/>
              <w:autoSpaceDE/>
              <w:autoSpaceDN/>
              <w:bidi w:val="0"/>
              <w:adjustRightInd/>
              <w:snapToGrid/>
              <w:ind w:left="0" w:right="0"/>
              <w:jc w:val="center"/>
              <w:rPr>
                <w:rFonts w:ascii="Times New Roman" w:hAnsi="Times New Roman"/>
                <w:color w:val="auto"/>
                <w:sz w:val="21"/>
                <w:szCs w:val="21"/>
                <w:highlight w:val="none"/>
              </w:rPr>
            </w:pPr>
            <w:r>
              <w:rPr>
                <w:rFonts w:ascii="Times New Roman" w:hAnsi="Times New Roman"/>
                <w:color w:val="auto"/>
                <w:sz w:val="21"/>
                <w:szCs w:val="21"/>
                <w:highlight w:val="none"/>
              </w:rPr>
              <w:t>浓度占标准10%距源最远距离D10%</w:t>
            </w:r>
          </w:p>
        </w:tc>
        <w:tc>
          <w:tcPr>
            <w:tcW w:w="2385" w:type="dxa"/>
            <w:gridSpan w:val="2"/>
            <w:tcBorders>
              <w:left w:val="single" w:color="auto" w:sz="6" w:space="0"/>
            </w:tcBorders>
            <w:vAlign w:val="center"/>
          </w:tcPr>
          <w:p w14:paraId="1F0C3EE7">
            <w:pPr>
              <w:keepNext w:val="0"/>
              <w:keepLines w:val="0"/>
              <w:pageBreakBefore w:val="0"/>
              <w:widowControl/>
              <w:kinsoku/>
              <w:wordWrap/>
              <w:overflowPunct/>
              <w:topLinePunct w:val="0"/>
              <w:autoSpaceDE/>
              <w:autoSpaceDN/>
              <w:bidi w:val="0"/>
              <w:adjustRightInd/>
              <w:snapToGrid/>
              <w:ind w:left="0" w:right="0"/>
              <w:jc w:val="center"/>
              <w:rPr>
                <w:rFonts w:ascii="Times New Roman" w:hAnsi="Times New Roman"/>
                <w:color w:val="auto"/>
                <w:sz w:val="21"/>
                <w:szCs w:val="21"/>
                <w:highlight w:val="none"/>
              </w:rPr>
            </w:pPr>
            <w:r>
              <w:rPr>
                <w:rFonts w:ascii="Times New Roman" w:hAnsi="Times New Roman"/>
                <w:color w:val="auto"/>
                <w:sz w:val="21"/>
                <w:szCs w:val="21"/>
                <w:highlight w:val="none"/>
              </w:rPr>
              <w:t>Pmax＜1%</w:t>
            </w:r>
          </w:p>
        </w:tc>
        <w:tc>
          <w:tcPr>
            <w:tcW w:w="2384" w:type="dxa"/>
            <w:gridSpan w:val="2"/>
            <w:tcBorders>
              <w:left w:val="single" w:color="auto" w:sz="6" w:space="0"/>
            </w:tcBorders>
            <w:vAlign w:val="center"/>
          </w:tcPr>
          <w:p w14:paraId="2CCC2A4B">
            <w:pPr>
              <w:keepNext w:val="0"/>
              <w:keepLines w:val="0"/>
              <w:pageBreakBefore w:val="0"/>
              <w:widowControl/>
              <w:kinsoku/>
              <w:wordWrap/>
              <w:overflowPunct/>
              <w:topLinePunct w:val="0"/>
              <w:autoSpaceDE/>
              <w:autoSpaceDN/>
              <w:bidi w:val="0"/>
              <w:adjustRightInd/>
              <w:snapToGrid/>
              <w:ind w:left="0" w:right="0"/>
              <w:jc w:val="center"/>
              <w:rPr>
                <w:rFonts w:ascii="Times New Roman" w:hAnsi="Times New Roman"/>
                <w:color w:val="auto"/>
                <w:sz w:val="21"/>
                <w:szCs w:val="21"/>
                <w:highlight w:val="none"/>
              </w:rPr>
            </w:pPr>
            <w:r>
              <w:rPr>
                <w:rFonts w:ascii="Times New Roman" w:hAnsi="Times New Roman"/>
                <w:color w:val="auto"/>
                <w:sz w:val="21"/>
                <w:szCs w:val="21"/>
                <w:highlight w:val="none"/>
              </w:rPr>
              <w:t>Pmax＜1%</w:t>
            </w:r>
          </w:p>
        </w:tc>
        <w:tc>
          <w:tcPr>
            <w:tcW w:w="2382" w:type="dxa"/>
            <w:gridSpan w:val="2"/>
            <w:tcBorders>
              <w:left w:val="single" w:color="auto" w:sz="6" w:space="0"/>
            </w:tcBorders>
            <w:vAlign w:val="center"/>
          </w:tcPr>
          <w:p w14:paraId="5F6CF127">
            <w:pPr>
              <w:keepNext w:val="0"/>
              <w:keepLines w:val="0"/>
              <w:pageBreakBefore w:val="0"/>
              <w:widowControl/>
              <w:kinsoku/>
              <w:wordWrap/>
              <w:overflowPunct/>
              <w:topLinePunct w:val="0"/>
              <w:autoSpaceDE/>
              <w:autoSpaceDN/>
              <w:bidi w:val="0"/>
              <w:adjustRightInd/>
              <w:snapToGrid/>
              <w:ind w:left="0" w:right="0"/>
              <w:jc w:val="center"/>
              <w:rPr>
                <w:rFonts w:ascii="Times New Roman" w:hAnsi="Times New Roman"/>
                <w:color w:val="auto"/>
                <w:sz w:val="21"/>
                <w:szCs w:val="21"/>
                <w:highlight w:val="none"/>
              </w:rPr>
            </w:pPr>
            <w:r>
              <w:rPr>
                <w:rFonts w:ascii="Times New Roman" w:hAnsi="Times New Roman"/>
                <w:color w:val="auto"/>
                <w:sz w:val="21"/>
                <w:szCs w:val="21"/>
                <w:highlight w:val="none"/>
              </w:rPr>
              <w:t>Pmax＜1%</w:t>
            </w:r>
          </w:p>
        </w:tc>
      </w:tr>
    </w:tbl>
    <w:p w14:paraId="59F22033">
      <w:pPr>
        <w:pStyle w:val="15"/>
        <w:spacing w:line="360" w:lineRule="auto"/>
        <w:ind w:left="-105" w:right="-105" w:firstLine="482"/>
        <w:rPr>
          <w:rFonts w:eastAsia="宋体" w:cs="Times New Roman"/>
          <w:color w:val="auto"/>
          <w:kern w:val="0"/>
          <w:sz w:val="24"/>
          <w:szCs w:val="24"/>
          <w:highlight w:val="none"/>
        </w:rPr>
      </w:pPr>
      <w:r>
        <w:rPr>
          <w:rFonts w:eastAsia="宋体" w:cs="Times New Roman"/>
          <w:color w:val="auto"/>
          <w:sz w:val="24"/>
          <w:szCs w:val="18"/>
          <w:highlight w:val="none"/>
        </w:rPr>
        <w:t>表</w:t>
      </w:r>
      <w:r>
        <w:rPr>
          <w:rFonts w:eastAsia="宋体" w:cs="Times New Roman"/>
          <w:color w:val="auto"/>
          <w:sz w:val="24"/>
          <w:szCs w:val="18"/>
          <w:highlight w:val="none"/>
        </w:rPr>
        <w:fldChar w:fldCharType="begin"/>
      </w:r>
      <w:r>
        <w:rPr>
          <w:rFonts w:eastAsia="宋体" w:cs="Times New Roman"/>
          <w:color w:val="auto"/>
          <w:sz w:val="24"/>
          <w:szCs w:val="18"/>
          <w:highlight w:val="none"/>
        </w:rPr>
        <w:instrText xml:space="preserve"> STYLEREF 2 \s </w:instrText>
      </w:r>
      <w:r>
        <w:rPr>
          <w:rFonts w:eastAsia="宋体" w:cs="Times New Roman"/>
          <w:color w:val="auto"/>
          <w:sz w:val="24"/>
          <w:szCs w:val="18"/>
          <w:highlight w:val="none"/>
        </w:rPr>
        <w:fldChar w:fldCharType="separate"/>
      </w:r>
      <w:r>
        <w:rPr>
          <w:rFonts w:eastAsia="宋体" w:cs="Times New Roman"/>
          <w:color w:val="auto"/>
          <w:sz w:val="24"/>
          <w:szCs w:val="18"/>
          <w:highlight w:val="none"/>
        </w:rPr>
        <w:t>6.1</w:t>
      </w:r>
      <w:r>
        <w:rPr>
          <w:rFonts w:eastAsia="宋体" w:cs="Times New Roman"/>
          <w:color w:val="auto"/>
          <w:sz w:val="24"/>
          <w:szCs w:val="18"/>
          <w:highlight w:val="none"/>
        </w:rPr>
        <w:fldChar w:fldCharType="end"/>
      </w:r>
      <w:r>
        <w:rPr>
          <w:rFonts w:eastAsia="宋体" w:cs="Times New Roman"/>
          <w:color w:val="auto"/>
          <w:sz w:val="24"/>
          <w:szCs w:val="18"/>
          <w:highlight w:val="none"/>
        </w:rPr>
        <w:noBreakHyphen/>
      </w:r>
      <w:r>
        <w:rPr>
          <w:rFonts w:eastAsia="宋体" w:cs="Times New Roman"/>
          <w:color w:val="auto"/>
          <w:sz w:val="24"/>
          <w:szCs w:val="18"/>
          <w:highlight w:val="none"/>
        </w:rPr>
        <w:fldChar w:fldCharType="begin"/>
      </w:r>
      <w:r>
        <w:rPr>
          <w:rFonts w:eastAsia="宋体" w:cs="Times New Roman"/>
          <w:color w:val="auto"/>
          <w:sz w:val="24"/>
          <w:szCs w:val="18"/>
          <w:highlight w:val="none"/>
        </w:rPr>
        <w:instrText xml:space="preserve"> SEQ 表 \* ARABIC \s 2 </w:instrText>
      </w:r>
      <w:r>
        <w:rPr>
          <w:rFonts w:eastAsia="宋体" w:cs="Times New Roman"/>
          <w:color w:val="auto"/>
          <w:sz w:val="24"/>
          <w:szCs w:val="18"/>
          <w:highlight w:val="none"/>
        </w:rPr>
        <w:fldChar w:fldCharType="separate"/>
      </w:r>
      <w:r>
        <w:rPr>
          <w:rFonts w:eastAsia="宋体" w:cs="Times New Roman"/>
          <w:color w:val="auto"/>
          <w:sz w:val="24"/>
          <w:szCs w:val="18"/>
          <w:highlight w:val="none"/>
        </w:rPr>
        <w:t>9</w:t>
      </w:r>
      <w:r>
        <w:rPr>
          <w:rFonts w:eastAsia="宋体" w:cs="Times New Roman"/>
          <w:color w:val="auto"/>
          <w:sz w:val="24"/>
          <w:szCs w:val="18"/>
          <w:highlight w:val="none"/>
        </w:rPr>
        <w:fldChar w:fldCharType="end"/>
      </w:r>
      <w:r>
        <w:rPr>
          <w:rFonts w:eastAsia="宋体" w:cs="Times New Roman"/>
          <w:color w:val="auto"/>
          <w:sz w:val="24"/>
          <w:szCs w:val="22"/>
          <w:highlight w:val="none"/>
        </w:rPr>
        <w:t>无组织（</w:t>
      </w:r>
      <w:r>
        <w:rPr>
          <w:rFonts w:hint="eastAsia" w:eastAsia="宋体" w:cs="Times New Roman"/>
          <w:color w:val="auto"/>
          <w:sz w:val="24"/>
          <w:szCs w:val="22"/>
          <w:highlight w:val="none"/>
        </w:rPr>
        <w:t>二工场、实验楼</w:t>
      </w:r>
      <w:r>
        <w:rPr>
          <w:rFonts w:eastAsia="宋体" w:cs="Times New Roman"/>
          <w:color w:val="auto"/>
          <w:sz w:val="24"/>
          <w:szCs w:val="22"/>
          <w:highlight w:val="none"/>
        </w:rPr>
        <w:t>）排放大气污染物影响预测结果表</w:t>
      </w:r>
    </w:p>
    <w:tbl>
      <w:tblPr>
        <w:tblStyle w:val="45"/>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1328"/>
        <w:gridCol w:w="1792"/>
        <w:gridCol w:w="1800"/>
        <w:gridCol w:w="1807"/>
        <w:gridCol w:w="1777"/>
      </w:tblGrid>
      <w:tr w14:paraId="62355E2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486" w:type="dxa"/>
            <w:vMerge w:val="restart"/>
            <w:vAlign w:val="center"/>
          </w:tcPr>
          <w:p w14:paraId="392A0A54">
            <w:pPr>
              <w:keepNext w:val="0"/>
              <w:keepLines w:val="0"/>
              <w:pageBreakBefore w:val="0"/>
              <w:widowControl/>
              <w:kinsoku/>
              <w:wordWrap/>
              <w:overflowPunct/>
              <w:topLinePunct w:val="0"/>
              <w:autoSpaceDE/>
              <w:autoSpaceDN/>
              <w:bidi w:val="0"/>
              <w:adjustRightInd/>
              <w:snapToGrid/>
              <w:ind w:left="0" w:right="0"/>
              <w:jc w:val="center"/>
              <w:rPr>
                <w:rFonts w:ascii="Times New Roman" w:hAnsi="Times New Roman"/>
                <w:b/>
                <w:color w:val="auto"/>
                <w:sz w:val="21"/>
                <w:szCs w:val="21"/>
                <w:highlight w:val="none"/>
              </w:rPr>
            </w:pPr>
            <w:r>
              <w:rPr>
                <w:rFonts w:ascii="Times New Roman" w:hAnsi="Times New Roman"/>
                <w:b/>
                <w:color w:val="auto"/>
                <w:sz w:val="21"/>
                <w:szCs w:val="21"/>
                <w:highlight w:val="none"/>
              </w:rPr>
              <w:t>距源中心下风向距离（m）</w:t>
            </w:r>
          </w:p>
        </w:tc>
        <w:tc>
          <w:tcPr>
            <w:tcW w:w="4019" w:type="dxa"/>
            <w:gridSpan w:val="2"/>
            <w:tcBorders>
              <w:left w:val="single" w:color="auto" w:sz="6" w:space="0"/>
            </w:tcBorders>
            <w:vAlign w:val="center"/>
          </w:tcPr>
          <w:p w14:paraId="7264E9DC">
            <w:pPr>
              <w:keepNext w:val="0"/>
              <w:keepLines w:val="0"/>
              <w:pageBreakBefore w:val="0"/>
              <w:widowControl/>
              <w:kinsoku/>
              <w:wordWrap/>
              <w:overflowPunct/>
              <w:topLinePunct w:val="0"/>
              <w:autoSpaceDE/>
              <w:autoSpaceDN/>
              <w:bidi w:val="0"/>
              <w:adjustRightInd/>
              <w:snapToGrid/>
              <w:ind w:left="0" w:right="0"/>
              <w:jc w:val="center"/>
              <w:rPr>
                <w:rFonts w:ascii="Times New Roman" w:hAnsi="Times New Roman"/>
                <w:b/>
                <w:color w:val="auto"/>
                <w:sz w:val="21"/>
                <w:szCs w:val="21"/>
                <w:highlight w:val="none"/>
              </w:rPr>
            </w:pPr>
            <w:r>
              <w:rPr>
                <w:rFonts w:hint="eastAsia" w:ascii="Times New Roman" w:hAnsi="Times New Roman"/>
                <w:b/>
                <w:color w:val="auto"/>
                <w:sz w:val="21"/>
                <w:szCs w:val="21"/>
                <w:highlight w:val="none"/>
              </w:rPr>
              <w:t>二工场</w:t>
            </w:r>
          </w:p>
        </w:tc>
        <w:tc>
          <w:tcPr>
            <w:tcW w:w="4013" w:type="dxa"/>
            <w:gridSpan w:val="2"/>
            <w:tcBorders>
              <w:left w:val="single" w:color="auto" w:sz="6" w:space="0"/>
            </w:tcBorders>
            <w:vAlign w:val="center"/>
          </w:tcPr>
          <w:p w14:paraId="39F7D0C4">
            <w:pPr>
              <w:keepNext w:val="0"/>
              <w:keepLines w:val="0"/>
              <w:pageBreakBefore w:val="0"/>
              <w:widowControl/>
              <w:kinsoku/>
              <w:wordWrap/>
              <w:overflowPunct/>
              <w:topLinePunct w:val="0"/>
              <w:autoSpaceDE/>
              <w:autoSpaceDN/>
              <w:bidi w:val="0"/>
              <w:adjustRightInd/>
              <w:snapToGrid/>
              <w:ind w:left="0" w:right="0"/>
              <w:jc w:val="center"/>
              <w:rPr>
                <w:rFonts w:ascii="Times New Roman" w:hAnsi="Times New Roman"/>
                <w:b/>
                <w:color w:val="auto"/>
                <w:sz w:val="21"/>
                <w:szCs w:val="21"/>
                <w:highlight w:val="none"/>
              </w:rPr>
            </w:pPr>
            <w:r>
              <w:rPr>
                <w:rFonts w:hint="eastAsia" w:ascii="Times New Roman" w:hAnsi="Times New Roman"/>
                <w:b/>
                <w:color w:val="auto"/>
                <w:sz w:val="21"/>
                <w:szCs w:val="21"/>
                <w:highlight w:val="none"/>
              </w:rPr>
              <w:t>实验楼</w:t>
            </w:r>
          </w:p>
        </w:tc>
      </w:tr>
      <w:tr w14:paraId="586B3C6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486" w:type="dxa"/>
            <w:vMerge w:val="continue"/>
            <w:vAlign w:val="center"/>
          </w:tcPr>
          <w:p w14:paraId="0A9F2D3E">
            <w:pPr>
              <w:keepNext w:val="0"/>
              <w:keepLines w:val="0"/>
              <w:pageBreakBefore w:val="0"/>
              <w:widowControl/>
              <w:kinsoku/>
              <w:wordWrap/>
              <w:overflowPunct/>
              <w:topLinePunct w:val="0"/>
              <w:autoSpaceDE/>
              <w:autoSpaceDN/>
              <w:bidi w:val="0"/>
              <w:adjustRightInd/>
              <w:snapToGrid/>
              <w:ind w:left="0" w:right="0"/>
              <w:jc w:val="center"/>
              <w:rPr>
                <w:rFonts w:ascii="Times New Roman" w:hAnsi="Times New Roman"/>
                <w:b/>
                <w:color w:val="auto"/>
                <w:sz w:val="21"/>
                <w:szCs w:val="21"/>
                <w:highlight w:val="none"/>
              </w:rPr>
            </w:pPr>
          </w:p>
        </w:tc>
        <w:tc>
          <w:tcPr>
            <w:tcW w:w="4019" w:type="dxa"/>
            <w:gridSpan w:val="2"/>
            <w:tcBorders>
              <w:left w:val="single" w:color="auto" w:sz="6" w:space="0"/>
            </w:tcBorders>
            <w:vAlign w:val="center"/>
          </w:tcPr>
          <w:p w14:paraId="63591BE0">
            <w:pPr>
              <w:keepNext w:val="0"/>
              <w:keepLines w:val="0"/>
              <w:pageBreakBefore w:val="0"/>
              <w:widowControl/>
              <w:kinsoku/>
              <w:wordWrap/>
              <w:overflowPunct/>
              <w:topLinePunct w:val="0"/>
              <w:autoSpaceDE/>
              <w:autoSpaceDN/>
              <w:bidi w:val="0"/>
              <w:adjustRightInd/>
              <w:snapToGrid/>
              <w:ind w:left="0" w:right="0"/>
              <w:jc w:val="center"/>
              <w:rPr>
                <w:rFonts w:ascii="Times New Roman" w:hAnsi="Times New Roman"/>
                <w:b/>
                <w:color w:val="auto"/>
                <w:sz w:val="21"/>
                <w:szCs w:val="21"/>
                <w:highlight w:val="none"/>
              </w:rPr>
            </w:pPr>
            <w:r>
              <w:rPr>
                <w:rFonts w:hint="eastAsia" w:ascii="Times New Roman" w:hAnsi="Times New Roman"/>
                <w:b/>
                <w:color w:val="auto"/>
                <w:sz w:val="21"/>
                <w:szCs w:val="21"/>
                <w:highlight w:val="none"/>
              </w:rPr>
              <w:t>非甲烷总烃</w:t>
            </w:r>
          </w:p>
        </w:tc>
        <w:tc>
          <w:tcPr>
            <w:tcW w:w="4013" w:type="dxa"/>
            <w:gridSpan w:val="2"/>
            <w:tcBorders>
              <w:left w:val="single" w:color="auto" w:sz="6" w:space="0"/>
            </w:tcBorders>
            <w:vAlign w:val="center"/>
          </w:tcPr>
          <w:p w14:paraId="2D1C5F90">
            <w:pPr>
              <w:keepNext w:val="0"/>
              <w:keepLines w:val="0"/>
              <w:pageBreakBefore w:val="0"/>
              <w:widowControl/>
              <w:kinsoku/>
              <w:wordWrap/>
              <w:overflowPunct/>
              <w:topLinePunct w:val="0"/>
              <w:autoSpaceDE/>
              <w:autoSpaceDN/>
              <w:bidi w:val="0"/>
              <w:adjustRightInd/>
              <w:snapToGrid/>
              <w:ind w:left="0" w:right="0"/>
              <w:jc w:val="center"/>
              <w:rPr>
                <w:rFonts w:ascii="Times New Roman" w:hAnsi="Times New Roman"/>
                <w:b/>
                <w:color w:val="auto"/>
                <w:sz w:val="21"/>
                <w:szCs w:val="21"/>
                <w:highlight w:val="none"/>
              </w:rPr>
            </w:pPr>
            <w:r>
              <w:rPr>
                <w:rFonts w:hint="eastAsia" w:ascii="Times New Roman" w:hAnsi="Times New Roman"/>
                <w:b/>
                <w:color w:val="auto"/>
                <w:sz w:val="21"/>
                <w:szCs w:val="21"/>
                <w:highlight w:val="none"/>
              </w:rPr>
              <w:t>非甲烷总烃（含甲醇）</w:t>
            </w:r>
          </w:p>
        </w:tc>
      </w:tr>
      <w:tr w14:paraId="21A410A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486" w:type="dxa"/>
            <w:vMerge w:val="continue"/>
            <w:vAlign w:val="center"/>
          </w:tcPr>
          <w:p w14:paraId="43EFA909">
            <w:pPr>
              <w:keepNext w:val="0"/>
              <w:keepLines w:val="0"/>
              <w:pageBreakBefore w:val="0"/>
              <w:widowControl/>
              <w:kinsoku/>
              <w:wordWrap/>
              <w:overflowPunct/>
              <w:topLinePunct w:val="0"/>
              <w:autoSpaceDE/>
              <w:autoSpaceDN/>
              <w:bidi w:val="0"/>
              <w:adjustRightInd/>
              <w:snapToGrid/>
              <w:ind w:left="0" w:right="0"/>
              <w:jc w:val="center"/>
              <w:rPr>
                <w:rFonts w:ascii="Times New Roman" w:hAnsi="Times New Roman"/>
                <w:b/>
                <w:color w:val="auto"/>
                <w:sz w:val="21"/>
                <w:szCs w:val="21"/>
                <w:highlight w:val="none"/>
              </w:rPr>
            </w:pPr>
          </w:p>
        </w:tc>
        <w:tc>
          <w:tcPr>
            <w:tcW w:w="2005" w:type="dxa"/>
            <w:tcBorders>
              <w:left w:val="single" w:color="auto" w:sz="6" w:space="0"/>
            </w:tcBorders>
            <w:vAlign w:val="center"/>
          </w:tcPr>
          <w:p w14:paraId="09CDA40E">
            <w:pPr>
              <w:keepNext w:val="0"/>
              <w:keepLines w:val="0"/>
              <w:pageBreakBefore w:val="0"/>
              <w:widowControl/>
              <w:kinsoku/>
              <w:wordWrap/>
              <w:overflowPunct/>
              <w:topLinePunct w:val="0"/>
              <w:autoSpaceDE/>
              <w:autoSpaceDN/>
              <w:bidi w:val="0"/>
              <w:adjustRightInd/>
              <w:snapToGrid/>
              <w:ind w:left="0" w:right="0"/>
              <w:jc w:val="center"/>
              <w:rPr>
                <w:rFonts w:ascii="Times New Roman" w:hAnsi="Times New Roman"/>
                <w:b/>
                <w:color w:val="auto"/>
                <w:sz w:val="21"/>
                <w:szCs w:val="21"/>
                <w:highlight w:val="none"/>
              </w:rPr>
            </w:pPr>
            <w:r>
              <w:rPr>
                <w:rFonts w:ascii="Times New Roman" w:hAnsi="Times New Roman"/>
                <w:b/>
                <w:color w:val="auto"/>
                <w:sz w:val="21"/>
                <w:szCs w:val="21"/>
                <w:highlight w:val="none"/>
              </w:rPr>
              <w:t>下风向预测浓度（μg/m</w:t>
            </w:r>
            <w:r>
              <w:rPr>
                <w:rFonts w:ascii="Times New Roman" w:hAnsi="Times New Roman"/>
                <w:b/>
                <w:color w:val="auto"/>
                <w:sz w:val="21"/>
                <w:szCs w:val="21"/>
                <w:highlight w:val="none"/>
                <w:vertAlign w:val="superscript"/>
              </w:rPr>
              <w:t>3</w:t>
            </w:r>
            <w:r>
              <w:rPr>
                <w:rFonts w:ascii="Times New Roman" w:hAnsi="Times New Roman"/>
                <w:b/>
                <w:color w:val="auto"/>
                <w:sz w:val="21"/>
                <w:szCs w:val="21"/>
                <w:highlight w:val="none"/>
              </w:rPr>
              <w:t>）</w:t>
            </w:r>
          </w:p>
        </w:tc>
        <w:tc>
          <w:tcPr>
            <w:tcW w:w="2014" w:type="dxa"/>
            <w:tcBorders>
              <w:left w:val="single" w:color="auto" w:sz="6" w:space="0"/>
            </w:tcBorders>
            <w:vAlign w:val="center"/>
          </w:tcPr>
          <w:p w14:paraId="45F8737A">
            <w:pPr>
              <w:keepNext w:val="0"/>
              <w:keepLines w:val="0"/>
              <w:pageBreakBefore w:val="0"/>
              <w:widowControl/>
              <w:kinsoku/>
              <w:wordWrap/>
              <w:overflowPunct/>
              <w:topLinePunct w:val="0"/>
              <w:autoSpaceDE/>
              <w:autoSpaceDN/>
              <w:bidi w:val="0"/>
              <w:adjustRightInd/>
              <w:snapToGrid/>
              <w:ind w:left="0" w:right="0"/>
              <w:jc w:val="center"/>
              <w:rPr>
                <w:rFonts w:ascii="Times New Roman" w:hAnsi="Times New Roman"/>
                <w:b/>
                <w:color w:val="auto"/>
                <w:sz w:val="21"/>
                <w:szCs w:val="21"/>
                <w:highlight w:val="none"/>
              </w:rPr>
            </w:pPr>
            <w:r>
              <w:rPr>
                <w:rFonts w:ascii="Times New Roman" w:hAnsi="Times New Roman"/>
                <w:b/>
                <w:color w:val="auto"/>
                <w:sz w:val="21"/>
                <w:szCs w:val="21"/>
                <w:highlight w:val="none"/>
              </w:rPr>
              <w:t>浓度占标率（%）</w:t>
            </w:r>
          </w:p>
        </w:tc>
        <w:tc>
          <w:tcPr>
            <w:tcW w:w="2023" w:type="dxa"/>
            <w:tcBorders>
              <w:left w:val="single" w:color="auto" w:sz="6" w:space="0"/>
              <w:right w:val="single" w:color="auto" w:sz="4" w:space="0"/>
            </w:tcBorders>
            <w:vAlign w:val="center"/>
          </w:tcPr>
          <w:p w14:paraId="060039A9">
            <w:pPr>
              <w:keepNext w:val="0"/>
              <w:keepLines w:val="0"/>
              <w:pageBreakBefore w:val="0"/>
              <w:widowControl/>
              <w:kinsoku/>
              <w:wordWrap/>
              <w:overflowPunct/>
              <w:topLinePunct w:val="0"/>
              <w:autoSpaceDE/>
              <w:autoSpaceDN/>
              <w:bidi w:val="0"/>
              <w:adjustRightInd/>
              <w:snapToGrid/>
              <w:ind w:left="0" w:right="0"/>
              <w:jc w:val="center"/>
              <w:rPr>
                <w:rFonts w:ascii="Times New Roman" w:hAnsi="Times New Roman"/>
                <w:b/>
                <w:color w:val="auto"/>
                <w:sz w:val="21"/>
                <w:szCs w:val="21"/>
                <w:highlight w:val="none"/>
              </w:rPr>
            </w:pPr>
            <w:r>
              <w:rPr>
                <w:rFonts w:ascii="Times New Roman" w:hAnsi="Times New Roman"/>
                <w:b/>
                <w:color w:val="auto"/>
                <w:sz w:val="21"/>
                <w:szCs w:val="21"/>
                <w:highlight w:val="none"/>
              </w:rPr>
              <w:t>下风向预测浓度（μg/m</w:t>
            </w:r>
            <w:r>
              <w:rPr>
                <w:rFonts w:ascii="Times New Roman" w:hAnsi="Times New Roman"/>
                <w:b/>
                <w:color w:val="auto"/>
                <w:sz w:val="21"/>
                <w:szCs w:val="21"/>
                <w:highlight w:val="none"/>
                <w:vertAlign w:val="superscript"/>
              </w:rPr>
              <w:t>3</w:t>
            </w:r>
            <w:r>
              <w:rPr>
                <w:rFonts w:ascii="Times New Roman" w:hAnsi="Times New Roman"/>
                <w:b/>
                <w:color w:val="auto"/>
                <w:sz w:val="21"/>
                <w:szCs w:val="21"/>
                <w:highlight w:val="none"/>
              </w:rPr>
              <w:t>）</w:t>
            </w:r>
          </w:p>
        </w:tc>
        <w:tc>
          <w:tcPr>
            <w:tcW w:w="1990" w:type="dxa"/>
            <w:tcBorders>
              <w:left w:val="single" w:color="auto" w:sz="4" w:space="0"/>
            </w:tcBorders>
            <w:vAlign w:val="center"/>
          </w:tcPr>
          <w:p w14:paraId="589EE9F8">
            <w:pPr>
              <w:keepNext w:val="0"/>
              <w:keepLines w:val="0"/>
              <w:pageBreakBefore w:val="0"/>
              <w:widowControl/>
              <w:kinsoku/>
              <w:wordWrap/>
              <w:overflowPunct/>
              <w:topLinePunct w:val="0"/>
              <w:autoSpaceDE/>
              <w:autoSpaceDN/>
              <w:bidi w:val="0"/>
              <w:adjustRightInd/>
              <w:snapToGrid/>
              <w:ind w:left="0" w:right="0"/>
              <w:jc w:val="center"/>
              <w:rPr>
                <w:rFonts w:ascii="Times New Roman" w:hAnsi="Times New Roman"/>
                <w:b/>
                <w:color w:val="auto"/>
                <w:sz w:val="21"/>
                <w:szCs w:val="21"/>
                <w:highlight w:val="none"/>
              </w:rPr>
            </w:pPr>
            <w:r>
              <w:rPr>
                <w:rFonts w:ascii="Times New Roman" w:hAnsi="Times New Roman"/>
                <w:b/>
                <w:color w:val="auto"/>
                <w:sz w:val="21"/>
                <w:szCs w:val="21"/>
                <w:highlight w:val="none"/>
              </w:rPr>
              <w:t>浓度占标率（%）</w:t>
            </w:r>
          </w:p>
        </w:tc>
      </w:tr>
      <w:tr w14:paraId="09D60EA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486" w:type="dxa"/>
            <w:vAlign w:val="center"/>
          </w:tcPr>
          <w:p w14:paraId="618081D1">
            <w:pPr>
              <w:keepNext w:val="0"/>
              <w:keepLines w:val="0"/>
              <w:pageBreakBefore w:val="0"/>
              <w:widowControl/>
              <w:kinsoku/>
              <w:wordWrap/>
              <w:overflowPunct/>
              <w:topLinePunct w:val="0"/>
              <w:autoSpaceDE/>
              <w:autoSpaceDN/>
              <w:bidi w:val="0"/>
              <w:adjustRightInd/>
              <w:snapToGrid/>
              <w:ind w:left="0" w:right="0"/>
              <w:jc w:val="center"/>
              <w:textAlignment w:val="center"/>
              <w:rPr>
                <w:rFonts w:ascii="Times New Roman" w:hAnsi="Times New Roman" w:cs="Times New Roman"/>
                <w:color w:val="auto"/>
                <w:position w:val="1"/>
                <w:sz w:val="21"/>
                <w:szCs w:val="21"/>
                <w:highlight w:val="none"/>
                <w:lang w:bidi="zh-CN"/>
              </w:rPr>
            </w:pPr>
            <w:r>
              <w:rPr>
                <w:rFonts w:hint="eastAsia" w:ascii="Times New Roman" w:hAnsi="Times New Roman" w:cs="Times New Roman"/>
                <w:color w:val="auto"/>
                <w:position w:val="1"/>
                <w:sz w:val="21"/>
                <w:szCs w:val="21"/>
                <w:highlight w:val="none"/>
                <w:lang w:bidi="zh-CN"/>
              </w:rPr>
              <w:t>10</w:t>
            </w:r>
          </w:p>
        </w:tc>
        <w:tc>
          <w:tcPr>
            <w:tcW w:w="2005" w:type="dxa"/>
            <w:tcBorders>
              <w:left w:val="single" w:color="auto" w:sz="6" w:space="0"/>
            </w:tcBorders>
            <w:vAlign w:val="center"/>
          </w:tcPr>
          <w:p w14:paraId="731F5B90">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9.3777</w:t>
            </w:r>
          </w:p>
        </w:tc>
        <w:tc>
          <w:tcPr>
            <w:tcW w:w="2014" w:type="dxa"/>
            <w:tcBorders>
              <w:left w:val="single" w:color="auto" w:sz="6" w:space="0"/>
            </w:tcBorders>
            <w:vAlign w:val="center"/>
          </w:tcPr>
          <w:p w14:paraId="0FF39E64">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0.50</w:t>
            </w:r>
          </w:p>
        </w:tc>
        <w:tc>
          <w:tcPr>
            <w:tcW w:w="2023" w:type="dxa"/>
            <w:tcBorders>
              <w:left w:val="single" w:color="auto" w:sz="6" w:space="0"/>
              <w:right w:val="single" w:color="auto" w:sz="4" w:space="0"/>
            </w:tcBorders>
            <w:vAlign w:val="center"/>
          </w:tcPr>
          <w:p w14:paraId="39021C59">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1.0432</w:t>
            </w:r>
          </w:p>
        </w:tc>
        <w:tc>
          <w:tcPr>
            <w:tcW w:w="1990" w:type="dxa"/>
            <w:tcBorders>
              <w:left w:val="single" w:color="auto" w:sz="4" w:space="0"/>
            </w:tcBorders>
            <w:vAlign w:val="center"/>
          </w:tcPr>
          <w:p w14:paraId="09E0928A">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0.10</w:t>
            </w:r>
          </w:p>
        </w:tc>
      </w:tr>
      <w:tr w14:paraId="3731A27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486" w:type="dxa"/>
            <w:vAlign w:val="center"/>
          </w:tcPr>
          <w:p w14:paraId="036C8878">
            <w:pPr>
              <w:keepNext w:val="0"/>
              <w:keepLines w:val="0"/>
              <w:pageBreakBefore w:val="0"/>
              <w:widowControl/>
              <w:kinsoku/>
              <w:wordWrap/>
              <w:overflowPunct/>
              <w:topLinePunct w:val="0"/>
              <w:autoSpaceDE/>
              <w:autoSpaceDN/>
              <w:bidi w:val="0"/>
              <w:adjustRightInd/>
              <w:snapToGrid/>
              <w:ind w:left="0" w:right="0"/>
              <w:jc w:val="center"/>
              <w:textAlignment w:val="center"/>
              <w:rPr>
                <w:rFonts w:ascii="Times New Roman" w:hAnsi="Times New Roman" w:cs="Times New Roman"/>
                <w:color w:val="auto"/>
                <w:position w:val="1"/>
                <w:sz w:val="21"/>
                <w:szCs w:val="21"/>
                <w:highlight w:val="none"/>
                <w:lang w:bidi="zh-CN"/>
              </w:rPr>
            </w:pPr>
            <w:r>
              <w:rPr>
                <w:rFonts w:hint="eastAsia" w:ascii="Times New Roman" w:hAnsi="Times New Roman" w:cs="Times New Roman"/>
                <w:color w:val="auto"/>
                <w:position w:val="1"/>
                <w:sz w:val="21"/>
                <w:szCs w:val="21"/>
                <w:highlight w:val="none"/>
                <w:lang w:bidi="zh-CN"/>
              </w:rPr>
              <w:t>23</w:t>
            </w:r>
          </w:p>
        </w:tc>
        <w:tc>
          <w:tcPr>
            <w:tcW w:w="2005" w:type="dxa"/>
            <w:tcBorders>
              <w:left w:val="single" w:color="auto" w:sz="6" w:space="0"/>
            </w:tcBorders>
            <w:vAlign w:val="center"/>
          </w:tcPr>
          <w:p w14:paraId="1C092AF1">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w:t>
            </w:r>
          </w:p>
        </w:tc>
        <w:tc>
          <w:tcPr>
            <w:tcW w:w="2014" w:type="dxa"/>
            <w:tcBorders>
              <w:left w:val="single" w:color="auto" w:sz="6" w:space="0"/>
            </w:tcBorders>
            <w:vAlign w:val="center"/>
          </w:tcPr>
          <w:p w14:paraId="6E89801E">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w:t>
            </w:r>
          </w:p>
        </w:tc>
        <w:tc>
          <w:tcPr>
            <w:tcW w:w="2023" w:type="dxa"/>
            <w:tcBorders>
              <w:left w:val="single" w:color="auto" w:sz="6" w:space="0"/>
              <w:right w:val="single" w:color="auto" w:sz="4" w:space="0"/>
            </w:tcBorders>
            <w:vAlign w:val="center"/>
          </w:tcPr>
          <w:p w14:paraId="700FC557">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1.5714</w:t>
            </w:r>
          </w:p>
        </w:tc>
        <w:tc>
          <w:tcPr>
            <w:tcW w:w="1990" w:type="dxa"/>
            <w:tcBorders>
              <w:left w:val="single" w:color="auto" w:sz="4" w:space="0"/>
            </w:tcBorders>
            <w:vAlign w:val="center"/>
          </w:tcPr>
          <w:p w14:paraId="20E6E600">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0.10</w:t>
            </w:r>
          </w:p>
        </w:tc>
      </w:tr>
      <w:tr w14:paraId="3EC1E54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486" w:type="dxa"/>
            <w:vAlign w:val="center"/>
          </w:tcPr>
          <w:p w14:paraId="2C4B7CCC">
            <w:pPr>
              <w:keepNext w:val="0"/>
              <w:keepLines w:val="0"/>
              <w:pageBreakBefore w:val="0"/>
              <w:widowControl/>
              <w:kinsoku/>
              <w:wordWrap/>
              <w:overflowPunct/>
              <w:topLinePunct w:val="0"/>
              <w:autoSpaceDE/>
              <w:autoSpaceDN/>
              <w:bidi w:val="0"/>
              <w:adjustRightInd/>
              <w:snapToGrid/>
              <w:ind w:left="0" w:right="0"/>
              <w:jc w:val="center"/>
              <w:textAlignment w:val="center"/>
              <w:rPr>
                <w:rFonts w:ascii="Times New Roman" w:hAnsi="Times New Roman" w:cs="Times New Roman"/>
                <w:color w:val="auto"/>
                <w:position w:val="1"/>
                <w:sz w:val="21"/>
                <w:szCs w:val="21"/>
                <w:highlight w:val="none"/>
                <w:lang w:bidi="zh-CN"/>
              </w:rPr>
            </w:pPr>
            <w:r>
              <w:rPr>
                <w:rFonts w:hint="eastAsia" w:ascii="Times New Roman" w:hAnsi="Times New Roman" w:cs="Times New Roman"/>
                <w:color w:val="auto"/>
                <w:position w:val="1"/>
                <w:sz w:val="21"/>
                <w:szCs w:val="21"/>
                <w:highlight w:val="none"/>
                <w:lang w:bidi="zh-CN"/>
              </w:rPr>
              <w:t>25</w:t>
            </w:r>
          </w:p>
        </w:tc>
        <w:tc>
          <w:tcPr>
            <w:tcW w:w="2005" w:type="dxa"/>
            <w:tcBorders>
              <w:left w:val="single" w:color="auto" w:sz="6" w:space="0"/>
            </w:tcBorders>
            <w:vAlign w:val="center"/>
          </w:tcPr>
          <w:p w14:paraId="3C62D800">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15</w:t>
            </w:r>
          </w:p>
        </w:tc>
        <w:tc>
          <w:tcPr>
            <w:tcW w:w="2014" w:type="dxa"/>
            <w:tcBorders>
              <w:left w:val="single" w:color="auto" w:sz="6" w:space="0"/>
            </w:tcBorders>
            <w:vAlign w:val="center"/>
          </w:tcPr>
          <w:p w14:paraId="6188294E">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0.80</w:t>
            </w:r>
          </w:p>
        </w:tc>
        <w:tc>
          <w:tcPr>
            <w:tcW w:w="2023" w:type="dxa"/>
            <w:tcBorders>
              <w:left w:val="single" w:color="auto" w:sz="6" w:space="0"/>
              <w:right w:val="single" w:color="auto" w:sz="4" w:space="0"/>
            </w:tcBorders>
            <w:vAlign w:val="center"/>
          </w:tcPr>
          <w:p w14:paraId="47BFC789">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1.5102</w:t>
            </w:r>
          </w:p>
        </w:tc>
        <w:tc>
          <w:tcPr>
            <w:tcW w:w="1990" w:type="dxa"/>
            <w:tcBorders>
              <w:left w:val="single" w:color="auto" w:sz="4" w:space="0"/>
            </w:tcBorders>
            <w:vAlign w:val="center"/>
          </w:tcPr>
          <w:p w14:paraId="2021C8D8">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0.10</w:t>
            </w:r>
          </w:p>
        </w:tc>
      </w:tr>
      <w:tr w14:paraId="593626A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486" w:type="dxa"/>
            <w:vAlign w:val="center"/>
          </w:tcPr>
          <w:p w14:paraId="743AB1CF">
            <w:pPr>
              <w:keepNext w:val="0"/>
              <w:keepLines w:val="0"/>
              <w:pageBreakBefore w:val="0"/>
              <w:widowControl/>
              <w:kinsoku/>
              <w:wordWrap/>
              <w:overflowPunct/>
              <w:topLinePunct w:val="0"/>
              <w:autoSpaceDE/>
              <w:autoSpaceDN/>
              <w:bidi w:val="0"/>
              <w:adjustRightInd/>
              <w:snapToGrid/>
              <w:ind w:left="0" w:right="0"/>
              <w:jc w:val="center"/>
              <w:textAlignment w:val="center"/>
              <w:rPr>
                <w:rFonts w:ascii="Times New Roman" w:hAnsi="Times New Roman" w:cs="Times New Roman"/>
                <w:color w:val="auto"/>
                <w:position w:val="1"/>
                <w:sz w:val="21"/>
                <w:szCs w:val="21"/>
                <w:highlight w:val="none"/>
                <w:lang w:bidi="zh-CN"/>
              </w:rPr>
            </w:pPr>
            <w:r>
              <w:rPr>
                <w:rFonts w:hint="eastAsia" w:ascii="Times New Roman" w:hAnsi="Times New Roman" w:cs="Times New Roman"/>
                <w:color w:val="auto"/>
                <w:position w:val="1"/>
                <w:sz w:val="21"/>
                <w:szCs w:val="21"/>
                <w:highlight w:val="none"/>
                <w:lang w:bidi="zh-CN"/>
              </w:rPr>
              <w:t>34</w:t>
            </w:r>
          </w:p>
        </w:tc>
        <w:tc>
          <w:tcPr>
            <w:tcW w:w="2005" w:type="dxa"/>
            <w:tcBorders>
              <w:left w:val="single" w:color="auto" w:sz="6" w:space="0"/>
            </w:tcBorders>
            <w:vAlign w:val="center"/>
          </w:tcPr>
          <w:p w14:paraId="4E1CE5DE">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15.455</w:t>
            </w:r>
          </w:p>
        </w:tc>
        <w:tc>
          <w:tcPr>
            <w:tcW w:w="2014" w:type="dxa"/>
            <w:tcBorders>
              <w:left w:val="single" w:color="auto" w:sz="6" w:space="0"/>
            </w:tcBorders>
            <w:vAlign w:val="center"/>
          </w:tcPr>
          <w:p w14:paraId="1FFE2282">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0.80</w:t>
            </w:r>
          </w:p>
        </w:tc>
        <w:tc>
          <w:tcPr>
            <w:tcW w:w="2023" w:type="dxa"/>
            <w:tcBorders>
              <w:left w:val="single" w:color="auto" w:sz="6" w:space="0"/>
              <w:right w:val="single" w:color="auto" w:sz="4" w:space="0"/>
            </w:tcBorders>
            <w:vAlign w:val="center"/>
          </w:tcPr>
          <w:p w14:paraId="5FDE5D80">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w:t>
            </w:r>
          </w:p>
        </w:tc>
        <w:tc>
          <w:tcPr>
            <w:tcW w:w="1990" w:type="dxa"/>
            <w:tcBorders>
              <w:left w:val="single" w:color="auto" w:sz="4" w:space="0"/>
            </w:tcBorders>
            <w:vAlign w:val="center"/>
          </w:tcPr>
          <w:p w14:paraId="314FFEB5">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w:t>
            </w:r>
          </w:p>
        </w:tc>
      </w:tr>
      <w:tr w14:paraId="55C7E59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486" w:type="dxa"/>
            <w:vAlign w:val="center"/>
          </w:tcPr>
          <w:p w14:paraId="2EB8A38B">
            <w:pPr>
              <w:keepNext w:val="0"/>
              <w:keepLines w:val="0"/>
              <w:pageBreakBefore w:val="0"/>
              <w:widowControl/>
              <w:kinsoku/>
              <w:wordWrap/>
              <w:overflowPunct/>
              <w:topLinePunct w:val="0"/>
              <w:autoSpaceDE/>
              <w:autoSpaceDN/>
              <w:bidi w:val="0"/>
              <w:adjustRightInd/>
              <w:snapToGrid/>
              <w:ind w:left="0" w:right="0"/>
              <w:jc w:val="center"/>
              <w:textAlignment w:val="center"/>
              <w:rPr>
                <w:rFonts w:ascii="Times New Roman" w:hAnsi="Times New Roman" w:cs="Times New Roman"/>
                <w:color w:val="auto"/>
                <w:position w:val="1"/>
                <w:sz w:val="21"/>
                <w:szCs w:val="21"/>
                <w:highlight w:val="none"/>
                <w:lang w:bidi="zh-CN"/>
              </w:rPr>
            </w:pPr>
            <w:r>
              <w:rPr>
                <w:rFonts w:hint="eastAsia" w:ascii="Times New Roman" w:hAnsi="Times New Roman" w:cs="Times New Roman"/>
                <w:color w:val="auto"/>
                <w:position w:val="1"/>
                <w:sz w:val="21"/>
                <w:szCs w:val="21"/>
                <w:highlight w:val="none"/>
                <w:lang w:bidi="zh-CN"/>
              </w:rPr>
              <w:t>50</w:t>
            </w:r>
          </w:p>
        </w:tc>
        <w:tc>
          <w:tcPr>
            <w:tcW w:w="2005" w:type="dxa"/>
            <w:tcBorders>
              <w:left w:val="single" w:color="auto" w:sz="6" w:space="0"/>
            </w:tcBorders>
            <w:vAlign w:val="center"/>
          </w:tcPr>
          <w:p w14:paraId="5BD0FC35">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10.99</w:t>
            </w:r>
          </w:p>
        </w:tc>
        <w:tc>
          <w:tcPr>
            <w:tcW w:w="2014" w:type="dxa"/>
            <w:tcBorders>
              <w:left w:val="single" w:color="auto" w:sz="6" w:space="0"/>
            </w:tcBorders>
            <w:vAlign w:val="center"/>
          </w:tcPr>
          <w:p w14:paraId="735A1757">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0.50</w:t>
            </w:r>
          </w:p>
        </w:tc>
        <w:tc>
          <w:tcPr>
            <w:tcW w:w="2023" w:type="dxa"/>
            <w:tcBorders>
              <w:left w:val="single" w:color="auto" w:sz="6" w:space="0"/>
              <w:right w:val="single" w:color="auto" w:sz="4" w:space="0"/>
            </w:tcBorders>
            <w:vAlign w:val="center"/>
          </w:tcPr>
          <w:p w14:paraId="29B0CF82">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0.92906</w:t>
            </w:r>
          </w:p>
        </w:tc>
        <w:tc>
          <w:tcPr>
            <w:tcW w:w="1990" w:type="dxa"/>
            <w:tcBorders>
              <w:left w:val="single" w:color="auto" w:sz="4" w:space="0"/>
            </w:tcBorders>
            <w:vAlign w:val="center"/>
          </w:tcPr>
          <w:p w14:paraId="6C4C2586">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0.00</w:t>
            </w:r>
          </w:p>
        </w:tc>
      </w:tr>
      <w:tr w14:paraId="7CC0566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486" w:type="dxa"/>
            <w:vAlign w:val="center"/>
          </w:tcPr>
          <w:p w14:paraId="5BF8AA0F">
            <w:pPr>
              <w:keepNext w:val="0"/>
              <w:keepLines w:val="0"/>
              <w:pageBreakBefore w:val="0"/>
              <w:widowControl/>
              <w:kinsoku/>
              <w:wordWrap/>
              <w:overflowPunct/>
              <w:topLinePunct w:val="0"/>
              <w:autoSpaceDE/>
              <w:autoSpaceDN/>
              <w:bidi w:val="0"/>
              <w:adjustRightInd/>
              <w:snapToGrid/>
              <w:ind w:left="0" w:right="0"/>
              <w:jc w:val="center"/>
              <w:textAlignment w:val="center"/>
              <w:rPr>
                <w:rFonts w:ascii="Times New Roman" w:hAnsi="Times New Roman" w:cs="Times New Roman"/>
                <w:color w:val="auto"/>
                <w:position w:val="1"/>
                <w:sz w:val="21"/>
                <w:szCs w:val="21"/>
                <w:highlight w:val="none"/>
                <w:lang w:bidi="zh-CN"/>
              </w:rPr>
            </w:pPr>
            <w:r>
              <w:rPr>
                <w:rFonts w:hint="eastAsia" w:ascii="Times New Roman" w:hAnsi="Times New Roman" w:cs="Times New Roman"/>
                <w:color w:val="auto"/>
                <w:position w:val="1"/>
                <w:sz w:val="21"/>
                <w:szCs w:val="21"/>
                <w:highlight w:val="none"/>
                <w:lang w:bidi="zh-CN"/>
              </w:rPr>
              <w:t>75</w:t>
            </w:r>
          </w:p>
        </w:tc>
        <w:tc>
          <w:tcPr>
            <w:tcW w:w="2005" w:type="dxa"/>
            <w:tcBorders>
              <w:left w:val="single" w:color="auto" w:sz="6" w:space="0"/>
            </w:tcBorders>
            <w:vAlign w:val="center"/>
          </w:tcPr>
          <w:p w14:paraId="4D179E78">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8.2765</w:t>
            </w:r>
          </w:p>
        </w:tc>
        <w:tc>
          <w:tcPr>
            <w:tcW w:w="2014" w:type="dxa"/>
            <w:tcBorders>
              <w:left w:val="single" w:color="auto" w:sz="6" w:space="0"/>
            </w:tcBorders>
            <w:vAlign w:val="center"/>
          </w:tcPr>
          <w:p w14:paraId="6EDEAE05">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0.40</w:t>
            </w:r>
          </w:p>
        </w:tc>
        <w:tc>
          <w:tcPr>
            <w:tcW w:w="2023" w:type="dxa"/>
            <w:tcBorders>
              <w:left w:val="single" w:color="auto" w:sz="6" w:space="0"/>
              <w:right w:val="single" w:color="auto" w:sz="4" w:space="0"/>
            </w:tcBorders>
            <w:vAlign w:val="center"/>
          </w:tcPr>
          <w:p w14:paraId="0DEA968D">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0.69786</w:t>
            </w:r>
          </w:p>
        </w:tc>
        <w:tc>
          <w:tcPr>
            <w:tcW w:w="1990" w:type="dxa"/>
            <w:tcBorders>
              <w:left w:val="single" w:color="auto" w:sz="4" w:space="0"/>
            </w:tcBorders>
            <w:vAlign w:val="center"/>
          </w:tcPr>
          <w:p w14:paraId="7E51ABA1">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0.00</w:t>
            </w:r>
          </w:p>
        </w:tc>
      </w:tr>
      <w:tr w14:paraId="1AE3C82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486" w:type="dxa"/>
            <w:vAlign w:val="center"/>
          </w:tcPr>
          <w:p w14:paraId="571E3478">
            <w:pPr>
              <w:keepNext w:val="0"/>
              <w:keepLines w:val="0"/>
              <w:pageBreakBefore w:val="0"/>
              <w:widowControl/>
              <w:kinsoku/>
              <w:wordWrap/>
              <w:overflowPunct/>
              <w:topLinePunct w:val="0"/>
              <w:autoSpaceDE/>
              <w:autoSpaceDN/>
              <w:bidi w:val="0"/>
              <w:adjustRightInd/>
              <w:snapToGrid/>
              <w:ind w:left="0" w:right="0"/>
              <w:jc w:val="center"/>
              <w:textAlignment w:val="center"/>
              <w:rPr>
                <w:rFonts w:ascii="Times New Roman" w:hAnsi="Times New Roman" w:cs="Times New Roman"/>
                <w:color w:val="auto"/>
                <w:position w:val="1"/>
                <w:sz w:val="21"/>
                <w:szCs w:val="21"/>
                <w:highlight w:val="none"/>
                <w:lang w:bidi="zh-CN"/>
              </w:rPr>
            </w:pPr>
            <w:r>
              <w:rPr>
                <w:rFonts w:hint="eastAsia" w:ascii="Times New Roman" w:hAnsi="Times New Roman" w:cs="Times New Roman"/>
                <w:color w:val="auto"/>
                <w:position w:val="1"/>
                <w:sz w:val="21"/>
                <w:szCs w:val="21"/>
                <w:highlight w:val="none"/>
                <w:lang w:bidi="zh-CN"/>
              </w:rPr>
              <w:t>100</w:t>
            </w:r>
          </w:p>
        </w:tc>
        <w:tc>
          <w:tcPr>
            <w:tcW w:w="2005" w:type="dxa"/>
            <w:tcBorders>
              <w:left w:val="single" w:color="auto" w:sz="6" w:space="0"/>
            </w:tcBorders>
            <w:vAlign w:val="center"/>
          </w:tcPr>
          <w:p w14:paraId="33FC3464">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7.6294</w:t>
            </w:r>
          </w:p>
        </w:tc>
        <w:tc>
          <w:tcPr>
            <w:tcW w:w="2014" w:type="dxa"/>
            <w:tcBorders>
              <w:left w:val="single" w:color="auto" w:sz="6" w:space="0"/>
            </w:tcBorders>
            <w:vAlign w:val="center"/>
          </w:tcPr>
          <w:p w14:paraId="3FAECD59">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0.40</w:t>
            </w:r>
          </w:p>
        </w:tc>
        <w:tc>
          <w:tcPr>
            <w:tcW w:w="2023" w:type="dxa"/>
            <w:tcBorders>
              <w:left w:val="single" w:color="auto" w:sz="6" w:space="0"/>
              <w:right w:val="single" w:color="auto" w:sz="4" w:space="0"/>
            </w:tcBorders>
            <w:vAlign w:val="center"/>
          </w:tcPr>
          <w:p w14:paraId="6BD019AE">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0.60266</w:t>
            </w:r>
          </w:p>
        </w:tc>
        <w:tc>
          <w:tcPr>
            <w:tcW w:w="1990" w:type="dxa"/>
            <w:tcBorders>
              <w:left w:val="single" w:color="auto" w:sz="4" w:space="0"/>
            </w:tcBorders>
            <w:vAlign w:val="center"/>
          </w:tcPr>
          <w:p w14:paraId="0B31D6FC">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0.00</w:t>
            </w:r>
          </w:p>
        </w:tc>
      </w:tr>
      <w:tr w14:paraId="3D5A4D1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486" w:type="dxa"/>
            <w:vAlign w:val="center"/>
          </w:tcPr>
          <w:p w14:paraId="18671FCC">
            <w:pPr>
              <w:keepNext w:val="0"/>
              <w:keepLines w:val="0"/>
              <w:pageBreakBefore w:val="0"/>
              <w:widowControl/>
              <w:kinsoku/>
              <w:wordWrap/>
              <w:overflowPunct/>
              <w:topLinePunct w:val="0"/>
              <w:autoSpaceDE/>
              <w:autoSpaceDN/>
              <w:bidi w:val="0"/>
              <w:adjustRightInd/>
              <w:snapToGrid/>
              <w:ind w:left="0" w:right="0"/>
              <w:jc w:val="center"/>
              <w:textAlignment w:val="center"/>
              <w:rPr>
                <w:rFonts w:ascii="Times New Roman" w:hAnsi="Times New Roman" w:cs="Times New Roman"/>
                <w:color w:val="auto"/>
                <w:position w:val="1"/>
                <w:sz w:val="21"/>
                <w:szCs w:val="21"/>
                <w:highlight w:val="none"/>
                <w:lang w:bidi="zh-CN"/>
              </w:rPr>
            </w:pPr>
            <w:r>
              <w:rPr>
                <w:rFonts w:hint="eastAsia" w:ascii="Times New Roman" w:hAnsi="Times New Roman" w:cs="Times New Roman"/>
                <w:color w:val="auto"/>
                <w:position w:val="1"/>
                <w:sz w:val="21"/>
                <w:szCs w:val="21"/>
                <w:highlight w:val="none"/>
                <w:lang w:bidi="zh-CN"/>
              </w:rPr>
              <w:t>125</w:t>
            </w:r>
          </w:p>
        </w:tc>
        <w:tc>
          <w:tcPr>
            <w:tcW w:w="2005" w:type="dxa"/>
            <w:tcBorders>
              <w:left w:val="single" w:color="auto" w:sz="6" w:space="0"/>
            </w:tcBorders>
            <w:vAlign w:val="center"/>
          </w:tcPr>
          <w:p w14:paraId="4EC465BE">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6.6096</w:t>
            </w:r>
          </w:p>
        </w:tc>
        <w:tc>
          <w:tcPr>
            <w:tcW w:w="2014" w:type="dxa"/>
            <w:tcBorders>
              <w:left w:val="single" w:color="auto" w:sz="6" w:space="0"/>
            </w:tcBorders>
            <w:vAlign w:val="center"/>
          </w:tcPr>
          <w:p w14:paraId="5CE4488A">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0.30</w:t>
            </w:r>
          </w:p>
        </w:tc>
        <w:tc>
          <w:tcPr>
            <w:tcW w:w="2023" w:type="dxa"/>
            <w:tcBorders>
              <w:left w:val="single" w:color="auto" w:sz="6" w:space="0"/>
              <w:right w:val="single" w:color="auto" w:sz="4" w:space="0"/>
            </w:tcBorders>
            <w:vAlign w:val="center"/>
          </w:tcPr>
          <w:p w14:paraId="26096591">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0.56</w:t>
            </w:r>
          </w:p>
        </w:tc>
        <w:tc>
          <w:tcPr>
            <w:tcW w:w="1990" w:type="dxa"/>
            <w:tcBorders>
              <w:left w:val="single" w:color="auto" w:sz="4" w:space="0"/>
            </w:tcBorders>
            <w:vAlign w:val="center"/>
          </w:tcPr>
          <w:p w14:paraId="5349497A">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0.00</w:t>
            </w:r>
          </w:p>
        </w:tc>
      </w:tr>
      <w:tr w14:paraId="2AE64A7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486" w:type="dxa"/>
            <w:vAlign w:val="center"/>
          </w:tcPr>
          <w:p w14:paraId="36717C3A">
            <w:pPr>
              <w:keepNext w:val="0"/>
              <w:keepLines w:val="0"/>
              <w:pageBreakBefore w:val="0"/>
              <w:widowControl/>
              <w:kinsoku/>
              <w:wordWrap/>
              <w:overflowPunct/>
              <w:topLinePunct w:val="0"/>
              <w:autoSpaceDE/>
              <w:autoSpaceDN/>
              <w:bidi w:val="0"/>
              <w:adjustRightInd/>
              <w:snapToGrid/>
              <w:ind w:left="0" w:right="0"/>
              <w:jc w:val="center"/>
              <w:textAlignment w:val="center"/>
              <w:rPr>
                <w:rFonts w:ascii="Times New Roman" w:hAnsi="Times New Roman" w:cs="Times New Roman"/>
                <w:color w:val="auto"/>
                <w:position w:val="1"/>
                <w:sz w:val="21"/>
                <w:szCs w:val="21"/>
                <w:highlight w:val="none"/>
                <w:lang w:bidi="zh-CN"/>
              </w:rPr>
            </w:pPr>
            <w:r>
              <w:rPr>
                <w:rFonts w:hint="eastAsia" w:ascii="Times New Roman" w:hAnsi="Times New Roman" w:cs="Times New Roman"/>
                <w:color w:val="auto"/>
                <w:position w:val="1"/>
                <w:sz w:val="21"/>
                <w:szCs w:val="21"/>
                <w:highlight w:val="none"/>
                <w:lang w:bidi="zh-CN"/>
              </w:rPr>
              <w:t>150</w:t>
            </w:r>
          </w:p>
        </w:tc>
        <w:tc>
          <w:tcPr>
            <w:tcW w:w="2005" w:type="dxa"/>
            <w:tcBorders>
              <w:left w:val="single" w:color="auto" w:sz="6" w:space="0"/>
            </w:tcBorders>
            <w:vAlign w:val="center"/>
          </w:tcPr>
          <w:p w14:paraId="6CC9EBE6">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5.6668</w:t>
            </w:r>
          </w:p>
        </w:tc>
        <w:tc>
          <w:tcPr>
            <w:tcW w:w="2014" w:type="dxa"/>
            <w:tcBorders>
              <w:left w:val="single" w:color="auto" w:sz="6" w:space="0"/>
            </w:tcBorders>
            <w:vAlign w:val="center"/>
          </w:tcPr>
          <w:p w14:paraId="62DAAD90">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0.30</w:t>
            </w:r>
          </w:p>
        </w:tc>
        <w:tc>
          <w:tcPr>
            <w:tcW w:w="2023" w:type="dxa"/>
            <w:tcBorders>
              <w:left w:val="single" w:color="auto" w:sz="6" w:space="0"/>
              <w:right w:val="single" w:color="auto" w:sz="4" w:space="0"/>
            </w:tcBorders>
            <w:vAlign w:val="center"/>
          </w:tcPr>
          <w:p w14:paraId="7B8DA65D">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0.50664</w:t>
            </w:r>
          </w:p>
        </w:tc>
        <w:tc>
          <w:tcPr>
            <w:tcW w:w="1990" w:type="dxa"/>
            <w:tcBorders>
              <w:left w:val="single" w:color="auto" w:sz="4" w:space="0"/>
            </w:tcBorders>
            <w:vAlign w:val="center"/>
          </w:tcPr>
          <w:p w14:paraId="3D990C34">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0.00</w:t>
            </w:r>
          </w:p>
        </w:tc>
      </w:tr>
      <w:tr w14:paraId="10235BF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486" w:type="dxa"/>
            <w:vAlign w:val="center"/>
          </w:tcPr>
          <w:p w14:paraId="001A2A1D">
            <w:pPr>
              <w:keepNext w:val="0"/>
              <w:keepLines w:val="0"/>
              <w:pageBreakBefore w:val="0"/>
              <w:widowControl/>
              <w:kinsoku/>
              <w:wordWrap/>
              <w:overflowPunct/>
              <w:topLinePunct w:val="0"/>
              <w:autoSpaceDE/>
              <w:autoSpaceDN/>
              <w:bidi w:val="0"/>
              <w:adjustRightInd/>
              <w:snapToGrid/>
              <w:ind w:left="0" w:right="0"/>
              <w:jc w:val="center"/>
              <w:textAlignment w:val="center"/>
              <w:rPr>
                <w:rFonts w:ascii="Times New Roman" w:hAnsi="Times New Roman" w:cs="Times New Roman"/>
                <w:color w:val="auto"/>
                <w:position w:val="1"/>
                <w:sz w:val="21"/>
                <w:szCs w:val="21"/>
                <w:highlight w:val="none"/>
                <w:lang w:bidi="zh-CN"/>
              </w:rPr>
            </w:pPr>
            <w:r>
              <w:rPr>
                <w:rFonts w:hint="eastAsia" w:ascii="Times New Roman" w:hAnsi="Times New Roman" w:cs="Times New Roman"/>
                <w:color w:val="auto"/>
                <w:position w:val="1"/>
                <w:sz w:val="21"/>
                <w:szCs w:val="21"/>
                <w:highlight w:val="none"/>
                <w:lang w:bidi="zh-CN"/>
              </w:rPr>
              <w:t>175</w:t>
            </w:r>
          </w:p>
        </w:tc>
        <w:tc>
          <w:tcPr>
            <w:tcW w:w="2005" w:type="dxa"/>
            <w:tcBorders>
              <w:left w:val="single" w:color="auto" w:sz="6" w:space="0"/>
            </w:tcBorders>
            <w:vAlign w:val="center"/>
          </w:tcPr>
          <w:p w14:paraId="385D5A85">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4.8838</w:t>
            </w:r>
          </w:p>
        </w:tc>
        <w:tc>
          <w:tcPr>
            <w:tcW w:w="2014" w:type="dxa"/>
            <w:tcBorders>
              <w:left w:val="single" w:color="auto" w:sz="6" w:space="0"/>
            </w:tcBorders>
            <w:vAlign w:val="center"/>
          </w:tcPr>
          <w:p w14:paraId="5A350FE2">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0.20</w:t>
            </w:r>
          </w:p>
        </w:tc>
        <w:tc>
          <w:tcPr>
            <w:tcW w:w="2023" w:type="dxa"/>
            <w:tcBorders>
              <w:left w:val="single" w:color="auto" w:sz="6" w:space="0"/>
              <w:right w:val="single" w:color="auto" w:sz="4" w:space="0"/>
            </w:tcBorders>
            <w:vAlign w:val="center"/>
          </w:tcPr>
          <w:p w14:paraId="72E131DA">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0.45564</w:t>
            </w:r>
          </w:p>
        </w:tc>
        <w:tc>
          <w:tcPr>
            <w:tcW w:w="1990" w:type="dxa"/>
            <w:tcBorders>
              <w:left w:val="single" w:color="auto" w:sz="4" w:space="0"/>
            </w:tcBorders>
            <w:vAlign w:val="center"/>
          </w:tcPr>
          <w:p w14:paraId="087BE9D6">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0.00</w:t>
            </w:r>
          </w:p>
        </w:tc>
      </w:tr>
      <w:tr w14:paraId="2366C97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486" w:type="dxa"/>
            <w:vAlign w:val="center"/>
          </w:tcPr>
          <w:p w14:paraId="71D0008A">
            <w:pPr>
              <w:keepNext w:val="0"/>
              <w:keepLines w:val="0"/>
              <w:pageBreakBefore w:val="0"/>
              <w:widowControl/>
              <w:kinsoku/>
              <w:wordWrap/>
              <w:overflowPunct/>
              <w:topLinePunct w:val="0"/>
              <w:autoSpaceDE/>
              <w:autoSpaceDN/>
              <w:bidi w:val="0"/>
              <w:adjustRightInd/>
              <w:snapToGrid/>
              <w:ind w:left="0" w:right="0"/>
              <w:jc w:val="center"/>
              <w:textAlignment w:val="center"/>
              <w:rPr>
                <w:rFonts w:ascii="Times New Roman" w:hAnsi="Times New Roman" w:cs="Times New Roman"/>
                <w:color w:val="auto"/>
                <w:position w:val="1"/>
                <w:sz w:val="21"/>
                <w:szCs w:val="21"/>
                <w:highlight w:val="none"/>
                <w:lang w:bidi="zh-CN"/>
              </w:rPr>
            </w:pPr>
            <w:r>
              <w:rPr>
                <w:rFonts w:hint="eastAsia" w:ascii="Times New Roman" w:hAnsi="Times New Roman" w:cs="Times New Roman"/>
                <w:color w:val="auto"/>
                <w:position w:val="1"/>
                <w:sz w:val="21"/>
                <w:szCs w:val="21"/>
                <w:highlight w:val="none"/>
                <w:lang w:bidi="zh-CN"/>
              </w:rPr>
              <w:t>200</w:t>
            </w:r>
          </w:p>
        </w:tc>
        <w:tc>
          <w:tcPr>
            <w:tcW w:w="2005" w:type="dxa"/>
            <w:tcBorders>
              <w:left w:val="single" w:color="auto" w:sz="6" w:space="0"/>
            </w:tcBorders>
            <w:vAlign w:val="center"/>
          </w:tcPr>
          <w:p w14:paraId="6749485F">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4.305</w:t>
            </w:r>
          </w:p>
        </w:tc>
        <w:tc>
          <w:tcPr>
            <w:tcW w:w="2014" w:type="dxa"/>
            <w:tcBorders>
              <w:left w:val="single" w:color="auto" w:sz="6" w:space="0"/>
            </w:tcBorders>
            <w:vAlign w:val="center"/>
          </w:tcPr>
          <w:p w14:paraId="4819865A">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0.20</w:t>
            </w:r>
          </w:p>
        </w:tc>
        <w:tc>
          <w:tcPr>
            <w:tcW w:w="2023" w:type="dxa"/>
            <w:tcBorders>
              <w:left w:val="single" w:color="auto" w:sz="6" w:space="0"/>
              <w:right w:val="single" w:color="auto" w:sz="4" w:space="0"/>
            </w:tcBorders>
            <w:vAlign w:val="center"/>
          </w:tcPr>
          <w:p w14:paraId="09A5D120">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0.41086</w:t>
            </w:r>
          </w:p>
        </w:tc>
        <w:tc>
          <w:tcPr>
            <w:tcW w:w="1990" w:type="dxa"/>
            <w:tcBorders>
              <w:left w:val="single" w:color="auto" w:sz="4" w:space="0"/>
            </w:tcBorders>
            <w:vAlign w:val="center"/>
          </w:tcPr>
          <w:p w14:paraId="19BC5A7A">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0.00</w:t>
            </w:r>
          </w:p>
        </w:tc>
      </w:tr>
      <w:tr w14:paraId="7A428F5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486" w:type="dxa"/>
            <w:vAlign w:val="center"/>
          </w:tcPr>
          <w:p w14:paraId="18E3EE0C">
            <w:pPr>
              <w:keepNext w:val="0"/>
              <w:keepLines w:val="0"/>
              <w:pageBreakBefore w:val="0"/>
              <w:widowControl/>
              <w:kinsoku/>
              <w:wordWrap/>
              <w:overflowPunct/>
              <w:topLinePunct w:val="0"/>
              <w:autoSpaceDE/>
              <w:autoSpaceDN/>
              <w:bidi w:val="0"/>
              <w:adjustRightInd/>
              <w:snapToGrid/>
              <w:ind w:left="0" w:right="0"/>
              <w:jc w:val="center"/>
              <w:textAlignment w:val="center"/>
              <w:rPr>
                <w:rFonts w:ascii="Times New Roman" w:hAnsi="Times New Roman" w:cs="Times New Roman"/>
                <w:color w:val="auto"/>
                <w:position w:val="1"/>
                <w:sz w:val="21"/>
                <w:szCs w:val="21"/>
                <w:highlight w:val="none"/>
                <w:lang w:bidi="zh-CN"/>
              </w:rPr>
            </w:pPr>
            <w:r>
              <w:rPr>
                <w:rFonts w:hint="eastAsia" w:ascii="Times New Roman" w:hAnsi="Times New Roman" w:cs="Times New Roman"/>
                <w:color w:val="auto"/>
                <w:position w:val="1"/>
                <w:sz w:val="21"/>
                <w:szCs w:val="21"/>
                <w:highlight w:val="none"/>
                <w:lang w:bidi="zh-CN"/>
              </w:rPr>
              <w:t>225</w:t>
            </w:r>
          </w:p>
        </w:tc>
        <w:tc>
          <w:tcPr>
            <w:tcW w:w="2005" w:type="dxa"/>
            <w:tcBorders>
              <w:left w:val="single" w:color="auto" w:sz="6" w:space="0"/>
            </w:tcBorders>
            <w:vAlign w:val="center"/>
          </w:tcPr>
          <w:p w14:paraId="5EAB26B2">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4.366</w:t>
            </w:r>
          </w:p>
        </w:tc>
        <w:tc>
          <w:tcPr>
            <w:tcW w:w="2014" w:type="dxa"/>
            <w:tcBorders>
              <w:left w:val="single" w:color="auto" w:sz="6" w:space="0"/>
            </w:tcBorders>
            <w:vAlign w:val="center"/>
          </w:tcPr>
          <w:p w14:paraId="08EBE74C">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0.20</w:t>
            </w:r>
          </w:p>
        </w:tc>
        <w:tc>
          <w:tcPr>
            <w:tcW w:w="2023" w:type="dxa"/>
            <w:tcBorders>
              <w:left w:val="single" w:color="auto" w:sz="6" w:space="0"/>
              <w:right w:val="single" w:color="auto" w:sz="4" w:space="0"/>
            </w:tcBorders>
            <w:vAlign w:val="center"/>
          </w:tcPr>
          <w:p w14:paraId="6A01BC56">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0.38069</w:t>
            </w:r>
          </w:p>
        </w:tc>
        <w:tc>
          <w:tcPr>
            <w:tcW w:w="1990" w:type="dxa"/>
            <w:tcBorders>
              <w:left w:val="single" w:color="auto" w:sz="4" w:space="0"/>
            </w:tcBorders>
            <w:vAlign w:val="center"/>
          </w:tcPr>
          <w:p w14:paraId="6DACC0BF">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0.00</w:t>
            </w:r>
          </w:p>
        </w:tc>
      </w:tr>
      <w:tr w14:paraId="730189F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486" w:type="dxa"/>
            <w:vAlign w:val="center"/>
          </w:tcPr>
          <w:p w14:paraId="3C259035">
            <w:pPr>
              <w:keepNext w:val="0"/>
              <w:keepLines w:val="0"/>
              <w:pageBreakBefore w:val="0"/>
              <w:widowControl/>
              <w:kinsoku/>
              <w:wordWrap/>
              <w:overflowPunct/>
              <w:topLinePunct w:val="0"/>
              <w:autoSpaceDE/>
              <w:autoSpaceDN/>
              <w:bidi w:val="0"/>
              <w:adjustRightInd/>
              <w:snapToGrid/>
              <w:ind w:left="0" w:right="0"/>
              <w:jc w:val="center"/>
              <w:textAlignment w:val="center"/>
              <w:rPr>
                <w:rFonts w:ascii="Times New Roman" w:hAnsi="Times New Roman" w:cs="Times New Roman"/>
                <w:color w:val="auto"/>
                <w:position w:val="1"/>
                <w:sz w:val="21"/>
                <w:szCs w:val="21"/>
                <w:highlight w:val="none"/>
                <w:lang w:bidi="zh-CN"/>
              </w:rPr>
            </w:pPr>
            <w:r>
              <w:rPr>
                <w:rFonts w:hint="eastAsia" w:ascii="Times New Roman" w:hAnsi="Times New Roman" w:cs="Times New Roman"/>
                <w:color w:val="auto"/>
                <w:position w:val="1"/>
                <w:sz w:val="21"/>
                <w:szCs w:val="21"/>
                <w:highlight w:val="none"/>
                <w:lang w:bidi="zh-CN"/>
              </w:rPr>
              <w:t>250</w:t>
            </w:r>
          </w:p>
        </w:tc>
        <w:tc>
          <w:tcPr>
            <w:tcW w:w="2005" w:type="dxa"/>
            <w:tcBorders>
              <w:left w:val="single" w:color="auto" w:sz="6" w:space="0"/>
            </w:tcBorders>
            <w:vAlign w:val="center"/>
          </w:tcPr>
          <w:p w14:paraId="33B142A7">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4.2727</w:t>
            </w:r>
          </w:p>
        </w:tc>
        <w:tc>
          <w:tcPr>
            <w:tcW w:w="2014" w:type="dxa"/>
            <w:tcBorders>
              <w:left w:val="single" w:color="auto" w:sz="6" w:space="0"/>
            </w:tcBorders>
            <w:vAlign w:val="center"/>
          </w:tcPr>
          <w:p w14:paraId="2173B126">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0.20</w:t>
            </w:r>
          </w:p>
        </w:tc>
        <w:tc>
          <w:tcPr>
            <w:tcW w:w="2023" w:type="dxa"/>
            <w:tcBorders>
              <w:left w:val="single" w:color="auto" w:sz="6" w:space="0"/>
              <w:right w:val="single" w:color="auto" w:sz="4" w:space="0"/>
            </w:tcBorders>
            <w:vAlign w:val="center"/>
          </w:tcPr>
          <w:p w14:paraId="2CFDB00F">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0.35421</w:t>
            </w:r>
          </w:p>
        </w:tc>
        <w:tc>
          <w:tcPr>
            <w:tcW w:w="1990" w:type="dxa"/>
            <w:tcBorders>
              <w:left w:val="single" w:color="auto" w:sz="4" w:space="0"/>
            </w:tcBorders>
            <w:vAlign w:val="center"/>
          </w:tcPr>
          <w:p w14:paraId="20263519">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0.00</w:t>
            </w:r>
          </w:p>
        </w:tc>
      </w:tr>
      <w:tr w14:paraId="058B7BA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486" w:type="dxa"/>
            <w:vAlign w:val="center"/>
          </w:tcPr>
          <w:p w14:paraId="2FDF89E6">
            <w:pPr>
              <w:keepNext w:val="0"/>
              <w:keepLines w:val="0"/>
              <w:pageBreakBefore w:val="0"/>
              <w:widowControl/>
              <w:kinsoku/>
              <w:wordWrap/>
              <w:overflowPunct/>
              <w:topLinePunct w:val="0"/>
              <w:autoSpaceDE/>
              <w:autoSpaceDN/>
              <w:bidi w:val="0"/>
              <w:adjustRightInd/>
              <w:snapToGrid/>
              <w:ind w:left="0" w:right="0"/>
              <w:jc w:val="center"/>
              <w:textAlignment w:val="center"/>
              <w:rPr>
                <w:rFonts w:ascii="Times New Roman" w:hAnsi="Times New Roman" w:cs="Times New Roman"/>
                <w:color w:val="auto"/>
                <w:position w:val="1"/>
                <w:sz w:val="21"/>
                <w:szCs w:val="21"/>
                <w:highlight w:val="none"/>
                <w:lang w:bidi="zh-CN"/>
              </w:rPr>
            </w:pPr>
            <w:r>
              <w:rPr>
                <w:rFonts w:hint="eastAsia" w:ascii="Times New Roman" w:hAnsi="Times New Roman" w:cs="Times New Roman"/>
                <w:color w:val="auto"/>
                <w:position w:val="1"/>
                <w:sz w:val="21"/>
                <w:szCs w:val="21"/>
                <w:highlight w:val="none"/>
                <w:lang w:bidi="zh-CN"/>
              </w:rPr>
              <w:t>275</w:t>
            </w:r>
          </w:p>
        </w:tc>
        <w:tc>
          <w:tcPr>
            <w:tcW w:w="2005" w:type="dxa"/>
            <w:tcBorders>
              <w:left w:val="single" w:color="auto" w:sz="6" w:space="0"/>
            </w:tcBorders>
            <w:vAlign w:val="center"/>
          </w:tcPr>
          <w:p w14:paraId="72E13016">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4.1477</w:t>
            </w:r>
          </w:p>
        </w:tc>
        <w:tc>
          <w:tcPr>
            <w:tcW w:w="2014" w:type="dxa"/>
            <w:tcBorders>
              <w:left w:val="single" w:color="auto" w:sz="6" w:space="0"/>
            </w:tcBorders>
            <w:vAlign w:val="center"/>
          </w:tcPr>
          <w:p w14:paraId="189520CB">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0.20</w:t>
            </w:r>
          </w:p>
        </w:tc>
        <w:tc>
          <w:tcPr>
            <w:tcW w:w="2023" w:type="dxa"/>
            <w:tcBorders>
              <w:left w:val="single" w:color="auto" w:sz="6" w:space="0"/>
              <w:right w:val="single" w:color="auto" w:sz="4" w:space="0"/>
            </w:tcBorders>
            <w:vAlign w:val="center"/>
          </w:tcPr>
          <w:p w14:paraId="500613DD">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0.33113</w:t>
            </w:r>
          </w:p>
        </w:tc>
        <w:tc>
          <w:tcPr>
            <w:tcW w:w="1990" w:type="dxa"/>
            <w:tcBorders>
              <w:left w:val="single" w:color="auto" w:sz="4" w:space="0"/>
            </w:tcBorders>
            <w:vAlign w:val="center"/>
          </w:tcPr>
          <w:p w14:paraId="2829C11F">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0.00</w:t>
            </w:r>
          </w:p>
        </w:tc>
      </w:tr>
      <w:tr w14:paraId="674632B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486" w:type="dxa"/>
            <w:vAlign w:val="center"/>
          </w:tcPr>
          <w:p w14:paraId="38903624">
            <w:pPr>
              <w:keepNext w:val="0"/>
              <w:keepLines w:val="0"/>
              <w:pageBreakBefore w:val="0"/>
              <w:widowControl/>
              <w:kinsoku/>
              <w:wordWrap/>
              <w:overflowPunct/>
              <w:topLinePunct w:val="0"/>
              <w:autoSpaceDE/>
              <w:autoSpaceDN/>
              <w:bidi w:val="0"/>
              <w:adjustRightInd/>
              <w:snapToGrid/>
              <w:ind w:left="0" w:right="0"/>
              <w:jc w:val="center"/>
              <w:textAlignment w:val="center"/>
              <w:rPr>
                <w:rFonts w:ascii="Times New Roman" w:hAnsi="Times New Roman" w:cs="Times New Roman"/>
                <w:color w:val="auto"/>
                <w:position w:val="1"/>
                <w:sz w:val="21"/>
                <w:szCs w:val="21"/>
                <w:highlight w:val="none"/>
                <w:lang w:bidi="zh-CN"/>
              </w:rPr>
            </w:pPr>
            <w:r>
              <w:rPr>
                <w:rFonts w:hint="eastAsia" w:ascii="Times New Roman" w:hAnsi="Times New Roman" w:cs="Times New Roman"/>
                <w:color w:val="auto"/>
                <w:position w:val="1"/>
                <w:sz w:val="21"/>
                <w:szCs w:val="21"/>
                <w:highlight w:val="none"/>
                <w:lang w:bidi="zh-CN"/>
              </w:rPr>
              <w:t>300</w:t>
            </w:r>
          </w:p>
        </w:tc>
        <w:tc>
          <w:tcPr>
            <w:tcW w:w="2005" w:type="dxa"/>
            <w:tcBorders>
              <w:left w:val="single" w:color="auto" w:sz="6" w:space="0"/>
            </w:tcBorders>
            <w:vAlign w:val="center"/>
          </w:tcPr>
          <w:p w14:paraId="69158489">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4.005</w:t>
            </w:r>
          </w:p>
        </w:tc>
        <w:tc>
          <w:tcPr>
            <w:tcW w:w="2014" w:type="dxa"/>
            <w:tcBorders>
              <w:left w:val="single" w:color="auto" w:sz="6" w:space="0"/>
            </w:tcBorders>
            <w:vAlign w:val="center"/>
          </w:tcPr>
          <w:p w14:paraId="257CBDCB">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0.20</w:t>
            </w:r>
          </w:p>
        </w:tc>
        <w:tc>
          <w:tcPr>
            <w:tcW w:w="2023" w:type="dxa"/>
            <w:tcBorders>
              <w:left w:val="single" w:color="auto" w:sz="6" w:space="0"/>
              <w:right w:val="single" w:color="auto" w:sz="4" w:space="0"/>
            </w:tcBorders>
            <w:vAlign w:val="center"/>
          </w:tcPr>
          <w:p w14:paraId="1A45939F">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0.31132</w:t>
            </w:r>
          </w:p>
        </w:tc>
        <w:tc>
          <w:tcPr>
            <w:tcW w:w="1990" w:type="dxa"/>
            <w:tcBorders>
              <w:left w:val="single" w:color="auto" w:sz="4" w:space="0"/>
            </w:tcBorders>
            <w:vAlign w:val="center"/>
          </w:tcPr>
          <w:p w14:paraId="7AC747EC">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0.00</w:t>
            </w:r>
          </w:p>
        </w:tc>
      </w:tr>
      <w:tr w14:paraId="223C818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486" w:type="dxa"/>
            <w:vAlign w:val="center"/>
          </w:tcPr>
          <w:p w14:paraId="35CDC9B2">
            <w:pPr>
              <w:keepNext w:val="0"/>
              <w:keepLines w:val="0"/>
              <w:pageBreakBefore w:val="0"/>
              <w:widowControl/>
              <w:kinsoku/>
              <w:wordWrap/>
              <w:overflowPunct/>
              <w:topLinePunct w:val="0"/>
              <w:autoSpaceDE/>
              <w:autoSpaceDN/>
              <w:bidi w:val="0"/>
              <w:adjustRightInd/>
              <w:snapToGrid/>
              <w:ind w:left="0" w:right="0"/>
              <w:jc w:val="center"/>
              <w:textAlignment w:val="center"/>
              <w:rPr>
                <w:rFonts w:ascii="Times New Roman" w:hAnsi="Times New Roman" w:cs="Times New Roman"/>
                <w:color w:val="auto"/>
                <w:position w:val="1"/>
                <w:sz w:val="21"/>
                <w:szCs w:val="21"/>
                <w:highlight w:val="none"/>
                <w:lang w:bidi="zh-CN"/>
              </w:rPr>
            </w:pPr>
            <w:r>
              <w:rPr>
                <w:rFonts w:hint="eastAsia" w:ascii="Times New Roman" w:hAnsi="Times New Roman" w:cs="Times New Roman"/>
                <w:color w:val="auto"/>
                <w:position w:val="1"/>
                <w:sz w:val="21"/>
                <w:szCs w:val="21"/>
                <w:highlight w:val="none"/>
                <w:lang w:bidi="zh-CN"/>
              </w:rPr>
              <w:t>400</w:t>
            </w:r>
          </w:p>
        </w:tc>
        <w:tc>
          <w:tcPr>
            <w:tcW w:w="2005" w:type="dxa"/>
            <w:tcBorders>
              <w:left w:val="single" w:color="auto" w:sz="6" w:space="0"/>
            </w:tcBorders>
            <w:vAlign w:val="center"/>
          </w:tcPr>
          <w:p w14:paraId="6AC4847C">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3.4054</w:t>
            </w:r>
          </w:p>
        </w:tc>
        <w:tc>
          <w:tcPr>
            <w:tcW w:w="2014" w:type="dxa"/>
            <w:tcBorders>
              <w:left w:val="single" w:color="auto" w:sz="6" w:space="0"/>
            </w:tcBorders>
            <w:vAlign w:val="center"/>
          </w:tcPr>
          <w:p w14:paraId="1D510C24">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0.20</w:t>
            </w:r>
          </w:p>
        </w:tc>
        <w:tc>
          <w:tcPr>
            <w:tcW w:w="2023" w:type="dxa"/>
            <w:tcBorders>
              <w:left w:val="single" w:color="auto" w:sz="6" w:space="0"/>
              <w:right w:val="single" w:color="auto" w:sz="4" w:space="0"/>
            </w:tcBorders>
            <w:vAlign w:val="center"/>
          </w:tcPr>
          <w:p w14:paraId="1614067E">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0.24881</w:t>
            </w:r>
          </w:p>
        </w:tc>
        <w:tc>
          <w:tcPr>
            <w:tcW w:w="1990" w:type="dxa"/>
            <w:tcBorders>
              <w:left w:val="single" w:color="auto" w:sz="4" w:space="0"/>
            </w:tcBorders>
            <w:vAlign w:val="center"/>
          </w:tcPr>
          <w:p w14:paraId="267C41BA">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0.00</w:t>
            </w:r>
          </w:p>
        </w:tc>
      </w:tr>
      <w:tr w14:paraId="4820F3C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486" w:type="dxa"/>
            <w:vAlign w:val="center"/>
          </w:tcPr>
          <w:p w14:paraId="50D24DED">
            <w:pPr>
              <w:keepNext w:val="0"/>
              <w:keepLines w:val="0"/>
              <w:pageBreakBefore w:val="0"/>
              <w:widowControl/>
              <w:kinsoku/>
              <w:wordWrap/>
              <w:overflowPunct/>
              <w:topLinePunct w:val="0"/>
              <w:autoSpaceDE/>
              <w:autoSpaceDN/>
              <w:bidi w:val="0"/>
              <w:adjustRightInd/>
              <w:snapToGrid/>
              <w:ind w:left="0" w:right="0"/>
              <w:jc w:val="center"/>
              <w:textAlignment w:val="center"/>
              <w:rPr>
                <w:rFonts w:ascii="Times New Roman" w:hAnsi="Times New Roman" w:cs="Times New Roman"/>
                <w:color w:val="auto"/>
                <w:position w:val="1"/>
                <w:sz w:val="21"/>
                <w:szCs w:val="21"/>
                <w:highlight w:val="none"/>
                <w:lang w:bidi="zh-CN"/>
              </w:rPr>
            </w:pPr>
            <w:r>
              <w:rPr>
                <w:rFonts w:hint="eastAsia" w:ascii="Times New Roman" w:hAnsi="Times New Roman" w:cs="Times New Roman"/>
                <w:color w:val="auto"/>
                <w:position w:val="1"/>
                <w:sz w:val="21"/>
                <w:szCs w:val="21"/>
                <w:highlight w:val="none"/>
                <w:lang w:bidi="zh-CN"/>
              </w:rPr>
              <w:t>500</w:t>
            </w:r>
          </w:p>
        </w:tc>
        <w:tc>
          <w:tcPr>
            <w:tcW w:w="2005" w:type="dxa"/>
            <w:tcBorders>
              <w:left w:val="single" w:color="auto" w:sz="6" w:space="0"/>
            </w:tcBorders>
            <w:vAlign w:val="center"/>
          </w:tcPr>
          <w:p w14:paraId="4F747E83">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2.8974</w:t>
            </w:r>
          </w:p>
        </w:tc>
        <w:tc>
          <w:tcPr>
            <w:tcW w:w="2014" w:type="dxa"/>
            <w:tcBorders>
              <w:left w:val="single" w:color="auto" w:sz="6" w:space="0"/>
            </w:tcBorders>
            <w:vAlign w:val="center"/>
          </w:tcPr>
          <w:p w14:paraId="5678BE6D">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0.10</w:t>
            </w:r>
          </w:p>
        </w:tc>
        <w:tc>
          <w:tcPr>
            <w:tcW w:w="2023" w:type="dxa"/>
            <w:tcBorders>
              <w:left w:val="single" w:color="auto" w:sz="6" w:space="0"/>
              <w:right w:val="single" w:color="auto" w:sz="4" w:space="0"/>
            </w:tcBorders>
            <w:vAlign w:val="center"/>
          </w:tcPr>
          <w:p w14:paraId="66BE5CD3">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0.20232</w:t>
            </w:r>
          </w:p>
        </w:tc>
        <w:tc>
          <w:tcPr>
            <w:tcW w:w="1990" w:type="dxa"/>
            <w:tcBorders>
              <w:left w:val="single" w:color="auto" w:sz="4" w:space="0"/>
            </w:tcBorders>
            <w:vAlign w:val="center"/>
          </w:tcPr>
          <w:p w14:paraId="5833C83A">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0.00</w:t>
            </w:r>
          </w:p>
        </w:tc>
      </w:tr>
      <w:tr w14:paraId="5AC22BB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486" w:type="dxa"/>
            <w:vAlign w:val="center"/>
          </w:tcPr>
          <w:p w14:paraId="61BE5653">
            <w:pPr>
              <w:keepNext w:val="0"/>
              <w:keepLines w:val="0"/>
              <w:pageBreakBefore w:val="0"/>
              <w:widowControl/>
              <w:kinsoku/>
              <w:wordWrap/>
              <w:overflowPunct/>
              <w:topLinePunct w:val="0"/>
              <w:autoSpaceDE/>
              <w:autoSpaceDN/>
              <w:bidi w:val="0"/>
              <w:adjustRightInd/>
              <w:snapToGrid/>
              <w:ind w:left="0" w:right="0"/>
              <w:jc w:val="center"/>
              <w:textAlignment w:val="center"/>
              <w:rPr>
                <w:rFonts w:ascii="Times New Roman" w:hAnsi="Times New Roman" w:cs="Times New Roman"/>
                <w:color w:val="auto"/>
                <w:position w:val="1"/>
                <w:sz w:val="21"/>
                <w:szCs w:val="21"/>
                <w:highlight w:val="none"/>
                <w:lang w:bidi="zh-CN"/>
              </w:rPr>
            </w:pPr>
            <w:r>
              <w:rPr>
                <w:rFonts w:hint="eastAsia" w:ascii="Times New Roman" w:hAnsi="Times New Roman" w:cs="Times New Roman"/>
                <w:color w:val="auto"/>
                <w:position w:val="1"/>
                <w:sz w:val="21"/>
                <w:szCs w:val="21"/>
                <w:highlight w:val="none"/>
                <w:lang w:bidi="zh-CN"/>
              </w:rPr>
              <w:t>600</w:t>
            </w:r>
          </w:p>
        </w:tc>
        <w:tc>
          <w:tcPr>
            <w:tcW w:w="2005" w:type="dxa"/>
            <w:tcBorders>
              <w:left w:val="single" w:color="auto" w:sz="6" w:space="0"/>
            </w:tcBorders>
            <w:vAlign w:val="center"/>
          </w:tcPr>
          <w:p w14:paraId="40B903F6">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2.5691</w:t>
            </w:r>
          </w:p>
        </w:tc>
        <w:tc>
          <w:tcPr>
            <w:tcW w:w="2014" w:type="dxa"/>
            <w:tcBorders>
              <w:left w:val="single" w:color="auto" w:sz="6" w:space="0"/>
            </w:tcBorders>
            <w:vAlign w:val="center"/>
          </w:tcPr>
          <w:p w14:paraId="265D57F5">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0.10</w:t>
            </w:r>
          </w:p>
        </w:tc>
        <w:tc>
          <w:tcPr>
            <w:tcW w:w="2023" w:type="dxa"/>
            <w:tcBorders>
              <w:left w:val="single" w:color="auto" w:sz="6" w:space="0"/>
              <w:right w:val="single" w:color="auto" w:sz="4" w:space="0"/>
            </w:tcBorders>
            <w:vAlign w:val="center"/>
          </w:tcPr>
          <w:p w14:paraId="657EA6FE">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0.1682</w:t>
            </w:r>
          </w:p>
        </w:tc>
        <w:tc>
          <w:tcPr>
            <w:tcW w:w="1990" w:type="dxa"/>
            <w:tcBorders>
              <w:left w:val="single" w:color="auto" w:sz="4" w:space="0"/>
            </w:tcBorders>
            <w:vAlign w:val="center"/>
          </w:tcPr>
          <w:p w14:paraId="65A08668">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0.00</w:t>
            </w:r>
          </w:p>
        </w:tc>
      </w:tr>
      <w:tr w14:paraId="65F5BAC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486" w:type="dxa"/>
            <w:vAlign w:val="center"/>
          </w:tcPr>
          <w:p w14:paraId="6E912F60">
            <w:pPr>
              <w:keepNext w:val="0"/>
              <w:keepLines w:val="0"/>
              <w:pageBreakBefore w:val="0"/>
              <w:widowControl/>
              <w:kinsoku/>
              <w:wordWrap/>
              <w:overflowPunct/>
              <w:topLinePunct w:val="0"/>
              <w:autoSpaceDE/>
              <w:autoSpaceDN/>
              <w:bidi w:val="0"/>
              <w:adjustRightInd/>
              <w:snapToGrid/>
              <w:ind w:left="0" w:right="0"/>
              <w:jc w:val="center"/>
              <w:textAlignment w:val="center"/>
              <w:rPr>
                <w:rFonts w:ascii="Times New Roman" w:hAnsi="Times New Roman" w:cs="Times New Roman"/>
                <w:color w:val="auto"/>
                <w:position w:val="1"/>
                <w:sz w:val="21"/>
                <w:szCs w:val="21"/>
                <w:highlight w:val="none"/>
                <w:lang w:bidi="zh-CN"/>
              </w:rPr>
            </w:pPr>
            <w:r>
              <w:rPr>
                <w:rFonts w:hint="eastAsia" w:ascii="Times New Roman" w:hAnsi="Times New Roman" w:cs="Times New Roman"/>
                <w:color w:val="auto"/>
                <w:position w:val="1"/>
                <w:sz w:val="21"/>
                <w:szCs w:val="21"/>
                <w:highlight w:val="none"/>
                <w:lang w:bidi="zh-CN"/>
              </w:rPr>
              <w:t>700</w:t>
            </w:r>
          </w:p>
        </w:tc>
        <w:tc>
          <w:tcPr>
            <w:tcW w:w="2005" w:type="dxa"/>
            <w:tcBorders>
              <w:left w:val="single" w:color="auto" w:sz="6" w:space="0"/>
            </w:tcBorders>
            <w:vAlign w:val="center"/>
          </w:tcPr>
          <w:p w14:paraId="42669204">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2.3099</w:t>
            </w:r>
          </w:p>
        </w:tc>
        <w:tc>
          <w:tcPr>
            <w:tcW w:w="2014" w:type="dxa"/>
            <w:tcBorders>
              <w:left w:val="single" w:color="auto" w:sz="6" w:space="0"/>
            </w:tcBorders>
            <w:vAlign w:val="center"/>
          </w:tcPr>
          <w:p w14:paraId="4384DE1A">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0.10</w:t>
            </w:r>
          </w:p>
        </w:tc>
        <w:tc>
          <w:tcPr>
            <w:tcW w:w="2023" w:type="dxa"/>
            <w:tcBorders>
              <w:left w:val="single" w:color="auto" w:sz="6" w:space="0"/>
              <w:right w:val="single" w:color="auto" w:sz="4" w:space="0"/>
            </w:tcBorders>
            <w:vAlign w:val="center"/>
          </w:tcPr>
          <w:p w14:paraId="707CDA36">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0.1426</w:t>
            </w:r>
          </w:p>
        </w:tc>
        <w:tc>
          <w:tcPr>
            <w:tcW w:w="1990" w:type="dxa"/>
            <w:tcBorders>
              <w:left w:val="single" w:color="auto" w:sz="4" w:space="0"/>
            </w:tcBorders>
            <w:vAlign w:val="center"/>
          </w:tcPr>
          <w:p w14:paraId="0E795152">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0.00</w:t>
            </w:r>
          </w:p>
        </w:tc>
      </w:tr>
      <w:tr w14:paraId="06E0478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486" w:type="dxa"/>
            <w:vAlign w:val="center"/>
          </w:tcPr>
          <w:p w14:paraId="2320F954">
            <w:pPr>
              <w:keepNext w:val="0"/>
              <w:keepLines w:val="0"/>
              <w:pageBreakBefore w:val="0"/>
              <w:widowControl/>
              <w:kinsoku/>
              <w:wordWrap/>
              <w:overflowPunct/>
              <w:topLinePunct w:val="0"/>
              <w:autoSpaceDE/>
              <w:autoSpaceDN/>
              <w:bidi w:val="0"/>
              <w:adjustRightInd/>
              <w:snapToGrid/>
              <w:ind w:left="0" w:right="0"/>
              <w:jc w:val="center"/>
              <w:textAlignment w:val="center"/>
              <w:rPr>
                <w:rFonts w:ascii="Times New Roman" w:hAnsi="Times New Roman" w:cs="Times New Roman"/>
                <w:color w:val="auto"/>
                <w:position w:val="1"/>
                <w:sz w:val="21"/>
                <w:szCs w:val="21"/>
                <w:highlight w:val="none"/>
                <w:lang w:bidi="zh-CN"/>
              </w:rPr>
            </w:pPr>
            <w:r>
              <w:rPr>
                <w:rFonts w:hint="eastAsia" w:ascii="Times New Roman" w:hAnsi="Times New Roman" w:cs="Times New Roman"/>
                <w:color w:val="auto"/>
                <w:position w:val="1"/>
                <w:sz w:val="21"/>
                <w:szCs w:val="21"/>
                <w:highlight w:val="none"/>
                <w:lang w:bidi="zh-CN"/>
              </w:rPr>
              <w:t>800</w:t>
            </w:r>
          </w:p>
        </w:tc>
        <w:tc>
          <w:tcPr>
            <w:tcW w:w="2005" w:type="dxa"/>
            <w:tcBorders>
              <w:left w:val="single" w:color="auto" w:sz="6" w:space="0"/>
            </w:tcBorders>
            <w:vAlign w:val="center"/>
          </w:tcPr>
          <w:p w14:paraId="36704A88">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2.1031</w:t>
            </w:r>
          </w:p>
        </w:tc>
        <w:tc>
          <w:tcPr>
            <w:tcW w:w="2014" w:type="dxa"/>
            <w:tcBorders>
              <w:left w:val="single" w:color="auto" w:sz="6" w:space="0"/>
            </w:tcBorders>
            <w:vAlign w:val="center"/>
          </w:tcPr>
          <w:p w14:paraId="2AA1678B">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0.10</w:t>
            </w:r>
          </w:p>
        </w:tc>
        <w:tc>
          <w:tcPr>
            <w:tcW w:w="2023" w:type="dxa"/>
            <w:tcBorders>
              <w:left w:val="single" w:color="auto" w:sz="6" w:space="0"/>
              <w:right w:val="single" w:color="auto" w:sz="4" w:space="0"/>
            </w:tcBorders>
            <w:vAlign w:val="center"/>
          </w:tcPr>
          <w:p w14:paraId="210FFF5D">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0.12292</w:t>
            </w:r>
          </w:p>
        </w:tc>
        <w:tc>
          <w:tcPr>
            <w:tcW w:w="1990" w:type="dxa"/>
            <w:tcBorders>
              <w:left w:val="single" w:color="auto" w:sz="4" w:space="0"/>
            </w:tcBorders>
            <w:vAlign w:val="center"/>
          </w:tcPr>
          <w:p w14:paraId="67B6B5E5">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0.00</w:t>
            </w:r>
          </w:p>
        </w:tc>
      </w:tr>
      <w:tr w14:paraId="33208B4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486" w:type="dxa"/>
            <w:vAlign w:val="center"/>
          </w:tcPr>
          <w:p w14:paraId="0956DA2D">
            <w:pPr>
              <w:keepNext w:val="0"/>
              <w:keepLines w:val="0"/>
              <w:pageBreakBefore w:val="0"/>
              <w:widowControl/>
              <w:kinsoku/>
              <w:wordWrap/>
              <w:overflowPunct/>
              <w:topLinePunct w:val="0"/>
              <w:autoSpaceDE/>
              <w:autoSpaceDN/>
              <w:bidi w:val="0"/>
              <w:adjustRightInd/>
              <w:snapToGrid/>
              <w:ind w:left="0" w:right="0"/>
              <w:jc w:val="center"/>
              <w:textAlignment w:val="center"/>
              <w:rPr>
                <w:rFonts w:ascii="Times New Roman" w:hAnsi="Times New Roman" w:cs="Times New Roman"/>
                <w:color w:val="auto"/>
                <w:position w:val="1"/>
                <w:sz w:val="21"/>
                <w:szCs w:val="21"/>
                <w:highlight w:val="none"/>
                <w:lang w:bidi="zh-CN"/>
              </w:rPr>
            </w:pPr>
            <w:r>
              <w:rPr>
                <w:rFonts w:hint="eastAsia" w:ascii="Times New Roman" w:hAnsi="Times New Roman" w:cs="Times New Roman"/>
                <w:color w:val="auto"/>
                <w:position w:val="1"/>
                <w:sz w:val="21"/>
                <w:szCs w:val="21"/>
                <w:highlight w:val="none"/>
                <w:lang w:bidi="zh-CN"/>
              </w:rPr>
              <w:t>900</w:t>
            </w:r>
          </w:p>
        </w:tc>
        <w:tc>
          <w:tcPr>
            <w:tcW w:w="2005" w:type="dxa"/>
            <w:tcBorders>
              <w:left w:val="single" w:color="auto" w:sz="6" w:space="0"/>
            </w:tcBorders>
            <w:vAlign w:val="center"/>
          </w:tcPr>
          <w:p w14:paraId="18C214B3">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1.9331</w:t>
            </w:r>
          </w:p>
        </w:tc>
        <w:tc>
          <w:tcPr>
            <w:tcW w:w="2014" w:type="dxa"/>
            <w:tcBorders>
              <w:left w:val="single" w:color="auto" w:sz="6" w:space="0"/>
            </w:tcBorders>
            <w:vAlign w:val="center"/>
          </w:tcPr>
          <w:p w14:paraId="0B3E9E39">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0.10</w:t>
            </w:r>
          </w:p>
        </w:tc>
        <w:tc>
          <w:tcPr>
            <w:tcW w:w="2023" w:type="dxa"/>
            <w:tcBorders>
              <w:left w:val="single" w:color="auto" w:sz="6" w:space="0"/>
              <w:right w:val="single" w:color="auto" w:sz="4" w:space="0"/>
            </w:tcBorders>
            <w:vAlign w:val="center"/>
          </w:tcPr>
          <w:p w14:paraId="76198B9A">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0.10744</w:t>
            </w:r>
          </w:p>
        </w:tc>
        <w:tc>
          <w:tcPr>
            <w:tcW w:w="1990" w:type="dxa"/>
            <w:tcBorders>
              <w:left w:val="single" w:color="auto" w:sz="4" w:space="0"/>
            </w:tcBorders>
            <w:vAlign w:val="center"/>
          </w:tcPr>
          <w:p w14:paraId="24523468">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0.00</w:t>
            </w:r>
          </w:p>
        </w:tc>
      </w:tr>
      <w:tr w14:paraId="590EF30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486" w:type="dxa"/>
            <w:vAlign w:val="center"/>
          </w:tcPr>
          <w:p w14:paraId="6767B345">
            <w:pPr>
              <w:keepNext w:val="0"/>
              <w:keepLines w:val="0"/>
              <w:pageBreakBefore w:val="0"/>
              <w:widowControl/>
              <w:kinsoku/>
              <w:wordWrap/>
              <w:overflowPunct/>
              <w:topLinePunct w:val="0"/>
              <w:autoSpaceDE/>
              <w:autoSpaceDN/>
              <w:bidi w:val="0"/>
              <w:adjustRightInd/>
              <w:snapToGrid/>
              <w:ind w:left="0" w:right="0"/>
              <w:jc w:val="center"/>
              <w:textAlignment w:val="center"/>
              <w:rPr>
                <w:rFonts w:ascii="Times New Roman" w:hAnsi="Times New Roman" w:cs="Times New Roman"/>
                <w:color w:val="auto"/>
                <w:position w:val="1"/>
                <w:sz w:val="21"/>
                <w:szCs w:val="21"/>
                <w:highlight w:val="none"/>
                <w:lang w:bidi="zh-CN"/>
              </w:rPr>
            </w:pPr>
            <w:r>
              <w:rPr>
                <w:rFonts w:hint="eastAsia" w:ascii="Times New Roman" w:hAnsi="Times New Roman" w:cs="Times New Roman"/>
                <w:color w:val="auto"/>
                <w:position w:val="1"/>
                <w:sz w:val="21"/>
                <w:szCs w:val="21"/>
                <w:highlight w:val="none"/>
                <w:lang w:bidi="zh-CN"/>
              </w:rPr>
              <w:t>1000</w:t>
            </w:r>
          </w:p>
        </w:tc>
        <w:tc>
          <w:tcPr>
            <w:tcW w:w="2005" w:type="dxa"/>
            <w:tcBorders>
              <w:left w:val="single" w:color="auto" w:sz="6" w:space="0"/>
            </w:tcBorders>
            <w:vAlign w:val="center"/>
          </w:tcPr>
          <w:p w14:paraId="2C8E33EB">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1.7814</w:t>
            </w:r>
          </w:p>
        </w:tc>
        <w:tc>
          <w:tcPr>
            <w:tcW w:w="2014" w:type="dxa"/>
            <w:tcBorders>
              <w:left w:val="single" w:color="auto" w:sz="6" w:space="0"/>
            </w:tcBorders>
            <w:vAlign w:val="center"/>
          </w:tcPr>
          <w:p w14:paraId="2177168B">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0.10</w:t>
            </w:r>
          </w:p>
        </w:tc>
        <w:tc>
          <w:tcPr>
            <w:tcW w:w="2023" w:type="dxa"/>
            <w:tcBorders>
              <w:left w:val="single" w:color="auto" w:sz="6" w:space="0"/>
              <w:right w:val="single" w:color="auto" w:sz="4" w:space="0"/>
            </w:tcBorders>
            <w:vAlign w:val="center"/>
          </w:tcPr>
          <w:p w14:paraId="00C3FBD7">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0.095007</w:t>
            </w:r>
          </w:p>
        </w:tc>
        <w:tc>
          <w:tcPr>
            <w:tcW w:w="1990" w:type="dxa"/>
            <w:tcBorders>
              <w:left w:val="single" w:color="auto" w:sz="4" w:space="0"/>
            </w:tcBorders>
            <w:vAlign w:val="center"/>
          </w:tcPr>
          <w:p w14:paraId="69891185">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0.00</w:t>
            </w:r>
          </w:p>
        </w:tc>
      </w:tr>
      <w:tr w14:paraId="15364CA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486" w:type="dxa"/>
            <w:vAlign w:val="center"/>
          </w:tcPr>
          <w:p w14:paraId="36DD86A9">
            <w:pPr>
              <w:keepNext w:val="0"/>
              <w:keepLines w:val="0"/>
              <w:pageBreakBefore w:val="0"/>
              <w:widowControl/>
              <w:kinsoku/>
              <w:wordWrap/>
              <w:overflowPunct/>
              <w:topLinePunct w:val="0"/>
              <w:autoSpaceDE/>
              <w:autoSpaceDN/>
              <w:bidi w:val="0"/>
              <w:adjustRightInd/>
              <w:snapToGrid/>
              <w:ind w:left="0" w:right="0"/>
              <w:jc w:val="center"/>
              <w:textAlignment w:val="center"/>
              <w:rPr>
                <w:rFonts w:ascii="Times New Roman" w:hAnsi="Times New Roman" w:cs="Times New Roman"/>
                <w:color w:val="auto"/>
                <w:position w:val="1"/>
                <w:sz w:val="21"/>
                <w:szCs w:val="21"/>
                <w:highlight w:val="none"/>
                <w:lang w:bidi="zh-CN"/>
              </w:rPr>
            </w:pPr>
            <w:r>
              <w:rPr>
                <w:rFonts w:hint="eastAsia" w:ascii="Times New Roman" w:hAnsi="Times New Roman" w:cs="Times New Roman"/>
                <w:color w:val="auto"/>
                <w:position w:val="1"/>
                <w:sz w:val="21"/>
                <w:szCs w:val="21"/>
                <w:highlight w:val="none"/>
                <w:lang w:bidi="zh-CN"/>
              </w:rPr>
              <w:t>1500</w:t>
            </w:r>
          </w:p>
        </w:tc>
        <w:tc>
          <w:tcPr>
            <w:tcW w:w="2005" w:type="dxa"/>
            <w:tcBorders>
              <w:left w:val="single" w:color="auto" w:sz="6" w:space="0"/>
            </w:tcBorders>
            <w:vAlign w:val="center"/>
          </w:tcPr>
          <w:p w14:paraId="1E47EF88">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1.2353</w:t>
            </w:r>
          </w:p>
        </w:tc>
        <w:tc>
          <w:tcPr>
            <w:tcW w:w="2014" w:type="dxa"/>
            <w:tcBorders>
              <w:left w:val="single" w:color="auto" w:sz="6" w:space="0"/>
            </w:tcBorders>
            <w:vAlign w:val="center"/>
          </w:tcPr>
          <w:p w14:paraId="60C8EEEF">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0.10</w:t>
            </w:r>
          </w:p>
        </w:tc>
        <w:tc>
          <w:tcPr>
            <w:tcW w:w="2023" w:type="dxa"/>
            <w:tcBorders>
              <w:left w:val="single" w:color="auto" w:sz="6" w:space="0"/>
              <w:right w:val="single" w:color="auto" w:sz="4" w:space="0"/>
            </w:tcBorders>
            <w:vAlign w:val="center"/>
          </w:tcPr>
          <w:p w14:paraId="2A1BE767">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0.05818</w:t>
            </w:r>
          </w:p>
        </w:tc>
        <w:tc>
          <w:tcPr>
            <w:tcW w:w="1990" w:type="dxa"/>
            <w:tcBorders>
              <w:left w:val="single" w:color="auto" w:sz="4" w:space="0"/>
            </w:tcBorders>
            <w:vAlign w:val="center"/>
          </w:tcPr>
          <w:p w14:paraId="606B9075">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0.00</w:t>
            </w:r>
          </w:p>
        </w:tc>
      </w:tr>
      <w:tr w14:paraId="33F4E0B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486" w:type="dxa"/>
            <w:vAlign w:val="center"/>
          </w:tcPr>
          <w:p w14:paraId="703B551D">
            <w:pPr>
              <w:keepNext w:val="0"/>
              <w:keepLines w:val="0"/>
              <w:pageBreakBefore w:val="0"/>
              <w:widowControl/>
              <w:kinsoku/>
              <w:wordWrap/>
              <w:overflowPunct/>
              <w:topLinePunct w:val="0"/>
              <w:autoSpaceDE/>
              <w:autoSpaceDN/>
              <w:bidi w:val="0"/>
              <w:adjustRightInd/>
              <w:snapToGrid/>
              <w:ind w:left="0" w:right="0"/>
              <w:jc w:val="center"/>
              <w:textAlignment w:val="center"/>
              <w:rPr>
                <w:rFonts w:ascii="Times New Roman" w:hAnsi="Times New Roman" w:cs="Times New Roman"/>
                <w:color w:val="auto"/>
                <w:position w:val="1"/>
                <w:sz w:val="21"/>
                <w:szCs w:val="21"/>
                <w:highlight w:val="none"/>
                <w:lang w:bidi="zh-CN"/>
              </w:rPr>
            </w:pPr>
            <w:r>
              <w:rPr>
                <w:rFonts w:hint="eastAsia" w:ascii="Times New Roman" w:hAnsi="Times New Roman" w:cs="Times New Roman"/>
                <w:color w:val="auto"/>
                <w:position w:val="1"/>
                <w:sz w:val="21"/>
                <w:szCs w:val="21"/>
                <w:highlight w:val="none"/>
                <w:lang w:bidi="zh-CN"/>
              </w:rPr>
              <w:t>2000</w:t>
            </w:r>
          </w:p>
        </w:tc>
        <w:tc>
          <w:tcPr>
            <w:tcW w:w="2005" w:type="dxa"/>
            <w:tcBorders>
              <w:left w:val="single" w:color="auto" w:sz="6" w:space="0"/>
            </w:tcBorders>
            <w:vAlign w:val="center"/>
          </w:tcPr>
          <w:p w14:paraId="22EFE40B">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0.91741</w:t>
            </w:r>
          </w:p>
        </w:tc>
        <w:tc>
          <w:tcPr>
            <w:tcW w:w="2014" w:type="dxa"/>
            <w:tcBorders>
              <w:left w:val="single" w:color="auto" w:sz="6" w:space="0"/>
            </w:tcBorders>
            <w:vAlign w:val="center"/>
          </w:tcPr>
          <w:p w14:paraId="68A308B0">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0.00</w:t>
            </w:r>
          </w:p>
        </w:tc>
        <w:tc>
          <w:tcPr>
            <w:tcW w:w="2023" w:type="dxa"/>
            <w:tcBorders>
              <w:left w:val="single" w:color="auto" w:sz="6" w:space="0"/>
              <w:right w:val="single" w:color="auto" w:sz="4" w:space="0"/>
            </w:tcBorders>
            <w:vAlign w:val="center"/>
          </w:tcPr>
          <w:p w14:paraId="05B2EF4D">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0.040588</w:t>
            </w:r>
          </w:p>
        </w:tc>
        <w:tc>
          <w:tcPr>
            <w:tcW w:w="1990" w:type="dxa"/>
            <w:tcBorders>
              <w:left w:val="single" w:color="auto" w:sz="4" w:space="0"/>
            </w:tcBorders>
            <w:vAlign w:val="center"/>
          </w:tcPr>
          <w:p w14:paraId="2CAAB199">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0.00</w:t>
            </w:r>
          </w:p>
        </w:tc>
      </w:tr>
      <w:tr w14:paraId="5055C78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486" w:type="dxa"/>
            <w:vAlign w:val="center"/>
          </w:tcPr>
          <w:p w14:paraId="56B26BA2">
            <w:pPr>
              <w:keepNext w:val="0"/>
              <w:keepLines w:val="0"/>
              <w:pageBreakBefore w:val="0"/>
              <w:widowControl/>
              <w:kinsoku/>
              <w:wordWrap/>
              <w:overflowPunct/>
              <w:topLinePunct w:val="0"/>
              <w:autoSpaceDE/>
              <w:autoSpaceDN/>
              <w:bidi w:val="0"/>
              <w:adjustRightInd/>
              <w:snapToGrid/>
              <w:ind w:left="0" w:right="0"/>
              <w:jc w:val="center"/>
              <w:textAlignment w:val="center"/>
              <w:rPr>
                <w:rFonts w:ascii="Times New Roman" w:hAnsi="Times New Roman" w:cs="Times New Roman"/>
                <w:color w:val="auto"/>
                <w:position w:val="1"/>
                <w:sz w:val="21"/>
                <w:szCs w:val="21"/>
                <w:highlight w:val="none"/>
                <w:lang w:bidi="zh-CN"/>
              </w:rPr>
            </w:pPr>
            <w:r>
              <w:rPr>
                <w:rFonts w:hint="eastAsia" w:ascii="Times New Roman" w:hAnsi="Times New Roman" w:cs="Times New Roman"/>
                <w:color w:val="auto"/>
                <w:position w:val="1"/>
                <w:sz w:val="21"/>
                <w:szCs w:val="21"/>
                <w:highlight w:val="none"/>
                <w:lang w:bidi="zh-CN"/>
              </w:rPr>
              <w:t>2500</w:t>
            </w:r>
          </w:p>
        </w:tc>
        <w:tc>
          <w:tcPr>
            <w:tcW w:w="2005" w:type="dxa"/>
            <w:tcBorders>
              <w:left w:val="single" w:color="auto" w:sz="6" w:space="0"/>
            </w:tcBorders>
            <w:vAlign w:val="center"/>
          </w:tcPr>
          <w:p w14:paraId="0CCF7C0D">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0.71716</w:t>
            </w:r>
          </w:p>
        </w:tc>
        <w:tc>
          <w:tcPr>
            <w:tcW w:w="2014" w:type="dxa"/>
            <w:tcBorders>
              <w:left w:val="single" w:color="auto" w:sz="6" w:space="0"/>
            </w:tcBorders>
            <w:vAlign w:val="center"/>
          </w:tcPr>
          <w:p w14:paraId="57D5D861">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0.00</w:t>
            </w:r>
          </w:p>
        </w:tc>
        <w:tc>
          <w:tcPr>
            <w:tcW w:w="2023" w:type="dxa"/>
            <w:tcBorders>
              <w:left w:val="single" w:color="auto" w:sz="6" w:space="0"/>
              <w:right w:val="single" w:color="auto" w:sz="4" w:space="0"/>
            </w:tcBorders>
            <w:vAlign w:val="center"/>
          </w:tcPr>
          <w:p w14:paraId="59CA2B6A">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0.030552</w:t>
            </w:r>
          </w:p>
        </w:tc>
        <w:tc>
          <w:tcPr>
            <w:tcW w:w="1990" w:type="dxa"/>
            <w:tcBorders>
              <w:left w:val="single" w:color="auto" w:sz="4" w:space="0"/>
            </w:tcBorders>
            <w:vAlign w:val="center"/>
          </w:tcPr>
          <w:p w14:paraId="3540392E">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0.00</w:t>
            </w:r>
          </w:p>
        </w:tc>
      </w:tr>
      <w:tr w14:paraId="218E664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486" w:type="dxa"/>
            <w:vAlign w:val="center"/>
          </w:tcPr>
          <w:p w14:paraId="07B08EA9">
            <w:pPr>
              <w:keepNext w:val="0"/>
              <w:keepLines w:val="0"/>
              <w:pageBreakBefore w:val="0"/>
              <w:widowControl/>
              <w:kinsoku/>
              <w:wordWrap/>
              <w:overflowPunct/>
              <w:topLinePunct w:val="0"/>
              <w:autoSpaceDE/>
              <w:autoSpaceDN/>
              <w:bidi w:val="0"/>
              <w:adjustRightInd/>
              <w:snapToGrid/>
              <w:ind w:left="0" w:right="0"/>
              <w:jc w:val="center"/>
              <w:rPr>
                <w:rFonts w:ascii="Times New Roman" w:hAnsi="Times New Roman"/>
                <w:color w:val="auto"/>
                <w:sz w:val="21"/>
                <w:szCs w:val="21"/>
                <w:highlight w:val="none"/>
              </w:rPr>
            </w:pPr>
            <w:r>
              <w:rPr>
                <w:rFonts w:ascii="Times New Roman" w:hAnsi="Times New Roman"/>
                <w:color w:val="auto"/>
                <w:sz w:val="21"/>
                <w:szCs w:val="21"/>
                <w:highlight w:val="none"/>
              </w:rPr>
              <w:t>下风向最大浓度</w:t>
            </w:r>
          </w:p>
        </w:tc>
        <w:tc>
          <w:tcPr>
            <w:tcW w:w="4019" w:type="dxa"/>
            <w:gridSpan w:val="2"/>
            <w:tcBorders>
              <w:left w:val="single" w:color="auto" w:sz="6" w:space="0"/>
            </w:tcBorders>
            <w:vAlign w:val="center"/>
          </w:tcPr>
          <w:p w14:paraId="7F97FAEF">
            <w:pPr>
              <w:keepNext w:val="0"/>
              <w:keepLines w:val="0"/>
              <w:pageBreakBefore w:val="0"/>
              <w:widowControl/>
              <w:kinsoku/>
              <w:wordWrap/>
              <w:overflowPunct/>
              <w:topLinePunct w:val="0"/>
              <w:autoSpaceDE/>
              <w:autoSpaceDN/>
              <w:bidi w:val="0"/>
              <w:adjustRightInd/>
              <w:snapToGrid/>
              <w:ind w:left="0" w:right="0"/>
              <w:jc w:val="center"/>
              <w:textAlignment w:val="center"/>
              <w:rPr>
                <w:rFonts w:hint="default" w:ascii="Times New Roman" w:hAnsi="Times New Roman" w:eastAsia="宋体"/>
                <w:color w:val="auto"/>
                <w:sz w:val="21"/>
                <w:szCs w:val="21"/>
                <w:highlight w:val="none"/>
                <w:lang w:val="en-US" w:eastAsia="zh-CN"/>
              </w:rPr>
            </w:pPr>
            <w:r>
              <w:rPr>
                <w:rFonts w:hint="eastAsia" w:ascii="Times New Roman" w:hAnsi="Times New Roman"/>
                <w:color w:val="auto"/>
                <w:sz w:val="21"/>
                <w:szCs w:val="21"/>
                <w:highlight w:val="none"/>
                <w:lang w:val="en-US" w:eastAsia="zh-CN"/>
              </w:rPr>
              <w:t>15.455</w:t>
            </w:r>
          </w:p>
        </w:tc>
        <w:tc>
          <w:tcPr>
            <w:tcW w:w="4013" w:type="dxa"/>
            <w:gridSpan w:val="2"/>
            <w:tcBorders>
              <w:left w:val="single" w:color="auto" w:sz="6" w:space="0"/>
            </w:tcBorders>
            <w:vAlign w:val="center"/>
          </w:tcPr>
          <w:p w14:paraId="360E3E2D">
            <w:pPr>
              <w:keepNext w:val="0"/>
              <w:keepLines w:val="0"/>
              <w:pageBreakBefore w:val="0"/>
              <w:widowControl/>
              <w:kinsoku/>
              <w:wordWrap/>
              <w:overflowPunct/>
              <w:topLinePunct w:val="0"/>
              <w:autoSpaceDE/>
              <w:autoSpaceDN/>
              <w:bidi w:val="0"/>
              <w:adjustRightInd/>
              <w:snapToGrid/>
              <w:ind w:left="0" w:right="0"/>
              <w:jc w:val="center"/>
              <w:textAlignment w:val="center"/>
              <w:rPr>
                <w:rFonts w:hint="default" w:ascii="Times New Roman" w:hAnsi="Times New Roman" w:eastAsia="宋体"/>
                <w:color w:val="auto"/>
                <w:sz w:val="21"/>
                <w:szCs w:val="21"/>
                <w:highlight w:val="none"/>
                <w:lang w:val="en-US" w:eastAsia="zh-CN"/>
              </w:rPr>
            </w:pPr>
            <w:r>
              <w:rPr>
                <w:rFonts w:hint="eastAsia" w:ascii="Times New Roman" w:hAnsi="Times New Roman"/>
                <w:color w:val="auto"/>
                <w:sz w:val="21"/>
                <w:szCs w:val="21"/>
                <w:highlight w:val="none"/>
                <w:lang w:val="en-US" w:eastAsia="zh-CN"/>
              </w:rPr>
              <w:t>1.5714</w:t>
            </w:r>
          </w:p>
        </w:tc>
      </w:tr>
      <w:tr w14:paraId="247E2B9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486" w:type="dxa"/>
            <w:vAlign w:val="center"/>
          </w:tcPr>
          <w:p w14:paraId="548049DC">
            <w:pPr>
              <w:keepNext w:val="0"/>
              <w:keepLines w:val="0"/>
              <w:pageBreakBefore w:val="0"/>
              <w:widowControl/>
              <w:kinsoku/>
              <w:wordWrap/>
              <w:overflowPunct/>
              <w:topLinePunct w:val="0"/>
              <w:autoSpaceDE/>
              <w:autoSpaceDN/>
              <w:bidi w:val="0"/>
              <w:adjustRightInd/>
              <w:snapToGrid/>
              <w:ind w:left="0" w:right="0"/>
              <w:jc w:val="center"/>
              <w:rPr>
                <w:rFonts w:ascii="Times New Roman" w:hAnsi="Times New Roman"/>
                <w:color w:val="auto"/>
                <w:sz w:val="21"/>
                <w:szCs w:val="21"/>
                <w:highlight w:val="none"/>
              </w:rPr>
            </w:pPr>
            <w:r>
              <w:rPr>
                <w:rFonts w:ascii="Times New Roman" w:hAnsi="Times New Roman"/>
                <w:color w:val="auto"/>
                <w:sz w:val="21"/>
                <w:szCs w:val="21"/>
                <w:highlight w:val="none"/>
              </w:rPr>
              <w:t>最大浓度出现距离（m）</w:t>
            </w:r>
          </w:p>
        </w:tc>
        <w:tc>
          <w:tcPr>
            <w:tcW w:w="4019" w:type="dxa"/>
            <w:gridSpan w:val="2"/>
            <w:tcBorders>
              <w:left w:val="single" w:color="auto" w:sz="6" w:space="0"/>
            </w:tcBorders>
            <w:vAlign w:val="center"/>
          </w:tcPr>
          <w:p w14:paraId="7B2ADA06">
            <w:pPr>
              <w:keepNext w:val="0"/>
              <w:keepLines w:val="0"/>
              <w:pageBreakBefore w:val="0"/>
              <w:widowControl/>
              <w:kinsoku/>
              <w:wordWrap/>
              <w:overflowPunct/>
              <w:topLinePunct w:val="0"/>
              <w:autoSpaceDE/>
              <w:autoSpaceDN/>
              <w:bidi w:val="0"/>
              <w:adjustRightInd/>
              <w:snapToGrid/>
              <w:ind w:left="0" w:right="0"/>
              <w:jc w:val="center"/>
              <w:rPr>
                <w:rFonts w:hint="default" w:ascii="Times New Roman" w:hAnsi="Times New Roman" w:eastAsia="宋体"/>
                <w:color w:val="auto"/>
                <w:sz w:val="21"/>
                <w:szCs w:val="21"/>
                <w:highlight w:val="none"/>
                <w:lang w:val="en-US" w:eastAsia="zh-CN"/>
              </w:rPr>
            </w:pPr>
            <w:r>
              <w:rPr>
                <w:rFonts w:hint="eastAsia" w:ascii="Times New Roman" w:hAnsi="Times New Roman"/>
                <w:color w:val="auto"/>
                <w:sz w:val="21"/>
                <w:szCs w:val="21"/>
                <w:highlight w:val="none"/>
                <w:lang w:val="en-US" w:eastAsia="zh-CN"/>
              </w:rPr>
              <w:t>34</w:t>
            </w:r>
          </w:p>
        </w:tc>
        <w:tc>
          <w:tcPr>
            <w:tcW w:w="4013" w:type="dxa"/>
            <w:gridSpan w:val="2"/>
            <w:tcBorders>
              <w:left w:val="single" w:color="auto" w:sz="6" w:space="0"/>
            </w:tcBorders>
            <w:vAlign w:val="center"/>
          </w:tcPr>
          <w:p w14:paraId="1CABB5F2">
            <w:pPr>
              <w:keepNext w:val="0"/>
              <w:keepLines w:val="0"/>
              <w:pageBreakBefore w:val="0"/>
              <w:widowControl/>
              <w:kinsoku/>
              <w:wordWrap/>
              <w:overflowPunct/>
              <w:topLinePunct w:val="0"/>
              <w:autoSpaceDE/>
              <w:autoSpaceDN/>
              <w:bidi w:val="0"/>
              <w:adjustRightInd/>
              <w:snapToGrid/>
              <w:ind w:left="0" w:right="0"/>
              <w:jc w:val="center"/>
              <w:rPr>
                <w:rFonts w:hint="default" w:ascii="Times New Roman" w:hAnsi="Times New Roman" w:eastAsia="宋体"/>
                <w:color w:val="auto"/>
                <w:sz w:val="21"/>
                <w:szCs w:val="21"/>
                <w:highlight w:val="none"/>
                <w:lang w:val="en-US" w:eastAsia="zh-CN"/>
              </w:rPr>
            </w:pPr>
            <w:r>
              <w:rPr>
                <w:rFonts w:hint="eastAsia" w:ascii="Times New Roman" w:hAnsi="Times New Roman"/>
                <w:color w:val="auto"/>
                <w:sz w:val="21"/>
                <w:szCs w:val="21"/>
                <w:highlight w:val="none"/>
                <w:lang w:val="en-US" w:eastAsia="zh-CN"/>
              </w:rPr>
              <w:t>23</w:t>
            </w:r>
          </w:p>
        </w:tc>
      </w:tr>
      <w:tr w14:paraId="1B6D3B2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486" w:type="dxa"/>
            <w:vAlign w:val="center"/>
          </w:tcPr>
          <w:p w14:paraId="011367F6">
            <w:pPr>
              <w:keepNext w:val="0"/>
              <w:keepLines w:val="0"/>
              <w:pageBreakBefore w:val="0"/>
              <w:widowControl/>
              <w:kinsoku/>
              <w:wordWrap/>
              <w:overflowPunct/>
              <w:topLinePunct w:val="0"/>
              <w:autoSpaceDE/>
              <w:autoSpaceDN/>
              <w:bidi w:val="0"/>
              <w:adjustRightInd/>
              <w:snapToGrid/>
              <w:ind w:left="0" w:right="0"/>
              <w:jc w:val="center"/>
              <w:rPr>
                <w:rFonts w:ascii="Times New Roman" w:hAnsi="Times New Roman"/>
                <w:color w:val="auto"/>
                <w:sz w:val="21"/>
                <w:szCs w:val="21"/>
                <w:highlight w:val="none"/>
              </w:rPr>
            </w:pPr>
            <w:r>
              <w:rPr>
                <w:rFonts w:ascii="Times New Roman" w:hAnsi="Times New Roman"/>
                <w:color w:val="auto"/>
                <w:sz w:val="21"/>
                <w:szCs w:val="21"/>
                <w:highlight w:val="none"/>
              </w:rPr>
              <w:t>浓度占标准10%</w:t>
            </w:r>
          </w:p>
          <w:p w14:paraId="07CB8850">
            <w:pPr>
              <w:keepNext w:val="0"/>
              <w:keepLines w:val="0"/>
              <w:pageBreakBefore w:val="0"/>
              <w:widowControl/>
              <w:kinsoku/>
              <w:wordWrap/>
              <w:overflowPunct/>
              <w:topLinePunct w:val="0"/>
              <w:autoSpaceDE/>
              <w:autoSpaceDN/>
              <w:bidi w:val="0"/>
              <w:adjustRightInd/>
              <w:snapToGrid/>
              <w:ind w:left="0" w:right="0"/>
              <w:jc w:val="center"/>
              <w:rPr>
                <w:rFonts w:ascii="Times New Roman" w:hAnsi="Times New Roman"/>
                <w:color w:val="auto"/>
                <w:sz w:val="21"/>
                <w:szCs w:val="21"/>
                <w:highlight w:val="none"/>
              </w:rPr>
            </w:pPr>
            <w:r>
              <w:rPr>
                <w:rFonts w:ascii="Times New Roman" w:hAnsi="Times New Roman"/>
                <w:color w:val="auto"/>
                <w:sz w:val="21"/>
                <w:szCs w:val="21"/>
                <w:highlight w:val="none"/>
              </w:rPr>
              <w:t>距源最远距离D10%</w:t>
            </w:r>
          </w:p>
        </w:tc>
        <w:tc>
          <w:tcPr>
            <w:tcW w:w="4019" w:type="dxa"/>
            <w:gridSpan w:val="2"/>
            <w:tcBorders>
              <w:left w:val="single" w:color="auto" w:sz="6" w:space="0"/>
            </w:tcBorders>
            <w:vAlign w:val="center"/>
          </w:tcPr>
          <w:p w14:paraId="6CFF687C">
            <w:pPr>
              <w:keepNext w:val="0"/>
              <w:keepLines w:val="0"/>
              <w:pageBreakBefore w:val="0"/>
              <w:widowControl/>
              <w:kinsoku/>
              <w:wordWrap/>
              <w:overflowPunct/>
              <w:topLinePunct w:val="0"/>
              <w:autoSpaceDE/>
              <w:autoSpaceDN/>
              <w:bidi w:val="0"/>
              <w:adjustRightInd/>
              <w:snapToGrid/>
              <w:ind w:left="0" w:right="0"/>
              <w:jc w:val="center"/>
              <w:rPr>
                <w:rFonts w:ascii="Times New Roman" w:hAnsi="Times New Roman"/>
                <w:color w:val="auto"/>
                <w:sz w:val="21"/>
                <w:szCs w:val="21"/>
                <w:highlight w:val="none"/>
              </w:rPr>
            </w:pPr>
            <w:r>
              <w:rPr>
                <w:rFonts w:ascii="Times New Roman" w:hAnsi="Times New Roman"/>
                <w:color w:val="auto"/>
                <w:sz w:val="21"/>
                <w:szCs w:val="21"/>
                <w:highlight w:val="none"/>
              </w:rPr>
              <w:t>Pmax＜1%</w:t>
            </w:r>
          </w:p>
        </w:tc>
        <w:tc>
          <w:tcPr>
            <w:tcW w:w="4013" w:type="dxa"/>
            <w:gridSpan w:val="2"/>
            <w:tcBorders>
              <w:left w:val="single" w:color="auto" w:sz="6" w:space="0"/>
            </w:tcBorders>
            <w:vAlign w:val="center"/>
          </w:tcPr>
          <w:p w14:paraId="7F5620F9">
            <w:pPr>
              <w:keepNext w:val="0"/>
              <w:keepLines w:val="0"/>
              <w:pageBreakBefore w:val="0"/>
              <w:widowControl/>
              <w:kinsoku/>
              <w:wordWrap/>
              <w:overflowPunct/>
              <w:topLinePunct w:val="0"/>
              <w:autoSpaceDE/>
              <w:autoSpaceDN/>
              <w:bidi w:val="0"/>
              <w:adjustRightInd/>
              <w:snapToGrid/>
              <w:ind w:left="0" w:right="0"/>
              <w:jc w:val="center"/>
              <w:rPr>
                <w:rFonts w:ascii="Times New Roman" w:hAnsi="Times New Roman"/>
                <w:color w:val="auto"/>
                <w:sz w:val="21"/>
                <w:szCs w:val="21"/>
                <w:highlight w:val="none"/>
              </w:rPr>
            </w:pPr>
            <w:r>
              <w:rPr>
                <w:rFonts w:ascii="Times New Roman" w:hAnsi="Times New Roman"/>
                <w:color w:val="auto"/>
                <w:sz w:val="21"/>
                <w:szCs w:val="21"/>
                <w:highlight w:val="none"/>
              </w:rPr>
              <w:t>Pmax＜1%</w:t>
            </w:r>
          </w:p>
        </w:tc>
      </w:tr>
    </w:tbl>
    <w:p w14:paraId="07F4385B">
      <w:pPr>
        <w:pStyle w:val="15"/>
        <w:spacing w:line="360" w:lineRule="auto"/>
        <w:ind w:left="-105" w:right="-105" w:firstLine="482"/>
        <w:rPr>
          <w:rFonts w:eastAsia="宋体" w:cs="Times New Roman"/>
          <w:color w:val="auto"/>
          <w:kern w:val="0"/>
          <w:sz w:val="24"/>
          <w:szCs w:val="24"/>
          <w:highlight w:val="none"/>
        </w:rPr>
      </w:pPr>
      <w:bookmarkStart w:id="376" w:name="_Ref38808510"/>
      <w:r>
        <w:rPr>
          <w:rFonts w:eastAsia="宋体" w:cs="Times New Roman"/>
          <w:color w:val="auto"/>
          <w:sz w:val="24"/>
          <w:szCs w:val="18"/>
          <w:highlight w:val="none"/>
        </w:rPr>
        <w:t>表</w:t>
      </w:r>
      <w:r>
        <w:rPr>
          <w:rFonts w:eastAsia="宋体" w:cs="Times New Roman"/>
          <w:color w:val="auto"/>
          <w:sz w:val="24"/>
          <w:szCs w:val="18"/>
          <w:highlight w:val="none"/>
        </w:rPr>
        <w:fldChar w:fldCharType="begin"/>
      </w:r>
      <w:r>
        <w:rPr>
          <w:rFonts w:eastAsia="宋体" w:cs="Times New Roman"/>
          <w:color w:val="auto"/>
          <w:sz w:val="24"/>
          <w:szCs w:val="18"/>
          <w:highlight w:val="none"/>
        </w:rPr>
        <w:instrText xml:space="preserve"> STYLEREF 2 \s </w:instrText>
      </w:r>
      <w:r>
        <w:rPr>
          <w:rFonts w:eastAsia="宋体" w:cs="Times New Roman"/>
          <w:color w:val="auto"/>
          <w:sz w:val="24"/>
          <w:szCs w:val="18"/>
          <w:highlight w:val="none"/>
        </w:rPr>
        <w:fldChar w:fldCharType="separate"/>
      </w:r>
      <w:r>
        <w:rPr>
          <w:rFonts w:eastAsia="宋体" w:cs="Times New Roman"/>
          <w:color w:val="auto"/>
          <w:sz w:val="24"/>
          <w:szCs w:val="18"/>
          <w:highlight w:val="none"/>
        </w:rPr>
        <w:t>6.1</w:t>
      </w:r>
      <w:r>
        <w:rPr>
          <w:rFonts w:eastAsia="宋体" w:cs="Times New Roman"/>
          <w:color w:val="auto"/>
          <w:sz w:val="24"/>
          <w:szCs w:val="18"/>
          <w:highlight w:val="none"/>
        </w:rPr>
        <w:fldChar w:fldCharType="end"/>
      </w:r>
      <w:r>
        <w:rPr>
          <w:rFonts w:eastAsia="宋体" w:cs="Times New Roman"/>
          <w:color w:val="auto"/>
          <w:sz w:val="24"/>
          <w:szCs w:val="18"/>
          <w:highlight w:val="none"/>
        </w:rPr>
        <w:noBreakHyphen/>
      </w:r>
      <w:r>
        <w:rPr>
          <w:rFonts w:eastAsia="宋体" w:cs="Times New Roman"/>
          <w:color w:val="auto"/>
          <w:sz w:val="24"/>
          <w:szCs w:val="18"/>
          <w:highlight w:val="none"/>
        </w:rPr>
        <w:fldChar w:fldCharType="begin"/>
      </w:r>
      <w:r>
        <w:rPr>
          <w:rFonts w:eastAsia="宋体" w:cs="Times New Roman"/>
          <w:color w:val="auto"/>
          <w:sz w:val="24"/>
          <w:szCs w:val="18"/>
          <w:highlight w:val="none"/>
        </w:rPr>
        <w:instrText xml:space="preserve"> SEQ 表 \* ARABIC \s 2 </w:instrText>
      </w:r>
      <w:r>
        <w:rPr>
          <w:rFonts w:eastAsia="宋体" w:cs="Times New Roman"/>
          <w:color w:val="auto"/>
          <w:sz w:val="24"/>
          <w:szCs w:val="18"/>
          <w:highlight w:val="none"/>
        </w:rPr>
        <w:fldChar w:fldCharType="separate"/>
      </w:r>
      <w:r>
        <w:rPr>
          <w:rFonts w:eastAsia="宋体" w:cs="Times New Roman"/>
          <w:color w:val="auto"/>
          <w:sz w:val="24"/>
          <w:szCs w:val="18"/>
          <w:highlight w:val="none"/>
        </w:rPr>
        <w:t>10</w:t>
      </w:r>
      <w:r>
        <w:rPr>
          <w:rFonts w:eastAsia="宋体" w:cs="Times New Roman"/>
          <w:color w:val="auto"/>
          <w:sz w:val="24"/>
          <w:szCs w:val="18"/>
          <w:highlight w:val="none"/>
        </w:rPr>
        <w:fldChar w:fldCharType="end"/>
      </w:r>
      <w:r>
        <w:rPr>
          <w:rFonts w:eastAsia="宋体" w:cs="Times New Roman"/>
          <w:color w:val="auto"/>
          <w:sz w:val="24"/>
          <w:szCs w:val="22"/>
          <w:highlight w:val="none"/>
        </w:rPr>
        <w:t>无组织（</w:t>
      </w:r>
      <w:r>
        <w:rPr>
          <w:rFonts w:hint="eastAsia" w:eastAsia="宋体" w:cs="Times New Roman"/>
          <w:color w:val="auto"/>
          <w:sz w:val="24"/>
          <w:szCs w:val="22"/>
          <w:highlight w:val="none"/>
        </w:rPr>
        <w:t>实验楼</w:t>
      </w:r>
      <w:r>
        <w:rPr>
          <w:rFonts w:eastAsia="宋体" w:cs="Times New Roman"/>
          <w:color w:val="auto"/>
          <w:sz w:val="24"/>
          <w:szCs w:val="22"/>
          <w:highlight w:val="none"/>
        </w:rPr>
        <w:t>）排放大气污染物影响预测结果表</w:t>
      </w:r>
    </w:p>
    <w:tbl>
      <w:tblPr>
        <w:tblStyle w:val="45"/>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1328"/>
        <w:gridCol w:w="1792"/>
        <w:gridCol w:w="1800"/>
        <w:gridCol w:w="1807"/>
        <w:gridCol w:w="1777"/>
      </w:tblGrid>
      <w:tr w14:paraId="3A3932E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328" w:type="dxa"/>
            <w:vMerge w:val="restart"/>
            <w:vAlign w:val="center"/>
          </w:tcPr>
          <w:p w14:paraId="1CEE6A8E">
            <w:pPr>
              <w:keepNext w:val="0"/>
              <w:keepLines w:val="0"/>
              <w:pageBreakBefore w:val="0"/>
              <w:widowControl/>
              <w:kinsoku/>
              <w:wordWrap/>
              <w:overflowPunct/>
              <w:topLinePunct w:val="0"/>
              <w:autoSpaceDE/>
              <w:autoSpaceDN/>
              <w:bidi w:val="0"/>
              <w:adjustRightInd/>
              <w:snapToGrid/>
              <w:ind w:left="0" w:right="0"/>
              <w:jc w:val="center"/>
              <w:rPr>
                <w:rFonts w:ascii="Times New Roman" w:hAnsi="Times New Roman"/>
                <w:b/>
                <w:color w:val="auto"/>
                <w:sz w:val="21"/>
                <w:szCs w:val="21"/>
                <w:highlight w:val="none"/>
              </w:rPr>
            </w:pPr>
            <w:r>
              <w:rPr>
                <w:rFonts w:ascii="Times New Roman" w:hAnsi="Times New Roman"/>
                <w:b/>
                <w:color w:val="auto"/>
                <w:sz w:val="21"/>
                <w:szCs w:val="21"/>
                <w:highlight w:val="none"/>
              </w:rPr>
              <w:t>距源中心下风向距离（m）</w:t>
            </w:r>
          </w:p>
        </w:tc>
        <w:tc>
          <w:tcPr>
            <w:tcW w:w="7176" w:type="dxa"/>
            <w:gridSpan w:val="4"/>
            <w:tcBorders>
              <w:left w:val="single" w:color="auto" w:sz="6" w:space="0"/>
            </w:tcBorders>
            <w:vAlign w:val="center"/>
          </w:tcPr>
          <w:p w14:paraId="0B74906D">
            <w:pPr>
              <w:keepNext w:val="0"/>
              <w:keepLines w:val="0"/>
              <w:pageBreakBefore w:val="0"/>
              <w:widowControl/>
              <w:kinsoku/>
              <w:wordWrap/>
              <w:overflowPunct/>
              <w:topLinePunct w:val="0"/>
              <w:autoSpaceDE/>
              <w:autoSpaceDN/>
              <w:bidi w:val="0"/>
              <w:adjustRightInd/>
              <w:snapToGrid/>
              <w:ind w:left="0" w:right="0"/>
              <w:jc w:val="center"/>
              <w:rPr>
                <w:rFonts w:ascii="Times New Roman" w:hAnsi="Times New Roman"/>
                <w:b/>
                <w:color w:val="auto"/>
                <w:sz w:val="21"/>
                <w:szCs w:val="21"/>
                <w:highlight w:val="none"/>
              </w:rPr>
            </w:pPr>
            <w:r>
              <w:rPr>
                <w:rFonts w:hint="eastAsia" w:ascii="Times New Roman" w:hAnsi="Times New Roman"/>
                <w:b/>
                <w:color w:val="auto"/>
                <w:sz w:val="21"/>
                <w:szCs w:val="21"/>
                <w:highlight w:val="none"/>
              </w:rPr>
              <w:t>实验楼</w:t>
            </w:r>
          </w:p>
        </w:tc>
      </w:tr>
      <w:tr w14:paraId="64DBE1D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328" w:type="dxa"/>
            <w:vMerge w:val="continue"/>
            <w:vAlign w:val="center"/>
          </w:tcPr>
          <w:p w14:paraId="30742DF5">
            <w:pPr>
              <w:keepNext w:val="0"/>
              <w:keepLines w:val="0"/>
              <w:pageBreakBefore w:val="0"/>
              <w:widowControl/>
              <w:kinsoku/>
              <w:wordWrap/>
              <w:overflowPunct/>
              <w:topLinePunct w:val="0"/>
              <w:autoSpaceDE/>
              <w:autoSpaceDN/>
              <w:bidi w:val="0"/>
              <w:adjustRightInd/>
              <w:snapToGrid/>
              <w:ind w:left="0" w:right="0"/>
              <w:jc w:val="center"/>
              <w:rPr>
                <w:rFonts w:ascii="Times New Roman" w:hAnsi="Times New Roman"/>
                <w:b/>
                <w:color w:val="auto"/>
                <w:sz w:val="21"/>
                <w:szCs w:val="21"/>
                <w:highlight w:val="none"/>
              </w:rPr>
            </w:pPr>
          </w:p>
        </w:tc>
        <w:tc>
          <w:tcPr>
            <w:tcW w:w="3592" w:type="dxa"/>
            <w:gridSpan w:val="2"/>
            <w:tcBorders>
              <w:left w:val="single" w:color="auto" w:sz="6" w:space="0"/>
            </w:tcBorders>
            <w:vAlign w:val="center"/>
          </w:tcPr>
          <w:p w14:paraId="101ED62E">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b/>
                <w:color w:val="auto"/>
                <w:sz w:val="21"/>
                <w:szCs w:val="21"/>
                <w:highlight w:val="none"/>
                <w:lang w:val="en-US" w:eastAsia="zh-CN"/>
              </w:rPr>
            </w:pPr>
            <w:r>
              <w:rPr>
                <w:rFonts w:hint="eastAsia" w:ascii="Times New Roman" w:hAnsi="Times New Roman"/>
                <w:b/>
                <w:color w:val="auto"/>
                <w:sz w:val="21"/>
                <w:szCs w:val="21"/>
                <w:highlight w:val="none"/>
                <w:lang w:val="en-US" w:eastAsia="zh-CN"/>
              </w:rPr>
              <w:t>氮氧化物</w:t>
            </w:r>
          </w:p>
        </w:tc>
        <w:tc>
          <w:tcPr>
            <w:tcW w:w="3584" w:type="dxa"/>
            <w:gridSpan w:val="2"/>
            <w:tcBorders>
              <w:left w:val="single" w:color="auto" w:sz="6" w:space="0"/>
            </w:tcBorders>
            <w:vAlign w:val="center"/>
          </w:tcPr>
          <w:p w14:paraId="3BCDAED6">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b/>
                <w:color w:val="auto"/>
                <w:sz w:val="21"/>
                <w:szCs w:val="21"/>
                <w:highlight w:val="none"/>
                <w:lang w:val="en-US" w:eastAsia="zh-CN"/>
              </w:rPr>
            </w:pPr>
            <w:r>
              <w:rPr>
                <w:rFonts w:hint="eastAsia" w:ascii="Times New Roman" w:hAnsi="Times New Roman"/>
                <w:b/>
                <w:color w:val="auto"/>
                <w:sz w:val="21"/>
                <w:szCs w:val="21"/>
                <w:highlight w:val="none"/>
                <w:lang w:val="en-US" w:eastAsia="zh-CN"/>
              </w:rPr>
              <w:t>甲醇</w:t>
            </w:r>
          </w:p>
        </w:tc>
      </w:tr>
      <w:tr w14:paraId="73BA24E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328" w:type="dxa"/>
            <w:vMerge w:val="continue"/>
            <w:vAlign w:val="center"/>
          </w:tcPr>
          <w:p w14:paraId="3F86A4E4">
            <w:pPr>
              <w:keepNext w:val="0"/>
              <w:keepLines w:val="0"/>
              <w:pageBreakBefore w:val="0"/>
              <w:widowControl/>
              <w:kinsoku/>
              <w:wordWrap/>
              <w:overflowPunct/>
              <w:topLinePunct w:val="0"/>
              <w:autoSpaceDE/>
              <w:autoSpaceDN/>
              <w:bidi w:val="0"/>
              <w:adjustRightInd/>
              <w:snapToGrid/>
              <w:ind w:left="0" w:right="0"/>
              <w:jc w:val="center"/>
              <w:rPr>
                <w:rFonts w:ascii="Times New Roman" w:hAnsi="Times New Roman"/>
                <w:b/>
                <w:color w:val="auto"/>
                <w:sz w:val="21"/>
                <w:szCs w:val="21"/>
                <w:highlight w:val="none"/>
              </w:rPr>
            </w:pPr>
          </w:p>
        </w:tc>
        <w:tc>
          <w:tcPr>
            <w:tcW w:w="1792" w:type="dxa"/>
            <w:tcBorders>
              <w:left w:val="single" w:color="auto" w:sz="6" w:space="0"/>
            </w:tcBorders>
            <w:vAlign w:val="center"/>
          </w:tcPr>
          <w:p w14:paraId="41C967C1">
            <w:pPr>
              <w:keepNext w:val="0"/>
              <w:keepLines w:val="0"/>
              <w:pageBreakBefore w:val="0"/>
              <w:widowControl/>
              <w:kinsoku/>
              <w:wordWrap/>
              <w:overflowPunct/>
              <w:topLinePunct w:val="0"/>
              <w:autoSpaceDE/>
              <w:autoSpaceDN/>
              <w:bidi w:val="0"/>
              <w:adjustRightInd/>
              <w:snapToGrid/>
              <w:ind w:left="0" w:right="0"/>
              <w:jc w:val="center"/>
              <w:rPr>
                <w:rFonts w:ascii="Times New Roman" w:hAnsi="Times New Roman"/>
                <w:b/>
                <w:color w:val="auto"/>
                <w:sz w:val="21"/>
                <w:szCs w:val="21"/>
                <w:highlight w:val="none"/>
              </w:rPr>
            </w:pPr>
            <w:r>
              <w:rPr>
                <w:rFonts w:ascii="Times New Roman" w:hAnsi="Times New Roman"/>
                <w:b/>
                <w:color w:val="auto"/>
                <w:sz w:val="21"/>
                <w:szCs w:val="21"/>
                <w:highlight w:val="none"/>
              </w:rPr>
              <w:t>下风向预测浓度（μg/m</w:t>
            </w:r>
            <w:r>
              <w:rPr>
                <w:rFonts w:ascii="Times New Roman" w:hAnsi="Times New Roman"/>
                <w:b/>
                <w:color w:val="auto"/>
                <w:sz w:val="21"/>
                <w:szCs w:val="21"/>
                <w:highlight w:val="none"/>
                <w:vertAlign w:val="superscript"/>
              </w:rPr>
              <w:t>3</w:t>
            </w:r>
            <w:r>
              <w:rPr>
                <w:rFonts w:ascii="Times New Roman" w:hAnsi="Times New Roman"/>
                <w:b/>
                <w:color w:val="auto"/>
                <w:sz w:val="21"/>
                <w:szCs w:val="21"/>
                <w:highlight w:val="none"/>
              </w:rPr>
              <w:t>）</w:t>
            </w:r>
          </w:p>
        </w:tc>
        <w:tc>
          <w:tcPr>
            <w:tcW w:w="1800" w:type="dxa"/>
            <w:tcBorders>
              <w:left w:val="single" w:color="auto" w:sz="6" w:space="0"/>
            </w:tcBorders>
            <w:vAlign w:val="center"/>
          </w:tcPr>
          <w:p w14:paraId="34958F88">
            <w:pPr>
              <w:keepNext w:val="0"/>
              <w:keepLines w:val="0"/>
              <w:pageBreakBefore w:val="0"/>
              <w:widowControl/>
              <w:kinsoku/>
              <w:wordWrap/>
              <w:overflowPunct/>
              <w:topLinePunct w:val="0"/>
              <w:autoSpaceDE/>
              <w:autoSpaceDN/>
              <w:bidi w:val="0"/>
              <w:adjustRightInd/>
              <w:snapToGrid/>
              <w:ind w:left="0" w:right="0"/>
              <w:jc w:val="center"/>
              <w:rPr>
                <w:rFonts w:ascii="Times New Roman" w:hAnsi="Times New Roman"/>
                <w:b/>
                <w:color w:val="auto"/>
                <w:sz w:val="21"/>
                <w:szCs w:val="21"/>
                <w:highlight w:val="none"/>
              </w:rPr>
            </w:pPr>
            <w:r>
              <w:rPr>
                <w:rFonts w:ascii="Times New Roman" w:hAnsi="Times New Roman"/>
                <w:b/>
                <w:color w:val="auto"/>
                <w:sz w:val="21"/>
                <w:szCs w:val="21"/>
                <w:highlight w:val="none"/>
              </w:rPr>
              <w:t>浓度占标率（%）</w:t>
            </w:r>
          </w:p>
        </w:tc>
        <w:tc>
          <w:tcPr>
            <w:tcW w:w="1807" w:type="dxa"/>
            <w:tcBorders>
              <w:left w:val="single" w:color="auto" w:sz="6" w:space="0"/>
              <w:right w:val="single" w:color="auto" w:sz="4" w:space="0"/>
            </w:tcBorders>
            <w:vAlign w:val="center"/>
          </w:tcPr>
          <w:p w14:paraId="0F924655">
            <w:pPr>
              <w:keepNext w:val="0"/>
              <w:keepLines w:val="0"/>
              <w:pageBreakBefore w:val="0"/>
              <w:widowControl/>
              <w:kinsoku/>
              <w:wordWrap/>
              <w:overflowPunct/>
              <w:topLinePunct w:val="0"/>
              <w:autoSpaceDE/>
              <w:autoSpaceDN/>
              <w:bidi w:val="0"/>
              <w:adjustRightInd/>
              <w:snapToGrid/>
              <w:ind w:left="0" w:right="0"/>
              <w:jc w:val="center"/>
              <w:rPr>
                <w:rFonts w:ascii="Times New Roman" w:hAnsi="Times New Roman"/>
                <w:b/>
                <w:color w:val="auto"/>
                <w:sz w:val="21"/>
                <w:szCs w:val="21"/>
                <w:highlight w:val="none"/>
              </w:rPr>
            </w:pPr>
            <w:r>
              <w:rPr>
                <w:rFonts w:ascii="Times New Roman" w:hAnsi="Times New Roman"/>
                <w:b/>
                <w:color w:val="auto"/>
                <w:sz w:val="21"/>
                <w:szCs w:val="21"/>
                <w:highlight w:val="none"/>
              </w:rPr>
              <w:t>下风向预测浓度（μg/m</w:t>
            </w:r>
            <w:r>
              <w:rPr>
                <w:rFonts w:ascii="Times New Roman" w:hAnsi="Times New Roman"/>
                <w:b/>
                <w:color w:val="auto"/>
                <w:sz w:val="21"/>
                <w:szCs w:val="21"/>
                <w:highlight w:val="none"/>
                <w:vertAlign w:val="superscript"/>
              </w:rPr>
              <w:t>3</w:t>
            </w:r>
            <w:r>
              <w:rPr>
                <w:rFonts w:ascii="Times New Roman" w:hAnsi="Times New Roman"/>
                <w:b/>
                <w:color w:val="auto"/>
                <w:sz w:val="21"/>
                <w:szCs w:val="21"/>
                <w:highlight w:val="none"/>
              </w:rPr>
              <w:t>）</w:t>
            </w:r>
          </w:p>
        </w:tc>
        <w:tc>
          <w:tcPr>
            <w:tcW w:w="1777" w:type="dxa"/>
            <w:tcBorders>
              <w:left w:val="single" w:color="auto" w:sz="4" w:space="0"/>
            </w:tcBorders>
            <w:vAlign w:val="center"/>
          </w:tcPr>
          <w:p w14:paraId="6CF21796">
            <w:pPr>
              <w:keepNext w:val="0"/>
              <w:keepLines w:val="0"/>
              <w:pageBreakBefore w:val="0"/>
              <w:widowControl/>
              <w:kinsoku/>
              <w:wordWrap/>
              <w:overflowPunct/>
              <w:topLinePunct w:val="0"/>
              <w:autoSpaceDE/>
              <w:autoSpaceDN/>
              <w:bidi w:val="0"/>
              <w:adjustRightInd/>
              <w:snapToGrid/>
              <w:ind w:left="0" w:right="0"/>
              <w:jc w:val="center"/>
              <w:rPr>
                <w:rFonts w:ascii="Times New Roman" w:hAnsi="Times New Roman"/>
                <w:b/>
                <w:color w:val="auto"/>
                <w:sz w:val="21"/>
                <w:szCs w:val="21"/>
                <w:highlight w:val="none"/>
              </w:rPr>
            </w:pPr>
            <w:r>
              <w:rPr>
                <w:rFonts w:ascii="Times New Roman" w:hAnsi="Times New Roman"/>
                <w:b/>
                <w:color w:val="auto"/>
                <w:sz w:val="21"/>
                <w:szCs w:val="21"/>
                <w:highlight w:val="none"/>
              </w:rPr>
              <w:t>浓度占标率（%）</w:t>
            </w:r>
          </w:p>
        </w:tc>
      </w:tr>
      <w:tr w14:paraId="479B753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328" w:type="dxa"/>
            <w:vAlign w:val="center"/>
          </w:tcPr>
          <w:p w14:paraId="25969687">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10</w:t>
            </w:r>
          </w:p>
        </w:tc>
        <w:tc>
          <w:tcPr>
            <w:tcW w:w="1792" w:type="dxa"/>
            <w:tcBorders>
              <w:left w:val="single" w:color="auto" w:sz="6" w:space="0"/>
            </w:tcBorders>
            <w:vAlign w:val="center"/>
          </w:tcPr>
          <w:p w14:paraId="508BD28F">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0.0635815</w:t>
            </w:r>
          </w:p>
        </w:tc>
        <w:tc>
          <w:tcPr>
            <w:tcW w:w="1800" w:type="dxa"/>
            <w:tcBorders>
              <w:left w:val="single" w:color="auto" w:sz="6" w:space="0"/>
            </w:tcBorders>
            <w:vAlign w:val="center"/>
          </w:tcPr>
          <w:p w14:paraId="2174DDDE">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0.00</w:t>
            </w:r>
          </w:p>
        </w:tc>
        <w:tc>
          <w:tcPr>
            <w:tcW w:w="1807" w:type="dxa"/>
            <w:tcBorders>
              <w:left w:val="single" w:color="auto" w:sz="6" w:space="0"/>
              <w:right w:val="single" w:color="auto" w:sz="4" w:space="0"/>
            </w:tcBorders>
            <w:vAlign w:val="center"/>
          </w:tcPr>
          <w:p w14:paraId="4D295E43">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1.69556</w:t>
            </w:r>
          </w:p>
        </w:tc>
        <w:tc>
          <w:tcPr>
            <w:tcW w:w="1777" w:type="dxa"/>
            <w:tcBorders>
              <w:left w:val="single" w:color="auto" w:sz="4" w:space="0"/>
            </w:tcBorders>
            <w:vAlign w:val="center"/>
          </w:tcPr>
          <w:p w14:paraId="29ADEB88">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0.10</w:t>
            </w:r>
          </w:p>
        </w:tc>
      </w:tr>
      <w:tr w14:paraId="18C1931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328" w:type="dxa"/>
            <w:vAlign w:val="center"/>
          </w:tcPr>
          <w:p w14:paraId="1068F574">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23</w:t>
            </w:r>
          </w:p>
        </w:tc>
        <w:tc>
          <w:tcPr>
            <w:tcW w:w="1792" w:type="dxa"/>
            <w:tcBorders>
              <w:left w:val="single" w:color="auto" w:sz="6" w:space="0"/>
            </w:tcBorders>
            <w:vAlign w:val="center"/>
          </w:tcPr>
          <w:p w14:paraId="15C4FF4C">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0.0957745</w:t>
            </w:r>
          </w:p>
        </w:tc>
        <w:tc>
          <w:tcPr>
            <w:tcW w:w="1800" w:type="dxa"/>
            <w:tcBorders>
              <w:left w:val="single" w:color="auto" w:sz="6" w:space="0"/>
            </w:tcBorders>
            <w:vAlign w:val="center"/>
          </w:tcPr>
          <w:p w14:paraId="0463B67A">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0.00</w:t>
            </w:r>
          </w:p>
        </w:tc>
        <w:tc>
          <w:tcPr>
            <w:tcW w:w="1807" w:type="dxa"/>
            <w:tcBorders>
              <w:left w:val="single" w:color="auto" w:sz="6" w:space="0"/>
              <w:right w:val="single" w:color="auto" w:sz="4" w:space="0"/>
            </w:tcBorders>
            <w:vAlign w:val="center"/>
          </w:tcPr>
          <w:p w14:paraId="1C20B42F">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2.55406</w:t>
            </w:r>
          </w:p>
        </w:tc>
        <w:tc>
          <w:tcPr>
            <w:tcW w:w="1777" w:type="dxa"/>
            <w:tcBorders>
              <w:left w:val="single" w:color="auto" w:sz="4" w:space="0"/>
            </w:tcBorders>
            <w:vAlign w:val="center"/>
          </w:tcPr>
          <w:p w14:paraId="2F3B8912">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0.10</w:t>
            </w:r>
          </w:p>
        </w:tc>
      </w:tr>
      <w:tr w14:paraId="1D8A8FF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328" w:type="dxa"/>
            <w:vAlign w:val="center"/>
          </w:tcPr>
          <w:p w14:paraId="55B31B67">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25</w:t>
            </w:r>
          </w:p>
        </w:tc>
        <w:tc>
          <w:tcPr>
            <w:tcW w:w="1792" w:type="dxa"/>
            <w:tcBorders>
              <w:left w:val="single" w:color="auto" w:sz="6" w:space="0"/>
            </w:tcBorders>
            <w:vAlign w:val="center"/>
          </w:tcPr>
          <w:p w14:paraId="454CACEF">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0.0920444</w:t>
            </w:r>
          </w:p>
        </w:tc>
        <w:tc>
          <w:tcPr>
            <w:tcW w:w="1800" w:type="dxa"/>
            <w:tcBorders>
              <w:left w:val="single" w:color="auto" w:sz="6" w:space="0"/>
            </w:tcBorders>
            <w:vAlign w:val="center"/>
          </w:tcPr>
          <w:p w14:paraId="21BA7515">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0.00</w:t>
            </w:r>
          </w:p>
        </w:tc>
        <w:tc>
          <w:tcPr>
            <w:tcW w:w="1807" w:type="dxa"/>
            <w:tcBorders>
              <w:left w:val="single" w:color="auto" w:sz="6" w:space="0"/>
              <w:right w:val="single" w:color="auto" w:sz="4" w:space="0"/>
            </w:tcBorders>
            <w:vAlign w:val="center"/>
          </w:tcPr>
          <w:p w14:paraId="53688527">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2.45459</w:t>
            </w:r>
          </w:p>
        </w:tc>
        <w:tc>
          <w:tcPr>
            <w:tcW w:w="1777" w:type="dxa"/>
            <w:tcBorders>
              <w:left w:val="single" w:color="auto" w:sz="4" w:space="0"/>
            </w:tcBorders>
            <w:vAlign w:val="center"/>
          </w:tcPr>
          <w:p w14:paraId="48A96D76">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0.10</w:t>
            </w:r>
          </w:p>
        </w:tc>
      </w:tr>
      <w:tr w14:paraId="7DE87FB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328" w:type="dxa"/>
            <w:vAlign w:val="center"/>
          </w:tcPr>
          <w:p w14:paraId="622FAA82">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50</w:t>
            </w:r>
          </w:p>
        </w:tc>
        <w:tc>
          <w:tcPr>
            <w:tcW w:w="1792" w:type="dxa"/>
            <w:tcBorders>
              <w:left w:val="single" w:color="auto" w:sz="6" w:space="0"/>
            </w:tcBorders>
            <w:vAlign w:val="center"/>
          </w:tcPr>
          <w:p w14:paraId="5C9A6BC5">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0.0566248</w:t>
            </w:r>
          </w:p>
        </w:tc>
        <w:tc>
          <w:tcPr>
            <w:tcW w:w="1800" w:type="dxa"/>
            <w:tcBorders>
              <w:left w:val="single" w:color="auto" w:sz="6" w:space="0"/>
            </w:tcBorders>
            <w:vAlign w:val="center"/>
          </w:tcPr>
          <w:p w14:paraId="33C91AF9">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0.00</w:t>
            </w:r>
          </w:p>
        </w:tc>
        <w:tc>
          <w:tcPr>
            <w:tcW w:w="1807" w:type="dxa"/>
            <w:tcBorders>
              <w:left w:val="single" w:color="auto" w:sz="6" w:space="0"/>
              <w:right w:val="single" w:color="auto" w:sz="4" w:space="0"/>
            </w:tcBorders>
            <w:vAlign w:val="center"/>
          </w:tcPr>
          <w:p w14:paraId="7994CF31">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1.51004</w:t>
            </w:r>
          </w:p>
        </w:tc>
        <w:tc>
          <w:tcPr>
            <w:tcW w:w="1777" w:type="dxa"/>
            <w:tcBorders>
              <w:left w:val="single" w:color="auto" w:sz="4" w:space="0"/>
            </w:tcBorders>
            <w:vAlign w:val="center"/>
          </w:tcPr>
          <w:p w14:paraId="10C7B1D7">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0.10</w:t>
            </w:r>
          </w:p>
        </w:tc>
      </w:tr>
      <w:tr w14:paraId="4527D8E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328" w:type="dxa"/>
            <w:vAlign w:val="center"/>
          </w:tcPr>
          <w:p w14:paraId="0A17DEAE">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75</w:t>
            </w:r>
          </w:p>
        </w:tc>
        <w:tc>
          <w:tcPr>
            <w:tcW w:w="1792" w:type="dxa"/>
            <w:tcBorders>
              <w:left w:val="single" w:color="auto" w:sz="6" w:space="0"/>
            </w:tcBorders>
            <w:vAlign w:val="center"/>
          </w:tcPr>
          <w:p w14:paraId="6E592903">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0.0425335</w:t>
            </w:r>
          </w:p>
        </w:tc>
        <w:tc>
          <w:tcPr>
            <w:tcW w:w="1800" w:type="dxa"/>
            <w:tcBorders>
              <w:left w:val="single" w:color="auto" w:sz="6" w:space="0"/>
            </w:tcBorders>
            <w:vAlign w:val="center"/>
          </w:tcPr>
          <w:p w14:paraId="0C2D7B71">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0.00</w:t>
            </w:r>
          </w:p>
        </w:tc>
        <w:tc>
          <w:tcPr>
            <w:tcW w:w="1807" w:type="dxa"/>
            <w:tcBorders>
              <w:left w:val="single" w:color="auto" w:sz="6" w:space="0"/>
              <w:right w:val="single" w:color="auto" w:sz="4" w:space="0"/>
            </w:tcBorders>
            <w:vAlign w:val="center"/>
          </w:tcPr>
          <w:p w14:paraId="2BC3A301">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1.13426</w:t>
            </w:r>
          </w:p>
        </w:tc>
        <w:tc>
          <w:tcPr>
            <w:tcW w:w="1777" w:type="dxa"/>
            <w:tcBorders>
              <w:left w:val="single" w:color="auto" w:sz="4" w:space="0"/>
            </w:tcBorders>
            <w:vAlign w:val="center"/>
          </w:tcPr>
          <w:p w14:paraId="3E3F3270">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0.00</w:t>
            </w:r>
          </w:p>
        </w:tc>
      </w:tr>
      <w:tr w14:paraId="655A7EA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328" w:type="dxa"/>
            <w:vAlign w:val="center"/>
          </w:tcPr>
          <w:p w14:paraId="7CEDE9F7">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100</w:t>
            </w:r>
          </w:p>
        </w:tc>
        <w:tc>
          <w:tcPr>
            <w:tcW w:w="1792" w:type="dxa"/>
            <w:tcBorders>
              <w:left w:val="single" w:color="auto" w:sz="6" w:space="0"/>
            </w:tcBorders>
            <w:vAlign w:val="center"/>
          </w:tcPr>
          <w:p w14:paraId="52E9A90C">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0.0367312</w:t>
            </w:r>
          </w:p>
        </w:tc>
        <w:tc>
          <w:tcPr>
            <w:tcW w:w="1800" w:type="dxa"/>
            <w:tcBorders>
              <w:left w:val="single" w:color="auto" w:sz="6" w:space="0"/>
            </w:tcBorders>
            <w:vAlign w:val="center"/>
          </w:tcPr>
          <w:p w14:paraId="658A0AA8">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0.00</w:t>
            </w:r>
          </w:p>
        </w:tc>
        <w:tc>
          <w:tcPr>
            <w:tcW w:w="1807" w:type="dxa"/>
            <w:tcBorders>
              <w:left w:val="single" w:color="auto" w:sz="6" w:space="0"/>
              <w:right w:val="single" w:color="auto" w:sz="4" w:space="0"/>
            </w:tcBorders>
            <w:vAlign w:val="center"/>
          </w:tcPr>
          <w:p w14:paraId="6AE41623">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0.979529</w:t>
            </w:r>
          </w:p>
        </w:tc>
        <w:tc>
          <w:tcPr>
            <w:tcW w:w="1777" w:type="dxa"/>
            <w:tcBorders>
              <w:left w:val="single" w:color="auto" w:sz="4" w:space="0"/>
            </w:tcBorders>
            <w:vAlign w:val="center"/>
          </w:tcPr>
          <w:p w14:paraId="2D6F7808">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0.00</w:t>
            </w:r>
          </w:p>
        </w:tc>
      </w:tr>
      <w:tr w14:paraId="7E1171F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328" w:type="dxa"/>
            <w:vAlign w:val="center"/>
          </w:tcPr>
          <w:p w14:paraId="0CC69570">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125</w:t>
            </w:r>
          </w:p>
        </w:tc>
        <w:tc>
          <w:tcPr>
            <w:tcW w:w="1792" w:type="dxa"/>
            <w:tcBorders>
              <w:left w:val="single" w:color="auto" w:sz="6" w:space="0"/>
            </w:tcBorders>
            <w:vAlign w:val="center"/>
          </w:tcPr>
          <w:p w14:paraId="2167B0CA">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0.0341312</w:t>
            </w:r>
          </w:p>
        </w:tc>
        <w:tc>
          <w:tcPr>
            <w:tcW w:w="1800" w:type="dxa"/>
            <w:tcBorders>
              <w:left w:val="single" w:color="auto" w:sz="6" w:space="0"/>
            </w:tcBorders>
            <w:vAlign w:val="center"/>
          </w:tcPr>
          <w:p w14:paraId="5A2EE38F">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0.00</w:t>
            </w:r>
          </w:p>
        </w:tc>
        <w:tc>
          <w:tcPr>
            <w:tcW w:w="1807" w:type="dxa"/>
            <w:tcBorders>
              <w:left w:val="single" w:color="auto" w:sz="6" w:space="0"/>
              <w:right w:val="single" w:color="auto" w:sz="4" w:space="0"/>
            </w:tcBorders>
            <w:vAlign w:val="center"/>
          </w:tcPr>
          <w:p w14:paraId="3CD75FD0">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0.910191</w:t>
            </w:r>
          </w:p>
        </w:tc>
        <w:tc>
          <w:tcPr>
            <w:tcW w:w="1777" w:type="dxa"/>
            <w:tcBorders>
              <w:left w:val="single" w:color="auto" w:sz="4" w:space="0"/>
            </w:tcBorders>
            <w:vAlign w:val="center"/>
          </w:tcPr>
          <w:p w14:paraId="3F3761C2">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0.00</w:t>
            </w:r>
          </w:p>
        </w:tc>
      </w:tr>
      <w:tr w14:paraId="178A271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328" w:type="dxa"/>
            <w:vAlign w:val="center"/>
          </w:tcPr>
          <w:p w14:paraId="77D74932">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150</w:t>
            </w:r>
          </w:p>
        </w:tc>
        <w:tc>
          <w:tcPr>
            <w:tcW w:w="1792" w:type="dxa"/>
            <w:tcBorders>
              <w:left w:val="single" w:color="auto" w:sz="6" w:space="0"/>
            </w:tcBorders>
            <w:vAlign w:val="center"/>
          </w:tcPr>
          <w:p w14:paraId="5A6C62B4">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0.0308789</w:t>
            </w:r>
          </w:p>
        </w:tc>
        <w:tc>
          <w:tcPr>
            <w:tcW w:w="1800" w:type="dxa"/>
            <w:tcBorders>
              <w:left w:val="single" w:color="auto" w:sz="6" w:space="0"/>
            </w:tcBorders>
            <w:vAlign w:val="center"/>
          </w:tcPr>
          <w:p w14:paraId="174A9E29">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0.00</w:t>
            </w:r>
          </w:p>
        </w:tc>
        <w:tc>
          <w:tcPr>
            <w:tcW w:w="1807" w:type="dxa"/>
            <w:tcBorders>
              <w:left w:val="single" w:color="auto" w:sz="6" w:space="0"/>
              <w:right w:val="single" w:color="auto" w:sz="4" w:space="0"/>
            </w:tcBorders>
            <w:vAlign w:val="center"/>
          </w:tcPr>
          <w:p w14:paraId="11F2D3A9">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0.823463</w:t>
            </w:r>
          </w:p>
        </w:tc>
        <w:tc>
          <w:tcPr>
            <w:tcW w:w="1777" w:type="dxa"/>
            <w:tcBorders>
              <w:left w:val="single" w:color="auto" w:sz="4" w:space="0"/>
            </w:tcBorders>
            <w:vAlign w:val="center"/>
          </w:tcPr>
          <w:p w14:paraId="4C74B407">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0.00</w:t>
            </w:r>
          </w:p>
        </w:tc>
      </w:tr>
      <w:tr w14:paraId="63E3AA2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328" w:type="dxa"/>
            <w:vAlign w:val="center"/>
          </w:tcPr>
          <w:p w14:paraId="395E3EAD">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175</w:t>
            </w:r>
          </w:p>
        </w:tc>
        <w:tc>
          <w:tcPr>
            <w:tcW w:w="1792" w:type="dxa"/>
            <w:tcBorders>
              <w:left w:val="single" w:color="auto" w:sz="6" w:space="0"/>
            </w:tcBorders>
            <w:vAlign w:val="center"/>
          </w:tcPr>
          <w:p w14:paraId="6E3839CB">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0.0277706</w:t>
            </w:r>
          </w:p>
        </w:tc>
        <w:tc>
          <w:tcPr>
            <w:tcW w:w="1800" w:type="dxa"/>
            <w:tcBorders>
              <w:left w:val="single" w:color="auto" w:sz="6" w:space="0"/>
            </w:tcBorders>
            <w:vAlign w:val="center"/>
          </w:tcPr>
          <w:p w14:paraId="1BC78269">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0.00</w:t>
            </w:r>
          </w:p>
        </w:tc>
        <w:tc>
          <w:tcPr>
            <w:tcW w:w="1807" w:type="dxa"/>
            <w:tcBorders>
              <w:left w:val="single" w:color="auto" w:sz="6" w:space="0"/>
              <w:right w:val="single" w:color="auto" w:sz="4" w:space="0"/>
            </w:tcBorders>
            <w:vAlign w:val="center"/>
          </w:tcPr>
          <w:p w14:paraId="2712242F">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0.740571</w:t>
            </w:r>
          </w:p>
        </w:tc>
        <w:tc>
          <w:tcPr>
            <w:tcW w:w="1777" w:type="dxa"/>
            <w:tcBorders>
              <w:left w:val="single" w:color="auto" w:sz="4" w:space="0"/>
            </w:tcBorders>
            <w:vAlign w:val="center"/>
          </w:tcPr>
          <w:p w14:paraId="27C1B646">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0.00</w:t>
            </w:r>
          </w:p>
        </w:tc>
      </w:tr>
      <w:tr w14:paraId="3081522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328" w:type="dxa"/>
            <w:vAlign w:val="center"/>
          </w:tcPr>
          <w:p w14:paraId="1B96FAF2">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200</w:t>
            </w:r>
          </w:p>
        </w:tc>
        <w:tc>
          <w:tcPr>
            <w:tcW w:w="1792" w:type="dxa"/>
            <w:tcBorders>
              <w:left w:val="single" w:color="auto" w:sz="6" w:space="0"/>
            </w:tcBorders>
            <w:vAlign w:val="center"/>
          </w:tcPr>
          <w:p w14:paraId="3CF81BFB">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0.0250413</w:t>
            </w:r>
          </w:p>
        </w:tc>
        <w:tc>
          <w:tcPr>
            <w:tcW w:w="1800" w:type="dxa"/>
            <w:tcBorders>
              <w:left w:val="single" w:color="auto" w:sz="6" w:space="0"/>
            </w:tcBorders>
            <w:vAlign w:val="center"/>
          </w:tcPr>
          <w:p w14:paraId="3ABE4AA2">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0.00</w:t>
            </w:r>
          </w:p>
        </w:tc>
        <w:tc>
          <w:tcPr>
            <w:tcW w:w="1807" w:type="dxa"/>
            <w:tcBorders>
              <w:left w:val="single" w:color="auto" w:sz="6" w:space="0"/>
              <w:right w:val="single" w:color="auto" w:sz="4" w:space="0"/>
            </w:tcBorders>
            <w:vAlign w:val="center"/>
          </w:tcPr>
          <w:p w14:paraId="1F07B10D">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0.667788</w:t>
            </w:r>
          </w:p>
        </w:tc>
        <w:tc>
          <w:tcPr>
            <w:tcW w:w="1777" w:type="dxa"/>
            <w:tcBorders>
              <w:left w:val="single" w:color="auto" w:sz="4" w:space="0"/>
            </w:tcBorders>
            <w:vAlign w:val="center"/>
          </w:tcPr>
          <w:p w14:paraId="5EE616F4">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0.00</w:t>
            </w:r>
          </w:p>
        </w:tc>
      </w:tr>
      <w:tr w14:paraId="1609F9C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328" w:type="dxa"/>
            <w:vAlign w:val="center"/>
          </w:tcPr>
          <w:p w14:paraId="245138C2">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225</w:t>
            </w:r>
          </w:p>
        </w:tc>
        <w:tc>
          <w:tcPr>
            <w:tcW w:w="1792" w:type="dxa"/>
            <w:tcBorders>
              <w:left w:val="single" w:color="auto" w:sz="6" w:space="0"/>
            </w:tcBorders>
            <w:vAlign w:val="center"/>
          </w:tcPr>
          <w:p w14:paraId="76F7C18E">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0.0232025</w:t>
            </w:r>
          </w:p>
        </w:tc>
        <w:tc>
          <w:tcPr>
            <w:tcW w:w="1800" w:type="dxa"/>
            <w:tcBorders>
              <w:left w:val="single" w:color="auto" w:sz="6" w:space="0"/>
            </w:tcBorders>
            <w:vAlign w:val="center"/>
          </w:tcPr>
          <w:p w14:paraId="3B354CD8">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0.00</w:t>
            </w:r>
          </w:p>
        </w:tc>
        <w:tc>
          <w:tcPr>
            <w:tcW w:w="1807" w:type="dxa"/>
            <w:tcBorders>
              <w:left w:val="single" w:color="auto" w:sz="6" w:space="0"/>
              <w:right w:val="single" w:color="auto" w:sz="4" w:space="0"/>
            </w:tcBorders>
            <w:vAlign w:val="center"/>
          </w:tcPr>
          <w:p w14:paraId="41375260">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0.618751</w:t>
            </w:r>
          </w:p>
        </w:tc>
        <w:tc>
          <w:tcPr>
            <w:tcW w:w="1777" w:type="dxa"/>
            <w:tcBorders>
              <w:left w:val="single" w:color="auto" w:sz="4" w:space="0"/>
            </w:tcBorders>
            <w:vAlign w:val="center"/>
          </w:tcPr>
          <w:p w14:paraId="78B5AF8F">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0.00</w:t>
            </w:r>
          </w:p>
        </w:tc>
      </w:tr>
      <w:tr w14:paraId="0B41F00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328" w:type="dxa"/>
            <w:vAlign w:val="center"/>
          </w:tcPr>
          <w:p w14:paraId="12E9292E">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250</w:t>
            </w:r>
          </w:p>
        </w:tc>
        <w:tc>
          <w:tcPr>
            <w:tcW w:w="1792" w:type="dxa"/>
            <w:tcBorders>
              <w:left w:val="single" w:color="auto" w:sz="6" w:space="0"/>
            </w:tcBorders>
            <w:vAlign w:val="center"/>
          </w:tcPr>
          <w:p w14:paraId="2FD85BCC">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0.0215886</w:t>
            </w:r>
          </w:p>
        </w:tc>
        <w:tc>
          <w:tcPr>
            <w:tcW w:w="1800" w:type="dxa"/>
            <w:tcBorders>
              <w:left w:val="single" w:color="auto" w:sz="6" w:space="0"/>
            </w:tcBorders>
            <w:vAlign w:val="center"/>
          </w:tcPr>
          <w:p w14:paraId="1B6C2CA3">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0.00</w:t>
            </w:r>
          </w:p>
        </w:tc>
        <w:tc>
          <w:tcPr>
            <w:tcW w:w="1807" w:type="dxa"/>
            <w:tcBorders>
              <w:left w:val="single" w:color="auto" w:sz="6" w:space="0"/>
              <w:right w:val="single" w:color="auto" w:sz="4" w:space="0"/>
            </w:tcBorders>
            <w:vAlign w:val="center"/>
          </w:tcPr>
          <w:p w14:paraId="16BECEA7">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0.575712</w:t>
            </w:r>
          </w:p>
        </w:tc>
        <w:tc>
          <w:tcPr>
            <w:tcW w:w="1777" w:type="dxa"/>
            <w:tcBorders>
              <w:left w:val="single" w:color="auto" w:sz="4" w:space="0"/>
            </w:tcBorders>
            <w:vAlign w:val="center"/>
          </w:tcPr>
          <w:p w14:paraId="06E64E75">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0.00</w:t>
            </w:r>
          </w:p>
        </w:tc>
      </w:tr>
      <w:tr w14:paraId="72FADB0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328" w:type="dxa"/>
            <w:vAlign w:val="center"/>
          </w:tcPr>
          <w:p w14:paraId="731F124E">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275</w:t>
            </w:r>
          </w:p>
        </w:tc>
        <w:tc>
          <w:tcPr>
            <w:tcW w:w="1792" w:type="dxa"/>
            <w:tcBorders>
              <w:left w:val="single" w:color="auto" w:sz="6" w:space="0"/>
            </w:tcBorders>
            <w:vAlign w:val="center"/>
          </w:tcPr>
          <w:p w14:paraId="06CE8C8E">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0.0201819</w:t>
            </w:r>
          </w:p>
        </w:tc>
        <w:tc>
          <w:tcPr>
            <w:tcW w:w="1800" w:type="dxa"/>
            <w:tcBorders>
              <w:left w:val="single" w:color="auto" w:sz="6" w:space="0"/>
            </w:tcBorders>
            <w:vAlign w:val="center"/>
          </w:tcPr>
          <w:p w14:paraId="6AC8ED59">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0.00</w:t>
            </w:r>
          </w:p>
        </w:tc>
        <w:tc>
          <w:tcPr>
            <w:tcW w:w="1807" w:type="dxa"/>
            <w:tcBorders>
              <w:left w:val="single" w:color="auto" w:sz="6" w:space="0"/>
              <w:right w:val="single" w:color="auto" w:sz="4" w:space="0"/>
            </w:tcBorders>
            <w:vAlign w:val="center"/>
          </w:tcPr>
          <w:p w14:paraId="118BD1E8">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0.538199</w:t>
            </w:r>
          </w:p>
        </w:tc>
        <w:tc>
          <w:tcPr>
            <w:tcW w:w="1777" w:type="dxa"/>
            <w:tcBorders>
              <w:left w:val="single" w:color="auto" w:sz="4" w:space="0"/>
            </w:tcBorders>
            <w:vAlign w:val="center"/>
          </w:tcPr>
          <w:p w14:paraId="6EC2B63B">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0.00</w:t>
            </w:r>
          </w:p>
        </w:tc>
      </w:tr>
      <w:tr w14:paraId="652D2AC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328" w:type="dxa"/>
            <w:vAlign w:val="center"/>
          </w:tcPr>
          <w:p w14:paraId="168ECA56">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300</w:t>
            </w:r>
          </w:p>
        </w:tc>
        <w:tc>
          <w:tcPr>
            <w:tcW w:w="1792" w:type="dxa"/>
            <w:tcBorders>
              <w:left w:val="single" w:color="auto" w:sz="6" w:space="0"/>
            </w:tcBorders>
            <w:vAlign w:val="center"/>
          </w:tcPr>
          <w:p w14:paraId="607585C4">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0.0189745</w:t>
            </w:r>
          </w:p>
        </w:tc>
        <w:tc>
          <w:tcPr>
            <w:tcW w:w="1800" w:type="dxa"/>
            <w:tcBorders>
              <w:left w:val="single" w:color="auto" w:sz="6" w:space="0"/>
            </w:tcBorders>
            <w:vAlign w:val="center"/>
          </w:tcPr>
          <w:p w14:paraId="45C09345">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0.00</w:t>
            </w:r>
          </w:p>
        </w:tc>
        <w:tc>
          <w:tcPr>
            <w:tcW w:w="1807" w:type="dxa"/>
            <w:tcBorders>
              <w:left w:val="single" w:color="auto" w:sz="6" w:space="0"/>
              <w:right w:val="single" w:color="auto" w:sz="4" w:space="0"/>
            </w:tcBorders>
            <w:vAlign w:val="center"/>
          </w:tcPr>
          <w:p w14:paraId="600C57BA">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0.506001</w:t>
            </w:r>
          </w:p>
        </w:tc>
        <w:tc>
          <w:tcPr>
            <w:tcW w:w="1777" w:type="dxa"/>
            <w:tcBorders>
              <w:left w:val="single" w:color="auto" w:sz="4" w:space="0"/>
            </w:tcBorders>
            <w:vAlign w:val="center"/>
          </w:tcPr>
          <w:p w14:paraId="1B1C3DDF">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0.00</w:t>
            </w:r>
          </w:p>
        </w:tc>
      </w:tr>
      <w:tr w14:paraId="1DD7166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328" w:type="dxa"/>
            <w:vAlign w:val="center"/>
          </w:tcPr>
          <w:p w14:paraId="42AA0C6C">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400</w:t>
            </w:r>
          </w:p>
        </w:tc>
        <w:tc>
          <w:tcPr>
            <w:tcW w:w="1792" w:type="dxa"/>
            <w:tcBorders>
              <w:left w:val="single" w:color="auto" w:sz="6" w:space="0"/>
            </w:tcBorders>
            <w:vAlign w:val="center"/>
          </w:tcPr>
          <w:p w14:paraId="7D5AE75A">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0.0151646</w:t>
            </w:r>
          </w:p>
        </w:tc>
        <w:tc>
          <w:tcPr>
            <w:tcW w:w="1800" w:type="dxa"/>
            <w:tcBorders>
              <w:left w:val="single" w:color="auto" w:sz="6" w:space="0"/>
            </w:tcBorders>
            <w:vAlign w:val="center"/>
          </w:tcPr>
          <w:p w14:paraId="6474E671">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0.00</w:t>
            </w:r>
          </w:p>
        </w:tc>
        <w:tc>
          <w:tcPr>
            <w:tcW w:w="1807" w:type="dxa"/>
            <w:tcBorders>
              <w:left w:val="single" w:color="auto" w:sz="6" w:space="0"/>
              <w:right w:val="single" w:color="auto" w:sz="4" w:space="0"/>
            </w:tcBorders>
            <w:vAlign w:val="center"/>
          </w:tcPr>
          <w:p w14:paraId="25F80D82">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0.404401</w:t>
            </w:r>
          </w:p>
        </w:tc>
        <w:tc>
          <w:tcPr>
            <w:tcW w:w="1777" w:type="dxa"/>
            <w:tcBorders>
              <w:left w:val="single" w:color="auto" w:sz="4" w:space="0"/>
            </w:tcBorders>
            <w:vAlign w:val="center"/>
          </w:tcPr>
          <w:p w14:paraId="295AA630">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0.00</w:t>
            </w:r>
          </w:p>
        </w:tc>
      </w:tr>
      <w:tr w14:paraId="579F90A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328" w:type="dxa"/>
            <w:vAlign w:val="center"/>
          </w:tcPr>
          <w:p w14:paraId="19352B56">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500</w:t>
            </w:r>
          </w:p>
        </w:tc>
        <w:tc>
          <w:tcPr>
            <w:tcW w:w="1792" w:type="dxa"/>
            <w:tcBorders>
              <w:left w:val="single" w:color="auto" w:sz="6" w:space="0"/>
            </w:tcBorders>
            <w:vAlign w:val="center"/>
          </w:tcPr>
          <w:p w14:paraId="12BD5B8E">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0.0123311</w:t>
            </w:r>
          </w:p>
        </w:tc>
        <w:tc>
          <w:tcPr>
            <w:tcW w:w="1800" w:type="dxa"/>
            <w:tcBorders>
              <w:left w:val="single" w:color="auto" w:sz="6" w:space="0"/>
            </w:tcBorders>
            <w:vAlign w:val="center"/>
          </w:tcPr>
          <w:p w14:paraId="47F6EF8D">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0.00</w:t>
            </w:r>
          </w:p>
        </w:tc>
        <w:tc>
          <w:tcPr>
            <w:tcW w:w="1807" w:type="dxa"/>
            <w:tcBorders>
              <w:left w:val="single" w:color="auto" w:sz="6" w:space="0"/>
              <w:right w:val="single" w:color="auto" w:sz="4" w:space="0"/>
            </w:tcBorders>
            <w:vAlign w:val="center"/>
          </w:tcPr>
          <w:p w14:paraId="72DAC609">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0.328839</w:t>
            </w:r>
          </w:p>
        </w:tc>
        <w:tc>
          <w:tcPr>
            <w:tcW w:w="1777" w:type="dxa"/>
            <w:tcBorders>
              <w:left w:val="single" w:color="auto" w:sz="4" w:space="0"/>
            </w:tcBorders>
            <w:vAlign w:val="center"/>
          </w:tcPr>
          <w:p w14:paraId="1912A24F">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0.00</w:t>
            </w:r>
          </w:p>
        </w:tc>
      </w:tr>
      <w:tr w14:paraId="71D8D73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328" w:type="dxa"/>
            <w:vAlign w:val="center"/>
          </w:tcPr>
          <w:p w14:paraId="49F44077">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600</w:t>
            </w:r>
          </w:p>
        </w:tc>
        <w:tc>
          <w:tcPr>
            <w:tcW w:w="1792" w:type="dxa"/>
            <w:tcBorders>
              <w:left w:val="single" w:color="auto" w:sz="6" w:space="0"/>
            </w:tcBorders>
            <w:vAlign w:val="center"/>
          </w:tcPr>
          <w:p w14:paraId="78157EB7">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0.0102515</w:t>
            </w:r>
          </w:p>
        </w:tc>
        <w:tc>
          <w:tcPr>
            <w:tcW w:w="1800" w:type="dxa"/>
            <w:tcBorders>
              <w:left w:val="single" w:color="auto" w:sz="6" w:space="0"/>
            </w:tcBorders>
            <w:vAlign w:val="center"/>
          </w:tcPr>
          <w:p w14:paraId="5BF9FD93">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0.00</w:t>
            </w:r>
          </w:p>
        </w:tc>
        <w:tc>
          <w:tcPr>
            <w:tcW w:w="1807" w:type="dxa"/>
            <w:tcBorders>
              <w:left w:val="single" w:color="auto" w:sz="6" w:space="0"/>
              <w:right w:val="single" w:color="auto" w:sz="4" w:space="0"/>
            </w:tcBorders>
            <w:vAlign w:val="center"/>
          </w:tcPr>
          <w:p w14:paraId="261C4A05">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0.273383</w:t>
            </w:r>
          </w:p>
        </w:tc>
        <w:tc>
          <w:tcPr>
            <w:tcW w:w="1777" w:type="dxa"/>
            <w:tcBorders>
              <w:left w:val="single" w:color="auto" w:sz="4" w:space="0"/>
            </w:tcBorders>
            <w:vAlign w:val="center"/>
          </w:tcPr>
          <w:p w14:paraId="0ECD359F">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0.00</w:t>
            </w:r>
          </w:p>
        </w:tc>
      </w:tr>
      <w:tr w14:paraId="7A1472D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328" w:type="dxa"/>
            <w:vAlign w:val="center"/>
          </w:tcPr>
          <w:p w14:paraId="0DBA81EA">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699.99</w:t>
            </w:r>
          </w:p>
        </w:tc>
        <w:tc>
          <w:tcPr>
            <w:tcW w:w="1792" w:type="dxa"/>
            <w:tcBorders>
              <w:left w:val="single" w:color="auto" w:sz="6" w:space="0"/>
            </w:tcBorders>
            <w:vAlign w:val="center"/>
          </w:tcPr>
          <w:p w14:paraId="4B5D01F5">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0.00869126</w:t>
            </w:r>
          </w:p>
        </w:tc>
        <w:tc>
          <w:tcPr>
            <w:tcW w:w="1800" w:type="dxa"/>
            <w:tcBorders>
              <w:left w:val="single" w:color="auto" w:sz="6" w:space="0"/>
            </w:tcBorders>
            <w:vAlign w:val="center"/>
          </w:tcPr>
          <w:p w14:paraId="68643D0B">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0.00</w:t>
            </w:r>
          </w:p>
        </w:tc>
        <w:tc>
          <w:tcPr>
            <w:tcW w:w="1807" w:type="dxa"/>
            <w:tcBorders>
              <w:left w:val="single" w:color="auto" w:sz="6" w:space="0"/>
              <w:right w:val="single" w:color="auto" w:sz="4" w:space="0"/>
            </w:tcBorders>
            <w:vAlign w:val="center"/>
          </w:tcPr>
          <w:p w14:paraId="2C7003E8">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0.231774</w:t>
            </w:r>
          </w:p>
        </w:tc>
        <w:tc>
          <w:tcPr>
            <w:tcW w:w="1777" w:type="dxa"/>
            <w:tcBorders>
              <w:left w:val="single" w:color="auto" w:sz="4" w:space="0"/>
            </w:tcBorders>
            <w:vAlign w:val="center"/>
          </w:tcPr>
          <w:p w14:paraId="7755240B">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0.00</w:t>
            </w:r>
          </w:p>
        </w:tc>
      </w:tr>
      <w:tr w14:paraId="15A3323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328" w:type="dxa"/>
            <w:vAlign w:val="center"/>
          </w:tcPr>
          <w:p w14:paraId="3C0B644C">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800</w:t>
            </w:r>
          </w:p>
        </w:tc>
        <w:tc>
          <w:tcPr>
            <w:tcW w:w="1792" w:type="dxa"/>
            <w:tcBorders>
              <w:left w:val="single" w:color="auto" w:sz="6" w:space="0"/>
            </w:tcBorders>
            <w:vAlign w:val="center"/>
          </w:tcPr>
          <w:p w14:paraId="7A970BED">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0.00749179</w:t>
            </w:r>
          </w:p>
        </w:tc>
        <w:tc>
          <w:tcPr>
            <w:tcW w:w="1800" w:type="dxa"/>
            <w:tcBorders>
              <w:left w:val="single" w:color="auto" w:sz="6" w:space="0"/>
            </w:tcBorders>
            <w:vAlign w:val="center"/>
          </w:tcPr>
          <w:p w14:paraId="15201476">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0.00</w:t>
            </w:r>
          </w:p>
        </w:tc>
        <w:tc>
          <w:tcPr>
            <w:tcW w:w="1807" w:type="dxa"/>
            <w:tcBorders>
              <w:left w:val="single" w:color="auto" w:sz="6" w:space="0"/>
              <w:right w:val="single" w:color="auto" w:sz="4" w:space="0"/>
            </w:tcBorders>
            <w:vAlign w:val="center"/>
          </w:tcPr>
          <w:p w14:paraId="0B065B3B">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0.199787</w:t>
            </w:r>
          </w:p>
        </w:tc>
        <w:tc>
          <w:tcPr>
            <w:tcW w:w="1777" w:type="dxa"/>
            <w:tcBorders>
              <w:left w:val="single" w:color="auto" w:sz="4" w:space="0"/>
            </w:tcBorders>
            <w:vAlign w:val="center"/>
          </w:tcPr>
          <w:p w14:paraId="4BD29233">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0.00</w:t>
            </w:r>
          </w:p>
        </w:tc>
      </w:tr>
      <w:tr w14:paraId="4055914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328" w:type="dxa"/>
            <w:vAlign w:val="center"/>
          </w:tcPr>
          <w:p w14:paraId="5574210F">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900</w:t>
            </w:r>
          </w:p>
        </w:tc>
        <w:tc>
          <w:tcPr>
            <w:tcW w:w="1792" w:type="dxa"/>
            <w:tcBorders>
              <w:left w:val="single" w:color="auto" w:sz="6" w:space="0"/>
            </w:tcBorders>
            <w:vAlign w:val="center"/>
          </w:tcPr>
          <w:p w14:paraId="0E88CA60">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0.00654831</w:t>
            </w:r>
          </w:p>
        </w:tc>
        <w:tc>
          <w:tcPr>
            <w:tcW w:w="1800" w:type="dxa"/>
            <w:tcBorders>
              <w:left w:val="single" w:color="auto" w:sz="6" w:space="0"/>
            </w:tcBorders>
            <w:vAlign w:val="center"/>
          </w:tcPr>
          <w:p w14:paraId="27AB5F21">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0.00</w:t>
            </w:r>
          </w:p>
        </w:tc>
        <w:tc>
          <w:tcPr>
            <w:tcW w:w="1807" w:type="dxa"/>
            <w:tcBorders>
              <w:left w:val="single" w:color="auto" w:sz="6" w:space="0"/>
              <w:right w:val="single" w:color="auto" w:sz="4" w:space="0"/>
            </w:tcBorders>
            <w:vAlign w:val="center"/>
          </w:tcPr>
          <w:p w14:paraId="60D34143">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0.174627</w:t>
            </w:r>
          </w:p>
        </w:tc>
        <w:tc>
          <w:tcPr>
            <w:tcW w:w="1777" w:type="dxa"/>
            <w:tcBorders>
              <w:left w:val="single" w:color="auto" w:sz="4" w:space="0"/>
            </w:tcBorders>
            <w:vAlign w:val="center"/>
          </w:tcPr>
          <w:p w14:paraId="28E4721C">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0.00</w:t>
            </w:r>
          </w:p>
        </w:tc>
      </w:tr>
      <w:tr w14:paraId="308AA48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328" w:type="dxa"/>
            <w:vAlign w:val="center"/>
          </w:tcPr>
          <w:p w14:paraId="30AD9A9C">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1000</w:t>
            </w:r>
          </w:p>
        </w:tc>
        <w:tc>
          <w:tcPr>
            <w:tcW w:w="1792" w:type="dxa"/>
            <w:tcBorders>
              <w:left w:val="single" w:color="auto" w:sz="6" w:space="0"/>
            </w:tcBorders>
            <w:vAlign w:val="center"/>
          </w:tcPr>
          <w:p w14:paraId="6996C244">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0.00579053</w:t>
            </w:r>
          </w:p>
        </w:tc>
        <w:tc>
          <w:tcPr>
            <w:tcW w:w="1800" w:type="dxa"/>
            <w:tcBorders>
              <w:left w:val="single" w:color="auto" w:sz="6" w:space="0"/>
            </w:tcBorders>
            <w:vAlign w:val="center"/>
          </w:tcPr>
          <w:p w14:paraId="6B671CAA">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0.00</w:t>
            </w:r>
          </w:p>
        </w:tc>
        <w:tc>
          <w:tcPr>
            <w:tcW w:w="1807" w:type="dxa"/>
            <w:tcBorders>
              <w:left w:val="single" w:color="auto" w:sz="6" w:space="0"/>
              <w:right w:val="single" w:color="auto" w:sz="4" w:space="0"/>
            </w:tcBorders>
            <w:vAlign w:val="center"/>
          </w:tcPr>
          <w:p w14:paraId="4308A7F0">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0.154419</w:t>
            </w:r>
          </w:p>
        </w:tc>
        <w:tc>
          <w:tcPr>
            <w:tcW w:w="1777" w:type="dxa"/>
            <w:tcBorders>
              <w:left w:val="single" w:color="auto" w:sz="4" w:space="0"/>
            </w:tcBorders>
            <w:vAlign w:val="center"/>
          </w:tcPr>
          <w:p w14:paraId="72B17875">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0.00</w:t>
            </w:r>
          </w:p>
        </w:tc>
      </w:tr>
      <w:tr w14:paraId="2787A8F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328" w:type="dxa"/>
            <w:vAlign w:val="center"/>
          </w:tcPr>
          <w:p w14:paraId="5604DA58">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1500</w:t>
            </w:r>
          </w:p>
        </w:tc>
        <w:tc>
          <w:tcPr>
            <w:tcW w:w="1792" w:type="dxa"/>
            <w:tcBorders>
              <w:left w:val="single" w:color="auto" w:sz="6" w:space="0"/>
            </w:tcBorders>
            <w:vAlign w:val="center"/>
          </w:tcPr>
          <w:p w14:paraId="036FEEA3">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0.00354598</w:t>
            </w:r>
          </w:p>
        </w:tc>
        <w:tc>
          <w:tcPr>
            <w:tcW w:w="1800" w:type="dxa"/>
            <w:tcBorders>
              <w:left w:val="single" w:color="auto" w:sz="6" w:space="0"/>
            </w:tcBorders>
            <w:vAlign w:val="center"/>
          </w:tcPr>
          <w:p w14:paraId="137955CE">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0.00</w:t>
            </w:r>
          </w:p>
        </w:tc>
        <w:tc>
          <w:tcPr>
            <w:tcW w:w="1807" w:type="dxa"/>
            <w:tcBorders>
              <w:left w:val="single" w:color="auto" w:sz="6" w:space="0"/>
              <w:right w:val="single" w:color="auto" w:sz="4" w:space="0"/>
            </w:tcBorders>
            <w:vAlign w:val="center"/>
          </w:tcPr>
          <w:p w14:paraId="180F25EA">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0.0945624</w:t>
            </w:r>
          </w:p>
        </w:tc>
        <w:tc>
          <w:tcPr>
            <w:tcW w:w="1777" w:type="dxa"/>
            <w:tcBorders>
              <w:left w:val="single" w:color="auto" w:sz="4" w:space="0"/>
            </w:tcBorders>
            <w:vAlign w:val="center"/>
          </w:tcPr>
          <w:p w14:paraId="2E1DECCE">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0.00</w:t>
            </w:r>
          </w:p>
        </w:tc>
      </w:tr>
      <w:tr w14:paraId="73CC7E8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328" w:type="dxa"/>
            <w:vAlign w:val="center"/>
          </w:tcPr>
          <w:p w14:paraId="34740CA1">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2000</w:t>
            </w:r>
          </w:p>
        </w:tc>
        <w:tc>
          <w:tcPr>
            <w:tcW w:w="1792" w:type="dxa"/>
            <w:tcBorders>
              <w:left w:val="single" w:color="auto" w:sz="6" w:space="0"/>
            </w:tcBorders>
            <w:vAlign w:val="center"/>
          </w:tcPr>
          <w:p w14:paraId="27469D57">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0.00247378</w:t>
            </w:r>
          </w:p>
        </w:tc>
        <w:tc>
          <w:tcPr>
            <w:tcW w:w="1800" w:type="dxa"/>
            <w:tcBorders>
              <w:left w:val="single" w:color="auto" w:sz="6" w:space="0"/>
            </w:tcBorders>
            <w:vAlign w:val="center"/>
          </w:tcPr>
          <w:p w14:paraId="6DD364D6">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0.00</w:t>
            </w:r>
          </w:p>
        </w:tc>
        <w:tc>
          <w:tcPr>
            <w:tcW w:w="1807" w:type="dxa"/>
            <w:tcBorders>
              <w:left w:val="single" w:color="auto" w:sz="6" w:space="0"/>
              <w:right w:val="single" w:color="auto" w:sz="4" w:space="0"/>
            </w:tcBorders>
            <w:vAlign w:val="center"/>
          </w:tcPr>
          <w:p w14:paraId="305BC613">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0.0659694</w:t>
            </w:r>
          </w:p>
        </w:tc>
        <w:tc>
          <w:tcPr>
            <w:tcW w:w="1777" w:type="dxa"/>
            <w:tcBorders>
              <w:left w:val="single" w:color="auto" w:sz="4" w:space="0"/>
            </w:tcBorders>
            <w:vAlign w:val="center"/>
          </w:tcPr>
          <w:p w14:paraId="0D51B89D">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0.00</w:t>
            </w:r>
          </w:p>
        </w:tc>
      </w:tr>
      <w:tr w14:paraId="6C835C1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328" w:type="dxa"/>
            <w:vAlign w:val="center"/>
          </w:tcPr>
          <w:p w14:paraId="7393BCBB">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2500</w:t>
            </w:r>
          </w:p>
        </w:tc>
        <w:tc>
          <w:tcPr>
            <w:tcW w:w="1792" w:type="dxa"/>
            <w:tcBorders>
              <w:left w:val="single" w:color="auto" w:sz="6" w:space="0"/>
            </w:tcBorders>
            <w:vAlign w:val="center"/>
          </w:tcPr>
          <w:p w14:paraId="75DE1FBE">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0.0018621</w:t>
            </w:r>
          </w:p>
        </w:tc>
        <w:tc>
          <w:tcPr>
            <w:tcW w:w="1800" w:type="dxa"/>
            <w:tcBorders>
              <w:left w:val="single" w:color="auto" w:sz="6" w:space="0"/>
            </w:tcBorders>
            <w:vAlign w:val="center"/>
          </w:tcPr>
          <w:p w14:paraId="4B49BED3">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0.00</w:t>
            </w:r>
          </w:p>
        </w:tc>
        <w:tc>
          <w:tcPr>
            <w:tcW w:w="1807" w:type="dxa"/>
            <w:tcBorders>
              <w:left w:val="single" w:color="auto" w:sz="6" w:space="0"/>
              <w:right w:val="single" w:color="auto" w:sz="4" w:space="0"/>
            </w:tcBorders>
            <w:vAlign w:val="center"/>
          </w:tcPr>
          <w:p w14:paraId="3F3E6553">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0.0496574</w:t>
            </w:r>
          </w:p>
        </w:tc>
        <w:tc>
          <w:tcPr>
            <w:tcW w:w="1777" w:type="dxa"/>
            <w:tcBorders>
              <w:left w:val="single" w:color="auto" w:sz="4" w:space="0"/>
            </w:tcBorders>
            <w:vAlign w:val="center"/>
          </w:tcPr>
          <w:p w14:paraId="45A7D340">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0.00</w:t>
            </w:r>
          </w:p>
        </w:tc>
      </w:tr>
      <w:tr w14:paraId="0B308A8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328" w:type="dxa"/>
            <w:vAlign w:val="center"/>
          </w:tcPr>
          <w:p w14:paraId="4A85AC82">
            <w:pPr>
              <w:keepNext w:val="0"/>
              <w:keepLines w:val="0"/>
              <w:pageBreakBefore w:val="0"/>
              <w:widowControl/>
              <w:kinsoku/>
              <w:wordWrap/>
              <w:overflowPunct/>
              <w:topLinePunct w:val="0"/>
              <w:autoSpaceDE/>
              <w:autoSpaceDN/>
              <w:bidi w:val="0"/>
              <w:adjustRightInd/>
              <w:snapToGrid/>
              <w:ind w:left="0" w:right="0"/>
              <w:jc w:val="center"/>
              <w:rPr>
                <w:rFonts w:ascii="Times New Roman" w:hAnsi="Times New Roman"/>
                <w:color w:val="auto"/>
                <w:sz w:val="21"/>
                <w:szCs w:val="21"/>
                <w:highlight w:val="none"/>
              </w:rPr>
            </w:pPr>
            <w:r>
              <w:rPr>
                <w:rFonts w:ascii="Times New Roman" w:hAnsi="Times New Roman"/>
                <w:color w:val="auto"/>
                <w:sz w:val="21"/>
                <w:szCs w:val="21"/>
                <w:highlight w:val="none"/>
              </w:rPr>
              <w:t>下风向最大浓度</w:t>
            </w:r>
          </w:p>
        </w:tc>
        <w:tc>
          <w:tcPr>
            <w:tcW w:w="3592" w:type="dxa"/>
            <w:gridSpan w:val="2"/>
            <w:tcBorders>
              <w:left w:val="single" w:color="auto" w:sz="6" w:space="0"/>
            </w:tcBorders>
            <w:vAlign w:val="center"/>
          </w:tcPr>
          <w:p w14:paraId="7B88B8D2">
            <w:pPr>
              <w:keepNext w:val="0"/>
              <w:keepLines w:val="0"/>
              <w:pageBreakBefore w:val="0"/>
              <w:widowControl/>
              <w:kinsoku/>
              <w:wordWrap/>
              <w:overflowPunct/>
              <w:topLinePunct w:val="0"/>
              <w:autoSpaceDE/>
              <w:autoSpaceDN/>
              <w:bidi w:val="0"/>
              <w:adjustRightInd/>
              <w:snapToGrid/>
              <w:ind w:left="0" w:right="0"/>
              <w:jc w:val="center"/>
              <w:textAlignment w:val="center"/>
              <w:rPr>
                <w:rFonts w:hint="default" w:ascii="Times New Roman" w:hAnsi="Times New Roman" w:eastAsia="宋体"/>
                <w:color w:val="auto"/>
                <w:sz w:val="21"/>
                <w:szCs w:val="21"/>
                <w:highlight w:val="none"/>
                <w:lang w:val="en-US" w:eastAsia="zh-CN"/>
              </w:rPr>
            </w:pPr>
            <w:r>
              <w:rPr>
                <w:rFonts w:hint="eastAsia" w:ascii="Times New Roman" w:hAnsi="Times New Roman"/>
                <w:color w:val="auto"/>
                <w:sz w:val="21"/>
                <w:szCs w:val="21"/>
                <w:highlight w:val="none"/>
                <w:lang w:val="en-US" w:eastAsia="zh-CN"/>
              </w:rPr>
              <w:t>0.09957745</w:t>
            </w:r>
          </w:p>
        </w:tc>
        <w:tc>
          <w:tcPr>
            <w:tcW w:w="3584" w:type="dxa"/>
            <w:gridSpan w:val="2"/>
            <w:tcBorders>
              <w:left w:val="single" w:color="auto" w:sz="6" w:space="0"/>
            </w:tcBorders>
            <w:vAlign w:val="center"/>
          </w:tcPr>
          <w:p w14:paraId="74909908">
            <w:pPr>
              <w:keepNext w:val="0"/>
              <w:keepLines w:val="0"/>
              <w:pageBreakBefore w:val="0"/>
              <w:widowControl/>
              <w:kinsoku/>
              <w:wordWrap/>
              <w:overflowPunct/>
              <w:topLinePunct w:val="0"/>
              <w:autoSpaceDE/>
              <w:autoSpaceDN/>
              <w:bidi w:val="0"/>
              <w:adjustRightInd/>
              <w:snapToGrid/>
              <w:ind w:left="0" w:right="0"/>
              <w:jc w:val="center"/>
              <w:textAlignment w:val="center"/>
              <w:rPr>
                <w:rFonts w:hint="default" w:ascii="Times New Roman" w:hAnsi="Times New Roman" w:eastAsia="宋体"/>
                <w:color w:val="auto"/>
                <w:sz w:val="21"/>
                <w:szCs w:val="21"/>
                <w:highlight w:val="none"/>
                <w:lang w:val="en-US" w:eastAsia="zh-CN"/>
              </w:rPr>
            </w:pPr>
            <w:r>
              <w:rPr>
                <w:rFonts w:hint="eastAsia" w:ascii="Times New Roman" w:hAnsi="Times New Roman"/>
                <w:color w:val="auto"/>
                <w:sz w:val="21"/>
                <w:szCs w:val="21"/>
                <w:highlight w:val="none"/>
                <w:lang w:val="en-US" w:eastAsia="zh-CN"/>
              </w:rPr>
              <w:t>2.55406</w:t>
            </w:r>
          </w:p>
        </w:tc>
      </w:tr>
      <w:tr w14:paraId="62167B6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328" w:type="dxa"/>
            <w:vAlign w:val="center"/>
          </w:tcPr>
          <w:p w14:paraId="7A6354CC">
            <w:pPr>
              <w:keepNext w:val="0"/>
              <w:keepLines w:val="0"/>
              <w:pageBreakBefore w:val="0"/>
              <w:widowControl/>
              <w:kinsoku/>
              <w:wordWrap/>
              <w:overflowPunct/>
              <w:topLinePunct w:val="0"/>
              <w:autoSpaceDE/>
              <w:autoSpaceDN/>
              <w:bidi w:val="0"/>
              <w:adjustRightInd/>
              <w:snapToGrid/>
              <w:ind w:left="0" w:right="0"/>
              <w:jc w:val="center"/>
              <w:rPr>
                <w:rFonts w:ascii="Times New Roman" w:hAnsi="Times New Roman"/>
                <w:color w:val="auto"/>
                <w:sz w:val="21"/>
                <w:szCs w:val="21"/>
                <w:highlight w:val="none"/>
              </w:rPr>
            </w:pPr>
            <w:r>
              <w:rPr>
                <w:rFonts w:ascii="Times New Roman" w:hAnsi="Times New Roman"/>
                <w:color w:val="auto"/>
                <w:sz w:val="21"/>
                <w:szCs w:val="21"/>
                <w:highlight w:val="none"/>
              </w:rPr>
              <w:t>最大浓度出现距离（m）</w:t>
            </w:r>
          </w:p>
        </w:tc>
        <w:tc>
          <w:tcPr>
            <w:tcW w:w="3592" w:type="dxa"/>
            <w:gridSpan w:val="2"/>
            <w:tcBorders>
              <w:left w:val="single" w:color="auto" w:sz="6" w:space="0"/>
            </w:tcBorders>
            <w:vAlign w:val="center"/>
          </w:tcPr>
          <w:p w14:paraId="347D4D7C">
            <w:pPr>
              <w:keepNext w:val="0"/>
              <w:keepLines w:val="0"/>
              <w:pageBreakBefore w:val="0"/>
              <w:widowControl/>
              <w:kinsoku/>
              <w:wordWrap/>
              <w:overflowPunct/>
              <w:topLinePunct w:val="0"/>
              <w:autoSpaceDE/>
              <w:autoSpaceDN/>
              <w:bidi w:val="0"/>
              <w:adjustRightInd/>
              <w:snapToGrid/>
              <w:ind w:left="0" w:right="0"/>
              <w:jc w:val="center"/>
              <w:rPr>
                <w:rFonts w:hint="default" w:ascii="Times New Roman" w:hAnsi="Times New Roman" w:eastAsia="宋体"/>
                <w:color w:val="auto"/>
                <w:sz w:val="21"/>
                <w:szCs w:val="21"/>
                <w:highlight w:val="none"/>
                <w:lang w:val="en-US" w:eastAsia="zh-CN"/>
              </w:rPr>
            </w:pPr>
            <w:r>
              <w:rPr>
                <w:rFonts w:hint="eastAsia" w:ascii="Times New Roman" w:hAnsi="Times New Roman"/>
                <w:color w:val="auto"/>
                <w:sz w:val="21"/>
                <w:szCs w:val="21"/>
                <w:highlight w:val="none"/>
                <w:lang w:val="en-US" w:eastAsia="zh-CN"/>
              </w:rPr>
              <w:t>23</w:t>
            </w:r>
          </w:p>
        </w:tc>
        <w:tc>
          <w:tcPr>
            <w:tcW w:w="3584" w:type="dxa"/>
            <w:gridSpan w:val="2"/>
            <w:tcBorders>
              <w:left w:val="single" w:color="auto" w:sz="6" w:space="0"/>
            </w:tcBorders>
            <w:vAlign w:val="center"/>
          </w:tcPr>
          <w:p w14:paraId="7BE85A90">
            <w:pPr>
              <w:keepNext w:val="0"/>
              <w:keepLines w:val="0"/>
              <w:pageBreakBefore w:val="0"/>
              <w:widowControl/>
              <w:kinsoku/>
              <w:wordWrap/>
              <w:overflowPunct/>
              <w:topLinePunct w:val="0"/>
              <w:autoSpaceDE/>
              <w:autoSpaceDN/>
              <w:bidi w:val="0"/>
              <w:adjustRightInd/>
              <w:snapToGrid/>
              <w:ind w:left="0" w:right="0"/>
              <w:jc w:val="center"/>
              <w:rPr>
                <w:rFonts w:hint="default" w:ascii="Times New Roman" w:hAnsi="Times New Roman" w:eastAsia="宋体"/>
                <w:color w:val="auto"/>
                <w:sz w:val="21"/>
                <w:szCs w:val="21"/>
                <w:highlight w:val="none"/>
                <w:lang w:val="en-US" w:eastAsia="zh-CN"/>
              </w:rPr>
            </w:pPr>
            <w:r>
              <w:rPr>
                <w:rFonts w:hint="eastAsia" w:ascii="Times New Roman" w:hAnsi="Times New Roman"/>
                <w:color w:val="auto"/>
                <w:sz w:val="21"/>
                <w:szCs w:val="21"/>
                <w:highlight w:val="none"/>
                <w:lang w:val="en-US" w:eastAsia="zh-CN"/>
              </w:rPr>
              <w:t>23</w:t>
            </w:r>
          </w:p>
        </w:tc>
      </w:tr>
      <w:tr w14:paraId="3571A1F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328" w:type="dxa"/>
            <w:vAlign w:val="center"/>
          </w:tcPr>
          <w:p w14:paraId="1C6B9A44">
            <w:pPr>
              <w:keepNext w:val="0"/>
              <w:keepLines w:val="0"/>
              <w:pageBreakBefore w:val="0"/>
              <w:widowControl/>
              <w:kinsoku/>
              <w:wordWrap/>
              <w:overflowPunct/>
              <w:topLinePunct w:val="0"/>
              <w:autoSpaceDE/>
              <w:autoSpaceDN/>
              <w:bidi w:val="0"/>
              <w:adjustRightInd/>
              <w:snapToGrid/>
              <w:ind w:left="0" w:right="0"/>
              <w:jc w:val="center"/>
              <w:rPr>
                <w:rFonts w:ascii="Times New Roman" w:hAnsi="Times New Roman"/>
                <w:color w:val="auto"/>
                <w:sz w:val="21"/>
                <w:szCs w:val="21"/>
                <w:highlight w:val="none"/>
              </w:rPr>
            </w:pPr>
            <w:r>
              <w:rPr>
                <w:rFonts w:ascii="Times New Roman" w:hAnsi="Times New Roman"/>
                <w:color w:val="auto"/>
                <w:sz w:val="21"/>
                <w:szCs w:val="21"/>
                <w:highlight w:val="none"/>
              </w:rPr>
              <w:t>浓度占标准10%</w:t>
            </w:r>
          </w:p>
          <w:p w14:paraId="1C6A3183">
            <w:pPr>
              <w:keepNext w:val="0"/>
              <w:keepLines w:val="0"/>
              <w:pageBreakBefore w:val="0"/>
              <w:widowControl/>
              <w:kinsoku/>
              <w:wordWrap/>
              <w:overflowPunct/>
              <w:topLinePunct w:val="0"/>
              <w:autoSpaceDE/>
              <w:autoSpaceDN/>
              <w:bidi w:val="0"/>
              <w:adjustRightInd/>
              <w:snapToGrid/>
              <w:ind w:left="0" w:right="0"/>
              <w:jc w:val="center"/>
              <w:rPr>
                <w:rFonts w:ascii="Times New Roman" w:hAnsi="Times New Roman"/>
                <w:color w:val="auto"/>
                <w:sz w:val="21"/>
                <w:szCs w:val="21"/>
                <w:highlight w:val="none"/>
              </w:rPr>
            </w:pPr>
            <w:r>
              <w:rPr>
                <w:rFonts w:ascii="Times New Roman" w:hAnsi="Times New Roman"/>
                <w:color w:val="auto"/>
                <w:sz w:val="21"/>
                <w:szCs w:val="21"/>
                <w:highlight w:val="none"/>
              </w:rPr>
              <w:t>距源最远距离D10%</w:t>
            </w:r>
          </w:p>
        </w:tc>
        <w:tc>
          <w:tcPr>
            <w:tcW w:w="3592" w:type="dxa"/>
            <w:gridSpan w:val="2"/>
            <w:tcBorders>
              <w:left w:val="single" w:color="auto" w:sz="6" w:space="0"/>
            </w:tcBorders>
            <w:vAlign w:val="center"/>
          </w:tcPr>
          <w:p w14:paraId="38F2E117">
            <w:pPr>
              <w:keepNext w:val="0"/>
              <w:keepLines w:val="0"/>
              <w:pageBreakBefore w:val="0"/>
              <w:widowControl/>
              <w:kinsoku/>
              <w:wordWrap/>
              <w:overflowPunct/>
              <w:topLinePunct w:val="0"/>
              <w:autoSpaceDE/>
              <w:autoSpaceDN/>
              <w:bidi w:val="0"/>
              <w:adjustRightInd/>
              <w:snapToGrid/>
              <w:ind w:left="0" w:right="0"/>
              <w:jc w:val="center"/>
              <w:rPr>
                <w:rFonts w:ascii="Times New Roman" w:hAnsi="Times New Roman"/>
                <w:color w:val="auto"/>
                <w:sz w:val="21"/>
                <w:szCs w:val="21"/>
                <w:highlight w:val="none"/>
              </w:rPr>
            </w:pPr>
            <w:r>
              <w:rPr>
                <w:rFonts w:ascii="Times New Roman" w:hAnsi="Times New Roman"/>
                <w:color w:val="auto"/>
                <w:sz w:val="21"/>
                <w:szCs w:val="21"/>
                <w:highlight w:val="none"/>
              </w:rPr>
              <w:t>Pmax＜1%</w:t>
            </w:r>
          </w:p>
        </w:tc>
        <w:tc>
          <w:tcPr>
            <w:tcW w:w="3584" w:type="dxa"/>
            <w:gridSpan w:val="2"/>
            <w:tcBorders>
              <w:left w:val="single" w:color="auto" w:sz="6" w:space="0"/>
            </w:tcBorders>
            <w:vAlign w:val="center"/>
          </w:tcPr>
          <w:p w14:paraId="4E25E593">
            <w:pPr>
              <w:keepNext w:val="0"/>
              <w:keepLines w:val="0"/>
              <w:pageBreakBefore w:val="0"/>
              <w:widowControl/>
              <w:kinsoku/>
              <w:wordWrap/>
              <w:overflowPunct/>
              <w:topLinePunct w:val="0"/>
              <w:autoSpaceDE/>
              <w:autoSpaceDN/>
              <w:bidi w:val="0"/>
              <w:adjustRightInd/>
              <w:snapToGrid/>
              <w:ind w:left="0" w:right="0"/>
              <w:jc w:val="center"/>
              <w:rPr>
                <w:rFonts w:ascii="Times New Roman" w:hAnsi="Times New Roman"/>
                <w:color w:val="auto"/>
                <w:sz w:val="21"/>
                <w:szCs w:val="21"/>
                <w:highlight w:val="none"/>
              </w:rPr>
            </w:pPr>
            <w:r>
              <w:rPr>
                <w:rFonts w:ascii="Times New Roman" w:hAnsi="Times New Roman"/>
                <w:color w:val="auto"/>
                <w:sz w:val="21"/>
                <w:szCs w:val="21"/>
                <w:highlight w:val="none"/>
              </w:rPr>
              <w:t>Pmax＜1%</w:t>
            </w:r>
          </w:p>
        </w:tc>
      </w:tr>
    </w:tbl>
    <w:p w14:paraId="24B78107">
      <w:pPr>
        <w:pStyle w:val="15"/>
        <w:spacing w:line="360" w:lineRule="auto"/>
        <w:ind w:left="-105" w:right="-105" w:firstLine="482"/>
        <w:rPr>
          <w:rFonts w:eastAsia="宋体" w:cs="Times New Roman"/>
          <w:color w:val="auto"/>
          <w:sz w:val="24"/>
          <w:szCs w:val="18"/>
          <w:highlight w:val="none"/>
        </w:rPr>
      </w:pPr>
      <w:bookmarkStart w:id="377" w:name="_Ref28280"/>
      <w:r>
        <w:rPr>
          <w:rFonts w:eastAsia="宋体" w:cs="Times New Roman"/>
          <w:color w:val="auto"/>
          <w:sz w:val="24"/>
          <w:szCs w:val="18"/>
          <w:highlight w:val="none"/>
        </w:rPr>
        <w:t>表</w:t>
      </w:r>
      <w:r>
        <w:rPr>
          <w:rFonts w:eastAsia="宋体" w:cs="Times New Roman"/>
          <w:color w:val="auto"/>
          <w:sz w:val="24"/>
          <w:szCs w:val="18"/>
          <w:highlight w:val="none"/>
        </w:rPr>
        <w:fldChar w:fldCharType="begin"/>
      </w:r>
      <w:r>
        <w:rPr>
          <w:rFonts w:eastAsia="宋体" w:cs="Times New Roman"/>
          <w:color w:val="auto"/>
          <w:sz w:val="24"/>
          <w:szCs w:val="18"/>
          <w:highlight w:val="none"/>
        </w:rPr>
        <w:instrText xml:space="preserve"> STYLEREF 2 \s </w:instrText>
      </w:r>
      <w:r>
        <w:rPr>
          <w:rFonts w:eastAsia="宋体" w:cs="Times New Roman"/>
          <w:color w:val="auto"/>
          <w:sz w:val="24"/>
          <w:szCs w:val="18"/>
          <w:highlight w:val="none"/>
        </w:rPr>
        <w:fldChar w:fldCharType="separate"/>
      </w:r>
      <w:r>
        <w:rPr>
          <w:rFonts w:eastAsia="宋体" w:cs="Times New Roman"/>
          <w:color w:val="auto"/>
          <w:sz w:val="24"/>
          <w:szCs w:val="18"/>
          <w:highlight w:val="none"/>
        </w:rPr>
        <w:t>6.1</w:t>
      </w:r>
      <w:r>
        <w:rPr>
          <w:rFonts w:eastAsia="宋体" w:cs="Times New Roman"/>
          <w:color w:val="auto"/>
          <w:sz w:val="24"/>
          <w:szCs w:val="18"/>
          <w:highlight w:val="none"/>
        </w:rPr>
        <w:fldChar w:fldCharType="end"/>
      </w:r>
      <w:r>
        <w:rPr>
          <w:rFonts w:eastAsia="宋体" w:cs="Times New Roman"/>
          <w:color w:val="auto"/>
          <w:sz w:val="24"/>
          <w:szCs w:val="18"/>
          <w:highlight w:val="none"/>
        </w:rPr>
        <w:noBreakHyphen/>
      </w:r>
      <w:r>
        <w:rPr>
          <w:rFonts w:eastAsia="宋体" w:cs="Times New Roman"/>
          <w:color w:val="auto"/>
          <w:sz w:val="24"/>
          <w:szCs w:val="18"/>
          <w:highlight w:val="none"/>
        </w:rPr>
        <w:fldChar w:fldCharType="begin"/>
      </w:r>
      <w:r>
        <w:rPr>
          <w:rFonts w:eastAsia="宋体" w:cs="Times New Roman"/>
          <w:color w:val="auto"/>
          <w:sz w:val="24"/>
          <w:szCs w:val="18"/>
          <w:highlight w:val="none"/>
        </w:rPr>
        <w:instrText xml:space="preserve"> SEQ 表 \* ARABIC \s 2 </w:instrText>
      </w:r>
      <w:r>
        <w:rPr>
          <w:rFonts w:eastAsia="宋体" w:cs="Times New Roman"/>
          <w:color w:val="auto"/>
          <w:sz w:val="24"/>
          <w:szCs w:val="18"/>
          <w:highlight w:val="none"/>
        </w:rPr>
        <w:fldChar w:fldCharType="separate"/>
      </w:r>
      <w:r>
        <w:rPr>
          <w:rFonts w:eastAsia="宋体" w:cs="Times New Roman"/>
          <w:color w:val="auto"/>
          <w:sz w:val="24"/>
          <w:szCs w:val="18"/>
          <w:highlight w:val="none"/>
        </w:rPr>
        <w:t>11</w:t>
      </w:r>
      <w:r>
        <w:rPr>
          <w:rFonts w:eastAsia="宋体" w:cs="Times New Roman"/>
          <w:color w:val="auto"/>
          <w:sz w:val="24"/>
          <w:szCs w:val="18"/>
          <w:highlight w:val="none"/>
        </w:rPr>
        <w:fldChar w:fldCharType="end"/>
      </w:r>
      <w:bookmarkEnd w:id="376"/>
      <w:bookmarkEnd w:id="377"/>
      <w:r>
        <w:rPr>
          <w:rFonts w:eastAsia="宋体" w:cs="Times New Roman"/>
          <w:color w:val="auto"/>
          <w:sz w:val="24"/>
          <w:szCs w:val="18"/>
          <w:highlight w:val="none"/>
        </w:rPr>
        <w:t>本项目最大地面空气质量浓度占标率计算结果</w:t>
      </w:r>
    </w:p>
    <w:tbl>
      <w:tblPr>
        <w:tblStyle w:val="45"/>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28" w:type="dxa"/>
          <w:bottom w:w="0" w:type="dxa"/>
          <w:right w:w="28" w:type="dxa"/>
        </w:tblCellMar>
      </w:tblPr>
      <w:tblGrid>
        <w:gridCol w:w="587"/>
        <w:gridCol w:w="941"/>
        <w:gridCol w:w="1345"/>
        <w:gridCol w:w="1419"/>
        <w:gridCol w:w="1419"/>
        <w:gridCol w:w="1420"/>
        <w:gridCol w:w="1429"/>
      </w:tblGrid>
      <w:tr w14:paraId="47CDF3C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cantSplit/>
          <w:trHeight w:val="351" w:hRule="atLeast"/>
          <w:jc w:val="center"/>
        </w:trPr>
        <w:tc>
          <w:tcPr>
            <w:tcW w:w="1528" w:type="dxa"/>
            <w:gridSpan w:val="2"/>
            <w:vMerge w:val="restart"/>
            <w:shd w:val="clear" w:color="auto" w:fill="auto"/>
            <w:vAlign w:val="center"/>
          </w:tcPr>
          <w:p w14:paraId="17489FD0">
            <w:pPr>
              <w:pStyle w:val="118"/>
              <w:keepNext w:val="0"/>
              <w:keepLines w:val="0"/>
              <w:pageBreakBefore w:val="0"/>
              <w:kinsoku/>
              <w:wordWrap/>
              <w:overflowPunct/>
              <w:topLinePunct w:val="0"/>
              <w:autoSpaceDE/>
              <w:autoSpaceDN/>
              <w:bidi w:val="0"/>
              <w:adjustRightInd/>
              <w:snapToGrid/>
              <w:ind w:left="0" w:right="0"/>
              <w:rPr>
                <w:rFonts w:ascii="Times New Roman" w:hAnsi="Times New Roman" w:eastAsia="宋体"/>
                <w:b/>
                <w:bCs/>
                <w:color w:val="auto"/>
                <w:sz w:val="21"/>
                <w:szCs w:val="21"/>
                <w:highlight w:val="none"/>
              </w:rPr>
            </w:pPr>
            <w:bookmarkStart w:id="378" w:name="_Ref15977"/>
            <w:r>
              <w:rPr>
                <w:rFonts w:ascii="Times New Roman" w:hAnsi="Times New Roman" w:eastAsia="宋体"/>
                <w:b/>
                <w:bCs/>
                <w:color w:val="auto"/>
                <w:sz w:val="21"/>
                <w:szCs w:val="21"/>
                <w:highlight w:val="none"/>
              </w:rPr>
              <w:t>污染源</w:t>
            </w:r>
          </w:p>
        </w:tc>
        <w:tc>
          <w:tcPr>
            <w:tcW w:w="1345" w:type="dxa"/>
            <w:vMerge w:val="restart"/>
            <w:shd w:val="clear" w:color="auto" w:fill="auto"/>
            <w:vAlign w:val="center"/>
          </w:tcPr>
          <w:p w14:paraId="55A91663">
            <w:pPr>
              <w:pStyle w:val="118"/>
              <w:keepNext w:val="0"/>
              <w:keepLines w:val="0"/>
              <w:pageBreakBefore w:val="0"/>
              <w:kinsoku/>
              <w:wordWrap/>
              <w:overflowPunct/>
              <w:topLinePunct w:val="0"/>
              <w:autoSpaceDE/>
              <w:autoSpaceDN/>
              <w:bidi w:val="0"/>
              <w:adjustRightInd/>
              <w:snapToGrid/>
              <w:ind w:left="0" w:right="0"/>
              <w:rPr>
                <w:rFonts w:ascii="Times New Roman" w:hAnsi="Times New Roman" w:eastAsia="宋体"/>
                <w:b/>
                <w:bCs/>
                <w:color w:val="auto"/>
                <w:sz w:val="21"/>
                <w:szCs w:val="21"/>
                <w:highlight w:val="none"/>
              </w:rPr>
            </w:pPr>
            <w:r>
              <w:rPr>
                <w:rFonts w:ascii="Times New Roman" w:hAnsi="Times New Roman" w:eastAsia="宋体"/>
                <w:b/>
                <w:bCs/>
                <w:color w:val="auto"/>
                <w:sz w:val="21"/>
                <w:szCs w:val="21"/>
                <w:highlight w:val="none"/>
              </w:rPr>
              <w:t>污染物</w:t>
            </w:r>
          </w:p>
        </w:tc>
        <w:tc>
          <w:tcPr>
            <w:tcW w:w="5687" w:type="dxa"/>
            <w:gridSpan w:val="4"/>
          </w:tcPr>
          <w:p w14:paraId="5734FFD9">
            <w:pPr>
              <w:pStyle w:val="118"/>
              <w:keepNext w:val="0"/>
              <w:keepLines w:val="0"/>
              <w:pageBreakBefore w:val="0"/>
              <w:kinsoku/>
              <w:wordWrap/>
              <w:overflowPunct/>
              <w:topLinePunct w:val="0"/>
              <w:autoSpaceDE/>
              <w:autoSpaceDN/>
              <w:bidi w:val="0"/>
              <w:adjustRightInd/>
              <w:snapToGrid/>
              <w:ind w:left="0" w:right="0"/>
              <w:rPr>
                <w:rFonts w:ascii="Times New Roman" w:hAnsi="Times New Roman" w:eastAsia="宋体"/>
                <w:b/>
                <w:bCs/>
                <w:color w:val="auto"/>
                <w:sz w:val="21"/>
                <w:szCs w:val="21"/>
                <w:highlight w:val="none"/>
              </w:rPr>
            </w:pPr>
            <w:r>
              <w:rPr>
                <w:rFonts w:ascii="Times New Roman" w:hAnsi="Times New Roman" w:eastAsia="宋体"/>
                <w:b/>
                <w:bCs/>
                <w:color w:val="auto"/>
                <w:sz w:val="21"/>
                <w:szCs w:val="21"/>
                <w:highlight w:val="none"/>
              </w:rPr>
              <w:t>计算结果</w:t>
            </w:r>
          </w:p>
        </w:tc>
      </w:tr>
      <w:tr w14:paraId="1BA2810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cantSplit/>
          <w:trHeight w:val="554" w:hRule="atLeast"/>
          <w:jc w:val="center"/>
        </w:trPr>
        <w:tc>
          <w:tcPr>
            <w:tcW w:w="1528" w:type="dxa"/>
            <w:gridSpan w:val="2"/>
            <w:vMerge w:val="continue"/>
            <w:tcBorders>
              <w:bottom w:val="single" w:color="auto" w:sz="4" w:space="0"/>
            </w:tcBorders>
            <w:shd w:val="clear" w:color="auto" w:fill="auto"/>
            <w:vAlign w:val="center"/>
          </w:tcPr>
          <w:p w14:paraId="46EEFBA8">
            <w:pPr>
              <w:pStyle w:val="118"/>
              <w:keepNext w:val="0"/>
              <w:keepLines w:val="0"/>
              <w:pageBreakBefore w:val="0"/>
              <w:kinsoku/>
              <w:wordWrap/>
              <w:overflowPunct/>
              <w:topLinePunct w:val="0"/>
              <w:autoSpaceDE/>
              <w:autoSpaceDN/>
              <w:bidi w:val="0"/>
              <w:adjustRightInd/>
              <w:snapToGrid/>
              <w:ind w:left="0" w:right="0"/>
              <w:rPr>
                <w:rFonts w:ascii="Times New Roman" w:hAnsi="Times New Roman" w:eastAsia="宋体"/>
                <w:b/>
                <w:bCs/>
                <w:color w:val="auto"/>
                <w:sz w:val="21"/>
                <w:szCs w:val="21"/>
                <w:highlight w:val="none"/>
              </w:rPr>
            </w:pPr>
          </w:p>
        </w:tc>
        <w:tc>
          <w:tcPr>
            <w:tcW w:w="1345" w:type="dxa"/>
            <w:vMerge w:val="continue"/>
            <w:shd w:val="clear" w:color="auto" w:fill="auto"/>
            <w:vAlign w:val="center"/>
          </w:tcPr>
          <w:p w14:paraId="736C6CAC">
            <w:pPr>
              <w:pStyle w:val="118"/>
              <w:keepNext w:val="0"/>
              <w:keepLines w:val="0"/>
              <w:pageBreakBefore w:val="0"/>
              <w:kinsoku/>
              <w:wordWrap/>
              <w:overflowPunct/>
              <w:topLinePunct w:val="0"/>
              <w:autoSpaceDE/>
              <w:autoSpaceDN/>
              <w:bidi w:val="0"/>
              <w:adjustRightInd/>
              <w:snapToGrid/>
              <w:ind w:left="0" w:right="0"/>
              <w:rPr>
                <w:rFonts w:ascii="Times New Roman" w:hAnsi="Times New Roman" w:eastAsia="宋体"/>
                <w:b/>
                <w:bCs/>
                <w:color w:val="auto"/>
                <w:sz w:val="21"/>
                <w:szCs w:val="21"/>
                <w:highlight w:val="none"/>
              </w:rPr>
            </w:pPr>
          </w:p>
        </w:tc>
        <w:tc>
          <w:tcPr>
            <w:tcW w:w="1419" w:type="dxa"/>
            <w:shd w:val="clear" w:color="auto" w:fill="auto"/>
            <w:vAlign w:val="center"/>
          </w:tcPr>
          <w:p w14:paraId="5335AFA0">
            <w:pPr>
              <w:pStyle w:val="118"/>
              <w:keepNext w:val="0"/>
              <w:keepLines w:val="0"/>
              <w:pageBreakBefore w:val="0"/>
              <w:kinsoku/>
              <w:wordWrap/>
              <w:overflowPunct/>
              <w:topLinePunct w:val="0"/>
              <w:autoSpaceDE/>
              <w:autoSpaceDN/>
              <w:bidi w:val="0"/>
              <w:adjustRightInd/>
              <w:snapToGrid/>
              <w:ind w:left="0" w:right="0"/>
              <w:rPr>
                <w:rFonts w:ascii="Times New Roman" w:hAnsi="Times New Roman" w:eastAsia="宋体"/>
                <w:b/>
                <w:bCs/>
                <w:color w:val="auto"/>
                <w:sz w:val="21"/>
                <w:szCs w:val="21"/>
                <w:highlight w:val="none"/>
              </w:rPr>
            </w:pPr>
            <w:r>
              <w:rPr>
                <w:rFonts w:ascii="Times New Roman" w:hAnsi="Times New Roman" w:eastAsia="宋体"/>
                <w:b/>
                <w:bCs/>
                <w:color w:val="auto"/>
                <w:sz w:val="21"/>
                <w:szCs w:val="21"/>
                <w:highlight w:val="none"/>
              </w:rPr>
              <w:t>最大落地浓度距离/m</w:t>
            </w:r>
          </w:p>
        </w:tc>
        <w:tc>
          <w:tcPr>
            <w:tcW w:w="1419" w:type="dxa"/>
            <w:shd w:val="clear" w:color="auto" w:fill="auto"/>
            <w:vAlign w:val="center"/>
          </w:tcPr>
          <w:p w14:paraId="40F694F4">
            <w:pPr>
              <w:pStyle w:val="118"/>
              <w:keepNext w:val="0"/>
              <w:keepLines w:val="0"/>
              <w:pageBreakBefore w:val="0"/>
              <w:kinsoku/>
              <w:wordWrap/>
              <w:overflowPunct/>
              <w:topLinePunct w:val="0"/>
              <w:autoSpaceDE/>
              <w:autoSpaceDN/>
              <w:bidi w:val="0"/>
              <w:adjustRightInd/>
              <w:snapToGrid/>
              <w:ind w:left="0" w:right="0"/>
              <w:rPr>
                <w:rFonts w:ascii="Times New Roman" w:hAnsi="Times New Roman" w:eastAsia="宋体"/>
                <w:b/>
                <w:bCs/>
                <w:color w:val="auto"/>
                <w:sz w:val="21"/>
                <w:szCs w:val="21"/>
                <w:highlight w:val="none"/>
              </w:rPr>
            </w:pPr>
            <w:r>
              <w:rPr>
                <w:rFonts w:ascii="Times New Roman" w:hAnsi="Times New Roman" w:eastAsia="宋体"/>
                <w:b/>
                <w:bCs/>
                <w:color w:val="auto"/>
                <w:sz w:val="21"/>
                <w:szCs w:val="21"/>
                <w:highlight w:val="none"/>
              </w:rPr>
              <w:t>1h最大落地浓度/（</w:t>
            </w:r>
            <w:r>
              <w:rPr>
                <w:rFonts w:ascii="Times New Roman" w:hAnsi="Times New Roman" w:eastAsia="宋体"/>
                <w:b/>
                <w:color w:val="auto"/>
                <w:sz w:val="21"/>
                <w:szCs w:val="21"/>
                <w:highlight w:val="none"/>
              </w:rPr>
              <w:t>μg/m</w:t>
            </w:r>
            <w:r>
              <w:rPr>
                <w:rFonts w:ascii="Times New Roman" w:hAnsi="Times New Roman" w:eastAsia="宋体"/>
                <w:b/>
                <w:color w:val="auto"/>
                <w:sz w:val="21"/>
                <w:szCs w:val="21"/>
                <w:highlight w:val="none"/>
                <w:vertAlign w:val="superscript"/>
              </w:rPr>
              <w:t>3</w:t>
            </w:r>
            <w:r>
              <w:rPr>
                <w:rFonts w:ascii="Times New Roman" w:hAnsi="Times New Roman" w:eastAsia="宋体"/>
                <w:b/>
                <w:bCs/>
                <w:color w:val="auto"/>
                <w:sz w:val="21"/>
                <w:szCs w:val="21"/>
                <w:highlight w:val="none"/>
              </w:rPr>
              <w:t>）</w:t>
            </w:r>
          </w:p>
        </w:tc>
        <w:tc>
          <w:tcPr>
            <w:tcW w:w="1420" w:type="dxa"/>
            <w:vAlign w:val="center"/>
          </w:tcPr>
          <w:p w14:paraId="62E90B32">
            <w:pPr>
              <w:pStyle w:val="118"/>
              <w:keepNext w:val="0"/>
              <w:keepLines w:val="0"/>
              <w:pageBreakBefore w:val="0"/>
              <w:kinsoku/>
              <w:wordWrap/>
              <w:overflowPunct/>
              <w:topLinePunct w:val="0"/>
              <w:autoSpaceDE/>
              <w:autoSpaceDN/>
              <w:bidi w:val="0"/>
              <w:adjustRightInd/>
              <w:snapToGrid/>
              <w:ind w:left="0" w:right="0"/>
              <w:rPr>
                <w:rFonts w:ascii="Times New Roman" w:hAnsi="Times New Roman" w:eastAsia="宋体"/>
                <w:b/>
                <w:bCs/>
                <w:color w:val="auto"/>
                <w:sz w:val="21"/>
                <w:szCs w:val="21"/>
                <w:highlight w:val="none"/>
              </w:rPr>
            </w:pPr>
            <w:r>
              <w:rPr>
                <w:rFonts w:ascii="Times New Roman" w:hAnsi="Times New Roman" w:eastAsia="宋体"/>
                <w:b/>
                <w:bCs/>
                <w:color w:val="auto"/>
                <w:sz w:val="21"/>
                <w:szCs w:val="21"/>
                <w:highlight w:val="none"/>
              </w:rPr>
              <w:t>最大占标率/%</w:t>
            </w:r>
          </w:p>
        </w:tc>
        <w:tc>
          <w:tcPr>
            <w:tcW w:w="1429" w:type="dxa"/>
            <w:shd w:val="clear" w:color="auto" w:fill="auto"/>
            <w:vAlign w:val="center"/>
          </w:tcPr>
          <w:p w14:paraId="5F955662">
            <w:pPr>
              <w:pStyle w:val="118"/>
              <w:keepNext w:val="0"/>
              <w:keepLines w:val="0"/>
              <w:pageBreakBefore w:val="0"/>
              <w:kinsoku/>
              <w:wordWrap/>
              <w:overflowPunct/>
              <w:topLinePunct w:val="0"/>
              <w:autoSpaceDE/>
              <w:autoSpaceDN/>
              <w:bidi w:val="0"/>
              <w:adjustRightInd/>
              <w:snapToGrid/>
              <w:ind w:left="0" w:right="0"/>
              <w:rPr>
                <w:rFonts w:ascii="Times New Roman" w:hAnsi="Times New Roman" w:eastAsia="宋体"/>
                <w:b/>
                <w:bCs/>
                <w:color w:val="auto"/>
                <w:sz w:val="21"/>
                <w:szCs w:val="21"/>
                <w:highlight w:val="none"/>
              </w:rPr>
            </w:pPr>
            <w:r>
              <w:rPr>
                <w:rFonts w:ascii="Times New Roman" w:hAnsi="Times New Roman" w:eastAsia="宋体"/>
                <w:b/>
                <w:bCs/>
                <w:color w:val="auto"/>
                <w:sz w:val="21"/>
                <w:szCs w:val="21"/>
                <w:highlight w:val="none"/>
              </w:rPr>
              <w:t>评价等级</w:t>
            </w:r>
          </w:p>
        </w:tc>
      </w:tr>
      <w:tr w14:paraId="75F3AB2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cantSplit/>
          <w:trHeight w:val="330" w:hRule="atLeast"/>
          <w:jc w:val="center"/>
        </w:trPr>
        <w:tc>
          <w:tcPr>
            <w:tcW w:w="587" w:type="dxa"/>
            <w:vMerge w:val="restart"/>
            <w:tcBorders>
              <w:top w:val="single" w:color="auto" w:sz="4" w:space="0"/>
            </w:tcBorders>
            <w:vAlign w:val="center"/>
          </w:tcPr>
          <w:p w14:paraId="19A090AD">
            <w:pPr>
              <w:pStyle w:val="118"/>
              <w:keepNext w:val="0"/>
              <w:keepLines w:val="0"/>
              <w:pageBreakBefore w:val="0"/>
              <w:kinsoku/>
              <w:wordWrap/>
              <w:overflowPunct/>
              <w:topLinePunct w:val="0"/>
              <w:autoSpaceDE/>
              <w:autoSpaceDN/>
              <w:bidi w:val="0"/>
              <w:adjustRightInd/>
              <w:snapToGrid/>
              <w:ind w:left="0" w:right="0"/>
              <w:rPr>
                <w:rFonts w:ascii="Times New Roman" w:hAnsi="Times New Roman" w:eastAsia="宋体"/>
                <w:color w:val="auto"/>
                <w:sz w:val="21"/>
                <w:szCs w:val="21"/>
                <w:highlight w:val="none"/>
              </w:rPr>
            </w:pPr>
            <w:r>
              <w:rPr>
                <w:rFonts w:ascii="Times New Roman" w:hAnsi="Times New Roman" w:eastAsia="宋体"/>
                <w:color w:val="auto"/>
                <w:sz w:val="21"/>
                <w:szCs w:val="21"/>
                <w:highlight w:val="none"/>
              </w:rPr>
              <w:t>点源</w:t>
            </w:r>
          </w:p>
        </w:tc>
        <w:tc>
          <w:tcPr>
            <w:tcW w:w="941" w:type="dxa"/>
            <w:tcBorders>
              <w:top w:val="single" w:color="auto" w:sz="4" w:space="0"/>
            </w:tcBorders>
            <w:vAlign w:val="center"/>
          </w:tcPr>
          <w:p w14:paraId="2DD26020">
            <w:pPr>
              <w:pStyle w:val="118"/>
              <w:keepNext w:val="0"/>
              <w:keepLines w:val="0"/>
              <w:pageBreakBefore w:val="0"/>
              <w:kinsoku/>
              <w:wordWrap/>
              <w:overflowPunct/>
              <w:topLinePunct w:val="0"/>
              <w:autoSpaceDE/>
              <w:autoSpaceDN/>
              <w:bidi w:val="0"/>
              <w:adjustRightInd/>
              <w:snapToGrid/>
              <w:ind w:left="0" w:right="0"/>
              <w:rPr>
                <w:rFonts w:ascii="Times New Roman" w:hAnsi="Times New Roman" w:eastAsia="宋体"/>
                <w:color w:val="auto"/>
                <w:sz w:val="21"/>
                <w:szCs w:val="21"/>
                <w:highlight w:val="none"/>
              </w:rPr>
            </w:pPr>
            <w:r>
              <w:rPr>
                <w:rFonts w:hint="eastAsia" w:ascii="Times New Roman" w:hAnsi="Times New Roman" w:eastAsia="宋体"/>
                <w:color w:val="auto"/>
                <w:sz w:val="21"/>
                <w:szCs w:val="21"/>
                <w:highlight w:val="none"/>
              </w:rPr>
              <w:t>DA005</w:t>
            </w:r>
          </w:p>
        </w:tc>
        <w:tc>
          <w:tcPr>
            <w:tcW w:w="1345" w:type="dxa"/>
            <w:vAlign w:val="center"/>
          </w:tcPr>
          <w:p w14:paraId="07A6DAC8">
            <w:pPr>
              <w:keepNext w:val="0"/>
              <w:keepLines w:val="0"/>
              <w:pageBreakBefore w:val="0"/>
              <w:kinsoku/>
              <w:wordWrap/>
              <w:overflowPunct/>
              <w:topLinePunct w:val="0"/>
              <w:autoSpaceDE/>
              <w:autoSpaceDN/>
              <w:bidi w:val="0"/>
              <w:adjustRightInd/>
              <w:snapToGrid/>
              <w:ind w:left="0" w:right="0"/>
              <w:jc w:val="center"/>
              <w:rPr>
                <w:rFonts w:ascii="Times New Roman" w:hAnsi="Times New Roman"/>
                <w:color w:val="auto"/>
                <w:sz w:val="21"/>
                <w:szCs w:val="21"/>
                <w:highlight w:val="none"/>
              </w:rPr>
            </w:pPr>
            <w:r>
              <w:rPr>
                <w:rFonts w:hint="eastAsia" w:ascii="Times New Roman" w:hAnsi="Times New Roman" w:cs="Times New Roman"/>
                <w:color w:val="auto"/>
                <w:sz w:val="21"/>
                <w:szCs w:val="21"/>
                <w:highlight w:val="none"/>
              </w:rPr>
              <w:t>非甲烷总烃</w:t>
            </w:r>
          </w:p>
        </w:tc>
        <w:tc>
          <w:tcPr>
            <w:tcW w:w="1419" w:type="dxa"/>
            <w:vAlign w:val="center"/>
          </w:tcPr>
          <w:p w14:paraId="1F713384">
            <w:pPr>
              <w:keepNext w:val="0"/>
              <w:keepLines w:val="0"/>
              <w:pageBreakBefore w:val="0"/>
              <w:kinsoku/>
              <w:wordWrap/>
              <w:overflowPunct/>
              <w:topLinePunct w:val="0"/>
              <w:autoSpaceDE/>
              <w:autoSpaceDN/>
              <w:bidi w:val="0"/>
              <w:adjustRightInd/>
              <w:snapToGrid/>
              <w:ind w:left="0" w:right="0"/>
              <w:jc w:val="center"/>
              <w:textAlignment w:val="center"/>
              <w:rPr>
                <w:rFonts w:hint="default" w:ascii="Times New Roman" w:hAnsi="Times New Roman" w:cs="Times New Roman"/>
                <w:color w:val="auto"/>
                <w:position w:val="1"/>
                <w:sz w:val="21"/>
                <w:szCs w:val="21"/>
                <w:highlight w:val="none"/>
                <w:lang w:val="en-US" w:bidi="zh-CN"/>
              </w:rPr>
            </w:pPr>
            <w:r>
              <w:rPr>
                <w:rFonts w:hint="eastAsia" w:ascii="Times New Roman" w:hAnsi="Times New Roman" w:cs="Times New Roman"/>
                <w:color w:val="auto"/>
                <w:position w:val="1"/>
                <w:sz w:val="21"/>
                <w:szCs w:val="21"/>
                <w:highlight w:val="none"/>
                <w:lang w:val="en-US" w:bidi="zh-CN"/>
              </w:rPr>
              <w:t>113</w:t>
            </w:r>
          </w:p>
        </w:tc>
        <w:tc>
          <w:tcPr>
            <w:tcW w:w="1419" w:type="dxa"/>
            <w:vAlign w:val="center"/>
          </w:tcPr>
          <w:p w14:paraId="2C7D7A93">
            <w:pPr>
              <w:keepNext w:val="0"/>
              <w:keepLines w:val="0"/>
              <w:pageBreakBefore w:val="0"/>
              <w:kinsoku/>
              <w:wordWrap/>
              <w:overflowPunct/>
              <w:topLinePunct w:val="0"/>
              <w:autoSpaceDE/>
              <w:autoSpaceDN/>
              <w:bidi w:val="0"/>
              <w:adjustRightInd/>
              <w:snapToGrid/>
              <w:ind w:left="0" w:right="0"/>
              <w:jc w:val="center"/>
              <w:textAlignment w:val="center"/>
              <w:rPr>
                <w:rFonts w:hint="default" w:ascii="Times New Roman" w:hAnsi="Times New Roman" w:cs="Times New Roman"/>
                <w:color w:val="auto"/>
                <w:position w:val="1"/>
                <w:sz w:val="21"/>
                <w:szCs w:val="21"/>
                <w:highlight w:val="none"/>
                <w:lang w:val="en-US" w:bidi="zh-CN"/>
              </w:rPr>
            </w:pPr>
            <w:r>
              <w:rPr>
                <w:rFonts w:hint="eastAsia" w:ascii="Times New Roman" w:hAnsi="Times New Roman" w:cs="Times New Roman"/>
                <w:color w:val="auto"/>
                <w:position w:val="1"/>
                <w:sz w:val="21"/>
                <w:szCs w:val="21"/>
                <w:highlight w:val="none"/>
                <w:lang w:val="en-US" w:bidi="zh-CN"/>
              </w:rPr>
              <w:t>3.6573</w:t>
            </w:r>
          </w:p>
        </w:tc>
        <w:tc>
          <w:tcPr>
            <w:tcW w:w="1420" w:type="dxa"/>
            <w:vAlign w:val="center"/>
          </w:tcPr>
          <w:p w14:paraId="3309E4E9">
            <w:pPr>
              <w:keepNext w:val="0"/>
              <w:keepLines w:val="0"/>
              <w:pageBreakBefore w:val="0"/>
              <w:kinsoku/>
              <w:wordWrap/>
              <w:overflowPunct/>
              <w:topLinePunct w:val="0"/>
              <w:autoSpaceDE/>
              <w:autoSpaceDN/>
              <w:bidi w:val="0"/>
              <w:adjustRightInd/>
              <w:snapToGrid/>
              <w:ind w:left="0" w:right="0"/>
              <w:jc w:val="center"/>
              <w:textAlignment w:val="center"/>
              <w:rPr>
                <w:rFonts w:hint="default" w:ascii="Times New Roman" w:hAnsi="Times New Roman" w:cs="Times New Roman"/>
                <w:color w:val="auto"/>
                <w:position w:val="1"/>
                <w:sz w:val="21"/>
                <w:szCs w:val="21"/>
                <w:highlight w:val="none"/>
                <w:lang w:val="en-US" w:bidi="zh-CN"/>
              </w:rPr>
            </w:pPr>
            <w:r>
              <w:rPr>
                <w:rFonts w:hint="eastAsia" w:ascii="Times New Roman" w:hAnsi="Times New Roman" w:cs="Times New Roman"/>
                <w:color w:val="auto"/>
                <w:position w:val="1"/>
                <w:sz w:val="21"/>
                <w:szCs w:val="21"/>
                <w:highlight w:val="none"/>
                <w:lang w:val="en-US" w:bidi="zh-CN"/>
              </w:rPr>
              <w:t>0.18</w:t>
            </w:r>
          </w:p>
        </w:tc>
        <w:tc>
          <w:tcPr>
            <w:tcW w:w="1429" w:type="dxa"/>
            <w:vAlign w:val="center"/>
          </w:tcPr>
          <w:p w14:paraId="27C3E01E">
            <w:pPr>
              <w:keepNext w:val="0"/>
              <w:keepLines w:val="0"/>
              <w:pageBreakBefore w:val="0"/>
              <w:kinsoku/>
              <w:wordWrap/>
              <w:overflowPunct/>
              <w:topLinePunct w:val="0"/>
              <w:autoSpaceDE/>
              <w:autoSpaceDN/>
              <w:bidi w:val="0"/>
              <w:adjustRightInd/>
              <w:snapToGrid/>
              <w:ind w:left="0" w:right="0"/>
              <w:jc w:val="center"/>
              <w:textAlignment w:val="center"/>
              <w:rPr>
                <w:rFonts w:ascii="Times New Roman" w:hAnsi="Times New Roman" w:cs="Times New Roman"/>
                <w:color w:val="auto"/>
                <w:position w:val="1"/>
                <w:sz w:val="21"/>
                <w:szCs w:val="21"/>
                <w:highlight w:val="none"/>
                <w:lang w:val="zh-CN" w:bidi="zh-CN"/>
              </w:rPr>
            </w:pPr>
            <w:r>
              <w:rPr>
                <w:rFonts w:hint="eastAsia" w:ascii="Times New Roman" w:hAnsi="Times New Roman" w:cs="Times New Roman"/>
                <w:color w:val="auto"/>
                <w:position w:val="1"/>
                <w:sz w:val="21"/>
                <w:szCs w:val="21"/>
                <w:highlight w:val="none"/>
                <w:lang w:bidi="zh-CN"/>
              </w:rPr>
              <w:t>III</w:t>
            </w:r>
          </w:p>
        </w:tc>
      </w:tr>
      <w:tr w14:paraId="5CAEBC9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cantSplit/>
          <w:trHeight w:val="369" w:hRule="atLeast"/>
          <w:jc w:val="center"/>
        </w:trPr>
        <w:tc>
          <w:tcPr>
            <w:tcW w:w="587" w:type="dxa"/>
            <w:vMerge w:val="continue"/>
            <w:vAlign w:val="center"/>
          </w:tcPr>
          <w:p w14:paraId="3BD6B761">
            <w:pPr>
              <w:pStyle w:val="118"/>
              <w:keepNext w:val="0"/>
              <w:keepLines w:val="0"/>
              <w:pageBreakBefore w:val="0"/>
              <w:kinsoku/>
              <w:wordWrap/>
              <w:overflowPunct/>
              <w:topLinePunct w:val="0"/>
              <w:autoSpaceDE/>
              <w:autoSpaceDN/>
              <w:bidi w:val="0"/>
              <w:adjustRightInd/>
              <w:snapToGrid/>
              <w:ind w:left="0" w:right="0"/>
              <w:rPr>
                <w:rFonts w:ascii="Times New Roman" w:hAnsi="Times New Roman" w:eastAsia="宋体"/>
                <w:color w:val="auto"/>
                <w:sz w:val="21"/>
                <w:szCs w:val="21"/>
                <w:highlight w:val="none"/>
              </w:rPr>
            </w:pPr>
          </w:p>
        </w:tc>
        <w:tc>
          <w:tcPr>
            <w:tcW w:w="941" w:type="dxa"/>
            <w:vMerge w:val="restart"/>
            <w:vAlign w:val="center"/>
          </w:tcPr>
          <w:p w14:paraId="493740F8">
            <w:pPr>
              <w:pStyle w:val="118"/>
              <w:keepNext w:val="0"/>
              <w:keepLines w:val="0"/>
              <w:pageBreakBefore w:val="0"/>
              <w:kinsoku/>
              <w:wordWrap/>
              <w:overflowPunct/>
              <w:topLinePunct w:val="0"/>
              <w:autoSpaceDE/>
              <w:autoSpaceDN/>
              <w:bidi w:val="0"/>
              <w:adjustRightInd/>
              <w:snapToGrid/>
              <w:ind w:left="0" w:right="0"/>
              <w:rPr>
                <w:rFonts w:ascii="Times New Roman" w:hAnsi="Times New Roman" w:eastAsia="宋体"/>
                <w:color w:val="auto"/>
                <w:sz w:val="21"/>
                <w:szCs w:val="21"/>
                <w:highlight w:val="none"/>
              </w:rPr>
            </w:pPr>
            <w:r>
              <w:rPr>
                <w:rFonts w:hint="eastAsia" w:ascii="Times New Roman" w:hAnsi="Times New Roman" w:eastAsia="宋体"/>
                <w:color w:val="auto"/>
                <w:sz w:val="21"/>
                <w:szCs w:val="21"/>
                <w:highlight w:val="none"/>
              </w:rPr>
              <w:t>DA006</w:t>
            </w:r>
          </w:p>
        </w:tc>
        <w:tc>
          <w:tcPr>
            <w:tcW w:w="1345" w:type="dxa"/>
            <w:vAlign w:val="center"/>
          </w:tcPr>
          <w:p w14:paraId="0CBC8A21">
            <w:pPr>
              <w:keepNext w:val="0"/>
              <w:keepLines w:val="0"/>
              <w:pageBreakBefore w:val="0"/>
              <w:kinsoku/>
              <w:wordWrap/>
              <w:overflowPunct/>
              <w:topLinePunct w:val="0"/>
              <w:autoSpaceDE/>
              <w:autoSpaceDN/>
              <w:bidi w:val="0"/>
              <w:adjustRightInd/>
              <w:snapToGrid/>
              <w:ind w:left="0" w:right="0"/>
              <w:jc w:val="center"/>
              <w:rPr>
                <w:rFonts w:ascii="Times New Roman" w:hAnsi="Times New Roman"/>
                <w:color w:val="auto"/>
                <w:sz w:val="21"/>
                <w:szCs w:val="21"/>
                <w:highlight w:val="none"/>
              </w:rPr>
            </w:pPr>
            <w:r>
              <w:rPr>
                <w:rFonts w:hint="eastAsia" w:ascii="Times New Roman" w:hAnsi="Times New Roman" w:cs="Times New Roman"/>
                <w:color w:val="auto"/>
                <w:sz w:val="21"/>
                <w:szCs w:val="21"/>
                <w:highlight w:val="none"/>
              </w:rPr>
              <w:t>非甲烷总烃</w:t>
            </w:r>
          </w:p>
        </w:tc>
        <w:tc>
          <w:tcPr>
            <w:tcW w:w="1419" w:type="dxa"/>
            <w:vAlign w:val="center"/>
          </w:tcPr>
          <w:p w14:paraId="02B810AE">
            <w:pPr>
              <w:keepNext w:val="0"/>
              <w:keepLines w:val="0"/>
              <w:pageBreakBefore w:val="0"/>
              <w:kinsoku/>
              <w:wordWrap/>
              <w:overflowPunct/>
              <w:topLinePunct w:val="0"/>
              <w:autoSpaceDE/>
              <w:autoSpaceDN/>
              <w:bidi w:val="0"/>
              <w:adjustRightInd/>
              <w:snapToGrid/>
              <w:ind w:left="0" w:right="0"/>
              <w:jc w:val="center"/>
              <w:textAlignment w:val="center"/>
              <w:rPr>
                <w:rFonts w:hint="default" w:ascii="Times New Roman" w:hAnsi="Times New Roman" w:cs="Times New Roman"/>
                <w:color w:val="auto"/>
                <w:position w:val="1"/>
                <w:sz w:val="21"/>
                <w:szCs w:val="21"/>
                <w:highlight w:val="none"/>
                <w:lang w:val="en-US" w:bidi="zh-CN"/>
              </w:rPr>
            </w:pPr>
            <w:r>
              <w:rPr>
                <w:rFonts w:hint="eastAsia" w:ascii="Times New Roman" w:hAnsi="Times New Roman" w:cs="Times New Roman"/>
                <w:color w:val="auto"/>
                <w:position w:val="1"/>
                <w:sz w:val="21"/>
                <w:szCs w:val="21"/>
                <w:highlight w:val="none"/>
                <w:lang w:val="en-US" w:bidi="zh-CN"/>
              </w:rPr>
              <w:t>70</w:t>
            </w:r>
          </w:p>
        </w:tc>
        <w:tc>
          <w:tcPr>
            <w:tcW w:w="1419" w:type="dxa"/>
            <w:vAlign w:val="center"/>
          </w:tcPr>
          <w:p w14:paraId="5E4116F0">
            <w:pPr>
              <w:keepNext w:val="0"/>
              <w:keepLines w:val="0"/>
              <w:pageBreakBefore w:val="0"/>
              <w:kinsoku/>
              <w:wordWrap/>
              <w:overflowPunct/>
              <w:topLinePunct w:val="0"/>
              <w:autoSpaceDE/>
              <w:autoSpaceDN/>
              <w:bidi w:val="0"/>
              <w:adjustRightInd/>
              <w:snapToGrid/>
              <w:ind w:left="0" w:right="0"/>
              <w:jc w:val="center"/>
              <w:textAlignment w:val="center"/>
              <w:rPr>
                <w:rFonts w:hint="default" w:ascii="Times New Roman" w:hAnsi="Times New Roman" w:cs="Times New Roman"/>
                <w:color w:val="auto"/>
                <w:position w:val="1"/>
                <w:sz w:val="21"/>
                <w:szCs w:val="21"/>
                <w:highlight w:val="none"/>
                <w:lang w:val="en-US" w:bidi="zh-CN"/>
              </w:rPr>
            </w:pPr>
            <w:r>
              <w:rPr>
                <w:rFonts w:hint="eastAsia" w:ascii="Times New Roman" w:hAnsi="Times New Roman" w:cs="Times New Roman"/>
                <w:color w:val="auto"/>
                <w:position w:val="1"/>
                <w:sz w:val="21"/>
                <w:szCs w:val="21"/>
                <w:highlight w:val="none"/>
                <w:lang w:val="en-US" w:bidi="zh-CN"/>
              </w:rPr>
              <w:t>0.14741</w:t>
            </w:r>
          </w:p>
        </w:tc>
        <w:tc>
          <w:tcPr>
            <w:tcW w:w="1420" w:type="dxa"/>
            <w:vAlign w:val="center"/>
          </w:tcPr>
          <w:p w14:paraId="524C704C">
            <w:pPr>
              <w:keepNext w:val="0"/>
              <w:keepLines w:val="0"/>
              <w:pageBreakBefore w:val="0"/>
              <w:kinsoku/>
              <w:wordWrap/>
              <w:overflowPunct/>
              <w:topLinePunct w:val="0"/>
              <w:autoSpaceDE/>
              <w:autoSpaceDN/>
              <w:bidi w:val="0"/>
              <w:adjustRightInd/>
              <w:snapToGrid/>
              <w:ind w:left="0" w:right="0"/>
              <w:jc w:val="center"/>
              <w:textAlignment w:val="center"/>
              <w:rPr>
                <w:rFonts w:hint="default" w:ascii="Times New Roman" w:hAnsi="Times New Roman" w:cs="Times New Roman"/>
                <w:color w:val="auto"/>
                <w:position w:val="1"/>
                <w:sz w:val="21"/>
                <w:szCs w:val="21"/>
                <w:highlight w:val="none"/>
                <w:lang w:val="en-US" w:bidi="zh-CN"/>
              </w:rPr>
            </w:pPr>
            <w:r>
              <w:rPr>
                <w:rFonts w:hint="eastAsia" w:ascii="Times New Roman" w:hAnsi="Times New Roman" w:cs="Times New Roman"/>
                <w:color w:val="auto"/>
                <w:position w:val="1"/>
                <w:sz w:val="21"/>
                <w:szCs w:val="21"/>
                <w:highlight w:val="none"/>
                <w:lang w:val="en-US" w:bidi="zh-CN"/>
              </w:rPr>
              <w:t>0.01</w:t>
            </w:r>
          </w:p>
        </w:tc>
        <w:tc>
          <w:tcPr>
            <w:tcW w:w="1429" w:type="dxa"/>
            <w:vAlign w:val="center"/>
          </w:tcPr>
          <w:p w14:paraId="576CE8A1">
            <w:pPr>
              <w:keepNext w:val="0"/>
              <w:keepLines w:val="0"/>
              <w:pageBreakBefore w:val="0"/>
              <w:kinsoku/>
              <w:wordWrap/>
              <w:overflowPunct/>
              <w:topLinePunct w:val="0"/>
              <w:autoSpaceDE/>
              <w:autoSpaceDN/>
              <w:bidi w:val="0"/>
              <w:adjustRightInd/>
              <w:snapToGrid/>
              <w:ind w:left="0" w:right="0"/>
              <w:jc w:val="center"/>
              <w:textAlignment w:val="center"/>
              <w:rPr>
                <w:rFonts w:ascii="Times New Roman" w:hAnsi="Times New Roman" w:cs="Times New Roman"/>
                <w:color w:val="auto"/>
                <w:position w:val="1"/>
                <w:sz w:val="21"/>
                <w:szCs w:val="21"/>
                <w:highlight w:val="none"/>
                <w:lang w:val="zh-CN" w:bidi="zh-CN"/>
              </w:rPr>
            </w:pPr>
            <w:r>
              <w:rPr>
                <w:rFonts w:hint="eastAsia" w:ascii="Times New Roman" w:hAnsi="Times New Roman" w:cs="Times New Roman"/>
                <w:color w:val="auto"/>
                <w:position w:val="1"/>
                <w:sz w:val="21"/>
                <w:szCs w:val="21"/>
                <w:highlight w:val="none"/>
                <w:lang w:bidi="zh-CN"/>
              </w:rPr>
              <w:t>III</w:t>
            </w:r>
          </w:p>
        </w:tc>
      </w:tr>
      <w:tr w14:paraId="292BE24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cantSplit/>
          <w:trHeight w:val="369" w:hRule="atLeast"/>
          <w:jc w:val="center"/>
        </w:trPr>
        <w:tc>
          <w:tcPr>
            <w:tcW w:w="587" w:type="dxa"/>
            <w:vMerge w:val="continue"/>
            <w:vAlign w:val="center"/>
          </w:tcPr>
          <w:p w14:paraId="08AED1B0">
            <w:pPr>
              <w:pStyle w:val="118"/>
              <w:keepNext w:val="0"/>
              <w:keepLines w:val="0"/>
              <w:pageBreakBefore w:val="0"/>
              <w:kinsoku/>
              <w:wordWrap/>
              <w:overflowPunct/>
              <w:topLinePunct w:val="0"/>
              <w:autoSpaceDE/>
              <w:autoSpaceDN/>
              <w:bidi w:val="0"/>
              <w:adjustRightInd/>
              <w:snapToGrid/>
              <w:ind w:left="0" w:right="0"/>
              <w:rPr>
                <w:rFonts w:ascii="Times New Roman" w:hAnsi="Times New Roman" w:eastAsia="宋体"/>
                <w:color w:val="auto"/>
                <w:sz w:val="21"/>
                <w:szCs w:val="21"/>
                <w:highlight w:val="none"/>
              </w:rPr>
            </w:pPr>
          </w:p>
        </w:tc>
        <w:tc>
          <w:tcPr>
            <w:tcW w:w="941" w:type="dxa"/>
            <w:vMerge w:val="continue"/>
            <w:vAlign w:val="center"/>
          </w:tcPr>
          <w:p w14:paraId="51B4F062">
            <w:pPr>
              <w:pStyle w:val="118"/>
              <w:keepNext w:val="0"/>
              <w:keepLines w:val="0"/>
              <w:pageBreakBefore w:val="0"/>
              <w:kinsoku/>
              <w:wordWrap/>
              <w:overflowPunct/>
              <w:topLinePunct w:val="0"/>
              <w:autoSpaceDE/>
              <w:autoSpaceDN/>
              <w:bidi w:val="0"/>
              <w:adjustRightInd/>
              <w:snapToGrid/>
              <w:ind w:left="0" w:right="0"/>
              <w:rPr>
                <w:rFonts w:hint="eastAsia" w:ascii="Times New Roman" w:hAnsi="Times New Roman" w:eastAsia="宋体"/>
                <w:color w:val="auto"/>
                <w:sz w:val="21"/>
                <w:szCs w:val="21"/>
                <w:highlight w:val="none"/>
              </w:rPr>
            </w:pPr>
          </w:p>
        </w:tc>
        <w:tc>
          <w:tcPr>
            <w:tcW w:w="1345" w:type="dxa"/>
            <w:vAlign w:val="center"/>
          </w:tcPr>
          <w:p w14:paraId="728D7DD6">
            <w:pPr>
              <w:keepNext w:val="0"/>
              <w:keepLines w:val="0"/>
              <w:pageBreakBefore w:val="0"/>
              <w:kinsoku/>
              <w:wordWrap/>
              <w:overflowPunct/>
              <w:topLinePunct w:val="0"/>
              <w:autoSpaceDE/>
              <w:autoSpaceDN/>
              <w:bidi w:val="0"/>
              <w:adjustRightInd/>
              <w:snapToGrid/>
              <w:ind w:left="0" w:right="0"/>
              <w:jc w:val="center"/>
              <w:rPr>
                <w:rFonts w:hint="eastAsia" w:ascii="Times New Roman" w:hAnsi="Times New Roman" w:eastAsia="宋体"/>
                <w:color w:val="auto"/>
                <w:sz w:val="21"/>
                <w:szCs w:val="21"/>
                <w:highlight w:val="none"/>
                <w:lang w:val="en-US" w:eastAsia="zh-CN"/>
              </w:rPr>
            </w:pPr>
            <w:r>
              <w:rPr>
                <w:rFonts w:hint="eastAsia" w:ascii="Times New Roman" w:hAnsi="Times New Roman"/>
                <w:color w:val="auto"/>
                <w:sz w:val="21"/>
                <w:szCs w:val="21"/>
                <w:highlight w:val="none"/>
                <w:lang w:val="en-US" w:eastAsia="zh-CN"/>
              </w:rPr>
              <w:t>氮氧化物</w:t>
            </w:r>
          </w:p>
        </w:tc>
        <w:tc>
          <w:tcPr>
            <w:tcW w:w="1419" w:type="dxa"/>
            <w:vAlign w:val="center"/>
          </w:tcPr>
          <w:p w14:paraId="2302EB67">
            <w:pPr>
              <w:keepNext w:val="0"/>
              <w:keepLines w:val="0"/>
              <w:pageBreakBefore w:val="0"/>
              <w:kinsoku/>
              <w:wordWrap/>
              <w:overflowPunct/>
              <w:topLinePunct w:val="0"/>
              <w:autoSpaceDE/>
              <w:autoSpaceDN/>
              <w:bidi w:val="0"/>
              <w:adjustRightInd/>
              <w:snapToGrid/>
              <w:ind w:left="0" w:right="0"/>
              <w:jc w:val="center"/>
              <w:textAlignment w:val="center"/>
              <w:rPr>
                <w:rFonts w:hint="default" w:ascii="Times New Roman" w:hAnsi="Times New Roman" w:cs="Times New Roman"/>
                <w:color w:val="auto"/>
                <w:position w:val="1"/>
                <w:sz w:val="21"/>
                <w:szCs w:val="21"/>
                <w:highlight w:val="none"/>
                <w:lang w:val="en-US" w:bidi="zh-CN"/>
              </w:rPr>
            </w:pPr>
            <w:r>
              <w:rPr>
                <w:rFonts w:hint="eastAsia" w:ascii="Times New Roman" w:hAnsi="Times New Roman" w:cs="Times New Roman"/>
                <w:color w:val="auto"/>
                <w:position w:val="1"/>
                <w:sz w:val="21"/>
                <w:szCs w:val="21"/>
                <w:highlight w:val="none"/>
                <w:lang w:val="en-US" w:bidi="zh-CN"/>
              </w:rPr>
              <w:t>70</w:t>
            </w:r>
          </w:p>
        </w:tc>
        <w:tc>
          <w:tcPr>
            <w:tcW w:w="1419" w:type="dxa"/>
            <w:vAlign w:val="center"/>
          </w:tcPr>
          <w:p w14:paraId="35999DA1">
            <w:pPr>
              <w:keepNext w:val="0"/>
              <w:keepLines w:val="0"/>
              <w:pageBreakBefore w:val="0"/>
              <w:kinsoku/>
              <w:wordWrap/>
              <w:overflowPunct/>
              <w:topLinePunct w:val="0"/>
              <w:autoSpaceDE/>
              <w:autoSpaceDN/>
              <w:bidi w:val="0"/>
              <w:adjustRightInd/>
              <w:snapToGrid/>
              <w:ind w:left="0" w:right="0"/>
              <w:jc w:val="center"/>
              <w:textAlignment w:val="center"/>
              <w:rPr>
                <w:rFonts w:hint="default" w:ascii="Times New Roman" w:hAnsi="Times New Roman" w:cs="Times New Roman"/>
                <w:color w:val="auto"/>
                <w:position w:val="1"/>
                <w:sz w:val="21"/>
                <w:szCs w:val="21"/>
                <w:highlight w:val="none"/>
                <w:lang w:val="en-US" w:bidi="zh-CN"/>
              </w:rPr>
            </w:pPr>
            <w:r>
              <w:rPr>
                <w:rFonts w:hint="eastAsia" w:ascii="Times New Roman" w:hAnsi="Times New Roman" w:cs="Times New Roman"/>
                <w:color w:val="auto"/>
                <w:position w:val="1"/>
                <w:sz w:val="21"/>
                <w:szCs w:val="21"/>
                <w:highlight w:val="none"/>
                <w:lang w:val="en-US" w:bidi="zh-CN"/>
              </w:rPr>
              <w:t>0.0709367</w:t>
            </w:r>
          </w:p>
        </w:tc>
        <w:tc>
          <w:tcPr>
            <w:tcW w:w="1420" w:type="dxa"/>
            <w:vAlign w:val="center"/>
          </w:tcPr>
          <w:p w14:paraId="52150E6C">
            <w:pPr>
              <w:keepNext w:val="0"/>
              <w:keepLines w:val="0"/>
              <w:pageBreakBefore w:val="0"/>
              <w:kinsoku/>
              <w:wordWrap/>
              <w:overflowPunct/>
              <w:topLinePunct w:val="0"/>
              <w:autoSpaceDE/>
              <w:autoSpaceDN/>
              <w:bidi w:val="0"/>
              <w:adjustRightInd/>
              <w:snapToGrid/>
              <w:ind w:left="0" w:right="0"/>
              <w:jc w:val="center"/>
              <w:textAlignment w:val="center"/>
              <w:rPr>
                <w:rFonts w:hint="default" w:ascii="Times New Roman" w:hAnsi="Times New Roman" w:cs="Times New Roman"/>
                <w:color w:val="auto"/>
                <w:position w:val="1"/>
                <w:sz w:val="21"/>
                <w:szCs w:val="21"/>
                <w:highlight w:val="none"/>
                <w:lang w:val="en-US" w:bidi="zh-CN"/>
              </w:rPr>
            </w:pPr>
            <w:r>
              <w:rPr>
                <w:rFonts w:hint="eastAsia" w:ascii="Times New Roman" w:hAnsi="Times New Roman" w:cs="Times New Roman"/>
                <w:color w:val="auto"/>
                <w:position w:val="1"/>
                <w:sz w:val="21"/>
                <w:szCs w:val="21"/>
                <w:highlight w:val="none"/>
                <w:lang w:val="en-US" w:bidi="zh-CN"/>
              </w:rPr>
              <w:t>0.03</w:t>
            </w:r>
          </w:p>
        </w:tc>
        <w:tc>
          <w:tcPr>
            <w:tcW w:w="1429" w:type="dxa"/>
            <w:vAlign w:val="center"/>
          </w:tcPr>
          <w:p w14:paraId="135F0E11">
            <w:pPr>
              <w:keepNext w:val="0"/>
              <w:keepLines w:val="0"/>
              <w:pageBreakBefore w:val="0"/>
              <w:kinsoku/>
              <w:wordWrap/>
              <w:overflowPunct/>
              <w:topLinePunct w:val="0"/>
              <w:autoSpaceDE/>
              <w:autoSpaceDN/>
              <w:bidi w:val="0"/>
              <w:adjustRightInd/>
              <w:snapToGrid/>
              <w:ind w:left="0" w:right="0"/>
              <w:jc w:val="center"/>
              <w:textAlignment w:val="center"/>
              <w:rPr>
                <w:rFonts w:hint="eastAsia" w:ascii="Times New Roman" w:hAnsi="Times New Roman" w:cs="Times New Roman"/>
                <w:color w:val="auto"/>
                <w:position w:val="1"/>
                <w:sz w:val="21"/>
                <w:szCs w:val="21"/>
                <w:highlight w:val="none"/>
                <w:lang w:bidi="zh-CN"/>
              </w:rPr>
            </w:pPr>
            <w:r>
              <w:rPr>
                <w:rFonts w:hint="eastAsia" w:ascii="Times New Roman" w:hAnsi="Times New Roman" w:cs="Times New Roman"/>
                <w:color w:val="auto"/>
                <w:position w:val="1"/>
                <w:sz w:val="21"/>
                <w:szCs w:val="21"/>
                <w:highlight w:val="none"/>
                <w:lang w:bidi="zh-CN"/>
              </w:rPr>
              <w:t>III</w:t>
            </w:r>
          </w:p>
        </w:tc>
      </w:tr>
      <w:tr w14:paraId="22217DF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cantSplit/>
          <w:trHeight w:val="330" w:hRule="atLeast"/>
          <w:jc w:val="center"/>
        </w:trPr>
        <w:tc>
          <w:tcPr>
            <w:tcW w:w="587" w:type="dxa"/>
            <w:vMerge w:val="restart"/>
            <w:vAlign w:val="center"/>
          </w:tcPr>
          <w:p w14:paraId="25E4DE2D">
            <w:pPr>
              <w:pStyle w:val="118"/>
              <w:keepNext w:val="0"/>
              <w:keepLines w:val="0"/>
              <w:pageBreakBefore w:val="0"/>
              <w:kinsoku/>
              <w:wordWrap/>
              <w:overflowPunct/>
              <w:topLinePunct w:val="0"/>
              <w:autoSpaceDE/>
              <w:autoSpaceDN/>
              <w:bidi w:val="0"/>
              <w:adjustRightInd/>
              <w:snapToGrid/>
              <w:ind w:left="0" w:right="0"/>
              <w:rPr>
                <w:rFonts w:ascii="Times New Roman" w:hAnsi="Times New Roman" w:eastAsia="宋体"/>
                <w:color w:val="auto"/>
                <w:sz w:val="21"/>
                <w:szCs w:val="21"/>
                <w:highlight w:val="none"/>
              </w:rPr>
            </w:pPr>
            <w:r>
              <w:rPr>
                <w:rFonts w:ascii="Times New Roman" w:hAnsi="Times New Roman" w:eastAsia="宋体"/>
                <w:color w:val="auto"/>
                <w:sz w:val="21"/>
                <w:szCs w:val="21"/>
                <w:highlight w:val="none"/>
              </w:rPr>
              <w:t>面源</w:t>
            </w:r>
          </w:p>
        </w:tc>
        <w:tc>
          <w:tcPr>
            <w:tcW w:w="941" w:type="dxa"/>
            <w:vAlign w:val="center"/>
          </w:tcPr>
          <w:p w14:paraId="599DFA50">
            <w:pPr>
              <w:pStyle w:val="118"/>
              <w:keepNext w:val="0"/>
              <w:keepLines w:val="0"/>
              <w:pageBreakBefore w:val="0"/>
              <w:kinsoku/>
              <w:wordWrap/>
              <w:overflowPunct/>
              <w:topLinePunct w:val="0"/>
              <w:autoSpaceDE/>
              <w:autoSpaceDN/>
              <w:bidi w:val="0"/>
              <w:adjustRightInd/>
              <w:snapToGrid/>
              <w:ind w:left="0" w:right="0"/>
              <w:rPr>
                <w:rFonts w:ascii="Times New Roman" w:hAnsi="Times New Roman" w:eastAsia="宋体"/>
                <w:color w:val="auto"/>
                <w:sz w:val="21"/>
                <w:szCs w:val="21"/>
                <w:highlight w:val="none"/>
              </w:rPr>
            </w:pPr>
            <w:r>
              <w:rPr>
                <w:rFonts w:hint="eastAsia" w:ascii="Times New Roman" w:hAnsi="Times New Roman" w:eastAsia="宋体"/>
                <w:color w:val="auto"/>
                <w:sz w:val="21"/>
                <w:szCs w:val="21"/>
                <w:highlight w:val="none"/>
              </w:rPr>
              <w:t>二工场</w:t>
            </w:r>
          </w:p>
        </w:tc>
        <w:tc>
          <w:tcPr>
            <w:tcW w:w="1345" w:type="dxa"/>
            <w:vAlign w:val="center"/>
          </w:tcPr>
          <w:p w14:paraId="0B5B8427">
            <w:pPr>
              <w:keepNext w:val="0"/>
              <w:keepLines w:val="0"/>
              <w:pageBreakBefore w:val="0"/>
              <w:kinsoku/>
              <w:wordWrap/>
              <w:overflowPunct/>
              <w:topLinePunct w:val="0"/>
              <w:autoSpaceDE/>
              <w:autoSpaceDN/>
              <w:bidi w:val="0"/>
              <w:adjustRightInd/>
              <w:snapToGrid/>
              <w:ind w:left="0" w:right="0"/>
              <w:jc w:val="center"/>
              <w:rPr>
                <w:rFonts w:ascii="Times New Roman" w:hAnsi="Times New Roman"/>
                <w:color w:val="auto"/>
                <w:sz w:val="21"/>
                <w:szCs w:val="21"/>
                <w:highlight w:val="none"/>
              </w:rPr>
            </w:pPr>
            <w:r>
              <w:rPr>
                <w:rFonts w:hint="eastAsia" w:ascii="Times New Roman" w:hAnsi="Times New Roman" w:cs="Times New Roman"/>
                <w:color w:val="auto"/>
                <w:sz w:val="21"/>
                <w:szCs w:val="21"/>
                <w:highlight w:val="none"/>
              </w:rPr>
              <w:t>非甲烷总烃</w:t>
            </w:r>
          </w:p>
        </w:tc>
        <w:tc>
          <w:tcPr>
            <w:tcW w:w="1419" w:type="dxa"/>
            <w:vAlign w:val="center"/>
          </w:tcPr>
          <w:p w14:paraId="7B1D7BA0">
            <w:pPr>
              <w:keepNext w:val="0"/>
              <w:keepLines w:val="0"/>
              <w:pageBreakBefore w:val="0"/>
              <w:kinsoku/>
              <w:wordWrap/>
              <w:overflowPunct/>
              <w:topLinePunct w:val="0"/>
              <w:autoSpaceDE/>
              <w:autoSpaceDN/>
              <w:bidi w:val="0"/>
              <w:adjustRightInd/>
              <w:snapToGrid/>
              <w:ind w:left="0" w:right="0"/>
              <w:jc w:val="center"/>
              <w:textAlignment w:val="center"/>
              <w:rPr>
                <w:rFonts w:hint="default" w:ascii="Times New Roman" w:hAnsi="Times New Roman" w:cs="Times New Roman"/>
                <w:color w:val="auto"/>
                <w:position w:val="1"/>
                <w:sz w:val="21"/>
                <w:szCs w:val="21"/>
                <w:highlight w:val="none"/>
                <w:lang w:val="en-US" w:bidi="zh-CN"/>
              </w:rPr>
            </w:pPr>
            <w:r>
              <w:rPr>
                <w:rFonts w:hint="eastAsia" w:ascii="Times New Roman" w:hAnsi="Times New Roman" w:cs="Times New Roman"/>
                <w:color w:val="auto"/>
                <w:position w:val="1"/>
                <w:sz w:val="21"/>
                <w:szCs w:val="21"/>
                <w:highlight w:val="none"/>
                <w:lang w:val="en-US" w:bidi="zh-CN"/>
              </w:rPr>
              <w:t>34</w:t>
            </w:r>
          </w:p>
        </w:tc>
        <w:tc>
          <w:tcPr>
            <w:tcW w:w="1419" w:type="dxa"/>
            <w:vAlign w:val="center"/>
          </w:tcPr>
          <w:p w14:paraId="526F01AB">
            <w:pPr>
              <w:keepNext w:val="0"/>
              <w:keepLines w:val="0"/>
              <w:pageBreakBefore w:val="0"/>
              <w:kinsoku/>
              <w:wordWrap/>
              <w:overflowPunct/>
              <w:topLinePunct w:val="0"/>
              <w:autoSpaceDE/>
              <w:autoSpaceDN/>
              <w:bidi w:val="0"/>
              <w:adjustRightInd/>
              <w:snapToGrid/>
              <w:ind w:left="0" w:right="0"/>
              <w:jc w:val="center"/>
              <w:textAlignment w:val="center"/>
              <w:rPr>
                <w:rFonts w:hint="default" w:ascii="Times New Roman" w:hAnsi="Times New Roman" w:cs="Times New Roman"/>
                <w:color w:val="auto"/>
                <w:position w:val="1"/>
                <w:sz w:val="21"/>
                <w:szCs w:val="21"/>
                <w:highlight w:val="none"/>
                <w:lang w:val="en-US" w:bidi="zh-CN"/>
              </w:rPr>
            </w:pPr>
            <w:r>
              <w:rPr>
                <w:rFonts w:hint="eastAsia" w:ascii="Times New Roman" w:hAnsi="Times New Roman" w:cs="Times New Roman"/>
                <w:color w:val="auto"/>
                <w:position w:val="1"/>
                <w:sz w:val="21"/>
                <w:szCs w:val="21"/>
                <w:highlight w:val="none"/>
                <w:lang w:val="en-US" w:bidi="zh-CN"/>
              </w:rPr>
              <w:t>15.455</w:t>
            </w:r>
          </w:p>
        </w:tc>
        <w:tc>
          <w:tcPr>
            <w:tcW w:w="1420" w:type="dxa"/>
            <w:vAlign w:val="center"/>
          </w:tcPr>
          <w:p w14:paraId="4B8A7078">
            <w:pPr>
              <w:keepNext w:val="0"/>
              <w:keepLines w:val="0"/>
              <w:pageBreakBefore w:val="0"/>
              <w:kinsoku/>
              <w:wordWrap/>
              <w:overflowPunct/>
              <w:topLinePunct w:val="0"/>
              <w:autoSpaceDE/>
              <w:autoSpaceDN/>
              <w:bidi w:val="0"/>
              <w:adjustRightInd/>
              <w:snapToGrid/>
              <w:ind w:left="0" w:right="0"/>
              <w:jc w:val="center"/>
              <w:textAlignment w:val="center"/>
              <w:rPr>
                <w:rFonts w:hint="default" w:ascii="Times New Roman" w:hAnsi="Times New Roman" w:cs="Times New Roman"/>
                <w:color w:val="auto"/>
                <w:position w:val="1"/>
                <w:sz w:val="21"/>
                <w:szCs w:val="21"/>
                <w:highlight w:val="none"/>
                <w:lang w:val="en-US" w:bidi="zh-CN"/>
              </w:rPr>
            </w:pPr>
            <w:r>
              <w:rPr>
                <w:rFonts w:hint="eastAsia" w:ascii="Times New Roman" w:hAnsi="Times New Roman" w:cs="Times New Roman"/>
                <w:color w:val="auto"/>
                <w:position w:val="1"/>
                <w:sz w:val="21"/>
                <w:szCs w:val="21"/>
                <w:highlight w:val="none"/>
                <w:lang w:val="en-US" w:bidi="zh-CN"/>
              </w:rPr>
              <w:t>0.77</w:t>
            </w:r>
          </w:p>
        </w:tc>
        <w:tc>
          <w:tcPr>
            <w:tcW w:w="1429" w:type="dxa"/>
            <w:vAlign w:val="center"/>
          </w:tcPr>
          <w:p w14:paraId="775B4B15">
            <w:pPr>
              <w:keepNext w:val="0"/>
              <w:keepLines w:val="0"/>
              <w:pageBreakBefore w:val="0"/>
              <w:kinsoku/>
              <w:wordWrap/>
              <w:overflowPunct/>
              <w:topLinePunct w:val="0"/>
              <w:autoSpaceDE/>
              <w:autoSpaceDN/>
              <w:bidi w:val="0"/>
              <w:adjustRightInd/>
              <w:snapToGrid/>
              <w:ind w:left="0" w:right="0"/>
              <w:jc w:val="center"/>
              <w:textAlignment w:val="center"/>
              <w:rPr>
                <w:rFonts w:ascii="Times New Roman" w:hAnsi="Times New Roman" w:cs="Times New Roman"/>
                <w:color w:val="auto"/>
                <w:position w:val="1"/>
                <w:sz w:val="21"/>
                <w:szCs w:val="21"/>
                <w:highlight w:val="none"/>
                <w:lang w:val="zh-CN" w:bidi="zh-CN"/>
              </w:rPr>
            </w:pPr>
            <w:r>
              <w:rPr>
                <w:rFonts w:hint="eastAsia" w:ascii="Times New Roman" w:hAnsi="Times New Roman" w:cs="Times New Roman"/>
                <w:color w:val="auto"/>
                <w:position w:val="1"/>
                <w:sz w:val="21"/>
                <w:szCs w:val="21"/>
                <w:highlight w:val="none"/>
                <w:lang w:bidi="zh-CN"/>
              </w:rPr>
              <w:t>III</w:t>
            </w:r>
          </w:p>
        </w:tc>
      </w:tr>
      <w:tr w14:paraId="46F893A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cantSplit/>
          <w:trHeight w:val="330" w:hRule="atLeast"/>
          <w:jc w:val="center"/>
        </w:trPr>
        <w:tc>
          <w:tcPr>
            <w:tcW w:w="587" w:type="dxa"/>
            <w:vMerge w:val="continue"/>
            <w:vAlign w:val="center"/>
          </w:tcPr>
          <w:p w14:paraId="00FC251D">
            <w:pPr>
              <w:pStyle w:val="118"/>
              <w:keepNext w:val="0"/>
              <w:keepLines w:val="0"/>
              <w:pageBreakBefore w:val="0"/>
              <w:kinsoku/>
              <w:wordWrap/>
              <w:overflowPunct/>
              <w:topLinePunct w:val="0"/>
              <w:autoSpaceDE/>
              <w:autoSpaceDN/>
              <w:bidi w:val="0"/>
              <w:adjustRightInd/>
              <w:snapToGrid/>
              <w:ind w:left="0" w:right="0"/>
              <w:rPr>
                <w:rFonts w:ascii="Times New Roman" w:hAnsi="Times New Roman" w:eastAsia="宋体"/>
                <w:color w:val="auto"/>
                <w:sz w:val="21"/>
                <w:szCs w:val="21"/>
                <w:highlight w:val="none"/>
              </w:rPr>
            </w:pPr>
          </w:p>
        </w:tc>
        <w:tc>
          <w:tcPr>
            <w:tcW w:w="941" w:type="dxa"/>
            <w:vMerge w:val="restart"/>
            <w:vAlign w:val="center"/>
          </w:tcPr>
          <w:p w14:paraId="433D49B5">
            <w:pPr>
              <w:pStyle w:val="118"/>
              <w:keepNext w:val="0"/>
              <w:keepLines w:val="0"/>
              <w:pageBreakBefore w:val="0"/>
              <w:kinsoku/>
              <w:wordWrap/>
              <w:overflowPunct/>
              <w:topLinePunct w:val="0"/>
              <w:autoSpaceDE/>
              <w:autoSpaceDN/>
              <w:bidi w:val="0"/>
              <w:adjustRightInd/>
              <w:snapToGrid/>
              <w:ind w:left="0" w:right="0"/>
              <w:rPr>
                <w:rFonts w:ascii="Times New Roman" w:hAnsi="Times New Roman" w:eastAsia="宋体"/>
                <w:color w:val="auto"/>
                <w:sz w:val="21"/>
                <w:szCs w:val="21"/>
                <w:highlight w:val="none"/>
              </w:rPr>
            </w:pPr>
            <w:r>
              <w:rPr>
                <w:rFonts w:hint="eastAsia" w:ascii="Times New Roman" w:hAnsi="Times New Roman" w:eastAsia="宋体"/>
                <w:color w:val="auto"/>
                <w:sz w:val="21"/>
                <w:szCs w:val="21"/>
                <w:highlight w:val="none"/>
              </w:rPr>
              <w:t>实验楼</w:t>
            </w:r>
          </w:p>
        </w:tc>
        <w:tc>
          <w:tcPr>
            <w:tcW w:w="1345" w:type="dxa"/>
            <w:vAlign w:val="center"/>
          </w:tcPr>
          <w:p w14:paraId="0FC2D773">
            <w:pPr>
              <w:keepNext w:val="0"/>
              <w:keepLines w:val="0"/>
              <w:pageBreakBefore w:val="0"/>
              <w:kinsoku/>
              <w:wordWrap/>
              <w:overflowPunct/>
              <w:topLinePunct w:val="0"/>
              <w:autoSpaceDE/>
              <w:autoSpaceDN/>
              <w:bidi w:val="0"/>
              <w:adjustRightInd/>
              <w:snapToGrid/>
              <w:ind w:left="0" w:right="0"/>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非甲烷总烃</w:t>
            </w:r>
          </w:p>
          <w:p w14:paraId="0ABC18C9">
            <w:pPr>
              <w:keepNext w:val="0"/>
              <w:keepLines w:val="0"/>
              <w:pageBreakBefore w:val="0"/>
              <w:kinsoku/>
              <w:wordWrap/>
              <w:overflowPunct/>
              <w:topLinePunct w:val="0"/>
              <w:autoSpaceDE/>
              <w:autoSpaceDN/>
              <w:bidi w:val="0"/>
              <w:adjustRightInd/>
              <w:snapToGrid/>
              <w:ind w:left="0" w:right="0"/>
              <w:jc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（含甲醇）</w:t>
            </w:r>
          </w:p>
        </w:tc>
        <w:tc>
          <w:tcPr>
            <w:tcW w:w="1419" w:type="dxa"/>
            <w:vAlign w:val="center"/>
          </w:tcPr>
          <w:p w14:paraId="57F385FB">
            <w:pPr>
              <w:keepNext w:val="0"/>
              <w:keepLines w:val="0"/>
              <w:pageBreakBefore w:val="0"/>
              <w:kinsoku/>
              <w:wordWrap/>
              <w:overflowPunct/>
              <w:topLinePunct w:val="0"/>
              <w:autoSpaceDE/>
              <w:autoSpaceDN/>
              <w:bidi w:val="0"/>
              <w:adjustRightInd/>
              <w:snapToGrid/>
              <w:ind w:left="0" w:right="0"/>
              <w:jc w:val="center"/>
              <w:textAlignment w:val="center"/>
              <w:rPr>
                <w:rFonts w:hint="default" w:ascii="Times New Roman" w:hAnsi="Times New Roman" w:cs="Times New Roman"/>
                <w:color w:val="auto"/>
                <w:position w:val="1"/>
                <w:sz w:val="21"/>
                <w:szCs w:val="21"/>
                <w:highlight w:val="none"/>
                <w:lang w:val="en-US" w:bidi="zh-CN"/>
              </w:rPr>
            </w:pPr>
            <w:r>
              <w:rPr>
                <w:rFonts w:hint="eastAsia" w:ascii="Times New Roman" w:hAnsi="Times New Roman" w:cs="Times New Roman"/>
                <w:color w:val="auto"/>
                <w:position w:val="1"/>
                <w:sz w:val="21"/>
                <w:szCs w:val="21"/>
                <w:highlight w:val="none"/>
                <w:lang w:val="en-US" w:bidi="zh-CN"/>
              </w:rPr>
              <w:t>23</w:t>
            </w:r>
          </w:p>
        </w:tc>
        <w:tc>
          <w:tcPr>
            <w:tcW w:w="1419" w:type="dxa"/>
            <w:vAlign w:val="center"/>
          </w:tcPr>
          <w:p w14:paraId="60611D7D">
            <w:pPr>
              <w:keepNext w:val="0"/>
              <w:keepLines w:val="0"/>
              <w:pageBreakBefore w:val="0"/>
              <w:kinsoku/>
              <w:wordWrap/>
              <w:overflowPunct/>
              <w:topLinePunct w:val="0"/>
              <w:autoSpaceDE/>
              <w:autoSpaceDN/>
              <w:bidi w:val="0"/>
              <w:adjustRightInd/>
              <w:snapToGrid/>
              <w:ind w:left="0" w:right="0"/>
              <w:jc w:val="center"/>
              <w:textAlignment w:val="center"/>
              <w:rPr>
                <w:rFonts w:hint="default" w:ascii="Times New Roman" w:hAnsi="Times New Roman" w:cs="Times New Roman"/>
                <w:color w:val="auto"/>
                <w:position w:val="1"/>
                <w:sz w:val="21"/>
                <w:szCs w:val="21"/>
                <w:highlight w:val="none"/>
                <w:lang w:val="en-US" w:bidi="zh-CN"/>
              </w:rPr>
            </w:pPr>
            <w:r>
              <w:rPr>
                <w:rFonts w:hint="eastAsia" w:ascii="Times New Roman" w:hAnsi="Times New Roman" w:cs="Times New Roman"/>
                <w:color w:val="auto"/>
                <w:position w:val="1"/>
                <w:sz w:val="21"/>
                <w:szCs w:val="21"/>
                <w:highlight w:val="none"/>
                <w:lang w:val="en-US" w:bidi="zh-CN"/>
              </w:rPr>
              <w:t>1.5714</w:t>
            </w:r>
          </w:p>
        </w:tc>
        <w:tc>
          <w:tcPr>
            <w:tcW w:w="1420" w:type="dxa"/>
            <w:vAlign w:val="center"/>
          </w:tcPr>
          <w:p w14:paraId="003E9E32">
            <w:pPr>
              <w:keepNext w:val="0"/>
              <w:keepLines w:val="0"/>
              <w:pageBreakBefore w:val="0"/>
              <w:kinsoku/>
              <w:wordWrap/>
              <w:overflowPunct/>
              <w:topLinePunct w:val="0"/>
              <w:autoSpaceDE/>
              <w:autoSpaceDN/>
              <w:bidi w:val="0"/>
              <w:adjustRightInd/>
              <w:snapToGrid/>
              <w:ind w:left="0" w:right="0"/>
              <w:jc w:val="center"/>
              <w:textAlignment w:val="center"/>
              <w:rPr>
                <w:rFonts w:hint="default" w:ascii="Times New Roman" w:hAnsi="Times New Roman" w:cs="Times New Roman"/>
                <w:color w:val="auto"/>
                <w:position w:val="1"/>
                <w:sz w:val="21"/>
                <w:szCs w:val="21"/>
                <w:highlight w:val="none"/>
                <w:lang w:val="en-US" w:bidi="zh-CN"/>
              </w:rPr>
            </w:pPr>
            <w:r>
              <w:rPr>
                <w:rFonts w:hint="eastAsia" w:ascii="Times New Roman" w:hAnsi="Times New Roman" w:cs="Times New Roman"/>
                <w:color w:val="auto"/>
                <w:position w:val="1"/>
                <w:sz w:val="21"/>
                <w:szCs w:val="21"/>
                <w:highlight w:val="none"/>
                <w:lang w:val="en-US" w:bidi="zh-CN"/>
              </w:rPr>
              <w:t>0.08</w:t>
            </w:r>
          </w:p>
        </w:tc>
        <w:tc>
          <w:tcPr>
            <w:tcW w:w="1429" w:type="dxa"/>
            <w:vAlign w:val="center"/>
          </w:tcPr>
          <w:p w14:paraId="1051A159">
            <w:pPr>
              <w:keepNext w:val="0"/>
              <w:keepLines w:val="0"/>
              <w:pageBreakBefore w:val="0"/>
              <w:kinsoku/>
              <w:wordWrap/>
              <w:overflowPunct/>
              <w:topLinePunct w:val="0"/>
              <w:autoSpaceDE/>
              <w:autoSpaceDN/>
              <w:bidi w:val="0"/>
              <w:adjustRightInd/>
              <w:snapToGrid/>
              <w:ind w:left="0" w:right="0"/>
              <w:jc w:val="center"/>
              <w:textAlignment w:val="center"/>
              <w:rPr>
                <w:rFonts w:ascii="Times New Roman" w:hAnsi="Times New Roman" w:cs="Times New Roman"/>
                <w:color w:val="auto"/>
                <w:position w:val="1"/>
                <w:sz w:val="21"/>
                <w:szCs w:val="21"/>
                <w:highlight w:val="none"/>
                <w:lang w:val="zh-CN" w:bidi="zh-CN"/>
              </w:rPr>
            </w:pPr>
            <w:r>
              <w:rPr>
                <w:rFonts w:hint="eastAsia" w:ascii="Times New Roman" w:hAnsi="Times New Roman" w:cs="Times New Roman"/>
                <w:color w:val="auto"/>
                <w:position w:val="1"/>
                <w:sz w:val="21"/>
                <w:szCs w:val="21"/>
                <w:highlight w:val="none"/>
                <w:lang w:bidi="zh-CN"/>
              </w:rPr>
              <w:t>III</w:t>
            </w:r>
          </w:p>
        </w:tc>
      </w:tr>
      <w:tr w14:paraId="0B6B97B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cantSplit/>
          <w:trHeight w:val="330" w:hRule="atLeast"/>
          <w:jc w:val="center"/>
        </w:trPr>
        <w:tc>
          <w:tcPr>
            <w:tcW w:w="587" w:type="dxa"/>
            <w:vMerge w:val="continue"/>
            <w:vAlign w:val="center"/>
          </w:tcPr>
          <w:p w14:paraId="5CA9E6AA">
            <w:pPr>
              <w:pStyle w:val="118"/>
              <w:keepNext w:val="0"/>
              <w:keepLines w:val="0"/>
              <w:pageBreakBefore w:val="0"/>
              <w:kinsoku/>
              <w:wordWrap/>
              <w:overflowPunct/>
              <w:topLinePunct w:val="0"/>
              <w:autoSpaceDE/>
              <w:autoSpaceDN/>
              <w:bidi w:val="0"/>
              <w:adjustRightInd/>
              <w:snapToGrid/>
              <w:ind w:left="0" w:right="0"/>
              <w:rPr>
                <w:rFonts w:ascii="Times New Roman" w:hAnsi="Times New Roman" w:eastAsia="宋体"/>
                <w:color w:val="auto"/>
                <w:sz w:val="21"/>
                <w:szCs w:val="21"/>
                <w:highlight w:val="none"/>
              </w:rPr>
            </w:pPr>
          </w:p>
        </w:tc>
        <w:tc>
          <w:tcPr>
            <w:tcW w:w="941" w:type="dxa"/>
            <w:vMerge w:val="continue"/>
            <w:vAlign w:val="center"/>
          </w:tcPr>
          <w:p w14:paraId="13805740">
            <w:pPr>
              <w:pStyle w:val="118"/>
              <w:keepNext w:val="0"/>
              <w:keepLines w:val="0"/>
              <w:pageBreakBefore w:val="0"/>
              <w:kinsoku/>
              <w:wordWrap/>
              <w:overflowPunct/>
              <w:topLinePunct w:val="0"/>
              <w:autoSpaceDE/>
              <w:autoSpaceDN/>
              <w:bidi w:val="0"/>
              <w:adjustRightInd/>
              <w:snapToGrid/>
              <w:ind w:left="0" w:right="0"/>
              <w:rPr>
                <w:rFonts w:hint="eastAsia" w:ascii="Times New Roman" w:hAnsi="Times New Roman" w:eastAsia="宋体"/>
                <w:color w:val="auto"/>
                <w:sz w:val="21"/>
                <w:szCs w:val="21"/>
                <w:highlight w:val="none"/>
              </w:rPr>
            </w:pPr>
          </w:p>
        </w:tc>
        <w:tc>
          <w:tcPr>
            <w:tcW w:w="1345" w:type="dxa"/>
            <w:vAlign w:val="center"/>
          </w:tcPr>
          <w:p w14:paraId="2888C2F8">
            <w:pPr>
              <w:keepNext w:val="0"/>
              <w:keepLines w:val="0"/>
              <w:pageBreakBefore w:val="0"/>
              <w:kinsoku/>
              <w:wordWrap/>
              <w:overflowPunct/>
              <w:topLinePunct w:val="0"/>
              <w:autoSpaceDE/>
              <w:autoSpaceDN/>
              <w:bidi w:val="0"/>
              <w:adjustRightInd/>
              <w:snapToGrid/>
              <w:ind w:left="0" w:right="0"/>
              <w:jc w:val="center"/>
              <w:rPr>
                <w:rFonts w:hint="eastAsia" w:ascii="Times New Roman" w:hAnsi="Times New Roman" w:eastAsia="宋体"/>
                <w:color w:val="auto"/>
                <w:sz w:val="21"/>
                <w:szCs w:val="21"/>
                <w:highlight w:val="none"/>
                <w:lang w:val="en-US" w:eastAsia="zh-CN"/>
              </w:rPr>
            </w:pPr>
            <w:r>
              <w:rPr>
                <w:rFonts w:hint="eastAsia" w:ascii="Times New Roman" w:hAnsi="Times New Roman"/>
                <w:color w:val="auto"/>
                <w:sz w:val="21"/>
                <w:szCs w:val="21"/>
                <w:highlight w:val="none"/>
                <w:lang w:val="en-US" w:eastAsia="zh-CN"/>
              </w:rPr>
              <w:t>氮氧化物</w:t>
            </w:r>
          </w:p>
        </w:tc>
        <w:tc>
          <w:tcPr>
            <w:tcW w:w="1419" w:type="dxa"/>
            <w:vAlign w:val="center"/>
          </w:tcPr>
          <w:p w14:paraId="0A7E6B97">
            <w:pPr>
              <w:keepNext w:val="0"/>
              <w:keepLines w:val="0"/>
              <w:pageBreakBefore w:val="0"/>
              <w:kinsoku/>
              <w:wordWrap/>
              <w:overflowPunct/>
              <w:topLinePunct w:val="0"/>
              <w:autoSpaceDE/>
              <w:autoSpaceDN/>
              <w:bidi w:val="0"/>
              <w:adjustRightInd/>
              <w:snapToGrid/>
              <w:ind w:left="0" w:right="0"/>
              <w:jc w:val="center"/>
              <w:textAlignment w:val="center"/>
              <w:rPr>
                <w:rFonts w:hint="default" w:ascii="Times New Roman" w:hAnsi="Times New Roman" w:cs="Times New Roman"/>
                <w:color w:val="auto"/>
                <w:position w:val="1"/>
                <w:sz w:val="21"/>
                <w:szCs w:val="21"/>
                <w:highlight w:val="none"/>
                <w:lang w:val="en-US" w:bidi="zh-CN"/>
              </w:rPr>
            </w:pPr>
            <w:r>
              <w:rPr>
                <w:rFonts w:hint="eastAsia" w:ascii="Times New Roman" w:hAnsi="Times New Roman" w:cs="Times New Roman"/>
                <w:color w:val="auto"/>
                <w:position w:val="1"/>
                <w:sz w:val="21"/>
                <w:szCs w:val="21"/>
                <w:highlight w:val="none"/>
                <w:lang w:val="en-US" w:bidi="zh-CN"/>
              </w:rPr>
              <w:t>23</w:t>
            </w:r>
          </w:p>
        </w:tc>
        <w:tc>
          <w:tcPr>
            <w:tcW w:w="1419" w:type="dxa"/>
            <w:vAlign w:val="center"/>
          </w:tcPr>
          <w:p w14:paraId="117B633F">
            <w:pPr>
              <w:keepNext w:val="0"/>
              <w:keepLines w:val="0"/>
              <w:pageBreakBefore w:val="0"/>
              <w:kinsoku/>
              <w:wordWrap/>
              <w:overflowPunct/>
              <w:topLinePunct w:val="0"/>
              <w:autoSpaceDE/>
              <w:autoSpaceDN/>
              <w:bidi w:val="0"/>
              <w:adjustRightInd/>
              <w:snapToGrid/>
              <w:ind w:left="0" w:right="0"/>
              <w:jc w:val="center"/>
              <w:textAlignment w:val="center"/>
              <w:rPr>
                <w:rFonts w:hint="default" w:ascii="Times New Roman" w:hAnsi="Times New Roman" w:cs="Times New Roman"/>
                <w:color w:val="auto"/>
                <w:position w:val="1"/>
                <w:sz w:val="21"/>
                <w:szCs w:val="21"/>
                <w:highlight w:val="none"/>
                <w:lang w:val="en-US" w:bidi="zh-CN"/>
              </w:rPr>
            </w:pPr>
            <w:r>
              <w:rPr>
                <w:rFonts w:hint="eastAsia" w:ascii="Times New Roman" w:hAnsi="Times New Roman" w:cs="Times New Roman"/>
                <w:color w:val="auto"/>
                <w:position w:val="1"/>
                <w:sz w:val="21"/>
                <w:szCs w:val="21"/>
                <w:highlight w:val="none"/>
                <w:lang w:val="en-US" w:bidi="zh-CN"/>
              </w:rPr>
              <w:t>0.0957745</w:t>
            </w:r>
          </w:p>
        </w:tc>
        <w:tc>
          <w:tcPr>
            <w:tcW w:w="1420" w:type="dxa"/>
            <w:vAlign w:val="center"/>
          </w:tcPr>
          <w:p w14:paraId="26FC61A3">
            <w:pPr>
              <w:keepNext w:val="0"/>
              <w:keepLines w:val="0"/>
              <w:pageBreakBefore w:val="0"/>
              <w:kinsoku/>
              <w:wordWrap/>
              <w:overflowPunct/>
              <w:topLinePunct w:val="0"/>
              <w:autoSpaceDE/>
              <w:autoSpaceDN/>
              <w:bidi w:val="0"/>
              <w:adjustRightInd/>
              <w:snapToGrid/>
              <w:ind w:left="0" w:right="0"/>
              <w:jc w:val="center"/>
              <w:textAlignment w:val="center"/>
              <w:rPr>
                <w:rFonts w:hint="default" w:ascii="Times New Roman" w:hAnsi="Times New Roman" w:cs="Times New Roman"/>
                <w:color w:val="auto"/>
                <w:position w:val="1"/>
                <w:sz w:val="21"/>
                <w:szCs w:val="21"/>
                <w:highlight w:val="none"/>
                <w:lang w:val="en-US" w:bidi="zh-CN"/>
              </w:rPr>
            </w:pPr>
            <w:r>
              <w:rPr>
                <w:rFonts w:hint="eastAsia" w:ascii="Times New Roman" w:hAnsi="Times New Roman" w:cs="Times New Roman"/>
                <w:color w:val="auto"/>
                <w:position w:val="1"/>
                <w:sz w:val="21"/>
                <w:szCs w:val="21"/>
                <w:highlight w:val="none"/>
                <w:lang w:val="en-US" w:bidi="zh-CN"/>
              </w:rPr>
              <w:t>0.04</w:t>
            </w:r>
          </w:p>
        </w:tc>
        <w:tc>
          <w:tcPr>
            <w:tcW w:w="1429" w:type="dxa"/>
            <w:vAlign w:val="center"/>
          </w:tcPr>
          <w:p w14:paraId="2BD22A08">
            <w:pPr>
              <w:keepNext w:val="0"/>
              <w:keepLines w:val="0"/>
              <w:pageBreakBefore w:val="0"/>
              <w:kinsoku/>
              <w:wordWrap/>
              <w:overflowPunct/>
              <w:topLinePunct w:val="0"/>
              <w:autoSpaceDE/>
              <w:autoSpaceDN/>
              <w:bidi w:val="0"/>
              <w:adjustRightInd/>
              <w:snapToGrid/>
              <w:ind w:left="0" w:right="0"/>
              <w:jc w:val="center"/>
              <w:textAlignment w:val="center"/>
              <w:rPr>
                <w:rFonts w:hint="eastAsia" w:ascii="Times New Roman" w:hAnsi="Times New Roman" w:cs="Times New Roman"/>
                <w:color w:val="auto"/>
                <w:position w:val="1"/>
                <w:sz w:val="21"/>
                <w:szCs w:val="21"/>
                <w:highlight w:val="none"/>
                <w:lang w:bidi="zh-CN"/>
              </w:rPr>
            </w:pPr>
            <w:r>
              <w:rPr>
                <w:rFonts w:hint="eastAsia" w:ascii="Times New Roman" w:hAnsi="Times New Roman" w:cs="Times New Roman"/>
                <w:color w:val="auto"/>
                <w:position w:val="1"/>
                <w:sz w:val="21"/>
                <w:szCs w:val="21"/>
                <w:highlight w:val="none"/>
                <w:lang w:bidi="zh-CN"/>
              </w:rPr>
              <w:t>III</w:t>
            </w:r>
          </w:p>
        </w:tc>
      </w:tr>
      <w:tr w14:paraId="117B665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cantSplit/>
          <w:trHeight w:val="330" w:hRule="atLeast"/>
          <w:jc w:val="center"/>
        </w:trPr>
        <w:tc>
          <w:tcPr>
            <w:tcW w:w="587" w:type="dxa"/>
            <w:vMerge w:val="continue"/>
            <w:vAlign w:val="center"/>
          </w:tcPr>
          <w:p w14:paraId="73D98BCA">
            <w:pPr>
              <w:pStyle w:val="118"/>
              <w:keepNext w:val="0"/>
              <w:keepLines w:val="0"/>
              <w:pageBreakBefore w:val="0"/>
              <w:kinsoku/>
              <w:wordWrap/>
              <w:overflowPunct/>
              <w:topLinePunct w:val="0"/>
              <w:autoSpaceDE/>
              <w:autoSpaceDN/>
              <w:bidi w:val="0"/>
              <w:adjustRightInd/>
              <w:snapToGrid/>
              <w:ind w:left="0" w:right="0"/>
              <w:rPr>
                <w:rFonts w:ascii="Times New Roman" w:hAnsi="Times New Roman" w:eastAsia="宋体"/>
                <w:color w:val="auto"/>
                <w:sz w:val="21"/>
                <w:szCs w:val="21"/>
                <w:highlight w:val="none"/>
              </w:rPr>
            </w:pPr>
          </w:p>
        </w:tc>
        <w:tc>
          <w:tcPr>
            <w:tcW w:w="941" w:type="dxa"/>
            <w:vMerge w:val="continue"/>
            <w:vAlign w:val="center"/>
          </w:tcPr>
          <w:p w14:paraId="054BBCF5">
            <w:pPr>
              <w:pStyle w:val="118"/>
              <w:keepNext w:val="0"/>
              <w:keepLines w:val="0"/>
              <w:pageBreakBefore w:val="0"/>
              <w:kinsoku/>
              <w:wordWrap/>
              <w:overflowPunct/>
              <w:topLinePunct w:val="0"/>
              <w:autoSpaceDE/>
              <w:autoSpaceDN/>
              <w:bidi w:val="0"/>
              <w:adjustRightInd/>
              <w:snapToGrid/>
              <w:ind w:left="0" w:right="0"/>
              <w:rPr>
                <w:rFonts w:hint="eastAsia" w:ascii="Times New Roman" w:hAnsi="Times New Roman" w:eastAsia="宋体"/>
                <w:color w:val="auto"/>
                <w:sz w:val="21"/>
                <w:szCs w:val="21"/>
                <w:highlight w:val="none"/>
              </w:rPr>
            </w:pPr>
          </w:p>
        </w:tc>
        <w:tc>
          <w:tcPr>
            <w:tcW w:w="1345" w:type="dxa"/>
            <w:vAlign w:val="center"/>
          </w:tcPr>
          <w:p w14:paraId="22BD8D13">
            <w:pPr>
              <w:keepNext w:val="0"/>
              <w:keepLines w:val="0"/>
              <w:pageBreakBefore w:val="0"/>
              <w:kinsoku/>
              <w:wordWrap/>
              <w:overflowPunct/>
              <w:topLinePunct w:val="0"/>
              <w:autoSpaceDE/>
              <w:autoSpaceDN/>
              <w:bidi w:val="0"/>
              <w:adjustRightInd/>
              <w:snapToGrid/>
              <w:ind w:left="0" w:right="0"/>
              <w:jc w:val="center"/>
              <w:rPr>
                <w:rFonts w:hint="eastAsia" w:ascii="Times New Roman" w:hAnsi="Times New Roman" w:eastAsia="宋体"/>
                <w:color w:val="auto"/>
                <w:sz w:val="21"/>
                <w:szCs w:val="21"/>
                <w:highlight w:val="none"/>
                <w:lang w:val="en-US" w:eastAsia="zh-CN"/>
              </w:rPr>
            </w:pPr>
            <w:r>
              <w:rPr>
                <w:rFonts w:hint="eastAsia" w:ascii="Times New Roman" w:hAnsi="Times New Roman"/>
                <w:color w:val="auto"/>
                <w:sz w:val="21"/>
                <w:szCs w:val="21"/>
                <w:highlight w:val="none"/>
                <w:lang w:val="en-US" w:eastAsia="zh-CN"/>
              </w:rPr>
              <w:t>甲醇</w:t>
            </w:r>
          </w:p>
        </w:tc>
        <w:tc>
          <w:tcPr>
            <w:tcW w:w="1419" w:type="dxa"/>
            <w:vAlign w:val="center"/>
          </w:tcPr>
          <w:p w14:paraId="678A7C6D">
            <w:pPr>
              <w:keepNext w:val="0"/>
              <w:keepLines w:val="0"/>
              <w:pageBreakBefore w:val="0"/>
              <w:kinsoku/>
              <w:wordWrap/>
              <w:overflowPunct/>
              <w:topLinePunct w:val="0"/>
              <w:autoSpaceDE/>
              <w:autoSpaceDN/>
              <w:bidi w:val="0"/>
              <w:adjustRightInd/>
              <w:snapToGrid/>
              <w:ind w:left="0" w:right="0"/>
              <w:jc w:val="center"/>
              <w:textAlignment w:val="center"/>
              <w:rPr>
                <w:rFonts w:hint="default" w:ascii="Times New Roman" w:hAnsi="Times New Roman" w:cs="Times New Roman"/>
                <w:color w:val="auto"/>
                <w:position w:val="1"/>
                <w:sz w:val="21"/>
                <w:szCs w:val="21"/>
                <w:highlight w:val="none"/>
                <w:lang w:val="en-US" w:bidi="zh-CN"/>
              </w:rPr>
            </w:pPr>
            <w:r>
              <w:rPr>
                <w:rFonts w:hint="eastAsia" w:ascii="Times New Roman" w:hAnsi="Times New Roman" w:cs="Times New Roman"/>
                <w:color w:val="auto"/>
                <w:position w:val="1"/>
                <w:sz w:val="21"/>
                <w:szCs w:val="21"/>
                <w:highlight w:val="none"/>
                <w:lang w:val="en-US" w:bidi="zh-CN"/>
              </w:rPr>
              <w:t>23</w:t>
            </w:r>
          </w:p>
        </w:tc>
        <w:tc>
          <w:tcPr>
            <w:tcW w:w="1419" w:type="dxa"/>
            <w:vAlign w:val="center"/>
          </w:tcPr>
          <w:p w14:paraId="4EBB67BF">
            <w:pPr>
              <w:keepNext w:val="0"/>
              <w:keepLines w:val="0"/>
              <w:pageBreakBefore w:val="0"/>
              <w:kinsoku/>
              <w:wordWrap/>
              <w:overflowPunct/>
              <w:topLinePunct w:val="0"/>
              <w:autoSpaceDE/>
              <w:autoSpaceDN/>
              <w:bidi w:val="0"/>
              <w:adjustRightInd/>
              <w:snapToGrid/>
              <w:ind w:left="0" w:right="0"/>
              <w:jc w:val="center"/>
              <w:textAlignment w:val="center"/>
              <w:rPr>
                <w:rFonts w:hint="default" w:ascii="Times New Roman" w:hAnsi="Times New Roman" w:cs="Times New Roman"/>
                <w:color w:val="auto"/>
                <w:position w:val="1"/>
                <w:sz w:val="21"/>
                <w:szCs w:val="21"/>
                <w:highlight w:val="none"/>
                <w:lang w:val="en-US" w:bidi="zh-CN"/>
              </w:rPr>
            </w:pPr>
            <w:r>
              <w:rPr>
                <w:rFonts w:hint="eastAsia" w:ascii="Times New Roman" w:hAnsi="Times New Roman" w:cs="Times New Roman"/>
                <w:color w:val="auto"/>
                <w:position w:val="1"/>
                <w:sz w:val="21"/>
                <w:szCs w:val="21"/>
                <w:highlight w:val="none"/>
                <w:lang w:val="en-US" w:bidi="zh-CN"/>
              </w:rPr>
              <w:t>2.55406</w:t>
            </w:r>
          </w:p>
        </w:tc>
        <w:tc>
          <w:tcPr>
            <w:tcW w:w="1420" w:type="dxa"/>
            <w:vAlign w:val="center"/>
          </w:tcPr>
          <w:p w14:paraId="117851B7">
            <w:pPr>
              <w:keepNext w:val="0"/>
              <w:keepLines w:val="0"/>
              <w:pageBreakBefore w:val="0"/>
              <w:kinsoku/>
              <w:wordWrap/>
              <w:overflowPunct/>
              <w:topLinePunct w:val="0"/>
              <w:autoSpaceDE/>
              <w:autoSpaceDN/>
              <w:bidi w:val="0"/>
              <w:adjustRightInd/>
              <w:snapToGrid/>
              <w:ind w:left="0" w:right="0"/>
              <w:jc w:val="center"/>
              <w:textAlignment w:val="center"/>
              <w:rPr>
                <w:rFonts w:hint="default" w:ascii="Times New Roman" w:hAnsi="Times New Roman" w:cs="Times New Roman"/>
                <w:color w:val="auto"/>
                <w:position w:val="1"/>
                <w:sz w:val="21"/>
                <w:szCs w:val="21"/>
                <w:highlight w:val="none"/>
                <w:lang w:val="en-US" w:bidi="zh-CN"/>
              </w:rPr>
            </w:pPr>
            <w:r>
              <w:rPr>
                <w:rFonts w:hint="eastAsia" w:ascii="Times New Roman" w:hAnsi="Times New Roman" w:cs="Times New Roman"/>
                <w:color w:val="auto"/>
                <w:position w:val="1"/>
                <w:sz w:val="21"/>
                <w:szCs w:val="21"/>
                <w:highlight w:val="none"/>
                <w:lang w:val="en-US" w:bidi="zh-CN"/>
              </w:rPr>
              <w:t>0.09</w:t>
            </w:r>
          </w:p>
        </w:tc>
        <w:tc>
          <w:tcPr>
            <w:tcW w:w="1429" w:type="dxa"/>
            <w:vAlign w:val="center"/>
          </w:tcPr>
          <w:p w14:paraId="5025477D">
            <w:pPr>
              <w:keepNext w:val="0"/>
              <w:keepLines w:val="0"/>
              <w:pageBreakBefore w:val="0"/>
              <w:kinsoku/>
              <w:wordWrap/>
              <w:overflowPunct/>
              <w:topLinePunct w:val="0"/>
              <w:autoSpaceDE/>
              <w:autoSpaceDN/>
              <w:bidi w:val="0"/>
              <w:adjustRightInd/>
              <w:snapToGrid/>
              <w:ind w:left="0" w:right="0"/>
              <w:jc w:val="center"/>
              <w:textAlignment w:val="center"/>
              <w:rPr>
                <w:rFonts w:hint="eastAsia" w:ascii="Times New Roman" w:hAnsi="Times New Roman" w:cs="Times New Roman"/>
                <w:color w:val="auto"/>
                <w:position w:val="1"/>
                <w:sz w:val="21"/>
                <w:szCs w:val="21"/>
                <w:highlight w:val="none"/>
                <w:lang w:bidi="zh-CN"/>
              </w:rPr>
            </w:pPr>
            <w:r>
              <w:rPr>
                <w:rFonts w:hint="eastAsia" w:ascii="Times New Roman" w:hAnsi="Times New Roman" w:cs="Times New Roman"/>
                <w:color w:val="auto"/>
                <w:position w:val="1"/>
                <w:sz w:val="21"/>
                <w:szCs w:val="21"/>
                <w:highlight w:val="none"/>
                <w:lang w:bidi="zh-CN"/>
              </w:rPr>
              <w:t>III</w:t>
            </w:r>
          </w:p>
        </w:tc>
      </w:tr>
    </w:tbl>
    <w:p w14:paraId="3093DE99">
      <w:pPr>
        <w:ind w:left="-105" w:right="-105" w:firstLine="482"/>
        <w:jc w:val="center"/>
        <w:rPr>
          <w:b/>
          <w:bCs/>
          <w:color w:val="auto"/>
          <w:highlight w:val="none"/>
        </w:rPr>
      </w:pPr>
      <w:bookmarkStart w:id="379" w:name="_Ref28319"/>
      <w:r>
        <w:rPr>
          <w:rFonts w:ascii="Times New Roman" w:hAnsi="Times New Roman" w:cs="Times New Roman"/>
          <w:b/>
          <w:bCs/>
          <w:color w:val="auto"/>
          <w:szCs w:val="18"/>
          <w:highlight w:val="none"/>
        </w:rPr>
        <w:t>表</w:t>
      </w:r>
      <w:r>
        <w:rPr>
          <w:rFonts w:ascii="Times New Roman" w:hAnsi="Times New Roman" w:cs="Times New Roman"/>
          <w:b/>
          <w:bCs/>
          <w:color w:val="auto"/>
          <w:szCs w:val="18"/>
          <w:highlight w:val="none"/>
        </w:rPr>
        <w:fldChar w:fldCharType="begin"/>
      </w:r>
      <w:r>
        <w:rPr>
          <w:rFonts w:ascii="Times New Roman" w:hAnsi="Times New Roman" w:cs="Times New Roman"/>
          <w:b/>
          <w:bCs/>
          <w:color w:val="auto"/>
          <w:szCs w:val="18"/>
          <w:highlight w:val="none"/>
        </w:rPr>
        <w:instrText xml:space="preserve"> STYLEREF 2 \s </w:instrText>
      </w:r>
      <w:r>
        <w:rPr>
          <w:rFonts w:ascii="Times New Roman" w:hAnsi="Times New Roman" w:cs="Times New Roman"/>
          <w:b/>
          <w:bCs/>
          <w:color w:val="auto"/>
          <w:szCs w:val="18"/>
          <w:highlight w:val="none"/>
        </w:rPr>
        <w:fldChar w:fldCharType="separate"/>
      </w:r>
      <w:r>
        <w:rPr>
          <w:rFonts w:ascii="Times New Roman" w:hAnsi="Times New Roman" w:cs="Times New Roman"/>
          <w:b/>
          <w:bCs/>
          <w:color w:val="auto"/>
          <w:szCs w:val="18"/>
          <w:highlight w:val="none"/>
        </w:rPr>
        <w:t>6.1</w:t>
      </w:r>
      <w:r>
        <w:rPr>
          <w:rFonts w:ascii="Times New Roman" w:hAnsi="Times New Roman" w:cs="Times New Roman"/>
          <w:b/>
          <w:bCs/>
          <w:color w:val="auto"/>
          <w:szCs w:val="18"/>
          <w:highlight w:val="none"/>
        </w:rPr>
        <w:fldChar w:fldCharType="end"/>
      </w:r>
      <w:r>
        <w:rPr>
          <w:rFonts w:ascii="Times New Roman" w:hAnsi="Times New Roman" w:cs="Times New Roman"/>
          <w:b/>
          <w:bCs/>
          <w:color w:val="auto"/>
          <w:szCs w:val="18"/>
          <w:highlight w:val="none"/>
        </w:rPr>
        <w:noBreakHyphen/>
      </w:r>
      <w:r>
        <w:rPr>
          <w:rFonts w:ascii="Times New Roman" w:hAnsi="Times New Roman" w:cs="Times New Roman"/>
          <w:b/>
          <w:bCs/>
          <w:color w:val="auto"/>
          <w:szCs w:val="18"/>
          <w:highlight w:val="none"/>
        </w:rPr>
        <w:fldChar w:fldCharType="begin"/>
      </w:r>
      <w:r>
        <w:rPr>
          <w:rFonts w:ascii="Times New Roman" w:hAnsi="Times New Roman" w:cs="Times New Roman"/>
          <w:b/>
          <w:bCs/>
          <w:color w:val="auto"/>
          <w:szCs w:val="18"/>
          <w:highlight w:val="none"/>
        </w:rPr>
        <w:instrText xml:space="preserve"> SEQ 表 \* ARABIC \s 2 </w:instrText>
      </w:r>
      <w:r>
        <w:rPr>
          <w:rFonts w:ascii="Times New Roman" w:hAnsi="Times New Roman" w:cs="Times New Roman"/>
          <w:b/>
          <w:bCs/>
          <w:color w:val="auto"/>
          <w:szCs w:val="18"/>
          <w:highlight w:val="none"/>
        </w:rPr>
        <w:fldChar w:fldCharType="separate"/>
      </w:r>
      <w:r>
        <w:rPr>
          <w:rFonts w:ascii="Times New Roman" w:hAnsi="Times New Roman" w:cs="Times New Roman"/>
          <w:b/>
          <w:bCs/>
          <w:color w:val="auto"/>
          <w:szCs w:val="18"/>
          <w:highlight w:val="none"/>
        </w:rPr>
        <w:t>12</w:t>
      </w:r>
      <w:r>
        <w:rPr>
          <w:rFonts w:ascii="Times New Roman" w:hAnsi="Times New Roman" w:cs="Times New Roman"/>
          <w:b/>
          <w:bCs/>
          <w:color w:val="auto"/>
          <w:szCs w:val="18"/>
          <w:highlight w:val="none"/>
        </w:rPr>
        <w:fldChar w:fldCharType="end"/>
      </w:r>
      <w:bookmarkEnd w:id="378"/>
      <w:bookmarkEnd w:id="379"/>
      <w:r>
        <w:rPr>
          <w:rFonts w:hint="eastAsia" w:ascii="Times New Roman" w:hAnsi="Times New Roman" w:cs="Times New Roman"/>
          <w:b/>
          <w:bCs/>
          <w:color w:val="auto"/>
          <w:kern w:val="2"/>
          <w:szCs w:val="18"/>
          <w:highlight w:val="none"/>
        </w:rPr>
        <w:t>敏感目标处</w:t>
      </w:r>
      <w:r>
        <w:rPr>
          <w:b/>
          <w:bCs/>
          <w:color w:val="auto"/>
          <w:highlight w:val="none"/>
        </w:rPr>
        <w:t>最大地面空气质量浓度结果</w:t>
      </w:r>
    </w:p>
    <w:tbl>
      <w:tblPr>
        <w:tblStyle w:val="45"/>
        <w:tblW w:w="5000" w:type="pct"/>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28" w:type="dxa"/>
          <w:bottom w:w="0" w:type="dxa"/>
          <w:right w:w="28" w:type="dxa"/>
        </w:tblCellMar>
      </w:tblPr>
      <w:tblGrid>
        <w:gridCol w:w="941"/>
        <w:gridCol w:w="547"/>
        <w:gridCol w:w="1042"/>
        <w:gridCol w:w="1042"/>
        <w:gridCol w:w="1"/>
        <w:gridCol w:w="1041"/>
        <w:gridCol w:w="1042"/>
        <w:gridCol w:w="2"/>
        <w:gridCol w:w="1040"/>
        <w:gridCol w:w="1046"/>
        <w:gridCol w:w="816"/>
      </w:tblGrid>
      <w:tr w14:paraId="4736D3F9">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28" w:type="dxa"/>
            <w:bottom w:w="0" w:type="dxa"/>
            <w:right w:w="28" w:type="dxa"/>
          </w:tblCellMar>
        </w:tblPrEx>
        <w:trPr>
          <w:cantSplit/>
          <w:trHeight w:val="312" w:hRule="atLeast"/>
          <w:jc w:val="center"/>
        </w:trPr>
        <w:tc>
          <w:tcPr>
            <w:tcW w:w="941" w:type="dxa"/>
            <w:vMerge w:val="restart"/>
            <w:vAlign w:val="center"/>
          </w:tcPr>
          <w:p w14:paraId="471B37C1">
            <w:pPr>
              <w:pStyle w:val="118"/>
              <w:keepNext w:val="0"/>
              <w:keepLines w:val="0"/>
              <w:pageBreakBefore w:val="0"/>
              <w:kinsoku/>
              <w:wordWrap/>
              <w:overflowPunct/>
              <w:topLinePunct w:val="0"/>
              <w:autoSpaceDE/>
              <w:autoSpaceDN/>
              <w:bidi w:val="0"/>
              <w:adjustRightInd/>
              <w:snapToGrid/>
              <w:ind w:left="0" w:right="0"/>
              <w:jc w:val="center"/>
              <w:rPr>
                <w:rFonts w:ascii="Times New Roman" w:hAnsi="Times New Roman" w:eastAsia="宋体"/>
                <w:b/>
                <w:bCs/>
                <w:color w:val="auto"/>
                <w:sz w:val="21"/>
                <w:szCs w:val="21"/>
                <w:highlight w:val="none"/>
              </w:rPr>
            </w:pPr>
            <w:r>
              <w:rPr>
                <w:rFonts w:hint="eastAsia" w:ascii="Times New Roman" w:hAnsi="Times New Roman" w:eastAsia="宋体"/>
                <w:b/>
                <w:bCs/>
                <w:color w:val="auto"/>
                <w:sz w:val="21"/>
                <w:szCs w:val="21"/>
                <w:highlight w:val="none"/>
              </w:rPr>
              <w:t>敏感目标</w:t>
            </w:r>
          </w:p>
        </w:tc>
        <w:tc>
          <w:tcPr>
            <w:tcW w:w="547" w:type="dxa"/>
            <w:vMerge w:val="restart"/>
            <w:vAlign w:val="center"/>
          </w:tcPr>
          <w:p w14:paraId="0131B87B">
            <w:pPr>
              <w:pStyle w:val="118"/>
              <w:keepNext w:val="0"/>
              <w:keepLines w:val="0"/>
              <w:pageBreakBefore w:val="0"/>
              <w:kinsoku/>
              <w:wordWrap/>
              <w:overflowPunct/>
              <w:topLinePunct w:val="0"/>
              <w:autoSpaceDE/>
              <w:autoSpaceDN/>
              <w:bidi w:val="0"/>
              <w:adjustRightInd/>
              <w:snapToGrid/>
              <w:ind w:left="0" w:right="0"/>
              <w:jc w:val="center"/>
              <w:rPr>
                <w:rFonts w:ascii="Times New Roman" w:hAnsi="Times New Roman" w:eastAsia="宋体"/>
                <w:b/>
                <w:bCs/>
                <w:color w:val="auto"/>
                <w:sz w:val="21"/>
                <w:szCs w:val="21"/>
                <w:highlight w:val="none"/>
              </w:rPr>
            </w:pPr>
            <w:r>
              <w:rPr>
                <w:rFonts w:hint="eastAsia" w:ascii="Times New Roman" w:hAnsi="Times New Roman" w:eastAsia="宋体"/>
                <w:b/>
                <w:bCs/>
                <w:color w:val="auto"/>
                <w:sz w:val="21"/>
                <w:szCs w:val="21"/>
                <w:highlight w:val="none"/>
              </w:rPr>
              <w:t>距离</w:t>
            </w:r>
          </w:p>
        </w:tc>
        <w:tc>
          <w:tcPr>
            <w:tcW w:w="2085" w:type="dxa"/>
            <w:gridSpan w:val="3"/>
            <w:vAlign w:val="center"/>
          </w:tcPr>
          <w:p w14:paraId="47412D50">
            <w:pPr>
              <w:pStyle w:val="118"/>
              <w:keepNext w:val="0"/>
              <w:keepLines w:val="0"/>
              <w:pageBreakBefore w:val="0"/>
              <w:kinsoku/>
              <w:wordWrap/>
              <w:overflowPunct/>
              <w:topLinePunct w:val="0"/>
              <w:autoSpaceDE/>
              <w:autoSpaceDN/>
              <w:bidi w:val="0"/>
              <w:adjustRightInd/>
              <w:snapToGrid/>
              <w:ind w:left="0" w:right="0"/>
              <w:jc w:val="center"/>
              <w:rPr>
                <w:rFonts w:hint="eastAsia" w:ascii="Times New Roman" w:hAnsi="Times New Roman" w:eastAsia="宋体"/>
                <w:b/>
                <w:bCs/>
                <w:color w:val="auto"/>
                <w:sz w:val="21"/>
                <w:szCs w:val="21"/>
                <w:highlight w:val="none"/>
                <w:lang w:val="en-US" w:eastAsia="zh-CN"/>
              </w:rPr>
            </w:pPr>
            <w:r>
              <w:rPr>
                <w:rFonts w:hint="eastAsia" w:ascii="Times New Roman" w:hAnsi="Times New Roman" w:eastAsia="宋体"/>
                <w:b/>
                <w:bCs/>
                <w:color w:val="auto"/>
                <w:sz w:val="21"/>
                <w:szCs w:val="21"/>
                <w:highlight w:val="none"/>
                <w:lang w:val="en-US" w:eastAsia="zh-CN"/>
              </w:rPr>
              <w:t>非甲烷总烃</w:t>
            </w:r>
          </w:p>
        </w:tc>
        <w:tc>
          <w:tcPr>
            <w:tcW w:w="2085" w:type="dxa"/>
            <w:gridSpan w:val="3"/>
            <w:vAlign w:val="center"/>
          </w:tcPr>
          <w:p w14:paraId="398120AE">
            <w:pPr>
              <w:pStyle w:val="118"/>
              <w:keepNext w:val="0"/>
              <w:keepLines w:val="0"/>
              <w:pageBreakBefore w:val="0"/>
              <w:kinsoku/>
              <w:wordWrap/>
              <w:overflowPunct/>
              <w:topLinePunct w:val="0"/>
              <w:autoSpaceDE/>
              <w:autoSpaceDN/>
              <w:bidi w:val="0"/>
              <w:adjustRightInd/>
              <w:snapToGrid/>
              <w:ind w:left="0" w:right="0"/>
              <w:jc w:val="center"/>
              <w:rPr>
                <w:rFonts w:hint="default" w:ascii="Times New Roman" w:hAnsi="Times New Roman" w:eastAsia="宋体"/>
                <w:b/>
                <w:bCs/>
                <w:color w:val="auto"/>
                <w:sz w:val="21"/>
                <w:szCs w:val="21"/>
                <w:highlight w:val="none"/>
                <w:lang w:val="en-US" w:eastAsia="zh-CN"/>
              </w:rPr>
            </w:pPr>
            <w:r>
              <w:rPr>
                <w:rFonts w:hint="eastAsia" w:ascii="Times New Roman" w:hAnsi="Times New Roman" w:eastAsia="宋体"/>
                <w:b/>
                <w:bCs/>
                <w:color w:val="auto"/>
                <w:sz w:val="21"/>
                <w:szCs w:val="21"/>
                <w:highlight w:val="none"/>
                <w:lang w:val="en-US" w:eastAsia="zh-CN"/>
              </w:rPr>
              <w:t>氮氧化物</w:t>
            </w:r>
          </w:p>
        </w:tc>
        <w:tc>
          <w:tcPr>
            <w:tcW w:w="2086" w:type="dxa"/>
            <w:gridSpan w:val="2"/>
            <w:vAlign w:val="center"/>
          </w:tcPr>
          <w:p w14:paraId="486D569E">
            <w:pPr>
              <w:pStyle w:val="118"/>
              <w:keepNext w:val="0"/>
              <w:keepLines w:val="0"/>
              <w:pageBreakBefore w:val="0"/>
              <w:kinsoku/>
              <w:wordWrap/>
              <w:overflowPunct/>
              <w:topLinePunct w:val="0"/>
              <w:autoSpaceDE/>
              <w:autoSpaceDN/>
              <w:bidi w:val="0"/>
              <w:adjustRightInd/>
              <w:snapToGrid/>
              <w:ind w:left="0" w:right="0"/>
              <w:jc w:val="center"/>
              <w:rPr>
                <w:rFonts w:hint="default" w:ascii="Times New Roman" w:hAnsi="Times New Roman" w:eastAsia="宋体"/>
                <w:b/>
                <w:bCs/>
                <w:color w:val="auto"/>
                <w:sz w:val="21"/>
                <w:szCs w:val="21"/>
                <w:highlight w:val="none"/>
                <w:lang w:val="en-US" w:eastAsia="zh-CN"/>
              </w:rPr>
            </w:pPr>
            <w:r>
              <w:rPr>
                <w:rFonts w:hint="eastAsia" w:ascii="Times New Roman" w:hAnsi="Times New Roman" w:eastAsia="宋体"/>
                <w:b/>
                <w:bCs/>
                <w:color w:val="auto"/>
                <w:sz w:val="21"/>
                <w:szCs w:val="21"/>
                <w:highlight w:val="none"/>
                <w:lang w:val="en-US" w:eastAsia="zh-CN"/>
              </w:rPr>
              <w:t>甲醇</w:t>
            </w:r>
          </w:p>
        </w:tc>
        <w:tc>
          <w:tcPr>
            <w:tcW w:w="816" w:type="dxa"/>
            <w:vMerge w:val="restart"/>
            <w:vAlign w:val="center"/>
          </w:tcPr>
          <w:p w14:paraId="69468E77">
            <w:pPr>
              <w:pStyle w:val="118"/>
              <w:keepNext w:val="0"/>
              <w:keepLines w:val="0"/>
              <w:pageBreakBefore w:val="0"/>
              <w:kinsoku/>
              <w:wordWrap/>
              <w:overflowPunct/>
              <w:topLinePunct w:val="0"/>
              <w:autoSpaceDE/>
              <w:autoSpaceDN/>
              <w:bidi w:val="0"/>
              <w:adjustRightInd/>
              <w:snapToGrid/>
              <w:ind w:left="0" w:right="0"/>
              <w:jc w:val="center"/>
              <w:rPr>
                <w:rFonts w:ascii="Times New Roman" w:hAnsi="Times New Roman" w:eastAsia="宋体"/>
                <w:b/>
                <w:bCs/>
                <w:color w:val="auto"/>
                <w:sz w:val="21"/>
                <w:szCs w:val="21"/>
                <w:highlight w:val="none"/>
              </w:rPr>
            </w:pPr>
            <w:r>
              <w:rPr>
                <w:rFonts w:ascii="Times New Roman" w:hAnsi="Times New Roman" w:eastAsia="宋体"/>
                <w:b/>
                <w:bCs/>
                <w:color w:val="auto"/>
                <w:sz w:val="21"/>
                <w:szCs w:val="21"/>
                <w:highlight w:val="none"/>
              </w:rPr>
              <w:t>是否超标</w:t>
            </w:r>
          </w:p>
        </w:tc>
      </w:tr>
      <w:tr w14:paraId="63F024AB">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28" w:type="dxa"/>
            <w:bottom w:w="0" w:type="dxa"/>
            <w:right w:w="28" w:type="dxa"/>
          </w:tblCellMar>
        </w:tblPrEx>
        <w:trPr>
          <w:cantSplit/>
          <w:trHeight w:val="312" w:hRule="atLeast"/>
          <w:jc w:val="center"/>
        </w:trPr>
        <w:tc>
          <w:tcPr>
            <w:tcW w:w="941" w:type="dxa"/>
            <w:vMerge w:val="continue"/>
            <w:vAlign w:val="center"/>
          </w:tcPr>
          <w:p w14:paraId="6466FBD7">
            <w:pPr>
              <w:pStyle w:val="118"/>
              <w:keepNext w:val="0"/>
              <w:keepLines w:val="0"/>
              <w:pageBreakBefore w:val="0"/>
              <w:kinsoku/>
              <w:wordWrap/>
              <w:overflowPunct/>
              <w:topLinePunct w:val="0"/>
              <w:autoSpaceDE/>
              <w:autoSpaceDN/>
              <w:bidi w:val="0"/>
              <w:adjustRightInd/>
              <w:snapToGrid/>
              <w:ind w:left="0" w:right="0"/>
              <w:jc w:val="center"/>
              <w:rPr>
                <w:rFonts w:ascii="Times New Roman" w:hAnsi="Times New Roman" w:eastAsia="宋体"/>
                <w:b/>
                <w:bCs/>
                <w:color w:val="auto"/>
                <w:sz w:val="21"/>
                <w:szCs w:val="21"/>
                <w:highlight w:val="none"/>
              </w:rPr>
            </w:pPr>
          </w:p>
        </w:tc>
        <w:tc>
          <w:tcPr>
            <w:tcW w:w="547" w:type="dxa"/>
            <w:vMerge w:val="continue"/>
            <w:vAlign w:val="center"/>
          </w:tcPr>
          <w:p w14:paraId="3DBA4AC6">
            <w:pPr>
              <w:pStyle w:val="118"/>
              <w:keepNext w:val="0"/>
              <w:keepLines w:val="0"/>
              <w:pageBreakBefore w:val="0"/>
              <w:kinsoku/>
              <w:wordWrap/>
              <w:overflowPunct/>
              <w:topLinePunct w:val="0"/>
              <w:autoSpaceDE/>
              <w:autoSpaceDN/>
              <w:bidi w:val="0"/>
              <w:adjustRightInd/>
              <w:snapToGrid/>
              <w:ind w:left="0" w:right="0"/>
              <w:jc w:val="center"/>
              <w:rPr>
                <w:rFonts w:ascii="Times New Roman" w:hAnsi="Times New Roman" w:eastAsia="宋体"/>
                <w:b/>
                <w:bCs/>
                <w:color w:val="auto"/>
                <w:sz w:val="21"/>
                <w:szCs w:val="21"/>
                <w:highlight w:val="none"/>
              </w:rPr>
            </w:pPr>
          </w:p>
        </w:tc>
        <w:tc>
          <w:tcPr>
            <w:tcW w:w="1042" w:type="dxa"/>
            <w:vAlign w:val="center"/>
          </w:tcPr>
          <w:p w14:paraId="610B510A">
            <w:pPr>
              <w:pStyle w:val="118"/>
              <w:keepNext w:val="0"/>
              <w:keepLines w:val="0"/>
              <w:pageBreakBefore w:val="0"/>
              <w:kinsoku/>
              <w:wordWrap/>
              <w:overflowPunct/>
              <w:topLinePunct w:val="0"/>
              <w:autoSpaceDE/>
              <w:autoSpaceDN/>
              <w:bidi w:val="0"/>
              <w:adjustRightInd/>
              <w:snapToGrid/>
              <w:ind w:left="0" w:right="0"/>
              <w:jc w:val="center"/>
              <w:rPr>
                <w:rFonts w:ascii="Times New Roman" w:hAnsi="Times New Roman" w:eastAsia="宋体"/>
                <w:b/>
                <w:bCs/>
                <w:color w:val="auto"/>
                <w:sz w:val="21"/>
                <w:szCs w:val="21"/>
                <w:highlight w:val="none"/>
              </w:rPr>
            </w:pPr>
            <w:r>
              <w:rPr>
                <w:rFonts w:ascii="Times New Roman" w:hAnsi="Times New Roman" w:eastAsia="宋体"/>
                <w:b/>
                <w:bCs/>
                <w:color w:val="auto"/>
                <w:sz w:val="21"/>
                <w:szCs w:val="21"/>
                <w:highlight w:val="none"/>
              </w:rPr>
              <w:t>1h最大落地浓度（</w:t>
            </w:r>
            <w:r>
              <w:rPr>
                <w:rFonts w:ascii="Times New Roman" w:hAnsi="Times New Roman" w:eastAsia="宋体"/>
                <w:b/>
                <w:color w:val="auto"/>
                <w:sz w:val="21"/>
                <w:szCs w:val="21"/>
                <w:highlight w:val="none"/>
              </w:rPr>
              <w:t>μg/m</w:t>
            </w:r>
            <w:r>
              <w:rPr>
                <w:rFonts w:ascii="Times New Roman" w:hAnsi="Times New Roman" w:eastAsia="宋体"/>
                <w:b/>
                <w:color w:val="auto"/>
                <w:sz w:val="21"/>
                <w:szCs w:val="21"/>
                <w:highlight w:val="none"/>
                <w:vertAlign w:val="superscript"/>
              </w:rPr>
              <w:t>3</w:t>
            </w:r>
            <w:r>
              <w:rPr>
                <w:rFonts w:ascii="Times New Roman" w:hAnsi="Times New Roman" w:eastAsia="宋体"/>
                <w:b/>
                <w:bCs/>
                <w:color w:val="auto"/>
                <w:sz w:val="21"/>
                <w:szCs w:val="21"/>
                <w:highlight w:val="none"/>
              </w:rPr>
              <w:t>）</w:t>
            </w:r>
          </w:p>
        </w:tc>
        <w:tc>
          <w:tcPr>
            <w:tcW w:w="1042" w:type="dxa"/>
            <w:vAlign w:val="center"/>
          </w:tcPr>
          <w:p w14:paraId="2A94E384">
            <w:pPr>
              <w:pStyle w:val="118"/>
              <w:keepNext w:val="0"/>
              <w:keepLines w:val="0"/>
              <w:pageBreakBefore w:val="0"/>
              <w:kinsoku/>
              <w:wordWrap/>
              <w:overflowPunct/>
              <w:topLinePunct w:val="0"/>
              <w:autoSpaceDE/>
              <w:autoSpaceDN/>
              <w:bidi w:val="0"/>
              <w:adjustRightInd/>
              <w:snapToGrid/>
              <w:ind w:left="0" w:right="0"/>
              <w:jc w:val="center"/>
              <w:rPr>
                <w:rFonts w:ascii="Times New Roman" w:hAnsi="Times New Roman" w:eastAsia="宋体"/>
                <w:b/>
                <w:bCs/>
                <w:color w:val="auto"/>
                <w:sz w:val="21"/>
                <w:szCs w:val="21"/>
                <w:highlight w:val="none"/>
              </w:rPr>
            </w:pPr>
            <w:r>
              <w:rPr>
                <w:rFonts w:ascii="Times New Roman" w:hAnsi="Times New Roman" w:eastAsia="宋体"/>
                <w:b/>
                <w:bCs/>
                <w:color w:val="auto"/>
                <w:sz w:val="21"/>
                <w:szCs w:val="21"/>
                <w:highlight w:val="none"/>
              </w:rPr>
              <w:t>环境空气质量标准（</w:t>
            </w:r>
            <w:r>
              <w:rPr>
                <w:rFonts w:ascii="Times New Roman" w:hAnsi="Times New Roman" w:eastAsia="宋体"/>
                <w:b/>
                <w:color w:val="auto"/>
                <w:sz w:val="21"/>
                <w:szCs w:val="21"/>
                <w:highlight w:val="none"/>
              </w:rPr>
              <w:t>µg/m</w:t>
            </w:r>
            <w:r>
              <w:rPr>
                <w:rFonts w:ascii="Times New Roman" w:hAnsi="Times New Roman" w:eastAsia="宋体"/>
                <w:b/>
                <w:color w:val="auto"/>
                <w:sz w:val="21"/>
                <w:szCs w:val="21"/>
                <w:highlight w:val="none"/>
                <w:vertAlign w:val="superscript"/>
              </w:rPr>
              <w:t>3</w:t>
            </w:r>
            <w:r>
              <w:rPr>
                <w:rFonts w:ascii="Times New Roman" w:hAnsi="Times New Roman" w:eastAsia="宋体"/>
                <w:b/>
                <w:bCs/>
                <w:color w:val="auto"/>
                <w:sz w:val="21"/>
                <w:szCs w:val="21"/>
                <w:highlight w:val="none"/>
              </w:rPr>
              <w:t>）</w:t>
            </w:r>
          </w:p>
        </w:tc>
        <w:tc>
          <w:tcPr>
            <w:tcW w:w="1042" w:type="dxa"/>
            <w:gridSpan w:val="2"/>
            <w:vAlign w:val="center"/>
          </w:tcPr>
          <w:p w14:paraId="2175184F">
            <w:pPr>
              <w:pStyle w:val="118"/>
              <w:keepNext w:val="0"/>
              <w:keepLines w:val="0"/>
              <w:pageBreakBefore w:val="0"/>
              <w:kinsoku/>
              <w:wordWrap/>
              <w:overflowPunct/>
              <w:topLinePunct w:val="0"/>
              <w:autoSpaceDE/>
              <w:autoSpaceDN/>
              <w:bidi w:val="0"/>
              <w:adjustRightInd/>
              <w:snapToGrid/>
              <w:ind w:left="0" w:leftChars="0" w:right="0" w:rightChars="0"/>
              <w:jc w:val="center"/>
              <w:rPr>
                <w:rFonts w:ascii="Times New Roman" w:hAnsi="Times New Roman" w:eastAsia="宋体"/>
                <w:b/>
                <w:bCs/>
                <w:color w:val="auto"/>
                <w:sz w:val="21"/>
                <w:szCs w:val="21"/>
                <w:highlight w:val="none"/>
              </w:rPr>
            </w:pPr>
            <w:r>
              <w:rPr>
                <w:rFonts w:ascii="Times New Roman" w:hAnsi="Times New Roman" w:eastAsia="宋体"/>
                <w:b/>
                <w:bCs/>
                <w:color w:val="auto"/>
                <w:sz w:val="21"/>
                <w:szCs w:val="21"/>
                <w:highlight w:val="none"/>
              </w:rPr>
              <w:t>1h最大落地浓度（</w:t>
            </w:r>
            <w:r>
              <w:rPr>
                <w:rFonts w:ascii="Times New Roman" w:hAnsi="Times New Roman" w:eastAsia="宋体"/>
                <w:b/>
                <w:color w:val="auto"/>
                <w:sz w:val="21"/>
                <w:szCs w:val="21"/>
                <w:highlight w:val="none"/>
              </w:rPr>
              <w:t>μg/m</w:t>
            </w:r>
            <w:r>
              <w:rPr>
                <w:rFonts w:ascii="Times New Roman" w:hAnsi="Times New Roman" w:eastAsia="宋体"/>
                <w:b/>
                <w:color w:val="auto"/>
                <w:sz w:val="21"/>
                <w:szCs w:val="21"/>
                <w:highlight w:val="none"/>
                <w:vertAlign w:val="superscript"/>
              </w:rPr>
              <w:t>3</w:t>
            </w:r>
            <w:r>
              <w:rPr>
                <w:rFonts w:ascii="Times New Roman" w:hAnsi="Times New Roman" w:eastAsia="宋体"/>
                <w:b/>
                <w:bCs/>
                <w:color w:val="auto"/>
                <w:sz w:val="21"/>
                <w:szCs w:val="21"/>
                <w:highlight w:val="none"/>
              </w:rPr>
              <w:t>）</w:t>
            </w:r>
          </w:p>
        </w:tc>
        <w:tc>
          <w:tcPr>
            <w:tcW w:w="1042" w:type="dxa"/>
            <w:vAlign w:val="center"/>
          </w:tcPr>
          <w:p w14:paraId="311F2014">
            <w:pPr>
              <w:pStyle w:val="118"/>
              <w:keepNext w:val="0"/>
              <w:keepLines w:val="0"/>
              <w:pageBreakBefore w:val="0"/>
              <w:kinsoku/>
              <w:wordWrap/>
              <w:overflowPunct/>
              <w:topLinePunct w:val="0"/>
              <w:autoSpaceDE/>
              <w:autoSpaceDN/>
              <w:bidi w:val="0"/>
              <w:adjustRightInd/>
              <w:snapToGrid/>
              <w:ind w:left="0" w:leftChars="0" w:right="0" w:rightChars="0"/>
              <w:jc w:val="center"/>
              <w:rPr>
                <w:rFonts w:ascii="Times New Roman" w:hAnsi="Times New Roman" w:eastAsia="宋体"/>
                <w:b/>
                <w:bCs/>
                <w:color w:val="auto"/>
                <w:sz w:val="21"/>
                <w:szCs w:val="21"/>
                <w:highlight w:val="none"/>
              </w:rPr>
            </w:pPr>
            <w:r>
              <w:rPr>
                <w:rFonts w:ascii="Times New Roman" w:hAnsi="Times New Roman" w:eastAsia="宋体"/>
                <w:b/>
                <w:bCs/>
                <w:color w:val="auto"/>
                <w:sz w:val="21"/>
                <w:szCs w:val="21"/>
                <w:highlight w:val="none"/>
              </w:rPr>
              <w:t>环境空气质量标准（</w:t>
            </w:r>
            <w:r>
              <w:rPr>
                <w:rFonts w:ascii="Times New Roman" w:hAnsi="Times New Roman" w:eastAsia="宋体"/>
                <w:b/>
                <w:color w:val="auto"/>
                <w:sz w:val="21"/>
                <w:szCs w:val="21"/>
                <w:highlight w:val="none"/>
              </w:rPr>
              <w:t>µg/m</w:t>
            </w:r>
            <w:r>
              <w:rPr>
                <w:rFonts w:ascii="Times New Roman" w:hAnsi="Times New Roman" w:eastAsia="宋体"/>
                <w:b/>
                <w:color w:val="auto"/>
                <w:sz w:val="21"/>
                <w:szCs w:val="21"/>
                <w:highlight w:val="none"/>
                <w:vertAlign w:val="superscript"/>
              </w:rPr>
              <w:t>3</w:t>
            </w:r>
            <w:r>
              <w:rPr>
                <w:rFonts w:ascii="Times New Roman" w:hAnsi="Times New Roman" w:eastAsia="宋体"/>
                <w:b/>
                <w:bCs/>
                <w:color w:val="auto"/>
                <w:sz w:val="21"/>
                <w:szCs w:val="21"/>
                <w:highlight w:val="none"/>
              </w:rPr>
              <w:t>）</w:t>
            </w:r>
          </w:p>
        </w:tc>
        <w:tc>
          <w:tcPr>
            <w:tcW w:w="1042" w:type="dxa"/>
            <w:gridSpan w:val="2"/>
            <w:vAlign w:val="center"/>
          </w:tcPr>
          <w:p w14:paraId="32474334">
            <w:pPr>
              <w:pStyle w:val="118"/>
              <w:keepNext w:val="0"/>
              <w:keepLines w:val="0"/>
              <w:pageBreakBefore w:val="0"/>
              <w:kinsoku/>
              <w:wordWrap/>
              <w:overflowPunct/>
              <w:topLinePunct w:val="0"/>
              <w:autoSpaceDE/>
              <w:autoSpaceDN/>
              <w:bidi w:val="0"/>
              <w:adjustRightInd/>
              <w:snapToGrid/>
              <w:ind w:left="0" w:leftChars="0" w:right="0" w:rightChars="0"/>
              <w:jc w:val="center"/>
              <w:rPr>
                <w:rFonts w:ascii="Times New Roman" w:hAnsi="Times New Roman" w:eastAsia="宋体"/>
                <w:b/>
                <w:bCs/>
                <w:color w:val="auto"/>
                <w:sz w:val="21"/>
                <w:szCs w:val="21"/>
                <w:highlight w:val="none"/>
              </w:rPr>
            </w:pPr>
            <w:r>
              <w:rPr>
                <w:rFonts w:ascii="Times New Roman" w:hAnsi="Times New Roman" w:eastAsia="宋体"/>
                <w:b/>
                <w:bCs/>
                <w:color w:val="auto"/>
                <w:sz w:val="21"/>
                <w:szCs w:val="21"/>
                <w:highlight w:val="none"/>
              </w:rPr>
              <w:t>1h最大落地浓度（</w:t>
            </w:r>
            <w:r>
              <w:rPr>
                <w:rFonts w:ascii="Times New Roman" w:hAnsi="Times New Roman" w:eastAsia="宋体"/>
                <w:b/>
                <w:color w:val="auto"/>
                <w:sz w:val="21"/>
                <w:szCs w:val="21"/>
                <w:highlight w:val="none"/>
              </w:rPr>
              <w:t>μg/m</w:t>
            </w:r>
            <w:r>
              <w:rPr>
                <w:rFonts w:ascii="Times New Roman" w:hAnsi="Times New Roman" w:eastAsia="宋体"/>
                <w:b/>
                <w:color w:val="auto"/>
                <w:sz w:val="21"/>
                <w:szCs w:val="21"/>
                <w:highlight w:val="none"/>
                <w:vertAlign w:val="superscript"/>
              </w:rPr>
              <w:t>3</w:t>
            </w:r>
            <w:r>
              <w:rPr>
                <w:rFonts w:ascii="Times New Roman" w:hAnsi="Times New Roman" w:eastAsia="宋体"/>
                <w:b/>
                <w:bCs/>
                <w:color w:val="auto"/>
                <w:sz w:val="21"/>
                <w:szCs w:val="21"/>
                <w:highlight w:val="none"/>
              </w:rPr>
              <w:t>）</w:t>
            </w:r>
          </w:p>
        </w:tc>
        <w:tc>
          <w:tcPr>
            <w:tcW w:w="1046" w:type="dxa"/>
            <w:vAlign w:val="center"/>
          </w:tcPr>
          <w:p w14:paraId="2483468A">
            <w:pPr>
              <w:pStyle w:val="118"/>
              <w:keepNext w:val="0"/>
              <w:keepLines w:val="0"/>
              <w:pageBreakBefore w:val="0"/>
              <w:kinsoku/>
              <w:wordWrap/>
              <w:overflowPunct/>
              <w:topLinePunct w:val="0"/>
              <w:autoSpaceDE/>
              <w:autoSpaceDN/>
              <w:bidi w:val="0"/>
              <w:adjustRightInd/>
              <w:snapToGrid/>
              <w:ind w:left="0" w:leftChars="0" w:right="0" w:rightChars="0"/>
              <w:jc w:val="center"/>
              <w:rPr>
                <w:rFonts w:ascii="Times New Roman" w:hAnsi="Times New Roman" w:eastAsia="宋体"/>
                <w:b/>
                <w:bCs/>
                <w:color w:val="auto"/>
                <w:sz w:val="21"/>
                <w:szCs w:val="21"/>
                <w:highlight w:val="none"/>
              </w:rPr>
            </w:pPr>
            <w:r>
              <w:rPr>
                <w:rFonts w:ascii="Times New Roman" w:hAnsi="Times New Roman" w:eastAsia="宋体"/>
                <w:b/>
                <w:bCs/>
                <w:color w:val="auto"/>
                <w:sz w:val="21"/>
                <w:szCs w:val="21"/>
                <w:highlight w:val="none"/>
              </w:rPr>
              <w:t>环境空气质量标准（</w:t>
            </w:r>
            <w:r>
              <w:rPr>
                <w:rFonts w:ascii="Times New Roman" w:hAnsi="Times New Roman" w:eastAsia="宋体"/>
                <w:b/>
                <w:color w:val="auto"/>
                <w:sz w:val="21"/>
                <w:szCs w:val="21"/>
                <w:highlight w:val="none"/>
              </w:rPr>
              <w:t>µg/m</w:t>
            </w:r>
            <w:r>
              <w:rPr>
                <w:rFonts w:ascii="Times New Roman" w:hAnsi="Times New Roman" w:eastAsia="宋体"/>
                <w:b/>
                <w:color w:val="auto"/>
                <w:sz w:val="21"/>
                <w:szCs w:val="21"/>
                <w:highlight w:val="none"/>
                <w:vertAlign w:val="superscript"/>
              </w:rPr>
              <w:t>3</w:t>
            </w:r>
            <w:r>
              <w:rPr>
                <w:rFonts w:ascii="Times New Roman" w:hAnsi="Times New Roman" w:eastAsia="宋体"/>
                <w:b/>
                <w:bCs/>
                <w:color w:val="auto"/>
                <w:sz w:val="21"/>
                <w:szCs w:val="21"/>
                <w:highlight w:val="none"/>
              </w:rPr>
              <w:t>）</w:t>
            </w:r>
          </w:p>
        </w:tc>
        <w:tc>
          <w:tcPr>
            <w:tcW w:w="816" w:type="dxa"/>
            <w:vMerge w:val="continue"/>
            <w:vAlign w:val="center"/>
          </w:tcPr>
          <w:p w14:paraId="39BB0E4B">
            <w:pPr>
              <w:pStyle w:val="118"/>
              <w:keepNext w:val="0"/>
              <w:keepLines w:val="0"/>
              <w:pageBreakBefore w:val="0"/>
              <w:kinsoku/>
              <w:wordWrap/>
              <w:overflowPunct/>
              <w:topLinePunct w:val="0"/>
              <w:autoSpaceDE/>
              <w:autoSpaceDN/>
              <w:bidi w:val="0"/>
              <w:adjustRightInd/>
              <w:snapToGrid/>
              <w:ind w:left="0" w:right="0"/>
              <w:jc w:val="center"/>
              <w:rPr>
                <w:rFonts w:ascii="Times New Roman" w:hAnsi="Times New Roman" w:eastAsia="宋体"/>
                <w:b/>
                <w:bCs/>
                <w:color w:val="auto"/>
                <w:sz w:val="21"/>
                <w:szCs w:val="21"/>
                <w:highlight w:val="none"/>
              </w:rPr>
            </w:pPr>
          </w:p>
        </w:tc>
      </w:tr>
      <w:tr w14:paraId="46A0EBF4">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28" w:type="dxa"/>
            <w:bottom w:w="0" w:type="dxa"/>
            <w:right w:w="28" w:type="dxa"/>
          </w:tblCellMar>
        </w:tblPrEx>
        <w:trPr>
          <w:cantSplit/>
          <w:trHeight w:val="312" w:hRule="atLeast"/>
          <w:jc w:val="center"/>
        </w:trPr>
        <w:tc>
          <w:tcPr>
            <w:tcW w:w="941" w:type="dxa"/>
            <w:vAlign w:val="center"/>
          </w:tcPr>
          <w:p w14:paraId="5984F7BC">
            <w:pPr>
              <w:pStyle w:val="118"/>
              <w:keepNext w:val="0"/>
              <w:keepLines w:val="0"/>
              <w:pageBreakBefore w:val="0"/>
              <w:kinsoku/>
              <w:wordWrap/>
              <w:overflowPunct/>
              <w:topLinePunct w:val="0"/>
              <w:autoSpaceDE/>
              <w:autoSpaceDN/>
              <w:bidi w:val="0"/>
              <w:adjustRightInd/>
              <w:snapToGrid/>
              <w:ind w:left="0" w:right="0"/>
              <w:jc w:val="center"/>
              <w:rPr>
                <w:rFonts w:ascii="Times New Roman" w:hAnsi="Times New Roman" w:eastAsia="宋体"/>
                <w:color w:val="auto"/>
                <w:sz w:val="21"/>
                <w:szCs w:val="21"/>
                <w:highlight w:val="none"/>
              </w:rPr>
            </w:pPr>
            <w:r>
              <w:rPr>
                <w:rFonts w:hint="eastAsia" w:ascii="Times New Roman" w:hAnsi="Times New Roman" w:eastAsia="宋体"/>
                <w:color w:val="auto"/>
                <w:sz w:val="21"/>
                <w:szCs w:val="21"/>
                <w:highlight w:val="none"/>
              </w:rPr>
              <w:t>周巷头</w:t>
            </w:r>
          </w:p>
        </w:tc>
        <w:tc>
          <w:tcPr>
            <w:tcW w:w="547" w:type="dxa"/>
            <w:vAlign w:val="center"/>
          </w:tcPr>
          <w:p w14:paraId="75C1BA28">
            <w:pPr>
              <w:pStyle w:val="118"/>
              <w:keepNext w:val="0"/>
              <w:keepLines w:val="0"/>
              <w:pageBreakBefore w:val="0"/>
              <w:kinsoku/>
              <w:wordWrap/>
              <w:overflowPunct/>
              <w:topLinePunct w:val="0"/>
              <w:autoSpaceDE/>
              <w:autoSpaceDN/>
              <w:bidi w:val="0"/>
              <w:adjustRightInd/>
              <w:snapToGrid/>
              <w:ind w:left="0" w:right="0"/>
              <w:jc w:val="center"/>
              <w:rPr>
                <w:rFonts w:ascii="Times New Roman" w:hAnsi="Times New Roman" w:eastAsia="宋体"/>
                <w:color w:val="auto"/>
                <w:sz w:val="21"/>
                <w:szCs w:val="21"/>
                <w:highlight w:val="none"/>
              </w:rPr>
            </w:pPr>
            <w:r>
              <w:rPr>
                <w:rFonts w:hint="eastAsia" w:ascii="Times New Roman" w:hAnsi="Times New Roman" w:eastAsia="宋体"/>
                <w:color w:val="auto"/>
                <w:sz w:val="21"/>
                <w:szCs w:val="21"/>
                <w:highlight w:val="none"/>
                <w:lang w:val="en-US" w:eastAsia="zh-CN"/>
              </w:rPr>
              <w:t>30</w:t>
            </w:r>
            <w:r>
              <w:rPr>
                <w:rFonts w:hint="eastAsia" w:ascii="Times New Roman" w:hAnsi="Times New Roman" w:eastAsia="宋体"/>
                <w:color w:val="auto"/>
                <w:sz w:val="21"/>
                <w:szCs w:val="21"/>
                <w:highlight w:val="none"/>
              </w:rPr>
              <w:t>m</w:t>
            </w:r>
          </w:p>
        </w:tc>
        <w:tc>
          <w:tcPr>
            <w:tcW w:w="1042" w:type="dxa"/>
            <w:vAlign w:val="center"/>
          </w:tcPr>
          <w:p w14:paraId="6FCBEB98">
            <w:pPr>
              <w:keepNext w:val="0"/>
              <w:keepLines w:val="0"/>
              <w:pageBreakBefore w:val="0"/>
              <w:kinsoku/>
              <w:wordWrap/>
              <w:overflowPunct/>
              <w:topLinePunct w:val="0"/>
              <w:autoSpaceDE/>
              <w:autoSpaceDN/>
              <w:bidi w:val="0"/>
              <w:adjustRightInd/>
              <w:snapToGrid/>
              <w:ind w:left="0" w:right="0"/>
              <w:jc w:val="center"/>
              <w:textAlignment w:val="bottom"/>
              <w:rPr>
                <w:rFonts w:hint="default" w:ascii="Times New Roman" w:hAnsi="Times New Roman" w:eastAsia="宋体" w:cs="Times New Roman"/>
                <w:color w:val="auto"/>
                <w:kern w:val="44"/>
                <w:sz w:val="21"/>
                <w:szCs w:val="21"/>
                <w:highlight w:val="none"/>
                <w:lang w:val="en-US" w:eastAsia="zh-CN"/>
              </w:rPr>
            </w:pPr>
            <w:r>
              <w:rPr>
                <w:rFonts w:hint="eastAsia" w:ascii="Times New Roman" w:hAnsi="Times New Roman" w:cs="Times New Roman"/>
                <w:color w:val="auto"/>
                <w:kern w:val="44"/>
                <w:sz w:val="21"/>
                <w:szCs w:val="21"/>
                <w:highlight w:val="none"/>
              </w:rPr>
              <w:t>＜</w:t>
            </w:r>
            <w:r>
              <w:rPr>
                <w:rFonts w:hint="eastAsia" w:ascii="Times New Roman" w:hAnsi="Times New Roman" w:cs="Times New Roman"/>
                <w:color w:val="auto"/>
                <w:kern w:val="44"/>
                <w:sz w:val="21"/>
                <w:szCs w:val="21"/>
                <w:highlight w:val="none"/>
                <w:lang w:val="en-US" w:eastAsia="zh-CN"/>
              </w:rPr>
              <w:t>20.83111</w:t>
            </w:r>
          </w:p>
        </w:tc>
        <w:tc>
          <w:tcPr>
            <w:tcW w:w="1042" w:type="dxa"/>
            <w:vAlign w:val="center"/>
          </w:tcPr>
          <w:p w14:paraId="1EF71AE5">
            <w:pPr>
              <w:keepNext w:val="0"/>
              <w:keepLines w:val="0"/>
              <w:pageBreakBefore w:val="0"/>
              <w:kinsoku/>
              <w:wordWrap/>
              <w:overflowPunct/>
              <w:topLinePunct w:val="0"/>
              <w:autoSpaceDE/>
              <w:autoSpaceDN/>
              <w:bidi w:val="0"/>
              <w:adjustRightInd/>
              <w:snapToGrid/>
              <w:ind w:left="0" w:right="0"/>
              <w:jc w:val="center"/>
              <w:rPr>
                <w:rFonts w:ascii="Times New Roman" w:hAnsi="Times New Roman"/>
                <w:color w:val="auto"/>
                <w:sz w:val="21"/>
                <w:szCs w:val="21"/>
                <w:highlight w:val="none"/>
              </w:rPr>
            </w:pPr>
            <w:r>
              <w:rPr>
                <w:rFonts w:ascii="Times New Roman" w:hAnsi="Times New Roman"/>
                <w:color w:val="auto"/>
                <w:sz w:val="21"/>
                <w:szCs w:val="21"/>
                <w:highlight w:val="none"/>
              </w:rPr>
              <w:t>2000</w:t>
            </w:r>
          </w:p>
        </w:tc>
        <w:tc>
          <w:tcPr>
            <w:tcW w:w="1042" w:type="dxa"/>
            <w:gridSpan w:val="2"/>
            <w:vAlign w:val="center"/>
          </w:tcPr>
          <w:p w14:paraId="40EBDAFF">
            <w:pPr>
              <w:keepNext w:val="0"/>
              <w:keepLines w:val="0"/>
              <w:pageBreakBefore w:val="0"/>
              <w:kinsoku/>
              <w:wordWrap/>
              <w:overflowPunct/>
              <w:topLinePunct w:val="0"/>
              <w:autoSpaceDE/>
              <w:autoSpaceDN/>
              <w:bidi w:val="0"/>
              <w:adjustRightInd/>
              <w:snapToGrid/>
              <w:ind w:left="0" w:right="0"/>
              <w:jc w:val="center"/>
              <w:rPr>
                <w:rFonts w:hint="default" w:ascii="Times New Roman" w:hAnsi="Times New Roman" w:eastAsia="宋体"/>
                <w:color w:val="auto"/>
                <w:sz w:val="21"/>
                <w:szCs w:val="21"/>
                <w:highlight w:val="none"/>
                <w:lang w:val="en-US" w:eastAsia="zh-CN"/>
              </w:rPr>
            </w:pPr>
            <w:r>
              <w:rPr>
                <w:rFonts w:hint="eastAsia" w:ascii="Times New Roman" w:hAnsi="Times New Roman" w:cs="Times New Roman"/>
                <w:color w:val="auto"/>
                <w:kern w:val="44"/>
                <w:sz w:val="21"/>
                <w:szCs w:val="21"/>
                <w:highlight w:val="none"/>
              </w:rPr>
              <w:t>＜</w:t>
            </w:r>
            <w:r>
              <w:rPr>
                <w:rFonts w:hint="eastAsia" w:ascii="Times New Roman" w:hAnsi="Times New Roman" w:cs="Times New Roman"/>
                <w:color w:val="auto"/>
                <w:kern w:val="44"/>
                <w:sz w:val="21"/>
                <w:szCs w:val="21"/>
                <w:highlight w:val="none"/>
                <w:lang w:val="en-US" w:eastAsia="zh-CN"/>
              </w:rPr>
              <w:t>0.1667112</w:t>
            </w:r>
          </w:p>
        </w:tc>
        <w:tc>
          <w:tcPr>
            <w:tcW w:w="1042" w:type="dxa"/>
            <w:vAlign w:val="center"/>
          </w:tcPr>
          <w:p w14:paraId="676A27CA">
            <w:pPr>
              <w:keepNext w:val="0"/>
              <w:keepLines w:val="0"/>
              <w:pageBreakBefore w:val="0"/>
              <w:kinsoku/>
              <w:wordWrap/>
              <w:overflowPunct/>
              <w:topLinePunct w:val="0"/>
              <w:autoSpaceDE/>
              <w:autoSpaceDN/>
              <w:bidi w:val="0"/>
              <w:adjustRightInd/>
              <w:snapToGrid/>
              <w:ind w:left="0" w:right="0"/>
              <w:jc w:val="center"/>
              <w:rPr>
                <w:rFonts w:hint="default" w:ascii="Times New Roman" w:hAnsi="Times New Roman" w:eastAsia="宋体"/>
                <w:color w:val="auto"/>
                <w:sz w:val="21"/>
                <w:szCs w:val="21"/>
                <w:highlight w:val="none"/>
                <w:lang w:val="en-US" w:eastAsia="zh-CN"/>
              </w:rPr>
            </w:pPr>
            <w:r>
              <w:rPr>
                <w:rFonts w:hint="eastAsia" w:ascii="Times New Roman" w:hAnsi="Times New Roman"/>
                <w:color w:val="auto"/>
                <w:sz w:val="21"/>
                <w:szCs w:val="21"/>
                <w:highlight w:val="none"/>
                <w:lang w:val="en-US" w:eastAsia="zh-CN"/>
              </w:rPr>
              <w:t>250</w:t>
            </w:r>
          </w:p>
        </w:tc>
        <w:tc>
          <w:tcPr>
            <w:tcW w:w="1042" w:type="dxa"/>
            <w:gridSpan w:val="2"/>
            <w:vAlign w:val="center"/>
          </w:tcPr>
          <w:p w14:paraId="265DF01B">
            <w:pPr>
              <w:keepNext w:val="0"/>
              <w:keepLines w:val="0"/>
              <w:pageBreakBefore w:val="0"/>
              <w:kinsoku/>
              <w:wordWrap/>
              <w:overflowPunct/>
              <w:topLinePunct w:val="0"/>
              <w:autoSpaceDE/>
              <w:autoSpaceDN/>
              <w:bidi w:val="0"/>
              <w:adjustRightInd/>
              <w:snapToGrid/>
              <w:ind w:left="0" w:right="0"/>
              <w:jc w:val="center"/>
              <w:rPr>
                <w:rFonts w:hint="default" w:ascii="Times New Roman" w:hAnsi="Times New Roman" w:eastAsia="宋体"/>
                <w:color w:val="auto"/>
                <w:sz w:val="21"/>
                <w:szCs w:val="21"/>
                <w:highlight w:val="none"/>
                <w:lang w:val="en-US" w:eastAsia="zh-CN"/>
              </w:rPr>
            </w:pPr>
            <w:r>
              <w:rPr>
                <w:rFonts w:hint="eastAsia" w:ascii="Times New Roman" w:hAnsi="Times New Roman" w:cs="Times New Roman"/>
                <w:color w:val="auto"/>
                <w:kern w:val="44"/>
                <w:sz w:val="21"/>
                <w:szCs w:val="21"/>
                <w:highlight w:val="none"/>
              </w:rPr>
              <w:t>＜</w:t>
            </w:r>
            <w:r>
              <w:rPr>
                <w:rFonts w:hint="eastAsia" w:ascii="Times New Roman" w:hAnsi="Times New Roman" w:cs="Times New Roman"/>
                <w:color w:val="auto"/>
                <w:kern w:val="44"/>
                <w:sz w:val="21"/>
                <w:szCs w:val="21"/>
                <w:highlight w:val="none"/>
                <w:lang w:val="en-US" w:eastAsia="zh-CN"/>
              </w:rPr>
              <w:t>2.55406</w:t>
            </w:r>
          </w:p>
        </w:tc>
        <w:tc>
          <w:tcPr>
            <w:tcW w:w="1046" w:type="dxa"/>
            <w:vAlign w:val="center"/>
          </w:tcPr>
          <w:p w14:paraId="5ACEDEA0">
            <w:pPr>
              <w:keepNext w:val="0"/>
              <w:keepLines w:val="0"/>
              <w:pageBreakBefore w:val="0"/>
              <w:kinsoku/>
              <w:wordWrap/>
              <w:overflowPunct/>
              <w:topLinePunct w:val="0"/>
              <w:autoSpaceDE/>
              <w:autoSpaceDN/>
              <w:bidi w:val="0"/>
              <w:adjustRightInd/>
              <w:snapToGrid/>
              <w:ind w:left="0" w:right="0"/>
              <w:jc w:val="center"/>
              <w:rPr>
                <w:rFonts w:hint="default" w:ascii="Times New Roman" w:hAnsi="Times New Roman" w:eastAsia="宋体"/>
                <w:color w:val="auto"/>
                <w:sz w:val="21"/>
                <w:szCs w:val="21"/>
                <w:highlight w:val="none"/>
                <w:lang w:val="en-US" w:eastAsia="zh-CN"/>
              </w:rPr>
            </w:pPr>
            <w:r>
              <w:rPr>
                <w:rFonts w:hint="eastAsia" w:ascii="Times New Roman" w:hAnsi="Times New Roman"/>
                <w:color w:val="auto"/>
                <w:sz w:val="21"/>
                <w:szCs w:val="21"/>
                <w:highlight w:val="none"/>
                <w:lang w:val="en-US" w:eastAsia="zh-CN"/>
              </w:rPr>
              <w:t>3000</w:t>
            </w:r>
          </w:p>
        </w:tc>
        <w:tc>
          <w:tcPr>
            <w:tcW w:w="816" w:type="dxa"/>
            <w:vAlign w:val="center"/>
          </w:tcPr>
          <w:p w14:paraId="5FFE28EE">
            <w:pPr>
              <w:pStyle w:val="118"/>
              <w:keepNext w:val="0"/>
              <w:keepLines w:val="0"/>
              <w:pageBreakBefore w:val="0"/>
              <w:kinsoku/>
              <w:wordWrap/>
              <w:overflowPunct/>
              <w:topLinePunct w:val="0"/>
              <w:autoSpaceDE/>
              <w:autoSpaceDN/>
              <w:bidi w:val="0"/>
              <w:adjustRightInd/>
              <w:snapToGrid/>
              <w:ind w:left="0" w:right="0"/>
              <w:jc w:val="center"/>
              <w:rPr>
                <w:rFonts w:ascii="Times New Roman" w:hAnsi="Times New Roman" w:eastAsia="宋体"/>
                <w:color w:val="auto"/>
                <w:sz w:val="21"/>
                <w:szCs w:val="21"/>
                <w:highlight w:val="none"/>
              </w:rPr>
            </w:pPr>
            <w:r>
              <w:rPr>
                <w:rFonts w:ascii="Times New Roman" w:hAnsi="Times New Roman" w:eastAsia="宋体"/>
                <w:color w:val="auto"/>
                <w:sz w:val="21"/>
                <w:szCs w:val="21"/>
                <w:highlight w:val="none"/>
              </w:rPr>
              <w:t>否</w:t>
            </w:r>
          </w:p>
        </w:tc>
      </w:tr>
      <w:tr w14:paraId="2BBE17E7">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28" w:type="dxa"/>
            <w:bottom w:w="0" w:type="dxa"/>
            <w:right w:w="28" w:type="dxa"/>
          </w:tblCellMar>
        </w:tblPrEx>
        <w:trPr>
          <w:cantSplit/>
          <w:trHeight w:val="312" w:hRule="atLeast"/>
          <w:jc w:val="center"/>
        </w:trPr>
        <w:tc>
          <w:tcPr>
            <w:tcW w:w="941" w:type="dxa"/>
            <w:vAlign w:val="center"/>
          </w:tcPr>
          <w:p w14:paraId="66851ADB">
            <w:pPr>
              <w:pStyle w:val="118"/>
              <w:keepNext w:val="0"/>
              <w:keepLines w:val="0"/>
              <w:pageBreakBefore w:val="0"/>
              <w:kinsoku/>
              <w:wordWrap/>
              <w:overflowPunct/>
              <w:topLinePunct w:val="0"/>
              <w:autoSpaceDE/>
              <w:autoSpaceDN/>
              <w:bidi w:val="0"/>
              <w:adjustRightInd/>
              <w:snapToGrid/>
              <w:ind w:left="0" w:right="0"/>
              <w:jc w:val="center"/>
              <w:rPr>
                <w:rFonts w:ascii="Times New Roman" w:hAnsi="Times New Roman" w:eastAsia="宋体"/>
                <w:color w:val="auto"/>
                <w:sz w:val="21"/>
                <w:szCs w:val="21"/>
                <w:highlight w:val="none"/>
              </w:rPr>
            </w:pPr>
            <w:r>
              <w:rPr>
                <w:rFonts w:hint="eastAsia" w:ascii="Times New Roman" w:hAnsi="Times New Roman" w:eastAsia="宋体"/>
                <w:color w:val="auto"/>
                <w:sz w:val="21"/>
                <w:szCs w:val="21"/>
                <w:highlight w:val="none"/>
              </w:rPr>
              <w:t>浦巷上</w:t>
            </w:r>
          </w:p>
        </w:tc>
        <w:tc>
          <w:tcPr>
            <w:tcW w:w="547" w:type="dxa"/>
            <w:vAlign w:val="center"/>
          </w:tcPr>
          <w:p w14:paraId="18018339">
            <w:pPr>
              <w:pStyle w:val="118"/>
              <w:keepNext w:val="0"/>
              <w:keepLines w:val="0"/>
              <w:pageBreakBefore w:val="0"/>
              <w:kinsoku/>
              <w:wordWrap/>
              <w:overflowPunct/>
              <w:topLinePunct w:val="0"/>
              <w:autoSpaceDE/>
              <w:autoSpaceDN/>
              <w:bidi w:val="0"/>
              <w:adjustRightInd/>
              <w:snapToGrid/>
              <w:ind w:left="0" w:right="0"/>
              <w:jc w:val="center"/>
              <w:rPr>
                <w:rFonts w:ascii="Times New Roman" w:hAnsi="Times New Roman" w:eastAsia="宋体"/>
                <w:color w:val="auto"/>
                <w:sz w:val="21"/>
                <w:szCs w:val="21"/>
                <w:highlight w:val="none"/>
              </w:rPr>
            </w:pPr>
            <w:r>
              <w:rPr>
                <w:rFonts w:hint="eastAsia" w:ascii="Times New Roman" w:hAnsi="Times New Roman" w:eastAsia="宋体"/>
                <w:color w:val="auto"/>
                <w:sz w:val="21"/>
                <w:szCs w:val="21"/>
                <w:highlight w:val="none"/>
              </w:rPr>
              <w:t>100m</w:t>
            </w:r>
          </w:p>
        </w:tc>
        <w:tc>
          <w:tcPr>
            <w:tcW w:w="1042" w:type="dxa"/>
            <w:vAlign w:val="center"/>
          </w:tcPr>
          <w:p w14:paraId="5FA932E0">
            <w:pPr>
              <w:keepNext w:val="0"/>
              <w:keepLines w:val="0"/>
              <w:pageBreakBefore w:val="0"/>
              <w:kinsoku/>
              <w:wordWrap/>
              <w:overflowPunct/>
              <w:topLinePunct w:val="0"/>
              <w:autoSpaceDE/>
              <w:autoSpaceDN/>
              <w:bidi w:val="0"/>
              <w:adjustRightInd/>
              <w:snapToGrid/>
              <w:ind w:left="0" w:right="0"/>
              <w:jc w:val="center"/>
              <w:textAlignment w:val="bottom"/>
              <w:rPr>
                <w:rFonts w:ascii="Times New Roman" w:hAnsi="Times New Roman" w:cs="Times New Roman"/>
                <w:color w:val="auto"/>
                <w:kern w:val="44"/>
                <w:sz w:val="21"/>
                <w:szCs w:val="21"/>
                <w:highlight w:val="none"/>
              </w:rPr>
            </w:pPr>
            <w:r>
              <w:rPr>
                <w:rFonts w:hint="eastAsia" w:ascii="Times New Roman" w:hAnsi="Times New Roman" w:cs="Times New Roman"/>
                <w:color w:val="auto"/>
                <w:kern w:val="44"/>
                <w:sz w:val="21"/>
                <w:szCs w:val="21"/>
                <w:highlight w:val="none"/>
              </w:rPr>
              <w:t>＜</w:t>
            </w:r>
            <w:r>
              <w:rPr>
                <w:rFonts w:hint="eastAsia" w:ascii="Times New Roman" w:hAnsi="Times New Roman" w:cs="Times New Roman"/>
                <w:color w:val="auto"/>
                <w:kern w:val="44"/>
                <w:sz w:val="21"/>
                <w:szCs w:val="21"/>
                <w:highlight w:val="none"/>
                <w:lang w:val="en-US" w:eastAsia="zh-CN"/>
              </w:rPr>
              <w:t>20.83111</w:t>
            </w:r>
          </w:p>
        </w:tc>
        <w:tc>
          <w:tcPr>
            <w:tcW w:w="1042" w:type="dxa"/>
            <w:vAlign w:val="center"/>
          </w:tcPr>
          <w:p w14:paraId="37E8BFFC">
            <w:pPr>
              <w:keepNext w:val="0"/>
              <w:keepLines w:val="0"/>
              <w:pageBreakBefore w:val="0"/>
              <w:kinsoku/>
              <w:wordWrap/>
              <w:overflowPunct/>
              <w:topLinePunct w:val="0"/>
              <w:autoSpaceDE/>
              <w:autoSpaceDN/>
              <w:bidi w:val="0"/>
              <w:adjustRightInd/>
              <w:snapToGrid/>
              <w:ind w:left="0" w:right="0"/>
              <w:jc w:val="center"/>
              <w:rPr>
                <w:rFonts w:ascii="Times New Roman" w:hAnsi="Times New Roman"/>
                <w:color w:val="auto"/>
                <w:sz w:val="21"/>
                <w:szCs w:val="21"/>
                <w:highlight w:val="none"/>
              </w:rPr>
            </w:pPr>
            <w:r>
              <w:rPr>
                <w:rFonts w:ascii="Times New Roman" w:hAnsi="Times New Roman"/>
                <w:color w:val="auto"/>
                <w:sz w:val="21"/>
                <w:szCs w:val="21"/>
                <w:highlight w:val="none"/>
              </w:rPr>
              <w:t>2000</w:t>
            </w:r>
          </w:p>
        </w:tc>
        <w:tc>
          <w:tcPr>
            <w:tcW w:w="1042" w:type="dxa"/>
            <w:gridSpan w:val="2"/>
            <w:vAlign w:val="center"/>
          </w:tcPr>
          <w:p w14:paraId="469797CC">
            <w:pPr>
              <w:keepNext w:val="0"/>
              <w:keepLines w:val="0"/>
              <w:pageBreakBefore w:val="0"/>
              <w:kinsoku/>
              <w:wordWrap/>
              <w:overflowPunct/>
              <w:topLinePunct w:val="0"/>
              <w:autoSpaceDE/>
              <w:autoSpaceDN/>
              <w:bidi w:val="0"/>
              <w:adjustRightInd/>
              <w:snapToGrid/>
              <w:ind w:left="0" w:right="0"/>
              <w:jc w:val="center"/>
              <w:rPr>
                <w:rFonts w:ascii="Times New Roman" w:hAnsi="Times New Roman"/>
                <w:color w:val="auto"/>
                <w:sz w:val="21"/>
                <w:szCs w:val="21"/>
                <w:highlight w:val="none"/>
              </w:rPr>
            </w:pPr>
            <w:r>
              <w:rPr>
                <w:rFonts w:hint="eastAsia" w:ascii="Times New Roman" w:hAnsi="Times New Roman" w:cs="Times New Roman"/>
                <w:color w:val="auto"/>
                <w:kern w:val="44"/>
                <w:sz w:val="21"/>
                <w:szCs w:val="21"/>
                <w:highlight w:val="none"/>
              </w:rPr>
              <w:t>＜</w:t>
            </w:r>
            <w:r>
              <w:rPr>
                <w:rFonts w:hint="eastAsia" w:ascii="Times New Roman" w:hAnsi="Times New Roman" w:cs="Times New Roman"/>
                <w:color w:val="auto"/>
                <w:kern w:val="44"/>
                <w:sz w:val="21"/>
                <w:szCs w:val="21"/>
                <w:highlight w:val="none"/>
                <w:lang w:val="en-US" w:eastAsia="zh-CN"/>
              </w:rPr>
              <w:t>0.1667112</w:t>
            </w:r>
          </w:p>
        </w:tc>
        <w:tc>
          <w:tcPr>
            <w:tcW w:w="1042" w:type="dxa"/>
            <w:vAlign w:val="center"/>
          </w:tcPr>
          <w:p w14:paraId="320F2CA6">
            <w:pPr>
              <w:keepNext w:val="0"/>
              <w:keepLines w:val="0"/>
              <w:pageBreakBefore w:val="0"/>
              <w:kinsoku/>
              <w:wordWrap/>
              <w:overflowPunct/>
              <w:topLinePunct w:val="0"/>
              <w:autoSpaceDE/>
              <w:autoSpaceDN/>
              <w:bidi w:val="0"/>
              <w:adjustRightInd/>
              <w:snapToGrid/>
              <w:ind w:left="0" w:right="0"/>
              <w:jc w:val="center"/>
              <w:rPr>
                <w:rFonts w:ascii="Times New Roman" w:hAnsi="Times New Roman"/>
                <w:color w:val="auto"/>
                <w:sz w:val="21"/>
                <w:szCs w:val="21"/>
                <w:highlight w:val="none"/>
              </w:rPr>
            </w:pPr>
            <w:r>
              <w:rPr>
                <w:rFonts w:hint="eastAsia" w:ascii="Times New Roman" w:hAnsi="Times New Roman"/>
                <w:color w:val="auto"/>
                <w:sz w:val="21"/>
                <w:szCs w:val="21"/>
                <w:highlight w:val="none"/>
                <w:lang w:val="en-US" w:eastAsia="zh-CN"/>
              </w:rPr>
              <w:t>250</w:t>
            </w:r>
          </w:p>
        </w:tc>
        <w:tc>
          <w:tcPr>
            <w:tcW w:w="1042" w:type="dxa"/>
            <w:gridSpan w:val="2"/>
            <w:vAlign w:val="center"/>
          </w:tcPr>
          <w:p w14:paraId="6E4BD073">
            <w:pPr>
              <w:keepNext w:val="0"/>
              <w:keepLines w:val="0"/>
              <w:pageBreakBefore w:val="0"/>
              <w:kinsoku/>
              <w:wordWrap/>
              <w:overflowPunct/>
              <w:topLinePunct w:val="0"/>
              <w:autoSpaceDE/>
              <w:autoSpaceDN/>
              <w:bidi w:val="0"/>
              <w:adjustRightInd/>
              <w:snapToGrid/>
              <w:ind w:left="0" w:right="0"/>
              <w:jc w:val="center"/>
              <w:rPr>
                <w:rFonts w:ascii="Times New Roman" w:hAnsi="Times New Roman"/>
                <w:color w:val="auto"/>
                <w:sz w:val="21"/>
                <w:szCs w:val="21"/>
                <w:highlight w:val="none"/>
              </w:rPr>
            </w:pPr>
            <w:r>
              <w:rPr>
                <w:rFonts w:hint="eastAsia" w:ascii="Times New Roman" w:hAnsi="Times New Roman" w:cs="Times New Roman"/>
                <w:color w:val="auto"/>
                <w:kern w:val="44"/>
                <w:sz w:val="21"/>
                <w:szCs w:val="21"/>
                <w:highlight w:val="none"/>
              </w:rPr>
              <w:t>＜</w:t>
            </w:r>
            <w:r>
              <w:rPr>
                <w:rFonts w:hint="eastAsia" w:ascii="Times New Roman" w:hAnsi="Times New Roman" w:cs="Times New Roman"/>
                <w:color w:val="auto"/>
                <w:kern w:val="44"/>
                <w:sz w:val="21"/>
                <w:szCs w:val="21"/>
                <w:highlight w:val="none"/>
                <w:lang w:val="en-US" w:eastAsia="zh-CN"/>
              </w:rPr>
              <w:t>2.55406</w:t>
            </w:r>
          </w:p>
        </w:tc>
        <w:tc>
          <w:tcPr>
            <w:tcW w:w="1046" w:type="dxa"/>
            <w:vAlign w:val="center"/>
          </w:tcPr>
          <w:p w14:paraId="21ECE06D">
            <w:pPr>
              <w:keepNext w:val="0"/>
              <w:keepLines w:val="0"/>
              <w:pageBreakBefore w:val="0"/>
              <w:kinsoku/>
              <w:wordWrap/>
              <w:overflowPunct/>
              <w:topLinePunct w:val="0"/>
              <w:autoSpaceDE/>
              <w:autoSpaceDN/>
              <w:bidi w:val="0"/>
              <w:adjustRightInd/>
              <w:snapToGrid/>
              <w:ind w:left="0" w:right="0"/>
              <w:jc w:val="center"/>
              <w:rPr>
                <w:rFonts w:ascii="Times New Roman" w:hAnsi="Times New Roman"/>
                <w:color w:val="auto"/>
                <w:sz w:val="21"/>
                <w:szCs w:val="21"/>
                <w:highlight w:val="none"/>
              </w:rPr>
            </w:pPr>
            <w:r>
              <w:rPr>
                <w:rFonts w:hint="eastAsia" w:ascii="Times New Roman" w:hAnsi="Times New Roman"/>
                <w:color w:val="auto"/>
                <w:sz w:val="21"/>
                <w:szCs w:val="21"/>
                <w:highlight w:val="none"/>
                <w:lang w:val="en-US" w:eastAsia="zh-CN"/>
              </w:rPr>
              <w:t>3000</w:t>
            </w:r>
          </w:p>
        </w:tc>
        <w:tc>
          <w:tcPr>
            <w:tcW w:w="816" w:type="dxa"/>
            <w:vAlign w:val="center"/>
          </w:tcPr>
          <w:p w14:paraId="29AFE0B6">
            <w:pPr>
              <w:pStyle w:val="118"/>
              <w:keepNext w:val="0"/>
              <w:keepLines w:val="0"/>
              <w:pageBreakBefore w:val="0"/>
              <w:kinsoku/>
              <w:wordWrap/>
              <w:overflowPunct/>
              <w:topLinePunct w:val="0"/>
              <w:autoSpaceDE/>
              <w:autoSpaceDN/>
              <w:bidi w:val="0"/>
              <w:adjustRightInd/>
              <w:snapToGrid/>
              <w:ind w:left="0" w:right="0"/>
              <w:jc w:val="center"/>
              <w:rPr>
                <w:rFonts w:ascii="Times New Roman" w:hAnsi="Times New Roman" w:eastAsia="宋体"/>
                <w:color w:val="auto"/>
                <w:sz w:val="21"/>
                <w:szCs w:val="21"/>
                <w:highlight w:val="none"/>
              </w:rPr>
            </w:pPr>
            <w:r>
              <w:rPr>
                <w:rFonts w:ascii="Times New Roman" w:hAnsi="Times New Roman" w:eastAsia="宋体"/>
                <w:color w:val="auto"/>
                <w:sz w:val="21"/>
                <w:szCs w:val="21"/>
                <w:highlight w:val="none"/>
              </w:rPr>
              <w:t>否</w:t>
            </w:r>
          </w:p>
        </w:tc>
      </w:tr>
      <w:tr w14:paraId="37571949">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28" w:type="dxa"/>
            <w:bottom w:w="0" w:type="dxa"/>
            <w:right w:w="28" w:type="dxa"/>
          </w:tblCellMar>
        </w:tblPrEx>
        <w:trPr>
          <w:cantSplit/>
          <w:trHeight w:val="312" w:hRule="atLeast"/>
          <w:jc w:val="center"/>
        </w:trPr>
        <w:tc>
          <w:tcPr>
            <w:tcW w:w="941" w:type="dxa"/>
            <w:vAlign w:val="center"/>
          </w:tcPr>
          <w:p w14:paraId="4B30256A">
            <w:pPr>
              <w:pStyle w:val="118"/>
              <w:keepNext w:val="0"/>
              <w:keepLines w:val="0"/>
              <w:pageBreakBefore w:val="0"/>
              <w:kinsoku/>
              <w:wordWrap/>
              <w:overflowPunct/>
              <w:topLinePunct w:val="0"/>
              <w:autoSpaceDE/>
              <w:autoSpaceDN/>
              <w:bidi w:val="0"/>
              <w:adjustRightInd/>
              <w:snapToGrid/>
              <w:ind w:left="0" w:right="0"/>
              <w:jc w:val="center"/>
              <w:rPr>
                <w:rFonts w:ascii="Times New Roman" w:hAnsi="Times New Roman" w:eastAsia="宋体"/>
                <w:color w:val="auto"/>
                <w:sz w:val="21"/>
                <w:szCs w:val="21"/>
                <w:highlight w:val="none"/>
              </w:rPr>
            </w:pPr>
            <w:r>
              <w:rPr>
                <w:rFonts w:hint="eastAsia" w:ascii="Times New Roman" w:hAnsi="Times New Roman" w:eastAsia="宋体"/>
                <w:color w:val="auto"/>
                <w:sz w:val="21"/>
                <w:szCs w:val="21"/>
                <w:highlight w:val="none"/>
              </w:rPr>
              <w:t>朱巷村</w:t>
            </w:r>
          </w:p>
        </w:tc>
        <w:tc>
          <w:tcPr>
            <w:tcW w:w="547" w:type="dxa"/>
            <w:vAlign w:val="center"/>
          </w:tcPr>
          <w:p w14:paraId="264F5419">
            <w:pPr>
              <w:pStyle w:val="118"/>
              <w:keepNext w:val="0"/>
              <w:keepLines w:val="0"/>
              <w:pageBreakBefore w:val="0"/>
              <w:kinsoku/>
              <w:wordWrap/>
              <w:overflowPunct/>
              <w:topLinePunct w:val="0"/>
              <w:autoSpaceDE/>
              <w:autoSpaceDN/>
              <w:bidi w:val="0"/>
              <w:adjustRightInd/>
              <w:snapToGrid/>
              <w:ind w:left="0" w:right="0"/>
              <w:jc w:val="center"/>
              <w:rPr>
                <w:rFonts w:ascii="Times New Roman" w:hAnsi="Times New Roman" w:eastAsia="宋体"/>
                <w:color w:val="auto"/>
                <w:sz w:val="21"/>
                <w:szCs w:val="21"/>
                <w:highlight w:val="none"/>
              </w:rPr>
            </w:pPr>
            <w:r>
              <w:rPr>
                <w:rFonts w:hint="eastAsia" w:ascii="Times New Roman" w:hAnsi="Times New Roman" w:eastAsia="宋体"/>
                <w:color w:val="auto"/>
                <w:sz w:val="21"/>
                <w:szCs w:val="21"/>
                <w:highlight w:val="none"/>
              </w:rPr>
              <w:t>140m</w:t>
            </w:r>
          </w:p>
        </w:tc>
        <w:tc>
          <w:tcPr>
            <w:tcW w:w="1042" w:type="dxa"/>
            <w:vAlign w:val="center"/>
          </w:tcPr>
          <w:p w14:paraId="652AF0DB">
            <w:pPr>
              <w:keepNext w:val="0"/>
              <w:keepLines w:val="0"/>
              <w:pageBreakBefore w:val="0"/>
              <w:kinsoku/>
              <w:wordWrap/>
              <w:overflowPunct/>
              <w:topLinePunct w:val="0"/>
              <w:autoSpaceDE/>
              <w:autoSpaceDN/>
              <w:bidi w:val="0"/>
              <w:adjustRightInd/>
              <w:snapToGrid/>
              <w:ind w:left="0" w:right="0"/>
              <w:jc w:val="center"/>
              <w:textAlignment w:val="bottom"/>
              <w:rPr>
                <w:rFonts w:ascii="Times New Roman" w:hAnsi="Times New Roman" w:cs="Times New Roman"/>
                <w:color w:val="auto"/>
                <w:kern w:val="44"/>
                <w:sz w:val="21"/>
                <w:szCs w:val="21"/>
                <w:highlight w:val="none"/>
              </w:rPr>
            </w:pPr>
            <w:r>
              <w:rPr>
                <w:rFonts w:hint="eastAsia" w:ascii="Times New Roman" w:hAnsi="Times New Roman" w:cs="Times New Roman"/>
                <w:color w:val="auto"/>
                <w:kern w:val="44"/>
                <w:sz w:val="21"/>
                <w:szCs w:val="21"/>
                <w:highlight w:val="none"/>
              </w:rPr>
              <w:t>＜</w:t>
            </w:r>
            <w:r>
              <w:rPr>
                <w:rFonts w:hint="eastAsia" w:ascii="Times New Roman" w:hAnsi="Times New Roman" w:cs="Times New Roman"/>
                <w:color w:val="auto"/>
                <w:kern w:val="44"/>
                <w:sz w:val="21"/>
                <w:szCs w:val="21"/>
                <w:highlight w:val="none"/>
                <w:lang w:val="en-US" w:eastAsia="zh-CN"/>
              </w:rPr>
              <w:t>20.83111</w:t>
            </w:r>
          </w:p>
        </w:tc>
        <w:tc>
          <w:tcPr>
            <w:tcW w:w="1042" w:type="dxa"/>
            <w:vAlign w:val="center"/>
          </w:tcPr>
          <w:p w14:paraId="4D73A4C2">
            <w:pPr>
              <w:keepNext w:val="0"/>
              <w:keepLines w:val="0"/>
              <w:pageBreakBefore w:val="0"/>
              <w:kinsoku/>
              <w:wordWrap/>
              <w:overflowPunct/>
              <w:topLinePunct w:val="0"/>
              <w:autoSpaceDE/>
              <w:autoSpaceDN/>
              <w:bidi w:val="0"/>
              <w:adjustRightInd/>
              <w:snapToGrid/>
              <w:ind w:left="0" w:right="0"/>
              <w:jc w:val="center"/>
              <w:rPr>
                <w:rFonts w:ascii="Times New Roman" w:hAnsi="Times New Roman"/>
                <w:color w:val="auto"/>
                <w:sz w:val="21"/>
                <w:szCs w:val="21"/>
                <w:highlight w:val="none"/>
              </w:rPr>
            </w:pPr>
            <w:r>
              <w:rPr>
                <w:rFonts w:ascii="Times New Roman" w:hAnsi="Times New Roman"/>
                <w:color w:val="auto"/>
                <w:sz w:val="21"/>
                <w:szCs w:val="21"/>
                <w:highlight w:val="none"/>
              </w:rPr>
              <w:t>2000</w:t>
            </w:r>
          </w:p>
        </w:tc>
        <w:tc>
          <w:tcPr>
            <w:tcW w:w="1042" w:type="dxa"/>
            <w:gridSpan w:val="2"/>
            <w:vAlign w:val="center"/>
          </w:tcPr>
          <w:p w14:paraId="153EED25">
            <w:pPr>
              <w:keepNext w:val="0"/>
              <w:keepLines w:val="0"/>
              <w:pageBreakBefore w:val="0"/>
              <w:kinsoku/>
              <w:wordWrap/>
              <w:overflowPunct/>
              <w:topLinePunct w:val="0"/>
              <w:autoSpaceDE/>
              <w:autoSpaceDN/>
              <w:bidi w:val="0"/>
              <w:adjustRightInd/>
              <w:snapToGrid/>
              <w:ind w:left="0" w:right="0"/>
              <w:jc w:val="center"/>
              <w:rPr>
                <w:rFonts w:ascii="Times New Roman" w:hAnsi="Times New Roman"/>
                <w:color w:val="auto"/>
                <w:sz w:val="21"/>
                <w:szCs w:val="21"/>
                <w:highlight w:val="none"/>
              </w:rPr>
            </w:pPr>
            <w:r>
              <w:rPr>
                <w:rFonts w:hint="eastAsia" w:ascii="Times New Roman" w:hAnsi="Times New Roman" w:cs="Times New Roman"/>
                <w:color w:val="auto"/>
                <w:kern w:val="44"/>
                <w:sz w:val="21"/>
                <w:szCs w:val="21"/>
                <w:highlight w:val="none"/>
              </w:rPr>
              <w:t>＜</w:t>
            </w:r>
            <w:r>
              <w:rPr>
                <w:rFonts w:hint="eastAsia" w:ascii="Times New Roman" w:hAnsi="Times New Roman" w:cs="Times New Roman"/>
                <w:color w:val="auto"/>
                <w:kern w:val="44"/>
                <w:sz w:val="21"/>
                <w:szCs w:val="21"/>
                <w:highlight w:val="none"/>
                <w:lang w:val="en-US" w:eastAsia="zh-CN"/>
              </w:rPr>
              <w:t>0.1667112</w:t>
            </w:r>
          </w:p>
        </w:tc>
        <w:tc>
          <w:tcPr>
            <w:tcW w:w="1042" w:type="dxa"/>
            <w:vAlign w:val="center"/>
          </w:tcPr>
          <w:p w14:paraId="767C5DB0">
            <w:pPr>
              <w:keepNext w:val="0"/>
              <w:keepLines w:val="0"/>
              <w:pageBreakBefore w:val="0"/>
              <w:kinsoku/>
              <w:wordWrap/>
              <w:overflowPunct/>
              <w:topLinePunct w:val="0"/>
              <w:autoSpaceDE/>
              <w:autoSpaceDN/>
              <w:bidi w:val="0"/>
              <w:adjustRightInd/>
              <w:snapToGrid/>
              <w:ind w:left="0" w:right="0"/>
              <w:jc w:val="center"/>
              <w:rPr>
                <w:rFonts w:ascii="Times New Roman" w:hAnsi="Times New Roman"/>
                <w:color w:val="auto"/>
                <w:sz w:val="21"/>
                <w:szCs w:val="21"/>
                <w:highlight w:val="none"/>
              </w:rPr>
            </w:pPr>
            <w:r>
              <w:rPr>
                <w:rFonts w:hint="eastAsia" w:ascii="Times New Roman" w:hAnsi="Times New Roman"/>
                <w:color w:val="auto"/>
                <w:sz w:val="21"/>
                <w:szCs w:val="21"/>
                <w:highlight w:val="none"/>
                <w:lang w:val="en-US" w:eastAsia="zh-CN"/>
              </w:rPr>
              <w:t>250</w:t>
            </w:r>
          </w:p>
        </w:tc>
        <w:tc>
          <w:tcPr>
            <w:tcW w:w="1042" w:type="dxa"/>
            <w:gridSpan w:val="2"/>
            <w:vAlign w:val="center"/>
          </w:tcPr>
          <w:p w14:paraId="1F588C92">
            <w:pPr>
              <w:keepNext w:val="0"/>
              <w:keepLines w:val="0"/>
              <w:pageBreakBefore w:val="0"/>
              <w:kinsoku/>
              <w:wordWrap/>
              <w:overflowPunct/>
              <w:topLinePunct w:val="0"/>
              <w:autoSpaceDE/>
              <w:autoSpaceDN/>
              <w:bidi w:val="0"/>
              <w:adjustRightInd/>
              <w:snapToGrid/>
              <w:ind w:left="0" w:right="0"/>
              <w:jc w:val="center"/>
              <w:rPr>
                <w:rFonts w:ascii="Times New Roman" w:hAnsi="Times New Roman"/>
                <w:color w:val="auto"/>
                <w:sz w:val="21"/>
                <w:szCs w:val="21"/>
                <w:highlight w:val="none"/>
              </w:rPr>
            </w:pPr>
            <w:r>
              <w:rPr>
                <w:rFonts w:hint="eastAsia" w:ascii="Times New Roman" w:hAnsi="Times New Roman" w:cs="Times New Roman"/>
                <w:color w:val="auto"/>
                <w:kern w:val="44"/>
                <w:sz w:val="21"/>
                <w:szCs w:val="21"/>
                <w:highlight w:val="none"/>
              </w:rPr>
              <w:t>＜</w:t>
            </w:r>
            <w:r>
              <w:rPr>
                <w:rFonts w:hint="eastAsia" w:ascii="Times New Roman" w:hAnsi="Times New Roman" w:cs="Times New Roman"/>
                <w:color w:val="auto"/>
                <w:kern w:val="44"/>
                <w:sz w:val="21"/>
                <w:szCs w:val="21"/>
                <w:highlight w:val="none"/>
                <w:lang w:val="en-US" w:eastAsia="zh-CN"/>
              </w:rPr>
              <w:t>2.55406</w:t>
            </w:r>
          </w:p>
        </w:tc>
        <w:tc>
          <w:tcPr>
            <w:tcW w:w="1046" w:type="dxa"/>
            <w:vAlign w:val="center"/>
          </w:tcPr>
          <w:p w14:paraId="5CF7896E">
            <w:pPr>
              <w:keepNext w:val="0"/>
              <w:keepLines w:val="0"/>
              <w:pageBreakBefore w:val="0"/>
              <w:kinsoku/>
              <w:wordWrap/>
              <w:overflowPunct/>
              <w:topLinePunct w:val="0"/>
              <w:autoSpaceDE/>
              <w:autoSpaceDN/>
              <w:bidi w:val="0"/>
              <w:adjustRightInd/>
              <w:snapToGrid/>
              <w:ind w:left="0" w:right="0"/>
              <w:jc w:val="center"/>
              <w:rPr>
                <w:rFonts w:ascii="Times New Roman" w:hAnsi="Times New Roman"/>
                <w:color w:val="auto"/>
                <w:sz w:val="21"/>
                <w:szCs w:val="21"/>
                <w:highlight w:val="none"/>
              </w:rPr>
            </w:pPr>
            <w:r>
              <w:rPr>
                <w:rFonts w:hint="eastAsia" w:ascii="Times New Roman" w:hAnsi="Times New Roman"/>
                <w:color w:val="auto"/>
                <w:sz w:val="21"/>
                <w:szCs w:val="21"/>
                <w:highlight w:val="none"/>
                <w:lang w:val="en-US" w:eastAsia="zh-CN"/>
              </w:rPr>
              <w:t>3000</w:t>
            </w:r>
          </w:p>
        </w:tc>
        <w:tc>
          <w:tcPr>
            <w:tcW w:w="816" w:type="dxa"/>
            <w:vAlign w:val="center"/>
          </w:tcPr>
          <w:p w14:paraId="35590AF4">
            <w:pPr>
              <w:pStyle w:val="118"/>
              <w:keepNext w:val="0"/>
              <w:keepLines w:val="0"/>
              <w:pageBreakBefore w:val="0"/>
              <w:kinsoku/>
              <w:wordWrap/>
              <w:overflowPunct/>
              <w:topLinePunct w:val="0"/>
              <w:autoSpaceDE/>
              <w:autoSpaceDN/>
              <w:bidi w:val="0"/>
              <w:adjustRightInd/>
              <w:snapToGrid/>
              <w:ind w:left="0" w:right="0"/>
              <w:jc w:val="center"/>
              <w:rPr>
                <w:rFonts w:ascii="Times New Roman" w:hAnsi="Times New Roman" w:eastAsia="宋体"/>
                <w:color w:val="auto"/>
                <w:sz w:val="21"/>
                <w:szCs w:val="21"/>
                <w:highlight w:val="none"/>
              </w:rPr>
            </w:pPr>
            <w:r>
              <w:rPr>
                <w:rFonts w:ascii="Times New Roman" w:hAnsi="Times New Roman" w:eastAsia="宋体"/>
                <w:color w:val="auto"/>
                <w:sz w:val="21"/>
                <w:szCs w:val="21"/>
                <w:highlight w:val="none"/>
              </w:rPr>
              <w:t>否</w:t>
            </w:r>
          </w:p>
        </w:tc>
      </w:tr>
      <w:tr w14:paraId="5A18567E">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28" w:type="dxa"/>
            <w:bottom w:w="0" w:type="dxa"/>
            <w:right w:w="28" w:type="dxa"/>
          </w:tblCellMar>
        </w:tblPrEx>
        <w:trPr>
          <w:cantSplit/>
          <w:trHeight w:val="312" w:hRule="atLeast"/>
          <w:jc w:val="center"/>
        </w:trPr>
        <w:tc>
          <w:tcPr>
            <w:tcW w:w="941" w:type="dxa"/>
            <w:vAlign w:val="center"/>
          </w:tcPr>
          <w:p w14:paraId="0D27C0B8">
            <w:pPr>
              <w:pStyle w:val="118"/>
              <w:keepNext w:val="0"/>
              <w:keepLines w:val="0"/>
              <w:pageBreakBefore w:val="0"/>
              <w:kinsoku/>
              <w:wordWrap/>
              <w:overflowPunct/>
              <w:topLinePunct w:val="0"/>
              <w:autoSpaceDE/>
              <w:autoSpaceDN/>
              <w:bidi w:val="0"/>
              <w:adjustRightInd/>
              <w:snapToGrid/>
              <w:ind w:left="0" w:right="0"/>
              <w:jc w:val="center"/>
              <w:rPr>
                <w:rFonts w:ascii="Times New Roman" w:hAnsi="Times New Roman" w:eastAsia="宋体"/>
                <w:color w:val="auto"/>
                <w:sz w:val="21"/>
                <w:szCs w:val="21"/>
                <w:highlight w:val="none"/>
              </w:rPr>
            </w:pPr>
            <w:r>
              <w:rPr>
                <w:rFonts w:hint="eastAsia" w:ascii="Times New Roman" w:hAnsi="Times New Roman" w:eastAsia="宋体"/>
                <w:color w:val="auto"/>
                <w:sz w:val="21"/>
                <w:szCs w:val="21"/>
                <w:highlight w:val="none"/>
              </w:rPr>
              <w:t>鸿威鸿景华庭</w:t>
            </w:r>
          </w:p>
        </w:tc>
        <w:tc>
          <w:tcPr>
            <w:tcW w:w="547" w:type="dxa"/>
            <w:vAlign w:val="center"/>
          </w:tcPr>
          <w:p w14:paraId="7E72831E">
            <w:pPr>
              <w:pStyle w:val="118"/>
              <w:keepNext w:val="0"/>
              <w:keepLines w:val="0"/>
              <w:pageBreakBefore w:val="0"/>
              <w:kinsoku/>
              <w:wordWrap/>
              <w:overflowPunct/>
              <w:topLinePunct w:val="0"/>
              <w:autoSpaceDE/>
              <w:autoSpaceDN/>
              <w:bidi w:val="0"/>
              <w:adjustRightInd/>
              <w:snapToGrid/>
              <w:ind w:left="0" w:right="0"/>
              <w:jc w:val="center"/>
              <w:rPr>
                <w:rFonts w:ascii="Times New Roman" w:hAnsi="Times New Roman" w:eastAsia="宋体"/>
                <w:color w:val="auto"/>
                <w:sz w:val="21"/>
                <w:szCs w:val="21"/>
                <w:highlight w:val="none"/>
              </w:rPr>
            </w:pPr>
            <w:r>
              <w:rPr>
                <w:rFonts w:hint="eastAsia" w:ascii="Times New Roman" w:hAnsi="Times New Roman" w:eastAsia="宋体"/>
                <w:color w:val="auto"/>
                <w:sz w:val="21"/>
                <w:szCs w:val="21"/>
                <w:highlight w:val="none"/>
              </w:rPr>
              <w:t>250m</w:t>
            </w:r>
          </w:p>
        </w:tc>
        <w:tc>
          <w:tcPr>
            <w:tcW w:w="1042" w:type="dxa"/>
            <w:vAlign w:val="center"/>
          </w:tcPr>
          <w:p w14:paraId="2A451AF5">
            <w:pPr>
              <w:keepNext w:val="0"/>
              <w:keepLines w:val="0"/>
              <w:pageBreakBefore w:val="0"/>
              <w:kinsoku/>
              <w:wordWrap/>
              <w:overflowPunct/>
              <w:topLinePunct w:val="0"/>
              <w:autoSpaceDE/>
              <w:autoSpaceDN/>
              <w:bidi w:val="0"/>
              <w:adjustRightInd/>
              <w:snapToGrid/>
              <w:ind w:left="0" w:right="0"/>
              <w:jc w:val="center"/>
              <w:textAlignment w:val="bottom"/>
              <w:rPr>
                <w:rFonts w:ascii="Times New Roman" w:hAnsi="Times New Roman" w:cs="Times New Roman"/>
                <w:color w:val="auto"/>
                <w:kern w:val="44"/>
                <w:sz w:val="21"/>
                <w:szCs w:val="21"/>
                <w:highlight w:val="none"/>
              </w:rPr>
            </w:pPr>
            <w:r>
              <w:rPr>
                <w:rFonts w:hint="eastAsia" w:ascii="Times New Roman" w:hAnsi="Times New Roman" w:cs="Times New Roman"/>
                <w:color w:val="auto"/>
                <w:kern w:val="44"/>
                <w:sz w:val="21"/>
                <w:szCs w:val="21"/>
                <w:highlight w:val="none"/>
              </w:rPr>
              <w:t>＜</w:t>
            </w:r>
            <w:r>
              <w:rPr>
                <w:rFonts w:hint="eastAsia" w:ascii="Times New Roman" w:hAnsi="Times New Roman" w:cs="Times New Roman"/>
                <w:color w:val="auto"/>
                <w:kern w:val="44"/>
                <w:sz w:val="21"/>
                <w:szCs w:val="21"/>
                <w:highlight w:val="none"/>
                <w:lang w:val="en-US" w:eastAsia="zh-CN"/>
              </w:rPr>
              <w:t>20.83111</w:t>
            </w:r>
          </w:p>
        </w:tc>
        <w:tc>
          <w:tcPr>
            <w:tcW w:w="1042" w:type="dxa"/>
            <w:vAlign w:val="center"/>
          </w:tcPr>
          <w:p w14:paraId="442A2513">
            <w:pPr>
              <w:keepNext w:val="0"/>
              <w:keepLines w:val="0"/>
              <w:pageBreakBefore w:val="0"/>
              <w:kinsoku/>
              <w:wordWrap/>
              <w:overflowPunct/>
              <w:topLinePunct w:val="0"/>
              <w:autoSpaceDE/>
              <w:autoSpaceDN/>
              <w:bidi w:val="0"/>
              <w:adjustRightInd/>
              <w:snapToGrid/>
              <w:ind w:left="0" w:right="0"/>
              <w:jc w:val="center"/>
              <w:rPr>
                <w:rFonts w:ascii="Times New Roman" w:hAnsi="Times New Roman"/>
                <w:color w:val="auto"/>
                <w:sz w:val="21"/>
                <w:szCs w:val="21"/>
                <w:highlight w:val="none"/>
              </w:rPr>
            </w:pPr>
            <w:r>
              <w:rPr>
                <w:rFonts w:ascii="Times New Roman" w:hAnsi="Times New Roman"/>
                <w:color w:val="auto"/>
                <w:sz w:val="21"/>
                <w:szCs w:val="21"/>
                <w:highlight w:val="none"/>
              </w:rPr>
              <w:t>2000</w:t>
            </w:r>
          </w:p>
        </w:tc>
        <w:tc>
          <w:tcPr>
            <w:tcW w:w="1042" w:type="dxa"/>
            <w:gridSpan w:val="2"/>
            <w:vAlign w:val="center"/>
          </w:tcPr>
          <w:p w14:paraId="4833970B">
            <w:pPr>
              <w:keepNext w:val="0"/>
              <w:keepLines w:val="0"/>
              <w:pageBreakBefore w:val="0"/>
              <w:kinsoku/>
              <w:wordWrap/>
              <w:overflowPunct/>
              <w:topLinePunct w:val="0"/>
              <w:autoSpaceDE/>
              <w:autoSpaceDN/>
              <w:bidi w:val="0"/>
              <w:adjustRightInd/>
              <w:snapToGrid/>
              <w:ind w:left="0" w:right="0"/>
              <w:jc w:val="center"/>
              <w:rPr>
                <w:rFonts w:ascii="Times New Roman" w:hAnsi="Times New Roman"/>
                <w:color w:val="auto"/>
                <w:sz w:val="21"/>
                <w:szCs w:val="21"/>
                <w:highlight w:val="none"/>
              </w:rPr>
            </w:pPr>
            <w:r>
              <w:rPr>
                <w:rFonts w:hint="eastAsia" w:ascii="Times New Roman" w:hAnsi="Times New Roman" w:cs="Times New Roman"/>
                <w:color w:val="auto"/>
                <w:kern w:val="44"/>
                <w:sz w:val="21"/>
                <w:szCs w:val="21"/>
                <w:highlight w:val="none"/>
              </w:rPr>
              <w:t>＜</w:t>
            </w:r>
            <w:r>
              <w:rPr>
                <w:rFonts w:hint="eastAsia" w:ascii="Times New Roman" w:hAnsi="Times New Roman" w:cs="Times New Roman"/>
                <w:color w:val="auto"/>
                <w:kern w:val="44"/>
                <w:sz w:val="21"/>
                <w:szCs w:val="21"/>
                <w:highlight w:val="none"/>
                <w:lang w:val="en-US" w:eastAsia="zh-CN"/>
              </w:rPr>
              <w:t>0.1667112</w:t>
            </w:r>
          </w:p>
        </w:tc>
        <w:tc>
          <w:tcPr>
            <w:tcW w:w="1042" w:type="dxa"/>
            <w:vAlign w:val="center"/>
          </w:tcPr>
          <w:p w14:paraId="63809AB1">
            <w:pPr>
              <w:keepNext w:val="0"/>
              <w:keepLines w:val="0"/>
              <w:pageBreakBefore w:val="0"/>
              <w:kinsoku/>
              <w:wordWrap/>
              <w:overflowPunct/>
              <w:topLinePunct w:val="0"/>
              <w:autoSpaceDE/>
              <w:autoSpaceDN/>
              <w:bidi w:val="0"/>
              <w:adjustRightInd/>
              <w:snapToGrid/>
              <w:ind w:left="0" w:right="0"/>
              <w:jc w:val="center"/>
              <w:rPr>
                <w:rFonts w:ascii="Times New Roman" w:hAnsi="Times New Roman"/>
                <w:color w:val="auto"/>
                <w:sz w:val="21"/>
                <w:szCs w:val="21"/>
                <w:highlight w:val="none"/>
              </w:rPr>
            </w:pPr>
            <w:r>
              <w:rPr>
                <w:rFonts w:hint="eastAsia" w:ascii="Times New Roman" w:hAnsi="Times New Roman"/>
                <w:color w:val="auto"/>
                <w:sz w:val="21"/>
                <w:szCs w:val="21"/>
                <w:highlight w:val="none"/>
                <w:lang w:val="en-US" w:eastAsia="zh-CN"/>
              </w:rPr>
              <w:t>250</w:t>
            </w:r>
          </w:p>
        </w:tc>
        <w:tc>
          <w:tcPr>
            <w:tcW w:w="1042" w:type="dxa"/>
            <w:gridSpan w:val="2"/>
            <w:vAlign w:val="center"/>
          </w:tcPr>
          <w:p w14:paraId="13800FBE">
            <w:pPr>
              <w:keepNext w:val="0"/>
              <w:keepLines w:val="0"/>
              <w:pageBreakBefore w:val="0"/>
              <w:kinsoku/>
              <w:wordWrap/>
              <w:overflowPunct/>
              <w:topLinePunct w:val="0"/>
              <w:autoSpaceDE/>
              <w:autoSpaceDN/>
              <w:bidi w:val="0"/>
              <w:adjustRightInd/>
              <w:snapToGrid/>
              <w:ind w:left="0" w:right="0"/>
              <w:jc w:val="center"/>
              <w:rPr>
                <w:rFonts w:ascii="Times New Roman" w:hAnsi="Times New Roman"/>
                <w:color w:val="auto"/>
                <w:sz w:val="21"/>
                <w:szCs w:val="21"/>
                <w:highlight w:val="none"/>
              </w:rPr>
            </w:pPr>
            <w:r>
              <w:rPr>
                <w:rFonts w:hint="eastAsia" w:ascii="Times New Roman" w:hAnsi="Times New Roman" w:cs="Times New Roman"/>
                <w:color w:val="auto"/>
                <w:kern w:val="44"/>
                <w:sz w:val="21"/>
                <w:szCs w:val="21"/>
                <w:highlight w:val="none"/>
              </w:rPr>
              <w:t>＜</w:t>
            </w:r>
            <w:r>
              <w:rPr>
                <w:rFonts w:hint="eastAsia" w:ascii="Times New Roman" w:hAnsi="Times New Roman" w:cs="Times New Roman"/>
                <w:color w:val="auto"/>
                <w:kern w:val="44"/>
                <w:sz w:val="21"/>
                <w:szCs w:val="21"/>
                <w:highlight w:val="none"/>
                <w:lang w:val="en-US" w:eastAsia="zh-CN"/>
              </w:rPr>
              <w:t>2.55406</w:t>
            </w:r>
          </w:p>
        </w:tc>
        <w:tc>
          <w:tcPr>
            <w:tcW w:w="1046" w:type="dxa"/>
            <w:vAlign w:val="center"/>
          </w:tcPr>
          <w:p w14:paraId="5FFAD785">
            <w:pPr>
              <w:keepNext w:val="0"/>
              <w:keepLines w:val="0"/>
              <w:pageBreakBefore w:val="0"/>
              <w:kinsoku/>
              <w:wordWrap/>
              <w:overflowPunct/>
              <w:topLinePunct w:val="0"/>
              <w:autoSpaceDE/>
              <w:autoSpaceDN/>
              <w:bidi w:val="0"/>
              <w:adjustRightInd/>
              <w:snapToGrid/>
              <w:ind w:left="0" w:right="0"/>
              <w:jc w:val="center"/>
              <w:rPr>
                <w:rFonts w:ascii="Times New Roman" w:hAnsi="Times New Roman"/>
                <w:color w:val="auto"/>
                <w:sz w:val="21"/>
                <w:szCs w:val="21"/>
                <w:highlight w:val="none"/>
              </w:rPr>
            </w:pPr>
            <w:r>
              <w:rPr>
                <w:rFonts w:hint="eastAsia" w:ascii="Times New Roman" w:hAnsi="Times New Roman"/>
                <w:color w:val="auto"/>
                <w:sz w:val="21"/>
                <w:szCs w:val="21"/>
                <w:highlight w:val="none"/>
                <w:lang w:val="en-US" w:eastAsia="zh-CN"/>
              </w:rPr>
              <w:t>3000</w:t>
            </w:r>
          </w:p>
        </w:tc>
        <w:tc>
          <w:tcPr>
            <w:tcW w:w="816" w:type="dxa"/>
            <w:vAlign w:val="center"/>
          </w:tcPr>
          <w:p w14:paraId="3A76D87F">
            <w:pPr>
              <w:pStyle w:val="118"/>
              <w:keepNext w:val="0"/>
              <w:keepLines w:val="0"/>
              <w:pageBreakBefore w:val="0"/>
              <w:kinsoku/>
              <w:wordWrap/>
              <w:overflowPunct/>
              <w:topLinePunct w:val="0"/>
              <w:autoSpaceDE/>
              <w:autoSpaceDN/>
              <w:bidi w:val="0"/>
              <w:adjustRightInd/>
              <w:snapToGrid/>
              <w:ind w:left="0" w:right="0"/>
              <w:jc w:val="center"/>
              <w:rPr>
                <w:rFonts w:ascii="Times New Roman" w:hAnsi="Times New Roman" w:eastAsia="宋体"/>
                <w:color w:val="auto"/>
                <w:sz w:val="21"/>
                <w:szCs w:val="21"/>
                <w:highlight w:val="none"/>
              </w:rPr>
            </w:pPr>
            <w:r>
              <w:rPr>
                <w:rFonts w:ascii="Times New Roman" w:hAnsi="Times New Roman" w:eastAsia="宋体"/>
                <w:color w:val="auto"/>
                <w:sz w:val="21"/>
                <w:szCs w:val="21"/>
                <w:highlight w:val="none"/>
              </w:rPr>
              <w:t>否</w:t>
            </w:r>
          </w:p>
        </w:tc>
      </w:tr>
      <w:tr w14:paraId="0135A025">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28" w:type="dxa"/>
            <w:bottom w:w="0" w:type="dxa"/>
            <w:right w:w="28" w:type="dxa"/>
          </w:tblCellMar>
        </w:tblPrEx>
        <w:trPr>
          <w:cantSplit/>
          <w:trHeight w:val="312" w:hRule="atLeast"/>
          <w:jc w:val="center"/>
        </w:trPr>
        <w:tc>
          <w:tcPr>
            <w:tcW w:w="941" w:type="dxa"/>
            <w:vAlign w:val="center"/>
          </w:tcPr>
          <w:p w14:paraId="6426412F">
            <w:pPr>
              <w:pStyle w:val="118"/>
              <w:keepNext w:val="0"/>
              <w:keepLines w:val="0"/>
              <w:pageBreakBefore w:val="0"/>
              <w:kinsoku/>
              <w:wordWrap/>
              <w:overflowPunct/>
              <w:topLinePunct w:val="0"/>
              <w:autoSpaceDE/>
              <w:autoSpaceDN/>
              <w:bidi w:val="0"/>
              <w:adjustRightInd/>
              <w:snapToGrid/>
              <w:ind w:left="0" w:right="0"/>
              <w:jc w:val="center"/>
              <w:rPr>
                <w:rFonts w:ascii="Times New Roman" w:hAnsi="Times New Roman" w:eastAsia="宋体"/>
                <w:color w:val="auto"/>
                <w:sz w:val="21"/>
                <w:szCs w:val="21"/>
                <w:highlight w:val="none"/>
              </w:rPr>
            </w:pPr>
            <w:r>
              <w:rPr>
                <w:rFonts w:hint="eastAsia" w:ascii="Times New Roman" w:hAnsi="Times New Roman" w:eastAsia="宋体"/>
                <w:color w:val="auto"/>
                <w:sz w:val="21"/>
                <w:szCs w:val="21"/>
                <w:highlight w:val="none"/>
              </w:rPr>
              <w:t>斗山花苑</w:t>
            </w:r>
          </w:p>
        </w:tc>
        <w:tc>
          <w:tcPr>
            <w:tcW w:w="547" w:type="dxa"/>
            <w:vAlign w:val="center"/>
          </w:tcPr>
          <w:p w14:paraId="32FC0747">
            <w:pPr>
              <w:pStyle w:val="118"/>
              <w:keepNext w:val="0"/>
              <w:keepLines w:val="0"/>
              <w:pageBreakBefore w:val="0"/>
              <w:kinsoku/>
              <w:wordWrap/>
              <w:overflowPunct/>
              <w:topLinePunct w:val="0"/>
              <w:autoSpaceDE/>
              <w:autoSpaceDN/>
              <w:bidi w:val="0"/>
              <w:adjustRightInd/>
              <w:snapToGrid/>
              <w:ind w:left="0" w:right="0"/>
              <w:jc w:val="center"/>
              <w:rPr>
                <w:rFonts w:ascii="Times New Roman" w:hAnsi="Times New Roman" w:eastAsia="宋体"/>
                <w:color w:val="auto"/>
                <w:sz w:val="21"/>
                <w:szCs w:val="21"/>
                <w:highlight w:val="none"/>
              </w:rPr>
            </w:pPr>
            <w:r>
              <w:rPr>
                <w:rFonts w:hint="eastAsia" w:ascii="Times New Roman" w:hAnsi="Times New Roman" w:eastAsia="宋体"/>
                <w:color w:val="auto"/>
                <w:sz w:val="21"/>
                <w:szCs w:val="21"/>
                <w:highlight w:val="none"/>
              </w:rPr>
              <w:t>270m</w:t>
            </w:r>
          </w:p>
        </w:tc>
        <w:tc>
          <w:tcPr>
            <w:tcW w:w="1042" w:type="dxa"/>
            <w:vAlign w:val="center"/>
          </w:tcPr>
          <w:p w14:paraId="075C6FC3">
            <w:pPr>
              <w:keepNext w:val="0"/>
              <w:keepLines w:val="0"/>
              <w:pageBreakBefore w:val="0"/>
              <w:kinsoku/>
              <w:wordWrap/>
              <w:overflowPunct/>
              <w:topLinePunct w:val="0"/>
              <w:autoSpaceDE/>
              <w:autoSpaceDN/>
              <w:bidi w:val="0"/>
              <w:adjustRightInd/>
              <w:snapToGrid/>
              <w:ind w:left="0" w:right="0"/>
              <w:jc w:val="center"/>
              <w:textAlignment w:val="bottom"/>
              <w:rPr>
                <w:rFonts w:ascii="Times New Roman" w:hAnsi="Times New Roman" w:cs="Times New Roman"/>
                <w:color w:val="auto"/>
                <w:kern w:val="44"/>
                <w:sz w:val="21"/>
                <w:szCs w:val="21"/>
                <w:highlight w:val="none"/>
              </w:rPr>
            </w:pPr>
            <w:r>
              <w:rPr>
                <w:rFonts w:hint="eastAsia" w:ascii="Times New Roman" w:hAnsi="Times New Roman" w:cs="Times New Roman"/>
                <w:color w:val="auto"/>
                <w:kern w:val="44"/>
                <w:sz w:val="21"/>
                <w:szCs w:val="21"/>
                <w:highlight w:val="none"/>
              </w:rPr>
              <w:t>＜</w:t>
            </w:r>
            <w:r>
              <w:rPr>
                <w:rFonts w:hint="eastAsia" w:ascii="Times New Roman" w:hAnsi="Times New Roman" w:cs="Times New Roman"/>
                <w:color w:val="auto"/>
                <w:kern w:val="44"/>
                <w:sz w:val="21"/>
                <w:szCs w:val="21"/>
                <w:highlight w:val="none"/>
                <w:lang w:val="en-US" w:eastAsia="zh-CN"/>
              </w:rPr>
              <w:t>20.83111</w:t>
            </w:r>
          </w:p>
        </w:tc>
        <w:tc>
          <w:tcPr>
            <w:tcW w:w="1042" w:type="dxa"/>
            <w:vAlign w:val="center"/>
          </w:tcPr>
          <w:p w14:paraId="6FF332B7">
            <w:pPr>
              <w:keepNext w:val="0"/>
              <w:keepLines w:val="0"/>
              <w:pageBreakBefore w:val="0"/>
              <w:kinsoku/>
              <w:wordWrap/>
              <w:overflowPunct/>
              <w:topLinePunct w:val="0"/>
              <w:autoSpaceDE/>
              <w:autoSpaceDN/>
              <w:bidi w:val="0"/>
              <w:adjustRightInd/>
              <w:snapToGrid/>
              <w:ind w:left="0" w:right="0"/>
              <w:jc w:val="center"/>
              <w:rPr>
                <w:rFonts w:ascii="Times New Roman" w:hAnsi="Times New Roman"/>
                <w:color w:val="auto"/>
                <w:sz w:val="21"/>
                <w:szCs w:val="21"/>
                <w:highlight w:val="none"/>
              </w:rPr>
            </w:pPr>
            <w:r>
              <w:rPr>
                <w:rFonts w:ascii="Times New Roman" w:hAnsi="Times New Roman"/>
                <w:color w:val="auto"/>
                <w:sz w:val="21"/>
                <w:szCs w:val="21"/>
                <w:highlight w:val="none"/>
              </w:rPr>
              <w:t>2000</w:t>
            </w:r>
          </w:p>
        </w:tc>
        <w:tc>
          <w:tcPr>
            <w:tcW w:w="1042" w:type="dxa"/>
            <w:gridSpan w:val="2"/>
            <w:vAlign w:val="center"/>
          </w:tcPr>
          <w:p w14:paraId="308AEE85">
            <w:pPr>
              <w:keepNext w:val="0"/>
              <w:keepLines w:val="0"/>
              <w:pageBreakBefore w:val="0"/>
              <w:kinsoku/>
              <w:wordWrap/>
              <w:overflowPunct/>
              <w:topLinePunct w:val="0"/>
              <w:autoSpaceDE/>
              <w:autoSpaceDN/>
              <w:bidi w:val="0"/>
              <w:adjustRightInd/>
              <w:snapToGrid/>
              <w:ind w:left="0" w:right="0"/>
              <w:jc w:val="center"/>
              <w:rPr>
                <w:rFonts w:ascii="Times New Roman" w:hAnsi="Times New Roman"/>
                <w:color w:val="auto"/>
                <w:sz w:val="21"/>
                <w:szCs w:val="21"/>
                <w:highlight w:val="none"/>
              </w:rPr>
            </w:pPr>
            <w:r>
              <w:rPr>
                <w:rFonts w:hint="eastAsia" w:ascii="Times New Roman" w:hAnsi="Times New Roman" w:cs="Times New Roman"/>
                <w:color w:val="auto"/>
                <w:kern w:val="44"/>
                <w:sz w:val="21"/>
                <w:szCs w:val="21"/>
                <w:highlight w:val="none"/>
              </w:rPr>
              <w:t>＜</w:t>
            </w:r>
            <w:r>
              <w:rPr>
                <w:rFonts w:hint="eastAsia" w:ascii="Times New Roman" w:hAnsi="Times New Roman" w:cs="Times New Roman"/>
                <w:color w:val="auto"/>
                <w:kern w:val="44"/>
                <w:sz w:val="21"/>
                <w:szCs w:val="21"/>
                <w:highlight w:val="none"/>
                <w:lang w:val="en-US" w:eastAsia="zh-CN"/>
              </w:rPr>
              <w:t>0.1667112</w:t>
            </w:r>
          </w:p>
        </w:tc>
        <w:tc>
          <w:tcPr>
            <w:tcW w:w="1042" w:type="dxa"/>
            <w:vAlign w:val="center"/>
          </w:tcPr>
          <w:p w14:paraId="53B97D76">
            <w:pPr>
              <w:keepNext w:val="0"/>
              <w:keepLines w:val="0"/>
              <w:pageBreakBefore w:val="0"/>
              <w:kinsoku/>
              <w:wordWrap/>
              <w:overflowPunct/>
              <w:topLinePunct w:val="0"/>
              <w:autoSpaceDE/>
              <w:autoSpaceDN/>
              <w:bidi w:val="0"/>
              <w:adjustRightInd/>
              <w:snapToGrid/>
              <w:ind w:left="0" w:right="0"/>
              <w:jc w:val="center"/>
              <w:rPr>
                <w:rFonts w:ascii="Times New Roman" w:hAnsi="Times New Roman"/>
                <w:color w:val="auto"/>
                <w:sz w:val="21"/>
                <w:szCs w:val="21"/>
                <w:highlight w:val="none"/>
              </w:rPr>
            </w:pPr>
            <w:r>
              <w:rPr>
                <w:rFonts w:hint="eastAsia" w:ascii="Times New Roman" w:hAnsi="Times New Roman"/>
                <w:color w:val="auto"/>
                <w:sz w:val="21"/>
                <w:szCs w:val="21"/>
                <w:highlight w:val="none"/>
                <w:lang w:val="en-US" w:eastAsia="zh-CN"/>
              </w:rPr>
              <w:t>250</w:t>
            </w:r>
          </w:p>
        </w:tc>
        <w:tc>
          <w:tcPr>
            <w:tcW w:w="1042" w:type="dxa"/>
            <w:gridSpan w:val="2"/>
            <w:vAlign w:val="center"/>
          </w:tcPr>
          <w:p w14:paraId="7D8576BC">
            <w:pPr>
              <w:keepNext w:val="0"/>
              <w:keepLines w:val="0"/>
              <w:pageBreakBefore w:val="0"/>
              <w:kinsoku/>
              <w:wordWrap/>
              <w:overflowPunct/>
              <w:topLinePunct w:val="0"/>
              <w:autoSpaceDE/>
              <w:autoSpaceDN/>
              <w:bidi w:val="0"/>
              <w:adjustRightInd/>
              <w:snapToGrid/>
              <w:ind w:left="0" w:right="0"/>
              <w:jc w:val="center"/>
              <w:rPr>
                <w:rFonts w:ascii="Times New Roman" w:hAnsi="Times New Roman"/>
                <w:color w:val="auto"/>
                <w:sz w:val="21"/>
                <w:szCs w:val="21"/>
                <w:highlight w:val="none"/>
              </w:rPr>
            </w:pPr>
            <w:r>
              <w:rPr>
                <w:rFonts w:hint="eastAsia" w:ascii="Times New Roman" w:hAnsi="Times New Roman" w:cs="Times New Roman"/>
                <w:color w:val="auto"/>
                <w:kern w:val="44"/>
                <w:sz w:val="21"/>
                <w:szCs w:val="21"/>
                <w:highlight w:val="none"/>
              </w:rPr>
              <w:t>＜</w:t>
            </w:r>
            <w:r>
              <w:rPr>
                <w:rFonts w:hint="eastAsia" w:ascii="Times New Roman" w:hAnsi="Times New Roman" w:cs="Times New Roman"/>
                <w:color w:val="auto"/>
                <w:kern w:val="44"/>
                <w:sz w:val="21"/>
                <w:szCs w:val="21"/>
                <w:highlight w:val="none"/>
                <w:lang w:val="en-US" w:eastAsia="zh-CN"/>
              </w:rPr>
              <w:t>2.55406</w:t>
            </w:r>
          </w:p>
        </w:tc>
        <w:tc>
          <w:tcPr>
            <w:tcW w:w="1046" w:type="dxa"/>
            <w:vAlign w:val="center"/>
          </w:tcPr>
          <w:p w14:paraId="414F17D7">
            <w:pPr>
              <w:keepNext w:val="0"/>
              <w:keepLines w:val="0"/>
              <w:pageBreakBefore w:val="0"/>
              <w:kinsoku/>
              <w:wordWrap/>
              <w:overflowPunct/>
              <w:topLinePunct w:val="0"/>
              <w:autoSpaceDE/>
              <w:autoSpaceDN/>
              <w:bidi w:val="0"/>
              <w:adjustRightInd/>
              <w:snapToGrid/>
              <w:ind w:left="0" w:right="0"/>
              <w:jc w:val="center"/>
              <w:rPr>
                <w:rFonts w:ascii="Times New Roman" w:hAnsi="Times New Roman"/>
                <w:color w:val="auto"/>
                <w:sz w:val="21"/>
                <w:szCs w:val="21"/>
                <w:highlight w:val="none"/>
              </w:rPr>
            </w:pPr>
            <w:r>
              <w:rPr>
                <w:rFonts w:hint="eastAsia" w:ascii="Times New Roman" w:hAnsi="Times New Roman"/>
                <w:color w:val="auto"/>
                <w:sz w:val="21"/>
                <w:szCs w:val="21"/>
                <w:highlight w:val="none"/>
                <w:lang w:val="en-US" w:eastAsia="zh-CN"/>
              </w:rPr>
              <w:t>3000</w:t>
            </w:r>
          </w:p>
        </w:tc>
        <w:tc>
          <w:tcPr>
            <w:tcW w:w="816" w:type="dxa"/>
            <w:vAlign w:val="center"/>
          </w:tcPr>
          <w:p w14:paraId="0E09B205">
            <w:pPr>
              <w:pStyle w:val="118"/>
              <w:keepNext w:val="0"/>
              <w:keepLines w:val="0"/>
              <w:pageBreakBefore w:val="0"/>
              <w:kinsoku/>
              <w:wordWrap/>
              <w:overflowPunct/>
              <w:topLinePunct w:val="0"/>
              <w:autoSpaceDE/>
              <w:autoSpaceDN/>
              <w:bidi w:val="0"/>
              <w:adjustRightInd/>
              <w:snapToGrid/>
              <w:ind w:left="0" w:right="0"/>
              <w:jc w:val="center"/>
              <w:rPr>
                <w:rFonts w:ascii="Times New Roman" w:hAnsi="Times New Roman" w:eastAsia="宋体"/>
                <w:color w:val="auto"/>
                <w:sz w:val="21"/>
                <w:szCs w:val="21"/>
                <w:highlight w:val="none"/>
              </w:rPr>
            </w:pPr>
            <w:r>
              <w:rPr>
                <w:rFonts w:ascii="Times New Roman" w:hAnsi="Times New Roman" w:eastAsia="宋体"/>
                <w:color w:val="auto"/>
                <w:sz w:val="21"/>
                <w:szCs w:val="21"/>
                <w:highlight w:val="none"/>
              </w:rPr>
              <w:t>否</w:t>
            </w:r>
          </w:p>
        </w:tc>
      </w:tr>
      <w:tr w14:paraId="2DF95B47">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28" w:type="dxa"/>
            <w:bottom w:w="0" w:type="dxa"/>
            <w:right w:w="28" w:type="dxa"/>
          </w:tblCellMar>
        </w:tblPrEx>
        <w:trPr>
          <w:cantSplit/>
          <w:trHeight w:val="312" w:hRule="atLeast"/>
          <w:jc w:val="center"/>
        </w:trPr>
        <w:tc>
          <w:tcPr>
            <w:tcW w:w="941" w:type="dxa"/>
            <w:vAlign w:val="center"/>
          </w:tcPr>
          <w:p w14:paraId="23FE5611">
            <w:pPr>
              <w:pStyle w:val="118"/>
              <w:keepNext w:val="0"/>
              <w:keepLines w:val="0"/>
              <w:pageBreakBefore w:val="0"/>
              <w:kinsoku/>
              <w:wordWrap/>
              <w:overflowPunct/>
              <w:topLinePunct w:val="0"/>
              <w:autoSpaceDE/>
              <w:autoSpaceDN/>
              <w:bidi w:val="0"/>
              <w:adjustRightInd/>
              <w:snapToGrid/>
              <w:ind w:left="0" w:right="0"/>
              <w:jc w:val="center"/>
              <w:rPr>
                <w:rFonts w:ascii="Times New Roman" w:hAnsi="Times New Roman" w:eastAsia="宋体"/>
                <w:color w:val="auto"/>
                <w:sz w:val="21"/>
                <w:szCs w:val="21"/>
                <w:highlight w:val="none"/>
              </w:rPr>
            </w:pPr>
            <w:r>
              <w:rPr>
                <w:rFonts w:hint="eastAsia" w:ascii="Times New Roman" w:hAnsi="Times New Roman" w:eastAsia="宋体"/>
                <w:color w:val="auto"/>
                <w:sz w:val="21"/>
                <w:szCs w:val="21"/>
                <w:highlight w:val="none"/>
              </w:rPr>
              <w:t>渡马桥</w:t>
            </w:r>
          </w:p>
        </w:tc>
        <w:tc>
          <w:tcPr>
            <w:tcW w:w="547" w:type="dxa"/>
            <w:vAlign w:val="center"/>
          </w:tcPr>
          <w:p w14:paraId="3D14BE6F">
            <w:pPr>
              <w:pStyle w:val="118"/>
              <w:keepNext w:val="0"/>
              <w:keepLines w:val="0"/>
              <w:pageBreakBefore w:val="0"/>
              <w:kinsoku/>
              <w:wordWrap/>
              <w:overflowPunct/>
              <w:topLinePunct w:val="0"/>
              <w:autoSpaceDE/>
              <w:autoSpaceDN/>
              <w:bidi w:val="0"/>
              <w:adjustRightInd/>
              <w:snapToGrid/>
              <w:ind w:left="0" w:right="0"/>
              <w:jc w:val="center"/>
              <w:rPr>
                <w:rFonts w:ascii="Times New Roman" w:hAnsi="Times New Roman" w:eastAsia="宋体"/>
                <w:color w:val="auto"/>
                <w:sz w:val="21"/>
                <w:szCs w:val="21"/>
                <w:highlight w:val="none"/>
              </w:rPr>
            </w:pPr>
            <w:r>
              <w:rPr>
                <w:rFonts w:hint="eastAsia" w:ascii="Times New Roman" w:hAnsi="Times New Roman" w:eastAsia="宋体"/>
                <w:color w:val="auto"/>
                <w:sz w:val="21"/>
                <w:szCs w:val="21"/>
                <w:highlight w:val="none"/>
              </w:rPr>
              <w:t>300m</w:t>
            </w:r>
          </w:p>
        </w:tc>
        <w:tc>
          <w:tcPr>
            <w:tcW w:w="1042" w:type="dxa"/>
            <w:vAlign w:val="center"/>
          </w:tcPr>
          <w:p w14:paraId="6E6AA59F">
            <w:pPr>
              <w:keepNext w:val="0"/>
              <w:keepLines w:val="0"/>
              <w:pageBreakBefore w:val="0"/>
              <w:kinsoku/>
              <w:wordWrap/>
              <w:overflowPunct/>
              <w:topLinePunct w:val="0"/>
              <w:autoSpaceDE/>
              <w:autoSpaceDN/>
              <w:bidi w:val="0"/>
              <w:adjustRightInd/>
              <w:snapToGrid/>
              <w:ind w:left="0" w:right="0"/>
              <w:jc w:val="center"/>
              <w:textAlignment w:val="bottom"/>
              <w:rPr>
                <w:rFonts w:ascii="Times New Roman" w:hAnsi="Times New Roman" w:cs="Times New Roman"/>
                <w:color w:val="auto"/>
                <w:kern w:val="44"/>
                <w:sz w:val="21"/>
                <w:szCs w:val="21"/>
                <w:highlight w:val="none"/>
              </w:rPr>
            </w:pPr>
            <w:r>
              <w:rPr>
                <w:rFonts w:hint="eastAsia" w:ascii="Times New Roman" w:hAnsi="Times New Roman" w:cs="Times New Roman"/>
                <w:color w:val="auto"/>
                <w:kern w:val="44"/>
                <w:sz w:val="21"/>
                <w:szCs w:val="21"/>
                <w:highlight w:val="none"/>
              </w:rPr>
              <w:t>＜</w:t>
            </w:r>
            <w:r>
              <w:rPr>
                <w:rFonts w:hint="eastAsia" w:ascii="Times New Roman" w:hAnsi="Times New Roman" w:cs="Times New Roman"/>
                <w:color w:val="auto"/>
                <w:kern w:val="44"/>
                <w:sz w:val="21"/>
                <w:szCs w:val="21"/>
                <w:highlight w:val="none"/>
                <w:lang w:val="en-US" w:eastAsia="zh-CN"/>
              </w:rPr>
              <w:t>20.83111</w:t>
            </w:r>
          </w:p>
        </w:tc>
        <w:tc>
          <w:tcPr>
            <w:tcW w:w="1042" w:type="dxa"/>
            <w:vAlign w:val="center"/>
          </w:tcPr>
          <w:p w14:paraId="53BCE15B">
            <w:pPr>
              <w:keepNext w:val="0"/>
              <w:keepLines w:val="0"/>
              <w:pageBreakBefore w:val="0"/>
              <w:kinsoku/>
              <w:wordWrap/>
              <w:overflowPunct/>
              <w:topLinePunct w:val="0"/>
              <w:autoSpaceDE/>
              <w:autoSpaceDN/>
              <w:bidi w:val="0"/>
              <w:adjustRightInd/>
              <w:snapToGrid/>
              <w:ind w:left="0" w:right="0"/>
              <w:jc w:val="center"/>
              <w:rPr>
                <w:rFonts w:ascii="Times New Roman" w:hAnsi="Times New Roman"/>
                <w:color w:val="auto"/>
                <w:sz w:val="21"/>
                <w:szCs w:val="21"/>
                <w:highlight w:val="none"/>
              </w:rPr>
            </w:pPr>
            <w:r>
              <w:rPr>
                <w:rFonts w:ascii="Times New Roman" w:hAnsi="Times New Roman"/>
                <w:color w:val="auto"/>
                <w:sz w:val="21"/>
                <w:szCs w:val="21"/>
                <w:highlight w:val="none"/>
              </w:rPr>
              <w:t>2000</w:t>
            </w:r>
          </w:p>
        </w:tc>
        <w:tc>
          <w:tcPr>
            <w:tcW w:w="1042" w:type="dxa"/>
            <w:gridSpan w:val="2"/>
            <w:vAlign w:val="center"/>
          </w:tcPr>
          <w:p w14:paraId="316D4B1D">
            <w:pPr>
              <w:keepNext w:val="0"/>
              <w:keepLines w:val="0"/>
              <w:pageBreakBefore w:val="0"/>
              <w:kinsoku/>
              <w:wordWrap/>
              <w:overflowPunct/>
              <w:topLinePunct w:val="0"/>
              <w:autoSpaceDE/>
              <w:autoSpaceDN/>
              <w:bidi w:val="0"/>
              <w:adjustRightInd/>
              <w:snapToGrid/>
              <w:ind w:left="0" w:right="0"/>
              <w:jc w:val="center"/>
              <w:rPr>
                <w:rFonts w:ascii="Times New Roman" w:hAnsi="Times New Roman"/>
                <w:color w:val="auto"/>
                <w:sz w:val="21"/>
                <w:szCs w:val="21"/>
                <w:highlight w:val="none"/>
              </w:rPr>
            </w:pPr>
            <w:r>
              <w:rPr>
                <w:rFonts w:hint="eastAsia" w:ascii="Times New Roman" w:hAnsi="Times New Roman" w:cs="Times New Roman"/>
                <w:color w:val="auto"/>
                <w:kern w:val="44"/>
                <w:sz w:val="21"/>
                <w:szCs w:val="21"/>
                <w:highlight w:val="none"/>
              </w:rPr>
              <w:t>＜</w:t>
            </w:r>
            <w:r>
              <w:rPr>
                <w:rFonts w:hint="eastAsia" w:ascii="Times New Roman" w:hAnsi="Times New Roman" w:cs="Times New Roman"/>
                <w:color w:val="auto"/>
                <w:kern w:val="44"/>
                <w:sz w:val="21"/>
                <w:szCs w:val="21"/>
                <w:highlight w:val="none"/>
                <w:lang w:val="en-US" w:eastAsia="zh-CN"/>
              </w:rPr>
              <w:t>0.1667112</w:t>
            </w:r>
          </w:p>
        </w:tc>
        <w:tc>
          <w:tcPr>
            <w:tcW w:w="1042" w:type="dxa"/>
            <w:vAlign w:val="center"/>
          </w:tcPr>
          <w:p w14:paraId="5E9AC74A">
            <w:pPr>
              <w:keepNext w:val="0"/>
              <w:keepLines w:val="0"/>
              <w:pageBreakBefore w:val="0"/>
              <w:kinsoku/>
              <w:wordWrap/>
              <w:overflowPunct/>
              <w:topLinePunct w:val="0"/>
              <w:autoSpaceDE/>
              <w:autoSpaceDN/>
              <w:bidi w:val="0"/>
              <w:adjustRightInd/>
              <w:snapToGrid/>
              <w:ind w:left="0" w:right="0"/>
              <w:jc w:val="center"/>
              <w:rPr>
                <w:rFonts w:ascii="Times New Roman" w:hAnsi="Times New Roman"/>
                <w:color w:val="auto"/>
                <w:sz w:val="21"/>
                <w:szCs w:val="21"/>
                <w:highlight w:val="none"/>
              </w:rPr>
            </w:pPr>
            <w:r>
              <w:rPr>
                <w:rFonts w:hint="eastAsia" w:ascii="Times New Roman" w:hAnsi="Times New Roman"/>
                <w:color w:val="auto"/>
                <w:sz w:val="21"/>
                <w:szCs w:val="21"/>
                <w:highlight w:val="none"/>
                <w:lang w:val="en-US" w:eastAsia="zh-CN"/>
              </w:rPr>
              <w:t>250</w:t>
            </w:r>
          </w:p>
        </w:tc>
        <w:tc>
          <w:tcPr>
            <w:tcW w:w="1042" w:type="dxa"/>
            <w:gridSpan w:val="2"/>
            <w:vAlign w:val="center"/>
          </w:tcPr>
          <w:p w14:paraId="58F68A96">
            <w:pPr>
              <w:keepNext w:val="0"/>
              <w:keepLines w:val="0"/>
              <w:pageBreakBefore w:val="0"/>
              <w:kinsoku/>
              <w:wordWrap/>
              <w:overflowPunct/>
              <w:topLinePunct w:val="0"/>
              <w:autoSpaceDE/>
              <w:autoSpaceDN/>
              <w:bidi w:val="0"/>
              <w:adjustRightInd/>
              <w:snapToGrid/>
              <w:ind w:left="0" w:right="0"/>
              <w:jc w:val="center"/>
              <w:rPr>
                <w:rFonts w:ascii="Times New Roman" w:hAnsi="Times New Roman"/>
                <w:color w:val="auto"/>
                <w:sz w:val="21"/>
                <w:szCs w:val="21"/>
                <w:highlight w:val="none"/>
              </w:rPr>
            </w:pPr>
            <w:r>
              <w:rPr>
                <w:rFonts w:hint="eastAsia" w:ascii="Times New Roman" w:hAnsi="Times New Roman" w:cs="Times New Roman"/>
                <w:color w:val="auto"/>
                <w:kern w:val="44"/>
                <w:sz w:val="21"/>
                <w:szCs w:val="21"/>
                <w:highlight w:val="none"/>
              </w:rPr>
              <w:t>＜</w:t>
            </w:r>
            <w:r>
              <w:rPr>
                <w:rFonts w:hint="eastAsia" w:ascii="Times New Roman" w:hAnsi="Times New Roman" w:cs="Times New Roman"/>
                <w:color w:val="auto"/>
                <w:kern w:val="44"/>
                <w:sz w:val="21"/>
                <w:szCs w:val="21"/>
                <w:highlight w:val="none"/>
                <w:lang w:val="en-US" w:eastAsia="zh-CN"/>
              </w:rPr>
              <w:t>2.55406</w:t>
            </w:r>
          </w:p>
        </w:tc>
        <w:tc>
          <w:tcPr>
            <w:tcW w:w="1046" w:type="dxa"/>
            <w:vAlign w:val="center"/>
          </w:tcPr>
          <w:p w14:paraId="003F1B6A">
            <w:pPr>
              <w:keepNext w:val="0"/>
              <w:keepLines w:val="0"/>
              <w:pageBreakBefore w:val="0"/>
              <w:kinsoku/>
              <w:wordWrap/>
              <w:overflowPunct/>
              <w:topLinePunct w:val="0"/>
              <w:autoSpaceDE/>
              <w:autoSpaceDN/>
              <w:bidi w:val="0"/>
              <w:adjustRightInd/>
              <w:snapToGrid/>
              <w:ind w:left="0" w:right="0"/>
              <w:jc w:val="center"/>
              <w:rPr>
                <w:rFonts w:ascii="Times New Roman" w:hAnsi="Times New Roman"/>
                <w:color w:val="auto"/>
                <w:sz w:val="21"/>
                <w:szCs w:val="21"/>
                <w:highlight w:val="none"/>
              </w:rPr>
            </w:pPr>
            <w:r>
              <w:rPr>
                <w:rFonts w:hint="eastAsia" w:ascii="Times New Roman" w:hAnsi="Times New Roman"/>
                <w:color w:val="auto"/>
                <w:sz w:val="21"/>
                <w:szCs w:val="21"/>
                <w:highlight w:val="none"/>
                <w:lang w:val="en-US" w:eastAsia="zh-CN"/>
              </w:rPr>
              <w:t>3000</w:t>
            </w:r>
          </w:p>
        </w:tc>
        <w:tc>
          <w:tcPr>
            <w:tcW w:w="816" w:type="dxa"/>
            <w:vAlign w:val="center"/>
          </w:tcPr>
          <w:p w14:paraId="298108ED">
            <w:pPr>
              <w:pStyle w:val="118"/>
              <w:keepNext w:val="0"/>
              <w:keepLines w:val="0"/>
              <w:pageBreakBefore w:val="0"/>
              <w:kinsoku/>
              <w:wordWrap/>
              <w:overflowPunct/>
              <w:topLinePunct w:val="0"/>
              <w:autoSpaceDE/>
              <w:autoSpaceDN/>
              <w:bidi w:val="0"/>
              <w:adjustRightInd/>
              <w:snapToGrid/>
              <w:ind w:left="0" w:right="0"/>
              <w:jc w:val="center"/>
              <w:rPr>
                <w:rFonts w:ascii="Times New Roman" w:hAnsi="Times New Roman" w:eastAsia="宋体"/>
                <w:color w:val="auto"/>
                <w:sz w:val="21"/>
                <w:szCs w:val="21"/>
                <w:highlight w:val="none"/>
              </w:rPr>
            </w:pPr>
            <w:r>
              <w:rPr>
                <w:rFonts w:ascii="Times New Roman" w:hAnsi="Times New Roman" w:eastAsia="宋体"/>
                <w:color w:val="auto"/>
                <w:sz w:val="21"/>
                <w:szCs w:val="21"/>
                <w:highlight w:val="none"/>
              </w:rPr>
              <w:t>否</w:t>
            </w:r>
          </w:p>
        </w:tc>
      </w:tr>
      <w:tr w14:paraId="4EDAA3D4">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28" w:type="dxa"/>
            <w:bottom w:w="0" w:type="dxa"/>
            <w:right w:w="28" w:type="dxa"/>
          </w:tblCellMar>
        </w:tblPrEx>
        <w:trPr>
          <w:cantSplit/>
          <w:trHeight w:val="312" w:hRule="atLeast"/>
          <w:jc w:val="center"/>
        </w:trPr>
        <w:tc>
          <w:tcPr>
            <w:tcW w:w="941" w:type="dxa"/>
            <w:vAlign w:val="center"/>
          </w:tcPr>
          <w:p w14:paraId="43DFAC46">
            <w:pPr>
              <w:keepNext w:val="0"/>
              <w:keepLines w:val="0"/>
              <w:pageBreakBefore w:val="0"/>
              <w:kinsoku/>
              <w:wordWrap/>
              <w:overflowPunct/>
              <w:topLinePunct w:val="0"/>
              <w:autoSpaceDE/>
              <w:autoSpaceDN/>
              <w:bidi w:val="0"/>
              <w:adjustRightInd/>
              <w:snapToGrid/>
              <w:ind w:left="0" w:right="0"/>
              <w:jc w:val="center"/>
              <w:rPr>
                <w:rFonts w:ascii="Times New Roman" w:hAnsi="Times New Roman"/>
                <w:color w:val="auto"/>
                <w:sz w:val="21"/>
                <w:szCs w:val="21"/>
                <w:highlight w:val="none"/>
              </w:rPr>
            </w:pPr>
            <w:r>
              <w:rPr>
                <w:rFonts w:hint="eastAsia" w:ascii="Times New Roman" w:hAnsi="Times New Roman"/>
                <w:color w:val="auto"/>
                <w:sz w:val="21"/>
                <w:szCs w:val="21"/>
                <w:highlight w:val="none"/>
                <w:lang w:bidi="zh-CN"/>
              </w:rPr>
              <w:t>金马幼儿园</w:t>
            </w:r>
          </w:p>
        </w:tc>
        <w:tc>
          <w:tcPr>
            <w:tcW w:w="547" w:type="dxa"/>
            <w:vAlign w:val="center"/>
          </w:tcPr>
          <w:p w14:paraId="5D634D94">
            <w:pPr>
              <w:pStyle w:val="118"/>
              <w:keepNext w:val="0"/>
              <w:keepLines w:val="0"/>
              <w:pageBreakBefore w:val="0"/>
              <w:kinsoku/>
              <w:wordWrap/>
              <w:overflowPunct/>
              <w:topLinePunct w:val="0"/>
              <w:autoSpaceDE/>
              <w:autoSpaceDN/>
              <w:bidi w:val="0"/>
              <w:adjustRightInd/>
              <w:snapToGrid/>
              <w:ind w:left="0" w:right="0"/>
              <w:jc w:val="center"/>
              <w:rPr>
                <w:rFonts w:ascii="Times New Roman" w:hAnsi="Times New Roman" w:eastAsia="宋体"/>
                <w:color w:val="auto"/>
                <w:sz w:val="21"/>
                <w:szCs w:val="21"/>
                <w:highlight w:val="none"/>
              </w:rPr>
            </w:pPr>
            <w:r>
              <w:rPr>
                <w:rFonts w:hint="eastAsia" w:ascii="Times New Roman" w:hAnsi="Times New Roman" w:eastAsia="宋体"/>
                <w:color w:val="auto"/>
                <w:sz w:val="21"/>
                <w:szCs w:val="21"/>
                <w:highlight w:val="none"/>
              </w:rPr>
              <w:t>400m</w:t>
            </w:r>
          </w:p>
        </w:tc>
        <w:tc>
          <w:tcPr>
            <w:tcW w:w="1042" w:type="dxa"/>
            <w:vAlign w:val="center"/>
          </w:tcPr>
          <w:p w14:paraId="3D48AB38">
            <w:pPr>
              <w:keepNext w:val="0"/>
              <w:keepLines w:val="0"/>
              <w:pageBreakBefore w:val="0"/>
              <w:kinsoku/>
              <w:wordWrap/>
              <w:overflowPunct/>
              <w:topLinePunct w:val="0"/>
              <w:autoSpaceDE/>
              <w:autoSpaceDN/>
              <w:bidi w:val="0"/>
              <w:adjustRightInd/>
              <w:snapToGrid/>
              <w:ind w:left="0" w:right="0"/>
              <w:jc w:val="center"/>
              <w:textAlignment w:val="bottom"/>
              <w:rPr>
                <w:rFonts w:ascii="Times New Roman" w:hAnsi="Times New Roman" w:cs="Times New Roman"/>
                <w:color w:val="auto"/>
                <w:kern w:val="44"/>
                <w:sz w:val="21"/>
                <w:szCs w:val="21"/>
                <w:highlight w:val="none"/>
              </w:rPr>
            </w:pPr>
            <w:r>
              <w:rPr>
                <w:rFonts w:hint="eastAsia" w:ascii="Times New Roman" w:hAnsi="Times New Roman" w:cs="Times New Roman"/>
                <w:color w:val="auto"/>
                <w:kern w:val="44"/>
                <w:sz w:val="21"/>
                <w:szCs w:val="21"/>
                <w:highlight w:val="none"/>
              </w:rPr>
              <w:t>＜</w:t>
            </w:r>
            <w:r>
              <w:rPr>
                <w:rFonts w:hint="eastAsia" w:ascii="Times New Roman" w:hAnsi="Times New Roman" w:cs="Times New Roman"/>
                <w:color w:val="auto"/>
                <w:kern w:val="44"/>
                <w:sz w:val="21"/>
                <w:szCs w:val="21"/>
                <w:highlight w:val="none"/>
                <w:lang w:val="en-US" w:eastAsia="zh-CN"/>
              </w:rPr>
              <w:t>20.83111</w:t>
            </w:r>
          </w:p>
        </w:tc>
        <w:tc>
          <w:tcPr>
            <w:tcW w:w="1042" w:type="dxa"/>
            <w:vAlign w:val="center"/>
          </w:tcPr>
          <w:p w14:paraId="66E43F40">
            <w:pPr>
              <w:keepNext w:val="0"/>
              <w:keepLines w:val="0"/>
              <w:pageBreakBefore w:val="0"/>
              <w:kinsoku/>
              <w:wordWrap/>
              <w:overflowPunct/>
              <w:topLinePunct w:val="0"/>
              <w:autoSpaceDE/>
              <w:autoSpaceDN/>
              <w:bidi w:val="0"/>
              <w:adjustRightInd/>
              <w:snapToGrid/>
              <w:ind w:left="0" w:right="0"/>
              <w:jc w:val="center"/>
              <w:rPr>
                <w:rFonts w:ascii="Times New Roman" w:hAnsi="Times New Roman"/>
                <w:color w:val="auto"/>
                <w:sz w:val="21"/>
                <w:szCs w:val="21"/>
                <w:highlight w:val="none"/>
              </w:rPr>
            </w:pPr>
            <w:r>
              <w:rPr>
                <w:rFonts w:ascii="Times New Roman" w:hAnsi="Times New Roman"/>
                <w:color w:val="auto"/>
                <w:sz w:val="21"/>
                <w:szCs w:val="21"/>
                <w:highlight w:val="none"/>
              </w:rPr>
              <w:t>2000</w:t>
            </w:r>
          </w:p>
        </w:tc>
        <w:tc>
          <w:tcPr>
            <w:tcW w:w="1042" w:type="dxa"/>
            <w:gridSpan w:val="2"/>
            <w:vAlign w:val="center"/>
          </w:tcPr>
          <w:p w14:paraId="48E92438">
            <w:pPr>
              <w:keepNext w:val="0"/>
              <w:keepLines w:val="0"/>
              <w:pageBreakBefore w:val="0"/>
              <w:kinsoku/>
              <w:wordWrap/>
              <w:overflowPunct/>
              <w:topLinePunct w:val="0"/>
              <w:autoSpaceDE/>
              <w:autoSpaceDN/>
              <w:bidi w:val="0"/>
              <w:adjustRightInd/>
              <w:snapToGrid/>
              <w:ind w:left="0" w:right="0"/>
              <w:jc w:val="center"/>
              <w:rPr>
                <w:rFonts w:ascii="Times New Roman" w:hAnsi="Times New Roman"/>
                <w:color w:val="auto"/>
                <w:sz w:val="21"/>
                <w:szCs w:val="21"/>
                <w:highlight w:val="none"/>
              </w:rPr>
            </w:pPr>
            <w:r>
              <w:rPr>
                <w:rFonts w:hint="eastAsia" w:ascii="Times New Roman" w:hAnsi="Times New Roman" w:cs="Times New Roman"/>
                <w:color w:val="auto"/>
                <w:kern w:val="44"/>
                <w:sz w:val="21"/>
                <w:szCs w:val="21"/>
                <w:highlight w:val="none"/>
              </w:rPr>
              <w:t>＜</w:t>
            </w:r>
            <w:r>
              <w:rPr>
                <w:rFonts w:hint="eastAsia" w:ascii="Times New Roman" w:hAnsi="Times New Roman" w:cs="Times New Roman"/>
                <w:color w:val="auto"/>
                <w:kern w:val="44"/>
                <w:sz w:val="21"/>
                <w:szCs w:val="21"/>
                <w:highlight w:val="none"/>
                <w:lang w:val="en-US" w:eastAsia="zh-CN"/>
              </w:rPr>
              <w:t>0.1667112</w:t>
            </w:r>
          </w:p>
        </w:tc>
        <w:tc>
          <w:tcPr>
            <w:tcW w:w="1042" w:type="dxa"/>
            <w:vAlign w:val="center"/>
          </w:tcPr>
          <w:p w14:paraId="35B10BA8">
            <w:pPr>
              <w:keepNext w:val="0"/>
              <w:keepLines w:val="0"/>
              <w:pageBreakBefore w:val="0"/>
              <w:kinsoku/>
              <w:wordWrap/>
              <w:overflowPunct/>
              <w:topLinePunct w:val="0"/>
              <w:autoSpaceDE/>
              <w:autoSpaceDN/>
              <w:bidi w:val="0"/>
              <w:adjustRightInd/>
              <w:snapToGrid/>
              <w:ind w:left="0" w:right="0"/>
              <w:jc w:val="center"/>
              <w:rPr>
                <w:rFonts w:ascii="Times New Roman" w:hAnsi="Times New Roman"/>
                <w:color w:val="auto"/>
                <w:sz w:val="21"/>
                <w:szCs w:val="21"/>
                <w:highlight w:val="none"/>
              </w:rPr>
            </w:pPr>
            <w:r>
              <w:rPr>
                <w:rFonts w:hint="eastAsia" w:ascii="Times New Roman" w:hAnsi="Times New Roman"/>
                <w:color w:val="auto"/>
                <w:sz w:val="21"/>
                <w:szCs w:val="21"/>
                <w:highlight w:val="none"/>
                <w:lang w:val="en-US" w:eastAsia="zh-CN"/>
              </w:rPr>
              <w:t>250</w:t>
            </w:r>
          </w:p>
        </w:tc>
        <w:tc>
          <w:tcPr>
            <w:tcW w:w="1042" w:type="dxa"/>
            <w:gridSpan w:val="2"/>
            <w:vAlign w:val="center"/>
          </w:tcPr>
          <w:p w14:paraId="511B0701">
            <w:pPr>
              <w:keepNext w:val="0"/>
              <w:keepLines w:val="0"/>
              <w:pageBreakBefore w:val="0"/>
              <w:kinsoku/>
              <w:wordWrap/>
              <w:overflowPunct/>
              <w:topLinePunct w:val="0"/>
              <w:autoSpaceDE/>
              <w:autoSpaceDN/>
              <w:bidi w:val="0"/>
              <w:adjustRightInd/>
              <w:snapToGrid/>
              <w:ind w:left="0" w:right="0"/>
              <w:jc w:val="center"/>
              <w:rPr>
                <w:rFonts w:ascii="Times New Roman" w:hAnsi="Times New Roman"/>
                <w:color w:val="auto"/>
                <w:sz w:val="21"/>
                <w:szCs w:val="21"/>
                <w:highlight w:val="none"/>
              </w:rPr>
            </w:pPr>
            <w:r>
              <w:rPr>
                <w:rFonts w:hint="eastAsia" w:ascii="Times New Roman" w:hAnsi="Times New Roman" w:cs="Times New Roman"/>
                <w:color w:val="auto"/>
                <w:kern w:val="44"/>
                <w:sz w:val="21"/>
                <w:szCs w:val="21"/>
                <w:highlight w:val="none"/>
              </w:rPr>
              <w:t>＜</w:t>
            </w:r>
            <w:r>
              <w:rPr>
                <w:rFonts w:hint="eastAsia" w:ascii="Times New Roman" w:hAnsi="Times New Roman" w:cs="Times New Roman"/>
                <w:color w:val="auto"/>
                <w:kern w:val="44"/>
                <w:sz w:val="21"/>
                <w:szCs w:val="21"/>
                <w:highlight w:val="none"/>
                <w:lang w:val="en-US" w:eastAsia="zh-CN"/>
              </w:rPr>
              <w:t>2.55406</w:t>
            </w:r>
          </w:p>
        </w:tc>
        <w:tc>
          <w:tcPr>
            <w:tcW w:w="1046" w:type="dxa"/>
            <w:vAlign w:val="center"/>
          </w:tcPr>
          <w:p w14:paraId="77F5311C">
            <w:pPr>
              <w:keepNext w:val="0"/>
              <w:keepLines w:val="0"/>
              <w:pageBreakBefore w:val="0"/>
              <w:kinsoku/>
              <w:wordWrap/>
              <w:overflowPunct/>
              <w:topLinePunct w:val="0"/>
              <w:autoSpaceDE/>
              <w:autoSpaceDN/>
              <w:bidi w:val="0"/>
              <w:adjustRightInd/>
              <w:snapToGrid/>
              <w:ind w:left="0" w:right="0"/>
              <w:jc w:val="center"/>
              <w:rPr>
                <w:rFonts w:ascii="Times New Roman" w:hAnsi="Times New Roman"/>
                <w:color w:val="auto"/>
                <w:sz w:val="21"/>
                <w:szCs w:val="21"/>
                <w:highlight w:val="none"/>
              </w:rPr>
            </w:pPr>
            <w:r>
              <w:rPr>
                <w:rFonts w:hint="eastAsia" w:ascii="Times New Roman" w:hAnsi="Times New Roman"/>
                <w:color w:val="auto"/>
                <w:sz w:val="21"/>
                <w:szCs w:val="21"/>
                <w:highlight w:val="none"/>
                <w:lang w:val="en-US" w:eastAsia="zh-CN"/>
              </w:rPr>
              <w:t>3000</w:t>
            </w:r>
          </w:p>
        </w:tc>
        <w:tc>
          <w:tcPr>
            <w:tcW w:w="816" w:type="dxa"/>
            <w:vAlign w:val="center"/>
          </w:tcPr>
          <w:p w14:paraId="46C902ED">
            <w:pPr>
              <w:pStyle w:val="118"/>
              <w:keepNext w:val="0"/>
              <w:keepLines w:val="0"/>
              <w:pageBreakBefore w:val="0"/>
              <w:kinsoku/>
              <w:wordWrap/>
              <w:overflowPunct/>
              <w:topLinePunct w:val="0"/>
              <w:autoSpaceDE/>
              <w:autoSpaceDN/>
              <w:bidi w:val="0"/>
              <w:adjustRightInd/>
              <w:snapToGrid/>
              <w:ind w:left="0" w:right="0"/>
              <w:jc w:val="center"/>
              <w:rPr>
                <w:rFonts w:ascii="Times New Roman" w:hAnsi="Times New Roman" w:eastAsia="宋体"/>
                <w:color w:val="auto"/>
                <w:sz w:val="21"/>
                <w:szCs w:val="21"/>
                <w:highlight w:val="none"/>
              </w:rPr>
            </w:pPr>
            <w:r>
              <w:rPr>
                <w:rFonts w:ascii="Times New Roman" w:hAnsi="Times New Roman" w:eastAsia="宋体"/>
                <w:color w:val="auto"/>
                <w:sz w:val="21"/>
                <w:szCs w:val="21"/>
                <w:highlight w:val="none"/>
              </w:rPr>
              <w:t>否</w:t>
            </w:r>
          </w:p>
        </w:tc>
      </w:tr>
      <w:tr w14:paraId="56C767AD">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28" w:type="dxa"/>
            <w:bottom w:w="0" w:type="dxa"/>
            <w:right w:w="28" w:type="dxa"/>
          </w:tblCellMar>
        </w:tblPrEx>
        <w:trPr>
          <w:cantSplit/>
          <w:trHeight w:val="312" w:hRule="atLeast"/>
          <w:jc w:val="center"/>
        </w:trPr>
        <w:tc>
          <w:tcPr>
            <w:tcW w:w="941" w:type="dxa"/>
            <w:vAlign w:val="center"/>
          </w:tcPr>
          <w:p w14:paraId="4F937F89">
            <w:pPr>
              <w:keepNext w:val="0"/>
              <w:keepLines w:val="0"/>
              <w:pageBreakBefore w:val="0"/>
              <w:kinsoku/>
              <w:wordWrap/>
              <w:overflowPunct/>
              <w:topLinePunct w:val="0"/>
              <w:autoSpaceDE/>
              <w:autoSpaceDN/>
              <w:bidi w:val="0"/>
              <w:adjustRightInd/>
              <w:snapToGrid/>
              <w:ind w:left="0" w:right="0"/>
              <w:jc w:val="center"/>
              <w:rPr>
                <w:rFonts w:ascii="Times New Roman" w:hAnsi="Times New Roman"/>
                <w:color w:val="auto"/>
                <w:sz w:val="21"/>
                <w:szCs w:val="21"/>
                <w:highlight w:val="none"/>
              </w:rPr>
            </w:pPr>
            <w:r>
              <w:rPr>
                <w:rFonts w:hint="eastAsia" w:ascii="Times New Roman" w:hAnsi="Times New Roman"/>
                <w:color w:val="auto"/>
                <w:sz w:val="21"/>
                <w:szCs w:val="21"/>
                <w:highlight w:val="none"/>
                <w:lang w:bidi="zh-CN"/>
              </w:rPr>
              <w:t>八士实验小学</w:t>
            </w:r>
          </w:p>
        </w:tc>
        <w:tc>
          <w:tcPr>
            <w:tcW w:w="547" w:type="dxa"/>
            <w:vAlign w:val="center"/>
          </w:tcPr>
          <w:p w14:paraId="4A03D568">
            <w:pPr>
              <w:pStyle w:val="118"/>
              <w:keepNext w:val="0"/>
              <w:keepLines w:val="0"/>
              <w:pageBreakBefore w:val="0"/>
              <w:kinsoku/>
              <w:wordWrap/>
              <w:overflowPunct/>
              <w:topLinePunct w:val="0"/>
              <w:autoSpaceDE/>
              <w:autoSpaceDN/>
              <w:bidi w:val="0"/>
              <w:adjustRightInd/>
              <w:snapToGrid/>
              <w:ind w:left="0" w:right="0"/>
              <w:jc w:val="center"/>
              <w:rPr>
                <w:rFonts w:ascii="Times New Roman" w:hAnsi="Times New Roman" w:eastAsia="宋体"/>
                <w:color w:val="auto"/>
                <w:sz w:val="21"/>
                <w:szCs w:val="21"/>
                <w:highlight w:val="none"/>
              </w:rPr>
            </w:pPr>
            <w:r>
              <w:rPr>
                <w:rFonts w:hint="eastAsia" w:ascii="Times New Roman" w:hAnsi="Times New Roman" w:eastAsia="宋体"/>
                <w:color w:val="auto"/>
                <w:sz w:val="21"/>
                <w:szCs w:val="21"/>
                <w:highlight w:val="none"/>
              </w:rPr>
              <w:t>450m</w:t>
            </w:r>
          </w:p>
        </w:tc>
        <w:tc>
          <w:tcPr>
            <w:tcW w:w="1042" w:type="dxa"/>
            <w:vAlign w:val="center"/>
          </w:tcPr>
          <w:p w14:paraId="4C125450">
            <w:pPr>
              <w:keepNext w:val="0"/>
              <w:keepLines w:val="0"/>
              <w:pageBreakBefore w:val="0"/>
              <w:kinsoku/>
              <w:wordWrap/>
              <w:overflowPunct/>
              <w:topLinePunct w:val="0"/>
              <w:autoSpaceDE/>
              <w:autoSpaceDN/>
              <w:bidi w:val="0"/>
              <w:adjustRightInd/>
              <w:snapToGrid/>
              <w:ind w:left="0" w:right="0"/>
              <w:jc w:val="center"/>
              <w:textAlignment w:val="bottom"/>
              <w:rPr>
                <w:rFonts w:ascii="Times New Roman" w:hAnsi="Times New Roman" w:cs="Times New Roman"/>
                <w:color w:val="auto"/>
                <w:kern w:val="44"/>
                <w:sz w:val="21"/>
                <w:szCs w:val="21"/>
                <w:highlight w:val="none"/>
              </w:rPr>
            </w:pPr>
            <w:r>
              <w:rPr>
                <w:rFonts w:hint="eastAsia" w:ascii="Times New Roman" w:hAnsi="Times New Roman" w:cs="Times New Roman"/>
                <w:color w:val="auto"/>
                <w:kern w:val="44"/>
                <w:sz w:val="21"/>
                <w:szCs w:val="21"/>
                <w:highlight w:val="none"/>
              </w:rPr>
              <w:t>＜</w:t>
            </w:r>
            <w:r>
              <w:rPr>
                <w:rFonts w:hint="eastAsia" w:ascii="Times New Roman" w:hAnsi="Times New Roman" w:cs="Times New Roman"/>
                <w:color w:val="auto"/>
                <w:kern w:val="44"/>
                <w:sz w:val="21"/>
                <w:szCs w:val="21"/>
                <w:highlight w:val="none"/>
                <w:lang w:val="en-US" w:eastAsia="zh-CN"/>
              </w:rPr>
              <w:t>20.83111</w:t>
            </w:r>
          </w:p>
        </w:tc>
        <w:tc>
          <w:tcPr>
            <w:tcW w:w="1042" w:type="dxa"/>
            <w:vAlign w:val="center"/>
          </w:tcPr>
          <w:p w14:paraId="034D9981">
            <w:pPr>
              <w:keepNext w:val="0"/>
              <w:keepLines w:val="0"/>
              <w:pageBreakBefore w:val="0"/>
              <w:kinsoku/>
              <w:wordWrap/>
              <w:overflowPunct/>
              <w:topLinePunct w:val="0"/>
              <w:autoSpaceDE/>
              <w:autoSpaceDN/>
              <w:bidi w:val="0"/>
              <w:adjustRightInd/>
              <w:snapToGrid/>
              <w:ind w:left="0" w:right="0"/>
              <w:jc w:val="center"/>
              <w:rPr>
                <w:rFonts w:ascii="Times New Roman" w:hAnsi="Times New Roman"/>
                <w:color w:val="auto"/>
                <w:sz w:val="21"/>
                <w:szCs w:val="21"/>
                <w:highlight w:val="none"/>
              </w:rPr>
            </w:pPr>
            <w:r>
              <w:rPr>
                <w:rFonts w:ascii="Times New Roman" w:hAnsi="Times New Roman"/>
                <w:color w:val="auto"/>
                <w:sz w:val="21"/>
                <w:szCs w:val="21"/>
                <w:highlight w:val="none"/>
              </w:rPr>
              <w:t>2000</w:t>
            </w:r>
          </w:p>
        </w:tc>
        <w:tc>
          <w:tcPr>
            <w:tcW w:w="1042" w:type="dxa"/>
            <w:gridSpan w:val="2"/>
            <w:vAlign w:val="center"/>
          </w:tcPr>
          <w:p w14:paraId="3870A224">
            <w:pPr>
              <w:keepNext w:val="0"/>
              <w:keepLines w:val="0"/>
              <w:pageBreakBefore w:val="0"/>
              <w:kinsoku/>
              <w:wordWrap/>
              <w:overflowPunct/>
              <w:topLinePunct w:val="0"/>
              <w:autoSpaceDE/>
              <w:autoSpaceDN/>
              <w:bidi w:val="0"/>
              <w:adjustRightInd/>
              <w:snapToGrid/>
              <w:ind w:left="0" w:right="0"/>
              <w:jc w:val="center"/>
              <w:rPr>
                <w:rFonts w:ascii="Times New Roman" w:hAnsi="Times New Roman"/>
                <w:color w:val="auto"/>
                <w:sz w:val="21"/>
                <w:szCs w:val="21"/>
                <w:highlight w:val="none"/>
              </w:rPr>
            </w:pPr>
            <w:r>
              <w:rPr>
                <w:rFonts w:hint="eastAsia" w:ascii="Times New Roman" w:hAnsi="Times New Roman" w:cs="Times New Roman"/>
                <w:color w:val="auto"/>
                <w:kern w:val="44"/>
                <w:sz w:val="21"/>
                <w:szCs w:val="21"/>
                <w:highlight w:val="none"/>
              </w:rPr>
              <w:t>＜</w:t>
            </w:r>
            <w:r>
              <w:rPr>
                <w:rFonts w:hint="eastAsia" w:ascii="Times New Roman" w:hAnsi="Times New Roman" w:cs="Times New Roman"/>
                <w:color w:val="auto"/>
                <w:kern w:val="44"/>
                <w:sz w:val="21"/>
                <w:szCs w:val="21"/>
                <w:highlight w:val="none"/>
                <w:lang w:val="en-US" w:eastAsia="zh-CN"/>
              </w:rPr>
              <w:t>0.1667112</w:t>
            </w:r>
          </w:p>
        </w:tc>
        <w:tc>
          <w:tcPr>
            <w:tcW w:w="1042" w:type="dxa"/>
            <w:vAlign w:val="center"/>
          </w:tcPr>
          <w:p w14:paraId="288B071C">
            <w:pPr>
              <w:keepNext w:val="0"/>
              <w:keepLines w:val="0"/>
              <w:pageBreakBefore w:val="0"/>
              <w:kinsoku/>
              <w:wordWrap/>
              <w:overflowPunct/>
              <w:topLinePunct w:val="0"/>
              <w:autoSpaceDE/>
              <w:autoSpaceDN/>
              <w:bidi w:val="0"/>
              <w:adjustRightInd/>
              <w:snapToGrid/>
              <w:ind w:left="0" w:right="0"/>
              <w:jc w:val="center"/>
              <w:rPr>
                <w:rFonts w:ascii="Times New Roman" w:hAnsi="Times New Roman"/>
                <w:color w:val="auto"/>
                <w:sz w:val="21"/>
                <w:szCs w:val="21"/>
                <w:highlight w:val="none"/>
              </w:rPr>
            </w:pPr>
            <w:r>
              <w:rPr>
                <w:rFonts w:hint="eastAsia" w:ascii="Times New Roman" w:hAnsi="Times New Roman"/>
                <w:color w:val="auto"/>
                <w:sz w:val="21"/>
                <w:szCs w:val="21"/>
                <w:highlight w:val="none"/>
                <w:lang w:val="en-US" w:eastAsia="zh-CN"/>
              </w:rPr>
              <w:t>250</w:t>
            </w:r>
          </w:p>
        </w:tc>
        <w:tc>
          <w:tcPr>
            <w:tcW w:w="1042" w:type="dxa"/>
            <w:gridSpan w:val="2"/>
            <w:vAlign w:val="center"/>
          </w:tcPr>
          <w:p w14:paraId="2B379D1D">
            <w:pPr>
              <w:keepNext w:val="0"/>
              <w:keepLines w:val="0"/>
              <w:pageBreakBefore w:val="0"/>
              <w:kinsoku/>
              <w:wordWrap/>
              <w:overflowPunct/>
              <w:topLinePunct w:val="0"/>
              <w:autoSpaceDE/>
              <w:autoSpaceDN/>
              <w:bidi w:val="0"/>
              <w:adjustRightInd/>
              <w:snapToGrid/>
              <w:ind w:left="0" w:right="0"/>
              <w:jc w:val="center"/>
              <w:rPr>
                <w:rFonts w:ascii="Times New Roman" w:hAnsi="Times New Roman"/>
                <w:color w:val="auto"/>
                <w:sz w:val="21"/>
                <w:szCs w:val="21"/>
                <w:highlight w:val="none"/>
              </w:rPr>
            </w:pPr>
            <w:r>
              <w:rPr>
                <w:rFonts w:hint="eastAsia" w:ascii="Times New Roman" w:hAnsi="Times New Roman" w:cs="Times New Roman"/>
                <w:color w:val="auto"/>
                <w:kern w:val="44"/>
                <w:sz w:val="21"/>
                <w:szCs w:val="21"/>
                <w:highlight w:val="none"/>
              </w:rPr>
              <w:t>＜</w:t>
            </w:r>
            <w:r>
              <w:rPr>
                <w:rFonts w:hint="eastAsia" w:ascii="Times New Roman" w:hAnsi="Times New Roman" w:cs="Times New Roman"/>
                <w:color w:val="auto"/>
                <w:kern w:val="44"/>
                <w:sz w:val="21"/>
                <w:szCs w:val="21"/>
                <w:highlight w:val="none"/>
                <w:lang w:val="en-US" w:eastAsia="zh-CN"/>
              </w:rPr>
              <w:t>2.55406</w:t>
            </w:r>
          </w:p>
        </w:tc>
        <w:tc>
          <w:tcPr>
            <w:tcW w:w="1046" w:type="dxa"/>
            <w:vAlign w:val="center"/>
          </w:tcPr>
          <w:p w14:paraId="71A56956">
            <w:pPr>
              <w:keepNext w:val="0"/>
              <w:keepLines w:val="0"/>
              <w:pageBreakBefore w:val="0"/>
              <w:kinsoku/>
              <w:wordWrap/>
              <w:overflowPunct/>
              <w:topLinePunct w:val="0"/>
              <w:autoSpaceDE/>
              <w:autoSpaceDN/>
              <w:bidi w:val="0"/>
              <w:adjustRightInd/>
              <w:snapToGrid/>
              <w:ind w:left="0" w:right="0"/>
              <w:jc w:val="center"/>
              <w:rPr>
                <w:rFonts w:ascii="Times New Roman" w:hAnsi="Times New Roman"/>
                <w:color w:val="auto"/>
                <w:sz w:val="21"/>
                <w:szCs w:val="21"/>
                <w:highlight w:val="none"/>
              </w:rPr>
            </w:pPr>
            <w:r>
              <w:rPr>
                <w:rFonts w:hint="eastAsia" w:ascii="Times New Roman" w:hAnsi="Times New Roman"/>
                <w:color w:val="auto"/>
                <w:sz w:val="21"/>
                <w:szCs w:val="21"/>
                <w:highlight w:val="none"/>
                <w:lang w:val="en-US" w:eastAsia="zh-CN"/>
              </w:rPr>
              <w:t>3000</w:t>
            </w:r>
          </w:p>
        </w:tc>
        <w:tc>
          <w:tcPr>
            <w:tcW w:w="816" w:type="dxa"/>
            <w:vAlign w:val="center"/>
          </w:tcPr>
          <w:p w14:paraId="42BD257B">
            <w:pPr>
              <w:pStyle w:val="118"/>
              <w:keepNext w:val="0"/>
              <w:keepLines w:val="0"/>
              <w:pageBreakBefore w:val="0"/>
              <w:kinsoku/>
              <w:wordWrap/>
              <w:overflowPunct/>
              <w:topLinePunct w:val="0"/>
              <w:autoSpaceDE/>
              <w:autoSpaceDN/>
              <w:bidi w:val="0"/>
              <w:adjustRightInd/>
              <w:snapToGrid/>
              <w:ind w:left="0" w:right="0"/>
              <w:jc w:val="center"/>
              <w:rPr>
                <w:rFonts w:ascii="Times New Roman" w:hAnsi="Times New Roman" w:eastAsia="宋体"/>
                <w:color w:val="auto"/>
                <w:sz w:val="21"/>
                <w:szCs w:val="21"/>
                <w:highlight w:val="none"/>
              </w:rPr>
            </w:pPr>
            <w:r>
              <w:rPr>
                <w:rFonts w:ascii="Times New Roman" w:hAnsi="Times New Roman" w:eastAsia="宋体"/>
                <w:color w:val="auto"/>
                <w:sz w:val="21"/>
                <w:szCs w:val="21"/>
                <w:highlight w:val="none"/>
              </w:rPr>
              <w:t>否</w:t>
            </w:r>
          </w:p>
        </w:tc>
      </w:tr>
      <w:tr w14:paraId="01CD1674">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28" w:type="dxa"/>
            <w:bottom w:w="0" w:type="dxa"/>
            <w:right w:w="28" w:type="dxa"/>
          </w:tblCellMar>
        </w:tblPrEx>
        <w:trPr>
          <w:cantSplit/>
          <w:trHeight w:val="312" w:hRule="atLeast"/>
          <w:jc w:val="center"/>
        </w:trPr>
        <w:tc>
          <w:tcPr>
            <w:tcW w:w="941" w:type="dxa"/>
            <w:vAlign w:val="center"/>
          </w:tcPr>
          <w:p w14:paraId="515DCDC4">
            <w:pPr>
              <w:pStyle w:val="118"/>
              <w:keepNext w:val="0"/>
              <w:keepLines w:val="0"/>
              <w:pageBreakBefore w:val="0"/>
              <w:kinsoku/>
              <w:wordWrap/>
              <w:overflowPunct/>
              <w:topLinePunct w:val="0"/>
              <w:autoSpaceDE/>
              <w:autoSpaceDN/>
              <w:bidi w:val="0"/>
              <w:adjustRightInd/>
              <w:snapToGrid/>
              <w:ind w:left="0" w:right="0"/>
              <w:jc w:val="center"/>
              <w:rPr>
                <w:rFonts w:ascii="Times New Roman" w:hAnsi="Times New Roman" w:eastAsia="宋体"/>
                <w:color w:val="auto"/>
                <w:sz w:val="21"/>
                <w:szCs w:val="21"/>
                <w:highlight w:val="none"/>
              </w:rPr>
            </w:pPr>
            <w:r>
              <w:rPr>
                <w:rFonts w:hint="eastAsia" w:ascii="Times New Roman" w:hAnsi="Times New Roman" w:eastAsia="宋体"/>
                <w:color w:val="auto"/>
                <w:sz w:val="21"/>
                <w:szCs w:val="21"/>
                <w:highlight w:val="none"/>
              </w:rPr>
              <w:t>春蕾小学</w:t>
            </w:r>
          </w:p>
        </w:tc>
        <w:tc>
          <w:tcPr>
            <w:tcW w:w="547" w:type="dxa"/>
            <w:vAlign w:val="center"/>
          </w:tcPr>
          <w:p w14:paraId="1CB86BDE">
            <w:pPr>
              <w:pStyle w:val="118"/>
              <w:keepNext w:val="0"/>
              <w:keepLines w:val="0"/>
              <w:pageBreakBefore w:val="0"/>
              <w:kinsoku/>
              <w:wordWrap/>
              <w:overflowPunct/>
              <w:topLinePunct w:val="0"/>
              <w:autoSpaceDE/>
              <w:autoSpaceDN/>
              <w:bidi w:val="0"/>
              <w:adjustRightInd/>
              <w:snapToGrid/>
              <w:ind w:left="0" w:right="0"/>
              <w:jc w:val="center"/>
              <w:rPr>
                <w:rFonts w:ascii="Times New Roman" w:hAnsi="Times New Roman" w:eastAsia="宋体"/>
                <w:color w:val="auto"/>
                <w:sz w:val="21"/>
                <w:szCs w:val="21"/>
                <w:highlight w:val="none"/>
              </w:rPr>
            </w:pPr>
            <w:r>
              <w:rPr>
                <w:rFonts w:hint="eastAsia" w:ascii="Times New Roman" w:hAnsi="Times New Roman" w:eastAsia="宋体"/>
                <w:color w:val="auto"/>
                <w:sz w:val="21"/>
                <w:szCs w:val="21"/>
                <w:highlight w:val="none"/>
              </w:rPr>
              <w:t>480m</w:t>
            </w:r>
          </w:p>
        </w:tc>
        <w:tc>
          <w:tcPr>
            <w:tcW w:w="1042" w:type="dxa"/>
            <w:vAlign w:val="center"/>
          </w:tcPr>
          <w:p w14:paraId="59BC5950">
            <w:pPr>
              <w:keepNext w:val="0"/>
              <w:keepLines w:val="0"/>
              <w:pageBreakBefore w:val="0"/>
              <w:kinsoku/>
              <w:wordWrap/>
              <w:overflowPunct/>
              <w:topLinePunct w:val="0"/>
              <w:autoSpaceDE/>
              <w:autoSpaceDN/>
              <w:bidi w:val="0"/>
              <w:adjustRightInd/>
              <w:snapToGrid/>
              <w:ind w:left="0" w:right="0"/>
              <w:jc w:val="center"/>
              <w:textAlignment w:val="bottom"/>
              <w:rPr>
                <w:rFonts w:ascii="Times New Roman" w:hAnsi="Times New Roman" w:cs="Times New Roman"/>
                <w:color w:val="auto"/>
                <w:kern w:val="44"/>
                <w:sz w:val="21"/>
                <w:szCs w:val="21"/>
                <w:highlight w:val="none"/>
              </w:rPr>
            </w:pPr>
            <w:r>
              <w:rPr>
                <w:rFonts w:hint="eastAsia" w:ascii="Times New Roman" w:hAnsi="Times New Roman" w:cs="Times New Roman"/>
                <w:color w:val="auto"/>
                <w:kern w:val="44"/>
                <w:sz w:val="21"/>
                <w:szCs w:val="21"/>
                <w:highlight w:val="none"/>
              </w:rPr>
              <w:t>＜</w:t>
            </w:r>
            <w:r>
              <w:rPr>
                <w:rFonts w:hint="eastAsia" w:ascii="Times New Roman" w:hAnsi="Times New Roman" w:cs="Times New Roman"/>
                <w:color w:val="auto"/>
                <w:kern w:val="44"/>
                <w:sz w:val="21"/>
                <w:szCs w:val="21"/>
                <w:highlight w:val="none"/>
                <w:lang w:val="en-US" w:eastAsia="zh-CN"/>
              </w:rPr>
              <w:t>20.83111</w:t>
            </w:r>
          </w:p>
        </w:tc>
        <w:tc>
          <w:tcPr>
            <w:tcW w:w="1042" w:type="dxa"/>
            <w:vAlign w:val="center"/>
          </w:tcPr>
          <w:p w14:paraId="580BD997">
            <w:pPr>
              <w:keepNext w:val="0"/>
              <w:keepLines w:val="0"/>
              <w:pageBreakBefore w:val="0"/>
              <w:kinsoku/>
              <w:wordWrap/>
              <w:overflowPunct/>
              <w:topLinePunct w:val="0"/>
              <w:autoSpaceDE/>
              <w:autoSpaceDN/>
              <w:bidi w:val="0"/>
              <w:adjustRightInd/>
              <w:snapToGrid/>
              <w:ind w:left="0" w:right="0"/>
              <w:jc w:val="center"/>
              <w:rPr>
                <w:rFonts w:ascii="Times New Roman" w:hAnsi="Times New Roman"/>
                <w:color w:val="auto"/>
                <w:sz w:val="21"/>
                <w:szCs w:val="21"/>
                <w:highlight w:val="none"/>
              </w:rPr>
            </w:pPr>
            <w:r>
              <w:rPr>
                <w:rFonts w:ascii="Times New Roman" w:hAnsi="Times New Roman"/>
                <w:color w:val="auto"/>
                <w:sz w:val="21"/>
                <w:szCs w:val="21"/>
                <w:highlight w:val="none"/>
              </w:rPr>
              <w:t>2000</w:t>
            </w:r>
          </w:p>
        </w:tc>
        <w:tc>
          <w:tcPr>
            <w:tcW w:w="1042" w:type="dxa"/>
            <w:gridSpan w:val="2"/>
            <w:vAlign w:val="center"/>
          </w:tcPr>
          <w:p w14:paraId="6B1DFA12">
            <w:pPr>
              <w:keepNext w:val="0"/>
              <w:keepLines w:val="0"/>
              <w:pageBreakBefore w:val="0"/>
              <w:kinsoku/>
              <w:wordWrap/>
              <w:overflowPunct/>
              <w:topLinePunct w:val="0"/>
              <w:autoSpaceDE/>
              <w:autoSpaceDN/>
              <w:bidi w:val="0"/>
              <w:adjustRightInd/>
              <w:snapToGrid/>
              <w:ind w:left="0" w:right="0"/>
              <w:jc w:val="center"/>
              <w:rPr>
                <w:rFonts w:ascii="Times New Roman" w:hAnsi="Times New Roman"/>
                <w:color w:val="auto"/>
                <w:sz w:val="21"/>
                <w:szCs w:val="21"/>
                <w:highlight w:val="none"/>
              </w:rPr>
            </w:pPr>
            <w:r>
              <w:rPr>
                <w:rFonts w:hint="eastAsia" w:ascii="Times New Roman" w:hAnsi="Times New Roman" w:cs="Times New Roman"/>
                <w:color w:val="auto"/>
                <w:kern w:val="44"/>
                <w:sz w:val="21"/>
                <w:szCs w:val="21"/>
                <w:highlight w:val="none"/>
              </w:rPr>
              <w:t>＜</w:t>
            </w:r>
            <w:r>
              <w:rPr>
                <w:rFonts w:hint="eastAsia" w:ascii="Times New Roman" w:hAnsi="Times New Roman" w:cs="Times New Roman"/>
                <w:color w:val="auto"/>
                <w:kern w:val="44"/>
                <w:sz w:val="21"/>
                <w:szCs w:val="21"/>
                <w:highlight w:val="none"/>
                <w:lang w:val="en-US" w:eastAsia="zh-CN"/>
              </w:rPr>
              <w:t>0.1667112</w:t>
            </w:r>
          </w:p>
        </w:tc>
        <w:tc>
          <w:tcPr>
            <w:tcW w:w="1042" w:type="dxa"/>
            <w:vAlign w:val="center"/>
          </w:tcPr>
          <w:p w14:paraId="3E7DCA3C">
            <w:pPr>
              <w:keepNext w:val="0"/>
              <w:keepLines w:val="0"/>
              <w:pageBreakBefore w:val="0"/>
              <w:kinsoku/>
              <w:wordWrap/>
              <w:overflowPunct/>
              <w:topLinePunct w:val="0"/>
              <w:autoSpaceDE/>
              <w:autoSpaceDN/>
              <w:bidi w:val="0"/>
              <w:adjustRightInd/>
              <w:snapToGrid/>
              <w:ind w:left="0" w:right="0"/>
              <w:jc w:val="center"/>
              <w:rPr>
                <w:rFonts w:ascii="Times New Roman" w:hAnsi="Times New Roman"/>
                <w:color w:val="auto"/>
                <w:sz w:val="21"/>
                <w:szCs w:val="21"/>
                <w:highlight w:val="none"/>
              </w:rPr>
            </w:pPr>
            <w:r>
              <w:rPr>
                <w:rFonts w:hint="eastAsia" w:ascii="Times New Roman" w:hAnsi="Times New Roman"/>
                <w:color w:val="auto"/>
                <w:sz w:val="21"/>
                <w:szCs w:val="21"/>
                <w:highlight w:val="none"/>
                <w:lang w:val="en-US" w:eastAsia="zh-CN"/>
              </w:rPr>
              <w:t>250</w:t>
            </w:r>
          </w:p>
        </w:tc>
        <w:tc>
          <w:tcPr>
            <w:tcW w:w="1042" w:type="dxa"/>
            <w:gridSpan w:val="2"/>
            <w:vAlign w:val="center"/>
          </w:tcPr>
          <w:p w14:paraId="735516D3">
            <w:pPr>
              <w:keepNext w:val="0"/>
              <w:keepLines w:val="0"/>
              <w:pageBreakBefore w:val="0"/>
              <w:kinsoku/>
              <w:wordWrap/>
              <w:overflowPunct/>
              <w:topLinePunct w:val="0"/>
              <w:autoSpaceDE/>
              <w:autoSpaceDN/>
              <w:bidi w:val="0"/>
              <w:adjustRightInd/>
              <w:snapToGrid/>
              <w:ind w:left="0" w:right="0"/>
              <w:jc w:val="center"/>
              <w:rPr>
                <w:rFonts w:ascii="Times New Roman" w:hAnsi="Times New Roman"/>
                <w:color w:val="auto"/>
                <w:sz w:val="21"/>
                <w:szCs w:val="21"/>
                <w:highlight w:val="none"/>
              </w:rPr>
            </w:pPr>
            <w:r>
              <w:rPr>
                <w:rFonts w:hint="eastAsia" w:ascii="Times New Roman" w:hAnsi="Times New Roman" w:cs="Times New Roman"/>
                <w:color w:val="auto"/>
                <w:kern w:val="44"/>
                <w:sz w:val="21"/>
                <w:szCs w:val="21"/>
                <w:highlight w:val="none"/>
              </w:rPr>
              <w:t>＜</w:t>
            </w:r>
            <w:r>
              <w:rPr>
                <w:rFonts w:hint="eastAsia" w:ascii="Times New Roman" w:hAnsi="Times New Roman" w:cs="Times New Roman"/>
                <w:color w:val="auto"/>
                <w:kern w:val="44"/>
                <w:sz w:val="21"/>
                <w:szCs w:val="21"/>
                <w:highlight w:val="none"/>
                <w:lang w:val="en-US" w:eastAsia="zh-CN"/>
              </w:rPr>
              <w:t>2.55406</w:t>
            </w:r>
          </w:p>
        </w:tc>
        <w:tc>
          <w:tcPr>
            <w:tcW w:w="1046" w:type="dxa"/>
            <w:vAlign w:val="center"/>
          </w:tcPr>
          <w:p w14:paraId="757D0DF8">
            <w:pPr>
              <w:keepNext w:val="0"/>
              <w:keepLines w:val="0"/>
              <w:pageBreakBefore w:val="0"/>
              <w:kinsoku/>
              <w:wordWrap/>
              <w:overflowPunct/>
              <w:topLinePunct w:val="0"/>
              <w:autoSpaceDE/>
              <w:autoSpaceDN/>
              <w:bidi w:val="0"/>
              <w:adjustRightInd/>
              <w:snapToGrid/>
              <w:ind w:left="0" w:right="0"/>
              <w:jc w:val="center"/>
              <w:rPr>
                <w:rFonts w:ascii="Times New Roman" w:hAnsi="Times New Roman"/>
                <w:color w:val="auto"/>
                <w:sz w:val="21"/>
                <w:szCs w:val="21"/>
                <w:highlight w:val="none"/>
              </w:rPr>
            </w:pPr>
            <w:r>
              <w:rPr>
                <w:rFonts w:hint="eastAsia" w:ascii="Times New Roman" w:hAnsi="Times New Roman"/>
                <w:color w:val="auto"/>
                <w:sz w:val="21"/>
                <w:szCs w:val="21"/>
                <w:highlight w:val="none"/>
                <w:lang w:val="en-US" w:eastAsia="zh-CN"/>
              </w:rPr>
              <w:t>3000</w:t>
            </w:r>
          </w:p>
        </w:tc>
        <w:tc>
          <w:tcPr>
            <w:tcW w:w="816" w:type="dxa"/>
            <w:vAlign w:val="center"/>
          </w:tcPr>
          <w:p w14:paraId="51D2544D">
            <w:pPr>
              <w:pStyle w:val="118"/>
              <w:keepNext w:val="0"/>
              <w:keepLines w:val="0"/>
              <w:pageBreakBefore w:val="0"/>
              <w:kinsoku/>
              <w:wordWrap/>
              <w:overflowPunct/>
              <w:topLinePunct w:val="0"/>
              <w:autoSpaceDE/>
              <w:autoSpaceDN/>
              <w:bidi w:val="0"/>
              <w:adjustRightInd/>
              <w:snapToGrid/>
              <w:ind w:left="0" w:right="0"/>
              <w:jc w:val="center"/>
              <w:rPr>
                <w:rFonts w:ascii="Times New Roman" w:hAnsi="Times New Roman" w:eastAsia="宋体"/>
                <w:color w:val="auto"/>
                <w:sz w:val="21"/>
                <w:szCs w:val="21"/>
                <w:highlight w:val="none"/>
              </w:rPr>
            </w:pPr>
            <w:r>
              <w:rPr>
                <w:rFonts w:ascii="Times New Roman" w:hAnsi="Times New Roman" w:eastAsia="宋体"/>
                <w:color w:val="auto"/>
                <w:sz w:val="21"/>
                <w:szCs w:val="21"/>
                <w:highlight w:val="none"/>
              </w:rPr>
              <w:t>否</w:t>
            </w:r>
          </w:p>
        </w:tc>
      </w:tr>
    </w:tbl>
    <w:p w14:paraId="5D9B8AA3">
      <w:pPr>
        <w:spacing w:line="360" w:lineRule="auto"/>
        <w:ind w:left="-105" w:right="-105" w:firstLine="480"/>
        <w:rPr>
          <w:rFonts w:ascii="Times New Roman" w:hAnsi="Times New Roman"/>
          <w:color w:val="auto"/>
          <w:szCs w:val="22"/>
          <w:highlight w:val="none"/>
        </w:rPr>
      </w:pPr>
      <w:r>
        <w:rPr>
          <w:rFonts w:ascii="Times New Roman" w:hAnsi="Times New Roman"/>
          <w:color w:val="auto"/>
          <w:highlight w:val="none"/>
        </w:rPr>
        <w:t>预测结果如</w:t>
      </w:r>
      <w:r>
        <w:rPr>
          <w:rFonts w:hint="eastAsia" w:ascii="Times New Roman" w:hAnsi="Times New Roman"/>
          <w:color w:val="auto"/>
          <w:highlight w:val="none"/>
        </w:rPr>
        <w:t>上表</w:t>
      </w:r>
      <w:r>
        <w:rPr>
          <w:rFonts w:ascii="Times New Roman" w:hAnsi="Times New Roman"/>
          <w:color w:val="auto"/>
          <w:highlight w:val="none"/>
        </w:rPr>
        <w:t>所示，通过对本次</w:t>
      </w:r>
      <w:r>
        <w:rPr>
          <w:rFonts w:hint="eastAsia" w:ascii="Times New Roman" w:hAnsi="Times New Roman"/>
          <w:color w:val="auto"/>
          <w:highlight w:val="none"/>
        </w:rPr>
        <w:t>扩</w:t>
      </w:r>
      <w:r>
        <w:rPr>
          <w:rFonts w:ascii="Times New Roman" w:hAnsi="Times New Roman"/>
          <w:color w:val="auto"/>
          <w:highlight w:val="none"/>
        </w:rPr>
        <w:t>建后，</w:t>
      </w:r>
      <w:r>
        <w:rPr>
          <w:rFonts w:hint="eastAsia" w:ascii="Times New Roman" w:hAnsi="Times New Roman"/>
          <w:color w:val="auto"/>
          <w:highlight w:val="none"/>
        </w:rPr>
        <w:t>DA005~DA006</w:t>
      </w:r>
      <w:r>
        <w:rPr>
          <w:rFonts w:ascii="Times New Roman" w:hAnsi="Times New Roman"/>
          <w:color w:val="auto"/>
          <w:highlight w:val="none"/>
        </w:rPr>
        <w:t>排气筒排放量以及涉及的无组织源进行预测，预测因子</w:t>
      </w:r>
      <w:r>
        <w:rPr>
          <w:rFonts w:hint="eastAsia" w:ascii="Times New Roman" w:hAnsi="Times New Roman"/>
          <w:color w:val="auto"/>
          <w:highlight w:val="none"/>
        </w:rPr>
        <w:t>为</w:t>
      </w:r>
      <w:r>
        <w:rPr>
          <w:rFonts w:hint="eastAsia" w:ascii="Times New Roman" w:hAnsi="Times New Roman" w:cs="Times New Roman"/>
          <w:color w:val="auto"/>
          <w:highlight w:val="none"/>
        </w:rPr>
        <w:t>非甲烷总烃</w:t>
      </w:r>
      <w:r>
        <w:rPr>
          <w:rFonts w:hint="eastAsia" w:ascii="Times New Roman" w:hAnsi="Times New Roman"/>
          <w:color w:val="auto"/>
          <w:highlight w:val="none"/>
        </w:rPr>
        <w:t>（含甲醇）</w:t>
      </w:r>
      <w:r>
        <w:rPr>
          <w:rFonts w:ascii="Times New Roman" w:hAnsi="Times New Roman"/>
          <w:color w:val="auto"/>
          <w:szCs w:val="22"/>
          <w:highlight w:val="none"/>
        </w:rPr>
        <w:t>，预测结果显示，最大落地浓度均可达到环境质量标准要求，占标率较低。</w:t>
      </w:r>
    </w:p>
    <w:p w14:paraId="14CA5625">
      <w:pPr>
        <w:spacing w:line="360" w:lineRule="auto"/>
        <w:ind w:left="-105" w:right="-105" w:firstLine="480"/>
        <w:rPr>
          <w:rFonts w:ascii="Times New Roman" w:hAnsi="Times New Roman"/>
          <w:color w:val="auto"/>
          <w:highlight w:val="none"/>
        </w:rPr>
      </w:pPr>
      <w:r>
        <w:rPr>
          <w:rFonts w:ascii="Times New Roman" w:hAnsi="Times New Roman"/>
          <w:color w:val="auto"/>
          <w:highlight w:val="none"/>
        </w:rPr>
        <w:t>预测结果汇总情况</w:t>
      </w:r>
      <w:r>
        <w:rPr>
          <w:rFonts w:ascii="Times New Roman" w:hAnsi="Times New Roman" w:eastAsia="宋体" w:cs="宋体"/>
          <w:color w:val="auto"/>
          <w:highlight w:val="none"/>
        </w:rPr>
        <w:t>如</w:t>
      </w:r>
      <w:r>
        <w:rPr>
          <w:rFonts w:ascii="Times New Roman" w:hAnsi="Times New Roman" w:eastAsia="宋体" w:cs="宋体"/>
          <w:color w:val="auto"/>
          <w:highlight w:val="none"/>
        </w:rPr>
        <w:fldChar w:fldCharType="begin"/>
      </w:r>
      <w:r>
        <w:rPr>
          <w:rFonts w:ascii="Times New Roman" w:hAnsi="Times New Roman" w:eastAsia="宋体" w:cs="宋体"/>
          <w:color w:val="auto"/>
          <w:highlight w:val="none"/>
        </w:rPr>
        <w:instrText xml:space="preserve"> REF _Ref28280 \h </w:instrText>
      </w:r>
      <w:r>
        <w:rPr>
          <w:rFonts w:ascii="Times New Roman" w:hAnsi="Times New Roman" w:eastAsia="宋体" w:cs="宋体"/>
          <w:color w:val="auto"/>
          <w:highlight w:val="none"/>
        </w:rPr>
        <w:fldChar w:fldCharType="separate"/>
      </w:r>
      <w:r>
        <w:rPr>
          <w:rFonts w:ascii="Times New Roman" w:hAnsi="Times New Roman" w:eastAsia="宋体" w:cs="宋体"/>
          <w:color w:val="auto"/>
          <w:highlight w:val="none"/>
        </w:rPr>
        <w:t>表</w:t>
      </w:r>
      <w:r>
        <w:rPr>
          <w:rFonts w:ascii="Times New Roman" w:hAnsi="Times New Roman" w:eastAsia="宋体" w:cs="宋体"/>
          <w:color w:val="auto"/>
          <w:highlight w:val="none"/>
        </w:rPr>
        <w:fldChar w:fldCharType="begin"/>
      </w:r>
      <w:r>
        <w:rPr>
          <w:rFonts w:ascii="Times New Roman" w:hAnsi="Times New Roman" w:eastAsia="宋体" w:cs="宋体"/>
          <w:color w:val="auto"/>
          <w:highlight w:val="none"/>
        </w:rPr>
        <w:instrText xml:space="preserve"> STYLEREF 2 \s </w:instrText>
      </w:r>
      <w:r>
        <w:rPr>
          <w:rFonts w:ascii="Times New Roman" w:hAnsi="Times New Roman" w:eastAsia="宋体" w:cs="宋体"/>
          <w:color w:val="auto"/>
          <w:highlight w:val="none"/>
        </w:rPr>
        <w:fldChar w:fldCharType="separate"/>
      </w:r>
      <w:r>
        <w:rPr>
          <w:rFonts w:ascii="Times New Roman" w:hAnsi="Times New Roman" w:eastAsia="宋体" w:cs="宋体"/>
          <w:color w:val="auto"/>
          <w:highlight w:val="none"/>
        </w:rPr>
        <w:t>6.1</w:t>
      </w:r>
      <w:r>
        <w:rPr>
          <w:rFonts w:ascii="Times New Roman" w:hAnsi="Times New Roman" w:eastAsia="宋体" w:cs="宋体"/>
          <w:color w:val="auto"/>
          <w:highlight w:val="none"/>
        </w:rPr>
        <w:fldChar w:fldCharType="end"/>
      </w:r>
      <w:r>
        <w:rPr>
          <w:rFonts w:ascii="Times New Roman" w:hAnsi="Times New Roman" w:eastAsia="宋体" w:cs="宋体"/>
          <w:color w:val="auto"/>
          <w:highlight w:val="none"/>
        </w:rPr>
        <w:noBreakHyphen/>
      </w:r>
      <w:r>
        <w:rPr>
          <w:rFonts w:ascii="Times New Roman" w:hAnsi="Times New Roman" w:eastAsia="宋体" w:cs="宋体"/>
          <w:color w:val="auto"/>
          <w:highlight w:val="none"/>
        </w:rPr>
        <w:t>11</w:t>
      </w:r>
      <w:r>
        <w:rPr>
          <w:rFonts w:ascii="Times New Roman" w:hAnsi="Times New Roman" w:eastAsia="宋体" w:cs="宋体"/>
          <w:color w:val="auto"/>
          <w:highlight w:val="none"/>
        </w:rPr>
        <w:fldChar w:fldCharType="end"/>
      </w:r>
      <w:r>
        <w:rPr>
          <w:rFonts w:hint="eastAsia" w:ascii="Times New Roman" w:hAnsi="Times New Roman" w:eastAsia="宋体" w:cs="宋体"/>
          <w:color w:val="auto"/>
          <w:highlight w:val="none"/>
        </w:rPr>
        <w:t>~</w:t>
      </w:r>
      <w:r>
        <w:rPr>
          <w:rFonts w:hint="eastAsia" w:ascii="Times New Roman" w:hAnsi="Times New Roman" w:eastAsia="宋体" w:cs="宋体"/>
          <w:color w:val="auto"/>
          <w:highlight w:val="none"/>
        </w:rPr>
        <w:fldChar w:fldCharType="begin"/>
      </w:r>
      <w:r>
        <w:rPr>
          <w:rFonts w:hint="eastAsia" w:ascii="Times New Roman" w:hAnsi="Times New Roman" w:eastAsia="宋体" w:cs="宋体"/>
          <w:color w:val="auto"/>
          <w:highlight w:val="none"/>
        </w:rPr>
        <w:instrText xml:space="preserve"> REF _Ref28319 \h </w:instrText>
      </w:r>
      <w:r>
        <w:rPr>
          <w:rFonts w:hint="eastAsia" w:ascii="Times New Roman" w:hAnsi="Times New Roman" w:eastAsia="宋体" w:cs="宋体"/>
          <w:color w:val="auto"/>
          <w:highlight w:val="none"/>
        </w:rPr>
        <w:fldChar w:fldCharType="separate"/>
      </w:r>
      <w:r>
        <w:rPr>
          <w:rFonts w:ascii="Times New Roman" w:hAnsi="Times New Roman" w:eastAsia="宋体" w:cs="宋体"/>
          <w:color w:val="auto"/>
          <w:highlight w:val="none"/>
        </w:rPr>
        <w:t>表</w:t>
      </w:r>
      <w:r>
        <w:rPr>
          <w:rFonts w:ascii="Times New Roman" w:hAnsi="Times New Roman" w:eastAsia="宋体" w:cs="宋体"/>
          <w:color w:val="auto"/>
          <w:highlight w:val="none"/>
        </w:rPr>
        <w:fldChar w:fldCharType="begin"/>
      </w:r>
      <w:r>
        <w:rPr>
          <w:rFonts w:ascii="Times New Roman" w:hAnsi="Times New Roman" w:eastAsia="宋体" w:cs="宋体"/>
          <w:color w:val="auto"/>
          <w:highlight w:val="none"/>
        </w:rPr>
        <w:instrText xml:space="preserve"> STYLEREF 2 \s </w:instrText>
      </w:r>
      <w:r>
        <w:rPr>
          <w:rFonts w:ascii="Times New Roman" w:hAnsi="Times New Roman" w:eastAsia="宋体" w:cs="宋体"/>
          <w:color w:val="auto"/>
          <w:highlight w:val="none"/>
        </w:rPr>
        <w:fldChar w:fldCharType="separate"/>
      </w:r>
      <w:r>
        <w:rPr>
          <w:rFonts w:ascii="Times New Roman" w:hAnsi="Times New Roman" w:eastAsia="宋体" w:cs="宋体"/>
          <w:color w:val="auto"/>
          <w:highlight w:val="none"/>
        </w:rPr>
        <w:t>6.1</w:t>
      </w:r>
      <w:r>
        <w:rPr>
          <w:rFonts w:ascii="Times New Roman" w:hAnsi="Times New Roman" w:eastAsia="宋体" w:cs="宋体"/>
          <w:color w:val="auto"/>
          <w:highlight w:val="none"/>
        </w:rPr>
        <w:fldChar w:fldCharType="end"/>
      </w:r>
      <w:r>
        <w:rPr>
          <w:rFonts w:ascii="Times New Roman" w:hAnsi="Times New Roman" w:eastAsia="宋体" w:cs="宋体"/>
          <w:color w:val="auto"/>
          <w:highlight w:val="none"/>
        </w:rPr>
        <w:noBreakHyphen/>
      </w:r>
      <w:r>
        <w:rPr>
          <w:rFonts w:ascii="Times New Roman" w:hAnsi="Times New Roman" w:eastAsia="宋体" w:cs="宋体"/>
          <w:color w:val="auto"/>
          <w:highlight w:val="none"/>
        </w:rPr>
        <w:t>12</w:t>
      </w:r>
      <w:r>
        <w:rPr>
          <w:rFonts w:hint="eastAsia" w:ascii="Times New Roman" w:hAnsi="Times New Roman" w:eastAsia="宋体" w:cs="宋体"/>
          <w:color w:val="auto"/>
          <w:highlight w:val="none"/>
        </w:rPr>
        <w:fldChar w:fldCharType="end"/>
      </w:r>
      <w:r>
        <w:rPr>
          <w:rFonts w:ascii="Times New Roman" w:hAnsi="Times New Roman" w:eastAsia="宋体" w:cs="宋体"/>
          <w:color w:val="auto"/>
          <w:highlight w:val="none"/>
        </w:rPr>
        <w:t>所示，</w:t>
      </w:r>
      <w:r>
        <w:rPr>
          <w:rFonts w:ascii="Times New Roman" w:hAnsi="Times New Roman"/>
          <w:color w:val="auto"/>
          <w:highlight w:val="none"/>
        </w:rPr>
        <w:t>从预测结果可以看出，本项目排放的大气污染物在经过有效处理后排放量不大，有组织、无组织废气污染物排放，均不会改变区域环境功能，对周围环境影响值较小。</w:t>
      </w:r>
    </w:p>
    <w:p w14:paraId="4027BA0B">
      <w:pPr>
        <w:spacing w:line="360" w:lineRule="auto"/>
        <w:ind w:left="-105" w:right="-105" w:firstLine="480"/>
        <w:rPr>
          <w:rFonts w:ascii="Times New Roman" w:hAnsi="Times New Roman"/>
          <w:color w:val="auto"/>
          <w:highlight w:val="none"/>
        </w:rPr>
      </w:pPr>
      <w:r>
        <w:rPr>
          <w:rFonts w:ascii="Times New Roman" w:hAnsi="Times New Roman"/>
          <w:color w:val="auto"/>
          <w:highlight w:val="none"/>
        </w:rPr>
        <w:t>本项目</w:t>
      </w:r>
      <w:r>
        <w:rPr>
          <w:rFonts w:hint="eastAsia" w:ascii="Times New Roman" w:hAnsi="Times New Roman"/>
          <w:color w:val="auto"/>
          <w:highlight w:val="none"/>
        </w:rPr>
        <w:t>DA005~DA006</w:t>
      </w:r>
      <w:r>
        <w:rPr>
          <w:rFonts w:ascii="Times New Roman" w:hAnsi="Times New Roman"/>
          <w:color w:val="auto"/>
          <w:highlight w:val="none"/>
        </w:rPr>
        <w:t>排气筒排放量以及涉及的无组织源评价等级均为三级，根据《环境影响评价技术导则大气环境》（HJ2.2-2018），确定本项目大气环境影响评价工作等级为</w:t>
      </w:r>
      <w:r>
        <w:rPr>
          <w:rFonts w:hint="eastAsia" w:ascii="Times New Roman" w:hAnsi="Times New Roman"/>
          <w:color w:val="auto"/>
          <w:highlight w:val="none"/>
        </w:rPr>
        <w:t>三</w:t>
      </w:r>
      <w:r>
        <w:rPr>
          <w:rFonts w:ascii="Times New Roman" w:hAnsi="Times New Roman"/>
          <w:color w:val="auto"/>
          <w:highlight w:val="none"/>
        </w:rPr>
        <w:t>级。</w:t>
      </w:r>
      <w:r>
        <w:rPr>
          <w:rFonts w:hint="eastAsia" w:ascii="Times New Roman" w:hAnsi="Times New Roman"/>
          <w:color w:val="auto"/>
          <w:highlight w:val="none"/>
        </w:rPr>
        <w:t>三</w:t>
      </w:r>
      <w:r>
        <w:rPr>
          <w:rFonts w:ascii="Times New Roman" w:hAnsi="Times New Roman"/>
          <w:color w:val="auto"/>
          <w:highlight w:val="none"/>
        </w:rPr>
        <w:t>级评价项目不进行进一步预测与评价。</w:t>
      </w:r>
    </w:p>
    <w:p w14:paraId="67030012">
      <w:pPr>
        <w:pStyle w:val="5"/>
        <w:keepLines w:val="0"/>
        <w:numPr>
          <w:ilvl w:val="2"/>
          <w:numId w:val="0"/>
        </w:numPr>
        <w:tabs>
          <w:tab w:val="left" w:pos="567"/>
          <w:tab w:val="left" w:pos="709"/>
          <w:tab w:val="left" w:pos="993"/>
          <w:tab w:val="left" w:pos="6663"/>
        </w:tabs>
        <w:spacing w:before="0" w:after="0" w:line="360" w:lineRule="auto"/>
        <w:ind w:right="-105"/>
        <w:rPr>
          <w:rFonts w:eastAsia="宋体"/>
          <w:color w:val="auto"/>
          <w:sz w:val="28"/>
          <w:szCs w:val="28"/>
          <w:highlight w:val="none"/>
        </w:rPr>
      </w:pPr>
      <w:bookmarkStart w:id="380" w:name="_Toc60653551"/>
      <w:r>
        <w:rPr>
          <w:rFonts w:hint="eastAsia" w:eastAsia="宋体"/>
          <w:color w:val="auto"/>
          <w:sz w:val="28"/>
          <w:szCs w:val="28"/>
          <w:highlight w:val="none"/>
        </w:rPr>
        <w:t>6.1.6</w:t>
      </w:r>
      <w:r>
        <w:rPr>
          <w:rFonts w:eastAsia="宋体"/>
          <w:color w:val="auto"/>
          <w:sz w:val="28"/>
          <w:szCs w:val="28"/>
          <w:highlight w:val="none"/>
        </w:rPr>
        <w:t>非正常影响预测</w:t>
      </w:r>
      <w:bookmarkEnd w:id="380"/>
    </w:p>
    <w:p w14:paraId="7C8B2A01">
      <w:pPr>
        <w:spacing w:line="360" w:lineRule="auto"/>
        <w:ind w:left="-105" w:right="-105" w:firstLine="480"/>
        <w:rPr>
          <w:rFonts w:ascii="Times New Roman" w:hAnsi="Times New Roman"/>
          <w:color w:val="auto"/>
          <w:highlight w:val="none"/>
        </w:rPr>
      </w:pPr>
      <w:r>
        <w:rPr>
          <w:rFonts w:ascii="Times New Roman" w:hAnsi="Times New Roman"/>
          <w:color w:val="auto"/>
          <w:highlight w:val="none"/>
        </w:rPr>
        <w:t>非正常工况下预测结果</w:t>
      </w:r>
      <w:r>
        <w:rPr>
          <w:rFonts w:ascii="Times New Roman" w:hAnsi="Times New Roman" w:cs="Times New Roman"/>
          <w:color w:val="auto"/>
          <w:highlight w:val="none"/>
        </w:rPr>
        <w:t>，如</w:t>
      </w:r>
      <w:r>
        <w:rPr>
          <w:rFonts w:ascii="Times New Roman" w:hAnsi="Times New Roman" w:cs="Times New Roman"/>
          <w:color w:val="auto"/>
          <w:highlight w:val="none"/>
        </w:rPr>
        <w:fldChar w:fldCharType="begin"/>
      </w:r>
      <w:r>
        <w:rPr>
          <w:rFonts w:ascii="Times New Roman" w:hAnsi="Times New Roman" w:cs="Times New Roman"/>
          <w:color w:val="auto"/>
          <w:highlight w:val="none"/>
        </w:rPr>
        <w:instrText xml:space="preserve"> REF _Ref38808574 \h  \* MERGEFORMAT </w:instrText>
      </w:r>
      <w:r>
        <w:rPr>
          <w:rFonts w:ascii="Times New Roman" w:hAnsi="Times New Roman" w:cs="Times New Roman"/>
          <w:color w:val="auto"/>
          <w:highlight w:val="none"/>
        </w:rPr>
        <w:fldChar w:fldCharType="separate"/>
      </w:r>
      <w:r>
        <w:rPr>
          <w:rFonts w:ascii="Times New Roman" w:hAnsi="Times New Roman" w:cs="Times New Roman"/>
          <w:color w:val="auto"/>
          <w:szCs w:val="22"/>
          <w:highlight w:val="none"/>
        </w:rPr>
        <w:t>表</w:t>
      </w:r>
      <w:r>
        <w:rPr>
          <w:rFonts w:ascii="Times New Roman" w:hAnsi="Times New Roman" w:cs="Times New Roman"/>
          <w:color w:val="auto"/>
          <w:szCs w:val="22"/>
          <w:highlight w:val="none"/>
        </w:rPr>
        <w:fldChar w:fldCharType="begin"/>
      </w:r>
      <w:r>
        <w:rPr>
          <w:rFonts w:ascii="Times New Roman" w:hAnsi="Times New Roman" w:cs="Times New Roman"/>
          <w:color w:val="auto"/>
          <w:szCs w:val="22"/>
          <w:highlight w:val="none"/>
        </w:rPr>
        <w:instrText xml:space="preserve"> STYLEREF</w:instrText>
      </w:r>
      <w:r>
        <w:rPr>
          <w:rFonts w:ascii="Times New Roman" w:hAnsi="Times New Roman" w:cs="Times New Roman"/>
          <w:color w:val="auto"/>
          <w:highlight w:val="none"/>
        </w:rPr>
        <w:instrText xml:space="preserve"> 2 \s </w:instrText>
      </w:r>
      <w:r>
        <w:rPr>
          <w:rFonts w:ascii="Times New Roman" w:hAnsi="Times New Roman" w:cs="Times New Roman"/>
          <w:color w:val="auto"/>
          <w:highlight w:val="none"/>
        </w:rPr>
        <w:fldChar w:fldCharType="separate"/>
      </w:r>
      <w:r>
        <w:rPr>
          <w:rFonts w:ascii="Times New Roman" w:hAnsi="Times New Roman" w:cs="Times New Roman"/>
          <w:color w:val="auto"/>
          <w:highlight w:val="none"/>
        </w:rPr>
        <w:t>6.1</w:t>
      </w:r>
      <w:r>
        <w:rPr>
          <w:rFonts w:ascii="Times New Roman" w:hAnsi="Times New Roman" w:cs="Times New Roman"/>
          <w:color w:val="auto"/>
          <w:highlight w:val="none"/>
        </w:rPr>
        <w:fldChar w:fldCharType="end"/>
      </w:r>
      <w:r>
        <w:rPr>
          <w:rFonts w:ascii="Times New Roman" w:hAnsi="Times New Roman" w:cs="Times New Roman"/>
          <w:color w:val="auto"/>
          <w:highlight w:val="none"/>
        </w:rPr>
        <w:noBreakHyphen/>
      </w:r>
      <w:r>
        <w:rPr>
          <w:rFonts w:ascii="Times New Roman" w:hAnsi="Times New Roman" w:cs="Times New Roman"/>
          <w:color w:val="auto"/>
          <w:highlight w:val="none"/>
        </w:rPr>
        <w:t>13</w:t>
      </w:r>
      <w:r>
        <w:rPr>
          <w:rFonts w:ascii="Times New Roman" w:hAnsi="Times New Roman" w:cs="Times New Roman"/>
          <w:color w:val="auto"/>
          <w:highlight w:val="none"/>
        </w:rPr>
        <w:fldChar w:fldCharType="end"/>
      </w:r>
      <w:r>
        <w:rPr>
          <w:rFonts w:ascii="Times New Roman" w:hAnsi="Times New Roman" w:cs="Times New Roman"/>
          <w:color w:val="auto"/>
          <w:highlight w:val="none"/>
        </w:rPr>
        <w:t>所</w:t>
      </w:r>
      <w:r>
        <w:rPr>
          <w:rFonts w:ascii="Times New Roman" w:hAnsi="Times New Roman"/>
          <w:color w:val="auto"/>
          <w:highlight w:val="none"/>
        </w:rPr>
        <w:t>示。由表可见，本项目非正常工况污染物最大落地浓度占标率显著增加，但是也可以达到环境质量标准。</w:t>
      </w:r>
    </w:p>
    <w:p w14:paraId="25DA661C">
      <w:pPr>
        <w:spacing w:line="360" w:lineRule="auto"/>
        <w:ind w:left="-105" w:right="-105" w:firstLine="480"/>
        <w:rPr>
          <w:rFonts w:ascii="Times New Roman" w:hAnsi="Times New Roman"/>
          <w:color w:val="auto"/>
          <w:szCs w:val="18"/>
          <w:highlight w:val="none"/>
        </w:rPr>
      </w:pPr>
      <w:r>
        <w:rPr>
          <w:rFonts w:ascii="Times New Roman" w:hAnsi="Times New Roman"/>
          <w:color w:val="auto"/>
          <w:highlight w:val="none"/>
        </w:rPr>
        <w:t>要求企业必须做好污染治理设施的日常维护与事故性排放的防护措施，尽量避免事故排放的发生，一旦发生事故时，能及时维修并采取相应防护措施，将污染影响降低到最小，建议建设单位做好防范工作：</w:t>
      </w:r>
      <w:r>
        <w:rPr>
          <w:rFonts w:hint="eastAsia" w:ascii="Times New Roman" w:hAnsi="Times New Roman"/>
          <w:color w:val="auto"/>
          <w:highlight w:val="none"/>
        </w:rPr>
        <w:t>①</w:t>
      </w:r>
      <w:r>
        <w:rPr>
          <w:rFonts w:ascii="Times New Roman" w:hAnsi="Times New Roman"/>
          <w:color w:val="auto"/>
          <w:highlight w:val="none"/>
        </w:rPr>
        <w:t>平时注意废气处理设施的维护，及时发现处理设备的隐患，确保废气处理系统正常运行；开、停、检修要有预案，有严密周全的计划，确保不发生非正常排放，或使影响最小。</w:t>
      </w:r>
      <w:r>
        <w:rPr>
          <w:rFonts w:hint="eastAsia" w:ascii="Times New Roman" w:hAnsi="Times New Roman"/>
          <w:color w:val="auto"/>
          <w:highlight w:val="none"/>
        </w:rPr>
        <w:t>②</w:t>
      </w:r>
      <w:r>
        <w:rPr>
          <w:rFonts w:ascii="Times New Roman" w:hAnsi="Times New Roman"/>
          <w:color w:val="auto"/>
          <w:highlight w:val="none"/>
        </w:rPr>
        <w:t>应设有备用电源和备用处理设备和零件，以备停电或设备出现故障时保障及时更换使废气全部做到达标排放。</w:t>
      </w:r>
      <w:r>
        <w:rPr>
          <w:rFonts w:hint="eastAsia" w:ascii="Times New Roman" w:hAnsi="Times New Roman"/>
          <w:color w:val="auto"/>
          <w:highlight w:val="none"/>
        </w:rPr>
        <w:t>③</w:t>
      </w:r>
      <w:r>
        <w:rPr>
          <w:rFonts w:ascii="Times New Roman" w:hAnsi="Times New Roman"/>
          <w:color w:val="auto"/>
          <w:highlight w:val="none"/>
        </w:rPr>
        <w:t>对员工进行岗位培训。做好值班记录，实行岗位责任制。</w:t>
      </w:r>
      <w:bookmarkStart w:id="381" w:name="_Ref38784527"/>
    </w:p>
    <w:p w14:paraId="6D60F913">
      <w:pPr>
        <w:pStyle w:val="15"/>
        <w:spacing w:line="360" w:lineRule="auto"/>
        <w:ind w:left="-105" w:right="-105" w:firstLine="482"/>
        <w:rPr>
          <w:rFonts w:hint="eastAsia" w:eastAsia="宋体" w:cs="Times New Roman"/>
          <w:color w:val="auto"/>
          <w:sz w:val="24"/>
          <w:szCs w:val="18"/>
          <w:highlight w:val="none"/>
        </w:rPr>
      </w:pPr>
      <w:bookmarkStart w:id="382" w:name="_Ref38808574"/>
      <w:r>
        <w:rPr>
          <w:rFonts w:eastAsia="宋体" w:cs="Times New Roman"/>
          <w:color w:val="auto"/>
          <w:sz w:val="24"/>
          <w:szCs w:val="18"/>
          <w:highlight w:val="none"/>
        </w:rPr>
        <w:t>表</w:t>
      </w:r>
      <w:r>
        <w:rPr>
          <w:rFonts w:eastAsia="宋体" w:cs="Times New Roman"/>
          <w:color w:val="auto"/>
          <w:sz w:val="24"/>
          <w:szCs w:val="18"/>
          <w:highlight w:val="none"/>
        </w:rPr>
        <w:fldChar w:fldCharType="begin"/>
      </w:r>
      <w:r>
        <w:rPr>
          <w:rFonts w:eastAsia="宋体" w:cs="Times New Roman"/>
          <w:color w:val="auto"/>
          <w:sz w:val="24"/>
          <w:szCs w:val="18"/>
          <w:highlight w:val="none"/>
        </w:rPr>
        <w:instrText xml:space="preserve"> STYLEREF 2 \s </w:instrText>
      </w:r>
      <w:r>
        <w:rPr>
          <w:rFonts w:eastAsia="宋体" w:cs="Times New Roman"/>
          <w:color w:val="auto"/>
          <w:sz w:val="24"/>
          <w:szCs w:val="18"/>
          <w:highlight w:val="none"/>
        </w:rPr>
        <w:fldChar w:fldCharType="separate"/>
      </w:r>
      <w:r>
        <w:rPr>
          <w:rFonts w:eastAsia="宋体" w:cs="Times New Roman"/>
          <w:color w:val="auto"/>
          <w:sz w:val="24"/>
          <w:szCs w:val="18"/>
          <w:highlight w:val="none"/>
        </w:rPr>
        <w:t>6.1</w:t>
      </w:r>
      <w:r>
        <w:rPr>
          <w:rFonts w:eastAsia="宋体" w:cs="Times New Roman"/>
          <w:color w:val="auto"/>
          <w:sz w:val="24"/>
          <w:szCs w:val="18"/>
          <w:highlight w:val="none"/>
        </w:rPr>
        <w:fldChar w:fldCharType="end"/>
      </w:r>
      <w:r>
        <w:rPr>
          <w:rFonts w:eastAsia="宋体" w:cs="Times New Roman"/>
          <w:color w:val="auto"/>
          <w:sz w:val="24"/>
          <w:szCs w:val="18"/>
          <w:highlight w:val="none"/>
        </w:rPr>
        <w:noBreakHyphen/>
      </w:r>
      <w:r>
        <w:rPr>
          <w:rFonts w:eastAsia="宋体" w:cs="Times New Roman"/>
          <w:color w:val="auto"/>
          <w:sz w:val="24"/>
          <w:szCs w:val="18"/>
          <w:highlight w:val="none"/>
        </w:rPr>
        <w:fldChar w:fldCharType="begin"/>
      </w:r>
      <w:r>
        <w:rPr>
          <w:rFonts w:eastAsia="宋体" w:cs="Times New Roman"/>
          <w:color w:val="auto"/>
          <w:sz w:val="24"/>
          <w:szCs w:val="18"/>
          <w:highlight w:val="none"/>
        </w:rPr>
        <w:instrText xml:space="preserve"> SEQ 表 \* ARABIC \s 2 </w:instrText>
      </w:r>
      <w:r>
        <w:rPr>
          <w:rFonts w:eastAsia="宋体" w:cs="Times New Roman"/>
          <w:color w:val="auto"/>
          <w:sz w:val="24"/>
          <w:szCs w:val="18"/>
          <w:highlight w:val="none"/>
        </w:rPr>
        <w:fldChar w:fldCharType="separate"/>
      </w:r>
      <w:r>
        <w:rPr>
          <w:rFonts w:eastAsia="宋体" w:cs="Times New Roman"/>
          <w:color w:val="auto"/>
          <w:sz w:val="24"/>
          <w:szCs w:val="18"/>
          <w:highlight w:val="none"/>
        </w:rPr>
        <w:t>13</w:t>
      </w:r>
      <w:r>
        <w:rPr>
          <w:rFonts w:eastAsia="宋体" w:cs="Times New Roman"/>
          <w:color w:val="auto"/>
          <w:sz w:val="24"/>
          <w:szCs w:val="18"/>
          <w:highlight w:val="none"/>
        </w:rPr>
        <w:fldChar w:fldCharType="end"/>
      </w:r>
      <w:bookmarkEnd w:id="381"/>
      <w:bookmarkEnd w:id="382"/>
      <w:r>
        <w:rPr>
          <w:rFonts w:eastAsia="宋体" w:cs="Times New Roman"/>
          <w:color w:val="auto"/>
          <w:sz w:val="24"/>
          <w:szCs w:val="18"/>
          <w:highlight w:val="none"/>
        </w:rPr>
        <w:t>非正常情况下预测结果</w:t>
      </w:r>
      <w:r>
        <w:rPr>
          <w:rFonts w:hint="eastAsia" w:eastAsia="宋体" w:cs="Times New Roman"/>
          <w:color w:val="auto"/>
          <w:sz w:val="24"/>
          <w:szCs w:val="18"/>
          <w:highlight w:val="none"/>
        </w:rPr>
        <w:t>表</w:t>
      </w:r>
    </w:p>
    <w:tbl>
      <w:tblPr>
        <w:tblStyle w:val="45"/>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1353"/>
        <w:gridCol w:w="1192"/>
        <w:gridCol w:w="1193"/>
        <w:gridCol w:w="1192"/>
        <w:gridCol w:w="1192"/>
        <w:gridCol w:w="1192"/>
        <w:gridCol w:w="1190"/>
      </w:tblGrid>
      <w:tr w14:paraId="21A41DA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353" w:type="dxa"/>
            <w:vMerge w:val="restart"/>
            <w:vAlign w:val="center"/>
          </w:tcPr>
          <w:p w14:paraId="484E8876">
            <w:pPr>
              <w:keepNext w:val="0"/>
              <w:keepLines w:val="0"/>
              <w:pageBreakBefore w:val="0"/>
              <w:widowControl/>
              <w:kinsoku/>
              <w:wordWrap/>
              <w:overflowPunct/>
              <w:topLinePunct w:val="0"/>
              <w:autoSpaceDE/>
              <w:autoSpaceDN/>
              <w:bidi w:val="0"/>
              <w:adjustRightInd/>
              <w:snapToGrid/>
              <w:ind w:left="0" w:right="0"/>
              <w:jc w:val="center"/>
              <w:rPr>
                <w:rFonts w:ascii="Times New Roman" w:hAnsi="Times New Roman"/>
                <w:b/>
                <w:color w:val="auto"/>
                <w:sz w:val="21"/>
                <w:szCs w:val="21"/>
                <w:highlight w:val="none"/>
              </w:rPr>
            </w:pPr>
            <w:r>
              <w:rPr>
                <w:rFonts w:ascii="Times New Roman" w:hAnsi="Times New Roman"/>
                <w:b/>
                <w:color w:val="auto"/>
                <w:sz w:val="21"/>
                <w:szCs w:val="21"/>
                <w:highlight w:val="none"/>
              </w:rPr>
              <w:t>距源中心下风向距离（m）</w:t>
            </w:r>
          </w:p>
        </w:tc>
        <w:tc>
          <w:tcPr>
            <w:tcW w:w="2385" w:type="dxa"/>
            <w:gridSpan w:val="2"/>
            <w:tcBorders>
              <w:left w:val="single" w:color="auto" w:sz="6" w:space="0"/>
            </w:tcBorders>
            <w:vAlign w:val="center"/>
          </w:tcPr>
          <w:p w14:paraId="29A33EAD">
            <w:pPr>
              <w:keepNext w:val="0"/>
              <w:keepLines w:val="0"/>
              <w:pageBreakBefore w:val="0"/>
              <w:widowControl/>
              <w:kinsoku/>
              <w:wordWrap/>
              <w:overflowPunct/>
              <w:topLinePunct w:val="0"/>
              <w:autoSpaceDE/>
              <w:autoSpaceDN/>
              <w:bidi w:val="0"/>
              <w:adjustRightInd/>
              <w:snapToGrid/>
              <w:ind w:left="0" w:right="0"/>
              <w:jc w:val="center"/>
              <w:rPr>
                <w:rFonts w:ascii="Times New Roman" w:hAnsi="Times New Roman"/>
                <w:b/>
                <w:color w:val="auto"/>
                <w:sz w:val="21"/>
                <w:szCs w:val="21"/>
                <w:highlight w:val="none"/>
              </w:rPr>
            </w:pPr>
            <w:r>
              <w:rPr>
                <w:rFonts w:hint="eastAsia" w:ascii="Times New Roman" w:hAnsi="Times New Roman"/>
                <w:b/>
                <w:color w:val="auto"/>
                <w:sz w:val="21"/>
                <w:szCs w:val="21"/>
                <w:highlight w:val="none"/>
              </w:rPr>
              <w:t>DA005</w:t>
            </w:r>
          </w:p>
        </w:tc>
        <w:tc>
          <w:tcPr>
            <w:tcW w:w="4766" w:type="dxa"/>
            <w:gridSpan w:val="4"/>
            <w:tcBorders>
              <w:left w:val="single" w:color="auto" w:sz="6" w:space="0"/>
            </w:tcBorders>
            <w:vAlign w:val="center"/>
          </w:tcPr>
          <w:p w14:paraId="2F744620">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b/>
                <w:color w:val="auto"/>
                <w:sz w:val="21"/>
                <w:szCs w:val="21"/>
                <w:highlight w:val="none"/>
              </w:rPr>
            </w:pPr>
            <w:r>
              <w:rPr>
                <w:rFonts w:hint="eastAsia" w:ascii="Times New Roman" w:hAnsi="Times New Roman"/>
                <w:b/>
                <w:color w:val="auto"/>
                <w:sz w:val="21"/>
                <w:szCs w:val="21"/>
                <w:highlight w:val="none"/>
              </w:rPr>
              <w:t>DA006</w:t>
            </w:r>
          </w:p>
        </w:tc>
      </w:tr>
      <w:tr w14:paraId="1FA085A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353" w:type="dxa"/>
            <w:vMerge w:val="continue"/>
            <w:vAlign w:val="center"/>
          </w:tcPr>
          <w:p w14:paraId="57CCD5C4">
            <w:pPr>
              <w:keepNext w:val="0"/>
              <w:keepLines w:val="0"/>
              <w:pageBreakBefore w:val="0"/>
              <w:widowControl/>
              <w:kinsoku/>
              <w:wordWrap/>
              <w:overflowPunct/>
              <w:topLinePunct w:val="0"/>
              <w:autoSpaceDE/>
              <w:autoSpaceDN/>
              <w:bidi w:val="0"/>
              <w:adjustRightInd/>
              <w:snapToGrid/>
              <w:ind w:left="0" w:right="0"/>
              <w:jc w:val="center"/>
              <w:rPr>
                <w:rFonts w:ascii="Times New Roman" w:hAnsi="Times New Roman"/>
                <w:b/>
                <w:color w:val="auto"/>
                <w:sz w:val="21"/>
                <w:szCs w:val="21"/>
                <w:highlight w:val="none"/>
              </w:rPr>
            </w:pPr>
          </w:p>
        </w:tc>
        <w:tc>
          <w:tcPr>
            <w:tcW w:w="2385" w:type="dxa"/>
            <w:gridSpan w:val="2"/>
            <w:tcBorders>
              <w:left w:val="single" w:color="auto" w:sz="6" w:space="0"/>
              <w:right w:val="single" w:color="auto" w:sz="4" w:space="0"/>
            </w:tcBorders>
            <w:vAlign w:val="center"/>
          </w:tcPr>
          <w:p w14:paraId="2AA920A6">
            <w:pPr>
              <w:keepNext w:val="0"/>
              <w:keepLines w:val="0"/>
              <w:pageBreakBefore w:val="0"/>
              <w:widowControl/>
              <w:kinsoku/>
              <w:wordWrap/>
              <w:overflowPunct/>
              <w:topLinePunct w:val="0"/>
              <w:autoSpaceDE/>
              <w:autoSpaceDN/>
              <w:bidi w:val="0"/>
              <w:adjustRightInd/>
              <w:snapToGrid/>
              <w:ind w:left="0" w:right="0"/>
              <w:jc w:val="center"/>
              <w:rPr>
                <w:rFonts w:ascii="Times New Roman" w:hAnsi="Times New Roman"/>
                <w:b/>
                <w:color w:val="auto"/>
                <w:sz w:val="21"/>
                <w:szCs w:val="21"/>
                <w:highlight w:val="none"/>
              </w:rPr>
            </w:pPr>
            <w:r>
              <w:rPr>
                <w:rFonts w:hint="eastAsia" w:ascii="Times New Roman" w:hAnsi="Times New Roman"/>
                <w:b/>
                <w:color w:val="auto"/>
                <w:sz w:val="21"/>
                <w:szCs w:val="21"/>
                <w:highlight w:val="none"/>
              </w:rPr>
              <w:t>非甲烷总烃</w:t>
            </w:r>
          </w:p>
        </w:tc>
        <w:tc>
          <w:tcPr>
            <w:tcW w:w="2384" w:type="dxa"/>
            <w:gridSpan w:val="2"/>
            <w:tcBorders>
              <w:left w:val="single" w:color="auto" w:sz="4" w:space="0"/>
            </w:tcBorders>
            <w:vAlign w:val="center"/>
          </w:tcPr>
          <w:p w14:paraId="08C740FC">
            <w:pPr>
              <w:keepNext w:val="0"/>
              <w:keepLines w:val="0"/>
              <w:pageBreakBefore w:val="0"/>
              <w:widowControl/>
              <w:kinsoku/>
              <w:wordWrap/>
              <w:overflowPunct/>
              <w:topLinePunct w:val="0"/>
              <w:autoSpaceDE/>
              <w:autoSpaceDN/>
              <w:bidi w:val="0"/>
              <w:adjustRightInd/>
              <w:snapToGrid/>
              <w:ind w:left="0" w:right="0"/>
              <w:jc w:val="center"/>
              <w:rPr>
                <w:rFonts w:ascii="Times New Roman" w:hAnsi="Times New Roman"/>
                <w:b/>
                <w:color w:val="auto"/>
                <w:sz w:val="21"/>
                <w:szCs w:val="21"/>
                <w:highlight w:val="none"/>
              </w:rPr>
            </w:pPr>
            <w:r>
              <w:rPr>
                <w:rFonts w:hint="eastAsia" w:ascii="Times New Roman" w:hAnsi="Times New Roman"/>
                <w:b/>
                <w:color w:val="auto"/>
                <w:sz w:val="21"/>
                <w:szCs w:val="21"/>
                <w:highlight w:val="none"/>
              </w:rPr>
              <w:t>非甲烷总烃</w:t>
            </w:r>
          </w:p>
        </w:tc>
        <w:tc>
          <w:tcPr>
            <w:tcW w:w="2382" w:type="dxa"/>
            <w:gridSpan w:val="2"/>
            <w:tcBorders>
              <w:left w:val="single" w:color="auto" w:sz="4" w:space="0"/>
            </w:tcBorders>
            <w:vAlign w:val="center"/>
          </w:tcPr>
          <w:p w14:paraId="342E2454">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b/>
                <w:color w:val="auto"/>
                <w:sz w:val="21"/>
                <w:szCs w:val="21"/>
                <w:highlight w:val="none"/>
                <w:lang w:val="en-US" w:eastAsia="zh-CN"/>
              </w:rPr>
            </w:pPr>
            <w:r>
              <w:rPr>
                <w:rFonts w:hint="eastAsia" w:ascii="Times New Roman" w:hAnsi="Times New Roman"/>
                <w:b/>
                <w:color w:val="auto"/>
                <w:sz w:val="21"/>
                <w:szCs w:val="21"/>
                <w:highlight w:val="none"/>
                <w:lang w:val="en-US" w:eastAsia="zh-CN"/>
              </w:rPr>
              <w:t>氮氧化物</w:t>
            </w:r>
          </w:p>
        </w:tc>
      </w:tr>
      <w:tr w14:paraId="28F377F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353" w:type="dxa"/>
            <w:vMerge w:val="continue"/>
            <w:vAlign w:val="center"/>
          </w:tcPr>
          <w:p w14:paraId="0E0811C9">
            <w:pPr>
              <w:keepNext w:val="0"/>
              <w:keepLines w:val="0"/>
              <w:pageBreakBefore w:val="0"/>
              <w:widowControl/>
              <w:kinsoku/>
              <w:wordWrap/>
              <w:overflowPunct/>
              <w:topLinePunct w:val="0"/>
              <w:autoSpaceDE/>
              <w:autoSpaceDN/>
              <w:bidi w:val="0"/>
              <w:adjustRightInd/>
              <w:snapToGrid/>
              <w:ind w:left="0" w:right="0"/>
              <w:jc w:val="center"/>
              <w:rPr>
                <w:rFonts w:ascii="Times New Roman" w:hAnsi="Times New Roman"/>
                <w:b/>
                <w:color w:val="auto"/>
                <w:sz w:val="21"/>
                <w:szCs w:val="21"/>
                <w:highlight w:val="none"/>
              </w:rPr>
            </w:pPr>
          </w:p>
        </w:tc>
        <w:tc>
          <w:tcPr>
            <w:tcW w:w="1192" w:type="dxa"/>
            <w:tcBorders>
              <w:left w:val="single" w:color="auto" w:sz="6" w:space="0"/>
            </w:tcBorders>
            <w:vAlign w:val="center"/>
          </w:tcPr>
          <w:p w14:paraId="5F6D7ECE">
            <w:pPr>
              <w:keepNext w:val="0"/>
              <w:keepLines w:val="0"/>
              <w:pageBreakBefore w:val="0"/>
              <w:widowControl/>
              <w:kinsoku/>
              <w:wordWrap/>
              <w:overflowPunct/>
              <w:topLinePunct w:val="0"/>
              <w:autoSpaceDE/>
              <w:autoSpaceDN/>
              <w:bidi w:val="0"/>
              <w:adjustRightInd/>
              <w:snapToGrid/>
              <w:ind w:left="0" w:right="0"/>
              <w:jc w:val="center"/>
              <w:rPr>
                <w:rFonts w:ascii="Times New Roman" w:hAnsi="Times New Roman"/>
                <w:b/>
                <w:color w:val="auto"/>
                <w:sz w:val="21"/>
                <w:szCs w:val="21"/>
                <w:highlight w:val="none"/>
              </w:rPr>
            </w:pPr>
            <w:r>
              <w:rPr>
                <w:rFonts w:ascii="Times New Roman" w:hAnsi="Times New Roman"/>
                <w:b/>
                <w:color w:val="auto"/>
                <w:sz w:val="21"/>
                <w:szCs w:val="21"/>
                <w:highlight w:val="none"/>
              </w:rPr>
              <w:t>下风向预测浓度（μg/m</w:t>
            </w:r>
            <w:r>
              <w:rPr>
                <w:rFonts w:ascii="Times New Roman" w:hAnsi="Times New Roman"/>
                <w:b/>
                <w:color w:val="auto"/>
                <w:sz w:val="21"/>
                <w:szCs w:val="21"/>
                <w:highlight w:val="none"/>
                <w:vertAlign w:val="superscript"/>
              </w:rPr>
              <w:t>3</w:t>
            </w:r>
            <w:r>
              <w:rPr>
                <w:rFonts w:ascii="Times New Roman" w:hAnsi="Times New Roman"/>
                <w:b/>
                <w:color w:val="auto"/>
                <w:sz w:val="21"/>
                <w:szCs w:val="21"/>
                <w:highlight w:val="none"/>
              </w:rPr>
              <w:t>）</w:t>
            </w:r>
          </w:p>
        </w:tc>
        <w:tc>
          <w:tcPr>
            <w:tcW w:w="1193" w:type="dxa"/>
            <w:tcBorders>
              <w:left w:val="single" w:color="auto" w:sz="6" w:space="0"/>
            </w:tcBorders>
            <w:vAlign w:val="center"/>
          </w:tcPr>
          <w:p w14:paraId="4AE0C0F1">
            <w:pPr>
              <w:keepNext w:val="0"/>
              <w:keepLines w:val="0"/>
              <w:pageBreakBefore w:val="0"/>
              <w:widowControl/>
              <w:kinsoku/>
              <w:wordWrap/>
              <w:overflowPunct/>
              <w:topLinePunct w:val="0"/>
              <w:autoSpaceDE/>
              <w:autoSpaceDN/>
              <w:bidi w:val="0"/>
              <w:adjustRightInd/>
              <w:snapToGrid/>
              <w:ind w:left="0" w:right="0"/>
              <w:jc w:val="center"/>
              <w:rPr>
                <w:rFonts w:ascii="Times New Roman" w:hAnsi="Times New Roman"/>
                <w:b/>
                <w:color w:val="auto"/>
                <w:sz w:val="21"/>
                <w:szCs w:val="21"/>
                <w:highlight w:val="none"/>
              </w:rPr>
            </w:pPr>
            <w:r>
              <w:rPr>
                <w:rFonts w:ascii="Times New Roman" w:hAnsi="Times New Roman"/>
                <w:b/>
                <w:color w:val="auto"/>
                <w:sz w:val="21"/>
                <w:szCs w:val="21"/>
                <w:highlight w:val="none"/>
              </w:rPr>
              <w:t>浓度占标率（%）</w:t>
            </w:r>
          </w:p>
        </w:tc>
        <w:tc>
          <w:tcPr>
            <w:tcW w:w="1192" w:type="dxa"/>
            <w:tcBorders>
              <w:left w:val="single" w:color="auto" w:sz="6" w:space="0"/>
            </w:tcBorders>
            <w:vAlign w:val="center"/>
          </w:tcPr>
          <w:p w14:paraId="363A5EBF">
            <w:pPr>
              <w:keepNext w:val="0"/>
              <w:keepLines w:val="0"/>
              <w:pageBreakBefore w:val="0"/>
              <w:widowControl/>
              <w:kinsoku/>
              <w:wordWrap/>
              <w:overflowPunct/>
              <w:topLinePunct w:val="0"/>
              <w:autoSpaceDE/>
              <w:autoSpaceDN/>
              <w:bidi w:val="0"/>
              <w:adjustRightInd/>
              <w:snapToGrid/>
              <w:ind w:left="0" w:right="0"/>
              <w:jc w:val="center"/>
              <w:rPr>
                <w:rFonts w:ascii="Times New Roman" w:hAnsi="Times New Roman"/>
                <w:b/>
                <w:color w:val="auto"/>
                <w:sz w:val="21"/>
                <w:szCs w:val="21"/>
                <w:highlight w:val="none"/>
              </w:rPr>
            </w:pPr>
            <w:r>
              <w:rPr>
                <w:rFonts w:ascii="Times New Roman" w:hAnsi="Times New Roman"/>
                <w:b/>
                <w:color w:val="auto"/>
                <w:sz w:val="21"/>
                <w:szCs w:val="21"/>
                <w:highlight w:val="none"/>
              </w:rPr>
              <w:t>下风向预测浓度（μg/m</w:t>
            </w:r>
            <w:r>
              <w:rPr>
                <w:rFonts w:ascii="Times New Roman" w:hAnsi="Times New Roman"/>
                <w:b/>
                <w:color w:val="auto"/>
                <w:sz w:val="21"/>
                <w:szCs w:val="21"/>
                <w:highlight w:val="none"/>
                <w:vertAlign w:val="superscript"/>
              </w:rPr>
              <w:t>3</w:t>
            </w:r>
            <w:r>
              <w:rPr>
                <w:rFonts w:ascii="Times New Roman" w:hAnsi="Times New Roman"/>
                <w:b/>
                <w:color w:val="auto"/>
                <w:sz w:val="21"/>
                <w:szCs w:val="21"/>
                <w:highlight w:val="none"/>
              </w:rPr>
              <w:t>）</w:t>
            </w:r>
          </w:p>
        </w:tc>
        <w:tc>
          <w:tcPr>
            <w:tcW w:w="1192" w:type="dxa"/>
            <w:tcBorders>
              <w:left w:val="single" w:color="auto" w:sz="6" w:space="0"/>
            </w:tcBorders>
            <w:vAlign w:val="center"/>
          </w:tcPr>
          <w:p w14:paraId="68824D24">
            <w:pPr>
              <w:keepNext w:val="0"/>
              <w:keepLines w:val="0"/>
              <w:pageBreakBefore w:val="0"/>
              <w:widowControl/>
              <w:kinsoku/>
              <w:wordWrap/>
              <w:overflowPunct/>
              <w:topLinePunct w:val="0"/>
              <w:autoSpaceDE/>
              <w:autoSpaceDN/>
              <w:bidi w:val="0"/>
              <w:adjustRightInd/>
              <w:snapToGrid/>
              <w:ind w:left="0" w:right="0"/>
              <w:jc w:val="center"/>
              <w:rPr>
                <w:rFonts w:ascii="Times New Roman" w:hAnsi="Times New Roman"/>
                <w:b/>
                <w:color w:val="auto"/>
                <w:sz w:val="21"/>
                <w:szCs w:val="21"/>
                <w:highlight w:val="none"/>
              </w:rPr>
            </w:pPr>
            <w:r>
              <w:rPr>
                <w:rFonts w:ascii="Times New Roman" w:hAnsi="Times New Roman"/>
                <w:b/>
                <w:color w:val="auto"/>
                <w:sz w:val="21"/>
                <w:szCs w:val="21"/>
                <w:highlight w:val="none"/>
              </w:rPr>
              <w:t>浓度占标率（%）</w:t>
            </w:r>
          </w:p>
        </w:tc>
        <w:tc>
          <w:tcPr>
            <w:tcW w:w="1192" w:type="dxa"/>
            <w:tcBorders>
              <w:left w:val="single" w:color="auto" w:sz="6" w:space="0"/>
            </w:tcBorders>
            <w:vAlign w:val="center"/>
          </w:tcPr>
          <w:p w14:paraId="21310668">
            <w:pPr>
              <w:keepNext w:val="0"/>
              <w:keepLines w:val="0"/>
              <w:pageBreakBefore w:val="0"/>
              <w:widowControl/>
              <w:kinsoku/>
              <w:wordWrap/>
              <w:overflowPunct/>
              <w:topLinePunct w:val="0"/>
              <w:autoSpaceDE/>
              <w:autoSpaceDN/>
              <w:bidi w:val="0"/>
              <w:adjustRightInd/>
              <w:snapToGrid/>
              <w:ind w:left="0" w:leftChars="0" w:right="0" w:rightChars="0"/>
              <w:jc w:val="center"/>
              <w:rPr>
                <w:rFonts w:ascii="Times New Roman" w:hAnsi="Times New Roman"/>
                <w:b/>
                <w:color w:val="auto"/>
                <w:sz w:val="21"/>
                <w:szCs w:val="21"/>
                <w:highlight w:val="none"/>
              </w:rPr>
            </w:pPr>
            <w:r>
              <w:rPr>
                <w:rFonts w:ascii="Times New Roman" w:hAnsi="Times New Roman"/>
                <w:b/>
                <w:color w:val="auto"/>
                <w:sz w:val="21"/>
                <w:szCs w:val="21"/>
                <w:highlight w:val="none"/>
              </w:rPr>
              <w:t>下风向预测浓度（μg/m</w:t>
            </w:r>
            <w:r>
              <w:rPr>
                <w:rFonts w:ascii="Times New Roman" w:hAnsi="Times New Roman"/>
                <w:b/>
                <w:color w:val="auto"/>
                <w:sz w:val="21"/>
                <w:szCs w:val="21"/>
                <w:highlight w:val="none"/>
                <w:vertAlign w:val="superscript"/>
              </w:rPr>
              <w:t>3</w:t>
            </w:r>
            <w:r>
              <w:rPr>
                <w:rFonts w:ascii="Times New Roman" w:hAnsi="Times New Roman"/>
                <w:b/>
                <w:color w:val="auto"/>
                <w:sz w:val="21"/>
                <w:szCs w:val="21"/>
                <w:highlight w:val="none"/>
              </w:rPr>
              <w:t>）</w:t>
            </w:r>
          </w:p>
        </w:tc>
        <w:tc>
          <w:tcPr>
            <w:tcW w:w="1190" w:type="dxa"/>
            <w:tcBorders>
              <w:left w:val="single" w:color="auto" w:sz="6" w:space="0"/>
            </w:tcBorders>
            <w:vAlign w:val="center"/>
          </w:tcPr>
          <w:p w14:paraId="549E8D61">
            <w:pPr>
              <w:keepNext w:val="0"/>
              <w:keepLines w:val="0"/>
              <w:pageBreakBefore w:val="0"/>
              <w:widowControl/>
              <w:kinsoku/>
              <w:wordWrap/>
              <w:overflowPunct/>
              <w:topLinePunct w:val="0"/>
              <w:autoSpaceDE/>
              <w:autoSpaceDN/>
              <w:bidi w:val="0"/>
              <w:adjustRightInd/>
              <w:snapToGrid/>
              <w:ind w:left="0" w:leftChars="0" w:right="0" w:rightChars="0"/>
              <w:jc w:val="center"/>
              <w:rPr>
                <w:rFonts w:ascii="Times New Roman" w:hAnsi="Times New Roman"/>
                <w:b/>
                <w:color w:val="auto"/>
                <w:sz w:val="21"/>
                <w:szCs w:val="21"/>
                <w:highlight w:val="none"/>
              </w:rPr>
            </w:pPr>
            <w:r>
              <w:rPr>
                <w:rFonts w:ascii="Times New Roman" w:hAnsi="Times New Roman"/>
                <w:b/>
                <w:color w:val="auto"/>
                <w:sz w:val="21"/>
                <w:szCs w:val="21"/>
                <w:highlight w:val="none"/>
              </w:rPr>
              <w:t>浓度占标率（%）</w:t>
            </w:r>
          </w:p>
        </w:tc>
      </w:tr>
      <w:tr w14:paraId="11B0127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353" w:type="dxa"/>
            <w:vAlign w:val="center"/>
          </w:tcPr>
          <w:p w14:paraId="6ED1F879">
            <w:pPr>
              <w:keepNext w:val="0"/>
              <w:keepLines w:val="0"/>
              <w:pageBreakBefore w:val="0"/>
              <w:widowControl/>
              <w:kinsoku/>
              <w:wordWrap/>
              <w:overflowPunct/>
              <w:topLinePunct w:val="0"/>
              <w:autoSpaceDE/>
              <w:autoSpaceDN/>
              <w:bidi w:val="0"/>
              <w:adjustRightInd/>
              <w:snapToGrid/>
              <w:ind w:left="0" w:right="0"/>
              <w:jc w:val="center"/>
              <w:textAlignment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10</w:t>
            </w:r>
          </w:p>
        </w:tc>
        <w:tc>
          <w:tcPr>
            <w:tcW w:w="1192" w:type="dxa"/>
            <w:tcBorders>
              <w:left w:val="single" w:color="auto" w:sz="6" w:space="0"/>
            </w:tcBorders>
            <w:vAlign w:val="center"/>
          </w:tcPr>
          <w:p w14:paraId="0CC34A26">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0.47676</w:t>
            </w:r>
          </w:p>
        </w:tc>
        <w:tc>
          <w:tcPr>
            <w:tcW w:w="1193" w:type="dxa"/>
            <w:tcBorders>
              <w:left w:val="single" w:color="auto" w:sz="6" w:space="0"/>
            </w:tcBorders>
            <w:vAlign w:val="center"/>
          </w:tcPr>
          <w:p w14:paraId="1C8F8EAF">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0.00</w:t>
            </w:r>
          </w:p>
        </w:tc>
        <w:tc>
          <w:tcPr>
            <w:tcW w:w="1192" w:type="dxa"/>
            <w:tcBorders>
              <w:left w:val="single" w:color="auto" w:sz="6" w:space="0"/>
            </w:tcBorders>
            <w:vAlign w:val="center"/>
          </w:tcPr>
          <w:p w14:paraId="6DBB0A29">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0.05813</w:t>
            </w:r>
          </w:p>
        </w:tc>
        <w:tc>
          <w:tcPr>
            <w:tcW w:w="1192" w:type="dxa"/>
            <w:tcBorders>
              <w:left w:val="single" w:color="auto" w:sz="6" w:space="0"/>
            </w:tcBorders>
            <w:vAlign w:val="center"/>
          </w:tcPr>
          <w:p w14:paraId="20A2D6D1">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0.00</w:t>
            </w:r>
          </w:p>
        </w:tc>
        <w:tc>
          <w:tcPr>
            <w:tcW w:w="1192" w:type="dxa"/>
            <w:tcBorders>
              <w:left w:val="single" w:color="auto" w:sz="6" w:space="0"/>
            </w:tcBorders>
            <w:vAlign w:val="center"/>
          </w:tcPr>
          <w:p w14:paraId="25633924">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0.0278835</w:t>
            </w:r>
          </w:p>
        </w:tc>
        <w:tc>
          <w:tcPr>
            <w:tcW w:w="1190" w:type="dxa"/>
            <w:tcBorders>
              <w:left w:val="single" w:color="auto" w:sz="6" w:space="0"/>
            </w:tcBorders>
            <w:vAlign w:val="center"/>
          </w:tcPr>
          <w:p w14:paraId="61897BD2">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0.00</w:t>
            </w:r>
          </w:p>
        </w:tc>
      </w:tr>
      <w:tr w14:paraId="75C83BF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353" w:type="dxa"/>
            <w:vAlign w:val="center"/>
          </w:tcPr>
          <w:p w14:paraId="7C316E7F">
            <w:pPr>
              <w:keepNext w:val="0"/>
              <w:keepLines w:val="0"/>
              <w:pageBreakBefore w:val="0"/>
              <w:widowControl/>
              <w:kinsoku/>
              <w:wordWrap/>
              <w:overflowPunct/>
              <w:topLinePunct w:val="0"/>
              <w:autoSpaceDE/>
              <w:autoSpaceDN/>
              <w:bidi w:val="0"/>
              <w:adjustRightInd/>
              <w:snapToGrid/>
              <w:ind w:left="0" w:right="0"/>
              <w:jc w:val="center"/>
              <w:textAlignment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25</w:t>
            </w:r>
          </w:p>
        </w:tc>
        <w:tc>
          <w:tcPr>
            <w:tcW w:w="1192" w:type="dxa"/>
            <w:tcBorders>
              <w:left w:val="single" w:color="auto" w:sz="6" w:space="0"/>
            </w:tcBorders>
            <w:vAlign w:val="center"/>
          </w:tcPr>
          <w:p w14:paraId="304A8F6A">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12.693</w:t>
            </w:r>
          </w:p>
        </w:tc>
        <w:tc>
          <w:tcPr>
            <w:tcW w:w="1193" w:type="dxa"/>
            <w:tcBorders>
              <w:left w:val="single" w:color="auto" w:sz="6" w:space="0"/>
            </w:tcBorders>
            <w:vAlign w:val="center"/>
          </w:tcPr>
          <w:p w14:paraId="45F6D862">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0.60</w:t>
            </w:r>
          </w:p>
        </w:tc>
        <w:tc>
          <w:tcPr>
            <w:tcW w:w="1192" w:type="dxa"/>
            <w:tcBorders>
              <w:left w:val="single" w:color="auto" w:sz="6" w:space="0"/>
            </w:tcBorders>
            <w:vAlign w:val="center"/>
          </w:tcPr>
          <w:p w14:paraId="655CDC36">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0.63205</w:t>
            </w:r>
          </w:p>
        </w:tc>
        <w:tc>
          <w:tcPr>
            <w:tcW w:w="1192" w:type="dxa"/>
            <w:tcBorders>
              <w:left w:val="single" w:color="auto" w:sz="6" w:space="0"/>
            </w:tcBorders>
            <w:vAlign w:val="center"/>
          </w:tcPr>
          <w:p w14:paraId="6F7F6B6C">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0.00</w:t>
            </w:r>
          </w:p>
        </w:tc>
        <w:tc>
          <w:tcPr>
            <w:tcW w:w="1192" w:type="dxa"/>
            <w:tcBorders>
              <w:left w:val="single" w:color="auto" w:sz="6" w:space="0"/>
            </w:tcBorders>
            <w:vAlign w:val="center"/>
          </w:tcPr>
          <w:p w14:paraId="10A33542">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0.303178</w:t>
            </w:r>
          </w:p>
        </w:tc>
        <w:tc>
          <w:tcPr>
            <w:tcW w:w="1190" w:type="dxa"/>
            <w:tcBorders>
              <w:left w:val="single" w:color="auto" w:sz="6" w:space="0"/>
            </w:tcBorders>
            <w:vAlign w:val="center"/>
          </w:tcPr>
          <w:p w14:paraId="71A53681">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0.10</w:t>
            </w:r>
          </w:p>
        </w:tc>
      </w:tr>
      <w:tr w14:paraId="3671BF9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353" w:type="dxa"/>
            <w:vAlign w:val="center"/>
          </w:tcPr>
          <w:p w14:paraId="751BE941">
            <w:pPr>
              <w:keepNext w:val="0"/>
              <w:keepLines w:val="0"/>
              <w:pageBreakBefore w:val="0"/>
              <w:widowControl/>
              <w:kinsoku/>
              <w:wordWrap/>
              <w:overflowPunct/>
              <w:topLinePunct w:val="0"/>
              <w:autoSpaceDE/>
              <w:autoSpaceDN/>
              <w:bidi w:val="0"/>
              <w:adjustRightInd/>
              <w:snapToGrid/>
              <w:ind w:left="0" w:right="0"/>
              <w:jc w:val="center"/>
              <w:textAlignment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50</w:t>
            </w:r>
          </w:p>
        </w:tc>
        <w:tc>
          <w:tcPr>
            <w:tcW w:w="1192" w:type="dxa"/>
            <w:tcBorders>
              <w:left w:val="single" w:color="auto" w:sz="6" w:space="0"/>
            </w:tcBorders>
            <w:vAlign w:val="center"/>
          </w:tcPr>
          <w:p w14:paraId="1ECACB8F">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10.863</w:t>
            </w:r>
          </w:p>
        </w:tc>
        <w:tc>
          <w:tcPr>
            <w:tcW w:w="1193" w:type="dxa"/>
            <w:tcBorders>
              <w:left w:val="single" w:color="auto" w:sz="6" w:space="0"/>
            </w:tcBorders>
            <w:vAlign w:val="center"/>
          </w:tcPr>
          <w:p w14:paraId="57CE26C4">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0.50</w:t>
            </w:r>
          </w:p>
        </w:tc>
        <w:tc>
          <w:tcPr>
            <w:tcW w:w="1192" w:type="dxa"/>
            <w:tcBorders>
              <w:left w:val="single" w:color="auto" w:sz="6" w:space="0"/>
            </w:tcBorders>
            <w:vAlign w:val="center"/>
          </w:tcPr>
          <w:p w14:paraId="4FCF0339">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0.68379</w:t>
            </w:r>
          </w:p>
        </w:tc>
        <w:tc>
          <w:tcPr>
            <w:tcW w:w="1192" w:type="dxa"/>
            <w:tcBorders>
              <w:left w:val="single" w:color="auto" w:sz="6" w:space="0"/>
            </w:tcBorders>
            <w:vAlign w:val="center"/>
          </w:tcPr>
          <w:p w14:paraId="2F4C64B7">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0.00</w:t>
            </w:r>
          </w:p>
        </w:tc>
        <w:tc>
          <w:tcPr>
            <w:tcW w:w="1192" w:type="dxa"/>
            <w:tcBorders>
              <w:left w:val="single" w:color="auto" w:sz="6" w:space="0"/>
            </w:tcBorders>
            <w:vAlign w:val="center"/>
          </w:tcPr>
          <w:p w14:paraId="56D1D182">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0.327997</w:t>
            </w:r>
          </w:p>
        </w:tc>
        <w:tc>
          <w:tcPr>
            <w:tcW w:w="1190" w:type="dxa"/>
            <w:tcBorders>
              <w:left w:val="single" w:color="auto" w:sz="6" w:space="0"/>
            </w:tcBorders>
            <w:vAlign w:val="center"/>
          </w:tcPr>
          <w:p w14:paraId="1D04C8E0">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0.10</w:t>
            </w:r>
          </w:p>
        </w:tc>
      </w:tr>
      <w:tr w14:paraId="6A194CB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353" w:type="dxa"/>
            <w:vAlign w:val="center"/>
          </w:tcPr>
          <w:p w14:paraId="5D70D260">
            <w:pPr>
              <w:keepNext w:val="0"/>
              <w:keepLines w:val="0"/>
              <w:pageBreakBefore w:val="0"/>
              <w:widowControl/>
              <w:kinsoku/>
              <w:wordWrap/>
              <w:overflowPunct/>
              <w:topLinePunct w:val="0"/>
              <w:autoSpaceDE/>
              <w:autoSpaceDN/>
              <w:bidi w:val="0"/>
              <w:adjustRightInd/>
              <w:snapToGrid/>
              <w:ind w:left="0" w:right="0"/>
              <w:jc w:val="center"/>
              <w:textAlignment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70</w:t>
            </w:r>
          </w:p>
        </w:tc>
        <w:tc>
          <w:tcPr>
            <w:tcW w:w="1192" w:type="dxa"/>
            <w:tcBorders>
              <w:left w:val="single" w:color="auto" w:sz="6" w:space="0"/>
            </w:tcBorders>
            <w:vAlign w:val="center"/>
          </w:tcPr>
          <w:p w14:paraId="0A680B4C">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w:t>
            </w:r>
          </w:p>
        </w:tc>
        <w:tc>
          <w:tcPr>
            <w:tcW w:w="1193" w:type="dxa"/>
            <w:tcBorders>
              <w:left w:val="single" w:color="auto" w:sz="6" w:space="0"/>
            </w:tcBorders>
            <w:vAlign w:val="center"/>
          </w:tcPr>
          <w:p w14:paraId="60CB2EED">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w:t>
            </w:r>
          </w:p>
        </w:tc>
        <w:tc>
          <w:tcPr>
            <w:tcW w:w="1192" w:type="dxa"/>
            <w:tcBorders>
              <w:left w:val="single" w:color="auto" w:sz="6" w:space="0"/>
            </w:tcBorders>
            <w:vAlign w:val="center"/>
          </w:tcPr>
          <w:p w14:paraId="73D9EA83">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1.469</w:t>
            </w:r>
          </w:p>
        </w:tc>
        <w:tc>
          <w:tcPr>
            <w:tcW w:w="1192" w:type="dxa"/>
            <w:tcBorders>
              <w:left w:val="single" w:color="auto" w:sz="6" w:space="0"/>
            </w:tcBorders>
            <w:vAlign w:val="center"/>
          </w:tcPr>
          <w:p w14:paraId="4FA18875">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0.10</w:t>
            </w:r>
          </w:p>
        </w:tc>
        <w:tc>
          <w:tcPr>
            <w:tcW w:w="1192" w:type="dxa"/>
            <w:tcBorders>
              <w:left w:val="single" w:color="auto" w:sz="6" w:space="0"/>
            </w:tcBorders>
            <w:vAlign w:val="center"/>
          </w:tcPr>
          <w:p w14:paraId="7573C578">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0.704642</w:t>
            </w:r>
          </w:p>
        </w:tc>
        <w:tc>
          <w:tcPr>
            <w:tcW w:w="1190" w:type="dxa"/>
            <w:tcBorders>
              <w:left w:val="single" w:color="auto" w:sz="6" w:space="0"/>
            </w:tcBorders>
            <w:vAlign w:val="center"/>
          </w:tcPr>
          <w:p w14:paraId="4CD7622A">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0.30</w:t>
            </w:r>
          </w:p>
        </w:tc>
      </w:tr>
      <w:tr w14:paraId="17C58E5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353" w:type="dxa"/>
            <w:vAlign w:val="center"/>
          </w:tcPr>
          <w:p w14:paraId="6D8771AB">
            <w:pPr>
              <w:keepNext w:val="0"/>
              <w:keepLines w:val="0"/>
              <w:pageBreakBefore w:val="0"/>
              <w:widowControl/>
              <w:kinsoku/>
              <w:wordWrap/>
              <w:overflowPunct/>
              <w:topLinePunct w:val="0"/>
              <w:autoSpaceDE/>
              <w:autoSpaceDN/>
              <w:bidi w:val="0"/>
              <w:adjustRightInd/>
              <w:snapToGrid/>
              <w:ind w:left="0" w:right="0"/>
              <w:jc w:val="center"/>
              <w:textAlignment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75</w:t>
            </w:r>
          </w:p>
        </w:tc>
        <w:tc>
          <w:tcPr>
            <w:tcW w:w="1192" w:type="dxa"/>
            <w:tcBorders>
              <w:left w:val="single" w:color="auto" w:sz="6" w:space="0"/>
            </w:tcBorders>
            <w:vAlign w:val="center"/>
          </w:tcPr>
          <w:p w14:paraId="3908D701">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14.21</w:t>
            </w:r>
          </w:p>
        </w:tc>
        <w:tc>
          <w:tcPr>
            <w:tcW w:w="1193" w:type="dxa"/>
            <w:tcBorders>
              <w:left w:val="single" w:color="auto" w:sz="6" w:space="0"/>
            </w:tcBorders>
            <w:vAlign w:val="center"/>
          </w:tcPr>
          <w:p w14:paraId="3A65C76A">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0.70</w:t>
            </w:r>
          </w:p>
        </w:tc>
        <w:tc>
          <w:tcPr>
            <w:tcW w:w="1192" w:type="dxa"/>
            <w:tcBorders>
              <w:left w:val="single" w:color="auto" w:sz="6" w:space="0"/>
            </w:tcBorders>
            <w:vAlign w:val="center"/>
          </w:tcPr>
          <w:p w14:paraId="4B6BE6AF">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1.4559</w:t>
            </w:r>
          </w:p>
        </w:tc>
        <w:tc>
          <w:tcPr>
            <w:tcW w:w="1192" w:type="dxa"/>
            <w:tcBorders>
              <w:left w:val="single" w:color="auto" w:sz="6" w:space="0"/>
            </w:tcBorders>
            <w:vAlign w:val="center"/>
          </w:tcPr>
          <w:p w14:paraId="05BBFE27">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0.10</w:t>
            </w:r>
          </w:p>
        </w:tc>
        <w:tc>
          <w:tcPr>
            <w:tcW w:w="1192" w:type="dxa"/>
            <w:tcBorders>
              <w:left w:val="single" w:color="auto" w:sz="6" w:space="0"/>
            </w:tcBorders>
            <w:vAlign w:val="center"/>
          </w:tcPr>
          <w:p w14:paraId="43C05A76">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0.698359</w:t>
            </w:r>
          </w:p>
        </w:tc>
        <w:tc>
          <w:tcPr>
            <w:tcW w:w="1190" w:type="dxa"/>
            <w:tcBorders>
              <w:left w:val="single" w:color="auto" w:sz="6" w:space="0"/>
            </w:tcBorders>
            <w:vAlign w:val="center"/>
          </w:tcPr>
          <w:p w14:paraId="05011480">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0.30</w:t>
            </w:r>
          </w:p>
        </w:tc>
      </w:tr>
      <w:tr w14:paraId="7632EA0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353" w:type="dxa"/>
            <w:vAlign w:val="center"/>
          </w:tcPr>
          <w:p w14:paraId="34E6C820">
            <w:pPr>
              <w:keepNext w:val="0"/>
              <w:keepLines w:val="0"/>
              <w:pageBreakBefore w:val="0"/>
              <w:widowControl/>
              <w:kinsoku/>
              <w:wordWrap/>
              <w:overflowPunct/>
              <w:topLinePunct w:val="0"/>
              <w:autoSpaceDE/>
              <w:autoSpaceDN/>
              <w:bidi w:val="0"/>
              <w:adjustRightInd/>
              <w:snapToGrid/>
              <w:ind w:left="0" w:right="0"/>
              <w:jc w:val="center"/>
              <w:textAlignment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100</w:t>
            </w:r>
          </w:p>
        </w:tc>
        <w:tc>
          <w:tcPr>
            <w:tcW w:w="1192" w:type="dxa"/>
            <w:tcBorders>
              <w:left w:val="single" w:color="auto" w:sz="6" w:space="0"/>
            </w:tcBorders>
            <w:vAlign w:val="center"/>
          </w:tcPr>
          <w:p w14:paraId="52E45774">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32.278</w:t>
            </w:r>
          </w:p>
        </w:tc>
        <w:tc>
          <w:tcPr>
            <w:tcW w:w="1193" w:type="dxa"/>
            <w:tcBorders>
              <w:left w:val="single" w:color="auto" w:sz="6" w:space="0"/>
            </w:tcBorders>
            <w:vAlign w:val="center"/>
          </w:tcPr>
          <w:p w14:paraId="4AD6188E">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1.60</w:t>
            </w:r>
          </w:p>
        </w:tc>
        <w:tc>
          <w:tcPr>
            <w:tcW w:w="1192" w:type="dxa"/>
            <w:tcBorders>
              <w:left w:val="single" w:color="auto" w:sz="6" w:space="0"/>
            </w:tcBorders>
            <w:vAlign w:val="center"/>
          </w:tcPr>
          <w:p w14:paraId="0442B7DB">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1.2337</w:t>
            </w:r>
          </w:p>
        </w:tc>
        <w:tc>
          <w:tcPr>
            <w:tcW w:w="1192" w:type="dxa"/>
            <w:tcBorders>
              <w:left w:val="single" w:color="auto" w:sz="6" w:space="0"/>
            </w:tcBorders>
            <w:vAlign w:val="center"/>
          </w:tcPr>
          <w:p w14:paraId="3D20CA31">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0.10</w:t>
            </w:r>
          </w:p>
        </w:tc>
        <w:tc>
          <w:tcPr>
            <w:tcW w:w="1192" w:type="dxa"/>
            <w:tcBorders>
              <w:left w:val="single" w:color="auto" w:sz="6" w:space="0"/>
            </w:tcBorders>
            <w:vAlign w:val="center"/>
          </w:tcPr>
          <w:p w14:paraId="479CDE1F">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0.591775</w:t>
            </w:r>
          </w:p>
        </w:tc>
        <w:tc>
          <w:tcPr>
            <w:tcW w:w="1190" w:type="dxa"/>
            <w:tcBorders>
              <w:left w:val="single" w:color="auto" w:sz="6" w:space="0"/>
            </w:tcBorders>
            <w:vAlign w:val="center"/>
          </w:tcPr>
          <w:p w14:paraId="0B5BB225">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0.20</w:t>
            </w:r>
          </w:p>
        </w:tc>
      </w:tr>
      <w:tr w14:paraId="441FBC9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353" w:type="dxa"/>
            <w:vAlign w:val="center"/>
          </w:tcPr>
          <w:p w14:paraId="7E6D706F">
            <w:pPr>
              <w:keepNext w:val="0"/>
              <w:keepLines w:val="0"/>
              <w:pageBreakBefore w:val="0"/>
              <w:widowControl/>
              <w:kinsoku/>
              <w:wordWrap/>
              <w:overflowPunct/>
              <w:topLinePunct w:val="0"/>
              <w:autoSpaceDE/>
              <w:autoSpaceDN/>
              <w:bidi w:val="0"/>
              <w:adjustRightInd/>
              <w:snapToGrid/>
              <w:ind w:left="0" w:right="0"/>
              <w:jc w:val="center"/>
              <w:textAlignment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113</w:t>
            </w:r>
          </w:p>
        </w:tc>
        <w:tc>
          <w:tcPr>
            <w:tcW w:w="1192" w:type="dxa"/>
            <w:tcBorders>
              <w:left w:val="single" w:color="auto" w:sz="6" w:space="0"/>
            </w:tcBorders>
            <w:vAlign w:val="center"/>
          </w:tcPr>
          <w:p w14:paraId="0AE82338">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35.581</w:t>
            </w:r>
          </w:p>
        </w:tc>
        <w:tc>
          <w:tcPr>
            <w:tcW w:w="1193" w:type="dxa"/>
            <w:tcBorders>
              <w:left w:val="single" w:color="auto" w:sz="6" w:space="0"/>
            </w:tcBorders>
            <w:vAlign w:val="center"/>
          </w:tcPr>
          <w:p w14:paraId="06E3AC7B">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1.80</w:t>
            </w:r>
          </w:p>
        </w:tc>
        <w:tc>
          <w:tcPr>
            <w:tcW w:w="1192" w:type="dxa"/>
            <w:tcBorders>
              <w:left w:val="single" w:color="auto" w:sz="6" w:space="0"/>
            </w:tcBorders>
            <w:vAlign w:val="center"/>
          </w:tcPr>
          <w:p w14:paraId="005530C1">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w:t>
            </w:r>
          </w:p>
        </w:tc>
        <w:tc>
          <w:tcPr>
            <w:tcW w:w="1192" w:type="dxa"/>
            <w:tcBorders>
              <w:left w:val="single" w:color="auto" w:sz="6" w:space="0"/>
            </w:tcBorders>
            <w:vAlign w:val="center"/>
          </w:tcPr>
          <w:p w14:paraId="315420A8">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w:t>
            </w:r>
          </w:p>
        </w:tc>
        <w:tc>
          <w:tcPr>
            <w:tcW w:w="1192" w:type="dxa"/>
            <w:tcBorders>
              <w:left w:val="single" w:color="auto" w:sz="6" w:space="0"/>
            </w:tcBorders>
            <w:vAlign w:val="center"/>
          </w:tcPr>
          <w:p w14:paraId="5464D905">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w:t>
            </w:r>
          </w:p>
        </w:tc>
        <w:tc>
          <w:tcPr>
            <w:tcW w:w="1190" w:type="dxa"/>
            <w:tcBorders>
              <w:left w:val="single" w:color="auto" w:sz="6" w:space="0"/>
            </w:tcBorders>
            <w:vAlign w:val="center"/>
          </w:tcPr>
          <w:p w14:paraId="3971160D">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w:t>
            </w:r>
          </w:p>
        </w:tc>
      </w:tr>
      <w:tr w14:paraId="0F00918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353" w:type="dxa"/>
            <w:vAlign w:val="center"/>
          </w:tcPr>
          <w:p w14:paraId="5F85325D">
            <w:pPr>
              <w:keepNext w:val="0"/>
              <w:keepLines w:val="0"/>
              <w:pageBreakBefore w:val="0"/>
              <w:widowControl/>
              <w:kinsoku/>
              <w:wordWrap/>
              <w:overflowPunct/>
              <w:topLinePunct w:val="0"/>
              <w:autoSpaceDE/>
              <w:autoSpaceDN/>
              <w:bidi w:val="0"/>
              <w:adjustRightInd/>
              <w:snapToGrid/>
              <w:ind w:left="0" w:right="0"/>
              <w:jc w:val="center"/>
              <w:textAlignment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125</w:t>
            </w:r>
          </w:p>
        </w:tc>
        <w:tc>
          <w:tcPr>
            <w:tcW w:w="1192" w:type="dxa"/>
            <w:tcBorders>
              <w:left w:val="single" w:color="auto" w:sz="6" w:space="0"/>
            </w:tcBorders>
            <w:vAlign w:val="center"/>
          </w:tcPr>
          <w:p w14:paraId="740F3810">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35.071</w:t>
            </w:r>
          </w:p>
        </w:tc>
        <w:tc>
          <w:tcPr>
            <w:tcW w:w="1193" w:type="dxa"/>
            <w:tcBorders>
              <w:left w:val="single" w:color="auto" w:sz="6" w:space="0"/>
            </w:tcBorders>
            <w:vAlign w:val="center"/>
          </w:tcPr>
          <w:p w14:paraId="3DFAE668">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1.80</w:t>
            </w:r>
          </w:p>
        </w:tc>
        <w:tc>
          <w:tcPr>
            <w:tcW w:w="1192" w:type="dxa"/>
            <w:tcBorders>
              <w:left w:val="single" w:color="auto" w:sz="6" w:space="0"/>
            </w:tcBorders>
            <w:vAlign w:val="center"/>
          </w:tcPr>
          <w:p w14:paraId="5C6C9A75">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0.98429</w:t>
            </w:r>
          </w:p>
        </w:tc>
        <w:tc>
          <w:tcPr>
            <w:tcW w:w="1192" w:type="dxa"/>
            <w:tcBorders>
              <w:left w:val="single" w:color="auto" w:sz="6" w:space="0"/>
            </w:tcBorders>
            <w:vAlign w:val="center"/>
          </w:tcPr>
          <w:p w14:paraId="3563D6B6">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0.00</w:t>
            </w:r>
          </w:p>
        </w:tc>
        <w:tc>
          <w:tcPr>
            <w:tcW w:w="1192" w:type="dxa"/>
            <w:tcBorders>
              <w:left w:val="single" w:color="auto" w:sz="6" w:space="0"/>
            </w:tcBorders>
            <w:vAlign w:val="center"/>
          </w:tcPr>
          <w:p w14:paraId="3B09D30C">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0.472139</w:t>
            </w:r>
          </w:p>
        </w:tc>
        <w:tc>
          <w:tcPr>
            <w:tcW w:w="1190" w:type="dxa"/>
            <w:tcBorders>
              <w:left w:val="single" w:color="auto" w:sz="6" w:space="0"/>
            </w:tcBorders>
            <w:vAlign w:val="center"/>
          </w:tcPr>
          <w:p w14:paraId="55B3159B">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0.20</w:t>
            </w:r>
          </w:p>
        </w:tc>
      </w:tr>
      <w:tr w14:paraId="73C61CD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353" w:type="dxa"/>
            <w:vAlign w:val="center"/>
          </w:tcPr>
          <w:p w14:paraId="20F52C25">
            <w:pPr>
              <w:keepNext w:val="0"/>
              <w:keepLines w:val="0"/>
              <w:pageBreakBefore w:val="0"/>
              <w:widowControl/>
              <w:kinsoku/>
              <w:wordWrap/>
              <w:overflowPunct/>
              <w:topLinePunct w:val="0"/>
              <w:autoSpaceDE/>
              <w:autoSpaceDN/>
              <w:bidi w:val="0"/>
              <w:adjustRightInd/>
              <w:snapToGrid/>
              <w:ind w:left="0" w:right="0"/>
              <w:jc w:val="center"/>
              <w:textAlignment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150</w:t>
            </w:r>
          </w:p>
        </w:tc>
        <w:tc>
          <w:tcPr>
            <w:tcW w:w="1192" w:type="dxa"/>
            <w:tcBorders>
              <w:left w:val="single" w:color="auto" w:sz="6" w:space="0"/>
            </w:tcBorders>
            <w:vAlign w:val="center"/>
          </w:tcPr>
          <w:p w14:paraId="386A5775">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32.056</w:t>
            </w:r>
          </w:p>
        </w:tc>
        <w:tc>
          <w:tcPr>
            <w:tcW w:w="1193" w:type="dxa"/>
            <w:tcBorders>
              <w:left w:val="single" w:color="auto" w:sz="6" w:space="0"/>
            </w:tcBorders>
            <w:vAlign w:val="center"/>
          </w:tcPr>
          <w:p w14:paraId="5E4568A3">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1.60</w:t>
            </w:r>
          </w:p>
        </w:tc>
        <w:tc>
          <w:tcPr>
            <w:tcW w:w="1192" w:type="dxa"/>
            <w:tcBorders>
              <w:left w:val="single" w:color="auto" w:sz="6" w:space="0"/>
            </w:tcBorders>
            <w:vAlign w:val="center"/>
          </w:tcPr>
          <w:p w14:paraId="058C9629">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0.78737</w:t>
            </w:r>
          </w:p>
        </w:tc>
        <w:tc>
          <w:tcPr>
            <w:tcW w:w="1192" w:type="dxa"/>
            <w:tcBorders>
              <w:left w:val="single" w:color="auto" w:sz="6" w:space="0"/>
            </w:tcBorders>
            <w:vAlign w:val="center"/>
          </w:tcPr>
          <w:p w14:paraId="5B750C08">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0.00</w:t>
            </w:r>
          </w:p>
        </w:tc>
        <w:tc>
          <w:tcPr>
            <w:tcW w:w="1192" w:type="dxa"/>
            <w:tcBorders>
              <w:left w:val="single" w:color="auto" w:sz="6" w:space="0"/>
            </w:tcBorders>
            <w:vAlign w:val="center"/>
          </w:tcPr>
          <w:p w14:paraId="0E4FAE44">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0.377682</w:t>
            </w:r>
          </w:p>
        </w:tc>
        <w:tc>
          <w:tcPr>
            <w:tcW w:w="1190" w:type="dxa"/>
            <w:tcBorders>
              <w:left w:val="single" w:color="auto" w:sz="6" w:space="0"/>
            </w:tcBorders>
            <w:vAlign w:val="center"/>
          </w:tcPr>
          <w:p w14:paraId="015A4083">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0.20</w:t>
            </w:r>
          </w:p>
        </w:tc>
      </w:tr>
      <w:tr w14:paraId="3F34FDC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353" w:type="dxa"/>
            <w:vAlign w:val="center"/>
          </w:tcPr>
          <w:p w14:paraId="1AADF980">
            <w:pPr>
              <w:keepNext w:val="0"/>
              <w:keepLines w:val="0"/>
              <w:pageBreakBefore w:val="0"/>
              <w:widowControl/>
              <w:kinsoku/>
              <w:wordWrap/>
              <w:overflowPunct/>
              <w:topLinePunct w:val="0"/>
              <w:autoSpaceDE/>
              <w:autoSpaceDN/>
              <w:bidi w:val="0"/>
              <w:adjustRightInd/>
              <w:snapToGrid/>
              <w:ind w:left="0" w:right="0"/>
              <w:jc w:val="center"/>
              <w:textAlignment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175</w:t>
            </w:r>
          </w:p>
        </w:tc>
        <w:tc>
          <w:tcPr>
            <w:tcW w:w="1192" w:type="dxa"/>
            <w:tcBorders>
              <w:left w:val="single" w:color="auto" w:sz="6" w:space="0"/>
            </w:tcBorders>
            <w:vAlign w:val="center"/>
          </w:tcPr>
          <w:p w14:paraId="7BD32170">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28.314</w:t>
            </w:r>
          </w:p>
        </w:tc>
        <w:tc>
          <w:tcPr>
            <w:tcW w:w="1193" w:type="dxa"/>
            <w:tcBorders>
              <w:left w:val="single" w:color="auto" w:sz="6" w:space="0"/>
            </w:tcBorders>
            <w:vAlign w:val="center"/>
          </w:tcPr>
          <w:p w14:paraId="4B0CC179">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1.40</w:t>
            </w:r>
          </w:p>
        </w:tc>
        <w:tc>
          <w:tcPr>
            <w:tcW w:w="1192" w:type="dxa"/>
            <w:tcBorders>
              <w:left w:val="single" w:color="auto" w:sz="6" w:space="0"/>
            </w:tcBorders>
            <w:vAlign w:val="center"/>
          </w:tcPr>
          <w:p w14:paraId="45787E32">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0.64038</w:t>
            </w:r>
          </w:p>
        </w:tc>
        <w:tc>
          <w:tcPr>
            <w:tcW w:w="1192" w:type="dxa"/>
            <w:tcBorders>
              <w:left w:val="single" w:color="auto" w:sz="6" w:space="0"/>
            </w:tcBorders>
            <w:vAlign w:val="center"/>
          </w:tcPr>
          <w:p w14:paraId="136ABFD4">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0.00</w:t>
            </w:r>
          </w:p>
        </w:tc>
        <w:tc>
          <w:tcPr>
            <w:tcW w:w="1192" w:type="dxa"/>
            <w:tcBorders>
              <w:left w:val="single" w:color="auto" w:sz="6" w:space="0"/>
            </w:tcBorders>
            <w:vAlign w:val="center"/>
          </w:tcPr>
          <w:p w14:paraId="3CDD74B7">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0.307174</w:t>
            </w:r>
          </w:p>
        </w:tc>
        <w:tc>
          <w:tcPr>
            <w:tcW w:w="1190" w:type="dxa"/>
            <w:tcBorders>
              <w:left w:val="single" w:color="auto" w:sz="6" w:space="0"/>
            </w:tcBorders>
            <w:vAlign w:val="center"/>
          </w:tcPr>
          <w:p w14:paraId="63142CEE">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0.10</w:t>
            </w:r>
          </w:p>
        </w:tc>
      </w:tr>
      <w:tr w14:paraId="74BC893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353" w:type="dxa"/>
            <w:vAlign w:val="center"/>
          </w:tcPr>
          <w:p w14:paraId="458FA785">
            <w:pPr>
              <w:keepNext w:val="0"/>
              <w:keepLines w:val="0"/>
              <w:pageBreakBefore w:val="0"/>
              <w:widowControl/>
              <w:kinsoku/>
              <w:wordWrap/>
              <w:overflowPunct/>
              <w:topLinePunct w:val="0"/>
              <w:autoSpaceDE/>
              <w:autoSpaceDN/>
              <w:bidi w:val="0"/>
              <w:adjustRightInd/>
              <w:snapToGrid/>
              <w:ind w:left="0" w:right="0"/>
              <w:jc w:val="center"/>
              <w:textAlignment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200</w:t>
            </w:r>
          </w:p>
        </w:tc>
        <w:tc>
          <w:tcPr>
            <w:tcW w:w="1192" w:type="dxa"/>
            <w:tcBorders>
              <w:left w:val="single" w:color="auto" w:sz="6" w:space="0"/>
            </w:tcBorders>
            <w:vAlign w:val="center"/>
          </w:tcPr>
          <w:p w14:paraId="32F16BE9">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24.778</w:t>
            </w:r>
          </w:p>
        </w:tc>
        <w:tc>
          <w:tcPr>
            <w:tcW w:w="1193" w:type="dxa"/>
            <w:tcBorders>
              <w:left w:val="single" w:color="auto" w:sz="6" w:space="0"/>
            </w:tcBorders>
            <w:vAlign w:val="center"/>
          </w:tcPr>
          <w:p w14:paraId="272B0608">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1.20</w:t>
            </w:r>
          </w:p>
        </w:tc>
        <w:tc>
          <w:tcPr>
            <w:tcW w:w="1192" w:type="dxa"/>
            <w:tcBorders>
              <w:left w:val="single" w:color="auto" w:sz="6" w:space="0"/>
            </w:tcBorders>
            <w:vAlign w:val="center"/>
          </w:tcPr>
          <w:p w14:paraId="6EEB63A5">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0.53414</w:t>
            </w:r>
          </w:p>
        </w:tc>
        <w:tc>
          <w:tcPr>
            <w:tcW w:w="1192" w:type="dxa"/>
            <w:tcBorders>
              <w:left w:val="single" w:color="auto" w:sz="6" w:space="0"/>
            </w:tcBorders>
            <w:vAlign w:val="center"/>
          </w:tcPr>
          <w:p w14:paraId="0C0707DE">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0.00</w:t>
            </w:r>
          </w:p>
        </w:tc>
        <w:tc>
          <w:tcPr>
            <w:tcW w:w="1192" w:type="dxa"/>
            <w:tcBorders>
              <w:left w:val="single" w:color="auto" w:sz="6" w:space="0"/>
            </w:tcBorders>
            <w:vAlign w:val="center"/>
          </w:tcPr>
          <w:p w14:paraId="1DFA1F58">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0.256214</w:t>
            </w:r>
          </w:p>
        </w:tc>
        <w:tc>
          <w:tcPr>
            <w:tcW w:w="1190" w:type="dxa"/>
            <w:tcBorders>
              <w:left w:val="single" w:color="auto" w:sz="6" w:space="0"/>
            </w:tcBorders>
            <w:vAlign w:val="center"/>
          </w:tcPr>
          <w:p w14:paraId="42DF1D55">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0.10</w:t>
            </w:r>
          </w:p>
        </w:tc>
      </w:tr>
      <w:tr w14:paraId="35CF058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353" w:type="dxa"/>
            <w:vAlign w:val="center"/>
          </w:tcPr>
          <w:p w14:paraId="40A8F1C3">
            <w:pPr>
              <w:keepNext w:val="0"/>
              <w:keepLines w:val="0"/>
              <w:pageBreakBefore w:val="0"/>
              <w:widowControl/>
              <w:kinsoku/>
              <w:wordWrap/>
              <w:overflowPunct/>
              <w:topLinePunct w:val="0"/>
              <w:autoSpaceDE/>
              <w:autoSpaceDN/>
              <w:bidi w:val="0"/>
              <w:adjustRightInd/>
              <w:snapToGrid/>
              <w:ind w:left="0" w:right="0"/>
              <w:jc w:val="center"/>
              <w:textAlignment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225</w:t>
            </w:r>
          </w:p>
        </w:tc>
        <w:tc>
          <w:tcPr>
            <w:tcW w:w="1192" w:type="dxa"/>
            <w:tcBorders>
              <w:left w:val="single" w:color="auto" w:sz="6" w:space="0"/>
            </w:tcBorders>
            <w:vAlign w:val="center"/>
          </w:tcPr>
          <w:p w14:paraId="03674A2A">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21.698</w:t>
            </w:r>
          </w:p>
        </w:tc>
        <w:tc>
          <w:tcPr>
            <w:tcW w:w="1193" w:type="dxa"/>
            <w:tcBorders>
              <w:left w:val="single" w:color="auto" w:sz="6" w:space="0"/>
            </w:tcBorders>
            <w:vAlign w:val="center"/>
          </w:tcPr>
          <w:p w14:paraId="0B54F071">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1.10</w:t>
            </w:r>
          </w:p>
        </w:tc>
        <w:tc>
          <w:tcPr>
            <w:tcW w:w="1192" w:type="dxa"/>
            <w:tcBorders>
              <w:left w:val="single" w:color="auto" w:sz="6" w:space="0"/>
            </w:tcBorders>
            <w:vAlign w:val="center"/>
          </w:tcPr>
          <w:p w14:paraId="08C75D50">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0.5123</w:t>
            </w:r>
          </w:p>
        </w:tc>
        <w:tc>
          <w:tcPr>
            <w:tcW w:w="1192" w:type="dxa"/>
            <w:tcBorders>
              <w:left w:val="single" w:color="auto" w:sz="6" w:space="0"/>
            </w:tcBorders>
            <w:vAlign w:val="center"/>
          </w:tcPr>
          <w:p w14:paraId="1285C3E7">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0.00</w:t>
            </w:r>
          </w:p>
        </w:tc>
        <w:tc>
          <w:tcPr>
            <w:tcW w:w="1192" w:type="dxa"/>
            <w:tcBorders>
              <w:left w:val="single" w:color="auto" w:sz="6" w:space="0"/>
            </w:tcBorders>
            <w:vAlign w:val="center"/>
          </w:tcPr>
          <w:p w14:paraId="4C6DFCC1">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0.245737</w:t>
            </w:r>
          </w:p>
        </w:tc>
        <w:tc>
          <w:tcPr>
            <w:tcW w:w="1190" w:type="dxa"/>
            <w:tcBorders>
              <w:left w:val="single" w:color="auto" w:sz="6" w:space="0"/>
            </w:tcBorders>
            <w:vAlign w:val="center"/>
          </w:tcPr>
          <w:p w14:paraId="17D54441">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0.10</w:t>
            </w:r>
          </w:p>
        </w:tc>
      </w:tr>
      <w:tr w14:paraId="6ABA418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353" w:type="dxa"/>
            <w:vAlign w:val="center"/>
          </w:tcPr>
          <w:p w14:paraId="3ACD0A57">
            <w:pPr>
              <w:keepNext w:val="0"/>
              <w:keepLines w:val="0"/>
              <w:pageBreakBefore w:val="0"/>
              <w:widowControl/>
              <w:kinsoku/>
              <w:wordWrap/>
              <w:overflowPunct/>
              <w:topLinePunct w:val="0"/>
              <w:autoSpaceDE/>
              <w:autoSpaceDN/>
              <w:bidi w:val="0"/>
              <w:adjustRightInd/>
              <w:snapToGrid/>
              <w:ind w:left="0" w:right="0"/>
              <w:jc w:val="center"/>
              <w:textAlignment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250</w:t>
            </w:r>
          </w:p>
        </w:tc>
        <w:tc>
          <w:tcPr>
            <w:tcW w:w="1192" w:type="dxa"/>
            <w:tcBorders>
              <w:left w:val="single" w:color="auto" w:sz="6" w:space="0"/>
            </w:tcBorders>
            <w:vAlign w:val="center"/>
          </w:tcPr>
          <w:p w14:paraId="166D41C6">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19.091</w:t>
            </w:r>
          </w:p>
        </w:tc>
        <w:tc>
          <w:tcPr>
            <w:tcW w:w="1193" w:type="dxa"/>
            <w:tcBorders>
              <w:left w:val="single" w:color="auto" w:sz="6" w:space="0"/>
            </w:tcBorders>
            <w:vAlign w:val="center"/>
          </w:tcPr>
          <w:p w14:paraId="6D7C8189">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1.00</w:t>
            </w:r>
          </w:p>
        </w:tc>
        <w:tc>
          <w:tcPr>
            <w:tcW w:w="1192" w:type="dxa"/>
            <w:tcBorders>
              <w:left w:val="single" w:color="auto" w:sz="6" w:space="0"/>
            </w:tcBorders>
            <w:vAlign w:val="center"/>
          </w:tcPr>
          <w:p w14:paraId="4D5F542C">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0.63111</w:t>
            </w:r>
          </w:p>
        </w:tc>
        <w:tc>
          <w:tcPr>
            <w:tcW w:w="1192" w:type="dxa"/>
            <w:tcBorders>
              <w:left w:val="single" w:color="auto" w:sz="6" w:space="0"/>
            </w:tcBorders>
            <w:vAlign w:val="center"/>
          </w:tcPr>
          <w:p w14:paraId="616C8867">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0.00</w:t>
            </w:r>
          </w:p>
        </w:tc>
        <w:tc>
          <w:tcPr>
            <w:tcW w:w="1192" w:type="dxa"/>
            <w:tcBorders>
              <w:left w:val="single" w:color="auto" w:sz="6" w:space="0"/>
            </w:tcBorders>
            <w:vAlign w:val="center"/>
          </w:tcPr>
          <w:p w14:paraId="13DCCF29">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0.302728</w:t>
            </w:r>
          </w:p>
        </w:tc>
        <w:tc>
          <w:tcPr>
            <w:tcW w:w="1190" w:type="dxa"/>
            <w:tcBorders>
              <w:left w:val="single" w:color="auto" w:sz="6" w:space="0"/>
            </w:tcBorders>
            <w:vAlign w:val="center"/>
          </w:tcPr>
          <w:p w14:paraId="7E16DF5C">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0.10</w:t>
            </w:r>
          </w:p>
        </w:tc>
      </w:tr>
      <w:tr w14:paraId="59A805D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353" w:type="dxa"/>
            <w:vAlign w:val="center"/>
          </w:tcPr>
          <w:p w14:paraId="1EC73653">
            <w:pPr>
              <w:keepNext w:val="0"/>
              <w:keepLines w:val="0"/>
              <w:pageBreakBefore w:val="0"/>
              <w:widowControl/>
              <w:kinsoku/>
              <w:wordWrap/>
              <w:overflowPunct/>
              <w:topLinePunct w:val="0"/>
              <w:autoSpaceDE/>
              <w:autoSpaceDN/>
              <w:bidi w:val="0"/>
              <w:adjustRightInd/>
              <w:snapToGrid/>
              <w:ind w:left="0" w:right="0"/>
              <w:jc w:val="center"/>
              <w:textAlignment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275</w:t>
            </w:r>
          </w:p>
        </w:tc>
        <w:tc>
          <w:tcPr>
            <w:tcW w:w="1192" w:type="dxa"/>
            <w:tcBorders>
              <w:left w:val="single" w:color="auto" w:sz="6" w:space="0"/>
            </w:tcBorders>
            <w:vAlign w:val="center"/>
          </w:tcPr>
          <w:p w14:paraId="434D5E84">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16.903</w:t>
            </w:r>
          </w:p>
        </w:tc>
        <w:tc>
          <w:tcPr>
            <w:tcW w:w="1193" w:type="dxa"/>
            <w:tcBorders>
              <w:left w:val="single" w:color="auto" w:sz="6" w:space="0"/>
            </w:tcBorders>
            <w:vAlign w:val="center"/>
          </w:tcPr>
          <w:p w14:paraId="6C822802">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0.80</w:t>
            </w:r>
          </w:p>
        </w:tc>
        <w:tc>
          <w:tcPr>
            <w:tcW w:w="1192" w:type="dxa"/>
            <w:tcBorders>
              <w:left w:val="single" w:color="auto" w:sz="6" w:space="0"/>
            </w:tcBorders>
            <w:vAlign w:val="center"/>
          </w:tcPr>
          <w:p w14:paraId="1A65E192">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0.72076</w:t>
            </w:r>
          </w:p>
        </w:tc>
        <w:tc>
          <w:tcPr>
            <w:tcW w:w="1192" w:type="dxa"/>
            <w:tcBorders>
              <w:left w:val="single" w:color="auto" w:sz="6" w:space="0"/>
            </w:tcBorders>
            <w:vAlign w:val="center"/>
          </w:tcPr>
          <w:p w14:paraId="2F2C986B">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0.00</w:t>
            </w:r>
          </w:p>
        </w:tc>
        <w:tc>
          <w:tcPr>
            <w:tcW w:w="1192" w:type="dxa"/>
            <w:tcBorders>
              <w:left w:val="single" w:color="auto" w:sz="6" w:space="0"/>
            </w:tcBorders>
            <w:vAlign w:val="center"/>
          </w:tcPr>
          <w:p w14:paraId="0B03C0BA">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0.34573</w:t>
            </w:r>
          </w:p>
        </w:tc>
        <w:tc>
          <w:tcPr>
            <w:tcW w:w="1190" w:type="dxa"/>
            <w:tcBorders>
              <w:left w:val="single" w:color="auto" w:sz="6" w:space="0"/>
            </w:tcBorders>
            <w:vAlign w:val="center"/>
          </w:tcPr>
          <w:p w14:paraId="5FE7399E">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0.10</w:t>
            </w:r>
          </w:p>
        </w:tc>
      </w:tr>
      <w:tr w14:paraId="2DD52D4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353" w:type="dxa"/>
            <w:vAlign w:val="center"/>
          </w:tcPr>
          <w:p w14:paraId="63D50E5E">
            <w:pPr>
              <w:keepNext w:val="0"/>
              <w:keepLines w:val="0"/>
              <w:pageBreakBefore w:val="0"/>
              <w:widowControl/>
              <w:kinsoku/>
              <w:wordWrap/>
              <w:overflowPunct/>
              <w:topLinePunct w:val="0"/>
              <w:autoSpaceDE/>
              <w:autoSpaceDN/>
              <w:bidi w:val="0"/>
              <w:adjustRightInd/>
              <w:snapToGrid/>
              <w:ind w:left="0" w:right="0"/>
              <w:jc w:val="center"/>
              <w:textAlignment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300</w:t>
            </w:r>
          </w:p>
        </w:tc>
        <w:tc>
          <w:tcPr>
            <w:tcW w:w="1192" w:type="dxa"/>
            <w:tcBorders>
              <w:left w:val="single" w:color="auto" w:sz="6" w:space="0"/>
            </w:tcBorders>
            <w:vAlign w:val="center"/>
          </w:tcPr>
          <w:p w14:paraId="1C865CF5">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15.065</w:t>
            </w:r>
          </w:p>
        </w:tc>
        <w:tc>
          <w:tcPr>
            <w:tcW w:w="1193" w:type="dxa"/>
            <w:tcBorders>
              <w:left w:val="single" w:color="auto" w:sz="6" w:space="0"/>
            </w:tcBorders>
            <w:vAlign w:val="center"/>
          </w:tcPr>
          <w:p w14:paraId="16E977AF">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0.80</w:t>
            </w:r>
          </w:p>
        </w:tc>
        <w:tc>
          <w:tcPr>
            <w:tcW w:w="1192" w:type="dxa"/>
            <w:tcBorders>
              <w:left w:val="single" w:color="auto" w:sz="6" w:space="0"/>
            </w:tcBorders>
            <w:vAlign w:val="center"/>
          </w:tcPr>
          <w:p w14:paraId="2AC0294D">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0.7787</w:t>
            </w:r>
          </w:p>
        </w:tc>
        <w:tc>
          <w:tcPr>
            <w:tcW w:w="1192" w:type="dxa"/>
            <w:tcBorders>
              <w:left w:val="single" w:color="auto" w:sz="6" w:space="0"/>
            </w:tcBorders>
            <w:vAlign w:val="center"/>
          </w:tcPr>
          <w:p w14:paraId="4834FDDD">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0.00</w:t>
            </w:r>
          </w:p>
        </w:tc>
        <w:tc>
          <w:tcPr>
            <w:tcW w:w="1192" w:type="dxa"/>
            <w:tcBorders>
              <w:left w:val="single" w:color="auto" w:sz="6" w:space="0"/>
            </w:tcBorders>
            <w:vAlign w:val="center"/>
          </w:tcPr>
          <w:p w14:paraId="44882059">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0.373523</w:t>
            </w:r>
          </w:p>
        </w:tc>
        <w:tc>
          <w:tcPr>
            <w:tcW w:w="1190" w:type="dxa"/>
            <w:tcBorders>
              <w:left w:val="single" w:color="auto" w:sz="6" w:space="0"/>
            </w:tcBorders>
            <w:vAlign w:val="center"/>
          </w:tcPr>
          <w:p w14:paraId="03B24591">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0.10</w:t>
            </w:r>
          </w:p>
        </w:tc>
      </w:tr>
      <w:tr w14:paraId="2EE751A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353" w:type="dxa"/>
            <w:vAlign w:val="center"/>
          </w:tcPr>
          <w:p w14:paraId="5BD0AADD">
            <w:pPr>
              <w:keepNext w:val="0"/>
              <w:keepLines w:val="0"/>
              <w:pageBreakBefore w:val="0"/>
              <w:widowControl/>
              <w:kinsoku/>
              <w:wordWrap/>
              <w:overflowPunct/>
              <w:topLinePunct w:val="0"/>
              <w:autoSpaceDE/>
              <w:autoSpaceDN/>
              <w:bidi w:val="0"/>
              <w:adjustRightInd/>
              <w:snapToGrid/>
              <w:ind w:left="0" w:right="0"/>
              <w:jc w:val="center"/>
              <w:textAlignment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400</w:t>
            </w:r>
          </w:p>
        </w:tc>
        <w:tc>
          <w:tcPr>
            <w:tcW w:w="1192" w:type="dxa"/>
            <w:tcBorders>
              <w:left w:val="single" w:color="auto" w:sz="6" w:space="0"/>
            </w:tcBorders>
            <w:vAlign w:val="center"/>
          </w:tcPr>
          <w:p w14:paraId="27E7BC56">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10.476</w:t>
            </w:r>
          </w:p>
        </w:tc>
        <w:tc>
          <w:tcPr>
            <w:tcW w:w="1193" w:type="dxa"/>
            <w:tcBorders>
              <w:left w:val="single" w:color="auto" w:sz="6" w:space="0"/>
            </w:tcBorders>
            <w:vAlign w:val="center"/>
          </w:tcPr>
          <w:p w14:paraId="68742D2A">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0.50</w:t>
            </w:r>
          </w:p>
        </w:tc>
        <w:tc>
          <w:tcPr>
            <w:tcW w:w="1192" w:type="dxa"/>
            <w:tcBorders>
              <w:left w:val="single" w:color="auto" w:sz="6" w:space="0"/>
            </w:tcBorders>
            <w:vAlign w:val="center"/>
          </w:tcPr>
          <w:p w14:paraId="506CFB98">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0.75725</w:t>
            </w:r>
          </w:p>
        </w:tc>
        <w:tc>
          <w:tcPr>
            <w:tcW w:w="1192" w:type="dxa"/>
            <w:tcBorders>
              <w:left w:val="single" w:color="auto" w:sz="6" w:space="0"/>
            </w:tcBorders>
            <w:vAlign w:val="center"/>
          </w:tcPr>
          <w:p w14:paraId="32772700">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0.00</w:t>
            </w:r>
          </w:p>
        </w:tc>
        <w:tc>
          <w:tcPr>
            <w:tcW w:w="1192" w:type="dxa"/>
            <w:tcBorders>
              <w:left w:val="single" w:color="auto" w:sz="6" w:space="0"/>
            </w:tcBorders>
            <w:vAlign w:val="center"/>
          </w:tcPr>
          <w:p w14:paraId="21B85296">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0.363234</w:t>
            </w:r>
          </w:p>
        </w:tc>
        <w:tc>
          <w:tcPr>
            <w:tcW w:w="1190" w:type="dxa"/>
            <w:tcBorders>
              <w:left w:val="single" w:color="auto" w:sz="6" w:space="0"/>
            </w:tcBorders>
            <w:vAlign w:val="center"/>
          </w:tcPr>
          <w:p w14:paraId="5075D71E">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0.10</w:t>
            </w:r>
          </w:p>
        </w:tc>
      </w:tr>
      <w:tr w14:paraId="67A3E5D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353" w:type="dxa"/>
            <w:vAlign w:val="center"/>
          </w:tcPr>
          <w:p w14:paraId="2D0F0875">
            <w:pPr>
              <w:keepNext w:val="0"/>
              <w:keepLines w:val="0"/>
              <w:pageBreakBefore w:val="0"/>
              <w:widowControl/>
              <w:kinsoku/>
              <w:wordWrap/>
              <w:overflowPunct/>
              <w:topLinePunct w:val="0"/>
              <w:autoSpaceDE/>
              <w:autoSpaceDN/>
              <w:bidi w:val="0"/>
              <w:adjustRightInd/>
              <w:snapToGrid/>
              <w:ind w:left="0" w:right="0"/>
              <w:jc w:val="center"/>
              <w:textAlignment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500</w:t>
            </w:r>
          </w:p>
        </w:tc>
        <w:tc>
          <w:tcPr>
            <w:tcW w:w="1192" w:type="dxa"/>
            <w:tcBorders>
              <w:left w:val="single" w:color="auto" w:sz="6" w:space="0"/>
            </w:tcBorders>
            <w:vAlign w:val="center"/>
          </w:tcPr>
          <w:p w14:paraId="350CF263">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11.333</w:t>
            </w:r>
          </w:p>
        </w:tc>
        <w:tc>
          <w:tcPr>
            <w:tcW w:w="1193" w:type="dxa"/>
            <w:tcBorders>
              <w:left w:val="single" w:color="auto" w:sz="6" w:space="0"/>
            </w:tcBorders>
            <w:vAlign w:val="center"/>
          </w:tcPr>
          <w:p w14:paraId="5F9048BD">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0.60</w:t>
            </w:r>
          </w:p>
        </w:tc>
        <w:tc>
          <w:tcPr>
            <w:tcW w:w="1192" w:type="dxa"/>
            <w:tcBorders>
              <w:left w:val="single" w:color="auto" w:sz="6" w:space="0"/>
            </w:tcBorders>
            <w:vAlign w:val="center"/>
          </w:tcPr>
          <w:p w14:paraId="5998C222">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0.66056</w:t>
            </w:r>
          </w:p>
        </w:tc>
        <w:tc>
          <w:tcPr>
            <w:tcW w:w="1192" w:type="dxa"/>
            <w:tcBorders>
              <w:left w:val="single" w:color="auto" w:sz="6" w:space="0"/>
            </w:tcBorders>
            <w:vAlign w:val="center"/>
          </w:tcPr>
          <w:p w14:paraId="38A4A3DD">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0.00</w:t>
            </w:r>
          </w:p>
        </w:tc>
        <w:tc>
          <w:tcPr>
            <w:tcW w:w="1192" w:type="dxa"/>
            <w:tcBorders>
              <w:left w:val="single" w:color="auto" w:sz="6" w:space="0"/>
            </w:tcBorders>
            <w:vAlign w:val="center"/>
          </w:tcPr>
          <w:p w14:paraId="45747F59">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0.316854</w:t>
            </w:r>
          </w:p>
        </w:tc>
        <w:tc>
          <w:tcPr>
            <w:tcW w:w="1190" w:type="dxa"/>
            <w:tcBorders>
              <w:left w:val="single" w:color="auto" w:sz="6" w:space="0"/>
            </w:tcBorders>
            <w:vAlign w:val="center"/>
          </w:tcPr>
          <w:p w14:paraId="3508E13F">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0.10</w:t>
            </w:r>
          </w:p>
        </w:tc>
      </w:tr>
      <w:tr w14:paraId="6E22745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353" w:type="dxa"/>
            <w:vAlign w:val="center"/>
          </w:tcPr>
          <w:p w14:paraId="2DF69EF3">
            <w:pPr>
              <w:keepNext w:val="0"/>
              <w:keepLines w:val="0"/>
              <w:pageBreakBefore w:val="0"/>
              <w:widowControl/>
              <w:kinsoku/>
              <w:wordWrap/>
              <w:overflowPunct/>
              <w:topLinePunct w:val="0"/>
              <w:autoSpaceDE/>
              <w:autoSpaceDN/>
              <w:bidi w:val="0"/>
              <w:adjustRightInd/>
              <w:snapToGrid/>
              <w:ind w:left="0" w:right="0"/>
              <w:jc w:val="center"/>
              <w:textAlignment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600</w:t>
            </w:r>
          </w:p>
        </w:tc>
        <w:tc>
          <w:tcPr>
            <w:tcW w:w="1192" w:type="dxa"/>
            <w:tcBorders>
              <w:left w:val="single" w:color="auto" w:sz="6" w:space="0"/>
            </w:tcBorders>
            <w:vAlign w:val="center"/>
          </w:tcPr>
          <w:p w14:paraId="2FA67EEF">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13.325</w:t>
            </w:r>
          </w:p>
        </w:tc>
        <w:tc>
          <w:tcPr>
            <w:tcW w:w="1193" w:type="dxa"/>
            <w:tcBorders>
              <w:left w:val="single" w:color="auto" w:sz="6" w:space="0"/>
            </w:tcBorders>
            <w:vAlign w:val="center"/>
          </w:tcPr>
          <w:p w14:paraId="6EC877BB">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0.70</w:t>
            </w:r>
          </w:p>
        </w:tc>
        <w:tc>
          <w:tcPr>
            <w:tcW w:w="1192" w:type="dxa"/>
            <w:tcBorders>
              <w:left w:val="single" w:color="auto" w:sz="6" w:space="0"/>
            </w:tcBorders>
            <w:vAlign w:val="center"/>
          </w:tcPr>
          <w:p w14:paraId="465E075A">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0.57607</w:t>
            </w:r>
          </w:p>
        </w:tc>
        <w:tc>
          <w:tcPr>
            <w:tcW w:w="1192" w:type="dxa"/>
            <w:tcBorders>
              <w:left w:val="single" w:color="auto" w:sz="6" w:space="0"/>
            </w:tcBorders>
            <w:vAlign w:val="center"/>
          </w:tcPr>
          <w:p w14:paraId="7D910E72">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0.00</w:t>
            </w:r>
          </w:p>
        </w:tc>
        <w:tc>
          <w:tcPr>
            <w:tcW w:w="1192" w:type="dxa"/>
            <w:tcBorders>
              <w:left w:val="single" w:color="auto" w:sz="6" w:space="0"/>
            </w:tcBorders>
            <w:vAlign w:val="center"/>
          </w:tcPr>
          <w:p w14:paraId="43DDE93C">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0.276326</w:t>
            </w:r>
          </w:p>
        </w:tc>
        <w:tc>
          <w:tcPr>
            <w:tcW w:w="1190" w:type="dxa"/>
            <w:tcBorders>
              <w:left w:val="single" w:color="auto" w:sz="6" w:space="0"/>
            </w:tcBorders>
            <w:vAlign w:val="center"/>
          </w:tcPr>
          <w:p w14:paraId="5C5EE933">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0.10</w:t>
            </w:r>
          </w:p>
        </w:tc>
      </w:tr>
      <w:tr w14:paraId="382F3D5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353" w:type="dxa"/>
            <w:vAlign w:val="center"/>
          </w:tcPr>
          <w:p w14:paraId="32A35476">
            <w:pPr>
              <w:keepNext w:val="0"/>
              <w:keepLines w:val="0"/>
              <w:pageBreakBefore w:val="0"/>
              <w:widowControl/>
              <w:kinsoku/>
              <w:wordWrap/>
              <w:overflowPunct/>
              <w:topLinePunct w:val="0"/>
              <w:autoSpaceDE/>
              <w:autoSpaceDN/>
              <w:bidi w:val="0"/>
              <w:adjustRightInd/>
              <w:snapToGrid/>
              <w:ind w:left="0" w:right="0"/>
              <w:jc w:val="center"/>
              <w:textAlignment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700</w:t>
            </w:r>
          </w:p>
        </w:tc>
        <w:tc>
          <w:tcPr>
            <w:tcW w:w="1192" w:type="dxa"/>
            <w:tcBorders>
              <w:left w:val="single" w:color="auto" w:sz="6" w:space="0"/>
            </w:tcBorders>
            <w:vAlign w:val="center"/>
          </w:tcPr>
          <w:p w14:paraId="1EC8698F">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14.856</w:t>
            </w:r>
          </w:p>
        </w:tc>
        <w:tc>
          <w:tcPr>
            <w:tcW w:w="1193" w:type="dxa"/>
            <w:tcBorders>
              <w:left w:val="single" w:color="auto" w:sz="6" w:space="0"/>
            </w:tcBorders>
            <w:vAlign w:val="center"/>
          </w:tcPr>
          <w:p w14:paraId="2409C339">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0.70</w:t>
            </w:r>
          </w:p>
        </w:tc>
        <w:tc>
          <w:tcPr>
            <w:tcW w:w="1192" w:type="dxa"/>
            <w:tcBorders>
              <w:left w:val="single" w:color="auto" w:sz="6" w:space="0"/>
            </w:tcBorders>
            <w:vAlign w:val="center"/>
          </w:tcPr>
          <w:p w14:paraId="676B3D21">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0.51008</w:t>
            </w:r>
          </w:p>
        </w:tc>
        <w:tc>
          <w:tcPr>
            <w:tcW w:w="1192" w:type="dxa"/>
            <w:tcBorders>
              <w:left w:val="single" w:color="auto" w:sz="6" w:space="0"/>
            </w:tcBorders>
            <w:vAlign w:val="center"/>
          </w:tcPr>
          <w:p w14:paraId="5866A5EF">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0.00</w:t>
            </w:r>
          </w:p>
        </w:tc>
        <w:tc>
          <w:tcPr>
            <w:tcW w:w="1192" w:type="dxa"/>
            <w:tcBorders>
              <w:left w:val="single" w:color="auto" w:sz="6" w:space="0"/>
            </w:tcBorders>
            <w:vAlign w:val="center"/>
          </w:tcPr>
          <w:p w14:paraId="7420E830">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0.244673</w:t>
            </w:r>
          </w:p>
        </w:tc>
        <w:tc>
          <w:tcPr>
            <w:tcW w:w="1190" w:type="dxa"/>
            <w:tcBorders>
              <w:left w:val="single" w:color="auto" w:sz="6" w:space="0"/>
            </w:tcBorders>
            <w:vAlign w:val="center"/>
          </w:tcPr>
          <w:p w14:paraId="5B840195">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0.10</w:t>
            </w:r>
          </w:p>
        </w:tc>
      </w:tr>
      <w:tr w14:paraId="66FF87D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353" w:type="dxa"/>
            <w:vAlign w:val="center"/>
          </w:tcPr>
          <w:p w14:paraId="4D7448A0">
            <w:pPr>
              <w:keepNext w:val="0"/>
              <w:keepLines w:val="0"/>
              <w:pageBreakBefore w:val="0"/>
              <w:widowControl/>
              <w:kinsoku/>
              <w:wordWrap/>
              <w:overflowPunct/>
              <w:topLinePunct w:val="0"/>
              <w:autoSpaceDE/>
              <w:autoSpaceDN/>
              <w:bidi w:val="0"/>
              <w:adjustRightInd/>
              <w:snapToGrid/>
              <w:ind w:left="0" w:right="0"/>
              <w:jc w:val="center"/>
              <w:textAlignment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800</w:t>
            </w:r>
          </w:p>
        </w:tc>
        <w:tc>
          <w:tcPr>
            <w:tcW w:w="1192" w:type="dxa"/>
            <w:tcBorders>
              <w:left w:val="single" w:color="auto" w:sz="6" w:space="0"/>
            </w:tcBorders>
            <w:vAlign w:val="center"/>
          </w:tcPr>
          <w:p w14:paraId="2BB27B6D">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14.499</w:t>
            </w:r>
          </w:p>
        </w:tc>
        <w:tc>
          <w:tcPr>
            <w:tcW w:w="1193" w:type="dxa"/>
            <w:tcBorders>
              <w:left w:val="single" w:color="auto" w:sz="6" w:space="0"/>
            </w:tcBorders>
            <w:vAlign w:val="center"/>
          </w:tcPr>
          <w:p w14:paraId="3438153F">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0.70</w:t>
            </w:r>
          </w:p>
        </w:tc>
        <w:tc>
          <w:tcPr>
            <w:tcW w:w="1192" w:type="dxa"/>
            <w:tcBorders>
              <w:left w:val="single" w:color="auto" w:sz="6" w:space="0"/>
            </w:tcBorders>
            <w:vAlign w:val="center"/>
          </w:tcPr>
          <w:p w14:paraId="14F07BE6">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0.45303</w:t>
            </w:r>
          </w:p>
        </w:tc>
        <w:tc>
          <w:tcPr>
            <w:tcW w:w="1192" w:type="dxa"/>
            <w:tcBorders>
              <w:left w:val="single" w:color="auto" w:sz="6" w:space="0"/>
            </w:tcBorders>
            <w:vAlign w:val="center"/>
          </w:tcPr>
          <w:p w14:paraId="5B0C2AAB">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0.00</w:t>
            </w:r>
          </w:p>
        </w:tc>
        <w:tc>
          <w:tcPr>
            <w:tcW w:w="1192" w:type="dxa"/>
            <w:tcBorders>
              <w:left w:val="single" w:color="auto" w:sz="6" w:space="0"/>
            </w:tcBorders>
            <w:vAlign w:val="center"/>
          </w:tcPr>
          <w:p w14:paraId="691B70CE">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0.217307</w:t>
            </w:r>
          </w:p>
        </w:tc>
        <w:tc>
          <w:tcPr>
            <w:tcW w:w="1190" w:type="dxa"/>
            <w:tcBorders>
              <w:left w:val="single" w:color="auto" w:sz="6" w:space="0"/>
            </w:tcBorders>
            <w:vAlign w:val="center"/>
          </w:tcPr>
          <w:p w14:paraId="6F30F426">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0.10</w:t>
            </w:r>
          </w:p>
        </w:tc>
      </w:tr>
      <w:tr w14:paraId="0F66989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353" w:type="dxa"/>
            <w:vAlign w:val="center"/>
          </w:tcPr>
          <w:p w14:paraId="64ABD3F3">
            <w:pPr>
              <w:keepNext w:val="0"/>
              <w:keepLines w:val="0"/>
              <w:pageBreakBefore w:val="0"/>
              <w:widowControl/>
              <w:kinsoku/>
              <w:wordWrap/>
              <w:overflowPunct/>
              <w:topLinePunct w:val="0"/>
              <w:autoSpaceDE/>
              <w:autoSpaceDN/>
              <w:bidi w:val="0"/>
              <w:adjustRightInd/>
              <w:snapToGrid/>
              <w:ind w:left="0" w:right="0"/>
              <w:jc w:val="center"/>
              <w:textAlignment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900</w:t>
            </w:r>
          </w:p>
        </w:tc>
        <w:tc>
          <w:tcPr>
            <w:tcW w:w="1192" w:type="dxa"/>
            <w:tcBorders>
              <w:left w:val="single" w:color="auto" w:sz="6" w:space="0"/>
            </w:tcBorders>
            <w:vAlign w:val="center"/>
          </w:tcPr>
          <w:p w14:paraId="727264B4">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13.776</w:t>
            </w:r>
          </w:p>
        </w:tc>
        <w:tc>
          <w:tcPr>
            <w:tcW w:w="1193" w:type="dxa"/>
            <w:tcBorders>
              <w:left w:val="single" w:color="auto" w:sz="6" w:space="0"/>
            </w:tcBorders>
            <w:vAlign w:val="center"/>
          </w:tcPr>
          <w:p w14:paraId="5EC3DBAD">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0.70</w:t>
            </w:r>
          </w:p>
        </w:tc>
        <w:tc>
          <w:tcPr>
            <w:tcW w:w="1192" w:type="dxa"/>
            <w:tcBorders>
              <w:left w:val="single" w:color="auto" w:sz="6" w:space="0"/>
            </w:tcBorders>
            <w:vAlign w:val="center"/>
          </w:tcPr>
          <w:p w14:paraId="13E2D09A">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0.4045</w:t>
            </w:r>
          </w:p>
        </w:tc>
        <w:tc>
          <w:tcPr>
            <w:tcW w:w="1192" w:type="dxa"/>
            <w:tcBorders>
              <w:left w:val="single" w:color="auto" w:sz="6" w:space="0"/>
            </w:tcBorders>
            <w:vAlign w:val="center"/>
          </w:tcPr>
          <w:p w14:paraId="743FF4A2">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0.00</w:t>
            </w:r>
          </w:p>
        </w:tc>
        <w:tc>
          <w:tcPr>
            <w:tcW w:w="1192" w:type="dxa"/>
            <w:tcBorders>
              <w:left w:val="single" w:color="auto" w:sz="6" w:space="0"/>
            </w:tcBorders>
            <w:vAlign w:val="center"/>
          </w:tcPr>
          <w:p w14:paraId="6677DC3B">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0.194028</w:t>
            </w:r>
          </w:p>
        </w:tc>
        <w:tc>
          <w:tcPr>
            <w:tcW w:w="1190" w:type="dxa"/>
            <w:tcBorders>
              <w:left w:val="single" w:color="auto" w:sz="6" w:space="0"/>
            </w:tcBorders>
            <w:vAlign w:val="center"/>
          </w:tcPr>
          <w:p w14:paraId="66FD6872">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0.10</w:t>
            </w:r>
          </w:p>
        </w:tc>
      </w:tr>
      <w:tr w14:paraId="3B2CA3B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353" w:type="dxa"/>
            <w:vAlign w:val="center"/>
          </w:tcPr>
          <w:p w14:paraId="7AB4ADF3">
            <w:pPr>
              <w:keepNext w:val="0"/>
              <w:keepLines w:val="0"/>
              <w:pageBreakBefore w:val="0"/>
              <w:widowControl/>
              <w:kinsoku/>
              <w:wordWrap/>
              <w:overflowPunct/>
              <w:topLinePunct w:val="0"/>
              <w:autoSpaceDE/>
              <w:autoSpaceDN/>
              <w:bidi w:val="0"/>
              <w:adjustRightInd/>
              <w:snapToGrid/>
              <w:ind w:left="0" w:right="0"/>
              <w:jc w:val="center"/>
              <w:textAlignment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1000</w:t>
            </w:r>
          </w:p>
        </w:tc>
        <w:tc>
          <w:tcPr>
            <w:tcW w:w="1192" w:type="dxa"/>
            <w:tcBorders>
              <w:left w:val="single" w:color="auto" w:sz="6" w:space="0"/>
            </w:tcBorders>
            <w:vAlign w:val="center"/>
          </w:tcPr>
          <w:p w14:paraId="419EF142">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12.99</w:t>
            </w:r>
          </w:p>
        </w:tc>
        <w:tc>
          <w:tcPr>
            <w:tcW w:w="1193" w:type="dxa"/>
            <w:tcBorders>
              <w:left w:val="single" w:color="auto" w:sz="6" w:space="0"/>
            </w:tcBorders>
            <w:vAlign w:val="center"/>
          </w:tcPr>
          <w:p w14:paraId="0C0EBB89">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0.60</w:t>
            </w:r>
          </w:p>
        </w:tc>
        <w:tc>
          <w:tcPr>
            <w:tcW w:w="1192" w:type="dxa"/>
            <w:tcBorders>
              <w:left w:val="single" w:color="auto" w:sz="6" w:space="0"/>
            </w:tcBorders>
            <w:vAlign w:val="center"/>
          </w:tcPr>
          <w:p w14:paraId="0666B11F">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0.36334</w:t>
            </w:r>
          </w:p>
        </w:tc>
        <w:tc>
          <w:tcPr>
            <w:tcW w:w="1192" w:type="dxa"/>
            <w:tcBorders>
              <w:left w:val="single" w:color="auto" w:sz="6" w:space="0"/>
            </w:tcBorders>
            <w:vAlign w:val="center"/>
          </w:tcPr>
          <w:p w14:paraId="7D2D47FC">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0.00</w:t>
            </w:r>
          </w:p>
        </w:tc>
        <w:tc>
          <w:tcPr>
            <w:tcW w:w="1192" w:type="dxa"/>
            <w:tcBorders>
              <w:left w:val="single" w:color="auto" w:sz="6" w:space="0"/>
            </w:tcBorders>
            <w:vAlign w:val="center"/>
          </w:tcPr>
          <w:p w14:paraId="62F49C60">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0.174285</w:t>
            </w:r>
          </w:p>
        </w:tc>
        <w:tc>
          <w:tcPr>
            <w:tcW w:w="1190" w:type="dxa"/>
            <w:tcBorders>
              <w:left w:val="single" w:color="auto" w:sz="6" w:space="0"/>
            </w:tcBorders>
            <w:vAlign w:val="center"/>
          </w:tcPr>
          <w:p w14:paraId="2AC38BD9">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0.10</w:t>
            </w:r>
          </w:p>
        </w:tc>
      </w:tr>
      <w:tr w14:paraId="49DF6C0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353" w:type="dxa"/>
            <w:vAlign w:val="center"/>
          </w:tcPr>
          <w:p w14:paraId="26AFB084">
            <w:pPr>
              <w:keepNext w:val="0"/>
              <w:keepLines w:val="0"/>
              <w:pageBreakBefore w:val="0"/>
              <w:widowControl/>
              <w:kinsoku/>
              <w:wordWrap/>
              <w:overflowPunct/>
              <w:topLinePunct w:val="0"/>
              <w:autoSpaceDE/>
              <w:autoSpaceDN/>
              <w:bidi w:val="0"/>
              <w:adjustRightInd/>
              <w:snapToGrid/>
              <w:ind w:left="0" w:right="0"/>
              <w:jc w:val="center"/>
              <w:textAlignment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1500</w:t>
            </w:r>
          </w:p>
        </w:tc>
        <w:tc>
          <w:tcPr>
            <w:tcW w:w="1192" w:type="dxa"/>
            <w:tcBorders>
              <w:left w:val="single" w:color="auto" w:sz="6" w:space="0"/>
            </w:tcBorders>
            <w:vAlign w:val="center"/>
          </w:tcPr>
          <w:p w14:paraId="6C39DE47">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9.6738</w:t>
            </w:r>
          </w:p>
        </w:tc>
        <w:tc>
          <w:tcPr>
            <w:tcW w:w="1193" w:type="dxa"/>
            <w:tcBorders>
              <w:left w:val="single" w:color="auto" w:sz="6" w:space="0"/>
            </w:tcBorders>
            <w:vAlign w:val="center"/>
          </w:tcPr>
          <w:p w14:paraId="43C462C4">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0.50</w:t>
            </w:r>
          </w:p>
        </w:tc>
        <w:tc>
          <w:tcPr>
            <w:tcW w:w="1192" w:type="dxa"/>
            <w:tcBorders>
              <w:left w:val="single" w:color="auto" w:sz="6" w:space="0"/>
            </w:tcBorders>
            <w:vAlign w:val="center"/>
          </w:tcPr>
          <w:p w14:paraId="282E664C">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0.26166</w:t>
            </w:r>
          </w:p>
        </w:tc>
        <w:tc>
          <w:tcPr>
            <w:tcW w:w="1192" w:type="dxa"/>
            <w:tcBorders>
              <w:left w:val="single" w:color="auto" w:sz="6" w:space="0"/>
            </w:tcBorders>
            <w:vAlign w:val="center"/>
          </w:tcPr>
          <w:p w14:paraId="402A81F0">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0.00</w:t>
            </w:r>
          </w:p>
        </w:tc>
        <w:tc>
          <w:tcPr>
            <w:tcW w:w="1192" w:type="dxa"/>
            <w:tcBorders>
              <w:left w:val="single" w:color="auto" w:sz="6" w:space="0"/>
            </w:tcBorders>
            <w:vAlign w:val="center"/>
          </w:tcPr>
          <w:p w14:paraId="255160DF">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0.125512</w:t>
            </w:r>
          </w:p>
        </w:tc>
        <w:tc>
          <w:tcPr>
            <w:tcW w:w="1190" w:type="dxa"/>
            <w:tcBorders>
              <w:left w:val="single" w:color="auto" w:sz="6" w:space="0"/>
            </w:tcBorders>
            <w:vAlign w:val="center"/>
          </w:tcPr>
          <w:p w14:paraId="6D2F6ED8">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0.10</w:t>
            </w:r>
          </w:p>
        </w:tc>
      </w:tr>
      <w:tr w14:paraId="13DE5C4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353" w:type="dxa"/>
            <w:vAlign w:val="center"/>
          </w:tcPr>
          <w:p w14:paraId="26263329">
            <w:pPr>
              <w:keepNext w:val="0"/>
              <w:keepLines w:val="0"/>
              <w:pageBreakBefore w:val="0"/>
              <w:widowControl/>
              <w:kinsoku/>
              <w:wordWrap/>
              <w:overflowPunct/>
              <w:topLinePunct w:val="0"/>
              <w:autoSpaceDE/>
              <w:autoSpaceDN/>
              <w:bidi w:val="0"/>
              <w:adjustRightInd/>
              <w:snapToGrid/>
              <w:ind w:left="0" w:right="0"/>
              <w:jc w:val="center"/>
              <w:textAlignment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2000</w:t>
            </w:r>
          </w:p>
        </w:tc>
        <w:tc>
          <w:tcPr>
            <w:tcW w:w="1192" w:type="dxa"/>
            <w:tcBorders>
              <w:left w:val="single" w:color="auto" w:sz="6" w:space="0"/>
            </w:tcBorders>
            <w:vAlign w:val="center"/>
          </w:tcPr>
          <w:p w14:paraId="4B6CCF92">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7.6953</w:t>
            </w:r>
          </w:p>
        </w:tc>
        <w:tc>
          <w:tcPr>
            <w:tcW w:w="1193" w:type="dxa"/>
            <w:tcBorders>
              <w:left w:val="single" w:color="auto" w:sz="6" w:space="0"/>
            </w:tcBorders>
            <w:vAlign w:val="center"/>
          </w:tcPr>
          <w:p w14:paraId="492DEECC">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0.40</w:t>
            </w:r>
          </w:p>
        </w:tc>
        <w:tc>
          <w:tcPr>
            <w:tcW w:w="1192" w:type="dxa"/>
            <w:tcBorders>
              <w:left w:val="single" w:color="auto" w:sz="6" w:space="0"/>
            </w:tcBorders>
            <w:vAlign w:val="center"/>
          </w:tcPr>
          <w:p w14:paraId="4DD48CBB">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0.20765</w:t>
            </w:r>
          </w:p>
        </w:tc>
        <w:tc>
          <w:tcPr>
            <w:tcW w:w="1192" w:type="dxa"/>
            <w:tcBorders>
              <w:left w:val="single" w:color="auto" w:sz="6" w:space="0"/>
            </w:tcBorders>
            <w:vAlign w:val="center"/>
          </w:tcPr>
          <w:p w14:paraId="08557F86">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0.00</w:t>
            </w:r>
          </w:p>
        </w:tc>
        <w:tc>
          <w:tcPr>
            <w:tcW w:w="1192" w:type="dxa"/>
            <w:tcBorders>
              <w:left w:val="single" w:color="auto" w:sz="6" w:space="0"/>
            </w:tcBorders>
            <w:vAlign w:val="center"/>
          </w:tcPr>
          <w:p w14:paraId="34EC07C8">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0.0996045</w:t>
            </w:r>
          </w:p>
        </w:tc>
        <w:tc>
          <w:tcPr>
            <w:tcW w:w="1190" w:type="dxa"/>
            <w:tcBorders>
              <w:left w:val="single" w:color="auto" w:sz="6" w:space="0"/>
            </w:tcBorders>
            <w:vAlign w:val="center"/>
          </w:tcPr>
          <w:p w14:paraId="1486C2B7">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0.00</w:t>
            </w:r>
          </w:p>
        </w:tc>
      </w:tr>
      <w:tr w14:paraId="7CBE463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353" w:type="dxa"/>
            <w:vAlign w:val="center"/>
          </w:tcPr>
          <w:p w14:paraId="7EF27C41">
            <w:pPr>
              <w:keepNext w:val="0"/>
              <w:keepLines w:val="0"/>
              <w:pageBreakBefore w:val="0"/>
              <w:widowControl/>
              <w:kinsoku/>
              <w:wordWrap/>
              <w:overflowPunct/>
              <w:topLinePunct w:val="0"/>
              <w:autoSpaceDE/>
              <w:autoSpaceDN/>
              <w:bidi w:val="0"/>
              <w:adjustRightInd/>
              <w:snapToGrid/>
              <w:ind w:left="0" w:right="0"/>
              <w:jc w:val="center"/>
              <w:textAlignment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2500</w:t>
            </w:r>
          </w:p>
        </w:tc>
        <w:tc>
          <w:tcPr>
            <w:tcW w:w="1192" w:type="dxa"/>
            <w:tcBorders>
              <w:left w:val="single" w:color="auto" w:sz="6" w:space="0"/>
            </w:tcBorders>
            <w:vAlign w:val="center"/>
          </w:tcPr>
          <w:p w14:paraId="04CBBEAB">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7.7081</w:t>
            </w:r>
          </w:p>
        </w:tc>
        <w:tc>
          <w:tcPr>
            <w:tcW w:w="1193" w:type="dxa"/>
            <w:tcBorders>
              <w:left w:val="single" w:color="auto" w:sz="6" w:space="0"/>
            </w:tcBorders>
            <w:vAlign w:val="center"/>
          </w:tcPr>
          <w:p w14:paraId="1479408C">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0.40</w:t>
            </w:r>
          </w:p>
        </w:tc>
        <w:tc>
          <w:tcPr>
            <w:tcW w:w="1192" w:type="dxa"/>
            <w:tcBorders>
              <w:left w:val="single" w:color="auto" w:sz="6" w:space="0"/>
            </w:tcBorders>
            <w:vAlign w:val="center"/>
          </w:tcPr>
          <w:p w14:paraId="779DED20">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0.16922</w:t>
            </w:r>
          </w:p>
        </w:tc>
        <w:tc>
          <w:tcPr>
            <w:tcW w:w="1192" w:type="dxa"/>
            <w:tcBorders>
              <w:left w:val="single" w:color="auto" w:sz="6" w:space="0"/>
            </w:tcBorders>
            <w:vAlign w:val="center"/>
          </w:tcPr>
          <w:p w14:paraId="4CD8E9B3">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0.00</w:t>
            </w:r>
          </w:p>
        </w:tc>
        <w:tc>
          <w:tcPr>
            <w:tcW w:w="1192" w:type="dxa"/>
            <w:tcBorders>
              <w:left w:val="single" w:color="auto" w:sz="6" w:space="0"/>
            </w:tcBorders>
            <w:vAlign w:val="center"/>
          </w:tcPr>
          <w:p w14:paraId="79E9AEE5">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0.0811706</w:t>
            </w:r>
          </w:p>
        </w:tc>
        <w:tc>
          <w:tcPr>
            <w:tcW w:w="1190" w:type="dxa"/>
            <w:tcBorders>
              <w:left w:val="single" w:color="auto" w:sz="6" w:space="0"/>
            </w:tcBorders>
            <w:vAlign w:val="center"/>
          </w:tcPr>
          <w:p w14:paraId="7E909B22">
            <w:pPr>
              <w:keepNext w:val="0"/>
              <w:keepLines w:val="0"/>
              <w:pageBreakBefore w:val="0"/>
              <w:widowControl/>
              <w:kinsoku/>
              <w:wordWrap/>
              <w:overflowPunct/>
              <w:topLinePunct w:val="0"/>
              <w:autoSpaceDE/>
              <w:autoSpaceDN/>
              <w:bidi w:val="0"/>
              <w:adjustRightInd/>
              <w:snapToGrid/>
              <w:ind w:left="0" w:right="0"/>
              <w:jc w:val="center"/>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0.00</w:t>
            </w:r>
          </w:p>
        </w:tc>
      </w:tr>
      <w:tr w14:paraId="47FB41E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353" w:type="dxa"/>
            <w:vAlign w:val="center"/>
          </w:tcPr>
          <w:p w14:paraId="7D76556E">
            <w:pPr>
              <w:keepNext w:val="0"/>
              <w:keepLines w:val="0"/>
              <w:pageBreakBefore w:val="0"/>
              <w:widowControl/>
              <w:kinsoku/>
              <w:wordWrap/>
              <w:overflowPunct/>
              <w:topLinePunct w:val="0"/>
              <w:autoSpaceDE/>
              <w:autoSpaceDN/>
              <w:bidi w:val="0"/>
              <w:adjustRightInd/>
              <w:snapToGrid/>
              <w:ind w:left="0" w:right="0"/>
              <w:jc w:val="center"/>
              <w:rPr>
                <w:rFonts w:ascii="Times New Roman" w:hAnsi="Times New Roman"/>
                <w:color w:val="auto"/>
                <w:sz w:val="21"/>
                <w:szCs w:val="21"/>
                <w:highlight w:val="none"/>
              </w:rPr>
            </w:pPr>
            <w:r>
              <w:rPr>
                <w:rFonts w:ascii="Times New Roman" w:hAnsi="Times New Roman"/>
                <w:color w:val="auto"/>
                <w:sz w:val="21"/>
                <w:szCs w:val="21"/>
                <w:highlight w:val="none"/>
              </w:rPr>
              <w:t>下风向最大浓度</w:t>
            </w:r>
          </w:p>
        </w:tc>
        <w:tc>
          <w:tcPr>
            <w:tcW w:w="2385" w:type="dxa"/>
            <w:gridSpan w:val="2"/>
            <w:tcBorders>
              <w:left w:val="single" w:color="auto" w:sz="6" w:space="0"/>
            </w:tcBorders>
            <w:vAlign w:val="center"/>
          </w:tcPr>
          <w:p w14:paraId="400D1FE5">
            <w:pPr>
              <w:keepNext w:val="0"/>
              <w:keepLines w:val="0"/>
              <w:pageBreakBefore w:val="0"/>
              <w:widowControl/>
              <w:kinsoku/>
              <w:wordWrap/>
              <w:overflowPunct/>
              <w:topLinePunct w:val="0"/>
              <w:autoSpaceDE/>
              <w:autoSpaceDN/>
              <w:bidi w:val="0"/>
              <w:adjustRightInd/>
              <w:snapToGrid/>
              <w:ind w:left="0" w:right="0"/>
              <w:jc w:val="center"/>
              <w:textAlignment w:val="center"/>
              <w:rPr>
                <w:rFonts w:hint="default" w:ascii="Times New Roman" w:hAnsi="Times New Roman" w:eastAsia="宋体"/>
                <w:color w:val="auto"/>
                <w:sz w:val="21"/>
                <w:szCs w:val="21"/>
                <w:highlight w:val="none"/>
                <w:lang w:val="en-US" w:eastAsia="zh-CN"/>
              </w:rPr>
            </w:pPr>
            <w:r>
              <w:rPr>
                <w:rFonts w:hint="eastAsia" w:ascii="Times New Roman" w:hAnsi="Times New Roman" w:eastAsia="宋体"/>
                <w:color w:val="auto"/>
                <w:sz w:val="21"/>
                <w:szCs w:val="21"/>
                <w:highlight w:val="none"/>
                <w:lang w:val="en-US" w:eastAsia="zh-CN"/>
              </w:rPr>
              <w:t>35.581</w:t>
            </w:r>
          </w:p>
        </w:tc>
        <w:tc>
          <w:tcPr>
            <w:tcW w:w="2384" w:type="dxa"/>
            <w:gridSpan w:val="2"/>
            <w:tcBorders>
              <w:left w:val="single" w:color="auto" w:sz="6" w:space="0"/>
            </w:tcBorders>
            <w:vAlign w:val="center"/>
          </w:tcPr>
          <w:p w14:paraId="1F14BD83">
            <w:pPr>
              <w:keepNext w:val="0"/>
              <w:keepLines w:val="0"/>
              <w:pageBreakBefore w:val="0"/>
              <w:widowControl/>
              <w:kinsoku/>
              <w:wordWrap/>
              <w:overflowPunct/>
              <w:topLinePunct w:val="0"/>
              <w:autoSpaceDE/>
              <w:autoSpaceDN/>
              <w:bidi w:val="0"/>
              <w:adjustRightInd/>
              <w:snapToGrid/>
              <w:ind w:left="0" w:right="0"/>
              <w:jc w:val="center"/>
              <w:textAlignment w:val="center"/>
              <w:rPr>
                <w:rFonts w:hint="default" w:ascii="Times New Roman" w:hAnsi="Times New Roman" w:eastAsia="宋体"/>
                <w:color w:val="auto"/>
                <w:sz w:val="21"/>
                <w:szCs w:val="21"/>
                <w:highlight w:val="none"/>
                <w:lang w:val="en-US" w:eastAsia="zh-CN"/>
              </w:rPr>
            </w:pPr>
            <w:r>
              <w:rPr>
                <w:rFonts w:hint="eastAsia" w:ascii="Times New Roman" w:hAnsi="Times New Roman" w:eastAsia="宋体"/>
                <w:color w:val="auto"/>
                <w:sz w:val="21"/>
                <w:szCs w:val="21"/>
                <w:highlight w:val="none"/>
                <w:lang w:val="en-US" w:eastAsia="zh-CN"/>
              </w:rPr>
              <w:t>1.469</w:t>
            </w:r>
          </w:p>
        </w:tc>
        <w:tc>
          <w:tcPr>
            <w:tcW w:w="2382" w:type="dxa"/>
            <w:gridSpan w:val="2"/>
            <w:tcBorders>
              <w:left w:val="single" w:color="auto" w:sz="6" w:space="0"/>
            </w:tcBorders>
            <w:vAlign w:val="center"/>
          </w:tcPr>
          <w:p w14:paraId="3215F186">
            <w:pPr>
              <w:keepNext w:val="0"/>
              <w:keepLines w:val="0"/>
              <w:pageBreakBefore w:val="0"/>
              <w:widowControl/>
              <w:kinsoku/>
              <w:wordWrap/>
              <w:overflowPunct/>
              <w:topLinePunct w:val="0"/>
              <w:autoSpaceDE/>
              <w:autoSpaceDN/>
              <w:bidi w:val="0"/>
              <w:adjustRightInd/>
              <w:snapToGrid/>
              <w:ind w:left="0" w:right="0"/>
              <w:jc w:val="center"/>
              <w:textAlignment w:val="center"/>
              <w:rPr>
                <w:rFonts w:hint="default" w:ascii="Times New Roman" w:hAnsi="Times New Roman" w:cs="Times New Roman"/>
                <w:color w:val="auto"/>
                <w:position w:val="1"/>
                <w:sz w:val="21"/>
                <w:szCs w:val="21"/>
                <w:highlight w:val="none"/>
                <w:lang w:val="en-US" w:bidi="zh-CN"/>
              </w:rPr>
            </w:pPr>
            <w:r>
              <w:rPr>
                <w:rFonts w:hint="eastAsia" w:ascii="Times New Roman" w:hAnsi="Times New Roman" w:cs="Times New Roman"/>
                <w:color w:val="auto"/>
                <w:position w:val="1"/>
                <w:sz w:val="21"/>
                <w:szCs w:val="21"/>
                <w:highlight w:val="none"/>
                <w:lang w:val="en-US" w:bidi="zh-CN"/>
              </w:rPr>
              <w:t>0.704642</w:t>
            </w:r>
          </w:p>
        </w:tc>
      </w:tr>
      <w:tr w14:paraId="495AC93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353" w:type="dxa"/>
            <w:vAlign w:val="center"/>
          </w:tcPr>
          <w:p w14:paraId="3E8EA4D2">
            <w:pPr>
              <w:keepNext w:val="0"/>
              <w:keepLines w:val="0"/>
              <w:pageBreakBefore w:val="0"/>
              <w:widowControl/>
              <w:kinsoku/>
              <w:wordWrap/>
              <w:overflowPunct/>
              <w:topLinePunct w:val="0"/>
              <w:autoSpaceDE/>
              <w:autoSpaceDN/>
              <w:bidi w:val="0"/>
              <w:adjustRightInd/>
              <w:snapToGrid/>
              <w:ind w:left="0" w:right="0"/>
              <w:jc w:val="center"/>
              <w:rPr>
                <w:rFonts w:ascii="Times New Roman" w:hAnsi="Times New Roman"/>
                <w:color w:val="auto"/>
                <w:sz w:val="21"/>
                <w:szCs w:val="21"/>
                <w:highlight w:val="none"/>
              </w:rPr>
            </w:pPr>
            <w:r>
              <w:rPr>
                <w:rFonts w:ascii="Times New Roman" w:hAnsi="Times New Roman"/>
                <w:color w:val="auto"/>
                <w:sz w:val="21"/>
                <w:szCs w:val="21"/>
                <w:highlight w:val="none"/>
              </w:rPr>
              <w:t>最大浓度出现距离（m）</w:t>
            </w:r>
          </w:p>
        </w:tc>
        <w:tc>
          <w:tcPr>
            <w:tcW w:w="2385" w:type="dxa"/>
            <w:gridSpan w:val="2"/>
            <w:tcBorders>
              <w:left w:val="single" w:color="auto" w:sz="6" w:space="0"/>
            </w:tcBorders>
            <w:vAlign w:val="center"/>
          </w:tcPr>
          <w:p w14:paraId="665C10F1">
            <w:pPr>
              <w:keepNext w:val="0"/>
              <w:keepLines w:val="0"/>
              <w:pageBreakBefore w:val="0"/>
              <w:widowControl/>
              <w:kinsoku/>
              <w:wordWrap/>
              <w:overflowPunct/>
              <w:topLinePunct w:val="0"/>
              <w:autoSpaceDE/>
              <w:autoSpaceDN/>
              <w:bidi w:val="0"/>
              <w:adjustRightInd/>
              <w:snapToGrid/>
              <w:ind w:left="0" w:right="0"/>
              <w:jc w:val="center"/>
              <w:rPr>
                <w:rFonts w:hint="default" w:ascii="Times New Roman" w:hAnsi="Times New Roman" w:eastAsia="宋体"/>
                <w:color w:val="auto"/>
                <w:sz w:val="21"/>
                <w:szCs w:val="21"/>
                <w:highlight w:val="none"/>
                <w:lang w:val="en-US" w:eastAsia="zh-CN"/>
              </w:rPr>
            </w:pPr>
            <w:r>
              <w:rPr>
                <w:rFonts w:hint="eastAsia" w:ascii="Times New Roman" w:hAnsi="Times New Roman" w:eastAsia="宋体"/>
                <w:color w:val="auto"/>
                <w:sz w:val="21"/>
                <w:szCs w:val="21"/>
                <w:highlight w:val="none"/>
                <w:lang w:val="en-US" w:eastAsia="zh-CN"/>
              </w:rPr>
              <w:t>113</w:t>
            </w:r>
          </w:p>
        </w:tc>
        <w:tc>
          <w:tcPr>
            <w:tcW w:w="2384" w:type="dxa"/>
            <w:gridSpan w:val="2"/>
            <w:tcBorders>
              <w:left w:val="single" w:color="auto" w:sz="6" w:space="0"/>
            </w:tcBorders>
            <w:vAlign w:val="center"/>
          </w:tcPr>
          <w:p w14:paraId="7ED71118">
            <w:pPr>
              <w:keepNext w:val="0"/>
              <w:keepLines w:val="0"/>
              <w:pageBreakBefore w:val="0"/>
              <w:widowControl/>
              <w:kinsoku/>
              <w:wordWrap/>
              <w:overflowPunct/>
              <w:topLinePunct w:val="0"/>
              <w:autoSpaceDE/>
              <w:autoSpaceDN/>
              <w:bidi w:val="0"/>
              <w:adjustRightInd/>
              <w:snapToGrid/>
              <w:ind w:left="0" w:right="0"/>
              <w:jc w:val="center"/>
              <w:rPr>
                <w:rFonts w:hint="default" w:ascii="Times New Roman" w:hAnsi="Times New Roman" w:eastAsia="宋体"/>
                <w:color w:val="auto"/>
                <w:sz w:val="21"/>
                <w:szCs w:val="21"/>
                <w:highlight w:val="none"/>
                <w:lang w:val="en-US" w:eastAsia="zh-CN"/>
              </w:rPr>
            </w:pPr>
            <w:r>
              <w:rPr>
                <w:rFonts w:hint="eastAsia" w:ascii="Times New Roman" w:hAnsi="Times New Roman" w:eastAsia="宋体"/>
                <w:color w:val="auto"/>
                <w:sz w:val="21"/>
                <w:szCs w:val="21"/>
                <w:highlight w:val="none"/>
                <w:lang w:val="en-US" w:eastAsia="zh-CN"/>
              </w:rPr>
              <w:t>70</w:t>
            </w:r>
          </w:p>
        </w:tc>
        <w:tc>
          <w:tcPr>
            <w:tcW w:w="2382" w:type="dxa"/>
            <w:gridSpan w:val="2"/>
            <w:tcBorders>
              <w:left w:val="single" w:color="auto" w:sz="6" w:space="0"/>
            </w:tcBorders>
            <w:vAlign w:val="center"/>
          </w:tcPr>
          <w:p w14:paraId="5051E902">
            <w:pPr>
              <w:keepNext w:val="0"/>
              <w:keepLines w:val="0"/>
              <w:pageBreakBefore w:val="0"/>
              <w:widowControl/>
              <w:kinsoku/>
              <w:wordWrap/>
              <w:overflowPunct/>
              <w:topLinePunct w:val="0"/>
              <w:autoSpaceDE/>
              <w:autoSpaceDN/>
              <w:bidi w:val="0"/>
              <w:adjustRightInd/>
              <w:snapToGrid/>
              <w:ind w:left="0" w:right="0"/>
              <w:jc w:val="center"/>
              <w:rPr>
                <w:rFonts w:hint="default" w:ascii="Times New Roman" w:hAnsi="Times New Roman" w:eastAsia="宋体"/>
                <w:color w:val="auto"/>
                <w:sz w:val="21"/>
                <w:szCs w:val="21"/>
                <w:highlight w:val="none"/>
                <w:lang w:val="en-US" w:eastAsia="zh-CN"/>
              </w:rPr>
            </w:pPr>
            <w:r>
              <w:rPr>
                <w:rFonts w:hint="eastAsia" w:ascii="Times New Roman" w:hAnsi="Times New Roman"/>
                <w:color w:val="auto"/>
                <w:sz w:val="21"/>
                <w:szCs w:val="21"/>
                <w:highlight w:val="none"/>
                <w:lang w:val="en-US" w:eastAsia="zh-CN"/>
              </w:rPr>
              <w:t>70</w:t>
            </w:r>
          </w:p>
        </w:tc>
      </w:tr>
      <w:tr w14:paraId="0CC1983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353" w:type="dxa"/>
            <w:vAlign w:val="center"/>
          </w:tcPr>
          <w:p w14:paraId="003C5A92">
            <w:pPr>
              <w:keepNext w:val="0"/>
              <w:keepLines w:val="0"/>
              <w:pageBreakBefore w:val="0"/>
              <w:widowControl/>
              <w:kinsoku/>
              <w:wordWrap/>
              <w:overflowPunct/>
              <w:topLinePunct w:val="0"/>
              <w:autoSpaceDE/>
              <w:autoSpaceDN/>
              <w:bidi w:val="0"/>
              <w:adjustRightInd/>
              <w:snapToGrid/>
              <w:ind w:left="0" w:right="0"/>
              <w:jc w:val="center"/>
              <w:rPr>
                <w:rFonts w:ascii="Times New Roman" w:hAnsi="Times New Roman"/>
                <w:color w:val="auto"/>
                <w:sz w:val="21"/>
                <w:szCs w:val="21"/>
                <w:highlight w:val="none"/>
              </w:rPr>
            </w:pPr>
            <w:r>
              <w:rPr>
                <w:rFonts w:ascii="Times New Roman" w:hAnsi="Times New Roman"/>
                <w:color w:val="auto"/>
                <w:sz w:val="21"/>
                <w:szCs w:val="21"/>
                <w:highlight w:val="none"/>
              </w:rPr>
              <w:t>浓度占标准10%距源最远距离D10%</w:t>
            </w:r>
          </w:p>
        </w:tc>
        <w:tc>
          <w:tcPr>
            <w:tcW w:w="2385" w:type="dxa"/>
            <w:gridSpan w:val="2"/>
            <w:tcBorders>
              <w:left w:val="single" w:color="auto" w:sz="6" w:space="0"/>
            </w:tcBorders>
            <w:vAlign w:val="center"/>
          </w:tcPr>
          <w:p w14:paraId="47DBFDA6">
            <w:pPr>
              <w:keepNext w:val="0"/>
              <w:keepLines w:val="0"/>
              <w:pageBreakBefore w:val="0"/>
              <w:widowControl/>
              <w:kinsoku/>
              <w:wordWrap/>
              <w:overflowPunct/>
              <w:topLinePunct w:val="0"/>
              <w:autoSpaceDE/>
              <w:autoSpaceDN/>
              <w:bidi w:val="0"/>
              <w:adjustRightInd/>
              <w:snapToGrid/>
              <w:ind w:left="0" w:right="0"/>
              <w:jc w:val="center"/>
              <w:rPr>
                <w:rFonts w:ascii="Times New Roman" w:hAnsi="Times New Roman"/>
                <w:color w:val="auto"/>
                <w:sz w:val="21"/>
                <w:szCs w:val="21"/>
                <w:highlight w:val="none"/>
              </w:rPr>
            </w:pPr>
            <w:r>
              <w:rPr>
                <w:rFonts w:ascii="Times New Roman" w:hAnsi="Times New Roman"/>
                <w:color w:val="auto"/>
                <w:sz w:val="21"/>
                <w:szCs w:val="21"/>
                <w:highlight w:val="none"/>
              </w:rPr>
              <w:t>Pmax＜1%</w:t>
            </w:r>
          </w:p>
        </w:tc>
        <w:tc>
          <w:tcPr>
            <w:tcW w:w="2384" w:type="dxa"/>
            <w:gridSpan w:val="2"/>
            <w:tcBorders>
              <w:left w:val="single" w:color="auto" w:sz="6" w:space="0"/>
            </w:tcBorders>
            <w:vAlign w:val="center"/>
          </w:tcPr>
          <w:p w14:paraId="71AD98C1">
            <w:pPr>
              <w:keepNext w:val="0"/>
              <w:keepLines w:val="0"/>
              <w:pageBreakBefore w:val="0"/>
              <w:widowControl/>
              <w:kinsoku/>
              <w:wordWrap/>
              <w:overflowPunct/>
              <w:topLinePunct w:val="0"/>
              <w:autoSpaceDE/>
              <w:autoSpaceDN/>
              <w:bidi w:val="0"/>
              <w:adjustRightInd/>
              <w:snapToGrid/>
              <w:ind w:left="0" w:right="0"/>
              <w:jc w:val="center"/>
              <w:rPr>
                <w:rFonts w:ascii="Times New Roman" w:hAnsi="Times New Roman"/>
                <w:color w:val="auto"/>
                <w:sz w:val="21"/>
                <w:szCs w:val="21"/>
                <w:highlight w:val="none"/>
              </w:rPr>
            </w:pPr>
            <w:r>
              <w:rPr>
                <w:rFonts w:ascii="Times New Roman" w:hAnsi="Times New Roman"/>
                <w:color w:val="auto"/>
                <w:sz w:val="21"/>
                <w:szCs w:val="21"/>
                <w:highlight w:val="none"/>
              </w:rPr>
              <w:t>Pmax＜1%</w:t>
            </w:r>
          </w:p>
        </w:tc>
        <w:tc>
          <w:tcPr>
            <w:tcW w:w="2382" w:type="dxa"/>
            <w:gridSpan w:val="2"/>
            <w:tcBorders>
              <w:left w:val="single" w:color="auto" w:sz="6" w:space="0"/>
            </w:tcBorders>
            <w:vAlign w:val="center"/>
          </w:tcPr>
          <w:p w14:paraId="51910824">
            <w:pPr>
              <w:keepNext w:val="0"/>
              <w:keepLines w:val="0"/>
              <w:pageBreakBefore w:val="0"/>
              <w:widowControl/>
              <w:kinsoku/>
              <w:wordWrap/>
              <w:overflowPunct/>
              <w:topLinePunct w:val="0"/>
              <w:autoSpaceDE/>
              <w:autoSpaceDN/>
              <w:bidi w:val="0"/>
              <w:adjustRightInd/>
              <w:snapToGrid/>
              <w:ind w:left="0" w:right="0"/>
              <w:jc w:val="center"/>
              <w:rPr>
                <w:rFonts w:ascii="Times New Roman" w:hAnsi="Times New Roman"/>
                <w:color w:val="auto"/>
                <w:sz w:val="21"/>
                <w:szCs w:val="21"/>
                <w:highlight w:val="none"/>
              </w:rPr>
            </w:pPr>
            <w:r>
              <w:rPr>
                <w:rFonts w:ascii="Times New Roman" w:hAnsi="Times New Roman"/>
                <w:color w:val="auto"/>
                <w:sz w:val="21"/>
                <w:szCs w:val="21"/>
                <w:highlight w:val="none"/>
              </w:rPr>
              <w:t>Pmax＜1%</w:t>
            </w:r>
          </w:p>
        </w:tc>
      </w:tr>
    </w:tbl>
    <w:p w14:paraId="1B545742">
      <w:pPr>
        <w:pStyle w:val="5"/>
        <w:keepLines w:val="0"/>
        <w:numPr>
          <w:ilvl w:val="2"/>
          <w:numId w:val="0"/>
        </w:numPr>
        <w:tabs>
          <w:tab w:val="left" w:pos="567"/>
          <w:tab w:val="left" w:pos="709"/>
          <w:tab w:val="left" w:pos="993"/>
          <w:tab w:val="left" w:pos="6663"/>
        </w:tabs>
        <w:spacing w:before="0" w:after="0" w:line="360" w:lineRule="auto"/>
        <w:ind w:right="-105"/>
        <w:rPr>
          <w:rFonts w:eastAsia="宋体"/>
          <w:color w:val="auto"/>
          <w:sz w:val="28"/>
          <w:szCs w:val="28"/>
          <w:highlight w:val="none"/>
        </w:rPr>
      </w:pPr>
      <w:bookmarkStart w:id="383" w:name="_Toc60653552"/>
      <w:r>
        <w:rPr>
          <w:rFonts w:hint="eastAsia" w:eastAsia="宋体"/>
          <w:color w:val="auto"/>
          <w:sz w:val="28"/>
          <w:szCs w:val="28"/>
          <w:highlight w:val="none"/>
        </w:rPr>
        <w:t>6.1.7</w:t>
      </w:r>
      <w:r>
        <w:rPr>
          <w:rFonts w:eastAsia="宋体"/>
          <w:color w:val="auto"/>
          <w:sz w:val="28"/>
          <w:szCs w:val="28"/>
          <w:highlight w:val="none"/>
        </w:rPr>
        <w:t>异味影响分析</w:t>
      </w:r>
      <w:bookmarkEnd w:id="383"/>
    </w:p>
    <w:p w14:paraId="3CA6C016">
      <w:pPr>
        <w:spacing w:line="360" w:lineRule="auto"/>
        <w:ind w:left="-105" w:right="-105" w:firstLine="480"/>
        <w:rPr>
          <w:rFonts w:ascii="Times New Roman" w:hAnsi="Times New Roman"/>
          <w:color w:val="auto"/>
          <w:highlight w:val="none"/>
        </w:rPr>
      </w:pPr>
      <w:r>
        <w:rPr>
          <w:rFonts w:ascii="Times New Roman" w:hAnsi="Times New Roman"/>
          <w:color w:val="auto"/>
          <w:highlight w:val="none"/>
        </w:rPr>
        <w:t>本项目生产过程排放的</w:t>
      </w:r>
      <w:r>
        <w:rPr>
          <w:rFonts w:hint="eastAsia" w:ascii="Times New Roman" w:hAnsi="Times New Roman"/>
          <w:color w:val="auto"/>
          <w:highlight w:val="none"/>
        </w:rPr>
        <w:t>二甲基亚砜、四甲基氢氧化铵、邻苯二酚、乙醇胺</w:t>
      </w:r>
      <w:r>
        <w:rPr>
          <w:rFonts w:ascii="Times New Roman" w:hAnsi="Times New Roman"/>
          <w:color w:val="auto"/>
          <w:highlight w:val="none"/>
        </w:rPr>
        <w:t>均属于异味物质，其主要危害为：</w:t>
      </w:r>
    </w:p>
    <w:p w14:paraId="7E1F2BC7">
      <w:pPr>
        <w:spacing w:line="360" w:lineRule="auto"/>
        <w:ind w:left="-105" w:right="-105" w:firstLine="480"/>
        <w:rPr>
          <w:rFonts w:ascii="Times New Roman" w:hAnsi="Times New Roman"/>
          <w:color w:val="auto"/>
          <w:highlight w:val="none"/>
        </w:rPr>
      </w:pPr>
      <w:r>
        <w:rPr>
          <w:rFonts w:ascii="Times New Roman" w:hAnsi="Times New Roman"/>
          <w:color w:val="auto"/>
          <w:highlight w:val="none"/>
        </w:rPr>
        <w:t>（1）异味危害主要有六个方面：</w:t>
      </w:r>
    </w:p>
    <w:p w14:paraId="7DF5ED4E">
      <w:pPr>
        <w:spacing w:line="360" w:lineRule="auto"/>
        <w:ind w:left="-105" w:right="-105" w:firstLine="480"/>
        <w:rPr>
          <w:rFonts w:ascii="Times New Roman" w:hAnsi="Times New Roman"/>
          <w:color w:val="auto"/>
          <w:highlight w:val="none"/>
        </w:rPr>
      </w:pPr>
      <w:r>
        <w:rPr>
          <w:rFonts w:hint="eastAsia" w:ascii="Times New Roman" w:hAnsi="Times New Roman"/>
          <w:color w:val="auto"/>
          <w:highlight w:val="none"/>
        </w:rPr>
        <w:t>①</w:t>
      </w:r>
      <w:r>
        <w:rPr>
          <w:rFonts w:ascii="Times New Roman" w:hAnsi="Times New Roman"/>
          <w:color w:val="auto"/>
          <w:highlight w:val="none"/>
        </w:rPr>
        <w:t>危害呼吸系统。人们突然闻到异味，就会产生反射性的抑制吸气，使呼吸次数减少，深度变浅，甚至会暂时停止吸气，妨碍正常呼吸功能。</w:t>
      </w:r>
    </w:p>
    <w:p w14:paraId="1341A202">
      <w:pPr>
        <w:spacing w:line="360" w:lineRule="auto"/>
        <w:ind w:left="-105" w:right="-105" w:firstLine="480"/>
        <w:rPr>
          <w:rFonts w:ascii="Times New Roman" w:hAnsi="Times New Roman"/>
          <w:color w:val="auto"/>
          <w:highlight w:val="none"/>
        </w:rPr>
      </w:pPr>
      <w:r>
        <w:rPr>
          <w:rFonts w:hint="eastAsia" w:ascii="Times New Roman" w:hAnsi="Times New Roman"/>
          <w:color w:val="auto"/>
          <w:highlight w:val="none"/>
        </w:rPr>
        <w:t>②</w:t>
      </w:r>
      <w:r>
        <w:rPr>
          <w:rFonts w:ascii="Times New Roman" w:hAnsi="Times New Roman"/>
          <w:color w:val="auto"/>
          <w:highlight w:val="none"/>
        </w:rPr>
        <w:t>危害循环系统。随着呼吸的变化，会出现脉搏和血压的变化。如硫化氢等刺激性异味气体会使血压出现先下降后上升，脉搏先减慢后加快的现象。</w:t>
      </w:r>
    </w:p>
    <w:p w14:paraId="274DA099">
      <w:pPr>
        <w:spacing w:line="360" w:lineRule="auto"/>
        <w:ind w:left="-105" w:right="-105" w:firstLine="480"/>
        <w:rPr>
          <w:rFonts w:ascii="Times New Roman" w:hAnsi="Times New Roman"/>
          <w:color w:val="auto"/>
          <w:highlight w:val="none"/>
        </w:rPr>
      </w:pPr>
      <w:r>
        <w:rPr>
          <w:rFonts w:hint="eastAsia" w:ascii="Times New Roman" w:hAnsi="Times New Roman"/>
          <w:color w:val="auto"/>
          <w:highlight w:val="none"/>
        </w:rPr>
        <w:t>③</w:t>
      </w:r>
      <w:r>
        <w:rPr>
          <w:rFonts w:ascii="Times New Roman" w:hAnsi="Times New Roman"/>
          <w:color w:val="auto"/>
          <w:highlight w:val="none"/>
        </w:rPr>
        <w:t>危害消化系统。经常接触异味，会使人厌食、恶心，甚至呕吐，进而发展为消化功能减退。</w:t>
      </w:r>
    </w:p>
    <w:p w14:paraId="5239E1E2">
      <w:pPr>
        <w:spacing w:line="360" w:lineRule="auto"/>
        <w:ind w:left="-105" w:right="-105" w:firstLine="480"/>
        <w:rPr>
          <w:rFonts w:ascii="Times New Roman" w:hAnsi="Times New Roman"/>
          <w:color w:val="auto"/>
          <w:highlight w:val="none"/>
        </w:rPr>
      </w:pPr>
      <w:r>
        <w:rPr>
          <w:rFonts w:hint="eastAsia" w:ascii="Times New Roman" w:hAnsi="Times New Roman"/>
          <w:color w:val="auto"/>
          <w:highlight w:val="none"/>
        </w:rPr>
        <w:t>④</w:t>
      </w:r>
      <w:r>
        <w:rPr>
          <w:rFonts w:ascii="Times New Roman" w:hAnsi="Times New Roman"/>
          <w:color w:val="auto"/>
          <w:highlight w:val="none"/>
        </w:rPr>
        <w:t>危害内分泌系统。经常受异味刺激，会使内分泌系统的分泌功能紊乱，影响机体的代谢活动。</w:t>
      </w:r>
    </w:p>
    <w:p w14:paraId="76657D8F">
      <w:pPr>
        <w:spacing w:line="360" w:lineRule="auto"/>
        <w:ind w:left="-105" w:right="-105" w:firstLine="480"/>
        <w:rPr>
          <w:rFonts w:ascii="Times New Roman" w:hAnsi="Times New Roman"/>
          <w:color w:val="auto"/>
          <w:highlight w:val="none"/>
        </w:rPr>
      </w:pPr>
      <w:r>
        <w:rPr>
          <w:rFonts w:hint="eastAsia" w:ascii="Times New Roman" w:hAnsi="Times New Roman"/>
          <w:color w:val="auto"/>
          <w:highlight w:val="none"/>
        </w:rPr>
        <w:t>⑤</w:t>
      </w:r>
      <w:r>
        <w:rPr>
          <w:rFonts w:ascii="Times New Roman" w:hAnsi="Times New Roman"/>
          <w:color w:val="auto"/>
          <w:highlight w:val="none"/>
        </w:rPr>
        <w:t>危害神经系统。长期受到一种或几种低浓度异味物质的刺激，会引起嗅觉脱失、嗅觉疲劳等障碍。</w:t>
      </w:r>
      <w:r>
        <w:rPr>
          <w:rFonts w:hint="eastAsia" w:ascii="Times New Roman" w:hAnsi="Times New Roman"/>
          <w:color w:val="auto"/>
          <w:highlight w:val="none"/>
        </w:rPr>
        <w:t>“</w:t>
      </w:r>
      <w:r>
        <w:rPr>
          <w:rFonts w:ascii="Times New Roman" w:hAnsi="Times New Roman"/>
          <w:color w:val="auto"/>
          <w:highlight w:val="none"/>
        </w:rPr>
        <w:t>久闻而不知其臭</w:t>
      </w:r>
      <w:r>
        <w:rPr>
          <w:rFonts w:hint="eastAsia" w:ascii="Times New Roman" w:hAnsi="Times New Roman"/>
          <w:color w:val="auto"/>
          <w:highlight w:val="none"/>
        </w:rPr>
        <w:t>”</w:t>
      </w:r>
      <w:r>
        <w:rPr>
          <w:rFonts w:ascii="Times New Roman" w:hAnsi="Times New Roman"/>
          <w:color w:val="auto"/>
          <w:highlight w:val="none"/>
        </w:rPr>
        <w:t>，使嗅觉丧失了第一道防御功能，但脑神经仍不断受到刺激和损伤，最后导致大脑皮层兴奋和抑制的调节功能失调。</w:t>
      </w:r>
    </w:p>
    <w:p w14:paraId="006D2CAF">
      <w:pPr>
        <w:spacing w:line="360" w:lineRule="auto"/>
        <w:ind w:left="-105" w:right="-105" w:firstLine="480"/>
        <w:rPr>
          <w:rFonts w:ascii="Times New Roman" w:hAnsi="Times New Roman"/>
          <w:color w:val="auto"/>
          <w:highlight w:val="none"/>
        </w:rPr>
      </w:pPr>
      <w:r>
        <w:rPr>
          <w:rFonts w:hint="eastAsia" w:ascii="Times New Roman" w:hAnsi="Times New Roman"/>
          <w:color w:val="auto"/>
          <w:highlight w:val="none"/>
        </w:rPr>
        <w:t>⑥</w:t>
      </w:r>
      <w:r>
        <w:rPr>
          <w:rFonts w:ascii="Times New Roman" w:hAnsi="Times New Roman"/>
          <w:color w:val="auto"/>
          <w:highlight w:val="none"/>
        </w:rPr>
        <w:t>对精神的影响。异味使人精神烦躁不安，思想不集中，工作效率减低，判断力和记忆力下降，影响大脑的思考活动。</w:t>
      </w:r>
    </w:p>
    <w:p w14:paraId="7EC30CA7">
      <w:pPr>
        <w:spacing w:line="360" w:lineRule="auto"/>
        <w:ind w:left="-105" w:right="-105" w:firstLine="480"/>
        <w:rPr>
          <w:rFonts w:ascii="Times New Roman" w:hAnsi="Times New Roman"/>
          <w:color w:val="auto"/>
          <w:highlight w:val="none"/>
        </w:rPr>
      </w:pPr>
      <w:r>
        <w:rPr>
          <w:rFonts w:ascii="Times New Roman" w:hAnsi="Times New Roman"/>
          <w:color w:val="auto"/>
          <w:highlight w:val="none"/>
        </w:rPr>
        <w:t>（2）异味影响分析</w:t>
      </w:r>
    </w:p>
    <w:p w14:paraId="1AEBD7BE">
      <w:pPr>
        <w:spacing w:line="360" w:lineRule="auto"/>
        <w:ind w:left="-105" w:right="-105"/>
        <w:rPr>
          <w:rFonts w:ascii="Times New Roman" w:hAnsi="Times New Roman"/>
          <w:color w:val="auto"/>
          <w:highlight w:val="none"/>
        </w:rPr>
      </w:pPr>
      <w:r>
        <w:rPr>
          <w:rFonts w:ascii="Times New Roman" w:hAnsi="Times New Roman"/>
          <w:color w:val="auto"/>
          <w:highlight w:val="none"/>
        </w:rPr>
        <w:t>经查找，项目异味物质</w:t>
      </w:r>
      <w:r>
        <w:rPr>
          <w:rFonts w:hint="eastAsia" w:ascii="Times New Roman" w:hAnsi="Times New Roman"/>
          <w:color w:val="auto"/>
          <w:highlight w:val="none"/>
        </w:rPr>
        <w:t>均未查到嗅阈值</w:t>
      </w:r>
      <w:r>
        <w:rPr>
          <w:rFonts w:ascii="Times New Roman" w:hAnsi="Times New Roman"/>
          <w:color w:val="auto"/>
          <w:highlight w:val="none"/>
        </w:rPr>
        <w:t>，</w:t>
      </w:r>
      <w:r>
        <w:rPr>
          <w:rFonts w:hint="eastAsia" w:ascii="Times New Roman" w:hAnsi="Times New Roman"/>
          <w:color w:val="auto"/>
          <w:highlight w:val="none"/>
        </w:rPr>
        <w:t>而无组织排放的异味物质最大落地浓度极低，</w:t>
      </w:r>
      <w:r>
        <w:rPr>
          <w:rFonts w:ascii="Times New Roman" w:hAnsi="Times New Roman"/>
          <w:color w:val="auto"/>
          <w:highlight w:val="none"/>
        </w:rPr>
        <w:t>因此，大气污染排放污染物异味对周围环境影响较小。</w:t>
      </w:r>
    </w:p>
    <w:p w14:paraId="66B20CDE">
      <w:pPr>
        <w:pStyle w:val="5"/>
        <w:keepLines w:val="0"/>
        <w:numPr>
          <w:ilvl w:val="2"/>
          <w:numId w:val="0"/>
        </w:numPr>
        <w:tabs>
          <w:tab w:val="left" w:pos="567"/>
          <w:tab w:val="left" w:pos="709"/>
          <w:tab w:val="left" w:pos="993"/>
          <w:tab w:val="left" w:pos="6663"/>
        </w:tabs>
        <w:spacing w:before="0" w:after="0" w:line="360" w:lineRule="auto"/>
        <w:ind w:right="-105"/>
        <w:rPr>
          <w:rFonts w:eastAsia="宋体"/>
          <w:color w:val="auto"/>
          <w:sz w:val="28"/>
          <w:szCs w:val="28"/>
          <w:highlight w:val="none"/>
        </w:rPr>
      </w:pPr>
      <w:bookmarkStart w:id="384" w:name="_Toc60653553"/>
      <w:r>
        <w:rPr>
          <w:rFonts w:hint="eastAsia" w:eastAsia="宋体"/>
          <w:color w:val="auto"/>
          <w:sz w:val="28"/>
          <w:szCs w:val="28"/>
          <w:highlight w:val="none"/>
        </w:rPr>
        <w:t>6.1.8</w:t>
      </w:r>
      <w:r>
        <w:rPr>
          <w:rFonts w:eastAsia="宋体"/>
          <w:color w:val="auto"/>
          <w:sz w:val="28"/>
          <w:szCs w:val="28"/>
          <w:highlight w:val="none"/>
        </w:rPr>
        <w:t>大气防护距离</w:t>
      </w:r>
      <w:bookmarkEnd w:id="384"/>
    </w:p>
    <w:p w14:paraId="53B793B2">
      <w:pPr>
        <w:spacing w:line="360" w:lineRule="auto"/>
        <w:ind w:left="-105" w:right="-105" w:firstLine="480"/>
        <w:jc w:val="both"/>
        <w:rPr>
          <w:rFonts w:ascii="Times New Roman" w:hAnsi="Times New Roman"/>
          <w:color w:val="auto"/>
          <w:highlight w:val="none"/>
        </w:rPr>
      </w:pPr>
      <w:r>
        <w:rPr>
          <w:rFonts w:hint="eastAsia" w:ascii="Times New Roman" w:hAnsi="Times New Roman"/>
          <w:color w:val="auto"/>
          <w:highlight w:val="none"/>
        </w:rPr>
        <w:t>根据《环境影响评价技术导则大气环境》（HJ2.2-2018）规定，为保护人群健康，减少大气污染物排放对居住区的环境影响，在污染源与居住区之间根据预测结果情况，考虑设置大气环境防护区域。</w:t>
      </w:r>
    </w:p>
    <w:p w14:paraId="6A461B79">
      <w:pPr>
        <w:spacing w:line="360" w:lineRule="auto"/>
        <w:ind w:left="-105" w:right="-105" w:firstLine="480"/>
        <w:jc w:val="both"/>
        <w:rPr>
          <w:rFonts w:ascii="Times New Roman" w:hAnsi="Times New Roman"/>
          <w:color w:val="auto"/>
          <w:highlight w:val="none"/>
        </w:rPr>
      </w:pPr>
      <w:r>
        <w:rPr>
          <w:rFonts w:hint="eastAsia" w:ascii="Times New Roman" w:hAnsi="Times New Roman"/>
          <w:color w:val="auto"/>
          <w:highlight w:val="none"/>
        </w:rPr>
        <w:t>根据前面预测结果，各个排气筒、无组织源最大落地浓度均小于10%，同类因子叠加后，其贡献值也不会造成厂界浓度和厂界外大气污染物短期贡献浓度超标，因此，得出本项目废气排放在厂界和厂界外无超标点，故本项目不需设置大气环境防护距离。</w:t>
      </w:r>
    </w:p>
    <w:p w14:paraId="5C399881">
      <w:pPr>
        <w:pStyle w:val="5"/>
        <w:keepLines w:val="0"/>
        <w:numPr>
          <w:ilvl w:val="2"/>
          <w:numId w:val="0"/>
        </w:numPr>
        <w:tabs>
          <w:tab w:val="left" w:pos="567"/>
          <w:tab w:val="left" w:pos="709"/>
          <w:tab w:val="left" w:pos="993"/>
          <w:tab w:val="left" w:pos="6663"/>
        </w:tabs>
        <w:spacing w:before="0" w:after="0" w:line="360" w:lineRule="auto"/>
        <w:ind w:right="-105"/>
        <w:rPr>
          <w:rFonts w:hint="eastAsia" w:eastAsia="宋体"/>
          <w:color w:val="auto"/>
          <w:sz w:val="28"/>
          <w:szCs w:val="28"/>
          <w:highlight w:val="none"/>
          <w:lang w:val="en-US" w:eastAsia="zh-CN"/>
        </w:rPr>
      </w:pPr>
      <w:bookmarkStart w:id="385" w:name="_Toc60653555"/>
      <w:r>
        <w:rPr>
          <w:rFonts w:hint="eastAsia" w:eastAsia="宋体"/>
          <w:color w:val="auto"/>
          <w:sz w:val="28"/>
          <w:szCs w:val="28"/>
          <w:highlight w:val="none"/>
        </w:rPr>
        <w:t>6.1.9</w:t>
      </w:r>
      <w:r>
        <w:rPr>
          <w:rFonts w:hint="eastAsia" w:eastAsia="宋体"/>
          <w:color w:val="auto"/>
          <w:sz w:val="28"/>
          <w:szCs w:val="28"/>
          <w:highlight w:val="none"/>
          <w:lang w:val="en-US" w:eastAsia="zh-CN"/>
        </w:rPr>
        <w:t>卫生防护距离</w:t>
      </w:r>
    </w:p>
    <w:p w14:paraId="268918B4">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color w:val="auto"/>
          <w:sz w:val="24"/>
          <w:szCs w:val="22"/>
          <w:highlight w:val="none"/>
        </w:rPr>
      </w:pPr>
      <w:r>
        <w:rPr>
          <w:rFonts w:hint="default" w:ascii="Times New Roman" w:hAnsi="Times New Roman" w:cs="Times New Roman"/>
          <w:color w:val="auto"/>
          <w:sz w:val="24"/>
          <w:szCs w:val="22"/>
          <w:highlight w:val="none"/>
        </w:rPr>
        <w:t>根据《大气有害物质无组织排放卫生防护距离推荐技术导则》（GB/T39499-2020）章节4规定：当目标企业无组织排放存在多种有毒有害污染物时，基于单个污染物的等标排放量计算结果，优先选择等标排放量最大的污染物为企业无组织排放的主要特征大气有害物质。当前两种污染物的等标排放量相差在10%以内时，需要同时选择这两种特征大气有害物质分别计算卫生防护距离初值。本项目主要无组织排放大气污染物为非甲烷总烃和甲苯，等标排放量计算结果见下表。</w:t>
      </w:r>
    </w:p>
    <w:p w14:paraId="29B3E239">
      <w:pPr>
        <w:pStyle w:val="15"/>
        <w:adjustRightInd w:val="0"/>
        <w:spacing w:before="0" w:after="0" w:line="360" w:lineRule="auto"/>
        <w:ind w:right="0"/>
        <w:jc w:val="center"/>
        <w:rPr>
          <w:rFonts w:ascii="Times New Roman" w:hAnsi="Times New Roman" w:eastAsia="宋体" w:cs="Times New Roman"/>
          <w:b/>
          <w:color w:val="auto"/>
          <w:kern w:val="2"/>
          <w:sz w:val="24"/>
          <w:szCs w:val="18"/>
          <w:highlight w:val="none"/>
          <w:lang w:val="en-US" w:eastAsia="zh-CN" w:bidi="ar-SA"/>
        </w:rPr>
      </w:pPr>
      <w:r>
        <w:rPr>
          <w:rFonts w:hint="default" w:ascii="Times New Roman" w:hAnsi="Times New Roman" w:eastAsia="宋体" w:cs="Times New Roman"/>
          <w:color w:val="auto"/>
          <w:sz w:val="24"/>
          <w:szCs w:val="24"/>
          <w:highlight w:val="none"/>
        </w:rPr>
        <w:t xml:space="preserve">表 </w:t>
      </w:r>
      <w:r>
        <w:rPr>
          <w:rFonts w:hint="default" w:ascii="Times New Roman" w:hAnsi="Times New Roman" w:eastAsia="宋体" w:cs="Times New Roman"/>
          <w:color w:val="auto"/>
          <w:sz w:val="24"/>
          <w:szCs w:val="24"/>
          <w:highlight w:val="none"/>
        </w:rPr>
        <w:fldChar w:fldCharType="begin"/>
      </w:r>
      <w:r>
        <w:rPr>
          <w:rFonts w:hint="default" w:ascii="Times New Roman" w:hAnsi="Times New Roman" w:eastAsia="宋体" w:cs="Times New Roman"/>
          <w:color w:val="auto"/>
          <w:sz w:val="24"/>
          <w:szCs w:val="24"/>
          <w:highlight w:val="none"/>
        </w:rPr>
        <w:instrText xml:space="preserve"> STYLEREF 2 \s </w:instrText>
      </w:r>
      <w:r>
        <w:rPr>
          <w:rFonts w:hint="default" w:ascii="Times New Roman" w:hAnsi="Times New Roman" w:eastAsia="宋体" w:cs="Times New Roman"/>
          <w:color w:val="auto"/>
          <w:sz w:val="24"/>
          <w:szCs w:val="24"/>
          <w:highlight w:val="none"/>
        </w:rPr>
        <w:fldChar w:fldCharType="separate"/>
      </w:r>
      <w:r>
        <w:rPr>
          <w:rFonts w:hint="default" w:ascii="Times New Roman" w:hAnsi="Times New Roman" w:eastAsia="宋体" w:cs="Times New Roman"/>
          <w:color w:val="auto"/>
          <w:sz w:val="24"/>
          <w:szCs w:val="24"/>
          <w:highlight w:val="none"/>
        </w:rPr>
        <w:t>6.1</w:t>
      </w:r>
      <w:r>
        <w:rPr>
          <w:rFonts w:hint="default" w:ascii="Times New Roman" w:hAnsi="Times New Roman" w:eastAsia="宋体" w:cs="Times New Roman"/>
          <w:color w:val="auto"/>
          <w:sz w:val="24"/>
          <w:szCs w:val="24"/>
          <w:highlight w:val="none"/>
        </w:rPr>
        <w:fldChar w:fldCharType="end"/>
      </w:r>
      <w:r>
        <w:rPr>
          <w:rFonts w:hint="default"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rPr>
        <w:fldChar w:fldCharType="begin"/>
      </w:r>
      <w:r>
        <w:rPr>
          <w:rFonts w:hint="default" w:ascii="Times New Roman" w:hAnsi="Times New Roman" w:eastAsia="宋体" w:cs="Times New Roman"/>
          <w:color w:val="auto"/>
          <w:sz w:val="24"/>
          <w:szCs w:val="24"/>
          <w:highlight w:val="none"/>
        </w:rPr>
        <w:instrText xml:space="preserve"> SEQ 表 \* ARABIC \s 2 </w:instrText>
      </w:r>
      <w:r>
        <w:rPr>
          <w:rFonts w:hint="default" w:ascii="Times New Roman" w:hAnsi="Times New Roman" w:eastAsia="宋体" w:cs="Times New Roman"/>
          <w:color w:val="auto"/>
          <w:sz w:val="24"/>
          <w:szCs w:val="24"/>
          <w:highlight w:val="none"/>
        </w:rPr>
        <w:fldChar w:fldCharType="separate"/>
      </w:r>
      <w:r>
        <w:rPr>
          <w:rFonts w:hint="default" w:ascii="Times New Roman" w:hAnsi="Times New Roman" w:eastAsia="宋体" w:cs="Times New Roman"/>
          <w:color w:val="auto"/>
          <w:sz w:val="24"/>
          <w:szCs w:val="24"/>
          <w:highlight w:val="none"/>
        </w:rPr>
        <w:t>14</w:t>
      </w:r>
      <w:r>
        <w:rPr>
          <w:rFonts w:hint="default" w:ascii="Times New Roman" w:hAnsi="Times New Roman" w:eastAsia="宋体" w:cs="Times New Roman"/>
          <w:color w:val="auto"/>
          <w:sz w:val="24"/>
          <w:szCs w:val="24"/>
          <w:highlight w:val="none"/>
        </w:rPr>
        <w:fldChar w:fldCharType="end"/>
      </w:r>
      <w:r>
        <w:rPr>
          <w:rFonts w:hint="eastAsia" w:ascii="Times New Roman" w:hAnsi="Times New Roman" w:eastAsia="宋体" w:cs="Times New Roman"/>
          <w:b/>
          <w:color w:val="auto"/>
          <w:kern w:val="2"/>
          <w:sz w:val="24"/>
          <w:szCs w:val="18"/>
          <w:highlight w:val="none"/>
          <w:lang w:val="en-US" w:eastAsia="zh-CN" w:bidi="ar-SA"/>
        </w:rPr>
        <w:t>建设项目大气有害物质等标排放量计算结果表</w:t>
      </w:r>
    </w:p>
    <w:tbl>
      <w:tblPr>
        <w:tblStyle w:val="46"/>
        <w:tblW w:w="5000" w:type="pct"/>
        <w:tblInd w:w="0" w:type="dxa"/>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
      <w:tblGrid>
        <w:gridCol w:w="1453"/>
        <w:gridCol w:w="1453"/>
        <w:gridCol w:w="1453"/>
        <w:gridCol w:w="1453"/>
        <w:gridCol w:w="1453"/>
        <w:gridCol w:w="1456"/>
      </w:tblGrid>
      <w:tr w14:paraId="03627511">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c>
          <w:tcPr>
            <w:tcW w:w="1453" w:type="dxa"/>
            <w:vAlign w:val="center"/>
          </w:tcPr>
          <w:p w14:paraId="125210CE">
            <w:pPr>
              <w:pStyle w:val="21"/>
              <w:keepNext w:val="0"/>
              <w:keepLines w:val="0"/>
              <w:pageBreakBefore w:val="0"/>
              <w:widowControl w:val="0"/>
              <w:numPr>
                <w:ilvl w:val="0"/>
                <w:numId w:val="0"/>
              </w:numPr>
              <w:tabs>
                <w:tab w:val="left" w:pos="360"/>
                <w:tab w:val="clear" w:pos="1620"/>
                <w:tab w:val="clear" w:pos="2040"/>
              </w:tabs>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位置</w:t>
            </w:r>
          </w:p>
        </w:tc>
        <w:tc>
          <w:tcPr>
            <w:tcW w:w="1453" w:type="dxa"/>
            <w:vAlign w:val="center"/>
          </w:tcPr>
          <w:p w14:paraId="27B6EBA5">
            <w:pPr>
              <w:pStyle w:val="21"/>
              <w:keepNext w:val="0"/>
              <w:keepLines w:val="0"/>
              <w:pageBreakBefore w:val="0"/>
              <w:widowControl w:val="0"/>
              <w:numPr>
                <w:ilvl w:val="0"/>
                <w:numId w:val="0"/>
              </w:numPr>
              <w:tabs>
                <w:tab w:val="left" w:pos="360"/>
                <w:tab w:val="clear" w:pos="1620"/>
                <w:tab w:val="clear" w:pos="2040"/>
              </w:tabs>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b/>
                <w:bCs/>
                <w:color w:val="auto"/>
                <w:sz w:val="21"/>
                <w:szCs w:val="21"/>
                <w:highlight w:val="none"/>
              </w:rPr>
              <w:t>污染物名称</w:t>
            </w:r>
          </w:p>
        </w:tc>
        <w:tc>
          <w:tcPr>
            <w:tcW w:w="1453" w:type="dxa"/>
            <w:vAlign w:val="center"/>
          </w:tcPr>
          <w:p w14:paraId="2251F8E1">
            <w:pPr>
              <w:pStyle w:val="21"/>
              <w:keepNext w:val="0"/>
              <w:keepLines w:val="0"/>
              <w:pageBreakBefore w:val="0"/>
              <w:widowControl w:val="0"/>
              <w:numPr>
                <w:ilvl w:val="0"/>
                <w:numId w:val="0"/>
              </w:numPr>
              <w:tabs>
                <w:tab w:val="left" w:pos="360"/>
                <w:tab w:val="clear" w:pos="1620"/>
                <w:tab w:val="clear" w:pos="2040"/>
              </w:tabs>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Qc/排放速率kg/h</w:t>
            </w:r>
          </w:p>
        </w:tc>
        <w:tc>
          <w:tcPr>
            <w:tcW w:w="1453" w:type="dxa"/>
            <w:vAlign w:val="center"/>
          </w:tcPr>
          <w:p w14:paraId="62C043AF">
            <w:pPr>
              <w:pStyle w:val="21"/>
              <w:keepNext w:val="0"/>
              <w:keepLines w:val="0"/>
              <w:pageBreakBefore w:val="0"/>
              <w:widowControl w:val="0"/>
              <w:numPr>
                <w:ilvl w:val="0"/>
                <w:numId w:val="0"/>
              </w:numPr>
              <w:tabs>
                <w:tab w:val="left" w:pos="360"/>
                <w:tab w:val="clear" w:pos="1620"/>
                <w:tab w:val="clear" w:pos="2040"/>
              </w:tabs>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color w:val="auto"/>
                <w:sz w:val="21"/>
                <w:szCs w:val="21"/>
                <w:highlight w:val="none"/>
                <w:vertAlign w:val="superscript"/>
              </w:rPr>
            </w:pPr>
            <w:r>
              <w:rPr>
                <w:rFonts w:hint="default" w:ascii="Times New Roman" w:hAnsi="Times New Roman" w:eastAsia="宋体" w:cs="Times New Roman"/>
                <w:b/>
                <w:bCs/>
                <w:color w:val="auto"/>
                <w:sz w:val="21"/>
                <w:szCs w:val="21"/>
                <w:highlight w:val="none"/>
              </w:rPr>
              <w:t>Cm/小时标准浓度mg/m</w:t>
            </w:r>
            <w:r>
              <w:rPr>
                <w:rFonts w:hint="default" w:ascii="Times New Roman" w:hAnsi="Times New Roman" w:eastAsia="宋体" w:cs="Times New Roman"/>
                <w:b/>
                <w:bCs/>
                <w:color w:val="auto"/>
                <w:sz w:val="21"/>
                <w:szCs w:val="21"/>
                <w:highlight w:val="none"/>
                <w:vertAlign w:val="superscript"/>
              </w:rPr>
              <w:t>3</w:t>
            </w:r>
          </w:p>
        </w:tc>
        <w:tc>
          <w:tcPr>
            <w:tcW w:w="1453" w:type="dxa"/>
            <w:vAlign w:val="center"/>
          </w:tcPr>
          <w:p w14:paraId="54ED712E">
            <w:pPr>
              <w:pStyle w:val="21"/>
              <w:keepNext w:val="0"/>
              <w:keepLines w:val="0"/>
              <w:pageBreakBefore w:val="0"/>
              <w:widowControl w:val="0"/>
              <w:numPr>
                <w:ilvl w:val="0"/>
                <w:numId w:val="0"/>
              </w:numPr>
              <w:tabs>
                <w:tab w:val="left" w:pos="360"/>
                <w:tab w:val="clear" w:pos="1620"/>
                <w:tab w:val="clear" w:pos="2040"/>
              </w:tabs>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等标排放量Qc/Cm</w:t>
            </w:r>
          </w:p>
        </w:tc>
        <w:tc>
          <w:tcPr>
            <w:tcW w:w="1456" w:type="dxa"/>
            <w:vAlign w:val="center"/>
          </w:tcPr>
          <w:p w14:paraId="568467CC">
            <w:pPr>
              <w:pStyle w:val="21"/>
              <w:keepNext w:val="0"/>
              <w:keepLines w:val="0"/>
              <w:pageBreakBefore w:val="0"/>
              <w:widowControl w:val="0"/>
              <w:numPr>
                <w:ilvl w:val="0"/>
                <w:numId w:val="0"/>
              </w:numPr>
              <w:tabs>
                <w:tab w:val="left" w:pos="360"/>
                <w:tab w:val="clear" w:pos="1620"/>
                <w:tab w:val="clear" w:pos="2040"/>
              </w:tabs>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排序</w:t>
            </w:r>
          </w:p>
        </w:tc>
      </w:tr>
      <w:tr w14:paraId="254D1C56">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c>
          <w:tcPr>
            <w:tcW w:w="1453" w:type="dxa"/>
            <w:vAlign w:val="center"/>
          </w:tcPr>
          <w:p w14:paraId="2D92DE6E">
            <w:pPr>
              <w:keepNext w:val="0"/>
              <w:keepLines w:val="0"/>
              <w:pageBreakBefore w:val="0"/>
              <w:widowControl/>
              <w:kinsoku/>
              <w:wordWrap/>
              <w:overflowPunct/>
              <w:topLinePunct w:val="0"/>
              <w:autoSpaceDE/>
              <w:autoSpaceDN/>
              <w:bidi w:val="0"/>
              <w:adjustRightInd/>
              <w:snapToGrid/>
              <w:ind w:left="0" w:leftChars="0" w:right="0" w:rightChars="0"/>
              <w:jc w:val="center"/>
              <w:textAlignment w:val="auto"/>
              <w:rPr>
                <w:rFonts w:hint="default" w:ascii="Times New Roman" w:hAnsi="Times New Roman" w:eastAsia="宋体" w:cs="Times New Roman"/>
                <w:color w:val="auto"/>
                <w:sz w:val="21"/>
                <w:szCs w:val="21"/>
                <w:highlight w:val="none"/>
                <w:lang w:eastAsia="zh-CN"/>
              </w:rPr>
            </w:pPr>
            <w:r>
              <w:rPr>
                <w:rFonts w:hint="eastAsia" w:ascii="Times New Roman" w:hAnsi="Times New Roman" w:cs="Times New Roman"/>
                <w:color w:val="auto"/>
                <w:sz w:val="21"/>
                <w:szCs w:val="21"/>
                <w:highlight w:val="none"/>
              </w:rPr>
              <w:t>二工场车间</w:t>
            </w:r>
          </w:p>
        </w:tc>
        <w:tc>
          <w:tcPr>
            <w:tcW w:w="1453" w:type="dxa"/>
            <w:vAlign w:val="center"/>
          </w:tcPr>
          <w:p w14:paraId="752DBA45">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rPr>
            </w:pPr>
            <w:r>
              <w:rPr>
                <w:rFonts w:hint="eastAsia" w:ascii="Times New Roman" w:hAnsi="Times New Roman" w:cs="Times New Roman"/>
                <w:i w:val="0"/>
                <w:iCs w:val="0"/>
                <w:color w:val="auto"/>
                <w:kern w:val="0"/>
                <w:sz w:val="21"/>
                <w:szCs w:val="21"/>
                <w:highlight w:val="none"/>
                <w:u w:val="none"/>
                <w:lang w:val="en-US" w:eastAsia="zh-CN" w:bidi="ar"/>
              </w:rPr>
              <w:t>非甲烷总烃</w:t>
            </w:r>
          </w:p>
        </w:tc>
        <w:tc>
          <w:tcPr>
            <w:tcW w:w="1453" w:type="dxa"/>
            <w:vAlign w:val="center"/>
          </w:tcPr>
          <w:p w14:paraId="7309A628">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rPr>
            </w:pPr>
            <w:r>
              <w:rPr>
                <w:rFonts w:hint="eastAsia" w:ascii="Times New Roman" w:hAnsi="Times New Roman" w:eastAsia="等线" w:cs="Times New Roman"/>
                <w:i w:val="0"/>
                <w:iCs w:val="0"/>
                <w:color w:val="auto"/>
                <w:kern w:val="0"/>
                <w:sz w:val="21"/>
                <w:szCs w:val="21"/>
                <w:highlight w:val="none"/>
                <w:u w:val="none"/>
                <w:lang w:val="en-US" w:eastAsia="zh-CN" w:bidi="ar"/>
              </w:rPr>
              <w:t>0.0047</w:t>
            </w:r>
          </w:p>
        </w:tc>
        <w:tc>
          <w:tcPr>
            <w:tcW w:w="1453" w:type="dxa"/>
            <w:vAlign w:val="center"/>
          </w:tcPr>
          <w:p w14:paraId="3BCA446B">
            <w:pPr>
              <w:pStyle w:val="118"/>
              <w:spacing w:line="240" w:lineRule="auto"/>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kern w:val="0"/>
                <w:sz w:val="21"/>
                <w:szCs w:val="21"/>
                <w:highlight w:val="none"/>
                <w:lang w:val="en-US" w:eastAsia="zh-CN" w:bidi="ar-SA"/>
              </w:rPr>
              <w:t>2</w:t>
            </w:r>
          </w:p>
        </w:tc>
        <w:tc>
          <w:tcPr>
            <w:tcW w:w="1453" w:type="dxa"/>
            <w:vAlign w:val="center"/>
          </w:tcPr>
          <w:p w14:paraId="374076DE">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rPr>
            </w:pPr>
            <w:r>
              <w:rPr>
                <w:rFonts w:hint="eastAsia" w:ascii="Times New Roman" w:hAnsi="Times New Roman" w:eastAsia="等线" w:cs="Times New Roman"/>
                <w:i w:val="0"/>
                <w:iCs w:val="0"/>
                <w:color w:val="auto"/>
                <w:kern w:val="0"/>
                <w:sz w:val="21"/>
                <w:szCs w:val="21"/>
                <w:highlight w:val="none"/>
                <w:u w:val="none"/>
                <w:lang w:val="en-US" w:eastAsia="zh-CN" w:bidi="ar"/>
              </w:rPr>
              <w:t>0.00235</w:t>
            </w:r>
            <w:r>
              <w:rPr>
                <w:rFonts w:hint="default" w:ascii="Times New Roman" w:hAnsi="Times New Roman" w:eastAsia="等线" w:cs="Times New Roman"/>
                <w:i w:val="0"/>
                <w:iCs w:val="0"/>
                <w:color w:val="auto"/>
                <w:kern w:val="0"/>
                <w:sz w:val="21"/>
                <w:szCs w:val="21"/>
                <w:highlight w:val="none"/>
                <w:u w:val="none"/>
                <w:lang w:val="en-US" w:eastAsia="zh-CN" w:bidi="ar"/>
              </w:rPr>
              <w:t xml:space="preserve"> </w:t>
            </w:r>
          </w:p>
        </w:tc>
        <w:tc>
          <w:tcPr>
            <w:tcW w:w="1456" w:type="dxa"/>
            <w:vAlign w:val="center"/>
          </w:tcPr>
          <w:p w14:paraId="1C9179FB">
            <w:pPr>
              <w:pStyle w:val="21"/>
              <w:keepNext w:val="0"/>
              <w:keepLines w:val="0"/>
              <w:pageBreakBefore w:val="0"/>
              <w:widowControl w:val="0"/>
              <w:numPr>
                <w:ilvl w:val="0"/>
                <w:numId w:val="0"/>
              </w:numPr>
              <w:tabs>
                <w:tab w:val="left" w:pos="360"/>
                <w:tab w:val="clear" w:pos="1620"/>
                <w:tab w:val="clear" w:pos="2040"/>
              </w:tabs>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sz w:val="21"/>
                <w:szCs w:val="21"/>
                <w:highlight w:val="none"/>
                <w:lang w:val="en-US" w:eastAsia="zh-CN"/>
              </w:rPr>
            </w:pPr>
            <w:r>
              <w:rPr>
                <w:rFonts w:hint="eastAsia" w:eastAsia="宋体" w:cs="Times New Roman"/>
                <w:color w:val="auto"/>
                <w:sz w:val="21"/>
                <w:szCs w:val="21"/>
                <w:highlight w:val="none"/>
                <w:lang w:val="en-US" w:eastAsia="zh-CN"/>
              </w:rPr>
              <w:t>1</w:t>
            </w:r>
          </w:p>
        </w:tc>
      </w:tr>
      <w:tr w14:paraId="523F6C9B">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c>
          <w:tcPr>
            <w:tcW w:w="1453" w:type="dxa"/>
            <w:vMerge w:val="restart"/>
            <w:vAlign w:val="center"/>
          </w:tcPr>
          <w:p w14:paraId="20141AB1">
            <w:pPr>
              <w:keepNext w:val="0"/>
              <w:keepLines w:val="0"/>
              <w:pageBreakBefore w:val="0"/>
              <w:widowControl/>
              <w:kinsoku/>
              <w:wordWrap/>
              <w:overflowPunct/>
              <w:topLinePunct w:val="0"/>
              <w:autoSpaceDE/>
              <w:autoSpaceDN/>
              <w:bidi w:val="0"/>
              <w:adjustRightInd/>
              <w:snapToGrid/>
              <w:ind w:left="0" w:leftChars="0" w:right="0" w:right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rPr>
              <w:t>实验室</w:t>
            </w:r>
          </w:p>
        </w:tc>
        <w:tc>
          <w:tcPr>
            <w:tcW w:w="1453" w:type="dxa"/>
            <w:vAlign w:val="center"/>
          </w:tcPr>
          <w:p w14:paraId="500BD7C2">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rPr>
            </w:pPr>
            <w:r>
              <w:rPr>
                <w:rFonts w:hint="eastAsia" w:ascii="Times New Roman" w:hAnsi="Times New Roman" w:cs="Times New Roman"/>
                <w:i w:val="0"/>
                <w:iCs w:val="0"/>
                <w:color w:val="auto"/>
                <w:kern w:val="0"/>
                <w:sz w:val="21"/>
                <w:szCs w:val="21"/>
                <w:highlight w:val="none"/>
                <w:u w:val="none"/>
                <w:lang w:val="en-US" w:eastAsia="zh-CN" w:bidi="ar"/>
              </w:rPr>
              <w:t>非甲烷总烃</w:t>
            </w:r>
          </w:p>
        </w:tc>
        <w:tc>
          <w:tcPr>
            <w:tcW w:w="1453" w:type="dxa"/>
            <w:vAlign w:val="center"/>
          </w:tcPr>
          <w:p w14:paraId="7019A8F4">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等线" w:cs="Times New Roman"/>
                <w:i w:val="0"/>
                <w:iCs w:val="0"/>
                <w:color w:val="auto"/>
                <w:kern w:val="0"/>
                <w:sz w:val="21"/>
                <w:szCs w:val="21"/>
                <w:highlight w:val="none"/>
                <w:u w:val="none"/>
                <w:lang w:val="en-US" w:eastAsia="zh-CN" w:bidi="ar"/>
              </w:rPr>
              <w:t>0.000984</w:t>
            </w:r>
          </w:p>
        </w:tc>
        <w:tc>
          <w:tcPr>
            <w:tcW w:w="1453" w:type="dxa"/>
            <w:vAlign w:val="center"/>
          </w:tcPr>
          <w:p w14:paraId="30A78184">
            <w:pPr>
              <w:pStyle w:val="118"/>
              <w:spacing w:line="240" w:lineRule="auto"/>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kern w:val="0"/>
                <w:sz w:val="21"/>
                <w:szCs w:val="21"/>
                <w:highlight w:val="none"/>
                <w:lang w:val="en-US" w:eastAsia="zh-CN" w:bidi="ar-SA"/>
              </w:rPr>
              <w:t>2</w:t>
            </w:r>
          </w:p>
        </w:tc>
        <w:tc>
          <w:tcPr>
            <w:tcW w:w="1453" w:type="dxa"/>
            <w:vAlign w:val="center"/>
          </w:tcPr>
          <w:p w14:paraId="2C1A2685">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等线" w:cs="Times New Roman"/>
                <w:i w:val="0"/>
                <w:iCs w:val="0"/>
                <w:color w:val="auto"/>
                <w:kern w:val="0"/>
                <w:sz w:val="21"/>
                <w:szCs w:val="21"/>
                <w:highlight w:val="none"/>
                <w:u w:val="none"/>
                <w:lang w:val="en-US" w:eastAsia="zh-CN" w:bidi="ar"/>
              </w:rPr>
              <w:t>0.0004922</w:t>
            </w:r>
          </w:p>
        </w:tc>
        <w:tc>
          <w:tcPr>
            <w:tcW w:w="1456" w:type="dxa"/>
            <w:vAlign w:val="center"/>
          </w:tcPr>
          <w:p w14:paraId="27F6A755">
            <w:pPr>
              <w:pStyle w:val="21"/>
              <w:keepNext w:val="0"/>
              <w:keepLines w:val="0"/>
              <w:pageBreakBefore w:val="0"/>
              <w:widowControl w:val="0"/>
              <w:numPr>
                <w:ilvl w:val="0"/>
                <w:numId w:val="0"/>
              </w:numPr>
              <w:tabs>
                <w:tab w:val="left" w:pos="360"/>
                <w:tab w:val="clear" w:pos="1620"/>
                <w:tab w:val="clear" w:pos="2040"/>
              </w:tabs>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sz w:val="21"/>
                <w:szCs w:val="21"/>
                <w:highlight w:val="none"/>
                <w:lang w:val="en-US" w:eastAsia="zh-CN"/>
              </w:rPr>
            </w:pPr>
            <w:r>
              <w:rPr>
                <w:rFonts w:hint="eastAsia" w:eastAsia="宋体" w:cs="Times New Roman"/>
                <w:color w:val="auto"/>
                <w:sz w:val="21"/>
                <w:szCs w:val="21"/>
                <w:highlight w:val="none"/>
                <w:lang w:val="en-US" w:eastAsia="zh-CN"/>
              </w:rPr>
              <w:t>2</w:t>
            </w:r>
          </w:p>
        </w:tc>
      </w:tr>
      <w:tr w14:paraId="2FE1FA02">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c>
          <w:tcPr>
            <w:tcW w:w="1453" w:type="dxa"/>
            <w:vMerge w:val="continue"/>
            <w:vAlign w:val="center"/>
          </w:tcPr>
          <w:p w14:paraId="661A65A5">
            <w:pPr>
              <w:pStyle w:val="21"/>
              <w:keepNext w:val="0"/>
              <w:keepLines w:val="0"/>
              <w:pageBreakBefore w:val="0"/>
              <w:widowControl w:val="0"/>
              <w:numPr>
                <w:ilvl w:val="0"/>
                <w:numId w:val="0"/>
              </w:numPr>
              <w:tabs>
                <w:tab w:val="left" w:pos="360"/>
                <w:tab w:val="clear" w:pos="1620"/>
                <w:tab w:val="clear" w:pos="2040"/>
              </w:tabs>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sz w:val="21"/>
                <w:szCs w:val="21"/>
                <w:highlight w:val="none"/>
                <w:lang w:val="en-US" w:eastAsia="zh-CN"/>
              </w:rPr>
            </w:pPr>
          </w:p>
        </w:tc>
        <w:tc>
          <w:tcPr>
            <w:tcW w:w="1453" w:type="dxa"/>
            <w:vAlign w:val="center"/>
          </w:tcPr>
          <w:p w14:paraId="4F2FB574">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氮氧化物</w:t>
            </w:r>
          </w:p>
        </w:tc>
        <w:tc>
          <w:tcPr>
            <w:tcW w:w="1453" w:type="dxa"/>
            <w:vAlign w:val="center"/>
          </w:tcPr>
          <w:p w14:paraId="0DEDD596">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等线" w:cs="Times New Roman"/>
                <w:i w:val="0"/>
                <w:iCs w:val="0"/>
                <w:color w:val="auto"/>
                <w:kern w:val="0"/>
                <w:sz w:val="21"/>
                <w:szCs w:val="21"/>
                <w:highlight w:val="none"/>
                <w:u w:val="none"/>
                <w:lang w:val="en-US" w:eastAsia="zh-CN" w:bidi="ar"/>
              </w:rPr>
              <w:t>0.000060</w:t>
            </w:r>
          </w:p>
        </w:tc>
        <w:tc>
          <w:tcPr>
            <w:tcW w:w="1453" w:type="dxa"/>
            <w:vAlign w:val="center"/>
          </w:tcPr>
          <w:p w14:paraId="04C8B080">
            <w:pPr>
              <w:pStyle w:val="118"/>
              <w:spacing w:line="240" w:lineRule="auto"/>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kern w:val="0"/>
                <w:sz w:val="21"/>
                <w:szCs w:val="21"/>
                <w:highlight w:val="none"/>
                <w:lang w:val="en-US" w:eastAsia="zh-CN" w:bidi="ar-SA"/>
              </w:rPr>
              <w:t>0.25</w:t>
            </w:r>
          </w:p>
        </w:tc>
        <w:tc>
          <w:tcPr>
            <w:tcW w:w="1453" w:type="dxa"/>
            <w:vAlign w:val="center"/>
          </w:tcPr>
          <w:p w14:paraId="259071C7">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等线" w:cs="Times New Roman"/>
                <w:i w:val="0"/>
                <w:iCs w:val="0"/>
                <w:color w:val="auto"/>
                <w:kern w:val="0"/>
                <w:sz w:val="21"/>
                <w:szCs w:val="21"/>
                <w:highlight w:val="none"/>
                <w:u w:val="none"/>
                <w:lang w:val="en-US" w:eastAsia="zh-CN" w:bidi="ar"/>
              </w:rPr>
              <w:t xml:space="preserve">0.00024 </w:t>
            </w:r>
          </w:p>
        </w:tc>
        <w:tc>
          <w:tcPr>
            <w:tcW w:w="1456" w:type="dxa"/>
            <w:vAlign w:val="center"/>
          </w:tcPr>
          <w:p w14:paraId="6DB2182B">
            <w:pPr>
              <w:pStyle w:val="21"/>
              <w:keepNext w:val="0"/>
              <w:keepLines w:val="0"/>
              <w:pageBreakBefore w:val="0"/>
              <w:widowControl w:val="0"/>
              <w:numPr>
                <w:ilvl w:val="0"/>
                <w:numId w:val="0"/>
              </w:numPr>
              <w:tabs>
                <w:tab w:val="left" w:pos="360"/>
                <w:tab w:val="clear" w:pos="1620"/>
                <w:tab w:val="clear" w:pos="2040"/>
              </w:tabs>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sz w:val="21"/>
                <w:szCs w:val="21"/>
                <w:highlight w:val="none"/>
                <w:lang w:val="en-US" w:eastAsia="zh-CN"/>
              </w:rPr>
            </w:pPr>
            <w:r>
              <w:rPr>
                <w:rFonts w:hint="eastAsia" w:eastAsia="宋体" w:cs="Times New Roman"/>
                <w:color w:val="auto"/>
                <w:sz w:val="21"/>
                <w:szCs w:val="21"/>
                <w:highlight w:val="none"/>
                <w:lang w:val="en-US" w:eastAsia="zh-CN"/>
              </w:rPr>
              <w:t>3</w:t>
            </w:r>
          </w:p>
        </w:tc>
      </w:tr>
      <w:tr w14:paraId="14018874">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c>
          <w:tcPr>
            <w:tcW w:w="1453" w:type="dxa"/>
            <w:vMerge w:val="continue"/>
            <w:vAlign w:val="center"/>
          </w:tcPr>
          <w:p w14:paraId="328FD04C">
            <w:pPr>
              <w:pStyle w:val="21"/>
              <w:keepNext w:val="0"/>
              <w:keepLines w:val="0"/>
              <w:pageBreakBefore w:val="0"/>
              <w:widowControl w:val="0"/>
              <w:numPr>
                <w:ilvl w:val="0"/>
                <w:numId w:val="0"/>
              </w:numPr>
              <w:tabs>
                <w:tab w:val="left" w:pos="360"/>
                <w:tab w:val="clear" w:pos="1620"/>
                <w:tab w:val="clear" w:pos="2040"/>
              </w:tabs>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sz w:val="21"/>
                <w:szCs w:val="21"/>
                <w:highlight w:val="none"/>
                <w:lang w:val="en-US" w:eastAsia="zh-CN"/>
              </w:rPr>
            </w:pPr>
          </w:p>
        </w:tc>
        <w:tc>
          <w:tcPr>
            <w:tcW w:w="1453" w:type="dxa"/>
            <w:vAlign w:val="center"/>
          </w:tcPr>
          <w:p w14:paraId="1D6D99E8">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rPr>
            </w:pPr>
            <w:r>
              <w:rPr>
                <w:rFonts w:hint="eastAsia" w:ascii="Times New Roman" w:hAnsi="Times New Roman" w:cs="Times New Roman"/>
                <w:i w:val="0"/>
                <w:iCs w:val="0"/>
                <w:color w:val="auto"/>
                <w:kern w:val="0"/>
                <w:sz w:val="21"/>
                <w:szCs w:val="21"/>
                <w:highlight w:val="none"/>
                <w:u w:val="none"/>
                <w:lang w:val="en-US" w:eastAsia="zh-CN" w:bidi="ar"/>
              </w:rPr>
              <w:t>甲醇</w:t>
            </w:r>
          </w:p>
        </w:tc>
        <w:tc>
          <w:tcPr>
            <w:tcW w:w="1453" w:type="dxa"/>
            <w:vAlign w:val="center"/>
          </w:tcPr>
          <w:p w14:paraId="5BF0FEC6">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等线" w:cs="Times New Roman"/>
                <w:i w:val="0"/>
                <w:iCs w:val="0"/>
                <w:color w:val="auto"/>
                <w:kern w:val="0"/>
                <w:sz w:val="21"/>
                <w:szCs w:val="21"/>
                <w:highlight w:val="none"/>
                <w:u w:val="none"/>
                <w:lang w:val="en-US" w:eastAsia="zh-CN" w:bidi="ar"/>
              </w:rPr>
              <w:t>0.001600</w:t>
            </w:r>
          </w:p>
        </w:tc>
        <w:tc>
          <w:tcPr>
            <w:tcW w:w="1453" w:type="dxa"/>
            <w:vAlign w:val="center"/>
          </w:tcPr>
          <w:p w14:paraId="65BC1745">
            <w:pPr>
              <w:pStyle w:val="118"/>
              <w:spacing w:line="240" w:lineRule="auto"/>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kern w:val="0"/>
                <w:sz w:val="21"/>
                <w:szCs w:val="21"/>
                <w:highlight w:val="none"/>
                <w:lang w:val="en-US" w:eastAsia="zh-CN" w:bidi="ar-SA"/>
              </w:rPr>
              <w:t>3</w:t>
            </w:r>
          </w:p>
        </w:tc>
        <w:tc>
          <w:tcPr>
            <w:tcW w:w="1453" w:type="dxa"/>
            <w:vAlign w:val="center"/>
          </w:tcPr>
          <w:p w14:paraId="723CA2BA">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等线" w:cs="Times New Roman"/>
                <w:i w:val="0"/>
                <w:iCs w:val="0"/>
                <w:color w:val="auto"/>
                <w:kern w:val="0"/>
                <w:sz w:val="21"/>
                <w:szCs w:val="21"/>
                <w:highlight w:val="none"/>
                <w:u w:val="none"/>
                <w:lang w:val="en-US" w:eastAsia="zh-CN" w:bidi="ar"/>
              </w:rPr>
              <w:t xml:space="preserve">0.0005333 </w:t>
            </w:r>
          </w:p>
        </w:tc>
        <w:tc>
          <w:tcPr>
            <w:tcW w:w="1456" w:type="dxa"/>
            <w:vAlign w:val="center"/>
          </w:tcPr>
          <w:p w14:paraId="57CE403D">
            <w:pPr>
              <w:pStyle w:val="21"/>
              <w:keepNext w:val="0"/>
              <w:keepLines w:val="0"/>
              <w:pageBreakBefore w:val="0"/>
              <w:widowControl w:val="0"/>
              <w:numPr>
                <w:ilvl w:val="0"/>
                <w:numId w:val="0"/>
              </w:numPr>
              <w:tabs>
                <w:tab w:val="left" w:pos="360"/>
                <w:tab w:val="clear" w:pos="1620"/>
                <w:tab w:val="clear" w:pos="2040"/>
              </w:tabs>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sz w:val="21"/>
                <w:szCs w:val="21"/>
                <w:highlight w:val="none"/>
                <w:lang w:val="en-US" w:eastAsia="zh-CN"/>
              </w:rPr>
            </w:pPr>
            <w:r>
              <w:rPr>
                <w:rFonts w:hint="eastAsia" w:eastAsia="宋体" w:cs="Times New Roman"/>
                <w:color w:val="auto"/>
                <w:sz w:val="21"/>
                <w:szCs w:val="21"/>
                <w:highlight w:val="none"/>
                <w:lang w:val="en-US" w:eastAsia="zh-CN"/>
              </w:rPr>
              <w:t>1</w:t>
            </w:r>
          </w:p>
        </w:tc>
      </w:tr>
    </w:tbl>
    <w:p w14:paraId="000460E3">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color w:val="auto"/>
          <w:sz w:val="24"/>
          <w:szCs w:val="22"/>
          <w:highlight w:val="none"/>
        </w:rPr>
      </w:pPr>
      <w:r>
        <w:rPr>
          <w:rFonts w:hint="eastAsia" w:ascii="Times New Roman" w:hAnsi="Times New Roman" w:cs="Times New Roman"/>
          <w:color w:val="auto"/>
          <w:sz w:val="24"/>
          <w:szCs w:val="22"/>
          <w:highlight w:val="none"/>
        </w:rPr>
        <w:t>根据上表，建设项目实验室</w:t>
      </w:r>
      <w:r>
        <w:rPr>
          <w:rFonts w:hint="eastAsia" w:ascii="Times New Roman" w:hAnsi="Times New Roman" w:cs="Times New Roman"/>
          <w:color w:val="auto"/>
          <w:sz w:val="24"/>
          <w:szCs w:val="22"/>
          <w:highlight w:val="none"/>
          <w:lang w:val="en-US" w:eastAsia="zh-CN"/>
        </w:rPr>
        <w:t>甲醇和非甲烷总烃</w:t>
      </w:r>
      <w:r>
        <w:rPr>
          <w:rFonts w:hint="eastAsia" w:ascii="Times New Roman" w:hAnsi="Times New Roman" w:cs="Times New Roman"/>
          <w:color w:val="auto"/>
          <w:sz w:val="24"/>
          <w:szCs w:val="22"/>
          <w:highlight w:val="none"/>
        </w:rPr>
        <w:t>的等标排放量差值</w:t>
      </w:r>
      <w:r>
        <w:rPr>
          <w:rFonts w:hint="eastAsia" w:ascii="Times New Roman" w:hAnsi="Times New Roman" w:cs="Times New Roman"/>
          <w:color w:val="auto"/>
          <w:sz w:val="24"/>
          <w:szCs w:val="22"/>
          <w:highlight w:val="none"/>
          <w:lang w:val="en-US" w:eastAsia="zh-CN"/>
        </w:rPr>
        <w:t>＜</w:t>
      </w:r>
      <w:r>
        <w:rPr>
          <w:rFonts w:hint="eastAsia" w:ascii="Times New Roman" w:hAnsi="Times New Roman" w:cs="Times New Roman"/>
          <w:color w:val="auto"/>
          <w:sz w:val="24"/>
          <w:szCs w:val="22"/>
          <w:highlight w:val="none"/>
        </w:rPr>
        <w:t>10%。因此本项目选择</w:t>
      </w:r>
      <w:r>
        <w:rPr>
          <w:rFonts w:hint="eastAsia" w:ascii="Times New Roman" w:hAnsi="Times New Roman" w:cs="Times New Roman"/>
          <w:color w:val="auto"/>
          <w:sz w:val="24"/>
          <w:szCs w:val="22"/>
          <w:highlight w:val="none"/>
          <w:lang w:val="en-US" w:eastAsia="zh-CN"/>
        </w:rPr>
        <w:t>二工场车间的</w:t>
      </w:r>
      <w:r>
        <w:rPr>
          <w:rFonts w:hint="eastAsia" w:ascii="Times New Roman" w:hAnsi="Times New Roman" w:cs="Times New Roman"/>
          <w:color w:val="auto"/>
          <w:sz w:val="24"/>
          <w:szCs w:val="22"/>
          <w:highlight w:val="none"/>
        </w:rPr>
        <w:t>主要特征污染因子</w:t>
      </w:r>
      <w:r>
        <w:rPr>
          <w:rFonts w:hint="eastAsia" w:ascii="Times New Roman" w:hAnsi="Times New Roman" w:cs="Times New Roman"/>
          <w:color w:val="auto"/>
          <w:sz w:val="24"/>
          <w:szCs w:val="22"/>
          <w:highlight w:val="none"/>
          <w:lang w:val="en-US" w:eastAsia="zh-CN"/>
        </w:rPr>
        <w:t>非甲烷总烃和实验室的</w:t>
      </w:r>
      <w:r>
        <w:rPr>
          <w:rFonts w:hint="eastAsia" w:ascii="Times New Roman" w:hAnsi="Times New Roman" w:cs="Times New Roman"/>
          <w:color w:val="auto"/>
          <w:sz w:val="24"/>
          <w:szCs w:val="22"/>
          <w:highlight w:val="none"/>
        </w:rPr>
        <w:t>主要特征污染因子</w:t>
      </w:r>
      <w:r>
        <w:rPr>
          <w:rFonts w:hint="eastAsia" w:ascii="Times New Roman" w:hAnsi="Times New Roman" w:cs="Times New Roman"/>
          <w:color w:val="auto"/>
          <w:sz w:val="24"/>
          <w:szCs w:val="22"/>
          <w:highlight w:val="none"/>
          <w:lang w:val="en-US" w:eastAsia="zh-CN"/>
        </w:rPr>
        <w:t>非甲烷总烃和甲醇</w:t>
      </w:r>
      <w:r>
        <w:rPr>
          <w:rFonts w:hint="eastAsia" w:ascii="Times New Roman" w:hAnsi="Times New Roman" w:cs="Times New Roman"/>
          <w:color w:val="auto"/>
          <w:sz w:val="24"/>
          <w:szCs w:val="22"/>
          <w:highlight w:val="none"/>
        </w:rPr>
        <w:t>为企业无组织排放的主要特征大气有害物质进行卫生防护距离初值计算。</w:t>
      </w:r>
    </w:p>
    <w:p w14:paraId="205D1CBC">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color w:val="auto"/>
          <w:sz w:val="24"/>
          <w:szCs w:val="22"/>
          <w:highlight w:val="none"/>
        </w:rPr>
      </w:pPr>
      <w:r>
        <w:rPr>
          <w:rFonts w:hint="default" w:ascii="Times New Roman" w:hAnsi="Times New Roman" w:cs="Times New Roman"/>
          <w:color w:val="auto"/>
          <w:sz w:val="24"/>
          <w:szCs w:val="22"/>
          <w:highlight w:val="none"/>
        </w:rPr>
        <w:t>根据《大气有害物质无组织排放卫生防护距离推导技术导则》（GB/T 39499-2020），无组织排放有害气体的生产单元与居住区之间应设置卫生防护距离，计算公式如下：</w:t>
      </w:r>
    </w:p>
    <w:p w14:paraId="293A3A4D">
      <w:pPr>
        <w:adjustRightInd w:val="0"/>
        <w:snapToGrid w:val="0"/>
        <w:spacing w:line="360" w:lineRule="auto"/>
        <w:jc w:val="center"/>
        <w:rPr>
          <w:color w:val="auto"/>
          <w:szCs w:val="21"/>
          <w:highlight w:val="none"/>
        </w:rPr>
      </w:pPr>
      <m:oMathPara>
        <m:oMath>
          <m:f>
            <m:fPr>
              <m:ctrlPr>
                <w:rPr>
                  <w:rFonts w:hint="default" w:ascii="Cambria Math" w:hAnsi="Cambria Math"/>
                  <w:color w:val="auto"/>
                  <w:szCs w:val="21"/>
                  <w:highlight w:val="none"/>
                </w:rPr>
              </m:ctrlPr>
            </m:fPr>
            <m:num>
              <m:sSub>
                <m:sSubPr>
                  <m:ctrlPr>
                    <w:rPr>
                      <w:rFonts w:hint="default" w:ascii="Cambria Math" w:hAnsi="Cambria Math"/>
                      <w:i/>
                      <w:color w:val="auto"/>
                      <w:szCs w:val="21"/>
                      <w:highlight w:val="none"/>
                    </w:rPr>
                  </m:ctrlPr>
                </m:sSubPr>
                <m:e>
                  <m:r>
                    <m:rPr/>
                    <w:rPr>
                      <w:rFonts w:hint="default" w:ascii="Cambria Math" w:hAnsi="Cambria Math"/>
                      <w:color w:val="auto"/>
                      <w:szCs w:val="21"/>
                      <w:highlight w:val="none"/>
                    </w:rPr>
                    <m:t>Q</m:t>
                  </m:r>
                  <m:ctrlPr>
                    <w:rPr>
                      <w:rFonts w:hint="default" w:ascii="Cambria Math" w:hAnsi="Cambria Math"/>
                      <w:i/>
                      <w:color w:val="auto"/>
                      <w:szCs w:val="21"/>
                      <w:highlight w:val="none"/>
                    </w:rPr>
                  </m:ctrlPr>
                </m:e>
                <m:sub>
                  <m:r>
                    <m:rPr/>
                    <w:rPr>
                      <w:rFonts w:hint="default" w:ascii="Cambria Math" w:hAnsi="Cambria Math"/>
                      <w:color w:val="auto"/>
                      <w:szCs w:val="21"/>
                      <w:highlight w:val="none"/>
                    </w:rPr>
                    <m:t>c</m:t>
                  </m:r>
                  <m:ctrlPr>
                    <w:rPr>
                      <w:rFonts w:hint="default" w:ascii="Cambria Math" w:hAnsi="Cambria Math"/>
                      <w:i/>
                      <w:color w:val="auto"/>
                      <w:szCs w:val="21"/>
                      <w:highlight w:val="none"/>
                    </w:rPr>
                  </m:ctrlPr>
                </m:sub>
              </m:sSub>
              <m:ctrlPr>
                <w:rPr>
                  <w:rFonts w:hint="default" w:ascii="Cambria Math" w:hAnsi="Cambria Math"/>
                  <w:color w:val="auto"/>
                  <w:szCs w:val="21"/>
                  <w:highlight w:val="none"/>
                </w:rPr>
              </m:ctrlPr>
            </m:num>
            <m:den>
              <m:sSub>
                <m:sSubPr>
                  <m:ctrlPr>
                    <w:rPr>
                      <w:rFonts w:hint="default" w:ascii="Cambria Math" w:hAnsi="Cambria Math"/>
                      <w:i/>
                      <w:color w:val="auto"/>
                      <w:szCs w:val="21"/>
                      <w:highlight w:val="none"/>
                    </w:rPr>
                  </m:ctrlPr>
                </m:sSubPr>
                <m:e>
                  <m:r>
                    <m:rPr/>
                    <w:rPr>
                      <w:rFonts w:hint="default" w:ascii="Cambria Math" w:hAnsi="Cambria Math"/>
                      <w:color w:val="auto"/>
                      <w:szCs w:val="21"/>
                      <w:highlight w:val="none"/>
                    </w:rPr>
                    <m:t>C</m:t>
                  </m:r>
                  <m:ctrlPr>
                    <w:rPr>
                      <w:rFonts w:hint="default" w:ascii="Cambria Math" w:hAnsi="Cambria Math"/>
                      <w:i/>
                      <w:color w:val="auto"/>
                      <w:szCs w:val="21"/>
                      <w:highlight w:val="none"/>
                    </w:rPr>
                  </m:ctrlPr>
                </m:e>
                <m:sub>
                  <m:r>
                    <m:rPr/>
                    <w:rPr>
                      <w:rFonts w:hint="default" w:ascii="Cambria Math" w:hAnsi="Cambria Math"/>
                      <w:color w:val="auto"/>
                      <w:szCs w:val="21"/>
                      <w:highlight w:val="none"/>
                    </w:rPr>
                    <m:t>m</m:t>
                  </m:r>
                  <m:ctrlPr>
                    <w:rPr>
                      <w:rFonts w:hint="default" w:ascii="Cambria Math" w:hAnsi="Cambria Math"/>
                      <w:i/>
                      <w:color w:val="auto"/>
                      <w:szCs w:val="21"/>
                      <w:highlight w:val="none"/>
                    </w:rPr>
                  </m:ctrlPr>
                </m:sub>
              </m:sSub>
              <m:ctrlPr>
                <w:rPr>
                  <w:rFonts w:hint="default" w:ascii="Cambria Math" w:hAnsi="Cambria Math"/>
                  <w:color w:val="auto"/>
                  <w:szCs w:val="21"/>
                  <w:highlight w:val="none"/>
                </w:rPr>
              </m:ctrlPr>
            </m:den>
          </m:f>
          <m:r>
            <m:rPr/>
            <w:rPr>
              <w:rFonts w:hint="default" w:ascii="Cambria Math" w:hAnsi="Cambria Math"/>
              <w:color w:val="auto"/>
              <w:szCs w:val="21"/>
              <w:highlight w:val="none"/>
            </w:rPr>
            <m:t>=</m:t>
          </m:r>
          <m:f>
            <m:fPr>
              <m:ctrlPr>
                <w:rPr>
                  <w:rFonts w:hint="default" w:ascii="Cambria Math" w:hAnsi="Cambria Math"/>
                  <w:i/>
                  <w:color w:val="auto"/>
                  <w:szCs w:val="21"/>
                  <w:highlight w:val="none"/>
                </w:rPr>
              </m:ctrlPr>
            </m:fPr>
            <m:num>
              <m:r>
                <m:rPr/>
                <w:rPr>
                  <w:rFonts w:hint="default" w:ascii="Cambria Math" w:hAnsi="Cambria Math"/>
                  <w:color w:val="auto"/>
                  <w:szCs w:val="21"/>
                  <w:highlight w:val="none"/>
                </w:rPr>
                <m:t>1</m:t>
              </m:r>
              <m:ctrlPr>
                <w:rPr>
                  <w:rFonts w:hint="default" w:ascii="Cambria Math" w:hAnsi="Cambria Math"/>
                  <w:i/>
                  <w:color w:val="auto"/>
                  <w:szCs w:val="21"/>
                  <w:highlight w:val="none"/>
                </w:rPr>
              </m:ctrlPr>
            </m:num>
            <m:den>
              <m:r>
                <m:rPr/>
                <w:rPr>
                  <w:rFonts w:hint="default" w:ascii="Cambria Math" w:hAnsi="Cambria Math"/>
                  <w:color w:val="auto"/>
                  <w:szCs w:val="21"/>
                  <w:highlight w:val="none"/>
                </w:rPr>
                <m:t>A</m:t>
              </m:r>
              <m:ctrlPr>
                <w:rPr>
                  <w:rFonts w:hint="default" w:ascii="Cambria Math" w:hAnsi="Cambria Math"/>
                  <w:i/>
                  <w:color w:val="auto"/>
                  <w:szCs w:val="21"/>
                  <w:highlight w:val="none"/>
                </w:rPr>
              </m:ctrlPr>
            </m:den>
          </m:f>
          <m:sSup>
            <m:sSupPr>
              <m:ctrlPr>
                <w:rPr>
                  <w:rFonts w:hint="default" w:ascii="Cambria Math" w:hAnsi="Cambria Math"/>
                  <w:i/>
                  <w:color w:val="auto"/>
                  <w:szCs w:val="21"/>
                  <w:highlight w:val="none"/>
                </w:rPr>
              </m:ctrlPr>
            </m:sSupPr>
            <m:e>
              <m:d>
                <m:dPr>
                  <m:ctrlPr>
                    <w:rPr>
                      <w:rFonts w:hint="default" w:ascii="Cambria Math" w:hAnsi="Cambria Math"/>
                      <w:i/>
                      <w:color w:val="auto"/>
                      <w:szCs w:val="21"/>
                      <w:highlight w:val="none"/>
                    </w:rPr>
                  </m:ctrlPr>
                </m:dPr>
                <m:e>
                  <m:r>
                    <m:rPr/>
                    <w:rPr>
                      <w:rFonts w:hint="default" w:ascii="Cambria Math" w:hAnsi="Cambria Math"/>
                      <w:color w:val="auto"/>
                      <w:szCs w:val="21"/>
                      <w:highlight w:val="none"/>
                    </w:rPr>
                    <m:t>B</m:t>
                  </m:r>
                  <m:sSup>
                    <m:sSupPr>
                      <m:ctrlPr>
                        <w:rPr>
                          <w:rFonts w:hint="default" w:ascii="Cambria Math" w:hAnsi="Cambria Math"/>
                          <w:i/>
                          <w:color w:val="auto"/>
                          <w:szCs w:val="21"/>
                          <w:highlight w:val="none"/>
                        </w:rPr>
                      </m:ctrlPr>
                    </m:sSupPr>
                    <m:e>
                      <m:r>
                        <m:rPr/>
                        <w:rPr>
                          <w:rFonts w:hint="default" w:ascii="Cambria Math" w:hAnsi="Cambria Math"/>
                          <w:color w:val="auto"/>
                          <w:szCs w:val="21"/>
                          <w:highlight w:val="none"/>
                        </w:rPr>
                        <m:t>L</m:t>
                      </m:r>
                      <m:ctrlPr>
                        <w:rPr>
                          <w:rFonts w:hint="default" w:ascii="Cambria Math" w:hAnsi="Cambria Math"/>
                          <w:i/>
                          <w:color w:val="auto"/>
                          <w:szCs w:val="21"/>
                          <w:highlight w:val="none"/>
                        </w:rPr>
                      </m:ctrlPr>
                    </m:e>
                    <m:sup>
                      <m:r>
                        <m:rPr/>
                        <w:rPr>
                          <w:rFonts w:hint="default" w:ascii="Cambria Math" w:hAnsi="Cambria Math"/>
                          <w:color w:val="auto"/>
                          <w:szCs w:val="21"/>
                          <w:highlight w:val="none"/>
                        </w:rPr>
                        <m:t>C</m:t>
                      </m:r>
                      <m:ctrlPr>
                        <w:rPr>
                          <w:rFonts w:hint="default" w:ascii="Cambria Math" w:hAnsi="Cambria Math"/>
                          <w:i/>
                          <w:color w:val="auto"/>
                          <w:szCs w:val="21"/>
                          <w:highlight w:val="none"/>
                        </w:rPr>
                      </m:ctrlPr>
                    </m:sup>
                  </m:sSup>
                  <m:r>
                    <m:rPr/>
                    <w:rPr>
                      <w:rFonts w:hint="default" w:ascii="Cambria Math" w:hAnsi="Cambria Math"/>
                      <w:color w:val="auto"/>
                      <w:szCs w:val="21"/>
                      <w:highlight w:val="none"/>
                    </w:rPr>
                    <m:t>+0.25</m:t>
                  </m:r>
                  <m:sSup>
                    <m:sSupPr>
                      <m:ctrlPr>
                        <w:rPr>
                          <w:rFonts w:hint="default" w:ascii="Cambria Math" w:hAnsi="Cambria Math"/>
                          <w:i/>
                          <w:color w:val="auto"/>
                          <w:szCs w:val="21"/>
                          <w:highlight w:val="none"/>
                        </w:rPr>
                      </m:ctrlPr>
                    </m:sSupPr>
                    <m:e>
                      <m:r>
                        <m:rPr/>
                        <w:rPr>
                          <w:rFonts w:hint="default" w:ascii="Cambria Math" w:hAnsi="Cambria Math"/>
                          <w:color w:val="auto"/>
                          <w:szCs w:val="21"/>
                          <w:highlight w:val="none"/>
                        </w:rPr>
                        <m:t>r</m:t>
                      </m:r>
                      <m:ctrlPr>
                        <w:rPr>
                          <w:rFonts w:hint="default" w:ascii="Cambria Math" w:hAnsi="Cambria Math"/>
                          <w:i/>
                          <w:color w:val="auto"/>
                          <w:szCs w:val="21"/>
                          <w:highlight w:val="none"/>
                        </w:rPr>
                      </m:ctrlPr>
                    </m:e>
                    <m:sup>
                      <m:r>
                        <m:rPr/>
                        <w:rPr>
                          <w:rFonts w:hint="default" w:ascii="Cambria Math" w:hAnsi="Cambria Math"/>
                          <w:color w:val="auto"/>
                          <w:szCs w:val="21"/>
                          <w:highlight w:val="none"/>
                        </w:rPr>
                        <m:t>2</m:t>
                      </m:r>
                      <m:ctrlPr>
                        <w:rPr>
                          <w:rFonts w:hint="default" w:ascii="Cambria Math" w:hAnsi="Cambria Math"/>
                          <w:i/>
                          <w:color w:val="auto"/>
                          <w:szCs w:val="21"/>
                          <w:highlight w:val="none"/>
                        </w:rPr>
                      </m:ctrlPr>
                    </m:sup>
                  </m:sSup>
                  <m:ctrlPr>
                    <w:rPr>
                      <w:rFonts w:hint="default" w:ascii="Cambria Math" w:hAnsi="Cambria Math"/>
                      <w:i/>
                      <w:color w:val="auto"/>
                      <w:szCs w:val="21"/>
                      <w:highlight w:val="none"/>
                    </w:rPr>
                  </m:ctrlPr>
                </m:e>
              </m:d>
              <m:ctrlPr>
                <w:rPr>
                  <w:rFonts w:hint="default" w:ascii="Cambria Math" w:hAnsi="Cambria Math"/>
                  <w:i/>
                  <w:color w:val="auto"/>
                  <w:szCs w:val="21"/>
                  <w:highlight w:val="none"/>
                </w:rPr>
              </m:ctrlPr>
            </m:e>
            <m:sup>
              <m:r>
                <m:rPr/>
                <w:rPr>
                  <w:rFonts w:hint="default" w:ascii="Cambria Math" w:hAnsi="Cambria Math"/>
                  <w:color w:val="auto"/>
                  <w:szCs w:val="21"/>
                  <w:highlight w:val="none"/>
                </w:rPr>
                <m:t>0.5</m:t>
              </m:r>
              <m:ctrlPr>
                <w:rPr>
                  <w:rFonts w:hint="default" w:ascii="Cambria Math" w:hAnsi="Cambria Math"/>
                  <w:i/>
                  <w:color w:val="auto"/>
                  <w:szCs w:val="21"/>
                  <w:highlight w:val="none"/>
                </w:rPr>
              </m:ctrlPr>
            </m:sup>
          </m:sSup>
          <m:sSup>
            <m:sSupPr>
              <m:ctrlPr>
                <w:rPr>
                  <w:rFonts w:hint="default" w:ascii="Cambria Math" w:hAnsi="Cambria Math"/>
                  <w:i/>
                  <w:color w:val="auto"/>
                  <w:szCs w:val="21"/>
                  <w:highlight w:val="none"/>
                </w:rPr>
              </m:ctrlPr>
            </m:sSupPr>
            <m:e>
              <m:r>
                <m:rPr/>
                <w:rPr>
                  <w:rFonts w:hint="default" w:ascii="Cambria Math" w:hAnsi="Cambria Math"/>
                  <w:color w:val="auto"/>
                  <w:szCs w:val="21"/>
                  <w:highlight w:val="none"/>
                </w:rPr>
                <m:t>L</m:t>
              </m:r>
              <m:ctrlPr>
                <w:rPr>
                  <w:rFonts w:hint="default" w:ascii="Cambria Math" w:hAnsi="Cambria Math"/>
                  <w:i/>
                  <w:color w:val="auto"/>
                  <w:szCs w:val="21"/>
                  <w:highlight w:val="none"/>
                </w:rPr>
              </m:ctrlPr>
            </m:e>
            <m:sup>
              <m:r>
                <m:rPr/>
                <w:rPr>
                  <w:rFonts w:hint="default" w:ascii="Cambria Math" w:hAnsi="Cambria Math"/>
                  <w:color w:val="auto"/>
                  <w:szCs w:val="21"/>
                  <w:highlight w:val="none"/>
                </w:rPr>
                <m:t>D</m:t>
              </m:r>
              <m:ctrlPr>
                <w:rPr>
                  <w:rFonts w:hint="default" w:ascii="Cambria Math" w:hAnsi="Cambria Math"/>
                  <w:i/>
                  <w:color w:val="auto"/>
                  <w:szCs w:val="21"/>
                  <w:highlight w:val="none"/>
                </w:rPr>
              </m:ctrlPr>
            </m:sup>
          </m:sSup>
        </m:oMath>
      </m:oMathPara>
    </w:p>
    <w:p w14:paraId="447AD61D">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cs="Times New Roman"/>
          <w:color w:val="auto"/>
          <w:sz w:val="24"/>
          <w:szCs w:val="22"/>
          <w:highlight w:val="none"/>
        </w:rPr>
      </w:pPr>
      <w:r>
        <w:rPr>
          <w:rFonts w:hint="eastAsia" w:ascii="Times New Roman" w:hAnsi="Times New Roman" w:cs="Times New Roman"/>
          <w:color w:val="auto"/>
          <w:sz w:val="24"/>
          <w:szCs w:val="22"/>
          <w:highlight w:val="none"/>
        </w:rPr>
        <w:t>式中:</w:t>
      </w:r>
    </w:p>
    <w:p w14:paraId="7AD3ECDF">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cs="Times New Roman"/>
          <w:color w:val="auto"/>
          <w:sz w:val="24"/>
          <w:szCs w:val="22"/>
          <w:highlight w:val="none"/>
        </w:rPr>
      </w:pPr>
      <w:r>
        <w:rPr>
          <w:rFonts w:hint="eastAsia" w:ascii="Times New Roman" w:hAnsi="Times New Roman" w:cs="Times New Roman"/>
          <w:color w:val="auto"/>
          <w:sz w:val="24"/>
          <w:szCs w:val="22"/>
          <w:highlight w:val="none"/>
        </w:rPr>
        <w:t>Cm－为环境一次浓度标准限值（mg/m3）；</w:t>
      </w:r>
    </w:p>
    <w:p w14:paraId="2381F5FD">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cs="Times New Roman"/>
          <w:color w:val="auto"/>
          <w:sz w:val="24"/>
          <w:szCs w:val="22"/>
          <w:highlight w:val="none"/>
        </w:rPr>
      </w:pPr>
      <w:r>
        <w:rPr>
          <w:rFonts w:hint="eastAsia" w:ascii="Times New Roman" w:hAnsi="Times New Roman" w:cs="Times New Roman"/>
          <w:color w:val="auto"/>
          <w:sz w:val="24"/>
          <w:szCs w:val="22"/>
          <w:highlight w:val="none"/>
        </w:rPr>
        <w:t>L－工业企业所需的防护距离（m）；</w:t>
      </w:r>
    </w:p>
    <w:p w14:paraId="146F602D">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cs="Times New Roman"/>
          <w:color w:val="auto"/>
          <w:sz w:val="24"/>
          <w:szCs w:val="22"/>
          <w:highlight w:val="none"/>
        </w:rPr>
      </w:pPr>
      <w:r>
        <w:rPr>
          <w:rFonts w:hint="eastAsia" w:ascii="Times New Roman" w:hAnsi="Times New Roman" w:cs="Times New Roman"/>
          <w:color w:val="auto"/>
          <w:sz w:val="24"/>
          <w:szCs w:val="22"/>
          <w:highlight w:val="none"/>
        </w:rPr>
        <w:t>Qc－有害气体无组织排放量可以达到的控制水平（kg/h）；</w:t>
      </w:r>
    </w:p>
    <w:p w14:paraId="6B1769CD">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cs="Times New Roman"/>
          <w:color w:val="auto"/>
          <w:sz w:val="24"/>
          <w:szCs w:val="22"/>
          <w:highlight w:val="none"/>
        </w:rPr>
      </w:pPr>
      <w:r>
        <w:rPr>
          <w:rFonts w:hint="eastAsia" w:ascii="Times New Roman" w:hAnsi="Times New Roman" w:cs="Times New Roman"/>
          <w:color w:val="auto"/>
          <w:sz w:val="24"/>
          <w:szCs w:val="22"/>
          <w:highlight w:val="none"/>
        </w:rPr>
        <w:t>r－有害气体无组织排放源所在单元的等效半径（m）；</w:t>
      </w:r>
    </w:p>
    <w:p w14:paraId="4AB6CEBD">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cs="Times New Roman"/>
          <w:color w:val="auto"/>
          <w:sz w:val="24"/>
          <w:szCs w:val="22"/>
          <w:highlight w:val="none"/>
        </w:rPr>
      </w:pPr>
      <w:r>
        <w:rPr>
          <w:rFonts w:hint="eastAsia" w:ascii="Times New Roman" w:hAnsi="Times New Roman" w:cs="Times New Roman"/>
          <w:color w:val="auto"/>
          <w:sz w:val="24"/>
          <w:szCs w:val="22"/>
          <w:highlight w:val="none"/>
        </w:rPr>
        <w:t>A、B、C、D为计算系数，根据所在地区近五年来平均风速及工业企业大气污染物源构成类别查询，分别取470、0.021、1.85、0.84。</w:t>
      </w:r>
    </w:p>
    <w:p w14:paraId="47D5B708">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cs="Times New Roman"/>
          <w:color w:val="auto"/>
          <w:sz w:val="24"/>
          <w:szCs w:val="22"/>
          <w:highlight w:val="none"/>
        </w:rPr>
      </w:pPr>
      <w:r>
        <w:rPr>
          <w:rFonts w:hint="eastAsia" w:ascii="Times New Roman" w:hAnsi="Times New Roman" w:cs="Times New Roman"/>
          <w:color w:val="auto"/>
          <w:sz w:val="24"/>
          <w:szCs w:val="22"/>
          <w:highlight w:val="none"/>
        </w:rPr>
        <w:t>根据本项目无组织总排放速率计算卫生防护距离，计算结果见下表。</w:t>
      </w:r>
    </w:p>
    <w:p w14:paraId="7D4212EE">
      <w:pPr>
        <w:pStyle w:val="15"/>
        <w:adjustRightInd w:val="0"/>
        <w:spacing w:before="0" w:after="0" w:line="360" w:lineRule="auto"/>
        <w:ind w:right="0"/>
        <w:jc w:val="center"/>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 xml:space="preserve">表 </w:t>
      </w:r>
      <w:r>
        <w:rPr>
          <w:rFonts w:hint="default" w:ascii="Times New Roman" w:hAnsi="Times New Roman" w:eastAsia="宋体" w:cs="Times New Roman"/>
          <w:color w:val="auto"/>
          <w:sz w:val="24"/>
          <w:szCs w:val="24"/>
          <w:highlight w:val="none"/>
        </w:rPr>
        <w:fldChar w:fldCharType="begin"/>
      </w:r>
      <w:r>
        <w:rPr>
          <w:rFonts w:hint="default" w:ascii="Times New Roman" w:hAnsi="Times New Roman" w:eastAsia="宋体" w:cs="Times New Roman"/>
          <w:color w:val="auto"/>
          <w:sz w:val="24"/>
          <w:szCs w:val="24"/>
          <w:highlight w:val="none"/>
        </w:rPr>
        <w:instrText xml:space="preserve"> STYLEREF 2 \s </w:instrText>
      </w:r>
      <w:r>
        <w:rPr>
          <w:rFonts w:hint="default" w:ascii="Times New Roman" w:hAnsi="Times New Roman" w:eastAsia="宋体" w:cs="Times New Roman"/>
          <w:color w:val="auto"/>
          <w:sz w:val="24"/>
          <w:szCs w:val="24"/>
          <w:highlight w:val="none"/>
        </w:rPr>
        <w:fldChar w:fldCharType="separate"/>
      </w:r>
      <w:r>
        <w:rPr>
          <w:rFonts w:hint="default" w:ascii="Times New Roman" w:hAnsi="Times New Roman" w:eastAsia="宋体" w:cs="Times New Roman"/>
          <w:color w:val="auto"/>
          <w:sz w:val="24"/>
          <w:szCs w:val="24"/>
          <w:highlight w:val="none"/>
        </w:rPr>
        <w:t>6.1</w:t>
      </w:r>
      <w:r>
        <w:rPr>
          <w:rFonts w:hint="default" w:ascii="Times New Roman" w:hAnsi="Times New Roman" w:eastAsia="宋体" w:cs="Times New Roman"/>
          <w:color w:val="auto"/>
          <w:sz w:val="24"/>
          <w:szCs w:val="24"/>
          <w:highlight w:val="none"/>
        </w:rPr>
        <w:fldChar w:fldCharType="end"/>
      </w:r>
      <w:r>
        <w:rPr>
          <w:rFonts w:hint="eastAsia"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rPr>
        <w:fldChar w:fldCharType="begin"/>
      </w:r>
      <w:r>
        <w:rPr>
          <w:rFonts w:hint="default" w:ascii="Times New Roman" w:hAnsi="Times New Roman" w:eastAsia="宋体" w:cs="Times New Roman"/>
          <w:color w:val="auto"/>
          <w:sz w:val="24"/>
          <w:szCs w:val="24"/>
          <w:highlight w:val="none"/>
        </w:rPr>
        <w:instrText xml:space="preserve"> SEQ 表 \* ARABIC \s 2 </w:instrText>
      </w:r>
      <w:r>
        <w:rPr>
          <w:rFonts w:hint="default" w:ascii="Times New Roman" w:hAnsi="Times New Roman" w:eastAsia="宋体" w:cs="Times New Roman"/>
          <w:color w:val="auto"/>
          <w:sz w:val="24"/>
          <w:szCs w:val="24"/>
          <w:highlight w:val="none"/>
        </w:rPr>
        <w:fldChar w:fldCharType="separate"/>
      </w:r>
      <w:r>
        <w:rPr>
          <w:rFonts w:hint="default" w:ascii="Times New Roman" w:hAnsi="Times New Roman" w:eastAsia="宋体" w:cs="Times New Roman"/>
          <w:color w:val="auto"/>
          <w:sz w:val="24"/>
          <w:szCs w:val="24"/>
          <w:highlight w:val="none"/>
        </w:rPr>
        <w:t>15</w:t>
      </w:r>
      <w:r>
        <w:rPr>
          <w:rFonts w:hint="default" w:ascii="Times New Roman" w:hAnsi="Times New Roman" w:eastAsia="宋体" w:cs="Times New Roman"/>
          <w:color w:val="auto"/>
          <w:sz w:val="24"/>
          <w:szCs w:val="24"/>
          <w:highlight w:val="none"/>
        </w:rPr>
        <w:fldChar w:fldCharType="end"/>
      </w:r>
      <w:r>
        <w:rPr>
          <w:rFonts w:hint="default" w:ascii="Times New Roman" w:hAnsi="Times New Roman" w:eastAsia="宋体" w:cs="Times New Roman"/>
          <w:color w:val="auto"/>
          <w:sz w:val="24"/>
          <w:szCs w:val="24"/>
          <w:highlight w:val="none"/>
        </w:rPr>
        <w:t>卫生防护距离计算结果</w:t>
      </w:r>
    </w:p>
    <w:tbl>
      <w:tblPr>
        <w:tblStyle w:val="45"/>
        <w:tblW w:w="8358" w:type="dxa"/>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
      <w:tblGrid>
        <w:gridCol w:w="735"/>
        <w:gridCol w:w="927"/>
        <w:gridCol w:w="640"/>
        <w:gridCol w:w="743"/>
        <w:gridCol w:w="647"/>
        <w:gridCol w:w="648"/>
        <w:gridCol w:w="694"/>
        <w:gridCol w:w="850"/>
        <w:gridCol w:w="992"/>
        <w:gridCol w:w="718"/>
        <w:gridCol w:w="764"/>
      </w:tblGrid>
      <w:tr w14:paraId="0B3477E2">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735" w:type="dxa"/>
            <w:vMerge w:val="restart"/>
            <w:vAlign w:val="center"/>
          </w:tcPr>
          <w:p w14:paraId="35D5F6A7">
            <w:pPr>
              <w:jc w:val="center"/>
              <w:rPr>
                <w:rFonts w:hint="default" w:ascii="Times New Roman" w:hAnsi="Times New Roman" w:cs="Times New Roman"/>
                <w:b/>
                <w:color w:val="auto"/>
                <w:sz w:val="21"/>
                <w:szCs w:val="21"/>
                <w:highlight w:val="none"/>
              </w:rPr>
            </w:pPr>
            <w:r>
              <w:rPr>
                <w:rFonts w:hint="default" w:ascii="Times New Roman" w:hAnsi="Times New Roman" w:cs="Times New Roman"/>
                <w:b/>
                <w:color w:val="auto"/>
                <w:sz w:val="21"/>
                <w:szCs w:val="21"/>
                <w:highlight w:val="none"/>
              </w:rPr>
              <w:t>位置</w:t>
            </w:r>
          </w:p>
        </w:tc>
        <w:tc>
          <w:tcPr>
            <w:tcW w:w="927" w:type="dxa"/>
            <w:vMerge w:val="restart"/>
            <w:vAlign w:val="center"/>
          </w:tcPr>
          <w:p w14:paraId="335D074B">
            <w:pPr>
              <w:jc w:val="center"/>
              <w:rPr>
                <w:rFonts w:hint="default" w:ascii="Times New Roman" w:hAnsi="Times New Roman" w:cs="Times New Roman"/>
                <w:b/>
                <w:color w:val="auto"/>
                <w:sz w:val="21"/>
                <w:szCs w:val="21"/>
                <w:highlight w:val="none"/>
              </w:rPr>
            </w:pPr>
            <w:r>
              <w:rPr>
                <w:rFonts w:hint="default" w:ascii="Times New Roman" w:hAnsi="Times New Roman" w:cs="Times New Roman"/>
                <w:b/>
                <w:color w:val="auto"/>
                <w:sz w:val="21"/>
                <w:szCs w:val="21"/>
                <w:highlight w:val="none"/>
              </w:rPr>
              <w:t>污染物名称</w:t>
            </w:r>
          </w:p>
        </w:tc>
        <w:tc>
          <w:tcPr>
            <w:tcW w:w="2678" w:type="dxa"/>
            <w:gridSpan w:val="4"/>
            <w:vAlign w:val="center"/>
          </w:tcPr>
          <w:p w14:paraId="277B0597">
            <w:pPr>
              <w:jc w:val="center"/>
              <w:rPr>
                <w:rFonts w:hint="default" w:ascii="Times New Roman" w:hAnsi="Times New Roman" w:cs="Times New Roman"/>
                <w:b/>
                <w:color w:val="auto"/>
                <w:sz w:val="21"/>
                <w:szCs w:val="21"/>
                <w:highlight w:val="none"/>
              </w:rPr>
            </w:pPr>
            <w:r>
              <w:rPr>
                <w:rFonts w:hint="default" w:ascii="Times New Roman" w:hAnsi="Times New Roman" w:cs="Times New Roman"/>
                <w:b/>
                <w:color w:val="auto"/>
                <w:sz w:val="21"/>
                <w:szCs w:val="21"/>
                <w:highlight w:val="none"/>
              </w:rPr>
              <w:t>卫生防护距离计算系数</w:t>
            </w:r>
          </w:p>
        </w:tc>
        <w:tc>
          <w:tcPr>
            <w:tcW w:w="694" w:type="dxa"/>
            <w:vMerge w:val="restart"/>
            <w:vAlign w:val="center"/>
          </w:tcPr>
          <w:p w14:paraId="6CEE3F17">
            <w:pPr>
              <w:jc w:val="center"/>
              <w:rPr>
                <w:rFonts w:hint="default" w:ascii="Times New Roman" w:hAnsi="Times New Roman" w:cs="Times New Roman"/>
                <w:b/>
                <w:color w:val="auto"/>
                <w:sz w:val="21"/>
                <w:szCs w:val="21"/>
                <w:highlight w:val="none"/>
              </w:rPr>
            </w:pPr>
            <w:r>
              <w:rPr>
                <w:rFonts w:hint="default" w:ascii="Times New Roman" w:hAnsi="Times New Roman" w:cs="Times New Roman"/>
                <w:b/>
                <w:color w:val="auto"/>
                <w:sz w:val="21"/>
                <w:szCs w:val="21"/>
                <w:highlight w:val="none"/>
              </w:rPr>
              <w:t>S</w:t>
            </w:r>
          </w:p>
          <w:p w14:paraId="4E60E977">
            <w:pPr>
              <w:jc w:val="center"/>
              <w:rPr>
                <w:rFonts w:hint="default" w:ascii="Times New Roman" w:hAnsi="Times New Roman" w:cs="Times New Roman"/>
                <w:b/>
                <w:color w:val="auto"/>
                <w:sz w:val="21"/>
                <w:szCs w:val="21"/>
                <w:highlight w:val="none"/>
              </w:rPr>
            </w:pPr>
            <w:r>
              <w:rPr>
                <w:rFonts w:hint="default" w:ascii="Times New Roman" w:hAnsi="Times New Roman" w:cs="Times New Roman"/>
                <w:b/>
                <w:color w:val="auto"/>
                <w:sz w:val="21"/>
                <w:szCs w:val="21"/>
                <w:highlight w:val="none"/>
              </w:rPr>
              <w:t>(m</w:t>
            </w:r>
            <w:r>
              <w:rPr>
                <w:rFonts w:hint="default" w:ascii="Times New Roman" w:hAnsi="Times New Roman" w:cs="Times New Roman"/>
                <w:b/>
                <w:color w:val="auto"/>
                <w:sz w:val="21"/>
                <w:szCs w:val="21"/>
                <w:highlight w:val="none"/>
                <w:vertAlign w:val="superscript"/>
              </w:rPr>
              <w:t>2</w:t>
            </w:r>
            <w:r>
              <w:rPr>
                <w:rFonts w:hint="default" w:ascii="Times New Roman" w:hAnsi="Times New Roman" w:cs="Times New Roman"/>
                <w:b/>
                <w:color w:val="auto"/>
                <w:sz w:val="21"/>
                <w:szCs w:val="21"/>
                <w:highlight w:val="none"/>
              </w:rPr>
              <w:t>)</w:t>
            </w:r>
          </w:p>
        </w:tc>
        <w:tc>
          <w:tcPr>
            <w:tcW w:w="850" w:type="dxa"/>
            <w:vMerge w:val="restart"/>
            <w:vAlign w:val="center"/>
          </w:tcPr>
          <w:p w14:paraId="455769AA">
            <w:pPr>
              <w:jc w:val="center"/>
              <w:rPr>
                <w:rFonts w:hint="default" w:ascii="Times New Roman" w:hAnsi="Times New Roman" w:cs="Times New Roman"/>
                <w:b/>
                <w:color w:val="auto"/>
                <w:sz w:val="21"/>
                <w:szCs w:val="21"/>
                <w:highlight w:val="none"/>
              </w:rPr>
            </w:pPr>
            <w:r>
              <w:rPr>
                <w:rFonts w:hint="default" w:ascii="Times New Roman" w:hAnsi="Times New Roman" w:cs="Times New Roman"/>
                <w:b/>
                <w:color w:val="auto"/>
                <w:sz w:val="21"/>
                <w:szCs w:val="21"/>
                <w:highlight w:val="none"/>
              </w:rPr>
              <w:t>Qc</w:t>
            </w:r>
          </w:p>
          <w:p w14:paraId="31A47F92">
            <w:pPr>
              <w:jc w:val="center"/>
              <w:rPr>
                <w:rFonts w:hint="default" w:ascii="Times New Roman" w:hAnsi="Times New Roman" w:cs="Times New Roman"/>
                <w:b/>
                <w:color w:val="auto"/>
                <w:sz w:val="21"/>
                <w:szCs w:val="21"/>
                <w:highlight w:val="none"/>
              </w:rPr>
            </w:pPr>
            <w:r>
              <w:rPr>
                <w:rFonts w:hint="default" w:ascii="Times New Roman" w:hAnsi="Times New Roman" w:cs="Times New Roman"/>
                <w:b/>
                <w:color w:val="auto"/>
                <w:sz w:val="21"/>
                <w:szCs w:val="21"/>
                <w:highlight w:val="none"/>
              </w:rPr>
              <w:t>(kg/h)</w:t>
            </w:r>
          </w:p>
        </w:tc>
        <w:tc>
          <w:tcPr>
            <w:tcW w:w="992" w:type="dxa"/>
            <w:vMerge w:val="restart"/>
            <w:vAlign w:val="center"/>
          </w:tcPr>
          <w:p w14:paraId="0F32D2EF">
            <w:pPr>
              <w:jc w:val="center"/>
              <w:rPr>
                <w:rFonts w:hint="default" w:ascii="Times New Roman" w:hAnsi="Times New Roman" w:cs="Times New Roman"/>
                <w:b/>
                <w:color w:val="auto"/>
                <w:sz w:val="21"/>
                <w:szCs w:val="21"/>
                <w:highlight w:val="none"/>
              </w:rPr>
            </w:pPr>
            <w:r>
              <w:rPr>
                <w:rFonts w:hint="default" w:ascii="Times New Roman" w:hAnsi="Times New Roman" w:cs="Times New Roman"/>
                <w:b/>
                <w:color w:val="auto"/>
                <w:sz w:val="21"/>
                <w:szCs w:val="21"/>
                <w:highlight w:val="none"/>
              </w:rPr>
              <w:t>Cm</w:t>
            </w:r>
          </w:p>
          <w:p w14:paraId="3CD82FFC">
            <w:pPr>
              <w:jc w:val="center"/>
              <w:rPr>
                <w:rFonts w:hint="default" w:ascii="Times New Roman" w:hAnsi="Times New Roman" w:cs="Times New Roman"/>
                <w:b/>
                <w:color w:val="auto"/>
                <w:sz w:val="21"/>
                <w:szCs w:val="21"/>
                <w:highlight w:val="none"/>
              </w:rPr>
            </w:pPr>
            <w:r>
              <w:rPr>
                <w:rFonts w:hint="default" w:ascii="Times New Roman" w:hAnsi="Times New Roman" w:cs="Times New Roman"/>
                <w:b/>
                <w:color w:val="auto"/>
                <w:sz w:val="21"/>
                <w:szCs w:val="21"/>
                <w:highlight w:val="none"/>
              </w:rPr>
              <w:t>(mg/m</w:t>
            </w:r>
            <w:r>
              <w:rPr>
                <w:rFonts w:hint="default" w:ascii="Times New Roman" w:hAnsi="Times New Roman" w:cs="Times New Roman"/>
                <w:b/>
                <w:color w:val="auto"/>
                <w:sz w:val="21"/>
                <w:szCs w:val="21"/>
                <w:highlight w:val="none"/>
                <w:vertAlign w:val="superscript"/>
              </w:rPr>
              <w:t>3</w:t>
            </w:r>
            <w:r>
              <w:rPr>
                <w:rFonts w:hint="default" w:ascii="Times New Roman" w:hAnsi="Times New Roman" w:cs="Times New Roman"/>
                <w:b/>
                <w:color w:val="auto"/>
                <w:sz w:val="21"/>
                <w:szCs w:val="21"/>
                <w:highlight w:val="none"/>
              </w:rPr>
              <w:t>)</w:t>
            </w:r>
          </w:p>
        </w:tc>
        <w:tc>
          <w:tcPr>
            <w:tcW w:w="1482" w:type="dxa"/>
            <w:gridSpan w:val="2"/>
            <w:vAlign w:val="center"/>
          </w:tcPr>
          <w:p w14:paraId="2FE26F0A">
            <w:pPr>
              <w:jc w:val="center"/>
              <w:rPr>
                <w:rFonts w:hint="default" w:ascii="Times New Roman" w:hAnsi="Times New Roman" w:cs="Times New Roman"/>
                <w:b/>
                <w:color w:val="auto"/>
                <w:sz w:val="21"/>
                <w:szCs w:val="21"/>
                <w:highlight w:val="none"/>
              </w:rPr>
            </w:pPr>
            <w:r>
              <w:rPr>
                <w:rFonts w:hint="default" w:ascii="Times New Roman" w:hAnsi="Times New Roman" w:cs="Times New Roman"/>
                <w:b/>
                <w:color w:val="auto"/>
                <w:sz w:val="21"/>
                <w:szCs w:val="21"/>
                <w:highlight w:val="none"/>
              </w:rPr>
              <w:t>卫生防护距离L(m)</w:t>
            </w:r>
          </w:p>
        </w:tc>
      </w:tr>
      <w:tr w14:paraId="1E813B00">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54" w:hRule="atLeast"/>
          <w:jc w:val="center"/>
        </w:trPr>
        <w:tc>
          <w:tcPr>
            <w:tcW w:w="735" w:type="dxa"/>
            <w:vMerge w:val="continue"/>
            <w:vAlign w:val="center"/>
          </w:tcPr>
          <w:p w14:paraId="485BE463">
            <w:pPr>
              <w:jc w:val="center"/>
              <w:rPr>
                <w:rFonts w:hint="default" w:ascii="Times New Roman" w:hAnsi="Times New Roman" w:cs="Times New Roman"/>
                <w:b/>
                <w:color w:val="auto"/>
                <w:sz w:val="21"/>
                <w:szCs w:val="21"/>
                <w:highlight w:val="none"/>
              </w:rPr>
            </w:pPr>
          </w:p>
        </w:tc>
        <w:tc>
          <w:tcPr>
            <w:tcW w:w="927" w:type="dxa"/>
            <w:vMerge w:val="continue"/>
            <w:vAlign w:val="center"/>
          </w:tcPr>
          <w:p w14:paraId="025D46AA">
            <w:pPr>
              <w:jc w:val="center"/>
              <w:rPr>
                <w:rFonts w:hint="default" w:ascii="Times New Roman" w:hAnsi="Times New Roman" w:cs="Times New Roman"/>
                <w:b/>
                <w:color w:val="auto"/>
                <w:sz w:val="21"/>
                <w:szCs w:val="21"/>
                <w:highlight w:val="none"/>
              </w:rPr>
            </w:pPr>
          </w:p>
        </w:tc>
        <w:tc>
          <w:tcPr>
            <w:tcW w:w="640" w:type="dxa"/>
            <w:vAlign w:val="center"/>
          </w:tcPr>
          <w:p w14:paraId="51F204FB">
            <w:pPr>
              <w:jc w:val="center"/>
              <w:rPr>
                <w:rFonts w:hint="default" w:ascii="Times New Roman" w:hAnsi="Times New Roman" w:cs="Times New Roman"/>
                <w:b/>
                <w:color w:val="auto"/>
                <w:sz w:val="21"/>
                <w:szCs w:val="21"/>
                <w:highlight w:val="none"/>
              </w:rPr>
            </w:pPr>
            <w:r>
              <w:rPr>
                <w:rFonts w:hint="default" w:ascii="Times New Roman" w:hAnsi="Times New Roman" w:cs="Times New Roman"/>
                <w:b/>
                <w:color w:val="auto"/>
                <w:sz w:val="21"/>
                <w:szCs w:val="21"/>
                <w:highlight w:val="none"/>
              </w:rPr>
              <w:t>A</w:t>
            </w:r>
          </w:p>
        </w:tc>
        <w:tc>
          <w:tcPr>
            <w:tcW w:w="743" w:type="dxa"/>
            <w:vAlign w:val="center"/>
          </w:tcPr>
          <w:p w14:paraId="0CC29E5D">
            <w:pPr>
              <w:jc w:val="center"/>
              <w:rPr>
                <w:rFonts w:hint="default" w:ascii="Times New Roman" w:hAnsi="Times New Roman" w:cs="Times New Roman"/>
                <w:b/>
                <w:color w:val="auto"/>
                <w:sz w:val="21"/>
                <w:szCs w:val="21"/>
                <w:highlight w:val="none"/>
              </w:rPr>
            </w:pPr>
            <w:r>
              <w:rPr>
                <w:rFonts w:hint="default" w:ascii="Times New Roman" w:hAnsi="Times New Roman" w:cs="Times New Roman"/>
                <w:b/>
                <w:color w:val="auto"/>
                <w:sz w:val="21"/>
                <w:szCs w:val="21"/>
                <w:highlight w:val="none"/>
              </w:rPr>
              <w:t>B</w:t>
            </w:r>
          </w:p>
        </w:tc>
        <w:tc>
          <w:tcPr>
            <w:tcW w:w="647" w:type="dxa"/>
            <w:vAlign w:val="center"/>
          </w:tcPr>
          <w:p w14:paraId="534D2DE3">
            <w:pPr>
              <w:jc w:val="center"/>
              <w:rPr>
                <w:rFonts w:hint="default" w:ascii="Times New Roman" w:hAnsi="Times New Roman" w:cs="Times New Roman"/>
                <w:b/>
                <w:color w:val="auto"/>
                <w:sz w:val="21"/>
                <w:szCs w:val="21"/>
                <w:highlight w:val="none"/>
              </w:rPr>
            </w:pPr>
            <w:r>
              <w:rPr>
                <w:rFonts w:hint="default" w:ascii="Times New Roman" w:hAnsi="Times New Roman" w:cs="Times New Roman"/>
                <w:b/>
                <w:color w:val="auto"/>
                <w:sz w:val="21"/>
                <w:szCs w:val="21"/>
                <w:highlight w:val="none"/>
              </w:rPr>
              <w:t>C</w:t>
            </w:r>
          </w:p>
        </w:tc>
        <w:tc>
          <w:tcPr>
            <w:tcW w:w="648" w:type="dxa"/>
            <w:vAlign w:val="center"/>
          </w:tcPr>
          <w:p w14:paraId="5FD9F269">
            <w:pPr>
              <w:jc w:val="center"/>
              <w:rPr>
                <w:rFonts w:hint="default" w:ascii="Times New Roman" w:hAnsi="Times New Roman" w:cs="Times New Roman"/>
                <w:b/>
                <w:color w:val="auto"/>
                <w:sz w:val="21"/>
                <w:szCs w:val="21"/>
                <w:highlight w:val="none"/>
              </w:rPr>
            </w:pPr>
            <w:r>
              <w:rPr>
                <w:rFonts w:hint="default" w:ascii="Times New Roman" w:hAnsi="Times New Roman" w:cs="Times New Roman"/>
                <w:b/>
                <w:color w:val="auto"/>
                <w:sz w:val="21"/>
                <w:szCs w:val="21"/>
                <w:highlight w:val="none"/>
              </w:rPr>
              <w:t>D</w:t>
            </w:r>
          </w:p>
        </w:tc>
        <w:tc>
          <w:tcPr>
            <w:tcW w:w="694" w:type="dxa"/>
            <w:vMerge w:val="continue"/>
            <w:vAlign w:val="center"/>
          </w:tcPr>
          <w:p w14:paraId="7B77131F">
            <w:pPr>
              <w:jc w:val="center"/>
              <w:rPr>
                <w:rFonts w:hint="default" w:ascii="Times New Roman" w:hAnsi="Times New Roman" w:cs="Times New Roman"/>
                <w:b/>
                <w:color w:val="auto"/>
                <w:sz w:val="21"/>
                <w:szCs w:val="21"/>
                <w:highlight w:val="none"/>
              </w:rPr>
            </w:pPr>
          </w:p>
        </w:tc>
        <w:tc>
          <w:tcPr>
            <w:tcW w:w="850" w:type="dxa"/>
            <w:vMerge w:val="continue"/>
            <w:vAlign w:val="center"/>
          </w:tcPr>
          <w:p w14:paraId="1303524C">
            <w:pPr>
              <w:jc w:val="center"/>
              <w:rPr>
                <w:rFonts w:hint="default" w:ascii="Times New Roman" w:hAnsi="Times New Roman" w:cs="Times New Roman"/>
                <w:b/>
                <w:color w:val="auto"/>
                <w:sz w:val="21"/>
                <w:szCs w:val="21"/>
                <w:highlight w:val="none"/>
              </w:rPr>
            </w:pPr>
          </w:p>
        </w:tc>
        <w:tc>
          <w:tcPr>
            <w:tcW w:w="992" w:type="dxa"/>
            <w:vMerge w:val="continue"/>
            <w:vAlign w:val="center"/>
          </w:tcPr>
          <w:p w14:paraId="112ED45B">
            <w:pPr>
              <w:jc w:val="center"/>
              <w:rPr>
                <w:rFonts w:hint="default" w:ascii="Times New Roman" w:hAnsi="Times New Roman" w:cs="Times New Roman"/>
                <w:b/>
                <w:color w:val="auto"/>
                <w:sz w:val="21"/>
                <w:szCs w:val="21"/>
                <w:highlight w:val="none"/>
              </w:rPr>
            </w:pPr>
          </w:p>
        </w:tc>
        <w:tc>
          <w:tcPr>
            <w:tcW w:w="718" w:type="dxa"/>
            <w:vAlign w:val="center"/>
          </w:tcPr>
          <w:p w14:paraId="704C0215">
            <w:pPr>
              <w:jc w:val="center"/>
              <w:rPr>
                <w:rFonts w:hint="default" w:ascii="Times New Roman" w:hAnsi="Times New Roman" w:cs="Times New Roman"/>
                <w:b/>
                <w:color w:val="auto"/>
                <w:sz w:val="21"/>
                <w:szCs w:val="21"/>
                <w:highlight w:val="none"/>
              </w:rPr>
            </w:pPr>
            <w:r>
              <w:rPr>
                <w:rFonts w:hint="default" w:ascii="Times New Roman" w:hAnsi="Times New Roman" w:cs="Times New Roman"/>
                <w:b/>
                <w:color w:val="auto"/>
                <w:sz w:val="21"/>
                <w:szCs w:val="21"/>
                <w:highlight w:val="none"/>
              </w:rPr>
              <w:t>L计</w:t>
            </w:r>
          </w:p>
        </w:tc>
        <w:tc>
          <w:tcPr>
            <w:tcW w:w="764" w:type="dxa"/>
            <w:vAlign w:val="center"/>
          </w:tcPr>
          <w:p w14:paraId="2054AD13">
            <w:pPr>
              <w:jc w:val="center"/>
              <w:rPr>
                <w:rFonts w:hint="default" w:ascii="Times New Roman" w:hAnsi="Times New Roman" w:cs="Times New Roman"/>
                <w:b/>
                <w:color w:val="auto"/>
                <w:sz w:val="21"/>
                <w:szCs w:val="21"/>
                <w:highlight w:val="none"/>
              </w:rPr>
            </w:pPr>
            <w:r>
              <w:rPr>
                <w:rFonts w:hint="default" w:ascii="Times New Roman" w:hAnsi="Times New Roman" w:cs="Times New Roman"/>
                <w:b/>
                <w:color w:val="auto"/>
                <w:sz w:val="21"/>
                <w:szCs w:val="21"/>
                <w:highlight w:val="none"/>
              </w:rPr>
              <w:t>L</w:t>
            </w:r>
          </w:p>
        </w:tc>
      </w:tr>
      <w:tr w14:paraId="178E28CE">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116" w:hRule="atLeast"/>
          <w:jc w:val="center"/>
        </w:trPr>
        <w:tc>
          <w:tcPr>
            <w:tcW w:w="735" w:type="dxa"/>
            <w:vAlign w:val="center"/>
          </w:tcPr>
          <w:p w14:paraId="3F255D96">
            <w:pPr>
              <w:jc w:val="center"/>
              <w:textAlignment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二工场车间</w:t>
            </w:r>
          </w:p>
        </w:tc>
        <w:tc>
          <w:tcPr>
            <w:tcW w:w="927" w:type="dxa"/>
            <w:vAlign w:val="center"/>
          </w:tcPr>
          <w:p w14:paraId="54A1CE81">
            <w:pPr>
              <w:jc w:val="center"/>
              <w:rPr>
                <w:rFonts w:hint="default" w:ascii="Times New Roman" w:hAnsi="Times New Roman" w:eastAsia="宋体" w:cs="Times New Roman"/>
                <w:bCs/>
                <w:color w:val="auto"/>
                <w:sz w:val="21"/>
                <w:szCs w:val="21"/>
                <w:highlight w:val="none"/>
                <w:lang w:val="en-US" w:eastAsia="zh-CN"/>
              </w:rPr>
            </w:pPr>
            <w:r>
              <w:rPr>
                <w:rFonts w:hint="eastAsia" w:ascii="Times New Roman" w:hAnsi="Times New Roman" w:cs="Times New Roman"/>
                <w:bCs/>
                <w:color w:val="auto"/>
                <w:sz w:val="21"/>
                <w:szCs w:val="21"/>
                <w:highlight w:val="none"/>
                <w:lang w:val="en-US" w:eastAsia="zh-CN"/>
              </w:rPr>
              <w:t>非甲烷总烃</w:t>
            </w:r>
          </w:p>
        </w:tc>
        <w:tc>
          <w:tcPr>
            <w:tcW w:w="640" w:type="dxa"/>
            <w:vAlign w:val="center"/>
          </w:tcPr>
          <w:p w14:paraId="5837A31B">
            <w:pPr>
              <w:jc w:val="center"/>
              <w:rPr>
                <w:rFonts w:hint="default" w:ascii="Times New Roman" w:hAnsi="Times New Roman" w:cs="Times New Roman"/>
                <w:bCs/>
                <w:color w:val="auto"/>
                <w:sz w:val="21"/>
                <w:szCs w:val="21"/>
                <w:highlight w:val="none"/>
              </w:rPr>
            </w:pPr>
            <w:r>
              <w:rPr>
                <w:rFonts w:hint="default" w:ascii="Times New Roman" w:hAnsi="Times New Roman" w:cs="Times New Roman"/>
                <w:color w:val="auto"/>
                <w:sz w:val="21"/>
                <w:szCs w:val="21"/>
                <w:highlight w:val="none"/>
              </w:rPr>
              <w:t>470</w:t>
            </w:r>
          </w:p>
        </w:tc>
        <w:tc>
          <w:tcPr>
            <w:tcW w:w="743" w:type="dxa"/>
            <w:vAlign w:val="center"/>
          </w:tcPr>
          <w:p w14:paraId="6A822FCB">
            <w:pPr>
              <w:jc w:val="center"/>
              <w:rPr>
                <w:rFonts w:hint="default" w:ascii="Times New Roman" w:hAnsi="Times New Roman" w:cs="Times New Roman"/>
                <w:bCs/>
                <w:color w:val="auto"/>
                <w:sz w:val="21"/>
                <w:szCs w:val="21"/>
                <w:highlight w:val="none"/>
              </w:rPr>
            </w:pPr>
            <w:r>
              <w:rPr>
                <w:rFonts w:hint="default" w:ascii="Times New Roman" w:hAnsi="Times New Roman" w:cs="Times New Roman"/>
                <w:color w:val="auto"/>
                <w:sz w:val="21"/>
                <w:szCs w:val="21"/>
                <w:highlight w:val="none"/>
              </w:rPr>
              <w:t>0.021</w:t>
            </w:r>
          </w:p>
        </w:tc>
        <w:tc>
          <w:tcPr>
            <w:tcW w:w="647" w:type="dxa"/>
            <w:vAlign w:val="center"/>
          </w:tcPr>
          <w:p w14:paraId="5871F30E">
            <w:pPr>
              <w:jc w:val="center"/>
              <w:rPr>
                <w:rFonts w:hint="default" w:ascii="Times New Roman" w:hAnsi="Times New Roman" w:cs="Times New Roman"/>
                <w:bCs/>
                <w:color w:val="auto"/>
                <w:sz w:val="21"/>
                <w:szCs w:val="21"/>
                <w:highlight w:val="none"/>
              </w:rPr>
            </w:pPr>
            <w:r>
              <w:rPr>
                <w:rFonts w:hint="default" w:ascii="Times New Roman" w:hAnsi="Times New Roman" w:cs="Times New Roman"/>
                <w:color w:val="auto"/>
                <w:sz w:val="21"/>
                <w:szCs w:val="21"/>
                <w:highlight w:val="none"/>
              </w:rPr>
              <w:t>1.85</w:t>
            </w:r>
          </w:p>
        </w:tc>
        <w:tc>
          <w:tcPr>
            <w:tcW w:w="648" w:type="dxa"/>
            <w:vAlign w:val="center"/>
          </w:tcPr>
          <w:p w14:paraId="1C344161">
            <w:pPr>
              <w:jc w:val="center"/>
              <w:rPr>
                <w:rFonts w:hint="default" w:ascii="Times New Roman" w:hAnsi="Times New Roman" w:cs="Times New Roman"/>
                <w:bCs/>
                <w:color w:val="auto"/>
                <w:sz w:val="21"/>
                <w:szCs w:val="21"/>
                <w:highlight w:val="none"/>
              </w:rPr>
            </w:pPr>
            <w:r>
              <w:rPr>
                <w:rFonts w:hint="default" w:ascii="Times New Roman" w:hAnsi="Times New Roman" w:cs="Times New Roman"/>
                <w:color w:val="auto"/>
                <w:sz w:val="21"/>
                <w:szCs w:val="21"/>
                <w:highlight w:val="none"/>
              </w:rPr>
              <w:t>0.84</w:t>
            </w:r>
          </w:p>
        </w:tc>
        <w:tc>
          <w:tcPr>
            <w:tcW w:w="694" w:type="dxa"/>
            <w:vAlign w:val="center"/>
          </w:tcPr>
          <w:p w14:paraId="62423257">
            <w:pPr>
              <w:jc w:val="center"/>
              <w:textAlignment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630</w:t>
            </w:r>
          </w:p>
        </w:tc>
        <w:tc>
          <w:tcPr>
            <w:tcW w:w="850" w:type="dxa"/>
            <w:vAlign w:val="center"/>
          </w:tcPr>
          <w:p w14:paraId="5BAF93F9">
            <w:pPr>
              <w:jc w:val="center"/>
              <w:rPr>
                <w:rFonts w:hint="default" w:ascii="Times New Roman" w:hAnsi="Times New Roman" w:eastAsia="宋体" w:cs="Times New Roman"/>
                <w:bCs/>
                <w:color w:val="auto"/>
                <w:sz w:val="21"/>
                <w:szCs w:val="21"/>
                <w:highlight w:val="none"/>
                <w:lang w:val="en-US" w:eastAsia="zh-CN"/>
              </w:rPr>
            </w:pPr>
            <w:r>
              <w:rPr>
                <w:rFonts w:hint="eastAsia" w:ascii="Times New Roman" w:hAnsi="Times New Roman" w:eastAsia="宋体" w:cs="Times New Roman"/>
                <w:bCs/>
                <w:color w:val="auto"/>
                <w:sz w:val="21"/>
                <w:szCs w:val="21"/>
                <w:highlight w:val="none"/>
                <w:lang w:val="en-US" w:eastAsia="zh-CN"/>
              </w:rPr>
              <w:t>0.0047</w:t>
            </w:r>
          </w:p>
        </w:tc>
        <w:tc>
          <w:tcPr>
            <w:tcW w:w="992" w:type="dxa"/>
            <w:vAlign w:val="center"/>
          </w:tcPr>
          <w:p w14:paraId="7531CBF0">
            <w:pPr>
              <w:jc w:val="center"/>
              <w:rPr>
                <w:rFonts w:hint="default" w:ascii="Times New Roman" w:hAnsi="Times New Roman" w:eastAsia="宋体" w:cs="Times New Roman"/>
                <w:bCs/>
                <w:color w:val="auto"/>
                <w:sz w:val="21"/>
                <w:szCs w:val="21"/>
                <w:highlight w:val="none"/>
                <w:lang w:val="en-US" w:eastAsia="zh-CN"/>
              </w:rPr>
            </w:pPr>
            <w:r>
              <w:rPr>
                <w:rFonts w:hint="eastAsia" w:ascii="Times New Roman" w:hAnsi="Times New Roman" w:eastAsia="宋体" w:cs="Times New Roman"/>
                <w:bCs/>
                <w:color w:val="auto"/>
                <w:sz w:val="21"/>
                <w:szCs w:val="21"/>
                <w:highlight w:val="none"/>
                <w:lang w:val="en-US" w:eastAsia="zh-CN"/>
              </w:rPr>
              <w:t>2</w:t>
            </w:r>
          </w:p>
        </w:tc>
        <w:tc>
          <w:tcPr>
            <w:tcW w:w="718" w:type="dxa"/>
            <w:vAlign w:val="center"/>
          </w:tcPr>
          <w:p w14:paraId="5BD721EA">
            <w:pPr>
              <w:jc w:val="center"/>
              <w:rPr>
                <w:rFonts w:hint="default" w:ascii="Times New Roman" w:hAnsi="Times New Roman" w:eastAsia="宋体" w:cs="Times New Roman"/>
                <w:bCs/>
                <w:color w:val="auto"/>
                <w:sz w:val="21"/>
                <w:szCs w:val="21"/>
                <w:highlight w:val="none"/>
                <w:lang w:val="en-US" w:eastAsia="zh-CN"/>
              </w:rPr>
            </w:pPr>
            <w:r>
              <w:rPr>
                <w:rFonts w:hint="eastAsia" w:ascii="Times New Roman" w:hAnsi="Times New Roman" w:cs="Times New Roman"/>
                <w:bCs/>
                <w:color w:val="auto"/>
                <w:sz w:val="21"/>
                <w:szCs w:val="21"/>
                <w:highlight w:val="none"/>
                <w:lang w:val="en-US" w:eastAsia="zh-CN"/>
              </w:rPr>
              <w:t>0.109</w:t>
            </w:r>
          </w:p>
        </w:tc>
        <w:tc>
          <w:tcPr>
            <w:tcW w:w="764" w:type="dxa"/>
            <w:vAlign w:val="center"/>
          </w:tcPr>
          <w:p w14:paraId="3901C0DA">
            <w:pPr>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50</w:t>
            </w:r>
          </w:p>
        </w:tc>
      </w:tr>
      <w:tr w14:paraId="55EA9BEC">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116" w:hRule="atLeast"/>
          <w:jc w:val="center"/>
        </w:trPr>
        <w:tc>
          <w:tcPr>
            <w:tcW w:w="735" w:type="dxa"/>
            <w:vMerge w:val="restart"/>
            <w:vAlign w:val="center"/>
          </w:tcPr>
          <w:p w14:paraId="34BAF2C1">
            <w:pPr>
              <w:jc w:val="center"/>
              <w:textAlignment w:val="center"/>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实验室</w:t>
            </w:r>
          </w:p>
        </w:tc>
        <w:tc>
          <w:tcPr>
            <w:tcW w:w="927" w:type="dxa"/>
            <w:vAlign w:val="center"/>
          </w:tcPr>
          <w:p w14:paraId="4418AADC">
            <w:pPr>
              <w:keepNext w:val="0"/>
              <w:keepLines w:val="0"/>
              <w:widowControl/>
              <w:suppressLineNumbers w:val="0"/>
              <w:jc w:val="center"/>
              <w:textAlignment w:val="center"/>
              <w:rPr>
                <w:rFonts w:hint="eastAsia" w:ascii="Times New Roman" w:hAnsi="Times New Roman" w:cs="Times New Roman"/>
                <w:bCs/>
                <w:color w:val="auto"/>
                <w:sz w:val="21"/>
                <w:szCs w:val="21"/>
                <w:highlight w:val="none"/>
                <w:lang w:val="en-US" w:eastAsia="zh-CN"/>
              </w:rPr>
            </w:pPr>
            <w:r>
              <w:rPr>
                <w:rFonts w:hint="eastAsia" w:ascii="Times New Roman" w:hAnsi="Times New Roman" w:cs="Times New Roman"/>
                <w:i w:val="0"/>
                <w:iCs w:val="0"/>
                <w:color w:val="auto"/>
                <w:kern w:val="0"/>
                <w:sz w:val="21"/>
                <w:szCs w:val="21"/>
                <w:highlight w:val="none"/>
                <w:u w:val="none"/>
                <w:lang w:val="en-US" w:eastAsia="zh-CN" w:bidi="ar"/>
              </w:rPr>
              <w:t>非甲烷总烃</w:t>
            </w:r>
          </w:p>
        </w:tc>
        <w:tc>
          <w:tcPr>
            <w:tcW w:w="640" w:type="dxa"/>
            <w:vAlign w:val="center"/>
          </w:tcPr>
          <w:p w14:paraId="615D3911">
            <w:pPr>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470</w:t>
            </w:r>
          </w:p>
        </w:tc>
        <w:tc>
          <w:tcPr>
            <w:tcW w:w="743" w:type="dxa"/>
            <w:vAlign w:val="center"/>
          </w:tcPr>
          <w:p w14:paraId="5B72B1AD">
            <w:pPr>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0.021</w:t>
            </w:r>
          </w:p>
        </w:tc>
        <w:tc>
          <w:tcPr>
            <w:tcW w:w="647" w:type="dxa"/>
            <w:vAlign w:val="center"/>
          </w:tcPr>
          <w:p w14:paraId="2489DADE">
            <w:pPr>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1.85</w:t>
            </w:r>
          </w:p>
        </w:tc>
        <w:tc>
          <w:tcPr>
            <w:tcW w:w="648" w:type="dxa"/>
            <w:vAlign w:val="center"/>
          </w:tcPr>
          <w:p w14:paraId="35432DFD">
            <w:pPr>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0.84</w:t>
            </w:r>
          </w:p>
        </w:tc>
        <w:tc>
          <w:tcPr>
            <w:tcW w:w="694" w:type="dxa"/>
            <w:vMerge w:val="restart"/>
            <w:vAlign w:val="center"/>
          </w:tcPr>
          <w:p w14:paraId="0B5B28BF">
            <w:pPr>
              <w:jc w:val="center"/>
              <w:textAlignment w:val="center"/>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348</w:t>
            </w:r>
          </w:p>
        </w:tc>
        <w:tc>
          <w:tcPr>
            <w:tcW w:w="850" w:type="dxa"/>
            <w:vAlign w:val="center"/>
          </w:tcPr>
          <w:p w14:paraId="57384D47">
            <w:pPr>
              <w:jc w:val="center"/>
              <w:rPr>
                <w:rFonts w:hint="default" w:ascii="Times New Roman" w:hAnsi="Times New Roman" w:cs="Times New Roman"/>
                <w:bCs/>
                <w:color w:val="auto"/>
                <w:sz w:val="21"/>
                <w:szCs w:val="21"/>
                <w:highlight w:val="none"/>
                <w:lang w:val="en-US" w:eastAsia="zh-CN"/>
              </w:rPr>
            </w:pPr>
            <w:r>
              <w:rPr>
                <w:rFonts w:hint="eastAsia" w:ascii="Times New Roman" w:hAnsi="Times New Roman" w:cs="Times New Roman"/>
                <w:bCs/>
                <w:color w:val="auto"/>
                <w:sz w:val="21"/>
                <w:szCs w:val="21"/>
                <w:highlight w:val="none"/>
                <w:lang w:val="en-US" w:eastAsia="zh-CN"/>
              </w:rPr>
              <w:t>0.000984</w:t>
            </w:r>
          </w:p>
        </w:tc>
        <w:tc>
          <w:tcPr>
            <w:tcW w:w="992" w:type="dxa"/>
            <w:vAlign w:val="center"/>
          </w:tcPr>
          <w:p w14:paraId="7A0DAA77">
            <w:pPr>
              <w:jc w:val="center"/>
              <w:rPr>
                <w:rFonts w:hint="eastAsia" w:ascii="Times New Roman" w:hAnsi="Times New Roman" w:cs="Times New Roman"/>
                <w:bCs/>
                <w:color w:val="auto"/>
                <w:sz w:val="21"/>
                <w:szCs w:val="21"/>
                <w:highlight w:val="none"/>
                <w:lang w:val="en-US" w:eastAsia="zh-CN"/>
              </w:rPr>
            </w:pPr>
            <w:r>
              <w:rPr>
                <w:rFonts w:hint="eastAsia" w:ascii="Times New Roman" w:hAnsi="Times New Roman" w:cs="Times New Roman"/>
                <w:bCs/>
                <w:color w:val="auto"/>
                <w:sz w:val="21"/>
                <w:szCs w:val="21"/>
                <w:highlight w:val="none"/>
                <w:lang w:val="en-US" w:eastAsia="zh-CN"/>
              </w:rPr>
              <w:t>2</w:t>
            </w:r>
          </w:p>
        </w:tc>
        <w:tc>
          <w:tcPr>
            <w:tcW w:w="718" w:type="dxa"/>
            <w:vAlign w:val="center"/>
          </w:tcPr>
          <w:p w14:paraId="2FEE1162">
            <w:pPr>
              <w:jc w:val="center"/>
              <w:rPr>
                <w:rFonts w:hint="default" w:ascii="Times New Roman" w:hAnsi="Times New Roman" w:cs="Times New Roman"/>
                <w:bCs/>
                <w:color w:val="auto"/>
                <w:sz w:val="21"/>
                <w:szCs w:val="21"/>
                <w:highlight w:val="none"/>
                <w:lang w:val="en-US" w:eastAsia="zh-CN"/>
              </w:rPr>
            </w:pPr>
            <w:r>
              <w:rPr>
                <w:rFonts w:hint="eastAsia" w:ascii="Times New Roman" w:hAnsi="Times New Roman" w:cs="Times New Roman"/>
                <w:bCs/>
                <w:color w:val="auto"/>
                <w:sz w:val="21"/>
                <w:szCs w:val="21"/>
                <w:highlight w:val="none"/>
                <w:lang w:val="en-US" w:eastAsia="zh-CN"/>
              </w:rPr>
              <w:t>0.024</w:t>
            </w:r>
          </w:p>
        </w:tc>
        <w:tc>
          <w:tcPr>
            <w:tcW w:w="764" w:type="dxa"/>
            <w:vAlign w:val="center"/>
          </w:tcPr>
          <w:p w14:paraId="11042F19">
            <w:pPr>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50</w:t>
            </w:r>
          </w:p>
        </w:tc>
      </w:tr>
      <w:tr w14:paraId="13FFE884">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116" w:hRule="atLeast"/>
          <w:jc w:val="center"/>
        </w:trPr>
        <w:tc>
          <w:tcPr>
            <w:tcW w:w="735" w:type="dxa"/>
            <w:vMerge w:val="continue"/>
            <w:vAlign w:val="center"/>
          </w:tcPr>
          <w:p w14:paraId="2F606993">
            <w:pPr>
              <w:jc w:val="center"/>
              <w:textAlignment w:val="center"/>
              <w:rPr>
                <w:rFonts w:hint="default" w:ascii="Times New Roman" w:hAnsi="Times New Roman" w:cs="Times New Roman"/>
                <w:color w:val="auto"/>
                <w:sz w:val="21"/>
                <w:szCs w:val="21"/>
                <w:highlight w:val="none"/>
                <w:lang w:val="en-US" w:eastAsia="zh-CN"/>
              </w:rPr>
            </w:pPr>
          </w:p>
        </w:tc>
        <w:tc>
          <w:tcPr>
            <w:tcW w:w="927" w:type="dxa"/>
            <w:vAlign w:val="center"/>
          </w:tcPr>
          <w:p w14:paraId="119E1F03">
            <w:pPr>
              <w:keepNext w:val="0"/>
              <w:keepLines w:val="0"/>
              <w:widowControl/>
              <w:suppressLineNumbers w:val="0"/>
              <w:jc w:val="center"/>
              <w:textAlignment w:val="center"/>
              <w:rPr>
                <w:rFonts w:hint="default" w:ascii="Times New Roman" w:hAnsi="Times New Roman" w:cs="Times New Roman"/>
                <w:bCs/>
                <w:color w:val="auto"/>
                <w:sz w:val="21"/>
                <w:szCs w:val="21"/>
                <w:highlight w:val="none"/>
                <w:lang w:val="en-US" w:eastAsia="zh-CN"/>
              </w:rPr>
            </w:pPr>
            <w:r>
              <w:rPr>
                <w:rFonts w:hint="eastAsia" w:ascii="Times New Roman" w:hAnsi="Times New Roman" w:cs="Times New Roman"/>
                <w:i w:val="0"/>
                <w:iCs w:val="0"/>
                <w:color w:val="auto"/>
                <w:kern w:val="0"/>
                <w:sz w:val="21"/>
                <w:szCs w:val="21"/>
                <w:highlight w:val="none"/>
                <w:u w:val="none"/>
                <w:lang w:val="en-US" w:eastAsia="zh-CN" w:bidi="ar"/>
              </w:rPr>
              <w:t>甲醇</w:t>
            </w:r>
          </w:p>
        </w:tc>
        <w:tc>
          <w:tcPr>
            <w:tcW w:w="640" w:type="dxa"/>
            <w:vAlign w:val="center"/>
          </w:tcPr>
          <w:p w14:paraId="07BCB9D6">
            <w:pPr>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470</w:t>
            </w:r>
          </w:p>
        </w:tc>
        <w:tc>
          <w:tcPr>
            <w:tcW w:w="743" w:type="dxa"/>
            <w:vAlign w:val="center"/>
          </w:tcPr>
          <w:p w14:paraId="76B78AC8">
            <w:pPr>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0.021</w:t>
            </w:r>
          </w:p>
        </w:tc>
        <w:tc>
          <w:tcPr>
            <w:tcW w:w="647" w:type="dxa"/>
            <w:vAlign w:val="center"/>
          </w:tcPr>
          <w:p w14:paraId="6D6DA381">
            <w:pPr>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1.85</w:t>
            </w:r>
          </w:p>
        </w:tc>
        <w:tc>
          <w:tcPr>
            <w:tcW w:w="648" w:type="dxa"/>
            <w:vAlign w:val="center"/>
          </w:tcPr>
          <w:p w14:paraId="6947F437">
            <w:pPr>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0.84</w:t>
            </w:r>
          </w:p>
        </w:tc>
        <w:tc>
          <w:tcPr>
            <w:tcW w:w="694" w:type="dxa"/>
            <w:vMerge w:val="continue"/>
            <w:vAlign w:val="center"/>
          </w:tcPr>
          <w:p w14:paraId="299861D4">
            <w:pPr>
              <w:jc w:val="center"/>
              <w:textAlignment w:val="center"/>
              <w:rPr>
                <w:rFonts w:hint="eastAsia" w:ascii="Times New Roman" w:hAnsi="Times New Roman" w:cs="Times New Roman"/>
                <w:color w:val="auto"/>
                <w:sz w:val="21"/>
                <w:szCs w:val="21"/>
                <w:highlight w:val="none"/>
                <w:lang w:val="en-US" w:eastAsia="zh-CN"/>
              </w:rPr>
            </w:pPr>
          </w:p>
        </w:tc>
        <w:tc>
          <w:tcPr>
            <w:tcW w:w="850" w:type="dxa"/>
            <w:vAlign w:val="center"/>
          </w:tcPr>
          <w:p w14:paraId="1F948687">
            <w:pPr>
              <w:jc w:val="center"/>
              <w:rPr>
                <w:rFonts w:hint="default" w:ascii="Times New Roman" w:hAnsi="Times New Roman" w:cs="Times New Roman"/>
                <w:bCs/>
                <w:color w:val="auto"/>
                <w:sz w:val="21"/>
                <w:szCs w:val="21"/>
                <w:highlight w:val="none"/>
                <w:lang w:val="en-US" w:eastAsia="zh-CN"/>
              </w:rPr>
            </w:pPr>
            <w:r>
              <w:rPr>
                <w:rFonts w:hint="eastAsia" w:ascii="Times New Roman" w:hAnsi="Times New Roman" w:cs="Times New Roman"/>
                <w:bCs/>
                <w:color w:val="auto"/>
                <w:sz w:val="21"/>
                <w:szCs w:val="21"/>
                <w:highlight w:val="none"/>
                <w:lang w:val="en-US" w:eastAsia="zh-CN"/>
              </w:rPr>
              <w:t>0.0016</w:t>
            </w:r>
          </w:p>
        </w:tc>
        <w:tc>
          <w:tcPr>
            <w:tcW w:w="992" w:type="dxa"/>
            <w:vAlign w:val="center"/>
          </w:tcPr>
          <w:p w14:paraId="02FE567B">
            <w:pPr>
              <w:jc w:val="center"/>
              <w:rPr>
                <w:rFonts w:hint="eastAsia" w:ascii="Times New Roman" w:hAnsi="Times New Roman" w:cs="Times New Roman"/>
                <w:bCs/>
                <w:color w:val="auto"/>
                <w:sz w:val="21"/>
                <w:szCs w:val="21"/>
                <w:highlight w:val="none"/>
                <w:lang w:val="en-US" w:eastAsia="zh-CN"/>
              </w:rPr>
            </w:pPr>
            <w:r>
              <w:rPr>
                <w:rFonts w:hint="eastAsia" w:ascii="Times New Roman" w:hAnsi="Times New Roman" w:cs="Times New Roman"/>
                <w:bCs/>
                <w:color w:val="auto"/>
                <w:sz w:val="21"/>
                <w:szCs w:val="21"/>
                <w:highlight w:val="none"/>
                <w:lang w:val="en-US" w:eastAsia="zh-CN"/>
              </w:rPr>
              <w:t>3</w:t>
            </w:r>
          </w:p>
        </w:tc>
        <w:tc>
          <w:tcPr>
            <w:tcW w:w="718" w:type="dxa"/>
            <w:vAlign w:val="center"/>
          </w:tcPr>
          <w:p w14:paraId="55781A15">
            <w:pPr>
              <w:jc w:val="center"/>
              <w:rPr>
                <w:rFonts w:hint="default" w:ascii="Times New Roman" w:hAnsi="Times New Roman" w:cs="Times New Roman"/>
                <w:bCs/>
                <w:color w:val="auto"/>
                <w:sz w:val="21"/>
                <w:szCs w:val="21"/>
                <w:highlight w:val="none"/>
                <w:lang w:val="en-US" w:eastAsia="zh-CN"/>
              </w:rPr>
            </w:pPr>
            <w:r>
              <w:rPr>
                <w:rFonts w:hint="eastAsia" w:ascii="Times New Roman" w:hAnsi="Times New Roman" w:cs="Times New Roman"/>
                <w:bCs/>
                <w:color w:val="auto"/>
                <w:sz w:val="21"/>
                <w:szCs w:val="21"/>
                <w:highlight w:val="none"/>
                <w:lang w:val="en-US" w:eastAsia="zh-CN"/>
              </w:rPr>
              <w:t>0.514</w:t>
            </w:r>
          </w:p>
        </w:tc>
        <w:tc>
          <w:tcPr>
            <w:tcW w:w="764" w:type="dxa"/>
            <w:vAlign w:val="center"/>
          </w:tcPr>
          <w:p w14:paraId="545F2A7E">
            <w:pPr>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50</w:t>
            </w:r>
          </w:p>
        </w:tc>
      </w:tr>
    </w:tbl>
    <w:p w14:paraId="3C570809">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color w:val="auto"/>
          <w:sz w:val="24"/>
          <w:szCs w:val="22"/>
          <w:highlight w:val="none"/>
          <w:lang w:val="en-US" w:eastAsia="zh-CN"/>
        </w:rPr>
      </w:pPr>
      <w:r>
        <w:rPr>
          <w:rFonts w:hint="eastAsia" w:ascii="Times New Roman" w:hAnsi="Times New Roman" w:eastAsia="宋体" w:cs="Times New Roman"/>
          <w:color w:val="auto"/>
          <w:sz w:val="24"/>
          <w:szCs w:val="22"/>
          <w:highlight w:val="none"/>
          <w:lang w:val="en-US" w:eastAsia="zh-CN"/>
        </w:rPr>
        <w:t>根据</w:t>
      </w:r>
      <w:r>
        <w:rPr>
          <w:rFonts w:hint="default" w:ascii="Times New Roman" w:hAnsi="Times New Roman" w:cs="Times New Roman"/>
          <w:color w:val="auto"/>
          <w:sz w:val="24"/>
          <w:szCs w:val="22"/>
          <w:highlight w:val="none"/>
        </w:rPr>
        <w:t>《大气有害物质无组织排放卫生防护距离推导技术导则》（GB/T 39499-2020）</w:t>
      </w:r>
      <w:r>
        <w:rPr>
          <w:rFonts w:hint="eastAsia" w:ascii="Times New Roman" w:hAnsi="Times New Roman" w:cs="Times New Roman"/>
          <w:color w:val="auto"/>
          <w:sz w:val="24"/>
          <w:szCs w:val="22"/>
          <w:highlight w:val="none"/>
          <w:lang w:eastAsia="zh-CN"/>
        </w:rPr>
        <w:t>：“</w:t>
      </w:r>
      <w:r>
        <w:rPr>
          <w:rFonts w:hint="eastAsia" w:ascii="Times New Roman" w:hAnsi="Times New Roman" w:cs="Times New Roman"/>
          <w:color w:val="auto"/>
          <w:sz w:val="24"/>
          <w:szCs w:val="22"/>
          <w:highlight w:val="none"/>
          <w:lang w:val="en-US" w:eastAsia="zh-CN"/>
        </w:rPr>
        <w:t>当企业某生产单元的无组织排放存在多种特征大气有害物质时，如果分别推导出的卫生防护距离初值在同一级别时，则该企业的卫生防护距离终值应提高一级</w:t>
      </w:r>
      <w:r>
        <w:rPr>
          <w:rFonts w:hint="eastAsia" w:ascii="Times New Roman" w:hAnsi="Times New Roman" w:cs="Times New Roman"/>
          <w:color w:val="auto"/>
          <w:sz w:val="24"/>
          <w:szCs w:val="22"/>
          <w:highlight w:val="none"/>
          <w:lang w:eastAsia="zh-CN"/>
        </w:rPr>
        <w:t>”，</w:t>
      </w:r>
      <w:r>
        <w:rPr>
          <w:rFonts w:hint="eastAsia" w:ascii="Times New Roman" w:hAnsi="Times New Roman" w:cs="Times New Roman"/>
          <w:color w:val="auto"/>
          <w:sz w:val="24"/>
          <w:szCs w:val="22"/>
          <w:highlight w:val="none"/>
          <w:lang w:val="en-US" w:eastAsia="zh-CN"/>
        </w:rPr>
        <w:t>故实验室卫生防护距离提级为100m，二工场车间仍为原审批的车间外100m。</w:t>
      </w:r>
    </w:p>
    <w:p w14:paraId="1C975D14">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eastAsia="宋体" w:cs="Times New Roman"/>
          <w:color w:val="auto"/>
          <w:sz w:val="24"/>
          <w:szCs w:val="22"/>
          <w:highlight w:val="none"/>
          <w:lang w:val="en-US" w:eastAsia="zh-CN"/>
        </w:rPr>
      </w:pPr>
      <w:r>
        <w:rPr>
          <w:rFonts w:hint="default" w:ascii="Times New Roman" w:hAnsi="Times New Roman" w:eastAsia="宋体" w:cs="Times New Roman"/>
          <w:color w:val="auto"/>
          <w:sz w:val="24"/>
          <w:szCs w:val="22"/>
          <w:highlight w:val="none"/>
        </w:rPr>
        <w:t>因此，</w:t>
      </w:r>
      <w:r>
        <w:rPr>
          <w:rFonts w:hint="eastAsia" w:ascii="Times New Roman" w:hAnsi="Times New Roman" w:eastAsia="宋体" w:cs="Times New Roman"/>
          <w:color w:val="auto"/>
          <w:sz w:val="24"/>
          <w:szCs w:val="22"/>
          <w:highlight w:val="none"/>
          <w:lang w:val="en-US" w:eastAsia="zh-CN"/>
        </w:rPr>
        <w:t>企业</w:t>
      </w:r>
      <w:r>
        <w:rPr>
          <w:rFonts w:hint="default" w:ascii="Times New Roman" w:hAnsi="Times New Roman" w:eastAsia="宋体" w:cs="Times New Roman"/>
          <w:color w:val="auto"/>
          <w:sz w:val="24"/>
          <w:szCs w:val="22"/>
          <w:highlight w:val="none"/>
        </w:rPr>
        <w:t>卫生防护距离为环氧丙烯酸树脂收罐车间</w:t>
      </w:r>
      <w:r>
        <w:rPr>
          <w:rFonts w:hint="eastAsia" w:ascii="Times New Roman" w:hAnsi="Times New Roman" w:eastAsia="宋体" w:cs="Times New Roman"/>
          <w:color w:val="auto"/>
          <w:sz w:val="24"/>
          <w:szCs w:val="22"/>
          <w:highlight w:val="none"/>
          <w:lang w:eastAsia="zh-CN"/>
        </w:rPr>
        <w:t>（</w:t>
      </w:r>
      <w:r>
        <w:rPr>
          <w:rFonts w:hint="eastAsia" w:ascii="Times New Roman" w:hAnsi="Times New Roman" w:eastAsia="宋体" w:cs="Times New Roman"/>
          <w:color w:val="auto"/>
          <w:sz w:val="24"/>
          <w:szCs w:val="22"/>
          <w:highlight w:val="none"/>
          <w:lang w:val="en-US" w:eastAsia="zh-CN"/>
        </w:rPr>
        <w:t>一工场车间</w:t>
      </w:r>
      <w:r>
        <w:rPr>
          <w:rFonts w:hint="eastAsia" w:ascii="Times New Roman" w:hAnsi="Times New Roman" w:eastAsia="宋体" w:cs="Times New Roman"/>
          <w:color w:val="auto"/>
          <w:sz w:val="24"/>
          <w:szCs w:val="22"/>
          <w:highlight w:val="none"/>
          <w:lang w:eastAsia="zh-CN"/>
        </w:rPr>
        <w:t>）</w:t>
      </w:r>
      <w:r>
        <w:rPr>
          <w:rFonts w:hint="default" w:ascii="Times New Roman" w:hAnsi="Times New Roman" w:eastAsia="宋体" w:cs="Times New Roman"/>
          <w:color w:val="auto"/>
          <w:sz w:val="24"/>
          <w:szCs w:val="22"/>
          <w:highlight w:val="none"/>
        </w:rPr>
        <w:t>、丙烯酸酯组成物收罐车间</w:t>
      </w:r>
      <w:r>
        <w:rPr>
          <w:rFonts w:hint="eastAsia" w:ascii="Times New Roman" w:hAnsi="Times New Roman" w:eastAsia="宋体" w:cs="Times New Roman"/>
          <w:color w:val="auto"/>
          <w:sz w:val="24"/>
          <w:szCs w:val="22"/>
          <w:highlight w:val="none"/>
          <w:lang w:eastAsia="zh-CN"/>
        </w:rPr>
        <w:t>（</w:t>
      </w:r>
      <w:r>
        <w:rPr>
          <w:rFonts w:hint="eastAsia" w:ascii="Times New Roman" w:hAnsi="Times New Roman" w:eastAsia="宋体" w:cs="Times New Roman"/>
          <w:color w:val="auto"/>
          <w:sz w:val="24"/>
          <w:szCs w:val="22"/>
          <w:highlight w:val="none"/>
          <w:lang w:val="en-US" w:eastAsia="zh-CN"/>
        </w:rPr>
        <w:t>二工场车间</w:t>
      </w:r>
      <w:r>
        <w:rPr>
          <w:rFonts w:hint="eastAsia" w:ascii="Times New Roman" w:hAnsi="Times New Roman" w:eastAsia="宋体" w:cs="Times New Roman"/>
          <w:color w:val="auto"/>
          <w:sz w:val="24"/>
          <w:szCs w:val="22"/>
          <w:highlight w:val="none"/>
          <w:lang w:eastAsia="zh-CN"/>
        </w:rPr>
        <w:t>）</w:t>
      </w:r>
      <w:r>
        <w:rPr>
          <w:rFonts w:hint="eastAsia" w:ascii="Times New Roman" w:hAnsi="Times New Roman" w:eastAsia="宋体" w:cs="Times New Roman"/>
          <w:color w:val="auto"/>
          <w:sz w:val="24"/>
          <w:szCs w:val="22"/>
          <w:highlight w:val="none"/>
          <w:lang w:val="en-US" w:eastAsia="zh-CN"/>
        </w:rPr>
        <w:t>外</w:t>
      </w:r>
      <w:r>
        <w:rPr>
          <w:rFonts w:hint="default" w:ascii="Times New Roman" w:hAnsi="Times New Roman" w:eastAsia="宋体" w:cs="Times New Roman"/>
          <w:color w:val="auto"/>
          <w:sz w:val="24"/>
          <w:szCs w:val="22"/>
          <w:highlight w:val="none"/>
        </w:rPr>
        <w:t>100米、</w:t>
      </w:r>
      <w:r>
        <w:rPr>
          <w:rFonts w:hint="eastAsia" w:ascii="Times New Roman" w:hAnsi="Times New Roman" w:eastAsia="宋体" w:cs="Times New Roman"/>
          <w:color w:val="auto"/>
          <w:sz w:val="24"/>
          <w:szCs w:val="22"/>
          <w:highlight w:val="none"/>
          <w:lang w:val="en-US" w:eastAsia="zh-CN"/>
        </w:rPr>
        <w:t>实验室</w:t>
      </w:r>
      <w:r>
        <w:rPr>
          <w:rFonts w:hint="default" w:ascii="Times New Roman" w:hAnsi="Times New Roman" w:eastAsia="宋体" w:cs="Times New Roman"/>
          <w:color w:val="auto"/>
          <w:sz w:val="24"/>
          <w:szCs w:val="22"/>
          <w:highlight w:val="none"/>
        </w:rPr>
        <w:t>外</w:t>
      </w:r>
      <w:r>
        <w:rPr>
          <w:rFonts w:hint="eastAsia" w:ascii="Times New Roman" w:hAnsi="Times New Roman" w:eastAsia="宋体" w:cs="Times New Roman"/>
          <w:color w:val="auto"/>
          <w:sz w:val="24"/>
          <w:szCs w:val="22"/>
          <w:highlight w:val="none"/>
          <w:lang w:val="en-US" w:eastAsia="zh-CN"/>
        </w:rPr>
        <w:t>100米</w:t>
      </w:r>
      <w:r>
        <w:rPr>
          <w:rFonts w:hint="default" w:ascii="Times New Roman" w:hAnsi="Times New Roman" w:eastAsia="宋体" w:cs="Times New Roman"/>
          <w:color w:val="auto"/>
          <w:sz w:val="24"/>
          <w:szCs w:val="22"/>
          <w:highlight w:val="none"/>
        </w:rPr>
        <w:t>包络线围成的范围。根据现场调查，在该卫生防护距离范围内无环境敏感目标，今后也不得建设。</w:t>
      </w:r>
    </w:p>
    <w:p w14:paraId="4898113B">
      <w:pPr>
        <w:pStyle w:val="5"/>
        <w:keepLines w:val="0"/>
        <w:numPr>
          <w:ilvl w:val="2"/>
          <w:numId w:val="0"/>
        </w:numPr>
        <w:tabs>
          <w:tab w:val="left" w:pos="567"/>
          <w:tab w:val="left" w:pos="709"/>
          <w:tab w:val="left" w:pos="993"/>
          <w:tab w:val="left" w:pos="6663"/>
        </w:tabs>
        <w:spacing w:before="0" w:after="0" w:line="360" w:lineRule="auto"/>
        <w:ind w:right="-105"/>
        <w:rPr>
          <w:rFonts w:eastAsia="宋体"/>
          <w:color w:val="auto"/>
          <w:sz w:val="28"/>
          <w:szCs w:val="28"/>
          <w:highlight w:val="none"/>
        </w:rPr>
      </w:pPr>
      <w:r>
        <w:rPr>
          <w:rFonts w:hint="eastAsia" w:eastAsia="宋体"/>
          <w:color w:val="auto"/>
          <w:sz w:val="28"/>
          <w:szCs w:val="28"/>
          <w:highlight w:val="none"/>
          <w:lang w:val="en-US" w:eastAsia="zh-CN"/>
        </w:rPr>
        <w:t>6.1.10</w:t>
      </w:r>
      <w:r>
        <w:rPr>
          <w:rFonts w:eastAsia="宋体"/>
          <w:color w:val="auto"/>
          <w:sz w:val="28"/>
          <w:szCs w:val="28"/>
          <w:highlight w:val="none"/>
        </w:rPr>
        <w:t>大气环境影响评价结论</w:t>
      </w:r>
      <w:bookmarkEnd w:id="385"/>
    </w:p>
    <w:p w14:paraId="24F70139">
      <w:pPr>
        <w:spacing w:line="360" w:lineRule="auto"/>
        <w:ind w:left="-105" w:right="-105" w:firstLine="480"/>
        <w:rPr>
          <w:rFonts w:ascii="Times New Roman" w:hAnsi="Times New Roman"/>
          <w:color w:val="auto"/>
          <w:highlight w:val="none"/>
        </w:rPr>
      </w:pPr>
      <w:r>
        <w:rPr>
          <w:rFonts w:hint="eastAsia" w:ascii="Times New Roman" w:hAnsi="Times New Roman"/>
          <w:color w:val="auto"/>
          <w:highlight w:val="none"/>
        </w:rPr>
        <w:t>本项目各类废气经过废气</w:t>
      </w:r>
      <w:r>
        <w:rPr>
          <w:rFonts w:ascii="Times New Roman" w:hAnsi="Times New Roman"/>
          <w:color w:val="auto"/>
          <w:highlight w:val="none"/>
        </w:rPr>
        <w:t>处理设施集中处理后均能达标排放，</w:t>
      </w:r>
      <w:r>
        <w:rPr>
          <w:rFonts w:hint="eastAsia" w:ascii="Times New Roman" w:hAnsi="Times New Roman"/>
          <w:color w:val="auto"/>
          <w:highlight w:val="none"/>
        </w:rPr>
        <w:t>混合、过滤、收缸过程产生的非甲烷总烃可达到</w:t>
      </w:r>
      <w:r>
        <w:rPr>
          <w:rFonts w:hint="eastAsia" w:ascii="Times New Roman" w:hAnsi="Times New Roman"/>
          <w:color w:val="auto"/>
          <w:highlight w:val="none"/>
        </w:rPr>
        <w:t>《大气污染物综合排放标准》（DB32/4041-2021）表1、表3标准限值，取样分析的实验废气产生的氮氧化物、非甲烷总烃、甲醇可达到《大气污染物综合排放标准》（DB32/4041-2021）表1、表3标准限值。</w:t>
      </w:r>
    </w:p>
    <w:p w14:paraId="6EEF7849">
      <w:pPr>
        <w:spacing w:line="360" w:lineRule="auto"/>
        <w:ind w:left="-105" w:right="-105" w:firstLine="480"/>
        <w:rPr>
          <w:rFonts w:ascii="Times New Roman" w:hAnsi="Times New Roman"/>
          <w:color w:val="auto"/>
          <w:highlight w:val="none"/>
        </w:rPr>
      </w:pPr>
      <w:r>
        <w:rPr>
          <w:rFonts w:ascii="Times New Roman" w:hAnsi="Times New Roman"/>
          <w:color w:val="auto"/>
          <w:highlight w:val="none"/>
        </w:rPr>
        <w:t>采用《环境影响评价技术导则大气环境》（HJ2.2-2018）附录A推荐模型中估算模型AERSCREEN，通过本次扩建后，</w:t>
      </w:r>
      <w:r>
        <w:rPr>
          <w:rFonts w:hint="eastAsia" w:ascii="Times New Roman" w:hAnsi="Times New Roman"/>
          <w:color w:val="auto"/>
          <w:highlight w:val="none"/>
        </w:rPr>
        <w:t>DA005~DA006</w:t>
      </w:r>
      <w:r>
        <w:rPr>
          <w:rFonts w:ascii="Times New Roman" w:hAnsi="Times New Roman"/>
          <w:color w:val="auto"/>
          <w:highlight w:val="none"/>
        </w:rPr>
        <w:t>排气筒排放量以及涉及的无组织源进行预测，预测</w:t>
      </w:r>
      <w:r>
        <w:rPr>
          <w:rFonts w:hint="eastAsia" w:ascii="Times New Roman" w:hAnsi="Times New Roman"/>
          <w:color w:val="auto"/>
          <w:highlight w:val="none"/>
        </w:rPr>
        <w:t>因子为</w:t>
      </w:r>
      <w:r>
        <w:rPr>
          <w:rFonts w:hint="eastAsia" w:ascii="Times New Roman" w:hAnsi="Times New Roman"/>
          <w:color w:val="auto"/>
          <w:highlight w:val="none"/>
        </w:rPr>
        <w:t>非甲烷总烃（含甲醇）</w:t>
      </w:r>
      <w:r>
        <w:rPr>
          <w:rFonts w:ascii="Times New Roman" w:hAnsi="Times New Roman"/>
          <w:color w:val="auto"/>
          <w:highlight w:val="none"/>
        </w:rPr>
        <w:t>，预测结果显示，最大落地浓度均可以达到环境质量标准要求，且占标率较低。非正常情况下，各个污染因子最大落地浓度和占标率均有所增加，但是可以满足相应环境质量标准。</w:t>
      </w:r>
    </w:p>
    <w:p w14:paraId="3192B12F">
      <w:pPr>
        <w:spacing w:line="360" w:lineRule="auto"/>
        <w:ind w:left="-105" w:right="-105" w:firstLine="480"/>
        <w:rPr>
          <w:rFonts w:ascii="Times New Roman" w:hAnsi="Times New Roman"/>
          <w:color w:val="auto"/>
          <w:highlight w:val="none"/>
        </w:rPr>
      </w:pPr>
      <w:r>
        <w:rPr>
          <w:rFonts w:ascii="Times New Roman" w:hAnsi="Times New Roman"/>
          <w:color w:val="auto"/>
          <w:highlight w:val="none"/>
        </w:rPr>
        <w:t>本项目不需要设置大气环境防护距离。</w:t>
      </w:r>
    </w:p>
    <w:p w14:paraId="6DE40C58">
      <w:pPr>
        <w:pStyle w:val="5"/>
        <w:keepLines w:val="0"/>
        <w:numPr>
          <w:ilvl w:val="2"/>
          <w:numId w:val="0"/>
        </w:numPr>
        <w:tabs>
          <w:tab w:val="left" w:pos="567"/>
          <w:tab w:val="left" w:pos="709"/>
          <w:tab w:val="left" w:pos="993"/>
          <w:tab w:val="left" w:pos="6663"/>
        </w:tabs>
        <w:spacing w:before="0" w:after="0" w:line="360" w:lineRule="auto"/>
        <w:ind w:right="-105"/>
        <w:rPr>
          <w:rFonts w:eastAsia="宋体"/>
          <w:color w:val="auto"/>
          <w:sz w:val="28"/>
          <w:szCs w:val="28"/>
          <w:highlight w:val="none"/>
        </w:rPr>
      </w:pPr>
      <w:bookmarkStart w:id="386" w:name="_Toc60653556"/>
      <w:r>
        <w:rPr>
          <w:rFonts w:hint="eastAsia" w:eastAsia="宋体"/>
          <w:color w:val="auto"/>
          <w:sz w:val="28"/>
          <w:szCs w:val="28"/>
          <w:highlight w:val="none"/>
        </w:rPr>
        <w:t>6.1.</w:t>
      </w:r>
      <w:r>
        <w:rPr>
          <w:rFonts w:hint="eastAsia" w:eastAsia="宋体"/>
          <w:color w:val="auto"/>
          <w:sz w:val="28"/>
          <w:szCs w:val="28"/>
          <w:highlight w:val="none"/>
          <w:lang w:val="en-US" w:eastAsia="zh-CN"/>
        </w:rPr>
        <w:t>11</w:t>
      </w:r>
      <w:r>
        <w:rPr>
          <w:rFonts w:eastAsia="宋体"/>
          <w:color w:val="auto"/>
          <w:sz w:val="28"/>
          <w:szCs w:val="28"/>
          <w:highlight w:val="none"/>
        </w:rPr>
        <w:t>大气环境影响评价自查表</w:t>
      </w:r>
      <w:bookmarkEnd w:id="386"/>
    </w:p>
    <w:p w14:paraId="0505C96A">
      <w:pPr>
        <w:spacing w:line="360" w:lineRule="auto"/>
        <w:ind w:left="-105" w:right="-105" w:firstLine="480"/>
        <w:rPr>
          <w:rFonts w:ascii="Times New Roman" w:hAnsi="Times New Roman" w:cs="Times New Roman"/>
          <w:color w:val="auto"/>
          <w:highlight w:val="none"/>
        </w:rPr>
      </w:pPr>
      <w:r>
        <w:rPr>
          <w:rFonts w:ascii="Times New Roman" w:hAnsi="Times New Roman"/>
          <w:color w:val="auto"/>
          <w:highlight w:val="none"/>
        </w:rPr>
        <w:t>大气环境影响评价自查情况</w:t>
      </w:r>
      <w:r>
        <w:rPr>
          <w:rFonts w:ascii="Times New Roman" w:hAnsi="Times New Roman" w:cs="Times New Roman"/>
          <w:color w:val="auto"/>
          <w:highlight w:val="none"/>
        </w:rPr>
        <w:t>见</w:t>
      </w:r>
      <w:r>
        <w:rPr>
          <w:rFonts w:ascii="Times New Roman" w:hAnsi="Times New Roman" w:cs="Times New Roman"/>
          <w:color w:val="auto"/>
          <w:highlight w:val="none"/>
        </w:rPr>
        <w:fldChar w:fldCharType="begin"/>
      </w:r>
      <w:r>
        <w:rPr>
          <w:rFonts w:ascii="Times New Roman" w:hAnsi="Times New Roman" w:cs="Times New Roman"/>
          <w:color w:val="auto"/>
          <w:highlight w:val="none"/>
        </w:rPr>
        <w:instrText xml:space="preserve"> REF _Ref38617287 \h  \* MERGEFORMAT </w:instrText>
      </w:r>
      <w:r>
        <w:rPr>
          <w:rFonts w:ascii="Times New Roman" w:hAnsi="Times New Roman" w:cs="Times New Roman"/>
          <w:color w:val="auto"/>
          <w:highlight w:val="none"/>
        </w:rPr>
        <w:fldChar w:fldCharType="separate"/>
      </w:r>
      <w:r>
        <w:rPr>
          <w:rFonts w:ascii="Times New Roman" w:hAnsi="Times New Roman" w:cs="Times New Roman"/>
          <w:color w:val="auto"/>
          <w:szCs w:val="22"/>
          <w:highlight w:val="none"/>
        </w:rPr>
        <w:t>表</w:t>
      </w:r>
      <w:r>
        <w:rPr>
          <w:rFonts w:ascii="Times New Roman" w:hAnsi="Times New Roman" w:cs="Times New Roman"/>
          <w:color w:val="auto"/>
          <w:szCs w:val="22"/>
          <w:highlight w:val="none"/>
        </w:rPr>
        <w:fldChar w:fldCharType="begin"/>
      </w:r>
      <w:r>
        <w:rPr>
          <w:rFonts w:ascii="Times New Roman" w:hAnsi="Times New Roman" w:cs="Times New Roman"/>
          <w:color w:val="auto"/>
          <w:szCs w:val="22"/>
          <w:highlight w:val="none"/>
        </w:rPr>
        <w:instrText xml:space="preserve"> STYLEREF</w:instrText>
      </w:r>
      <w:r>
        <w:rPr>
          <w:rFonts w:ascii="Times New Roman" w:hAnsi="Times New Roman" w:cs="Times New Roman"/>
          <w:color w:val="auto"/>
          <w:highlight w:val="none"/>
        </w:rPr>
        <w:instrText xml:space="preserve"> 2 \s </w:instrText>
      </w:r>
      <w:r>
        <w:rPr>
          <w:rFonts w:ascii="Times New Roman" w:hAnsi="Times New Roman" w:cs="Times New Roman"/>
          <w:color w:val="auto"/>
          <w:highlight w:val="none"/>
        </w:rPr>
        <w:fldChar w:fldCharType="separate"/>
      </w:r>
      <w:r>
        <w:rPr>
          <w:rFonts w:ascii="Times New Roman" w:hAnsi="Times New Roman" w:cs="Times New Roman"/>
          <w:color w:val="auto"/>
          <w:highlight w:val="none"/>
        </w:rPr>
        <w:t>6.1</w:t>
      </w:r>
      <w:r>
        <w:rPr>
          <w:rFonts w:ascii="Times New Roman" w:hAnsi="Times New Roman" w:cs="Times New Roman"/>
          <w:color w:val="auto"/>
          <w:highlight w:val="none"/>
        </w:rPr>
        <w:fldChar w:fldCharType="end"/>
      </w:r>
      <w:r>
        <w:rPr>
          <w:rFonts w:ascii="Times New Roman" w:hAnsi="Times New Roman" w:cs="Times New Roman"/>
          <w:color w:val="auto"/>
          <w:highlight w:val="none"/>
        </w:rPr>
        <w:noBreakHyphen/>
      </w:r>
      <w:r>
        <w:rPr>
          <w:rFonts w:ascii="Times New Roman" w:hAnsi="Times New Roman" w:cs="Times New Roman"/>
          <w:color w:val="auto"/>
          <w:highlight w:val="none"/>
        </w:rPr>
        <w:t>16</w:t>
      </w:r>
      <w:r>
        <w:rPr>
          <w:rFonts w:ascii="Times New Roman" w:hAnsi="Times New Roman" w:cs="Times New Roman"/>
          <w:color w:val="auto"/>
          <w:highlight w:val="none"/>
        </w:rPr>
        <w:fldChar w:fldCharType="end"/>
      </w:r>
      <w:r>
        <w:rPr>
          <w:rFonts w:ascii="Times New Roman" w:hAnsi="Times New Roman" w:cs="Times New Roman"/>
          <w:color w:val="auto"/>
          <w:highlight w:val="none"/>
        </w:rPr>
        <w:t>。</w:t>
      </w:r>
    </w:p>
    <w:p w14:paraId="4B6037CD">
      <w:pPr>
        <w:pStyle w:val="15"/>
        <w:spacing w:line="360" w:lineRule="auto"/>
        <w:ind w:left="-105" w:right="-105" w:firstLine="482"/>
        <w:rPr>
          <w:rFonts w:eastAsia="宋体" w:cs="Times New Roman"/>
          <w:color w:val="auto"/>
          <w:kern w:val="0"/>
          <w:sz w:val="24"/>
          <w:szCs w:val="24"/>
          <w:highlight w:val="none"/>
        </w:rPr>
      </w:pPr>
      <w:bookmarkStart w:id="387" w:name="_Ref38617287"/>
      <w:r>
        <w:rPr>
          <w:rFonts w:eastAsia="宋体" w:cs="Times New Roman"/>
          <w:color w:val="auto"/>
          <w:sz w:val="24"/>
          <w:szCs w:val="18"/>
          <w:highlight w:val="none"/>
        </w:rPr>
        <w:t>表</w:t>
      </w:r>
      <w:r>
        <w:rPr>
          <w:rFonts w:eastAsia="宋体" w:cs="Times New Roman"/>
          <w:color w:val="auto"/>
          <w:sz w:val="24"/>
          <w:szCs w:val="18"/>
          <w:highlight w:val="none"/>
        </w:rPr>
        <w:fldChar w:fldCharType="begin"/>
      </w:r>
      <w:r>
        <w:rPr>
          <w:rFonts w:eastAsia="宋体" w:cs="Times New Roman"/>
          <w:color w:val="auto"/>
          <w:sz w:val="24"/>
          <w:szCs w:val="18"/>
          <w:highlight w:val="none"/>
        </w:rPr>
        <w:instrText xml:space="preserve"> STYLEREF 2 \s </w:instrText>
      </w:r>
      <w:r>
        <w:rPr>
          <w:rFonts w:eastAsia="宋体" w:cs="Times New Roman"/>
          <w:color w:val="auto"/>
          <w:sz w:val="24"/>
          <w:szCs w:val="18"/>
          <w:highlight w:val="none"/>
        </w:rPr>
        <w:fldChar w:fldCharType="separate"/>
      </w:r>
      <w:r>
        <w:rPr>
          <w:rFonts w:eastAsia="宋体" w:cs="Times New Roman"/>
          <w:color w:val="auto"/>
          <w:sz w:val="24"/>
          <w:szCs w:val="18"/>
          <w:highlight w:val="none"/>
        </w:rPr>
        <w:t>6.1</w:t>
      </w:r>
      <w:r>
        <w:rPr>
          <w:rFonts w:eastAsia="宋体" w:cs="Times New Roman"/>
          <w:color w:val="auto"/>
          <w:sz w:val="24"/>
          <w:szCs w:val="18"/>
          <w:highlight w:val="none"/>
        </w:rPr>
        <w:fldChar w:fldCharType="end"/>
      </w:r>
      <w:r>
        <w:rPr>
          <w:rFonts w:eastAsia="宋体" w:cs="Times New Roman"/>
          <w:color w:val="auto"/>
          <w:sz w:val="24"/>
          <w:szCs w:val="18"/>
          <w:highlight w:val="none"/>
        </w:rPr>
        <w:noBreakHyphen/>
      </w:r>
      <w:r>
        <w:rPr>
          <w:rFonts w:eastAsia="宋体" w:cs="Times New Roman"/>
          <w:color w:val="auto"/>
          <w:sz w:val="24"/>
          <w:szCs w:val="18"/>
          <w:highlight w:val="none"/>
        </w:rPr>
        <w:fldChar w:fldCharType="begin"/>
      </w:r>
      <w:r>
        <w:rPr>
          <w:rFonts w:eastAsia="宋体" w:cs="Times New Roman"/>
          <w:color w:val="auto"/>
          <w:sz w:val="24"/>
          <w:szCs w:val="18"/>
          <w:highlight w:val="none"/>
        </w:rPr>
        <w:instrText xml:space="preserve"> SEQ 表 \* ARABIC \s 2 </w:instrText>
      </w:r>
      <w:r>
        <w:rPr>
          <w:rFonts w:eastAsia="宋体" w:cs="Times New Roman"/>
          <w:color w:val="auto"/>
          <w:sz w:val="24"/>
          <w:szCs w:val="18"/>
          <w:highlight w:val="none"/>
        </w:rPr>
        <w:fldChar w:fldCharType="separate"/>
      </w:r>
      <w:r>
        <w:rPr>
          <w:rFonts w:eastAsia="宋体" w:cs="Times New Roman"/>
          <w:color w:val="auto"/>
          <w:sz w:val="24"/>
          <w:szCs w:val="18"/>
          <w:highlight w:val="none"/>
        </w:rPr>
        <w:t>16</w:t>
      </w:r>
      <w:r>
        <w:rPr>
          <w:rFonts w:eastAsia="宋体" w:cs="Times New Roman"/>
          <w:color w:val="auto"/>
          <w:sz w:val="24"/>
          <w:szCs w:val="18"/>
          <w:highlight w:val="none"/>
        </w:rPr>
        <w:fldChar w:fldCharType="end"/>
      </w:r>
      <w:bookmarkEnd w:id="387"/>
      <w:r>
        <w:rPr>
          <w:rFonts w:eastAsia="宋体" w:cs="Times New Roman"/>
          <w:color w:val="auto"/>
          <w:kern w:val="0"/>
          <w:sz w:val="24"/>
          <w:szCs w:val="24"/>
          <w:highlight w:val="none"/>
        </w:rPr>
        <w:t>建设项目大气环境影响评价自查表</w:t>
      </w:r>
    </w:p>
    <w:tbl>
      <w:tblPr>
        <w:tblStyle w:val="45"/>
        <w:tblW w:w="500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670"/>
        <w:gridCol w:w="1335"/>
        <w:gridCol w:w="914"/>
        <w:gridCol w:w="76"/>
        <w:gridCol w:w="181"/>
        <w:gridCol w:w="171"/>
        <w:gridCol w:w="589"/>
        <w:gridCol w:w="552"/>
        <w:gridCol w:w="205"/>
        <w:gridCol w:w="70"/>
        <w:gridCol w:w="809"/>
        <w:gridCol w:w="355"/>
        <w:gridCol w:w="107"/>
        <w:gridCol w:w="372"/>
        <w:gridCol w:w="484"/>
        <w:gridCol w:w="318"/>
        <w:gridCol w:w="170"/>
        <w:gridCol w:w="374"/>
        <w:gridCol w:w="64"/>
        <w:gridCol w:w="904"/>
      </w:tblGrid>
      <w:tr w14:paraId="702A216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1" w:hRule="atLeast"/>
          <w:jc w:val="center"/>
        </w:trPr>
        <w:tc>
          <w:tcPr>
            <w:tcW w:w="2087" w:type="dxa"/>
            <w:gridSpan w:val="2"/>
            <w:shd w:val="clear" w:color="auto" w:fill="auto"/>
            <w:vAlign w:val="center"/>
          </w:tcPr>
          <w:p w14:paraId="7F47AC97">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olor w:val="auto"/>
                <w:sz w:val="21"/>
                <w:szCs w:val="21"/>
                <w:highlight w:val="none"/>
              </w:rPr>
            </w:pPr>
            <w:r>
              <w:rPr>
                <w:rFonts w:ascii="Times New Roman" w:hAnsi="Times New Roman"/>
                <w:color w:val="auto"/>
                <w:sz w:val="21"/>
                <w:szCs w:val="21"/>
                <w:highlight w:val="none"/>
              </w:rPr>
              <w:t>工作内容</w:t>
            </w:r>
          </w:p>
        </w:tc>
        <w:tc>
          <w:tcPr>
            <w:tcW w:w="6985" w:type="dxa"/>
            <w:gridSpan w:val="18"/>
            <w:shd w:val="clear" w:color="auto" w:fill="auto"/>
            <w:vAlign w:val="center"/>
          </w:tcPr>
          <w:p w14:paraId="2984981C">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olor w:val="auto"/>
                <w:sz w:val="21"/>
                <w:szCs w:val="21"/>
                <w:highlight w:val="none"/>
              </w:rPr>
            </w:pPr>
            <w:r>
              <w:rPr>
                <w:rFonts w:ascii="Times New Roman" w:hAnsi="Times New Roman"/>
                <w:color w:val="auto"/>
                <w:sz w:val="21"/>
                <w:szCs w:val="21"/>
                <w:highlight w:val="none"/>
              </w:rPr>
              <w:t>自查项目</w:t>
            </w:r>
          </w:p>
        </w:tc>
      </w:tr>
      <w:tr w14:paraId="3A40EF1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1" w:hRule="atLeast"/>
          <w:jc w:val="center"/>
        </w:trPr>
        <w:tc>
          <w:tcPr>
            <w:tcW w:w="694" w:type="dxa"/>
            <w:vMerge w:val="restart"/>
            <w:shd w:val="clear" w:color="auto" w:fill="auto"/>
            <w:vAlign w:val="center"/>
          </w:tcPr>
          <w:p w14:paraId="52374D22">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olor w:val="auto"/>
                <w:sz w:val="21"/>
                <w:szCs w:val="21"/>
                <w:highlight w:val="none"/>
              </w:rPr>
            </w:pPr>
            <w:r>
              <w:rPr>
                <w:rFonts w:ascii="Times New Roman" w:hAnsi="Times New Roman"/>
                <w:color w:val="auto"/>
                <w:sz w:val="21"/>
                <w:szCs w:val="21"/>
                <w:highlight w:val="none"/>
              </w:rPr>
              <w:t>评价等级与范围</w:t>
            </w:r>
          </w:p>
        </w:tc>
        <w:tc>
          <w:tcPr>
            <w:tcW w:w="1393" w:type="dxa"/>
            <w:shd w:val="clear" w:color="auto" w:fill="auto"/>
            <w:vAlign w:val="center"/>
          </w:tcPr>
          <w:p w14:paraId="4FA090D9">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olor w:val="auto"/>
                <w:sz w:val="21"/>
                <w:szCs w:val="21"/>
                <w:highlight w:val="none"/>
              </w:rPr>
            </w:pPr>
            <w:r>
              <w:rPr>
                <w:rFonts w:ascii="Times New Roman" w:hAnsi="Times New Roman"/>
                <w:color w:val="auto"/>
                <w:sz w:val="21"/>
                <w:szCs w:val="21"/>
                <w:highlight w:val="none"/>
              </w:rPr>
              <w:t>评价等级</w:t>
            </w:r>
          </w:p>
        </w:tc>
        <w:tc>
          <w:tcPr>
            <w:tcW w:w="2009" w:type="dxa"/>
            <w:gridSpan w:val="5"/>
            <w:shd w:val="clear" w:color="auto" w:fill="auto"/>
            <w:vAlign w:val="center"/>
          </w:tcPr>
          <w:p w14:paraId="7A4A560D">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olor w:val="auto"/>
                <w:sz w:val="21"/>
                <w:szCs w:val="21"/>
                <w:highlight w:val="none"/>
              </w:rPr>
            </w:pPr>
            <w:r>
              <w:rPr>
                <w:rFonts w:ascii="Times New Roman" w:hAnsi="Times New Roman"/>
                <w:color w:val="auto"/>
                <w:sz w:val="21"/>
                <w:szCs w:val="21"/>
                <w:highlight w:val="none"/>
              </w:rPr>
              <w:t>一级□</w:t>
            </w:r>
          </w:p>
        </w:tc>
        <w:tc>
          <w:tcPr>
            <w:tcW w:w="1701" w:type="dxa"/>
            <w:gridSpan w:val="4"/>
            <w:shd w:val="clear" w:color="auto" w:fill="auto"/>
            <w:vAlign w:val="center"/>
          </w:tcPr>
          <w:p w14:paraId="3B1F0DAF">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olor w:val="auto"/>
                <w:sz w:val="21"/>
                <w:szCs w:val="21"/>
                <w:highlight w:val="none"/>
              </w:rPr>
            </w:pPr>
            <w:r>
              <w:rPr>
                <w:rFonts w:ascii="Times New Roman" w:hAnsi="Times New Roman"/>
                <w:color w:val="auto"/>
                <w:sz w:val="21"/>
                <w:szCs w:val="21"/>
                <w:highlight w:val="none"/>
              </w:rPr>
              <w:t>二级</w:t>
            </w:r>
            <w:r>
              <w:rPr>
                <w:rFonts w:ascii="Times New Roman" w:hAnsi="Times New Roman"/>
                <w:color w:val="auto"/>
                <w:sz w:val="21"/>
                <w:szCs w:val="21"/>
                <w:highlight w:val="none"/>
              </w:rPr>
              <w:sym w:font="Wingdings 2" w:char="00A3"/>
            </w:r>
          </w:p>
        </w:tc>
        <w:tc>
          <w:tcPr>
            <w:tcW w:w="3275" w:type="dxa"/>
            <w:gridSpan w:val="9"/>
            <w:shd w:val="clear" w:color="auto" w:fill="auto"/>
            <w:vAlign w:val="center"/>
          </w:tcPr>
          <w:p w14:paraId="650803CA">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olor w:val="auto"/>
                <w:sz w:val="21"/>
                <w:szCs w:val="21"/>
                <w:highlight w:val="none"/>
              </w:rPr>
            </w:pPr>
            <w:r>
              <w:rPr>
                <w:rFonts w:ascii="Times New Roman" w:hAnsi="Times New Roman"/>
                <w:color w:val="auto"/>
                <w:sz w:val="21"/>
                <w:szCs w:val="21"/>
                <w:highlight w:val="none"/>
              </w:rPr>
              <w:t>三级</w:t>
            </w:r>
            <w:r>
              <w:rPr>
                <w:rFonts w:hint="eastAsia" w:ascii="Times New Roman" w:hAnsi="Times New Roman"/>
                <w:color w:val="auto"/>
                <w:sz w:val="21"/>
                <w:szCs w:val="21"/>
                <w:highlight w:val="none"/>
              </w:rPr>
              <w:t>☑</w:t>
            </w:r>
          </w:p>
        </w:tc>
      </w:tr>
      <w:tr w14:paraId="2187E50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1" w:hRule="atLeast"/>
          <w:jc w:val="center"/>
        </w:trPr>
        <w:tc>
          <w:tcPr>
            <w:tcW w:w="694" w:type="dxa"/>
            <w:vMerge w:val="continue"/>
            <w:shd w:val="clear" w:color="auto" w:fill="auto"/>
            <w:vAlign w:val="center"/>
          </w:tcPr>
          <w:p w14:paraId="05D69D08">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olor w:val="auto"/>
                <w:sz w:val="21"/>
                <w:szCs w:val="21"/>
                <w:highlight w:val="none"/>
              </w:rPr>
            </w:pPr>
          </w:p>
        </w:tc>
        <w:tc>
          <w:tcPr>
            <w:tcW w:w="1393" w:type="dxa"/>
            <w:shd w:val="clear" w:color="auto" w:fill="auto"/>
            <w:vAlign w:val="center"/>
          </w:tcPr>
          <w:p w14:paraId="485269D1">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olor w:val="auto"/>
                <w:sz w:val="21"/>
                <w:szCs w:val="21"/>
                <w:highlight w:val="none"/>
              </w:rPr>
            </w:pPr>
            <w:r>
              <w:rPr>
                <w:rFonts w:ascii="Times New Roman" w:hAnsi="Times New Roman"/>
                <w:color w:val="auto"/>
                <w:sz w:val="21"/>
                <w:szCs w:val="21"/>
                <w:highlight w:val="none"/>
              </w:rPr>
              <w:t>评价范围</w:t>
            </w:r>
          </w:p>
        </w:tc>
        <w:tc>
          <w:tcPr>
            <w:tcW w:w="2009" w:type="dxa"/>
            <w:gridSpan w:val="5"/>
            <w:shd w:val="clear" w:color="auto" w:fill="auto"/>
            <w:vAlign w:val="center"/>
          </w:tcPr>
          <w:p w14:paraId="1AEBA5CB">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olor w:val="auto"/>
                <w:sz w:val="21"/>
                <w:szCs w:val="21"/>
                <w:highlight w:val="none"/>
              </w:rPr>
            </w:pPr>
            <w:r>
              <w:rPr>
                <w:rFonts w:ascii="Times New Roman" w:hAnsi="Times New Roman"/>
                <w:color w:val="auto"/>
                <w:sz w:val="21"/>
                <w:szCs w:val="21"/>
                <w:highlight w:val="none"/>
              </w:rPr>
              <w:t>边长=50km□</w:t>
            </w:r>
          </w:p>
        </w:tc>
        <w:tc>
          <w:tcPr>
            <w:tcW w:w="1701" w:type="dxa"/>
            <w:gridSpan w:val="4"/>
            <w:shd w:val="clear" w:color="auto" w:fill="auto"/>
            <w:vAlign w:val="center"/>
          </w:tcPr>
          <w:p w14:paraId="5633926D">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olor w:val="auto"/>
                <w:sz w:val="21"/>
                <w:szCs w:val="21"/>
                <w:highlight w:val="none"/>
              </w:rPr>
            </w:pPr>
            <w:r>
              <w:rPr>
                <w:rFonts w:ascii="Times New Roman" w:hAnsi="Times New Roman"/>
                <w:color w:val="auto"/>
                <w:sz w:val="21"/>
                <w:szCs w:val="21"/>
                <w:highlight w:val="none"/>
              </w:rPr>
              <w:t>边长5~50km□</w:t>
            </w:r>
          </w:p>
        </w:tc>
        <w:tc>
          <w:tcPr>
            <w:tcW w:w="3275" w:type="dxa"/>
            <w:gridSpan w:val="9"/>
            <w:shd w:val="clear" w:color="auto" w:fill="auto"/>
            <w:vAlign w:val="center"/>
          </w:tcPr>
          <w:p w14:paraId="09B54389">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olor w:val="auto"/>
                <w:sz w:val="21"/>
                <w:szCs w:val="21"/>
                <w:highlight w:val="none"/>
              </w:rPr>
            </w:pPr>
            <w:r>
              <w:rPr>
                <w:rFonts w:ascii="Times New Roman" w:hAnsi="Times New Roman"/>
                <w:color w:val="auto"/>
                <w:sz w:val="21"/>
                <w:szCs w:val="21"/>
                <w:highlight w:val="none"/>
              </w:rPr>
              <w:t>边长=5km</w:t>
            </w:r>
            <w:r>
              <w:rPr>
                <w:rFonts w:ascii="Times New Roman" w:hAnsi="Times New Roman"/>
                <w:color w:val="auto"/>
                <w:sz w:val="21"/>
                <w:szCs w:val="21"/>
                <w:highlight w:val="none"/>
              </w:rPr>
              <w:sym w:font="Wingdings 2" w:char="00A3"/>
            </w:r>
          </w:p>
        </w:tc>
      </w:tr>
      <w:tr w14:paraId="571E145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1" w:hRule="atLeast"/>
          <w:jc w:val="center"/>
        </w:trPr>
        <w:tc>
          <w:tcPr>
            <w:tcW w:w="694" w:type="dxa"/>
            <w:vMerge w:val="restart"/>
            <w:shd w:val="clear" w:color="auto" w:fill="auto"/>
            <w:vAlign w:val="center"/>
          </w:tcPr>
          <w:p w14:paraId="149E5779">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olor w:val="auto"/>
                <w:sz w:val="21"/>
                <w:szCs w:val="21"/>
                <w:highlight w:val="none"/>
              </w:rPr>
            </w:pPr>
            <w:r>
              <w:rPr>
                <w:rFonts w:ascii="Times New Roman" w:hAnsi="Times New Roman"/>
                <w:color w:val="auto"/>
                <w:sz w:val="21"/>
                <w:szCs w:val="21"/>
                <w:highlight w:val="none"/>
              </w:rPr>
              <w:t>评价因子</w:t>
            </w:r>
          </w:p>
        </w:tc>
        <w:tc>
          <w:tcPr>
            <w:tcW w:w="1393" w:type="dxa"/>
            <w:shd w:val="clear" w:color="auto" w:fill="auto"/>
            <w:vAlign w:val="center"/>
          </w:tcPr>
          <w:p w14:paraId="07F514DF">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olor w:val="auto"/>
                <w:sz w:val="21"/>
                <w:szCs w:val="21"/>
                <w:highlight w:val="none"/>
              </w:rPr>
            </w:pPr>
            <w:r>
              <w:rPr>
                <w:rFonts w:ascii="Times New Roman" w:hAnsi="Times New Roman"/>
                <w:color w:val="auto"/>
                <w:sz w:val="21"/>
                <w:szCs w:val="21"/>
                <w:highlight w:val="none"/>
              </w:rPr>
              <w:t>SO</w:t>
            </w:r>
            <w:r>
              <w:rPr>
                <w:rFonts w:ascii="Times New Roman" w:hAnsi="Times New Roman"/>
                <w:color w:val="auto"/>
                <w:sz w:val="21"/>
                <w:szCs w:val="21"/>
                <w:highlight w:val="none"/>
                <w:vertAlign w:val="subscript"/>
              </w:rPr>
              <w:t>2</w:t>
            </w:r>
            <w:r>
              <w:rPr>
                <w:rFonts w:ascii="Times New Roman" w:hAnsi="Times New Roman"/>
                <w:color w:val="auto"/>
                <w:sz w:val="21"/>
                <w:szCs w:val="21"/>
                <w:highlight w:val="none"/>
              </w:rPr>
              <w:t>+NO</w:t>
            </w:r>
            <w:r>
              <w:rPr>
                <w:rFonts w:ascii="Times New Roman" w:hAnsi="Times New Roman"/>
                <w:color w:val="auto"/>
                <w:sz w:val="21"/>
                <w:szCs w:val="21"/>
                <w:highlight w:val="none"/>
                <w:vertAlign w:val="subscript"/>
              </w:rPr>
              <w:t>x</w:t>
            </w:r>
            <w:r>
              <w:rPr>
                <w:rFonts w:ascii="Times New Roman" w:hAnsi="Times New Roman"/>
                <w:color w:val="auto"/>
                <w:sz w:val="21"/>
                <w:szCs w:val="21"/>
                <w:highlight w:val="none"/>
              </w:rPr>
              <w:t>排放量</w:t>
            </w:r>
          </w:p>
        </w:tc>
        <w:tc>
          <w:tcPr>
            <w:tcW w:w="2009" w:type="dxa"/>
            <w:gridSpan w:val="5"/>
            <w:shd w:val="clear" w:color="auto" w:fill="auto"/>
            <w:vAlign w:val="center"/>
          </w:tcPr>
          <w:p w14:paraId="1A618C03">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olor w:val="auto"/>
                <w:sz w:val="21"/>
                <w:szCs w:val="21"/>
                <w:highlight w:val="none"/>
              </w:rPr>
            </w:pPr>
            <w:r>
              <w:rPr>
                <w:rFonts w:ascii="Times New Roman" w:hAnsi="Times New Roman"/>
                <w:color w:val="auto"/>
                <w:sz w:val="21"/>
                <w:szCs w:val="21"/>
                <w:highlight w:val="none"/>
              </w:rPr>
              <w:t>≥2000t/a□</w:t>
            </w:r>
          </w:p>
        </w:tc>
        <w:tc>
          <w:tcPr>
            <w:tcW w:w="1701" w:type="dxa"/>
            <w:gridSpan w:val="4"/>
            <w:shd w:val="clear" w:color="auto" w:fill="auto"/>
            <w:vAlign w:val="center"/>
          </w:tcPr>
          <w:p w14:paraId="2F72BA71">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olor w:val="auto"/>
                <w:sz w:val="21"/>
                <w:szCs w:val="21"/>
                <w:highlight w:val="none"/>
              </w:rPr>
            </w:pPr>
            <w:r>
              <w:rPr>
                <w:rFonts w:ascii="Times New Roman" w:hAnsi="Times New Roman"/>
                <w:color w:val="auto"/>
                <w:sz w:val="21"/>
                <w:szCs w:val="21"/>
                <w:highlight w:val="none"/>
              </w:rPr>
              <w:t>500~2000t/a□</w:t>
            </w:r>
          </w:p>
        </w:tc>
        <w:tc>
          <w:tcPr>
            <w:tcW w:w="3275" w:type="dxa"/>
            <w:gridSpan w:val="9"/>
            <w:shd w:val="clear" w:color="auto" w:fill="auto"/>
            <w:vAlign w:val="center"/>
          </w:tcPr>
          <w:p w14:paraId="43FE50E0">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olor w:val="auto"/>
                <w:sz w:val="21"/>
                <w:szCs w:val="21"/>
                <w:highlight w:val="none"/>
              </w:rPr>
            </w:pPr>
            <w:r>
              <w:rPr>
                <w:rFonts w:ascii="Times New Roman" w:hAnsi="Times New Roman"/>
                <w:color w:val="auto"/>
                <w:sz w:val="21"/>
                <w:szCs w:val="21"/>
                <w:highlight w:val="none"/>
              </w:rPr>
              <w:t>＜500t/a</w:t>
            </w:r>
            <w:r>
              <w:rPr>
                <w:rFonts w:ascii="Times New Roman" w:hAnsi="Times New Roman"/>
                <w:color w:val="auto"/>
                <w:sz w:val="21"/>
                <w:szCs w:val="21"/>
                <w:highlight w:val="none"/>
              </w:rPr>
              <w:sym w:font="Wingdings 2" w:char="00A3"/>
            </w:r>
          </w:p>
        </w:tc>
      </w:tr>
      <w:tr w14:paraId="2C67320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1" w:hRule="atLeast"/>
          <w:jc w:val="center"/>
        </w:trPr>
        <w:tc>
          <w:tcPr>
            <w:tcW w:w="694" w:type="dxa"/>
            <w:vMerge w:val="continue"/>
            <w:shd w:val="clear" w:color="auto" w:fill="auto"/>
            <w:vAlign w:val="center"/>
          </w:tcPr>
          <w:p w14:paraId="605CBDF7">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olor w:val="auto"/>
                <w:sz w:val="21"/>
                <w:szCs w:val="21"/>
                <w:highlight w:val="none"/>
              </w:rPr>
            </w:pPr>
          </w:p>
        </w:tc>
        <w:tc>
          <w:tcPr>
            <w:tcW w:w="1393" w:type="dxa"/>
            <w:shd w:val="clear" w:color="auto" w:fill="auto"/>
            <w:vAlign w:val="center"/>
          </w:tcPr>
          <w:p w14:paraId="1D41F686">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olor w:val="auto"/>
                <w:sz w:val="21"/>
                <w:szCs w:val="21"/>
                <w:highlight w:val="none"/>
              </w:rPr>
            </w:pPr>
            <w:r>
              <w:rPr>
                <w:rFonts w:ascii="Times New Roman" w:hAnsi="Times New Roman"/>
                <w:color w:val="auto"/>
                <w:sz w:val="21"/>
                <w:szCs w:val="21"/>
                <w:highlight w:val="none"/>
              </w:rPr>
              <w:t>评价因子</w:t>
            </w:r>
          </w:p>
        </w:tc>
        <w:tc>
          <w:tcPr>
            <w:tcW w:w="3710" w:type="dxa"/>
            <w:gridSpan w:val="9"/>
            <w:shd w:val="clear" w:color="auto" w:fill="auto"/>
            <w:vAlign w:val="center"/>
          </w:tcPr>
          <w:p w14:paraId="2F967F48">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olor w:val="auto"/>
                <w:sz w:val="21"/>
                <w:szCs w:val="21"/>
                <w:highlight w:val="none"/>
              </w:rPr>
            </w:pPr>
            <w:r>
              <w:rPr>
                <w:rFonts w:ascii="Times New Roman" w:hAnsi="Times New Roman"/>
                <w:color w:val="auto"/>
                <w:sz w:val="21"/>
                <w:szCs w:val="21"/>
                <w:highlight w:val="none"/>
              </w:rPr>
              <w:t>基本污染物</w:t>
            </w:r>
          </w:p>
          <w:p w14:paraId="7D8DB7F2">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olor w:val="auto"/>
                <w:sz w:val="21"/>
                <w:szCs w:val="21"/>
                <w:highlight w:val="none"/>
              </w:rPr>
            </w:pPr>
            <w:r>
              <w:rPr>
                <w:rFonts w:ascii="Times New Roman" w:hAnsi="Times New Roman"/>
                <w:color w:val="auto"/>
                <w:sz w:val="21"/>
                <w:szCs w:val="21"/>
                <w:highlight w:val="none"/>
              </w:rPr>
              <w:t>（SO</w:t>
            </w:r>
            <w:r>
              <w:rPr>
                <w:rFonts w:ascii="Times New Roman" w:hAnsi="Times New Roman"/>
                <w:color w:val="auto"/>
                <w:sz w:val="21"/>
                <w:szCs w:val="21"/>
                <w:highlight w:val="none"/>
                <w:vertAlign w:val="subscript"/>
              </w:rPr>
              <w:t>2</w:t>
            </w:r>
            <w:r>
              <w:rPr>
                <w:rFonts w:ascii="Times New Roman" w:hAnsi="Times New Roman"/>
                <w:color w:val="auto"/>
                <w:sz w:val="21"/>
                <w:szCs w:val="21"/>
                <w:highlight w:val="none"/>
              </w:rPr>
              <w:t>、NO</w:t>
            </w:r>
            <w:r>
              <w:rPr>
                <w:rFonts w:ascii="Times New Roman" w:hAnsi="Times New Roman"/>
                <w:color w:val="auto"/>
                <w:sz w:val="21"/>
                <w:szCs w:val="21"/>
                <w:highlight w:val="none"/>
                <w:vertAlign w:val="subscript"/>
              </w:rPr>
              <w:t>2</w:t>
            </w:r>
            <w:r>
              <w:rPr>
                <w:rFonts w:ascii="Times New Roman" w:hAnsi="Times New Roman"/>
                <w:color w:val="auto"/>
                <w:sz w:val="21"/>
                <w:szCs w:val="21"/>
                <w:highlight w:val="none"/>
              </w:rPr>
              <w:t>、PM</w:t>
            </w:r>
            <w:r>
              <w:rPr>
                <w:rFonts w:ascii="Times New Roman" w:hAnsi="Times New Roman"/>
                <w:color w:val="auto"/>
                <w:sz w:val="21"/>
                <w:szCs w:val="21"/>
                <w:highlight w:val="none"/>
                <w:vertAlign w:val="subscript"/>
              </w:rPr>
              <w:t>10</w:t>
            </w:r>
            <w:r>
              <w:rPr>
                <w:rFonts w:ascii="Times New Roman" w:hAnsi="Times New Roman"/>
                <w:color w:val="auto"/>
                <w:sz w:val="21"/>
                <w:szCs w:val="21"/>
                <w:highlight w:val="none"/>
              </w:rPr>
              <w:t>、PM</w:t>
            </w:r>
            <w:r>
              <w:rPr>
                <w:rFonts w:ascii="Times New Roman" w:hAnsi="Times New Roman"/>
                <w:color w:val="auto"/>
                <w:sz w:val="21"/>
                <w:szCs w:val="21"/>
                <w:highlight w:val="none"/>
                <w:vertAlign w:val="subscript"/>
              </w:rPr>
              <w:t>2.5</w:t>
            </w:r>
            <w:r>
              <w:rPr>
                <w:rFonts w:ascii="Times New Roman" w:hAnsi="Times New Roman"/>
                <w:color w:val="auto"/>
                <w:sz w:val="21"/>
                <w:szCs w:val="21"/>
                <w:highlight w:val="none"/>
              </w:rPr>
              <w:t>）</w:t>
            </w:r>
          </w:p>
          <w:p w14:paraId="7FC301A2">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olor w:val="auto"/>
                <w:sz w:val="21"/>
                <w:szCs w:val="21"/>
                <w:highlight w:val="none"/>
              </w:rPr>
            </w:pPr>
            <w:r>
              <w:rPr>
                <w:rFonts w:ascii="Times New Roman" w:hAnsi="Times New Roman"/>
                <w:color w:val="auto"/>
                <w:sz w:val="21"/>
                <w:szCs w:val="21"/>
                <w:highlight w:val="none"/>
              </w:rPr>
              <w:t>其他污染物（</w:t>
            </w:r>
            <w:r>
              <w:rPr>
                <w:rFonts w:hint="eastAsia" w:ascii="Times New Roman" w:hAnsi="Times New Roman"/>
                <w:color w:val="auto"/>
                <w:sz w:val="21"/>
                <w:szCs w:val="21"/>
                <w:highlight w:val="none"/>
              </w:rPr>
              <w:t>非甲烷总烃</w:t>
            </w:r>
            <w:r>
              <w:rPr>
                <w:rFonts w:hint="eastAsia" w:eastAsia="宋体"/>
                <w:color w:val="auto"/>
                <w:sz w:val="21"/>
                <w:szCs w:val="21"/>
                <w:highlight w:val="none"/>
                <w:lang w:val="en-US"/>
              </w:rPr>
              <w:t>、甲醇、氮氧化物</w:t>
            </w:r>
            <w:r>
              <w:rPr>
                <w:rFonts w:ascii="Times New Roman" w:hAnsi="Times New Roman"/>
                <w:color w:val="auto"/>
                <w:sz w:val="21"/>
                <w:szCs w:val="21"/>
                <w:highlight w:val="none"/>
              </w:rPr>
              <w:t>）</w:t>
            </w:r>
          </w:p>
        </w:tc>
        <w:tc>
          <w:tcPr>
            <w:tcW w:w="3275" w:type="dxa"/>
            <w:gridSpan w:val="9"/>
            <w:shd w:val="clear" w:color="auto" w:fill="auto"/>
            <w:vAlign w:val="center"/>
          </w:tcPr>
          <w:p w14:paraId="3694CCD7">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olor w:val="auto"/>
                <w:sz w:val="21"/>
                <w:szCs w:val="21"/>
                <w:highlight w:val="none"/>
              </w:rPr>
            </w:pPr>
            <w:r>
              <w:rPr>
                <w:rFonts w:ascii="Times New Roman" w:hAnsi="Times New Roman"/>
                <w:color w:val="auto"/>
                <w:sz w:val="21"/>
                <w:szCs w:val="21"/>
                <w:highlight w:val="none"/>
              </w:rPr>
              <w:t>包括二次PM2.5□</w:t>
            </w:r>
          </w:p>
          <w:p w14:paraId="6B292D98">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olor w:val="auto"/>
                <w:sz w:val="21"/>
                <w:szCs w:val="21"/>
                <w:highlight w:val="none"/>
              </w:rPr>
            </w:pPr>
            <w:r>
              <w:rPr>
                <w:rFonts w:ascii="Times New Roman" w:hAnsi="Times New Roman"/>
                <w:color w:val="auto"/>
                <w:sz w:val="21"/>
                <w:szCs w:val="21"/>
                <w:highlight w:val="none"/>
              </w:rPr>
              <w:t>不包括二次PM2.5</w:t>
            </w:r>
            <w:r>
              <w:rPr>
                <w:rFonts w:ascii="Times New Roman" w:hAnsi="Times New Roman"/>
                <w:color w:val="auto"/>
                <w:sz w:val="21"/>
                <w:szCs w:val="21"/>
                <w:highlight w:val="none"/>
              </w:rPr>
              <w:sym w:font="Wingdings 2" w:char="0052"/>
            </w:r>
          </w:p>
        </w:tc>
      </w:tr>
      <w:tr w14:paraId="385904F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1" w:hRule="atLeast"/>
          <w:jc w:val="center"/>
        </w:trPr>
        <w:tc>
          <w:tcPr>
            <w:tcW w:w="694" w:type="dxa"/>
            <w:shd w:val="clear" w:color="auto" w:fill="auto"/>
            <w:vAlign w:val="center"/>
          </w:tcPr>
          <w:p w14:paraId="07D2274A">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olor w:val="auto"/>
                <w:sz w:val="21"/>
                <w:szCs w:val="21"/>
                <w:highlight w:val="none"/>
              </w:rPr>
            </w:pPr>
            <w:r>
              <w:rPr>
                <w:rFonts w:ascii="Times New Roman" w:hAnsi="Times New Roman"/>
                <w:color w:val="auto"/>
                <w:sz w:val="21"/>
                <w:szCs w:val="21"/>
                <w:highlight w:val="none"/>
              </w:rPr>
              <w:t>评价标准</w:t>
            </w:r>
          </w:p>
        </w:tc>
        <w:tc>
          <w:tcPr>
            <w:tcW w:w="1393" w:type="dxa"/>
            <w:shd w:val="clear" w:color="auto" w:fill="auto"/>
            <w:vAlign w:val="center"/>
          </w:tcPr>
          <w:p w14:paraId="5B99577A">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olor w:val="auto"/>
                <w:sz w:val="21"/>
                <w:szCs w:val="21"/>
                <w:highlight w:val="none"/>
              </w:rPr>
            </w:pPr>
            <w:r>
              <w:rPr>
                <w:rFonts w:ascii="Times New Roman" w:hAnsi="Times New Roman"/>
                <w:color w:val="auto"/>
                <w:sz w:val="21"/>
                <w:szCs w:val="21"/>
                <w:highlight w:val="none"/>
              </w:rPr>
              <w:t>评价标准</w:t>
            </w:r>
          </w:p>
        </w:tc>
        <w:tc>
          <w:tcPr>
            <w:tcW w:w="1219" w:type="dxa"/>
            <w:gridSpan w:val="3"/>
            <w:shd w:val="clear" w:color="auto" w:fill="auto"/>
            <w:vAlign w:val="center"/>
          </w:tcPr>
          <w:p w14:paraId="62CDCC87">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olor w:val="auto"/>
                <w:sz w:val="21"/>
                <w:szCs w:val="21"/>
                <w:highlight w:val="none"/>
              </w:rPr>
            </w:pPr>
            <w:r>
              <w:rPr>
                <w:rFonts w:ascii="Times New Roman" w:hAnsi="Times New Roman"/>
                <w:color w:val="auto"/>
                <w:sz w:val="21"/>
                <w:szCs w:val="21"/>
                <w:highlight w:val="none"/>
              </w:rPr>
              <w:t>国家标准</w:t>
            </w:r>
            <w:r>
              <w:rPr>
                <w:rFonts w:ascii="Times New Roman" w:hAnsi="Times New Roman"/>
                <w:color w:val="auto"/>
                <w:sz w:val="21"/>
                <w:szCs w:val="21"/>
                <w:highlight w:val="none"/>
              </w:rPr>
              <w:sym w:font="Wingdings 2" w:char="0052"/>
            </w:r>
          </w:p>
        </w:tc>
        <w:tc>
          <w:tcPr>
            <w:tcW w:w="1362" w:type="dxa"/>
            <w:gridSpan w:val="3"/>
            <w:shd w:val="clear" w:color="auto" w:fill="auto"/>
            <w:vAlign w:val="center"/>
          </w:tcPr>
          <w:p w14:paraId="39181557">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olor w:val="auto"/>
                <w:sz w:val="21"/>
                <w:szCs w:val="21"/>
                <w:highlight w:val="none"/>
              </w:rPr>
            </w:pPr>
            <w:r>
              <w:rPr>
                <w:rFonts w:ascii="Times New Roman" w:hAnsi="Times New Roman"/>
                <w:color w:val="auto"/>
                <w:sz w:val="21"/>
                <w:szCs w:val="21"/>
                <w:highlight w:val="none"/>
              </w:rPr>
              <w:t>地方标准</w:t>
            </w:r>
            <w:r>
              <w:rPr>
                <w:rFonts w:ascii="Times New Roman" w:hAnsi="Times New Roman"/>
                <w:color w:val="auto"/>
                <w:sz w:val="21"/>
                <w:szCs w:val="21"/>
                <w:highlight w:val="none"/>
              </w:rPr>
              <w:sym w:font="Wingdings 2" w:char="00A3"/>
            </w:r>
          </w:p>
        </w:tc>
        <w:tc>
          <w:tcPr>
            <w:tcW w:w="1997" w:type="dxa"/>
            <w:gridSpan w:val="6"/>
            <w:shd w:val="clear" w:color="auto" w:fill="auto"/>
            <w:vAlign w:val="center"/>
          </w:tcPr>
          <w:p w14:paraId="04222A2F">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olor w:val="auto"/>
                <w:sz w:val="21"/>
                <w:szCs w:val="21"/>
                <w:highlight w:val="none"/>
              </w:rPr>
            </w:pPr>
            <w:r>
              <w:rPr>
                <w:rFonts w:ascii="Times New Roman" w:hAnsi="Times New Roman"/>
                <w:color w:val="auto"/>
                <w:sz w:val="21"/>
                <w:szCs w:val="21"/>
                <w:highlight w:val="none"/>
              </w:rPr>
              <w:t>附录D</w:t>
            </w:r>
            <w:r>
              <w:rPr>
                <w:rFonts w:ascii="Times New Roman" w:hAnsi="Times New Roman"/>
                <w:color w:val="auto"/>
                <w:sz w:val="21"/>
                <w:szCs w:val="21"/>
                <w:highlight w:val="none"/>
              </w:rPr>
              <w:sym w:font="Wingdings 2" w:char="0052"/>
            </w:r>
          </w:p>
        </w:tc>
        <w:tc>
          <w:tcPr>
            <w:tcW w:w="2407" w:type="dxa"/>
            <w:gridSpan w:val="6"/>
            <w:shd w:val="clear" w:color="auto" w:fill="auto"/>
            <w:vAlign w:val="center"/>
          </w:tcPr>
          <w:p w14:paraId="7DE3D55B">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olor w:val="auto"/>
                <w:sz w:val="21"/>
                <w:szCs w:val="21"/>
                <w:highlight w:val="none"/>
              </w:rPr>
            </w:pPr>
            <w:r>
              <w:rPr>
                <w:rFonts w:ascii="Times New Roman" w:hAnsi="Times New Roman"/>
                <w:color w:val="auto"/>
                <w:sz w:val="21"/>
                <w:szCs w:val="21"/>
                <w:highlight w:val="none"/>
              </w:rPr>
              <w:t>其他标准</w:t>
            </w:r>
            <w:r>
              <w:rPr>
                <w:rFonts w:hint="eastAsia" w:ascii="Times New Roman" w:hAnsi="Times New Roman"/>
                <w:color w:val="auto"/>
                <w:sz w:val="21"/>
                <w:szCs w:val="21"/>
                <w:highlight w:val="none"/>
              </w:rPr>
              <w:t>☑</w:t>
            </w:r>
          </w:p>
        </w:tc>
      </w:tr>
      <w:tr w14:paraId="71A22CE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1" w:hRule="atLeast"/>
          <w:jc w:val="center"/>
        </w:trPr>
        <w:tc>
          <w:tcPr>
            <w:tcW w:w="694" w:type="dxa"/>
            <w:vMerge w:val="restart"/>
            <w:shd w:val="clear" w:color="auto" w:fill="auto"/>
            <w:vAlign w:val="center"/>
          </w:tcPr>
          <w:p w14:paraId="7F808193">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olor w:val="auto"/>
                <w:sz w:val="21"/>
                <w:szCs w:val="21"/>
                <w:highlight w:val="none"/>
              </w:rPr>
            </w:pPr>
            <w:r>
              <w:rPr>
                <w:rFonts w:ascii="Times New Roman" w:hAnsi="Times New Roman"/>
                <w:color w:val="auto"/>
                <w:sz w:val="21"/>
                <w:szCs w:val="21"/>
                <w:highlight w:val="none"/>
              </w:rPr>
              <w:t>现状评价</w:t>
            </w:r>
          </w:p>
        </w:tc>
        <w:tc>
          <w:tcPr>
            <w:tcW w:w="1393" w:type="dxa"/>
            <w:shd w:val="clear" w:color="auto" w:fill="auto"/>
            <w:vAlign w:val="center"/>
          </w:tcPr>
          <w:p w14:paraId="57F4C85A">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olor w:val="auto"/>
                <w:sz w:val="21"/>
                <w:szCs w:val="21"/>
                <w:highlight w:val="none"/>
              </w:rPr>
            </w:pPr>
            <w:r>
              <w:rPr>
                <w:rFonts w:ascii="Times New Roman" w:hAnsi="Times New Roman"/>
                <w:color w:val="auto"/>
                <w:sz w:val="21"/>
                <w:szCs w:val="21"/>
                <w:highlight w:val="none"/>
              </w:rPr>
              <w:t>环境功能区</w:t>
            </w:r>
          </w:p>
        </w:tc>
        <w:tc>
          <w:tcPr>
            <w:tcW w:w="2009" w:type="dxa"/>
            <w:gridSpan w:val="5"/>
            <w:shd w:val="clear" w:color="auto" w:fill="auto"/>
            <w:vAlign w:val="center"/>
          </w:tcPr>
          <w:p w14:paraId="4A30ED6A">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olor w:val="auto"/>
                <w:sz w:val="21"/>
                <w:szCs w:val="21"/>
                <w:highlight w:val="none"/>
              </w:rPr>
            </w:pPr>
            <w:r>
              <w:rPr>
                <w:rFonts w:ascii="Times New Roman" w:hAnsi="Times New Roman"/>
                <w:color w:val="auto"/>
                <w:sz w:val="21"/>
                <w:szCs w:val="21"/>
                <w:highlight w:val="none"/>
              </w:rPr>
              <w:t>一类区□</w:t>
            </w:r>
          </w:p>
        </w:tc>
        <w:tc>
          <w:tcPr>
            <w:tcW w:w="1701" w:type="dxa"/>
            <w:gridSpan w:val="4"/>
            <w:shd w:val="clear" w:color="auto" w:fill="auto"/>
            <w:vAlign w:val="center"/>
          </w:tcPr>
          <w:p w14:paraId="781DAB61">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olor w:val="auto"/>
                <w:sz w:val="21"/>
                <w:szCs w:val="21"/>
                <w:highlight w:val="none"/>
              </w:rPr>
            </w:pPr>
            <w:r>
              <w:rPr>
                <w:rFonts w:ascii="Times New Roman" w:hAnsi="Times New Roman"/>
                <w:color w:val="auto"/>
                <w:sz w:val="21"/>
                <w:szCs w:val="21"/>
                <w:highlight w:val="none"/>
              </w:rPr>
              <w:t>二类区</w:t>
            </w:r>
            <w:r>
              <w:rPr>
                <w:rFonts w:ascii="Times New Roman" w:hAnsi="Times New Roman"/>
                <w:color w:val="auto"/>
                <w:sz w:val="21"/>
                <w:szCs w:val="21"/>
                <w:highlight w:val="none"/>
              </w:rPr>
              <w:sym w:font="Wingdings 2" w:char="0052"/>
            </w:r>
          </w:p>
        </w:tc>
        <w:tc>
          <w:tcPr>
            <w:tcW w:w="3275" w:type="dxa"/>
            <w:gridSpan w:val="9"/>
            <w:shd w:val="clear" w:color="auto" w:fill="auto"/>
            <w:vAlign w:val="center"/>
          </w:tcPr>
          <w:p w14:paraId="19DEF724">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olor w:val="auto"/>
                <w:sz w:val="21"/>
                <w:szCs w:val="21"/>
                <w:highlight w:val="none"/>
              </w:rPr>
            </w:pPr>
            <w:r>
              <w:rPr>
                <w:rFonts w:ascii="Times New Roman" w:hAnsi="Times New Roman"/>
                <w:color w:val="auto"/>
                <w:sz w:val="21"/>
                <w:szCs w:val="21"/>
                <w:highlight w:val="none"/>
              </w:rPr>
              <w:t>一类区和二类区□</w:t>
            </w:r>
          </w:p>
        </w:tc>
      </w:tr>
      <w:tr w14:paraId="25C6D0C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1" w:hRule="atLeast"/>
          <w:jc w:val="center"/>
        </w:trPr>
        <w:tc>
          <w:tcPr>
            <w:tcW w:w="694" w:type="dxa"/>
            <w:vMerge w:val="continue"/>
            <w:shd w:val="clear" w:color="auto" w:fill="auto"/>
            <w:vAlign w:val="center"/>
          </w:tcPr>
          <w:p w14:paraId="52BAB04C">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olor w:val="auto"/>
                <w:sz w:val="21"/>
                <w:szCs w:val="21"/>
                <w:highlight w:val="none"/>
              </w:rPr>
            </w:pPr>
          </w:p>
        </w:tc>
        <w:tc>
          <w:tcPr>
            <w:tcW w:w="1393" w:type="dxa"/>
            <w:shd w:val="clear" w:color="auto" w:fill="auto"/>
            <w:vAlign w:val="center"/>
          </w:tcPr>
          <w:p w14:paraId="4C462621">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olor w:val="auto"/>
                <w:sz w:val="21"/>
                <w:szCs w:val="21"/>
                <w:highlight w:val="none"/>
              </w:rPr>
            </w:pPr>
            <w:r>
              <w:rPr>
                <w:rFonts w:ascii="Times New Roman" w:hAnsi="Times New Roman"/>
                <w:color w:val="auto"/>
                <w:sz w:val="21"/>
                <w:szCs w:val="21"/>
                <w:highlight w:val="none"/>
              </w:rPr>
              <w:t>评价基准年</w:t>
            </w:r>
          </w:p>
        </w:tc>
        <w:tc>
          <w:tcPr>
            <w:tcW w:w="6985" w:type="dxa"/>
            <w:gridSpan w:val="18"/>
            <w:shd w:val="clear" w:color="auto" w:fill="auto"/>
            <w:vAlign w:val="center"/>
          </w:tcPr>
          <w:p w14:paraId="65895EF4">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olor w:val="auto"/>
                <w:sz w:val="21"/>
                <w:szCs w:val="21"/>
                <w:highlight w:val="none"/>
              </w:rPr>
            </w:pPr>
            <w:r>
              <w:rPr>
                <w:rFonts w:ascii="Times New Roman" w:hAnsi="Times New Roman"/>
                <w:color w:val="auto"/>
                <w:sz w:val="21"/>
                <w:szCs w:val="21"/>
                <w:highlight w:val="none"/>
              </w:rPr>
              <w:t>（</w:t>
            </w:r>
            <w:r>
              <w:rPr>
                <w:rFonts w:ascii="Times New Roman" w:hAnsi="Times New Roman"/>
                <w:color w:val="auto"/>
                <w:sz w:val="21"/>
                <w:szCs w:val="21"/>
                <w:highlight w:val="none"/>
              </w:rPr>
              <w:t>20</w:t>
            </w:r>
            <w:r>
              <w:rPr>
                <w:rFonts w:hint="eastAsia" w:ascii="Times New Roman" w:hAnsi="Times New Roman"/>
                <w:color w:val="auto"/>
                <w:sz w:val="21"/>
                <w:szCs w:val="21"/>
                <w:highlight w:val="none"/>
              </w:rPr>
              <w:t>2</w:t>
            </w:r>
            <w:r>
              <w:rPr>
                <w:rFonts w:hint="eastAsia" w:ascii="Times New Roman" w:hAnsi="Times New Roman"/>
                <w:color w:val="auto"/>
                <w:sz w:val="21"/>
                <w:szCs w:val="21"/>
                <w:highlight w:val="none"/>
                <w:lang w:val="en-US" w:eastAsia="zh-CN"/>
              </w:rPr>
              <w:t>3</w:t>
            </w:r>
            <w:r>
              <w:rPr>
                <w:rFonts w:ascii="Times New Roman" w:hAnsi="Times New Roman"/>
                <w:color w:val="auto"/>
                <w:sz w:val="21"/>
                <w:szCs w:val="21"/>
                <w:highlight w:val="none"/>
              </w:rPr>
              <w:t>）年</w:t>
            </w:r>
          </w:p>
        </w:tc>
      </w:tr>
      <w:tr w14:paraId="0CDDBD7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1" w:hRule="atLeast"/>
          <w:jc w:val="center"/>
        </w:trPr>
        <w:tc>
          <w:tcPr>
            <w:tcW w:w="694" w:type="dxa"/>
            <w:vMerge w:val="continue"/>
            <w:shd w:val="clear" w:color="auto" w:fill="auto"/>
            <w:vAlign w:val="center"/>
          </w:tcPr>
          <w:p w14:paraId="13CF496D">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olor w:val="auto"/>
                <w:sz w:val="21"/>
                <w:szCs w:val="21"/>
                <w:highlight w:val="none"/>
              </w:rPr>
            </w:pPr>
          </w:p>
        </w:tc>
        <w:tc>
          <w:tcPr>
            <w:tcW w:w="1393" w:type="dxa"/>
            <w:shd w:val="clear" w:color="auto" w:fill="auto"/>
            <w:vAlign w:val="center"/>
          </w:tcPr>
          <w:p w14:paraId="601AB530">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olor w:val="auto"/>
                <w:sz w:val="21"/>
                <w:szCs w:val="21"/>
                <w:highlight w:val="none"/>
              </w:rPr>
            </w:pPr>
            <w:r>
              <w:rPr>
                <w:rFonts w:ascii="Times New Roman" w:hAnsi="Times New Roman"/>
                <w:color w:val="auto"/>
                <w:sz w:val="21"/>
                <w:szCs w:val="21"/>
                <w:highlight w:val="none"/>
              </w:rPr>
              <w:t>环境空气质量现状调查数据来源</w:t>
            </w:r>
          </w:p>
        </w:tc>
        <w:tc>
          <w:tcPr>
            <w:tcW w:w="2009" w:type="dxa"/>
            <w:gridSpan w:val="5"/>
            <w:shd w:val="clear" w:color="auto" w:fill="auto"/>
            <w:vAlign w:val="center"/>
          </w:tcPr>
          <w:p w14:paraId="43262D1B">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olor w:val="auto"/>
                <w:sz w:val="21"/>
                <w:szCs w:val="21"/>
                <w:highlight w:val="none"/>
              </w:rPr>
            </w:pPr>
            <w:r>
              <w:rPr>
                <w:rFonts w:ascii="Times New Roman" w:hAnsi="Times New Roman"/>
                <w:color w:val="auto"/>
                <w:sz w:val="21"/>
                <w:szCs w:val="21"/>
                <w:highlight w:val="none"/>
              </w:rPr>
              <w:t>长期例行监测数据□</w:t>
            </w:r>
          </w:p>
        </w:tc>
        <w:tc>
          <w:tcPr>
            <w:tcW w:w="1701" w:type="dxa"/>
            <w:gridSpan w:val="4"/>
            <w:shd w:val="clear" w:color="auto" w:fill="auto"/>
            <w:vAlign w:val="center"/>
          </w:tcPr>
          <w:p w14:paraId="513C5282">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olor w:val="auto"/>
                <w:sz w:val="21"/>
                <w:szCs w:val="21"/>
                <w:highlight w:val="none"/>
              </w:rPr>
            </w:pPr>
            <w:r>
              <w:rPr>
                <w:rFonts w:ascii="Times New Roman" w:hAnsi="Times New Roman"/>
                <w:color w:val="auto"/>
                <w:sz w:val="21"/>
                <w:szCs w:val="21"/>
                <w:highlight w:val="none"/>
              </w:rPr>
              <w:t>主管部门发布的数据</w:t>
            </w:r>
            <w:r>
              <w:rPr>
                <w:rFonts w:ascii="Times New Roman" w:hAnsi="Times New Roman"/>
                <w:color w:val="auto"/>
                <w:sz w:val="21"/>
                <w:szCs w:val="21"/>
                <w:highlight w:val="none"/>
              </w:rPr>
              <w:sym w:font="Wingdings 2" w:char="0052"/>
            </w:r>
          </w:p>
        </w:tc>
        <w:tc>
          <w:tcPr>
            <w:tcW w:w="3275" w:type="dxa"/>
            <w:gridSpan w:val="9"/>
            <w:shd w:val="clear" w:color="auto" w:fill="auto"/>
            <w:vAlign w:val="center"/>
          </w:tcPr>
          <w:p w14:paraId="541131B9">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olor w:val="auto"/>
                <w:sz w:val="21"/>
                <w:szCs w:val="21"/>
                <w:highlight w:val="none"/>
              </w:rPr>
            </w:pPr>
            <w:r>
              <w:rPr>
                <w:rFonts w:ascii="Times New Roman" w:hAnsi="Times New Roman"/>
                <w:color w:val="auto"/>
                <w:sz w:val="21"/>
                <w:szCs w:val="21"/>
                <w:highlight w:val="none"/>
              </w:rPr>
              <w:t>现状补充监测</w:t>
            </w:r>
            <w:r>
              <w:rPr>
                <w:rFonts w:ascii="Times New Roman" w:hAnsi="Times New Roman"/>
                <w:color w:val="auto"/>
                <w:sz w:val="21"/>
                <w:szCs w:val="21"/>
                <w:highlight w:val="none"/>
              </w:rPr>
              <w:sym w:font="Wingdings 2" w:char="0052"/>
            </w:r>
          </w:p>
        </w:tc>
      </w:tr>
      <w:tr w14:paraId="2A6586A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1" w:hRule="atLeast"/>
          <w:jc w:val="center"/>
        </w:trPr>
        <w:tc>
          <w:tcPr>
            <w:tcW w:w="694" w:type="dxa"/>
            <w:vMerge w:val="continue"/>
            <w:shd w:val="clear" w:color="auto" w:fill="auto"/>
            <w:vAlign w:val="center"/>
          </w:tcPr>
          <w:p w14:paraId="778AC0AF">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olor w:val="auto"/>
                <w:sz w:val="21"/>
                <w:szCs w:val="21"/>
                <w:highlight w:val="none"/>
              </w:rPr>
            </w:pPr>
          </w:p>
        </w:tc>
        <w:tc>
          <w:tcPr>
            <w:tcW w:w="1393" w:type="dxa"/>
            <w:shd w:val="clear" w:color="auto" w:fill="auto"/>
            <w:vAlign w:val="center"/>
          </w:tcPr>
          <w:p w14:paraId="6319EFBB">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olor w:val="auto"/>
                <w:sz w:val="21"/>
                <w:szCs w:val="21"/>
                <w:highlight w:val="none"/>
              </w:rPr>
            </w:pPr>
            <w:r>
              <w:rPr>
                <w:rFonts w:ascii="Times New Roman" w:hAnsi="Times New Roman"/>
                <w:color w:val="auto"/>
                <w:sz w:val="21"/>
                <w:szCs w:val="21"/>
                <w:highlight w:val="none"/>
              </w:rPr>
              <w:t>现状评价</w:t>
            </w:r>
          </w:p>
        </w:tc>
        <w:tc>
          <w:tcPr>
            <w:tcW w:w="3710" w:type="dxa"/>
            <w:gridSpan w:val="9"/>
            <w:shd w:val="clear" w:color="auto" w:fill="auto"/>
            <w:vAlign w:val="center"/>
          </w:tcPr>
          <w:p w14:paraId="58E8D414">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olor w:val="auto"/>
                <w:sz w:val="21"/>
                <w:szCs w:val="21"/>
                <w:highlight w:val="none"/>
              </w:rPr>
            </w:pPr>
            <w:r>
              <w:rPr>
                <w:rFonts w:ascii="Times New Roman" w:hAnsi="Times New Roman"/>
                <w:color w:val="auto"/>
                <w:sz w:val="21"/>
                <w:szCs w:val="21"/>
                <w:highlight w:val="none"/>
              </w:rPr>
              <w:t>达标区□</w:t>
            </w:r>
          </w:p>
        </w:tc>
        <w:tc>
          <w:tcPr>
            <w:tcW w:w="3275" w:type="dxa"/>
            <w:gridSpan w:val="9"/>
            <w:shd w:val="clear" w:color="auto" w:fill="auto"/>
            <w:vAlign w:val="center"/>
          </w:tcPr>
          <w:p w14:paraId="488282F2">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olor w:val="auto"/>
                <w:sz w:val="21"/>
                <w:szCs w:val="21"/>
                <w:highlight w:val="none"/>
              </w:rPr>
            </w:pPr>
            <w:r>
              <w:rPr>
                <w:rFonts w:ascii="Times New Roman" w:hAnsi="Times New Roman"/>
                <w:color w:val="auto"/>
                <w:sz w:val="21"/>
                <w:szCs w:val="21"/>
                <w:highlight w:val="none"/>
              </w:rPr>
              <w:t>不达标区</w:t>
            </w:r>
            <w:r>
              <w:rPr>
                <w:rFonts w:ascii="Times New Roman" w:hAnsi="Times New Roman"/>
                <w:color w:val="auto"/>
                <w:sz w:val="21"/>
                <w:szCs w:val="21"/>
                <w:highlight w:val="none"/>
              </w:rPr>
              <w:sym w:font="Wingdings 2" w:char="0052"/>
            </w:r>
          </w:p>
        </w:tc>
      </w:tr>
      <w:tr w14:paraId="6A49A4C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1" w:hRule="atLeast"/>
          <w:jc w:val="center"/>
        </w:trPr>
        <w:tc>
          <w:tcPr>
            <w:tcW w:w="694" w:type="dxa"/>
            <w:shd w:val="clear" w:color="auto" w:fill="auto"/>
            <w:vAlign w:val="center"/>
          </w:tcPr>
          <w:p w14:paraId="29C05BDD">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olor w:val="auto"/>
                <w:sz w:val="21"/>
                <w:szCs w:val="21"/>
                <w:highlight w:val="none"/>
              </w:rPr>
            </w:pPr>
            <w:r>
              <w:rPr>
                <w:rFonts w:ascii="Times New Roman" w:hAnsi="Times New Roman"/>
                <w:color w:val="auto"/>
                <w:sz w:val="21"/>
                <w:szCs w:val="21"/>
                <w:highlight w:val="none"/>
              </w:rPr>
              <w:t>污染源</w:t>
            </w:r>
          </w:p>
          <w:p w14:paraId="0FAA2E4A">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olor w:val="auto"/>
                <w:sz w:val="21"/>
                <w:szCs w:val="21"/>
                <w:highlight w:val="none"/>
              </w:rPr>
            </w:pPr>
            <w:r>
              <w:rPr>
                <w:rFonts w:ascii="Times New Roman" w:hAnsi="Times New Roman"/>
                <w:color w:val="auto"/>
                <w:sz w:val="21"/>
                <w:szCs w:val="21"/>
                <w:highlight w:val="none"/>
              </w:rPr>
              <w:t>调查</w:t>
            </w:r>
          </w:p>
        </w:tc>
        <w:tc>
          <w:tcPr>
            <w:tcW w:w="1393" w:type="dxa"/>
            <w:shd w:val="clear" w:color="auto" w:fill="auto"/>
            <w:vAlign w:val="center"/>
          </w:tcPr>
          <w:p w14:paraId="7C2F8ED6">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olor w:val="auto"/>
                <w:sz w:val="21"/>
                <w:szCs w:val="21"/>
                <w:highlight w:val="none"/>
              </w:rPr>
            </w:pPr>
            <w:r>
              <w:rPr>
                <w:rFonts w:ascii="Times New Roman" w:hAnsi="Times New Roman"/>
                <w:color w:val="auto"/>
                <w:sz w:val="21"/>
                <w:szCs w:val="21"/>
                <w:highlight w:val="none"/>
              </w:rPr>
              <w:t>调查内容</w:t>
            </w:r>
          </w:p>
        </w:tc>
        <w:tc>
          <w:tcPr>
            <w:tcW w:w="2009" w:type="dxa"/>
            <w:gridSpan w:val="5"/>
            <w:shd w:val="clear" w:color="auto" w:fill="auto"/>
            <w:vAlign w:val="center"/>
          </w:tcPr>
          <w:p w14:paraId="10EEA3E9">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olor w:val="auto"/>
                <w:sz w:val="21"/>
                <w:szCs w:val="21"/>
                <w:highlight w:val="none"/>
              </w:rPr>
            </w:pPr>
            <w:r>
              <w:rPr>
                <w:rFonts w:ascii="Times New Roman" w:hAnsi="Times New Roman"/>
                <w:color w:val="auto"/>
                <w:sz w:val="21"/>
                <w:szCs w:val="21"/>
                <w:highlight w:val="none"/>
              </w:rPr>
              <w:t>本项目正常排放源</w:t>
            </w:r>
            <w:r>
              <w:rPr>
                <w:rFonts w:ascii="Times New Roman" w:hAnsi="Times New Roman"/>
                <w:color w:val="auto"/>
                <w:sz w:val="21"/>
                <w:szCs w:val="21"/>
                <w:highlight w:val="none"/>
              </w:rPr>
              <w:sym w:font="Wingdings 2" w:char="0052"/>
            </w:r>
          </w:p>
          <w:p w14:paraId="0B084E82">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olor w:val="auto"/>
                <w:sz w:val="21"/>
                <w:szCs w:val="21"/>
                <w:highlight w:val="none"/>
              </w:rPr>
            </w:pPr>
            <w:r>
              <w:rPr>
                <w:rFonts w:ascii="Times New Roman" w:hAnsi="Times New Roman"/>
                <w:color w:val="auto"/>
                <w:sz w:val="21"/>
                <w:szCs w:val="21"/>
                <w:highlight w:val="none"/>
              </w:rPr>
              <w:t>本项目非正常排放源</w:t>
            </w:r>
            <w:r>
              <w:rPr>
                <w:rFonts w:ascii="Times New Roman" w:hAnsi="Times New Roman"/>
                <w:color w:val="auto"/>
                <w:sz w:val="21"/>
                <w:szCs w:val="21"/>
                <w:highlight w:val="none"/>
              </w:rPr>
              <w:sym w:font="Wingdings 2" w:char="0052"/>
            </w:r>
          </w:p>
          <w:p w14:paraId="1BAC241A">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olor w:val="auto"/>
                <w:sz w:val="21"/>
                <w:szCs w:val="21"/>
                <w:highlight w:val="none"/>
              </w:rPr>
            </w:pPr>
            <w:r>
              <w:rPr>
                <w:rFonts w:ascii="Times New Roman" w:hAnsi="Times New Roman"/>
                <w:color w:val="auto"/>
                <w:sz w:val="21"/>
                <w:szCs w:val="21"/>
                <w:highlight w:val="none"/>
              </w:rPr>
              <w:t>现有污染源</w:t>
            </w:r>
            <w:r>
              <w:rPr>
                <w:rFonts w:ascii="Times New Roman" w:hAnsi="Times New Roman"/>
                <w:color w:val="auto"/>
                <w:sz w:val="21"/>
                <w:szCs w:val="21"/>
                <w:highlight w:val="none"/>
              </w:rPr>
              <w:sym w:font="Wingdings 2" w:char="0052"/>
            </w:r>
          </w:p>
        </w:tc>
        <w:tc>
          <w:tcPr>
            <w:tcW w:w="1701" w:type="dxa"/>
            <w:gridSpan w:val="4"/>
            <w:shd w:val="clear" w:color="auto" w:fill="auto"/>
            <w:vAlign w:val="center"/>
          </w:tcPr>
          <w:p w14:paraId="39CBBF38">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olor w:val="auto"/>
                <w:sz w:val="21"/>
                <w:szCs w:val="21"/>
                <w:highlight w:val="none"/>
              </w:rPr>
            </w:pPr>
            <w:r>
              <w:rPr>
                <w:rFonts w:ascii="Times New Roman" w:hAnsi="Times New Roman"/>
                <w:color w:val="auto"/>
                <w:sz w:val="21"/>
                <w:szCs w:val="21"/>
                <w:highlight w:val="none"/>
              </w:rPr>
              <w:t>拟替代的污染源□</w:t>
            </w:r>
          </w:p>
        </w:tc>
        <w:tc>
          <w:tcPr>
            <w:tcW w:w="1701" w:type="dxa"/>
            <w:gridSpan w:val="5"/>
            <w:shd w:val="clear" w:color="auto" w:fill="auto"/>
            <w:vAlign w:val="center"/>
          </w:tcPr>
          <w:p w14:paraId="3B7674BD">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olor w:val="auto"/>
                <w:sz w:val="21"/>
                <w:szCs w:val="21"/>
                <w:highlight w:val="none"/>
              </w:rPr>
            </w:pPr>
            <w:r>
              <w:rPr>
                <w:rFonts w:ascii="Times New Roman" w:hAnsi="Times New Roman"/>
                <w:color w:val="auto"/>
                <w:sz w:val="21"/>
                <w:szCs w:val="21"/>
                <w:highlight w:val="none"/>
              </w:rPr>
              <w:t>其他在建、拟建项目污染源□</w:t>
            </w:r>
          </w:p>
        </w:tc>
        <w:tc>
          <w:tcPr>
            <w:tcW w:w="1574" w:type="dxa"/>
            <w:gridSpan w:val="4"/>
            <w:shd w:val="clear" w:color="auto" w:fill="auto"/>
            <w:vAlign w:val="center"/>
          </w:tcPr>
          <w:p w14:paraId="484AFF3C">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olor w:val="auto"/>
                <w:sz w:val="21"/>
                <w:szCs w:val="21"/>
                <w:highlight w:val="none"/>
              </w:rPr>
            </w:pPr>
            <w:r>
              <w:rPr>
                <w:rFonts w:ascii="Times New Roman" w:hAnsi="Times New Roman"/>
                <w:color w:val="auto"/>
                <w:sz w:val="21"/>
                <w:szCs w:val="21"/>
                <w:highlight w:val="none"/>
              </w:rPr>
              <w:t>区域污染源□</w:t>
            </w:r>
          </w:p>
        </w:tc>
      </w:tr>
      <w:tr w14:paraId="2A335E3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1" w:hRule="atLeast"/>
          <w:jc w:val="center"/>
        </w:trPr>
        <w:tc>
          <w:tcPr>
            <w:tcW w:w="694" w:type="dxa"/>
            <w:vMerge w:val="restart"/>
            <w:shd w:val="clear" w:color="auto" w:fill="auto"/>
            <w:vAlign w:val="center"/>
          </w:tcPr>
          <w:p w14:paraId="7B472AF2">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olor w:val="auto"/>
                <w:sz w:val="21"/>
                <w:szCs w:val="21"/>
                <w:highlight w:val="none"/>
              </w:rPr>
            </w:pPr>
            <w:r>
              <w:rPr>
                <w:rFonts w:ascii="Times New Roman" w:hAnsi="Times New Roman"/>
                <w:color w:val="auto"/>
                <w:sz w:val="21"/>
                <w:szCs w:val="21"/>
                <w:highlight w:val="none"/>
              </w:rPr>
              <w:t>大气环境影响预测与评价</w:t>
            </w:r>
          </w:p>
        </w:tc>
        <w:tc>
          <w:tcPr>
            <w:tcW w:w="1393" w:type="dxa"/>
            <w:shd w:val="clear" w:color="auto" w:fill="auto"/>
            <w:vAlign w:val="center"/>
          </w:tcPr>
          <w:p w14:paraId="71A404A9">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olor w:val="auto"/>
                <w:sz w:val="21"/>
                <w:szCs w:val="21"/>
                <w:highlight w:val="none"/>
              </w:rPr>
            </w:pPr>
            <w:r>
              <w:rPr>
                <w:rFonts w:ascii="Times New Roman" w:hAnsi="Times New Roman"/>
                <w:color w:val="auto"/>
                <w:sz w:val="21"/>
                <w:szCs w:val="21"/>
                <w:highlight w:val="none"/>
              </w:rPr>
              <w:t>预测模型</w:t>
            </w:r>
          </w:p>
        </w:tc>
        <w:tc>
          <w:tcPr>
            <w:tcW w:w="1030" w:type="dxa"/>
            <w:gridSpan w:val="2"/>
            <w:shd w:val="clear" w:color="auto" w:fill="auto"/>
            <w:vAlign w:val="center"/>
          </w:tcPr>
          <w:p w14:paraId="04F1DFB9">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olor w:val="auto"/>
                <w:sz w:val="21"/>
                <w:szCs w:val="21"/>
                <w:highlight w:val="none"/>
              </w:rPr>
            </w:pPr>
            <w:r>
              <w:rPr>
                <w:rFonts w:ascii="Times New Roman" w:hAnsi="Times New Roman"/>
                <w:color w:val="auto"/>
                <w:sz w:val="21"/>
                <w:szCs w:val="21"/>
                <w:highlight w:val="none"/>
              </w:rPr>
              <w:t>AERMOD□</w:t>
            </w:r>
          </w:p>
        </w:tc>
        <w:tc>
          <w:tcPr>
            <w:tcW w:w="979" w:type="dxa"/>
            <w:gridSpan w:val="3"/>
            <w:shd w:val="clear" w:color="auto" w:fill="auto"/>
            <w:vAlign w:val="center"/>
          </w:tcPr>
          <w:p w14:paraId="0013967A">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olor w:val="auto"/>
                <w:sz w:val="21"/>
                <w:szCs w:val="21"/>
                <w:highlight w:val="none"/>
              </w:rPr>
            </w:pPr>
            <w:r>
              <w:rPr>
                <w:rFonts w:ascii="Times New Roman" w:hAnsi="Times New Roman"/>
                <w:color w:val="auto"/>
                <w:sz w:val="21"/>
                <w:szCs w:val="21"/>
                <w:highlight w:val="none"/>
              </w:rPr>
              <w:t>ADMS□</w:t>
            </w:r>
          </w:p>
        </w:tc>
        <w:tc>
          <w:tcPr>
            <w:tcW w:w="858" w:type="dxa"/>
            <w:gridSpan w:val="3"/>
            <w:shd w:val="clear" w:color="auto" w:fill="auto"/>
            <w:vAlign w:val="center"/>
          </w:tcPr>
          <w:p w14:paraId="3CB40167">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olor w:val="auto"/>
                <w:sz w:val="21"/>
                <w:szCs w:val="21"/>
                <w:highlight w:val="none"/>
              </w:rPr>
            </w:pPr>
            <w:r>
              <w:rPr>
                <w:rFonts w:ascii="Times New Roman" w:hAnsi="Times New Roman"/>
                <w:color w:val="auto"/>
                <w:sz w:val="21"/>
                <w:szCs w:val="21"/>
                <w:highlight w:val="none"/>
              </w:rPr>
              <w:t>AUSTAL2000□</w:t>
            </w:r>
          </w:p>
        </w:tc>
        <w:tc>
          <w:tcPr>
            <w:tcW w:w="1213" w:type="dxa"/>
            <w:gridSpan w:val="2"/>
            <w:shd w:val="clear" w:color="auto" w:fill="auto"/>
            <w:vAlign w:val="center"/>
          </w:tcPr>
          <w:p w14:paraId="43D02A79">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olor w:val="auto"/>
                <w:sz w:val="21"/>
                <w:szCs w:val="21"/>
                <w:highlight w:val="none"/>
              </w:rPr>
            </w:pPr>
            <w:r>
              <w:rPr>
                <w:rFonts w:ascii="Times New Roman" w:hAnsi="Times New Roman"/>
                <w:color w:val="auto"/>
                <w:sz w:val="21"/>
                <w:szCs w:val="21"/>
                <w:highlight w:val="none"/>
              </w:rPr>
              <w:t>EDMS/AEDT□</w:t>
            </w:r>
          </w:p>
        </w:tc>
        <w:tc>
          <w:tcPr>
            <w:tcW w:w="1002" w:type="dxa"/>
            <w:gridSpan w:val="3"/>
            <w:shd w:val="clear" w:color="auto" w:fill="auto"/>
            <w:vAlign w:val="center"/>
          </w:tcPr>
          <w:p w14:paraId="10DDBD42">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olor w:val="auto"/>
                <w:sz w:val="21"/>
                <w:szCs w:val="21"/>
                <w:highlight w:val="none"/>
              </w:rPr>
            </w:pPr>
            <w:r>
              <w:rPr>
                <w:rFonts w:ascii="Times New Roman" w:hAnsi="Times New Roman"/>
                <w:color w:val="auto"/>
                <w:sz w:val="21"/>
                <w:szCs w:val="21"/>
                <w:highlight w:val="none"/>
              </w:rPr>
              <w:t>CALPUFF□</w:t>
            </w:r>
          </w:p>
        </w:tc>
        <w:tc>
          <w:tcPr>
            <w:tcW w:w="963" w:type="dxa"/>
            <w:gridSpan w:val="4"/>
            <w:shd w:val="clear" w:color="auto" w:fill="auto"/>
            <w:vAlign w:val="center"/>
          </w:tcPr>
          <w:p w14:paraId="63D3183C">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olor w:val="auto"/>
                <w:sz w:val="21"/>
                <w:szCs w:val="21"/>
                <w:highlight w:val="none"/>
              </w:rPr>
            </w:pPr>
            <w:r>
              <w:rPr>
                <w:rFonts w:ascii="Times New Roman" w:hAnsi="Times New Roman"/>
                <w:color w:val="auto"/>
                <w:sz w:val="21"/>
                <w:szCs w:val="21"/>
                <w:highlight w:val="none"/>
              </w:rPr>
              <w:t>网格模型□</w:t>
            </w:r>
          </w:p>
        </w:tc>
        <w:tc>
          <w:tcPr>
            <w:tcW w:w="940" w:type="dxa"/>
            <w:shd w:val="clear" w:color="auto" w:fill="auto"/>
            <w:vAlign w:val="center"/>
          </w:tcPr>
          <w:p w14:paraId="360E8CF9">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olor w:val="auto"/>
                <w:sz w:val="21"/>
                <w:szCs w:val="21"/>
                <w:highlight w:val="none"/>
              </w:rPr>
            </w:pPr>
            <w:r>
              <w:rPr>
                <w:rFonts w:ascii="Times New Roman" w:hAnsi="Times New Roman"/>
                <w:color w:val="auto"/>
                <w:sz w:val="21"/>
                <w:szCs w:val="21"/>
                <w:highlight w:val="none"/>
              </w:rPr>
              <w:t>其他</w:t>
            </w:r>
            <w:r>
              <w:rPr>
                <w:rFonts w:ascii="Times New Roman" w:hAnsi="Times New Roman"/>
                <w:color w:val="auto"/>
                <w:sz w:val="21"/>
                <w:szCs w:val="21"/>
                <w:highlight w:val="none"/>
              </w:rPr>
              <w:sym w:font="Wingdings 2" w:char="0052"/>
            </w:r>
          </w:p>
        </w:tc>
      </w:tr>
      <w:tr w14:paraId="020CBC5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1" w:hRule="atLeast"/>
          <w:jc w:val="center"/>
        </w:trPr>
        <w:tc>
          <w:tcPr>
            <w:tcW w:w="694" w:type="dxa"/>
            <w:vMerge w:val="continue"/>
            <w:shd w:val="clear" w:color="auto" w:fill="auto"/>
            <w:vAlign w:val="center"/>
          </w:tcPr>
          <w:p w14:paraId="3D32A316">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olor w:val="auto"/>
                <w:sz w:val="21"/>
                <w:szCs w:val="21"/>
                <w:highlight w:val="none"/>
              </w:rPr>
            </w:pPr>
          </w:p>
        </w:tc>
        <w:tc>
          <w:tcPr>
            <w:tcW w:w="1393" w:type="dxa"/>
            <w:shd w:val="clear" w:color="auto" w:fill="auto"/>
            <w:vAlign w:val="center"/>
          </w:tcPr>
          <w:p w14:paraId="27B904C3">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olor w:val="auto"/>
                <w:sz w:val="21"/>
                <w:szCs w:val="21"/>
                <w:highlight w:val="none"/>
              </w:rPr>
            </w:pPr>
            <w:r>
              <w:rPr>
                <w:rFonts w:ascii="Times New Roman" w:hAnsi="Times New Roman"/>
                <w:color w:val="auto"/>
                <w:sz w:val="21"/>
                <w:szCs w:val="21"/>
                <w:highlight w:val="none"/>
              </w:rPr>
              <w:t>预测范围</w:t>
            </w:r>
          </w:p>
        </w:tc>
        <w:tc>
          <w:tcPr>
            <w:tcW w:w="2009" w:type="dxa"/>
            <w:gridSpan w:val="5"/>
            <w:shd w:val="clear" w:color="auto" w:fill="auto"/>
            <w:vAlign w:val="center"/>
          </w:tcPr>
          <w:p w14:paraId="0F838483">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olor w:val="auto"/>
                <w:sz w:val="21"/>
                <w:szCs w:val="21"/>
                <w:highlight w:val="none"/>
              </w:rPr>
            </w:pPr>
            <w:r>
              <w:rPr>
                <w:rFonts w:ascii="Times New Roman" w:hAnsi="Times New Roman"/>
                <w:color w:val="auto"/>
                <w:sz w:val="21"/>
                <w:szCs w:val="21"/>
                <w:highlight w:val="none"/>
              </w:rPr>
              <w:t>边长≥50km□</w:t>
            </w:r>
          </w:p>
        </w:tc>
        <w:tc>
          <w:tcPr>
            <w:tcW w:w="1701" w:type="dxa"/>
            <w:gridSpan w:val="4"/>
            <w:shd w:val="clear" w:color="auto" w:fill="auto"/>
            <w:vAlign w:val="center"/>
          </w:tcPr>
          <w:p w14:paraId="107BEF2F">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olor w:val="auto"/>
                <w:sz w:val="21"/>
                <w:szCs w:val="21"/>
                <w:highlight w:val="none"/>
              </w:rPr>
            </w:pPr>
            <w:r>
              <w:rPr>
                <w:rFonts w:ascii="Times New Roman" w:hAnsi="Times New Roman"/>
                <w:color w:val="auto"/>
                <w:sz w:val="21"/>
                <w:szCs w:val="21"/>
                <w:highlight w:val="none"/>
              </w:rPr>
              <w:t>边长5~50km□</w:t>
            </w:r>
          </w:p>
        </w:tc>
        <w:tc>
          <w:tcPr>
            <w:tcW w:w="3275" w:type="dxa"/>
            <w:gridSpan w:val="9"/>
            <w:shd w:val="clear" w:color="auto" w:fill="auto"/>
            <w:vAlign w:val="center"/>
          </w:tcPr>
          <w:p w14:paraId="327B6FED">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olor w:val="auto"/>
                <w:sz w:val="21"/>
                <w:szCs w:val="21"/>
                <w:highlight w:val="none"/>
              </w:rPr>
            </w:pPr>
            <w:r>
              <w:rPr>
                <w:rFonts w:ascii="Times New Roman" w:hAnsi="Times New Roman"/>
                <w:color w:val="auto"/>
                <w:sz w:val="21"/>
                <w:szCs w:val="21"/>
                <w:highlight w:val="none"/>
              </w:rPr>
              <w:t>边长=5km</w:t>
            </w:r>
            <w:r>
              <w:rPr>
                <w:rFonts w:ascii="Times New Roman" w:hAnsi="Times New Roman"/>
                <w:color w:val="auto"/>
                <w:sz w:val="21"/>
                <w:szCs w:val="21"/>
                <w:highlight w:val="none"/>
              </w:rPr>
              <w:sym w:font="Wingdings 2" w:char="00A3"/>
            </w:r>
          </w:p>
        </w:tc>
      </w:tr>
      <w:tr w14:paraId="1ABCEFF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1" w:hRule="atLeast"/>
          <w:jc w:val="center"/>
        </w:trPr>
        <w:tc>
          <w:tcPr>
            <w:tcW w:w="694" w:type="dxa"/>
            <w:vMerge w:val="continue"/>
            <w:shd w:val="clear" w:color="auto" w:fill="auto"/>
            <w:vAlign w:val="center"/>
          </w:tcPr>
          <w:p w14:paraId="7491598B">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olor w:val="auto"/>
                <w:sz w:val="21"/>
                <w:szCs w:val="21"/>
                <w:highlight w:val="none"/>
              </w:rPr>
            </w:pPr>
          </w:p>
        </w:tc>
        <w:tc>
          <w:tcPr>
            <w:tcW w:w="1393" w:type="dxa"/>
            <w:shd w:val="clear" w:color="auto" w:fill="auto"/>
            <w:vAlign w:val="center"/>
          </w:tcPr>
          <w:p w14:paraId="3A41CE5E">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olor w:val="auto"/>
                <w:sz w:val="21"/>
                <w:szCs w:val="21"/>
                <w:highlight w:val="none"/>
              </w:rPr>
            </w:pPr>
            <w:r>
              <w:rPr>
                <w:rFonts w:ascii="Times New Roman" w:hAnsi="Times New Roman"/>
                <w:color w:val="auto"/>
                <w:sz w:val="21"/>
                <w:szCs w:val="21"/>
                <w:highlight w:val="none"/>
              </w:rPr>
              <w:t>预测因子</w:t>
            </w:r>
          </w:p>
        </w:tc>
        <w:tc>
          <w:tcPr>
            <w:tcW w:w="3710" w:type="dxa"/>
            <w:gridSpan w:val="9"/>
            <w:shd w:val="clear" w:color="auto" w:fill="auto"/>
            <w:vAlign w:val="center"/>
          </w:tcPr>
          <w:p w14:paraId="54583DD6">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olor w:val="auto"/>
                <w:sz w:val="21"/>
                <w:szCs w:val="21"/>
                <w:highlight w:val="none"/>
              </w:rPr>
            </w:pPr>
            <w:r>
              <w:rPr>
                <w:rFonts w:ascii="Times New Roman" w:hAnsi="Times New Roman"/>
                <w:color w:val="auto"/>
                <w:sz w:val="21"/>
                <w:szCs w:val="21"/>
                <w:highlight w:val="none"/>
              </w:rPr>
              <w:t>预测因子（</w:t>
            </w:r>
            <w:r>
              <w:rPr>
                <w:rFonts w:hint="eastAsia" w:ascii="Times New Roman" w:hAnsi="Times New Roman"/>
                <w:color w:val="auto"/>
                <w:sz w:val="21"/>
                <w:szCs w:val="21"/>
                <w:highlight w:val="none"/>
              </w:rPr>
              <w:t>非甲烷总烃</w:t>
            </w:r>
            <w:r>
              <w:rPr>
                <w:rFonts w:hint="eastAsia" w:eastAsia="宋体"/>
                <w:color w:val="auto"/>
                <w:sz w:val="21"/>
                <w:szCs w:val="21"/>
                <w:highlight w:val="none"/>
                <w:lang w:val="en-US"/>
              </w:rPr>
              <w:t>、甲醇、氮氧化物</w:t>
            </w:r>
            <w:r>
              <w:rPr>
                <w:rFonts w:ascii="Times New Roman" w:hAnsi="Times New Roman"/>
                <w:color w:val="auto"/>
                <w:sz w:val="21"/>
                <w:szCs w:val="21"/>
                <w:highlight w:val="none"/>
              </w:rPr>
              <w:t>）</w:t>
            </w:r>
          </w:p>
        </w:tc>
        <w:tc>
          <w:tcPr>
            <w:tcW w:w="3275" w:type="dxa"/>
            <w:gridSpan w:val="9"/>
            <w:shd w:val="clear" w:color="auto" w:fill="auto"/>
            <w:vAlign w:val="center"/>
          </w:tcPr>
          <w:p w14:paraId="710470B9">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b/>
                <w:color w:val="auto"/>
                <w:sz w:val="21"/>
                <w:szCs w:val="21"/>
                <w:highlight w:val="none"/>
              </w:rPr>
            </w:pPr>
            <w:r>
              <w:rPr>
                <w:rFonts w:ascii="Times New Roman" w:hAnsi="Times New Roman"/>
                <w:color w:val="auto"/>
                <w:sz w:val="21"/>
                <w:szCs w:val="21"/>
                <w:highlight w:val="none"/>
              </w:rPr>
              <w:t>包括二次PM2.5</w:t>
            </w:r>
            <w:r>
              <w:rPr>
                <w:rFonts w:ascii="Times New Roman" w:hAnsi="Times New Roman"/>
                <w:color w:val="auto"/>
                <w:sz w:val="21"/>
                <w:szCs w:val="21"/>
                <w:highlight w:val="none"/>
              </w:rPr>
              <w:sym w:font="Wingdings 2" w:char="00A3"/>
            </w:r>
          </w:p>
          <w:p w14:paraId="313231DA">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olor w:val="auto"/>
                <w:sz w:val="21"/>
                <w:szCs w:val="21"/>
                <w:highlight w:val="none"/>
              </w:rPr>
            </w:pPr>
            <w:r>
              <w:rPr>
                <w:rFonts w:ascii="Times New Roman" w:hAnsi="Times New Roman"/>
                <w:color w:val="auto"/>
                <w:sz w:val="21"/>
                <w:szCs w:val="21"/>
                <w:highlight w:val="none"/>
              </w:rPr>
              <w:t>不包括二次PM2.5</w:t>
            </w:r>
            <w:r>
              <w:rPr>
                <w:rFonts w:ascii="Times New Roman" w:hAnsi="Times New Roman"/>
                <w:color w:val="auto"/>
                <w:sz w:val="21"/>
                <w:szCs w:val="21"/>
                <w:highlight w:val="none"/>
              </w:rPr>
              <w:sym w:font="Wingdings 2" w:char="0052"/>
            </w:r>
          </w:p>
        </w:tc>
      </w:tr>
      <w:tr w14:paraId="6A4806D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1" w:hRule="atLeast"/>
          <w:jc w:val="center"/>
        </w:trPr>
        <w:tc>
          <w:tcPr>
            <w:tcW w:w="694" w:type="dxa"/>
            <w:vMerge w:val="continue"/>
            <w:shd w:val="clear" w:color="auto" w:fill="auto"/>
            <w:vAlign w:val="center"/>
          </w:tcPr>
          <w:p w14:paraId="7E236FA2">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olor w:val="auto"/>
                <w:sz w:val="21"/>
                <w:szCs w:val="21"/>
                <w:highlight w:val="none"/>
              </w:rPr>
            </w:pPr>
          </w:p>
        </w:tc>
        <w:tc>
          <w:tcPr>
            <w:tcW w:w="1393" w:type="dxa"/>
            <w:shd w:val="clear" w:color="auto" w:fill="auto"/>
            <w:vAlign w:val="center"/>
          </w:tcPr>
          <w:p w14:paraId="0C3229B9">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olor w:val="auto"/>
                <w:sz w:val="21"/>
                <w:szCs w:val="21"/>
                <w:highlight w:val="none"/>
              </w:rPr>
            </w:pPr>
            <w:r>
              <w:rPr>
                <w:rFonts w:ascii="Times New Roman" w:hAnsi="Times New Roman"/>
                <w:color w:val="auto"/>
                <w:sz w:val="21"/>
                <w:szCs w:val="21"/>
                <w:highlight w:val="none"/>
              </w:rPr>
              <w:t>正常排放短期浓度贡献值</w:t>
            </w:r>
          </w:p>
        </w:tc>
        <w:tc>
          <w:tcPr>
            <w:tcW w:w="3710" w:type="dxa"/>
            <w:gridSpan w:val="9"/>
            <w:shd w:val="clear" w:color="auto" w:fill="auto"/>
            <w:vAlign w:val="center"/>
          </w:tcPr>
          <w:p w14:paraId="6EA6B9DC">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olor w:val="auto"/>
                <w:sz w:val="21"/>
                <w:szCs w:val="21"/>
                <w:highlight w:val="none"/>
              </w:rPr>
            </w:pPr>
            <w:r>
              <w:rPr>
                <w:rFonts w:ascii="Times New Roman" w:hAnsi="Times New Roman"/>
                <w:color w:val="auto"/>
                <w:sz w:val="21"/>
                <w:szCs w:val="21"/>
                <w:highlight w:val="none"/>
              </w:rPr>
              <w:t>C</w:t>
            </w:r>
            <w:r>
              <w:rPr>
                <w:rFonts w:ascii="Times New Roman" w:hAnsi="Times New Roman"/>
                <w:color w:val="auto"/>
                <w:sz w:val="21"/>
                <w:szCs w:val="21"/>
                <w:highlight w:val="none"/>
                <w:vertAlign w:val="subscript"/>
              </w:rPr>
              <w:t>本项目</w:t>
            </w:r>
            <w:r>
              <w:rPr>
                <w:rFonts w:ascii="Times New Roman" w:hAnsi="Times New Roman"/>
                <w:color w:val="auto"/>
                <w:sz w:val="21"/>
                <w:szCs w:val="21"/>
                <w:highlight w:val="none"/>
              </w:rPr>
              <w:t>最大占标率≤100%</w:t>
            </w:r>
            <w:r>
              <w:rPr>
                <w:rFonts w:ascii="Times New Roman" w:hAnsi="Times New Roman"/>
                <w:color w:val="auto"/>
                <w:sz w:val="21"/>
                <w:szCs w:val="21"/>
                <w:highlight w:val="none"/>
              </w:rPr>
              <w:sym w:font="Wingdings 2" w:char="0052"/>
            </w:r>
          </w:p>
        </w:tc>
        <w:tc>
          <w:tcPr>
            <w:tcW w:w="3275" w:type="dxa"/>
            <w:gridSpan w:val="9"/>
            <w:shd w:val="clear" w:color="auto" w:fill="auto"/>
            <w:vAlign w:val="center"/>
          </w:tcPr>
          <w:p w14:paraId="3CE8DDB1">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olor w:val="auto"/>
                <w:sz w:val="21"/>
                <w:szCs w:val="21"/>
                <w:highlight w:val="none"/>
              </w:rPr>
            </w:pPr>
            <w:r>
              <w:rPr>
                <w:rFonts w:ascii="Times New Roman" w:hAnsi="Times New Roman"/>
                <w:color w:val="auto"/>
                <w:sz w:val="21"/>
                <w:szCs w:val="21"/>
                <w:highlight w:val="none"/>
              </w:rPr>
              <w:t>C</w:t>
            </w:r>
            <w:r>
              <w:rPr>
                <w:rFonts w:ascii="Times New Roman" w:hAnsi="Times New Roman"/>
                <w:color w:val="auto"/>
                <w:sz w:val="21"/>
                <w:szCs w:val="21"/>
                <w:highlight w:val="none"/>
                <w:vertAlign w:val="subscript"/>
              </w:rPr>
              <w:t>本项目</w:t>
            </w:r>
            <w:r>
              <w:rPr>
                <w:rFonts w:ascii="Times New Roman" w:hAnsi="Times New Roman"/>
                <w:color w:val="auto"/>
                <w:sz w:val="21"/>
                <w:szCs w:val="21"/>
                <w:highlight w:val="none"/>
              </w:rPr>
              <w:t>最大占标率＞100%□</w:t>
            </w:r>
          </w:p>
        </w:tc>
      </w:tr>
      <w:tr w14:paraId="15EFEC3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1" w:hRule="atLeast"/>
          <w:jc w:val="center"/>
        </w:trPr>
        <w:tc>
          <w:tcPr>
            <w:tcW w:w="694" w:type="dxa"/>
            <w:vMerge w:val="continue"/>
            <w:shd w:val="clear" w:color="auto" w:fill="auto"/>
            <w:vAlign w:val="center"/>
          </w:tcPr>
          <w:p w14:paraId="1012BBBE">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olor w:val="auto"/>
                <w:sz w:val="21"/>
                <w:szCs w:val="21"/>
                <w:highlight w:val="none"/>
              </w:rPr>
            </w:pPr>
          </w:p>
        </w:tc>
        <w:tc>
          <w:tcPr>
            <w:tcW w:w="1393" w:type="dxa"/>
            <w:vMerge w:val="restart"/>
            <w:shd w:val="clear" w:color="auto" w:fill="auto"/>
            <w:vAlign w:val="center"/>
          </w:tcPr>
          <w:p w14:paraId="1E90ADB0">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olor w:val="auto"/>
                <w:sz w:val="21"/>
                <w:szCs w:val="21"/>
                <w:highlight w:val="none"/>
              </w:rPr>
            </w:pPr>
            <w:r>
              <w:rPr>
                <w:rFonts w:ascii="Times New Roman" w:hAnsi="Times New Roman"/>
                <w:color w:val="auto"/>
                <w:sz w:val="21"/>
                <w:szCs w:val="21"/>
                <w:highlight w:val="none"/>
              </w:rPr>
              <w:t>正常排放年均浓度贡献值</w:t>
            </w:r>
          </w:p>
        </w:tc>
        <w:tc>
          <w:tcPr>
            <w:tcW w:w="950" w:type="dxa"/>
            <w:shd w:val="clear" w:color="auto" w:fill="auto"/>
            <w:vAlign w:val="center"/>
          </w:tcPr>
          <w:p w14:paraId="42D287E6">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olor w:val="auto"/>
                <w:sz w:val="21"/>
                <w:szCs w:val="21"/>
                <w:highlight w:val="none"/>
              </w:rPr>
            </w:pPr>
            <w:r>
              <w:rPr>
                <w:rFonts w:ascii="Times New Roman" w:hAnsi="Times New Roman"/>
                <w:color w:val="auto"/>
                <w:sz w:val="21"/>
                <w:szCs w:val="21"/>
                <w:highlight w:val="none"/>
              </w:rPr>
              <w:t>一类区</w:t>
            </w:r>
          </w:p>
        </w:tc>
        <w:tc>
          <w:tcPr>
            <w:tcW w:w="2760" w:type="dxa"/>
            <w:gridSpan w:val="8"/>
            <w:shd w:val="clear" w:color="auto" w:fill="auto"/>
            <w:vAlign w:val="center"/>
          </w:tcPr>
          <w:p w14:paraId="373E71BC">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olor w:val="auto"/>
                <w:sz w:val="21"/>
                <w:szCs w:val="21"/>
                <w:highlight w:val="none"/>
              </w:rPr>
            </w:pPr>
            <w:r>
              <w:rPr>
                <w:rFonts w:ascii="Times New Roman" w:hAnsi="Times New Roman"/>
                <w:color w:val="auto"/>
                <w:sz w:val="21"/>
                <w:szCs w:val="21"/>
                <w:highlight w:val="none"/>
              </w:rPr>
              <w:t>C</w:t>
            </w:r>
            <w:r>
              <w:rPr>
                <w:rFonts w:ascii="Times New Roman" w:hAnsi="Times New Roman"/>
                <w:color w:val="auto"/>
                <w:sz w:val="21"/>
                <w:szCs w:val="21"/>
                <w:highlight w:val="none"/>
                <w:vertAlign w:val="subscript"/>
              </w:rPr>
              <w:t>本项目</w:t>
            </w:r>
            <w:r>
              <w:rPr>
                <w:rFonts w:ascii="Times New Roman" w:hAnsi="Times New Roman"/>
                <w:color w:val="auto"/>
                <w:sz w:val="21"/>
                <w:szCs w:val="21"/>
                <w:highlight w:val="none"/>
              </w:rPr>
              <w:t>最大占标率≤10%□</w:t>
            </w:r>
          </w:p>
        </w:tc>
        <w:tc>
          <w:tcPr>
            <w:tcW w:w="3275" w:type="dxa"/>
            <w:gridSpan w:val="9"/>
            <w:shd w:val="clear" w:color="auto" w:fill="auto"/>
            <w:vAlign w:val="center"/>
          </w:tcPr>
          <w:p w14:paraId="1F4E9A18">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olor w:val="auto"/>
                <w:sz w:val="21"/>
                <w:szCs w:val="21"/>
                <w:highlight w:val="none"/>
              </w:rPr>
            </w:pPr>
            <w:r>
              <w:rPr>
                <w:rFonts w:ascii="Times New Roman" w:hAnsi="Times New Roman"/>
                <w:color w:val="auto"/>
                <w:sz w:val="21"/>
                <w:szCs w:val="21"/>
                <w:highlight w:val="none"/>
              </w:rPr>
              <w:t>C</w:t>
            </w:r>
            <w:r>
              <w:rPr>
                <w:rFonts w:ascii="Times New Roman" w:hAnsi="Times New Roman"/>
                <w:color w:val="auto"/>
                <w:sz w:val="21"/>
                <w:szCs w:val="21"/>
                <w:highlight w:val="none"/>
                <w:vertAlign w:val="subscript"/>
              </w:rPr>
              <w:t>本项目</w:t>
            </w:r>
            <w:r>
              <w:rPr>
                <w:rFonts w:ascii="Times New Roman" w:hAnsi="Times New Roman"/>
                <w:color w:val="auto"/>
                <w:sz w:val="21"/>
                <w:szCs w:val="21"/>
                <w:highlight w:val="none"/>
              </w:rPr>
              <w:t>最大占标率＞10%□</w:t>
            </w:r>
          </w:p>
        </w:tc>
      </w:tr>
      <w:tr w14:paraId="35C2A30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1" w:hRule="atLeast"/>
          <w:jc w:val="center"/>
        </w:trPr>
        <w:tc>
          <w:tcPr>
            <w:tcW w:w="694" w:type="dxa"/>
            <w:vMerge w:val="continue"/>
            <w:shd w:val="clear" w:color="auto" w:fill="auto"/>
            <w:vAlign w:val="center"/>
          </w:tcPr>
          <w:p w14:paraId="4C8DA2A2">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olor w:val="auto"/>
                <w:sz w:val="21"/>
                <w:szCs w:val="21"/>
                <w:highlight w:val="none"/>
              </w:rPr>
            </w:pPr>
          </w:p>
        </w:tc>
        <w:tc>
          <w:tcPr>
            <w:tcW w:w="1393" w:type="dxa"/>
            <w:vMerge w:val="continue"/>
            <w:shd w:val="clear" w:color="auto" w:fill="auto"/>
            <w:vAlign w:val="center"/>
          </w:tcPr>
          <w:p w14:paraId="02EEA9DB">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olor w:val="auto"/>
                <w:sz w:val="21"/>
                <w:szCs w:val="21"/>
                <w:highlight w:val="none"/>
              </w:rPr>
            </w:pPr>
          </w:p>
        </w:tc>
        <w:tc>
          <w:tcPr>
            <w:tcW w:w="950" w:type="dxa"/>
            <w:shd w:val="clear" w:color="auto" w:fill="auto"/>
            <w:vAlign w:val="center"/>
          </w:tcPr>
          <w:p w14:paraId="339D6F20">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olor w:val="auto"/>
                <w:sz w:val="21"/>
                <w:szCs w:val="21"/>
                <w:highlight w:val="none"/>
              </w:rPr>
            </w:pPr>
            <w:r>
              <w:rPr>
                <w:rFonts w:ascii="Times New Roman" w:hAnsi="Times New Roman"/>
                <w:color w:val="auto"/>
                <w:sz w:val="21"/>
                <w:szCs w:val="21"/>
                <w:highlight w:val="none"/>
              </w:rPr>
              <w:t>二类区</w:t>
            </w:r>
          </w:p>
        </w:tc>
        <w:tc>
          <w:tcPr>
            <w:tcW w:w="2760" w:type="dxa"/>
            <w:gridSpan w:val="8"/>
            <w:shd w:val="clear" w:color="auto" w:fill="auto"/>
            <w:vAlign w:val="center"/>
          </w:tcPr>
          <w:p w14:paraId="584BA14C">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olor w:val="auto"/>
                <w:sz w:val="21"/>
                <w:szCs w:val="21"/>
                <w:highlight w:val="none"/>
              </w:rPr>
            </w:pPr>
            <w:r>
              <w:rPr>
                <w:rFonts w:ascii="Times New Roman" w:hAnsi="Times New Roman"/>
                <w:color w:val="auto"/>
                <w:sz w:val="21"/>
                <w:szCs w:val="21"/>
                <w:highlight w:val="none"/>
              </w:rPr>
              <w:t>C</w:t>
            </w:r>
            <w:r>
              <w:rPr>
                <w:rFonts w:ascii="Times New Roman" w:hAnsi="Times New Roman"/>
                <w:color w:val="auto"/>
                <w:sz w:val="21"/>
                <w:szCs w:val="21"/>
                <w:highlight w:val="none"/>
                <w:vertAlign w:val="subscript"/>
              </w:rPr>
              <w:t>本项目</w:t>
            </w:r>
            <w:r>
              <w:rPr>
                <w:rFonts w:ascii="Times New Roman" w:hAnsi="Times New Roman"/>
                <w:color w:val="auto"/>
                <w:sz w:val="21"/>
                <w:szCs w:val="21"/>
                <w:highlight w:val="none"/>
              </w:rPr>
              <w:t>最大占标率≤30%</w:t>
            </w:r>
            <w:r>
              <w:rPr>
                <w:rFonts w:ascii="Times New Roman" w:hAnsi="Times New Roman"/>
                <w:color w:val="auto"/>
                <w:sz w:val="21"/>
                <w:szCs w:val="21"/>
                <w:highlight w:val="none"/>
              </w:rPr>
              <w:sym w:font="Wingdings 2" w:char="0052"/>
            </w:r>
          </w:p>
        </w:tc>
        <w:tc>
          <w:tcPr>
            <w:tcW w:w="3275" w:type="dxa"/>
            <w:gridSpan w:val="9"/>
            <w:shd w:val="clear" w:color="auto" w:fill="auto"/>
            <w:vAlign w:val="center"/>
          </w:tcPr>
          <w:p w14:paraId="5F59651C">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olor w:val="auto"/>
                <w:sz w:val="21"/>
                <w:szCs w:val="21"/>
                <w:highlight w:val="none"/>
              </w:rPr>
            </w:pPr>
            <w:r>
              <w:rPr>
                <w:rFonts w:ascii="Times New Roman" w:hAnsi="Times New Roman"/>
                <w:color w:val="auto"/>
                <w:sz w:val="21"/>
                <w:szCs w:val="21"/>
                <w:highlight w:val="none"/>
              </w:rPr>
              <w:t>C</w:t>
            </w:r>
            <w:r>
              <w:rPr>
                <w:rFonts w:ascii="Times New Roman" w:hAnsi="Times New Roman"/>
                <w:color w:val="auto"/>
                <w:sz w:val="21"/>
                <w:szCs w:val="21"/>
                <w:highlight w:val="none"/>
                <w:vertAlign w:val="subscript"/>
              </w:rPr>
              <w:t>本项目</w:t>
            </w:r>
            <w:r>
              <w:rPr>
                <w:rFonts w:ascii="Times New Roman" w:hAnsi="Times New Roman"/>
                <w:color w:val="auto"/>
                <w:sz w:val="21"/>
                <w:szCs w:val="21"/>
                <w:highlight w:val="none"/>
              </w:rPr>
              <w:t>最大占标率＞30%□</w:t>
            </w:r>
          </w:p>
        </w:tc>
      </w:tr>
      <w:tr w14:paraId="76273CA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1" w:hRule="atLeast"/>
          <w:jc w:val="center"/>
        </w:trPr>
        <w:tc>
          <w:tcPr>
            <w:tcW w:w="694" w:type="dxa"/>
            <w:vMerge w:val="continue"/>
            <w:shd w:val="clear" w:color="auto" w:fill="auto"/>
            <w:vAlign w:val="center"/>
          </w:tcPr>
          <w:p w14:paraId="4FE414A5">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olor w:val="auto"/>
                <w:sz w:val="21"/>
                <w:szCs w:val="21"/>
                <w:highlight w:val="none"/>
              </w:rPr>
            </w:pPr>
          </w:p>
        </w:tc>
        <w:tc>
          <w:tcPr>
            <w:tcW w:w="1393" w:type="dxa"/>
            <w:shd w:val="clear" w:color="auto" w:fill="auto"/>
            <w:vAlign w:val="center"/>
          </w:tcPr>
          <w:p w14:paraId="37B20021">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olor w:val="auto"/>
                <w:sz w:val="21"/>
                <w:szCs w:val="21"/>
                <w:highlight w:val="none"/>
              </w:rPr>
            </w:pPr>
            <w:r>
              <w:rPr>
                <w:rFonts w:ascii="Times New Roman" w:hAnsi="Times New Roman"/>
                <w:color w:val="auto"/>
                <w:sz w:val="21"/>
                <w:szCs w:val="21"/>
                <w:highlight w:val="none"/>
              </w:rPr>
              <w:t>非正常排放1h浓度贡献值</w:t>
            </w:r>
          </w:p>
        </w:tc>
        <w:tc>
          <w:tcPr>
            <w:tcW w:w="2009" w:type="dxa"/>
            <w:gridSpan w:val="5"/>
            <w:shd w:val="clear" w:color="auto" w:fill="auto"/>
            <w:vAlign w:val="center"/>
          </w:tcPr>
          <w:p w14:paraId="314AD8E5">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olor w:val="auto"/>
                <w:sz w:val="21"/>
                <w:szCs w:val="21"/>
                <w:highlight w:val="none"/>
              </w:rPr>
            </w:pPr>
            <w:r>
              <w:rPr>
                <w:rFonts w:ascii="Times New Roman" w:hAnsi="Times New Roman"/>
                <w:color w:val="auto"/>
                <w:sz w:val="21"/>
                <w:szCs w:val="21"/>
                <w:highlight w:val="none"/>
              </w:rPr>
              <w:t>非正常持续时长</w:t>
            </w:r>
          </w:p>
          <w:p w14:paraId="252383C7">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olor w:val="auto"/>
                <w:sz w:val="21"/>
                <w:szCs w:val="21"/>
                <w:highlight w:val="none"/>
              </w:rPr>
            </w:pPr>
            <w:r>
              <w:rPr>
                <w:rFonts w:ascii="Times New Roman" w:hAnsi="Times New Roman"/>
                <w:color w:val="auto"/>
                <w:sz w:val="21"/>
                <w:szCs w:val="21"/>
                <w:highlight w:val="none"/>
              </w:rPr>
              <w:t>（</w:t>
            </w:r>
            <w:r>
              <w:rPr>
                <w:rFonts w:hint="eastAsia" w:ascii="Times New Roman" w:hAnsi="Times New Roman"/>
                <w:color w:val="auto"/>
                <w:sz w:val="21"/>
                <w:szCs w:val="21"/>
                <w:highlight w:val="none"/>
              </w:rPr>
              <w:t>1</w:t>
            </w:r>
            <w:r>
              <w:rPr>
                <w:rFonts w:ascii="Times New Roman" w:hAnsi="Times New Roman"/>
                <w:color w:val="auto"/>
                <w:sz w:val="21"/>
                <w:szCs w:val="21"/>
                <w:highlight w:val="none"/>
              </w:rPr>
              <w:t>）h</w:t>
            </w:r>
          </w:p>
        </w:tc>
        <w:tc>
          <w:tcPr>
            <w:tcW w:w="1701" w:type="dxa"/>
            <w:gridSpan w:val="4"/>
            <w:shd w:val="clear" w:color="auto" w:fill="auto"/>
            <w:vAlign w:val="center"/>
          </w:tcPr>
          <w:p w14:paraId="1C016BDF">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olor w:val="auto"/>
                <w:sz w:val="21"/>
                <w:szCs w:val="21"/>
                <w:highlight w:val="none"/>
              </w:rPr>
            </w:pPr>
            <w:r>
              <w:rPr>
                <w:rFonts w:ascii="Times New Roman" w:hAnsi="Times New Roman"/>
                <w:color w:val="auto"/>
                <w:sz w:val="21"/>
                <w:szCs w:val="21"/>
                <w:highlight w:val="none"/>
              </w:rPr>
              <w:t>C</w:t>
            </w:r>
            <w:r>
              <w:rPr>
                <w:rFonts w:ascii="Times New Roman" w:hAnsi="Times New Roman"/>
                <w:color w:val="auto"/>
                <w:sz w:val="21"/>
                <w:szCs w:val="21"/>
                <w:highlight w:val="none"/>
                <w:vertAlign w:val="subscript"/>
              </w:rPr>
              <w:t>非正常</w:t>
            </w:r>
            <w:r>
              <w:rPr>
                <w:rFonts w:ascii="Times New Roman" w:hAnsi="Times New Roman"/>
                <w:color w:val="auto"/>
                <w:sz w:val="21"/>
                <w:szCs w:val="21"/>
                <w:highlight w:val="none"/>
              </w:rPr>
              <w:t>占标率≤100%</w:t>
            </w:r>
            <w:r>
              <w:rPr>
                <w:rFonts w:ascii="Times New Roman" w:hAnsi="Times New Roman"/>
                <w:color w:val="auto"/>
                <w:sz w:val="21"/>
                <w:szCs w:val="21"/>
                <w:highlight w:val="none"/>
              </w:rPr>
              <w:sym w:font="Wingdings 2" w:char="0052"/>
            </w:r>
          </w:p>
        </w:tc>
        <w:tc>
          <w:tcPr>
            <w:tcW w:w="3275" w:type="dxa"/>
            <w:gridSpan w:val="9"/>
            <w:shd w:val="clear" w:color="auto" w:fill="auto"/>
            <w:vAlign w:val="center"/>
          </w:tcPr>
          <w:p w14:paraId="108B3FA8">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olor w:val="auto"/>
                <w:sz w:val="21"/>
                <w:szCs w:val="21"/>
                <w:highlight w:val="none"/>
              </w:rPr>
            </w:pPr>
            <w:r>
              <w:rPr>
                <w:rFonts w:ascii="Times New Roman" w:hAnsi="Times New Roman"/>
                <w:color w:val="auto"/>
                <w:sz w:val="21"/>
                <w:szCs w:val="21"/>
                <w:highlight w:val="none"/>
              </w:rPr>
              <w:t>C</w:t>
            </w:r>
            <w:r>
              <w:rPr>
                <w:rFonts w:ascii="Times New Roman" w:hAnsi="Times New Roman"/>
                <w:color w:val="auto"/>
                <w:sz w:val="21"/>
                <w:szCs w:val="21"/>
                <w:highlight w:val="none"/>
                <w:vertAlign w:val="subscript"/>
              </w:rPr>
              <w:t>非正常</w:t>
            </w:r>
            <w:r>
              <w:rPr>
                <w:rFonts w:ascii="Times New Roman" w:hAnsi="Times New Roman"/>
                <w:color w:val="auto"/>
                <w:sz w:val="21"/>
                <w:szCs w:val="21"/>
                <w:highlight w:val="none"/>
              </w:rPr>
              <w:t>占标率＞100%□</w:t>
            </w:r>
          </w:p>
        </w:tc>
      </w:tr>
      <w:tr w14:paraId="241852F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1" w:hRule="atLeast"/>
          <w:jc w:val="center"/>
        </w:trPr>
        <w:tc>
          <w:tcPr>
            <w:tcW w:w="694" w:type="dxa"/>
            <w:vMerge w:val="continue"/>
            <w:shd w:val="clear" w:color="auto" w:fill="auto"/>
            <w:vAlign w:val="center"/>
          </w:tcPr>
          <w:p w14:paraId="53C9AFA2">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olor w:val="auto"/>
                <w:sz w:val="21"/>
                <w:szCs w:val="21"/>
                <w:highlight w:val="none"/>
              </w:rPr>
            </w:pPr>
          </w:p>
        </w:tc>
        <w:tc>
          <w:tcPr>
            <w:tcW w:w="1393" w:type="dxa"/>
            <w:shd w:val="clear" w:color="auto" w:fill="auto"/>
            <w:vAlign w:val="center"/>
          </w:tcPr>
          <w:p w14:paraId="6BAB0DD0">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olor w:val="auto"/>
                <w:sz w:val="21"/>
                <w:szCs w:val="21"/>
                <w:highlight w:val="none"/>
              </w:rPr>
            </w:pPr>
            <w:r>
              <w:rPr>
                <w:rFonts w:ascii="Times New Roman" w:hAnsi="Times New Roman"/>
                <w:color w:val="auto"/>
                <w:sz w:val="21"/>
                <w:szCs w:val="21"/>
                <w:highlight w:val="none"/>
              </w:rPr>
              <w:t>保证率日平均浓度和年平均浓度叠加值</w:t>
            </w:r>
          </w:p>
        </w:tc>
        <w:tc>
          <w:tcPr>
            <w:tcW w:w="3710" w:type="dxa"/>
            <w:gridSpan w:val="9"/>
            <w:shd w:val="clear" w:color="auto" w:fill="auto"/>
            <w:vAlign w:val="center"/>
          </w:tcPr>
          <w:p w14:paraId="727D7FAA">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olor w:val="auto"/>
                <w:sz w:val="21"/>
                <w:szCs w:val="21"/>
                <w:highlight w:val="none"/>
              </w:rPr>
            </w:pPr>
            <w:r>
              <w:rPr>
                <w:rFonts w:ascii="Times New Roman" w:hAnsi="Times New Roman"/>
                <w:color w:val="auto"/>
                <w:sz w:val="21"/>
                <w:szCs w:val="21"/>
                <w:highlight w:val="none"/>
              </w:rPr>
              <w:t>C</w:t>
            </w:r>
            <w:r>
              <w:rPr>
                <w:rFonts w:ascii="Times New Roman" w:hAnsi="Times New Roman"/>
                <w:color w:val="auto"/>
                <w:sz w:val="21"/>
                <w:szCs w:val="21"/>
                <w:highlight w:val="none"/>
                <w:vertAlign w:val="subscript"/>
              </w:rPr>
              <w:t>叠加</w:t>
            </w:r>
            <w:r>
              <w:rPr>
                <w:rFonts w:ascii="Times New Roman" w:hAnsi="Times New Roman"/>
                <w:color w:val="auto"/>
                <w:sz w:val="21"/>
                <w:szCs w:val="21"/>
                <w:highlight w:val="none"/>
              </w:rPr>
              <w:t>达标□</w:t>
            </w:r>
          </w:p>
        </w:tc>
        <w:tc>
          <w:tcPr>
            <w:tcW w:w="3275" w:type="dxa"/>
            <w:gridSpan w:val="9"/>
            <w:shd w:val="clear" w:color="auto" w:fill="auto"/>
            <w:vAlign w:val="center"/>
          </w:tcPr>
          <w:p w14:paraId="6C994BBA">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olor w:val="auto"/>
                <w:sz w:val="21"/>
                <w:szCs w:val="21"/>
                <w:highlight w:val="none"/>
              </w:rPr>
            </w:pPr>
            <w:r>
              <w:rPr>
                <w:rFonts w:ascii="Times New Roman" w:hAnsi="Times New Roman"/>
                <w:color w:val="auto"/>
                <w:sz w:val="21"/>
                <w:szCs w:val="21"/>
                <w:highlight w:val="none"/>
              </w:rPr>
              <w:t>C</w:t>
            </w:r>
            <w:r>
              <w:rPr>
                <w:rFonts w:ascii="Times New Roman" w:hAnsi="Times New Roman"/>
                <w:color w:val="auto"/>
                <w:sz w:val="21"/>
                <w:szCs w:val="21"/>
                <w:highlight w:val="none"/>
                <w:vertAlign w:val="subscript"/>
              </w:rPr>
              <w:t>叠加</w:t>
            </w:r>
            <w:r>
              <w:rPr>
                <w:rFonts w:ascii="Times New Roman" w:hAnsi="Times New Roman"/>
                <w:color w:val="auto"/>
                <w:sz w:val="21"/>
                <w:szCs w:val="21"/>
                <w:highlight w:val="none"/>
              </w:rPr>
              <w:t>不达标□</w:t>
            </w:r>
          </w:p>
        </w:tc>
      </w:tr>
      <w:tr w14:paraId="4BA7F52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1" w:hRule="atLeast"/>
          <w:jc w:val="center"/>
        </w:trPr>
        <w:tc>
          <w:tcPr>
            <w:tcW w:w="694" w:type="dxa"/>
            <w:vMerge w:val="continue"/>
            <w:shd w:val="clear" w:color="auto" w:fill="auto"/>
            <w:vAlign w:val="center"/>
          </w:tcPr>
          <w:p w14:paraId="6E6216DE">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olor w:val="auto"/>
                <w:sz w:val="21"/>
                <w:szCs w:val="21"/>
                <w:highlight w:val="none"/>
              </w:rPr>
            </w:pPr>
          </w:p>
        </w:tc>
        <w:tc>
          <w:tcPr>
            <w:tcW w:w="1393" w:type="dxa"/>
            <w:shd w:val="clear" w:color="auto" w:fill="auto"/>
            <w:vAlign w:val="center"/>
          </w:tcPr>
          <w:p w14:paraId="7796608E">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olor w:val="auto"/>
                <w:sz w:val="21"/>
                <w:szCs w:val="21"/>
                <w:highlight w:val="none"/>
              </w:rPr>
            </w:pPr>
            <w:r>
              <w:rPr>
                <w:rFonts w:ascii="Times New Roman" w:hAnsi="Times New Roman"/>
                <w:color w:val="auto"/>
                <w:sz w:val="21"/>
                <w:szCs w:val="21"/>
                <w:highlight w:val="none"/>
              </w:rPr>
              <w:t>区域环境质量的整体变化情况</w:t>
            </w:r>
          </w:p>
        </w:tc>
        <w:tc>
          <w:tcPr>
            <w:tcW w:w="3710" w:type="dxa"/>
            <w:gridSpan w:val="9"/>
            <w:shd w:val="clear" w:color="auto" w:fill="auto"/>
            <w:vAlign w:val="center"/>
          </w:tcPr>
          <w:p w14:paraId="5F650B82">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olor w:val="auto"/>
                <w:sz w:val="21"/>
                <w:szCs w:val="21"/>
                <w:highlight w:val="none"/>
              </w:rPr>
            </w:pPr>
            <w:r>
              <w:rPr>
                <w:rFonts w:ascii="Times New Roman" w:hAnsi="Times New Roman"/>
                <w:color w:val="auto"/>
                <w:sz w:val="21"/>
                <w:szCs w:val="21"/>
                <w:highlight w:val="none"/>
              </w:rPr>
              <w:t>k≤-20%□</w:t>
            </w:r>
          </w:p>
        </w:tc>
        <w:tc>
          <w:tcPr>
            <w:tcW w:w="3275" w:type="dxa"/>
            <w:gridSpan w:val="9"/>
            <w:shd w:val="clear" w:color="auto" w:fill="auto"/>
            <w:vAlign w:val="center"/>
          </w:tcPr>
          <w:p w14:paraId="5B4BA85C">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olor w:val="auto"/>
                <w:sz w:val="21"/>
                <w:szCs w:val="21"/>
                <w:highlight w:val="none"/>
              </w:rPr>
            </w:pPr>
            <w:r>
              <w:rPr>
                <w:rFonts w:ascii="Times New Roman" w:hAnsi="Times New Roman"/>
                <w:color w:val="auto"/>
                <w:sz w:val="21"/>
                <w:szCs w:val="21"/>
                <w:highlight w:val="none"/>
              </w:rPr>
              <w:t>k＞-20%□</w:t>
            </w:r>
          </w:p>
        </w:tc>
      </w:tr>
      <w:tr w14:paraId="5DA7295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1" w:hRule="atLeast"/>
          <w:jc w:val="center"/>
        </w:trPr>
        <w:tc>
          <w:tcPr>
            <w:tcW w:w="694" w:type="dxa"/>
            <w:vMerge w:val="restart"/>
            <w:shd w:val="clear" w:color="auto" w:fill="auto"/>
            <w:vAlign w:val="center"/>
          </w:tcPr>
          <w:p w14:paraId="09AF8DBE">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olor w:val="auto"/>
                <w:sz w:val="21"/>
                <w:szCs w:val="21"/>
                <w:highlight w:val="none"/>
              </w:rPr>
            </w:pPr>
            <w:r>
              <w:rPr>
                <w:rFonts w:ascii="Times New Roman" w:hAnsi="Times New Roman"/>
                <w:color w:val="auto"/>
                <w:sz w:val="21"/>
                <w:szCs w:val="21"/>
                <w:highlight w:val="none"/>
              </w:rPr>
              <w:t>环境监测计划</w:t>
            </w:r>
          </w:p>
        </w:tc>
        <w:tc>
          <w:tcPr>
            <w:tcW w:w="1393" w:type="dxa"/>
            <w:shd w:val="clear" w:color="auto" w:fill="auto"/>
            <w:vAlign w:val="center"/>
          </w:tcPr>
          <w:p w14:paraId="211490D5">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olor w:val="auto"/>
                <w:sz w:val="21"/>
                <w:szCs w:val="21"/>
                <w:highlight w:val="none"/>
              </w:rPr>
            </w:pPr>
            <w:r>
              <w:rPr>
                <w:rFonts w:ascii="Times New Roman" w:hAnsi="Times New Roman"/>
                <w:color w:val="auto"/>
                <w:sz w:val="21"/>
                <w:szCs w:val="21"/>
                <w:highlight w:val="none"/>
              </w:rPr>
              <w:t>污染源监测</w:t>
            </w:r>
          </w:p>
        </w:tc>
        <w:tc>
          <w:tcPr>
            <w:tcW w:w="3710" w:type="dxa"/>
            <w:gridSpan w:val="9"/>
            <w:shd w:val="clear" w:color="auto" w:fill="auto"/>
            <w:vAlign w:val="center"/>
          </w:tcPr>
          <w:p w14:paraId="5638E2D3">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olor w:val="auto"/>
                <w:sz w:val="21"/>
                <w:szCs w:val="21"/>
                <w:highlight w:val="none"/>
              </w:rPr>
            </w:pPr>
            <w:r>
              <w:rPr>
                <w:rFonts w:ascii="Times New Roman" w:hAnsi="Times New Roman"/>
                <w:color w:val="auto"/>
                <w:sz w:val="21"/>
                <w:szCs w:val="21"/>
                <w:highlight w:val="none"/>
              </w:rPr>
              <w:t>监测因子：（</w:t>
            </w:r>
            <w:r>
              <w:rPr>
                <w:rFonts w:hint="eastAsia" w:ascii="Times New Roman" w:hAnsi="Times New Roman"/>
                <w:color w:val="auto"/>
                <w:sz w:val="21"/>
                <w:szCs w:val="21"/>
                <w:highlight w:val="none"/>
              </w:rPr>
              <w:t>非甲烷总烃</w:t>
            </w:r>
            <w:r>
              <w:rPr>
                <w:rFonts w:hint="eastAsia" w:ascii="Times New Roman" w:hAnsi="Times New Roman"/>
                <w:color w:val="auto"/>
                <w:sz w:val="21"/>
                <w:szCs w:val="21"/>
                <w:highlight w:val="none"/>
                <w:lang w:eastAsia="zh-CN"/>
              </w:rPr>
              <w:t>、</w:t>
            </w:r>
            <w:r>
              <w:rPr>
                <w:rFonts w:hint="eastAsia" w:ascii="Times New Roman" w:hAnsi="Times New Roman"/>
                <w:color w:val="auto"/>
                <w:sz w:val="21"/>
                <w:szCs w:val="21"/>
                <w:highlight w:val="none"/>
                <w:lang w:val="en-US" w:eastAsia="zh-CN"/>
              </w:rPr>
              <w:t>氮氧化物、甲醇</w:t>
            </w:r>
            <w:r>
              <w:rPr>
                <w:rFonts w:ascii="Times New Roman" w:hAnsi="Times New Roman"/>
                <w:color w:val="auto"/>
                <w:sz w:val="21"/>
                <w:szCs w:val="21"/>
                <w:highlight w:val="none"/>
              </w:rPr>
              <w:t>）</w:t>
            </w:r>
          </w:p>
        </w:tc>
        <w:tc>
          <w:tcPr>
            <w:tcW w:w="2268" w:type="dxa"/>
            <w:gridSpan w:val="7"/>
            <w:shd w:val="clear" w:color="auto" w:fill="auto"/>
            <w:vAlign w:val="center"/>
          </w:tcPr>
          <w:p w14:paraId="4B1AA69F">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olor w:val="auto"/>
                <w:sz w:val="21"/>
                <w:szCs w:val="21"/>
                <w:highlight w:val="none"/>
              </w:rPr>
            </w:pPr>
            <w:r>
              <w:rPr>
                <w:rFonts w:ascii="Times New Roman" w:hAnsi="Times New Roman"/>
                <w:color w:val="auto"/>
                <w:sz w:val="21"/>
                <w:szCs w:val="21"/>
                <w:highlight w:val="none"/>
              </w:rPr>
              <w:t>有组织废气监测</w:t>
            </w:r>
            <w:r>
              <w:rPr>
                <w:rFonts w:ascii="Times New Roman" w:hAnsi="Times New Roman"/>
                <w:color w:val="auto"/>
                <w:sz w:val="21"/>
                <w:szCs w:val="21"/>
                <w:highlight w:val="none"/>
              </w:rPr>
              <w:sym w:font="Wingdings 2" w:char="0052"/>
            </w:r>
          </w:p>
          <w:p w14:paraId="7C76DF85">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olor w:val="auto"/>
                <w:sz w:val="21"/>
                <w:szCs w:val="21"/>
                <w:highlight w:val="none"/>
              </w:rPr>
            </w:pPr>
            <w:r>
              <w:rPr>
                <w:rFonts w:ascii="Times New Roman" w:hAnsi="Times New Roman"/>
                <w:color w:val="auto"/>
                <w:sz w:val="21"/>
                <w:szCs w:val="21"/>
                <w:highlight w:val="none"/>
              </w:rPr>
              <w:t>无组织废气监测</w:t>
            </w:r>
            <w:r>
              <w:rPr>
                <w:rFonts w:ascii="Times New Roman" w:hAnsi="Times New Roman"/>
                <w:color w:val="auto"/>
                <w:sz w:val="21"/>
                <w:szCs w:val="21"/>
                <w:highlight w:val="none"/>
              </w:rPr>
              <w:sym w:font="Wingdings 2" w:char="0052"/>
            </w:r>
          </w:p>
        </w:tc>
        <w:tc>
          <w:tcPr>
            <w:tcW w:w="1007" w:type="dxa"/>
            <w:gridSpan w:val="2"/>
            <w:shd w:val="clear" w:color="auto" w:fill="auto"/>
            <w:vAlign w:val="center"/>
          </w:tcPr>
          <w:p w14:paraId="6C0B2852">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olor w:val="auto"/>
                <w:sz w:val="21"/>
                <w:szCs w:val="21"/>
                <w:highlight w:val="none"/>
              </w:rPr>
            </w:pPr>
            <w:r>
              <w:rPr>
                <w:rFonts w:ascii="Times New Roman" w:hAnsi="Times New Roman"/>
                <w:color w:val="auto"/>
                <w:sz w:val="21"/>
                <w:szCs w:val="21"/>
                <w:highlight w:val="none"/>
              </w:rPr>
              <w:t>无监测□</w:t>
            </w:r>
          </w:p>
        </w:tc>
      </w:tr>
      <w:tr w14:paraId="6AFCD5B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1" w:hRule="atLeast"/>
          <w:jc w:val="center"/>
        </w:trPr>
        <w:tc>
          <w:tcPr>
            <w:tcW w:w="694" w:type="dxa"/>
            <w:vMerge w:val="continue"/>
            <w:shd w:val="clear" w:color="auto" w:fill="auto"/>
            <w:vAlign w:val="center"/>
          </w:tcPr>
          <w:p w14:paraId="223AE9FA">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olor w:val="auto"/>
                <w:sz w:val="21"/>
                <w:szCs w:val="21"/>
                <w:highlight w:val="none"/>
              </w:rPr>
            </w:pPr>
          </w:p>
        </w:tc>
        <w:tc>
          <w:tcPr>
            <w:tcW w:w="1393" w:type="dxa"/>
            <w:shd w:val="clear" w:color="auto" w:fill="auto"/>
            <w:vAlign w:val="center"/>
          </w:tcPr>
          <w:p w14:paraId="4C8CECF3">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olor w:val="auto"/>
                <w:sz w:val="21"/>
                <w:szCs w:val="21"/>
                <w:highlight w:val="none"/>
              </w:rPr>
            </w:pPr>
            <w:r>
              <w:rPr>
                <w:rFonts w:ascii="Times New Roman" w:hAnsi="Times New Roman"/>
                <w:color w:val="auto"/>
                <w:sz w:val="21"/>
                <w:szCs w:val="21"/>
                <w:highlight w:val="none"/>
              </w:rPr>
              <w:t>环境质量监测</w:t>
            </w:r>
          </w:p>
        </w:tc>
        <w:tc>
          <w:tcPr>
            <w:tcW w:w="3710" w:type="dxa"/>
            <w:gridSpan w:val="9"/>
            <w:shd w:val="clear" w:color="auto" w:fill="auto"/>
            <w:vAlign w:val="center"/>
          </w:tcPr>
          <w:p w14:paraId="575943E9">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olor w:val="auto"/>
                <w:sz w:val="21"/>
                <w:szCs w:val="21"/>
                <w:highlight w:val="none"/>
              </w:rPr>
            </w:pPr>
            <w:r>
              <w:rPr>
                <w:rFonts w:ascii="Times New Roman" w:hAnsi="Times New Roman"/>
                <w:color w:val="auto"/>
                <w:sz w:val="21"/>
                <w:szCs w:val="21"/>
                <w:highlight w:val="none"/>
              </w:rPr>
              <w:t>监测因子：（</w:t>
            </w:r>
            <w:r>
              <w:rPr>
                <w:rFonts w:hint="eastAsia" w:ascii="Times New Roman" w:hAnsi="Times New Roman"/>
                <w:color w:val="auto"/>
                <w:sz w:val="21"/>
                <w:szCs w:val="21"/>
                <w:highlight w:val="none"/>
              </w:rPr>
              <w:t>非甲烷总烃</w:t>
            </w:r>
            <w:r>
              <w:rPr>
                <w:rFonts w:hint="eastAsia" w:ascii="Times New Roman" w:hAnsi="Times New Roman"/>
                <w:color w:val="auto"/>
                <w:sz w:val="21"/>
                <w:szCs w:val="21"/>
                <w:highlight w:val="none"/>
                <w:lang w:eastAsia="zh-CN"/>
              </w:rPr>
              <w:t>、</w:t>
            </w:r>
            <w:r>
              <w:rPr>
                <w:rFonts w:hint="eastAsia" w:ascii="Times New Roman" w:hAnsi="Times New Roman"/>
                <w:color w:val="auto"/>
                <w:sz w:val="21"/>
                <w:szCs w:val="21"/>
                <w:highlight w:val="none"/>
                <w:lang w:val="en-US" w:eastAsia="zh-CN"/>
              </w:rPr>
              <w:t>氮氧化物、甲醇</w:t>
            </w:r>
            <w:r>
              <w:rPr>
                <w:rFonts w:ascii="Times New Roman" w:hAnsi="Times New Roman"/>
                <w:color w:val="auto"/>
                <w:sz w:val="21"/>
                <w:szCs w:val="21"/>
                <w:highlight w:val="none"/>
              </w:rPr>
              <w:t>）</w:t>
            </w:r>
          </w:p>
        </w:tc>
        <w:tc>
          <w:tcPr>
            <w:tcW w:w="2268" w:type="dxa"/>
            <w:gridSpan w:val="7"/>
            <w:shd w:val="clear" w:color="auto" w:fill="auto"/>
            <w:vAlign w:val="center"/>
          </w:tcPr>
          <w:p w14:paraId="172C0432">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olor w:val="auto"/>
                <w:sz w:val="21"/>
                <w:szCs w:val="21"/>
                <w:highlight w:val="none"/>
              </w:rPr>
            </w:pPr>
            <w:r>
              <w:rPr>
                <w:rFonts w:ascii="Times New Roman" w:hAnsi="Times New Roman"/>
                <w:color w:val="auto"/>
                <w:sz w:val="21"/>
                <w:szCs w:val="21"/>
                <w:highlight w:val="none"/>
              </w:rPr>
              <w:t>监测点位数（</w:t>
            </w:r>
            <w:r>
              <w:rPr>
                <w:rFonts w:hint="eastAsia" w:ascii="Times New Roman" w:hAnsi="Times New Roman"/>
                <w:color w:val="auto"/>
                <w:sz w:val="21"/>
                <w:szCs w:val="21"/>
                <w:highlight w:val="none"/>
              </w:rPr>
              <w:t>/</w:t>
            </w:r>
            <w:r>
              <w:rPr>
                <w:rFonts w:ascii="Times New Roman" w:hAnsi="Times New Roman"/>
                <w:color w:val="auto"/>
                <w:sz w:val="21"/>
                <w:szCs w:val="21"/>
                <w:highlight w:val="none"/>
              </w:rPr>
              <w:t>）</w:t>
            </w:r>
          </w:p>
        </w:tc>
        <w:tc>
          <w:tcPr>
            <w:tcW w:w="1007" w:type="dxa"/>
            <w:gridSpan w:val="2"/>
            <w:shd w:val="clear" w:color="auto" w:fill="auto"/>
            <w:vAlign w:val="center"/>
          </w:tcPr>
          <w:p w14:paraId="78718301">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olor w:val="auto"/>
                <w:sz w:val="21"/>
                <w:szCs w:val="21"/>
                <w:highlight w:val="none"/>
              </w:rPr>
            </w:pPr>
            <w:r>
              <w:rPr>
                <w:rFonts w:ascii="Times New Roman" w:hAnsi="Times New Roman"/>
                <w:color w:val="auto"/>
                <w:sz w:val="21"/>
                <w:szCs w:val="21"/>
                <w:highlight w:val="none"/>
              </w:rPr>
              <w:t>无监测</w:t>
            </w:r>
            <w:r>
              <w:rPr>
                <w:rFonts w:ascii="Times New Roman" w:hAnsi="Times New Roman"/>
                <w:color w:val="auto"/>
                <w:sz w:val="21"/>
                <w:szCs w:val="21"/>
                <w:highlight w:val="none"/>
              </w:rPr>
              <w:sym w:font="Wingdings 2" w:char="00A3"/>
            </w:r>
          </w:p>
        </w:tc>
      </w:tr>
      <w:tr w14:paraId="1BE6C81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1" w:hRule="atLeast"/>
          <w:jc w:val="center"/>
        </w:trPr>
        <w:tc>
          <w:tcPr>
            <w:tcW w:w="694" w:type="dxa"/>
            <w:vMerge w:val="restart"/>
            <w:shd w:val="clear" w:color="auto" w:fill="auto"/>
            <w:vAlign w:val="center"/>
          </w:tcPr>
          <w:p w14:paraId="779A881C">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olor w:val="auto"/>
                <w:sz w:val="21"/>
                <w:szCs w:val="21"/>
                <w:highlight w:val="none"/>
              </w:rPr>
            </w:pPr>
            <w:r>
              <w:rPr>
                <w:rFonts w:ascii="Times New Roman" w:hAnsi="Times New Roman"/>
                <w:color w:val="auto"/>
                <w:sz w:val="21"/>
                <w:szCs w:val="21"/>
                <w:highlight w:val="none"/>
              </w:rPr>
              <w:t>评价结论</w:t>
            </w:r>
          </w:p>
        </w:tc>
        <w:tc>
          <w:tcPr>
            <w:tcW w:w="1393" w:type="dxa"/>
            <w:shd w:val="clear" w:color="auto" w:fill="auto"/>
            <w:vAlign w:val="center"/>
          </w:tcPr>
          <w:p w14:paraId="050DDCF7">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olor w:val="auto"/>
                <w:sz w:val="21"/>
                <w:szCs w:val="21"/>
                <w:highlight w:val="none"/>
              </w:rPr>
            </w:pPr>
            <w:r>
              <w:rPr>
                <w:rFonts w:ascii="Times New Roman" w:hAnsi="Times New Roman"/>
                <w:color w:val="auto"/>
                <w:sz w:val="21"/>
                <w:szCs w:val="21"/>
                <w:highlight w:val="none"/>
              </w:rPr>
              <w:t>环境影响</w:t>
            </w:r>
          </w:p>
        </w:tc>
        <w:tc>
          <w:tcPr>
            <w:tcW w:w="6985" w:type="dxa"/>
            <w:gridSpan w:val="18"/>
            <w:shd w:val="clear" w:color="auto" w:fill="auto"/>
            <w:vAlign w:val="center"/>
          </w:tcPr>
          <w:p w14:paraId="458359C8">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olor w:val="auto"/>
                <w:sz w:val="21"/>
                <w:szCs w:val="21"/>
                <w:highlight w:val="none"/>
              </w:rPr>
            </w:pPr>
            <w:r>
              <w:rPr>
                <w:rFonts w:ascii="Times New Roman" w:hAnsi="Times New Roman"/>
                <w:color w:val="auto"/>
                <w:sz w:val="21"/>
                <w:szCs w:val="21"/>
                <w:highlight w:val="none"/>
              </w:rPr>
              <w:t>可以接受</w:t>
            </w:r>
            <w:r>
              <w:rPr>
                <w:rFonts w:ascii="Times New Roman" w:hAnsi="Times New Roman"/>
                <w:color w:val="auto"/>
                <w:sz w:val="21"/>
                <w:szCs w:val="21"/>
                <w:highlight w:val="none"/>
              </w:rPr>
              <w:sym w:font="Wingdings 2" w:char="0052"/>
            </w:r>
            <w:r>
              <w:rPr>
                <w:rFonts w:ascii="Times New Roman" w:hAnsi="Times New Roman"/>
                <w:color w:val="auto"/>
                <w:sz w:val="21"/>
                <w:szCs w:val="21"/>
                <w:highlight w:val="none"/>
              </w:rPr>
              <w:t>不可以接受□</w:t>
            </w:r>
          </w:p>
        </w:tc>
      </w:tr>
      <w:tr w14:paraId="6ED14DE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1" w:hRule="atLeast"/>
          <w:jc w:val="center"/>
        </w:trPr>
        <w:tc>
          <w:tcPr>
            <w:tcW w:w="694" w:type="dxa"/>
            <w:vMerge w:val="continue"/>
            <w:shd w:val="clear" w:color="auto" w:fill="auto"/>
            <w:vAlign w:val="center"/>
          </w:tcPr>
          <w:p w14:paraId="29A21E0D">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olor w:val="auto"/>
                <w:sz w:val="21"/>
                <w:szCs w:val="21"/>
                <w:highlight w:val="none"/>
              </w:rPr>
            </w:pPr>
          </w:p>
        </w:tc>
        <w:tc>
          <w:tcPr>
            <w:tcW w:w="1393" w:type="dxa"/>
            <w:shd w:val="clear" w:color="auto" w:fill="auto"/>
            <w:vAlign w:val="center"/>
          </w:tcPr>
          <w:p w14:paraId="7471D8D7">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olor w:val="auto"/>
                <w:sz w:val="21"/>
                <w:szCs w:val="21"/>
                <w:highlight w:val="none"/>
              </w:rPr>
            </w:pPr>
            <w:r>
              <w:rPr>
                <w:rFonts w:ascii="Times New Roman" w:hAnsi="Times New Roman"/>
                <w:color w:val="auto"/>
                <w:sz w:val="21"/>
                <w:szCs w:val="21"/>
                <w:highlight w:val="none"/>
              </w:rPr>
              <w:t>大气环境防护距离</w:t>
            </w:r>
          </w:p>
        </w:tc>
        <w:tc>
          <w:tcPr>
            <w:tcW w:w="6985" w:type="dxa"/>
            <w:gridSpan w:val="18"/>
            <w:shd w:val="clear" w:color="auto" w:fill="auto"/>
            <w:vAlign w:val="center"/>
          </w:tcPr>
          <w:p w14:paraId="2C248C48">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olor w:val="auto"/>
                <w:sz w:val="21"/>
                <w:szCs w:val="21"/>
                <w:highlight w:val="none"/>
              </w:rPr>
            </w:pPr>
            <w:r>
              <w:rPr>
                <w:rFonts w:ascii="Times New Roman" w:hAnsi="Times New Roman"/>
                <w:color w:val="auto"/>
                <w:sz w:val="21"/>
                <w:szCs w:val="21"/>
                <w:highlight w:val="none"/>
              </w:rPr>
              <w:t>/</w:t>
            </w:r>
          </w:p>
        </w:tc>
      </w:tr>
      <w:tr w14:paraId="229F7CC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1" w:hRule="atLeast"/>
          <w:jc w:val="center"/>
        </w:trPr>
        <w:tc>
          <w:tcPr>
            <w:tcW w:w="694" w:type="dxa"/>
            <w:vMerge w:val="continue"/>
            <w:shd w:val="clear" w:color="auto" w:fill="auto"/>
            <w:vAlign w:val="center"/>
          </w:tcPr>
          <w:p w14:paraId="3B1E2455">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olor w:val="auto"/>
                <w:sz w:val="21"/>
                <w:szCs w:val="21"/>
                <w:highlight w:val="none"/>
              </w:rPr>
            </w:pPr>
          </w:p>
        </w:tc>
        <w:tc>
          <w:tcPr>
            <w:tcW w:w="1393" w:type="dxa"/>
            <w:shd w:val="clear" w:color="auto" w:fill="auto"/>
            <w:vAlign w:val="center"/>
          </w:tcPr>
          <w:p w14:paraId="0412F880">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olor w:val="auto"/>
                <w:sz w:val="21"/>
                <w:szCs w:val="21"/>
                <w:highlight w:val="none"/>
              </w:rPr>
            </w:pPr>
            <w:r>
              <w:rPr>
                <w:rFonts w:ascii="Times New Roman" w:hAnsi="Times New Roman"/>
                <w:color w:val="auto"/>
                <w:sz w:val="21"/>
                <w:szCs w:val="21"/>
                <w:highlight w:val="none"/>
              </w:rPr>
              <w:t>污染源年排放量</w:t>
            </w:r>
          </w:p>
        </w:tc>
        <w:tc>
          <w:tcPr>
            <w:tcW w:w="1397" w:type="dxa"/>
            <w:gridSpan w:val="4"/>
            <w:shd w:val="clear" w:color="auto" w:fill="auto"/>
            <w:vAlign w:val="center"/>
          </w:tcPr>
          <w:p w14:paraId="45097D29">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olor w:val="auto"/>
                <w:sz w:val="21"/>
                <w:szCs w:val="21"/>
                <w:highlight w:val="none"/>
              </w:rPr>
            </w:pPr>
            <w:r>
              <w:rPr>
                <w:rFonts w:ascii="Times New Roman" w:hAnsi="Times New Roman"/>
                <w:color w:val="auto"/>
                <w:sz w:val="21"/>
                <w:szCs w:val="21"/>
                <w:highlight w:val="none"/>
              </w:rPr>
              <w:t>SO</w:t>
            </w:r>
            <w:r>
              <w:rPr>
                <w:rFonts w:ascii="Times New Roman" w:hAnsi="Times New Roman"/>
                <w:color w:val="auto"/>
                <w:sz w:val="21"/>
                <w:szCs w:val="21"/>
                <w:highlight w:val="none"/>
                <w:vertAlign w:val="subscript"/>
              </w:rPr>
              <w:t>2</w:t>
            </w:r>
            <w:r>
              <w:rPr>
                <w:rFonts w:ascii="Times New Roman" w:hAnsi="Times New Roman"/>
                <w:color w:val="auto"/>
                <w:sz w:val="21"/>
                <w:szCs w:val="21"/>
                <w:highlight w:val="none"/>
              </w:rPr>
              <w:t>：（</w:t>
            </w:r>
            <w:r>
              <w:rPr>
                <w:rFonts w:hint="eastAsia" w:ascii="Times New Roman" w:hAnsi="Times New Roman"/>
                <w:color w:val="auto"/>
                <w:sz w:val="21"/>
                <w:szCs w:val="21"/>
                <w:highlight w:val="none"/>
              </w:rPr>
              <w:t>/</w:t>
            </w:r>
            <w:r>
              <w:rPr>
                <w:rFonts w:ascii="Times New Roman" w:hAnsi="Times New Roman"/>
                <w:color w:val="auto"/>
                <w:sz w:val="21"/>
                <w:szCs w:val="21"/>
                <w:highlight w:val="none"/>
              </w:rPr>
              <w:t>）t/a</w:t>
            </w:r>
          </w:p>
        </w:tc>
        <w:tc>
          <w:tcPr>
            <w:tcW w:w="1397" w:type="dxa"/>
            <w:gridSpan w:val="3"/>
            <w:shd w:val="clear" w:color="auto" w:fill="auto"/>
            <w:vAlign w:val="center"/>
          </w:tcPr>
          <w:p w14:paraId="4E17B7E4">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olor w:val="auto"/>
                <w:sz w:val="21"/>
                <w:szCs w:val="21"/>
                <w:highlight w:val="none"/>
              </w:rPr>
            </w:pPr>
            <w:r>
              <w:rPr>
                <w:rFonts w:ascii="Times New Roman" w:hAnsi="Times New Roman"/>
                <w:color w:val="auto"/>
                <w:sz w:val="21"/>
                <w:szCs w:val="21"/>
                <w:highlight w:val="none"/>
              </w:rPr>
              <w:t>NOx：（</w:t>
            </w:r>
            <w:r>
              <w:rPr>
                <w:rFonts w:hint="eastAsia" w:ascii="Times New Roman" w:hAnsi="Times New Roman"/>
                <w:color w:val="auto"/>
                <w:sz w:val="21"/>
                <w:szCs w:val="21"/>
                <w:highlight w:val="none"/>
                <w:lang w:val="en-US" w:eastAsia="zh-CN"/>
              </w:rPr>
              <w:t>0.00033</w:t>
            </w:r>
            <w:r>
              <w:rPr>
                <w:rFonts w:ascii="Times New Roman" w:hAnsi="Times New Roman"/>
                <w:color w:val="auto"/>
                <w:sz w:val="21"/>
                <w:szCs w:val="21"/>
                <w:highlight w:val="none"/>
              </w:rPr>
              <w:t>）t/a</w:t>
            </w:r>
          </w:p>
        </w:tc>
        <w:tc>
          <w:tcPr>
            <w:tcW w:w="1397" w:type="dxa"/>
            <w:gridSpan w:val="4"/>
            <w:shd w:val="clear" w:color="auto" w:fill="auto"/>
            <w:vAlign w:val="center"/>
          </w:tcPr>
          <w:p w14:paraId="13C663D2">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olor w:val="auto"/>
                <w:sz w:val="21"/>
                <w:szCs w:val="21"/>
                <w:highlight w:val="none"/>
              </w:rPr>
            </w:pPr>
            <w:r>
              <w:rPr>
                <w:rFonts w:ascii="Times New Roman" w:hAnsi="Times New Roman"/>
                <w:color w:val="auto"/>
                <w:sz w:val="21"/>
                <w:szCs w:val="21"/>
                <w:highlight w:val="none"/>
              </w:rPr>
              <w:t>颗粒物：（</w:t>
            </w:r>
            <w:r>
              <w:rPr>
                <w:rFonts w:hint="eastAsia" w:ascii="Times New Roman" w:hAnsi="Times New Roman"/>
                <w:color w:val="auto"/>
                <w:sz w:val="21"/>
                <w:szCs w:val="21"/>
                <w:highlight w:val="none"/>
              </w:rPr>
              <w:t>/</w:t>
            </w:r>
            <w:r>
              <w:rPr>
                <w:rFonts w:ascii="Times New Roman" w:hAnsi="Times New Roman"/>
                <w:color w:val="auto"/>
                <w:sz w:val="21"/>
                <w:szCs w:val="21"/>
                <w:highlight w:val="none"/>
              </w:rPr>
              <w:t>）t/a</w:t>
            </w:r>
          </w:p>
        </w:tc>
        <w:tc>
          <w:tcPr>
            <w:tcW w:w="1397" w:type="dxa"/>
            <w:gridSpan w:val="4"/>
            <w:shd w:val="clear" w:color="auto" w:fill="auto"/>
            <w:vAlign w:val="center"/>
          </w:tcPr>
          <w:p w14:paraId="685F404F">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olor w:val="auto"/>
                <w:sz w:val="21"/>
                <w:szCs w:val="21"/>
                <w:highlight w:val="none"/>
              </w:rPr>
            </w:pPr>
            <w:r>
              <w:rPr>
                <w:rFonts w:hint="eastAsia" w:ascii="Times New Roman" w:hAnsi="Times New Roman"/>
                <w:color w:val="auto"/>
                <w:sz w:val="21"/>
                <w:szCs w:val="21"/>
                <w:highlight w:val="none"/>
              </w:rPr>
              <w:t>非甲烷总烃</w:t>
            </w:r>
            <w:r>
              <w:rPr>
                <w:rFonts w:ascii="Times New Roman" w:hAnsi="Times New Roman"/>
                <w:color w:val="auto"/>
                <w:sz w:val="21"/>
                <w:szCs w:val="21"/>
                <w:highlight w:val="none"/>
              </w:rPr>
              <w:t>：（</w:t>
            </w:r>
            <w:r>
              <w:rPr>
                <w:rFonts w:hint="eastAsia" w:ascii="Times New Roman" w:hAnsi="Times New Roman"/>
                <w:color w:val="auto"/>
                <w:sz w:val="21"/>
                <w:szCs w:val="21"/>
                <w:highlight w:val="none"/>
                <w:lang w:val="en-US" w:eastAsia="zh-CN"/>
              </w:rPr>
              <w:t>0.1408</w:t>
            </w:r>
            <w:r>
              <w:rPr>
                <w:rFonts w:ascii="Times New Roman" w:hAnsi="Times New Roman"/>
                <w:color w:val="auto"/>
                <w:sz w:val="21"/>
                <w:szCs w:val="21"/>
                <w:highlight w:val="none"/>
              </w:rPr>
              <w:t>）t/a</w:t>
            </w:r>
          </w:p>
        </w:tc>
        <w:tc>
          <w:tcPr>
            <w:tcW w:w="1397" w:type="dxa"/>
            <w:gridSpan w:val="3"/>
            <w:shd w:val="clear" w:color="auto" w:fill="auto"/>
            <w:vAlign w:val="center"/>
          </w:tcPr>
          <w:p w14:paraId="7243E8B3">
            <w:pPr>
              <w:keepNext w:val="0"/>
              <w:keepLines w:val="0"/>
              <w:pageBreakBefore w:val="0"/>
              <w:widowControl/>
              <w:kinsoku/>
              <w:wordWrap/>
              <w:overflowPunct/>
              <w:topLinePunct w:val="0"/>
              <w:autoSpaceDE/>
              <w:autoSpaceDN/>
              <w:bidi w:val="0"/>
              <w:adjustRightInd/>
              <w:snapToGrid/>
              <w:ind w:left="0" w:right="0"/>
              <w:jc w:val="center"/>
              <w:textAlignment w:val="auto"/>
              <w:rPr>
                <w:rFonts w:hint="default" w:ascii="Times New Roman" w:hAnsi="Times New Roman" w:eastAsia="宋体"/>
                <w:color w:val="auto"/>
                <w:sz w:val="21"/>
                <w:szCs w:val="21"/>
                <w:highlight w:val="none"/>
                <w:lang w:val="en-US" w:eastAsia="zh-CN"/>
              </w:rPr>
            </w:pPr>
            <w:r>
              <w:rPr>
                <w:rFonts w:hint="eastAsia" w:ascii="Times New Roman" w:hAnsi="Times New Roman"/>
                <w:color w:val="auto"/>
                <w:sz w:val="21"/>
                <w:szCs w:val="21"/>
                <w:highlight w:val="none"/>
                <w:lang w:val="en-US" w:eastAsia="zh-CN"/>
              </w:rPr>
              <w:t>甲醇：（0.0008）t/a</w:t>
            </w:r>
          </w:p>
        </w:tc>
      </w:tr>
      <w:tr w14:paraId="3E18859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1" w:hRule="atLeast"/>
          <w:jc w:val="center"/>
        </w:trPr>
        <w:tc>
          <w:tcPr>
            <w:tcW w:w="9072" w:type="dxa"/>
            <w:gridSpan w:val="20"/>
            <w:shd w:val="clear" w:color="auto" w:fill="auto"/>
            <w:vAlign w:val="center"/>
          </w:tcPr>
          <w:p w14:paraId="6EA2F240">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olor w:val="auto"/>
                <w:sz w:val="21"/>
                <w:szCs w:val="21"/>
                <w:highlight w:val="none"/>
              </w:rPr>
            </w:pPr>
            <w:r>
              <w:rPr>
                <w:rFonts w:ascii="Times New Roman" w:hAnsi="Times New Roman"/>
                <w:color w:val="auto"/>
                <w:sz w:val="21"/>
                <w:szCs w:val="21"/>
                <w:highlight w:val="none"/>
              </w:rPr>
              <w:t>注：“□”为勾选项，填“√”；“（）”为内容填写项</w:t>
            </w:r>
          </w:p>
        </w:tc>
      </w:tr>
    </w:tbl>
    <w:p w14:paraId="6E9BD7DD">
      <w:pPr>
        <w:ind w:left="-105" w:right="-105" w:firstLine="560"/>
        <w:rPr>
          <w:rFonts w:ascii="Times New Roman"/>
          <w:color w:val="auto"/>
          <w:sz w:val="28"/>
          <w:szCs w:val="28"/>
          <w:highlight w:val="none"/>
        </w:rPr>
      </w:pPr>
      <w:bookmarkStart w:id="388" w:name="_Toc60653557"/>
      <w:r>
        <w:rPr>
          <w:rFonts w:ascii="Times New Roman"/>
          <w:color w:val="auto"/>
          <w:sz w:val="28"/>
          <w:szCs w:val="28"/>
          <w:highlight w:val="none"/>
        </w:rPr>
        <w:br w:type="page"/>
      </w:r>
    </w:p>
    <w:p w14:paraId="08D8C36C">
      <w:pPr>
        <w:pStyle w:val="4"/>
        <w:numPr>
          <w:ilvl w:val="1"/>
          <w:numId w:val="6"/>
        </w:numPr>
        <w:tabs>
          <w:tab w:val="left" w:pos="426"/>
        </w:tabs>
        <w:spacing w:before="120" w:beforeLines="50" w:after="120" w:afterLines="50" w:line="360" w:lineRule="auto"/>
        <w:ind w:left="-105" w:right="-105"/>
        <w:rPr>
          <w:rFonts w:ascii="Times New Roman" w:eastAsia="宋体"/>
          <w:color w:val="auto"/>
          <w:sz w:val="28"/>
          <w:szCs w:val="28"/>
          <w:highlight w:val="none"/>
        </w:rPr>
      </w:pPr>
      <w:bookmarkStart w:id="389" w:name="_Toc15132"/>
      <w:r>
        <w:rPr>
          <w:rFonts w:ascii="Times New Roman" w:eastAsia="宋体"/>
          <w:color w:val="auto"/>
          <w:sz w:val="28"/>
          <w:szCs w:val="28"/>
          <w:highlight w:val="none"/>
        </w:rPr>
        <w:t>地表水环境影响分析</w:t>
      </w:r>
      <w:bookmarkEnd w:id="388"/>
      <w:bookmarkEnd w:id="389"/>
    </w:p>
    <w:p w14:paraId="02EF901E">
      <w:pPr>
        <w:spacing w:line="360" w:lineRule="auto"/>
        <w:ind w:left="-105" w:right="-105" w:firstLine="480"/>
        <w:rPr>
          <w:rFonts w:ascii="Times New Roman" w:hAnsi="Times New Roman"/>
          <w:color w:val="auto"/>
          <w:highlight w:val="none"/>
        </w:rPr>
      </w:pPr>
      <w:r>
        <w:rPr>
          <w:rFonts w:ascii="Times New Roman" w:hAnsi="Times New Roman"/>
          <w:color w:val="auto"/>
          <w:highlight w:val="none"/>
        </w:rPr>
        <w:t>1、</w:t>
      </w:r>
      <w:r>
        <w:rPr>
          <w:rFonts w:ascii="Times New Roman" w:hAnsi="Times New Roman" w:cs="Times New Roman"/>
          <w:color w:val="auto"/>
          <w:highlight w:val="none"/>
        </w:rPr>
        <w:t>本项目废水收集处理及排放情况</w:t>
      </w:r>
    </w:p>
    <w:p w14:paraId="32EB3E16">
      <w:pPr>
        <w:spacing w:line="360" w:lineRule="auto"/>
        <w:ind w:left="-105" w:right="-105" w:firstLine="480"/>
        <w:jc w:val="both"/>
        <w:rPr>
          <w:rFonts w:ascii="Times New Roman" w:hAnsi="Times New Roman"/>
          <w:color w:val="auto"/>
          <w:highlight w:val="none"/>
        </w:rPr>
      </w:pPr>
      <w:r>
        <w:rPr>
          <w:rFonts w:ascii="Times New Roman" w:hAnsi="Times New Roman"/>
          <w:color w:val="auto"/>
          <w:highlight w:val="none"/>
        </w:rPr>
        <w:t>本项目实行雨污分流。</w:t>
      </w:r>
      <w:r>
        <w:rPr>
          <w:rFonts w:hint="eastAsia" w:ascii="Times New Roman" w:hAnsi="Times New Roman"/>
          <w:color w:val="auto"/>
          <w:szCs w:val="22"/>
          <w:highlight w:val="none"/>
        </w:rPr>
        <w:t>生活污水经化粪池预处理后</w:t>
      </w:r>
      <w:r>
        <w:rPr>
          <w:rFonts w:ascii="Times New Roman" w:hAnsi="Times New Roman"/>
          <w:color w:val="auto"/>
          <w:highlight w:val="none"/>
        </w:rPr>
        <w:t>与</w:t>
      </w:r>
      <w:r>
        <w:rPr>
          <w:rFonts w:hint="eastAsia" w:ascii="Times New Roman" w:hAnsi="Times New Roman"/>
          <w:color w:val="auto"/>
          <w:highlight w:val="none"/>
        </w:rPr>
        <w:t>15分钟初期雨水</w:t>
      </w:r>
      <w:r>
        <w:rPr>
          <w:rFonts w:ascii="Times New Roman" w:hAnsi="Times New Roman"/>
          <w:color w:val="auto"/>
          <w:highlight w:val="none"/>
        </w:rPr>
        <w:t>一起进入</w:t>
      </w:r>
      <w:r>
        <w:rPr>
          <w:rFonts w:hint="eastAsia" w:ascii="Times New Roman" w:hAnsi="Times New Roman"/>
          <w:color w:val="auto"/>
          <w:highlight w:val="none"/>
        </w:rPr>
        <w:t>经无锡先进化药化工有限公司处理达标后接入无锡市锡山云林污水处理有限公司</w:t>
      </w:r>
      <w:r>
        <w:rPr>
          <w:rFonts w:ascii="Times New Roman" w:hAnsi="Times New Roman"/>
          <w:color w:val="auto"/>
          <w:highlight w:val="none"/>
        </w:rPr>
        <w:t>，</w:t>
      </w:r>
      <w:r>
        <w:rPr>
          <w:rFonts w:ascii="Times New Roman" w:hAnsi="Times New Roman" w:cs="Times New Roman"/>
          <w:color w:val="auto"/>
          <w:highlight w:val="none"/>
        </w:rPr>
        <w:t>接管水质中达到</w:t>
      </w:r>
      <w:r>
        <w:rPr>
          <w:rFonts w:hint="eastAsia" w:ascii="Times New Roman" w:hAnsi="Times New Roman"/>
          <w:color w:val="auto"/>
          <w:highlight w:val="none"/>
        </w:rPr>
        <w:t>《合成树脂工业污染物排放标准》（GB31572-2015）表2中标准</w:t>
      </w:r>
      <w:r>
        <w:rPr>
          <w:rFonts w:ascii="Times New Roman" w:hAnsi="Times New Roman" w:cs="Times New Roman"/>
          <w:color w:val="auto"/>
          <w:highlight w:val="none"/>
        </w:rPr>
        <w:t>，尾水达</w:t>
      </w:r>
      <w:r>
        <w:rPr>
          <w:rFonts w:hint="eastAsia" w:ascii="Times New Roman" w:hAnsi="Times New Roman" w:cs="Times New Roman"/>
          <w:color w:val="auto"/>
          <w:highlight w:val="none"/>
        </w:rPr>
        <w:t>《城镇污水处理厂污染物排放标准》（</w:t>
      </w:r>
      <w:r>
        <w:rPr>
          <w:rFonts w:ascii="Times New Roman" w:hAnsi="Times New Roman" w:cs="Times New Roman"/>
          <w:color w:val="auto"/>
          <w:highlight w:val="none"/>
        </w:rPr>
        <w:t>DB32/4440-2022）</w:t>
      </w:r>
      <w:r>
        <w:rPr>
          <w:rFonts w:hint="eastAsia" w:ascii="Times New Roman" w:hAnsi="Times New Roman" w:cs="Times New Roman"/>
          <w:color w:val="auto"/>
          <w:highlight w:val="none"/>
        </w:rPr>
        <w:t>表1中</w:t>
      </w:r>
      <w:r>
        <w:rPr>
          <w:rFonts w:ascii="Times New Roman" w:hAnsi="Times New Roman" w:cs="Times New Roman"/>
          <w:color w:val="auto"/>
          <w:highlight w:val="none"/>
        </w:rPr>
        <w:t>C</w:t>
      </w:r>
      <w:r>
        <w:rPr>
          <w:rFonts w:hint="eastAsia" w:ascii="Times New Roman" w:hAnsi="Times New Roman" w:cs="Times New Roman"/>
          <w:color w:val="auto"/>
          <w:highlight w:val="none"/>
        </w:rPr>
        <w:t>级标准</w:t>
      </w:r>
      <w:r>
        <w:rPr>
          <w:rFonts w:ascii="Times New Roman" w:hAnsi="Times New Roman" w:cs="Times New Roman"/>
          <w:color w:val="auto"/>
          <w:highlight w:val="none"/>
        </w:rPr>
        <w:t>后排入</w:t>
      </w:r>
      <w:r>
        <w:rPr>
          <w:rFonts w:hint="eastAsia" w:ascii="Times New Roman" w:hAnsi="Times New Roman" w:cs="Times New Roman"/>
          <w:color w:val="auto"/>
          <w:highlight w:val="none"/>
        </w:rPr>
        <w:t>北兴塘</w:t>
      </w:r>
      <w:r>
        <w:rPr>
          <w:rFonts w:ascii="Times New Roman" w:hAnsi="Times New Roman" w:cs="Times New Roman"/>
          <w:color w:val="auto"/>
          <w:highlight w:val="none"/>
        </w:rPr>
        <w:t>河</w:t>
      </w:r>
      <w:r>
        <w:rPr>
          <w:rFonts w:ascii="Times New Roman" w:hAnsi="Times New Roman"/>
          <w:color w:val="auto"/>
          <w:highlight w:val="none"/>
        </w:rPr>
        <w:t>。</w:t>
      </w:r>
    </w:p>
    <w:p w14:paraId="60924C45">
      <w:pPr>
        <w:spacing w:line="360" w:lineRule="auto"/>
        <w:ind w:left="-105" w:right="-105" w:firstLine="480"/>
        <w:rPr>
          <w:rFonts w:ascii="Times New Roman" w:hAnsi="Times New Roman"/>
          <w:color w:val="auto"/>
          <w:highlight w:val="none"/>
        </w:rPr>
      </w:pPr>
      <w:r>
        <w:rPr>
          <w:rFonts w:ascii="Times New Roman" w:hAnsi="Times New Roman"/>
          <w:color w:val="auto"/>
          <w:highlight w:val="none"/>
        </w:rPr>
        <w:t>2、</w:t>
      </w:r>
      <w:r>
        <w:rPr>
          <w:rFonts w:ascii="Times New Roman" w:hAnsi="Times New Roman" w:cs="Times New Roman"/>
          <w:color w:val="auto"/>
          <w:highlight w:val="none"/>
        </w:rPr>
        <w:t>评价内容及范围</w:t>
      </w:r>
    </w:p>
    <w:p w14:paraId="64A18F1C">
      <w:pPr>
        <w:spacing w:line="360" w:lineRule="auto"/>
        <w:ind w:left="-105" w:right="-105" w:firstLine="480"/>
        <w:rPr>
          <w:rFonts w:ascii="Times New Roman" w:hAnsi="Times New Roman"/>
          <w:color w:val="auto"/>
          <w:highlight w:val="none"/>
        </w:rPr>
      </w:pPr>
      <w:r>
        <w:rPr>
          <w:rFonts w:hint="eastAsia" w:ascii="Times New Roman" w:hAnsi="Times New Roman"/>
          <w:color w:val="auto"/>
          <w:highlight w:val="none"/>
        </w:rPr>
        <w:t>全厂产生的生活污水和初期雨水经无锡先进化药化工有限公司处理达标后接入无锡市锡山云林污水处理有限公司，属于间接排放。本项目废水为接管后排放，根据《环境影响评价技术导则-地表水环境》（HJ2.3-2018），本项目为水污染影响型，根据水污染影响型建设项目评价等级判定标准（见表2.4</w:t>
      </w:r>
      <w:r>
        <w:rPr>
          <w:rFonts w:hint="eastAsia" w:ascii="Times New Roman" w:hAnsi="Times New Roman"/>
          <w:color w:val="auto"/>
          <w:highlight w:val="none"/>
        </w:rPr>
        <w:noBreakHyphen/>
      </w:r>
      <w:r>
        <w:rPr>
          <w:rFonts w:hint="eastAsia" w:ascii="Times New Roman" w:hAnsi="Times New Roman"/>
          <w:color w:val="auto"/>
          <w:highlight w:val="none"/>
        </w:rPr>
        <w:t>5），本项目评价等级为三级B。</w:t>
      </w:r>
    </w:p>
    <w:p w14:paraId="1E55F037">
      <w:pPr>
        <w:spacing w:line="360" w:lineRule="auto"/>
        <w:ind w:left="-105" w:right="-105" w:firstLine="480"/>
        <w:rPr>
          <w:rFonts w:ascii="Times New Roman" w:hAnsi="Times New Roman"/>
          <w:color w:val="auto"/>
          <w:highlight w:val="none"/>
        </w:rPr>
      </w:pPr>
      <w:r>
        <w:rPr>
          <w:rFonts w:hint="eastAsia" w:ascii="Times New Roman" w:hAnsi="Times New Roman"/>
          <w:color w:val="auto"/>
          <w:highlight w:val="none"/>
        </w:rPr>
        <w:t>本项目不涉及新增废水排放，废水排放方式也无变动，本报告不再对废水排放情况进行分析评价，也不对依托污染处理设施环境可行性进行分析。</w:t>
      </w:r>
    </w:p>
    <w:p w14:paraId="20E3E498">
      <w:pPr>
        <w:pStyle w:val="4"/>
        <w:numPr>
          <w:ilvl w:val="1"/>
          <w:numId w:val="6"/>
        </w:numPr>
        <w:tabs>
          <w:tab w:val="left" w:pos="426"/>
        </w:tabs>
        <w:spacing w:before="120" w:beforeLines="50" w:after="120" w:afterLines="50" w:line="360" w:lineRule="auto"/>
        <w:ind w:left="-105" w:right="-105"/>
        <w:rPr>
          <w:rFonts w:ascii="Times New Roman" w:eastAsia="宋体"/>
          <w:color w:val="auto"/>
          <w:sz w:val="28"/>
          <w:szCs w:val="28"/>
          <w:highlight w:val="none"/>
        </w:rPr>
      </w:pPr>
      <w:bookmarkStart w:id="390" w:name="_Toc60653561"/>
      <w:bookmarkStart w:id="391" w:name="_Toc14203"/>
      <w:bookmarkStart w:id="392" w:name="_Toc459041306"/>
      <w:r>
        <w:rPr>
          <w:rFonts w:ascii="Times New Roman" w:eastAsia="宋体"/>
          <w:color w:val="auto"/>
          <w:sz w:val="28"/>
          <w:szCs w:val="28"/>
          <w:highlight w:val="none"/>
        </w:rPr>
        <w:t>地下水环境影响分析</w:t>
      </w:r>
      <w:bookmarkEnd w:id="390"/>
      <w:bookmarkEnd w:id="391"/>
    </w:p>
    <w:p w14:paraId="4AEDFBB9">
      <w:pPr>
        <w:spacing w:line="360" w:lineRule="auto"/>
        <w:ind w:left="-105" w:right="-105" w:firstLine="480" w:firstLineChars="200"/>
        <w:rPr>
          <w:rFonts w:ascii="Times New Roman" w:hAnsi="Times New Roman"/>
          <w:color w:val="auto"/>
          <w:highlight w:val="none"/>
        </w:rPr>
      </w:pPr>
      <w:r>
        <w:rPr>
          <w:rFonts w:ascii="Times New Roman" w:hAnsi="Times New Roman"/>
          <w:color w:val="auto"/>
          <w:highlight w:val="none"/>
        </w:rPr>
        <w:t>根据《环境影响评价技术导则-地下水环境》（HJ610-2016）</w:t>
      </w:r>
      <w:r>
        <w:rPr>
          <w:rFonts w:hint="eastAsia" w:ascii="Times New Roman" w:hAnsi="Times New Roman"/>
          <w:color w:val="auto"/>
          <w:highlight w:val="none"/>
        </w:rPr>
        <w:t>“</w:t>
      </w:r>
      <w:r>
        <w:rPr>
          <w:rFonts w:ascii="Times New Roman" w:hAnsi="Times New Roman"/>
          <w:color w:val="auto"/>
          <w:highlight w:val="none"/>
        </w:rPr>
        <w:t>附录A</w:t>
      </w:r>
      <w:r>
        <w:rPr>
          <w:rFonts w:hint="eastAsia" w:ascii="Times New Roman" w:hAnsi="Times New Roman"/>
          <w:color w:val="auto"/>
          <w:highlight w:val="none"/>
        </w:rPr>
        <w:t>”</w:t>
      </w:r>
      <w:r>
        <w:rPr>
          <w:rFonts w:ascii="Times New Roman" w:hAnsi="Times New Roman"/>
          <w:color w:val="auto"/>
          <w:highlight w:val="none"/>
        </w:rPr>
        <w:t>中的建设项目分类，本项目属于</w:t>
      </w:r>
      <w:r>
        <w:rPr>
          <w:rFonts w:hint="eastAsia" w:ascii="Times New Roman" w:hAnsi="Times New Roman"/>
          <w:color w:val="auto"/>
          <w:highlight w:val="none"/>
        </w:rPr>
        <w:t>“K机械、电子82、半导体材料、电子陶瓷、有机薄膜、荧光粉、贵金属粉等电子专用材料”，</w:t>
      </w:r>
      <w:r>
        <w:rPr>
          <w:rFonts w:ascii="Times New Roman" w:hAnsi="Times New Roman"/>
          <w:color w:val="auto"/>
          <w:highlight w:val="none"/>
        </w:rPr>
        <w:t>属于</w:t>
      </w:r>
      <w:r>
        <w:rPr>
          <w:rFonts w:ascii="Times New Roman" w:hAnsi="Times New Roman" w:cs="Times New Roman"/>
          <w:color w:val="auto"/>
          <w:highlight w:val="none"/>
        </w:rPr>
        <w:t>Ⅳ</w:t>
      </w:r>
      <w:r>
        <w:rPr>
          <w:rFonts w:ascii="Times New Roman" w:hAnsi="Times New Roman"/>
          <w:color w:val="auto"/>
          <w:highlight w:val="none"/>
        </w:rPr>
        <w:t>类建设项目</w:t>
      </w:r>
      <w:r>
        <w:rPr>
          <w:rFonts w:hint="eastAsia" w:ascii="Times New Roman" w:hAnsi="Times New Roman"/>
          <w:color w:val="auto"/>
          <w:highlight w:val="none"/>
        </w:rPr>
        <w:t>，建设项目不开展地下水环境影响评价</w:t>
      </w:r>
      <w:r>
        <w:rPr>
          <w:rFonts w:ascii="Times New Roman" w:hAnsi="Times New Roman"/>
          <w:color w:val="auto"/>
          <w:highlight w:val="none"/>
        </w:rPr>
        <w:t>。</w:t>
      </w:r>
    </w:p>
    <w:p w14:paraId="083C923F">
      <w:pPr>
        <w:ind w:left="-105" w:right="-105"/>
        <w:rPr>
          <w:rFonts w:ascii="Times New Roman" w:hAnsi="Times New Roman"/>
          <w:color w:val="auto"/>
          <w:highlight w:val="none"/>
        </w:rPr>
      </w:pPr>
      <w:r>
        <w:rPr>
          <w:rFonts w:ascii="Times New Roman" w:hAnsi="Times New Roman"/>
          <w:color w:val="auto"/>
          <w:highlight w:val="none"/>
        </w:rPr>
        <w:br w:type="page"/>
      </w:r>
    </w:p>
    <w:p w14:paraId="4E06B63A">
      <w:pPr>
        <w:pStyle w:val="4"/>
        <w:numPr>
          <w:ilvl w:val="1"/>
          <w:numId w:val="6"/>
        </w:numPr>
        <w:tabs>
          <w:tab w:val="left" w:pos="426"/>
        </w:tabs>
        <w:spacing w:before="120" w:beforeLines="50" w:after="120" w:afterLines="50" w:line="360" w:lineRule="auto"/>
        <w:ind w:left="-105" w:right="-105"/>
        <w:rPr>
          <w:rFonts w:ascii="Times New Roman" w:eastAsia="宋体"/>
          <w:color w:val="auto"/>
          <w:sz w:val="28"/>
          <w:szCs w:val="28"/>
          <w:highlight w:val="none"/>
        </w:rPr>
      </w:pPr>
      <w:bookmarkStart w:id="393" w:name="_Toc2761"/>
      <w:bookmarkStart w:id="394" w:name="_Toc60653565"/>
      <w:r>
        <w:rPr>
          <w:rFonts w:ascii="Times New Roman" w:eastAsia="宋体"/>
          <w:color w:val="auto"/>
          <w:sz w:val="28"/>
          <w:szCs w:val="28"/>
          <w:highlight w:val="none"/>
        </w:rPr>
        <w:t>土壤环境影响分析</w:t>
      </w:r>
      <w:bookmarkEnd w:id="393"/>
      <w:bookmarkEnd w:id="394"/>
    </w:p>
    <w:p w14:paraId="22C2ED94">
      <w:pPr>
        <w:spacing w:line="360" w:lineRule="auto"/>
        <w:ind w:left="-105" w:right="-105" w:firstLine="480" w:firstLineChars="200"/>
        <w:rPr>
          <w:rFonts w:ascii="Times New Roman" w:hAnsi="Times New Roman"/>
          <w:b/>
          <w:bCs/>
          <w:color w:val="auto"/>
          <w:highlight w:val="none"/>
        </w:rPr>
      </w:pPr>
      <w:r>
        <w:rPr>
          <w:rFonts w:ascii="Times New Roman" w:hAnsi="Times New Roman" w:cs="Times New Roman"/>
          <w:color w:val="auto"/>
          <w:highlight w:val="none"/>
        </w:rPr>
        <w:t>根据《环境影响评价技术导则土壤环境（HJ964-2018）》，本项目土壤评价等级判定为</w:t>
      </w:r>
      <w:r>
        <w:rPr>
          <w:rFonts w:hint="eastAsia" w:ascii="Times New Roman" w:hAnsi="Times New Roman" w:cs="Times New Roman"/>
          <w:color w:val="auto"/>
          <w:highlight w:val="none"/>
        </w:rPr>
        <w:t>二</w:t>
      </w:r>
      <w:r>
        <w:rPr>
          <w:rFonts w:ascii="Times New Roman" w:hAnsi="Times New Roman" w:cs="Times New Roman"/>
          <w:color w:val="auto"/>
          <w:highlight w:val="none"/>
        </w:rPr>
        <w:t>级评价。</w:t>
      </w:r>
    </w:p>
    <w:p w14:paraId="2B3DC43B">
      <w:pPr>
        <w:pStyle w:val="5"/>
        <w:keepLines w:val="0"/>
        <w:numPr>
          <w:ilvl w:val="2"/>
          <w:numId w:val="0"/>
        </w:numPr>
        <w:tabs>
          <w:tab w:val="left" w:pos="567"/>
          <w:tab w:val="left" w:pos="709"/>
          <w:tab w:val="left" w:pos="993"/>
          <w:tab w:val="left" w:pos="6663"/>
        </w:tabs>
        <w:spacing w:before="0" w:after="0" w:line="360" w:lineRule="auto"/>
        <w:ind w:right="-105"/>
        <w:rPr>
          <w:rFonts w:eastAsia="宋体"/>
          <w:color w:val="auto"/>
          <w:sz w:val="28"/>
          <w:szCs w:val="28"/>
          <w:highlight w:val="none"/>
        </w:rPr>
      </w:pPr>
      <w:bookmarkStart w:id="395" w:name="_Toc60653566"/>
      <w:r>
        <w:rPr>
          <w:rFonts w:hint="eastAsia" w:eastAsia="宋体"/>
          <w:color w:val="auto"/>
          <w:sz w:val="28"/>
          <w:szCs w:val="28"/>
          <w:highlight w:val="none"/>
        </w:rPr>
        <w:t>6.4.1</w:t>
      </w:r>
      <w:r>
        <w:rPr>
          <w:rFonts w:eastAsia="宋体"/>
          <w:color w:val="auto"/>
          <w:sz w:val="28"/>
          <w:szCs w:val="28"/>
          <w:highlight w:val="none"/>
        </w:rPr>
        <w:t>土壤环境特征</w:t>
      </w:r>
      <w:bookmarkEnd w:id="395"/>
    </w:p>
    <w:p w14:paraId="56E0EEB7">
      <w:pPr>
        <w:spacing w:line="360" w:lineRule="auto"/>
        <w:ind w:left="-105" w:right="-105" w:firstLine="480" w:firstLineChars="200"/>
        <w:rPr>
          <w:rFonts w:ascii="Times New Roman" w:hAnsi="Times New Roman"/>
          <w:color w:val="auto"/>
          <w:highlight w:val="none"/>
        </w:rPr>
      </w:pPr>
      <w:r>
        <w:rPr>
          <w:rFonts w:ascii="Times New Roman" w:hAnsi="Times New Roman"/>
          <w:color w:val="auto"/>
          <w:highlight w:val="none"/>
        </w:rPr>
        <w:t>根据厂区勘察资料分析，</w:t>
      </w:r>
      <w:r>
        <w:rPr>
          <w:rFonts w:hint="eastAsia" w:ascii="Times New Roman" w:hAnsi="Times New Roman"/>
          <w:color w:val="auto"/>
          <w:highlight w:val="none"/>
        </w:rPr>
        <w:t>拟建场地在勘探深度内均为第四纪冲积、淤积层，属长江中下游冲积层。场地地表下25.2米深范围内土层，呈多层结构，按土类不同，可分为7个层次，各土层基本上为水平层状分布，土层垂直分布（由浅至深）及特征描述于下：</w:t>
      </w:r>
    </w:p>
    <w:p w14:paraId="4BB2977E">
      <w:pPr>
        <w:spacing w:line="360" w:lineRule="auto"/>
        <w:ind w:left="-105" w:right="-105" w:firstLine="480" w:firstLineChars="200"/>
        <w:rPr>
          <w:rFonts w:ascii="Times New Roman" w:hAnsi="Times New Roman"/>
          <w:color w:val="auto"/>
          <w:highlight w:val="none"/>
        </w:rPr>
      </w:pPr>
      <w:r>
        <w:rPr>
          <w:rFonts w:hint="eastAsia" w:ascii="Times New Roman" w:hAnsi="Times New Roman"/>
          <w:color w:val="auto"/>
          <w:highlight w:val="none"/>
        </w:rPr>
        <w:t>（1）填土：杂色，松软，表部为耕土，含植物根茎，偶含碎破块，均匀性及稳定性差。层厚0.6~2.4m。该层层底标高1.99~3.87m。</w:t>
      </w:r>
    </w:p>
    <w:p w14:paraId="70DAE4FE">
      <w:pPr>
        <w:spacing w:line="360" w:lineRule="auto"/>
        <w:ind w:left="-105" w:right="-105" w:firstLine="480" w:firstLineChars="200"/>
        <w:rPr>
          <w:rFonts w:ascii="Times New Roman" w:hAnsi="Times New Roman"/>
          <w:color w:val="auto"/>
          <w:highlight w:val="none"/>
        </w:rPr>
      </w:pPr>
      <w:r>
        <w:rPr>
          <w:rFonts w:hint="eastAsia" w:ascii="Times New Roman" w:hAnsi="Times New Roman"/>
          <w:color w:val="auto"/>
          <w:highlight w:val="none"/>
        </w:rPr>
        <w:t>（2）粉质粘土：灰黄色，硬塑状为主，局部为可塑，含铁锰氧化物条斑及其结核，无摇振反应，切面有光泽，干强度和韧性中~高，中等压缩性。该层土普遍分布，层厚3.4~5.2m。该层层底标高-1.65~-0.73m。</w:t>
      </w:r>
    </w:p>
    <w:p w14:paraId="44A577CD">
      <w:pPr>
        <w:spacing w:line="360" w:lineRule="auto"/>
        <w:ind w:left="-105" w:right="-105" w:firstLine="480" w:firstLineChars="200"/>
        <w:rPr>
          <w:rFonts w:ascii="Times New Roman" w:hAnsi="Times New Roman"/>
          <w:color w:val="auto"/>
          <w:highlight w:val="none"/>
        </w:rPr>
      </w:pPr>
      <w:r>
        <w:rPr>
          <w:rFonts w:hint="eastAsia" w:ascii="Times New Roman" w:hAnsi="Times New Roman"/>
          <w:color w:val="auto"/>
          <w:highlight w:val="none"/>
        </w:rPr>
        <w:t>（3）粉质粘土夹粉土：灰黄色～灰色，软塑状，含云母碎屑，具层里，切面无光泽，干强度中“低、韧性中～低。该层土普遍分布，层厚5.1~8.2m。该层层底标高-9.37~-6.51m。</w:t>
      </w:r>
    </w:p>
    <w:p w14:paraId="0041ABA4">
      <w:pPr>
        <w:spacing w:line="360" w:lineRule="auto"/>
        <w:ind w:left="-105" w:right="-105" w:firstLine="480" w:firstLineChars="200"/>
        <w:rPr>
          <w:rFonts w:ascii="Times New Roman" w:hAnsi="Times New Roman"/>
          <w:color w:val="auto"/>
          <w:highlight w:val="none"/>
        </w:rPr>
      </w:pPr>
      <w:r>
        <w:rPr>
          <w:rFonts w:hint="eastAsia" w:ascii="Times New Roman" w:hAnsi="Times New Roman"/>
          <w:color w:val="auto"/>
          <w:highlight w:val="none"/>
        </w:rPr>
        <w:t>（3-J）粉土：灰色，稍密，夹粉质粘土，摇震反应中等，干强度和韧性低，中压缩性。该层非全场分布，二工场车间东南角与恒温仓库西南角处渐变为粉质粘土，厚度1.5~2.7m。该层层底标高-9.21~-8.52m。</w:t>
      </w:r>
    </w:p>
    <w:p w14:paraId="25FBA1CF">
      <w:pPr>
        <w:spacing w:line="360" w:lineRule="auto"/>
        <w:ind w:left="-105" w:right="-105" w:firstLine="480" w:firstLineChars="200"/>
        <w:rPr>
          <w:rFonts w:ascii="Times New Roman" w:hAnsi="Times New Roman"/>
          <w:color w:val="auto"/>
          <w:highlight w:val="none"/>
        </w:rPr>
      </w:pPr>
      <w:r>
        <w:rPr>
          <w:rFonts w:hint="eastAsia" w:ascii="Times New Roman" w:hAnsi="Times New Roman"/>
          <w:color w:val="auto"/>
          <w:highlight w:val="none"/>
        </w:rPr>
        <w:t>（4）粉质粘土：灰色～灰褐色，可塑~硬可塑状，含铁锰氧化物，无摇震反应，切面有光泽，干强度和韧性中等，中等压缩性。厚度1.5~2.3m。该层层底标高-11.46~-10.69m。</w:t>
      </w:r>
    </w:p>
    <w:p w14:paraId="7A3876EB">
      <w:pPr>
        <w:spacing w:line="360" w:lineRule="auto"/>
        <w:ind w:left="-105" w:right="-105" w:firstLine="480" w:firstLineChars="200"/>
        <w:rPr>
          <w:rFonts w:ascii="Times New Roman" w:hAnsi="Times New Roman"/>
          <w:color w:val="auto"/>
          <w:highlight w:val="none"/>
        </w:rPr>
      </w:pPr>
      <w:r>
        <w:rPr>
          <w:rFonts w:hint="eastAsia" w:ascii="Times New Roman" w:hAnsi="Times New Roman"/>
          <w:color w:val="auto"/>
          <w:highlight w:val="none"/>
        </w:rPr>
        <w:t>（5）粉质粘土：褐黄色，可塑～硬塑状，含铁锰氧化物，无摇震反应，切面有光泽，干强度和韧性中等。该层厚度在7.6~8.3m,层底标高-19.36~-18.83m。</w:t>
      </w:r>
    </w:p>
    <w:p w14:paraId="5D84C1CA">
      <w:pPr>
        <w:spacing w:line="360" w:lineRule="auto"/>
        <w:ind w:left="-105" w:right="-105" w:firstLine="480" w:firstLineChars="200"/>
        <w:rPr>
          <w:rFonts w:ascii="Times New Roman" w:hAnsi="Times New Roman"/>
          <w:color w:val="auto"/>
          <w:highlight w:val="none"/>
        </w:rPr>
      </w:pPr>
      <w:r>
        <w:rPr>
          <w:rFonts w:hint="eastAsia" w:ascii="Times New Roman" w:hAnsi="Times New Roman"/>
          <w:color w:val="auto"/>
          <w:highlight w:val="none"/>
        </w:rPr>
        <w:t>（6）粉质粘土：灰黄色，软塑”可塑状，偶夹粉土，切面稍有光泽，干强度和韧性中等。该层未揭穿。</w:t>
      </w:r>
    </w:p>
    <w:p w14:paraId="32F7B5F3">
      <w:pPr>
        <w:pStyle w:val="5"/>
        <w:keepLines w:val="0"/>
        <w:numPr>
          <w:ilvl w:val="2"/>
          <w:numId w:val="0"/>
        </w:numPr>
        <w:tabs>
          <w:tab w:val="left" w:pos="567"/>
          <w:tab w:val="left" w:pos="709"/>
          <w:tab w:val="left" w:pos="993"/>
          <w:tab w:val="left" w:pos="6663"/>
        </w:tabs>
        <w:spacing w:before="0" w:after="0" w:line="360" w:lineRule="auto"/>
        <w:ind w:right="-105"/>
        <w:rPr>
          <w:rFonts w:eastAsia="宋体"/>
          <w:color w:val="auto"/>
          <w:sz w:val="28"/>
          <w:szCs w:val="24"/>
          <w:highlight w:val="none"/>
        </w:rPr>
      </w:pPr>
      <w:bookmarkStart w:id="396" w:name="_Toc60653567"/>
      <w:r>
        <w:rPr>
          <w:rFonts w:hint="eastAsia" w:eastAsia="宋体"/>
          <w:color w:val="auto"/>
          <w:sz w:val="28"/>
          <w:szCs w:val="24"/>
          <w:highlight w:val="none"/>
        </w:rPr>
        <w:t>6.4.2</w:t>
      </w:r>
      <w:r>
        <w:rPr>
          <w:rFonts w:eastAsia="宋体"/>
          <w:color w:val="auto"/>
          <w:sz w:val="28"/>
          <w:szCs w:val="24"/>
          <w:highlight w:val="none"/>
        </w:rPr>
        <w:t>土壤影响途径</w:t>
      </w:r>
      <w:bookmarkEnd w:id="396"/>
    </w:p>
    <w:p w14:paraId="34C84C64">
      <w:pPr>
        <w:pStyle w:val="97"/>
        <w:spacing w:line="360" w:lineRule="auto"/>
        <w:ind w:left="-105" w:right="-105" w:firstLine="480"/>
        <w:rPr>
          <w:rFonts w:eastAsia="宋体"/>
          <w:color w:val="auto"/>
          <w:kern w:val="0"/>
          <w:sz w:val="24"/>
          <w:highlight w:val="none"/>
        </w:rPr>
      </w:pPr>
      <w:bookmarkStart w:id="397" w:name="_Toc60653568"/>
      <w:r>
        <w:rPr>
          <w:rFonts w:eastAsia="宋体"/>
          <w:color w:val="auto"/>
          <w:kern w:val="0"/>
          <w:sz w:val="24"/>
          <w:highlight w:val="none"/>
        </w:rPr>
        <w:t>土壤污染是指人类活动所产生的物质（污染物），通过多种途径进入土壤，其数量和速度超过了土壤的容纳能力和净化速度的现象。土壤污染可使土壤的性质、组成及性状等发生变化，使污染物质的积累过程逐渐占据优势，破坏了土壤的自然动态平衡，从而导致土壤自然正常功能失调，土壤质量恶化，影响作物的生长发育，以致造成产量和质量的下降，并可通过食物链引起对生物和人类的直接危害，甚至形成对有机生命的超地方性的危害。</w:t>
      </w:r>
    </w:p>
    <w:p w14:paraId="286650D8">
      <w:pPr>
        <w:pStyle w:val="97"/>
        <w:spacing w:line="360" w:lineRule="auto"/>
        <w:ind w:left="-105" w:right="-105" w:firstLine="480"/>
        <w:rPr>
          <w:rFonts w:eastAsia="宋体"/>
          <w:color w:val="auto"/>
          <w:kern w:val="0"/>
          <w:sz w:val="24"/>
          <w:highlight w:val="none"/>
        </w:rPr>
      </w:pPr>
      <w:r>
        <w:rPr>
          <w:rFonts w:eastAsia="宋体"/>
          <w:color w:val="auto"/>
          <w:kern w:val="0"/>
          <w:sz w:val="24"/>
          <w:highlight w:val="none"/>
        </w:rPr>
        <w:t>本工程污染物质可以通过多种途径进入土壤，主要类型有以下三种：</w:t>
      </w:r>
    </w:p>
    <w:p w14:paraId="2F6FD4EF">
      <w:pPr>
        <w:adjustRightInd w:val="0"/>
        <w:snapToGrid w:val="0"/>
        <w:spacing w:line="360" w:lineRule="auto"/>
        <w:ind w:left="-105" w:right="-105" w:firstLine="480" w:firstLineChars="200"/>
        <w:rPr>
          <w:rFonts w:ascii="Times New Roman" w:hAnsi="Times New Roman" w:cs="Times New Roman"/>
          <w:color w:val="auto"/>
          <w:highlight w:val="none"/>
        </w:rPr>
      </w:pPr>
      <w:r>
        <w:rPr>
          <w:rFonts w:ascii="Times New Roman" w:hAnsi="Times New Roman" w:cs="Times New Roman"/>
          <w:color w:val="auto"/>
          <w:highlight w:val="none"/>
        </w:rPr>
        <w:t>（1）大气降尘型：工程经治理后排放的大气污染物，通过降水、扩散和重力作用降落至地面，渗透进入土壤，进而污染土壤环境；</w:t>
      </w:r>
    </w:p>
    <w:p w14:paraId="4FE44524">
      <w:pPr>
        <w:adjustRightInd w:val="0"/>
        <w:snapToGrid w:val="0"/>
        <w:spacing w:line="360" w:lineRule="auto"/>
        <w:ind w:left="-105" w:right="-105" w:firstLine="480" w:firstLineChars="200"/>
        <w:rPr>
          <w:rFonts w:ascii="Times New Roman" w:hAnsi="Times New Roman" w:cs="Times New Roman"/>
          <w:color w:val="auto"/>
          <w:highlight w:val="none"/>
        </w:rPr>
      </w:pPr>
      <w:r>
        <w:rPr>
          <w:rFonts w:ascii="Times New Roman" w:hAnsi="Times New Roman" w:cs="Times New Roman"/>
          <w:color w:val="auto"/>
          <w:highlight w:val="none"/>
        </w:rPr>
        <w:t>（2）泄漏污染型：工程设备在线物料、原料库液态原料，发生输送管道破裂或设备、池体破损导致泄漏事故，未进行及时处理，通过垂直入渗方式或地面漫流方式进入周围环境，将会污染周围土壤环境；</w:t>
      </w:r>
    </w:p>
    <w:p w14:paraId="2C64FE28">
      <w:pPr>
        <w:adjustRightInd w:val="0"/>
        <w:snapToGrid w:val="0"/>
        <w:spacing w:line="360" w:lineRule="auto"/>
        <w:ind w:left="-105" w:right="-105" w:firstLine="480" w:firstLineChars="200"/>
        <w:rPr>
          <w:rFonts w:ascii="Times New Roman" w:hAnsi="Times New Roman" w:cs="Times New Roman"/>
          <w:color w:val="auto"/>
          <w:highlight w:val="none"/>
        </w:rPr>
      </w:pPr>
      <w:r>
        <w:rPr>
          <w:rFonts w:ascii="Times New Roman" w:hAnsi="Times New Roman" w:cs="Times New Roman"/>
          <w:color w:val="auto"/>
          <w:highlight w:val="none"/>
        </w:rPr>
        <w:t>（3）固体废物污染型：项目厂区危险废物、一般工业固体废物、生活垃圾等在运输、贮存或堆放过程中通过扩散、降水淋洗等通过地面漫流形式直接或间接地影响土壤。</w:t>
      </w:r>
    </w:p>
    <w:p w14:paraId="21E53ED8">
      <w:pPr>
        <w:adjustRightInd w:val="0"/>
        <w:snapToGrid w:val="0"/>
        <w:spacing w:line="360" w:lineRule="auto"/>
        <w:ind w:left="-105" w:right="-105" w:firstLine="480" w:firstLineChars="200"/>
        <w:rPr>
          <w:color w:val="auto"/>
          <w:highlight w:val="none"/>
        </w:rPr>
      </w:pPr>
      <w:r>
        <w:rPr>
          <w:rFonts w:hint="eastAsia"/>
          <w:color w:val="auto"/>
          <w:highlight w:val="none"/>
        </w:rPr>
        <w:t>本项目</w:t>
      </w:r>
      <w:r>
        <w:rPr>
          <w:color w:val="auto"/>
          <w:highlight w:val="none"/>
        </w:rPr>
        <w:t>营运期</w:t>
      </w:r>
      <w:r>
        <w:rPr>
          <w:rFonts w:hint="eastAsia"/>
          <w:color w:val="auto"/>
          <w:highlight w:val="none"/>
        </w:rPr>
        <w:t>混合、过滤、取样分析、收缸</w:t>
      </w:r>
      <w:r>
        <w:rPr>
          <w:color w:val="auto"/>
          <w:highlight w:val="none"/>
        </w:rPr>
        <w:t>等工序有机废气外排对土壤有大气沉降影响；危废仓库、</w:t>
      </w:r>
      <w:r>
        <w:rPr>
          <w:rFonts w:hint="eastAsia"/>
          <w:color w:val="auto"/>
          <w:highlight w:val="none"/>
        </w:rPr>
        <w:t>废液储罐</w:t>
      </w:r>
      <w:r>
        <w:rPr>
          <w:color w:val="auto"/>
          <w:highlight w:val="none"/>
        </w:rPr>
        <w:t>在发生渗漏且地面防渗措施失效情况下垂直渗入土壤造成的污染影响，因此本项目土壤环境影响类型为“污染影响型”。</w:t>
      </w:r>
    </w:p>
    <w:p w14:paraId="1AA6D33C">
      <w:pPr>
        <w:pStyle w:val="2"/>
        <w:keepNext w:val="0"/>
        <w:keepLines w:val="0"/>
        <w:pageBreakBefore w:val="0"/>
        <w:widowControl/>
        <w:kinsoku/>
        <w:wordWrap/>
        <w:overflowPunct/>
        <w:topLinePunct w:val="0"/>
        <w:autoSpaceDE/>
        <w:autoSpaceDN/>
        <w:bidi w:val="0"/>
        <w:adjustRightInd w:val="0"/>
        <w:snapToGrid w:val="0"/>
        <w:jc w:val="both"/>
        <w:textAlignment w:val="auto"/>
        <w:rPr>
          <w:color w:val="auto"/>
          <w:highlight w:val="none"/>
        </w:rPr>
      </w:pPr>
      <w:r>
        <w:rPr>
          <w:rFonts w:hint="eastAsia"/>
          <w:color w:val="auto"/>
          <w:highlight w:val="none"/>
          <w:lang w:val="en-US" w:eastAsia="zh-CN"/>
        </w:rPr>
        <w:t>根据企业</w:t>
      </w:r>
      <w:r>
        <w:rPr>
          <w:rFonts w:hint="eastAsia" w:ascii="Times New Roman" w:hAnsi="Times New Roman"/>
          <w:color w:val="auto"/>
          <w:highlight w:val="none"/>
        </w:rPr>
        <w:t>2021年9月2~11日委托无锡精纬计量检验检测有限公司</w:t>
      </w:r>
      <w:r>
        <w:rPr>
          <w:rFonts w:hint="eastAsia" w:ascii="Times New Roman" w:hAnsi="Times New Roman"/>
          <w:color w:val="auto"/>
          <w:highlight w:val="none"/>
          <w:lang w:eastAsia="zh-CN"/>
        </w:rPr>
        <w:t>、</w:t>
      </w:r>
      <w:r>
        <w:rPr>
          <w:rFonts w:hint="eastAsia" w:ascii="Times New Roman" w:hAnsi="Times New Roman"/>
          <w:color w:val="auto"/>
          <w:highlight w:val="none"/>
        </w:rPr>
        <w:t>2023年6月16日委托江苏格林勒斯检测科技有限公司</w:t>
      </w:r>
      <w:r>
        <w:rPr>
          <w:rFonts w:hint="eastAsia" w:ascii="Times New Roman" w:hAnsi="Times New Roman"/>
          <w:color w:val="auto"/>
          <w:highlight w:val="none"/>
          <w:lang w:eastAsia="zh-CN"/>
        </w:rPr>
        <w:t>、</w:t>
      </w:r>
      <w:r>
        <w:rPr>
          <w:rFonts w:hint="eastAsia" w:ascii="Times New Roman" w:hAnsi="Times New Roman"/>
          <w:color w:val="auto"/>
          <w:highlight w:val="none"/>
          <w:lang w:val="en-US" w:eastAsia="zh-CN"/>
        </w:rPr>
        <w:t>2024年4月25日、5月10日</w:t>
      </w:r>
      <w:r>
        <w:rPr>
          <w:rFonts w:hint="eastAsia" w:ascii="Times New Roman" w:hAnsi="Times New Roman"/>
          <w:color w:val="auto"/>
          <w:highlight w:val="none"/>
        </w:rPr>
        <w:t>委托无锡市恒信安全技术服务有限公司</w:t>
      </w:r>
      <w:r>
        <w:rPr>
          <w:rFonts w:hint="eastAsia"/>
          <w:color w:val="auto"/>
          <w:highlight w:val="none"/>
        </w:rPr>
        <w:t>对项目选址地及周边进行了土壤现状调查采样及监测，监测结果表明，项目</w:t>
      </w:r>
      <w:r>
        <w:rPr>
          <w:rFonts w:hint="eastAsia"/>
          <w:color w:val="auto"/>
          <w:highlight w:val="none"/>
        </w:rPr>
        <w:t>所在地土壤环境质量能够满足《土壤环境质量建设用地土壤污染风险管控标准（试行）》（GB36600-2018）中第二类用地要求筛选值要求，敏感点处满足《土壤环境质量建设用地土壤污染风险管控标准（试行）》（GB36600-2018）中第一类用地要求筛选值要求。说明区域土壤环境质量现状总体较好。</w:t>
      </w:r>
    </w:p>
    <w:p w14:paraId="52C6AA7C">
      <w:pPr>
        <w:adjustRightInd w:val="0"/>
        <w:snapToGrid w:val="0"/>
        <w:spacing w:line="360" w:lineRule="auto"/>
        <w:ind w:left="-105" w:right="-105" w:firstLine="480" w:firstLineChars="200"/>
        <w:rPr>
          <w:color w:val="auto"/>
          <w:highlight w:val="none"/>
        </w:rPr>
      </w:pPr>
      <w:r>
        <w:rPr>
          <w:color w:val="auto"/>
          <w:highlight w:val="none"/>
        </w:rPr>
        <w:t>①大气沉降影响途径分析</w:t>
      </w:r>
    </w:p>
    <w:p w14:paraId="31D0BAEE">
      <w:pPr>
        <w:adjustRightInd w:val="0"/>
        <w:snapToGrid w:val="0"/>
        <w:spacing w:line="360" w:lineRule="auto"/>
        <w:ind w:left="-105" w:right="-105" w:firstLine="480" w:firstLineChars="200"/>
        <w:rPr>
          <w:rFonts w:ascii="Times New Roman" w:hAnsi="Times New Roman" w:cs="Times New Roman"/>
          <w:color w:val="auto"/>
          <w:highlight w:val="none"/>
        </w:rPr>
      </w:pPr>
      <w:r>
        <w:rPr>
          <w:rFonts w:hint="eastAsia"/>
          <w:color w:val="auto"/>
          <w:highlight w:val="none"/>
        </w:rPr>
        <w:t>本项目营运期废气处理系统产生尾气，其中含有的多种有机物质，可能沉降至项目周边土壤地面。</w:t>
      </w:r>
      <w:r>
        <w:rPr>
          <w:rFonts w:hint="eastAsia"/>
          <w:color w:val="auto"/>
          <w:highlight w:val="none"/>
          <w:lang w:val="en-US" w:eastAsia="zh-CN"/>
        </w:rPr>
        <w:t>烃类有机物</w:t>
      </w:r>
      <w:r>
        <w:rPr>
          <w:rFonts w:hint="eastAsia"/>
          <w:color w:val="auto"/>
          <w:highlight w:val="none"/>
        </w:rPr>
        <w:t>在土壤中积累，会导致土壤理化性质改变，肥力下降，并有可能通过作物进入食物链，影响人群健康。</w:t>
      </w:r>
    </w:p>
    <w:p w14:paraId="4E24B002">
      <w:pPr>
        <w:adjustRightInd w:val="0"/>
        <w:snapToGrid w:val="0"/>
        <w:spacing w:line="360" w:lineRule="auto"/>
        <w:ind w:left="-105" w:right="-105" w:firstLine="480" w:firstLineChars="200"/>
        <w:rPr>
          <w:color w:val="auto"/>
          <w:highlight w:val="none"/>
        </w:rPr>
      </w:pPr>
      <w:r>
        <w:rPr>
          <w:color w:val="auto"/>
          <w:highlight w:val="none"/>
        </w:rPr>
        <w:t>②垂直入渗途径分析</w:t>
      </w:r>
    </w:p>
    <w:p w14:paraId="0DEE2BB8">
      <w:pPr>
        <w:adjustRightInd w:val="0"/>
        <w:snapToGrid w:val="0"/>
        <w:spacing w:line="360" w:lineRule="auto"/>
        <w:ind w:left="-105" w:right="-105" w:firstLine="480" w:firstLineChars="200"/>
        <w:rPr>
          <w:color w:val="auto"/>
          <w:highlight w:val="none"/>
        </w:rPr>
      </w:pPr>
      <w:r>
        <w:rPr>
          <w:rFonts w:hint="eastAsia"/>
          <w:color w:val="auto"/>
          <w:highlight w:val="none"/>
        </w:rPr>
        <w:t>根据调查，现有厂区对车间、仓库</w:t>
      </w:r>
      <w:r>
        <w:rPr>
          <w:rFonts w:hint="eastAsia"/>
          <w:color w:val="auto"/>
          <w:highlight w:val="none"/>
          <w:lang w:eastAsia="zh-CN"/>
        </w:rPr>
        <w:t>（</w:t>
      </w:r>
      <w:r>
        <w:rPr>
          <w:rFonts w:hint="eastAsia"/>
          <w:color w:val="auto"/>
          <w:highlight w:val="none"/>
          <w:lang w:val="en-US" w:eastAsia="zh-CN"/>
        </w:rPr>
        <w:t>危险品仓库、成品仓库</w:t>
      </w:r>
      <w:r>
        <w:rPr>
          <w:rFonts w:hint="eastAsia"/>
          <w:color w:val="auto"/>
          <w:highlight w:val="none"/>
          <w:lang w:eastAsia="zh-CN"/>
        </w:rPr>
        <w:t>）</w:t>
      </w:r>
      <w:r>
        <w:rPr>
          <w:rFonts w:hint="eastAsia"/>
          <w:color w:val="auto"/>
          <w:highlight w:val="none"/>
        </w:rPr>
        <w:t>、环保工程(危废库、</w:t>
      </w:r>
      <w:r>
        <w:rPr>
          <w:rFonts w:hint="eastAsia"/>
          <w:color w:val="auto"/>
          <w:highlight w:val="none"/>
          <w:lang w:val="en-US" w:eastAsia="zh-CN"/>
        </w:rPr>
        <w:t>废液储罐区、</w:t>
      </w:r>
      <w:r>
        <w:rPr>
          <w:rFonts w:hint="eastAsia"/>
          <w:color w:val="auto"/>
          <w:highlight w:val="none"/>
        </w:rPr>
        <w:t>事故应急池</w:t>
      </w:r>
      <w:r>
        <w:rPr>
          <w:rFonts w:hint="eastAsia"/>
          <w:color w:val="auto"/>
          <w:highlight w:val="none"/>
          <w:lang w:eastAsia="zh-CN"/>
        </w:rPr>
        <w:t>、</w:t>
      </w:r>
      <w:r>
        <w:rPr>
          <w:rFonts w:hint="eastAsia"/>
          <w:color w:val="auto"/>
          <w:highlight w:val="none"/>
          <w:lang w:val="en-US" w:eastAsia="zh-CN"/>
        </w:rPr>
        <w:t>初期雨水收集池</w:t>
      </w:r>
      <w:r>
        <w:rPr>
          <w:rFonts w:hint="eastAsia"/>
          <w:color w:val="auto"/>
          <w:highlight w:val="none"/>
        </w:rPr>
        <w:t>)、柴油储罐区等地面采取重点防渗处理。</w:t>
      </w:r>
      <w:r>
        <w:rPr>
          <w:color w:val="auto"/>
          <w:highlight w:val="none"/>
        </w:rPr>
        <w:t>本项目各工艺单元和装置区，大部分为可视场所和设备；在可视场所即使发生泄漏和硬化地面破损，可以被及时发现，建设单位可以及时采取措施，不可能任由物料或污水漫流渗漏，任其渗入土壤。发生垂直入渗几率不大。</w:t>
      </w:r>
    </w:p>
    <w:p w14:paraId="0B9B204A">
      <w:pPr>
        <w:adjustRightInd w:val="0"/>
        <w:snapToGrid w:val="0"/>
        <w:spacing w:line="360" w:lineRule="auto"/>
        <w:ind w:left="-105" w:right="-105" w:firstLine="480" w:firstLineChars="200"/>
        <w:rPr>
          <w:color w:val="auto"/>
          <w:highlight w:val="none"/>
        </w:rPr>
      </w:pPr>
      <w:r>
        <w:rPr>
          <w:rFonts w:hint="eastAsia"/>
          <w:color w:val="auto"/>
          <w:highlight w:val="none"/>
        </w:rPr>
        <w:t>③地面漫流</w:t>
      </w:r>
      <w:r>
        <w:rPr>
          <w:color w:val="auto"/>
          <w:highlight w:val="none"/>
        </w:rPr>
        <w:t>途径分析</w:t>
      </w:r>
    </w:p>
    <w:p w14:paraId="09374FF3">
      <w:pPr>
        <w:adjustRightInd w:val="0"/>
        <w:snapToGrid w:val="0"/>
        <w:spacing w:line="360" w:lineRule="auto"/>
        <w:ind w:left="-105" w:right="-105" w:firstLine="480" w:firstLineChars="200"/>
        <w:rPr>
          <w:color w:val="auto"/>
          <w:highlight w:val="none"/>
        </w:rPr>
      </w:pPr>
      <w:r>
        <w:rPr>
          <w:rFonts w:hint="eastAsia"/>
          <w:color w:val="auto"/>
          <w:highlight w:val="none"/>
        </w:rPr>
        <w:t>本项目各</w:t>
      </w:r>
      <w:r>
        <w:rPr>
          <w:color w:val="auto"/>
          <w:highlight w:val="none"/>
        </w:rPr>
        <w:t>工艺单元</w:t>
      </w:r>
      <w:r>
        <w:rPr>
          <w:rFonts w:hint="eastAsia"/>
          <w:color w:val="auto"/>
          <w:highlight w:val="none"/>
        </w:rPr>
        <w:t>位于洁净车间</w:t>
      </w:r>
      <w:r>
        <w:rPr>
          <w:rFonts w:hint="eastAsia"/>
          <w:color w:val="auto"/>
          <w:highlight w:val="none"/>
          <w:lang w:eastAsia="zh-CN"/>
        </w:rPr>
        <w:t>，</w:t>
      </w:r>
      <w:r>
        <w:rPr>
          <w:rFonts w:hint="eastAsia"/>
          <w:color w:val="auto"/>
          <w:highlight w:val="none"/>
          <w:lang w:val="en-US" w:eastAsia="zh-CN"/>
        </w:rPr>
        <w:t>车间</w:t>
      </w:r>
      <w:r>
        <w:rPr>
          <w:rFonts w:hint="eastAsia"/>
          <w:color w:val="auto"/>
          <w:highlight w:val="none"/>
          <w:lang w:eastAsia="zh-CN"/>
        </w:rPr>
        <w:t>、</w:t>
      </w:r>
      <w:r>
        <w:rPr>
          <w:rFonts w:hint="eastAsia"/>
          <w:color w:val="auto"/>
          <w:highlight w:val="none"/>
          <w:lang w:val="en-US" w:eastAsia="zh-CN"/>
        </w:rPr>
        <w:t>危险品仓库、成品仓库和危废库设置截流沟</w:t>
      </w:r>
      <w:r>
        <w:rPr>
          <w:rFonts w:hint="eastAsia"/>
          <w:color w:val="auto"/>
          <w:highlight w:val="none"/>
        </w:rPr>
        <w:t>、废液储罐周边有围堰，泄漏物料均可通过收集管网进入</w:t>
      </w:r>
      <w:r>
        <w:rPr>
          <w:rFonts w:hint="eastAsia"/>
          <w:color w:val="auto"/>
          <w:highlight w:val="none"/>
          <w:lang w:val="en-US" w:eastAsia="zh-CN"/>
        </w:rPr>
        <w:t>收集池和</w:t>
      </w:r>
      <w:r>
        <w:rPr>
          <w:rFonts w:hint="eastAsia"/>
          <w:color w:val="auto"/>
          <w:highlight w:val="none"/>
        </w:rPr>
        <w:t>厂内事故应急池，本项目</w:t>
      </w:r>
      <w:r>
        <w:rPr>
          <w:rFonts w:hint="eastAsia"/>
          <w:color w:val="auto"/>
          <w:highlight w:val="none"/>
          <w:lang w:val="en-US" w:eastAsia="zh-CN"/>
        </w:rPr>
        <w:t>危化品和</w:t>
      </w:r>
      <w:r>
        <w:rPr>
          <w:rFonts w:hint="eastAsia"/>
          <w:color w:val="auto"/>
          <w:highlight w:val="none"/>
        </w:rPr>
        <w:t>固体废物的贮存所采取的防范或治理措施是可行的，</w:t>
      </w:r>
      <w:r>
        <w:rPr>
          <w:rFonts w:hint="eastAsia"/>
          <w:color w:val="auto"/>
          <w:highlight w:val="none"/>
          <w:lang w:val="en-US" w:eastAsia="zh-CN"/>
        </w:rPr>
        <w:t>正常工况下</w:t>
      </w:r>
      <w:r>
        <w:rPr>
          <w:rFonts w:hint="eastAsia"/>
          <w:color w:val="auto"/>
          <w:highlight w:val="none"/>
        </w:rPr>
        <w:t>不会在厂区地面漫流进入土壤，故发生地面漫流几率不大。</w:t>
      </w:r>
    </w:p>
    <w:p w14:paraId="30ED7C71">
      <w:pPr>
        <w:pStyle w:val="97"/>
        <w:spacing w:line="360" w:lineRule="auto"/>
        <w:ind w:left="-105" w:right="-105" w:firstLine="480"/>
        <w:rPr>
          <w:rFonts w:eastAsia="宋体"/>
          <w:color w:val="auto"/>
          <w:kern w:val="0"/>
          <w:sz w:val="24"/>
          <w:highlight w:val="none"/>
        </w:rPr>
      </w:pPr>
      <w:r>
        <w:rPr>
          <w:rFonts w:eastAsia="宋体"/>
          <w:color w:val="auto"/>
          <w:kern w:val="0"/>
          <w:sz w:val="24"/>
          <w:highlight w:val="none"/>
        </w:rPr>
        <w:t>本项目土壤环境影响识别见</w:t>
      </w:r>
      <w:r>
        <w:rPr>
          <w:rFonts w:eastAsia="宋体"/>
          <w:color w:val="auto"/>
          <w:kern w:val="0"/>
          <w:sz w:val="24"/>
          <w:highlight w:val="none"/>
        </w:rPr>
        <w:fldChar w:fldCharType="begin"/>
      </w:r>
      <w:r>
        <w:rPr>
          <w:rFonts w:eastAsia="宋体"/>
          <w:color w:val="auto"/>
          <w:kern w:val="0"/>
          <w:sz w:val="24"/>
          <w:highlight w:val="none"/>
        </w:rPr>
        <w:instrText xml:space="preserve"> REF _Ref115358838 \h  \* MERGEFORMAT </w:instrText>
      </w:r>
      <w:r>
        <w:rPr>
          <w:rFonts w:eastAsia="宋体"/>
          <w:color w:val="auto"/>
          <w:kern w:val="0"/>
          <w:sz w:val="24"/>
          <w:highlight w:val="none"/>
        </w:rPr>
        <w:fldChar w:fldCharType="separate"/>
      </w:r>
      <w:r>
        <w:rPr>
          <w:rFonts w:eastAsia="宋体"/>
          <w:color w:val="auto"/>
          <w:sz w:val="24"/>
          <w:highlight w:val="none"/>
        </w:rPr>
        <w:t>表</w:t>
      </w:r>
      <w:r>
        <w:rPr>
          <w:rFonts w:eastAsia="宋体"/>
          <w:color w:val="auto"/>
          <w:sz w:val="24"/>
          <w:highlight w:val="none"/>
        </w:rPr>
        <w:fldChar w:fldCharType="begin"/>
      </w:r>
      <w:r>
        <w:rPr>
          <w:rFonts w:eastAsia="宋体"/>
          <w:color w:val="auto"/>
          <w:sz w:val="24"/>
          <w:highlight w:val="none"/>
        </w:rPr>
        <w:instrText xml:space="preserve"> STYLEREF</w:instrText>
      </w:r>
      <w:r>
        <w:rPr>
          <w:color w:val="auto"/>
          <w:sz w:val="24"/>
          <w:highlight w:val="none"/>
        </w:rPr>
        <w:instrText xml:space="preserve"> 2 \s </w:instrText>
      </w:r>
      <w:r>
        <w:rPr>
          <w:color w:val="auto"/>
          <w:sz w:val="24"/>
          <w:highlight w:val="none"/>
        </w:rPr>
        <w:fldChar w:fldCharType="separate"/>
      </w:r>
      <w:r>
        <w:rPr>
          <w:color w:val="auto"/>
          <w:sz w:val="24"/>
          <w:highlight w:val="none"/>
        </w:rPr>
        <w:t>6.4</w:t>
      </w:r>
      <w:r>
        <w:rPr>
          <w:color w:val="auto"/>
          <w:sz w:val="24"/>
          <w:highlight w:val="none"/>
        </w:rPr>
        <w:fldChar w:fldCharType="end"/>
      </w:r>
      <w:r>
        <w:rPr>
          <w:color w:val="auto"/>
          <w:sz w:val="24"/>
          <w:highlight w:val="none"/>
        </w:rPr>
        <w:noBreakHyphen/>
      </w:r>
      <w:r>
        <w:rPr>
          <w:color w:val="auto"/>
          <w:sz w:val="24"/>
          <w:highlight w:val="none"/>
        </w:rPr>
        <w:t>1</w:t>
      </w:r>
      <w:r>
        <w:rPr>
          <w:rFonts w:eastAsia="宋体"/>
          <w:color w:val="auto"/>
          <w:kern w:val="0"/>
          <w:sz w:val="24"/>
          <w:highlight w:val="none"/>
        </w:rPr>
        <w:fldChar w:fldCharType="end"/>
      </w:r>
      <w:r>
        <w:rPr>
          <w:rFonts w:eastAsia="宋体"/>
          <w:color w:val="auto"/>
          <w:kern w:val="0"/>
          <w:sz w:val="24"/>
          <w:highlight w:val="none"/>
        </w:rPr>
        <w:t>。</w:t>
      </w:r>
    </w:p>
    <w:p w14:paraId="21F5100A">
      <w:pPr>
        <w:pStyle w:val="15"/>
        <w:ind w:left="-105" w:right="-105" w:firstLine="482"/>
        <w:rPr>
          <w:rFonts w:eastAsia="宋体"/>
          <w:color w:val="auto"/>
          <w:sz w:val="24"/>
          <w:szCs w:val="24"/>
          <w:highlight w:val="none"/>
        </w:rPr>
      </w:pPr>
      <w:bookmarkStart w:id="398" w:name="_Ref115358838"/>
      <w:r>
        <w:rPr>
          <w:rFonts w:eastAsia="宋体"/>
          <w:color w:val="auto"/>
          <w:sz w:val="24"/>
          <w:szCs w:val="24"/>
          <w:highlight w:val="none"/>
        </w:rPr>
        <w:t>表</w:t>
      </w:r>
      <w:r>
        <w:rPr>
          <w:rFonts w:eastAsia="宋体"/>
          <w:color w:val="auto"/>
          <w:sz w:val="24"/>
          <w:szCs w:val="24"/>
          <w:highlight w:val="none"/>
        </w:rPr>
        <w:fldChar w:fldCharType="begin"/>
      </w:r>
      <w:r>
        <w:rPr>
          <w:rFonts w:eastAsia="宋体"/>
          <w:color w:val="auto"/>
          <w:sz w:val="24"/>
          <w:szCs w:val="24"/>
          <w:highlight w:val="none"/>
        </w:rPr>
        <w:instrText xml:space="preserve"> STYLEREF 2 \s </w:instrText>
      </w:r>
      <w:r>
        <w:rPr>
          <w:rFonts w:eastAsia="宋体"/>
          <w:color w:val="auto"/>
          <w:sz w:val="24"/>
          <w:szCs w:val="24"/>
          <w:highlight w:val="none"/>
        </w:rPr>
        <w:fldChar w:fldCharType="separate"/>
      </w:r>
      <w:r>
        <w:rPr>
          <w:rFonts w:eastAsia="宋体"/>
          <w:color w:val="auto"/>
          <w:sz w:val="24"/>
          <w:szCs w:val="24"/>
          <w:highlight w:val="none"/>
        </w:rPr>
        <w:t>6.4</w:t>
      </w:r>
      <w:r>
        <w:rPr>
          <w:rFonts w:eastAsia="宋体"/>
          <w:color w:val="auto"/>
          <w:sz w:val="24"/>
          <w:szCs w:val="24"/>
          <w:highlight w:val="none"/>
        </w:rPr>
        <w:fldChar w:fldCharType="end"/>
      </w:r>
      <w:r>
        <w:rPr>
          <w:rFonts w:eastAsia="宋体"/>
          <w:color w:val="auto"/>
          <w:sz w:val="24"/>
          <w:szCs w:val="24"/>
          <w:highlight w:val="none"/>
        </w:rPr>
        <w:noBreakHyphen/>
      </w:r>
      <w:r>
        <w:rPr>
          <w:rFonts w:eastAsia="宋体"/>
          <w:color w:val="auto"/>
          <w:sz w:val="24"/>
          <w:szCs w:val="24"/>
          <w:highlight w:val="none"/>
        </w:rPr>
        <w:fldChar w:fldCharType="begin"/>
      </w:r>
      <w:r>
        <w:rPr>
          <w:rFonts w:eastAsia="宋体"/>
          <w:color w:val="auto"/>
          <w:sz w:val="24"/>
          <w:szCs w:val="24"/>
          <w:highlight w:val="none"/>
        </w:rPr>
        <w:instrText xml:space="preserve"> SEQ 表 \* ARABIC \s 2 </w:instrText>
      </w:r>
      <w:r>
        <w:rPr>
          <w:rFonts w:eastAsia="宋体"/>
          <w:color w:val="auto"/>
          <w:sz w:val="24"/>
          <w:szCs w:val="24"/>
          <w:highlight w:val="none"/>
        </w:rPr>
        <w:fldChar w:fldCharType="separate"/>
      </w:r>
      <w:r>
        <w:rPr>
          <w:rFonts w:eastAsia="宋体"/>
          <w:color w:val="auto"/>
          <w:sz w:val="24"/>
          <w:szCs w:val="24"/>
          <w:highlight w:val="none"/>
        </w:rPr>
        <w:t>1</w:t>
      </w:r>
      <w:r>
        <w:rPr>
          <w:rFonts w:eastAsia="宋体"/>
          <w:color w:val="auto"/>
          <w:sz w:val="24"/>
          <w:szCs w:val="24"/>
          <w:highlight w:val="none"/>
        </w:rPr>
        <w:fldChar w:fldCharType="end"/>
      </w:r>
      <w:bookmarkEnd w:id="398"/>
      <w:r>
        <w:rPr>
          <w:rFonts w:eastAsia="宋体"/>
          <w:color w:val="auto"/>
          <w:sz w:val="24"/>
          <w:szCs w:val="24"/>
          <w:highlight w:val="none"/>
        </w:rPr>
        <w:t>建设项目土壤环境影响类型与影响途径表</w:t>
      </w:r>
    </w:p>
    <w:tbl>
      <w:tblPr>
        <w:tblStyle w:val="45"/>
        <w:tblW w:w="5000" w:type="pct"/>
        <w:tblInd w:w="108" w:type="dxa"/>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autofit"/>
        <w:tblCellMar>
          <w:top w:w="0" w:type="dxa"/>
          <w:left w:w="108" w:type="dxa"/>
          <w:bottom w:w="0" w:type="dxa"/>
          <w:right w:w="108" w:type="dxa"/>
        </w:tblCellMar>
      </w:tblPr>
      <w:tblGrid>
        <w:gridCol w:w="1743"/>
        <w:gridCol w:w="1744"/>
        <w:gridCol w:w="1744"/>
        <w:gridCol w:w="1744"/>
        <w:gridCol w:w="1745"/>
      </w:tblGrid>
      <w:tr w14:paraId="21E2C9DC">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1698" w:type="dxa"/>
            <w:vMerge w:val="restart"/>
            <w:vAlign w:val="center"/>
          </w:tcPr>
          <w:p w14:paraId="648457FD">
            <w:pPr>
              <w:ind w:left="-105" w:right="-105"/>
              <w:jc w:val="center"/>
              <w:rPr>
                <w:rFonts w:ascii="Times New Roman" w:hAnsi="Times New Roman" w:cs="Times New Roman"/>
                <w:b/>
                <w:bCs/>
                <w:color w:val="auto"/>
                <w:sz w:val="21"/>
                <w:szCs w:val="21"/>
                <w:highlight w:val="none"/>
              </w:rPr>
            </w:pPr>
            <w:r>
              <w:rPr>
                <w:rFonts w:ascii="Times New Roman" w:hAnsi="Times New Roman" w:cs="Times New Roman"/>
                <w:b/>
                <w:bCs/>
                <w:color w:val="auto"/>
                <w:sz w:val="21"/>
                <w:szCs w:val="21"/>
                <w:highlight w:val="none"/>
              </w:rPr>
              <w:t>不同时段</w:t>
            </w:r>
          </w:p>
        </w:tc>
        <w:tc>
          <w:tcPr>
            <w:tcW w:w="6796" w:type="dxa"/>
            <w:gridSpan w:val="4"/>
            <w:vAlign w:val="center"/>
          </w:tcPr>
          <w:p w14:paraId="7D72402A">
            <w:pPr>
              <w:ind w:left="-105" w:right="-105"/>
              <w:jc w:val="center"/>
              <w:rPr>
                <w:rFonts w:ascii="Times New Roman" w:hAnsi="Times New Roman" w:cs="Times New Roman"/>
                <w:b/>
                <w:bCs/>
                <w:color w:val="auto"/>
                <w:sz w:val="21"/>
                <w:szCs w:val="21"/>
                <w:highlight w:val="none"/>
              </w:rPr>
            </w:pPr>
            <w:r>
              <w:rPr>
                <w:rFonts w:ascii="Times New Roman" w:hAnsi="Times New Roman" w:cs="Times New Roman"/>
                <w:b/>
                <w:bCs/>
                <w:color w:val="auto"/>
                <w:sz w:val="21"/>
                <w:szCs w:val="21"/>
                <w:highlight w:val="none"/>
              </w:rPr>
              <w:t>污染影响型</w:t>
            </w:r>
          </w:p>
        </w:tc>
      </w:tr>
      <w:tr w14:paraId="3D0271F5">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1698" w:type="dxa"/>
            <w:vMerge w:val="continue"/>
            <w:vAlign w:val="center"/>
          </w:tcPr>
          <w:p w14:paraId="603FCA5B">
            <w:pPr>
              <w:ind w:left="-105" w:right="-105"/>
              <w:jc w:val="center"/>
              <w:rPr>
                <w:rFonts w:ascii="Times New Roman" w:hAnsi="Times New Roman" w:cs="Times New Roman"/>
                <w:b/>
                <w:bCs/>
                <w:color w:val="auto"/>
                <w:sz w:val="21"/>
                <w:szCs w:val="21"/>
                <w:highlight w:val="none"/>
              </w:rPr>
            </w:pPr>
          </w:p>
        </w:tc>
        <w:tc>
          <w:tcPr>
            <w:tcW w:w="1699" w:type="dxa"/>
            <w:vAlign w:val="center"/>
          </w:tcPr>
          <w:p w14:paraId="7C326EF9">
            <w:pPr>
              <w:ind w:left="-105" w:right="-105"/>
              <w:jc w:val="center"/>
              <w:rPr>
                <w:rFonts w:ascii="Times New Roman" w:hAnsi="Times New Roman" w:cs="Times New Roman"/>
                <w:b/>
                <w:bCs/>
                <w:color w:val="auto"/>
                <w:sz w:val="21"/>
                <w:szCs w:val="21"/>
                <w:highlight w:val="none"/>
              </w:rPr>
            </w:pPr>
            <w:r>
              <w:rPr>
                <w:rFonts w:ascii="Times New Roman" w:hAnsi="Times New Roman" w:cs="Times New Roman"/>
                <w:b/>
                <w:bCs/>
                <w:color w:val="auto"/>
                <w:sz w:val="21"/>
                <w:szCs w:val="21"/>
                <w:highlight w:val="none"/>
              </w:rPr>
              <w:t>大气沉降</w:t>
            </w:r>
          </w:p>
        </w:tc>
        <w:tc>
          <w:tcPr>
            <w:tcW w:w="1699" w:type="dxa"/>
            <w:vAlign w:val="center"/>
          </w:tcPr>
          <w:p w14:paraId="74FE8F8F">
            <w:pPr>
              <w:ind w:left="-105" w:right="-105"/>
              <w:jc w:val="center"/>
              <w:rPr>
                <w:rFonts w:ascii="Times New Roman" w:hAnsi="Times New Roman" w:cs="Times New Roman"/>
                <w:b/>
                <w:bCs/>
                <w:color w:val="auto"/>
                <w:sz w:val="21"/>
                <w:szCs w:val="21"/>
                <w:highlight w:val="none"/>
              </w:rPr>
            </w:pPr>
            <w:r>
              <w:rPr>
                <w:rFonts w:ascii="Times New Roman" w:hAnsi="Times New Roman" w:cs="Times New Roman"/>
                <w:b/>
                <w:bCs/>
                <w:color w:val="auto"/>
                <w:sz w:val="21"/>
                <w:szCs w:val="21"/>
                <w:highlight w:val="none"/>
              </w:rPr>
              <w:t>地面漫流</w:t>
            </w:r>
          </w:p>
        </w:tc>
        <w:tc>
          <w:tcPr>
            <w:tcW w:w="1699" w:type="dxa"/>
            <w:vAlign w:val="center"/>
          </w:tcPr>
          <w:p w14:paraId="59EF0B56">
            <w:pPr>
              <w:ind w:left="-105" w:right="-105"/>
              <w:jc w:val="center"/>
              <w:rPr>
                <w:rFonts w:ascii="Times New Roman" w:hAnsi="Times New Roman" w:cs="Times New Roman"/>
                <w:b/>
                <w:bCs/>
                <w:color w:val="auto"/>
                <w:sz w:val="21"/>
                <w:szCs w:val="21"/>
                <w:highlight w:val="none"/>
              </w:rPr>
            </w:pPr>
            <w:r>
              <w:rPr>
                <w:rFonts w:ascii="Times New Roman" w:hAnsi="Times New Roman" w:cs="Times New Roman"/>
                <w:b/>
                <w:bCs/>
                <w:color w:val="auto"/>
                <w:sz w:val="21"/>
                <w:szCs w:val="21"/>
                <w:highlight w:val="none"/>
              </w:rPr>
              <w:t>垂直入渗</w:t>
            </w:r>
          </w:p>
        </w:tc>
        <w:tc>
          <w:tcPr>
            <w:tcW w:w="1699" w:type="dxa"/>
            <w:vAlign w:val="center"/>
          </w:tcPr>
          <w:p w14:paraId="1A2E315C">
            <w:pPr>
              <w:ind w:left="-105" w:right="-105"/>
              <w:jc w:val="center"/>
              <w:rPr>
                <w:rFonts w:ascii="Times New Roman" w:hAnsi="Times New Roman" w:cs="Times New Roman"/>
                <w:b/>
                <w:bCs/>
                <w:color w:val="auto"/>
                <w:sz w:val="21"/>
                <w:szCs w:val="21"/>
                <w:highlight w:val="none"/>
              </w:rPr>
            </w:pPr>
            <w:r>
              <w:rPr>
                <w:rFonts w:ascii="Times New Roman" w:hAnsi="Times New Roman" w:cs="Times New Roman"/>
                <w:b/>
                <w:bCs/>
                <w:color w:val="auto"/>
                <w:sz w:val="21"/>
                <w:szCs w:val="21"/>
                <w:highlight w:val="none"/>
              </w:rPr>
              <w:t>其他</w:t>
            </w:r>
          </w:p>
        </w:tc>
      </w:tr>
      <w:tr w14:paraId="53CB7CAF">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1698" w:type="dxa"/>
            <w:vAlign w:val="center"/>
          </w:tcPr>
          <w:p w14:paraId="52EF2FAA">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建设期</w:t>
            </w:r>
          </w:p>
        </w:tc>
        <w:tc>
          <w:tcPr>
            <w:tcW w:w="1699" w:type="dxa"/>
            <w:vAlign w:val="center"/>
          </w:tcPr>
          <w:p w14:paraId="6700DE50">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w:t>
            </w:r>
          </w:p>
        </w:tc>
        <w:tc>
          <w:tcPr>
            <w:tcW w:w="1699" w:type="dxa"/>
          </w:tcPr>
          <w:p w14:paraId="5406FAD2">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w:t>
            </w:r>
          </w:p>
        </w:tc>
        <w:tc>
          <w:tcPr>
            <w:tcW w:w="1699" w:type="dxa"/>
          </w:tcPr>
          <w:p w14:paraId="124FF0D8">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w:t>
            </w:r>
          </w:p>
        </w:tc>
        <w:tc>
          <w:tcPr>
            <w:tcW w:w="1699" w:type="dxa"/>
          </w:tcPr>
          <w:p w14:paraId="2F1B2FEE">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w:t>
            </w:r>
          </w:p>
        </w:tc>
      </w:tr>
      <w:tr w14:paraId="0611FB96">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1698" w:type="dxa"/>
            <w:vAlign w:val="center"/>
          </w:tcPr>
          <w:p w14:paraId="0D213B81">
            <w:pPr>
              <w:ind w:left="-105" w:right="-105"/>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lang w:val="en-US" w:eastAsia="zh-CN"/>
              </w:rPr>
              <w:t>营运</w:t>
            </w:r>
            <w:r>
              <w:rPr>
                <w:rFonts w:ascii="Times New Roman" w:hAnsi="Times New Roman" w:cs="Times New Roman"/>
                <w:color w:val="auto"/>
                <w:sz w:val="21"/>
                <w:szCs w:val="21"/>
                <w:highlight w:val="none"/>
              </w:rPr>
              <w:t>期</w:t>
            </w:r>
          </w:p>
        </w:tc>
        <w:tc>
          <w:tcPr>
            <w:tcW w:w="1699" w:type="dxa"/>
          </w:tcPr>
          <w:p w14:paraId="76B002D1">
            <w:pPr>
              <w:ind w:left="-105" w:right="-105"/>
              <w:jc w:val="center"/>
              <w:rPr>
                <w:rFonts w:ascii="Times New Roman" w:hAnsi="Times New Roman" w:cs="Times New Roman"/>
                <w:color w:val="auto"/>
                <w:sz w:val="21"/>
                <w:szCs w:val="21"/>
                <w:highlight w:val="none"/>
              </w:rPr>
            </w:pPr>
            <w:r>
              <w:rPr>
                <w:rFonts w:ascii="Times New Roman" w:hAnsi="Times New Roman" w:eastAsia="仿宋" w:cs="Times New Roman"/>
                <w:color w:val="auto"/>
                <w:sz w:val="21"/>
                <w:szCs w:val="21"/>
                <w:highlight w:val="none"/>
              </w:rPr>
              <w:t>√</w:t>
            </w:r>
          </w:p>
        </w:tc>
        <w:tc>
          <w:tcPr>
            <w:tcW w:w="1699" w:type="dxa"/>
          </w:tcPr>
          <w:p w14:paraId="2E05AE9D">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w:t>
            </w:r>
          </w:p>
        </w:tc>
        <w:tc>
          <w:tcPr>
            <w:tcW w:w="1699" w:type="dxa"/>
            <w:vAlign w:val="center"/>
          </w:tcPr>
          <w:p w14:paraId="7FC91E71">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w:t>
            </w:r>
          </w:p>
        </w:tc>
        <w:tc>
          <w:tcPr>
            <w:tcW w:w="1699" w:type="dxa"/>
            <w:vAlign w:val="center"/>
          </w:tcPr>
          <w:p w14:paraId="4D39A59F">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w:t>
            </w:r>
          </w:p>
        </w:tc>
      </w:tr>
      <w:tr w14:paraId="69B15A29">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1698" w:type="dxa"/>
            <w:vAlign w:val="center"/>
          </w:tcPr>
          <w:p w14:paraId="17CD46DB">
            <w:pPr>
              <w:ind w:left="-105" w:right="-105"/>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服务期满后</w:t>
            </w:r>
          </w:p>
        </w:tc>
        <w:tc>
          <w:tcPr>
            <w:tcW w:w="1699" w:type="dxa"/>
            <w:vAlign w:val="center"/>
          </w:tcPr>
          <w:p w14:paraId="093FB983">
            <w:pPr>
              <w:ind w:left="-105" w:leftChars="0" w:right="-105" w:rightChars="0"/>
              <w:jc w:val="center"/>
              <w:rPr>
                <w:rFonts w:ascii="Times New Roman" w:hAnsi="Times New Roman" w:eastAsia="仿宋" w:cs="Times New Roman"/>
                <w:color w:val="auto"/>
                <w:sz w:val="21"/>
                <w:szCs w:val="21"/>
                <w:highlight w:val="none"/>
              </w:rPr>
            </w:pPr>
            <w:r>
              <w:rPr>
                <w:rFonts w:ascii="Times New Roman" w:hAnsi="Times New Roman" w:cs="Times New Roman"/>
                <w:color w:val="auto"/>
                <w:sz w:val="21"/>
                <w:szCs w:val="21"/>
                <w:highlight w:val="none"/>
              </w:rPr>
              <w:t>—</w:t>
            </w:r>
          </w:p>
        </w:tc>
        <w:tc>
          <w:tcPr>
            <w:tcW w:w="1699" w:type="dxa"/>
            <w:vAlign w:val="top"/>
          </w:tcPr>
          <w:p w14:paraId="18DE6D31">
            <w:pPr>
              <w:ind w:left="-105" w:leftChars="0" w:right="-105" w:rightChars="0"/>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w:t>
            </w:r>
          </w:p>
        </w:tc>
        <w:tc>
          <w:tcPr>
            <w:tcW w:w="1699" w:type="dxa"/>
            <w:vAlign w:val="top"/>
          </w:tcPr>
          <w:p w14:paraId="0BA841FF">
            <w:pPr>
              <w:ind w:left="-105" w:leftChars="0" w:right="-105" w:rightChars="0"/>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w:t>
            </w:r>
          </w:p>
        </w:tc>
        <w:tc>
          <w:tcPr>
            <w:tcW w:w="1699" w:type="dxa"/>
            <w:vAlign w:val="top"/>
          </w:tcPr>
          <w:p w14:paraId="3313AE5B">
            <w:pPr>
              <w:ind w:left="-105" w:leftChars="0" w:right="-105" w:rightChars="0"/>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w:t>
            </w:r>
          </w:p>
        </w:tc>
      </w:tr>
    </w:tbl>
    <w:p w14:paraId="4CB7D9EF">
      <w:pPr>
        <w:pStyle w:val="5"/>
        <w:keepLines w:val="0"/>
        <w:numPr>
          <w:ilvl w:val="2"/>
          <w:numId w:val="0"/>
        </w:numPr>
        <w:tabs>
          <w:tab w:val="left" w:pos="567"/>
          <w:tab w:val="left" w:pos="709"/>
          <w:tab w:val="left" w:pos="993"/>
          <w:tab w:val="left" w:pos="6663"/>
        </w:tabs>
        <w:spacing w:before="0" w:after="0" w:line="360" w:lineRule="auto"/>
        <w:ind w:right="-105"/>
        <w:rPr>
          <w:rFonts w:eastAsia="宋体"/>
          <w:color w:val="auto"/>
          <w:sz w:val="28"/>
          <w:szCs w:val="24"/>
          <w:highlight w:val="none"/>
        </w:rPr>
      </w:pPr>
      <w:r>
        <w:rPr>
          <w:rFonts w:hint="eastAsia" w:eastAsia="宋体"/>
          <w:color w:val="auto"/>
          <w:sz w:val="28"/>
          <w:szCs w:val="24"/>
          <w:highlight w:val="none"/>
        </w:rPr>
        <w:t>6.4.3</w:t>
      </w:r>
      <w:bookmarkEnd w:id="397"/>
      <w:r>
        <w:rPr>
          <w:rFonts w:eastAsia="宋体"/>
          <w:color w:val="auto"/>
          <w:sz w:val="28"/>
          <w:szCs w:val="24"/>
          <w:highlight w:val="none"/>
        </w:rPr>
        <w:t>土壤环境影响评价</w:t>
      </w:r>
    </w:p>
    <w:p w14:paraId="54E6A16D">
      <w:pPr>
        <w:pStyle w:val="2"/>
        <w:rPr>
          <w:rFonts w:hint="default"/>
          <w:color w:val="auto"/>
          <w:highlight w:val="none"/>
          <w:lang w:val="en-US" w:eastAsia="zh-CN"/>
        </w:rPr>
      </w:pPr>
      <w:r>
        <w:rPr>
          <w:rFonts w:hint="default"/>
          <w:color w:val="auto"/>
          <w:highlight w:val="none"/>
          <w:lang w:val="en-US" w:eastAsia="zh-CN"/>
        </w:rPr>
        <w:t>拟建项目土壤环境影响类型为</w:t>
      </w:r>
      <w:r>
        <w:rPr>
          <w:rFonts w:hint="eastAsia"/>
          <w:color w:val="auto"/>
          <w:highlight w:val="none"/>
          <w:lang w:val="en-US" w:eastAsia="zh-CN"/>
        </w:rPr>
        <w:t>“</w:t>
      </w:r>
      <w:r>
        <w:rPr>
          <w:rFonts w:hint="default"/>
          <w:color w:val="auto"/>
          <w:highlight w:val="none"/>
          <w:lang w:val="en-US" w:eastAsia="zh-CN"/>
        </w:rPr>
        <w:t>污染影响型</w:t>
      </w:r>
      <w:r>
        <w:rPr>
          <w:rFonts w:hint="eastAsia"/>
          <w:color w:val="auto"/>
          <w:highlight w:val="none"/>
          <w:lang w:val="en-US" w:eastAsia="zh-CN"/>
        </w:rPr>
        <w:t>”</w:t>
      </w:r>
      <w:r>
        <w:rPr>
          <w:rFonts w:hint="default"/>
          <w:color w:val="auto"/>
          <w:highlight w:val="none"/>
          <w:lang w:val="en-US" w:eastAsia="zh-CN"/>
        </w:rPr>
        <w:t>，根据分析，正常工况下，土壤污染物影响途径主要为运营期项目污染物以大气沉降方式进入土壤环境。根据环境质量现状监测结果，相关因子均满足《土壤环境质量建设用地土壤污染风险管控标准（试行）》（GB36600-2018）中相关标准。</w:t>
      </w:r>
      <w:r>
        <w:rPr>
          <w:rFonts w:hint="eastAsia"/>
          <w:color w:val="auto"/>
          <w:highlight w:val="none"/>
          <w:lang w:val="en-US" w:eastAsia="zh-CN"/>
        </w:rPr>
        <w:t>现有项目已</w:t>
      </w:r>
      <w:r>
        <w:rPr>
          <w:rFonts w:hint="default"/>
          <w:color w:val="auto"/>
          <w:highlight w:val="none"/>
          <w:lang w:val="en-US" w:eastAsia="zh-CN"/>
        </w:rPr>
        <w:t>按照相关要求进行防渗处理，</w:t>
      </w:r>
      <w:r>
        <w:rPr>
          <w:rFonts w:hint="eastAsia"/>
          <w:color w:val="auto"/>
          <w:highlight w:val="none"/>
          <w:lang w:val="en-US" w:eastAsia="zh-CN"/>
        </w:rPr>
        <w:t>本项目依托现有</w:t>
      </w:r>
      <w:r>
        <w:rPr>
          <w:rFonts w:hint="default"/>
          <w:color w:val="auto"/>
          <w:highlight w:val="none"/>
          <w:lang w:val="en-US" w:eastAsia="zh-CN"/>
        </w:rPr>
        <w:t>项目</w:t>
      </w:r>
      <w:r>
        <w:rPr>
          <w:rFonts w:hint="eastAsia"/>
          <w:color w:val="auto"/>
          <w:highlight w:val="none"/>
          <w:lang w:val="en-US" w:eastAsia="zh-CN"/>
        </w:rPr>
        <w:t>的公辅工程及厂房，</w:t>
      </w:r>
      <w:r>
        <w:rPr>
          <w:rFonts w:hint="default"/>
          <w:color w:val="auto"/>
          <w:highlight w:val="none"/>
          <w:lang w:val="en-US" w:eastAsia="zh-CN"/>
        </w:rPr>
        <w:t>对土壤环境影响程度较小，所以项目正常运行对区域土壤环境影响可接受。根据本项目工程分析，其土壤影响预测时段主要在于生产运行期阶段可能对土壤环境造成影响。依据《环境影响评价技术导则-土壤环境（试行）》（HJ964-2018）要求，本项目采用类比法进行定性分析。</w:t>
      </w:r>
    </w:p>
    <w:p w14:paraId="1DEF0F40">
      <w:pPr>
        <w:pStyle w:val="2"/>
        <w:rPr>
          <w:rFonts w:hint="default"/>
          <w:color w:val="auto"/>
          <w:highlight w:val="none"/>
          <w:lang w:val="en-US" w:eastAsia="zh-CN"/>
        </w:rPr>
      </w:pPr>
      <w:r>
        <w:rPr>
          <w:rFonts w:hint="default"/>
          <w:color w:val="auto"/>
          <w:highlight w:val="none"/>
          <w:lang w:val="en-US" w:eastAsia="zh-CN"/>
        </w:rPr>
        <w:t>项目运营期，车间、各化学品仓库、危废库等均采取防渗措施，所在地块地势平坦，正常工况下，不会造成垂直入渗及地面漫流的影响，因此本次</w:t>
      </w:r>
      <w:r>
        <w:rPr>
          <w:rFonts w:hint="eastAsia"/>
          <w:color w:val="auto"/>
          <w:highlight w:val="none"/>
          <w:lang w:val="en-US" w:eastAsia="zh-CN"/>
        </w:rPr>
        <w:t>评价</w:t>
      </w:r>
      <w:r>
        <w:rPr>
          <w:rFonts w:hint="default"/>
          <w:color w:val="auto"/>
          <w:highlight w:val="none"/>
          <w:lang w:val="en-US" w:eastAsia="zh-CN"/>
        </w:rPr>
        <w:t>主要考虑大气沉降对土壤造成的污染。根据污染物的排放情况以及影响程度综合考虑，本次</w:t>
      </w:r>
      <w:r>
        <w:rPr>
          <w:rFonts w:hint="eastAsia"/>
          <w:color w:val="auto"/>
          <w:highlight w:val="none"/>
          <w:lang w:val="en-US" w:eastAsia="zh-CN"/>
        </w:rPr>
        <w:t>评价</w:t>
      </w:r>
      <w:r>
        <w:rPr>
          <w:rFonts w:hint="default"/>
          <w:color w:val="auto"/>
          <w:highlight w:val="none"/>
          <w:lang w:val="en-US" w:eastAsia="zh-CN"/>
        </w:rPr>
        <w:t>情景为废气排放非甲烷总烃通过大气沉降对评价范围内土壤的影响。</w:t>
      </w:r>
    </w:p>
    <w:p w14:paraId="09771EEA">
      <w:pPr>
        <w:pStyle w:val="2"/>
        <w:keepNext w:val="0"/>
        <w:keepLines w:val="0"/>
        <w:pageBreakBefore w:val="0"/>
        <w:widowControl/>
        <w:kinsoku/>
        <w:wordWrap/>
        <w:overflowPunct/>
        <w:topLinePunct w:val="0"/>
        <w:autoSpaceDE/>
        <w:autoSpaceDN/>
        <w:bidi w:val="0"/>
        <w:adjustRightInd w:val="0"/>
        <w:snapToGrid w:val="0"/>
        <w:jc w:val="both"/>
        <w:textAlignment w:val="auto"/>
        <w:rPr>
          <w:rFonts w:hint="default"/>
          <w:color w:val="auto"/>
          <w:highlight w:val="none"/>
          <w:lang w:val="en-US" w:eastAsia="zh-CN"/>
        </w:rPr>
      </w:pPr>
      <w:r>
        <w:rPr>
          <w:rFonts w:hint="default"/>
          <w:color w:val="auto"/>
          <w:highlight w:val="none"/>
          <w:lang w:val="en-US" w:eastAsia="zh-CN"/>
        </w:rPr>
        <w:t>类比《</w:t>
      </w:r>
      <w:r>
        <w:rPr>
          <w:rFonts w:hint="eastAsia"/>
          <w:color w:val="auto"/>
          <w:highlight w:val="none"/>
          <w:lang w:val="en-US" w:eastAsia="zh-CN"/>
        </w:rPr>
        <w:t>合肥维信诺科技有限公司剥离液混配系统工程项目环境影响报告书</w:t>
      </w:r>
      <w:r>
        <w:rPr>
          <w:rFonts w:hint="default"/>
          <w:color w:val="auto"/>
          <w:highlight w:val="none"/>
          <w:lang w:val="en-US" w:eastAsia="zh-CN"/>
        </w:rPr>
        <w:t>》预测结果（</w:t>
      </w:r>
      <w:r>
        <w:rPr>
          <w:rFonts w:hint="eastAsia"/>
          <w:color w:val="auto"/>
          <w:highlight w:val="none"/>
          <w:lang w:val="en-US" w:eastAsia="zh-CN"/>
        </w:rPr>
        <w:t>非甲烷总烃排放量为1.58t/a</w:t>
      </w:r>
      <w:r>
        <w:rPr>
          <w:rFonts w:hint="default"/>
          <w:color w:val="auto"/>
          <w:highlight w:val="none"/>
          <w:lang w:val="en-US" w:eastAsia="zh-CN"/>
        </w:rPr>
        <w:t>，根据大气环境影响预测与评价结果，它们将主要进入厂区周围2.5km范围内的土壤中，并与当地的风向频率相对应，按一定的比例分布在受影响的土壤中</w:t>
      </w:r>
      <w:r>
        <w:rPr>
          <w:rFonts w:hint="eastAsia"/>
          <w:color w:val="auto"/>
          <w:highlight w:val="none"/>
          <w:lang w:val="en-US" w:eastAsia="zh-CN"/>
        </w:rPr>
        <w:t>，根据合肥市风频计算各风向下分布率，计算非甲烷总烃16个风向下风方位的分布量，然后计算厂区周围2.5km范围内每个风向下风方位土壤的污染物年输入量，预测时段为1~20年</w:t>
      </w:r>
      <w:r>
        <w:rPr>
          <w:rFonts w:hint="default"/>
          <w:color w:val="auto"/>
          <w:highlight w:val="none"/>
          <w:lang w:val="en-US" w:eastAsia="zh-CN"/>
        </w:rPr>
        <w:t>），非甲烷总烃排放引起的大气沉降对周围环境影响较小，评价范围内工业用地满足《土壤环境质量 建设用地土壤污染风险管控标准》（GB 36600-2018）（试行）中第二类用地筛选值标准</w:t>
      </w:r>
      <w:r>
        <w:rPr>
          <w:rFonts w:hint="eastAsia"/>
          <w:color w:val="auto"/>
          <w:highlight w:val="none"/>
          <w:lang w:val="en-US" w:eastAsia="zh-CN"/>
        </w:rPr>
        <w:t>（参照石油烃标准4500mg/kg）</w:t>
      </w:r>
      <w:r>
        <w:rPr>
          <w:rFonts w:hint="default"/>
          <w:color w:val="auto"/>
          <w:highlight w:val="none"/>
          <w:lang w:val="en-US" w:eastAsia="zh-CN"/>
        </w:rPr>
        <w:t>，土壤环境保护目标</w:t>
      </w:r>
      <w:r>
        <w:rPr>
          <w:rFonts w:hint="eastAsia"/>
          <w:color w:val="auto"/>
          <w:highlight w:val="none"/>
          <w:lang w:val="en-US" w:eastAsia="zh-CN"/>
        </w:rPr>
        <w:t>处</w:t>
      </w:r>
      <w:r>
        <w:rPr>
          <w:rFonts w:hint="default"/>
          <w:color w:val="auto"/>
          <w:highlight w:val="none"/>
          <w:lang w:val="en-US" w:eastAsia="zh-CN"/>
        </w:rPr>
        <w:t>满足《土壤环境质量 建设用地土壤污染风险管控标准》（GB 36600-2018）（试行）中第一类用地筛选值标准。</w:t>
      </w:r>
    </w:p>
    <w:p w14:paraId="16D59FBB">
      <w:pPr>
        <w:pStyle w:val="2"/>
        <w:keepNext w:val="0"/>
        <w:keepLines w:val="0"/>
        <w:pageBreakBefore w:val="0"/>
        <w:widowControl/>
        <w:kinsoku/>
        <w:wordWrap/>
        <w:overflowPunct/>
        <w:topLinePunct w:val="0"/>
        <w:autoSpaceDE/>
        <w:autoSpaceDN/>
        <w:bidi w:val="0"/>
        <w:adjustRightInd w:val="0"/>
        <w:snapToGrid w:val="0"/>
        <w:jc w:val="both"/>
        <w:textAlignment w:val="auto"/>
        <w:rPr>
          <w:rFonts w:hint="default"/>
          <w:color w:val="auto"/>
          <w:highlight w:val="none"/>
          <w:lang w:val="en-US" w:eastAsia="zh-CN"/>
        </w:rPr>
      </w:pPr>
      <w:r>
        <w:rPr>
          <w:rFonts w:hint="default"/>
          <w:color w:val="auto"/>
          <w:highlight w:val="none"/>
          <w:lang w:val="en-US" w:eastAsia="zh-CN"/>
        </w:rPr>
        <w:t>类比《</w:t>
      </w:r>
      <w:r>
        <w:rPr>
          <w:rFonts w:hint="eastAsia"/>
          <w:color w:val="auto"/>
          <w:highlight w:val="none"/>
          <w:lang w:val="en-US" w:eastAsia="zh-CN"/>
        </w:rPr>
        <w:t>苏州润邦半导体材料科技有限公司年产半导体光刻胶750吨、抗反射膜500吨、剥离液150吨、高纯度溶剂200吨项目环境影响评价报告书</w:t>
      </w:r>
      <w:r>
        <w:rPr>
          <w:rFonts w:hint="default"/>
          <w:color w:val="auto"/>
          <w:highlight w:val="none"/>
          <w:lang w:val="en-US" w:eastAsia="zh-CN"/>
        </w:rPr>
        <w:t>》（主要考虑排气筒污染物沉降对周边土壤环境的影响</w:t>
      </w:r>
      <w:r>
        <w:rPr>
          <w:rFonts w:hint="eastAsia"/>
          <w:color w:val="auto"/>
          <w:highlight w:val="none"/>
          <w:lang w:val="en-US" w:eastAsia="zh-CN"/>
        </w:rPr>
        <w:t>，预测因子参照石油烃及其标准，预测时段为5、10、30年</w:t>
      </w:r>
      <w:r>
        <w:rPr>
          <w:rFonts w:hint="default"/>
          <w:color w:val="auto"/>
          <w:highlight w:val="none"/>
          <w:lang w:val="en-US" w:eastAsia="zh-CN"/>
        </w:rPr>
        <w:t>），经预测项目大气沉降对项目土壤污染贡献值有限，项目运营5年、10年和30年后，最终土壤中石油烃的浓度仍满足《土壤环境质量建设用地土壤污染风险管控标准(试行)(GB36600-2018)表1 中筛选值第二类用地标准。因此项目最终建设对周边土壤环境影响不大。</w:t>
      </w:r>
    </w:p>
    <w:p w14:paraId="712D4914">
      <w:pPr>
        <w:pStyle w:val="2"/>
        <w:keepNext w:val="0"/>
        <w:keepLines w:val="0"/>
        <w:pageBreakBefore w:val="0"/>
        <w:widowControl/>
        <w:kinsoku/>
        <w:wordWrap/>
        <w:overflowPunct/>
        <w:topLinePunct w:val="0"/>
        <w:autoSpaceDE/>
        <w:autoSpaceDN/>
        <w:bidi w:val="0"/>
        <w:adjustRightInd w:val="0"/>
        <w:snapToGrid w:val="0"/>
        <w:jc w:val="both"/>
        <w:textAlignment w:val="auto"/>
        <w:rPr>
          <w:rFonts w:hint="default"/>
          <w:color w:val="auto"/>
          <w:highlight w:val="none"/>
          <w:lang w:val="en-US" w:eastAsia="zh-CN"/>
        </w:rPr>
      </w:pPr>
      <w:r>
        <w:rPr>
          <w:rFonts w:hint="eastAsia"/>
          <w:color w:val="auto"/>
          <w:highlight w:val="none"/>
          <w:lang w:val="en-US" w:eastAsia="zh-CN"/>
        </w:rPr>
        <w:t>综上所述，项目在确保厂区各项预防措施良好维护的前提下，项目生产在短期内不会对土壤造成明显的影响；考虑长期影响，要求企业定期开展跟踪监测工作。</w:t>
      </w:r>
    </w:p>
    <w:p w14:paraId="2DDD5D93">
      <w:pPr>
        <w:pStyle w:val="5"/>
        <w:keepLines w:val="0"/>
        <w:numPr>
          <w:ilvl w:val="2"/>
          <w:numId w:val="0"/>
        </w:numPr>
        <w:tabs>
          <w:tab w:val="left" w:pos="567"/>
          <w:tab w:val="left" w:pos="709"/>
          <w:tab w:val="left" w:pos="993"/>
          <w:tab w:val="left" w:pos="6663"/>
        </w:tabs>
        <w:spacing w:before="0" w:after="0" w:line="360" w:lineRule="auto"/>
        <w:ind w:right="-105"/>
        <w:rPr>
          <w:rFonts w:eastAsia="宋体"/>
          <w:color w:val="auto"/>
          <w:sz w:val="28"/>
          <w:szCs w:val="24"/>
          <w:highlight w:val="none"/>
        </w:rPr>
      </w:pPr>
      <w:bookmarkStart w:id="399" w:name="_Toc60653569"/>
      <w:r>
        <w:rPr>
          <w:rFonts w:hint="eastAsia" w:eastAsia="宋体"/>
          <w:color w:val="auto"/>
          <w:sz w:val="28"/>
          <w:szCs w:val="24"/>
          <w:highlight w:val="none"/>
        </w:rPr>
        <w:t>6.4.4</w:t>
      </w:r>
      <w:r>
        <w:rPr>
          <w:rFonts w:eastAsia="宋体"/>
          <w:color w:val="auto"/>
          <w:sz w:val="28"/>
          <w:szCs w:val="24"/>
          <w:highlight w:val="none"/>
        </w:rPr>
        <w:t>土壤环境影响自查表</w:t>
      </w:r>
      <w:bookmarkEnd w:id="399"/>
    </w:p>
    <w:p w14:paraId="0A193428">
      <w:pPr>
        <w:spacing w:line="360" w:lineRule="auto"/>
        <w:ind w:left="-105" w:right="-105" w:firstLine="480" w:firstLineChars="200"/>
        <w:rPr>
          <w:rFonts w:ascii="Times New Roman" w:hAnsi="Times New Roman"/>
          <w:color w:val="auto"/>
          <w:highlight w:val="none"/>
        </w:rPr>
      </w:pPr>
      <w:r>
        <w:rPr>
          <w:rFonts w:ascii="Times New Roman" w:hAnsi="Times New Roman"/>
          <w:color w:val="auto"/>
          <w:highlight w:val="none"/>
        </w:rPr>
        <w:t>本项目土壤环境影响自查</w:t>
      </w:r>
      <w:r>
        <w:rPr>
          <w:rFonts w:ascii="Times New Roman" w:hAnsi="Times New Roman" w:cs="Times New Roman"/>
          <w:color w:val="auto"/>
          <w:highlight w:val="none"/>
        </w:rPr>
        <w:t>如</w:t>
      </w:r>
      <w:r>
        <w:rPr>
          <w:rFonts w:ascii="Times New Roman" w:hAnsi="Times New Roman" w:cs="Times New Roman"/>
          <w:color w:val="auto"/>
          <w:highlight w:val="none"/>
        </w:rPr>
        <w:fldChar w:fldCharType="begin"/>
      </w:r>
      <w:r>
        <w:rPr>
          <w:rFonts w:ascii="Times New Roman" w:hAnsi="Times New Roman" w:cs="Times New Roman"/>
          <w:color w:val="auto"/>
          <w:highlight w:val="none"/>
        </w:rPr>
        <w:instrText xml:space="preserve"> REF _Ref39069206 \h  \* MERGEFORMAT </w:instrText>
      </w:r>
      <w:r>
        <w:rPr>
          <w:rFonts w:ascii="Times New Roman" w:hAnsi="Times New Roman" w:cs="Times New Roman"/>
          <w:color w:val="auto"/>
          <w:highlight w:val="none"/>
        </w:rPr>
        <w:fldChar w:fldCharType="separate"/>
      </w:r>
      <w:r>
        <w:rPr>
          <w:rFonts w:ascii="Times New Roman" w:hAnsi="Times New Roman" w:cs="Times New Roman"/>
          <w:color w:val="auto"/>
          <w:szCs w:val="22"/>
          <w:highlight w:val="none"/>
        </w:rPr>
        <w:t>表</w:t>
      </w:r>
      <w:r>
        <w:rPr>
          <w:rFonts w:ascii="Times New Roman" w:hAnsi="Times New Roman" w:cs="Times New Roman"/>
          <w:color w:val="auto"/>
          <w:szCs w:val="22"/>
          <w:highlight w:val="none"/>
        </w:rPr>
        <w:fldChar w:fldCharType="begin"/>
      </w:r>
      <w:r>
        <w:rPr>
          <w:rFonts w:ascii="Times New Roman" w:hAnsi="Times New Roman" w:cs="Times New Roman"/>
          <w:color w:val="auto"/>
          <w:szCs w:val="22"/>
          <w:highlight w:val="none"/>
        </w:rPr>
        <w:instrText xml:space="preserve"> STYLEREF</w:instrText>
      </w:r>
      <w:r>
        <w:rPr>
          <w:rFonts w:ascii="Times New Roman" w:hAnsi="Times New Roman" w:cs="Times New Roman"/>
          <w:color w:val="auto"/>
          <w:highlight w:val="none"/>
        </w:rPr>
        <w:instrText xml:space="preserve"> 2 \s </w:instrText>
      </w:r>
      <w:r>
        <w:rPr>
          <w:rFonts w:ascii="Times New Roman" w:hAnsi="Times New Roman" w:cs="Times New Roman"/>
          <w:color w:val="auto"/>
          <w:highlight w:val="none"/>
        </w:rPr>
        <w:fldChar w:fldCharType="separate"/>
      </w:r>
      <w:r>
        <w:rPr>
          <w:rFonts w:ascii="Times New Roman" w:hAnsi="Times New Roman" w:cs="Times New Roman"/>
          <w:color w:val="auto"/>
          <w:highlight w:val="none"/>
        </w:rPr>
        <w:t>6.4</w:t>
      </w:r>
      <w:r>
        <w:rPr>
          <w:rFonts w:ascii="Times New Roman" w:hAnsi="Times New Roman" w:cs="Times New Roman"/>
          <w:color w:val="auto"/>
          <w:highlight w:val="none"/>
        </w:rPr>
        <w:fldChar w:fldCharType="end"/>
      </w:r>
      <w:r>
        <w:rPr>
          <w:rFonts w:ascii="Times New Roman" w:hAnsi="Times New Roman" w:cs="Times New Roman"/>
          <w:color w:val="auto"/>
          <w:highlight w:val="none"/>
        </w:rPr>
        <w:noBreakHyphen/>
      </w:r>
      <w:r>
        <w:rPr>
          <w:rFonts w:ascii="Times New Roman" w:hAnsi="Times New Roman" w:cs="Times New Roman"/>
          <w:color w:val="auto"/>
          <w:highlight w:val="none"/>
        </w:rPr>
        <w:t>3</w:t>
      </w:r>
      <w:r>
        <w:rPr>
          <w:rFonts w:ascii="Times New Roman" w:hAnsi="Times New Roman" w:cs="Times New Roman"/>
          <w:color w:val="auto"/>
          <w:highlight w:val="none"/>
        </w:rPr>
        <w:fldChar w:fldCharType="end"/>
      </w:r>
      <w:r>
        <w:rPr>
          <w:rFonts w:ascii="Times New Roman" w:hAnsi="Times New Roman" w:cs="Times New Roman"/>
          <w:color w:val="auto"/>
          <w:highlight w:val="none"/>
        </w:rPr>
        <w:t>所示</w:t>
      </w:r>
      <w:r>
        <w:rPr>
          <w:rFonts w:ascii="Times New Roman" w:hAnsi="Times New Roman"/>
          <w:color w:val="auto"/>
          <w:highlight w:val="none"/>
        </w:rPr>
        <w:t>。</w:t>
      </w:r>
    </w:p>
    <w:p w14:paraId="3FECC77E">
      <w:pPr>
        <w:pStyle w:val="15"/>
        <w:spacing w:line="360" w:lineRule="auto"/>
        <w:ind w:left="-105" w:right="-105" w:firstLine="482"/>
        <w:rPr>
          <w:rFonts w:eastAsia="宋体" w:cs="Times New Roman"/>
          <w:color w:val="auto"/>
          <w:sz w:val="24"/>
          <w:szCs w:val="24"/>
          <w:highlight w:val="none"/>
        </w:rPr>
      </w:pPr>
      <w:bookmarkStart w:id="400" w:name="_Ref39069206"/>
      <w:r>
        <w:rPr>
          <w:rFonts w:eastAsia="宋体" w:cs="Times New Roman"/>
          <w:color w:val="auto"/>
          <w:sz w:val="24"/>
          <w:szCs w:val="18"/>
          <w:highlight w:val="none"/>
        </w:rPr>
        <w:t>表</w:t>
      </w:r>
      <w:r>
        <w:rPr>
          <w:rFonts w:eastAsia="宋体" w:cs="Times New Roman"/>
          <w:color w:val="auto"/>
          <w:sz w:val="24"/>
          <w:szCs w:val="18"/>
          <w:highlight w:val="none"/>
        </w:rPr>
        <w:fldChar w:fldCharType="begin"/>
      </w:r>
      <w:r>
        <w:rPr>
          <w:rFonts w:eastAsia="宋体" w:cs="Times New Roman"/>
          <w:color w:val="auto"/>
          <w:sz w:val="24"/>
          <w:szCs w:val="18"/>
          <w:highlight w:val="none"/>
        </w:rPr>
        <w:instrText xml:space="preserve"> STYLEREF 2 \s </w:instrText>
      </w:r>
      <w:r>
        <w:rPr>
          <w:rFonts w:eastAsia="宋体" w:cs="Times New Roman"/>
          <w:color w:val="auto"/>
          <w:sz w:val="24"/>
          <w:szCs w:val="18"/>
          <w:highlight w:val="none"/>
        </w:rPr>
        <w:fldChar w:fldCharType="separate"/>
      </w:r>
      <w:r>
        <w:rPr>
          <w:rFonts w:eastAsia="宋体" w:cs="Times New Roman"/>
          <w:color w:val="auto"/>
          <w:sz w:val="24"/>
          <w:szCs w:val="18"/>
          <w:highlight w:val="none"/>
        </w:rPr>
        <w:t>6.4</w:t>
      </w:r>
      <w:r>
        <w:rPr>
          <w:rFonts w:eastAsia="宋体" w:cs="Times New Roman"/>
          <w:color w:val="auto"/>
          <w:sz w:val="24"/>
          <w:szCs w:val="18"/>
          <w:highlight w:val="none"/>
        </w:rPr>
        <w:fldChar w:fldCharType="end"/>
      </w:r>
      <w:r>
        <w:rPr>
          <w:rFonts w:eastAsia="宋体" w:cs="Times New Roman"/>
          <w:color w:val="auto"/>
          <w:sz w:val="24"/>
          <w:szCs w:val="18"/>
          <w:highlight w:val="none"/>
        </w:rPr>
        <w:noBreakHyphen/>
      </w:r>
      <w:r>
        <w:rPr>
          <w:rFonts w:eastAsia="宋体" w:cs="Times New Roman"/>
          <w:color w:val="auto"/>
          <w:sz w:val="24"/>
          <w:szCs w:val="18"/>
          <w:highlight w:val="none"/>
        </w:rPr>
        <w:fldChar w:fldCharType="begin"/>
      </w:r>
      <w:r>
        <w:rPr>
          <w:rFonts w:eastAsia="宋体" w:cs="Times New Roman"/>
          <w:color w:val="auto"/>
          <w:sz w:val="24"/>
          <w:szCs w:val="18"/>
          <w:highlight w:val="none"/>
        </w:rPr>
        <w:instrText xml:space="preserve"> SEQ 表 \* ARABIC \s 2 </w:instrText>
      </w:r>
      <w:r>
        <w:rPr>
          <w:rFonts w:eastAsia="宋体" w:cs="Times New Roman"/>
          <w:color w:val="auto"/>
          <w:sz w:val="24"/>
          <w:szCs w:val="18"/>
          <w:highlight w:val="none"/>
        </w:rPr>
        <w:fldChar w:fldCharType="separate"/>
      </w:r>
      <w:r>
        <w:rPr>
          <w:rFonts w:eastAsia="宋体" w:cs="Times New Roman"/>
          <w:color w:val="auto"/>
          <w:sz w:val="24"/>
          <w:szCs w:val="18"/>
          <w:highlight w:val="none"/>
        </w:rPr>
        <w:t>2</w:t>
      </w:r>
      <w:r>
        <w:rPr>
          <w:rFonts w:eastAsia="宋体" w:cs="Times New Roman"/>
          <w:color w:val="auto"/>
          <w:sz w:val="24"/>
          <w:szCs w:val="18"/>
          <w:highlight w:val="none"/>
        </w:rPr>
        <w:fldChar w:fldCharType="end"/>
      </w:r>
      <w:bookmarkEnd w:id="400"/>
      <w:r>
        <w:rPr>
          <w:rFonts w:eastAsia="宋体" w:cs="Times New Roman"/>
          <w:color w:val="auto"/>
          <w:sz w:val="24"/>
          <w:szCs w:val="24"/>
          <w:highlight w:val="none"/>
        </w:rPr>
        <w:t>土壤环境影响评价自查表</w:t>
      </w:r>
    </w:p>
    <w:tbl>
      <w:tblPr>
        <w:tblStyle w:val="45"/>
        <w:tblW w:w="500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458"/>
        <w:gridCol w:w="1378"/>
        <w:gridCol w:w="1477"/>
        <w:gridCol w:w="259"/>
        <w:gridCol w:w="1109"/>
        <w:gridCol w:w="916"/>
        <w:gridCol w:w="441"/>
        <w:gridCol w:w="1598"/>
        <w:gridCol w:w="1084"/>
      </w:tblGrid>
      <w:tr w14:paraId="265FB44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21" w:hRule="atLeast"/>
          <w:jc w:val="center"/>
        </w:trPr>
        <w:tc>
          <w:tcPr>
            <w:tcW w:w="2033" w:type="dxa"/>
            <w:gridSpan w:val="2"/>
            <w:tcBorders>
              <w:tl2br w:val="nil"/>
              <w:tr2bl w:val="nil"/>
            </w:tcBorders>
            <w:vAlign w:val="center"/>
          </w:tcPr>
          <w:p w14:paraId="3766CC93">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b/>
                <w:bCs/>
                <w:color w:val="auto"/>
                <w:sz w:val="21"/>
                <w:szCs w:val="21"/>
                <w:highlight w:val="none"/>
              </w:rPr>
            </w:pPr>
            <w:r>
              <w:rPr>
                <w:rFonts w:ascii="Times New Roman" w:hAnsi="Times New Roman"/>
                <w:b/>
                <w:bCs/>
                <w:color w:val="auto"/>
                <w:sz w:val="21"/>
                <w:szCs w:val="21"/>
                <w:highlight w:val="none"/>
              </w:rPr>
              <w:t>工作内容</w:t>
            </w:r>
          </w:p>
        </w:tc>
        <w:tc>
          <w:tcPr>
            <w:tcW w:w="6432" w:type="dxa"/>
            <w:gridSpan w:val="6"/>
            <w:tcBorders>
              <w:tl2br w:val="nil"/>
              <w:tr2bl w:val="nil"/>
            </w:tcBorders>
            <w:vAlign w:val="center"/>
          </w:tcPr>
          <w:p w14:paraId="660F54F8">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b/>
                <w:bCs/>
                <w:color w:val="auto"/>
                <w:sz w:val="21"/>
                <w:szCs w:val="21"/>
                <w:highlight w:val="none"/>
              </w:rPr>
            </w:pPr>
            <w:r>
              <w:rPr>
                <w:rFonts w:ascii="Times New Roman" w:hAnsi="Times New Roman"/>
                <w:b/>
                <w:bCs/>
                <w:color w:val="auto"/>
                <w:sz w:val="21"/>
                <w:szCs w:val="21"/>
                <w:highlight w:val="none"/>
              </w:rPr>
              <w:t>完成情况</w:t>
            </w:r>
          </w:p>
        </w:tc>
        <w:tc>
          <w:tcPr>
            <w:tcW w:w="1216" w:type="dxa"/>
            <w:tcBorders>
              <w:tl2br w:val="nil"/>
              <w:tr2bl w:val="nil"/>
            </w:tcBorders>
            <w:vAlign w:val="center"/>
          </w:tcPr>
          <w:p w14:paraId="204E38D6">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b/>
                <w:bCs/>
                <w:color w:val="auto"/>
                <w:sz w:val="21"/>
                <w:szCs w:val="21"/>
                <w:highlight w:val="none"/>
              </w:rPr>
            </w:pPr>
            <w:r>
              <w:rPr>
                <w:rFonts w:ascii="Times New Roman" w:hAnsi="Times New Roman"/>
                <w:b/>
                <w:bCs/>
                <w:color w:val="auto"/>
                <w:sz w:val="21"/>
                <w:szCs w:val="21"/>
                <w:highlight w:val="none"/>
              </w:rPr>
              <w:t>备注</w:t>
            </w:r>
          </w:p>
        </w:tc>
      </w:tr>
      <w:tr w14:paraId="532F7BF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21" w:hRule="atLeast"/>
          <w:jc w:val="center"/>
        </w:trPr>
        <w:tc>
          <w:tcPr>
            <w:tcW w:w="464" w:type="dxa"/>
            <w:vMerge w:val="restart"/>
            <w:tcBorders>
              <w:tl2br w:val="nil"/>
              <w:tr2bl w:val="nil"/>
            </w:tcBorders>
            <w:vAlign w:val="center"/>
          </w:tcPr>
          <w:p w14:paraId="10EC98D5">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olor w:val="auto"/>
                <w:sz w:val="21"/>
                <w:szCs w:val="21"/>
                <w:highlight w:val="none"/>
              </w:rPr>
            </w:pPr>
            <w:r>
              <w:rPr>
                <w:rFonts w:ascii="Times New Roman" w:hAnsi="Times New Roman"/>
                <w:color w:val="auto"/>
                <w:sz w:val="21"/>
                <w:szCs w:val="21"/>
                <w:highlight w:val="none"/>
              </w:rPr>
              <w:t>影响识别</w:t>
            </w:r>
          </w:p>
        </w:tc>
        <w:tc>
          <w:tcPr>
            <w:tcW w:w="1569" w:type="dxa"/>
            <w:tcBorders>
              <w:tl2br w:val="nil"/>
              <w:tr2bl w:val="nil"/>
            </w:tcBorders>
            <w:vAlign w:val="center"/>
          </w:tcPr>
          <w:p w14:paraId="098CA26E">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olor w:val="auto"/>
                <w:sz w:val="21"/>
                <w:szCs w:val="21"/>
                <w:highlight w:val="none"/>
              </w:rPr>
            </w:pPr>
            <w:r>
              <w:rPr>
                <w:rFonts w:ascii="Times New Roman" w:hAnsi="Times New Roman"/>
                <w:color w:val="auto"/>
                <w:sz w:val="21"/>
                <w:szCs w:val="21"/>
                <w:highlight w:val="none"/>
              </w:rPr>
              <w:t>影响类型</w:t>
            </w:r>
          </w:p>
        </w:tc>
        <w:tc>
          <w:tcPr>
            <w:tcW w:w="6432" w:type="dxa"/>
            <w:gridSpan w:val="6"/>
            <w:tcBorders>
              <w:tl2br w:val="nil"/>
              <w:tr2bl w:val="nil"/>
            </w:tcBorders>
            <w:vAlign w:val="center"/>
          </w:tcPr>
          <w:p w14:paraId="13869469">
            <w:pPr>
              <w:keepNext w:val="0"/>
              <w:keepLines w:val="0"/>
              <w:pageBreakBefore w:val="0"/>
              <w:widowControl/>
              <w:kinsoku/>
              <w:wordWrap/>
              <w:overflowPunct/>
              <w:topLinePunct w:val="0"/>
              <w:autoSpaceDE/>
              <w:autoSpaceDN/>
              <w:bidi w:val="0"/>
              <w:adjustRightInd/>
              <w:snapToGrid/>
              <w:ind w:left="0" w:right="0"/>
              <w:textAlignment w:val="auto"/>
              <w:rPr>
                <w:rFonts w:ascii="Times New Roman" w:hAnsi="Times New Roman"/>
                <w:color w:val="auto"/>
                <w:sz w:val="21"/>
                <w:szCs w:val="21"/>
                <w:highlight w:val="none"/>
              </w:rPr>
            </w:pPr>
            <w:r>
              <w:rPr>
                <w:rFonts w:ascii="Times New Roman" w:hAnsi="Times New Roman"/>
                <w:color w:val="auto"/>
                <w:sz w:val="21"/>
                <w:szCs w:val="21"/>
                <w:highlight w:val="none"/>
              </w:rPr>
              <w:t>污染影响型</w:t>
            </w:r>
            <w:r>
              <w:rPr>
                <w:rFonts w:hint="eastAsia" w:ascii="Times New Roman" w:hAnsi="Times New Roman"/>
                <w:color w:val="auto"/>
                <w:sz w:val="21"/>
                <w:szCs w:val="21"/>
                <w:highlight w:val="none"/>
              </w:rPr>
              <w:t>☑</w:t>
            </w:r>
            <w:r>
              <w:rPr>
                <w:rFonts w:ascii="Times New Roman" w:hAnsi="Times New Roman"/>
                <w:color w:val="auto"/>
                <w:sz w:val="21"/>
                <w:szCs w:val="21"/>
                <w:highlight w:val="none"/>
              </w:rPr>
              <w:t>；生态影响型□；两种兼有□</w:t>
            </w:r>
          </w:p>
        </w:tc>
        <w:tc>
          <w:tcPr>
            <w:tcW w:w="1216" w:type="dxa"/>
            <w:tcBorders>
              <w:tl2br w:val="nil"/>
              <w:tr2bl w:val="nil"/>
            </w:tcBorders>
            <w:vAlign w:val="center"/>
          </w:tcPr>
          <w:p w14:paraId="494AD635">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olor w:val="auto"/>
                <w:sz w:val="21"/>
                <w:szCs w:val="21"/>
                <w:highlight w:val="none"/>
              </w:rPr>
            </w:pPr>
          </w:p>
        </w:tc>
      </w:tr>
      <w:tr w14:paraId="4B46590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77" w:hRule="atLeast"/>
          <w:jc w:val="center"/>
        </w:trPr>
        <w:tc>
          <w:tcPr>
            <w:tcW w:w="464" w:type="dxa"/>
            <w:vMerge w:val="continue"/>
            <w:tcBorders>
              <w:tl2br w:val="nil"/>
              <w:tr2bl w:val="nil"/>
            </w:tcBorders>
            <w:vAlign w:val="center"/>
          </w:tcPr>
          <w:p w14:paraId="19CF12FF">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olor w:val="auto"/>
                <w:sz w:val="21"/>
                <w:szCs w:val="21"/>
                <w:highlight w:val="none"/>
              </w:rPr>
            </w:pPr>
          </w:p>
        </w:tc>
        <w:tc>
          <w:tcPr>
            <w:tcW w:w="1569" w:type="dxa"/>
            <w:tcBorders>
              <w:tl2br w:val="nil"/>
              <w:tr2bl w:val="nil"/>
            </w:tcBorders>
            <w:vAlign w:val="center"/>
          </w:tcPr>
          <w:p w14:paraId="48DFF1F2">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olor w:val="auto"/>
                <w:sz w:val="21"/>
                <w:szCs w:val="21"/>
                <w:highlight w:val="none"/>
              </w:rPr>
            </w:pPr>
            <w:r>
              <w:rPr>
                <w:rFonts w:ascii="Times New Roman" w:hAnsi="Times New Roman"/>
                <w:color w:val="auto"/>
                <w:sz w:val="21"/>
                <w:szCs w:val="21"/>
                <w:highlight w:val="none"/>
              </w:rPr>
              <w:t>土地利用类型</w:t>
            </w:r>
          </w:p>
        </w:tc>
        <w:tc>
          <w:tcPr>
            <w:tcW w:w="6432" w:type="dxa"/>
            <w:gridSpan w:val="6"/>
            <w:tcBorders>
              <w:tl2br w:val="nil"/>
              <w:tr2bl w:val="nil"/>
            </w:tcBorders>
            <w:vAlign w:val="center"/>
          </w:tcPr>
          <w:p w14:paraId="626B60C0">
            <w:pPr>
              <w:keepNext w:val="0"/>
              <w:keepLines w:val="0"/>
              <w:pageBreakBefore w:val="0"/>
              <w:widowControl/>
              <w:kinsoku/>
              <w:wordWrap/>
              <w:overflowPunct/>
              <w:topLinePunct w:val="0"/>
              <w:autoSpaceDE/>
              <w:autoSpaceDN/>
              <w:bidi w:val="0"/>
              <w:adjustRightInd/>
              <w:snapToGrid/>
              <w:ind w:left="0" w:right="0"/>
              <w:textAlignment w:val="auto"/>
              <w:rPr>
                <w:rFonts w:ascii="Times New Roman" w:hAnsi="Times New Roman"/>
                <w:color w:val="auto"/>
                <w:sz w:val="21"/>
                <w:szCs w:val="21"/>
                <w:highlight w:val="none"/>
              </w:rPr>
            </w:pPr>
            <w:r>
              <w:rPr>
                <w:rFonts w:ascii="Times New Roman" w:hAnsi="Times New Roman"/>
                <w:color w:val="auto"/>
                <w:sz w:val="21"/>
                <w:szCs w:val="21"/>
                <w:highlight w:val="none"/>
              </w:rPr>
              <w:t>建设用地</w:t>
            </w:r>
            <w:r>
              <w:rPr>
                <w:rFonts w:hint="eastAsia" w:ascii="Times New Roman" w:hAnsi="Times New Roman"/>
                <w:color w:val="auto"/>
                <w:sz w:val="21"/>
                <w:szCs w:val="21"/>
                <w:highlight w:val="none"/>
              </w:rPr>
              <w:t>☑</w:t>
            </w:r>
            <w:r>
              <w:rPr>
                <w:rFonts w:ascii="Times New Roman" w:hAnsi="Times New Roman"/>
                <w:color w:val="auto"/>
                <w:sz w:val="21"/>
                <w:szCs w:val="21"/>
                <w:highlight w:val="none"/>
              </w:rPr>
              <w:t>；农用地□；未利用地□</w:t>
            </w:r>
          </w:p>
        </w:tc>
        <w:tc>
          <w:tcPr>
            <w:tcW w:w="1216" w:type="dxa"/>
            <w:tcBorders>
              <w:tl2br w:val="nil"/>
              <w:tr2bl w:val="nil"/>
            </w:tcBorders>
            <w:vAlign w:val="center"/>
          </w:tcPr>
          <w:p w14:paraId="297EC249">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olor w:val="auto"/>
                <w:sz w:val="21"/>
                <w:szCs w:val="21"/>
                <w:highlight w:val="none"/>
              </w:rPr>
            </w:pPr>
            <w:r>
              <w:rPr>
                <w:rFonts w:ascii="Times New Roman" w:hAnsi="Times New Roman"/>
                <w:color w:val="auto"/>
                <w:sz w:val="21"/>
                <w:szCs w:val="21"/>
                <w:highlight w:val="none"/>
              </w:rPr>
              <w:t>土壤利用类型图</w:t>
            </w:r>
          </w:p>
        </w:tc>
      </w:tr>
      <w:tr w14:paraId="56CC6B1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3" w:hRule="atLeast"/>
          <w:jc w:val="center"/>
        </w:trPr>
        <w:tc>
          <w:tcPr>
            <w:tcW w:w="464" w:type="dxa"/>
            <w:vMerge w:val="continue"/>
            <w:tcBorders>
              <w:tl2br w:val="nil"/>
              <w:tr2bl w:val="nil"/>
            </w:tcBorders>
            <w:vAlign w:val="center"/>
          </w:tcPr>
          <w:p w14:paraId="3E417368">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olor w:val="auto"/>
                <w:sz w:val="21"/>
                <w:szCs w:val="21"/>
                <w:highlight w:val="none"/>
              </w:rPr>
            </w:pPr>
          </w:p>
        </w:tc>
        <w:tc>
          <w:tcPr>
            <w:tcW w:w="1569" w:type="dxa"/>
            <w:tcBorders>
              <w:tl2br w:val="nil"/>
              <w:tr2bl w:val="nil"/>
            </w:tcBorders>
            <w:vAlign w:val="center"/>
          </w:tcPr>
          <w:p w14:paraId="689B5B1A">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olor w:val="auto"/>
                <w:sz w:val="21"/>
                <w:szCs w:val="21"/>
                <w:highlight w:val="none"/>
              </w:rPr>
            </w:pPr>
            <w:r>
              <w:rPr>
                <w:rFonts w:ascii="Times New Roman" w:hAnsi="Times New Roman"/>
                <w:color w:val="auto"/>
                <w:sz w:val="21"/>
                <w:szCs w:val="21"/>
                <w:highlight w:val="none"/>
              </w:rPr>
              <w:t>占地规模</w:t>
            </w:r>
          </w:p>
        </w:tc>
        <w:tc>
          <w:tcPr>
            <w:tcW w:w="6432" w:type="dxa"/>
            <w:gridSpan w:val="6"/>
            <w:tcBorders>
              <w:tl2br w:val="nil"/>
              <w:tr2bl w:val="nil"/>
            </w:tcBorders>
            <w:vAlign w:val="center"/>
          </w:tcPr>
          <w:p w14:paraId="4EC80CDA">
            <w:pPr>
              <w:keepNext w:val="0"/>
              <w:keepLines w:val="0"/>
              <w:pageBreakBefore w:val="0"/>
              <w:widowControl/>
              <w:kinsoku/>
              <w:wordWrap/>
              <w:overflowPunct/>
              <w:topLinePunct w:val="0"/>
              <w:autoSpaceDE/>
              <w:autoSpaceDN/>
              <w:bidi w:val="0"/>
              <w:adjustRightInd/>
              <w:snapToGrid/>
              <w:ind w:left="0" w:right="0"/>
              <w:textAlignment w:val="auto"/>
              <w:rPr>
                <w:rFonts w:ascii="Times New Roman" w:hAnsi="Times New Roman"/>
                <w:color w:val="auto"/>
                <w:sz w:val="21"/>
                <w:szCs w:val="21"/>
                <w:highlight w:val="none"/>
              </w:rPr>
            </w:pPr>
            <w:r>
              <w:rPr>
                <w:rFonts w:ascii="Times New Roman" w:hAnsi="Times New Roman"/>
                <w:color w:val="auto"/>
                <w:sz w:val="21"/>
                <w:szCs w:val="21"/>
                <w:highlight w:val="none"/>
              </w:rPr>
              <w:t>（2.952）hm</w:t>
            </w:r>
            <w:r>
              <w:rPr>
                <w:rFonts w:ascii="Times New Roman" w:hAnsi="Times New Roman"/>
                <w:color w:val="auto"/>
                <w:sz w:val="21"/>
                <w:szCs w:val="21"/>
                <w:highlight w:val="none"/>
                <w:vertAlign w:val="superscript"/>
              </w:rPr>
              <w:t>2</w:t>
            </w:r>
          </w:p>
        </w:tc>
        <w:tc>
          <w:tcPr>
            <w:tcW w:w="1216" w:type="dxa"/>
            <w:tcBorders>
              <w:tl2br w:val="nil"/>
              <w:tr2bl w:val="nil"/>
            </w:tcBorders>
            <w:vAlign w:val="center"/>
          </w:tcPr>
          <w:p w14:paraId="6FC2FCE0">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olor w:val="auto"/>
                <w:sz w:val="21"/>
                <w:szCs w:val="21"/>
                <w:highlight w:val="none"/>
              </w:rPr>
            </w:pPr>
          </w:p>
        </w:tc>
      </w:tr>
      <w:tr w14:paraId="737C578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21" w:hRule="atLeast"/>
          <w:jc w:val="center"/>
        </w:trPr>
        <w:tc>
          <w:tcPr>
            <w:tcW w:w="464" w:type="dxa"/>
            <w:vMerge w:val="continue"/>
            <w:tcBorders>
              <w:tl2br w:val="nil"/>
              <w:tr2bl w:val="nil"/>
            </w:tcBorders>
            <w:vAlign w:val="center"/>
          </w:tcPr>
          <w:p w14:paraId="1ADC5E9D">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olor w:val="auto"/>
                <w:sz w:val="21"/>
                <w:szCs w:val="21"/>
                <w:highlight w:val="none"/>
              </w:rPr>
            </w:pPr>
          </w:p>
        </w:tc>
        <w:tc>
          <w:tcPr>
            <w:tcW w:w="1569" w:type="dxa"/>
            <w:tcBorders>
              <w:tl2br w:val="nil"/>
              <w:tr2bl w:val="nil"/>
            </w:tcBorders>
            <w:vAlign w:val="center"/>
          </w:tcPr>
          <w:p w14:paraId="35CDEEE5">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olor w:val="auto"/>
                <w:sz w:val="21"/>
                <w:szCs w:val="21"/>
                <w:highlight w:val="none"/>
              </w:rPr>
            </w:pPr>
            <w:r>
              <w:rPr>
                <w:rFonts w:ascii="Times New Roman" w:hAnsi="Times New Roman"/>
                <w:color w:val="auto"/>
                <w:sz w:val="21"/>
                <w:szCs w:val="21"/>
                <w:highlight w:val="none"/>
              </w:rPr>
              <w:t>敏感目标信息</w:t>
            </w:r>
          </w:p>
        </w:tc>
        <w:tc>
          <w:tcPr>
            <w:tcW w:w="6432" w:type="dxa"/>
            <w:gridSpan w:val="6"/>
            <w:tcBorders>
              <w:tl2br w:val="nil"/>
              <w:tr2bl w:val="nil"/>
            </w:tcBorders>
            <w:vAlign w:val="center"/>
          </w:tcPr>
          <w:p w14:paraId="79EBA9F8">
            <w:pPr>
              <w:keepNext w:val="0"/>
              <w:keepLines w:val="0"/>
              <w:pageBreakBefore w:val="0"/>
              <w:widowControl/>
              <w:kinsoku/>
              <w:wordWrap/>
              <w:overflowPunct/>
              <w:topLinePunct w:val="0"/>
              <w:autoSpaceDE/>
              <w:autoSpaceDN/>
              <w:bidi w:val="0"/>
              <w:adjustRightInd/>
              <w:snapToGrid/>
              <w:ind w:left="0" w:right="0"/>
              <w:textAlignment w:val="auto"/>
              <w:rPr>
                <w:rFonts w:ascii="Times New Roman" w:hAnsi="Times New Roman"/>
                <w:color w:val="auto"/>
                <w:sz w:val="21"/>
                <w:szCs w:val="21"/>
                <w:highlight w:val="none"/>
              </w:rPr>
            </w:pPr>
            <w:r>
              <w:rPr>
                <w:rFonts w:ascii="Times New Roman" w:hAnsi="Times New Roman"/>
                <w:color w:val="auto"/>
                <w:sz w:val="21"/>
                <w:szCs w:val="21"/>
                <w:highlight w:val="none"/>
              </w:rPr>
              <w:t>敏感目标（</w:t>
            </w:r>
            <w:r>
              <w:rPr>
                <w:rFonts w:hint="eastAsia" w:ascii="Times New Roman" w:hAnsi="Times New Roman"/>
                <w:color w:val="auto"/>
                <w:sz w:val="21"/>
                <w:szCs w:val="21"/>
                <w:highlight w:val="none"/>
              </w:rPr>
              <w:t>周巷头、浦巷上、朱巷村</w:t>
            </w:r>
            <w:r>
              <w:rPr>
                <w:rFonts w:ascii="Times New Roman" w:hAnsi="Times New Roman"/>
                <w:color w:val="auto"/>
                <w:sz w:val="21"/>
                <w:szCs w:val="21"/>
                <w:highlight w:val="none"/>
              </w:rPr>
              <w:t>）、方位（</w:t>
            </w:r>
            <w:r>
              <w:rPr>
                <w:rFonts w:hint="eastAsia" w:ascii="Times New Roman" w:hAnsi="Times New Roman"/>
                <w:color w:val="auto"/>
                <w:sz w:val="21"/>
                <w:szCs w:val="21"/>
                <w:highlight w:val="none"/>
              </w:rPr>
              <w:t>NE、W、SW</w:t>
            </w:r>
            <w:r>
              <w:rPr>
                <w:rFonts w:ascii="Times New Roman" w:hAnsi="Times New Roman"/>
                <w:color w:val="auto"/>
                <w:sz w:val="21"/>
                <w:szCs w:val="21"/>
                <w:highlight w:val="none"/>
              </w:rPr>
              <w:t>）、距离（</w:t>
            </w:r>
            <w:r>
              <w:rPr>
                <w:rFonts w:hint="eastAsia" w:ascii="Times New Roman" w:hAnsi="Times New Roman"/>
                <w:color w:val="auto"/>
                <w:sz w:val="21"/>
                <w:szCs w:val="21"/>
                <w:highlight w:val="none"/>
                <w:lang w:val="en-US" w:eastAsia="zh-CN"/>
              </w:rPr>
              <w:t>30</w:t>
            </w:r>
            <w:r>
              <w:rPr>
                <w:rFonts w:hint="eastAsia" w:ascii="Times New Roman" w:hAnsi="Times New Roman"/>
                <w:color w:val="auto"/>
                <w:sz w:val="21"/>
                <w:szCs w:val="21"/>
                <w:highlight w:val="none"/>
              </w:rPr>
              <w:t>m、100m、140m</w:t>
            </w:r>
            <w:r>
              <w:rPr>
                <w:rFonts w:ascii="Times New Roman" w:hAnsi="Times New Roman"/>
                <w:color w:val="auto"/>
                <w:sz w:val="21"/>
                <w:szCs w:val="21"/>
                <w:highlight w:val="none"/>
              </w:rPr>
              <w:t>）</w:t>
            </w:r>
          </w:p>
        </w:tc>
        <w:tc>
          <w:tcPr>
            <w:tcW w:w="1216" w:type="dxa"/>
            <w:tcBorders>
              <w:tl2br w:val="nil"/>
              <w:tr2bl w:val="nil"/>
            </w:tcBorders>
            <w:vAlign w:val="center"/>
          </w:tcPr>
          <w:p w14:paraId="5BCC2016">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olor w:val="auto"/>
                <w:sz w:val="21"/>
                <w:szCs w:val="21"/>
                <w:highlight w:val="none"/>
              </w:rPr>
            </w:pPr>
          </w:p>
        </w:tc>
      </w:tr>
      <w:tr w14:paraId="046417B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3" w:hRule="atLeast"/>
          <w:jc w:val="center"/>
        </w:trPr>
        <w:tc>
          <w:tcPr>
            <w:tcW w:w="464" w:type="dxa"/>
            <w:vMerge w:val="continue"/>
            <w:tcBorders>
              <w:tl2br w:val="nil"/>
              <w:tr2bl w:val="nil"/>
            </w:tcBorders>
            <w:vAlign w:val="center"/>
          </w:tcPr>
          <w:p w14:paraId="09092EF1">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olor w:val="auto"/>
                <w:sz w:val="21"/>
                <w:szCs w:val="21"/>
                <w:highlight w:val="none"/>
              </w:rPr>
            </w:pPr>
          </w:p>
        </w:tc>
        <w:tc>
          <w:tcPr>
            <w:tcW w:w="1569" w:type="dxa"/>
            <w:tcBorders>
              <w:tl2br w:val="nil"/>
              <w:tr2bl w:val="nil"/>
            </w:tcBorders>
            <w:vAlign w:val="center"/>
          </w:tcPr>
          <w:p w14:paraId="2EEB2458">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olor w:val="auto"/>
                <w:sz w:val="21"/>
                <w:szCs w:val="21"/>
                <w:highlight w:val="none"/>
              </w:rPr>
            </w:pPr>
            <w:r>
              <w:rPr>
                <w:rFonts w:ascii="Times New Roman" w:hAnsi="Times New Roman"/>
                <w:color w:val="auto"/>
                <w:sz w:val="21"/>
                <w:szCs w:val="21"/>
                <w:highlight w:val="none"/>
              </w:rPr>
              <w:t>影响途径</w:t>
            </w:r>
          </w:p>
        </w:tc>
        <w:tc>
          <w:tcPr>
            <w:tcW w:w="6432" w:type="dxa"/>
            <w:gridSpan w:val="6"/>
            <w:tcBorders>
              <w:tl2br w:val="nil"/>
              <w:tr2bl w:val="nil"/>
            </w:tcBorders>
            <w:vAlign w:val="center"/>
          </w:tcPr>
          <w:p w14:paraId="29CB53E8">
            <w:pPr>
              <w:keepNext w:val="0"/>
              <w:keepLines w:val="0"/>
              <w:pageBreakBefore w:val="0"/>
              <w:widowControl/>
              <w:kinsoku/>
              <w:wordWrap/>
              <w:overflowPunct/>
              <w:topLinePunct w:val="0"/>
              <w:autoSpaceDE/>
              <w:autoSpaceDN/>
              <w:bidi w:val="0"/>
              <w:adjustRightInd/>
              <w:snapToGrid/>
              <w:ind w:left="0" w:right="0"/>
              <w:textAlignment w:val="auto"/>
              <w:rPr>
                <w:rFonts w:ascii="Times New Roman" w:hAnsi="Times New Roman"/>
                <w:color w:val="auto"/>
                <w:sz w:val="21"/>
                <w:szCs w:val="21"/>
                <w:highlight w:val="none"/>
              </w:rPr>
            </w:pPr>
            <w:r>
              <w:rPr>
                <w:rFonts w:ascii="Times New Roman" w:hAnsi="Times New Roman"/>
                <w:color w:val="auto"/>
                <w:sz w:val="21"/>
                <w:szCs w:val="21"/>
                <w:highlight w:val="none"/>
              </w:rPr>
              <w:t>大气沉降</w:t>
            </w:r>
            <w:r>
              <w:rPr>
                <w:rFonts w:hint="eastAsia" w:ascii="Times New Roman" w:hAnsi="Times New Roman"/>
                <w:color w:val="auto"/>
                <w:sz w:val="21"/>
                <w:szCs w:val="21"/>
                <w:highlight w:val="none"/>
              </w:rPr>
              <w:t>☑</w:t>
            </w:r>
            <w:r>
              <w:rPr>
                <w:rFonts w:ascii="Times New Roman" w:hAnsi="Times New Roman"/>
                <w:color w:val="auto"/>
                <w:sz w:val="21"/>
                <w:szCs w:val="21"/>
                <w:highlight w:val="none"/>
              </w:rPr>
              <w:t>；地面漫流</w:t>
            </w:r>
            <w:r>
              <w:rPr>
                <w:rFonts w:hint="eastAsia" w:ascii="Times New Roman" w:hAnsi="Times New Roman"/>
                <w:color w:val="auto"/>
                <w:sz w:val="21"/>
                <w:szCs w:val="21"/>
                <w:highlight w:val="none"/>
              </w:rPr>
              <w:t>□</w:t>
            </w:r>
            <w:r>
              <w:rPr>
                <w:rFonts w:ascii="Times New Roman" w:hAnsi="Times New Roman"/>
                <w:color w:val="auto"/>
                <w:sz w:val="21"/>
                <w:szCs w:val="21"/>
                <w:highlight w:val="none"/>
              </w:rPr>
              <w:t>；垂直入渗</w:t>
            </w:r>
            <w:r>
              <w:rPr>
                <w:rFonts w:hint="eastAsia" w:ascii="Times New Roman" w:hAnsi="Times New Roman"/>
                <w:color w:val="auto"/>
                <w:sz w:val="21"/>
                <w:szCs w:val="21"/>
                <w:highlight w:val="none"/>
              </w:rPr>
              <w:t>☑</w:t>
            </w:r>
            <w:r>
              <w:rPr>
                <w:rFonts w:ascii="Times New Roman" w:hAnsi="Times New Roman"/>
                <w:color w:val="auto"/>
                <w:sz w:val="21"/>
                <w:szCs w:val="21"/>
                <w:highlight w:val="none"/>
              </w:rPr>
              <w:t>；地下水位</w:t>
            </w:r>
            <w:r>
              <w:rPr>
                <w:rFonts w:hint="eastAsia" w:ascii="Times New Roman" w:hAnsi="Times New Roman"/>
                <w:color w:val="auto"/>
                <w:sz w:val="21"/>
                <w:szCs w:val="21"/>
                <w:highlight w:val="none"/>
              </w:rPr>
              <w:t>□</w:t>
            </w:r>
            <w:r>
              <w:rPr>
                <w:rFonts w:ascii="Times New Roman" w:hAnsi="Times New Roman"/>
                <w:color w:val="auto"/>
                <w:sz w:val="21"/>
                <w:szCs w:val="21"/>
                <w:highlight w:val="none"/>
              </w:rPr>
              <w:t>；其他（）</w:t>
            </w:r>
          </w:p>
        </w:tc>
        <w:tc>
          <w:tcPr>
            <w:tcW w:w="1216" w:type="dxa"/>
            <w:tcBorders>
              <w:tl2br w:val="nil"/>
              <w:tr2bl w:val="nil"/>
            </w:tcBorders>
            <w:vAlign w:val="center"/>
          </w:tcPr>
          <w:p w14:paraId="30180473">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olor w:val="auto"/>
                <w:sz w:val="21"/>
                <w:szCs w:val="21"/>
                <w:highlight w:val="none"/>
              </w:rPr>
            </w:pPr>
          </w:p>
        </w:tc>
      </w:tr>
      <w:tr w14:paraId="4D03E1D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3" w:hRule="atLeast"/>
          <w:jc w:val="center"/>
        </w:trPr>
        <w:tc>
          <w:tcPr>
            <w:tcW w:w="464" w:type="dxa"/>
            <w:vMerge w:val="continue"/>
            <w:tcBorders>
              <w:tl2br w:val="nil"/>
              <w:tr2bl w:val="nil"/>
            </w:tcBorders>
            <w:vAlign w:val="center"/>
          </w:tcPr>
          <w:p w14:paraId="21B9D6AE">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olor w:val="auto"/>
                <w:sz w:val="21"/>
                <w:szCs w:val="21"/>
                <w:highlight w:val="none"/>
              </w:rPr>
            </w:pPr>
          </w:p>
        </w:tc>
        <w:tc>
          <w:tcPr>
            <w:tcW w:w="1569" w:type="dxa"/>
            <w:tcBorders>
              <w:tl2br w:val="nil"/>
              <w:tr2bl w:val="nil"/>
            </w:tcBorders>
            <w:vAlign w:val="center"/>
          </w:tcPr>
          <w:p w14:paraId="2C3190E7">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olor w:val="auto"/>
                <w:sz w:val="21"/>
                <w:szCs w:val="21"/>
                <w:highlight w:val="none"/>
              </w:rPr>
            </w:pPr>
            <w:r>
              <w:rPr>
                <w:rFonts w:ascii="Times New Roman" w:hAnsi="Times New Roman"/>
                <w:color w:val="auto"/>
                <w:sz w:val="21"/>
                <w:szCs w:val="21"/>
                <w:highlight w:val="none"/>
              </w:rPr>
              <w:t>全部污染物</w:t>
            </w:r>
          </w:p>
        </w:tc>
        <w:tc>
          <w:tcPr>
            <w:tcW w:w="6432" w:type="dxa"/>
            <w:gridSpan w:val="6"/>
            <w:tcBorders>
              <w:tl2br w:val="nil"/>
              <w:tr2bl w:val="nil"/>
            </w:tcBorders>
            <w:vAlign w:val="center"/>
          </w:tcPr>
          <w:p w14:paraId="7BD43732">
            <w:pPr>
              <w:keepNext w:val="0"/>
              <w:keepLines w:val="0"/>
              <w:pageBreakBefore w:val="0"/>
              <w:widowControl/>
              <w:kinsoku/>
              <w:wordWrap/>
              <w:overflowPunct/>
              <w:topLinePunct w:val="0"/>
              <w:autoSpaceDE/>
              <w:autoSpaceDN/>
              <w:bidi w:val="0"/>
              <w:adjustRightInd/>
              <w:snapToGrid/>
              <w:ind w:left="0" w:right="0"/>
              <w:textAlignment w:val="auto"/>
              <w:rPr>
                <w:rFonts w:ascii="Times New Roman" w:hAnsi="Times New Roman"/>
                <w:color w:val="auto"/>
                <w:sz w:val="21"/>
                <w:szCs w:val="21"/>
                <w:highlight w:val="none"/>
              </w:rPr>
            </w:pPr>
            <w:r>
              <w:rPr>
                <w:rFonts w:hint="eastAsia" w:ascii="Times New Roman" w:hAnsi="Times New Roman"/>
                <w:color w:val="auto"/>
                <w:sz w:val="21"/>
                <w:szCs w:val="21"/>
                <w:highlight w:val="none"/>
              </w:rPr>
              <w:t>非甲烷总烃</w:t>
            </w:r>
          </w:p>
        </w:tc>
        <w:tc>
          <w:tcPr>
            <w:tcW w:w="1216" w:type="dxa"/>
            <w:tcBorders>
              <w:tl2br w:val="nil"/>
              <w:tr2bl w:val="nil"/>
            </w:tcBorders>
            <w:vAlign w:val="center"/>
          </w:tcPr>
          <w:p w14:paraId="07E3D124">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olor w:val="auto"/>
                <w:sz w:val="21"/>
                <w:szCs w:val="21"/>
                <w:highlight w:val="none"/>
              </w:rPr>
            </w:pPr>
          </w:p>
        </w:tc>
      </w:tr>
      <w:tr w14:paraId="65916CB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3" w:hRule="atLeast"/>
          <w:jc w:val="center"/>
        </w:trPr>
        <w:tc>
          <w:tcPr>
            <w:tcW w:w="464" w:type="dxa"/>
            <w:vMerge w:val="continue"/>
            <w:tcBorders>
              <w:tl2br w:val="nil"/>
              <w:tr2bl w:val="nil"/>
            </w:tcBorders>
            <w:vAlign w:val="center"/>
          </w:tcPr>
          <w:p w14:paraId="19D50B60">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olor w:val="auto"/>
                <w:sz w:val="21"/>
                <w:szCs w:val="21"/>
                <w:highlight w:val="none"/>
              </w:rPr>
            </w:pPr>
          </w:p>
        </w:tc>
        <w:tc>
          <w:tcPr>
            <w:tcW w:w="1569" w:type="dxa"/>
            <w:tcBorders>
              <w:tl2br w:val="nil"/>
              <w:tr2bl w:val="nil"/>
            </w:tcBorders>
            <w:vAlign w:val="center"/>
          </w:tcPr>
          <w:p w14:paraId="46A14653">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olor w:val="auto"/>
                <w:sz w:val="21"/>
                <w:szCs w:val="21"/>
                <w:highlight w:val="none"/>
              </w:rPr>
            </w:pPr>
            <w:r>
              <w:rPr>
                <w:rFonts w:ascii="Times New Roman" w:hAnsi="Times New Roman"/>
                <w:color w:val="auto"/>
                <w:sz w:val="21"/>
                <w:szCs w:val="21"/>
                <w:highlight w:val="none"/>
              </w:rPr>
              <w:t>特征因子</w:t>
            </w:r>
          </w:p>
        </w:tc>
        <w:tc>
          <w:tcPr>
            <w:tcW w:w="6432" w:type="dxa"/>
            <w:gridSpan w:val="6"/>
            <w:tcBorders>
              <w:tl2br w:val="nil"/>
              <w:tr2bl w:val="nil"/>
            </w:tcBorders>
            <w:vAlign w:val="center"/>
          </w:tcPr>
          <w:p w14:paraId="43240291">
            <w:pPr>
              <w:keepNext w:val="0"/>
              <w:keepLines w:val="0"/>
              <w:pageBreakBefore w:val="0"/>
              <w:widowControl/>
              <w:kinsoku/>
              <w:wordWrap/>
              <w:overflowPunct/>
              <w:topLinePunct w:val="0"/>
              <w:autoSpaceDE/>
              <w:autoSpaceDN/>
              <w:bidi w:val="0"/>
              <w:adjustRightInd/>
              <w:snapToGrid/>
              <w:ind w:left="0" w:right="0"/>
              <w:textAlignment w:val="auto"/>
              <w:rPr>
                <w:rFonts w:ascii="Times New Roman" w:hAnsi="Times New Roman"/>
                <w:color w:val="auto"/>
                <w:sz w:val="21"/>
                <w:szCs w:val="21"/>
                <w:highlight w:val="none"/>
              </w:rPr>
            </w:pPr>
            <w:r>
              <w:rPr>
                <w:rFonts w:hint="eastAsia" w:ascii="Times New Roman" w:hAnsi="Times New Roman"/>
                <w:color w:val="auto"/>
                <w:sz w:val="21"/>
                <w:szCs w:val="21"/>
                <w:highlight w:val="none"/>
              </w:rPr>
              <w:t>非甲烷总烃</w:t>
            </w:r>
          </w:p>
        </w:tc>
        <w:tc>
          <w:tcPr>
            <w:tcW w:w="1216" w:type="dxa"/>
            <w:tcBorders>
              <w:tl2br w:val="nil"/>
              <w:tr2bl w:val="nil"/>
            </w:tcBorders>
            <w:vAlign w:val="center"/>
          </w:tcPr>
          <w:p w14:paraId="1389D487">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olor w:val="auto"/>
                <w:sz w:val="21"/>
                <w:szCs w:val="21"/>
                <w:highlight w:val="none"/>
              </w:rPr>
            </w:pPr>
          </w:p>
        </w:tc>
      </w:tr>
      <w:tr w14:paraId="68233A3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77" w:hRule="atLeast"/>
          <w:jc w:val="center"/>
        </w:trPr>
        <w:tc>
          <w:tcPr>
            <w:tcW w:w="464" w:type="dxa"/>
            <w:vMerge w:val="continue"/>
            <w:tcBorders>
              <w:tl2br w:val="nil"/>
              <w:tr2bl w:val="nil"/>
            </w:tcBorders>
            <w:vAlign w:val="center"/>
          </w:tcPr>
          <w:p w14:paraId="4B25549E">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olor w:val="auto"/>
                <w:sz w:val="21"/>
                <w:szCs w:val="21"/>
                <w:highlight w:val="none"/>
              </w:rPr>
            </w:pPr>
          </w:p>
        </w:tc>
        <w:tc>
          <w:tcPr>
            <w:tcW w:w="1569" w:type="dxa"/>
            <w:tcBorders>
              <w:tl2br w:val="nil"/>
              <w:tr2bl w:val="nil"/>
            </w:tcBorders>
            <w:vAlign w:val="center"/>
          </w:tcPr>
          <w:p w14:paraId="00EB4CDE">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olor w:val="auto"/>
                <w:sz w:val="21"/>
                <w:szCs w:val="21"/>
                <w:highlight w:val="none"/>
              </w:rPr>
            </w:pPr>
            <w:r>
              <w:rPr>
                <w:rFonts w:ascii="Times New Roman" w:hAnsi="Times New Roman"/>
                <w:color w:val="auto"/>
                <w:sz w:val="21"/>
                <w:szCs w:val="21"/>
                <w:highlight w:val="none"/>
              </w:rPr>
              <w:t>所属土壤环境影响评价项目类别</w:t>
            </w:r>
          </w:p>
        </w:tc>
        <w:tc>
          <w:tcPr>
            <w:tcW w:w="6432" w:type="dxa"/>
            <w:gridSpan w:val="6"/>
            <w:tcBorders>
              <w:tl2br w:val="nil"/>
              <w:tr2bl w:val="nil"/>
            </w:tcBorders>
            <w:vAlign w:val="center"/>
          </w:tcPr>
          <w:p w14:paraId="2E8800FE">
            <w:pPr>
              <w:keepNext w:val="0"/>
              <w:keepLines w:val="0"/>
              <w:pageBreakBefore w:val="0"/>
              <w:widowControl/>
              <w:kinsoku/>
              <w:wordWrap/>
              <w:overflowPunct/>
              <w:topLinePunct w:val="0"/>
              <w:autoSpaceDE/>
              <w:autoSpaceDN/>
              <w:bidi w:val="0"/>
              <w:adjustRightInd/>
              <w:snapToGrid/>
              <w:ind w:left="0" w:right="0"/>
              <w:textAlignment w:val="auto"/>
              <w:rPr>
                <w:rFonts w:ascii="Times New Roman" w:hAnsi="Times New Roman"/>
                <w:color w:val="auto"/>
                <w:sz w:val="21"/>
                <w:szCs w:val="21"/>
                <w:highlight w:val="none"/>
              </w:rPr>
            </w:pPr>
            <w:r>
              <w:rPr>
                <w:rFonts w:ascii="Times New Roman" w:hAnsi="Times New Roman"/>
                <w:color w:val="auto"/>
                <w:sz w:val="21"/>
                <w:szCs w:val="21"/>
                <w:highlight w:val="none"/>
              </w:rPr>
              <w:t>Ⅰ类</w:t>
            </w:r>
            <w:r>
              <w:rPr>
                <w:rFonts w:hint="eastAsia" w:ascii="Times New Roman" w:hAnsi="Times New Roman"/>
                <w:color w:val="auto"/>
                <w:sz w:val="21"/>
                <w:szCs w:val="21"/>
                <w:highlight w:val="none"/>
              </w:rPr>
              <w:t>□</w:t>
            </w:r>
            <w:r>
              <w:rPr>
                <w:rFonts w:ascii="Times New Roman" w:hAnsi="Times New Roman"/>
                <w:color w:val="auto"/>
                <w:sz w:val="21"/>
                <w:szCs w:val="21"/>
                <w:highlight w:val="none"/>
              </w:rPr>
              <w:t>；Ⅱ类</w:t>
            </w:r>
            <w:r>
              <w:rPr>
                <w:rFonts w:hint="eastAsia" w:ascii="Times New Roman" w:hAnsi="Times New Roman"/>
                <w:color w:val="auto"/>
                <w:sz w:val="21"/>
                <w:szCs w:val="21"/>
                <w:highlight w:val="none"/>
              </w:rPr>
              <w:t>☑</w:t>
            </w:r>
            <w:r>
              <w:rPr>
                <w:rFonts w:ascii="Times New Roman" w:hAnsi="Times New Roman"/>
                <w:color w:val="auto"/>
                <w:sz w:val="21"/>
                <w:szCs w:val="21"/>
                <w:highlight w:val="none"/>
              </w:rPr>
              <w:t>；Ⅲ类□；Ⅳ类□</w:t>
            </w:r>
          </w:p>
        </w:tc>
        <w:tc>
          <w:tcPr>
            <w:tcW w:w="1216" w:type="dxa"/>
            <w:tcBorders>
              <w:tl2br w:val="nil"/>
              <w:tr2bl w:val="nil"/>
            </w:tcBorders>
            <w:vAlign w:val="center"/>
          </w:tcPr>
          <w:p w14:paraId="693F49E4">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olor w:val="auto"/>
                <w:sz w:val="21"/>
                <w:szCs w:val="21"/>
                <w:highlight w:val="none"/>
              </w:rPr>
            </w:pPr>
          </w:p>
        </w:tc>
      </w:tr>
      <w:tr w14:paraId="37F5183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3" w:hRule="atLeast"/>
          <w:jc w:val="center"/>
        </w:trPr>
        <w:tc>
          <w:tcPr>
            <w:tcW w:w="464" w:type="dxa"/>
            <w:vMerge w:val="continue"/>
            <w:tcBorders>
              <w:tl2br w:val="nil"/>
              <w:tr2bl w:val="nil"/>
            </w:tcBorders>
            <w:vAlign w:val="center"/>
          </w:tcPr>
          <w:p w14:paraId="4CE5F04E">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olor w:val="auto"/>
                <w:sz w:val="21"/>
                <w:szCs w:val="21"/>
                <w:highlight w:val="none"/>
              </w:rPr>
            </w:pPr>
          </w:p>
        </w:tc>
        <w:tc>
          <w:tcPr>
            <w:tcW w:w="1569" w:type="dxa"/>
            <w:tcBorders>
              <w:tl2br w:val="nil"/>
              <w:tr2bl w:val="nil"/>
            </w:tcBorders>
            <w:vAlign w:val="center"/>
          </w:tcPr>
          <w:p w14:paraId="405CB1ED">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olor w:val="auto"/>
                <w:sz w:val="21"/>
                <w:szCs w:val="21"/>
                <w:highlight w:val="none"/>
              </w:rPr>
            </w:pPr>
            <w:r>
              <w:rPr>
                <w:rFonts w:ascii="Times New Roman" w:hAnsi="Times New Roman"/>
                <w:color w:val="auto"/>
                <w:sz w:val="21"/>
                <w:szCs w:val="21"/>
                <w:highlight w:val="none"/>
              </w:rPr>
              <w:t>敏感程度</w:t>
            </w:r>
          </w:p>
        </w:tc>
        <w:tc>
          <w:tcPr>
            <w:tcW w:w="6432" w:type="dxa"/>
            <w:gridSpan w:val="6"/>
            <w:tcBorders>
              <w:tl2br w:val="nil"/>
              <w:tr2bl w:val="nil"/>
            </w:tcBorders>
            <w:vAlign w:val="center"/>
          </w:tcPr>
          <w:p w14:paraId="34A0AE45">
            <w:pPr>
              <w:keepNext w:val="0"/>
              <w:keepLines w:val="0"/>
              <w:pageBreakBefore w:val="0"/>
              <w:widowControl/>
              <w:kinsoku/>
              <w:wordWrap/>
              <w:overflowPunct/>
              <w:topLinePunct w:val="0"/>
              <w:autoSpaceDE/>
              <w:autoSpaceDN/>
              <w:bidi w:val="0"/>
              <w:adjustRightInd/>
              <w:snapToGrid/>
              <w:ind w:left="0" w:right="0"/>
              <w:textAlignment w:val="auto"/>
              <w:rPr>
                <w:rFonts w:ascii="Times New Roman" w:hAnsi="Times New Roman"/>
                <w:color w:val="auto"/>
                <w:sz w:val="21"/>
                <w:szCs w:val="21"/>
                <w:highlight w:val="none"/>
              </w:rPr>
            </w:pPr>
            <w:r>
              <w:rPr>
                <w:rFonts w:ascii="Times New Roman" w:hAnsi="Times New Roman"/>
                <w:color w:val="auto"/>
                <w:sz w:val="21"/>
                <w:szCs w:val="21"/>
                <w:highlight w:val="none"/>
              </w:rPr>
              <w:t>敏感□；较敏感□；不敏感</w:t>
            </w:r>
            <w:r>
              <w:rPr>
                <w:rFonts w:hint="eastAsia" w:ascii="Times New Roman" w:hAnsi="Times New Roman"/>
                <w:color w:val="auto"/>
                <w:sz w:val="21"/>
                <w:szCs w:val="21"/>
                <w:highlight w:val="none"/>
              </w:rPr>
              <w:t>☑</w:t>
            </w:r>
          </w:p>
        </w:tc>
        <w:tc>
          <w:tcPr>
            <w:tcW w:w="1216" w:type="dxa"/>
            <w:tcBorders>
              <w:tl2br w:val="nil"/>
              <w:tr2bl w:val="nil"/>
            </w:tcBorders>
            <w:vAlign w:val="center"/>
          </w:tcPr>
          <w:p w14:paraId="0D24836A">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olor w:val="auto"/>
                <w:sz w:val="21"/>
                <w:szCs w:val="21"/>
                <w:highlight w:val="none"/>
              </w:rPr>
            </w:pPr>
          </w:p>
        </w:tc>
      </w:tr>
      <w:tr w14:paraId="1B29249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21" w:hRule="atLeast"/>
          <w:jc w:val="center"/>
        </w:trPr>
        <w:tc>
          <w:tcPr>
            <w:tcW w:w="2033" w:type="dxa"/>
            <w:gridSpan w:val="2"/>
            <w:tcBorders>
              <w:tl2br w:val="nil"/>
              <w:tr2bl w:val="nil"/>
            </w:tcBorders>
            <w:vAlign w:val="center"/>
          </w:tcPr>
          <w:p w14:paraId="570371C0">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olor w:val="auto"/>
                <w:sz w:val="21"/>
                <w:szCs w:val="21"/>
                <w:highlight w:val="none"/>
              </w:rPr>
            </w:pPr>
            <w:r>
              <w:rPr>
                <w:rFonts w:ascii="Times New Roman" w:hAnsi="Times New Roman"/>
                <w:color w:val="auto"/>
                <w:sz w:val="21"/>
                <w:szCs w:val="21"/>
                <w:highlight w:val="none"/>
              </w:rPr>
              <w:t>评价工作等级</w:t>
            </w:r>
          </w:p>
        </w:tc>
        <w:tc>
          <w:tcPr>
            <w:tcW w:w="6432" w:type="dxa"/>
            <w:gridSpan w:val="6"/>
            <w:tcBorders>
              <w:tl2br w:val="nil"/>
              <w:tr2bl w:val="nil"/>
            </w:tcBorders>
            <w:vAlign w:val="center"/>
          </w:tcPr>
          <w:p w14:paraId="2F428AE5">
            <w:pPr>
              <w:keepNext w:val="0"/>
              <w:keepLines w:val="0"/>
              <w:pageBreakBefore w:val="0"/>
              <w:widowControl/>
              <w:kinsoku/>
              <w:wordWrap/>
              <w:overflowPunct/>
              <w:topLinePunct w:val="0"/>
              <w:autoSpaceDE/>
              <w:autoSpaceDN/>
              <w:bidi w:val="0"/>
              <w:adjustRightInd/>
              <w:snapToGrid/>
              <w:ind w:left="0" w:right="0"/>
              <w:textAlignment w:val="auto"/>
              <w:rPr>
                <w:rFonts w:ascii="Times New Roman" w:hAnsi="Times New Roman"/>
                <w:color w:val="auto"/>
                <w:sz w:val="21"/>
                <w:szCs w:val="21"/>
                <w:highlight w:val="none"/>
              </w:rPr>
            </w:pPr>
            <w:r>
              <w:rPr>
                <w:rFonts w:ascii="Times New Roman" w:hAnsi="Times New Roman"/>
                <w:color w:val="auto"/>
                <w:sz w:val="21"/>
                <w:szCs w:val="21"/>
                <w:highlight w:val="none"/>
              </w:rPr>
              <w:t>一级□；二级</w:t>
            </w:r>
            <w:r>
              <w:rPr>
                <w:rFonts w:hint="eastAsia" w:ascii="Times New Roman" w:hAnsi="Times New Roman"/>
                <w:color w:val="auto"/>
                <w:sz w:val="21"/>
                <w:szCs w:val="21"/>
                <w:highlight w:val="none"/>
              </w:rPr>
              <w:t>☑</w:t>
            </w:r>
            <w:r>
              <w:rPr>
                <w:rFonts w:ascii="Times New Roman" w:hAnsi="Times New Roman"/>
                <w:color w:val="auto"/>
                <w:sz w:val="21"/>
                <w:szCs w:val="21"/>
                <w:highlight w:val="none"/>
              </w:rPr>
              <w:t>；三级□</w:t>
            </w:r>
          </w:p>
        </w:tc>
        <w:tc>
          <w:tcPr>
            <w:tcW w:w="1216" w:type="dxa"/>
            <w:tcBorders>
              <w:tl2br w:val="nil"/>
              <w:tr2bl w:val="nil"/>
            </w:tcBorders>
            <w:vAlign w:val="center"/>
          </w:tcPr>
          <w:p w14:paraId="6BCB5B8D">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olor w:val="auto"/>
                <w:sz w:val="21"/>
                <w:szCs w:val="21"/>
                <w:highlight w:val="none"/>
              </w:rPr>
            </w:pPr>
          </w:p>
        </w:tc>
      </w:tr>
      <w:tr w14:paraId="08EADEE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21" w:hRule="atLeast"/>
          <w:jc w:val="center"/>
        </w:trPr>
        <w:tc>
          <w:tcPr>
            <w:tcW w:w="464" w:type="dxa"/>
            <w:vMerge w:val="restart"/>
            <w:tcBorders>
              <w:tl2br w:val="nil"/>
              <w:tr2bl w:val="nil"/>
            </w:tcBorders>
            <w:vAlign w:val="center"/>
          </w:tcPr>
          <w:p w14:paraId="20F780FC">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olor w:val="auto"/>
                <w:sz w:val="21"/>
                <w:szCs w:val="21"/>
                <w:highlight w:val="none"/>
              </w:rPr>
            </w:pPr>
            <w:r>
              <w:rPr>
                <w:rFonts w:ascii="Times New Roman" w:hAnsi="Times New Roman"/>
                <w:color w:val="auto"/>
                <w:sz w:val="21"/>
                <w:szCs w:val="21"/>
                <w:highlight w:val="none"/>
              </w:rPr>
              <w:t>现状调查内容</w:t>
            </w:r>
          </w:p>
        </w:tc>
        <w:tc>
          <w:tcPr>
            <w:tcW w:w="1569" w:type="dxa"/>
            <w:tcBorders>
              <w:tl2br w:val="nil"/>
              <w:tr2bl w:val="nil"/>
            </w:tcBorders>
            <w:vAlign w:val="center"/>
          </w:tcPr>
          <w:p w14:paraId="7347DE6F">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olor w:val="auto"/>
                <w:sz w:val="21"/>
                <w:szCs w:val="21"/>
                <w:highlight w:val="none"/>
              </w:rPr>
            </w:pPr>
            <w:r>
              <w:rPr>
                <w:rFonts w:ascii="Times New Roman" w:hAnsi="Times New Roman"/>
                <w:color w:val="auto"/>
                <w:sz w:val="21"/>
                <w:szCs w:val="21"/>
                <w:highlight w:val="none"/>
              </w:rPr>
              <w:t>资料收集</w:t>
            </w:r>
          </w:p>
        </w:tc>
        <w:tc>
          <w:tcPr>
            <w:tcW w:w="6432" w:type="dxa"/>
            <w:gridSpan w:val="6"/>
            <w:tcBorders>
              <w:tl2br w:val="nil"/>
              <w:tr2bl w:val="nil"/>
            </w:tcBorders>
            <w:vAlign w:val="center"/>
          </w:tcPr>
          <w:p w14:paraId="39D520DC">
            <w:pPr>
              <w:keepNext w:val="0"/>
              <w:keepLines w:val="0"/>
              <w:pageBreakBefore w:val="0"/>
              <w:widowControl/>
              <w:kinsoku/>
              <w:wordWrap/>
              <w:overflowPunct/>
              <w:topLinePunct w:val="0"/>
              <w:autoSpaceDE/>
              <w:autoSpaceDN/>
              <w:bidi w:val="0"/>
              <w:adjustRightInd/>
              <w:snapToGrid/>
              <w:ind w:left="0" w:right="0"/>
              <w:textAlignment w:val="auto"/>
              <w:rPr>
                <w:rFonts w:ascii="Times New Roman" w:hAnsi="Times New Roman"/>
                <w:color w:val="auto"/>
                <w:sz w:val="21"/>
                <w:szCs w:val="21"/>
                <w:highlight w:val="none"/>
              </w:rPr>
            </w:pPr>
            <w:r>
              <w:rPr>
                <w:rFonts w:ascii="Times New Roman" w:hAnsi="Times New Roman"/>
                <w:color w:val="auto"/>
                <w:sz w:val="21"/>
                <w:szCs w:val="21"/>
                <w:highlight w:val="none"/>
              </w:rPr>
              <w:t>a）</w:t>
            </w:r>
            <w:r>
              <w:rPr>
                <w:rFonts w:hint="eastAsia" w:ascii="Times New Roman" w:hAnsi="Times New Roman"/>
                <w:color w:val="auto"/>
                <w:sz w:val="21"/>
                <w:szCs w:val="21"/>
                <w:highlight w:val="none"/>
                <w:lang w:eastAsia="zh-CN"/>
              </w:rPr>
              <w:t>☑</w:t>
            </w:r>
            <w:r>
              <w:rPr>
                <w:rFonts w:ascii="Times New Roman" w:hAnsi="Times New Roman"/>
                <w:color w:val="auto"/>
                <w:sz w:val="21"/>
                <w:szCs w:val="21"/>
                <w:highlight w:val="none"/>
              </w:rPr>
              <w:t>；b）</w:t>
            </w:r>
            <w:r>
              <w:rPr>
                <w:rFonts w:hint="eastAsia" w:ascii="Times New Roman" w:hAnsi="Times New Roman"/>
                <w:color w:val="auto"/>
                <w:sz w:val="21"/>
                <w:szCs w:val="21"/>
                <w:highlight w:val="none"/>
                <w:lang w:eastAsia="zh-CN"/>
              </w:rPr>
              <w:t>☑</w:t>
            </w:r>
            <w:r>
              <w:rPr>
                <w:rFonts w:ascii="Times New Roman" w:hAnsi="Times New Roman"/>
                <w:color w:val="auto"/>
                <w:sz w:val="21"/>
                <w:szCs w:val="21"/>
                <w:highlight w:val="none"/>
              </w:rPr>
              <w:t>；c）</w:t>
            </w:r>
            <w:r>
              <w:rPr>
                <w:rFonts w:hint="eastAsia" w:ascii="Times New Roman" w:hAnsi="Times New Roman"/>
                <w:color w:val="auto"/>
                <w:sz w:val="21"/>
                <w:szCs w:val="21"/>
                <w:highlight w:val="none"/>
              </w:rPr>
              <w:t>□</w:t>
            </w:r>
            <w:r>
              <w:rPr>
                <w:rFonts w:ascii="Times New Roman" w:hAnsi="Times New Roman"/>
                <w:color w:val="auto"/>
                <w:sz w:val="21"/>
                <w:szCs w:val="21"/>
                <w:highlight w:val="none"/>
              </w:rPr>
              <w:t>；d）</w:t>
            </w:r>
            <w:r>
              <w:rPr>
                <w:rFonts w:hint="eastAsia" w:ascii="Times New Roman" w:hAnsi="Times New Roman"/>
                <w:color w:val="auto"/>
                <w:sz w:val="21"/>
                <w:szCs w:val="21"/>
                <w:highlight w:val="none"/>
                <w:lang w:eastAsia="zh-CN"/>
              </w:rPr>
              <w:t>☑</w:t>
            </w:r>
          </w:p>
        </w:tc>
        <w:tc>
          <w:tcPr>
            <w:tcW w:w="1216" w:type="dxa"/>
            <w:tcBorders>
              <w:tl2br w:val="nil"/>
              <w:tr2bl w:val="nil"/>
            </w:tcBorders>
            <w:vAlign w:val="center"/>
          </w:tcPr>
          <w:p w14:paraId="7E59CB85">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olor w:val="auto"/>
                <w:sz w:val="21"/>
                <w:szCs w:val="21"/>
                <w:highlight w:val="none"/>
              </w:rPr>
            </w:pPr>
          </w:p>
        </w:tc>
      </w:tr>
      <w:tr w14:paraId="3FF9339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18" w:hRule="atLeast"/>
          <w:jc w:val="center"/>
        </w:trPr>
        <w:tc>
          <w:tcPr>
            <w:tcW w:w="464" w:type="dxa"/>
            <w:vMerge w:val="continue"/>
            <w:tcBorders>
              <w:tl2br w:val="nil"/>
              <w:tr2bl w:val="nil"/>
            </w:tcBorders>
            <w:vAlign w:val="center"/>
          </w:tcPr>
          <w:p w14:paraId="131695F4">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olor w:val="auto"/>
                <w:sz w:val="21"/>
                <w:szCs w:val="21"/>
                <w:highlight w:val="none"/>
              </w:rPr>
            </w:pPr>
          </w:p>
        </w:tc>
        <w:tc>
          <w:tcPr>
            <w:tcW w:w="1569" w:type="dxa"/>
            <w:tcBorders>
              <w:tl2br w:val="nil"/>
              <w:tr2bl w:val="nil"/>
            </w:tcBorders>
            <w:vAlign w:val="center"/>
          </w:tcPr>
          <w:p w14:paraId="7D4D3E4F">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olor w:val="auto"/>
                <w:sz w:val="21"/>
                <w:szCs w:val="21"/>
                <w:highlight w:val="none"/>
              </w:rPr>
            </w:pPr>
            <w:r>
              <w:rPr>
                <w:rFonts w:ascii="Times New Roman" w:hAnsi="Times New Roman"/>
                <w:color w:val="auto"/>
                <w:sz w:val="21"/>
                <w:szCs w:val="21"/>
                <w:highlight w:val="none"/>
              </w:rPr>
              <w:t>理化特性</w:t>
            </w:r>
          </w:p>
          <w:p w14:paraId="5871369C">
            <w:pPr>
              <w:rPr>
                <w:color w:val="auto"/>
                <w:highlight w:val="none"/>
              </w:rPr>
            </w:pPr>
          </w:p>
        </w:tc>
        <w:tc>
          <w:tcPr>
            <w:tcW w:w="6432" w:type="dxa"/>
            <w:gridSpan w:val="6"/>
            <w:tcBorders>
              <w:tl2br w:val="nil"/>
              <w:tr2bl w:val="nil"/>
            </w:tcBorders>
            <w:vAlign w:val="center"/>
          </w:tcPr>
          <w:p w14:paraId="01B0E6C2">
            <w:pPr>
              <w:keepNext w:val="0"/>
              <w:keepLines w:val="0"/>
              <w:pageBreakBefore w:val="0"/>
              <w:widowControl/>
              <w:kinsoku/>
              <w:wordWrap/>
              <w:overflowPunct/>
              <w:topLinePunct w:val="0"/>
              <w:autoSpaceDE/>
              <w:autoSpaceDN/>
              <w:bidi w:val="0"/>
              <w:adjustRightInd/>
              <w:snapToGrid/>
              <w:ind w:left="0" w:right="0"/>
              <w:jc w:val="both"/>
              <w:textAlignment w:val="auto"/>
              <w:rPr>
                <w:rFonts w:hint="default" w:ascii="Times New Roman" w:hAnsi="Times New Roman"/>
                <w:color w:val="auto"/>
                <w:sz w:val="21"/>
                <w:szCs w:val="21"/>
                <w:highlight w:val="none"/>
                <w:vertAlign w:val="baseline"/>
                <w:lang w:val="en-US"/>
              </w:rPr>
            </w:pPr>
            <w:r>
              <w:rPr>
                <w:rFonts w:hint="eastAsia" w:ascii="Times New Roman" w:hAnsi="Times New Roman"/>
                <w:color w:val="auto"/>
                <w:sz w:val="21"/>
                <w:szCs w:val="21"/>
                <w:highlight w:val="none"/>
                <w:lang w:val="en-US" w:eastAsia="zh-CN"/>
              </w:rPr>
              <w:t>厂区内，表土层为棕色、块状型、壤土，砂砾含量10%，水分含量37.8%，氧化还原电位271，土壤容重1.27g/cm</w:t>
            </w:r>
            <w:r>
              <w:rPr>
                <w:rFonts w:hint="eastAsia" w:ascii="Times New Roman" w:hAnsi="Times New Roman"/>
                <w:color w:val="auto"/>
                <w:sz w:val="21"/>
                <w:szCs w:val="21"/>
                <w:highlight w:val="none"/>
                <w:vertAlign w:val="superscript"/>
                <w:lang w:val="en-US" w:eastAsia="zh-CN"/>
              </w:rPr>
              <w:t>3</w:t>
            </w:r>
            <w:r>
              <w:rPr>
                <w:rFonts w:hint="eastAsia" w:ascii="Times New Roman" w:hAnsi="Times New Roman"/>
                <w:color w:val="auto"/>
                <w:sz w:val="21"/>
                <w:szCs w:val="21"/>
                <w:highlight w:val="none"/>
                <w:vertAlign w:val="baseline"/>
                <w:lang w:val="en-US" w:eastAsia="zh-CN"/>
              </w:rPr>
              <w:t>，土壤渗透性0.42mm/min；厂区外，</w:t>
            </w:r>
            <w:r>
              <w:rPr>
                <w:rFonts w:hint="eastAsia" w:ascii="Times New Roman" w:hAnsi="Times New Roman"/>
                <w:color w:val="auto"/>
                <w:sz w:val="21"/>
                <w:szCs w:val="21"/>
                <w:highlight w:val="none"/>
                <w:lang w:val="en-US" w:eastAsia="zh-CN"/>
              </w:rPr>
              <w:t>表土层为棕色、块状型、壤土，砂砾含量18%，水分含量53.6%，氧化还原电位288，土壤容重1.19g/cm</w:t>
            </w:r>
            <w:r>
              <w:rPr>
                <w:rFonts w:hint="eastAsia" w:ascii="Times New Roman" w:hAnsi="Times New Roman"/>
                <w:color w:val="auto"/>
                <w:sz w:val="21"/>
                <w:szCs w:val="21"/>
                <w:highlight w:val="none"/>
                <w:vertAlign w:val="superscript"/>
                <w:lang w:val="en-US" w:eastAsia="zh-CN"/>
              </w:rPr>
              <w:t>3</w:t>
            </w:r>
            <w:r>
              <w:rPr>
                <w:rFonts w:hint="eastAsia" w:ascii="Times New Roman" w:hAnsi="Times New Roman"/>
                <w:color w:val="auto"/>
                <w:sz w:val="21"/>
                <w:szCs w:val="21"/>
                <w:highlight w:val="none"/>
                <w:vertAlign w:val="baseline"/>
                <w:lang w:val="en-US" w:eastAsia="zh-CN"/>
              </w:rPr>
              <w:t>，土壤渗透性0.477mm/min。</w:t>
            </w:r>
          </w:p>
        </w:tc>
        <w:tc>
          <w:tcPr>
            <w:tcW w:w="1216" w:type="dxa"/>
            <w:tcBorders>
              <w:tl2br w:val="nil"/>
              <w:tr2bl w:val="nil"/>
            </w:tcBorders>
            <w:vAlign w:val="center"/>
          </w:tcPr>
          <w:p w14:paraId="31002B54">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olor w:val="auto"/>
                <w:sz w:val="21"/>
                <w:szCs w:val="21"/>
                <w:highlight w:val="none"/>
              </w:rPr>
            </w:pPr>
            <w:r>
              <w:rPr>
                <w:rFonts w:ascii="Times New Roman" w:hAnsi="Times New Roman"/>
                <w:color w:val="auto"/>
                <w:sz w:val="21"/>
                <w:szCs w:val="21"/>
                <w:highlight w:val="none"/>
              </w:rPr>
              <w:t>同附录C</w:t>
            </w:r>
          </w:p>
        </w:tc>
      </w:tr>
      <w:tr w14:paraId="4911D97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3" w:hRule="atLeast"/>
          <w:jc w:val="center"/>
        </w:trPr>
        <w:tc>
          <w:tcPr>
            <w:tcW w:w="464" w:type="dxa"/>
            <w:vMerge w:val="continue"/>
            <w:tcBorders>
              <w:tl2br w:val="nil"/>
              <w:tr2bl w:val="nil"/>
            </w:tcBorders>
            <w:vAlign w:val="center"/>
          </w:tcPr>
          <w:p w14:paraId="61FA7B14">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olor w:val="auto"/>
                <w:sz w:val="21"/>
                <w:szCs w:val="21"/>
                <w:highlight w:val="none"/>
              </w:rPr>
            </w:pPr>
          </w:p>
        </w:tc>
        <w:tc>
          <w:tcPr>
            <w:tcW w:w="1569" w:type="dxa"/>
            <w:vMerge w:val="restart"/>
            <w:tcBorders>
              <w:tl2br w:val="nil"/>
              <w:tr2bl w:val="nil"/>
            </w:tcBorders>
            <w:vAlign w:val="center"/>
          </w:tcPr>
          <w:p w14:paraId="2B95D9D5">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olor w:val="auto"/>
                <w:sz w:val="21"/>
                <w:szCs w:val="21"/>
                <w:highlight w:val="none"/>
              </w:rPr>
            </w:pPr>
            <w:r>
              <w:rPr>
                <w:rFonts w:ascii="Times New Roman" w:hAnsi="Times New Roman"/>
                <w:color w:val="auto"/>
                <w:sz w:val="21"/>
                <w:szCs w:val="21"/>
                <w:highlight w:val="none"/>
              </w:rPr>
              <w:t>现状监测点位</w:t>
            </w:r>
          </w:p>
        </w:tc>
        <w:tc>
          <w:tcPr>
            <w:tcW w:w="1685" w:type="dxa"/>
            <w:tcBorders>
              <w:tl2br w:val="nil"/>
              <w:tr2bl w:val="nil"/>
            </w:tcBorders>
            <w:vAlign w:val="center"/>
          </w:tcPr>
          <w:p w14:paraId="478169A9">
            <w:pPr>
              <w:keepNext w:val="0"/>
              <w:keepLines w:val="0"/>
              <w:pageBreakBefore w:val="0"/>
              <w:widowControl/>
              <w:kinsoku/>
              <w:wordWrap/>
              <w:overflowPunct/>
              <w:topLinePunct w:val="0"/>
              <w:autoSpaceDE/>
              <w:autoSpaceDN/>
              <w:bidi w:val="0"/>
              <w:adjustRightInd/>
              <w:snapToGrid/>
              <w:ind w:left="0" w:right="0"/>
              <w:textAlignment w:val="auto"/>
              <w:rPr>
                <w:rFonts w:ascii="Times New Roman" w:hAnsi="Times New Roman"/>
                <w:color w:val="auto"/>
                <w:sz w:val="21"/>
                <w:szCs w:val="21"/>
                <w:highlight w:val="none"/>
              </w:rPr>
            </w:pPr>
          </w:p>
        </w:tc>
        <w:tc>
          <w:tcPr>
            <w:tcW w:w="1529" w:type="dxa"/>
            <w:gridSpan w:val="2"/>
            <w:tcBorders>
              <w:tl2br w:val="nil"/>
              <w:tr2bl w:val="nil"/>
            </w:tcBorders>
            <w:vAlign w:val="center"/>
          </w:tcPr>
          <w:p w14:paraId="265D92E4">
            <w:pPr>
              <w:keepNext w:val="0"/>
              <w:keepLines w:val="0"/>
              <w:pageBreakBefore w:val="0"/>
              <w:widowControl/>
              <w:kinsoku/>
              <w:wordWrap/>
              <w:overflowPunct/>
              <w:topLinePunct w:val="0"/>
              <w:autoSpaceDE/>
              <w:autoSpaceDN/>
              <w:bidi w:val="0"/>
              <w:adjustRightInd/>
              <w:snapToGrid/>
              <w:ind w:left="0" w:right="0"/>
              <w:textAlignment w:val="auto"/>
              <w:rPr>
                <w:rFonts w:ascii="Times New Roman" w:hAnsi="Times New Roman"/>
                <w:color w:val="auto"/>
                <w:sz w:val="21"/>
                <w:szCs w:val="21"/>
                <w:highlight w:val="none"/>
              </w:rPr>
            </w:pPr>
            <w:r>
              <w:rPr>
                <w:rFonts w:ascii="Times New Roman" w:hAnsi="Times New Roman"/>
                <w:color w:val="auto"/>
                <w:sz w:val="21"/>
                <w:szCs w:val="21"/>
                <w:highlight w:val="none"/>
              </w:rPr>
              <w:t>占地范围内</w:t>
            </w:r>
          </w:p>
        </w:tc>
        <w:tc>
          <w:tcPr>
            <w:tcW w:w="1529" w:type="dxa"/>
            <w:gridSpan w:val="2"/>
            <w:tcBorders>
              <w:tl2br w:val="nil"/>
              <w:tr2bl w:val="nil"/>
            </w:tcBorders>
            <w:vAlign w:val="center"/>
          </w:tcPr>
          <w:p w14:paraId="5A944754">
            <w:pPr>
              <w:keepNext w:val="0"/>
              <w:keepLines w:val="0"/>
              <w:pageBreakBefore w:val="0"/>
              <w:widowControl/>
              <w:kinsoku/>
              <w:wordWrap/>
              <w:overflowPunct/>
              <w:topLinePunct w:val="0"/>
              <w:autoSpaceDE/>
              <w:autoSpaceDN/>
              <w:bidi w:val="0"/>
              <w:adjustRightInd/>
              <w:snapToGrid/>
              <w:ind w:left="0" w:right="0"/>
              <w:textAlignment w:val="auto"/>
              <w:rPr>
                <w:rFonts w:ascii="Times New Roman" w:hAnsi="Times New Roman"/>
                <w:color w:val="auto"/>
                <w:sz w:val="21"/>
                <w:szCs w:val="21"/>
                <w:highlight w:val="none"/>
              </w:rPr>
            </w:pPr>
            <w:r>
              <w:rPr>
                <w:rFonts w:ascii="Times New Roman" w:hAnsi="Times New Roman"/>
                <w:color w:val="auto"/>
                <w:sz w:val="21"/>
                <w:szCs w:val="21"/>
                <w:highlight w:val="none"/>
              </w:rPr>
              <w:t>占地范围外</w:t>
            </w:r>
          </w:p>
        </w:tc>
        <w:tc>
          <w:tcPr>
            <w:tcW w:w="1689" w:type="dxa"/>
            <w:tcBorders>
              <w:tl2br w:val="nil"/>
              <w:tr2bl w:val="nil"/>
            </w:tcBorders>
            <w:vAlign w:val="center"/>
          </w:tcPr>
          <w:p w14:paraId="2621C4CF">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olor w:val="auto"/>
                <w:sz w:val="21"/>
                <w:szCs w:val="21"/>
                <w:highlight w:val="none"/>
              </w:rPr>
            </w:pPr>
            <w:r>
              <w:rPr>
                <w:rFonts w:ascii="Times New Roman" w:hAnsi="Times New Roman"/>
                <w:color w:val="auto"/>
                <w:sz w:val="21"/>
                <w:szCs w:val="21"/>
                <w:highlight w:val="none"/>
              </w:rPr>
              <w:t>深度</w:t>
            </w:r>
          </w:p>
        </w:tc>
        <w:tc>
          <w:tcPr>
            <w:tcW w:w="1216" w:type="dxa"/>
            <w:vMerge w:val="restart"/>
            <w:tcBorders>
              <w:tl2br w:val="nil"/>
              <w:tr2bl w:val="nil"/>
            </w:tcBorders>
            <w:vAlign w:val="center"/>
          </w:tcPr>
          <w:p w14:paraId="0331ED55">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olor w:val="auto"/>
                <w:sz w:val="21"/>
                <w:szCs w:val="21"/>
                <w:highlight w:val="none"/>
              </w:rPr>
            </w:pPr>
            <w:r>
              <w:rPr>
                <w:rFonts w:ascii="Times New Roman" w:hAnsi="Times New Roman"/>
                <w:color w:val="auto"/>
                <w:sz w:val="21"/>
                <w:szCs w:val="21"/>
                <w:highlight w:val="none"/>
              </w:rPr>
              <w:t>点位布置图</w:t>
            </w:r>
          </w:p>
        </w:tc>
      </w:tr>
      <w:tr w14:paraId="709AC89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3" w:hRule="atLeast"/>
          <w:jc w:val="center"/>
        </w:trPr>
        <w:tc>
          <w:tcPr>
            <w:tcW w:w="464" w:type="dxa"/>
            <w:vMerge w:val="continue"/>
            <w:tcBorders>
              <w:tl2br w:val="nil"/>
              <w:tr2bl w:val="nil"/>
            </w:tcBorders>
            <w:vAlign w:val="center"/>
          </w:tcPr>
          <w:p w14:paraId="26830F26">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olor w:val="auto"/>
                <w:sz w:val="21"/>
                <w:szCs w:val="21"/>
                <w:highlight w:val="none"/>
              </w:rPr>
            </w:pPr>
          </w:p>
        </w:tc>
        <w:tc>
          <w:tcPr>
            <w:tcW w:w="1569" w:type="dxa"/>
            <w:vMerge w:val="continue"/>
            <w:tcBorders>
              <w:tl2br w:val="nil"/>
              <w:tr2bl w:val="nil"/>
            </w:tcBorders>
            <w:vAlign w:val="center"/>
          </w:tcPr>
          <w:p w14:paraId="7CAC1317">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olor w:val="auto"/>
                <w:sz w:val="21"/>
                <w:szCs w:val="21"/>
                <w:highlight w:val="none"/>
              </w:rPr>
            </w:pPr>
          </w:p>
        </w:tc>
        <w:tc>
          <w:tcPr>
            <w:tcW w:w="1685" w:type="dxa"/>
            <w:tcBorders>
              <w:tl2br w:val="nil"/>
              <w:tr2bl w:val="nil"/>
            </w:tcBorders>
            <w:vAlign w:val="center"/>
          </w:tcPr>
          <w:p w14:paraId="0D52FBDD">
            <w:pPr>
              <w:keepNext w:val="0"/>
              <w:keepLines w:val="0"/>
              <w:pageBreakBefore w:val="0"/>
              <w:widowControl/>
              <w:kinsoku/>
              <w:wordWrap/>
              <w:overflowPunct/>
              <w:topLinePunct w:val="0"/>
              <w:autoSpaceDE/>
              <w:autoSpaceDN/>
              <w:bidi w:val="0"/>
              <w:adjustRightInd/>
              <w:snapToGrid/>
              <w:ind w:left="0" w:right="0"/>
              <w:textAlignment w:val="auto"/>
              <w:rPr>
                <w:rFonts w:ascii="Times New Roman" w:hAnsi="Times New Roman"/>
                <w:color w:val="auto"/>
                <w:sz w:val="21"/>
                <w:szCs w:val="21"/>
                <w:highlight w:val="none"/>
              </w:rPr>
            </w:pPr>
            <w:r>
              <w:rPr>
                <w:rFonts w:ascii="Times New Roman" w:hAnsi="Times New Roman"/>
                <w:color w:val="auto"/>
                <w:sz w:val="21"/>
                <w:szCs w:val="21"/>
                <w:highlight w:val="none"/>
              </w:rPr>
              <w:t>表层样点数</w:t>
            </w:r>
          </w:p>
        </w:tc>
        <w:tc>
          <w:tcPr>
            <w:tcW w:w="1529" w:type="dxa"/>
            <w:gridSpan w:val="2"/>
            <w:tcBorders>
              <w:tl2br w:val="nil"/>
              <w:tr2bl w:val="nil"/>
            </w:tcBorders>
            <w:vAlign w:val="center"/>
          </w:tcPr>
          <w:p w14:paraId="0A9DFD5C">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olor w:val="auto"/>
                <w:sz w:val="21"/>
                <w:szCs w:val="21"/>
                <w:highlight w:val="none"/>
              </w:rPr>
            </w:pPr>
            <w:r>
              <w:rPr>
                <w:rFonts w:ascii="Times New Roman" w:hAnsi="Times New Roman"/>
                <w:color w:val="auto"/>
                <w:sz w:val="21"/>
                <w:szCs w:val="21"/>
                <w:highlight w:val="none"/>
              </w:rPr>
              <w:t>1</w:t>
            </w:r>
          </w:p>
        </w:tc>
        <w:tc>
          <w:tcPr>
            <w:tcW w:w="1529" w:type="dxa"/>
            <w:gridSpan w:val="2"/>
            <w:tcBorders>
              <w:tl2br w:val="nil"/>
              <w:tr2bl w:val="nil"/>
            </w:tcBorders>
            <w:vAlign w:val="center"/>
          </w:tcPr>
          <w:p w14:paraId="17D21C6B">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olor w:val="auto"/>
                <w:sz w:val="21"/>
                <w:szCs w:val="21"/>
                <w:highlight w:val="none"/>
              </w:rPr>
            </w:pPr>
            <w:r>
              <w:rPr>
                <w:rFonts w:hint="eastAsia" w:ascii="Times New Roman" w:hAnsi="Times New Roman"/>
                <w:color w:val="auto"/>
                <w:sz w:val="21"/>
                <w:szCs w:val="21"/>
                <w:highlight w:val="none"/>
              </w:rPr>
              <w:t>2</w:t>
            </w:r>
          </w:p>
        </w:tc>
        <w:tc>
          <w:tcPr>
            <w:tcW w:w="1689" w:type="dxa"/>
            <w:tcBorders>
              <w:tl2br w:val="nil"/>
              <w:tr2bl w:val="nil"/>
            </w:tcBorders>
            <w:vAlign w:val="center"/>
          </w:tcPr>
          <w:p w14:paraId="614862C1">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olor w:val="auto"/>
                <w:sz w:val="21"/>
                <w:szCs w:val="21"/>
                <w:highlight w:val="none"/>
              </w:rPr>
            </w:pPr>
            <w:r>
              <w:rPr>
                <w:rFonts w:ascii="Times New Roman" w:hAnsi="Times New Roman"/>
                <w:color w:val="auto"/>
                <w:sz w:val="21"/>
                <w:szCs w:val="21"/>
                <w:highlight w:val="none"/>
              </w:rPr>
              <w:t>0.2</w:t>
            </w:r>
          </w:p>
        </w:tc>
        <w:tc>
          <w:tcPr>
            <w:tcW w:w="1216" w:type="dxa"/>
            <w:vMerge w:val="continue"/>
            <w:tcBorders>
              <w:tl2br w:val="nil"/>
              <w:tr2bl w:val="nil"/>
            </w:tcBorders>
            <w:vAlign w:val="center"/>
          </w:tcPr>
          <w:p w14:paraId="6AC651E1">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olor w:val="auto"/>
                <w:sz w:val="21"/>
                <w:szCs w:val="21"/>
                <w:highlight w:val="none"/>
              </w:rPr>
            </w:pPr>
          </w:p>
        </w:tc>
      </w:tr>
      <w:tr w14:paraId="03E02C0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3" w:hRule="atLeast"/>
          <w:jc w:val="center"/>
        </w:trPr>
        <w:tc>
          <w:tcPr>
            <w:tcW w:w="464" w:type="dxa"/>
            <w:vMerge w:val="continue"/>
            <w:tcBorders>
              <w:tl2br w:val="nil"/>
              <w:tr2bl w:val="nil"/>
            </w:tcBorders>
            <w:vAlign w:val="center"/>
          </w:tcPr>
          <w:p w14:paraId="57BD883D">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olor w:val="auto"/>
                <w:sz w:val="21"/>
                <w:szCs w:val="21"/>
                <w:highlight w:val="none"/>
              </w:rPr>
            </w:pPr>
          </w:p>
        </w:tc>
        <w:tc>
          <w:tcPr>
            <w:tcW w:w="1569" w:type="dxa"/>
            <w:vMerge w:val="continue"/>
            <w:tcBorders>
              <w:tl2br w:val="nil"/>
              <w:tr2bl w:val="nil"/>
            </w:tcBorders>
            <w:vAlign w:val="center"/>
          </w:tcPr>
          <w:p w14:paraId="280B75D6">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olor w:val="auto"/>
                <w:sz w:val="21"/>
                <w:szCs w:val="21"/>
                <w:highlight w:val="none"/>
              </w:rPr>
            </w:pPr>
          </w:p>
        </w:tc>
        <w:tc>
          <w:tcPr>
            <w:tcW w:w="1685" w:type="dxa"/>
            <w:tcBorders>
              <w:tl2br w:val="nil"/>
              <w:tr2bl w:val="nil"/>
            </w:tcBorders>
            <w:vAlign w:val="center"/>
          </w:tcPr>
          <w:p w14:paraId="5F7905CB">
            <w:pPr>
              <w:keepNext w:val="0"/>
              <w:keepLines w:val="0"/>
              <w:pageBreakBefore w:val="0"/>
              <w:widowControl/>
              <w:kinsoku/>
              <w:wordWrap/>
              <w:overflowPunct/>
              <w:topLinePunct w:val="0"/>
              <w:autoSpaceDE/>
              <w:autoSpaceDN/>
              <w:bidi w:val="0"/>
              <w:adjustRightInd/>
              <w:snapToGrid/>
              <w:ind w:left="0" w:right="0"/>
              <w:textAlignment w:val="auto"/>
              <w:rPr>
                <w:rFonts w:ascii="Times New Roman" w:hAnsi="Times New Roman"/>
                <w:color w:val="auto"/>
                <w:sz w:val="21"/>
                <w:szCs w:val="21"/>
                <w:highlight w:val="none"/>
              </w:rPr>
            </w:pPr>
            <w:r>
              <w:rPr>
                <w:rFonts w:ascii="Times New Roman" w:hAnsi="Times New Roman"/>
                <w:color w:val="auto"/>
                <w:sz w:val="21"/>
                <w:szCs w:val="21"/>
                <w:highlight w:val="none"/>
              </w:rPr>
              <w:t>柱状样点数</w:t>
            </w:r>
          </w:p>
        </w:tc>
        <w:tc>
          <w:tcPr>
            <w:tcW w:w="1529" w:type="dxa"/>
            <w:gridSpan w:val="2"/>
            <w:tcBorders>
              <w:tl2br w:val="nil"/>
              <w:tr2bl w:val="nil"/>
            </w:tcBorders>
            <w:vAlign w:val="center"/>
          </w:tcPr>
          <w:p w14:paraId="3FC40259">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olor w:val="auto"/>
                <w:sz w:val="21"/>
                <w:szCs w:val="21"/>
                <w:highlight w:val="none"/>
              </w:rPr>
            </w:pPr>
            <w:r>
              <w:rPr>
                <w:rFonts w:hint="eastAsia" w:ascii="Times New Roman" w:hAnsi="Times New Roman"/>
                <w:color w:val="auto"/>
                <w:sz w:val="21"/>
                <w:szCs w:val="21"/>
                <w:highlight w:val="none"/>
              </w:rPr>
              <w:t>3</w:t>
            </w:r>
          </w:p>
        </w:tc>
        <w:tc>
          <w:tcPr>
            <w:tcW w:w="1529" w:type="dxa"/>
            <w:gridSpan w:val="2"/>
            <w:tcBorders>
              <w:tl2br w:val="nil"/>
              <w:tr2bl w:val="nil"/>
            </w:tcBorders>
            <w:vAlign w:val="center"/>
          </w:tcPr>
          <w:p w14:paraId="0858EA8D">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olor w:val="auto"/>
                <w:sz w:val="21"/>
                <w:szCs w:val="21"/>
                <w:highlight w:val="none"/>
              </w:rPr>
            </w:pPr>
            <w:r>
              <w:rPr>
                <w:rFonts w:ascii="Times New Roman" w:hAnsi="Times New Roman"/>
                <w:color w:val="auto"/>
                <w:sz w:val="21"/>
                <w:szCs w:val="21"/>
                <w:highlight w:val="none"/>
              </w:rPr>
              <w:t>/</w:t>
            </w:r>
          </w:p>
        </w:tc>
        <w:tc>
          <w:tcPr>
            <w:tcW w:w="1689" w:type="dxa"/>
            <w:tcBorders>
              <w:tl2br w:val="nil"/>
              <w:tr2bl w:val="nil"/>
            </w:tcBorders>
            <w:vAlign w:val="center"/>
          </w:tcPr>
          <w:p w14:paraId="5543579A">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olor w:val="auto"/>
                <w:sz w:val="21"/>
                <w:szCs w:val="21"/>
                <w:highlight w:val="none"/>
              </w:rPr>
            </w:pPr>
            <w:r>
              <w:rPr>
                <w:rFonts w:ascii="Times New Roman" w:hAnsi="Times New Roman"/>
                <w:color w:val="auto"/>
                <w:sz w:val="21"/>
                <w:szCs w:val="21"/>
                <w:highlight w:val="none"/>
              </w:rPr>
              <w:t>0.5/1.</w:t>
            </w:r>
            <w:r>
              <w:rPr>
                <w:rFonts w:hint="eastAsia" w:ascii="Times New Roman" w:hAnsi="Times New Roman"/>
                <w:color w:val="auto"/>
                <w:sz w:val="21"/>
                <w:szCs w:val="21"/>
                <w:highlight w:val="none"/>
              </w:rPr>
              <w:t>0</w:t>
            </w:r>
            <w:r>
              <w:rPr>
                <w:rFonts w:ascii="Times New Roman" w:hAnsi="Times New Roman"/>
                <w:color w:val="auto"/>
                <w:sz w:val="21"/>
                <w:szCs w:val="21"/>
                <w:highlight w:val="none"/>
              </w:rPr>
              <w:t>/</w:t>
            </w:r>
            <w:r>
              <w:rPr>
                <w:rFonts w:hint="eastAsia" w:ascii="Times New Roman" w:hAnsi="Times New Roman"/>
                <w:color w:val="auto"/>
                <w:sz w:val="21"/>
                <w:szCs w:val="21"/>
                <w:highlight w:val="none"/>
              </w:rPr>
              <w:t>2</w:t>
            </w:r>
            <w:r>
              <w:rPr>
                <w:rFonts w:ascii="Times New Roman" w:hAnsi="Times New Roman"/>
                <w:color w:val="auto"/>
                <w:sz w:val="21"/>
                <w:szCs w:val="21"/>
                <w:highlight w:val="none"/>
              </w:rPr>
              <w:t>.0</w:t>
            </w:r>
          </w:p>
        </w:tc>
        <w:tc>
          <w:tcPr>
            <w:tcW w:w="1216" w:type="dxa"/>
            <w:vMerge w:val="continue"/>
            <w:tcBorders>
              <w:tl2br w:val="nil"/>
              <w:tr2bl w:val="nil"/>
            </w:tcBorders>
            <w:vAlign w:val="center"/>
          </w:tcPr>
          <w:p w14:paraId="6A71BC7A">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olor w:val="auto"/>
                <w:sz w:val="21"/>
                <w:szCs w:val="21"/>
                <w:highlight w:val="none"/>
              </w:rPr>
            </w:pPr>
          </w:p>
        </w:tc>
      </w:tr>
      <w:tr w14:paraId="1760845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77" w:hRule="atLeast"/>
          <w:jc w:val="center"/>
        </w:trPr>
        <w:tc>
          <w:tcPr>
            <w:tcW w:w="464" w:type="dxa"/>
            <w:vMerge w:val="continue"/>
            <w:tcBorders>
              <w:tl2br w:val="nil"/>
              <w:tr2bl w:val="nil"/>
            </w:tcBorders>
            <w:vAlign w:val="center"/>
          </w:tcPr>
          <w:p w14:paraId="51FA237B">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olor w:val="auto"/>
                <w:sz w:val="21"/>
                <w:szCs w:val="21"/>
                <w:highlight w:val="none"/>
              </w:rPr>
            </w:pPr>
          </w:p>
        </w:tc>
        <w:tc>
          <w:tcPr>
            <w:tcW w:w="1569" w:type="dxa"/>
            <w:tcBorders>
              <w:tl2br w:val="nil"/>
              <w:tr2bl w:val="nil"/>
            </w:tcBorders>
            <w:vAlign w:val="center"/>
          </w:tcPr>
          <w:p w14:paraId="2648395E">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olor w:val="auto"/>
                <w:sz w:val="21"/>
                <w:szCs w:val="21"/>
                <w:highlight w:val="none"/>
              </w:rPr>
            </w:pPr>
            <w:r>
              <w:rPr>
                <w:rFonts w:ascii="Times New Roman" w:hAnsi="Times New Roman"/>
                <w:color w:val="auto"/>
                <w:sz w:val="21"/>
                <w:szCs w:val="21"/>
                <w:highlight w:val="none"/>
              </w:rPr>
              <w:t>现状监测因子</w:t>
            </w:r>
          </w:p>
        </w:tc>
        <w:tc>
          <w:tcPr>
            <w:tcW w:w="6432" w:type="dxa"/>
            <w:gridSpan w:val="6"/>
            <w:tcBorders>
              <w:tl2br w:val="nil"/>
              <w:tr2bl w:val="nil"/>
            </w:tcBorders>
            <w:vAlign w:val="center"/>
          </w:tcPr>
          <w:p w14:paraId="36409951">
            <w:pPr>
              <w:keepNext w:val="0"/>
              <w:keepLines w:val="0"/>
              <w:pageBreakBefore w:val="0"/>
              <w:widowControl/>
              <w:kinsoku/>
              <w:wordWrap/>
              <w:overflowPunct/>
              <w:topLinePunct w:val="0"/>
              <w:autoSpaceDE/>
              <w:autoSpaceDN/>
              <w:bidi w:val="0"/>
              <w:adjustRightInd/>
              <w:snapToGrid/>
              <w:ind w:left="0" w:right="0"/>
              <w:textAlignment w:val="auto"/>
              <w:rPr>
                <w:rFonts w:ascii="Times New Roman" w:hAnsi="Times New Roman"/>
                <w:color w:val="auto"/>
                <w:sz w:val="21"/>
                <w:szCs w:val="21"/>
                <w:highlight w:val="none"/>
              </w:rPr>
            </w:pPr>
            <w:r>
              <w:rPr>
                <w:rFonts w:ascii="Times New Roman" w:hAnsi="Times New Roman"/>
                <w:color w:val="auto"/>
                <w:sz w:val="21"/>
                <w:szCs w:val="21"/>
                <w:highlight w:val="none"/>
              </w:rPr>
              <w:t>pH、汞、砷、镉、铬（六价）、铅、铜、镍、挥发性有机物、半挥发性有机物</w:t>
            </w:r>
          </w:p>
        </w:tc>
        <w:tc>
          <w:tcPr>
            <w:tcW w:w="1216" w:type="dxa"/>
            <w:tcBorders>
              <w:tl2br w:val="nil"/>
              <w:tr2bl w:val="nil"/>
            </w:tcBorders>
            <w:vAlign w:val="center"/>
          </w:tcPr>
          <w:p w14:paraId="68E4ED3C">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olor w:val="auto"/>
                <w:sz w:val="21"/>
                <w:szCs w:val="21"/>
                <w:highlight w:val="none"/>
              </w:rPr>
            </w:pPr>
          </w:p>
        </w:tc>
      </w:tr>
      <w:tr w14:paraId="742C543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91" w:hRule="atLeast"/>
          <w:jc w:val="center"/>
        </w:trPr>
        <w:tc>
          <w:tcPr>
            <w:tcW w:w="464" w:type="dxa"/>
            <w:vMerge w:val="restart"/>
            <w:tcBorders>
              <w:tl2br w:val="nil"/>
              <w:tr2bl w:val="nil"/>
            </w:tcBorders>
            <w:vAlign w:val="center"/>
          </w:tcPr>
          <w:p w14:paraId="27EBE07A">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olor w:val="auto"/>
                <w:sz w:val="21"/>
                <w:szCs w:val="21"/>
                <w:highlight w:val="none"/>
              </w:rPr>
            </w:pPr>
            <w:r>
              <w:rPr>
                <w:rFonts w:ascii="Times New Roman" w:hAnsi="Times New Roman"/>
                <w:color w:val="auto"/>
                <w:sz w:val="21"/>
                <w:szCs w:val="21"/>
                <w:highlight w:val="none"/>
              </w:rPr>
              <w:t>现状评价</w:t>
            </w:r>
          </w:p>
        </w:tc>
        <w:tc>
          <w:tcPr>
            <w:tcW w:w="1569" w:type="dxa"/>
            <w:tcBorders>
              <w:tl2br w:val="nil"/>
              <w:tr2bl w:val="nil"/>
            </w:tcBorders>
            <w:vAlign w:val="center"/>
          </w:tcPr>
          <w:p w14:paraId="284AE633">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olor w:val="auto"/>
                <w:sz w:val="21"/>
                <w:szCs w:val="21"/>
                <w:highlight w:val="none"/>
              </w:rPr>
            </w:pPr>
            <w:r>
              <w:rPr>
                <w:rFonts w:ascii="Times New Roman" w:hAnsi="Times New Roman"/>
                <w:color w:val="auto"/>
                <w:sz w:val="21"/>
                <w:szCs w:val="21"/>
                <w:highlight w:val="none"/>
              </w:rPr>
              <w:t>评价因子</w:t>
            </w:r>
          </w:p>
        </w:tc>
        <w:tc>
          <w:tcPr>
            <w:tcW w:w="6432" w:type="dxa"/>
            <w:gridSpan w:val="6"/>
            <w:tcBorders>
              <w:tl2br w:val="nil"/>
              <w:tr2bl w:val="nil"/>
            </w:tcBorders>
            <w:vAlign w:val="center"/>
          </w:tcPr>
          <w:p w14:paraId="21938D7A">
            <w:pPr>
              <w:keepNext w:val="0"/>
              <w:keepLines w:val="0"/>
              <w:pageBreakBefore w:val="0"/>
              <w:widowControl/>
              <w:kinsoku/>
              <w:wordWrap/>
              <w:overflowPunct/>
              <w:topLinePunct w:val="0"/>
              <w:autoSpaceDE/>
              <w:autoSpaceDN/>
              <w:bidi w:val="0"/>
              <w:adjustRightInd/>
              <w:snapToGrid/>
              <w:ind w:left="0" w:right="0"/>
              <w:textAlignment w:val="auto"/>
              <w:rPr>
                <w:rFonts w:ascii="Times New Roman" w:hAnsi="Times New Roman"/>
                <w:color w:val="auto"/>
                <w:sz w:val="21"/>
                <w:szCs w:val="21"/>
                <w:highlight w:val="none"/>
              </w:rPr>
            </w:pPr>
            <w:r>
              <w:rPr>
                <w:rFonts w:ascii="Times New Roman" w:hAnsi="Times New Roman"/>
                <w:color w:val="auto"/>
                <w:sz w:val="21"/>
                <w:szCs w:val="21"/>
                <w:highlight w:val="none"/>
              </w:rPr>
              <w:t>pH、汞、砷、镉、铬（六价）、铅、铜、镍、挥发性有机物、半挥发性有机物</w:t>
            </w:r>
          </w:p>
        </w:tc>
        <w:tc>
          <w:tcPr>
            <w:tcW w:w="1216" w:type="dxa"/>
            <w:tcBorders>
              <w:tl2br w:val="nil"/>
              <w:tr2bl w:val="nil"/>
            </w:tcBorders>
            <w:vAlign w:val="center"/>
          </w:tcPr>
          <w:p w14:paraId="3148E811">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olor w:val="auto"/>
                <w:sz w:val="21"/>
                <w:szCs w:val="21"/>
                <w:highlight w:val="none"/>
              </w:rPr>
            </w:pPr>
          </w:p>
        </w:tc>
      </w:tr>
      <w:tr w14:paraId="51FED38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91" w:hRule="atLeast"/>
          <w:jc w:val="center"/>
        </w:trPr>
        <w:tc>
          <w:tcPr>
            <w:tcW w:w="464" w:type="dxa"/>
            <w:vMerge w:val="continue"/>
            <w:tcBorders>
              <w:tl2br w:val="nil"/>
              <w:tr2bl w:val="nil"/>
            </w:tcBorders>
            <w:vAlign w:val="center"/>
          </w:tcPr>
          <w:p w14:paraId="3EE716A1">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olor w:val="auto"/>
                <w:sz w:val="21"/>
                <w:szCs w:val="21"/>
                <w:highlight w:val="none"/>
              </w:rPr>
            </w:pPr>
          </w:p>
        </w:tc>
        <w:tc>
          <w:tcPr>
            <w:tcW w:w="1569" w:type="dxa"/>
            <w:tcBorders>
              <w:tl2br w:val="nil"/>
              <w:tr2bl w:val="nil"/>
            </w:tcBorders>
            <w:vAlign w:val="center"/>
          </w:tcPr>
          <w:p w14:paraId="1ED2BCA2">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olor w:val="auto"/>
                <w:sz w:val="21"/>
                <w:szCs w:val="21"/>
                <w:highlight w:val="none"/>
              </w:rPr>
            </w:pPr>
            <w:r>
              <w:rPr>
                <w:rFonts w:ascii="Times New Roman" w:hAnsi="Times New Roman"/>
                <w:color w:val="auto"/>
                <w:sz w:val="21"/>
                <w:szCs w:val="21"/>
                <w:highlight w:val="none"/>
              </w:rPr>
              <w:t>评价标准</w:t>
            </w:r>
          </w:p>
        </w:tc>
        <w:tc>
          <w:tcPr>
            <w:tcW w:w="6432" w:type="dxa"/>
            <w:gridSpan w:val="6"/>
            <w:tcBorders>
              <w:tl2br w:val="nil"/>
              <w:tr2bl w:val="nil"/>
            </w:tcBorders>
            <w:vAlign w:val="center"/>
          </w:tcPr>
          <w:p w14:paraId="1DCCB6EB">
            <w:pPr>
              <w:keepNext w:val="0"/>
              <w:keepLines w:val="0"/>
              <w:pageBreakBefore w:val="0"/>
              <w:widowControl/>
              <w:kinsoku/>
              <w:wordWrap/>
              <w:overflowPunct/>
              <w:topLinePunct w:val="0"/>
              <w:autoSpaceDE/>
              <w:autoSpaceDN/>
              <w:bidi w:val="0"/>
              <w:adjustRightInd/>
              <w:snapToGrid/>
              <w:ind w:left="0" w:right="0"/>
              <w:textAlignment w:val="auto"/>
              <w:rPr>
                <w:rFonts w:ascii="Times New Roman" w:hAnsi="Times New Roman"/>
                <w:color w:val="auto"/>
                <w:sz w:val="21"/>
                <w:szCs w:val="21"/>
                <w:highlight w:val="none"/>
              </w:rPr>
            </w:pPr>
            <w:r>
              <w:rPr>
                <w:rFonts w:ascii="Times New Roman" w:hAnsi="Times New Roman"/>
                <w:color w:val="auto"/>
                <w:sz w:val="21"/>
                <w:szCs w:val="21"/>
                <w:highlight w:val="none"/>
              </w:rPr>
              <w:t>GB15618□；GB36600</w:t>
            </w:r>
            <w:r>
              <w:rPr>
                <w:rFonts w:hint="eastAsia" w:ascii="Times New Roman" w:hAnsi="Times New Roman"/>
                <w:color w:val="auto"/>
                <w:sz w:val="21"/>
                <w:szCs w:val="21"/>
                <w:highlight w:val="none"/>
              </w:rPr>
              <w:t>☑</w:t>
            </w:r>
            <w:r>
              <w:rPr>
                <w:rFonts w:ascii="Times New Roman" w:hAnsi="Times New Roman"/>
                <w:color w:val="auto"/>
                <w:sz w:val="21"/>
                <w:szCs w:val="21"/>
                <w:highlight w:val="none"/>
              </w:rPr>
              <w:t>；表D.1□；表D.2</w:t>
            </w:r>
            <w:r>
              <w:rPr>
                <w:rFonts w:hint="eastAsia" w:ascii="Times New Roman" w:hAnsi="Times New Roman"/>
                <w:color w:val="auto"/>
                <w:sz w:val="21"/>
                <w:szCs w:val="21"/>
                <w:highlight w:val="none"/>
                <w:lang w:eastAsia="zh-CN"/>
              </w:rPr>
              <w:t>☑</w:t>
            </w:r>
            <w:r>
              <w:rPr>
                <w:rFonts w:ascii="Times New Roman" w:hAnsi="Times New Roman"/>
                <w:color w:val="auto"/>
                <w:sz w:val="21"/>
                <w:szCs w:val="21"/>
                <w:highlight w:val="none"/>
              </w:rPr>
              <w:t>；其他（）</w:t>
            </w:r>
          </w:p>
        </w:tc>
        <w:tc>
          <w:tcPr>
            <w:tcW w:w="1216" w:type="dxa"/>
            <w:tcBorders>
              <w:tl2br w:val="nil"/>
              <w:tr2bl w:val="nil"/>
            </w:tcBorders>
            <w:vAlign w:val="center"/>
          </w:tcPr>
          <w:p w14:paraId="31B843F1">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olor w:val="auto"/>
                <w:sz w:val="21"/>
                <w:szCs w:val="21"/>
                <w:highlight w:val="none"/>
              </w:rPr>
            </w:pPr>
          </w:p>
        </w:tc>
      </w:tr>
      <w:tr w14:paraId="5832A36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93" w:hRule="atLeast"/>
          <w:jc w:val="center"/>
        </w:trPr>
        <w:tc>
          <w:tcPr>
            <w:tcW w:w="464" w:type="dxa"/>
            <w:vMerge w:val="continue"/>
            <w:tcBorders>
              <w:tl2br w:val="nil"/>
              <w:tr2bl w:val="nil"/>
            </w:tcBorders>
            <w:vAlign w:val="center"/>
          </w:tcPr>
          <w:p w14:paraId="09467F7A">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olor w:val="auto"/>
                <w:sz w:val="21"/>
                <w:szCs w:val="21"/>
                <w:highlight w:val="none"/>
              </w:rPr>
            </w:pPr>
          </w:p>
        </w:tc>
        <w:tc>
          <w:tcPr>
            <w:tcW w:w="1569" w:type="dxa"/>
            <w:tcBorders>
              <w:tl2br w:val="nil"/>
              <w:tr2bl w:val="nil"/>
            </w:tcBorders>
            <w:vAlign w:val="center"/>
          </w:tcPr>
          <w:p w14:paraId="1F0F118B">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olor w:val="auto"/>
                <w:sz w:val="21"/>
                <w:szCs w:val="21"/>
                <w:highlight w:val="none"/>
              </w:rPr>
            </w:pPr>
            <w:r>
              <w:rPr>
                <w:rFonts w:ascii="Times New Roman" w:hAnsi="Times New Roman"/>
                <w:color w:val="auto"/>
                <w:sz w:val="21"/>
                <w:szCs w:val="21"/>
                <w:highlight w:val="none"/>
              </w:rPr>
              <w:t>现状评价结论</w:t>
            </w:r>
          </w:p>
        </w:tc>
        <w:tc>
          <w:tcPr>
            <w:tcW w:w="6432" w:type="dxa"/>
            <w:gridSpan w:val="6"/>
            <w:tcBorders>
              <w:tl2br w:val="nil"/>
              <w:tr2bl w:val="nil"/>
            </w:tcBorders>
            <w:vAlign w:val="center"/>
          </w:tcPr>
          <w:p w14:paraId="6A9026A6">
            <w:pPr>
              <w:keepNext w:val="0"/>
              <w:keepLines w:val="0"/>
              <w:pageBreakBefore w:val="0"/>
              <w:widowControl/>
              <w:kinsoku/>
              <w:wordWrap/>
              <w:overflowPunct/>
              <w:topLinePunct w:val="0"/>
              <w:autoSpaceDE/>
              <w:autoSpaceDN/>
              <w:bidi w:val="0"/>
              <w:adjustRightInd/>
              <w:snapToGrid/>
              <w:ind w:left="0" w:right="0"/>
              <w:textAlignment w:val="auto"/>
              <w:rPr>
                <w:rFonts w:ascii="Times New Roman" w:hAnsi="Times New Roman"/>
                <w:color w:val="auto"/>
                <w:sz w:val="21"/>
                <w:szCs w:val="21"/>
                <w:highlight w:val="none"/>
              </w:rPr>
            </w:pPr>
            <w:r>
              <w:rPr>
                <w:rFonts w:hint="eastAsia"/>
                <w:color w:val="auto"/>
                <w:sz w:val="21"/>
                <w:szCs w:val="21"/>
                <w:highlight w:val="none"/>
              </w:rPr>
              <w:t>监测结果显示，</w:t>
            </w:r>
            <w:r>
              <w:rPr>
                <w:rFonts w:hint="eastAsia"/>
                <w:color w:val="auto"/>
                <w:sz w:val="21"/>
                <w:szCs w:val="21"/>
                <w:highlight w:val="none"/>
                <w:lang w:val="en-US" w:eastAsia="zh-CN"/>
              </w:rPr>
              <w:t>厂内</w:t>
            </w:r>
            <w:r>
              <w:rPr>
                <w:rFonts w:hint="eastAsia"/>
                <w:color w:val="auto"/>
                <w:sz w:val="21"/>
                <w:szCs w:val="21"/>
                <w:highlight w:val="none"/>
              </w:rPr>
              <w:t>各监测点位土壤中各因子均能够达到《土壤环境质量建设用地土壤污染风险管控标准（试行</w:t>
            </w:r>
            <w:r>
              <w:rPr>
                <w:rFonts w:hint="default" w:ascii="Times New Roman" w:hAnsi="Times New Roman" w:cs="Times New Roman"/>
                <w:color w:val="auto"/>
                <w:sz w:val="21"/>
                <w:szCs w:val="21"/>
                <w:highlight w:val="none"/>
              </w:rPr>
              <w:t>）》（GB36600-2018）中表1筛选值中“第二类用地”标准，敏感点处满足《土壤环境质量建设用地土壤污染风险管控标准（试行）》（GB36600-2018）中第一类用地要求筛选值要求，pH达到《环境影响评价技术导则 土壤环境（试行）》（HJ964-2018）表D.2中标准，土壤无酸化或碱化情况。</w:t>
            </w:r>
          </w:p>
        </w:tc>
        <w:tc>
          <w:tcPr>
            <w:tcW w:w="1216" w:type="dxa"/>
            <w:tcBorders>
              <w:tl2br w:val="nil"/>
              <w:tr2bl w:val="nil"/>
            </w:tcBorders>
            <w:vAlign w:val="center"/>
          </w:tcPr>
          <w:p w14:paraId="76AD90FD">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olor w:val="auto"/>
                <w:sz w:val="21"/>
                <w:szCs w:val="21"/>
                <w:highlight w:val="none"/>
              </w:rPr>
            </w:pPr>
          </w:p>
        </w:tc>
      </w:tr>
      <w:tr w14:paraId="677F758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7" w:hRule="atLeast"/>
          <w:jc w:val="center"/>
        </w:trPr>
        <w:tc>
          <w:tcPr>
            <w:tcW w:w="464" w:type="dxa"/>
            <w:vMerge w:val="restart"/>
            <w:tcBorders>
              <w:tl2br w:val="nil"/>
              <w:tr2bl w:val="nil"/>
            </w:tcBorders>
            <w:vAlign w:val="center"/>
          </w:tcPr>
          <w:p w14:paraId="051EA26C">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olor w:val="auto"/>
                <w:sz w:val="21"/>
                <w:szCs w:val="21"/>
                <w:highlight w:val="none"/>
              </w:rPr>
            </w:pPr>
            <w:r>
              <w:rPr>
                <w:rFonts w:ascii="Times New Roman" w:hAnsi="Times New Roman"/>
                <w:color w:val="auto"/>
                <w:sz w:val="21"/>
                <w:szCs w:val="21"/>
                <w:highlight w:val="none"/>
              </w:rPr>
              <w:t>影响预测</w:t>
            </w:r>
          </w:p>
        </w:tc>
        <w:tc>
          <w:tcPr>
            <w:tcW w:w="1569" w:type="dxa"/>
            <w:tcBorders>
              <w:tl2br w:val="nil"/>
              <w:tr2bl w:val="nil"/>
            </w:tcBorders>
            <w:vAlign w:val="center"/>
          </w:tcPr>
          <w:p w14:paraId="32C02A84">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olor w:val="auto"/>
                <w:sz w:val="21"/>
                <w:szCs w:val="21"/>
                <w:highlight w:val="none"/>
              </w:rPr>
            </w:pPr>
            <w:r>
              <w:rPr>
                <w:rFonts w:ascii="Times New Roman" w:hAnsi="Times New Roman"/>
                <w:color w:val="auto"/>
                <w:sz w:val="21"/>
                <w:szCs w:val="21"/>
                <w:highlight w:val="none"/>
              </w:rPr>
              <w:t>预测因子</w:t>
            </w:r>
          </w:p>
        </w:tc>
        <w:tc>
          <w:tcPr>
            <w:tcW w:w="6432" w:type="dxa"/>
            <w:gridSpan w:val="6"/>
            <w:tcBorders>
              <w:tl2br w:val="nil"/>
              <w:tr2bl w:val="nil"/>
            </w:tcBorders>
            <w:vAlign w:val="center"/>
          </w:tcPr>
          <w:p w14:paraId="7A4F2DA0">
            <w:pPr>
              <w:keepNext w:val="0"/>
              <w:keepLines w:val="0"/>
              <w:pageBreakBefore w:val="0"/>
              <w:widowControl/>
              <w:kinsoku/>
              <w:wordWrap/>
              <w:overflowPunct/>
              <w:topLinePunct w:val="0"/>
              <w:autoSpaceDE/>
              <w:autoSpaceDN/>
              <w:bidi w:val="0"/>
              <w:adjustRightInd/>
              <w:snapToGrid/>
              <w:ind w:left="0" w:right="0"/>
              <w:textAlignment w:val="auto"/>
              <w:rPr>
                <w:rFonts w:ascii="Times New Roman" w:hAnsi="Times New Roman"/>
                <w:color w:val="auto"/>
                <w:sz w:val="21"/>
                <w:szCs w:val="21"/>
                <w:highlight w:val="none"/>
              </w:rPr>
            </w:pPr>
            <w:r>
              <w:rPr>
                <w:rFonts w:hint="eastAsia" w:ascii="Times New Roman" w:hAnsi="Times New Roman"/>
                <w:color w:val="auto"/>
                <w:sz w:val="21"/>
                <w:szCs w:val="21"/>
                <w:highlight w:val="none"/>
              </w:rPr>
              <w:t>非甲烷总烃</w:t>
            </w:r>
          </w:p>
        </w:tc>
        <w:tc>
          <w:tcPr>
            <w:tcW w:w="1216" w:type="dxa"/>
            <w:tcBorders>
              <w:tl2br w:val="nil"/>
              <w:tr2bl w:val="nil"/>
            </w:tcBorders>
            <w:vAlign w:val="center"/>
          </w:tcPr>
          <w:p w14:paraId="014DCC87">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olor w:val="auto"/>
                <w:sz w:val="21"/>
                <w:szCs w:val="21"/>
                <w:highlight w:val="none"/>
              </w:rPr>
            </w:pPr>
          </w:p>
        </w:tc>
      </w:tr>
      <w:tr w14:paraId="1ABB932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7" w:hRule="atLeast"/>
          <w:jc w:val="center"/>
        </w:trPr>
        <w:tc>
          <w:tcPr>
            <w:tcW w:w="464" w:type="dxa"/>
            <w:vMerge w:val="continue"/>
            <w:tcBorders>
              <w:tl2br w:val="nil"/>
              <w:tr2bl w:val="nil"/>
            </w:tcBorders>
            <w:vAlign w:val="center"/>
          </w:tcPr>
          <w:p w14:paraId="69359CDC">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olor w:val="auto"/>
                <w:sz w:val="21"/>
                <w:szCs w:val="21"/>
                <w:highlight w:val="none"/>
              </w:rPr>
            </w:pPr>
          </w:p>
        </w:tc>
        <w:tc>
          <w:tcPr>
            <w:tcW w:w="1569" w:type="dxa"/>
            <w:tcBorders>
              <w:tl2br w:val="nil"/>
              <w:tr2bl w:val="nil"/>
            </w:tcBorders>
            <w:vAlign w:val="center"/>
          </w:tcPr>
          <w:p w14:paraId="1742ADBB">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olor w:val="auto"/>
                <w:sz w:val="21"/>
                <w:szCs w:val="21"/>
                <w:highlight w:val="none"/>
              </w:rPr>
            </w:pPr>
            <w:r>
              <w:rPr>
                <w:rFonts w:ascii="Times New Roman" w:hAnsi="Times New Roman"/>
                <w:color w:val="auto"/>
                <w:sz w:val="21"/>
                <w:szCs w:val="21"/>
                <w:highlight w:val="none"/>
              </w:rPr>
              <w:t>预测方法</w:t>
            </w:r>
          </w:p>
        </w:tc>
        <w:tc>
          <w:tcPr>
            <w:tcW w:w="6432" w:type="dxa"/>
            <w:gridSpan w:val="6"/>
            <w:tcBorders>
              <w:tl2br w:val="nil"/>
              <w:tr2bl w:val="nil"/>
            </w:tcBorders>
            <w:vAlign w:val="center"/>
          </w:tcPr>
          <w:p w14:paraId="355AB918">
            <w:pPr>
              <w:keepNext w:val="0"/>
              <w:keepLines w:val="0"/>
              <w:pageBreakBefore w:val="0"/>
              <w:widowControl/>
              <w:kinsoku/>
              <w:wordWrap/>
              <w:overflowPunct/>
              <w:topLinePunct w:val="0"/>
              <w:autoSpaceDE/>
              <w:autoSpaceDN/>
              <w:bidi w:val="0"/>
              <w:adjustRightInd/>
              <w:snapToGrid/>
              <w:ind w:left="0" w:right="0"/>
              <w:textAlignment w:val="auto"/>
              <w:rPr>
                <w:rFonts w:ascii="Times New Roman" w:hAnsi="Times New Roman"/>
                <w:color w:val="auto"/>
                <w:sz w:val="21"/>
                <w:szCs w:val="21"/>
                <w:highlight w:val="none"/>
              </w:rPr>
            </w:pPr>
            <w:r>
              <w:rPr>
                <w:rFonts w:ascii="Times New Roman" w:hAnsi="Times New Roman"/>
                <w:color w:val="auto"/>
                <w:sz w:val="21"/>
                <w:szCs w:val="21"/>
                <w:highlight w:val="none"/>
              </w:rPr>
              <w:t>附录E</w:t>
            </w:r>
            <w:r>
              <w:rPr>
                <w:rFonts w:hint="eastAsia" w:ascii="Times New Roman" w:hAnsi="Times New Roman"/>
                <w:color w:val="auto"/>
                <w:sz w:val="21"/>
                <w:szCs w:val="21"/>
                <w:highlight w:val="none"/>
              </w:rPr>
              <w:t>☑</w:t>
            </w:r>
            <w:r>
              <w:rPr>
                <w:rFonts w:ascii="Times New Roman" w:hAnsi="Times New Roman"/>
                <w:color w:val="auto"/>
                <w:sz w:val="21"/>
                <w:szCs w:val="21"/>
                <w:highlight w:val="none"/>
              </w:rPr>
              <w:t>；附录F</w:t>
            </w:r>
            <w:r>
              <w:rPr>
                <w:rFonts w:hint="eastAsia" w:ascii="Times New Roman" w:hAnsi="Times New Roman"/>
                <w:color w:val="auto"/>
                <w:sz w:val="21"/>
                <w:szCs w:val="21"/>
                <w:highlight w:val="none"/>
              </w:rPr>
              <w:t>□</w:t>
            </w:r>
            <w:r>
              <w:rPr>
                <w:rFonts w:ascii="Times New Roman" w:hAnsi="Times New Roman"/>
                <w:color w:val="auto"/>
                <w:sz w:val="21"/>
                <w:szCs w:val="21"/>
                <w:highlight w:val="none"/>
              </w:rPr>
              <w:t>；其他（）</w:t>
            </w:r>
          </w:p>
        </w:tc>
        <w:tc>
          <w:tcPr>
            <w:tcW w:w="1216" w:type="dxa"/>
            <w:tcBorders>
              <w:tl2br w:val="nil"/>
              <w:tr2bl w:val="nil"/>
            </w:tcBorders>
            <w:vAlign w:val="center"/>
          </w:tcPr>
          <w:p w14:paraId="6F593126">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olor w:val="auto"/>
                <w:sz w:val="21"/>
                <w:szCs w:val="21"/>
                <w:highlight w:val="none"/>
              </w:rPr>
            </w:pPr>
          </w:p>
        </w:tc>
      </w:tr>
      <w:tr w14:paraId="487E504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7" w:hRule="atLeast"/>
          <w:jc w:val="center"/>
        </w:trPr>
        <w:tc>
          <w:tcPr>
            <w:tcW w:w="464" w:type="dxa"/>
            <w:vMerge w:val="continue"/>
            <w:tcBorders>
              <w:tl2br w:val="nil"/>
              <w:tr2bl w:val="nil"/>
            </w:tcBorders>
            <w:vAlign w:val="center"/>
          </w:tcPr>
          <w:p w14:paraId="20273421">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olor w:val="auto"/>
                <w:sz w:val="21"/>
                <w:szCs w:val="21"/>
                <w:highlight w:val="none"/>
              </w:rPr>
            </w:pPr>
          </w:p>
        </w:tc>
        <w:tc>
          <w:tcPr>
            <w:tcW w:w="1569" w:type="dxa"/>
            <w:tcBorders>
              <w:tl2br w:val="nil"/>
              <w:tr2bl w:val="nil"/>
            </w:tcBorders>
            <w:vAlign w:val="center"/>
          </w:tcPr>
          <w:p w14:paraId="405D2607">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olor w:val="auto"/>
                <w:sz w:val="21"/>
                <w:szCs w:val="21"/>
                <w:highlight w:val="none"/>
              </w:rPr>
            </w:pPr>
            <w:r>
              <w:rPr>
                <w:rFonts w:ascii="Times New Roman" w:hAnsi="Times New Roman"/>
                <w:color w:val="auto"/>
                <w:sz w:val="21"/>
                <w:szCs w:val="21"/>
                <w:highlight w:val="none"/>
              </w:rPr>
              <w:t>预测分析内容</w:t>
            </w:r>
          </w:p>
        </w:tc>
        <w:tc>
          <w:tcPr>
            <w:tcW w:w="6432" w:type="dxa"/>
            <w:gridSpan w:val="6"/>
            <w:tcBorders>
              <w:tl2br w:val="nil"/>
              <w:tr2bl w:val="nil"/>
            </w:tcBorders>
            <w:vAlign w:val="center"/>
          </w:tcPr>
          <w:p w14:paraId="52C55C07">
            <w:pPr>
              <w:keepNext w:val="0"/>
              <w:keepLines w:val="0"/>
              <w:pageBreakBefore w:val="0"/>
              <w:widowControl/>
              <w:kinsoku/>
              <w:wordWrap/>
              <w:overflowPunct/>
              <w:topLinePunct w:val="0"/>
              <w:autoSpaceDE/>
              <w:autoSpaceDN/>
              <w:bidi w:val="0"/>
              <w:adjustRightInd/>
              <w:snapToGrid/>
              <w:ind w:left="0" w:right="0"/>
              <w:textAlignment w:val="auto"/>
              <w:rPr>
                <w:rFonts w:ascii="Times New Roman" w:hAnsi="Times New Roman"/>
                <w:color w:val="auto"/>
                <w:sz w:val="21"/>
                <w:szCs w:val="21"/>
                <w:highlight w:val="none"/>
              </w:rPr>
            </w:pPr>
            <w:r>
              <w:rPr>
                <w:rFonts w:ascii="Times New Roman" w:hAnsi="Times New Roman"/>
                <w:color w:val="auto"/>
                <w:sz w:val="21"/>
                <w:szCs w:val="21"/>
                <w:highlight w:val="none"/>
              </w:rPr>
              <w:t>影响范围（</w:t>
            </w:r>
            <w:r>
              <w:rPr>
                <w:rFonts w:hint="eastAsia" w:ascii="Times New Roman" w:hAnsi="Times New Roman"/>
                <w:color w:val="auto"/>
                <w:sz w:val="21"/>
                <w:szCs w:val="21"/>
                <w:highlight w:val="none"/>
              </w:rPr>
              <w:t>厂界外200米内</w:t>
            </w:r>
            <w:r>
              <w:rPr>
                <w:rFonts w:ascii="Times New Roman" w:hAnsi="Times New Roman"/>
                <w:color w:val="auto"/>
                <w:sz w:val="21"/>
                <w:szCs w:val="21"/>
                <w:highlight w:val="none"/>
              </w:rPr>
              <w:t>）</w:t>
            </w:r>
          </w:p>
          <w:p w14:paraId="5E8DE462">
            <w:pPr>
              <w:keepNext w:val="0"/>
              <w:keepLines w:val="0"/>
              <w:pageBreakBefore w:val="0"/>
              <w:widowControl/>
              <w:kinsoku/>
              <w:wordWrap/>
              <w:overflowPunct/>
              <w:topLinePunct w:val="0"/>
              <w:autoSpaceDE/>
              <w:autoSpaceDN/>
              <w:bidi w:val="0"/>
              <w:adjustRightInd/>
              <w:snapToGrid/>
              <w:ind w:left="0" w:right="0"/>
              <w:textAlignment w:val="auto"/>
              <w:rPr>
                <w:rFonts w:ascii="Times New Roman" w:hAnsi="Times New Roman"/>
                <w:color w:val="auto"/>
                <w:sz w:val="21"/>
                <w:szCs w:val="21"/>
                <w:highlight w:val="none"/>
              </w:rPr>
            </w:pPr>
            <w:r>
              <w:rPr>
                <w:rFonts w:ascii="Times New Roman" w:hAnsi="Times New Roman"/>
                <w:color w:val="auto"/>
                <w:sz w:val="21"/>
                <w:szCs w:val="21"/>
                <w:highlight w:val="none"/>
              </w:rPr>
              <w:t>影响程度（</w:t>
            </w:r>
            <w:r>
              <w:rPr>
                <w:rFonts w:hint="eastAsia" w:ascii="Times New Roman" w:hAnsi="Times New Roman"/>
                <w:color w:val="auto"/>
                <w:sz w:val="21"/>
                <w:szCs w:val="21"/>
                <w:highlight w:val="none"/>
              </w:rPr>
              <w:t>项目最终建设对周边土壤环境影响不大</w:t>
            </w:r>
            <w:r>
              <w:rPr>
                <w:rFonts w:ascii="Times New Roman" w:hAnsi="Times New Roman"/>
                <w:color w:val="auto"/>
                <w:sz w:val="21"/>
                <w:szCs w:val="21"/>
                <w:highlight w:val="none"/>
              </w:rPr>
              <w:t>）</w:t>
            </w:r>
          </w:p>
        </w:tc>
        <w:tc>
          <w:tcPr>
            <w:tcW w:w="1216" w:type="dxa"/>
            <w:tcBorders>
              <w:tl2br w:val="nil"/>
              <w:tr2bl w:val="nil"/>
            </w:tcBorders>
            <w:vAlign w:val="center"/>
          </w:tcPr>
          <w:p w14:paraId="7C2A360E">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olor w:val="auto"/>
                <w:sz w:val="21"/>
                <w:szCs w:val="21"/>
                <w:highlight w:val="none"/>
              </w:rPr>
            </w:pPr>
          </w:p>
        </w:tc>
      </w:tr>
      <w:tr w14:paraId="1ABC0A2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7" w:hRule="atLeast"/>
          <w:jc w:val="center"/>
        </w:trPr>
        <w:tc>
          <w:tcPr>
            <w:tcW w:w="464" w:type="dxa"/>
            <w:vMerge w:val="continue"/>
            <w:tcBorders>
              <w:tl2br w:val="nil"/>
              <w:tr2bl w:val="nil"/>
            </w:tcBorders>
            <w:vAlign w:val="center"/>
          </w:tcPr>
          <w:p w14:paraId="38027042">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olor w:val="auto"/>
                <w:sz w:val="21"/>
                <w:szCs w:val="21"/>
                <w:highlight w:val="none"/>
              </w:rPr>
            </w:pPr>
          </w:p>
        </w:tc>
        <w:tc>
          <w:tcPr>
            <w:tcW w:w="1569" w:type="dxa"/>
            <w:tcBorders>
              <w:tl2br w:val="nil"/>
              <w:tr2bl w:val="nil"/>
            </w:tcBorders>
            <w:vAlign w:val="center"/>
          </w:tcPr>
          <w:p w14:paraId="3B1CFC3A">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olor w:val="auto"/>
                <w:sz w:val="21"/>
                <w:szCs w:val="21"/>
                <w:highlight w:val="none"/>
              </w:rPr>
            </w:pPr>
            <w:r>
              <w:rPr>
                <w:rFonts w:ascii="Times New Roman" w:hAnsi="Times New Roman"/>
                <w:color w:val="auto"/>
                <w:sz w:val="21"/>
                <w:szCs w:val="21"/>
                <w:highlight w:val="none"/>
              </w:rPr>
              <w:t>预测结论</w:t>
            </w:r>
          </w:p>
        </w:tc>
        <w:tc>
          <w:tcPr>
            <w:tcW w:w="6432" w:type="dxa"/>
            <w:gridSpan w:val="6"/>
            <w:tcBorders>
              <w:tl2br w:val="nil"/>
              <w:tr2bl w:val="nil"/>
            </w:tcBorders>
            <w:vAlign w:val="center"/>
          </w:tcPr>
          <w:p w14:paraId="12DB0DF4">
            <w:pPr>
              <w:keepNext w:val="0"/>
              <w:keepLines w:val="0"/>
              <w:pageBreakBefore w:val="0"/>
              <w:widowControl/>
              <w:kinsoku/>
              <w:wordWrap/>
              <w:overflowPunct/>
              <w:topLinePunct w:val="0"/>
              <w:autoSpaceDE/>
              <w:autoSpaceDN/>
              <w:bidi w:val="0"/>
              <w:adjustRightInd/>
              <w:snapToGrid/>
              <w:ind w:left="0" w:right="0"/>
              <w:textAlignment w:val="auto"/>
              <w:rPr>
                <w:rFonts w:ascii="Times New Roman" w:hAnsi="Times New Roman"/>
                <w:color w:val="auto"/>
                <w:sz w:val="21"/>
                <w:szCs w:val="21"/>
                <w:highlight w:val="none"/>
              </w:rPr>
            </w:pPr>
            <w:r>
              <w:rPr>
                <w:rFonts w:ascii="Times New Roman" w:hAnsi="Times New Roman"/>
                <w:color w:val="auto"/>
                <w:sz w:val="21"/>
                <w:szCs w:val="21"/>
                <w:highlight w:val="none"/>
              </w:rPr>
              <w:t>达标结论：a）</w:t>
            </w:r>
            <w:r>
              <w:rPr>
                <w:rFonts w:hint="eastAsia" w:ascii="Times New Roman" w:hAnsi="Times New Roman"/>
                <w:color w:val="auto"/>
                <w:sz w:val="21"/>
                <w:szCs w:val="21"/>
                <w:highlight w:val="none"/>
              </w:rPr>
              <w:t>☑</w:t>
            </w:r>
            <w:r>
              <w:rPr>
                <w:rFonts w:ascii="Times New Roman" w:hAnsi="Times New Roman"/>
                <w:color w:val="auto"/>
                <w:sz w:val="21"/>
                <w:szCs w:val="21"/>
                <w:highlight w:val="none"/>
              </w:rPr>
              <w:t>；b）□；c）□</w:t>
            </w:r>
          </w:p>
          <w:p w14:paraId="6148832E">
            <w:pPr>
              <w:keepNext w:val="0"/>
              <w:keepLines w:val="0"/>
              <w:pageBreakBefore w:val="0"/>
              <w:widowControl/>
              <w:kinsoku/>
              <w:wordWrap/>
              <w:overflowPunct/>
              <w:topLinePunct w:val="0"/>
              <w:autoSpaceDE/>
              <w:autoSpaceDN/>
              <w:bidi w:val="0"/>
              <w:adjustRightInd/>
              <w:snapToGrid/>
              <w:ind w:left="0" w:right="0"/>
              <w:textAlignment w:val="auto"/>
              <w:rPr>
                <w:rFonts w:ascii="Times New Roman" w:hAnsi="Times New Roman"/>
                <w:color w:val="auto"/>
                <w:sz w:val="21"/>
                <w:szCs w:val="21"/>
                <w:highlight w:val="none"/>
              </w:rPr>
            </w:pPr>
            <w:r>
              <w:rPr>
                <w:rFonts w:ascii="Times New Roman" w:hAnsi="Times New Roman"/>
                <w:color w:val="auto"/>
                <w:sz w:val="21"/>
                <w:szCs w:val="21"/>
                <w:highlight w:val="none"/>
              </w:rPr>
              <w:t>不达标结论：a）□；b）□</w:t>
            </w:r>
          </w:p>
        </w:tc>
        <w:tc>
          <w:tcPr>
            <w:tcW w:w="1216" w:type="dxa"/>
            <w:tcBorders>
              <w:tl2br w:val="nil"/>
              <w:tr2bl w:val="nil"/>
            </w:tcBorders>
            <w:vAlign w:val="center"/>
          </w:tcPr>
          <w:p w14:paraId="66B588D3">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olor w:val="auto"/>
                <w:sz w:val="21"/>
                <w:szCs w:val="21"/>
                <w:highlight w:val="none"/>
              </w:rPr>
            </w:pPr>
          </w:p>
        </w:tc>
      </w:tr>
      <w:tr w14:paraId="50E6063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21" w:hRule="atLeast"/>
          <w:jc w:val="center"/>
        </w:trPr>
        <w:tc>
          <w:tcPr>
            <w:tcW w:w="464" w:type="dxa"/>
            <w:vMerge w:val="restart"/>
            <w:tcBorders>
              <w:tl2br w:val="nil"/>
              <w:tr2bl w:val="nil"/>
            </w:tcBorders>
            <w:vAlign w:val="center"/>
          </w:tcPr>
          <w:p w14:paraId="159DAAE1">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olor w:val="auto"/>
                <w:sz w:val="21"/>
                <w:szCs w:val="21"/>
                <w:highlight w:val="none"/>
              </w:rPr>
            </w:pPr>
            <w:r>
              <w:rPr>
                <w:rFonts w:ascii="Times New Roman" w:hAnsi="Times New Roman"/>
                <w:color w:val="auto"/>
                <w:sz w:val="21"/>
                <w:szCs w:val="21"/>
                <w:highlight w:val="none"/>
              </w:rPr>
              <w:t>防治措施</w:t>
            </w:r>
          </w:p>
        </w:tc>
        <w:tc>
          <w:tcPr>
            <w:tcW w:w="1569" w:type="dxa"/>
            <w:tcBorders>
              <w:tl2br w:val="nil"/>
              <w:tr2bl w:val="nil"/>
            </w:tcBorders>
            <w:vAlign w:val="center"/>
          </w:tcPr>
          <w:p w14:paraId="40EB855A">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olor w:val="auto"/>
                <w:sz w:val="21"/>
                <w:szCs w:val="21"/>
                <w:highlight w:val="none"/>
              </w:rPr>
            </w:pPr>
            <w:r>
              <w:rPr>
                <w:rFonts w:ascii="Times New Roman" w:hAnsi="Times New Roman"/>
                <w:color w:val="auto"/>
                <w:sz w:val="21"/>
                <w:szCs w:val="21"/>
                <w:highlight w:val="none"/>
              </w:rPr>
              <w:t>防控措施</w:t>
            </w:r>
          </w:p>
        </w:tc>
        <w:tc>
          <w:tcPr>
            <w:tcW w:w="6432" w:type="dxa"/>
            <w:gridSpan w:val="6"/>
            <w:tcBorders>
              <w:tl2br w:val="nil"/>
              <w:tr2bl w:val="nil"/>
            </w:tcBorders>
            <w:vAlign w:val="center"/>
          </w:tcPr>
          <w:p w14:paraId="0A0B8934">
            <w:pPr>
              <w:keepNext w:val="0"/>
              <w:keepLines w:val="0"/>
              <w:pageBreakBefore w:val="0"/>
              <w:widowControl/>
              <w:kinsoku/>
              <w:wordWrap/>
              <w:overflowPunct/>
              <w:topLinePunct w:val="0"/>
              <w:autoSpaceDE/>
              <w:autoSpaceDN/>
              <w:bidi w:val="0"/>
              <w:adjustRightInd/>
              <w:snapToGrid/>
              <w:ind w:left="0" w:right="0"/>
              <w:textAlignment w:val="auto"/>
              <w:rPr>
                <w:rFonts w:ascii="Times New Roman" w:hAnsi="Times New Roman"/>
                <w:color w:val="auto"/>
                <w:sz w:val="21"/>
                <w:szCs w:val="21"/>
                <w:highlight w:val="none"/>
              </w:rPr>
            </w:pPr>
            <w:r>
              <w:rPr>
                <w:rFonts w:ascii="Times New Roman" w:hAnsi="Times New Roman"/>
                <w:color w:val="auto"/>
                <w:sz w:val="21"/>
                <w:szCs w:val="21"/>
                <w:highlight w:val="none"/>
              </w:rPr>
              <w:t>土壤环境质量现状保障□；源头控制</w:t>
            </w:r>
            <w:r>
              <w:rPr>
                <w:rFonts w:hint="eastAsia" w:ascii="Times New Roman" w:hAnsi="Times New Roman"/>
                <w:color w:val="auto"/>
                <w:sz w:val="21"/>
                <w:szCs w:val="21"/>
                <w:highlight w:val="none"/>
              </w:rPr>
              <w:t>☑</w:t>
            </w:r>
            <w:r>
              <w:rPr>
                <w:rFonts w:ascii="Times New Roman" w:hAnsi="Times New Roman"/>
                <w:color w:val="auto"/>
                <w:sz w:val="21"/>
                <w:szCs w:val="21"/>
                <w:highlight w:val="none"/>
              </w:rPr>
              <w:t>；过程防控</w:t>
            </w:r>
            <w:r>
              <w:rPr>
                <w:rFonts w:hint="eastAsia" w:ascii="Times New Roman" w:hAnsi="Times New Roman"/>
                <w:color w:val="auto"/>
                <w:sz w:val="21"/>
                <w:szCs w:val="21"/>
                <w:highlight w:val="none"/>
              </w:rPr>
              <w:t>☑</w:t>
            </w:r>
            <w:r>
              <w:rPr>
                <w:rFonts w:ascii="Times New Roman" w:hAnsi="Times New Roman"/>
                <w:color w:val="auto"/>
                <w:sz w:val="21"/>
                <w:szCs w:val="21"/>
                <w:highlight w:val="none"/>
              </w:rPr>
              <w:t>；其他（）</w:t>
            </w:r>
          </w:p>
        </w:tc>
        <w:tc>
          <w:tcPr>
            <w:tcW w:w="1216" w:type="dxa"/>
            <w:tcBorders>
              <w:tl2br w:val="nil"/>
              <w:tr2bl w:val="nil"/>
            </w:tcBorders>
            <w:vAlign w:val="center"/>
          </w:tcPr>
          <w:p w14:paraId="0ED95E90">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olor w:val="auto"/>
                <w:sz w:val="21"/>
                <w:szCs w:val="21"/>
                <w:highlight w:val="none"/>
              </w:rPr>
            </w:pPr>
          </w:p>
        </w:tc>
      </w:tr>
      <w:tr w14:paraId="558AF1D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3" w:hRule="atLeast"/>
          <w:jc w:val="center"/>
        </w:trPr>
        <w:tc>
          <w:tcPr>
            <w:tcW w:w="464" w:type="dxa"/>
            <w:vMerge w:val="continue"/>
            <w:tcBorders>
              <w:tl2br w:val="nil"/>
              <w:tr2bl w:val="nil"/>
            </w:tcBorders>
            <w:vAlign w:val="center"/>
          </w:tcPr>
          <w:p w14:paraId="74A61904">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olor w:val="auto"/>
                <w:sz w:val="21"/>
                <w:szCs w:val="21"/>
                <w:highlight w:val="none"/>
              </w:rPr>
            </w:pPr>
          </w:p>
        </w:tc>
        <w:tc>
          <w:tcPr>
            <w:tcW w:w="1569" w:type="dxa"/>
            <w:vMerge w:val="restart"/>
            <w:tcBorders>
              <w:tl2br w:val="nil"/>
              <w:tr2bl w:val="nil"/>
            </w:tcBorders>
            <w:vAlign w:val="center"/>
          </w:tcPr>
          <w:p w14:paraId="3BF8E768">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olor w:val="auto"/>
                <w:sz w:val="21"/>
                <w:szCs w:val="21"/>
                <w:highlight w:val="none"/>
              </w:rPr>
            </w:pPr>
            <w:r>
              <w:rPr>
                <w:rFonts w:ascii="Times New Roman" w:hAnsi="Times New Roman"/>
                <w:color w:val="auto"/>
                <w:sz w:val="21"/>
                <w:szCs w:val="21"/>
                <w:highlight w:val="none"/>
              </w:rPr>
              <w:t>跟踪措施</w:t>
            </w:r>
          </w:p>
        </w:tc>
        <w:tc>
          <w:tcPr>
            <w:tcW w:w="1973" w:type="dxa"/>
            <w:gridSpan w:val="2"/>
            <w:tcBorders>
              <w:tl2br w:val="nil"/>
              <w:tr2bl w:val="nil"/>
            </w:tcBorders>
            <w:vAlign w:val="center"/>
          </w:tcPr>
          <w:p w14:paraId="63DBFAF9">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olor w:val="auto"/>
                <w:sz w:val="21"/>
                <w:szCs w:val="21"/>
                <w:highlight w:val="none"/>
              </w:rPr>
            </w:pPr>
            <w:r>
              <w:rPr>
                <w:rFonts w:ascii="Times New Roman" w:hAnsi="Times New Roman"/>
                <w:color w:val="auto"/>
                <w:sz w:val="21"/>
                <w:szCs w:val="21"/>
                <w:highlight w:val="none"/>
              </w:rPr>
              <w:t>监测点数</w:t>
            </w:r>
          </w:p>
        </w:tc>
        <w:tc>
          <w:tcPr>
            <w:tcW w:w="2261" w:type="dxa"/>
            <w:gridSpan w:val="2"/>
            <w:tcBorders>
              <w:tl2br w:val="nil"/>
              <w:tr2bl w:val="nil"/>
            </w:tcBorders>
            <w:vAlign w:val="center"/>
          </w:tcPr>
          <w:p w14:paraId="67C553F0">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olor w:val="auto"/>
                <w:sz w:val="21"/>
                <w:szCs w:val="21"/>
                <w:highlight w:val="none"/>
              </w:rPr>
            </w:pPr>
            <w:r>
              <w:rPr>
                <w:rFonts w:ascii="Times New Roman" w:hAnsi="Times New Roman"/>
                <w:color w:val="auto"/>
                <w:sz w:val="21"/>
                <w:szCs w:val="21"/>
                <w:highlight w:val="none"/>
              </w:rPr>
              <w:t>监测指标</w:t>
            </w:r>
          </w:p>
        </w:tc>
        <w:tc>
          <w:tcPr>
            <w:tcW w:w="2198" w:type="dxa"/>
            <w:gridSpan w:val="2"/>
            <w:tcBorders>
              <w:tl2br w:val="nil"/>
              <w:tr2bl w:val="nil"/>
            </w:tcBorders>
            <w:vAlign w:val="center"/>
          </w:tcPr>
          <w:p w14:paraId="541D7F17">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olor w:val="auto"/>
                <w:sz w:val="21"/>
                <w:szCs w:val="21"/>
                <w:highlight w:val="none"/>
              </w:rPr>
            </w:pPr>
            <w:r>
              <w:rPr>
                <w:rFonts w:ascii="Times New Roman" w:hAnsi="Times New Roman"/>
                <w:color w:val="auto"/>
                <w:sz w:val="21"/>
                <w:szCs w:val="21"/>
                <w:highlight w:val="none"/>
              </w:rPr>
              <w:t>监测频次</w:t>
            </w:r>
          </w:p>
        </w:tc>
        <w:tc>
          <w:tcPr>
            <w:tcW w:w="1216" w:type="dxa"/>
            <w:tcBorders>
              <w:tl2br w:val="nil"/>
              <w:tr2bl w:val="nil"/>
            </w:tcBorders>
            <w:vAlign w:val="center"/>
          </w:tcPr>
          <w:p w14:paraId="5C791444">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olor w:val="auto"/>
                <w:sz w:val="21"/>
                <w:szCs w:val="21"/>
                <w:highlight w:val="none"/>
              </w:rPr>
            </w:pPr>
          </w:p>
        </w:tc>
      </w:tr>
      <w:tr w14:paraId="7F0640C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3" w:hRule="atLeast"/>
          <w:jc w:val="center"/>
        </w:trPr>
        <w:tc>
          <w:tcPr>
            <w:tcW w:w="464" w:type="dxa"/>
            <w:vMerge w:val="continue"/>
            <w:tcBorders>
              <w:tl2br w:val="nil"/>
              <w:tr2bl w:val="nil"/>
            </w:tcBorders>
            <w:vAlign w:val="center"/>
          </w:tcPr>
          <w:p w14:paraId="582B83E9">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olor w:val="auto"/>
                <w:sz w:val="21"/>
                <w:szCs w:val="21"/>
                <w:highlight w:val="none"/>
              </w:rPr>
            </w:pPr>
          </w:p>
        </w:tc>
        <w:tc>
          <w:tcPr>
            <w:tcW w:w="1569" w:type="dxa"/>
            <w:vMerge w:val="continue"/>
            <w:tcBorders>
              <w:tl2br w:val="nil"/>
              <w:tr2bl w:val="nil"/>
            </w:tcBorders>
            <w:vAlign w:val="center"/>
          </w:tcPr>
          <w:p w14:paraId="33506938">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olor w:val="auto"/>
                <w:sz w:val="21"/>
                <w:szCs w:val="21"/>
                <w:highlight w:val="none"/>
              </w:rPr>
            </w:pPr>
          </w:p>
        </w:tc>
        <w:tc>
          <w:tcPr>
            <w:tcW w:w="1973" w:type="dxa"/>
            <w:gridSpan w:val="2"/>
            <w:tcBorders>
              <w:tl2br w:val="nil"/>
              <w:tr2bl w:val="nil"/>
            </w:tcBorders>
            <w:vAlign w:val="center"/>
          </w:tcPr>
          <w:p w14:paraId="6880E9D8">
            <w:pPr>
              <w:keepNext w:val="0"/>
              <w:keepLines w:val="0"/>
              <w:pageBreakBefore w:val="0"/>
              <w:widowControl/>
              <w:kinsoku/>
              <w:wordWrap/>
              <w:overflowPunct/>
              <w:topLinePunct w:val="0"/>
              <w:autoSpaceDE/>
              <w:autoSpaceDN/>
              <w:bidi w:val="0"/>
              <w:adjustRightInd/>
              <w:snapToGrid/>
              <w:ind w:left="0" w:right="0"/>
              <w:jc w:val="center"/>
              <w:textAlignment w:val="auto"/>
              <w:rPr>
                <w:rFonts w:hint="default" w:ascii="Times New Roman" w:hAnsi="Times New Roman" w:eastAsia="宋体"/>
                <w:color w:val="auto"/>
                <w:sz w:val="21"/>
                <w:szCs w:val="21"/>
                <w:highlight w:val="none"/>
                <w:lang w:val="en-US" w:eastAsia="zh-CN"/>
              </w:rPr>
            </w:pPr>
            <w:r>
              <w:rPr>
                <w:rFonts w:hint="eastAsia" w:ascii="Times New Roman" w:hAnsi="Times New Roman"/>
                <w:color w:val="auto"/>
                <w:sz w:val="21"/>
                <w:szCs w:val="21"/>
                <w:highlight w:val="none"/>
                <w:lang w:val="en-US" w:eastAsia="zh-CN"/>
              </w:rPr>
              <w:t>10</w:t>
            </w:r>
          </w:p>
        </w:tc>
        <w:tc>
          <w:tcPr>
            <w:tcW w:w="2261" w:type="dxa"/>
            <w:gridSpan w:val="2"/>
            <w:tcBorders>
              <w:tl2br w:val="nil"/>
              <w:tr2bl w:val="nil"/>
            </w:tcBorders>
            <w:vAlign w:val="center"/>
          </w:tcPr>
          <w:p w14:paraId="72D3ECA9">
            <w:pPr>
              <w:keepNext w:val="0"/>
              <w:keepLines w:val="0"/>
              <w:pageBreakBefore w:val="0"/>
              <w:widowControl/>
              <w:kinsoku/>
              <w:wordWrap/>
              <w:overflowPunct/>
              <w:topLinePunct w:val="0"/>
              <w:autoSpaceDE/>
              <w:autoSpaceDN/>
              <w:bidi w:val="0"/>
              <w:adjustRightInd/>
              <w:snapToGrid/>
              <w:ind w:left="0" w:right="0"/>
              <w:jc w:val="center"/>
              <w:textAlignment w:val="auto"/>
              <w:rPr>
                <w:rFonts w:hint="default" w:ascii="Times New Roman" w:hAnsi="Times New Roman" w:eastAsia="宋体"/>
                <w:color w:val="auto"/>
                <w:sz w:val="21"/>
                <w:szCs w:val="21"/>
                <w:highlight w:val="none"/>
                <w:lang w:val="en-US" w:eastAsia="zh-CN"/>
              </w:rPr>
            </w:pPr>
            <w:r>
              <w:rPr>
                <w:rFonts w:ascii="Times New Roman" w:hAnsi="Times New Roman"/>
                <w:color w:val="auto"/>
                <w:sz w:val="21"/>
                <w:szCs w:val="21"/>
                <w:highlight w:val="none"/>
              </w:rPr>
              <w:t>pH、汞、砷、镉、铬（六价）、铅、铜、镍、挥发性有机物、半挥发性有机物</w:t>
            </w:r>
            <w:r>
              <w:rPr>
                <w:rFonts w:hint="eastAsia" w:ascii="Times New Roman" w:hAnsi="Times New Roman"/>
                <w:color w:val="auto"/>
                <w:sz w:val="21"/>
                <w:szCs w:val="21"/>
                <w:highlight w:val="none"/>
                <w:lang w:eastAsia="zh-CN"/>
              </w:rPr>
              <w:t>、</w:t>
            </w:r>
            <w:r>
              <w:rPr>
                <w:rFonts w:hint="eastAsia" w:ascii="Times New Roman" w:hAnsi="Times New Roman"/>
                <w:color w:val="auto"/>
                <w:sz w:val="21"/>
                <w:szCs w:val="21"/>
                <w:highlight w:val="none"/>
                <w:lang w:val="en-US" w:eastAsia="zh-CN"/>
              </w:rPr>
              <w:t>石油烃</w:t>
            </w:r>
          </w:p>
        </w:tc>
        <w:tc>
          <w:tcPr>
            <w:tcW w:w="2198" w:type="dxa"/>
            <w:gridSpan w:val="2"/>
            <w:tcBorders>
              <w:tl2br w:val="nil"/>
              <w:tr2bl w:val="nil"/>
            </w:tcBorders>
            <w:vAlign w:val="center"/>
          </w:tcPr>
          <w:p w14:paraId="62BCC4BE">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olor w:val="auto"/>
                <w:sz w:val="21"/>
                <w:szCs w:val="21"/>
                <w:highlight w:val="none"/>
              </w:rPr>
            </w:pPr>
            <w:r>
              <w:rPr>
                <w:rFonts w:ascii="Times New Roman" w:hAnsi="Times New Roman"/>
                <w:color w:val="auto"/>
                <w:sz w:val="21"/>
                <w:szCs w:val="21"/>
                <w:highlight w:val="none"/>
              </w:rPr>
              <w:t>1次/年</w:t>
            </w:r>
          </w:p>
        </w:tc>
        <w:tc>
          <w:tcPr>
            <w:tcW w:w="1216" w:type="dxa"/>
            <w:tcBorders>
              <w:tl2br w:val="nil"/>
              <w:tr2bl w:val="nil"/>
            </w:tcBorders>
            <w:vAlign w:val="center"/>
          </w:tcPr>
          <w:p w14:paraId="626C036D">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olor w:val="auto"/>
                <w:sz w:val="21"/>
                <w:szCs w:val="21"/>
                <w:highlight w:val="none"/>
              </w:rPr>
            </w:pPr>
          </w:p>
        </w:tc>
      </w:tr>
      <w:tr w14:paraId="45448C9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3" w:hRule="atLeast"/>
          <w:jc w:val="center"/>
        </w:trPr>
        <w:tc>
          <w:tcPr>
            <w:tcW w:w="464" w:type="dxa"/>
            <w:vMerge w:val="continue"/>
            <w:tcBorders>
              <w:tl2br w:val="nil"/>
              <w:tr2bl w:val="nil"/>
            </w:tcBorders>
            <w:vAlign w:val="center"/>
          </w:tcPr>
          <w:p w14:paraId="30F33A17">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olor w:val="auto"/>
                <w:sz w:val="21"/>
                <w:szCs w:val="21"/>
                <w:highlight w:val="none"/>
              </w:rPr>
            </w:pPr>
          </w:p>
        </w:tc>
        <w:tc>
          <w:tcPr>
            <w:tcW w:w="1569" w:type="dxa"/>
            <w:tcBorders>
              <w:tl2br w:val="nil"/>
              <w:tr2bl w:val="nil"/>
            </w:tcBorders>
            <w:vAlign w:val="center"/>
          </w:tcPr>
          <w:p w14:paraId="21B600DC">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olor w:val="auto"/>
                <w:sz w:val="21"/>
                <w:szCs w:val="21"/>
                <w:highlight w:val="none"/>
              </w:rPr>
            </w:pPr>
            <w:r>
              <w:rPr>
                <w:rFonts w:ascii="Times New Roman" w:hAnsi="Times New Roman"/>
                <w:color w:val="auto"/>
                <w:sz w:val="21"/>
                <w:szCs w:val="21"/>
                <w:highlight w:val="none"/>
              </w:rPr>
              <w:t>信息公开指标</w:t>
            </w:r>
          </w:p>
        </w:tc>
        <w:tc>
          <w:tcPr>
            <w:tcW w:w="6432" w:type="dxa"/>
            <w:gridSpan w:val="6"/>
            <w:tcBorders>
              <w:tl2br w:val="nil"/>
              <w:tr2bl w:val="nil"/>
            </w:tcBorders>
            <w:vAlign w:val="center"/>
          </w:tcPr>
          <w:p w14:paraId="1DAA5BD8">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olor w:val="auto"/>
                <w:sz w:val="21"/>
                <w:szCs w:val="21"/>
                <w:highlight w:val="none"/>
              </w:rPr>
            </w:pPr>
            <w:r>
              <w:rPr>
                <w:rFonts w:ascii="Times New Roman" w:hAnsi="Times New Roman"/>
                <w:color w:val="auto"/>
                <w:sz w:val="21"/>
                <w:szCs w:val="21"/>
                <w:highlight w:val="none"/>
              </w:rPr>
              <w:t>pH、汞、砷、镉、铬（六价）、铅、铜、镍、挥发性有机物、半挥发性有机物</w:t>
            </w:r>
          </w:p>
        </w:tc>
        <w:tc>
          <w:tcPr>
            <w:tcW w:w="1216" w:type="dxa"/>
            <w:tcBorders>
              <w:tl2br w:val="nil"/>
              <w:tr2bl w:val="nil"/>
            </w:tcBorders>
            <w:vAlign w:val="center"/>
          </w:tcPr>
          <w:p w14:paraId="4762BE23">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olor w:val="auto"/>
                <w:sz w:val="21"/>
                <w:szCs w:val="21"/>
                <w:highlight w:val="none"/>
              </w:rPr>
            </w:pPr>
          </w:p>
        </w:tc>
      </w:tr>
      <w:tr w14:paraId="6CE7D6D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87" w:hRule="atLeast"/>
          <w:jc w:val="center"/>
        </w:trPr>
        <w:tc>
          <w:tcPr>
            <w:tcW w:w="2033" w:type="dxa"/>
            <w:gridSpan w:val="2"/>
            <w:tcBorders>
              <w:tl2br w:val="nil"/>
              <w:tr2bl w:val="nil"/>
            </w:tcBorders>
            <w:vAlign w:val="center"/>
          </w:tcPr>
          <w:p w14:paraId="3E50D6B1">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olor w:val="auto"/>
                <w:sz w:val="21"/>
                <w:szCs w:val="21"/>
                <w:highlight w:val="none"/>
              </w:rPr>
            </w:pPr>
            <w:r>
              <w:rPr>
                <w:rFonts w:ascii="Times New Roman" w:hAnsi="Times New Roman"/>
                <w:color w:val="auto"/>
                <w:sz w:val="21"/>
                <w:szCs w:val="21"/>
                <w:highlight w:val="none"/>
              </w:rPr>
              <w:t>评价结论</w:t>
            </w:r>
          </w:p>
        </w:tc>
        <w:tc>
          <w:tcPr>
            <w:tcW w:w="6432" w:type="dxa"/>
            <w:gridSpan w:val="6"/>
            <w:tcBorders>
              <w:tl2br w:val="nil"/>
              <w:tr2bl w:val="nil"/>
            </w:tcBorders>
            <w:vAlign w:val="center"/>
          </w:tcPr>
          <w:p w14:paraId="3A461F9E">
            <w:pPr>
              <w:keepNext w:val="0"/>
              <w:keepLines w:val="0"/>
              <w:pageBreakBefore w:val="0"/>
              <w:widowControl/>
              <w:kinsoku/>
              <w:wordWrap/>
              <w:overflowPunct/>
              <w:topLinePunct w:val="0"/>
              <w:autoSpaceDE/>
              <w:autoSpaceDN/>
              <w:bidi w:val="0"/>
              <w:adjustRightInd/>
              <w:snapToGrid/>
              <w:ind w:left="0" w:right="0"/>
              <w:textAlignment w:val="auto"/>
              <w:rPr>
                <w:rFonts w:ascii="Times New Roman" w:hAnsi="Times New Roman"/>
                <w:color w:val="auto"/>
                <w:sz w:val="21"/>
                <w:szCs w:val="21"/>
                <w:highlight w:val="none"/>
              </w:rPr>
            </w:pPr>
            <w:r>
              <w:rPr>
                <w:rFonts w:ascii="Times New Roman" w:hAnsi="Times New Roman"/>
                <w:color w:val="auto"/>
                <w:sz w:val="21"/>
                <w:szCs w:val="21"/>
                <w:highlight w:val="none"/>
              </w:rPr>
              <w:t>根据现状监测结果，</w:t>
            </w:r>
            <w:r>
              <w:rPr>
                <w:rFonts w:hint="eastAsia"/>
                <w:color w:val="auto"/>
                <w:sz w:val="21"/>
                <w:szCs w:val="21"/>
                <w:highlight w:val="none"/>
                <w:lang w:val="en-US" w:eastAsia="zh-CN"/>
              </w:rPr>
              <w:t>厂内</w:t>
            </w:r>
            <w:r>
              <w:rPr>
                <w:rFonts w:hint="eastAsia"/>
                <w:color w:val="auto"/>
                <w:sz w:val="21"/>
                <w:szCs w:val="21"/>
                <w:highlight w:val="none"/>
              </w:rPr>
              <w:t>各监测点位土壤中各因子均能够达到《土壤环境质量建设用地土壤污染风险管控标准（试行</w:t>
            </w:r>
            <w:r>
              <w:rPr>
                <w:rFonts w:hint="default" w:ascii="Times New Roman" w:hAnsi="Times New Roman" w:cs="Times New Roman"/>
                <w:color w:val="auto"/>
                <w:sz w:val="21"/>
                <w:szCs w:val="21"/>
                <w:highlight w:val="none"/>
              </w:rPr>
              <w:t>）》（GB36600-2018）中表1筛选值中“第二类用地”标准，敏感点处满足《土壤环境质量建设用地土壤污染风险管控标准（试行）》（GB36600-2018）中第一类用地要求筛选值要求，pH达到《环境影响评价技术导则 土壤环境（试行）》（HJ964-2018）表D.2中标准，土壤无酸化或碱化情况</w:t>
            </w:r>
            <w:r>
              <w:rPr>
                <w:rFonts w:ascii="Times New Roman" w:hAnsi="Times New Roman"/>
                <w:color w:val="auto"/>
                <w:sz w:val="21"/>
                <w:szCs w:val="21"/>
                <w:highlight w:val="none"/>
              </w:rPr>
              <w:t>，所采取的土壤污染防控措施合理、可行、有效，从土壤环境影响的角度，本项目的建设时可行的。</w:t>
            </w:r>
          </w:p>
        </w:tc>
        <w:tc>
          <w:tcPr>
            <w:tcW w:w="1216" w:type="dxa"/>
            <w:tcBorders>
              <w:tl2br w:val="nil"/>
              <w:tr2bl w:val="nil"/>
            </w:tcBorders>
            <w:vAlign w:val="center"/>
          </w:tcPr>
          <w:p w14:paraId="7562E8EB">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olor w:val="auto"/>
                <w:sz w:val="21"/>
                <w:szCs w:val="21"/>
                <w:highlight w:val="none"/>
              </w:rPr>
            </w:pPr>
          </w:p>
        </w:tc>
      </w:tr>
      <w:tr w14:paraId="6C0F802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3" w:hRule="atLeast"/>
          <w:jc w:val="center"/>
        </w:trPr>
        <w:tc>
          <w:tcPr>
            <w:tcW w:w="9681" w:type="dxa"/>
            <w:gridSpan w:val="9"/>
            <w:tcBorders>
              <w:tl2br w:val="nil"/>
              <w:tr2bl w:val="nil"/>
            </w:tcBorders>
            <w:vAlign w:val="center"/>
          </w:tcPr>
          <w:p w14:paraId="432ABA40">
            <w:pPr>
              <w:keepNext w:val="0"/>
              <w:keepLines w:val="0"/>
              <w:pageBreakBefore w:val="0"/>
              <w:widowControl/>
              <w:kinsoku/>
              <w:wordWrap/>
              <w:overflowPunct/>
              <w:topLinePunct w:val="0"/>
              <w:autoSpaceDE/>
              <w:autoSpaceDN/>
              <w:bidi w:val="0"/>
              <w:adjustRightInd/>
              <w:snapToGrid/>
              <w:ind w:left="0" w:right="0"/>
              <w:textAlignment w:val="auto"/>
              <w:rPr>
                <w:rFonts w:ascii="Times New Roman" w:hAnsi="Times New Roman"/>
                <w:color w:val="auto"/>
                <w:sz w:val="21"/>
                <w:szCs w:val="21"/>
                <w:highlight w:val="none"/>
              </w:rPr>
            </w:pPr>
            <w:r>
              <w:rPr>
                <w:rFonts w:ascii="Times New Roman" w:hAnsi="Times New Roman"/>
                <w:color w:val="auto"/>
                <w:sz w:val="21"/>
                <w:szCs w:val="21"/>
                <w:highlight w:val="none"/>
              </w:rPr>
              <w:t>注1：“□”为勾选项，可√；“（）”为内容填写项；“备注”为其他补充内容。</w:t>
            </w:r>
          </w:p>
          <w:p w14:paraId="07041B2E">
            <w:pPr>
              <w:keepNext w:val="0"/>
              <w:keepLines w:val="0"/>
              <w:pageBreakBefore w:val="0"/>
              <w:widowControl/>
              <w:kinsoku/>
              <w:wordWrap/>
              <w:overflowPunct/>
              <w:topLinePunct w:val="0"/>
              <w:autoSpaceDE/>
              <w:autoSpaceDN/>
              <w:bidi w:val="0"/>
              <w:adjustRightInd/>
              <w:snapToGrid/>
              <w:ind w:left="0" w:right="0"/>
              <w:textAlignment w:val="auto"/>
              <w:rPr>
                <w:rFonts w:ascii="Times New Roman" w:hAnsi="Times New Roman"/>
                <w:color w:val="auto"/>
                <w:sz w:val="21"/>
                <w:szCs w:val="21"/>
                <w:highlight w:val="none"/>
              </w:rPr>
            </w:pPr>
            <w:r>
              <w:rPr>
                <w:rFonts w:ascii="Times New Roman" w:hAnsi="Times New Roman"/>
                <w:color w:val="auto"/>
                <w:sz w:val="21"/>
                <w:szCs w:val="21"/>
                <w:highlight w:val="none"/>
              </w:rPr>
              <w:t>注2：需要分别开展土壤环境影响评级工作的，分别填写自查表。</w:t>
            </w:r>
          </w:p>
        </w:tc>
      </w:tr>
    </w:tbl>
    <w:p w14:paraId="6CC62343">
      <w:pPr>
        <w:pStyle w:val="4"/>
        <w:numPr>
          <w:ilvl w:val="1"/>
          <w:numId w:val="6"/>
        </w:numPr>
        <w:tabs>
          <w:tab w:val="left" w:pos="426"/>
        </w:tabs>
        <w:spacing w:before="120" w:beforeLines="50" w:after="120" w:afterLines="50" w:line="360" w:lineRule="auto"/>
        <w:ind w:left="-105" w:right="-105"/>
        <w:rPr>
          <w:rFonts w:ascii="Times New Roman" w:eastAsia="宋体"/>
          <w:color w:val="auto"/>
          <w:sz w:val="28"/>
          <w:szCs w:val="28"/>
          <w:highlight w:val="none"/>
        </w:rPr>
      </w:pPr>
      <w:bookmarkStart w:id="401" w:name="_Toc60653570"/>
      <w:bookmarkStart w:id="402" w:name="_Toc28497"/>
      <w:r>
        <w:rPr>
          <w:rFonts w:ascii="Times New Roman" w:eastAsia="宋体"/>
          <w:color w:val="auto"/>
          <w:sz w:val="28"/>
          <w:szCs w:val="28"/>
          <w:highlight w:val="none"/>
        </w:rPr>
        <w:t>声环境影响分析</w:t>
      </w:r>
      <w:bookmarkEnd w:id="401"/>
      <w:bookmarkEnd w:id="402"/>
    </w:p>
    <w:p w14:paraId="4212DEAC">
      <w:pPr>
        <w:pStyle w:val="5"/>
        <w:keepLines w:val="0"/>
        <w:numPr>
          <w:ilvl w:val="2"/>
          <w:numId w:val="0"/>
        </w:numPr>
        <w:tabs>
          <w:tab w:val="left" w:pos="567"/>
          <w:tab w:val="left" w:pos="709"/>
          <w:tab w:val="left" w:pos="993"/>
          <w:tab w:val="left" w:pos="6663"/>
        </w:tabs>
        <w:spacing w:before="0" w:after="0" w:line="360" w:lineRule="auto"/>
        <w:ind w:right="-105"/>
        <w:rPr>
          <w:rFonts w:eastAsia="宋体"/>
          <w:color w:val="auto"/>
          <w:sz w:val="28"/>
          <w:szCs w:val="28"/>
          <w:highlight w:val="none"/>
        </w:rPr>
      </w:pPr>
      <w:bookmarkStart w:id="403" w:name="_Toc60653571"/>
      <w:r>
        <w:rPr>
          <w:rFonts w:hint="eastAsia" w:eastAsia="宋体"/>
          <w:color w:val="auto"/>
          <w:sz w:val="28"/>
          <w:szCs w:val="28"/>
          <w:highlight w:val="none"/>
        </w:rPr>
        <w:t>6.5.1</w:t>
      </w:r>
      <w:r>
        <w:rPr>
          <w:rFonts w:eastAsia="宋体"/>
          <w:color w:val="auto"/>
          <w:sz w:val="28"/>
          <w:szCs w:val="28"/>
          <w:highlight w:val="none"/>
        </w:rPr>
        <w:t>预测模式</w:t>
      </w:r>
      <w:bookmarkEnd w:id="403"/>
    </w:p>
    <w:p w14:paraId="5C9825E7">
      <w:pPr>
        <w:spacing w:line="360" w:lineRule="auto"/>
        <w:ind w:left="-105" w:right="-105" w:firstLine="480"/>
        <w:rPr>
          <w:rFonts w:ascii="Times New Roman" w:hAnsi="Times New Roman" w:cs="Times New Roman"/>
          <w:color w:val="auto"/>
          <w:highlight w:val="none"/>
        </w:rPr>
      </w:pPr>
      <w:r>
        <w:rPr>
          <w:rFonts w:ascii="Times New Roman" w:hAnsi="Times New Roman" w:cs="Times New Roman"/>
          <w:color w:val="auto"/>
          <w:szCs w:val="22"/>
          <w:highlight w:val="none"/>
        </w:rPr>
        <w:t>根据《环境影响评价技术导则——声环境》（HJ2.4-2021）的规定：</w:t>
      </w:r>
      <w:r>
        <w:rPr>
          <w:rFonts w:ascii="Times New Roman" w:hAnsi="Times New Roman" w:cs="Times New Roman"/>
          <w:color w:val="auto"/>
          <w:highlight w:val="none"/>
        </w:rPr>
        <w:t>户外声传播衰减包括几何发散（A</w:t>
      </w:r>
      <w:r>
        <w:rPr>
          <w:rFonts w:ascii="Times New Roman" w:hAnsi="Times New Roman" w:cs="Times New Roman"/>
          <w:color w:val="auto"/>
          <w:highlight w:val="none"/>
          <w:vertAlign w:val="subscript"/>
        </w:rPr>
        <w:t>div</w:t>
      </w:r>
      <w:r>
        <w:rPr>
          <w:rFonts w:ascii="Times New Roman" w:hAnsi="Times New Roman" w:cs="Times New Roman"/>
          <w:color w:val="auto"/>
          <w:highlight w:val="none"/>
        </w:rPr>
        <w:t>）、大气吸收（A</w:t>
      </w:r>
      <w:r>
        <w:rPr>
          <w:rFonts w:ascii="Times New Roman" w:hAnsi="Times New Roman" w:cs="Times New Roman"/>
          <w:color w:val="auto"/>
          <w:highlight w:val="none"/>
          <w:vertAlign w:val="subscript"/>
        </w:rPr>
        <w:t>atm</w:t>
      </w:r>
      <w:r>
        <w:rPr>
          <w:rFonts w:ascii="Times New Roman" w:hAnsi="Times New Roman" w:cs="Times New Roman"/>
          <w:color w:val="auto"/>
          <w:highlight w:val="none"/>
        </w:rPr>
        <w:t>）、地面效应（A</w:t>
      </w:r>
      <w:r>
        <w:rPr>
          <w:rFonts w:ascii="Times New Roman" w:hAnsi="Times New Roman" w:cs="Times New Roman"/>
          <w:color w:val="auto"/>
          <w:highlight w:val="none"/>
          <w:vertAlign w:val="subscript"/>
        </w:rPr>
        <w:t>gr</w:t>
      </w:r>
      <w:r>
        <w:rPr>
          <w:rFonts w:ascii="Times New Roman" w:hAnsi="Times New Roman" w:cs="Times New Roman"/>
          <w:color w:val="auto"/>
          <w:highlight w:val="none"/>
        </w:rPr>
        <w:t>）、障碍物屏蔽（A</w:t>
      </w:r>
      <w:r>
        <w:rPr>
          <w:rFonts w:ascii="Times New Roman" w:hAnsi="Times New Roman" w:cs="Times New Roman"/>
          <w:color w:val="auto"/>
          <w:highlight w:val="none"/>
          <w:vertAlign w:val="subscript"/>
        </w:rPr>
        <w:t>bar</w:t>
      </w:r>
      <w:r>
        <w:rPr>
          <w:rFonts w:ascii="Times New Roman" w:hAnsi="Times New Roman" w:cs="Times New Roman"/>
          <w:color w:val="auto"/>
          <w:highlight w:val="none"/>
        </w:rPr>
        <w:t>）、其他多方面效应（A</w:t>
      </w:r>
      <w:r>
        <w:rPr>
          <w:rFonts w:ascii="Times New Roman" w:hAnsi="Times New Roman" w:cs="Times New Roman"/>
          <w:color w:val="auto"/>
          <w:highlight w:val="none"/>
          <w:vertAlign w:val="subscript"/>
        </w:rPr>
        <w:t>misc</w:t>
      </w:r>
      <w:r>
        <w:rPr>
          <w:rFonts w:ascii="Times New Roman" w:hAnsi="Times New Roman" w:cs="Times New Roman"/>
          <w:color w:val="auto"/>
          <w:highlight w:val="none"/>
        </w:rPr>
        <w:t>）引起的衰减。</w:t>
      </w:r>
    </w:p>
    <w:p w14:paraId="39412F4B">
      <w:pPr>
        <w:pStyle w:val="44"/>
        <w:ind w:left="0" w:leftChars="0" w:right="-105" w:firstLine="0" w:firstLineChars="0"/>
        <w:jc w:val="center"/>
        <w:rPr>
          <w:color w:val="auto"/>
          <w:sz w:val="24"/>
          <w:highlight w:val="none"/>
        </w:rPr>
      </w:pPr>
      <w:r>
        <w:rPr>
          <w:color w:val="auto"/>
          <w:sz w:val="24"/>
          <w:highlight w:val="none"/>
        </w:rPr>
        <w:t>Lp(r)＝Lp(r</w:t>
      </w:r>
      <w:r>
        <w:rPr>
          <w:color w:val="auto"/>
          <w:sz w:val="24"/>
          <w:highlight w:val="none"/>
          <w:vertAlign w:val="subscript"/>
        </w:rPr>
        <w:t>0</w:t>
      </w:r>
      <w:r>
        <w:rPr>
          <w:color w:val="auto"/>
          <w:sz w:val="24"/>
          <w:highlight w:val="none"/>
        </w:rPr>
        <w:t>)+DC－(A</w:t>
      </w:r>
      <w:r>
        <w:rPr>
          <w:color w:val="auto"/>
          <w:sz w:val="24"/>
          <w:highlight w:val="none"/>
          <w:vertAlign w:val="subscript"/>
        </w:rPr>
        <w:t>div</w:t>
      </w:r>
      <w:r>
        <w:rPr>
          <w:color w:val="auto"/>
          <w:sz w:val="24"/>
          <w:highlight w:val="none"/>
        </w:rPr>
        <w:t>＋A</w:t>
      </w:r>
      <w:r>
        <w:rPr>
          <w:color w:val="auto"/>
          <w:sz w:val="24"/>
          <w:highlight w:val="none"/>
          <w:vertAlign w:val="subscript"/>
        </w:rPr>
        <w:t>atm</w:t>
      </w:r>
      <w:r>
        <w:rPr>
          <w:color w:val="auto"/>
          <w:sz w:val="24"/>
          <w:highlight w:val="none"/>
        </w:rPr>
        <w:t>＋A</w:t>
      </w:r>
      <w:r>
        <w:rPr>
          <w:color w:val="auto"/>
          <w:sz w:val="24"/>
          <w:highlight w:val="none"/>
          <w:vertAlign w:val="subscript"/>
        </w:rPr>
        <w:t>gr</w:t>
      </w:r>
      <w:r>
        <w:rPr>
          <w:color w:val="auto"/>
          <w:sz w:val="24"/>
          <w:highlight w:val="none"/>
        </w:rPr>
        <w:t>＋A</w:t>
      </w:r>
      <w:r>
        <w:rPr>
          <w:color w:val="auto"/>
          <w:sz w:val="24"/>
          <w:highlight w:val="none"/>
          <w:vertAlign w:val="subscript"/>
        </w:rPr>
        <w:t>bar</w:t>
      </w:r>
      <w:r>
        <w:rPr>
          <w:color w:val="auto"/>
          <w:sz w:val="24"/>
          <w:highlight w:val="none"/>
        </w:rPr>
        <w:t>＋A</w:t>
      </w:r>
      <w:r>
        <w:rPr>
          <w:color w:val="auto"/>
          <w:sz w:val="24"/>
          <w:highlight w:val="none"/>
          <w:vertAlign w:val="subscript"/>
        </w:rPr>
        <w:t>misc</w:t>
      </w:r>
      <w:r>
        <w:rPr>
          <w:color w:val="auto"/>
          <w:sz w:val="24"/>
          <w:highlight w:val="none"/>
        </w:rPr>
        <w:t>)</w:t>
      </w:r>
    </w:p>
    <w:p w14:paraId="143274FA">
      <w:pPr>
        <w:pStyle w:val="105"/>
        <w:spacing w:line="360" w:lineRule="auto"/>
        <w:ind w:firstLine="480" w:firstLineChars="200"/>
        <w:rPr>
          <w:rFonts w:ascii="Times New Roman" w:cs="Times New Roman"/>
          <w:color w:val="auto"/>
          <w:highlight w:val="none"/>
        </w:rPr>
      </w:pPr>
      <w:r>
        <w:rPr>
          <w:rFonts w:ascii="Times New Roman" w:cs="Times New Roman"/>
          <w:color w:val="auto"/>
          <w:highlight w:val="none"/>
        </w:rPr>
        <w:t>式中：Lp(r)——预测点处声压级，dB；</w:t>
      </w:r>
    </w:p>
    <w:p w14:paraId="1BA6FD30">
      <w:pPr>
        <w:pStyle w:val="105"/>
        <w:spacing w:line="360" w:lineRule="auto"/>
        <w:ind w:firstLine="1200" w:firstLineChars="500"/>
        <w:rPr>
          <w:rFonts w:ascii="Times New Roman" w:cs="Times New Roman"/>
          <w:color w:val="auto"/>
          <w:highlight w:val="none"/>
        </w:rPr>
      </w:pPr>
      <w:r>
        <w:rPr>
          <w:rFonts w:ascii="Times New Roman" w:cs="Times New Roman"/>
          <w:color w:val="auto"/>
          <w:highlight w:val="none"/>
        </w:rPr>
        <w:t>Lp(r</w:t>
      </w:r>
      <w:r>
        <w:rPr>
          <w:rFonts w:ascii="Times New Roman" w:cs="Times New Roman"/>
          <w:color w:val="auto"/>
          <w:highlight w:val="none"/>
          <w:vertAlign w:val="subscript"/>
        </w:rPr>
        <w:t>0</w:t>
      </w:r>
      <w:r>
        <w:rPr>
          <w:rFonts w:ascii="Times New Roman" w:cs="Times New Roman"/>
          <w:color w:val="auto"/>
          <w:highlight w:val="none"/>
        </w:rPr>
        <w:t>)——参考位置r0处的声压级，dB；</w:t>
      </w:r>
    </w:p>
    <w:p w14:paraId="432D33CC">
      <w:pPr>
        <w:pStyle w:val="105"/>
        <w:spacing w:line="360" w:lineRule="auto"/>
        <w:ind w:firstLine="1200" w:firstLineChars="500"/>
        <w:rPr>
          <w:rFonts w:ascii="Times New Roman" w:cs="Times New Roman"/>
          <w:color w:val="auto"/>
          <w:highlight w:val="none"/>
        </w:rPr>
      </w:pPr>
      <w:r>
        <w:rPr>
          <w:rFonts w:ascii="Times New Roman" w:cs="Times New Roman"/>
          <w:color w:val="auto"/>
          <w:highlight w:val="none"/>
        </w:rPr>
        <w:t>DC——指向性校正，它描述点声源的等效连续声压级与产生声功率级Lw的全向点声源在规定方向的声级的偏差程度，dB；</w:t>
      </w:r>
    </w:p>
    <w:p w14:paraId="63D63761">
      <w:pPr>
        <w:pStyle w:val="105"/>
        <w:spacing w:line="360" w:lineRule="auto"/>
        <w:ind w:firstLine="1200" w:firstLineChars="500"/>
        <w:rPr>
          <w:rFonts w:ascii="Times New Roman" w:cs="Times New Roman"/>
          <w:color w:val="auto"/>
          <w:highlight w:val="none"/>
        </w:rPr>
      </w:pPr>
      <w:r>
        <w:rPr>
          <w:rFonts w:ascii="Times New Roman" w:cs="Times New Roman"/>
          <w:color w:val="auto"/>
          <w:highlight w:val="none"/>
        </w:rPr>
        <w:t>A</w:t>
      </w:r>
      <w:r>
        <w:rPr>
          <w:rFonts w:ascii="Times New Roman" w:cs="Times New Roman"/>
          <w:color w:val="auto"/>
          <w:highlight w:val="none"/>
          <w:vertAlign w:val="subscript"/>
        </w:rPr>
        <w:t>div</w:t>
      </w:r>
      <w:r>
        <w:rPr>
          <w:rFonts w:ascii="Times New Roman" w:cs="Times New Roman"/>
          <w:color w:val="auto"/>
          <w:highlight w:val="none"/>
        </w:rPr>
        <w:t>——几何发散引起的衰减，dB；</w:t>
      </w:r>
    </w:p>
    <w:p w14:paraId="49DD4719">
      <w:pPr>
        <w:pStyle w:val="105"/>
        <w:spacing w:line="360" w:lineRule="auto"/>
        <w:ind w:firstLine="1200" w:firstLineChars="500"/>
        <w:rPr>
          <w:rFonts w:ascii="Times New Roman" w:cs="Times New Roman"/>
          <w:color w:val="auto"/>
          <w:highlight w:val="none"/>
        </w:rPr>
      </w:pPr>
      <w:r>
        <w:rPr>
          <w:rFonts w:ascii="Times New Roman" w:cs="Times New Roman"/>
          <w:color w:val="auto"/>
          <w:highlight w:val="none"/>
        </w:rPr>
        <w:t>A</w:t>
      </w:r>
      <w:r>
        <w:rPr>
          <w:rFonts w:ascii="Times New Roman" w:cs="Times New Roman"/>
          <w:color w:val="auto"/>
          <w:highlight w:val="none"/>
          <w:vertAlign w:val="subscript"/>
        </w:rPr>
        <w:t>atm</w:t>
      </w:r>
      <w:r>
        <w:rPr>
          <w:rFonts w:ascii="Times New Roman" w:cs="Times New Roman"/>
          <w:color w:val="auto"/>
          <w:highlight w:val="none"/>
        </w:rPr>
        <w:t>——大气吸收引起的衰减，dB；</w:t>
      </w:r>
    </w:p>
    <w:p w14:paraId="7DA8965F">
      <w:pPr>
        <w:pStyle w:val="105"/>
        <w:spacing w:line="360" w:lineRule="auto"/>
        <w:ind w:firstLine="1200" w:firstLineChars="500"/>
        <w:rPr>
          <w:rFonts w:ascii="Times New Roman" w:cs="Times New Roman"/>
          <w:color w:val="auto"/>
          <w:highlight w:val="none"/>
        </w:rPr>
      </w:pPr>
      <w:r>
        <w:rPr>
          <w:rFonts w:ascii="Times New Roman" w:cs="Times New Roman"/>
          <w:color w:val="auto"/>
          <w:highlight w:val="none"/>
        </w:rPr>
        <w:t>A</w:t>
      </w:r>
      <w:r>
        <w:rPr>
          <w:rFonts w:ascii="Times New Roman" w:cs="Times New Roman"/>
          <w:color w:val="auto"/>
          <w:highlight w:val="none"/>
          <w:vertAlign w:val="subscript"/>
        </w:rPr>
        <w:t>gr</w:t>
      </w:r>
      <w:r>
        <w:rPr>
          <w:rFonts w:ascii="Times New Roman" w:cs="Times New Roman"/>
          <w:color w:val="auto"/>
          <w:highlight w:val="none"/>
        </w:rPr>
        <w:t>——地面效应引起的衰减，dB；</w:t>
      </w:r>
    </w:p>
    <w:p w14:paraId="312F485F">
      <w:pPr>
        <w:pStyle w:val="105"/>
        <w:spacing w:line="360" w:lineRule="auto"/>
        <w:ind w:firstLine="1200" w:firstLineChars="500"/>
        <w:rPr>
          <w:rFonts w:ascii="Times New Roman" w:cs="Times New Roman"/>
          <w:color w:val="auto"/>
          <w:highlight w:val="none"/>
        </w:rPr>
      </w:pPr>
      <w:r>
        <w:rPr>
          <w:rFonts w:ascii="Times New Roman" w:cs="Times New Roman"/>
          <w:color w:val="auto"/>
          <w:highlight w:val="none"/>
        </w:rPr>
        <w:t>A</w:t>
      </w:r>
      <w:r>
        <w:rPr>
          <w:rFonts w:ascii="Times New Roman" w:cs="Times New Roman"/>
          <w:color w:val="auto"/>
          <w:highlight w:val="none"/>
          <w:vertAlign w:val="subscript"/>
        </w:rPr>
        <w:t>bar</w:t>
      </w:r>
      <w:r>
        <w:rPr>
          <w:rFonts w:ascii="Times New Roman" w:cs="Times New Roman"/>
          <w:color w:val="auto"/>
          <w:highlight w:val="none"/>
        </w:rPr>
        <w:t>——障碍物屏蔽引起的衰减，dB；</w:t>
      </w:r>
    </w:p>
    <w:p w14:paraId="0D969B7D">
      <w:pPr>
        <w:pStyle w:val="44"/>
        <w:spacing w:after="0" w:line="360" w:lineRule="auto"/>
        <w:ind w:left="0" w:leftChars="0" w:right="-105" w:firstLine="1200" w:firstLineChars="500"/>
        <w:rPr>
          <w:rFonts w:eastAsia="宋体"/>
          <w:color w:val="auto"/>
          <w:sz w:val="24"/>
          <w:highlight w:val="none"/>
        </w:rPr>
      </w:pPr>
      <w:r>
        <w:rPr>
          <w:rFonts w:eastAsia="宋体"/>
          <w:color w:val="auto"/>
          <w:sz w:val="24"/>
          <w:highlight w:val="none"/>
        </w:rPr>
        <w:t>A</w:t>
      </w:r>
      <w:r>
        <w:rPr>
          <w:rFonts w:eastAsia="宋体"/>
          <w:color w:val="auto"/>
          <w:sz w:val="24"/>
          <w:highlight w:val="none"/>
          <w:vertAlign w:val="subscript"/>
        </w:rPr>
        <w:t>misc</w:t>
      </w:r>
      <w:r>
        <w:rPr>
          <w:rFonts w:eastAsia="宋体"/>
          <w:color w:val="auto"/>
          <w:sz w:val="24"/>
          <w:highlight w:val="none"/>
        </w:rPr>
        <w:t>——其他多方面效应引起的衰减，dB。</w:t>
      </w:r>
    </w:p>
    <w:p w14:paraId="4844D1ED">
      <w:pPr>
        <w:spacing w:line="360" w:lineRule="auto"/>
        <w:ind w:left="-105" w:right="-105" w:firstLine="480"/>
        <w:rPr>
          <w:rFonts w:ascii="Times New Roman" w:hAnsi="Times New Roman" w:cs="Times New Roman"/>
          <w:color w:val="auto"/>
          <w:szCs w:val="22"/>
          <w:highlight w:val="none"/>
        </w:rPr>
      </w:pPr>
      <w:r>
        <w:rPr>
          <w:rFonts w:ascii="Times New Roman" w:hAnsi="Times New Roman" w:cs="Times New Roman"/>
          <w:color w:val="auto"/>
          <w:szCs w:val="22"/>
          <w:highlight w:val="none"/>
        </w:rPr>
        <w:t>根据具体情况作必要简化，只考虑几何发散衰减，计算过程如下：</w:t>
      </w:r>
    </w:p>
    <w:p w14:paraId="6429350C">
      <w:pPr>
        <w:pStyle w:val="44"/>
        <w:ind w:left="0" w:leftChars="0" w:right="-105" w:firstLine="0" w:firstLineChars="0"/>
        <w:jc w:val="center"/>
        <w:rPr>
          <w:color w:val="auto"/>
          <w:sz w:val="24"/>
          <w:highlight w:val="none"/>
        </w:rPr>
      </w:pPr>
      <w:r>
        <w:rPr>
          <w:color w:val="auto"/>
          <w:sz w:val="24"/>
          <w:highlight w:val="none"/>
        </w:rPr>
        <w:t>L</w:t>
      </w:r>
      <w:r>
        <w:rPr>
          <w:color w:val="auto"/>
          <w:sz w:val="24"/>
          <w:highlight w:val="none"/>
          <w:vertAlign w:val="subscript"/>
        </w:rPr>
        <w:t>A</w:t>
      </w:r>
      <w:r>
        <w:rPr>
          <w:color w:val="auto"/>
          <w:sz w:val="24"/>
          <w:highlight w:val="none"/>
        </w:rPr>
        <w:t>(r)＝L</w:t>
      </w:r>
      <w:r>
        <w:rPr>
          <w:color w:val="auto"/>
          <w:sz w:val="24"/>
          <w:highlight w:val="none"/>
          <w:vertAlign w:val="subscript"/>
        </w:rPr>
        <w:t>A</w:t>
      </w:r>
      <w:r>
        <w:rPr>
          <w:color w:val="auto"/>
          <w:sz w:val="24"/>
          <w:highlight w:val="none"/>
        </w:rPr>
        <w:t>(r</w:t>
      </w:r>
      <w:r>
        <w:rPr>
          <w:color w:val="auto"/>
          <w:sz w:val="24"/>
          <w:highlight w:val="none"/>
          <w:vertAlign w:val="subscript"/>
        </w:rPr>
        <w:t>0</w:t>
      </w:r>
      <w:r>
        <w:rPr>
          <w:color w:val="auto"/>
          <w:sz w:val="24"/>
          <w:highlight w:val="none"/>
        </w:rPr>
        <w:t>)－A</w:t>
      </w:r>
      <w:r>
        <w:rPr>
          <w:color w:val="auto"/>
          <w:sz w:val="24"/>
          <w:highlight w:val="none"/>
          <w:vertAlign w:val="subscript"/>
        </w:rPr>
        <w:t>div</w:t>
      </w:r>
    </w:p>
    <w:p w14:paraId="5923B7C2">
      <w:pPr>
        <w:spacing w:line="360" w:lineRule="auto"/>
        <w:ind w:left="-105" w:right="-105" w:firstLine="480"/>
        <w:rPr>
          <w:rFonts w:ascii="Times New Roman" w:hAnsi="Times New Roman" w:cs="Times New Roman"/>
          <w:color w:val="auto"/>
          <w:szCs w:val="22"/>
          <w:highlight w:val="none"/>
        </w:rPr>
      </w:pPr>
      <w:r>
        <w:rPr>
          <w:rFonts w:ascii="Times New Roman" w:hAnsi="Times New Roman" w:cs="Times New Roman"/>
          <w:color w:val="auto"/>
          <w:szCs w:val="22"/>
          <w:highlight w:val="none"/>
        </w:rPr>
        <w:t>式中：L</w:t>
      </w:r>
      <w:r>
        <w:rPr>
          <w:rFonts w:ascii="Times New Roman" w:hAnsi="Times New Roman" w:cs="Times New Roman"/>
          <w:color w:val="auto"/>
          <w:szCs w:val="22"/>
          <w:highlight w:val="none"/>
          <w:vertAlign w:val="subscript"/>
        </w:rPr>
        <w:t>A</w:t>
      </w:r>
      <w:r>
        <w:rPr>
          <w:rFonts w:ascii="Times New Roman" w:hAnsi="Times New Roman" w:cs="Times New Roman"/>
          <w:color w:val="auto"/>
          <w:szCs w:val="22"/>
          <w:highlight w:val="none"/>
        </w:rPr>
        <w:t>（r）——预测点r处A声级，dB（A）；</w:t>
      </w:r>
    </w:p>
    <w:p w14:paraId="6E5D7A42">
      <w:pPr>
        <w:spacing w:line="360" w:lineRule="auto"/>
        <w:ind w:left="-105" w:right="-105" w:firstLine="1200" w:firstLineChars="500"/>
        <w:rPr>
          <w:rFonts w:ascii="Times New Roman" w:hAnsi="Times New Roman" w:cs="Times New Roman"/>
          <w:color w:val="auto"/>
          <w:szCs w:val="22"/>
          <w:highlight w:val="none"/>
        </w:rPr>
      </w:pPr>
      <w:r>
        <w:rPr>
          <w:rFonts w:ascii="Times New Roman" w:hAnsi="Times New Roman" w:cs="Times New Roman"/>
          <w:color w:val="auto"/>
          <w:szCs w:val="22"/>
          <w:highlight w:val="none"/>
        </w:rPr>
        <w:t>L</w:t>
      </w:r>
      <w:r>
        <w:rPr>
          <w:rFonts w:ascii="Times New Roman" w:hAnsi="Times New Roman" w:cs="Times New Roman"/>
          <w:color w:val="auto"/>
          <w:szCs w:val="22"/>
          <w:highlight w:val="none"/>
          <w:vertAlign w:val="subscript"/>
        </w:rPr>
        <w:t>A</w:t>
      </w:r>
      <w:r>
        <w:rPr>
          <w:rFonts w:ascii="Times New Roman" w:hAnsi="Times New Roman" w:cs="Times New Roman"/>
          <w:color w:val="auto"/>
          <w:szCs w:val="22"/>
          <w:highlight w:val="none"/>
        </w:rPr>
        <w:t>（r</w:t>
      </w:r>
      <w:r>
        <w:rPr>
          <w:rFonts w:ascii="Times New Roman" w:hAnsi="Times New Roman" w:cs="Times New Roman"/>
          <w:color w:val="auto"/>
          <w:szCs w:val="22"/>
          <w:highlight w:val="none"/>
          <w:vertAlign w:val="subscript"/>
        </w:rPr>
        <w:t>0</w:t>
      </w:r>
      <w:r>
        <w:rPr>
          <w:rFonts w:ascii="Times New Roman" w:hAnsi="Times New Roman" w:cs="Times New Roman"/>
          <w:color w:val="auto"/>
          <w:szCs w:val="22"/>
          <w:highlight w:val="none"/>
        </w:rPr>
        <w:t>）——r</w:t>
      </w:r>
      <w:r>
        <w:rPr>
          <w:rFonts w:ascii="Times New Roman" w:hAnsi="Times New Roman" w:cs="Times New Roman"/>
          <w:color w:val="auto"/>
          <w:szCs w:val="22"/>
          <w:highlight w:val="none"/>
          <w:vertAlign w:val="subscript"/>
        </w:rPr>
        <w:t>0</w:t>
      </w:r>
      <w:r>
        <w:rPr>
          <w:rFonts w:ascii="Times New Roman" w:hAnsi="Times New Roman" w:cs="Times New Roman"/>
          <w:color w:val="auto"/>
          <w:szCs w:val="22"/>
          <w:highlight w:val="none"/>
        </w:rPr>
        <w:t>处A声级，dB（A）；</w:t>
      </w:r>
    </w:p>
    <w:p w14:paraId="5CC1976A">
      <w:pPr>
        <w:spacing w:line="360" w:lineRule="auto"/>
        <w:ind w:left="-105" w:right="-105" w:firstLine="1200" w:firstLineChars="500"/>
        <w:rPr>
          <w:rFonts w:ascii="Times New Roman" w:hAnsi="Times New Roman" w:cs="Times New Roman"/>
          <w:color w:val="auto"/>
          <w:szCs w:val="22"/>
          <w:highlight w:val="none"/>
        </w:rPr>
      </w:pPr>
      <w:r>
        <w:rPr>
          <w:rFonts w:ascii="Times New Roman" w:hAnsi="Times New Roman" w:cs="Times New Roman"/>
          <w:color w:val="auto"/>
          <w:highlight w:val="none"/>
        </w:rPr>
        <w:t>A</w:t>
      </w:r>
      <w:r>
        <w:rPr>
          <w:rFonts w:ascii="Times New Roman" w:hAnsi="Times New Roman" w:cs="Times New Roman"/>
          <w:color w:val="auto"/>
          <w:highlight w:val="none"/>
          <w:vertAlign w:val="subscript"/>
        </w:rPr>
        <w:t>div</w:t>
      </w:r>
      <w:r>
        <w:rPr>
          <w:rFonts w:ascii="Times New Roman" w:hAnsi="Times New Roman" w:cs="Times New Roman"/>
          <w:color w:val="auto"/>
          <w:highlight w:val="none"/>
        </w:rPr>
        <w:t>——几何发散引起的衰减，dB</w:t>
      </w:r>
      <w:r>
        <w:rPr>
          <w:rFonts w:ascii="Times New Roman" w:hAnsi="Times New Roman" w:cs="Times New Roman"/>
          <w:color w:val="auto"/>
          <w:szCs w:val="22"/>
          <w:highlight w:val="none"/>
        </w:rPr>
        <w:t>；</w:t>
      </w:r>
    </w:p>
    <w:p w14:paraId="1895EC90">
      <w:pPr>
        <w:spacing w:line="360" w:lineRule="auto"/>
        <w:ind w:left="-105" w:right="-105" w:firstLine="480"/>
        <w:rPr>
          <w:rFonts w:ascii="Times New Roman" w:hAnsi="Times New Roman" w:cs="Times New Roman"/>
          <w:color w:val="auto"/>
          <w:szCs w:val="22"/>
          <w:highlight w:val="none"/>
        </w:rPr>
      </w:pPr>
      <w:r>
        <w:rPr>
          <w:rFonts w:ascii="Times New Roman" w:hAnsi="Times New Roman" w:cs="Times New Roman"/>
          <w:color w:val="auto"/>
          <w:szCs w:val="22"/>
          <w:highlight w:val="none"/>
        </w:rPr>
        <w:t>在环境噪声预测中各噪声源作为点声源处理，故几何发散衰减：</w:t>
      </w:r>
    </w:p>
    <w:p w14:paraId="0D99B18F">
      <w:pPr>
        <w:spacing w:before="120" w:beforeLines="50" w:after="120" w:afterLines="50" w:line="360" w:lineRule="auto"/>
        <w:ind w:left="-105" w:right="-105"/>
        <w:jc w:val="center"/>
        <w:rPr>
          <w:rFonts w:ascii="Times New Roman" w:hAnsi="Times New Roman" w:cs="Times New Roman"/>
          <w:color w:val="auto"/>
          <w:szCs w:val="22"/>
          <w:highlight w:val="none"/>
        </w:rPr>
      </w:pPr>
      <w:r>
        <w:rPr>
          <w:rFonts w:ascii="Times New Roman" w:hAnsi="Times New Roman" w:cs="Times New Roman"/>
          <w:color w:val="auto"/>
          <w:highlight w:val="none"/>
        </w:rPr>
        <w:drawing>
          <wp:inline distT="0" distB="0" distL="0" distR="0">
            <wp:extent cx="1240155" cy="412115"/>
            <wp:effectExtent l="0" t="0" r="17145" b="6985"/>
            <wp:docPr id="61"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37"/>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a:xfrm>
                      <a:off x="0" y="0"/>
                      <a:ext cx="1240155" cy="412115"/>
                    </a:xfrm>
                    <a:prstGeom prst="rect">
                      <a:avLst/>
                    </a:prstGeom>
                    <a:noFill/>
                    <a:ln>
                      <a:noFill/>
                    </a:ln>
                  </pic:spPr>
                </pic:pic>
              </a:graphicData>
            </a:graphic>
          </wp:inline>
        </w:drawing>
      </w:r>
    </w:p>
    <w:p w14:paraId="1B5A112F">
      <w:pPr>
        <w:spacing w:line="360" w:lineRule="auto"/>
        <w:ind w:left="-105" w:right="-105" w:firstLine="480"/>
        <w:rPr>
          <w:rFonts w:ascii="Times New Roman" w:hAnsi="Times New Roman" w:cs="Times New Roman"/>
          <w:iCs/>
          <w:color w:val="auto"/>
          <w:szCs w:val="22"/>
          <w:highlight w:val="none"/>
        </w:rPr>
      </w:pPr>
      <w:r>
        <w:rPr>
          <w:rFonts w:ascii="Times New Roman" w:hAnsi="Times New Roman" w:cs="Times New Roman"/>
          <w:color w:val="auto"/>
          <w:szCs w:val="22"/>
          <w:highlight w:val="none"/>
        </w:rPr>
        <w:t>式中：</w:t>
      </w:r>
      <w:r>
        <w:rPr>
          <w:rFonts w:ascii="Times New Roman" w:hAnsi="Times New Roman" w:cs="Times New Roman"/>
          <w:iCs/>
          <w:color w:val="auto"/>
          <w:szCs w:val="22"/>
          <w:highlight w:val="none"/>
        </w:rPr>
        <w:t>A</w:t>
      </w:r>
      <w:r>
        <w:rPr>
          <w:rFonts w:ascii="Times New Roman" w:hAnsi="Times New Roman" w:cs="Times New Roman"/>
          <w:iCs/>
          <w:color w:val="auto"/>
          <w:szCs w:val="22"/>
          <w:highlight w:val="none"/>
          <w:vertAlign w:val="subscript"/>
        </w:rPr>
        <w:t>div</w:t>
      </w:r>
      <w:r>
        <w:rPr>
          <w:rFonts w:ascii="Times New Roman" w:hAnsi="Times New Roman" w:cs="Times New Roman"/>
          <w:iCs/>
          <w:color w:val="auto"/>
          <w:szCs w:val="22"/>
          <w:highlight w:val="none"/>
        </w:rPr>
        <w:t>——几何发散衰减；</w:t>
      </w:r>
    </w:p>
    <w:p w14:paraId="3D363FBD">
      <w:pPr>
        <w:spacing w:line="360" w:lineRule="auto"/>
        <w:ind w:left="-105" w:right="-105" w:firstLine="1200" w:firstLineChars="500"/>
        <w:rPr>
          <w:rFonts w:ascii="Times New Roman" w:hAnsi="Times New Roman" w:cs="Times New Roman"/>
          <w:iCs/>
          <w:color w:val="auto"/>
          <w:szCs w:val="22"/>
          <w:highlight w:val="none"/>
        </w:rPr>
      </w:pPr>
      <w:r>
        <w:rPr>
          <w:rFonts w:ascii="Times New Roman" w:hAnsi="Times New Roman" w:cs="Times New Roman"/>
          <w:iCs/>
          <w:color w:val="auto"/>
          <w:szCs w:val="22"/>
          <w:highlight w:val="none"/>
        </w:rPr>
        <w:t>r</w:t>
      </w:r>
      <w:r>
        <w:rPr>
          <w:rFonts w:ascii="Times New Roman" w:hAnsi="Times New Roman" w:cs="Times New Roman"/>
          <w:iCs/>
          <w:color w:val="auto"/>
          <w:szCs w:val="22"/>
          <w:highlight w:val="none"/>
          <w:vertAlign w:val="subscript"/>
        </w:rPr>
        <w:t>0</w:t>
      </w:r>
      <w:r>
        <w:rPr>
          <w:rFonts w:ascii="Times New Roman" w:hAnsi="Times New Roman" w:cs="Times New Roman"/>
          <w:iCs/>
          <w:color w:val="auto"/>
          <w:szCs w:val="22"/>
          <w:highlight w:val="none"/>
        </w:rPr>
        <w:t>——噪声合成点与噪声源的距离，m；</w:t>
      </w:r>
    </w:p>
    <w:p w14:paraId="3C223448">
      <w:pPr>
        <w:spacing w:line="360" w:lineRule="auto"/>
        <w:ind w:left="-105" w:right="-105" w:firstLine="1200" w:firstLineChars="500"/>
        <w:rPr>
          <w:rFonts w:ascii="Times New Roman" w:hAnsi="Times New Roman" w:cs="Times New Roman"/>
          <w:iCs/>
          <w:color w:val="auto"/>
          <w:szCs w:val="22"/>
          <w:highlight w:val="none"/>
        </w:rPr>
      </w:pPr>
      <w:r>
        <w:rPr>
          <w:rFonts w:ascii="Times New Roman" w:hAnsi="Times New Roman" w:cs="Times New Roman"/>
          <w:iCs/>
          <w:color w:val="auto"/>
          <w:szCs w:val="22"/>
          <w:highlight w:val="none"/>
        </w:rPr>
        <w:t>r——预测点与噪声源的距离，m。</w:t>
      </w:r>
    </w:p>
    <w:p w14:paraId="0BBBA311">
      <w:pPr>
        <w:spacing w:line="360" w:lineRule="auto"/>
        <w:ind w:left="-105" w:right="-105" w:firstLine="480"/>
        <w:rPr>
          <w:rFonts w:ascii="Times New Roman" w:hAnsi="Times New Roman" w:cs="Times New Roman"/>
          <w:color w:val="auto"/>
          <w:szCs w:val="22"/>
          <w:highlight w:val="none"/>
        </w:rPr>
      </w:pPr>
      <w:r>
        <w:rPr>
          <w:rFonts w:ascii="Times New Roman" w:hAnsi="Times New Roman" w:cs="Times New Roman"/>
          <w:color w:val="auto"/>
          <w:szCs w:val="22"/>
          <w:highlight w:val="none"/>
        </w:rPr>
        <w:t>建设项目预测点处A声级，可简化为：</w:t>
      </w:r>
    </w:p>
    <w:p w14:paraId="63D62994">
      <w:pPr>
        <w:pStyle w:val="44"/>
        <w:ind w:left="0" w:leftChars="0" w:right="-105" w:firstLine="0" w:firstLineChars="0"/>
        <w:jc w:val="center"/>
        <w:rPr>
          <w:color w:val="auto"/>
          <w:sz w:val="24"/>
          <w:highlight w:val="none"/>
        </w:rPr>
      </w:pPr>
      <w:r>
        <w:rPr>
          <w:color w:val="auto"/>
          <w:sz w:val="24"/>
          <w:highlight w:val="none"/>
        </w:rPr>
        <w:t>L</w:t>
      </w:r>
      <w:r>
        <w:rPr>
          <w:color w:val="auto"/>
          <w:sz w:val="24"/>
          <w:highlight w:val="none"/>
          <w:vertAlign w:val="subscript"/>
        </w:rPr>
        <w:t>A</w:t>
      </w:r>
      <w:r>
        <w:rPr>
          <w:color w:val="auto"/>
          <w:sz w:val="24"/>
          <w:highlight w:val="none"/>
        </w:rPr>
        <w:t>(r)＝L</w:t>
      </w:r>
      <w:r>
        <w:rPr>
          <w:color w:val="auto"/>
          <w:sz w:val="24"/>
          <w:highlight w:val="none"/>
          <w:vertAlign w:val="subscript"/>
        </w:rPr>
        <w:t>A</w:t>
      </w:r>
      <w:r>
        <w:rPr>
          <w:color w:val="auto"/>
          <w:sz w:val="24"/>
          <w:highlight w:val="none"/>
        </w:rPr>
        <w:t>(r</w:t>
      </w:r>
      <w:r>
        <w:rPr>
          <w:color w:val="auto"/>
          <w:sz w:val="24"/>
          <w:highlight w:val="none"/>
          <w:vertAlign w:val="subscript"/>
        </w:rPr>
        <w:t>0</w:t>
      </w:r>
      <w:r>
        <w:rPr>
          <w:color w:val="auto"/>
          <w:sz w:val="24"/>
          <w:highlight w:val="none"/>
        </w:rPr>
        <w:t>)-20lg（r/r</w:t>
      </w:r>
      <w:r>
        <w:rPr>
          <w:color w:val="auto"/>
          <w:sz w:val="24"/>
          <w:highlight w:val="none"/>
          <w:vertAlign w:val="subscript"/>
        </w:rPr>
        <w:t>0</w:t>
      </w:r>
      <w:r>
        <w:rPr>
          <w:color w:val="auto"/>
          <w:sz w:val="24"/>
          <w:highlight w:val="none"/>
        </w:rPr>
        <w:t>）</w:t>
      </w:r>
    </w:p>
    <w:p w14:paraId="6414A8DD">
      <w:pPr>
        <w:spacing w:line="360" w:lineRule="auto"/>
        <w:ind w:left="-105" w:right="-105" w:firstLine="480"/>
        <w:rPr>
          <w:rFonts w:ascii="Times New Roman" w:hAnsi="Times New Roman" w:cs="Times New Roman"/>
          <w:color w:val="auto"/>
          <w:szCs w:val="22"/>
          <w:highlight w:val="none"/>
        </w:rPr>
      </w:pPr>
      <w:r>
        <w:rPr>
          <w:rFonts w:ascii="Times New Roman" w:hAnsi="Times New Roman" w:cs="Times New Roman"/>
          <w:color w:val="auto"/>
          <w:szCs w:val="22"/>
          <w:highlight w:val="none"/>
        </w:rPr>
        <w:t>建设项目声源在预测点产生的贡献值（</w:t>
      </w:r>
      <w:r>
        <w:rPr>
          <w:rFonts w:ascii="Times New Roman" w:hAnsi="Times New Roman" w:cs="Times New Roman"/>
          <w:i/>
          <w:iCs/>
          <w:color w:val="auto"/>
          <w:szCs w:val="22"/>
          <w:highlight w:val="none"/>
        </w:rPr>
        <w:t>L</w:t>
      </w:r>
      <w:r>
        <w:rPr>
          <w:rFonts w:ascii="Times New Roman" w:hAnsi="Times New Roman" w:cs="Times New Roman"/>
          <w:i/>
          <w:iCs/>
          <w:color w:val="auto"/>
          <w:szCs w:val="22"/>
          <w:highlight w:val="none"/>
          <w:vertAlign w:val="subscript"/>
        </w:rPr>
        <w:t>eqg</w:t>
      </w:r>
      <w:r>
        <w:rPr>
          <w:rFonts w:ascii="Times New Roman" w:hAnsi="Times New Roman" w:cs="Times New Roman"/>
          <w:color w:val="auto"/>
          <w:szCs w:val="22"/>
          <w:highlight w:val="none"/>
        </w:rPr>
        <w:t>）计算公式：</w:t>
      </w:r>
    </w:p>
    <w:p w14:paraId="3A8F4847">
      <w:pPr>
        <w:spacing w:before="120" w:beforeLines="50" w:after="240" w:afterLines="100" w:line="360" w:lineRule="auto"/>
        <w:ind w:left="-105" w:right="-105"/>
        <w:jc w:val="center"/>
        <w:rPr>
          <w:rFonts w:ascii="Times New Roman" w:hAnsi="Times New Roman" w:cs="Times New Roman"/>
          <w:color w:val="auto"/>
          <w:szCs w:val="22"/>
          <w:highlight w:val="none"/>
        </w:rPr>
      </w:pPr>
      <w:r>
        <w:rPr>
          <w:rFonts w:ascii="Times New Roman" w:hAnsi="Times New Roman" w:cs="Times New Roman"/>
          <w:color w:val="auto"/>
          <w:highlight w:val="none"/>
        </w:rPr>
        <w:drawing>
          <wp:inline distT="0" distB="0" distL="0" distR="0">
            <wp:extent cx="2887980" cy="552450"/>
            <wp:effectExtent l="0" t="0" r="7620" b="0"/>
            <wp:docPr id="62"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4"/>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a:xfrm>
                      <a:off x="0" y="0"/>
                      <a:ext cx="2887980" cy="552450"/>
                    </a:xfrm>
                    <a:prstGeom prst="rect">
                      <a:avLst/>
                    </a:prstGeom>
                    <a:noFill/>
                    <a:ln>
                      <a:noFill/>
                    </a:ln>
                  </pic:spPr>
                </pic:pic>
              </a:graphicData>
            </a:graphic>
          </wp:inline>
        </w:drawing>
      </w:r>
    </w:p>
    <w:p w14:paraId="3F1B2613">
      <w:pPr>
        <w:spacing w:line="360" w:lineRule="auto"/>
        <w:ind w:left="-105" w:right="-105" w:firstLine="480"/>
        <w:rPr>
          <w:rFonts w:ascii="Times New Roman" w:hAnsi="Times New Roman" w:cs="Times New Roman"/>
          <w:color w:val="auto"/>
          <w:highlight w:val="none"/>
        </w:rPr>
      </w:pPr>
      <w:r>
        <w:rPr>
          <w:rFonts w:ascii="Times New Roman" w:hAnsi="Times New Roman" w:cs="Times New Roman"/>
          <w:color w:val="auto"/>
          <w:highlight w:val="none"/>
        </w:rPr>
        <w:t>式中：：L</w:t>
      </w:r>
      <w:r>
        <w:rPr>
          <w:rFonts w:ascii="Times New Roman" w:hAnsi="Times New Roman" w:cs="Times New Roman"/>
          <w:color w:val="auto"/>
          <w:highlight w:val="none"/>
          <w:vertAlign w:val="subscript"/>
        </w:rPr>
        <w:t>eqg</w:t>
      </w:r>
      <w:r>
        <w:rPr>
          <w:rFonts w:ascii="Times New Roman" w:hAnsi="Times New Roman" w:cs="Times New Roman"/>
          <w:color w:val="auto"/>
          <w:highlight w:val="none"/>
        </w:rPr>
        <w:t>——建设项目声源在预测点产生的噪声贡献值，dB；</w:t>
      </w:r>
    </w:p>
    <w:p w14:paraId="2D584F50">
      <w:pPr>
        <w:widowControl w:val="0"/>
        <w:autoSpaceDE w:val="0"/>
        <w:autoSpaceDN w:val="0"/>
        <w:adjustRightInd w:val="0"/>
        <w:spacing w:line="360" w:lineRule="auto"/>
        <w:ind w:left="-105" w:right="-105" w:firstLine="1440" w:firstLineChars="600"/>
        <w:rPr>
          <w:rFonts w:ascii="Times New Roman" w:hAnsi="Times New Roman" w:cs="Times New Roman"/>
          <w:color w:val="auto"/>
          <w:highlight w:val="none"/>
        </w:rPr>
      </w:pPr>
      <w:r>
        <w:rPr>
          <w:rFonts w:ascii="Times New Roman" w:hAnsi="Times New Roman" w:cs="Times New Roman"/>
          <w:color w:val="auto"/>
          <w:highlight w:val="none"/>
        </w:rPr>
        <w:t>T——用于计算等效声级的时间，s；</w:t>
      </w:r>
    </w:p>
    <w:p w14:paraId="27207DB8">
      <w:pPr>
        <w:widowControl w:val="0"/>
        <w:autoSpaceDE w:val="0"/>
        <w:autoSpaceDN w:val="0"/>
        <w:adjustRightInd w:val="0"/>
        <w:spacing w:line="360" w:lineRule="auto"/>
        <w:ind w:left="-105" w:right="-105" w:firstLine="1440" w:firstLineChars="600"/>
        <w:rPr>
          <w:rFonts w:ascii="Times New Roman" w:hAnsi="Times New Roman" w:cs="Times New Roman"/>
          <w:color w:val="auto"/>
          <w:highlight w:val="none"/>
        </w:rPr>
      </w:pPr>
      <w:r>
        <w:rPr>
          <w:rFonts w:ascii="Times New Roman" w:hAnsi="Times New Roman" w:cs="Times New Roman"/>
          <w:color w:val="auto"/>
          <w:highlight w:val="none"/>
        </w:rPr>
        <w:t>N—室外声源个数</w:t>
      </w:r>
    </w:p>
    <w:p w14:paraId="7700EA5F">
      <w:pPr>
        <w:widowControl w:val="0"/>
        <w:autoSpaceDE w:val="0"/>
        <w:autoSpaceDN w:val="0"/>
        <w:adjustRightInd w:val="0"/>
        <w:spacing w:line="360" w:lineRule="auto"/>
        <w:ind w:left="-105" w:right="-105" w:firstLine="1440" w:firstLineChars="600"/>
        <w:rPr>
          <w:rFonts w:ascii="Times New Roman" w:hAnsi="Times New Roman" w:cs="Times New Roman"/>
          <w:color w:val="auto"/>
          <w:highlight w:val="none"/>
        </w:rPr>
      </w:pPr>
      <w:r>
        <w:rPr>
          <w:rFonts w:ascii="Times New Roman" w:hAnsi="Times New Roman" w:cs="Times New Roman"/>
          <w:color w:val="auto"/>
          <w:highlight w:val="none"/>
        </w:rPr>
        <w:t>t</w:t>
      </w:r>
      <w:r>
        <w:rPr>
          <w:rFonts w:ascii="Times New Roman" w:hAnsi="Times New Roman" w:cs="Times New Roman"/>
          <w:color w:val="auto"/>
          <w:highlight w:val="none"/>
          <w:vertAlign w:val="subscript"/>
        </w:rPr>
        <w:t>i</w:t>
      </w:r>
      <w:r>
        <w:rPr>
          <w:rFonts w:ascii="Times New Roman" w:hAnsi="Times New Roman" w:cs="Times New Roman"/>
          <w:color w:val="auto"/>
          <w:highlight w:val="none"/>
        </w:rPr>
        <w:t>——在T时段内i声源工作时间，s；</w:t>
      </w:r>
    </w:p>
    <w:p w14:paraId="07BC82D1">
      <w:pPr>
        <w:widowControl w:val="0"/>
        <w:autoSpaceDE w:val="0"/>
        <w:autoSpaceDN w:val="0"/>
        <w:adjustRightInd w:val="0"/>
        <w:spacing w:line="360" w:lineRule="auto"/>
        <w:ind w:left="-105" w:right="-105" w:firstLine="1440" w:firstLineChars="600"/>
        <w:rPr>
          <w:rFonts w:ascii="Times New Roman" w:hAnsi="Times New Roman" w:cs="Times New Roman"/>
          <w:color w:val="auto"/>
          <w:highlight w:val="none"/>
        </w:rPr>
      </w:pPr>
      <w:r>
        <w:rPr>
          <w:rFonts w:ascii="Times New Roman" w:hAnsi="Times New Roman" w:cs="Times New Roman"/>
          <w:color w:val="auto"/>
          <w:highlight w:val="none"/>
        </w:rPr>
        <w:t>M—等效室外声源个数</w:t>
      </w:r>
    </w:p>
    <w:p w14:paraId="49B47DB0">
      <w:pPr>
        <w:widowControl w:val="0"/>
        <w:autoSpaceDE w:val="0"/>
        <w:autoSpaceDN w:val="0"/>
        <w:adjustRightInd w:val="0"/>
        <w:spacing w:line="360" w:lineRule="auto"/>
        <w:ind w:left="-105" w:right="-105" w:firstLine="1440" w:firstLineChars="600"/>
        <w:rPr>
          <w:rFonts w:ascii="Times New Roman" w:hAnsi="Times New Roman" w:cs="Times New Roman"/>
          <w:color w:val="auto"/>
          <w:highlight w:val="none"/>
        </w:rPr>
      </w:pPr>
      <w:r>
        <w:rPr>
          <w:rFonts w:ascii="Times New Roman" w:hAnsi="Times New Roman" w:cs="Times New Roman"/>
          <w:color w:val="auto"/>
          <w:highlight w:val="none"/>
        </w:rPr>
        <w:t>t</w:t>
      </w:r>
      <w:r>
        <w:rPr>
          <w:rFonts w:ascii="Times New Roman" w:hAnsi="Times New Roman" w:cs="Times New Roman"/>
          <w:color w:val="auto"/>
          <w:highlight w:val="none"/>
          <w:vertAlign w:val="subscript"/>
        </w:rPr>
        <w:t>j</w:t>
      </w:r>
      <w:r>
        <w:rPr>
          <w:rFonts w:ascii="Times New Roman" w:hAnsi="Times New Roman" w:cs="Times New Roman"/>
          <w:color w:val="auto"/>
          <w:highlight w:val="none"/>
        </w:rPr>
        <w:t>——在T时段内j声源工作时间，s。</w:t>
      </w:r>
    </w:p>
    <w:p w14:paraId="69106D31">
      <w:pPr>
        <w:spacing w:line="360" w:lineRule="auto"/>
        <w:ind w:left="-105" w:right="-105"/>
        <w:rPr>
          <w:rFonts w:ascii="Times New Roman" w:hAnsi="Times New Roman" w:cs="Times New Roman"/>
          <w:color w:val="auto"/>
          <w:szCs w:val="22"/>
          <w:highlight w:val="none"/>
        </w:rPr>
      </w:pPr>
      <w:r>
        <w:rPr>
          <w:rFonts w:ascii="Times New Roman" w:hAnsi="Times New Roman" w:cs="Times New Roman"/>
          <w:color w:val="auto"/>
          <w:szCs w:val="22"/>
          <w:highlight w:val="none"/>
        </w:rPr>
        <w:t>预测点的预测等效声级（</w:t>
      </w:r>
      <w:r>
        <w:rPr>
          <w:rFonts w:ascii="Times New Roman" w:hAnsi="Times New Roman" w:cs="Times New Roman"/>
          <w:i/>
          <w:iCs/>
          <w:color w:val="auto"/>
          <w:szCs w:val="22"/>
          <w:highlight w:val="none"/>
        </w:rPr>
        <w:t>L</w:t>
      </w:r>
      <w:r>
        <w:rPr>
          <w:rFonts w:ascii="Times New Roman" w:hAnsi="Times New Roman" w:cs="Times New Roman"/>
          <w:i/>
          <w:iCs/>
          <w:color w:val="auto"/>
          <w:szCs w:val="22"/>
          <w:highlight w:val="none"/>
          <w:vertAlign w:val="subscript"/>
        </w:rPr>
        <w:t>eq</w:t>
      </w:r>
      <w:r>
        <w:rPr>
          <w:rFonts w:ascii="Times New Roman" w:hAnsi="Times New Roman" w:cs="Times New Roman"/>
          <w:color w:val="auto"/>
          <w:szCs w:val="22"/>
          <w:highlight w:val="none"/>
        </w:rPr>
        <w:t>）计算公式：</w:t>
      </w:r>
    </w:p>
    <w:p w14:paraId="726273B1">
      <w:pPr>
        <w:spacing w:before="120" w:beforeLines="50" w:after="120" w:afterLines="50" w:line="360" w:lineRule="auto"/>
        <w:ind w:left="-105" w:right="-105"/>
        <w:jc w:val="center"/>
        <w:rPr>
          <w:rFonts w:ascii="Times New Roman" w:hAnsi="Times New Roman" w:cs="Times New Roman"/>
          <w:color w:val="auto"/>
          <w:szCs w:val="22"/>
          <w:highlight w:val="none"/>
        </w:rPr>
      </w:pPr>
      <w:r>
        <w:rPr>
          <w:rFonts w:ascii="Times New Roman" w:hAnsi="Times New Roman" w:cs="Times New Roman"/>
          <w:color w:val="auto"/>
          <w:highlight w:val="none"/>
        </w:rPr>
        <w:drawing>
          <wp:inline distT="0" distB="0" distL="0" distR="0">
            <wp:extent cx="1924050" cy="380365"/>
            <wp:effectExtent l="0" t="0" r="0" b="635"/>
            <wp:docPr id="63"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32"/>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a:xfrm>
                      <a:off x="0" y="0"/>
                      <a:ext cx="1924050" cy="380365"/>
                    </a:xfrm>
                    <a:prstGeom prst="rect">
                      <a:avLst/>
                    </a:prstGeom>
                    <a:noFill/>
                    <a:ln>
                      <a:noFill/>
                    </a:ln>
                  </pic:spPr>
                </pic:pic>
              </a:graphicData>
            </a:graphic>
          </wp:inline>
        </w:drawing>
      </w:r>
    </w:p>
    <w:p w14:paraId="0206DEC3">
      <w:pPr>
        <w:spacing w:line="360" w:lineRule="auto"/>
        <w:ind w:left="-105" w:right="-105" w:firstLine="480"/>
        <w:rPr>
          <w:rFonts w:ascii="Times New Roman" w:hAnsi="Times New Roman" w:cs="Times New Roman"/>
          <w:color w:val="auto"/>
          <w:szCs w:val="22"/>
          <w:highlight w:val="none"/>
        </w:rPr>
      </w:pPr>
      <w:r>
        <w:rPr>
          <w:rFonts w:ascii="Times New Roman" w:hAnsi="Times New Roman" w:cs="Times New Roman"/>
          <w:color w:val="auto"/>
          <w:szCs w:val="22"/>
          <w:highlight w:val="none"/>
        </w:rPr>
        <w:t>式中：</w:t>
      </w:r>
    </w:p>
    <w:p w14:paraId="4264A404">
      <w:pPr>
        <w:spacing w:line="360" w:lineRule="auto"/>
        <w:ind w:left="-105" w:right="-105" w:firstLine="1200" w:firstLineChars="500"/>
        <w:rPr>
          <w:rFonts w:ascii="Times New Roman" w:hAnsi="Times New Roman" w:cs="Times New Roman"/>
          <w:color w:val="auto"/>
          <w:szCs w:val="22"/>
          <w:highlight w:val="none"/>
        </w:rPr>
      </w:pPr>
      <w:r>
        <w:rPr>
          <w:rFonts w:ascii="Times New Roman" w:hAnsi="Times New Roman" w:cs="Times New Roman"/>
          <w:color w:val="auto"/>
          <w:szCs w:val="22"/>
          <w:highlight w:val="none"/>
        </w:rPr>
        <w:t>L</w:t>
      </w:r>
      <w:r>
        <w:rPr>
          <w:rFonts w:ascii="Times New Roman" w:hAnsi="Times New Roman" w:cs="Times New Roman"/>
          <w:color w:val="auto"/>
          <w:szCs w:val="22"/>
          <w:highlight w:val="none"/>
          <w:vertAlign w:val="subscript"/>
        </w:rPr>
        <w:t>eqg</w:t>
      </w:r>
      <w:r>
        <w:rPr>
          <w:rFonts w:ascii="Times New Roman" w:hAnsi="Times New Roman" w:cs="Times New Roman"/>
          <w:color w:val="auto"/>
          <w:szCs w:val="22"/>
          <w:highlight w:val="none"/>
        </w:rPr>
        <w:t>—建设项目声源在预测点的等效声级贡献值，dB（A）；</w:t>
      </w:r>
    </w:p>
    <w:p w14:paraId="6C86AB18">
      <w:pPr>
        <w:spacing w:line="360" w:lineRule="auto"/>
        <w:ind w:left="-105" w:right="-105" w:firstLine="1200" w:firstLineChars="500"/>
        <w:rPr>
          <w:rFonts w:ascii="Times New Roman" w:hAnsi="Times New Roman"/>
          <w:color w:val="auto"/>
          <w:highlight w:val="none"/>
        </w:rPr>
      </w:pPr>
      <w:r>
        <w:rPr>
          <w:rFonts w:ascii="Times New Roman" w:hAnsi="Times New Roman" w:cs="Times New Roman"/>
          <w:color w:val="auto"/>
          <w:szCs w:val="22"/>
          <w:highlight w:val="none"/>
        </w:rPr>
        <w:t>L</w:t>
      </w:r>
      <w:r>
        <w:rPr>
          <w:rFonts w:ascii="Times New Roman" w:hAnsi="Times New Roman" w:cs="Times New Roman"/>
          <w:color w:val="auto"/>
          <w:szCs w:val="22"/>
          <w:highlight w:val="none"/>
          <w:vertAlign w:val="subscript"/>
        </w:rPr>
        <w:t>eqb</w:t>
      </w:r>
      <w:r>
        <w:rPr>
          <w:rFonts w:ascii="Times New Roman" w:hAnsi="Times New Roman" w:cs="Times New Roman"/>
          <w:color w:val="auto"/>
          <w:szCs w:val="22"/>
          <w:highlight w:val="none"/>
        </w:rPr>
        <w:t>—预测点的背景值，dB（A）。</w:t>
      </w:r>
    </w:p>
    <w:p w14:paraId="7FDEE229">
      <w:pPr>
        <w:pStyle w:val="5"/>
        <w:keepLines w:val="0"/>
        <w:numPr>
          <w:ilvl w:val="2"/>
          <w:numId w:val="0"/>
        </w:numPr>
        <w:tabs>
          <w:tab w:val="left" w:pos="567"/>
          <w:tab w:val="left" w:pos="709"/>
          <w:tab w:val="left" w:pos="993"/>
          <w:tab w:val="left" w:pos="6663"/>
        </w:tabs>
        <w:spacing w:before="0" w:after="0" w:line="360" w:lineRule="auto"/>
        <w:ind w:right="-105"/>
        <w:rPr>
          <w:rFonts w:eastAsia="宋体"/>
          <w:color w:val="auto"/>
          <w:sz w:val="28"/>
          <w:szCs w:val="28"/>
          <w:highlight w:val="none"/>
        </w:rPr>
      </w:pPr>
      <w:bookmarkStart w:id="404" w:name="_Toc60653572"/>
      <w:r>
        <w:rPr>
          <w:rFonts w:hint="eastAsia" w:eastAsia="宋体"/>
          <w:color w:val="auto"/>
          <w:sz w:val="28"/>
          <w:szCs w:val="28"/>
          <w:highlight w:val="none"/>
        </w:rPr>
        <w:t>6.5.2</w:t>
      </w:r>
      <w:r>
        <w:rPr>
          <w:rFonts w:eastAsia="宋体"/>
          <w:color w:val="auto"/>
          <w:sz w:val="28"/>
          <w:szCs w:val="28"/>
          <w:highlight w:val="none"/>
        </w:rPr>
        <w:t>预测范围</w:t>
      </w:r>
      <w:bookmarkEnd w:id="404"/>
    </w:p>
    <w:p w14:paraId="3C916034">
      <w:pPr>
        <w:spacing w:line="360" w:lineRule="auto"/>
        <w:ind w:left="-105" w:right="-105" w:firstLine="480" w:firstLineChars="200"/>
        <w:rPr>
          <w:rFonts w:ascii="Times New Roman" w:hAnsi="Times New Roman" w:cs="Times New Roman"/>
          <w:color w:val="auto"/>
          <w:szCs w:val="22"/>
          <w:highlight w:val="none"/>
        </w:rPr>
      </w:pPr>
      <w:r>
        <w:rPr>
          <w:rFonts w:ascii="Times New Roman" w:hAnsi="Times New Roman" w:cs="Times New Roman"/>
          <w:color w:val="auto"/>
          <w:szCs w:val="22"/>
          <w:highlight w:val="none"/>
        </w:rPr>
        <w:t>本项目声环境评价工作等级为三级，根据《环境影响评价技术导则——声环境》（HJ2.4-2021）的规定，本项目预测范围应与评价范围相同，则预测范围为厂界外200米。</w:t>
      </w:r>
    </w:p>
    <w:p w14:paraId="69CA771B">
      <w:pPr>
        <w:pStyle w:val="5"/>
        <w:keepLines w:val="0"/>
        <w:numPr>
          <w:ilvl w:val="2"/>
          <w:numId w:val="0"/>
        </w:numPr>
        <w:tabs>
          <w:tab w:val="left" w:pos="567"/>
          <w:tab w:val="left" w:pos="709"/>
          <w:tab w:val="left" w:pos="993"/>
          <w:tab w:val="left" w:pos="6663"/>
        </w:tabs>
        <w:spacing w:before="0" w:after="0" w:line="360" w:lineRule="auto"/>
        <w:ind w:right="-105"/>
        <w:rPr>
          <w:rFonts w:eastAsia="宋体"/>
          <w:color w:val="auto"/>
          <w:sz w:val="28"/>
          <w:szCs w:val="28"/>
          <w:highlight w:val="none"/>
        </w:rPr>
      </w:pPr>
      <w:bookmarkStart w:id="405" w:name="_Toc60653573"/>
      <w:r>
        <w:rPr>
          <w:rFonts w:hint="eastAsia" w:eastAsia="宋体"/>
          <w:color w:val="auto"/>
          <w:sz w:val="28"/>
          <w:szCs w:val="28"/>
          <w:highlight w:val="none"/>
        </w:rPr>
        <w:t>6.5.3</w:t>
      </w:r>
      <w:r>
        <w:rPr>
          <w:rFonts w:eastAsia="宋体"/>
          <w:color w:val="auto"/>
          <w:sz w:val="28"/>
          <w:szCs w:val="28"/>
          <w:highlight w:val="none"/>
        </w:rPr>
        <w:t>主要声源设备噪声</w:t>
      </w:r>
      <w:bookmarkEnd w:id="405"/>
    </w:p>
    <w:p w14:paraId="6BB0F36D">
      <w:pPr>
        <w:spacing w:line="360" w:lineRule="auto"/>
        <w:ind w:left="-105" w:right="-105" w:firstLine="480" w:firstLineChars="200"/>
        <w:rPr>
          <w:rFonts w:hint="default" w:ascii="Times New Roman" w:hAnsi="Times New Roman" w:cs="Times New Roman"/>
          <w:color w:val="auto"/>
          <w:highlight w:val="none"/>
        </w:rPr>
      </w:pPr>
      <w:r>
        <w:rPr>
          <w:rFonts w:ascii="Times New Roman" w:hAnsi="Times New Roman"/>
          <w:color w:val="auto"/>
          <w:highlight w:val="none"/>
        </w:rPr>
        <w:t>经减振动、隔声等降噪措施后，本项目的主要噪声设备源强</w:t>
      </w:r>
      <w:r>
        <w:rPr>
          <w:rFonts w:hint="default" w:ascii="Times New Roman" w:hAnsi="Times New Roman" w:cs="Times New Roman"/>
          <w:color w:val="auto"/>
          <w:highlight w:val="none"/>
        </w:rPr>
        <w:t>情况见</w:t>
      </w:r>
      <w:r>
        <w:rPr>
          <w:rFonts w:hint="default" w:ascii="Times New Roman" w:hAnsi="Times New Roman" w:cs="Times New Roman"/>
          <w:color w:val="auto"/>
          <w:highlight w:val="none"/>
        </w:rPr>
        <w:fldChar w:fldCharType="begin"/>
      </w:r>
      <w:r>
        <w:rPr>
          <w:rFonts w:hint="default" w:ascii="Times New Roman" w:hAnsi="Times New Roman" w:cs="Times New Roman"/>
          <w:color w:val="auto"/>
          <w:highlight w:val="none"/>
        </w:rPr>
        <w:instrText xml:space="preserve"> REF _Ref61965174 \h </w:instrText>
      </w:r>
      <w:r>
        <w:rPr>
          <w:rFonts w:hint="default" w:ascii="Times New Roman" w:hAnsi="Times New Roman" w:cs="Times New Roman"/>
          <w:color w:val="auto"/>
          <w:highlight w:val="none"/>
        </w:rPr>
        <w:fldChar w:fldCharType="separate"/>
      </w:r>
      <w:r>
        <w:rPr>
          <w:rFonts w:hint="default" w:ascii="Times New Roman" w:hAnsi="Times New Roman" w:eastAsia="宋体" w:cs="Times New Roman"/>
          <w:color w:val="auto"/>
          <w:sz w:val="24"/>
          <w:szCs w:val="18"/>
          <w:highlight w:val="none"/>
        </w:rPr>
        <w:t>表</w:t>
      </w:r>
      <w:r>
        <w:rPr>
          <w:rFonts w:hint="default" w:ascii="Times New Roman" w:hAnsi="Times New Roman" w:eastAsia="宋体" w:cs="Times New Roman"/>
          <w:color w:val="auto"/>
          <w:sz w:val="24"/>
          <w:szCs w:val="18"/>
          <w:highlight w:val="none"/>
        </w:rPr>
        <w:fldChar w:fldCharType="begin"/>
      </w:r>
      <w:r>
        <w:rPr>
          <w:rFonts w:hint="default" w:ascii="Times New Roman" w:hAnsi="Times New Roman" w:eastAsia="宋体" w:cs="Times New Roman"/>
          <w:color w:val="auto"/>
          <w:sz w:val="24"/>
          <w:szCs w:val="18"/>
          <w:highlight w:val="none"/>
        </w:rPr>
        <w:instrText xml:space="preserve"> STYLEREF 2 \s </w:instrText>
      </w:r>
      <w:r>
        <w:rPr>
          <w:rFonts w:hint="default" w:ascii="Times New Roman" w:hAnsi="Times New Roman" w:eastAsia="宋体" w:cs="Times New Roman"/>
          <w:color w:val="auto"/>
          <w:sz w:val="24"/>
          <w:szCs w:val="18"/>
          <w:highlight w:val="none"/>
        </w:rPr>
        <w:fldChar w:fldCharType="separate"/>
      </w:r>
      <w:r>
        <w:rPr>
          <w:rFonts w:hint="default" w:ascii="Times New Roman" w:hAnsi="Times New Roman" w:eastAsia="宋体" w:cs="Times New Roman"/>
          <w:color w:val="auto"/>
          <w:sz w:val="24"/>
          <w:szCs w:val="18"/>
          <w:highlight w:val="none"/>
        </w:rPr>
        <w:t>4.6</w:t>
      </w:r>
      <w:r>
        <w:rPr>
          <w:rFonts w:hint="default" w:ascii="Times New Roman" w:hAnsi="Times New Roman" w:eastAsia="宋体" w:cs="Times New Roman"/>
          <w:color w:val="auto"/>
          <w:sz w:val="24"/>
          <w:szCs w:val="18"/>
          <w:highlight w:val="none"/>
        </w:rPr>
        <w:fldChar w:fldCharType="end"/>
      </w:r>
      <w:r>
        <w:rPr>
          <w:rFonts w:hint="default" w:ascii="Times New Roman" w:hAnsi="Times New Roman" w:eastAsia="宋体" w:cs="Times New Roman"/>
          <w:color w:val="auto"/>
          <w:sz w:val="24"/>
          <w:szCs w:val="18"/>
          <w:highlight w:val="none"/>
        </w:rPr>
        <w:noBreakHyphen/>
      </w:r>
      <w:r>
        <w:rPr>
          <w:rFonts w:hint="default" w:ascii="Times New Roman" w:hAnsi="Times New Roman" w:eastAsia="宋体" w:cs="Times New Roman"/>
          <w:color w:val="auto"/>
          <w:sz w:val="24"/>
          <w:szCs w:val="18"/>
          <w:highlight w:val="none"/>
        </w:rPr>
        <w:t>8</w:t>
      </w:r>
      <w:r>
        <w:rPr>
          <w:rFonts w:hint="default" w:ascii="Times New Roman" w:hAnsi="Times New Roman" w:cs="Times New Roman"/>
          <w:color w:val="auto"/>
          <w:highlight w:val="none"/>
        </w:rPr>
        <w:fldChar w:fldCharType="end"/>
      </w:r>
      <w:r>
        <w:rPr>
          <w:rFonts w:hint="default" w:ascii="Times New Roman" w:hAnsi="Times New Roman" w:cs="Times New Roman"/>
          <w:color w:val="auto"/>
          <w:highlight w:val="none"/>
        </w:rPr>
        <w:t>。</w:t>
      </w:r>
    </w:p>
    <w:p w14:paraId="59BB8531">
      <w:pPr>
        <w:pStyle w:val="5"/>
        <w:keepLines w:val="0"/>
        <w:numPr>
          <w:ilvl w:val="2"/>
          <w:numId w:val="0"/>
        </w:numPr>
        <w:tabs>
          <w:tab w:val="left" w:pos="567"/>
          <w:tab w:val="left" w:pos="709"/>
          <w:tab w:val="left" w:pos="993"/>
          <w:tab w:val="left" w:pos="6663"/>
        </w:tabs>
        <w:spacing w:before="0" w:after="0" w:line="360" w:lineRule="auto"/>
        <w:ind w:right="-105"/>
        <w:rPr>
          <w:rFonts w:eastAsia="宋体"/>
          <w:color w:val="auto"/>
          <w:sz w:val="28"/>
          <w:szCs w:val="28"/>
          <w:highlight w:val="none"/>
        </w:rPr>
      </w:pPr>
      <w:bookmarkStart w:id="406" w:name="_Toc60653574"/>
      <w:r>
        <w:rPr>
          <w:rFonts w:hint="eastAsia" w:eastAsia="宋体"/>
          <w:color w:val="auto"/>
          <w:sz w:val="28"/>
          <w:szCs w:val="28"/>
          <w:highlight w:val="none"/>
        </w:rPr>
        <w:t>6.5.4</w:t>
      </w:r>
      <w:r>
        <w:rPr>
          <w:rFonts w:eastAsia="宋体"/>
          <w:color w:val="auto"/>
          <w:sz w:val="28"/>
          <w:szCs w:val="28"/>
          <w:highlight w:val="none"/>
        </w:rPr>
        <w:t>噪声影响预测与评价</w:t>
      </w:r>
      <w:bookmarkEnd w:id="406"/>
    </w:p>
    <w:p w14:paraId="6F674FB4">
      <w:pPr>
        <w:spacing w:line="360" w:lineRule="auto"/>
        <w:ind w:left="-105" w:right="-105" w:firstLine="480" w:firstLineChars="200"/>
        <w:rPr>
          <w:rFonts w:ascii="Times New Roman" w:hAnsi="Times New Roman" w:cs="Times New Roman"/>
          <w:color w:val="auto"/>
          <w:highlight w:val="none"/>
        </w:rPr>
      </w:pPr>
      <w:r>
        <w:rPr>
          <w:rFonts w:ascii="Times New Roman" w:hAnsi="Times New Roman" w:cs="Times New Roman"/>
          <w:color w:val="auto"/>
          <w:highlight w:val="none"/>
        </w:rPr>
        <w:t>本项目主要噪声为设备运行时产生，本项目室外声源有</w:t>
      </w:r>
      <w:r>
        <w:rPr>
          <w:rFonts w:hint="eastAsia" w:ascii="Times New Roman" w:hAnsi="Times New Roman" w:cs="Times New Roman"/>
          <w:color w:val="auto"/>
          <w:highlight w:val="none"/>
        </w:rPr>
        <w:t>洁净室引风风机</w:t>
      </w:r>
      <w:r>
        <w:rPr>
          <w:rFonts w:hint="eastAsia" w:ascii="Times New Roman" w:hAnsi="Times New Roman" w:cs="Times New Roman"/>
          <w:color w:val="auto"/>
          <w:highlight w:val="none"/>
        </w:rPr>
        <w:t>和2套二级活性炭吸附装置及配套风机（DA006）。本项目</w:t>
      </w:r>
      <w:r>
        <w:rPr>
          <w:rFonts w:hint="eastAsia" w:ascii="Times New Roman" w:hAnsi="Times New Roman"/>
          <w:color w:val="auto"/>
          <w:szCs w:val="18"/>
          <w:highlight w:val="none"/>
        </w:rPr>
        <w:t>实行一</w:t>
      </w:r>
      <w:r>
        <w:rPr>
          <w:rFonts w:ascii="Times New Roman" w:hAnsi="Times New Roman"/>
          <w:color w:val="auto"/>
          <w:szCs w:val="18"/>
          <w:highlight w:val="none"/>
        </w:rPr>
        <w:t>班制</w:t>
      </w:r>
      <w:r>
        <w:rPr>
          <w:rFonts w:ascii="Times New Roman" w:hAnsi="Times New Roman" w:cs="Times New Roman"/>
          <w:color w:val="auto"/>
          <w:highlight w:val="none"/>
        </w:rPr>
        <w:t>生产</w:t>
      </w:r>
      <w:r>
        <w:rPr>
          <w:rFonts w:hint="eastAsia" w:ascii="Times New Roman" w:hAnsi="Times New Roman" w:cs="Times New Roman"/>
          <w:color w:val="auto"/>
          <w:highlight w:val="none"/>
        </w:rPr>
        <w:t>、</w:t>
      </w:r>
      <w:r>
        <w:rPr>
          <w:rFonts w:hint="eastAsia" w:ascii="Times New Roman" w:hAnsi="Times New Roman"/>
          <w:color w:val="auto"/>
          <w:szCs w:val="18"/>
          <w:highlight w:val="none"/>
        </w:rPr>
        <w:t>现有项目实行三</w:t>
      </w:r>
      <w:r>
        <w:rPr>
          <w:rFonts w:ascii="Times New Roman" w:hAnsi="Times New Roman"/>
          <w:color w:val="auto"/>
          <w:szCs w:val="18"/>
          <w:highlight w:val="none"/>
        </w:rPr>
        <w:t>班制</w:t>
      </w:r>
      <w:r>
        <w:rPr>
          <w:rFonts w:hint="eastAsia" w:ascii="Times New Roman" w:hAnsi="Times New Roman"/>
          <w:color w:val="auto"/>
          <w:szCs w:val="18"/>
          <w:highlight w:val="none"/>
        </w:rPr>
        <w:t>运转生产</w:t>
      </w:r>
      <w:r>
        <w:rPr>
          <w:rFonts w:ascii="Times New Roman" w:hAnsi="Times New Roman" w:cs="Times New Roman"/>
          <w:color w:val="auto"/>
          <w:highlight w:val="none"/>
        </w:rPr>
        <w:t>。</w:t>
      </w:r>
    </w:p>
    <w:p w14:paraId="368A644B">
      <w:pPr>
        <w:spacing w:line="360" w:lineRule="auto"/>
        <w:ind w:left="-105" w:right="-105" w:firstLine="480" w:firstLineChars="200"/>
        <w:rPr>
          <w:rFonts w:ascii="Times New Roman" w:hAnsi="Times New Roman" w:cs="Times New Roman"/>
          <w:color w:val="auto"/>
          <w:highlight w:val="none"/>
        </w:rPr>
      </w:pPr>
      <w:r>
        <w:rPr>
          <w:rFonts w:ascii="Times New Roman" w:hAnsi="Times New Roman" w:cs="Times New Roman"/>
          <w:color w:val="auto"/>
          <w:highlight w:val="none"/>
        </w:rPr>
        <w:fldChar w:fldCharType="begin"/>
      </w:r>
      <w:r>
        <w:rPr>
          <w:rFonts w:ascii="Times New Roman" w:hAnsi="Times New Roman" w:cs="Times New Roman"/>
          <w:color w:val="auto"/>
          <w:highlight w:val="none"/>
        </w:rPr>
        <w:instrText xml:space="preserve"> = 1 \* GB3 </w:instrText>
      </w:r>
      <w:r>
        <w:rPr>
          <w:rFonts w:ascii="Times New Roman" w:hAnsi="Times New Roman" w:cs="Times New Roman"/>
          <w:color w:val="auto"/>
          <w:highlight w:val="none"/>
        </w:rPr>
        <w:fldChar w:fldCharType="separate"/>
      </w:r>
      <w:r>
        <w:rPr>
          <w:rFonts w:hint="eastAsia"/>
          <w:color w:val="auto"/>
          <w:highlight w:val="none"/>
        </w:rPr>
        <w:t>①</w:t>
      </w:r>
      <w:r>
        <w:rPr>
          <w:rFonts w:ascii="Times New Roman" w:hAnsi="Times New Roman" w:cs="Times New Roman"/>
          <w:color w:val="auto"/>
          <w:highlight w:val="none"/>
        </w:rPr>
        <w:fldChar w:fldCharType="end"/>
      </w:r>
      <w:r>
        <w:rPr>
          <w:rFonts w:ascii="Times New Roman" w:hAnsi="Times New Roman" w:cs="Times New Roman"/>
          <w:color w:val="auto"/>
          <w:highlight w:val="none"/>
        </w:rPr>
        <w:t>设计降噪量的确定</w:t>
      </w:r>
    </w:p>
    <w:p w14:paraId="0B4FBA44">
      <w:pPr>
        <w:spacing w:line="360" w:lineRule="auto"/>
        <w:ind w:left="-105" w:right="-105" w:firstLine="480" w:firstLineChars="200"/>
        <w:rPr>
          <w:rFonts w:ascii="Times New Roman" w:hAnsi="Times New Roman" w:cs="Times New Roman"/>
          <w:color w:val="auto"/>
          <w:highlight w:val="none"/>
        </w:rPr>
      </w:pPr>
      <w:r>
        <w:rPr>
          <w:rFonts w:ascii="Times New Roman" w:hAnsi="Times New Roman" w:cs="Times New Roman"/>
          <w:color w:val="auto"/>
          <w:highlight w:val="none"/>
        </w:rPr>
        <w:t>为确保厂界噪声达标，各噪声源设计降噪量的确定原则如下：</w:t>
      </w:r>
    </w:p>
    <w:p w14:paraId="72550584">
      <w:pPr>
        <w:spacing w:line="360" w:lineRule="auto"/>
        <w:ind w:left="-105" w:right="-105" w:firstLine="480" w:firstLineChars="200"/>
        <w:rPr>
          <w:rFonts w:ascii="Times New Roman" w:hAnsi="Times New Roman" w:cs="Times New Roman"/>
          <w:color w:val="auto"/>
          <w:highlight w:val="none"/>
        </w:rPr>
      </w:pPr>
      <w:r>
        <w:rPr>
          <w:rFonts w:ascii="Times New Roman" w:hAnsi="Times New Roman" w:cs="Times New Roman"/>
          <w:color w:val="auto"/>
          <w:highlight w:val="none"/>
        </w:rPr>
        <w:t>a.以所采用降噪措施的最保守效果确定设计降噪量；</w:t>
      </w:r>
    </w:p>
    <w:p w14:paraId="0F151349">
      <w:pPr>
        <w:spacing w:line="360" w:lineRule="auto"/>
        <w:ind w:left="-105" w:right="-105" w:firstLine="480" w:firstLineChars="200"/>
        <w:rPr>
          <w:rFonts w:ascii="Times New Roman" w:hAnsi="Times New Roman" w:cs="Times New Roman"/>
          <w:color w:val="auto"/>
          <w:highlight w:val="none"/>
        </w:rPr>
      </w:pPr>
      <w:r>
        <w:rPr>
          <w:rFonts w:ascii="Times New Roman" w:hAnsi="Times New Roman" w:cs="Times New Roman"/>
          <w:color w:val="auto"/>
          <w:highlight w:val="none"/>
        </w:rPr>
        <w:t>b.原则上将计算降噪量加3～5dB作为设计降噪量，以确保声环境质量达标。</w:t>
      </w:r>
    </w:p>
    <w:p w14:paraId="04D4F257">
      <w:pPr>
        <w:spacing w:line="360" w:lineRule="auto"/>
        <w:ind w:left="-105" w:right="-105" w:firstLine="480" w:firstLineChars="200"/>
        <w:rPr>
          <w:rFonts w:ascii="Times New Roman" w:hAnsi="Times New Roman" w:cs="Times New Roman"/>
          <w:color w:val="auto"/>
          <w:highlight w:val="none"/>
        </w:rPr>
      </w:pPr>
      <w:r>
        <w:rPr>
          <w:rFonts w:ascii="Times New Roman" w:hAnsi="Times New Roman" w:cs="Times New Roman"/>
          <w:color w:val="auto"/>
          <w:highlight w:val="none"/>
        </w:rPr>
        <w:t>各噪声源设计降噪量及降噪措施见下表：</w:t>
      </w:r>
    </w:p>
    <w:p w14:paraId="5C13C3CF">
      <w:pPr>
        <w:pStyle w:val="15"/>
        <w:ind w:left="-105" w:right="-105" w:firstLine="482"/>
        <w:rPr>
          <w:rFonts w:eastAsia="宋体"/>
          <w:color w:val="auto"/>
          <w:sz w:val="22"/>
          <w:szCs w:val="18"/>
          <w:highlight w:val="none"/>
        </w:rPr>
      </w:pPr>
      <w:r>
        <w:rPr>
          <w:rFonts w:eastAsia="宋体"/>
          <w:color w:val="auto"/>
          <w:sz w:val="24"/>
          <w:szCs w:val="18"/>
          <w:highlight w:val="none"/>
        </w:rPr>
        <w:t>表</w:t>
      </w:r>
      <w:r>
        <w:rPr>
          <w:rFonts w:eastAsia="宋体"/>
          <w:color w:val="auto"/>
          <w:sz w:val="24"/>
          <w:szCs w:val="18"/>
          <w:highlight w:val="none"/>
        </w:rPr>
        <w:fldChar w:fldCharType="begin"/>
      </w:r>
      <w:r>
        <w:rPr>
          <w:rFonts w:eastAsia="宋体"/>
          <w:color w:val="auto"/>
          <w:sz w:val="24"/>
          <w:szCs w:val="18"/>
          <w:highlight w:val="none"/>
        </w:rPr>
        <w:instrText xml:space="preserve"> STYLEREF 2 \s </w:instrText>
      </w:r>
      <w:r>
        <w:rPr>
          <w:rFonts w:eastAsia="宋体"/>
          <w:color w:val="auto"/>
          <w:sz w:val="24"/>
          <w:szCs w:val="18"/>
          <w:highlight w:val="none"/>
        </w:rPr>
        <w:fldChar w:fldCharType="separate"/>
      </w:r>
      <w:r>
        <w:rPr>
          <w:rFonts w:eastAsia="宋体"/>
          <w:color w:val="auto"/>
          <w:sz w:val="24"/>
          <w:szCs w:val="18"/>
          <w:highlight w:val="none"/>
        </w:rPr>
        <w:t>6.5</w:t>
      </w:r>
      <w:r>
        <w:rPr>
          <w:rFonts w:eastAsia="宋体"/>
          <w:color w:val="auto"/>
          <w:sz w:val="24"/>
          <w:szCs w:val="18"/>
          <w:highlight w:val="none"/>
        </w:rPr>
        <w:fldChar w:fldCharType="end"/>
      </w:r>
      <w:r>
        <w:rPr>
          <w:rFonts w:eastAsia="宋体"/>
          <w:color w:val="auto"/>
          <w:sz w:val="24"/>
          <w:szCs w:val="18"/>
          <w:highlight w:val="none"/>
        </w:rPr>
        <w:noBreakHyphen/>
      </w:r>
      <w:r>
        <w:rPr>
          <w:rFonts w:eastAsia="宋体"/>
          <w:color w:val="auto"/>
          <w:sz w:val="24"/>
          <w:szCs w:val="18"/>
          <w:highlight w:val="none"/>
        </w:rPr>
        <w:fldChar w:fldCharType="begin"/>
      </w:r>
      <w:r>
        <w:rPr>
          <w:rFonts w:eastAsia="宋体"/>
          <w:color w:val="auto"/>
          <w:sz w:val="24"/>
          <w:szCs w:val="18"/>
          <w:highlight w:val="none"/>
        </w:rPr>
        <w:instrText xml:space="preserve"> SEQ 表 \* ARABIC \s 2 </w:instrText>
      </w:r>
      <w:r>
        <w:rPr>
          <w:rFonts w:eastAsia="宋体"/>
          <w:color w:val="auto"/>
          <w:sz w:val="24"/>
          <w:szCs w:val="18"/>
          <w:highlight w:val="none"/>
        </w:rPr>
        <w:fldChar w:fldCharType="separate"/>
      </w:r>
      <w:r>
        <w:rPr>
          <w:rFonts w:eastAsia="宋体"/>
          <w:color w:val="auto"/>
          <w:sz w:val="24"/>
          <w:szCs w:val="18"/>
          <w:highlight w:val="none"/>
        </w:rPr>
        <w:t>1</w:t>
      </w:r>
      <w:r>
        <w:rPr>
          <w:rFonts w:eastAsia="宋体"/>
          <w:color w:val="auto"/>
          <w:sz w:val="24"/>
          <w:szCs w:val="18"/>
          <w:highlight w:val="none"/>
        </w:rPr>
        <w:fldChar w:fldCharType="end"/>
      </w:r>
      <w:r>
        <w:rPr>
          <w:rFonts w:eastAsia="宋体"/>
          <w:color w:val="auto"/>
          <w:sz w:val="24"/>
          <w:szCs w:val="18"/>
          <w:highlight w:val="none"/>
        </w:rPr>
        <w:t>各噪声源的设计降噪量及降噪措施</w:t>
      </w:r>
    </w:p>
    <w:tbl>
      <w:tblPr>
        <w:tblStyle w:val="45"/>
        <w:tblW w:w="5000" w:type="pct"/>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28" w:type="dxa"/>
          <w:left w:w="0" w:type="dxa"/>
          <w:bottom w:w="28" w:type="dxa"/>
          <w:right w:w="0" w:type="dxa"/>
        </w:tblCellMar>
      </w:tblPr>
      <w:tblGrid>
        <w:gridCol w:w="3544"/>
        <w:gridCol w:w="1506"/>
        <w:gridCol w:w="3454"/>
      </w:tblGrid>
      <w:tr w14:paraId="182D98C7">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28" w:type="dxa"/>
            <w:left w:w="0" w:type="dxa"/>
            <w:bottom w:w="28" w:type="dxa"/>
            <w:right w:w="0" w:type="dxa"/>
          </w:tblCellMar>
        </w:tblPrEx>
        <w:trPr>
          <w:cantSplit/>
          <w:trHeight w:val="217" w:hRule="atLeast"/>
          <w:tblHeader/>
          <w:jc w:val="center"/>
        </w:trPr>
        <w:tc>
          <w:tcPr>
            <w:tcW w:w="3544" w:type="dxa"/>
            <w:noWrap/>
            <w:vAlign w:val="center"/>
          </w:tcPr>
          <w:p w14:paraId="075BA085">
            <w:pPr>
              <w:pStyle w:val="154"/>
              <w:keepNext w:val="0"/>
              <w:keepLines w:val="0"/>
              <w:pageBreakBefore w:val="0"/>
              <w:kinsoku/>
              <w:wordWrap/>
              <w:overflowPunct/>
              <w:topLinePunct w:val="0"/>
              <w:autoSpaceDE/>
              <w:autoSpaceDN/>
              <w:bidi w:val="0"/>
              <w:adjustRightInd/>
              <w:snapToGrid/>
              <w:ind w:left="0" w:right="0"/>
              <w:textAlignment w:val="auto"/>
              <w:rPr>
                <w:b/>
                <w:bCs/>
                <w:color w:val="auto"/>
                <w:sz w:val="21"/>
                <w:szCs w:val="21"/>
                <w:highlight w:val="none"/>
              </w:rPr>
            </w:pPr>
            <w:r>
              <w:rPr>
                <w:b/>
                <w:bCs/>
                <w:color w:val="auto"/>
                <w:sz w:val="21"/>
                <w:szCs w:val="21"/>
                <w:highlight w:val="none"/>
              </w:rPr>
              <w:t>噪声源</w:t>
            </w:r>
          </w:p>
        </w:tc>
        <w:tc>
          <w:tcPr>
            <w:tcW w:w="1506" w:type="dxa"/>
            <w:noWrap/>
            <w:vAlign w:val="center"/>
          </w:tcPr>
          <w:p w14:paraId="13D38535">
            <w:pPr>
              <w:pStyle w:val="154"/>
              <w:keepNext w:val="0"/>
              <w:keepLines w:val="0"/>
              <w:pageBreakBefore w:val="0"/>
              <w:kinsoku/>
              <w:wordWrap/>
              <w:overflowPunct/>
              <w:topLinePunct w:val="0"/>
              <w:autoSpaceDE/>
              <w:autoSpaceDN/>
              <w:bidi w:val="0"/>
              <w:adjustRightInd/>
              <w:snapToGrid/>
              <w:ind w:left="0" w:right="0"/>
              <w:textAlignment w:val="auto"/>
              <w:rPr>
                <w:b/>
                <w:bCs/>
                <w:color w:val="auto"/>
                <w:sz w:val="21"/>
                <w:szCs w:val="21"/>
                <w:highlight w:val="none"/>
              </w:rPr>
            </w:pPr>
            <w:r>
              <w:rPr>
                <w:b/>
                <w:bCs/>
                <w:color w:val="auto"/>
                <w:sz w:val="21"/>
                <w:szCs w:val="21"/>
                <w:highlight w:val="none"/>
              </w:rPr>
              <w:t>设计降噪量dB（A）</w:t>
            </w:r>
          </w:p>
        </w:tc>
        <w:tc>
          <w:tcPr>
            <w:tcW w:w="3454" w:type="dxa"/>
            <w:vAlign w:val="center"/>
          </w:tcPr>
          <w:p w14:paraId="056AE215">
            <w:pPr>
              <w:pStyle w:val="154"/>
              <w:keepNext w:val="0"/>
              <w:keepLines w:val="0"/>
              <w:pageBreakBefore w:val="0"/>
              <w:kinsoku/>
              <w:wordWrap/>
              <w:overflowPunct/>
              <w:topLinePunct w:val="0"/>
              <w:autoSpaceDE/>
              <w:autoSpaceDN/>
              <w:bidi w:val="0"/>
              <w:adjustRightInd/>
              <w:snapToGrid/>
              <w:ind w:left="0" w:right="0"/>
              <w:textAlignment w:val="auto"/>
              <w:rPr>
                <w:b/>
                <w:bCs/>
                <w:color w:val="auto"/>
                <w:sz w:val="21"/>
                <w:szCs w:val="21"/>
                <w:highlight w:val="none"/>
              </w:rPr>
            </w:pPr>
            <w:r>
              <w:rPr>
                <w:b/>
                <w:bCs/>
                <w:color w:val="auto"/>
                <w:sz w:val="21"/>
                <w:szCs w:val="21"/>
                <w:highlight w:val="none"/>
              </w:rPr>
              <w:t>降噪措施</w:t>
            </w:r>
          </w:p>
        </w:tc>
      </w:tr>
      <w:tr w14:paraId="4B42C787">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28" w:type="dxa"/>
            <w:left w:w="0" w:type="dxa"/>
            <w:bottom w:w="28" w:type="dxa"/>
            <w:right w:w="0" w:type="dxa"/>
          </w:tblCellMar>
        </w:tblPrEx>
        <w:trPr>
          <w:cantSplit/>
          <w:trHeight w:val="171" w:hRule="atLeast"/>
          <w:jc w:val="center"/>
        </w:trPr>
        <w:tc>
          <w:tcPr>
            <w:tcW w:w="3544" w:type="dxa"/>
            <w:noWrap/>
            <w:vAlign w:val="center"/>
          </w:tcPr>
          <w:p w14:paraId="001401F1">
            <w:pPr>
              <w:keepNext w:val="0"/>
              <w:keepLines w:val="0"/>
              <w:pageBreakBefore w:val="0"/>
              <w:kinsoku/>
              <w:wordWrap/>
              <w:overflowPunct/>
              <w:topLinePunct w:val="0"/>
              <w:autoSpaceDE/>
              <w:autoSpaceDN/>
              <w:bidi w:val="0"/>
              <w:adjustRightInd/>
              <w:snapToGrid/>
              <w:ind w:left="0" w:right="0"/>
              <w:jc w:val="center"/>
              <w:textAlignment w:val="auto"/>
              <w:rPr>
                <w:snapToGrid w:val="0"/>
                <w:color w:val="auto"/>
                <w:sz w:val="21"/>
                <w:szCs w:val="21"/>
                <w:highlight w:val="none"/>
              </w:rPr>
            </w:pPr>
            <w:r>
              <w:rPr>
                <w:rFonts w:hint="eastAsia" w:ascii="Times New Roman" w:hAnsi="Times New Roman" w:cs="Times New Roman"/>
                <w:color w:val="auto"/>
                <w:sz w:val="21"/>
                <w:szCs w:val="21"/>
                <w:highlight w:val="none"/>
              </w:rPr>
              <w:t>洁净室引风风机</w:t>
            </w:r>
          </w:p>
        </w:tc>
        <w:tc>
          <w:tcPr>
            <w:tcW w:w="1506" w:type="dxa"/>
            <w:noWrap/>
            <w:vAlign w:val="center"/>
          </w:tcPr>
          <w:p w14:paraId="6EAF935C">
            <w:pPr>
              <w:pStyle w:val="154"/>
              <w:keepNext w:val="0"/>
              <w:keepLines w:val="0"/>
              <w:pageBreakBefore w:val="0"/>
              <w:kinsoku/>
              <w:wordWrap/>
              <w:overflowPunct/>
              <w:topLinePunct w:val="0"/>
              <w:autoSpaceDE/>
              <w:autoSpaceDN/>
              <w:bidi w:val="0"/>
              <w:adjustRightInd/>
              <w:snapToGrid/>
              <w:ind w:left="0" w:right="0"/>
              <w:textAlignment w:val="auto"/>
              <w:rPr>
                <w:color w:val="auto"/>
                <w:sz w:val="21"/>
                <w:szCs w:val="21"/>
                <w:highlight w:val="none"/>
              </w:rPr>
            </w:pPr>
            <w:r>
              <w:rPr>
                <w:color w:val="auto"/>
                <w:sz w:val="21"/>
                <w:szCs w:val="21"/>
                <w:highlight w:val="none"/>
              </w:rPr>
              <w:t>25</w:t>
            </w:r>
          </w:p>
        </w:tc>
        <w:tc>
          <w:tcPr>
            <w:tcW w:w="3454" w:type="dxa"/>
            <w:vMerge w:val="restart"/>
            <w:vAlign w:val="center"/>
          </w:tcPr>
          <w:p w14:paraId="59614ECA">
            <w:pPr>
              <w:pStyle w:val="154"/>
              <w:keepNext w:val="0"/>
              <w:keepLines w:val="0"/>
              <w:pageBreakBefore w:val="0"/>
              <w:kinsoku/>
              <w:wordWrap/>
              <w:overflowPunct/>
              <w:topLinePunct w:val="0"/>
              <w:autoSpaceDE/>
              <w:autoSpaceDN/>
              <w:bidi w:val="0"/>
              <w:adjustRightInd/>
              <w:snapToGrid/>
              <w:ind w:left="0" w:right="0"/>
              <w:textAlignment w:val="auto"/>
              <w:rPr>
                <w:color w:val="auto"/>
                <w:sz w:val="21"/>
                <w:szCs w:val="21"/>
                <w:highlight w:val="none"/>
              </w:rPr>
            </w:pPr>
            <w:r>
              <w:rPr>
                <w:color w:val="auto"/>
                <w:sz w:val="21"/>
                <w:szCs w:val="21"/>
                <w:highlight w:val="none"/>
              </w:rPr>
              <w:t>安装减振垫，风机安装隔声罩</w:t>
            </w:r>
          </w:p>
        </w:tc>
      </w:tr>
      <w:tr w14:paraId="5E5E2F8C">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28" w:type="dxa"/>
            <w:left w:w="0" w:type="dxa"/>
            <w:bottom w:w="28" w:type="dxa"/>
            <w:right w:w="0" w:type="dxa"/>
          </w:tblCellMar>
        </w:tblPrEx>
        <w:trPr>
          <w:cantSplit/>
          <w:trHeight w:val="171" w:hRule="atLeast"/>
          <w:jc w:val="center"/>
        </w:trPr>
        <w:tc>
          <w:tcPr>
            <w:tcW w:w="3544" w:type="dxa"/>
            <w:noWrap/>
            <w:vAlign w:val="center"/>
          </w:tcPr>
          <w:p w14:paraId="41610D32">
            <w:pPr>
              <w:keepNext w:val="0"/>
              <w:keepLines w:val="0"/>
              <w:pageBreakBefore w:val="0"/>
              <w:kinsoku/>
              <w:wordWrap/>
              <w:overflowPunct/>
              <w:topLinePunct w:val="0"/>
              <w:autoSpaceDE/>
              <w:autoSpaceDN/>
              <w:bidi w:val="0"/>
              <w:adjustRightInd/>
              <w:snapToGrid/>
              <w:ind w:left="0" w:right="0"/>
              <w:jc w:val="center"/>
              <w:textAlignment w:val="auto"/>
              <w:rPr>
                <w:snapToGrid w:val="0"/>
                <w:color w:val="auto"/>
                <w:sz w:val="21"/>
                <w:szCs w:val="21"/>
                <w:highlight w:val="none"/>
              </w:rPr>
            </w:pPr>
            <w:r>
              <w:rPr>
                <w:rFonts w:hint="eastAsia" w:ascii="Times New Roman" w:hAnsi="Times New Roman" w:cs="Times New Roman"/>
                <w:color w:val="auto"/>
                <w:sz w:val="21"/>
                <w:szCs w:val="21"/>
                <w:highlight w:val="none"/>
              </w:rPr>
              <w:t>2套二级活性炭吸附</w:t>
            </w:r>
            <w:r>
              <w:rPr>
                <w:rFonts w:ascii="Times New Roman" w:hAnsi="Times New Roman" w:cs="Times New Roman"/>
                <w:color w:val="auto"/>
                <w:sz w:val="21"/>
                <w:szCs w:val="21"/>
                <w:highlight w:val="none"/>
              </w:rPr>
              <w:t>装置及配套风机</w:t>
            </w:r>
            <w:r>
              <w:rPr>
                <w:rFonts w:hint="eastAsia" w:ascii="Times New Roman" w:hAnsi="Times New Roman" w:cs="Times New Roman"/>
                <w:color w:val="auto"/>
                <w:sz w:val="21"/>
                <w:szCs w:val="21"/>
                <w:highlight w:val="none"/>
              </w:rPr>
              <w:t>（DA006）</w:t>
            </w:r>
          </w:p>
        </w:tc>
        <w:tc>
          <w:tcPr>
            <w:tcW w:w="1506" w:type="dxa"/>
            <w:noWrap/>
            <w:vAlign w:val="center"/>
          </w:tcPr>
          <w:p w14:paraId="5C10B716">
            <w:pPr>
              <w:pStyle w:val="154"/>
              <w:keepNext w:val="0"/>
              <w:keepLines w:val="0"/>
              <w:pageBreakBefore w:val="0"/>
              <w:kinsoku/>
              <w:wordWrap/>
              <w:overflowPunct/>
              <w:topLinePunct w:val="0"/>
              <w:autoSpaceDE/>
              <w:autoSpaceDN/>
              <w:bidi w:val="0"/>
              <w:adjustRightInd/>
              <w:snapToGrid/>
              <w:ind w:left="0" w:right="0"/>
              <w:textAlignment w:val="auto"/>
              <w:rPr>
                <w:color w:val="auto"/>
                <w:sz w:val="21"/>
                <w:szCs w:val="21"/>
                <w:highlight w:val="none"/>
              </w:rPr>
            </w:pPr>
            <w:r>
              <w:rPr>
                <w:color w:val="auto"/>
                <w:sz w:val="21"/>
                <w:szCs w:val="21"/>
                <w:highlight w:val="none"/>
              </w:rPr>
              <w:t>25</w:t>
            </w:r>
          </w:p>
        </w:tc>
        <w:tc>
          <w:tcPr>
            <w:tcW w:w="3454" w:type="dxa"/>
            <w:vMerge w:val="continue"/>
            <w:vAlign w:val="center"/>
          </w:tcPr>
          <w:p w14:paraId="5C4C4DAC">
            <w:pPr>
              <w:pStyle w:val="154"/>
              <w:keepNext w:val="0"/>
              <w:keepLines w:val="0"/>
              <w:pageBreakBefore w:val="0"/>
              <w:kinsoku/>
              <w:wordWrap/>
              <w:overflowPunct/>
              <w:topLinePunct w:val="0"/>
              <w:autoSpaceDE/>
              <w:autoSpaceDN/>
              <w:bidi w:val="0"/>
              <w:adjustRightInd/>
              <w:snapToGrid/>
              <w:ind w:left="0" w:right="0"/>
              <w:textAlignment w:val="auto"/>
              <w:rPr>
                <w:color w:val="auto"/>
                <w:sz w:val="21"/>
                <w:szCs w:val="21"/>
                <w:highlight w:val="none"/>
              </w:rPr>
            </w:pPr>
          </w:p>
        </w:tc>
      </w:tr>
    </w:tbl>
    <w:p w14:paraId="7E5B740D">
      <w:pPr>
        <w:spacing w:line="360" w:lineRule="auto"/>
        <w:ind w:left="-105" w:right="-105" w:firstLine="480"/>
        <w:rPr>
          <w:rFonts w:ascii="Times New Roman" w:hAnsi="Times New Roman" w:cs="Times New Roman"/>
          <w:color w:val="auto"/>
          <w:highlight w:val="none"/>
        </w:rPr>
      </w:pPr>
      <w:r>
        <w:rPr>
          <w:rFonts w:ascii="Times New Roman" w:hAnsi="Times New Roman" w:cs="Times New Roman"/>
          <w:color w:val="auto"/>
          <w:highlight w:val="none"/>
        </w:rPr>
        <w:fldChar w:fldCharType="begin"/>
      </w:r>
      <w:r>
        <w:rPr>
          <w:rFonts w:ascii="Times New Roman" w:hAnsi="Times New Roman" w:cs="Times New Roman"/>
          <w:color w:val="auto"/>
          <w:highlight w:val="none"/>
        </w:rPr>
        <w:instrText xml:space="preserve"> = 2 \* GB3 </w:instrText>
      </w:r>
      <w:r>
        <w:rPr>
          <w:rFonts w:ascii="Times New Roman" w:hAnsi="Times New Roman" w:cs="Times New Roman"/>
          <w:color w:val="auto"/>
          <w:highlight w:val="none"/>
        </w:rPr>
        <w:fldChar w:fldCharType="separate"/>
      </w:r>
      <w:r>
        <w:rPr>
          <w:rFonts w:hint="eastAsia"/>
          <w:color w:val="auto"/>
          <w:highlight w:val="none"/>
        </w:rPr>
        <w:t>②</w:t>
      </w:r>
      <w:r>
        <w:rPr>
          <w:rFonts w:ascii="Times New Roman" w:hAnsi="Times New Roman" w:cs="Times New Roman"/>
          <w:color w:val="auto"/>
          <w:highlight w:val="none"/>
        </w:rPr>
        <w:fldChar w:fldCharType="end"/>
      </w:r>
      <w:r>
        <w:rPr>
          <w:rFonts w:ascii="Times New Roman" w:hAnsi="Times New Roman" w:cs="Times New Roman"/>
          <w:color w:val="auto"/>
          <w:highlight w:val="none"/>
        </w:rPr>
        <w:t>厂界噪声影响预测</w:t>
      </w:r>
    </w:p>
    <w:p w14:paraId="6E3FF500">
      <w:pPr>
        <w:spacing w:line="360" w:lineRule="auto"/>
        <w:ind w:left="-105" w:right="-105" w:firstLine="480" w:firstLineChars="200"/>
        <w:rPr>
          <w:rFonts w:ascii="Times New Roman" w:hAnsi="Times New Roman"/>
          <w:color w:val="auto"/>
          <w:highlight w:val="none"/>
        </w:rPr>
      </w:pPr>
      <w:r>
        <w:rPr>
          <w:rFonts w:ascii="Times New Roman" w:hAnsi="Times New Roman" w:cs="Times New Roman"/>
          <w:color w:val="auto"/>
          <w:highlight w:val="none"/>
        </w:rPr>
        <w:t>噪声源采取降噪措施后，各厂界噪声预测结果见下表</w:t>
      </w:r>
      <w:r>
        <w:rPr>
          <w:rFonts w:ascii="Times New Roman" w:hAnsi="Times New Roman"/>
          <w:color w:val="auto"/>
          <w:highlight w:val="none"/>
        </w:rPr>
        <w:t>。</w:t>
      </w:r>
      <w:bookmarkStart w:id="407" w:name="_Ref39130429"/>
    </w:p>
    <w:p w14:paraId="5AE86B37">
      <w:pPr>
        <w:pStyle w:val="15"/>
        <w:ind w:left="-105" w:right="-105" w:firstLine="482"/>
        <w:rPr>
          <w:rFonts w:eastAsia="宋体"/>
          <w:color w:val="auto"/>
          <w:sz w:val="24"/>
          <w:szCs w:val="18"/>
          <w:highlight w:val="none"/>
        </w:rPr>
      </w:pPr>
      <w:r>
        <w:rPr>
          <w:rFonts w:eastAsia="宋体"/>
          <w:color w:val="auto"/>
          <w:sz w:val="24"/>
          <w:szCs w:val="18"/>
          <w:highlight w:val="none"/>
        </w:rPr>
        <w:t>表</w:t>
      </w:r>
      <w:r>
        <w:rPr>
          <w:rFonts w:eastAsia="宋体"/>
          <w:color w:val="auto"/>
          <w:sz w:val="24"/>
          <w:szCs w:val="18"/>
          <w:highlight w:val="none"/>
        </w:rPr>
        <w:fldChar w:fldCharType="begin"/>
      </w:r>
      <w:r>
        <w:rPr>
          <w:rFonts w:eastAsia="宋体"/>
          <w:color w:val="auto"/>
          <w:sz w:val="24"/>
          <w:szCs w:val="18"/>
          <w:highlight w:val="none"/>
        </w:rPr>
        <w:instrText xml:space="preserve"> STYLEREF 2 \s </w:instrText>
      </w:r>
      <w:r>
        <w:rPr>
          <w:rFonts w:eastAsia="宋体"/>
          <w:color w:val="auto"/>
          <w:sz w:val="24"/>
          <w:szCs w:val="18"/>
          <w:highlight w:val="none"/>
        </w:rPr>
        <w:fldChar w:fldCharType="separate"/>
      </w:r>
      <w:r>
        <w:rPr>
          <w:rFonts w:eastAsia="宋体"/>
          <w:color w:val="auto"/>
          <w:sz w:val="24"/>
          <w:szCs w:val="18"/>
          <w:highlight w:val="none"/>
        </w:rPr>
        <w:t>6.5</w:t>
      </w:r>
      <w:r>
        <w:rPr>
          <w:rFonts w:eastAsia="宋体"/>
          <w:color w:val="auto"/>
          <w:sz w:val="24"/>
          <w:szCs w:val="18"/>
          <w:highlight w:val="none"/>
        </w:rPr>
        <w:fldChar w:fldCharType="end"/>
      </w:r>
      <w:r>
        <w:rPr>
          <w:rFonts w:eastAsia="宋体"/>
          <w:color w:val="auto"/>
          <w:sz w:val="24"/>
          <w:szCs w:val="18"/>
          <w:highlight w:val="none"/>
        </w:rPr>
        <w:noBreakHyphen/>
      </w:r>
      <w:r>
        <w:rPr>
          <w:rFonts w:eastAsia="宋体"/>
          <w:color w:val="auto"/>
          <w:sz w:val="24"/>
          <w:szCs w:val="18"/>
          <w:highlight w:val="none"/>
        </w:rPr>
        <w:fldChar w:fldCharType="begin"/>
      </w:r>
      <w:r>
        <w:rPr>
          <w:rFonts w:eastAsia="宋体"/>
          <w:color w:val="auto"/>
          <w:sz w:val="24"/>
          <w:szCs w:val="18"/>
          <w:highlight w:val="none"/>
        </w:rPr>
        <w:instrText xml:space="preserve"> SEQ 表 \* ARABIC \s 2 </w:instrText>
      </w:r>
      <w:r>
        <w:rPr>
          <w:rFonts w:eastAsia="宋体"/>
          <w:color w:val="auto"/>
          <w:sz w:val="24"/>
          <w:szCs w:val="18"/>
          <w:highlight w:val="none"/>
        </w:rPr>
        <w:fldChar w:fldCharType="separate"/>
      </w:r>
      <w:r>
        <w:rPr>
          <w:rFonts w:eastAsia="宋体"/>
          <w:color w:val="auto"/>
          <w:sz w:val="24"/>
          <w:szCs w:val="18"/>
          <w:highlight w:val="none"/>
        </w:rPr>
        <w:t>2</w:t>
      </w:r>
      <w:r>
        <w:rPr>
          <w:rFonts w:eastAsia="宋体"/>
          <w:color w:val="auto"/>
          <w:sz w:val="24"/>
          <w:szCs w:val="18"/>
          <w:highlight w:val="none"/>
        </w:rPr>
        <w:fldChar w:fldCharType="end"/>
      </w:r>
      <w:bookmarkEnd w:id="407"/>
      <w:r>
        <w:rPr>
          <w:rFonts w:eastAsia="宋体"/>
          <w:color w:val="auto"/>
          <w:sz w:val="24"/>
          <w:szCs w:val="18"/>
          <w:highlight w:val="none"/>
        </w:rPr>
        <w:t>本项目厂界噪声预测值影响结果表</w:t>
      </w:r>
      <w:r>
        <w:rPr>
          <w:rFonts w:hint="eastAsia" w:eastAsia="宋体"/>
          <w:color w:val="auto"/>
          <w:sz w:val="24"/>
          <w:szCs w:val="18"/>
          <w:highlight w:val="none"/>
          <w:lang w:val="en-US" w:eastAsia="zh-CN"/>
        </w:rPr>
        <w:t xml:space="preserve"> </w:t>
      </w:r>
      <w:r>
        <w:rPr>
          <w:rFonts w:eastAsia="宋体"/>
          <w:color w:val="auto"/>
          <w:sz w:val="24"/>
          <w:szCs w:val="18"/>
          <w:highlight w:val="none"/>
        </w:rPr>
        <w:t>单位：dB（A）</w:t>
      </w:r>
    </w:p>
    <w:tbl>
      <w:tblPr>
        <w:tblStyle w:val="45"/>
        <w:tblW w:w="5000" w:type="pct"/>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0" w:type="dxa"/>
          <w:bottom w:w="0" w:type="dxa"/>
          <w:right w:w="0" w:type="dxa"/>
        </w:tblCellMar>
      </w:tblPr>
      <w:tblGrid>
        <w:gridCol w:w="543"/>
        <w:gridCol w:w="1868"/>
        <w:gridCol w:w="795"/>
        <w:gridCol w:w="795"/>
        <w:gridCol w:w="795"/>
        <w:gridCol w:w="798"/>
        <w:gridCol w:w="727"/>
        <w:gridCol w:w="727"/>
        <w:gridCol w:w="727"/>
        <w:gridCol w:w="729"/>
      </w:tblGrid>
      <w:tr w14:paraId="61740E49">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284" w:hRule="atLeast"/>
          <w:tblHeader/>
          <w:jc w:val="center"/>
        </w:trPr>
        <w:tc>
          <w:tcPr>
            <w:tcW w:w="543" w:type="dxa"/>
            <w:vMerge w:val="restart"/>
            <w:vAlign w:val="center"/>
          </w:tcPr>
          <w:p w14:paraId="77AF0801">
            <w:pPr>
              <w:pStyle w:val="154"/>
              <w:keepNext w:val="0"/>
              <w:keepLines w:val="0"/>
              <w:pageBreakBefore w:val="0"/>
              <w:kinsoku/>
              <w:wordWrap/>
              <w:overflowPunct/>
              <w:topLinePunct w:val="0"/>
              <w:autoSpaceDE/>
              <w:autoSpaceDN/>
              <w:bidi w:val="0"/>
              <w:adjustRightInd/>
              <w:snapToGrid/>
              <w:ind w:left="0" w:right="0"/>
              <w:textAlignment w:val="auto"/>
              <w:rPr>
                <w:b/>
                <w:bCs/>
                <w:color w:val="auto"/>
                <w:sz w:val="21"/>
                <w:szCs w:val="21"/>
                <w:highlight w:val="none"/>
              </w:rPr>
            </w:pPr>
            <w:r>
              <w:rPr>
                <w:b/>
                <w:bCs/>
                <w:color w:val="auto"/>
                <w:sz w:val="21"/>
                <w:szCs w:val="21"/>
                <w:highlight w:val="none"/>
              </w:rPr>
              <w:t>序号</w:t>
            </w:r>
          </w:p>
        </w:tc>
        <w:tc>
          <w:tcPr>
            <w:tcW w:w="1868" w:type="dxa"/>
            <w:vMerge w:val="restart"/>
            <w:vAlign w:val="center"/>
          </w:tcPr>
          <w:p w14:paraId="02C8E6BE">
            <w:pPr>
              <w:pStyle w:val="154"/>
              <w:keepNext w:val="0"/>
              <w:keepLines w:val="0"/>
              <w:pageBreakBefore w:val="0"/>
              <w:kinsoku/>
              <w:wordWrap/>
              <w:overflowPunct/>
              <w:topLinePunct w:val="0"/>
              <w:autoSpaceDE/>
              <w:autoSpaceDN/>
              <w:bidi w:val="0"/>
              <w:adjustRightInd/>
              <w:snapToGrid/>
              <w:ind w:left="0" w:right="0"/>
              <w:textAlignment w:val="auto"/>
              <w:rPr>
                <w:b/>
                <w:bCs/>
                <w:color w:val="auto"/>
                <w:sz w:val="21"/>
                <w:szCs w:val="21"/>
                <w:highlight w:val="none"/>
              </w:rPr>
            </w:pPr>
            <w:r>
              <w:rPr>
                <w:b/>
                <w:bCs/>
                <w:color w:val="auto"/>
                <w:sz w:val="21"/>
                <w:szCs w:val="21"/>
                <w:highlight w:val="none"/>
              </w:rPr>
              <w:t>设备名称</w:t>
            </w:r>
          </w:p>
        </w:tc>
        <w:tc>
          <w:tcPr>
            <w:tcW w:w="3183" w:type="dxa"/>
            <w:gridSpan w:val="4"/>
            <w:vAlign w:val="center"/>
          </w:tcPr>
          <w:p w14:paraId="6C6C770F">
            <w:pPr>
              <w:pStyle w:val="154"/>
              <w:keepNext w:val="0"/>
              <w:keepLines w:val="0"/>
              <w:pageBreakBefore w:val="0"/>
              <w:kinsoku/>
              <w:wordWrap/>
              <w:overflowPunct/>
              <w:topLinePunct w:val="0"/>
              <w:autoSpaceDE/>
              <w:autoSpaceDN/>
              <w:bidi w:val="0"/>
              <w:adjustRightInd/>
              <w:snapToGrid/>
              <w:ind w:left="0" w:right="0"/>
              <w:textAlignment w:val="auto"/>
              <w:rPr>
                <w:b/>
                <w:bCs/>
                <w:color w:val="auto"/>
                <w:sz w:val="21"/>
                <w:szCs w:val="21"/>
                <w:highlight w:val="none"/>
              </w:rPr>
            </w:pPr>
            <w:r>
              <w:rPr>
                <w:b/>
                <w:bCs/>
                <w:color w:val="auto"/>
                <w:sz w:val="21"/>
                <w:szCs w:val="21"/>
                <w:highlight w:val="none"/>
              </w:rPr>
              <w:t>采取措施后等效源强dB（A）</w:t>
            </w:r>
          </w:p>
        </w:tc>
        <w:tc>
          <w:tcPr>
            <w:tcW w:w="2910" w:type="dxa"/>
            <w:gridSpan w:val="4"/>
            <w:vAlign w:val="center"/>
          </w:tcPr>
          <w:p w14:paraId="7620CA5C">
            <w:pPr>
              <w:pStyle w:val="154"/>
              <w:keepNext w:val="0"/>
              <w:keepLines w:val="0"/>
              <w:pageBreakBefore w:val="0"/>
              <w:kinsoku/>
              <w:wordWrap/>
              <w:overflowPunct/>
              <w:topLinePunct w:val="0"/>
              <w:autoSpaceDE/>
              <w:autoSpaceDN/>
              <w:bidi w:val="0"/>
              <w:adjustRightInd/>
              <w:snapToGrid/>
              <w:ind w:left="0" w:right="0"/>
              <w:textAlignment w:val="auto"/>
              <w:rPr>
                <w:b/>
                <w:bCs/>
                <w:color w:val="auto"/>
                <w:sz w:val="21"/>
                <w:szCs w:val="21"/>
                <w:highlight w:val="none"/>
              </w:rPr>
            </w:pPr>
            <w:r>
              <w:rPr>
                <w:b/>
                <w:bCs/>
                <w:color w:val="auto"/>
                <w:sz w:val="21"/>
                <w:szCs w:val="21"/>
                <w:highlight w:val="none"/>
              </w:rPr>
              <w:t>噪声源对各厂界的贡献值dB（A）</w:t>
            </w:r>
          </w:p>
        </w:tc>
      </w:tr>
      <w:tr w14:paraId="26CBBA39">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284" w:hRule="atLeast"/>
          <w:tblHeader/>
          <w:jc w:val="center"/>
        </w:trPr>
        <w:tc>
          <w:tcPr>
            <w:tcW w:w="543" w:type="dxa"/>
            <w:vMerge w:val="continue"/>
            <w:vAlign w:val="center"/>
          </w:tcPr>
          <w:p w14:paraId="36CECD5C">
            <w:pPr>
              <w:keepNext w:val="0"/>
              <w:keepLines w:val="0"/>
              <w:pageBreakBefore w:val="0"/>
              <w:kinsoku/>
              <w:wordWrap/>
              <w:overflowPunct/>
              <w:topLinePunct w:val="0"/>
              <w:autoSpaceDE/>
              <w:autoSpaceDN/>
              <w:bidi w:val="0"/>
              <w:adjustRightInd/>
              <w:snapToGrid/>
              <w:ind w:left="0" w:right="0"/>
              <w:jc w:val="center"/>
              <w:textAlignment w:val="auto"/>
              <w:rPr>
                <w:rFonts w:ascii="Times New Roman" w:hAnsi="Times New Roman" w:cs="Times New Roman"/>
                <w:b/>
                <w:bCs/>
                <w:color w:val="auto"/>
                <w:sz w:val="21"/>
                <w:szCs w:val="21"/>
                <w:highlight w:val="none"/>
              </w:rPr>
            </w:pPr>
          </w:p>
        </w:tc>
        <w:tc>
          <w:tcPr>
            <w:tcW w:w="1868" w:type="dxa"/>
            <w:vMerge w:val="continue"/>
            <w:vAlign w:val="center"/>
          </w:tcPr>
          <w:p w14:paraId="450A9DEB">
            <w:pPr>
              <w:keepNext w:val="0"/>
              <w:keepLines w:val="0"/>
              <w:pageBreakBefore w:val="0"/>
              <w:kinsoku/>
              <w:wordWrap/>
              <w:overflowPunct/>
              <w:topLinePunct w:val="0"/>
              <w:autoSpaceDE/>
              <w:autoSpaceDN/>
              <w:bidi w:val="0"/>
              <w:adjustRightInd/>
              <w:snapToGrid/>
              <w:ind w:left="0" w:right="0"/>
              <w:jc w:val="center"/>
              <w:textAlignment w:val="auto"/>
              <w:rPr>
                <w:rFonts w:ascii="Times New Roman" w:hAnsi="Times New Roman" w:cs="Times New Roman"/>
                <w:b/>
                <w:bCs/>
                <w:color w:val="auto"/>
                <w:sz w:val="21"/>
                <w:szCs w:val="21"/>
                <w:highlight w:val="none"/>
              </w:rPr>
            </w:pPr>
          </w:p>
        </w:tc>
        <w:tc>
          <w:tcPr>
            <w:tcW w:w="795" w:type="dxa"/>
            <w:vAlign w:val="center"/>
          </w:tcPr>
          <w:p w14:paraId="3D2C9BD5">
            <w:pPr>
              <w:keepNext w:val="0"/>
              <w:keepLines w:val="0"/>
              <w:pageBreakBefore w:val="0"/>
              <w:kinsoku/>
              <w:wordWrap/>
              <w:overflowPunct/>
              <w:topLinePunct w:val="0"/>
              <w:autoSpaceDE/>
              <w:autoSpaceDN/>
              <w:bidi w:val="0"/>
              <w:adjustRightInd/>
              <w:snapToGrid/>
              <w:ind w:left="0" w:right="0"/>
              <w:jc w:val="center"/>
              <w:textAlignment w:val="auto"/>
              <w:rPr>
                <w:rFonts w:ascii="Times New Roman" w:hAnsi="Times New Roman" w:cs="Times New Roman"/>
                <w:b/>
                <w:bCs/>
                <w:color w:val="auto"/>
                <w:sz w:val="21"/>
                <w:szCs w:val="21"/>
                <w:highlight w:val="none"/>
              </w:rPr>
            </w:pPr>
            <w:r>
              <w:rPr>
                <w:rFonts w:ascii="Times New Roman" w:hAnsi="Times New Roman" w:cs="Times New Roman"/>
                <w:b/>
                <w:bCs/>
                <w:color w:val="auto"/>
                <w:sz w:val="21"/>
                <w:szCs w:val="21"/>
                <w:highlight w:val="none"/>
              </w:rPr>
              <w:t>东</w:t>
            </w:r>
          </w:p>
        </w:tc>
        <w:tc>
          <w:tcPr>
            <w:tcW w:w="795" w:type="dxa"/>
            <w:vAlign w:val="center"/>
          </w:tcPr>
          <w:p w14:paraId="7A428B64">
            <w:pPr>
              <w:keepNext w:val="0"/>
              <w:keepLines w:val="0"/>
              <w:pageBreakBefore w:val="0"/>
              <w:kinsoku/>
              <w:wordWrap/>
              <w:overflowPunct/>
              <w:topLinePunct w:val="0"/>
              <w:autoSpaceDE/>
              <w:autoSpaceDN/>
              <w:bidi w:val="0"/>
              <w:adjustRightInd/>
              <w:snapToGrid/>
              <w:ind w:left="0" w:right="0"/>
              <w:jc w:val="center"/>
              <w:textAlignment w:val="auto"/>
              <w:rPr>
                <w:rFonts w:ascii="Times New Roman" w:hAnsi="Times New Roman" w:cs="Times New Roman"/>
                <w:b/>
                <w:bCs/>
                <w:color w:val="auto"/>
                <w:sz w:val="21"/>
                <w:szCs w:val="21"/>
                <w:highlight w:val="none"/>
              </w:rPr>
            </w:pPr>
            <w:r>
              <w:rPr>
                <w:rFonts w:ascii="Times New Roman" w:hAnsi="Times New Roman" w:cs="Times New Roman"/>
                <w:b/>
                <w:bCs/>
                <w:color w:val="auto"/>
                <w:sz w:val="21"/>
                <w:szCs w:val="21"/>
                <w:highlight w:val="none"/>
              </w:rPr>
              <w:t>南</w:t>
            </w:r>
          </w:p>
        </w:tc>
        <w:tc>
          <w:tcPr>
            <w:tcW w:w="795" w:type="dxa"/>
            <w:vAlign w:val="center"/>
          </w:tcPr>
          <w:p w14:paraId="00DF65F8">
            <w:pPr>
              <w:keepNext w:val="0"/>
              <w:keepLines w:val="0"/>
              <w:pageBreakBefore w:val="0"/>
              <w:kinsoku/>
              <w:wordWrap/>
              <w:overflowPunct/>
              <w:topLinePunct w:val="0"/>
              <w:autoSpaceDE/>
              <w:autoSpaceDN/>
              <w:bidi w:val="0"/>
              <w:adjustRightInd/>
              <w:snapToGrid/>
              <w:ind w:left="0" w:right="0"/>
              <w:jc w:val="center"/>
              <w:textAlignment w:val="auto"/>
              <w:rPr>
                <w:rFonts w:ascii="Times New Roman" w:hAnsi="Times New Roman" w:cs="Times New Roman"/>
                <w:b/>
                <w:bCs/>
                <w:color w:val="auto"/>
                <w:sz w:val="21"/>
                <w:szCs w:val="21"/>
                <w:highlight w:val="none"/>
              </w:rPr>
            </w:pPr>
            <w:r>
              <w:rPr>
                <w:rFonts w:ascii="Times New Roman" w:hAnsi="Times New Roman" w:cs="Times New Roman"/>
                <w:b/>
                <w:bCs/>
                <w:color w:val="auto"/>
                <w:sz w:val="21"/>
                <w:szCs w:val="21"/>
                <w:highlight w:val="none"/>
              </w:rPr>
              <w:t>西</w:t>
            </w:r>
          </w:p>
        </w:tc>
        <w:tc>
          <w:tcPr>
            <w:tcW w:w="798" w:type="dxa"/>
            <w:vAlign w:val="center"/>
          </w:tcPr>
          <w:p w14:paraId="125D4943">
            <w:pPr>
              <w:keepNext w:val="0"/>
              <w:keepLines w:val="0"/>
              <w:pageBreakBefore w:val="0"/>
              <w:kinsoku/>
              <w:wordWrap/>
              <w:overflowPunct/>
              <w:topLinePunct w:val="0"/>
              <w:autoSpaceDE/>
              <w:autoSpaceDN/>
              <w:bidi w:val="0"/>
              <w:adjustRightInd/>
              <w:snapToGrid/>
              <w:ind w:left="0" w:right="0"/>
              <w:jc w:val="center"/>
              <w:textAlignment w:val="auto"/>
              <w:rPr>
                <w:rFonts w:ascii="Times New Roman" w:hAnsi="Times New Roman" w:cs="Times New Roman"/>
                <w:b/>
                <w:bCs/>
                <w:color w:val="auto"/>
                <w:sz w:val="21"/>
                <w:szCs w:val="21"/>
                <w:highlight w:val="none"/>
              </w:rPr>
            </w:pPr>
            <w:r>
              <w:rPr>
                <w:rFonts w:ascii="Times New Roman" w:hAnsi="Times New Roman" w:cs="Times New Roman"/>
                <w:b/>
                <w:bCs/>
                <w:color w:val="auto"/>
                <w:sz w:val="21"/>
                <w:szCs w:val="21"/>
                <w:highlight w:val="none"/>
              </w:rPr>
              <w:t>北</w:t>
            </w:r>
          </w:p>
        </w:tc>
        <w:tc>
          <w:tcPr>
            <w:tcW w:w="727" w:type="dxa"/>
            <w:vAlign w:val="center"/>
          </w:tcPr>
          <w:p w14:paraId="798D7EB0">
            <w:pPr>
              <w:pStyle w:val="154"/>
              <w:keepNext w:val="0"/>
              <w:keepLines w:val="0"/>
              <w:pageBreakBefore w:val="0"/>
              <w:kinsoku/>
              <w:wordWrap/>
              <w:overflowPunct/>
              <w:topLinePunct w:val="0"/>
              <w:autoSpaceDE/>
              <w:autoSpaceDN/>
              <w:bidi w:val="0"/>
              <w:adjustRightInd/>
              <w:snapToGrid/>
              <w:ind w:left="0" w:right="0"/>
              <w:textAlignment w:val="auto"/>
              <w:rPr>
                <w:b/>
                <w:bCs/>
                <w:color w:val="auto"/>
                <w:sz w:val="21"/>
                <w:szCs w:val="21"/>
                <w:highlight w:val="none"/>
              </w:rPr>
            </w:pPr>
            <w:r>
              <w:rPr>
                <w:b/>
                <w:bCs/>
                <w:color w:val="auto"/>
                <w:sz w:val="21"/>
                <w:szCs w:val="21"/>
                <w:highlight w:val="none"/>
              </w:rPr>
              <w:t>东</w:t>
            </w:r>
          </w:p>
        </w:tc>
        <w:tc>
          <w:tcPr>
            <w:tcW w:w="727" w:type="dxa"/>
            <w:vAlign w:val="center"/>
          </w:tcPr>
          <w:p w14:paraId="604E0C01">
            <w:pPr>
              <w:pStyle w:val="154"/>
              <w:keepNext w:val="0"/>
              <w:keepLines w:val="0"/>
              <w:pageBreakBefore w:val="0"/>
              <w:kinsoku/>
              <w:wordWrap/>
              <w:overflowPunct/>
              <w:topLinePunct w:val="0"/>
              <w:autoSpaceDE/>
              <w:autoSpaceDN/>
              <w:bidi w:val="0"/>
              <w:adjustRightInd/>
              <w:snapToGrid/>
              <w:ind w:left="0" w:right="0"/>
              <w:textAlignment w:val="auto"/>
              <w:rPr>
                <w:b/>
                <w:bCs/>
                <w:color w:val="auto"/>
                <w:sz w:val="21"/>
                <w:szCs w:val="21"/>
                <w:highlight w:val="none"/>
              </w:rPr>
            </w:pPr>
            <w:r>
              <w:rPr>
                <w:b/>
                <w:bCs/>
                <w:color w:val="auto"/>
                <w:sz w:val="21"/>
                <w:szCs w:val="21"/>
                <w:highlight w:val="none"/>
              </w:rPr>
              <w:t>南</w:t>
            </w:r>
          </w:p>
        </w:tc>
        <w:tc>
          <w:tcPr>
            <w:tcW w:w="727" w:type="dxa"/>
            <w:vAlign w:val="center"/>
          </w:tcPr>
          <w:p w14:paraId="77F7661E">
            <w:pPr>
              <w:pStyle w:val="154"/>
              <w:keepNext w:val="0"/>
              <w:keepLines w:val="0"/>
              <w:pageBreakBefore w:val="0"/>
              <w:kinsoku/>
              <w:wordWrap/>
              <w:overflowPunct/>
              <w:topLinePunct w:val="0"/>
              <w:autoSpaceDE/>
              <w:autoSpaceDN/>
              <w:bidi w:val="0"/>
              <w:adjustRightInd/>
              <w:snapToGrid/>
              <w:ind w:left="0" w:right="0"/>
              <w:textAlignment w:val="auto"/>
              <w:rPr>
                <w:b/>
                <w:bCs/>
                <w:color w:val="auto"/>
                <w:sz w:val="21"/>
                <w:szCs w:val="21"/>
                <w:highlight w:val="none"/>
              </w:rPr>
            </w:pPr>
            <w:r>
              <w:rPr>
                <w:b/>
                <w:bCs/>
                <w:color w:val="auto"/>
                <w:sz w:val="21"/>
                <w:szCs w:val="21"/>
                <w:highlight w:val="none"/>
              </w:rPr>
              <w:t>西</w:t>
            </w:r>
          </w:p>
        </w:tc>
        <w:tc>
          <w:tcPr>
            <w:tcW w:w="729" w:type="dxa"/>
            <w:vAlign w:val="center"/>
          </w:tcPr>
          <w:p w14:paraId="4897E0D1">
            <w:pPr>
              <w:pStyle w:val="154"/>
              <w:keepNext w:val="0"/>
              <w:keepLines w:val="0"/>
              <w:pageBreakBefore w:val="0"/>
              <w:kinsoku/>
              <w:wordWrap/>
              <w:overflowPunct/>
              <w:topLinePunct w:val="0"/>
              <w:autoSpaceDE/>
              <w:autoSpaceDN/>
              <w:bidi w:val="0"/>
              <w:adjustRightInd/>
              <w:snapToGrid/>
              <w:ind w:left="0" w:right="0"/>
              <w:textAlignment w:val="auto"/>
              <w:rPr>
                <w:b/>
                <w:bCs/>
                <w:color w:val="auto"/>
                <w:sz w:val="21"/>
                <w:szCs w:val="21"/>
                <w:highlight w:val="none"/>
              </w:rPr>
            </w:pPr>
            <w:r>
              <w:rPr>
                <w:b/>
                <w:bCs/>
                <w:color w:val="auto"/>
                <w:sz w:val="21"/>
                <w:szCs w:val="21"/>
                <w:highlight w:val="none"/>
              </w:rPr>
              <w:t>北</w:t>
            </w:r>
          </w:p>
        </w:tc>
      </w:tr>
      <w:tr w14:paraId="7CBFE1D1">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284" w:hRule="atLeast"/>
          <w:jc w:val="center"/>
        </w:trPr>
        <w:tc>
          <w:tcPr>
            <w:tcW w:w="543" w:type="dxa"/>
            <w:shd w:val="clear" w:color="auto" w:fill="auto"/>
            <w:vAlign w:val="center"/>
          </w:tcPr>
          <w:p w14:paraId="25985936">
            <w:pPr>
              <w:pStyle w:val="154"/>
              <w:keepNext w:val="0"/>
              <w:keepLines w:val="0"/>
              <w:pageBreakBefore w:val="0"/>
              <w:kinsoku/>
              <w:wordWrap/>
              <w:overflowPunct/>
              <w:topLinePunct w:val="0"/>
              <w:autoSpaceDE/>
              <w:autoSpaceDN/>
              <w:bidi w:val="0"/>
              <w:adjustRightInd/>
              <w:snapToGrid/>
              <w:ind w:left="0" w:right="0"/>
              <w:textAlignment w:val="auto"/>
              <w:rPr>
                <w:color w:val="auto"/>
                <w:sz w:val="21"/>
                <w:szCs w:val="21"/>
                <w:highlight w:val="none"/>
              </w:rPr>
            </w:pPr>
            <w:r>
              <w:rPr>
                <w:color w:val="auto"/>
                <w:sz w:val="21"/>
                <w:szCs w:val="21"/>
                <w:highlight w:val="none"/>
              </w:rPr>
              <w:t>1</w:t>
            </w:r>
          </w:p>
        </w:tc>
        <w:tc>
          <w:tcPr>
            <w:tcW w:w="1868" w:type="dxa"/>
            <w:shd w:val="clear" w:color="auto" w:fill="auto"/>
            <w:vAlign w:val="center"/>
          </w:tcPr>
          <w:p w14:paraId="0E94F726">
            <w:pPr>
              <w:keepNext w:val="0"/>
              <w:keepLines w:val="0"/>
              <w:pageBreakBefore w:val="0"/>
              <w:kinsoku/>
              <w:wordWrap/>
              <w:overflowPunct/>
              <w:topLinePunct w:val="0"/>
              <w:autoSpaceDE/>
              <w:autoSpaceDN/>
              <w:bidi w:val="0"/>
              <w:adjustRightInd/>
              <w:snapToGrid/>
              <w:ind w:left="0" w:right="0"/>
              <w:jc w:val="center"/>
              <w:textAlignment w:val="auto"/>
              <w:rPr>
                <w:snapToGrid w:val="0"/>
                <w:color w:val="auto"/>
                <w:sz w:val="21"/>
                <w:szCs w:val="21"/>
                <w:highlight w:val="none"/>
              </w:rPr>
            </w:pPr>
            <w:r>
              <w:rPr>
                <w:rFonts w:hint="eastAsia" w:ascii="Times New Roman" w:hAnsi="Times New Roman" w:cs="Times New Roman"/>
                <w:color w:val="auto"/>
                <w:sz w:val="21"/>
                <w:szCs w:val="21"/>
                <w:highlight w:val="none"/>
              </w:rPr>
              <w:t>洁净室引风风机</w:t>
            </w:r>
          </w:p>
        </w:tc>
        <w:tc>
          <w:tcPr>
            <w:tcW w:w="795" w:type="dxa"/>
            <w:shd w:val="clear" w:color="auto" w:fill="auto"/>
            <w:vAlign w:val="center"/>
          </w:tcPr>
          <w:p w14:paraId="6D0777C4">
            <w:pPr>
              <w:keepNext w:val="0"/>
              <w:keepLines w:val="0"/>
              <w:pageBreakBefore w:val="0"/>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70</w:t>
            </w:r>
          </w:p>
        </w:tc>
        <w:tc>
          <w:tcPr>
            <w:tcW w:w="795" w:type="dxa"/>
            <w:shd w:val="clear" w:color="auto" w:fill="auto"/>
            <w:vAlign w:val="center"/>
          </w:tcPr>
          <w:p w14:paraId="1E11BA98">
            <w:pPr>
              <w:keepNext w:val="0"/>
              <w:keepLines w:val="0"/>
              <w:pageBreakBefore w:val="0"/>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70</w:t>
            </w:r>
          </w:p>
        </w:tc>
        <w:tc>
          <w:tcPr>
            <w:tcW w:w="795" w:type="dxa"/>
            <w:shd w:val="clear" w:color="auto" w:fill="auto"/>
            <w:vAlign w:val="center"/>
          </w:tcPr>
          <w:p w14:paraId="1B9A9F07">
            <w:pPr>
              <w:keepNext w:val="0"/>
              <w:keepLines w:val="0"/>
              <w:pageBreakBefore w:val="0"/>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70</w:t>
            </w:r>
          </w:p>
        </w:tc>
        <w:tc>
          <w:tcPr>
            <w:tcW w:w="798" w:type="dxa"/>
            <w:shd w:val="clear" w:color="auto" w:fill="auto"/>
            <w:vAlign w:val="center"/>
          </w:tcPr>
          <w:p w14:paraId="2C6B6C82">
            <w:pPr>
              <w:keepNext w:val="0"/>
              <w:keepLines w:val="0"/>
              <w:pageBreakBefore w:val="0"/>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70</w:t>
            </w:r>
          </w:p>
        </w:tc>
        <w:tc>
          <w:tcPr>
            <w:tcW w:w="727" w:type="dxa"/>
            <w:shd w:val="clear" w:color="auto" w:fill="auto"/>
            <w:vAlign w:val="center"/>
          </w:tcPr>
          <w:p w14:paraId="1D157413">
            <w:pPr>
              <w:keepNext w:val="0"/>
              <w:keepLines w:val="0"/>
              <w:pageBreakBefore w:val="0"/>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38.0</w:t>
            </w:r>
          </w:p>
        </w:tc>
        <w:tc>
          <w:tcPr>
            <w:tcW w:w="727" w:type="dxa"/>
            <w:shd w:val="clear" w:color="auto" w:fill="auto"/>
            <w:vAlign w:val="center"/>
          </w:tcPr>
          <w:p w14:paraId="3FE4936E">
            <w:pPr>
              <w:keepNext w:val="0"/>
              <w:keepLines w:val="0"/>
              <w:pageBreakBefore w:val="0"/>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35.7</w:t>
            </w:r>
          </w:p>
        </w:tc>
        <w:tc>
          <w:tcPr>
            <w:tcW w:w="727" w:type="dxa"/>
            <w:shd w:val="clear" w:color="auto" w:fill="auto"/>
            <w:vAlign w:val="center"/>
          </w:tcPr>
          <w:p w14:paraId="75D92E58">
            <w:pPr>
              <w:keepNext w:val="0"/>
              <w:keepLines w:val="0"/>
              <w:pageBreakBefore w:val="0"/>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46.6</w:t>
            </w:r>
          </w:p>
        </w:tc>
        <w:tc>
          <w:tcPr>
            <w:tcW w:w="729" w:type="dxa"/>
            <w:shd w:val="clear" w:color="auto" w:fill="FFFFFF"/>
            <w:vAlign w:val="center"/>
          </w:tcPr>
          <w:p w14:paraId="473152A8">
            <w:pPr>
              <w:keepNext w:val="0"/>
              <w:keepLines w:val="0"/>
              <w:pageBreakBefore w:val="0"/>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41.1</w:t>
            </w:r>
          </w:p>
        </w:tc>
      </w:tr>
      <w:tr w14:paraId="7E427C15">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284" w:hRule="atLeast"/>
          <w:jc w:val="center"/>
        </w:trPr>
        <w:tc>
          <w:tcPr>
            <w:tcW w:w="543" w:type="dxa"/>
            <w:shd w:val="clear" w:color="auto" w:fill="auto"/>
            <w:vAlign w:val="center"/>
          </w:tcPr>
          <w:p w14:paraId="4C8D048F">
            <w:pPr>
              <w:pStyle w:val="154"/>
              <w:keepNext w:val="0"/>
              <w:keepLines w:val="0"/>
              <w:pageBreakBefore w:val="0"/>
              <w:kinsoku/>
              <w:wordWrap/>
              <w:overflowPunct/>
              <w:topLinePunct w:val="0"/>
              <w:autoSpaceDE/>
              <w:autoSpaceDN/>
              <w:bidi w:val="0"/>
              <w:adjustRightInd/>
              <w:snapToGrid/>
              <w:ind w:left="0" w:right="0"/>
              <w:textAlignment w:val="auto"/>
              <w:rPr>
                <w:color w:val="auto"/>
                <w:sz w:val="21"/>
                <w:szCs w:val="21"/>
                <w:highlight w:val="none"/>
              </w:rPr>
            </w:pPr>
            <w:r>
              <w:rPr>
                <w:color w:val="auto"/>
                <w:sz w:val="21"/>
                <w:szCs w:val="21"/>
                <w:highlight w:val="none"/>
              </w:rPr>
              <w:t>2</w:t>
            </w:r>
          </w:p>
        </w:tc>
        <w:tc>
          <w:tcPr>
            <w:tcW w:w="1868" w:type="dxa"/>
            <w:shd w:val="clear" w:color="auto" w:fill="auto"/>
            <w:vAlign w:val="center"/>
          </w:tcPr>
          <w:p w14:paraId="583CEAA4">
            <w:pPr>
              <w:keepNext w:val="0"/>
              <w:keepLines w:val="0"/>
              <w:pageBreakBefore w:val="0"/>
              <w:kinsoku/>
              <w:wordWrap/>
              <w:overflowPunct/>
              <w:topLinePunct w:val="0"/>
              <w:autoSpaceDE/>
              <w:autoSpaceDN/>
              <w:bidi w:val="0"/>
              <w:adjustRightInd/>
              <w:snapToGrid/>
              <w:ind w:left="0" w:right="0"/>
              <w:jc w:val="center"/>
              <w:textAlignment w:val="auto"/>
              <w:rPr>
                <w:snapToGrid w:val="0"/>
                <w:color w:val="auto"/>
                <w:sz w:val="21"/>
                <w:szCs w:val="21"/>
                <w:highlight w:val="none"/>
              </w:rPr>
            </w:pPr>
            <w:r>
              <w:rPr>
                <w:rFonts w:hint="eastAsia" w:ascii="Times New Roman" w:hAnsi="Times New Roman" w:cs="Times New Roman"/>
                <w:color w:val="auto"/>
                <w:sz w:val="21"/>
                <w:szCs w:val="21"/>
                <w:highlight w:val="none"/>
              </w:rPr>
              <w:t>2套二级活性炭吸附</w:t>
            </w:r>
            <w:r>
              <w:rPr>
                <w:rFonts w:ascii="Times New Roman" w:hAnsi="Times New Roman" w:cs="Times New Roman"/>
                <w:color w:val="auto"/>
                <w:sz w:val="21"/>
                <w:szCs w:val="21"/>
                <w:highlight w:val="none"/>
              </w:rPr>
              <w:t>装置及配套风机</w:t>
            </w:r>
            <w:r>
              <w:rPr>
                <w:rFonts w:hint="eastAsia" w:ascii="Times New Roman" w:hAnsi="Times New Roman" w:cs="Times New Roman"/>
                <w:color w:val="auto"/>
                <w:sz w:val="21"/>
                <w:szCs w:val="21"/>
                <w:highlight w:val="none"/>
              </w:rPr>
              <w:t>（DA006）</w:t>
            </w:r>
          </w:p>
        </w:tc>
        <w:tc>
          <w:tcPr>
            <w:tcW w:w="795" w:type="dxa"/>
            <w:shd w:val="clear" w:color="auto" w:fill="auto"/>
            <w:vAlign w:val="center"/>
          </w:tcPr>
          <w:p w14:paraId="20EBE10B">
            <w:pPr>
              <w:keepNext w:val="0"/>
              <w:keepLines w:val="0"/>
              <w:pageBreakBefore w:val="0"/>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73</w:t>
            </w:r>
          </w:p>
        </w:tc>
        <w:tc>
          <w:tcPr>
            <w:tcW w:w="795" w:type="dxa"/>
            <w:shd w:val="clear" w:color="auto" w:fill="auto"/>
            <w:vAlign w:val="center"/>
          </w:tcPr>
          <w:p w14:paraId="7868212B">
            <w:pPr>
              <w:keepNext w:val="0"/>
              <w:keepLines w:val="0"/>
              <w:pageBreakBefore w:val="0"/>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73</w:t>
            </w:r>
          </w:p>
        </w:tc>
        <w:tc>
          <w:tcPr>
            <w:tcW w:w="795" w:type="dxa"/>
            <w:shd w:val="clear" w:color="auto" w:fill="auto"/>
            <w:vAlign w:val="center"/>
          </w:tcPr>
          <w:p w14:paraId="70158CB7">
            <w:pPr>
              <w:keepNext w:val="0"/>
              <w:keepLines w:val="0"/>
              <w:pageBreakBefore w:val="0"/>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73</w:t>
            </w:r>
          </w:p>
        </w:tc>
        <w:tc>
          <w:tcPr>
            <w:tcW w:w="798" w:type="dxa"/>
            <w:shd w:val="clear" w:color="auto" w:fill="auto"/>
            <w:vAlign w:val="center"/>
          </w:tcPr>
          <w:p w14:paraId="4BCAF1AE">
            <w:pPr>
              <w:keepNext w:val="0"/>
              <w:keepLines w:val="0"/>
              <w:pageBreakBefore w:val="0"/>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73</w:t>
            </w:r>
          </w:p>
        </w:tc>
        <w:tc>
          <w:tcPr>
            <w:tcW w:w="727" w:type="dxa"/>
            <w:shd w:val="clear" w:color="auto" w:fill="auto"/>
            <w:vAlign w:val="center"/>
          </w:tcPr>
          <w:p w14:paraId="34D3C974">
            <w:pPr>
              <w:keepNext w:val="0"/>
              <w:keepLines w:val="0"/>
              <w:pageBreakBefore w:val="0"/>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47.2</w:t>
            </w:r>
          </w:p>
        </w:tc>
        <w:tc>
          <w:tcPr>
            <w:tcW w:w="727" w:type="dxa"/>
            <w:shd w:val="clear" w:color="auto" w:fill="auto"/>
            <w:vAlign w:val="center"/>
          </w:tcPr>
          <w:p w14:paraId="48B2B7C1">
            <w:pPr>
              <w:keepNext w:val="0"/>
              <w:keepLines w:val="0"/>
              <w:pageBreakBefore w:val="0"/>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47.9</w:t>
            </w:r>
          </w:p>
        </w:tc>
        <w:tc>
          <w:tcPr>
            <w:tcW w:w="727" w:type="dxa"/>
            <w:shd w:val="clear" w:color="auto" w:fill="auto"/>
            <w:vAlign w:val="center"/>
          </w:tcPr>
          <w:p w14:paraId="7D49281C">
            <w:pPr>
              <w:keepNext w:val="0"/>
              <w:keepLines w:val="0"/>
              <w:pageBreakBefore w:val="0"/>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41.7</w:t>
            </w:r>
          </w:p>
        </w:tc>
        <w:tc>
          <w:tcPr>
            <w:tcW w:w="729" w:type="dxa"/>
            <w:shd w:val="clear" w:color="auto" w:fill="FFFFFF"/>
            <w:vAlign w:val="center"/>
          </w:tcPr>
          <w:p w14:paraId="6957B3FE">
            <w:pPr>
              <w:keepNext w:val="0"/>
              <w:keepLines w:val="0"/>
              <w:pageBreakBefore w:val="0"/>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39.9</w:t>
            </w:r>
          </w:p>
        </w:tc>
      </w:tr>
      <w:tr w14:paraId="75F26656">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284" w:hRule="atLeast"/>
          <w:jc w:val="center"/>
        </w:trPr>
        <w:tc>
          <w:tcPr>
            <w:tcW w:w="2411" w:type="dxa"/>
            <w:gridSpan w:val="2"/>
            <w:vMerge w:val="restart"/>
            <w:tcBorders>
              <w:right w:val="single" w:color="auto" w:sz="4" w:space="0"/>
            </w:tcBorders>
            <w:shd w:val="clear" w:color="auto" w:fill="auto"/>
            <w:vAlign w:val="center"/>
          </w:tcPr>
          <w:p w14:paraId="504529F5">
            <w:pPr>
              <w:keepNext w:val="0"/>
              <w:keepLines w:val="0"/>
              <w:pageBreakBefore w:val="0"/>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背景值*</w:t>
            </w:r>
          </w:p>
        </w:tc>
        <w:tc>
          <w:tcPr>
            <w:tcW w:w="3183" w:type="dxa"/>
            <w:gridSpan w:val="4"/>
            <w:tcBorders>
              <w:left w:val="single" w:color="auto" w:sz="4" w:space="0"/>
              <w:bottom w:val="single" w:color="auto" w:sz="4" w:space="0"/>
            </w:tcBorders>
            <w:shd w:val="clear" w:color="auto" w:fill="auto"/>
            <w:vAlign w:val="center"/>
          </w:tcPr>
          <w:p w14:paraId="7101E5E7">
            <w:pPr>
              <w:keepNext w:val="0"/>
              <w:keepLines w:val="0"/>
              <w:pageBreakBefore w:val="0"/>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昼间</w:t>
            </w:r>
          </w:p>
        </w:tc>
        <w:tc>
          <w:tcPr>
            <w:tcW w:w="727" w:type="dxa"/>
            <w:tcBorders>
              <w:bottom w:val="single" w:color="auto" w:sz="4" w:space="0"/>
            </w:tcBorders>
            <w:shd w:val="clear" w:color="auto" w:fill="auto"/>
            <w:vAlign w:val="center"/>
          </w:tcPr>
          <w:p w14:paraId="75345125">
            <w:pPr>
              <w:keepNext w:val="0"/>
              <w:keepLines w:val="0"/>
              <w:pageBreakBefore w:val="0"/>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58</w:t>
            </w:r>
          </w:p>
        </w:tc>
        <w:tc>
          <w:tcPr>
            <w:tcW w:w="727" w:type="dxa"/>
            <w:shd w:val="clear" w:color="auto" w:fill="auto"/>
            <w:vAlign w:val="center"/>
          </w:tcPr>
          <w:p w14:paraId="0B52F59F">
            <w:pPr>
              <w:keepNext w:val="0"/>
              <w:keepLines w:val="0"/>
              <w:pageBreakBefore w:val="0"/>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58</w:t>
            </w:r>
          </w:p>
        </w:tc>
        <w:tc>
          <w:tcPr>
            <w:tcW w:w="727" w:type="dxa"/>
            <w:shd w:val="clear" w:color="auto" w:fill="auto"/>
            <w:vAlign w:val="center"/>
          </w:tcPr>
          <w:p w14:paraId="087B99C2">
            <w:pPr>
              <w:keepNext w:val="0"/>
              <w:keepLines w:val="0"/>
              <w:pageBreakBefore w:val="0"/>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58</w:t>
            </w:r>
          </w:p>
        </w:tc>
        <w:tc>
          <w:tcPr>
            <w:tcW w:w="729" w:type="dxa"/>
            <w:shd w:val="clear" w:color="auto" w:fill="FFFFFF"/>
            <w:vAlign w:val="center"/>
          </w:tcPr>
          <w:p w14:paraId="7184DC22">
            <w:pPr>
              <w:keepNext w:val="0"/>
              <w:keepLines w:val="0"/>
              <w:pageBreakBefore w:val="0"/>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58</w:t>
            </w:r>
          </w:p>
        </w:tc>
      </w:tr>
      <w:tr w14:paraId="3F15E476">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284" w:hRule="atLeast"/>
          <w:jc w:val="center"/>
        </w:trPr>
        <w:tc>
          <w:tcPr>
            <w:tcW w:w="2411" w:type="dxa"/>
            <w:gridSpan w:val="2"/>
            <w:vMerge w:val="continue"/>
            <w:tcBorders>
              <w:right w:val="single" w:color="auto" w:sz="4" w:space="0"/>
            </w:tcBorders>
            <w:shd w:val="clear" w:color="auto" w:fill="auto"/>
            <w:vAlign w:val="center"/>
          </w:tcPr>
          <w:p w14:paraId="1B6084CE">
            <w:pPr>
              <w:keepNext w:val="0"/>
              <w:keepLines w:val="0"/>
              <w:pageBreakBefore w:val="0"/>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21"/>
                <w:highlight w:val="none"/>
              </w:rPr>
            </w:pPr>
          </w:p>
        </w:tc>
        <w:tc>
          <w:tcPr>
            <w:tcW w:w="3183" w:type="dxa"/>
            <w:gridSpan w:val="4"/>
            <w:tcBorders>
              <w:top w:val="single" w:color="auto" w:sz="4" w:space="0"/>
              <w:left w:val="single" w:color="auto" w:sz="4" w:space="0"/>
            </w:tcBorders>
            <w:shd w:val="clear" w:color="auto" w:fill="auto"/>
            <w:vAlign w:val="center"/>
          </w:tcPr>
          <w:p w14:paraId="545D26C6">
            <w:pPr>
              <w:keepNext w:val="0"/>
              <w:keepLines w:val="0"/>
              <w:pageBreakBefore w:val="0"/>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夜间</w:t>
            </w:r>
          </w:p>
        </w:tc>
        <w:tc>
          <w:tcPr>
            <w:tcW w:w="727" w:type="dxa"/>
            <w:tcBorders>
              <w:top w:val="single" w:color="auto" w:sz="4" w:space="0"/>
            </w:tcBorders>
            <w:shd w:val="clear" w:color="auto" w:fill="auto"/>
            <w:vAlign w:val="center"/>
          </w:tcPr>
          <w:p w14:paraId="1DD68AA8">
            <w:pPr>
              <w:keepNext w:val="0"/>
              <w:keepLines w:val="0"/>
              <w:pageBreakBefore w:val="0"/>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49</w:t>
            </w:r>
          </w:p>
        </w:tc>
        <w:tc>
          <w:tcPr>
            <w:tcW w:w="727" w:type="dxa"/>
            <w:shd w:val="clear" w:color="auto" w:fill="auto"/>
            <w:vAlign w:val="center"/>
          </w:tcPr>
          <w:p w14:paraId="04A2DEE4">
            <w:pPr>
              <w:keepNext w:val="0"/>
              <w:keepLines w:val="0"/>
              <w:pageBreakBefore w:val="0"/>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49</w:t>
            </w:r>
          </w:p>
        </w:tc>
        <w:tc>
          <w:tcPr>
            <w:tcW w:w="727" w:type="dxa"/>
            <w:shd w:val="clear" w:color="auto" w:fill="auto"/>
            <w:vAlign w:val="center"/>
          </w:tcPr>
          <w:p w14:paraId="57B18B3A">
            <w:pPr>
              <w:keepNext w:val="0"/>
              <w:keepLines w:val="0"/>
              <w:pageBreakBefore w:val="0"/>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48</w:t>
            </w:r>
          </w:p>
        </w:tc>
        <w:tc>
          <w:tcPr>
            <w:tcW w:w="729" w:type="dxa"/>
            <w:shd w:val="clear" w:color="auto" w:fill="FFFFFF"/>
            <w:vAlign w:val="center"/>
          </w:tcPr>
          <w:p w14:paraId="68D15544">
            <w:pPr>
              <w:keepNext w:val="0"/>
              <w:keepLines w:val="0"/>
              <w:pageBreakBefore w:val="0"/>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48</w:t>
            </w:r>
          </w:p>
        </w:tc>
      </w:tr>
      <w:tr w14:paraId="5634989C">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284" w:hRule="atLeast"/>
          <w:jc w:val="center"/>
        </w:trPr>
        <w:tc>
          <w:tcPr>
            <w:tcW w:w="2411" w:type="dxa"/>
            <w:gridSpan w:val="2"/>
            <w:vMerge w:val="restart"/>
            <w:tcBorders>
              <w:right w:val="single" w:color="auto" w:sz="4" w:space="0"/>
            </w:tcBorders>
            <w:shd w:val="clear" w:color="auto" w:fill="auto"/>
            <w:vAlign w:val="center"/>
          </w:tcPr>
          <w:p w14:paraId="352ED7F1">
            <w:pPr>
              <w:keepNext w:val="0"/>
              <w:keepLines w:val="0"/>
              <w:pageBreakBefore w:val="0"/>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lang w:val="en-US" w:eastAsia="zh-CN"/>
              </w:rPr>
              <w:t>预测</w:t>
            </w:r>
            <w:r>
              <w:rPr>
                <w:rFonts w:hint="eastAsia" w:ascii="Times New Roman" w:hAnsi="Times New Roman" w:cs="Times New Roman"/>
                <w:color w:val="auto"/>
                <w:sz w:val="21"/>
                <w:szCs w:val="21"/>
                <w:highlight w:val="none"/>
              </w:rPr>
              <w:t>值</w:t>
            </w:r>
          </w:p>
        </w:tc>
        <w:tc>
          <w:tcPr>
            <w:tcW w:w="3183" w:type="dxa"/>
            <w:gridSpan w:val="4"/>
            <w:tcBorders>
              <w:left w:val="single" w:color="auto" w:sz="4" w:space="0"/>
            </w:tcBorders>
            <w:shd w:val="clear" w:color="auto" w:fill="auto"/>
            <w:vAlign w:val="center"/>
          </w:tcPr>
          <w:p w14:paraId="0B64BDF7">
            <w:pPr>
              <w:keepNext w:val="0"/>
              <w:keepLines w:val="0"/>
              <w:pageBreakBefore w:val="0"/>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昼间</w:t>
            </w:r>
          </w:p>
        </w:tc>
        <w:tc>
          <w:tcPr>
            <w:tcW w:w="727" w:type="dxa"/>
            <w:shd w:val="clear" w:color="auto" w:fill="auto"/>
            <w:vAlign w:val="center"/>
          </w:tcPr>
          <w:p w14:paraId="0CAC1A0F">
            <w:pPr>
              <w:keepNext w:val="0"/>
              <w:keepLines w:val="0"/>
              <w:pageBreakBefore w:val="0"/>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58.4</w:t>
            </w:r>
          </w:p>
        </w:tc>
        <w:tc>
          <w:tcPr>
            <w:tcW w:w="727" w:type="dxa"/>
            <w:shd w:val="clear" w:color="auto" w:fill="auto"/>
            <w:vAlign w:val="center"/>
          </w:tcPr>
          <w:p w14:paraId="1FBD3E85">
            <w:pPr>
              <w:keepNext w:val="0"/>
              <w:keepLines w:val="0"/>
              <w:pageBreakBefore w:val="0"/>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58.4</w:t>
            </w:r>
          </w:p>
        </w:tc>
        <w:tc>
          <w:tcPr>
            <w:tcW w:w="727" w:type="dxa"/>
            <w:shd w:val="clear" w:color="auto" w:fill="auto"/>
            <w:vAlign w:val="center"/>
          </w:tcPr>
          <w:p w14:paraId="686A9396">
            <w:pPr>
              <w:keepNext w:val="0"/>
              <w:keepLines w:val="0"/>
              <w:pageBreakBefore w:val="0"/>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58.4</w:t>
            </w:r>
          </w:p>
        </w:tc>
        <w:tc>
          <w:tcPr>
            <w:tcW w:w="729" w:type="dxa"/>
            <w:shd w:val="clear" w:color="auto" w:fill="FFFFFF"/>
            <w:vAlign w:val="center"/>
          </w:tcPr>
          <w:p w14:paraId="10C40501">
            <w:pPr>
              <w:keepNext w:val="0"/>
              <w:keepLines w:val="0"/>
              <w:pageBreakBefore w:val="0"/>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58.2</w:t>
            </w:r>
          </w:p>
        </w:tc>
      </w:tr>
      <w:tr w14:paraId="24215AA7">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284" w:hRule="atLeast"/>
          <w:jc w:val="center"/>
        </w:trPr>
        <w:tc>
          <w:tcPr>
            <w:tcW w:w="2411" w:type="dxa"/>
            <w:gridSpan w:val="2"/>
            <w:vMerge w:val="continue"/>
            <w:tcBorders>
              <w:right w:val="single" w:color="auto" w:sz="4" w:space="0"/>
            </w:tcBorders>
            <w:shd w:val="clear" w:color="auto" w:fill="auto"/>
            <w:vAlign w:val="center"/>
          </w:tcPr>
          <w:p w14:paraId="67B8C8A0">
            <w:pPr>
              <w:keepNext w:val="0"/>
              <w:keepLines w:val="0"/>
              <w:pageBreakBefore w:val="0"/>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21"/>
                <w:highlight w:val="none"/>
              </w:rPr>
            </w:pPr>
          </w:p>
        </w:tc>
        <w:tc>
          <w:tcPr>
            <w:tcW w:w="3183" w:type="dxa"/>
            <w:gridSpan w:val="4"/>
            <w:tcBorders>
              <w:left w:val="single" w:color="auto" w:sz="4" w:space="0"/>
            </w:tcBorders>
            <w:shd w:val="clear" w:color="auto" w:fill="auto"/>
            <w:vAlign w:val="center"/>
          </w:tcPr>
          <w:p w14:paraId="46D11226">
            <w:pPr>
              <w:keepNext w:val="0"/>
              <w:keepLines w:val="0"/>
              <w:pageBreakBefore w:val="0"/>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夜间</w:t>
            </w:r>
          </w:p>
        </w:tc>
        <w:tc>
          <w:tcPr>
            <w:tcW w:w="727" w:type="dxa"/>
            <w:shd w:val="clear" w:color="auto" w:fill="auto"/>
            <w:vAlign w:val="center"/>
          </w:tcPr>
          <w:p w14:paraId="0DAA4B0E">
            <w:pPr>
              <w:keepNext w:val="0"/>
              <w:keepLines w:val="0"/>
              <w:pageBreakBefore w:val="0"/>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51.4</w:t>
            </w:r>
          </w:p>
        </w:tc>
        <w:tc>
          <w:tcPr>
            <w:tcW w:w="727" w:type="dxa"/>
            <w:shd w:val="clear" w:color="auto" w:fill="auto"/>
            <w:vAlign w:val="center"/>
          </w:tcPr>
          <w:p w14:paraId="5D3DA120">
            <w:pPr>
              <w:keepNext w:val="0"/>
              <w:keepLines w:val="0"/>
              <w:pageBreakBefore w:val="0"/>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51.6</w:t>
            </w:r>
          </w:p>
        </w:tc>
        <w:tc>
          <w:tcPr>
            <w:tcW w:w="727" w:type="dxa"/>
            <w:shd w:val="clear" w:color="auto" w:fill="auto"/>
            <w:vAlign w:val="center"/>
          </w:tcPr>
          <w:p w14:paraId="4C67D77F">
            <w:pPr>
              <w:keepNext w:val="0"/>
              <w:keepLines w:val="0"/>
              <w:pageBreakBefore w:val="0"/>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50.9</w:t>
            </w:r>
          </w:p>
        </w:tc>
        <w:tc>
          <w:tcPr>
            <w:tcW w:w="729" w:type="dxa"/>
            <w:shd w:val="clear" w:color="auto" w:fill="FFFFFF"/>
            <w:vAlign w:val="center"/>
          </w:tcPr>
          <w:p w14:paraId="603C0099">
            <w:pPr>
              <w:keepNext w:val="0"/>
              <w:keepLines w:val="0"/>
              <w:pageBreakBefore w:val="0"/>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49.3</w:t>
            </w:r>
          </w:p>
        </w:tc>
      </w:tr>
      <w:tr w14:paraId="7F6C6AB0">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284" w:hRule="atLeast"/>
          <w:jc w:val="center"/>
        </w:trPr>
        <w:tc>
          <w:tcPr>
            <w:tcW w:w="2411" w:type="dxa"/>
            <w:gridSpan w:val="2"/>
            <w:vMerge w:val="restart"/>
            <w:shd w:val="clear" w:color="auto" w:fill="BEBEBE" w:themeFill="background1" w:themeFillShade="BF"/>
            <w:vAlign w:val="center"/>
          </w:tcPr>
          <w:p w14:paraId="253B75C4">
            <w:pPr>
              <w:pStyle w:val="154"/>
              <w:keepNext w:val="0"/>
              <w:keepLines w:val="0"/>
              <w:pageBreakBefore w:val="0"/>
              <w:kinsoku/>
              <w:wordWrap/>
              <w:overflowPunct/>
              <w:topLinePunct w:val="0"/>
              <w:autoSpaceDE/>
              <w:autoSpaceDN/>
              <w:bidi w:val="0"/>
              <w:adjustRightInd/>
              <w:snapToGrid/>
              <w:ind w:left="0" w:right="0"/>
              <w:textAlignment w:val="auto"/>
              <w:rPr>
                <w:color w:val="auto"/>
                <w:sz w:val="21"/>
                <w:szCs w:val="21"/>
                <w:highlight w:val="none"/>
              </w:rPr>
            </w:pPr>
            <w:r>
              <w:rPr>
                <w:rFonts w:hint="eastAsia"/>
                <w:color w:val="auto"/>
                <w:sz w:val="21"/>
                <w:szCs w:val="21"/>
                <w:highlight w:val="none"/>
              </w:rPr>
              <w:t>标准值</w:t>
            </w:r>
          </w:p>
        </w:tc>
        <w:tc>
          <w:tcPr>
            <w:tcW w:w="3183" w:type="dxa"/>
            <w:gridSpan w:val="4"/>
            <w:shd w:val="clear" w:color="auto" w:fill="BEBEBE" w:themeFill="background1" w:themeFillShade="BF"/>
            <w:vAlign w:val="center"/>
          </w:tcPr>
          <w:p w14:paraId="31775AA8">
            <w:pPr>
              <w:keepNext w:val="0"/>
              <w:keepLines w:val="0"/>
              <w:pageBreakBefore w:val="0"/>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昼间</w:t>
            </w:r>
          </w:p>
        </w:tc>
        <w:tc>
          <w:tcPr>
            <w:tcW w:w="727" w:type="dxa"/>
            <w:shd w:val="clear" w:color="auto" w:fill="BEBEBE" w:themeFill="background1" w:themeFillShade="BF"/>
            <w:vAlign w:val="center"/>
          </w:tcPr>
          <w:p w14:paraId="6CA428CF">
            <w:pPr>
              <w:pStyle w:val="154"/>
              <w:keepNext w:val="0"/>
              <w:keepLines w:val="0"/>
              <w:pageBreakBefore w:val="0"/>
              <w:kinsoku/>
              <w:wordWrap/>
              <w:overflowPunct/>
              <w:topLinePunct w:val="0"/>
              <w:autoSpaceDE/>
              <w:autoSpaceDN/>
              <w:bidi w:val="0"/>
              <w:adjustRightInd/>
              <w:snapToGrid/>
              <w:ind w:left="0" w:right="0"/>
              <w:textAlignment w:val="auto"/>
              <w:rPr>
                <w:color w:val="auto"/>
                <w:sz w:val="21"/>
                <w:szCs w:val="21"/>
                <w:highlight w:val="none"/>
              </w:rPr>
            </w:pPr>
            <w:r>
              <w:rPr>
                <w:color w:val="auto"/>
                <w:sz w:val="21"/>
                <w:szCs w:val="21"/>
                <w:highlight w:val="none"/>
              </w:rPr>
              <w:t>65</w:t>
            </w:r>
          </w:p>
        </w:tc>
        <w:tc>
          <w:tcPr>
            <w:tcW w:w="727" w:type="dxa"/>
            <w:shd w:val="clear" w:color="auto" w:fill="BEBEBE" w:themeFill="background1" w:themeFillShade="BF"/>
            <w:vAlign w:val="center"/>
          </w:tcPr>
          <w:p w14:paraId="7321350B">
            <w:pPr>
              <w:pStyle w:val="154"/>
              <w:keepNext w:val="0"/>
              <w:keepLines w:val="0"/>
              <w:pageBreakBefore w:val="0"/>
              <w:kinsoku/>
              <w:wordWrap/>
              <w:overflowPunct/>
              <w:topLinePunct w:val="0"/>
              <w:autoSpaceDE/>
              <w:autoSpaceDN/>
              <w:bidi w:val="0"/>
              <w:adjustRightInd/>
              <w:snapToGrid/>
              <w:ind w:left="0" w:right="0"/>
              <w:textAlignment w:val="auto"/>
              <w:rPr>
                <w:color w:val="auto"/>
                <w:sz w:val="21"/>
                <w:szCs w:val="21"/>
                <w:highlight w:val="none"/>
              </w:rPr>
            </w:pPr>
            <w:r>
              <w:rPr>
                <w:color w:val="auto"/>
                <w:sz w:val="21"/>
                <w:szCs w:val="21"/>
                <w:highlight w:val="none"/>
              </w:rPr>
              <w:t>65</w:t>
            </w:r>
          </w:p>
        </w:tc>
        <w:tc>
          <w:tcPr>
            <w:tcW w:w="727" w:type="dxa"/>
            <w:shd w:val="clear" w:color="auto" w:fill="BEBEBE" w:themeFill="background1" w:themeFillShade="BF"/>
            <w:vAlign w:val="center"/>
          </w:tcPr>
          <w:p w14:paraId="2F6E668C">
            <w:pPr>
              <w:pStyle w:val="154"/>
              <w:keepNext w:val="0"/>
              <w:keepLines w:val="0"/>
              <w:pageBreakBefore w:val="0"/>
              <w:kinsoku/>
              <w:wordWrap/>
              <w:overflowPunct/>
              <w:topLinePunct w:val="0"/>
              <w:autoSpaceDE/>
              <w:autoSpaceDN/>
              <w:bidi w:val="0"/>
              <w:adjustRightInd/>
              <w:snapToGrid/>
              <w:ind w:left="0" w:right="0"/>
              <w:textAlignment w:val="auto"/>
              <w:rPr>
                <w:color w:val="auto"/>
                <w:sz w:val="21"/>
                <w:szCs w:val="21"/>
                <w:highlight w:val="none"/>
              </w:rPr>
            </w:pPr>
            <w:r>
              <w:rPr>
                <w:color w:val="auto"/>
                <w:sz w:val="21"/>
                <w:szCs w:val="21"/>
                <w:highlight w:val="none"/>
              </w:rPr>
              <w:t>65</w:t>
            </w:r>
          </w:p>
        </w:tc>
        <w:tc>
          <w:tcPr>
            <w:tcW w:w="729" w:type="dxa"/>
            <w:shd w:val="clear" w:color="auto" w:fill="BEBEBE" w:themeFill="background1" w:themeFillShade="BF"/>
            <w:vAlign w:val="center"/>
          </w:tcPr>
          <w:p w14:paraId="22EA2A0E">
            <w:pPr>
              <w:pStyle w:val="154"/>
              <w:keepNext w:val="0"/>
              <w:keepLines w:val="0"/>
              <w:pageBreakBefore w:val="0"/>
              <w:kinsoku/>
              <w:wordWrap/>
              <w:overflowPunct/>
              <w:topLinePunct w:val="0"/>
              <w:autoSpaceDE/>
              <w:autoSpaceDN/>
              <w:bidi w:val="0"/>
              <w:adjustRightInd/>
              <w:snapToGrid/>
              <w:ind w:left="0" w:right="0"/>
              <w:textAlignment w:val="auto"/>
              <w:rPr>
                <w:color w:val="auto"/>
                <w:sz w:val="21"/>
                <w:szCs w:val="21"/>
                <w:highlight w:val="none"/>
              </w:rPr>
            </w:pPr>
            <w:r>
              <w:rPr>
                <w:color w:val="auto"/>
                <w:sz w:val="21"/>
                <w:szCs w:val="21"/>
                <w:highlight w:val="none"/>
              </w:rPr>
              <w:t>65</w:t>
            </w:r>
          </w:p>
        </w:tc>
      </w:tr>
      <w:tr w14:paraId="694B1148">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284" w:hRule="atLeast"/>
          <w:jc w:val="center"/>
        </w:trPr>
        <w:tc>
          <w:tcPr>
            <w:tcW w:w="2411" w:type="dxa"/>
            <w:gridSpan w:val="2"/>
            <w:vMerge w:val="continue"/>
            <w:shd w:val="clear" w:color="auto" w:fill="BEBEBE" w:themeFill="background1" w:themeFillShade="BF"/>
            <w:vAlign w:val="center"/>
          </w:tcPr>
          <w:p w14:paraId="4B1927E8">
            <w:pPr>
              <w:pStyle w:val="154"/>
              <w:keepNext w:val="0"/>
              <w:keepLines w:val="0"/>
              <w:pageBreakBefore w:val="0"/>
              <w:kinsoku/>
              <w:wordWrap/>
              <w:overflowPunct/>
              <w:topLinePunct w:val="0"/>
              <w:autoSpaceDE/>
              <w:autoSpaceDN/>
              <w:bidi w:val="0"/>
              <w:adjustRightInd/>
              <w:snapToGrid/>
              <w:ind w:left="0" w:right="0"/>
              <w:textAlignment w:val="auto"/>
              <w:rPr>
                <w:color w:val="auto"/>
                <w:sz w:val="21"/>
                <w:szCs w:val="21"/>
                <w:highlight w:val="none"/>
              </w:rPr>
            </w:pPr>
          </w:p>
        </w:tc>
        <w:tc>
          <w:tcPr>
            <w:tcW w:w="3183" w:type="dxa"/>
            <w:gridSpan w:val="4"/>
            <w:shd w:val="clear" w:color="auto" w:fill="BEBEBE" w:themeFill="background1" w:themeFillShade="BF"/>
            <w:vAlign w:val="center"/>
          </w:tcPr>
          <w:p w14:paraId="76B18BC3">
            <w:pPr>
              <w:keepNext w:val="0"/>
              <w:keepLines w:val="0"/>
              <w:pageBreakBefore w:val="0"/>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夜间</w:t>
            </w:r>
          </w:p>
        </w:tc>
        <w:tc>
          <w:tcPr>
            <w:tcW w:w="727" w:type="dxa"/>
            <w:shd w:val="clear" w:color="auto" w:fill="BEBEBE" w:themeFill="background1" w:themeFillShade="BF"/>
            <w:vAlign w:val="center"/>
          </w:tcPr>
          <w:p w14:paraId="255E669F">
            <w:pPr>
              <w:pStyle w:val="154"/>
              <w:keepNext w:val="0"/>
              <w:keepLines w:val="0"/>
              <w:pageBreakBefore w:val="0"/>
              <w:kinsoku/>
              <w:wordWrap/>
              <w:overflowPunct/>
              <w:topLinePunct w:val="0"/>
              <w:autoSpaceDE/>
              <w:autoSpaceDN/>
              <w:bidi w:val="0"/>
              <w:adjustRightInd/>
              <w:snapToGrid/>
              <w:ind w:left="0" w:right="0"/>
              <w:textAlignment w:val="auto"/>
              <w:rPr>
                <w:color w:val="auto"/>
                <w:sz w:val="21"/>
                <w:szCs w:val="21"/>
                <w:highlight w:val="none"/>
              </w:rPr>
            </w:pPr>
            <w:r>
              <w:rPr>
                <w:color w:val="auto"/>
                <w:sz w:val="21"/>
                <w:szCs w:val="21"/>
                <w:highlight w:val="none"/>
              </w:rPr>
              <w:t>55</w:t>
            </w:r>
          </w:p>
        </w:tc>
        <w:tc>
          <w:tcPr>
            <w:tcW w:w="727" w:type="dxa"/>
            <w:shd w:val="clear" w:color="auto" w:fill="BEBEBE" w:themeFill="background1" w:themeFillShade="BF"/>
            <w:vAlign w:val="center"/>
          </w:tcPr>
          <w:p w14:paraId="5AA5115A">
            <w:pPr>
              <w:pStyle w:val="154"/>
              <w:keepNext w:val="0"/>
              <w:keepLines w:val="0"/>
              <w:pageBreakBefore w:val="0"/>
              <w:kinsoku/>
              <w:wordWrap/>
              <w:overflowPunct/>
              <w:topLinePunct w:val="0"/>
              <w:autoSpaceDE/>
              <w:autoSpaceDN/>
              <w:bidi w:val="0"/>
              <w:adjustRightInd/>
              <w:snapToGrid/>
              <w:ind w:left="0" w:right="0"/>
              <w:textAlignment w:val="auto"/>
              <w:rPr>
                <w:color w:val="auto"/>
                <w:sz w:val="21"/>
                <w:szCs w:val="21"/>
                <w:highlight w:val="none"/>
              </w:rPr>
            </w:pPr>
            <w:r>
              <w:rPr>
                <w:color w:val="auto"/>
                <w:sz w:val="21"/>
                <w:szCs w:val="21"/>
                <w:highlight w:val="none"/>
              </w:rPr>
              <w:t>55</w:t>
            </w:r>
          </w:p>
        </w:tc>
        <w:tc>
          <w:tcPr>
            <w:tcW w:w="727" w:type="dxa"/>
            <w:shd w:val="clear" w:color="auto" w:fill="BEBEBE" w:themeFill="background1" w:themeFillShade="BF"/>
            <w:vAlign w:val="center"/>
          </w:tcPr>
          <w:p w14:paraId="232C2BCB">
            <w:pPr>
              <w:pStyle w:val="154"/>
              <w:keepNext w:val="0"/>
              <w:keepLines w:val="0"/>
              <w:pageBreakBefore w:val="0"/>
              <w:kinsoku/>
              <w:wordWrap/>
              <w:overflowPunct/>
              <w:topLinePunct w:val="0"/>
              <w:autoSpaceDE/>
              <w:autoSpaceDN/>
              <w:bidi w:val="0"/>
              <w:adjustRightInd/>
              <w:snapToGrid/>
              <w:ind w:left="0" w:right="0"/>
              <w:textAlignment w:val="auto"/>
              <w:rPr>
                <w:color w:val="auto"/>
                <w:sz w:val="21"/>
                <w:szCs w:val="21"/>
                <w:highlight w:val="none"/>
              </w:rPr>
            </w:pPr>
            <w:r>
              <w:rPr>
                <w:color w:val="auto"/>
                <w:sz w:val="21"/>
                <w:szCs w:val="21"/>
                <w:highlight w:val="none"/>
              </w:rPr>
              <w:t>55</w:t>
            </w:r>
          </w:p>
        </w:tc>
        <w:tc>
          <w:tcPr>
            <w:tcW w:w="729" w:type="dxa"/>
            <w:shd w:val="clear" w:color="auto" w:fill="BEBEBE" w:themeFill="background1" w:themeFillShade="BF"/>
            <w:vAlign w:val="center"/>
          </w:tcPr>
          <w:p w14:paraId="33088411">
            <w:pPr>
              <w:pStyle w:val="154"/>
              <w:keepNext w:val="0"/>
              <w:keepLines w:val="0"/>
              <w:pageBreakBefore w:val="0"/>
              <w:kinsoku/>
              <w:wordWrap/>
              <w:overflowPunct/>
              <w:topLinePunct w:val="0"/>
              <w:autoSpaceDE/>
              <w:autoSpaceDN/>
              <w:bidi w:val="0"/>
              <w:adjustRightInd/>
              <w:snapToGrid/>
              <w:ind w:left="0" w:right="0"/>
              <w:textAlignment w:val="auto"/>
              <w:rPr>
                <w:color w:val="auto"/>
                <w:sz w:val="21"/>
                <w:szCs w:val="21"/>
                <w:highlight w:val="none"/>
              </w:rPr>
            </w:pPr>
            <w:r>
              <w:rPr>
                <w:color w:val="auto"/>
                <w:sz w:val="21"/>
                <w:szCs w:val="21"/>
                <w:highlight w:val="none"/>
              </w:rPr>
              <w:t>55</w:t>
            </w:r>
          </w:p>
        </w:tc>
      </w:tr>
      <w:tr w14:paraId="38AFC8AF">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284" w:hRule="atLeast"/>
          <w:jc w:val="center"/>
        </w:trPr>
        <w:tc>
          <w:tcPr>
            <w:tcW w:w="5594" w:type="dxa"/>
            <w:gridSpan w:val="6"/>
            <w:shd w:val="clear" w:color="auto" w:fill="BEBEBE" w:themeFill="background1" w:themeFillShade="BF"/>
            <w:vAlign w:val="center"/>
          </w:tcPr>
          <w:p w14:paraId="4277E595">
            <w:pPr>
              <w:keepNext w:val="0"/>
              <w:keepLines w:val="0"/>
              <w:pageBreakBefore w:val="0"/>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21"/>
                <w:highlight w:val="none"/>
              </w:rPr>
            </w:pPr>
            <w:r>
              <w:rPr>
                <w:rFonts w:hint="eastAsia"/>
                <w:color w:val="auto"/>
                <w:sz w:val="21"/>
                <w:szCs w:val="21"/>
                <w:highlight w:val="none"/>
              </w:rPr>
              <w:t>达标情况</w:t>
            </w:r>
          </w:p>
        </w:tc>
        <w:tc>
          <w:tcPr>
            <w:tcW w:w="727" w:type="dxa"/>
            <w:shd w:val="clear" w:color="auto" w:fill="BEBEBE" w:themeFill="background1" w:themeFillShade="BF"/>
            <w:vAlign w:val="center"/>
          </w:tcPr>
          <w:p w14:paraId="6DA73955">
            <w:pPr>
              <w:keepNext w:val="0"/>
              <w:keepLines w:val="0"/>
              <w:pageBreakBefore w:val="0"/>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达标</w:t>
            </w:r>
          </w:p>
        </w:tc>
        <w:tc>
          <w:tcPr>
            <w:tcW w:w="727" w:type="dxa"/>
            <w:shd w:val="clear" w:color="auto" w:fill="BEBEBE" w:themeFill="background1" w:themeFillShade="BF"/>
            <w:vAlign w:val="center"/>
          </w:tcPr>
          <w:p w14:paraId="0074586B">
            <w:pPr>
              <w:keepNext w:val="0"/>
              <w:keepLines w:val="0"/>
              <w:pageBreakBefore w:val="0"/>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达标</w:t>
            </w:r>
          </w:p>
        </w:tc>
        <w:tc>
          <w:tcPr>
            <w:tcW w:w="727" w:type="dxa"/>
            <w:shd w:val="clear" w:color="auto" w:fill="BEBEBE" w:themeFill="background1" w:themeFillShade="BF"/>
            <w:vAlign w:val="center"/>
          </w:tcPr>
          <w:p w14:paraId="287089C9">
            <w:pPr>
              <w:keepNext w:val="0"/>
              <w:keepLines w:val="0"/>
              <w:pageBreakBefore w:val="0"/>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达标</w:t>
            </w:r>
          </w:p>
        </w:tc>
        <w:tc>
          <w:tcPr>
            <w:tcW w:w="729" w:type="dxa"/>
            <w:shd w:val="clear" w:color="auto" w:fill="BEBEBE" w:themeFill="background1" w:themeFillShade="BF"/>
            <w:vAlign w:val="center"/>
          </w:tcPr>
          <w:p w14:paraId="238A67EF">
            <w:pPr>
              <w:keepNext w:val="0"/>
              <w:keepLines w:val="0"/>
              <w:pageBreakBefore w:val="0"/>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达标</w:t>
            </w:r>
          </w:p>
        </w:tc>
      </w:tr>
    </w:tbl>
    <w:p w14:paraId="25151F61">
      <w:pPr>
        <w:ind w:left="-105" w:right="-105" w:firstLine="422"/>
        <w:rPr>
          <w:b/>
          <w:bCs/>
          <w:color w:val="auto"/>
          <w:sz w:val="21"/>
          <w:szCs w:val="21"/>
          <w:highlight w:val="none"/>
        </w:rPr>
      </w:pPr>
      <w:r>
        <w:rPr>
          <w:rFonts w:hint="eastAsia"/>
          <w:b/>
          <w:bCs/>
          <w:color w:val="auto"/>
          <w:sz w:val="21"/>
          <w:szCs w:val="21"/>
          <w:highlight w:val="none"/>
        </w:rPr>
        <w:t>注：背景值取厂界现状监测最大值。</w:t>
      </w:r>
    </w:p>
    <w:p w14:paraId="27317AD0">
      <w:pPr>
        <w:keepNext w:val="0"/>
        <w:keepLines w:val="0"/>
        <w:pageBreakBefore w:val="0"/>
        <w:widowControl/>
        <w:kinsoku/>
        <w:wordWrap/>
        <w:overflowPunct/>
        <w:topLinePunct w:val="0"/>
        <w:autoSpaceDE/>
        <w:autoSpaceDN/>
        <w:bidi w:val="0"/>
        <w:adjustRightInd/>
        <w:snapToGrid/>
        <w:spacing w:line="360" w:lineRule="auto"/>
        <w:ind w:left="0" w:right="0" w:firstLine="482"/>
        <w:jc w:val="center"/>
        <w:textAlignment w:val="auto"/>
        <w:rPr>
          <w:rFonts w:hint="eastAsia" w:ascii="Times New Roman" w:hAnsi="Times New Roman" w:eastAsia="宋体" w:cstheme="majorBidi"/>
          <w:b/>
          <w:color w:val="auto"/>
          <w:kern w:val="2"/>
          <w:sz w:val="24"/>
          <w:szCs w:val="18"/>
          <w:highlight w:val="none"/>
          <w:lang w:val="en-US" w:eastAsia="zh-CN" w:bidi="ar-SA"/>
        </w:rPr>
      </w:pPr>
      <w:r>
        <w:rPr>
          <w:rFonts w:ascii="Times New Roman" w:hAnsi="Times New Roman" w:eastAsia="宋体" w:cstheme="majorBidi"/>
          <w:b/>
          <w:color w:val="auto"/>
          <w:kern w:val="2"/>
          <w:sz w:val="24"/>
          <w:szCs w:val="18"/>
          <w:highlight w:val="none"/>
          <w:lang w:val="en-US" w:eastAsia="zh-CN" w:bidi="ar-SA"/>
        </w:rPr>
        <w:t>表</w:t>
      </w:r>
      <w:r>
        <w:rPr>
          <w:rFonts w:ascii="Times New Roman" w:hAnsi="Times New Roman" w:eastAsia="宋体" w:cstheme="majorBidi"/>
          <w:b/>
          <w:color w:val="auto"/>
          <w:kern w:val="2"/>
          <w:sz w:val="24"/>
          <w:szCs w:val="18"/>
          <w:highlight w:val="none"/>
          <w:lang w:val="en-US" w:eastAsia="zh-CN" w:bidi="ar-SA"/>
        </w:rPr>
        <w:fldChar w:fldCharType="begin"/>
      </w:r>
      <w:r>
        <w:rPr>
          <w:rFonts w:ascii="Times New Roman" w:hAnsi="Times New Roman" w:eastAsia="宋体" w:cstheme="majorBidi"/>
          <w:b/>
          <w:color w:val="auto"/>
          <w:kern w:val="2"/>
          <w:sz w:val="24"/>
          <w:szCs w:val="18"/>
          <w:highlight w:val="none"/>
          <w:lang w:val="en-US" w:eastAsia="zh-CN" w:bidi="ar-SA"/>
        </w:rPr>
        <w:instrText xml:space="preserve"> STYLEREF 2 \s </w:instrText>
      </w:r>
      <w:r>
        <w:rPr>
          <w:rFonts w:ascii="Times New Roman" w:hAnsi="Times New Roman" w:eastAsia="宋体" w:cstheme="majorBidi"/>
          <w:b/>
          <w:color w:val="auto"/>
          <w:kern w:val="2"/>
          <w:sz w:val="24"/>
          <w:szCs w:val="18"/>
          <w:highlight w:val="none"/>
          <w:lang w:val="en-US" w:eastAsia="zh-CN" w:bidi="ar-SA"/>
        </w:rPr>
        <w:fldChar w:fldCharType="separate"/>
      </w:r>
      <w:r>
        <w:rPr>
          <w:rFonts w:ascii="Times New Roman" w:hAnsi="Times New Roman" w:eastAsia="宋体" w:cstheme="majorBidi"/>
          <w:b/>
          <w:color w:val="auto"/>
          <w:kern w:val="2"/>
          <w:sz w:val="24"/>
          <w:szCs w:val="18"/>
          <w:highlight w:val="none"/>
          <w:lang w:val="en-US" w:eastAsia="zh-CN" w:bidi="ar-SA"/>
        </w:rPr>
        <w:t>6.5</w:t>
      </w:r>
      <w:r>
        <w:rPr>
          <w:rFonts w:ascii="Times New Roman" w:hAnsi="Times New Roman" w:eastAsia="宋体" w:cstheme="majorBidi"/>
          <w:b/>
          <w:color w:val="auto"/>
          <w:kern w:val="2"/>
          <w:sz w:val="24"/>
          <w:szCs w:val="18"/>
          <w:highlight w:val="none"/>
          <w:lang w:val="en-US" w:eastAsia="zh-CN" w:bidi="ar-SA"/>
        </w:rPr>
        <w:fldChar w:fldCharType="end"/>
      </w:r>
      <w:r>
        <w:rPr>
          <w:rFonts w:ascii="Times New Roman" w:hAnsi="Times New Roman" w:eastAsia="宋体" w:cstheme="majorBidi"/>
          <w:b/>
          <w:color w:val="auto"/>
          <w:kern w:val="2"/>
          <w:sz w:val="24"/>
          <w:szCs w:val="18"/>
          <w:highlight w:val="none"/>
          <w:lang w:val="en-US" w:eastAsia="zh-CN" w:bidi="ar-SA"/>
        </w:rPr>
        <w:noBreakHyphen/>
      </w:r>
      <w:r>
        <w:rPr>
          <w:rFonts w:ascii="Times New Roman" w:hAnsi="Times New Roman" w:eastAsia="宋体" w:cstheme="majorBidi"/>
          <w:b/>
          <w:color w:val="auto"/>
          <w:kern w:val="2"/>
          <w:sz w:val="24"/>
          <w:szCs w:val="18"/>
          <w:highlight w:val="none"/>
          <w:lang w:val="en-US" w:eastAsia="zh-CN" w:bidi="ar-SA"/>
        </w:rPr>
        <w:fldChar w:fldCharType="begin"/>
      </w:r>
      <w:r>
        <w:rPr>
          <w:rFonts w:ascii="Times New Roman" w:hAnsi="Times New Roman" w:eastAsia="宋体" w:cstheme="majorBidi"/>
          <w:b/>
          <w:color w:val="auto"/>
          <w:kern w:val="2"/>
          <w:sz w:val="24"/>
          <w:szCs w:val="18"/>
          <w:highlight w:val="none"/>
          <w:lang w:val="en-US" w:eastAsia="zh-CN" w:bidi="ar-SA"/>
        </w:rPr>
        <w:instrText xml:space="preserve"> SEQ 表 \* ARABIC \s 2 </w:instrText>
      </w:r>
      <w:r>
        <w:rPr>
          <w:rFonts w:ascii="Times New Roman" w:hAnsi="Times New Roman" w:eastAsia="宋体" w:cstheme="majorBidi"/>
          <w:b/>
          <w:color w:val="auto"/>
          <w:kern w:val="2"/>
          <w:sz w:val="24"/>
          <w:szCs w:val="18"/>
          <w:highlight w:val="none"/>
          <w:lang w:val="en-US" w:eastAsia="zh-CN" w:bidi="ar-SA"/>
        </w:rPr>
        <w:fldChar w:fldCharType="separate"/>
      </w:r>
      <w:r>
        <w:rPr>
          <w:rFonts w:ascii="Times New Roman" w:hAnsi="Times New Roman" w:eastAsia="宋体" w:cstheme="majorBidi"/>
          <w:b/>
          <w:color w:val="auto"/>
          <w:kern w:val="2"/>
          <w:sz w:val="24"/>
          <w:szCs w:val="18"/>
          <w:highlight w:val="none"/>
          <w:lang w:val="en-US" w:eastAsia="zh-CN" w:bidi="ar-SA"/>
        </w:rPr>
        <w:t>3</w:t>
      </w:r>
      <w:r>
        <w:rPr>
          <w:rFonts w:ascii="Times New Roman" w:hAnsi="Times New Roman" w:eastAsia="宋体" w:cstheme="majorBidi"/>
          <w:b/>
          <w:color w:val="auto"/>
          <w:kern w:val="2"/>
          <w:sz w:val="24"/>
          <w:szCs w:val="18"/>
          <w:highlight w:val="none"/>
          <w:lang w:val="en-US" w:eastAsia="zh-CN" w:bidi="ar-SA"/>
        </w:rPr>
        <w:fldChar w:fldCharType="end"/>
      </w:r>
      <w:r>
        <w:rPr>
          <w:rFonts w:hint="eastAsia" w:ascii="Times New Roman" w:hAnsi="Times New Roman" w:eastAsia="宋体" w:cstheme="majorBidi"/>
          <w:b/>
          <w:color w:val="auto"/>
          <w:kern w:val="2"/>
          <w:sz w:val="24"/>
          <w:szCs w:val="18"/>
          <w:highlight w:val="none"/>
          <w:lang w:val="en-US" w:eastAsia="zh-CN" w:bidi="ar-SA"/>
        </w:rPr>
        <w:t>工业企业声环境保护目标噪声预测结果与达标分析</w:t>
      </w:r>
      <w:r>
        <w:rPr>
          <w:rFonts w:ascii="Times New Roman" w:hAnsi="Times New Roman" w:eastAsia="宋体" w:cstheme="majorBidi"/>
          <w:b/>
          <w:color w:val="auto"/>
          <w:kern w:val="2"/>
          <w:sz w:val="24"/>
          <w:szCs w:val="18"/>
          <w:highlight w:val="none"/>
          <w:lang w:val="en-US" w:eastAsia="zh-CN" w:bidi="ar-SA"/>
        </w:rPr>
        <w:t>表</w:t>
      </w:r>
      <w:r>
        <w:rPr>
          <w:rFonts w:hint="eastAsia" w:ascii="Times New Roman" w:hAnsi="Times New Roman" w:eastAsia="宋体" w:cstheme="majorBidi"/>
          <w:b/>
          <w:color w:val="auto"/>
          <w:kern w:val="2"/>
          <w:sz w:val="24"/>
          <w:szCs w:val="18"/>
          <w:highlight w:val="none"/>
          <w:lang w:val="en-US" w:eastAsia="zh-CN" w:bidi="ar-SA"/>
        </w:rPr>
        <w:t xml:space="preserve"> </w:t>
      </w:r>
      <w:r>
        <w:rPr>
          <w:rFonts w:ascii="Times New Roman" w:hAnsi="Times New Roman" w:eastAsia="宋体" w:cstheme="majorBidi"/>
          <w:b/>
          <w:color w:val="auto"/>
          <w:kern w:val="2"/>
          <w:sz w:val="24"/>
          <w:szCs w:val="18"/>
          <w:highlight w:val="none"/>
          <w:lang w:val="en-US" w:eastAsia="zh-CN" w:bidi="ar-SA"/>
        </w:rPr>
        <w:t>单位：dB（A）</w:t>
      </w:r>
    </w:p>
    <w:tbl>
      <w:tblPr>
        <w:tblStyle w:val="46"/>
        <w:tblW w:w="5000"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569"/>
        <w:gridCol w:w="882"/>
        <w:gridCol w:w="726"/>
        <w:gridCol w:w="727"/>
        <w:gridCol w:w="727"/>
        <w:gridCol w:w="727"/>
        <w:gridCol w:w="727"/>
        <w:gridCol w:w="727"/>
        <w:gridCol w:w="727"/>
        <w:gridCol w:w="727"/>
        <w:gridCol w:w="727"/>
        <w:gridCol w:w="727"/>
      </w:tblGrid>
      <w:tr w14:paraId="56CCFDF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69" w:type="dxa"/>
            <w:vMerge w:val="restart"/>
            <w:tcBorders>
              <w:tl2br w:val="nil"/>
              <w:tr2bl w:val="nil"/>
            </w:tcBorders>
            <w:vAlign w:val="center"/>
          </w:tcPr>
          <w:p w14:paraId="344F4E59">
            <w:pPr>
              <w:keepNext w:val="0"/>
              <w:keepLines w:val="0"/>
              <w:pageBreakBefore w:val="0"/>
              <w:widowControl/>
              <w:kinsoku/>
              <w:wordWrap/>
              <w:overflowPunct/>
              <w:topLinePunct w:val="0"/>
              <w:autoSpaceDE/>
              <w:autoSpaceDN/>
              <w:bidi w:val="0"/>
              <w:adjustRightInd/>
              <w:snapToGrid/>
              <w:spacing w:line="240" w:lineRule="auto"/>
              <w:ind w:right="0"/>
              <w:jc w:val="center"/>
              <w:textAlignment w:val="auto"/>
              <w:rPr>
                <w:rFonts w:hint="eastAsia" w:ascii="Times New Roman" w:hAnsi="Times New Roman" w:eastAsia="宋体" w:cs="Times New Roman"/>
                <w:b/>
                <w:bCs/>
                <w:color w:val="auto"/>
                <w:sz w:val="21"/>
                <w:szCs w:val="21"/>
                <w:highlight w:val="none"/>
                <w:vertAlign w:val="baseline"/>
                <w:lang w:val="en-US" w:eastAsia="zh-CN"/>
              </w:rPr>
            </w:pPr>
            <w:r>
              <w:rPr>
                <w:rFonts w:hint="eastAsia" w:ascii="Times New Roman" w:hAnsi="Times New Roman" w:cs="Times New Roman"/>
                <w:b/>
                <w:bCs/>
                <w:color w:val="auto"/>
                <w:sz w:val="21"/>
                <w:szCs w:val="21"/>
                <w:highlight w:val="none"/>
                <w:vertAlign w:val="baseline"/>
                <w:lang w:val="en-US" w:eastAsia="zh-CN"/>
              </w:rPr>
              <w:t>序号</w:t>
            </w:r>
          </w:p>
        </w:tc>
        <w:tc>
          <w:tcPr>
            <w:tcW w:w="882" w:type="dxa"/>
            <w:vMerge w:val="restart"/>
            <w:tcBorders>
              <w:tl2br w:val="nil"/>
              <w:tr2bl w:val="nil"/>
            </w:tcBorders>
            <w:vAlign w:val="center"/>
          </w:tcPr>
          <w:p w14:paraId="20A05278">
            <w:pPr>
              <w:keepNext w:val="0"/>
              <w:keepLines w:val="0"/>
              <w:pageBreakBefore w:val="0"/>
              <w:widowControl/>
              <w:kinsoku/>
              <w:wordWrap/>
              <w:overflowPunct/>
              <w:topLinePunct w:val="0"/>
              <w:autoSpaceDE/>
              <w:autoSpaceDN/>
              <w:bidi w:val="0"/>
              <w:adjustRightInd/>
              <w:snapToGrid/>
              <w:spacing w:line="240" w:lineRule="auto"/>
              <w:ind w:right="0"/>
              <w:jc w:val="center"/>
              <w:textAlignment w:val="auto"/>
              <w:rPr>
                <w:rFonts w:hint="default" w:ascii="Times New Roman" w:hAnsi="Times New Roman" w:eastAsia="宋体" w:cs="Times New Roman"/>
                <w:b/>
                <w:bCs/>
                <w:color w:val="auto"/>
                <w:sz w:val="21"/>
                <w:szCs w:val="21"/>
                <w:highlight w:val="none"/>
                <w:vertAlign w:val="baseline"/>
                <w:lang w:val="en-US" w:eastAsia="zh-CN"/>
              </w:rPr>
            </w:pPr>
            <w:r>
              <w:rPr>
                <w:rFonts w:hint="eastAsia" w:ascii="Times New Roman" w:hAnsi="Times New Roman" w:cs="Times New Roman"/>
                <w:b/>
                <w:bCs/>
                <w:color w:val="auto"/>
                <w:sz w:val="21"/>
                <w:szCs w:val="21"/>
                <w:highlight w:val="none"/>
                <w:vertAlign w:val="baseline"/>
                <w:lang w:val="en-US" w:eastAsia="zh-CN"/>
              </w:rPr>
              <w:t>声环境保护目标名称</w:t>
            </w:r>
          </w:p>
        </w:tc>
        <w:tc>
          <w:tcPr>
            <w:tcW w:w="1453" w:type="dxa"/>
            <w:gridSpan w:val="2"/>
            <w:tcBorders>
              <w:tl2br w:val="nil"/>
              <w:tr2bl w:val="nil"/>
            </w:tcBorders>
            <w:vAlign w:val="center"/>
          </w:tcPr>
          <w:p w14:paraId="75B34558">
            <w:pPr>
              <w:keepNext w:val="0"/>
              <w:keepLines w:val="0"/>
              <w:pageBreakBefore w:val="0"/>
              <w:widowControl/>
              <w:kinsoku/>
              <w:wordWrap/>
              <w:overflowPunct/>
              <w:topLinePunct w:val="0"/>
              <w:autoSpaceDE/>
              <w:autoSpaceDN/>
              <w:bidi w:val="0"/>
              <w:adjustRightInd/>
              <w:snapToGrid/>
              <w:spacing w:line="240" w:lineRule="auto"/>
              <w:ind w:right="0"/>
              <w:jc w:val="center"/>
              <w:textAlignment w:val="auto"/>
              <w:rPr>
                <w:rFonts w:hint="eastAsia" w:ascii="Times New Roman" w:hAnsi="Times New Roman" w:eastAsia="宋体" w:cs="Times New Roman"/>
                <w:b/>
                <w:bCs/>
                <w:color w:val="auto"/>
                <w:sz w:val="21"/>
                <w:szCs w:val="21"/>
                <w:highlight w:val="none"/>
                <w:vertAlign w:val="baseline"/>
                <w:lang w:val="en-US" w:eastAsia="zh-CN"/>
              </w:rPr>
            </w:pPr>
            <w:r>
              <w:rPr>
                <w:rFonts w:hint="eastAsia" w:ascii="Times New Roman" w:hAnsi="Times New Roman" w:cs="Times New Roman"/>
                <w:b/>
                <w:bCs/>
                <w:color w:val="auto"/>
                <w:sz w:val="21"/>
                <w:szCs w:val="21"/>
                <w:highlight w:val="none"/>
                <w:vertAlign w:val="baseline"/>
                <w:lang w:val="en-US" w:eastAsia="zh-CN"/>
              </w:rPr>
              <w:t>现状值</w:t>
            </w:r>
          </w:p>
        </w:tc>
        <w:tc>
          <w:tcPr>
            <w:tcW w:w="1454" w:type="dxa"/>
            <w:gridSpan w:val="2"/>
            <w:tcBorders>
              <w:tl2br w:val="nil"/>
              <w:tr2bl w:val="nil"/>
            </w:tcBorders>
            <w:vAlign w:val="center"/>
          </w:tcPr>
          <w:p w14:paraId="07DFD814">
            <w:pPr>
              <w:keepNext w:val="0"/>
              <w:keepLines w:val="0"/>
              <w:pageBreakBefore w:val="0"/>
              <w:widowControl/>
              <w:kinsoku/>
              <w:wordWrap/>
              <w:overflowPunct/>
              <w:topLinePunct w:val="0"/>
              <w:autoSpaceDE/>
              <w:autoSpaceDN/>
              <w:bidi w:val="0"/>
              <w:adjustRightInd/>
              <w:snapToGrid/>
              <w:spacing w:line="240" w:lineRule="auto"/>
              <w:ind w:right="0"/>
              <w:jc w:val="center"/>
              <w:textAlignment w:val="auto"/>
              <w:rPr>
                <w:rFonts w:hint="eastAsia" w:ascii="Times New Roman" w:hAnsi="Times New Roman" w:eastAsia="宋体" w:cs="Times New Roman"/>
                <w:b/>
                <w:bCs/>
                <w:color w:val="auto"/>
                <w:sz w:val="21"/>
                <w:szCs w:val="21"/>
                <w:highlight w:val="none"/>
                <w:vertAlign w:val="baseline"/>
                <w:lang w:val="en-US" w:eastAsia="zh-CN"/>
              </w:rPr>
            </w:pPr>
            <w:r>
              <w:rPr>
                <w:rFonts w:hint="eastAsia" w:ascii="Times New Roman" w:hAnsi="Times New Roman" w:cs="Times New Roman"/>
                <w:b/>
                <w:bCs/>
                <w:color w:val="auto"/>
                <w:sz w:val="21"/>
                <w:szCs w:val="21"/>
                <w:highlight w:val="none"/>
                <w:vertAlign w:val="baseline"/>
                <w:lang w:val="en-US" w:eastAsia="zh-CN"/>
              </w:rPr>
              <w:t>噪声标准</w:t>
            </w:r>
          </w:p>
        </w:tc>
        <w:tc>
          <w:tcPr>
            <w:tcW w:w="1454" w:type="dxa"/>
            <w:gridSpan w:val="2"/>
            <w:tcBorders>
              <w:tl2br w:val="nil"/>
              <w:tr2bl w:val="nil"/>
            </w:tcBorders>
            <w:vAlign w:val="center"/>
          </w:tcPr>
          <w:p w14:paraId="00433498">
            <w:pPr>
              <w:keepNext w:val="0"/>
              <w:keepLines w:val="0"/>
              <w:pageBreakBefore w:val="0"/>
              <w:widowControl/>
              <w:kinsoku/>
              <w:wordWrap/>
              <w:overflowPunct/>
              <w:topLinePunct w:val="0"/>
              <w:autoSpaceDE/>
              <w:autoSpaceDN/>
              <w:bidi w:val="0"/>
              <w:adjustRightInd/>
              <w:snapToGrid/>
              <w:spacing w:line="240" w:lineRule="auto"/>
              <w:ind w:right="0"/>
              <w:jc w:val="center"/>
              <w:textAlignment w:val="auto"/>
              <w:rPr>
                <w:rFonts w:hint="eastAsia" w:ascii="Times New Roman" w:hAnsi="Times New Roman" w:eastAsia="宋体" w:cs="Times New Roman"/>
                <w:b/>
                <w:bCs/>
                <w:color w:val="auto"/>
                <w:sz w:val="21"/>
                <w:szCs w:val="21"/>
                <w:highlight w:val="none"/>
                <w:vertAlign w:val="baseline"/>
                <w:lang w:val="en-US" w:eastAsia="zh-CN"/>
              </w:rPr>
            </w:pPr>
            <w:r>
              <w:rPr>
                <w:rFonts w:hint="eastAsia" w:ascii="Times New Roman" w:hAnsi="Times New Roman" w:cs="Times New Roman"/>
                <w:b/>
                <w:bCs/>
                <w:color w:val="auto"/>
                <w:sz w:val="21"/>
                <w:szCs w:val="21"/>
                <w:highlight w:val="none"/>
                <w:vertAlign w:val="baseline"/>
                <w:lang w:val="en-US" w:eastAsia="zh-CN"/>
              </w:rPr>
              <w:t>预测值</w:t>
            </w:r>
          </w:p>
        </w:tc>
        <w:tc>
          <w:tcPr>
            <w:tcW w:w="1454" w:type="dxa"/>
            <w:gridSpan w:val="2"/>
            <w:tcBorders>
              <w:tl2br w:val="nil"/>
              <w:tr2bl w:val="nil"/>
            </w:tcBorders>
            <w:vAlign w:val="center"/>
          </w:tcPr>
          <w:p w14:paraId="7E3D2196">
            <w:pPr>
              <w:keepNext w:val="0"/>
              <w:keepLines w:val="0"/>
              <w:pageBreakBefore w:val="0"/>
              <w:widowControl/>
              <w:kinsoku/>
              <w:wordWrap/>
              <w:overflowPunct/>
              <w:topLinePunct w:val="0"/>
              <w:autoSpaceDE/>
              <w:autoSpaceDN/>
              <w:bidi w:val="0"/>
              <w:adjustRightInd/>
              <w:snapToGrid/>
              <w:spacing w:line="240" w:lineRule="auto"/>
              <w:ind w:right="0"/>
              <w:jc w:val="center"/>
              <w:textAlignment w:val="auto"/>
              <w:rPr>
                <w:rFonts w:hint="eastAsia" w:ascii="Times New Roman" w:hAnsi="Times New Roman" w:eastAsia="宋体" w:cs="Times New Roman"/>
                <w:b/>
                <w:bCs/>
                <w:color w:val="auto"/>
                <w:sz w:val="21"/>
                <w:szCs w:val="21"/>
                <w:highlight w:val="none"/>
                <w:vertAlign w:val="baseline"/>
                <w:lang w:val="en-US" w:eastAsia="zh-CN"/>
              </w:rPr>
            </w:pPr>
            <w:r>
              <w:rPr>
                <w:rFonts w:hint="eastAsia" w:ascii="Times New Roman" w:hAnsi="Times New Roman" w:cs="Times New Roman"/>
                <w:b/>
                <w:bCs/>
                <w:color w:val="auto"/>
                <w:sz w:val="21"/>
                <w:szCs w:val="21"/>
                <w:highlight w:val="none"/>
                <w:vertAlign w:val="baseline"/>
                <w:lang w:val="en-US" w:eastAsia="zh-CN"/>
              </w:rPr>
              <w:t>较现状增量</w:t>
            </w:r>
          </w:p>
        </w:tc>
        <w:tc>
          <w:tcPr>
            <w:tcW w:w="1454" w:type="dxa"/>
            <w:gridSpan w:val="2"/>
            <w:tcBorders>
              <w:tl2br w:val="nil"/>
              <w:tr2bl w:val="nil"/>
            </w:tcBorders>
            <w:vAlign w:val="center"/>
          </w:tcPr>
          <w:p w14:paraId="2A3D2C76">
            <w:pPr>
              <w:keepNext w:val="0"/>
              <w:keepLines w:val="0"/>
              <w:pageBreakBefore w:val="0"/>
              <w:widowControl/>
              <w:kinsoku/>
              <w:wordWrap/>
              <w:overflowPunct/>
              <w:topLinePunct w:val="0"/>
              <w:autoSpaceDE/>
              <w:autoSpaceDN/>
              <w:bidi w:val="0"/>
              <w:adjustRightInd/>
              <w:snapToGrid/>
              <w:spacing w:line="240" w:lineRule="auto"/>
              <w:ind w:right="0"/>
              <w:jc w:val="center"/>
              <w:textAlignment w:val="auto"/>
              <w:rPr>
                <w:rFonts w:hint="eastAsia" w:ascii="Times New Roman" w:hAnsi="Times New Roman" w:eastAsia="宋体" w:cs="Times New Roman"/>
                <w:b/>
                <w:bCs/>
                <w:color w:val="auto"/>
                <w:sz w:val="21"/>
                <w:szCs w:val="21"/>
                <w:highlight w:val="none"/>
                <w:vertAlign w:val="baseline"/>
                <w:lang w:val="en-US" w:eastAsia="zh-CN"/>
              </w:rPr>
            </w:pPr>
            <w:r>
              <w:rPr>
                <w:rFonts w:hint="eastAsia" w:ascii="Times New Roman" w:hAnsi="Times New Roman" w:cs="Times New Roman"/>
                <w:b/>
                <w:bCs/>
                <w:color w:val="auto"/>
                <w:sz w:val="21"/>
                <w:szCs w:val="21"/>
                <w:highlight w:val="none"/>
                <w:vertAlign w:val="baseline"/>
                <w:lang w:val="en-US" w:eastAsia="zh-CN"/>
              </w:rPr>
              <w:t>达标情况</w:t>
            </w:r>
          </w:p>
        </w:tc>
      </w:tr>
      <w:tr w14:paraId="74E9F9B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69" w:type="dxa"/>
            <w:vMerge w:val="continue"/>
            <w:tcBorders>
              <w:tl2br w:val="nil"/>
              <w:tr2bl w:val="nil"/>
            </w:tcBorders>
            <w:vAlign w:val="center"/>
          </w:tcPr>
          <w:p w14:paraId="534B23DC">
            <w:pPr>
              <w:keepNext w:val="0"/>
              <w:keepLines w:val="0"/>
              <w:pageBreakBefore w:val="0"/>
              <w:widowControl/>
              <w:kinsoku/>
              <w:wordWrap/>
              <w:overflowPunct/>
              <w:topLinePunct w:val="0"/>
              <w:autoSpaceDE/>
              <w:autoSpaceDN/>
              <w:bidi w:val="0"/>
              <w:adjustRightInd/>
              <w:snapToGrid/>
              <w:spacing w:line="240" w:lineRule="auto"/>
              <w:ind w:right="0"/>
              <w:jc w:val="center"/>
              <w:textAlignment w:val="auto"/>
              <w:rPr>
                <w:rFonts w:hint="default" w:ascii="Times New Roman" w:hAnsi="Times New Roman" w:eastAsia="宋体" w:cs="Times New Roman"/>
                <w:b/>
                <w:bCs/>
                <w:color w:val="auto"/>
                <w:sz w:val="21"/>
                <w:szCs w:val="21"/>
                <w:highlight w:val="none"/>
                <w:vertAlign w:val="baseline"/>
              </w:rPr>
            </w:pPr>
          </w:p>
        </w:tc>
        <w:tc>
          <w:tcPr>
            <w:tcW w:w="882" w:type="dxa"/>
            <w:vMerge w:val="continue"/>
            <w:tcBorders>
              <w:tl2br w:val="nil"/>
              <w:tr2bl w:val="nil"/>
            </w:tcBorders>
            <w:vAlign w:val="center"/>
          </w:tcPr>
          <w:p w14:paraId="7160B553">
            <w:pPr>
              <w:keepNext w:val="0"/>
              <w:keepLines w:val="0"/>
              <w:pageBreakBefore w:val="0"/>
              <w:widowControl/>
              <w:kinsoku/>
              <w:wordWrap/>
              <w:overflowPunct/>
              <w:topLinePunct w:val="0"/>
              <w:autoSpaceDE/>
              <w:autoSpaceDN/>
              <w:bidi w:val="0"/>
              <w:adjustRightInd/>
              <w:snapToGrid/>
              <w:spacing w:line="240" w:lineRule="auto"/>
              <w:ind w:right="0"/>
              <w:jc w:val="center"/>
              <w:textAlignment w:val="auto"/>
              <w:rPr>
                <w:rFonts w:hint="default" w:ascii="Times New Roman" w:hAnsi="Times New Roman" w:eastAsia="宋体" w:cs="Times New Roman"/>
                <w:b/>
                <w:bCs/>
                <w:color w:val="auto"/>
                <w:sz w:val="21"/>
                <w:szCs w:val="21"/>
                <w:highlight w:val="none"/>
                <w:vertAlign w:val="baseline"/>
              </w:rPr>
            </w:pPr>
          </w:p>
        </w:tc>
        <w:tc>
          <w:tcPr>
            <w:tcW w:w="726" w:type="dxa"/>
            <w:tcBorders>
              <w:tl2br w:val="nil"/>
              <w:tr2bl w:val="nil"/>
            </w:tcBorders>
            <w:vAlign w:val="center"/>
          </w:tcPr>
          <w:p w14:paraId="4070B3D7">
            <w:pPr>
              <w:keepNext w:val="0"/>
              <w:keepLines w:val="0"/>
              <w:pageBreakBefore w:val="0"/>
              <w:widowControl/>
              <w:kinsoku/>
              <w:wordWrap/>
              <w:overflowPunct/>
              <w:topLinePunct w:val="0"/>
              <w:autoSpaceDE/>
              <w:autoSpaceDN/>
              <w:bidi w:val="0"/>
              <w:adjustRightInd/>
              <w:snapToGrid/>
              <w:spacing w:line="240" w:lineRule="auto"/>
              <w:ind w:right="0"/>
              <w:jc w:val="center"/>
              <w:textAlignment w:val="auto"/>
              <w:rPr>
                <w:rFonts w:hint="eastAsia" w:ascii="Times New Roman" w:hAnsi="Times New Roman" w:eastAsia="宋体" w:cs="Times New Roman"/>
                <w:b/>
                <w:bCs/>
                <w:color w:val="auto"/>
                <w:sz w:val="21"/>
                <w:szCs w:val="21"/>
                <w:highlight w:val="none"/>
                <w:vertAlign w:val="baseline"/>
                <w:lang w:val="en-US" w:eastAsia="zh-CN"/>
              </w:rPr>
            </w:pPr>
            <w:r>
              <w:rPr>
                <w:rFonts w:hint="eastAsia" w:ascii="Times New Roman" w:hAnsi="Times New Roman" w:cs="Times New Roman"/>
                <w:b/>
                <w:bCs/>
                <w:color w:val="auto"/>
                <w:sz w:val="21"/>
                <w:szCs w:val="21"/>
                <w:highlight w:val="none"/>
                <w:vertAlign w:val="baseline"/>
                <w:lang w:val="en-US" w:eastAsia="zh-CN"/>
              </w:rPr>
              <w:t>昼间</w:t>
            </w:r>
          </w:p>
        </w:tc>
        <w:tc>
          <w:tcPr>
            <w:tcW w:w="727" w:type="dxa"/>
            <w:tcBorders>
              <w:tl2br w:val="nil"/>
              <w:tr2bl w:val="nil"/>
            </w:tcBorders>
            <w:vAlign w:val="center"/>
          </w:tcPr>
          <w:p w14:paraId="0FB40E4C">
            <w:pPr>
              <w:keepNext w:val="0"/>
              <w:keepLines w:val="0"/>
              <w:pageBreakBefore w:val="0"/>
              <w:widowControl/>
              <w:kinsoku/>
              <w:wordWrap/>
              <w:overflowPunct/>
              <w:topLinePunct w:val="0"/>
              <w:autoSpaceDE/>
              <w:autoSpaceDN/>
              <w:bidi w:val="0"/>
              <w:adjustRightInd/>
              <w:snapToGrid/>
              <w:spacing w:line="240" w:lineRule="auto"/>
              <w:ind w:right="0"/>
              <w:jc w:val="center"/>
              <w:textAlignment w:val="auto"/>
              <w:rPr>
                <w:rFonts w:hint="eastAsia" w:ascii="Times New Roman" w:hAnsi="Times New Roman" w:eastAsia="宋体" w:cs="Times New Roman"/>
                <w:b/>
                <w:bCs/>
                <w:color w:val="auto"/>
                <w:sz w:val="21"/>
                <w:szCs w:val="21"/>
                <w:highlight w:val="none"/>
                <w:vertAlign w:val="baseline"/>
                <w:lang w:val="en-US" w:eastAsia="zh-CN"/>
              </w:rPr>
            </w:pPr>
            <w:r>
              <w:rPr>
                <w:rFonts w:hint="eastAsia" w:ascii="Times New Roman" w:hAnsi="Times New Roman" w:cs="Times New Roman"/>
                <w:b/>
                <w:bCs/>
                <w:color w:val="auto"/>
                <w:sz w:val="21"/>
                <w:szCs w:val="21"/>
                <w:highlight w:val="none"/>
                <w:vertAlign w:val="baseline"/>
                <w:lang w:val="en-US" w:eastAsia="zh-CN"/>
              </w:rPr>
              <w:t>夜间</w:t>
            </w:r>
          </w:p>
        </w:tc>
        <w:tc>
          <w:tcPr>
            <w:tcW w:w="727" w:type="dxa"/>
            <w:tcBorders>
              <w:tl2br w:val="nil"/>
              <w:tr2bl w:val="nil"/>
            </w:tcBorders>
            <w:vAlign w:val="center"/>
          </w:tcPr>
          <w:p w14:paraId="16DDC0E2">
            <w:pPr>
              <w:keepNext w:val="0"/>
              <w:keepLines w:val="0"/>
              <w:pageBreakBefore w:val="0"/>
              <w:widowControl/>
              <w:kinsoku/>
              <w:wordWrap/>
              <w:overflowPunct/>
              <w:topLinePunct w:val="0"/>
              <w:autoSpaceDE/>
              <w:autoSpaceDN/>
              <w:bidi w:val="0"/>
              <w:adjustRightInd/>
              <w:snapToGrid/>
              <w:spacing w:line="240" w:lineRule="auto"/>
              <w:ind w:right="0"/>
              <w:jc w:val="center"/>
              <w:textAlignment w:val="auto"/>
              <w:rPr>
                <w:rFonts w:hint="eastAsia" w:ascii="Times New Roman" w:hAnsi="Times New Roman" w:eastAsia="宋体" w:cs="Times New Roman"/>
                <w:b/>
                <w:bCs/>
                <w:color w:val="auto"/>
                <w:sz w:val="21"/>
                <w:szCs w:val="21"/>
                <w:highlight w:val="none"/>
                <w:vertAlign w:val="baseline"/>
                <w:lang w:val="en-US" w:eastAsia="zh-CN"/>
              </w:rPr>
            </w:pPr>
            <w:r>
              <w:rPr>
                <w:rFonts w:hint="eastAsia" w:ascii="Times New Roman" w:hAnsi="Times New Roman" w:cs="Times New Roman"/>
                <w:b/>
                <w:bCs/>
                <w:color w:val="auto"/>
                <w:sz w:val="21"/>
                <w:szCs w:val="21"/>
                <w:highlight w:val="none"/>
                <w:vertAlign w:val="baseline"/>
                <w:lang w:val="en-US" w:eastAsia="zh-CN"/>
              </w:rPr>
              <w:t>昼间</w:t>
            </w:r>
          </w:p>
        </w:tc>
        <w:tc>
          <w:tcPr>
            <w:tcW w:w="727" w:type="dxa"/>
            <w:tcBorders>
              <w:tl2br w:val="nil"/>
              <w:tr2bl w:val="nil"/>
            </w:tcBorders>
            <w:vAlign w:val="center"/>
          </w:tcPr>
          <w:p w14:paraId="36D1A4A5">
            <w:pPr>
              <w:keepNext w:val="0"/>
              <w:keepLines w:val="0"/>
              <w:pageBreakBefore w:val="0"/>
              <w:widowControl/>
              <w:kinsoku/>
              <w:wordWrap/>
              <w:overflowPunct/>
              <w:topLinePunct w:val="0"/>
              <w:autoSpaceDE/>
              <w:autoSpaceDN/>
              <w:bidi w:val="0"/>
              <w:adjustRightInd/>
              <w:snapToGrid/>
              <w:spacing w:line="240" w:lineRule="auto"/>
              <w:ind w:right="0"/>
              <w:jc w:val="center"/>
              <w:textAlignment w:val="auto"/>
              <w:rPr>
                <w:rFonts w:hint="eastAsia" w:ascii="Times New Roman" w:hAnsi="Times New Roman" w:eastAsia="宋体" w:cs="Times New Roman"/>
                <w:b/>
                <w:bCs/>
                <w:color w:val="auto"/>
                <w:sz w:val="21"/>
                <w:szCs w:val="21"/>
                <w:highlight w:val="none"/>
                <w:vertAlign w:val="baseline"/>
                <w:lang w:val="en-US" w:eastAsia="zh-CN"/>
              </w:rPr>
            </w:pPr>
            <w:r>
              <w:rPr>
                <w:rFonts w:hint="eastAsia" w:ascii="Times New Roman" w:hAnsi="Times New Roman" w:cs="Times New Roman"/>
                <w:b/>
                <w:bCs/>
                <w:color w:val="auto"/>
                <w:sz w:val="21"/>
                <w:szCs w:val="21"/>
                <w:highlight w:val="none"/>
                <w:vertAlign w:val="baseline"/>
                <w:lang w:val="en-US" w:eastAsia="zh-CN"/>
              </w:rPr>
              <w:t>夜间</w:t>
            </w:r>
          </w:p>
        </w:tc>
        <w:tc>
          <w:tcPr>
            <w:tcW w:w="727" w:type="dxa"/>
            <w:tcBorders>
              <w:tl2br w:val="nil"/>
              <w:tr2bl w:val="nil"/>
            </w:tcBorders>
            <w:vAlign w:val="center"/>
          </w:tcPr>
          <w:p w14:paraId="33A690F0">
            <w:pPr>
              <w:keepNext w:val="0"/>
              <w:keepLines w:val="0"/>
              <w:pageBreakBefore w:val="0"/>
              <w:widowControl/>
              <w:kinsoku/>
              <w:wordWrap/>
              <w:overflowPunct/>
              <w:topLinePunct w:val="0"/>
              <w:autoSpaceDE/>
              <w:autoSpaceDN/>
              <w:bidi w:val="0"/>
              <w:adjustRightInd/>
              <w:snapToGrid/>
              <w:spacing w:line="240" w:lineRule="auto"/>
              <w:ind w:right="0" w:rightChars="0"/>
              <w:jc w:val="center"/>
              <w:textAlignment w:val="auto"/>
              <w:rPr>
                <w:rFonts w:hint="default" w:ascii="Times New Roman" w:hAnsi="Times New Roman" w:eastAsia="宋体" w:cs="Times New Roman"/>
                <w:b/>
                <w:bCs/>
                <w:color w:val="auto"/>
                <w:sz w:val="21"/>
                <w:szCs w:val="21"/>
                <w:highlight w:val="none"/>
                <w:vertAlign w:val="baseline"/>
              </w:rPr>
            </w:pPr>
            <w:r>
              <w:rPr>
                <w:rFonts w:hint="eastAsia" w:ascii="Times New Roman" w:hAnsi="Times New Roman" w:cs="Times New Roman"/>
                <w:b/>
                <w:bCs/>
                <w:color w:val="auto"/>
                <w:sz w:val="21"/>
                <w:szCs w:val="21"/>
                <w:highlight w:val="none"/>
                <w:vertAlign w:val="baseline"/>
                <w:lang w:val="en-US" w:eastAsia="zh-CN"/>
              </w:rPr>
              <w:t>昼间</w:t>
            </w:r>
          </w:p>
        </w:tc>
        <w:tc>
          <w:tcPr>
            <w:tcW w:w="727" w:type="dxa"/>
            <w:tcBorders>
              <w:tl2br w:val="nil"/>
              <w:tr2bl w:val="nil"/>
            </w:tcBorders>
            <w:vAlign w:val="center"/>
          </w:tcPr>
          <w:p w14:paraId="68FFD4B8">
            <w:pPr>
              <w:keepNext w:val="0"/>
              <w:keepLines w:val="0"/>
              <w:pageBreakBefore w:val="0"/>
              <w:widowControl/>
              <w:kinsoku/>
              <w:wordWrap/>
              <w:overflowPunct/>
              <w:topLinePunct w:val="0"/>
              <w:autoSpaceDE/>
              <w:autoSpaceDN/>
              <w:bidi w:val="0"/>
              <w:adjustRightInd/>
              <w:snapToGrid/>
              <w:spacing w:line="240" w:lineRule="auto"/>
              <w:ind w:right="0" w:rightChars="0"/>
              <w:jc w:val="center"/>
              <w:textAlignment w:val="auto"/>
              <w:rPr>
                <w:rFonts w:hint="default" w:ascii="Times New Roman" w:hAnsi="Times New Roman" w:eastAsia="宋体" w:cs="Times New Roman"/>
                <w:b/>
                <w:bCs/>
                <w:color w:val="auto"/>
                <w:sz w:val="21"/>
                <w:szCs w:val="21"/>
                <w:highlight w:val="none"/>
                <w:vertAlign w:val="baseline"/>
              </w:rPr>
            </w:pPr>
            <w:r>
              <w:rPr>
                <w:rFonts w:hint="eastAsia" w:ascii="Times New Roman" w:hAnsi="Times New Roman" w:cs="Times New Roman"/>
                <w:b/>
                <w:bCs/>
                <w:color w:val="auto"/>
                <w:sz w:val="21"/>
                <w:szCs w:val="21"/>
                <w:highlight w:val="none"/>
                <w:vertAlign w:val="baseline"/>
                <w:lang w:val="en-US" w:eastAsia="zh-CN"/>
              </w:rPr>
              <w:t>夜间</w:t>
            </w:r>
          </w:p>
        </w:tc>
        <w:tc>
          <w:tcPr>
            <w:tcW w:w="727" w:type="dxa"/>
            <w:tcBorders>
              <w:tl2br w:val="nil"/>
              <w:tr2bl w:val="nil"/>
            </w:tcBorders>
            <w:vAlign w:val="center"/>
          </w:tcPr>
          <w:p w14:paraId="46714DFE">
            <w:pPr>
              <w:keepNext w:val="0"/>
              <w:keepLines w:val="0"/>
              <w:pageBreakBefore w:val="0"/>
              <w:widowControl/>
              <w:kinsoku/>
              <w:wordWrap/>
              <w:overflowPunct/>
              <w:topLinePunct w:val="0"/>
              <w:autoSpaceDE/>
              <w:autoSpaceDN/>
              <w:bidi w:val="0"/>
              <w:adjustRightInd/>
              <w:snapToGrid/>
              <w:spacing w:line="240" w:lineRule="auto"/>
              <w:ind w:right="0" w:rightChars="0"/>
              <w:jc w:val="center"/>
              <w:textAlignment w:val="auto"/>
              <w:rPr>
                <w:rFonts w:hint="default" w:ascii="Times New Roman" w:hAnsi="Times New Roman" w:eastAsia="宋体" w:cs="Times New Roman"/>
                <w:b/>
                <w:bCs/>
                <w:color w:val="auto"/>
                <w:sz w:val="21"/>
                <w:szCs w:val="21"/>
                <w:highlight w:val="none"/>
                <w:vertAlign w:val="baseline"/>
              </w:rPr>
            </w:pPr>
            <w:r>
              <w:rPr>
                <w:rFonts w:hint="eastAsia" w:ascii="Times New Roman" w:hAnsi="Times New Roman" w:cs="Times New Roman"/>
                <w:b/>
                <w:bCs/>
                <w:color w:val="auto"/>
                <w:sz w:val="21"/>
                <w:szCs w:val="21"/>
                <w:highlight w:val="none"/>
                <w:vertAlign w:val="baseline"/>
                <w:lang w:val="en-US" w:eastAsia="zh-CN"/>
              </w:rPr>
              <w:t>昼间</w:t>
            </w:r>
          </w:p>
        </w:tc>
        <w:tc>
          <w:tcPr>
            <w:tcW w:w="727" w:type="dxa"/>
            <w:tcBorders>
              <w:tl2br w:val="nil"/>
              <w:tr2bl w:val="nil"/>
            </w:tcBorders>
            <w:vAlign w:val="center"/>
          </w:tcPr>
          <w:p w14:paraId="114680A6">
            <w:pPr>
              <w:keepNext w:val="0"/>
              <w:keepLines w:val="0"/>
              <w:pageBreakBefore w:val="0"/>
              <w:widowControl/>
              <w:kinsoku/>
              <w:wordWrap/>
              <w:overflowPunct/>
              <w:topLinePunct w:val="0"/>
              <w:autoSpaceDE/>
              <w:autoSpaceDN/>
              <w:bidi w:val="0"/>
              <w:adjustRightInd/>
              <w:snapToGrid/>
              <w:spacing w:line="240" w:lineRule="auto"/>
              <w:ind w:right="0" w:rightChars="0"/>
              <w:jc w:val="center"/>
              <w:textAlignment w:val="auto"/>
              <w:rPr>
                <w:rFonts w:hint="default" w:ascii="Times New Roman" w:hAnsi="Times New Roman" w:eastAsia="宋体" w:cs="Times New Roman"/>
                <w:b/>
                <w:bCs/>
                <w:color w:val="auto"/>
                <w:sz w:val="21"/>
                <w:szCs w:val="21"/>
                <w:highlight w:val="none"/>
                <w:vertAlign w:val="baseline"/>
              </w:rPr>
            </w:pPr>
            <w:r>
              <w:rPr>
                <w:rFonts w:hint="eastAsia" w:ascii="Times New Roman" w:hAnsi="Times New Roman" w:cs="Times New Roman"/>
                <w:b/>
                <w:bCs/>
                <w:color w:val="auto"/>
                <w:sz w:val="21"/>
                <w:szCs w:val="21"/>
                <w:highlight w:val="none"/>
                <w:vertAlign w:val="baseline"/>
                <w:lang w:val="en-US" w:eastAsia="zh-CN"/>
              </w:rPr>
              <w:t>夜间</w:t>
            </w:r>
          </w:p>
        </w:tc>
        <w:tc>
          <w:tcPr>
            <w:tcW w:w="727" w:type="dxa"/>
            <w:tcBorders>
              <w:tl2br w:val="nil"/>
              <w:tr2bl w:val="nil"/>
            </w:tcBorders>
            <w:vAlign w:val="center"/>
          </w:tcPr>
          <w:p w14:paraId="41658B29">
            <w:pPr>
              <w:keepNext w:val="0"/>
              <w:keepLines w:val="0"/>
              <w:pageBreakBefore w:val="0"/>
              <w:widowControl/>
              <w:kinsoku/>
              <w:wordWrap/>
              <w:overflowPunct/>
              <w:topLinePunct w:val="0"/>
              <w:autoSpaceDE/>
              <w:autoSpaceDN/>
              <w:bidi w:val="0"/>
              <w:adjustRightInd/>
              <w:snapToGrid/>
              <w:spacing w:line="240" w:lineRule="auto"/>
              <w:ind w:right="0" w:rightChars="0"/>
              <w:jc w:val="center"/>
              <w:textAlignment w:val="auto"/>
              <w:rPr>
                <w:rFonts w:hint="default" w:ascii="Times New Roman" w:hAnsi="Times New Roman" w:eastAsia="宋体" w:cs="Times New Roman"/>
                <w:b/>
                <w:bCs/>
                <w:color w:val="auto"/>
                <w:sz w:val="21"/>
                <w:szCs w:val="21"/>
                <w:highlight w:val="none"/>
                <w:vertAlign w:val="baseline"/>
              </w:rPr>
            </w:pPr>
            <w:r>
              <w:rPr>
                <w:rFonts w:hint="eastAsia" w:ascii="Times New Roman" w:hAnsi="Times New Roman" w:cs="Times New Roman"/>
                <w:b/>
                <w:bCs/>
                <w:color w:val="auto"/>
                <w:sz w:val="21"/>
                <w:szCs w:val="21"/>
                <w:highlight w:val="none"/>
                <w:vertAlign w:val="baseline"/>
                <w:lang w:val="en-US" w:eastAsia="zh-CN"/>
              </w:rPr>
              <w:t>昼间</w:t>
            </w:r>
          </w:p>
        </w:tc>
        <w:tc>
          <w:tcPr>
            <w:tcW w:w="727" w:type="dxa"/>
            <w:tcBorders>
              <w:tl2br w:val="nil"/>
              <w:tr2bl w:val="nil"/>
            </w:tcBorders>
            <w:vAlign w:val="center"/>
          </w:tcPr>
          <w:p w14:paraId="538437FD">
            <w:pPr>
              <w:keepNext w:val="0"/>
              <w:keepLines w:val="0"/>
              <w:pageBreakBefore w:val="0"/>
              <w:widowControl/>
              <w:kinsoku/>
              <w:wordWrap/>
              <w:overflowPunct/>
              <w:topLinePunct w:val="0"/>
              <w:autoSpaceDE/>
              <w:autoSpaceDN/>
              <w:bidi w:val="0"/>
              <w:adjustRightInd/>
              <w:snapToGrid/>
              <w:spacing w:line="240" w:lineRule="auto"/>
              <w:ind w:right="0" w:rightChars="0"/>
              <w:jc w:val="center"/>
              <w:textAlignment w:val="auto"/>
              <w:rPr>
                <w:rFonts w:hint="default" w:ascii="Times New Roman" w:hAnsi="Times New Roman" w:eastAsia="宋体" w:cs="Times New Roman"/>
                <w:b/>
                <w:bCs/>
                <w:color w:val="auto"/>
                <w:sz w:val="21"/>
                <w:szCs w:val="21"/>
                <w:highlight w:val="none"/>
                <w:vertAlign w:val="baseline"/>
              </w:rPr>
            </w:pPr>
            <w:r>
              <w:rPr>
                <w:rFonts w:hint="eastAsia" w:ascii="Times New Roman" w:hAnsi="Times New Roman" w:cs="Times New Roman"/>
                <w:b/>
                <w:bCs/>
                <w:color w:val="auto"/>
                <w:sz w:val="21"/>
                <w:szCs w:val="21"/>
                <w:highlight w:val="none"/>
                <w:vertAlign w:val="baseline"/>
                <w:lang w:val="en-US" w:eastAsia="zh-CN"/>
              </w:rPr>
              <w:t>夜间</w:t>
            </w:r>
          </w:p>
        </w:tc>
      </w:tr>
      <w:tr w14:paraId="604B161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69" w:type="dxa"/>
            <w:tcBorders>
              <w:tl2br w:val="nil"/>
              <w:tr2bl w:val="nil"/>
            </w:tcBorders>
            <w:vAlign w:val="center"/>
          </w:tcPr>
          <w:p w14:paraId="0C675C80">
            <w:pPr>
              <w:keepNext w:val="0"/>
              <w:keepLines w:val="0"/>
              <w:pageBreakBefore w:val="0"/>
              <w:widowControl/>
              <w:kinsoku/>
              <w:wordWrap/>
              <w:overflowPunct/>
              <w:topLinePunct w:val="0"/>
              <w:autoSpaceDE/>
              <w:autoSpaceDN/>
              <w:bidi w:val="0"/>
              <w:adjustRightInd/>
              <w:snapToGrid/>
              <w:spacing w:line="240" w:lineRule="auto"/>
              <w:ind w:right="0"/>
              <w:jc w:val="center"/>
              <w:textAlignment w:val="auto"/>
              <w:rPr>
                <w:rFonts w:hint="eastAsia" w:ascii="Times New Roman" w:hAnsi="Times New Roman" w:eastAsia="宋体" w:cs="Times New Roman"/>
                <w:color w:val="auto"/>
                <w:sz w:val="21"/>
                <w:szCs w:val="21"/>
                <w:highlight w:val="none"/>
                <w:vertAlign w:val="baseline"/>
                <w:lang w:val="en-US" w:eastAsia="zh-CN"/>
              </w:rPr>
            </w:pPr>
            <w:r>
              <w:rPr>
                <w:rFonts w:hint="eastAsia" w:ascii="Times New Roman" w:hAnsi="Times New Roman" w:cs="Times New Roman"/>
                <w:color w:val="auto"/>
                <w:sz w:val="21"/>
                <w:szCs w:val="21"/>
                <w:highlight w:val="none"/>
                <w:vertAlign w:val="baseline"/>
                <w:lang w:val="en-US" w:eastAsia="zh-CN"/>
              </w:rPr>
              <w:t>1</w:t>
            </w:r>
          </w:p>
        </w:tc>
        <w:tc>
          <w:tcPr>
            <w:tcW w:w="882" w:type="dxa"/>
            <w:tcBorders>
              <w:tl2br w:val="nil"/>
              <w:tr2bl w:val="nil"/>
            </w:tcBorders>
            <w:vAlign w:val="center"/>
          </w:tcPr>
          <w:p w14:paraId="5CD247F4">
            <w:pPr>
              <w:ind w:left="-105" w:leftChars="0" w:right="-105" w:rightChars="0"/>
              <w:jc w:val="center"/>
              <w:rPr>
                <w:rFonts w:hint="default" w:ascii="Times New Roman" w:hAnsi="Times New Roman" w:eastAsia="宋体" w:cs="Times New Roman"/>
                <w:color w:val="auto"/>
                <w:sz w:val="21"/>
                <w:szCs w:val="21"/>
                <w:highlight w:val="none"/>
                <w:vertAlign w:val="baseline"/>
              </w:rPr>
            </w:pPr>
            <w:r>
              <w:rPr>
                <w:rFonts w:hint="eastAsia" w:ascii="Times New Roman" w:hAnsi="Times New Roman"/>
                <w:color w:val="auto"/>
                <w:sz w:val="21"/>
                <w:szCs w:val="21"/>
                <w:highlight w:val="none"/>
                <w:lang w:bidi="zh-CN"/>
              </w:rPr>
              <w:t>周巷头</w:t>
            </w:r>
          </w:p>
        </w:tc>
        <w:tc>
          <w:tcPr>
            <w:tcW w:w="726" w:type="dxa"/>
            <w:tcBorders>
              <w:tl2br w:val="nil"/>
              <w:tr2bl w:val="nil"/>
            </w:tcBorders>
            <w:vAlign w:val="center"/>
          </w:tcPr>
          <w:p w14:paraId="3ADA9ED7">
            <w:pPr>
              <w:keepNext w:val="0"/>
              <w:keepLines w:val="0"/>
              <w:pageBreakBefore w:val="0"/>
              <w:widowControl/>
              <w:kinsoku/>
              <w:wordWrap/>
              <w:overflowPunct/>
              <w:topLinePunct w:val="0"/>
              <w:autoSpaceDE/>
              <w:autoSpaceDN/>
              <w:bidi w:val="0"/>
              <w:adjustRightInd/>
              <w:snapToGrid/>
              <w:spacing w:line="240" w:lineRule="auto"/>
              <w:ind w:right="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eastAsia" w:ascii="Times New Roman" w:hAnsi="Times New Roman" w:cs="Times New Roman"/>
                <w:color w:val="auto"/>
                <w:sz w:val="21"/>
                <w:szCs w:val="21"/>
                <w:highlight w:val="none"/>
                <w:vertAlign w:val="baseline"/>
                <w:lang w:val="en-US" w:eastAsia="zh-CN"/>
              </w:rPr>
              <w:t>57</w:t>
            </w:r>
          </w:p>
        </w:tc>
        <w:tc>
          <w:tcPr>
            <w:tcW w:w="727" w:type="dxa"/>
            <w:tcBorders>
              <w:tl2br w:val="nil"/>
              <w:tr2bl w:val="nil"/>
            </w:tcBorders>
            <w:vAlign w:val="center"/>
          </w:tcPr>
          <w:p w14:paraId="08BE6CEE">
            <w:pPr>
              <w:keepNext w:val="0"/>
              <w:keepLines w:val="0"/>
              <w:pageBreakBefore w:val="0"/>
              <w:widowControl/>
              <w:kinsoku/>
              <w:wordWrap/>
              <w:overflowPunct/>
              <w:topLinePunct w:val="0"/>
              <w:autoSpaceDE/>
              <w:autoSpaceDN/>
              <w:bidi w:val="0"/>
              <w:adjustRightInd/>
              <w:snapToGrid/>
              <w:spacing w:line="240" w:lineRule="auto"/>
              <w:ind w:right="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eastAsia" w:ascii="Times New Roman" w:hAnsi="Times New Roman" w:cs="Times New Roman"/>
                <w:color w:val="auto"/>
                <w:sz w:val="21"/>
                <w:szCs w:val="21"/>
                <w:highlight w:val="none"/>
                <w:vertAlign w:val="baseline"/>
                <w:lang w:val="en-US" w:eastAsia="zh-CN"/>
              </w:rPr>
              <w:t>47</w:t>
            </w:r>
          </w:p>
        </w:tc>
        <w:tc>
          <w:tcPr>
            <w:tcW w:w="727" w:type="dxa"/>
            <w:tcBorders>
              <w:tl2br w:val="nil"/>
              <w:tr2bl w:val="nil"/>
            </w:tcBorders>
            <w:vAlign w:val="center"/>
          </w:tcPr>
          <w:p w14:paraId="318B2CA5">
            <w:pPr>
              <w:keepNext w:val="0"/>
              <w:keepLines w:val="0"/>
              <w:pageBreakBefore w:val="0"/>
              <w:widowControl/>
              <w:kinsoku/>
              <w:wordWrap/>
              <w:overflowPunct/>
              <w:topLinePunct w:val="0"/>
              <w:autoSpaceDE/>
              <w:autoSpaceDN/>
              <w:bidi w:val="0"/>
              <w:adjustRightInd/>
              <w:snapToGrid/>
              <w:spacing w:line="240" w:lineRule="auto"/>
              <w:ind w:right="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eastAsia" w:ascii="Times New Roman" w:hAnsi="Times New Roman" w:cs="Times New Roman"/>
                <w:color w:val="auto"/>
                <w:sz w:val="21"/>
                <w:szCs w:val="21"/>
                <w:highlight w:val="none"/>
                <w:vertAlign w:val="baseline"/>
                <w:lang w:val="en-US" w:eastAsia="zh-CN"/>
              </w:rPr>
              <w:t>60</w:t>
            </w:r>
          </w:p>
        </w:tc>
        <w:tc>
          <w:tcPr>
            <w:tcW w:w="727" w:type="dxa"/>
            <w:tcBorders>
              <w:tl2br w:val="nil"/>
              <w:tr2bl w:val="nil"/>
            </w:tcBorders>
            <w:vAlign w:val="center"/>
          </w:tcPr>
          <w:p w14:paraId="227D05C8">
            <w:pPr>
              <w:keepNext w:val="0"/>
              <w:keepLines w:val="0"/>
              <w:pageBreakBefore w:val="0"/>
              <w:widowControl/>
              <w:kinsoku/>
              <w:wordWrap/>
              <w:overflowPunct/>
              <w:topLinePunct w:val="0"/>
              <w:autoSpaceDE/>
              <w:autoSpaceDN/>
              <w:bidi w:val="0"/>
              <w:adjustRightInd/>
              <w:snapToGrid/>
              <w:spacing w:line="240" w:lineRule="auto"/>
              <w:ind w:right="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eastAsia" w:ascii="Times New Roman" w:hAnsi="Times New Roman" w:cs="Times New Roman"/>
                <w:color w:val="auto"/>
                <w:sz w:val="21"/>
                <w:szCs w:val="21"/>
                <w:highlight w:val="none"/>
                <w:vertAlign w:val="baseline"/>
                <w:lang w:val="en-US" w:eastAsia="zh-CN"/>
              </w:rPr>
              <w:t>50</w:t>
            </w:r>
          </w:p>
        </w:tc>
        <w:tc>
          <w:tcPr>
            <w:tcW w:w="727" w:type="dxa"/>
            <w:tcBorders>
              <w:tl2br w:val="nil"/>
              <w:tr2bl w:val="nil"/>
            </w:tcBorders>
            <w:vAlign w:val="center"/>
          </w:tcPr>
          <w:p w14:paraId="4192F2EE">
            <w:pPr>
              <w:keepNext w:val="0"/>
              <w:keepLines w:val="0"/>
              <w:pageBreakBefore w:val="0"/>
              <w:widowControl/>
              <w:kinsoku/>
              <w:wordWrap/>
              <w:overflowPunct/>
              <w:topLinePunct w:val="0"/>
              <w:autoSpaceDE/>
              <w:autoSpaceDN/>
              <w:bidi w:val="0"/>
              <w:adjustRightInd/>
              <w:snapToGrid/>
              <w:spacing w:line="240" w:lineRule="auto"/>
              <w:ind w:right="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eastAsia" w:ascii="Times New Roman" w:hAnsi="Times New Roman" w:cs="Times New Roman"/>
                <w:color w:val="auto"/>
                <w:sz w:val="21"/>
                <w:szCs w:val="21"/>
                <w:highlight w:val="none"/>
                <w:vertAlign w:val="baseline"/>
                <w:lang w:val="en-US" w:eastAsia="zh-CN"/>
              </w:rPr>
              <w:t>57.1</w:t>
            </w:r>
          </w:p>
        </w:tc>
        <w:tc>
          <w:tcPr>
            <w:tcW w:w="727" w:type="dxa"/>
            <w:tcBorders>
              <w:tl2br w:val="nil"/>
              <w:tr2bl w:val="nil"/>
            </w:tcBorders>
            <w:vAlign w:val="center"/>
          </w:tcPr>
          <w:p w14:paraId="184352D7">
            <w:pPr>
              <w:keepNext w:val="0"/>
              <w:keepLines w:val="0"/>
              <w:pageBreakBefore w:val="0"/>
              <w:widowControl/>
              <w:kinsoku/>
              <w:wordWrap/>
              <w:overflowPunct/>
              <w:topLinePunct w:val="0"/>
              <w:autoSpaceDE/>
              <w:autoSpaceDN/>
              <w:bidi w:val="0"/>
              <w:adjustRightInd/>
              <w:snapToGrid/>
              <w:spacing w:line="240" w:lineRule="auto"/>
              <w:ind w:right="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eastAsia" w:ascii="Times New Roman" w:hAnsi="Times New Roman" w:cs="Times New Roman"/>
                <w:color w:val="auto"/>
                <w:sz w:val="21"/>
                <w:szCs w:val="21"/>
                <w:highlight w:val="none"/>
                <w:vertAlign w:val="baseline"/>
                <w:lang w:val="en-US" w:eastAsia="zh-CN"/>
              </w:rPr>
              <w:t>47.8</w:t>
            </w:r>
          </w:p>
        </w:tc>
        <w:tc>
          <w:tcPr>
            <w:tcW w:w="727" w:type="dxa"/>
            <w:tcBorders>
              <w:tl2br w:val="nil"/>
              <w:tr2bl w:val="nil"/>
            </w:tcBorders>
            <w:vAlign w:val="center"/>
          </w:tcPr>
          <w:p w14:paraId="3422C02A">
            <w:pPr>
              <w:keepNext w:val="0"/>
              <w:keepLines w:val="0"/>
              <w:pageBreakBefore w:val="0"/>
              <w:widowControl/>
              <w:kinsoku/>
              <w:wordWrap/>
              <w:overflowPunct/>
              <w:topLinePunct w:val="0"/>
              <w:autoSpaceDE/>
              <w:autoSpaceDN/>
              <w:bidi w:val="0"/>
              <w:adjustRightInd/>
              <w:snapToGrid/>
              <w:spacing w:line="240" w:lineRule="auto"/>
              <w:ind w:right="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eastAsia" w:ascii="Times New Roman" w:hAnsi="Times New Roman" w:cs="Times New Roman"/>
                <w:color w:val="auto"/>
                <w:sz w:val="21"/>
                <w:szCs w:val="21"/>
                <w:highlight w:val="none"/>
                <w:vertAlign w:val="baseline"/>
                <w:lang w:val="en-US" w:eastAsia="zh-CN"/>
              </w:rPr>
              <w:t>0.1</w:t>
            </w:r>
          </w:p>
        </w:tc>
        <w:tc>
          <w:tcPr>
            <w:tcW w:w="727" w:type="dxa"/>
            <w:tcBorders>
              <w:tl2br w:val="nil"/>
              <w:tr2bl w:val="nil"/>
            </w:tcBorders>
            <w:vAlign w:val="center"/>
          </w:tcPr>
          <w:p w14:paraId="0902AED2">
            <w:pPr>
              <w:keepNext w:val="0"/>
              <w:keepLines w:val="0"/>
              <w:pageBreakBefore w:val="0"/>
              <w:widowControl/>
              <w:kinsoku/>
              <w:wordWrap/>
              <w:overflowPunct/>
              <w:topLinePunct w:val="0"/>
              <w:autoSpaceDE/>
              <w:autoSpaceDN/>
              <w:bidi w:val="0"/>
              <w:adjustRightInd/>
              <w:snapToGrid/>
              <w:spacing w:line="240" w:lineRule="auto"/>
              <w:ind w:right="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eastAsia" w:ascii="Times New Roman" w:hAnsi="Times New Roman" w:cs="Times New Roman"/>
                <w:color w:val="auto"/>
                <w:sz w:val="21"/>
                <w:szCs w:val="21"/>
                <w:highlight w:val="none"/>
                <w:vertAlign w:val="baseline"/>
                <w:lang w:val="en-US" w:eastAsia="zh-CN"/>
              </w:rPr>
              <w:t>0.8</w:t>
            </w:r>
          </w:p>
        </w:tc>
        <w:tc>
          <w:tcPr>
            <w:tcW w:w="727" w:type="dxa"/>
            <w:tcBorders>
              <w:tl2br w:val="nil"/>
              <w:tr2bl w:val="nil"/>
            </w:tcBorders>
            <w:vAlign w:val="center"/>
          </w:tcPr>
          <w:p w14:paraId="3C03EAE5">
            <w:pPr>
              <w:keepNext w:val="0"/>
              <w:keepLines w:val="0"/>
              <w:pageBreakBefore w:val="0"/>
              <w:widowControl/>
              <w:kinsoku/>
              <w:wordWrap/>
              <w:overflowPunct/>
              <w:topLinePunct w:val="0"/>
              <w:autoSpaceDE/>
              <w:autoSpaceDN/>
              <w:bidi w:val="0"/>
              <w:adjustRightInd/>
              <w:snapToGrid/>
              <w:spacing w:line="240" w:lineRule="auto"/>
              <w:ind w:right="0"/>
              <w:jc w:val="center"/>
              <w:textAlignment w:val="auto"/>
              <w:rPr>
                <w:rFonts w:hint="eastAsia" w:ascii="Times New Roman" w:hAnsi="Times New Roman" w:eastAsia="宋体" w:cs="Times New Roman"/>
                <w:color w:val="auto"/>
                <w:sz w:val="21"/>
                <w:szCs w:val="21"/>
                <w:highlight w:val="none"/>
                <w:vertAlign w:val="baseline"/>
                <w:lang w:val="en-US" w:eastAsia="zh-CN"/>
              </w:rPr>
            </w:pPr>
            <w:r>
              <w:rPr>
                <w:rFonts w:hint="eastAsia" w:ascii="Times New Roman" w:hAnsi="Times New Roman" w:cs="Times New Roman"/>
                <w:color w:val="auto"/>
                <w:sz w:val="21"/>
                <w:szCs w:val="21"/>
                <w:highlight w:val="none"/>
                <w:vertAlign w:val="baseline"/>
                <w:lang w:val="en-US" w:eastAsia="zh-CN"/>
              </w:rPr>
              <w:t>达标</w:t>
            </w:r>
          </w:p>
        </w:tc>
        <w:tc>
          <w:tcPr>
            <w:tcW w:w="727" w:type="dxa"/>
            <w:tcBorders>
              <w:tl2br w:val="nil"/>
              <w:tr2bl w:val="nil"/>
            </w:tcBorders>
            <w:vAlign w:val="center"/>
          </w:tcPr>
          <w:p w14:paraId="6920B936">
            <w:pPr>
              <w:keepNext w:val="0"/>
              <w:keepLines w:val="0"/>
              <w:pageBreakBefore w:val="0"/>
              <w:widowControl/>
              <w:kinsoku/>
              <w:wordWrap/>
              <w:overflowPunct/>
              <w:topLinePunct w:val="0"/>
              <w:autoSpaceDE/>
              <w:autoSpaceDN/>
              <w:bidi w:val="0"/>
              <w:adjustRightInd/>
              <w:snapToGrid/>
              <w:spacing w:line="240" w:lineRule="auto"/>
              <w:ind w:right="0"/>
              <w:jc w:val="center"/>
              <w:textAlignment w:val="auto"/>
              <w:rPr>
                <w:rFonts w:hint="default" w:ascii="Times New Roman" w:hAnsi="Times New Roman" w:eastAsia="宋体" w:cs="Times New Roman"/>
                <w:color w:val="auto"/>
                <w:sz w:val="21"/>
                <w:szCs w:val="21"/>
                <w:highlight w:val="none"/>
                <w:vertAlign w:val="baseline"/>
              </w:rPr>
            </w:pPr>
            <w:r>
              <w:rPr>
                <w:rFonts w:hint="eastAsia" w:ascii="Times New Roman" w:hAnsi="Times New Roman" w:cs="Times New Roman"/>
                <w:color w:val="auto"/>
                <w:sz w:val="21"/>
                <w:szCs w:val="21"/>
                <w:highlight w:val="none"/>
                <w:vertAlign w:val="baseline"/>
                <w:lang w:val="en-US" w:eastAsia="zh-CN"/>
              </w:rPr>
              <w:t>达标</w:t>
            </w:r>
          </w:p>
        </w:tc>
      </w:tr>
      <w:tr w14:paraId="2A69C90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69" w:type="dxa"/>
            <w:tcBorders>
              <w:tl2br w:val="nil"/>
              <w:tr2bl w:val="nil"/>
            </w:tcBorders>
            <w:vAlign w:val="center"/>
          </w:tcPr>
          <w:p w14:paraId="1C4AACC2">
            <w:pPr>
              <w:keepNext w:val="0"/>
              <w:keepLines w:val="0"/>
              <w:pageBreakBefore w:val="0"/>
              <w:widowControl/>
              <w:kinsoku/>
              <w:wordWrap/>
              <w:overflowPunct/>
              <w:topLinePunct w:val="0"/>
              <w:autoSpaceDE/>
              <w:autoSpaceDN/>
              <w:bidi w:val="0"/>
              <w:adjustRightInd/>
              <w:snapToGrid/>
              <w:spacing w:line="240" w:lineRule="auto"/>
              <w:ind w:right="0"/>
              <w:jc w:val="center"/>
              <w:textAlignment w:val="auto"/>
              <w:rPr>
                <w:rFonts w:hint="eastAsia" w:ascii="Times New Roman" w:hAnsi="Times New Roman" w:eastAsia="宋体" w:cs="Times New Roman"/>
                <w:color w:val="auto"/>
                <w:sz w:val="21"/>
                <w:szCs w:val="21"/>
                <w:highlight w:val="none"/>
                <w:vertAlign w:val="baseline"/>
                <w:lang w:val="en-US" w:eastAsia="zh-CN"/>
              </w:rPr>
            </w:pPr>
            <w:r>
              <w:rPr>
                <w:rFonts w:hint="eastAsia" w:ascii="Times New Roman" w:hAnsi="Times New Roman" w:cs="Times New Roman"/>
                <w:color w:val="auto"/>
                <w:sz w:val="21"/>
                <w:szCs w:val="21"/>
                <w:highlight w:val="none"/>
                <w:vertAlign w:val="baseline"/>
                <w:lang w:val="en-US" w:eastAsia="zh-CN"/>
              </w:rPr>
              <w:t>2</w:t>
            </w:r>
          </w:p>
        </w:tc>
        <w:tc>
          <w:tcPr>
            <w:tcW w:w="882" w:type="dxa"/>
            <w:tcBorders>
              <w:tl2br w:val="nil"/>
              <w:tr2bl w:val="nil"/>
            </w:tcBorders>
            <w:vAlign w:val="center"/>
          </w:tcPr>
          <w:p w14:paraId="3157FBE4">
            <w:pPr>
              <w:ind w:left="-105" w:leftChars="0" w:right="-105" w:rightChars="0"/>
              <w:jc w:val="center"/>
              <w:rPr>
                <w:rFonts w:hint="default" w:ascii="Times New Roman" w:hAnsi="Times New Roman" w:eastAsia="宋体" w:cs="Times New Roman"/>
                <w:color w:val="auto"/>
                <w:sz w:val="21"/>
                <w:szCs w:val="21"/>
                <w:highlight w:val="none"/>
                <w:vertAlign w:val="baseline"/>
              </w:rPr>
            </w:pPr>
            <w:r>
              <w:rPr>
                <w:rFonts w:hint="eastAsia" w:ascii="Times New Roman" w:hAnsi="Times New Roman"/>
                <w:color w:val="auto"/>
                <w:sz w:val="21"/>
                <w:szCs w:val="21"/>
                <w:highlight w:val="none"/>
                <w:lang w:bidi="zh-CN"/>
              </w:rPr>
              <w:t>浦巷上</w:t>
            </w:r>
          </w:p>
        </w:tc>
        <w:tc>
          <w:tcPr>
            <w:tcW w:w="726" w:type="dxa"/>
            <w:tcBorders>
              <w:tl2br w:val="nil"/>
              <w:tr2bl w:val="nil"/>
            </w:tcBorders>
            <w:vAlign w:val="center"/>
          </w:tcPr>
          <w:p w14:paraId="2D07A297">
            <w:pPr>
              <w:keepNext w:val="0"/>
              <w:keepLines w:val="0"/>
              <w:pageBreakBefore w:val="0"/>
              <w:widowControl/>
              <w:kinsoku/>
              <w:wordWrap/>
              <w:overflowPunct/>
              <w:topLinePunct w:val="0"/>
              <w:autoSpaceDE/>
              <w:autoSpaceDN/>
              <w:bidi w:val="0"/>
              <w:adjustRightInd/>
              <w:snapToGrid/>
              <w:spacing w:line="240" w:lineRule="auto"/>
              <w:ind w:right="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eastAsia" w:ascii="Times New Roman" w:hAnsi="Times New Roman" w:cs="Times New Roman"/>
                <w:color w:val="auto"/>
                <w:sz w:val="21"/>
                <w:szCs w:val="21"/>
                <w:highlight w:val="none"/>
                <w:vertAlign w:val="baseline"/>
                <w:lang w:val="en-US" w:eastAsia="zh-CN"/>
              </w:rPr>
              <w:t>57</w:t>
            </w:r>
          </w:p>
        </w:tc>
        <w:tc>
          <w:tcPr>
            <w:tcW w:w="727" w:type="dxa"/>
            <w:tcBorders>
              <w:tl2br w:val="nil"/>
              <w:tr2bl w:val="nil"/>
            </w:tcBorders>
            <w:vAlign w:val="center"/>
          </w:tcPr>
          <w:p w14:paraId="55D7E188">
            <w:pPr>
              <w:keepNext w:val="0"/>
              <w:keepLines w:val="0"/>
              <w:pageBreakBefore w:val="0"/>
              <w:widowControl/>
              <w:kinsoku/>
              <w:wordWrap/>
              <w:overflowPunct/>
              <w:topLinePunct w:val="0"/>
              <w:autoSpaceDE/>
              <w:autoSpaceDN/>
              <w:bidi w:val="0"/>
              <w:adjustRightInd/>
              <w:snapToGrid/>
              <w:spacing w:line="240" w:lineRule="auto"/>
              <w:ind w:right="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eastAsia" w:ascii="Times New Roman" w:hAnsi="Times New Roman" w:cs="Times New Roman"/>
                <w:color w:val="auto"/>
                <w:sz w:val="21"/>
                <w:szCs w:val="21"/>
                <w:highlight w:val="none"/>
                <w:vertAlign w:val="baseline"/>
                <w:lang w:val="en-US" w:eastAsia="zh-CN"/>
              </w:rPr>
              <w:t>48</w:t>
            </w:r>
          </w:p>
        </w:tc>
        <w:tc>
          <w:tcPr>
            <w:tcW w:w="727" w:type="dxa"/>
            <w:tcBorders>
              <w:tl2br w:val="nil"/>
              <w:tr2bl w:val="nil"/>
            </w:tcBorders>
            <w:vAlign w:val="center"/>
          </w:tcPr>
          <w:p w14:paraId="3AD020B1">
            <w:pPr>
              <w:keepNext w:val="0"/>
              <w:keepLines w:val="0"/>
              <w:pageBreakBefore w:val="0"/>
              <w:widowControl/>
              <w:kinsoku/>
              <w:wordWrap/>
              <w:overflowPunct/>
              <w:topLinePunct w:val="0"/>
              <w:autoSpaceDE/>
              <w:autoSpaceDN/>
              <w:bidi w:val="0"/>
              <w:adjustRightInd/>
              <w:snapToGrid/>
              <w:spacing w:line="240" w:lineRule="auto"/>
              <w:ind w:right="0" w:rightChars="0"/>
              <w:jc w:val="center"/>
              <w:textAlignment w:val="auto"/>
              <w:rPr>
                <w:rFonts w:hint="default" w:ascii="Times New Roman" w:hAnsi="Times New Roman" w:eastAsia="宋体" w:cs="Times New Roman"/>
                <w:color w:val="auto"/>
                <w:sz w:val="21"/>
                <w:szCs w:val="21"/>
                <w:highlight w:val="none"/>
                <w:vertAlign w:val="baseline"/>
              </w:rPr>
            </w:pPr>
            <w:r>
              <w:rPr>
                <w:rFonts w:hint="eastAsia" w:ascii="Times New Roman" w:hAnsi="Times New Roman" w:cs="Times New Roman"/>
                <w:color w:val="auto"/>
                <w:sz w:val="21"/>
                <w:szCs w:val="21"/>
                <w:highlight w:val="none"/>
                <w:vertAlign w:val="baseline"/>
                <w:lang w:val="en-US" w:eastAsia="zh-CN"/>
              </w:rPr>
              <w:t>60</w:t>
            </w:r>
          </w:p>
        </w:tc>
        <w:tc>
          <w:tcPr>
            <w:tcW w:w="727" w:type="dxa"/>
            <w:tcBorders>
              <w:tl2br w:val="nil"/>
              <w:tr2bl w:val="nil"/>
            </w:tcBorders>
            <w:vAlign w:val="center"/>
          </w:tcPr>
          <w:p w14:paraId="410AC49C">
            <w:pPr>
              <w:keepNext w:val="0"/>
              <w:keepLines w:val="0"/>
              <w:pageBreakBefore w:val="0"/>
              <w:widowControl/>
              <w:kinsoku/>
              <w:wordWrap/>
              <w:overflowPunct/>
              <w:topLinePunct w:val="0"/>
              <w:autoSpaceDE/>
              <w:autoSpaceDN/>
              <w:bidi w:val="0"/>
              <w:adjustRightInd/>
              <w:snapToGrid/>
              <w:spacing w:line="240" w:lineRule="auto"/>
              <w:ind w:right="0" w:rightChars="0"/>
              <w:jc w:val="center"/>
              <w:textAlignment w:val="auto"/>
              <w:rPr>
                <w:rFonts w:hint="default" w:ascii="Times New Roman" w:hAnsi="Times New Roman" w:eastAsia="宋体" w:cs="Times New Roman"/>
                <w:color w:val="auto"/>
                <w:sz w:val="21"/>
                <w:szCs w:val="21"/>
                <w:highlight w:val="none"/>
                <w:vertAlign w:val="baseline"/>
              </w:rPr>
            </w:pPr>
            <w:r>
              <w:rPr>
                <w:rFonts w:hint="eastAsia" w:ascii="Times New Roman" w:hAnsi="Times New Roman" w:cs="Times New Roman"/>
                <w:color w:val="auto"/>
                <w:sz w:val="21"/>
                <w:szCs w:val="21"/>
                <w:highlight w:val="none"/>
                <w:vertAlign w:val="baseline"/>
                <w:lang w:val="en-US" w:eastAsia="zh-CN"/>
              </w:rPr>
              <w:t>50</w:t>
            </w:r>
          </w:p>
        </w:tc>
        <w:tc>
          <w:tcPr>
            <w:tcW w:w="727" w:type="dxa"/>
            <w:tcBorders>
              <w:tl2br w:val="nil"/>
              <w:tr2bl w:val="nil"/>
            </w:tcBorders>
            <w:vAlign w:val="center"/>
          </w:tcPr>
          <w:p w14:paraId="05285C9D">
            <w:pPr>
              <w:keepNext w:val="0"/>
              <w:keepLines w:val="0"/>
              <w:pageBreakBefore w:val="0"/>
              <w:widowControl/>
              <w:kinsoku/>
              <w:wordWrap/>
              <w:overflowPunct/>
              <w:topLinePunct w:val="0"/>
              <w:autoSpaceDE/>
              <w:autoSpaceDN/>
              <w:bidi w:val="0"/>
              <w:adjustRightInd/>
              <w:snapToGrid/>
              <w:spacing w:line="240" w:lineRule="auto"/>
              <w:ind w:right="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eastAsia" w:ascii="Times New Roman" w:hAnsi="Times New Roman" w:cs="Times New Roman"/>
                <w:color w:val="auto"/>
                <w:sz w:val="21"/>
                <w:szCs w:val="21"/>
                <w:highlight w:val="none"/>
                <w:vertAlign w:val="baseline"/>
                <w:lang w:val="en-US" w:eastAsia="zh-CN"/>
              </w:rPr>
              <w:t>57.1</w:t>
            </w:r>
          </w:p>
        </w:tc>
        <w:tc>
          <w:tcPr>
            <w:tcW w:w="727" w:type="dxa"/>
            <w:tcBorders>
              <w:tl2br w:val="nil"/>
              <w:tr2bl w:val="nil"/>
            </w:tcBorders>
            <w:vAlign w:val="center"/>
          </w:tcPr>
          <w:p w14:paraId="4ADC7C00">
            <w:pPr>
              <w:keepNext w:val="0"/>
              <w:keepLines w:val="0"/>
              <w:pageBreakBefore w:val="0"/>
              <w:widowControl/>
              <w:kinsoku/>
              <w:wordWrap/>
              <w:overflowPunct/>
              <w:topLinePunct w:val="0"/>
              <w:autoSpaceDE/>
              <w:autoSpaceDN/>
              <w:bidi w:val="0"/>
              <w:adjustRightInd/>
              <w:snapToGrid/>
              <w:spacing w:line="240" w:lineRule="auto"/>
              <w:ind w:right="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eastAsia" w:ascii="Times New Roman" w:hAnsi="Times New Roman" w:cs="Times New Roman"/>
                <w:color w:val="auto"/>
                <w:sz w:val="21"/>
                <w:szCs w:val="21"/>
                <w:highlight w:val="none"/>
                <w:vertAlign w:val="baseline"/>
                <w:lang w:val="en-US" w:eastAsia="zh-CN"/>
              </w:rPr>
              <w:t>48.4</w:t>
            </w:r>
          </w:p>
        </w:tc>
        <w:tc>
          <w:tcPr>
            <w:tcW w:w="727" w:type="dxa"/>
            <w:tcBorders>
              <w:tl2br w:val="nil"/>
              <w:tr2bl w:val="nil"/>
            </w:tcBorders>
            <w:vAlign w:val="center"/>
          </w:tcPr>
          <w:p w14:paraId="412D75A9">
            <w:pPr>
              <w:keepNext w:val="0"/>
              <w:keepLines w:val="0"/>
              <w:pageBreakBefore w:val="0"/>
              <w:widowControl/>
              <w:kinsoku/>
              <w:wordWrap/>
              <w:overflowPunct/>
              <w:topLinePunct w:val="0"/>
              <w:autoSpaceDE/>
              <w:autoSpaceDN/>
              <w:bidi w:val="0"/>
              <w:adjustRightInd/>
              <w:snapToGrid/>
              <w:spacing w:line="240" w:lineRule="auto"/>
              <w:ind w:right="0"/>
              <w:jc w:val="center"/>
              <w:textAlignment w:val="auto"/>
              <w:rPr>
                <w:rFonts w:hint="default" w:ascii="Times New Roman" w:hAnsi="Times New Roman" w:eastAsia="宋体" w:cs="Times New Roman"/>
                <w:color w:val="auto"/>
                <w:sz w:val="21"/>
                <w:szCs w:val="21"/>
                <w:highlight w:val="none"/>
                <w:vertAlign w:val="baseline"/>
              </w:rPr>
            </w:pPr>
            <w:r>
              <w:rPr>
                <w:rFonts w:hint="eastAsia" w:ascii="Times New Roman" w:hAnsi="Times New Roman" w:cs="Times New Roman"/>
                <w:color w:val="auto"/>
                <w:sz w:val="21"/>
                <w:szCs w:val="21"/>
                <w:highlight w:val="none"/>
                <w:vertAlign w:val="baseline"/>
                <w:lang w:val="en-US" w:eastAsia="zh-CN"/>
              </w:rPr>
              <w:t>0.1</w:t>
            </w:r>
          </w:p>
        </w:tc>
        <w:tc>
          <w:tcPr>
            <w:tcW w:w="727" w:type="dxa"/>
            <w:tcBorders>
              <w:tl2br w:val="nil"/>
              <w:tr2bl w:val="nil"/>
            </w:tcBorders>
            <w:vAlign w:val="center"/>
          </w:tcPr>
          <w:p w14:paraId="052DCB1B">
            <w:pPr>
              <w:keepNext w:val="0"/>
              <w:keepLines w:val="0"/>
              <w:pageBreakBefore w:val="0"/>
              <w:widowControl/>
              <w:kinsoku/>
              <w:wordWrap/>
              <w:overflowPunct/>
              <w:topLinePunct w:val="0"/>
              <w:autoSpaceDE/>
              <w:autoSpaceDN/>
              <w:bidi w:val="0"/>
              <w:adjustRightInd/>
              <w:snapToGrid/>
              <w:spacing w:line="240" w:lineRule="auto"/>
              <w:ind w:right="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eastAsia" w:ascii="Times New Roman" w:hAnsi="Times New Roman" w:cs="Times New Roman"/>
                <w:color w:val="auto"/>
                <w:sz w:val="21"/>
                <w:szCs w:val="21"/>
                <w:highlight w:val="none"/>
                <w:vertAlign w:val="baseline"/>
                <w:lang w:val="en-US" w:eastAsia="zh-CN"/>
              </w:rPr>
              <w:t>0.4</w:t>
            </w:r>
          </w:p>
        </w:tc>
        <w:tc>
          <w:tcPr>
            <w:tcW w:w="727" w:type="dxa"/>
            <w:tcBorders>
              <w:tl2br w:val="nil"/>
              <w:tr2bl w:val="nil"/>
            </w:tcBorders>
            <w:vAlign w:val="center"/>
          </w:tcPr>
          <w:p w14:paraId="37CF99AB">
            <w:pPr>
              <w:keepNext w:val="0"/>
              <w:keepLines w:val="0"/>
              <w:pageBreakBefore w:val="0"/>
              <w:widowControl/>
              <w:kinsoku/>
              <w:wordWrap/>
              <w:overflowPunct/>
              <w:topLinePunct w:val="0"/>
              <w:autoSpaceDE/>
              <w:autoSpaceDN/>
              <w:bidi w:val="0"/>
              <w:adjustRightInd/>
              <w:snapToGrid/>
              <w:spacing w:line="240" w:lineRule="auto"/>
              <w:ind w:right="0"/>
              <w:jc w:val="center"/>
              <w:textAlignment w:val="auto"/>
              <w:rPr>
                <w:rFonts w:hint="default" w:ascii="Times New Roman" w:hAnsi="Times New Roman" w:eastAsia="宋体" w:cs="Times New Roman"/>
                <w:color w:val="auto"/>
                <w:sz w:val="21"/>
                <w:szCs w:val="21"/>
                <w:highlight w:val="none"/>
                <w:vertAlign w:val="baseline"/>
              </w:rPr>
            </w:pPr>
            <w:r>
              <w:rPr>
                <w:rFonts w:hint="eastAsia" w:ascii="Times New Roman" w:hAnsi="Times New Roman" w:cs="Times New Roman"/>
                <w:color w:val="auto"/>
                <w:sz w:val="21"/>
                <w:szCs w:val="21"/>
                <w:highlight w:val="none"/>
                <w:vertAlign w:val="baseline"/>
                <w:lang w:val="en-US" w:eastAsia="zh-CN"/>
              </w:rPr>
              <w:t>达标</w:t>
            </w:r>
          </w:p>
        </w:tc>
        <w:tc>
          <w:tcPr>
            <w:tcW w:w="727" w:type="dxa"/>
            <w:tcBorders>
              <w:tl2br w:val="nil"/>
              <w:tr2bl w:val="nil"/>
            </w:tcBorders>
            <w:vAlign w:val="center"/>
          </w:tcPr>
          <w:p w14:paraId="13D60C0F">
            <w:pPr>
              <w:keepNext w:val="0"/>
              <w:keepLines w:val="0"/>
              <w:pageBreakBefore w:val="0"/>
              <w:widowControl/>
              <w:kinsoku/>
              <w:wordWrap/>
              <w:overflowPunct/>
              <w:topLinePunct w:val="0"/>
              <w:autoSpaceDE/>
              <w:autoSpaceDN/>
              <w:bidi w:val="0"/>
              <w:adjustRightInd/>
              <w:snapToGrid/>
              <w:spacing w:line="240" w:lineRule="auto"/>
              <w:ind w:right="0"/>
              <w:jc w:val="center"/>
              <w:textAlignment w:val="auto"/>
              <w:rPr>
                <w:rFonts w:hint="default" w:ascii="Times New Roman" w:hAnsi="Times New Roman" w:eastAsia="宋体" w:cs="Times New Roman"/>
                <w:color w:val="auto"/>
                <w:sz w:val="21"/>
                <w:szCs w:val="21"/>
                <w:highlight w:val="none"/>
                <w:vertAlign w:val="baseline"/>
              </w:rPr>
            </w:pPr>
            <w:r>
              <w:rPr>
                <w:rFonts w:hint="eastAsia" w:ascii="Times New Roman" w:hAnsi="Times New Roman" w:cs="Times New Roman"/>
                <w:color w:val="auto"/>
                <w:sz w:val="21"/>
                <w:szCs w:val="21"/>
                <w:highlight w:val="none"/>
                <w:vertAlign w:val="baseline"/>
                <w:lang w:val="en-US" w:eastAsia="zh-CN"/>
              </w:rPr>
              <w:t>达标</w:t>
            </w:r>
          </w:p>
        </w:tc>
      </w:tr>
      <w:tr w14:paraId="5741B51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69" w:type="dxa"/>
            <w:tcBorders>
              <w:tl2br w:val="nil"/>
              <w:tr2bl w:val="nil"/>
            </w:tcBorders>
            <w:vAlign w:val="center"/>
          </w:tcPr>
          <w:p w14:paraId="586FA286">
            <w:pPr>
              <w:keepNext w:val="0"/>
              <w:keepLines w:val="0"/>
              <w:pageBreakBefore w:val="0"/>
              <w:widowControl/>
              <w:kinsoku/>
              <w:wordWrap/>
              <w:overflowPunct/>
              <w:topLinePunct w:val="0"/>
              <w:autoSpaceDE/>
              <w:autoSpaceDN/>
              <w:bidi w:val="0"/>
              <w:adjustRightInd/>
              <w:snapToGrid/>
              <w:spacing w:line="240" w:lineRule="auto"/>
              <w:ind w:right="0"/>
              <w:jc w:val="center"/>
              <w:textAlignment w:val="auto"/>
              <w:rPr>
                <w:rFonts w:hint="eastAsia" w:ascii="Times New Roman" w:hAnsi="Times New Roman" w:eastAsia="宋体" w:cs="Times New Roman"/>
                <w:color w:val="auto"/>
                <w:sz w:val="21"/>
                <w:szCs w:val="21"/>
                <w:highlight w:val="none"/>
                <w:vertAlign w:val="baseline"/>
                <w:lang w:val="en-US" w:eastAsia="zh-CN"/>
              </w:rPr>
            </w:pPr>
            <w:r>
              <w:rPr>
                <w:rFonts w:hint="eastAsia" w:ascii="Times New Roman" w:hAnsi="Times New Roman" w:cs="Times New Roman"/>
                <w:color w:val="auto"/>
                <w:sz w:val="21"/>
                <w:szCs w:val="21"/>
                <w:highlight w:val="none"/>
                <w:vertAlign w:val="baseline"/>
                <w:lang w:val="en-US" w:eastAsia="zh-CN"/>
              </w:rPr>
              <w:t>3</w:t>
            </w:r>
          </w:p>
        </w:tc>
        <w:tc>
          <w:tcPr>
            <w:tcW w:w="882" w:type="dxa"/>
            <w:tcBorders>
              <w:tl2br w:val="nil"/>
              <w:tr2bl w:val="nil"/>
            </w:tcBorders>
            <w:vAlign w:val="center"/>
          </w:tcPr>
          <w:p w14:paraId="504F1E74">
            <w:pPr>
              <w:ind w:left="-105" w:leftChars="0" w:right="-105" w:rightChars="0"/>
              <w:jc w:val="center"/>
              <w:rPr>
                <w:rFonts w:hint="default" w:ascii="Times New Roman" w:hAnsi="Times New Roman" w:eastAsia="宋体" w:cs="Times New Roman"/>
                <w:color w:val="auto"/>
                <w:sz w:val="21"/>
                <w:szCs w:val="21"/>
                <w:highlight w:val="none"/>
                <w:vertAlign w:val="baseline"/>
              </w:rPr>
            </w:pPr>
            <w:r>
              <w:rPr>
                <w:rFonts w:hint="eastAsia" w:ascii="Times New Roman" w:hAnsi="Times New Roman"/>
                <w:color w:val="auto"/>
                <w:sz w:val="21"/>
                <w:szCs w:val="21"/>
                <w:highlight w:val="none"/>
                <w:lang w:bidi="zh-CN"/>
              </w:rPr>
              <w:t>朱巷村</w:t>
            </w:r>
          </w:p>
        </w:tc>
        <w:tc>
          <w:tcPr>
            <w:tcW w:w="726" w:type="dxa"/>
            <w:tcBorders>
              <w:tl2br w:val="nil"/>
              <w:tr2bl w:val="nil"/>
            </w:tcBorders>
            <w:vAlign w:val="center"/>
          </w:tcPr>
          <w:p w14:paraId="0DA366CB">
            <w:pPr>
              <w:keepNext w:val="0"/>
              <w:keepLines w:val="0"/>
              <w:pageBreakBefore w:val="0"/>
              <w:widowControl/>
              <w:kinsoku/>
              <w:wordWrap/>
              <w:overflowPunct/>
              <w:topLinePunct w:val="0"/>
              <w:autoSpaceDE/>
              <w:autoSpaceDN/>
              <w:bidi w:val="0"/>
              <w:adjustRightInd/>
              <w:snapToGrid/>
              <w:spacing w:line="240" w:lineRule="auto"/>
              <w:ind w:right="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eastAsia" w:ascii="Times New Roman" w:hAnsi="Times New Roman" w:cs="Times New Roman"/>
                <w:color w:val="auto"/>
                <w:sz w:val="21"/>
                <w:szCs w:val="21"/>
                <w:highlight w:val="none"/>
                <w:vertAlign w:val="baseline"/>
                <w:lang w:val="en-US" w:eastAsia="zh-CN"/>
              </w:rPr>
              <w:t>57</w:t>
            </w:r>
          </w:p>
        </w:tc>
        <w:tc>
          <w:tcPr>
            <w:tcW w:w="727" w:type="dxa"/>
            <w:tcBorders>
              <w:tl2br w:val="nil"/>
              <w:tr2bl w:val="nil"/>
            </w:tcBorders>
            <w:vAlign w:val="center"/>
          </w:tcPr>
          <w:p w14:paraId="704CF9CC">
            <w:pPr>
              <w:keepNext w:val="0"/>
              <w:keepLines w:val="0"/>
              <w:pageBreakBefore w:val="0"/>
              <w:widowControl/>
              <w:kinsoku/>
              <w:wordWrap/>
              <w:overflowPunct/>
              <w:topLinePunct w:val="0"/>
              <w:autoSpaceDE/>
              <w:autoSpaceDN/>
              <w:bidi w:val="0"/>
              <w:adjustRightInd/>
              <w:snapToGrid/>
              <w:spacing w:line="240" w:lineRule="auto"/>
              <w:ind w:right="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eastAsia" w:ascii="Times New Roman" w:hAnsi="Times New Roman" w:cs="Times New Roman"/>
                <w:color w:val="auto"/>
                <w:sz w:val="21"/>
                <w:szCs w:val="21"/>
                <w:highlight w:val="none"/>
                <w:vertAlign w:val="baseline"/>
                <w:lang w:val="en-US" w:eastAsia="zh-CN"/>
              </w:rPr>
              <w:t>48</w:t>
            </w:r>
          </w:p>
        </w:tc>
        <w:tc>
          <w:tcPr>
            <w:tcW w:w="727" w:type="dxa"/>
            <w:tcBorders>
              <w:tl2br w:val="nil"/>
              <w:tr2bl w:val="nil"/>
            </w:tcBorders>
            <w:vAlign w:val="center"/>
          </w:tcPr>
          <w:p w14:paraId="70B188BE">
            <w:pPr>
              <w:keepNext w:val="0"/>
              <w:keepLines w:val="0"/>
              <w:pageBreakBefore w:val="0"/>
              <w:widowControl/>
              <w:kinsoku/>
              <w:wordWrap/>
              <w:overflowPunct/>
              <w:topLinePunct w:val="0"/>
              <w:autoSpaceDE/>
              <w:autoSpaceDN/>
              <w:bidi w:val="0"/>
              <w:adjustRightInd/>
              <w:snapToGrid/>
              <w:spacing w:line="240" w:lineRule="auto"/>
              <w:ind w:right="0" w:rightChars="0"/>
              <w:jc w:val="center"/>
              <w:textAlignment w:val="auto"/>
              <w:rPr>
                <w:rFonts w:hint="default" w:ascii="Times New Roman" w:hAnsi="Times New Roman" w:eastAsia="宋体" w:cs="Times New Roman"/>
                <w:color w:val="auto"/>
                <w:sz w:val="21"/>
                <w:szCs w:val="21"/>
                <w:highlight w:val="none"/>
                <w:vertAlign w:val="baseline"/>
              </w:rPr>
            </w:pPr>
            <w:r>
              <w:rPr>
                <w:rFonts w:hint="eastAsia" w:ascii="Times New Roman" w:hAnsi="Times New Roman" w:cs="Times New Roman"/>
                <w:color w:val="auto"/>
                <w:sz w:val="21"/>
                <w:szCs w:val="21"/>
                <w:highlight w:val="none"/>
                <w:vertAlign w:val="baseline"/>
                <w:lang w:val="en-US" w:eastAsia="zh-CN"/>
              </w:rPr>
              <w:t>60</w:t>
            </w:r>
          </w:p>
        </w:tc>
        <w:tc>
          <w:tcPr>
            <w:tcW w:w="727" w:type="dxa"/>
            <w:tcBorders>
              <w:tl2br w:val="nil"/>
              <w:tr2bl w:val="nil"/>
            </w:tcBorders>
            <w:vAlign w:val="center"/>
          </w:tcPr>
          <w:p w14:paraId="2E03C46D">
            <w:pPr>
              <w:keepNext w:val="0"/>
              <w:keepLines w:val="0"/>
              <w:pageBreakBefore w:val="0"/>
              <w:widowControl/>
              <w:kinsoku/>
              <w:wordWrap/>
              <w:overflowPunct/>
              <w:topLinePunct w:val="0"/>
              <w:autoSpaceDE/>
              <w:autoSpaceDN/>
              <w:bidi w:val="0"/>
              <w:adjustRightInd/>
              <w:snapToGrid/>
              <w:spacing w:line="240" w:lineRule="auto"/>
              <w:ind w:right="0" w:rightChars="0"/>
              <w:jc w:val="center"/>
              <w:textAlignment w:val="auto"/>
              <w:rPr>
                <w:rFonts w:hint="default" w:ascii="Times New Roman" w:hAnsi="Times New Roman" w:eastAsia="宋体" w:cs="Times New Roman"/>
                <w:color w:val="auto"/>
                <w:sz w:val="21"/>
                <w:szCs w:val="21"/>
                <w:highlight w:val="none"/>
                <w:vertAlign w:val="baseline"/>
              </w:rPr>
            </w:pPr>
            <w:r>
              <w:rPr>
                <w:rFonts w:hint="eastAsia" w:ascii="Times New Roman" w:hAnsi="Times New Roman" w:cs="Times New Roman"/>
                <w:color w:val="auto"/>
                <w:sz w:val="21"/>
                <w:szCs w:val="21"/>
                <w:highlight w:val="none"/>
                <w:vertAlign w:val="baseline"/>
                <w:lang w:val="en-US" w:eastAsia="zh-CN"/>
              </w:rPr>
              <w:t>50</w:t>
            </w:r>
          </w:p>
        </w:tc>
        <w:tc>
          <w:tcPr>
            <w:tcW w:w="727" w:type="dxa"/>
            <w:tcBorders>
              <w:tl2br w:val="nil"/>
              <w:tr2bl w:val="nil"/>
            </w:tcBorders>
            <w:vAlign w:val="center"/>
          </w:tcPr>
          <w:p w14:paraId="1C3CA41A">
            <w:pPr>
              <w:keepNext w:val="0"/>
              <w:keepLines w:val="0"/>
              <w:pageBreakBefore w:val="0"/>
              <w:widowControl/>
              <w:kinsoku/>
              <w:wordWrap/>
              <w:overflowPunct/>
              <w:topLinePunct w:val="0"/>
              <w:autoSpaceDE/>
              <w:autoSpaceDN/>
              <w:bidi w:val="0"/>
              <w:adjustRightInd/>
              <w:snapToGrid/>
              <w:spacing w:line="240" w:lineRule="auto"/>
              <w:ind w:right="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eastAsia" w:ascii="Times New Roman" w:hAnsi="Times New Roman" w:cs="Times New Roman"/>
                <w:color w:val="auto"/>
                <w:sz w:val="21"/>
                <w:szCs w:val="21"/>
                <w:highlight w:val="none"/>
                <w:vertAlign w:val="baseline"/>
                <w:lang w:val="en-US" w:eastAsia="zh-CN"/>
              </w:rPr>
              <w:t>57.1</w:t>
            </w:r>
          </w:p>
        </w:tc>
        <w:tc>
          <w:tcPr>
            <w:tcW w:w="727" w:type="dxa"/>
            <w:tcBorders>
              <w:tl2br w:val="nil"/>
              <w:tr2bl w:val="nil"/>
            </w:tcBorders>
            <w:vAlign w:val="center"/>
          </w:tcPr>
          <w:p w14:paraId="26B96385">
            <w:pPr>
              <w:keepNext w:val="0"/>
              <w:keepLines w:val="0"/>
              <w:pageBreakBefore w:val="0"/>
              <w:widowControl/>
              <w:kinsoku/>
              <w:wordWrap/>
              <w:overflowPunct/>
              <w:topLinePunct w:val="0"/>
              <w:autoSpaceDE/>
              <w:autoSpaceDN/>
              <w:bidi w:val="0"/>
              <w:adjustRightInd/>
              <w:snapToGrid/>
              <w:spacing w:line="240" w:lineRule="auto"/>
              <w:ind w:right="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eastAsia" w:ascii="Times New Roman" w:hAnsi="Times New Roman" w:cs="Times New Roman"/>
                <w:color w:val="auto"/>
                <w:sz w:val="21"/>
                <w:szCs w:val="21"/>
                <w:highlight w:val="none"/>
                <w:vertAlign w:val="baseline"/>
                <w:lang w:val="en-US" w:eastAsia="zh-CN"/>
              </w:rPr>
              <w:t>48.4</w:t>
            </w:r>
          </w:p>
        </w:tc>
        <w:tc>
          <w:tcPr>
            <w:tcW w:w="727" w:type="dxa"/>
            <w:tcBorders>
              <w:tl2br w:val="nil"/>
              <w:tr2bl w:val="nil"/>
            </w:tcBorders>
            <w:vAlign w:val="center"/>
          </w:tcPr>
          <w:p w14:paraId="284F2B58">
            <w:pPr>
              <w:keepNext w:val="0"/>
              <w:keepLines w:val="0"/>
              <w:pageBreakBefore w:val="0"/>
              <w:widowControl/>
              <w:kinsoku/>
              <w:wordWrap/>
              <w:overflowPunct/>
              <w:topLinePunct w:val="0"/>
              <w:autoSpaceDE/>
              <w:autoSpaceDN/>
              <w:bidi w:val="0"/>
              <w:adjustRightInd/>
              <w:snapToGrid/>
              <w:spacing w:line="240" w:lineRule="auto"/>
              <w:ind w:right="0"/>
              <w:jc w:val="center"/>
              <w:textAlignment w:val="auto"/>
              <w:rPr>
                <w:rFonts w:hint="default" w:ascii="Times New Roman" w:hAnsi="Times New Roman" w:eastAsia="宋体" w:cs="Times New Roman"/>
                <w:color w:val="auto"/>
                <w:sz w:val="21"/>
                <w:szCs w:val="21"/>
                <w:highlight w:val="none"/>
                <w:vertAlign w:val="baseline"/>
              </w:rPr>
            </w:pPr>
            <w:r>
              <w:rPr>
                <w:rFonts w:hint="eastAsia" w:ascii="Times New Roman" w:hAnsi="Times New Roman" w:cs="Times New Roman"/>
                <w:color w:val="auto"/>
                <w:sz w:val="21"/>
                <w:szCs w:val="21"/>
                <w:highlight w:val="none"/>
                <w:vertAlign w:val="baseline"/>
                <w:lang w:val="en-US" w:eastAsia="zh-CN"/>
              </w:rPr>
              <w:t>0.1</w:t>
            </w:r>
          </w:p>
        </w:tc>
        <w:tc>
          <w:tcPr>
            <w:tcW w:w="727" w:type="dxa"/>
            <w:tcBorders>
              <w:tl2br w:val="nil"/>
              <w:tr2bl w:val="nil"/>
            </w:tcBorders>
            <w:vAlign w:val="center"/>
          </w:tcPr>
          <w:p w14:paraId="082F6089">
            <w:pPr>
              <w:keepNext w:val="0"/>
              <w:keepLines w:val="0"/>
              <w:pageBreakBefore w:val="0"/>
              <w:widowControl/>
              <w:kinsoku/>
              <w:wordWrap/>
              <w:overflowPunct/>
              <w:topLinePunct w:val="0"/>
              <w:autoSpaceDE/>
              <w:autoSpaceDN/>
              <w:bidi w:val="0"/>
              <w:adjustRightInd/>
              <w:snapToGrid/>
              <w:spacing w:line="240" w:lineRule="auto"/>
              <w:ind w:right="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eastAsia" w:ascii="Times New Roman" w:hAnsi="Times New Roman" w:cs="Times New Roman"/>
                <w:color w:val="auto"/>
                <w:sz w:val="21"/>
                <w:szCs w:val="21"/>
                <w:highlight w:val="none"/>
                <w:vertAlign w:val="baseline"/>
                <w:lang w:val="en-US" w:eastAsia="zh-CN"/>
              </w:rPr>
              <w:t>0.4</w:t>
            </w:r>
          </w:p>
        </w:tc>
        <w:tc>
          <w:tcPr>
            <w:tcW w:w="727" w:type="dxa"/>
            <w:tcBorders>
              <w:tl2br w:val="nil"/>
              <w:tr2bl w:val="nil"/>
            </w:tcBorders>
            <w:vAlign w:val="center"/>
          </w:tcPr>
          <w:p w14:paraId="3B4048D3">
            <w:pPr>
              <w:keepNext w:val="0"/>
              <w:keepLines w:val="0"/>
              <w:pageBreakBefore w:val="0"/>
              <w:widowControl/>
              <w:kinsoku/>
              <w:wordWrap/>
              <w:overflowPunct/>
              <w:topLinePunct w:val="0"/>
              <w:autoSpaceDE/>
              <w:autoSpaceDN/>
              <w:bidi w:val="0"/>
              <w:adjustRightInd/>
              <w:snapToGrid/>
              <w:spacing w:line="240" w:lineRule="auto"/>
              <w:ind w:right="0"/>
              <w:jc w:val="center"/>
              <w:textAlignment w:val="auto"/>
              <w:rPr>
                <w:rFonts w:hint="default" w:ascii="Times New Roman" w:hAnsi="Times New Roman" w:eastAsia="宋体" w:cs="Times New Roman"/>
                <w:color w:val="auto"/>
                <w:sz w:val="21"/>
                <w:szCs w:val="21"/>
                <w:highlight w:val="none"/>
                <w:vertAlign w:val="baseline"/>
              </w:rPr>
            </w:pPr>
            <w:r>
              <w:rPr>
                <w:rFonts w:hint="eastAsia" w:ascii="Times New Roman" w:hAnsi="Times New Roman" w:cs="Times New Roman"/>
                <w:color w:val="auto"/>
                <w:sz w:val="21"/>
                <w:szCs w:val="21"/>
                <w:highlight w:val="none"/>
                <w:vertAlign w:val="baseline"/>
                <w:lang w:val="en-US" w:eastAsia="zh-CN"/>
              </w:rPr>
              <w:t>达标</w:t>
            </w:r>
          </w:p>
        </w:tc>
        <w:tc>
          <w:tcPr>
            <w:tcW w:w="727" w:type="dxa"/>
            <w:tcBorders>
              <w:tl2br w:val="nil"/>
              <w:tr2bl w:val="nil"/>
            </w:tcBorders>
            <w:vAlign w:val="center"/>
          </w:tcPr>
          <w:p w14:paraId="56734C90">
            <w:pPr>
              <w:keepNext w:val="0"/>
              <w:keepLines w:val="0"/>
              <w:pageBreakBefore w:val="0"/>
              <w:widowControl/>
              <w:kinsoku/>
              <w:wordWrap/>
              <w:overflowPunct/>
              <w:topLinePunct w:val="0"/>
              <w:autoSpaceDE/>
              <w:autoSpaceDN/>
              <w:bidi w:val="0"/>
              <w:adjustRightInd/>
              <w:snapToGrid/>
              <w:spacing w:line="240" w:lineRule="auto"/>
              <w:ind w:right="0"/>
              <w:jc w:val="center"/>
              <w:textAlignment w:val="auto"/>
              <w:rPr>
                <w:rFonts w:hint="default" w:ascii="Times New Roman" w:hAnsi="Times New Roman" w:eastAsia="宋体" w:cs="Times New Roman"/>
                <w:color w:val="auto"/>
                <w:sz w:val="21"/>
                <w:szCs w:val="21"/>
                <w:highlight w:val="none"/>
                <w:vertAlign w:val="baseline"/>
              </w:rPr>
            </w:pPr>
            <w:r>
              <w:rPr>
                <w:rFonts w:hint="eastAsia" w:ascii="Times New Roman" w:hAnsi="Times New Roman" w:cs="Times New Roman"/>
                <w:color w:val="auto"/>
                <w:sz w:val="21"/>
                <w:szCs w:val="21"/>
                <w:highlight w:val="none"/>
                <w:vertAlign w:val="baseline"/>
                <w:lang w:val="en-US" w:eastAsia="zh-CN"/>
              </w:rPr>
              <w:t>达标</w:t>
            </w:r>
          </w:p>
        </w:tc>
      </w:tr>
    </w:tbl>
    <w:p w14:paraId="3C9F7EB5">
      <w:pPr>
        <w:ind w:left="-105" w:right="-105" w:firstLine="422"/>
        <w:rPr>
          <w:b/>
          <w:bCs/>
          <w:color w:val="auto"/>
          <w:sz w:val="21"/>
          <w:szCs w:val="21"/>
          <w:highlight w:val="none"/>
        </w:rPr>
      </w:pPr>
      <w:r>
        <w:rPr>
          <w:rFonts w:hint="eastAsia"/>
          <w:b/>
          <w:bCs/>
          <w:color w:val="auto"/>
          <w:sz w:val="21"/>
          <w:szCs w:val="21"/>
          <w:highlight w:val="none"/>
        </w:rPr>
        <w:t>注：</w:t>
      </w:r>
      <w:r>
        <w:rPr>
          <w:rFonts w:hint="eastAsia"/>
          <w:b/>
          <w:bCs/>
          <w:color w:val="auto"/>
          <w:sz w:val="21"/>
          <w:szCs w:val="21"/>
          <w:highlight w:val="none"/>
          <w:lang w:val="en-US" w:eastAsia="zh-CN"/>
        </w:rPr>
        <w:t>现状</w:t>
      </w:r>
      <w:r>
        <w:rPr>
          <w:rFonts w:hint="eastAsia"/>
          <w:b/>
          <w:bCs/>
          <w:color w:val="auto"/>
          <w:sz w:val="21"/>
          <w:szCs w:val="21"/>
          <w:highlight w:val="none"/>
        </w:rPr>
        <w:t>值取厂界现状监测最大值。</w:t>
      </w:r>
    </w:p>
    <w:p w14:paraId="393369AE">
      <w:pPr>
        <w:keepNext w:val="0"/>
        <w:keepLines w:val="0"/>
        <w:pageBreakBefore w:val="0"/>
        <w:widowControl/>
        <w:kinsoku/>
        <w:wordWrap/>
        <w:overflowPunct/>
        <w:topLinePunct w:val="0"/>
        <w:autoSpaceDE/>
        <w:autoSpaceDN/>
        <w:bidi w:val="0"/>
        <w:adjustRightInd/>
        <w:snapToGrid/>
        <w:spacing w:line="360" w:lineRule="auto"/>
        <w:ind w:left="0" w:right="0" w:firstLine="480" w:firstLineChars="200"/>
        <w:jc w:val="both"/>
        <w:textAlignment w:val="auto"/>
        <w:rPr>
          <w:rFonts w:ascii="Times New Roman" w:hAnsi="Times New Roman" w:cs="Times New Roman"/>
          <w:color w:val="auto"/>
          <w:highlight w:val="none"/>
        </w:rPr>
      </w:pPr>
      <w:r>
        <w:rPr>
          <w:rFonts w:hint="eastAsia" w:ascii="Times New Roman" w:hAnsi="Times New Roman" w:cs="Times New Roman"/>
          <w:color w:val="auto"/>
          <w:highlight w:val="none"/>
        </w:rPr>
        <w:t>由预测结果可见，本项目建成后主要噪声源</w:t>
      </w:r>
      <w:r>
        <w:rPr>
          <w:rFonts w:hint="eastAsia" w:ascii="Times New Roman" w:hAnsi="Times New Roman" w:cs="Times New Roman"/>
          <w:color w:val="auto"/>
          <w:highlight w:val="none"/>
          <w:lang w:val="en-US" w:eastAsia="zh-CN"/>
        </w:rPr>
        <w:t>预测</w:t>
      </w:r>
      <w:r>
        <w:rPr>
          <w:rFonts w:hint="eastAsia" w:ascii="Times New Roman" w:hAnsi="Times New Roman" w:cs="Times New Roman"/>
          <w:color w:val="auto"/>
          <w:highlight w:val="none"/>
        </w:rPr>
        <w:t>值可达到《工业企业厂界环境噪声排放标准》（GB12348-2008）中3类标准的要求，即昼间不大于65dB(A)，夜间不大于55dB(A)。</w:t>
      </w:r>
      <w:r>
        <w:rPr>
          <w:rFonts w:hint="eastAsia" w:ascii="Times New Roman" w:hAnsi="Times New Roman" w:cs="Times New Roman"/>
          <w:color w:val="auto"/>
          <w:highlight w:val="none"/>
        </w:rPr>
        <w:t>敏感点处预测值满足《声环境质量标准》（GB 3096-2008）中2类区标准，即昼间不大于6</w:t>
      </w:r>
      <w:r>
        <w:rPr>
          <w:rFonts w:hint="eastAsia" w:ascii="Times New Roman" w:hAnsi="Times New Roman" w:cs="Times New Roman"/>
          <w:color w:val="auto"/>
          <w:highlight w:val="none"/>
          <w:lang w:val="en-US" w:eastAsia="zh-CN"/>
        </w:rPr>
        <w:t>0</w:t>
      </w:r>
      <w:r>
        <w:rPr>
          <w:rFonts w:hint="eastAsia" w:ascii="Times New Roman" w:hAnsi="Times New Roman" w:cs="Times New Roman"/>
          <w:color w:val="auto"/>
          <w:highlight w:val="none"/>
        </w:rPr>
        <w:t>dB(A)，夜间不大于5</w:t>
      </w:r>
      <w:r>
        <w:rPr>
          <w:rFonts w:hint="eastAsia" w:ascii="Times New Roman" w:hAnsi="Times New Roman" w:cs="Times New Roman"/>
          <w:color w:val="auto"/>
          <w:highlight w:val="none"/>
          <w:lang w:val="en-US" w:eastAsia="zh-CN"/>
        </w:rPr>
        <w:t>0</w:t>
      </w:r>
      <w:r>
        <w:rPr>
          <w:rFonts w:hint="eastAsia" w:ascii="Times New Roman" w:hAnsi="Times New Roman" w:cs="Times New Roman"/>
          <w:color w:val="auto"/>
          <w:highlight w:val="none"/>
        </w:rPr>
        <w:t>dB(A)。</w:t>
      </w:r>
    </w:p>
    <w:p w14:paraId="652A91DC">
      <w:pPr>
        <w:pStyle w:val="5"/>
        <w:keepLines w:val="0"/>
        <w:numPr>
          <w:ilvl w:val="2"/>
          <w:numId w:val="0"/>
        </w:numPr>
        <w:tabs>
          <w:tab w:val="left" w:pos="567"/>
          <w:tab w:val="left" w:pos="709"/>
          <w:tab w:val="left" w:pos="993"/>
          <w:tab w:val="left" w:pos="6663"/>
        </w:tabs>
        <w:spacing w:before="0" w:after="0" w:line="360" w:lineRule="auto"/>
        <w:ind w:right="-105"/>
        <w:rPr>
          <w:rFonts w:eastAsia="宋体"/>
          <w:color w:val="auto"/>
          <w:sz w:val="28"/>
          <w:szCs w:val="28"/>
          <w:highlight w:val="none"/>
        </w:rPr>
      </w:pPr>
      <w:r>
        <w:rPr>
          <w:rFonts w:hint="eastAsia" w:eastAsia="宋体"/>
          <w:color w:val="auto"/>
          <w:sz w:val="28"/>
          <w:szCs w:val="28"/>
          <w:highlight w:val="none"/>
        </w:rPr>
        <w:t>6.5.5声环境影响评价自查表</w:t>
      </w:r>
    </w:p>
    <w:p w14:paraId="0C261EB8">
      <w:pPr>
        <w:pStyle w:val="15"/>
        <w:ind w:left="-105" w:right="-105" w:firstLine="482"/>
        <w:rPr>
          <w:rFonts w:eastAsia="宋体"/>
          <w:bCs/>
          <w:color w:val="auto"/>
          <w:sz w:val="24"/>
          <w:highlight w:val="none"/>
        </w:rPr>
      </w:pPr>
      <w:r>
        <w:rPr>
          <w:rFonts w:eastAsia="宋体"/>
          <w:color w:val="auto"/>
          <w:sz w:val="24"/>
          <w:szCs w:val="18"/>
          <w:highlight w:val="none"/>
        </w:rPr>
        <w:t>表</w:t>
      </w:r>
      <w:r>
        <w:rPr>
          <w:rFonts w:eastAsia="宋体"/>
          <w:color w:val="auto"/>
          <w:sz w:val="24"/>
          <w:szCs w:val="18"/>
          <w:highlight w:val="none"/>
        </w:rPr>
        <w:fldChar w:fldCharType="begin"/>
      </w:r>
      <w:r>
        <w:rPr>
          <w:rFonts w:eastAsia="宋体"/>
          <w:color w:val="auto"/>
          <w:sz w:val="24"/>
          <w:szCs w:val="18"/>
          <w:highlight w:val="none"/>
        </w:rPr>
        <w:instrText xml:space="preserve"> STYLEREF 2 \s </w:instrText>
      </w:r>
      <w:r>
        <w:rPr>
          <w:rFonts w:eastAsia="宋体"/>
          <w:color w:val="auto"/>
          <w:sz w:val="24"/>
          <w:szCs w:val="18"/>
          <w:highlight w:val="none"/>
        </w:rPr>
        <w:fldChar w:fldCharType="separate"/>
      </w:r>
      <w:r>
        <w:rPr>
          <w:rFonts w:eastAsia="宋体"/>
          <w:color w:val="auto"/>
          <w:sz w:val="24"/>
          <w:szCs w:val="18"/>
          <w:highlight w:val="none"/>
        </w:rPr>
        <w:t>6.5</w:t>
      </w:r>
      <w:r>
        <w:rPr>
          <w:rFonts w:eastAsia="宋体"/>
          <w:color w:val="auto"/>
          <w:sz w:val="24"/>
          <w:szCs w:val="18"/>
          <w:highlight w:val="none"/>
        </w:rPr>
        <w:fldChar w:fldCharType="end"/>
      </w:r>
      <w:r>
        <w:rPr>
          <w:rFonts w:eastAsia="宋体"/>
          <w:color w:val="auto"/>
          <w:sz w:val="24"/>
          <w:szCs w:val="18"/>
          <w:highlight w:val="none"/>
        </w:rPr>
        <w:noBreakHyphen/>
      </w:r>
      <w:r>
        <w:rPr>
          <w:rFonts w:eastAsia="宋体"/>
          <w:color w:val="auto"/>
          <w:sz w:val="24"/>
          <w:szCs w:val="18"/>
          <w:highlight w:val="none"/>
        </w:rPr>
        <w:fldChar w:fldCharType="begin"/>
      </w:r>
      <w:r>
        <w:rPr>
          <w:rFonts w:eastAsia="宋体"/>
          <w:color w:val="auto"/>
          <w:sz w:val="24"/>
          <w:szCs w:val="18"/>
          <w:highlight w:val="none"/>
        </w:rPr>
        <w:instrText xml:space="preserve"> SEQ 表 \* ARABIC \s 2 </w:instrText>
      </w:r>
      <w:r>
        <w:rPr>
          <w:rFonts w:eastAsia="宋体"/>
          <w:color w:val="auto"/>
          <w:sz w:val="24"/>
          <w:szCs w:val="18"/>
          <w:highlight w:val="none"/>
        </w:rPr>
        <w:fldChar w:fldCharType="separate"/>
      </w:r>
      <w:r>
        <w:rPr>
          <w:rFonts w:eastAsia="宋体"/>
          <w:color w:val="auto"/>
          <w:sz w:val="24"/>
          <w:szCs w:val="18"/>
          <w:highlight w:val="none"/>
        </w:rPr>
        <w:t>4</w:t>
      </w:r>
      <w:r>
        <w:rPr>
          <w:rFonts w:eastAsia="宋体"/>
          <w:color w:val="auto"/>
          <w:sz w:val="24"/>
          <w:szCs w:val="18"/>
          <w:highlight w:val="none"/>
        </w:rPr>
        <w:fldChar w:fldCharType="end"/>
      </w:r>
      <w:r>
        <w:rPr>
          <w:rFonts w:eastAsia="宋体"/>
          <w:bCs/>
          <w:color w:val="auto"/>
          <w:sz w:val="24"/>
          <w:highlight w:val="none"/>
        </w:rPr>
        <w:t>声环境影响评价自查表</w:t>
      </w:r>
    </w:p>
    <w:tbl>
      <w:tblPr>
        <w:tblStyle w:val="45"/>
        <w:tblW w:w="5000" w:type="pct"/>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0" w:type="dxa"/>
          <w:bottom w:w="0" w:type="dxa"/>
          <w:right w:w="0" w:type="dxa"/>
        </w:tblCellMar>
      </w:tblPr>
      <w:tblGrid>
        <w:gridCol w:w="952"/>
        <w:gridCol w:w="1448"/>
        <w:gridCol w:w="929"/>
        <w:gridCol w:w="521"/>
        <w:gridCol w:w="522"/>
        <w:gridCol w:w="1017"/>
        <w:gridCol w:w="478"/>
        <w:gridCol w:w="591"/>
        <w:gridCol w:w="522"/>
        <w:gridCol w:w="484"/>
        <w:gridCol w:w="1071"/>
      </w:tblGrid>
      <w:tr w14:paraId="493EF54E">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PrEx>
        <w:trPr>
          <w:trHeight w:val="340" w:hRule="atLeast"/>
          <w:jc w:val="center"/>
        </w:trPr>
        <w:tc>
          <w:tcPr>
            <w:tcW w:w="2392" w:type="dxa"/>
            <w:gridSpan w:val="2"/>
            <w:tcBorders>
              <w:tl2br w:val="nil"/>
              <w:tr2bl w:val="nil"/>
            </w:tcBorders>
            <w:vAlign w:val="center"/>
          </w:tcPr>
          <w:p w14:paraId="23291835">
            <w:pPr>
              <w:pStyle w:val="98"/>
              <w:keepNext w:val="0"/>
              <w:keepLines w:val="0"/>
              <w:pageBreakBefore w:val="0"/>
              <w:widowControl w:val="0"/>
              <w:kinsoku/>
              <w:wordWrap/>
              <w:overflowPunct/>
              <w:topLinePunct w:val="0"/>
              <w:autoSpaceDE w:val="0"/>
              <w:autoSpaceDN w:val="0"/>
              <w:bidi w:val="0"/>
              <w:adjustRightInd/>
              <w:snapToGrid/>
              <w:ind w:left="0" w:right="0"/>
              <w:textAlignment w:val="auto"/>
              <w:rPr>
                <w:b/>
                <w:bCs/>
                <w:color w:val="auto"/>
                <w:sz w:val="21"/>
                <w:szCs w:val="21"/>
                <w:highlight w:val="none"/>
                <w:lang w:eastAsia="en-US"/>
              </w:rPr>
            </w:pPr>
            <w:r>
              <w:rPr>
                <w:rFonts w:hint="eastAsia" w:ascii="宋体" w:hAnsi="宋体" w:eastAsia="宋体" w:cs="宋体"/>
                <w:b/>
                <w:bCs/>
                <w:color w:val="auto"/>
                <w:sz w:val="21"/>
                <w:szCs w:val="21"/>
                <w:highlight w:val="none"/>
                <w:lang w:eastAsia="en-US"/>
              </w:rPr>
              <w:t>工作内容</w:t>
            </w:r>
          </w:p>
        </w:tc>
        <w:tc>
          <w:tcPr>
            <w:tcW w:w="6112" w:type="dxa"/>
            <w:gridSpan w:val="9"/>
            <w:tcBorders>
              <w:tl2br w:val="nil"/>
              <w:tr2bl w:val="nil"/>
            </w:tcBorders>
            <w:vAlign w:val="center"/>
          </w:tcPr>
          <w:p w14:paraId="1203FA43">
            <w:pPr>
              <w:pStyle w:val="98"/>
              <w:keepNext w:val="0"/>
              <w:keepLines w:val="0"/>
              <w:pageBreakBefore w:val="0"/>
              <w:widowControl w:val="0"/>
              <w:kinsoku/>
              <w:wordWrap/>
              <w:overflowPunct/>
              <w:topLinePunct w:val="0"/>
              <w:autoSpaceDE w:val="0"/>
              <w:autoSpaceDN w:val="0"/>
              <w:bidi w:val="0"/>
              <w:adjustRightInd/>
              <w:snapToGrid/>
              <w:ind w:left="0" w:right="0"/>
              <w:textAlignment w:val="auto"/>
              <w:rPr>
                <w:b/>
                <w:bCs/>
                <w:color w:val="auto"/>
                <w:sz w:val="21"/>
                <w:szCs w:val="21"/>
                <w:highlight w:val="none"/>
                <w:lang w:eastAsia="en-US"/>
              </w:rPr>
            </w:pPr>
            <w:r>
              <w:rPr>
                <w:rFonts w:hint="eastAsia" w:ascii="宋体" w:hAnsi="宋体" w:eastAsia="宋体" w:cs="宋体"/>
                <w:b/>
                <w:bCs/>
                <w:color w:val="auto"/>
                <w:sz w:val="21"/>
                <w:szCs w:val="21"/>
                <w:highlight w:val="none"/>
                <w:lang w:eastAsia="en-US"/>
              </w:rPr>
              <w:t>自查项目</w:t>
            </w:r>
          </w:p>
        </w:tc>
      </w:tr>
      <w:tr w14:paraId="331B3E74">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949" w:type="dxa"/>
            <w:vMerge w:val="restart"/>
            <w:tcBorders>
              <w:tl2br w:val="nil"/>
              <w:tr2bl w:val="nil"/>
            </w:tcBorders>
            <w:vAlign w:val="center"/>
          </w:tcPr>
          <w:p w14:paraId="773536CE">
            <w:pPr>
              <w:pStyle w:val="98"/>
              <w:keepNext w:val="0"/>
              <w:keepLines w:val="0"/>
              <w:pageBreakBefore w:val="0"/>
              <w:widowControl w:val="0"/>
              <w:kinsoku/>
              <w:wordWrap/>
              <w:overflowPunct/>
              <w:topLinePunct w:val="0"/>
              <w:autoSpaceDE w:val="0"/>
              <w:autoSpaceDN w:val="0"/>
              <w:bidi w:val="0"/>
              <w:adjustRightInd/>
              <w:snapToGrid/>
              <w:ind w:left="0" w:right="0"/>
              <w:textAlignment w:val="auto"/>
              <w:rPr>
                <w:color w:val="auto"/>
                <w:sz w:val="21"/>
                <w:szCs w:val="21"/>
                <w:highlight w:val="none"/>
                <w:lang w:eastAsia="en-US"/>
              </w:rPr>
            </w:pPr>
            <w:r>
              <w:rPr>
                <w:rFonts w:hint="eastAsia" w:ascii="宋体" w:hAnsi="宋体" w:eastAsia="宋体" w:cs="宋体"/>
                <w:color w:val="auto"/>
                <w:sz w:val="21"/>
                <w:szCs w:val="21"/>
                <w:highlight w:val="none"/>
                <w:lang w:eastAsia="en-US"/>
              </w:rPr>
              <w:t>评价等级与范围</w:t>
            </w:r>
          </w:p>
        </w:tc>
        <w:tc>
          <w:tcPr>
            <w:tcW w:w="1443" w:type="dxa"/>
            <w:tcBorders>
              <w:tl2br w:val="nil"/>
              <w:tr2bl w:val="nil"/>
            </w:tcBorders>
            <w:vAlign w:val="center"/>
          </w:tcPr>
          <w:p w14:paraId="2431C011">
            <w:pPr>
              <w:pStyle w:val="98"/>
              <w:keepNext w:val="0"/>
              <w:keepLines w:val="0"/>
              <w:pageBreakBefore w:val="0"/>
              <w:widowControl w:val="0"/>
              <w:kinsoku/>
              <w:wordWrap/>
              <w:overflowPunct/>
              <w:topLinePunct w:val="0"/>
              <w:autoSpaceDE w:val="0"/>
              <w:autoSpaceDN w:val="0"/>
              <w:bidi w:val="0"/>
              <w:adjustRightInd/>
              <w:snapToGrid/>
              <w:ind w:left="0" w:right="0"/>
              <w:textAlignment w:val="auto"/>
              <w:rPr>
                <w:color w:val="auto"/>
                <w:sz w:val="21"/>
                <w:szCs w:val="21"/>
                <w:highlight w:val="none"/>
                <w:lang w:eastAsia="en-US"/>
              </w:rPr>
            </w:pPr>
            <w:r>
              <w:rPr>
                <w:rFonts w:hint="eastAsia" w:ascii="宋体" w:hAnsi="宋体" w:eastAsia="宋体" w:cs="宋体"/>
                <w:color w:val="auto"/>
                <w:sz w:val="21"/>
                <w:szCs w:val="21"/>
                <w:highlight w:val="none"/>
                <w:lang w:eastAsia="en-US"/>
              </w:rPr>
              <w:t>评价等级</w:t>
            </w:r>
          </w:p>
        </w:tc>
        <w:tc>
          <w:tcPr>
            <w:tcW w:w="6112" w:type="dxa"/>
            <w:gridSpan w:val="9"/>
            <w:tcBorders>
              <w:tl2br w:val="nil"/>
              <w:tr2bl w:val="nil"/>
            </w:tcBorders>
            <w:vAlign w:val="center"/>
          </w:tcPr>
          <w:p w14:paraId="3FE6F068">
            <w:pPr>
              <w:pStyle w:val="98"/>
              <w:keepNext w:val="0"/>
              <w:keepLines w:val="0"/>
              <w:pageBreakBefore w:val="0"/>
              <w:widowControl w:val="0"/>
              <w:tabs>
                <w:tab w:val="left" w:pos="2103"/>
                <w:tab w:val="left" w:pos="3635"/>
              </w:tabs>
              <w:kinsoku/>
              <w:wordWrap/>
              <w:overflowPunct/>
              <w:topLinePunct w:val="0"/>
              <w:autoSpaceDE w:val="0"/>
              <w:autoSpaceDN w:val="0"/>
              <w:bidi w:val="0"/>
              <w:adjustRightInd/>
              <w:snapToGrid/>
              <w:ind w:left="0" w:right="0"/>
              <w:textAlignment w:val="auto"/>
              <w:rPr>
                <w:rFonts w:eastAsia="宋体"/>
                <w:color w:val="auto"/>
                <w:sz w:val="21"/>
                <w:szCs w:val="21"/>
                <w:highlight w:val="none"/>
              </w:rPr>
            </w:pPr>
            <w:r>
              <w:rPr>
                <w:rFonts w:hint="eastAsia" w:ascii="宋体" w:hAnsi="宋体" w:eastAsia="宋体" w:cs="宋体"/>
                <w:color w:val="auto"/>
                <w:sz w:val="21"/>
                <w:szCs w:val="21"/>
                <w:highlight w:val="none"/>
                <w:lang w:eastAsia="en-US"/>
              </w:rPr>
              <w:t>一级</w:t>
            </w:r>
            <w:r>
              <w:rPr>
                <w:rFonts w:hint="eastAsia" w:eastAsia="宋体"/>
                <w:color w:val="auto"/>
                <w:sz w:val="21"/>
                <w:szCs w:val="21"/>
                <w:highlight w:val="none"/>
                <w:lang w:eastAsia="zh-CN"/>
              </w:rPr>
              <w:t>□</w:t>
            </w:r>
            <w:r>
              <w:rPr>
                <w:color w:val="auto"/>
                <w:sz w:val="21"/>
                <w:szCs w:val="21"/>
                <w:highlight w:val="none"/>
                <w:lang w:eastAsia="en-US"/>
              </w:rPr>
              <w:tab/>
            </w:r>
            <w:r>
              <w:rPr>
                <w:rFonts w:hint="eastAsia" w:ascii="宋体" w:hAnsi="宋体" w:eastAsia="宋体" w:cs="宋体"/>
                <w:color w:val="auto"/>
                <w:sz w:val="21"/>
                <w:szCs w:val="21"/>
                <w:highlight w:val="none"/>
                <w:lang w:eastAsia="en-US"/>
              </w:rPr>
              <w:t>二</w:t>
            </w:r>
            <w:r>
              <w:rPr>
                <w:rFonts w:hint="eastAsia" w:ascii="宋体" w:hAnsi="宋体" w:eastAsia="宋体" w:cs="宋体"/>
                <w:color w:val="auto"/>
                <w:spacing w:val="-3"/>
                <w:sz w:val="21"/>
                <w:szCs w:val="21"/>
                <w:highlight w:val="none"/>
                <w:lang w:eastAsia="en-US"/>
              </w:rPr>
              <w:t>级</w:t>
            </w:r>
            <w:r>
              <w:rPr>
                <w:rFonts w:hint="eastAsia" w:eastAsia="宋体"/>
                <w:color w:val="auto"/>
                <w:sz w:val="21"/>
                <w:szCs w:val="21"/>
                <w:highlight w:val="none"/>
                <w:lang w:eastAsia="zh-CN"/>
              </w:rPr>
              <w:t>□</w:t>
            </w:r>
            <w:r>
              <w:rPr>
                <w:color w:val="auto"/>
                <w:sz w:val="21"/>
                <w:szCs w:val="21"/>
                <w:highlight w:val="none"/>
                <w:lang w:eastAsia="en-US"/>
              </w:rPr>
              <w:tab/>
            </w:r>
            <w:r>
              <w:rPr>
                <w:rFonts w:hint="eastAsia" w:ascii="宋体" w:hAnsi="宋体" w:eastAsia="宋体" w:cs="宋体"/>
                <w:color w:val="auto"/>
                <w:sz w:val="21"/>
                <w:szCs w:val="21"/>
                <w:highlight w:val="none"/>
                <w:lang w:eastAsia="en-US"/>
              </w:rPr>
              <w:t>三级</w:t>
            </w:r>
            <w:r>
              <w:rPr>
                <w:rFonts w:hint="eastAsia" w:eastAsia="宋体"/>
                <w:color w:val="auto"/>
                <w:sz w:val="21"/>
                <w:szCs w:val="21"/>
                <w:highlight w:val="none"/>
              </w:rPr>
              <w:t>☑</w:t>
            </w:r>
          </w:p>
        </w:tc>
      </w:tr>
      <w:tr w14:paraId="3DE05E65">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949" w:type="dxa"/>
            <w:vMerge w:val="continue"/>
            <w:tcBorders>
              <w:tl2br w:val="nil"/>
              <w:tr2bl w:val="nil"/>
            </w:tcBorders>
            <w:vAlign w:val="center"/>
          </w:tcPr>
          <w:p w14:paraId="37215D9C">
            <w:pPr>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ascii="Times New Roman" w:hAnsi="Times New Roman" w:cs="Times New Roman"/>
                <w:color w:val="auto"/>
                <w:sz w:val="21"/>
                <w:szCs w:val="21"/>
                <w:highlight w:val="none"/>
                <w:lang w:eastAsia="en-US"/>
              </w:rPr>
            </w:pPr>
          </w:p>
        </w:tc>
        <w:tc>
          <w:tcPr>
            <w:tcW w:w="1443" w:type="dxa"/>
            <w:tcBorders>
              <w:tl2br w:val="nil"/>
              <w:tr2bl w:val="nil"/>
            </w:tcBorders>
            <w:vAlign w:val="center"/>
          </w:tcPr>
          <w:p w14:paraId="58E62B7D">
            <w:pPr>
              <w:pStyle w:val="98"/>
              <w:keepNext w:val="0"/>
              <w:keepLines w:val="0"/>
              <w:pageBreakBefore w:val="0"/>
              <w:widowControl w:val="0"/>
              <w:kinsoku/>
              <w:wordWrap/>
              <w:overflowPunct/>
              <w:topLinePunct w:val="0"/>
              <w:autoSpaceDE w:val="0"/>
              <w:autoSpaceDN w:val="0"/>
              <w:bidi w:val="0"/>
              <w:adjustRightInd/>
              <w:snapToGrid/>
              <w:ind w:left="0" w:right="0"/>
              <w:textAlignment w:val="auto"/>
              <w:rPr>
                <w:color w:val="auto"/>
                <w:sz w:val="21"/>
                <w:szCs w:val="21"/>
                <w:highlight w:val="none"/>
                <w:lang w:eastAsia="en-US"/>
              </w:rPr>
            </w:pPr>
            <w:r>
              <w:rPr>
                <w:rFonts w:hint="eastAsia" w:ascii="宋体" w:hAnsi="宋体" w:eastAsia="宋体" w:cs="宋体"/>
                <w:color w:val="auto"/>
                <w:sz w:val="21"/>
                <w:szCs w:val="21"/>
                <w:highlight w:val="none"/>
                <w:lang w:eastAsia="en-US"/>
              </w:rPr>
              <w:t>评价范围</w:t>
            </w:r>
          </w:p>
        </w:tc>
        <w:tc>
          <w:tcPr>
            <w:tcW w:w="6112" w:type="dxa"/>
            <w:gridSpan w:val="9"/>
            <w:tcBorders>
              <w:tl2br w:val="nil"/>
              <w:tr2bl w:val="nil"/>
            </w:tcBorders>
            <w:vAlign w:val="center"/>
          </w:tcPr>
          <w:p w14:paraId="0C8830D5">
            <w:pPr>
              <w:pStyle w:val="98"/>
              <w:keepNext w:val="0"/>
              <w:keepLines w:val="0"/>
              <w:pageBreakBefore w:val="0"/>
              <w:widowControl w:val="0"/>
              <w:tabs>
                <w:tab w:val="left" w:pos="2384"/>
                <w:tab w:val="left" w:pos="5315"/>
              </w:tabs>
              <w:kinsoku/>
              <w:wordWrap/>
              <w:overflowPunct/>
              <w:topLinePunct w:val="0"/>
              <w:autoSpaceDE w:val="0"/>
              <w:autoSpaceDN w:val="0"/>
              <w:bidi w:val="0"/>
              <w:adjustRightInd/>
              <w:snapToGrid/>
              <w:ind w:left="0" w:right="0"/>
              <w:textAlignment w:val="auto"/>
              <w:rPr>
                <w:rFonts w:hint="eastAsia" w:eastAsia="宋体"/>
                <w:color w:val="auto"/>
                <w:sz w:val="21"/>
                <w:szCs w:val="21"/>
                <w:highlight w:val="none"/>
                <w:lang w:eastAsia="zh-CN"/>
              </w:rPr>
            </w:pPr>
            <w:r>
              <w:rPr>
                <w:color w:val="auto"/>
                <w:sz w:val="21"/>
                <w:szCs w:val="21"/>
                <w:highlight w:val="none"/>
              </w:rPr>
              <w:t>200m</w:t>
            </w:r>
            <w:r>
              <w:rPr>
                <w:rFonts w:hint="eastAsia" w:eastAsia="宋体"/>
                <w:color w:val="auto"/>
                <w:sz w:val="21"/>
                <w:szCs w:val="21"/>
                <w:highlight w:val="none"/>
              </w:rPr>
              <w:t>☑</w:t>
            </w:r>
            <w:r>
              <w:rPr>
                <w:rFonts w:hint="eastAsia" w:eastAsia="宋体"/>
                <w:color w:val="auto"/>
                <w:sz w:val="21"/>
                <w:szCs w:val="21"/>
                <w:highlight w:val="none"/>
                <w:lang w:val="en-US" w:eastAsia="zh-CN"/>
              </w:rPr>
              <w:t xml:space="preserve">    </w:t>
            </w:r>
            <w:r>
              <w:rPr>
                <w:rFonts w:hint="eastAsia" w:ascii="宋体" w:hAnsi="宋体" w:eastAsia="宋体" w:cs="宋体"/>
                <w:color w:val="auto"/>
                <w:spacing w:val="-3"/>
                <w:sz w:val="21"/>
                <w:szCs w:val="21"/>
                <w:highlight w:val="none"/>
              </w:rPr>
              <w:t>大</w:t>
            </w:r>
            <w:r>
              <w:rPr>
                <w:rFonts w:hint="eastAsia" w:ascii="宋体" w:hAnsi="宋体" w:eastAsia="宋体" w:cs="宋体"/>
                <w:color w:val="auto"/>
                <w:sz w:val="21"/>
                <w:szCs w:val="21"/>
                <w:highlight w:val="none"/>
              </w:rPr>
              <w:t>于</w:t>
            </w:r>
            <w:r>
              <w:rPr>
                <w:color w:val="auto"/>
                <w:sz w:val="21"/>
                <w:szCs w:val="21"/>
                <w:highlight w:val="none"/>
              </w:rPr>
              <w:t>200m</w:t>
            </w:r>
            <w:r>
              <w:rPr>
                <w:rFonts w:hint="eastAsia" w:eastAsia="宋体"/>
                <w:color w:val="auto"/>
                <w:sz w:val="21"/>
                <w:szCs w:val="21"/>
                <w:highlight w:val="none"/>
                <w:lang w:eastAsia="zh-CN"/>
              </w:rPr>
              <w:t>□</w:t>
            </w:r>
            <w:r>
              <w:rPr>
                <w:rFonts w:hint="eastAsia" w:eastAsia="宋体"/>
                <w:color w:val="auto"/>
                <w:sz w:val="21"/>
                <w:szCs w:val="21"/>
                <w:highlight w:val="none"/>
                <w:lang w:val="en-US" w:eastAsia="zh-CN"/>
              </w:rPr>
              <w:t xml:space="preserve">    </w:t>
            </w:r>
            <w:r>
              <w:rPr>
                <w:rFonts w:hint="eastAsia" w:ascii="宋体" w:hAnsi="宋体" w:eastAsia="宋体" w:cs="宋体"/>
                <w:color w:val="auto"/>
                <w:sz w:val="21"/>
                <w:szCs w:val="21"/>
                <w:highlight w:val="none"/>
              </w:rPr>
              <w:t>小于</w:t>
            </w:r>
            <w:r>
              <w:rPr>
                <w:color w:val="auto"/>
                <w:sz w:val="21"/>
                <w:szCs w:val="21"/>
                <w:highlight w:val="none"/>
              </w:rPr>
              <w:t>200m</w:t>
            </w:r>
            <w:r>
              <w:rPr>
                <w:rFonts w:hint="eastAsia" w:eastAsia="宋体"/>
                <w:color w:val="auto"/>
                <w:sz w:val="21"/>
                <w:szCs w:val="21"/>
                <w:highlight w:val="none"/>
                <w:lang w:eastAsia="zh-CN"/>
              </w:rPr>
              <w:t>□</w:t>
            </w:r>
          </w:p>
        </w:tc>
      </w:tr>
      <w:tr w14:paraId="40EFE208">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949" w:type="dxa"/>
            <w:tcBorders>
              <w:tl2br w:val="nil"/>
              <w:tr2bl w:val="nil"/>
            </w:tcBorders>
            <w:vAlign w:val="center"/>
          </w:tcPr>
          <w:p w14:paraId="608F0E02">
            <w:pPr>
              <w:pStyle w:val="98"/>
              <w:keepNext w:val="0"/>
              <w:keepLines w:val="0"/>
              <w:pageBreakBefore w:val="0"/>
              <w:widowControl w:val="0"/>
              <w:kinsoku/>
              <w:wordWrap/>
              <w:overflowPunct/>
              <w:topLinePunct w:val="0"/>
              <w:autoSpaceDE w:val="0"/>
              <w:autoSpaceDN w:val="0"/>
              <w:bidi w:val="0"/>
              <w:adjustRightInd/>
              <w:snapToGrid/>
              <w:ind w:left="0" w:right="0"/>
              <w:textAlignment w:val="auto"/>
              <w:rPr>
                <w:color w:val="auto"/>
                <w:sz w:val="21"/>
                <w:szCs w:val="21"/>
                <w:highlight w:val="none"/>
                <w:lang w:eastAsia="en-US"/>
              </w:rPr>
            </w:pPr>
            <w:r>
              <w:rPr>
                <w:rFonts w:hint="eastAsia" w:ascii="宋体" w:hAnsi="宋体" w:eastAsia="宋体" w:cs="宋体"/>
                <w:color w:val="auto"/>
                <w:sz w:val="21"/>
                <w:szCs w:val="21"/>
                <w:highlight w:val="none"/>
                <w:lang w:eastAsia="en-US"/>
              </w:rPr>
              <w:t>评价因子</w:t>
            </w:r>
          </w:p>
        </w:tc>
        <w:tc>
          <w:tcPr>
            <w:tcW w:w="1443" w:type="dxa"/>
            <w:tcBorders>
              <w:tl2br w:val="nil"/>
              <w:tr2bl w:val="nil"/>
            </w:tcBorders>
            <w:vAlign w:val="center"/>
          </w:tcPr>
          <w:p w14:paraId="74249409">
            <w:pPr>
              <w:pStyle w:val="98"/>
              <w:keepNext w:val="0"/>
              <w:keepLines w:val="0"/>
              <w:pageBreakBefore w:val="0"/>
              <w:widowControl w:val="0"/>
              <w:kinsoku/>
              <w:wordWrap/>
              <w:overflowPunct/>
              <w:topLinePunct w:val="0"/>
              <w:autoSpaceDE w:val="0"/>
              <w:autoSpaceDN w:val="0"/>
              <w:bidi w:val="0"/>
              <w:adjustRightInd/>
              <w:snapToGrid/>
              <w:ind w:left="0" w:right="0"/>
              <w:textAlignment w:val="auto"/>
              <w:rPr>
                <w:color w:val="auto"/>
                <w:sz w:val="21"/>
                <w:szCs w:val="21"/>
                <w:highlight w:val="none"/>
                <w:lang w:eastAsia="en-US"/>
              </w:rPr>
            </w:pPr>
            <w:r>
              <w:rPr>
                <w:rFonts w:hint="eastAsia" w:ascii="宋体" w:hAnsi="宋体" w:eastAsia="宋体" w:cs="宋体"/>
                <w:color w:val="auto"/>
                <w:sz w:val="21"/>
                <w:szCs w:val="21"/>
                <w:highlight w:val="none"/>
                <w:lang w:eastAsia="en-US"/>
              </w:rPr>
              <w:t>评价因子</w:t>
            </w:r>
          </w:p>
        </w:tc>
        <w:tc>
          <w:tcPr>
            <w:tcW w:w="1965" w:type="dxa"/>
            <w:gridSpan w:val="3"/>
            <w:tcBorders>
              <w:tl2br w:val="nil"/>
              <w:tr2bl w:val="nil"/>
            </w:tcBorders>
            <w:vAlign w:val="center"/>
          </w:tcPr>
          <w:p w14:paraId="5EB9BFBD">
            <w:pPr>
              <w:pStyle w:val="98"/>
              <w:keepNext w:val="0"/>
              <w:keepLines w:val="0"/>
              <w:pageBreakBefore w:val="0"/>
              <w:widowControl w:val="0"/>
              <w:kinsoku/>
              <w:wordWrap/>
              <w:overflowPunct/>
              <w:topLinePunct w:val="0"/>
              <w:autoSpaceDE w:val="0"/>
              <w:autoSpaceDN w:val="0"/>
              <w:bidi w:val="0"/>
              <w:adjustRightInd/>
              <w:snapToGrid/>
              <w:ind w:left="0" w:right="0"/>
              <w:textAlignment w:val="auto"/>
              <w:rPr>
                <w:color w:val="auto"/>
                <w:sz w:val="21"/>
                <w:szCs w:val="21"/>
                <w:highlight w:val="none"/>
                <w:lang w:eastAsia="en-US"/>
              </w:rPr>
            </w:pPr>
            <w:r>
              <w:rPr>
                <w:rFonts w:hint="eastAsia" w:ascii="宋体" w:hAnsi="宋体" w:eastAsia="宋体" w:cs="宋体"/>
                <w:color w:val="auto"/>
                <w:sz w:val="21"/>
                <w:szCs w:val="21"/>
                <w:highlight w:val="none"/>
                <w:lang w:eastAsia="en-US"/>
              </w:rPr>
              <w:t>等效连续</w:t>
            </w:r>
            <w:r>
              <w:rPr>
                <w:color w:val="auto"/>
                <w:sz w:val="21"/>
                <w:szCs w:val="21"/>
                <w:highlight w:val="none"/>
                <w:lang w:eastAsia="en-US"/>
              </w:rPr>
              <w:t>A</w:t>
            </w:r>
            <w:r>
              <w:rPr>
                <w:rFonts w:hint="eastAsia" w:ascii="宋体" w:hAnsi="宋体" w:eastAsia="宋体" w:cs="宋体"/>
                <w:color w:val="auto"/>
                <w:sz w:val="21"/>
                <w:szCs w:val="21"/>
                <w:highlight w:val="none"/>
                <w:lang w:eastAsia="en-US"/>
              </w:rPr>
              <w:t>声级</w:t>
            </w:r>
            <w:r>
              <w:rPr>
                <w:rFonts w:hint="eastAsia" w:eastAsia="宋体"/>
                <w:color w:val="auto"/>
                <w:sz w:val="21"/>
                <w:szCs w:val="21"/>
                <w:highlight w:val="none"/>
              </w:rPr>
              <w:t>☑</w:t>
            </w:r>
          </w:p>
        </w:tc>
        <w:tc>
          <w:tcPr>
            <w:tcW w:w="1489" w:type="dxa"/>
            <w:gridSpan w:val="2"/>
            <w:tcBorders>
              <w:tl2br w:val="nil"/>
              <w:tr2bl w:val="nil"/>
            </w:tcBorders>
            <w:vAlign w:val="center"/>
          </w:tcPr>
          <w:p w14:paraId="7BBEEE26">
            <w:pPr>
              <w:pStyle w:val="98"/>
              <w:keepNext w:val="0"/>
              <w:keepLines w:val="0"/>
              <w:pageBreakBefore w:val="0"/>
              <w:widowControl w:val="0"/>
              <w:kinsoku/>
              <w:wordWrap/>
              <w:overflowPunct/>
              <w:topLinePunct w:val="0"/>
              <w:autoSpaceDE w:val="0"/>
              <w:autoSpaceDN w:val="0"/>
              <w:bidi w:val="0"/>
              <w:adjustRightInd/>
              <w:snapToGrid/>
              <w:ind w:left="0" w:right="0"/>
              <w:textAlignment w:val="auto"/>
              <w:rPr>
                <w:color w:val="auto"/>
                <w:sz w:val="21"/>
                <w:szCs w:val="21"/>
                <w:highlight w:val="none"/>
                <w:lang w:eastAsia="en-US"/>
              </w:rPr>
            </w:pPr>
            <w:r>
              <w:rPr>
                <w:rFonts w:hint="eastAsia" w:ascii="宋体" w:hAnsi="宋体" w:eastAsia="宋体" w:cs="宋体"/>
                <w:color w:val="auto"/>
                <w:sz w:val="21"/>
                <w:szCs w:val="21"/>
                <w:highlight w:val="none"/>
                <w:lang w:eastAsia="en-US"/>
              </w:rPr>
              <w:t>最大</w:t>
            </w:r>
            <w:r>
              <w:rPr>
                <w:color w:val="auto"/>
                <w:sz w:val="21"/>
                <w:szCs w:val="21"/>
                <w:highlight w:val="none"/>
                <w:lang w:eastAsia="en-US"/>
              </w:rPr>
              <w:t>A</w:t>
            </w:r>
            <w:r>
              <w:rPr>
                <w:rFonts w:hint="eastAsia" w:ascii="宋体" w:hAnsi="宋体" w:eastAsia="宋体" w:cs="宋体"/>
                <w:color w:val="auto"/>
                <w:sz w:val="21"/>
                <w:szCs w:val="21"/>
                <w:highlight w:val="none"/>
                <w:lang w:eastAsia="en-US"/>
              </w:rPr>
              <w:t>声级</w:t>
            </w:r>
            <w:r>
              <w:rPr>
                <w:rFonts w:hint="eastAsia" w:eastAsia="宋体"/>
                <w:color w:val="auto"/>
                <w:sz w:val="21"/>
                <w:szCs w:val="21"/>
                <w:highlight w:val="none"/>
                <w:lang w:eastAsia="zh-CN"/>
              </w:rPr>
              <w:t>☑</w:t>
            </w:r>
          </w:p>
        </w:tc>
        <w:tc>
          <w:tcPr>
            <w:tcW w:w="2658" w:type="dxa"/>
            <w:gridSpan w:val="4"/>
            <w:tcBorders>
              <w:tl2br w:val="nil"/>
              <w:tr2bl w:val="nil"/>
            </w:tcBorders>
            <w:vAlign w:val="center"/>
          </w:tcPr>
          <w:p w14:paraId="3D5FD976">
            <w:pPr>
              <w:pStyle w:val="98"/>
              <w:keepNext w:val="0"/>
              <w:keepLines w:val="0"/>
              <w:pageBreakBefore w:val="0"/>
              <w:widowControl w:val="0"/>
              <w:kinsoku/>
              <w:wordWrap/>
              <w:overflowPunct/>
              <w:topLinePunct w:val="0"/>
              <w:autoSpaceDE w:val="0"/>
              <w:autoSpaceDN w:val="0"/>
              <w:bidi w:val="0"/>
              <w:adjustRightInd/>
              <w:snapToGrid/>
              <w:ind w:left="0" w:right="0"/>
              <w:textAlignment w:val="auto"/>
              <w:rPr>
                <w:rFonts w:hint="eastAsia" w:eastAsia="宋体"/>
                <w:color w:val="auto"/>
                <w:sz w:val="21"/>
                <w:szCs w:val="21"/>
                <w:highlight w:val="none"/>
                <w:lang w:eastAsia="zh-CN"/>
              </w:rPr>
            </w:pPr>
            <w:r>
              <w:rPr>
                <w:rFonts w:hint="eastAsia" w:ascii="宋体" w:hAnsi="宋体" w:eastAsia="宋体" w:cs="宋体"/>
                <w:color w:val="auto"/>
                <w:sz w:val="21"/>
                <w:szCs w:val="21"/>
                <w:highlight w:val="none"/>
              </w:rPr>
              <w:t>计权等效连续感觉噪声级</w:t>
            </w:r>
            <w:r>
              <w:rPr>
                <w:rFonts w:hint="eastAsia" w:eastAsia="宋体"/>
                <w:color w:val="auto"/>
                <w:sz w:val="21"/>
                <w:szCs w:val="21"/>
                <w:highlight w:val="none"/>
                <w:lang w:eastAsia="zh-CN"/>
              </w:rPr>
              <w:t>□</w:t>
            </w:r>
          </w:p>
        </w:tc>
      </w:tr>
      <w:tr w14:paraId="6D418969">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949" w:type="dxa"/>
            <w:tcBorders>
              <w:tl2br w:val="nil"/>
              <w:tr2bl w:val="nil"/>
            </w:tcBorders>
            <w:vAlign w:val="center"/>
          </w:tcPr>
          <w:p w14:paraId="2D7BC7C8">
            <w:pPr>
              <w:pStyle w:val="98"/>
              <w:keepNext w:val="0"/>
              <w:keepLines w:val="0"/>
              <w:pageBreakBefore w:val="0"/>
              <w:widowControl w:val="0"/>
              <w:kinsoku/>
              <w:wordWrap/>
              <w:overflowPunct/>
              <w:topLinePunct w:val="0"/>
              <w:autoSpaceDE w:val="0"/>
              <w:autoSpaceDN w:val="0"/>
              <w:bidi w:val="0"/>
              <w:adjustRightInd/>
              <w:snapToGrid/>
              <w:ind w:left="0" w:right="0"/>
              <w:textAlignment w:val="auto"/>
              <w:rPr>
                <w:color w:val="auto"/>
                <w:sz w:val="21"/>
                <w:szCs w:val="21"/>
                <w:highlight w:val="none"/>
                <w:lang w:eastAsia="en-US"/>
              </w:rPr>
            </w:pPr>
            <w:r>
              <w:rPr>
                <w:rFonts w:hint="eastAsia" w:ascii="宋体" w:hAnsi="宋体" w:eastAsia="宋体" w:cs="宋体"/>
                <w:color w:val="auto"/>
                <w:sz w:val="21"/>
                <w:szCs w:val="21"/>
                <w:highlight w:val="none"/>
                <w:lang w:eastAsia="en-US"/>
              </w:rPr>
              <w:t>评价标准</w:t>
            </w:r>
          </w:p>
        </w:tc>
        <w:tc>
          <w:tcPr>
            <w:tcW w:w="1443" w:type="dxa"/>
            <w:tcBorders>
              <w:tl2br w:val="nil"/>
              <w:tr2bl w:val="nil"/>
            </w:tcBorders>
            <w:vAlign w:val="center"/>
          </w:tcPr>
          <w:p w14:paraId="3AA2CD18">
            <w:pPr>
              <w:pStyle w:val="98"/>
              <w:keepNext w:val="0"/>
              <w:keepLines w:val="0"/>
              <w:pageBreakBefore w:val="0"/>
              <w:widowControl w:val="0"/>
              <w:kinsoku/>
              <w:wordWrap/>
              <w:overflowPunct/>
              <w:topLinePunct w:val="0"/>
              <w:autoSpaceDE w:val="0"/>
              <w:autoSpaceDN w:val="0"/>
              <w:bidi w:val="0"/>
              <w:adjustRightInd/>
              <w:snapToGrid/>
              <w:ind w:left="0" w:right="0"/>
              <w:textAlignment w:val="auto"/>
              <w:rPr>
                <w:color w:val="auto"/>
                <w:sz w:val="21"/>
                <w:szCs w:val="21"/>
                <w:highlight w:val="none"/>
                <w:lang w:eastAsia="en-US"/>
              </w:rPr>
            </w:pPr>
            <w:r>
              <w:rPr>
                <w:rFonts w:hint="eastAsia" w:ascii="宋体" w:hAnsi="宋体" w:eastAsia="宋体" w:cs="宋体"/>
                <w:color w:val="auto"/>
                <w:sz w:val="21"/>
                <w:szCs w:val="21"/>
                <w:highlight w:val="none"/>
                <w:lang w:eastAsia="en-US"/>
              </w:rPr>
              <w:t>评价标准</w:t>
            </w:r>
          </w:p>
        </w:tc>
        <w:tc>
          <w:tcPr>
            <w:tcW w:w="1965" w:type="dxa"/>
            <w:gridSpan w:val="3"/>
            <w:tcBorders>
              <w:tl2br w:val="nil"/>
              <w:tr2bl w:val="nil"/>
            </w:tcBorders>
            <w:vAlign w:val="center"/>
          </w:tcPr>
          <w:p w14:paraId="25462509">
            <w:pPr>
              <w:pStyle w:val="98"/>
              <w:keepNext w:val="0"/>
              <w:keepLines w:val="0"/>
              <w:pageBreakBefore w:val="0"/>
              <w:widowControl w:val="0"/>
              <w:kinsoku/>
              <w:wordWrap/>
              <w:overflowPunct/>
              <w:topLinePunct w:val="0"/>
              <w:autoSpaceDE w:val="0"/>
              <w:autoSpaceDN w:val="0"/>
              <w:bidi w:val="0"/>
              <w:adjustRightInd/>
              <w:snapToGrid/>
              <w:ind w:left="0" w:right="0"/>
              <w:textAlignment w:val="auto"/>
              <w:rPr>
                <w:color w:val="auto"/>
                <w:sz w:val="21"/>
                <w:szCs w:val="21"/>
                <w:highlight w:val="none"/>
                <w:lang w:eastAsia="en-US"/>
              </w:rPr>
            </w:pPr>
            <w:r>
              <w:rPr>
                <w:rFonts w:hint="eastAsia" w:ascii="宋体" w:hAnsi="宋体" w:eastAsia="宋体" w:cs="宋体"/>
                <w:color w:val="auto"/>
                <w:sz w:val="21"/>
                <w:szCs w:val="21"/>
                <w:highlight w:val="none"/>
                <w:lang w:eastAsia="en-US"/>
              </w:rPr>
              <w:t>国家标准</w:t>
            </w:r>
            <w:r>
              <w:rPr>
                <w:rFonts w:hint="eastAsia" w:eastAsia="宋体"/>
                <w:color w:val="auto"/>
                <w:sz w:val="21"/>
                <w:szCs w:val="21"/>
                <w:highlight w:val="none"/>
              </w:rPr>
              <w:t>☑</w:t>
            </w:r>
          </w:p>
        </w:tc>
        <w:tc>
          <w:tcPr>
            <w:tcW w:w="1489" w:type="dxa"/>
            <w:gridSpan w:val="2"/>
            <w:tcBorders>
              <w:tl2br w:val="nil"/>
              <w:tr2bl w:val="nil"/>
            </w:tcBorders>
            <w:vAlign w:val="center"/>
          </w:tcPr>
          <w:p w14:paraId="46CC2430">
            <w:pPr>
              <w:pStyle w:val="98"/>
              <w:keepNext w:val="0"/>
              <w:keepLines w:val="0"/>
              <w:pageBreakBefore w:val="0"/>
              <w:widowControl w:val="0"/>
              <w:kinsoku/>
              <w:wordWrap/>
              <w:overflowPunct/>
              <w:topLinePunct w:val="0"/>
              <w:autoSpaceDE w:val="0"/>
              <w:autoSpaceDN w:val="0"/>
              <w:bidi w:val="0"/>
              <w:adjustRightInd/>
              <w:snapToGrid/>
              <w:ind w:left="0" w:right="0"/>
              <w:textAlignment w:val="auto"/>
              <w:rPr>
                <w:rFonts w:hint="eastAsia" w:eastAsia="宋体"/>
                <w:color w:val="auto"/>
                <w:sz w:val="21"/>
                <w:szCs w:val="21"/>
                <w:highlight w:val="none"/>
                <w:lang w:eastAsia="zh-CN"/>
              </w:rPr>
            </w:pPr>
            <w:r>
              <w:rPr>
                <w:rFonts w:hint="eastAsia" w:ascii="宋体" w:hAnsi="宋体" w:eastAsia="宋体" w:cs="宋体"/>
                <w:color w:val="auto"/>
                <w:sz w:val="21"/>
                <w:szCs w:val="21"/>
                <w:highlight w:val="none"/>
                <w:lang w:eastAsia="en-US"/>
              </w:rPr>
              <w:t>地方标准</w:t>
            </w:r>
            <w:r>
              <w:rPr>
                <w:rFonts w:hint="eastAsia" w:eastAsia="宋体"/>
                <w:color w:val="auto"/>
                <w:sz w:val="21"/>
                <w:szCs w:val="21"/>
                <w:highlight w:val="none"/>
                <w:lang w:eastAsia="zh-CN"/>
              </w:rPr>
              <w:t>□</w:t>
            </w:r>
          </w:p>
        </w:tc>
        <w:tc>
          <w:tcPr>
            <w:tcW w:w="2658" w:type="dxa"/>
            <w:gridSpan w:val="4"/>
            <w:tcBorders>
              <w:tl2br w:val="nil"/>
              <w:tr2bl w:val="nil"/>
            </w:tcBorders>
            <w:vAlign w:val="center"/>
          </w:tcPr>
          <w:p w14:paraId="5EC0F268">
            <w:pPr>
              <w:pStyle w:val="98"/>
              <w:keepNext w:val="0"/>
              <w:keepLines w:val="0"/>
              <w:pageBreakBefore w:val="0"/>
              <w:widowControl w:val="0"/>
              <w:kinsoku/>
              <w:wordWrap/>
              <w:overflowPunct/>
              <w:topLinePunct w:val="0"/>
              <w:autoSpaceDE w:val="0"/>
              <w:autoSpaceDN w:val="0"/>
              <w:bidi w:val="0"/>
              <w:adjustRightInd/>
              <w:snapToGrid/>
              <w:ind w:left="0" w:right="0"/>
              <w:textAlignment w:val="auto"/>
              <w:rPr>
                <w:rFonts w:hint="eastAsia" w:eastAsia="宋体"/>
                <w:color w:val="auto"/>
                <w:sz w:val="21"/>
                <w:szCs w:val="21"/>
                <w:highlight w:val="none"/>
                <w:lang w:eastAsia="zh-CN"/>
              </w:rPr>
            </w:pPr>
            <w:r>
              <w:rPr>
                <w:rFonts w:hint="eastAsia" w:ascii="宋体" w:hAnsi="宋体" w:eastAsia="宋体" w:cs="宋体"/>
                <w:color w:val="auto"/>
                <w:sz w:val="21"/>
                <w:szCs w:val="21"/>
                <w:highlight w:val="none"/>
                <w:lang w:eastAsia="en-US"/>
              </w:rPr>
              <w:t>国外标准</w:t>
            </w:r>
            <w:r>
              <w:rPr>
                <w:rFonts w:hint="eastAsia" w:eastAsia="宋体"/>
                <w:color w:val="auto"/>
                <w:sz w:val="21"/>
                <w:szCs w:val="21"/>
                <w:highlight w:val="none"/>
                <w:lang w:eastAsia="zh-CN"/>
              </w:rPr>
              <w:t>□</w:t>
            </w:r>
          </w:p>
        </w:tc>
      </w:tr>
      <w:tr w14:paraId="75E33BCB">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949" w:type="dxa"/>
            <w:vMerge w:val="restart"/>
            <w:tcBorders>
              <w:tl2br w:val="nil"/>
              <w:tr2bl w:val="nil"/>
            </w:tcBorders>
            <w:vAlign w:val="center"/>
          </w:tcPr>
          <w:p w14:paraId="55429AC3">
            <w:pPr>
              <w:pStyle w:val="98"/>
              <w:keepNext w:val="0"/>
              <w:keepLines w:val="0"/>
              <w:pageBreakBefore w:val="0"/>
              <w:widowControl w:val="0"/>
              <w:kinsoku/>
              <w:wordWrap/>
              <w:overflowPunct/>
              <w:topLinePunct w:val="0"/>
              <w:autoSpaceDE w:val="0"/>
              <w:autoSpaceDN w:val="0"/>
              <w:bidi w:val="0"/>
              <w:adjustRightInd/>
              <w:snapToGrid/>
              <w:ind w:left="0" w:right="0"/>
              <w:textAlignment w:val="auto"/>
              <w:rPr>
                <w:color w:val="auto"/>
                <w:sz w:val="21"/>
                <w:szCs w:val="21"/>
                <w:highlight w:val="none"/>
                <w:lang w:eastAsia="en-US"/>
              </w:rPr>
            </w:pPr>
            <w:r>
              <w:rPr>
                <w:rFonts w:hint="eastAsia" w:ascii="宋体" w:hAnsi="宋体" w:eastAsia="宋体" w:cs="宋体"/>
                <w:color w:val="auto"/>
                <w:sz w:val="21"/>
                <w:szCs w:val="21"/>
                <w:highlight w:val="none"/>
                <w:lang w:eastAsia="en-US"/>
              </w:rPr>
              <w:t>现状评价</w:t>
            </w:r>
          </w:p>
        </w:tc>
        <w:tc>
          <w:tcPr>
            <w:tcW w:w="1443" w:type="dxa"/>
            <w:tcBorders>
              <w:tl2br w:val="nil"/>
              <w:tr2bl w:val="nil"/>
            </w:tcBorders>
            <w:vAlign w:val="center"/>
          </w:tcPr>
          <w:p w14:paraId="6C83BF2B">
            <w:pPr>
              <w:pStyle w:val="98"/>
              <w:keepNext w:val="0"/>
              <w:keepLines w:val="0"/>
              <w:pageBreakBefore w:val="0"/>
              <w:widowControl w:val="0"/>
              <w:kinsoku/>
              <w:wordWrap/>
              <w:overflowPunct/>
              <w:topLinePunct w:val="0"/>
              <w:autoSpaceDE w:val="0"/>
              <w:autoSpaceDN w:val="0"/>
              <w:bidi w:val="0"/>
              <w:adjustRightInd/>
              <w:snapToGrid/>
              <w:ind w:left="0" w:right="0"/>
              <w:textAlignment w:val="auto"/>
              <w:rPr>
                <w:color w:val="auto"/>
                <w:sz w:val="21"/>
                <w:szCs w:val="21"/>
                <w:highlight w:val="none"/>
                <w:lang w:eastAsia="en-US"/>
              </w:rPr>
            </w:pPr>
            <w:r>
              <w:rPr>
                <w:rFonts w:hint="eastAsia" w:ascii="宋体" w:hAnsi="宋体" w:eastAsia="宋体" w:cs="宋体"/>
                <w:color w:val="auto"/>
                <w:sz w:val="21"/>
                <w:szCs w:val="21"/>
                <w:highlight w:val="none"/>
                <w:lang w:eastAsia="en-US"/>
              </w:rPr>
              <w:t>环境功能区</w:t>
            </w:r>
          </w:p>
        </w:tc>
        <w:tc>
          <w:tcPr>
            <w:tcW w:w="926" w:type="dxa"/>
            <w:tcBorders>
              <w:tl2br w:val="nil"/>
              <w:tr2bl w:val="nil"/>
            </w:tcBorders>
            <w:vAlign w:val="center"/>
          </w:tcPr>
          <w:p w14:paraId="79466FEA">
            <w:pPr>
              <w:pStyle w:val="98"/>
              <w:keepNext w:val="0"/>
              <w:keepLines w:val="0"/>
              <w:pageBreakBefore w:val="0"/>
              <w:widowControl w:val="0"/>
              <w:kinsoku/>
              <w:wordWrap/>
              <w:overflowPunct/>
              <w:topLinePunct w:val="0"/>
              <w:autoSpaceDE w:val="0"/>
              <w:autoSpaceDN w:val="0"/>
              <w:bidi w:val="0"/>
              <w:adjustRightInd/>
              <w:snapToGrid/>
              <w:ind w:left="0" w:right="0"/>
              <w:textAlignment w:val="auto"/>
              <w:rPr>
                <w:rFonts w:hint="eastAsia" w:eastAsia="宋体"/>
                <w:color w:val="auto"/>
                <w:sz w:val="21"/>
                <w:szCs w:val="21"/>
                <w:highlight w:val="none"/>
                <w:lang w:eastAsia="zh-CN"/>
              </w:rPr>
            </w:pPr>
            <w:r>
              <w:rPr>
                <w:color w:val="auto"/>
                <w:sz w:val="21"/>
                <w:szCs w:val="21"/>
                <w:highlight w:val="none"/>
                <w:lang w:eastAsia="en-US"/>
              </w:rPr>
              <w:t>0</w:t>
            </w:r>
            <w:r>
              <w:rPr>
                <w:rFonts w:hint="eastAsia" w:ascii="宋体" w:hAnsi="宋体" w:eastAsia="宋体" w:cs="宋体"/>
                <w:color w:val="auto"/>
                <w:sz w:val="21"/>
                <w:szCs w:val="21"/>
                <w:highlight w:val="none"/>
                <w:lang w:eastAsia="en-US"/>
              </w:rPr>
              <w:t>类区</w:t>
            </w:r>
            <w:r>
              <w:rPr>
                <w:rFonts w:hint="eastAsia" w:eastAsia="宋体"/>
                <w:color w:val="auto"/>
                <w:sz w:val="21"/>
                <w:szCs w:val="21"/>
                <w:highlight w:val="none"/>
                <w:lang w:eastAsia="zh-CN"/>
              </w:rPr>
              <w:t>□</w:t>
            </w:r>
          </w:p>
        </w:tc>
        <w:tc>
          <w:tcPr>
            <w:tcW w:w="1039" w:type="dxa"/>
            <w:gridSpan w:val="2"/>
            <w:tcBorders>
              <w:tl2br w:val="nil"/>
              <w:tr2bl w:val="nil"/>
            </w:tcBorders>
            <w:vAlign w:val="center"/>
          </w:tcPr>
          <w:p w14:paraId="1FFC3A02">
            <w:pPr>
              <w:pStyle w:val="98"/>
              <w:keepNext w:val="0"/>
              <w:keepLines w:val="0"/>
              <w:pageBreakBefore w:val="0"/>
              <w:widowControl w:val="0"/>
              <w:kinsoku/>
              <w:wordWrap/>
              <w:overflowPunct/>
              <w:topLinePunct w:val="0"/>
              <w:autoSpaceDE w:val="0"/>
              <w:autoSpaceDN w:val="0"/>
              <w:bidi w:val="0"/>
              <w:adjustRightInd/>
              <w:snapToGrid/>
              <w:ind w:left="0" w:right="0"/>
              <w:textAlignment w:val="auto"/>
              <w:rPr>
                <w:rFonts w:hint="eastAsia" w:eastAsia="宋体"/>
                <w:color w:val="auto"/>
                <w:sz w:val="21"/>
                <w:szCs w:val="21"/>
                <w:highlight w:val="none"/>
                <w:lang w:eastAsia="zh-CN"/>
              </w:rPr>
            </w:pPr>
            <w:r>
              <w:rPr>
                <w:color w:val="auto"/>
                <w:sz w:val="21"/>
                <w:szCs w:val="21"/>
                <w:highlight w:val="none"/>
                <w:lang w:eastAsia="en-US"/>
              </w:rPr>
              <w:t>1</w:t>
            </w:r>
            <w:r>
              <w:rPr>
                <w:rFonts w:hint="eastAsia" w:ascii="宋体" w:hAnsi="宋体" w:eastAsia="宋体" w:cs="宋体"/>
                <w:color w:val="auto"/>
                <w:sz w:val="21"/>
                <w:szCs w:val="21"/>
                <w:highlight w:val="none"/>
                <w:lang w:eastAsia="en-US"/>
              </w:rPr>
              <w:t>类区</w:t>
            </w:r>
            <w:r>
              <w:rPr>
                <w:rFonts w:hint="eastAsia" w:eastAsia="宋体"/>
                <w:color w:val="auto"/>
                <w:sz w:val="21"/>
                <w:szCs w:val="21"/>
                <w:highlight w:val="none"/>
                <w:lang w:eastAsia="zh-CN"/>
              </w:rPr>
              <w:t>□</w:t>
            </w:r>
          </w:p>
        </w:tc>
        <w:tc>
          <w:tcPr>
            <w:tcW w:w="1013" w:type="dxa"/>
            <w:tcBorders>
              <w:tl2br w:val="nil"/>
              <w:tr2bl w:val="nil"/>
            </w:tcBorders>
            <w:vAlign w:val="center"/>
          </w:tcPr>
          <w:p w14:paraId="12B7C50F">
            <w:pPr>
              <w:pStyle w:val="98"/>
              <w:keepNext w:val="0"/>
              <w:keepLines w:val="0"/>
              <w:pageBreakBefore w:val="0"/>
              <w:widowControl w:val="0"/>
              <w:kinsoku/>
              <w:wordWrap/>
              <w:overflowPunct/>
              <w:topLinePunct w:val="0"/>
              <w:autoSpaceDE w:val="0"/>
              <w:autoSpaceDN w:val="0"/>
              <w:bidi w:val="0"/>
              <w:adjustRightInd/>
              <w:snapToGrid/>
              <w:ind w:left="0" w:right="0"/>
              <w:textAlignment w:val="auto"/>
              <w:rPr>
                <w:rFonts w:hint="eastAsia" w:eastAsia="宋体"/>
                <w:color w:val="auto"/>
                <w:sz w:val="21"/>
                <w:szCs w:val="21"/>
                <w:highlight w:val="none"/>
                <w:lang w:eastAsia="zh-CN"/>
              </w:rPr>
            </w:pPr>
            <w:r>
              <w:rPr>
                <w:color w:val="auto"/>
                <w:sz w:val="21"/>
                <w:szCs w:val="21"/>
                <w:highlight w:val="none"/>
                <w:lang w:eastAsia="en-US"/>
              </w:rPr>
              <w:t>2</w:t>
            </w:r>
            <w:r>
              <w:rPr>
                <w:rFonts w:hint="eastAsia" w:ascii="宋体" w:hAnsi="宋体" w:eastAsia="宋体" w:cs="宋体"/>
                <w:color w:val="auto"/>
                <w:sz w:val="21"/>
                <w:szCs w:val="21"/>
                <w:highlight w:val="none"/>
                <w:lang w:eastAsia="en-US"/>
              </w:rPr>
              <w:t>类区</w:t>
            </w:r>
            <w:r>
              <w:rPr>
                <w:rFonts w:hint="eastAsia" w:eastAsia="宋体"/>
                <w:color w:val="auto"/>
                <w:sz w:val="21"/>
                <w:szCs w:val="21"/>
                <w:highlight w:val="none"/>
                <w:lang w:eastAsia="zh-CN"/>
              </w:rPr>
              <w:t>□</w:t>
            </w:r>
          </w:p>
        </w:tc>
        <w:tc>
          <w:tcPr>
            <w:tcW w:w="1065" w:type="dxa"/>
            <w:gridSpan w:val="2"/>
            <w:tcBorders>
              <w:tl2br w:val="nil"/>
              <w:tr2bl w:val="nil"/>
            </w:tcBorders>
            <w:vAlign w:val="center"/>
          </w:tcPr>
          <w:p w14:paraId="151E720B">
            <w:pPr>
              <w:pStyle w:val="98"/>
              <w:keepNext w:val="0"/>
              <w:keepLines w:val="0"/>
              <w:pageBreakBefore w:val="0"/>
              <w:widowControl w:val="0"/>
              <w:kinsoku/>
              <w:wordWrap/>
              <w:overflowPunct/>
              <w:topLinePunct w:val="0"/>
              <w:autoSpaceDE w:val="0"/>
              <w:autoSpaceDN w:val="0"/>
              <w:bidi w:val="0"/>
              <w:adjustRightInd/>
              <w:snapToGrid/>
              <w:ind w:left="0" w:right="0"/>
              <w:textAlignment w:val="auto"/>
              <w:rPr>
                <w:color w:val="auto"/>
                <w:sz w:val="21"/>
                <w:szCs w:val="21"/>
                <w:highlight w:val="none"/>
                <w:lang w:eastAsia="en-US"/>
              </w:rPr>
            </w:pPr>
            <w:r>
              <w:rPr>
                <w:color w:val="auto"/>
                <w:sz w:val="21"/>
                <w:szCs w:val="21"/>
                <w:highlight w:val="none"/>
                <w:lang w:eastAsia="en-US"/>
              </w:rPr>
              <w:t>3</w:t>
            </w:r>
            <w:r>
              <w:rPr>
                <w:rFonts w:hint="eastAsia" w:ascii="宋体" w:hAnsi="宋体" w:eastAsia="宋体" w:cs="宋体"/>
                <w:color w:val="auto"/>
                <w:sz w:val="21"/>
                <w:szCs w:val="21"/>
                <w:highlight w:val="none"/>
                <w:lang w:eastAsia="en-US"/>
              </w:rPr>
              <w:t>类区</w:t>
            </w:r>
            <w:r>
              <w:rPr>
                <w:rFonts w:hint="eastAsia" w:eastAsia="宋体"/>
                <w:color w:val="auto"/>
                <w:sz w:val="21"/>
                <w:szCs w:val="21"/>
                <w:highlight w:val="none"/>
              </w:rPr>
              <w:t>☑</w:t>
            </w:r>
          </w:p>
        </w:tc>
        <w:tc>
          <w:tcPr>
            <w:tcW w:w="1002" w:type="dxa"/>
            <w:gridSpan w:val="2"/>
            <w:tcBorders>
              <w:tl2br w:val="nil"/>
              <w:tr2bl w:val="nil"/>
            </w:tcBorders>
            <w:vAlign w:val="center"/>
          </w:tcPr>
          <w:p w14:paraId="1F818979">
            <w:pPr>
              <w:pStyle w:val="98"/>
              <w:keepNext w:val="0"/>
              <w:keepLines w:val="0"/>
              <w:pageBreakBefore w:val="0"/>
              <w:widowControl w:val="0"/>
              <w:kinsoku/>
              <w:wordWrap/>
              <w:overflowPunct/>
              <w:topLinePunct w:val="0"/>
              <w:autoSpaceDE w:val="0"/>
              <w:autoSpaceDN w:val="0"/>
              <w:bidi w:val="0"/>
              <w:adjustRightInd/>
              <w:snapToGrid/>
              <w:ind w:left="0" w:right="0"/>
              <w:textAlignment w:val="auto"/>
              <w:rPr>
                <w:rFonts w:hint="eastAsia" w:eastAsia="宋体"/>
                <w:color w:val="auto"/>
                <w:sz w:val="21"/>
                <w:szCs w:val="21"/>
                <w:highlight w:val="none"/>
                <w:lang w:eastAsia="zh-CN"/>
              </w:rPr>
            </w:pPr>
            <w:r>
              <w:rPr>
                <w:color w:val="auto"/>
                <w:sz w:val="21"/>
                <w:szCs w:val="21"/>
                <w:highlight w:val="none"/>
                <w:lang w:eastAsia="en-US"/>
              </w:rPr>
              <w:t>4a</w:t>
            </w:r>
            <w:r>
              <w:rPr>
                <w:rFonts w:hint="eastAsia" w:ascii="宋体" w:hAnsi="宋体" w:eastAsia="宋体" w:cs="宋体"/>
                <w:color w:val="auto"/>
                <w:sz w:val="21"/>
                <w:szCs w:val="21"/>
                <w:highlight w:val="none"/>
                <w:lang w:eastAsia="en-US"/>
              </w:rPr>
              <w:t>类区</w:t>
            </w:r>
            <w:r>
              <w:rPr>
                <w:rFonts w:hint="eastAsia" w:eastAsia="宋体"/>
                <w:color w:val="auto"/>
                <w:sz w:val="21"/>
                <w:szCs w:val="21"/>
                <w:highlight w:val="none"/>
                <w:lang w:eastAsia="zh-CN"/>
              </w:rPr>
              <w:t>□</w:t>
            </w:r>
          </w:p>
        </w:tc>
        <w:tc>
          <w:tcPr>
            <w:tcW w:w="1067" w:type="dxa"/>
            <w:tcBorders>
              <w:tl2br w:val="nil"/>
              <w:tr2bl w:val="nil"/>
            </w:tcBorders>
            <w:vAlign w:val="center"/>
          </w:tcPr>
          <w:p w14:paraId="47B1F7C4">
            <w:pPr>
              <w:pStyle w:val="98"/>
              <w:keepNext w:val="0"/>
              <w:keepLines w:val="0"/>
              <w:pageBreakBefore w:val="0"/>
              <w:widowControl w:val="0"/>
              <w:kinsoku/>
              <w:wordWrap/>
              <w:overflowPunct/>
              <w:topLinePunct w:val="0"/>
              <w:autoSpaceDE w:val="0"/>
              <w:autoSpaceDN w:val="0"/>
              <w:bidi w:val="0"/>
              <w:adjustRightInd/>
              <w:snapToGrid/>
              <w:ind w:left="0" w:right="0"/>
              <w:textAlignment w:val="auto"/>
              <w:rPr>
                <w:rFonts w:hint="eastAsia" w:eastAsia="宋体"/>
                <w:color w:val="auto"/>
                <w:sz w:val="21"/>
                <w:szCs w:val="21"/>
                <w:highlight w:val="none"/>
                <w:lang w:eastAsia="zh-CN"/>
              </w:rPr>
            </w:pPr>
            <w:r>
              <w:rPr>
                <w:color w:val="auto"/>
                <w:sz w:val="21"/>
                <w:szCs w:val="21"/>
                <w:highlight w:val="none"/>
                <w:lang w:eastAsia="en-US"/>
              </w:rPr>
              <w:t>4b</w:t>
            </w:r>
            <w:r>
              <w:rPr>
                <w:rFonts w:hint="eastAsia" w:ascii="宋体" w:hAnsi="宋体" w:eastAsia="宋体" w:cs="宋体"/>
                <w:color w:val="auto"/>
                <w:sz w:val="21"/>
                <w:szCs w:val="21"/>
                <w:highlight w:val="none"/>
                <w:lang w:eastAsia="en-US"/>
              </w:rPr>
              <w:t>类区</w:t>
            </w:r>
            <w:r>
              <w:rPr>
                <w:rFonts w:hint="eastAsia" w:eastAsia="宋体"/>
                <w:color w:val="auto"/>
                <w:sz w:val="21"/>
                <w:szCs w:val="21"/>
                <w:highlight w:val="none"/>
                <w:lang w:eastAsia="zh-CN"/>
              </w:rPr>
              <w:t>□</w:t>
            </w:r>
          </w:p>
        </w:tc>
      </w:tr>
      <w:tr w14:paraId="2B66CF56">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949" w:type="dxa"/>
            <w:vMerge w:val="continue"/>
            <w:tcBorders>
              <w:tl2br w:val="nil"/>
              <w:tr2bl w:val="nil"/>
            </w:tcBorders>
            <w:vAlign w:val="center"/>
          </w:tcPr>
          <w:p w14:paraId="72BAE520">
            <w:pPr>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ascii="Times New Roman" w:hAnsi="Times New Roman" w:cs="Times New Roman"/>
                <w:color w:val="auto"/>
                <w:sz w:val="21"/>
                <w:szCs w:val="21"/>
                <w:highlight w:val="none"/>
                <w:lang w:eastAsia="en-US"/>
              </w:rPr>
            </w:pPr>
          </w:p>
        </w:tc>
        <w:tc>
          <w:tcPr>
            <w:tcW w:w="1443" w:type="dxa"/>
            <w:tcBorders>
              <w:tl2br w:val="nil"/>
              <w:tr2bl w:val="nil"/>
            </w:tcBorders>
            <w:vAlign w:val="center"/>
          </w:tcPr>
          <w:p w14:paraId="67C2E5EF">
            <w:pPr>
              <w:pStyle w:val="98"/>
              <w:keepNext w:val="0"/>
              <w:keepLines w:val="0"/>
              <w:pageBreakBefore w:val="0"/>
              <w:widowControl w:val="0"/>
              <w:kinsoku/>
              <w:wordWrap/>
              <w:overflowPunct/>
              <w:topLinePunct w:val="0"/>
              <w:autoSpaceDE w:val="0"/>
              <w:autoSpaceDN w:val="0"/>
              <w:bidi w:val="0"/>
              <w:adjustRightInd/>
              <w:snapToGrid/>
              <w:ind w:left="0" w:right="0"/>
              <w:textAlignment w:val="auto"/>
              <w:rPr>
                <w:color w:val="auto"/>
                <w:sz w:val="21"/>
                <w:szCs w:val="21"/>
                <w:highlight w:val="none"/>
                <w:lang w:eastAsia="en-US"/>
              </w:rPr>
            </w:pPr>
            <w:r>
              <w:rPr>
                <w:rFonts w:hint="eastAsia" w:ascii="宋体" w:hAnsi="宋体" w:eastAsia="宋体" w:cs="宋体"/>
                <w:color w:val="auto"/>
                <w:sz w:val="21"/>
                <w:szCs w:val="21"/>
                <w:highlight w:val="none"/>
                <w:lang w:eastAsia="en-US"/>
              </w:rPr>
              <w:t>评价年度</w:t>
            </w:r>
          </w:p>
        </w:tc>
        <w:tc>
          <w:tcPr>
            <w:tcW w:w="1445" w:type="dxa"/>
            <w:gridSpan w:val="2"/>
            <w:tcBorders>
              <w:tl2br w:val="nil"/>
              <w:tr2bl w:val="nil"/>
            </w:tcBorders>
            <w:vAlign w:val="center"/>
          </w:tcPr>
          <w:p w14:paraId="1F68731C">
            <w:pPr>
              <w:pStyle w:val="98"/>
              <w:keepNext w:val="0"/>
              <w:keepLines w:val="0"/>
              <w:pageBreakBefore w:val="0"/>
              <w:widowControl w:val="0"/>
              <w:kinsoku/>
              <w:wordWrap/>
              <w:overflowPunct/>
              <w:topLinePunct w:val="0"/>
              <w:autoSpaceDE w:val="0"/>
              <w:autoSpaceDN w:val="0"/>
              <w:bidi w:val="0"/>
              <w:adjustRightInd/>
              <w:snapToGrid/>
              <w:ind w:left="0" w:right="0"/>
              <w:textAlignment w:val="auto"/>
              <w:rPr>
                <w:rFonts w:hint="eastAsia" w:eastAsia="宋体"/>
                <w:color w:val="auto"/>
                <w:sz w:val="21"/>
                <w:szCs w:val="21"/>
                <w:highlight w:val="none"/>
                <w:lang w:eastAsia="zh-CN"/>
              </w:rPr>
            </w:pPr>
            <w:r>
              <w:rPr>
                <w:rFonts w:hint="eastAsia" w:ascii="宋体" w:hAnsi="宋体" w:eastAsia="宋体" w:cs="宋体"/>
                <w:color w:val="auto"/>
                <w:sz w:val="21"/>
                <w:szCs w:val="21"/>
                <w:highlight w:val="none"/>
                <w:lang w:eastAsia="en-US"/>
              </w:rPr>
              <w:t>初期</w:t>
            </w:r>
            <w:r>
              <w:rPr>
                <w:rFonts w:hint="eastAsia" w:eastAsia="宋体"/>
                <w:color w:val="auto"/>
                <w:sz w:val="21"/>
                <w:szCs w:val="21"/>
                <w:highlight w:val="none"/>
                <w:lang w:eastAsia="zh-CN"/>
              </w:rPr>
              <w:t>□</w:t>
            </w:r>
          </w:p>
        </w:tc>
        <w:tc>
          <w:tcPr>
            <w:tcW w:w="1533" w:type="dxa"/>
            <w:gridSpan w:val="2"/>
            <w:tcBorders>
              <w:tl2br w:val="nil"/>
              <w:tr2bl w:val="nil"/>
            </w:tcBorders>
            <w:vAlign w:val="center"/>
          </w:tcPr>
          <w:p w14:paraId="377366FA">
            <w:pPr>
              <w:pStyle w:val="98"/>
              <w:keepNext w:val="0"/>
              <w:keepLines w:val="0"/>
              <w:pageBreakBefore w:val="0"/>
              <w:widowControl w:val="0"/>
              <w:kinsoku/>
              <w:wordWrap/>
              <w:overflowPunct/>
              <w:topLinePunct w:val="0"/>
              <w:autoSpaceDE w:val="0"/>
              <w:autoSpaceDN w:val="0"/>
              <w:bidi w:val="0"/>
              <w:adjustRightInd/>
              <w:snapToGrid/>
              <w:ind w:left="0" w:right="0"/>
              <w:textAlignment w:val="auto"/>
              <w:rPr>
                <w:rFonts w:eastAsia="宋体"/>
                <w:color w:val="auto"/>
                <w:sz w:val="21"/>
                <w:szCs w:val="21"/>
                <w:highlight w:val="none"/>
              </w:rPr>
            </w:pPr>
            <w:r>
              <w:rPr>
                <w:rFonts w:hint="eastAsia" w:ascii="宋体" w:hAnsi="宋体" w:eastAsia="宋体" w:cs="宋体"/>
                <w:color w:val="auto"/>
                <w:sz w:val="21"/>
                <w:szCs w:val="21"/>
                <w:highlight w:val="none"/>
                <w:lang w:eastAsia="en-US"/>
              </w:rPr>
              <w:t>近期</w:t>
            </w:r>
            <w:r>
              <w:rPr>
                <w:rFonts w:hint="eastAsia" w:eastAsia="宋体"/>
                <w:color w:val="auto"/>
                <w:sz w:val="21"/>
                <w:szCs w:val="21"/>
                <w:highlight w:val="none"/>
              </w:rPr>
              <w:t>☑</w:t>
            </w:r>
          </w:p>
        </w:tc>
        <w:tc>
          <w:tcPr>
            <w:tcW w:w="1585" w:type="dxa"/>
            <w:gridSpan w:val="3"/>
            <w:tcBorders>
              <w:tl2br w:val="nil"/>
              <w:tr2bl w:val="nil"/>
            </w:tcBorders>
            <w:vAlign w:val="center"/>
          </w:tcPr>
          <w:p w14:paraId="1B678315">
            <w:pPr>
              <w:pStyle w:val="98"/>
              <w:keepNext w:val="0"/>
              <w:keepLines w:val="0"/>
              <w:pageBreakBefore w:val="0"/>
              <w:widowControl w:val="0"/>
              <w:kinsoku/>
              <w:wordWrap/>
              <w:overflowPunct/>
              <w:topLinePunct w:val="0"/>
              <w:autoSpaceDE w:val="0"/>
              <w:autoSpaceDN w:val="0"/>
              <w:bidi w:val="0"/>
              <w:adjustRightInd/>
              <w:snapToGrid/>
              <w:ind w:left="0" w:right="0"/>
              <w:textAlignment w:val="auto"/>
              <w:rPr>
                <w:rFonts w:hint="eastAsia" w:eastAsia="宋体"/>
                <w:color w:val="auto"/>
                <w:sz w:val="21"/>
                <w:szCs w:val="21"/>
                <w:highlight w:val="none"/>
                <w:lang w:eastAsia="zh-CN"/>
              </w:rPr>
            </w:pPr>
            <w:r>
              <w:rPr>
                <w:rFonts w:hint="eastAsia" w:ascii="宋体" w:hAnsi="宋体" w:eastAsia="宋体" w:cs="宋体"/>
                <w:color w:val="auto"/>
                <w:sz w:val="21"/>
                <w:szCs w:val="21"/>
                <w:highlight w:val="none"/>
                <w:lang w:eastAsia="en-US"/>
              </w:rPr>
              <w:t>中期</w:t>
            </w:r>
            <w:r>
              <w:rPr>
                <w:rFonts w:hint="eastAsia" w:eastAsia="宋体"/>
                <w:color w:val="auto"/>
                <w:sz w:val="21"/>
                <w:szCs w:val="21"/>
                <w:highlight w:val="none"/>
                <w:lang w:eastAsia="zh-CN"/>
              </w:rPr>
              <w:t>□</w:t>
            </w:r>
          </w:p>
        </w:tc>
        <w:tc>
          <w:tcPr>
            <w:tcW w:w="1549" w:type="dxa"/>
            <w:gridSpan w:val="2"/>
            <w:tcBorders>
              <w:tl2br w:val="nil"/>
              <w:tr2bl w:val="nil"/>
            </w:tcBorders>
            <w:vAlign w:val="center"/>
          </w:tcPr>
          <w:p w14:paraId="48B7C514">
            <w:pPr>
              <w:pStyle w:val="98"/>
              <w:keepNext w:val="0"/>
              <w:keepLines w:val="0"/>
              <w:pageBreakBefore w:val="0"/>
              <w:widowControl w:val="0"/>
              <w:kinsoku/>
              <w:wordWrap/>
              <w:overflowPunct/>
              <w:topLinePunct w:val="0"/>
              <w:autoSpaceDE w:val="0"/>
              <w:autoSpaceDN w:val="0"/>
              <w:bidi w:val="0"/>
              <w:adjustRightInd/>
              <w:snapToGrid/>
              <w:ind w:left="0" w:right="0"/>
              <w:textAlignment w:val="auto"/>
              <w:rPr>
                <w:color w:val="auto"/>
                <w:sz w:val="21"/>
                <w:szCs w:val="21"/>
                <w:highlight w:val="none"/>
                <w:lang w:eastAsia="en-US"/>
              </w:rPr>
            </w:pPr>
            <w:r>
              <w:rPr>
                <w:rFonts w:hint="eastAsia" w:ascii="宋体" w:hAnsi="宋体" w:eastAsia="宋体" w:cs="宋体"/>
                <w:color w:val="auto"/>
                <w:sz w:val="21"/>
                <w:szCs w:val="21"/>
                <w:highlight w:val="none"/>
                <w:lang w:eastAsia="en-US"/>
              </w:rPr>
              <w:t>远期</w:t>
            </w:r>
            <w:r>
              <w:rPr>
                <w:rFonts w:hint="eastAsia" w:eastAsia="宋体"/>
                <w:color w:val="auto"/>
                <w:sz w:val="21"/>
                <w:szCs w:val="21"/>
                <w:highlight w:val="none"/>
              </w:rPr>
              <w:t>□</w:t>
            </w:r>
          </w:p>
        </w:tc>
      </w:tr>
      <w:tr w14:paraId="45DC233B">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949" w:type="dxa"/>
            <w:vMerge w:val="continue"/>
            <w:tcBorders>
              <w:tl2br w:val="nil"/>
              <w:tr2bl w:val="nil"/>
            </w:tcBorders>
            <w:vAlign w:val="center"/>
          </w:tcPr>
          <w:p w14:paraId="163FF8FC">
            <w:pPr>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ascii="Times New Roman" w:hAnsi="Times New Roman" w:cs="Times New Roman"/>
                <w:color w:val="auto"/>
                <w:sz w:val="21"/>
                <w:szCs w:val="21"/>
                <w:highlight w:val="none"/>
                <w:lang w:eastAsia="en-US"/>
              </w:rPr>
            </w:pPr>
          </w:p>
        </w:tc>
        <w:tc>
          <w:tcPr>
            <w:tcW w:w="1443" w:type="dxa"/>
            <w:tcBorders>
              <w:tl2br w:val="nil"/>
              <w:tr2bl w:val="nil"/>
            </w:tcBorders>
            <w:vAlign w:val="center"/>
          </w:tcPr>
          <w:p w14:paraId="774C807A">
            <w:pPr>
              <w:pStyle w:val="98"/>
              <w:keepNext w:val="0"/>
              <w:keepLines w:val="0"/>
              <w:pageBreakBefore w:val="0"/>
              <w:widowControl w:val="0"/>
              <w:kinsoku/>
              <w:wordWrap/>
              <w:overflowPunct/>
              <w:topLinePunct w:val="0"/>
              <w:autoSpaceDE w:val="0"/>
              <w:autoSpaceDN w:val="0"/>
              <w:bidi w:val="0"/>
              <w:adjustRightInd/>
              <w:snapToGrid/>
              <w:ind w:left="0" w:right="0"/>
              <w:textAlignment w:val="auto"/>
              <w:rPr>
                <w:color w:val="auto"/>
                <w:sz w:val="21"/>
                <w:szCs w:val="21"/>
                <w:highlight w:val="none"/>
                <w:lang w:eastAsia="en-US"/>
              </w:rPr>
            </w:pPr>
            <w:r>
              <w:rPr>
                <w:rFonts w:hint="eastAsia" w:ascii="宋体" w:hAnsi="宋体" w:eastAsia="宋体" w:cs="宋体"/>
                <w:color w:val="auto"/>
                <w:sz w:val="21"/>
                <w:szCs w:val="21"/>
                <w:highlight w:val="none"/>
                <w:lang w:eastAsia="en-US"/>
              </w:rPr>
              <w:t>现状调查方法</w:t>
            </w:r>
          </w:p>
        </w:tc>
        <w:tc>
          <w:tcPr>
            <w:tcW w:w="1965" w:type="dxa"/>
            <w:gridSpan w:val="3"/>
            <w:tcBorders>
              <w:tl2br w:val="nil"/>
              <w:tr2bl w:val="nil"/>
            </w:tcBorders>
            <w:vAlign w:val="center"/>
          </w:tcPr>
          <w:p w14:paraId="1A8B8C31">
            <w:pPr>
              <w:pStyle w:val="98"/>
              <w:keepNext w:val="0"/>
              <w:keepLines w:val="0"/>
              <w:pageBreakBefore w:val="0"/>
              <w:widowControl w:val="0"/>
              <w:kinsoku/>
              <w:wordWrap/>
              <w:overflowPunct/>
              <w:topLinePunct w:val="0"/>
              <w:autoSpaceDE w:val="0"/>
              <w:autoSpaceDN w:val="0"/>
              <w:bidi w:val="0"/>
              <w:adjustRightInd/>
              <w:snapToGrid/>
              <w:ind w:left="0" w:right="0"/>
              <w:textAlignment w:val="auto"/>
              <w:rPr>
                <w:color w:val="auto"/>
                <w:sz w:val="21"/>
                <w:szCs w:val="21"/>
                <w:highlight w:val="none"/>
                <w:lang w:eastAsia="en-US"/>
              </w:rPr>
            </w:pPr>
            <w:r>
              <w:rPr>
                <w:rFonts w:hint="eastAsia" w:ascii="宋体" w:hAnsi="宋体" w:eastAsia="宋体" w:cs="宋体"/>
                <w:color w:val="auto"/>
                <w:sz w:val="21"/>
                <w:szCs w:val="21"/>
                <w:highlight w:val="none"/>
                <w:lang w:eastAsia="en-US"/>
              </w:rPr>
              <w:t>现场实测法</w:t>
            </w:r>
            <w:r>
              <w:rPr>
                <w:rFonts w:hint="eastAsia" w:eastAsia="宋体"/>
                <w:color w:val="auto"/>
                <w:sz w:val="21"/>
                <w:szCs w:val="21"/>
                <w:highlight w:val="none"/>
              </w:rPr>
              <w:t>☑</w:t>
            </w:r>
          </w:p>
        </w:tc>
        <w:tc>
          <w:tcPr>
            <w:tcW w:w="2598" w:type="dxa"/>
            <w:gridSpan w:val="4"/>
            <w:tcBorders>
              <w:tl2br w:val="nil"/>
              <w:tr2bl w:val="nil"/>
            </w:tcBorders>
            <w:vAlign w:val="center"/>
          </w:tcPr>
          <w:p w14:paraId="79B53C21">
            <w:pPr>
              <w:pStyle w:val="98"/>
              <w:keepNext w:val="0"/>
              <w:keepLines w:val="0"/>
              <w:pageBreakBefore w:val="0"/>
              <w:widowControl w:val="0"/>
              <w:kinsoku/>
              <w:wordWrap/>
              <w:overflowPunct/>
              <w:topLinePunct w:val="0"/>
              <w:autoSpaceDE w:val="0"/>
              <w:autoSpaceDN w:val="0"/>
              <w:bidi w:val="0"/>
              <w:adjustRightInd/>
              <w:snapToGrid/>
              <w:ind w:left="0" w:right="0"/>
              <w:textAlignment w:val="auto"/>
              <w:rPr>
                <w:rFonts w:hint="eastAsia" w:eastAsia="宋体"/>
                <w:color w:val="auto"/>
                <w:sz w:val="21"/>
                <w:szCs w:val="21"/>
                <w:highlight w:val="none"/>
                <w:lang w:eastAsia="zh-CN"/>
              </w:rPr>
            </w:pPr>
            <w:r>
              <w:rPr>
                <w:rFonts w:hint="eastAsia" w:ascii="宋体" w:hAnsi="宋体" w:eastAsia="宋体" w:cs="宋体"/>
                <w:color w:val="auto"/>
                <w:sz w:val="21"/>
                <w:szCs w:val="21"/>
                <w:highlight w:val="none"/>
              </w:rPr>
              <w:t>现场实测加模型计算法</w:t>
            </w:r>
            <w:r>
              <w:rPr>
                <w:rFonts w:hint="eastAsia" w:eastAsia="宋体"/>
                <w:color w:val="auto"/>
                <w:sz w:val="21"/>
                <w:szCs w:val="21"/>
                <w:highlight w:val="none"/>
                <w:lang w:eastAsia="zh-CN"/>
              </w:rPr>
              <w:t>□</w:t>
            </w:r>
          </w:p>
        </w:tc>
        <w:tc>
          <w:tcPr>
            <w:tcW w:w="1549" w:type="dxa"/>
            <w:gridSpan w:val="2"/>
            <w:tcBorders>
              <w:tl2br w:val="nil"/>
              <w:tr2bl w:val="nil"/>
            </w:tcBorders>
            <w:vAlign w:val="center"/>
          </w:tcPr>
          <w:p w14:paraId="6F4193E5">
            <w:pPr>
              <w:pStyle w:val="98"/>
              <w:keepNext w:val="0"/>
              <w:keepLines w:val="0"/>
              <w:pageBreakBefore w:val="0"/>
              <w:widowControl w:val="0"/>
              <w:kinsoku/>
              <w:wordWrap/>
              <w:overflowPunct/>
              <w:topLinePunct w:val="0"/>
              <w:autoSpaceDE w:val="0"/>
              <w:autoSpaceDN w:val="0"/>
              <w:bidi w:val="0"/>
              <w:adjustRightInd/>
              <w:snapToGrid/>
              <w:ind w:left="0" w:right="0"/>
              <w:textAlignment w:val="auto"/>
              <w:rPr>
                <w:rFonts w:hint="eastAsia" w:eastAsia="宋体"/>
                <w:color w:val="auto"/>
                <w:sz w:val="21"/>
                <w:szCs w:val="21"/>
                <w:highlight w:val="none"/>
                <w:lang w:eastAsia="zh-CN"/>
              </w:rPr>
            </w:pPr>
            <w:r>
              <w:rPr>
                <w:rFonts w:hint="eastAsia" w:ascii="宋体" w:hAnsi="宋体" w:eastAsia="宋体" w:cs="宋体"/>
                <w:color w:val="auto"/>
                <w:sz w:val="21"/>
                <w:szCs w:val="21"/>
                <w:highlight w:val="none"/>
                <w:lang w:eastAsia="en-US"/>
              </w:rPr>
              <w:t>收集资料</w:t>
            </w:r>
            <w:r>
              <w:rPr>
                <w:rFonts w:hint="eastAsia" w:eastAsia="宋体"/>
                <w:color w:val="auto"/>
                <w:sz w:val="21"/>
                <w:szCs w:val="21"/>
                <w:highlight w:val="none"/>
                <w:lang w:eastAsia="zh-CN"/>
              </w:rPr>
              <w:t>□</w:t>
            </w:r>
          </w:p>
        </w:tc>
      </w:tr>
      <w:tr w14:paraId="24CCC64E">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949" w:type="dxa"/>
            <w:vMerge w:val="continue"/>
            <w:tcBorders>
              <w:tl2br w:val="nil"/>
              <w:tr2bl w:val="nil"/>
            </w:tcBorders>
            <w:vAlign w:val="center"/>
          </w:tcPr>
          <w:p w14:paraId="5221DB9F">
            <w:pPr>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ascii="Times New Roman" w:hAnsi="Times New Roman" w:cs="Times New Roman"/>
                <w:color w:val="auto"/>
                <w:sz w:val="21"/>
                <w:szCs w:val="21"/>
                <w:highlight w:val="none"/>
                <w:lang w:eastAsia="en-US"/>
              </w:rPr>
            </w:pPr>
          </w:p>
        </w:tc>
        <w:tc>
          <w:tcPr>
            <w:tcW w:w="1443" w:type="dxa"/>
            <w:tcBorders>
              <w:tl2br w:val="nil"/>
              <w:tr2bl w:val="nil"/>
            </w:tcBorders>
            <w:vAlign w:val="center"/>
          </w:tcPr>
          <w:p w14:paraId="4035D3DA">
            <w:pPr>
              <w:pStyle w:val="98"/>
              <w:keepNext w:val="0"/>
              <w:keepLines w:val="0"/>
              <w:pageBreakBefore w:val="0"/>
              <w:widowControl w:val="0"/>
              <w:kinsoku/>
              <w:wordWrap/>
              <w:overflowPunct/>
              <w:topLinePunct w:val="0"/>
              <w:autoSpaceDE w:val="0"/>
              <w:autoSpaceDN w:val="0"/>
              <w:bidi w:val="0"/>
              <w:adjustRightInd/>
              <w:snapToGrid/>
              <w:ind w:left="0" w:right="0"/>
              <w:textAlignment w:val="auto"/>
              <w:rPr>
                <w:color w:val="auto"/>
                <w:sz w:val="21"/>
                <w:szCs w:val="21"/>
                <w:highlight w:val="none"/>
                <w:lang w:eastAsia="en-US"/>
              </w:rPr>
            </w:pPr>
            <w:r>
              <w:rPr>
                <w:rFonts w:hint="eastAsia" w:ascii="宋体" w:hAnsi="宋体" w:eastAsia="宋体" w:cs="宋体"/>
                <w:color w:val="auto"/>
                <w:sz w:val="21"/>
                <w:szCs w:val="21"/>
                <w:highlight w:val="none"/>
                <w:lang w:eastAsia="en-US"/>
              </w:rPr>
              <w:t>现状评价</w:t>
            </w:r>
          </w:p>
        </w:tc>
        <w:tc>
          <w:tcPr>
            <w:tcW w:w="1965" w:type="dxa"/>
            <w:gridSpan w:val="3"/>
            <w:tcBorders>
              <w:tl2br w:val="nil"/>
              <w:tr2bl w:val="nil"/>
            </w:tcBorders>
            <w:vAlign w:val="center"/>
          </w:tcPr>
          <w:p w14:paraId="1C37C191">
            <w:pPr>
              <w:pStyle w:val="98"/>
              <w:keepNext w:val="0"/>
              <w:keepLines w:val="0"/>
              <w:pageBreakBefore w:val="0"/>
              <w:widowControl w:val="0"/>
              <w:kinsoku/>
              <w:wordWrap/>
              <w:overflowPunct/>
              <w:topLinePunct w:val="0"/>
              <w:autoSpaceDE w:val="0"/>
              <w:autoSpaceDN w:val="0"/>
              <w:bidi w:val="0"/>
              <w:adjustRightInd/>
              <w:snapToGrid/>
              <w:ind w:left="0" w:right="0"/>
              <w:textAlignment w:val="auto"/>
              <w:rPr>
                <w:color w:val="auto"/>
                <w:sz w:val="21"/>
                <w:szCs w:val="21"/>
                <w:highlight w:val="none"/>
                <w:lang w:eastAsia="en-US"/>
              </w:rPr>
            </w:pPr>
            <w:r>
              <w:rPr>
                <w:rFonts w:hint="eastAsia" w:ascii="宋体" w:hAnsi="宋体" w:eastAsia="宋体" w:cs="宋体"/>
                <w:color w:val="auto"/>
                <w:sz w:val="21"/>
                <w:szCs w:val="21"/>
                <w:highlight w:val="none"/>
                <w:lang w:eastAsia="en-US"/>
              </w:rPr>
              <w:t>达标百分比</w:t>
            </w:r>
          </w:p>
        </w:tc>
        <w:tc>
          <w:tcPr>
            <w:tcW w:w="4147" w:type="dxa"/>
            <w:gridSpan w:val="6"/>
            <w:tcBorders>
              <w:tl2br w:val="nil"/>
              <w:tr2bl w:val="nil"/>
            </w:tcBorders>
            <w:vAlign w:val="center"/>
          </w:tcPr>
          <w:p w14:paraId="3E59A82E">
            <w:pPr>
              <w:pStyle w:val="98"/>
              <w:keepNext w:val="0"/>
              <w:keepLines w:val="0"/>
              <w:pageBreakBefore w:val="0"/>
              <w:widowControl w:val="0"/>
              <w:kinsoku/>
              <w:wordWrap/>
              <w:overflowPunct/>
              <w:topLinePunct w:val="0"/>
              <w:autoSpaceDE w:val="0"/>
              <w:autoSpaceDN w:val="0"/>
              <w:bidi w:val="0"/>
              <w:adjustRightInd/>
              <w:snapToGrid/>
              <w:ind w:left="0" w:right="0"/>
              <w:textAlignment w:val="auto"/>
              <w:rPr>
                <w:rFonts w:eastAsia="等线"/>
                <w:color w:val="auto"/>
                <w:sz w:val="21"/>
                <w:szCs w:val="21"/>
                <w:highlight w:val="none"/>
              </w:rPr>
            </w:pPr>
            <w:r>
              <w:rPr>
                <w:rFonts w:eastAsia="等线"/>
                <w:color w:val="auto"/>
                <w:sz w:val="21"/>
                <w:szCs w:val="21"/>
                <w:highlight w:val="none"/>
              </w:rPr>
              <w:t>100%</w:t>
            </w:r>
          </w:p>
        </w:tc>
      </w:tr>
      <w:tr w14:paraId="78486D56">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949" w:type="dxa"/>
            <w:tcBorders>
              <w:tl2br w:val="nil"/>
              <w:tr2bl w:val="nil"/>
            </w:tcBorders>
            <w:vAlign w:val="center"/>
          </w:tcPr>
          <w:p w14:paraId="67D52FD3">
            <w:pPr>
              <w:pStyle w:val="98"/>
              <w:keepNext w:val="0"/>
              <w:keepLines w:val="0"/>
              <w:pageBreakBefore w:val="0"/>
              <w:widowControl w:val="0"/>
              <w:kinsoku/>
              <w:wordWrap/>
              <w:overflowPunct/>
              <w:topLinePunct w:val="0"/>
              <w:autoSpaceDE w:val="0"/>
              <w:autoSpaceDN w:val="0"/>
              <w:bidi w:val="0"/>
              <w:adjustRightInd/>
              <w:snapToGrid/>
              <w:ind w:left="0" w:right="0"/>
              <w:textAlignment w:val="auto"/>
              <w:rPr>
                <w:color w:val="auto"/>
                <w:sz w:val="21"/>
                <w:szCs w:val="21"/>
                <w:highlight w:val="none"/>
                <w:lang w:eastAsia="en-US"/>
              </w:rPr>
            </w:pPr>
            <w:r>
              <w:rPr>
                <w:rFonts w:hint="eastAsia" w:ascii="宋体" w:hAnsi="宋体" w:eastAsia="宋体" w:cs="宋体"/>
                <w:color w:val="auto"/>
                <w:sz w:val="21"/>
                <w:szCs w:val="21"/>
                <w:highlight w:val="none"/>
                <w:lang w:eastAsia="en-US"/>
              </w:rPr>
              <w:t>噪声源调查</w:t>
            </w:r>
          </w:p>
        </w:tc>
        <w:tc>
          <w:tcPr>
            <w:tcW w:w="1443" w:type="dxa"/>
            <w:tcBorders>
              <w:tl2br w:val="nil"/>
              <w:tr2bl w:val="nil"/>
            </w:tcBorders>
            <w:vAlign w:val="center"/>
          </w:tcPr>
          <w:p w14:paraId="25FF2908">
            <w:pPr>
              <w:pStyle w:val="98"/>
              <w:keepNext w:val="0"/>
              <w:keepLines w:val="0"/>
              <w:pageBreakBefore w:val="0"/>
              <w:widowControl w:val="0"/>
              <w:kinsoku/>
              <w:wordWrap/>
              <w:overflowPunct/>
              <w:topLinePunct w:val="0"/>
              <w:autoSpaceDE w:val="0"/>
              <w:autoSpaceDN w:val="0"/>
              <w:bidi w:val="0"/>
              <w:adjustRightInd/>
              <w:snapToGrid/>
              <w:ind w:left="0" w:right="0"/>
              <w:textAlignment w:val="auto"/>
              <w:rPr>
                <w:color w:val="auto"/>
                <w:sz w:val="21"/>
                <w:szCs w:val="21"/>
                <w:highlight w:val="none"/>
                <w:lang w:eastAsia="en-US"/>
              </w:rPr>
            </w:pPr>
            <w:r>
              <w:rPr>
                <w:rFonts w:hint="eastAsia" w:ascii="宋体" w:hAnsi="宋体" w:eastAsia="宋体" w:cs="宋体"/>
                <w:color w:val="auto"/>
                <w:sz w:val="21"/>
                <w:szCs w:val="21"/>
                <w:highlight w:val="none"/>
                <w:lang w:eastAsia="en-US"/>
              </w:rPr>
              <w:t>噪声源调查方法</w:t>
            </w:r>
          </w:p>
        </w:tc>
        <w:tc>
          <w:tcPr>
            <w:tcW w:w="1965" w:type="dxa"/>
            <w:gridSpan w:val="3"/>
            <w:tcBorders>
              <w:tl2br w:val="nil"/>
              <w:tr2bl w:val="nil"/>
            </w:tcBorders>
            <w:vAlign w:val="center"/>
          </w:tcPr>
          <w:p w14:paraId="65E4D65B">
            <w:pPr>
              <w:pStyle w:val="98"/>
              <w:keepNext w:val="0"/>
              <w:keepLines w:val="0"/>
              <w:pageBreakBefore w:val="0"/>
              <w:widowControl w:val="0"/>
              <w:kinsoku/>
              <w:wordWrap/>
              <w:overflowPunct/>
              <w:topLinePunct w:val="0"/>
              <w:autoSpaceDE w:val="0"/>
              <w:autoSpaceDN w:val="0"/>
              <w:bidi w:val="0"/>
              <w:adjustRightInd/>
              <w:snapToGrid/>
              <w:ind w:left="0" w:right="0"/>
              <w:textAlignment w:val="auto"/>
              <w:rPr>
                <w:color w:val="auto"/>
                <w:sz w:val="21"/>
                <w:szCs w:val="21"/>
                <w:highlight w:val="none"/>
                <w:lang w:eastAsia="en-US"/>
              </w:rPr>
            </w:pPr>
            <w:r>
              <w:rPr>
                <w:rFonts w:hint="eastAsia" w:ascii="宋体" w:hAnsi="宋体" w:eastAsia="宋体" w:cs="宋体"/>
                <w:color w:val="auto"/>
                <w:sz w:val="21"/>
                <w:szCs w:val="21"/>
                <w:highlight w:val="none"/>
                <w:lang w:eastAsia="en-US"/>
              </w:rPr>
              <w:t>现场实测</w:t>
            </w:r>
            <w:r>
              <w:rPr>
                <w:rFonts w:hint="eastAsia" w:eastAsia="宋体"/>
                <w:color w:val="auto"/>
                <w:sz w:val="21"/>
                <w:szCs w:val="21"/>
                <w:highlight w:val="none"/>
              </w:rPr>
              <w:t>□</w:t>
            </w:r>
          </w:p>
        </w:tc>
        <w:tc>
          <w:tcPr>
            <w:tcW w:w="2078" w:type="dxa"/>
            <w:gridSpan w:val="3"/>
            <w:tcBorders>
              <w:tl2br w:val="nil"/>
              <w:tr2bl w:val="nil"/>
            </w:tcBorders>
            <w:vAlign w:val="center"/>
          </w:tcPr>
          <w:p w14:paraId="36510FBF">
            <w:pPr>
              <w:pStyle w:val="98"/>
              <w:keepNext w:val="0"/>
              <w:keepLines w:val="0"/>
              <w:pageBreakBefore w:val="0"/>
              <w:widowControl w:val="0"/>
              <w:kinsoku/>
              <w:wordWrap/>
              <w:overflowPunct/>
              <w:topLinePunct w:val="0"/>
              <w:autoSpaceDE w:val="0"/>
              <w:autoSpaceDN w:val="0"/>
              <w:bidi w:val="0"/>
              <w:adjustRightInd/>
              <w:snapToGrid/>
              <w:ind w:left="0" w:right="0"/>
              <w:textAlignment w:val="auto"/>
              <w:rPr>
                <w:color w:val="auto"/>
                <w:sz w:val="21"/>
                <w:szCs w:val="21"/>
                <w:highlight w:val="none"/>
                <w:lang w:eastAsia="en-US"/>
              </w:rPr>
            </w:pPr>
            <w:r>
              <w:rPr>
                <w:rFonts w:hint="eastAsia" w:ascii="宋体" w:hAnsi="宋体" w:eastAsia="宋体" w:cs="宋体"/>
                <w:color w:val="auto"/>
                <w:sz w:val="21"/>
                <w:szCs w:val="21"/>
                <w:highlight w:val="none"/>
                <w:lang w:eastAsia="en-US"/>
              </w:rPr>
              <w:t>已有资料</w:t>
            </w:r>
            <w:r>
              <w:rPr>
                <w:rFonts w:hint="eastAsia" w:eastAsia="宋体"/>
                <w:color w:val="auto"/>
                <w:sz w:val="21"/>
                <w:szCs w:val="21"/>
                <w:highlight w:val="none"/>
              </w:rPr>
              <w:t>☑</w:t>
            </w:r>
          </w:p>
        </w:tc>
        <w:tc>
          <w:tcPr>
            <w:tcW w:w="2069" w:type="dxa"/>
            <w:gridSpan w:val="3"/>
            <w:tcBorders>
              <w:tl2br w:val="nil"/>
              <w:tr2bl w:val="nil"/>
            </w:tcBorders>
            <w:vAlign w:val="center"/>
          </w:tcPr>
          <w:p w14:paraId="3F4277CB">
            <w:pPr>
              <w:pStyle w:val="98"/>
              <w:keepNext w:val="0"/>
              <w:keepLines w:val="0"/>
              <w:pageBreakBefore w:val="0"/>
              <w:widowControl w:val="0"/>
              <w:kinsoku/>
              <w:wordWrap/>
              <w:overflowPunct/>
              <w:topLinePunct w:val="0"/>
              <w:autoSpaceDE w:val="0"/>
              <w:autoSpaceDN w:val="0"/>
              <w:bidi w:val="0"/>
              <w:adjustRightInd/>
              <w:snapToGrid/>
              <w:ind w:left="0" w:right="0"/>
              <w:textAlignment w:val="auto"/>
              <w:rPr>
                <w:rFonts w:hint="eastAsia" w:eastAsia="宋体"/>
                <w:color w:val="auto"/>
                <w:sz w:val="21"/>
                <w:szCs w:val="21"/>
                <w:highlight w:val="none"/>
                <w:lang w:eastAsia="zh-CN"/>
              </w:rPr>
            </w:pPr>
            <w:r>
              <w:rPr>
                <w:rFonts w:hint="eastAsia" w:ascii="宋体" w:hAnsi="宋体" w:eastAsia="宋体" w:cs="宋体"/>
                <w:color w:val="auto"/>
                <w:sz w:val="21"/>
                <w:szCs w:val="21"/>
                <w:highlight w:val="none"/>
                <w:lang w:eastAsia="en-US"/>
              </w:rPr>
              <w:t>研究成果</w:t>
            </w:r>
            <w:r>
              <w:rPr>
                <w:rFonts w:hint="eastAsia" w:eastAsia="宋体"/>
                <w:color w:val="auto"/>
                <w:sz w:val="21"/>
                <w:szCs w:val="21"/>
                <w:highlight w:val="none"/>
                <w:lang w:eastAsia="zh-CN"/>
              </w:rPr>
              <w:t>□</w:t>
            </w:r>
          </w:p>
        </w:tc>
      </w:tr>
      <w:tr w14:paraId="381A6624">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949" w:type="dxa"/>
            <w:vMerge w:val="restart"/>
            <w:tcBorders>
              <w:tl2br w:val="nil"/>
              <w:tr2bl w:val="nil"/>
            </w:tcBorders>
            <w:vAlign w:val="center"/>
          </w:tcPr>
          <w:p w14:paraId="4EE45050">
            <w:pPr>
              <w:pStyle w:val="98"/>
              <w:keepNext w:val="0"/>
              <w:keepLines w:val="0"/>
              <w:pageBreakBefore w:val="0"/>
              <w:widowControl w:val="0"/>
              <w:kinsoku/>
              <w:wordWrap/>
              <w:overflowPunct/>
              <w:topLinePunct w:val="0"/>
              <w:autoSpaceDE w:val="0"/>
              <w:autoSpaceDN w:val="0"/>
              <w:bidi w:val="0"/>
              <w:adjustRightInd/>
              <w:snapToGrid/>
              <w:ind w:left="0" w:right="0"/>
              <w:textAlignment w:val="auto"/>
              <w:rPr>
                <w:color w:val="auto"/>
                <w:sz w:val="21"/>
                <w:szCs w:val="21"/>
                <w:highlight w:val="none"/>
              </w:rPr>
            </w:pPr>
            <w:r>
              <w:rPr>
                <w:rFonts w:hint="eastAsia" w:ascii="宋体" w:hAnsi="宋体" w:eastAsia="宋体" w:cs="宋体"/>
                <w:color w:val="auto"/>
                <w:sz w:val="21"/>
                <w:szCs w:val="21"/>
                <w:highlight w:val="none"/>
              </w:rPr>
              <w:t>声环境影响预测与评价</w:t>
            </w:r>
          </w:p>
        </w:tc>
        <w:tc>
          <w:tcPr>
            <w:tcW w:w="1443" w:type="dxa"/>
            <w:tcBorders>
              <w:tl2br w:val="nil"/>
              <w:tr2bl w:val="nil"/>
            </w:tcBorders>
            <w:vAlign w:val="center"/>
          </w:tcPr>
          <w:p w14:paraId="06D50C0F">
            <w:pPr>
              <w:pStyle w:val="98"/>
              <w:keepNext w:val="0"/>
              <w:keepLines w:val="0"/>
              <w:pageBreakBefore w:val="0"/>
              <w:widowControl w:val="0"/>
              <w:kinsoku/>
              <w:wordWrap/>
              <w:overflowPunct/>
              <w:topLinePunct w:val="0"/>
              <w:autoSpaceDE w:val="0"/>
              <w:autoSpaceDN w:val="0"/>
              <w:bidi w:val="0"/>
              <w:adjustRightInd/>
              <w:snapToGrid/>
              <w:ind w:left="0" w:right="0"/>
              <w:textAlignment w:val="auto"/>
              <w:rPr>
                <w:color w:val="auto"/>
                <w:sz w:val="21"/>
                <w:szCs w:val="21"/>
                <w:highlight w:val="none"/>
                <w:lang w:eastAsia="en-US"/>
              </w:rPr>
            </w:pPr>
            <w:r>
              <w:rPr>
                <w:rFonts w:hint="eastAsia" w:ascii="宋体" w:hAnsi="宋体" w:eastAsia="宋体" w:cs="宋体"/>
                <w:color w:val="auto"/>
                <w:sz w:val="21"/>
                <w:szCs w:val="21"/>
                <w:highlight w:val="none"/>
                <w:lang w:eastAsia="en-US"/>
              </w:rPr>
              <w:t>预测模型</w:t>
            </w:r>
          </w:p>
        </w:tc>
        <w:tc>
          <w:tcPr>
            <w:tcW w:w="2978" w:type="dxa"/>
            <w:gridSpan w:val="4"/>
            <w:tcBorders>
              <w:tl2br w:val="nil"/>
              <w:tr2bl w:val="nil"/>
            </w:tcBorders>
            <w:vAlign w:val="center"/>
          </w:tcPr>
          <w:p w14:paraId="3664FAA9">
            <w:pPr>
              <w:pStyle w:val="98"/>
              <w:keepNext w:val="0"/>
              <w:keepLines w:val="0"/>
              <w:pageBreakBefore w:val="0"/>
              <w:widowControl w:val="0"/>
              <w:kinsoku/>
              <w:wordWrap/>
              <w:overflowPunct/>
              <w:topLinePunct w:val="0"/>
              <w:autoSpaceDE w:val="0"/>
              <w:autoSpaceDN w:val="0"/>
              <w:bidi w:val="0"/>
              <w:adjustRightInd/>
              <w:snapToGrid/>
              <w:ind w:left="0" w:right="0"/>
              <w:textAlignment w:val="auto"/>
              <w:rPr>
                <w:color w:val="auto"/>
                <w:sz w:val="21"/>
                <w:szCs w:val="21"/>
                <w:highlight w:val="none"/>
                <w:lang w:eastAsia="en-US"/>
              </w:rPr>
            </w:pPr>
            <w:r>
              <w:rPr>
                <w:rFonts w:hint="eastAsia" w:ascii="宋体" w:hAnsi="宋体" w:eastAsia="宋体" w:cs="宋体"/>
                <w:color w:val="auto"/>
                <w:sz w:val="21"/>
                <w:szCs w:val="21"/>
                <w:highlight w:val="none"/>
                <w:lang w:eastAsia="en-US"/>
              </w:rPr>
              <w:t>导则推荐模型</w:t>
            </w:r>
            <w:r>
              <w:rPr>
                <w:rFonts w:hint="eastAsia" w:eastAsia="宋体"/>
                <w:color w:val="auto"/>
                <w:sz w:val="21"/>
                <w:szCs w:val="21"/>
                <w:highlight w:val="none"/>
              </w:rPr>
              <w:t>☑</w:t>
            </w:r>
          </w:p>
        </w:tc>
        <w:tc>
          <w:tcPr>
            <w:tcW w:w="3134" w:type="dxa"/>
            <w:gridSpan w:val="5"/>
            <w:tcBorders>
              <w:tl2br w:val="nil"/>
              <w:tr2bl w:val="nil"/>
            </w:tcBorders>
            <w:vAlign w:val="center"/>
          </w:tcPr>
          <w:p w14:paraId="71502477">
            <w:pPr>
              <w:pStyle w:val="98"/>
              <w:keepNext w:val="0"/>
              <w:keepLines w:val="0"/>
              <w:pageBreakBefore w:val="0"/>
              <w:widowControl w:val="0"/>
              <w:tabs>
                <w:tab w:val="left" w:pos="1633"/>
              </w:tabs>
              <w:kinsoku/>
              <w:wordWrap/>
              <w:overflowPunct/>
              <w:topLinePunct w:val="0"/>
              <w:autoSpaceDE w:val="0"/>
              <w:autoSpaceDN w:val="0"/>
              <w:bidi w:val="0"/>
              <w:adjustRightInd/>
              <w:snapToGrid/>
              <w:ind w:left="0" w:right="0"/>
              <w:textAlignment w:val="auto"/>
              <w:rPr>
                <w:rFonts w:hint="eastAsia" w:eastAsia="宋体"/>
                <w:color w:val="auto"/>
                <w:sz w:val="21"/>
                <w:szCs w:val="21"/>
                <w:highlight w:val="none"/>
                <w:lang w:eastAsia="zh-CN"/>
              </w:rPr>
            </w:pPr>
            <w:r>
              <w:rPr>
                <w:rFonts w:hint="eastAsia" w:ascii="宋体" w:hAnsi="宋体" w:eastAsia="宋体" w:cs="宋体"/>
                <w:color w:val="auto"/>
                <w:sz w:val="21"/>
                <w:szCs w:val="21"/>
                <w:highlight w:val="none"/>
                <w:lang w:eastAsia="en-US"/>
              </w:rPr>
              <w:t>其他</w:t>
            </w:r>
            <w:r>
              <w:rPr>
                <w:rFonts w:hint="eastAsia" w:eastAsia="宋体"/>
                <w:color w:val="auto"/>
                <w:sz w:val="21"/>
                <w:szCs w:val="21"/>
                <w:highlight w:val="none"/>
                <w:lang w:eastAsia="zh-CN"/>
              </w:rPr>
              <w:t>□</w:t>
            </w:r>
          </w:p>
        </w:tc>
      </w:tr>
      <w:tr w14:paraId="5890F64C">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949" w:type="dxa"/>
            <w:vMerge w:val="continue"/>
            <w:tcBorders>
              <w:tl2br w:val="nil"/>
              <w:tr2bl w:val="nil"/>
            </w:tcBorders>
            <w:vAlign w:val="center"/>
          </w:tcPr>
          <w:p w14:paraId="3DBAF0DD">
            <w:pPr>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ascii="Times New Roman" w:hAnsi="Times New Roman" w:cs="Times New Roman"/>
                <w:color w:val="auto"/>
                <w:sz w:val="21"/>
                <w:szCs w:val="21"/>
                <w:highlight w:val="none"/>
                <w:lang w:eastAsia="en-US"/>
              </w:rPr>
            </w:pPr>
          </w:p>
        </w:tc>
        <w:tc>
          <w:tcPr>
            <w:tcW w:w="1443" w:type="dxa"/>
            <w:tcBorders>
              <w:tl2br w:val="nil"/>
              <w:tr2bl w:val="nil"/>
            </w:tcBorders>
            <w:vAlign w:val="center"/>
          </w:tcPr>
          <w:p w14:paraId="3A6BA0CF">
            <w:pPr>
              <w:pStyle w:val="98"/>
              <w:keepNext w:val="0"/>
              <w:keepLines w:val="0"/>
              <w:pageBreakBefore w:val="0"/>
              <w:widowControl w:val="0"/>
              <w:kinsoku/>
              <w:wordWrap/>
              <w:overflowPunct/>
              <w:topLinePunct w:val="0"/>
              <w:autoSpaceDE w:val="0"/>
              <w:autoSpaceDN w:val="0"/>
              <w:bidi w:val="0"/>
              <w:adjustRightInd/>
              <w:snapToGrid/>
              <w:ind w:left="0" w:right="0"/>
              <w:textAlignment w:val="auto"/>
              <w:rPr>
                <w:color w:val="auto"/>
                <w:sz w:val="21"/>
                <w:szCs w:val="21"/>
                <w:highlight w:val="none"/>
                <w:lang w:eastAsia="en-US"/>
              </w:rPr>
            </w:pPr>
            <w:r>
              <w:rPr>
                <w:rFonts w:hint="eastAsia" w:ascii="宋体" w:hAnsi="宋体" w:eastAsia="宋体" w:cs="宋体"/>
                <w:color w:val="auto"/>
                <w:sz w:val="21"/>
                <w:szCs w:val="21"/>
                <w:highlight w:val="none"/>
                <w:lang w:eastAsia="en-US"/>
              </w:rPr>
              <w:t>预测范围</w:t>
            </w:r>
          </w:p>
        </w:tc>
        <w:tc>
          <w:tcPr>
            <w:tcW w:w="1965" w:type="dxa"/>
            <w:gridSpan w:val="3"/>
            <w:tcBorders>
              <w:tl2br w:val="nil"/>
              <w:tr2bl w:val="nil"/>
            </w:tcBorders>
            <w:vAlign w:val="center"/>
          </w:tcPr>
          <w:p w14:paraId="1E454DE8">
            <w:pPr>
              <w:pStyle w:val="98"/>
              <w:keepNext w:val="0"/>
              <w:keepLines w:val="0"/>
              <w:pageBreakBefore w:val="0"/>
              <w:widowControl w:val="0"/>
              <w:kinsoku/>
              <w:wordWrap/>
              <w:overflowPunct/>
              <w:topLinePunct w:val="0"/>
              <w:autoSpaceDE w:val="0"/>
              <w:autoSpaceDN w:val="0"/>
              <w:bidi w:val="0"/>
              <w:adjustRightInd/>
              <w:snapToGrid/>
              <w:ind w:left="0" w:right="0"/>
              <w:textAlignment w:val="auto"/>
              <w:rPr>
                <w:color w:val="auto"/>
                <w:sz w:val="21"/>
                <w:szCs w:val="21"/>
                <w:highlight w:val="none"/>
                <w:lang w:eastAsia="en-US"/>
              </w:rPr>
            </w:pPr>
            <w:r>
              <w:rPr>
                <w:color w:val="auto"/>
                <w:sz w:val="21"/>
                <w:szCs w:val="21"/>
                <w:highlight w:val="none"/>
                <w:lang w:eastAsia="en-US"/>
              </w:rPr>
              <w:t>200m</w:t>
            </w:r>
            <w:r>
              <w:rPr>
                <w:rFonts w:hint="eastAsia" w:eastAsia="宋体"/>
                <w:color w:val="auto"/>
                <w:sz w:val="21"/>
                <w:szCs w:val="21"/>
                <w:highlight w:val="none"/>
              </w:rPr>
              <w:t>☑</w:t>
            </w:r>
          </w:p>
        </w:tc>
        <w:tc>
          <w:tcPr>
            <w:tcW w:w="2078" w:type="dxa"/>
            <w:gridSpan w:val="3"/>
            <w:tcBorders>
              <w:tl2br w:val="nil"/>
              <w:tr2bl w:val="nil"/>
            </w:tcBorders>
            <w:vAlign w:val="center"/>
          </w:tcPr>
          <w:p w14:paraId="69E72FA4">
            <w:pPr>
              <w:pStyle w:val="98"/>
              <w:keepNext w:val="0"/>
              <w:keepLines w:val="0"/>
              <w:pageBreakBefore w:val="0"/>
              <w:widowControl w:val="0"/>
              <w:kinsoku/>
              <w:wordWrap/>
              <w:overflowPunct/>
              <w:topLinePunct w:val="0"/>
              <w:autoSpaceDE w:val="0"/>
              <w:autoSpaceDN w:val="0"/>
              <w:bidi w:val="0"/>
              <w:adjustRightInd/>
              <w:snapToGrid/>
              <w:ind w:left="0" w:right="0"/>
              <w:textAlignment w:val="auto"/>
              <w:rPr>
                <w:color w:val="auto"/>
                <w:sz w:val="21"/>
                <w:szCs w:val="21"/>
                <w:highlight w:val="none"/>
                <w:lang w:eastAsia="en-US"/>
              </w:rPr>
            </w:pPr>
            <w:r>
              <w:rPr>
                <w:rFonts w:hint="eastAsia" w:ascii="宋体" w:hAnsi="宋体" w:eastAsia="宋体" w:cs="宋体"/>
                <w:color w:val="auto"/>
                <w:sz w:val="21"/>
                <w:szCs w:val="21"/>
                <w:highlight w:val="none"/>
                <w:lang w:eastAsia="en-US"/>
              </w:rPr>
              <w:t>大于</w:t>
            </w:r>
            <w:r>
              <w:rPr>
                <w:color w:val="auto"/>
                <w:sz w:val="21"/>
                <w:szCs w:val="21"/>
                <w:highlight w:val="none"/>
                <w:lang w:eastAsia="en-US"/>
              </w:rPr>
              <w:t>200m</w:t>
            </w:r>
            <w:r>
              <w:rPr>
                <w:rFonts w:hint="eastAsia" w:eastAsia="宋体"/>
                <w:color w:val="auto"/>
                <w:sz w:val="21"/>
                <w:szCs w:val="21"/>
                <w:highlight w:val="none"/>
                <w:lang w:eastAsia="zh-CN"/>
              </w:rPr>
              <w:t>□</w:t>
            </w:r>
          </w:p>
        </w:tc>
        <w:tc>
          <w:tcPr>
            <w:tcW w:w="2069" w:type="dxa"/>
            <w:gridSpan w:val="3"/>
            <w:tcBorders>
              <w:tl2br w:val="nil"/>
              <w:tr2bl w:val="nil"/>
            </w:tcBorders>
            <w:vAlign w:val="center"/>
          </w:tcPr>
          <w:p w14:paraId="0D28E23D">
            <w:pPr>
              <w:pStyle w:val="98"/>
              <w:keepNext w:val="0"/>
              <w:keepLines w:val="0"/>
              <w:pageBreakBefore w:val="0"/>
              <w:widowControl w:val="0"/>
              <w:kinsoku/>
              <w:wordWrap/>
              <w:overflowPunct/>
              <w:topLinePunct w:val="0"/>
              <w:autoSpaceDE w:val="0"/>
              <w:autoSpaceDN w:val="0"/>
              <w:bidi w:val="0"/>
              <w:adjustRightInd/>
              <w:snapToGrid/>
              <w:ind w:left="0" w:right="0"/>
              <w:textAlignment w:val="auto"/>
              <w:rPr>
                <w:rFonts w:hint="eastAsia" w:eastAsia="宋体"/>
                <w:color w:val="auto"/>
                <w:sz w:val="21"/>
                <w:szCs w:val="21"/>
                <w:highlight w:val="none"/>
                <w:lang w:eastAsia="zh-CN"/>
              </w:rPr>
            </w:pPr>
            <w:r>
              <w:rPr>
                <w:rFonts w:hint="eastAsia" w:ascii="宋体" w:hAnsi="宋体" w:eastAsia="宋体" w:cs="宋体"/>
                <w:color w:val="auto"/>
                <w:sz w:val="21"/>
                <w:szCs w:val="21"/>
                <w:highlight w:val="none"/>
                <w:lang w:eastAsia="en-US"/>
              </w:rPr>
              <w:t>小于</w:t>
            </w:r>
            <w:r>
              <w:rPr>
                <w:color w:val="auto"/>
                <w:sz w:val="21"/>
                <w:szCs w:val="21"/>
                <w:highlight w:val="none"/>
                <w:lang w:eastAsia="en-US"/>
              </w:rPr>
              <w:t>200m</w:t>
            </w:r>
            <w:r>
              <w:rPr>
                <w:rFonts w:hint="eastAsia" w:eastAsia="宋体"/>
                <w:color w:val="auto"/>
                <w:sz w:val="21"/>
                <w:szCs w:val="21"/>
                <w:highlight w:val="none"/>
                <w:lang w:eastAsia="zh-CN"/>
              </w:rPr>
              <w:t>□</w:t>
            </w:r>
          </w:p>
        </w:tc>
      </w:tr>
      <w:tr w14:paraId="4A19B81B">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949" w:type="dxa"/>
            <w:vMerge w:val="continue"/>
            <w:tcBorders>
              <w:tl2br w:val="nil"/>
              <w:tr2bl w:val="nil"/>
            </w:tcBorders>
            <w:vAlign w:val="center"/>
          </w:tcPr>
          <w:p w14:paraId="00EEF468">
            <w:pPr>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ascii="Times New Roman" w:hAnsi="Times New Roman" w:cs="Times New Roman"/>
                <w:color w:val="auto"/>
                <w:sz w:val="21"/>
                <w:szCs w:val="21"/>
                <w:highlight w:val="none"/>
                <w:lang w:eastAsia="en-US"/>
              </w:rPr>
            </w:pPr>
          </w:p>
        </w:tc>
        <w:tc>
          <w:tcPr>
            <w:tcW w:w="1443" w:type="dxa"/>
            <w:tcBorders>
              <w:tl2br w:val="nil"/>
              <w:tr2bl w:val="nil"/>
            </w:tcBorders>
            <w:vAlign w:val="center"/>
          </w:tcPr>
          <w:p w14:paraId="458A5510">
            <w:pPr>
              <w:pStyle w:val="98"/>
              <w:keepNext w:val="0"/>
              <w:keepLines w:val="0"/>
              <w:pageBreakBefore w:val="0"/>
              <w:widowControl w:val="0"/>
              <w:kinsoku/>
              <w:wordWrap/>
              <w:overflowPunct/>
              <w:topLinePunct w:val="0"/>
              <w:autoSpaceDE w:val="0"/>
              <w:autoSpaceDN w:val="0"/>
              <w:bidi w:val="0"/>
              <w:adjustRightInd/>
              <w:snapToGrid/>
              <w:ind w:left="0" w:right="0"/>
              <w:textAlignment w:val="auto"/>
              <w:rPr>
                <w:color w:val="auto"/>
                <w:sz w:val="21"/>
                <w:szCs w:val="21"/>
                <w:highlight w:val="none"/>
                <w:lang w:eastAsia="en-US"/>
              </w:rPr>
            </w:pPr>
            <w:r>
              <w:rPr>
                <w:rFonts w:hint="eastAsia" w:ascii="宋体" w:hAnsi="宋体" w:eastAsia="宋体" w:cs="宋体"/>
                <w:color w:val="auto"/>
                <w:sz w:val="21"/>
                <w:szCs w:val="21"/>
                <w:highlight w:val="none"/>
                <w:lang w:eastAsia="en-US"/>
              </w:rPr>
              <w:t>预测因子</w:t>
            </w:r>
          </w:p>
        </w:tc>
        <w:tc>
          <w:tcPr>
            <w:tcW w:w="1965" w:type="dxa"/>
            <w:gridSpan w:val="3"/>
            <w:tcBorders>
              <w:tl2br w:val="nil"/>
              <w:tr2bl w:val="nil"/>
            </w:tcBorders>
            <w:vAlign w:val="center"/>
          </w:tcPr>
          <w:p w14:paraId="4C3FFB17">
            <w:pPr>
              <w:pStyle w:val="98"/>
              <w:keepNext w:val="0"/>
              <w:keepLines w:val="0"/>
              <w:pageBreakBefore w:val="0"/>
              <w:widowControl w:val="0"/>
              <w:kinsoku/>
              <w:wordWrap/>
              <w:overflowPunct/>
              <w:topLinePunct w:val="0"/>
              <w:autoSpaceDE w:val="0"/>
              <w:autoSpaceDN w:val="0"/>
              <w:bidi w:val="0"/>
              <w:adjustRightInd/>
              <w:snapToGrid/>
              <w:ind w:left="0" w:right="0"/>
              <w:textAlignment w:val="auto"/>
              <w:rPr>
                <w:color w:val="auto"/>
                <w:sz w:val="21"/>
                <w:szCs w:val="21"/>
                <w:highlight w:val="none"/>
                <w:lang w:eastAsia="en-US"/>
              </w:rPr>
            </w:pPr>
            <w:r>
              <w:rPr>
                <w:rFonts w:hint="eastAsia" w:ascii="宋体" w:hAnsi="宋体" w:eastAsia="宋体" w:cs="宋体"/>
                <w:color w:val="auto"/>
                <w:sz w:val="21"/>
                <w:szCs w:val="21"/>
                <w:highlight w:val="none"/>
                <w:lang w:eastAsia="en-US"/>
              </w:rPr>
              <w:t>等效连续</w:t>
            </w:r>
            <w:r>
              <w:rPr>
                <w:color w:val="auto"/>
                <w:sz w:val="21"/>
                <w:szCs w:val="21"/>
                <w:highlight w:val="none"/>
                <w:lang w:eastAsia="en-US"/>
              </w:rPr>
              <w:t>A</w:t>
            </w:r>
            <w:r>
              <w:rPr>
                <w:rFonts w:hint="eastAsia" w:ascii="宋体" w:hAnsi="宋体" w:eastAsia="宋体" w:cs="宋体"/>
                <w:color w:val="auto"/>
                <w:sz w:val="21"/>
                <w:szCs w:val="21"/>
                <w:highlight w:val="none"/>
                <w:lang w:eastAsia="en-US"/>
              </w:rPr>
              <w:t>声级</w:t>
            </w:r>
            <w:r>
              <w:rPr>
                <w:rFonts w:hint="eastAsia" w:eastAsia="宋体"/>
                <w:color w:val="auto"/>
                <w:sz w:val="21"/>
                <w:szCs w:val="21"/>
                <w:highlight w:val="none"/>
              </w:rPr>
              <w:t>☑</w:t>
            </w:r>
          </w:p>
        </w:tc>
        <w:tc>
          <w:tcPr>
            <w:tcW w:w="1489" w:type="dxa"/>
            <w:gridSpan w:val="2"/>
            <w:tcBorders>
              <w:tl2br w:val="nil"/>
              <w:tr2bl w:val="nil"/>
            </w:tcBorders>
            <w:vAlign w:val="center"/>
          </w:tcPr>
          <w:p w14:paraId="36BF8832">
            <w:pPr>
              <w:pStyle w:val="98"/>
              <w:keepNext w:val="0"/>
              <w:keepLines w:val="0"/>
              <w:pageBreakBefore w:val="0"/>
              <w:widowControl w:val="0"/>
              <w:kinsoku/>
              <w:wordWrap/>
              <w:overflowPunct/>
              <w:topLinePunct w:val="0"/>
              <w:autoSpaceDE w:val="0"/>
              <w:autoSpaceDN w:val="0"/>
              <w:bidi w:val="0"/>
              <w:adjustRightInd/>
              <w:snapToGrid/>
              <w:ind w:left="0" w:right="0"/>
              <w:textAlignment w:val="auto"/>
              <w:rPr>
                <w:rFonts w:hint="eastAsia" w:eastAsia="宋体"/>
                <w:color w:val="auto"/>
                <w:sz w:val="21"/>
                <w:szCs w:val="21"/>
                <w:highlight w:val="none"/>
                <w:lang w:eastAsia="zh-CN"/>
              </w:rPr>
            </w:pPr>
            <w:r>
              <w:rPr>
                <w:rFonts w:hint="eastAsia" w:ascii="宋体" w:hAnsi="宋体" w:eastAsia="宋体" w:cs="宋体"/>
                <w:color w:val="auto"/>
                <w:sz w:val="21"/>
                <w:szCs w:val="21"/>
                <w:highlight w:val="none"/>
                <w:lang w:eastAsia="en-US"/>
              </w:rPr>
              <w:t>最大</w:t>
            </w:r>
            <w:r>
              <w:rPr>
                <w:color w:val="auto"/>
                <w:sz w:val="21"/>
                <w:szCs w:val="21"/>
                <w:highlight w:val="none"/>
                <w:lang w:eastAsia="en-US"/>
              </w:rPr>
              <w:t>A</w:t>
            </w:r>
            <w:r>
              <w:rPr>
                <w:rFonts w:hint="eastAsia" w:ascii="宋体" w:hAnsi="宋体" w:eastAsia="宋体" w:cs="宋体"/>
                <w:color w:val="auto"/>
                <w:sz w:val="21"/>
                <w:szCs w:val="21"/>
                <w:highlight w:val="none"/>
                <w:lang w:eastAsia="en-US"/>
              </w:rPr>
              <w:t>声级</w:t>
            </w:r>
            <w:r>
              <w:rPr>
                <w:rFonts w:hint="eastAsia" w:eastAsia="宋体"/>
                <w:color w:val="auto"/>
                <w:sz w:val="21"/>
                <w:szCs w:val="21"/>
                <w:highlight w:val="none"/>
                <w:lang w:eastAsia="zh-CN"/>
              </w:rPr>
              <w:t>□</w:t>
            </w:r>
          </w:p>
        </w:tc>
        <w:tc>
          <w:tcPr>
            <w:tcW w:w="2658" w:type="dxa"/>
            <w:gridSpan w:val="4"/>
            <w:tcBorders>
              <w:tl2br w:val="nil"/>
              <w:tr2bl w:val="nil"/>
            </w:tcBorders>
            <w:vAlign w:val="center"/>
          </w:tcPr>
          <w:p w14:paraId="25F81116">
            <w:pPr>
              <w:pStyle w:val="98"/>
              <w:keepNext w:val="0"/>
              <w:keepLines w:val="0"/>
              <w:pageBreakBefore w:val="0"/>
              <w:widowControl w:val="0"/>
              <w:kinsoku/>
              <w:wordWrap/>
              <w:overflowPunct/>
              <w:topLinePunct w:val="0"/>
              <w:autoSpaceDE w:val="0"/>
              <w:autoSpaceDN w:val="0"/>
              <w:bidi w:val="0"/>
              <w:adjustRightInd/>
              <w:snapToGrid/>
              <w:ind w:left="0" w:right="0"/>
              <w:textAlignment w:val="auto"/>
              <w:rPr>
                <w:rFonts w:hint="eastAsia" w:eastAsia="宋体"/>
                <w:color w:val="auto"/>
                <w:sz w:val="21"/>
                <w:szCs w:val="21"/>
                <w:highlight w:val="none"/>
                <w:lang w:eastAsia="zh-CN"/>
              </w:rPr>
            </w:pPr>
            <w:r>
              <w:rPr>
                <w:rFonts w:hint="eastAsia" w:ascii="宋体" w:hAnsi="宋体" w:eastAsia="宋体" w:cs="宋体"/>
                <w:color w:val="auto"/>
                <w:sz w:val="21"/>
                <w:szCs w:val="21"/>
                <w:highlight w:val="none"/>
              </w:rPr>
              <w:t>计权等效连续感觉噪声级</w:t>
            </w:r>
            <w:r>
              <w:rPr>
                <w:rFonts w:hint="eastAsia" w:eastAsia="宋体"/>
                <w:color w:val="auto"/>
                <w:sz w:val="21"/>
                <w:szCs w:val="21"/>
                <w:highlight w:val="none"/>
                <w:lang w:eastAsia="zh-CN"/>
              </w:rPr>
              <w:t>□</w:t>
            </w:r>
          </w:p>
        </w:tc>
      </w:tr>
      <w:tr w14:paraId="294A359F">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949" w:type="dxa"/>
            <w:vMerge w:val="continue"/>
            <w:tcBorders>
              <w:tl2br w:val="nil"/>
              <w:tr2bl w:val="nil"/>
            </w:tcBorders>
            <w:vAlign w:val="center"/>
          </w:tcPr>
          <w:p w14:paraId="32109386">
            <w:pPr>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ascii="Times New Roman" w:hAnsi="Times New Roman" w:cs="Times New Roman"/>
                <w:color w:val="auto"/>
                <w:sz w:val="21"/>
                <w:szCs w:val="21"/>
                <w:highlight w:val="none"/>
              </w:rPr>
            </w:pPr>
          </w:p>
        </w:tc>
        <w:tc>
          <w:tcPr>
            <w:tcW w:w="1443" w:type="dxa"/>
            <w:tcBorders>
              <w:tl2br w:val="nil"/>
              <w:tr2bl w:val="nil"/>
            </w:tcBorders>
            <w:vAlign w:val="center"/>
          </w:tcPr>
          <w:p w14:paraId="18C7892C">
            <w:pPr>
              <w:pStyle w:val="98"/>
              <w:keepNext w:val="0"/>
              <w:keepLines w:val="0"/>
              <w:pageBreakBefore w:val="0"/>
              <w:widowControl w:val="0"/>
              <w:kinsoku/>
              <w:wordWrap/>
              <w:overflowPunct/>
              <w:topLinePunct w:val="0"/>
              <w:autoSpaceDE w:val="0"/>
              <w:autoSpaceDN w:val="0"/>
              <w:bidi w:val="0"/>
              <w:adjustRightInd/>
              <w:snapToGrid/>
              <w:ind w:left="0" w:right="0"/>
              <w:textAlignment w:val="auto"/>
              <w:rPr>
                <w:color w:val="auto"/>
                <w:sz w:val="21"/>
                <w:szCs w:val="21"/>
                <w:highlight w:val="none"/>
                <w:lang w:eastAsia="en-US"/>
              </w:rPr>
            </w:pPr>
            <w:r>
              <w:rPr>
                <w:rFonts w:hint="eastAsia" w:ascii="宋体" w:hAnsi="宋体" w:eastAsia="宋体" w:cs="宋体"/>
                <w:color w:val="auto"/>
                <w:sz w:val="21"/>
                <w:szCs w:val="21"/>
                <w:highlight w:val="none"/>
                <w:lang w:eastAsia="en-US"/>
              </w:rPr>
              <w:t>厂界噪声贡献值</w:t>
            </w:r>
          </w:p>
        </w:tc>
        <w:tc>
          <w:tcPr>
            <w:tcW w:w="2978" w:type="dxa"/>
            <w:gridSpan w:val="4"/>
            <w:tcBorders>
              <w:tl2br w:val="nil"/>
              <w:tr2bl w:val="nil"/>
            </w:tcBorders>
            <w:vAlign w:val="center"/>
          </w:tcPr>
          <w:p w14:paraId="01993ACE">
            <w:pPr>
              <w:pStyle w:val="98"/>
              <w:keepNext w:val="0"/>
              <w:keepLines w:val="0"/>
              <w:pageBreakBefore w:val="0"/>
              <w:widowControl w:val="0"/>
              <w:kinsoku/>
              <w:wordWrap/>
              <w:overflowPunct/>
              <w:topLinePunct w:val="0"/>
              <w:autoSpaceDE w:val="0"/>
              <w:autoSpaceDN w:val="0"/>
              <w:bidi w:val="0"/>
              <w:adjustRightInd/>
              <w:snapToGrid/>
              <w:ind w:left="0" w:right="0"/>
              <w:textAlignment w:val="auto"/>
              <w:rPr>
                <w:color w:val="auto"/>
                <w:sz w:val="21"/>
                <w:szCs w:val="21"/>
                <w:highlight w:val="none"/>
                <w:lang w:eastAsia="en-US"/>
              </w:rPr>
            </w:pPr>
            <w:r>
              <w:rPr>
                <w:rFonts w:hint="eastAsia" w:ascii="宋体" w:hAnsi="宋体" w:eastAsia="宋体" w:cs="宋体"/>
                <w:color w:val="auto"/>
                <w:sz w:val="21"/>
                <w:szCs w:val="21"/>
                <w:highlight w:val="none"/>
                <w:lang w:eastAsia="en-US"/>
              </w:rPr>
              <w:t>达标</w:t>
            </w:r>
            <w:r>
              <w:rPr>
                <w:rFonts w:hint="eastAsia" w:eastAsia="宋体"/>
                <w:color w:val="auto"/>
                <w:sz w:val="21"/>
                <w:szCs w:val="21"/>
                <w:highlight w:val="none"/>
              </w:rPr>
              <w:t>☑</w:t>
            </w:r>
          </w:p>
        </w:tc>
        <w:tc>
          <w:tcPr>
            <w:tcW w:w="3134" w:type="dxa"/>
            <w:gridSpan w:val="5"/>
            <w:tcBorders>
              <w:tl2br w:val="nil"/>
              <w:tr2bl w:val="nil"/>
            </w:tcBorders>
            <w:vAlign w:val="center"/>
          </w:tcPr>
          <w:p w14:paraId="03838B9F">
            <w:pPr>
              <w:pStyle w:val="98"/>
              <w:keepNext w:val="0"/>
              <w:keepLines w:val="0"/>
              <w:pageBreakBefore w:val="0"/>
              <w:widowControl w:val="0"/>
              <w:kinsoku/>
              <w:wordWrap/>
              <w:overflowPunct/>
              <w:topLinePunct w:val="0"/>
              <w:autoSpaceDE w:val="0"/>
              <w:autoSpaceDN w:val="0"/>
              <w:bidi w:val="0"/>
              <w:adjustRightInd/>
              <w:snapToGrid/>
              <w:ind w:left="0" w:right="0"/>
              <w:textAlignment w:val="auto"/>
              <w:rPr>
                <w:rFonts w:hint="eastAsia" w:eastAsia="宋体"/>
                <w:color w:val="auto"/>
                <w:sz w:val="21"/>
                <w:szCs w:val="21"/>
                <w:highlight w:val="none"/>
                <w:lang w:eastAsia="zh-CN"/>
              </w:rPr>
            </w:pPr>
            <w:r>
              <w:rPr>
                <w:rFonts w:hint="eastAsia" w:ascii="宋体" w:hAnsi="宋体" w:eastAsia="宋体" w:cs="宋体"/>
                <w:color w:val="auto"/>
                <w:sz w:val="21"/>
                <w:szCs w:val="21"/>
                <w:highlight w:val="none"/>
                <w:lang w:eastAsia="en-US"/>
              </w:rPr>
              <w:t>不达标</w:t>
            </w:r>
            <w:r>
              <w:rPr>
                <w:rFonts w:hint="eastAsia" w:eastAsia="宋体"/>
                <w:color w:val="auto"/>
                <w:sz w:val="21"/>
                <w:szCs w:val="21"/>
                <w:highlight w:val="none"/>
                <w:lang w:eastAsia="zh-CN"/>
              </w:rPr>
              <w:t>□</w:t>
            </w:r>
          </w:p>
        </w:tc>
      </w:tr>
      <w:tr w14:paraId="6F7994D9">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949" w:type="dxa"/>
            <w:vMerge w:val="continue"/>
            <w:tcBorders>
              <w:tl2br w:val="nil"/>
              <w:tr2bl w:val="nil"/>
            </w:tcBorders>
            <w:vAlign w:val="center"/>
          </w:tcPr>
          <w:p w14:paraId="441F1ABC">
            <w:pPr>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ascii="Times New Roman" w:hAnsi="Times New Roman" w:cs="Times New Roman"/>
                <w:color w:val="auto"/>
                <w:sz w:val="21"/>
                <w:szCs w:val="21"/>
                <w:highlight w:val="none"/>
                <w:lang w:eastAsia="en-US"/>
              </w:rPr>
            </w:pPr>
          </w:p>
        </w:tc>
        <w:tc>
          <w:tcPr>
            <w:tcW w:w="1443" w:type="dxa"/>
            <w:tcBorders>
              <w:tl2br w:val="nil"/>
              <w:tr2bl w:val="nil"/>
            </w:tcBorders>
            <w:vAlign w:val="center"/>
          </w:tcPr>
          <w:p w14:paraId="7CEFB8B3">
            <w:pPr>
              <w:pStyle w:val="98"/>
              <w:keepNext w:val="0"/>
              <w:keepLines w:val="0"/>
              <w:pageBreakBefore w:val="0"/>
              <w:widowControl w:val="0"/>
              <w:kinsoku/>
              <w:wordWrap/>
              <w:overflowPunct/>
              <w:topLinePunct w:val="0"/>
              <w:autoSpaceDE w:val="0"/>
              <w:autoSpaceDN w:val="0"/>
              <w:bidi w:val="0"/>
              <w:adjustRightInd/>
              <w:snapToGrid/>
              <w:ind w:left="0" w:right="0"/>
              <w:textAlignment w:val="auto"/>
              <w:rPr>
                <w:color w:val="auto"/>
                <w:sz w:val="21"/>
                <w:szCs w:val="21"/>
                <w:highlight w:val="none"/>
              </w:rPr>
            </w:pPr>
            <w:r>
              <w:rPr>
                <w:rFonts w:hint="eastAsia" w:ascii="宋体" w:hAnsi="宋体" w:eastAsia="宋体" w:cs="宋体"/>
                <w:color w:val="auto"/>
                <w:sz w:val="21"/>
                <w:szCs w:val="21"/>
                <w:highlight w:val="none"/>
              </w:rPr>
              <w:t>声环境保护目标处噪声值</w:t>
            </w:r>
          </w:p>
        </w:tc>
        <w:tc>
          <w:tcPr>
            <w:tcW w:w="2978" w:type="dxa"/>
            <w:gridSpan w:val="4"/>
            <w:tcBorders>
              <w:tl2br w:val="nil"/>
              <w:tr2bl w:val="nil"/>
            </w:tcBorders>
            <w:vAlign w:val="center"/>
          </w:tcPr>
          <w:p w14:paraId="03F18DE2">
            <w:pPr>
              <w:pStyle w:val="98"/>
              <w:keepNext w:val="0"/>
              <w:keepLines w:val="0"/>
              <w:pageBreakBefore w:val="0"/>
              <w:widowControl w:val="0"/>
              <w:kinsoku/>
              <w:wordWrap/>
              <w:overflowPunct/>
              <w:topLinePunct w:val="0"/>
              <w:autoSpaceDE w:val="0"/>
              <w:autoSpaceDN w:val="0"/>
              <w:bidi w:val="0"/>
              <w:adjustRightInd/>
              <w:snapToGrid/>
              <w:ind w:left="0" w:right="0"/>
              <w:textAlignment w:val="auto"/>
              <w:rPr>
                <w:rFonts w:eastAsia="宋体"/>
                <w:color w:val="auto"/>
                <w:sz w:val="21"/>
                <w:szCs w:val="21"/>
                <w:highlight w:val="none"/>
              </w:rPr>
            </w:pPr>
            <w:r>
              <w:rPr>
                <w:rFonts w:hint="eastAsia" w:ascii="宋体" w:hAnsi="宋体" w:eastAsia="宋体" w:cs="宋体"/>
                <w:color w:val="auto"/>
                <w:sz w:val="21"/>
                <w:szCs w:val="21"/>
                <w:highlight w:val="none"/>
                <w:lang w:eastAsia="en-US"/>
              </w:rPr>
              <w:t>达标</w:t>
            </w:r>
            <w:r>
              <w:rPr>
                <w:rFonts w:hint="eastAsia" w:eastAsia="宋体"/>
                <w:color w:val="auto"/>
                <w:sz w:val="21"/>
                <w:szCs w:val="21"/>
                <w:highlight w:val="none"/>
              </w:rPr>
              <w:t>☑</w:t>
            </w:r>
          </w:p>
        </w:tc>
        <w:tc>
          <w:tcPr>
            <w:tcW w:w="3134" w:type="dxa"/>
            <w:gridSpan w:val="5"/>
            <w:tcBorders>
              <w:tl2br w:val="nil"/>
              <w:tr2bl w:val="nil"/>
            </w:tcBorders>
            <w:vAlign w:val="center"/>
          </w:tcPr>
          <w:p w14:paraId="3CD4B5EC">
            <w:pPr>
              <w:pStyle w:val="98"/>
              <w:keepNext w:val="0"/>
              <w:keepLines w:val="0"/>
              <w:pageBreakBefore w:val="0"/>
              <w:widowControl w:val="0"/>
              <w:kinsoku/>
              <w:wordWrap/>
              <w:overflowPunct/>
              <w:topLinePunct w:val="0"/>
              <w:autoSpaceDE w:val="0"/>
              <w:autoSpaceDN w:val="0"/>
              <w:bidi w:val="0"/>
              <w:adjustRightInd/>
              <w:snapToGrid/>
              <w:ind w:left="0" w:right="0"/>
              <w:textAlignment w:val="auto"/>
              <w:rPr>
                <w:rFonts w:hint="eastAsia" w:eastAsia="宋体"/>
                <w:color w:val="auto"/>
                <w:sz w:val="21"/>
                <w:szCs w:val="21"/>
                <w:highlight w:val="none"/>
                <w:lang w:eastAsia="zh-CN"/>
              </w:rPr>
            </w:pPr>
            <w:r>
              <w:rPr>
                <w:rFonts w:hint="eastAsia" w:ascii="宋体" w:hAnsi="宋体" w:eastAsia="宋体" w:cs="宋体"/>
                <w:color w:val="auto"/>
                <w:sz w:val="21"/>
                <w:szCs w:val="21"/>
                <w:highlight w:val="none"/>
                <w:lang w:eastAsia="en-US"/>
              </w:rPr>
              <w:t>不达标</w:t>
            </w:r>
            <w:r>
              <w:rPr>
                <w:rFonts w:hint="eastAsia" w:eastAsia="宋体"/>
                <w:color w:val="auto"/>
                <w:sz w:val="21"/>
                <w:szCs w:val="21"/>
                <w:highlight w:val="none"/>
                <w:lang w:eastAsia="zh-CN"/>
              </w:rPr>
              <w:t>□</w:t>
            </w:r>
          </w:p>
        </w:tc>
      </w:tr>
      <w:tr w14:paraId="0371819E">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949" w:type="dxa"/>
            <w:vMerge w:val="restart"/>
            <w:tcBorders>
              <w:tl2br w:val="nil"/>
              <w:tr2bl w:val="nil"/>
            </w:tcBorders>
            <w:vAlign w:val="center"/>
          </w:tcPr>
          <w:p w14:paraId="10B8792B">
            <w:pPr>
              <w:pStyle w:val="98"/>
              <w:keepNext w:val="0"/>
              <w:keepLines w:val="0"/>
              <w:pageBreakBefore w:val="0"/>
              <w:widowControl w:val="0"/>
              <w:kinsoku/>
              <w:wordWrap/>
              <w:overflowPunct/>
              <w:topLinePunct w:val="0"/>
              <w:autoSpaceDE w:val="0"/>
              <w:autoSpaceDN w:val="0"/>
              <w:bidi w:val="0"/>
              <w:adjustRightInd/>
              <w:snapToGrid/>
              <w:ind w:left="0" w:right="0"/>
              <w:textAlignment w:val="auto"/>
              <w:rPr>
                <w:color w:val="auto"/>
                <w:sz w:val="21"/>
                <w:szCs w:val="21"/>
                <w:highlight w:val="none"/>
                <w:lang w:eastAsia="en-US"/>
              </w:rPr>
            </w:pPr>
            <w:r>
              <w:rPr>
                <w:rFonts w:hint="eastAsia" w:ascii="宋体" w:hAnsi="宋体" w:eastAsia="宋体" w:cs="宋体"/>
                <w:color w:val="auto"/>
                <w:sz w:val="21"/>
                <w:szCs w:val="21"/>
                <w:highlight w:val="none"/>
                <w:lang w:eastAsia="en-US"/>
              </w:rPr>
              <w:t>环境监测计划</w:t>
            </w:r>
          </w:p>
        </w:tc>
        <w:tc>
          <w:tcPr>
            <w:tcW w:w="1443" w:type="dxa"/>
            <w:tcBorders>
              <w:tl2br w:val="nil"/>
              <w:tr2bl w:val="nil"/>
            </w:tcBorders>
            <w:vAlign w:val="center"/>
          </w:tcPr>
          <w:p w14:paraId="42AAF228">
            <w:pPr>
              <w:pStyle w:val="98"/>
              <w:keepNext w:val="0"/>
              <w:keepLines w:val="0"/>
              <w:pageBreakBefore w:val="0"/>
              <w:widowControl w:val="0"/>
              <w:kinsoku/>
              <w:wordWrap/>
              <w:overflowPunct/>
              <w:topLinePunct w:val="0"/>
              <w:autoSpaceDE w:val="0"/>
              <w:autoSpaceDN w:val="0"/>
              <w:bidi w:val="0"/>
              <w:adjustRightInd/>
              <w:snapToGrid/>
              <w:ind w:left="0" w:right="0"/>
              <w:textAlignment w:val="auto"/>
              <w:rPr>
                <w:color w:val="auto"/>
                <w:sz w:val="21"/>
                <w:szCs w:val="21"/>
                <w:highlight w:val="none"/>
                <w:lang w:eastAsia="en-US"/>
              </w:rPr>
            </w:pPr>
            <w:r>
              <w:rPr>
                <w:rFonts w:hint="eastAsia" w:ascii="宋体" w:hAnsi="宋体" w:eastAsia="宋体" w:cs="宋体"/>
                <w:color w:val="auto"/>
                <w:sz w:val="21"/>
                <w:szCs w:val="21"/>
                <w:highlight w:val="none"/>
                <w:lang w:eastAsia="en-US"/>
              </w:rPr>
              <w:t>排放监测</w:t>
            </w:r>
          </w:p>
        </w:tc>
        <w:tc>
          <w:tcPr>
            <w:tcW w:w="2978" w:type="dxa"/>
            <w:gridSpan w:val="4"/>
            <w:tcBorders>
              <w:tl2br w:val="nil"/>
              <w:tr2bl w:val="nil"/>
            </w:tcBorders>
            <w:vAlign w:val="center"/>
          </w:tcPr>
          <w:p w14:paraId="09578026">
            <w:pPr>
              <w:pStyle w:val="98"/>
              <w:keepNext w:val="0"/>
              <w:keepLines w:val="0"/>
              <w:pageBreakBefore w:val="0"/>
              <w:widowControl w:val="0"/>
              <w:tabs>
                <w:tab w:val="left" w:pos="1621"/>
              </w:tabs>
              <w:kinsoku/>
              <w:wordWrap/>
              <w:overflowPunct/>
              <w:topLinePunct w:val="0"/>
              <w:autoSpaceDE w:val="0"/>
              <w:autoSpaceDN w:val="0"/>
              <w:bidi w:val="0"/>
              <w:adjustRightInd/>
              <w:snapToGrid/>
              <w:ind w:left="0" w:right="0"/>
              <w:textAlignment w:val="auto"/>
              <w:rPr>
                <w:color w:val="auto"/>
                <w:sz w:val="21"/>
                <w:szCs w:val="21"/>
                <w:highlight w:val="none"/>
              </w:rPr>
            </w:pPr>
            <w:r>
              <w:rPr>
                <w:rFonts w:hint="eastAsia" w:ascii="宋体" w:hAnsi="宋体" w:eastAsia="宋体" w:cs="宋体"/>
                <w:color w:val="auto"/>
                <w:sz w:val="21"/>
                <w:szCs w:val="21"/>
                <w:highlight w:val="none"/>
              </w:rPr>
              <w:t>厂界监测</w:t>
            </w:r>
            <w:r>
              <w:rPr>
                <w:rFonts w:hint="eastAsia" w:eastAsia="宋体"/>
                <w:color w:val="auto"/>
                <w:sz w:val="21"/>
                <w:szCs w:val="21"/>
                <w:highlight w:val="none"/>
              </w:rPr>
              <w:t>☑</w:t>
            </w:r>
            <w:r>
              <w:rPr>
                <w:rFonts w:hint="eastAsia" w:ascii="宋体" w:hAnsi="宋体" w:eastAsia="宋体" w:cs="宋体"/>
                <w:color w:val="auto"/>
                <w:sz w:val="21"/>
                <w:szCs w:val="21"/>
                <w:highlight w:val="none"/>
              </w:rPr>
              <w:t>固定位置监</w:t>
            </w:r>
            <w:r>
              <w:rPr>
                <w:rFonts w:hint="eastAsia" w:ascii="宋体" w:hAnsi="宋体" w:eastAsia="宋体" w:cs="宋体"/>
                <w:color w:val="auto"/>
                <w:spacing w:val="-3"/>
                <w:sz w:val="21"/>
                <w:szCs w:val="21"/>
                <w:highlight w:val="none"/>
              </w:rPr>
              <w:t>测</w:t>
            </w:r>
            <w:r>
              <w:rPr>
                <w:color w:val="auto"/>
                <w:sz w:val="21"/>
                <w:szCs w:val="21"/>
                <w:highlight w:val="none"/>
              </w:rPr>
              <w:t>□</w:t>
            </w:r>
          </w:p>
        </w:tc>
        <w:tc>
          <w:tcPr>
            <w:tcW w:w="2067" w:type="dxa"/>
            <w:gridSpan w:val="4"/>
            <w:tcBorders>
              <w:tl2br w:val="nil"/>
              <w:tr2bl w:val="nil"/>
            </w:tcBorders>
            <w:vAlign w:val="center"/>
          </w:tcPr>
          <w:p w14:paraId="281B1336">
            <w:pPr>
              <w:pStyle w:val="98"/>
              <w:keepNext w:val="0"/>
              <w:keepLines w:val="0"/>
              <w:pageBreakBefore w:val="0"/>
              <w:widowControl w:val="0"/>
              <w:kinsoku/>
              <w:wordWrap/>
              <w:overflowPunct/>
              <w:topLinePunct w:val="0"/>
              <w:autoSpaceDE w:val="0"/>
              <w:autoSpaceDN w:val="0"/>
              <w:bidi w:val="0"/>
              <w:adjustRightInd/>
              <w:snapToGrid/>
              <w:ind w:left="0" w:right="0"/>
              <w:textAlignment w:val="auto"/>
              <w:rPr>
                <w:color w:val="auto"/>
                <w:sz w:val="21"/>
                <w:szCs w:val="21"/>
                <w:highlight w:val="none"/>
              </w:rPr>
            </w:pPr>
            <w:r>
              <w:rPr>
                <w:rFonts w:hint="eastAsia" w:ascii="宋体" w:hAnsi="宋体" w:eastAsia="宋体" w:cs="宋体"/>
                <w:color w:val="auto"/>
                <w:sz w:val="21"/>
                <w:szCs w:val="21"/>
                <w:highlight w:val="none"/>
              </w:rPr>
              <w:t>自动监测</w:t>
            </w:r>
            <w:r>
              <w:rPr>
                <w:color w:val="auto"/>
                <w:sz w:val="21"/>
                <w:szCs w:val="21"/>
                <w:highlight w:val="none"/>
              </w:rPr>
              <w:t>□</w:t>
            </w:r>
            <w:r>
              <w:rPr>
                <w:rFonts w:hint="eastAsia" w:ascii="宋体" w:hAnsi="宋体" w:eastAsia="宋体" w:cs="宋体"/>
                <w:color w:val="auto"/>
                <w:sz w:val="21"/>
                <w:szCs w:val="21"/>
                <w:highlight w:val="none"/>
              </w:rPr>
              <w:t>手动监测</w:t>
            </w:r>
            <w:r>
              <w:rPr>
                <w:rFonts w:hint="eastAsia" w:eastAsia="宋体"/>
                <w:color w:val="auto"/>
                <w:sz w:val="21"/>
                <w:szCs w:val="21"/>
                <w:highlight w:val="none"/>
              </w:rPr>
              <w:t>☑</w:t>
            </w:r>
          </w:p>
        </w:tc>
        <w:tc>
          <w:tcPr>
            <w:tcW w:w="1067" w:type="dxa"/>
            <w:tcBorders>
              <w:tl2br w:val="nil"/>
              <w:tr2bl w:val="nil"/>
            </w:tcBorders>
            <w:vAlign w:val="center"/>
          </w:tcPr>
          <w:p w14:paraId="3D693DA0">
            <w:pPr>
              <w:pStyle w:val="98"/>
              <w:keepNext w:val="0"/>
              <w:keepLines w:val="0"/>
              <w:pageBreakBefore w:val="0"/>
              <w:widowControl w:val="0"/>
              <w:kinsoku/>
              <w:wordWrap/>
              <w:overflowPunct/>
              <w:topLinePunct w:val="0"/>
              <w:autoSpaceDE w:val="0"/>
              <w:autoSpaceDN w:val="0"/>
              <w:bidi w:val="0"/>
              <w:adjustRightInd/>
              <w:snapToGrid/>
              <w:ind w:left="0" w:right="0"/>
              <w:textAlignment w:val="auto"/>
              <w:rPr>
                <w:rFonts w:eastAsia="宋体"/>
                <w:color w:val="auto"/>
                <w:sz w:val="21"/>
                <w:szCs w:val="21"/>
                <w:highlight w:val="none"/>
              </w:rPr>
            </w:pPr>
            <w:r>
              <w:rPr>
                <w:rFonts w:hint="eastAsia" w:ascii="宋体" w:hAnsi="宋体" w:eastAsia="宋体" w:cs="宋体"/>
                <w:color w:val="auto"/>
                <w:sz w:val="21"/>
                <w:szCs w:val="21"/>
                <w:highlight w:val="none"/>
                <w:lang w:eastAsia="en-US"/>
              </w:rPr>
              <w:t>无监测</w:t>
            </w:r>
            <w:r>
              <w:rPr>
                <w:rFonts w:hint="eastAsia" w:eastAsia="宋体"/>
                <w:color w:val="auto"/>
                <w:sz w:val="21"/>
                <w:szCs w:val="21"/>
                <w:highlight w:val="none"/>
              </w:rPr>
              <w:t>□</w:t>
            </w:r>
          </w:p>
        </w:tc>
      </w:tr>
      <w:tr w14:paraId="6456ED6B">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949" w:type="dxa"/>
            <w:vMerge w:val="continue"/>
            <w:tcBorders>
              <w:tl2br w:val="nil"/>
              <w:tr2bl w:val="nil"/>
            </w:tcBorders>
            <w:vAlign w:val="center"/>
          </w:tcPr>
          <w:p w14:paraId="53175811">
            <w:pPr>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ascii="Times New Roman" w:hAnsi="Times New Roman" w:cs="Times New Roman"/>
                <w:color w:val="auto"/>
                <w:sz w:val="21"/>
                <w:szCs w:val="21"/>
                <w:highlight w:val="none"/>
                <w:lang w:eastAsia="en-US"/>
              </w:rPr>
            </w:pPr>
          </w:p>
        </w:tc>
        <w:tc>
          <w:tcPr>
            <w:tcW w:w="1443" w:type="dxa"/>
            <w:tcBorders>
              <w:tl2br w:val="nil"/>
              <w:tr2bl w:val="nil"/>
            </w:tcBorders>
            <w:vAlign w:val="center"/>
          </w:tcPr>
          <w:p w14:paraId="58D35A40">
            <w:pPr>
              <w:pStyle w:val="98"/>
              <w:keepNext w:val="0"/>
              <w:keepLines w:val="0"/>
              <w:pageBreakBefore w:val="0"/>
              <w:widowControl w:val="0"/>
              <w:kinsoku/>
              <w:wordWrap/>
              <w:overflowPunct/>
              <w:topLinePunct w:val="0"/>
              <w:autoSpaceDE w:val="0"/>
              <w:autoSpaceDN w:val="0"/>
              <w:bidi w:val="0"/>
              <w:adjustRightInd/>
              <w:snapToGrid/>
              <w:ind w:left="0" w:right="0"/>
              <w:textAlignment w:val="auto"/>
              <w:rPr>
                <w:color w:val="auto"/>
                <w:sz w:val="21"/>
                <w:szCs w:val="21"/>
                <w:highlight w:val="none"/>
              </w:rPr>
            </w:pPr>
            <w:r>
              <w:rPr>
                <w:rFonts w:hint="eastAsia" w:ascii="宋体" w:hAnsi="宋体" w:eastAsia="宋体" w:cs="宋体"/>
                <w:color w:val="auto"/>
                <w:sz w:val="21"/>
                <w:szCs w:val="21"/>
                <w:highlight w:val="none"/>
              </w:rPr>
              <w:t>声环境保护目标处噪声监测</w:t>
            </w:r>
          </w:p>
        </w:tc>
        <w:tc>
          <w:tcPr>
            <w:tcW w:w="2978" w:type="dxa"/>
            <w:gridSpan w:val="4"/>
            <w:tcBorders>
              <w:tl2br w:val="nil"/>
              <w:tr2bl w:val="nil"/>
            </w:tcBorders>
            <w:vAlign w:val="center"/>
          </w:tcPr>
          <w:p w14:paraId="5345EBB5">
            <w:pPr>
              <w:pStyle w:val="98"/>
              <w:keepNext w:val="0"/>
              <w:keepLines w:val="0"/>
              <w:pageBreakBefore w:val="0"/>
              <w:widowControl w:val="0"/>
              <w:tabs>
                <w:tab w:val="left" w:pos="2252"/>
              </w:tabs>
              <w:kinsoku/>
              <w:wordWrap/>
              <w:overflowPunct/>
              <w:topLinePunct w:val="0"/>
              <w:autoSpaceDE w:val="0"/>
              <w:autoSpaceDN w:val="0"/>
              <w:bidi w:val="0"/>
              <w:adjustRightInd/>
              <w:snapToGrid/>
              <w:ind w:left="0" w:right="0"/>
              <w:textAlignment w:val="auto"/>
              <w:rPr>
                <w:color w:val="auto"/>
                <w:sz w:val="21"/>
                <w:szCs w:val="21"/>
                <w:highlight w:val="none"/>
              </w:rPr>
            </w:pPr>
            <w:r>
              <w:rPr>
                <w:rFonts w:hint="eastAsia" w:ascii="宋体" w:hAnsi="宋体" w:eastAsia="宋体" w:cs="宋体"/>
                <w:color w:val="auto"/>
                <w:sz w:val="21"/>
                <w:szCs w:val="21"/>
                <w:highlight w:val="none"/>
              </w:rPr>
              <w:t>监测因子</w:t>
            </w:r>
            <w:r>
              <w:rPr>
                <w:rFonts w:hint="eastAsia" w:ascii="宋体" w:hAnsi="宋体" w:eastAsia="宋体" w:cs="宋体"/>
                <w:color w:val="auto"/>
                <w:spacing w:val="-92"/>
                <w:sz w:val="21"/>
                <w:szCs w:val="21"/>
                <w:highlight w:val="none"/>
              </w:rPr>
              <w:t>：</w:t>
            </w:r>
            <w:r>
              <w:rPr>
                <w:rFonts w:hint="eastAsia" w:ascii="宋体" w:hAnsi="宋体" w:eastAsia="宋体" w:cs="宋体"/>
                <w:color w:val="auto"/>
                <w:sz w:val="21"/>
                <w:szCs w:val="21"/>
                <w:highlight w:val="none"/>
              </w:rPr>
              <w:t>（等效连续</w:t>
            </w:r>
            <w:r>
              <w:rPr>
                <w:rFonts w:eastAsia="宋体"/>
                <w:color w:val="auto"/>
                <w:sz w:val="21"/>
                <w:szCs w:val="21"/>
                <w:highlight w:val="none"/>
              </w:rPr>
              <w:t>A</w:t>
            </w:r>
            <w:r>
              <w:rPr>
                <w:rFonts w:hint="eastAsia" w:ascii="宋体" w:hAnsi="宋体" w:eastAsia="宋体" w:cs="宋体"/>
                <w:color w:val="auto"/>
                <w:sz w:val="21"/>
                <w:szCs w:val="21"/>
                <w:highlight w:val="none"/>
              </w:rPr>
              <w:t>声级）</w:t>
            </w:r>
          </w:p>
        </w:tc>
        <w:tc>
          <w:tcPr>
            <w:tcW w:w="2067" w:type="dxa"/>
            <w:gridSpan w:val="4"/>
            <w:tcBorders>
              <w:tl2br w:val="nil"/>
              <w:tr2bl w:val="nil"/>
            </w:tcBorders>
            <w:vAlign w:val="center"/>
          </w:tcPr>
          <w:p w14:paraId="47595FD6">
            <w:pPr>
              <w:pStyle w:val="98"/>
              <w:keepNext w:val="0"/>
              <w:keepLines w:val="0"/>
              <w:pageBreakBefore w:val="0"/>
              <w:widowControl w:val="0"/>
              <w:tabs>
                <w:tab w:val="left" w:pos="1735"/>
              </w:tabs>
              <w:kinsoku/>
              <w:wordWrap/>
              <w:overflowPunct/>
              <w:topLinePunct w:val="0"/>
              <w:autoSpaceDE w:val="0"/>
              <w:autoSpaceDN w:val="0"/>
              <w:bidi w:val="0"/>
              <w:adjustRightInd/>
              <w:snapToGrid/>
              <w:ind w:left="0" w:right="0"/>
              <w:textAlignment w:val="auto"/>
              <w:rPr>
                <w:color w:val="auto"/>
                <w:sz w:val="21"/>
                <w:szCs w:val="21"/>
                <w:highlight w:val="none"/>
                <w:lang w:eastAsia="en-US"/>
              </w:rPr>
            </w:pPr>
            <w:r>
              <w:rPr>
                <w:rFonts w:hint="eastAsia" w:ascii="宋体" w:hAnsi="宋体" w:eastAsia="宋体" w:cs="宋体"/>
                <w:color w:val="auto"/>
                <w:sz w:val="21"/>
                <w:szCs w:val="21"/>
                <w:highlight w:val="none"/>
                <w:lang w:eastAsia="en-US"/>
              </w:rPr>
              <w:t>监测点位数（</w:t>
            </w:r>
            <w:r>
              <w:rPr>
                <w:rFonts w:hint="eastAsia" w:eastAsia="宋体"/>
                <w:color w:val="auto"/>
                <w:sz w:val="21"/>
                <w:szCs w:val="21"/>
                <w:highlight w:val="none"/>
                <w:lang w:val="en-US" w:eastAsia="zh-CN"/>
              </w:rPr>
              <w:t>3</w:t>
            </w:r>
            <w:r>
              <w:rPr>
                <w:rFonts w:hint="eastAsia" w:ascii="宋体" w:hAnsi="宋体" w:eastAsia="宋体" w:cs="宋体"/>
                <w:color w:val="auto"/>
                <w:sz w:val="21"/>
                <w:szCs w:val="21"/>
                <w:highlight w:val="none"/>
                <w:lang w:eastAsia="en-US"/>
              </w:rPr>
              <w:t>）</w:t>
            </w:r>
          </w:p>
        </w:tc>
        <w:tc>
          <w:tcPr>
            <w:tcW w:w="1067" w:type="dxa"/>
            <w:tcBorders>
              <w:tl2br w:val="nil"/>
              <w:tr2bl w:val="nil"/>
            </w:tcBorders>
            <w:vAlign w:val="center"/>
          </w:tcPr>
          <w:p w14:paraId="53859EBE">
            <w:pPr>
              <w:pStyle w:val="98"/>
              <w:keepNext w:val="0"/>
              <w:keepLines w:val="0"/>
              <w:pageBreakBefore w:val="0"/>
              <w:widowControl w:val="0"/>
              <w:kinsoku/>
              <w:wordWrap/>
              <w:overflowPunct/>
              <w:topLinePunct w:val="0"/>
              <w:autoSpaceDE w:val="0"/>
              <w:autoSpaceDN w:val="0"/>
              <w:bidi w:val="0"/>
              <w:adjustRightInd/>
              <w:snapToGrid/>
              <w:ind w:left="0" w:right="0"/>
              <w:textAlignment w:val="auto"/>
              <w:rPr>
                <w:color w:val="auto"/>
                <w:sz w:val="21"/>
                <w:szCs w:val="21"/>
                <w:highlight w:val="none"/>
                <w:lang w:eastAsia="en-US"/>
              </w:rPr>
            </w:pPr>
            <w:r>
              <w:rPr>
                <w:rFonts w:hint="eastAsia" w:ascii="宋体" w:hAnsi="宋体" w:eastAsia="宋体" w:cs="宋体"/>
                <w:color w:val="auto"/>
                <w:sz w:val="21"/>
                <w:szCs w:val="21"/>
                <w:highlight w:val="none"/>
                <w:lang w:eastAsia="en-US"/>
              </w:rPr>
              <w:t>无监测</w:t>
            </w:r>
            <w:r>
              <w:rPr>
                <w:rFonts w:hint="eastAsia" w:eastAsia="宋体"/>
                <w:color w:val="auto"/>
                <w:sz w:val="21"/>
                <w:szCs w:val="21"/>
                <w:highlight w:val="none"/>
              </w:rPr>
              <w:t>□</w:t>
            </w:r>
          </w:p>
        </w:tc>
      </w:tr>
      <w:tr w14:paraId="09B08B2B">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949" w:type="dxa"/>
            <w:tcBorders>
              <w:tl2br w:val="nil"/>
              <w:tr2bl w:val="nil"/>
            </w:tcBorders>
            <w:vAlign w:val="center"/>
          </w:tcPr>
          <w:p w14:paraId="56FE7ED9">
            <w:pPr>
              <w:pStyle w:val="98"/>
              <w:keepNext w:val="0"/>
              <w:keepLines w:val="0"/>
              <w:pageBreakBefore w:val="0"/>
              <w:widowControl w:val="0"/>
              <w:kinsoku/>
              <w:wordWrap/>
              <w:overflowPunct/>
              <w:topLinePunct w:val="0"/>
              <w:autoSpaceDE w:val="0"/>
              <w:autoSpaceDN w:val="0"/>
              <w:bidi w:val="0"/>
              <w:adjustRightInd/>
              <w:snapToGrid/>
              <w:ind w:left="0" w:right="0"/>
              <w:textAlignment w:val="auto"/>
              <w:rPr>
                <w:color w:val="auto"/>
                <w:sz w:val="21"/>
                <w:szCs w:val="21"/>
                <w:highlight w:val="none"/>
                <w:lang w:eastAsia="en-US"/>
              </w:rPr>
            </w:pPr>
            <w:r>
              <w:rPr>
                <w:rFonts w:hint="eastAsia" w:ascii="宋体" w:hAnsi="宋体" w:eastAsia="宋体" w:cs="宋体"/>
                <w:color w:val="auto"/>
                <w:sz w:val="21"/>
                <w:szCs w:val="21"/>
                <w:highlight w:val="none"/>
                <w:lang w:eastAsia="en-US"/>
              </w:rPr>
              <w:t>评价结论</w:t>
            </w:r>
          </w:p>
        </w:tc>
        <w:tc>
          <w:tcPr>
            <w:tcW w:w="1443" w:type="dxa"/>
            <w:tcBorders>
              <w:tl2br w:val="nil"/>
              <w:tr2bl w:val="nil"/>
            </w:tcBorders>
            <w:vAlign w:val="center"/>
          </w:tcPr>
          <w:p w14:paraId="05F08743">
            <w:pPr>
              <w:pStyle w:val="98"/>
              <w:keepNext w:val="0"/>
              <w:keepLines w:val="0"/>
              <w:pageBreakBefore w:val="0"/>
              <w:widowControl w:val="0"/>
              <w:kinsoku/>
              <w:wordWrap/>
              <w:overflowPunct/>
              <w:topLinePunct w:val="0"/>
              <w:autoSpaceDE w:val="0"/>
              <w:autoSpaceDN w:val="0"/>
              <w:bidi w:val="0"/>
              <w:adjustRightInd/>
              <w:snapToGrid/>
              <w:ind w:left="0" w:right="0"/>
              <w:textAlignment w:val="auto"/>
              <w:rPr>
                <w:color w:val="auto"/>
                <w:sz w:val="21"/>
                <w:szCs w:val="21"/>
                <w:highlight w:val="none"/>
                <w:lang w:eastAsia="en-US"/>
              </w:rPr>
            </w:pPr>
            <w:r>
              <w:rPr>
                <w:rFonts w:hint="eastAsia" w:ascii="宋体" w:hAnsi="宋体" w:eastAsia="宋体" w:cs="宋体"/>
                <w:color w:val="auto"/>
                <w:sz w:val="21"/>
                <w:szCs w:val="21"/>
                <w:highlight w:val="none"/>
                <w:lang w:eastAsia="en-US"/>
              </w:rPr>
              <w:t>环境影响</w:t>
            </w:r>
          </w:p>
        </w:tc>
        <w:tc>
          <w:tcPr>
            <w:tcW w:w="6112" w:type="dxa"/>
            <w:gridSpan w:val="9"/>
            <w:tcBorders>
              <w:tl2br w:val="nil"/>
              <w:tr2bl w:val="nil"/>
            </w:tcBorders>
            <w:vAlign w:val="center"/>
          </w:tcPr>
          <w:p w14:paraId="36030DC8">
            <w:pPr>
              <w:pStyle w:val="98"/>
              <w:keepNext w:val="0"/>
              <w:keepLines w:val="0"/>
              <w:pageBreakBefore w:val="0"/>
              <w:widowControl w:val="0"/>
              <w:tabs>
                <w:tab w:val="left" w:pos="1202"/>
              </w:tabs>
              <w:kinsoku/>
              <w:wordWrap/>
              <w:overflowPunct/>
              <w:topLinePunct w:val="0"/>
              <w:autoSpaceDE w:val="0"/>
              <w:autoSpaceDN w:val="0"/>
              <w:bidi w:val="0"/>
              <w:adjustRightInd/>
              <w:snapToGrid/>
              <w:ind w:left="0" w:right="0"/>
              <w:textAlignment w:val="auto"/>
              <w:rPr>
                <w:color w:val="auto"/>
                <w:sz w:val="21"/>
                <w:szCs w:val="21"/>
                <w:highlight w:val="none"/>
                <w:lang w:eastAsia="en-US"/>
              </w:rPr>
            </w:pPr>
            <w:r>
              <w:rPr>
                <w:rFonts w:hint="eastAsia" w:ascii="宋体" w:hAnsi="宋体" w:eastAsia="宋体" w:cs="宋体"/>
                <w:color w:val="auto"/>
                <w:sz w:val="21"/>
                <w:szCs w:val="21"/>
                <w:highlight w:val="none"/>
                <w:lang w:eastAsia="en-US"/>
              </w:rPr>
              <w:t>可行</w:t>
            </w:r>
            <w:r>
              <w:rPr>
                <w:rFonts w:hint="eastAsia" w:eastAsia="宋体"/>
                <w:color w:val="auto"/>
                <w:sz w:val="21"/>
                <w:szCs w:val="21"/>
                <w:highlight w:val="none"/>
              </w:rPr>
              <w:t>☑</w:t>
            </w:r>
            <w:r>
              <w:rPr>
                <w:color w:val="auto"/>
                <w:sz w:val="21"/>
                <w:szCs w:val="21"/>
                <w:highlight w:val="none"/>
                <w:lang w:eastAsia="en-US"/>
              </w:rPr>
              <w:tab/>
            </w:r>
            <w:r>
              <w:rPr>
                <w:rFonts w:hint="eastAsia" w:ascii="宋体" w:hAnsi="宋体" w:eastAsia="宋体" w:cs="宋体"/>
                <w:color w:val="auto"/>
                <w:sz w:val="21"/>
                <w:szCs w:val="21"/>
                <w:highlight w:val="none"/>
                <w:lang w:eastAsia="en-US"/>
              </w:rPr>
              <w:t>不可行</w:t>
            </w:r>
            <w:r>
              <w:rPr>
                <w:color w:val="auto"/>
                <w:sz w:val="21"/>
                <w:szCs w:val="21"/>
                <w:highlight w:val="none"/>
                <w:lang w:eastAsia="en-US"/>
              </w:rPr>
              <w:t>□</w:t>
            </w:r>
          </w:p>
        </w:tc>
      </w:tr>
      <w:tr w14:paraId="44C26CC5">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8504" w:type="dxa"/>
            <w:gridSpan w:val="11"/>
            <w:tcBorders>
              <w:tl2br w:val="nil"/>
              <w:tr2bl w:val="nil"/>
            </w:tcBorders>
            <w:vAlign w:val="center"/>
          </w:tcPr>
          <w:p w14:paraId="3959F7CE">
            <w:pPr>
              <w:pStyle w:val="98"/>
              <w:keepNext w:val="0"/>
              <w:keepLines w:val="0"/>
              <w:pageBreakBefore w:val="0"/>
              <w:widowControl w:val="0"/>
              <w:tabs>
                <w:tab w:val="left" w:pos="3079"/>
              </w:tabs>
              <w:kinsoku/>
              <w:wordWrap/>
              <w:overflowPunct/>
              <w:topLinePunct w:val="0"/>
              <w:autoSpaceDE w:val="0"/>
              <w:autoSpaceDN w:val="0"/>
              <w:bidi w:val="0"/>
              <w:adjustRightInd/>
              <w:snapToGrid/>
              <w:ind w:left="0" w:right="0"/>
              <w:textAlignment w:val="auto"/>
              <w:rPr>
                <w:color w:val="auto"/>
                <w:sz w:val="21"/>
                <w:szCs w:val="21"/>
                <w:highlight w:val="none"/>
              </w:rPr>
            </w:pPr>
            <w:r>
              <w:rPr>
                <w:rFonts w:hint="eastAsia" w:ascii="宋体" w:hAnsi="宋体" w:eastAsia="宋体" w:cs="宋体"/>
                <w:color w:val="auto"/>
                <w:sz w:val="21"/>
                <w:szCs w:val="21"/>
                <w:highlight w:val="none"/>
              </w:rPr>
              <w:t>注</w:t>
            </w:r>
            <w:r>
              <w:rPr>
                <w:rFonts w:hint="eastAsia" w:ascii="宋体" w:hAnsi="宋体" w:eastAsia="宋体" w:cs="宋体"/>
                <w:color w:val="auto"/>
                <w:spacing w:val="-92"/>
                <w:sz w:val="21"/>
                <w:szCs w:val="21"/>
                <w:highlight w:val="none"/>
              </w:rPr>
              <w:t>：</w:t>
            </w:r>
            <w:r>
              <w:rPr>
                <w:color w:val="auto"/>
                <w:sz w:val="21"/>
                <w:szCs w:val="21"/>
                <w:highlight w:val="none"/>
              </w:rPr>
              <w:t>“□”</w:t>
            </w:r>
            <w:r>
              <w:rPr>
                <w:rFonts w:hint="eastAsia" w:ascii="宋体" w:hAnsi="宋体" w:eastAsia="宋体" w:cs="宋体"/>
                <w:color w:val="auto"/>
                <w:sz w:val="21"/>
                <w:szCs w:val="21"/>
                <w:highlight w:val="none"/>
              </w:rPr>
              <w:t>为勾选项，可</w:t>
            </w:r>
            <w:r>
              <w:rPr>
                <w:color w:val="auto"/>
                <w:sz w:val="21"/>
                <w:szCs w:val="21"/>
                <w:highlight w:val="none"/>
              </w:rPr>
              <w:t>√</w:t>
            </w:r>
            <w:r>
              <w:rPr>
                <w:rFonts w:hint="eastAsia" w:ascii="宋体" w:hAnsi="宋体" w:eastAsia="宋体" w:cs="宋体"/>
                <w:color w:val="auto"/>
                <w:spacing w:val="-92"/>
                <w:sz w:val="21"/>
                <w:szCs w:val="21"/>
                <w:highlight w:val="none"/>
              </w:rPr>
              <w:t>；</w:t>
            </w:r>
            <w:r>
              <w:rPr>
                <w:color w:val="auto"/>
                <w:spacing w:val="-92"/>
                <w:sz w:val="21"/>
                <w:szCs w:val="21"/>
                <w:highlight w:val="none"/>
              </w:rPr>
              <w:t>“</w:t>
            </w:r>
            <w:r>
              <w:rPr>
                <w:rFonts w:hint="eastAsia" w:ascii="宋体" w:hAnsi="宋体" w:eastAsia="宋体" w:cs="宋体"/>
                <w:color w:val="auto"/>
                <w:sz w:val="21"/>
                <w:szCs w:val="21"/>
                <w:highlight w:val="none"/>
              </w:rPr>
              <w:t>（</w:t>
            </w:r>
            <w:r>
              <w:rPr>
                <w:color w:val="auto"/>
                <w:sz w:val="21"/>
                <w:szCs w:val="21"/>
                <w:highlight w:val="none"/>
              </w:rPr>
              <w:tab/>
            </w:r>
            <w:r>
              <w:rPr>
                <w:rFonts w:hint="eastAsia" w:ascii="宋体" w:hAnsi="宋体" w:eastAsia="宋体" w:cs="宋体"/>
                <w:color w:val="auto"/>
                <w:spacing w:val="-92"/>
                <w:sz w:val="21"/>
                <w:szCs w:val="21"/>
                <w:highlight w:val="none"/>
              </w:rPr>
              <w:t>）</w:t>
            </w:r>
            <w:r>
              <w:rPr>
                <w:color w:val="auto"/>
                <w:sz w:val="21"/>
                <w:szCs w:val="21"/>
                <w:highlight w:val="none"/>
              </w:rPr>
              <w:t>”</w:t>
            </w:r>
            <w:r>
              <w:rPr>
                <w:rFonts w:hint="eastAsia" w:ascii="宋体" w:hAnsi="宋体" w:eastAsia="宋体" w:cs="宋体"/>
                <w:color w:val="auto"/>
                <w:sz w:val="21"/>
                <w:szCs w:val="21"/>
                <w:highlight w:val="none"/>
              </w:rPr>
              <w:t>为内容填写项。</w:t>
            </w:r>
          </w:p>
        </w:tc>
      </w:tr>
    </w:tbl>
    <w:p w14:paraId="3B873B62">
      <w:pPr>
        <w:ind w:left="-105" w:right="-105"/>
        <w:rPr>
          <w:color w:val="auto"/>
          <w:highlight w:val="none"/>
        </w:rPr>
      </w:pPr>
    </w:p>
    <w:p w14:paraId="5CA2DCA9">
      <w:pPr>
        <w:ind w:left="-105" w:right="-105"/>
        <w:rPr>
          <w:color w:val="auto"/>
          <w:highlight w:val="none"/>
        </w:rPr>
      </w:pPr>
    </w:p>
    <w:p w14:paraId="00D70826">
      <w:pPr>
        <w:pStyle w:val="15"/>
        <w:spacing w:line="360" w:lineRule="auto"/>
        <w:ind w:left="-105" w:right="-105" w:firstLine="482"/>
        <w:rPr>
          <w:rFonts w:eastAsia="宋体" w:cs="Times New Roman"/>
          <w:color w:val="auto"/>
          <w:sz w:val="24"/>
          <w:szCs w:val="24"/>
          <w:highlight w:val="none"/>
        </w:rPr>
      </w:pPr>
    </w:p>
    <w:p w14:paraId="0D0D7E1A">
      <w:pPr>
        <w:spacing w:line="360" w:lineRule="auto"/>
        <w:ind w:left="-105" w:right="-105" w:firstLine="480" w:firstLineChars="200"/>
        <w:rPr>
          <w:rFonts w:ascii="Times New Roman" w:hAnsi="Times New Roman"/>
          <w:color w:val="auto"/>
          <w:highlight w:val="none"/>
        </w:rPr>
        <w:sectPr>
          <w:pgSz w:w="11906" w:h="16838"/>
          <w:pgMar w:top="1440" w:right="1701" w:bottom="1440" w:left="1701" w:header="851" w:footer="851" w:gutter="0"/>
          <w:pgBorders>
            <w:top w:val="none" w:sz="0" w:space="0"/>
            <w:left w:val="none" w:sz="0" w:space="0"/>
            <w:bottom w:val="none" w:sz="0" w:space="0"/>
            <w:right w:val="none" w:sz="0" w:space="0"/>
          </w:pgBorders>
          <w:cols w:space="720" w:num="1"/>
          <w:docGrid w:linePitch="498" w:charSpace="-2336"/>
        </w:sectPr>
      </w:pPr>
    </w:p>
    <w:p w14:paraId="4E4B6946">
      <w:pPr>
        <w:pStyle w:val="4"/>
        <w:numPr>
          <w:ilvl w:val="1"/>
          <w:numId w:val="6"/>
        </w:numPr>
        <w:tabs>
          <w:tab w:val="left" w:pos="426"/>
        </w:tabs>
        <w:spacing w:before="120" w:beforeLines="50" w:after="120" w:afterLines="50" w:line="360" w:lineRule="auto"/>
        <w:ind w:left="-105" w:right="-105"/>
        <w:rPr>
          <w:rFonts w:ascii="Times New Roman" w:eastAsia="宋体"/>
          <w:color w:val="auto"/>
          <w:sz w:val="28"/>
          <w:szCs w:val="28"/>
          <w:highlight w:val="none"/>
        </w:rPr>
      </w:pPr>
      <w:bookmarkStart w:id="408" w:name="_Toc16211"/>
      <w:bookmarkStart w:id="409" w:name="_Toc60653575"/>
      <w:r>
        <w:rPr>
          <w:rFonts w:ascii="Times New Roman" w:eastAsia="宋体"/>
          <w:color w:val="auto"/>
          <w:sz w:val="28"/>
          <w:szCs w:val="28"/>
          <w:highlight w:val="none"/>
        </w:rPr>
        <w:t>固体废弃物环境影响分析</w:t>
      </w:r>
      <w:bookmarkEnd w:id="408"/>
      <w:bookmarkEnd w:id="409"/>
    </w:p>
    <w:p w14:paraId="2C41B99B">
      <w:pPr>
        <w:spacing w:line="360" w:lineRule="auto"/>
        <w:ind w:left="-105" w:right="-105" w:firstLine="480" w:firstLineChars="200"/>
        <w:rPr>
          <w:rFonts w:ascii="Times New Roman" w:hAnsi="Times New Roman"/>
          <w:color w:val="auto"/>
          <w:highlight w:val="none"/>
        </w:rPr>
      </w:pPr>
      <w:r>
        <w:rPr>
          <w:rFonts w:hint="eastAsia" w:ascii="Times New Roman" w:hAnsi="Times New Roman"/>
          <w:color w:val="auto"/>
          <w:highlight w:val="none"/>
        </w:rPr>
        <w:t>根据工程分析可知，本项目固废主要为废滤芯、实验废液、废实验耗材、废包装桶、废包装袋、废活性炭（废气处理）等危险废物，废过滤介质、废活性炭（纯水制备）、废RO膜等一般固废。固废产生情况见上文固体废弃物污染源分析章节</w:t>
      </w:r>
      <w:r>
        <w:rPr>
          <w:rFonts w:ascii="Times New Roman" w:hAnsi="Times New Roman"/>
          <w:color w:val="auto"/>
          <w:highlight w:val="none"/>
        </w:rPr>
        <w:t>。</w:t>
      </w:r>
    </w:p>
    <w:p w14:paraId="05C297DF">
      <w:pPr>
        <w:pStyle w:val="5"/>
        <w:keepLines w:val="0"/>
        <w:numPr>
          <w:ilvl w:val="2"/>
          <w:numId w:val="0"/>
        </w:numPr>
        <w:tabs>
          <w:tab w:val="left" w:pos="567"/>
          <w:tab w:val="left" w:pos="709"/>
          <w:tab w:val="left" w:pos="993"/>
          <w:tab w:val="left" w:pos="6663"/>
        </w:tabs>
        <w:spacing w:before="0" w:after="0" w:line="360" w:lineRule="auto"/>
        <w:ind w:right="-105"/>
        <w:rPr>
          <w:rFonts w:eastAsia="宋体"/>
          <w:color w:val="auto"/>
          <w:sz w:val="28"/>
          <w:szCs w:val="28"/>
          <w:highlight w:val="none"/>
        </w:rPr>
      </w:pPr>
      <w:bookmarkStart w:id="410" w:name="_Toc60653576"/>
      <w:r>
        <w:rPr>
          <w:rFonts w:hint="eastAsia" w:eastAsia="宋体"/>
          <w:color w:val="auto"/>
          <w:sz w:val="28"/>
          <w:szCs w:val="28"/>
          <w:highlight w:val="none"/>
        </w:rPr>
        <w:t>6.6.1</w:t>
      </w:r>
      <w:bookmarkEnd w:id="410"/>
      <w:r>
        <w:rPr>
          <w:rFonts w:hint="eastAsia" w:eastAsia="宋体"/>
          <w:color w:val="auto"/>
          <w:sz w:val="28"/>
          <w:szCs w:val="28"/>
          <w:highlight w:val="none"/>
        </w:rPr>
        <w:t>一般工业固废环境影响分析</w:t>
      </w:r>
    </w:p>
    <w:p w14:paraId="71147A76">
      <w:pPr>
        <w:spacing w:line="360" w:lineRule="auto"/>
        <w:ind w:left="-105" w:right="-105" w:firstLine="480" w:firstLineChars="200"/>
        <w:jc w:val="both"/>
        <w:rPr>
          <w:rFonts w:ascii="Times New Roman" w:hAnsi="Times New Roman" w:cs="Times New Roman"/>
          <w:bCs/>
          <w:color w:val="auto"/>
          <w:szCs w:val="21"/>
          <w:highlight w:val="none"/>
        </w:rPr>
      </w:pPr>
      <w:r>
        <w:rPr>
          <w:rFonts w:ascii="Times New Roman" w:hAnsi="Times New Roman" w:cs="Times New Roman"/>
          <w:color w:val="auto"/>
          <w:szCs w:val="28"/>
          <w:highlight w:val="none"/>
          <w:lang w:val="zh-CN"/>
        </w:rPr>
        <w:t>根据工程分析，本项目一般工业固废主要为</w:t>
      </w:r>
      <w:r>
        <w:rPr>
          <w:rFonts w:hint="eastAsia" w:ascii="Times New Roman" w:hAnsi="Times New Roman"/>
          <w:color w:val="auto"/>
          <w:highlight w:val="none"/>
        </w:rPr>
        <w:t>废过滤介质、废活性炭（纯水制备）、废RO膜</w:t>
      </w:r>
      <w:r>
        <w:rPr>
          <w:rFonts w:ascii="Times New Roman" w:hAnsi="Times New Roman" w:cs="Times New Roman"/>
          <w:color w:val="auto"/>
          <w:szCs w:val="28"/>
          <w:highlight w:val="none"/>
          <w:lang w:val="zh-CN"/>
        </w:rPr>
        <w:t>等，</w:t>
      </w:r>
      <w:r>
        <w:rPr>
          <w:rFonts w:ascii="Times New Roman" w:hAnsi="Times New Roman" w:cs="Times New Roman"/>
          <w:bCs/>
          <w:color w:val="auto"/>
          <w:szCs w:val="21"/>
          <w:highlight w:val="none"/>
        </w:rPr>
        <w:t>贮存在一般固废仓库内。</w:t>
      </w:r>
    </w:p>
    <w:p w14:paraId="6B8BF793">
      <w:pPr>
        <w:spacing w:line="360" w:lineRule="auto"/>
        <w:ind w:left="-105" w:right="-105" w:firstLine="480" w:firstLineChars="200"/>
        <w:jc w:val="both"/>
        <w:rPr>
          <w:rFonts w:ascii="Times New Roman" w:hAnsi="Times New Roman"/>
          <w:color w:val="auto"/>
          <w:highlight w:val="none"/>
        </w:rPr>
      </w:pPr>
      <w:r>
        <w:rPr>
          <w:rFonts w:ascii="Times New Roman" w:hAnsi="Times New Roman" w:cs="Times New Roman"/>
          <w:color w:val="auto"/>
          <w:highlight w:val="none"/>
        </w:rPr>
        <w:t>企业设置一般工业固废暂存场所约</w:t>
      </w:r>
      <w:r>
        <w:rPr>
          <w:rFonts w:hint="eastAsia" w:ascii="Times New Roman" w:hAnsi="Times New Roman" w:cs="Times New Roman"/>
          <w:color w:val="auto"/>
          <w:highlight w:val="none"/>
        </w:rPr>
        <w:t>8</w:t>
      </w:r>
      <w:r>
        <w:rPr>
          <w:rFonts w:ascii="Times New Roman" w:hAnsi="Times New Roman" w:cs="Times New Roman"/>
          <w:color w:val="auto"/>
          <w:highlight w:val="none"/>
        </w:rPr>
        <w:t>m</w:t>
      </w:r>
      <w:r>
        <w:rPr>
          <w:rFonts w:ascii="Times New Roman" w:hAnsi="Times New Roman" w:cs="Times New Roman"/>
          <w:color w:val="auto"/>
          <w:highlight w:val="none"/>
          <w:vertAlign w:val="superscript"/>
        </w:rPr>
        <w:t>2</w:t>
      </w:r>
      <w:r>
        <w:rPr>
          <w:rFonts w:ascii="Times New Roman" w:hAnsi="Times New Roman" w:cs="Times New Roman"/>
          <w:color w:val="auto"/>
          <w:highlight w:val="none"/>
        </w:rPr>
        <w:t>，一般工业固废产生量约为</w:t>
      </w:r>
      <w:r>
        <w:rPr>
          <w:rFonts w:hint="eastAsia" w:ascii="Times New Roman" w:hAnsi="Times New Roman" w:cs="Times New Roman"/>
          <w:color w:val="auto"/>
          <w:szCs w:val="28"/>
          <w:highlight w:val="none"/>
        </w:rPr>
        <w:t>3.5</w:t>
      </w:r>
      <w:r>
        <w:rPr>
          <w:rFonts w:ascii="Times New Roman" w:hAnsi="Times New Roman" w:cs="Times New Roman"/>
          <w:color w:val="auto"/>
          <w:szCs w:val="28"/>
          <w:highlight w:val="none"/>
          <w:lang w:val="zh-CN"/>
        </w:rPr>
        <w:t>t/a</w:t>
      </w:r>
      <w:r>
        <w:rPr>
          <w:rFonts w:ascii="Times New Roman" w:hAnsi="Times New Roman" w:cs="Times New Roman"/>
          <w:color w:val="auto"/>
          <w:highlight w:val="none"/>
        </w:rPr>
        <w:t>。一般固废暂存期为</w:t>
      </w:r>
      <w:r>
        <w:rPr>
          <w:rFonts w:hint="eastAsia" w:ascii="Times New Roman" w:hAnsi="Times New Roman" w:cs="Times New Roman"/>
          <w:color w:val="auto"/>
          <w:highlight w:val="none"/>
        </w:rPr>
        <w:t>3~6个月</w:t>
      </w:r>
      <w:r>
        <w:rPr>
          <w:rFonts w:ascii="Times New Roman" w:hAnsi="Times New Roman" w:cs="Times New Roman"/>
          <w:color w:val="auto"/>
          <w:highlight w:val="none"/>
        </w:rPr>
        <w:t>，暂存量约</w:t>
      </w:r>
      <w:r>
        <w:rPr>
          <w:rFonts w:hint="eastAsia" w:ascii="Times New Roman" w:hAnsi="Times New Roman" w:cs="Times New Roman"/>
          <w:color w:val="auto"/>
          <w:highlight w:val="none"/>
        </w:rPr>
        <w:t>3.5</w:t>
      </w:r>
      <w:r>
        <w:rPr>
          <w:rFonts w:ascii="Times New Roman" w:hAnsi="Times New Roman" w:cs="Times New Roman"/>
          <w:color w:val="auto"/>
          <w:highlight w:val="none"/>
        </w:rPr>
        <w:t>t，综合密度按1t/m</w:t>
      </w:r>
      <w:r>
        <w:rPr>
          <w:rFonts w:ascii="Times New Roman" w:hAnsi="Times New Roman" w:cs="Times New Roman"/>
          <w:color w:val="auto"/>
          <w:highlight w:val="none"/>
          <w:vertAlign w:val="superscript"/>
        </w:rPr>
        <w:t>3</w:t>
      </w:r>
      <w:r>
        <w:rPr>
          <w:rFonts w:ascii="Times New Roman" w:hAnsi="Times New Roman" w:cs="Times New Roman"/>
          <w:color w:val="auto"/>
          <w:highlight w:val="none"/>
        </w:rPr>
        <w:t>，则所需储存体积约</w:t>
      </w:r>
      <w:r>
        <w:rPr>
          <w:rFonts w:hint="eastAsia" w:ascii="Times New Roman" w:hAnsi="Times New Roman" w:cs="Times New Roman"/>
          <w:color w:val="auto"/>
          <w:highlight w:val="none"/>
        </w:rPr>
        <w:t>3.5</w:t>
      </w:r>
      <w:r>
        <w:rPr>
          <w:rFonts w:ascii="Times New Roman" w:hAnsi="Times New Roman" w:cs="Times New Roman"/>
          <w:color w:val="auto"/>
          <w:highlight w:val="none"/>
        </w:rPr>
        <w:t>m</w:t>
      </w:r>
      <w:r>
        <w:rPr>
          <w:rFonts w:ascii="Times New Roman" w:hAnsi="Times New Roman" w:cs="Times New Roman"/>
          <w:color w:val="auto"/>
          <w:highlight w:val="none"/>
          <w:vertAlign w:val="superscript"/>
        </w:rPr>
        <w:t>3</w:t>
      </w:r>
      <w:r>
        <w:rPr>
          <w:rFonts w:ascii="Times New Roman" w:hAnsi="Times New Roman" w:cs="Times New Roman"/>
          <w:color w:val="auto"/>
          <w:highlight w:val="none"/>
        </w:rPr>
        <w:t>，堆放高度按1m计，则所需面积为</w:t>
      </w:r>
      <w:r>
        <w:rPr>
          <w:rFonts w:hint="eastAsia" w:ascii="Times New Roman" w:hAnsi="Times New Roman" w:cs="Times New Roman"/>
          <w:color w:val="auto"/>
          <w:highlight w:val="none"/>
        </w:rPr>
        <w:t>3.5</w:t>
      </w:r>
      <w:r>
        <w:rPr>
          <w:rFonts w:ascii="Times New Roman" w:hAnsi="Times New Roman" w:cs="Times New Roman"/>
          <w:color w:val="auto"/>
          <w:highlight w:val="none"/>
        </w:rPr>
        <w:t>m</w:t>
      </w:r>
      <w:r>
        <w:rPr>
          <w:rFonts w:ascii="Times New Roman" w:hAnsi="Times New Roman" w:cs="Times New Roman"/>
          <w:color w:val="auto"/>
          <w:highlight w:val="none"/>
          <w:vertAlign w:val="superscript"/>
        </w:rPr>
        <w:t>2</w:t>
      </w:r>
      <w:r>
        <w:rPr>
          <w:rFonts w:ascii="Times New Roman" w:hAnsi="Times New Roman" w:cs="Times New Roman"/>
          <w:color w:val="auto"/>
          <w:highlight w:val="none"/>
        </w:rPr>
        <w:t>，设置的</w:t>
      </w:r>
      <w:r>
        <w:rPr>
          <w:rFonts w:hint="eastAsia" w:ascii="Times New Roman" w:hAnsi="Times New Roman" w:cs="Times New Roman"/>
          <w:color w:val="auto"/>
          <w:highlight w:val="none"/>
        </w:rPr>
        <w:t>8</w:t>
      </w:r>
      <w:r>
        <w:rPr>
          <w:rFonts w:ascii="Times New Roman" w:hAnsi="Times New Roman" w:cs="Times New Roman"/>
          <w:color w:val="auto"/>
          <w:highlight w:val="none"/>
        </w:rPr>
        <w:t>m</w:t>
      </w:r>
      <w:r>
        <w:rPr>
          <w:rFonts w:ascii="Times New Roman" w:hAnsi="Times New Roman" w:cs="Times New Roman"/>
          <w:color w:val="auto"/>
          <w:highlight w:val="none"/>
          <w:vertAlign w:val="superscript"/>
        </w:rPr>
        <w:t>2</w:t>
      </w:r>
      <w:r>
        <w:rPr>
          <w:rFonts w:ascii="Times New Roman" w:hAnsi="Times New Roman" w:cs="Times New Roman"/>
          <w:color w:val="auto"/>
          <w:highlight w:val="none"/>
        </w:rPr>
        <w:t>一般工业固废暂存场所容量能满足暂存一般工业固废产生量需求。</w:t>
      </w:r>
      <w:r>
        <w:rPr>
          <w:rFonts w:ascii="Times New Roman" w:hAnsi="Times New Roman" w:cs="Times New Roman"/>
          <w:bCs/>
          <w:color w:val="auto"/>
          <w:highlight w:val="none"/>
        </w:rPr>
        <w:t>一般工业固废经分类收集后，定期委托物资回收单位利用。因此，本项目</w:t>
      </w:r>
      <w:r>
        <w:rPr>
          <w:rFonts w:ascii="Times New Roman" w:hAnsi="Times New Roman" w:cs="Times New Roman"/>
          <w:color w:val="auto"/>
          <w:highlight w:val="none"/>
        </w:rPr>
        <w:t>一般工业固废暂存场所的设置按照《一般工业固体废物贮存和填埋污染控制标准》（GB18599-2020）和《关于加强一般工业固体废物管理的通知》（锡环办[2021]138号）的</w:t>
      </w:r>
      <w:r>
        <w:rPr>
          <w:rFonts w:ascii="Times New Roman" w:hAnsi="Times New Roman" w:cs="Times New Roman"/>
          <w:color w:val="auto"/>
          <w:szCs w:val="28"/>
          <w:highlight w:val="none"/>
          <w:lang w:val="zh-CN"/>
        </w:rPr>
        <w:t>相关要求执行，对周围环境影响较小，无二次污染。</w:t>
      </w:r>
    </w:p>
    <w:p w14:paraId="347ADE1E">
      <w:pPr>
        <w:pStyle w:val="5"/>
        <w:keepLines w:val="0"/>
        <w:numPr>
          <w:ilvl w:val="2"/>
          <w:numId w:val="0"/>
        </w:numPr>
        <w:tabs>
          <w:tab w:val="left" w:pos="567"/>
          <w:tab w:val="left" w:pos="709"/>
          <w:tab w:val="left" w:pos="993"/>
          <w:tab w:val="left" w:pos="6663"/>
        </w:tabs>
        <w:spacing w:before="0" w:after="0" w:line="360" w:lineRule="auto"/>
        <w:ind w:right="-105"/>
        <w:rPr>
          <w:rFonts w:eastAsia="宋体"/>
          <w:color w:val="auto"/>
          <w:sz w:val="28"/>
          <w:szCs w:val="28"/>
          <w:highlight w:val="none"/>
        </w:rPr>
      </w:pPr>
      <w:bookmarkStart w:id="411" w:name="_Toc60653577"/>
      <w:r>
        <w:rPr>
          <w:rFonts w:hint="eastAsia" w:eastAsia="宋体"/>
          <w:color w:val="auto"/>
          <w:sz w:val="28"/>
          <w:szCs w:val="28"/>
          <w:highlight w:val="none"/>
        </w:rPr>
        <w:t>6.6.2</w:t>
      </w:r>
      <w:bookmarkEnd w:id="411"/>
      <w:r>
        <w:rPr>
          <w:rFonts w:hint="eastAsia" w:eastAsia="宋体"/>
          <w:color w:val="auto"/>
          <w:sz w:val="28"/>
          <w:szCs w:val="28"/>
          <w:highlight w:val="none"/>
        </w:rPr>
        <w:t>危险废物环境影响分析</w:t>
      </w:r>
    </w:p>
    <w:p w14:paraId="247B9422">
      <w:pPr>
        <w:pStyle w:val="6"/>
        <w:keepLines w:val="0"/>
        <w:widowControl/>
        <w:numPr>
          <w:ilvl w:val="3"/>
          <w:numId w:val="0"/>
        </w:numPr>
        <w:spacing w:before="120" w:beforeLines="50" w:after="120" w:afterLines="50" w:line="360" w:lineRule="auto"/>
        <w:ind w:right="-105"/>
        <w:rPr>
          <w:rFonts w:ascii="Times New Roman" w:hAnsi="Times New Roman"/>
          <w:color w:val="auto"/>
          <w:sz w:val="24"/>
          <w:szCs w:val="24"/>
          <w:highlight w:val="none"/>
        </w:rPr>
      </w:pPr>
      <w:r>
        <w:rPr>
          <w:rFonts w:hint="eastAsia" w:ascii="Times New Roman" w:hAnsi="Times New Roman"/>
          <w:color w:val="auto"/>
          <w:sz w:val="24"/>
          <w:szCs w:val="24"/>
          <w:highlight w:val="none"/>
        </w:rPr>
        <w:t>6.6.2.1</w:t>
      </w:r>
      <w:r>
        <w:rPr>
          <w:rFonts w:ascii="Times New Roman" w:hAnsi="Times New Roman"/>
          <w:color w:val="auto"/>
          <w:sz w:val="24"/>
          <w:szCs w:val="24"/>
          <w:highlight w:val="none"/>
        </w:rPr>
        <w:t>贮存场所（设施）环境影响分析</w:t>
      </w:r>
    </w:p>
    <w:p w14:paraId="205D2BF0">
      <w:pPr>
        <w:spacing w:line="360" w:lineRule="auto"/>
        <w:ind w:left="-105" w:right="-105" w:firstLine="480" w:firstLineChars="200"/>
        <w:rPr>
          <w:rFonts w:ascii="Times New Roman" w:hAnsi="Times New Roman" w:cs="Times New Roman"/>
          <w:color w:val="auto"/>
          <w:highlight w:val="none"/>
        </w:rPr>
      </w:pPr>
      <w:r>
        <w:rPr>
          <w:rFonts w:ascii="Times New Roman" w:hAnsi="Times New Roman" w:cs="Times New Roman"/>
          <w:bCs/>
          <w:color w:val="auto"/>
          <w:szCs w:val="21"/>
          <w:highlight w:val="none"/>
        </w:rPr>
        <w:t>本项目主要危险废物为</w:t>
      </w:r>
      <w:r>
        <w:rPr>
          <w:rFonts w:hint="eastAsia" w:ascii="Times New Roman" w:hAnsi="Times New Roman"/>
          <w:color w:val="auto"/>
          <w:highlight w:val="none"/>
        </w:rPr>
        <w:t>废滤芯、废实验耗材、废包装桶、废包装袋、废活性炭（废气处理）</w:t>
      </w:r>
      <w:r>
        <w:rPr>
          <w:rFonts w:ascii="Times New Roman" w:hAnsi="Times New Roman" w:cs="Times New Roman"/>
          <w:bCs/>
          <w:color w:val="auto"/>
          <w:szCs w:val="21"/>
          <w:highlight w:val="none"/>
        </w:rPr>
        <w:t>等，贮存在危废仓库内，</w:t>
      </w:r>
      <w:r>
        <w:rPr>
          <w:rFonts w:hint="eastAsia" w:ascii="Times New Roman" w:hAnsi="Times New Roman"/>
          <w:color w:val="auto"/>
          <w:highlight w:val="none"/>
        </w:rPr>
        <w:t>实验废液</w:t>
      </w:r>
      <w:r>
        <w:rPr>
          <w:rFonts w:ascii="Times New Roman" w:hAnsi="Times New Roman" w:cs="Times New Roman"/>
          <w:bCs/>
          <w:color w:val="auto"/>
          <w:szCs w:val="21"/>
          <w:highlight w:val="none"/>
        </w:rPr>
        <w:t>贮存在</w:t>
      </w:r>
      <w:r>
        <w:rPr>
          <w:rFonts w:hint="eastAsia" w:ascii="Times New Roman" w:hAnsi="Times New Roman" w:cs="Times New Roman"/>
          <w:bCs/>
          <w:color w:val="auto"/>
          <w:szCs w:val="21"/>
          <w:highlight w:val="none"/>
        </w:rPr>
        <w:t>废液储罐</w:t>
      </w:r>
      <w:r>
        <w:rPr>
          <w:rFonts w:ascii="Times New Roman" w:hAnsi="Times New Roman" w:cs="Times New Roman"/>
          <w:bCs/>
          <w:color w:val="auto"/>
          <w:szCs w:val="21"/>
          <w:highlight w:val="none"/>
        </w:rPr>
        <w:t>内。</w:t>
      </w:r>
      <w:r>
        <w:rPr>
          <w:rFonts w:ascii="Times New Roman" w:hAnsi="Times New Roman" w:cs="Times New Roman"/>
          <w:color w:val="auto"/>
          <w:highlight w:val="none"/>
        </w:rPr>
        <w:t>企业设置</w:t>
      </w:r>
      <w:r>
        <w:rPr>
          <w:rFonts w:hint="eastAsia" w:ascii="Times New Roman" w:hAnsi="Times New Roman" w:cs="Times New Roman"/>
          <w:color w:val="auto"/>
          <w:highlight w:val="none"/>
        </w:rPr>
        <w:t>危废贮存间</w:t>
      </w:r>
      <w:r>
        <w:rPr>
          <w:rFonts w:ascii="Times New Roman" w:hAnsi="Times New Roman" w:cs="Times New Roman"/>
          <w:color w:val="auto"/>
          <w:highlight w:val="none"/>
        </w:rPr>
        <w:t>约</w:t>
      </w:r>
      <w:r>
        <w:rPr>
          <w:rFonts w:hint="eastAsia" w:ascii="Times New Roman" w:hAnsi="Times New Roman" w:cs="Times New Roman"/>
          <w:color w:val="auto"/>
          <w:highlight w:val="none"/>
        </w:rPr>
        <w:t>50</w:t>
      </w:r>
      <w:r>
        <w:rPr>
          <w:rFonts w:ascii="Times New Roman" w:hAnsi="Times New Roman" w:cs="Times New Roman"/>
          <w:color w:val="auto"/>
          <w:highlight w:val="none"/>
        </w:rPr>
        <w:t>m</w:t>
      </w:r>
      <w:r>
        <w:rPr>
          <w:rFonts w:ascii="Times New Roman" w:hAnsi="Times New Roman" w:cs="Times New Roman"/>
          <w:color w:val="auto"/>
          <w:highlight w:val="none"/>
          <w:vertAlign w:val="superscript"/>
        </w:rPr>
        <w:t>2</w:t>
      </w:r>
      <w:r>
        <w:rPr>
          <w:rFonts w:ascii="Times New Roman" w:hAnsi="Times New Roman" w:cs="Times New Roman"/>
          <w:color w:val="auto"/>
          <w:highlight w:val="none"/>
        </w:rPr>
        <w:t>，危险废物产生量（除</w:t>
      </w:r>
      <w:r>
        <w:rPr>
          <w:rFonts w:hint="eastAsia" w:ascii="Times New Roman" w:hAnsi="Times New Roman"/>
          <w:color w:val="auto"/>
          <w:highlight w:val="none"/>
        </w:rPr>
        <w:t>实验废液</w:t>
      </w:r>
      <w:r>
        <w:rPr>
          <w:rFonts w:ascii="Times New Roman" w:hAnsi="Times New Roman" w:cs="Times New Roman"/>
          <w:color w:val="auto"/>
          <w:highlight w:val="none"/>
        </w:rPr>
        <w:t>外）约为</w:t>
      </w:r>
      <w:r>
        <w:rPr>
          <w:rFonts w:hint="eastAsia" w:ascii="Times New Roman" w:hAnsi="Times New Roman" w:cs="Times New Roman"/>
          <w:color w:val="auto"/>
          <w:highlight w:val="none"/>
        </w:rPr>
        <w:t>19.59</w:t>
      </w:r>
      <w:r>
        <w:rPr>
          <w:rFonts w:ascii="Times New Roman" w:hAnsi="Times New Roman" w:cs="Times New Roman"/>
          <w:color w:val="auto"/>
          <w:szCs w:val="28"/>
          <w:highlight w:val="none"/>
          <w:lang w:val="zh-CN"/>
        </w:rPr>
        <w:t>t/a，危险废物平均</w:t>
      </w:r>
      <w:r>
        <w:rPr>
          <w:rFonts w:ascii="Times New Roman" w:hAnsi="Times New Roman" w:cs="Times New Roman"/>
          <w:color w:val="auto"/>
          <w:highlight w:val="none"/>
        </w:rPr>
        <w:t>暂存期为1个月，暂存量约</w:t>
      </w:r>
      <w:r>
        <w:rPr>
          <w:rFonts w:hint="eastAsia" w:ascii="Times New Roman" w:hAnsi="Times New Roman" w:cs="Times New Roman"/>
          <w:color w:val="auto"/>
          <w:highlight w:val="none"/>
        </w:rPr>
        <w:t>20</w:t>
      </w:r>
      <w:r>
        <w:rPr>
          <w:rFonts w:ascii="Times New Roman" w:hAnsi="Times New Roman" w:cs="Times New Roman"/>
          <w:color w:val="auto"/>
          <w:highlight w:val="none"/>
        </w:rPr>
        <w:t>t，综合密度按1t/m</w:t>
      </w:r>
      <w:r>
        <w:rPr>
          <w:rFonts w:ascii="Times New Roman" w:hAnsi="Times New Roman" w:cs="Times New Roman"/>
          <w:color w:val="auto"/>
          <w:highlight w:val="none"/>
          <w:vertAlign w:val="superscript"/>
        </w:rPr>
        <w:t>3</w:t>
      </w:r>
      <w:r>
        <w:rPr>
          <w:rFonts w:ascii="Times New Roman" w:hAnsi="Times New Roman" w:cs="Times New Roman"/>
          <w:color w:val="auto"/>
          <w:highlight w:val="none"/>
        </w:rPr>
        <w:t>，则所需储存体积约</w:t>
      </w:r>
      <w:r>
        <w:rPr>
          <w:rFonts w:hint="eastAsia" w:ascii="Times New Roman" w:hAnsi="Times New Roman" w:cs="Times New Roman"/>
          <w:color w:val="auto"/>
          <w:highlight w:val="none"/>
        </w:rPr>
        <w:t>20</w:t>
      </w:r>
      <w:r>
        <w:rPr>
          <w:rFonts w:ascii="Times New Roman" w:hAnsi="Times New Roman" w:cs="Times New Roman"/>
          <w:color w:val="auto"/>
          <w:highlight w:val="none"/>
        </w:rPr>
        <w:t>m</w:t>
      </w:r>
      <w:r>
        <w:rPr>
          <w:rFonts w:ascii="Times New Roman" w:hAnsi="Times New Roman" w:cs="Times New Roman"/>
          <w:color w:val="auto"/>
          <w:highlight w:val="none"/>
          <w:vertAlign w:val="superscript"/>
        </w:rPr>
        <w:t>3</w:t>
      </w:r>
      <w:r>
        <w:rPr>
          <w:rFonts w:ascii="Times New Roman" w:hAnsi="Times New Roman" w:cs="Times New Roman"/>
          <w:color w:val="auto"/>
          <w:highlight w:val="none"/>
        </w:rPr>
        <w:t>，堆放高度按1m计，则所需面积为</w:t>
      </w:r>
      <w:r>
        <w:rPr>
          <w:rFonts w:hint="eastAsia" w:ascii="Times New Roman" w:hAnsi="Times New Roman" w:cs="Times New Roman"/>
          <w:color w:val="auto"/>
          <w:highlight w:val="none"/>
        </w:rPr>
        <w:t>20</w:t>
      </w:r>
      <w:r>
        <w:rPr>
          <w:rFonts w:ascii="Times New Roman" w:hAnsi="Times New Roman" w:cs="Times New Roman"/>
          <w:color w:val="auto"/>
          <w:highlight w:val="none"/>
        </w:rPr>
        <w:t>m</w:t>
      </w:r>
      <w:r>
        <w:rPr>
          <w:rFonts w:ascii="Times New Roman" w:hAnsi="Times New Roman" w:cs="Times New Roman"/>
          <w:color w:val="auto"/>
          <w:highlight w:val="none"/>
          <w:vertAlign w:val="superscript"/>
        </w:rPr>
        <w:t>2</w:t>
      </w:r>
      <w:r>
        <w:rPr>
          <w:rFonts w:ascii="Times New Roman" w:hAnsi="Times New Roman" w:cs="Times New Roman"/>
          <w:color w:val="auto"/>
          <w:highlight w:val="none"/>
        </w:rPr>
        <w:t>，设置的</w:t>
      </w:r>
      <w:r>
        <w:rPr>
          <w:rFonts w:hint="eastAsia" w:ascii="Times New Roman" w:hAnsi="Times New Roman" w:cs="Times New Roman"/>
          <w:color w:val="auto"/>
          <w:highlight w:val="none"/>
        </w:rPr>
        <w:t>50</w:t>
      </w:r>
      <w:r>
        <w:rPr>
          <w:rFonts w:ascii="Times New Roman" w:hAnsi="Times New Roman" w:cs="Times New Roman"/>
          <w:color w:val="auto"/>
          <w:highlight w:val="none"/>
        </w:rPr>
        <w:t>m</w:t>
      </w:r>
      <w:r>
        <w:rPr>
          <w:rFonts w:ascii="Times New Roman" w:hAnsi="Times New Roman" w:cs="Times New Roman"/>
          <w:color w:val="auto"/>
          <w:highlight w:val="none"/>
          <w:vertAlign w:val="superscript"/>
        </w:rPr>
        <w:t>2</w:t>
      </w:r>
      <w:r>
        <w:rPr>
          <w:rFonts w:ascii="Times New Roman" w:hAnsi="Times New Roman" w:cs="Times New Roman"/>
          <w:color w:val="auto"/>
          <w:highlight w:val="none"/>
        </w:rPr>
        <w:t>危险废物暂存场所容量能满足暂存危险废物产生量需求。</w:t>
      </w:r>
    </w:p>
    <w:p w14:paraId="2C47ABF2">
      <w:pPr>
        <w:spacing w:line="360" w:lineRule="auto"/>
        <w:ind w:left="-105" w:right="-105" w:firstLine="480" w:firstLineChars="200"/>
        <w:rPr>
          <w:rFonts w:ascii="Times New Roman" w:hAnsi="Times New Roman"/>
          <w:color w:val="auto"/>
          <w:highlight w:val="none"/>
        </w:rPr>
      </w:pPr>
      <w:r>
        <w:rPr>
          <w:rFonts w:hint="eastAsia" w:ascii="Times New Roman" w:hAnsi="Times New Roman" w:cs="Times New Roman"/>
          <w:color w:val="auto"/>
          <w:highlight w:val="none"/>
        </w:rPr>
        <w:t>本项目实验废液产生量为0.5t/a，现有项目设置有2个20m</w:t>
      </w:r>
      <w:r>
        <w:rPr>
          <w:rFonts w:hint="eastAsia" w:ascii="Times New Roman" w:hAnsi="Times New Roman" w:cs="Times New Roman"/>
          <w:color w:val="auto"/>
          <w:highlight w:val="none"/>
          <w:vertAlign w:val="superscript"/>
        </w:rPr>
        <w:t>3</w:t>
      </w:r>
      <w:r>
        <w:rPr>
          <w:rFonts w:hint="eastAsia" w:ascii="Times New Roman" w:hAnsi="Times New Roman" w:cs="Times New Roman"/>
          <w:color w:val="auto"/>
          <w:highlight w:val="none"/>
        </w:rPr>
        <w:t>和1个15m</w:t>
      </w:r>
      <w:r>
        <w:rPr>
          <w:rFonts w:hint="eastAsia" w:ascii="Times New Roman" w:hAnsi="Times New Roman" w:cs="Times New Roman"/>
          <w:color w:val="auto"/>
          <w:highlight w:val="none"/>
          <w:vertAlign w:val="superscript"/>
        </w:rPr>
        <w:t>3</w:t>
      </w:r>
      <w:r>
        <w:rPr>
          <w:rFonts w:hint="eastAsia" w:ascii="Times New Roman" w:hAnsi="Times New Roman" w:cs="Times New Roman"/>
          <w:color w:val="auto"/>
          <w:highlight w:val="none"/>
        </w:rPr>
        <w:t>废液收集储罐，</w:t>
      </w:r>
      <w:r>
        <w:rPr>
          <w:rFonts w:ascii="Times New Roman" w:hAnsi="Times New Roman" w:cs="Times New Roman"/>
          <w:color w:val="auto"/>
          <w:highlight w:val="none"/>
        </w:rPr>
        <w:t>能满足暂存危险废物产生量需求</w:t>
      </w:r>
      <w:r>
        <w:rPr>
          <w:rFonts w:ascii="Times New Roman" w:hAnsi="Times New Roman"/>
          <w:color w:val="auto"/>
          <w:highlight w:val="none"/>
        </w:rPr>
        <w:t>。</w:t>
      </w:r>
    </w:p>
    <w:p w14:paraId="579D680B">
      <w:pPr>
        <w:spacing w:line="360" w:lineRule="auto"/>
        <w:ind w:left="-105" w:right="-105" w:firstLine="480" w:firstLineChars="200"/>
        <w:rPr>
          <w:rFonts w:ascii="Times New Roman" w:hAnsi="Times New Roman"/>
          <w:color w:val="auto"/>
          <w:highlight w:val="none"/>
        </w:rPr>
      </w:pPr>
      <w:r>
        <w:rPr>
          <w:rFonts w:ascii="Times New Roman" w:hAnsi="Times New Roman" w:cs="Times New Roman"/>
          <w:bCs/>
          <w:color w:val="auto"/>
          <w:szCs w:val="21"/>
          <w:highlight w:val="none"/>
        </w:rPr>
        <w:t>各类危险废物</w:t>
      </w:r>
      <w:r>
        <w:rPr>
          <w:rFonts w:ascii="Times New Roman" w:hAnsi="Times New Roman" w:cs="Times New Roman"/>
          <w:color w:val="auto"/>
          <w:szCs w:val="21"/>
          <w:highlight w:val="none"/>
        </w:rPr>
        <w:t>可装于吨袋或</w:t>
      </w:r>
      <w:r>
        <w:rPr>
          <w:rFonts w:hint="eastAsia" w:ascii="Times New Roman" w:hAnsi="Times New Roman" w:cs="Times New Roman"/>
          <w:color w:val="auto"/>
          <w:szCs w:val="21"/>
          <w:highlight w:val="none"/>
        </w:rPr>
        <w:t>储罐</w:t>
      </w:r>
      <w:r>
        <w:rPr>
          <w:rFonts w:ascii="Times New Roman" w:hAnsi="Times New Roman" w:cs="Times New Roman"/>
          <w:color w:val="auto"/>
          <w:szCs w:val="21"/>
          <w:highlight w:val="none"/>
        </w:rPr>
        <w:t>中，</w:t>
      </w:r>
      <w:r>
        <w:rPr>
          <w:rFonts w:ascii="Times New Roman" w:hAnsi="Times New Roman" w:cs="Times New Roman"/>
          <w:bCs/>
          <w:color w:val="auto"/>
          <w:szCs w:val="21"/>
          <w:highlight w:val="none"/>
        </w:rPr>
        <w:t>危险废物的贮存满足《危险废物贮存污染控制标准》（GB18597-2023）相关要求。因此，危险废物贮存场所（设施）不会对区域大气、地表水、地下水、土壤以及环境敏感保护目标造成明显不利影响。</w:t>
      </w:r>
    </w:p>
    <w:p w14:paraId="353583D1">
      <w:pPr>
        <w:pStyle w:val="6"/>
        <w:keepLines w:val="0"/>
        <w:widowControl/>
        <w:numPr>
          <w:ilvl w:val="3"/>
          <w:numId w:val="0"/>
        </w:numPr>
        <w:spacing w:before="120" w:beforeLines="50" w:after="120" w:afterLines="50" w:line="360" w:lineRule="auto"/>
        <w:ind w:right="-105"/>
        <w:rPr>
          <w:rFonts w:ascii="Times New Roman" w:hAnsi="Times New Roman"/>
          <w:color w:val="auto"/>
          <w:sz w:val="24"/>
          <w:szCs w:val="24"/>
          <w:highlight w:val="none"/>
        </w:rPr>
      </w:pPr>
      <w:bookmarkStart w:id="412" w:name="_Toc60653578"/>
      <w:r>
        <w:rPr>
          <w:rFonts w:hint="eastAsia" w:ascii="Times New Roman" w:hAnsi="Times New Roman"/>
          <w:color w:val="auto"/>
          <w:sz w:val="24"/>
          <w:szCs w:val="24"/>
          <w:highlight w:val="none"/>
        </w:rPr>
        <w:t>6.6.</w:t>
      </w:r>
      <w:bookmarkEnd w:id="412"/>
      <w:r>
        <w:rPr>
          <w:rFonts w:hint="eastAsia" w:ascii="Times New Roman" w:hAnsi="Times New Roman"/>
          <w:color w:val="auto"/>
          <w:sz w:val="24"/>
          <w:szCs w:val="24"/>
          <w:highlight w:val="none"/>
        </w:rPr>
        <w:t>2.2运输过程环境影响分析</w:t>
      </w:r>
    </w:p>
    <w:p w14:paraId="6A1D3DD3">
      <w:pPr>
        <w:spacing w:line="360" w:lineRule="auto"/>
        <w:ind w:left="-105" w:right="-105" w:firstLine="480" w:firstLineChars="200"/>
        <w:jc w:val="both"/>
        <w:rPr>
          <w:rFonts w:ascii="Times New Roman" w:hAnsi="Times New Roman" w:cs="Times New Roman"/>
          <w:color w:val="auto"/>
          <w:highlight w:val="none"/>
        </w:rPr>
      </w:pPr>
      <w:r>
        <w:rPr>
          <w:rFonts w:ascii="Times New Roman" w:hAnsi="Times New Roman" w:cs="Times New Roman"/>
          <w:color w:val="auto"/>
          <w:highlight w:val="none"/>
        </w:rPr>
        <w:t>在固体废物外运处置过程中，根据与处置单位的协议约定，产生单位负责无泄漏包装并做好标识，提供产生危废的数量、种类、成分及含量等有效资料；处置单位落实有资质的运输单位进行运输，并负责运输过程中的安全、环保事宜，企业严格按照《危险废物收集贮存运输技术规范》（HJ2025-2012）、《危险废物转移联单管理办法》的要求进行管理，运输车辆装设有GPS定位系统，随时监控车辆的状况，运输时按照划定的运输路线进行运输。</w:t>
      </w:r>
      <w:r>
        <w:rPr>
          <w:rFonts w:ascii="Times New Roman" w:hAnsi="Times New Roman" w:cs="Times New Roman"/>
          <w:color w:val="auto"/>
          <w:highlight w:val="none"/>
        </w:rPr>
        <w:t>本项目危废采用有内村吨袋和密封桶装，</w:t>
      </w:r>
      <w:r>
        <w:rPr>
          <w:rFonts w:hint="eastAsia" w:ascii="Times New Roman" w:hAnsi="Times New Roman" w:cs="Times New Roman"/>
          <w:color w:val="auto"/>
          <w:highlight w:val="none"/>
          <w:lang w:val="en-US" w:eastAsia="zh-CN"/>
        </w:rPr>
        <w:t>储罐内的废液转输至密封吨桶后转移，</w:t>
      </w:r>
      <w:r>
        <w:rPr>
          <w:rFonts w:ascii="Times New Roman" w:hAnsi="Times New Roman" w:cs="Times New Roman"/>
          <w:color w:val="auto"/>
          <w:highlight w:val="none"/>
        </w:rPr>
        <w:t>可避免运输时的外溢而造成的沿途污染。</w:t>
      </w:r>
      <w:r>
        <w:rPr>
          <w:rFonts w:ascii="Times New Roman" w:hAnsi="Times New Roman" w:cs="Times New Roman"/>
          <w:color w:val="auto"/>
          <w:highlight w:val="none"/>
        </w:rPr>
        <w:t>因而项目在包装运输过程基本不会有泄漏和洒落，从而污染地下水、土壤、空气。</w:t>
      </w:r>
    </w:p>
    <w:p w14:paraId="16290D5C">
      <w:pPr>
        <w:pStyle w:val="6"/>
        <w:keepLines w:val="0"/>
        <w:widowControl/>
        <w:numPr>
          <w:ilvl w:val="3"/>
          <w:numId w:val="0"/>
        </w:numPr>
        <w:spacing w:before="120" w:beforeLines="50" w:after="120" w:afterLines="50" w:line="360" w:lineRule="auto"/>
        <w:ind w:right="-105"/>
        <w:rPr>
          <w:rFonts w:ascii="Times New Roman" w:hAnsi="Times New Roman"/>
          <w:color w:val="auto"/>
          <w:sz w:val="24"/>
          <w:szCs w:val="24"/>
          <w:highlight w:val="none"/>
        </w:rPr>
      </w:pPr>
      <w:r>
        <w:rPr>
          <w:rFonts w:hint="eastAsia" w:ascii="Times New Roman" w:hAnsi="Times New Roman"/>
          <w:color w:val="auto"/>
          <w:sz w:val="24"/>
          <w:szCs w:val="24"/>
          <w:highlight w:val="none"/>
        </w:rPr>
        <w:t>6.6.2.3委托处置的环境影响分析</w:t>
      </w:r>
    </w:p>
    <w:p w14:paraId="212B976D">
      <w:pPr>
        <w:spacing w:line="360" w:lineRule="auto"/>
        <w:ind w:left="-105" w:right="-105" w:firstLine="480" w:firstLineChars="200"/>
        <w:rPr>
          <w:rFonts w:ascii="Times New Roman" w:hAnsi="Times New Roman" w:cs="Times New Roman"/>
          <w:color w:val="auto"/>
          <w:highlight w:val="none"/>
        </w:rPr>
      </w:pPr>
      <w:r>
        <w:rPr>
          <w:rFonts w:ascii="Times New Roman" w:hAnsi="Times New Roman" w:cs="Times New Roman"/>
          <w:bCs/>
          <w:color w:val="auto"/>
          <w:highlight w:val="none"/>
        </w:rPr>
        <w:t>项目产生的危险固废可委托江苏省内有资质单位处置，本次评价列举以下有资质单位供选择，见下表。</w:t>
      </w:r>
    </w:p>
    <w:p w14:paraId="4B5CE464">
      <w:pPr>
        <w:pStyle w:val="15"/>
        <w:ind w:left="-105" w:right="-105" w:firstLine="482"/>
        <w:rPr>
          <w:rFonts w:eastAsia="宋体"/>
          <w:b w:val="0"/>
          <w:color w:val="auto"/>
          <w:sz w:val="24"/>
          <w:szCs w:val="24"/>
          <w:highlight w:val="none"/>
        </w:rPr>
      </w:pPr>
      <w:r>
        <w:rPr>
          <w:rFonts w:eastAsia="宋体"/>
          <w:color w:val="auto"/>
          <w:sz w:val="24"/>
          <w:szCs w:val="18"/>
          <w:highlight w:val="none"/>
        </w:rPr>
        <w:t>表</w:t>
      </w:r>
      <w:r>
        <w:rPr>
          <w:rFonts w:eastAsia="宋体"/>
          <w:color w:val="auto"/>
          <w:sz w:val="24"/>
          <w:szCs w:val="18"/>
          <w:highlight w:val="none"/>
        </w:rPr>
        <w:fldChar w:fldCharType="begin"/>
      </w:r>
      <w:r>
        <w:rPr>
          <w:rFonts w:eastAsia="宋体"/>
          <w:color w:val="auto"/>
          <w:sz w:val="24"/>
          <w:szCs w:val="18"/>
          <w:highlight w:val="none"/>
        </w:rPr>
        <w:instrText xml:space="preserve"> STYLEREF 2 \s </w:instrText>
      </w:r>
      <w:r>
        <w:rPr>
          <w:rFonts w:eastAsia="宋体"/>
          <w:color w:val="auto"/>
          <w:sz w:val="24"/>
          <w:szCs w:val="18"/>
          <w:highlight w:val="none"/>
        </w:rPr>
        <w:fldChar w:fldCharType="separate"/>
      </w:r>
      <w:r>
        <w:rPr>
          <w:rFonts w:eastAsia="宋体"/>
          <w:color w:val="auto"/>
          <w:sz w:val="24"/>
          <w:szCs w:val="18"/>
          <w:highlight w:val="none"/>
        </w:rPr>
        <w:t>6.6</w:t>
      </w:r>
      <w:r>
        <w:rPr>
          <w:rFonts w:eastAsia="宋体"/>
          <w:color w:val="auto"/>
          <w:sz w:val="24"/>
          <w:szCs w:val="18"/>
          <w:highlight w:val="none"/>
        </w:rPr>
        <w:fldChar w:fldCharType="end"/>
      </w:r>
      <w:r>
        <w:rPr>
          <w:rFonts w:eastAsia="宋体"/>
          <w:color w:val="auto"/>
          <w:sz w:val="24"/>
          <w:szCs w:val="18"/>
          <w:highlight w:val="none"/>
        </w:rPr>
        <w:noBreakHyphen/>
      </w:r>
      <w:r>
        <w:rPr>
          <w:rFonts w:eastAsia="宋体"/>
          <w:color w:val="auto"/>
          <w:sz w:val="24"/>
          <w:szCs w:val="18"/>
          <w:highlight w:val="none"/>
        </w:rPr>
        <w:fldChar w:fldCharType="begin"/>
      </w:r>
      <w:r>
        <w:rPr>
          <w:rFonts w:eastAsia="宋体"/>
          <w:color w:val="auto"/>
          <w:sz w:val="24"/>
          <w:szCs w:val="18"/>
          <w:highlight w:val="none"/>
        </w:rPr>
        <w:instrText xml:space="preserve"> SEQ 表 \* ARABIC \s 2 </w:instrText>
      </w:r>
      <w:r>
        <w:rPr>
          <w:rFonts w:eastAsia="宋体"/>
          <w:color w:val="auto"/>
          <w:sz w:val="24"/>
          <w:szCs w:val="18"/>
          <w:highlight w:val="none"/>
        </w:rPr>
        <w:fldChar w:fldCharType="separate"/>
      </w:r>
      <w:r>
        <w:rPr>
          <w:rFonts w:eastAsia="宋体"/>
          <w:color w:val="auto"/>
          <w:sz w:val="24"/>
          <w:szCs w:val="18"/>
          <w:highlight w:val="none"/>
        </w:rPr>
        <w:t>1</w:t>
      </w:r>
      <w:r>
        <w:rPr>
          <w:rFonts w:eastAsia="宋体"/>
          <w:color w:val="auto"/>
          <w:sz w:val="24"/>
          <w:szCs w:val="18"/>
          <w:highlight w:val="none"/>
        </w:rPr>
        <w:fldChar w:fldCharType="end"/>
      </w:r>
      <w:r>
        <w:rPr>
          <w:rFonts w:eastAsia="宋体"/>
          <w:bCs/>
          <w:color w:val="auto"/>
          <w:sz w:val="24"/>
          <w:szCs w:val="24"/>
          <w:highlight w:val="none"/>
        </w:rPr>
        <w:t>危险废物经营许可单位</w:t>
      </w:r>
    </w:p>
    <w:tbl>
      <w:tblPr>
        <w:tblStyle w:val="45"/>
        <w:tblW w:w="5000" w:type="pct"/>
        <w:jc w:val="center"/>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0" w:type="dxa"/>
          <w:bottom w:w="0" w:type="dxa"/>
          <w:right w:w="0" w:type="dxa"/>
        </w:tblCellMar>
      </w:tblPr>
      <w:tblGrid>
        <w:gridCol w:w="748"/>
        <w:gridCol w:w="504"/>
        <w:gridCol w:w="683"/>
        <w:gridCol w:w="543"/>
        <w:gridCol w:w="6056"/>
      </w:tblGrid>
      <w:tr w14:paraId="11C738D9">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439" w:hRule="atLeast"/>
          <w:tblHeader/>
          <w:jc w:val="center"/>
        </w:trPr>
        <w:tc>
          <w:tcPr>
            <w:tcW w:w="747" w:type="dxa"/>
            <w:tcMar>
              <w:top w:w="15" w:type="dxa"/>
              <w:left w:w="15" w:type="dxa"/>
              <w:right w:w="15" w:type="dxa"/>
            </w:tcMar>
            <w:vAlign w:val="center"/>
          </w:tcPr>
          <w:p w14:paraId="584196F5">
            <w:pPr>
              <w:keepNext w:val="0"/>
              <w:keepLines w:val="0"/>
              <w:pageBreakBefore w:val="0"/>
              <w:widowControl/>
              <w:kinsoku/>
              <w:wordWrap/>
              <w:overflowPunct/>
              <w:topLinePunct w:val="0"/>
              <w:autoSpaceDE/>
              <w:autoSpaceDN/>
              <w:bidi w:val="0"/>
              <w:adjustRightInd w:val="0"/>
              <w:snapToGrid w:val="0"/>
              <w:spacing w:line="288" w:lineRule="auto"/>
              <w:ind w:left="0" w:right="0"/>
              <w:jc w:val="center"/>
              <w:textAlignment w:val="center"/>
              <w:rPr>
                <w:rFonts w:ascii="Times New Roman" w:hAnsi="Times New Roman" w:cs="Times New Roman"/>
                <w:b/>
                <w:color w:val="auto"/>
                <w:sz w:val="21"/>
                <w:szCs w:val="21"/>
                <w:highlight w:val="none"/>
              </w:rPr>
            </w:pPr>
            <w:r>
              <w:rPr>
                <w:rFonts w:ascii="Times New Roman" w:hAnsi="Times New Roman" w:cs="Times New Roman"/>
                <w:b/>
                <w:color w:val="auto"/>
                <w:sz w:val="21"/>
                <w:szCs w:val="21"/>
                <w:highlight w:val="none"/>
                <w:lang w:bidi="ar"/>
              </w:rPr>
              <w:t>企业名称</w:t>
            </w:r>
          </w:p>
        </w:tc>
        <w:tc>
          <w:tcPr>
            <w:tcW w:w="504" w:type="dxa"/>
            <w:tcMar>
              <w:top w:w="15" w:type="dxa"/>
              <w:left w:w="15" w:type="dxa"/>
              <w:right w:w="15" w:type="dxa"/>
            </w:tcMar>
            <w:vAlign w:val="center"/>
          </w:tcPr>
          <w:p w14:paraId="7BBA1748">
            <w:pPr>
              <w:keepNext w:val="0"/>
              <w:keepLines w:val="0"/>
              <w:pageBreakBefore w:val="0"/>
              <w:widowControl/>
              <w:kinsoku/>
              <w:wordWrap/>
              <w:overflowPunct/>
              <w:topLinePunct w:val="0"/>
              <w:autoSpaceDE/>
              <w:autoSpaceDN/>
              <w:bidi w:val="0"/>
              <w:adjustRightInd w:val="0"/>
              <w:snapToGrid w:val="0"/>
              <w:spacing w:line="288" w:lineRule="auto"/>
              <w:ind w:left="0" w:right="0"/>
              <w:jc w:val="center"/>
              <w:textAlignment w:val="center"/>
              <w:rPr>
                <w:rFonts w:ascii="Times New Roman" w:hAnsi="Times New Roman" w:cs="Times New Roman"/>
                <w:b/>
                <w:color w:val="auto"/>
                <w:sz w:val="21"/>
                <w:szCs w:val="21"/>
                <w:highlight w:val="none"/>
              </w:rPr>
            </w:pPr>
            <w:r>
              <w:rPr>
                <w:rFonts w:ascii="Times New Roman" w:hAnsi="Times New Roman" w:cs="Times New Roman"/>
                <w:b/>
                <w:color w:val="auto"/>
                <w:sz w:val="21"/>
                <w:szCs w:val="21"/>
                <w:highlight w:val="none"/>
                <w:lang w:bidi="ar"/>
              </w:rPr>
              <w:t>地址</w:t>
            </w:r>
          </w:p>
        </w:tc>
        <w:tc>
          <w:tcPr>
            <w:tcW w:w="683" w:type="dxa"/>
            <w:tcMar>
              <w:top w:w="15" w:type="dxa"/>
              <w:left w:w="15" w:type="dxa"/>
              <w:right w:w="15" w:type="dxa"/>
            </w:tcMar>
            <w:vAlign w:val="center"/>
          </w:tcPr>
          <w:p w14:paraId="5E03156B">
            <w:pPr>
              <w:keepNext w:val="0"/>
              <w:keepLines w:val="0"/>
              <w:pageBreakBefore w:val="0"/>
              <w:widowControl/>
              <w:kinsoku/>
              <w:wordWrap/>
              <w:overflowPunct/>
              <w:topLinePunct w:val="0"/>
              <w:autoSpaceDE/>
              <w:autoSpaceDN/>
              <w:bidi w:val="0"/>
              <w:adjustRightInd w:val="0"/>
              <w:snapToGrid w:val="0"/>
              <w:spacing w:line="288" w:lineRule="auto"/>
              <w:ind w:left="0" w:right="0"/>
              <w:jc w:val="center"/>
              <w:textAlignment w:val="center"/>
              <w:rPr>
                <w:rFonts w:ascii="Times New Roman" w:hAnsi="Times New Roman" w:cs="Times New Roman"/>
                <w:b/>
                <w:color w:val="auto"/>
                <w:sz w:val="21"/>
                <w:szCs w:val="21"/>
                <w:highlight w:val="none"/>
              </w:rPr>
            </w:pPr>
            <w:r>
              <w:rPr>
                <w:rFonts w:ascii="Times New Roman" w:hAnsi="Times New Roman" w:cs="Times New Roman"/>
                <w:b/>
                <w:color w:val="auto"/>
                <w:sz w:val="21"/>
                <w:szCs w:val="21"/>
                <w:highlight w:val="none"/>
                <w:lang w:bidi="ar"/>
              </w:rPr>
              <w:t>许可证编号</w:t>
            </w:r>
          </w:p>
        </w:tc>
        <w:tc>
          <w:tcPr>
            <w:tcW w:w="543" w:type="dxa"/>
            <w:tcMar>
              <w:top w:w="15" w:type="dxa"/>
              <w:left w:w="15" w:type="dxa"/>
              <w:right w:w="15" w:type="dxa"/>
            </w:tcMar>
            <w:vAlign w:val="center"/>
          </w:tcPr>
          <w:p w14:paraId="3BE1C060">
            <w:pPr>
              <w:keepNext w:val="0"/>
              <w:keepLines w:val="0"/>
              <w:pageBreakBefore w:val="0"/>
              <w:widowControl/>
              <w:kinsoku/>
              <w:wordWrap/>
              <w:overflowPunct/>
              <w:topLinePunct w:val="0"/>
              <w:autoSpaceDE/>
              <w:autoSpaceDN/>
              <w:bidi w:val="0"/>
              <w:adjustRightInd w:val="0"/>
              <w:snapToGrid w:val="0"/>
              <w:spacing w:line="288" w:lineRule="auto"/>
              <w:ind w:left="0" w:right="0"/>
              <w:jc w:val="center"/>
              <w:textAlignment w:val="center"/>
              <w:rPr>
                <w:rFonts w:ascii="Times New Roman" w:hAnsi="Times New Roman" w:cs="Times New Roman"/>
                <w:b/>
                <w:color w:val="auto"/>
                <w:sz w:val="21"/>
                <w:szCs w:val="21"/>
                <w:highlight w:val="none"/>
              </w:rPr>
            </w:pPr>
            <w:r>
              <w:rPr>
                <w:rFonts w:ascii="Times New Roman" w:hAnsi="Times New Roman" w:cs="Times New Roman"/>
                <w:b/>
                <w:color w:val="auto"/>
                <w:sz w:val="21"/>
                <w:szCs w:val="21"/>
                <w:highlight w:val="none"/>
                <w:lang w:bidi="ar"/>
              </w:rPr>
              <w:t>经营方式</w:t>
            </w:r>
          </w:p>
        </w:tc>
        <w:tc>
          <w:tcPr>
            <w:tcW w:w="6057" w:type="dxa"/>
            <w:tcMar>
              <w:top w:w="15" w:type="dxa"/>
              <w:left w:w="15" w:type="dxa"/>
              <w:right w:w="15" w:type="dxa"/>
            </w:tcMar>
            <w:vAlign w:val="center"/>
          </w:tcPr>
          <w:p w14:paraId="01B99F95">
            <w:pPr>
              <w:keepNext w:val="0"/>
              <w:keepLines w:val="0"/>
              <w:pageBreakBefore w:val="0"/>
              <w:widowControl/>
              <w:kinsoku/>
              <w:wordWrap/>
              <w:overflowPunct/>
              <w:topLinePunct w:val="0"/>
              <w:autoSpaceDE/>
              <w:autoSpaceDN/>
              <w:bidi w:val="0"/>
              <w:adjustRightInd w:val="0"/>
              <w:snapToGrid w:val="0"/>
              <w:spacing w:line="288" w:lineRule="auto"/>
              <w:ind w:left="0" w:right="0"/>
              <w:jc w:val="center"/>
              <w:textAlignment w:val="center"/>
              <w:rPr>
                <w:rFonts w:ascii="Times New Roman" w:hAnsi="Times New Roman" w:cs="Times New Roman"/>
                <w:b/>
                <w:color w:val="auto"/>
                <w:sz w:val="21"/>
                <w:szCs w:val="21"/>
                <w:highlight w:val="none"/>
              </w:rPr>
            </w:pPr>
            <w:r>
              <w:rPr>
                <w:rFonts w:ascii="Times New Roman" w:hAnsi="Times New Roman" w:cs="Times New Roman"/>
                <w:b/>
                <w:color w:val="auto"/>
                <w:sz w:val="21"/>
                <w:szCs w:val="21"/>
                <w:highlight w:val="none"/>
                <w:lang w:bidi="ar"/>
              </w:rPr>
              <w:t>许可证内容</w:t>
            </w:r>
          </w:p>
        </w:tc>
      </w:tr>
      <w:tr w14:paraId="653544A6">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747" w:type="dxa"/>
            <w:vMerge w:val="restart"/>
            <w:tcMar>
              <w:top w:w="15" w:type="dxa"/>
              <w:left w:w="15" w:type="dxa"/>
              <w:right w:w="15" w:type="dxa"/>
            </w:tcMar>
            <w:vAlign w:val="center"/>
          </w:tcPr>
          <w:p w14:paraId="675EEF86">
            <w:pPr>
              <w:keepNext w:val="0"/>
              <w:keepLines w:val="0"/>
              <w:pageBreakBefore w:val="0"/>
              <w:widowControl/>
              <w:kinsoku/>
              <w:wordWrap/>
              <w:overflowPunct/>
              <w:topLinePunct w:val="0"/>
              <w:autoSpaceDE/>
              <w:autoSpaceDN/>
              <w:bidi w:val="0"/>
              <w:adjustRightInd w:val="0"/>
              <w:snapToGrid w:val="0"/>
              <w:spacing w:line="288" w:lineRule="auto"/>
              <w:ind w:left="0" w:right="0"/>
              <w:jc w:val="center"/>
              <w:textAlignment w:val="center"/>
              <w:rPr>
                <w:rFonts w:ascii="Times New Roman" w:hAnsi="Times New Roman" w:cs="Times New Roman"/>
                <w:bCs/>
                <w:color w:val="auto"/>
                <w:sz w:val="21"/>
                <w:szCs w:val="21"/>
                <w:highlight w:val="none"/>
              </w:rPr>
            </w:pPr>
            <w:r>
              <w:rPr>
                <w:rFonts w:ascii="Times New Roman" w:hAnsi="Times New Roman" w:cs="Times New Roman"/>
                <w:bCs/>
                <w:color w:val="auto"/>
                <w:sz w:val="21"/>
                <w:szCs w:val="21"/>
                <w:highlight w:val="none"/>
                <w:lang w:bidi="ar"/>
              </w:rPr>
              <w:t>无锡市工业废物安全处置有限公司</w:t>
            </w:r>
          </w:p>
        </w:tc>
        <w:tc>
          <w:tcPr>
            <w:tcW w:w="504" w:type="dxa"/>
            <w:vMerge w:val="restart"/>
            <w:tcMar>
              <w:top w:w="15" w:type="dxa"/>
              <w:left w:w="15" w:type="dxa"/>
              <w:right w:w="15" w:type="dxa"/>
            </w:tcMar>
            <w:vAlign w:val="center"/>
          </w:tcPr>
          <w:p w14:paraId="77E8D394">
            <w:pPr>
              <w:keepNext w:val="0"/>
              <w:keepLines w:val="0"/>
              <w:pageBreakBefore w:val="0"/>
              <w:widowControl/>
              <w:kinsoku/>
              <w:wordWrap/>
              <w:overflowPunct/>
              <w:topLinePunct w:val="0"/>
              <w:autoSpaceDE/>
              <w:autoSpaceDN/>
              <w:bidi w:val="0"/>
              <w:adjustRightInd w:val="0"/>
              <w:snapToGrid w:val="0"/>
              <w:spacing w:line="288" w:lineRule="auto"/>
              <w:ind w:left="0" w:right="0"/>
              <w:jc w:val="center"/>
              <w:textAlignment w:val="center"/>
              <w:rPr>
                <w:rFonts w:ascii="Times New Roman" w:hAnsi="Times New Roman" w:cs="Times New Roman"/>
                <w:bCs/>
                <w:color w:val="auto"/>
                <w:sz w:val="21"/>
                <w:szCs w:val="21"/>
                <w:highlight w:val="none"/>
              </w:rPr>
            </w:pPr>
            <w:r>
              <w:rPr>
                <w:rFonts w:ascii="Times New Roman" w:hAnsi="Times New Roman" w:cs="Times New Roman"/>
                <w:bCs/>
                <w:color w:val="auto"/>
                <w:sz w:val="21"/>
                <w:szCs w:val="21"/>
                <w:highlight w:val="none"/>
                <w:lang w:bidi="ar"/>
              </w:rPr>
              <w:t>无锡市滨湖区荣巷街道青龙山村（桃花山）</w:t>
            </w:r>
          </w:p>
        </w:tc>
        <w:tc>
          <w:tcPr>
            <w:tcW w:w="683" w:type="dxa"/>
            <w:tcMar>
              <w:top w:w="15" w:type="dxa"/>
              <w:left w:w="15" w:type="dxa"/>
              <w:right w:w="15" w:type="dxa"/>
            </w:tcMar>
            <w:vAlign w:val="center"/>
          </w:tcPr>
          <w:p w14:paraId="51DA4C03">
            <w:pPr>
              <w:keepNext w:val="0"/>
              <w:keepLines w:val="0"/>
              <w:pageBreakBefore w:val="0"/>
              <w:widowControl/>
              <w:kinsoku/>
              <w:wordWrap/>
              <w:overflowPunct/>
              <w:topLinePunct w:val="0"/>
              <w:autoSpaceDE/>
              <w:autoSpaceDN/>
              <w:bidi w:val="0"/>
              <w:adjustRightInd w:val="0"/>
              <w:snapToGrid w:val="0"/>
              <w:spacing w:line="288" w:lineRule="auto"/>
              <w:ind w:left="0" w:right="0"/>
              <w:jc w:val="center"/>
              <w:textAlignment w:val="center"/>
              <w:rPr>
                <w:rFonts w:ascii="Times New Roman" w:hAnsi="Times New Roman" w:cs="Times New Roman"/>
                <w:bCs/>
                <w:color w:val="auto"/>
                <w:sz w:val="21"/>
                <w:szCs w:val="21"/>
                <w:highlight w:val="none"/>
              </w:rPr>
            </w:pPr>
            <w:r>
              <w:rPr>
                <w:rFonts w:ascii="Times New Roman" w:hAnsi="Times New Roman" w:cs="Times New Roman"/>
                <w:bCs/>
                <w:color w:val="auto"/>
                <w:sz w:val="21"/>
                <w:szCs w:val="21"/>
                <w:highlight w:val="none"/>
                <w:lang w:bidi="ar"/>
              </w:rPr>
              <w:t>JSWX0200OOD032</w:t>
            </w:r>
          </w:p>
        </w:tc>
        <w:tc>
          <w:tcPr>
            <w:tcW w:w="543" w:type="dxa"/>
            <w:tcMar>
              <w:top w:w="15" w:type="dxa"/>
              <w:left w:w="15" w:type="dxa"/>
              <w:right w:w="15" w:type="dxa"/>
            </w:tcMar>
            <w:vAlign w:val="center"/>
          </w:tcPr>
          <w:p w14:paraId="483BD29C">
            <w:pPr>
              <w:keepNext w:val="0"/>
              <w:keepLines w:val="0"/>
              <w:pageBreakBefore w:val="0"/>
              <w:widowControl/>
              <w:kinsoku/>
              <w:wordWrap/>
              <w:overflowPunct/>
              <w:topLinePunct w:val="0"/>
              <w:autoSpaceDE/>
              <w:autoSpaceDN/>
              <w:bidi w:val="0"/>
              <w:adjustRightInd w:val="0"/>
              <w:snapToGrid w:val="0"/>
              <w:spacing w:line="288" w:lineRule="auto"/>
              <w:ind w:left="0" w:right="0"/>
              <w:jc w:val="center"/>
              <w:textAlignment w:val="center"/>
              <w:rPr>
                <w:rFonts w:ascii="Times New Roman" w:hAnsi="Times New Roman" w:cs="Times New Roman"/>
                <w:bCs/>
                <w:color w:val="auto"/>
                <w:sz w:val="21"/>
                <w:szCs w:val="21"/>
                <w:highlight w:val="none"/>
              </w:rPr>
            </w:pPr>
            <w:r>
              <w:rPr>
                <w:rFonts w:ascii="Times New Roman" w:hAnsi="Times New Roman" w:cs="Times New Roman"/>
                <w:bCs/>
                <w:color w:val="auto"/>
                <w:sz w:val="21"/>
                <w:szCs w:val="21"/>
                <w:highlight w:val="none"/>
                <w:lang w:bidi="ar"/>
              </w:rPr>
              <w:t>利用</w:t>
            </w:r>
          </w:p>
        </w:tc>
        <w:tc>
          <w:tcPr>
            <w:tcW w:w="6057" w:type="dxa"/>
            <w:tcMar>
              <w:top w:w="15" w:type="dxa"/>
              <w:left w:w="15" w:type="dxa"/>
              <w:right w:w="15" w:type="dxa"/>
            </w:tcMar>
            <w:vAlign w:val="center"/>
          </w:tcPr>
          <w:p w14:paraId="15DCAC49">
            <w:pPr>
              <w:keepNext w:val="0"/>
              <w:keepLines w:val="0"/>
              <w:pageBreakBefore w:val="0"/>
              <w:widowControl/>
              <w:kinsoku/>
              <w:wordWrap/>
              <w:overflowPunct/>
              <w:topLinePunct w:val="0"/>
              <w:autoSpaceDE/>
              <w:autoSpaceDN/>
              <w:bidi w:val="0"/>
              <w:adjustRightInd w:val="0"/>
              <w:snapToGrid w:val="0"/>
              <w:spacing w:line="288" w:lineRule="auto"/>
              <w:ind w:left="0" w:right="0"/>
              <w:textAlignment w:val="center"/>
              <w:rPr>
                <w:rFonts w:ascii="Times New Roman" w:hAnsi="Times New Roman" w:cs="Times New Roman"/>
                <w:bCs/>
                <w:color w:val="auto"/>
                <w:sz w:val="21"/>
                <w:szCs w:val="21"/>
                <w:highlight w:val="none"/>
              </w:rPr>
            </w:pPr>
            <w:r>
              <w:rPr>
                <w:rFonts w:ascii="Times New Roman" w:hAnsi="Times New Roman" w:cs="Times New Roman"/>
                <w:bCs/>
                <w:color w:val="auto"/>
                <w:sz w:val="21"/>
                <w:szCs w:val="21"/>
                <w:highlight w:val="none"/>
                <w:lang w:bidi="ar"/>
              </w:rPr>
              <w:t>HW06废有机溶剂与含有机溶剂废物，HW45含有机卤化物废物合计:15000吨/年</w:t>
            </w:r>
          </w:p>
        </w:tc>
      </w:tr>
      <w:tr w14:paraId="0BD34CDA">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747" w:type="dxa"/>
            <w:vMerge w:val="continue"/>
            <w:tcMar>
              <w:top w:w="15" w:type="dxa"/>
              <w:left w:w="15" w:type="dxa"/>
              <w:right w:w="15" w:type="dxa"/>
            </w:tcMar>
            <w:vAlign w:val="center"/>
          </w:tcPr>
          <w:p w14:paraId="3348A340">
            <w:pPr>
              <w:keepNext w:val="0"/>
              <w:keepLines w:val="0"/>
              <w:pageBreakBefore w:val="0"/>
              <w:widowControl/>
              <w:kinsoku/>
              <w:wordWrap/>
              <w:overflowPunct/>
              <w:topLinePunct w:val="0"/>
              <w:autoSpaceDE/>
              <w:autoSpaceDN/>
              <w:bidi w:val="0"/>
              <w:adjustRightInd w:val="0"/>
              <w:snapToGrid w:val="0"/>
              <w:spacing w:line="288" w:lineRule="auto"/>
              <w:ind w:left="0" w:right="0"/>
              <w:jc w:val="center"/>
              <w:rPr>
                <w:rFonts w:ascii="Times New Roman" w:hAnsi="Times New Roman" w:cs="Times New Roman"/>
                <w:bCs/>
                <w:color w:val="auto"/>
                <w:sz w:val="21"/>
                <w:szCs w:val="21"/>
                <w:highlight w:val="none"/>
              </w:rPr>
            </w:pPr>
          </w:p>
        </w:tc>
        <w:tc>
          <w:tcPr>
            <w:tcW w:w="504" w:type="dxa"/>
            <w:vMerge w:val="continue"/>
            <w:tcMar>
              <w:top w:w="15" w:type="dxa"/>
              <w:left w:w="15" w:type="dxa"/>
              <w:right w:w="15" w:type="dxa"/>
            </w:tcMar>
            <w:vAlign w:val="center"/>
          </w:tcPr>
          <w:p w14:paraId="11A8D557">
            <w:pPr>
              <w:keepNext w:val="0"/>
              <w:keepLines w:val="0"/>
              <w:pageBreakBefore w:val="0"/>
              <w:widowControl/>
              <w:kinsoku/>
              <w:wordWrap/>
              <w:overflowPunct/>
              <w:topLinePunct w:val="0"/>
              <w:autoSpaceDE/>
              <w:autoSpaceDN/>
              <w:bidi w:val="0"/>
              <w:adjustRightInd w:val="0"/>
              <w:snapToGrid w:val="0"/>
              <w:spacing w:line="288" w:lineRule="auto"/>
              <w:ind w:left="0" w:right="0"/>
              <w:jc w:val="center"/>
              <w:rPr>
                <w:rFonts w:ascii="Times New Roman" w:hAnsi="Times New Roman" w:cs="Times New Roman"/>
                <w:bCs/>
                <w:color w:val="auto"/>
                <w:sz w:val="21"/>
                <w:szCs w:val="21"/>
                <w:highlight w:val="none"/>
              </w:rPr>
            </w:pPr>
          </w:p>
        </w:tc>
        <w:tc>
          <w:tcPr>
            <w:tcW w:w="683" w:type="dxa"/>
            <w:tcMar>
              <w:top w:w="15" w:type="dxa"/>
              <w:left w:w="15" w:type="dxa"/>
              <w:right w:w="15" w:type="dxa"/>
            </w:tcMar>
            <w:vAlign w:val="center"/>
          </w:tcPr>
          <w:p w14:paraId="54B01F46">
            <w:pPr>
              <w:keepNext w:val="0"/>
              <w:keepLines w:val="0"/>
              <w:pageBreakBefore w:val="0"/>
              <w:widowControl/>
              <w:kinsoku/>
              <w:wordWrap/>
              <w:overflowPunct/>
              <w:topLinePunct w:val="0"/>
              <w:autoSpaceDE/>
              <w:autoSpaceDN/>
              <w:bidi w:val="0"/>
              <w:adjustRightInd w:val="0"/>
              <w:snapToGrid w:val="0"/>
              <w:spacing w:line="288" w:lineRule="auto"/>
              <w:ind w:left="0" w:right="0"/>
              <w:jc w:val="center"/>
              <w:textAlignment w:val="center"/>
              <w:rPr>
                <w:rFonts w:ascii="Times New Roman" w:hAnsi="Times New Roman" w:cs="Times New Roman"/>
                <w:bCs/>
                <w:color w:val="auto"/>
                <w:sz w:val="21"/>
                <w:szCs w:val="21"/>
                <w:highlight w:val="none"/>
              </w:rPr>
            </w:pPr>
            <w:r>
              <w:rPr>
                <w:rFonts w:ascii="Times New Roman" w:hAnsi="Times New Roman" w:cs="Times New Roman"/>
                <w:bCs/>
                <w:color w:val="auto"/>
                <w:sz w:val="21"/>
                <w:szCs w:val="21"/>
                <w:highlight w:val="none"/>
                <w:lang w:bidi="ar"/>
              </w:rPr>
              <w:t>JS0200OOI032-13</w:t>
            </w:r>
          </w:p>
        </w:tc>
        <w:tc>
          <w:tcPr>
            <w:tcW w:w="543" w:type="dxa"/>
            <w:tcMar>
              <w:top w:w="15" w:type="dxa"/>
              <w:left w:w="15" w:type="dxa"/>
              <w:right w:w="15" w:type="dxa"/>
            </w:tcMar>
            <w:vAlign w:val="center"/>
          </w:tcPr>
          <w:p w14:paraId="47F77303">
            <w:pPr>
              <w:keepNext w:val="0"/>
              <w:keepLines w:val="0"/>
              <w:pageBreakBefore w:val="0"/>
              <w:widowControl/>
              <w:kinsoku/>
              <w:wordWrap/>
              <w:overflowPunct/>
              <w:topLinePunct w:val="0"/>
              <w:autoSpaceDE/>
              <w:autoSpaceDN/>
              <w:bidi w:val="0"/>
              <w:adjustRightInd w:val="0"/>
              <w:snapToGrid w:val="0"/>
              <w:spacing w:line="288" w:lineRule="auto"/>
              <w:ind w:left="0" w:right="0"/>
              <w:jc w:val="center"/>
              <w:textAlignment w:val="center"/>
              <w:rPr>
                <w:rFonts w:ascii="Times New Roman" w:hAnsi="Times New Roman" w:cs="Times New Roman"/>
                <w:bCs/>
                <w:color w:val="auto"/>
                <w:sz w:val="21"/>
                <w:szCs w:val="21"/>
                <w:highlight w:val="none"/>
              </w:rPr>
            </w:pPr>
            <w:r>
              <w:rPr>
                <w:rFonts w:ascii="Times New Roman" w:hAnsi="Times New Roman" w:cs="Times New Roman"/>
                <w:bCs/>
                <w:color w:val="auto"/>
                <w:sz w:val="21"/>
                <w:szCs w:val="21"/>
                <w:highlight w:val="none"/>
                <w:lang w:bidi="ar"/>
              </w:rPr>
              <w:t>处置</w:t>
            </w:r>
          </w:p>
        </w:tc>
        <w:tc>
          <w:tcPr>
            <w:tcW w:w="6057" w:type="dxa"/>
            <w:tcMar>
              <w:top w:w="15" w:type="dxa"/>
              <w:left w:w="15" w:type="dxa"/>
              <w:right w:w="15" w:type="dxa"/>
            </w:tcMar>
            <w:vAlign w:val="center"/>
          </w:tcPr>
          <w:p w14:paraId="1FD883D4">
            <w:pPr>
              <w:keepNext w:val="0"/>
              <w:keepLines w:val="0"/>
              <w:pageBreakBefore w:val="0"/>
              <w:widowControl/>
              <w:kinsoku/>
              <w:wordWrap/>
              <w:overflowPunct/>
              <w:topLinePunct w:val="0"/>
              <w:autoSpaceDE/>
              <w:autoSpaceDN/>
              <w:bidi w:val="0"/>
              <w:adjustRightInd w:val="0"/>
              <w:snapToGrid w:val="0"/>
              <w:spacing w:line="288" w:lineRule="auto"/>
              <w:ind w:left="0" w:right="0"/>
              <w:textAlignment w:val="center"/>
              <w:rPr>
                <w:rFonts w:ascii="Times New Roman" w:hAnsi="Times New Roman" w:cs="Times New Roman"/>
                <w:bCs/>
                <w:color w:val="auto"/>
                <w:sz w:val="21"/>
                <w:szCs w:val="21"/>
                <w:highlight w:val="none"/>
              </w:rPr>
            </w:pPr>
            <w:r>
              <w:rPr>
                <w:rFonts w:ascii="Times New Roman" w:hAnsi="Times New Roman" w:cs="Times New Roman"/>
                <w:bCs/>
                <w:color w:val="auto"/>
                <w:sz w:val="21"/>
                <w:szCs w:val="21"/>
                <w:highlight w:val="none"/>
                <w:lang w:bidi="ar"/>
              </w:rPr>
              <w:t>HW02医药废物，HW03废药物、药品，HW04农药废物，HW05木材防腐剂废物，HW06废有机溶剂与含有机溶剂废物，HW08废矿物油与含矿物油废物，HW09油/水、烃/水混合物或乳化液，HW11精（蒸）馏残渣，HW12染料、涂料废物，HW13有机树脂类废物，HW16感光材料废物，HW19含金属羰基化合物废物，HW37有机磷化合物废物，HW38有机氰化物废物，HW39含酚废物，HW40含醚废物，HW45含有机卤化物废物，HW49其他废物900-039-49，HW49其他废物900-041-49，HW49其他废物900-047-49，HW50废催化剂261-151-50，HW50废催化剂261-183-50，HW50废催化剂263-013-50，HW50废催化剂275-009-50，HW50废催化剂276-006-50合计:23000吨/年</w:t>
            </w:r>
          </w:p>
        </w:tc>
      </w:tr>
      <w:tr w14:paraId="48FD6D2D">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747" w:type="dxa"/>
            <w:tcMar>
              <w:top w:w="15" w:type="dxa"/>
              <w:left w:w="15" w:type="dxa"/>
              <w:right w:w="15" w:type="dxa"/>
            </w:tcMar>
            <w:vAlign w:val="center"/>
          </w:tcPr>
          <w:p w14:paraId="730E3A02">
            <w:pPr>
              <w:keepNext w:val="0"/>
              <w:keepLines w:val="0"/>
              <w:pageBreakBefore w:val="0"/>
              <w:widowControl/>
              <w:kinsoku/>
              <w:wordWrap/>
              <w:overflowPunct/>
              <w:topLinePunct w:val="0"/>
              <w:autoSpaceDE/>
              <w:autoSpaceDN/>
              <w:bidi w:val="0"/>
              <w:adjustRightInd w:val="0"/>
              <w:snapToGrid w:val="0"/>
              <w:spacing w:line="288" w:lineRule="auto"/>
              <w:ind w:left="0" w:right="0"/>
              <w:jc w:val="center"/>
              <w:rPr>
                <w:rFonts w:ascii="Times New Roman" w:hAnsi="Times New Roman" w:cs="Times New Roman"/>
                <w:bCs/>
                <w:color w:val="auto"/>
                <w:sz w:val="21"/>
                <w:szCs w:val="21"/>
                <w:highlight w:val="none"/>
              </w:rPr>
            </w:pPr>
            <w:r>
              <w:rPr>
                <w:rFonts w:hint="eastAsia"/>
                <w:color w:val="auto"/>
                <w:sz w:val="21"/>
                <w:szCs w:val="21"/>
                <w:highlight w:val="none"/>
                <w:shd w:val="clear" w:color="auto" w:fill="FFFFFF"/>
              </w:rPr>
              <w:t>合田再生资源无锡有限公司</w:t>
            </w:r>
          </w:p>
        </w:tc>
        <w:tc>
          <w:tcPr>
            <w:tcW w:w="504" w:type="dxa"/>
            <w:tcMar>
              <w:top w:w="15" w:type="dxa"/>
              <w:left w:w="15" w:type="dxa"/>
              <w:right w:w="15" w:type="dxa"/>
            </w:tcMar>
            <w:vAlign w:val="center"/>
          </w:tcPr>
          <w:p w14:paraId="6A881A02">
            <w:pPr>
              <w:keepNext w:val="0"/>
              <w:keepLines w:val="0"/>
              <w:pageBreakBefore w:val="0"/>
              <w:widowControl/>
              <w:kinsoku/>
              <w:wordWrap/>
              <w:overflowPunct/>
              <w:topLinePunct w:val="0"/>
              <w:autoSpaceDE/>
              <w:autoSpaceDN/>
              <w:bidi w:val="0"/>
              <w:adjustRightInd w:val="0"/>
              <w:snapToGrid w:val="0"/>
              <w:spacing w:line="288" w:lineRule="auto"/>
              <w:ind w:left="0" w:right="0"/>
              <w:jc w:val="center"/>
              <w:rPr>
                <w:rFonts w:ascii="Times New Roman" w:hAnsi="Times New Roman" w:cs="Times New Roman"/>
                <w:bCs/>
                <w:color w:val="auto"/>
                <w:sz w:val="21"/>
                <w:szCs w:val="21"/>
                <w:highlight w:val="none"/>
              </w:rPr>
            </w:pPr>
            <w:r>
              <w:rPr>
                <w:rFonts w:ascii="Times New Roman" w:hAnsi="Times New Roman" w:cs="Times New Roman"/>
                <w:color w:val="auto"/>
                <w:sz w:val="21"/>
                <w:szCs w:val="21"/>
                <w:highlight w:val="none"/>
                <w:shd w:val="clear" w:color="auto" w:fill="FFFFFF"/>
              </w:rPr>
              <w:t>无锡市新吴区梅村新泰路43号</w:t>
            </w:r>
          </w:p>
        </w:tc>
        <w:tc>
          <w:tcPr>
            <w:tcW w:w="683" w:type="dxa"/>
            <w:tcMar>
              <w:top w:w="15" w:type="dxa"/>
              <w:left w:w="15" w:type="dxa"/>
              <w:right w:w="15" w:type="dxa"/>
            </w:tcMar>
            <w:vAlign w:val="center"/>
          </w:tcPr>
          <w:p w14:paraId="75B0CA8F">
            <w:pPr>
              <w:keepNext w:val="0"/>
              <w:keepLines w:val="0"/>
              <w:pageBreakBefore w:val="0"/>
              <w:widowControl/>
              <w:kinsoku/>
              <w:wordWrap/>
              <w:overflowPunct/>
              <w:topLinePunct w:val="0"/>
              <w:autoSpaceDE/>
              <w:autoSpaceDN/>
              <w:bidi w:val="0"/>
              <w:adjustRightInd w:val="0"/>
              <w:snapToGrid w:val="0"/>
              <w:spacing w:line="288" w:lineRule="auto"/>
              <w:ind w:left="0" w:right="0"/>
              <w:jc w:val="center"/>
              <w:textAlignment w:val="center"/>
              <w:rPr>
                <w:rFonts w:ascii="Times New Roman" w:hAnsi="Times New Roman" w:cs="Times New Roman"/>
                <w:bCs/>
                <w:color w:val="auto"/>
                <w:sz w:val="21"/>
                <w:szCs w:val="21"/>
                <w:highlight w:val="none"/>
                <w:lang w:bidi="ar"/>
              </w:rPr>
            </w:pPr>
            <w:r>
              <w:rPr>
                <w:rFonts w:ascii="Times New Roman" w:hAnsi="Times New Roman" w:cs="Times New Roman"/>
                <w:color w:val="auto"/>
                <w:sz w:val="21"/>
                <w:szCs w:val="21"/>
                <w:highlight w:val="none"/>
                <w:shd w:val="clear" w:color="auto" w:fill="FFFFFF"/>
              </w:rPr>
              <w:t>JSWX0214OOD017-4</w:t>
            </w:r>
          </w:p>
        </w:tc>
        <w:tc>
          <w:tcPr>
            <w:tcW w:w="543" w:type="dxa"/>
            <w:tcMar>
              <w:top w:w="15" w:type="dxa"/>
              <w:left w:w="15" w:type="dxa"/>
              <w:right w:w="15" w:type="dxa"/>
            </w:tcMar>
            <w:vAlign w:val="center"/>
          </w:tcPr>
          <w:p w14:paraId="1C5A0685">
            <w:pPr>
              <w:keepNext w:val="0"/>
              <w:keepLines w:val="0"/>
              <w:pageBreakBefore w:val="0"/>
              <w:widowControl/>
              <w:kinsoku/>
              <w:wordWrap/>
              <w:overflowPunct/>
              <w:topLinePunct w:val="0"/>
              <w:autoSpaceDE/>
              <w:autoSpaceDN/>
              <w:bidi w:val="0"/>
              <w:adjustRightInd w:val="0"/>
              <w:snapToGrid w:val="0"/>
              <w:spacing w:line="288" w:lineRule="auto"/>
              <w:ind w:left="0" w:right="0"/>
              <w:jc w:val="center"/>
              <w:textAlignment w:val="center"/>
              <w:rPr>
                <w:rFonts w:ascii="Times New Roman" w:hAnsi="Times New Roman" w:cs="Times New Roman"/>
                <w:bCs/>
                <w:color w:val="auto"/>
                <w:sz w:val="21"/>
                <w:szCs w:val="21"/>
                <w:highlight w:val="none"/>
                <w:lang w:bidi="ar"/>
              </w:rPr>
            </w:pPr>
            <w:r>
              <w:rPr>
                <w:rFonts w:ascii="Times New Roman" w:hAnsi="Times New Roman" w:cs="Times New Roman"/>
                <w:bCs/>
                <w:color w:val="auto"/>
                <w:sz w:val="21"/>
                <w:szCs w:val="21"/>
                <w:highlight w:val="none"/>
                <w:lang w:bidi="ar"/>
              </w:rPr>
              <w:t>处置</w:t>
            </w:r>
          </w:p>
        </w:tc>
        <w:tc>
          <w:tcPr>
            <w:tcW w:w="6057" w:type="dxa"/>
            <w:tcMar>
              <w:top w:w="15" w:type="dxa"/>
              <w:left w:w="15" w:type="dxa"/>
              <w:right w:w="15" w:type="dxa"/>
            </w:tcMar>
            <w:vAlign w:val="center"/>
          </w:tcPr>
          <w:p w14:paraId="4B7CEF20">
            <w:pPr>
              <w:keepNext w:val="0"/>
              <w:keepLines w:val="0"/>
              <w:pageBreakBefore w:val="0"/>
              <w:widowControl/>
              <w:kinsoku/>
              <w:wordWrap/>
              <w:overflowPunct/>
              <w:topLinePunct w:val="0"/>
              <w:autoSpaceDE/>
              <w:autoSpaceDN/>
              <w:bidi w:val="0"/>
              <w:adjustRightInd w:val="0"/>
              <w:snapToGrid w:val="0"/>
              <w:spacing w:line="288" w:lineRule="auto"/>
              <w:ind w:left="0" w:right="0"/>
              <w:textAlignment w:val="center"/>
              <w:rPr>
                <w:rFonts w:ascii="Times New Roman" w:hAnsi="Times New Roman" w:cs="Times New Roman"/>
                <w:bCs/>
                <w:color w:val="auto"/>
                <w:sz w:val="21"/>
                <w:szCs w:val="21"/>
                <w:highlight w:val="none"/>
                <w:lang w:bidi="ar"/>
              </w:rPr>
            </w:pPr>
            <w:r>
              <w:rPr>
                <w:rFonts w:ascii="Times New Roman" w:hAnsi="Times New Roman" w:cs="Times New Roman"/>
                <w:color w:val="auto"/>
                <w:sz w:val="21"/>
                <w:szCs w:val="21"/>
                <w:highlight w:val="none"/>
                <w:shd w:val="clear" w:color="auto" w:fill="FFFFFF"/>
              </w:rPr>
              <w:t>清洗废包装桶HW49（900-041-49）、HW08（900-249-08），其中清洗IBC吨桶0.5万只/年、200L金属桶4万只、200L塑料桶3.5万只、200L以下塑料桶20万只（400吨/年），破碎清洗200L以下金属桶30万只960吨/年）；处置废线路板HW49（00-045-49）3300吨/年</w:t>
            </w:r>
          </w:p>
        </w:tc>
      </w:tr>
      <w:tr w14:paraId="75AE1709">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747" w:type="dxa"/>
            <w:tcMar>
              <w:top w:w="15" w:type="dxa"/>
              <w:left w:w="15" w:type="dxa"/>
              <w:right w:w="15" w:type="dxa"/>
            </w:tcMar>
            <w:vAlign w:val="center"/>
          </w:tcPr>
          <w:p w14:paraId="36456B0F">
            <w:pPr>
              <w:keepNext w:val="0"/>
              <w:keepLines w:val="0"/>
              <w:pageBreakBefore w:val="0"/>
              <w:widowControl/>
              <w:kinsoku/>
              <w:wordWrap/>
              <w:overflowPunct/>
              <w:topLinePunct w:val="0"/>
              <w:autoSpaceDE/>
              <w:autoSpaceDN/>
              <w:bidi w:val="0"/>
              <w:adjustRightInd w:val="0"/>
              <w:snapToGrid w:val="0"/>
              <w:spacing w:line="288" w:lineRule="auto"/>
              <w:ind w:left="0" w:right="0"/>
              <w:jc w:val="center"/>
              <w:rPr>
                <w:rFonts w:ascii="Times New Roman" w:hAnsi="Times New Roman" w:cs="Times New Roman"/>
                <w:bCs/>
                <w:color w:val="auto"/>
                <w:sz w:val="21"/>
                <w:szCs w:val="21"/>
                <w:highlight w:val="none"/>
              </w:rPr>
            </w:pPr>
            <w:r>
              <w:rPr>
                <w:rFonts w:hint="eastAsia" w:ascii="Times New Roman" w:hAnsi="Times New Roman" w:cs="Times New Roman"/>
                <w:bCs/>
                <w:color w:val="auto"/>
                <w:sz w:val="21"/>
                <w:szCs w:val="21"/>
                <w:highlight w:val="none"/>
              </w:rPr>
              <w:t>无锡能之汇环保科技有限公司</w:t>
            </w:r>
          </w:p>
        </w:tc>
        <w:tc>
          <w:tcPr>
            <w:tcW w:w="504" w:type="dxa"/>
            <w:tcMar>
              <w:top w:w="15" w:type="dxa"/>
              <w:left w:w="15" w:type="dxa"/>
              <w:right w:w="15" w:type="dxa"/>
            </w:tcMar>
            <w:vAlign w:val="center"/>
          </w:tcPr>
          <w:p w14:paraId="7F38FAA4">
            <w:pPr>
              <w:keepNext w:val="0"/>
              <w:keepLines w:val="0"/>
              <w:pageBreakBefore w:val="0"/>
              <w:widowControl/>
              <w:kinsoku/>
              <w:wordWrap/>
              <w:overflowPunct/>
              <w:topLinePunct w:val="0"/>
              <w:autoSpaceDE/>
              <w:autoSpaceDN/>
              <w:bidi w:val="0"/>
              <w:adjustRightInd w:val="0"/>
              <w:snapToGrid w:val="0"/>
              <w:spacing w:line="288" w:lineRule="auto"/>
              <w:ind w:left="0" w:right="0"/>
              <w:jc w:val="center"/>
              <w:rPr>
                <w:rFonts w:ascii="Times New Roman" w:hAnsi="Times New Roman" w:cs="Times New Roman"/>
                <w:bCs/>
                <w:color w:val="auto"/>
                <w:sz w:val="21"/>
                <w:szCs w:val="21"/>
                <w:highlight w:val="none"/>
              </w:rPr>
            </w:pPr>
            <w:r>
              <w:rPr>
                <w:rFonts w:hint="eastAsia" w:ascii="Times New Roman" w:hAnsi="Times New Roman" w:cs="Times New Roman"/>
                <w:bCs/>
                <w:color w:val="auto"/>
                <w:sz w:val="21"/>
                <w:szCs w:val="21"/>
                <w:highlight w:val="none"/>
              </w:rPr>
              <w:t>无锡市新吴区锡协路136号</w:t>
            </w:r>
          </w:p>
        </w:tc>
        <w:tc>
          <w:tcPr>
            <w:tcW w:w="683" w:type="dxa"/>
            <w:tcMar>
              <w:top w:w="15" w:type="dxa"/>
              <w:left w:w="15" w:type="dxa"/>
              <w:right w:w="15" w:type="dxa"/>
            </w:tcMar>
            <w:vAlign w:val="center"/>
          </w:tcPr>
          <w:p w14:paraId="1999FB21">
            <w:pPr>
              <w:keepNext w:val="0"/>
              <w:keepLines w:val="0"/>
              <w:pageBreakBefore w:val="0"/>
              <w:widowControl/>
              <w:kinsoku/>
              <w:wordWrap/>
              <w:overflowPunct/>
              <w:topLinePunct w:val="0"/>
              <w:autoSpaceDE/>
              <w:autoSpaceDN/>
              <w:bidi w:val="0"/>
              <w:adjustRightInd w:val="0"/>
              <w:snapToGrid w:val="0"/>
              <w:spacing w:line="288" w:lineRule="auto"/>
              <w:ind w:left="0" w:right="0"/>
              <w:jc w:val="center"/>
              <w:textAlignment w:val="center"/>
              <w:rPr>
                <w:rFonts w:ascii="Times New Roman" w:hAnsi="Times New Roman" w:cs="Times New Roman"/>
                <w:bCs/>
                <w:color w:val="auto"/>
                <w:sz w:val="21"/>
                <w:szCs w:val="21"/>
                <w:highlight w:val="none"/>
                <w:lang w:bidi="ar"/>
              </w:rPr>
            </w:pPr>
            <w:r>
              <w:rPr>
                <w:rFonts w:hint="eastAsia" w:ascii="Times New Roman" w:hAnsi="Times New Roman" w:cs="Times New Roman"/>
                <w:bCs/>
                <w:color w:val="auto"/>
                <w:sz w:val="21"/>
                <w:szCs w:val="21"/>
                <w:highlight w:val="none"/>
                <w:lang w:bidi="ar"/>
              </w:rPr>
              <w:t>JSWXXW0214OOI003-4</w:t>
            </w:r>
          </w:p>
        </w:tc>
        <w:tc>
          <w:tcPr>
            <w:tcW w:w="543" w:type="dxa"/>
            <w:tcMar>
              <w:top w:w="15" w:type="dxa"/>
              <w:left w:w="15" w:type="dxa"/>
              <w:right w:w="15" w:type="dxa"/>
            </w:tcMar>
            <w:vAlign w:val="center"/>
          </w:tcPr>
          <w:p w14:paraId="37310BD0">
            <w:pPr>
              <w:keepNext w:val="0"/>
              <w:keepLines w:val="0"/>
              <w:pageBreakBefore w:val="0"/>
              <w:widowControl/>
              <w:kinsoku/>
              <w:wordWrap/>
              <w:overflowPunct/>
              <w:topLinePunct w:val="0"/>
              <w:autoSpaceDE/>
              <w:autoSpaceDN/>
              <w:bidi w:val="0"/>
              <w:adjustRightInd w:val="0"/>
              <w:snapToGrid w:val="0"/>
              <w:spacing w:line="288" w:lineRule="auto"/>
              <w:ind w:left="0" w:right="0"/>
              <w:jc w:val="center"/>
              <w:textAlignment w:val="center"/>
              <w:rPr>
                <w:rFonts w:ascii="Times New Roman" w:hAnsi="Times New Roman" w:cs="Times New Roman"/>
                <w:bCs/>
                <w:color w:val="auto"/>
                <w:sz w:val="21"/>
                <w:szCs w:val="21"/>
                <w:highlight w:val="none"/>
                <w:lang w:bidi="ar"/>
              </w:rPr>
            </w:pPr>
            <w:r>
              <w:rPr>
                <w:rFonts w:hint="eastAsia"/>
                <w:color w:val="auto"/>
                <w:sz w:val="21"/>
                <w:szCs w:val="21"/>
                <w:highlight w:val="none"/>
                <w:shd w:val="clear" w:color="auto" w:fill="FFFFFF"/>
              </w:rPr>
              <w:t>处置</w:t>
            </w:r>
          </w:p>
        </w:tc>
        <w:tc>
          <w:tcPr>
            <w:tcW w:w="6057" w:type="dxa"/>
            <w:tcMar>
              <w:top w:w="15" w:type="dxa"/>
              <w:left w:w="15" w:type="dxa"/>
              <w:right w:w="15" w:type="dxa"/>
            </w:tcMar>
            <w:vAlign w:val="center"/>
          </w:tcPr>
          <w:p w14:paraId="731366ED">
            <w:pPr>
              <w:keepNext w:val="0"/>
              <w:keepLines w:val="0"/>
              <w:pageBreakBefore w:val="0"/>
              <w:widowControl/>
              <w:kinsoku/>
              <w:wordWrap/>
              <w:overflowPunct/>
              <w:topLinePunct w:val="0"/>
              <w:autoSpaceDE/>
              <w:autoSpaceDN/>
              <w:bidi w:val="0"/>
              <w:adjustRightInd w:val="0"/>
              <w:snapToGrid w:val="0"/>
              <w:spacing w:line="288" w:lineRule="auto"/>
              <w:ind w:left="0" w:right="0"/>
              <w:textAlignment w:val="center"/>
              <w:rPr>
                <w:rFonts w:ascii="Times New Roman" w:hAnsi="Times New Roman" w:cs="Times New Roman"/>
                <w:bCs/>
                <w:color w:val="auto"/>
                <w:sz w:val="21"/>
                <w:szCs w:val="21"/>
                <w:highlight w:val="none"/>
                <w:lang w:bidi="ar"/>
              </w:rPr>
            </w:pPr>
            <w:r>
              <w:rPr>
                <w:rFonts w:ascii="Times New Roman" w:hAnsi="Times New Roman" w:cs="Times New Roman"/>
                <w:color w:val="auto"/>
                <w:sz w:val="21"/>
                <w:szCs w:val="21"/>
                <w:highlight w:val="none"/>
                <w:shd w:val="clear" w:color="auto" w:fill="FFFFFF"/>
              </w:rPr>
              <w:t>医药废物（HW02）、废药物药品（HW03）、农药废物（HW04）、废有机溶剂与含有机溶剂废物（HW06）、废矿物油与含矿物油废物（HW08）、油/水、烃/水混合物或乳化液（HW09）、精（蒸）馏残渣（HW11）、染料、涂料废物（HW12）、有机树脂类废物（HW13）、感光材料废物（HW16）、表面处理废物（不含废槽液）（HW17，336-051-17、336-052-17、335-054-17、336-055-17、336-056-17、336-058-17、336-061-17、336-062-17、336-063-17、336-064-17、336-066-17）、含金属羰基化合物废物（HW19）、有机磷化合物废物（HW37）、含酚废物（HW39）、含醚废物（HW40）、含有机卤化物废物（HW45）、其他废物（HW49）、废催化剂（HW50，251-016-50、251-018-50、251-019-50、261-151-50、261-152-50、261-153-50、261-154-50、261-155-50、261-156-50、261-158-50、261-160-50、261-161-50、261-162-50、261-163-50、261-164-50、261-165-50、261-166-50、261-167-50、261-168-50、261-169-50、261-170-50、261-171-50、261-172-50、261-173-50、261-174-50、261-175-50、261-176-50、261-177-50、261-178-50、261-179-50、263-013-50、275-009-50、276-006-50、900-048-50），合计19800吨/年</w:t>
            </w:r>
          </w:p>
        </w:tc>
      </w:tr>
    </w:tbl>
    <w:p w14:paraId="6EC4F08A">
      <w:pPr>
        <w:spacing w:line="360" w:lineRule="auto"/>
        <w:ind w:left="-105" w:right="-105" w:firstLine="480" w:firstLineChars="200"/>
        <w:rPr>
          <w:rFonts w:ascii="Times New Roman" w:hAnsi="Times New Roman" w:cs="Times New Roman"/>
          <w:color w:val="auto"/>
          <w:highlight w:val="none"/>
        </w:rPr>
      </w:pPr>
      <w:r>
        <w:rPr>
          <w:rFonts w:ascii="Times New Roman" w:hAnsi="Times New Roman" w:cs="Times New Roman"/>
          <w:color w:val="auto"/>
          <w:highlight w:val="none"/>
        </w:rPr>
        <w:t>本项目产生的各类危险废物均在以上处置单位核准经营范围内，目前有余量、有能力处理本项目产生的危险固废。</w:t>
      </w:r>
    </w:p>
    <w:p w14:paraId="3A388806">
      <w:pPr>
        <w:pStyle w:val="6"/>
        <w:keepLines w:val="0"/>
        <w:widowControl/>
        <w:numPr>
          <w:ilvl w:val="0"/>
          <w:numId w:val="0"/>
        </w:numPr>
        <w:tabs>
          <w:tab w:val="left" w:pos="0"/>
          <w:tab w:val="left" w:pos="2550"/>
        </w:tabs>
        <w:spacing w:before="50" w:after="50" w:line="360" w:lineRule="auto"/>
        <w:ind w:right="-105"/>
        <w:rPr>
          <w:rFonts w:ascii="Times New Roman" w:hAnsi="Times New Roman"/>
          <w:color w:val="auto"/>
          <w:sz w:val="24"/>
          <w:szCs w:val="24"/>
          <w:highlight w:val="none"/>
        </w:rPr>
      </w:pPr>
      <w:r>
        <w:rPr>
          <w:rFonts w:hint="eastAsia" w:ascii="Times New Roman" w:hAnsi="Times New Roman"/>
          <w:color w:val="auto"/>
          <w:sz w:val="24"/>
          <w:szCs w:val="24"/>
          <w:highlight w:val="none"/>
        </w:rPr>
        <w:t>6.6.2.4</w:t>
      </w:r>
      <w:r>
        <w:rPr>
          <w:rFonts w:ascii="Times New Roman" w:hAnsi="Times New Roman"/>
          <w:color w:val="auto"/>
          <w:sz w:val="24"/>
          <w:szCs w:val="24"/>
          <w:highlight w:val="none"/>
        </w:rPr>
        <w:t>环境风险影响分析</w:t>
      </w:r>
    </w:p>
    <w:p w14:paraId="1D878AD4">
      <w:pPr>
        <w:spacing w:line="360" w:lineRule="auto"/>
        <w:ind w:left="-105" w:right="-105" w:firstLine="504" w:firstLineChars="200"/>
        <w:rPr>
          <w:rFonts w:ascii="Times New Roman" w:hAnsi="Times New Roman" w:cs="Times New Roman"/>
          <w:color w:val="auto"/>
          <w:highlight w:val="none"/>
        </w:rPr>
      </w:pPr>
      <w:r>
        <w:rPr>
          <w:rFonts w:ascii="Times New Roman" w:hAnsi="Times New Roman" w:cs="Times New Roman"/>
          <w:color w:val="auto"/>
          <w:spacing w:val="6"/>
          <w:highlight w:val="none"/>
        </w:rPr>
        <w:t>本项目的危险废物包括：</w:t>
      </w:r>
      <w:r>
        <w:rPr>
          <w:rFonts w:hint="eastAsia" w:ascii="Times New Roman" w:hAnsi="Times New Roman"/>
          <w:color w:val="auto"/>
          <w:highlight w:val="none"/>
        </w:rPr>
        <w:t>废滤芯（HW49）、</w:t>
      </w:r>
      <w:r>
        <w:rPr>
          <w:rFonts w:hint="eastAsia" w:ascii="Times New Roman" w:hAnsi="Times New Roman"/>
          <w:color w:val="auto"/>
          <w:highlight w:val="none"/>
          <w:lang w:val="en-US" w:eastAsia="zh-CN"/>
        </w:rPr>
        <w:t>实验废液（HW49）、</w:t>
      </w:r>
      <w:r>
        <w:rPr>
          <w:rFonts w:hint="eastAsia" w:ascii="Times New Roman" w:hAnsi="Times New Roman"/>
          <w:color w:val="auto"/>
          <w:highlight w:val="none"/>
        </w:rPr>
        <w:t>废实验耗材（HW49）、废包装桶</w:t>
      </w:r>
      <w:r>
        <w:rPr>
          <w:rFonts w:hint="eastAsia" w:ascii="Times New Roman" w:hAnsi="Times New Roman"/>
          <w:color w:val="auto"/>
          <w:highlight w:val="none"/>
          <w:lang w:eastAsia="zh-CN"/>
        </w:rPr>
        <w:t>（</w:t>
      </w:r>
      <w:r>
        <w:rPr>
          <w:rFonts w:hint="eastAsia" w:ascii="Times New Roman" w:hAnsi="Times New Roman"/>
          <w:color w:val="auto"/>
          <w:highlight w:val="none"/>
          <w:lang w:val="en-US" w:eastAsia="zh-CN"/>
        </w:rPr>
        <w:t>瓶</w:t>
      </w:r>
      <w:r>
        <w:rPr>
          <w:rFonts w:hint="eastAsia" w:ascii="Times New Roman" w:hAnsi="Times New Roman"/>
          <w:color w:val="auto"/>
          <w:highlight w:val="none"/>
          <w:lang w:eastAsia="zh-CN"/>
        </w:rPr>
        <w:t>）</w:t>
      </w:r>
      <w:r>
        <w:rPr>
          <w:rFonts w:hint="eastAsia" w:ascii="Times New Roman" w:hAnsi="Times New Roman"/>
          <w:color w:val="auto"/>
          <w:highlight w:val="none"/>
        </w:rPr>
        <w:t>（HW49）、废包装袋（HW49）、废活性炭（废气处理、HW49）</w:t>
      </w:r>
      <w:r>
        <w:rPr>
          <w:rFonts w:ascii="Times New Roman" w:hAnsi="Times New Roman" w:cs="Times New Roman"/>
          <w:color w:val="auto"/>
          <w:spacing w:val="6"/>
          <w:highlight w:val="none"/>
        </w:rPr>
        <w:t>等，在危废仓库少量暂存。暂存期存在泄漏风险，泄漏事故少量泄漏可用</w:t>
      </w:r>
      <w:r>
        <w:rPr>
          <w:rFonts w:hint="eastAsia" w:ascii="Times New Roman" w:hAnsi="Times New Roman" w:cs="Times New Roman"/>
          <w:color w:val="auto"/>
          <w:spacing w:val="6"/>
          <w:highlight w:val="none"/>
          <w:lang w:val="en-US" w:eastAsia="zh-CN"/>
        </w:rPr>
        <w:t>防渗漏托盘、截流沟和收集池</w:t>
      </w:r>
      <w:r>
        <w:rPr>
          <w:rFonts w:ascii="Times New Roman" w:hAnsi="Times New Roman" w:cs="Times New Roman"/>
          <w:color w:val="auto"/>
          <w:spacing w:val="6"/>
          <w:highlight w:val="none"/>
        </w:rPr>
        <w:t>措施收集，同时设置禁火标志，防止火灾的发生。综上，危废仓库发生少量泄漏事件，可及时收集，能及时处置，影响不会扩散，能够控制在厂区内，环境风险较小。</w:t>
      </w:r>
    </w:p>
    <w:p w14:paraId="4750059E">
      <w:pPr>
        <w:spacing w:line="360" w:lineRule="auto"/>
        <w:ind w:left="-105" w:right="-105" w:firstLine="480" w:firstLineChars="200"/>
        <w:rPr>
          <w:rFonts w:ascii="Times New Roman" w:hAnsi="Times New Roman" w:cs="Times New Roman"/>
          <w:color w:val="auto"/>
          <w:highlight w:val="none"/>
        </w:rPr>
      </w:pPr>
      <w:r>
        <w:rPr>
          <w:rFonts w:hint="eastAsia" w:ascii="Times New Roman" w:hAnsi="Times New Roman"/>
          <w:color w:val="auto"/>
          <w:highlight w:val="none"/>
          <w:lang w:val="en-US" w:eastAsia="zh-CN"/>
        </w:rPr>
        <w:t>实验室清洗废水</w:t>
      </w:r>
      <w:r>
        <w:rPr>
          <w:rFonts w:hint="eastAsia" w:ascii="Times New Roman" w:hAnsi="Times New Roman"/>
          <w:color w:val="auto"/>
          <w:highlight w:val="none"/>
        </w:rPr>
        <w:t>（HW49）暂存在废液储罐，周边设置围堰、并与事故应急池连通，</w:t>
      </w:r>
      <w:r>
        <w:rPr>
          <w:rFonts w:ascii="Times New Roman" w:hAnsi="Times New Roman" w:cs="Times New Roman"/>
          <w:color w:val="auto"/>
          <w:spacing w:val="6"/>
          <w:highlight w:val="none"/>
        </w:rPr>
        <w:t>发生泄漏事件可及时收集，</w:t>
      </w:r>
      <w:r>
        <w:rPr>
          <w:rFonts w:hint="eastAsia" w:ascii="Times New Roman" w:hAnsi="Times New Roman" w:cs="Times New Roman"/>
          <w:color w:val="auto"/>
          <w:spacing w:val="6"/>
          <w:highlight w:val="none"/>
        </w:rPr>
        <w:t>并</w:t>
      </w:r>
      <w:r>
        <w:rPr>
          <w:rFonts w:ascii="Times New Roman" w:hAnsi="Times New Roman" w:cs="Times New Roman"/>
          <w:color w:val="auto"/>
          <w:spacing w:val="6"/>
          <w:highlight w:val="none"/>
        </w:rPr>
        <w:t>能及时处置，影响不会扩散，能够控制在厂区内，环境风险较小</w:t>
      </w:r>
      <w:r>
        <w:rPr>
          <w:rFonts w:hint="eastAsia" w:ascii="Times New Roman" w:hAnsi="Times New Roman" w:cs="Times New Roman"/>
          <w:color w:val="auto"/>
          <w:spacing w:val="6"/>
          <w:highlight w:val="none"/>
        </w:rPr>
        <w:t>。</w:t>
      </w:r>
    </w:p>
    <w:p w14:paraId="38BD2886">
      <w:pPr>
        <w:pStyle w:val="6"/>
        <w:keepLines w:val="0"/>
        <w:widowControl/>
        <w:numPr>
          <w:ilvl w:val="0"/>
          <w:numId w:val="0"/>
        </w:numPr>
        <w:tabs>
          <w:tab w:val="left" w:pos="0"/>
          <w:tab w:val="left" w:pos="2550"/>
        </w:tabs>
        <w:spacing w:before="50" w:after="50" w:line="360" w:lineRule="auto"/>
        <w:ind w:right="-105"/>
        <w:rPr>
          <w:rFonts w:ascii="Times New Roman" w:hAnsi="Times New Roman"/>
          <w:color w:val="auto"/>
          <w:sz w:val="24"/>
          <w:szCs w:val="24"/>
          <w:highlight w:val="none"/>
        </w:rPr>
      </w:pPr>
      <w:r>
        <w:rPr>
          <w:rFonts w:hint="eastAsia" w:ascii="Times New Roman" w:hAnsi="Times New Roman"/>
          <w:color w:val="auto"/>
          <w:sz w:val="24"/>
          <w:szCs w:val="24"/>
          <w:highlight w:val="none"/>
        </w:rPr>
        <w:t>6.6.2.5</w:t>
      </w:r>
      <w:r>
        <w:rPr>
          <w:rFonts w:ascii="Times New Roman" w:hAnsi="Times New Roman"/>
          <w:color w:val="auto"/>
          <w:sz w:val="24"/>
          <w:szCs w:val="24"/>
          <w:highlight w:val="none"/>
        </w:rPr>
        <w:t>结论与建议</w:t>
      </w:r>
    </w:p>
    <w:p w14:paraId="1D0F1551">
      <w:pPr>
        <w:spacing w:line="360" w:lineRule="auto"/>
        <w:ind w:left="-105" w:right="-105" w:firstLine="480" w:firstLineChars="200"/>
        <w:rPr>
          <w:rFonts w:ascii="Times New Roman" w:hAnsi="Times New Roman" w:cs="Times New Roman"/>
          <w:color w:val="auto"/>
          <w:highlight w:val="none"/>
        </w:rPr>
      </w:pPr>
      <w:r>
        <w:rPr>
          <w:rFonts w:ascii="Times New Roman" w:hAnsi="Times New Roman" w:cs="Times New Roman"/>
          <w:color w:val="auto"/>
          <w:highlight w:val="none"/>
        </w:rPr>
        <w:t>本项目严格执行</w:t>
      </w:r>
      <w:r>
        <w:rPr>
          <w:rFonts w:ascii="Times New Roman" w:hAnsi="Times New Roman" w:cs="Times New Roman"/>
          <w:color w:val="auto"/>
          <w:spacing w:val="6"/>
          <w:highlight w:val="none"/>
        </w:rPr>
        <w:t>《危险废物贮存污染控制标准》(GB18597-2023)、《省生态环境厅关于印发江苏省危险废物贮存规范化管理专项整治行动方案的通知》（苏环办[2019]149号）和</w:t>
      </w:r>
      <w:r>
        <w:rPr>
          <w:rFonts w:hint="eastAsia" w:ascii="Times New Roman" w:hAnsi="Times New Roman" w:cs="Times New Roman"/>
          <w:color w:val="auto"/>
          <w:spacing w:val="6"/>
          <w:highlight w:val="none"/>
        </w:rPr>
        <w:t>《省生态环境厅关于印发&lt;江苏省固体废物全过程环境监管工作意见&gt;的通知》苏环办〔2024〕16号</w:t>
      </w:r>
      <w:r>
        <w:rPr>
          <w:rFonts w:ascii="Times New Roman" w:hAnsi="Times New Roman" w:cs="Times New Roman"/>
          <w:color w:val="auto"/>
          <w:highlight w:val="none"/>
        </w:rPr>
        <w:t>中的要求，规范化建设危废暂存场所和一般固废暂存场所，设置标志牌，并由专人管理和维护。危险废物和一般工业固废收集后分别运送至危废暂存场所和一般固废暂存场所分类、分区暂存，杜绝混合存放。</w:t>
      </w:r>
    </w:p>
    <w:p w14:paraId="18F86C9A">
      <w:pPr>
        <w:spacing w:line="360" w:lineRule="auto"/>
        <w:ind w:left="-105" w:right="-105" w:firstLine="480" w:firstLineChars="200"/>
        <w:rPr>
          <w:rFonts w:ascii="Times New Roman" w:hAnsi="Times New Roman" w:cs="Times New Roman"/>
          <w:color w:val="auto"/>
          <w:highlight w:val="none"/>
        </w:rPr>
      </w:pPr>
      <w:r>
        <w:rPr>
          <w:rFonts w:ascii="Times New Roman" w:hAnsi="Times New Roman" w:cs="Times New Roman"/>
          <w:color w:val="auto"/>
          <w:highlight w:val="none"/>
        </w:rPr>
        <w:t>综上所述，通过以上措施，本项目产生的固体废物均得到了妥善处置和利用，对周围环境及人体不会造成影响，亦不会造成二次污染。</w:t>
      </w:r>
    </w:p>
    <w:p w14:paraId="0F37780E">
      <w:pPr>
        <w:spacing w:line="360" w:lineRule="auto"/>
        <w:ind w:left="-105" w:right="-105" w:firstLine="480" w:firstLineChars="200"/>
        <w:rPr>
          <w:rFonts w:ascii="Times New Roman" w:hAnsi="Times New Roman" w:cs="Times New Roman"/>
          <w:color w:val="auto"/>
          <w:highlight w:val="none"/>
        </w:rPr>
      </w:pPr>
    </w:p>
    <w:p w14:paraId="12124AC7">
      <w:pPr>
        <w:ind w:left="-105" w:right="-105"/>
        <w:rPr>
          <w:rFonts w:ascii="Times New Roman" w:hAnsi="Times New Roman" w:cs="Times New Roman"/>
          <w:color w:val="auto"/>
          <w:highlight w:val="none"/>
        </w:rPr>
      </w:pPr>
      <w:r>
        <w:rPr>
          <w:rFonts w:ascii="Times New Roman" w:hAnsi="Times New Roman" w:cs="Times New Roman"/>
          <w:color w:val="auto"/>
          <w:highlight w:val="none"/>
        </w:rPr>
        <w:br w:type="page"/>
      </w:r>
    </w:p>
    <w:p w14:paraId="53370E81">
      <w:pPr>
        <w:pStyle w:val="4"/>
        <w:numPr>
          <w:ilvl w:val="1"/>
          <w:numId w:val="6"/>
        </w:numPr>
        <w:tabs>
          <w:tab w:val="left" w:pos="426"/>
        </w:tabs>
        <w:spacing w:before="120" w:beforeLines="50" w:after="120" w:afterLines="50" w:line="360" w:lineRule="auto"/>
        <w:ind w:left="-105" w:right="-105"/>
        <w:rPr>
          <w:rFonts w:ascii="Times New Roman" w:eastAsia="宋体"/>
          <w:color w:val="auto"/>
          <w:sz w:val="28"/>
          <w:szCs w:val="28"/>
          <w:highlight w:val="none"/>
        </w:rPr>
      </w:pPr>
      <w:bookmarkStart w:id="413" w:name="_Toc60653580"/>
      <w:bookmarkStart w:id="414" w:name="_Toc19372"/>
      <w:r>
        <w:rPr>
          <w:rFonts w:ascii="Times New Roman" w:eastAsia="宋体"/>
          <w:color w:val="auto"/>
          <w:sz w:val="28"/>
          <w:szCs w:val="28"/>
          <w:highlight w:val="none"/>
        </w:rPr>
        <w:t>环境风险预测与评价</w:t>
      </w:r>
      <w:bookmarkEnd w:id="413"/>
      <w:bookmarkEnd w:id="414"/>
    </w:p>
    <w:p w14:paraId="21C482CE">
      <w:pPr>
        <w:pStyle w:val="5"/>
        <w:keepLines w:val="0"/>
        <w:numPr>
          <w:ilvl w:val="2"/>
          <w:numId w:val="0"/>
        </w:numPr>
        <w:tabs>
          <w:tab w:val="left" w:pos="567"/>
          <w:tab w:val="left" w:pos="709"/>
          <w:tab w:val="left" w:pos="993"/>
          <w:tab w:val="left" w:pos="6663"/>
        </w:tabs>
        <w:spacing w:before="0" w:after="0" w:line="360" w:lineRule="auto"/>
        <w:ind w:right="-105"/>
        <w:rPr>
          <w:rFonts w:eastAsia="宋体"/>
          <w:color w:val="auto"/>
          <w:sz w:val="28"/>
          <w:szCs w:val="28"/>
          <w:highlight w:val="none"/>
        </w:rPr>
      </w:pPr>
      <w:bookmarkStart w:id="415" w:name="_Toc60653581"/>
      <w:r>
        <w:rPr>
          <w:rFonts w:hint="eastAsia" w:eastAsia="宋体"/>
          <w:color w:val="auto"/>
          <w:sz w:val="28"/>
          <w:szCs w:val="28"/>
          <w:highlight w:val="none"/>
        </w:rPr>
        <w:t>6.7.1</w:t>
      </w:r>
      <w:bookmarkEnd w:id="415"/>
      <w:r>
        <w:rPr>
          <w:rFonts w:hint="eastAsia" w:eastAsia="宋体"/>
          <w:color w:val="auto"/>
          <w:sz w:val="28"/>
          <w:szCs w:val="28"/>
          <w:highlight w:val="none"/>
        </w:rPr>
        <w:t>大气环境风险预测与分析</w:t>
      </w:r>
    </w:p>
    <w:p w14:paraId="63FC0BAF">
      <w:pPr>
        <w:spacing w:line="360" w:lineRule="auto"/>
        <w:ind w:left="-105" w:right="-105" w:firstLine="480" w:firstLineChars="200"/>
        <w:rPr>
          <w:rFonts w:ascii="Times New Roman" w:hAnsi="Times New Roman"/>
          <w:color w:val="auto"/>
          <w:highlight w:val="none"/>
        </w:rPr>
      </w:pPr>
      <w:r>
        <w:rPr>
          <w:rFonts w:hint="eastAsia" w:ascii="Times New Roman" w:hAnsi="Times New Roman"/>
          <w:color w:val="auto"/>
          <w:highlight w:val="none"/>
        </w:rPr>
        <w:t>根据《建设项目环境风险评价技术导则》（</w:t>
      </w:r>
      <w:r>
        <w:rPr>
          <w:rFonts w:ascii="Times New Roman" w:hAnsi="Times New Roman"/>
          <w:color w:val="auto"/>
          <w:highlight w:val="none"/>
        </w:rPr>
        <w:t>HJ169-2018)9.1中要求，预测计算时，应区分重质气体与轻质气体排放选择合适的大气风险预测模型。其中重质气体和轻质气体的判断依据可采用附录G中G.2推荐的理查德森数进行判定。</w:t>
      </w:r>
    </w:p>
    <w:p w14:paraId="5CA0F638">
      <w:pPr>
        <w:spacing w:line="360" w:lineRule="auto"/>
        <w:ind w:left="-105" w:right="-105" w:firstLine="480" w:firstLineChars="200"/>
        <w:rPr>
          <w:rFonts w:ascii="Times New Roman" w:hAnsi="Times New Roman"/>
          <w:color w:val="auto"/>
          <w:highlight w:val="none"/>
        </w:rPr>
      </w:pPr>
      <w:r>
        <w:rPr>
          <w:rFonts w:ascii="Times New Roman" w:hAnsi="Times New Roman"/>
          <w:color w:val="auto"/>
          <w:highlight w:val="none"/>
        </w:rPr>
        <w:t>1）判定连续排放还是瞬时排放</w:t>
      </w:r>
    </w:p>
    <w:p w14:paraId="25DC26F8">
      <w:pPr>
        <w:spacing w:line="360" w:lineRule="auto"/>
        <w:ind w:left="-105" w:right="-105" w:firstLine="480" w:firstLineChars="200"/>
        <w:rPr>
          <w:rFonts w:ascii="Times New Roman" w:hAnsi="Times New Roman"/>
          <w:color w:val="auto"/>
          <w:highlight w:val="none"/>
        </w:rPr>
      </w:pPr>
      <w:r>
        <w:rPr>
          <w:rFonts w:hint="eastAsia" w:ascii="Times New Roman" w:hAnsi="Times New Roman"/>
          <w:color w:val="auto"/>
          <w:highlight w:val="none"/>
        </w:rPr>
        <w:t>判定连续排放还是瞬时排放，可以通过对比排放时间</w:t>
      </w:r>
      <w:r>
        <w:rPr>
          <w:rFonts w:ascii="Times New Roman" w:hAnsi="Times New Roman"/>
          <w:color w:val="auto"/>
          <w:highlight w:val="none"/>
        </w:rPr>
        <w:t>Td和污染物达到最近得受体点（网格点或敏感点）得时间T确定。</w:t>
      </w:r>
    </w:p>
    <w:p w14:paraId="7C70CC74">
      <w:pPr>
        <w:pStyle w:val="229"/>
        <w:spacing w:line="500" w:lineRule="exact"/>
        <w:ind w:left="-105" w:right="-105" w:firstLine="560"/>
        <w:jc w:val="center"/>
        <w:rPr>
          <w:rFonts w:eastAsia="仿宋"/>
          <w:color w:val="auto"/>
          <w:sz w:val="28"/>
          <w:szCs w:val="28"/>
          <w:highlight w:val="none"/>
        </w:rPr>
      </w:pPr>
      <w:r>
        <w:rPr>
          <w:rFonts w:hint="eastAsia" w:eastAsia="仿宋"/>
          <w:color w:val="auto"/>
          <w:sz w:val="28"/>
          <w:szCs w:val="28"/>
          <w:highlight w:val="none"/>
        </w:rPr>
        <w:t>T=2X/Ur</w:t>
      </w:r>
    </w:p>
    <w:p w14:paraId="2028416A">
      <w:pPr>
        <w:spacing w:line="360" w:lineRule="auto"/>
        <w:ind w:left="-105" w:right="-105" w:firstLine="480" w:firstLineChars="200"/>
        <w:rPr>
          <w:rFonts w:ascii="Times New Roman" w:hAnsi="Times New Roman"/>
          <w:color w:val="auto"/>
          <w:highlight w:val="none"/>
        </w:rPr>
      </w:pPr>
      <w:r>
        <w:rPr>
          <w:rFonts w:hint="eastAsia" w:ascii="Times New Roman" w:hAnsi="Times New Roman"/>
          <w:color w:val="auto"/>
          <w:highlight w:val="none"/>
        </w:rPr>
        <w:t>式中：</w:t>
      </w:r>
      <w:r>
        <w:rPr>
          <w:rFonts w:ascii="Times New Roman" w:hAnsi="Times New Roman"/>
          <w:color w:val="auto"/>
          <w:highlight w:val="none"/>
        </w:rPr>
        <w:t>X—事故发生地与计算点得距离，m；</w:t>
      </w:r>
    </w:p>
    <w:p w14:paraId="2A99B5EB">
      <w:pPr>
        <w:spacing w:line="360" w:lineRule="auto"/>
        <w:ind w:left="-105" w:right="-105" w:firstLine="480" w:firstLineChars="200"/>
        <w:rPr>
          <w:rFonts w:ascii="Times New Roman" w:hAnsi="Times New Roman"/>
          <w:color w:val="auto"/>
          <w:highlight w:val="none"/>
        </w:rPr>
      </w:pPr>
      <w:r>
        <w:rPr>
          <w:rFonts w:ascii="Times New Roman" w:hAnsi="Times New Roman"/>
          <w:color w:val="auto"/>
          <w:highlight w:val="none"/>
        </w:rPr>
        <w:t>Ur—10m高处风速，m/s。</w:t>
      </w:r>
    </w:p>
    <w:p w14:paraId="2123FCA5">
      <w:pPr>
        <w:spacing w:line="360" w:lineRule="auto"/>
        <w:ind w:left="-105" w:right="-105" w:firstLine="480" w:firstLineChars="200"/>
        <w:rPr>
          <w:rFonts w:ascii="Times New Roman" w:hAnsi="Times New Roman"/>
          <w:color w:val="auto"/>
          <w:highlight w:val="none"/>
        </w:rPr>
      </w:pPr>
      <w:r>
        <w:rPr>
          <w:rFonts w:hint="eastAsia" w:ascii="Times New Roman" w:hAnsi="Times New Roman"/>
          <w:color w:val="auto"/>
          <w:highlight w:val="none"/>
        </w:rPr>
        <w:t>当</w:t>
      </w:r>
      <w:r>
        <w:rPr>
          <w:rFonts w:ascii="Times New Roman" w:hAnsi="Times New Roman"/>
          <w:color w:val="auto"/>
          <w:highlight w:val="none"/>
        </w:rPr>
        <w:t>T</w:t>
      </w:r>
      <w:r>
        <w:rPr>
          <w:rFonts w:ascii="Times New Roman" w:hAnsi="Times New Roman"/>
          <w:color w:val="auto"/>
          <w:highlight w:val="none"/>
          <w:vertAlign w:val="subscript"/>
        </w:rPr>
        <w:t>d</w:t>
      </w:r>
      <w:r>
        <w:rPr>
          <w:rFonts w:ascii="Times New Roman" w:hAnsi="Times New Roman"/>
          <w:color w:val="auto"/>
          <w:highlight w:val="none"/>
        </w:rPr>
        <w:t>＞T时，可被认为是连续排放的；当T</w:t>
      </w:r>
      <w:r>
        <w:rPr>
          <w:rFonts w:ascii="Times New Roman" w:hAnsi="Times New Roman"/>
          <w:color w:val="auto"/>
          <w:highlight w:val="none"/>
          <w:vertAlign w:val="subscript"/>
        </w:rPr>
        <w:t>d</w:t>
      </w:r>
      <w:r>
        <w:rPr>
          <w:rFonts w:ascii="Times New Roman" w:hAnsi="Times New Roman"/>
          <w:color w:val="auto"/>
          <w:highlight w:val="none"/>
        </w:rPr>
        <w:t>≤T时，可被认为是瞬时排放。</w:t>
      </w:r>
    </w:p>
    <w:p w14:paraId="198F7BAA">
      <w:pPr>
        <w:spacing w:line="360" w:lineRule="auto"/>
        <w:ind w:left="-105" w:right="-105" w:firstLine="480" w:firstLineChars="200"/>
        <w:rPr>
          <w:rFonts w:ascii="Times New Roman" w:hAnsi="Times New Roman"/>
          <w:color w:val="auto"/>
          <w:highlight w:val="none"/>
        </w:rPr>
      </w:pPr>
      <w:r>
        <w:rPr>
          <w:rFonts w:hint="eastAsia" w:ascii="Times New Roman" w:hAnsi="Times New Roman"/>
          <w:color w:val="auto"/>
          <w:highlight w:val="none"/>
        </w:rPr>
        <w:t>火灾发生时间设定为</w:t>
      </w:r>
      <w:r>
        <w:rPr>
          <w:rFonts w:ascii="Times New Roman" w:hAnsi="Times New Roman"/>
          <w:color w:val="auto"/>
          <w:highlight w:val="none"/>
        </w:rPr>
        <w:t>30min；敏感点离风险源最近距离为</w:t>
      </w:r>
      <w:r>
        <w:rPr>
          <w:rFonts w:hint="eastAsia" w:ascii="Times New Roman" w:hAnsi="Times New Roman"/>
          <w:color w:val="auto"/>
          <w:highlight w:val="none"/>
        </w:rPr>
        <w:t>65</w:t>
      </w:r>
      <w:r>
        <w:rPr>
          <w:rFonts w:ascii="Times New Roman" w:hAnsi="Times New Roman"/>
          <w:color w:val="auto"/>
          <w:highlight w:val="none"/>
        </w:rPr>
        <w:t>m，10m高处风速为</w:t>
      </w:r>
      <w:r>
        <w:rPr>
          <w:rFonts w:hint="eastAsia" w:ascii="Times New Roman" w:hAnsi="Times New Roman"/>
          <w:color w:val="auto"/>
          <w:highlight w:val="none"/>
        </w:rPr>
        <w:t>1.5</w:t>
      </w:r>
      <w:r>
        <w:rPr>
          <w:rFonts w:ascii="Times New Roman" w:hAnsi="Times New Roman"/>
          <w:color w:val="auto"/>
          <w:highlight w:val="none"/>
        </w:rPr>
        <w:t>m/s，</w:t>
      </w:r>
      <w:r>
        <w:rPr>
          <w:rFonts w:hint="eastAsia" w:ascii="Times New Roman" w:hAnsi="Times New Roman"/>
          <w:color w:val="auto"/>
          <w:highlight w:val="none"/>
        </w:rPr>
        <w:t>T求得为0.72min，</w:t>
      </w:r>
      <w:r>
        <w:rPr>
          <w:rFonts w:ascii="Times New Roman" w:hAnsi="Times New Roman"/>
          <w:color w:val="auto"/>
          <w:highlight w:val="none"/>
        </w:rPr>
        <w:t>则本项目T</w:t>
      </w:r>
      <w:r>
        <w:rPr>
          <w:rFonts w:ascii="Times New Roman" w:hAnsi="Times New Roman"/>
          <w:color w:val="auto"/>
          <w:highlight w:val="none"/>
          <w:vertAlign w:val="subscript"/>
        </w:rPr>
        <w:t>d</w:t>
      </w:r>
      <w:r>
        <w:rPr>
          <w:rFonts w:ascii="Times New Roman" w:hAnsi="Times New Roman"/>
          <w:color w:val="auto"/>
          <w:highlight w:val="none"/>
        </w:rPr>
        <w:t>&gt;T为连续排放。</w:t>
      </w:r>
    </w:p>
    <w:p w14:paraId="66C67C17">
      <w:pPr>
        <w:spacing w:line="360" w:lineRule="auto"/>
        <w:ind w:left="-105" w:right="-105" w:firstLine="480" w:firstLineChars="200"/>
        <w:rPr>
          <w:rFonts w:ascii="Times New Roman" w:hAnsi="Times New Roman"/>
          <w:color w:val="auto"/>
          <w:highlight w:val="none"/>
        </w:rPr>
      </w:pPr>
      <w:r>
        <w:rPr>
          <w:rFonts w:ascii="Times New Roman" w:hAnsi="Times New Roman"/>
          <w:color w:val="auto"/>
          <w:highlight w:val="none"/>
        </w:rPr>
        <w:t>2）判定烟团/烟羽是否为重质气体</w:t>
      </w:r>
    </w:p>
    <w:p w14:paraId="11092546">
      <w:pPr>
        <w:spacing w:line="360" w:lineRule="auto"/>
        <w:ind w:left="-105" w:right="-105" w:firstLine="480" w:firstLineChars="200"/>
        <w:rPr>
          <w:rFonts w:ascii="Times New Roman" w:hAnsi="Times New Roman"/>
          <w:color w:val="auto"/>
          <w:highlight w:val="none"/>
        </w:rPr>
      </w:pPr>
      <w:r>
        <w:rPr>
          <w:rFonts w:hint="eastAsia" w:ascii="Times New Roman" w:hAnsi="Times New Roman"/>
          <w:color w:val="auto"/>
          <w:highlight w:val="none"/>
        </w:rPr>
        <w:t>①理查德森数定义及计算公式</w:t>
      </w:r>
    </w:p>
    <w:p w14:paraId="4AB76134">
      <w:pPr>
        <w:spacing w:line="360" w:lineRule="auto"/>
        <w:ind w:left="-105" w:right="-105" w:firstLine="480" w:firstLineChars="200"/>
        <w:rPr>
          <w:rFonts w:ascii="Times New Roman" w:hAnsi="Times New Roman"/>
          <w:color w:val="auto"/>
          <w:highlight w:val="none"/>
        </w:rPr>
      </w:pPr>
      <w:r>
        <w:rPr>
          <w:rFonts w:hint="eastAsia" w:ascii="Times New Roman" w:hAnsi="Times New Roman"/>
          <w:color w:val="auto"/>
          <w:highlight w:val="none"/>
        </w:rPr>
        <w:t>判定烟团</w:t>
      </w:r>
      <w:r>
        <w:rPr>
          <w:rFonts w:ascii="Times New Roman" w:hAnsi="Times New Roman"/>
          <w:color w:val="auto"/>
          <w:highlight w:val="none"/>
        </w:rPr>
        <w:t>/烟羽是否为重质气体，取决于它相对空气的“过剩密度”和环境条件等因素。通常采用理查德森数(Ri)作为标准进行判断。Ri的概念公式为：</w:t>
      </w:r>
    </w:p>
    <w:p w14:paraId="3ACA6156">
      <w:pPr>
        <w:spacing w:line="360" w:lineRule="auto"/>
        <w:ind w:left="-105" w:right="-105" w:firstLine="560" w:firstLineChars="200"/>
        <w:jc w:val="center"/>
        <w:rPr>
          <w:rFonts w:ascii="Times New Roman" w:hAnsi="Times New Roman"/>
          <w:color w:val="auto"/>
          <w:highlight w:val="none"/>
        </w:rPr>
      </w:pPr>
      <w:r>
        <w:rPr>
          <w:rFonts w:eastAsia="仿宋"/>
          <w:color w:val="auto"/>
          <w:sz w:val="28"/>
          <w:szCs w:val="28"/>
          <w:highlight w:val="none"/>
        </w:rPr>
        <w:drawing>
          <wp:inline distT="0" distB="0" distL="114300" distR="114300">
            <wp:extent cx="1845310" cy="539750"/>
            <wp:effectExtent l="0" t="0" r="2540" b="12700"/>
            <wp:docPr id="34" name="图片 17"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17" descr="1"/>
                    <pic:cNvPicPr>
                      <a:picLocks noChangeAspect="1"/>
                    </pic:cNvPicPr>
                  </pic:nvPicPr>
                  <pic:blipFill>
                    <a:blip r:embed="rId51"/>
                    <a:stretch>
                      <a:fillRect/>
                    </a:stretch>
                  </pic:blipFill>
                  <pic:spPr>
                    <a:xfrm>
                      <a:off x="0" y="0"/>
                      <a:ext cx="1845310" cy="539750"/>
                    </a:xfrm>
                    <a:prstGeom prst="rect">
                      <a:avLst/>
                    </a:prstGeom>
                    <a:noFill/>
                    <a:ln>
                      <a:noFill/>
                    </a:ln>
                  </pic:spPr>
                </pic:pic>
              </a:graphicData>
            </a:graphic>
          </wp:inline>
        </w:drawing>
      </w:r>
    </w:p>
    <w:p w14:paraId="46B0A04F">
      <w:pPr>
        <w:pStyle w:val="44"/>
        <w:spacing w:after="0" w:line="360" w:lineRule="auto"/>
        <w:ind w:left="0" w:leftChars="0" w:right="-105" w:firstLine="480"/>
        <w:rPr>
          <w:rFonts w:eastAsia="宋体" w:cs="宋体"/>
          <w:color w:val="auto"/>
          <w:kern w:val="0"/>
          <w:sz w:val="24"/>
          <w:highlight w:val="none"/>
        </w:rPr>
      </w:pPr>
      <w:r>
        <w:rPr>
          <w:rFonts w:eastAsia="宋体" w:cs="宋体"/>
          <w:color w:val="auto"/>
          <w:kern w:val="0"/>
          <w:sz w:val="24"/>
          <w:highlight w:val="none"/>
        </w:rPr>
        <w:t>R</w:t>
      </w:r>
      <w:r>
        <w:rPr>
          <w:rFonts w:eastAsia="宋体" w:cs="宋体"/>
          <w:color w:val="auto"/>
          <w:kern w:val="0"/>
          <w:sz w:val="24"/>
          <w:highlight w:val="none"/>
          <w:vertAlign w:val="subscript"/>
        </w:rPr>
        <w:t>i</w:t>
      </w:r>
      <w:r>
        <w:rPr>
          <w:rFonts w:eastAsia="宋体" w:cs="宋体"/>
          <w:color w:val="auto"/>
          <w:kern w:val="0"/>
          <w:sz w:val="24"/>
          <w:highlight w:val="none"/>
        </w:rPr>
        <w:t>是个流体动力学参数。根据不同的排放性质，理查德森数的计算公式不同。一般地，依据排放类型，理查德森数的计算分连续排放、瞬时排放两种形式：</w:t>
      </w:r>
    </w:p>
    <w:p w14:paraId="373E9912">
      <w:pPr>
        <w:pStyle w:val="44"/>
        <w:spacing w:after="0" w:line="360" w:lineRule="auto"/>
        <w:ind w:left="0" w:leftChars="0" w:right="-105" w:firstLine="480"/>
        <w:rPr>
          <w:rFonts w:eastAsia="宋体" w:cs="宋体"/>
          <w:color w:val="auto"/>
          <w:kern w:val="0"/>
          <w:sz w:val="24"/>
          <w:highlight w:val="none"/>
        </w:rPr>
      </w:pPr>
      <w:r>
        <w:rPr>
          <w:rFonts w:hint="eastAsia" w:eastAsia="宋体" w:cs="宋体"/>
          <w:color w:val="auto"/>
          <w:kern w:val="0"/>
          <w:sz w:val="24"/>
          <w:highlight w:val="none"/>
        </w:rPr>
        <w:t>连续排放：</w:t>
      </w:r>
    </w:p>
    <w:p w14:paraId="1832F6A6">
      <w:pPr>
        <w:pStyle w:val="44"/>
        <w:ind w:left="480" w:right="-105" w:firstLine="560"/>
        <w:jc w:val="center"/>
        <w:rPr>
          <w:color w:val="auto"/>
          <w:highlight w:val="none"/>
        </w:rPr>
      </w:pPr>
      <w:r>
        <w:rPr>
          <w:rFonts w:hint="eastAsia"/>
          <w:color w:val="auto"/>
          <w:szCs w:val="28"/>
          <w:highlight w:val="none"/>
        </w:rPr>
        <w:drawing>
          <wp:inline distT="0" distB="0" distL="114300" distR="114300">
            <wp:extent cx="2254885" cy="720090"/>
            <wp:effectExtent l="0" t="0" r="12065" b="3810"/>
            <wp:docPr id="35" name="图片 18" descr="连续排放公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18" descr="连续排放公式"/>
                    <pic:cNvPicPr>
                      <a:picLocks noChangeAspect="1"/>
                    </pic:cNvPicPr>
                  </pic:nvPicPr>
                  <pic:blipFill>
                    <a:blip r:embed="rId52"/>
                    <a:stretch>
                      <a:fillRect/>
                    </a:stretch>
                  </pic:blipFill>
                  <pic:spPr>
                    <a:xfrm>
                      <a:off x="0" y="0"/>
                      <a:ext cx="2254885" cy="720090"/>
                    </a:xfrm>
                    <a:prstGeom prst="rect">
                      <a:avLst/>
                    </a:prstGeom>
                    <a:noFill/>
                    <a:ln>
                      <a:noFill/>
                    </a:ln>
                  </pic:spPr>
                </pic:pic>
              </a:graphicData>
            </a:graphic>
          </wp:inline>
        </w:drawing>
      </w:r>
    </w:p>
    <w:p w14:paraId="539C2DD9">
      <w:pPr>
        <w:pStyle w:val="44"/>
        <w:spacing w:after="0" w:line="360" w:lineRule="auto"/>
        <w:ind w:left="0" w:leftChars="0" w:right="-105" w:firstLine="480"/>
        <w:rPr>
          <w:rFonts w:eastAsia="宋体" w:cs="宋体"/>
          <w:color w:val="auto"/>
          <w:kern w:val="0"/>
          <w:sz w:val="24"/>
          <w:highlight w:val="none"/>
        </w:rPr>
      </w:pPr>
      <w:r>
        <w:rPr>
          <w:rFonts w:hint="eastAsia" w:eastAsia="宋体" w:cs="宋体"/>
          <w:color w:val="auto"/>
          <w:kern w:val="0"/>
          <w:sz w:val="24"/>
          <w:highlight w:val="none"/>
        </w:rPr>
        <w:t>瞬时排放：</w:t>
      </w:r>
    </w:p>
    <w:p w14:paraId="72616A52">
      <w:pPr>
        <w:pStyle w:val="44"/>
        <w:spacing w:after="0" w:line="360" w:lineRule="auto"/>
        <w:ind w:left="0" w:leftChars="0" w:right="-105" w:firstLine="0" w:firstLineChars="0"/>
        <w:jc w:val="center"/>
        <w:rPr>
          <w:color w:val="auto"/>
          <w:highlight w:val="none"/>
        </w:rPr>
      </w:pPr>
      <w:r>
        <w:rPr>
          <w:rFonts w:hint="eastAsia"/>
          <w:color w:val="auto"/>
          <w:szCs w:val="28"/>
          <w:highlight w:val="none"/>
        </w:rPr>
        <w:drawing>
          <wp:inline distT="0" distB="0" distL="114300" distR="114300">
            <wp:extent cx="2073910" cy="647700"/>
            <wp:effectExtent l="0" t="0" r="2540" b="0"/>
            <wp:docPr id="33" name="图片 19" descr="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19" descr="3"/>
                    <pic:cNvPicPr>
                      <a:picLocks noChangeAspect="1"/>
                    </pic:cNvPicPr>
                  </pic:nvPicPr>
                  <pic:blipFill>
                    <a:blip r:embed="rId53"/>
                    <a:stretch>
                      <a:fillRect/>
                    </a:stretch>
                  </pic:blipFill>
                  <pic:spPr>
                    <a:xfrm>
                      <a:off x="0" y="0"/>
                      <a:ext cx="2073910" cy="647700"/>
                    </a:xfrm>
                    <a:prstGeom prst="rect">
                      <a:avLst/>
                    </a:prstGeom>
                    <a:noFill/>
                    <a:ln>
                      <a:noFill/>
                    </a:ln>
                  </pic:spPr>
                </pic:pic>
              </a:graphicData>
            </a:graphic>
          </wp:inline>
        </w:drawing>
      </w:r>
    </w:p>
    <w:p w14:paraId="42ECAEAF">
      <w:pPr>
        <w:pStyle w:val="44"/>
        <w:spacing w:after="0" w:line="360" w:lineRule="auto"/>
        <w:ind w:left="0" w:leftChars="0" w:right="-105" w:firstLine="480"/>
        <w:rPr>
          <w:rFonts w:eastAsia="宋体"/>
          <w:color w:val="auto"/>
          <w:kern w:val="0"/>
          <w:sz w:val="24"/>
          <w:highlight w:val="none"/>
        </w:rPr>
      </w:pPr>
      <w:r>
        <w:rPr>
          <w:rFonts w:hint="eastAsia" w:eastAsia="宋体" w:cs="宋体"/>
          <w:color w:val="auto"/>
          <w:kern w:val="0"/>
          <w:sz w:val="24"/>
          <w:highlight w:val="none"/>
        </w:rPr>
        <w:t>式中：</w:t>
      </w:r>
      <w:r>
        <w:rPr>
          <w:rFonts w:eastAsia="宋体"/>
          <w:color w:val="auto"/>
          <w:kern w:val="0"/>
          <w:sz w:val="24"/>
          <w:highlight w:val="none"/>
        </w:rPr>
        <w:t>ρ</w:t>
      </w:r>
      <w:r>
        <w:rPr>
          <w:rFonts w:eastAsia="宋体"/>
          <w:color w:val="auto"/>
          <w:kern w:val="0"/>
          <w:sz w:val="24"/>
          <w:highlight w:val="none"/>
          <w:vertAlign w:val="subscript"/>
        </w:rPr>
        <w:t>rel</w:t>
      </w:r>
      <w:r>
        <w:rPr>
          <w:rFonts w:eastAsia="宋体"/>
          <w:color w:val="auto"/>
          <w:kern w:val="0"/>
          <w:sz w:val="24"/>
          <w:highlight w:val="none"/>
        </w:rPr>
        <w:t>——排放物质进入大气的初始密度，kg/m</w:t>
      </w:r>
      <w:r>
        <w:rPr>
          <w:rFonts w:eastAsia="宋体"/>
          <w:color w:val="auto"/>
          <w:kern w:val="0"/>
          <w:sz w:val="24"/>
          <w:highlight w:val="none"/>
          <w:vertAlign w:val="superscript"/>
        </w:rPr>
        <w:t>3</w:t>
      </w:r>
      <w:r>
        <w:rPr>
          <w:rFonts w:eastAsia="宋体"/>
          <w:color w:val="auto"/>
          <w:kern w:val="0"/>
          <w:sz w:val="24"/>
          <w:highlight w:val="none"/>
        </w:rPr>
        <w:t>；</w:t>
      </w:r>
    </w:p>
    <w:p w14:paraId="4045F906">
      <w:pPr>
        <w:pStyle w:val="44"/>
        <w:spacing w:after="0" w:line="360" w:lineRule="auto"/>
        <w:ind w:left="0" w:leftChars="0" w:right="-105" w:firstLine="480"/>
        <w:rPr>
          <w:rFonts w:eastAsia="宋体" w:cs="宋体"/>
          <w:color w:val="auto"/>
          <w:kern w:val="0"/>
          <w:sz w:val="24"/>
          <w:highlight w:val="none"/>
        </w:rPr>
      </w:pPr>
      <w:r>
        <w:rPr>
          <w:rFonts w:eastAsia="宋体"/>
          <w:color w:val="auto"/>
          <w:kern w:val="0"/>
          <w:sz w:val="24"/>
          <w:highlight w:val="none"/>
        </w:rPr>
        <w:t>ρ</w:t>
      </w:r>
      <w:r>
        <w:rPr>
          <w:rFonts w:eastAsia="宋体"/>
          <w:color w:val="auto"/>
          <w:kern w:val="0"/>
          <w:sz w:val="24"/>
          <w:highlight w:val="none"/>
          <w:vertAlign w:val="subscript"/>
        </w:rPr>
        <w:t>a</w:t>
      </w:r>
      <w:r>
        <w:rPr>
          <w:rFonts w:eastAsia="宋体"/>
          <w:color w:val="auto"/>
          <w:kern w:val="0"/>
          <w:sz w:val="24"/>
          <w:highlight w:val="none"/>
        </w:rPr>
        <w:t>——环</w:t>
      </w:r>
      <w:r>
        <w:rPr>
          <w:rFonts w:eastAsia="宋体" w:cs="宋体"/>
          <w:color w:val="auto"/>
          <w:kern w:val="0"/>
          <w:sz w:val="24"/>
          <w:highlight w:val="none"/>
        </w:rPr>
        <w:t>境空气密度，kg/m</w:t>
      </w:r>
      <w:r>
        <w:rPr>
          <w:rFonts w:eastAsia="宋体" w:cs="宋体"/>
          <w:color w:val="auto"/>
          <w:kern w:val="0"/>
          <w:sz w:val="24"/>
          <w:highlight w:val="none"/>
          <w:vertAlign w:val="superscript"/>
        </w:rPr>
        <w:t>3</w:t>
      </w:r>
      <w:r>
        <w:rPr>
          <w:rFonts w:eastAsia="宋体" w:cs="宋体"/>
          <w:color w:val="auto"/>
          <w:kern w:val="0"/>
          <w:sz w:val="24"/>
          <w:highlight w:val="none"/>
        </w:rPr>
        <w:t>；</w:t>
      </w:r>
    </w:p>
    <w:p w14:paraId="60D38FE5">
      <w:pPr>
        <w:pStyle w:val="44"/>
        <w:spacing w:after="0" w:line="360" w:lineRule="auto"/>
        <w:ind w:left="0" w:leftChars="0" w:right="-105" w:firstLine="480"/>
        <w:rPr>
          <w:rFonts w:eastAsia="宋体" w:cs="宋体"/>
          <w:color w:val="auto"/>
          <w:kern w:val="0"/>
          <w:sz w:val="24"/>
          <w:highlight w:val="none"/>
        </w:rPr>
      </w:pPr>
      <w:r>
        <w:rPr>
          <w:rFonts w:eastAsia="宋体" w:cs="宋体"/>
          <w:color w:val="auto"/>
          <w:kern w:val="0"/>
          <w:sz w:val="24"/>
          <w:highlight w:val="none"/>
        </w:rPr>
        <w:t>Q——连续排放烟羽的排放速率，kg/s；</w:t>
      </w:r>
    </w:p>
    <w:p w14:paraId="54CBD0C2">
      <w:pPr>
        <w:pStyle w:val="44"/>
        <w:spacing w:after="0" w:line="360" w:lineRule="auto"/>
        <w:ind w:left="0" w:leftChars="0" w:right="-105" w:firstLine="480"/>
        <w:rPr>
          <w:rFonts w:eastAsia="宋体" w:cs="宋体"/>
          <w:color w:val="auto"/>
          <w:kern w:val="0"/>
          <w:sz w:val="24"/>
          <w:highlight w:val="none"/>
        </w:rPr>
      </w:pPr>
      <w:r>
        <w:rPr>
          <w:rFonts w:eastAsia="宋体" w:cs="宋体"/>
          <w:color w:val="auto"/>
          <w:kern w:val="0"/>
          <w:sz w:val="24"/>
          <w:highlight w:val="none"/>
        </w:rPr>
        <w:t>Q</w:t>
      </w:r>
      <w:r>
        <w:rPr>
          <w:rFonts w:eastAsia="宋体" w:cs="宋体"/>
          <w:color w:val="auto"/>
          <w:kern w:val="0"/>
          <w:sz w:val="24"/>
          <w:highlight w:val="none"/>
          <w:vertAlign w:val="subscript"/>
        </w:rPr>
        <w:t>t</w:t>
      </w:r>
      <w:r>
        <w:rPr>
          <w:rFonts w:eastAsia="宋体" w:cs="宋体"/>
          <w:color w:val="auto"/>
          <w:kern w:val="0"/>
          <w:sz w:val="24"/>
          <w:highlight w:val="none"/>
        </w:rPr>
        <w:t>——瞬时排放的物质质量，kg；</w:t>
      </w:r>
    </w:p>
    <w:p w14:paraId="4E886F70">
      <w:pPr>
        <w:pStyle w:val="44"/>
        <w:spacing w:after="0" w:line="360" w:lineRule="auto"/>
        <w:ind w:left="0" w:leftChars="0" w:right="-105" w:firstLine="480"/>
        <w:rPr>
          <w:rFonts w:eastAsia="宋体" w:cs="宋体"/>
          <w:color w:val="auto"/>
          <w:kern w:val="0"/>
          <w:sz w:val="24"/>
          <w:highlight w:val="none"/>
        </w:rPr>
      </w:pPr>
      <w:r>
        <w:rPr>
          <w:rFonts w:eastAsia="宋体" w:cs="宋体"/>
          <w:color w:val="auto"/>
          <w:kern w:val="0"/>
          <w:sz w:val="24"/>
          <w:highlight w:val="none"/>
        </w:rPr>
        <w:t>D</w:t>
      </w:r>
      <w:r>
        <w:rPr>
          <w:rFonts w:eastAsia="宋体" w:cs="宋体"/>
          <w:color w:val="auto"/>
          <w:kern w:val="0"/>
          <w:sz w:val="24"/>
          <w:highlight w:val="none"/>
          <w:vertAlign w:val="subscript"/>
        </w:rPr>
        <w:t>rel</w:t>
      </w:r>
      <w:r>
        <w:rPr>
          <w:rFonts w:eastAsia="宋体" w:cs="宋体"/>
          <w:color w:val="auto"/>
          <w:kern w:val="0"/>
          <w:sz w:val="24"/>
          <w:highlight w:val="none"/>
        </w:rPr>
        <w:t>——初始的烟团宽度，即源直径，m；</w:t>
      </w:r>
    </w:p>
    <w:p w14:paraId="4671D932">
      <w:pPr>
        <w:pStyle w:val="44"/>
        <w:spacing w:after="0" w:line="360" w:lineRule="auto"/>
        <w:ind w:left="0" w:leftChars="0" w:right="-105" w:firstLine="480"/>
        <w:rPr>
          <w:rFonts w:eastAsia="宋体" w:cs="宋体"/>
          <w:color w:val="auto"/>
          <w:kern w:val="0"/>
          <w:sz w:val="24"/>
          <w:highlight w:val="none"/>
        </w:rPr>
      </w:pPr>
      <w:r>
        <w:rPr>
          <w:rFonts w:eastAsia="宋体" w:cs="宋体"/>
          <w:color w:val="auto"/>
          <w:kern w:val="0"/>
          <w:sz w:val="24"/>
          <w:highlight w:val="none"/>
        </w:rPr>
        <w:t>U</w:t>
      </w:r>
      <w:r>
        <w:rPr>
          <w:rFonts w:eastAsia="宋体" w:cs="宋体"/>
          <w:color w:val="auto"/>
          <w:kern w:val="0"/>
          <w:sz w:val="24"/>
          <w:highlight w:val="none"/>
          <w:vertAlign w:val="subscript"/>
        </w:rPr>
        <w:t>r</w:t>
      </w:r>
      <w:r>
        <w:rPr>
          <w:rFonts w:eastAsia="宋体" w:cs="宋体"/>
          <w:color w:val="auto"/>
          <w:kern w:val="0"/>
          <w:sz w:val="24"/>
          <w:highlight w:val="none"/>
        </w:rPr>
        <w:t>——10m高处风速，m/s。</w:t>
      </w:r>
    </w:p>
    <w:p w14:paraId="1B4EE56B">
      <w:pPr>
        <w:pStyle w:val="15"/>
        <w:ind w:left="-105" w:right="-105" w:firstLine="482"/>
        <w:rPr>
          <w:rFonts w:eastAsia="宋体" w:cs="Times New Roman"/>
          <w:color w:val="auto"/>
          <w:sz w:val="24"/>
          <w:szCs w:val="24"/>
          <w:highlight w:val="none"/>
        </w:rPr>
      </w:pPr>
      <w:r>
        <w:rPr>
          <w:rFonts w:eastAsia="宋体" w:cs="Times New Roman"/>
          <w:color w:val="auto"/>
          <w:sz w:val="24"/>
          <w:szCs w:val="24"/>
          <w:highlight w:val="none"/>
        </w:rPr>
        <w:t>表6.7-</w:t>
      </w:r>
      <w:r>
        <w:rPr>
          <w:rFonts w:eastAsia="宋体" w:cs="Times New Roman"/>
          <w:color w:val="auto"/>
          <w:sz w:val="24"/>
          <w:szCs w:val="24"/>
          <w:highlight w:val="none"/>
        </w:rPr>
        <w:fldChar w:fldCharType="begin"/>
      </w:r>
      <w:r>
        <w:rPr>
          <w:rFonts w:eastAsia="宋体" w:cs="Times New Roman"/>
          <w:color w:val="auto"/>
          <w:sz w:val="24"/>
          <w:szCs w:val="24"/>
          <w:highlight w:val="none"/>
        </w:rPr>
        <w:instrText xml:space="preserve"> SEQ 表6.7- \* ARABIC </w:instrText>
      </w:r>
      <w:r>
        <w:rPr>
          <w:rFonts w:eastAsia="宋体" w:cs="Times New Roman"/>
          <w:color w:val="auto"/>
          <w:sz w:val="24"/>
          <w:szCs w:val="24"/>
          <w:highlight w:val="none"/>
        </w:rPr>
        <w:fldChar w:fldCharType="separate"/>
      </w:r>
      <w:r>
        <w:rPr>
          <w:rFonts w:eastAsia="宋体" w:cs="Times New Roman"/>
          <w:color w:val="auto"/>
          <w:sz w:val="24"/>
          <w:szCs w:val="24"/>
          <w:highlight w:val="none"/>
        </w:rPr>
        <w:t>1</w:t>
      </w:r>
      <w:r>
        <w:rPr>
          <w:rFonts w:eastAsia="宋体" w:cs="Times New Roman"/>
          <w:color w:val="auto"/>
          <w:sz w:val="24"/>
          <w:szCs w:val="24"/>
          <w:highlight w:val="none"/>
        </w:rPr>
        <w:fldChar w:fldCharType="end"/>
      </w:r>
      <w:r>
        <w:rPr>
          <w:rFonts w:eastAsia="宋体" w:cs="Times New Roman"/>
          <w:snapToGrid w:val="0"/>
          <w:color w:val="auto"/>
          <w:sz w:val="24"/>
          <w:szCs w:val="24"/>
          <w:highlight w:val="none"/>
        </w:rPr>
        <w:t>理查德森参数表</w:t>
      </w:r>
    </w:p>
    <w:tbl>
      <w:tblPr>
        <w:tblStyle w:val="45"/>
        <w:tblW w:w="5000" w:type="pct"/>
        <w:jc w:val="center"/>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Layout w:type="fixed"/>
        <w:tblCellMar>
          <w:top w:w="0" w:type="dxa"/>
          <w:left w:w="28" w:type="dxa"/>
          <w:bottom w:w="0" w:type="dxa"/>
          <w:right w:w="28" w:type="dxa"/>
        </w:tblCellMar>
      </w:tblPr>
      <w:tblGrid>
        <w:gridCol w:w="1312"/>
        <w:gridCol w:w="1451"/>
        <w:gridCol w:w="922"/>
        <w:gridCol w:w="1269"/>
        <w:gridCol w:w="1241"/>
        <w:gridCol w:w="850"/>
        <w:gridCol w:w="1515"/>
      </w:tblGrid>
      <w:tr w14:paraId="2444B221">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CellMar>
            <w:top w:w="0" w:type="dxa"/>
            <w:left w:w="28" w:type="dxa"/>
            <w:bottom w:w="0" w:type="dxa"/>
            <w:right w:w="28" w:type="dxa"/>
          </w:tblCellMar>
        </w:tblPrEx>
        <w:trPr>
          <w:trHeight w:val="340" w:hRule="atLeast"/>
          <w:jc w:val="center"/>
        </w:trPr>
        <w:tc>
          <w:tcPr>
            <w:tcW w:w="1312" w:type="dxa"/>
            <w:tcBorders>
              <w:tl2br w:val="nil"/>
              <w:tr2bl w:val="nil"/>
            </w:tcBorders>
            <w:vAlign w:val="center"/>
          </w:tcPr>
          <w:p w14:paraId="4968EF94">
            <w:pPr>
              <w:adjustRightInd w:val="0"/>
              <w:snapToGrid w:val="0"/>
              <w:ind w:left="-105" w:right="-105"/>
              <w:jc w:val="center"/>
              <w:rPr>
                <w:rFonts w:ascii="Times New Roman" w:hAnsi="Times New Roman" w:cs="Times New Roman"/>
                <w:b/>
                <w:bCs/>
                <w:color w:val="auto"/>
                <w:sz w:val="21"/>
                <w:szCs w:val="21"/>
                <w:highlight w:val="none"/>
              </w:rPr>
            </w:pPr>
            <w:r>
              <w:rPr>
                <w:rFonts w:ascii="Times New Roman" w:hAnsi="Times New Roman" w:cs="Times New Roman"/>
                <w:b/>
                <w:bCs/>
                <w:color w:val="auto"/>
                <w:sz w:val="21"/>
                <w:szCs w:val="21"/>
                <w:highlight w:val="none"/>
              </w:rPr>
              <w:t>源项</w:t>
            </w:r>
          </w:p>
        </w:tc>
        <w:tc>
          <w:tcPr>
            <w:tcW w:w="1452" w:type="dxa"/>
            <w:tcBorders>
              <w:tl2br w:val="nil"/>
              <w:tr2bl w:val="nil"/>
            </w:tcBorders>
            <w:vAlign w:val="center"/>
          </w:tcPr>
          <w:p w14:paraId="747DF0B4">
            <w:pPr>
              <w:adjustRightInd w:val="0"/>
              <w:snapToGrid w:val="0"/>
              <w:ind w:left="-105" w:right="-105"/>
              <w:jc w:val="center"/>
              <w:rPr>
                <w:rFonts w:ascii="Times New Roman" w:hAnsi="Times New Roman" w:cs="Times New Roman"/>
                <w:b/>
                <w:bCs/>
                <w:color w:val="auto"/>
                <w:sz w:val="21"/>
                <w:szCs w:val="21"/>
                <w:highlight w:val="none"/>
              </w:rPr>
            </w:pPr>
            <w:r>
              <w:rPr>
                <w:rFonts w:ascii="Times New Roman" w:hAnsi="Times New Roman" w:cs="Times New Roman"/>
                <w:b/>
                <w:bCs/>
                <w:color w:val="auto"/>
                <w:sz w:val="21"/>
                <w:szCs w:val="21"/>
                <w:highlight w:val="none"/>
              </w:rPr>
              <w:t>ρ</w:t>
            </w:r>
            <w:r>
              <w:rPr>
                <w:rFonts w:ascii="Times New Roman" w:hAnsi="Times New Roman" w:cs="Times New Roman"/>
                <w:b/>
                <w:bCs/>
                <w:color w:val="auto"/>
                <w:sz w:val="21"/>
                <w:szCs w:val="21"/>
                <w:highlight w:val="none"/>
                <w:vertAlign w:val="subscript"/>
              </w:rPr>
              <w:t>rel</w:t>
            </w:r>
          </w:p>
        </w:tc>
        <w:tc>
          <w:tcPr>
            <w:tcW w:w="922" w:type="dxa"/>
            <w:tcBorders>
              <w:tl2br w:val="nil"/>
              <w:tr2bl w:val="nil"/>
            </w:tcBorders>
            <w:vAlign w:val="center"/>
          </w:tcPr>
          <w:p w14:paraId="723CCD6D">
            <w:pPr>
              <w:adjustRightInd w:val="0"/>
              <w:snapToGrid w:val="0"/>
              <w:ind w:left="-105" w:right="-105"/>
              <w:jc w:val="center"/>
              <w:rPr>
                <w:rFonts w:ascii="Times New Roman" w:hAnsi="Times New Roman" w:cs="Times New Roman"/>
                <w:b/>
                <w:bCs/>
                <w:color w:val="auto"/>
                <w:sz w:val="21"/>
                <w:szCs w:val="21"/>
                <w:highlight w:val="none"/>
              </w:rPr>
            </w:pPr>
            <w:r>
              <w:rPr>
                <w:rFonts w:ascii="Times New Roman" w:hAnsi="Times New Roman" w:cs="Times New Roman"/>
                <w:b/>
                <w:bCs/>
                <w:color w:val="auto"/>
                <w:sz w:val="21"/>
                <w:szCs w:val="21"/>
                <w:highlight w:val="none"/>
              </w:rPr>
              <w:t>ρ</w:t>
            </w:r>
            <w:r>
              <w:rPr>
                <w:rFonts w:ascii="Times New Roman" w:hAnsi="Times New Roman" w:cs="Times New Roman"/>
                <w:b/>
                <w:bCs/>
                <w:color w:val="auto"/>
                <w:sz w:val="21"/>
                <w:szCs w:val="21"/>
                <w:highlight w:val="none"/>
                <w:vertAlign w:val="subscript"/>
              </w:rPr>
              <w:t>a</w:t>
            </w:r>
          </w:p>
        </w:tc>
        <w:tc>
          <w:tcPr>
            <w:tcW w:w="1269" w:type="dxa"/>
            <w:tcBorders>
              <w:tl2br w:val="nil"/>
              <w:tr2bl w:val="nil"/>
            </w:tcBorders>
            <w:vAlign w:val="center"/>
          </w:tcPr>
          <w:p w14:paraId="0460AB80">
            <w:pPr>
              <w:adjustRightInd w:val="0"/>
              <w:snapToGrid w:val="0"/>
              <w:ind w:left="-105" w:right="-105"/>
              <w:jc w:val="center"/>
              <w:rPr>
                <w:rFonts w:ascii="Times New Roman" w:hAnsi="Times New Roman" w:cs="Times New Roman"/>
                <w:b/>
                <w:bCs/>
                <w:color w:val="auto"/>
                <w:sz w:val="21"/>
                <w:szCs w:val="21"/>
                <w:highlight w:val="none"/>
              </w:rPr>
            </w:pPr>
            <w:r>
              <w:rPr>
                <w:rFonts w:ascii="Times New Roman" w:hAnsi="Times New Roman" w:cs="Times New Roman"/>
                <w:b/>
                <w:bCs/>
                <w:color w:val="auto"/>
                <w:sz w:val="21"/>
                <w:szCs w:val="21"/>
                <w:highlight w:val="none"/>
              </w:rPr>
              <w:t>Q</w:t>
            </w:r>
          </w:p>
        </w:tc>
        <w:tc>
          <w:tcPr>
            <w:tcW w:w="1241" w:type="dxa"/>
            <w:tcBorders>
              <w:tl2br w:val="nil"/>
              <w:tr2bl w:val="nil"/>
            </w:tcBorders>
            <w:vAlign w:val="center"/>
          </w:tcPr>
          <w:p w14:paraId="72E235C3">
            <w:pPr>
              <w:adjustRightInd w:val="0"/>
              <w:snapToGrid w:val="0"/>
              <w:ind w:left="-105" w:right="-105"/>
              <w:jc w:val="center"/>
              <w:rPr>
                <w:rFonts w:ascii="Times New Roman" w:hAnsi="Times New Roman" w:cs="Times New Roman"/>
                <w:b/>
                <w:bCs/>
                <w:color w:val="auto"/>
                <w:sz w:val="21"/>
                <w:szCs w:val="21"/>
                <w:highlight w:val="none"/>
              </w:rPr>
            </w:pPr>
            <w:r>
              <w:rPr>
                <w:rFonts w:ascii="Times New Roman" w:hAnsi="Times New Roman" w:cs="Times New Roman"/>
                <w:b/>
                <w:bCs/>
                <w:color w:val="auto"/>
                <w:sz w:val="21"/>
                <w:szCs w:val="21"/>
                <w:highlight w:val="none"/>
              </w:rPr>
              <w:t>D</w:t>
            </w:r>
            <w:r>
              <w:rPr>
                <w:rFonts w:ascii="Times New Roman" w:hAnsi="Times New Roman" w:cs="Times New Roman"/>
                <w:b/>
                <w:bCs/>
                <w:color w:val="auto"/>
                <w:sz w:val="21"/>
                <w:szCs w:val="21"/>
                <w:highlight w:val="none"/>
                <w:vertAlign w:val="subscript"/>
              </w:rPr>
              <w:t>rel</w:t>
            </w:r>
          </w:p>
        </w:tc>
        <w:tc>
          <w:tcPr>
            <w:tcW w:w="849" w:type="dxa"/>
            <w:tcBorders>
              <w:tl2br w:val="nil"/>
              <w:tr2bl w:val="nil"/>
            </w:tcBorders>
            <w:vAlign w:val="center"/>
          </w:tcPr>
          <w:p w14:paraId="04B94FE8">
            <w:pPr>
              <w:adjustRightInd w:val="0"/>
              <w:snapToGrid w:val="0"/>
              <w:ind w:left="-105" w:right="-105"/>
              <w:jc w:val="center"/>
              <w:rPr>
                <w:rFonts w:ascii="Times New Roman" w:hAnsi="Times New Roman" w:cs="Times New Roman"/>
                <w:b/>
                <w:bCs/>
                <w:color w:val="auto"/>
                <w:sz w:val="21"/>
                <w:szCs w:val="21"/>
                <w:highlight w:val="none"/>
              </w:rPr>
            </w:pPr>
            <w:r>
              <w:rPr>
                <w:rFonts w:ascii="Times New Roman" w:hAnsi="Times New Roman" w:cs="Times New Roman"/>
                <w:b/>
                <w:bCs/>
                <w:color w:val="auto"/>
                <w:sz w:val="21"/>
                <w:szCs w:val="21"/>
                <w:highlight w:val="none"/>
              </w:rPr>
              <w:t>Ur</w:t>
            </w:r>
          </w:p>
        </w:tc>
        <w:tc>
          <w:tcPr>
            <w:tcW w:w="1515" w:type="dxa"/>
            <w:tcBorders>
              <w:tl2br w:val="nil"/>
              <w:tr2bl w:val="nil"/>
            </w:tcBorders>
            <w:vAlign w:val="center"/>
          </w:tcPr>
          <w:p w14:paraId="6C89787C">
            <w:pPr>
              <w:adjustRightInd w:val="0"/>
              <w:snapToGrid w:val="0"/>
              <w:ind w:left="-105" w:right="-105"/>
              <w:jc w:val="center"/>
              <w:rPr>
                <w:rFonts w:ascii="Times New Roman" w:hAnsi="Times New Roman" w:cs="Times New Roman"/>
                <w:b/>
                <w:bCs/>
                <w:color w:val="auto"/>
                <w:sz w:val="21"/>
                <w:szCs w:val="21"/>
                <w:highlight w:val="none"/>
              </w:rPr>
            </w:pPr>
            <w:r>
              <w:rPr>
                <w:rFonts w:ascii="Times New Roman" w:hAnsi="Times New Roman" w:cs="Times New Roman"/>
                <w:b/>
                <w:bCs/>
                <w:color w:val="auto"/>
                <w:sz w:val="21"/>
                <w:szCs w:val="21"/>
                <w:highlight w:val="none"/>
              </w:rPr>
              <w:t>Ri</w:t>
            </w:r>
          </w:p>
        </w:tc>
      </w:tr>
      <w:tr w14:paraId="6A4BE92B">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CellMar>
            <w:top w:w="0" w:type="dxa"/>
            <w:left w:w="28" w:type="dxa"/>
            <w:bottom w:w="0" w:type="dxa"/>
            <w:right w:w="28" w:type="dxa"/>
          </w:tblCellMar>
        </w:tblPrEx>
        <w:trPr>
          <w:trHeight w:val="340" w:hRule="atLeast"/>
          <w:jc w:val="center"/>
        </w:trPr>
        <w:tc>
          <w:tcPr>
            <w:tcW w:w="1312" w:type="dxa"/>
            <w:tcBorders>
              <w:tl2br w:val="nil"/>
              <w:tr2bl w:val="nil"/>
            </w:tcBorders>
            <w:vAlign w:val="center"/>
          </w:tcPr>
          <w:p w14:paraId="28FFBB46">
            <w:pPr>
              <w:adjustRightInd w:val="0"/>
              <w:snapToGrid w:val="0"/>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一氧化碳</w:t>
            </w:r>
          </w:p>
        </w:tc>
        <w:tc>
          <w:tcPr>
            <w:tcW w:w="1452" w:type="dxa"/>
            <w:tcBorders>
              <w:tl2br w:val="nil"/>
              <w:tr2bl w:val="nil"/>
            </w:tcBorders>
            <w:vAlign w:val="center"/>
          </w:tcPr>
          <w:p w14:paraId="686DB402">
            <w:pPr>
              <w:adjustRightInd w:val="0"/>
              <w:snapToGrid w:val="0"/>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1.250</w:t>
            </w:r>
          </w:p>
        </w:tc>
        <w:tc>
          <w:tcPr>
            <w:tcW w:w="922" w:type="dxa"/>
            <w:tcBorders>
              <w:tl2br w:val="nil"/>
              <w:tr2bl w:val="nil"/>
            </w:tcBorders>
            <w:vAlign w:val="center"/>
          </w:tcPr>
          <w:p w14:paraId="5AF804F6">
            <w:pPr>
              <w:adjustRightInd w:val="0"/>
              <w:snapToGrid w:val="0"/>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1.293</w:t>
            </w:r>
          </w:p>
        </w:tc>
        <w:tc>
          <w:tcPr>
            <w:tcW w:w="1269" w:type="dxa"/>
            <w:tcBorders>
              <w:tl2br w:val="nil"/>
              <w:tr2bl w:val="nil"/>
            </w:tcBorders>
            <w:vAlign w:val="center"/>
          </w:tcPr>
          <w:p w14:paraId="48B601B2">
            <w:pPr>
              <w:pStyle w:val="25"/>
              <w:adjustRightInd w:val="0"/>
              <w:snapToGrid w:val="0"/>
              <w:spacing w:before="0" w:beforeAutospacing="0" w:after="0" w:afterAutospacing="0"/>
              <w:ind w:left="-105" w:right="-105"/>
              <w:jc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0.0094</w:t>
            </w:r>
          </w:p>
        </w:tc>
        <w:tc>
          <w:tcPr>
            <w:tcW w:w="1241" w:type="dxa"/>
            <w:tcBorders>
              <w:tl2br w:val="nil"/>
              <w:tr2bl w:val="nil"/>
            </w:tcBorders>
            <w:vAlign w:val="center"/>
          </w:tcPr>
          <w:p w14:paraId="00178946">
            <w:pPr>
              <w:adjustRightInd w:val="0"/>
              <w:snapToGrid w:val="0"/>
              <w:ind w:left="-105" w:right="-105"/>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5</w:t>
            </w:r>
          </w:p>
        </w:tc>
        <w:tc>
          <w:tcPr>
            <w:tcW w:w="849" w:type="dxa"/>
            <w:tcBorders>
              <w:tl2br w:val="nil"/>
              <w:tr2bl w:val="nil"/>
            </w:tcBorders>
            <w:vAlign w:val="center"/>
          </w:tcPr>
          <w:p w14:paraId="61706F07">
            <w:pPr>
              <w:adjustRightInd w:val="0"/>
              <w:snapToGrid w:val="0"/>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1.5</w:t>
            </w:r>
          </w:p>
        </w:tc>
        <w:tc>
          <w:tcPr>
            <w:tcW w:w="1515" w:type="dxa"/>
            <w:tcBorders>
              <w:tl2br w:val="nil"/>
              <w:tr2bl w:val="nil"/>
            </w:tcBorders>
            <w:vAlign w:val="center"/>
          </w:tcPr>
          <w:p w14:paraId="35086C78">
            <w:pPr>
              <w:adjustRightInd w:val="0"/>
              <w:snapToGrid w:val="0"/>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＜1/6</w:t>
            </w:r>
          </w:p>
        </w:tc>
      </w:tr>
    </w:tbl>
    <w:p w14:paraId="6B84215A">
      <w:pPr>
        <w:pStyle w:val="44"/>
        <w:spacing w:after="0" w:line="360" w:lineRule="auto"/>
        <w:ind w:left="0" w:leftChars="0" w:right="-105" w:firstLine="480"/>
        <w:rPr>
          <w:rFonts w:eastAsia="宋体"/>
          <w:color w:val="auto"/>
          <w:sz w:val="24"/>
          <w:highlight w:val="none"/>
        </w:rPr>
      </w:pPr>
      <w:r>
        <w:rPr>
          <w:rFonts w:hint="eastAsia" w:eastAsia="宋体"/>
          <w:color w:val="auto"/>
          <w:sz w:val="24"/>
          <w:highlight w:val="none"/>
        </w:rPr>
        <w:t>②判断标准</w:t>
      </w:r>
    </w:p>
    <w:p w14:paraId="4B3FD5CE">
      <w:pPr>
        <w:pStyle w:val="44"/>
        <w:spacing w:after="0" w:line="360" w:lineRule="auto"/>
        <w:ind w:left="0" w:leftChars="0" w:right="-105" w:firstLine="480"/>
        <w:rPr>
          <w:rFonts w:eastAsia="宋体"/>
          <w:color w:val="auto"/>
          <w:sz w:val="24"/>
          <w:highlight w:val="none"/>
        </w:rPr>
      </w:pPr>
      <w:r>
        <w:rPr>
          <w:rFonts w:hint="eastAsia" w:eastAsia="宋体"/>
          <w:color w:val="auto"/>
          <w:sz w:val="24"/>
          <w:highlight w:val="none"/>
        </w:rPr>
        <w:t>判断标准为：对于连续排放，</w:t>
      </w:r>
      <w:r>
        <w:rPr>
          <w:rFonts w:eastAsia="宋体"/>
          <w:color w:val="auto"/>
          <w:sz w:val="24"/>
          <w:highlight w:val="none"/>
        </w:rPr>
        <w:t>Ri≥1/6为重质气体，Ri＜1/6为轻质气体。当Ri处于临界值附近时，说明烟团/烟羽既不是典型的重质气体扩散，也不是典型的轻质气体扩散。可以进行敏感性分析，分别采用重质气体模型和轻质气体模型进行模拟，选取影响范围最大的结果。</w:t>
      </w:r>
    </w:p>
    <w:p w14:paraId="32A15DD4">
      <w:pPr>
        <w:pStyle w:val="44"/>
        <w:spacing w:after="0" w:line="360" w:lineRule="auto"/>
        <w:ind w:left="0" w:leftChars="0" w:right="-105" w:firstLine="480"/>
        <w:rPr>
          <w:rFonts w:eastAsia="宋体"/>
          <w:color w:val="auto"/>
          <w:sz w:val="24"/>
          <w:highlight w:val="none"/>
        </w:rPr>
      </w:pPr>
      <w:r>
        <w:rPr>
          <w:rFonts w:eastAsia="宋体"/>
          <w:color w:val="auto"/>
          <w:sz w:val="24"/>
          <w:highlight w:val="none"/>
        </w:rPr>
        <w:t>火灾产生一氧化碳为连续排放，且Ri＜1/6，所以火灾产生一氧化碳为轻质气体</w:t>
      </w:r>
      <w:r>
        <w:rPr>
          <w:rFonts w:hint="eastAsia" w:eastAsia="宋体"/>
          <w:color w:val="auto"/>
          <w:sz w:val="24"/>
          <w:highlight w:val="none"/>
        </w:rPr>
        <w:t>。</w:t>
      </w:r>
    </w:p>
    <w:p w14:paraId="63FCD9A5">
      <w:pPr>
        <w:pStyle w:val="44"/>
        <w:spacing w:after="0" w:line="360" w:lineRule="auto"/>
        <w:ind w:left="0" w:leftChars="0" w:right="-105" w:firstLine="480"/>
        <w:rPr>
          <w:rFonts w:eastAsia="宋体"/>
          <w:color w:val="auto"/>
          <w:sz w:val="24"/>
          <w:highlight w:val="none"/>
        </w:rPr>
      </w:pPr>
      <w:r>
        <w:rPr>
          <w:rFonts w:eastAsia="宋体"/>
          <w:color w:val="auto"/>
          <w:sz w:val="24"/>
          <w:highlight w:val="none"/>
        </w:rPr>
        <w:t>3）模型筛选</w:t>
      </w:r>
    </w:p>
    <w:p w14:paraId="6A09DFEB">
      <w:pPr>
        <w:pStyle w:val="44"/>
        <w:spacing w:after="0" w:line="360" w:lineRule="auto"/>
        <w:ind w:left="0" w:leftChars="0" w:right="-105" w:firstLine="480"/>
        <w:rPr>
          <w:rFonts w:eastAsia="宋体"/>
          <w:color w:val="auto"/>
          <w:sz w:val="24"/>
          <w:highlight w:val="none"/>
        </w:rPr>
      </w:pPr>
      <w:r>
        <w:rPr>
          <w:rFonts w:eastAsia="宋体"/>
          <w:color w:val="auto"/>
          <w:sz w:val="24"/>
          <w:highlight w:val="none"/>
        </w:rPr>
        <w:t>根据《建设项目环境风险评价技术导则》（HJ169-2018</w:t>
      </w:r>
      <w:r>
        <w:rPr>
          <w:rFonts w:hint="eastAsia" w:eastAsia="宋体"/>
          <w:color w:val="auto"/>
          <w:sz w:val="24"/>
          <w:highlight w:val="none"/>
        </w:rPr>
        <w:t>）</w:t>
      </w:r>
      <w:r>
        <w:rPr>
          <w:rFonts w:eastAsia="宋体"/>
          <w:color w:val="auto"/>
          <w:sz w:val="24"/>
          <w:highlight w:val="none"/>
        </w:rPr>
        <w:t>附录G中大气风险预测推荐模型，本次选用AFTOX模型进行预测，预测模型主要参数见下表。</w:t>
      </w:r>
    </w:p>
    <w:p w14:paraId="40E1E4FC">
      <w:pPr>
        <w:pStyle w:val="15"/>
        <w:ind w:left="-105" w:right="-105" w:firstLine="482"/>
        <w:rPr>
          <w:rFonts w:eastAsia="宋体"/>
          <w:color w:val="auto"/>
          <w:sz w:val="24"/>
          <w:szCs w:val="24"/>
          <w:highlight w:val="none"/>
        </w:rPr>
      </w:pPr>
      <w:r>
        <w:rPr>
          <w:rFonts w:eastAsia="宋体"/>
          <w:color w:val="auto"/>
          <w:sz w:val="24"/>
          <w:szCs w:val="24"/>
          <w:highlight w:val="none"/>
        </w:rPr>
        <w:t>表</w:t>
      </w:r>
      <w:r>
        <w:rPr>
          <w:rFonts w:eastAsia="宋体"/>
          <w:color w:val="auto"/>
          <w:sz w:val="24"/>
          <w:szCs w:val="24"/>
          <w:highlight w:val="none"/>
        </w:rPr>
        <w:fldChar w:fldCharType="begin"/>
      </w:r>
      <w:r>
        <w:rPr>
          <w:rFonts w:eastAsia="宋体"/>
          <w:color w:val="auto"/>
          <w:sz w:val="24"/>
          <w:szCs w:val="24"/>
          <w:highlight w:val="none"/>
        </w:rPr>
        <w:instrText xml:space="preserve"> STYLEREF 2 \s </w:instrText>
      </w:r>
      <w:r>
        <w:rPr>
          <w:rFonts w:eastAsia="宋体"/>
          <w:color w:val="auto"/>
          <w:sz w:val="24"/>
          <w:szCs w:val="24"/>
          <w:highlight w:val="none"/>
        </w:rPr>
        <w:fldChar w:fldCharType="separate"/>
      </w:r>
      <w:r>
        <w:rPr>
          <w:rFonts w:eastAsia="宋体"/>
          <w:color w:val="auto"/>
          <w:sz w:val="24"/>
          <w:szCs w:val="24"/>
          <w:highlight w:val="none"/>
        </w:rPr>
        <w:t>6.7</w:t>
      </w:r>
      <w:r>
        <w:rPr>
          <w:rFonts w:eastAsia="宋体"/>
          <w:color w:val="auto"/>
          <w:sz w:val="24"/>
          <w:szCs w:val="24"/>
          <w:highlight w:val="none"/>
        </w:rPr>
        <w:fldChar w:fldCharType="end"/>
      </w:r>
      <w:r>
        <w:rPr>
          <w:rFonts w:eastAsia="宋体"/>
          <w:color w:val="auto"/>
          <w:sz w:val="24"/>
          <w:szCs w:val="24"/>
          <w:highlight w:val="none"/>
        </w:rPr>
        <w:noBreakHyphen/>
      </w:r>
      <w:r>
        <w:rPr>
          <w:rFonts w:eastAsia="宋体"/>
          <w:color w:val="auto"/>
          <w:sz w:val="24"/>
          <w:szCs w:val="24"/>
          <w:highlight w:val="none"/>
        </w:rPr>
        <w:fldChar w:fldCharType="begin"/>
      </w:r>
      <w:r>
        <w:rPr>
          <w:rFonts w:eastAsia="宋体"/>
          <w:color w:val="auto"/>
          <w:sz w:val="24"/>
          <w:szCs w:val="24"/>
          <w:highlight w:val="none"/>
        </w:rPr>
        <w:instrText xml:space="preserve"> SEQ 表 \* ARABIC \s 2 </w:instrText>
      </w:r>
      <w:r>
        <w:rPr>
          <w:rFonts w:eastAsia="宋体"/>
          <w:color w:val="auto"/>
          <w:sz w:val="24"/>
          <w:szCs w:val="24"/>
          <w:highlight w:val="none"/>
        </w:rPr>
        <w:fldChar w:fldCharType="separate"/>
      </w:r>
      <w:r>
        <w:rPr>
          <w:rFonts w:eastAsia="宋体"/>
          <w:color w:val="auto"/>
          <w:sz w:val="24"/>
          <w:szCs w:val="24"/>
          <w:highlight w:val="none"/>
        </w:rPr>
        <w:t>1</w:t>
      </w:r>
      <w:r>
        <w:rPr>
          <w:rFonts w:eastAsia="宋体"/>
          <w:color w:val="auto"/>
          <w:sz w:val="24"/>
          <w:szCs w:val="24"/>
          <w:highlight w:val="none"/>
        </w:rPr>
        <w:fldChar w:fldCharType="end"/>
      </w:r>
      <w:r>
        <w:rPr>
          <w:rFonts w:eastAsia="宋体"/>
          <w:color w:val="auto"/>
          <w:sz w:val="24"/>
          <w:szCs w:val="24"/>
          <w:highlight w:val="none"/>
        </w:rPr>
        <w:t>大气风险预测模型主要参数表</w:t>
      </w:r>
    </w:p>
    <w:tbl>
      <w:tblPr>
        <w:tblStyle w:val="45"/>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1105"/>
        <w:gridCol w:w="3568"/>
        <w:gridCol w:w="1886"/>
        <w:gridCol w:w="1945"/>
      </w:tblGrid>
      <w:tr w14:paraId="567824F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178" w:type="dxa"/>
            <w:shd w:val="clear" w:color="auto" w:fill="FFFFFF"/>
            <w:vAlign w:val="center"/>
          </w:tcPr>
          <w:p w14:paraId="0E932405">
            <w:pPr>
              <w:snapToGrid w:val="0"/>
              <w:ind w:left="-105" w:right="-105"/>
              <w:jc w:val="center"/>
              <w:rPr>
                <w:rFonts w:ascii="Times New Roman" w:hAnsi="Times New Roman" w:cs="Times New Roman"/>
                <w:b/>
                <w:bCs/>
                <w:color w:val="auto"/>
                <w:sz w:val="21"/>
                <w:szCs w:val="21"/>
                <w:highlight w:val="none"/>
                <w:lang w:val="zh-TW"/>
              </w:rPr>
            </w:pPr>
            <w:r>
              <w:rPr>
                <w:rFonts w:ascii="Times New Roman" w:hAnsi="Times New Roman" w:cs="Times New Roman"/>
                <w:b/>
                <w:bCs/>
                <w:color w:val="auto"/>
                <w:sz w:val="21"/>
                <w:szCs w:val="21"/>
                <w:highlight w:val="none"/>
                <w:lang w:val="zh-TW"/>
              </w:rPr>
              <w:t>参数类型</w:t>
            </w:r>
          </w:p>
        </w:tc>
        <w:tc>
          <w:tcPr>
            <w:tcW w:w="3807" w:type="dxa"/>
            <w:shd w:val="clear" w:color="auto" w:fill="FFFFFF"/>
            <w:vAlign w:val="center"/>
          </w:tcPr>
          <w:p w14:paraId="128F8B35">
            <w:pPr>
              <w:snapToGrid w:val="0"/>
              <w:ind w:left="-105" w:right="-105"/>
              <w:jc w:val="center"/>
              <w:rPr>
                <w:rFonts w:ascii="Times New Roman" w:hAnsi="Times New Roman" w:cs="Times New Roman"/>
                <w:b/>
                <w:bCs/>
                <w:color w:val="auto"/>
                <w:sz w:val="21"/>
                <w:szCs w:val="21"/>
                <w:highlight w:val="none"/>
                <w:lang w:val="zh-TW"/>
              </w:rPr>
            </w:pPr>
            <w:r>
              <w:rPr>
                <w:rFonts w:ascii="Times New Roman" w:hAnsi="Times New Roman" w:cs="Times New Roman"/>
                <w:b/>
                <w:bCs/>
                <w:color w:val="auto"/>
                <w:sz w:val="21"/>
                <w:szCs w:val="21"/>
                <w:highlight w:val="none"/>
                <w:lang w:val="zh-TW"/>
              </w:rPr>
              <w:t>选项</w:t>
            </w:r>
          </w:p>
        </w:tc>
        <w:tc>
          <w:tcPr>
            <w:tcW w:w="4086" w:type="dxa"/>
            <w:gridSpan w:val="2"/>
            <w:shd w:val="clear" w:color="auto" w:fill="FFFFFF"/>
            <w:vAlign w:val="center"/>
          </w:tcPr>
          <w:p w14:paraId="575DAD93">
            <w:pPr>
              <w:snapToGrid w:val="0"/>
              <w:ind w:left="-105" w:right="-105"/>
              <w:jc w:val="center"/>
              <w:rPr>
                <w:rFonts w:ascii="Times New Roman" w:hAnsi="Times New Roman" w:cs="Times New Roman"/>
                <w:b/>
                <w:bCs/>
                <w:color w:val="auto"/>
                <w:sz w:val="21"/>
                <w:szCs w:val="21"/>
                <w:highlight w:val="none"/>
                <w:lang w:val="zh-TW"/>
              </w:rPr>
            </w:pPr>
            <w:r>
              <w:rPr>
                <w:rFonts w:ascii="Times New Roman" w:hAnsi="Times New Roman" w:cs="Times New Roman"/>
                <w:b/>
                <w:bCs/>
                <w:color w:val="auto"/>
                <w:sz w:val="21"/>
                <w:szCs w:val="21"/>
                <w:highlight w:val="none"/>
                <w:lang w:val="zh-TW"/>
              </w:rPr>
              <w:t>参数</w:t>
            </w:r>
          </w:p>
        </w:tc>
      </w:tr>
      <w:tr w14:paraId="05388F3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178" w:type="dxa"/>
            <w:vMerge w:val="restart"/>
            <w:shd w:val="clear" w:color="auto" w:fill="FFFFFF"/>
            <w:vAlign w:val="center"/>
          </w:tcPr>
          <w:p w14:paraId="61473E44">
            <w:pPr>
              <w:snapToGrid w:val="0"/>
              <w:ind w:left="-105" w:right="-105"/>
              <w:jc w:val="center"/>
              <w:rPr>
                <w:rFonts w:ascii="Times New Roman" w:hAnsi="Times New Roman" w:cs="Times New Roman"/>
                <w:color w:val="auto"/>
                <w:sz w:val="21"/>
                <w:szCs w:val="21"/>
                <w:highlight w:val="none"/>
                <w:lang w:val="zh-TW"/>
              </w:rPr>
            </w:pPr>
            <w:r>
              <w:rPr>
                <w:rFonts w:ascii="Times New Roman" w:hAnsi="Times New Roman" w:cs="Times New Roman"/>
                <w:color w:val="auto"/>
                <w:sz w:val="21"/>
                <w:szCs w:val="21"/>
                <w:highlight w:val="none"/>
                <w:lang w:val="zh-TW"/>
              </w:rPr>
              <w:t>基本情况</w:t>
            </w:r>
          </w:p>
        </w:tc>
        <w:tc>
          <w:tcPr>
            <w:tcW w:w="3807" w:type="dxa"/>
            <w:shd w:val="clear" w:color="auto" w:fill="FFFFFF"/>
            <w:vAlign w:val="center"/>
          </w:tcPr>
          <w:p w14:paraId="1689D0C2">
            <w:pPr>
              <w:snapToGrid w:val="0"/>
              <w:ind w:left="-105" w:right="-105"/>
              <w:jc w:val="center"/>
              <w:rPr>
                <w:rFonts w:ascii="Times New Roman" w:hAnsi="Times New Roman" w:cs="Times New Roman"/>
                <w:color w:val="auto"/>
                <w:sz w:val="21"/>
                <w:szCs w:val="21"/>
                <w:highlight w:val="none"/>
                <w:lang w:val="zh-TW"/>
              </w:rPr>
            </w:pPr>
            <w:r>
              <w:rPr>
                <w:rFonts w:ascii="Times New Roman" w:hAnsi="Times New Roman" w:cs="Times New Roman"/>
                <w:color w:val="auto"/>
                <w:sz w:val="21"/>
                <w:szCs w:val="21"/>
                <w:highlight w:val="none"/>
                <w:lang w:val="zh-TW"/>
              </w:rPr>
              <w:t>事故源经度/(°</w:t>
            </w:r>
            <w:r>
              <w:rPr>
                <w:rFonts w:ascii="Times New Roman" w:hAnsi="Times New Roman" w:cs="Times New Roman"/>
                <w:color w:val="auto"/>
                <w:sz w:val="21"/>
                <w:szCs w:val="21"/>
                <w:highlight w:val="none"/>
                <w:lang w:eastAsia="en-US"/>
              </w:rPr>
              <w:t>)</w:t>
            </w:r>
          </w:p>
        </w:tc>
        <w:tc>
          <w:tcPr>
            <w:tcW w:w="4086" w:type="dxa"/>
            <w:gridSpan w:val="2"/>
            <w:shd w:val="clear" w:color="auto" w:fill="FFFFFF"/>
            <w:vAlign w:val="center"/>
          </w:tcPr>
          <w:p w14:paraId="554E461F">
            <w:pPr>
              <w:adjustRightInd w:val="0"/>
              <w:snapToGrid w:val="0"/>
              <w:ind w:left="-105" w:right="-105"/>
              <w:jc w:val="center"/>
              <w:rPr>
                <w:rFonts w:ascii="Times New Roman" w:hAnsi="Times New Roman" w:eastAsia="PMingLiU" w:cs="Times New Roman"/>
                <w:color w:val="auto"/>
                <w:sz w:val="21"/>
                <w:szCs w:val="21"/>
                <w:highlight w:val="none"/>
                <w:lang w:val="zh-TW" w:eastAsia="zh-TW"/>
              </w:rPr>
            </w:pPr>
            <w:r>
              <w:rPr>
                <w:rFonts w:hint="eastAsia" w:ascii="Times New Roman" w:hAnsi="Times New Roman" w:cs="Times New Roman"/>
                <w:color w:val="auto"/>
                <w:sz w:val="21"/>
                <w:szCs w:val="21"/>
                <w:highlight w:val="none"/>
                <w:lang w:val="zh-TW"/>
              </w:rPr>
              <w:t>120.397269945</w:t>
            </w:r>
          </w:p>
        </w:tc>
      </w:tr>
      <w:tr w14:paraId="20CCA43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178" w:type="dxa"/>
            <w:vMerge w:val="continue"/>
            <w:shd w:val="clear" w:color="auto" w:fill="FFFFFF"/>
            <w:vAlign w:val="center"/>
          </w:tcPr>
          <w:p w14:paraId="64B10C90">
            <w:pPr>
              <w:snapToGrid w:val="0"/>
              <w:ind w:left="-105" w:right="-105"/>
              <w:jc w:val="center"/>
              <w:rPr>
                <w:rFonts w:ascii="Times New Roman" w:hAnsi="Times New Roman" w:cs="Times New Roman"/>
                <w:color w:val="auto"/>
                <w:sz w:val="21"/>
                <w:szCs w:val="21"/>
                <w:highlight w:val="none"/>
                <w:lang w:val="zh-TW"/>
              </w:rPr>
            </w:pPr>
          </w:p>
        </w:tc>
        <w:tc>
          <w:tcPr>
            <w:tcW w:w="3807" w:type="dxa"/>
            <w:shd w:val="clear" w:color="auto" w:fill="FFFFFF"/>
            <w:vAlign w:val="center"/>
          </w:tcPr>
          <w:p w14:paraId="634668CE">
            <w:pPr>
              <w:snapToGrid w:val="0"/>
              <w:ind w:left="-105" w:right="-105"/>
              <w:jc w:val="center"/>
              <w:rPr>
                <w:rFonts w:ascii="Times New Roman" w:hAnsi="Times New Roman" w:cs="Times New Roman"/>
                <w:color w:val="auto"/>
                <w:sz w:val="21"/>
                <w:szCs w:val="21"/>
                <w:highlight w:val="none"/>
                <w:lang w:val="zh-TW"/>
              </w:rPr>
            </w:pPr>
            <w:r>
              <w:rPr>
                <w:rFonts w:ascii="Times New Roman" w:hAnsi="Times New Roman" w:cs="Times New Roman"/>
                <w:color w:val="auto"/>
                <w:sz w:val="21"/>
                <w:szCs w:val="21"/>
                <w:highlight w:val="none"/>
                <w:lang w:val="zh-TW"/>
              </w:rPr>
              <w:t>事故源纬度/(°</w:t>
            </w:r>
            <w:r>
              <w:rPr>
                <w:rFonts w:ascii="Times New Roman" w:hAnsi="Times New Roman" w:cs="Times New Roman"/>
                <w:color w:val="auto"/>
                <w:sz w:val="21"/>
                <w:szCs w:val="21"/>
                <w:highlight w:val="none"/>
                <w:lang w:eastAsia="en-US"/>
              </w:rPr>
              <w:t>)</w:t>
            </w:r>
          </w:p>
        </w:tc>
        <w:tc>
          <w:tcPr>
            <w:tcW w:w="4086" w:type="dxa"/>
            <w:gridSpan w:val="2"/>
            <w:shd w:val="clear" w:color="auto" w:fill="FFFFFF"/>
            <w:vAlign w:val="center"/>
          </w:tcPr>
          <w:p w14:paraId="372EDAF6">
            <w:pPr>
              <w:adjustRightInd w:val="0"/>
              <w:snapToGrid w:val="0"/>
              <w:ind w:left="-105" w:right="-105"/>
              <w:jc w:val="center"/>
              <w:rPr>
                <w:rFonts w:ascii="Times New Roman" w:hAnsi="Times New Roman" w:cs="Times New Roman"/>
                <w:color w:val="auto"/>
                <w:sz w:val="21"/>
                <w:szCs w:val="21"/>
                <w:highlight w:val="none"/>
                <w:lang w:val="zh-TW"/>
              </w:rPr>
            </w:pPr>
            <w:r>
              <w:rPr>
                <w:rFonts w:hint="eastAsia" w:ascii="Times New Roman" w:hAnsi="Times New Roman" w:cs="Times New Roman"/>
                <w:color w:val="auto"/>
                <w:sz w:val="21"/>
                <w:szCs w:val="21"/>
                <w:highlight w:val="none"/>
                <w:lang w:val="zh-TW"/>
              </w:rPr>
              <w:t>31.649087092</w:t>
            </w:r>
          </w:p>
        </w:tc>
      </w:tr>
      <w:tr w14:paraId="58A2D7B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178" w:type="dxa"/>
            <w:vMerge w:val="continue"/>
            <w:shd w:val="clear" w:color="auto" w:fill="FFFFFF"/>
            <w:vAlign w:val="center"/>
          </w:tcPr>
          <w:p w14:paraId="22168FB5">
            <w:pPr>
              <w:snapToGrid w:val="0"/>
              <w:ind w:left="-105" w:right="-105"/>
              <w:jc w:val="center"/>
              <w:rPr>
                <w:rFonts w:ascii="Times New Roman" w:hAnsi="Times New Roman" w:cs="Times New Roman"/>
                <w:color w:val="auto"/>
                <w:sz w:val="21"/>
                <w:szCs w:val="21"/>
                <w:highlight w:val="none"/>
                <w:lang w:val="zh-TW"/>
              </w:rPr>
            </w:pPr>
          </w:p>
        </w:tc>
        <w:tc>
          <w:tcPr>
            <w:tcW w:w="3807" w:type="dxa"/>
            <w:shd w:val="clear" w:color="auto" w:fill="FFFFFF"/>
            <w:vAlign w:val="center"/>
          </w:tcPr>
          <w:p w14:paraId="5B769535">
            <w:pPr>
              <w:snapToGrid w:val="0"/>
              <w:ind w:left="-105" w:right="-105"/>
              <w:jc w:val="center"/>
              <w:rPr>
                <w:rFonts w:ascii="Times New Roman" w:hAnsi="Times New Roman" w:cs="Times New Roman"/>
                <w:color w:val="auto"/>
                <w:sz w:val="21"/>
                <w:szCs w:val="21"/>
                <w:highlight w:val="none"/>
                <w:lang w:val="zh-TW"/>
              </w:rPr>
            </w:pPr>
            <w:r>
              <w:rPr>
                <w:rFonts w:ascii="Times New Roman" w:hAnsi="Times New Roman" w:cs="Times New Roman"/>
                <w:color w:val="auto"/>
                <w:sz w:val="21"/>
                <w:szCs w:val="21"/>
                <w:highlight w:val="none"/>
                <w:lang w:val="zh-TW"/>
              </w:rPr>
              <w:t>事故源类型</w:t>
            </w:r>
          </w:p>
        </w:tc>
        <w:tc>
          <w:tcPr>
            <w:tcW w:w="4086" w:type="dxa"/>
            <w:gridSpan w:val="2"/>
            <w:shd w:val="clear" w:color="auto" w:fill="FFFFFF"/>
            <w:vAlign w:val="center"/>
          </w:tcPr>
          <w:p w14:paraId="7C2FA00C">
            <w:pPr>
              <w:snapToGrid w:val="0"/>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泄漏</w:t>
            </w:r>
          </w:p>
        </w:tc>
      </w:tr>
      <w:tr w14:paraId="5D87393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178" w:type="dxa"/>
            <w:vMerge w:val="restart"/>
            <w:shd w:val="clear" w:color="auto" w:fill="FFFFFF"/>
            <w:vAlign w:val="center"/>
          </w:tcPr>
          <w:p w14:paraId="5A4FC439">
            <w:pPr>
              <w:snapToGrid w:val="0"/>
              <w:ind w:left="-105" w:right="-105"/>
              <w:jc w:val="center"/>
              <w:rPr>
                <w:rFonts w:ascii="Times New Roman" w:hAnsi="Times New Roman" w:cs="Times New Roman"/>
                <w:color w:val="auto"/>
                <w:sz w:val="21"/>
                <w:szCs w:val="21"/>
                <w:highlight w:val="none"/>
                <w:lang w:val="zh-TW"/>
              </w:rPr>
            </w:pPr>
            <w:r>
              <w:rPr>
                <w:rFonts w:ascii="Times New Roman" w:hAnsi="Times New Roman" w:cs="Times New Roman"/>
                <w:color w:val="auto"/>
                <w:sz w:val="21"/>
                <w:szCs w:val="21"/>
                <w:highlight w:val="none"/>
                <w:lang w:val="zh-TW"/>
              </w:rPr>
              <w:t>气象参数</w:t>
            </w:r>
          </w:p>
        </w:tc>
        <w:tc>
          <w:tcPr>
            <w:tcW w:w="3807" w:type="dxa"/>
            <w:shd w:val="clear" w:color="auto" w:fill="FFFFFF"/>
            <w:vAlign w:val="center"/>
          </w:tcPr>
          <w:p w14:paraId="04A38188">
            <w:pPr>
              <w:snapToGrid w:val="0"/>
              <w:ind w:left="-105" w:right="-105"/>
              <w:jc w:val="center"/>
              <w:rPr>
                <w:rFonts w:ascii="Times New Roman" w:hAnsi="Times New Roman" w:cs="Times New Roman"/>
                <w:color w:val="auto"/>
                <w:sz w:val="21"/>
                <w:szCs w:val="21"/>
                <w:highlight w:val="none"/>
                <w:lang w:val="zh-TW"/>
              </w:rPr>
            </w:pPr>
            <w:r>
              <w:rPr>
                <w:rFonts w:ascii="Times New Roman" w:hAnsi="Times New Roman" w:cs="Times New Roman"/>
                <w:color w:val="auto"/>
                <w:sz w:val="21"/>
                <w:szCs w:val="21"/>
                <w:highlight w:val="none"/>
                <w:lang w:val="zh-TW"/>
              </w:rPr>
              <w:t>气象条件类型</w:t>
            </w:r>
          </w:p>
        </w:tc>
        <w:tc>
          <w:tcPr>
            <w:tcW w:w="2011" w:type="dxa"/>
            <w:shd w:val="clear" w:color="auto" w:fill="FFFFFF"/>
            <w:vAlign w:val="center"/>
          </w:tcPr>
          <w:p w14:paraId="7D571E79">
            <w:pPr>
              <w:snapToGrid w:val="0"/>
              <w:ind w:left="-105" w:right="-105"/>
              <w:jc w:val="center"/>
              <w:rPr>
                <w:rFonts w:ascii="Times New Roman" w:hAnsi="Times New Roman" w:cs="Times New Roman"/>
                <w:color w:val="auto"/>
                <w:sz w:val="21"/>
                <w:szCs w:val="21"/>
                <w:highlight w:val="none"/>
                <w:lang w:val="zh-TW"/>
              </w:rPr>
            </w:pPr>
            <w:r>
              <w:rPr>
                <w:rFonts w:ascii="Times New Roman" w:hAnsi="Times New Roman" w:cs="Times New Roman"/>
                <w:color w:val="auto"/>
                <w:sz w:val="21"/>
                <w:szCs w:val="21"/>
                <w:highlight w:val="none"/>
                <w:lang w:val="zh-TW"/>
              </w:rPr>
              <w:t>最不利气象</w:t>
            </w:r>
          </w:p>
        </w:tc>
        <w:tc>
          <w:tcPr>
            <w:tcW w:w="2075" w:type="dxa"/>
            <w:shd w:val="clear" w:color="auto" w:fill="FFFFFF"/>
            <w:vAlign w:val="center"/>
          </w:tcPr>
          <w:p w14:paraId="773C10D4">
            <w:pPr>
              <w:snapToGrid w:val="0"/>
              <w:ind w:left="-105" w:right="-105"/>
              <w:jc w:val="center"/>
              <w:rPr>
                <w:rFonts w:ascii="Times New Roman" w:hAnsi="Times New Roman" w:cs="Times New Roman"/>
                <w:color w:val="auto"/>
                <w:sz w:val="21"/>
                <w:szCs w:val="21"/>
                <w:highlight w:val="none"/>
                <w:lang w:val="zh-TW"/>
              </w:rPr>
            </w:pPr>
            <w:r>
              <w:rPr>
                <w:rFonts w:ascii="Times New Roman" w:hAnsi="Times New Roman" w:cs="Times New Roman"/>
                <w:color w:val="auto"/>
                <w:sz w:val="21"/>
                <w:szCs w:val="21"/>
                <w:highlight w:val="none"/>
                <w:lang w:val="zh-TW"/>
              </w:rPr>
              <w:t>最常见气象</w:t>
            </w:r>
          </w:p>
        </w:tc>
      </w:tr>
      <w:tr w14:paraId="3EEBD66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178" w:type="dxa"/>
            <w:vMerge w:val="continue"/>
            <w:shd w:val="clear" w:color="auto" w:fill="FFFFFF"/>
            <w:vAlign w:val="center"/>
          </w:tcPr>
          <w:p w14:paraId="079C2A2A">
            <w:pPr>
              <w:snapToGrid w:val="0"/>
              <w:ind w:left="-105" w:right="-105"/>
              <w:jc w:val="center"/>
              <w:rPr>
                <w:rFonts w:ascii="Times New Roman" w:hAnsi="Times New Roman" w:cs="Times New Roman"/>
                <w:color w:val="auto"/>
                <w:sz w:val="21"/>
                <w:szCs w:val="21"/>
                <w:highlight w:val="none"/>
                <w:lang w:val="zh-TW"/>
              </w:rPr>
            </w:pPr>
          </w:p>
        </w:tc>
        <w:tc>
          <w:tcPr>
            <w:tcW w:w="3807" w:type="dxa"/>
            <w:shd w:val="clear" w:color="auto" w:fill="FFFFFF"/>
            <w:vAlign w:val="center"/>
          </w:tcPr>
          <w:p w14:paraId="55665D3B">
            <w:pPr>
              <w:snapToGrid w:val="0"/>
              <w:ind w:left="-105" w:right="-105"/>
              <w:jc w:val="center"/>
              <w:rPr>
                <w:rFonts w:ascii="Times New Roman" w:hAnsi="Times New Roman" w:cs="Times New Roman"/>
                <w:color w:val="auto"/>
                <w:sz w:val="21"/>
                <w:szCs w:val="21"/>
                <w:highlight w:val="none"/>
                <w:lang w:val="zh-TW"/>
              </w:rPr>
            </w:pPr>
            <w:r>
              <w:rPr>
                <w:rFonts w:ascii="Times New Roman" w:hAnsi="Times New Roman" w:cs="Times New Roman"/>
                <w:color w:val="auto"/>
                <w:sz w:val="21"/>
                <w:szCs w:val="21"/>
                <w:highlight w:val="none"/>
                <w:lang w:val="zh-TW"/>
              </w:rPr>
              <w:t>风速</w:t>
            </w:r>
            <w:r>
              <w:rPr>
                <w:rFonts w:ascii="Times New Roman" w:hAnsi="Times New Roman" w:cs="Times New Roman"/>
                <w:color w:val="auto"/>
                <w:sz w:val="21"/>
                <w:szCs w:val="21"/>
                <w:highlight w:val="none"/>
                <w:lang w:eastAsia="en-US"/>
              </w:rPr>
              <w:t>/(m/s)</w:t>
            </w:r>
          </w:p>
        </w:tc>
        <w:tc>
          <w:tcPr>
            <w:tcW w:w="2011" w:type="dxa"/>
            <w:shd w:val="clear" w:color="auto" w:fill="FFFFFF"/>
            <w:vAlign w:val="center"/>
          </w:tcPr>
          <w:p w14:paraId="2128DCFA">
            <w:pPr>
              <w:snapToGrid w:val="0"/>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1.5</w:t>
            </w:r>
          </w:p>
        </w:tc>
        <w:tc>
          <w:tcPr>
            <w:tcW w:w="2075" w:type="dxa"/>
            <w:shd w:val="clear" w:color="auto" w:fill="FFFFFF"/>
            <w:vAlign w:val="center"/>
          </w:tcPr>
          <w:p w14:paraId="6FAFC435">
            <w:pPr>
              <w:snapToGrid w:val="0"/>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w:t>
            </w:r>
          </w:p>
        </w:tc>
      </w:tr>
      <w:tr w14:paraId="2FE0F8B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178" w:type="dxa"/>
            <w:vMerge w:val="continue"/>
            <w:shd w:val="clear" w:color="auto" w:fill="FFFFFF"/>
            <w:vAlign w:val="center"/>
          </w:tcPr>
          <w:p w14:paraId="537DC81B">
            <w:pPr>
              <w:snapToGrid w:val="0"/>
              <w:ind w:left="-105" w:right="-105"/>
              <w:jc w:val="center"/>
              <w:rPr>
                <w:rFonts w:ascii="Times New Roman" w:hAnsi="Times New Roman" w:cs="Times New Roman"/>
                <w:color w:val="auto"/>
                <w:sz w:val="21"/>
                <w:szCs w:val="21"/>
                <w:highlight w:val="none"/>
                <w:lang w:val="zh-TW"/>
              </w:rPr>
            </w:pPr>
          </w:p>
        </w:tc>
        <w:tc>
          <w:tcPr>
            <w:tcW w:w="3807" w:type="dxa"/>
            <w:shd w:val="clear" w:color="auto" w:fill="FFFFFF"/>
            <w:vAlign w:val="center"/>
          </w:tcPr>
          <w:p w14:paraId="57C9BCBA">
            <w:pPr>
              <w:snapToGrid w:val="0"/>
              <w:ind w:left="-105" w:right="-105"/>
              <w:jc w:val="center"/>
              <w:rPr>
                <w:rFonts w:ascii="Times New Roman" w:hAnsi="Times New Roman" w:cs="Times New Roman"/>
                <w:color w:val="auto"/>
                <w:sz w:val="21"/>
                <w:szCs w:val="21"/>
                <w:highlight w:val="none"/>
                <w:lang w:val="zh-TW"/>
              </w:rPr>
            </w:pPr>
            <w:r>
              <w:rPr>
                <w:rFonts w:ascii="Times New Roman" w:hAnsi="Times New Roman" w:cs="Times New Roman"/>
                <w:color w:val="auto"/>
                <w:sz w:val="21"/>
                <w:szCs w:val="21"/>
                <w:highlight w:val="none"/>
                <w:lang w:val="zh-TW"/>
              </w:rPr>
              <w:t>环境温度</w:t>
            </w:r>
            <w:r>
              <w:rPr>
                <w:rFonts w:ascii="Times New Roman" w:hAnsi="Times New Roman" w:cs="Times New Roman"/>
                <w:color w:val="auto"/>
                <w:sz w:val="21"/>
                <w:szCs w:val="21"/>
                <w:highlight w:val="none"/>
                <w:lang w:eastAsia="en-US"/>
              </w:rPr>
              <w:t>/℃</w:t>
            </w:r>
          </w:p>
        </w:tc>
        <w:tc>
          <w:tcPr>
            <w:tcW w:w="2011" w:type="dxa"/>
            <w:shd w:val="clear" w:color="auto" w:fill="FFFFFF"/>
            <w:vAlign w:val="center"/>
          </w:tcPr>
          <w:p w14:paraId="204D31CC">
            <w:pPr>
              <w:snapToGrid w:val="0"/>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25</w:t>
            </w:r>
          </w:p>
        </w:tc>
        <w:tc>
          <w:tcPr>
            <w:tcW w:w="2075" w:type="dxa"/>
            <w:shd w:val="clear" w:color="auto" w:fill="FFFFFF"/>
            <w:vAlign w:val="center"/>
          </w:tcPr>
          <w:p w14:paraId="2FB568F9">
            <w:pPr>
              <w:snapToGrid w:val="0"/>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w:t>
            </w:r>
          </w:p>
        </w:tc>
      </w:tr>
      <w:tr w14:paraId="09D91BC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178" w:type="dxa"/>
            <w:vMerge w:val="continue"/>
            <w:shd w:val="clear" w:color="auto" w:fill="FFFFFF"/>
            <w:vAlign w:val="center"/>
          </w:tcPr>
          <w:p w14:paraId="43B76843">
            <w:pPr>
              <w:snapToGrid w:val="0"/>
              <w:ind w:left="-105" w:right="-105"/>
              <w:jc w:val="center"/>
              <w:rPr>
                <w:rFonts w:ascii="Times New Roman" w:hAnsi="Times New Roman" w:cs="Times New Roman"/>
                <w:color w:val="auto"/>
                <w:sz w:val="21"/>
                <w:szCs w:val="21"/>
                <w:highlight w:val="none"/>
                <w:lang w:val="zh-TW"/>
              </w:rPr>
            </w:pPr>
          </w:p>
        </w:tc>
        <w:tc>
          <w:tcPr>
            <w:tcW w:w="3807" w:type="dxa"/>
            <w:shd w:val="clear" w:color="auto" w:fill="FFFFFF"/>
            <w:vAlign w:val="center"/>
          </w:tcPr>
          <w:p w14:paraId="68F65BC5">
            <w:pPr>
              <w:snapToGrid w:val="0"/>
              <w:ind w:left="-105" w:right="-105"/>
              <w:jc w:val="center"/>
              <w:rPr>
                <w:rFonts w:ascii="Times New Roman" w:hAnsi="Times New Roman" w:cs="Times New Roman"/>
                <w:color w:val="auto"/>
                <w:sz w:val="21"/>
                <w:szCs w:val="21"/>
                <w:highlight w:val="none"/>
                <w:lang w:val="zh-TW"/>
              </w:rPr>
            </w:pPr>
            <w:r>
              <w:rPr>
                <w:rFonts w:ascii="Times New Roman" w:hAnsi="Times New Roman" w:cs="Times New Roman"/>
                <w:color w:val="auto"/>
                <w:sz w:val="21"/>
                <w:szCs w:val="21"/>
                <w:highlight w:val="none"/>
                <w:lang w:val="zh-TW"/>
              </w:rPr>
              <w:t>相对湿度/%</w:t>
            </w:r>
          </w:p>
        </w:tc>
        <w:tc>
          <w:tcPr>
            <w:tcW w:w="2011" w:type="dxa"/>
            <w:shd w:val="clear" w:color="auto" w:fill="FFFFFF"/>
            <w:vAlign w:val="center"/>
          </w:tcPr>
          <w:p w14:paraId="2FFE7776">
            <w:pPr>
              <w:snapToGrid w:val="0"/>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50</w:t>
            </w:r>
          </w:p>
        </w:tc>
        <w:tc>
          <w:tcPr>
            <w:tcW w:w="2075" w:type="dxa"/>
            <w:shd w:val="clear" w:color="auto" w:fill="FFFFFF"/>
            <w:vAlign w:val="center"/>
          </w:tcPr>
          <w:p w14:paraId="2B35439E">
            <w:pPr>
              <w:snapToGrid w:val="0"/>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w:t>
            </w:r>
          </w:p>
        </w:tc>
      </w:tr>
      <w:tr w14:paraId="7A1F44A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178" w:type="dxa"/>
            <w:vMerge w:val="continue"/>
            <w:shd w:val="clear" w:color="auto" w:fill="FFFFFF"/>
            <w:vAlign w:val="center"/>
          </w:tcPr>
          <w:p w14:paraId="32FFE2E8">
            <w:pPr>
              <w:snapToGrid w:val="0"/>
              <w:ind w:left="-105" w:right="-105"/>
              <w:jc w:val="center"/>
              <w:rPr>
                <w:rFonts w:ascii="Times New Roman" w:hAnsi="Times New Roman" w:cs="Times New Roman"/>
                <w:color w:val="auto"/>
                <w:sz w:val="21"/>
                <w:szCs w:val="21"/>
                <w:highlight w:val="none"/>
                <w:lang w:val="zh-TW"/>
              </w:rPr>
            </w:pPr>
          </w:p>
        </w:tc>
        <w:tc>
          <w:tcPr>
            <w:tcW w:w="3807" w:type="dxa"/>
            <w:shd w:val="clear" w:color="auto" w:fill="FFFFFF"/>
            <w:vAlign w:val="center"/>
          </w:tcPr>
          <w:p w14:paraId="34BDA70D">
            <w:pPr>
              <w:snapToGrid w:val="0"/>
              <w:ind w:left="-105" w:right="-105"/>
              <w:jc w:val="center"/>
              <w:rPr>
                <w:rFonts w:ascii="Times New Roman" w:hAnsi="Times New Roman" w:cs="Times New Roman"/>
                <w:color w:val="auto"/>
                <w:sz w:val="21"/>
                <w:szCs w:val="21"/>
                <w:highlight w:val="none"/>
                <w:lang w:val="zh-TW"/>
              </w:rPr>
            </w:pPr>
            <w:r>
              <w:rPr>
                <w:rFonts w:ascii="Times New Roman" w:hAnsi="Times New Roman" w:cs="Times New Roman"/>
                <w:color w:val="auto"/>
                <w:sz w:val="21"/>
                <w:szCs w:val="21"/>
                <w:highlight w:val="none"/>
                <w:lang w:val="zh-TW"/>
              </w:rPr>
              <w:t>稳定度</w:t>
            </w:r>
          </w:p>
        </w:tc>
        <w:tc>
          <w:tcPr>
            <w:tcW w:w="2011" w:type="dxa"/>
            <w:shd w:val="clear" w:color="auto" w:fill="FFFFFF"/>
            <w:vAlign w:val="center"/>
          </w:tcPr>
          <w:p w14:paraId="6F3302BE">
            <w:pPr>
              <w:snapToGrid w:val="0"/>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F</w:t>
            </w:r>
          </w:p>
        </w:tc>
        <w:tc>
          <w:tcPr>
            <w:tcW w:w="2075" w:type="dxa"/>
            <w:shd w:val="clear" w:color="auto" w:fill="FFFFFF"/>
            <w:vAlign w:val="center"/>
          </w:tcPr>
          <w:p w14:paraId="74DA6AAD">
            <w:pPr>
              <w:snapToGrid w:val="0"/>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w:t>
            </w:r>
          </w:p>
        </w:tc>
      </w:tr>
      <w:tr w14:paraId="4368DE7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178" w:type="dxa"/>
            <w:vMerge w:val="restart"/>
            <w:shd w:val="clear" w:color="auto" w:fill="FFFFFF"/>
            <w:vAlign w:val="center"/>
          </w:tcPr>
          <w:p w14:paraId="68A29089">
            <w:pPr>
              <w:snapToGrid w:val="0"/>
              <w:ind w:left="-105" w:right="-105"/>
              <w:jc w:val="center"/>
              <w:rPr>
                <w:rFonts w:ascii="Times New Roman" w:hAnsi="Times New Roman" w:cs="Times New Roman"/>
                <w:color w:val="auto"/>
                <w:sz w:val="21"/>
                <w:szCs w:val="21"/>
                <w:highlight w:val="none"/>
                <w:lang w:val="zh-TW"/>
              </w:rPr>
            </w:pPr>
            <w:r>
              <w:rPr>
                <w:rFonts w:ascii="Times New Roman" w:hAnsi="Times New Roman" w:cs="Times New Roman"/>
                <w:color w:val="auto"/>
                <w:sz w:val="21"/>
                <w:szCs w:val="21"/>
                <w:highlight w:val="none"/>
                <w:lang w:val="zh-TW"/>
              </w:rPr>
              <w:t>其他参数</w:t>
            </w:r>
          </w:p>
        </w:tc>
        <w:tc>
          <w:tcPr>
            <w:tcW w:w="3807" w:type="dxa"/>
            <w:shd w:val="clear" w:color="auto" w:fill="FFFFFF"/>
            <w:vAlign w:val="center"/>
          </w:tcPr>
          <w:p w14:paraId="41F101BB">
            <w:pPr>
              <w:snapToGrid w:val="0"/>
              <w:ind w:left="-105" w:right="-105"/>
              <w:jc w:val="center"/>
              <w:rPr>
                <w:rFonts w:ascii="Times New Roman" w:hAnsi="Times New Roman" w:cs="Times New Roman"/>
                <w:color w:val="auto"/>
                <w:sz w:val="21"/>
                <w:szCs w:val="21"/>
                <w:highlight w:val="none"/>
                <w:lang w:val="zh-TW"/>
              </w:rPr>
            </w:pPr>
            <w:r>
              <w:rPr>
                <w:rFonts w:ascii="Times New Roman" w:hAnsi="Times New Roman" w:cs="Times New Roman"/>
                <w:color w:val="auto"/>
                <w:sz w:val="21"/>
                <w:szCs w:val="21"/>
                <w:highlight w:val="none"/>
                <w:lang w:val="zh-TW"/>
              </w:rPr>
              <w:t>地表粗糙度</w:t>
            </w:r>
            <w:r>
              <w:rPr>
                <w:rFonts w:ascii="Times New Roman" w:hAnsi="Times New Roman" w:cs="Times New Roman"/>
                <w:color w:val="auto"/>
                <w:sz w:val="21"/>
                <w:szCs w:val="21"/>
                <w:highlight w:val="none"/>
                <w:lang w:eastAsia="en-US"/>
              </w:rPr>
              <w:t>/m</w:t>
            </w:r>
          </w:p>
        </w:tc>
        <w:tc>
          <w:tcPr>
            <w:tcW w:w="4086" w:type="dxa"/>
            <w:gridSpan w:val="2"/>
            <w:shd w:val="clear" w:color="auto" w:fill="FFFFFF"/>
            <w:vAlign w:val="center"/>
          </w:tcPr>
          <w:p w14:paraId="5EEA73FA">
            <w:pPr>
              <w:snapToGrid w:val="0"/>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0.03</w:t>
            </w:r>
          </w:p>
        </w:tc>
      </w:tr>
      <w:tr w14:paraId="16585DA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178" w:type="dxa"/>
            <w:vMerge w:val="continue"/>
            <w:shd w:val="clear" w:color="auto" w:fill="FFFFFF"/>
            <w:vAlign w:val="center"/>
          </w:tcPr>
          <w:p w14:paraId="3CCDB168">
            <w:pPr>
              <w:snapToGrid w:val="0"/>
              <w:ind w:left="-105" w:right="-105"/>
              <w:jc w:val="center"/>
              <w:rPr>
                <w:rFonts w:ascii="Times New Roman" w:hAnsi="Times New Roman" w:cs="Times New Roman"/>
                <w:color w:val="auto"/>
                <w:sz w:val="21"/>
                <w:szCs w:val="21"/>
                <w:highlight w:val="none"/>
                <w:lang w:val="zh-TW"/>
              </w:rPr>
            </w:pPr>
          </w:p>
        </w:tc>
        <w:tc>
          <w:tcPr>
            <w:tcW w:w="3807" w:type="dxa"/>
            <w:shd w:val="clear" w:color="auto" w:fill="FFFFFF"/>
            <w:vAlign w:val="center"/>
          </w:tcPr>
          <w:p w14:paraId="7396BFA3">
            <w:pPr>
              <w:snapToGrid w:val="0"/>
              <w:ind w:left="-105" w:right="-105"/>
              <w:jc w:val="center"/>
              <w:rPr>
                <w:rFonts w:ascii="Times New Roman" w:hAnsi="Times New Roman" w:cs="Times New Roman"/>
                <w:color w:val="auto"/>
                <w:sz w:val="21"/>
                <w:szCs w:val="21"/>
                <w:highlight w:val="none"/>
                <w:lang w:val="zh-TW"/>
              </w:rPr>
            </w:pPr>
            <w:r>
              <w:rPr>
                <w:rFonts w:ascii="Times New Roman" w:hAnsi="Times New Roman" w:cs="Times New Roman"/>
                <w:color w:val="auto"/>
                <w:sz w:val="21"/>
                <w:szCs w:val="21"/>
                <w:highlight w:val="none"/>
                <w:lang w:val="zh-TW"/>
              </w:rPr>
              <w:t>是否考虑地形</w:t>
            </w:r>
          </w:p>
        </w:tc>
        <w:tc>
          <w:tcPr>
            <w:tcW w:w="4086" w:type="dxa"/>
            <w:gridSpan w:val="2"/>
            <w:shd w:val="clear" w:color="auto" w:fill="FFFFFF"/>
            <w:vAlign w:val="center"/>
          </w:tcPr>
          <w:p w14:paraId="53CC848B">
            <w:pPr>
              <w:snapToGrid w:val="0"/>
              <w:ind w:left="-105" w:right="-105"/>
              <w:jc w:val="center"/>
              <w:rPr>
                <w:rFonts w:ascii="Times New Roman" w:hAnsi="Times New Roman" w:cs="Times New Roman"/>
                <w:color w:val="auto"/>
                <w:sz w:val="21"/>
                <w:szCs w:val="21"/>
                <w:highlight w:val="none"/>
                <w:lang w:val="zh-TW"/>
              </w:rPr>
            </w:pPr>
            <w:r>
              <w:rPr>
                <w:rFonts w:ascii="Times New Roman" w:hAnsi="Times New Roman" w:cs="Times New Roman"/>
                <w:color w:val="auto"/>
                <w:sz w:val="21"/>
                <w:szCs w:val="21"/>
                <w:highlight w:val="none"/>
                <w:lang w:val="zh-TW"/>
              </w:rPr>
              <w:t>否</w:t>
            </w:r>
          </w:p>
        </w:tc>
      </w:tr>
      <w:tr w14:paraId="202EC24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178" w:type="dxa"/>
            <w:vMerge w:val="continue"/>
            <w:shd w:val="clear" w:color="auto" w:fill="FFFFFF"/>
            <w:vAlign w:val="center"/>
          </w:tcPr>
          <w:p w14:paraId="5CBE7510">
            <w:pPr>
              <w:snapToGrid w:val="0"/>
              <w:ind w:left="-105" w:right="-105"/>
              <w:jc w:val="center"/>
              <w:rPr>
                <w:rFonts w:ascii="Times New Roman" w:hAnsi="Times New Roman" w:cs="Times New Roman"/>
                <w:color w:val="auto"/>
                <w:sz w:val="21"/>
                <w:szCs w:val="21"/>
                <w:highlight w:val="none"/>
                <w:lang w:val="zh-TW"/>
              </w:rPr>
            </w:pPr>
          </w:p>
        </w:tc>
        <w:tc>
          <w:tcPr>
            <w:tcW w:w="3807" w:type="dxa"/>
            <w:shd w:val="clear" w:color="auto" w:fill="FFFFFF"/>
            <w:vAlign w:val="center"/>
          </w:tcPr>
          <w:p w14:paraId="78847C83">
            <w:pPr>
              <w:snapToGrid w:val="0"/>
              <w:ind w:left="-105" w:right="-105"/>
              <w:jc w:val="center"/>
              <w:rPr>
                <w:rFonts w:ascii="Times New Roman" w:hAnsi="Times New Roman" w:cs="Times New Roman"/>
                <w:color w:val="auto"/>
                <w:sz w:val="21"/>
                <w:szCs w:val="21"/>
                <w:highlight w:val="none"/>
                <w:lang w:val="zh-TW"/>
              </w:rPr>
            </w:pPr>
            <w:r>
              <w:rPr>
                <w:rFonts w:ascii="Times New Roman" w:hAnsi="Times New Roman" w:cs="Times New Roman"/>
                <w:color w:val="auto"/>
                <w:sz w:val="21"/>
                <w:szCs w:val="21"/>
                <w:highlight w:val="none"/>
                <w:lang w:val="zh-TW"/>
              </w:rPr>
              <w:t>地形数据精度</w:t>
            </w:r>
            <w:r>
              <w:rPr>
                <w:rFonts w:ascii="Times New Roman" w:hAnsi="Times New Roman" w:cs="Times New Roman"/>
                <w:color w:val="auto"/>
                <w:sz w:val="21"/>
                <w:szCs w:val="21"/>
                <w:highlight w:val="none"/>
                <w:lang w:eastAsia="en-US"/>
              </w:rPr>
              <w:t>/m</w:t>
            </w:r>
          </w:p>
        </w:tc>
        <w:tc>
          <w:tcPr>
            <w:tcW w:w="4086" w:type="dxa"/>
            <w:gridSpan w:val="2"/>
            <w:shd w:val="clear" w:color="auto" w:fill="FFFFFF"/>
            <w:vAlign w:val="center"/>
          </w:tcPr>
          <w:p w14:paraId="4BA9BD68">
            <w:pPr>
              <w:snapToGrid w:val="0"/>
              <w:ind w:left="-105" w:right="-105"/>
              <w:jc w:val="center"/>
              <w:rPr>
                <w:rFonts w:ascii="Times New Roman" w:hAnsi="Times New Roman" w:cs="Times New Roman"/>
                <w:color w:val="auto"/>
                <w:sz w:val="21"/>
                <w:szCs w:val="21"/>
                <w:highlight w:val="none"/>
                <w:lang w:val="zh-TW"/>
              </w:rPr>
            </w:pPr>
            <w:r>
              <w:rPr>
                <w:rFonts w:ascii="Times New Roman" w:hAnsi="Times New Roman" w:cs="Times New Roman"/>
                <w:color w:val="auto"/>
                <w:sz w:val="21"/>
                <w:szCs w:val="21"/>
                <w:highlight w:val="none"/>
              </w:rPr>
              <w:t>/</w:t>
            </w:r>
          </w:p>
        </w:tc>
      </w:tr>
    </w:tbl>
    <w:p w14:paraId="48FC2365">
      <w:pPr>
        <w:pStyle w:val="44"/>
        <w:adjustRightInd w:val="0"/>
        <w:snapToGrid w:val="0"/>
        <w:spacing w:after="0" w:line="360" w:lineRule="auto"/>
        <w:ind w:left="0" w:leftChars="0" w:right="-105" w:firstLine="480"/>
        <w:rPr>
          <w:rFonts w:eastAsia="宋体"/>
          <w:color w:val="auto"/>
          <w:sz w:val="24"/>
          <w:highlight w:val="none"/>
        </w:rPr>
      </w:pPr>
      <w:r>
        <w:rPr>
          <w:rFonts w:eastAsia="宋体"/>
          <w:color w:val="auto"/>
          <w:sz w:val="24"/>
          <w:highlight w:val="none"/>
        </w:rPr>
        <w:t>4）预测结果及分析</w:t>
      </w:r>
    </w:p>
    <w:p w14:paraId="43978AB9">
      <w:pPr>
        <w:pStyle w:val="44"/>
        <w:spacing w:after="0" w:line="360" w:lineRule="auto"/>
        <w:ind w:left="0" w:leftChars="0" w:right="-105" w:firstLine="480"/>
        <w:rPr>
          <w:rFonts w:eastAsia="宋体"/>
          <w:color w:val="auto"/>
          <w:sz w:val="24"/>
          <w:highlight w:val="none"/>
        </w:rPr>
      </w:pPr>
      <w:r>
        <w:rPr>
          <w:rFonts w:eastAsia="宋体"/>
          <w:color w:val="auto"/>
          <w:sz w:val="24"/>
          <w:highlight w:val="none"/>
        </w:rPr>
        <w:t>通过AFTOX模型软件计算结果，</w:t>
      </w:r>
      <w:r>
        <w:rPr>
          <w:rFonts w:hint="eastAsia" w:eastAsia="宋体"/>
          <w:color w:val="auto"/>
          <w:sz w:val="24"/>
          <w:highlight w:val="none"/>
        </w:rPr>
        <w:t>N-甲基吡咯烷酮包装桶</w:t>
      </w:r>
      <w:r>
        <w:rPr>
          <w:rFonts w:eastAsia="宋体"/>
          <w:color w:val="auto"/>
          <w:sz w:val="24"/>
          <w:highlight w:val="none"/>
        </w:rPr>
        <w:t>破裂泄漏遇明火高热导致火灾事故的预测结果如下：</w:t>
      </w:r>
    </w:p>
    <w:p w14:paraId="45B0D940">
      <w:pPr>
        <w:pStyle w:val="15"/>
        <w:ind w:left="-105" w:right="-105" w:firstLine="482"/>
        <w:rPr>
          <w:rFonts w:eastAsia="宋体"/>
          <w:color w:val="auto"/>
          <w:sz w:val="24"/>
          <w:szCs w:val="24"/>
          <w:highlight w:val="none"/>
          <w:lang w:val="zh-TW"/>
        </w:rPr>
      </w:pPr>
      <w:r>
        <w:rPr>
          <w:rFonts w:eastAsia="宋体"/>
          <w:color w:val="auto"/>
          <w:sz w:val="24"/>
          <w:szCs w:val="24"/>
          <w:highlight w:val="none"/>
        </w:rPr>
        <w:t>表</w:t>
      </w:r>
      <w:r>
        <w:rPr>
          <w:rFonts w:eastAsia="宋体"/>
          <w:color w:val="auto"/>
          <w:sz w:val="24"/>
          <w:szCs w:val="24"/>
          <w:highlight w:val="none"/>
        </w:rPr>
        <w:fldChar w:fldCharType="begin"/>
      </w:r>
      <w:r>
        <w:rPr>
          <w:rFonts w:eastAsia="宋体"/>
          <w:color w:val="auto"/>
          <w:sz w:val="24"/>
          <w:szCs w:val="24"/>
          <w:highlight w:val="none"/>
        </w:rPr>
        <w:instrText xml:space="preserve"> STYLEREF 2 \s </w:instrText>
      </w:r>
      <w:r>
        <w:rPr>
          <w:rFonts w:eastAsia="宋体"/>
          <w:color w:val="auto"/>
          <w:sz w:val="24"/>
          <w:szCs w:val="24"/>
          <w:highlight w:val="none"/>
        </w:rPr>
        <w:fldChar w:fldCharType="separate"/>
      </w:r>
      <w:r>
        <w:rPr>
          <w:rFonts w:eastAsia="宋体"/>
          <w:color w:val="auto"/>
          <w:sz w:val="24"/>
          <w:szCs w:val="24"/>
          <w:highlight w:val="none"/>
        </w:rPr>
        <w:t>6.7</w:t>
      </w:r>
      <w:r>
        <w:rPr>
          <w:rFonts w:eastAsia="宋体"/>
          <w:color w:val="auto"/>
          <w:sz w:val="24"/>
          <w:szCs w:val="24"/>
          <w:highlight w:val="none"/>
        </w:rPr>
        <w:fldChar w:fldCharType="end"/>
      </w:r>
      <w:r>
        <w:rPr>
          <w:rFonts w:eastAsia="宋体"/>
          <w:color w:val="auto"/>
          <w:sz w:val="24"/>
          <w:szCs w:val="24"/>
          <w:highlight w:val="none"/>
        </w:rPr>
        <w:noBreakHyphen/>
      </w:r>
      <w:r>
        <w:rPr>
          <w:rFonts w:eastAsia="宋体"/>
          <w:color w:val="auto"/>
          <w:sz w:val="24"/>
          <w:szCs w:val="24"/>
          <w:highlight w:val="none"/>
        </w:rPr>
        <w:fldChar w:fldCharType="begin"/>
      </w:r>
      <w:r>
        <w:rPr>
          <w:rFonts w:eastAsia="宋体"/>
          <w:color w:val="auto"/>
          <w:sz w:val="24"/>
          <w:szCs w:val="24"/>
          <w:highlight w:val="none"/>
        </w:rPr>
        <w:instrText xml:space="preserve"> SEQ 表 \* ARABIC \s 2 </w:instrText>
      </w:r>
      <w:r>
        <w:rPr>
          <w:rFonts w:eastAsia="宋体"/>
          <w:color w:val="auto"/>
          <w:sz w:val="24"/>
          <w:szCs w:val="24"/>
          <w:highlight w:val="none"/>
        </w:rPr>
        <w:fldChar w:fldCharType="separate"/>
      </w:r>
      <w:r>
        <w:rPr>
          <w:rFonts w:eastAsia="宋体"/>
          <w:color w:val="auto"/>
          <w:sz w:val="24"/>
          <w:szCs w:val="24"/>
          <w:highlight w:val="none"/>
        </w:rPr>
        <w:t>2</w:t>
      </w:r>
      <w:r>
        <w:rPr>
          <w:rFonts w:eastAsia="宋体"/>
          <w:color w:val="auto"/>
          <w:sz w:val="24"/>
          <w:szCs w:val="24"/>
          <w:highlight w:val="none"/>
        </w:rPr>
        <w:fldChar w:fldCharType="end"/>
      </w:r>
      <w:r>
        <w:rPr>
          <w:rFonts w:hint="eastAsia" w:eastAsia="宋体"/>
          <w:color w:val="auto"/>
          <w:sz w:val="24"/>
          <w:szCs w:val="24"/>
          <w:highlight w:val="none"/>
        </w:rPr>
        <w:t>N-甲基吡咯烷酮包装桶泄漏</w:t>
      </w:r>
      <w:r>
        <w:rPr>
          <w:rFonts w:eastAsia="宋体"/>
          <w:color w:val="auto"/>
          <w:sz w:val="24"/>
          <w:szCs w:val="24"/>
          <w:highlight w:val="none"/>
        </w:rPr>
        <w:t>遇明火高热导致火灾</w:t>
      </w:r>
      <w:r>
        <w:rPr>
          <w:rFonts w:eastAsia="宋体"/>
          <w:color w:val="auto"/>
          <w:sz w:val="24"/>
          <w:szCs w:val="24"/>
          <w:highlight w:val="none"/>
          <w:lang w:val="zh-TW"/>
        </w:rPr>
        <w:t>事故后果信息表</w:t>
      </w:r>
    </w:p>
    <w:tbl>
      <w:tblPr>
        <w:tblStyle w:val="45"/>
        <w:tblW w:w="5000" w:type="pct"/>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0" w:type="dxa"/>
          <w:bottom w:w="0" w:type="dxa"/>
          <w:right w:w="0" w:type="dxa"/>
        </w:tblCellMar>
      </w:tblPr>
      <w:tblGrid>
        <w:gridCol w:w="1525"/>
        <w:gridCol w:w="517"/>
        <w:gridCol w:w="652"/>
        <w:gridCol w:w="1504"/>
        <w:gridCol w:w="368"/>
        <w:gridCol w:w="929"/>
        <w:gridCol w:w="183"/>
        <w:gridCol w:w="1148"/>
        <w:gridCol w:w="413"/>
        <w:gridCol w:w="1265"/>
      </w:tblGrid>
      <w:tr w14:paraId="03701437">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8504" w:type="dxa"/>
            <w:gridSpan w:val="10"/>
            <w:shd w:val="clear" w:color="auto" w:fill="FFFFFF"/>
            <w:vAlign w:val="center"/>
          </w:tcPr>
          <w:p w14:paraId="557D7E8F">
            <w:pPr>
              <w:keepNext w:val="0"/>
              <w:keepLines w:val="0"/>
              <w:pageBreakBefore w:val="0"/>
              <w:widowControl/>
              <w:kinsoku/>
              <w:wordWrap/>
              <w:overflowPunct/>
              <w:topLinePunct w:val="0"/>
              <w:autoSpaceDE/>
              <w:autoSpaceDN/>
              <w:bidi w:val="0"/>
              <w:adjustRightInd/>
              <w:snapToGrid w:val="0"/>
              <w:ind w:left="0" w:right="0"/>
              <w:jc w:val="center"/>
              <w:textAlignment w:val="auto"/>
              <w:rPr>
                <w:rFonts w:ascii="Times New Roman" w:hAnsi="Times New Roman" w:cs="Times New Roman"/>
                <w:color w:val="auto"/>
                <w:sz w:val="21"/>
                <w:szCs w:val="21"/>
                <w:highlight w:val="none"/>
                <w:lang w:val="zh-TW"/>
              </w:rPr>
            </w:pPr>
            <w:r>
              <w:rPr>
                <w:rFonts w:ascii="Times New Roman" w:hAnsi="Times New Roman" w:cs="Times New Roman"/>
                <w:b/>
                <w:bCs/>
                <w:color w:val="auto"/>
                <w:sz w:val="21"/>
                <w:szCs w:val="21"/>
                <w:highlight w:val="none"/>
                <w:lang w:val="zh-TW"/>
              </w:rPr>
              <w:t>风险事故情形分析</w:t>
            </w:r>
          </w:p>
        </w:tc>
      </w:tr>
      <w:tr w14:paraId="2759069E">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1525" w:type="dxa"/>
            <w:shd w:val="clear" w:color="auto" w:fill="FFFFFF"/>
            <w:vAlign w:val="center"/>
          </w:tcPr>
          <w:p w14:paraId="2C0FF611">
            <w:pPr>
              <w:keepNext w:val="0"/>
              <w:keepLines w:val="0"/>
              <w:pageBreakBefore w:val="0"/>
              <w:widowControl/>
              <w:kinsoku/>
              <w:wordWrap/>
              <w:overflowPunct/>
              <w:topLinePunct w:val="0"/>
              <w:autoSpaceDE/>
              <w:autoSpaceDN/>
              <w:bidi w:val="0"/>
              <w:adjustRightInd/>
              <w:snapToGrid w:val="0"/>
              <w:ind w:left="0" w:right="0"/>
              <w:jc w:val="center"/>
              <w:textAlignment w:val="auto"/>
              <w:rPr>
                <w:rFonts w:ascii="Times New Roman" w:hAnsi="Times New Roman" w:cs="Times New Roman"/>
                <w:color w:val="auto"/>
                <w:sz w:val="21"/>
                <w:szCs w:val="21"/>
                <w:highlight w:val="none"/>
                <w:lang w:val="zh-TW"/>
              </w:rPr>
            </w:pPr>
            <w:r>
              <w:rPr>
                <w:rFonts w:ascii="Times New Roman" w:hAnsi="Times New Roman" w:cs="Times New Roman"/>
                <w:color w:val="auto"/>
                <w:sz w:val="21"/>
                <w:szCs w:val="21"/>
                <w:highlight w:val="none"/>
                <w:lang w:val="zh-TW"/>
              </w:rPr>
              <w:t>代表性风险事故情形描述</w:t>
            </w:r>
          </w:p>
        </w:tc>
        <w:tc>
          <w:tcPr>
            <w:tcW w:w="6979" w:type="dxa"/>
            <w:gridSpan w:val="9"/>
            <w:shd w:val="clear" w:color="auto" w:fill="FFFFFF"/>
            <w:vAlign w:val="center"/>
          </w:tcPr>
          <w:p w14:paraId="3A3F649D">
            <w:pPr>
              <w:keepNext w:val="0"/>
              <w:keepLines w:val="0"/>
              <w:pageBreakBefore w:val="0"/>
              <w:widowControl/>
              <w:kinsoku/>
              <w:wordWrap/>
              <w:overflowPunct/>
              <w:topLinePunct w:val="0"/>
              <w:autoSpaceDE/>
              <w:autoSpaceDN/>
              <w:bidi w:val="0"/>
              <w:adjustRightInd/>
              <w:snapToGrid w:val="0"/>
              <w:ind w:left="0" w:right="0"/>
              <w:jc w:val="center"/>
              <w:textAlignment w:val="auto"/>
              <w:rPr>
                <w:rFonts w:ascii="Times New Roman" w:hAnsi="Times New Roman" w:cs="Times New Roman"/>
                <w:color w:val="auto"/>
                <w:sz w:val="21"/>
                <w:szCs w:val="21"/>
                <w:highlight w:val="none"/>
                <w:lang w:val="zh-TW"/>
              </w:rPr>
            </w:pPr>
            <w:r>
              <w:rPr>
                <w:rFonts w:hint="eastAsia" w:ascii="Times New Roman" w:hAnsi="Times New Roman" w:cs="Times New Roman"/>
                <w:color w:val="auto"/>
                <w:sz w:val="21"/>
                <w:szCs w:val="21"/>
                <w:highlight w:val="none"/>
              </w:rPr>
              <w:t>N-甲基吡咯烷酮包装桶</w:t>
            </w:r>
            <w:r>
              <w:rPr>
                <w:rFonts w:ascii="Times New Roman" w:hAnsi="Times New Roman" w:cs="Times New Roman"/>
                <w:color w:val="auto"/>
                <w:sz w:val="21"/>
                <w:szCs w:val="21"/>
                <w:highlight w:val="none"/>
              </w:rPr>
              <w:t>破裂泄漏遇明火高热导致火灾</w:t>
            </w:r>
            <w:r>
              <w:rPr>
                <w:rFonts w:ascii="Times New Roman" w:hAnsi="Times New Roman" w:cs="Times New Roman"/>
                <w:color w:val="auto"/>
                <w:sz w:val="21"/>
                <w:szCs w:val="21"/>
                <w:highlight w:val="none"/>
                <w:lang w:val="zh-TW"/>
              </w:rPr>
              <w:t>产生一氧化碳污染大气环境</w:t>
            </w:r>
          </w:p>
        </w:tc>
      </w:tr>
      <w:tr w14:paraId="4F07FBCD">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1525" w:type="dxa"/>
            <w:shd w:val="clear" w:color="auto" w:fill="FFFFFF"/>
            <w:vAlign w:val="center"/>
          </w:tcPr>
          <w:p w14:paraId="179CA2AC">
            <w:pPr>
              <w:keepNext w:val="0"/>
              <w:keepLines w:val="0"/>
              <w:pageBreakBefore w:val="0"/>
              <w:widowControl/>
              <w:kinsoku/>
              <w:wordWrap/>
              <w:overflowPunct/>
              <w:topLinePunct w:val="0"/>
              <w:autoSpaceDE/>
              <w:autoSpaceDN/>
              <w:bidi w:val="0"/>
              <w:adjustRightInd/>
              <w:snapToGrid w:val="0"/>
              <w:ind w:left="0" w:right="0"/>
              <w:jc w:val="center"/>
              <w:textAlignment w:val="auto"/>
              <w:rPr>
                <w:rFonts w:ascii="Times New Roman" w:hAnsi="Times New Roman" w:cs="Times New Roman"/>
                <w:color w:val="auto"/>
                <w:sz w:val="21"/>
                <w:szCs w:val="21"/>
                <w:highlight w:val="none"/>
                <w:lang w:val="zh-TW"/>
              </w:rPr>
            </w:pPr>
            <w:r>
              <w:rPr>
                <w:rFonts w:ascii="Times New Roman" w:hAnsi="Times New Roman" w:cs="Times New Roman"/>
                <w:color w:val="auto"/>
                <w:sz w:val="21"/>
                <w:szCs w:val="21"/>
                <w:highlight w:val="none"/>
                <w:lang w:val="zh-TW"/>
              </w:rPr>
              <w:t>环境风险类型</w:t>
            </w:r>
          </w:p>
        </w:tc>
        <w:tc>
          <w:tcPr>
            <w:tcW w:w="6979" w:type="dxa"/>
            <w:gridSpan w:val="9"/>
            <w:shd w:val="clear" w:color="auto" w:fill="FFFFFF"/>
            <w:vAlign w:val="center"/>
          </w:tcPr>
          <w:p w14:paraId="6055AE3E">
            <w:pPr>
              <w:keepNext w:val="0"/>
              <w:keepLines w:val="0"/>
              <w:pageBreakBefore w:val="0"/>
              <w:widowControl/>
              <w:kinsoku/>
              <w:wordWrap/>
              <w:overflowPunct/>
              <w:topLinePunct w:val="0"/>
              <w:autoSpaceDE/>
              <w:autoSpaceDN/>
              <w:bidi w:val="0"/>
              <w:adjustRightInd/>
              <w:snapToGrid w:val="0"/>
              <w:ind w:left="0" w:right="0"/>
              <w:jc w:val="center"/>
              <w:textAlignment w:val="auto"/>
              <w:rPr>
                <w:rFonts w:ascii="Times New Roman" w:hAnsi="Times New Roman" w:cs="Times New Roman"/>
                <w:color w:val="auto"/>
                <w:sz w:val="21"/>
                <w:szCs w:val="21"/>
                <w:highlight w:val="none"/>
                <w:lang w:val="zh-TW"/>
              </w:rPr>
            </w:pPr>
            <w:r>
              <w:rPr>
                <w:rFonts w:ascii="Times New Roman" w:hAnsi="Times New Roman" w:cs="Times New Roman"/>
                <w:color w:val="auto"/>
                <w:sz w:val="21"/>
                <w:szCs w:val="21"/>
                <w:highlight w:val="none"/>
                <w:lang w:val="zh-TW"/>
              </w:rPr>
              <w:t>火灾</w:t>
            </w:r>
          </w:p>
        </w:tc>
      </w:tr>
      <w:tr w14:paraId="0F98BCF8">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1525" w:type="dxa"/>
            <w:shd w:val="clear" w:color="auto" w:fill="FFFFFF"/>
            <w:vAlign w:val="center"/>
          </w:tcPr>
          <w:p w14:paraId="2CD4D2C5">
            <w:pPr>
              <w:keepNext w:val="0"/>
              <w:keepLines w:val="0"/>
              <w:pageBreakBefore w:val="0"/>
              <w:widowControl/>
              <w:kinsoku/>
              <w:wordWrap/>
              <w:overflowPunct/>
              <w:topLinePunct w:val="0"/>
              <w:autoSpaceDE/>
              <w:autoSpaceDN/>
              <w:bidi w:val="0"/>
              <w:adjustRightInd/>
              <w:snapToGrid w:val="0"/>
              <w:ind w:left="0" w:right="0"/>
              <w:jc w:val="center"/>
              <w:textAlignment w:val="auto"/>
              <w:rPr>
                <w:rFonts w:ascii="Times New Roman" w:hAnsi="Times New Roman" w:cs="Times New Roman"/>
                <w:color w:val="auto"/>
                <w:sz w:val="21"/>
                <w:szCs w:val="21"/>
                <w:highlight w:val="none"/>
                <w:lang w:val="zh-TW"/>
              </w:rPr>
            </w:pPr>
            <w:r>
              <w:rPr>
                <w:rFonts w:ascii="Times New Roman" w:hAnsi="Times New Roman" w:cs="Times New Roman"/>
                <w:color w:val="auto"/>
                <w:sz w:val="21"/>
                <w:szCs w:val="21"/>
                <w:highlight w:val="none"/>
                <w:lang w:val="zh-TW"/>
              </w:rPr>
              <w:t>泄漏设备类型</w:t>
            </w:r>
          </w:p>
        </w:tc>
        <w:tc>
          <w:tcPr>
            <w:tcW w:w="1169" w:type="dxa"/>
            <w:gridSpan w:val="2"/>
            <w:shd w:val="clear" w:color="auto" w:fill="FFFFFF"/>
            <w:vAlign w:val="center"/>
          </w:tcPr>
          <w:p w14:paraId="49235F27">
            <w:pPr>
              <w:keepNext w:val="0"/>
              <w:keepLines w:val="0"/>
              <w:pageBreakBefore w:val="0"/>
              <w:widowControl/>
              <w:kinsoku/>
              <w:wordWrap/>
              <w:overflowPunct/>
              <w:topLinePunct w:val="0"/>
              <w:autoSpaceDE/>
              <w:autoSpaceDN/>
              <w:bidi w:val="0"/>
              <w:adjustRightInd/>
              <w:snapToGrid w:val="0"/>
              <w:ind w:left="0" w:right="0"/>
              <w:jc w:val="center"/>
              <w:textAlignment w:val="auto"/>
              <w:rPr>
                <w:rFonts w:ascii="Times New Roman" w:hAnsi="Times New Roman" w:cs="Times New Roman"/>
                <w:color w:val="auto"/>
                <w:sz w:val="21"/>
                <w:szCs w:val="21"/>
                <w:highlight w:val="none"/>
                <w:lang w:val="zh-TW"/>
              </w:rPr>
            </w:pPr>
            <w:r>
              <w:rPr>
                <w:rFonts w:ascii="Times New Roman" w:hAnsi="Times New Roman" w:cs="Times New Roman"/>
                <w:color w:val="auto"/>
                <w:sz w:val="21"/>
                <w:szCs w:val="21"/>
                <w:highlight w:val="none"/>
                <w:lang w:val="zh-TW"/>
              </w:rPr>
              <w:t>包装桶</w:t>
            </w:r>
          </w:p>
        </w:tc>
        <w:tc>
          <w:tcPr>
            <w:tcW w:w="1872" w:type="dxa"/>
            <w:gridSpan w:val="2"/>
            <w:shd w:val="clear" w:color="auto" w:fill="FFFFFF"/>
            <w:vAlign w:val="center"/>
          </w:tcPr>
          <w:p w14:paraId="00464AF5">
            <w:pPr>
              <w:keepNext w:val="0"/>
              <w:keepLines w:val="0"/>
              <w:pageBreakBefore w:val="0"/>
              <w:widowControl/>
              <w:kinsoku/>
              <w:wordWrap/>
              <w:overflowPunct/>
              <w:topLinePunct w:val="0"/>
              <w:autoSpaceDE/>
              <w:autoSpaceDN/>
              <w:bidi w:val="0"/>
              <w:adjustRightInd/>
              <w:snapToGrid w:val="0"/>
              <w:ind w:left="0" w:right="0"/>
              <w:jc w:val="center"/>
              <w:textAlignment w:val="auto"/>
              <w:rPr>
                <w:rFonts w:ascii="Times New Roman" w:hAnsi="Times New Roman" w:cs="Times New Roman"/>
                <w:color w:val="auto"/>
                <w:sz w:val="21"/>
                <w:szCs w:val="21"/>
                <w:highlight w:val="none"/>
                <w:lang w:val="zh-TW"/>
              </w:rPr>
            </w:pPr>
            <w:r>
              <w:rPr>
                <w:rFonts w:ascii="Times New Roman" w:hAnsi="Times New Roman" w:cs="Times New Roman"/>
                <w:color w:val="auto"/>
                <w:sz w:val="21"/>
                <w:szCs w:val="21"/>
                <w:highlight w:val="none"/>
                <w:lang w:val="zh-TW"/>
              </w:rPr>
              <w:t>操作温度</w:t>
            </w:r>
            <w:r>
              <w:rPr>
                <w:rFonts w:ascii="Times New Roman" w:hAnsi="Times New Roman" w:cs="Times New Roman"/>
                <w:color w:val="auto"/>
                <w:sz w:val="21"/>
                <w:szCs w:val="21"/>
                <w:highlight w:val="none"/>
                <w:lang w:eastAsia="en-US"/>
              </w:rPr>
              <w:t>/℃</w:t>
            </w:r>
          </w:p>
        </w:tc>
        <w:tc>
          <w:tcPr>
            <w:tcW w:w="1112" w:type="dxa"/>
            <w:gridSpan w:val="2"/>
            <w:shd w:val="clear" w:color="auto" w:fill="FFFFFF"/>
            <w:vAlign w:val="center"/>
          </w:tcPr>
          <w:p w14:paraId="29C37B6D">
            <w:pPr>
              <w:keepNext w:val="0"/>
              <w:keepLines w:val="0"/>
              <w:pageBreakBefore w:val="0"/>
              <w:widowControl/>
              <w:kinsoku/>
              <w:wordWrap/>
              <w:overflowPunct/>
              <w:topLinePunct w:val="0"/>
              <w:autoSpaceDE/>
              <w:autoSpaceDN/>
              <w:bidi w:val="0"/>
              <w:adjustRightInd/>
              <w:snapToGrid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25</w:t>
            </w:r>
          </w:p>
        </w:tc>
        <w:tc>
          <w:tcPr>
            <w:tcW w:w="1561" w:type="dxa"/>
            <w:gridSpan w:val="2"/>
            <w:shd w:val="clear" w:color="auto" w:fill="FFFFFF"/>
            <w:vAlign w:val="center"/>
          </w:tcPr>
          <w:p w14:paraId="5746329A">
            <w:pPr>
              <w:keepNext w:val="0"/>
              <w:keepLines w:val="0"/>
              <w:pageBreakBefore w:val="0"/>
              <w:widowControl/>
              <w:kinsoku/>
              <w:wordWrap/>
              <w:overflowPunct/>
              <w:topLinePunct w:val="0"/>
              <w:autoSpaceDE/>
              <w:autoSpaceDN/>
              <w:bidi w:val="0"/>
              <w:adjustRightInd/>
              <w:snapToGrid w:val="0"/>
              <w:ind w:left="0" w:right="0"/>
              <w:jc w:val="center"/>
              <w:textAlignment w:val="auto"/>
              <w:rPr>
                <w:rFonts w:ascii="Times New Roman" w:hAnsi="Times New Roman" w:cs="Times New Roman"/>
                <w:color w:val="auto"/>
                <w:sz w:val="21"/>
                <w:szCs w:val="21"/>
                <w:highlight w:val="none"/>
                <w:lang w:val="zh-TW"/>
              </w:rPr>
            </w:pPr>
            <w:r>
              <w:rPr>
                <w:rFonts w:ascii="Times New Roman" w:hAnsi="Times New Roman" w:cs="Times New Roman"/>
                <w:color w:val="auto"/>
                <w:sz w:val="21"/>
                <w:szCs w:val="21"/>
                <w:highlight w:val="none"/>
                <w:lang w:val="zh-TW"/>
              </w:rPr>
              <w:t>操作压力</w:t>
            </w:r>
            <w:r>
              <w:rPr>
                <w:rFonts w:ascii="Times New Roman" w:hAnsi="Times New Roman" w:cs="Times New Roman"/>
                <w:color w:val="auto"/>
                <w:sz w:val="21"/>
                <w:szCs w:val="21"/>
                <w:highlight w:val="none"/>
                <w:lang w:eastAsia="en-US"/>
              </w:rPr>
              <w:t>/MPa</w:t>
            </w:r>
          </w:p>
        </w:tc>
        <w:tc>
          <w:tcPr>
            <w:tcW w:w="1265" w:type="dxa"/>
            <w:shd w:val="clear" w:color="auto" w:fill="FFFFFF"/>
            <w:vAlign w:val="center"/>
          </w:tcPr>
          <w:p w14:paraId="1D298324">
            <w:pPr>
              <w:keepNext w:val="0"/>
              <w:keepLines w:val="0"/>
              <w:pageBreakBefore w:val="0"/>
              <w:widowControl/>
              <w:kinsoku/>
              <w:wordWrap/>
              <w:overflowPunct/>
              <w:topLinePunct w:val="0"/>
              <w:autoSpaceDE/>
              <w:autoSpaceDN/>
              <w:bidi w:val="0"/>
              <w:adjustRightInd/>
              <w:snapToGrid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w:t>
            </w:r>
          </w:p>
        </w:tc>
      </w:tr>
      <w:tr w14:paraId="7395AC5D">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1525" w:type="dxa"/>
            <w:shd w:val="clear" w:color="auto" w:fill="FFFFFF"/>
            <w:vAlign w:val="center"/>
          </w:tcPr>
          <w:p w14:paraId="61E069CF">
            <w:pPr>
              <w:keepNext w:val="0"/>
              <w:keepLines w:val="0"/>
              <w:pageBreakBefore w:val="0"/>
              <w:widowControl/>
              <w:kinsoku/>
              <w:wordWrap/>
              <w:overflowPunct/>
              <w:topLinePunct w:val="0"/>
              <w:autoSpaceDE/>
              <w:autoSpaceDN/>
              <w:bidi w:val="0"/>
              <w:adjustRightInd/>
              <w:snapToGrid w:val="0"/>
              <w:ind w:left="0" w:right="0"/>
              <w:jc w:val="center"/>
              <w:textAlignment w:val="auto"/>
              <w:rPr>
                <w:rFonts w:ascii="Times New Roman" w:hAnsi="Times New Roman" w:cs="Times New Roman"/>
                <w:color w:val="auto"/>
                <w:sz w:val="21"/>
                <w:szCs w:val="21"/>
                <w:highlight w:val="none"/>
                <w:lang w:val="zh-TW"/>
              </w:rPr>
            </w:pPr>
            <w:r>
              <w:rPr>
                <w:rFonts w:ascii="Times New Roman" w:hAnsi="Times New Roman" w:cs="Times New Roman"/>
                <w:color w:val="auto"/>
                <w:sz w:val="21"/>
                <w:szCs w:val="21"/>
                <w:highlight w:val="none"/>
                <w:lang w:val="zh-TW"/>
              </w:rPr>
              <w:t>泄漏危险物质</w:t>
            </w:r>
          </w:p>
        </w:tc>
        <w:tc>
          <w:tcPr>
            <w:tcW w:w="1169" w:type="dxa"/>
            <w:gridSpan w:val="2"/>
            <w:shd w:val="clear" w:color="auto" w:fill="FFFFFF"/>
            <w:vAlign w:val="center"/>
          </w:tcPr>
          <w:p w14:paraId="06B9A6ED">
            <w:pPr>
              <w:keepNext w:val="0"/>
              <w:keepLines w:val="0"/>
              <w:pageBreakBefore w:val="0"/>
              <w:widowControl/>
              <w:kinsoku/>
              <w:wordWrap/>
              <w:overflowPunct/>
              <w:topLinePunct w:val="0"/>
              <w:autoSpaceDE/>
              <w:autoSpaceDN/>
              <w:bidi w:val="0"/>
              <w:adjustRightInd/>
              <w:snapToGrid w:val="0"/>
              <w:ind w:left="0" w:right="0"/>
              <w:jc w:val="center"/>
              <w:textAlignment w:val="auto"/>
              <w:rPr>
                <w:rFonts w:ascii="Times New Roman" w:hAnsi="Times New Roman" w:cs="Times New Roman"/>
                <w:color w:val="auto"/>
                <w:sz w:val="21"/>
                <w:szCs w:val="21"/>
                <w:highlight w:val="none"/>
                <w:lang w:val="zh-TW"/>
              </w:rPr>
            </w:pPr>
            <w:r>
              <w:rPr>
                <w:rFonts w:hint="eastAsia" w:ascii="Times New Roman" w:hAnsi="Times New Roman" w:cs="Times New Roman"/>
                <w:color w:val="auto"/>
                <w:sz w:val="21"/>
                <w:szCs w:val="21"/>
                <w:highlight w:val="none"/>
                <w:lang w:val="zh-TW"/>
              </w:rPr>
              <w:t>N-甲基吡咯烷酮包装桶</w:t>
            </w:r>
          </w:p>
        </w:tc>
        <w:tc>
          <w:tcPr>
            <w:tcW w:w="1872" w:type="dxa"/>
            <w:gridSpan w:val="2"/>
            <w:shd w:val="clear" w:color="auto" w:fill="FFFFFF"/>
            <w:vAlign w:val="center"/>
          </w:tcPr>
          <w:p w14:paraId="4733E4A0">
            <w:pPr>
              <w:keepNext w:val="0"/>
              <w:keepLines w:val="0"/>
              <w:pageBreakBefore w:val="0"/>
              <w:widowControl/>
              <w:kinsoku/>
              <w:wordWrap/>
              <w:overflowPunct/>
              <w:topLinePunct w:val="0"/>
              <w:autoSpaceDE/>
              <w:autoSpaceDN/>
              <w:bidi w:val="0"/>
              <w:adjustRightInd/>
              <w:snapToGrid w:val="0"/>
              <w:ind w:left="0" w:right="0"/>
              <w:jc w:val="center"/>
              <w:textAlignment w:val="auto"/>
              <w:rPr>
                <w:rFonts w:ascii="Times New Roman" w:hAnsi="Times New Roman" w:cs="Times New Roman"/>
                <w:color w:val="auto"/>
                <w:sz w:val="21"/>
                <w:szCs w:val="21"/>
                <w:highlight w:val="none"/>
                <w:lang w:val="zh-TW"/>
              </w:rPr>
            </w:pPr>
            <w:r>
              <w:rPr>
                <w:rFonts w:ascii="Times New Roman" w:hAnsi="Times New Roman" w:cs="Times New Roman"/>
                <w:color w:val="auto"/>
                <w:sz w:val="21"/>
                <w:szCs w:val="21"/>
                <w:highlight w:val="none"/>
                <w:lang w:val="zh-TW"/>
              </w:rPr>
              <w:t>最大存在量</w:t>
            </w:r>
            <w:r>
              <w:rPr>
                <w:rFonts w:ascii="Times New Roman" w:hAnsi="Times New Roman" w:cs="Times New Roman"/>
                <w:color w:val="auto"/>
                <w:sz w:val="21"/>
                <w:szCs w:val="21"/>
                <w:highlight w:val="none"/>
                <w:lang w:eastAsia="en-US"/>
              </w:rPr>
              <w:t>/kg</w:t>
            </w:r>
          </w:p>
        </w:tc>
        <w:tc>
          <w:tcPr>
            <w:tcW w:w="1112" w:type="dxa"/>
            <w:gridSpan w:val="2"/>
            <w:shd w:val="clear" w:color="auto" w:fill="FFFFFF"/>
            <w:vAlign w:val="center"/>
          </w:tcPr>
          <w:p w14:paraId="7D5AECED">
            <w:pPr>
              <w:keepNext w:val="0"/>
              <w:keepLines w:val="0"/>
              <w:pageBreakBefore w:val="0"/>
              <w:widowControl/>
              <w:kinsoku/>
              <w:wordWrap/>
              <w:overflowPunct/>
              <w:topLinePunct w:val="0"/>
              <w:autoSpaceDE/>
              <w:autoSpaceDN/>
              <w:bidi w:val="0"/>
              <w:adjustRightInd/>
              <w:snapToGrid w:val="0"/>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2</w:t>
            </w:r>
            <w:r>
              <w:rPr>
                <w:rFonts w:ascii="Times New Roman" w:hAnsi="Times New Roman" w:cs="Times New Roman"/>
                <w:color w:val="auto"/>
                <w:sz w:val="21"/>
                <w:szCs w:val="21"/>
                <w:highlight w:val="none"/>
              </w:rPr>
              <w:t>00</w:t>
            </w:r>
          </w:p>
        </w:tc>
        <w:tc>
          <w:tcPr>
            <w:tcW w:w="1561" w:type="dxa"/>
            <w:gridSpan w:val="2"/>
            <w:shd w:val="clear" w:color="auto" w:fill="FFFFFF"/>
            <w:vAlign w:val="center"/>
          </w:tcPr>
          <w:p w14:paraId="18B12587">
            <w:pPr>
              <w:keepNext w:val="0"/>
              <w:keepLines w:val="0"/>
              <w:pageBreakBefore w:val="0"/>
              <w:widowControl/>
              <w:kinsoku/>
              <w:wordWrap/>
              <w:overflowPunct/>
              <w:topLinePunct w:val="0"/>
              <w:autoSpaceDE/>
              <w:autoSpaceDN/>
              <w:bidi w:val="0"/>
              <w:adjustRightInd/>
              <w:snapToGrid w:val="0"/>
              <w:ind w:left="0" w:right="0"/>
              <w:jc w:val="center"/>
              <w:textAlignment w:val="auto"/>
              <w:rPr>
                <w:rFonts w:ascii="Times New Roman" w:hAnsi="Times New Roman" w:cs="Times New Roman"/>
                <w:color w:val="auto"/>
                <w:sz w:val="21"/>
                <w:szCs w:val="21"/>
                <w:highlight w:val="none"/>
                <w:lang w:val="zh-TW"/>
              </w:rPr>
            </w:pPr>
            <w:r>
              <w:rPr>
                <w:rFonts w:ascii="Times New Roman" w:hAnsi="Times New Roman" w:cs="Times New Roman"/>
                <w:color w:val="auto"/>
                <w:sz w:val="21"/>
                <w:szCs w:val="21"/>
                <w:highlight w:val="none"/>
                <w:lang w:val="zh-TW"/>
              </w:rPr>
              <w:t>泄漏孔径</w:t>
            </w:r>
            <w:r>
              <w:rPr>
                <w:rFonts w:ascii="Times New Roman" w:hAnsi="Times New Roman" w:cs="Times New Roman"/>
                <w:color w:val="auto"/>
                <w:sz w:val="21"/>
                <w:szCs w:val="21"/>
                <w:highlight w:val="none"/>
                <w:lang w:eastAsia="en-US"/>
              </w:rPr>
              <w:t>/mm</w:t>
            </w:r>
          </w:p>
        </w:tc>
        <w:tc>
          <w:tcPr>
            <w:tcW w:w="1265" w:type="dxa"/>
            <w:shd w:val="clear" w:color="auto" w:fill="FFFFFF"/>
            <w:vAlign w:val="center"/>
          </w:tcPr>
          <w:p w14:paraId="1BF9CC26">
            <w:pPr>
              <w:keepNext w:val="0"/>
              <w:keepLines w:val="0"/>
              <w:pageBreakBefore w:val="0"/>
              <w:widowControl/>
              <w:kinsoku/>
              <w:wordWrap/>
              <w:overflowPunct/>
              <w:topLinePunct w:val="0"/>
              <w:autoSpaceDE/>
              <w:autoSpaceDN/>
              <w:bidi w:val="0"/>
              <w:adjustRightInd/>
              <w:snapToGrid w:val="0"/>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包装桶</w:t>
            </w:r>
            <w:r>
              <w:rPr>
                <w:rFonts w:ascii="Times New Roman" w:hAnsi="Times New Roman" w:cs="Times New Roman"/>
                <w:color w:val="auto"/>
                <w:sz w:val="21"/>
                <w:szCs w:val="21"/>
                <w:highlight w:val="none"/>
              </w:rPr>
              <w:t>完全破损</w:t>
            </w:r>
          </w:p>
        </w:tc>
      </w:tr>
      <w:tr w14:paraId="76DB3499">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1525" w:type="dxa"/>
            <w:shd w:val="clear" w:color="auto" w:fill="FFFFFF"/>
            <w:vAlign w:val="center"/>
          </w:tcPr>
          <w:p w14:paraId="2F3CEA2E">
            <w:pPr>
              <w:keepNext w:val="0"/>
              <w:keepLines w:val="0"/>
              <w:pageBreakBefore w:val="0"/>
              <w:widowControl/>
              <w:kinsoku/>
              <w:wordWrap/>
              <w:overflowPunct/>
              <w:topLinePunct w:val="0"/>
              <w:autoSpaceDE/>
              <w:autoSpaceDN/>
              <w:bidi w:val="0"/>
              <w:adjustRightInd/>
              <w:snapToGrid w:val="0"/>
              <w:ind w:left="0" w:right="0"/>
              <w:jc w:val="center"/>
              <w:textAlignment w:val="auto"/>
              <w:rPr>
                <w:rFonts w:ascii="Times New Roman" w:hAnsi="Times New Roman" w:cs="Times New Roman"/>
                <w:color w:val="auto"/>
                <w:sz w:val="21"/>
                <w:szCs w:val="21"/>
                <w:highlight w:val="none"/>
                <w:lang w:val="zh-TW"/>
              </w:rPr>
            </w:pPr>
            <w:r>
              <w:rPr>
                <w:rFonts w:ascii="Times New Roman" w:hAnsi="Times New Roman" w:cs="Times New Roman"/>
                <w:color w:val="auto"/>
                <w:sz w:val="21"/>
                <w:szCs w:val="21"/>
                <w:highlight w:val="none"/>
                <w:lang w:val="zh-TW"/>
              </w:rPr>
              <w:t>泄漏速率</w:t>
            </w:r>
            <w:r>
              <w:rPr>
                <w:rFonts w:ascii="Times New Roman" w:hAnsi="Times New Roman" w:cs="Times New Roman"/>
                <w:color w:val="auto"/>
                <w:sz w:val="21"/>
                <w:szCs w:val="21"/>
                <w:highlight w:val="none"/>
                <w:lang w:eastAsia="en-US"/>
              </w:rPr>
              <w:t>/(kg/s)</w:t>
            </w:r>
          </w:p>
        </w:tc>
        <w:tc>
          <w:tcPr>
            <w:tcW w:w="1169" w:type="dxa"/>
            <w:gridSpan w:val="2"/>
            <w:shd w:val="clear" w:color="auto" w:fill="FFFFFF"/>
            <w:vAlign w:val="center"/>
          </w:tcPr>
          <w:p w14:paraId="08CB1399">
            <w:pPr>
              <w:keepNext w:val="0"/>
              <w:keepLines w:val="0"/>
              <w:pageBreakBefore w:val="0"/>
              <w:widowControl/>
              <w:kinsoku/>
              <w:wordWrap/>
              <w:overflowPunct/>
              <w:topLinePunct w:val="0"/>
              <w:autoSpaceDE/>
              <w:autoSpaceDN/>
              <w:bidi w:val="0"/>
              <w:adjustRightInd/>
              <w:snapToGrid w:val="0"/>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0.0094</w:t>
            </w:r>
          </w:p>
        </w:tc>
        <w:tc>
          <w:tcPr>
            <w:tcW w:w="1872" w:type="dxa"/>
            <w:gridSpan w:val="2"/>
            <w:shd w:val="clear" w:color="auto" w:fill="FFFFFF"/>
            <w:vAlign w:val="center"/>
          </w:tcPr>
          <w:p w14:paraId="7732BF0A">
            <w:pPr>
              <w:keepNext w:val="0"/>
              <w:keepLines w:val="0"/>
              <w:pageBreakBefore w:val="0"/>
              <w:widowControl/>
              <w:kinsoku/>
              <w:wordWrap/>
              <w:overflowPunct/>
              <w:topLinePunct w:val="0"/>
              <w:autoSpaceDE/>
              <w:autoSpaceDN/>
              <w:bidi w:val="0"/>
              <w:adjustRightInd/>
              <w:snapToGrid w:val="0"/>
              <w:ind w:left="0" w:right="0"/>
              <w:jc w:val="center"/>
              <w:textAlignment w:val="auto"/>
              <w:rPr>
                <w:rFonts w:ascii="Times New Roman" w:hAnsi="Times New Roman" w:cs="Times New Roman"/>
                <w:color w:val="auto"/>
                <w:sz w:val="21"/>
                <w:szCs w:val="21"/>
                <w:highlight w:val="none"/>
                <w:lang w:val="zh-TW"/>
              </w:rPr>
            </w:pPr>
            <w:r>
              <w:rPr>
                <w:rFonts w:ascii="Times New Roman" w:hAnsi="Times New Roman" w:cs="Times New Roman"/>
                <w:color w:val="auto"/>
                <w:sz w:val="21"/>
                <w:szCs w:val="21"/>
                <w:highlight w:val="none"/>
                <w:lang w:val="zh-TW"/>
              </w:rPr>
              <w:t>泄漏时间</w:t>
            </w:r>
            <w:r>
              <w:rPr>
                <w:rFonts w:ascii="Times New Roman" w:hAnsi="Times New Roman" w:cs="Times New Roman"/>
                <w:color w:val="auto"/>
                <w:sz w:val="21"/>
                <w:szCs w:val="21"/>
                <w:highlight w:val="none"/>
                <w:lang w:eastAsia="en-US"/>
              </w:rPr>
              <w:t>/min</w:t>
            </w:r>
          </w:p>
        </w:tc>
        <w:tc>
          <w:tcPr>
            <w:tcW w:w="1112" w:type="dxa"/>
            <w:gridSpan w:val="2"/>
            <w:shd w:val="clear" w:color="auto" w:fill="FFFFFF"/>
            <w:vAlign w:val="center"/>
          </w:tcPr>
          <w:p w14:paraId="6BED5C7D">
            <w:pPr>
              <w:keepNext w:val="0"/>
              <w:keepLines w:val="0"/>
              <w:pageBreakBefore w:val="0"/>
              <w:widowControl/>
              <w:kinsoku/>
              <w:wordWrap/>
              <w:overflowPunct/>
              <w:topLinePunct w:val="0"/>
              <w:autoSpaceDE/>
              <w:autoSpaceDN/>
              <w:bidi w:val="0"/>
              <w:adjustRightInd/>
              <w:snapToGrid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30</w:t>
            </w:r>
          </w:p>
        </w:tc>
        <w:tc>
          <w:tcPr>
            <w:tcW w:w="1561" w:type="dxa"/>
            <w:gridSpan w:val="2"/>
            <w:shd w:val="clear" w:color="auto" w:fill="FFFFFF"/>
            <w:vAlign w:val="center"/>
          </w:tcPr>
          <w:p w14:paraId="1D7949F0">
            <w:pPr>
              <w:keepNext w:val="0"/>
              <w:keepLines w:val="0"/>
              <w:pageBreakBefore w:val="0"/>
              <w:widowControl/>
              <w:kinsoku/>
              <w:wordWrap/>
              <w:overflowPunct/>
              <w:topLinePunct w:val="0"/>
              <w:autoSpaceDE/>
              <w:autoSpaceDN/>
              <w:bidi w:val="0"/>
              <w:adjustRightInd/>
              <w:snapToGrid w:val="0"/>
              <w:ind w:left="0" w:right="0"/>
              <w:jc w:val="center"/>
              <w:textAlignment w:val="auto"/>
              <w:rPr>
                <w:rFonts w:ascii="Times New Roman" w:hAnsi="Times New Roman" w:cs="Times New Roman"/>
                <w:color w:val="auto"/>
                <w:sz w:val="21"/>
                <w:szCs w:val="21"/>
                <w:highlight w:val="none"/>
                <w:lang w:val="zh-TW"/>
              </w:rPr>
            </w:pPr>
            <w:r>
              <w:rPr>
                <w:rFonts w:ascii="Times New Roman" w:hAnsi="Times New Roman" w:cs="Times New Roman"/>
                <w:color w:val="auto"/>
                <w:sz w:val="21"/>
                <w:szCs w:val="21"/>
                <w:highlight w:val="none"/>
                <w:lang w:val="zh-TW"/>
              </w:rPr>
              <w:t>泄漏量</w:t>
            </w:r>
            <w:r>
              <w:rPr>
                <w:rFonts w:ascii="Times New Roman" w:hAnsi="Times New Roman" w:cs="Times New Roman"/>
                <w:color w:val="auto"/>
                <w:sz w:val="21"/>
                <w:szCs w:val="21"/>
                <w:highlight w:val="none"/>
                <w:lang w:eastAsia="en-US"/>
              </w:rPr>
              <w:t>/kg</w:t>
            </w:r>
          </w:p>
        </w:tc>
        <w:tc>
          <w:tcPr>
            <w:tcW w:w="1265" w:type="dxa"/>
            <w:shd w:val="clear" w:color="auto" w:fill="FFFFFF"/>
            <w:vAlign w:val="center"/>
          </w:tcPr>
          <w:p w14:paraId="6C7C22AD">
            <w:pPr>
              <w:keepNext w:val="0"/>
              <w:keepLines w:val="0"/>
              <w:pageBreakBefore w:val="0"/>
              <w:widowControl/>
              <w:kinsoku/>
              <w:wordWrap/>
              <w:overflowPunct/>
              <w:topLinePunct w:val="0"/>
              <w:autoSpaceDE/>
              <w:autoSpaceDN/>
              <w:bidi w:val="0"/>
              <w:adjustRightInd/>
              <w:snapToGrid w:val="0"/>
              <w:ind w:left="0" w:right="0"/>
              <w:jc w:val="center"/>
              <w:textAlignment w:val="auto"/>
              <w:rPr>
                <w:rFonts w:ascii="Times New Roman" w:hAnsi="Times New Roman" w:cs="Times New Roman"/>
                <w:color w:val="auto"/>
                <w:sz w:val="21"/>
                <w:szCs w:val="21"/>
                <w:highlight w:val="none"/>
                <w:lang w:val="zh-TW" w:eastAsia="zh-TW"/>
              </w:rPr>
            </w:pPr>
            <w:r>
              <w:rPr>
                <w:rFonts w:hint="eastAsia" w:ascii="Times New Roman" w:hAnsi="Times New Roman" w:cs="Times New Roman"/>
                <w:color w:val="auto"/>
                <w:sz w:val="21"/>
                <w:szCs w:val="21"/>
                <w:highlight w:val="none"/>
              </w:rPr>
              <w:t>2</w:t>
            </w:r>
            <w:r>
              <w:rPr>
                <w:rFonts w:ascii="Times New Roman" w:hAnsi="Times New Roman" w:eastAsia="PMingLiU" w:cs="Times New Roman"/>
                <w:color w:val="auto"/>
                <w:sz w:val="21"/>
                <w:szCs w:val="21"/>
                <w:highlight w:val="none"/>
                <w:lang w:val="zh-TW" w:eastAsia="zh-TW"/>
              </w:rPr>
              <w:t>00</w:t>
            </w:r>
          </w:p>
        </w:tc>
      </w:tr>
      <w:tr w14:paraId="55B3252C">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1525" w:type="dxa"/>
            <w:shd w:val="clear" w:color="auto" w:fill="FFFFFF"/>
            <w:vAlign w:val="center"/>
          </w:tcPr>
          <w:p w14:paraId="68ACB7B5">
            <w:pPr>
              <w:keepNext w:val="0"/>
              <w:keepLines w:val="0"/>
              <w:pageBreakBefore w:val="0"/>
              <w:widowControl/>
              <w:kinsoku/>
              <w:wordWrap/>
              <w:overflowPunct/>
              <w:topLinePunct w:val="0"/>
              <w:autoSpaceDE/>
              <w:autoSpaceDN/>
              <w:bidi w:val="0"/>
              <w:adjustRightInd/>
              <w:snapToGrid w:val="0"/>
              <w:ind w:left="0" w:right="0"/>
              <w:jc w:val="center"/>
              <w:textAlignment w:val="auto"/>
              <w:rPr>
                <w:rFonts w:ascii="Times New Roman" w:hAnsi="Times New Roman" w:cs="Times New Roman"/>
                <w:color w:val="auto"/>
                <w:sz w:val="21"/>
                <w:szCs w:val="21"/>
                <w:highlight w:val="none"/>
                <w:lang w:val="zh-TW"/>
              </w:rPr>
            </w:pPr>
            <w:r>
              <w:rPr>
                <w:rFonts w:ascii="Times New Roman" w:hAnsi="Times New Roman" w:cs="Times New Roman"/>
                <w:color w:val="auto"/>
                <w:sz w:val="21"/>
                <w:szCs w:val="21"/>
                <w:highlight w:val="none"/>
                <w:lang w:val="zh-TW"/>
              </w:rPr>
              <w:t>泄漏高度</w:t>
            </w:r>
            <w:r>
              <w:rPr>
                <w:rFonts w:ascii="Times New Roman" w:hAnsi="Times New Roman" w:cs="Times New Roman"/>
                <w:color w:val="auto"/>
                <w:sz w:val="21"/>
                <w:szCs w:val="21"/>
                <w:highlight w:val="none"/>
                <w:lang w:eastAsia="en-US"/>
              </w:rPr>
              <w:t>/m</w:t>
            </w:r>
          </w:p>
        </w:tc>
        <w:tc>
          <w:tcPr>
            <w:tcW w:w="1169" w:type="dxa"/>
            <w:gridSpan w:val="2"/>
            <w:shd w:val="clear" w:color="auto" w:fill="FFFFFF"/>
            <w:vAlign w:val="center"/>
          </w:tcPr>
          <w:p w14:paraId="0F993433">
            <w:pPr>
              <w:keepNext w:val="0"/>
              <w:keepLines w:val="0"/>
              <w:pageBreakBefore w:val="0"/>
              <w:widowControl/>
              <w:kinsoku/>
              <w:wordWrap/>
              <w:overflowPunct/>
              <w:topLinePunct w:val="0"/>
              <w:autoSpaceDE/>
              <w:autoSpaceDN/>
              <w:bidi w:val="0"/>
              <w:adjustRightInd/>
              <w:snapToGrid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0.1</w:t>
            </w:r>
          </w:p>
        </w:tc>
        <w:tc>
          <w:tcPr>
            <w:tcW w:w="1872" w:type="dxa"/>
            <w:gridSpan w:val="2"/>
            <w:shd w:val="clear" w:color="auto" w:fill="FFFFFF"/>
            <w:vAlign w:val="center"/>
          </w:tcPr>
          <w:p w14:paraId="4A9C97FE">
            <w:pPr>
              <w:keepNext w:val="0"/>
              <w:keepLines w:val="0"/>
              <w:pageBreakBefore w:val="0"/>
              <w:widowControl/>
              <w:kinsoku/>
              <w:wordWrap/>
              <w:overflowPunct/>
              <w:topLinePunct w:val="0"/>
              <w:autoSpaceDE/>
              <w:autoSpaceDN/>
              <w:bidi w:val="0"/>
              <w:adjustRightInd/>
              <w:snapToGrid w:val="0"/>
              <w:ind w:left="0" w:right="0"/>
              <w:jc w:val="center"/>
              <w:textAlignment w:val="auto"/>
              <w:rPr>
                <w:rFonts w:ascii="Times New Roman" w:hAnsi="Times New Roman" w:cs="Times New Roman"/>
                <w:color w:val="auto"/>
                <w:sz w:val="21"/>
                <w:szCs w:val="21"/>
                <w:highlight w:val="none"/>
                <w:lang w:val="zh-TW"/>
              </w:rPr>
            </w:pPr>
            <w:r>
              <w:rPr>
                <w:rFonts w:ascii="Times New Roman" w:hAnsi="Times New Roman" w:cs="Times New Roman"/>
                <w:color w:val="auto"/>
                <w:sz w:val="21"/>
                <w:szCs w:val="21"/>
                <w:highlight w:val="none"/>
                <w:lang w:val="zh-TW"/>
              </w:rPr>
              <w:t>泄漏液体蒸发量</w:t>
            </w:r>
            <w:r>
              <w:rPr>
                <w:rFonts w:ascii="Times New Roman" w:hAnsi="Times New Roman" w:cs="Times New Roman"/>
                <w:color w:val="auto"/>
                <w:sz w:val="21"/>
                <w:szCs w:val="21"/>
                <w:highlight w:val="none"/>
                <w:lang w:eastAsia="en-US"/>
              </w:rPr>
              <w:t>/kg</w:t>
            </w:r>
          </w:p>
        </w:tc>
        <w:tc>
          <w:tcPr>
            <w:tcW w:w="1112" w:type="dxa"/>
            <w:gridSpan w:val="2"/>
            <w:shd w:val="clear" w:color="auto" w:fill="FFFFFF"/>
            <w:vAlign w:val="center"/>
          </w:tcPr>
          <w:p w14:paraId="2CDD4348">
            <w:pPr>
              <w:keepNext w:val="0"/>
              <w:keepLines w:val="0"/>
              <w:pageBreakBefore w:val="0"/>
              <w:widowControl/>
              <w:kinsoku/>
              <w:wordWrap/>
              <w:overflowPunct/>
              <w:topLinePunct w:val="0"/>
              <w:autoSpaceDE/>
              <w:autoSpaceDN/>
              <w:bidi w:val="0"/>
              <w:adjustRightInd/>
              <w:snapToGrid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w:t>
            </w:r>
          </w:p>
        </w:tc>
        <w:tc>
          <w:tcPr>
            <w:tcW w:w="1561" w:type="dxa"/>
            <w:gridSpan w:val="2"/>
            <w:shd w:val="clear" w:color="auto" w:fill="FFFFFF"/>
            <w:vAlign w:val="center"/>
          </w:tcPr>
          <w:p w14:paraId="0C69579A">
            <w:pPr>
              <w:keepNext w:val="0"/>
              <w:keepLines w:val="0"/>
              <w:pageBreakBefore w:val="0"/>
              <w:widowControl/>
              <w:kinsoku/>
              <w:wordWrap/>
              <w:overflowPunct/>
              <w:topLinePunct w:val="0"/>
              <w:autoSpaceDE/>
              <w:autoSpaceDN/>
              <w:bidi w:val="0"/>
              <w:adjustRightInd/>
              <w:snapToGrid w:val="0"/>
              <w:ind w:left="0" w:right="0"/>
              <w:jc w:val="center"/>
              <w:textAlignment w:val="auto"/>
              <w:rPr>
                <w:rFonts w:ascii="Times New Roman" w:hAnsi="Times New Roman" w:cs="Times New Roman"/>
                <w:color w:val="auto"/>
                <w:sz w:val="21"/>
                <w:szCs w:val="21"/>
                <w:highlight w:val="none"/>
                <w:lang w:val="zh-TW"/>
              </w:rPr>
            </w:pPr>
            <w:r>
              <w:rPr>
                <w:rFonts w:ascii="Times New Roman" w:hAnsi="Times New Roman" w:cs="Times New Roman"/>
                <w:color w:val="auto"/>
                <w:sz w:val="21"/>
                <w:szCs w:val="21"/>
                <w:highlight w:val="none"/>
                <w:lang w:val="zh-TW"/>
              </w:rPr>
              <w:t>泄漏频率</w:t>
            </w:r>
          </w:p>
        </w:tc>
        <w:tc>
          <w:tcPr>
            <w:tcW w:w="1265" w:type="dxa"/>
            <w:shd w:val="clear" w:color="auto" w:fill="FFFFFF"/>
            <w:vAlign w:val="center"/>
          </w:tcPr>
          <w:p w14:paraId="5ABB6B49">
            <w:pPr>
              <w:keepNext w:val="0"/>
              <w:keepLines w:val="0"/>
              <w:pageBreakBefore w:val="0"/>
              <w:widowControl/>
              <w:kinsoku/>
              <w:wordWrap/>
              <w:overflowPunct/>
              <w:topLinePunct w:val="0"/>
              <w:autoSpaceDE/>
              <w:autoSpaceDN/>
              <w:bidi w:val="0"/>
              <w:adjustRightInd/>
              <w:snapToGrid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5.0×10</w:t>
            </w:r>
            <w:r>
              <w:rPr>
                <w:rFonts w:ascii="Times New Roman" w:hAnsi="Times New Roman" w:cs="Times New Roman"/>
                <w:color w:val="auto"/>
                <w:sz w:val="21"/>
                <w:szCs w:val="21"/>
                <w:highlight w:val="none"/>
                <w:vertAlign w:val="superscript"/>
              </w:rPr>
              <w:t>-6</w:t>
            </w:r>
            <w:r>
              <w:rPr>
                <w:rFonts w:ascii="Times New Roman" w:hAnsi="Times New Roman" w:cs="Times New Roman"/>
                <w:color w:val="auto"/>
                <w:sz w:val="21"/>
                <w:szCs w:val="21"/>
                <w:highlight w:val="none"/>
              </w:rPr>
              <w:t>/a</w:t>
            </w:r>
          </w:p>
        </w:tc>
      </w:tr>
      <w:tr w14:paraId="2AA722BA">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8504" w:type="dxa"/>
            <w:gridSpan w:val="10"/>
            <w:shd w:val="clear" w:color="auto" w:fill="FFFFFF"/>
            <w:vAlign w:val="center"/>
          </w:tcPr>
          <w:p w14:paraId="38157EE2">
            <w:pPr>
              <w:keepNext w:val="0"/>
              <w:keepLines w:val="0"/>
              <w:pageBreakBefore w:val="0"/>
              <w:widowControl/>
              <w:kinsoku/>
              <w:wordWrap/>
              <w:overflowPunct/>
              <w:topLinePunct w:val="0"/>
              <w:autoSpaceDE/>
              <w:autoSpaceDN/>
              <w:bidi w:val="0"/>
              <w:adjustRightInd/>
              <w:snapToGrid w:val="0"/>
              <w:ind w:left="0" w:right="0"/>
              <w:jc w:val="center"/>
              <w:textAlignment w:val="auto"/>
              <w:rPr>
                <w:rFonts w:ascii="Times New Roman" w:hAnsi="Times New Roman" w:cs="Times New Roman"/>
                <w:color w:val="auto"/>
                <w:sz w:val="21"/>
                <w:szCs w:val="21"/>
                <w:highlight w:val="none"/>
                <w:lang w:val="zh-TW"/>
              </w:rPr>
            </w:pPr>
            <w:r>
              <w:rPr>
                <w:rFonts w:ascii="Times New Roman" w:hAnsi="Times New Roman" w:cs="Times New Roman"/>
                <w:color w:val="auto"/>
                <w:sz w:val="21"/>
                <w:szCs w:val="21"/>
                <w:highlight w:val="none"/>
                <w:lang w:val="zh-TW"/>
              </w:rPr>
              <w:t>事故后果预测</w:t>
            </w:r>
          </w:p>
        </w:tc>
      </w:tr>
      <w:tr w14:paraId="593601C4">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1525" w:type="dxa"/>
            <w:vMerge w:val="restart"/>
            <w:shd w:val="clear" w:color="auto" w:fill="FFFFFF"/>
            <w:vAlign w:val="center"/>
          </w:tcPr>
          <w:p w14:paraId="6CC1257F">
            <w:pPr>
              <w:keepNext w:val="0"/>
              <w:keepLines w:val="0"/>
              <w:pageBreakBefore w:val="0"/>
              <w:widowControl/>
              <w:kinsoku/>
              <w:wordWrap/>
              <w:overflowPunct/>
              <w:topLinePunct w:val="0"/>
              <w:autoSpaceDE/>
              <w:autoSpaceDN/>
              <w:bidi w:val="0"/>
              <w:adjustRightInd/>
              <w:snapToGrid w:val="0"/>
              <w:ind w:left="0" w:right="0"/>
              <w:jc w:val="center"/>
              <w:textAlignment w:val="auto"/>
              <w:rPr>
                <w:rFonts w:ascii="Times New Roman" w:hAnsi="Times New Roman" w:cs="Times New Roman"/>
                <w:color w:val="auto"/>
                <w:sz w:val="21"/>
                <w:szCs w:val="21"/>
                <w:highlight w:val="none"/>
                <w:lang w:val="zh-TW"/>
              </w:rPr>
            </w:pPr>
            <w:r>
              <w:rPr>
                <w:rFonts w:ascii="Times New Roman" w:hAnsi="Times New Roman" w:cs="Times New Roman"/>
                <w:color w:val="auto"/>
                <w:sz w:val="21"/>
                <w:szCs w:val="21"/>
                <w:highlight w:val="none"/>
                <w:lang w:val="zh-TW"/>
              </w:rPr>
              <w:t>大气</w:t>
            </w:r>
          </w:p>
        </w:tc>
        <w:tc>
          <w:tcPr>
            <w:tcW w:w="517" w:type="dxa"/>
            <w:shd w:val="clear" w:color="auto" w:fill="FFFFFF"/>
            <w:vAlign w:val="center"/>
          </w:tcPr>
          <w:p w14:paraId="3BF3B7F5">
            <w:pPr>
              <w:keepNext w:val="0"/>
              <w:keepLines w:val="0"/>
              <w:pageBreakBefore w:val="0"/>
              <w:widowControl/>
              <w:kinsoku/>
              <w:wordWrap/>
              <w:overflowPunct/>
              <w:topLinePunct w:val="0"/>
              <w:autoSpaceDE/>
              <w:autoSpaceDN/>
              <w:bidi w:val="0"/>
              <w:adjustRightInd/>
              <w:snapToGrid w:val="0"/>
              <w:ind w:left="0" w:right="0"/>
              <w:jc w:val="center"/>
              <w:textAlignment w:val="auto"/>
              <w:rPr>
                <w:rFonts w:ascii="Times New Roman" w:hAnsi="Times New Roman" w:cs="Times New Roman"/>
                <w:color w:val="auto"/>
                <w:sz w:val="21"/>
                <w:szCs w:val="21"/>
                <w:highlight w:val="none"/>
                <w:lang w:val="zh-TW"/>
              </w:rPr>
            </w:pPr>
            <w:r>
              <w:rPr>
                <w:rFonts w:ascii="Times New Roman" w:hAnsi="Times New Roman" w:cs="Times New Roman"/>
                <w:color w:val="auto"/>
                <w:sz w:val="21"/>
                <w:szCs w:val="21"/>
                <w:highlight w:val="none"/>
                <w:lang w:val="zh-TW"/>
              </w:rPr>
              <w:t>危险物质</w:t>
            </w:r>
          </w:p>
        </w:tc>
        <w:tc>
          <w:tcPr>
            <w:tcW w:w="6462" w:type="dxa"/>
            <w:gridSpan w:val="8"/>
            <w:shd w:val="clear" w:color="auto" w:fill="FFFFFF"/>
            <w:vAlign w:val="center"/>
          </w:tcPr>
          <w:p w14:paraId="22C1226E">
            <w:pPr>
              <w:keepNext w:val="0"/>
              <w:keepLines w:val="0"/>
              <w:pageBreakBefore w:val="0"/>
              <w:widowControl/>
              <w:kinsoku/>
              <w:wordWrap/>
              <w:overflowPunct/>
              <w:topLinePunct w:val="0"/>
              <w:autoSpaceDE/>
              <w:autoSpaceDN/>
              <w:bidi w:val="0"/>
              <w:adjustRightInd/>
              <w:snapToGrid w:val="0"/>
              <w:ind w:left="0" w:right="0"/>
              <w:jc w:val="center"/>
              <w:textAlignment w:val="auto"/>
              <w:rPr>
                <w:rFonts w:ascii="Times New Roman" w:hAnsi="Times New Roman" w:cs="Times New Roman"/>
                <w:color w:val="auto"/>
                <w:sz w:val="21"/>
                <w:szCs w:val="21"/>
                <w:highlight w:val="none"/>
                <w:lang w:val="zh-TW"/>
              </w:rPr>
            </w:pPr>
            <w:r>
              <w:rPr>
                <w:rFonts w:ascii="Times New Roman" w:hAnsi="Times New Roman" w:cs="Times New Roman"/>
                <w:color w:val="auto"/>
                <w:sz w:val="21"/>
                <w:szCs w:val="21"/>
                <w:highlight w:val="none"/>
                <w:lang w:val="zh-TW"/>
              </w:rPr>
              <w:t>大气环境影响</w:t>
            </w:r>
          </w:p>
        </w:tc>
      </w:tr>
      <w:tr w14:paraId="2B17ABA6">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1525" w:type="dxa"/>
            <w:vMerge w:val="continue"/>
            <w:shd w:val="clear" w:color="auto" w:fill="FFFFFF"/>
            <w:vAlign w:val="center"/>
          </w:tcPr>
          <w:p w14:paraId="6E092C81">
            <w:pPr>
              <w:keepNext w:val="0"/>
              <w:keepLines w:val="0"/>
              <w:pageBreakBefore w:val="0"/>
              <w:widowControl/>
              <w:kinsoku/>
              <w:wordWrap/>
              <w:overflowPunct/>
              <w:topLinePunct w:val="0"/>
              <w:autoSpaceDE/>
              <w:autoSpaceDN/>
              <w:bidi w:val="0"/>
              <w:adjustRightInd/>
              <w:snapToGrid w:val="0"/>
              <w:ind w:left="0" w:right="0"/>
              <w:jc w:val="center"/>
              <w:textAlignment w:val="auto"/>
              <w:rPr>
                <w:rFonts w:ascii="Times New Roman" w:hAnsi="Times New Roman" w:cs="Times New Roman"/>
                <w:color w:val="auto"/>
                <w:sz w:val="21"/>
                <w:szCs w:val="21"/>
                <w:highlight w:val="none"/>
                <w:lang w:val="zh-TW"/>
              </w:rPr>
            </w:pPr>
          </w:p>
        </w:tc>
        <w:tc>
          <w:tcPr>
            <w:tcW w:w="517" w:type="dxa"/>
            <w:vMerge w:val="restart"/>
            <w:shd w:val="clear" w:color="auto" w:fill="FFFFFF"/>
            <w:vAlign w:val="center"/>
          </w:tcPr>
          <w:p w14:paraId="2E50DD89">
            <w:pPr>
              <w:keepNext w:val="0"/>
              <w:keepLines w:val="0"/>
              <w:pageBreakBefore w:val="0"/>
              <w:widowControl/>
              <w:kinsoku/>
              <w:wordWrap/>
              <w:overflowPunct/>
              <w:topLinePunct w:val="0"/>
              <w:autoSpaceDE/>
              <w:autoSpaceDN/>
              <w:bidi w:val="0"/>
              <w:adjustRightInd/>
              <w:snapToGrid w:val="0"/>
              <w:ind w:left="0" w:right="0"/>
              <w:jc w:val="center"/>
              <w:textAlignment w:val="auto"/>
              <w:rPr>
                <w:rFonts w:ascii="Times New Roman" w:hAnsi="Times New Roman" w:cs="Times New Roman"/>
                <w:color w:val="auto"/>
                <w:sz w:val="21"/>
                <w:szCs w:val="21"/>
                <w:highlight w:val="none"/>
                <w:lang w:val="zh-TW"/>
              </w:rPr>
            </w:pPr>
            <w:r>
              <w:rPr>
                <w:rFonts w:ascii="Times New Roman" w:hAnsi="Times New Roman" w:cs="Times New Roman"/>
                <w:color w:val="auto"/>
                <w:sz w:val="21"/>
                <w:szCs w:val="21"/>
                <w:highlight w:val="none"/>
              </w:rPr>
              <w:t>一氧化碳</w:t>
            </w:r>
          </w:p>
        </w:tc>
        <w:tc>
          <w:tcPr>
            <w:tcW w:w="2156" w:type="dxa"/>
            <w:gridSpan w:val="2"/>
            <w:shd w:val="clear" w:color="auto" w:fill="FFFFFF"/>
            <w:vAlign w:val="center"/>
          </w:tcPr>
          <w:p w14:paraId="06B4E7C8">
            <w:pPr>
              <w:keepNext w:val="0"/>
              <w:keepLines w:val="0"/>
              <w:pageBreakBefore w:val="0"/>
              <w:widowControl/>
              <w:kinsoku/>
              <w:wordWrap/>
              <w:overflowPunct/>
              <w:topLinePunct w:val="0"/>
              <w:autoSpaceDE/>
              <w:autoSpaceDN/>
              <w:bidi w:val="0"/>
              <w:adjustRightInd/>
              <w:snapToGrid w:val="0"/>
              <w:ind w:left="0" w:right="0"/>
              <w:jc w:val="center"/>
              <w:textAlignment w:val="auto"/>
              <w:rPr>
                <w:rFonts w:ascii="Times New Roman" w:hAnsi="Times New Roman" w:cs="Times New Roman"/>
                <w:color w:val="auto"/>
                <w:sz w:val="21"/>
                <w:szCs w:val="21"/>
                <w:highlight w:val="none"/>
                <w:lang w:val="zh-TW"/>
              </w:rPr>
            </w:pPr>
            <w:r>
              <w:rPr>
                <w:rFonts w:ascii="Times New Roman" w:hAnsi="Times New Roman" w:cs="Times New Roman"/>
                <w:color w:val="auto"/>
                <w:sz w:val="21"/>
                <w:szCs w:val="21"/>
                <w:highlight w:val="none"/>
                <w:lang w:val="zh-TW"/>
              </w:rPr>
              <w:t>指标</w:t>
            </w:r>
          </w:p>
        </w:tc>
        <w:tc>
          <w:tcPr>
            <w:tcW w:w="1297" w:type="dxa"/>
            <w:gridSpan w:val="2"/>
            <w:shd w:val="clear" w:color="auto" w:fill="FFFFFF"/>
            <w:vAlign w:val="center"/>
          </w:tcPr>
          <w:p w14:paraId="7EEF6521">
            <w:pPr>
              <w:keepNext w:val="0"/>
              <w:keepLines w:val="0"/>
              <w:pageBreakBefore w:val="0"/>
              <w:widowControl/>
              <w:kinsoku/>
              <w:wordWrap/>
              <w:overflowPunct/>
              <w:topLinePunct w:val="0"/>
              <w:autoSpaceDE/>
              <w:autoSpaceDN/>
              <w:bidi w:val="0"/>
              <w:adjustRightInd/>
              <w:snapToGrid w:val="0"/>
              <w:ind w:left="0" w:right="0"/>
              <w:jc w:val="center"/>
              <w:textAlignment w:val="auto"/>
              <w:rPr>
                <w:rFonts w:ascii="Times New Roman" w:hAnsi="Times New Roman" w:cs="Times New Roman"/>
                <w:color w:val="auto"/>
                <w:sz w:val="21"/>
                <w:szCs w:val="21"/>
                <w:highlight w:val="none"/>
                <w:lang w:val="zh-TW"/>
              </w:rPr>
            </w:pPr>
            <w:r>
              <w:rPr>
                <w:rFonts w:ascii="Times New Roman" w:hAnsi="Times New Roman" w:cs="Times New Roman"/>
                <w:color w:val="auto"/>
                <w:sz w:val="21"/>
                <w:szCs w:val="21"/>
                <w:highlight w:val="none"/>
                <w:lang w:val="zh-TW"/>
              </w:rPr>
              <w:t>浓度值</w:t>
            </w:r>
            <w:r>
              <w:rPr>
                <w:rFonts w:ascii="Times New Roman" w:hAnsi="Times New Roman" w:cs="Times New Roman"/>
                <w:color w:val="auto"/>
                <w:sz w:val="21"/>
                <w:szCs w:val="21"/>
                <w:highlight w:val="none"/>
                <w:lang w:eastAsia="en-US"/>
              </w:rPr>
              <w:t>/(mg/m</w:t>
            </w:r>
            <w:r>
              <w:rPr>
                <w:rFonts w:ascii="Times New Roman" w:hAnsi="Times New Roman" w:cs="Times New Roman"/>
                <w:color w:val="auto"/>
                <w:sz w:val="21"/>
                <w:szCs w:val="21"/>
                <w:highlight w:val="none"/>
                <w:vertAlign w:val="superscript"/>
                <w:lang w:eastAsia="en-US"/>
              </w:rPr>
              <w:t>3</w:t>
            </w:r>
            <w:r>
              <w:rPr>
                <w:rFonts w:ascii="Times New Roman" w:hAnsi="Times New Roman" w:cs="Times New Roman"/>
                <w:color w:val="auto"/>
                <w:sz w:val="21"/>
                <w:szCs w:val="21"/>
                <w:highlight w:val="none"/>
                <w:lang w:eastAsia="en-US"/>
              </w:rPr>
              <w:t>)</w:t>
            </w:r>
          </w:p>
        </w:tc>
        <w:tc>
          <w:tcPr>
            <w:tcW w:w="1331" w:type="dxa"/>
            <w:gridSpan w:val="2"/>
            <w:shd w:val="clear" w:color="auto" w:fill="FFFFFF"/>
            <w:vAlign w:val="center"/>
          </w:tcPr>
          <w:p w14:paraId="37C649F0">
            <w:pPr>
              <w:keepNext w:val="0"/>
              <w:keepLines w:val="0"/>
              <w:pageBreakBefore w:val="0"/>
              <w:widowControl/>
              <w:kinsoku/>
              <w:wordWrap/>
              <w:overflowPunct/>
              <w:topLinePunct w:val="0"/>
              <w:autoSpaceDE/>
              <w:autoSpaceDN/>
              <w:bidi w:val="0"/>
              <w:adjustRightInd/>
              <w:snapToGrid w:val="0"/>
              <w:ind w:left="0" w:right="0"/>
              <w:jc w:val="center"/>
              <w:textAlignment w:val="auto"/>
              <w:rPr>
                <w:rFonts w:ascii="Times New Roman" w:hAnsi="Times New Roman" w:cs="Times New Roman"/>
                <w:color w:val="auto"/>
                <w:sz w:val="21"/>
                <w:szCs w:val="21"/>
                <w:highlight w:val="none"/>
                <w:lang w:val="zh-TW"/>
              </w:rPr>
            </w:pPr>
            <w:r>
              <w:rPr>
                <w:rFonts w:ascii="Times New Roman" w:hAnsi="Times New Roman" w:cs="Times New Roman"/>
                <w:color w:val="auto"/>
                <w:sz w:val="21"/>
                <w:szCs w:val="21"/>
                <w:highlight w:val="none"/>
                <w:lang w:val="zh-TW"/>
              </w:rPr>
              <w:t>最远影响距离</w:t>
            </w:r>
            <w:r>
              <w:rPr>
                <w:rFonts w:ascii="Times New Roman" w:hAnsi="Times New Roman" w:cs="Times New Roman"/>
                <w:color w:val="auto"/>
                <w:sz w:val="21"/>
                <w:szCs w:val="21"/>
                <w:highlight w:val="none"/>
                <w:lang w:eastAsia="en-US"/>
              </w:rPr>
              <w:t>/m</w:t>
            </w:r>
          </w:p>
        </w:tc>
        <w:tc>
          <w:tcPr>
            <w:tcW w:w="1678" w:type="dxa"/>
            <w:gridSpan w:val="2"/>
            <w:shd w:val="clear" w:color="auto" w:fill="FFFFFF"/>
            <w:vAlign w:val="center"/>
          </w:tcPr>
          <w:p w14:paraId="6DF7E294">
            <w:pPr>
              <w:keepNext w:val="0"/>
              <w:keepLines w:val="0"/>
              <w:pageBreakBefore w:val="0"/>
              <w:widowControl/>
              <w:kinsoku/>
              <w:wordWrap/>
              <w:overflowPunct/>
              <w:topLinePunct w:val="0"/>
              <w:autoSpaceDE/>
              <w:autoSpaceDN/>
              <w:bidi w:val="0"/>
              <w:adjustRightInd/>
              <w:snapToGrid w:val="0"/>
              <w:ind w:left="0" w:right="0"/>
              <w:jc w:val="center"/>
              <w:textAlignment w:val="auto"/>
              <w:rPr>
                <w:rFonts w:ascii="Times New Roman" w:hAnsi="Times New Roman" w:cs="Times New Roman"/>
                <w:color w:val="auto"/>
                <w:sz w:val="21"/>
                <w:szCs w:val="21"/>
                <w:highlight w:val="none"/>
                <w:lang w:val="zh-TW"/>
              </w:rPr>
            </w:pPr>
            <w:r>
              <w:rPr>
                <w:rFonts w:ascii="Times New Roman" w:hAnsi="Times New Roman" w:cs="Times New Roman"/>
                <w:color w:val="auto"/>
                <w:sz w:val="21"/>
                <w:szCs w:val="21"/>
                <w:highlight w:val="none"/>
                <w:lang w:val="zh-TW"/>
              </w:rPr>
              <w:t>到达时间</w:t>
            </w:r>
            <w:r>
              <w:rPr>
                <w:rFonts w:ascii="Times New Roman" w:hAnsi="Times New Roman" w:cs="Times New Roman"/>
                <w:color w:val="auto"/>
                <w:sz w:val="21"/>
                <w:szCs w:val="21"/>
                <w:highlight w:val="none"/>
                <w:lang w:eastAsia="en-US"/>
              </w:rPr>
              <w:t>/min</w:t>
            </w:r>
          </w:p>
        </w:tc>
      </w:tr>
      <w:tr w14:paraId="7CC95BD5">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1525" w:type="dxa"/>
            <w:vMerge w:val="continue"/>
            <w:shd w:val="clear" w:color="auto" w:fill="FFFFFF"/>
            <w:vAlign w:val="center"/>
          </w:tcPr>
          <w:p w14:paraId="75363C5E">
            <w:pPr>
              <w:keepNext w:val="0"/>
              <w:keepLines w:val="0"/>
              <w:pageBreakBefore w:val="0"/>
              <w:widowControl/>
              <w:kinsoku/>
              <w:wordWrap/>
              <w:overflowPunct/>
              <w:topLinePunct w:val="0"/>
              <w:autoSpaceDE/>
              <w:autoSpaceDN/>
              <w:bidi w:val="0"/>
              <w:adjustRightInd/>
              <w:snapToGrid w:val="0"/>
              <w:ind w:left="0" w:right="0"/>
              <w:jc w:val="center"/>
              <w:textAlignment w:val="auto"/>
              <w:rPr>
                <w:rFonts w:ascii="Times New Roman" w:hAnsi="Times New Roman" w:cs="Times New Roman"/>
                <w:color w:val="auto"/>
                <w:sz w:val="21"/>
                <w:szCs w:val="21"/>
                <w:highlight w:val="none"/>
                <w:lang w:val="zh-TW"/>
              </w:rPr>
            </w:pPr>
          </w:p>
        </w:tc>
        <w:tc>
          <w:tcPr>
            <w:tcW w:w="517" w:type="dxa"/>
            <w:vMerge w:val="continue"/>
            <w:shd w:val="clear" w:color="auto" w:fill="FFFFFF"/>
            <w:vAlign w:val="center"/>
          </w:tcPr>
          <w:p w14:paraId="5E1EE04B">
            <w:pPr>
              <w:keepNext w:val="0"/>
              <w:keepLines w:val="0"/>
              <w:pageBreakBefore w:val="0"/>
              <w:widowControl/>
              <w:kinsoku/>
              <w:wordWrap/>
              <w:overflowPunct/>
              <w:topLinePunct w:val="0"/>
              <w:autoSpaceDE/>
              <w:autoSpaceDN/>
              <w:bidi w:val="0"/>
              <w:adjustRightInd/>
              <w:snapToGrid w:val="0"/>
              <w:ind w:left="0" w:right="0"/>
              <w:jc w:val="center"/>
              <w:textAlignment w:val="auto"/>
              <w:rPr>
                <w:rFonts w:ascii="Times New Roman" w:hAnsi="Times New Roman" w:cs="Times New Roman"/>
                <w:color w:val="auto"/>
                <w:sz w:val="21"/>
                <w:szCs w:val="21"/>
                <w:highlight w:val="none"/>
                <w:lang w:val="zh-TW"/>
              </w:rPr>
            </w:pPr>
          </w:p>
        </w:tc>
        <w:tc>
          <w:tcPr>
            <w:tcW w:w="2156" w:type="dxa"/>
            <w:gridSpan w:val="2"/>
            <w:shd w:val="clear" w:color="auto" w:fill="FFFFFF"/>
            <w:vAlign w:val="center"/>
          </w:tcPr>
          <w:p w14:paraId="27D4E1E2">
            <w:pPr>
              <w:keepNext w:val="0"/>
              <w:keepLines w:val="0"/>
              <w:pageBreakBefore w:val="0"/>
              <w:widowControl/>
              <w:kinsoku/>
              <w:wordWrap/>
              <w:overflowPunct/>
              <w:topLinePunct w:val="0"/>
              <w:autoSpaceDE/>
              <w:autoSpaceDN/>
              <w:bidi w:val="0"/>
              <w:adjustRightInd/>
              <w:snapToGrid w:val="0"/>
              <w:ind w:left="0" w:right="0"/>
              <w:jc w:val="center"/>
              <w:textAlignment w:val="auto"/>
              <w:rPr>
                <w:rFonts w:ascii="Times New Roman" w:hAnsi="Times New Roman" w:cs="Times New Roman"/>
                <w:color w:val="auto"/>
                <w:sz w:val="21"/>
                <w:szCs w:val="21"/>
                <w:highlight w:val="none"/>
                <w:lang w:val="zh-TW"/>
              </w:rPr>
            </w:pPr>
            <w:r>
              <w:rPr>
                <w:rFonts w:ascii="Times New Roman" w:hAnsi="Times New Roman" w:cs="Times New Roman"/>
                <w:color w:val="auto"/>
                <w:sz w:val="21"/>
                <w:szCs w:val="21"/>
                <w:highlight w:val="none"/>
                <w:lang w:val="zh-TW"/>
              </w:rPr>
              <w:t>大气毒性终点浓度</w:t>
            </w:r>
            <w:r>
              <w:rPr>
                <w:rFonts w:ascii="Times New Roman" w:hAnsi="Times New Roman" w:cs="Times New Roman"/>
                <w:color w:val="auto"/>
                <w:sz w:val="21"/>
                <w:szCs w:val="21"/>
                <w:highlight w:val="none"/>
                <w:lang w:eastAsia="en-US"/>
              </w:rPr>
              <w:t>-1</w:t>
            </w:r>
          </w:p>
        </w:tc>
        <w:tc>
          <w:tcPr>
            <w:tcW w:w="1297" w:type="dxa"/>
            <w:gridSpan w:val="2"/>
            <w:shd w:val="clear" w:color="auto" w:fill="FFFFFF"/>
            <w:vAlign w:val="center"/>
          </w:tcPr>
          <w:p w14:paraId="3590D25E">
            <w:pPr>
              <w:keepNext w:val="0"/>
              <w:keepLines w:val="0"/>
              <w:pageBreakBefore w:val="0"/>
              <w:widowControl/>
              <w:kinsoku/>
              <w:wordWrap/>
              <w:overflowPunct/>
              <w:topLinePunct w:val="0"/>
              <w:autoSpaceDE/>
              <w:autoSpaceDN/>
              <w:bidi w:val="0"/>
              <w:adjustRightInd/>
              <w:snapToGrid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380</w:t>
            </w:r>
          </w:p>
        </w:tc>
        <w:tc>
          <w:tcPr>
            <w:tcW w:w="1331" w:type="dxa"/>
            <w:gridSpan w:val="2"/>
            <w:shd w:val="clear" w:color="auto" w:fill="FFFFFF"/>
            <w:vAlign w:val="center"/>
          </w:tcPr>
          <w:p w14:paraId="594F87DE">
            <w:pPr>
              <w:keepNext w:val="0"/>
              <w:keepLines w:val="0"/>
              <w:pageBreakBefore w:val="0"/>
              <w:widowControl/>
              <w:kinsoku/>
              <w:wordWrap/>
              <w:overflowPunct/>
              <w:topLinePunct w:val="0"/>
              <w:autoSpaceDE/>
              <w:autoSpaceDN/>
              <w:bidi w:val="0"/>
              <w:adjustRightInd/>
              <w:snapToGrid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100</w:t>
            </w:r>
          </w:p>
        </w:tc>
        <w:tc>
          <w:tcPr>
            <w:tcW w:w="1678" w:type="dxa"/>
            <w:gridSpan w:val="2"/>
            <w:shd w:val="clear" w:color="auto" w:fill="FFFFFF"/>
            <w:vAlign w:val="center"/>
          </w:tcPr>
          <w:p w14:paraId="64EB5C27">
            <w:pPr>
              <w:keepNext w:val="0"/>
              <w:keepLines w:val="0"/>
              <w:pageBreakBefore w:val="0"/>
              <w:widowControl/>
              <w:kinsoku/>
              <w:wordWrap/>
              <w:overflowPunct/>
              <w:topLinePunct w:val="0"/>
              <w:autoSpaceDE/>
              <w:autoSpaceDN/>
              <w:bidi w:val="0"/>
              <w:adjustRightInd/>
              <w:snapToGrid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1.1</w:t>
            </w:r>
          </w:p>
        </w:tc>
      </w:tr>
      <w:tr w14:paraId="4938E213">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1525" w:type="dxa"/>
            <w:vMerge w:val="continue"/>
            <w:shd w:val="clear" w:color="auto" w:fill="FFFFFF"/>
            <w:vAlign w:val="center"/>
          </w:tcPr>
          <w:p w14:paraId="195DF7C1">
            <w:pPr>
              <w:keepNext w:val="0"/>
              <w:keepLines w:val="0"/>
              <w:pageBreakBefore w:val="0"/>
              <w:widowControl/>
              <w:kinsoku/>
              <w:wordWrap/>
              <w:overflowPunct/>
              <w:topLinePunct w:val="0"/>
              <w:autoSpaceDE/>
              <w:autoSpaceDN/>
              <w:bidi w:val="0"/>
              <w:adjustRightInd/>
              <w:snapToGrid w:val="0"/>
              <w:ind w:left="0" w:right="0"/>
              <w:jc w:val="center"/>
              <w:textAlignment w:val="auto"/>
              <w:rPr>
                <w:rFonts w:ascii="Times New Roman" w:hAnsi="Times New Roman" w:cs="Times New Roman"/>
                <w:color w:val="auto"/>
                <w:sz w:val="21"/>
                <w:szCs w:val="21"/>
                <w:highlight w:val="none"/>
                <w:lang w:val="zh-TW"/>
              </w:rPr>
            </w:pPr>
          </w:p>
        </w:tc>
        <w:tc>
          <w:tcPr>
            <w:tcW w:w="517" w:type="dxa"/>
            <w:vMerge w:val="continue"/>
            <w:shd w:val="clear" w:color="auto" w:fill="FFFFFF"/>
            <w:vAlign w:val="center"/>
          </w:tcPr>
          <w:p w14:paraId="0AB0761B">
            <w:pPr>
              <w:keepNext w:val="0"/>
              <w:keepLines w:val="0"/>
              <w:pageBreakBefore w:val="0"/>
              <w:widowControl/>
              <w:kinsoku/>
              <w:wordWrap/>
              <w:overflowPunct/>
              <w:topLinePunct w:val="0"/>
              <w:autoSpaceDE/>
              <w:autoSpaceDN/>
              <w:bidi w:val="0"/>
              <w:adjustRightInd/>
              <w:snapToGrid w:val="0"/>
              <w:ind w:left="0" w:right="0"/>
              <w:jc w:val="center"/>
              <w:textAlignment w:val="auto"/>
              <w:rPr>
                <w:rFonts w:ascii="Times New Roman" w:hAnsi="Times New Roman" w:cs="Times New Roman"/>
                <w:color w:val="auto"/>
                <w:sz w:val="21"/>
                <w:szCs w:val="21"/>
                <w:highlight w:val="none"/>
                <w:lang w:val="zh-TW"/>
              </w:rPr>
            </w:pPr>
          </w:p>
        </w:tc>
        <w:tc>
          <w:tcPr>
            <w:tcW w:w="2156" w:type="dxa"/>
            <w:gridSpan w:val="2"/>
            <w:shd w:val="clear" w:color="auto" w:fill="FFFFFF"/>
            <w:vAlign w:val="center"/>
          </w:tcPr>
          <w:p w14:paraId="7266D3B6">
            <w:pPr>
              <w:keepNext w:val="0"/>
              <w:keepLines w:val="0"/>
              <w:pageBreakBefore w:val="0"/>
              <w:widowControl/>
              <w:kinsoku/>
              <w:wordWrap/>
              <w:overflowPunct/>
              <w:topLinePunct w:val="0"/>
              <w:autoSpaceDE/>
              <w:autoSpaceDN/>
              <w:bidi w:val="0"/>
              <w:adjustRightInd/>
              <w:snapToGrid w:val="0"/>
              <w:ind w:left="0" w:right="0"/>
              <w:jc w:val="center"/>
              <w:textAlignment w:val="auto"/>
              <w:rPr>
                <w:rFonts w:ascii="Times New Roman" w:hAnsi="Times New Roman" w:cs="Times New Roman"/>
                <w:color w:val="auto"/>
                <w:sz w:val="21"/>
                <w:szCs w:val="21"/>
                <w:highlight w:val="none"/>
                <w:lang w:val="zh-TW"/>
              </w:rPr>
            </w:pPr>
            <w:r>
              <w:rPr>
                <w:rFonts w:ascii="Times New Roman" w:hAnsi="Times New Roman" w:cs="Times New Roman"/>
                <w:color w:val="auto"/>
                <w:sz w:val="21"/>
                <w:szCs w:val="21"/>
                <w:highlight w:val="none"/>
                <w:lang w:val="zh-TW"/>
              </w:rPr>
              <w:t>大气毒性终点浓度</w:t>
            </w:r>
            <w:r>
              <w:rPr>
                <w:rFonts w:ascii="Times New Roman" w:hAnsi="Times New Roman" w:cs="Times New Roman"/>
                <w:color w:val="auto"/>
                <w:sz w:val="21"/>
                <w:szCs w:val="21"/>
                <w:highlight w:val="none"/>
                <w:lang w:eastAsia="en-US"/>
              </w:rPr>
              <w:t>-2</w:t>
            </w:r>
          </w:p>
        </w:tc>
        <w:tc>
          <w:tcPr>
            <w:tcW w:w="1297" w:type="dxa"/>
            <w:gridSpan w:val="2"/>
            <w:shd w:val="clear" w:color="auto" w:fill="FFFFFF"/>
            <w:vAlign w:val="center"/>
          </w:tcPr>
          <w:p w14:paraId="626CEF87">
            <w:pPr>
              <w:keepNext w:val="0"/>
              <w:keepLines w:val="0"/>
              <w:pageBreakBefore w:val="0"/>
              <w:widowControl/>
              <w:kinsoku/>
              <w:wordWrap/>
              <w:overflowPunct/>
              <w:topLinePunct w:val="0"/>
              <w:autoSpaceDE/>
              <w:autoSpaceDN/>
              <w:bidi w:val="0"/>
              <w:adjustRightInd/>
              <w:snapToGrid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95</w:t>
            </w:r>
          </w:p>
        </w:tc>
        <w:tc>
          <w:tcPr>
            <w:tcW w:w="1331" w:type="dxa"/>
            <w:gridSpan w:val="2"/>
            <w:shd w:val="clear" w:color="auto" w:fill="FFFFFF"/>
            <w:vAlign w:val="center"/>
          </w:tcPr>
          <w:p w14:paraId="32ADCE1B">
            <w:pPr>
              <w:keepNext w:val="0"/>
              <w:keepLines w:val="0"/>
              <w:pageBreakBefore w:val="0"/>
              <w:widowControl/>
              <w:kinsoku/>
              <w:wordWrap/>
              <w:overflowPunct/>
              <w:topLinePunct w:val="0"/>
              <w:autoSpaceDE/>
              <w:autoSpaceDN/>
              <w:bidi w:val="0"/>
              <w:adjustRightInd/>
              <w:snapToGrid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240</w:t>
            </w:r>
          </w:p>
        </w:tc>
        <w:tc>
          <w:tcPr>
            <w:tcW w:w="1678" w:type="dxa"/>
            <w:gridSpan w:val="2"/>
            <w:shd w:val="clear" w:color="auto" w:fill="FFFFFF"/>
            <w:vAlign w:val="center"/>
          </w:tcPr>
          <w:p w14:paraId="713F8837">
            <w:pPr>
              <w:keepNext w:val="0"/>
              <w:keepLines w:val="0"/>
              <w:pageBreakBefore w:val="0"/>
              <w:widowControl/>
              <w:kinsoku/>
              <w:wordWrap/>
              <w:overflowPunct/>
              <w:topLinePunct w:val="0"/>
              <w:autoSpaceDE/>
              <w:autoSpaceDN/>
              <w:bidi w:val="0"/>
              <w:adjustRightInd/>
              <w:snapToGrid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2.56</w:t>
            </w:r>
          </w:p>
        </w:tc>
      </w:tr>
      <w:tr w14:paraId="252687B1">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1525" w:type="dxa"/>
            <w:vMerge w:val="continue"/>
            <w:shd w:val="clear" w:color="auto" w:fill="FFFFFF"/>
            <w:vAlign w:val="center"/>
          </w:tcPr>
          <w:p w14:paraId="56470F55">
            <w:pPr>
              <w:keepNext w:val="0"/>
              <w:keepLines w:val="0"/>
              <w:pageBreakBefore w:val="0"/>
              <w:widowControl/>
              <w:kinsoku/>
              <w:wordWrap/>
              <w:overflowPunct/>
              <w:topLinePunct w:val="0"/>
              <w:autoSpaceDE/>
              <w:autoSpaceDN/>
              <w:bidi w:val="0"/>
              <w:adjustRightInd/>
              <w:snapToGrid w:val="0"/>
              <w:ind w:left="0" w:right="0"/>
              <w:jc w:val="center"/>
              <w:textAlignment w:val="auto"/>
              <w:rPr>
                <w:rFonts w:ascii="Times New Roman" w:hAnsi="Times New Roman" w:cs="Times New Roman"/>
                <w:color w:val="auto"/>
                <w:sz w:val="21"/>
                <w:szCs w:val="21"/>
                <w:highlight w:val="none"/>
                <w:lang w:val="zh-TW"/>
              </w:rPr>
            </w:pPr>
          </w:p>
        </w:tc>
        <w:tc>
          <w:tcPr>
            <w:tcW w:w="517" w:type="dxa"/>
            <w:vMerge w:val="continue"/>
            <w:shd w:val="clear" w:color="auto" w:fill="FFFFFF"/>
            <w:vAlign w:val="center"/>
          </w:tcPr>
          <w:p w14:paraId="287118F5">
            <w:pPr>
              <w:keepNext w:val="0"/>
              <w:keepLines w:val="0"/>
              <w:pageBreakBefore w:val="0"/>
              <w:widowControl/>
              <w:kinsoku/>
              <w:wordWrap/>
              <w:overflowPunct/>
              <w:topLinePunct w:val="0"/>
              <w:autoSpaceDE/>
              <w:autoSpaceDN/>
              <w:bidi w:val="0"/>
              <w:adjustRightInd/>
              <w:snapToGrid w:val="0"/>
              <w:ind w:left="0" w:right="0"/>
              <w:jc w:val="center"/>
              <w:textAlignment w:val="auto"/>
              <w:rPr>
                <w:rFonts w:ascii="Times New Roman" w:hAnsi="Times New Roman" w:cs="Times New Roman"/>
                <w:color w:val="auto"/>
                <w:sz w:val="21"/>
                <w:szCs w:val="21"/>
                <w:highlight w:val="none"/>
                <w:lang w:val="zh-TW"/>
              </w:rPr>
            </w:pPr>
          </w:p>
        </w:tc>
        <w:tc>
          <w:tcPr>
            <w:tcW w:w="2156" w:type="dxa"/>
            <w:gridSpan w:val="2"/>
            <w:shd w:val="clear" w:color="auto" w:fill="FFFFFF"/>
            <w:vAlign w:val="center"/>
          </w:tcPr>
          <w:p w14:paraId="1E9E3DCB">
            <w:pPr>
              <w:keepNext w:val="0"/>
              <w:keepLines w:val="0"/>
              <w:pageBreakBefore w:val="0"/>
              <w:widowControl/>
              <w:kinsoku/>
              <w:wordWrap/>
              <w:overflowPunct/>
              <w:topLinePunct w:val="0"/>
              <w:autoSpaceDE/>
              <w:autoSpaceDN/>
              <w:bidi w:val="0"/>
              <w:adjustRightInd/>
              <w:snapToGrid w:val="0"/>
              <w:ind w:left="0" w:right="0"/>
              <w:jc w:val="center"/>
              <w:textAlignment w:val="auto"/>
              <w:rPr>
                <w:rFonts w:ascii="Times New Roman" w:hAnsi="Times New Roman" w:cs="Times New Roman"/>
                <w:color w:val="auto"/>
                <w:sz w:val="21"/>
                <w:szCs w:val="21"/>
                <w:highlight w:val="none"/>
                <w:lang w:val="zh-TW"/>
              </w:rPr>
            </w:pPr>
            <w:r>
              <w:rPr>
                <w:rFonts w:ascii="Times New Roman" w:hAnsi="Times New Roman" w:cs="Times New Roman"/>
                <w:color w:val="auto"/>
                <w:sz w:val="21"/>
                <w:szCs w:val="21"/>
                <w:highlight w:val="none"/>
                <w:lang w:val="zh-TW"/>
              </w:rPr>
              <w:t>敏感目标名称</w:t>
            </w:r>
          </w:p>
        </w:tc>
        <w:tc>
          <w:tcPr>
            <w:tcW w:w="1297" w:type="dxa"/>
            <w:gridSpan w:val="2"/>
            <w:shd w:val="clear" w:color="auto" w:fill="FFFFFF"/>
            <w:vAlign w:val="center"/>
          </w:tcPr>
          <w:p w14:paraId="7F498C77">
            <w:pPr>
              <w:keepNext w:val="0"/>
              <w:keepLines w:val="0"/>
              <w:pageBreakBefore w:val="0"/>
              <w:widowControl/>
              <w:kinsoku/>
              <w:wordWrap/>
              <w:overflowPunct/>
              <w:topLinePunct w:val="0"/>
              <w:autoSpaceDE/>
              <w:autoSpaceDN/>
              <w:bidi w:val="0"/>
              <w:adjustRightInd/>
              <w:snapToGrid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val="zh-TW"/>
              </w:rPr>
              <w:t>超标时间</w:t>
            </w:r>
            <w:r>
              <w:rPr>
                <w:rFonts w:ascii="Times New Roman" w:hAnsi="Times New Roman" w:cs="Times New Roman"/>
                <w:color w:val="auto"/>
                <w:sz w:val="21"/>
                <w:szCs w:val="21"/>
                <w:highlight w:val="none"/>
                <w:lang w:eastAsia="en-US"/>
              </w:rPr>
              <w:t>/min</w:t>
            </w:r>
          </w:p>
        </w:tc>
        <w:tc>
          <w:tcPr>
            <w:tcW w:w="1331" w:type="dxa"/>
            <w:gridSpan w:val="2"/>
            <w:shd w:val="clear" w:color="auto" w:fill="FFFFFF"/>
            <w:vAlign w:val="center"/>
          </w:tcPr>
          <w:p w14:paraId="5C5C8226">
            <w:pPr>
              <w:keepNext w:val="0"/>
              <w:keepLines w:val="0"/>
              <w:pageBreakBefore w:val="0"/>
              <w:widowControl/>
              <w:kinsoku/>
              <w:wordWrap/>
              <w:overflowPunct/>
              <w:topLinePunct w:val="0"/>
              <w:autoSpaceDE/>
              <w:autoSpaceDN/>
              <w:bidi w:val="0"/>
              <w:adjustRightInd/>
              <w:snapToGrid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val="zh-TW"/>
              </w:rPr>
              <w:t>超标持续时间</w:t>
            </w:r>
            <w:r>
              <w:rPr>
                <w:rFonts w:ascii="Times New Roman" w:hAnsi="Times New Roman" w:cs="Times New Roman"/>
                <w:color w:val="auto"/>
                <w:sz w:val="21"/>
                <w:szCs w:val="21"/>
                <w:highlight w:val="none"/>
                <w:lang w:eastAsia="en-US"/>
              </w:rPr>
              <w:t>/min</w:t>
            </w:r>
          </w:p>
        </w:tc>
        <w:tc>
          <w:tcPr>
            <w:tcW w:w="1678" w:type="dxa"/>
            <w:gridSpan w:val="2"/>
            <w:shd w:val="clear" w:color="auto" w:fill="FFFFFF"/>
            <w:vAlign w:val="center"/>
          </w:tcPr>
          <w:p w14:paraId="19410C32">
            <w:pPr>
              <w:keepNext w:val="0"/>
              <w:keepLines w:val="0"/>
              <w:pageBreakBefore w:val="0"/>
              <w:widowControl/>
              <w:kinsoku/>
              <w:wordWrap/>
              <w:overflowPunct/>
              <w:topLinePunct w:val="0"/>
              <w:autoSpaceDE/>
              <w:autoSpaceDN/>
              <w:bidi w:val="0"/>
              <w:adjustRightInd/>
              <w:snapToGrid w:val="0"/>
              <w:ind w:left="0" w:right="0"/>
              <w:jc w:val="center"/>
              <w:textAlignment w:val="auto"/>
              <w:rPr>
                <w:rFonts w:ascii="Times New Roman" w:hAnsi="Times New Roman" w:cs="Times New Roman"/>
                <w:color w:val="auto"/>
                <w:sz w:val="21"/>
                <w:szCs w:val="21"/>
                <w:highlight w:val="none"/>
                <w:lang w:val="zh-TW"/>
              </w:rPr>
            </w:pPr>
            <w:r>
              <w:rPr>
                <w:rFonts w:ascii="Times New Roman" w:hAnsi="Times New Roman" w:cs="Times New Roman"/>
                <w:color w:val="auto"/>
                <w:sz w:val="21"/>
                <w:szCs w:val="21"/>
                <w:highlight w:val="none"/>
                <w:lang w:val="zh-TW"/>
              </w:rPr>
              <w:t>最大浓度</w:t>
            </w:r>
            <w:r>
              <w:rPr>
                <w:rFonts w:ascii="Times New Roman" w:hAnsi="Times New Roman" w:cs="Times New Roman"/>
                <w:color w:val="auto"/>
                <w:sz w:val="21"/>
                <w:szCs w:val="21"/>
                <w:highlight w:val="none"/>
                <w:lang w:eastAsia="en-US"/>
              </w:rPr>
              <w:t>/(mg/m</w:t>
            </w:r>
            <w:r>
              <w:rPr>
                <w:rFonts w:ascii="Times New Roman" w:hAnsi="Times New Roman" w:cs="Times New Roman"/>
                <w:color w:val="auto"/>
                <w:sz w:val="21"/>
                <w:szCs w:val="21"/>
                <w:highlight w:val="none"/>
                <w:vertAlign w:val="superscript"/>
                <w:lang w:eastAsia="en-US"/>
              </w:rPr>
              <w:t>3</w:t>
            </w:r>
            <w:r>
              <w:rPr>
                <w:rFonts w:ascii="Times New Roman" w:hAnsi="Times New Roman" w:cs="Times New Roman"/>
                <w:color w:val="auto"/>
                <w:sz w:val="21"/>
                <w:szCs w:val="21"/>
                <w:highlight w:val="none"/>
                <w:lang w:eastAsia="en-US"/>
              </w:rPr>
              <w:t>)</w:t>
            </w:r>
          </w:p>
        </w:tc>
      </w:tr>
      <w:tr w14:paraId="730F9CB5">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1525" w:type="dxa"/>
            <w:vMerge w:val="continue"/>
            <w:shd w:val="clear" w:color="auto" w:fill="FFFFFF"/>
            <w:vAlign w:val="center"/>
          </w:tcPr>
          <w:p w14:paraId="49C8801C">
            <w:pPr>
              <w:keepNext w:val="0"/>
              <w:keepLines w:val="0"/>
              <w:pageBreakBefore w:val="0"/>
              <w:widowControl/>
              <w:kinsoku/>
              <w:wordWrap/>
              <w:overflowPunct/>
              <w:topLinePunct w:val="0"/>
              <w:autoSpaceDE/>
              <w:autoSpaceDN/>
              <w:bidi w:val="0"/>
              <w:adjustRightInd/>
              <w:snapToGrid w:val="0"/>
              <w:ind w:left="0" w:right="0"/>
              <w:jc w:val="center"/>
              <w:textAlignment w:val="auto"/>
              <w:rPr>
                <w:rFonts w:ascii="Times New Roman" w:hAnsi="Times New Roman" w:cs="Times New Roman"/>
                <w:color w:val="auto"/>
                <w:sz w:val="21"/>
                <w:szCs w:val="21"/>
                <w:highlight w:val="none"/>
                <w:lang w:val="zh-TW"/>
              </w:rPr>
            </w:pPr>
          </w:p>
        </w:tc>
        <w:tc>
          <w:tcPr>
            <w:tcW w:w="517" w:type="dxa"/>
            <w:vMerge w:val="continue"/>
            <w:shd w:val="clear" w:color="auto" w:fill="FFFFFF"/>
            <w:vAlign w:val="center"/>
          </w:tcPr>
          <w:p w14:paraId="1055F2B0">
            <w:pPr>
              <w:keepNext w:val="0"/>
              <w:keepLines w:val="0"/>
              <w:pageBreakBefore w:val="0"/>
              <w:widowControl/>
              <w:kinsoku/>
              <w:wordWrap/>
              <w:overflowPunct/>
              <w:topLinePunct w:val="0"/>
              <w:autoSpaceDE/>
              <w:autoSpaceDN/>
              <w:bidi w:val="0"/>
              <w:adjustRightInd/>
              <w:snapToGrid w:val="0"/>
              <w:ind w:left="0" w:right="0"/>
              <w:jc w:val="center"/>
              <w:textAlignment w:val="auto"/>
              <w:rPr>
                <w:rFonts w:ascii="Times New Roman" w:hAnsi="Times New Roman" w:cs="Times New Roman"/>
                <w:color w:val="auto"/>
                <w:sz w:val="21"/>
                <w:szCs w:val="21"/>
                <w:highlight w:val="none"/>
                <w:lang w:val="zh-TW"/>
              </w:rPr>
            </w:pPr>
          </w:p>
        </w:tc>
        <w:tc>
          <w:tcPr>
            <w:tcW w:w="2156" w:type="dxa"/>
            <w:gridSpan w:val="2"/>
            <w:shd w:val="clear" w:color="auto" w:fill="FFFFFF"/>
            <w:vAlign w:val="center"/>
          </w:tcPr>
          <w:p w14:paraId="5F96D27D">
            <w:pPr>
              <w:keepNext w:val="0"/>
              <w:keepLines w:val="0"/>
              <w:pageBreakBefore w:val="0"/>
              <w:widowControl/>
              <w:kinsoku/>
              <w:wordWrap/>
              <w:overflowPunct/>
              <w:topLinePunct w:val="0"/>
              <w:autoSpaceDE/>
              <w:autoSpaceDN/>
              <w:bidi w:val="0"/>
              <w:adjustRightInd/>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olor w:val="auto"/>
                <w:sz w:val="21"/>
                <w:szCs w:val="21"/>
                <w:highlight w:val="none"/>
                <w:lang w:bidi="zh-CN"/>
              </w:rPr>
              <w:t>周巷头</w:t>
            </w:r>
          </w:p>
        </w:tc>
        <w:tc>
          <w:tcPr>
            <w:tcW w:w="1297" w:type="dxa"/>
            <w:gridSpan w:val="2"/>
            <w:shd w:val="clear" w:color="auto" w:fill="FFFFFF"/>
            <w:vAlign w:val="center"/>
          </w:tcPr>
          <w:p w14:paraId="3F58C7C3">
            <w:pPr>
              <w:keepNext w:val="0"/>
              <w:keepLines w:val="0"/>
              <w:pageBreakBefore w:val="0"/>
              <w:widowControl/>
              <w:kinsoku/>
              <w:wordWrap/>
              <w:overflowPunct/>
              <w:topLinePunct w:val="0"/>
              <w:autoSpaceDE/>
              <w:autoSpaceDN/>
              <w:bidi w:val="0"/>
              <w:adjustRightInd/>
              <w:snapToGrid w:val="0"/>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0.44</w:t>
            </w:r>
          </w:p>
        </w:tc>
        <w:tc>
          <w:tcPr>
            <w:tcW w:w="1331" w:type="dxa"/>
            <w:gridSpan w:val="2"/>
            <w:shd w:val="clear" w:color="auto" w:fill="FFFFFF"/>
            <w:vAlign w:val="center"/>
          </w:tcPr>
          <w:p w14:paraId="5A48FC29">
            <w:pPr>
              <w:keepNext w:val="0"/>
              <w:keepLines w:val="0"/>
              <w:pageBreakBefore w:val="0"/>
              <w:widowControl/>
              <w:kinsoku/>
              <w:wordWrap/>
              <w:overflowPunct/>
              <w:topLinePunct w:val="0"/>
              <w:autoSpaceDE/>
              <w:autoSpaceDN/>
              <w:bidi w:val="0"/>
              <w:adjustRightInd/>
              <w:snapToGrid w:val="0"/>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29.56</w:t>
            </w:r>
          </w:p>
        </w:tc>
        <w:tc>
          <w:tcPr>
            <w:tcW w:w="1678" w:type="dxa"/>
            <w:gridSpan w:val="2"/>
            <w:shd w:val="clear" w:color="auto" w:fill="FFFFFF"/>
            <w:vAlign w:val="center"/>
          </w:tcPr>
          <w:p w14:paraId="7F52712B">
            <w:pPr>
              <w:keepNext w:val="0"/>
              <w:keepLines w:val="0"/>
              <w:pageBreakBefore w:val="0"/>
              <w:widowControl/>
              <w:kinsoku/>
              <w:wordWrap/>
              <w:overflowPunct/>
              <w:topLinePunct w:val="0"/>
              <w:autoSpaceDE/>
              <w:autoSpaceDN/>
              <w:bidi w:val="0"/>
              <w:adjustRightInd/>
              <w:snapToGrid w:val="0"/>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380</w:t>
            </w:r>
          </w:p>
        </w:tc>
      </w:tr>
      <w:tr w14:paraId="3D8F110E">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1525" w:type="dxa"/>
            <w:vMerge w:val="continue"/>
            <w:shd w:val="clear" w:color="auto" w:fill="FFFFFF"/>
            <w:vAlign w:val="center"/>
          </w:tcPr>
          <w:p w14:paraId="251CD710">
            <w:pPr>
              <w:keepNext w:val="0"/>
              <w:keepLines w:val="0"/>
              <w:pageBreakBefore w:val="0"/>
              <w:widowControl/>
              <w:kinsoku/>
              <w:wordWrap/>
              <w:overflowPunct/>
              <w:topLinePunct w:val="0"/>
              <w:autoSpaceDE/>
              <w:autoSpaceDN/>
              <w:bidi w:val="0"/>
              <w:adjustRightInd/>
              <w:snapToGrid w:val="0"/>
              <w:ind w:left="0" w:right="0"/>
              <w:jc w:val="center"/>
              <w:textAlignment w:val="auto"/>
              <w:rPr>
                <w:rFonts w:ascii="Times New Roman" w:hAnsi="Times New Roman" w:cs="Times New Roman"/>
                <w:color w:val="auto"/>
                <w:sz w:val="21"/>
                <w:szCs w:val="21"/>
                <w:highlight w:val="none"/>
                <w:lang w:val="zh-TW"/>
              </w:rPr>
            </w:pPr>
          </w:p>
        </w:tc>
        <w:tc>
          <w:tcPr>
            <w:tcW w:w="517" w:type="dxa"/>
            <w:vMerge w:val="continue"/>
            <w:shd w:val="clear" w:color="auto" w:fill="FFFFFF"/>
            <w:vAlign w:val="center"/>
          </w:tcPr>
          <w:p w14:paraId="557B2E90">
            <w:pPr>
              <w:keepNext w:val="0"/>
              <w:keepLines w:val="0"/>
              <w:pageBreakBefore w:val="0"/>
              <w:widowControl/>
              <w:kinsoku/>
              <w:wordWrap/>
              <w:overflowPunct/>
              <w:topLinePunct w:val="0"/>
              <w:autoSpaceDE/>
              <w:autoSpaceDN/>
              <w:bidi w:val="0"/>
              <w:adjustRightInd/>
              <w:snapToGrid w:val="0"/>
              <w:ind w:left="0" w:right="0"/>
              <w:jc w:val="center"/>
              <w:textAlignment w:val="auto"/>
              <w:rPr>
                <w:rFonts w:ascii="Times New Roman" w:hAnsi="Times New Roman" w:cs="Times New Roman"/>
                <w:color w:val="auto"/>
                <w:sz w:val="21"/>
                <w:szCs w:val="21"/>
                <w:highlight w:val="none"/>
                <w:lang w:val="zh-TW"/>
              </w:rPr>
            </w:pPr>
          </w:p>
        </w:tc>
        <w:tc>
          <w:tcPr>
            <w:tcW w:w="2156" w:type="dxa"/>
            <w:gridSpan w:val="2"/>
            <w:shd w:val="clear" w:color="auto" w:fill="FFFFFF"/>
            <w:vAlign w:val="center"/>
          </w:tcPr>
          <w:p w14:paraId="23AD5006">
            <w:pPr>
              <w:keepNext w:val="0"/>
              <w:keepLines w:val="0"/>
              <w:pageBreakBefore w:val="0"/>
              <w:widowControl/>
              <w:kinsoku/>
              <w:wordWrap/>
              <w:overflowPunct/>
              <w:topLinePunct w:val="0"/>
              <w:autoSpaceDE/>
              <w:autoSpaceDN/>
              <w:bidi w:val="0"/>
              <w:adjustRightInd/>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olor w:val="auto"/>
                <w:sz w:val="21"/>
                <w:szCs w:val="21"/>
                <w:highlight w:val="none"/>
                <w:lang w:bidi="zh-CN"/>
              </w:rPr>
              <w:t>浦巷上</w:t>
            </w:r>
          </w:p>
        </w:tc>
        <w:tc>
          <w:tcPr>
            <w:tcW w:w="1297" w:type="dxa"/>
            <w:gridSpan w:val="2"/>
            <w:shd w:val="clear" w:color="auto" w:fill="FFFFFF"/>
            <w:vAlign w:val="center"/>
          </w:tcPr>
          <w:p w14:paraId="5C6104C0">
            <w:pPr>
              <w:keepNext w:val="0"/>
              <w:keepLines w:val="0"/>
              <w:pageBreakBefore w:val="0"/>
              <w:widowControl/>
              <w:kinsoku/>
              <w:wordWrap/>
              <w:overflowPunct/>
              <w:topLinePunct w:val="0"/>
              <w:autoSpaceDE/>
              <w:autoSpaceDN/>
              <w:bidi w:val="0"/>
              <w:adjustRightInd/>
              <w:snapToGrid w:val="0"/>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1.1</w:t>
            </w:r>
          </w:p>
        </w:tc>
        <w:tc>
          <w:tcPr>
            <w:tcW w:w="1331" w:type="dxa"/>
            <w:gridSpan w:val="2"/>
            <w:shd w:val="clear" w:color="auto" w:fill="FFFFFF"/>
            <w:vAlign w:val="center"/>
          </w:tcPr>
          <w:p w14:paraId="7F2DA44E">
            <w:pPr>
              <w:keepNext w:val="0"/>
              <w:keepLines w:val="0"/>
              <w:pageBreakBefore w:val="0"/>
              <w:widowControl/>
              <w:kinsoku/>
              <w:wordWrap/>
              <w:overflowPunct/>
              <w:topLinePunct w:val="0"/>
              <w:autoSpaceDE/>
              <w:autoSpaceDN/>
              <w:bidi w:val="0"/>
              <w:adjustRightInd/>
              <w:snapToGrid w:val="0"/>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28.9</w:t>
            </w:r>
          </w:p>
        </w:tc>
        <w:tc>
          <w:tcPr>
            <w:tcW w:w="1678" w:type="dxa"/>
            <w:gridSpan w:val="2"/>
            <w:shd w:val="clear" w:color="auto" w:fill="FFFFFF"/>
            <w:vAlign w:val="center"/>
          </w:tcPr>
          <w:p w14:paraId="44341518">
            <w:pPr>
              <w:keepNext w:val="0"/>
              <w:keepLines w:val="0"/>
              <w:pageBreakBefore w:val="0"/>
              <w:widowControl/>
              <w:kinsoku/>
              <w:wordWrap/>
              <w:overflowPunct/>
              <w:topLinePunct w:val="0"/>
              <w:autoSpaceDE/>
              <w:autoSpaceDN/>
              <w:bidi w:val="0"/>
              <w:adjustRightInd/>
              <w:snapToGrid w:val="0"/>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380</w:t>
            </w:r>
          </w:p>
        </w:tc>
      </w:tr>
      <w:tr w14:paraId="176817D5">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1525" w:type="dxa"/>
            <w:vMerge w:val="continue"/>
            <w:shd w:val="clear" w:color="auto" w:fill="FFFFFF"/>
            <w:vAlign w:val="center"/>
          </w:tcPr>
          <w:p w14:paraId="042851E2">
            <w:pPr>
              <w:keepNext w:val="0"/>
              <w:keepLines w:val="0"/>
              <w:pageBreakBefore w:val="0"/>
              <w:widowControl/>
              <w:kinsoku/>
              <w:wordWrap/>
              <w:overflowPunct/>
              <w:topLinePunct w:val="0"/>
              <w:autoSpaceDE/>
              <w:autoSpaceDN/>
              <w:bidi w:val="0"/>
              <w:adjustRightInd/>
              <w:snapToGrid w:val="0"/>
              <w:ind w:left="0" w:right="0"/>
              <w:jc w:val="center"/>
              <w:textAlignment w:val="auto"/>
              <w:rPr>
                <w:rFonts w:ascii="Times New Roman" w:hAnsi="Times New Roman" w:cs="Times New Roman"/>
                <w:color w:val="auto"/>
                <w:sz w:val="21"/>
                <w:szCs w:val="21"/>
                <w:highlight w:val="none"/>
                <w:lang w:val="zh-TW"/>
              </w:rPr>
            </w:pPr>
          </w:p>
        </w:tc>
        <w:tc>
          <w:tcPr>
            <w:tcW w:w="517" w:type="dxa"/>
            <w:vMerge w:val="continue"/>
            <w:shd w:val="clear" w:color="auto" w:fill="FFFFFF"/>
            <w:vAlign w:val="center"/>
          </w:tcPr>
          <w:p w14:paraId="70F7ADDD">
            <w:pPr>
              <w:keepNext w:val="0"/>
              <w:keepLines w:val="0"/>
              <w:pageBreakBefore w:val="0"/>
              <w:widowControl/>
              <w:kinsoku/>
              <w:wordWrap/>
              <w:overflowPunct/>
              <w:topLinePunct w:val="0"/>
              <w:autoSpaceDE/>
              <w:autoSpaceDN/>
              <w:bidi w:val="0"/>
              <w:adjustRightInd/>
              <w:snapToGrid w:val="0"/>
              <w:ind w:left="0" w:right="0"/>
              <w:jc w:val="center"/>
              <w:textAlignment w:val="auto"/>
              <w:rPr>
                <w:rFonts w:ascii="Times New Roman" w:hAnsi="Times New Roman" w:cs="Times New Roman"/>
                <w:color w:val="auto"/>
                <w:sz w:val="21"/>
                <w:szCs w:val="21"/>
                <w:highlight w:val="none"/>
                <w:lang w:val="zh-TW"/>
              </w:rPr>
            </w:pPr>
          </w:p>
        </w:tc>
        <w:tc>
          <w:tcPr>
            <w:tcW w:w="2156" w:type="dxa"/>
            <w:gridSpan w:val="2"/>
            <w:shd w:val="clear" w:color="auto" w:fill="FFFFFF"/>
            <w:vAlign w:val="center"/>
          </w:tcPr>
          <w:p w14:paraId="11961EEF">
            <w:pPr>
              <w:keepNext w:val="0"/>
              <w:keepLines w:val="0"/>
              <w:pageBreakBefore w:val="0"/>
              <w:widowControl/>
              <w:kinsoku/>
              <w:wordWrap/>
              <w:overflowPunct/>
              <w:topLinePunct w:val="0"/>
              <w:autoSpaceDE/>
              <w:autoSpaceDN/>
              <w:bidi w:val="0"/>
              <w:adjustRightInd/>
              <w:ind w:left="0" w:right="0"/>
              <w:jc w:val="center"/>
              <w:textAlignment w:val="auto"/>
              <w:rPr>
                <w:rFonts w:ascii="Times New Roman" w:hAnsi="Times New Roman" w:cs="Times New Roman"/>
                <w:color w:val="auto"/>
                <w:sz w:val="21"/>
                <w:szCs w:val="21"/>
                <w:highlight w:val="none"/>
                <w:lang w:val="zh-TW"/>
              </w:rPr>
            </w:pPr>
            <w:r>
              <w:rPr>
                <w:rFonts w:hint="eastAsia" w:ascii="Times New Roman" w:hAnsi="Times New Roman"/>
                <w:color w:val="auto"/>
                <w:sz w:val="21"/>
                <w:szCs w:val="21"/>
                <w:highlight w:val="none"/>
                <w:lang w:bidi="zh-CN"/>
              </w:rPr>
              <w:t>朱巷村</w:t>
            </w:r>
          </w:p>
        </w:tc>
        <w:tc>
          <w:tcPr>
            <w:tcW w:w="1297" w:type="dxa"/>
            <w:gridSpan w:val="2"/>
            <w:shd w:val="clear" w:color="auto" w:fill="FFFFFF"/>
            <w:vAlign w:val="center"/>
          </w:tcPr>
          <w:p w14:paraId="7254E1EE">
            <w:pPr>
              <w:keepNext w:val="0"/>
              <w:keepLines w:val="0"/>
              <w:pageBreakBefore w:val="0"/>
              <w:widowControl/>
              <w:kinsoku/>
              <w:wordWrap/>
              <w:overflowPunct/>
              <w:topLinePunct w:val="0"/>
              <w:autoSpaceDE/>
              <w:autoSpaceDN/>
              <w:bidi w:val="0"/>
              <w:adjustRightInd/>
              <w:snapToGrid w:val="0"/>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1.56</w:t>
            </w:r>
          </w:p>
        </w:tc>
        <w:tc>
          <w:tcPr>
            <w:tcW w:w="1331" w:type="dxa"/>
            <w:gridSpan w:val="2"/>
            <w:shd w:val="clear" w:color="auto" w:fill="FFFFFF"/>
            <w:vAlign w:val="center"/>
          </w:tcPr>
          <w:p w14:paraId="080EB325">
            <w:pPr>
              <w:keepNext w:val="0"/>
              <w:keepLines w:val="0"/>
              <w:pageBreakBefore w:val="0"/>
              <w:widowControl/>
              <w:kinsoku/>
              <w:wordWrap/>
              <w:overflowPunct/>
              <w:topLinePunct w:val="0"/>
              <w:autoSpaceDE/>
              <w:autoSpaceDN/>
              <w:bidi w:val="0"/>
              <w:adjustRightInd/>
              <w:snapToGrid w:val="0"/>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28.44</w:t>
            </w:r>
          </w:p>
        </w:tc>
        <w:tc>
          <w:tcPr>
            <w:tcW w:w="1678" w:type="dxa"/>
            <w:gridSpan w:val="2"/>
            <w:shd w:val="clear" w:color="auto" w:fill="FFFFFF"/>
            <w:vAlign w:val="center"/>
          </w:tcPr>
          <w:p w14:paraId="42063E97">
            <w:pPr>
              <w:keepNext w:val="0"/>
              <w:keepLines w:val="0"/>
              <w:pageBreakBefore w:val="0"/>
              <w:widowControl/>
              <w:kinsoku/>
              <w:wordWrap/>
              <w:overflowPunct/>
              <w:topLinePunct w:val="0"/>
              <w:autoSpaceDE/>
              <w:autoSpaceDN/>
              <w:bidi w:val="0"/>
              <w:adjustRightInd/>
              <w:snapToGrid w:val="0"/>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95</w:t>
            </w:r>
          </w:p>
        </w:tc>
      </w:tr>
    </w:tbl>
    <w:p w14:paraId="27ACE73D">
      <w:pPr>
        <w:pStyle w:val="44"/>
        <w:spacing w:after="0" w:line="360" w:lineRule="auto"/>
        <w:ind w:left="0" w:leftChars="0" w:right="-105" w:firstLine="0" w:firstLineChars="0"/>
        <w:rPr>
          <w:rFonts w:eastAsia="宋体"/>
          <w:color w:val="auto"/>
          <w:sz w:val="24"/>
          <w:highlight w:val="none"/>
        </w:rPr>
      </w:pPr>
      <w:r>
        <w:rPr>
          <w:color w:val="auto"/>
          <w:highlight w:val="none"/>
        </w:rPr>
        <w:drawing>
          <wp:inline distT="0" distB="0" distL="0" distR="0">
            <wp:extent cx="5405120" cy="3227705"/>
            <wp:effectExtent l="0" t="0" r="5080" b="10795"/>
            <wp:docPr id="66"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3"/>
                    <pic:cNvPicPr>
                      <a:picLocks noChangeAspect="1" noChangeArrowheads="1"/>
                    </pic:cNvPicPr>
                  </pic:nvPicPr>
                  <pic:blipFill>
                    <a:blip r:embed="rId54" cstate="print">
                      <a:extLst>
                        <a:ext uri="{28A0092B-C50C-407E-A947-70E740481C1C}">
                          <a14:useLocalDpi xmlns:a14="http://schemas.microsoft.com/office/drawing/2010/main" val="0"/>
                        </a:ext>
                      </a:extLst>
                    </a:blip>
                    <a:srcRect/>
                    <a:stretch>
                      <a:fillRect/>
                    </a:stretch>
                  </pic:blipFill>
                  <pic:spPr>
                    <a:xfrm>
                      <a:off x="0" y="0"/>
                      <a:ext cx="5405120" cy="3227705"/>
                    </a:xfrm>
                    <a:prstGeom prst="rect">
                      <a:avLst/>
                    </a:prstGeom>
                    <a:noFill/>
                    <a:ln>
                      <a:noFill/>
                    </a:ln>
                  </pic:spPr>
                </pic:pic>
              </a:graphicData>
            </a:graphic>
          </wp:inline>
        </w:drawing>
      </w:r>
    </w:p>
    <w:bookmarkEnd w:id="392"/>
    <w:p w14:paraId="10228256">
      <w:pPr>
        <w:spacing w:line="360" w:lineRule="auto"/>
        <w:ind w:left="-105" w:right="-105" w:firstLine="480" w:firstLineChars="200"/>
        <w:rPr>
          <w:rFonts w:hint="default" w:ascii="Times New Roman" w:hAnsi="Times New Roman" w:eastAsia="宋体" w:cs="Times New Roman"/>
          <w:color w:val="auto"/>
          <w:highlight w:val="none"/>
          <w:lang w:val="en-US" w:eastAsia="zh-CN"/>
        </w:rPr>
      </w:pPr>
      <w:r>
        <w:rPr>
          <w:rFonts w:ascii="Times New Roman" w:hAnsi="Times New Roman" w:cs="Times New Roman"/>
          <w:color w:val="auto"/>
          <w:szCs w:val="32"/>
          <w:highlight w:val="none"/>
        </w:rPr>
        <w:t>通过计算，当</w:t>
      </w:r>
      <w:r>
        <w:rPr>
          <w:rFonts w:hint="eastAsia" w:ascii="Times New Roman" w:hAnsi="Times New Roman" w:cs="Times New Roman"/>
          <w:color w:val="auto"/>
          <w:szCs w:val="32"/>
          <w:highlight w:val="none"/>
        </w:rPr>
        <w:t>N-甲基吡咯烷酮包装桶</w:t>
      </w:r>
      <w:r>
        <w:rPr>
          <w:rFonts w:ascii="Times New Roman" w:hAnsi="Times New Roman" w:cs="Times New Roman"/>
          <w:color w:val="auto"/>
          <w:szCs w:val="32"/>
          <w:highlight w:val="none"/>
        </w:rPr>
        <w:t>泄漏遇明火高热发生火灾时，在小风、F大气稳定度条件下</w:t>
      </w:r>
      <w:r>
        <w:rPr>
          <w:rFonts w:ascii="Times New Roman" w:hAnsi="Times New Roman" w:cs="Times New Roman"/>
          <w:color w:val="auto"/>
          <w:highlight w:val="none"/>
        </w:rPr>
        <w:t>，</w:t>
      </w:r>
      <w:bookmarkStart w:id="416" w:name="_Hlk34749999"/>
      <w:r>
        <w:rPr>
          <w:rFonts w:ascii="Times New Roman" w:hAnsi="Times New Roman" w:cs="Times New Roman"/>
          <w:color w:val="auto"/>
          <w:highlight w:val="none"/>
        </w:rPr>
        <w:t>在事故发生30min时间，一氧化碳在下风向100m达到大气毒性终点浓度-1(380mg/m</w:t>
      </w:r>
      <w:r>
        <w:rPr>
          <w:rFonts w:ascii="Times New Roman" w:hAnsi="Times New Roman" w:cs="Times New Roman"/>
          <w:color w:val="auto"/>
          <w:highlight w:val="none"/>
          <w:vertAlign w:val="superscript"/>
        </w:rPr>
        <w:t>3</w:t>
      </w:r>
      <w:r>
        <w:rPr>
          <w:rFonts w:ascii="Times New Roman" w:hAnsi="Times New Roman" w:cs="Times New Roman"/>
          <w:color w:val="auto"/>
          <w:highlight w:val="none"/>
        </w:rPr>
        <w:t>)，下风向240米范围内达到大气毒性终点浓度-2(95mg/m</w:t>
      </w:r>
      <w:r>
        <w:rPr>
          <w:rFonts w:ascii="Times New Roman" w:hAnsi="Times New Roman" w:cs="Times New Roman"/>
          <w:color w:val="auto"/>
          <w:highlight w:val="none"/>
          <w:vertAlign w:val="superscript"/>
        </w:rPr>
        <w:t>3</w:t>
      </w:r>
      <w:r>
        <w:rPr>
          <w:rFonts w:ascii="Times New Roman" w:hAnsi="Times New Roman" w:cs="Times New Roman"/>
          <w:color w:val="auto"/>
          <w:highlight w:val="none"/>
        </w:rPr>
        <w:t>)，故在</w:t>
      </w:r>
      <w:r>
        <w:rPr>
          <w:rFonts w:hint="eastAsia" w:ascii="Times New Roman" w:hAnsi="Times New Roman" w:cs="Times New Roman"/>
          <w:color w:val="auto"/>
          <w:szCs w:val="32"/>
          <w:highlight w:val="none"/>
        </w:rPr>
        <w:t>N-甲基吡咯烷酮包装桶</w:t>
      </w:r>
      <w:r>
        <w:rPr>
          <w:rFonts w:ascii="Times New Roman" w:hAnsi="Times New Roman" w:cs="Times New Roman"/>
          <w:color w:val="auto"/>
          <w:highlight w:val="none"/>
        </w:rPr>
        <w:t>半径240m范围内</w:t>
      </w:r>
      <w:r>
        <w:rPr>
          <w:rFonts w:ascii="Times New Roman" w:hAnsi="Times New Roman" w:cs="Times New Roman"/>
          <w:color w:val="auto"/>
          <w:szCs w:val="32"/>
          <w:highlight w:val="none"/>
        </w:rPr>
        <w:t>受到损伤</w:t>
      </w:r>
      <w:r>
        <w:rPr>
          <w:rFonts w:ascii="Times New Roman" w:hAnsi="Times New Roman" w:cs="Times New Roman"/>
          <w:color w:val="auto"/>
          <w:highlight w:val="none"/>
        </w:rPr>
        <w:t>的风险，</w:t>
      </w:r>
      <w:r>
        <w:rPr>
          <w:rFonts w:hint="eastAsia" w:ascii="Times New Roman" w:hAnsi="Times New Roman" w:cs="Times New Roman"/>
          <w:color w:val="auto"/>
          <w:szCs w:val="32"/>
          <w:highlight w:val="none"/>
        </w:rPr>
        <w:t>N-甲基吡咯烷酮包装桶</w:t>
      </w:r>
      <w:r>
        <w:rPr>
          <w:rFonts w:ascii="Times New Roman" w:hAnsi="Times New Roman" w:cs="Times New Roman"/>
          <w:color w:val="auto"/>
          <w:highlight w:val="none"/>
        </w:rPr>
        <w:t>半径100m范围内</w:t>
      </w:r>
      <w:r>
        <w:rPr>
          <w:rFonts w:ascii="Times New Roman" w:hAnsi="Times New Roman" w:cs="Times New Roman"/>
          <w:color w:val="auto"/>
          <w:szCs w:val="32"/>
          <w:highlight w:val="none"/>
        </w:rPr>
        <w:t>有致死</w:t>
      </w:r>
      <w:r>
        <w:rPr>
          <w:rFonts w:ascii="Times New Roman" w:hAnsi="Times New Roman" w:cs="Times New Roman"/>
          <w:color w:val="auto"/>
          <w:highlight w:val="none"/>
        </w:rPr>
        <w:t>风险。</w:t>
      </w:r>
      <w:bookmarkEnd w:id="416"/>
      <w:r>
        <w:rPr>
          <w:rFonts w:hint="default" w:ascii="Times New Roman" w:hAnsi="Times New Roman" w:cs="Times New Roman"/>
          <w:color w:val="auto"/>
          <w:highlight w:val="none"/>
          <w:lang w:val="en-US" w:eastAsia="zh-CN"/>
        </w:rPr>
        <w:t>在此范围内存在敏感目标周巷头和浦巷上，其中周巷头在100m致死风险范围内、浦巷上在240m受损伤风险范围内，</w:t>
      </w:r>
      <w:r>
        <w:rPr>
          <w:rFonts w:hint="eastAsia" w:ascii="Times New Roman" w:hAnsi="Times New Roman" w:cs="Times New Roman"/>
          <w:color w:val="auto"/>
          <w:highlight w:val="none"/>
          <w:lang w:val="en-US" w:eastAsia="zh-CN"/>
        </w:rPr>
        <w:t>发生火灾事故时应第一时间通知周巷头和浦巷上的居民立即转移至安全地区，并做好防护措施，以免发生健康与安全风险事故。</w:t>
      </w:r>
    </w:p>
    <w:p w14:paraId="1B644D27">
      <w:pPr>
        <w:spacing w:line="360" w:lineRule="auto"/>
        <w:ind w:left="-105" w:right="-105" w:firstLine="480" w:firstLineChars="200"/>
        <w:rPr>
          <w:rFonts w:ascii="Times New Roman" w:hAnsi="Times New Roman" w:cs="Times New Roman"/>
          <w:color w:val="auto"/>
          <w:highlight w:val="none"/>
        </w:rPr>
      </w:pPr>
      <w:r>
        <w:rPr>
          <w:rFonts w:ascii="Times New Roman" w:hAnsi="Times New Roman" w:cs="Times New Roman"/>
          <w:color w:val="auto"/>
          <w:highlight w:val="none"/>
        </w:rPr>
        <w:t>5）事故排放</w:t>
      </w:r>
    </w:p>
    <w:p w14:paraId="695936F0">
      <w:pPr>
        <w:spacing w:line="360" w:lineRule="auto"/>
        <w:ind w:left="-105" w:right="-105" w:firstLine="480" w:firstLineChars="200"/>
        <w:rPr>
          <w:rFonts w:ascii="Times New Roman" w:hAnsi="Times New Roman" w:cs="Times New Roman"/>
          <w:color w:val="auto"/>
          <w:highlight w:val="none"/>
        </w:rPr>
      </w:pPr>
      <w:r>
        <w:rPr>
          <w:rFonts w:ascii="Times New Roman" w:hAnsi="Times New Roman" w:cs="Times New Roman"/>
          <w:color w:val="auto"/>
          <w:highlight w:val="none"/>
        </w:rPr>
        <w:t>根</w:t>
      </w:r>
      <w:r>
        <w:rPr>
          <w:rFonts w:hint="default" w:ascii="Times New Roman" w:hAnsi="Times New Roman" w:cs="Times New Roman"/>
          <w:color w:val="auto"/>
          <w:highlight w:val="none"/>
        </w:rPr>
        <w:t>据</w:t>
      </w:r>
      <w:r>
        <w:rPr>
          <w:rFonts w:hint="default" w:ascii="Times New Roman" w:hAnsi="Times New Roman" w:cs="Times New Roman"/>
          <w:color w:val="auto"/>
          <w:highlight w:val="none"/>
        </w:rPr>
        <w:fldChar w:fldCharType="begin"/>
      </w:r>
      <w:r>
        <w:rPr>
          <w:rFonts w:hint="default" w:ascii="Times New Roman" w:hAnsi="Times New Roman" w:cs="Times New Roman"/>
          <w:color w:val="auto"/>
          <w:highlight w:val="none"/>
        </w:rPr>
        <w:instrText xml:space="preserve"> REF _Ref38808574 \h </w:instrText>
      </w:r>
      <w:r>
        <w:rPr>
          <w:rFonts w:hint="default" w:ascii="Times New Roman" w:hAnsi="Times New Roman" w:cs="Times New Roman"/>
          <w:color w:val="auto"/>
          <w:highlight w:val="none"/>
        </w:rPr>
        <w:fldChar w:fldCharType="separate"/>
      </w:r>
      <w:r>
        <w:rPr>
          <w:rFonts w:hint="default" w:ascii="Times New Roman" w:hAnsi="Times New Roman" w:eastAsia="宋体" w:cs="Times New Roman"/>
          <w:color w:val="auto"/>
          <w:sz w:val="24"/>
          <w:szCs w:val="18"/>
          <w:highlight w:val="none"/>
        </w:rPr>
        <w:t>表</w:t>
      </w:r>
      <w:r>
        <w:rPr>
          <w:rFonts w:hint="default" w:ascii="Times New Roman" w:hAnsi="Times New Roman" w:eastAsia="宋体" w:cs="Times New Roman"/>
          <w:color w:val="auto"/>
          <w:sz w:val="24"/>
          <w:szCs w:val="18"/>
          <w:highlight w:val="none"/>
        </w:rPr>
        <w:fldChar w:fldCharType="begin"/>
      </w:r>
      <w:r>
        <w:rPr>
          <w:rFonts w:hint="default" w:ascii="Times New Roman" w:hAnsi="Times New Roman" w:eastAsia="宋体" w:cs="Times New Roman"/>
          <w:color w:val="auto"/>
          <w:sz w:val="24"/>
          <w:szCs w:val="18"/>
          <w:highlight w:val="none"/>
        </w:rPr>
        <w:instrText xml:space="preserve"> STYLEREF 2 \s </w:instrText>
      </w:r>
      <w:r>
        <w:rPr>
          <w:rFonts w:hint="default" w:ascii="Times New Roman" w:hAnsi="Times New Roman" w:eastAsia="宋体" w:cs="Times New Roman"/>
          <w:color w:val="auto"/>
          <w:sz w:val="24"/>
          <w:szCs w:val="18"/>
          <w:highlight w:val="none"/>
        </w:rPr>
        <w:fldChar w:fldCharType="separate"/>
      </w:r>
      <w:r>
        <w:rPr>
          <w:rFonts w:hint="default" w:ascii="Times New Roman" w:hAnsi="Times New Roman" w:eastAsia="宋体" w:cs="Times New Roman"/>
          <w:color w:val="auto"/>
          <w:sz w:val="24"/>
          <w:szCs w:val="18"/>
          <w:highlight w:val="none"/>
        </w:rPr>
        <w:t>6.1</w:t>
      </w:r>
      <w:r>
        <w:rPr>
          <w:rFonts w:hint="default" w:ascii="Times New Roman" w:hAnsi="Times New Roman" w:eastAsia="宋体" w:cs="Times New Roman"/>
          <w:color w:val="auto"/>
          <w:sz w:val="24"/>
          <w:szCs w:val="18"/>
          <w:highlight w:val="none"/>
        </w:rPr>
        <w:fldChar w:fldCharType="end"/>
      </w:r>
      <w:r>
        <w:rPr>
          <w:rFonts w:hint="default" w:ascii="Times New Roman" w:hAnsi="Times New Roman" w:eastAsia="宋体" w:cs="Times New Roman"/>
          <w:color w:val="auto"/>
          <w:sz w:val="24"/>
          <w:szCs w:val="18"/>
          <w:highlight w:val="none"/>
        </w:rPr>
        <w:noBreakHyphen/>
      </w:r>
      <w:r>
        <w:rPr>
          <w:rFonts w:hint="default" w:ascii="Times New Roman" w:hAnsi="Times New Roman" w:eastAsia="宋体" w:cs="Times New Roman"/>
          <w:color w:val="auto"/>
          <w:sz w:val="24"/>
          <w:szCs w:val="18"/>
          <w:highlight w:val="none"/>
        </w:rPr>
        <w:t>13</w:t>
      </w:r>
      <w:r>
        <w:rPr>
          <w:rFonts w:hint="default" w:ascii="Times New Roman" w:hAnsi="Times New Roman" w:cs="Times New Roman"/>
          <w:color w:val="auto"/>
          <w:highlight w:val="none"/>
        </w:rPr>
        <w:fldChar w:fldCharType="end"/>
      </w:r>
      <w:r>
        <w:rPr>
          <w:rFonts w:ascii="Times New Roman" w:hAnsi="Times New Roman" w:cs="Times New Roman"/>
          <w:color w:val="auto"/>
          <w:highlight w:val="none"/>
        </w:rPr>
        <w:t>，废气事故排放预测结果表明，当废气处理设施故障导致废气事故排放时，排气筒中废气浓度</w:t>
      </w:r>
      <w:r>
        <w:rPr>
          <w:rFonts w:hint="eastAsia" w:ascii="Times New Roman" w:hAnsi="Times New Roman" w:cs="Times New Roman"/>
          <w:color w:val="auto"/>
          <w:highlight w:val="none"/>
          <w:lang w:val="en-US" w:eastAsia="zh-CN"/>
        </w:rPr>
        <w:t>不</w:t>
      </w:r>
      <w:r>
        <w:rPr>
          <w:rFonts w:ascii="Times New Roman" w:hAnsi="Times New Roman" w:cs="Times New Roman"/>
          <w:color w:val="auto"/>
          <w:highlight w:val="none"/>
        </w:rPr>
        <w:t>超标，在采取相应的应急处置措施的情况下，环境风险事故对周围环境影响较小。</w:t>
      </w:r>
    </w:p>
    <w:p w14:paraId="15BD99DB">
      <w:pPr>
        <w:pStyle w:val="5"/>
        <w:keepLines w:val="0"/>
        <w:numPr>
          <w:ilvl w:val="0"/>
          <w:numId w:val="0"/>
        </w:numPr>
        <w:tabs>
          <w:tab w:val="left" w:pos="567"/>
          <w:tab w:val="left" w:pos="709"/>
          <w:tab w:val="left" w:pos="993"/>
          <w:tab w:val="left" w:pos="6663"/>
        </w:tabs>
        <w:spacing w:before="0" w:after="0" w:line="360" w:lineRule="auto"/>
        <w:ind w:right="-105"/>
        <w:rPr>
          <w:rFonts w:eastAsia="宋体"/>
          <w:color w:val="auto"/>
          <w:sz w:val="28"/>
          <w:szCs w:val="28"/>
          <w:highlight w:val="none"/>
        </w:rPr>
      </w:pPr>
      <w:bookmarkStart w:id="417" w:name="_Hlk138236846"/>
      <w:r>
        <w:rPr>
          <w:rFonts w:hint="eastAsia" w:eastAsia="宋体"/>
          <w:color w:val="auto"/>
          <w:sz w:val="28"/>
          <w:szCs w:val="28"/>
          <w:highlight w:val="none"/>
        </w:rPr>
        <w:t>6</w:t>
      </w:r>
      <w:r>
        <w:rPr>
          <w:rFonts w:eastAsia="宋体"/>
          <w:color w:val="auto"/>
          <w:sz w:val="28"/>
          <w:szCs w:val="28"/>
          <w:highlight w:val="none"/>
        </w:rPr>
        <w:t>.7.2地表水环境风险分析</w:t>
      </w:r>
    </w:p>
    <w:p w14:paraId="188BAF1E">
      <w:pPr>
        <w:pStyle w:val="6"/>
        <w:keepLines w:val="0"/>
        <w:widowControl/>
        <w:numPr>
          <w:ilvl w:val="0"/>
          <w:numId w:val="0"/>
        </w:numPr>
        <w:tabs>
          <w:tab w:val="left" w:pos="0"/>
          <w:tab w:val="left" w:pos="2550"/>
        </w:tabs>
        <w:spacing w:before="50" w:after="50" w:line="360" w:lineRule="auto"/>
        <w:ind w:right="-105"/>
        <w:rPr>
          <w:rFonts w:ascii="Times New Roman" w:hAnsi="Times New Roman"/>
          <w:color w:val="auto"/>
          <w:sz w:val="24"/>
          <w:szCs w:val="24"/>
          <w:highlight w:val="none"/>
        </w:rPr>
      </w:pPr>
      <w:bookmarkStart w:id="418" w:name="_Toc16575"/>
      <w:r>
        <w:rPr>
          <w:rFonts w:hint="eastAsia" w:ascii="Times New Roman" w:hAnsi="Times New Roman"/>
          <w:color w:val="auto"/>
          <w:sz w:val="24"/>
          <w:szCs w:val="24"/>
          <w:highlight w:val="none"/>
        </w:rPr>
        <w:t>6</w:t>
      </w:r>
      <w:r>
        <w:rPr>
          <w:rFonts w:ascii="Times New Roman" w:hAnsi="Times New Roman"/>
          <w:color w:val="auto"/>
          <w:sz w:val="24"/>
          <w:szCs w:val="24"/>
          <w:highlight w:val="none"/>
        </w:rPr>
        <w:t>.7.2.1污染因子确定</w:t>
      </w:r>
    </w:p>
    <w:p w14:paraId="7DBEF6ED">
      <w:pPr>
        <w:spacing w:line="360" w:lineRule="auto"/>
        <w:ind w:left="-105" w:right="-105" w:firstLine="480" w:firstLineChars="200"/>
        <w:rPr>
          <w:rFonts w:ascii="Times New Roman" w:hAnsi="Times New Roman" w:cs="Times New Roman"/>
          <w:color w:val="auto"/>
          <w:szCs w:val="32"/>
          <w:highlight w:val="none"/>
        </w:rPr>
      </w:pPr>
      <w:r>
        <w:rPr>
          <w:color w:val="auto"/>
          <w:highlight w:val="none"/>
        </w:rPr>
        <w:t>根</w:t>
      </w:r>
      <w:r>
        <w:rPr>
          <w:rFonts w:ascii="Times New Roman" w:hAnsi="Times New Roman" w:cs="Times New Roman"/>
          <w:color w:val="auto"/>
          <w:highlight w:val="none"/>
        </w:rPr>
        <w:t>据第4.8章节分析，本项目水环境风险最大可信事故为废液储罐内废水泄漏，废水中污染因子主要为pH、COD、SS等，</w:t>
      </w:r>
      <w:r>
        <w:rPr>
          <w:rFonts w:ascii="Times New Roman" w:hAnsi="Times New Roman" w:cs="Times New Roman"/>
          <w:color w:val="auto"/>
          <w:szCs w:val="32"/>
          <w:highlight w:val="none"/>
        </w:rPr>
        <w:t>本项目选择</w:t>
      </w:r>
      <w:r>
        <w:rPr>
          <w:rFonts w:hint="eastAsia" w:ascii="Times New Roman" w:hAnsi="Times New Roman" w:cs="Times New Roman"/>
          <w:color w:val="auto"/>
          <w:szCs w:val="32"/>
          <w:highlight w:val="none"/>
        </w:rPr>
        <w:t>COD</w:t>
      </w:r>
      <w:r>
        <w:rPr>
          <w:rFonts w:ascii="Times New Roman" w:hAnsi="Times New Roman" w:cs="Times New Roman"/>
          <w:color w:val="auto"/>
          <w:szCs w:val="32"/>
          <w:highlight w:val="none"/>
        </w:rPr>
        <w:t>作为预测因子。</w:t>
      </w:r>
    </w:p>
    <w:p w14:paraId="20DB8530">
      <w:pPr>
        <w:pStyle w:val="6"/>
        <w:keepLines w:val="0"/>
        <w:widowControl/>
        <w:numPr>
          <w:ilvl w:val="0"/>
          <w:numId w:val="0"/>
        </w:numPr>
        <w:tabs>
          <w:tab w:val="left" w:pos="0"/>
          <w:tab w:val="left" w:pos="2550"/>
        </w:tabs>
        <w:spacing w:before="50" w:after="50" w:line="360" w:lineRule="auto"/>
        <w:ind w:right="-105"/>
        <w:rPr>
          <w:rFonts w:ascii="Times New Roman" w:hAnsi="Times New Roman"/>
          <w:color w:val="auto"/>
          <w:sz w:val="24"/>
          <w:szCs w:val="24"/>
          <w:highlight w:val="none"/>
        </w:rPr>
      </w:pPr>
      <w:r>
        <w:rPr>
          <w:rFonts w:hint="eastAsia" w:ascii="Times New Roman" w:hAnsi="Times New Roman"/>
          <w:color w:val="auto"/>
          <w:sz w:val="24"/>
          <w:szCs w:val="24"/>
          <w:highlight w:val="none"/>
        </w:rPr>
        <w:t>6</w:t>
      </w:r>
      <w:r>
        <w:rPr>
          <w:rFonts w:ascii="Times New Roman" w:hAnsi="Times New Roman"/>
          <w:color w:val="auto"/>
          <w:sz w:val="24"/>
          <w:szCs w:val="24"/>
          <w:highlight w:val="none"/>
        </w:rPr>
        <w:t>.7.2.2预测模型</w:t>
      </w:r>
      <w:bookmarkEnd w:id="418"/>
    </w:p>
    <w:p w14:paraId="59A8F0DE">
      <w:pPr>
        <w:pStyle w:val="21"/>
        <w:spacing w:line="360" w:lineRule="auto"/>
        <w:ind w:left="-105" w:right="-105" w:firstLine="480" w:firstLineChars="200"/>
        <w:rPr>
          <w:rFonts w:eastAsia="宋体"/>
          <w:color w:val="auto"/>
          <w:kern w:val="0"/>
          <w:sz w:val="24"/>
          <w:highlight w:val="none"/>
        </w:rPr>
      </w:pPr>
      <w:r>
        <w:rPr>
          <w:rFonts w:ascii="宋体" w:hAnsi="宋体" w:eastAsia="宋体" w:cs="宋体"/>
          <w:color w:val="auto"/>
          <w:kern w:val="0"/>
          <w:sz w:val="24"/>
          <w:szCs w:val="24"/>
          <w:highlight w:val="none"/>
          <w:lang w:val="en-US" w:eastAsia="zh-CN" w:bidi="ar-SA"/>
        </w:rPr>
        <w:t>本项目主要考虑废液储罐破裂泄漏，泄漏液通过雨水管网进入地表水，本项目考虑最不利</w:t>
      </w:r>
      <w:r>
        <w:rPr>
          <w:rFonts w:ascii="宋体" w:hAnsi="宋体" w:eastAsia="宋体" w:cs="宋体"/>
          <w:color w:val="auto"/>
          <w:kern w:val="0"/>
          <w:sz w:val="24"/>
          <w:szCs w:val="24"/>
          <w:highlight w:val="none"/>
          <w:lang w:val="zh-TW" w:eastAsia="zh-CN" w:bidi="ar-SA"/>
        </w:rPr>
        <w:t>事故情景：</w:t>
      </w:r>
      <w:r>
        <w:rPr>
          <w:rFonts w:ascii="宋体" w:hAnsi="宋体" w:eastAsia="宋体" w:cs="宋体"/>
          <w:color w:val="auto"/>
          <w:kern w:val="0"/>
          <w:sz w:val="24"/>
          <w:szCs w:val="24"/>
          <w:highlight w:val="none"/>
          <w:lang w:val="en-US" w:eastAsia="zh-CN" w:bidi="ar-SA"/>
        </w:rPr>
        <w:t>废液储罐</w:t>
      </w:r>
      <w:r>
        <w:rPr>
          <w:rFonts w:ascii="宋体" w:hAnsi="宋体" w:eastAsia="宋体" w:cs="宋体"/>
          <w:color w:val="auto"/>
          <w:kern w:val="0"/>
          <w:sz w:val="24"/>
          <w:szCs w:val="24"/>
          <w:highlight w:val="none"/>
          <w:lang w:val="zh-TW" w:eastAsia="zh-CN" w:bidi="ar-SA"/>
        </w:rPr>
        <w:t>泄漏，泄漏量为</w:t>
      </w:r>
      <w:r>
        <w:rPr>
          <w:rFonts w:hint="default" w:ascii="Times New Roman" w:hAnsi="Times New Roman" w:eastAsia="宋体" w:cs="Times New Roman"/>
          <w:color w:val="auto"/>
          <w:kern w:val="0"/>
          <w:sz w:val="24"/>
          <w:szCs w:val="24"/>
          <w:highlight w:val="none"/>
          <w:lang w:val="en-US" w:eastAsia="zh-CN" w:bidi="ar-SA"/>
        </w:rPr>
        <w:t>20m</w:t>
      </w:r>
      <w:r>
        <w:rPr>
          <w:rFonts w:hint="default" w:ascii="Times New Roman" w:hAnsi="Times New Roman" w:eastAsia="宋体" w:cs="Times New Roman"/>
          <w:color w:val="auto"/>
          <w:kern w:val="0"/>
          <w:sz w:val="24"/>
          <w:szCs w:val="24"/>
          <w:highlight w:val="none"/>
          <w:vertAlign w:val="superscript"/>
          <w:lang w:val="en-US" w:eastAsia="zh-CN" w:bidi="ar-SA"/>
        </w:rPr>
        <w:t>3</w:t>
      </w:r>
      <w:r>
        <w:rPr>
          <w:rFonts w:ascii="宋体" w:hAnsi="宋体" w:eastAsia="宋体" w:cs="宋体"/>
          <w:color w:val="auto"/>
          <w:kern w:val="0"/>
          <w:sz w:val="24"/>
          <w:szCs w:val="24"/>
          <w:highlight w:val="none"/>
          <w:lang w:val="en-US" w:eastAsia="zh-CN" w:bidi="ar-SA"/>
        </w:rPr>
        <w:t>废</w:t>
      </w:r>
      <w:r>
        <w:rPr>
          <w:rFonts w:hint="eastAsia" w:ascii="宋体" w:hAnsi="宋体" w:eastAsia="宋体" w:cs="宋体"/>
          <w:color w:val="auto"/>
          <w:kern w:val="0"/>
          <w:sz w:val="24"/>
          <w:szCs w:val="24"/>
          <w:highlight w:val="none"/>
          <w:lang w:val="en-US" w:eastAsia="zh-CN" w:bidi="ar-SA"/>
        </w:rPr>
        <w:t>液</w:t>
      </w:r>
      <w:r>
        <w:rPr>
          <w:rFonts w:ascii="宋体" w:hAnsi="宋体" w:eastAsia="宋体" w:cs="宋体"/>
          <w:color w:val="auto"/>
          <w:kern w:val="0"/>
          <w:sz w:val="24"/>
          <w:szCs w:val="24"/>
          <w:highlight w:val="none"/>
          <w:lang w:val="zh-TW" w:eastAsia="zh-CN" w:bidi="ar-SA"/>
        </w:rPr>
        <w:t>全部泄漏进入雨水排口排入</w:t>
      </w:r>
      <w:r>
        <w:rPr>
          <w:rFonts w:hint="eastAsia" w:ascii="宋体" w:hAnsi="宋体" w:eastAsia="宋体" w:cs="宋体"/>
          <w:color w:val="auto"/>
          <w:kern w:val="0"/>
          <w:sz w:val="24"/>
          <w:szCs w:val="24"/>
          <w:highlight w:val="none"/>
          <w:lang w:val="en-US" w:eastAsia="zh-CN" w:bidi="ar-SA"/>
        </w:rPr>
        <w:t>锡北运河</w:t>
      </w:r>
      <w:r>
        <w:rPr>
          <w:rFonts w:ascii="宋体" w:hAnsi="宋体" w:eastAsia="宋体" w:cs="宋体"/>
          <w:color w:val="auto"/>
          <w:kern w:val="0"/>
          <w:sz w:val="24"/>
          <w:szCs w:val="24"/>
          <w:highlight w:val="none"/>
          <w:lang w:val="zh-TW" w:eastAsia="zh-CN" w:bidi="ar-SA"/>
        </w:rPr>
        <w:t>。</w:t>
      </w:r>
    </w:p>
    <w:p w14:paraId="42205BF1">
      <w:pPr>
        <w:snapToGrid w:val="0"/>
        <w:spacing w:line="360" w:lineRule="auto"/>
        <w:ind w:left="-105" w:right="-105" w:firstLine="480" w:firstLineChars="200"/>
        <w:rPr>
          <w:rFonts w:ascii="Times New Roman" w:hAnsi="Times New Roman" w:cs="Times New Roman"/>
          <w:color w:val="auto"/>
          <w:highlight w:val="none"/>
          <w:lang w:val="zh-TW" w:eastAsia="zh-TW"/>
        </w:rPr>
      </w:pPr>
      <w:r>
        <w:rPr>
          <w:rFonts w:ascii="Times New Roman" w:hAnsi="Times New Roman" w:cs="Times New Roman"/>
          <w:color w:val="auto"/>
          <w:highlight w:val="none"/>
        </w:rPr>
        <w:t>本项目废液储罐泄漏时间为</w:t>
      </w:r>
      <w:r>
        <w:rPr>
          <w:rFonts w:hint="eastAsia" w:ascii="Times New Roman" w:hAnsi="Times New Roman" w:cs="Times New Roman"/>
          <w:color w:val="auto"/>
          <w:highlight w:val="none"/>
          <w:lang w:val="en-US" w:eastAsia="zh-CN"/>
        </w:rPr>
        <w:t>1</w:t>
      </w:r>
      <w:r>
        <w:rPr>
          <w:rFonts w:ascii="Times New Roman" w:hAnsi="Times New Roman" w:cs="Times New Roman"/>
          <w:color w:val="auto"/>
          <w:highlight w:val="none"/>
        </w:rPr>
        <w:t>0min，为简化计算，本报告选取《建设项目环境风险评价技术导则HJ169—2018》中的</w:t>
      </w:r>
      <w:r>
        <w:rPr>
          <w:rFonts w:ascii="Times New Roman" w:hAnsi="Times New Roman" w:cs="Times New Roman"/>
          <w:color w:val="auto"/>
          <w:highlight w:val="none"/>
          <w:lang w:val="zh-TW"/>
        </w:rPr>
        <w:t>瞬时排放源</w:t>
      </w:r>
      <w:r>
        <w:rPr>
          <w:rFonts w:ascii="Times New Roman" w:hAnsi="Times New Roman" w:cs="Times New Roman"/>
          <w:color w:val="auto"/>
          <w:highlight w:val="none"/>
        </w:rPr>
        <w:t>河流一维对流扩散方程的浓度分布公式</w:t>
      </w:r>
      <w:r>
        <w:rPr>
          <w:rFonts w:ascii="Times New Roman" w:hAnsi="Times New Roman" w:cs="Times New Roman"/>
          <w:color w:val="auto"/>
          <w:highlight w:val="none"/>
          <w:lang w:val="zh-TW"/>
        </w:rPr>
        <w:t>计算方法分析。</w:t>
      </w:r>
      <w:r>
        <w:rPr>
          <w:rFonts w:ascii="Times New Roman" w:hAnsi="Times New Roman" w:cs="Times New Roman"/>
          <w:color w:val="auto"/>
          <w:highlight w:val="none"/>
          <w:lang w:val="zh-TW" w:eastAsia="zh-TW"/>
        </w:rPr>
        <w:t>公式如下：</w:t>
      </w:r>
    </w:p>
    <w:p w14:paraId="7FFA162A">
      <w:pPr>
        <w:snapToGrid w:val="0"/>
        <w:spacing w:line="360" w:lineRule="auto"/>
        <w:ind w:left="-105" w:right="-105"/>
        <w:jc w:val="center"/>
        <w:rPr>
          <w:rFonts w:ascii="Times New Roman" w:hAnsi="Times New Roman" w:cs="Times New Roman"/>
          <w:b/>
          <w:bCs/>
          <w:color w:val="auto"/>
          <w:highlight w:val="none"/>
        </w:rPr>
      </w:pPr>
      <w:r>
        <w:rPr>
          <w:rFonts w:ascii="Times New Roman" w:hAnsi="Times New Roman" w:cs="Times New Roman"/>
          <w:color w:val="auto"/>
          <w:highlight w:val="none"/>
        </w:rPr>
        <w:drawing>
          <wp:inline distT="0" distB="0" distL="0" distR="0">
            <wp:extent cx="2652395" cy="711835"/>
            <wp:effectExtent l="0" t="0" r="14605" b="12065"/>
            <wp:docPr id="68" name="图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45"/>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a:xfrm>
                      <a:off x="0" y="0"/>
                      <a:ext cx="2662381" cy="714627"/>
                    </a:xfrm>
                    <a:prstGeom prst="rect">
                      <a:avLst/>
                    </a:prstGeom>
                    <a:noFill/>
                    <a:ln>
                      <a:noFill/>
                    </a:ln>
                  </pic:spPr>
                </pic:pic>
              </a:graphicData>
            </a:graphic>
          </wp:inline>
        </w:drawing>
      </w:r>
    </w:p>
    <w:p w14:paraId="7DA71E8A">
      <w:pPr>
        <w:pStyle w:val="20"/>
        <w:ind w:left="-105" w:right="-105" w:firstLine="480"/>
        <w:rPr>
          <w:rFonts w:ascii="Times New Roman" w:hAnsi="Times New Roman" w:cs="Times New Roman"/>
          <w:color w:val="auto"/>
          <w:sz w:val="24"/>
          <w:szCs w:val="24"/>
          <w:highlight w:val="none"/>
          <w:lang w:val="en-US" w:bidi="ar-SA"/>
        </w:rPr>
      </w:pPr>
      <w:r>
        <w:rPr>
          <w:rFonts w:ascii="Times New Roman" w:hAnsi="Times New Roman" w:cs="Times New Roman"/>
          <w:color w:val="auto"/>
          <w:sz w:val="24"/>
          <w:szCs w:val="24"/>
          <w:highlight w:val="none"/>
          <w:lang w:val="en-US" w:bidi="ar-SA"/>
        </w:rPr>
        <w:t>在t时刻、距离污染源下游x=ut处的污染物浓度峰值为：</w:t>
      </w:r>
    </w:p>
    <w:p w14:paraId="51AACDD6">
      <w:pPr>
        <w:pStyle w:val="20"/>
        <w:spacing w:line="360" w:lineRule="auto"/>
        <w:ind w:left="-105" w:right="-105" w:firstLine="460" w:firstLineChars="200"/>
        <w:jc w:val="center"/>
        <w:rPr>
          <w:rFonts w:ascii="Times New Roman" w:hAnsi="Times New Roman" w:cs="Times New Roman"/>
          <w:color w:val="auto"/>
          <w:sz w:val="23"/>
          <w:szCs w:val="22"/>
          <w:highlight w:val="none"/>
        </w:rPr>
      </w:pPr>
      <w:r>
        <w:rPr>
          <w:rFonts w:ascii="Times New Roman" w:hAnsi="Times New Roman" w:cs="Times New Roman"/>
          <w:color w:val="auto"/>
          <w:sz w:val="23"/>
          <w:szCs w:val="22"/>
          <w:highlight w:val="none"/>
          <w:lang w:val="en-US" w:bidi="ar-SA"/>
        </w:rPr>
        <w:drawing>
          <wp:inline distT="0" distB="0" distL="0" distR="0">
            <wp:extent cx="2652395" cy="751205"/>
            <wp:effectExtent l="0" t="0" r="14605" b="10795"/>
            <wp:docPr id="69" name="图片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46"/>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a:xfrm>
                      <a:off x="0" y="0"/>
                      <a:ext cx="2660787" cy="753752"/>
                    </a:xfrm>
                    <a:prstGeom prst="rect">
                      <a:avLst/>
                    </a:prstGeom>
                    <a:noFill/>
                    <a:ln>
                      <a:noFill/>
                    </a:ln>
                  </pic:spPr>
                </pic:pic>
              </a:graphicData>
            </a:graphic>
          </wp:inline>
        </w:drawing>
      </w:r>
    </w:p>
    <w:p w14:paraId="470B7C04">
      <w:pPr>
        <w:pStyle w:val="20"/>
        <w:spacing w:line="360" w:lineRule="auto"/>
        <w:ind w:left="-105" w:right="-105" w:firstLine="480" w:firstLineChars="200"/>
        <w:rPr>
          <w:rFonts w:ascii="Times New Roman" w:hAnsi="Times New Roman" w:cs="Times New Roman"/>
          <w:b/>
          <w:color w:val="auto"/>
          <w:sz w:val="24"/>
          <w:highlight w:val="none"/>
          <w:lang w:val="zh-TW"/>
        </w:rPr>
      </w:pPr>
      <w:r>
        <w:rPr>
          <w:rFonts w:ascii="Times New Roman" w:hAnsi="Times New Roman" w:cs="Times New Roman"/>
          <w:color w:val="auto"/>
          <w:sz w:val="24"/>
          <w:highlight w:val="none"/>
          <w:lang w:val="zh-TW"/>
        </w:rPr>
        <w:t>式中：</w:t>
      </w:r>
    </w:p>
    <w:p w14:paraId="4EE1BA57">
      <w:pPr>
        <w:adjustRightInd w:val="0"/>
        <w:snapToGrid w:val="0"/>
        <w:spacing w:line="360" w:lineRule="auto"/>
        <w:ind w:left="-105" w:right="-105" w:firstLine="480" w:firstLineChars="200"/>
        <w:rPr>
          <w:rFonts w:ascii="Times New Roman" w:hAnsi="Times New Roman" w:cs="Times New Roman"/>
          <w:color w:val="auto"/>
          <w:highlight w:val="none"/>
        </w:rPr>
      </w:pPr>
      <w:r>
        <w:rPr>
          <w:rFonts w:ascii="Times New Roman" w:hAnsi="Times New Roman" w:cs="Times New Roman"/>
          <w:color w:val="auto"/>
          <w:highlight w:val="none"/>
        </w:rPr>
        <w:t>C</w:t>
      </w:r>
      <w:r>
        <w:rPr>
          <w:rFonts w:ascii="Times New Roman" w:hAnsi="Times New Roman" w:cs="Times New Roman"/>
          <w:i/>
          <w:iCs/>
          <w:color w:val="auto"/>
          <w:highlight w:val="none"/>
          <w:vertAlign w:val="subscript"/>
        </w:rPr>
        <w:t>（x，t）</w:t>
      </w:r>
      <w:r>
        <w:rPr>
          <w:rFonts w:ascii="Times New Roman" w:hAnsi="Times New Roman" w:cs="Times New Roman"/>
          <w:color w:val="auto"/>
          <w:highlight w:val="none"/>
        </w:rPr>
        <w:t>——在距离排放口x处，t时刻的污染物浓度，mg/L；</w:t>
      </w:r>
    </w:p>
    <w:p w14:paraId="7E5960CD">
      <w:pPr>
        <w:adjustRightInd w:val="0"/>
        <w:snapToGrid w:val="0"/>
        <w:spacing w:line="360" w:lineRule="auto"/>
        <w:ind w:left="-105" w:right="-105" w:firstLine="480" w:firstLineChars="200"/>
        <w:rPr>
          <w:rFonts w:ascii="Times New Roman" w:hAnsi="Times New Roman" w:cs="Times New Roman"/>
          <w:color w:val="auto"/>
          <w:highlight w:val="none"/>
        </w:rPr>
      </w:pPr>
      <w:r>
        <w:rPr>
          <w:rFonts w:ascii="Times New Roman" w:hAnsi="Times New Roman" w:cs="Times New Roman"/>
          <w:color w:val="auto"/>
          <w:highlight w:val="none"/>
        </w:rPr>
        <w:t>k——污染物的降解系数，d</w:t>
      </w:r>
      <w:r>
        <w:rPr>
          <w:rFonts w:ascii="Times New Roman" w:hAnsi="Times New Roman" w:cs="Times New Roman"/>
          <w:color w:val="auto"/>
          <w:highlight w:val="none"/>
          <w:vertAlign w:val="superscript"/>
        </w:rPr>
        <w:t>-1</w:t>
      </w:r>
      <w:r>
        <w:rPr>
          <w:rFonts w:ascii="Times New Roman" w:hAnsi="Times New Roman" w:cs="Times New Roman"/>
          <w:color w:val="auto"/>
          <w:highlight w:val="none"/>
        </w:rPr>
        <w:t>，取</w:t>
      </w:r>
      <w:r>
        <w:rPr>
          <w:rFonts w:hint="eastAsia" w:ascii="Times New Roman" w:hAnsi="Times New Roman" w:cs="Times New Roman"/>
          <w:color w:val="auto"/>
          <w:highlight w:val="none"/>
        </w:rPr>
        <w:t>1</w:t>
      </w:r>
      <w:r>
        <w:rPr>
          <w:rFonts w:ascii="Times New Roman" w:hAnsi="Times New Roman" w:cs="Times New Roman"/>
          <w:color w:val="auto"/>
          <w:highlight w:val="none"/>
        </w:rPr>
        <w:t>；</w:t>
      </w:r>
    </w:p>
    <w:p w14:paraId="3BA09A70">
      <w:pPr>
        <w:adjustRightInd w:val="0"/>
        <w:snapToGrid w:val="0"/>
        <w:spacing w:line="360" w:lineRule="auto"/>
        <w:ind w:left="-105" w:right="-105" w:firstLine="480" w:firstLineChars="200"/>
        <w:rPr>
          <w:rFonts w:ascii="Times New Roman" w:hAnsi="Times New Roman" w:cs="Times New Roman"/>
          <w:color w:val="auto"/>
          <w:highlight w:val="none"/>
        </w:rPr>
      </w:pPr>
      <w:r>
        <w:rPr>
          <w:rFonts w:ascii="Times New Roman" w:hAnsi="Times New Roman" w:cs="Times New Roman"/>
          <w:color w:val="auto"/>
          <w:highlight w:val="none"/>
        </w:rPr>
        <w:t>x——离排放口距离，m；</w:t>
      </w:r>
    </w:p>
    <w:p w14:paraId="258AE7D4">
      <w:pPr>
        <w:adjustRightInd w:val="0"/>
        <w:snapToGrid w:val="0"/>
        <w:spacing w:line="360" w:lineRule="auto"/>
        <w:ind w:left="-105" w:right="-105" w:firstLine="480" w:firstLineChars="200"/>
        <w:rPr>
          <w:rFonts w:ascii="Times New Roman" w:hAnsi="Times New Roman" w:cs="Times New Roman"/>
          <w:color w:val="auto"/>
          <w:highlight w:val="none"/>
        </w:rPr>
      </w:pPr>
      <w:r>
        <w:rPr>
          <w:rFonts w:ascii="Times New Roman" w:hAnsi="Times New Roman" w:cs="Times New Roman"/>
          <w:color w:val="auto"/>
          <w:highlight w:val="none"/>
        </w:rPr>
        <w:t>u——河道水流流速，m/s，</w:t>
      </w:r>
      <w:r>
        <w:rPr>
          <w:rFonts w:hint="eastAsia" w:ascii="Times New Roman" w:hAnsi="Times New Roman" w:cs="Times New Roman"/>
          <w:color w:val="auto"/>
          <w:highlight w:val="none"/>
        </w:rPr>
        <w:t>锡北运河</w:t>
      </w:r>
      <w:r>
        <w:rPr>
          <w:rFonts w:ascii="Times New Roman" w:hAnsi="Times New Roman" w:cs="Times New Roman"/>
          <w:color w:val="auto"/>
          <w:highlight w:val="none"/>
        </w:rPr>
        <w:t>取0.02</w:t>
      </w:r>
      <w:r>
        <w:rPr>
          <w:rFonts w:hint="eastAsia" w:ascii="Times New Roman" w:hAnsi="Times New Roman" w:cs="Times New Roman"/>
          <w:color w:val="auto"/>
          <w:highlight w:val="none"/>
        </w:rPr>
        <w:t>4</w:t>
      </w:r>
      <w:r>
        <w:rPr>
          <w:rFonts w:ascii="Times New Roman" w:hAnsi="Times New Roman" w:cs="Times New Roman"/>
          <w:color w:val="auto"/>
          <w:highlight w:val="none"/>
        </w:rPr>
        <w:t>m/s；</w:t>
      </w:r>
    </w:p>
    <w:p w14:paraId="069B21ED">
      <w:pPr>
        <w:adjustRightInd w:val="0"/>
        <w:snapToGrid w:val="0"/>
        <w:spacing w:line="360" w:lineRule="auto"/>
        <w:ind w:left="-105" w:right="-105" w:firstLine="480" w:firstLineChars="200"/>
        <w:jc w:val="both"/>
        <w:rPr>
          <w:rFonts w:ascii="Times New Roman" w:hAnsi="Times New Roman" w:cs="Times New Roman"/>
          <w:color w:val="auto"/>
          <w:highlight w:val="none"/>
        </w:rPr>
      </w:pPr>
      <w:r>
        <w:rPr>
          <w:rFonts w:ascii="Times New Roman" w:hAnsi="Times New Roman" w:cs="Times New Roman"/>
          <w:color w:val="auto"/>
          <w:highlight w:val="none"/>
        </w:rPr>
        <w:t>M——污染物的瞬时排放总质量，g；</w:t>
      </w:r>
      <w:r>
        <w:rPr>
          <w:rFonts w:hint="eastAsia" w:ascii="Times New Roman" w:hAnsi="Times New Roman" w:cs="Times New Roman"/>
          <w:color w:val="auto"/>
          <w:highlight w:val="none"/>
          <w:lang w:val="en-US" w:eastAsia="zh-CN"/>
        </w:rPr>
        <w:t>根据现有项目《年产聚氨酯丙烯酸酯5000t、丙烯酸酯组成物10000t和环氧丙烯酸树脂1200t生产线技改扩建项目环境影响报告书》中喷淋废液源强，</w:t>
      </w:r>
      <w:r>
        <w:rPr>
          <w:rFonts w:ascii="Times New Roman" w:hAnsi="Times New Roman" w:cs="Times New Roman"/>
          <w:color w:val="auto"/>
          <w:highlight w:val="none"/>
        </w:rPr>
        <w:t>本项目</w:t>
      </w:r>
      <w:r>
        <w:rPr>
          <w:rFonts w:hint="eastAsia" w:ascii="Times New Roman" w:hAnsi="Times New Roman" w:cs="Times New Roman"/>
          <w:color w:val="auto"/>
          <w:highlight w:val="none"/>
        </w:rPr>
        <w:t>COD</w:t>
      </w:r>
      <w:r>
        <w:rPr>
          <w:rFonts w:ascii="Times New Roman" w:hAnsi="Times New Roman" w:cs="Times New Roman"/>
          <w:color w:val="auto"/>
          <w:highlight w:val="none"/>
        </w:rPr>
        <w:t>取</w:t>
      </w:r>
      <w:r>
        <w:rPr>
          <w:rFonts w:hint="eastAsia" w:ascii="Times New Roman" w:hAnsi="Times New Roman" w:cs="Times New Roman"/>
          <w:color w:val="auto"/>
          <w:highlight w:val="none"/>
        </w:rPr>
        <w:t>12000</w:t>
      </w:r>
      <w:r>
        <w:rPr>
          <w:rFonts w:ascii="Times New Roman" w:hAnsi="Times New Roman" w:cs="Times New Roman"/>
          <w:color w:val="auto"/>
          <w:highlight w:val="none"/>
        </w:rPr>
        <w:t>mg/L，排放量</w:t>
      </w:r>
      <w:r>
        <w:rPr>
          <w:rFonts w:hint="eastAsia" w:ascii="Times New Roman" w:hAnsi="Times New Roman" w:cs="Times New Roman"/>
          <w:color w:val="auto"/>
          <w:highlight w:val="none"/>
        </w:rPr>
        <w:t>20</w:t>
      </w:r>
      <w:r>
        <w:rPr>
          <w:rFonts w:ascii="Times New Roman" w:hAnsi="Times New Roman" w:cs="Times New Roman"/>
          <w:color w:val="auto"/>
          <w:highlight w:val="none"/>
        </w:rPr>
        <w:t>m³，排放总质量为</w:t>
      </w:r>
      <w:r>
        <w:rPr>
          <w:rFonts w:hint="eastAsia" w:ascii="Times New Roman" w:hAnsi="Times New Roman" w:cs="Times New Roman"/>
          <w:color w:val="auto"/>
          <w:highlight w:val="none"/>
        </w:rPr>
        <w:t>240000</w:t>
      </w:r>
      <w:r>
        <w:rPr>
          <w:rFonts w:ascii="Times New Roman" w:hAnsi="Times New Roman" w:cs="Times New Roman"/>
          <w:color w:val="auto"/>
          <w:highlight w:val="none"/>
        </w:rPr>
        <w:t>g。</w:t>
      </w:r>
    </w:p>
    <w:p w14:paraId="2ADF116F">
      <w:pPr>
        <w:adjustRightInd w:val="0"/>
        <w:snapToGrid w:val="0"/>
        <w:spacing w:line="360" w:lineRule="auto"/>
        <w:ind w:left="-105" w:right="-105" w:firstLine="480" w:firstLineChars="200"/>
        <w:rPr>
          <w:rFonts w:ascii="Times New Roman" w:hAnsi="Times New Roman" w:cs="Times New Roman"/>
          <w:color w:val="auto"/>
          <w:highlight w:val="none"/>
        </w:rPr>
      </w:pPr>
      <w:r>
        <w:rPr>
          <w:rFonts w:ascii="Times New Roman" w:hAnsi="Times New Roman" w:cs="Times New Roman"/>
          <w:color w:val="auto"/>
          <w:highlight w:val="none"/>
        </w:rPr>
        <w:t>A——断面面积，m</w:t>
      </w:r>
      <w:r>
        <w:rPr>
          <w:rFonts w:ascii="Times New Roman" w:hAnsi="Times New Roman" w:cs="Times New Roman"/>
          <w:color w:val="auto"/>
          <w:highlight w:val="none"/>
          <w:vertAlign w:val="superscript"/>
        </w:rPr>
        <w:t>2</w:t>
      </w:r>
      <w:r>
        <w:rPr>
          <w:rFonts w:ascii="Times New Roman" w:hAnsi="Times New Roman" w:cs="Times New Roman"/>
          <w:color w:val="auto"/>
          <w:highlight w:val="none"/>
        </w:rPr>
        <w:t>，</w:t>
      </w:r>
      <w:r>
        <w:rPr>
          <w:rFonts w:hint="eastAsia" w:ascii="Times New Roman" w:hAnsi="Times New Roman" w:cs="Times New Roman"/>
          <w:color w:val="auto"/>
          <w:highlight w:val="none"/>
        </w:rPr>
        <w:t>锡北运河</w:t>
      </w:r>
      <w:r>
        <w:rPr>
          <w:rFonts w:ascii="Times New Roman" w:hAnsi="Times New Roman" w:cs="Times New Roman"/>
          <w:color w:val="auto"/>
          <w:highlight w:val="none"/>
        </w:rPr>
        <w:t>断面面积取</w:t>
      </w:r>
      <w:r>
        <w:rPr>
          <w:rFonts w:hint="eastAsia" w:ascii="Times New Roman" w:hAnsi="Times New Roman" w:cs="Times New Roman"/>
          <w:color w:val="auto"/>
          <w:highlight w:val="none"/>
        </w:rPr>
        <w:t>108</w:t>
      </w:r>
      <w:r>
        <w:rPr>
          <w:rFonts w:ascii="Times New Roman" w:hAnsi="Times New Roman" w:cs="Times New Roman"/>
          <w:color w:val="auto"/>
          <w:highlight w:val="none"/>
        </w:rPr>
        <w:t>m</w:t>
      </w:r>
      <w:r>
        <w:rPr>
          <w:rFonts w:ascii="Times New Roman" w:hAnsi="Times New Roman" w:cs="Times New Roman"/>
          <w:color w:val="auto"/>
          <w:highlight w:val="none"/>
          <w:vertAlign w:val="superscript"/>
        </w:rPr>
        <w:t>2</w:t>
      </w:r>
      <w:r>
        <w:rPr>
          <w:rFonts w:ascii="Times New Roman" w:hAnsi="Times New Roman" w:cs="Times New Roman"/>
          <w:color w:val="auto"/>
          <w:highlight w:val="none"/>
        </w:rPr>
        <w:t>；</w:t>
      </w:r>
    </w:p>
    <w:p w14:paraId="1310D9F8">
      <w:pPr>
        <w:adjustRightInd w:val="0"/>
        <w:snapToGrid w:val="0"/>
        <w:spacing w:line="360" w:lineRule="auto"/>
        <w:ind w:left="-105" w:right="-105" w:firstLine="480" w:firstLineChars="200"/>
        <w:rPr>
          <w:rFonts w:ascii="Times New Roman" w:hAnsi="Times New Roman" w:cs="Times New Roman"/>
          <w:color w:val="auto"/>
          <w:highlight w:val="none"/>
        </w:rPr>
      </w:pPr>
      <w:r>
        <w:rPr>
          <w:rFonts w:ascii="Times New Roman" w:hAnsi="Times New Roman" w:cs="Times New Roman"/>
          <w:color w:val="auto"/>
          <w:highlight w:val="none"/>
        </w:rPr>
        <w:t>Ex——纵向离散系数，一般经验取值0.5~0.6，本项目取0.5。</w:t>
      </w:r>
    </w:p>
    <w:p w14:paraId="4534ACB8">
      <w:pPr>
        <w:pStyle w:val="6"/>
        <w:keepLines w:val="0"/>
        <w:widowControl/>
        <w:numPr>
          <w:ilvl w:val="0"/>
          <w:numId w:val="0"/>
        </w:numPr>
        <w:tabs>
          <w:tab w:val="left" w:pos="0"/>
          <w:tab w:val="left" w:pos="2550"/>
        </w:tabs>
        <w:spacing w:before="50" w:after="50" w:line="360" w:lineRule="auto"/>
        <w:ind w:right="-105"/>
        <w:rPr>
          <w:rFonts w:ascii="Times New Roman" w:hAnsi="Times New Roman"/>
          <w:color w:val="auto"/>
          <w:sz w:val="24"/>
          <w:szCs w:val="24"/>
          <w:highlight w:val="none"/>
        </w:rPr>
      </w:pPr>
      <w:r>
        <w:rPr>
          <w:rFonts w:hint="eastAsia" w:ascii="Times New Roman" w:hAnsi="Times New Roman"/>
          <w:color w:val="auto"/>
          <w:sz w:val="24"/>
          <w:szCs w:val="24"/>
          <w:highlight w:val="none"/>
        </w:rPr>
        <w:t>6</w:t>
      </w:r>
      <w:r>
        <w:rPr>
          <w:rFonts w:ascii="Times New Roman" w:hAnsi="Times New Roman"/>
          <w:color w:val="auto"/>
          <w:sz w:val="24"/>
          <w:szCs w:val="24"/>
          <w:highlight w:val="none"/>
        </w:rPr>
        <w:t>.7.2.3后果分析</w:t>
      </w:r>
    </w:p>
    <w:p w14:paraId="4995060B">
      <w:pPr>
        <w:spacing w:line="360" w:lineRule="auto"/>
        <w:ind w:left="-105" w:right="-105" w:firstLine="480" w:firstLineChars="200"/>
        <w:rPr>
          <w:rFonts w:ascii="Times New Roman" w:hAnsi="Times New Roman" w:cs="Times New Roman"/>
          <w:color w:val="auto"/>
          <w:highlight w:val="none"/>
          <w:lang w:val="zh-TW"/>
        </w:rPr>
      </w:pPr>
      <w:r>
        <w:rPr>
          <w:rFonts w:ascii="Times New Roman" w:hAnsi="Times New Roman" w:cs="Times New Roman"/>
          <w:color w:val="auto"/>
          <w:highlight w:val="none"/>
          <w:lang w:val="zh-TW"/>
        </w:rPr>
        <w:t>在没有任何应急救援活动的前提下，</w:t>
      </w:r>
      <w:r>
        <w:rPr>
          <w:rFonts w:hint="eastAsia" w:ascii="Times New Roman" w:hAnsi="Times New Roman" w:cs="Times New Roman"/>
          <w:color w:val="auto"/>
          <w:highlight w:val="none"/>
        </w:rPr>
        <w:t>COD</w:t>
      </w:r>
      <w:r>
        <w:rPr>
          <w:rFonts w:ascii="Times New Roman" w:hAnsi="Times New Roman" w:cs="Times New Roman"/>
          <w:color w:val="auto"/>
          <w:highlight w:val="none"/>
          <w:lang w:val="zh-TW"/>
        </w:rPr>
        <w:t>运移结果见下表。</w:t>
      </w:r>
    </w:p>
    <w:p w14:paraId="31B2CC6A">
      <w:pPr>
        <w:pStyle w:val="15"/>
        <w:ind w:left="-105" w:right="-105" w:firstLine="482"/>
        <w:rPr>
          <w:rFonts w:eastAsia="宋体"/>
          <w:bCs/>
          <w:color w:val="auto"/>
          <w:sz w:val="24"/>
          <w:szCs w:val="24"/>
          <w:highlight w:val="none"/>
          <w:lang w:val="zh-TW" w:eastAsia="zh-TW"/>
        </w:rPr>
      </w:pPr>
      <w:r>
        <w:rPr>
          <w:rFonts w:eastAsia="宋体"/>
          <w:color w:val="auto"/>
          <w:sz w:val="24"/>
          <w:szCs w:val="24"/>
          <w:highlight w:val="none"/>
        </w:rPr>
        <w:t>表</w:t>
      </w:r>
      <w:r>
        <w:rPr>
          <w:color w:val="auto"/>
          <w:sz w:val="24"/>
          <w:szCs w:val="24"/>
          <w:highlight w:val="none"/>
        </w:rPr>
        <w:fldChar w:fldCharType="begin"/>
      </w:r>
      <w:r>
        <w:rPr>
          <w:color w:val="auto"/>
          <w:sz w:val="24"/>
          <w:szCs w:val="24"/>
          <w:highlight w:val="none"/>
        </w:rPr>
        <w:instrText xml:space="preserve"> STYLEREF 2 \s </w:instrText>
      </w:r>
      <w:r>
        <w:rPr>
          <w:color w:val="auto"/>
          <w:sz w:val="24"/>
          <w:szCs w:val="24"/>
          <w:highlight w:val="none"/>
        </w:rPr>
        <w:fldChar w:fldCharType="separate"/>
      </w:r>
      <w:r>
        <w:rPr>
          <w:color w:val="auto"/>
          <w:sz w:val="24"/>
          <w:szCs w:val="24"/>
          <w:highlight w:val="none"/>
        </w:rPr>
        <w:t>6.7</w:t>
      </w:r>
      <w:r>
        <w:rPr>
          <w:color w:val="auto"/>
          <w:sz w:val="24"/>
          <w:szCs w:val="24"/>
          <w:highlight w:val="none"/>
        </w:rPr>
        <w:fldChar w:fldCharType="end"/>
      </w:r>
      <w:r>
        <w:rPr>
          <w:color w:val="auto"/>
          <w:sz w:val="24"/>
          <w:szCs w:val="24"/>
          <w:highlight w:val="none"/>
        </w:rPr>
        <w:noBreakHyphen/>
      </w:r>
      <w:r>
        <w:rPr>
          <w:color w:val="auto"/>
          <w:sz w:val="24"/>
          <w:szCs w:val="24"/>
          <w:highlight w:val="none"/>
        </w:rPr>
        <w:fldChar w:fldCharType="begin"/>
      </w:r>
      <w:r>
        <w:rPr>
          <w:color w:val="auto"/>
          <w:sz w:val="24"/>
          <w:szCs w:val="24"/>
          <w:highlight w:val="none"/>
        </w:rPr>
        <w:instrText xml:space="preserve"> SEQ 表 \* ARABIC \s 2 </w:instrText>
      </w:r>
      <w:r>
        <w:rPr>
          <w:color w:val="auto"/>
          <w:sz w:val="24"/>
          <w:szCs w:val="24"/>
          <w:highlight w:val="none"/>
        </w:rPr>
        <w:fldChar w:fldCharType="separate"/>
      </w:r>
      <w:r>
        <w:rPr>
          <w:color w:val="auto"/>
          <w:sz w:val="24"/>
          <w:szCs w:val="24"/>
          <w:highlight w:val="none"/>
        </w:rPr>
        <w:t>3</w:t>
      </w:r>
      <w:r>
        <w:rPr>
          <w:color w:val="auto"/>
          <w:sz w:val="24"/>
          <w:szCs w:val="24"/>
          <w:highlight w:val="none"/>
        </w:rPr>
        <w:fldChar w:fldCharType="end"/>
      </w:r>
      <w:r>
        <w:rPr>
          <w:rFonts w:hint="eastAsia" w:eastAsia="宋体"/>
          <w:color w:val="auto"/>
          <w:sz w:val="24"/>
          <w:szCs w:val="24"/>
          <w:highlight w:val="none"/>
          <w:lang w:val="en-US" w:eastAsia="zh-CN"/>
        </w:rPr>
        <w:t>COD</w:t>
      </w:r>
      <w:r>
        <w:rPr>
          <w:rFonts w:eastAsia="宋体"/>
          <w:bCs/>
          <w:color w:val="auto"/>
          <w:sz w:val="24"/>
          <w:szCs w:val="24"/>
          <w:highlight w:val="none"/>
          <w:lang w:val="zh-TW" w:eastAsia="zh-TW"/>
        </w:rPr>
        <w:t>运移结果</w:t>
      </w:r>
    </w:p>
    <w:tbl>
      <w:tblPr>
        <w:tblStyle w:val="45"/>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744"/>
        <w:gridCol w:w="1744"/>
        <w:gridCol w:w="1744"/>
        <w:gridCol w:w="1744"/>
        <w:gridCol w:w="1744"/>
      </w:tblGrid>
      <w:tr w14:paraId="2D3C5A1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73" w:hRule="atLeast"/>
          <w:tblHeader/>
          <w:jc w:val="center"/>
        </w:trPr>
        <w:tc>
          <w:tcPr>
            <w:tcW w:w="2180" w:type="dxa"/>
            <w:vAlign w:val="center"/>
          </w:tcPr>
          <w:p w14:paraId="3CA8E63B">
            <w:pPr>
              <w:adjustRightInd w:val="0"/>
              <w:snapToGrid w:val="0"/>
              <w:ind w:left="-105" w:right="-105"/>
              <w:jc w:val="center"/>
              <w:rPr>
                <w:rFonts w:ascii="Times New Roman" w:hAnsi="Times New Roman" w:cs="Times New Roman"/>
                <w:b/>
                <w:color w:val="auto"/>
                <w:sz w:val="21"/>
                <w:szCs w:val="21"/>
                <w:highlight w:val="none"/>
              </w:rPr>
            </w:pPr>
            <w:r>
              <w:rPr>
                <w:rFonts w:ascii="Times New Roman" w:hAnsi="Times New Roman" w:cs="Times New Roman"/>
                <w:b/>
                <w:color w:val="auto"/>
                <w:sz w:val="21"/>
                <w:szCs w:val="21"/>
                <w:highlight w:val="none"/>
              </w:rPr>
              <w:t>X（m）</w:t>
            </w:r>
          </w:p>
        </w:tc>
        <w:tc>
          <w:tcPr>
            <w:tcW w:w="2180" w:type="dxa"/>
            <w:vAlign w:val="center"/>
          </w:tcPr>
          <w:p w14:paraId="5A2C8634">
            <w:pPr>
              <w:adjustRightInd w:val="0"/>
              <w:snapToGrid w:val="0"/>
              <w:ind w:left="-105" w:right="-105"/>
              <w:jc w:val="center"/>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本底值</w:t>
            </w:r>
            <w:r>
              <w:rPr>
                <w:rFonts w:hint="default" w:ascii="Times New Roman" w:hAnsi="Times New Roman" w:eastAsia="宋体" w:cs="Times New Roman"/>
                <w:b/>
                <w:color w:val="auto"/>
                <w:sz w:val="21"/>
                <w:szCs w:val="21"/>
                <w:highlight w:val="none"/>
              </w:rPr>
              <w:t>（mg/L）</w:t>
            </w:r>
          </w:p>
        </w:tc>
        <w:tc>
          <w:tcPr>
            <w:tcW w:w="2180" w:type="dxa"/>
            <w:vAlign w:val="center"/>
          </w:tcPr>
          <w:p w14:paraId="3A817BA6">
            <w:pPr>
              <w:adjustRightInd w:val="0"/>
              <w:snapToGrid w:val="0"/>
              <w:ind w:left="-105" w:right="-105"/>
              <w:jc w:val="center"/>
              <w:rPr>
                <w:rFonts w:hint="default" w:ascii="Times New Roman" w:hAnsi="Times New Roman" w:eastAsia="宋体" w:cs="Times New Roman"/>
                <w:b/>
                <w:color w:val="auto"/>
                <w:sz w:val="21"/>
                <w:szCs w:val="21"/>
                <w:highlight w:val="none"/>
              </w:rPr>
            </w:pPr>
            <w:r>
              <w:rPr>
                <w:rFonts w:hint="default" w:ascii="Times New Roman" w:hAnsi="Times New Roman" w:eastAsia="宋体" w:cs="Times New Roman"/>
                <w:b/>
                <w:bCs/>
                <w:color w:val="auto"/>
                <w:sz w:val="21"/>
                <w:szCs w:val="21"/>
                <w:highlight w:val="none"/>
                <w:lang w:val="en-US" w:eastAsia="zh-CN"/>
              </w:rPr>
              <w:t>预测</w:t>
            </w:r>
            <w:r>
              <w:rPr>
                <w:rFonts w:hint="eastAsia" w:ascii="Times New Roman" w:hAnsi="Times New Roman" w:cs="Times New Roman"/>
                <w:b/>
                <w:bCs/>
                <w:color w:val="auto"/>
                <w:sz w:val="21"/>
                <w:szCs w:val="21"/>
                <w:highlight w:val="none"/>
                <w:lang w:val="en-US" w:eastAsia="zh-CN"/>
              </w:rPr>
              <w:t>增量</w:t>
            </w:r>
            <w:r>
              <w:rPr>
                <w:rFonts w:hint="default" w:ascii="Times New Roman" w:hAnsi="Times New Roman" w:eastAsia="宋体" w:cs="Times New Roman"/>
                <w:b/>
                <w:color w:val="auto"/>
                <w:sz w:val="21"/>
                <w:szCs w:val="21"/>
                <w:highlight w:val="none"/>
              </w:rPr>
              <w:t>（mg/L）</w:t>
            </w:r>
          </w:p>
        </w:tc>
        <w:tc>
          <w:tcPr>
            <w:tcW w:w="2180" w:type="dxa"/>
            <w:vAlign w:val="center"/>
          </w:tcPr>
          <w:p w14:paraId="5EC10BDE">
            <w:pPr>
              <w:adjustRightInd w:val="0"/>
              <w:snapToGrid w:val="0"/>
              <w:ind w:left="-105" w:right="-105"/>
              <w:jc w:val="center"/>
              <w:rPr>
                <w:rFonts w:ascii="Times New Roman" w:hAnsi="Times New Roman" w:cs="Times New Roman"/>
                <w:b/>
                <w:color w:val="auto"/>
                <w:sz w:val="21"/>
                <w:szCs w:val="21"/>
                <w:highlight w:val="none"/>
              </w:rPr>
            </w:pPr>
            <w:r>
              <w:rPr>
                <w:rFonts w:hint="eastAsia" w:ascii="Times New Roman" w:hAnsi="Times New Roman" w:cs="Times New Roman"/>
                <w:b/>
                <w:color w:val="auto"/>
                <w:sz w:val="21"/>
                <w:szCs w:val="21"/>
                <w:highlight w:val="none"/>
                <w:lang w:val="en-US" w:eastAsia="zh-CN"/>
              </w:rPr>
              <w:t>标准值</w:t>
            </w:r>
            <w:r>
              <w:rPr>
                <w:rFonts w:ascii="Times New Roman" w:hAnsi="Times New Roman" w:cs="Times New Roman"/>
                <w:b/>
                <w:color w:val="auto"/>
                <w:sz w:val="21"/>
                <w:szCs w:val="21"/>
                <w:highlight w:val="none"/>
              </w:rPr>
              <w:t>（mg/L）</w:t>
            </w:r>
          </w:p>
        </w:tc>
        <w:tc>
          <w:tcPr>
            <w:tcW w:w="2180" w:type="dxa"/>
            <w:vAlign w:val="center"/>
          </w:tcPr>
          <w:p w14:paraId="3D630915">
            <w:pPr>
              <w:adjustRightInd w:val="0"/>
              <w:snapToGrid w:val="0"/>
              <w:ind w:left="-105" w:right="-105"/>
              <w:jc w:val="center"/>
              <w:rPr>
                <w:rFonts w:ascii="Times New Roman" w:hAnsi="Times New Roman" w:cs="Times New Roman"/>
                <w:b/>
                <w:color w:val="auto"/>
                <w:sz w:val="21"/>
                <w:szCs w:val="21"/>
                <w:highlight w:val="none"/>
              </w:rPr>
            </w:pPr>
            <w:r>
              <w:rPr>
                <w:rFonts w:ascii="Times New Roman" w:hAnsi="Times New Roman" w:cs="Times New Roman"/>
                <w:b/>
                <w:color w:val="auto"/>
                <w:sz w:val="21"/>
                <w:szCs w:val="21"/>
                <w:highlight w:val="none"/>
              </w:rPr>
              <w:t>占标率%</w:t>
            </w:r>
          </w:p>
        </w:tc>
      </w:tr>
      <w:tr w14:paraId="064F1ED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4" w:hRule="atLeast"/>
          <w:jc w:val="center"/>
        </w:trPr>
        <w:tc>
          <w:tcPr>
            <w:tcW w:w="2180" w:type="dxa"/>
            <w:vAlign w:val="center"/>
          </w:tcPr>
          <w:p w14:paraId="193A6BF7">
            <w:pPr>
              <w:adjustRightInd w:val="0"/>
              <w:snapToGrid w:val="0"/>
              <w:ind w:left="-105" w:right="-105"/>
              <w:jc w:val="center"/>
              <w:rPr>
                <w:rFonts w:ascii="Times New Roman" w:hAnsi="Times New Roman" w:cs="Times New Roman"/>
                <w:bCs/>
                <w:color w:val="auto"/>
                <w:sz w:val="21"/>
                <w:szCs w:val="21"/>
                <w:highlight w:val="none"/>
              </w:rPr>
            </w:pPr>
            <w:r>
              <w:rPr>
                <w:rFonts w:ascii="Times New Roman" w:hAnsi="Times New Roman" w:eastAsia="等线" w:cs="Times New Roman"/>
                <w:color w:val="auto"/>
                <w:sz w:val="21"/>
                <w:szCs w:val="21"/>
                <w:highlight w:val="none"/>
              </w:rPr>
              <w:t>10</w:t>
            </w:r>
          </w:p>
        </w:tc>
        <w:tc>
          <w:tcPr>
            <w:tcW w:w="2180" w:type="dxa"/>
            <w:vAlign w:val="center"/>
          </w:tcPr>
          <w:p w14:paraId="0E9ADA19">
            <w:pPr>
              <w:ind w:left="-105" w:right="-105"/>
              <w:jc w:val="center"/>
              <w:textAlignment w:val="center"/>
              <w:rPr>
                <w:rFonts w:hint="default" w:ascii="Times New Roman" w:hAnsi="Times New Roman" w:eastAsia="等线" w:cs="Times New Roman"/>
                <w:color w:val="auto"/>
                <w:sz w:val="21"/>
                <w:szCs w:val="21"/>
                <w:highlight w:val="none"/>
                <w:lang w:val="en-US" w:eastAsia="zh-CN" w:bidi="ar"/>
              </w:rPr>
            </w:pPr>
            <w:r>
              <w:rPr>
                <w:rFonts w:hint="eastAsia" w:ascii="Times New Roman" w:hAnsi="Times New Roman" w:eastAsia="等线" w:cs="Times New Roman"/>
                <w:color w:val="auto"/>
                <w:sz w:val="21"/>
                <w:szCs w:val="21"/>
                <w:highlight w:val="none"/>
                <w:lang w:val="en-US" w:eastAsia="zh-CN" w:bidi="ar"/>
              </w:rPr>
              <w:t>11</w:t>
            </w:r>
          </w:p>
        </w:tc>
        <w:tc>
          <w:tcPr>
            <w:tcW w:w="2180" w:type="dxa"/>
            <w:vAlign w:val="center"/>
          </w:tcPr>
          <w:p w14:paraId="44645159">
            <w:pPr>
              <w:ind w:left="-105" w:right="-105"/>
              <w:jc w:val="center"/>
              <w:textAlignment w:val="center"/>
              <w:rPr>
                <w:rFonts w:ascii="Times New Roman" w:hAnsi="Times New Roman" w:eastAsia="等线" w:cs="Times New Roman"/>
                <w:color w:val="auto"/>
                <w:sz w:val="21"/>
                <w:szCs w:val="21"/>
                <w:highlight w:val="none"/>
              </w:rPr>
            </w:pPr>
            <w:r>
              <w:rPr>
                <w:rFonts w:ascii="Times New Roman" w:hAnsi="Times New Roman" w:eastAsia="等线" w:cs="Times New Roman"/>
                <w:color w:val="auto"/>
                <w:sz w:val="21"/>
                <w:szCs w:val="21"/>
                <w:highlight w:val="none"/>
                <w:lang w:bidi="ar"/>
              </w:rPr>
              <w:t>4.807055749E-180</w:t>
            </w:r>
          </w:p>
        </w:tc>
        <w:tc>
          <w:tcPr>
            <w:tcW w:w="2180" w:type="dxa"/>
            <w:vAlign w:val="center"/>
          </w:tcPr>
          <w:p w14:paraId="3D756641">
            <w:pPr>
              <w:ind w:left="-105" w:right="-105"/>
              <w:jc w:val="center"/>
              <w:textAlignment w:val="center"/>
              <w:rPr>
                <w:rFonts w:ascii="Times New Roman" w:hAnsi="Times New Roman" w:cs="Times New Roman"/>
                <w:bCs/>
                <w:color w:val="auto"/>
                <w:sz w:val="21"/>
                <w:szCs w:val="21"/>
                <w:highlight w:val="none"/>
              </w:rPr>
            </w:pPr>
            <w:r>
              <w:rPr>
                <w:rFonts w:hint="eastAsia" w:ascii="Times New Roman" w:hAnsi="Times New Roman" w:cs="Times New Roman"/>
                <w:bCs/>
                <w:color w:val="auto"/>
                <w:sz w:val="21"/>
                <w:szCs w:val="21"/>
                <w:highlight w:val="none"/>
              </w:rPr>
              <w:t>20</w:t>
            </w:r>
          </w:p>
        </w:tc>
        <w:tc>
          <w:tcPr>
            <w:tcW w:w="2180" w:type="dxa"/>
            <w:vAlign w:val="center"/>
          </w:tcPr>
          <w:p w14:paraId="53319EB7">
            <w:pPr>
              <w:ind w:left="-105" w:right="-105"/>
              <w:jc w:val="center"/>
              <w:textAlignment w:val="center"/>
              <w:rPr>
                <w:rFonts w:ascii="Times New Roman" w:hAnsi="Times New Roman" w:cs="Times New Roman"/>
                <w:bCs/>
                <w:color w:val="auto"/>
                <w:sz w:val="21"/>
                <w:szCs w:val="21"/>
                <w:highlight w:val="none"/>
              </w:rPr>
            </w:pPr>
            <w:r>
              <w:rPr>
                <w:rFonts w:hint="eastAsia" w:ascii="Times New Roman" w:hAnsi="Times New Roman" w:cs="Times New Roman"/>
                <w:bCs/>
                <w:color w:val="auto"/>
                <w:sz w:val="21"/>
                <w:szCs w:val="21"/>
                <w:highlight w:val="none"/>
              </w:rPr>
              <w:t xml:space="preserve">55.00 </w:t>
            </w:r>
          </w:p>
        </w:tc>
      </w:tr>
      <w:tr w14:paraId="0EE71F1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4" w:hRule="atLeast"/>
          <w:jc w:val="center"/>
        </w:trPr>
        <w:tc>
          <w:tcPr>
            <w:tcW w:w="2180" w:type="dxa"/>
            <w:vAlign w:val="center"/>
          </w:tcPr>
          <w:p w14:paraId="482171D6">
            <w:pPr>
              <w:adjustRightInd w:val="0"/>
              <w:snapToGrid w:val="0"/>
              <w:ind w:left="-105" w:right="-105"/>
              <w:jc w:val="center"/>
              <w:rPr>
                <w:rFonts w:ascii="Times New Roman" w:hAnsi="Times New Roman" w:cs="Times New Roman"/>
                <w:bCs/>
                <w:color w:val="auto"/>
                <w:sz w:val="21"/>
                <w:szCs w:val="21"/>
                <w:highlight w:val="none"/>
              </w:rPr>
            </w:pPr>
            <w:r>
              <w:rPr>
                <w:rFonts w:ascii="Times New Roman" w:hAnsi="Times New Roman" w:eastAsia="等线" w:cs="Times New Roman"/>
                <w:color w:val="auto"/>
                <w:sz w:val="21"/>
                <w:szCs w:val="21"/>
                <w:highlight w:val="none"/>
              </w:rPr>
              <w:t>30</w:t>
            </w:r>
          </w:p>
        </w:tc>
        <w:tc>
          <w:tcPr>
            <w:tcW w:w="2180" w:type="dxa"/>
            <w:vAlign w:val="center"/>
          </w:tcPr>
          <w:p w14:paraId="52C40177">
            <w:pPr>
              <w:ind w:left="-105" w:right="-105"/>
              <w:jc w:val="center"/>
              <w:textAlignment w:val="center"/>
              <w:rPr>
                <w:rFonts w:hint="eastAsia" w:ascii="Times New Roman" w:hAnsi="Times New Roman" w:cs="Times New Roman"/>
                <w:color w:val="auto"/>
                <w:sz w:val="21"/>
                <w:szCs w:val="21"/>
                <w:highlight w:val="none"/>
              </w:rPr>
            </w:pPr>
            <w:r>
              <w:rPr>
                <w:rFonts w:hint="eastAsia" w:ascii="Times New Roman" w:hAnsi="Times New Roman" w:eastAsia="等线" w:cs="Times New Roman"/>
                <w:color w:val="auto"/>
                <w:sz w:val="21"/>
                <w:szCs w:val="21"/>
                <w:highlight w:val="none"/>
                <w:lang w:val="en-US" w:eastAsia="zh-CN" w:bidi="ar"/>
              </w:rPr>
              <w:t>11</w:t>
            </w:r>
          </w:p>
        </w:tc>
        <w:tc>
          <w:tcPr>
            <w:tcW w:w="2180" w:type="dxa"/>
            <w:vAlign w:val="center"/>
          </w:tcPr>
          <w:p w14:paraId="452BAB2E">
            <w:pPr>
              <w:ind w:left="-105" w:right="-105"/>
              <w:jc w:val="center"/>
              <w:textAlignment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0</w:t>
            </w:r>
          </w:p>
        </w:tc>
        <w:tc>
          <w:tcPr>
            <w:tcW w:w="2180" w:type="dxa"/>
            <w:vAlign w:val="center"/>
          </w:tcPr>
          <w:p w14:paraId="2DA9783D">
            <w:pPr>
              <w:ind w:left="-105" w:right="-105"/>
              <w:jc w:val="center"/>
              <w:textAlignment w:val="center"/>
              <w:rPr>
                <w:rFonts w:ascii="Times New Roman" w:hAnsi="Times New Roman" w:cs="Times New Roman"/>
                <w:color w:val="auto"/>
                <w:sz w:val="21"/>
                <w:szCs w:val="21"/>
                <w:highlight w:val="none"/>
              </w:rPr>
            </w:pPr>
            <w:r>
              <w:rPr>
                <w:rFonts w:hint="eastAsia" w:ascii="Times New Roman" w:hAnsi="Times New Roman" w:cs="Times New Roman"/>
                <w:bCs/>
                <w:color w:val="auto"/>
                <w:sz w:val="21"/>
                <w:szCs w:val="21"/>
                <w:highlight w:val="none"/>
              </w:rPr>
              <w:t>20</w:t>
            </w:r>
          </w:p>
        </w:tc>
        <w:tc>
          <w:tcPr>
            <w:tcW w:w="2180" w:type="dxa"/>
            <w:vAlign w:val="center"/>
          </w:tcPr>
          <w:p w14:paraId="1BF63184">
            <w:pPr>
              <w:ind w:left="-105" w:right="-105"/>
              <w:jc w:val="center"/>
              <w:textAlignment w:val="center"/>
              <w:rPr>
                <w:rFonts w:ascii="Times New Roman" w:hAnsi="Times New Roman" w:cs="Times New Roman"/>
                <w:bCs/>
                <w:color w:val="auto"/>
                <w:sz w:val="21"/>
                <w:szCs w:val="21"/>
                <w:highlight w:val="none"/>
              </w:rPr>
            </w:pPr>
            <w:r>
              <w:rPr>
                <w:rFonts w:hint="eastAsia" w:ascii="Times New Roman" w:hAnsi="Times New Roman" w:cs="Times New Roman"/>
                <w:bCs/>
                <w:color w:val="auto"/>
                <w:sz w:val="21"/>
                <w:szCs w:val="21"/>
                <w:highlight w:val="none"/>
              </w:rPr>
              <w:t xml:space="preserve">55.00 </w:t>
            </w:r>
          </w:p>
        </w:tc>
      </w:tr>
      <w:tr w14:paraId="0825C99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4" w:hRule="atLeast"/>
          <w:jc w:val="center"/>
        </w:trPr>
        <w:tc>
          <w:tcPr>
            <w:tcW w:w="2180" w:type="dxa"/>
            <w:vAlign w:val="center"/>
          </w:tcPr>
          <w:p w14:paraId="7E30F196">
            <w:pPr>
              <w:adjustRightInd w:val="0"/>
              <w:snapToGrid w:val="0"/>
              <w:ind w:left="-105" w:right="-105"/>
              <w:jc w:val="center"/>
              <w:rPr>
                <w:rFonts w:ascii="Times New Roman" w:hAnsi="Times New Roman" w:cs="Times New Roman"/>
                <w:bCs/>
                <w:color w:val="auto"/>
                <w:sz w:val="21"/>
                <w:szCs w:val="21"/>
                <w:highlight w:val="none"/>
              </w:rPr>
            </w:pPr>
            <w:r>
              <w:rPr>
                <w:rFonts w:ascii="Times New Roman" w:hAnsi="Times New Roman" w:eastAsia="等线" w:cs="Times New Roman"/>
                <w:color w:val="auto"/>
                <w:sz w:val="21"/>
                <w:szCs w:val="21"/>
                <w:highlight w:val="none"/>
              </w:rPr>
              <w:t>40</w:t>
            </w:r>
          </w:p>
        </w:tc>
        <w:tc>
          <w:tcPr>
            <w:tcW w:w="2180" w:type="dxa"/>
            <w:vAlign w:val="center"/>
          </w:tcPr>
          <w:p w14:paraId="5EA7C0A7">
            <w:pPr>
              <w:ind w:left="-105" w:right="-105"/>
              <w:jc w:val="center"/>
              <w:textAlignment w:val="center"/>
              <w:rPr>
                <w:rFonts w:hint="eastAsia" w:ascii="Times New Roman" w:hAnsi="Times New Roman" w:cs="Times New Roman"/>
                <w:color w:val="auto"/>
                <w:sz w:val="21"/>
                <w:szCs w:val="21"/>
                <w:highlight w:val="none"/>
              </w:rPr>
            </w:pPr>
            <w:r>
              <w:rPr>
                <w:rFonts w:hint="eastAsia" w:ascii="Times New Roman" w:hAnsi="Times New Roman" w:eastAsia="等线" w:cs="Times New Roman"/>
                <w:color w:val="auto"/>
                <w:sz w:val="21"/>
                <w:szCs w:val="21"/>
                <w:highlight w:val="none"/>
                <w:lang w:val="en-US" w:eastAsia="zh-CN" w:bidi="ar"/>
              </w:rPr>
              <w:t>11</w:t>
            </w:r>
          </w:p>
        </w:tc>
        <w:tc>
          <w:tcPr>
            <w:tcW w:w="2180" w:type="dxa"/>
            <w:vAlign w:val="center"/>
          </w:tcPr>
          <w:p w14:paraId="443B98D3">
            <w:pPr>
              <w:ind w:left="-105" w:right="-105"/>
              <w:jc w:val="center"/>
              <w:textAlignment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0</w:t>
            </w:r>
          </w:p>
        </w:tc>
        <w:tc>
          <w:tcPr>
            <w:tcW w:w="2180" w:type="dxa"/>
            <w:vAlign w:val="center"/>
          </w:tcPr>
          <w:p w14:paraId="009A87BC">
            <w:pPr>
              <w:ind w:left="-105" w:right="-105"/>
              <w:jc w:val="center"/>
              <w:textAlignment w:val="center"/>
              <w:rPr>
                <w:rFonts w:ascii="Times New Roman" w:hAnsi="Times New Roman" w:cs="Times New Roman"/>
                <w:color w:val="auto"/>
                <w:sz w:val="21"/>
                <w:szCs w:val="21"/>
                <w:highlight w:val="none"/>
              </w:rPr>
            </w:pPr>
            <w:r>
              <w:rPr>
                <w:rFonts w:hint="eastAsia" w:ascii="Times New Roman" w:hAnsi="Times New Roman" w:cs="Times New Roman"/>
                <w:bCs/>
                <w:color w:val="auto"/>
                <w:sz w:val="21"/>
                <w:szCs w:val="21"/>
                <w:highlight w:val="none"/>
              </w:rPr>
              <w:t>20</w:t>
            </w:r>
          </w:p>
        </w:tc>
        <w:tc>
          <w:tcPr>
            <w:tcW w:w="2180" w:type="dxa"/>
            <w:vAlign w:val="center"/>
          </w:tcPr>
          <w:p w14:paraId="1F217BF0">
            <w:pPr>
              <w:ind w:left="-105" w:right="-105"/>
              <w:jc w:val="center"/>
              <w:textAlignment w:val="center"/>
              <w:rPr>
                <w:rFonts w:ascii="Times New Roman" w:hAnsi="Times New Roman" w:cs="Times New Roman"/>
                <w:bCs/>
                <w:color w:val="auto"/>
                <w:sz w:val="21"/>
                <w:szCs w:val="21"/>
                <w:highlight w:val="none"/>
              </w:rPr>
            </w:pPr>
            <w:r>
              <w:rPr>
                <w:rFonts w:hint="eastAsia" w:ascii="Times New Roman" w:hAnsi="Times New Roman" w:cs="Times New Roman"/>
                <w:bCs/>
                <w:color w:val="auto"/>
                <w:sz w:val="21"/>
                <w:szCs w:val="21"/>
                <w:highlight w:val="none"/>
              </w:rPr>
              <w:t xml:space="preserve">55.00 </w:t>
            </w:r>
          </w:p>
        </w:tc>
      </w:tr>
      <w:tr w14:paraId="33628F4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4" w:hRule="atLeast"/>
          <w:jc w:val="center"/>
        </w:trPr>
        <w:tc>
          <w:tcPr>
            <w:tcW w:w="2180" w:type="dxa"/>
            <w:vAlign w:val="center"/>
          </w:tcPr>
          <w:p w14:paraId="67A4A016">
            <w:pPr>
              <w:adjustRightInd w:val="0"/>
              <w:snapToGrid w:val="0"/>
              <w:ind w:left="-105" w:right="-105"/>
              <w:jc w:val="center"/>
              <w:rPr>
                <w:rFonts w:ascii="Times New Roman" w:hAnsi="Times New Roman" w:cs="Times New Roman"/>
                <w:bCs/>
                <w:color w:val="auto"/>
                <w:sz w:val="21"/>
                <w:szCs w:val="21"/>
                <w:highlight w:val="none"/>
              </w:rPr>
            </w:pPr>
            <w:r>
              <w:rPr>
                <w:rFonts w:ascii="Times New Roman" w:hAnsi="Times New Roman" w:eastAsia="等线" w:cs="Times New Roman"/>
                <w:color w:val="auto"/>
                <w:sz w:val="21"/>
                <w:szCs w:val="21"/>
                <w:highlight w:val="none"/>
              </w:rPr>
              <w:t>50</w:t>
            </w:r>
          </w:p>
        </w:tc>
        <w:tc>
          <w:tcPr>
            <w:tcW w:w="2180" w:type="dxa"/>
            <w:vAlign w:val="center"/>
          </w:tcPr>
          <w:p w14:paraId="3B112AE0">
            <w:pPr>
              <w:ind w:left="-105" w:right="-105"/>
              <w:jc w:val="center"/>
              <w:textAlignment w:val="center"/>
              <w:rPr>
                <w:rFonts w:hint="eastAsia" w:ascii="Times New Roman" w:hAnsi="Times New Roman" w:cs="Times New Roman"/>
                <w:color w:val="auto"/>
                <w:sz w:val="21"/>
                <w:szCs w:val="21"/>
                <w:highlight w:val="none"/>
              </w:rPr>
            </w:pPr>
            <w:r>
              <w:rPr>
                <w:rFonts w:hint="eastAsia" w:ascii="Times New Roman" w:hAnsi="Times New Roman" w:eastAsia="等线" w:cs="Times New Roman"/>
                <w:color w:val="auto"/>
                <w:sz w:val="21"/>
                <w:szCs w:val="21"/>
                <w:highlight w:val="none"/>
                <w:lang w:val="en-US" w:eastAsia="zh-CN" w:bidi="ar"/>
              </w:rPr>
              <w:t>11</w:t>
            </w:r>
          </w:p>
        </w:tc>
        <w:tc>
          <w:tcPr>
            <w:tcW w:w="2180" w:type="dxa"/>
            <w:vAlign w:val="center"/>
          </w:tcPr>
          <w:p w14:paraId="791D702C">
            <w:pPr>
              <w:ind w:left="-105" w:right="-105"/>
              <w:jc w:val="center"/>
              <w:textAlignment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0</w:t>
            </w:r>
          </w:p>
        </w:tc>
        <w:tc>
          <w:tcPr>
            <w:tcW w:w="2180" w:type="dxa"/>
            <w:vAlign w:val="center"/>
          </w:tcPr>
          <w:p w14:paraId="522A039F">
            <w:pPr>
              <w:ind w:left="-105" w:right="-105"/>
              <w:jc w:val="center"/>
              <w:textAlignment w:val="center"/>
              <w:rPr>
                <w:rFonts w:ascii="Times New Roman" w:hAnsi="Times New Roman" w:cs="Times New Roman"/>
                <w:color w:val="auto"/>
                <w:sz w:val="21"/>
                <w:szCs w:val="21"/>
                <w:highlight w:val="none"/>
              </w:rPr>
            </w:pPr>
            <w:r>
              <w:rPr>
                <w:rFonts w:hint="eastAsia" w:ascii="Times New Roman" w:hAnsi="Times New Roman" w:cs="Times New Roman"/>
                <w:bCs/>
                <w:color w:val="auto"/>
                <w:sz w:val="21"/>
                <w:szCs w:val="21"/>
                <w:highlight w:val="none"/>
              </w:rPr>
              <w:t>20</w:t>
            </w:r>
          </w:p>
        </w:tc>
        <w:tc>
          <w:tcPr>
            <w:tcW w:w="2180" w:type="dxa"/>
            <w:vAlign w:val="center"/>
          </w:tcPr>
          <w:p w14:paraId="099AC370">
            <w:pPr>
              <w:ind w:left="-105" w:right="-105"/>
              <w:jc w:val="center"/>
              <w:textAlignment w:val="center"/>
              <w:rPr>
                <w:rFonts w:ascii="Times New Roman" w:hAnsi="Times New Roman" w:cs="Times New Roman"/>
                <w:bCs/>
                <w:color w:val="auto"/>
                <w:sz w:val="21"/>
                <w:szCs w:val="21"/>
                <w:highlight w:val="none"/>
              </w:rPr>
            </w:pPr>
            <w:r>
              <w:rPr>
                <w:rFonts w:hint="eastAsia" w:ascii="Times New Roman" w:hAnsi="Times New Roman" w:cs="Times New Roman"/>
                <w:bCs/>
                <w:color w:val="auto"/>
                <w:sz w:val="21"/>
                <w:szCs w:val="21"/>
                <w:highlight w:val="none"/>
              </w:rPr>
              <w:t xml:space="preserve">55.00 </w:t>
            </w:r>
          </w:p>
        </w:tc>
      </w:tr>
      <w:tr w14:paraId="7D39D58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4" w:hRule="atLeast"/>
          <w:jc w:val="center"/>
        </w:trPr>
        <w:tc>
          <w:tcPr>
            <w:tcW w:w="2180" w:type="dxa"/>
            <w:vAlign w:val="center"/>
          </w:tcPr>
          <w:p w14:paraId="19138856">
            <w:pPr>
              <w:adjustRightInd w:val="0"/>
              <w:snapToGrid w:val="0"/>
              <w:ind w:left="-105" w:right="-105"/>
              <w:jc w:val="center"/>
              <w:rPr>
                <w:rFonts w:ascii="Times New Roman" w:hAnsi="Times New Roman" w:cs="Times New Roman"/>
                <w:bCs/>
                <w:color w:val="auto"/>
                <w:sz w:val="21"/>
                <w:szCs w:val="21"/>
                <w:highlight w:val="none"/>
              </w:rPr>
            </w:pPr>
            <w:r>
              <w:rPr>
                <w:rFonts w:ascii="Times New Roman" w:hAnsi="Times New Roman" w:eastAsia="等线" w:cs="Times New Roman"/>
                <w:color w:val="auto"/>
                <w:sz w:val="21"/>
                <w:szCs w:val="21"/>
                <w:highlight w:val="none"/>
              </w:rPr>
              <w:t>100</w:t>
            </w:r>
          </w:p>
        </w:tc>
        <w:tc>
          <w:tcPr>
            <w:tcW w:w="2180" w:type="dxa"/>
            <w:vAlign w:val="center"/>
          </w:tcPr>
          <w:p w14:paraId="4E9D6C16">
            <w:pPr>
              <w:ind w:left="-105" w:right="-105"/>
              <w:jc w:val="center"/>
              <w:textAlignment w:val="center"/>
              <w:rPr>
                <w:rFonts w:hint="eastAsia" w:ascii="Times New Roman" w:hAnsi="Times New Roman" w:cs="Times New Roman"/>
                <w:color w:val="auto"/>
                <w:sz w:val="21"/>
                <w:szCs w:val="21"/>
                <w:highlight w:val="none"/>
              </w:rPr>
            </w:pPr>
            <w:r>
              <w:rPr>
                <w:rFonts w:hint="eastAsia" w:ascii="Times New Roman" w:hAnsi="Times New Roman" w:eastAsia="等线" w:cs="Times New Roman"/>
                <w:color w:val="auto"/>
                <w:sz w:val="21"/>
                <w:szCs w:val="21"/>
                <w:highlight w:val="none"/>
                <w:lang w:val="en-US" w:eastAsia="zh-CN" w:bidi="ar"/>
              </w:rPr>
              <w:t>11</w:t>
            </w:r>
          </w:p>
        </w:tc>
        <w:tc>
          <w:tcPr>
            <w:tcW w:w="2180" w:type="dxa"/>
            <w:vAlign w:val="center"/>
          </w:tcPr>
          <w:p w14:paraId="0B0FD4C8">
            <w:pPr>
              <w:ind w:left="-105" w:right="-105"/>
              <w:jc w:val="center"/>
              <w:textAlignment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0</w:t>
            </w:r>
          </w:p>
        </w:tc>
        <w:tc>
          <w:tcPr>
            <w:tcW w:w="2180" w:type="dxa"/>
            <w:vAlign w:val="center"/>
          </w:tcPr>
          <w:p w14:paraId="5FDE4994">
            <w:pPr>
              <w:ind w:left="-105" w:right="-105"/>
              <w:jc w:val="center"/>
              <w:textAlignment w:val="center"/>
              <w:rPr>
                <w:rFonts w:ascii="Times New Roman" w:hAnsi="Times New Roman" w:cs="Times New Roman"/>
                <w:bCs/>
                <w:color w:val="auto"/>
                <w:sz w:val="21"/>
                <w:szCs w:val="21"/>
                <w:highlight w:val="none"/>
              </w:rPr>
            </w:pPr>
            <w:r>
              <w:rPr>
                <w:rFonts w:hint="eastAsia" w:ascii="Times New Roman" w:hAnsi="Times New Roman" w:cs="Times New Roman"/>
                <w:bCs/>
                <w:color w:val="auto"/>
                <w:sz w:val="21"/>
                <w:szCs w:val="21"/>
                <w:highlight w:val="none"/>
              </w:rPr>
              <w:t>20</w:t>
            </w:r>
          </w:p>
        </w:tc>
        <w:tc>
          <w:tcPr>
            <w:tcW w:w="2180" w:type="dxa"/>
            <w:vAlign w:val="center"/>
          </w:tcPr>
          <w:p w14:paraId="3A9167A2">
            <w:pPr>
              <w:ind w:left="-105" w:right="-105"/>
              <w:jc w:val="center"/>
              <w:textAlignment w:val="center"/>
              <w:rPr>
                <w:rFonts w:ascii="Times New Roman" w:hAnsi="Times New Roman" w:cs="Times New Roman"/>
                <w:bCs/>
                <w:color w:val="auto"/>
                <w:sz w:val="21"/>
                <w:szCs w:val="21"/>
                <w:highlight w:val="none"/>
              </w:rPr>
            </w:pPr>
            <w:r>
              <w:rPr>
                <w:rFonts w:hint="eastAsia" w:ascii="Times New Roman" w:hAnsi="Times New Roman" w:cs="Times New Roman"/>
                <w:bCs/>
                <w:color w:val="auto"/>
                <w:sz w:val="21"/>
                <w:szCs w:val="21"/>
                <w:highlight w:val="none"/>
              </w:rPr>
              <w:t xml:space="preserve">55.00 </w:t>
            </w:r>
          </w:p>
        </w:tc>
      </w:tr>
      <w:tr w14:paraId="565B337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4" w:hRule="atLeast"/>
          <w:jc w:val="center"/>
        </w:trPr>
        <w:tc>
          <w:tcPr>
            <w:tcW w:w="2180" w:type="dxa"/>
            <w:vAlign w:val="center"/>
          </w:tcPr>
          <w:p w14:paraId="45C7A554">
            <w:pPr>
              <w:adjustRightInd w:val="0"/>
              <w:snapToGrid w:val="0"/>
              <w:ind w:left="-105" w:right="-105"/>
              <w:jc w:val="center"/>
              <w:rPr>
                <w:rFonts w:ascii="Times New Roman" w:hAnsi="Times New Roman" w:cs="Times New Roman"/>
                <w:bCs/>
                <w:color w:val="auto"/>
                <w:sz w:val="21"/>
                <w:szCs w:val="21"/>
                <w:highlight w:val="none"/>
              </w:rPr>
            </w:pPr>
            <w:r>
              <w:rPr>
                <w:rFonts w:ascii="Times New Roman" w:hAnsi="Times New Roman" w:eastAsia="等线" w:cs="Times New Roman"/>
                <w:color w:val="auto"/>
                <w:sz w:val="21"/>
                <w:szCs w:val="21"/>
                <w:highlight w:val="none"/>
              </w:rPr>
              <w:t>150</w:t>
            </w:r>
          </w:p>
        </w:tc>
        <w:tc>
          <w:tcPr>
            <w:tcW w:w="2180" w:type="dxa"/>
            <w:vAlign w:val="center"/>
          </w:tcPr>
          <w:p w14:paraId="16D59FB2">
            <w:pPr>
              <w:ind w:left="-105" w:right="-105"/>
              <w:jc w:val="center"/>
              <w:textAlignment w:val="center"/>
              <w:rPr>
                <w:rFonts w:hint="eastAsia" w:ascii="Times New Roman" w:hAnsi="Times New Roman" w:cs="Times New Roman"/>
                <w:color w:val="auto"/>
                <w:sz w:val="21"/>
                <w:szCs w:val="21"/>
                <w:highlight w:val="none"/>
              </w:rPr>
            </w:pPr>
            <w:r>
              <w:rPr>
                <w:rFonts w:hint="eastAsia" w:ascii="Times New Roman" w:hAnsi="Times New Roman" w:eastAsia="等线" w:cs="Times New Roman"/>
                <w:color w:val="auto"/>
                <w:sz w:val="21"/>
                <w:szCs w:val="21"/>
                <w:highlight w:val="none"/>
                <w:lang w:val="en-US" w:eastAsia="zh-CN" w:bidi="ar"/>
              </w:rPr>
              <w:t>11</w:t>
            </w:r>
          </w:p>
        </w:tc>
        <w:tc>
          <w:tcPr>
            <w:tcW w:w="2180" w:type="dxa"/>
            <w:vAlign w:val="center"/>
          </w:tcPr>
          <w:p w14:paraId="5ED83F5E">
            <w:pPr>
              <w:ind w:left="-105" w:right="-105"/>
              <w:jc w:val="center"/>
              <w:textAlignment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0</w:t>
            </w:r>
          </w:p>
        </w:tc>
        <w:tc>
          <w:tcPr>
            <w:tcW w:w="2180" w:type="dxa"/>
            <w:vAlign w:val="center"/>
          </w:tcPr>
          <w:p w14:paraId="3A44B925">
            <w:pPr>
              <w:ind w:left="-105" w:right="-105"/>
              <w:jc w:val="center"/>
              <w:textAlignment w:val="center"/>
              <w:rPr>
                <w:rFonts w:ascii="Times New Roman" w:hAnsi="Times New Roman" w:cs="Times New Roman"/>
                <w:bCs/>
                <w:color w:val="auto"/>
                <w:sz w:val="21"/>
                <w:szCs w:val="21"/>
                <w:highlight w:val="none"/>
              </w:rPr>
            </w:pPr>
            <w:r>
              <w:rPr>
                <w:rFonts w:hint="eastAsia" w:ascii="Times New Roman" w:hAnsi="Times New Roman" w:cs="Times New Roman"/>
                <w:bCs/>
                <w:color w:val="auto"/>
                <w:sz w:val="21"/>
                <w:szCs w:val="21"/>
                <w:highlight w:val="none"/>
              </w:rPr>
              <w:t>20</w:t>
            </w:r>
          </w:p>
        </w:tc>
        <w:tc>
          <w:tcPr>
            <w:tcW w:w="2180" w:type="dxa"/>
            <w:vAlign w:val="center"/>
          </w:tcPr>
          <w:p w14:paraId="0B8DDE05">
            <w:pPr>
              <w:ind w:left="-105" w:right="-105"/>
              <w:jc w:val="center"/>
              <w:textAlignment w:val="center"/>
              <w:rPr>
                <w:rFonts w:ascii="Times New Roman" w:hAnsi="Times New Roman" w:cs="Times New Roman"/>
                <w:bCs/>
                <w:color w:val="auto"/>
                <w:sz w:val="21"/>
                <w:szCs w:val="21"/>
                <w:highlight w:val="none"/>
              </w:rPr>
            </w:pPr>
            <w:r>
              <w:rPr>
                <w:rFonts w:hint="eastAsia" w:ascii="Times New Roman" w:hAnsi="Times New Roman" w:cs="Times New Roman"/>
                <w:bCs/>
                <w:color w:val="auto"/>
                <w:sz w:val="21"/>
                <w:szCs w:val="21"/>
                <w:highlight w:val="none"/>
              </w:rPr>
              <w:t xml:space="preserve">55.00 </w:t>
            </w:r>
          </w:p>
        </w:tc>
      </w:tr>
      <w:tr w14:paraId="55747B2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4" w:hRule="atLeast"/>
          <w:jc w:val="center"/>
        </w:trPr>
        <w:tc>
          <w:tcPr>
            <w:tcW w:w="2180" w:type="dxa"/>
            <w:vAlign w:val="center"/>
          </w:tcPr>
          <w:p w14:paraId="1B43C3BA">
            <w:pPr>
              <w:adjustRightInd w:val="0"/>
              <w:snapToGrid w:val="0"/>
              <w:ind w:left="-105" w:right="-105"/>
              <w:jc w:val="center"/>
              <w:rPr>
                <w:rFonts w:ascii="Times New Roman" w:hAnsi="Times New Roman" w:cs="Times New Roman"/>
                <w:bCs/>
                <w:color w:val="auto"/>
                <w:sz w:val="21"/>
                <w:szCs w:val="21"/>
                <w:highlight w:val="none"/>
              </w:rPr>
            </w:pPr>
            <w:r>
              <w:rPr>
                <w:rFonts w:ascii="Times New Roman" w:hAnsi="Times New Roman" w:eastAsia="等线" w:cs="Times New Roman"/>
                <w:color w:val="auto"/>
                <w:sz w:val="21"/>
                <w:szCs w:val="21"/>
                <w:highlight w:val="none"/>
              </w:rPr>
              <w:t>200</w:t>
            </w:r>
          </w:p>
        </w:tc>
        <w:tc>
          <w:tcPr>
            <w:tcW w:w="2180" w:type="dxa"/>
            <w:vAlign w:val="center"/>
          </w:tcPr>
          <w:p w14:paraId="680F3297">
            <w:pPr>
              <w:ind w:left="-105" w:right="-105"/>
              <w:jc w:val="center"/>
              <w:textAlignment w:val="center"/>
              <w:rPr>
                <w:rFonts w:hint="eastAsia" w:ascii="Times New Roman" w:hAnsi="Times New Roman" w:cs="Times New Roman"/>
                <w:color w:val="auto"/>
                <w:sz w:val="21"/>
                <w:szCs w:val="21"/>
                <w:highlight w:val="none"/>
              </w:rPr>
            </w:pPr>
            <w:r>
              <w:rPr>
                <w:rFonts w:hint="eastAsia" w:ascii="Times New Roman" w:hAnsi="Times New Roman" w:eastAsia="等线" w:cs="Times New Roman"/>
                <w:color w:val="auto"/>
                <w:sz w:val="21"/>
                <w:szCs w:val="21"/>
                <w:highlight w:val="none"/>
                <w:lang w:val="en-US" w:eastAsia="zh-CN" w:bidi="ar"/>
              </w:rPr>
              <w:t>11</w:t>
            </w:r>
          </w:p>
        </w:tc>
        <w:tc>
          <w:tcPr>
            <w:tcW w:w="2180" w:type="dxa"/>
            <w:vAlign w:val="center"/>
          </w:tcPr>
          <w:p w14:paraId="71013D7D">
            <w:pPr>
              <w:ind w:left="-105" w:right="-105"/>
              <w:jc w:val="center"/>
              <w:textAlignment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0</w:t>
            </w:r>
          </w:p>
        </w:tc>
        <w:tc>
          <w:tcPr>
            <w:tcW w:w="2180" w:type="dxa"/>
            <w:vAlign w:val="center"/>
          </w:tcPr>
          <w:p w14:paraId="6E81CDD7">
            <w:pPr>
              <w:ind w:left="-105" w:right="-105"/>
              <w:jc w:val="center"/>
              <w:textAlignment w:val="center"/>
              <w:rPr>
                <w:rFonts w:ascii="Times New Roman" w:hAnsi="Times New Roman" w:cs="Times New Roman"/>
                <w:bCs/>
                <w:color w:val="auto"/>
                <w:sz w:val="21"/>
                <w:szCs w:val="21"/>
                <w:highlight w:val="none"/>
              </w:rPr>
            </w:pPr>
            <w:r>
              <w:rPr>
                <w:rFonts w:hint="eastAsia" w:ascii="Times New Roman" w:hAnsi="Times New Roman" w:cs="Times New Roman"/>
                <w:bCs/>
                <w:color w:val="auto"/>
                <w:sz w:val="21"/>
                <w:szCs w:val="21"/>
                <w:highlight w:val="none"/>
              </w:rPr>
              <w:t>20</w:t>
            </w:r>
          </w:p>
        </w:tc>
        <w:tc>
          <w:tcPr>
            <w:tcW w:w="2180" w:type="dxa"/>
            <w:vAlign w:val="center"/>
          </w:tcPr>
          <w:p w14:paraId="2A67D5FD">
            <w:pPr>
              <w:ind w:left="-105" w:right="-105"/>
              <w:jc w:val="center"/>
              <w:textAlignment w:val="center"/>
              <w:rPr>
                <w:rFonts w:ascii="Times New Roman" w:hAnsi="Times New Roman" w:cs="Times New Roman"/>
                <w:bCs/>
                <w:color w:val="auto"/>
                <w:sz w:val="21"/>
                <w:szCs w:val="21"/>
                <w:highlight w:val="none"/>
              </w:rPr>
            </w:pPr>
            <w:r>
              <w:rPr>
                <w:rFonts w:hint="eastAsia" w:ascii="Times New Roman" w:hAnsi="Times New Roman" w:cs="Times New Roman"/>
                <w:bCs/>
                <w:color w:val="auto"/>
                <w:sz w:val="21"/>
                <w:szCs w:val="21"/>
                <w:highlight w:val="none"/>
              </w:rPr>
              <w:t xml:space="preserve">55.00 </w:t>
            </w:r>
          </w:p>
        </w:tc>
      </w:tr>
      <w:tr w14:paraId="598F98A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4" w:hRule="atLeast"/>
          <w:jc w:val="center"/>
        </w:trPr>
        <w:tc>
          <w:tcPr>
            <w:tcW w:w="2180" w:type="dxa"/>
            <w:vAlign w:val="center"/>
          </w:tcPr>
          <w:p w14:paraId="01832B20">
            <w:pPr>
              <w:adjustRightInd w:val="0"/>
              <w:snapToGrid w:val="0"/>
              <w:ind w:left="-105" w:right="-105"/>
              <w:jc w:val="center"/>
              <w:rPr>
                <w:rFonts w:ascii="Times New Roman" w:hAnsi="Times New Roman" w:cs="Times New Roman"/>
                <w:bCs/>
                <w:color w:val="auto"/>
                <w:sz w:val="21"/>
                <w:szCs w:val="21"/>
                <w:highlight w:val="none"/>
              </w:rPr>
            </w:pPr>
            <w:r>
              <w:rPr>
                <w:rFonts w:ascii="Times New Roman" w:hAnsi="Times New Roman" w:eastAsia="等线" w:cs="Times New Roman"/>
                <w:color w:val="auto"/>
                <w:sz w:val="21"/>
                <w:szCs w:val="21"/>
                <w:highlight w:val="none"/>
              </w:rPr>
              <w:t>500</w:t>
            </w:r>
          </w:p>
        </w:tc>
        <w:tc>
          <w:tcPr>
            <w:tcW w:w="2180" w:type="dxa"/>
            <w:vAlign w:val="center"/>
          </w:tcPr>
          <w:p w14:paraId="5A520099">
            <w:pPr>
              <w:ind w:left="-105" w:right="-105"/>
              <w:jc w:val="center"/>
              <w:textAlignment w:val="center"/>
              <w:rPr>
                <w:rFonts w:hint="eastAsia" w:ascii="Times New Roman" w:hAnsi="Times New Roman" w:cs="Times New Roman"/>
                <w:color w:val="auto"/>
                <w:sz w:val="21"/>
                <w:szCs w:val="21"/>
                <w:highlight w:val="none"/>
              </w:rPr>
            </w:pPr>
            <w:r>
              <w:rPr>
                <w:rFonts w:hint="eastAsia" w:ascii="Times New Roman" w:hAnsi="Times New Roman" w:eastAsia="等线" w:cs="Times New Roman"/>
                <w:color w:val="auto"/>
                <w:sz w:val="21"/>
                <w:szCs w:val="21"/>
                <w:highlight w:val="none"/>
                <w:lang w:val="en-US" w:eastAsia="zh-CN" w:bidi="ar"/>
              </w:rPr>
              <w:t>11</w:t>
            </w:r>
          </w:p>
        </w:tc>
        <w:tc>
          <w:tcPr>
            <w:tcW w:w="2180" w:type="dxa"/>
            <w:vAlign w:val="center"/>
          </w:tcPr>
          <w:p w14:paraId="25D0266E">
            <w:pPr>
              <w:ind w:left="-105" w:right="-105"/>
              <w:jc w:val="center"/>
              <w:textAlignment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0</w:t>
            </w:r>
          </w:p>
        </w:tc>
        <w:tc>
          <w:tcPr>
            <w:tcW w:w="2180" w:type="dxa"/>
            <w:vAlign w:val="center"/>
          </w:tcPr>
          <w:p w14:paraId="318290DE">
            <w:pPr>
              <w:ind w:left="-105" w:right="-105"/>
              <w:jc w:val="center"/>
              <w:textAlignment w:val="center"/>
              <w:rPr>
                <w:rFonts w:ascii="Times New Roman" w:hAnsi="Times New Roman" w:cs="Times New Roman"/>
                <w:bCs/>
                <w:color w:val="auto"/>
                <w:sz w:val="21"/>
                <w:szCs w:val="21"/>
                <w:highlight w:val="none"/>
              </w:rPr>
            </w:pPr>
            <w:r>
              <w:rPr>
                <w:rFonts w:hint="eastAsia" w:ascii="Times New Roman" w:hAnsi="Times New Roman" w:cs="Times New Roman"/>
                <w:bCs/>
                <w:color w:val="auto"/>
                <w:sz w:val="21"/>
                <w:szCs w:val="21"/>
                <w:highlight w:val="none"/>
              </w:rPr>
              <w:t>20</w:t>
            </w:r>
          </w:p>
        </w:tc>
        <w:tc>
          <w:tcPr>
            <w:tcW w:w="2180" w:type="dxa"/>
            <w:vAlign w:val="center"/>
          </w:tcPr>
          <w:p w14:paraId="08C3DC15">
            <w:pPr>
              <w:ind w:left="-105" w:right="-105"/>
              <w:jc w:val="center"/>
              <w:textAlignment w:val="center"/>
              <w:rPr>
                <w:rFonts w:ascii="Times New Roman" w:hAnsi="Times New Roman" w:cs="Times New Roman"/>
                <w:bCs/>
                <w:color w:val="auto"/>
                <w:sz w:val="21"/>
                <w:szCs w:val="21"/>
                <w:highlight w:val="none"/>
              </w:rPr>
            </w:pPr>
            <w:r>
              <w:rPr>
                <w:rFonts w:hint="eastAsia" w:ascii="Times New Roman" w:hAnsi="Times New Roman" w:cs="Times New Roman"/>
                <w:bCs/>
                <w:color w:val="auto"/>
                <w:sz w:val="21"/>
                <w:szCs w:val="21"/>
                <w:highlight w:val="none"/>
              </w:rPr>
              <w:t xml:space="preserve">55.00 </w:t>
            </w:r>
          </w:p>
        </w:tc>
      </w:tr>
      <w:tr w14:paraId="229FBC7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4" w:hRule="atLeast"/>
          <w:jc w:val="center"/>
        </w:trPr>
        <w:tc>
          <w:tcPr>
            <w:tcW w:w="2180" w:type="dxa"/>
            <w:vAlign w:val="center"/>
          </w:tcPr>
          <w:p w14:paraId="3593864E">
            <w:pPr>
              <w:adjustRightInd w:val="0"/>
              <w:snapToGrid w:val="0"/>
              <w:ind w:left="-105" w:right="-105"/>
              <w:jc w:val="center"/>
              <w:rPr>
                <w:rFonts w:ascii="Times New Roman" w:hAnsi="Times New Roman" w:cs="Times New Roman"/>
                <w:bCs/>
                <w:color w:val="auto"/>
                <w:sz w:val="21"/>
                <w:szCs w:val="21"/>
                <w:highlight w:val="none"/>
              </w:rPr>
            </w:pPr>
            <w:r>
              <w:rPr>
                <w:rFonts w:ascii="Times New Roman" w:hAnsi="Times New Roman" w:eastAsia="等线" w:cs="Times New Roman"/>
                <w:color w:val="auto"/>
                <w:sz w:val="21"/>
                <w:szCs w:val="21"/>
                <w:highlight w:val="none"/>
              </w:rPr>
              <w:t>1000</w:t>
            </w:r>
          </w:p>
        </w:tc>
        <w:tc>
          <w:tcPr>
            <w:tcW w:w="2180" w:type="dxa"/>
            <w:vAlign w:val="center"/>
          </w:tcPr>
          <w:p w14:paraId="26B21002">
            <w:pPr>
              <w:ind w:left="-105" w:right="-105"/>
              <w:jc w:val="center"/>
              <w:textAlignment w:val="center"/>
              <w:rPr>
                <w:rFonts w:hint="eastAsia" w:ascii="Times New Roman" w:hAnsi="Times New Roman" w:cs="Times New Roman"/>
                <w:color w:val="auto"/>
                <w:sz w:val="21"/>
                <w:szCs w:val="21"/>
                <w:highlight w:val="none"/>
              </w:rPr>
            </w:pPr>
            <w:r>
              <w:rPr>
                <w:rFonts w:hint="eastAsia" w:ascii="Times New Roman" w:hAnsi="Times New Roman" w:eastAsia="等线" w:cs="Times New Roman"/>
                <w:color w:val="auto"/>
                <w:sz w:val="21"/>
                <w:szCs w:val="21"/>
                <w:highlight w:val="none"/>
                <w:lang w:val="en-US" w:eastAsia="zh-CN" w:bidi="ar"/>
              </w:rPr>
              <w:t>11</w:t>
            </w:r>
          </w:p>
        </w:tc>
        <w:tc>
          <w:tcPr>
            <w:tcW w:w="2180" w:type="dxa"/>
            <w:vAlign w:val="center"/>
          </w:tcPr>
          <w:p w14:paraId="6537DC84">
            <w:pPr>
              <w:ind w:left="-105" w:right="-105"/>
              <w:jc w:val="center"/>
              <w:textAlignment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0</w:t>
            </w:r>
          </w:p>
        </w:tc>
        <w:tc>
          <w:tcPr>
            <w:tcW w:w="2180" w:type="dxa"/>
            <w:vAlign w:val="center"/>
          </w:tcPr>
          <w:p w14:paraId="3E3B9518">
            <w:pPr>
              <w:ind w:left="-105" w:right="-105"/>
              <w:jc w:val="center"/>
              <w:textAlignment w:val="center"/>
              <w:rPr>
                <w:rFonts w:ascii="Times New Roman" w:hAnsi="Times New Roman" w:cs="Times New Roman"/>
                <w:bCs/>
                <w:color w:val="auto"/>
                <w:sz w:val="21"/>
                <w:szCs w:val="21"/>
                <w:highlight w:val="none"/>
              </w:rPr>
            </w:pPr>
            <w:r>
              <w:rPr>
                <w:rFonts w:hint="eastAsia" w:ascii="Times New Roman" w:hAnsi="Times New Roman" w:cs="Times New Roman"/>
                <w:bCs/>
                <w:color w:val="auto"/>
                <w:sz w:val="21"/>
                <w:szCs w:val="21"/>
                <w:highlight w:val="none"/>
              </w:rPr>
              <w:t>20</w:t>
            </w:r>
          </w:p>
        </w:tc>
        <w:tc>
          <w:tcPr>
            <w:tcW w:w="2180" w:type="dxa"/>
            <w:vAlign w:val="center"/>
          </w:tcPr>
          <w:p w14:paraId="793F4380">
            <w:pPr>
              <w:ind w:left="-105" w:right="-105"/>
              <w:jc w:val="center"/>
              <w:textAlignment w:val="center"/>
              <w:rPr>
                <w:rFonts w:ascii="Times New Roman" w:hAnsi="Times New Roman" w:cs="Times New Roman"/>
                <w:bCs/>
                <w:color w:val="auto"/>
                <w:sz w:val="21"/>
                <w:szCs w:val="21"/>
                <w:highlight w:val="none"/>
              </w:rPr>
            </w:pPr>
            <w:r>
              <w:rPr>
                <w:rFonts w:hint="eastAsia" w:ascii="Times New Roman" w:hAnsi="Times New Roman" w:cs="Times New Roman"/>
                <w:bCs/>
                <w:color w:val="auto"/>
                <w:sz w:val="21"/>
                <w:szCs w:val="21"/>
                <w:highlight w:val="none"/>
              </w:rPr>
              <w:t xml:space="preserve">55.00 </w:t>
            </w:r>
          </w:p>
        </w:tc>
      </w:tr>
      <w:tr w14:paraId="5FB67C3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4" w:hRule="atLeast"/>
          <w:jc w:val="center"/>
        </w:trPr>
        <w:tc>
          <w:tcPr>
            <w:tcW w:w="2180" w:type="dxa"/>
            <w:vAlign w:val="center"/>
          </w:tcPr>
          <w:p w14:paraId="0AD050A2">
            <w:pPr>
              <w:adjustRightInd w:val="0"/>
              <w:snapToGrid w:val="0"/>
              <w:ind w:left="-105" w:right="-105"/>
              <w:jc w:val="center"/>
              <w:rPr>
                <w:rFonts w:ascii="Times New Roman" w:hAnsi="Times New Roman" w:cs="Times New Roman"/>
                <w:bCs/>
                <w:color w:val="auto"/>
                <w:sz w:val="21"/>
                <w:szCs w:val="21"/>
                <w:highlight w:val="none"/>
              </w:rPr>
            </w:pPr>
            <w:r>
              <w:rPr>
                <w:rFonts w:ascii="Times New Roman" w:hAnsi="Times New Roman" w:eastAsia="等线" w:cs="Times New Roman"/>
                <w:color w:val="auto"/>
                <w:sz w:val="21"/>
                <w:szCs w:val="21"/>
                <w:highlight w:val="none"/>
              </w:rPr>
              <w:t>2000</w:t>
            </w:r>
          </w:p>
        </w:tc>
        <w:tc>
          <w:tcPr>
            <w:tcW w:w="2180" w:type="dxa"/>
            <w:vAlign w:val="center"/>
          </w:tcPr>
          <w:p w14:paraId="5807054B">
            <w:pPr>
              <w:ind w:left="-105" w:right="-105"/>
              <w:jc w:val="center"/>
              <w:textAlignment w:val="center"/>
              <w:rPr>
                <w:rFonts w:hint="eastAsia" w:ascii="Times New Roman" w:hAnsi="Times New Roman" w:cs="Times New Roman"/>
                <w:color w:val="auto"/>
                <w:sz w:val="21"/>
                <w:szCs w:val="21"/>
                <w:highlight w:val="none"/>
              </w:rPr>
            </w:pPr>
            <w:r>
              <w:rPr>
                <w:rFonts w:hint="eastAsia" w:ascii="Times New Roman" w:hAnsi="Times New Roman" w:eastAsia="等线" w:cs="Times New Roman"/>
                <w:color w:val="auto"/>
                <w:sz w:val="21"/>
                <w:szCs w:val="21"/>
                <w:highlight w:val="none"/>
                <w:lang w:val="en-US" w:eastAsia="zh-CN" w:bidi="ar"/>
              </w:rPr>
              <w:t>11</w:t>
            </w:r>
          </w:p>
        </w:tc>
        <w:tc>
          <w:tcPr>
            <w:tcW w:w="2180" w:type="dxa"/>
            <w:vAlign w:val="center"/>
          </w:tcPr>
          <w:p w14:paraId="51FD2140">
            <w:pPr>
              <w:ind w:left="-105" w:right="-105"/>
              <w:jc w:val="center"/>
              <w:textAlignment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0</w:t>
            </w:r>
          </w:p>
        </w:tc>
        <w:tc>
          <w:tcPr>
            <w:tcW w:w="2180" w:type="dxa"/>
            <w:vAlign w:val="center"/>
          </w:tcPr>
          <w:p w14:paraId="3B45E41C">
            <w:pPr>
              <w:ind w:left="-105" w:right="-105"/>
              <w:jc w:val="center"/>
              <w:textAlignment w:val="center"/>
              <w:rPr>
                <w:rFonts w:ascii="Times New Roman" w:hAnsi="Times New Roman" w:cs="Times New Roman"/>
                <w:bCs/>
                <w:color w:val="auto"/>
                <w:sz w:val="21"/>
                <w:szCs w:val="21"/>
                <w:highlight w:val="none"/>
              </w:rPr>
            </w:pPr>
            <w:r>
              <w:rPr>
                <w:rFonts w:hint="eastAsia" w:ascii="Times New Roman" w:hAnsi="Times New Roman" w:cs="Times New Roman"/>
                <w:bCs/>
                <w:color w:val="auto"/>
                <w:sz w:val="21"/>
                <w:szCs w:val="21"/>
                <w:highlight w:val="none"/>
              </w:rPr>
              <w:t>20</w:t>
            </w:r>
          </w:p>
        </w:tc>
        <w:tc>
          <w:tcPr>
            <w:tcW w:w="2180" w:type="dxa"/>
            <w:vAlign w:val="center"/>
          </w:tcPr>
          <w:p w14:paraId="430CFA6D">
            <w:pPr>
              <w:ind w:left="-105" w:right="-105"/>
              <w:jc w:val="center"/>
              <w:textAlignment w:val="center"/>
              <w:rPr>
                <w:rFonts w:ascii="Times New Roman" w:hAnsi="Times New Roman" w:cs="Times New Roman"/>
                <w:bCs/>
                <w:color w:val="auto"/>
                <w:sz w:val="21"/>
                <w:szCs w:val="21"/>
                <w:highlight w:val="none"/>
              </w:rPr>
            </w:pPr>
            <w:r>
              <w:rPr>
                <w:rFonts w:hint="eastAsia" w:ascii="Times New Roman" w:hAnsi="Times New Roman" w:cs="Times New Roman"/>
                <w:bCs/>
                <w:color w:val="auto"/>
                <w:sz w:val="21"/>
                <w:szCs w:val="21"/>
                <w:highlight w:val="none"/>
              </w:rPr>
              <w:t xml:space="preserve">55.00 </w:t>
            </w:r>
          </w:p>
        </w:tc>
      </w:tr>
      <w:tr w14:paraId="1B04D5C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4" w:hRule="atLeast"/>
          <w:jc w:val="center"/>
        </w:trPr>
        <w:tc>
          <w:tcPr>
            <w:tcW w:w="2180" w:type="dxa"/>
            <w:vAlign w:val="center"/>
          </w:tcPr>
          <w:p w14:paraId="336962F8">
            <w:pPr>
              <w:adjustRightInd w:val="0"/>
              <w:snapToGrid w:val="0"/>
              <w:ind w:left="-105" w:right="-105"/>
              <w:jc w:val="center"/>
              <w:rPr>
                <w:rFonts w:ascii="Times New Roman" w:hAnsi="Times New Roman" w:cs="Times New Roman"/>
                <w:bCs/>
                <w:color w:val="auto"/>
                <w:sz w:val="21"/>
                <w:szCs w:val="21"/>
                <w:highlight w:val="none"/>
              </w:rPr>
            </w:pPr>
            <w:r>
              <w:rPr>
                <w:rFonts w:ascii="Times New Roman" w:hAnsi="Times New Roman" w:eastAsia="等线" w:cs="Times New Roman"/>
                <w:color w:val="auto"/>
                <w:sz w:val="21"/>
                <w:szCs w:val="21"/>
                <w:highlight w:val="none"/>
              </w:rPr>
              <w:t>5000</w:t>
            </w:r>
          </w:p>
        </w:tc>
        <w:tc>
          <w:tcPr>
            <w:tcW w:w="2180" w:type="dxa"/>
            <w:vAlign w:val="center"/>
          </w:tcPr>
          <w:p w14:paraId="75403284">
            <w:pPr>
              <w:ind w:left="-105" w:right="-105"/>
              <w:jc w:val="center"/>
              <w:textAlignment w:val="center"/>
              <w:rPr>
                <w:rFonts w:hint="eastAsia" w:ascii="Times New Roman" w:hAnsi="Times New Roman" w:cs="Times New Roman"/>
                <w:color w:val="auto"/>
                <w:sz w:val="21"/>
                <w:szCs w:val="21"/>
                <w:highlight w:val="none"/>
              </w:rPr>
            </w:pPr>
            <w:r>
              <w:rPr>
                <w:rFonts w:hint="eastAsia" w:ascii="Times New Roman" w:hAnsi="Times New Roman" w:eastAsia="等线" w:cs="Times New Roman"/>
                <w:color w:val="auto"/>
                <w:sz w:val="21"/>
                <w:szCs w:val="21"/>
                <w:highlight w:val="none"/>
                <w:lang w:val="en-US" w:eastAsia="zh-CN" w:bidi="ar"/>
              </w:rPr>
              <w:t>11</w:t>
            </w:r>
          </w:p>
        </w:tc>
        <w:tc>
          <w:tcPr>
            <w:tcW w:w="2180" w:type="dxa"/>
            <w:vAlign w:val="center"/>
          </w:tcPr>
          <w:p w14:paraId="1F46535C">
            <w:pPr>
              <w:ind w:left="-105" w:right="-105"/>
              <w:jc w:val="center"/>
              <w:textAlignment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0</w:t>
            </w:r>
          </w:p>
        </w:tc>
        <w:tc>
          <w:tcPr>
            <w:tcW w:w="2180" w:type="dxa"/>
            <w:vAlign w:val="center"/>
          </w:tcPr>
          <w:p w14:paraId="52F9062A">
            <w:pPr>
              <w:ind w:left="-105" w:right="-105"/>
              <w:jc w:val="center"/>
              <w:textAlignment w:val="center"/>
              <w:rPr>
                <w:rFonts w:ascii="Times New Roman" w:hAnsi="Times New Roman" w:cs="Times New Roman"/>
                <w:bCs/>
                <w:color w:val="auto"/>
                <w:sz w:val="21"/>
                <w:szCs w:val="21"/>
                <w:highlight w:val="none"/>
              </w:rPr>
            </w:pPr>
            <w:r>
              <w:rPr>
                <w:rFonts w:hint="eastAsia" w:ascii="Times New Roman" w:hAnsi="Times New Roman" w:cs="Times New Roman"/>
                <w:bCs/>
                <w:color w:val="auto"/>
                <w:sz w:val="21"/>
                <w:szCs w:val="21"/>
                <w:highlight w:val="none"/>
              </w:rPr>
              <w:t>20</w:t>
            </w:r>
          </w:p>
        </w:tc>
        <w:tc>
          <w:tcPr>
            <w:tcW w:w="2180" w:type="dxa"/>
            <w:vAlign w:val="center"/>
          </w:tcPr>
          <w:p w14:paraId="3340B4DA">
            <w:pPr>
              <w:ind w:left="-105" w:right="-105"/>
              <w:jc w:val="center"/>
              <w:textAlignment w:val="center"/>
              <w:rPr>
                <w:rFonts w:ascii="Times New Roman" w:hAnsi="Times New Roman" w:cs="Times New Roman"/>
                <w:bCs/>
                <w:color w:val="auto"/>
                <w:sz w:val="21"/>
                <w:szCs w:val="21"/>
                <w:highlight w:val="none"/>
              </w:rPr>
            </w:pPr>
            <w:r>
              <w:rPr>
                <w:rFonts w:hint="eastAsia" w:ascii="Times New Roman" w:hAnsi="Times New Roman" w:cs="Times New Roman"/>
                <w:bCs/>
                <w:color w:val="auto"/>
                <w:sz w:val="21"/>
                <w:szCs w:val="21"/>
                <w:highlight w:val="none"/>
              </w:rPr>
              <w:t xml:space="preserve">55.00 </w:t>
            </w:r>
          </w:p>
        </w:tc>
      </w:tr>
      <w:tr w14:paraId="06BED4B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2" w:hRule="atLeast"/>
          <w:jc w:val="center"/>
        </w:trPr>
        <w:tc>
          <w:tcPr>
            <w:tcW w:w="2180" w:type="dxa"/>
            <w:vAlign w:val="center"/>
          </w:tcPr>
          <w:p w14:paraId="14EA8947">
            <w:pPr>
              <w:adjustRightInd w:val="0"/>
              <w:snapToGrid w:val="0"/>
              <w:ind w:left="-105" w:right="-105"/>
              <w:jc w:val="center"/>
              <w:rPr>
                <w:rFonts w:ascii="Times New Roman" w:hAnsi="Times New Roman" w:cs="Times New Roman"/>
                <w:bCs/>
                <w:color w:val="auto"/>
                <w:sz w:val="21"/>
                <w:szCs w:val="21"/>
                <w:highlight w:val="none"/>
              </w:rPr>
            </w:pPr>
            <w:r>
              <w:rPr>
                <w:rFonts w:ascii="Times New Roman" w:hAnsi="Times New Roman" w:eastAsia="等线" w:cs="Times New Roman"/>
                <w:color w:val="auto"/>
                <w:sz w:val="21"/>
                <w:szCs w:val="21"/>
                <w:highlight w:val="none"/>
              </w:rPr>
              <w:t>10000</w:t>
            </w:r>
          </w:p>
        </w:tc>
        <w:tc>
          <w:tcPr>
            <w:tcW w:w="2180" w:type="dxa"/>
            <w:vAlign w:val="center"/>
          </w:tcPr>
          <w:p w14:paraId="184F0D66">
            <w:pPr>
              <w:ind w:left="-105" w:right="-105"/>
              <w:jc w:val="center"/>
              <w:textAlignment w:val="center"/>
              <w:rPr>
                <w:rFonts w:hint="eastAsia" w:ascii="Times New Roman" w:hAnsi="Times New Roman" w:cs="Times New Roman"/>
                <w:color w:val="auto"/>
                <w:sz w:val="21"/>
                <w:szCs w:val="21"/>
                <w:highlight w:val="none"/>
              </w:rPr>
            </w:pPr>
            <w:r>
              <w:rPr>
                <w:rFonts w:hint="eastAsia" w:ascii="Times New Roman" w:hAnsi="Times New Roman" w:eastAsia="等线" w:cs="Times New Roman"/>
                <w:color w:val="auto"/>
                <w:sz w:val="21"/>
                <w:szCs w:val="21"/>
                <w:highlight w:val="none"/>
                <w:lang w:val="en-US" w:eastAsia="zh-CN" w:bidi="ar"/>
              </w:rPr>
              <w:t>11</w:t>
            </w:r>
          </w:p>
        </w:tc>
        <w:tc>
          <w:tcPr>
            <w:tcW w:w="2180" w:type="dxa"/>
            <w:vAlign w:val="center"/>
          </w:tcPr>
          <w:p w14:paraId="15803FCD">
            <w:pPr>
              <w:ind w:left="-105" w:right="-105"/>
              <w:jc w:val="center"/>
              <w:textAlignment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0</w:t>
            </w:r>
          </w:p>
        </w:tc>
        <w:tc>
          <w:tcPr>
            <w:tcW w:w="2180" w:type="dxa"/>
            <w:vAlign w:val="center"/>
          </w:tcPr>
          <w:p w14:paraId="5F760306">
            <w:pPr>
              <w:ind w:left="-105" w:right="-105"/>
              <w:jc w:val="center"/>
              <w:textAlignment w:val="center"/>
              <w:rPr>
                <w:rFonts w:ascii="Times New Roman" w:hAnsi="Times New Roman" w:cs="Times New Roman"/>
                <w:color w:val="auto"/>
                <w:sz w:val="21"/>
                <w:szCs w:val="21"/>
                <w:highlight w:val="none"/>
                <w:lang w:bidi="ar"/>
              </w:rPr>
            </w:pPr>
            <w:r>
              <w:rPr>
                <w:rFonts w:hint="eastAsia" w:ascii="Times New Roman" w:hAnsi="Times New Roman" w:cs="Times New Roman"/>
                <w:bCs/>
                <w:color w:val="auto"/>
                <w:sz w:val="21"/>
                <w:szCs w:val="21"/>
                <w:highlight w:val="none"/>
              </w:rPr>
              <w:t>20</w:t>
            </w:r>
          </w:p>
        </w:tc>
        <w:tc>
          <w:tcPr>
            <w:tcW w:w="2180" w:type="dxa"/>
            <w:vAlign w:val="center"/>
          </w:tcPr>
          <w:p w14:paraId="320BB352">
            <w:pPr>
              <w:ind w:left="-105" w:right="-105"/>
              <w:jc w:val="center"/>
              <w:textAlignment w:val="center"/>
              <w:rPr>
                <w:rFonts w:ascii="Times New Roman" w:hAnsi="Times New Roman" w:cs="Times New Roman"/>
                <w:bCs/>
                <w:color w:val="auto"/>
                <w:sz w:val="21"/>
                <w:szCs w:val="21"/>
                <w:highlight w:val="none"/>
              </w:rPr>
            </w:pPr>
            <w:r>
              <w:rPr>
                <w:rFonts w:hint="eastAsia" w:ascii="Times New Roman" w:hAnsi="Times New Roman" w:cs="Times New Roman"/>
                <w:bCs/>
                <w:color w:val="auto"/>
                <w:sz w:val="21"/>
                <w:szCs w:val="21"/>
                <w:highlight w:val="none"/>
              </w:rPr>
              <w:t xml:space="preserve">55.00 </w:t>
            </w:r>
          </w:p>
        </w:tc>
      </w:tr>
    </w:tbl>
    <w:p w14:paraId="6B02A154">
      <w:pPr>
        <w:pStyle w:val="15"/>
        <w:ind w:left="-105" w:right="-105" w:firstLine="482"/>
        <w:rPr>
          <w:rFonts w:eastAsia="宋体"/>
          <w:color w:val="auto"/>
          <w:sz w:val="24"/>
          <w:szCs w:val="24"/>
          <w:highlight w:val="none"/>
        </w:rPr>
      </w:pPr>
      <w:r>
        <w:rPr>
          <w:rFonts w:eastAsia="宋体"/>
          <w:color w:val="auto"/>
          <w:sz w:val="24"/>
          <w:szCs w:val="24"/>
          <w:highlight w:val="none"/>
        </w:rPr>
        <w:t>表</w:t>
      </w:r>
      <w:r>
        <w:rPr>
          <w:rFonts w:eastAsia="宋体"/>
          <w:color w:val="auto"/>
          <w:sz w:val="24"/>
          <w:szCs w:val="24"/>
          <w:highlight w:val="none"/>
        </w:rPr>
        <w:fldChar w:fldCharType="begin"/>
      </w:r>
      <w:r>
        <w:rPr>
          <w:rFonts w:eastAsia="宋体"/>
          <w:color w:val="auto"/>
          <w:sz w:val="24"/>
          <w:szCs w:val="24"/>
          <w:highlight w:val="none"/>
        </w:rPr>
        <w:instrText xml:space="preserve"> STYLEREF 2 \s </w:instrText>
      </w:r>
      <w:r>
        <w:rPr>
          <w:rFonts w:eastAsia="宋体"/>
          <w:color w:val="auto"/>
          <w:sz w:val="24"/>
          <w:szCs w:val="24"/>
          <w:highlight w:val="none"/>
        </w:rPr>
        <w:fldChar w:fldCharType="separate"/>
      </w:r>
      <w:r>
        <w:rPr>
          <w:rFonts w:eastAsia="宋体"/>
          <w:color w:val="auto"/>
          <w:sz w:val="24"/>
          <w:szCs w:val="24"/>
          <w:highlight w:val="none"/>
        </w:rPr>
        <w:t>6.7</w:t>
      </w:r>
      <w:r>
        <w:rPr>
          <w:rFonts w:eastAsia="宋体"/>
          <w:color w:val="auto"/>
          <w:sz w:val="24"/>
          <w:szCs w:val="24"/>
          <w:highlight w:val="none"/>
        </w:rPr>
        <w:fldChar w:fldCharType="end"/>
      </w:r>
      <w:r>
        <w:rPr>
          <w:rFonts w:eastAsia="宋体"/>
          <w:color w:val="auto"/>
          <w:sz w:val="24"/>
          <w:szCs w:val="24"/>
          <w:highlight w:val="none"/>
        </w:rPr>
        <w:noBreakHyphen/>
      </w:r>
      <w:r>
        <w:rPr>
          <w:rFonts w:eastAsia="宋体"/>
          <w:color w:val="auto"/>
          <w:sz w:val="24"/>
          <w:szCs w:val="24"/>
          <w:highlight w:val="none"/>
        </w:rPr>
        <w:fldChar w:fldCharType="begin"/>
      </w:r>
      <w:r>
        <w:rPr>
          <w:rFonts w:eastAsia="宋体"/>
          <w:color w:val="auto"/>
          <w:sz w:val="24"/>
          <w:szCs w:val="24"/>
          <w:highlight w:val="none"/>
        </w:rPr>
        <w:instrText xml:space="preserve"> SEQ 表 \* ARABIC \s 2 </w:instrText>
      </w:r>
      <w:r>
        <w:rPr>
          <w:rFonts w:eastAsia="宋体"/>
          <w:color w:val="auto"/>
          <w:sz w:val="24"/>
          <w:szCs w:val="24"/>
          <w:highlight w:val="none"/>
        </w:rPr>
        <w:fldChar w:fldCharType="separate"/>
      </w:r>
      <w:r>
        <w:rPr>
          <w:rFonts w:eastAsia="宋体"/>
          <w:color w:val="auto"/>
          <w:sz w:val="24"/>
          <w:szCs w:val="24"/>
          <w:highlight w:val="none"/>
        </w:rPr>
        <w:t>4</w:t>
      </w:r>
      <w:r>
        <w:rPr>
          <w:rFonts w:eastAsia="宋体"/>
          <w:color w:val="auto"/>
          <w:sz w:val="24"/>
          <w:szCs w:val="24"/>
          <w:highlight w:val="none"/>
        </w:rPr>
        <w:fldChar w:fldCharType="end"/>
      </w:r>
      <w:r>
        <w:rPr>
          <w:rFonts w:hint="eastAsia" w:eastAsia="宋体"/>
          <w:color w:val="auto"/>
          <w:sz w:val="24"/>
          <w:szCs w:val="24"/>
          <w:highlight w:val="none"/>
          <w:lang w:val="en-US" w:eastAsia="zh-CN"/>
        </w:rPr>
        <w:t>COD</w:t>
      </w:r>
      <w:r>
        <w:rPr>
          <w:rFonts w:hint="eastAsia" w:eastAsia="宋体"/>
          <w:color w:val="auto"/>
          <w:sz w:val="24"/>
          <w:szCs w:val="24"/>
          <w:highlight w:val="none"/>
        </w:rPr>
        <w:t>在不同时段运移计算结果</w:t>
      </w:r>
    </w:p>
    <w:tbl>
      <w:tblPr>
        <w:tblStyle w:val="45"/>
        <w:tblW w:w="4998" w:type="pct"/>
        <w:jc w:val="center"/>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Layout w:type="autofit"/>
        <w:tblCellMar>
          <w:top w:w="0" w:type="dxa"/>
          <w:left w:w="108" w:type="dxa"/>
          <w:bottom w:w="0" w:type="dxa"/>
          <w:right w:w="108" w:type="dxa"/>
        </w:tblCellMar>
      </w:tblPr>
      <w:tblGrid>
        <w:gridCol w:w="1497"/>
        <w:gridCol w:w="1276"/>
        <w:gridCol w:w="1610"/>
        <w:gridCol w:w="1445"/>
        <w:gridCol w:w="1448"/>
        <w:gridCol w:w="1441"/>
      </w:tblGrid>
      <w:tr w14:paraId="149D238C">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40" w:hRule="atLeast"/>
          <w:tblHeader/>
          <w:jc w:val="center"/>
        </w:trPr>
        <w:tc>
          <w:tcPr>
            <w:tcW w:w="1497" w:type="dxa"/>
            <w:vAlign w:val="center"/>
          </w:tcPr>
          <w:p w14:paraId="0370FD17">
            <w:pPr>
              <w:ind w:left="-105" w:right="-105"/>
              <w:jc w:val="center"/>
              <w:rPr>
                <w:rFonts w:ascii="Times New Roman" w:hAnsi="Times New Roman" w:cs="Times New Roman"/>
                <w:b/>
                <w:bCs/>
                <w:color w:val="auto"/>
                <w:sz w:val="21"/>
                <w:szCs w:val="21"/>
                <w:highlight w:val="none"/>
              </w:rPr>
            </w:pPr>
            <w:r>
              <w:rPr>
                <w:rFonts w:ascii="Times New Roman" w:hAnsi="Times New Roman" w:cs="Times New Roman"/>
                <w:b/>
                <w:bCs/>
                <w:color w:val="auto"/>
                <w:sz w:val="21"/>
                <w:szCs w:val="21"/>
                <w:highlight w:val="none"/>
              </w:rPr>
              <w:t>时间</w:t>
            </w:r>
          </w:p>
        </w:tc>
        <w:tc>
          <w:tcPr>
            <w:tcW w:w="1276" w:type="dxa"/>
            <w:vAlign w:val="center"/>
          </w:tcPr>
          <w:p w14:paraId="193F3E90">
            <w:pPr>
              <w:ind w:left="-105" w:right="-105"/>
              <w:jc w:val="center"/>
              <w:rPr>
                <w:rFonts w:ascii="Times New Roman" w:hAnsi="Times New Roman" w:cs="Times New Roman"/>
                <w:b/>
                <w:bCs/>
                <w:color w:val="auto"/>
                <w:sz w:val="21"/>
                <w:szCs w:val="21"/>
                <w:highlight w:val="none"/>
              </w:rPr>
            </w:pPr>
            <w:r>
              <w:rPr>
                <w:rFonts w:ascii="Times New Roman" w:hAnsi="Times New Roman" w:cs="Times New Roman"/>
                <w:b/>
                <w:bCs/>
                <w:color w:val="auto"/>
                <w:sz w:val="21"/>
                <w:szCs w:val="21"/>
                <w:highlight w:val="none"/>
              </w:rPr>
              <w:t>距离（m）</w:t>
            </w:r>
          </w:p>
        </w:tc>
        <w:tc>
          <w:tcPr>
            <w:tcW w:w="1610" w:type="dxa"/>
            <w:vAlign w:val="center"/>
          </w:tcPr>
          <w:p w14:paraId="7D5ACA13">
            <w:pPr>
              <w:adjustRightInd w:val="0"/>
              <w:snapToGrid w:val="0"/>
              <w:ind w:left="-105" w:leftChars="0" w:right="-105" w:rightChars="0"/>
              <w:jc w:val="center"/>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本底值</w:t>
            </w:r>
            <w:r>
              <w:rPr>
                <w:rFonts w:hint="default" w:ascii="Times New Roman" w:hAnsi="Times New Roman" w:eastAsia="宋体" w:cs="Times New Roman"/>
                <w:b/>
                <w:color w:val="auto"/>
                <w:sz w:val="21"/>
                <w:szCs w:val="21"/>
                <w:highlight w:val="none"/>
              </w:rPr>
              <w:t>（mg/L）</w:t>
            </w:r>
          </w:p>
        </w:tc>
        <w:tc>
          <w:tcPr>
            <w:tcW w:w="1445" w:type="dxa"/>
            <w:vAlign w:val="center"/>
          </w:tcPr>
          <w:p w14:paraId="77FC64E4">
            <w:pPr>
              <w:adjustRightInd w:val="0"/>
              <w:snapToGrid w:val="0"/>
              <w:ind w:left="-105" w:right="-105"/>
              <w:jc w:val="center"/>
              <w:rPr>
                <w:rFonts w:ascii="Times New Roman" w:hAnsi="Times New Roman" w:cs="Times New Roman"/>
                <w:b/>
                <w:bCs/>
                <w:color w:val="auto"/>
                <w:sz w:val="21"/>
                <w:szCs w:val="21"/>
                <w:highlight w:val="none"/>
              </w:rPr>
            </w:pPr>
            <w:r>
              <w:rPr>
                <w:rFonts w:hint="default" w:ascii="Times New Roman" w:hAnsi="Times New Roman" w:eastAsia="宋体" w:cs="Times New Roman"/>
                <w:b/>
                <w:bCs/>
                <w:color w:val="auto"/>
                <w:sz w:val="21"/>
                <w:szCs w:val="21"/>
                <w:highlight w:val="none"/>
                <w:lang w:val="en-US" w:eastAsia="zh-CN"/>
              </w:rPr>
              <w:t>预测</w:t>
            </w:r>
            <w:r>
              <w:rPr>
                <w:rFonts w:hint="eastAsia" w:ascii="Times New Roman" w:hAnsi="Times New Roman" w:cs="Times New Roman"/>
                <w:b/>
                <w:bCs/>
                <w:color w:val="auto"/>
                <w:sz w:val="21"/>
                <w:szCs w:val="21"/>
                <w:highlight w:val="none"/>
                <w:lang w:val="en-US" w:eastAsia="zh-CN"/>
              </w:rPr>
              <w:t>增量</w:t>
            </w:r>
            <w:r>
              <w:rPr>
                <w:rFonts w:hint="default" w:ascii="Times New Roman" w:hAnsi="Times New Roman" w:eastAsia="宋体" w:cs="Times New Roman"/>
                <w:b/>
                <w:color w:val="auto"/>
                <w:sz w:val="21"/>
                <w:szCs w:val="21"/>
                <w:highlight w:val="none"/>
              </w:rPr>
              <w:t>（mg/L）</w:t>
            </w:r>
          </w:p>
        </w:tc>
        <w:tc>
          <w:tcPr>
            <w:tcW w:w="1448" w:type="dxa"/>
            <w:vAlign w:val="center"/>
          </w:tcPr>
          <w:p w14:paraId="16740270">
            <w:pPr>
              <w:adjustRightInd w:val="0"/>
              <w:snapToGrid w:val="0"/>
              <w:ind w:left="-105" w:right="-105"/>
              <w:jc w:val="center"/>
              <w:rPr>
                <w:rFonts w:ascii="Times New Roman" w:hAnsi="Times New Roman" w:cs="Times New Roman"/>
                <w:b/>
                <w:bCs/>
                <w:color w:val="auto"/>
                <w:sz w:val="21"/>
                <w:szCs w:val="21"/>
                <w:highlight w:val="none"/>
              </w:rPr>
            </w:pPr>
            <w:r>
              <w:rPr>
                <w:rFonts w:hint="eastAsia" w:ascii="Times New Roman" w:hAnsi="Times New Roman" w:cs="Times New Roman"/>
                <w:b/>
                <w:color w:val="auto"/>
                <w:sz w:val="21"/>
                <w:szCs w:val="21"/>
                <w:highlight w:val="none"/>
                <w:lang w:val="en-US" w:eastAsia="zh-CN"/>
              </w:rPr>
              <w:t>标准值</w:t>
            </w:r>
            <w:r>
              <w:rPr>
                <w:rFonts w:ascii="Times New Roman" w:hAnsi="Times New Roman" w:cs="Times New Roman"/>
                <w:b/>
                <w:color w:val="auto"/>
                <w:sz w:val="21"/>
                <w:szCs w:val="21"/>
                <w:highlight w:val="none"/>
              </w:rPr>
              <w:t>（mg/L）</w:t>
            </w:r>
          </w:p>
        </w:tc>
        <w:tc>
          <w:tcPr>
            <w:tcW w:w="1441" w:type="dxa"/>
            <w:vAlign w:val="center"/>
          </w:tcPr>
          <w:p w14:paraId="1D98A40D">
            <w:pPr>
              <w:adjustRightInd w:val="0"/>
              <w:snapToGrid w:val="0"/>
              <w:ind w:left="-105" w:right="-105"/>
              <w:jc w:val="center"/>
              <w:rPr>
                <w:rFonts w:ascii="Times New Roman" w:hAnsi="Times New Roman" w:cs="Times New Roman"/>
                <w:b/>
                <w:bCs/>
                <w:color w:val="auto"/>
                <w:sz w:val="21"/>
                <w:szCs w:val="21"/>
                <w:highlight w:val="none"/>
              </w:rPr>
            </w:pPr>
            <w:r>
              <w:rPr>
                <w:rFonts w:ascii="Times New Roman" w:hAnsi="Times New Roman" w:cs="Times New Roman"/>
                <w:b/>
                <w:color w:val="auto"/>
                <w:sz w:val="21"/>
                <w:szCs w:val="21"/>
                <w:highlight w:val="none"/>
              </w:rPr>
              <w:t>占标率%</w:t>
            </w:r>
          </w:p>
        </w:tc>
      </w:tr>
      <w:tr w14:paraId="4F36EBBD">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40" w:hRule="atLeast"/>
          <w:jc w:val="center"/>
        </w:trPr>
        <w:tc>
          <w:tcPr>
            <w:tcW w:w="1497" w:type="dxa"/>
            <w:vAlign w:val="center"/>
          </w:tcPr>
          <w:p w14:paraId="68D902A7">
            <w:pPr>
              <w:ind w:left="-105" w:right="-105"/>
              <w:jc w:val="center"/>
              <w:textAlignment w:val="center"/>
              <w:rPr>
                <w:rFonts w:ascii="Times New Roman" w:hAnsi="Times New Roman" w:cs="Times New Roman"/>
                <w:color w:val="auto"/>
                <w:sz w:val="21"/>
                <w:szCs w:val="21"/>
                <w:highlight w:val="none"/>
                <w:lang w:bidi="ar"/>
              </w:rPr>
            </w:pPr>
            <w:r>
              <w:rPr>
                <w:rFonts w:ascii="Times New Roman" w:hAnsi="Times New Roman" w:cs="Times New Roman"/>
                <w:color w:val="auto"/>
                <w:sz w:val="21"/>
                <w:szCs w:val="21"/>
                <w:highlight w:val="none"/>
                <w:lang w:bidi="ar"/>
              </w:rPr>
              <w:t>1分钟</w:t>
            </w:r>
          </w:p>
        </w:tc>
        <w:tc>
          <w:tcPr>
            <w:tcW w:w="1276" w:type="dxa"/>
            <w:vAlign w:val="center"/>
          </w:tcPr>
          <w:p w14:paraId="1CBBDA57">
            <w:pPr>
              <w:ind w:left="-105" w:right="-105"/>
              <w:jc w:val="center"/>
              <w:textAlignment w:val="center"/>
              <w:rPr>
                <w:rFonts w:ascii="Times New Roman" w:hAnsi="Times New Roman" w:cs="Times New Roman"/>
                <w:color w:val="auto"/>
                <w:sz w:val="21"/>
                <w:szCs w:val="21"/>
                <w:highlight w:val="none"/>
                <w:lang w:bidi="ar"/>
              </w:rPr>
            </w:pPr>
            <w:r>
              <w:rPr>
                <w:rFonts w:ascii="Times New Roman" w:hAnsi="Times New Roman" w:eastAsia="等线" w:cs="Times New Roman"/>
                <w:color w:val="auto"/>
                <w:sz w:val="21"/>
                <w:szCs w:val="21"/>
                <w:highlight w:val="none"/>
                <w:lang w:bidi="ar"/>
              </w:rPr>
              <w:t>1.44</w:t>
            </w:r>
          </w:p>
        </w:tc>
        <w:tc>
          <w:tcPr>
            <w:tcW w:w="1610" w:type="dxa"/>
            <w:vAlign w:val="center"/>
          </w:tcPr>
          <w:p w14:paraId="6C38B684">
            <w:pPr>
              <w:ind w:left="-105" w:leftChars="0" w:right="-105" w:rightChars="0"/>
              <w:jc w:val="center"/>
              <w:textAlignment w:val="center"/>
              <w:rPr>
                <w:rFonts w:ascii="Times New Roman" w:hAnsi="Times New Roman" w:cs="Times New Roman"/>
                <w:color w:val="auto"/>
                <w:sz w:val="21"/>
                <w:szCs w:val="21"/>
                <w:highlight w:val="none"/>
              </w:rPr>
            </w:pPr>
            <w:r>
              <w:rPr>
                <w:rFonts w:hint="eastAsia" w:ascii="Times New Roman" w:hAnsi="Times New Roman" w:eastAsia="等线" w:cs="Times New Roman"/>
                <w:color w:val="auto"/>
                <w:sz w:val="21"/>
                <w:szCs w:val="21"/>
                <w:highlight w:val="none"/>
                <w:lang w:val="en-US" w:eastAsia="zh-CN" w:bidi="ar"/>
              </w:rPr>
              <w:t>11</w:t>
            </w:r>
          </w:p>
        </w:tc>
        <w:tc>
          <w:tcPr>
            <w:tcW w:w="1445" w:type="dxa"/>
            <w:vAlign w:val="center"/>
          </w:tcPr>
          <w:p w14:paraId="70970441">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1.00245E-24</w:t>
            </w:r>
          </w:p>
        </w:tc>
        <w:tc>
          <w:tcPr>
            <w:tcW w:w="1448" w:type="dxa"/>
            <w:vAlign w:val="center"/>
          </w:tcPr>
          <w:p w14:paraId="0C134F7C">
            <w:pPr>
              <w:ind w:left="-105" w:right="-105"/>
              <w:jc w:val="center"/>
              <w:textAlignment w:val="center"/>
              <w:rPr>
                <w:rFonts w:ascii="Times New Roman" w:hAnsi="Times New Roman" w:cs="Times New Roman"/>
                <w:color w:val="auto"/>
                <w:sz w:val="21"/>
                <w:szCs w:val="21"/>
                <w:highlight w:val="none"/>
              </w:rPr>
            </w:pPr>
            <w:r>
              <w:rPr>
                <w:rFonts w:hint="eastAsia" w:ascii="Times New Roman" w:hAnsi="Times New Roman" w:cs="Times New Roman"/>
                <w:bCs/>
                <w:color w:val="auto"/>
                <w:sz w:val="21"/>
                <w:szCs w:val="21"/>
                <w:highlight w:val="none"/>
              </w:rPr>
              <w:t>20</w:t>
            </w:r>
          </w:p>
        </w:tc>
        <w:tc>
          <w:tcPr>
            <w:tcW w:w="1441" w:type="dxa"/>
            <w:vAlign w:val="center"/>
          </w:tcPr>
          <w:p w14:paraId="7C52A4F2">
            <w:pPr>
              <w:ind w:left="-105" w:right="-105"/>
              <w:jc w:val="center"/>
              <w:textAlignment w:val="center"/>
              <w:rPr>
                <w:rFonts w:ascii="Times New Roman" w:hAnsi="Times New Roman" w:cs="Times New Roman"/>
                <w:color w:val="auto"/>
                <w:sz w:val="21"/>
                <w:szCs w:val="21"/>
                <w:highlight w:val="none"/>
              </w:rPr>
            </w:pPr>
            <w:r>
              <w:rPr>
                <w:rFonts w:hint="eastAsia" w:ascii="Times New Roman" w:hAnsi="Times New Roman" w:cs="Times New Roman"/>
                <w:bCs/>
                <w:color w:val="auto"/>
                <w:sz w:val="21"/>
                <w:szCs w:val="21"/>
                <w:highlight w:val="none"/>
              </w:rPr>
              <w:t xml:space="preserve">55.00 </w:t>
            </w:r>
          </w:p>
        </w:tc>
      </w:tr>
      <w:tr w14:paraId="0F11E55B">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40" w:hRule="atLeast"/>
          <w:jc w:val="center"/>
        </w:trPr>
        <w:tc>
          <w:tcPr>
            <w:tcW w:w="1497" w:type="dxa"/>
            <w:vAlign w:val="center"/>
          </w:tcPr>
          <w:p w14:paraId="31BEB656">
            <w:pPr>
              <w:ind w:left="-105" w:right="-105"/>
              <w:jc w:val="center"/>
              <w:textAlignment w:val="center"/>
              <w:rPr>
                <w:rFonts w:ascii="Times New Roman" w:hAnsi="Times New Roman" w:cs="Times New Roman"/>
                <w:color w:val="auto"/>
                <w:sz w:val="21"/>
                <w:szCs w:val="21"/>
                <w:highlight w:val="none"/>
                <w:lang w:bidi="ar"/>
              </w:rPr>
            </w:pPr>
            <w:r>
              <w:rPr>
                <w:rFonts w:ascii="Times New Roman" w:hAnsi="Times New Roman" w:cs="Times New Roman"/>
                <w:color w:val="auto"/>
                <w:sz w:val="21"/>
                <w:szCs w:val="21"/>
                <w:highlight w:val="none"/>
                <w:lang w:bidi="ar"/>
              </w:rPr>
              <w:t>5分钟</w:t>
            </w:r>
          </w:p>
        </w:tc>
        <w:tc>
          <w:tcPr>
            <w:tcW w:w="1276" w:type="dxa"/>
            <w:vAlign w:val="center"/>
          </w:tcPr>
          <w:p w14:paraId="2621848B">
            <w:pPr>
              <w:ind w:left="-105" w:right="-105"/>
              <w:jc w:val="center"/>
              <w:textAlignment w:val="center"/>
              <w:rPr>
                <w:rFonts w:ascii="Times New Roman" w:hAnsi="Times New Roman" w:cs="Times New Roman"/>
                <w:color w:val="auto"/>
                <w:sz w:val="21"/>
                <w:szCs w:val="21"/>
                <w:highlight w:val="none"/>
                <w:lang w:bidi="ar"/>
              </w:rPr>
            </w:pPr>
            <w:r>
              <w:rPr>
                <w:rFonts w:ascii="Times New Roman" w:hAnsi="Times New Roman" w:eastAsia="等线" w:cs="Times New Roman"/>
                <w:color w:val="auto"/>
                <w:sz w:val="21"/>
                <w:szCs w:val="21"/>
                <w:highlight w:val="none"/>
                <w:lang w:bidi="ar"/>
              </w:rPr>
              <w:t>7.2</w:t>
            </w:r>
          </w:p>
        </w:tc>
        <w:tc>
          <w:tcPr>
            <w:tcW w:w="1610" w:type="dxa"/>
            <w:vAlign w:val="center"/>
          </w:tcPr>
          <w:p w14:paraId="21FB8C7F">
            <w:pPr>
              <w:ind w:left="-105" w:leftChars="0" w:right="-105" w:rightChars="0"/>
              <w:jc w:val="center"/>
              <w:textAlignment w:val="center"/>
              <w:rPr>
                <w:rFonts w:ascii="Times New Roman" w:hAnsi="Times New Roman" w:cs="Times New Roman"/>
                <w:color w:val="auto"/>
                <w:sz w:val="21"/>
                <w:szCs w:val="21"/>
                <w:highlight w:val="none"/>
              </w:rPr>
            </w:pPr>
            <w:r>
              <w:rPr>
                <w:rFonts w:hint="eastAsia" w:ascii="Times New Roman" w:hAnsi="Times New Roman" w:eastAsia="等线" w:cs="Times New Roman"/>
                <w:color w:val="auto"/>
                <w:sz w:val="21"/>
                <w:szCs w:val="21"/>
                <w:highlight w:val="none"/>
                <w:lang w:val="en-US" w:eastAsia="zh-CN" w:bidi="ar"/>
              </w:rPr>
              <w:t>11</w:t>
            </w:r>
          </w:p>
        </w:tc>
        <w:tc>
          <w:tcPr>
            <w:tcW w:w="1445" w:type="dxa"/>
            <w:vAlign w:val="center"/>
          </w:tcPr>
          <w:p w14:paraId="5517FA3A">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2.6357E-129</w:t>
            </w:r>
          </w:p>
        </w:tc>
        <w:tc>
          <w:tcPr>
            <w:tcW w:w="1448" w:type="dxa"/>
            <w:vAlign w:val="center"/>
          </w:tcPr>
          <w:p w14:paraId="49F9AA50">
            <w:pPr>
              <w:ind w:left="-105" w:right="-105"/>
              <w:jc w:val="center"/>
              <w:textAlignment w:val="center"/>
              <w:rPr>
                <w:rFonts w:ascii="Times New Roman" w:hAnsi="Times New Roman" w:cs="Times New Roman"/>
                <w:color w:val="auto"/>
                <w:sz w:val="21"/>
                <w:szCs w:val="21"/>
                <w:highlight w:val="none"/>
              </w:rPr>
            </w:pPr>
            <w:r>
              <w:rPr>
                <w:rFonts w:hint="eastAsia" w:ascii="Times New Roman" w:hAnsi="Times New Roman" w:cs="Times New Roman"/>
                <w:bCs/>
                <w:color w:val="auto"/>
                <w:sz w:val="21"/>
                <w:szCs w:val="21"/>
                <w:highlight w:val="none"/>
              </w:rPr>
              <w:t>20</w:t>
            </w:r>
          </w:p>
        </w:tc>
        <w:tc>
          <w:tcPr>
            <w:tcW w:w="1441" w:type="dxa"/>
            <w:vAlign w:val="center"/>
          </w:tcPr>
          <w:p w14:paraId="00BF9725">
            <w:pPr>
              <w:ind w:left="-105" w:right="-105"/>
              <w:jc w:val="center"/>
              <w:textAlignment w:val="center"/>
              <w:rPr>
                <w:rFonts w:ascii="Times New Roman" w:hAnsi="Times New Roman" w:cs="Times New Roman"/>
                <w:color w:val="auto"/>
                <w:sz w:val="21"/>
                <w:szCs w:val="21"/>
                <w:highlight w:val="none"/>
              </w:rPr>
            </w:pPr>
            <w:r>
              <w:rPr>
                <w:rFonts w:hint="eastAsia" w:ascii="Times New Roman" w:hAnsi="Times New Roman" w:cs="Times New Roman"/>
                <w:bCs/>
                <w:color w:val="auto"/>
                <w:sz w:val="21"/>
                <w:szCs w:val="21"/>
                <w:highlight w:val="none"/>
              </w:rPr>
              <w:t xml:space="preserve">55.00 </w:t>
            </w:r>
          </w:p>
        </w:tc>
      </w:tr>
      <w:tr w14:paraId="48B510A0">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40" w:hRule="atLeast"/>
          <w:jc w:val="center"/>
        </w:trPr>
        <w:tc>
          <w:tcPr>
            <w:tcW w:w="1497" w:type="dxa"/>
            <w:vAlign w:val="center"/>
          </w:tcPr>
          <w:p w14:paraId="07F695DF">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10分钟</w:t>
            </w:r>
          </w:p>
        </w:tc>
        <w:tc>
          <w:tcPr>
            <w:tcW w:w="1276" w:type="dxa"/>
            <w:vAlign w:val="center"/>
          </w:tcPr>
          <w:p w14:paraId="59558A4D">
            <w:pPr>
              <w:ind w:left="-105" w:right="-105"/>
              <w:jc w:val="center"/>
              <w:textAlignment w:val="center"/>
              <w:rPr>
                <w:rFonts w:ascii="Times New Roman" w:hAnsi="Times New Roman" w:cs="Times New Roman"/>
                <w:color w:val="auto"/>
                <w:sz w:val="21"/>
                <w:szCs w:val="21"/>
                <w:highlight w:val="none"/>
              </w:rPr>
            </w:pPr>
            <w:r>
              <w:rPr>
                <w:rFonts w:ascii="Times New Roman" w:hAnsi="Times New Roman" w:eastAsia="等线" w:cs="Times New Roman"/>
                <w:color w:val="auto"/>
                <w:sz w:val="21"/>
                <w:szCs w:val="21"/>
                <w:highlight w:val="none"/>
                <w:lang w:bidi="ar"/>
              </w:rPr>
              <w:t>14.4</w:t>
            </w:r>
          </w:p>
        </w:tc>
        <w:tc>
          <w:tcPr>
            <w:tcW w:w="1610" w:type="dxa"/>
            <w:vAlign w:val="center"/>
          </w:tcPr>
          <w:p w14:paraId="70C24ACB">
            <w:pPr>
              <w:ind w:left="-105" w:leftChars="0" w:right="-105" w:rightChars="0"/>
              <w:jc w:val="center"/>
              <w:textAlignment w:val="center"/>
              <w:rPr>
                <w:rFonts w:ascii="Times New Roman" w:hAnsi="Times New Roman" w:cs="Times New Roman"/>
                <w:color w:val="auto"/>
                <w:sz w:val="21"/>
                <w:szCs w:val="21"/>
                <w:highlight w:val="none"/>
              </w:rPr>
            </w:pPr>
            <w:r>
              <w:rPr>
                <w:rFonts w:hint="eastAsia" w:ascii="Times New Roman" w:hAnsi="Times New Roman" w:eastAsia="等线" w:cs="Times New Roman"/>
                <w:color w:val="auto"/>
                <w:sz w:val="21"/>
                <w:szCs w:val="21"/>
                <w:highlight w:val="none"/>
                <w:lang w:val="en-US" w:eastAsia="zh-CN" w:bidi="ar"/>
              </w:rPr>
              <w:t>11</w:t>
            </w:r>
          </w:p>
        </w:tc>
        <w:tc>
          <w:tcPr>
            <w:tcW w:w="1445" w:type="dxa"/>
            <w:vAlign w:val="center"/>
          </w:tcPr>
          <w:p w14:paraId="5405A113">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9.595E-260</w:t>
            </w:r>
          </w:p>
        </w:tc>
        <w:tc>
          <w:tcPr>
            <w:tcW w:w="1448" w:type="dxa"/>
            <w:vAlign w:val="center"/>
          </w:tcPr>
          <w:p w14:paraId="4E655406">
            <w:pPr>
              <w:ind w:left="-105" w:right="-105"/>
              <w:jc w:val="center"/>
              <w:textAlignment w:val="center"/>
              <w:rPr>
                <w:rFonts w:ascii="Times New Roman" w:hAnsi="Times New Roman" w:cs="Times New Roman"/>
                <w:color w:val="auto"/>
                <w:sz w:val="21"/>
                <w:szCs w:val="21"/>
                <w:highlight w:val="none"/>
              </w:rPr>
            </w:pPr>
            <w:r>
              <w:rPr>
                <w:rFonts w:hint="eastAsia" w:ascii="Times New Roman" w:hAnsi="Times New Roman" w:cs="Times New Roman"/>
                <w:bCs/>
                <w:color w:val="auto"/>
                <w:sz w:val="21"/>
                <w:szCs w:val="21"/>
                <w:highlight w:val="none"/>
              </w:rPr>
              <w:t>20</w:t>
            </w:r>
          </w:p>
        </w:tc>
        <w:tc>
          <w:tcPr>
            <w:tcW w:w="1441" w:type="dxa"/>
            <w:vAlign w:val="center"/>
          </w:tcPr>
          <w:p w14:paraId="4801CCC4">
            <w:pPr>
              <w:ind w:left="-105" w:right="-105"/>
              <w:jc w:val="center"/>
              <w:textAlignment w:val="center"/>
              <w:rPr>
                <w:rFonts w:ascii="Times New Roman" w:hAnsi="Times New Roman" w:cs="Times New Roman"/>
                <w:color w:val="auto"/>
                <w:sz w:val="21"/>
                <w:szCs w:val="21"/>
                <w:highlight w:val="none"/>
                <w:lang w:bidi="ar"/>
              </w:rPr>
            </w:pPr>
            <w:r>
              <w:rPr>
                <w:rFonts w:hint="eastAsia" w:ascii="Times New Roman" w:hAnsi="Times New Roman" w:cs="Times New Roman"/>
                <w:bCs/>
                <w:color w:val="auto"/>
                <w:sz w:val="21"/>
                <w:szCs w:val="21"/>
                <w:highlight w:val="none"/>
              </w:rPr>
              <w:t xml:space="preserve">55.00 </w:t>
            </w:r>
          </w:p>
        </w:tc>
      </w:tr>
      <w:tr w14:paraId="34AFB775">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40" w:hRule="atLeast"/>
          <w:jc w:val="center"/>
        </w:trPr>
        <w:tc>
          <w:tcPr>
            <w:tcW w:w="1497" w:type="dxa"/>
            <w:vAlign w:val="center"/>
          </w:tcPr>
          <w:p w14:paraId="2306B2D0">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15分钟</w:t>
            </w:r>
          </w:p>
        </w:tc>
        <w:tc>
          <w:tcPr>
            <w:tcW w:w="1276" w:type="dxa"/>
            <w:vAlign w:val="center"/>
          </w:tcPr>
          <w:p w14:paraId="2CB5F517">
            <w:pPr>
              <w:ind w:left="-105" w:right="-105"/>
              <w:jc w:val="center"/>
              <w:textAlignment w:val="center"/>
              <w:rPr>
                <w:rFonts w:ascii="Times New Roman" w:hAnsi="Times New Roman" w:cs="Times New Roman"/>
                <w:color w:val="auto"/>
                <w:sz w:val="21"/>
                <w:szCs w:val="21"/>
                <w:highlight w:val="none"/>
              </w:rPr>
            </w:pPr>
            <w:r>
              <w:rPr>
                <w:rFonts w:ascii="Times New Roman" w:hAnsi="Times New Roman" w:eastAsia="等线" w:cs="Times New Roman"/>
                <w:color w:val="auto"/>
                <w:sz w:val="21"/>
                <w:szCs w:val="21"/>
                <w:highlight w:val="none"/>
                <w:lang w:bidi="ar"/>
              </w:rPr>
              <w:t>21.6</w:t>
            </w:r>
          </w:p>
        </w:tc>
        <w:tc>
          <w:tcPr>
            <w:tcW w:w="1610" w:type="dxa"/>
            <w:vAlign w:val="center"/>
          </w:tcPr>
          <w:p w14:paraId="6FFB2B83">
            <w:pPr>
              <w:ind w:left="-105" w:leftChars="0" w:right="-105" w:rightChars="0"/>
              <w:jc w:val="center"/>
              <w:textAlignment w:val="center"/>
              <w:rPr>
                <w:rFonts w:ascii="Times New Roman" w:hAnsi="Times New Roman" w:cs="Times New Roman"/>
                <w:color w:val="auto"/>
                <w:sz w:val="21"/>
                <w:szCs w:val="21"/>
                <w:highlight w:val="none"/>
              </w:rPr>
            </w:pPr>
            <w:r>
              <w:rPr>
                <w:rFonts w:hint="eastAsia" w:ascii="Times New Roman" w:hAnsi="Times New Roman" w:eastAsia="等线" w:cs="Times New Roman"/>
                <w:color w:val="auto"/>
                <w:sz w:val="21"/>
                <w:szCs w:val="21"/>
                <w:highlight w:val="none"/>
                <w:lang w:val="en-US" w:eastAsia="zh-CN" w:bidi="ar"/>
              </w:rPr>
              <w:t>11</w:t>
            </w:r>
          </w:p>
        </w:tc>
        <w:tc>
          <w:tcPr>
            <w:tcW w:w="1445" w:type="dxa"/>
            <w:vAlign w:val="center"/>
          </w:tcPr>
          <w:p w14:paraId="78886AEF">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0</w:t>
            </w:r>
          </w:p>
        </w:tc>
        <w:tc>
          <w:tcPr>
            <w:tcW w:w="1448" w:type="dxa"/>
            <w:vAlign w:val="center"/>
          </w:tcPr>
          <w:p w14:paraId="4C526F31">
            <w:pPr>
              <w:ind w:left="-105" w:right="-105"/>
              <w:jc w:val="center"/>
              <w:textAlignment w:val="center"/>
              <w:rPr>
                <w:rFonts w:ascii="Times New Roman" w:hAnsi="Times New Roman" w:cs="Times New Roman"/>
                <w:color w:val="auto"/>
                <w:sz w:val="21"/>
                <w:szCs w:val="21"/>
                <w:highlight w:val="none"/>
              </w:rPr>
            </w:pPr>
            <w:r>
              <w:rPr>
                <w:rFonts w:hint="eastAsia" w:ascii="Times New Roman" w:hAnsi="Times New Roman" w:cs="Times New Roman"/>
                <w:bCs/>
                <w:color w:val="auto"/>
                <w:sz w:val="21"/>
                <w:szCs w:val="21"/>
                <w:highlight w:val="none"/>
              </w:rPr>
              <w:t>20</w:t>
            </w:r>
          </w:p>
        </w:tc>
        <w:tc>
          <w:tcPr>
            <w:tcW w:w="1441" w:type="dxa"/>
            <w:vAlign w:val="center"/>
          </w:tcPr>
          <w:p w14:paraId="21FD2577">
            <w:pPr>
              <w:ind w:left="-105" w:right="-105"/>
              <w:jc w:val="center"/>
              <w:textAlignment w:val="center"/>
              <w:rPr>
                <w:rFonts w:ascii="Times New Roman" w:hAnsi="Times New Roman" w:cs="Times New Roman"/>
                <w:color w:val="auto"/>
                <w:sz w:val="21"/>
                <w:szCs w:val="21"/>
                <w:highlight w:val="none"/>
                <w:lang w:bidi="ar"/>
              </w:rPr>
            </w:pPr>
            <w:r>
              <w:rPr>
                <w:rFonts w:hint="eastAsia" w:ascii="Times New Roman" w:hAnsi="Times New Roman" w:cs="Times New Roman"/>
                <w:bCs/>
                <w:color w:val="auto"/>
                <w:sz w:val="21"/>
                <w:szCs w:val="21"/>
                <w:highlight w:val="none"/>
              </w:rPr>
              <w:t xml:space="preserve">55.00 </w:t>
            </w:r>
          </w:p>
        </w:tc>
      </w:tr>
      <w:tr w14:paraId="3F45C424">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40" w:hRule="atLeast"/>
          <w:jc w:val="center"/>
        </w:trPr>
        <w:tc>
          <w:tcPr>
            <w:tcW w:w="1497" w:type="dxa"/>
            <w:vAlign w:val="center"/>
          </w:tcPr>
          <w:p w14:paraId="560D2CCA">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20分钟</w:t>
            </w:r>
          </w:p>
        </w:tc>
        <w:tc>
          <w:tcPr>
            <w:tcW w:w="1276" w:type="dxa"/>
            <w:vAlign w:val="center"/>
          </w:tcPr>
          <w:p w14:paraId="10CA5686">
            <w:pPr>
              <w:ind w:left="-105" w:right="-105"/>
              <w:jc w:val="center"/>
              <w:textAlignment w:val="center"/>
              <w:rPr>
                <w:rFonts w:ascii="Times New Roman" w:hAnsi="Times New Roman" w:cs="Times New Roman"/>
                <w:color w:val="auto"/>
                <w:sz w:val="21"/>
                <w:szCs w:val="21"/>
                <w:highlight w:val="none"/>
              </w:rPr>
            </w:pPr>
            <w:r>
              <w:rPr>
                <w:rFonts w:ascii="Times New Roman" w:hAnsi="Times New Roman" w:eastAsia="等线" w:cs="Times New Roman"/>
                <w:color w:val="auto"/>
                <w:sz w:val="21"/>
                <w:szCs w:val="21"/>
                <w:highlight w:val="none"/>
                <w:lang w:bidi="ar"/>
              </w:rPr>
              <w:t>28.8</w:t>
            </w:r>
          </w:p>
        </w:tc>
        <w:tc>
          <w:tcPr>
            <w:tcW w:w="1610" w:type="dxa"/>
            <w:vAlign w:val="center"/>
          </w:tcPr>
          <w:p w14:paraId="79324C2D">
            <w:pPr>
              <w:ind w:left="-105" w:leftChars="0" w:right="-105" w:rightChars="0"/>
              <w:jc w:val="center"/>
              <w:textAlignment w:val="center"/>
              <w:rPr>
                <w:rFonts w:ascii="Times New Roman" w:hAnsi="Times New Roman" w:cs="Times New Roman"/>
                <w:color w:val="auto"/>
                <w:sz w:val="21"/>
                <w:szCs w:val="21"/>
                <w:highlight w:val="none"/>
              </w:rPr>
            </w:pPr>
            <w:r>
              <w:rPr>
                <w:rFonts w:hint="eastAsia" w:ascii="Times New Roman" w:hAnsi="Times New Roman" w:eastAsia="等线" w:cs="Times New Roman"/>
                <w:color w:val="auto"/>
                <w:sz w:val="21"/>
                <w:szCs w:val="21"/>
                <w:highlight w:val="none"/>
                <w:lang w:val="en-US" w:eastAsia="zh-CN" w:bidi="ar"/>
              </w:rPr>
              <w:t>11</w:t>
            </w:r>
          </w:p>
        </w:tc>
        <w:tc>
          <w:tcPr>
            <w:tcW w:w="1445" w:type="dxa"/>
            <w:vAlign w:val="center"/>
          </w:tcPr>
          <w:p w14:paraId="2E4A7AE0">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0</w:t>
            </w:r>
          </w:p>
        </w:tc>
        <w:tc>
          <w:tcPr>
            <w:tcW w:w="1448" w:type="dxa"/>
            <w:vAlign w:val="center"/>
          </w:tcPr>
          <w:p w14:paraId="73DEAFDC">
            <w:pPr>
              <w:ind w:left="-105" w:right="-105"/>
              <w:jc w:val="center"/>
              <w:textAlignment w:val="center"/>
              <w:rPr>
                <w:rFonts w:ascii="Times New Roman" w:hAnsi="Times New Roman" w:cs="Times New Roman"/>
                <w:color w:val="auto"/>
                <w:sz w:val="21"/>
                <w:szCs w:val="21"/>
                <w:highlight w:val="none"/>
              </w:rPr>
            </w:pPr>
            <w:r>
              <w:rPr>
                <w:rFonts w:hint="eastAsia" w:ascii="Times New Roman" w:hAnsi="Times New Roman" w:cs="Times New Roman"/>
                <w:bCs/>
                <w:color w:val="auto"/>
                <w:sz w:val="21"/>
                <w:szCs w:val="21"/>
                <w:highlight w:val="none"/>
              </w:rPr>
              <w:t>20</w:t>
            </w:r>
          </w:p>
        </w:tc>
        <w:tc>
          <w:tcPr>
            <w:tcW w:w="1441" w:type="dxa"/>
            <w:vAlign w:val="center"/>
          </w:tcPr>
          <w:p w14:paraId="22A37846">
            <w:pPr>
              <w:ind w:left="-105" w:right="-105"/>
              <w:jc w:val="center"/>
              <w:textAlignment w:val="center"/>
              <w:rPr>
                <w:rFonts w:ascii="Times New Roman" w:hAnsi="Times New Roman" w:cs="Times New Roman"/>
                <w:color w:val="auto"/>
                <w:sz w:val="21"/>
                <w:szCs w:val="21"/>
                <w:highlight w:val="none"/>
                <w:lang w:bidi="ar"/>
              </w:rPr>
            </w:pPr>
            <w:r>
              <w:rPr>
                <w:rFonts w:hint="eastAsia" w:ascii="Times New Roman" w:hAnsi="Times New Roman" w:cs="Times New Roman"/>
                <w:bCs/>
                <w:color w:val="auto"/>
                <w:sz w:val="21"/>
                <w:szCs w:val="21"/>
                <w:highlight w:val="none"/>
              </w:rPr>
              <w:t xml:space="preserve">55.00 </w:t>
            </w:r>
          </w:p>
        </w:tc>
      </w:tr>
      <w:tr w14:paraId="39FAB9B6">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40" w:hRule="atLeast"/>
          <w:jc w:val="center"/>
        </w:trPr>
        <w:tc>
          <w:tcPr>
            <w:tcW w:w="1497" w:type="dxa"/>
            <w:vAlign w:val="center"/>
          </w:tcPr>
          <w:p w14:paraId="24233E3E">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30分钟</w:t>
            </w:r>
          </w:p>
        </w:tc>
        <w:tc>
          <w:tcPr>
            <w:tcW w:w="1276" w:type="dxa"/>
            <w:vAlign w:val="center"/>
          </w:tcPr>
          <w:p w14:paraId="3FA7E841">
            <w:pPr>
              <w:ind w:left="-105" w:right="-105"/>
              <w:jc w:val="center"/>
              <w:textAlignment w:val="center"/>
              <w:rPr>
                <w:rFonts w:ascii="Times New Roman" w:hAnsi="Times New Roman" w:cs="Times New Roman"/>
                <w:color w:val="auto"/>
                <w:sz w:val="21"/>
                <w:szCs w:val="21"/>
                <w:highlight w:val="none"/>
              </w:rPr>
            </w:pPr>
            <w:r>
              <w:rPr>
                <w:rFonts w:ascii="Times New Roman" w:hAnsi="Times New Roman" w:eastAsia="等线" w:cs="Times New Roman"/>
                <w:color w:val="auto"/>
                <w:sz w:val="21"/>
                <w:szCs w:val="21"/>
                <w:highlight w:val="none"/>
                <w:lang w:bidi="ar"/>
              </w:rPr>
              <w:t>79.2</w:t>
            </w:r>
          </w:p>
        </w:tc>
        <w:tc>
          <w:tcPr>
            <w:tcW w:w="1610" w:type="dxa"/>
            <w:vAlign w:val="center"/>
          </w:tcPr>
          <w:p w14:paraId="042B5715">
            <w:pPr>
              <w:ind w:left="-105" w:leftChars="0" w:right="-105" w:rightChars="0"/>
              <w:jc w:val="center"/>
              <w:textAlignment w:val="center"/>
              <w:rPr>
                <w:rFonts w:ascii="Times New Roman" w:hAnsi="Times New Roman" w:cs="Times New Roman"/>
                <w:color w:val="auto"/>
                <w:sz w:val="21"/>
                <w:szCs w:val="21"/>
                <w:highlight w:val="none"/>
              </w:rPr>
            </w:pPr>
            <w:r>
              <w:rPr>
                <w:rFonts w:hint="eastAsia" w:ascii="Times New Roman" w:hAnsi="Times New Roman" w:eastAsia="等线" w:cs="Times New Roman"/>
                <w:color w:val="auto"/>
                <w:sz w:val="21"/>
                <w:szCs w:val="21"/>
                <w:highlight w:val="none"/>
                <w:lang w:val="en-US" w:eastAsia="zh-CN" w:bidi="ar"/>
              </w:rPr>
              <w:t>11</w:t>
            </w:r>
          </w:p>
        </w:tc>
        <w:tc>
          <w:tcPr>
            <w:tcW w:w="1445" w:type="dxa"/>
            <w:vAlign w:val="center"/>
          </w:tcPr>
          <w:p w14:paraId="537990FF">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0</w:t>
            </w:r>
          </w:p>
        </w:tc>
        <w:tc>
          <w:tcPr>
            <w:tcW w:w="1448" w:type="dxa"/>
            <w:vAlign w:val="center"/>
          </w:tcPr>
          <w:p w14:paraId="09A8592A">
            <w:pPr>
              <w:ind w:left="-105" w:right="-105"/>
              <w:jc w:val="center"/>
              <w:textAlignment w:val="center"/>
              <w:rPr>
                <w:rFonts w:ascii="Times New Roman" w:hAnsi="Times New Roman" w:cs="Times New Roman"/>
                <w:color w:val="auto"/>
                <w:sz w:val="21"/>
                <w:szCs w:val="21"/>
                <w:highlight w:val="none"/>
              </w:rPr>
            </w:pPr>
            <w:r>
              <w:rPr>
                <w:rFonts w:hint="eastAsia" w:ascii="Times New Roman" w:hAnsi="Times New Roman" w:cs="Times New Roman"/>
                <w:bCs/>
                <w:color w:val="auto"/>
                <w:sz w:val="21"/>
                <w:szCs w:val="21"/>
                <w:highlight w:val="none"/>
              </w:rPr>
              <w:t>20</w:t>
            </w:r>
          </w:p>
        </w:tc>
        <w:tc>
          <w:tcPr>
            <w:tcW w:w="1441" w:type="dxa"/>
            <w:vAlign w:val="center"/>
          </w:tcPr>
          <w:p w14:paraId="648E732F">
            <w:pPr>
              <w:ind w:left="-105" w:right="-105"/>
              <w:jc w:val="center"/>
              <w:textAlignment w:val="center"/>
              <w:rPr>
                <w:rFonts w:ascii="Times New Roman" w:hAnsi="Times New Roman" w:cs="Times New Roman"/>
                <w:color w:val="auto"/>
                <w:sz w:val="21"/>
                <w:szCs w:val="21"/>
                <w:highlight w:val="none"/>
                <w:lang w:bidi="ar"/>
              </w:rPr>
            </w:pPr>
            <w:r>
              <w:rPr>
                <w:rFonts w:hint="eastAsia" w:ascii="Times New Roman" w:hAnsi="Times New Roman" w:cs="Times New Roman"/>
                <w:bCs/>
                <w:color w:val="auto"/>
                <w:sz w:val="21"/>
                <w:szCs w:val="21"/>
                <w:highlight w:val="none"/>
              </w:rPr>
              <w:t xml:space="preserve">55.00 </w:t>
            </w:r>
          </w:p>
        </w:tc>
      </w:tr>
      <w:tr w14:paraId="1DFA0154">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40" w:hRule="atLeast"/>
          <w:jc w:val="center"/>
        </w:trPr>
        <w:tc>
          <w:tcPr>
            <w:tcW w:w="1497" w:type="dxa"/>
            <w:vAlign w:val="center"/>
          </w:tcPr>
          <w:p w14:paraId="4FC31D44">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1小时</w:t>
            </w:r>
          </w:p>
        </w:tc>
        <w:tc>
          <w:tcPr>
            <w:tcW w:w="1276" w:type="dxa"/>
            <w:vAlign w:val="center"/>
          </w:tcPr>
          <w:p w14:paraId="4A5AECB3">
            <w:pPr>
              <w:ind w:left="-105" w:right="-105"/>
              <w:jc w:val="center"/>
              <w:textAlignment w:val="center"/>
              <w:rPr>
                <w:rFonts w:ascii="Times New Roman" w:hAnsi="Times New Roman" w:cs="Times New Roman"/>
                <w:color w:val="auto"/>
                <w:sz w:val="21"/>
                <w:szCs w:val="21"/>
                <w:highlight w:val="none"/>
              </w:rPr>
            </w:pPr>
            <w:r>
              <w:rPr>
                <w:rFonts w:ascii="Times New Roman" w:hAnsi="Times New Roman" w:eastAsia="等线" w:cs="Times New Roman"/>
                <w:color w:val="auto"/>
                <w:sz w:val="21"/>
                <w:szCs w:val="21"/>
                <w:highlight w:val="none"/>
                <w:lang w:bidi="ar"/>
              </w:rPr>
              <w:t>86.4</w:t>
            </w:r>
          </w:p>
        </w:tc>
        <w:tc>
          <w:tcPr>
            <w:tcW w:w="1610" w:type="dxa"/>
            <w:vAlign w:val="center"/>
          </w:tcPr>
          <w:p w14:paraId="50DD6DD9">
            <w:pPr>
              <w:ind w:left="-105" w:leftChars="0" w:right="-105" w:rightChars="0"/>
              <w:jc w:val="center"/>
              <w:textAlignment w:val="center"/>
              <w:rPr>
                <w:rFonts w:ascii="Times New Roman" w:hAnsi="Times New Roman" w:cs="Times New Roman"/>
                <w:color w:val="auto"/>
                <w:sz w:val="21"/>
                <w:szCs w:val="21"/>
                <w:highlight w:val="none"/>
              </w:rPr>
            </w:pPr>
            <w:r>
              <w:rPr>
                <w:rFonts w:hint="eastAsia" w:ascii="Times New Roman" w:hAnsi="Times New Roman" w:eastAsia="等线" w:cs="Times New Roman"/>
                <w:color w:val="auto"/>
                <w:sz w:val="21"/>
                <w:szCs w:val="21"/>
                <w:highlight w:val="none"/>
                <w:lang w:val="en-US" w:eastAsia="zh-CN" w:bidi="ar"/>
              </w:rPr>
              <w:t>11</w:t>
            </w:r>
          </w:p>
        </w:tc>
        <w:tc>
          <w:tcPr>
            <w:tcW w:w="1445" w:type="dxa"/>
            <w:vAlign w:val="center"/>
          </w:tcPr>
          <w:p w14:paraId="79E88D5C">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0</w:t>
            </w:r>
          </w:p>
        </w:tc>
        <w:tc>
          <w:tcPr>
            <w:tcW w:w="1448" w:type="dxa"/>
            <w:vAlign w:val="center"/>
          </w:tcPr>
          <w:p w14:paraId="3051BD2D">
            <w:pPr>
              <w:ind w:left="-105" w:right="-105"/>
              <w:jc w:val="center"/>
              <w:textAlignment w:val="center"/>
              <w:rPr>
                <w:rFonts w:ascii="Times New Roman" w:hAnsi="Times New Roman" w:cs="Times New Roman"/>
                <w:color w:val="auto"/>
                <w:sz w:val="21"/>
                <w:szCs w:val="21"/>
                <w:highlight w:val="none"/>
              </w:rPr>
            </w:pPr>
            <w:r>
              <w:rPr>
                <w:rFonts w:hint="eastAsia" w:ascii="Times New Roman" w:hAnsi="Times New Roman" w:cs="Times New Roman"/>
                <w:bCs/>
                <w:color w:val="auto"/>
                <w:sz w:val="21"/>
                <w:szCs w:val="21"/>
                <w:highlight w:val="none"/>
              </w:rPr>
              <w:t>20</w:t>
            </w:r>
          </w:p>
        </w:tc>
        <w:tc>
          <w:tcPr>
            <w:tcW w:w="1441" w:type="dxa"/>
            <w:vAlign w:val="center"/>
          </w:tcPr>
          <w:p w14:paraId="333D0B5C">
            <w:pPr>
              <w:ind w:left="-105" w:right="-105"/>
              <w:jc w:val="center"/>
              <w:textAlignment w:val="center"/>
              <w:rPr>
                <w:rFonts w:ascii="Times New Roman" w:hAnsi="Times New Roman" w:cs="Times New Roman"/>
                <w:color w:val="auto"/>
                <w:sz w:val="21"/>
                <w:szCs w:val="21"/>
                <w:highlight w:val="none"/>
                <w:lang w:bidi="ar"/>
              </w:rPr>
            </w:pPr>
            <w:r>
              <w:rPr>
                <w:rFonts w:hint="eastAsia" w:ascii="Times New Roman" w:hAnsi="Times New Roman" w:cs="Times New Roman"/>
                <w:bCs/>
                <w:color w:val="auto"/>
                <w:sz w:val="21"/>
                <w:szCs w:val="21"/>
                <w:highlight w:val="none"/>
              </w:rPr>
              <w:t xml:space="preserve">55.00 </w:t>
            </w:r>
          </w:p>
        </w:tc>
      </w:tr>
      <w:tr w14:paraId="7C2BF4D4">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40" w:hRule="atLeast"/>
          <w:jc w:val="center"/>
        </w:trPr>
        <w:tc>
          <w:tcPr>
            <w:tcW w:w="1497" w:type="dxa"/>
            <w:vAlign w:val="center"/>
          </w:tcPr>
          <w:p w14:paraId="1EFCAE10">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2小时</w:t>
            </w:r>
          </w:p>
        </w:tc>
        <w:tc>
          <w:tcPr>
            <w:tcW w:w="1276" w:type="dxa"/>
            <w:vAlign w:val="center"/>
          </w:tcPr>
          <w:p w14:paraId="48169BBE">
            <w:pPr>
              <w:ind w:left="-105" w:right="-105"/>
              <w:jc w:val="center"/>
              <w:textAlignment w:val="center"/>
              <w:rPr>
                <w:rFonts w:ascii="Times New Roman" w:hAnsi="Times New Roman" w:cs="Times New Roman"/>
                <w:color w:val="auto"/>
                <w:sz w:val="21"/>
                <w:szCs w:val="21"/>
                <w:highlight w:val="none"/>
              </w:rPr>
            </w:pPr>
            <w:r>
              <w:rPr>
                <w:rFonts w:ascii="Times New Roman" w:hAnsi="Times New Roman" w:eastAsia="等线" w:cs="Times New Roman"/>
                <w:color w:val="auto"/>
                <w:sz w:val="21"/>
                <w:szCs w:val="21"/>
                <w:highlight w:val="none"/>
                <w:lang w:bidi="ar"/>
              </w:rPr>
              <w:t>172.8</w:t>
            </w:r>
          </w:p>
        </w:tc>
        <w:tc>
          <w:tcPr>
            <w:tcW w:w="1610" w:type="dxa"/>
            <w:vAlign w:val="center"/>
          </w:tcPr>
          <w:p w14:paraId="4DEE7FD0">
            <w:pPr>
              <w:ind w:left="-105" w:leftChars="0" w:right="-105" w:rightChars="0"/>
              <w:jc w:val="center"/>
              <w:textAlignment w:val="center"/>
              <w:rPr>
                <w:rFonts w:ascii="Times New Roman" w:hAnsi="Times New Roman" w:cs="Times New Roman"/>
                <w:color w:val="auto"/>
                <w:sz w:val="21"/>
                <w:szCs w:val="21"/>
                <w:highlight w:val="none"/>
              </w:rPr>
            </w:pPr>
            <w:r>
              <w:rPr>
                <w:rFonts w:hint="eastAsia" w:ascii="Times New Roman" w:hAnsi="Times New Roman" w:eastAsia="等线" w:cs="Times New Roman"/>
                <w:color w:val="auto"/>
                <w:sz w:val="21"/>
                <w:szCs w:val="21"/>
                <w:highlight w:val="none"/>
                <w:lang w:val="en-US" w:eastAsia="zh-CN" w:bidi="ar"/>
              </w:rPr>
              <w:t>11</w:t>
            </w:r>
          </w:p>
        </w:tc>
        <w:tc>
          <w:tcPr>
            <w:tcW w:w="1445" w:type="dxa"/>
            <w:vAlign w:val="center"/>
          </w:tcPr>
          <w:p w14:paraId="2B0CF6C3">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0</w:t>
            </w:r>
          </w:p>
        </w:tc>
        <w:tc>
          <w:tcPr>
            <w:tcW w:w="1448" w:type="dxa"/>
            <w:vAlign w:val="center"/>
          </w:tcPr>
          <w:p w14:paraId="31760AAC">
            <w:pPr>
              <w:ind w:left="-105" w:right="-105"/>
              <w:jc w:val="center"/>
              <w:textAlignment w:val="center"/>
              <w:rPr>
                <w:rFonts w:ascii="Times New Roman" w:hAnsi="Times New Roman" w:cs="Times New Roman"/>
                <w:color w:val="auto"/>
                <w:sz w:val="21"/>
                <w:szCs w:val="21"/>
                <w:highlight w:val="none"/>
              </w:rPr>
            </w:pPr>
            <w:r>
              <w:rPr>
                <w:rFonts w:hint="eastAsia" w:ascii="Times New Roman" w:hAnsi="Times New Roman" w:cs="Times New Roman"/>
                <w:bCs/>
                <w:color w:val="auto"/>
                <w:sz w:val="21"/>
                <w:szCs w:val="21"/>
                <w:highlight w:val="none"/>
              </w:rPr>
              <w:t>20</w:t>
            </w:r>
          </w:p>
        </w:tc>
        <w:tc>
          <w:tcPr>
            <w:tcW w:w="1441" w:type="dxa"/>
            <w:vAlign w:val="center"/>
          </w:tcPr>
          <w:p w14:paraId="580F0D0F">
            <w:pPr>
              <w:ind w:left="-105" w:right="-105"/>
              <w:jc w:val="center"/>
              <w:textAlignment w:val="center"/>
              <w:rPr>
                <w:rFonts w:ascii="Times New Roman" w:hAnsi="Times New Roman" w:cs="Times New Roman"/>
                <w:color w:val="auto"/>
                <w:sz w:val="21"/>
                <w:szCs w:val="21"/>
                <w:highlight w:val="none"/>
                <w:lang w:bidi="ar"/>
              </w:rPr>
            </w:pPr>
            <w:r>
              <w:rPr>
                <w:rFonts w:hint="eastAsia" w:ascii="Times New Roman" w:hAnsi="Times New Roman" w:cs="Times New Roman"/>
                <w:bCs/>
                <w:color w:val="auto"/>
                <w:sz w:val="21"/>
                <w:szCs w:val="21"/>
                <w:highlight w:val="none"/>
              </w:rPr>
              <w:t xml:space="preserve">55.00 </w:t>
            </w:r>
          </w:p>
        </w:tc>
      </w:tr>
      <w:tr w14:paraId="4012BE75">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40" w:hRule="atLeast"/>
          <w:jc w:val="center"/>
        </w:trPr>
        <w:tc>
          <w:tcPr>
            <w:tcW w:w="1497" w:type="dxa"/>
            <w:vAlign w:val="center"/>
          </w:tcPr>
          <w:p w14:paraId="1C55C516">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1天</w:t>
            </w:r>
          </w:p>
        </w:tc>
        <w:tc>
          <w:tcPr>
            <w:tcW w:w="1276" w:type="dxa"/>
            <w:vAlign w:val="center"/>
          </w:tcPr>
          <w:p w14:paraId="1308DC17">
            <w:pPr>
              <w:ind w:left="-105" w:right="-105"/>
              <w:jc w:val="center"/>
              <w:textAlignment w:val="center"/>
              <w:rPr>
                <w:rFonts w:ascii="Times New Roman" w:hAnsi="Times New Roman" w:cs="Times New Roman"/>
                <w:color w:val="auto"/>
                <w:sz w:val="21"/>
                <w:szCs w:val="21"/>
                <w:highlight w:val="none"/>
              </w:rPr>
            </w:pPr>
            <w:r>
              <w:rPr>
                <w:rFonts w:ascii="Times New Roman" w:hAnsi="Times New Roman" w:eastAsia="等线" w:cs="Times New Roman"/>
                <w:color w:val="auto"/>
                <w:sz w:val="21"/>
                <w:szCs w:val="21"/>
                <w:highlight w:val="none"/>
                <w:lang w:bidi="ar"/>
              </w:rPr>
              <w:t>2073.6</w:t>
            </w:r>
          </w:p>
        </w:tc>
        <w:tc>
          <w:tcPr>
            <w:tcW w:w="1610" w:type="dxa"/>
            <w:vAlign w:val="center"/>
          </w:tcPr>
          <w:p w14:paraId="5AB57FB0">
            <w:pPr>
              <w:ind w:left="-105" w:leftChars="0" w:right="-105" w:rightChars="0"/>
              <w:jc w:val="center"/>
              <w:textAlignment w:val="center"/>
              <w:rPr>
                <w:rFonts w:ascii="Times New Roman" w:hAnsi="Times New Roman" w:cs="Times New Roman"/>
                <w:color w:val="auto"/>
                <w:sz w:val="21"/>
                <w:szCs w:val="21"/>
                <w:highlight w:val="none"/>
              </w:rPr>
            </w:pPr>
            <w:r>
              <w:rPr>
                <w:rFonts w:hint="eastAsia" w:ascii="Times New Roman" w:hAnsi="Times New Roman" w:eastAsia="等线" w:cs="Times New Roman"/>
                <w:color w:val="auto"/>
                <w:sz w:val="21"/>
                <w:szCs w:val="21"/>
                <w:highlight w:val="none"/>
                <w:lang w:val="en-US" w:eastAsia="zh-CN" w:bidi="ar"/>
              </w:rPr>
              <w:t>11</w:t>
            </w:r>
          </w:p>
        </w:tc>
        <w:tc>
          <w:tcPr>
            <w:tcW w:w="1445" w:type="dxa"/>
            <w:vAlign w:val="center"/>
          </w:tcPr>
          <w:p w14:paraId="6A410F8F">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0</w:t>
            </w:r>
          </w:p>
        </w:tc>
        <w:tc>
          <w:tcPr>
            <w:tcW w:w="1448" w:type="dxa"/>
            <w:vAlign w:val="center"/>
          </w:tcPr>
          <w:p w14:paraId="544CD250">
            <w:pPr>
              <w:ind w:left="-105" w:right="-105"/>
              <w:jc w:val="center"/>
              <w:textAlignment w:val="center"/>
              <w:rPr>
                <w:rFonts w:ascii="Times New Roman" w:hAnsi="Times New Roman" w:cs="Times New Roman"/>
                <w:color w:val="auto"/>
                <w:sz w:val="21"/>
                <w:szCs w:val="21"/>
                <w:highlight w:val="none"/>
              </w:rPr>
            </w:pPr>
            <w:r>
              <w:rPr>
                <w:rFonts w:hint="eastAsia" w:ascii="Times New Roman" w:hAnsi="Times New Roman" w:cs="Times New Roman"/>
                <w:bCs/>
                <w:color w:val="auto"/>
                <w:sz w:val="21"/>
                <w:szCs w:val="21"/>
                <w:highlight w:val="none"/>
              </w:rPr>
              <w:t>20</w:t>
            </w:r>
          </w:p>
        </w:tc>
        <w:tc>
          <w:tcPr>
            <w:tcW w:w="1441" w:type="dxa"/>
            <w:vAlign w:val="center"/>
          </w:tcPr>
          <w:p w14:paraId="4918D99E">
            <w:pPr>
              <w:ind w:left="-105" w:right="-105"/>
              <w:jc w:val="center"/>
              <w:textAlignment w:val="center"/>
              <w:rPr>
                <w:rFonts w:ascii="Times New Roman" w:hAnsi="Times New Roman" w:cs="Times New Roman"/>
                <w:color w:val="auto"/>
                <w:sz w:val="21"/>
                <w:szCs w:val="21"/>
                <w:highlight w:val="none"/>
                <w:lang w:bidi="ar"/>
              </w:rPr>
            </w:pPr>
            <w:r>
              <w:rPr>
                <w:rFonts w:hint="eastAsia" w:ascii="Times New Roman" w:hAnsi="Times New Roman" w:cs="Times New Roman"/>
                <w:bCs/>
                <w:color w:val="auto"/>
                <w:sz w:val="21"/>
                <w:szCs w:val="21"/>
                <w:highlight w:val="none"/>
              </w:rPr>
              <w:t xml:space="preserve">55.00 </w:t>
            </w:r>
          </w:p>
        </w:tc>
      </w:tr>
      <w:tr w14:paraId="7AF3BBAB">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40" w:hRule="atLeast"/>
          <w:jc w:val="center"/>
        </w:trPr>
        <w:tc>
          <w:tcPr>
            <w:tcW w:w="1497" w:type="dxa"/>
            <w:vAlign w:val="center"/>
          </w:tcPr>
          <w:p w14:paraId="74DDDDC1">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5天</w:t>
            </w:r>
          </w:p>
        </w:tc>
        <w:tc>
          <w:tcPr>
            <w:tcW w:w="1276" w:type="dxa"/>
            <w:vAlign w:val="center"/>
          </w:tcPr>
          <w:p w14:paraId="1D9C85D9">
            <w:pPr>
              <w:ind w:left="-105" w:right="-105"/>
              <w:jc w:val="center"/>
              <w:textAlignment w:val="center"/>
              <w:rPr>
                <w:rFonts w:ascii="Times New Roman" w:hAnsi="Times New Roman" w:cs="Times New Roman"/>
                <w:color w:val="auto"/>
                <w:sz w:val="21"/>
                <w:szCs w:val="21"/>
                <w:highlight w:val="none"/>
              </w:rPr>
            </w:pPr>
            <w:r>
              <w:rPr>
                <w:rFonts w:ascii="Times New Roman" w:hAnsi="Times New Roman" w:eastAsia="等线" w:cs="Times New Roman"/>
                <w:color w:val="auto"/>
                <w:sz w:val="21"/>
                <w:szCs w:val="21"/>
                <w:highlight w:val="none"/>
                <w:lang w:bidi="ar"/>
              </w:rPr>
              <w:t>10368</w:t>
            </w:r>
          </w:p>
        </w:tc>
        <w:tc>
          <w:tcPr>
            <w:tcW w:w="1610" w:type="dxa"/>
            <w:vAlign w:val="center"/>
          </w:tcPr>
          <w:p w14:paraId="04E9B1E4">
            <w:pPr>
              <w:ind w:left="-105" w:leftChars="0" w:right="-105" w:rightChars="0"/>
              <w:jc w:val="center"/>
              <w:textAlignment w:val="center"/>
              <w:rPr>
                <w:rFonts w:ascii="Times New Roman" w:hAnsi="Times New Roman" w:cs="Times New Roman"/>
                <w:color w:val="auto"/>
                <w:sz w:val="21"/>
                <w:szCs w:val="21"/>
                <w:highlight w:val="none"/>
              </w:rPr>
            </w:pPr>
            <w:r>
              <w:rPr>
                <w:rFonts w:hint="eastAsia" w:ascii="Times New Roman" w:hAnsi="Times New Roman" w:eastAsia="等线" w:cs="Times New Roman"/>
                <w:color w:val="auto"/>
                <w:sz w:val="21"/>
                <w:szCs w:val="21"/>
                <w:highlight w:val="none"/>
                <w:lang w:val="en-US" w:eastAsia="zh-CN" w:bidi="ar"/>
              </w:rPr>
              <w:t>11</w:t>
            </w:r>
          </w:p>
        </w:tc>
        <w:tc>
          <w:tcPr>
            <w:tcW w:w="1445" w:type="dxa"/>
            <w:vAlign w:val="center"/>
          </w:tcPr>
          <w:p w14:paraId="585FCCE1">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0</w:t>
            </w:r>
          </w:p>
        </w:tc>
        <w:tc>
          <w:tcPr>
            <w:tcW w:w="1448" w:type="dxa"/>
            <w:vAlign w:val="center"/>
          </w:tcPr>
          <w:p w14:paraId="3CA0B88C">
            <w:pPr>
              <w:ind w:left="-105" w:right="-105"/>
              <w:jc w:val="center"/>
              <w:textAlignment w:val="center"/>
              <w:rPr>
                <w:rFonts w:ascii="Times New Roman" w:hAnsi="Times New Roman" w:cs="Times New Roman"/>
                <w:color w:val="auto"/>
                <w:sz w:val="21"/>
                <w:szCs w:val="21"/>
                <w:highlight w:val="none"/>
              </w:rPr>
            </w:pPr>
            <w:r>
              <w:rPr>
                <w:rFonts w:hint="eastAsia" w:ascii="Times New Roman" w:hAnsi="Times New Roman" w:cs="Times New Roman"/>
                <w:bCs/>
                <w:color w:val="auto"/>
                <w:sz w:val="21"/>
                <w:szCs w:val="21"/>
                <w:highlight w:val="none"/>
              </w:rPr>
              <w:t>20</w:t>
            </w:r>
          </w:p>
        </w:tc>
        <w:tc>
          <w:tcPr>
            <w:tcW w:w="1441" w:type="dxa"/>
            <w:vAlign w:val="center"/>
          </w:tcPr>
          <w:p w14:paraId="4E362DC4">
            <w:pPr>
              <w:ind w:left="-105" w:right="-105"/>
              <w:jc w:val="center"/>
              <w:textAlignment w:val="center"/>
              <w:rPr>
                <w:rFonts w:ascii="Times New Roman" w:hAnsi="Times New Roman" w:cs="Times New Roman"/>
                <w:color w:val="auto"/>
                <w:sz w:val="21"/>
                <w:szCs w:val="21"/>
                <w:highlight w:val="none"/>
                <w:lang w:bidi="ar"/>
              </w:rPr>
            </w:pPr>
            <w:r>
              <w:rPr>
                <w:rFonts w:hint="eastAsia" w:ascii="Times New Roman" w:hAnsi="Times New Roman" w:cs="Times New Roman"/>
                <w:bCs/>
                <w:color w:val="auto"/>
                <w:sz w:val="21"/>
                <w:szCs w:val="21"/>
                <w:highlight w:val="none"/>
              </w:rPr>
              <w:t xml:space="preserve">55.00 </w:t>
            </w:r>
          </w:p>
        </w:tc>
      </w:tr>
      <w:tr w14:paraId="20685321">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40" w:hRule="atLeast"/>
          <w:jc w:val="center"/>
        </w:trPr>
        <w:tc>
          <w:tcPr>
            <w:tcW w:w="1497" w:type="dxa"/>
            <w:vAlign w:val="center"/>
          </w:tcPr>
          <w:p w14:paraId="681E315B">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bidi="ar"/>
              </w:rPr>
              <w:t>10天</w:t>
            </w:r>
          </w:p>
        </w:tc>
        <w:tc>
          <w:tcPr>
            <w:tcW w:w="1276" w:type="dxa"/>
            <w:vAlign w:val="center"/>
          </w:tcPr>
          <w:p w14:paraId="0D671819">
            <w:pPr>
              <w:ind w:left="-105" w:right="-105"/>
              <w:jc w:val="center"/>
              <w:textAlignment w:val="center"/>
              <w:rPr>
                <w:rFonts w:ascii="Times New Roman" w:hAnsi="Times New Roman" w:cs="Times New Roman"/>
                <w:color w:val="auto"/>
                <w:sz w:val="21"/>
                <w:szCs w:val="21"/>
                <w:highlight w:val="none"/>
              </w:rPr>
            </w:pPr>
            <w:r>
              <w:rPr>
                <w:rFonts w:ascii="Times New Roman" w:hAnsi="Times New Roman" w:eastAsia="等线" w:cs="Times New Roman"/>
                <w:color w:val="auto"/>
                <w:sz w:val="21"/>
                <w:szCs w:val="21"/>
                <w:highlight w:val="none"/>
                <w:lang w:bidi="ar"/>
              </w:rPr>
              <w:t>20736</w:t>
            </w:r>
          </w:p>
        </w:tc>
        <w:tc>
          <w:tcPr>
            <w:tcW w:w="1610" w:type="dxa"/>
            <w:vAlign w:val="center"/>
          </w:tcPr>
          <w:p w14:paraId="20466051">
            <w:pPr>
              <w:ind w:left="-105" w:leftChars="0" w:right="-105" w:rightChars="0"/>
              <w:jc w:val="center"/>
              <w:textAlignment w:val="center"/>
              <w:rPr>
                <w:rFonts w:ascii="Times New Roman" w:hAnsi="Times New Roman" w:cs="Times New Roman"/>
                <w:color w:val="auto"/>
                <w:sz w:val="21"/>
                <w:szCs w:val="21"/>
                <w:highlight w:val="none"/>
              </w:rPr>
            </w:pPr>
            <w:r>
              <w:rPr>
                <w:rFonts w:hint="eastAsia" w:ascii="Times New Roman" w:hAnsi="Times New Roman" w:eastAsia="等线" w:cs="Times New Roman"/>
                <w:color w:val="auto"/>
                <w:sz w:val="21"/>
                <w:szCs w:val="21"/>
                <w:highlight w:val="none"/>
                <w:lang w:val="en-US" w:eastAsia="zh-CN" w:bidi="ar"/>
              </w:rPr>
              <w:t>11</w:t>
            </w:r>
          </w:p>
        </w:tc>
        <w:tc>
          <w:tcPr>
            <w:tcW w:w="1445" w:type="dxa"/>
            <w:vAlign w:val="center"/>
          </w:tcPr>
          <w:p w14:paraId="1FD61441">
            <w:pPr>
              <w:ind w:left="-105" w:right="-105"/>
              <w:jc w:val="center"/>
              <w:textAlignment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0</w:t>
            </w:r>
          </w:p>
        </w:tc>
        <w:tc>
          <w:tcPr>
            <w:tcW w:w="1448" w:type="dxa"/>
            <w:vAlign w:val="center"/>
          </w:tcPr>
          <w:p w14:paraId="4D2DA5B0">
            <w:pPr>
              <w:ind w:left="-105" w:right="-105"/>
              <w:jc w:val="center"/>
              <w:textAlignment w:val="center"/>
              <w:rPr>
                <w:rFonts w:ascii="Times New Roman" w:hAnsi="Times New Roman" w:cs="Times New Roman"/>
                <w:color w:val="auto"/>
                <w:sz w:val="21"/>
                <w:szCs w:val="21"/>
                <w:highlight w:val="none"/>
              </w:rPr>
            </w:pPr>
            <w:r>
              <w:rPr>
                <w:rFonts w:hint="eastAsia" w:ascii="Times New Roman" w:hAnsi="Times New Roman" w:cs="Times New Roman"/>
                <w:bCs/>
                <w:color w:val="auto"/>
                <w:sz w:val="21"/>
                <w:szCs w:val="21"/>
                <w:highlight w:val="none"/>
              </w:rPr>
              <w:t>20</w:t>
            </w:r>
          </w:p>
        </w:tc>
        <w:tc>
          <w:tcPr>
            <w:tcW w:w="1441" w:type="dxa"/>
            <w:vAlign w:val="center"/>
          </w:tcPr>
          <w:p w14:paraId="0D306741">
            <w:pPr>
              <w:ind w:left="-105" w:right="-105"/>
              <w:jc w:val="center"/>
              <w:textAlignment w:val="center"/>
              <w:rPr>
                <w:rFonts w:ascii="Times New Roman" w:hAnsi="Times New Roman" w:cs="Times New Roman"/>
                <w:color w:val="auto"/>
                <w:sz w:val="21"/>
                <w:szCs w:val="21"/>
                <w:highlight w:val="none"/>
                <w:lang w:bidi="ar"/>
              </w:rPr>
            </w:pPr>
            <w:r>
              <w:rPr>
                <w:rFonts w:hint="eastAsia" w:ascii="Times New Roman" w:hAnsi="Times New Roman" w:cs="Times New Roman"/>
                <w:bCs/>
                <w:color w:val="auto"/>
                <w:sz w:val="21"/>
                <w:szCs w:val="21"/>
                <w:highlight w:val="none"/>
              </w:rPr>
              <w:t xml:space="preserve">55.00 </w:t>
            </w:r>
          </w:p>
        </w:tc>
      </w:tr>
    </w:tbl>
    <w:p w14:paraId="28F437BB">
      <w:pPr>
        <w:pStyle w:val="20"/>
        <w:adjustRightInd w:val="0"/>
        <w:snapToGrid w:val="0"/>
        <w:spacing w:line="360" w:lineRule="auto"/>
        <w:ind w:left="-105" w:right="-105" w:firstLine="480" w:firstLineChars="200"/>
        <w:jc w:val="both"/>
        <w:rPr>
          <w:rFonts w:ascii="Times New Roman" w:hAnsi="Times New Roman" w:cs="Times New Roman"/>
          <w:color w:val="auto"/>
          <w:sz w:val="24"/>
          <w:szCs w:val="32"/>
          <w:highlight w:val="none"/>
          <w:lang w:val="en-US" w:bidi="ar-SA"/>
        </w:rPr>
      </w:pPr>
      <w:r>
        <w:rPr>
          <w:rFonts w:ascii="Times New Roman" w:hAnsi="Times New Roman" w:cs="Times New Roman"/>
          <w:color w:val="auto"/>
          <w:sz w:val="24"/>
          <w:szCs w:val="32"/>
          <w:highlight w:val="none"/>
          <w:lang w:val="en-US" w:bidi="ar-SA"/>
        </w:rPr>
        <w:t>根据《地表水环境质量标准》（GB3838-2002）标准要求：</w:t>
      </w:r>
      <w:r>
        <w:rPr>
          <w:rFonts w:hint="eastAsia" w:ascii="Times New Roman" w:hAnsi="Times New Roman" w:cs="Times New Roman"/>
          <w:color w:val="auto"/>
          <w:sz w:val="24"/>
          <w:szCs w:val="32"/>
          <w:highlight w:val="none"/>
          <w:lang w:val="en-US" w:bidi="ar-SA"/>
        </w:rPr>
        <w:t>COD20</w:t>
      </w:r>
      <w:r>
        <w:rPr>
          <w:rFonts w:ascii="Times New Roman" w:hAnsi="Times New Roman" w:cs="Times New Roman"/>
          <w:color w:val="auto"/>
          <w:sz w:val="24"/>
          <w:szCs w:val="32"/>
          <w:highlight w:val="none"/>
          <w:lang w:val="en-US" w:bidi="ar-SA"/>
        </w:rPr>
        <w:t>mg/L（Ⅲ类），由水质预测结果可知，由于</w:t>
      </w:r>
      <w:r>
        <w:rPr>
          <w:rFonts w:hint="eastAsia" w:ascii="Times New Roman" w:hAnsi="Times New Roman" w:cs="Times New Roman"/>
          <w:color w:val="auto"/>
          <w:sz w:val="24"/>
          <w:szCs w:val="32"/>
          <w:highlight w:val="none"/>
          <w:lang w:val="en-US" w:bidi="ar-SA"/>
        </w:rPr>
        <w:t>锡北运</w:t>
      </w:r>
      <w:r>
        <w:rPr>
          <w:rFonts w:ascii="Times New Roman" w:hAnsi="Times New Roman" w:cs="Times New Roman"/>
          <w:color w:val="auto"/>
          <w:sz w:val="24"/>
          <w:szCs w:val="32"/>
          <w:highlight w:val="none"/>
          <w:lang w:val="en-US" w:bidi="ar-SA"/>
        </w:rPr>
        <w:t>河本底值中</w:t>
      </w:r>
      <w:r>
        <w:rPr>
          <w:rFonts w:hint="eastAsia" w:ascii="Times New Roman" w:hAnsi="Times New Roman" w:cs="Times New Roman"/>
          <w:color w:val="auto"/>
          <w:sz w:val="24"/>
          <w:szCs w:val="32"/>
          <w:highlight w:val="none"/>
          <w:lang w:val="en-US" w:bidi="ar-SA"/>
        </w:rPr>
        <w:t>COD浓度为11</w:t>
      </w:r>
      <w:r>
        <w:rPr>
          <w:rFonts w:ascii="Times New Roman" w:hAnsi="Times New Roman" w:cs="Times New Roman"/>
          <w:color w:val="auto"/>
          <w:sz w:val="24"/>
          <w:szCs w:val="32"/>
          <w:highlight w:val="none"/>
          <w:lang w:val="en-US" w:bidi="ar-SA"/>
        </w:rPr>
        <w:t>mg/L</w:t>
      </w:r>
      <w:r>
        <w:rPr>
          <w:rFonts w:hint="eastAsia" w:ascii="Times New Roman" w:hAnsi="Times New Roman" w:cs="Times New Roman"/>
          <w:color w:val="auto"/>
          <w:sz w:val="24"/>
          <w:szCs w:val="32"/>
          <w:highlight w:val="none"/>
          <w:lang w:val="en-US" w:eastAsia="zh-CN" w:bidi="ar-SA"/>
        </w:rPr>
        <w:t>（企业委托无锡市恒信安全技术服务有限公司于2024年4月24日对雨水排放口受纳水体锡北运河进行COD、氨氮、总氮检测，报告编号：恒信（环）字第HXHJ202404054号）</w:t>
      </w:r>
      <w:r>
        <w:rPr>
          <w:rFonts w:ascii="Times New Roman" w:hAnsi="Times New Roman" w:cs="Times New Roman"/>
          <w:color w:val="auto"/>
          <w:sz w:val="24"/>
          <w:szCs w:val="32"/>
          <w:highlight w:val="none"/>
          <w:lang w:val="en-US" w:bidi="ar-SA"/>
        </w:rPr>
        <w:t>，废水进入</w:t>
      </w:r>
      <w:r>
        <w:rPr>
          <w:rFonts w:hint="eastAsia" w:ascii="Times New Roman" w:hAnsi="Times New Roman" w:cs="Times New Roman"/>
          <w:color w:val="auto"/>
          <w:sz w:val="24"/>
          <w:szCs w:val="32"/>
          <w:highlight w:val="none"/>
          <w:lang w:val="en-US" w:bidi="ar-SA"/>
        </w:rPr>
        <w:t>锡北运河</w:t>
      </w:r>
      <w:r>
        <w:rPr>
          <w:rFonts w:ascii="Times New Roman" w:hAnsi="Times New Roman" w:cs="Times New Roman"/>
          <w:color w:val="auto"/>
          <w:sz w:val="24"/>
          <w:szCs w:val="32"/>
          <w:highlight w:val="none"/>
          <w:lang w:val="en-US" w:bidi="ar-SA"/>
        </w:rPr>
        <w:t>后对本底值影响不大，因此，废水的排入对</w:t>
      </w:r>
      <w:r>
        <w:rPr>
          <w:rFonts w:hint="eastAsia" w:ascii="Times New Roman" w:hAnsi="Times New Roman" w:cs="Times New Roman"/>
          <w:color w:val="auto"/>
          <w:sz w:val="24"/>
          <w:szCs w:val="32"/>
          <w:highlight w:val="none"/>
          <w:lang w:val="en-US" w:bidi="ar-SA"/>
        </w:rPr>
        <w:t>锡北运河</w:t>
      </w:r>
      <w:r>
        <w:rPr>
          <w:rFonts w:ascii="Times New Roman" w:hAnsi="Times New Roman" w:cs="Times New Roman"/>
          <w:color w:val="auto"/>
          <w:sz w:val="24"/>
          <w:szCs w:val="32"/>
          <w:highlight w:val="none"/>
          <w:lang w:val="en-US" w:bidi="ar-SA"/>
        </w:rPr>
        <w:t>水环境</w:t>
      </w:r>
      <w:r>
        <w:rPr>
          <w:rFonts w:hint="eastAsia" w:ascii="Times New Roman" w:hAnsi="Times New Roman" w:cs="Times New Roman"/>
          <w:color w:val="auto"/>
          <w:sz w:val="24"/>
          <w:szCs w:val="32"/>
          <w:highlight w:val="none"/>
          <w:lang w:val="en-US" w:bidi="ar-SA"/>
        </w:rPr>
        <w:t>影响较小</w:t>
      </w:r>
      <w:r>
        <w:rPr>
          <w:rFonts w:ascii="Times New Roman" w:hAnsi="Times New Roman" w:cs="Times New Roman"/>
          <w:color w:val="auto"/>
          <w:sz w:val="24"/>
          <w:szCs w:val="32"/>
          <w:highlight w:val="none"/>
          <w:lang w:val="en-US" w:bidi="ar-SA"/>
        </w:rPr>
        <w:t>。因此企业应设置事故废水收集措施，确保泄漏物料、事故废水、消防废水等在厂内收集，不会泄漏出厂界。</w:t>
      </w:r>
    </w:p>
    <w:p w14:paraId="42EAE83A">
      <w:pPr>
        <w:pStyle w:val="15"/>
        <w:ind w:left="-105" w:right="-105" w:firstLine="482"/>
        <w:rPr>
          <w:rFonts w:eastAsia="宋体"/>
          <w:color w:val="auto"/>
          <w:sz w:val="24"/>
          <w:szCs w:val="24"/>
          <w:highlight w:val="none"/>
        </w:rPr>
      </w:pPr>
      <w:r>
        <w:rPr>
          <w:rFonts w:eastAsia="宋体"/>
          <w:color w:val="auto"/>
          <w:sz w:val="24"/>
          <w:szCs w:val="24"/>
          <w:highlight w:val="none"/>
        </w:rPr>
        <w:t>表</w:t>
      </w:r>
      <w:r>
        <w:rPr>
          <w:rFonts w:eastAsia="宋体"/>
          <w:color w:val="auto"/>
          <w:sz w:val="24"/>
          <w:szCs w:val="24"/>
          <w:highlight w:val="none"/>
        </w:rPr>
        <w:fldChar w:fldCharType="begin"/>
      </w:r>
      <w:r>
        <w:rPr>
          <w:rFonts w:eastAsia="宋体"/>
          <w:color w:val="auto"/>
          <w:sz w:val="24"/>
          <w:szCs w:val="24"/>
          <w:highlight w:val="none"/>
        </w:rPr>
        <w:instrText xml:space="preserve"> STYLEREF 2 \s </w:instrText>
      </w:r>
      <w:r>
        <w:rPr>
          <w:rFonts w:eastAsia="宋体"/>
          <w:color w:val="auto"/>
          <w:sz w:val="24"/>
          <w:szCs w:val="24"/>
          <w:highlight w:val="none"/>
        </w:rPr>
        <w:fldChar w:fldCharType="separate"/>
      </w:r>
      <w:r>
        <w:rPr>
          <w:rFonts w:eastAsia="宋体"/>
          <w:color w:val="auto"/>
          <w:sz w:val="24"/>
          <w:szCs w:val="24"/>
          <w:highlight w:val="none"/>
        </w:rPr>
        <w:t>6.7</w:t>
      </w:r>
      <w:r>
        <w:rPr>
          <w:rFonts w:eastAsia="宋体"/>
          <w:color w:val="auto"/>
          <w:sz w:val="24"/>
          <w:szCs w:val="24"/>
          <w:highlight w:val="none"/>
        </w:rPr>
        <w:fldChar w:fldCharType="end"/>
      </w:r>
      <w:r>
        <w:rPr>
          <w:rFonts w:eastAsia="宋体"/>
          <w:color w:val="auto"/>
          <w:sz w:val="24"/>
          <w:szCs w:val="24"/>
          <w:highlight w:val="none"/>
        </w:rPr>
        <w:noBreakHyphen/>
      </w:r>
      <w:r>
        <w:rPr>
          <w:rFonts w:eastAsia="宋体"/>
          <w:color w:val="auto"/>
          <w:sz w:val="24"/>
          <w:szCs w:val="24"/>
          <w:highlight w:val="none"/>
        </w:rPr>
        <w:fldChar w:fldCharType="begin"/>
      </w:r>
      <w:r>
        <w:rPr>
          <w:rFonts w:eastAsia="宋体"/>
          <w:color w:val="auto"/>
          <w:sz w:val="24"/>
          <w:szCs w:val="24"/>
          <w:highlight w:val="none"/>
        </w:rPr>
        <w:instrText xml:space="preserve"> SEQ 表 \* ARABIC \s 2 </w:instrText>
      </w:r>
      <w:r>
        <w:rPr>
          <w:rFonts w:eastAsia="宋体"/>
          <w:color w:val="auto"/>
          <w:sz w:val="24"/>
          <w:szCs w:val="24"/>
          <w:highlight w:val="none"/>
        </w:rPr>
        <w:fldChar w:fldCharType="separate"/>
      </w:r>
      <w:r>
        <w:rPr>
          <w:rFonts w:eastAsia="宋体"/>
          <w:color w:val="auto"/>
          <w:sz w:val="24"/>
          <w:szCs w:val="24"/>
          <w:highlight w:val="none"/>
        </w:rPr>
        <w:t>5</w:t>
      </w:r>
      <w:r>
        <w:rPr>
          <w:rFonts w:eastAsia="宋体"/>
          <w:color w:val="auto"/>
          <w:sz w:val="24"/>
          <w:szCs w:val="24"/>
          <w:highlight w:val="none"/>
        </w:rPr>
        <w:fldChar w:fldCharType="end"/>
      </w:r>
      <w:r>
        <w:rPr>
          <w:rFonts w:hint="eastAsia" w:eastAsia="宋体"/>
          <w:color w:val="auto"/>
          <w:sz w:val="24"/>
          <w:szCs w:val="24"/>
          <w:highlight w:val="none"/>
        </w:rPr>
        <w:t>废液储罐</w:t>
      </w:r>
      <w:r>
        <w:rPr>
          <w:rFonts w:eastAsia="宋体"/>
          <w:color w:val="auto"/>
          <w:sz w:val="24"/>
          <w:szCs w:val="24"/>
          <w:highlight w:val="none"/>
        </w:rPr>
        <w:t>破裂泄漏进入地表水事故后果信息表</w:t>
      </w:r>
    </w:p>
    <w:tbl>
      <w:tblPr>
        <w:tblStyle w:val="45"/>
        <w:tblW w:w="5000" w:type="pct"/>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0" w:type="dxa"/>
          <w:bottom w:w="0" w:type="dxa"/>
          <w:right w:w="0" w:type="dxa"/>
        </w:tblCellMar>
      </w:tblPr>
      <w:tblGrid>
        <w:gridCol w:w="1525"/>
        <w:gridCol w:w="599"/>
        <w:gridCol w:w="748"/>
        <w:gridCol w:w="793"/>
        <w:gridCol w:w="982"/>
        <w:gridCol w:w="450"/>
        <w:gridCol w:w="580"/>
        <w:gridCol w:w="838"/>
        <w:gridCol w:w="724"/>
        <w:gridCol w:w="340"/>
        <w:gridCol w:w="925"/>
      </w:tblGrid>
      <w:tr w14:paraId="43859DF3">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8504" w:type="dxa"/>
            <w:gridSpan w:val="11"/>
            <w:shd w:val="clear" w:color="auto" w:fill="FFFFFF"/>
            <w:vAlign w:val="center"/>
          </w:tcPr>
          <w:p w14:paraId="6BE7603D">
            <w:pPr>
              <w:keepNext w:val="0"/>
              <w:keepLines w:val="0"/>
              <w:pageBreakBefore w:val="0"/>
              <w:widowControl/>
              <w:kinsoku/>
              <w:wordWrap/>
              <w:overflowPunct/>
              <w:topLinePunct w:val="0"/>
              <w:autoSpaceDE/>
              <w:autoSpaceDN/>
              <w:bidi w:val="0"/>
              <w:adjustRightInd/>
              <w:snapToGrid w:val="0"/>
              <w:ind w:left="0" w:right="0"/>
              <w:jc w:val="center"/>
              <w:textAlignment w:val="auto"/>
              <w:rPr>
                <w:rFonts w:ascii="Times New Roman" w:hAnsi="Times New Roman" w:cs="Times New Roman"/>
                <w:color w:val="auto"/>
                <w:sz w:val="21"/>
                <w:szCs w:val="21"/>
                <w:highlight w:val="none"/>
                <w:lang w:val="zh-TW"/>
              </w:rPr>
            </w:pPr>
            <w:r>
              <w:rPr>
                <w:rFonts w:ascii="Times New Roman" w:hAnsi="Times New Roman" w:cs="Times New Roman"/>
                <w:b/>
                <w:bCs/>
                <w:color w:val="auto"/>
                <w:sz w:val="21"/>
                <w:szCs w:val="21"/>
                <w:highlight w:val="none"/>
                <w:lang w:val="zh-TW"/>
              </w:rPr>
              <w:t>风险事故情形分析</w:t>
            </w:r>
          </w:p>
        </w:tc>
      </w:tr>
      <w:tr w14:paraId="0FA18AA8">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1525" w:type="dxa"/>
            <w:shd w:val="clear" w:color="auto" w:fill="FFFFFF"/>
            <w:vAlign w:val="center"/>
          </w:tcPr>
          <w:p w14:paraId="36211122">
            <w:pPr>
              <w:keepNext w:val="0"/>
              <w:keepLines w:val="0"/>
              <w:pageBreakBefore w:val="0"/>
              <w:widowControl/>
              <w:kinsoku/>
              <w:wordWrap/>
              <w:overflowPunct/>
              <w:topLinePunct w:val="0"/>
              <w:autoSpaceDE/>
              <w:autoSpaceDN/>
              <w:bidi w:val="0"/>
              <w:adjustRightInd/>
              <w:snapToGrid w:val="0"/>
              <w:ind w:left="0" w:right="0"/>
              <w:jc w:val="center"/>
              <w:textAlignment w:val="auto"/>
              <w:rPr>
                <w:rFonts w:ascii="Times New Roman" w:hAnsi="Times New Roman" w:cs="Times New Roman"/>
                <w:color w:val="auto"/>
                <w:sz w:val="21"/>
                <w:szCs w:val="21"/>
                <w:highlight w:val="none"/>
                <w:lang w:val="zh-TW"/>
              </w:rPr>
            </w:pPr>
            <w:r>
              <w:rPr>
                <w:rFonts w:ascii="Times New Roman" w:hAnsi="Times New Roman" w:cs="Times New Roman"/>
                <w:color w:val="auto"/>
                <w:sz w:val="21"/>
                <w:szCs w:val="21"/>
                <w:highlight w:val="none"/>
                <w:lang w:val="zh-TW"/>
              </w:rPr>
              <w:t>代表性风险事故情形描述</w:t>
            </w:r>
          </w:p>
        </w:tc>
        <w:tc>
          <w:tcPr>
            <w:tcW w:w="6979" w:type="dxa"/>
            <w:gridSpan w:val="10"/>
            <w:shd w:val="clear" w:color="auto" w:fill="FFFFFF"/>
            <w:vAlign w:val="center"/>
          </w:tcPr>
          <w:p w14:paraId="6DBB2316">
            <w:pPr>
              <w:keepNext w:val="0"/>
              <w:keepLines w:val="0"/>
              <w:pageBreakBefore w:val="0"/>
              <w:widowControl/>
              <w:kinsoku/>
              <w:wordWrap/>
              <w:overflowPunct/>
              <w:topLinePunct w:val="0"/>
              <w:autoSpaceDE/>
              <w:autoSpaceDN/>
              <w:bidi w:val="0"/>
              <w:adjustRightInd/>
              <w:snapToGrid w:val="0"/>
              <w:ind w:left="0" w:right="0"/>
              <w:jc w:val="center"/>
              <w:textAlignment w:val="auto"/>
              <w:rPr>
                <w:rFonts w:ascii="Times New Roman" w:hAnsi="Times New Roman" w:cs="Times New Roman"/>
                <w:color w:val="auto"/>
                <w:sz w:val="21"/>
                <w:szCs w:val="21"/>
                <w:highlight w:val="none"/>
                <w:lang w:val="zh-TW"/>
              </w:rPr>
            </w:pPr>
            <w:r>
              <w:rPr>
                <w:rFonts w:hint="eastAsia" w:ascii="Times New Roman" w:hAnsi="Times New Roman" w:cs="Times New Roman"/>
                <w:color w:val="auto"/>
                <w:sz w:val="21"/>
                <w:szCs w:val="21"/>
                <w:highlight w:val="none"/>
              </w:rPr>
              <w:t>废液储罐</w:t>
            </w:r>
            <w:r>
              <w:rPr>
                <w:rFonts w:ascii="Times New Roman" w:hAnsi="Times New Roman" w:cs="Times New Roman"/>
                <w:color w:val="auto"/>
                <w:sz w:val="21"/>
                <w:szCs w:val="21"/>
                <w:highlight w:val="none"/>
                <w:lang w:val="zh-TW"/>
              </w:rPr>
              <w:t>破裂泄漏，泄漏液通过雨水管网进入</w:t>
            </w:r>
            <w:r>
              <w:rPr>
                <w:rFonts w:hint="eastAsia" w:ascii="Times New Roman" w:hAnsi="Times New Roman" w:cs="Times New Roman"/>
                <w:bCs/>
                <w:color w:val="auto"/>
                <w:sz w:val="21"/>
                <w:szCs w:val="21"/>
                <w:highlight w:val="none"/>
              </w:rPr>
              <w:t>锡北运河</w:t>
            </w:r>
            <w:r>
              <w:rPr>
                <w:rFonts w:ascii="Times New Roman" w:hAnsi="Times New Roman" w:cs="Times New Roman"/>
                <w:color w:val="auto"/>
                <w:sz w:val="21"/>
                <w:szCs w:val="21"/>
                <w:highlight w:val="none"/>
                <w:lang w:val="zh-TW"/>
              </w:rPr>
              <w:t>，污染地表水环境</w:t>
            </w:r>
          </w:p>
        </w:tc>
      </w:tr>
      <w:tr w14:paraId="10061D32">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1525" w:type="dxa"/>
            <w:shd w:val="clear" w:color="auto" w:fill="FFFFFF"/>
            <w:vAlign w:val="center"/>
          </w:tcPr>
          <w:p w14:paraId="642DAA28">
            <w:pPr>
              <w:keepNext w:val="0"/>
              <w:keepLines w:val="0"/>
              <w:pageBreakBefore w:val="0"/>
              <w:widowControl/>
              <w:kinsoku/>
              <w:wordWrap/>
              <w:overflowPunct/>
              <w:topLinePunct w:val="0"/>
              <w:autoSpaceDE/>
              <w:autoSpaceDN/>
              <w:bidi w:val="0"/>
              <w:adjustRightInd/>
              <w:snapToGrid w:val="0"/>
              <w:ind w:left="0" w:right="0"/>
              <w:jc w:val="center"/>
              <w:textAlignment w:val="auto"/>
              <w:rPr>
                <w:rFonts w:ascii="Times New Roman" w:hAnsi="Times New Roman" w:cs="Times New Roman"/>
                <w:color w:val="auto"/>
                <w:sz w:val="21"/>
                <w:szCs w:val="21"/>
                <w:highlight w:val="none"/>
                <w:lang w:val="zh-TW"/>
              </w:rPr>
            </w:pPr>
            <w:r>
              <w:rPr>
                <w:rFonts w:ascii="Times New Roman" w:hAnsi="Times New Roman" w:cs="Times New Roman"/>
                <w:color w:val="auto"/>
                <w:sz w:val="21"/>
                <w:szCs w:val="21"/>
                <w:highlight w:val="none"/>
                <w:lang w:val="zh-TW"/>
              </w:rPr>
              <w:t>环境风险类型</w:t>
            </w:r>
          </w:p>
        </w:tc>
        <w:tc>
          <w:tcPr>
            <w:tcW w:w="6979" w:type="dxa"/>
            <w:gridSpan w:val="10"/>
            <w:shd w:val="clear" w:color="auto" w:fill="FFFFFF"/>
            <w:vAlign w:val="center"/>
          </w:tcPr>
          <w:p w14:paraId="35951344">
            <w:pPr>
              <w:keepNext w:val="0"/>
              <w:keepLines w:val="0"/>
              <w:pageBreakBefore w:val="0"/>
              <w:widowControl/>
              <w:kinsoku/>
              <w:wordWrap/>
              <w:overflowPunct/>
              <w:topLinePunct w:val="0"/>
              <w:autoSpaceDE/>
              <w:autoSpaceDN/>
              <w:bidi w:val="0"/>
              <w:adjustRightInd/>
              <w:snapToGrid w:val="0"/>
              <w:ind w:left="0" w:right="0"/>
              <w:jc w:val="center"/>
              <w:textAlignment w:val="auto"/>
              <w:rPr>
                <w:rFonts w:ascii="Times New Roman" w:hAnsi="Times New Roman" w:cs="Times New Roman"/>
                <w:color w:val="auto"/>
                <w:sz w:val="21"/>
                <w:szCs w:val="21"/>
                <w:highlight w:val="none"/>
                <w:lang w:val="zh-TW"/>
              </w:rPr>
            </w:pPr>
            <w:r>
              <w:rPr>
                <w:rFonts w:ascii="Times New Roman" w:hAnsi="Times New Roman" w:cs="Times New Roman"/>
                <w:color w:val="auto"/>
                <w:sz w:val="21"/>
                <w:szCs w:val="21"/>
                <w:highlight w:val="none"/>
                <w:lang w:val="zh-TW"/>
              </w:rPr>
              <w:t>泄漏</w:t>
            </w:r>
          </w:p>
        </w:tc>
      </w:tr>
      <w:tr w14:paraId="15A009AD">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1525" w:type="dxa"/>
            <w:shd w:val="clear" w:color="auto" w:fill="FFFFFF"/>
            <w:vAlign w:val="center"/>
          </w:tcPr>
          <w:p w14:paraId="13F1B363">
            <w:pPr>
              <w:keepNext w:val="0"/>
              <w:keepLines w:val="0"/>
              <w:pageBreakBefore w:val="0"/>
              <w:widowControl/>
              <w:kinsoku/>
              <w:wordWrap/>
              <w:overflowPunct/>
              <w:topLinePunct w:val="0"/>
              <w:autoSpaceDE/>
              <w:autoSpaceDN/>
              <w:bidi w:val="0"/>
              <w:adjustRightInd/>
              <w:snapToGrid w:val="0"/>
              <w:ind w:left="0" w:right="0"/>
              <w:jc w:val="center"/>
              <w:textAlignment w:val="auto"/>
              <w:rPr>
                <w:rFonts w:ascii="Times New Roman" w:hAnsi="Times New Roman" w:cs="Times New Roman"/>
                <w:color w:val="auto"/>
                <w:sz w:val="21"/>
                <w:szCs w:val="21"/>
                <w:highlight w:val="none"/>
                <w:lang w:val="zh-TW"/>
              </w:rPr>
            </w:pPr>
            <w:r>
              <w:rPr>
                <w:rFonts w:ascii="Times New Roman" w:hAnsi="Times New Roman" w:cs="Times New Roman"/>
                <w:color w:val="auto"/>
                <w:sz w:val="21"/>
                <w:szCs w:val="21"/>
                <w:highlight w:val="none"/>
                <w:lang w:val="zh-TW"/>
              </w:rPr>
              <w:t>泄漏设备类型</w:t>
            </w:r>
          </w:p>
        </w:tc>
        <w:tc>
          <w:tcPr>
            <w:tcW w:w="1347" w:type="dxa"/>
            <w:gridSpan w:val="2"/>
            <w:shd w:val="clear" w:color="auto" w:fill="FFFFFF"/>
            <w:vAlign w:val="center"/>
          </w:tcPr>
          <w:p w14:paraId="1193004F">
            <w:pPr>
              <w:keepNext w:val="0"/>
              <w:keepLines w:val="0"/>
              <w:pageBreakBefore w:val="0"/>
              <w:widowControl/>
              <w:kinsoku/>
              <w:wordWrap/>
              <w:overflowPunct/>
              <w:topLinePunct w:val="0"/>
              <w:autoSpaceDE/>
              <w:autoSpaceDN/>
              <w:bidi w:val="0"/>
              <w:adjustRightInd/>
              <w:snapToGrid w:val="0"/>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储罐</w:t>
            </w:r>
          </w:p>
        </w:tc>
        <w:tc>
          <w:tcPr>
            <w:tcW w:w="1775" w:type="dxa"/>
            <w:gridSpan w:val="2"/>
            <w:shd w:val="clear" w:color="auto" w:fill="FFFFFF"/>
            <w:vAlign w:val="center"/>
          </w:tcPr>
          <w:p w14:paraId="4219A4DC">
            <w:pPr>
              <w:keepNext w:val="0"/>
              <w:keepLines w:val="0"/>
              <w:pageBreakBefore w:val="0"/>
              <w:widowControl/>
              <w:kinsoku/>
              <w:wordWrap/>
              <w:overflowPunct/>
              <w:topLinePunct w:val="0"/>
              <w:autoSpaceDE/>
              <w:autoSpaceDN/>
              <w:bidi w:val="0"/>
              <w:adjustRightInd/>
              <w:snapToGrid w:val="0"/>
              <w:ind w:left="0" w:right="0"/>
              <w:jc w:val="center"/>
              <w:textAlignment w:val="auto"/>
              <w:rPr>
                <w:rFonts w:ascii="Times New Roman" w:hAnsi="Times New Roman" w:cs="Times New Roman"/>
                <w:color w:val="auto"/>
                <w:sz w:val="21"/>
                <w:szCs w:val="21"/>
                <w:highlight w:val="none"/>
                <w:lang w:val="zh-TW"/>
              </w:rPr>
            </w:pPr>
            <w:r>
              <w:rPr>
                <w:rFonts w:ascii="Times New Roman" w:hAnsi="Times New Roman" w:cs="Times New Roman"/>
                <w:color w:val="auto"/>
                <w:sz w:val="21"/>
                <w:szCs w:val="21"/>
                <w:highlight w:val="none"/>
                <w:lang w:val="zh-TW"/>
              </w:rPr>
              <w:t>操作温度</w:t>
            </w:r>
            <w:r>
              <w:rPr>
                <w:rFonts w:ascii="Times New Roman" w:hAnsi="Times New Roman" w:cs="Times New Roman"/>
                <w:color w:val="auto"/>
                <w:sz w:val="21"/>
                <w:szCs w:val="21"/>
                <w:highlight w:val="none"/>
                <w:lang w:eastAsia="en-US"/>
              </w:rPr>
              <w:t>/℃</w:t>
            </w:r>
          </w:p>
        </w:tc>
        <w:tc>
          <w:tcPr>
            <w:tcW w:w="1030" w:type="dxa"/>
            <w:gridSpan w:val="2"/>
            <w:shd w:val="clear" w:color="auto" w:fill="FFFFFF"/>
            <w:vAlign w:val="center"/>
          </w:tcPr>
          <w:p w14:paraId="44C7C48C">
            <w:pPr>
              <w:keepNext w:val="0"/>
              <w:keepLines w:val="0"/>
              <w:pageBreakBefore w:val="0"/>
              <w:widowControl/>
              <w:kinsoku/>
              <w:wordWrap/>
              <w:overflowPunct/>
              <w:topLinePunct w:val="0"/>
              <w:autoSpaceDE/>
              <w:autoSpaceDN/>
              <w:bidi w:val="0"/>
              <w:adjustRightInd/>
              <w:snapToGrid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25</w:t>
            </w:r>
          </w:p>
        </w:tc>
        <w:tc>
          <w:tcPr>
            <w:tcW w:w="1562" w:type="dxa"/>
            <w:gridSpan w:val="2"/>
            <w:shd w:val="clear" w:color="auto" w:fill="FFFFFF"/>
            <w:vAlign w:val="center"/>
          </w:tcPr>
          <w:p w14:paraId="6E535315">
            <w:pPr>
              <w:keepNext w:val="0"/>
              <w:keepLines w:val="0"/>
              <w:pageBreakBefore w:val="0"/>
              <w:widowControl/>
              <w:kinsoku/>
              <w:wordWrap/>
              <w:overflowPunct/>
              <w:topLinePunct w:val="0"/>
              <w:autoSpaceDE/>
              <w:autoSpaceDN/>
              <w:bidi w:val="0"/>
              <w:adjustRightInd/>
              <w:snapToGrid w:val="0"/>
              <w:ind w:left="0" w:right="0"/>
              <w:jc w:val="center"/>
              <w:textAlignment w:val="auto"/>
              <w:rPr>
                <w:rFonts w:ascii="Times New Roman" w:hAnsi="Times New Roman" w:cs="Times New Roman"/>
                <w:color w:val="auto"/>
                <w:sz w:val="21"/>
                <w:szCs w:val="21"/>
                <w:highlight w:val="none"/>
                <w:lang w:val="zh-TW"/>
              </w:rPr>
            </w:pPr>
            <w:r>
              <w:rPr>
                <w:rFonts w:ascii="Times New Roman" w:hAnsi="Times New Roman" w:cs="Times New Roman"/>
                <w:color w:val="auto"/>
                <w:sz w:val="21"/>
                <w:szCs w:val="21"/>
                <w:highlight w:val="none"/>
                <w:lang w:val="zh-TW"/>
              </w:rPr>
              <w:t>操作压力</w:t>
            </w:r>
            <w:r>
              <w:rPr>
                <w:rFonts w:ascii="Times New Roman" w:hAnsi="Times New Roman" w:cs="Times New Roman"/>
                <w:color w:val="auto"/>
                <w:sz w:val="21"/>
                <w:szCs w:val="21"/>
                <w:highlight w:val="none"/>
                <w:lang w:eastAsia="en-US"/>
              </w:rPr>
              <w:t>/MPa</w:t>
            </w:r>
          </w:p>
        </w:tc>
        <w:tc>
          <w:tcPr>
            <w:tcW w:w="1265" w:type="dxa"/>
            <w:gridSpan w:val="2"/>
            <w:shd w:val="clear" w:color="auto" w:fill="FFFFFF"/>
            <w:vAlign w:val="center"/>
          </w:tcPr>
          <w:p w14:paraId="50BF599B">
            <w:pPr>
              <w:keepNext w:val="0"/>
              <w:keepLines w:val="0"/>
              <w:pageBreakBefore w:val="0"/>
              <w:widowControl/>
              <w:kinsoku/>
              <w:wordWrap/>
              <w:overflowPunct/>
              <w:topLinePunct w:val="0"/>
              <w:autoSpaceDE/>
              <w:autoSpaceDN/>
              <w:bidi w:val="0"/>
              <w:adjustRightInd/>
              <w:snapToGrid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0.1</w:t>
            </w:r>
          </w:p>
        </w:tc>
      </w:tr>
      <w:tr w14:paraId="45F00808">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1525" w:type="dxa"/>
            <w:shd w:val="clear" w:color="auto" w:fill="FFFFFF"/>
            <w:vAlign w:val="center"/>
          </w:tcPr>
          <w:p w14:paraId="4741E0DE">
            <w:pPr>
              <w:keepNext w:val="0"/>
              <w:keepLines w:val="0"/>
              <w:pageBreakBefore w:val="0"/>
              <w:widowControl/>
              <w:kinsoku/>
              <w:wordWrap/>
              <w:overflowPunct/>
              <w:topLinePunct w:val="0"/>
              <w:autoSpaceDE/>
              <w:autoSpaceDN/>
              <w:bidi w:val="0"/>
              <w:adjustRightInd/>
              <w:snapToGrid w:val="0"/>
              <w:ind w:left="0" w:right="0"/>
              <w:jc w:val="center"/>
              <w:textAlignment w:val="auto"/>
              <w:rPr>
                <w:rFonts w:ascii="Times New Roman" w:hAnsi="Times New Roman" w:cs="Times New Roman"/>
                <w:color w:val="auto"/>
                <w:sz w:val="21"/>
                <w:szCs w:val="21"/>
                <w:highlight w:val="none"/>
                <w:lang w:val="zh-TW"/>
              </w:rPr>
            </w:pPr>
            <w:r>
              <w:rPr>
                <w:rFonts w:ascii="Times New Roman" w:hAnsi="Times New Roman" w:cs="Times New Roman"/>
                <w:color w:val="auto"/>
                <w:sz w:val="21"/>
                <w:szCs w:val="21"/>
                <w:highlight w:val="none"/>
                <w:lang w:val="zh-TW"/>
              </w:rPr>
              <w:t>泄漏危险物质</w:t>
            </w:r>
          </w:p>
        </w:tc>
        <w:tc>
          <w:tcPr>
            <w:tcW w:w="1347" w:type="dxa"/>
            <w:gridSpan w:val="2"/>
            <w:shd w:val="clear" w:color="auto" w:fill="FFFFFF"/>
            <w:vAlign w:val="center"/>
          </w:tcPr>
          <w:p w14:paraId="0D79D532">
            <w:pPr>
              <w:keepNext w:val="0"/>
              <w:keepLines w:val="0"/>
              <w:pageBreakBefore w:val="0"/>
              <w:widowControl/>
              <w:kinsoku/>
              <w:wordWrap/>
              <w:overflowPunct/>
              <w:topLinePunct w:val="0"/>
              <w:autoSpaceDE/>
              <w:autoSpaceDN/>
              <w:bidi w:val="0"/>
              <w:adjustRightInd/>
              <w:snapToGrid w:val="0"/>
              <w:ind w:left="0" w:right="0"/>
              <w:jc w:val="center"/>
              <w:textAlignment w:val="auto"/>
              <w:rPr>
                <w:rFonts w:hint="eastAsia" w:ascii="Times New Roman" w:hAnsi="Times New Roman" w:eastAsia="宋体" w:cs="Times New Roman"/>
                <w:color w:val="auto"/>
                <w:sz w:val="21"/>
                <w:szCs w:val="21"/>
                <w:highlight w:val="none"/>
                <w:lang w:val="zh-TW" w:eastAsia="zh-CN"/>
              </w:rPr>
            </w:pPr>
            <w:r>
              <w:rPr>
                <w:rFonts w:hint="eastAsia" w:ascii="Times New Roman" w:hAnsi="Times New Roman" w:cs="Times New Roman"/>
                <w:color w:val="auto"/>
                <w:sz w:val="21"/>
                <w:szCs w:val="21"/>
                <w:highlight w:val="none"/>
                <w:lang w:val="en-US" w:eastAsia="zh-CN"/>
              </w:rPr>
              <w:t>喷淋废液</w:t>
            </w:r>
          </w:p>
        </w:tc>
        <w:tc>
          <w:tcPr>
            <w:tcW w:w="1775" w:type="dxa"/>
            <w:gridSpan w:val="2"/>
            <w:shd w:val="clear" w:color="auto" w:fill="FFFFFF"/>
            <w:vAlign w:val="center"/>
          </w:tcPr>
          <w:p w14:paraId="0922762D">
            <w:pPr>
              <w:keepNext w:val="0"/>
              <w:keepLines w:val="0"/>
              <w:pageBreakBefore w:val="0"/>
              <w:widowControl/>
              <w:kinsoku/>
              <w:wordWrap/>
              <w:overflowPunct/>
              <w:topLinePunct w:val="0"/>
              <w:autoSpaceDE/>
              <w:autoSpaceDN/>
              <w:bidi w:val="0"/>
              <w:adjustRightInd/>
              <w:snapToGrid w:val="0"/>
              <w:ind w:left="0" w:right="0"/>
              <w:jc w:val="center"/>
              <w:textAlignment w:val="auto"/>
              <w:rPr>
                <w:rFonts w:ascii="Times New Roman" w:hAnsi="Times New Roman" w:cs="Times New Roman"/>
                <w:color w:val="auto"/>
                <w:sz w:val="21"/>
                <w:szCs w:val="21"/>
                <w:highlight w:val="none"/>
                <w:lang w:val="zh-TW"/>
              </w:rPr>
            </w:pPr>
            <w:r>
              <w:rPr>
                <w:rFonts w:ascii="Times New Roman" w:hAnsi="Times New Roman" w:cs="Times New Roman"/>
                <w:color w:val="auto"/>
                <w:sz w:val="21"/>
                <w:szCs w:val="21"/>
                <w:highlight w:val="none"/>
                <w:lang w:val="zh-TW"/>
              </w:rPr>
              <w:t>最大存在量</w:t>
            </w:r>
            <w:r>
              <w:rPr>
                <w:rFonts w:ascii="Times New Roman" w:hAnsi="Times New Roman" w:cs="Times New Roman"/>
                <w:color w:val="auto"/>
                <w:sz w:val="21"/>
                <w:szCs w:val="21"/>
                <w:highlight w:val="none"/>
                <w:lang w:eastAsia="en-US"/>
              </w:rPr>
              <w:t>/kg</w:t>
            </w:r>
          </w:p>
        </w:tc>
        <w:tc>
          <w:tcPr>
            <w:tcW w:w="1030" w:type="dxa"/>
            <w:gridSpan w:val="2"/>
            <w:shd w:val="clear" w:color="auto" w:fill="FFFFFF"/>
            <w:vAlign w:val="center"/>
          </w:tcPr>
          <w:p w14:paraId="60ED980D">
            <w:pPr>
              <w:keepNext w:val="0"/>
              <w:keepLines w:val="0"/>
              <w:pageBreakBefore w:val="0"/>
              <w:widowControl/>
              <w:kinsoku/>
              <w:wordWrap/>
              <w:overflowPunct/>
              <w:topLinePunct w:val="0"/>
              <w:autoSpaceDE/>
              <w:autoSpaceDN/>
              <w:bidi w:val="0"/>
              <w:adjustRightInd/>
              <w:snapToGrid w:val="0"/>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20</w:t>
            </w:r>
            <w:r>
              <w:rPr>
                <w:rFonts w:ascii="Times New Roman" w:hAnsi="Times New Roman" w:cs="Times New Roman"/>
                <w:color w:val="auto"/>
                <w:sz w:val="21"/>
                <w:szCs w:val="21"/>
                <w:highlight w:val="none"/>
              </w:rPr>
              <w:t>000</w:t>
            </w:r>
          </w:p>
        </w:tc>
        <w:tc>
          <w:tcPr>
            <w:tcW w:w="1562" w:type="dxa"/>
            <w:gridSpan w:val="2"/>
            <w:shd w:val="clear" w:color="auto" w:fill="FFFFFF"/>
            <w:vAlign w:val="center"/>
          </w:tcPr>
          <w:p w14:paraId="6392DD4B">
            <w:pPr>
              <w:keepNext w:val="0"/>
              <w:keepLines w:val="0"/>
              <w:pageBreakBefore w:val="0"/>
              <w:widowControl/>
              <w:kinsoku/>
              <w:wordWrap/>
              <w:overflowPunct/>
              <w:topLinePunct w:val="0"/>
              <w:autoSpaceDE/>
              <w:autoSpaceDN/>
              <w:bidi w:val="0"/>
              <w:adjustRightInd/>
              <w:snapToGrid w:val="0"/>
              <w:ind w:left="0" w:right="0"/>
              <w:jc w:val="center"/>
              <w:textAlignment w:val="auto"/>
              <w:rPr>
                <w:rFonts w:ascii="Times New Roman" w:hAnsi="Times New Roman" w:cs="Times New Roman"/>
                <w:color w:val="auto"/>
                <w:sz w:val="21"/>
                <w:szCs w:val="21"/>
                <w:highlight w:val="none"/>
                <w:lang w:val="zh-TW"/>
              </w:rPr>
            </w:pPr>
            <w:r>
              <w:rPr>
                <w:rFonts w:ascii="Times New Roman" w:hAnsi="Times New Roman" w:cs="Times New Roman"/>
                <w:color w:val="auto"/>
                <w:sz w:val="21"/>
                <w:szCs w:val="21"/>
                <w:highlight w:val="none"/>
                <w:lang w:val="zh-TW"/>
              </w:rPr>
              <w:t>泄漏孔径</w:t>
            </w:r>
            <w:r>
              <w:rPr>
                <w:rFonts w:ascii="Times New Roman" w:hAnsi="Times New Roman" w:cs="Times New Roman"/>
                <w:color w:val="auto"/>
                <w:sz w:val="21"/>
                <w:szCs w:val="21"/>
                <w:highlight w:val="none"/>
                <w:lang w:eastAsia="en-US"/>
              </w:rPr>
              <w:t>/mm</w:t>
            </w:r>
          </w:p>
        </w:tc>
        <w:tc>
          <w:tcPr>
            <w:tcW w:w="1265" w:type="dxa"/>
            <w:gridSpan w:val="2"/>
            <w:shd w:val="clear" w:color="auto" w:fill="FFFFFF"/>
            <w:vAlign w:val="center"/>
          </w:tcPr>
          <w:p w14:paraId="1835990E">
            <w:pPr>
              <w:keepNext w:val="0"/>
              <w:keepLines w:val="0"/>
              <w:pageBreakBefore w:val="0"/>
              <w:widowControl/>
              <w:kinsoku/>
              <w:wordWrap/>
              <w:overflowPunct/>
              <w:topLinePunct w:val="0"/>
              <w:autoSpaceDE/>
              <w:autoSpaceDN/>
              <w:bidi w:val="0"/>
              <w:adjustRightInd/>
              <w:snapToGrid w:val="0"/>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储罐</w:t>
            </w:r>
            <w:r>
              <w:rPr>
                <w:rFonts w:ascii="Times New Roman" w:hAnsi="Times New Roman" w:cs="Times New Roman"/>
                <w:color w:val="auto"/>
                <w:sz w:val="21"/>
                <w:szCs w:val="21"/>
                <w:highlight w:val="none"/>
              </w:rPr>
              <w:t>完全破损泄漏</w:t>
            </w:r>
          </w:p>
        </w:tc>
      </w:tr>
      <w:tr w14:paraId="2AB7F8A2">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1525" w:type="dxa"/>
            <w:shd w:val="clear" w:color="auto" w:fill="FFFFFF"/>
            <w:vAlign w:val="center"/>
          </w:tcPr>
          <w:p w14:paraId="2FC0A948">
            <w:pPr>
              <w:keepNext w:val="0"/>
              <w:keepLines w:val="0"/>
              <w:pageBreakBefore w:val="0"/>
              <w:widowControl/>
              <w:kinsoku/>
              <w:wordWrap/>
              <w:overflowPunct/>
              <w:topLinePunct w:val="0"/>
              <w:autoSpaceDE/>
              <w:autoSpaceDN/>
              <w:bidi w:val="0"/>
              <w:adjustRightInd/>
              <w:snapToGrid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val="zh-TW"/>
              </w:rPr>
              <w:t>泄漏速率</w:t>
            </w:r>
            <w:r>
              <w:rPr>
                <w:rFonts w:ascii="Times New Roman" w:hAnsi="Times New Roman" w:cs="Times New Roman"/>
                <w:color w:val="auto"/>
                <w:sz w:val="21"/>
                <w:szCs w:val="21"/>
                <w:highlight w:val="none"/>
                <w:lang w:eastAsia="en-US"/>
              </w:rPr>
              <w:t>/(kg/s)</w:t>
            </w:r>
          </w:p>
        </w:tc>
        <w:tc>
          <w:tcPr>
            <w:tcW w:w="1347" w:type="dxa"/>
            <w:gridSpan w:val="2"/>
            <w:shd w:val="clear" w:color="auto" w:fill="FFFFFF"/>
            <w:vAlign w:val="center"/>
          </w:tcPr>
          <w:p w14:paraId="02FD5181">
            <w:pPr>
              <w:keepNext w:val="0"/>
              <w:keepLines w:val="0"/>
              <w:pageBreakBefore w:val="0"/>
              <w:widowControl/>
              <w:kinsoku/>
              <w:wordWrap/>
              <w:overflowPunct/>
              <w:topLinePunct w:val="0"/>
              <w:autoSpaceDE/>
              <w:autoSpaceDN/>
              <w:bidi w:val="0"/>
              <w:adjustRightInd/>
              <w:snapToGrid w:val="0"/>
              <w:ind w:left="0" w:right="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33.333</w:t>
            </w:r>
          </w:p>
        </w:tc>
        <w:tc>
          <w:tcPr>
            <w:tcW w:w="1775" w:type="dxa"/>
            <w:gridSpan w:val="2"/>
            <w:shd w:val="clear" w:color="auto" w:fill="FFFFFF"/>
            <w:vAlign w:val="center"/>
          </w:tcPr>
          <w:p w14:paraId="5DB87DC7">
            <w:pPr>
              <w:keepNext w:val="0"/>
              <w:keepLines w:val="0"/>
              <w:pageBreakBefore w:val="0"/>
              <w:widowControl/>
              <w:kinsoku/>
              <w:wordWrap/>
              <w:overflowPunct/>
              <w:topLinePunct w:val="0"/>
              <w:autoSpaceDE/>
              <w:autoSpaceDN/>
              <w:bidi w:val="0"/>
              <w:adjustRightInd/>
              <w:snapToGrid w:val="0"/>
              <w:ind w:left="0" w:right="0"/>
              <w:jc w:val="center"/>
              <w:textAlignment w:val="auto"/>
              <w:rPr>
                <w:rFonts w:ascii="Times New Roman" w:hAnsi="Times New Roman" w:cs="Times New Roman"/>
                <w:color w:val="auto"/>
                <w:sz w:val="21"/>
                <w:szCs w:val="21"/>
                <w:highlight w:val="none"/>
                <w:lang w:val="zh-TW"/>
              </w:rPr>
            </w:pPr>
            <w:r>
              <w:rPr>
                <w:rFonts w:ascii="Times New Roman" w:hAnsi="Times New Roman" w:cs="Times New Roman"/>
                <w:color w:val="auto"/>
                <w:sz w:val="21"/>
                <w:szCs w:val="21"/>
                <w:highlight w:val="none"/>
                <w:lang w:val="zh-TW"/>
              </w:rPr>
              <w:t>泄漏时间</w:t>
            </w:r>
            <w:r>
              <w:rPr>
                <w:rFonts w:ascii="Times New Roman" w:hAnsi="Times New Roman" w:cs="Times New Roman"/>
                <w:color w:val="auto"/>
                <w:sz w:val="21"/>
                <w:szCs w:val="21"/>
                <w:highlight w:val="none"/>
                <w:lang w:eastAsia="en-US"/>
              </w:rPr>
              <w:t>/min</w:t>
            </w:r>
          </w:p>
        </w:tc>
        <w:tc>
          <w:tcPr>
            <w:tcW w:w="1030" w:type="dxa"/>
            <w:gridSpan w:val="2"/>
            <w:shd w:val="clear" w:color="auto" w:fill="FFFFFF"/>
            <w:vAlign w:val="center"/>
          </w:tcPr>
          <w:p w14:paraId="1D39887D">
            <w:pPr>
              <w:keepNext w:val="0"/>
              <w:keepLines w:val="0"/>
              <w:pageBreakBefore w:val="0"/>
              <w:widowControl/>
              <w:kinsoku/>
              <w:wordWrap/>
              <w:overflowPunct/>
              <w:topLinePunct w:val="0"/>
              <w:autoSpaceDE/>
              <w:autoSpaceDN/>
              <w:bidi w:val="0"/>
              <w:adjustRightInd/>
              <w:snapToGrid w:val="0"/>
              <w:ind w:left="0" w:right="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10</w:t>
            </w:r>
          </w:p>
        </w:tc>
        <w:tc>
          <w:tcPr>
            <w:tcW w:w="1562" w:type="dxa"/>
            <w:gridSpan w:val="2"/>
            <w:shd w:val="clear" w:color="auto" w:fill="FFFFFF"/>
            <w:vAlign w:val="center"/>
          </w:tcPr>
          <w:p w14:paraId="069767A8">
            <w:pPr>
              <w:keepNext w:val="0"/>
              <w:keepLines w:val="0"/>
              <w:pageBreakBefore w:val="0"/>
              <w:widowControl/>
              <w:kinsoku/>
              <w:wordWrap/>
              <w:overflowPunct/>
              <w:topLinePunct w:val="0"/>
              <w:autoSpaceDE/>
              <w:autoSpaceDN/>
              <w:bidi w:val="0"/>
              <w:adjustRightInd/>
              <w:snapToGrid w:val="0"/>
              <w:ind w:left="0" w:right="0"/>
              <w:jc w:val="center"/>
              <w:textAlignment w:val="auto"/>
              <w:rPr>
                <w:rFonts w:ascii="Times New Roman" w:hAnsi="Times New Roman" w:cs="Times New Roman"/>
                <w:color w:val="auto"/>
                <w:sz w:val="21"/>
                <w:szCs w:val="21"/>
                <w:highlight w:val="none"/>
                <w:lang w:val="zh-TW"/>
              </w:rPr>
            </w:pPr>
            <w:r>
              <w:rPr>
                <w:rFonts w:ascii="Times New Roman" w:hAnsi="Times New Roman" w:cs="Times New Roman"/>
                <w:color w:val="auto"/>
                <w:sz w:val="21"/>
                <w:szCs w:val="21"/>
                <w:highlight w:val="none"/>
                <w:lang w:val="zh-TW"/>
              </w:rPr>
              <w:t>泄漏量</w:t>
            </w:r>
            <w:r>
              <w:rPr>
                <w:rFonts w:ascii="Times New Roman" w:hAnsi="Times New Roman" w:cs="Times New Roman"/>
                <w:color w:val="auto"/>
                <w:sz w:val="21"/>
                <w:szCs w:val="21"/>
                <w:highlight w:val="none"/>
                <w:lang w:eastAsia="en-US"/>
              </w:rPr>
              <w:t>/kg</w:t>
            </w:r>
          </w:p>
        </w:tc>
        <w:tc>
          <w:tcPr>
            <w:tcW w:w="1265" w:type="dxa"/>
            <w:gridSpan w:val="2"/>
            <w:shd w:val="clear" w:color="auto" w:fill="FFFFFF"/>
            <w:vAlign w:val="center"/>
          </w:tcPr>
          <w:p w14:paraId="1BEFD609">
            <w:pPr>
              <w:keepNext w:val="0"/>
              <w:keepLines w:val="0"/>
              <w:pageBreakBefore w:val="0"/>
              <w:widowControl/>
              <w:kinsoku/>
              <w:wordWrap/>
              <w:overflowPunct/>
              <w:topLinePunct w:val="0"/>
              <w:autoSpaceDE/>
              <w:autoSpaceDN/>
              <w:bidi w:val="0"/>
              <w:adjustRightInd/>
              <w:snapToGrid w:val="0"/>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20000</w:t>
            </w:r>
          </w:p>
        </w:tc>
      </w:tr>
      <w:tr w14:paraId="130A72D8">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1525" w:type="dxa"/>
            <w:shd w:val="clear" w:color="auto" w:fill="FFFFFF"/>
            <w:vAlign w:val="center"/>
          </w:tcPr>
          <w:p w14:paraId="188FEC0A">
            <w:pPr>
              <w:keepNext w:val="0"/>
              <w:keepLines w:val="0"/>
              <w:pageBreakBefore w:val="0"/>
              <w:widowControl/>
              <w:kinsoku/>
              <w:wordWrap/>
              <w:overflowPunct/>
              <w:topLinePunct w:val="0"/>
              <w:autoSpaceDE/>
              <w:autoSpaceDN/>
              <w:bidi w:val="0"/>
              <w:adjustRightInd/>
              <w:snapToGrid w:val="0"/>
              <w:ind w:left="0" w:right="0"/>
              <w:jc w:val="center"/>
              <w:textAlignment w:val="auto"/>
              <w:rPr>
                <w:rFonts w:ascii="Times New Roman" w:hAnsi="Times New Roman" w:cs="Times New Roman"/>
                <w:color w:val="auto"/>
                <w:sz w:val="21"/>
                <w:szCs w:val="21"/>
                <w:highlight w:val="none"/>
                <w:lang w:val="zh-TW"/>
              </w:rPr>
            </w:pPr>
            <w:r>
              <w:rPr>
                <w:rFonts w:ascii="Times New Roman" w:hAnsi="Times New Roman" w:cs="Times New Roman"/>
                <w:color w:val="auto"/>
                <w:sz w:val="21"/>
                <w:szCs w:val="21"/>
                <w:highlight w:val="none"/>
                <w:lang w:val="zh-TW"/>
              </w:rPr>
              <w:t>泄漏高度</w:t>
            </w:r>
            <w:r>
              <w:rPr>
                <w:rFonts w:ascii="Times New Roman" w:hAnsi="Times New Roman" w:cs="Times New Roman"/>
                <w:color w:val="auto"/>
                <w:sz w:val="21"/>
                <w:szCs w:val="21"/>
                <w:highlight w:val="none"/>
                <w:lang w:eastAsia="en-US"/>
              </w:rPr>
              <w:t>/m</w:t>
            </w:r>
          </w:p>
        </w:tc>
        <w:tc>
          <w:tcPr>
            <w:tcW w:w="1347" w:type="dxa"/>
            <w:gridSpan w:val="2"/>
            <w:shd w:val="clear" w:color="auto" w:fill="FFFFFF"/>
            <w:vAlign w:val="center"/>
          </w:tcPr>
          <w:p w14:paraId="2A8314C8">
            <w:pPr>
              <w:keepNext w:val="0"/>
              <w:keepLines w:val="0"/>
              <w:pageBreakBefore w:val="0"/>
              <w:widowControl/>
              <w:kinsoku/>
              <w:wordWrap/>
              <w:overflowPunct/>
              <w:topLinePunct w:val="0"/>
              <w:autoSpaceDE/>
              <w:autoSpaceDN/>
              <w:bidi w:val="0"/>
              <w:adjustRightInd/>
              <w:snapToGrid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0</w:t>
            </w:r>
          </w:p>
        </w:tc>
        <w:tc>
          <w:tcPr>
            <w:tcW w:w="1775" w:type="dxa"/>
            <w:gridSpan w:val="2"/>
            <w:shd w:val="clear" w:color="auto" w:fill="FFFFFF"/>
            <w:vAlign w:val="center"/>
          </w:tcPr>
          <w:p w14:paraId="55D746F5">
            <w:pPr>
              <w:keepNext w:val="0"/>
              <w:keepLines w:val="0"/>
              <w:pageBreakBefore w:val="0"/>
              <w:widowControl/>
              <w:kinsoku/>
              <w:wordWrap/>
              <w:overflowPunct/>
              <w:topLinePunct w:val="0"/>
              <w:autoSpaceDE/>
              <w:autoSpaceDN/>
              <w:bidi w:val="0"/>
              <w:adjustRightInd/>
              <w:snapToGrid w:val="0"/>
              <w:ind w:left="0" w:right="0"/>
              <w:jc w:val="center"/>
              <w:textAlignment w:val="auto"/>
              <w:rPr>
                <w:rFonts w:ascii="Times New Roman" w:hAnsi="Times New Roman" w:cs="Times New Roman"/>
                <w:color w:val="auto"/>
                <w:sz w:val="21"/>
                <w:szCs w:val="21"/>
                <w:highlight w:val="none"/>
                <w:lang w:val="zh-TW"/>
              </w:rPr>
            </w:pPr>
            <w:r>
              <w:rPr>
                <w:rFonts w:ascii="Times New Roman" w:hAnsi="Times New Roman" w:cs="Times New Roman"/>
                <w:color w:val="auto"/>
                <w:sz w:val="21"/>
                <w:szCs w:val="21"/>
                <w:highlight w:val="none"/>
                <w:lang w:val="zh-TW"/>
              </w:rPr>
              <w:t>泄漏液体蒸发量</w:t>
            </w:r>
            <w:r>
              <w:rPr>
                <w:rFonts w:ascii="Times New Roman" w:hAnsi="Times New Roman" w:cs="Times New Roman"/>
                <w:color w:val="auto"/>
                <w:sz w:val="21"/>
                <w:szCs w:val="21"/>
                <w:highlight w:val="none"/>
                <w:lang w:eastAsia="en-US"/>
              </w:rPr>
              <w:t>/kg</w:t>
            </w:r>
          </w:p>
        </w:tc>
        <w:tc>
          <w:tcPr>
            <w:tcW w:w="1030" w:type="dxa"/>
            <w:gridSpan w:val="2"/>
            <w:shd w:val="clear" w:color="auto" w:fill="FFFFFF"/>
            <w:vAlign w:val="center"/>
          </w:tcPr>
          <w:p w14:paraId="3D3C4E00">
            <w:pPr>
              <w:keepNext w:val="0"/>
              <w:keepLines w:val="0"/>
              <w:pageBreakBefore w:val="0"/>
              <w:widowControl/>
              <w:kinsoku/>
              <w:wordWrap/>
              <w:overflowPunct/>
              <w:topLinePunct w:val="0"/>
              <w:autoSpaceDE/>
              <w:autoSpaceDN/>
              <w:bidi w:val="0"/>
              <w:adjustRightInd/>
              <w:snapToGrid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w:t>
            </w:r>
          </w:p>
        </w:tc>
        <w:tc>
          <w:tcPr>
            <w:tcW w:w="1562" w:type="dxa"/>
            <w:gridSpan w:val="2"/>
            <w:shd w:val="clear" w:color="auto" w:fill="FFFFFF"/>
            <w:vAlign w:val="center"/>
          </w:tcPr>
          <w:p w14:paraId="7B68CF1D">
            <w:pPr>
              <w:keepNext w:val="0"/>
              <w:keepLines w:val="0"/>
              <w:pageBreakBefore w:val="0"/>
              <w:widowControl/>
              <w:kinsoku/>
              <w:wordWrap/>
              <w:overflowPunct/>
              <w:topLinePunct w:val="0"/>
              <w:autoSpaceDE/>
              <w:autoSpaceDN/>
              <w:bidi w:val="0"/>
              <w:adjustRightInd/>
              <w:snapToGrid w:val="0"/>
              <w:ind w:left="0" w:right="0"/>
              <w:jc w:val="center"/>
              <w:textAlignment w:val="auto"/>
              <w:rPr>
                <w:rFonts w:ascii="Times New Roman" w:hAnsi="Times New Roman" w:cs="Times New Roman"/>
                <w:color w:val="auto"/>
                <w:sz w:val="21"/>
                <w:szCs w:val="21"/>
                <w:highlight w:val="none"/>
                <w:lang w:val="zh-TW"/>
              </w:rPr>
            </w:pPr>
            <w:r>
              <w:rPr>
                <w:rFonts w:ascii="Times New Roman" w:hAnsi="Times New Roman" w:cs="Times New Roman"/>
                <w:color w:val="auto"/>
                <w:sz w:val="21"/>
                <w:szCs w:val="21"/>
                <w:highlight w:val="none"/>
                <w:lang w:val="zh-TW"/>
              </w:rPr>
              <w:t>泄漏频率</w:t>
            </w:r>
          </w:p>
        </w:tc>
        <w:tc>
          <w:tcPr>
            <w:tcW w:w="1265" w:type="dxa"/>
            <w:gridSpan w:val="2"/>
            <w:shd w:val="clear" w:color="auto" w:fill="FFFFFF"/>
            <w:vAlign w:val="center"/>
          </w:tcPr>
          <w:p w14:paraId="3F816171">
            <w:pPr>
              <w:keepNext w:val="0"/>
              <w:keepLines w:val="0"/>
              <w:pageBreakBefore w:val="0"/>
              <w:widowControl/>
              <w:kinsoku/>
              <w:wordWrap/>
              <w:overflowPunct/>
              <w:topLinePunct w:val="0"/>
              <w:autoSpaceDE/>
              <w:autoSpaceDN/>
              <w:bidi w:val="0"/>
              <w:adjustRightInd/>
              <w:snapToGrid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5.0×10</w:t>
            </w:r>
            <w:r>
              <w:rPr>
                <w:rFonts w:ascii="Times New Roman" w:hAnsi="Times New Roman" w:cs="Times New Roman"/>
                <w:color w:val="auto"/>
                <w:sz w:val="21"/>
                <w:szCs w:val="21"/>
                <w:highlight w:val="none"/>
                <w:vertAlign w:val="superscript"/>
              </w:rPr>
              <w:t>-6</w:t>
            </w:r>
            <w:r>
              <w:rPr>
                <w:rFonts w:ascii="Times New Roman" w:hAnsi="Times New Roman" w:cs="Times New Roman"/>
                <w:color w:val="auto"/>
                <w:sz w:val="21"/>
                <w:szCs w:val="21"/>
                <w:highlight w:val="none"/>
              </w:rPr>
              <w:t>/a</w:t>
            </w:r>
          </w:p>
        </w:tc>
      </w:tr>
      <w:tr w14:paraId="34A693E0">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8504" w:type="dxa"/>
            <w:gridSpan w:val="11"/>
            <w:shd w:val="clear" w:color="auto" w:fill="FFFFFF"/>
            <w:vAlign w:val="center"/>
          </w:tcPr>
          <w:p w14:paraId="18872D97">
            <w:pPr>
              <w:keepNext w:val="0"/>
              <w:keepLines w:val="0"/>
              <w:pageBreakBefore w:val="0"/>
              <w:widowControl/>
              <w:kinsoku/>
              <w:wordWrap/>
              <w:overflowPunct/>
              <w:topLinePunct w:val="0"/>
              <w:autoSpaceDE/>
              <w:autoSpaceDN/>
              <w:bidi w:val="0"/>
              <w:adjustRightInd/>
              <w:snapToGrid w:val="0"/>
              <w:ind w:left="0" w:right="0"/>
              <w:jc w:val="center"/>
              <w:textAlignment w:val="auto"/>
              <w:rPr>
                <w:rFonts w:ascii="Times New Roman" w:hAnsi="Times New Roman" w:cs="Times New Roman"/>
                <w:color w:val="auto"/>
                <w:sz w:val="21"/>
                <w:szCs w:val="21"/>
                <w:highlight w:val="none"/>
                <w:lang w:val="zh-TW"/>
              </w:rPr>
            </w:pPr>
            <w:r>
              <w:rPr>
                <w:rFonts w:ascii="Times New Roman" w:hAnsi="Times New Roman" w:cs="Times New Roman"/>
                <w:color w:val="auto"/>
                <w:sz w:val="21"/>
                <w:szCs w:val="21"/>
                <w:highlight w:val="none"/>
                <w:lang w:val="zh-TW"/>
              </w:rPr>
              <w:t>事故后果预测</w:t>
            </w:r>
          </w:p>
        </w:tc>
      </w:tr>
      <w:tr w14:paraId="14AFE686">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1525" w:type="dxa"/>
            <w:vMerge w:val="restart"/>
            <w:shd w:val="clear" w:color="auto" w:fill="FFFFFF"/>
            <w:vAlign w:val="center"/>
          </w:tcPr>
          <w:p w14:paraId="435FFF24">
            <w:pPr>
              <w:keepNext w:val="0"/>
              <w:keepLines w:val="0"/>
              <w:pageBreakBefore w:val="0"/>
              <w:widowControl/>
              <w:kinsoku/>
              <w:wordWrap/>
              <w:overflowPunct/>
              <w:topLinePunct w:val="0"/>
              <w:autoSpaceDE/>
              <w:autoSpaceDN/>
              <w:bidi w:val="0"/>
              <w:adjustRightInd/>
              <w:snapToGrid w:val="0"/>
              <w:ind w:left="0" w:right="0"/>
              <w:jc w:val="center"/>
              <w:textAlignment w:val="auto"/>
              <w:rPr>
                <w:rFonts w:ascii="Times New Roman" w:hAnsi="Times New Roman" w:cs="Times New Roman"/>
                <w:color w:val="auto"/>
                <w:sz w:val="21"/>
                <w:szCs w:val="21"/>
                <w:highlight w:val="none"/>
                <w:lang w:val="zh-TW"/>
              </w:rPr>
            </w:pPr>
            <w:r>
              <w:rPr>
                <w:rFonts w:ascii="Times New Roman" w:hAnsi="Times New Roman" w:cs="Times New Roman"/>
                <w:color w:val="auto"/>
                <w:sz w:val="21"/>
                <w:szCs w:val="21"/>
                <w:highlight w:val="none"/>
                <w:lang w:val="zh-TW"/>
              </w:rPr>
              <w:t>地表水</w:t>
            </w:r>
          </w:p>
        </w:tc>
        <w:tc>
          <w:tcPr>
            <w:tcW w:w="599" w:type="dxa"/>
            <w:shd w:val="clear" w:color="auto" w:fill="FFFFFF"/>
            <w:vAlign w:val="center"/>
          </w:tcPr>
          <w:p w14:paraId="7B1C676E">
            <w:pPr>
              <w:keepNext w:val="0"/>
              <w:keepLines w:val="0"/>
              <w:pageBreakBefore w:val="0"/>
              <w:widowControl/>
              <w:kinsoku/>
              <w:wordWrap/>
              <w:overflowPunct/>
              <w:topLinePunct w:val="0"/>
              <w:autoSpaceDE/>
              <w:autoSpaceDN/>
              <w:bidi w:val="0"/>
              <w:adjustRightInd/>
              <w:snapToGrid w:val="0"/>
              <w:ind w:left="0" w:right="0"/>
              <w:jc w:val="center"/>
              <w:textAlignment w:val="auto"/>
              <w:rPr>
                <w:rFonts w:ascii="Times New Roman" w:hAnsi="Times New Roman" w:cs="Times New Roman"/>
                <w:color w:val="auto"/>
                <w:sz w:val="21"/>
                <w:szCs w:val="21"/>
                <w:highlight w:val="none"/>
                <w:lang w:val="zh-TW"/>
              </w:rPr>
            </w:pPr>
            <w:r>
              <w:rPr>
                <w:rFonts w:ascii="Times New Roman" w:hAnsi="Times New Roman" w:cs="Times New Roman"/>
                <w:color w:val="auto"/>
                <w:sz w:val="21"/>
                <w:szCs w:val="21"/>
                <w:highlight w:val="none"/>
                <w:lang w:val="zh-TW"/>
              </w:rPr>
              <w:t>危险物质</w:t>
            </w:r>
          </w:p>
        </w:tc>
        <w:tc>
          <w:tcPr>
            <w:tcW w:w="6380" w:type="dxa"/>
            <w:gridSpan w:val="9"/>
            <w:shd w:val="clear" w:color="auto" w:fill="FFFFFF"/>
            <w:vAlign w:val="center"/>
          </w:tcPr>
          <w:p w14:paraId="542C928F">
            <w:pPr>
              <w:keepNext w:val="0"/>
              <w:keepLines w:val="0"/>
              <w:pageBreakBefore w:val="0"/>
              <w:widowControl/>
              <w:kinsoku/>
              <w:wordWrap/>
              <w:overflowPunct/>
              <w:topLinePunct w:val="0"/>
              <w:autoSpaceDE/>
              <w:autoSpaceDN/>
              <w:bidi w:val="0"/>
              <w:adjustRightInd/>
              <w:snapToGrid w:val="0"/>
              <w:ind w:left="0" w:right="0"/>
              <w:jc w:val="center"/>
              <w:textAlignment w:val="auto"/>
              <w:rPr>
                <w:rFonts w:ascii="Times New Roman" w:hAnsi="Times New Roman" w:cs="Times New Roman"/>
                <w:color w:val="auto"/>
                <w:sz w:val="21"/>
                <w:szCs w:val="21"/>
                <w:highlight w:val="none"/>
                <w:lang w:val="zh-TW"/>
              </w:rPr>
            </w:pPr>
            <w:r>
              <w:rPr>
                <w:rFonts w:ascii="Times New Roman" w:hAnsi="Times New Roman" w:cs="Times New Roman"/>
                <w:color w:val="auto"/>
                <w:sz w:val="21"/>
                <w:szCs w:val="21"/>
                <w:highlight w:val="none"/>
                <w:lang w:val="zh-TW"/>
              </w:rPr>
              <w:t>地表水环境影响</w:t>
            </w:r>
          </w:p>
        </w:tc>
      </w:tr>
      <w:tr w14:paraId="386DFF30">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1525" w:type="dxa"/>
            <w:vMerge w:val="continue"/>
            <w:shd w:val="clear" w:color="auto" w:fill="FFFFFF"/>
            <w:vAlign w:val="center"/>
          </w:tcPr>
          <w:p w14:paraId="10E80DA7">
            <w:pPr>
              <w:keepNext w:val="0"/>
              <w:keepLines w:val="0"/>
              <w:pageBreakBefore w:val="0"/>
              <w:widowControl/>
              <w:kinsoku/>
              <w:wordWrap/>
              <w:overflowPunct/>
              <w:topLinePunct w:val="0"/>
              <w:autoSpaceDE/>
              <w:autoSpaceDN/>
              <w:bidi w:val="0"/>
              <w:adjustRightInd/>
              <w:snapToGrid w:val="0"/>
              <w:ind w:left="0" w:right="0"/>
              <w:jc w:val="center"/>
              <w:textAlignment w:val="auto"/>
              <w:rPr>
                <w:rFonts w:ascii="Times New Roman" w:hAnsi="Times New Roman" w:cs="Times New Roman"/>
                <w:color w:val="auto"/>
                <w:sz w:val="21"/>
                <w:szCs w:val="21"/>
                <w:highlight w:val="none"/>
                <w:lang w:val="zh-TW"/>
              </w:rPr>
            </w:pPr>
          </w:p>
        </w:tc>
        <w:tc>
          <w:tcPr>
            <w:tcW w:w="599" w:type="dxa"/>
            <w:vMerge w:val="restart"/>
            <w:shd w:val="clear" w:color="auto" w:fill="FFFFFF"/>
            <w:vAlign w:val="center"/>
          </w:tcPr>
          <w:p w14:paraId="52DD9D6A">
            <w:pPr>
              <w:keepNext w:val="0"/>
              <w:keepLines w:val="0"/>
              <w:pageBreakBefore w:val="0"/>
              <w:widowControl/>
              <w:kinsoku/>
              <w:wordWrap/>
              <w:overflowPunct/>
              <w:topLinePunct w:val="0"/>
              <w:autoSpaceDE/>
              <w:autoSpaceDN/>
              <w:bidi w:val="0"/>
              <w:adjustRightInd/>
              <w:snapToGrid w:val="0"/>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COD</w:t>
            </w:r>
          </w:p>
        </w:tc>
        <w:tc>
          <w:tcPr>
            <w:tcW w:w="1541" w:type="dxa"/>
            <w:gridSpan w:val="2"/>
            <w:shd w:val="clear" w:color="auto" w:fill="FFFFFF"/>
            <w:vAlign w:val="center"/>
          </w:tcPr>
          <w:p w14:paraId="535766A7">
            <w:pPr>
              <w:keepNext w:val="0"/>
              <w:keepLines w:val="0"/>
              <w:pageBreakBefore w:val="0"/>
              <w:widowControl/>
              <w:kinsoku/>
              <w:wordWrap/>
              <w:overflowPunct/>
              <w:topLinePunct w:val="0"/>
              <w:autoSpaceDE/>
              <w:autoSpaceDN/>
              <w:bidi w:val="0"/>
              <w:adjustRightInd/>
              <w:snapToGrid w:val="0"/>
              <w:ind w:left="0" w:right="0"/>
              <w:jc w:val="center"/>
              <w:textAlignment w:val="auto"/>
              <w:rPr>
                <w:rFonts w:ascii="Times New Roman" w:hAnsi="Times New Roman" w:cs="Times New Roman"/>
                <w:color w:val="auto"/>
                <w:sz w:val="21"/>
                <w:szCs w:val="21"/>
                <w:highlight w:val="none"/>
                <w:lang w:val="zh-TW"/>
              </w:rPr>
            </w:pPr>
            <w:r>
              <w:rPr>
                <w:rFonts w:ascii="Times New Roman" w:hAnsi="Times New Roman" w:cs="Times New Roman"/>
                <w:color w:val="auto"/>
                <w:sz w:val="21"/>
                <w:szCs w:val="21"/>
                <w:highlight w:val="none"/>
                <w:lang w:val="zh-TW"/>
              </w:rPr>
              <w:t>受纳水体名称</w:t>
            </w:r>
          </w:p>
        </w:tc>
        <w:tc>
          <w:tcPr>
            <w:tcW w:w="2850" w:type="dxa"/>
            <w:gridSpan w:val="4"/>
            <w:shd w:val="clear" w:color="auto" w:fill="FFFFFF"/>
            <w:vAlign w:val="center"/>
          </w:tcPr>
          <w:p w14:paraId="0E4B807D">
            <w:pPr>
              <w:keepNext w:val="0"/>
              <w:keepLines w:val="0"/>
              <w:pageBreakBefore w:val="0"/>
              <w:widowControl/>
              <w:kinsoku/>
              <w:wordWrap/>
              <w:overflowPunct/>
              <w:topLinePunct w:val="0"/>
              <w:autoSpaceDE/>
              <w:autoSpaceDN/>
              <w:bidi w:val="0"/>
              <w:adjustRightInd/>
              <w:snapToGrid w:val="0"/>
              <w:ind w:left="0" w:right="0"/>
              <w:jc w:val="center"/>
              <w:textAlignment w:val="auto"/>
              <w:rPr>
                <w:rFonts w:ascii="Times New Roman" w:hAnsi="Times New Roman" w:cs="Times New Roman"/>
                <w:color w:val="auto"/>
                <w:sz w:val="21"/>
                <w:szCs w:val="21"/>
                <w:highlight w:val="none"/>
                <w:lang w:val="zh-TW"/>
              </w:rPr>
            </w:pPr>
            <w:r>
              <w:rPr>
                <w:rFonts w:ascii="Times New Roman" w:hAnsi="Times New Roman" w:cs="Times New Roman"/>
                <w:color w:val="auto"/>
                <w:sz w:val="21"/>
                <w:szCs w:val="21"/>
                <w:highlight w:val="none"/>
                <w:lang w:val="zh-TW"/>
              </w:rPr>
              <w:t>最远超标距离/m</w:t>
            </w:r>
          </w:p>
        </w:tc>
        <w:tc>
          <w:tcPr>
            <w:tcW w:w="1989" w:type="dxa"/>
            <w:gridSpan w:val="3"/>
            <w:shd w:val="clear" w:color="auto" w:fill="FFFFFF"/>
            <w:vAlign w:val="center"/>
          </w:tcPr>
          <w:p w14:paraId="66344A06">
            <w:pPr>
              <w:keepNext w:val="0"/>
              <w:keepLines w:val="0"/>
              <w:pageBreakBefore w:val="0"/>
              <w:widowControl/>
              <w:kinsoku/>
              <w:wordWrap/>
              <w:overflowPunct/>
              <w:topLinePunct w:val="0"/>
              <w:autoSpaceDE/>
              <w:autoSpaceDN/>
              <w:bidi w:val="0"/>
              <w:adjustRightInd/>
              <w:snapToGrid w:val="0"/>
              <w:ind w:left="0" w:right="0"/>
              <w:jc w:val="center"/>
              <w:textAlignment w:val="auto"/>
              <w:rPr>
                <w:rFonts w:ascii="Times New Roman" w:hAnsi="Times New Roman" w:cs="Times New Roman"/>
                <w:color w:val="auto"/>
                <w:sz w:val="21"/>
                <w:szCs w:val="21"/>
                <w:highlight w:val="none"/>
                <w:lang w:val="zh-TW"/>
              </w:rPr>
            </w:pPr>
            <w:r>
              <w:rPr>
                <w:rFonts w:ascii="Times New Roman" w:hAnsi="Times New Roman" w:cs="Times New Roman"/>
                <w:color w:val="auto"/>
                <w:sz w:val="21"/>
                <w:szCs w:val="21"/>
                <w:highlight w:val="none"/>
                <w:lang w:val="zh-TW"/>
              </w:rPr>
              <w:t>到达时间</w:t>
            </w:r>
            <w:r>
              <w:rPr>
                <w:rFonts w:ascii="Times New Roman" w:hAnsi="Times New Roman" w:cs="Times New Roman"/>
                <w:color w:val="auto"/>
                <w:sz w:val="21"/>
                <w:szCs w:val="21"/>
                <w:highlight w:val="none"/>
                <w:lang w:eastAsia="en-US"/>
              </w:rPr>
              <w:t>/min</w:t>
            </w:r>
          </w:p>
        </w:tc>
      </w:tr>
      <w:tr w14:paraId="58BD8DE4">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1525" w:type="dxa"/>
            <w:vMerge w:val="continue"/>
            <w:shd w:val="clear" w:color="auto" w:fill="FFFFFF"/>
            <w:vAlign w:val="center"/>
          </w:tcPr>
          <w:p w14:paraId="3654703B">
            <w:pPr>
              <w:keepNext w:val="0"/>
              <w:keepLines w:val="0"/>
              <w:pageBreakBefore w:val="0"/>
              <w:widowControl/>
              <w:kinsoku/>
              <w:wordWrap/>
              <w:overflowPunct/>
              <w:topLinePunct w:val="0"/>
              <w:autoSpaceDE/>
              <w:autoSpaceDN/>
              <w:bidi w:val="0"/>
              <w:adjustRightInd/>
              <w:snapToGrid w:val="0"/>
              <w:ind w:left="0" w:right="0"/>
              <w:jc w:val="center"/>
              <w:textAlignment w:val="auto"/>
              <w:rPr>
                <w:rFonts w:ascii="Times New Roman" w:hAnsi="Times New Roman" w:cs="Times New Roman"/>
                <w:color w:val="auto"/>
                <w:sz w:val="21"/>
                <w:szCs w:val="21"/>
                <w:highlight w:val="none"/>
                <w:lang w:val="zh-TW"/>
              </w:rPr>
            </w:pPr>
          </w:p>
        </w:tc>
        <w:tc>
          <w:tcPr>
            <w:tcW w:w="599" w:type="dxa"/>
            <w:vMerge w:val="continue"/>
            <w:shd w:val="clear" w:color="auto" w:fill="FFFFFF"/>
            <w:vAlign w:val="center"/>
          </w:tcPr>
          <w:p w14:paraId="1CCB1100">
            <w:pPr>
              <w:keepNext w:val="0"/>
              <w:keepLines w:val="0"/>
              <w:pageBreakBefore w:val="0"/>
              <w:widowControl/>
              <w:kinsoku/>
              <w:wordWrap/>
              <w:overflowPunct/>
              <w:topLinePunct w:val="0"/>
              <w:autoSpaceDE/>
              <w:autoSpaceDN/>
              <w:bidi w:val="0"/>
              <w:adjustRightInd/>
              <w:snapToGrid w:val="0"/>
              <w:ind w:left="0" w:right="0"/>
              <w:jc w:val="center"/>
              <w:textAlignment w:val="auto"/>
              <w:rPr>
                <w:rFonts w:ascii="Times New Roman" w:hAnsi="Times New Roman" w:cs="Times New Roman"/>
                <w:color w:val="auto"/>
                <w:sz w:val="21"/>
                <w:szCs w:val="21"/>
                <w:highlight w:val="none"/>
                <w:lang w:val="zh-TW"/>
              </w:rPr>
            </w:pPr>
          </w:p>
        </w:tc>
        <w:tc>
          <w:tcPr>
            <w:tcW w:w="1541" w:type="dxa"/>
            <w:gridSpan w:val="2"/>
            <w:shd w:val="clear" w:color="auto" w:fill="FFFFFF"/>
            <w:vAlign w:val="center"/>
          </w:tcPr>
          <w:p w14:paraId="2481DEA2">
            <w:pPr>
              <w:keepNext w:val="0"/>
              <w:keepLines w:val="0"/>
              <w:pageBreakBefore w:val="0"/>
              <w:widowControl/>
              <w:kinsoku/>
              <w:wordWrap/>
              <w:overflowPunct/>
              <w:topLinePunct w:val="0"/>
              <w:autoSpaceDE/>
              <w:autoSpaceDN/>
              <w:bidi w:val="0"/>
              <w:adjustRightInd/>
              <w:snapToGrid w:val="0"/>
              <w:ind w:left="0" w:right="0"/>
              <w:jc w:val="center"/>
              <w:textAlignment w:val="auto"/>
              <w:rPr>
                <w:rFonts w:ascii="Times New Roman" w:hAnsi="Times New Roman" w:cs="Times New Roman"/>
                <w:bCs/>
                <w:color w:val="auto"/>
                <w:sz w:val="21"/>
                <w:szCs w:val="21"/>
                <w:highlight w:val="none"/>
              </w:rPr>
            </w:pPr>
            <w:r>
              <w:rPr>
                <w:rFonts w:hint="eastAsia" w:ascii="Times New Roman" w:hAnsi="Times New Roman" w:cs="Times New Roman"/>
                <w:bCs/>
                <w:color w:val="auto"/>
                <w:sz w:val="21"/>
                <w:szCs w:val="21"/>
                <w:highlight w:val="none"/>
              </w:rPr>
              <w:t>锡北运</w:t>
            </w:r>
            <w:r>
              <w:rPr>
                <w:rFonts w:ascii="Times New Roman" w:hAnsi="Times New Roman" w:cs="Times New Roman"/>
                <w:bCs/>
                <w:color w:val="auto"/>
                <w:sz w:val="21"/>
                <w:szCs w:val="21"/>
                <w:highlight w:val="none"/>
              </w:rPr>
              <w:t>河</w:t>
            </w:r>
          </w:p>
        </w:tc>
        <w:tc>
          <w:tcPr>
            <w:tcW w:w="2850" w:type="dxa"/>
            <w:gridSpan w:val="4"/>
            <w:shd w:val="clear" w:color="auto" w:fill="FFFFFF"/>
            <w:vAlign w:val="center"/>
          </w:tcPr>
          <w:p w14:paraId="3AE8025C">
            <w:pPr>
              <w:keepNext w:val="0"/>
              <w:keepLines w:val="0"/>
              <w:pageBreakBefore w:val="0"/>
              <w:widowControl/>
              <w:kinsoku/>
              <w:wordWrap/>
              <w:overflowPunct/>
              <w:topLinePunct w:val="0"/>
              <w:autoSpaceDE/>
              <w:autoSpaceDN/>
              <w:bidi w:val="0"/>
              <w:adjustRightInd/>
              <w:snapToGrid w:val="0"/>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w:t>
            </w:r>
          </w:p>
        </w:tc>
        <w:tc>
          <w:tcPr>
            <w:tcW w:w="1989" w:type="dxa"/>
            <w:gridSpan w:val="3"/>
            <w:shd w:val="clear" w:color="auto" w:fill="FFFFFF"/>
            <w:vAlign w:val="center"/>
          </w:tcPr>
          <w:p w14:paraId="31E87375">
            <w:pPr>
              <w:keepNext w:val="0"/>
              <w:keepLines w:val="0"/>
              <w:pageBreakBefore w:val="0"/>
              <w:widowControl/>
              <w:kinsoku/>
              <w:wordWrap/>
              <w:overflowPunct/>
              <w:topLinePunct w:val="0"/>
              <w:autoSpaceDE/>
              <w:autoSpaceDN/>
              <w:bidi w:val="0"/>
              <w:adjustRightInd/>
              <w:snapToGrid w:val="0"/>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w:t>
            </w:r>
          </w:p>
        </w:tc>
      </w:tr>
      <w:tr w14:paraId="32A843E5">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1525" w:type="dxa"/>
            <w:vMerge w:val="continue"/>
            <w:shd w:val="clear" w:color="auto" w:fill="FFFFFF"/>
            <w:vAlign w:val="center"/>
          </w:tcPr>
          <w:p w14:paraId="0F70D4E2">
            <w:pPr>
              <w:keepNext w:val="0"/>
              <w:keepLines w:val="0"/>
              <w:pageBreakBefore w:val="0"/>
              <w:widowControl/>
              <w:kinsoku/>
              <w:wordWrap/>
              <w:overflowPunct/>
              <w:topLinePunct w:val="0"/>
              <w:autoSpaceDE/>
              <w:autoSpaceDN/>
              <w:bidi w:val="0"/>
              <w:adjustRightInd/>
              <w:snapToGrid w:val="0"/>
              <w:ind w:left="0" w:right="0"/>
              <w:jc w:val="center"/>
              <w:textAlignment w:val="auto"/>
              <w:rPr>
                <w:rFonts w:ascii="Times New Roman" w:hAnsi="Times New Roman" w:cs="Times New Roman"/>
                <w:color w:val="auto"/>
                <w:sz w:val="21"/>
                <w:szCs w:val="21"/>
                <w:highlight w:val="none"/>
                <w:lang w:val="zh-TW"/>
              </w:rPr>
            </w:pPr>
          </w:p>
        </w:tc>
        <w:tc>
          <w:tcPr>
            <w:tcW w:w="599" w:type="dxa"/>
            <w:vMerge w:val="continue"/>
            <w:shd w:val="clear" w:color="auto" w:fill="FFFFFF"/>
            <w:vAlign w:val="center"/>
          </w:tcPr>
          <w:p w14:paraId="38B52529">
            <w:pPr>
              <w:keepNext w:val="0"/>
              <w:keepLines w:val="0"/>
              <w:pageBreakBefore w:val="0"/>
              <w:widowControl/>
              <w:kinsoku/>
              <w:wordWrap/>
              <w:overflowPunct/>
              <w:topLinePunct w:val="0"/>
              <w:autoSpaceDE/>
              <w:autoSpaceDN/>
              <w:bidi w:val="0"/>
              <w:adjustRightInd/>
              <w:snapToGrid w:val="0"/>
              <w:ind w:left="0" w:right="0"/>
              <w:jc w:val="center"/>
              <w:textAlignment w:val="auto"/>
              <w:rPr>
                <w:rFonts w:ascii="Times New Roman" w:hAnsi="Times New Roman" w:cs="Times New Roman"/>
                <w:color w:val="auto"/>
                <w:sz w:val="21"/>
                <w:szCs w:val="21"/>
                <w:highlight w:val="none"/>
                <w:lang w:val="zh-TW"/>
              </w:rPr>
            </w:pPr>
          </w:p>
        </w:tc>
        <w:tc>
          <w:tcPr>
            <w:tcW w:w="1541" w:type="dxa"/>
            <w:gridSpan w:val="2"/>
            <w:shd w:val="clear" w:color="auto" w:fill="FFFFFF"/>
            <w:vAlign w:val="center"/>
          </w:tcPr>
          <w:p w14:paraId="0618A7AD">
            <w:pPr>
              <w:keepNext w:val="0"/>
              <w:keepLines w:val="0"/>
              <w:pageBreakBefore w:val="0"/>
              <w:widowControl/>
              <w:kinsoku/>
              <w:wordWrap/>
              <w:overflowPunct/>
              <w:topLinePunct w:val="0"/>
              <w:autoSpaceDE/>
              <w:autoSpaceDN/>
              <w:bidi w:val="0"/>
              <w:adjustRightInd/>
              <w:snapToGrid w:val="0"/>
              <w:ind w:left="0" w:right="0"/>
              <w:jc w:val="center"/>
              <w:textAlignment w:val="auto"/>
              <w:rPr>
                <w:rFonts w:ascii="Times New Roman" w:hAnsi="Times New Roman" w:cs="Times New Roman"/>
                <w:color w:val="auto"/>
                <w:sz w:val="21"/>
                <w:szCs w:val="21"/>
                <w:highlight w:val="none"/>
                <w:lang w:val="zh-TW"/>
              </w:rPr>
            </w:pPr>
            <w:r>
              <w:rPr>
                <w:rFonts w:ascii="Times New Roman" w:hAnsi="Times New Roman" w:cs="Times New Roman"/>
                <w:color w:val="auto"/>
                <w:sz w:val="21"/>
                <w:szCs w:val="21"/>
                <w:highlight w:val="none"/>
                <w:lang w:val="zh-TW"/>
              </w:rPr>
              <w:t>敏感目标名称</w:t>
            </w:r>
          </w:p>
        </w:tc>
        <w:tc>
          <w:tcPr>
            <w:tcW w:w="1432" w:type="dxa"/>
            <w:gridSpan w:val="2"/>
            <w:shd w:val="clear" w:color="auto" w:fill="FFFFFF"/>
            <w:vAlign w:val="center"/>
          </w:tcPr>
          <w:p w14:paraId="65EB63F8">
            <w:pPr>
              <w:keepNext w:val="0"/>
              <w:keepLines w:val="0"/>
              <w:pageBreakBefore w:val="0"/>
              <w:widowControl/>
              <w:kinsoku/>
              <w:wordWrap/>
              <w:overflowPunct/>
              <w:topLinePunct w:val="0"/>
              <w:autoSpaceDE/>
              <w:autoSpaceDN/>
              <w:bidi w:val="0"/>
              <w:adjustRightInd/>
              <w:snapToGrid w:val="0"/>
              <w:ind w:left="0" w:right="0"/>
              <w:jc w:val="center"/>
              <w:textAlignment w:val="auto"/>
              <w:rPr>
                <w:rFonts w:ascii="Times New Roman" w:hAnsi="Times New Roman" w:cs="Times New Roman"/>
                <w:color w:val="auto"/>
                <w:sz w:val="21"/>
                <w:szCs w:val="21"/>
                <w:highlight w:val="none"/>
                <w:lang w:val="zh-TW"/>
              </w:rPr>
            </w:pPr>
            <w:r>
              <w:rPr>
                <w:rFonts w:ascii="Times New Roman" w:hAnsi="Times New Roman" w:cs="Times New Roman"/>
                <w:color w:val="auto"/>
                <w:sz w:val="21"/>
                <w:szCs w:val="21"/>
                <w:highlight w:val="none"/>
              </w:rPr>
              <w:t>到达时间</w:t>
            </w:r>
            <w:r>
              <w:rPr>
                <w:rFonts w:ascii="Times New Roman" w:hAnsi="Times New Roman" w:cs="Times New Roman"/>
                <w:color w:val="auto"/>
                <w:sz w:val="21"/>
                <w:szCs w:val="21"/>
                <w:highlight w:val="none"/>
                <w:lang w:eastAsia="en-US"/>
              </w:rPr>
              <w:t>/h</w:t>
            </w:r>
          </w:p>
        </w:tc>
        <w:tc>
          <w:tcPr>
            <w:tcW w:w="1418" w:type="dxa"/>
            <w:gridSpan w:val="2"/>
            <w:shd w:val="clear" w:color="auto" w:fill="FFFFFF"/>
            <w:vAlign w:val="center"/>
          </w:tcPr>
          <w:p w14:paraId="4E3E464D">
            <w:pPr>
              <w:keepNext w:val="0"/>
              <w:keepLines w:val="0"/>
              <w:pageBreakBefore w:val="0"/>
              <w:widowControl/>
              <w:kinsoku/>
              <w:wordWrap/>
              <w:overflowPunct/>
              <w:topLinePunct w:val="0"/>
              <w:autoSpaceDE/>
              <w:autoSpaceDN/>
              <w:bidi w:val="0"/>
              <w:adjustRightInd/>
              <w:snapToGrid w:val="0"/>
              <w:ind w:left="0" w:right="0"/>
              <w:jc w:val="center"/>
              <w:textAlignment w:val="auto"/>
              <w:rPr>
                <w:rFonts w:ascii="Times New Roman" w:hAnsi="Times New Roman" w:cs="Times New Roman"/>
                <w:color w:val="auto"/>
                <w:sz w:val="21"/>
                <w:szCs w:val="21"/>
                <w:highlight w:val="none"/>
                <w:lang w:val="zh-TW"/>
              </w:rPr>
            </w:pPr>
            <w:r>
              <w:rPr>
                <w:rFonts w:ascii="Times New Roman" w:hAnsi="Times New Roman" w:cs="Times New Roman"/>
                <w:color w:val="auto"/>
                <w:sz w:val="21"/>
                <w:szCs w:val="21"/>
                <w:highlight w:val="none"/>
                <w:lang w:eastAsia="en-US"/>
              </w:rPr>
              <w:t>超标时间/min</w:t>
            </w:r>
          </w:p>
        </w:tc>
        <w:tc>
          <w:tcPr>
            <w:tcW w:w="1064" w:type="dxa"/>
            <w:gridSpan w:val="2"/>
            <w:shd w:val="clear" w:color="auto" w:fill="FFFFFF"/>
            <w:vAlign w:val="center"/>
          </w:tcPr>
          <w:p w14:paraId="2E2B0CAE">
            <w:pPr>
              <w:keepNext w:val="0"/>
              <w:keepLines w:val="0"/>
              <w:pageBreakBefore w:val="0"/>
              <w:widowControl/>
              <w:kinsoku/>
              <w:wordWrap/>
              <w:overflowPunct/>
              <w:topLinePunct w:val="0"/>
              <w:autoSpaceDE/>
              <w:autoSpaceDN/>
              <w:bidi w:val="0"/>
              <w:adjustRightInd/>
              <w:snapToGrid w:val="0"/>
              <w:ind w:left="0" w:right="0"/>
              <w:jc w:val="center"/>
              <w:textAlignment w:val="auto"/>
              <w:rPr>
                <w:rFonts w:ascii="Times New Roman" w:hAnsi="Times New Roman" w:cs="Times New Roman"/>
                <w:color w:val="auto"/>
                <w:sz w:val="21"/>
                <w:szCs w:val="21"/>
                <w:highlight w:val="none"/>
                <w:lang w:val="zh-TW"/>
              </w:rPr>
            </w:pPr>
            <w:r>
              <w:rPr>
                <w:rFonts w:ascii="Times New Roman" w:hAnsi="Times New Roman" w:cs="Times New Roman"/>
                <w:color w:val="auto"/>
                <w:sz w:val="21"/>
                <w:szCs w:val="21"/>
                <w:highlight w:val="none"/>
                <w:lang w:val="zh-TW"/>
              </w:rPr>
              <w:t>超标持续时间/h</w:t>
            </w:r>
          </w:p>
        </w:tc>
        <w:tc>
          <w:tcPr>
            <w:tcW w:w="925" w:type="dxa"/>
            <w:shd w:val="clear" w:color="auto" w:fill="FFFFFF"/>
            <w:vAlign w:val="center"/>
          </w:tcPr>
          <w:p w14:paraId="3F98BCD5">
            <w:pPr>
              <w:keepNext w:val="0"/>
              <w:keepLines w:val="0"/>
              <w:pageBreakBefore w:val="0"/>
              <w:widowControl/>
              <w:kinsoku/>
              <w:wordWrap/>
              <w:overflowPunct/>
              <w:topLinePunct w:val="0"/>
              <w:autoSpaceDE/>
              <w:autoSpaceDN/>
              <w:bidi w:val="0"/>
              <w:adjustRightInd/>
              <w:snapToGrid w:val="0"/>
              <w:ind w:left="0" w:right="0"/>
              <w:jc w:val="center"/>
              <w:textAlignment w:val="auto"/>
              <w:rPr>
                <w:rFonts w:ascii="Times New Roman" w:hAnsi="Times New Roman" w:cs="Times New Roman"/>
                <w:color w:val="auto"/>
                <w:sz w:val="21"/>
                <w:szCs w:val="21"/>
                <w:highlight w:val="none"/>
                <w:lang w:eastAsia="en-US"/>
              </w:rPr>
            </w:pPr>
            <w:r>
              <w:rPr>
                <w:rFonts w:ascii="Times New Roman" w:hAnsi="Times New Roman" w:cs="Times New Roman"/>
                <w:color w:val="auto"/>
                <w:sz w:val="21"/>
                <w:szCs w:val="21"/>
                <w:highlight w:val="none"/>
                <w:lang w:eastAsia="en-US"/>
              </w:rPr>
              <w:t>最大浓度</w:t>
            </w:r>
          </w:p>
          <w:p w14:paraId="1C875E5E">
            <w:pPr>
              <w:keepNext w:val="0"/>
              <w:keepLines w:val="0"/>
              <w:pageBreakBefore w:val="0"/>
              <w:widowControl/>
              <w:kinsoku/>
              <w:wordWrap/>
              <w:overflowPunct/>
              <w:topLinePunct w:val="0"/>
              <w:autoSpaceDE/>
              <w:autoSpaceDN/>
              <w:bidi w:val="0"/>
              <w:adjustRightInd/>
              <w:snapToGrid w:val="0"/>
              <w:ind w:left="0" w:right="0"/>
              <w:jc w:val="center"/>
              <w:textAlignment w:val="auto"/>
              <w:rPr>
                <w:rFonts w:ascii="Times New Roman" w:hAnsi="Times New Roman" w:cs="Times New Roman"/>
                <w:color w:val="auto"/>
                <w:sz w:val="21"/>
                <w:szCs w:val="21"/>
                <w:highlight w:val="none"/>
                <w:lang w:eastAsia="en-US"/>
              </w:rPr>
            </w:pPr>
            <w:r>
              <w:rPr>
                <w:rFonts w:ascii="Times New Roman" w:hAnsi="Times New Roman" w:cs="Times New Roman"/>
                <w:color w:val="auto"/>
                <w:sz w:val="21"/>
                <w:szCs w:val="21"/>
                <w:highlight w:val="none"/>
                <w:lang w:eastAsia="en-US"/>
              </w:rPr>
              <w:t>/(mg/m</w:t>
            </w:r>
            <w:r>
              <w:rPr>
                <w:rFonts w:ascii="Times New Roman" w:hAnsi="Times New Roman" w:cs="Times New Roman"/>
                <w:color w:val="auto"/>
                <w:sz w:val="21"/>
                <w:szCs w:val="21"/>
                <w:highlight w:val="none"/>
                <w:vertAlign w:val="superscript"/>
                <w:lang w:eastAsia="en-US"/>
              </w:rPr>
              <w:t>3</w:t>
            </w:r>
            <w:r>
              <w:rPr>
                <w:rFonts w:ascii="Times New Roman" w:hAnsi="Times New Roman" w:cs="Times New Roman"/>
                <w:color w:val="auto"/>
                <w:sz w:val="21"/>
                <w:szCs w:val="21"/>
                <w:highlight w:val="none"/>
                <w:lang w:eastAsia="en-US"/>
              </w:rPr>
              <w:t>)</w:t>
            </w:r>
          </w:p>
        </w:tc>
      </w:tr>
      <w:tr w14:paraId="38377D28">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1525" w:type="dxa"/>
            <w:vMerge w:val="continue"/>
            <w:shd w:val="clear" w:color="auto" w:fill="FFFFFF"/>
            <w:vAlign w:val="center"/>
          </w:tcPr>
          <w:p w14:paraId="16FA3549">
            <w:pPr>
              <w:keepNext w:val="0"/>
              <w:keepLines w:val="0"/>
              <w:pageBreakBefore w:val="0"/>
              <w:widowControl/>
              <w:kinsoku/>
              <w:wordWrap/>
              <w:overflowPunct/>
              <w:topLinePunct w:val="0"/>
              <w:autoSpaceDE/>
              <w:autoSpaceDN/>
              <w:bidi w:val="0"/>
              <w:adjustRightInd/>
              <w:snapToGrid w:val="0"/>
              <w:ind w:left="0" w:right="0"/>
              <w:jc w:val="center"/>
              <w:textAlignment w:val="auto"/>
              <w:rPr>
                <w:rFonts w:ascii="Times New Roman" w:hAnsi="Times New Roman" w:cs="Times New Roman"/>
                <w:color w:val="auto"/>
                <w:sz w:val="21"/>
                <w:szCs w:val="21"/>
                <w:highlight w:val="none"/>
                <w:lang w:val="zh-TW"/>
              </w:rPr>
            </w:pPr>
          </w:p>
        </w:tc>
        <w:tc>
          <w:tcPr>
            <w:tcW w:w="599" w:type="dxa"/>
            <w:vMerge w:val="continue"/>
            <w:shd w:val="clear" w:color="auto" w:fill="FFFFFF"/>
            <w:vAlign w:val="center"/>
          </w:tcPr>
          <w:p w14:paraId="57865DB2">
            <w:pPr>
              <w:keepNext w:val="0"/>
              <w:keepLines w:val="0"/>
              <w:pageBreakBefore w:val="0"/>
              <w:widowControl/>
              <w:kinsoku/>
              <w:wordWrap/>
              <w:overflowPunct/>
              <w:topLinePunct w:val="0"/>
              <w:autoSpaceDE/>
              <w:autoSpaceDN/>
              <w:bidi w:val="0"/>
              <w:adjustRightInd/>
              <w:snapToGrid w:val="0"/>
              <w:ind w:left="0" w:right="0"/>
              <w:jc w:val="center"/>
              <w:textAlignment w:val="auto"/>
              <w:rPr>
                <w:rFonts w:ascii="Times New Roman" w:hAnsi="Times New Roman" w:cs="Times New Roman"/>
                <w:color w:val="auto"/>
                <w:sz w:val="21"/>
                <w:szCs w:val="21"/>
                <w:highlight w:val="none"/>
                <w:lang w:val="zh-TW"/>
              </w:rPr>
            </w:pPr>
          </w:p>
        </w:tc>
        <w:tc>
          <w:tcPr>
            <w:tcW w:w="1541" w:type="dxa"/>
            <w:gridSpan w:val="2"/>
            <w:shd w:val="clear" w:color="auto" w:fill="FFFFFF"/>
            <w:vAlign w:val="center"/>
          </w:tcPr>
          <w:p w14:paraId="7D4206BF">
            <w:pPr>
              <w:keepNext w:val="0"/>
              <w:keepLines w:val="0"/>
              <w:pageBreakBefore w:val="0"/>
              <w:widowControl/>
              <w:kinsoku/>
              <w:wordWrap/>
              <w:overflowPunct/>
              <w:topLinePunct w:val="0"/>
              <w:autoSpaceDE/>
              <w:autoSpaceDN/>
              <w:bidi w:val="0"/>
              <w:adjustRightInd/>
              <w:snapToGrid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w:t>
            </w:r>
          </w:p>
        </w:tc>
        <w:tc>
          <w:tcPr>
            <w:tcW w:w="1432" w:type="dxa"/>
            <w:gridSpan w:val="2"/>
            <w:shd w:val="clear" w:color="auto" w:fill="FFFFFF"/>
            <w:vAlign w:val="center"/>
          </w:tcPr>
          <w:p w14:paraId="63ECC5BB">
            <w:pPr>
              <w:keepNext w:val="0"/>
              <w:keepLines w:val="0"/>
              <w:pageBreakBefore w:val="0"/>
              <w:widowControl/>
              <w:kinsoku/>
              <w:wordWrap/>
              <w:overflowPunct/>
              <w:topLinePunct w:val="0"/>
              <w:autoSpaceDE/>
              <w:autoSpaceDN/>
              <w:bidi w:val="0"/>
              <w:adjustRightInd/>
              <w:snapToGrid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w:t>
            </w:r>
          </w:p>
        </w:tc>
        <w:tc>
          <w:tcPr>
            <w:tcW w:w="1418" w:type="dxa"/>
            <w:gridSpan w:val="2"/>
            <w:shd w:val="clear" w:color="auto" w:fill="FFFFFF"/>
            <w:vAlign w:val="center"/>
          </w:tcPr>
          <w:p w14:paraId="30028BB8">
            <w:pPr>
              <w:keepNext w:val="0"/>
              <w:keepLines w:val="0"/>
              <w:pageBreakBefore w:val="0"/>
              <w:widowControl/>
              <w:kinsoku/>
              <w:wordWrap/>
              <w:overflowPunct/>
              <w:topLinePunct w:val="0"/>
              <w:autoSpaceDE/>
              <w:autoSpaceDN/>
              <w:bidi w:val="0"/>
              <w:adjustRightInd/>
              <w:snapToGrid w:val="0"/>
              <w:ind w:left="0" w:right="0"/>
              <w:jc w:val="center"/>
              <w:textAlignment w:val="auto"/>
              <w:rPr>
                <w:rFonts w:ascii="Times New Roman" w:hAnsi="Times New Roman" w:cs="Times New Roman"/>
                <w:bCs/>
                <w:color w:val="auto"/>
                <w:sz w:val="21"/>
                <w:szCs w:val="21"/>
                <w:highlight w:val="none"/>
              </w:rPr>
            </w:pPr>
            <w:r>
              <w:rPr>
                <w:rFonts w:hint="eastAsia" w:ascii="Times New Roman" w:hAnsi="Times New Roman" w:cs="Times New Roman"/>
                <w:bCs/>
                <w:color w:val="auto"/>
                <w:sz w:val="21"/>
                <w:szCs w:val="21"/>
                <w:highlight w:val="none"/>
              </w:rPr>
              <w:t>/</w:t>
            </w:r>
          </w:p>
        </w:tc>
        <w:tc>
          <w:tcPr>
            <w:tcW w:w="1064" w:type="dxa"/>
            <w:gridSpan w:val="2"/>
            <w:shd w:val="clear" w:color="auto" w:fill="FFFFFF"/>
            <w:vAlign w:val="center"/>
          </w:tcPr>
          <w:p w14:paraId="44D23636">
            <w:pPr>
              <w:keepNext w:val="0"/>
              <w:keepLines w:val="0"/>
              <w:pageBreakBefore w:val="0"/>
              <w:widowControl/>
              <w:kinsoku/>
              <w:wordWrap/>
              <w:overflowPunct/>
              <w:topLinePunct w:val="0"/>
              <w:autoSpaceDE/>
              <w:autoSpaceDN/>
              <w:bidi w:val="0"/>
              <w:adjustRightInd/>
              <w:snapToGrid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w:t>
            </w:r>
          </w:p>
        </w:tc>
        <w:tc>
          <w:tcPr>
            <w:tcW w:w="925" w:type="dxa"/>
            <w:shd w:val="clear" w:color="auto" w:fill="FFFFFF"/>
            <w:vAlign w:val="center"/>
          </w:tcPr>
          <w:p w14:paraId="677C0972">
            <w:pPr>
              <w:keepNext w:val="0"/>
              <w:keepLines w:val="0"/>
              <w:pageBreakBefore w:val="0"/>
              <w:widowControl/>
              <w:kinsoku/>
              <w:wordWrap/>
              <w:overflowPunct/>
              <w:topLinePunct w:val="0"/>
              <w:autoSpaceDE/>
              <w:autoSpaceDN/>
              <w:bidi w:val="0"/>
              <w:adjustRightInd/>
              <w:snapToGrid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w:t>
            </w:r>
          </w:p>
        </w:tc>
      </w:tr>
    </w:tbl>
    <w:p w14:paraId="36B1102C">
      <w:pPr>
        <w:pStyle w:val="20"/>
        <w:spacing w:line="360" w:lineRule="auto"/>
        <w:ind w:left="-105" w:right="-105" w:firstLine="480" w:firstLineChars="200"/>
        <w:jc w:val="both"/>
        <w:rPr>
          <w:rFonts w:ascii="Times New Roman" w:hAnsi="Times New Roman" w:cs="Times New Roman"/>
          <w:b/>
          <w:color w:val="auto"/>
          <w:sz w:val="24"/>
          <w:highlight w:val="none"/>
        </w:rPr>
      </w:pPr>
      <w:r>
        <w:rPr>
          <w:rFonts w:ascii="Times New Roman" w:hAnsi="Times New Roman" w:cs="Times New Roman"/>
          <w:color w:val="auto"/>
          <w:sz w:val="24"/>
          <w:highlight w:val="none"/>
        </w:rPr>
        <w:t>本项目</w:t>
      </w:r>
      <w:r>
        <w:rPr>
          <w:rFonts w:hint="eastAsia" w:ascii="Times New Roman" w:hAnsi="Times New Roman" w:cs="Times New Roman"/>
          <w:color w:val="auto"/>
          <w:sz w:val="24"/>
          <w:highlight w:val="none"/>
          <w:lang w:val="en-US"/>
        </w:rPr>
        <w:t>废液储罐</w:t>
      </w:r>
      <w:r>
        <w:rPr>
          <w:rFonts w:ascii="Times New Roman" w:hAnsi="Times New Roman" w:cs="Times New Roman"/>
          <w:color w:val="auto"/>
          <w:sz w:val="24"/>
          <w:highlight w:val="none"/>
        </w:rPr>
        <w:t>、管道等设置了防渗漏措施，事故发生</w:t>
      </w:r>
      <w:r>
        <w:rPr>
          <w:rFonts w:hint="eastAsia" w:ascii="Times New Roman" w:hAnsi="Times New Roman" w:cs="Times New Roman"/>
          <w:color w:val="auto"/>
          <w:sz w:val="24"/>
          <w:highlight w:val="none"/>
          <w:lang w:val="en-US" w:eastAsia="zh-CN"/>
        </w:rPr>
        <w:t>1</w:t>
      </w:r>
      <w:r>
        <w:rPr>
          <w:rFonts w:ascii="Times New Roman" w:hAnsi="Times New Roman" w:cs="Times New Roman"/>
          <w:color w:val="auto"/>
          <w:sz w:val="24"/>
          <w:highlight w:val="none"/>
        </w:rPr>
        <w:t>0min内将收集泄漏液，</w:t>
      </w:r>
      <w:r>
        <w:rPr>
          <w:rFonts w:hint="eastAsia" w:ascii="Times New Roman" w:hAnsi="Times New Roman" w:cs="Times New Roman"/>
          <w:color w:val="auto"/>
          <w:sz w:val="24"/>
          <w:highlight w:val="none"/>
        </w:rPr>
        <w:t>第一时间确认</w:t>
      </w:r>
      <w:r>
        <w:rPr>
          <w:rFonts w:ascii="Times New Roman" w:hAnsi="Times New Roman" w:cs="Times New Roman"/>
          <w:color w:val="auto"/>
          <w:sz w:val="24"/>
          <w:highlight w:val="none"/>
        </w:rPr>
        <w:t>雨水阀门</w:t>
      </w:r>
      <w:r>
        <w:rPr>
          <w:rFonts w:hint="eastAsia" w:ascii="Times New Roman" w:hAnsi="Times New Roman" w:cs="Times New Roman"/>
          <w:color w:val="auto"/>
          <w:sz w:val="24"/>
          <w:highlight w:val="none"/>
        </w:rPr>
        <w:t>是否关闭</w:t>
      </w:r>
      <w:r>
        <w:rPr>
          <w:rFonts w:ascii="Times New Roman" w:hAnsi="Times New Roman" w:cs="Times New Roman"/>
          <w:color w:val="auto"/>
          <w:sz w:val="24"/>
          <w:highlight w:val="none"/>
        </w:rPr>
        <w:t>，泄漏液将收集至事故应急池中。因此，在采取相应的应急处置措施的情况下，本项目废水泄漏不会污染</w:t>
      </w:r>
      <w:bookmarkEnd w:id="417"/>
      <w:r>
        <w:rPr>
          <w:rFonts w:hint="eastAsia" w:ascii="Times New Roman" w:hAnsi="Times New Roman" w:cs="Times New Roman"/>
          <w:color w:val="auto"/>
          <w:sz w:val="24"/>
          <w:highlight w:val="none"/>
          <w:lang w:val="en-US"/>
        </w:rPr>
        <w:t>锡北运河</w:t>
      </w:r>
      <w:r>
        <w:rPr>
          <w:rFonts w:ascii="Times New Roman" w:hAnsi="Times New Roman" w:cs="Times New Roman"/>
          <w:color w:val="auto"/>
          <w:sz w:val="24"/>
          <w:highlight w:val="none"/>
        </w:rPr>
        <w:t>。</w:t>
      </w:r>
    </w:p>
    <w:p w14:paraId="05B27CA7">
      <w:pPr>
        <w:pStyle w:val="5"/>
        <w:keepLines w:val="0"/>
        <w:numPr>
          <w:ilvl w:val="0"/>
          <w:numId w:val="0"/>
        </w:numPr>
        <w:tabs>
          <w:tab w:val="left" w:pos="567"/>
          <w:tab w:val="left" w:pos="709"/>
          <w:tab w:val="left" w:pos="993"/>
          <w:tab w:val="left" w:pos="6663"/>
        </w:tabs>
        <w:spacing w:before="0" w:after="0" w:line="360" w:lineRule="auto"/>
        <w:ind w:right="-105"/>
        <w:rPr>
          <w:rFonts w:eastAsia="宋体"/>
          <w:color w:val="auto"/>
          <w:sz w:val="28"/>
          <w:szCs w:val="28"/>
          <w:highlight w:val="none"/>
        </w:rPr>
      </w:pPr>
      <w:r>
        <w:rPr>
          <w:rFonts w:hint="eastAsia" w:eastAsia="宋体"/>
          <w:color w:val="auto"/>
          <w:sz w:val="28"/>
          <w:szCs w:val="28"/>
          <w:highlight w:val="none"/>
        </w:rPr>
        <w:t>6</w:t>
      </w:r>
      <w:r>
        <w:rPr>
          <w:rFonts w:eastAsia="宋体"/>
          <w:color w:val="auto"/>
          <w:sz w:val="28"/>
          <w:szCs w:val="28"/>
          <w:highlight w:val="none"/>
        </w:rPr>
        <w:t>.7.3地下水环境风险分析</w:t>
      </w:r>
    </w:p>
    <w:p w14:paraId="670DB9FF">
      <w:pPr>
        <w:pStyle w:val="44"/>
        <w:spacing w:after="0" w:line="360" w:lineRule="auto"/>
        <w:ind w:left="0" w:leftChars="0" w:right="-105" w:firstLine="480"/>
        <w:rPr>
          <w:rFonts w:hint="default" w:ascii="Times New Roman" w:hAnsi="Times New Roman" w:eastAsia="宋体" w:cs="Times New Roman"/>
          <w:color w:val="auto"/>
          <w:sz w:val="24"/>
          <w:szCs w:val="22"/>
          <w:highlight w:val="none"/>
        </w:rPr>
      </w:pPr>
      <w:r>
        <w:rPr>
          <w:rFonts w:hint="default" w:ascii="Times New Roman" w:hAnsi="Times New Roman" w:eastAsia="宋体" w:cs="Times New Roman"/>
          <w:color w:val="auto"/>
          <w:sz w:val="24"/>
          <w:szCs w:val="22"/>
          <w:highlight w:val="none"/>
        </w:rPr>
        <w:t>本项目地下水环境风险评价等级为简单分析，仅简要说明环境影响途径及危害后果，不进行预测分析。</w:t>
      </w:r>
      <w:r>
        <w:rPr>
          <w:rFonts w:hint="eastAsia" w:eastAsia="宋体"/>
          <w:color w:val="auto"/>
          <w:sz w:val="24"/>
          <w:highlight w:val="none"/>
        </w:rPr>
        <w:t>现有厂区对车间、仓库、环保工程（废液储罐区、危废仓库、事故应急池</w:t>
      </w:r>
      <w:r>
        <w:rPr>
          <w:rFonts w:hint="eastAsia" w:eastAsia="宋体"/>
          <w:color w:val="auto"/>
          <w:sz w:val="24"/>
          <w:highlight w:val="none"/>
          <w:lang w:eastAsia="zh-CN"/>
        </w:rPr>
        <w:t>、</w:t>
      </w:r>
      <w:r>
        <w:rPr>
          <w:rFonts w:hint="eastAsia" w:eastAsia="宋体"/>
          <w:color w:val="auto"/>
          <w:sz w:val="24"/>
          <w:highlight w:val="none"/>
          <w:lang w:val="en-US" w:eastAsia="zh-CN"/>
        </w:rPr>
        <w:t>初期雨水池</w:t>
      </w:r>
      <w:r>
        <w:rPr>
          <w:rFonts w:hint="eastAsia" w:eastAsia="宋体"/>
          <w:color w:val="auto"/>
          <w:sz w:val="24"/>
          <w:highlight w:val="none"/>
        </w:rPr>
        <w:t>）、柴油储罐区等</w:t>
      </w:r>
      <w:r>
        <w:rPr>
          <w:rFonts w:hint="default" w:ascii="Times New Roman" w:hAnsi="Times New Roman" w:eastAsia="宋体" w:cs="Times New Roman"/>
          <w:color w:val="auto"/>
          <w:sz w:val="24"/>
          <w:szCs w:val="22"/>
          <w:highlight w:val="none"/>
        </w:rPr>
        <w:t>区域，已按照相关要求设置了重点防渗措施，所在场地</w:t>
      </w:r>
      <w:r>
        <w:rPr>
          <w:rFonts w:hint="eastAsia" w:eastAsia="宋体" w:cs="Times New Roman"/>
          <w:color w:val="auto"/>
          <w:sz w:val="24"/>
          <w:szCs w:val="22"/>
          <w:highlight w:val="none"/>
          <w:lang w:val="en-US" w:eastAsia="zh-CN"/>
        </w:rPr>
        <w:t>均</w:t>
      </w:r>
      <w:r>
        <w:rPr>
          <w:rFonts w:hint="default" w:ascii="Times New Roman" w:hAnsi="Times New Roman" w:eastAsia="宋体" w:cs="Times New Roman"/>
          <w:color w:val="auto"/>
          <w:sz w:val="24"/>
          <w:szCs w:val="22"/>
          <w:highlight w:val="none"/>
        </w:rPr>
        <w:t>设置液体收集地沟及管道，其基础及周围地面应采取防腐处理。防渗参照《危险废物贮存污染控制标准》（GB18597-2023）相关要求。对特殊区域采用环氧树脂等作防腐、防渗处理，对一般区域采取硬化地面防渗，只要措施得当，则项目在建设期和运营过程中基本不会发生污染区域地下水的事件。</w:t>
      </w:r>
    </w:p>
    <w:p w14:paraId="12BD1632">
      <w:pPr>
        <w:pStyle w:val="43"/>
        <w:keepNext w:val="0"/>
        <w:keepLines w:val="0"/>
        <w:pageBreakBefore w:val="0"/>
        <w:widowControl w:val="0"/>
        <w:kinsoku/>
        <w:wordWrap/>
        <w:overflowPunct/>
        <w:topLinePunct w:val="0"/>
        <w:autoSpaceDE w:val="0"/>
        <w:autoSpaceDN w:val="0"/>
        <w:bidi w:val="0"/>
        <w:adjustRightInd/>
        <w:snapToGrid/>
        <w:spacing w:after="0" w:line="360" w:lineRule="auto"/>
        <w:ind w:firstLine="480" w:firstLineChars="200"/>
        <w:textAlignment w:val="auto"/>
        <w:rPr>
          <w:rFonts w:hint="default" w:eastAsia="宋体"/>
          <w:color w:val="auto"/>
          <w:highlight w:val="none"/>
          <w:lang w:val="en-US" w:eastAsia="zh-CN"/>
        </w:rPr>
      </w:pPr>
      <w:r>
        <w:rPr>
          <w:rFonts w:hint="eastAsia" w:ascii="Times New Roman" w:hAnsi="Times New Roman" w:cs="Times New Roman"/>
          <w:color w:val="auto"/>
          <w:sz w:val="24"/>
          <w:szCs w:val="22"/>
          <w:highlight w:val="none"/>
          <w:lang w:val="en-US" w:eastAsia="zh-CN"/>
        </w:rPr>
        <w:t>另外，在采取措施的前提下，正常状况下不会对地下水环境造成影响。非正常状况下，可能发生管线破损、人工误操作等导致发生泄漏事故，考虑储罐和废水池设有液位计，同时按照企业内部管理要求，厂务管理人员定期进行巡检，因此发生事故也可在短时间内发现并采取响应措施。企业将污染应急处置内容纳入本项目突发环境应急预案，加强应急物资储备，定期开展应急演练，提升环境应急处置能力。综上分析，本项目对地下水环境风险影响较小。</w:t>
      </w:r>
    </w:p>
    <w:p w14:paraId="75CCF723">
      <w:pPr>
        <w:pStyle w:val="5"/>
        <w:keepLines w:val="0"/>
        <w:numPr>
          <w:ilvl w:val="0"/>
          <w:numId w:val="0"/>
        </w:numPr>
        <w:tabs>
          <w:tab w:val="left" w:pos="567"/>
          <w:tab w:val="left" w:pos="709"/>
          <w:tab w:val="left" w:pos="993"/>
          <w:tab w:val="left" w:pos="6663"/>
        </w:tabs>
        <w:spacing w:before="0" w:after="0" w:line="360" w:lineRule="auto"/>
        <w:ind w:right="-105"/>
        <w:rPr>
          <w:rFonts w:eastAsia="宋体"/>
          <w:color w:val="auto"/>
          <w:sz w:val="28"/>
          <w:szCs w:val="28"/>
          <w:highlight w:val="none"/>
        </w:rPr>
      </w:pPr>
      <w:r>
        <w:rPr>
          <w:rFonts w:hint="eastAsia" w:eastAsia="宋体"/>
          <w:color w:val="auto"/>
          <w:sz w:val="28"/>
          <w:szCs w:val="28"/>
          <w:highlight w:val="none"/>
        </w:rPr>
        <w:t>6</w:t>
      </w:r>
      <w:r>
        <w:rPr>
          <w:rFonts w:eastAsia="宋体"/>
          <w:color w:val="auto"/>
          <w:sz w:val="28"/>
          <w:szCs w:val="28"/>
          <w:highlight w:val="none"/>
        </w:rPr>
        <w:t>.7.4环境风险评价结论与建议</w:t>
      </w:r>
    </w:p>
    <w:p w14:paraId="65F902DB">
      <w:pPr>
        <w:spacing w:line="360" w:lineRule="auto"/>
        <w:ind w:left="-105" w:right="-105" w:firstLine="480" w:firstLineChars="200"/>
        <w:rPr>
          <w:rFonts w:ascii="Times New Roman" w:hAnsi="Times New Roman" w:cs="Times New Roman"/>
          <w:color w:val="auto"/>
          <w:highlight w:val="none"/>
        </w:rPr>
      </w:pPr>
      <w:r>
        <w:rPr>
          <w:rFonts w:ascii="Times New Roman" w:hAnsi="Times New Roman" w:cs="Times New Roman"/>
          <w:color w:val="auto"/>
          <w:highlight w:val="none"/>
        </w:rPr>
        <w:t>本项目环境风险评价结论与建议如下：</w:t>
      </w:r>
    </w:p>
    <w:p w14:paraId="2B875965">
      <w:pPr>
        <w:widowControl w:val="0"/>
        <w:numPr>
          <w:ilvl w:val="0"/>
          <w:numId w:val="32"/>
        </w:numPr>
        <w:spacing w:line="360" w:lineRule="auto"/>
        <w:ind w:left="-105" w:right="-105" w:firstLine="480" w:firstLineChars="200"/>
        <w:jc w:val="both"/>
        <w:rPr>
          <w:rFonts w:ascii="Times New Roman" w:hAnsi="Times New Roman" w:cs="Times New Roman"/>
          <w:color w:val="auto"/>
          <w:highlight w:val="none"/>
        </w:rPr>
      </w:pPr>
      <w:r>
        <w:rPr>
          <w:rFonts w:ascii="Times New Roman" w:hAnsi="Times New Roman" w:cs="Times New Roman"/>
          <w:color w:val="auto"/>
          <w:highlight w:val="none"/>
        </w:rPr>
        <w:t>根据项目涉及主要化学品物质理化性质及《建设项目环境风险评价技术导则HJ169—2018》附录B，建设项目危险物质主要为</w:t>
      </w:r>
      <w:r>
        <w:rPr>
          <w:rFonts w:hint="eastAsia" w:ascii="Times New Roman" w:hAnsi="Times New Roman" w:cs="Times New Roman"/>
          <w:color w:val="auto"/>
          <w:highlight w:val="none"/>
        </w:rPr>
        <w:t>二甲基亚砜、N-甲基吡咯烷酮、四甲基氢氧化铵、2-甲氨基乙醇、邻苯二酚、乙醇胺、甲醇、硝酸（55%）、卡尔费休试剂、异丙醇</w:t>
      </w:r>
      <w:r>
        <w:rPr>
          <w:rFonts w:ascii="Times New Roman" w:hAnsi="Times New Roman" w:cs="Times New Roman"/>
          <w:color w:val="auto"/>
          <w:highlight w:val="none"/>
        </w:rPr>
        <w:t>等，重点风险源为原料包装桶、危废包装物、生产设备、</w:t>
      </w:r>
      <w:r>
        <w:rPr>
          <w:rFonts w:hint="eastAsia" w:ascii="Times New Roman" w:hAnsi="Times New Roman" w:cs="Times New Roman"/>
          <w:color w:val="auto"/>
          <w:highlight w:val="none"/>
        </w:rPr>
        <w:t>废液储罐</w:t>
      </w:r>
      <w:r>
        <w:rPr>
          <w:rFonts w:ascii="Times New Roman" w:hAnsi="Times New Roman" w:cs="Times New Roman"/>
          <w:color w:val="auto"/>
          <w:highlight w:val="none"/>
        </w:rPr>
        <w:t>、废气处理设施等，主要危险单元为原料仓库、</w:t>
      </w:r>
      <w:r>
        <w:rPr>
          <w:rFonts w:hint="eastAsia" w:ascii="Times New Roman" w:hAnsi="Times New Roman" w:cs="Times New Roman"/>
          <w:color w:val="auto"/>
          <w:highlight w:val="none"/>
          <w:lang w:eastAsia="zh-CN"/>
        </w:rPr>
        <w:t>危险品仓库</w:t>
      </w:r>
      <w:r>
        <w:rPr>
          <w:rFonts w:ascii="Times New Roman" w:hAnsi="Times New Roman" w:cs="Times New Roman"/>
          <w:color w:val="auto"/>
          <w:highlight w:val="none"/>
        </w:rPr>
        <w:t>、危废仓库、</w:t>
      </w:r>
      <w:r>
        <w:rPr>
          <w:rFonts w:hint="eastAsia" w:ascii="Times New Roman" w:hAnsi="Times New Roman" w:cs="Times New Roman"/>
          <w:color w:val="auto"/>
          <w:highlight w:val="none"/>
        </w:rPr>
        <w:t>二工场</w:t>
      </w:r>
      <w:r>
        <w:rPr>
          <w:rFonts w:ascii="Times New Roman" w:hAnsi="Times New Roman" w:cs="Times New Roman"/>
          <w:color w:val="auto"/>
          <w:highlight w:val="none"/>
        </w:rPr>
        <w:t>车间、</w:t>
      </w:r>
      <w:r>
        <w:rPr>
          <w:rFonts w:hint="eastAsia" w:ascii="Times New Roman" w:hAnsi="Times New Roman" w:cs="Times New Roman"/>
          <w:color w:val="auto"/>
          <w:highlight w:val="none"/>
        </w:rPr>
        <w:t>废液储罐区</w:t>
      </w:r>
      <w:r>
        <w:rPr>
          <w:rFonts w:ascii="Times New Roman" w:hAnsi="Times New Roman" w:cs="Times New Roman"/>
          <w:color w:val="auto"/>
          <w:highlight w:val="none"/>
        </w:rPr>
        <w:t>、各废气处理设施所在区域。建议企业优化厂区平面布局，调整主要危险物质存在量，健全环境风险管理，落实各项风险方法措施，降低项目的危险性。</w:t>
      </w:r>
    </w:p>
    <w:p w14:paraId="37EFC8AF">
      <w:pPr>
        <w:widowControl w:val="0"/>
        <w:numPr>
          <w:ilvl w:val="0"/>
          <w:numId w:val="32"/>
        </w:numPr>
        <w:spacing w:line="360" w:lineRule="auto"/>
        <w:ind w:left="-105" w:right="-105" w:firstLine="480" w:firstLineChars="200"/>
        <w:jc w:val="both"/>
        <w:rPr>
          <w:rFonts w:ascii="Times New Roman" w:hAnsi="Times New Roman" w:cs="Times New Roman"/>
          <w:color w:val="auto"/>
          <w:highlight w:val="none"/>
        </w:rPr>
      </w:pPr>
      <w:r>
        <w:rPr>
          <w:rFonts w:ascii="Times New Roman" w:hAnsi="Times New Roman" w:cs="Times New Roman"/>
          <w:color w:val="auto"/>
          <w:highlight w:val="none"/>
        </w:rPr>
        <w:t>项目所在地为工业用地区域，大气环境敏感程度为E1，</w:t>
      </w:r>
      <w:r>
        <w:rPr>
          <w:rFonts w:ascii="Times New Roman" w:hAnsi="Times New Roman" w:cs="Times New Roman"/>
          <w:snapToGrid w:val="0"/>
          <w:color w:val="auto"/>
          <w:highlight w:val="none"/>
        </w:rPr>
        <w:t>地表水环境敏感程度为E1，地下水环境敏感程度为E3，</w:t>
      </w:r>
      <w:r>
        <w:rPr>
          <w:rFonts w:ascii="Times New Roman" w:hAnsi="Times New Roman" w:cs="Times New Roman"/>
          <w:color w:val="auto"/>
          <w:highlight w:val="none"/>
        </w:rPr>
        <w:t>对照环境风险评价导则，确定建设项目环境风险评价工作级别为二级。通过对建设项目各类事故的发生概率及其源项分析，确定建设项目大气环境风险最大可信事故为：</w:t>
      </w:r>
      <w:r>
        <w:rPr>
          <w:rFonts w:hint="eastAsia" w:ascii="Times New Roman" w:hAnsi="Times New Roman" w:cs="Times New Roman"/>
          <w:bCs/>
          <w:color w:val="auto"/>
          <w:highlight w:val="none"/>
        </w:rPr>
        <w:t>N-甲基吡咯烷酮包装桶泄漏遇明火发生火灾产生一氧化碳进入大气环境、DA005排气筒事故排放进入大气环境</w:t>
      </w:r>
      <w:r>
        <w:rPr>
          <w:rFonts w:ascii="Times New Roman" w:hAnsi="Times New Roman" w:cs="Times New Roman"/>
          <w:bCs/>
          <w:color w:val="auto"/>
          <w:highlight w:val="none"/>
        </w:rPr>
        <w:t>；</w:t>
      </w:r>
      <w:r>
        <w:rPr>
          <w:rFonts w:hint="eastAsia" w:ascii="Times New Roman" w:hAnsi="Times New Roman" w:cs="Times New Roman"/>
          <w:bCs/>
          <w:color w:val="auto"/>
          <w:highlight w:val="none"/>
        </w:rPr>
        <w:t>废液储罐泄漏污染地表水、地下水环境</w:t>
      </w:r>
      <w:r>
        <w:rPr>
          <w:rFonts w:ascii="Times New Roman" w:hAnsi="Times New Roman" w:cs="Times New Roman"/>
          <w:bCs/>
          <w:color w:val="auto"/>
          <w:highlight w:val="none"/>
        </w:rPr>
        <w:t>。</w:t>
      </w:r>
    </w:p>
    <w:p w14:paraId="11698718">
      <w:pPr>
        <w:spacing w:line="360" w:lineRule="auto"/>
        <w:ind w:left="-105" w:right="-105" w:firstLine="480" w:firstLineChars="200"/>
        <w:rPr>
          <w:rFonts w:ascii="Times New Roman" w:hAnsi="Times New Roman" w:cs="Times New Roman"/>
          <w:color w:val="auto"/>
          <w:highlight w:val="none"/>
        </w:rPr>
      </w:pPr>
      <w:r>
        <w:rPr>
          <w:rFonts w:ascii="Times New Roman" w:hAnsi="Times New Roman" w:cs="Times New Roman"/>
          <w:color w:val="auto"/>
          <w:highlight w:val="none"/>
        </w:rPr>
        <w:t>经预测和分析，</w:t>
      </w:r>
      <w:r>
        <w:rPr>
          <w:rFonts w:ascii="Times New Roman" w:hAnsi="Times New Roman" w:cs="Times New Roman"/>
          <w:color w:val="auto"/>
          <w:szCs w:val="32"/>
          <w:highlight w:val="none"/>
        </w:rPr>
        <w:t>当</w:t>
      </w:r>
      <w:r>
        <w:rPr>
          <w:rFonts w:hint="eastAsia" w:ascii="Times New Roman" w:hAnsi="Times New Roman" w:cs="Times New Roman"/>
          <w:color w:val="auto"/>
          <w:szCs w:val="32"/>
          <w:highlight w:val="none"/>
        </w:rPr>
        <w:t>N-甲基吡咯烷酮包装桶</w:t>
      </w:r>
      <w:r>
        <w:rPr>
          <w:rFonts w:ascii="Times New Roman" w:hAnsi="Times New Roman" w:cs="Times New Roman"/>
          <w:color w:val="auto"/>
          <w:szCs w:val="32"/>
          <w:highlight w:val="none"/>
        </w:rPr>
        <w:t>泄漏遇明火高热发生火灾时，在小风、F大气稳定度条件下</w:t>
      </w:r>
      <w:r>
        <w:rPr>
          <w:rFonts w:ascii="Times New Roman" w:hAnsi="Times New Roman" w:cs="Times New Roman"/>
          <w:color w:val="auto"/>
          <w:highlight w:val="none"/>
        </w:rPr>
        <w:t>，在事故发生30min时间，一氧化碳在下风向100m达到大气毒性终点浓度-1(380mg/m</w:t>
      </w:r>
      <w:r>
        <w:rPr>
          <w:rFonts w:ascii="Times New Roman" w:hAnsi="Times New Roman" w:cs="Times New Roman"/>
          <w:color w:val="auto"/>
          <w:highlight w:val="none"/>
          <w:vertAlign w:val="superscript"/>
        </w:rPr>
        <w:t>3</w:t>
      </w:r>
      <w:r>
        <w:rPr>
          <w:rFonts w:ascii="Times New Roman" w:hAnsi="Times New Roman" w:cs="Times New Roman"/>
          <w:color w:val="auto"/>
          <w:highlight w:val="none"/>
        </w:rPr>
        <w:t>)，下风向240米范围内达到大气毒性终点浓度-2(95mg/m</w:t>
      </w:r>
      <w:r>
        <w:rPr>
          <w:rFonts w:ascii="Times New Roman" w:hAnsi="Times New Roman" w:cs="Times New Roman"/>
          <w:color w:val="auto"/>
          <w:highlight w:val="none"/>
          <w:vertAlign w:val="superscript"/>
        </w:rPr>
        <w:t>3</w:t>
      </w:r>
      <w:r>
        <w:rPr>
          <w:rFonts w:ascii="Times New Roman" w:hAnsi="Times New Roman" w:cs="Times New Roman"/>
          <w:color w:val="auto"/>
          <w:highlight w:val="none"/>
        </w:rPr>
        <w:t>)，故在</w:t>
      </w:r>
      <w:r>
        <w:rPr>
          <w:rFonts w:hint="eastAsia" w:ascii="Times New Roman" w:hAnsi="Times New Roman" w:cs="Times New Roman"/>
          <w:color w:val="auto"/>
          <w:szCs w:val="32"/>
          <w:highlight w:val="none"/>
        </w:rPr>
        <w:t>N-甲基吡咯烷酮包装桶</w:t>
      </w:r>
      <w:r>
        <w:rPr>
          <w:rFonts w:ascii="Times New Roman" w:hAnsi="Times New Roman" w:cs="Times New Roman"/>
          <w:color w:val="auto"/>
          <w:highlight w:val="none"/>
        </w:rPr>
        <w:t>半径240m范围内</w:t>
      </w:r>
      <w:r>
        <w:rPr>
          <w:rFonts w:ascii="Times New Roman" w:hAnsi="Times New Roman" w:cs="Times New Roman"/>
          <w:color w:val="auto"/>
          <w:szCs w:val="32"/>
          <w:highlight w:val="none"/>
        </w:rPr>
        <w:t>受到损伤</w:t>
      </w:r>
      <w:r>
        <w:rPr>
          <w:rFonts w:ascii="Times New Roman" w:hAnsi="Times New Roman" w:cs="Times New Roman"/>
          <w:color w:val="auto"/>
          <w:highlight w:val="none"/>
        </w:rPr>
        <w:t>的风险，</w:t>
      </w:r>
      <w:r>
        <w:rPr>
          <w:rFonts w:hint="eastAsia" w:ascii="Times New Roman" w:hAnsi="Times New Roman" w:cs="Times New Roman"/>
          <w:color w:val="auto"/>
          <w:szCs w:val="32"/>
          <w:highlight w:val="none"/>
        </w:rPr>
        <w:t>N-甲基吡咯烷酮包装桶</w:t>
      </w:r>
      <w:r>
        <w:rPr>
          <w:rFonts w:ascii="Times New Roman" w:hAnsi="Times New Roman" w:cs="Times New Roman"/>
          <w:color w:val="auto"/>
          <w:highlight w:val="none"/>
        </w:rPr>
        <w:t>半径100m范围内</w:t>
      </w:r>
      <w:r>
        <w:rPr>
          <w:rFonts w:ascii="Times New Roman" w:hAnsi="Times New Roman" w:cs="Times New Roman"/>
          <w:color w:val="auto"/>
          <w:szCs w:val="32"/>
          <w:highlight w:val="none"/>
        </w:rPr>
        <w:t>有致死</w:t>
      </w:r>
      <w:r>
        <w:rPr>
          <w:rFonts w:ascii="Times New Roman" w:hAnsi="Times New Roman" w:cs="Times New Roman"/>
          <w:color w:val="auto"/>
          <w:highlight w:val="none"/>
        </w:rPr>
        <w:t>风险；废气事故排放预测结果表明，当废气处理设施故障导致废气事故排放时，排气筒中废气浓度超标，但在采取相应的应急处置措施的情况下，环境风险事故对周围环境影响较小。</w:t>
      </w:r>
    </w:p>
    <w:p w14:paraId="52F45B49">
      <w:pPr>
        <w:spacing w:line="360" w:lineRule="auto"/>
        <w:ind w:left="-105" w:right="-105" w:firstLine="480" w:firstLineChars="200"/>
        <w:rPr>
          <w:rFonts w:ascii="Times New Roman" w:hAnsi="Times New Roman" w:cs="Times New Roman"/>
          <w:color w:val="auto"/>
          <w:highlight w:val="none"/>
        </w:rPr>
      </w:pPr>
      <w:r>
        <w:rPr>
          <w:rFonts w:ascii="Times New Roman" w:hAnsi="Times New Roman" w:cs="Times New Roman"/>
          <w:color w:val="auto"/>
          <w:highlight w:val="none"/>
        </w:rPr>
        <w:t>本项目</w:t>
      </w:r>
      <w:r>
        <w:rPr>
          <w:rFonts w:hint="eastAsia" w:ascii="Times New Roman" w:hAnsi="Times New Roman" w:cs="Times New Roman"/>
          <w:color w:val="auto"/>
          <w:highlight w:val="none"/>
        </w:rPr>
        <w:t>废液储罐</w:t>
      </w:r>
      <w:r>
        <w:rPr>
          <w:rFonts w:ascii="Times New Roman" w:hAnsi="Times New Roman" w:cs="Times New Roman"/>
          <w:color w:val="auto"/>
          <w:highlight w:val="none"/>
        </w:rPr>
        <w:t>、管道等设置了防渗漏措施，事故发生30min内将收集泄漏液，</w:t>
      </w:r>
      <w:r>
        <w:rPr>
          <w:rFonts w:hint="eastAsia" w:ascii="Times New Roman" w:hAnsi="Times New Roman" w:cs="Times New Roman"/>
          <w:color w:val="auto"/>
          <w:highlight w:val="none"/>
        </w:rPr>
        <w:t>第一时间确认</w:t>
      </w:r>
      <w:r>
        <w:rPr>
          <w:rFonts w:ascii="Times New Roman" w:hAnsi="Times New Roman" w:cs="Times New Roman"/>
          <w:color w:val="auto"/>
          <w:highlight w:val="none"/>
        </w:rPr>
        <w:t>雨水阀门</w:t>
      </w:r>
      <w:r>
        <w:rPr>
          <w:rFonts w:hint="eastAsia" w:ascii="Times New Roman" w:hAnsi="Times New Roman" w:cs="Times New Roman"/>
          <w:color w:val="auto"/>
          <w:highlight w:val="none"/>
        </w:rPr>
        <w:t>是否关闭</w:t>
      </w:r>
      <w:r>
        <w:rPr>
          <w:rFonts w:ascii="Times New Roman" w:hAnsi="Times New Roman" w:cs="Times New Roman"/>
          <w:color w:val="auto"/>
          <w:highlight w:val="none"/>
        </w:rPr>
        <w:t>，泄漏液将收集至事故应急池中。因此，在采取相应的应急处置措施的情况下，本项目废水泄漏不会污染</w:t>
      </w:r>
      <w:r>
        <w:rPr>
          <w:rFonts w:hint="eastAsia" w:ascii="Times New Roman" w:hAnsi="Times New Roman" w:cs="Times New Roman"/>
          <w:color w:val="auto"/>
          <w:highlight w:val="none"/>
        </w:rPr>
        <w:t>锡北运河。</w:t>
      </w:r>
    </w:p>
    <w:p w14:paraId="72DA835C">
      <w:pPr>
        <w:spacing w:line="360" w:lineRule="auto"/>
        <w:ind w:left="-105" w:right="-105" w:firstLine="480" w:firstLineChars="200"/>
        <w:rPr>
          <w:rFonts w:ascii="Times New Roman" w:hAnsi="Times New Roman" w:cs="Times New Roman"/>
          <w:color w:val="auto"/>
          <w:highlight w:val="none"/>
        </w:rPr>
      </w:pPr>
      <w:r>
        <w:rPr>
          <w:rFonts w:ascii="Times New Roman" w:hAnsi="Times New Roman" w:cs="Times New Roman"/>
          <w:color w:val="auto"/>
          <w:highlight w:val="none"/>
        </w:rPr>
        <w:t>（3）为了防范事故和减少危害，建设项目应当从总图布置、储存管理、污染治理系统事故运行机制等方面编制详细的风险防范措施，并根据有关规定制定企业的环境突发事件应急救援预案，定期进行演练。出现事故时，要采取紧急的工程应急措施，如有必要，要采取社会应急措施，以控制事故和减少对环境造成的危害。针对可能发生的环境风险所产生的特征污染物，在各类事故发生时，选择适当的因子进行应急检测，指导应急救援及环境污染治理方案的编制和实施。</w:t>
      </w:r>
    </w:p>
    <w:p w14:paraId="60F1E5FD">
      <w:pPr>
        <w:spacing w:line="360" w:lineRule="auto"/>
        <w:ind w:left="-105" w:right="-105" w:firstLine="480" w:firstLineChars="200"/>
        <w:rPr>
          <w:rFonts w:ascii="Times New Roman" w:hAnsi="Times New Roman" w:cs="Times New Roman"/>
          <w:color w:val="auto"/>
          <w:highlight w:val="none"/>
        </w:rPr>
      </w:pPr>
      <w:r>
        <w:rPr>
          <w:rFonts w:ascii="Times New Roman" w:hAnsi="Times New Roman" w:cs="Times New Roman"/>
          <w:color w:val="auto"/>
          <w:highlight w:val="none"/>
        </w:rPr>
        <w:t>综上所述，企业发生突发环境事件对周边环境有一定影响，但环境风险可防控。建设单位应该认真做好各项风险防范措施，完善管理制度，储运过程应该严格操作，杜绝风险事故。严格履行风险应急预案，一旦发生突发事故，建设单位除了根据内部制定和履行最快最有效的应急预案自救外，应立即报告当地环保部门。在上级环保部门到达后，要从大局考虑，服从环保部门的领导，共同协商统一部署，将污染事故降低到最小。</w:t>
      </w:r>
    </w:p>
    <w:p w14:paraId="66E21BD1">
      <w:pPr>
        <w:pStyle w:val="5"/>
        <w:keepLines w:val="0"/>
        <w:numPr>
          <w:ilvl w:val="0"/>
          <w:numId w:val="0"/>
        </w:numPr>
        <w:tabs>
          <w:tab w:val="left" w:pos="567"/>
          <w:tab w:val="left" w:pos="709"/>
          <w:tab w:val="left" w:pos="993"/>
          <w:tab w:val="left" w:pos="6663"/>
        </w:tabs>
        <w:spacing w:before="0" w:after="0" w:line="360" w:lineRule="auto"/>
        <w:ind w:right="-105"/>
        <w:rPr>
          <w:rFonts w:eastAsia="宋体"/>
          <w:color w:val="auto"/>
          <w:sz w:val="28"/>
          <w:szCs w:val="28"/>
          <w:highlight w:val="none"/>
        </w:rPr>
      </w:pPr>
      <w:r>
        <w:rPr>
          <w:rFonts w:hint="eastAsia" w:eastAsia="宋体"/>
          <w:color w:val="auto"/>
          <w:sz w:val="28"/>
          <w:szCs w:val="28"/>
          <w:highlight w:val="none"/>
        </w:rPr>
        <w:t>6</w:t>
      </w:r>
      <w:r>
        <w:rPr>
          <w:rFonts w:eastAsia="宋体"/>
          <w:color w:val="auto"/>
          <w:sz w:val="28"/>
          <w:szCs w:val="28"/>
          <w:highlight w:val="none"/>
        </w:rPr>
        <w:t>.7.5环境风险评价自查表</w:t>
      </w:r>
    </w:p>
    <w:p w14:paraId="1E398FE1">
      <w:pPr>
        <w:pStyle w:val="44"/>
        <w:adjustRightInd w:val="0"/>
        <w:snapToGrid w:val="0"/>
        <w:spacing w:after="0" w:line="360" w:lineRule="auto"/>
        <w:ind w:left="0" w:leftChars="0" w:right="-105" w:firstLine="480"/>
        <w:rPr>
          <w:rFonts w:eastAsia="宋体"/>
          <w:color w:val="auto"/>
          <w:sz w:val="24"/>
          <w:highlight w:val="none"/>
        </w:rPr>
      </w:pPr>
      <w:r>
        <w:rPr>
          <w:rFonts w:eastAsia="宋体"/>
          <w:color w:val="auto"/>
          <w:sz w:val="24"/>
          <w:highlight w:val="none"/>
        </w:rPr>
        <w:t>本项目环境风险评价自查表见下表。</w:t>
      </w:r>
    </w:p>
    <w:p w14:paraId="641908D8">
      <w:pPr>
        <w:pStyle w:val="15"/>
        <w:ind w:left="-105" w:right="-105" w:firstLine="482"/>
        <w:rPr>
          <w:rFonts w:eastAsia="宋体"/>
          <w:color w:val="auto"/>
          <w:sz w:val="24"/>
          <w:szCs w:val="24"/>
          <w:highlight w:val="none"/>
        </w:rPr>
      </w:pPr>
      <w:r>
        <w:rPr>
          <w:rFonts w:eastAsia="宋体"/>
          <w:color w:val="auto"/>
          <w:sz w:val="24"/>
          <w:szCs w:val="24"/>
          <w:highlight w:val="none"/>
        </w:rPr>
        <w:t>表</w:t>
      </w:r>
      <w:r>
        <w:rPr>
          <w:rFonts w:eastAsia="宋体"/>
          <w:color w:val="auto"/>
          <w:sz w:val="24"/>
          <w:szCs w:val="24"/>
          <w:highlight w:val="none"/>
        </w:rPr>
        <w:fldChar w:fldCharType="begin"/>
      </w:r>
      <w:r>
        <w:rPr>
          <w:rFonts w:eastAsia="宋体"/>
          <w:color w:val="auto"/>
          <w:sz w:val="24"/>
          <w:szCs w:val="24"/>
          <w:highlight w:val="none"/>
        </w:rPr>
        <w:instrText xml:space="preserve"> STYLEREF 2 \s </w:instrText>
      </w:r>
      <w:r>
        <w:rPr>
          <w:rFonts w:eastAsia="宋体"/>
          <w:color w:val="auto"/>
          <w:sz w:val="24"/>
          <w:szCs w:val="24"/>
          <w:highlight w:val="none"/>
        </w:rPr>
        <w:fldChar w:fldCharType="separate"/>
      </w:r>
      <w:r>
        <w:rPr>
          <w:rFonts w:eastAsia="宋体"/>
          <w:color w:val="auto"/>
          <w:sz w:val="24"/>
          <w:szCs w:val="24"/>
          <w:highlight w:val="none"/>
        </w:rPr>
        <w:t>6.7</w:t>
      </w:r>
      <w:r>
        <w:rPr>
          <w:rFonts w:eastAsia="宋体"/>
          <w:color w:val="auto"/>
          <w:sz w:val="24"/>
          <w:szCs w:val="24"/>
          <w:highlight w:val="none"/>
        </w:rPr>
        <w:fldChar w:fldCharType="end"/>
      </w:r>
      <w:r>
        <w:rPr>
          <w:rFonts w:eastAsia="宋体"/>
          <w:color w:val="auto"/>
          <w:sz w:val="24"/>
          <w:szCs w:val="24"/>
          <w:highlight w:val="none"/>
        </w:rPr>
        <w:noBreakHyphen/>
      </w:r>
      <w:r>
        <w:rPr>
          <w:rFonts w:eastAsia="宋体"/>
          <w:color w:val="auto"/>
          <w:sz w:val="24"/>
          <w:szCs w:val="24"/>
          <w:highlight w:val="none"/>
        </w:rPr>
        <w:fldChar w:fldCharType="begin"/>
      </w:r>
      <w:r>
        <w:rPr>
          <w:rFonts w:eastAsia="宋体"/>
          <w:color w:val="auto"/>
          <w:sz w:val="24"/>
          <w:szCs w:val="24"/>
          <w:highlight w:val="none"/>
        </w:rPr>
        <w:instrText xml:space="preserve"> SEQ 表 \* ARABIC \s 2 </w:instrText>
      </w:r>
      <w:r>
        <w:rPr>
          <w:rFonts w:eastAsia="宋体"/>
          <w:color w:val="auto"/>
          <w:sz w:val="24"/>
          <w:szCs w:val="24"/>
          <w:highlight w:val="none"/>
        </w:rPr>
        <w:fldChar w:fldCharType="separate"/>
      </w:r>
      <w:r>
        <w:rPr>
          <w:rFonts w:eastAsia="宋体"/>
          <w:color w:val="auto"/>
          <w:sz w:val="24"/>
          <w:szCs w:val="24"/>
          <w:highlight w:val="none"/>
        </w:rPr>
        <w:t>6</w:t>
      </w:r>
      <w:r>
        <w:rPr>
          <w:rFonts w:eastAsia="宋体"/>
          <w:color w:val="auto"/>
          <w:sz w:val="24"/>
          <w:szCs w:val="24"/>
          <w:highlight w:val="none"/>
        </w:rPr>
        <w:fldChar w:fldCharType="end"/>
      </w:r>
      <w:r>
        <w:rPr>
          <w:rFonts w:eastAsia="宋体"/>
          <w:color w:val="auto"/>
          <w:sz w:val="24"/>
          <w:szCs w:val="24"/>
          <w:highlight w:val="none"/>
        </w:rPr>
        <w:t>环境风险评价自查表</w:t>
      </w:r>
    </w:p>
    <w:tbl>
      <w:tblPr>
        <w:tblStyle w:val="45"/>
        <w:tblW w:w="500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
      <w:tblGrid>
        <w:gridCol w:w="395"/>
        <w:gridCol w:w="1238"/>
        <w:gridCol w:w="640"/>
        <w:gridCol w:w="689"/>
        <w:gridCol w:w="1548"/>
        <w:gridCol w:w="431"/>
        <w:gridCol w:w="220"/>
        <w:gridCol w:w="504"/>
        <w:gridCol w:w="168"/>
        <w:gridCol w:w="891"/>
        <w:gridCol w:w="714"/>
        <w:gridCol w:w="1096"/>
      </w:tblGrid>
      <w:tr w14:paraId="6914623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jc w:val="center"/>
        </w:trPr>
        <w:tc>
          <w:tcPr>
            <w:tcW w:w="957" w:type="pct"/>
            <w:gridSpan w:val="2"/>
            <w:tcBorders>
              <w:tl2br w:val="nil"/>
              <w:tr2bl w:val="nil"/>
            </w:tcBorders>
            <w:tcMar>
              <w:top w:w="0" w:type="dxa"/>
              <w:left w:w="0" w:type="dxa"/>
              <w:bottom w:w="0" w:type="dxa"/>
              <w:right w:w="0" w:type="dxa"/>
            </w:tcMar>
            <w:vAlign w:val="center"/>
          </w:tcPr>
          <w:p w14:paraId="546583E5">
            <w:pPr>
              <w:keepNext w:val="0"/>
              <w:keepLines w:val="0"/>
              <w:pageBreakBefore w:val="0"/>
              <w:widowControl/>
              <w:kinsoku/>
              <w:wordWrap/>
              <w:overflowPunct/>
              <w:topLinePunct w:val="0"/>
              <w:autoSpaceDE/>
              <w:autoSpaceDN/>
              <w:bidi w:val="0"/>
              <w:adjustRightInd w:val="0"/>
              <w:snapToGrid w:val="0"/>
              <w:ind w:left="0" w:right="0"/>
              <w:jc w:val="center"/>
              <w:textAlignment w:val="auto"/>
              <w:rPr>
                <w:rFonts w:ascii="Times New Roman" w:hAnsi="Times New Roman" w:cs="Times New Roman"/>
                <w:b/>
                <w:bCs/>
                <w:color w:val="auto"/>
                <w:sz w:val="21"/>
                <w:szCs w:val="21"/>
                <w:highlight w:val="none"/>
              </w:rPr>
            </w:pPr>
            <w:r>
              <w:rPr>
                <w:rFonts w:ascii="Times New Roman" w:hAnsi="Times New Roman" w:cs="Times New Roman"/>
                <w:b/>
                <w:bCs/>
                <w:color w:val="auto"/>
                <w:sz w:val="21"/>
                <w:szCs w:val="21"/>
                <w:highlight w:val="none"/>
              </w:rPr>
              <w:t>工作内容</w:t>
            </w:r>
          </w:p>
        </w:tc>
        <w:tc>
          <w:tcPr>
            <w:tcW w:w="4043" w:type="pct"/>
            <w:gridSpan w:val="10"/>
            <w:tcBorders>
              <w:tl2br w:val="nil"/>
              <w:tr2bl w:val="nil"/>
            </w:tcBorders>
            <w:tcMar>
              <w:top w:w="0" w:type="dxa"/>
              <w:left w:w="0" w:type="dxa"/>
              <w:bottom w:w="0" w:type="dxa"/>
              <w:right w:w="0" w:type="dxa"/>
            </w:tcMar>
            <w:vAlign w:val="center"/>
          </w:tcPr>
          <w:p w14:paraId="129339B7">
            <w:pPr>
              <w:keepNext w:val="0"/>
              <w:keepLines w:val="0"/>
              <w:pageBreakBefore w:val="0"/>
              <w:widowControl/>
              <w:kinsoku/>
              <w:wordWrap/>
              <w:overflowPunct/>
              <w:topLinePunct w:val="0"/>
              <w:autoSpaceDE/>
              <w:autoSpaceDN/>
              <w:bidi w:val="0"/>
              <w:adjustRightInd w:val="0"/>
              <w:snapToGrid w:val="0"/>
              <w:ind w:left="0" w:right="0"/>
              <w:jc w:val="center"/>
              <w:textAlignment w:val="auto"/>
              <w:rPr>
                <w:rFonts w:ascii="Times New Roman" w:hAnsi="Times New Roman" w:cs="Times New Roman"/>
                <w:b/>
                <w:bCs/>
                <w:color w:val="auto"/>
                <w:sz w:val="21"/>
                <w:szCs w:val="21"/>
                <w:highlight w:val="none"/>
              </w:rPr>
            </w:pPr>
            <w:r>
              <w:rPr>
                <w:rFonts w:ascii="Times New Roman" w:hAnsi="Times New Roman" w:cs="Times New Roman"/>
                <w:b/>
                <w:bCs/>
                <w:color w:val="auto"/>
                <w:sz w:val="21"/>
                <w:szCs w:val="21"/>
                <w:highlight w:val="none"/>
              </w:rPr>
              <w:t>完成情况</w:t>
            </w:r>
          </w:p>
        </w:tc>
      </w:tr>
      <w:tr w14:paraId="7944BC6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jc w:val="center"/>
        </w:trPr>
        <w:tc>
          <w:tcPr>
            <w:tcW w:w="232" w:type="pct"/>
            <w:vMerge w:val="restart"/>
            <w:tcBorders>
              <w:tl2br w:val="nil"/>
              <w:tr2bl w:val="nil"/>
            </w:tcBorders>
            <w:tcMar>
              <w:top w:w="0" w:type="dxa"/>
              <w:left w:w="0" w:type="dxa"/>
              <w:bottom w:w="0" w:type="dxa"/>
              <w:right w:w="0" w:type="dxa"/>
            </w:tcMar>
            <w:vAlign w:val="center"/>
          </w:tcPr>
          <w:p w14:paraId="1D6743B4">
            <w:pPr>
              <w:keepNext w:val="0"/>
              <w:keepLines w:val="0"/>
              <w:pageBreakBefore w:val="0"/>
              <w:widowControl/>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风</w:t>
            </w:r>
          </w:p>
          <w:p w14:paraId="04A4515F">
            <w:pPr>
              <w:keepNext w:val="0"/>
              <w:keepLines w:val="0"/>
              <w:pageBreakBefore w:val="0"/>
              <w:widowControl/>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险</w:t>
            </w:r>
          </w:p>
          <w:p w14:paraId="60BF5F8F">
            <w:pPr>
              <w:keepNext w:val="0"/>
              <w:keepLines w:val="0"/>
              <w:pageBreakBefore w:val="0"/>
              <w:widowControl/>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调</w:t>
            </w:r>
          </w:p>
          <w:p w14:paraId="608E5E4C">
            <w:pPr>
              <w:keepNext w:val="0"/>
              <w:keepLines w:val="0"/>
              <w:pageBreakBefore w:val="0"/>
              <w:widowControl/>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查</w:t>
            </w:r>
          </w:p>
        </w:tc>
        <w:tc>
          <w:tcPr>
            <w:tcW w:w="726" w:type="pct"/>
            <w:tcBorders>
              <w:tl2br w:val="nil"/>
              <w:tr2bl w:val="nil"/>
            </w:tcBorders>
            <w:tcMar>
              <w:top w:w="0" w:type="dxa"/>
              <w:left w:w="0" w:type="dxa"/>
              <w:bottom w:w="0" w:type="dxa"/>
              <w:right w:w="0" w:type="dxa"/>
            </w:tcMar>
            <w:vAlign w:val="center"/>
          </w:tcPr>
          <w:p w14:paraId="12F9B93E">
            <w:pPr>
              <w:keepNext w:val="0"/>
              <w:keepLines w:val="0"/>
              <w:pageBreakBefore w:val="0"/>
              <w:widowControl/>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危险物质</w:t>
            </w:r>
          </w:p>
        </w:tc>
        <w:tc>
          <w:tcPr>
            <w:tcW w:w="4043" w:type="pct"/>
            <w:gridSpan w:val="10"/>
            <w:tcBorders>
              <w:tl2br w:val="nil"/>
              <w:tr2bl w:val="nil"/>
            </w:tcBorders>
            <w:tcMar>
              <w:top w:w="0" w:type="dxa"/>
              <w:left w:w="0" w:type="dxa"/>
              <w:bottom w:w="0" w:type="dxa"/>
              <w:right w:w="0" w:type="dxa"/>
            </w:tcMar>
            <w:vAlign w:val="center"/>
          </w:tcPr>
          <w:p w14:paraId="1EF0EE6C">
            <w:pPr>
              <w:keepNext w:val="0"/>
              <w:keepLines w:val="0"/>
              <w:pageBreakBefore w:val="0"/>
              <w:widowControl/>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见表2.4-</w:t>
            </w:r>
            <w:r>
              <w:rPr>
                <w:rFonts w:hint="eastAsia" w:ascii="Times New Roman" w:hAnsi="Times New Roman" w:cs="Times New Roman"/>
                <w:color w:val="auto"/>
                <w:sz w:val="21"/>
                <w:szCs w:val="21"/>
                <w:highlight w:val="none"/>
              </w:rPr>
              <w:t>8</w:t>
            </w:r>
          </w:p>
        </w:tc>
      </w:tr>
      <w:tr w14:paraId="28665B5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jc w:val="center"/>
        </w:trPr>
        <w:tc>
          <w:tcPr>
            <w:tcW w:w="232" w:type="pct"/>
            <w:vMerge w:val="continue"/>
            <w:tcBorders>
              <w:tl2br w:val="nil"/>
              <w:tr2bl w:val="nil"/>
            </w:tcBorders>
            <w:tcMar>
              <w:top w:w="0" w:type="dxa"/>
              <w:left w:w="0" w:type="dxa"/>
              <w:bottom w:w="0" w:type="dxa"/>
              <w:right w:w="0" w:type="dxa"/>
            </w:tcMar>
            <w:vAlign w:val="center"/>
          </w:tcPr>
          <w:p w14:paraId="1E3A18B4">
            <w:pPr>
              <w:keepNext w:val="0"/>
              <w:keepLines w:val="0"/>
              <w:pageBreakBefore w:val="0"/>
              <w:widowControl/>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sz w:val="21"/>
                <w:szCs w:val="21"/>
                <w:highlight w:val="none"/>
              </w:rPr>
            </w:pPr>
          </w:p>
        </w:tc>
        <w:tc>
          <w:tcPr>
            <w:tcW w:w="726" w:type="pct"/>
            <w:vMerge w:val="restart"/>
            <w:tcBorders>
              <w:tl2br w:val="nil"/>
              <w:tr2bl w:val="nil"/>
            </w:tcBorders>
            <w:tcMar>
              <w:top w:w="0" w:type="dxa"/>
              <w:left w:w="0" w:type="dxa"/>
              <w:bottom w:w="0" w:type="dxa"/>
              <w:right w:w="0" w:type="dxa"/>
            </w:tcMar>
            <w:vAlign w:val="center"/>
          </w:tcPr>
          <w:p w14:paraId="55C2284D">
            <w:pPr>
              <w:keepNext w:val="0"/>
              <w:keepLines w:val="0"/>
              <w:pageBreakBefore w:val="0"/>
              <w:widowControl/>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环境敏感性</w:t>
            </w:r>
          </w:p>
        </w:tc>
        <w:tc>
          <w:tcPr>
            <w:tcW w:w="375" w:type="pct"/>
            <w:vMerge w:val="restart"/>
            <w:tcBorders>
              <w:tl2br w:val="nil"/>
              <w:tr2bl w:val="nil"/>
            </w:tcBorders>
            <w:tcMar>
              <w:top w:w="0" w:type="dxa"/>
              <w:left w:w="0" w:type="dxa"/>
              <w:bottom w:w="0" w:type="dxa"/>
              <w:right w:w="0" w:type="dxa"/>
            </w:tcMar>
            <w:vAlign w:val="center"/>
          </w:tcPr>
          <w:p w14:paraId="77DD39F3">
            <w:pPr>
              <w:keepNext w:val="0"/>
              <w:keepLines w:val="0"/>
              <w:pageBreakBefore w:val="0"/>
              <w:widowControl/>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大气</w:t>
            </w:r>
          </w:p>
        </w:tc>
        <w:tc>
          <w:tcPr>
            <w:tcW w:w="1692" w:type="pct"/>
            <w:gridSpan w:val="4"/>
            <w:tcBorders>
              <w:tl2br w:val="nil"/>
              <w:tr2bl w:val="nil"/>
            </w:tcBorders>
            <w:tcMar>
              <w:top w:w="0" w:type="dxa"/>
              <w:left w:w="0" w:type="dxa"/>
              <w:bottom w:w="0" w:type="dxa"/>
              <w:right w:w="0" w:type="dxa"/>
            </w:tcMar>
            <w:vAlign w:val="center"/>
          </w:tcPr>
          <w:p w14:paraId="78A529F5">
            <w:pPr>
              <w:keepNext w:val="0"/>
              <w:keepLines w:val="0"/>
              <w:pageBreakBefore w:val="0"/>
              <w:widowControl/>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500m范围内人口数</w:t>
            </w:r>
            <w:r>
              <w:rPr>
                <w:rFonts w:hint="eastAsia" w:ascii="Times New Roman" w:hAnsi="Times New Roman" w:cs="Times New Roman"/>
                <w:color w:val="auto"/>
                <w:sz w:val="21"/>
                <w:szCs w:val="21"/>
                <w:highlight w:val="none"/>
                <w:u w:val="single"/>
              </w:rPr>
              <w:t>34560</w:t>
            </w:r>
            <w:r>
              <w:rPr>
                <w:rFonts w:ascii="Times New Roman" w:hAnsi="Times New Roman" w:cs="Times New Roman"/>
                <w:color w:val="auto"/>
                <w:sz w:val="21"/>
                <w:szCs w:val="21"/>
                <w:highlight w:val="none"/>
              </w:rPr>
              <w:t>人</w:t>
            </w:r>
          </w:p>
        </w:tc>
        <w:tc>
          <w:tcPr>
            <w:tcW w:w="1976" w:type="pct"/>
            <w:gridSpan w:val="5"/>
            <w:tcBorders>
              <w:tl2br w:val="nil"/>
              <w:tr2bl w:val="nil"/>
            </w:tcBorders>
            <w:tcMar>
              <w:top w:w="0" w:type="dxa"/>
              <w:left w:w="0" w:type="dxa"/>
              <w:bottom w:w="0" w:type="dxa"/>
              <w:right w:w="0" w:type="dxa"/>
            </w:tcMar>
            <w:vAlign w:val="center"/>
          </w:tcPr>
          <w:p w14:paraId="3F68A3CC">
            <w:pPr>
              <w:keepNext w:val="0"/>
              <w:keepLines w:val="0"/>
              <w:pageBreakBefore w:val="0"/>
              <w:widowControl/>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5km范围内人口数</w:t>
            </w:r>
            <w:r>
              <w:rPr>
                <w:rFonts w:ascii="Times New Roman" w:hAnsi="Times New Roman" w:cs="Times New Roman"/>
                <w:color w:val="auto"/>
                <w:sz w:val="21"/>
                <w:szCs w:val="21"/>
                <w:highlight w:val="none"/>
                <w:u w:val="single"/>
              </w:rPr>
              <w:t>大于5万</w:t>
            </w:r>
            <w:r>
              <w:rPr>
                <w:rFonts w:ascii="Times New Roman" w:hAnsi="Times New Roman" w:cs="Times New Roman"/>
                <w:color w:val="auto"/>
                <w:sz w:val="21"/>
                <w:szCs w:val="21"/>
                <w:highlight w:val="none"/>
              </w:rPr>
              <w:t>人</w:t>
            </w:r>
          </w:p>
        </w:tc>
      </w:tr>
      <w:tr w14:paraId="2031CB5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jc w:val="center"/>
        </w:trPr>
        <w:tc>
          <w:tcPr>
            <w:tcW w:w="232" w:type="pct"/>
            <w:vMerge w:val="continue"/>
            <w:tcBorders>
              <w:tl2br w:val="nil"/>
              <w:tr2bl w:val="nil"/>
            </w:tcBorders>
            <w:tcMar>
              <w:top w:w="0" w:type="dxa"/>
              <w:left w:w="0" w:type="dxa"/>
              <w:bottom w:w="0" w:type="dxa"/>
              <w:right w:w="0" w:type="dxa"/>
            </w:tcMar>
            <w:vAlign w:val="center"/>
          </w:tcPr>
          <w:p w14:paraId="7C3F2511">
            <w:pPr>
              <w:keepNext w:val="0"/>
              <w:keepLines w:val="0"/>
              <w:pageBreakBefore w:val="0"/>
              <w:widowControl/>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sz w:val="21"/>
                <w:szCs w:val="21"/>
                <w:highlight w:val="none"/>
              </w:rPr>
            </w:pPr>
          </w:p>
        </w:tc>
        <w:tc>
          <w:tcPr>
            <w:tcW w:w="726" w:type="pct"/>
            <w:vMerge w:val="continue"/>
            <w:tcBorders>
              <w:tl2br w:val="nil"/>
              <w:tr2bl w:val="nil"/>
            </w:tcBorders>
            <w:tcMar>
              <w:top w:w="0" w:type="dxa"/>
              <w:left w:w="0" w:type="dxa"/>
              <w:bottom w:w="0" w:type="dxa"/>
              <w:right w:w="0" w:type="dxa"/>
            </w:tcMar>
            <w:vAlign w:val="center"/>
          </w:tcPr>
          <w:p w14:paraId="51034A08">
            <w:pPr>
              <w:keepNext w:val="0"/>
              <w:keepLines w:val="0"/>
              <w:pageBreakBefore w:val="0"/>
              <w:widowControl/>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sz w:val="21"/>
                <w:szCs w:val="21"/>
                <w:highlight w:val="none"/>
              </w:rPr>
            </w:pPr>
          </w:p>
        </w:tc>
        <w:tc>
          <w:tcPr>
            <w:tcW w:w="375" w:type="pct"/>
            <w:vMerge w:val="continue"/>
            <w:tcBorders>
              <w:tl2br w:val="nil"/>
              <w:tr2bl w:val="nil"/>
            </w:tcBorders>
            <w:tcMar>
              <w:top w:w="0" w:type="dxa"/>
              <w:left w:w="0" w:type="dxa"/>
              <w:bottom w:w="0" w:type="dxa"/>
              <w:right w:w="0" w:type="dxa"/>
            </w:tcMar>
            <w:vAlign w:val="center"/>
          </w:tcPr>
          <w:p w14:paraId="14E7BD7D">
            <w:pPr>
              <w:keepNext w:val="0"/>
              <w:keepLines w:val="0"/>
              <w:pageBreakBefore w:val="0"/>
              <w:widowControl/>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sz w:val="21"/>
                <w:szCs w:val="21"/>
                <w:highlight w:val="none"/>
              </w:rPr>
            </w:pPr>
          </w:p>
        </w:tc>
        <w:tc>
          <w:tcPr>
            <w:tcW w:w="3024" w:type="pct"/>
            <w:gridSpan w:val="8"/>
            <w:tcBorders>
              <w:tl2br w:val="nil"/>
              <w:tr2bl w:val="nil"/>
            </w:tcBorders>
            <w:tcMar>
              <w:top w:w="0" w:type="dxa"/>
              <w:left w:w="0" w:type="dxa"/>
              <w:bottom w:w="0" w:type="dxa"/>
              <w:right w:w="0" w:type="dxa"/>
            </w:tcMar>
            <w:vAlign w:val="center"/>
          </w:tcPr>
          <w:p w14:paraId="732403AA">
            <w:pPr>
              <w:keepNext w:val="0"/>
              <w:keepLines w:val="0"/>
              <w:pageBreakBefore w:val="0"/>
              <w:widowControl/>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每公里管段周边200m范围内人口数（最大）</w:t>
            </w:r>
          </w:p>
        </w:tc>
        <w:tc>
          <w:tcPr>
            <w:tcW w:w="643" w:type="pct"/>
            <w:tcBorders>
              <w:tl2br w:val="nil"/>
              <w:tr2bl w:val="nil"/>
            </w:tcBorders>
            <w:tcMar>
              <w:top w:w="0" w:type="dxa"/>
              <w:left w:w="0" w:type="dxa"/>
              <w:bottom w:w="0" w:type="dxa"/>
              <w:right w:w="0" w:type="dxa"/>
            </w:tcMar>
            <w:vAlign w:val="center"/>
          </w:tcPr>
          <w:p w14:paraId="7320A783">
            <w:pPr>
              <w:keepNext w:val="0"/>
              <w:keepLines w:val="0"/>
              <w:pageBreakBefore w:val="0"/>
              <w:widowControl/>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u w:val="single"/>
              </w:rPr>
              <w:t>/</w:t>
            </w:r>
            <w:r>
              <w:rPr>
                <w:rFonts w:ascii="Times New Roman" w:hAnsi="Times New Roman" w:cs="Times New Roman"/>
                <w:color w:val="auto"/>
                <w:sz w:val="21"/>
                <w:szCs w:val="21"/>
                <w:highlight w:val="none"/>
              </w:rPr>
              <w:t>人</w:t>
            </w:r>
          </w:p>
        </w:tc>
      </w:tr>
      <w:tr w14:paraId="66483C3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jc w:val="center"/>
        </w:trPr>
        <w:tc>
          <w:tcPr>
            <w:tcW w:w="232" w:type="pct"/>
            <w:vMerge w:val="continue"/>
            <w:tcBorders>
              <w:tl2br w:val="nil"/>
              <w:tr2bl w:val="nil"/>
            </w:tcBorders>
            <w:tcMar>
              <w:top w:w="0" w:type="dxa"/>
              <w:left w:w="0" w:type="dxa"/>
              <w:bottom w:w="0" w:type="dxa"/>
              <w:right w:w="0" w:type="dxa"/>
            </w:tcMar>
            <w:vAlign w:val="center"/>
          </w:tcPr>
          <w:p w14:paraId="0542DD1A">
            <w:pPr>
              <w:keepNext w:val="0"/>
              <w:keepLines w:val="0"/>
              <w:pageBreakBefore w:val="0"/>
              <w:widowControl/>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sz w:val="21"/>
                <w:szCs w:val="21"/>
                <w:highlight w:val="none"/>
              </w:rPr>
            </w:pPr>
          </w:p>
        </w:tc>
        <w:tc>
          <w:tcPr>
            <w:tcW w:w="726" w:type="pct"/>
            <w:vMerge w:val="continue"/>
            <w:tcBorders>
              <w:tl2br w:val="nil"/>
              <w:tr2bl w:val="nil"/>
            </w:tcBorders>
            <w:tcMar>
              <w:top w:w="0" w:type="dxa"/>
              <w:left w:w="0" w:type="dxa"/>
              <w:bottom w:w="0" w:type="dxa"/>
              <w:right w:w="0" w:type="dxa"/>
            </w:tcMar>
            <w:vAlign w:val="center"/>
          </w:tcPr>
          <w:p w14:paraId="436BBF31">
            <w:pPr>
              <w:keepNext w:val="0"/>
              <w:keepLines w:val="0"/>
              <w:pageBreakBefore w:val="0"/>
              <w:widowControl/>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sz w:val="21"/>
                <w:szCs w:val="21"/>
                <w:highlight w:val="none"/>
              </w:rPr>
            </w:pPr>
          </w:p>
        </w:tc>
        <w:tc>
          <w:tcPr>
            <w:tcW w:w="375" w:type="pct"/>
            <w:vMerge w:val="restart"/>
            <w:tcBorders>
              <w:tl2br w:val="nil"/>
              <w:tr2bl w:val="nil"/>
            </w:tcBorders>
            <w:tcMar>
              <w:top w:w="0" w:type="dxa"/>
              <w:left w:w="0" w:type="dxa"/>
              <w:bottom w:w="0" w:type="dxa"/>
              <w:right w:w="0" w:type="dxa"/>
            </w:tcMar>
            <w:vAlign w:val="center"/>
          </w:tcPr>
          <w:p w14:paraId="72E52B54">
            <w:pPr>
              <w:keepNext w:val="0"/>
              <w:keepLines w:val="0"/>
              <w:pageBreakBefore w:val="0"/>
              <w:widowControl/>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地表水</w:t>
            </w:r>
          </w:p>
        </w:tc>
        <w:tc>
          <w:tcPr>
            <w:tcW w:w="1311" w:type="pct"/>
            <w:gridSpan w:val="2"/>
            <w:tcBorders>
              <w:tl2br w:val="nil"/>
              <w:tr2bl w:val="nil"/>
            </w:tcBorders>
            <w:tcMar>
              <w:top w:w="0" w:type="dxa"/>
              <w:left w:w="0" w:type="dxa"/>
              <w:bottom w:w="0" w:type="dxa"/>
              <w:right w:w="0" w:type="dxa"/>
            </w:tcMar>
            <w:vAlign w:val="center"/>
          </w:tcPr>
          <w:p w14:paraId="50AAFF63">
            <w:pPr>
              <w:keepNext w:val="0"/>
              <w:keepLines w:val="0"/>
              <w:pageBreakBefore w:val="0"/>
              <w:widowControl/>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地表水功能敏感性</w:t>
            </w:r>
          </w:p>
        </w:tc>
        <w:tc>
          <w:tcPr>
            <w:tcW w:w="774" w:type="pct"/>
            <w:gridSpan w:val="4"/>
            <w:tcBorders>
              <w:tl2br w:val="nil"/>
              <w:tr2bl w:val="nil"/>
            </w:tcBorders>
            <w:tcMar>
              <w:top w:w="0" w:type="dxa"/>
              <w:left w:w="0" w:type="dxa"/>
              <w:bottom w:w="0" w:type="dxa"/>
              <w:right w:w="0" w:type="dxa"/>
            </w:tcMar>
            <w:vAlign w:val="center"/>
          </w:tcPr>
          <w:p w14:paraId="24DB7E07">
            <w:pPr>
              <w:keepNext w:val="0"/>
              <w:keepLines w:val="0"/>
              <w:pageBreakBefore w:val="0"/>
              <w:widowControl/>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F1□</w:t>
            </w:r>
          </w:p>
        </w:tc>
        <w:tc>
          <w:tcPr>
            <w:tcW w:w="940" w:type="pct"/>
            <w:gridSpan w:val="2"/>
            <w:tcBorders>
              <w:tl2br w:val="nil"/>
              <w:tr2bl w:val="nil"/>
            </w:tcBorders>
            <w:tcMar>
              <w:top w:w="0" w:type="dxa"/>
              <w:left w:w="0" w:type="dxa"/>
              <w:bottom w:w="0" w:type="dxa"/>
              <w:right w:w="0" w:type="dxa"/>
            </w:tcMar>
            <w:vAlign w:val="center"/>
          </w:tcPr>
          <w:p w14:paraId="2F650320">
            <w:pPr>
              <w:keepNext w:val="0"/>
              <w:keepLines w:val="0"/>
              <w:pageBreakBefore w:val="0"/>
              <w:widowControl/>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F2</w:t>
            </w:r>
            <w:r>
              <w:rPr>
                <w:rFonts w:ascii="Segoe UI Symbol" w:hAnsi="Segoe UI Symbol" w:cs="Segoe UI Symbol"/>
                <w:color w:val="auto"/>
                <w:sz w:val="21"/>
                <w:szCs w:val="21"/>
                <w:highlight w:val="none"/>
              </w:rPr>
              <w:t>☑</w:t>
            </w:r>
          </w:p>
        </w:tc>
        <w:tc>
          <w:tcPr>
            <w:tcW w:w="643" w:type="pct"/>
            <w:tcBorders>
              <w:tl2br w:val="nil"/>
              <w:tr2bl w:val="nil"/>
            </w:tcBorders>
            <w:tcMar>
              <w:top w:w="0" w:type="dxa"/>
              <w:left w:w="0" w:type="dxa"/>
              <w:bottom w:w="0" w:type="dxa"/>
              <w:right w:w="0" w:type="dxa"/>
            </w:tcMar>
            <w:vAlign w:val="center"/>
          </w:tcPr>
          <w:p w14:paraId="34F8B80B">
            <w:pPr>
              <w:keepNext w:val="0"/>
              <w:keepLines w:val="0"/>
              <w:pageBreakBefore w:val="0"/>
              <w:widowControl/>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F3□</w:t>
            </w:r>
          </w:p>
        </w:tc>
      </w:tr>
      <w:tr w14:paraId="2CAA8F8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jc w:val="center"/>
        </w:trPr>
        <w:tc>
          <w:tcPr>
            <w:tcW w:w="232" w:type="pct"/>
            <w:vMerge w:val="continue"/>
            <w:tcBorders>
              <w:tl2br w:val="nil"/>
              <w:tr2bl w:val="nil"/>
            </w:tcBorders>
            <w:tcMar>
              <w:top w:w="0" w:type="dxa"/>
              <w:left w:w="0" w:type="dxa"/>
              <w:bottom w:w="0" w:type="dxa"/>
              <w:right w:w="0" w:type="dxa"/>
            </w:tcMar>
            <w:vAlign w:val="center"/>
          </w:tcPr>
          <w:p w14:paraId="5FF68016">
            <w:pPr>
              <w:keepNext w:val="0"/>
              <w:keepLines w:val="0"/>
              <w:pageBreakBefore w:val="0"/>
              <w:widowControl/>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sz w:val="21"/>
                <w:szCs w:val="21"/>
                <w:highlight w:val="none"/>
              </w:rPr>
            </w:pPr>
          </w:p>
        </w:tc>
        <w:tc>
          <w:tcPr>
            <w:tcW w:w="726" w:type="pct"/>
            <w:vMerge w:val="continue"/>
            <w:tcBorders>
              <w:tl2br w:val="nil"/>
              <w:tr2bl w:val="nil"/>
            </w:tcBorders>
            <w:tcMar>
              <w:top w:w="0" w:type="dxa"/>
              <w:left w:w="0" w:type="dxa"/>
              <w:bottom w:w="0" w:type="dxa"/>
              <w:right w:w="0" w:type="dxa"/>
            </w:tcMar>
            <w:vAlign w:val="center"/>
          </w:tcPr>
          <w:p w14:paraId="6982BB96">
            <w:pPr>
              <w:keepNext w:val="0"/>
              <w:keepLines w:val="0"/>
              <w:pageBreakBefore w:val="0"/>
              <w:widowControl/>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sz w:val="21"/>
                <w:szCs w:val="21"/>
                <w:highlight w:val="none"/>
              </w:rPr>
            </w:pPr>
          </w:p>
        </w:tc>
        <w:tc>
          <w:tcPr>
            <w:tcW w:w="375" w:type="pct"/>
            <w:vMerge w:val="continue"/>
            <w:tcBorders>
              <w:tl2br w:val="nil"/>
              <w:tr2bl w:val="nil"/>
            </w:tcBorders>
            <w:tcMar>
              <w:top w:w="0" w:type="dxa"/>
              <w:left w:w="0" w:type="dxa"/>
              <w:bottom w:w="0" w:type="dxa"/>
              <w:right w:w="0" w:type="dxa"/>
            </w:tcMar>
            <w:vAlign w:val="center"/>
          </w:tcPr>
          <w:p w14:paraId="656ADC98">
            <w:pPr>
              <w:keepNext w:val="0"/>
              <w:keepLines w:val="0"/>
              <w:pageBreakBefore w:val="0"/>
              <w:widowControl/>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sz w:val="21"/>
                <w:szCs w:val="21"/>
                <w:highlight w:val="none"/>
              </w:rPr>
            </w:pPr>
          </w:p>
        </w:tc>
        <w:tc>
          <w:tcPr>
            <w:tcW w:w="1311" w:type="pct"/>
            <w:gridSpan w:val="2"/>
            <w:tcBorders>
              <w:tl2br w:val="nil"/>
              <w:tr2bl w:val="nil"/>
            </w:tcBorders>
            <w:tcMar>
              <w:top w:w="0" w:type="dxa"/>
              <w:left w:w="0" w:type="dxa"/>
              <w:bottom w:w="0" w:type="dxa"/>
              <w:right w:w="0" w:type="dxa"/>
            </w:tcMar>
            <w:vAlign w:val="center"/>
          </w:tcPr>
          <w:p w14:paraId="5AF1A87A">
            <w:pPr>
              <w:keepNext w:val="0"/>
              <w:keepLines w:val="0"/>
              <w:pageBreakBefore w:val="0"/>
              <w:widowControl/>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环境敏感目标分级</w:t>
            </w:r>
          </w:p>
        </w:tc>
        <w:tc>
          <w:tcPr>
            <w:tcW w:w="774" w:type="pct"/>
            <w:gridSpan w:val="4"/>
            <w:tcBorders>
              <w:tl2br w:val="nil"/>
              <w:tr2bl w:val="nil"/>
            </w:tcBorders>
            <w:tcMar>
              <w:top w:w="0" w:type="dxa"/>
              <w:left w:w="0" w:type="dxa"/>
              <w:bottom w:w="0" w:type="dxa"/>
              <w:right w:w="0" w:type="dxa"/>
            </w:tcMar>
            <w:vAlign w:val="center"/>
          </w:tcPr>
          <w:p w14:paraId="35002CAB">
            <w:pPr>
              <w:keepNext w:val="0"/>
              <w:keepLines w:val="0"/>
              <w:pageBreakBefore w:val="0"/>
              <w:widowControl/>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S1</w:t>
            </w:r>
            <w:r>
              <w:rPr>
                <w:rFonts w:ascii="Segoe UI Symbol" w:hAnsi="Segoe UI Symbol" w:cs="Segoe UI Symbol"/>
                <w:color w:val="auto"/>
                <w:sz w:val="21"/>
                <w:szCs w:val="21"/>
                <w:highlight w:val="none"/>
              </w:rPr>
              <w:t>☑</w:t>
            </w:r>
          </w:p>
        </w:tc>
        <w:tc>
          <w:tcPr>
            <w:tcW w:w="940" w:type="pct"/>
            <w:gridSpan w:val="2"/>
            <w:tcBorders>
              <w:tl2br w:val="nil"/>
              <w:tr2bl w:val="nil"/>
            </w:tcBorders>
            <w:tcMar>
              <w:top w:w="0" w:type="dxa"/>
              <w:left w:w="0" w:type="dxa"/>
              <w:bottom w:w="0" w:type="dxa"/>
              <w:right w:w="0" w:type="dxa"/>
            </w:tcMar>
            <w:vAlign w:val="center"/>
          </w:tcPr>
          <w:p w14:paraId="1B8AA7A5">
            <w:pPr>
              <w:keepNext w:val="0"/>
              <w:keepLines w:val="0"/>
              <w:pageBreakBefore w:val="0"/>
              <w:widowControl/>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S2□</w:t>
            </w:r>
          </w:p>
        </w:tc>
        <w:tc>
          <w:tcPr>
            <w:tcW w:w="643" w:type="pct"/>
            <w:tcBorders>
              <w:tl2br w:val="nil"/>
              <w:tr2bl w:val="nil"/>
            </w:tcBorders>
            <w:tcMar>
              <w:top w:w="0" w:type="dxa"/>
              <w:left w:w="0" w:type="dxa"/>
              <w:bottom w:w="0" w:type="dxa"/>
              <w:right w:w="0" w:type="dxa"/>
            </w:tcMar>
            <w:vAlign w:val="center"/>
          </w:tcPr>
          <w:p w14:paraId="700CFF53">
            <w:pPr>
              <w:keepNext w:val="0"/>
              <w:keepLines w:val="0"/>
              <w:pageBreakBefore w:val="0"/>
              <w:widowControl/>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S3□</w:t>
            </w:r>
          </w:p>
        </w:tc>
      </w:tr>
      <w:tr w14:paraId="4250CDF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jc w:val="center"/>
        </w:trPr>
        <w:tc>
          <w:tcPr>
            <w:tcW w:w="232" w:type="pct"/>
            <w:vMerge w:val="continue"/>
            <w:tcBorders>
              <w:tl2br w:val="nil"/>
              <w:tr2bl w:val="nil"/>
            </w:tcBorders>
            <w:tcMar>
              <w:top w:w="0" w:type="dxa"/>
              <w:left w:w="0" w:type="dxa"/>
              <w:bottom w:w="0" w:type="dxa"/>
              <w:right w:w="0" w:type="dxa"/>
            </w:tcMar>
            <w:vAlign w:val="center"/>
          </w:tcPr>
          <w:p w14:paraId="3BCF1A23">
            <w:pPr>
              <w:keepNext w:val="0"/>
              <w:keepLines w:val="0"/>
              <w:pageBreakBefore w:val="0"/>
              <w:widowControl/>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sz w:val="21"/>
                <w:szCs w:val="21"/>
                <w:highlight w:val="none"/>
              </w:rPr>
            </w:pPr>
          </w:p>
        </w:tc>
        <w:tc>
          <w:tcPr>
            <w:tcW w:w="726" w:type="pct"/>
            <w:vMerge w:val="continue"/>
            <w:tcBorders>
              <w:tl2br w:val="nil"/>
              <w:tr2bl w:val="nil"/>
            </w:tcBorders>
            <w:tcMar>
              <w:top w:w="0" w:type="dxa"/>
              <w:left w:w="0" w:type="dxa"/>
              <w:bottom w:w="0" w:type="dxa"/>
              <w:right w:w="0" w:type="dxa"/>
            </w:tcMar>
            <w:vAlign w:val="center"/>
          </w:tcPr>
          <w:p w14:paraId="623519FB">
            <w:pPr>
              <w:keepNext w:val="0"/>
              <w:keepLines w:val="0"/>
              <w:pageBreakBefore w:val="0"/>
              <w:widowControl/>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sz w:val="21"/>
                <w:szCs w:val="21"/>
                <w:highlight w:val="none"/>
              </w:rPr>
            </w:pPr>
          </w:p>
        </w:tc>
        <w:tc>
          <w:tcPr>
            <w:tcW w:w="375" w:type="pct"/>
            <w:vMerge w:val="restart"/>
            <w:tcBorders>
              <w:tl2br w:val="nil"/>
              <w:tr2bl w:val="nil"/>
            </w:tcBorders>
            <w:tcMar>
              <w:top w:w="0" w:type="dxa"/>
              <w:left w:w="0" w:type="dxa"/>
              <w:bottom w:w="0" w:type="dxa"/>
              <w:right w:w="0" w:type="dxa"/>
            </w:tcMar>
            <w:vAlign w:val="center"/>
          </w:tcPr>
          <w:p w14:paraId="5CCC19CB">
            <w:pPr>
              <w:keepNext w:val="0"/>
              <w:keepLines w:val="0"/>
              <w:pageBreakBefore w:val="0"/>
              <w:widowControl/>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地下水</w:t>
            </w:r>
          </w:p>
        </w:tc>
        <w:tc>
          <w:tcPr>
            <w:tcW w:w="1311" w:type="pct"/>
            <w:gridSpan w:val="2"/>
            <w:tcBorders>
              <w:tl2br w:val="nil"/>
              <w:tr2bl w:val="nil"/>
            </w:tcBorders>
            <w:tcMar>
              <w:top w:w="0" w:type="dxa"/>
              <w:left w:w="0" w:type="dxa"/>
              <w:bottom w:w="0" w:type="dxa"/>
              <w:right w:w="0" w:type="dxa"/>
            </w:tcMar>
            <w:vAlign w:val="center"/>
          </w:tcPr>
          <w:p w14:paraId="7164E094">
            <w:pPr>
              <w:keepNext w:val="0"/>
              <w:keepLines w:val="0"/>
              <w:pageBreakBefore w:val="0"/>
              <w:widowControl/>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地下水功能敏感性</w:t>
            </w:r>
          </w:p>
        </w:tc>
        <w:tc>
          <w:tcPr>
            <w:tcW w:w="774" w:type="pct"/>
            <w:gridSpan w:val="4"/>
            <w:tcBorders>
              <w:tl2br w:val="nil"/>
              <w:tr2bl w:val="nil"/>
            </w:tcBorders>
            <w:tcMar>
              <w:top w:w="0" w:type="dxa"/>
              <w:left w:w="0" w:type="dxa"/>
              <w:bottom w:w="0" w:type="dxa"/>
              <w:right w:w="0" w:type="dxa"/>
            </w:tcMar>
            <w:vAlign w:val="center"/>
          </w:tcPr>
          <w:p w14:paraId="6AAAB284">
            <w:pPr>
              <w:keepNext w:val="0"/>
              <w:keepLines w:val="0"/>
              <w:pageBreakBefore w:val="0"/>
              <w:widowControl/>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G1□</w:t>
            </w:r>
          </w:p>
        </w:tc>
        <w:tc>
          <w:tcPr>
            <w:tcW w:w="940" w:type="pct"/>
            <w:gridSpan w:val="2"/>
            <w:tcBorders>
              <w:tl2br w:val="nil"/>
              <w:tr2bl w:val="nil"/>
            </w:tcBorders>
            <w:tcMar>
              <w:top w:w="0" w:type="dxa"/>
              <w:left w:w="0" w:type="dxa"/>
              <w:bottom w:w="0" w:type="dxa"/>
              <w:right w:w="0" w:type="dxa"/>
            </w:tcMar>
            <w:vAlign w:val="center"/>
          </w:tcPr>
          <w:p w14:paraId="65B23677">
            <w:pPr>
              <w:keepNext w:val="0"/>
              <w:keepLines w:val="0"/>
              <w:pageBreakBefore w:val="0"/>
              <w:widowControl/>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G2□</w:t>
            </w:r>
          </w:p>
        </w:tc>
        <w:tc>
          <w:tcPr>
            <w:tcW w:w="643" w:type="pct"/>
            <w:tcBorders>
              <w:tl2br w:val="nil"/>
              <w:tr2bl w:val="nil"/>
            </w:tcBorders>
            <w:tcMar>
              <w:top w:w="0" w:type="dxa"/>
              <w:left w:w="0" w:type="dxa"/>
              <w:bottom w:w="0" w:type="dxa"/>
              <w:right w:w="0" w:type="dxa"/>
            </w:tcMar>
            <w:vAlign w:val="center"/>
          </w:tcPr>
          <w:p w14:paraId="3A3A97A9">
            <w:pPr>
              <w:keepNext w:val="0"/>
              <w:keepLines w:val="0"/>
              <w:pageBreakBefore w:val="0"/>
              <w:widowControl/>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G3</w:t>
            </w:r>
            <w:r>
              <w:rPr>
                <w:rFonts w:ascii="Segoe UI Symbol" w:hAnsi="Segoe UI Symbol" w:cs="Segoe UI Symbol"/>
                <w:color w:val="auto"/>
                <w:sz w:val="21"/>
                <w:szCs w:val="21"/>
                <w:highlight w:val="none"/>
              </w:rPr>
              <w:t>☑</w:t>
            </w:r>
          </w:p>
        </w:tc>
      </w:tr>
      <w:tr w14:paraId="22511FE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jc w:val="center"/>
        </w:trPr>
        <w:tc>
          <w:tcPr>
            <w:tcW w:w="232" w:type="pct"/>
            <w:vMerge w:val="continue"/>
            <w:tcBorders>
              <w:tl2br w:val="nil"/>
              <w:tr2bl w:val="nil"/>
            </w:tcBorders>
            <w:tcMar>
              <w:top w:w="0" w:type="dxa"/>
              <w:left w:w="0" w:type="dxa"/>
              <w:bottom w:w="0" w:type="dxa"/>
              <w:right w:w="0" w:type="dxa"/>
            </w:tcMar>
            <w:vAlign w:val="center"/>
          </w:tcPr>
          <w:p w14:paraId="5A1120AD">
            <w:pPr>
              <w:keepNext w:val="0"/>
              <w:keepLines w:val="0"/>
              <w:pageBreakBefore w:val="0"/>
              <w:widowControl/>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sz w:val="21"/>
                <w:szCs w:val="21"/>
                <w:highlight w:val="none"/>
              </w:rPr>
            </w:pPr>
          </w:p>
        </w:tc>
        <w:tc>
          <w:tcPr>
            <w:tcW w:w="726" w:type="pct"/>
            <w:vMerge w:val="continue"/>
            <w:tcBorders>
              <w:tl2br w:val="nil"/>
              <w:tr2bl w:val="nil"/>
            </w:tcBorders>
            <w:tcMar>
              <w:top w:w="0" w:type="dxa"/>
              <w:left w:w="0" w:type="dxa"/>
              <w:bottom w:w="0" w:type="dxa"/>
              <w:right w:w="0" w:type="dxa"/>
            </w:tcMar>
            <w:vAlign w:val="center"/>
          </w:tcPr>
          <w:p w14:paraId="6E9EF67A">
            <w:pPr>
              <w:keepNext w:val="0"/>
              <w:keepLines w:val="0"/>
              <w:pageBreakBefore w:val="0"/>
              <w:widowControl/>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sz w:val="21"/>
                <w:szCs w:val="21"/>
                <w:highlight w:val="none"/>
              </w:rPr>
            </w:pPr>
          </w:p>
        </w:tc>
        <w:tc>
          <w:tcPr>
            <w:tcW w:w="375" w:type="pct"/>
            <w:vMerge w:val="continue"/>
            <w:tcBorders>
              <w:tl2br w:val="nil"/>
              <w:tr2bl w:val="nil"/>
            </w:tcBorders>
            <w:tcMar>
              <w:top w:w="0" w:type="dxa"/>
              <w:left w:w="0" w:type="dxa"/>
              <w:bottom w:w="0" w:type="dxa"/>
              <w:right w:w="0" w:type="dxa"/>
            </w:tcMar>
            <w:vAlign w:val="center"/>
          </w:tcPr>
          <w:p w14:paraId="02D0D75D">
            <w:pPr>
              <w:keepNext w:val="0"/>
              <w:keepLines w:val="0"/>
              <w:pageBreakBefore w:val="0"/>
              <w:widowControl/>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sz w:val="21"/>
                <w:szCs w:val="21"/>
                <w:highlight w:val="none"/>
              </w:rPr>
            </w:pPr>
          </w:p>
        </w:tc>
        <w:tc>
          <w:tcPr>
            <w:tcW w:w="1311" w:type="pct"/>
            <w:gridSpan w:val="2"/>
            <w:tcBorders>
              <w:tl2br w:val="nil"/>
              <w:tr2bl w:val="nil"/>
            </w:tcBorders>
            <w:tcMar>
              <w:top w:w="0" w:type="dxa"/>
              <w:left w:w="0" w:type="dxa"/>
              <w:bottom w:w="0" w:type="dxa"/>
              <w:right w:w="0" w:type="dxa"/>
            </w:tcMar>
            <w:vAlign w:val="center"/>
          </w:tcPr>
          <w:p w14:paraId="2E2DF5F4">
            <w:pPr>
              <w:keepNext w:val="0"/>
              <w:keepLines w:val="0"/>
              <w:pageBreakBefore w:val="0"/>
              <w:widowControl/>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包气带防污性能</w:t>
            </w:r>
          </w:p>
        </w:tc>
        <w:tc>
          <w:tcPr>
            <w:tcW w:w="774" w:type="pct"/>
            <w:gridSpan w:val="4"/>
            <w:tcBorders>
              <w:tl2br w:val="nil"/>
              <w:tr2bl w:val="nil"/>
            </w:tcBorders>
            <w:tcMar>
              <w:top w:w="0" w:type="dxa"/>
              <w:left w:w="0" w:type="dxa"/>
              <w:bottom w:w="0" w:type="dxa"/>
              <w:right w:w="0" w:type="dxa"/>
            </w:tcMar>
            <w:vAlign w:val="center"/>
          </w:tcPr>
          <w:p w14:paraId="162415A6">
            <w:pPr>
              <w:keepNext w:val="0"/>
              <w:keepLines w:val="0"/>
              <w:pageBreakBefore w:val="0"/>
              <w:widowControl/>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D1□</w:t>
            </w:r>
          </w:p>
        </w:tc>
        <w:tc>
          <w:tcPr>
            <w:tcW w:w="940" w:type="pct"/>
            <w:gridSpan w:val="2"/>
            <w:tcBorders>
              <w:tl2br w:val="nil"/>
              <w:tr2bl w:val="nil"/>
            </w:tcBorders>
            <w:tcMar>
              <w:top w:w="0" w:type="dxa"/>
              <w:left w:w="0" w:type="dxa"/>
              <w:bottom w:w="0" w:type="dxa"/>
              <w:right w:w="0" w:type="dxa"/>
            </w:tcMar>
            <w:vAlign w:val="center"/>
          </w:tcPr>
          <w:p w14:paraId="7A35C3F6">
            <w:pPr>
              <w:keepNext w:val="0"/>
              <w:keepLines w:val="0"/>
              <w:pageBreakBefore w:val="0"/>
              <w:widowControl/>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D2</w:t>
            </w:r>
            <w:r>
              <w:rPr>
                <w:rFonts w:ascii="Segoe UI Symbol" w:hAnsi="Segoe UI Symbol" w:cs="Segoe UI Symbol"/>
                <w:color w:val="auto"/>
                <w:sz w:val="21"/>
                <w:szCs w:val="21"/>
                <w:highlight w:val="none"/>
              </w:rPr>
              <w:t>☑</w:t>
            </w:r>
          </w:p>
        </w:tc>
        <w:tc>
          <w:tcPr>
            <w:tcW w:w="643" w:type="pct"/>
            <w:tcBorders>
              <w:tl2br w:val="nil"/>
              <w:tr2bl w:val="nil"/>
            </w:tcBorders>
            <w:tcMar>
              <w:top w:w="0" w:type="dxa"/>
              <w:left w:w="0" w:type="dxa"/>
              <w:bottom w:w="0" w:type="dxa"/>
              <w:right w:w="0" w:type="dxa"/>
            </w:tcMar>
            <w:vAlign w:val="center"/>
          </w:tcPr>
          <w:p w14:paraId="2E39C95F">
            <w:pPr>
              <w:keepNext w:val="0"/>
              <w:keepLines w:val="0"/>
              <w:pageBreakBefore w:val="0"/>
              <w:widowControl/>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D3□</w:t>
            </w:r>
          </w:p>
        </w:tc>
      </w:tr>
      <w:tr w14:paraId="05B9686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jc w:val="center"/>
        </w:trPr>
        <w:tc>
          <w:tcPr>
            <w:tcW w:w="957" w:type="pct"/>
            <w:gridSpan w:val="2"/>
            <w:vMerge w:val="restart"/>
            <w:tcBorders>
              <w:tl2br w:val="nil"/>
              <w:tr2bl w:val="nil"/>
            </w:tcBorders>
            <w:tcMar>
              <w:top w:w="0" w:type="dxa"/>
              <w:left w:w="0" w:type="dxa"/>
              <w:bottom w:w="0" w:type="dxa"/>
              <w:right w:w="0" w:type="dxa"/>
            </w:tcMar>
            <w:vAlign w:val="center"/>
          </w:tcPr>
          <w:p w14:paraId="3A2B6C75">
            <w:pPr>
              <w:keepNext w:val="0"/>
              <w:keepLines w:val="0"/>
              <w:pageBreakBefore w:val="0"/>
              <w:widowControl/>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物质及工艺系统危险性</w:t>
            </w:r>
          </w:p>
        </w:tc>
        <w:tc>
          <w:tcPr>
            <w:tcW w:w="375" w:type="pct"/>
            <w:tcBorders>
              <w:tl2br w:val="nil"/>
              <w:tr2bl w:val="nil"/>
            </w:tcBorders>
            <w:tcMar>
              <w:top w:w="0" w:type="dxa"/>
              <w:left w:w="0" w:type="dxa"/>
              <w:bottom w:w="0" w:type="dxa"/>
              <w:right w:w="0" w:type="dxa"/>
            </w:tcMar>
            <w:vAlign w:val="center"/>
          </w:tcPr>
          <w:p w14:paraId="245A3586">
            <w:pPr>
              <w:keepNext w:val="0"/>
              <w:keepLines w:val="0"/>
              <w:pageBreakBefore w:val="0"/>
              <w:widowControl/>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Q值</w:t>
            </w:r>
          </w:p>
        </w:tc>
        <w:tc>
          <w:tcPr>
            <w:tcW w:w="1311" w:type="pct"/>
            <w:gridSpan w:val="2"/>
            <w:tcBorders>
              <w:tl2br w:val="nil"/>
              <w:tr2bl w:val="nil"/>
            </w:tcBorders>
            <w:tcMar>
              <w:top w:w="0" w:type="dxa"/>
              <w:left w:w="0" w:type="dxa"/>
              <w:bottom w:w="0" w:type="dxa"/>
              <w:right w:w="0" w:type="dxa"/>
            </w:tcMar>
            <w:vAlign w:val="center"/>
          </w:tcPr>
          <w:p w14:paraId="50A2C469">
            <w:pPr>
              <w:keepNext w:val="0"/>
              <w:keepLines w:val="0"/>
              <w:pageBreakBefore w:val="0"/>
              <w:widowControl/>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Q＜1□</w:t>
            </w:r>
          </w:p>
        </w:tc>
        <w:tc>
          <w:tcPr>
            <w:tcW w:w="774" w:type="pct"/>
            <w:gridSpan w:val="4"/>
            <w:tcBorders>
              <w:tl2br w:val="nil"/>
              <w:tr2bl w:val="nil"/>
            </w:tcBorders>
            <w:tcMar>
              <w:top w:w="0" w:type="dxa"/>
              <w:left w:w="0" w:type="dxa"/>
              <w:bottom w:w="0" w:type="dxa"/>
              <w:right w:w="0" w:type="dxa"/>
            </w:tcMar>
            <w:vAlign w:val="center"/>
          </w:tcPr>
          <w:p w14:paraId="78531A6E">
            <w:pPr>
              <w:keepNext w:val="0"/>
              <w:keepLines w:val="0"/>
              <w:pageBreakBefore w:val="0"/>
              <w:widowControl/>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1≤Q＜10□</w:t>
            </w:r>
          </w:p>
        </w:tc>
        <w:tc>
          <w:tcPr>
            <w:tcW w:w="940" w:type="pct"/>
            <w:gridSpan w:val="2"/>
            <w:tcBorders>
              <w:tl2br w:val="nil"/>
              <w:tr2bl w:val="nil"/>
            </w:tcBorders>
            <w:tcMar>
              <w:top w:w="0" w:type="dxa"/>
              <w:left w:w="0" w:type="dxa"/>
              <w:bottom w:w="0" w:type="dxa"/>
              <w:right w:w="0" w:type="dxa"/>
            </w:tcMar>
            <w:vAlign w:val="center"/>
          </w:tcPr>
          <w:p w14:paraId="5763B0CE">
            <w:pPr>
              <w:keepNext w:val="0"/>
              <w:keepLines w:val="0"/>
              <w:pageBreakBefore w:val="0"/>
              <w:widowControl/>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10≤Q＜100</w:t>
            </w:r>
            <w:r>
              <w:rPr>
                <w:rFonts w:ascii="Segoe UI Symbol" w:hAnsi="Segoe UI Symbol" w:cs="Segoe UI Symbol"/>
                <w:color w:val="auto"/>
                <w:sz w:val="21"/>
                <w:szCs w:val="21"/>
                <w:highlight w:val="none"/>
              </w:rPr>
              <w:t>☑</w:t>
            </w:r>
          </w:p>
        </w:tc>
        <w:tc>
          <w:tcPr>
            <w:tcW w:w="643" w:type="pct"/>
            <w:tcBorders>
              <w:tl2br w:val="nil"/>
              <w:tr2bl w:val="nil"/>
            </w:tcBorders>
            <w:tcMar>
              <w:top w:w="0" w:type="dxa"/>
              <w:left w:w="0" w:type="dxa"/>
              <w:bottom w:w="0" w:type="dxa"/>
              <w:right w:w="0" w:type="dxa"/>
            </w:tcMar>
            <w:vAlign w:val="center"/>
          </w:tcPr>
          <w:p w14:paraId="5BB4CDF4">
            <w:pPr>
              <w:keepNext w:val="0"/>
              <w:keepLines w:val="0"/>
              <w:pageBreakBefore w:val="0"/>
              <w:widowControl/>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Q＞100□</w:t>
            </w:r>
          </w:p>
        </w:tc>
      </w:tr>
      <w:tr w14:paraId="6B2C5AA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jc w:val="center"/>
        </w:trPr>
        <w:tc>
          <w:tcPr>
            <w:tcW w:w="957" w:type="pct"/>
            <w:gridSpan w:val="2"/>
            <w:vMerge w:val="continue"/>
            <w:tcBorders>
              <w:tl2br w:val="nil"/>
              <w:tr2bl w:val="nil"/>
            </w:tcBorders>
            <w:tcMar>
              <w:top w:w="0" w:type="dxa"/>
              <w:left w:w="0" w:type="dxa"/>
              <w:bottom w:w="0" w:type="dxa"/>
              <w:right w:w="0" w:type="dxa"/>
            </w:tcMar>
            <w:vAlign w:val="center"/>
          </w:tcPr>
          <w:p w14:paraId="10A394C1">
            <w:pPr>
              <w:keepNext w:val="0"/>
              <w:keepLines w:val="0"/>
              <w:pageBreakBefore w:val="0"/>
              <w:widowControl/>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sz w:val="21"/>
                <w:szCs w:val="21"/>
                <w:highlight w:val="none"/>
              </w:rPr>
            </w:pPr>
          </w:p>
        </w:tc>
        <w:tc>
          <w:tcPr>
            <w:tcW w:w="375" w:type="pct"/>
            <w:tcBorders>
              <w:tl2br w:val="nil"/>
              <w:tr2bl w:val="nil"/>
            </w:tcBorders>
            <w:tcMar>
              <w:top w:w="0" w:type="dxa"/>
              <w:left w:w="0" w:type="dxa"/>
              <w:bottom w:w="0" w:type="dxa"/>
              <w:right w:w="0" w:type="dxa"/>
            </w:tcMar>
            <w:vAlign w:val="center"/>
          </w:tcPr>
          <w:p w14:paraId="585AEAE4">
            <w:pPr>
              <w:keepNext w:val="0"/>
              <w:keepLines w:val="0"/>
              <w:pageBreakBefore w:val="0"/>
              <w:widowControl/>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M值</w:t>
            </w:r>
          </w:p>
        </w:tc>
        <w:tc>
          <w:tcPr>
            <w:tcW w:w="1311" w:type="pct"/>
            <w:gridSpan w:val="2"/>
            <w:tcBorders>
              <w:tl2br w:val="nil"/>
              <w:tr2bl w:val="nil"/>
            </w:tcBorders>
            <w:tcMar>
              <w:top w:w="0" w:type="dxa"/>
              <w:left w:w="0" w:type="dxa"/>
              <w:bottom w:w="0" w:type="dxa"/>
              <w:right w:w="0" w:type="dxa"/>
            </w:tcMar>
            <w:vAlign w:val="center"/>
          </w:tcPr>
          <w:p w14:paraId="23B30DC1">
            <w:pPr>
              <w:keepNext w:val="0"/>
              <w:keepLines w:val="0"/>
              <w:pageBreakBefore w:val="0"/>
              <w:widowControl/>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M1□</w:t>
            </w:r>
          </w:p>
        </w:tc>
        <w:tc>
          <w:tcPr>
            <w:tcW w:w="774" w:type="pct"/>
            <w:gridSpan w:val="4"/>
            <w:tcBorders>
              <w:tl2br w:val="nil"/>
              <w:tr2bl w:val="nil"/>
            </w:tcBorders>
            <w:tcMar>
              <w:top w:w="0" w:type="dxa"/>
              <w:left w:w="0" w:type="dxa"/>
              <w:bottom w:w="0" w:type="dxa"/>
              <w:right w:w="0" w:type="dxa"/>
            </w:tcMar>
            <w:vAlign w:val="center"/>
          </w:tcPr>
          <w:p w14:paraId="0971F859">
            <w:pPr>
              <w:keepNext w:val="0"/>
              <w:keepLines w:val="0"/>
              <w:pageBreakBefore w:val="0"/>
              <w:widowControl/>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M2□</w:t>
            </w:r>
          </w:p>
        </w:tc>
        <w:tc>
          <w:tcPr>
            <w:tcW w:w="940" w:type="pct"/>
            <w:gridSpan w:val="2"/>
            <w:tcBorders>
              <w:tl2br w:val="nil"/>
              <w:tr2bl w:val="nil"/>
            </w:tcBorders>
            <w:tcMar>
              <w:top w:w="0" w:type="dxa"/>
              <w:left w:w="0" w:type="dxa"/>
              <w:bottom w:w="0" w:type="dxa"/>
              <w:right w:w="0" w:type="dxa"/>
            </w:tcMar>
            <w:vAlign w:val="center"/>
          </w:tcPr>
          <w:p w14:paraId="496333D5">
            <w:pPr>
              <w:keepNext w:val="0"/>
              <w:keepLines w:val="0"/>
              <w:pageBreakBefore w:val="0"/>
              <w:widowControl/>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M3□</w:t>
            </w:r>
          </w:p>
        </w:tc>
        <w:tc>
          <w:tcPr>
            <w:tcW w:w="643" w:type="pct"/>
            <w:tcBorders>
              <w:tl2br w:val="nil"/>
              <w:tr2bl w:val="nil"/>
            </w:tcBorders>
            <w:tcMar>
              <w:top w:w="0" w:type="dxa"/>
              <w:left w:w="0" w:type="dxa"/>
              <w:bottom w:w="0" w:type="dxa"/>
              <w:right w:w="0" w:type="dxa"/>
            </w:tcMar>
            <w:vAlign w:val="center"/>
          </w:tcPr>
          <w:p w14:paraId="4693BFBD">
            <w:pPr>
              <w:keepNext w:val="0"/>
              <w:keepLines w:val="0"/>
              <w:pageBreakBefore w:val="0"/>
              <w:widowControl/>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M4</w:t>
            </w:r>
            <w:r>
              <w:rPr>
                <w:rFonts w:ascii="Segoe UI Symbol" w:hAnsi="Segoe UI Symbol" w:cs="Segoe UI Symbol"/>
                <w:color w:val="auto"/>
                <w:sz w:val="21"/>
                <w:szCs w:val="21"/>
                <w:highlight w:val="none"/>
              </w:rPr>
              <w:t>☑</w:t>
            </w:r>
          </w:p>
        </w:tc>
      </w:tr>
      <w:tr w14:paraId="52AF1FF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jc w:val="center"/>
        </w:trPr>
        <w:tc>
          <w:tcPr>
            <w:tcW w:w="957" w:type="pct"/>
            <w:gridSpan w:val="2"/>
            <w:vMerge w:val="continue"/>
            <w:tcBorders>
              <w:tl2br w:val="nil"/>
              <w:tr2bl w:val="nil"/>
            </w:tcBorders>
            <w:tcMar>
              <w:top w:w="0" w:type="dxa"/>
              <w:left w:w="0" w:type="dxa"/>
              <w:bottom w:w="0" w:type="dxa"/>
              <w:right w:w="0" w:type="dxa"/>
            </w:tcMar>
            <w:vAlign w:val="center"/>
          </w:tcPr>
          <w:p w14:paraId="755D84D7">
            <w:pPr>
              <w:keepNext w:val="0"/>
              <w:keepLines w:val="0"/>
              <w:pageBreakBefore w:val="0"/>
              <w:widowControl/>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sz w:val="21"/>
                <w:szCs w:val="21"/>
                <w:highlight w:val="none"/>
              </w:rPr>
            </w:pPr>
          </w:p>
        </w:tc>
        <w:tc>
          <w:tcPr>
            <w:tcW w:w="375" w:type="pct"/>
            <w:tcBorders>
              <w:tl2br w:val="nil"/>
              <w:tr2bl w:val="nil"/>
            </w:tcBorders>
            <w:tcMar>
              <w:top w:w="0" w:type="dxa"/>
              <w:left w:w="0" w:type="dxa"/>
              <w:bottom w:w="0" w:type="dxa"/>
              <w:right w:w="0" w:type="dxa"/>
            </w:tcMar>
            <w:vAlign w:val="center"/>
          </w:tcPr>
          <w:p w14:paraId="2AB51527">
            <w:pPr>
              <w:keepNext w:val="0"/>
              <w:keepLines w:val="0"/>
              <w:pageBreakBefore w:val="0"/>
              <w:widowControl/>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P值</w:t>
            </w:r>
          </w:p>
        </w:tc>
        <w:tc>
          <w:tcPr>
            <w:tcW w:w="1311" w:type="pct"/>
            <w:gridSpan w:val="2"/>
            <w:tcBorders>
              <w:tl2br w:val="nil"/>
              <w:tr2bl w:val="nil"/>
            </w:tcBorders>
            <w:tcMar>
              <w:top w:w="0" w:type="dxa"/>
              <w:left w:w="0" w:type="dxa"/>
              <w:bottom w:w="0" w:type="dxa"/>
              <w:right w:w="0" w:type="dxa"/>
            </w:tcMar>
            <w:vAlign w:val="center"/>
          </w:tcPr>
          <w:p w14:paraId="42D031C8">
            <w:pPr>
              <w:keepNext w:val="0"/>
              <w:keepLines w:val="0"/>
              <w:pageBreakBefore w:val="0"/>
              <w:widowControl/>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P1□</w:t>
            </w:r>
          </w:p>
        </w:tc>
        <w:tc>
          <w:tcPr>
            <w:tcW w:w="774" w:type="pct"/>
            <w:gridSpan w:val="4"/>
            <w:tcBorders>
              <w:tl2br w:val="nil"/>
              <w:tr2bl w:val="nil"/>
            </w:tcBorders>
            <w:tcMar>
              <w:top w:w="0" w:type="dxa"/>
              <w:left w:w="0" w:type="dxa"/>
              <w:bottom w:w="0" w:type="dxa"/>
              <w:right w:w="0" w:type="dxa"/>
            </w:tcMar>
            <w:vAlign w:val="center"/>
          </w:tcPr>
          <w:p w14:paraId="4BE0743F">
            <w:pPr>
              <w:keepNext w:val="0"/>
              <w:keepLines w:val="0"/>
              <w:pageBreakBefore w:val="0"/>
              <w:widowControl/>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P2□</w:t>
            </w:r>
          </w:p>
        </w:tc>
        <w:tc>
          <w:tcPr>
            <w:tcW w:w="940" w:type="pct"/>
            <w:gridSpan w:val="2"/>
            <w:tcBorders>
              <w:tl2br w:val="nil"/>
              <w:tr2bl w:val="nil"/>
            </w:tcBorders>
            <w:tcMar>
              <w:top w:w="0" w:type="dxa"/>
              <w:left w:w="0" w:type="dxa"/>
              <w:bottom w:w="0" w:type="dxa"/>
              <w:right w:w="0" w:type="dxa"/>
            </w:tcMar>
            <w:vAlign w:val="center"/>
          </w:tcPr>
          <w:p w14:paraId="3EF16433">
            <w:pPr>
              <w:keepNext w:val="0"/>
              <w:keepLines w:val="0"/>
              <w:pageBreakBefore w:val="0"/>
              <w:widowControl/>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P3□</w:t>
            </w:r>
          </w:p>
        </w:tc>
        <w:tc>
          <w:tcPr>
            <w:tcW w:w="643" w:type="pct"/>
            <w:tcBorders>
              <w:tl2br w:val="nil"/>
              <w:tr2bl w:val="nil"/>
            </w:tcBorders>
            <w:tcMar>
              <w:top w:w="0" w:type="dxa"/>
              <w:left w:w="0" w:type="dxa"/>
              <w:bottom w:w="0" w:type="dxa"/>
              <w:right w:w="0" w:type="dxa"/>
            </w:tcMar>
            <w:vAlign w:val="center"/>
          </w:tcPr>
          <w:p w14:paraId="75A0B1A2">
            <w:pPr>
              <w:keepNext w:val="0"/>
              <w:keepLines w:val="0"/>
              <w:pageBreakBefore w:val="0"/>
              <w:widowControl/>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P4</w:t>
            </w:r>
            <w:r>
              <w:rPr>
                <w:rFonts w:ascii="Segoe UI Symbol" w:hAnsi="Segoe UI Symbol" w:cs="Segoe UI Symbol"/>
                <w:color w:val="auto"/>
                <w:sz w:val="21"/>
                <w:szCs w:val="21"/>
                <w:highlight w:val="none"/>
              </w:rPr>
              <w:t>☑</w:t>
            </w:r>
          </w:p>
        </w:tc>
      </w:tr>
      <w:tr w14:paraId="3B30813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jc w:val="center"/>
        </w:trPr>
        <w:tc>
          <w:tcPr>
            <w:tcW w:w="957" w:type="pct"/>
            <w:gridSpan w:val="2"/>
            <w:vMerge w:val="restart"/>
            <w:tcBorders>
              <w:tl2br w:val="nil"/>
              <w:tr2bl w:val="nil"/>
            </w:tcBorders>
            <w:tcMar>
              <w:top w:w="0" w:type="dxa"/>
              <w:left w:w="0" w:type="dxa"/>
              <w:bottom w:w="0" w:type="dxa"/>
              <w:right w:w="0" w:type="dxa"/>
            </w:tcMar>
            <w:vAlign w:val="center"/>
          </w:tcPr>
          <w:p w14:paraId="5BD546A2">
            <w:pPr>
              <w:keepNext w:val="0"/>
              <w:keepLines w:val="0"/>
              <w:pageBreakBefore w:val="0"/>
              <w:widowControl/>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环境敏感程度</w:t>
            </w:r>
          </w:p>
        </w:tc>
        <w:tc>
          <w:tcPr>
            <w:tcW w:w="375" w:type="pct"/>
            <w:tcBorders>
              <w:tl2br w:val="nil"/>
              <w:tr2bl w:val="nil"/>
            </w:tcBorders>
            <w:tcMar>
              <w:top w:w="0" w:type="dxa"/>
              <w:left w:w="0" w:type="dxa"/>
              <w:bottom w:w="0" w:type="dxa"/>
              <w:right w:w="0" w:type="dxa"/>
            </w:tcMar>
            <w:vAlign w:val="center"/>
          </w:tcPr>
          <w:p w14:paraId="4436658A">
            <w:pPr>
              <w:keepNext w:val="0"/>
              <w:keepLines w:val="0"/>
              <w:pageBreakBefore w:val="0"/>
              <w:widowControl/>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大气</w:t>
            </w:r>
          </w:p>
        </w:tc>
        <w:tc>
          <w:tcPr>
            <w:tcW w:w="1311" w:type="pct"/>
            <w:gridSpan w:val="2"/>
            <w:tcBorders>
              <w:tl2br w:val="nil"/>
              <w:tr2bl w:val="nil"/>
            </w:tcBorders>
            <w:tcMar>
              <w:top w:w="0" w:type="dxa"/>
              <w:left w:w="0" w:type="dxa"/>
              <w:bottom w:w="0" w:type="dxa"/>
              <w:right w:w="0" w:type="dxa"/>
            </w:tcMar>
            <w:vAlign w:val="center"/>
          </w:tcPr>
          <w:p w14:paraId="426503BE">
            <w:pPr>
              <w:keepNext w:val="0"/>
              <w:keepLines w:val="0"/>
              <w:pageBreakBefore w:val="0"/>
              <w:widowControl/>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E1</w:t>
            </w:r>
            <w:r>
              <w:rPr>
                <w:rFonts w:ascii="Segoe UI Symbol" w:hAnsi="Segoe UI Symbol" w:cs="Segoe UI Symbol"/>
                <w:color w:val="auto"/>
                <w:sz w:val="21"/>
                <w:szCs w:val="21"/>
                <w:highlight w:val="none"/>
              </w:rPr>
              <w:t>☑</w:t>
            </w:r>
          </w:p>
        </w:tc>
        <w:tc>
          <w:tcPr>
            <w:tcW w:w="774" w:type="pct"/>
            <w:gridSpan w:val="4"/>
            <w:tcBorders>
              <w:tl2br w:val="nil"/>
              <w:tr2bl w:val="nil"/>
            </w:tcBorders>
            <w:tcMar>
              <w:top w:w="0" w:type="dxa"/>
              <w:left w:w="0" w:type="dxa"/>
              <w:bottom w:w="0" w:type="dxa"/>
              <w:right w:w="0" w:type="dxa"/>
            </w:tcMar>
            <w:vAlign w:val="center"/>
          </w:tcPr>
          <w:p w14:paraId="3D80482F">
            <w:pPr>
              <w:keepNext w:val="0"/>
              <w:keepLines w:val="0"/>
              <w:pageBreakBefore w:val="0"/>
              <w:widowControl/>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E2□</w:t>
            </w:r>
          </w:p>
        </w:tc>
        <w:tc>
          <w:tcPr>
            <w:tcW w:w="1583" w:type="pct"/>
            <w:gridSpan w:val="3"/>
            <w:tcBorders>
              <w:tl2br w:val="nil"/>
              <w:tr2bl w:val="nil"/>
            </w:tcBorders>
            <w:tcMar>
              <w:top w:w="0" w:type="dxa"/>
              <w:left w:w="0" w:type="dxa"/>
              <w:bottom w:w="0" w:type="dxa"/>
              <w:right w:w="0" w:type="dxa"/>
            </w:tcMar>
            <w:vAlign w:val="center"/>
          </w:tcPr>
          <w:p w14:paraId="57A8D4EA">
            <w:pPr>
              <w:keepNext w:val="0"/>
              <w:keepLines w:val="0"/>
              <w:pageBreakBefore w:val="0"/>
              <w:widowControl/>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E3□</w:t>
            </w:r>
          </w:p>
        </w:tc>
      </w:tr>
      <w:tr w14:paraId="3A1B1B6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jc w:val="center"/>
        </w:trPr>
        <w:tc>
          <w:tcPr>
            <w:tcW w:w="957" w:type="pct"/>
            <w:gridSpan w:val="2"/>
            <w:vMerge w:val="continue"/>
            <w:tcBorders>
              <w:tl2br w:val="nil"/>
              <w:tr2bl w:val="nil"/>
            </w:tcBorders>
            <w:tcMar>
              <w:top w:w="0" w:type="dxa"/>
              <w:left w:w="0" w:type="dxa"/>
              <w:bottom w:w="0" w:type="dxa"/>
              <w:right w:w="0" w:type="dxa"/>
            </w:tcMar>
            <w:vAlign w:val="center"/>
          </w:tcPr>
          <w:p w14:paraId="194AE81C">
            <w:pPr>
              <w:keepNext w:val="0"/>
              <w:keepLines w:val="0"/>
              <w:pageBreakBefore w:val="0"/>
              <w:widowControl/>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sz w:val="21"/>
                <w:szCs w:val="21"/>
                <w:highlight w:val="none"/>
              </w:rPr>
            </w:pPr>
          </w:p>
        </w:tc>
        <w:tc>
          <w:tcPr>
            <w:tcW w:w="375" w:type="pct"/>
            <w:tcBorders>
              <w:tl2br w:val="nil"/>
              <w:tr2bl w:val="nil"/>
            </w:tcBorders>
            <w:tcMar>
              <w:top w:w="0" w:type="dxa"/>
              <w:left w:w="0" w:type="dxa"/>
              <w:bottom w:w="0" w:type="dxa"/>
              <w:right w:w="0" w:type="dxa"/>
            </w:tcMar>
            <w:vAlign w:val="center"/>
          </w:tcPr>
          <w:p w14:paraId="0DE70E9B">
            <w:pPr>
              <w:keepNext w:val="0"/>
              <w:keepLines w:val="0"/>
              <w:pageBreakBefore w:val="0"/>
              <w:widowControl/>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地表水</w:t>
            </w:r>
          </w:p>
        </w:tc>
        <w:tc>
          <w:tcPr>
            <w:tcW w:w="1311" w:type="pct"/>
            <w:gridSpan w:val="2"/>
            <w:tcBorders>
              <w:tl2br w:val="nil"/>
              <w:tr2bl w:val="nil"/>
            </w:tcBorders>
            <w:tcMar>
              <w:top w:w="0" w:type="dxa"/>
              <w:left w:w="0" w:type="dxa"/>
              <w:bottom w:w="0" w:type="dxa"/>
              <w:right w:w="0" w:type="dxa"/>
            </w:tcMar>
            <w:vAlign w:val="center"/>
          </w:tcPr>
          <w:p w14:paraId="7039F812">
            <w:pPr>
              <w:keepNext w:val="0"/>
              <w:keepLines w:val="0"/>
              <w:pageBreakBefore w:val="0"/>
              <w:widowControl/>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E1</w:t>
            </w:r>
            <w:r>
              <w:rPr>
                <w:rFonts w:ascii="Segoe UI Symbol" w:hAnsi="Segoe UI Symbol" w:cs="Segoe UI Symbol"/>
                <w:color w:val="auto"/>
                <w:sz w:val="21"/>
                <w:szCs w:val="21"/>
                <w:highlight w:val="none"/>
              </w:rPr>
              <w:t>☑</w:t>
            </w:r>
          </w:p>
        </w:tc>
        <w:tc>
          <w:tcPr>
            <w:tcW w:w="774" w:type="pct"/>
            <w:gridSpan w:val="4"/>
            <w:tcBorders>
              <w:tl2br w:val="nil"/>
              <w:tr2bl w:val="nil"/>
            </w:tcBorders>
            <w:tcMar>
              <w:top w:w="0" w:type="dxa"/>
              <w:left w:w="0" w:type="dxa"/>
              <w:bottom w:w="0" w:type="dxa"/>
              <w:right w:w="0" w:type="dxa"/>
            </w:tcMar>
            <w:vAlign w:val="center"/>
          </w:tcPr>
          <w:p w14:paraId="6A27E249">
            <w:pPr>
              <w:keepNext w:val="0"/>
              <w:keepLines w:val="0"/>
              <w:pageBreakBefore w:val="0"/>
              <w:widowControl/>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E2□</w:t>
            </w:r>
          </w:p>
        </w:tc>
        <w:tc>
          <w:tcPr>
            <w:tcW w:w="1583" w:type="pct"/>
            <w:gridSpan w:val="3"/>
            <w:tcBorders>
              <w:tl2br w:val="nil"/>
              <w:tr2bl w:val="nil"/>
            </w:tcBorders>
            <w:tcMar>
              <w:top w:w="0" w:type="dxa"/>
              <w:left w:w="0" w:type="dxa"/>
              <w:bottom w:w="0" w:type="dxa"/>
              <w:right w:w="0" w:type="dxa"/>
            </w:tcMar>
            <w:vAlign w:val="center"/>
          </w:tcPr>
          <w:p w14:paraId="6B79FB77">
            <w:pPr>
              <w:keepNext w:val="0"/>
              <w:keepLines w:val="0"/>
              <w:pageBreakBefore w:val="0"/>
              <w:widowControl/>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E3□</w:t>
            </w:r>
          </w:p>
        </w:tc>
      </w:tr>
      <w:tr w14:paraId="4877F21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jc w:val="center"/>
        </w:trPr>
        <w:tc>
          <w:tcPr>
            <w:tcW w:w="957" w:type="pct"/>
            <w:gridSpan w:val="2"/>
            <w:vMerge w:val="continue"/>
            <w:tcBorders>
              <w:tl2br w:val="nil"/>
              <w:tr2bl w:val="nil"/>
            </w:tcBorders>
            <w:tcMar>
              <w:top w:w="0" w:type="dxa"/>
              <w:left w:w="0" w:type="dxa"/>
              <w:bottom w:w="0" w:type="dxa"/>
              <w:right w:w="0" w:type="dxa"/>
            </w:tcMar>
            <w:vAlign w:val="center"/>
          </w:tcPr>
          <w:p w14:paraId="35C40473">
            <w:pPr>
              <w:keepNext w:val="0"/>
              <w:keepLines w:val="0"/>
              <w:pageBreakBefore w:val="0"/>
              <w:widowControl/>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sz w:val="21"/>
                <w:szCs w:val="21"/>
                <w:highlight w:val="none"/>
              </w:rPr>
            </w:pPr>
          </w:p>
        </w:tc>
        <w:tc>
          <w:tcPr>
            <w:tcW w:w="375" w:type="pct"/>
            <w:tcBorders>
              <w:tl2br w:val="nil"/>
              <w:tr2bl w:val="nil"/>
            </w:tcBorders>
            <w:tcMar>
              <w:top w:w="0" w:type="dxa"/>
              <w:left w:w="0" w:type="dxa"/>
              <w:bottom w:w="0" w:type="dxa"/>
              <w:right w:w="0" w:type="dxa"/>
            </w:tcMar>
            <w:vAlign w:val="center"/>
          </w:tcPr>
          <w:p w14:paraId="2F3F3369">
            <w:pPr>
              <w:keepNext w:val="0"/>
              <w:keepLines w:val="0"/>
              <w:pageBreakBefore w:val="0"/>
              <w:widowControl/>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地下水</w:t>
            </w:r>
          </w:p>
        </w:tc>
        <w:tc>
          <w:tcPr>
            <w:tcW w:w="1311" w:type="pct"/>
            <w:gridSpan w:val="2"/>
            <w:tcBorders>
              <w:tl2br w:val="nil"/>
              <w:tr2bl w:val="nil"/>
            </w:tcBorders>
            <w:tcMar>
              <w:top w:w="0" w:type="dxa"/>
              <w:left w:w="0" w:type="dxa"/>
              <w:bottom w:w="0" w:type="dxa"/>
              <w:right w:w="0" w:type="dxa"/>
            </w:tcMar>
            <w:vAlign w:val="center"/>
          </w:tcPr>
          <w:p w14:paraId="67D24D4D">
            <w:pPr>
              <w:keepNext w:val="0"/>
              <w:keepLines w:val="0"/>
              <w:pageBreakBefore w:val="0"/>
              <w:widowControl/>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E1□</w:t>
            </w:r>
          </w:p>
        </w:tc>
        <w:tc>
          <w:tcPr>
            <w:tcW w:w="774" w:type="pct"/>
            <w:gridSpan w:val="4"/>
            <w:tcBorders>
              <w:tl2br w:val="nil"/>
              <w:tr2bl w:val="nil"/>
            </w:tcBorders>
            <w:tcMar>
              <w:top w:w="0" w:type="dxa"/>
              <w:left w:w="0" w:type="dxa"/>
              <w:bottom w:w="0" w:type="dxa"/>
              <w:right w:w="0" w:type="dxa"/>
            </w:tcMar>
            <w:vAlign w:val="center"/>
          </w:tcPr>
          <w:p w14:paraId="07640684">
            <w:pPr>
              <w:keepNext w:val="0"/>
              <w:keepLines w:val="0"/>
              <w:pageBreakBefore w:val="0"/>
              <w:widowControl/>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E2□</w:t>
            </w:r>
          </w:p>
        </w:tc>
        <w:tc>
          <w:tcPr>
            <w:tcW w:w="1583" w:type="pct"/>
            <w:gridSpan w:val="3"/>
            <w:tcBorders>
              <w:tl2br w:val="nil"/>
              <w:tr2bl w:val="nil"/>
            </w:tcBorders>
            <w:tcMar>
              <w:top w:w="0" w:type="dxa"/>
              <w:left w:w="0" w:type="dxa"/>
              <w:bottom w:w="0" w:type="dxa"/>
              <w:right w:w="0" w:type="dxa"/>
            </w:tcMar>
            <w:vAlign w:val="center"/>
          </w:tcPr>
          <w:p w14:paraId="5B994DE7">
            <w:pPr>
              <w:keepNext w:val="0"/>
              <w:keepLines w:val="0"/>
              <w:pageBreakBefore w:val="0"/>
              <w:widowControl/>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E3</w:t>
            </w:r>
            <w:r>
              <w:rPr>
                <w:rFonts w:ascii="Segoe UI Symbol" w:hAnsi="Segoe UI Symbol" w:cs="Segoe UI Symbol"/>
                <w:color w:val="auto"/>
                <w:sz w:val="21"/>
                <w:szCs w:val="21"/>
                <w:highlight w:val="none"/>
              </w:rPr>
              <w:t>☑</w:t>
            </w:r>
          </w:p>
        </w:tc>
      </w:tr>
      <w:tr w14:paraId="38906E7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jc w:val="center"/>
        </w:trPr>
        <w:tc>
          <w:tcPr>
            <w:tcW w:w="957" w:type="pct"/>
            <w:gridSpan w:val="2"/>
            <w:tcBorders>
              <w:tl2br w:val="nil"/>
              <w:tr2bl w:val="nil"/>
            </w:tcBorders>
            <w:tcMar>
              <w:top w:w="0" w:type="dxa"/>
              <w:left w:w="0" w:type="dxa"/>
              <w:bottom w:w="0" w:type="dxa"/>
              <w:right w:w="0" w:type="dxa"/>
            </w:tcMar>
            <w:vAlign w:val="center"/>
          </w:tcPr>
          <w:p w14:paraId="79A68C5A">
            <w:pPr>
              <w:keepNext w:val="0"/>
              <w:keepLines w:val="0"/>
              <w:pageBreakBefore w:val="0"/>
              <w:widowControl/>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环境风险潜势</w:t>
            </w:r>
          </w:p>
        </w:tc>
        <w:tc>
          <w:tcPr>
            <w:tcW w:w="779" w:type="pct"/>
            <w:gridSpan w:val="2"/>
            <w:tcBorders>
              <w:tl2br w:val="nil"/>
              <w:tr2bl w:val="nil"/>
            </w:tcBorders>
            <w:tcMar>
              <w:top w:w="0" w:type="dxa"/>
              <w:left w:w="0" w:type="dxa"/>
              <w:bottom w:w="0" w:type="dxa"/>
              <w:right w:w="0" w:type="dxa"/>
            </w:tcMar>
            <w:vAlign w:val="center"/>
          </w:tcPr>
          <w:p w14:paraId="01A01824">
            <w:pPr>
              <w:keepNext w:val="0"/>
              <w:keepLines w:val="0"/>
              <w:pageBreakBefore w:val="0"/>
              <w:widowControl/>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Ⅳ</w:t>
            </w:r>
            <w:r>
              <w:rPr>
                <w:rFonts w:ascii="Times New Roman" w:hAnsi="Times New Roman" w:cs="Times New Roman"/>
                <w:color w:val="auto"/>
                <w:sz w:val="21"/>
                <w:szCs w:val="21"/>
                <w:highlight w:val="none"/>
                <w:vertAlign w:val="superscript"/>
              </w:rPr>
              <w:t>+</w:t>
            </w:r>
            <w:r>
              <w:rPr>
                <w:rFonts w:ascii="Times New Roman" w:hAnsi="Times New Roman" w:cs="Times New Roman"/>
                <w:color w:val="auto"/>
                <w:sz w:val="21"/>
                <w:szCs w:val="21"/>
                <w:highlight w:val="none"/>
              </w:rPr>
              <w:t>□</w:t>
            </w:r>
          </w:p>
        </w:tc>
        <w:tc>
          <w:tcPr>
            <w:tcW w:w="907" w:type="pct"/>
            <w:tcBorders>
              <w:tl2br w:val="nil"/>
              <w:tr2bl w:val="nil"/>
            </w:tcBorders>
            <w:tcMar>
              <w:top w:w="0" w:type="dxa"/>
              <w:left w:w="0" w:type="dxa"/>
              <w:bottom w:w="0" w:type="dxa"/>
              <w:right w:w="0" w:type="dxa"/>
            </w:tcMar>
            <w:vAlign w:val="center"/>
          </w:tcPr>
          <w:p w14:paraId="08FA63B9">
            <w:pPr>
              <w:keepNext w:val="0"/>
              <w:keepLines w:val="0"/>
              <w:pageBreakBefore w:val="0"/>
              <w:widowControl/>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Ⅳ□</w:t>
            </w:r>
          </w:p>
        </w:tc>
        <w:tc>
          <w:tcPr>
            <w:tcW w:w="676" w:type="pct"/>
            <w:gridSpan w:val="3"/>
            <w:tcBorders>
              <w:tl2br w:val="nil"/>
              <w:tr2bl w:val="nil"/>
            </w:tcBorders>
            <w:tcMar>
              <w:top w:w="0" w:type="dxa"/>
              <w:left w:w="0" w:type="dxa"/>
              <w:bottom w:w="0" w:type="dxa"/>
              <w:right w:w="0" w:type="dxa"/>
            </w:tcMar>
            <w:vAlign w:val="center"/>
          </w:tcPr>
          <w:p w14:paraId="0F41F460">
            <w:pPr>
              <w:keepNext w:val="0"/>
              <w:keepLines w:val="0"/>
              <w:pageBreakBefore w:val="0"/>
              <w:widowControl/>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Ⅲ</w:t>
            </w:r>
            <w:r>
              <w:rPr>
                <w:rFonts w:ascii="Segoe UI Symbol" w:hAnsi="Segoe UI Symbol" w:cs="Segoe UI Symbol"/>
                <w:color w:val="auto"/>
                <w:sz w:val="21"/>
                <w:szCs w:val="21"/>
                <w:highlight w:val="none"/>
              </w:rPr>
              <w:t>☑</w:t>
            </w:r>
          </w:p>
        </w:tc>
        <w:tc>
          <w:tcPr>
            <w:tcW w:w="620" w:type="pct"/>
            <w:gridSpan w:val="2"/>
            <w:tcBorders>
              <w:tl2br w:val="nil"/>
              <w:tr2bl w:val="nil"/>
            </w:tcBorders>
            <w:tcMar>
              <w:top w:w="0" w:type="dxa"/>
              <w:left w:w="0" w:type="dxa"/>
              <w:bottom w:w="0" w:type="dxa"/>
              <w:right w:w="0" w:type="dxa"/>
            </w:tcMar>
            <w:vAlign w:val="center"/>
          </w:tcPr>
          <w:p w14:paraId="07078B41">
            <w:pPr>
              <w:keepNext w:val="0"/>
              <w:keepLines w:val="0"/>
              <w:pageBreakBefore w:val="0"/>
              <w:widowControl/>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Ⅱ□</w:t>
            </w:r>
          </w:p>
        </w:tc>
        <w:tc>
          <w:tcPr>
            <w:tcW w:w="1060" w:type="pct"/>
            <w:gridSpan w:val="2"/>
            <w:tcBorders>
              <w:tl2br w:val="nil"/>
              <w:tr2bl w:val="nil"/>
            </w:tcBorders>
            <w:tcMar>
              <w:top w:w="0" w:type="dxa"/>
              <w:left w:w="0" w:type="dxa"/>
              <w:bottom w:w="0" w:type="dxa"/>
              <w:right w:w="0" w:type="dxa"/>
            </w:tcMar>
            <w:vAlign w:val="center"/>
          </w:tcPr>
          <w:p w14:paraId="3FF3F12D">
            <w:pPr>
              <w:keepNext w:val="0"/>
              <w:keepLines w:val="0"/>
              <w:pageBreakBefore w:val="0"/>
              <w:widowControl/>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Ⅰ□</w:t>
            </w:r>
          </w:p>
        </w:tc>
      </w:tr>
      <w:tr w14:paraId="7788C8F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jc w:val="center"/>
        </w:trPr>
        <w:tc>
          <w:tcPr>
            <w:tcW w:w="957" w:type="pct"/>
            <w:gridSpan w:val="2"/>
            <w:tcBorders>
              <w:tl2br w:val="nil"/>
              <w:tr2bl w:val="nil"/>
            </w:tcBorders>
            <w:tcMar>
              <w:top w:w="0" w:type="dxa"/>
              <w:left w:w="0" w:type="dxa"/>
              <w:bottom w:w="0" w:type="dxa"/>
              <w:right w:w="0" w:type="dxa"/>
            </w:tcMar>
            <w:vAlign w:val="center"/>
          </w:tcPr>
          <w:p w14:paraId="643F8B1D">
            <w:pPr>
              <w:keepNext w:val="0"/>
              <w:keepLines w:val="0"/>
              <w:pageBreakBefore w:val="0"/>
              <w:widowControl/>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评价等级</w:t>
            </w:r>
          </w:p>
        </w:tc>
        <w:tc>
          <w:tcPr>
            <w:tcW w:w="1686" w:type="pct"/>
            <w:gridSpan w:val="3"/>
            <w:tcBorders>
              <w:tl2br w:val="nil"/>
              <w:tr2bl w:val="nil"/>
            </w:tcBorders>
            <w:tcMar>
              <w:top w:w="0" w:type="dxa"/>
              <w:left w:w="0" w:type="dxa"/>
              <w:bottom w:w="0" w:type="dxa"/>
              <w:right w:w="0" w:type="dxa"/>
            </w:tcMar>
            <w:vAlign w:val="center"/>
          </w:tcPr>
          <w:p w14:paraId="684AF2C7">
            <w:pPr>
              <w:keepNext w:val="0"/>
              <w:keepLines w:val="0"/>
              <w:pageBreakBefore w:val="0"/>
              <w:widowControl/>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一级□</w:t>
            </w:r>
          </w:p>
        </w:tc>
        <w:tc>
          <w:tcPr>
            <w:tcW w:w="676" w:type="pct"/>
            <w:gridSpan w:val="3"/>
            <w:tcBorders>
              <w:tl2br w:val="nil"/>
              <w:tr2bl w:val="nil"/>
            </w:tcBorders>
            <w:tcMar>
              <w:top w:w="0" w:type="dxa"/>
              <w:left w:w="0" w:type="dxa"/>
              <w:bottom w:w="0" w:type="dxa"/>
              <w:right w:w="0" w:type="dxa"/>
            </w:tcMar>
            <w:vAlign w:val="center"/>
          </w:tcPr>
          <w:p w14:paraId="39C159EA">
            <w:pPr>
              <w:keepNext w:val="0"/>
              <w:keepLines w:val="0"/>
              <w:pageBreakBefore w:val="0"/>
              <w:widowControl/>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二级</w:t>
            </w:r>
            <w:r>
              <w:rPr>
                <w:rFonts w:ascii="Segoe UI Symbol" w:hAnsi="Segoe UI Symbol" w:cs="Segoe UI Symbol"/>
                <w:color w:val="auto"/>
                <w:sz w:val="21"/>
                <w:szCs w:val="21"/>
                <w:highlight w:val="none"/>
              </w:rPr>
              <w:t>☑</w:t>
            </w:r>
          </w:p>
        </w:tc>
        <w:tc>
          <w:tcPr>
            <w:tcW w:w="620" w:type="pct"/>
            <w:gridSpan w:val="2"/>
            <w:tcBorders>
              <w:tl2br w:val="nil"/>
              <w:tr2bl w:val="nil"/>
            </w:tcBorders>
            <w:tcMar>
              <w:top w:w="0" w:type="dxa"/>
              <w:left w:w="0" w:type="dxa"/>
              <w:bottom w:w="0" w:type="dxa"/>
              <w:right w:w="0" w:type="dxa"/>
            </w:tcMar>
            <w:vAlign w:val="center"/>
          </w:tcPr>
          <w:p w14:paraId="3EAEB634">
            <w:pPr>
              <w:keepNext w:val="0"/>
              <w:keepLines w:val="0"/>
              <w:pageBreakBefore w:val="0"/>
              <w:widowControl/>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三级□</w:t>
            </w:r>
          </w:p>
        </w:tc>
        <w:tc>
          <w:tcPr>
            <w:tcW w:w="1060" w:type="pct"/>
            <w:gridSpan w:val="2"/>
            <w:tcBorders>
              <w:tl2br w:val="nil"/>
              <w:tr2bl w:val="nil"/>
            </w:tcBorders>
            <w:tcMar>
              <w:top w:w="0" w:type="dxa"/>
              <w:left w:w="0" w:type="dxa"/>
              <w:bottom w:w="0" w:type="dxa"/>
              <w:right w:w="0" w:type="dxa"/>
            </w:tcMar>
            <w:vAlign w:val="center"/>
          </w:tcPr>
          <w:p w14:paraId="6A82E18E">
            <w:pPr>
              <w:keepNext w:val="0"/>
              <w:keepLines w:val="0"/>
              <w:pageBreakBefore w:val="0"/>
              <w:widowControl/>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简单分析□</w:t>
            </w:r>
          </w:p>
        </w:tc>
      </w:tr>
      <w:tr w14:paraId="65F70CA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56" w:hRule="atLeast"/>
          <w:jc w:val="center"/>
        </w:trPr>
        <w:tc>
          <w:tcPr>
            <w:tcW w:w="232" w:type="pct"/>
            <w:vMerge w:val="restart"/>
            <w:tcBorders>
              <w:tl2br w:val="nil"/>
              <w:tr2bl w:val="nil"/>
            </w:tcBorders>
            <w:tcMar>
              <w:top w:w="0" w:type="dxa"/>
              <w:left w:w="0" w:type="dxa"/>
              <w:bottom w:w="0" w:type="dxa"/>
              <w:right w:w="0" w:type="dxa"/>
            </w:tcMar>
            <w:vAlign w:val="center"/>
          </w:tcPr>
          <w:p w14:paraId="4F24EE3D">
            <w:pPr>
              <w:keepNext w:val="0"/>
              <w:keepLines w:val="0"/>
              <w:pageBreakBefore w:val="0"/>
              <w:widowControl/>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风</w:t>
            </w:r>
          </w:p>
          <w:p w14:paraId="02C911E3">
            <w:pPr>
              <w:keepNext w:val="0"/>
              <w:keepLines w:val="0"/>
              <w:pageBreakBefore w:val="0"/>
              <w:widowControl/>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险</w:t>
            </w:r>
          </w:p>
          <w:p w14:paraId="5E2E16FC">
            <w:pPr>
              <w:keepNext w:val="0"/>
              <w:keepLines w:val="0"/>
              <w:pageBreakBefore w:val="0"/>
              <w:widowControl/>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识</w:t>
            </w:r>
          </w:p>
          <w:p w14:paraId="172B1D98">
            <w:pPr>
              <w:keepNext w:val="0"/>
              <w:keepLines w:val="0"/>
              <w:pageBreakBefore w:val="0"/>
              <w:widowControl/>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别</w:t>
            </w:r>
          </w:p>
        </w:tc>
        <w:tc>
          <w:tcPr>
            <w:tcW w:w="726" w:type="pct"/>
            <w:tcBorders>
              <w:tl2br w:val="nil"/>
              <w:tr2bl w:val="nil"/>
            </w:tcBorders>
            <w:tcMar>
              <w:top w:w="0" w:type="dxa"/>
              <w:left w:w="0" w:type="dxa"/>
              <w:bottom w:w="0" w:type="dxa"/>
              <w:right w:w="0" w:type="dxa"/>
            </w:tcMar>
            <w:vAlign w:val="center"/>
          </w:tcPr>
          <w:p w14:paraId="2BA72ABB">
            <w:pPr>
              <w:keepNext w:val="0"/>
              <w:keepLines w:val="0"/>
              <w:pageBreakBefore w:val="0"/>
              <w:widowControl/>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物质危险性</w:t>
            </w:r>
          </w:p>
        </w:tc>
        <w:tc>
          <w:tcPr>
            <w:tcW w:w="1938" w:type="pct"/>
            <w:gridSpan w:val="4"/>
            <w:tcBorders>
              <w:tl2br w:val="nil"/>
              <w:tr2bl w:val="nil"/>
            </w:tcBorders>
            <w:tcMar>
              <w:top w:w="0" w:type="dxa"/>
              <w:left w:w="0" w:type="dxa"/>
              <w:bottom w:w="0" w:type="dxa"/>
              <w:right w:w="0" w:type="dxa"/>
            </w:tcMar>
            <w:vAlign w:val="center"/>
          </w:tcPr>
          <w:p w14:paraId="236E99B1">
            <w:pPr>
              <w:keepNext w:val="0"/>
              <w:keepLines w:val="0"/>
              <w:pageBreakBefore w:val="0"/>
              <w:widowControl/>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有毒有害</w:t>
            </w:r>
            <w:r>
              <w:rPr>
                <w:rFonts w:hint="eastAsia" w:ascii="Segoe UI Symbol" w:hAnsi="Segoe UI Symbol" w:cs="Segoe UI Symbol"/>
                <w:color w:val="auto"/>
                <w:sz w:val="21"/>
                <w:szCs w:val="21"/>
                <w:highlight w:val="none"/>
                <w:lang w:eastAsia="zh-CN"/>
              </w:rPr>
              <w:t>☑</w:t>
            </w:r>
          </w:p>
        </w:tc>
        <w:tc>
          <w:tcPr>
            <w:tcW w:w="2104" w:type="pct"/>
            <w:gridSpan w:val="6"/>
            <w:tcBorders>
              <w:tl2br w:val="nil"/>
              <w:tr2bl w:val="nil"/>
            </w:tcBorders>
            <w:tcMar>
              <w:top w:w="0" w:type="dxa"/>
              <w:left w:w="0" w:type="dxa"/>
              <w:bottom w:w="0" w:type="dxa"/>
              <w:right w:w="0" w:type="dxa"/>
            </w:tcMar>
            <w:vAlign w:val="center"/>
          </w:tcPr>
          <w:p w14:paraId="10B25ED1">
            <w:pPr>
              <w:keepNext w:val="0"/>
              <w:keepLines w:val="0"/>
              <w:pageBreakBefore w:val="0"/>
              <w:widowControl/>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易燃易爆</w:t>
            </w:r>
            <w:r>
              <w:rPr>
                <w:rFonts w:ascii="Segoe UI Symbol" w:hAnsi="Segoe UI Symbol" w:cs="Segoe UI Symbol"/>
                <w:color w:val="auto"/>
                <w:sz w:val="21"/>
                <w:szCs w:val="21"/>
                <w:highlight w:val="none"/>
              </w:rPr>
              <w:t>☑</w:t>
            </w:r>
          </w:p>
        </w:tc>
      </w:tr>
      <w:tr w14:paraId="4DD37D3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jc w:val="center"/>
        </w:trPr>
        <w:tc>
          <w:tcPr>
            <w:tcW w:w="232" w:type="pct"/>
            <w:vMerge w:val="continue"/>
            <w:tcBorders>
              <w:tl2br w:val="nil"/>
              <w:tr2bl w:val="nil"/>
            </w:tcBorders>
            <w:tcMar>
              <w:top w:w="0" w:type="dxa"/>
              <w:left w:w="0" w:type="dxa"/>
              <w:bottom w:w="0" w:type="dxa"/>
              <w:right w:w="0" w:type="dxa"/>
            </w:tcMar>
            <w:vAlign w:val="center"/>
          </w:tcPr>
          <w:p w14:paraId="78A93809">
            <w:pPr>
              <w:keepNext w:val="0"/>
              <w:keepLines w:val="0"/>
              <w:pageBreakBefore w:val="0"/>
              <w:widowControl/>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sz w:val="21"/>
                <w:szCs w:val="21"/>
                <w:highlight w:val="none"/>
              </w:rPr>
            </w:pPr>
          </w:p>
        </w:tc>
        <w:tc>
          <w:tcPr>
            <w:tcW w:w="726" w:type="pct"/>
            <w:tcBorders>
              <w:tl2br w:val="nil"/>
              <w:tr2bl w:val="nil"/>
            </w:tcBorders>
            <w:tcMar>
              <w:top w:w="0" w:type="dxa"/>
              <w:left w:w="0" w:type="dxa"/>
              <w:bottom w:w="0" w:type="dxa"/>
              <w:right w:w="0" w:type="dxa"/>
            </w:tcMar>
            <w:vAlign w:val="center"/>
          </w:tcPr>
          <w:p w14:paraId="389EEB8C">
            <w:pPr>
              <w:keepNext w:val="0"/>
              <w:keepLines w:val="0"/>
              <w:pageBreakBefore w:val="0"/>
              <w:widowControl/>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环境风险类型</w:t>
            </w:r>
          </w:p>
        </w:tc>
        <w:tc>
          <w:tcPr>
            <w:tcW w:w="1686" w:type="pct"/>
            <w:gridSpan w:val="3"/>
            <w:tcBorders>
              <w:tl2br w:val="nil"/>
              <w:tr2bl w:val="nil"/>
            </w:tcBorders>
            <w:tcMar>
              <w:top w:w="0" w:type="dxa"/>
              <w:left w:w="0" w:type="dxa"/>
              <w:bottom w:w="0" w:type="dxa"/>
              <w:right w:w="0" w:type="dxa"/>
            </w:tcMar>
            <w:vAlign w:val="center"/>
          </w:tcPr>
          <w:p w14:paraId="73D08F45">
            <w:pPr>
              <w:keepNext w:val="0"/>
              <w:keepLines w:val="0"/>
              <w:pageBreakBefore w:val="0"/>
              <w:widowControl/>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泄漏</w:t>
            </w:r>
            <w:r>
              <w:rPr>
                <w:rFonts w:ascii="Segoe UI Symbol" w:hAnsi="Segoe UI Symbol" w:cs="Segoe UI Symbol"/>
                <w:color w:val="auto"/>
                <w:sz w:val="21"/>
                <w:szCs w:val="21"/>
                <w:highlight w:val="none"/>
              </w:rPr>
              <w:t>☑</w:t>
            </w:r>
          </w:p>
        </w:tc>
        <w:tc>
          <w:tcPr>
            <w:tcW w:w="2357" w:type="pct"/>
            <w:gridSpan w:val="7"/>
            <w:tcBorders>
              <w:tl2br w:val="nil"/>
              <w:tr2bl w:val="nil"/>
            </w:tcBorders>
            <w:tcMar>
              <w:top w:w="0" w:type="dxa"/>
              <w:left w:w="0" w:type="dxa"/>
              <w:bottom w:w="0" w:type="dxa"/>
              <w:right w:w="0" w:type="dxa"/>
            </w:tcMar>
            <w:vAlign w:val="center"/>
          </w:tcPr>
          <w:p w14:paraId="41D66448">
            <w:pPr>
              <w:keepNext w:val="0"/>
              <w:keepLines w:val="0"/>
              <w:pageBreakBefore w:val="0"/>
              <w:widowControl/>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火灾、爆炸引发伴生/次生污染物排放</w:t>
            </w:r>
            <w:r>
              <w:rPr>
                <w:rFonts w:ascii="Segoe UI Symbol" w:hAnsi="Segoe UI Symbol" w:cs="Segoe UI Symbol"/>
                <w:color w:val="auto"/>
                <w:sz w:val="21"/>
                <w:szCs w:val="21"/>
                <w:highlight w:val="none"/>
              </w:rPr>
              <w:t>☑</w:t>
            </w:r>
          </w:p>
        </w:tc>
      </w:tr>
      <w:tr w14:paraId="7C1DD85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jc w:val="center"/>
        </w:trPr>
        <w:tc>
          <w:tcPr>
            <w:tcW w:w="232" w:type="pct"/>
            <w:vMerge w:val="continue"/>
            <w:tcBorders>
              <w:tl2br w:val="nil"/>
              <w:tr2bl w:val="nil"/>
            </w:tcBorders>
            <w:tcMar>
              <w:top w:w="0" w:type="dxa"/>
              <w:left w:w="0" w:type="dxa"/>
              <w:bottom w:w="0" w:type="dxa"/>
              <w:right w:w="0" w:type="dxa"/>
            </w:tcMar>
            <w:vAlign w:val="center"/>
          </w:tcPr>
          <w:p w14:paraId="61E93C08">
            <w:pPr>
              <w:keepNext w:val="0"/>
              <w:keepLines w:val="0"/>
              <w:pageBreakBefore w:val="0"/>
              <w:widowControl/>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sz w:val="21"/>
                <w:szCs w:val="21"/>
                <w:highlight w:val="none"/>
              </w:rPr>
            </w:pPr>
          </w:p>
        </w:tc>
        <w:tc>
          <w:tcPr>
            <w:tcW w:w="726" w:type="pct"/>
            <w:tcBorders>
              <w:tl2br w:val="nil"/>
              <w:tr2bl w:val="nil"/>
            </w:tcBorders>
            <w:tcMar>
              <w:top w:w="0" w:type="dxa"/>
              <w:left w:w="0" w:type="dxa"/>
              <w:bottom w:w="0" w:type="dxa"/>
              <w:right w:w="0" w:type="dxa"/>
            </w:tcMar>
            <w:vAlign w:val="center"/>
          </w:tcPr>
          <w:p w14:paraId="0AB45071">
            <w:pPr>
              <w:keepNext w:val="0"/>
              <w:keepLines w:val="0"/>
              <w:pageBreakBefore w:val="0"/>
              <w:widowControl/>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影响途径</w:t>
            </w:r>
          </w:p>
        </w:tc>
        <w:tc>
          <w:tcPr>
            <w:tcW w:w="1686" w:type="pct"/>
            <w:gridSpan w:val="3"/>
            <w:tcBorders>
              <w:tl2br w:val="nil"/>
              <w:tr2bl w:val="nil"/>
            </w:tcBorders>
            <w:tcMar>
              <w:top w:w="0" w:type="dxa"/>
              <w:left w:w="0" w:type="dxa"/>
              <w:bottom w:w="0" w:type="dxa"/>
              <w:right w:w="0" w:type="dxa"/>
            </w:tcMar>
            <w:vAlign w:val="center"/>
          </w:tcPr>
          <w:p w14:paraId="4C1EB317">
            <w:pPr>
              <w:keepNext w:val="0"/>
              <w:keepLines w:val="0"/>
              <w:pageBreakBefore w:val="0"/>
              <w:widowControl/>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大气</w:t>
            </w:r>
            <w:r>
              <w:rPr>
                <w:rFonts w:ascii="Segoe UI Symbol" w:hAnsi="Segoe UI Symbol" w:cs="Segoe UI Symbol"/>
                <w:color w:val="auto"/>
                <w:sz w:val="21"/>
                <w:szCs w:val="21"/>
                <w:highlight w:val="none"/>
              </w:rPr>
              <w:t>☑</w:t>
            </w:r>
          </w:p>
        </w:tc>
        <w:tc>
          <w:tcPr>
            <w:tcW w:w="774" w:type="pct"/>
            <w:gridSpan w:val="4"/>
            <w:tcBorders>
              <w:tl2br w:val="nil"/>
              <w:tr2bl w:val="nil"/>
            </w:tcBorders>
            <w:tcMar>
              <w:top w:w="0" w:type="dxa"/>
              <w:left w:w="0" w:type="dxa"/>
              <w:bottom w:w="0" w:type="dxa"/>
              <w:right w:w="0" w:type="dxa"/>
            </w:tcMar>
            <w:vAlign w:val="center"/>
          </w:tcPr>
          <w:p w14:paraId="741930FC">
            <w:pPr>
              <w:keepNext w:val="0"/>
              <w:keepLines w:val="0"/>
              <w:pageBreakBefore w:val="0"/>
              <w:widowControl/>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地表水</w:t>
            </w:r>
            <w:r>
              <w:rPr>
                <w:rFonts w:ascii="Segoe UI Symbol" w:hAnsi="Segoe UI Symbol" w:cs="Segoe UI Symbol"/>
                <w:color w:val="auto"/>
                <w:sz w:val="21"/>
                <w:szCs w:val="21"/>
                <w:highlight w:val="none"/>
              </w:rPr>
              <w:t>☑</w:t>
            </w:r>
          </w:p>
        </w:tc>
        <w:tc>
          <w:tcPr>
            <w:tcW w:w="1583" w:type="pct"/>
            <w:gridSpan w:val="3"/>
            <w:tcBorders>
              <w:tl2br w:val="nil"/>
              <w:tr2bl w:val="nil"/>
            </w:tcBorders>
            <w:tcMar>
              <w:top w:w="0" w:type="dxa"/>
              <w:left w:w="0" w:type="dxa"/>
              <w:bottom w:w="0" w:type="dxa"/>
              <w:right w:w="0" w:type="dxa"/>
            </w:tcMar>
            <w:vAlign w:val="center"/>
          </w:tcPr>
          <w:p w14:paraId="26BBEC80">
            <w:pPr>
              <w:keepNext w:val="0"/>
              <w:keepLines w:val="0"/>
              <w:pageBreakBefore w:val="0"/>
              <w:widowControl/>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地下水</w:t>
            </w:r>
            <w:r>
              <w:rPr>
                <w:rFonts w:ascii="Segoe UI Symbol" w:hAnsi="Segoe UI Symbol" w:cs="Segoe UI Symbol"/>
                <w:color w:val="auto"/>
                <w:sz w:val="21"/>
                <w:szCs w:val="21"/>
                <w:highlight w:val="none"/>
              </w:rPr>
              <w:t>☑</w:t>
            </w:r>
          </w:p>
        </w:tc>
      </w:tr>
      <w:tr w14:paraId="2AA5A94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jc w:val="center"/>
        </w:trPr>
        <w:tc>
          <w:tcPr>
            <w:tcW w:w="957" w:type="pct"/>
            <w:gridSpan w:val="2"/>
            <w:tcBorders>
              <w:tl2br w:val="nil"/>
              <w:tr2bl w:val="nil"/>
            </w:tcBorders>
            <w:tcMar>
              <w:top w:w="0" w:type="dxa"/>
              <w:left w:w="0" w:type="dxa"/>
              <w:bottom w:w="0" w:type="dxa"/>
              <w:right w:w="0" w:type="dxa"/>
            </w:tcMar>
            <w:vAlign w:val="center"/>
          </w:tcPr>
          <w:p w14:paraId="69D4F8E5">
            <w:pPr>
              <w:keepNext w:val="0"/>
              <w:keepLines w:val="0"/>
              <w:pageBreakBefore w:val="0"/>
              <w:widowControl/>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事故情形分析</w:t>
            </w:r>
          </w:p>
        </w:tc>
        <w:tc>
          <w:tcPr>
            <w:tcW w:w="779" w:type="pct"/>
            <w:gridSpan w:val="2"/>
            <w:tcBorders>
              <w:tl2br w:val="nil"/>
              <w:tr2bl w:val="nil"/>
            </w:tcBorders>
            <w:tcMar>
              <w:top w:w="0" w:type="dxa"/>
              <w:left w:w="0" w:type="dxa"/>
              <w:bottom w:w="0" w:type="dxa"/>
              <w:right w:w="0" w:type="dxa"/>
            </w:tcMar>
            <w:vAlign w:val="center"/>
          </w:tcPr>
          <w:p w14:paraId="5EE8C259">
            <w:pPr>
              <w:keepNext w:val="0"/>
              <w:keepLines w:val="0"/>
              <w:pageBreakBefore w:val="0"/>
              <w:widowControl/>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源强设定方法</w:t>
            </w:r>
          </w:p>
        </w:tc>
        <w:tc>
          <w:tcPr>
            <w:tcW w:w="907" w:type="pct"/>
            <w:tcBorders>
              <w:tl2br w:val="nil"/>
              <w:tr2bl w:val="nil"/>
            </w:tcBorders>
            <w:tcMar>
              <w:top w:w="0" w:type="dxa"/>
              <w:left w:w="0" w:type="dxa"/>
              <w:bottom w:w="0" w:type="dxa"/>
              <w:right w:w="0" w:type="dxa"/>
            </w:tcMar>
            <w:vAlign w:val="center"/>
          </w:tcPr>
          <w:p w14:paraId="5B9B9BEF">
            <w:pPr>
              <w:keepNext w:val="0"/>
              <w:keepLines w:val="0"/>
              <w:pageBreakBefore w:val="0"/>
              <w:widowControl/>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计算法</w:t>
            </w:r>
            <w:r>
              <w:rPr>
                <w:rFonts w:ascii="Segoe UI Symbol" w:hAnsi="Segoe UI Symbol" w:cs="Segoe UI Symbol"/>
                <w:color w:val="auto"/>
                <w:sz w:val="21"/>
                <w:szCs w:val="21"/>
                <w:highlight w:val="none"/>
              </w:rPr>
              <w:t>☑</w:t>
            </w:r>
          </w:p>
        </w:tc>
        <w:tc>
          <w:tcPr>
            <w:tcW w:w="1296" w:type="pct"/>
            <w:gridSpan w:val="5"/>
            <w:tcBorders>
              <w:tl2br w:val="nil"/>
              <w:tr2bl w:val="nil"/>
            </w:tcBorders>
            <w:tcMar>
              <w:top w:w="0" w:type="dxa"/>
              <w:left w:w="0" w:type="dxa"/>
              <w:bottom w:w="0" w:type="dxa"/>
              <w:right w:w="0" w:type="dxa"/>
            </w:tcMar>
            <w:vAlign w:val="center"/>
          </w:tcPr>
          <w:p w14:paraId="691175ED">
            <w:pPr>
              <w:keepNext w:val="0"/>
              <w:keepLines w:val="0"/>
              <w:pageBreakBefore w:val="0"/>
              <w:widowControl/>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经验估算法□</w:t>
            </w:r>
          </w:p>
        </w:tc>
        <w:tc>
          <w:tcPr>
            <w:tcW w:w="1060" w:type="pct"/>
            <w:gridSpan w:val="2"/>
            <w:tcBorders>
              <w:tl2br w:val="nil"/>
              <w:tr2bl w:val="nil"/>
            </w:tcBorders>
            <w:tcMar>
              <w:top w:w="0" w:type="dxa"/>
              <w:left w:w="0" w:type="dxa"/>
              <w:bottom w:w="0" w:type="dxa"/>
              <w:right w:w="0" w:type="dxa"/>
            </w:tcMar>
            <w:vAlign w:val="center"/>
          </w:tcPr>
          <w:p w14:paraId="176F2C8C">
            <w:pPr>
              <w:keepNext w:val="0"/>
              <w:keepLines w:val="0"/>
              <w:pageBreakBefore w:val="0"/>
              <w:widowControl/>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其它估算法□</w:t>
            </w:r>
          </w:p>
        </w:tc>
      </w:tr>
      <w:tr w14:paraId="2E8FE74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jc w:val="center"/>
        </w:trPr>
        <w:tc>
          <w:tcPr>
            <w:tcW w:w="232" w:type="pct"/>
            <w:vMerge w:val="restart"/>
            <w:tcBorders>
              <w:tl2br w:val="nil"/>
              <w:tr2bl w:val="nil"/>
            </w:tcBorders>
            <w:tcMar>
              <w:top w:w="0" w:type="dxa"/>
              <w:left w:w="0" w:type="dxa"/>
              <w:bottom w:w="0" w:type="dxa"/>
              <w:right w:w="0" w:type="dxa"/>
            </w:tcMar>
            <w:vAlign w:val="center"/>
          </w:tcPr>
          <w:p w14:paraId="160C984F">
            <w:pPr>
              <w:keepNext w:val="0"/>
              <w:keepLines w:val="0"/>
              <w:pageBreakBefore w:val="0"/>
              <w:widowControl/>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风</w:t>
            </w:r>
          </w:p>
          <w:p w14:paraId="714BB124">
            <w:pPr>
              <w:keepNext w:val="0"/>
              <w:keepLines w:val="0"/>
              <w:pageBreakBefore w:val="0"/>
              <w:widowControl/>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险</w:t>
            </w:r>
          </w:p>
          <w:p w14:paraId="2CC7F068">
            <w:pPr>
              <w:keepNext w:val="0"/>
              <w:keepLines w:val="0"/>
              <w:pageBreakBefore w:val="0"/>
              <w:widowControl/>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预</w:t>
            </w:r>
          </w:p>
          <w:p w14:paraId="78A31CA1">
            <w:pPr>
              <w:keepNext w:val="0"/>
              <w:keepLines w:val="0"/>
              <w:pageBreakBefore w:val="0"/>
              <w:widowControl/>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测</w:t>
            </w:r>
          </w:p>
          <w:p w14:paraId="43216B0C">
            <w:pPr>
              <w:keepNext w:val="0"/>
              <w:keepLines w:val="0"/>
              <w:pageBreakBefore w:val="0"/>
              <w:widowControl/>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与</w:t>
            </w:r>
          </w:p>
          <w:p w14:paraId="4A846FC9">
            <w:pPr>
              <w:keepNext w:val="0"/>
              <w:keepLines w:val="0"/>
              <w:pageBreakBefore w:val="0"/>
              <w:widowControl/>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评</w:t>
            </w:r>
          </w:p>
          <w:p w14:paraId="2BBA3C49">
            <w:pPr>
              <w:keepNext w:val="0"/>
              <w:keepLines w:val="0"/>
              <w:pageBreakBefore w:val="0"/>
              <w:widowControl/>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价</w:t>
            </w:r>
          </w:p>
        </w:tc>
        <w:tc>
          <w:tcPr>
            <w:tcW w:w="726" w:type="pct"/>
            <w:vMerge w:val="restart"/>
            <w:tcBorders>
              <w:tl2br w:val="nil"/>
              <w:tr2bl w:val="nil"/>
            </w:tcBorders>
            <w:tcMar>
              <w:top w:w="0" w:type="dxa"/>
              <w:left w:w="0" w:type="dxa"/>
              <w:bottom w:w="0" w:type="dxa"/>
              <w:right w:w="0" w:type="dxa"/>
            </w:tcMar>
            <w:vAlign w:val="center"/>
          </w:tcPr>
          <w:p w14:paraId="66202FE8">
            <w:pPr>
              <w:keepNext w:val="0"/>
              <w:keepLines w:val="0"/>
              <w:pageBreakBefore w:val="0"/>
              <w:widowControl/>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大气</w:t>
            </w:r>
          </w:p>
        </w:tc>
        <w:tc>
          <w:tcPr>
            <w:tcW w:w="779" w:type="pct"/>
            <w:gridSpan w:val="2"/>
            <w:tcBorders>
              <w:tl2br w:val="nil"/>
              <w:tr2bl w:val="nil"/>
            </w:tcBorders>
            <w:tcMar>
              <w:top w:w="0" w:type="dxa"/>
              <w:left w:w="0" w:type="dxa"/>
              <w:bottom w:w="0" w:type="dxa"/>
              <w:right w:w="0" w:type="dxa"/>
            </w:tcMar>
            <w:vAlign w:val="center"/>
          </w:tcPr>
          <w:p w14:paraId="56BDD861">
            <w:pPr>
              <w:keepNext w:val="0"/>
              <w:keepLines w:val="0"/>
              <w:pageBreakBefore w:val="0"/>
              <w:widowControl/>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预测模型</w:t>
            </w:r>
          </w:p>
        </w:tc>
        <w:tc>
          <w:tcPr>
            <w:tcW w:w="907" w:type="pct"/>
            <w:tcBorders>
              <w:tl2br w:val="nil"/>
              <w:tr2bl w:val="nil"/>
            </w:tcBorders>
            <w:tcMar>
              <w:top w:w="0" w:type="dxa"/>
              <w:left w:w="0" w:type="dxa"/>
              <w:bottom w:w="0" w:type="dxa"/>
              <w:right w:w="0" w:type="dxa"/>
            </w:tcMar>
            <w:vAlign w:val="center"/>
          </w:tcPr>
          <w:p w14:paraId="56A80CBC">
            <w:pPr>
              <w:keepNext w:val="0"/>
              <w:keepLines w:val="0"/>
              <w:pageBreakBefore w:val="0"/>
              <w:widowControl/>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SLAB□</w:t>
            </w:r>
          </w:p>
        </w:tc>
        <w:tc>
          <w:tcPr>
            <w:tcW w:w="1296" w:type="pct"/>
            <w:gridSpan w:val="5"/>
            <w:tcBorders>
              <w:tl2br w:val="nil"/>
              <w:tr2bl w:val="nil"/>
            </w:tcBorders>
            <w:tcMar>
              <w:top w:w="0" w:type="dxa"/>
              <w:left w:w="0" w:type="dxa"/>
              <w:bottom w:w="0" w:type="dxa"/>
              <w:right w:w="0" w:type="dxa"/>
            </w:tcMar>
            <w:vAlign w:val="center"/>
          </w:tcPr>
          <w:p w14:paraId="2FEF8226">
            <w:pPr>
              <w:keepNext w:val="0"/>
              <w:keepLines w:val="0"/>
              <w:pageBreakBefore w:val="0"/>
              <w:widowControl/>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AFTOX</w:t>
            </w:r>
            <w:r>
              <w:rPr>
                <w:rFonts w:ascii="Segoe UI Symbol" w:hAnsi="Segoe UI Symbol" w:cs="Segoe UI Symbol"/>
                <w:color w:val="auto"/>
                <w:sz w:val="21"/>
                <w:szCs w:val="21"/>
                <w:highlight w:val="none"/>
              </w:rPr>
              <w:t>☑</w:t>
            </w:r>
          </w:p>
        </w:tc>
        <w:tc>
          <w:tcPr>
            <w:tcW w:w="1060" w:type="pct"/>
            <w:gridSpan w:val="2"/>
            <w:tcBorders>
              <w:tl2br w:val="nil"/>
              <w:tr2bl w:val="nil"/>
            </w:tcBorders>
            <w:tcMar>
              <w:top w:w="0" w:type="dxa"/>
              <w:left w:w="0" w:type="dxa"/>
              <w:bottom w:w="0" w:type="dxa"/>
              <w:right w:w="0" w:type="dxa"/>
            </w:tcMar>
            <w:vAlign w:val="center"/>
          </w:tcPr>
          <w:p w14:paraId="070CA39F">
            <w:pPr>
              <w:keepNext w:val="0"/>
              <w:keepLines w:val="0"/>
              <w:pageBreakBefore w:val="0"/>
              <w:widowControl/>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其他□</w:t>
            </w:r>
          </w:p>
        </w:tc>
      </w:tr>
      <w:tr w14:paraId="47FD2AD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jc w:val="center"/>
        </w:trPr>
        <w:tc>
          <w:tcPr>
            <w:tcW w:w="232" w:type="pct"/>
            <w:vMerge w:val="continue"/>
            <w:tcBorders>
              <w:tl2br w:val="nil"/>
              <w:tr2bl w:val="nil"/>
            </w:tcBorders>
            <w:tcMar>
              <w:top w:w="0" w:type="dxa"/>
              <w:left w:w="0" w:type="dxa"/>
              <w:bottom w:w="0" w:type="dxa"/>
              <w:right w:w="0" w:type="dxa"/>
            </w:tcMar>
            <w:vAlign w:val="center"/>
          </w:tcPr>
          <w:p w14:paraId="553268B8">
            <w:pPr>
              <w:keepNext w:val="0"/>
              <w:keepLines w:val="0"/>
              <w:pageBreakBefore w:val="0"/>
              <w:widowControl/>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sz w:val="21"/>
                <w:szCs w:val="21"/>
                <w:highlight w:val="none"/>
              </w:rPr>
            </w:pPr>
          </w:p>
        </w:tc>
        <w:tc>
          <w:tcPr>
            <w:tcW w:w="726" w:type="pct"/>
            <w:vMerge w:val="continue"/>
            <w:tcBorders>
              <w:tl2br w:val="nil"/>
              <w:tr2bl w:val="nil"/>
            </w:tcBorders>
            <w:tcMar>
              <w:top w:w="0" w:type="dxa"/>
              <w:left w:w="0" w:type="dxa"/>
              <w:bottom w:w="0" w:type="dxa"/>
              <w:right w:w="0" w:type="dxa"/>
            </w:tcMar>
            <w:vAlign w:val="center"/>
          </w:tcPr>
          <w:p w14:paraId="72A34843">
            <w:pPr>
              <w:keepNext w:val="0"/>
              <w:keepLines w:val="0"/>
              <w:pageBreakBefore w:val="0"/>
              <w:widowControl/>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sz w:val="21"/>
                <w:szCs w:val="21"/>
                <w:highlight w:val="none"/>
              </w:rPr>
            </w:pPr>
          </w:p>
        </w:tc>
        <w:tc>
          <w:tcPr>
            <w:tcW w:w="779" w:type="pct"/>
            <w:gridSpan w:val="2"/>
            <w:vMerge w:val="restart"/>
            <w:tcBorders>
              <w:tl2br w:val="nil"/>
              <w:tr2bl w:val="nil"/>
            </w:tcBorders>
            <w:tcMar>
              <w:top w:w="0" w:type="dxa"/>
              <w:left w:w="0" w:type="dxa"/>
              <w:bottom w:w="0" w:type="dxa"/>
              <w:right w:w="0" w:type="dxa"/>
            </w:tcMar>
            <w:vAlign w:val="center"/>
          </w:tcPr>
          <w:p w14:paraId="3D79DD69">
            <w:pPr>
              <w:keepNext w:val="0"/>
              <w:keepLines w:val="0"/>
              <w:pageBreakBefore w:val="0"/>
              <w:widowControl/>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预测结果</w:t>
            </w:r>
          </w:p>
        </w:tc>
        <w:tc>
          <w:tcPr>
            <w:tcW w:w="3264" w:type="pct"/>
            <w:gridSpan w:val="8"/>
            <w:tcBorders>
              <w:tl2br w:val="nil"/>
              <w:tr2bl w:val="nil"/>
            </w:tcBorders>
            <w:tcMar>
              <w:top w:w="0" w:type="dxa"/>
              <w:left w:w="0" w:type="dxa"/>
              <w:bottom w:w="0" w:type="dxa"/>
              <w:right w:w="0" w:type="dxa"/>
            </w:tcMar>
            <w:vAlign w:val="center"/>
          </w:tcPr>
          <w:p w14:paraId="535DBE3A">
            <w:pPr>
              <w:keepNext w:val="0"/>
              <w:keepLines w:val="0"/>
              <w:pageBreakBefore w:val="0"/>
              <w:widowControl/>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大气毒性终点浓度-1最大影响范围</w:t>
            </w:r>
            <w:r>
              <w:rPr>
                <w:rFonts w:ascii="Times New Roman" w:hAnsi="Times New Roman" w:cs="Times New Roman"/>
                <w:color w:val="auto"/>
                <w:sz w:val="21"/>
                <w:szCs w:val="21"/>
                <w:highlight w:val="none"/>
                <w:u w:val="single"/>
              </w:rPr>
              <w:t>100</w:t>
            </w:r>
            <w:r>
              <w:rPr>
                <w:rFonts w:ascii="Times New Roman" w:hAnsi="Times New Roman" w:cs="Times New Roman"/>
                <w:color w:val="auto"/>
                <w:sz w:val="21"/>
                <w:szCs w:val="21"/>
                <w:highlight w:val="none"/>
              </w:rPr>
              <w:t>m</w:t>
            </w:r>
          </w:p>
        </w:tc>
      </w:tr>
      <w:tr w14:paraId="2DCE5B5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jc w:val="center"/>
        </w:trPr>
        <w:tc>
          <w:tcPr>
            <w:tcW w:w="232" w:type="pct"/>
            <w:vMerge w:val="continue"/>
            <w:tcBorders>
              <w:tl2br w:val="nil"/>
              <w:tr2bl w:val="nil"/>
            </w:tcBorders>
            <w:tcMar>
              <w:top w:w="0" w:type="dxa"/>
              <w:left w:w="0" w:type="dxa"/>
              <w:bottom w:w="0" w:type="dxa"/>
              <w:right w:w="0" w:type="dxa"/>
            </w:tcMar>
            <w:vAlign w:val="center"/>
          </w:tcPr>
          <w:p w14:paraId="705D9C52">
            <w:pPr>
              <w:keepNext w:val="0"/>
              <w:keepLines w:val="0"/>
              <w:pageBreakBefore w:val="0"/>
              <w:widowControl/>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sz w:val="21"/>
                <w:szCs w:val="21"/>
                <w:highlight w:val="none"/>
              </w:rPr>
            </w:pPr>
          </w:p>
        </w:tc>
        <w:tc>
          <w:tcPr>
            <w:tcW w:w="726" w:type="pct"/>
            <w:vMerge w:val="continue"/>
            <w:tcBorders>
              <w:tl2br w:val="nil"/>
              <w:tr2bl w:val="nil"/>
            </w:tcBorders>
            <w:tcMar>
              <w:top w:w="0" w:type="dxa"/>
              <w:left w:w="0" w:type="dxa"/>
              <w:bottom w:w="0" w:type="dxa"/>
              <w:right w:w="0" w:type="dxa"/>
            </w:tcMar>
            <w:vAlign w:val="center"/>
          </w:tcPr>
          <w:p w14:paraId="1F0E44DD">
            <w:pPr>
              <w:keepNext w:val="0"/>
              <w:keepLines w:val="0"/>
              <w:pageBreakBefore w:val="0"/>
              <w:widowControl/>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sz w:val="21"/>
                <w:szCs w:val="21"/>
                <w:highlight w:val="none"/>
              </w:rPr>
            </w:pPr>
          </w:p>
        </w:tc>
        <w:tc>
          <w:tcPr>
            <w:tcW w:w="779" w:type="pct"/>
            <w:gridSpan w:val="2"/>
            <w:vMerge w:val="continue"/>
            <w:tcBorders>
              <w:tl2br w:val="nil"/>
              <w:tr2bl w:val="nil"/>
            </w:tcBorders>
            <w:tcMar>
              <w:top w:w="0" w:type="dxa"/>
              <w:left w:w="0" w:type="dxa"/>
              <w:bottom w:w="0" w:type="dxa"/>
              <w:right w:w="0" w:type="dxa"/>
            </w:tcMar>
            <w:vAlign w:val="center"/>
          </w:tcPr>
          <w:p w14:paraId="0EA1D3DF">
            <w:pPr>
              <w:keepNext w:val="0"/>
              <w:keepLines w:val="0"/>
              <w:pageBreakBefore w:val="0"/>
              <w:widowControl/>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sz w:val="21"/>
                <w:szCs w:val="21"/>
                <w:highlight w:val="none"/>
              </w:rPr>
            </w:pPr>
          </w:p>
        </w:tc>
        <w:tc>
          <w:tcPr>
            <w:tcW w:w="3264" w:type="pct"/>
            <w:gridSpan w:val="8"/>
            <w:tcBorders>
              <w:tl2br w:val="nil"/>
              <w:tr2bl w:val="nil"/>
            </w:tcBorders>
            <w:tcMar>
              <w:top w:w="0" w:type="dxa"/>
              <w:left w:w="0" w:type="dxa"/>
              <w:bottom w:w="0" w:type="dxa"/>
              <w:right w:w="0" w:type="dxa"/>
            </w:tcMar>
            <w:vAlign w:val="center"/>
          </w:tcPr>
          <w:p w14:paraId="3DD983DD">
            <w:pPr>
              <w:keepNext w:val="0"/>
              <w:keepLines w:val="0"/>
              <w:pageBreakBefore w:val="0"/>
              <w:widowControl/>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大气毒性终点浓度-2最大影响范围</w:t>
            </w:r>
            <w:r>
              <w:rPr>
                <w:rFonts w:ascii="Times New Roman" w:hAnsi="Times New Roman" w:cs="Times New Roman"/>
                <w:color w:val="auto"/>
                <w:sz w:val="21"/>
                <w:szCs w:val="21"/>
                <w:highlight w:val="none"/>
                <w:u w:val="single"/>
              </w:rPr>
              <w:t>240</w:t>
            </w:r>
            <w:r>
              <w:rPr>
                <w:rFonts w:ascii="Times New Roman" w:hAnsi="Times New Roman" w:cs="Times New Roman"/>
                <w:color w:val="auto"/>
                <w:sz w:val="21"/>
                <w:szCs w:val="21"/>
                <w:highlight w:val="none"/>
              </w:rPr>
              <w:t>m</w:t>
            </w:r>
          </w:p>
        </w:tc>
      </w:tr>
      <w:tr w14:paraId="3357553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jc w:val="center"/>
        </w:trPr>
        <w:tc>
          <w:tcPr>
            <w:tcW w:w="232" w:type="pct"/>
            <w:vMerge w:val="continue"/>
            <w:tcBorders>
              <w:tl2br w:val="nil"/>
              <w:tr2bl w:val="nil"/>
            </w:tcBorders>
            <w:tcMar>
              <w:top w:w="0" w:type="dxa"/>
              <w:left w:w="0" w:type="dxa"/>
              <w:bottom w:w="0" w:type="dxa"/>
              <w:right w:w="0" w:type="dxa"/>
            </w:tcMar>
            <w:vAlign w:val="center"/>
          </w:tcPr>
          <w:p w14:paraId="58C4E6D5">
            <w:pPr>
              <w:keepNext w:val="0"/>
              <w:keepLines w:val="0"/>
              <w:pageBreakBefore w:val="0"/>
              <w:widowControl/>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sz w:val="21"/>
                <w:szCs w:val="21"/>
                <w:highlight w:val="none"/>
              </w:rPr>
            </w:pPr>
          </w:p>
        </w:tc>
        <w:tc>
          <w:tcPr>
            <w:tcW w:w="726" w:type="pct"/>
            <w:tcBorders>
              <w:tl2br w:val="nil"/>
              <w:tr2bl w:val="nil"/>
            </w:tcBorders>
            <w:tcMar>
              <w:top w:w="0" w:type="dxa"/>
              <w:left w:w="0" w:type="dxa"/>
              <w:bottom w:w="0" w:type="dxa"/>
              <w:right w:w="0" w:type="dxa"/>
            </w:tcMar>
            <w:vAlign w:val="center"/>
          </w:tcPr>
          <w:p w14:paraId="34743FBE">
            <w:pPr>
              <w:keepNext w:val="0"/>
              <w:keepLines w:val="0"/>
              <w:pageBreakBefore w:val="0"/>
              <w:widowControl/>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地表水</w:t>
            </w:r>
          </w:p>
        </w:tc>
        <w:tc>
          <w:tcPr>
            <w:tcW w:w="4043" w:type="pct"/>
            <w:gridSpan w:val="10"/>
            <w:tcBorders>
              <w:tl2br w:val="nil"/>
              <w:tr2bl w:val="nil"/>
            </w:tcBorders>
            <w:tcMar>
              <w:top w:w="0" w:type="dxa"/>
              <w:left w:w="0" w:type="dxa"/>
              <w:bottom w:w="0" w:type="dxa"/>
              <w:right w:w="0" w:type="dxa"/>
            </w:tcMar>
            <w:vAlign w:val="center"/>
          </w:tcPr>
          <w:p w14:paraId="40EC051E">
            <w:pPr>
              <w:keepNext w:val="0"/>
              <w:keepLines w:val="0"/>
              <w:pageBreakBefore w:val="0"/>
              <w:widowControl/>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最近环境敏感目标</w:t>
            </w:r>
            <w:r>
              <w:rPr>
                <w:rFonts w:ascii="Times New Roman" w:hAnsi="Times New Roman" w:cs="Times New Roman"/>
                <w:color w:val="auto"/>
                <w:sz w:val="21"/>
                <w:szCs w:val="21"/>
                <w:highlight w:val="none"/>
                <w:u w:val="single"/>
              </w:rPr>
              <w:t>/</w:t>
            </w:r>
            <w:r>
              <w:rPr>
                <w:rFonts w:ascii="Times New Roman" w:hAnsi="Times New Roman" w:cs="Times New Roman"/>
                <w:color w:val="auto"/>
                <w:sz w:val="21"/>
                <w:szCs w:val="21"/>
                <w:highlight w:val="none"/>
              </w:rPr>
              <w:t>，到达时间</w:t>
            </w:r>
            <w:r>
              <w:rPr>
                <w:rFonts w:ascii="Times New Roman" w:hAnsi="Times New Roman" w:cs="Times New Roman"/>
                <w:color w:val="auto"/>
                <w:sz w:val="21"/>
                <w:szCs w:val="21"/>
                <w:highlight w:val="none"/>
                <w:u w:val="single"/>
              </w:rPr>
              <w:t>/</w:t>
            </w:r>
            <w:r>
              <w:rPr>
                <w:rFonts w:ascii="Times New Roman" w:hAnsi="Times New Roman" w:cs="Times New Roman"/>
                <w:color w:val="auto"/>
                <w:sz w:val="21"/>
                <w:szCs w:val="21"/>
                <w:highlight w:val="none"/>
              </w:rPr>
              <w:t>h</w:t>
            </w:r>
          </w:p>
        </w:tc>
      </w:tr>
      <w:tr w14:paraId="2F093FA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jc w:val="center"/>
        </w:trPr>
        <w:tc>
          <w:tcPr>
            <w:tcW w:w="232" w:type="pct"/>
            <w:vMerge w:val="continue"/>
            <w:tcBorders>
              <w:tl2br w:val="nil"/>
              <w:tr2bl w:val="nil"/>
            </w:tcBorders>
            <w:tcMar>
              <w:top w:w="0" w:type="dxa"/>
              <w:left w:w="0" w:type="dxa"/>
              <w:bottom w:w="0" w:type="dxa"/>
              <w:right w:w="0" w:type="dxa"/>
            </w:tcMar>
            <w:vAlign w:val="center"/>
          </w:tcPr>
          <w:p w14:paraId="514C49F5">
            <w:pPr>
              <w:keepNext w:val="0"/>
              <w:keepLines w:val="0"/>
              <w:pageBreakBefore w:val="0"/>
              <w:widowControl/>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sz w:val="21"/>
                <w:szCs w:val="21"/>
                <w:highlight w:val="none"/>
              </w:rPr>
            </w:pPr>
          </w:p>
        </w:tc>
        <w:tc>
          <w:tcPr>
            <w:tcW w:w="726" w:type="pct"/>
            <w:vMerge w:val="restart"/>
            <w:tcBorders>
              <w:tl2br w:val="nil"/>
              <w:tr2bl w:val="nil"/>
            </w:tcBorders>
            <w:tcMar>
              <w:top w:w="0" w:type="dxa"/>
              <w:left w:w="0" w:type="dxa"/>
              <w:bottom w:w="0" w:type="dxa"/>
              <w:right w:w="0" w:type="dxa"/>
            </w:tcMar>
            <w:vAlign w:val="center"/>
          </w:tcPr>
          <w:p w14:paraId="205E5AD7">
            <w:pPr>
              <w:keepNext w:val="0"/>
              <w:keepLines w:val="0"/>
              <w:pageBreakBefore w:val="0"/>
              <w:widowControl/>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地下水</w:t>
            </w:r>
          </w:p>
        </w:tc>
        <w:tc>
          <w:tcPr>
            <w:tcW w:w="4043" w:type="pct"/>
            <w:gridSpan w:val="10"/>
            <w:tcBorders>
              <w:tl2br w:val="nil"/>
              <w:tr2bl w:val="nil"/>
            </w:tcBorders>
            <w:tcMar>
              <w:top w:w="0" w:type="dxa"/>
              <w:left w:w="0" w:type="dxa"/>
              <w:bottom w:w="0" w:type="dxa"/>
              <w:right w:w="0" w:type="dxa"/>
            </w:tcMar>
            <w:vAlign w:val="center"/>
          </w:tcPr>
          <w:p w14:paraId="51D4BD73">
            <w:pPr>
              <w:keepNext w:val="0"/>
              <w:keepLines w:val="0"/>
              <w:pageBreakBefore w:val="0"/>
              <w:widowControl/>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下游厂区边界到达时间</w:t>
            </w:r>
            <w:r>
              <w:rPr>
                <w:rFonts w:hint="eastAsia" w:ascii="Times New Roman" w:hAnsi="Times New Roman" w:cs="Times New Roman"/>
                <w:color w:val="auto"/>
                <w:sz w:val="21"/>
                <w:szCs w:val="21"/>
                <w:highlight w:val="none"/>
                <w:u w:val="single"/>
              </w:rPr>
              <w:t>/</w:t>
            </w:r>
            <w:r>
              <w:rPr>
                <w:rFonts w:ascii="Times New Roman" w:hAnsi="Times New Roman" w:cs="Times New Roman"/>
                <w:color w:val="auto"/>
                <w:sz w:val="21"/>
                <w:szCs w:val="21"/>
                <w:highlight w:val="none"/>
              </w:rPr>
              <w:t>d</w:t>
            </w:r>
          </w:p>
        </w:tc>
      </w:tr>
      <w:tr w14:paraId="1A3009C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jc w:val="center"/>
        </w:trPr>
        <w:tc>
          <w:tcPr>
            <w:tcW w:w="232" w:type="pct"/>
            <w:vMerge w:val="continue"/>
            <w:tcBorders>
              <w:tl2br w:val="nil"/>
              <w:tr2bl w:val="nil"/>
            </w:tcBorders>
            <w:tcMar>
              <w:top w:w="0" w:type="dxa"/>
              <w:left w:w="0" w:type="dxa"/>
              <w:bottom w:w="0" w:type="dxa"/>
              <w:right w:w="0" w:type="dxa"/>
            </w:tcMar>
            <w:vAlign w:val="center"/>
          </w:tcPr>
          <w:p w14:paraId="0620B339">
            <w:pPr>
              <w:keepNext w:val="0"/>
              <w:keepLines w:val="0"/>
              <w:pageBreakBefore w:val="0"/>
              <w:widowControl/>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sz w:val="21"/>
                <w:szCs w:val="21"/>
                <w:highlight w:val="none"/>
              </w:rPr>
            </w:pPr>
          </w:p>
        </w:tc>
        <w:tc>
          <w:tcPr>
            <w:tcW w:w="726" w:type="pct"/>
            <w:vMerge w:val="continue"/>
            <w:tcBorders>
              <w:tl2br w:val="nil"/>
              <w:tr2bl w:val="nil"/>
            </w:tcBorders>
            <w:tcMar>
              <w:top w:w="0" w:type="dxa"/>
              <w:left w:w="0" w:type="dxa"/>
              <w:bottom w:w="0" w:type="dxa"/>
              <w:right w:w="0" w:type="dxa"/>
            </w:tcMar>
            <w:vAlign w:val="center"/>
          </w:tcPr>
          <w:p w14:paraId="3EE73C6E">
            <w:pPr>
              <w:keepNext w:val="0"/>
              <w:keepLines w:val="0"/>
              <w:pageBreakBefore w:val="0"/>
              <w:widowControl/>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sz w:val="21"/>
                <w:szCs w:val="21"/>
                <w:highlight w:val="none"/>
              </w:rPr>
            </w:pPr>
          </w:p>
        </w:tc>
        <w:tc>
          <w:tcPr>
            <w:tcW w:w="4043" w:type="pct"/>
            <w:gridSpan w:val="10"/>
            <w:tcBorders>
              <w:tl2br w:val="nil"/>
              <w:tr2bl w:val="nil"/>
            </w:tcBorders>
            <w:tcMar>
              <w:top w:w="0" w:type="dxa"/>
              <w:left w:w="0" w:type="dxa"/>
              <w:bottom w:w="0" w:type="dxa"/>
              <w:right w:w="0" w:type="dxa"/>
            </w:tcMar>
            <w:vAlign w:val="center"/>
          </w:tcPr>
          <w:p w14:paraId="75AA0E2D">
            <w:pPr>
              <w:keepNext w:val="0"/>
              <w:keepLines w:val="0"/>
              <w:pageBreakBefore w:val="0"/>
              <w:widowControl/>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最近环境敏感目标</w:t>
            </w:r>
            <w:r>
              <w:rPr>
                <w:rFonts w:ascii="Times New Roman" w:hAnsi="Times New Roman" w:cs="Times New Roman"/>
                <w:color w:val="auto"/>
                <w:sz w:val="21"/>
                <w:szCs w:val="21"/>
                <w:highlight w:val="none"/>
                <w:u w:val="single"/>
              </w:rPr>
              <w:t>/</w:t>
            </w:r>
            <w:r>
              <w:rPr>
                <w:rFonts w:ascii="Times New Roman" w:hAnsi="Times New Roman" w:cs="Times New Roman"/>
                <w:color w:val="auto"/>
                <w:sz w:val="21"/>
                <w:szCs w:val="21"/>
                <w:highlight w:val="none"/>
              </w:rPr>
              <w:t>，到达时间</w:t>
            </w:r>
            <w:r>
              <w:rPr>
                <w:rFonts w:ascii="Times New Roman" w:hAnsi="Times New Roman" w:cs="Times New Roman"/>
                <w:color w:val="auto"/>
                <w:sz w:val="21"/>
                <w:szCs w:val="21"/>
                <w:highlight w:val="none"/>
                <w:u w:val="single"/>
              </w:rPr>
              <w:t>/</w:t>
            </w:r>
            <w:r>
              <w:rPr>
                <w:rFonts w:ascii="Times New Roman" w:hAnsi="Times New Roman" w:cs="Times New Roman"/>
                <w:color w:val="auto"/>
                <w:sz w:val="21"/>
                <w:szCs w:val="21"/>
                <w:highlight w:val="none"/>
              </w:rPr>
              <w:t>h</w:t>
            </w:r>
          </w:p>
        </w:tc>
      </w:tr>
      <w:tr w14:paraId="33638F2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jc w:val="center"/>
        </w:trPr>
        <w:tc>
          <w:tcPr>
            <w:tcW w:w="957" w:type="pct"/>
            <w:gridSpan w:val="2"/>
            <w:tcBorders>
              <w:tl2br w:val="nil"/>
              <w:tr2bl w:val="nil"/>
            </w:tcBorders>
            <w:tcMar>
              <w:top w:w="0" w:type="dxa"/>
              <w:left w:w="0" w:type="dxa"/>
              <w:bottom w:w="0" w:type="dxa"/>
              <w:right w:w="0" w:type="dxa"/>
            </w:tcMar>
            <w:vAlign w:val="center"/>
          </w:tcPr>
          <w:p w14:paraId="552F35D9">
            <w:pPr>
              <w:keepNext w:val="0"/>
              <w:keepLines w:val="0"/>
              <w:pageBreakBefore w:val="0"/>
              <w:widowControl/>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重点风险防范措施</w:t>
            </w:r>
          </w:p>
        </w:tc>
        <w:tc>
          <w:tcPr>
            <w:tcW w:w="4043" w:type="pct"/>
            <w:gridSpan w:val="10"/>
            <w:tcBorders>
              <w:tl2br w:val="nil"/>
              <w:tr2bl w:val="nil"/>
            </w:tcBorders>
            <w:tcMar>
              <w:top w:w="0" w:type="dxa"/>
              <w:left w:w="0" w:type="dxa"/>
              <w:bottom w:w="0" w:type="dxa"/>
              <w:right w:w="0" w:type="dxa"/>
            </w:tcMar>
            <w:vAlign w:val="center"/>
          </w:tcPr>
          <w:p w14:paraId="74545DC0">
            <w:pPr>
              <w:keepNext w:val="0"/>
              <w:keepLines w:val="0"/>
              <w:pageBreakBefore w:val="0"/>
              <w:widowControl/>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对生产装置区、</w:t>
            </w:r>
            <w:r>
              <w:rPr>
                <w:rFonts w:hint="eastAsia" w:ascii="Times New Roman" w:hAnsi="Times New Roman" w:cs="Times New Roman"/>
                <w:color w:val="auto"/>
                <w:sz w:val="21"/>
                <w:szCs w:val="21"/>
                <w:highlight w:val="none"/>
              </w:rPr>
              <w:t>废液储罐区</w:t>
            </w:r>
            <w:r>
              <w:rPr>
                <w:rFonts w:ascii="Times New Roman" w:hAnsi="Times New Roman" w:cs="Times New Roman"/>
                <w:color w:val="auto"/>
                <w:sz w:val="21"/>
                <w:szCs w:val="21"/>
                <w:highlight w:val="none"/>
              </w:rPr>
              <w:t>等连接件定期检查，避免发生</w:t>
            </w:r>
            <w:r>
              <w:rPr>
                <w:rFonts w:hint="eastAsia" w:ascii="Times New Roman" w:hAnsi="Times New Roman" w:cs="Times New Roman"/>
                <w:color w:val="auto"/>
                <w:sz w:val="21"/>
                <w:szCs w:val="21"/>
                <w:highlight w:val="none"/>
              </w:rPr>
              <w:t>废液储罐</w:t>
            </w:r>
            <w:r>
              <w:rPr>
                <w:rFonts w:ascii="Times New Roman" w:hAnsi="Times New Roman" w:cs="Times New Roman"/>
                <w:color w:val="auto"/>
                <w:sz w:val="21"/>
                <w:szCs w:val="21"/>
                <w:highlight w:val="none"/>
              </w:rPr>
              <w:t>或正产设备泄漏事故发生；生产车间、</w:t>
            </w:r>
            <w:r>
              <w:rPr>
                <w:rFonts w:hint="eastAsia" w:ascii="Times New Roman" w:hAnsi="Times New Roman" w:cs="Times New Roman"/>
                <w:color w:val="auto"/>
                <w:sz w:val="21"/>
                <w:szCs w:val="21"/>
                <w:highlight w:val="none"/>
              </w:rPr>
              <w:t>废液储罐</w:t>
            </w:r>
            <w:r>
              <w:rPr>
                <w:rFonts w:ascii="Times New Roman" w:hAnsi="Times New Roman" w:cs="Times New Roman"/>
                <w:color w:val="auto"/>
                <w:sz w:val="21"/>
                <w:szCs w:val="21"/>
                <w:highlight w:val="none"/>
              </w:rPr>
              <w:t>、危废仓库、</w:t>
            </w:r>
            <w:r>
              <w:rPr>
                <w:rFonts w:hint="eastAsia" w:ascii="Times New Roman" w:hAnsi="Times New Roman" w:cs="Times New Roman"/>
                <w:color w:val="auto"/>
                <w:sz w:val="21"/>
                <w:szCs w:val="21"/>
                <w:highlight w:val="none"/>
                <w:lang w:eastAsia="zh-CN"/>
              </w:rPr>
              <w:t>危险品仓库</w:t>
            </w:r>
            <w:r>
              <w:rPr>
                <w:rFonts w:ascii="Times New Roman" w:hAnsi="Times New Roman" w:cs="Times New Roman"/>
                <w:color w:val="auto"/>
                <w:sz w:val="21"/>
                <w:szCs w:val="21"/>
                <w:highlight w:val="none"/>
              </w:rPr>
              <w:t>、</w:t>
            </w:r>
            <w:r>
              <w:rPr>
                <w:rFonts w:hint="eastAsia" w:ascii="Times New Roman" w:hAnsi="Times New Roman" w:cs="Times New Roman"/>
                <w:color w:val="auto"/>
                <w:sz w:val="21"/>
                <w:szCs w:val="21"/>
                <w:highlight w:val="none"/>
              </w:rPr>
              <w:t>成品</w:t>
            </w:r>
            <w:r>
              <w:rPr>
                <w:rFonts w:ascii="Times New Roman" w:hAnsi="Times New Roman" w:cs="Times New Roman"/>
                <w:color w:val="auto"/>
                <w:sz w:val="21"/>
                <w:szCs w:val="21"/>
                <w:highlight w:val="none"/>
              </w:rPr>
              <w:t>仓库做好防腐防渗防漏等风险防范措施。</w:t>
            </w:r>
          </w:p>
        </w:tc>
      </w:tr>
      <w:tr w14:paraId="3426599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jc w:val="center"/>
        </w:trPr>
        <w:tc>
          <w:tcPr>
            <w:tcW w:w="957" w:type="pct"/>
            <w:gridSpan w:val="2"/>
            <w:tcBorders>
              <w:tl2br w:val="nil"/>
              <w:tr2bl w:val="nil"/>
            </w:tcBorders>
            <w:tcMar>
              <w:top w:w="0" w:type="dxa"/>
              <w:left w:w="0" w:type="dxa"/>
              <w:bottom w:w="0" w:type="dxa"/>
              <w:right w:w="0" w:type="dxa"/>
            </w:tcMar>
            <w:vAlign w:val="center"/>
          </w:tcPr>
          <w:p w14:paraId="4FE03B1F">
            <w:pPr>
              <w:keepNext w:val="0"/>
              <w:keepLines w:val="0"/>
              <w:pageBreakBefore w:val="0"/>
              <w:widowControl/>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评价结论与建议</w:t>
            </w:r>
          </w:p>
        </w:tc>
        <w:tc>
          <w:tcPr>
            <w:tcW w:w="4043" w:type="pct"/>
            <w:gridSpan w:val="10"/>
            <w:tcBorders>
              <w:tl2br w:val="nil"/>
              <w:tr2bl w:val="nil"/>
            </w:tcBorders>
            <w:tcMar>
              <w:top w:w="0" w:type="dxa"/>
              <w:left w:w="0" w:type="dxa"/>
              <w:bottom w:w="0" w:type="dxa"/>
              <w:right w:w="0" w:type="dxa"/>
            </w:tcMar>
            <w:vAlign w:val="center"/>
          </w:tcPr>
          <w:p w14:paraId="4276AF0A">
            <w:pPr>
              <w:keepNext w:val="0"/>
              <w:keepLines w:val="0"/>
              <w:pageBreakBefore w:val="0"/>
              <w:widowControl/>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风险可控</w:t>
            </w:r>
          </w:p>
        </w:tc>
      </w:tr>
      <w:tr w14:paraId="50AA232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jc w:val="center"/>
        </w:trPr>
        <w:tc>
          <w:tcPr>
            <w:tcW w:w="5000" w:type="pct"/>
            <w:gridSpan w:val="12"/>
            <w:tcBorders>
              <w:tl2br w:val="nil"/>
              <w:tr2bl w:val="nil"/>
            </w:tcBorders>
            <w:tcMar>
              <w:top w:w="0" w:type="dxa"/>
              <w:left w:w="0" w:type="dxa"/>
              <w:bottom w:w="0" w:type="dxa"/>
              <w:right w:w="0" w:type="dxa"/>
            </w:tcMar>
            <w:vAlign w:val="center"/>
          </w:tcPr>
          <w:p w14:paraId="1A3E1D2C">
            <w:pPr>
              <w:keepNext w:val="0"/>
              <w:keepLines w:val="0"/>
              <w:pageBreakBefore w:val="0"/>
              <w:widowControl/>
              <w:kinsoku/>
              <w:wordWrap/>
              <w:overflowPunct/>
              <w:topLinePunct w:val="0"/>
              <w:autoSpaceDE/>
              <w:autoSpaceDN/>
              <w:bidi w:val="0"/>
              <w:adjustRightInd w:val="0"/>
              <w:snapToGrid w:val="0"/>
              <w:ind w:left="0" w:right="0"/>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注：“□”为勾选项，“_____”为填写项。</w:t>
            </w:r>
          </w:p>
        </w:tc>
      </w:tr>
    </w:tbl>
    <w:p w14:paraId="7EBB59C5">
      <w:pPr>
        <w:adjustRightInd w:val="0"/>
        <w:snapToGrid w:val="0"/>
        <w:ind w:left="-105" w:right="-105" w:firstLine="200"/>
        <w:rPr>
          <w:rFonts w:ascii="Times New Roman" w:hAnsi="Times New Roman" w:cs="Times New Roman"/>
          <w:color w:val="auto"/>
          <w:sz w:val="10"/>
          <w:szCs w:val="10"/>
          <w:highlight w:val="none"/>
        </w:rPr>
      </w:pPr>
    </w:p>
    <w:p w14:paraId="3E4817E9">
      <w:pPr>
        <w:adjustRightInd w:val="0"/>
        <w:snapToGrid w:val="0"/>
        <w:spacing w:line="360" w:lineRule="auto"/>
        <w:ind w:left="-105" w:right="-105" w:firstLine="480"/>
        <w:rPr>
          <w:rFonts w:ascii="Times New Roman" w:hAnsi="Times New Roman" w:cs="Times New Roman"/>
          <w:color w:val="auto"/>
          <w:highlight w:val="none"/>
        </w:rPr>
      </w:pPr>
      <w:r>
        <w:rPr>
          <w:rFonts w:ascii="Times New Roman" w:hAnsi="Times New Roman" w:cs="Times New Roman"/>
          <w:color w:val="auto"/>
          <w:highlight w:val="none"/>
        </w:rPr>
        <w:t>根据上述分析，本项目存在一定环境风险，在采取一定的措施进行防护的情况下，环境风险可控。</w:t>
      </w:r>
    </w:p>
    <w:p w14:paraId="7D4C0340">
      <w:pPr>
        <w:ind w:left="-105" w:right="-105"/>
        <w:rPr>
          <w:rFonts w:ascii="Times New Roman" w:hAnsi="Times New Roman" w:cs="Times New Roman"/>
          <w:color w:val="auto"/>
          <w:highlight w:val="none"/>
        </w:rPr>
      </w:pPr>
      <w:r>
        <w:rPr>
          <w:rFonts w:ascii="Times New Roman" w:hAnsi="Times New Roman" w:cs="Times New Roman"/>
          <w:color w:val="auto"/>
          <w:highlight w:val="none"/>
        </w:rPr>
        <w:br w:type="page"/>
      </w:r>
    </w:p>
    <w:p w14:paraId="49F08DE0">
      <w:pPr>
        <w:pStyle w:val="4"/>
        <w:numPr>
          <w:ilvl w:val="1"/>
          <w:numId w:val="6"/>
        </w:numPr>
        <w:tabs>
          <w:tab w:val="left" w:pos="426"/>
        </w:tabs>
        <w:spacing w:before="120" w:beforeLines="50" w:after="50" w:line="360" w:lineRule="auto"/>
        <w:ind w:left="-105" w:right="-105"/>
        <w:rPr>
          <w:rFonts w:ascii="Times New Roman" w:eastAsia="宋体"/>
          <w:color w:val="auto"/>
          <w:sz w:val="28"/>
          <w:szCs w:val="28"/>
          <w:highlight w:val="none"/>
        </w:rPr>
      </w:pPr>
      <w:bookmarkStart w:id="419" w:name="_Toc4600"/>
      <w:bookmarkStart w:id="420" w:name="_Toc139356125"/>
      <w:r>
        <w:rPr>
          <w:rFonts w:ascii="Times New Roman" w:eastAsia="宋体"/>
          <w:color w:val="auto"/>
          <w:sz w:val="28"/>
          <w:szCs w:val="28"/>
          <w:highlight w:val="none"/>
        </w:rPr>
        <w:t>生态环境影响分析与评价</w:t>
      </w:r>
      <w:bookmarkEnd w:id="419"/>
      <w:bookmarkEnd w:id="420"/>
    </w:p>
    <w:p w14:paraId="40100628">
      <w:pPr>
        <w:pStyle w:val="5"/>
        <w:keepLines w:val="0"/>
        <w:numPr>
          <w:ilvl w:val="0"/>
          <w:numId w:val="0"/>
        </w:numPr>
        <w:tabs>
          <w:tab w:val="left" w:pos="567"/>
          <w:tab w:val="left" w:pos="709"/>
          <w:tab w:val="left" w:pos="993"/>
          <w:tab w:val="left" w:pos="6663"/>
        </w:tabs>
        <w:spacing w:before="0" w:after="0" w:line="360" w:lineRule="auto"/>
        <w:ind w:right="-105"/>
        <w:rPr>
          <w:rFonts w:eastAsia="宋体"/>
          <w:color w:val="auto"/>
          <w:sz w:val="28"/>
          <w:szCs w:val="28"/>
          <w:highlight w:val="none"/>
        </w:rPr>
      </w:pPr>
      <w:bookmarkStart w:id="421" w:name="_Toc116858849"/>
      <w:r>
        <w:rPr>
          <w:rFonts w:hint="eastAsia" w:eastAsia="宋体"/>
          <w:color w:val="auto"/>
          <w:sz w:val="28"/>
          <w:szCs w:val="28"/>
          <w:highlight w:val="none"/>
        </w:rPr>
        <w:t>6</w:t>
      </w:r>
      <w:r>
        <w:rPr>
          <w:rFonts w:eastAsia="宋体"/>
          <w:color w:val="auto"/>
          <w:sz w:val="28"/>
          <w:szCs w:val="28"/>
          <w:highlight w:val="none"/>
        </w:rPr>
        <w:t>.8.1生态环境影响分析</w:t>
      </w:r>
      <w:bookmarkEnd w:id="421"/>
    </w:p>
    <w:p w14:paraId="16163E30">
      <w:pPr>
        <w:adjustRightInd w:val="0"/>
        <w:snapToGrid w:val="0"/>
        <w:spacing w:line="360" w:lineRule="auto"/>
        <w:ind w:left="-105" w:right="-105" w:firstLine="480" w:firstLineChars="200"/>
        <w:rPr>
          <w:rFonts w:ascii="Times New Roman" w:hAnsi="Times New Roman" w:cs="Times New Roman"/>
          <w:color w:val="auto"/>
          <w:highlight w:val="none"/>
        </w:rPr>
      </w:pPr>
      <w:r>
        <w:rPr>
          <w:rFonts w:ascii="Times New Roman" w:hAnsi="Times New Roman" w:cs="Times New Roman"/>
          <w:color w:val="auto"/>
          <w:highlight w:val="none"/>
        </w:rPr>
        <w:t>根据大气环境影响评价结果，废气污染物最大落地浓度均较低，对陆生植物环境影响较小，为减轻项目建设给环境带来的不利影响，建设单位将采取一系列的生态保护措施。</w:t>
      </w:r>
    </w:p>
    <w:p w14:paraId="5D8019B2">
      <w:pPr>
        <w:adjustRightInd w:val="0"/>
        <w:snapToGrid w:val="0"/>
        <w:spacing w:line="372" w:lineRule="auto"/>
        <w:ind w:left="-105" w:right="-105" w:firstLine="480" w:firstLineChars="200"/>
        <w:rPr>
          <w:rFonts w:ascii="Times New Roman" w:hAnsi="Times New Roman" w:cs="Times New Roman"/>
          <w:color w:val="auto"/>
          <w:highlight w:val="none"/>
        </w:rPr>
      </w:pPr>
      <w:r>
        <w:rPr>
          <w:rFonts w:ascii="Times New Roman" w:hAnsi="Times New Roman" w:cs="Times New Roman"/>
          <w:color w:val="auto"/>
          <w:highlight w:val="none"/>
        </w:rPr>
        <w:t>（1）本项目废气污染物经收集处理后均达标排放。</w:t>
      </w:r>
    </w:p>
    <w:p w14:paraId="26189B7F">
      <w:pPr>
        <w:adjustRightInd w:val="0"/>
        <w:snapToGrid w:val="0"/>
        <w:spacing w:line="372" w:lineRule="auto"/>
        <w:ind w:left="-105" w:right="-105" w:firstLine="480" w:firstLineChars="200"/>
        <w:rPr>
          <w:rFonts w:ascii="Times New Roman" w:hAnsi="Times New Roman" w:cs="Times New Roman"/>
          <w:color w:val="auto"/>
          <w:highlight w:val="none"/>
        </w:rPr>
      </w:pPr>
      <w:r>
        <w:rPr>
          <w:rFonts w:ascii="Times New Roman" w:hAnsi="Times New Roman" w:cs="Times New Roman"/>
          <w:color w:val="auto"/>
          <w:highlight w:val="none"/>
        </w:rPr>
        <w:t>（2）</w:t>
      </w:r>
      <w:r>
        <w:rPr>
          <w:rFonts w:hint="eastAsia" w:ascii="Times New Roman" w:hAnsi="Times New Roman" w:cs="Times New Roman"/>
          <w:color w:val="auto"/>
          <w:highlight w:val="none"/>
        </w:rPr>
        <w:t>本项目无新增废水排放，</w:t>
      </w:r>
      <w:r>
        <w:rPr>
          <w:rFonts w:hint="eastAsia" w:ascii="Times New Roman" w:hAnsi="Times New Roman"/>
          <w:color w:val="auto"/>
          <w:highlight w:val="none"/>
        </w:rPr>
        <w:t>全厂产生的生活污水和初期雨水经无锡先进化药化工有限公司处理达标后接入无锡市锡山云林污水处理有限公司处理</w:t>
      </w:r>
      <w:r>
        <w:rPr>
          <w:rFonts w:ascii="Times New Roman" w:hAnsi="Times New Roman" w:cs="Times New Roman"/>
          <w:color w:val="auto"/>
          <w:highlight w:val="none"/>
        </w:rPr>
        <w:t>，固废经合理处置后零排放，</w:t>
      </w:r>
      <w:r>
        <w:rPr>
          <w:rFonts w:ascii="Times New Roman" w:hAnsi="Times New Roman" w:cs="Times New Roman"/>
          <w:color w:val="auto"/>
          <w:spacing w:val="-3"/>
          <w:highlight w:val="none"/>
        </w:rPr>
        <w:t>噪声源经墙体隔声、几何发散衰减及工程降噪后，厂界噪声能够达到《工业企业厂</w:t>
      </w:r>
      <w:r>
        <w:rPr>
          <w:rFonts w:ascii="Times New Roman" w:hAnsi="Times New Roman" w:cs="Times New Roman"/>
          <w:color w:val="auto"/>
          <w:highlight w:val="none"/>
        </w:rPr>
        <w:t>界环境噪声排放标准》（GB12348-2008）中的3类标准</w:t>
      </w:r>
      <w:r>
        <w:rPr>
          <w:rFonts w:hint="eastAsia" w:ascii="Times New Roman" w:hAnsi="Times New Roman" w:cs="Times New Roman"/>
          <w:color w:val="auto"/>
          <w:highlight w:val="none"/>
        </w:rPr>
        <w:t>。</w:t>
      </w:r>
    </w:p>
    <w:p w14:paraId="79C33883">
      <w:pPr>
        <w:adjustRightInd w:val="0"/>
        <w:snapToGrid w:val="0"/>
        <w:spacing w:line="372" w:lineRule="auto"/>
        <w:ind w:left="-105" w:right="-105" w:firstLine="480" w:firstLineChars="200"/>
        <w:rPr>
          <w:rFonts w:ascii="Times New Roman" w:hAnsi="Times New Roman" w:cs="Times New Roman"/>
          <w:color w:val="auto"/>
          <w:highlight w:val="none"/>
        </w:rPr>
      </w:pPr>
      <w:r>
        <w:rPr>
          <w:rFonts w:ascii="Times New Roman" w:hAnsi="Times New Roman" w:cs="Times New Roman"/>
          <w:color w:val="auto"/>
          <w:highlight w:val="none"/>
        </w:rPr>
        <w:t>（3）建议并支持建设方在厂区周围进行重点绿化，种植观赏性树及铺设草皮，以创造较好的工作生活环境。</w:t>
      </w:r>
    </w:p>
    <w:p w14:paraId="129578F4">
      <w:pPr>
        <w:pStyle w:val="5"/>
        <w:keepLines w:val="0"/>
        <w:numPr>
          <w:ilvl w:val="0"/>
          <w:numId w:val="0"/>
        </w:numPr>
        <w:tabs>
          <w:tab w:val="left" w:pos="567"/>
          <w:tab w:val="left" w:pos="709"/>
          <w:tab w:val="left" w:pos="993"/>
          <w:tab w:val="left" w:pos="6663"/>
        </w:tabs>
        <w:spacing w:before="0" w:after="0" w:line="360" w:lineRule="auto"/>
        <w:ind w:right="-105"/>
        <w:rPr>
          <w:rFonts w:eastAsia="宋体"/>
          <w:color w:val="auto"/>
          <w:sz w:val="28"/>
          <w:szCs w:val="28"/>
          <w:highlight w:val="none"/>
        </w:rPr>
      </w:pPr>
      <w:bookmarkStart w:id="422" w:name="_Toc116858850"/>
      <w:r>
        <w:rPr>
          <w:rFonts w:hint="eastAsia" w:eastAsia="宋体"/>
          <w:color w:val="auto"/>
          <w:sz w:val="28"/>
          <w:szCs w:val="28"/>
          <w:highlight w:val="none"/>
        </w:rPr>
        <w:t>6</w:t>
      </w:r>
      <w:r>
        <w:rPr>
          <w:rFonts w:eastAsia="宋体"/>
          <w:color w:val="auto"/>
          <w:sz w:val="28"/>
          <w:szCs w:val="28"/>
          <w:highlight w:val="none"/>
        </w:rPr>
        <w:t>.8.2生态环境保护对策</w:t>
      </w:r>
      <w:bookmarkEnd w:id="422"/>
    </w:p>
    <w:p w14:paraId="67DDDBFE">
      <w:pPr>
        <w:adjustRightInd w:val="0"/>
        <w:snapToGrid w:val="0"/>
        <w:spacing w:line="372" w:lineRule="auto"/>
        <w:ind w:left="-105" w:right="-105" w:firstLine="480" w:firstLineChars="200"/>
        <w:rPr>
          <w:rFonts w:ascii="Times New Roman" w:hAnsi="Times New Roman" w:cs="Times New Roman"/>
          <w:color w:val="auto"/>
          <w:highlight w:val="none"/>
        </w:rPr>
      </w:pPr>
      <w:r>
        <w:rPr>
          <w:rFonts w:ascii="Times New Roman" w:hAnsi="Times New Roman" w:cs="Times New Roman"/>
          <w:color w:val="auto"/>
          <w:highlight w:val="none"/>
        </w:rPr>
        <w:t>针对本项目建设活动对区域生态环境可能造成的影响，本次评价提出以下生态环境不利影响减缓措施。</w:t>
      </w:r>
    </w:p>
    <w:p w14:paraId="51318431">
      <w:pPr>
        <w:adjustRightInd w:val="0"/>
        <w:snapToGrid w:val="0"/>
        <w:spacing w:line="372" w:lineRule="auto"/>
        <w:ind w:left="-105" w:right="-105" w:firstLine="480" w:firstLineChars="200"/>
        <w:rPr>
          <w:rFonts w:ascii="Times New Roman" w:hAnsi="Times New Roman" w:cs="Times New Roman"/>
          <w:color w:val="auto"/>
          <w:highlight w:val="none"/>
        </w:rPr>
      </w:pPr>
      <w:r>
        <w:rPr>
          <w:rFonts w:ascii="Times New Roman" w:hAnsi="Times New Roman" w:cs="Times New Roman"/>
          <w:color w:val="auto"/>
          <w:highlight w:val="none"/>
        </w:rPr>
        <w:t>在厂房附近，为保证空气流通及净化作用，以相对低矮的绿篱和草坪、花坛为主，可种夹竹桃、大叶黄杨、小叶黄杨、冬青等；外围则选择一些抗污染性强、树干较高的树种，如：杨树、悬铃木、樟树、松树、柏树等成隔离带。</w:t>
      </w:r>
    </w:p>
    <w:p w14:paraId="7F069EB7">
      <w:pPr>
        <w:spacing w:line="360" w:lineRule="auto"/>
        <w:ind w:left="-105" w:right="-105" w:firstLine="480" w:firstLineChars="200"/>
        <w:rPr>
          <w:rFonts w:ascii="Times New Roman" w:hAnsi="Times New Roman" w:cs="Times New Roman"/>
          <w:color w:val="auto"/>
          <w:highlight w:val="none"/>
        </w:rPr>
        <w:sectPr>
          <w:pgSz w:w="11906" w:h="16838"/>
          <w:pgMar w:top="1440" w:right="1701" w:bottom="1440" w:left="1701" w:header="851" w:footer="851" w:gutter="0"/>
          <w:pgBorders>
            <w:top w:val="none" w:sz="0" w:space="0"/>
            <w:left w:val="none" w:sz="0" w:space="0"/>
            <w:bottom w:val="none" w:sz="0" w:space="0"/>
            <w:right w:val="none" w:sz="0" w:space="0"/>
          </w:pgBorders>
          <w:cols w:space="720" w:num="1"/>
          <w:docGrid w:linePitch="498" w:charSpace="-2336"/>
        </w:sectPr>
      </w:pPr>
    </w:p>
    <w:bookmarkEnd w:id="361"/>
    <w:p w14:paraId="7706E83C">
      <w:pPr>
        <w:pStyle w:val="3"/>
        <w:numPr>
          <w:ilvl w:val="0"/>
          <w:numId w:val="6"/>
        </w:numPr>
        <w:spacing w:before="120" w:beforeLines="50" w:afterLines="50" w:line="360" w:lineRule="auto"/>
        <w:ind w:left="-105" w:right="-105"/>
        <w:rPr>
          <w:rFonts w:ascii="Times New Roman" w:eastAsia="宋体"/>
          <w:color w:val="auto"/>
          <w:sz w:val="32"/>
          <w:szCs w:val="32"/>
          <w:highlight w:val="none"/>
        </w:rPr>
      </w:pPr>
      <w:bookmarkStart w:id="423" w:name="_Toc26955"/>
      <w:bookmarkStart w:id="424" w:name="_Toc7100"/>
      <w:bookmarkStart w:id="425" w:name="_Toc60653583"/>
      <w:r>
        <w:rPr>
          <w:rFonts w:ascii="Times New Roman" w:eastAsia="宋体"/>
          <w:color w:val="auto"/>
          <w:sz w:val="32"/>
          <w:szCs w:val="32"/>
          <w:highlight w:val="none"/>
        </w:rPr>
        <w:t>环境保护措施及其经济、技术论证</w:t>
      </w:r>
      <w:bookmarkEnd w:id="423"/>
      <w:bookmarkEnd w:id="424"/>
      <w:bookmarkEnd w:id="425"/>
    </w:p>
    <w:p w14:paraId="4E18CE9A">
      <w:pPr>
        <w:pStyle w:val="4"/>
        <w:numPr>
          <w:ilvl w:val="1"/>
          <w:numId w:val="6"/>
        </w:numPr>
        <w:tabs>
          <w:tab w:val="left" w:pos="426"/>
        </w:tabs>
        <w:spacing w:before="120" w:beforeLines="50" w:after="120" w:afterLines="50" w:line="360" w:lineRule="auto"/>
        <w:ind w:left="-105" w:right="-105"/>
        <w:rPr>
          <w:rFonts w:ascii="Times New Roman" w:eastAsia="宋体"/>
          <w:color w:val="auto"/>
          <w:sz w:val="28"/>
          <w:szCs w:val="28"/>
          <w:highlight w:val="none"/>
        </w:rPr>
      </w:pPr>
      <w:bookmarkStart w:id="426" w:name="_Toc15806"/>
      <w:bookmarkStart w:id="427" w:name="_Toc4226730"/>
      <w:bookmarkStart w:id="428" w:name="_Toc60653584"/>
      <w:bookmarkStart w:id="429" w:name="_Toc347332641"/>
      <w:bookmarkStart w:id="430" w:name="_Toc127345277"/>
      <w:bookmarkStart w:id="431" w:name="_Toc118628730"/>
      <w:bookmarkStart w:id="432" w:name="_Toc100053281"/>
      <w:bookmarkStart w:id="433" w:name="_Toc19560"/>
      <w:bookmarkStart w:id="434" w:name="_Toc118620502"/>
      <w:bookmarkStart w:id="435" w:name="_Toc313475000"/>
      <w:bookmarkStart w:id="436" w:name="_Toc101291786"/>
      <w:bookmarkStart w:id="437" w:name="_Toc175038175"/>
      <w:r>
        <w:rPr>
          <w:rFonts w:ascii="Times New Roman" w:eastAsia="宋体"/>
          <w:color w:val="auto"/>
          <w:sz w:val="28"/>
          <w:szCs w:val="28"/>
          <w:highlight w:val="none"/>
        </w:rPr>
        <w:t>废气治理措施评述</w:t>
      </w:r>
      <w:bookmarkEnd w:id="426"/>
      <w:bookmarkEnd w:id="427"/>
      <w:bookmarkEnd w:id="428"/>
      <w:bookmarkEnd w:id="429"/>
      <w:bookmarkEnd w:id="430"/>
      <w:bookmarkEnd w:id="431"/>
      <w:bookmarkEnd w:id="432"/>
      <w:bookmarkEnd w:id="433"/>
      <w:bookmarkEnd w:id="434"/>
      <w:bookmarkEnd w:id="435"/>
      <w:bookmarkEnd w:id="436"/>
      <w:bookmarkEnd w:id="437"/>
    </w:p>
    <w:p w14:paraId="6D00E05C">
      <w:pPr>
        <w:pStyle w:val="5"/>
        <w:keepLines w:val="0"/>
        <w:numPr>
          <w:ilvl w:val="2"/>
          <w:numId w:val="0"/>
        </w:numPr>
        <w:tabs>
          <w:tab w:val="left" w:pos="567"/>
          <w:tab w:val="left" w:pos="709"/>
          <w:tab w:val="left" w:pos="993"/>
          <w:tab w:val="left" w:pos="6663"/>
        </w:tabs>
        <w:spacing w:before="0" w:after="0" w:line="360" w:lineRule="auto"/>
        <w:ind w:right="-105"/>
        <w:rPr>
          <w:rFonts w:eastAsia="宋体"/>
          <w:color w:val="auto"/>
          <w:sz w:val="28"/>
          <w:szCs w:val="28"/>
          <w:highlight w:val="none"/>
        </w:rPr>
      </w:pPr>
      <w:bookmarkStart w:id="438" w:name="_Toc461443196"/>
      <w:bookmarkStart w:id="439" w:name="_Toc60653585"/>
      <w:bookmarkStart w:id="440" w:name="_Toc349636248"/>
      <w:bookmarkStart w:id="441" w:name="_Toc31479"/>
      <w:bookmarkStart w:id="442" w:name="_Toc327968252"/>
      <w:r>
        <w:rPr>
          <w:rFonts w:hint="eastAsia" w:eastAsia="宋体"/>
          <w:color w:val="auto"/>
          <w:sz w:val="28"/>
          <w:szCs w:val="28"/>
          <w:highlight w:val="none"/>
        </w:rPr>
        <w:t>7.1.1</w:t>
      </w:r>
      <w:r>
        <w:rPr>
          <w:rFonts w:eastAsia="宋体"/>
          <w:color w:val="auto"/>
          <w:sz w:val="28"/>
          <w:szCs w:val="28"/>
          <w:highlight w:val="none"/>
        </w:rPr>
        <w:t>废气排放的种类</w:t>
      </w:r>
      <w:bookmarkEnd w:id="438"/>
      <w:bookmarkEnd w:id="439"/>
    </w:p>
    <w:p w14:paraId="3829A7C7">
      <w:pPr>
        <w:pStyle w:val="41"/>
        <w:widowControl w:val="0"/>
        <w:autoSpaceDE w:val="0"/>
        <w:autoSpaceDN w:val="0"/>
        <w:spacing w:before="0" w:beforeAutospacing="0" w:after="0" w:afterAutospacing="0" w:line="360" w:lineRule="auto"/>
        <w:ind w:left="-105" w:right="-105" w:firstLine="480" w:firstLineChars="200"/>
        <w:jc w:val="both"/>
        <w:rPr>
          <w:rFonts w:ascii="Times New Roman" w:hAnsi="Times New Roman"/>
          <w:color w:val="auto"/>
          <w:szCs w:val="24"/>
          <w:highlight w:val="none"/>
          <w:lang w:bidi="ar"/>
        </w:rPr>
      </w:pPr>
      <w:r>
        <w:rPr>
          <w:rFonts w:hint="eastAsia" w:cs="宋体"/>
          <w:color w:val="auto"/>
          <w:szCs w:val="24"/>
          <w:highlight w:val="none"/>
          <w:lang w:bidi="ar"/>
        </w:rPr>
        <w:t>本项目主要废气污染物为非甲烷总烃、甲醇、氮氧化物，生产过程产生非甲烷总烃，实验室产生非甲烷总烃、甲醇、氮氧化物，由于甲醇和硝酸使用量较少，产生的甲醇、氮氧化物废气量极小，</w:t>
      </w:r>
      <w:r>
        <w:rPr>
          <w:rFonts w:ascii="Times New Roman" w:hAnsi="Times New Roman"/>
          <w:color w:val="auto"/>
          <w:szCs w:val="24"/>
          <w:highlight w:val="none"/>
          <w:lang w:bidi="ar"/>
        </w:rPr>
        <w:t>因此，本项目不对</w:t>
      </w:r>
      <w:r>
        <w:rPr>
          <w:rFonts w:hint="eastAsia" w:cs="宋体"/>
          <w:color w:val="auto"/>
          <w:szCs w:val="24"/>
          <w:highlight w:val="none"/>
          <w:lang w:bidi="ar"/>
        </w:rPr>
        <w:t>甲醇、氮氧化物</w:t>
      </w:r>
      <w:r>
        <w:rPr>
          <w:rFonts w:ascii="Times New Roman" w:hAnsi="Times New Roman"/>
          <w:color w:val="auto"/>
          <w:szCs w:val="24"/>
          <w:highlight w:val="none"/>
          <w:lang w:bidi="ar"/>
        </w:rPr>
        <w:t>进行污染物产排分析，</w:t>
      </w:r>
      <w:r>
        <w:rPr>
          <w:rFonts w:hint="eastAsia" w:ascii="Times New Roman" w:hAnsi="Times New Roman"/>
          <w:color w:val="auto"/>
          <w:szCs w:val="24"/>
          <w:highlight w:val="none"/>
          <w:lang w:bidi="ar"/>
        </w:rPr>
        <w:t>生产过程产生的非甲烷总烃依托现有废气处理措施3级碱液喷淋+二级活性炭吸附处理后经DA005排气筒排放，实验室产生的非甲烷总烃（含甲醇）通过两级活性炭吸附经DA006排气筒排放</w:t>
      </w:r>
      <w:r>
        <w:rPr>
          <w:rFonts w:ascii="Times New Roman" w:hAnsi="Times New Roman"/>
          <w:color w:val="auto"/>
          <w:szCs w:val="24"/>
          <w:highlight w:val="none"/>
          <w:lang w:bidi="ar"/>
        </w:rPr>
        <w:t>。</w:t>
      </w:r>
    </w:p>
    <w:p w14:paraId="08951DFD">
      <w:pPr>
        <w:pStyle w:val="41"/>
        <w:widowControl w:val="0"/>
        <w:autoSpaceDE w:val="0"/>
        <w:autoSpaceDN w:val="0"/>
        <w:spacing w:before="0" w:beforeAutospacing="0" w:after="0" w:afterAutospacing="0" w:line="360" w:lineRule="auto"/>
        <w:ind w:left="-105" w:right="-105" w:firstLine="480" w:firstLineChars="200"/>
        <w:jc w:val="both"/>
        <w:rPr>
          <w:rFonts w:ascii="Times New Roman" w:hAnsi="Times New Roman"/>
          <w:color w:val="auto"/>
          <w:highlight w:val="none"/>
        </w:rPr>
      </w:pPr>
      <w:r>
        <w:rPr>
          <w:rFonts w:hint="eastAsia" w:ascii="Times New Roman" w:hAnsi="Times New Roman"/>
          <w:color w:val="auto"/>
          <w:highlight w:val="none"/>
        </w:rPr>
        <w:t>各废气收集、处理、排放流程图见</w:t>
      </w:r>
      <w:r>
        <w:rPr>
          <w:rFonts w:ascii="Times New Roman" w:hAnsi="Times New Roman"/>
          <w:color w:val="auto"/>
          <w:highlight w:val="none"/>
        </w:rPr>
        <w:fldChar w:fldCharType="begin"/>
      </w:r>
      <w:r>
        <w:rPr>
          <w:rFonts w:ascii="Times New Roman" w:hAnsi="Times New Roman"/>
          <w:color w:val="auto"/>
          <w:highlight w:val="none"/>
        </w:rPr>
        <w:instrText xml:space="preserve"> </w:instrText>
      </w:r>
      <w:r>
        <w:rPr>
          <w:rFonts w:hint="eastAsia" w:ascii="Times New Roman" w:hAnsi="Times New Roman"/>
          <w:color w:val="auto"/>
          <w:highlight w:val="none"/>
        </w:rPr>
        <w:instrText xml:space="preserve">REF _Ref61874789 \h</w:instrText>
      </w:r>
      <w:r>
        <w:rPr>
          <w:rFonts w:ascii="Times New Roman" w:hAnsi="Times New Roman"/>
          <w:color w:val="auto"/>
          <w:highlight w:val="none"/>
        </w:rPr>
        <w:instrText xml:space="preserve">  \* MERGEFORMAT </w:instrText>
      </w:r>
      <w:r>
        <w:rPr>
          <w:rFonts w:ascii="Times New Roman" w:hAnsi="Times New Roman"/>
          <w:color w:val="auto"/>
          <w:highlight w:val="none"/>
        </w:rPr>
        <w:fldChar w:fldCharType="separate"/>
      </w:r>
      <w:r>
        <w:rPr>
          <w:rFonts w:ascii="Times New Roman" w:hAnsi="Times New Roman"/>
          <w:color w:val="auto"/>
          <w:szCs w:val="18"/>
          <w:highlight w:val="none"/>
        </w:rPr>
        <w:t>图7.1</w:t>
      </w:r>
      <w:r>
        <w:rPr>
          <w:rFonts w:ascii="Times New Roman" w:hAnsi="Times New Roman"/>
          <w:color w:val="auto"/>
          <w:szCs w:val="18"/>
          <w:highlight w:val="none"/>
        </w:rPr>
        <w:noBreakHyphen/>
      </w:r>
      <w:r>
        <w:rPr>
          <w:rFonts w:ascii="Times New Roman" w:hAnsi="Times New Roman"/>
          <w:color w:val="auto"/>
          <w:szCs w:val="18"/>
          <w:highlight w:val="none"/>
        </w:rPr>
        <w:t>1</w:t>
      </w:r>
      <w:r>
        <w:rPr>
          <w:rFonts w:hint="eastAsia"/>
          <w:color w:val="auto"/>
          <w:szCs w:val="18"/>
          <w:highlight w:val="none"/>
        </w:rPr>
        <w:t>。</w:t>
      </w:r>
      <w:r>
        <w:rPr>
          <w:rFonts w:ascii="Times New Roman" w:hAnsi="Times New Roman"/>
          <w:color w:val="auto"/>
          <w:highlight w:val="none"/>
        </w:rPr>
        <w:fldChar w:fldCharType="end"/>
      </w:r>
    </w:p>
    <w:p w14:paraId="79A5C561">
      <w:pPr>
        <w:pStyle w:val="41"/>
        <w:widowControl w:val="0"/>
        <w:autoSpaceDE w:val="0"/>
        <w:autoSpaceDN w:val="0"/>
        <w:spacing w:before="0" w:beforeAutospacing="0" w:after="0" w:afterAutospacing="0" w:line="360" w:lineRule="auto"/>
        <w:ind w:left="-105" w:right="-105"/>
        <w:jc w:val="center"/>
        <w:rPr>
          <w:rFonts w:ascii="Times New Roman" w:hAnsi="Times New Roman"/>
          <w:color w:val="auto"/>
          <w:highlight w:val="none"/>
        </w:rPr>
      </w:pPr>
      <w:r>
        <w:rPr>
          <w:rFonts w:ascii="Times New Roman" w:hAnsi="Times New Roman"/>
          <w:color w:val="auto"/>
          <w:highlight w:val="none"/>
        </w:rPr>
        <w:object>
          <v:shape id="_x0000_i1039" o:spt="75" type="#_x0000_t75" style="height:126.1pt;width:425pt;" o:ole="t" filled="f" o:preferrelative="t" stroked="f" coordsize="21600,21600">
            <v:path/>
            <v:fill on="f" focussize="0,0"/>
            <v:stroke on="f"/>
            <v:imagedata r:id="rId58" o:title=""/>
            <o:lock v:ext="edit" aspectratio="f"/>
            <w10:wrap type="none"/>
            <w10:anchorlock/>
          </v:shape>
          <o:OLEObject Type="Embed" ProgID="Visio.Drawing.15" ShapeID="_x0000_i1039" DrawAspect="Content" ObjectID="_1468075730" r:id="rId57">
            <o:LockedField>false</o:LockedField>
          </o:OLEObject>
        </w:object>
      </w:r>
    </w:p>
    <w:p w14:paraId="164B1891">
      <w:pPr>
        <w:pStyle w:val="15"/>
        <w:spacing w:before="120" w:beforeLines="50"/>
        <w:ind w:left="-105" w:right="-105" w:firstLine="482"/>
        <w:rPr>
          <w:rFonts w:eastAsia="宋体" w:cs="Times New Roman"/>
          <w:color w:val="auto"/>
          <w:sz w:val="24"/>
          <w:szCs w:val="18"/>
          <w:highlight w:val="none"/>
        </w:rPr>
      </w:pPr>
      <w:bookmarkStart w:id="443" w:name="_Ref61874789"/>
      <w:r>
        <w:rPr>
          <w:rFonts w:eastAsia="宋体" w:cs="Times New Roman"/>
          <w:color w:val="auto"/>
          <w:sz w:val="24"/>
          <w:szCs w:val="18"/>
          <w:highlight w:val="none"/>
        </w:rPr>
        <w:t>图</w:t>
      </w:r>
      <w:r>
        <w:rPr>
          <w:rFonts w:eastAsia="宋体" w:cs="Times New Roman"/>
          <w:color w:val="auto"/>
          <w:sz w:val="24"/>
          <w:szCs w:val="18"/>
          <w:highlight w:val="none"/>
        </w:rPr>
        <w:fldChar w:fldCharType="begin"/>
      </w:r>
      <w:r>
        <w:rPr>
          <w:rFonts w:eastAsia="宋体" w:cs="Times New Roman"/>
          <w:color w:val="auto"/>
          <w:sz w:val="24"/>
          <w:szCs w:val="18"/>
          <w:highlight w:val="none"/>
        </w:rPr>
        <w:instrText xml:space="preserve"> STYLEREF 2 \s </w:instrText>
      </w:r>
      <w:r>
        <w:rPr>
          <w:rFonts w:eastAsia="宋体" w:cs="Times New Roman"/>
          <w:color w:val="auto"/>
          <w:sz w:val="24"/>
          <w:szCs w:val="18"/>
          <w:highlight w:val="none"/>
        </w:rPr>
        <w:fldChar w:fldCharType="separate"/>
      </w:r>
      <w:r>
        <w:rPr>
          <w:rFonts w:eastAsia="宋体" w:cs="Times New Roman"/>
          <w:color w:val="auto"/>
          <w:sz w:val="24"/>
          <w:szCs w:val="18"/>
          <w:highlight w:val="none"/>
        </w:rPr>
        <w:t>7.1</w:t>
      </w:r>
      <w:r>
        <w:rPr>
          <w:rFonts w:eastAsia="宋体" w:cs="Times New Roman"/>
          <w:color w:val="auto"/>
          <w:sz w:val="24"/>
          <w:szCs w:val="18"/>
          <w:highlight w:val="none"/>
        </w:rPr>
        <w:fldChar w:fldCharType="end"/>
      </w:r>
      <w:r>
        <w:rPr>
          <w:rFonts w:eastAsia="宋体" w:cs="Times New Roman"/>
          <w:color w:val="auto"/>
          <w:sz w:val="24"/>
          <w:szCs w:val="18"/>
          <w:highlight w:val="none"/>
        </w:rPr>
        <w:noBreakHyphen/>
      </w:r>
      <w:r>
        <w:rPr>
          <w:rFonts w:eastAsia="宋体" w:cs="Times New Roman"/>
          <w:color w:val="auto"/>
          <w:sz w:val="24"/>
          <w:szCs w:val="18"/>
          <w:highlight w:val="none"/>
        </w:rPr>
        <w:fldChar w:fldCharType="begin"/>
      </w:r>
      <w:r>
        <w:rPr>
          <w:rFonts w:eastAsia="宋体" w:cs="Times New Roman"/>
          <w:color w:val="auto"/>
          <w:sz w:val="24"/>
          <w:szCs w:val="18"/>
          <w:highlight w:val="none"/>
        </w:rPr>
        <w:instrText xml:space="preserve"> SEQ 图 \* ARABIC \s 2 </w:instrText>
      </w:r>
      <w:r>
        <w:rPr>
          <w:rFonts w:eastAsia="宋体" w:cs="Times New Roman"/>
          <w:color w:val="auto"/>
          <w:sz w:val="24"/>
          <w:szCs w:val="18"/>
          <w:highlight w:val="none"/>
        </w:rPr>
        <w:fldChar w:fldCharType="separate"/>
      </w:r>
      <w:r>
        <w:rPr>
          <w:rFonts w:eastAsia="宋体" w:cs="Times New Roman"/>
          <w:color w:val="auto"/>
          <w:sz w:val="24"/>
          <w:szCs w:val="18"/>
          <w:highlight w:val="none"/>
        </w:rPr>
        <w:t>1</w:t>
      </w:r>
      <w:r>
        <w:rPr>
          <w:rFonts w:eastAsia="宋体" w:cs="Times New Roman"/>
          <w:color w:val="auto"/>
          <w:sz w:val="24"/>
          <w:szCs w:val="18"/>
          <w:highlight w:val="none"/>
        </w:rPr>
        <w:fldChar w:fldCharType="end"/>
      </w:r>
      <w:r>
        <w:rPr>
          <w:rFonts w:hint="eastAsia" w:eastAsia="宋体" w:cs="Times New Roman"/>
          <w:color w:val="auto"/>
          <w:sz w:val="24"/>
          <w:szCs w:val="18"/>
          <w:highlight w:val="none"/>
        </w:rPr>
        <w:t>废气处理工艺流程图</w:t>
      </w:r>
      <w:bookmarkEnd w:id="443"/>
    </w:p>
    <w:p w14:paraId="563B40BA">
      <w:pPr>
        <w:pStyle w:val="5"/>
        <w:keepLines w:val="0"/>
        <w:numPr>
          <w:ilvl w:val="2"/>
          <w:numId w:val="0"/>
        </w:numPr>
        <w:tabs>
          <w:tab w:val="left" w:pos="567"/>
          <w:tab w:val="left" w:pos="709"/>
          <w:tab w:val="left" w:pos="993"/>
          <w:tab w:val="left" w:pos="6663"/>
        </w:tabs>
        <w:spacing w:before="120" w:beforeLines="50" w:after="0" w:line="360" w:lineRule="auto"/>
        <w:ind w:right="-105"/>
        <w:rPr>
          <w:rFonts w:eastAsia="宋体"/>
          <w:color w:val="auto"/>
          <w:sz w:val="28"/>
          <w:szCs w:val="28"/>
          <w:highlight w:val="none"/>
        </w:rPr>
      </w:pPr>
      <w:bookmarkStart w:id="444" w:name="_Toc60653586"/>
      <w:r>
        <w:rPr>
          <w:rFonts w:hint="eastAsia" w:eastAsia="宋体"/>
          <w:color w:val="auto"/>
          <w:sz w:val="28"/>
          <w:szCs w:val="28"/>
          <w:highlight w:val="none"/>
        </w:rPr>
        <w:t>7.1.2</w:t>
      </w:r>
      <w:r>
        <w:rPr>
          <w:rFonts w:eastAsia="宋体"/>
          <w:color w:val="auto"/>
          <w:sz w:val="28"/>
          <w:szCs w:val="28"/>
          <w:highlight w:val="none"/>
        </w:rPr>
        <w:t>有组织废气防治措施及可行性分析</w:t>
      </w:r>
      <w:bookmarkEnd w:id="444"/>
    </w:p>
    <w:p w14:paraId="327D0799">
      <w:pPr>
        <w:pStyle w:val="41"/>
        <w:widowControl w:val="0"/>
        <w:autoSpaceDE w:val="0"/>
        <w:autoSpaceDN w:val="0"/>
        <w:spacing w:before="0" w:beforeAutospacing="0" w:after="0" w:afterAutospacing="0" w:line="360" w:lineRule="auto"/>
        <w:ind w:left="-105" w:right="-105" w:firstLine="482" w:firstLineChars="200"/>
        <w:jc w:val="both"/>
        <w:rPr>
          <w:rFonts w:ascii="Times New Roman" w:hAnsi="Times New Roman"/>
          <w:b/>
          <w:bCs/>
          <w:color w:val="auto"/>
          <w:szCs w:val="24"/>
          <w:highlight w:val="none"/>
          <w:lang w:bidi="ar"/>
        </w:rPr>
      </w:pPr>
      <w:r>
        <w:rPr>
          <w:rFonts w:hint="eastAsia" w:ascii="Times New Roman" w:hAnsi="Times New Roman"/>
          <w:b/>
          <w:bCs/>
          <w:color w:val="auto"/>
          <w:szCs w:val="24"/>
          <w:highlight w:val="none"/>
          <w:lang w:bidi="ar"/>
        </w:rPr>
        <w:t>（1）废气治理方案比选</w:t>
      </w:r>
    </w:p>
    <w:p w14:paraId="75EEA555">
      <w:pPr>
        <w:pStyle w:val="20"/>
        <w:spacing w:line="360" w:lineRule="auto"/>
        <w:ind w:left="-105" w:right="-105" w:firstLine="472" w:firstLineChars="200"/>
        <w:jc w:val="both"/>
        <w:rPr>
          <w:color w:val="auto"/>
          <w:sz w:val="24"/>
          <w:szCs w:val="24"/>
          <w:highlight w:val="none"/>
        </w:rPr>
      </w:pPr>
      <w:r>
        <w:rPr>
          <w:color w:val="auto"/>
          <w:spacing w:val="-2"/>
          <w:sz w:val="24"/>
          <w:szCs w:val="24"/>
          <w:highlight w:val="none"/>
        </w:rPr>
        <w:t>本项目</w:t>
      </w:r>
      <w:r>
        <w:rPr>
          <w:rFonts w:hint="eastAsia"/>
          <w:color w:val="auto"/>
          <w:spacing w:val="-2"/>
          <w:sz w:val="24"/>
          <w:szCs w:val="24"/>
          <w:highlight w:val="none"/>
          <w:lang w:val="en-US"/>
        </w:rPr>
        <w:t>生产线和实验室</w:t>
      </w:r>
      <w:r>
        <w:rPr>
          <w:color w:val="auto"/>
          <w:spacing w:val="-2"/>
          <w:sz w:val="24"/>
          <w:szCs w:val="24"/>
          <w:highlight w:val="none"/>
        </w:rPr>
        <w:t>均产生</w:t>
      </w:r>
      <w:r>
        <w:rPr>
          <w:rFonts w:ascii="Times New Roman" w:eastAsia="Times New Roman"/>
          <w:color w:val="auto"/>
          <w:sz w:val="24"/>
          <w:szCs w:val="24"/>
          <w:highlight w:val="none"/>
        </w:rPr>
        <w:t>VOCs</w:t>
      </w:r>
      <w:r>
        <w:rPr>
          <w:color w:val="auto"/>
          <w:sz w:val="24"/>
          <w:szCs w:val="24"/>
          <w:highlight w:val="none"/>
        </w:rPr>
        <w:t>废气（</w:t>
      </w:r>
      <w:r>
        <w:rPr>
          <w:color w:val="auto"/>
          <w:spacing w:val="-5"/>
          <w:sz w:val="24"/>
          <w:szCs w:val="24"/>
          <w:highlight w:val="none"/>
        </w:rPr>
        <w:t>含</w:t>
      </w:r>
      <w:r>
        <w:rPr>
          <w:rFonts w:hint="eastAsia"/>
          <w:color w:val="auto"/>
          <w:spacing w:val="-5"/>
          <w:sz w:val="24"/>
          <w:szCs w:val="24"/>
          <w:highlight w:val="none"/>
          <w:lang w:val="en-US"/>
        </w:rPr>
        <w:t>甲醇</w:t>
      </w:r>
      <w:r>
        <w:rPr>
          <w:color w:val="auto"/>
          <w:sz w:val="24"/>
          <w:szCs w:val="24"/>
          <w:highlight w:val="none"/>
        </w:rPr>
        <w:t>、非甲烷总烃等），</w:t>
      </w:r>
      <w:r>
        <w:rPr>
          <w:color w:val="auto"/>
          <w:spacing w:val="-11"/>
          <w:sz w:val="24"/>
          <w:szCs w:val="24"/>
          <w:highlight w:val="none"/>
        </w:rPr>
        <w:t>目前工业</w:t>
      </w:r>
      <w:r>
        <w:rPr>
          <w:rFonts w:ascii="Times New Roman" w:eastAsia="Times New Roman"/>
          <w:color w:val="auto"/>
          <w:sz w:val="24"/>
          <w:szCs w:val="24"/>
          <w:highlight w:val="none"/>
        </w:rPr>
        <w:t>VOCs</w:t>
      </w:r>
      <w:r>
        <w:rPr>
          <w:color w:val="auto"/>
          <w:spacing w:val="-1"/>
          <w:sz w:val="24"/>
          <w:szCs w:val="24"/>
          <w:highlight w:val="none"/>
        </w:rPr>
        <w:t>治理工艺主要有吸附法、冷凝法、</w:t>
      </w:r>
      <w:r>
        <w:rPr>
          <w:color w:val="auto"/>
          <w:sz w:val="24"/>
          <w:szCs w:val="24"/>
          <w:highlight w:val="none"/>
        </w:rPr>
        <w:t>蓄热式热氧化法、等离子光解净化法、催化燃烧法等，方案比选具体见下表。</w:t>
      </w:r>
    </w:p>
    <w:p w14:paraId="432F6E51">
      <w:pPr>
        <w:pStyle w:val="15"/>
        <w:ind w:left="-105" w:right="-105" w:firstLine="482"/>
        <w:rPr>
          <w:rFonts w:eastAsia="宋体" w:cs="Times New Roman"/>
          <w:color w:val="auto"/>
          <w:highlight w:val="none"/>
        </w:rPr>
      </w:pPr>
      <w:r>
        <w:rPr>
          <w:rFonts w:eastAsia="宋体" w:cs="Times New Roman"/>
          <w:color w:val="auto"/>
          <w:sz w:val="24"/>
          <w:szCs w:val="18"/>
          <w:highlight w:val="none"/>
        </w:rPr>
        <mc:AlternateContent>
          <mc:Choice Requires="wps">
            <w:drawing>
              <wp:anchor distT="0" distB="0" distL="114300" distR="114300" simplePos="0" relativeHeight="251667456" behindDoc="1" locked="0" layoutInCell="1" allowOverlap="1">
                <wp:simplePos x="0" y="0"/>
                <wp:positionH relativeFrom="page">
                  <wp:posOffset>953135</wp:posOffset>
                </wp:positionH>
                <wp:positionV relativeFrom="paragraph">
                  <wp:posOffset>214630</wp:posOffset>
                </wp:positionV>
                <wp:extent cx="593090" cy="297180"/>
                <wp:effectExtent l="10160" t="11430" r="6350" b="5715"/>
                <wp:wrapNone/>
                <wp:docPr id="32" name="直接连接符 32"/>
                <wp:cNvGraphicFramePr/>
                <a:graphic xmlns:a="http://schemas.openxmlformats.org/drawingml/2006/main">
                  <a:graphicData uri="http://schemas.microsoft.com/office/word/2010/wordprocessingShape">
                    <wps:wsp>
                      <wps:cNvCnPr>
                        <a:cxnSpLocks noChangeShapeType="1"/>
                      </wps:cNvCnPr>
                      <wps:spPr bwMode="auto">
                        <a:xfrm>
                          <a:off x="0" y="0"/>
                          <a:ext cx="593090" cy="297180"/>
                        </a:xfrm>
                        <a:prstGeom prst="line">
                          <a:avLst/>
                        </a:prstGeom>
                        <a:noFill/>
                        <a:ln w="6096">
                          <a:solidFill>
                            <a:srgbClr val="000000"/>
                          </a:solidFill>
                          <a:prstDash val="solid"/>
                          <a:round/>
                        </a:ln>
                      </wps:spPr>
                      <wps:bodyPr/>
                    </wps:wsp>
                  </a:graphicData>
                </a:graphic>
              </wp:anchor>
            </w:drawing>
          </mc:Choice>
          <mc:Fallback>
            <w:pict>
              <v:line id="_x0000_s1026" o:spid="_x0000_s1026" o:spt="20" style="position:absolute;left:0pt;margin-left:75.05pt;margin-top:16.9pt;height:23.4pt;width:46.7pt;mso-position-horizontal-relative:page;z-index:-251649024;mso-width-relative:page;mso-height-relative:page;" filled="f" stroked="t" coordsize="21600,21600" o:gfxdata="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E5yQMtgAAAAJAQAADwAAAAAAAAABACAAAAAiAAAAZHJzL2Rvd25yZXYueG1sUEsB&#10;AhQAFAAAAAgAh07iQM62YW71AQAAyQMAAA4AAAAAAAAAAQAgAAAAJwEAAGRycy9lMm9Eb2MueG1s&#10;UEsFBgAAAAAGAAYAWQEAAI4FAAAAAA==&#10;">
                <v:fill on="f" focussize="0,0"/>
                <v:stroke weight="0.48pt" color="#000000" joinstyle="round"/>
                <v:imagedata o:title=""/>
                <o:lock v:ext="edit" aspectratio="f"/>
              </v:line>
            </w:pict>
          </mc:Fallback>
        </mc:AlternateContent>
      </w:r>
      <w:r>
        <w:rPr>
          <w:rFonts w:eastAsia="宋体" w:cs="Times New Roman"/>
          <w:color w:val="auto"/>
          <w:sz w:val="24"/>
          <w:szCs w:val="18"/>
          <w:highlight w:val="none"/>
        </w:rPr>
        <w:t>表</w:t>
      </w:r>
      <w:r>
        <w:rPr>
          <w:rFonts w:eastAsia="宋体" w:cs="Times New Roman"/>
          <w:color w:val="auto"/>
          <w:sz w:val="24"/>
          <w:szCs w:val="18"/>
          <w:highlight w:val="none"/>
        </w:rPr>
        <w:fldChar w:fldCharType="begin"/>
      </w:r>
      <w:r>
        <w:rPr>
          <w:rFonts w:eastAsia="宋体" w:cs="Times New Roman"/>
          <w:color w:val="auto"/>
          <w:sz w:val="24"/>
          <w:szCs w:val="18"/>
          <w:highlight w:val="none"/>
        </w:rPr>
        <w:instrText xml:space="preserve"> STYLEREF 2 \s </w:instrText>
      </w:r>
      <w:r>
        <w:rPr>
          <w:rFonts w:eastAsia="宋体" w:cs="Times New Roman"/>
          <w:color w:val="auto"/>
          <w:sz w:val="24"/>
          <w:szCs w:val="18"/>
          <w:highlight w:val="none"/>
        </w:rPr>
        <w:fldChar w:fldCharType="separate"/>
      </w:r>
      <w:r>
        <w:rPr>
          <w:rFonts w:eastAsia="宋体" w:cs="Times New Roman"/>
          <w:color w:val="auto"/>
          <w:sz w:val="24"/>
          <w:szCs w:val="18"/>
          <w:highlight w:val="none"/>
        </w:rPr>
        <w:t>7.1</w:t>
      </w:r>
      <w:r>
        <w:rPr>
          <w:rFonts w:eastAsia="宋体" w:cs="Times New Roman"/>
          <w:color w:val="auto"/>
          <w:sz w:val="24"/>
          <w:szCs w:val="18"/>
          <w:highlight w:val="none"/>
        </w:rPr>
        <w:fldChar w:fldCharType="end"/>
      </w:r>
      <w:r>
        <w:rPr>
          <w:rFonts w:eastAsia="宋体" w:cs="Times New Roman"/>
          <w:color w:val="auto"/>
          <w:sz w:val="24"/>
          <w:szCs w:val="18"/>
          <w:highlight w:val="none"/>
        </w:rPr>
        <w:noBreakHyphen/>
      </w:r>
      <w:r>
        <w:rPr>
          <w:rFonts w:eastAsia="宋体" w:cs="Times New Roman"/>
          <w:color w:val="auto"/>
          <w:sz w:val="24"/>
          <w:szCs w:val="18"/>
          <w:highlight w:val="none"/>
        </w:rPr>
        <w:fldChar w:fldCharType="begin"/>
      </w:r>
      <w:r>
        <w:rPr>
          <w:rFonts w:eastAsia="宋体" w:cs="Times New Roman"/>
          <w:color w:val="auto"/>
          <w:sz w:val="24"/>
          <w:szCs w:val="18"/>
          <w:highlight w:val="none"/>
        </w:rPr>
        <w:instrText xml:space="preserve"> SEQ 表 \* ARABIC \s 2 </w:instrText>
      </w:r>
      <w:r>
        <w:rPr>
          <w:rFonts w:eastAsia="宋体" w:cs="Times New Roman"/>
          <w:color w:val="auto"/>
          <w:sz w:val="24"/>
          <w:szCs w:val="18"/>
          <w:highlight w:val="none"/>
        </w:rPr>
        <w:fldChar w:fldCharType="separate"/>
      </w:r>
      <w:r>
        <w:rPr>
          <w:rFonts w:eastAsia="宋体" w:cs="Times New Roman"/>
          <w:color w:val="auto"/>
          <w:sz w:val="24"/>
          <w:szCs w:val="18"/>
          <w:highlight w:val="none"/>
        </w:rPr>
        <w:t>1</w:t>
      </w:r>
      <w:r>
        <w:rPr>
          <w:rFonts w:eastAsia="宋体" w:cs="Times New Roman"/>
          <w:color w:val="auto"/>
          <w:sz w:val="24"/>
          <w:szCs w:val="18"/>
          <w:highlight w:val="none"/>
        </w:rPr>
        <w:fldChar w:fldCharType="end"/>
      </w:r>
      <w:r>
        <w:rPr>
          <w:rFonts w:eastAsia="宋体" w:cs="Times New Roman"/>
          <w:color w:val="auto"/>
          <w:sz w:val="24"/>
          <w:szCs w:val="18"/>
          <w:highlight w:val="none"/>
        </w:rPr>
        <w:t>VOCs废气处理多方案比选</w:t>
      </w:r>
    </w:p>
    <w:tbl>
      <w:tblPr>
        <w:tblStyle w:val="99"/>
        <w:tblW w:w="0" w:type="auto"/>
        <w:jc w:val="center"/>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0" w:type="dxa"/>
          <w:bottom w:w="0" w:type="dxa"/>
          <w:right w:w="0" w:type="dxa"/>
        </w:tblCellMar>
      </w:tblPr>
      <w:tblGrid>
        <w:gridCol w:w="953"/>
        <w:gridCol w:w="1200"/>
        <w:gridCol w:w="1433"/>
        <w:gridCol w:w="1075"/>
        <w:gridCol w:w="1440"/>
        <w:gridCol w:w="1480"/>
        <w:gridCol w:w="1506"/>
      </w:tblGrid>
      <w:tr w14:paraId="15BAB174">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467" w:hRule="atLeast"/>
          <w:jc w:val="center"/>
        </w:trPr>
        <w:tc>
          <w:tcPr>
            <w:tcW w:w="953" w:type="dxa"/>
            <w:vAlign w:val="center"/>
          </w:tcPr>
          <w:p w14:paraId="5EEBF4AD">
            <w:pPr>
              <w:pStyle w:val="98"/>
              <w:keepNext w:val="0"/>
              <w:keepLines w:val="0"/>
              <w:pageBreakBefore w:val="0"/>
              <w:widowControl w:val="0"/>
              <w:kinsoku/>
              <w:wordWrap/>
              <w:overflowPunct/>
              <w:topLinePunct w:val="0"/>
              <w:autoSpaceDE w:val="0"/>
              <w:autoSpaceDN w:val="0"/>
              <w:bidi w:val="0"/>
              <w:adjustRightInd/>
              <w:snapToGrid/>
              <w:ind w:left="0" w:right="0"/>
              <w:textAlignment w:val="auto"/>
              <w:rPr>
                <w:rFonts w:ascii="宋体" w:hAnsi="宋体" w:eastAsia="宋体"/>
                <w:b/>
                <w:color w:val="auto"/>
                <w:sz w:val="21"/>
                <w:szCs w:val="21"/>
                <w:highlight w:val="none"/>
                <w:lang w:eastAsia="en-US"/>
              </w:rPr>
            </w:pPr>
            <w:r>
              <w:rPr>
                <w:rFonts w:hint="eastAsia" w:ascii="宋体" w:hAnsi="宋体" w:eastAsia="宋体"/>
                <w:b/>
                <w:color w:val="auto"/>
                <w:sz w:val="21"/>
                <w:szCs w:val="21"/>
                <w:highlight w:val="none"/>
                <w:lang w:eastAsia="en-US"/>
              </w:rPr>
              <w:t>工艺</w:t>
            </w:r>
          </w:p>
          <w:p w14:paraId="14A51B9E">
            <w:pPr>
              <w:pStyle w:val="98"/>
              <w:keepNext w:val="0"/>
              <w:keepLines w:val="0"/>
              <w:pageBreakBefore w:val="0"/>
              <w:widowControl w:val="0"/>
              <w:kinsoku/>
              <w:wordWrap/>
              <w:overflowPunct/>
              <w:topLinePunct w:val="0"/>
              <w:autoSpaceDE w:val="0"/>
              <w:autoSpaceDN w:val="0"/>
              <w:bidi w:val="0"/>
              <w:adjustRightInd/>
              <w:snapToGrid/>
              <w:ind w:left="0" w:right="0"/>
              <w:jc w:val="left"/>
              <w:textAlignment w:val="auto"/>
              <w:rPr>
                <w:rFonts w:ascii="宋体" w:hAnsi="宋体" w:eastAsia="宋体"/>
                <w:b/>
                <w:color w:val="auto"/>
                <w:sz w:val="21"/>
                <w:szCs w:val="21"/>
                <w:highlight w:val="none"/>
                <w:lang w:eastAsia="en-US"/>
              </w:rPr>
            </w:pPr>
            <w:r>
              <w:rPr>
                <w:rFonts w:hint="eastAsia" w:ascii="宋体" w:hAnsi="宋体" w:eastAsia="宋体"/>
                <w:b/>
                <w:color w:val="auto"/>
                <w:sz w:val="21"/>
                <w:szCs w:val="21"/>
                <w:highlight w:val="none"/>
                <w:lang w:eastAsia="en-US"/>
              </w:rPr>
              <w:t>项目</w:t>
            </w:r>
          </w:p>
        </w:tc>
        <w:tc>
          <w:tcPr>
            <w:tcW w:w="1200" w:type="dxa"/>
            <w:vAlign w:val="center"/>
          </w:tcPr>
          <w:p w14:paraId="63718297">
            <w:pPr>
              <w:pStyle w:val="98"/>
              <w:keepNext w:val="0"/>
              <w:keepLines w:val="0"/>
              <w:pageBreakBefore w:val="0"/>
              <w:widowControl w:val="0"/>
              <w:kinsoku/>
              <w:wordWrap/>
              <w:overflowPunct/>
              <w:topLinePunct w:val="0"/>
              <w:autoSpaceDE w:val="0"/>
              <w:autoSpaceDN w:val="0"/>
              <w:bidi w:val="0"/>
              <w:adjustRightInd/>
              <w:snapToGrid/>
              <w:ind w:left="0" w:right="0"/>
              <w:textAlignment w:val="auto"/>
              <w:rPr>
                <w:rFonts w:ascii="宋体" w:hAnsi="宋体" w:eastAsia="宋体"/>
                <w:b/>
                <w:color w:val="auto"/>
                <w:sz w:val="21"/>
                <w:szCs w:val="21"/>
                <w:highlight w:val="none"/>
                <w:lang w:eastAsia="en-US"/>
              </w:rPr>
            </w:pPr>
            <w:r>
              <w:rPr>
                <w:rFonts w:hint="eastAsia" w:ascii="宋体" w:hAnsi="宋体" w:eastAsia="宋体"/>
                <w:b/>
                <w:color w:val="auto"/>
                <w:sz w:val="21"/>
                <w:szCs w:val="21"/>
                <w:highlight w:val="none"/>
                <w:lang w:eastAsia="en-US"/>
              </w:rPr>
              <w:t>活性炭吸附</w:t>
            </w:r>
          </w:p>
          <w:p w14:paraId="7A4B176F">
            <w:pPr>
              <w:pStyle w:val="98"/>
              <w:keepNext w:val="0"/>
              <w:keepLines w:val="0"/>
              <w:pageBreakBefore w:val="0"/>
              <w:widowControl w:val="0"/>
              <w:kinsoku/>
              <w:wordWrap/>
              <w:overflowPunct/>
              <w:topLinePunct w:val="0"/>
              <w:autoSpaceDE w:val="0"/>
              <w:autoSpaceDN w:val="0"/>
              <w:bidi w:val="0"/>
              <w:adjustRightInd/>
              <w:snapToGrid/>
              <w:ind w:left="0" w:right="0"/>
              <w:textAlignment w:val="auto"/>
              <w:rPr>
                <w:rFonts w:ascii="宋体" w:hAnsi="宋体" w:eastAsia="宋体"/>
                <w:b/>
                <w:color w:val="auto"/>
                <w:sz w:val="21"/>
                <w:szCs w:val="21"/>
                <w:highlight w:val="none"/>
                <w:lang w:eastAsia="en-US"/>
              </w:rPr>
            </w:pPr>
            <w:r>
              <w:rPr>
                <w:rFonts w:hint="eastAsia" w:ascii="宋体" w:hAnsi="宋体" w:eastAsia="宋体"/>
                <w:b/>
                <w:color w:val="auto"/>
                <w:w w:val="99"/>
                <w:sz w:val="21"/>
                <w:szCs w:val="21"/>
                <w:highlight w:val="none"/>
                <w:lang w:eastAsia="en-US"/>
              </w:rPr>
              <w:t>法</w:t>
            </w:r>
          </w:p>
        </w:tc>
        <w:tc>
          <w:tcPr>
            <w:tcW w:w="1433" w:type="dxa"/>
            <w:vAlign w:val="center"/>
          </w:tcPr>
          <w:p w14:paraId="07C6A52F">
            <w:pPr>
              <w:pStyle w:val="98"/>
              <w:keepNext w:val="0"/>
              <w:keepLines w:val="0"/>
              <w:pageBreakBefore w:val="0"/>
              <w:widowControl w:val="0"/>
              <w:kinsoku/>
              <w:wordWrap/>
              <w:overflowPunct/>
              <w:topLinePunct w:val="0"/>
              <w:autoSpaceDE w:val="0"/>
              <w:autoSpaceDN w:val="0"/>
              <w:bidi w:val="0"/>
              <w:adjustRightInd/>
              <w:snapToGrid/>
              <w:ind w:left="0" w:right="0"/>
              <w:textAlignment w:val="auto"/>
              <w:rPr>
                <w:rFonts w:ascii="宋体" w:hAnsi="宋体" w:eastAsia="宋体"/>
                <w:b/>
                <w:color w:val="auto"/>
                <w:sz w:val="21"/>
                <w:szCs w:val="21"/>
                <w:highlight w:val="none"/>
                <w:lang w:eastAsia="en-US"/>
              </w:rPr>
            </w:pPr>
            <w:r>
              <w:rPr>
                <w:rFonts w:hint="eastAsia" w:ascii="宋体" w:hAnsi="宋体" w:eastAsia="宋体"/>
                <w:b/>
                <w:color w:val="auto"/>
                <w:sz w:val="21"/>
                <w:szCs w:val="21"/>
                <w:highlight w:val="none"/>
                <w:lang w:eastAsia="en-US"/>
              </w:rPr>
              <w:t>冷凝法</w:t>
            </w:r>
          </w:p>
        </w:tc>
        <w:tc>
          <w:tcPr>
            <w:tcW w:w="1075" w:type="dxa"/>
            <w:vAlign w:val="center"/>
          </w:tcPr>
          <w:p w14:paraId="1837828F">
            <w:pPr>
              <w:pStyle w:val="98"/>
              <w:keepNext w:val="0"/>
              <w:keepLines w:val="0"/>
              <w:pageBreakBefore w:val="0"/>
              <w:widowControl w:val="0"/>
              <w:kinsoku/>
              <w:wordWrap/>
              <w:overflowPunct/>
              <w:topLinePunct w:val="0"/>
              <w:autoSpaceDE w:val="0"/>
              <w:autoSpaceDN w:val="0"/>
              <w:bidi w:val="0"/>
              <w:adjustRightInd/>
              <w:snapToGrid/>
              <w:ind w:left="0" w:right="0"/>
              <w:textAlignment w:val="auto"/>
              <w:rPr>
                <w:rFonts w:ascii="宋体" w:hAnsi="宋体" w:eastAsia="宋体"/>
                <w:b/>
                <w:color w:val="auto"/>
                <w:sz w:val="21"/>
                <w:szCs w:val="21"/>
                <w:highlight w:val="none"/>
                <w:lang w:eastAsia="en-US"/>
              </w:rPr>
            </w:pPr>
            <w:r>
              <w:rPr>
                <w:rFonts w:hint="eastAsia" w:ascii="宋体" w:hAnsi="宋体" w:eastAsia="宋体"/>
                <w:b/>
                <w:color w:val="auto"/>
                <w:sz w:val="21"/>
                <w:szCs w:val="21"/>
                <w:highlight w:val="none"/>
                <w:lang w:eastAsia="en-US"/>
              </w:rPr>
              <w:t>催化燃烧</w:t>
            </w:r>
            <w:r>
              <w:rPr>
                <w:rFonts w:hint="eastAsia" w:ascii="宋体" w:hAnsi="宋体" w:eastAsia="宋体"/>
                <w:b/>
                <w:color w:val="auto"/>
                <w:w w:val="99"/>
                <w:sz w:val="21"/>
                <w:szCs w:val="21"/>
                <w:highlight w:val="none"/>
                <w:lang w:eastAsia="en-US"/>
              </w:rPr>
              <w:t>法</w:t>
            </w:r>
          </w:p>
        </w:tc>
        <w:tc>
          <w:tcPr>
            <w:tcW w:w="1440" w:type="dxa"/>
            <w:vAlign w:val="center"/>
          </w:tcPr>
          <w:p w14:paraId="6D32518C">
            <w:pPr>
              <w:pStyle w:val="98"/>
              <w:keepNext w:val="0"/>
              <w:keepLines w:val="0"/>
              <w:pageBreakBefore w:val="0"/>
              <w:widowControl w:val="0"/>
              <w:kinsoku/>
              <w:wordWrap/>
              <w:overflowPunct/>
              <w:topLinePunct w:val="0"/>
              <w:autoSpaceDE w:val="0"/>
              <w:autoSpaceDN w:val="0"/>
              <w:bidi w:val="0"/>
              <w:adjustRightInd/>
              <w:snapToGrid/>
              <w:ind w:left="0" w:right="0"/>
              <w:textAlignment w:val="auto"/>
              <w:rPr>
                <w:rFonts w:ascii="宋体" w:hAnsi="宋体" w:eastAsia="宋体"/>
                <w:b/>
                <w:color w:val="auto"/>
                <w:sz w:val="21"/>
                <w:szCs w:val="21"/>
                <w:highlight w:val="none"/>
                <w:lang w:eastAsia="en-US"/>
              </w:rPr>
            </w:pPr>
            <w:r>
              <w:rPr>
                <w:rFonts w:hint="eastAsia" w:ascii="宋体" w:hAnsi="宋体" w:eastAsia="宋体"/>
                <w:b/>
                <w:color w:val="auto"/>
                <w:sz w:val="21"/>
                <w:szCs w:val="21"/>
                <w:highlight w:val="none"/>
                <w:lang w:eastAsia="en-US"/>
              </w:rPr>
              <w:t>直接燃烧法</w:t>
            </w:r>
          </w:p>
        </w:tc>
        <w:tc>
          <w:tcPr>
            <w:tcW w:w="1480" w:type="dxa"/>
            <w:vAlign w:val="center"/>
          </w:tcPr>
          <w:p w14:paraId="3173FA23">
            <w:pPr>
              <w:pStyle w:val="98"/>
              <w:keepNext w:val="0"/>
              <w:keepLines w:val="0"/>
              <w:pageBreakBefore w:val="0"/>
              <w:widowControl w:val="0"/>
              <w:kinsoku/>
              <w:wordWrap/>
              <w:overflowPunct/>
              <w:topLinePunct w:val="0"/>
              <w:autoSpaceDE w:val="0"/>
              <w:autoSpaceDN w:val="0"/>
              <w:bidi w:val="0"/>
              <w:adjustRightInd/>
              <w:snapToGrid/>
              <w:ind w:left="0" w:right="0"/>
              <w:textAlignment w:val="auto"/>
              <w:rPr>
                <w:rFonts w:ascii="宋体" w:hAnsi="宋体" w:eastAsia="宋体"/>
                <w:b/>
                <w:color w:val="auto"/>
                <w:sz w:val="21"/>
                <w:szCs w:val="21"/>
                <w:highlight w:val="none"/>
                <w:lang w:eastAsia="en-US"/>
              </w:rPr>
            </w:pPr>
            <w:r>
              <w:rPr>
                <w:rFonts w:hint="eastAsia" w:ascii="宋体" w:hAnsi="宋体" w:eastAsia="宋体"/>
                <w:b/>
                <w:color w:val="auto"/>
                <w:sz w:val="21"/>
                <w:szCs w:val="21"/>
                <w:highlight w:val="none"/>
                <w:lang w:eastAsia="en-US"/>
              </w:rPr>
              <w:t>光氧催化净化</w:t>
            </w:r>
            <w:r>
              <w:rPr>
                <w:rFonts w:hint="eastAsia" w:ascii="宋体" w:hAnsi="宋体" w:eastAsia="宋体"/>
                <w:b/>
                <w:color w:val="auto"/>
                <w:w w:val="99"/>
                <w:sz w:val="21"/>
                <w:szCs w:val="21"/>
                <w:highlight w:val="none"/>
                <w:lang w:eastAsia="en-US"/>
              </w:rPr>
              <w:t>法</w:t>
            </w:r>
          </w:p>
        </w:tc>
        <w:tc>
          <w:tcPr>
            <w:tcW w:w="1506" w:type="dxa"/>
            <w:vAlign w:val="center"/>
          </w:tcPr>
          <w:p w14:paraId="73C16F1F">
            <w:pPr>
              <w:pStyle w:val="98"/>
              <w:keepNext w:val="0"/>
              <w:keepLines w:val="0"/>
              <w:pageBreakBefore w:val="0"/>
              <w:widowControl w:val="0"/>
              <w:kinsoku/>
              <w:wordWrap/>
              <w:overflowPunct/>
              <w:topLinePunct w:val="0"/>
              <w:autoSpaceDE w:val="0"/>
              <w:autoSpaceDN w:val="0"/>
              <w:bidi w:val="0"/>
              <w:adjustRightInd/>
              <w:snapToGrid/>
              <w:ind w:left="0" w:right="0"/>
              <w:textAlignment w:val="auto"/>
              <w:rPr>
                <w:rFonts w:ascii="宋体" w:hAnsi="宋体" w:eastAsia="宋体"/>
                <w:b/>
                <w:color w:val="auto"/>
                <w:sz w:val="21"/>
                <w:szCs w:val="21"/>
                <w:highlight w:val="none"/>
                <w:lang w:eastAsia="en-US"/>
              </w:rPr>
            </w:pPr>
            <w:r>
              <w:rPr>
                <w:rFonts w:hint="eastAsia" w:ascii="宋体" w:hAnsi="宋体" w:eastAsia="宋体"/>
                <w:b/>
                <w:color w:val="auto"/>
                <w:sz w:val="21"/>
                <w:szCs w:val="21"/>
                <w:highlight w:val="none"/>
                <w:lang w:eastAsia="en-US"/>
              </w:rPr>
              <w:t>等离子光解净化</w:t>
            </w:r>
          </w:p>
          <w:p w14:paraId="535B1753">
            <w:pPr>
              <w:pStyle w:val="98"/>
              <w:keepNext w:val="0"/>
              <w:keepLines w:val="0"/>
              <w:pageBreakBefore w:val="0"/>
              <w:widowControl w:val="0"/>
              <w:kinsoku/>
              <w:wordWrap/>
              <w:overflowPunct/>
              <w:topLinePunct w:val="0"/>
              <w:autoSpaceDE w:val="0"/>
              <w:autoSpaceDN w:val="0"/>
              <w:bidi w:val="0"/>
              <w:adjustRightInd/>
              <w:snapToGrid/>
              <w:ind w:left="0" w:right="0"/>
              <w:textAlignment w:val="auto"/>
              <w:rPr>
                <w:rFonts w:ascii="宋体" w:hAnsi="宋体" w:eastAsia="宋体"/>
                <w:b/>
                <w:color w:val="auto"/>
                <w:sz w:val="21"/>
                <w:szCs w:val="21"/>
                <w:highlight w:val="none"/>
                <w:lang w:eastAsia="en-US"/>
              </w:rPr>
            </w:pPr>
            <w:r>
              <w:rPr>
                <w:rFonts w:hint="eastAsia" w:ascii="宋体" w:hAnsi="宋体" w:eastAsia="宋体"/>
                <w:b/>
                <w:color w:val="auto"/>
                <w:w w:val="99"/>
                <w:sz w:val="21"/>
                <w:szCs w:val="21"/>
                <w:highlight w:val="none"/>
                <w:lang w:eastAsia="en-US"/>
              </w:rPr>
              <w:t>法</w:t>
            </w:r>
          </w:p>
        </w:tc>
      </w:tr>
      <w:tr w14:paraId="7F3AB44D">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699" w:hRule="atLeast"/>
          <w:jc w:val="center"/>
        </w:trPr>
        <w:tc>
          <w:tcPr>
            <w:tcW w:w="953" w:type="dxa"/>
            <w:vAlign w:val="center"/>
          </w:tcPr>
          <w:p w14:paraId="383914BE">
            <w:pPr>
              <w:pStyle w:val="98"/>
              <w:keepNext w:val="0"/>
              <w:keepLines w:val="0"/>
              <w:pageBreakBefore w:val="0"/>
              <w:widowControl w:val="0"/>
              <w:kinsoku/>
              <w:wordWrap/>
              <w:overflowPunct/>
              <w:topLinePunct w:val="0"/>
              <w:autoSpaceDE w:val="0"/>
              <w:autoSpaceDN w:val="0"/>
              <w:bidi w:val="0"/>
              <w:adjustRightInd/>
              <w:snapToGrid/>
              <w:ind w:left="0" w:right="0"/>
              <w:textAlignment w:val="auto"/>
              <w:rPr>
                <w:rFonts w:ascii="宋体" w:hAnsi="宋体" w:eastAsia="宋体"/>
                <w:color w:val="auto"/>
                <w:sz w:val="21"/>
                <w:szCs w:val="21"/>
                <w:highlight w:val="none"/>
                <w:lang w:eastAsia="en-US"/>
              </w:rPr>
            </w:pPr>
            <w:r>
              <w:rPr>
                <w:rFonts w:hint="eastAsia" w:ascii="宋体" w:hAnsi="宋体" w:eastAsia="宋体"/>
                <w:color w:val="auto"/>
                <w:sz w:val="21"/>
                <w:szCs w:val="21"/>
                <w:highlight w:val="none"/>
                <w:lang w:eastAsia="en-US"/>
              </w:rPr>
              <w:t>使用范围</w:t>
            </w:r>
          </w:p>
        </w:tc>
        <w:tc>
          <w:tcPr>
            <w:tcW w:w="1200" w:type="dxa"/>
            <w:vAlign w:val="center"/>
          </w:tcPr>
          <w:p w14:paraId="19A7DA44">
            <w:pPr>
              <w:pStyle w:val="98"/>
              <w:keepNext w:val="0"/>
              <w:keepLines w:val="0"/>
              <w:pageBreakBefore w:val="0"/>
              <w:widowControl w:val="0"/>
              <w:kinsoku/>
              <w:wordWrap/>
              <w:overflowPunct/>
              <w:topLinePunct w:val="0"/>
              <w:autoSpaceDE w:val="0"/>
              <w:autoSpaceDN w:val="0"/>
              <w:bidi w:val="0"/>
              <w:adjustRightInd/>
              <w:snapToGrid/>
              <w:ind w:left="0" w:right="0"/>
              <w:textAlignment w:val="auto"/>
              <w:rPr>
                <w:rFonts w:ascii="宋体" w:hAnsi="宋体" w:eastAsia="宋体"/>
                <w:color w:val="auto"/>
                <w:sz w:val="21"/>
                <w:szCs w:val="21"/>
                <w:highlight w:val="none"/>
                <w:lang w:eastAsia="en-US"/>
              </w:rPr>
            </w:pPr>
            <w:r>
              <w:rPr>
                <w:rFonts w:hint="eastAsia" w:ascii="宋体" w:hAnsi="宋体" w:eastAsia="宋体"/>
                <w:color w:val="auto"/>
                <w:sz w:val="21"/>
                <w:szCs w:val="21"/>
                <w:highlight w:val="none"/>
                <w:lang w:eastAsia="en-US"/>
              </w:rPr>
              <w:t>中低浓度、大风量有机废气</w:t>
            </w:r>
          </w:p>
        </w:tc>
        <w:tc>
          <w:tcPr>
            <w:tcW w:w="1433" w:type="dxa"/>
            <w:vAlign w:val="center"/>
          </w:tcPr>
          <w:p w14:paraId="2425063C">
            <w:pPr>
              <w:pStyle w:val="98"/>
              <w:keepNext w:val="0"/>
              <w:keepLines w:val="0"/>
              <w:pageBreakBefore w:val="0"/>
              <w:widowControl w:val="0"/>
              <w:kinsoku/>
              <w:wordWrap/>
              <w:overflowPunct/>
              <w:topLinePunct w:val="0"/>
              <w:autoSpaceDE w:val="0"/>
              <w:autoSpaceDN w:val="0"/>
              <w:bidi w:val="0"/>
              <w:adjustRightInd/>
              <w:snapToGrid/>
              <w:ind w:left="0" w:right="0"/>
              <w:textAlignment w:val="auto"/>
              <w:rPr>
                <w:rFonts w:ascii="宋体" w:hAnsi="宋体" w:eastAsia="宋体"/>
                <w:color w:val="auto"/>
                <w:sz w:val="21"/>
                <w:szCs w:val="21"/>
                <w:highlight w:val="none"/>
                <w:lang w:eastAsia="en-US"/>
              </w:rPr>
            </w:pPr>
            <w:r>
              <w:rPr>
                <w:rFonts w:hint="eastAsia" w:ascii="宋体" w:hAnsi="宋体" w:eastAsia="宋体"/>
                <w:color w:val="auto"/>
                <w:sz w:val="21"/>
                <w:szCs w:val="21"/>
                <w:highlight w:val="none"/>
                <w:lang w:eastAsia="en-US"/>
              </w:rPr>
              <w:t>适用于成分种类少、高浓度有机废气处理</w:t>
            </w:r>
          </w:p>
        </w:tc>
        <w:tc>
          <w:tcPr>
            <w:tcW w:w="1075" w:type="dxa"/>
            <w:vAlign w:val="center"/>
          </w:tcPr>
          <w:p w14:paraId="183C553E">
            <w:pPr>
              <w:pStyle w:val="98"/>
              <w:keepNext w:val="0"/>
              <w:keepLines w:val="0"/>
              <w:pageBreakBefore w:val="0"/>
              <w:widowControl w:val="0"/>
              <w:kinsoku/>
              <w:wordWrap/>
              <w:overflowPunct/>
              <w:topLinePunct w:val="0"/>
              <w:autoSpaceDE w:val="0"/>
              <w:autoSpaceDN w:val="0"/>
              <w:bidi w:val="0"/>
              <w:adjustRightInd/>
              <w:snapToGrid/>
              <w:ind w:left="0" w:right="0"/>
              <w:textAlignment w:val="auto"/>
              <w:rPr>
                <w:rFonts w:ascii="宋体" w:hAnsi="宋体" w:eastAsia="宋体"/>
                <w:color w:val="auto"/>
                <w:sz w:val="21"/>
                <w:szCs w:val="21"/>
                <w:highlight w:val="none"/>
                <w:lang w:eastAsia="en-US"/>
              </w:rPr>
            </w:pPr>
            <w:r>
              <w:rPr>
                <w:rFonts w:hint="eastAsia" w:ascii="宋体" w:hAnsi="宋体" w:eastAsia="宋体"/>
                <w:color w:val="auto"/>
                <w:spacing w:val="-13"/>
                <w:sz w:val="21"/>
                <w:szCs w:val="21"/>
                <w:highlight w:val="none"/>
                <w:lang w:eastAsia="en-US"/>
              </w:rPr>
              <w:t>高浓度、小</w:t>
            </w:r>
            <w:r>
              <w:rPr>
                <w:rFonts w:hint="eastAsia" w:ascii="宋体" w:hAnsi="宋体" w:eastAsia="宋体"/>
                <w:color w:val="auto"/>
                <w:sz w:val="21"/>
                <w:szCs w:val="21"/>
                <w:highlight w:val="none"/>
                <w:lang w:eastAsia="en-US"/>
              </w:rPr>
              <w:t>风量有机废气处理</w:t>
            </w:r>
          </w:p>
        </w:tc>
        <w:tc>
          <w:tcPr>
            <w:tcW w:w="1440" w:type="dxa"/>
            <w:vAlign w:val="center"/>
          </w:tcPr>
          <w:p w14:paraId="2EF5329C">
            <w:pPr>
              <w:pStyle w:val="98"/>
              <w:keepNext w:val="0"/>
              <w:keepLines w:val="0"/>
              <w:pageBreakBefore w:val="0"/>
              <w:widowControl w:val="0"/>
              <w:kinsoku/>
              <w:wordWrap/>
              <w:overflowPunct/>
              <w:topLinePunct w:val="0"/>
              <w:autoSpaceDE w:val="0"/>
              <w:autoSpaceDN w:val="0"/>
              <w:bidi w:val="0"/>
              <w:adjustRightInd/>
              <w:snapToGrid/>
              <w:ind w:left="0" w:right="0"/>
              <w:textAlignment w:val="auto"/>
              <w:rPr>
                <w:rFonts w:ascii="宋体" w:hAnsi="宋体" w:eastAsia="宋体"/>
                <w:color w:val="auto"/>
                <w:sz w:val="21"/>
                <w:szCs w:val="21"/>
                <w:highlight w:val="none"/>
                <w:lang w:eastAsia="en-US"/>
              </w:rPr>
            </w:pPr>
            <w:r>
              <w:rPr>
                <w:rFonts w:hint="eastAsia" w:ascii="宋体" w:hAnsi="宋体" w:eastAsia="宋体"/>
                <w:color w:val="auto"/>
                <w:sz w:val="21"/>
                <w:szCs w:val="21"/>
                <w:highlight w:val="none"/>
                <w:lang w:eastAsia="en-US"/>
              </w:rPr>
              <w:t>高浓度、小风量有机废气处理</w:t>
            </w:r>
          </w:p>
        </w:tc>
        <w:tc>
          <w:tcPr>
            <w:tcW w:w="1480" w:type="dxa"/>
            <w:vAlign w:val="center"/>
          </w:tcPr>
          <w:p w14:paraId="77364159">
            <w:pPr>
              <w:pStyle w:val="98"/>
              <w:keepNext w:val="0"/>
              <w:keepLines w:val="0"/>
              <w:pageBreakBefore w:val="0"/>
              <w:widowControl w:val="0"/>
              <w:kinsoku/>
              <w:wordWrap/>
              <w:overflowPunct/>
              <w:topLinePunct w:val="0"/>
              <w:autoSpaceDE w:val="0"/>
              <w:autoSpaceDN w:val="0"/>
              <w:bidi w:val="0"/>
              <w:adjustRightInd/>
              <w:snapToGrid/>
              <w:ind w:left="0" w:right="0"/>
              <w:textAlignment w:val="auto"/>
              <w:rPr>
                <w:rFonts w:ascii="宋体" w:hAnsi="宋体" w:eastAsia="宋体"/>
                <w:color w:val="auto"/>
                <w:sz w:val="21"/>
                <w:szCs w:val="21"/>
                <w:highlight w:val="none"/>
                <w:lang w:eastAsia="en-US"/>
              </w:rPr>
            </w:pPr>
            <w:r>
              <w:rPr>
                <w:rFonts w:hint="eastAsia" w:ascii="宋体" w:hAnsi="宋体" w:eastAsia="宋体"/>
                <w:color w:val="auto"/>
                <w:sz w:val="21"/>
                <w:szCs w:val="21"/>
                <w:highlight w:val="none"/>
                <w:lang w:eastAsia="en-US"/>
              </w:rPr>
              <w:t>能处理多种中高浓度混合气体</w:t>
            </w:r>
          </w:p>
        </w:tc>
        <w:tc>
          <w:tcPr>
            <w:tcW w:w="1506" w:type="dxa"/>
            <w:vAlign w:val="center"/>
          </w:tcPr>
          <w:p w14:paraId="65CDD952">
            <w:pPr>
              <w:pStyle w:val="98"/>
              <w:keepNext w:val="0"/>
              <w:keepLines w:val="0"/>
              <w:pageBreakBefore w:val="0"/>
              <w:widowControl w:val="0"/>
              <w:kinsoku/>
              <w:wordWrap/>
              <w:overflowPunct/>
              <w:topLinePunct w:val="0"/>
              <w:autoSpaceDE w:val="0"/>
              <w:autoSpaceDN w:val="0"/>
              <w:bidi w:val="0"/>
              <w:adjustRightInd/>
              <w:snapToGrid/>
              <w:ind w:left="0" w:right="0"/>
              <w:textAlignment w:val="auto"/>
              <w:rPr>
                <w:rFonts w:ascii="宋体" w:hAnsi="宋体" w:eastAsia="宋体"/>
                <w:color w:val="auto"/>
                <w:sz w:val="21"/>
                <w:szCs w:val="21"/>
                <w:highlight w:val="none"/>
                <w:lang w:eastAsia="en-US"/>
              </w:rPr>
            </w:pPr>
            <w:r>
              <w:rPr>
                <w:rFonts w:hint="eastAsia" w:ascii="宋体" w:hAnsi="宋体" w:eastAsia="宋体"/>
                <w:color w:val="auto"/>
                <w:sz w:val="21"/>
                <w:szCs w:val="21"/>
                <w:highlight w:val="none"/>
                <w:lang w:eastAsia="en-US"/>
              </w:rPr>
              <w:t>含有氧化基的低浓度异味气体</w:t>
            </w:r>
          </w:p>
        </w:tc>
      </w:tr>
      <w:tr w14:paraId="7C19F4B0">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4201" w:hRule="atLeast"/>
          <w:jc w:val="center"/>
        </w:trPr>
        <w:tc>
          <w:tcPr>
            <w:tcW w:w="953" w:type="dxa"/>
            <w:vAlign w:val="center"/>
          </w:tcPr>
          <w:p w14:paraId="2303CB7D">
            <w:pPr>
              <w:pStyle w:val="98"/>
              <w:keepNext w:val="0"/>
              <w:keepLines w:val="0"/>
              <w:pageBreakBefore w:val="0"/>
              <w:widowControl w:val="0"/>
              <w:kinsoku/>
              <w:wordWrap/>
              <w:overflowPunct/>
              <w:topLinePunct w:val="0"/>
              <w:autoSpaceDE w:val="0"/>
              <w:autoSpaceDN w:val="0"/>
              <w:bidi w:val="0"/>
              <w:adjustRightInd/>
              <w:snapToGrid/>
              <w:ind w:left="0" w:right="0"/>
              <w:textAlignment w:val="auto"/>
              <w:rPr>
                <w:rFonts w:ascii="宋体" w:hAnsi="宋体" w:eastAsia="宋体"/>
                <w:color w:val="auto"/>
                <w:sz w:val="21"/>
                <w:szCs w:val="21"/>
                <w:highlight w:val="none"/>
                <w:lang w:eastAsia="en-US"/>
              </w:rPr>
            </w:pPr>
            <w:r>
              <w:rPr>
                <w:rFonts w:hint="eastAsia" w:ascii="宋体" w:hAnsi="宋体" w:eastAsia="宋体"/>
                <w:color w:val="auto"/>
                <w:sz w:val="21"/>
                <w:szCs w:val="21"/>
                <w:highlight w:val="none"/>
                <w:lang w:eastAsia="en-US"/>
              </w:rPr>
              <w:t>净化原理</w:t>
            </w:r>
          </w:p>
        </w:tc>
        <w:tc>
          <w:tcPr>
            <w:tcW w:w="1200" w:type="dxa"/>
            <w:vAlign w:val="center"/>
          </w:tcPr>
          <w:p w14:paraId="10C1A87E">
            <w:pPr>
              <w:pStyle w:val="98"/>
              <w:keepNext w:val="0"/>
              <w:keepLines w:val="0"/>
              <w:pageBreakBefore w:val="0"/>
              <w:widowControl w:val="0"/>
              <w:kinsoku/>
              <w:wordWrap/>
              <w:overflowPunct/>
              <w:topLinePunct w:val="0"/>
              <w:autoSpaceDE w:val="0"/>
              <w:autoSpaceDN w:val="0"/>
              <w:bidi w:val="0"/>
              <w:adjustRightInd/>
              <w:snapToGrid/>
              <w:ind w:left="0" w:right="0"/>
              <w:textAlignment w:val="auto"/>
              <w:rPr>
                <w:rFonts w:ascii="宋体" w:hAnsi="宋体" w:eastAsia="宋体"/>
                <w:color w:val="auto"/>
                <w:sz w:val="21"/>
                <w:szCs w:val="21"/>
                <w:highlight w:val="none"/>
                <w:lang w:eastAsia="en-US"/>
              </w:rPr>
            </w:pPr>
            <w:r>
              <w:rPr>
                <w:rFonts w:hint="eastAsia" w:ascii="宋体" w:hAnsi="宋体" w:eastAsia="宋体"/>
                <w:color w:val="auto"/>
                <w:sz w:val="21"/>
                <w:szCs w:val="21"/>
                <w:highlight w:val="none"/>
                <w:lang w:eastAsia="en-US"/>
              </w:rPr>
              <w:t>利用多孔结构将气态污染物吸附于表面</w:t>
            </w:r>
          </w:p>
        </w:tc>
        <w:tc>
          <w:tcPr>
            <w:tcW w:w="1433" w:type="dxa"/>
            <w:vAlign w:val="center"/>
          </w:tcPr>
          <w:p w14:paraId="7D6F872D">
            <w:pPr>
              <w:pStyle w:val="98"/>
              <w:keepNext w:val="0"/>
              <w:keepLines w:val="0"/>
              <w:pageBreakBefore w:val="0"/>
              <w:widowControl w:val="0"/>
              <w:kinsoku/>
              <w:wordWrap/>
              <w:overflowPunct/>
              <w:topLinePunct w:val="0"/>
              <w:autoSpaceDE w:val="0"/>
              <w:autoSpaceDN w:val="0"/>
              <w:bidi w:val="0"/>
              <w:adjustRightInd/>
              <w:snapToGrid/>
              <w:ind w:left="0" w:right="0"/>
              <w:textAlignment w:val="auto"/>
              <w:rPr>
                <w:rFonts w:ascii="宋体" w:hAnsi="宋体" w:eastAsia="宋体"/>
                <w:color w:val="auto"/>
                <w:sz w:val="21"/>
                <w:szCs w:val="21"/>
                <w:highlight w:val="none"/>
                <w:lang w:eastAsia="en-US"/>
              </w:rPr>
            </w:pPr>
            <w:r>
              <w:rPr>
                <w:rFonts w:hint="eastAsia" w:ascii="宋体" w:hAnsi="宋体" w:eastAsia="宋体"/>
                <w:color w:val="auto"/>
                <w:sz w:val="21"/>
                <w:szCs w:val="21"/>
                <w:highlight w:val="none"/>
                <w:lang w:eastAsia="en-US"/>
              </w:rPr>
              <w:t>利用气体冷凝</w:t>
            </w:r>
            <w:r>
              <w:rPr>
                <w:rFonts w:hint="eastAsia" w:ascii="宋体" w:hAnsi="宋体" w:eastAsia="宋体"/>
                <w:color w:val="auto"/>
                <w:spacing w:val="-10"/>
                <w:sz w:val="21"/>
                <w:szCs w:val="21"/>
                <w:highlight w:val="none"/>
                <w:lang w:eastAsia="en-US"/>
              </w:rPr>
              <w:t>温度不通过，通</w:t>
            </w:r>
            <w:r>
              <w:rPr>
                <w:rFonts w:hint="eastAsia" w:ascii="宋体" w:hAnsi="宋体" w:eastAsia="宋体"/>
                <w:color w:val="auto"/>
                <w:sz w:val="21"/>
                <w:szCs w:val="21"/>
                <w:highlight w:val="none"/>
                <w:lang w:eastAsia="en-US"/>
              </w:rPr>
              <w:t>过降温或增压将气体液化</w:t>
            </w:r>
          </w:p>
        </w:tc>
        <w:tc>
          <w:tcPr>
            <w:tcW w:w="1075" w:type="dxa"/>
            <w:vAlign w:val="center"/>
          </w:tcPr>
          <w:p w14:paraId="1445C333">
            <w:pPr>
              <w:pStyle w:val="98"/>
              <w:keepNext w:val="0"/>
              <w:keepLines w:val="0"/>
              <w:pageBreakBefore w:val="0"/>
              <w:widowControl w:val="0"/>
              <w:kinsoku/>
              <w:wordWrap/>
              <w:overflowPunct/>
              <w:topLinePunct w:val="0"/>
              <w:autoSpaceDE w:val="0"/>
              <w:autoSpaceDN w:val="0"/>
              <w:bidi w:val="0"/>
              <w:adjustRightInd/>
              <w:snapToGrid/>
              <w:ind w:left="0" w:right="0"/>
              <w:textAlignment w:val="auto"/>
              <w:rPr>
                <w:rFonts w:ascii="宋体" w:hAnsi="宋体" w:eastAsia="宋体"/>
                <w:color w:val="auto"/>
                <w:sz w:val="21"/>
                <w:szCs w:val="21"/>
                <w:highlight w:val="none"/>
                <w:lang w:eastAsia="en-US"/>
              </w:rPr>
            </w:pPr>
            <w:r>
              <w:rPr>
                <w:rFonts w:hint="eastAsia" w:ascii="宋体" w:hAnsi="宋体" w:eastAsia="宋体"/>
                <w:color w:val="auto"/>
                <w:sz w:val="21"/>
                <w:szCs w:val="21"/>
                <w:highlight w:val="none"/>
                <w:lang w:eastAsia="en-US"/>
              </w:rPr>
              <w:t>催化燃烧反应</w:t>
            </w:r>
          </w:p>
        </w:tc>
        <w:tc>
          <w:tcPr>
            <w:tcW w:w="1440" w:type="dxa"/>
            <w:vAlign w:val="center"/>
          </w:tcPr>
          <w:p w14:paraId="3468D3B9">
            <w:pPr>
              <w:pStyle w:val="98"/>
              <w:keepNext w:val="0"/>
              <w:keepLines w:val="0"/>
              <w:pageBreakBefore w:val="0"/>
              <w:widowControl w:val="0"/>
              <w:kinsoku/>
              <w:wordWrap/>
              <w:overflowPunct/>
              <w:topLinePunct w:val="0"/>
              <w:autoSpaceDE w:val="0"/>
              <w:autoSpaceDN w:val="0"/>
              <w:bidi w:val="0"/>
              <w:adjustRightInd/>
              <w:snapToGrid/>
              <w:ind w:left="0" w:right="0"/>
              <w:textAlignment w:val="auto"/>
              <w:rPr>
                <w:rFonts w:ascii="宋体" w:hAnsi="宋体" w:eastAsia="宋体"/>
                <w:color w:val="auto"/>
                <w:sz w:val="21"/>
                <w:szCs w:val="21"/>
                <w:highlight w:val="none"/>
                <w:lang w:eastAsia="en-US"/>
              </w:rPr>
            </w:pPr>
            <w:r>
              <w:rPr>
                <w:rFonts w:hint="eastAsia" w:ascii="宋体" w:hAnsi="宋体" w:eastAsia="宋体"/>
                <w:color w:val="auto"/>
                <w:spacing w:val="-6"/>
                <w:sz w:val="21"/>
                <w:szCs w:val="21"/>
                <w:highlight w:val="none"/>
                <w:lang w:eastAsia="en-US"/>
              </w:rPr>
              <w:t>采用气、电、煤或可燃性物质通过极高温度</w:t>
            </w:r>
            <w:r>
              <w:rPr>
                <w:rFonts w:hint="eastAsia" w:ascii="宋体" w:hAnsi="宋体" w:eastAsia="宋体"/>
                <w:color w:val="auto"/>
                <w:spacing w:val="-8"/>
                <w:sz w:val="21"/>
                <w:szCs w:val="21"/>
                <w:highlight w:val="none"/>
                <w:lang w:eastAsia="en-US"/>
              </w:rPr>
              <w:t>进行直接燃烧，</w:t>
            </w:r>
            <w:r>
              <w:rPr>
                <w:rFonts w:hint="eastAsia" w:ascii="宋体" w:hAnsi="宋体" w:eastAsia="宋体"/>
                <w:color w:val="auto"/>
                <w:sz w:val="21"/>
                <w:szCs w:val="21"/>
                <w:highlight w:val="none"/>
                <w:lang w:eastAsia="en-US"/>
              </w:rPr>
              <w:t>将大分子污染物断裂成低分子无害物质</w:t>
            </w:r>
          </w:p>
        </w:tc>
        <w:tc>
          <w:tcPr>
            <w:tcW w:w="1480" w:type="dxa"/>
            <w:vAlign w:val="center"/>
          </w:tcPr>
          <w:p w14:paraId="582C04A9">
            <w:pPr>
              <w:pStyle w:val="98"/>
              <w:keepNext w:val="0"/>
              <w:keepLines w:val="0"/>
              <w:pageBreakBefore w:val="0"/>
              <w:widowControl w:val="0"/>
              <w:kinsoku/>
              <w:wordWrap/>
              <w:overflowPunct/>
              <w:topLinePunct w:val="0"/>
              <w:autoSpaceDE w:val="0"/>
              <w:autoSpaceDN w:val="0"/>
              <w:bidi w:val="0"/>
              <w:adjustRightInd/>
              <w:snapToGrid/>
              <w:ind w:left="0" w:right="0"/>
              <w:textAlignment w:val="auto"/>
              <w:rPr>
                <w:rFonts w:ascii="宋体" w:hAnsi="宋体" w:eastAsia="宋体"/>
                <w:color w:val="auto"/>
                <w:sz w:val="21"/>
                <w:szCs w:val="21"/>
                <w:highlight w:val="none"/>
                <w:lang w:eastAsia="en-US"/>
              </w:rPr>
            </w:pPr>
            <w:r>
              <w:rPr>
                <w:rFonts w:hint="eastAsia" w:ascii="宋体" w:hAnsi="宋体" w:eastAsia="宋体"/>
                <w:color w:val="auto"/>
                <w:spacing w:val="-3"/>
                <w:sz w:val="21"/>
                <w:szCs w:val="21"/>
                <w:highlight w:val="none"/>
                <w:lang w:eastAsia="en-US"/>
              </w:rPr>
              <w:t>通过光氧把废气分子从常态变为高速运动状态再</w:t>
            </w:r>
            <w:r>
              <w:rPr>
                <w:rFonts w:hint="eastAsia" w:ascii="宋体" w:hAnsi="宋体" w:eastAsia="宋体"/>
                <w:color w:val="auto"/>
                <w:sz w:val="21"/>
                <w:szCs w:val="21"/>
                <w:highlight w:val="none"/>
                <w:lang w:eastAsia="en-US"/>
              </w:rPr>
              <w:t>利用高能</w:t>
            </w:r>
            <w:r>
              <w:rPr>
                <w:rFonts w:ascii="宋体" w:hAnsi="宋体" w:eastAsia="宋体"/>
                <w:color w:val="auto"/>
                <w:sz w:val="21"/>
                <w:szCs w:val="21"/>
                <w:highlight w:val="none"/>
                <w:lang w:eastAsia="en-US"/>
              </w:rPr>
              <w:t>C</w:t>
            </w:r>
            <w:r>
              <w:rPr>
                <w:rFonts w:hint="eastAsia" w:ascii="宋体" w:hAnsi="宋体" w:eastAsia="宋体"/>
                <w:color w:val="auto"/>
                <w:sz w:val="21"/>
                <w:szCs w:val="21"/>
                <w:highlight w:val="none"/>
                <w:lang w:eastAsia="en-US"/>
              </w:rPr>
              <w:t>波段粉碎分子链结</w:t>
            </w:r>
            <w:r>
              <w:rPr>
                <w:rFonts w:hint="eastAsia" w:ascii="宋体" w:hAnsi="宋体" w:eastAsia="宋体"/>
                <w:color w:val="auto"/>
                <w:spacing w:val="-3"/>
                <w:sz w:val="21"/>
                <w:szCs w:val="21"/>
                <w:highlight w:val="none"/>
                <w:lang w:eastAsia="en-US"/>
              </w:rPr>
              <w:t>构，将恶臭物质分子链，改变物质结构，把有机化合物变成小分</w:t>
            </w:r>
          </w:p>
          <w:p w14:paraId="010AAA36">
            <w:pPr>
              <w:pStyle w:val="98"/>
              <w:keepNext w:val="0"/>
              <w:keepLines w:val="0"/>
              <w:pageBreakBefore w:val="0"/>
              <w:widowControl w:val="0"/>
              <w:kinsoku/>
              <w:wordWrap/>
              <w:overflowPunct/>
              <w:topLinePunct w:val="0"/>
              <w:autoSpaceDE w:val="0"/>
              <w:autoSpaceDN w:val="0"/>
              <w:bidi w:val="0"/>
              <w:adjustRightInd/>
              <w:snapToGrid/>
              <w:ind w:left="0" w:right="0"/>
              <w:textAlignment w:val="auto"/>
              <w:rPr>
                <w:rFonts w:ascii="宋体" w:hAnsi="宋体" w:eastAsia="宋体"/>
                <w:color w:val="auto"/>
                <w:sz w:val="21"/>
                <w:szCs w:val="21"/>
                <w:highlight w:val="none"/>
                <w:lang w:eastAsia="en-US"/>
              </w:rPr>
            </w:pPr>
            <w:r>
              <w:rPr>
                <w:rFonts w:hint="eastAsia" w:ascii="宋体" w:hAnsi="宋体" w:eastAsia="宋体"/>
                <w:color w:val="auto"/>
                <w:spacing w:val="-13"/>
                <w:sz w:val="21"/>
                <w:szCs w:val="21"/>
                <w:highlight w:val="none"/>
                <w:lang w:eastAsia="en-US"/>
              </w:rPr>
              <w:t>子、中子、原子，利用紫外线产生的</w:t>
            </w:r>
            <w:r>
              <w:rPr>
                <w:rFonts w:ascii="宋体" w:hAnsi="宋体" w:eastAsia="宋体"/>
                <w:color w:val="auto"/>
                <w:spacing w:val="-13"/>
                <w:sz w:val="21"/>
                <w:szCs w:val="21"/>
                <w:highlight w:val="none"/>
                <w:lang w:eastAsia="en-US"/>
              </w:rPr>
              <w:t>O</w:t>
            </w:r>
            <w:r>
              <w:rPr>
                <w:rFonts w:ascii="宋体" w:hAnsi="宋体" w:eastAsia="宋体"/>
                <w:color w:val="auto"/>
                <w:spacing w:val="-13"/>
                <w:sz w:val="21"/>
                <w:szCs w:val="21"/>
                <w:highlight w:val="none"/>
                <w:vertAlign w:val="subscript"/>
                <w:lang w:eastAsia="en-US"/>
              </w:rPr>
              <w:t>3</w:t>
            </w:r>
            <w:r>
              <w:rPr>
                <w:rFonts w:hint="eastAsia" w:ascii="宋体" w:hAnsi="宋体" w:eastAsia="宋体"/>
                <w:color w:val="auto"/>
                <w:sz w:val="21"/>
                <w:szCs w:val="21"/>
                <w:highlight w:val="none"/>
                <w:lang w:eastAsia="en-US"/>
              </w:rPr>
              <w:t>进行氧化，设备加装多种相对应的催化剂，将污染物质变成为低分子无害物质或水和二氧化碳等</w:t>
            </w:r>
          </w:p>
        </w:tc>
        <w:tc>
          <w:tcPr>
            <w:tcW w:w="1506" w:type="dxa"/>
            <w:vAlign w:val="center"/>
          </w:tcPr>
          <w:p w14:paraId="2587EF4C">
            <w:pPr>
              <w:pStyle w:val="98"/>
              <w:keepNext w:val="0"/>
              <w:keepLines w:val="0"/>
              <w:pageBreakBefore w:val="0"/>
              <w:widowControl w:val="0"/>
              <w:kinsoku/>
              <w:wordWrap/>
              <w:overflowPunct/>
              <w:topLinePunct w:val="0"/>
              <w:autoSpaceDE w:val="0"/>
              <w:autoSpaceDN w:val="0"/>
              <w:bidi w:val="0"/>
              <w:adjustRightInd/>
              <w:snapToGrid/>
              <w:ind w:left="0" w:right="0"/>
              <w:textAlignment w:val="auto"/>
              <w:rPr>
                <w:rFonts w:ascii="宋体" w:hAnsi="宋体" w:eastAsia="宋体"/>
                <w:color w:val="auto"/>
                <w:sz w:val="21"/>
                <w:szCs w:val="21"/>
                <w:highlight w:val="none"/>
                <w:lang w:eastAsia="en-US"/>
              </w:rPr>
            </w:pPr>
            <w:r>
              <w:rPr>
                <w:rFonts w:hint="eastAsia" w:ascii="宋体" w:hAnsi="宋体" w:eastAsia="宋体"/>
                <w:color w:val="auto"/>
                <w:sz w:val="21"/>
                <w:szCs w:val="21"/>
                <w:highlight w:val="none"/>
                <w:lang w:eastAsia="en-US"/>
              </w:rPr>
              <w:t>利用高压电极发射离子及电子，破坏恶臭分子结构的原理，轰击废气中恶臭分子，从而裂解恶臭分子，达到脱臭净化的目的</w:t>
            </w:r>
          </w:p>
        </w:tc>
      </w:tr>
      <w:tr w14:paraId="6844F175">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467" w:hRule="atLeast"/>
          <w:jc w:val="center"/>
        </w:trPr>
        <w:tc>
          <w:tcPr>
            <w:tcW w:w="953" w:type="dxa"/>
            <w:vAlign w:val="center"/>
          </w:tcPr>
          <w:p w14:paraId="18F3F1E4">
            <w:pPr>
              <w:pStyle w:val="98"/>
              <w:keepNext w:val="0"/>
              <w:keepLines w:val="0"/>
              <w:pageBreakBefore w:val="0"/>
              <w:widowControl w:val="0"/>
              <w:kinsoku/>
              <w:wordWrap/>
              <w:overflowPunct/>
              <w:topLinePunct w:val="0"/>
              <w:autoSpaceDE w:val="0"/>
              <w:autoSpaceDN w:val="0"/>
              <w:bidi w:val="0"/>
              <w:adjustRightInd/>
              <w:snapToGrid/>
              <w:ind w:left="0" w:right="0"/>
              <w:textAlignment w:val="auto"/>
              <w:rPr>
                <w:rFonts w:ascii="宋体" w:hAnsi="宋体" w:eastAsia="宋体"/>
                <w:color w:val="auto"/>
                <w:sz w:val="21"/>
                <w:szCs w:val="21"/>
                <w:highlight w:val="none"/>
                <w:lang w:eastAsia="en-US"/>
              </w:rPr>
            </w:pPr>
            <w:r>
              <w:rPr>
                <w:rFonts w:hint="eastAsia" w:ascii="宋体" w:hAnsi="宋体" w:eastAsia="宋体"/>
                <w:color w:val="auto"/>
                <w:sz w:val="21"/>
                <w:szCs w:val="21"/>
                <w:highlight w:val="none"/>
                <w:lang w:eastAsia="en-US"/>
              </w:rPr>
              <w:t>应用情况</w:t>
            </w:r>
          </w:p>
        </w:tc>
        <w:tc>
          <w:tcPr>
            <w:tcW w:w="1200" w:type="dxa"/>
            <w:vAlign w:val="center"/>
          </w:tcPr>
          <w:p w14:paraId="77C86603">
            <w:pPr>
              <w:pStyle w:val="98"/>
              <w:keepNext w:val="0"/>
              <w:keepLines w:val="0"/>
              <w:pageBreakBefore w:val="0"/>
              <w:widowControl w:val="0"/>
              <w:kinsoku/>
              <w:wordWrap/>
              <w:overflowPunct/>
              <w:topLinePunct w:val="0"/>
              <w:autoSpaceDE w:val="0"/>
              <w:autoSpaceDN w:val="0"/>
              <w:bidi w:val="0"/>
              <w:adjustRightInd/>
              <w:snapToGrid/>
              <w:ind w:left="0" w:right="0"/>
              <w:textAlignment w:val="auto"/>
              <w:rPr>
                <w:rFonts w:ascii="宋体" w:hAnsi="宋体" w:eastAsia="宋体"/>
                <w:color w:val="auto"/>
                <w:sz w:val="21"/>
                <w:szCs w:val="21"/>
                <w:highlight w:val="none"/>
                <w:lang w:eastAsia="en-US"/>
              </w:rPr>
            </w:pPr>
            <w:r>
              <w:rPr>
                <w:rFonts w:hint="eastAsia" w:ascii="宋体" w:hAnsi="宋体" w:eastAsia="宋体"/>
                <w:color w:val="auto"/>
                <w:sz w:val="21"/>
                <w:szCs w:val="21"/>
                <w:highlight w:val="none"/>
                <w:lang w:eastAsia="en-US"/>
              </w:rPr>
              <w:t>成熟工艺、应用广泛</w:t>
            </w:r>
          </w:p>
        </w:tc>
        <w:tc>
          <w:tcPr>
            <w:tcW w:w="1433" w:type="dxa"/>
            <w:vAlign w:val="center"/>
          </w:tcPr>
          <w:p w14:paraId="4FA280EF">
            <w:pPr>
              <w:pStyle w:val="98"/>
              <w:keepNext w:val="0"/>
              <w:keepLines w:val="0"/>
              <w:pageBreakBefore w:val="0"/>
              <w:widowControl w:val="0"/>
              <w:kinsoku/>
              <w:wordWrap/>
              <w:overflowPunct/>
              <w:topLinePunct w:val="0"/>
              <w:autoSpaceDE w:val="0"/>
              <w:autoSpaceDN w:val="0"/>
              <w:bidi w:val="0"/>
              <w:adjustRightInd/>
              <w:snapToGrid/>
              <w:ind w:left="0" w:right="0"/>
              <w:textAlignment w:val="auto"/>
              <w:rPr>
                <w:rFonts w:ascii="宋体" w:hAnsi="宋体" w:eastAsia="宋体"/>
                <w:color w:val="auto"/>
                <w:sz w:val="21"/>
                <w:szCs w:val="21"/>
                <w:highlight w:val="none"/>
                <w:lang w:eastAsia="en-US"/>
              </w:rPr>
            </w:pPr>
            <w:r>
              <w:rPr>
                <w:rFonts w:hint="eastAsia" w:ascii="宋体" w:hAnsi="宋体" w:eastAsia="宋体"/>
                <w:color w:val="auto"/>
                <w:sz w:val="21"/>
                <w:szCs w:val="21"/>
                <w:highlight w:val="none"/>
                <w:lang w:eastAsia="en-US"/>
              </w:rPr>
              <w:t>工艺成熟</w:t>
            </w:r>
          </w:p>
        </w:tc>
        <w:tc>
          <w:tcPr>
            <w:tcW w:w="1075" w:type="dxa"/>
            <w:vAlign w:val="center"/>
          </w:tcPr>
          <w:p w14:paraId="559BA2EF">
            <w:pPr>
              <w:pStyle w:val="98"/>
              <w:keepNext w:val="0"/>
              <w:keepLines w:val="0"/>
              <w:pageBreakBefore w:val="0"/>
              <w:widowControl w:val="0"/>
              <w:kinsoku/>
              <w:wordWrap/>
              <w:overflowPunct/>
              <w:topLinePunct w:val="0"/>
              <w:autoSpaceDE w:val="0"/>
              <w:autoSpaceDN w:val="0"/>
              <w:bidi w:val="0"/>
              <w:adjustRightInd/>
              <w:snapToGrid/>
              <w:ind w:left="0" w:right="0"/>
              <w:textAlignment w:val="auto"/>
              <w:rPr>
                <w:rFonts w:ascii="宋体" w:hAnsi="宋体" w:eastAsia="宋体"/>
                <w:color w:val="auto"/>
                <w:sz w:val="21"/>
                <w:szCs w:val="21"/>
                <w:highlight w:val="none"/>
                <w:lang w:eastAsia="en-US"/>
              </w:rPr>
            </w:pPr>
            <w:r>
              <w:rPr>
                <w:rFonts w:hint="eastAsia" w:ascii="宋体" w:hAnsi="宋体" w:eastAsia="宋体"/>
                <w:color w:val="auto"/>
                <w:sz w:val="21"/>
                <w:szCs w:val="21"/>
                <w:highlight w:val="none"/>
                <w:lang w:eastAsia="en-US"/>
              </w:rPr>
              <w:t>工艺成熟</w:t>
            </w:r>
          </w:p>
        </w:tc>
        <w:tc>
          <w:tcPr>
            <w:tcW w:w="1440" w:type="dxa"/>
            <w:vAlign w:val="center"/>
          </w:tcPr>
          <w:p w14:paraId="517AFAAD">
            <w:pPr>
              <w:pStyle w:val="98"/>
              <w:keepNext w:val="0"/>
              <w:keepLines w:val="0"/>
              <w:pageBreakBefore w:val="0"/>
              <w:widowControl w:val="0"/>
              <w:kinsoku/>
              <w:wordWrap/>
              <w:overflowPunct/>
              <w:topLinePunct w:val="0"/>
              <w:autoSpaceDE w:val="0"/>
              <w:autoSpaceDN w:val="0"/>
              <w:bidi w:val="0"/>
              <w:adjustRightInd/>
              <w:snapToGrid/>
              <w:ind w:left="0" w:right="0"/>
              <w:textAlignment w:val="auto"/>
              <w:rPr>
                <w:rFonts w:ascii="宋体" w:hAnsi="宋体" w:eastAsia="宋体"/>
                <w:color w:val="auto"/>
                <w:sz w:val="21"/>
                <w:szCs w:val="21"/>
                <w:highlight w:val="none"/>
                <w:lang w:eastAsia="en-US"/>
              </w:rPr>
            </w:pPr>
            <w:r>
              <w:rPr>
                <w:rFonts w:hint="eastAsia" w:ascii="宋体" w:hAnsi="宋体" w:eastAsia="宋体"/>
                <w:color w:val="auto"/>
                <w:sz w:val="21"/>
                <w:szCs w:val="21"/>
                <w:highlight w:val="none"/>
                <w:lang w:eastAsia="en-US"/>
              </w:rPr>
              <w:t>工艺成熟</w:t>
            </w:r>
          </w:p>
        </w:tc>
        <w:tc>
          <w:tcPr>
            <w:tcW w:w="1480" w:type="dxa"/>
            <w:vAlign w:val="center"/>
          </w:tcPr>
          <w:p w14:paraId="21A039AF">
            <w:pPr>
              <w:pStyle w:val="98"/>
              <w:keepNext w:val="0"/>
              <w:keepLines w:val="0"/>
              <w:pageBreakBefore w:val="0"/>
              <w:widowControl w:val="0"/>
              <w:kinsoku/>
              <w:wordWrap/>
              <w:overflowPunct/>
              <w:topLinePunct w:val="0"/>
              <w:autoSpaceDE w:val="0"/>
              <w:autoSpaceDN w:val="0"/>
              <w:bidi w:val="0"/>
              <w:adjustRightInd/>
              <w:snapToGrid/>
              <w:ind w:left="0" w:right="0"/>
              <w:textAlignment w:val="auto"/>
              <w:rPr>
                <w:rFonts w:ascii="宋体" w:hAnsi="宋体" w:eastAsia="宋体"/>
                <w:color w:val="auto"/>
                <w:sz w:val="21"/>
                <w:szCs w:val="21"/>
                <w:highlight w:val="none"/>
                <w:lang w:eastAsia="en-US"/>
              </w:rPr>
            </w:pPr>
            <w:r>
              <w:rPr>
                <w:rFonts w:hint="eastAsia" w:ascii="宋体" w:hAnsi="宋体" w:eastAsia="宋体"/>
                <w:color w:val="auto"/>
                <w:sz w:val="21"/>
                <w:szCs w:val="21"/>
                <w:highlight w:val="none"/>
                <w:lang w:eastAsia="en-US"/>
              </w:rPr>
              <w:t>工艺成熟</w:t>
            </w:r>
          </w:p>
        </w:tc>
        <w:tc>
          <w:tcPr>
            <w:tcW w:w="1506" w:type="dxa"/>
            <w:vAlign w:val="center"/>
          </w:tcPr>
          <w:p w14:paraId="7CF752D7">
            <w:pPr>
              <w:pStyle w:val="98"/>
              <w:keepNext w:val="0"/>
              <w:keepLines w:val="0"/>
              <w:pageBreakBefore w:val="0"/>
              <w:widowControl w:val="0"/>
              <w:kinsoku/>
              <w:wordWrap/>
              <w:overflowPunct/>
              <w:topLinePunct w:val="0"/>
              <w:autoSpaceDE w:val="0"/>
              <w:autoSpaceDN w:val="0"/>
              <w:bidi w:val="0"/>
              <w:adjustRightInd/>
              <w:snapToGrid/>
              <w:ind w:left="0" w:right="0"/>
              <w:textAlignment w:val="auto"/>
              <w:rPr>
                <w:rFonts w:ascii="宋体" w:hAnsi="宋体" w:eastAsia="宋体"/>
                <w:color w:val="auto"/>
                <w:sz w:val="21"/>
                <w:szCs w:val="21"/>
                <w:highlight w:val="none"/>
                <w:lang w:eastAsia="en-US"/>
              </w:rPr>
            </w:pPr>
            <w:r>
              <w:rPr>
                <w:rFonts w:hint="eastAsia" w:ascii="宋体" w:hAnsi="宋体" w:eastAsia="宋体"/>
                <w:color w:val="auto"/>
                <w:sz w:val="21"/>
                <w:szCs w:val="21"/>
                <w:highlight w:val="none"/>
                <w:lang w:eastAsia="en-US"/>
              </w:rPr>
              <w:t>工艺成熟</w:t>
            </w:r>
          </w:p>
        </w:tc>
      </w:tr>
      <w:tr w14:paraId="4AA98994">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700" w:hRule="atLeast"/>
          <w:jc w:val="center"/>
        </w:trPr>
        <w:tc>
          <w:tcPr>
            <w:tcW w:w="953" w:type="dxa"/>
            <w:vAlign w:val="center"/>
          </w:tcPr>
          <w:p w14:paraId="128E47E3">
            <w:pPr>
              <w:pStyle w:val="98"/>
              <w:keepNext w:val="0"/>
              <w:keepLines w:val="0"/>
              <w:pageBreakBefore w:val="0"/>
              <w:widowControl w:val="0"/>
              <w:kinsoku/>
              <w:wordWrap/>
              <w:overflowPunct/>
              <w:topLinePunct w:val="0"/>
              <w:autoSpaceDE w:val="0"/>
              <w:autoSpaceDN w:val="0"/>
              <w:bidi w:val="0"/>
              <w:adjustRightInd/>
              <w:snapToGrid/>
              <w:ind w:left="0" w:right="0"/>
              <w:textAlignment w:val="auto"/>
              <w:rPr>
                <w:rFonts w:ascii="宋体" w:hAnsi="宋体" w:eastAsia="宋体"/>
                <w:color w:val="auto"/>
                <w:sz w:val="21"/>
                <w:szCs w:val="21"/>
                <w:highlight w:val="none"/>
                <w:lang w:eastAsia="en-US"/>
              </w:rPr>
            </w:pPr>
            <w:r>
              <w:rPr>
                <w:rFonts w:hint="eastAsia" w:ascii="宋体" w:hAnsi="宋体" w:eastAsia="宋体"/>
                <w:color w:val="auto"/>
                <w:sz w:val="21"/>
                <w:szCs w:val="21"/>
                <w:highlight w:val="none"/>
                <w:lang w:eastAsia="en-US"/>
              </w:rPr>
              <w:t>合规情况</w:t>
            </w:r>
          </w:p>
        </w:tc>
        <w:tc>
          <w:tcPr>
            <w:tcW w:w="1200" w:type="dxa"/>
            <w:vAlign w:val="center"/>
          </w:tcPr>
          <w:p w14:paraId="3E9AA46B">
            <w:pPr>
              <w:pStyle w:val="98"/>
              <w:keepNext w:val="0"/>
              <w:keepLines w:val="0"/>
              <w:pageBreakBefore w:val="0"/>
              <w:widowControl w:val="0"/>
              <w:kinsoku/>
              <w:wordWrap/>
              <w:overflowPunct/>
              <w:topLinePunct w:val="0"/>
              <w:autoSpaceDE w:val="0"/>
              <w:autoSpaceDN w:val="0"/>
              <w:bidi w:val="0"/>
              <w:adjustRightInd/>
              <w:snapToGrid/>
              <w:ind w:left="0" w:right="0"/>
              <w:textAlignment w:val="auto"/>
              <w:rPr>
                <w:rFonts w:ascii="宋体" w:hAnsi="宋体" w:eastAsia="宋体"/>
                <w:color w:val="auto"/>
                <w:sz w:val="21"/>
                <w:szCs w:val="21"/>
                <w:highlight w:val="none"/>
                <w:lang w:eastAsia="en-US"/>
              </w:rPr>
            </w:pPr>
            <w:r>
              <w:rPr>
                <w:rFonts w:hint="eastAsia" w:ascii="宋体" w:hAnsi="宋体" w:eastAsia="宋体"/>
                <w:color w:val="auto"/>
                <w:sz w:val="21"/>
                <w:szCs w:val="21"/>
                <w:highlight w:val="none"/>
                <w:lang w:eastAsia="en-US"/>
              </w:rPr>
              <w:t>在技术规范推荐范围内</w:t>
            </w:r>
          </w:p>
        </w:tc>
        <w:tc>
          <w:tcPr>
            <w:tcW w:w="1433" w:type="dxa"/>
            <w:vAlign w:val="center"/>
          </w:tcPr>
          <w:p w14:paraId="2BFCCD87">
            <w:pPr>
              <w:pStyle w:val="98"/>
              <w:keepNext w:val="0"/>
              <w:keepLines w:val="0"/>
              <w:pageBreakBefore w:val="0"/>
              <w:widowControl w:val="0"/>
              <w:kinsoku/>
              <w:wordWrap/>
              <w:overflowPunct/>
              <w:topLinePunct w:val="0"/>
              <w:autoSpaceDE w:val="0"/>
              <w:autoSpaceDN w:val="0"/>
              <w:bidi w:val="0"/>
              <w:adjustRightInd/>
              <w:snapToGrid/>
              <w:ind w:left="0" w:right="0"/>
              <w:textAlignment w:val="auto"/>
              <w:rPr>
                <w:rFonts w:ascii="宋体" w:hAnsi="宋体" w:eastAsia="宋体"/>
                <w:color w:val="auto"/>
                <w:sz w:val="21"/>
                <w:szCs w:val="21"/>
                <w:highlight w:val="none"/>
                <w:lang w:eastAsia="en-US"/>
              </w:rPr>
            </w:pPr>
            <w:r>
              <w:rPr>
                <w:rFonts w:hint="eastAsia" w:ascii="宋体" w:hAnsi="宋体" w:eastAsia="宋体"/>
                <w:color w:val="auto"/>
                <w:sz w:val="21"/>
                <w:szCs w:val="21"/>
                <w:highlight w:val="none"/>
                <w:lang w:eastAsia="en-US"/>
              </w:rPr>
              <w:t>在技术规范推荐范围内</w:t>
            </w:r>
          </w:p>
        </w:tc>
        <w:tc>
          <w:tcPr>
            <w:tcW w:w="1075" w:type="dxa"/>
            <w:vAlign w:val="center"/>
          </w:tcPr>
          <w:p w14:paraId="51736DF4">
            <w:pPr>
              <w:pStyle w:val="98"/>
              <w:keepNext w:val="0"/>
              <w:keepLines w:val="0"/>
              <w:pageBreakBefore w:val="0"/>
              <w:widowControl w:val="0"/>
              <w:kinsoku/>
              <w:wordWrap/>
              <w:overflowPunct/>
              <w:topLinePunct w:val="0"/>
              <w:autoSpaceDE w:val="0"/>
              <w:autoSpaceDN w:val="0"/>
              <w:bidi w:val="0"/>
              <w:adjustRightInd/>
              <w:snapToGrid/>
              <w:ind w:left="0" w:right="0"/>
              <w:textAlignment w:val="auto"/>
              <w:rPr>
                <w:rFonts w:ascii="宋体" w:hAnsi="宋体" w:eastAsia="宋体"/>
                <w:color w:val="auto"/>
                <w:sz w:val="21"/>
                <w:szCs w:val="21"/>
                <w:highlight w:val="none"/>
                <w:lang w:eastAsia="en-US"/>
              </w:rPr>
            </w:pPr>
            <w:r>
              <w:rPr>
                <w:rFonts w:hint="eastAsia" w:ascii="宋体" w:hAnsi="宋体" w:eastAsia="宋体"/>
                <w:color w:val="auto"/>
                <w:sz w:val="21"/>
                <w:szCs w:val="21"/>
                <w:highlight w:val="none"/>
                <w:lang w:eastAsia="en-US"/>
              </w:rPr>
              <w:t>在技术规范推荐范围内</w:t>
            </w:r>
          </w:p>
        </w:tc>
        <w:tc>
          <w:tcPr>
            <w:tcW w:w="1440" w:type="dxa"/>
            <w:vAlign w:val="center"/>
          </w:tcPr>
          <w:p w14:paraId="3260A833">
            <w:pPr>
              <w:pStyle w:val="98"/>
              <w:keepNext w:val="0"/>
              <w:keepLines w:val="0"/>
              <w:pageBreakBefore w:val="0"/>
              <w:widowControl w:val="0"/>
              <w:kinsoku/>
              <w:wordWrap/>
              <w:overflowPunct/>
              <w:topLinePunct w:val="0"/>
              <w:autoSpaceDE w:val="0"/>
              <w:autoSpaceDN w:val="0"/>
              <w:bidi w:val="0"/>
              <w:adjustRightInd/>
              <w:snapToGrid/>
              <w:ind w:left="0" w:right="0"/>
              <w:textAlignment w:val="auto"/>
              <w:rPr>
                <w:rFonts w:ascii="宋体" w:hAnsi="宋体" w:eastAsia="宋体"/>
                <w:color w:val="auto"/>
                <w:sz w:val="21"/>
                <w:szCs w:val="21"/>
                <w:highlight w:val="none"/>
                <w:lang w:eastAsia="en-US"/>
              </w:rPr>
            </w:pPr>
            <w:r>
              <w:rPr>
                <w:rFonts w:hint="eastAsia" w:ascii="宋体" w:hAnsi="宋体" w:eastAsia="宋体"/>
                <w:color w:val="auto"/>
                <w:sz w:val="21"/>
                <w:szCs w:val="21"/>
                <w:highlight w:val="none"/>
                <w:lang w:eastAsia="en-US"/>
              </w:rPr>
              <w:t>在技术规范推荐范围内</w:t>
            </w:r>
          </w:p>
        </w:tc>
        <w:tc>
          <w:tcPr>
            <w:tcW w:w="1480" w:type="dxa"/>
            <w:vAlign w:val="center"/>
          </w:tcPr>
          <w:p w14:paraId="3B6C2B9A">
            <w:pPr>
              <w:pStyle w:val="98"/>
              <w:keepNext w:val="0"/>
              <w:keepLines w:val="0"/>
              <w:pageBreakBefore w:val="0"/>
              <w:widowControl w:val="0"/>
              <w:kinsoku/>
              <w:wordWrap/>
              <w:overflowPunct/>
              <w:topLinePunct w:val="0"/>
              <w:autoSpaceDE w:val="0"/>
              <w:autoSpaceDN w:val="0"/>
              <w:bidi w:val="0"/>
              <w:adjustRightInd/>
              <w:snapToGrid/>
              <w:ind w:left="0" w:right="0"/>
              <w:textAlignment w:val="auto"/>
              <w:rPr>
                <w:rFonts w:ascii="宋体" w:hAnsi="宋体" w:eastAsia="宋体"/>
                <w:color w:val="auto"/>
                <w:sz w:val="21"/>
                <w:szCs w:val="21"/>
                <w:highlight w:val="none"/>
                <w:lang w:eastAsia="en-US"/>
              </w:rPr>
            </w:pPr>
            <w:r>
              <w:rPr>
                <w:rFonts w:hint="eastAsia" w:ascii="宋体" w:hAnsi="宋体" w:eastAsia="宋体"/>
                <w:color w:val="auto"/>
                <w:sz w:val="21"/>
                <w:szCs w:val="21"/>
                <w:highlight w:val="none"/>
                <w:lang w:eastAsia="en-US"/>
              </w:rPr>
              <w:t>在技术规范推荐范围内</w:t>
            </w:r>
          </w:p>
        </w:tc>
        <w:tc>
          <w:tcPr>
            <w:tcW w:w="1506" w:type="dxa"/>
            <w:vAlign w:val="center"/>
          </w:tcPr>
          <w:p w14:paraId="275CE6C1">
            <w:pPr>
              <w:pStyle w:val="98"/>
              <w:keepNext w:val="0"/>
              <w:keepLines w:val="0"/>
              <w:pageBreakBefore w:val="0"/>
              <w:widowControl w:val="0"/>
              <w:kinsoku/>
              <w:wordWrap/>
              <w:overflowPunct/>
              <w:topLinePunct w:val="0"/>
              <w:autoSpaceDE w:val="0"/>
              <w:autoSpaceDN w:val="0"/>
              <w:bidi w:val="0"/>
              <w:adjustRightInd/>
              <w:snapToGrid/>
              <w:ind w:left="0" w:right="0"/>
              <w:textAlignment w:val="auto"/>
              <w:rPr>
                <w:rFonts w:ascii="宋体" w:hAnsi="宋体" w:eastAsia="宋体"/>
                <w:color w:val="auto"/>
                <w:sz w:val="21"/>
                <w:szCs w:val="21"/>
                <w:highlight w:val="none"/>
                <w:lang w:eastAsia="en-US"/>
              </w:rPr>
            </w:pPr>
            <w:r>
              <w:rPr>
                <w:rFonts w:hint="eastAsia" w:ascii="宋体" w:hAnsi="宋体" w:eastAsia="宋体"/>
                <w:color w:val="auto"/>
                <w:sz w:val="21"/>
                <w:szCs w:val="21"/>
                <w:highlight w:val="none"/>
                <w:lang w:eastAsia="en-US"/>
              </w:rPr>
              <w:t>在技术规范推荐范围内</w:t>
            </w:r>
          </w:p>
        </w:tc>
      </w:tr>
      <w:tr w14:paraId="0A28E083">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933" w:hRule="atLeast"/>
          <w:jc w:val="center"/>
        </w:trPr>
        <w:tc>
          <w:tcPr>
            <w:tcW w:w="953" w:type="dxa"/>
            <w:vAlign w:val="center"/>
          </w:tcPr>
          <w:p w14:paraId="4CDBFA5B">
            <w:pPr>
              <w:pStyle w:val="98"/>
              <w:keepNext w:val="0"/>
              <w:keepLines w:val="0"/>
              <w:pageBreakBefore w:val="0"/>
              <w:widowControl w:val="0"/>
              <w:kinsoku/>
              <w:wordWrap/>
              <w:overflowPunct/>
              <w:topLinePunct w:val="0"/>
              <w:autoSpaceDE w:val="0"/>
              <w:autoSpaceDN w:val="0"/>
              <w:bidi w:val="0"/>
              <w:adjustRightInd/>
              <w:snapToGrid/>
              <w:ind w:left="0" w:right="0"/>
              <w:textAlignment w:val="auto"/>
              <w:rPr>
                <w:rFonts w:ascii="宋体" w:hAnsi="宋体" w:eastAsia="宋体"/>
                <w:color w:val="auto"/>
                <w:sz w:val="21"/>
                <w:szCs w:val="21"/>
                <w:highlight w:val="none"/>
                <w:lang w:eastAsia="en-US"/>
              </w:rPr>
            </w:pPr>
            <w:r>
              <w:rPr>
                <w:rFonts w:hint="eastAsia" w:ascii="宋体" w:hAnsi="宋体" w:eastAsia="宋体"/>
                <w:color w:val="auto"/>
                <w:sz w:val="21"/>
                <w:szCs w:val="21"/>
                <w:highlight w:val="none"/>
                <w:lang w:eastAsia="en-US"/>
              </w:rPr>
              <w:t>特点</w:t>
            </w:r>
          </w:p>
        </w:tc>
        <w:tc>
          <w:tcPr>
            <w:tcW w:w="1200" w:type="dxa"/>
            <w:vAlign w:val="center"/>
          </w:tcPr>
          <w:p w14:paraId="3E773396">
            <w:pPr>
              <w:pStyle w:val="98"/>
              <w:keepNext w:val="0"/>
              <w:keepLines w:val="0"/>
              <w:pageBreakBefore w:val="0"/>
              <w:widowControl w:val="0"/>
              <w:kinsoku/>
              <w:wordWrap/>
              <w:overflowPunct/>
              <w:topLinePunct w:val="0"/>
              <w:autoSpaceDE w:val="0"/>
              <w:autoSpaceDN w:val="0"/>
              <w:bidi w:val="0"/>
              <w:adjustRightInd/>
              <w:snapToGrid/>
              <w:ind w:left="0" w:right="0"/>
              <w:textAlignment w:val="auto"/>
              <w:rPr>
                <w:rFonts w:ascii="宋体" w:hAnsi="宋体" w:eastAsia="宋体"/>
                <w:color w:val="auto"/>
                <w:sz w:val="21"/>
                <w:szCs w:val="21"/>
                <w:highlight w:val="none"/>
                <w:lang w:eastAsia="en-US"/>
              </w:rPr>
            </w:pPr>
            <w:r>
              <w:rPr>
                <w:rFonts w:hint="eastAsia" w:ascii="宋体" w:hAnsi="宋体" w:eastAsia="宋体"/>
                <w:color w:val="auto"/>
                <w:sz w:val="21"/>
                <w:szCs w:val="21"/>
                <w:highlight w:val="none"/>
                <w:lang w:eastAsia="en-US"/>
              </w:rPr>
              <w:t>处理效率</w:t>
            </w:r>
            <w:r>
              <w:rPr>
                <w:rFonts w:hint="eastAsia" w:ascii="宋体" w:hAnsi="宋体" w:eastAsia="宋体"/>
                <w:color w:val="auto"/>
                <w:spacing w:val="-4"/>
                <w:sz w:val="21"/>
                <w:szCs w:val="21"/>
                <w:highlight w:val="none"/>
                <w:lang w:eastAsia="en-US"/>
              </w:rPr>
              <w:t>高，运行稳</w:t>
            </w:r>
            <w:r>
              <w:rPr>
                <w:rFonts w:hint="eastAsia" w:ascii="宋体" w:hAnsi="宋体" w:eastAsia="宋体"/>
                <w:color w:val="auto"/>
                <w:sz w:val="21"/>
                <w:szCs w:val="21"/>
                <w:highlight w:val="none"/>
                <w:lang w:eastAsia="en-US"/>
              </w:rPr>
              <w:t>定</w:t>
            </w:r>
          </w:p>
        </w:tc>
        <w:tc>
          <w:tcPr>
            <w:tcW w:w="1433" w:type="dxa"/>
            <w:vAlign w:val="center"/>
          </w:tcPr>
          <w:p w14:paraId="3C796380">
            <w:pPr>
              <w:pStyle w:val="98"/>
              <w:keepNext w:val="0"/>
              <w:keepLines w:val="0"/>
              <w:pageBreakBefore w:val="0"/>
              <w:widowControl w:val="0"/>
              <w:kinsoku/>
              <w:wordWrap/>
              <w:overflowPunct/>
              <w:topLinePunct w:val="0"/>
              <w:autoSpaceDE w:val="0"/>
              <w:autoSpaceDN w:val="0"/>
              <w:bidi w:val="0"/>
              <w:adjustRightInd/>
              <w:snapToGrid/>
              <w:ind w:left="0" w:right="0"/>
              <w:textAlignment w:val="auto"/>
              <w:rPr>
                <w:rFonts w:ascii="宋体" w:hAnsi="宋体" w:eastAsia="宋体"/>
                <w:color w:val="auto"/>
                <w:sz w:val="21"/>
                <w:szCs w:val="21"/>
                <w:highlight w:val="none"/>
                <w:lang w:eastAsia="en-US"/>
              </w:rPr>
            </w:pPr>
            <w:r>
              <w:rPr>
                <w:rFonts w:hint="eastAsia" w:ascii="宋体" w:hAnsi="宋体" w:eastAsia="宋体"/>
                <w:color w:val="auto"/>
                <w:sz w:val="21"/>
                <w:szCs w:val="21"/>
                <w:highlight w:val="none"/>
                <w:lang w:eastAsia="en-US"/>
              </w:rPr>
              <w:t>处理效率高、无二次污染</w:t>
            </w:r>
          </w:p>
        </w:tc>
        <w:tc>
          <w:tcPr>
            <w:tcW w:w="1075" w:type="dxa"/>
            <w:vAlign w:val="center"/>
          </w:tcPr>
          <w:p w14:paraId="1E7A2043">
            <w:pPr>
              <w:pStyle w:val="98"/>
              <w:keepNext w:val="0"/>
              <w:keepLines w:val="0"/>
              <w:pageBreakBefore w:val="0"/>
              <w:widowControl w:val="0"/>
              <w:kinsoku/>
              <w:wordWrap/>
              <w:overflowPunct/>
              <w:topLinePunct w:val="0"/>
              <w:autoSpaceDE w:val="0"/>
              <w:autoSpaceDN w:val="0"/>
              <w:bidi w:val="0"/>
              <w:adjustRightInd/>
              <w:snapToGrid/>
              <w:ind w:left="0" w:right="0"/>
              <w:textAlignment w:val="auto"/>
              <w:rPr>
                <w:rFonts w:ascii="宋体" w:hAnsi="宋体" w:eastAsia="宋体"/>
                <w:color w:val="auto"/>
                <w:sz w:val="21"/>
                <w:szCs w:val="21"/>
                <w:highlight w:val="none"/>
                <w:lang w:eastAsia="en-US"/>
              </w:rPr>
            </w:pPr>
            <w:r>
              <w:rPr>
                <w:rFonts w:hint="eastAsia" w:ascii="宋体" w:hAnsi="宋体" w:eastAsia="宋体"/>
                <w:color w:val="auto"/>
                <w:sz w:val="21"/>
                <w:szCs w:val="21"/>
                <w:highlight w:val="none"/>
                <w:lang w:eastAsia="en-US"/>
              </w:rPr>
              <w:t>处理效率</w:t>
            </w:r>
            <w:r>
              <w:rPr>
                <w:rFonts w:hint="eastAsia" w:ascii="宋体" w:hAnsi="宋体" w:eastAsia="宋体"/>
                <w:color w:val="auto"/>
                <w:spacing w:val="-13"/>
                <w:sz w:val="21"/>
                <w:szCs w:val="21"/>
                <w:highlight w:val="none"/>
                <w:lang w:eastAsia="en-US"/>
              </w:rPr>
              <w:t>高、无二次</w:t>
            </w:r>
            <w:r>
              <w:rPr>
                <w:rFonts w:hint="eastAsia" w:ascii="宋体" w:hAnsi="宋体" w:eastAsia="宋体"/>
                <w:color w:val="auto"/>
                <w:sz w:val="21"/>
                <w:szCs w:val="21"/>
                <w:highlight w:val="none"/>
                <w:lang w:eastAsia="en-US"/>
              </w:rPr>
              <w:t>污染</w:t>
            </w:r>
          </w:p>
        </w:tc>
        <w:tc>
          <w:tcPr>
            <w:tcW w:w="1440" w:type="dxa"/>
            <w:vAlign w:val="center"/>
          </w:tcPr>
          <w:p w14:paraId="17E85711">
            <w:pPr>
              <w:pStyle w:val="98"/>
              <w:keepNext w:val="0"/>
              <w:keepLines w:val="0"/>
              <w:pageBreakBefore w:val="0"/>
              <w:widowControl w:val="0"/>
              <w:kinsoku/>
              <w:wordWrap/>
              <w:overflowPunct/>
              <w:topLinePunct w:val="0"/>
              <w:autoSpaceDE w:val="0"/>
              <w:autoSpaceDN w:val="0"/>
              <w:bidi w:val="0"/>
              <w:adjustRightInd/>
              <w:snapToGrid/>
              <w:ind w:left="0" w:right="0"/>
              <w:textAlignment w:val="auto"/>
              <w:rPr>
                <w:rFonts w:ascii="宋体" w:hAnsi="宋体" w:eastAsia="宋体"/>
                <w:color w:val="auto"/>
                <w:sz w:val="21"/>
                <w:szCs w:val="21"/>
                <w:highlight w:val="none"/>
                <w:lang w:eastAsia="en-US"/>
              </w:rPr>
            </w:pPr>
            <w:r>
              <w:rPr>
                <w:rFonts w:hint="eastAsia" w:ascii="宋体" w:hAnsi="宋体" w:eastAsia="宋体"/>
                <w:color w:val="auto"/>
                <w:sz w:val="21"/>
                <w:szCs w:val="21"/>
                <w:highlight w:val="none"/>
                <w:lang w:eastAsia="en-US"/>
              </w:rPr>
              <w:t>脱臭净化效果</w:t>
            </w:r>
            <w:r>
              <w:rPr>
                <w:rFonts w:hint="eastAsia" w:ascii="宋体" w:hAnsi="宋体" w:eastAsia="宋体"/>
                <w:color w:val="auto"/>
                <w:spacing w:val="-9"/>
                <w:sz w:val="21"/>
                <w:szCs w:val="21"/>
                <w:highlight w:val="none"/>
                <w:lang w:eastAsia="en-US"/>
              </w:rPr>
              <w:t>较好，只能够对</w:t>
            </w:r>
            <w:r>
              <w:rPr>
                <w:rFonts w:hint="eastAsia" w:ascii="宋体" w:hAnsi="宋体" w:eastAsia="宋体"/>
                <w:color w:val="auto"/>
                <w:sz w:val="21"/>
                <w:szCs w:val="21"/>
                <w:highlight w:val="none"/>
                <w:lang w:eastAsia="en-US"/>
              </w:rPr>
              <w:t>高浓度废气进行直接燃烧</w:t>
            </w:r>
          </w:p>
        </w:tc>
        <w:tc>
          <w:tcPr>
            <w:tcW w:w="1480" w:type="dxa"/>
            <w:vAlign w:val="center"/>
          </w:tcPr>
          <w:p w14:paraId="585FEE77">
            <w:pPr>
              <w:pStyle w:val="98"/>
              <w:keepNext w:val="0"/>
              <w:keepLines w:val="0"/>
              <w:pageBreakBefore w:val="0"/>
              <w:widowControl w:val="0"/>
              <w:kinsoku/>
              <w:wordWrap/>
              <w:overflowPunct/>
              <w:topLinePunct w:val="0"/>
              <w:autoSpaceDE w:val="0"/>
              <w:autoSpaceDN w:val="0"/>
              <w:bidi w:val="0"/>
              <w:adjustRightInd/>
              <w:snapToGrid/>
              <w:ind w:left="0" w:right="0"/>
              <w:textAlignment w:val="auto"/>
              <w:rPr>
                <w:rFonts w:ascii="宋体" w:hAnsi="宋体" w:eastAsia="宋体"/>
                <w:color w:val="auto"/>
                <w:sz w:val="21"/>
                <w:szCs w:val="21"/>
                <w:highlight w:val="none"/>
                <w:lang w:eastAsia="en-US"/>
              </w:rPr>
            </w:pPr>
            <w:r>
              <w:rPr>
                <w:rFonts w:hint="eastAsia" w:ascii="宋体" w:hAnsi="宋体" w:eastAsia="宋体"/>
                <w:color w:val="auto"/>
                <w:sz w:val="21"/>
                <w:szCs w:val="21"/>
                <w:highlight w:val="none"/>
                <w:lang w:eastAsia="en-US"/>
              </w:rPr>
              <w:t>安全性高，无二次污染</w:t>
            </w:r>
          </w:p>
        </w:tc>
        <w:tc>
          <w:tcPr>
            <w:tcW w:w="1506" w:type="dxa"/>
            <w:vAlign w:val="center"/>
          </w:tcPr>
          <w:p w14:paraId="2E69DDC1">
            <w:pPr>
              <w:pStyle w:val="98"/>
              <w:keepNext w:val="0"/>
              <w:keepLines w:val="0"/>
              <w:pageBreakBefore w:val="0"/>
              <w:widowControl w:val="0"/>
              <w:kinsoku/>
              <w:wordWrap/>
              <w:overflowPunct/>
              <w:topLinePunct w:val="0"/>
              <w:autoSpaceDE w:val="0"/>
              <w:autoSpaceDN w:val="0"/>
              <w:bidi w:val="0"/>
              <w:adjustRightInd/>
              <w:snapToGrid/>
              <w:ind w:left="0" w:right="0"/>
              <w:textAlignment w:val="auto"/>
              <w:rPr>
                <w:rFonts w:ascii="宋体" w:hAnsi="宋体" w:eastAsia="宋体"/>
                <w:color w:val="auto"/>
                <w:sz w:val="21"/>
                <w:szCs w:val="21"/>
                <w:highlight w:val="none"/>
                <w:lang w:eastAsia="en-US"/>
              </w:rPr>
            </w:pPr>
            <w:r>
              <w:rPr>
                <w:rFonts w:hint="eastAsia" w:ascii="宋体" w:hAnsi="宋体" w:eastAsia="宋体"/>
                <w:color w:val="auto"/>
                <w:sz w:val="21"/>
                <w:szCs w:val="21"/>
                <w:highlight w:val="none"/>
                <w:lang w:eastAsia="en-US"/>
              </w:rPr>
              <w:t>对异味净化效果好</w:t>
            </w:r>
          </w:p>
        </w:tc>
      </w:tr>
      <w:tr w14:paraId="715DA19B">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1167" w:hRule="atLeast"/>
          <w:jc w:val="center"/>
        </w:trPr>
        <w:tc>
          <w:tcPr>
            <w:tcW w:w="953" w:type="dxa"/>
            <w:vAlign w:val="center"/>
          </w:tcPr>
          <w:p w14:paraId="2AD40FDF">
            <w:pPr>
              <w:pStyle w:val="98"/>
              <w:keepNext w:val="0"/>
              <w:keepLines w:val="0"/>
              <w:pageBreakBefore w:val="0"/>
              <w:widowControl w:val="0"/>
              <w:kinsoku/>
              <w:wordWrap/>
              <w:overflowPunct/>
              <w:topLinePunct w:val="0"/>
              <w:autoSpaceDE w:val="0"/>
              <w:autoSpaceDN w:val="0"/>
              <w:bidi w:val="0"/>
              <w:adjustRightInd/>
              <w:snapToGrid/>
              <w:ind w:left="0" w:right="0"/>
              <w:textAlignment w:val="auto"/>
              <w:rPr>
                <w:rFonts w:ascii="宋体" w:hAnsi="宋体" w:eastAsia="宋体"/>
                <w:color w:val="auto"/>
                <w:sz w:val="21"/>
                <w:szCs w:val="21"/>
                <w:highlight w:val="none"/>
                <w:lang w:eastAsia="en-US"/>
              </w:rPr>
            </w:pPr>
            <w:r>
              <w:rPr>
                <w:rFonts w:hint="eastAsia" w:ascii="宋体" w:hAnsi="宋体" w:eastAsia="宋体"/>
                <w:color w:val="auto"/>
                <w:sz w:val="21"/>
                <w:szCs w:val="21"/>
                <w:highlight w:val="none"/>
                <w:lang w:eastAsia="en-US"/>
              </w:rPr>
              <w:t>存在问题</w:t>
            </w:r>
          </w:p>
        </w:tc>
        <w:tc>
          <w:tcPr>
            <w:tcW w:w="1200" w:type="dxa"/>
            <w:vAlign w:val="center"/>
          </w:tcPr>
          <w:p w14:paraId="51EE0FB8">
            <w:pPr>
              <w:pStyle w:val="98"/>
              <w:keepNext w:val="0"/>
              <w:keepLines w:val="0"/>
              <w:pageBreakBefore w:val="0"/>
              <w:widowControl w:val="0"/>
              <w:kinsoku/>
              <w:wordWrap/>
              <w:overflowPunct/>
              <w:topLinePunct w:val="0"/>
              <w:autoSpaceDE w:val="0"/>
              <w:autoSpaceDN w:val="0"/>
              <w:bidi w:val="0"/>
              <w:adjustRightInd/>
              <w:snapToGrid/>
              <w:ind w:left="0" w:right="0"/>
              <w:textAlignment w:val="auto"/>
              <w:rPr>
                <w:rFonts w:ascii="宋体" w:hAnsi="宋体" w:eastAsia="宋体"/>
                <w:color w:val="auto"/>
                <w:sz w:val="21"/>
                <w:szCs w:val="21"/>
                <w:highlight w:val="none"/>
                <w:lang w:eastAsia="en-US"/>
              </w:rPr>
            </w:pPr>
            <w:r>
              <w:rPr>
                <w:rFonts w:hint="eastAsia" w:ascii="宋体" w:hAnsi="宋体" w:eastAsia="宋体"/>
                <w:color w:val="auto"/>
                <w:spacing w:val="-4"/>
                <w:sz w:val="21"/>
                <w:szCs w:val="21"/>
                <w:highlight w:val="none"/>
                <w:lang w:eastAsia="en-US"/>
              </w:rPr>
              <w:t>吸附剂饱和</w:t>
            </w:r>
            <w:r>
              <w:rPr>
                <w:rFonts w:hint="eastAsia" w:ascii="宋体" w:hAnsi="宋体" w:eastAsia="宋体"/>
                <w:color w:val="auto"/>
                <w:sz w:val="21"/>
                <w:szCs w:val="21"/>
                <w:highlight w:val="none"/>
                <w:lang w:eastAsia="en-US"/>
              </w:rPr>
              <w:t>后定期更</w:t>
            </w:r>
            <w:r>
              <w:rPr>
                <w:rFonts w:hint="eastAsia" w:ascii="宋体" w:hAnsi="宋体" w:eastAsia="宋体"/>
                <w:color w:val="auto"/>
                <w:spacing w:val="-4"/>
                <w:sz w:val="21"/>
                <w:szCs w:val="21"/>
                <w:highlight w:val="none"/>
                <w:lang w:eastAsia="en-US"/>
              </w:rPr>
              <w:t>换，传统的设备结构阻</w:t>
            </w:r>
            <w:r>
              <w:rPr>
                <w:rFonts w:hint="eastAsia" w:ascii="宋体" w:hAnsi="宋体" w:eastAsia="宋体"/>
                <w:color w:val="auto"/>
                <w:sz w:val="21"/>
                <w:szCs w:val="21"/>
                <w:highlight w:val="none"/>
                <w:lang w:eastAsia="en-US"/>
              </w:rPr>
              <w:t>力大</w:t>
            </w:r>
          </w:p>
        </w:tc>
        <w:tc>
          <w:tcPr>
            <w:tcW w:w="1433" w:type="dxa"/>
            <w:vAlign w:val="center"/>
          </w:tcPr>
          <w:p w14:paraId="72F491CA">
            <w:pPr>
              <w:pStyle w:val="98"/>
              <w:keepNext w:val="0"/>
              <w:keepLines w:val="0"/>
              <w:pageBreakBefore w:val="0"/>
              <w:widowControl w:val="0"/>
              <w:kinsoku/>
              <w:wordWrap/>
              <w:overflowPunct/>
              <w:topLinePunct w:val="0"/>
              <w:autoSpaceDE w:val="0"/>
              <w:autoSpaceDN w:val="0"/>
              <w:bidi w:val="0"/>
              <w:adjustRightInd/>
              <w:snapToGrid/>
              <w:ind w:left="0" w:right="0"/>
              <w:textAlignment w:val="auto"/>
              <w:rPr>
                <w:rFonts w:ascii="宋体" w:hAnsi="宋体" w:eastAsia="宋体"/>
                <w:color w:val="auto"/>
                <w:sz w:val="21"/>
                <w:szCs w:val="21"/>
                <w:highlight w:val="none"/>
                <w:lang w:eastAsia="en-US"/>
              </w:rPr>
            </w:pPr>
            <w:r>
              <w:rPr>
                <w:rFonts w:hint="eastAsia" w:ascii="宋体" w:hAnsi="宋体" w:eastAsia="宋体"/>
                <w:color w:val="auto"/>
                <w:sz w:val="21"/>
                <w:szCs w:val="21"/>
                <w:highlight w:val="none"/>
                <w:lang w:eastAsia="en-US"/>
              </w:rPr>
              <w:t>产生废冷凝溶</w:t>
            </w:r>
            <w:r>
              <w:rPr>
                <w:rFonts w:hint="eastAsia" w:ascii="宋体" w:hAnsi="宋体" w:eastAsia="宋体"/>
                <w:color w:val="auto"/>
                <w:spacing w:val="-10"/>
                <w:sz w:val="21"/>
                <w:szCs w:val="21"/>
                <w:highlight w:val="none"/>
                <w:lang w:eastAsia="en-US"/>
              </w:rPr>
              <w:t>剂，需委托资质</w:t>
            </w:r>
            <w:r>
              <w:rPr>
                <w:rFonts w:hint="eastAsia" w:ascii="宋体" w:hAnsi="宋体" w:eastAsia="宋体"/>
                <w:color w:val="auto"/>
                <w:sz w:val="21"/>
                <w:szCs w:val="21"/>
                <w:highlight w:val="none"/>
                <w:lang w:eastAsia="en-US"/>
              </w:rPr>
              <w:t>单位处置</w:t>
            </w:r>
          </w:p>
        </w:tc>
        <w:tc>
          <w:tcPr>
            <w:tcW w:w="1075" w:type="dxa"/>
            <w:vAlign w:val="center"/>
          </w:tcPr>
          <w:p w14:paraId="6C1A7792">
            <w:pPr>
              <w:pStyle w:val="98"/>
              <w:keepNext w:val="0"/>
              <w:keepLines w:val="0"/>
              <w:pageBreakBefore w:val="0"/>
              <w:widowControl w:val="0"/>
              <w:kinsoku/>
              <w:wordWrap/>
              <w:overflowPunct/>
              <w:topLinePunct w:val="0"/>
              <w:autoSpaceDE w:val="0"/>
              <w:autoSpaceDN w:val="0"/>
              <w:bidi w:val="0"/>
              <w:adjustRightInd/>
              <w:snapToGrid/>
              <w:ind w:left="0" w:right="0"/>
              <w:textAlignment w:val="auto"/>
              <w:rPr>
                <w:rFonts w:ascii="宋体" w:hAnsi="宋体" w:eastAsia="宋体"/>
                <w:color w:val="auto"/>
                <w:sz w:val="21"/>
                <w:szCs w:val="21"/>
                <w:highlight w:val="none"/>
                <w:lang w:eastAsia="en-US"/>
              </w:rPr>
            </w:pPr>
            <w:r>
              <w:rPr>
                <w:rFonts w:hint="eastAsia" w:ascii="宋体" w:hAnsi="宋体" w:eastAsia="宋体"/>
                <w:color w:val="auto"/>
                <w:sz w:val="21"/>
                <w:szCs w:val="21"/>
                <w:highlight w:val="none"/>
                <w:lang w:eastAsia="en-US"/>
              </w:rPr>
              <w:t>可能存在催化剂中</w:t>
            </w:r>
            <w:r>
              <w:rPr>
                <w:rFonts w:hint="eastAsia" w:ascii="宋体" w:hAnsi="宋体" w:eastAsia="宋体"/>
                <w:color w:val="auto"/>
                <w:spacing w:val="-13"/>
                <w:sz w:val="21"/>
                <w:szCs w:val="21"/>
                <w:highlight w:val="none"/>
                <w:lang w:eastAsia="en-US"/>
              </w:rPr>
              <w:t>毒情况，养</w:t>
            </w:r>
            <w:r>
              <w:rPr>
                <w:rFonts w:hint="eastAsia" w:ascii="宋体" w:hAnsi="宋体" w:eastAsia="宋体"/>
                <w:color w:val="auto"/>
                <w:sz w:val="21"/>
                <w:szCs w:val="21"/>
                <w:highlight w:val="none"/>
                <w:lang w:eastAsia="en-US"/>
              </w:rPr>
              <w:t>护成本高</w:t>
            </w:r>
          </w:p>
        </w:tc>
        <w:tc>
          <w:tcPr>
            <w:tcW w:w="1440" w:type="dxa"/>
            <w:vAlign w:val="center"/>
          </w:tcPr>
          <w:p w14:paraId="1433F7FD">
            <w:pPr>
              <w:pStyle w:val="98"/>
              <w:keepNext w:val="0"/>
              <w:keepLines w:val="0"/>
              <w:pageBreakBefore w:val="0"/>
              <w:widowControl w:val="0"/>
              <w:kinsoku/>
              <w:wordWrap/>
              <w:overflowPunct/>
              <w:topLinePunct w:val="0"/>
              <w:autoSpaceDE w:val="0"/>
              <w:autoSpaceDN w:val="0"/>
              <w:bidi w:val="0"/>
              <w:adjustRightInd/>
              <w:snapToGrid/>
              <w:ind w:left="0" w:right="0"/>
              <w:textAlignment w:val="auto"/>
              <w:rPr>
                <w:rFonts w:ascii="宋体" w:hAnsi="宋体" w:eastAsia="宋体"/>
                <w:color w:val="auto"/>
                <w:sz w:val="21"/>
                <w:szCs w:val="21"/>
                <w:highlight w:val="none"/>
                <w:lang w:eastAsia="en-US"/>
              </w:rPr>
            </w:pPr>
            <w:r>
              <w:rPr>
                <w:rFonts w:hint="eastAsia" w:ascii="宋体" w:hAnsi="宋体" w:eastAsia="宋体"/>
                <w:color w:val="auto"/>
                <w:sz w:val="21"/>
                <w:szCs w:val="21"/>
                <w:highlight w:val="none"/>
                <w:lang w:eastAsia="en-US"/>
              </w:rPr>
              <w:t>只能对高浓度的废气进行直接燃烧</w:t>
            </w:r>
          </w:p>
        </w:tc>
        <w:tc>
          <w:tcPr>
            <w:tcW w:w="1480" w:type="dxa"/>
            <w:vAlign w:val="center"/>
          </w:tcPr>
          <w:p w14:paraId="7A752077">
            <w:pPr>
              <w:pStyle w:val="98"/>
              <w:keepNext w:val="0"/>
              <w:keepLines w:val="0"/>
              <w:pageBreakBefore w:val="0"/>
              <w:widowControl w:val="0"/>
              <w:kinsoku/>
              <w:wordWrap/>
              <w:overflowPunct/>
              <w:topLinePunct w:val="0"/>
              <w:autoSpaceDE w:val="0"/>
              <w:autoSpaceDN w:val="0"/>
              <w:bidi w:val="0"/>
              <w:adjustRightInd/>
              <w:snapToGrid/>
              <w:ind w:left="0" w:right="0"/>
              <w:textAlignment w:val="auto"/>
              <w:rPr>
                <w:rFonts w:ascii="宋体" w:hAnsi="宋体" w:eastAsia="宋体"/>
                <w:color w:val="auto"/>
                <w:sz w:val="21"/>
                <w:szCs w:val="21"/>
                <w:highlight w:val="none"/>
                <w:lang w:eastAsia="en-US"/>
              </w:rPr>
            </w:pPr>
            <w:r>
              <w:rPr>
                <w:rFonts w:hint="eastAsia" w:ascii="宋体" w:hAnsi="宋体" w:eastAsia="宋体"/>
                <w:color w:val="auto"/>
                <w:sz w:val="21"/>
                <w:szCs w:val="21"/>
                <w:highlight w:val="none"/>
                <w:lang w:eastAsia="en-US"/>
              </w:rPr>
              <w:t>产生废灯管、废催化板等危废需要委托资质单位处置</w:t>
            </w:r>
          </w:p>
        </w:tc>
        <w:tc>
          <w:tcPr>
            <w:tcW w:w="1506" w:type="dxa"/>
            <w:vAlign w:val="center"/>
          </w:tcPr>
          <w:p w14:paraId="73B14141">
            <w:pPr>
              <w:pStyle w:val="98"/>
              <w:keepNext w:val="0"/>
              <w:keepLines w:val="0"/>
              <w:pageBreakBefore w:val="0"/>
              <w:widowControl w:val="0"/>
              <w:kinsoku/>
              <w:wordWrap/>
              <w:overflowPunct/>
              <w:topLinePunct w:val="0"/>
              <w:autoSpaceDE w:val="0"/>
              <w:autoSpaceDN w:val="0"/>
              <w:bidi w:val="0"/>
              <w:adjustRightInd/>
              <w:snapToGrid/>
              <w:ind w:left="0" w:right="0"/>
              <w:textAlignment w:val="auto"/>
              <w:rPr>
                <w:rFonts w:ascii="宋体" w:hAnsi="宋体" w:eastAsia="宋体"/>
                <w:color w:val="auto"/>
                <w:sz w:val="21"/>
                <w:szCs w:val="21"/>
                <w:highlight w:val="none"/>
                <w:lang w:eastAsia="en-US"/>
              </w:rPr>
            </w:pPr>
            <w:r>
              <w:rPr>
                <w:rFonts w:hint="eastAsia" w:ascii="宋体" w:hAnsi="宋体" w:eastAsia="宋体"/>
                <w:color w:val="auto"/>
                <w:sz w:val="21"/>
                <w:szCs w:val="21"/>
                <w:highlight w:val="none"/>
                <w:lang w:eastAsia="en-US"/>
              </w:rPr>
              <w:t>对废气洁净度、单一性要求高</w:t>
            </w:r>
          </w:p>
        </w:tc>
      </w:tr>
      <w:tr w14:paraId="3DA3473A">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467" w:hRule="atLeast"/>
          <w:jc w:val="center"/>
        </w:trPr>
        <w:tc>
          <w:tcPr>
            <w:tcW w:w="953" w:type="dxa"/>
            <w:vAlign w:val="center"/>
          </w:tcPr>
          <w:p w14:paraId="39FD2DEB">
            <w:pPr>
              <w:pStyle w:val="98"/>
              <w:keepNext w:val="0"/>
              <w:keepLines w:val="0"/>
              <w:pageBreakBefore w:val="0"/>
              <w:widowControl w:val="0"/>
              <w:kinsoku/>
              <w:wordWrap/>
              <w:overflowPunct/>
              <w:topLinePunct w:val="0"/>
              <w:autoSpaceDE w:val="0"/>
              <w:autoSpaceDN w:val="0"/>
              <w:bidi w:val="0"/>
              <w:adjustRightInd/>
              <w:snapToGrid/>
              <w:ind w:left="0" w:right="0"/>
              <w:textAlignment w:val="auto"/>
              <w:rPr>
                <w:rFonts w:ascii="宋体" w:hAnsi="宋体" w:eastAsia="宋体"/>
                <w:color w:val="auto"/>
                <w:sz w:val="21"/>
                <w:szCs w:val="21"/>
                <w:highlight w:val="none"/>
                <w:lang w:eastAsia="en-US"/>
              </w:rPr>
            </w:pPr>
            <w:r>
              <w:rPr>
                <w:rFonts w:hint="eastAsia" w:ascii="宋体" w:hAnsi="宋体" w:eastAsia="宋体"/>
                <w:color w:val="auto"/>
                <w:sz w:val="21"/>
                <w:szCs w:val="21"/>
                <w:highlight w:val="none"/>
                <w:lang w:eastAsia="en-US"/>
              </w:rPr>
              <w:t>本项目适用情况</w:t>
            </w:r>
          </w:p>
        </w:tc>
        <w:tc>
          <w:tcPr>
            <w:tcW w:w="1200" w:type="dxa"/>
            <w:vAlign w:val="center"/>
          </w:tcPr>
          <w:p w14:paraId="086ED7DD">
            <w:pPr>
              <w:pStyle w:val="98"/>
              <w:keepNext w:val="0"/>
              <w:keepLines w:val="0"/>
              <w:pageBreakBefore w:val="0"/>
              <w:widowControl w:val="0"/>
              <w:kinsoku/>
              <w:wordWrap/>
              <w:overflowPunct/>
              <w:topLinePunct w:val="0"/>
              <w:autoSpaceDE w:val="0"/>
              <w:autoSpaceDN w:val="0"/>
              <w:bidi w:val="0"/>
              <w:adjustRightInd/>
              <w:snapToGrid/>
              <w:ind w:left="0" w:right="0"/>
              <w:textAlignment w:val="auto"/>
              <w:rPr>
                <w:rFonts w:ascii="宋体" w:hAnsi="宋体" w:eastAsia="宋体"/>
                <w:color w:val="auto"/>
                <w:sz w:val="21"/>
                <w:szCs w:val="21"/>
                <w:highlight w:val="none"/>
                <w:lang w:eastAsia="en-US"/>
              </w:rPr>
            </w:pPr>
            <w:r>
              <w:rPr>
                <w:rFonts w:hint="eastAsia" w:ascii="宋体" w:hAnsi="宋体" w:eastAsia="宋体"/>
                <w:color w:val="auto"/>
                <w:sz w:val="21"/>
                <w:szCs w:val="21"/>
                <w:highlight w:val="none"/>
                <w:lang w:eastAsia="en-US"/>
              </w:rPr>
              <w:t>适用</w:t>
            </w:r>
          </w:p>
        </w:tc>
        <w:tc>
          <w:tcPr>
            <w:tcW w:w="1433" w:type="dxa"/>
            <w:vAlign w:val="center"/>
          </w:tcPr>
          <w:p w14:paraId="65429F75">
            <w:pPr>
              <w:pStyle w:val="98"/>
              <w:keepNext w:val="0"/>
              <w:keepLines w:val="0"/>
              <w:pageBreakBefore w:val="0"/>
              <w:widowControl w:val="0"/>
              <w:kinsoku/>
              <w:wordWrap/>
              <w:overflowPunct/>
              <w:topLinePunct w:val="0"/>
              <w:autoSpaceDE w:val="0"/>
              <w:autoSpaceDN w:val="0"/>
              <w:bidi w:val="0"/>
              <w:adjustRightInd/>
              <w:snapToGrid/>
              <w:ind w:left="0" w:right="0"/>
              <w:textAlignment w:val="auto"/>
              <w:rPr>
                <w:rFonts w:ascii="宋体" w:hAnsi="宋体" w:eastAsia="宋体"/>
                <w:color w:val="auto"/>
                <w:sz w:val="21"/>
                <w:szCs w:val="21"/>
                <w:highlight w:val="none"/>
                <w:lang w:eastAsia="en-US"/>
              </w:rPr>
            </w:pPr>
            <w:r>
              <w:rPr>
                <w:rFonts w:hint="eastAsia" w:ascii="宋体" w:hAnsi="宋体" w:eastAsia="宋体"/>
                <w:color w:val="auto"/>
                <w:sz w:val="21"/>
                <w:szCs w:val="21"/>
                <w:highlight w:val="none"/>
                <w:lang w:eastAsia="en-US"/>
              </w:rPr>
              <w:t>适用</w:t>
            </w:r>
          </w:p>
        </w:tc>
        <w:tc>
          <w:tcPr>
            <w:tcW w:w="1075" w:type="dxa"/>
            <w:vAlign w:val="center"/>
          </w:tcPr>
          <w:p w14:paraId="654458A1">
            <w:pPr>
              <w:pStyle w:val="98"/>
              <w:keepNext w:val="0"/>
              <w:keepLines w:val="0"/>
              <w:pageBreakBefore w:val="0"/>
              <w:widowControl w:val="0"/>
              <w:kinsoku/>
              <w:wordWrap/>
              <w:overflowPunct/>
              <w:topLinePunct w:val="0"/>
              <w:autoSpaceDE w:val="0"/>
              <w:autoSpaceDN w:val="0"/>
              <w:bidi w:val="0"/>
              <w:adjustRightInd/>
              <w:snapToGrid/>
              <w:ind w:left="0" w:right="0"/>
              <w:textAlignment w:val="auto"/>
              <w:rPr>
                <w:rFonts w:ascii="宋体" w:hAnsi="宋体" w:eastAsia="宋体"/>
                <w:color w:val="auto"/>
                <w:sz w:val="21"/>
                <w:szCs w:val="21"/>
                <w:highlight w:val="none"/>
                <w:lang w:eastAsia="en-US"/>
              </w:rPr>
            </w:pPr>
            <w:r>
              <w:rPr>
                <w:rFonts w:hint="eastAsia" w:ascii="宋体" w:hAnsi="宋体" w:eastAsia="宋体"/>
                <w:color w:val="auto"/>
                <w:sz w:val="21"/>
                <w:szCs w:val="21"/>
                <w:highlight w:val="none"/>
                <w:lang w:eastAsia="en-US"/>
              </w:rPr>
              <w:t>不适用</w:t>
            </w:r>
          </w:p>
        </w:tc>
        <w:tc>
          <w:tcPr>
            <w:tcW w:w="1440" w:type="dxa"/>
            <w:vAlign w:val="center"/>
          </w:tcPr>
          <w:p w14:paraId="3A9A72A3">
            <w:pPr>
              <w:pStyle w:val="98"/>
              <w:keepNext w:val="0"/>
              <w:keepLines w:val="0"/>
              <w:pageBreakBefore w:val="0"/>
              <w:widowControl w:val="0"/>
              <w:kinsoku/>
              <w:wordWrap/>
              <w:overflowPunct/>
              <w:topLinePunct w:val="0"/>
              <w:autoSpaceDE w:val="0"/>
              <w:autoSpaceDN w:val="0"/>
              <w:bidi w:val="0"/>
              <w:adjustRightInd/>
              <w:snapToGrid/>
              <w:ind w:left="0" w:right="0"/>
              <w:textAlignment w:val="auto"/>
              <w:rPr>
                <w:rFonts w:ascii="宋体" w:hAnsi="宋体" w:eastAsia="宋体"/>
                <w:color w:val="auto"/>
                <w:sz w:val="21"/>
                <w:szCs w:val="21"/>
                <w:highlight w:val="none"/>
                <w:lang w:eastAsia="en-US"/>
              </w:rPr>
            </w:pPr>
            <w:r>
              <w:rPr>
                <w:rFonts w:hint="eastAsia" w:ascii="宋体" w:hAnsi="宋体" w:eastAsia="宋体"/>
                <w:color w:val="auto"/>
                <w:sz w:val="21"/>
                <w:szCs w:val="21"/>
                <w:highlight w:val="none"/>
                <w:lang w:eastAsia="en-US"/>
              </w:rPr>
              <w:t>适用</w:t>
            </w:r>
          </w:p>
        </w:tc>
        <w:tc>
          <w:tcPr>
            <w:tcW w:w="1480" w:type="dxa"/>
            <w:vAlign w:val="center"/>
          </w:tcPr>
          <w:p w14:paraId="3889B3DC">
            <w:pPr>
              <w:pStyle w:val="98"/>
              <w:keepNext w:val="0"/>
              <w:keepLines w:val="0"/>
              <w:pageBreakBefore w:val="0"/>
              <w:widowControl w:val="0"/>
              <w:kinsoku/>
              <w:wordWrap/>
              <w:overflowPunct/>
              <w:topLinePunct w:val="0"/>
              <w:autoSpaceDE w:val="0"/>
              <w:autoSpaceDN w:val="0"/>
              <w:bidi w:val="0"/>
              <w:adjustRightInd/>
              <w:snapToGrid/>
              <w:ind w:left="0" w:right="0"/>
              <w:textAlignment w:val="auto"/>
              <w:rPr>
                <w:rFonts w:ascii="宋体" w:hAnsi="宋体" w:eastAsia="宋体"/>
                <w:color w:val="auto"/>
                <w:sz w:val="21"/>
                <w:szCs w:val="21"/>
                <w:highlight w:val="none"/>
                <w:lang w:eastAsia="en-US"/>
              </w:rPr>
            </w:pPr>
            <w:r>
              <w:rPr>
                <w:rFonts w:hint="eastAsia" w:ascii="宋体" w:hAnsi="宋体" w:eastAsia="宋体"/>
                <w:color w:val="auto"/>
                <w:sz w:val="21"/>
                <w:szCs w:val="21"/>
                <w:highlight w:val="none"/>
                <w:lang w:eastAsia="en-US"/>
              </w:rPr>
              <w:t>适用</w:t>
            </w:r>
          </w:p>
        </w:tc>
        <w:tc>
          <w:tcPr>
            <w:tcW w:w="1506" w:type="dxa"/>
            <w:vAlign w:val="center"/>
          </w:tcPr>
          <w:p w14:paraId="4E8AA1AA">
            <w:pPr>
              <w:pStyle w:val="98"/>
              <w:keepNext w:val="0"/>
              <w:keepLines w:val="0"/>
              <w:pageBreakBefore w:val="0"/>
              <w:widowControl w:val="0"/>
              <w:kinsoku/>
              <w:wordWrap/>
              <w:overflowPunct/>
              <w:topLinePunct w:val="0"/>
              <w:autoSpaceDE w:val="0"/>
              <w:autoSpaceDN w:val="0"/>
              <w:bidi w:val="0"/>
              <w:adjustRightInd/>
              <w:snapToGrid/>
              <w:ind w:left="0" w:right="0"/>
              <w:textAlignment w:val="auto"/>
              <w:rPr>
                <w:rFonts w:ascii="宋体" w:hAnsi="宋体" w:eastAsia="宋体"/>
                <w:color w:val="auto"/>
                <w:sz w:val="21"/>
                <w:szCs w:val="21"/>
                <w:highlight w:val="none"/>
                <w:lang w:eastAsia="en-US"/>
              </w:rPr>
            </w:pPr>
            <w:r>
              <w:rPr>
                <w:rFonts w:hint="eastAsia" w:ascii="宋体" w:hAnsi="宋体" w:eastAsia="宋体"/>
                <w:color w:val="auto"/>
                <w:sz w:val="21"/>
                <w:szCs w:val="21"/>
                <w:highlight w:val="none"/>
                <w:lang w:eastAsia="en-US"/>
              </w:rPr>
              <w:t>适用</w:t>
            </w:r>
          </w:p>
        </w:tc>
      </w:tr>
    </w:tbl>
    <w:p w14:paraId="4415609F">
      <w:pPr>
        <w:pStyle w:val="20"/>
        <w:spacing w:before="120" w:beforeLines="50" w:line="360" w:lineRule="auto"/>
        <w:ind w:left="-105" w:right="-105" w:firstLine="480" w:firstLineChars="200"/>
        <w:jc w:val="both"/>
        <w:rPr>
          <w:rFonts w:ascii="Times New Roman" w:hAnsi="Times New Roman" w:cs="Times New Roman"/>
          <w:color w:val="auto"/>
          <w:sz w:val="24"/>
          <w:szCs w:val="24"/>
          <w:highlight w:val="none"/>
        </w:rPr>
      </w:pPr>
      <w:r>
        <w:rPr>
          <w:rFonts w:ascii="Times New Roman" w:hAnsi="Times New Roman" w:cs="Times New Roman"/>
          <w:color w:val="auto"/>
          <w:sz w:val="24"/>
          <w:szCs w:val="24"/>
          <w:highlight w:val="none"/>
        </w:rPr>
        <w:t>根据</w:t>
      </w:r>
      <w:r>
        <w:rPr>
          <w:rFonts w:hint="eastAsia" w:ascii="Times New Roman" w:hAnsi="Times New Roman" w:cs="Times New Roman"/>
          <w:color w:val="auto"/>
          <w:sz w:val="24"/>
          <w:szCs w:val="24"/>
          <w:highlight w:val="none"/>
        </w:rPr>
        <w:t>《江苏省重点行业挥发性有机物污染控制指南》、《江苏省挥发性有机物污染防治管理办法》（省政府令第119号）：“1、对于5000ppm以上的高浓度VOCs废气，优先采用冷凝、吸附回收等技术对废气中的VOCs回收利用，并辅以其他治理技术实现达标排放。2、对于l000ppm～5000ppm的中等浓度VOCs废气，具备回收价值的宜采用吸附技术回收有机溶剂，不具备回收价值的可采用催化燃烧、RTO炉高温焚烧等技术净化后达标排放。当采用热力焚烧技术进行净化时，宜对燃烧后的热量回收利用。3、对于l000ppm以下的低浓度VOCs废气，有回收价值时宜采用吸附技术回收处理，无回收价值时优先采用吸附浓缩一高温燃烧、微生物处理、填料塔吸收等技术净化处理后达标排放。……5、对含尘、含气溶胶、高湿废气，在采用活性炭吸附、催化燃烧、RTO焚烧、低温等离子等工艺处理前应先采用高效除尘、除雾等装置进行预处理。”</w:t>
      </w:r>
    </w:p>
    <w:p w14:paraId="1601E02A">
      <w:pPr>
        <w:pStyle w:val="41"/>
        <w:widowControl w:val="0"/>
        <w:autoSpaceDE w:val="0"/>
        <w:autoSpaceDN w:val="0"/>
        <w:spacing w:before="0" w:beforeAutospacing="0" w:after="0" w:afterAutospacing="0" w:line="360" w:lineRule="auto"/>
        <w:ind w:left="-105" w:right="-105" w:firstLine="472" w:firstLineChars="200"/>
        <w:jc w:val="both"/>
        <w:rPr>
          <w:rFonts w:ascii="Times New Roman" w:hAnsi="Times New Roman"/>
          <w:color w:val="auto"/>
          <w:szCs w:val="24"/>
          <w:highlight w:val="none"/>
          <w:lang w:bidi="ar"/>
        </w:rPr>
      </w:pPr>
      <w:r>
        <w:rPr>
          <w:color w:val="auto"/>
          <w:spacing w:val="-2"/>
          <w:szCs w:val="24"/>
          <w:highlight w:val="none"/>
        </w:rPr>
        <w:t>本项目</w:t>
      </w:r>
      <w:r>
        <w:rPr>
          <w:rFonts w:hint="eastAsia"/>
          <w:color w:val="auto"/>
          <w:spacing w:val="-2"/>
          <w:szCs w:val="24"/>
          <w:highlight w:val="none"/>
        </w:rPr>
        <w:t>生产线和实验室</w:t>
      </w:r>
      <w:r>
        <w:rPr>
          <w:color w:val="auto"/>
          <w:spacing w:val="-2"/>
          <w:szCs w:val="24"/>
          <w:highlight w:val="none"/>
        </w:rPr>
        <w:t>均产生</w:t>
      </w:r>
      <w:r>
        <w:rPr>
          <w:rFonts w:ascii="Times New Roman" w:eastAsia="Times New Roman"/>
          <w:color w:val="auto"/>
          <w:szCs w:val="24"/>
          <w:highlight w:val="none"/>
        </w:rPr>
        <w:t>VOCs</w:t>
      </w:r>
      <w:r>
        <w:rPr>
          <w:color w:val="auto"/>
          <w:szCs w:val="24"/>
          <w:highlight w:val="none"/>
        </w:rPr>
        <w:t>废气（</w:t>
      </w:r>
      <w:r>
        <w:rPr>
          <w:color w:val="auto"/>
          <w:spacing w:val="-5"/>
          <w:szCs w:val="24"/>
          <w:highlight w:val="none"/>
        </w:rPr>
        <w:t>含</w:t>
      </w:r>
      <w:r>
        <w:rPr>
          <w:rFonts w:hint="eastAsia"/>
          <w:color w:val="auto"/>
          <w:spacing w:val="-5"/>
          <w:szCs w:val="24"/>
          <w:highlight w:val="none"/>
        </w:rPr>
        <w:t>甲醇</w:t>
      </w:r>
      <w:r>
        <w:rPr>
          <w:color w:val="auto"/>
          <w:szCs w:val="24"/>
          <w:highlight w:val="none"/>
        </w:rPr>
        <w:t>、非甲烷总烃等）</w:t>
      </w:r>
      <w:r>
        <w:rPr>
          <w:rFonts w:hint="eastAsia"/>
          <w:color w:val="auto"/>
          <w:szCs w:val="24"/>
          <w:highlight w:val="none"/>
        </w:rPr>
        <w:t>，</w:t>
      </w:r>
      <w:r>
        <w:rPr>
          <w:rFonts w:ascii="Times New Roman" w:hAnsi="Times New Roman"/>
          <w:color w:val="auto"/>
          <w:szCs w:val="24"/>
          <w:highlight w:val="none"/>
          <w:lang w:bidi="ar"/>
        </w:rPr>
        <w:t>其中VOCs废气浓度较</w:t>
      </w:r>
      <w:r>
        <w:rPr>
          <w:rFonts w:hint="eastAsia" w:ascii="Times New Roman" w:hAnsi="Times New Roman"/>
          <w:color w:val="auto"/>
          <w:szCs w:val="24"/>
          <w:highlight w:val="none"/>
          <w:lang w:val="en-US" w:eastAsia="zh-CN" w:bidi="ar"/>
        </w:rPr>
        <w:t>低</w:t>
      </w:r>
      <w:r>
        <w:rPr>
          <w:rFonts w:hint="eastAsia" w:ascii="Times New Roman" w:hAnsi="Times New Roman"/>
          <w:color w:val="auto"/>
          <w:szCs w:val="24"/>
          <w:highlight w:val="none"/>
          <w:lang w:bidi="ar"/>
        </w:rPr>
        <w:t>、废气因子均为水溶性较高的有机废气</w:t>
      </w:r>
      <w:r>
        <w:rPr>
          <w:rFonts w:ascii="Times New Roman" w:hAnsi="Times New Roman"/>
          <w:color w:val="auto"/>
          <w:szCs w:val="24"/>
          <w:highlight w:val="none"/>
          <w:lang w:bidi="ar"/>
        </w:rPr>
        <w:t>，</w:t>
      </w:r>
      <w:r>
        <w:rPr>
          <w:rFonts w:hint="eastAsia" w:ascii="Times New Roman" w:hAnsi="Times New Roman"/>
          <w:color w:val="auto"/>
          <w:szCs w:val="24"/>
          <w:highlight w:val="none"/>
          <w:lang w:bidi="ar"/>
        </w:rPr>
        <w:t>通过</w:t>
      </w:r>
      <w:r>
        <w:rPr>
          <w:rFonts w:ascii="Times New Roman" w:hAnsi="Times New Roman"/>
          <w:color w:val="auto"/>
          <w:szCs w:val="24"/>
          <w:highlight w:val="none"/>
          <w:lang w:bidi="ar"/>
        </w:rPr>
        <w:t>选用</w:t>
      </w:r>
      <w:r>
        <w:rPr>
          <w:rFonts w:hint="eastAsia" w:ascii="Times New Roman" w:hAnsi="Times New Roman"/>
          <w:color w:val="auto"/>
          <w:szCs w:val="24"/>
          <w:highlight w:val="none"/>
          <w:lang w:bidi="ar"/>
        </w:rPr>
        <w:t>3级碱液喷淋+二级活性炭吸装置附和两级活性炭吸附装置进行处理，</w:t>
      </w:r>
      <w:r>
        <w:rPr>
          <w:rFonts w:ascii="Times New Roman" w:hAnsi="Times New Roman"/>
          <w:color w:val="auto"/>
          <w:szCs w:val="24"/>
          <w:highlight w:val="none"/>
          <w:lang w:bidi="ar"/>
        </w:rPr>
        <w:t>工艺成熟，能够有效去除有机废气</w:t>
      </w:r>
      <w:r>
        <w:rPr>
          <w:rFonts w:hint="eastAsia" w:ascii="Times New Roman" w:hAnsi="Times New Roman"/>
          <w:color w:val="auto"/>
          <w:szCs w:val="24"/>
          <w:highlight w:val="none"/>
          <w:lang w:bidi="ar"/>
        </w:rPr>
        <w:t>，</w:t>
      </w:r>
      <w:r>
        <w:rPr>
          <w:rFonts w:ascii="Times New Roman" w:hAnsi="Times New Roman"/>
          <w:color w:val="auto"/>
          <w:szCs w:val="24"/>
          <w:highlight w:val="none"/>
          <w:lang w:bidi="ar"/>
        </w:rPr>
        <w:t>具有</w:t>
      </w:r>
      <w:r>
        <w:rPr>
          <w:rFonts w:hint="eastAsia" w:ascii="Times New Roman" w:hAnsi="Times New Roman"/>
          <w:color w:val="auto"/>
          <w:szCs w:val="24"/>
          <w:highlight w:val="none"/>
          <w:lang w:bidi="ar"/>
        </w:rPr>
        <w:t>去除</w:t>
      </w:r>
      <w:r>
        <w:rPr>
          <w:rFonts w:ascii="Times New Roman" w:hAnsi="Times New Roman"/>
          <w:color w:val="auto"/>
          <w:szCs w:val="24"/>
          <w:highlight w:val="none"/>
          <w:lang w:bidi="ar"/>
        </w:rPr>
        <w:t>效率高，适用范围广，工艺成熟，技术合理可行。</w:t>
      </w:r>
    </w:p>
    <w:p w14:paraId="4C140005">
      <w:pPr>
        <w:pStyle w:val="41"/>
        <w:widowControl w:val="0"/>
        <w:autoSpaceDE w:val="0"/>
        <w:autoSpaceDN w:val="0"/>
        <w:spacing w:before="0" w:beforeAutospacing="0" w:after="0" w:afterAutospacing="0" w:line="360" w:lineRule="auto"/>
        <w:ind w:left="-105" w:right="-105" w:firstLine="482" w:firstLineChars="200"/>
        <w:jc w:val="both"/>
        <w:rPr>
          <w:rFonts w:ascii="Times New Roman" w:hAnsi="Times New Roman"/>
          <w:b/>
          <w:bCs/>
          <w:color w:val="auto"/>
          <w:szCs w:val="24"/>
          <w:highlight w:val="none"/>
          <w:lang w:bidi="ar"/>
        </w:rPr>
      </w:pPr>
      <w:r>
        <w:rPr>
          <w:rFonts w:hint="eastAsia" w:ascii="Times New Roman" w:hAnsi="Times New Roman"/>
          <w:b/>
          <w:bCs/>
          <w:color w:val="auto"/>
          <w:szCs w:val="24"/>
          <w:highlight w:val="none"/>
          <w:lang w:bidi="ar"/>
        </w:rPr>
        <w:t>（2）废气收集方式</w:t>
      </w:r>
    </w:p>
    <w:p w14:paraId="2CDB00A2">
      <w:pPr>
        <w:pStyle w:val="41"/>
        <w:widowControl w:val="0"/>
        <w:autoSpaceDE w:val="0"/>
        <w:autoSpaceDN w:val="0"/>
        <w:spacing w:before="0" w:beforeAutospacing="0" w:after="0" w:afterAutospacing="0" w:line="360" w:lineRule="auto"/>
        <w:ind w:left="-105" w:right="-105" w:firstLine="480" w:firstLineChars="200"/>
        <w:jc w:val="both"/>
        <w:rPr>
          <w:rFonts w:hint="default" w:ascii="Times New Roman" w:hAnsi="Times New Roman" w:eastAsia="宋体"/>
          <w:color w:val="auto"/>
          <w:szCs w:val="24"/>
          <w:highlight w:val="none"/>
          <w:lang w:val="en-US" w:eastAsia="zh-CN" w:bidi="ar"/>
        </w:rPr>
      </w:pPr>
      <w:r>
        <w:rPr>
          <w:rFonts w:hint="eastAsia" w:ascii="Times New Roman" w:hAnsi="Times New Roman"/>
          <w:color w:val="auto"/>
          <w:szCs w:val="24"/>
          <w:highlight w:val="none"/>
          <w:lang w:bidi="ar"/>
        </w:rPr>
        <w:t>生产车间按照《电子工业洁净厂房设计规范》（GB50472-2008）等设计规范进行设计，生产车间为洁净室，采用新风系统循环出风保障车间内空气环境并补充因工艺排风系统带走的气量。工艺设备均在洁净室内，各道工序均在独立机台内进行全封闭式操作，各机台均配备相应的液体供应装置、抽排装置及管道，与对应的使用点直接连接，产生的废气直接通过洁净室排风系统对应管道，送入相应废气处理系统。仅有车间出入口有少量逸散废气以无组织形式排放外环境，</w:t>
      </w:r>
      <w:r>
        <w:rPr>
          <w:rFonts w:hint="eastAsia" w:ascii="Times New Roman" w:hAnsi="Times New Roman"/>
          <w:color w:val="auto"/>
          <w:szCs w:val="24"/>
          <w:highlight w:val="none"/>
          <w:lang w:val="en-US" w:eastAsia="zh-CN" w:bidi="ar"/>
        </w:rPr>
        <w:t>故</w:t>
      </w:r>
      <w:r>
        <w:rPr>
          <w:rFonts w:hint="eastAsia" w:ascii="Times New Roman" w:hAnsi="Times New Roman"/>
          <w:color w:val="auto"/>
          <w:szCs w:val="24"/>
          <w:highlight w:val="none"/>
          <w:lang w:bidi="ar"/>
        </w:rPr>
        <w:t>收集效率</w:t>
      </w:r>
      <w:r>
        <w:rPr>
          <w:rFonts w:hint="eastAsia" w:ascii="Times New Roman" w:hAnsi="Times New Roman"/>
          <w:color w:val="auto"/>
          <w:szCs w:val="24"/>
          <w:highlight w:val="none"/>
          <w:lang w:val="en-US" w:eastAsia="zh-CN" w:bidi="ar"/>
        </w:rPr>
        <w:t>取98</w:t>
      </w:r>
      <w:r>
        <w:rPr>
          <w:rFonts w:hint="eastAsia" w:ascii="Times New Roman" w:hAnsi="Times New Roman"/>
          <w:color w:val="auto"/>
          <w:szCs w:val="24"/>
          <w:highlight w:val="none"/>
          <w:lang w:bidi="ar"/>
        </w:rPr>
        <w:t>%。</w:t>
      </w:r>
      <w:r>
        <w:rPr>
          <w:rFonts w:hint="eastAsia" w:ascii="Times New Roman" w:hAnsi="Times New Roman"/>
          <w:color w:val="auto"/>
          <w:szCs w:val="24"/>
          <w:highlight w:val="none"/>
          <w:lang w:val="en-US" w:eastAsia="zh-CN" w:bidi="ar"/>
        </w:rPr>
        <w:t>本项目新增的洁净室排风废气依托现有项目5#废气处理设施，改造时新增洁净室引风风机设计风量为5500m</w:t>
      </w:r>
      <w:r>
        <w:rPr>
          <w:rFonts w:hint="eastAsia" w:ascii="Times New Roman" w:hAnsi="Times New Roman"/>
          <w:color w:val="auto"/>
          <w:szCs w:val="24"/>
          <w:highlight w:val="none"/>
          <w:vertAlign w:val="superscript"/>
          <w:lang w:val="en-US" w:eastAsia="zh-CN" w:bidi="ar"/>
        </w:rPr>
        <w:t>3</w:t>
      </w:r>
      <w:r>
        <w:rPr>
          <w:rFonts w:hint="eastAsia" w:ascii="Times New Roman" w:hAnsi="Times New Roman"/>
          <w:color w:val="auto"/>
          <w:szCs w:val="24"/>
          <w:highlight w:val="none"/>
          <w:lang w:val="en-US" w:eastAsia="zh-CN" w:bidi="ar"/>
        </w:rPr>
        <w:t>/h，接入现有项目处理设施，由于5#废气处理设施排风总风机为变频风机，设计风量为20000m</w:t>
      </w:r>
      <w:r>
        <w:rPr>
          <w:rFonts w:hint="eastAsia" w:ascii="Times New Roman" w:hAnsi="Times New Roman"/>
          <w:color w:val="auto"/>
          <w:szCs w:val="24"/>
          <w:highlight w:val="none"/>
          <w:vertAlign w:val="superscript"/>
          <w:lang w:val="en-US" w:eastAsia="zh-CN" w:bidi="ar"/>
        </w:rPr>
        <w:t>3</w:t>
      </w:r>
      <w:r>
        <w:rPr>
          <w:rFonts w:hint="eastAsia" w:ascii="Times New Roman" w:hAnsi="Times New Roman"/>
          <w:color w:val="auto"/>
          <w:szCs w:val="24"/>
          <w:highlight w:val="none"/>
          <w:vertAlign w:val="baseline"/>
          <w:lang w:val="en-US" w:eastAsia="zh-CN" w:bidi="ar"/>
        </w:rPr>
        <w:t>/h，</w:t>
      </w:r>
      <w:r>
        <w:rPr>
          <w:rFonts w:hint="eastAsia" w:ascii="Times New Roman" w:hAnsi="Times New Roman"/>
          <w:color w:val="auto"/>
          <w:szCs w:val="24"/>
          <w:highlight w:val="none"/>
          <w:lang w:val="en-US" w:eastAsia="zh-CN" w:bidi="ar"/>
        </w:rPr>
        <w:t>实际运行是总风量为15000m</w:t>
      </w:r>
      <w:r>
        <w:rPr>
          <w:rFonts w:hint="eastAsia" w:ascii="Times New Roman" w:hAnsi="Times New Roman"/>
          <w:color w:val="auto"/>
          <w:szCs w:val="24"/>
          <w:highlight w:val="none"/>
          <w:vertAlign w:val="superscript"/>
          <w:lang w:val="en-US" w:eastAsia="zh-CN" w:bidi="ar"/>
        </w:rPr>
        <w:t>3</w:t>
      </w:r>
      <w:r>
        <w:rPr>
          <w:rFonts w:hint="eastAsia" w:ascii="Times New Roman" w:hAnsi="Times New Roman"/>
          <w:color w:val="auto"/>
          <w:szCs w:val="24"/>
          <w:highlight w:val="none"/>
          <w:lang w:val="en-US" w:eastAsia="zh-CN" w:bidi="ar"/>
        </w:rPr>
        <w:t>/h左右，新增风量后在现有排风风机能力内，故依托可行。</w:t>
      </w:r>
    </w:p>
    <w:p w14:paraId="567A5E39">
      <w:pPr>
        <w:pStyle w:val="41"/>
        <w:widowControl w:val="0"/>
        <w:autoSpaceDE w:val="0"/>
        <w:autoSpaceDN w:val="0"/>
        <w:spacing w:before="0" w:beforeAutospacing="0" w:after="0" w:afterAutospacing="0" w:line="360" w:lineRule="auto"/>
        <w:ind w:left="-105" w:right="-105" w:firstLine="480" w:firstLineChars="200"/>
        <w:jc w:val="both"/>
        <w:rPr>
          <w:rFonts w:ascii="Times New Roman" w:hAnsi="Times New Roman"/>
          <w:b/>
          <w:bCs/>
          <w:color w:val="auto"/>
          <w:szCs w:val="24"/>
          <w:highlight w:val="none"/>
          <w:lang w:bidi="ar"/>
        </w:rPr>
      </w:pPr>
      <w:r>
        <w:rPr>
          <w:rFonts w:hint="eastAsia" w:ascii="Times New Roman" w:hAnsi="Times New Roman"/>
          <w:color w:val="auto"/>
          <w:szCs w:val="22"/>
          <w:highlight w:val="none"/>
        </w:rPr>
        <w:t>实验间一</w:t>
      </w:r>
      <w:r>
        <w:rPr>
          <w:rFonts w:hint="eastAsia" w:ascii="Times New Roman" w:hAnsi="Times New Roman"/>
          <w:color w:val="auto"/>
          <w:szCs w:val="22"/>
          <w:highlight w:val="none"/>
          <w:lang w:val="en-US" w:eastAsia="zh-CN"/>
        </w:rPr>
        <w:t>设置</w:t>
      </w:r>
      <w:r>
        <w:rPr>
          <w:rFonts w:ascii="Times New Roman" w:hAnsi="Times New Roman"/>
          <w:color w:val="auto"/>
          <w:szCs w:val="22"/>
          <w:highlight w:val="none"/>
        </w:rPr>
        <w:t>通风橱</w:t>
      </w:r>
      <w:r>
        <w:rPr>
          <w:rFonts w:hint="eastAsia" w:ascii="Times New Roman" w:hAnsi="Times New Roman"/>
          <w:color w:val="auto"/>
          <w:szCs w:val="22"/>
          <w:highlight w:val="none"/>
          <w:lang w:eastAsia="zh-CN"/>
        </w:rPr>
        <w:t>，</w:t>
      </w:r>
      <w:r>
        <w:rPr>
          <w:rFonts w:hint="eastAsia" w:ascii="Times New Roman" w:hAnsi="Times New Roman"/>
          <w:color w:val="auto"/>
          <w:szCs w:val="22"/>
          <w:highlight w:val="none"/>
          <w:lang w:val="en-US" w:eastAsia="zh-CN"/>
        </w:rPr>
        <w:t>但该实验室目前仅进行卡尔费休水分测试，废液转移至收集罐不在通风橱内进行，故废气在实验间一内无组织排放</w:t>
      </w:r>
      <w:r>
        <w:rPr>
          <w:rFonts w:hint="eastAsia" w:ascii="Times New Roman" w:hAnsi="Times New Roman"/>
          <w:color w:val="auto"/>
          <w:szCs w:val="22"/>
          <w:highlight w:val="none"/>
        </w:rPr>
        <w:t>；实验间二</w:t>
      </w:r>
      <w:r>
        <w:rPr>
          <w:rFonts w:hint="eastAsia" w:ascii="Times New Roman" w:hAnsi="Times New Roman"/>
          <w:color w:val="auto"/>
          <w:szCs w:val="22"/>
          <w:highlight w:val="none"/>
          <w:lang w:val="en-US" w:eastAsia="zh-CN"/>
        </w:rPr>
        <w:t>进行粒子计数和质谱测试，硝酸稀释和粒子计数器在通风橱内进行，</w:t>
      </w:r>
      <w:r>
        <w:rPr>
          <w:rFonts w:hint="eastAsia" w:ascii="Times New Roman" w:hAnsi="Times New Roman"/>
          <w:color w:val="auto"/>
          <w:szCs w:val="22"/>
          <w:highlight w:val="none"/>
        </w:rPr>
        <w:t>收集效率</w:t>
      </w:r>
      <w:r>
        <w:rPr>
          <w:rFonts w:hint="eastAsia" w:ascii="Times New Roman" w:hAnsi="Times New Roman"/>
          <w:color w:val="auto"/>
          <w:szCs w:val="22"/>
          <w:highlight w:val="none"/>
          <w:lang w:val="en-US" w:eastAsia="zh-CN"/>
        </w:rPr>
        <w:t>取90</w:t>
      </w:r>
      <w:r>
        <w:rPr>
          <w:rFonts w:hint="eastAsia" w:ascii="Times New Roman" w:hAnsi="Times New Roman"/>
          <w:color w:val="auto"/>
          <w:szCs w:val="22"/>
          <w:highlight w:val="none"/>
        </w:rPr>
        <w:t>%，</w:t>
      </w:r>
      <w:r>
        <w:rPr>
          <w:rFonts w:hint="eastAsia" w:ascii="Times New Roman" w:hAnsi="Times New Roman"/>
          <w:color w:val="auto"/>
          <w:szCs w:val="22"/>
          <w:highlight w:val="none"/>
          <w:lang w:val="en-US" w:eastAsia="zh-CN"/>
        </w:rPr>
        <w:t>质谱仪有引风管直接收集废气至废气处理设施，收集率取100%。</w:t>
      </w:r>
      <w:r>
        <w:rPr>
          <w:rFonts w:hint="eastAsia" w:ascii="Times New Roman" w:hAnsi="Times New Roman"/>
          <w:color w:val="auto"/>
          <w:szCs w:val="22"/>
          <w:highlight w:val="none"/>
        </w:rPr>
        <w:t>未捕集部分以无组织形式排放外环境。</w:t>
      </w:r>
    </w:p>
    <w:p w14:paraId="25AFC058">
      <w:pPr>
        <w:pStyle w:val="41"/>
        <w:widowControl w:val="0"/>
        <w:autoSpaceDE w:val="0"/>
        <w:autoSpaceDN w:val="0"/>
        <w:spacing w:before="0" w:beforeAutospacing="0" w:after="0" w:afterAutospacing="0" w:line="360" w:lineRule="auto"/>
        <w:ind w:left="-105" w:right="-105" w:firstLine="482" w:firstLineChars="200"/>
        <w:jc w:val="both"/>
        <w:rPr>
          <w:rFonts w:ascii="Times New Roman" w:hAnsi="Times New Roman"/>
          <w:b/>
          <w:bCs/>
          <w:color w:val="auto"/>
          <w:szCs w:val="24"/>
          <w:highlight w:val="none"/>
          <w:lang w:bidi="ar"/>
        </w:rPr>
      </w:pPr>
      <w:r>
        <w:rPr>
          <w:rFonts w:hint="eastAsia" w:ascii="Times New Roman" w:hAnsi="Times New Roman"/>
          <w:b/>
          <w:bCs/>
          <w:color w:val="auto"/>
          <w:szCs w:val="24"/>
          <w:highlight w:val="none"/>
          <w:lang w:bidi="ar"/>
        </w:rPr>
        <w:t>（3）治理方法</w:t>
      </w:r>
    </w:p>
    <w:p w14:paraId="3C15F275">
      <w:pPr>
        <w:pStyle w:val="41"/>
        <w:widowControl w:val="0"/>
        <w:autoSpaceDE w:val="0"/>
        <w:autoSpaceDN w:val="0"/>
        <w:spacing w:before="0" w:beforeAutospacing="0" w:after="0" w:afterAutospacing="0" w:line="360" w:lineRule="auto"/>
        <w:ind w:left="-105" w:right="-105" w:firstLine="480" w:firstLineChars="200"/>
        <w:jc w:val="both"/>
        <w:rPr>
          <w:rFonts w:ascii="Times New Roman" w:hAnsi="Times New Roman"/>
          <w:color w:val="auto"/>
          <w:szCs w:val="24"/>
          <w:highlight w:val="none"/>
          <w:lang w:bidi="ar"/>
        </w:rPr>
      </w:pPr>
      <w:r>
        <w:rPr>
          <w:rFonts w:hint="eastAsia" w:ascii="Times New Roman" w:hAnsi="Times New Roman"/>
          <w:color w:val="auto"/>
          <w:szCs w:val="24"/>
          <w:highlight w:val="none"/>
          <w:lang w:bidi="ar"/>
        </w:rPr>
        <w:t>本项目共有2类废气处理设施：分别为三级碱液喷淋塔和二级活性炭装置，各废气处理设施工作原理如下：</w:t>
      </w:r>
    </w:p>
    <w:p w14:paraId="26135369">
      <w:pPr>
        <w:pStyle w:val="41"/>
        <w:widowControl w:val="0"/>
        <w:autoSpaceDE w:val="0"/>
        <w:autoSpaceDN w:val="0"/>
        <w:spacing w:before="0" w:beforeAutospacing="0" w:after="0" w:afterAutospacing="0" w:line="360" w:lineRule="auto"/>
        <w:ind w:left="-105" w:right="-105" w:firstLine="482" w:firstLineChars="200"/>
        <w:jc w:val="both"/>
        <w:rPr>
          <w:rFonts w:cs="宋体"/>
          <w:b/>
          <w:bCs/>
          <w:color w:val="auto"/>
          <w:szCs w:val="24"/>
          <w:highlight w:val="none"/>
          <w:lang w:bidi="ar"/>
        </w:rPr>
      </w:pPr>
      <w:r>
        <w:rPr>
          <w:rFonts w:hint="eastAsia"/>
          <w:b/>
          <w:bCs/>
          <w:color w:val="auto"/>
          <w:szCs w:val="24"/>
          <w:highlight w:val="none"/>
          <w:lang w:bidi="ar"/>
        </w:rPr>
        <w:t>①</w:t>
      </w:r>
      <w:r>
        <w:rPr>
          <w:rFonts w:hint="eastAsia" w:ascii="Times New Roman" w:hAnsi="Times New Roman"/>
          <w:b/>
          <w:bCs/>
          <w:color w:val="auto"/>
          <w:szCs w:val="24"/>
          <w:highlight w:val="none"/>
          <w:lang w:bidi="ar"/>
        </w:rPr>
        <w:t>三级喷淋塔</w:t>
      </w:r>
    </w:p>
    <w:p w14:paraId="74C4AE70">
      <w:pPr>
        <w:pStyle w:val="41"/>
        <w:widowControl w:val="0"/>
        <w:autoSpaceDE w:val="0"/>
        <w:autoSpaceDN w:val="0"/>
        <w:spacing w:before="0" w:beforeAutospacing="0" w:after="0" w:afterAutospacing="0" w:line="360" w:lineRule="auto"/>
        <w:ind w:left="-105" w:right="-105" w:firstLine="480" w:firstLineChars="200"/>
        <w:jc w:val="both"/>
        <w:rPr>
          <w:rFonts w:ascii="Times New Roman" w:hAnsi="Times New Roman"/>
          <w:color w:val="auto"/>
          <w:szCs w:val="24"/>
          <w:highlight w:val="none"/>
          <w:lang w:bidi="ar"/>
        </w:rPr>
      </w:pPr>
      <w:r>
        <w:rPr>
          <w:rFonts w:ascii="Times New Roman" w:hAnsi="Times New Roman"/>
          <w:color w:val="auto"/>
          <w:szCs w:val="24"/>
          <w:highlight w:val="none"/>
          <w:lang w:bidi="ar"/>
        </w:rPr>
        <w:t>本项目的喷淋塔为PP材质，耐腐蚀性能高，热变型温度达120℃，喷淋头均为无堵塞型，采用多面空心球填料，其优越的分散气流性能使废气与吸收液接触面积增大，提高吸收效率，另外塔顶部的除雾器可以防止液体排入空气中，定期视情况添加液碱确保达标排放。采用浓度约10%的NaOH溶液作为喷淋液，碱液喷淋装置的直径为</w:t>
      </w:r>
      <w:r>
        <w:rPr>
          <w:rFonts w:hint="eastAsia" w:ascii="Times New Roman" w:hAnsi="Times New Roman"/>
          <w:color w:val="auto"/>
          <w:szCs w:val="24"/>
          <w:highlight w:val="none"/>
          <w:lang w:bidi="ar"/>
        </w:rPr>
        <w:t>2.5</w:t>
      </w:r>
      <w:r>
        <w:rPr>
          <w:rFonts w:ascii="Times New Roman" w:hAnsi="Times New Roman"/>
          <w:color w:val="auto"/>
          <w:szCs w:val="24"/>
          <w:highlight w:val="none"/>
          <w:lang w:bidi="ar"/>
        </w:rPr>
        <w:t>m、高6.</w:t>
      </w:r>
      <w:r>
        <w:rPr>
          <w:rFonts w:hint="eastAsia" w:ascii="Times New Roman" w:hAnsi="Times New Roman"/>
          <w:color w:val="auto"/>
          <w:szCs w:val="24"/>
          <w:highlight w:val="none"/>
          <w:lang w:bidi="ar"/>
        </w:rPr>
        <w:t>8</w:t>
      </w:r>
      <w:r>
        <w:rPr>
          <w:rFonts w:ascii="Times New Roman" w:hAnsi="Times New Roman"/>
          <w:color w:val="auto"/>
          <w:szCs w:val="24"/>
          <w:highlight w:val="none"/>
          <w:lang w:bidi="ar"/>
        </w:rPr>
        <w:t>m，空塔流速≤1.5m/s。</w:t>
      </w:r>
    </w:p>
    <w:p w14:paraId="2C600F22">
      <w:pPr>
        <w:pStyle w:val="41"/>
        <w:widowControl w:val="0"/>
        <w:autoSpaceDE w:val="0"/>
        <w:autoSpaceDN w:val="0"/>
        <w:spacing w:before="0" w:beforeAutospacing="0" w:after="0" w:afterAutospacing="0" w:line="360" w:lineRule="auto"/>
        <w:ind w:left="-105" w:right="-105" w:firstLine="480" w:firstLineChars="200"/>
        <w:jc w:val="both"/>
        <w:rPr>
          <w:rFonts w:ascii="Times New Roman" w:hAnsi="Times New Roman"/>
          <w:color w:val="auto"/>
          <w:szCs w:val="24"/>
          <w:highlight w:val="none"/>
          <w:lang w:bidi="ar"/>
        </w:rPr>
      </w:pPr>
      <w:r>
        <w:rPr>
          <w:rFonts w:ascii="Times New Roman" w:hAnsi="Times New Roman"/>
          <w:color w:val="auto"/>
          <w:szCs w:val="24"/>
          <w:highlight w:val="none"/>
          <w:lang w:bidi="ar"/>
        </w:rPr>
        <w:t>三级喷淋塔运行原理见</w:t>
      </w:r>
      <w:r>
        <w:rPr>
          <w:rFonts w:ascii="Times New Roman" w:hAnsi="Times New Roman"/>
          <w:color w:val="auto"/>
          <w:szCs w:val="24"/>
          <w:highlight w:val="none"/>
          <w:lang w:bidi="ar"/>
        </w:rPr>
        <w:fldChar w:fldCharType="begin"/>
      </w:r>
      <w:r>
        <w:rPr>
          <w:rFonts w:ascii="Times New Roman" w:hAnsi="Times New Roman"/>
          <w:color w:val="auto"/>
          <w:szCs w:val="24"/>
          <w:highlight w:val="none"/>
          <w:lang w:bidi="ar"/>
        </w:rPr>
        <w:instrText xml:space="preserve"> REF _Ref61876820 \h  \* MERGEFORMAT </w:instrText>
      </w:r>
      <w:r>
        <w:rPr>
          <w:rFonts w:ascii="Times New Roman" w:hAnsi="Times New Roman"/>
          <w:color w:val="auto"/>
          <w:szCs w:val="24"/>
          <w:highlight w:val="none"/>
          <w:lang w:bidi="ar"/>
        </w:rPr>
        <w:fldChar w:fldCharType="separate"/>
      </w:r>
      <w:r>
        <w:rPr>
          <w:rFonts w:ascii="Times New Roman" w:hAnsi="Times New Roman"/>
          <w:color w:val="auto"/>
          <w:szCs w:val="22"/>
          <w:highlight w:val="none"/>
          <w:lang w:bidi="ar"/>
        </w:rPr>
        <w:t>图7.1</w:t>
      </w:r>
      <w:r>
        <w:rPr>
          <w:rFonts w:ascii="Times New Roman" w:hAnsi="Times New Roman"/>
          <w:color w:val="auto"/>
          <w:szCs w:val="22"/>
          <w:highlight w:val="none"/>
          <w:lang w:bidi="ar"/>
        </w:rPr>
        <w:noBreakHyphen/>
      </w:r>
      <w:r>
        <w:rPr>
          <w:rFonts w:ascii="Times New Roman" w:hAnsi="Times New Roman"/>
          <w:color w:val="auto"/>
          <w:szCs w:val="22"/>
          <w:highlight w:val="none"/>
          <w:lang w:bidi="ar"/>
        </w:rPr>
        <w:t>2</w:t>
      </w:r>
      <w:r>
        <w:rPr>
          <w:rFonts w:ascii="Times New Roman" w:hAnsi="Times New Roman"/>
          <w:color w:val="auto"/>
          <w:szCs w:val="24"/>
          <w:highlight w:val="none"/>
          <w:lang w:bidi="ar"/>
        </w:rPr>
        <w:fldChar w:fldCharType="end"/>
      </w:r>
      <w:r>
        <w:rPr>
          <w:rFonts w:ascii="Times New Roman" w:hAnsi="Times New Roman"/>
          <w:color w:val="auto"/>
          <w:szCs w:val="24"/>
          <w:highlight w:val="none"/>
          <w:lang w:bidi="ar"/>
        </w:rPr>
        <w:t>所示。</w:t>
      </w:r>
    </w:p>
    <w:p w14:paraId="686FDA5C">
      <w:pPr>
        <w:ind w:left="-105" w:right="-105" w:firstLine="420"/>
        <w:rPr>
          <w:color w:val="auto"/>
          <w:highlight w:val="none"/>
        </w:rPr>
      </w:pPr>
      <w:r>
        <w:rPr>
          <w:color w:val="auto"/>
          <w:sz w:val="21"/>
          <w:highlight w:val="none"/>
        </w:rPr>
        <mc:AlternateContent>
          <mc:Choice Requires="wpg">
            <w:drawing>
              <wp:anchor distT="0" distB="0" distL="114300" distR="114300" simplePos="0" relativeHeight="251669504" behindDoc="0" locked="0" layoutInCell="1" allowOverlap="1">
                <wp:simplePos x="0" y="0"/>
                <wp:positionH relativeFrom="column">
                  <wp:posOffset>1397635</wp:posOffset>
                </wp:positionH>
                <wp:positionV relativeFrom="paragraph">
                  <wp:posOffset>24765</wp:posOffset>
                </wp:positionV>
                <wp:extent cx="3023870" cy="2825750"/>
                <wp:effectExtent l="0" t="0" r="5080" b="12700"/>
                <wp:wrapTopAndBottom/>
                <wp:docPr id="199" name="组合 199"/>
                <wp:cNvGraphicFramePr/>
                <a:graphic xmlns:a="http://schemas.openxmlformats.org/drawingml/2006/main">
                  <a:graphicData uri="http://schemas.microsoft.com/office/word/2010/wordprocessingGroup">
                    <wpg:wgp>
                      <wpg:cNvGrpSpPr/>
                      <wpg:grpSpPr>
                        <a:xfrm>
                          <a:off x="0" y="0"/>
                          <a:ext cx="3023870" cy="2825750"/>
                          <a:chOff x="5481" y="647115"/>
                          <a:chExt cx="4607" cy="4225"/>
                        </a:xfrm>
                      </wpg:grpSpPr>
                      <pic:pic xmlns:pic="http://schemas.openxmlformats.org/drawingml/2006/picture">
                        <pic:nvPicPr>
                          <pic:cNvPr id="197" name="图片 1161" descr="56b196cf2e546df6cc87f8a8eb0bfcd"/>
                          <pic:cNvPicPr>
                            <a:picLocks noChangeAspect="1"/>
                          </pic:cNvPicPr>
                        </pic:nvPicPr>
                        <pic:blipFill>
                          <a:blip r:embed="rId59"/>
                          <a:stretch>
                            <a:fillRect/>
                          </a:stretch>
                        </pic:blipFill>
                        <pic:spPr>
                          <a:xfrm>
                            <a:off x="5481" y="647115"/>
                            <a:ext cx="4581" cy="3622"/>
                          </a:xfrm>
                          <a:prstGeom prst="rect">
                            <a:avLst/>
                          </a:prstGeom>
                          <a:noFill/>
                          <a:ln>
                            <a:noFill/>
                          </a:ln>
                        </pic:spPr>
                      </pic:pic>
                      <pic:pic xmlns:pic="http://schemas.openxmlformats.org/drawingml/2006/picture">
                        <pic:nvPicPr>
                          <pic:cNvPr id="198" name="图片 1162" descr="56b196cf2e546df6cc87f8a8eb0bfcd"/>
                          <pic:cNvPicPr>
                            <a:picLocks noChangeAspect="1"/>
                          </pic:cNvPicPr>
                        </pic:nvPicPr>
                        <pic:blipFill>
                          <a:blip r:embed="rId59"/>
                          <a:srcRect t="47101" r="-568"/>
                          <a:stretch>
                            <a:fillRect/>
                          </a:stretch>
                        </pic:blipFill>
                        <pic:spPr>
                          <a:xfrm>
                            <a:off x="5481" y="649424"/>
                            <a:ext cx="4607" cy="1916"/>
                          </a:xfrm>
                          <a:prstGeom prst="rect">
                            <a:avLst/>
                          </a:prstGeom>
                          <a:noFill/>
                          <a:ln>
                            <a:noFill/>
                          </a:ln>
                        </pic:spPr>
                      </pic:pic>
                    </wpg:wgp>
                  </a:graphicData>
                </a:graphic>
              </wp:anchor>
            </w:drawing>
          </mc:Choice>
          <mc:Fallback>
            <w:pict>
              <v:group id="_x0000_s1026" o:spid="_x0000_s1026" o:spt="203" style="position:absolute;left:0pt;margin-left:110.05pt;margin-top:1.95pt;height:222.5pt;width:238.1pt;mso-wrap-distance-bottom:0pt;mso-wrap-distance-top:0pt;z-index:251669504;mso-width-relative:page;mso-height-relative:page;" coordorigin="5481,647115" coordsize="4607,4225" o:gfxdata="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">
                <o:lock v:ext="edit" aspectratio="f"/>
                <v:shape id="图片 1161" o:spid="_x0000_s1026" o:spt="75" alt="56b196cf2e546df6cc87f8a8eb0bfcd" type="#_x0000_t75" style="position:absolute;left:5481;top:647115;height:3622;width:4581;" filled="f" o:preferrelative="t" stroked="f" coordsize="21600,21600" o:gfxdata="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4YteLLsAAADc&#10;AAAADwAAAAAAAAABACAAAAAiAAAAZHJzL2Rvd25yZXYueG1sUEsBAhQAFAAAAAgAh07iQDMvBZ47&#10;AAAAOQAAABAAAAAAAAAAAQAgAAAACgEAAGRycy9zaGFwZXhtbC54bWxQSwUGAAAAAAYABgBbAQAA&#10;tAMAAAAA&#10;">
                  <v:fill on="f" focussize="0,0"/>
                  <v:stroke on="f"/>
                  <v:imagedata r:id="rId59" o:title=""/>
                  <o:lock v:ext="edit" aspectratio="t"/>
                </v:shape>
                <v:shape id="图片 1162" o:spid="_x0000_s1026" o:spt="75" alt="56b196cf2e546df6cc87f8a8eb0bfcd" type="#_x0000_t75" style="position:absolute;left:5481;top:649424;height:1916;width:4607;" filled="f" o:preferrelative="t" stroked="f" coordsize="21600,21600" o:gfxdata="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3KT6&#10;MMEAAADcAAAADwAAAAAAAAABACAAAAAiAAAAZHJzL2Rvd25yZXYueG1sUEsBAhQAFAAAAAgAh07i&#10;QDMvBZ47AAAAOQAAABAAAAAAAAAAAQAgAAAAEAEAAGRycy9zaGFwZXhtbC54bWxQSwUGAAAAAAYA&#10;BgBbAQAAugMAAAAA&#10;">
                  <v:fill on="f" focussize="0,0"/>
                  <v:stroke on="f"/>
                  <v:imagedata r:id="rId59" croptop="30868f" cropright="-372f" o:title=""/>
                  <o:lock v:ext="edit" aspectratio="t"/>
                </v:shape>
                <w10:wrap type="topAndBottom"/>
              </v:group>
            </w:pict>
          </mc:Fallback>
        </mc:AlternateContent>
      </w:r>
    </w:p>
    <w:p w14:paraId="1C45D333">
      <w:pPr>
        <w:pStyle w:val="15"/>
        <w:ind w:left="-105" w:right="-105" w:firstLine="482"/>
        <w:rPr>
          <w:rFonts w:eastAsia="宋体" w:cs="Times New Roman"/>
          <w:color w:val="auto"/>
          <w:sz w:val="24"/>
          <w:szCs w:val="22"/>
          <w:highlight w:val="none"/>
          <w:lang w:bidi="ar"/>
        </w:rPr>
      </w:pPr>
      <w:bookmarkStart w:id="445" w:name="_Ref61876820"/>
      <w:r>
        <w:rPr>
          <w:rFonts w:eastAsia="宋体" w:cs="Times New Roman"/>
          <w:color w:val="auto"/>
          <w:sz w:val="24"/>
          <w:szCs w:val="22"/>
          <w:highlight w:val="none"/>
          <w:lang w:bidi="ar"/>
        </w:rPr>
        <w:t>图</w:t>
      </w:r>
      <w:r>
        <w:rPr>
          <w:rFonts w:eastAsia="宋体" w:cs="Times New Roman"/>
          <w:color w:val="auto"/>
          <w:sz w:val="24"/>
          <w:szCs w:val="22"/>
          <w:highlight w:val="none"/>
          <w:lang w:bidi="ar"/>
        </w:rPr>
        <w:fldChar w:fldCharType="begin"/>
      </w:r>
      <w:r>
        <w:rPr>
          <w:rFonts w:eastAsia="宋体" w:cs="Times New Roman"/>
          <w:color w:val="auto"/>
          <w:sz w:val="24"/>
          <w:szCs w:val="22"/>
          <w:highlight w:val="none"/>
          <w:lang w:bidi="ar"/>
        </w:rPr>
        <w:instrText xml:space="preserve"> STYLEREF 2 \s </w:instrText>
      </w:r>
      <w:r>
        <w:rPr>
          <w:rFonts w:eastAsia="宋体" w:cs="Times New Roman"/>
          <w:color w:val="auto"/>
          <w:sz w:val="24"/>
          <w:szCs w:val="22"/>
          <w:highlight w:val="none"/>
          <w:lang w:bidi="ar"/>
        </w:rPr>
        <w:fldChar w:fldCharType="separate"/>
      </w:r>
      <w:r>
        <w:rPr>
          <w:rFonts w:eastAsia="宋体" w:cs="Times New Roman"/>
          <w:color w:val="auto"/>
          <w:sz w:val="24"/>
          <w:szCs w:val="22"/>
          <w:highlight w:val="none"/>
          <w:lang w:bidi="ar"/>
        </w:rPr>
        <w:t>7.1</w:t>
      </w:r>
      <w:r>
        <w:rPr>
          <w:rFonts w:eastAsia="宋体" w:cs="Times New Roman"/>
          <w:color w:val="auto"/>
          <w:sz w:val="24"/>
          <w:szCs w:val="22"/>
          <w:highlight w:val="none"/>
          <w:lang w:bidi="ar"/>
        </w:rPr>
        <w:fldChar w:fldCharType="end"/>
      </w:r>
      <w:r>
        <w:rPr>
          <w:rFonts w:eastAsia="宋体" w:cs="Times New Roman"/>
          <w:color w:val="auto"/>
          <w:sz w:val="24"/>
          <w:szCs w:val="22"/>
          <w:highlight w:val="none"/>
          <w:lang w:bidi="ar"/>
        </w:rPr>
        <w:noBreakHyphen/>
      </w:r>
      <w:r>
        <w:rPr>
          <w:rFonts w:eastAsia="宋体" w:cs="Times New Roman"/>
          <w:color w:val="auto"/>
          <w:sz w:val="24"/>
          <w:szCs w:val="22"/>
          <w:highlight w:val="none"/>
          <w:lang w:bidi="ar"/>
        </w:rPr>
        <w:fldChar w:fldCharType="begin"/>
      </w:r>
      <w:r>
        <w:rPr>
          <w:rFonts w:eastAsia="宋体" w:cs="Times New Roman"/>
          <w:color w:val="auto"/>
          <w:sz w:val="24"/>
          <w:szCs w:val="22"/>
          <w:highlight w:val="none"/>
          <w:lang w:bidi="ar"/>
        </w:rPr>
        <w:instrText xml:space="preserve"> SEQ 图 \* ARABIC \s 2 </w:instrText>
      </w:r>
      <w:r>
        <w:rPr>
          <w:rFonts w:eastAsia="宋体" w:cs="Times New Roman"/>
          <w:color w:val="auto"/>
          <w:sz w:val="24"/>
          <w:szCs w:val="22"/>
          <w:highlight w:val="none"/>
          <w:lang w:bidi="ar"/>
        </w:rPr>
        <w:fldChar w:fldCharType="separate"/>
      </w:r>
      <w:r>
        <w:rPr>
          <w:rFonts w:eastAsia="宋体" w:cs="Times New Roman"/>
          <w:color w:val="auto"/>
          <w:sz w:val="24"/>
          <w:szCs w:val="22"/>
          <w:highlight w:val="none"/>
          <w:lang w:bidi="ar"/>
        </w:rPr>
        <w:t>2</w:t>
      </w:r>
      <w:r>
        <w:rPr>
          <w:rFonts w:eastAsia="宋体" w:cs="Times New Roman"/>
          <w:color w:val="auto"/>
          <w:sz w:val="24"/>
          <w:szCs w:val="22"/>
          <w:highlight w:val="none"/>
          <w:lang w:bidi="ar"/>
        </w:rPr>
        <w:fldChar w:fldCharType="end"/>
      </w:r>
      <w:r>
        <w:rPr>
          <w:rFonts w:hint="eastAsia" w:eastAsia="宋体" w:cs="Times New Roman"/>
          <w:color w:val="auto"/>
          <w:sz w:val="24"/>
          <w:szCs w:val="22"/>
          <w:highlight w:val="none"/>
          <w:lang w:bidi="ar"/>
        </w:rPr>
        <w:t>三级喷淋塔运行原理</w:t>
      </w:r>
      <w:bookmarkEnd w:id="445"/>
    </w:p>
    <w:p w14:paraId="296044F8">
      <w:pPr>
        <w:pStyle w:val="41"/>
        <w:widowControl w:val="0"/>
        <w:autoSpaceDE w:val="0"/>
        <w:autoSpaceDN w:val="0"/>
        <w:spacing w:before="120" w:beforeLines="50" w:beforeAutospacing="0" w:after="0" w:afterAutospacing="0" w:line="360" w:lineRule="auto"/>
        <w:ind w:left="-105" w:right="-105" w:firstLine="482" w:firstLineChars="200"/>
        <w:jc w:val="both"/>
        <w:rPr>
          <w:rFonts w:cs="宋体"/>
          <w:color w:val="auto"/>
          <w:szCs w:val="24"/>
          <w:highlight w:val="none"/>
          <w:lang w:bidi="ar"/>
        </w:rPr>
      </w:pPr>
      <w:r>
        <w:rPr>
          <w:rFonts w:hint="eastAsia" w:cs="宋体"/>
          <w:b/>
          <w:bCs/>
          <w:color w:val="auto"/>
          <w:szCs w:val="24"/>
          <w:highlight w:val="none"/>
          <w:lang w:bidi="ar"/>
        </w:rPr>
        <w:t>去除原理：</w:t>
      </w:r>
      <w:r>
        <w:rPr>
          <w:rFonts w:hint="eastAsia" w:cs="宋体"/>
          <w:color w:val="auto"/>
          <w:szCs w:val="24"/>
          <w:highlight w:val="none"/>
          <w:lang w:bidi="ar"/>
        </w:rPr>
        <w:t>喷淋液从塔顶经液体分布器喷淋到填料上，并沿填料表面流下，气体从塔底送入，经气体分布装置分布，与液体呈逆流连续通过填料层的空隙，气液两相在填料表面密切接触传质。喷淋液循环使用，在使用过程中会有部分损失，位于塔底的循环水箱适时补充喷淋液；含水的气体经过除雾器去除多余水分后由排风机排入大气。</w:t>
      </w:r>
    </w:p>
    <w:p w14:paraId="35CAD561">
      <w:pPr>
        <w:pStyle w:val="15"/>
        <w:ind w:left="-105" w:right="-105" w:firstLine="482"/>
        <w:rPr>
          <w:rFonts w:eastAsia="宋体" w:cs="Times New Roman"/>
          <w:color w:val="auto"/>
          <w:sz w:val="24"/>
          <w:szCs w:val="22"/>
          <w:highlight w:val="none"/>
          <w:lang w:bidi="ar"/>
        </w:rPr>
      </w:pPr>
      <w:r>
        <w:rPr>
          <w:rFonts w:eastAsia="宋体" w:cs="Times New Roman"/>
          <w:color w:val="auto"/>
          <w:sz w:val="24"/>
          <w:szCs w:val="22"/>
          <w:highlight w:val="none"/>
          <w:lang w:bidi="ar"/>
        </w:rPr>
        <w:t>表</w:t>
      </w:r>
      <w:r>
        <w:rPr>
          <w:rFonts w:eastAsia="宋体" w:cs="Times New Roman"/>
          <w:color w:val="auto"/>
          <w:sz w:val="24"/>
          <w:szCs w:val="22"/>
          <w:highlight w:val="none"/>
          <w:lang w:bidi="ar"/>
        </w:rPr>
        <w:fldChar w:fldCharType="begin"/>
      </w:r>
      <w:r>
        <w:rPr>
          <w:rFonts w:eastAsia="宋体" w:cs="Times New Roman"/>
          <w:color w:val="auto"/>
          <w:sz w:val="24"/>
          <w:szCs w:val="22"/>
          <w:highlight w:val="none"/>
          <w:lang w:bidi="ar"/>
        </w:rPr>
        <w:instrText xml:space="preserve"> STYLEREF 2 \s </w:instrText>
      </w:r>
      <w:r>
        <w:rPr>
          <w:rFonts w:eastAsia="宋体" w:cs="Times New Roman"/>
          <w:color w:val="auto"/>
          <w:sz w:val="24"/>
          <w:szCs w:val="22"/>
          <w:highlight w:val="none"/>
          <w:lang w:bidi="ar"/>
        </w:rPr>
        <w:fldChar w:fldCharType="separate"/>
      </w:r>
      <w:r>
        <w:rPr>
          <w:rFonts w:eastAsia="宋体" w:cs="Times New Roman"/>
          <w:color w:val="auto"/>
          <w:sz w:val="24"/>
          <w:szCs w:val="22"/>
          <w:highlight w:val="none"/>
          <w:lang w:bidi="ar"/>
        </w:rPr>
        <w:t>7.1</w:t>
      </w:r>
      <w:r>
        <w:rPr>
          <w:rFonts w:eastAsia="宋体" w:cs="Times New Roman"/>
          <w:color w:val="auto"/>
          <w:sz w:val="24"/>
          <w:szCs w:val="22"/>
          <w:highlight w:val="none"/>
          <w:lang w:bidi="ar"/>
        </w:rPr>
        <w:fldChar w:fldCharType="end"/>
      </w:r>
      <w:r>
        <w:rPr>
          <w:rFonts w:eastAsia="宋体" w:cs="Times New Roman"/>
          <w:color w:val="auto"/>
          <w:sz w:val="24"/>
          <w:szCs w:val="22"/>
          <w:highlight w:val="none"/>
          <w:lang w:bidi="ar"/>
        </w:rPr>
        <w:noBreakHyphen/>
      </w:r>
      <w:r>
        <w:rPr>
          <w:rFonts w:eastAsia="宋体" w:cs="Times New Roman"/>
          <w:color w:val="auto"/>
          <w:sz w:val="24"/>
          <w:szCs w:val="22"/>
          <w:highlight w:val="none"/>
          <w:lang w:bidi="ar"/>
        </w:rPr>
        <w:fldChar w:fldCharType="begin"/>
      </w:r>
      <w:r>
        <w:rPr>
          <w:rFonts w:eastAsia="宋体" w:cs="Times New Roman"/>
          <w:color w:val="auto"/>
          <w:sz w:val="24"/>
          <w:szCs w:val="22"/>
          <w:highlight w:val="none"/>
          <w:lang w:bidi="ar"/>
        </w:rPr>
        <w:instrText xml:space="preserve"> SEQ 表 \* ARABIC \s 2 </w:instrText>
      </w:r>
      <w:r>
        <w:rPr>
          <w:rFonts w:eastAsia="宋体" w:cs="Times New Roman"/>
          <w:color w:val="auto"/>
          <w:sz w:val="24"/>
          <w:szCs w:val="22"/>
          <w:highlight w:val="none"/>
          <w:lang w:bidi="ar"/>
        </w:rPr>
        <w:fldChar w:fldCharType="separate"/>
      </w:r>
      <w:r>
        <w:rPr>
          <w:rFonts w:eastAsia="宋体" w:cs="Times New Roman"/>
          <w:color w:val="auto"/>
          <w:sz w:val="24"/>
          <w:szCs w:val="22"/>
          <w:highlight w:val="none"/>
          <w:lang w:bidi="ar"/>
        </w:rPr>
        <w:t>2</w:t>
      </w:r>
      <w:r>
        <w:rPr>
          <w:rFonts w:eastAsia="宋体" w:cs="Times New Roman"/>
          <w:color w:val="auto"/>
          <w:sz w:val="24"/>
          <w:szCs w:val="22"/>
          <w:highlight w:val="none"/>
          <w:lang w:bidi="ar"/>
        </w:rPr>
        <w:fldChar w:fldCharType="end"/>
      </w:r>
      <w:r>
        <w:rPr>
          <w:rFonts w:eastAsia="宋体" w:cs="Times New Roman"/>
          <w:color w:val="auto"/>
          <w:sz w:val="24"/>
          <w:szCs w:val="22"/>
          <w:highlight w:val="none"/>
          <w:lang w:bidi="ar"/>
        </w:rPr>
        <w:t>三级喷淋塔主要技术参数</w:t>
      </w:r>
    </w:p>
    <w:tbl>
      <w:tblPr>
        <w:tblStyle w:val="45"/>
        <w:tblW w:w="8701" w:type="dxa"/>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044"/>
        <w:gridCol w:w="1602"/>
        <w:gridCol w:w="1335"/>
        <w:gridCol w:w="1512"/>
        <w:gridCol w:w="1051"/>
        <w:gridCol w:w="1121"/>
        <w:gridCol w:w="1036"/>
      </w:tblGrid>
      <w:tr w14:paraId="6433F55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92" w:hRule="atLeast"/>
        </w:trPr>
        <w:tc>
          <w:tcPr>
            <w:tcW w:w="1044" w:type="dxa"/>
            <w:shd w:val="clear" w:color="auto" w:fill="auto"/>
            <w:noWrap/>
            <w:vAlign w:val="center"/>
          </w:tcPr>
          <w:p w14:paraId="15B47CF3">
            <w:pPr>
              <w:ind w:left="-105" w:right="-105"/>
              <w:jc w:val="center"/>
              <w:rPr>
                <w:rFonts w:ascii="Times New Roman" w:hAnsi="Times New Roman" w:cs="Times New Roman"/>
                <w:b/>
                <w:bCs/>
                <w:color w:val="auto"/>
                <w:sz w:val="21"/>
                <w:szCs w:val="21"/>
                <w:highlight w:val="none"/>
              </w:rPr>
            </w:pPr>
            <w:r>
              <w:rPr>
                <w:rFonts w:hint="eastAsia" w:ascii="Times New Roman" w:hAnsi="Times New Roman" w:cs="Times New Roman"/>
                <w:b/>
                <w:bCs/>
                <w:color w:val="auto"/>
                <w:sz w:val="21"/>
                <w:szCs w:val="21"/>
                <w:highlight w:val="none"/>
              </w:rPr>
              <w:t>材质</w:t>
            </w:r>
          </w:p>
        </w:tc>
        <w:tc>
          <w:tcPr>
            <w:tcW w:w="1602" w:type="dxa"/>
            <w:shd w:val="clear" w:color="auto" w:fill="auto"/>
            <w:noWrap/>
            <w:vAlign w:val="center"/>
          </w:tcPr>
          <w:p w14:paraId="7344D191">
            <w:pPr>
              <w:ind w:left="-105" w:right="-105"/>
              <w:jc w:val="center"/>
              <w:rPr>
                <w:rFonts w:ascii="Times New Roman" w:hAnsi="Times New Roman" w:cs="Times New Roman"/>
                <w:b/>
                <w:bCs/>
                <w:color w:val="auto"/>
                <w:sz w:val="21"/>
                <w:szCs w:val="21"/>
                <w:highlight w:val="none"/>
              </w:rPr>
            </w:pPr>
            <w:r>
              <w:rPr>
                <w:rFonts w:ascii="Times New Roman" w:hAnsi="Times New Roman" w:cs="Times New Roman"/>
                <w:b/>
                <w:bCs/>
                <w:color w:val="auto"/>
                <w:sz w:val="21"/>
                <w:szCs w:val="21"/>
                <w:highlight w:val="none"/>
              </w:rPr>
              <w:t>处理风量</w:t>
            </w:r>
          </w:p>
        </w:tc>
        <w:tc>
          <w:tcPr>
            <w:tcW w:w="1335" w:type="dxa"/>
            <w:shd w:val="clear" w:color="auto" w:fill="auto"/>
            <w:noWrap/>
            <w:vAlign w:val="center"/>
          </w:tcPr>
          <w:p w14:paraId="474D951E">
            <w:pPr>
              <w:ind w:left="-105" w:right="-105"/>
              <w:jc w:val="center"/>
              <w:rPr>
                <w:rFonts w:ascii="Times New Roman" w:hAnsi="Times New Roman" w:cs="Times New Roman"/>
                <w:b/>
                <w:bCs/>
                <w:color w:val="auto"/>
                <w:sz w:val="21"/>
                <w:szCs w:val="21"/>
                <w:highlight w:val="none"/>
              </w:rPr>
            </w:pPr>
            <w:r>
              <w:rPr>
                <w:rFonts w:ascii="Times New Roman" w:hAnsi="Times New Roman" w:cs="Times New Roman"/>
                <w:b/>
                <w:bCs/>
                <w:color w:val="auto"/>
                <w:sz w:val="21"/>
                <w:szCs w:val="21"/>
                <w:highlight w:val="none"/>
              </w:rPr>
              <w:t>设备尺寸（mm)</w:t>
            </w:r>
          </w:p>
        </w:tc>
        <w:tc>
          <w:tcPr>
            <w:tcW w:w="1512" w:type="dxa"/>
            <w:shd w:val="clear" w:color="auto" w:fill="auto"/>
            <w:noWrap/>
            <w:vAlign w:val="center"/>
          </w:tcPr>
          <w:p w14:paraId="7132ED03">
            <w:pPr>
              <w:ind w:left="-105" w:right="-105"/>
              <w:jc w:val="center"/>
              <w:rPr>
                <w:rFonts w:ascii="Times New Roman" w:hAnsi="Times New Roman" w:cs="Times New Roman"/>
                <w:b/>
                <w:bCs/>
                <w:color w:val="auto"/>
                <w:sz w:val="21"/>
                <w:szCs w:val="21"/>
                <w:highlight w:val="none"/>
              </w:rPr>
            </w:pPr>
            <w:r>
              <w:rPr>
                <w:rFonts w:ascii="Times New Roman" w:hAnsi="Times New Roman" w:cs="Times New Roman"/>
                <w:b/>
                <w:bCs/>
                <w:color w:val="auto"/>
                <w:sz w:val="21"/>
                <w:szCs w:val="21"/>
                <w:highlight w:val="none"/>
              </w:rPr>
              <w:t>风机</w:t>
            </w:r>
          </w:p>
        </w:tc>
        <w:tc>
          <w:tcPr>
            <w:tcW w:w="1051" w:type="dxa"/>
            <w:shd w:val="clear" w:color="auto" w:fill="auto"/>
            <w:noWrap/>
            <w:vAlign w:val="center"/>
          </w:tcPr>
          <w:p w14:paraId="3050E3F1">
            <w:pPr>
              <w:ind w:left="-105" w:right="-105"/>
              <w:jc w:val="center"/>
              <w:rPr>
                <w:rFonts w:ascii="Times New Roman" w:hAnsi="Times New Roman" w:cs="Times New Roman"/>
                <w:b/>
                <w:bCs/>
                <w:color w:val="auto"/>
                <w:sz w:val="21"/>
                <w:szCs w:val="21"/>
                <w:highlight w:val="none"/>
              </w:rPr>
            </w:pPr>
            <w:r>
              <w:rPr>
                <w:rFonts w:ascii="Times New Roman" w:hAnsi="Times New Roman" w:cs="Times New Roman"/>
                <w:b/>
                <w:bCs/>
                <w:color w:val="auto"/>
                <w:sz w:val="21"/>
                <w:szCs w:val="21"/>
                <w:highlight w:val="none"/>
              </w:rPr>
              <w:t>水泵功率</w:t>
            </w:r>
          </w:p>
        </w:tc>
        <w:tc>
          <w:tcPr>
            <w:tcW w:w="1121" w:type="dxa"/>
            <w:shd w:val="clear" w:color="auto" w:fill="auto"/>
            <w:noWrap/>
            <w:vAlign w:val="center"/>
          </w:tcPr>
          <w:p w14:paraId="69FB2A81">
            <w:pPr>
              <w:ind w:left="-105" w:right="-105"/>
              <w:jc w:val="center"/>
              <w:rPr>
                <w:rFonts w:ascii="Times New Roman" w:hAnsi="Times New Roman" w:cs="Times New Roman"/>
                <w:b/>
                <w:bCs/>
                <w:color w:val="auto"/>
                <w:sz w:val="21"/>
                <w:szCs w:val="21"/>
                <w:highlight w:val="none"/>
              </w:rPr>
            </w:pPr>
            <w:r>
              <w:rPr>
                <w:rFonts w:ascii="Times New Roman" w:hAnsi="Times New Roman" w:cs="Times New Roman"/>
                <w:b/>
                <w:bCs/>
                <w:color w:val="auto"/>
                <w:sz w:val="21"/>
                <w:szCs w:val="21"/>
                <w:highlight w:val="none"/>
              </w:rPr>
              <w:t>填料</w:t>
            </w:r>
          </w:p>
        </w:tc>
        <w:tc>
          <w:tcPr>
            <w:tcW w:w="1036" w:type="dxa"/>
            <w:shd w:val="clear" w:color="auto" w:fill="auto"/>
            <w:noWrap/>
            <w:vAlign w:val="center"/>
          </w:tcPr>
          <w:p w14:paraId="72DEDE88">
            <w:pPr>
              <w:ind w:left="-105" w:right="-105"/>
              <w:jc w:val="center"/>
              <w:rPr>
                <w:rFonts w:ascii="Times New Roman" w:hAnsi="Times New Roman" w:cs="Times New Roman"/>
                <w:b/>
                <w:bCs/>
                <w:color w:val="auto"/>
                <w:sz w:val="21"/>
                <w:szCs w:val="21"/>
                <w:highlight w:val="none"/>
              </w:rPr>
            </w:pPr>
            <w:r>
              <w:rPr>
                <w:rFonts w:ascii="Times New Roman" w:hAnsi="Times New Roman" w:cs="Times New Roman"/>
                <w:b/>
                <w:bCs/>
                <w:color w:val="auto"/>
                <w:sz w:val="21"/>
                <w:szCs w:val="21"/>
                <w:highlight w:val="none"/>
              </w:rPr>
              <w:t>风速</w:t>
            </w:r>
          </w:p>
        </w:tc>
      </w:tr>
      <w:tr w14:paraId="243EF6A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92" w:hRule="atLeast"/>
        </w:trPr>
        <w:tc>
          <w:tcPr>
            <w:tcW w:w="1044" w:type="dxa"/>
            <w:shd w:val="clear" w:color="auto" w:fill="auto"/>
            <w:noWrap/>
            <w:vAlign w:val="center"/>
          </w:tcPr>
          <w:p w14:paraId="5636E9D4">
            <w:pPr>
              <w:ind w:left="-105" w:right="-105"/>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阻燃PP</w:t>
            </w:r>
          </w:p>
        </w:tc>
        <w:tc>
          <w:tcPr>
            <w:tcW w:w="1602" w:type="dxa"/>
            <w:shd w:val="clear" w:color="auto" w:fill="auto"/>
            <w:noWrap/>
            <w:vAlign w:val="center"/>
          </w:tcPr>
          <w:p w14:paraId="6DCD8BCF">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20000m³/h</w:t>
            </w:r>
          </w:p>
        </w:tc>
        <w:tc>
          <w:tcPr>
            <w:tcW w:w="1335" w:type="dxa"/>
            <w:shd w:val="clear" w:color="auto" w:fill="auto"/>
            <w:noWrap/>
            <w:vAlign w:val="center"/>
          </w:tcPr>
          <w:p w14:paraId="4AAF983E">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φ2</w:t>
            </w:r>
            <w:r>
              <w:rPr>
                <w:rFonts w:hint="eastAsia" w:ascii="Times New Roman" w:hAnsi="Times New Roman" w:cs="Times New Roman"/>
                <w:color w:val="auto"/>
                <w:sz w:val="21"/>
                <w:szCs w:val="21"/>
                <w:highlight w:val="none"/>
              </w:rPr>
              <w:t>5</w:t>
            </w:r>
            <w:r>
              <w:rPr>
                <w:rFonts w:ascii="Times New Roman" w:hAnsi="Times New Roman" w:cs="Times New Roman"/>
                <w:color w:val="auto"/>
                <w:sz w:val="21"/>
                <w:szCs w:val="21"/>
                <w:highlight w:val="none"/>
              </w:rPr>
              <w:t>00*</w:t>
            </w:r>
            <w:r>
              <w:rPr>
                <w:rFonts w:hint="eastAsia" w:ascii="Times New Roman" w:hAnsi="Times New Roman" w:cs="Times New Roman"/>
                <w:color w:val="auto"/>
                <w:sz w:val="21"/>
                <w:szCs w:val="21"/>
                <w:highlight w:val="none"/>
              </w:rPr>
              <w:t>68</w:t>
            </w:r>
            <w:r>
              <w:rPr>
                <w:rFonts w:ascii="Times New Roman" w:hAnsi="Times New Roman" w:cs="Times New Roman"/>
                <w:color w:val="auto"/>
                <w:sz w:val="21"/>
                <w:szCs w:val="21"/>
                <w:highlight w:val="none"/>
              </w:rPr>
              <w:t>00</w:t>
            </w:r>
          </w:p>
        </w:tc>
        <w:tc>
          <w:tcPr>
            <w:tcW w:w="1512" w:type="dxa"/>
            <w:shd w:val="clear" w:color="auto" w:fill="auto"/>
            <w:noWrap/>
            <w:vAlign w:val="center"/>
          </w:tcPr>
          <w:p w14:paraId="5572E75B">
            <w:pPr>
              <w:ind w:left="-105" w:right="-105"/>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30</w:t>
            </w:r>
            <w:r>
              <w:rPr>
                <w:rFonts w:ascii="Times New Roman" w:hAnsi="Times New Roman" w:cs="Times New Roman"/>
                <w:color w:val="auto"/>
                <w:sz w:val="21"/>
                <w:szCs w:val="21"/>
                <w:highlight w:val="none"/>
              </w:rPr>
              <w:t>kw</w:t>
            </w:r>
            <w:r>
              <w:rPr>
                <w:rFonts w:hint="eastAsia" w:ascii="Times New Roman" w:hAnsi="Times New Roman" w:cs="Times New Roman"/>
                <w:color w:val="auto"/>
                <w:sz w:val="21"/>
                <w:szCs w:val="21"/>
                <w:highlight w:val="none"/>
              </w:rPr>
              <w:t>防爆变频电</w:t>
            </w:r>
            <w:r>
              <w:rPr>
                <w:rFonts w:ascii="Times New Roman" w:hAnsi="Times New Roman" w:cs="Times New Roman"/>
                <w:color w:val="auto"/>
                <w:sz w:val="21"/>
                <w:szCs w:val="21"/>
                <w:highlight w:val="none"/>
              </w:rPr>
              <w:t>机</w:t>
            </w:r>
          </w:p>
        </w:tc>
        <w:tc>
          <w:tcPr>
            <w:tcW w:w="1051" w:type="dxa"/>
            <w:shd w:val="clear" w:color="auto" w:fill="auto"/>
            <w:noWrap/>
            <w:vAlign w:val="center"/>
          </w:tcPr>
          <w:p w14:paraId="62C2463E">
            <w:pPr>
              <w:ind w:left="-105" w:right="-105"/>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5</w:t>
            </w:r>
            <w:r>
              <w:rPr>
                <w:rFonts w:ascii="Times New Roman" w:hAnsi="Times New Roman" w:cs="Times New Roman"/>
                <w:color w:val="auto"/>
                <w:sz w:val="21"/>
                <w:szCs w:val="21"/>
                <w:highlight w:val="none"/>
              </w:rPr>
              <w:t>.5kw</w:t>
            </w:r>
          </w:p>
        </w:tc>
        <w:tc>
          <w:tcPr>
            <w:tcW w:w="1121" w:type="dxa"/>
            <w:shd w:val="clear" w:color="auto" w:fill="auto"/>
            <w:noWrap/>
            <w:vAlign w:val="center"/>
          </w:tcPr>
          <w:p w14:paraId="01B3660A">
            <w:pPr>
              <w:ind w:left="-105" w:right="-105"/>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拉西环2层，空心球1层</w:t>
            </w:r>
          </w:p>
        </w:tc>
        <w:tc>
          <w:tcPr>
            <w:tcW w:w="1036" w:type="dxa"/>
            <w:shd w:val="clear" w:color="auto" w:fill="auto"/>
            <w:noWrap/>
            <w:vAlign w:val="center"/>
          </w:tcPr>
          <w:p w14:paraId="27FAF28C">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1.</w:t>
            </w:r>
            <w:r>
              <w:rPr>
                <w:rFonts w:hint="eastAsia" w:ascii="Times New Roman" w:hAnsi="Times New Roman" w:cs="Times New Roman"/>
                <w:color w:val="auto"/>
                <w:sz w:val="21"/>
                <w:szCs w:val="21"/>
                <w:highlight w:val="none"/>
              </w:rPr>
              <w:t>1</w:t>
            </w:r>
            <w:r>
              <w:rPr>
                <w:rFonts w:ascii="Times New Roman" w:hAnsi="Times New Roman" w:cs="Times New Roman"/>
                <w:color w:val="auto"/>
                <w:sz w:val="21"/>
                <w:szCs w:val="21"/>
                <w:highlight w:val="none"/>
              </w:rPr>
              <w:t>3m/s</w:t>
            </w:r>
          </w:p>
        </w:tc>
      </w:tr>
    </w:tbl>
    <w:p w14:paraId="2DFEB08A">
      <w:pPr>
        <w:pStyle w:val="41"/>
        <w:widowControl w:val="0"/>
        <w:autoSpaceDE w:val="0"/>
        <w:autoSpaceDN w:val="0"/>
        <w:spacing w:before="0" w:beforeAutospacing="0" w:after="0" w:afterAutospacing="0" w:line="360" w:lineRule="auto"/>
        <w:ind w:left="-105" w:right="-105" w:firstLine="482" w:firstLineChars="200"/>
        <w:jc w:val="both"/>
        <w:rPr>
          <w:rFonts w:cs="宋体"/>
          <w:b/>
          <w:bCs/>
          <w:color w:val="auto"/>
          <w:szCs w:val="24"/>
          <w:highlight w:val="none"/>
          <w:lang w:bidi="ar"/>
        </w:rPr>
      </w:pPr>
      <w:r>
        <w:rPr>
          <w:rFonts w:hint="eastAsia"/>
          <w:b/>
          <w:bCs/>
          <w:color w:val="auto"/>
          <w:szCs w:val="24"/>
          <w:highlight w:val="none"/>
          <w:lang w:bidi="ar"/>
        </w:rPr>
        <w:t>②</w:t>
      </w:r>
      <w:r>
        <w:rPr>
          <w:rFonts w:hint="eastAsia" w:cs="宋体"/>
          <w:b/>
          <w:bCs/>
          <w:color w:val="auto"/>
          <w:szCs w:val="24"/>
          <w:highlight w:val="none"/>
          <w:lang w:bidi="ar"/>
        </w:rPr>
        <w:t>二级活性炭装置</w:t>
      </w:r>
    </w:p>
    <w:p w14:paraId="2B2FBD6A">
      <w:pPr>
        <w:autoSpaceDE w:val="0"/>
        <w:autoSpaceDN w:val="0"/>
        <w:spacing w:line="360" w:lineRule="auto"/>
        <w:ind w:left="-105" w:right="-105" w:firstLine="482" w:firstLineChars="200"/>
        <w:rPr>
          <w:rFonts w:ascii="Times New Roman" w:hAnsi="Times New Roman" w:cs="Times New Roman"/>
          <w:color w:val="auto"/>
          <w:highlight w:val="none"/>
        </w:rPr>
      </w:pPr>
      <w:r>
        <w:rPr>
          <w:b/>
          <w:color w:val="auto"/>
          <w:highlight w:val="none"/>
        </w:rPr>
        <w:t>吸附原理：</w:t>
      </w:r>
      <w:r>
        <w:rPr>
          <w:color w:val="auto"/>
          <w:highlight w:val="none"/>
        </w:rPr>
        <w:t>活性炭是一种高效的吸附材料，是处理有机废气的有效材料，当工业废气通过吸附介质时，其中的有机溶剂被“阻留”下来，从而使有机废气得到净</w:t>
      </w:r>
      <w:r>
        <w:rPr>
          <w:rFonts w:ascii="Times New Roman" w:hAnsi="Times New Roman" w:cs="Times New Roman"/>
          <w:color w:val="auto"/>
          <w:highlight w:val="none"/>
        </w:rPr>
        <w:t>化。本项目的吸附材料</w:t>
      </w:r>
      <w:r>
        <w:rPr>
          <w:rFonts w:hint="eastAsia" w:ascii="Times New Roman" w:hAnsi="Times New Roman" w:cs="Times New Roman"/>
          <w:color w:val="auto"/>
          <w:highlight w:val="none"/>
        </w:rPr>
        <w:t>两级均</w:t>
      </w:r>
      <w:r>
        <w:rPr>
          <w:rFonts w:ascii="Times New Roman" w:hAnsi="Times New Roman" w:cs="Times New Roman"/>
          <w:color w:val="auto"/>
          <w:highlight w:val="none"/>
        </w:rPr>
        <w:t>采用</w:t>
      </w:r>
      <w:r>
        <w:rPr>
          <w:rFonts w:hint="eastAsia" w:ascii="Times New Roman" w:hAnsi="Times New Roman" w:cs="Times New Roman"/>
          <w:color w:val="auto"/>
          <w:highlight w:val="none"/>
        </w:rPr>
        <w:t>颗粒活性炭</w:t>
      </w:r>
      <w:r>
        <w:rPr>
          <w:rFonts w:ascii="Times New Roman" w:hAnsi="Times New Roman" w:cs="Times New Roman"/>
          <w:color w:val="auto"/>
          <w:highlight w:val="none"/>
        </w:rPr>
        <w:t>。</w:t>
      </w:r>
      <w:r>
        <w:rPr>
          <w:rFonts w:hint="eastAsia" w:ascii="Times New Roman" w:hAnsi="Times New Roman" w:cs="Times New Roman"/>
          <w:color w:val="auto"/>
          <w:highlight w:val="none"/>
        </w:rPr>
        <w:t>颗粒活性炭的优点：1）强大的吸附能力：由于其具有较大的表面积和微孔结构，颗粒活性炭能够有效地吸附气体和液体中的污染物。2）成本效益：颗粒活性炭的生产成本相对较低，因此价格较为便宜，使得它在各种应用中具有较高的性价比。3）机械强度高：颗粒活性炭的结构较为密实，具有较强的机械强度，不易破碎，这使得它在制备、储存和使用过程中更为可靠。4）易于再生：颗粒活性炭可以通过再生过程重复使用，减少了废弃物的产生，符合可持续发展的要求。5）应用范围广：颗粒活性炭被广泛应用于水处理、空气净化、溶剂回收、有机气体处理等多个领域。</w:t>
      </w:r>
    </w:p>
    <w:p w14:paraId="7AF0A88C">
      <w:pPr>
        <w:pStyle w:val="41"/>
        <w:widowControl w:val="0"/>
        <w:autoSpaceDE w:val="0"/>
        <w:autoSpaceDN w:val="0"/>
        <w:spacing w:before="0" w:beforeAutospacing="0" w:after="0" w:afterAutospacing="0" w:line="360" w:lineRule="auto"/>
        <w:ind w:left="-105" w:right="-105" w:firstLine="480" w:firstLineChars="200"/>
        <w:jc w:val="both"/>
        <w:rPr>
          <w:rFonts w:ascii="Times New Roman" w:hAnsi="Times New Roman"/>
          <w:color w:val="auto"/>
          <w:highlight w:val="none"/>
        </w:rPr>
      </w:pPr>
      <w:r>
        <w:rPr>
          <w:rFonts w:ascii="Times New Roman" w:hAnsi="Times New Roman"/>
          <w:color w:val="auto"/>
          <w:highlight w:val="none"/>
        </w:rPr>
        <w:t>根据《无锡士林电机有限公司——年产汽车用点火线圈100万只、起动电机零部件25万只扩建项目》竣工验收报告锡新环竣监（2014）字第（009）号，二级活性炭对有机废气去除效率达到92%左右，本报告取90%</w:t>
      </w:r>
      <w:r>
        <w:rPr>
          <w:rFonts w:hint="eastAsia" w:ascii="Times New Roman" w:hAnsi="Times New Roman"/>
          <w:color w:val="auto"/>
          <w:highlight w:val="none"/>
        </w:rPr>
        <w:t>。</w:t>
      </w:r>
    </w:p>
    <w:p w14:paraId="18C37EAC">
      <w:pPr>
        <w:adjustRightInd w:val="0"/>
        <w:snapToGrid w:val="0"/>
        <w:spacing w:line="360" w:lineRule="auto"/>
        <w:ind w:left="-105" w:right="-105" w:firstLine="480" w:firstLineChars="200"/>
        <w:jc w:val="both"/>
        <w:rPr>
          <w:rFonts w:ascii="Times New Roman" w:hAnsi="Times New Roman" w:cs="Times New Roman"/>
          <w:bCs/>
          <w:color w:val="auto"/>
          <w:highlight w:val="none"/>
        </w:rPr>
      </w:pPr>
      <w:r>
        <w:rPr>
          <w:rFonts w:hint="eastAsia" w:ascii="Times New Roman" w:hAnsi="Times New Roman" w:cs="Times New Roman"/>
          <w:bCs/>
          <w:color w:val="auto"/>
          <w:highlight w:val="none"/>
        </w:rPr>
        <w:t>本项目</w:t>
      </w:r>
      <w:r>
        <w:rPr>
          <w:rFonts w:hint="eastAsia" w:ascii="Times New Roman" w:hAnsi="Times New Roman" w:cs="Times New Roman"/>
          <w:bCs/>
          <w:color w:val="auto"/>
          <w:highlight w:val="none"/>
          <w:lang w:val="en-US" w:eastAsia="zh-CN"/>
        </w:rPr>
        <w:t>工艺废气</w:t>
      </w:r>
      <w:r>
        <w:rPr>
          <w:rFonts w:hint="eastAsia" w:ascii="Times New Roman" w:hAnsi="Times New Roman" w:cs="Times New Roman"/>
          <w:bCs/>
          <w:color w:val="auto"/>
          <w:highlight w:val="none"/>
        </w:rPr>
        <w:t>依托现有DA005废气处理设施，新增两套二级活性炭吸附装置</w:t>
      </w:r>
      <w:r>
        <w:rPr>
          <w:rFonts w:hint="eastAsia" w:ascii="Times New Roman" w:hAnsi="Times New Roman" w:cs="Times New Roman"/>
          <w:bCs/>
          <w:color w:val="auto"/>
          <w:highlight w:val="none"/>
          <w:lang w:val="en-US" w:eastAsia="zh-CN"/>
        </w:rPr>
        <w:t>处理实验废气</w:t>
      </w:r>
      <w:r>
        <w:rPr>
          <w:rFonts w:hint="eastAsia" w:ascii="Times New Roman" w:hAnsi="Times New Roman" w:cs="Times New Roman"/>
          <w:bCs/>
          <w:color w:val="auto"/>
          <w:highlight w:val="none"/>
        </w:rPr>
        <w:t>，具体参数如下表所示：</w:t>
      </w:r>
    </w:p>
    <w:p w14:paraId="7C192579">
      <w:pPr>
        <w:adjustRightInd w:val="0"/>
        <w:snapToGrid w:val="0"/>
        <w:ind w:left="-480" w:leftChars="-200" w:right="-105" w:firstLine="482"/>
        <w:jc w:val="center"/>
        <w:rPr>
          <w:rFonts w:ascii="Times New Roman" w:hAnsi="Times New Roman" w:cs="Times New Roman"/>
          <w:b/>
          <w:color w:val="auto"/>
          <w:highlight w:val="none"/>
        </w:rPr>
      </w:pPr>
      <w:r>
        <w:rPr>
          <w:rFonts w:ascii="Times New Roman" w:hAnsi="Times New Roman" w:cs="Times New Roman"/>
          <w:b/>
          <w:color w:val="auto"/>
          <w:highlight w:val="none"/>
        </w:rPr>
        <w:t>表</w:t>
      </w:r>
      <w:r>
        <w:rPr>
          <w:rFonts w:ascii="Times New Roman" w:hAnsi="Times New Roman" w:cs="Times New Roman"/>
          <w:b/>
          <w:bCs/>
          <w:color w:val="auto"/>
          <w:szCs w:val="18"/>
          <w:highlight w:val="none"/>
        </w:rPr>
        <w:fldChar w:fldCharType="begin"/>
      </w:r>
      <w:r>
        <w:rPr>
          <w:rFonts w:ascii="Times New Roman" w:hAnsi="Times New Roman" w:cs="Times New Roman"/>
          <w:b/>
          <w:bCs/>
          <w:color w:val="auto"/>
          <w:szCs w:val="18"/>
          <w:highlight w:val="none"/>
        </w:rPr>
        <w:instrText xml:space="preserve"> STYLEREF 2 \s </w:instrText>
      </w:r>
      <w:r>
        <w:rPr>
          <w:rFonts w:ascii="Times New Roman" w:hAnsi="Times New Roman" w:cs="Times New Roman"/>
          <w:b/>
          <w:bCs/>
          <w:color w:val="auto"/>
          <w:szCs w:val="18"/>
          <w:highlight w:val="none"/>
        </w:rPr>
        <w:fldChar w:fldCharType="separate"/>
      </w:r>
      <w:r>
        <w:rPr>
          <w:rFonts w:ascii="Times New Roman" w:hAnsi="Times New Roman" w:cs="Times New Roman"/>
          <w:b/>
          <w:bCs/>
          <w:color w:val="auto"/>
          <w:szCs w:val="18"/>
          <w:highlight w:val="none"/>
        </w:rPr>
        <w:t>7.1</w:t>
      </w:r>
      <w:r>
        <w:rPr>
          <w:rFonts w:ascii="Times New Roman" w:hAnsi="Times New Roman" w:cs="Times New Roman"/>
          <w:b/>
          <w:bCs/>
          <w:color w:val="auto"/>
          <w:szCs w:val="18"/>
          <w:highlight w:val="none"/>
        </w:rPr>
        <w:fldChar w:fldCharType="end"/>
      </w:r>
      <w:r>
        <w:rPr>
          <w:rFonts w:ascii="Times New Roman" w:hAnsi="Times New Roman" w:cs="Times New Roman"/>
          <w:b/>
          <w:bCs/>
          <w:color w:val="auto"/>
          <w:szCs w:val="18"/>
          <w:highlight w:val="none"/>
        </w:rPr>
        <w:noBreakHyphen/>
      </w:r>
      <w:r>
        <w:rPr>
          <w:rFonts w:ascii="Times New Roman" w:hAnsi="Times New Roman" w:cs="Times New Roman"/>
          <w:b/>
          <w:bCs/>
          <w:color w:val="auto"/>
          <w:szCs w:val="18"/>
          <w:highlight w:val="none"/>
        </w:rPr>
        <w:fldChar w:fldCharType="begin"/>
      </w:r>
      <w:r>
        <w:rPr>
          <w:rFonts w:ascii="Times New Roman" w:hAnsi="Times New Roman" w:cs="Times New Roman"/>
          <w:b/>
          <w:bCs/>
          <w:color w:val="auto"/>
          <w:szCs w:val="18"/>
          <w:highlight w:val="none"/>
        </w:rPr>
        <w:instrText xml:space="preserve"> SEQ 表 \* ARABIC \s 2 </w:instrText>
      </w:r>
      <w:r>
        <w:rPr>
          <w:rFonts w:ascii="Times New Roman" w:hAnsi="Times New Roman" w:cs="Times New Roman"/>
          <w:b/>
          <w:bCs/>
          <w:color w:val="auto"/>
          <w:szCs w:val="18"/>
          <w:highlight w:val="none"/>
        </w:rPr>
        <w:fldChar w:fldCharType="separate"/>
      </w:r>
      <w:r>
        <w:rPr>
          <w:rFonts w:ascii="Times New Roman" w:hAnsi="Times New Roman" w:cs="Times New Roman"/>
          <w:b/>
          <w:bCs/>
          <w:color w:val="auto"/>
          <w:szCs w:val="18"/>
          <w:highlight w:val="none"/>
        </w:rPr>
        <w:t>3</w:t>
      </w:r>
      <w:r>
        <w:rPr>
          <w:rFonts w:ascii="Times New Roman" w:hAnsi="Times New Roman" w:cs="Times New Roman"/>
          <w:b/>
          <w:bCs/>
          <w:color w:val="auto"/>
          <w:szCs w:val="18"/>
          <w:highlight w:val="none"/>
        </w:rPr>
        <w:fldChar w:fldCharType="end"/>
      </w:r>
      <w:r>
        <w:rPr>
          <w:rFonts w:ascii="Times New Roman" w:hAnsi="Times New Roman" w:cs="Times New Roman"/>
          <w:b/>
          <w:color w:val="auto"/>
          <w:highlight w:val="none"/>
        </w:rPr>
        <w:t>活性炭主要参数一览表</w:t>
      </w:r>
    </w:p>
    <w:tbl>
      <w:tblPr>
        <w:tblStyle w:val="45"/>
        <w:tblW w:w="8222" w:type="dxa"/>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0" w:type="dxa"/>
          <w:bottom w:w="0" w:type="dxa"/>
          <w:right w:w="0" w:type="dxa"/>
        </w:tblCellMar>
      </w:tblPr>
      <w:tblGrid>
        <w:gridCol w:w="2741"/>
        <w:gridCol w:w="1920"/>
        <w:gridCol w:w="3561"/>
      </w:tblGrid>
      <w:tr w14:paraId="5A8E75B3">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2741" w:type="dxa"/>
            <w:vAlign w:val="center"/>
          </w:tcPr>
          <w:p w14:paraId="58FFBD4A">
            <w:pPr>
              <w:widowControl w:val="0"/>
              <w:ind w:left="-105" w:right="-105"/>
              <w:jc w:val="center"/>
              <w:rPr>
                <w:rFonts w:ascii="Times New Roman" w:hAnsi="Times New Roman" w:cs="Times New Roman"/>
                <w:b/>
                <w:color w:val="auto"/>
                <w:highlight w:val="none"/>
              </w:rPr>
            </w:pPr>
            <w:r>
              <w:rPr>
                <w:rFonts w:ascii="Times New Roman" w:hAnsi="Times New Roman" w:cs="Times New Roman"/>
                <w:b/>
                <w:color w:val="auto"/>
                <w:highlight w:val="none"/>
              </w:rPr>
              <w:t>名称</w:t>
            </w:r>
          </w:p>
        </w:tc>
        <w:tc>
          <w:tcPr>
            <w:tcW w:w="1920" w:type="dxa"/>
            <w:vAlign w:val="center"/>
          </w:tcPr>
          <w:p w14:paraId="5CE6C74A">
            <w:pPr>
              <w:widowControl w:val="0"/>
              <w:ind w:left="-105" w:right="-105"/>
              <w:jc w:val="center"/>
              <w:rPr>
                <w:rFonts w:ascii="Times New Roman" w:hAnsi="Times New Roman" w:cs="Times New Roman"/>
                <w:b/>
                <w:color w:val="auto"/>
                <w:highlight w:val="none"/>
              </w:rPr>
            </w:pPr>
            <w:r>
              <w:rPr>
                <w:rFonts w:ascii="Times New Roman" w:hAnsi="Times New Roman" w:cs="Times New Roman"/>
                <w:b/>
                <w:color w:val="auto"/>
                <w:highlight w:val="none"/>
              </w:rPr>
              <w:t>规格参数</w:t>
            </w:r>
          </w:p>
        </w:tc>
        <w:tc>
          <w:tcPr>
            <w:tcW w:w="3561" w:type="dxa"/>
            <w:vAlign w:val="center"/>
          </w:tcPr>
          <w:p w14:paraId="757CFD42">
            <w:pPr>
              <w:widowControl w:val="0"/>
              <w:ind w:left="-105" w:right="-105"/>
              <w:jc w:val="center"/>
              <w:rPr>
                <w:rFonts w:ascii="Times New Roman" w:hAnsi="Times New Roman" w:cs="Times New Roman"/>
                <w:b/>
                <w:color w:val="auto"/>
                <w:highlight w:val="none"/>
              </w:rPr>
            </w:pPr>
            <w:r>
              <w:rPr>
                <w:rFonts w:ascii="Times New Roman" w:hAnsi="Times New Roman" w:cs="Times New Roman"/>
                <w:b/>
                <w:color w:val="auto"/>
                <w:highlight w:val="none"/>
              </w:rPr>
              <w:t>对应排气筒</w:t>
            </w:r>
            <w:r>
              <w:rPr>
                <w:rFonts w:hint="eastAsia" w:ascii="Times New Roman" w:hAnsi="Times New Roman" w:cs="Times New Roman"/>
                <w:b/>
                <w:color w:val="auto"/>
                <w:highlight w:val="none"/>
              </w:rPr>
              <w:t>DA005</w:t>
            </w:r>
          </w:p>
        </w:tc>
      </w:tr>
      <w:tr w14:paraId="337B1C6C">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2741" w:type="dxa"/>
            <w:vMerge w:val="restart"/>
            <w:vAlign w:val="center"/>
          </w:tcPr>
          <w:p w14:paraId="5A64F371">
            <w:pPr>
              <w:widowControl w:val="0"/>
              <w:ind w:left="-105" w:right="-105"/>
              <w:jc w:val="center"/>
              <w:rPr>
                <w:rFonts w:ascii="Times New Roman" w:hAnsi="Times New Roman" w:cs="Times New Roman"/>
                <w:color w:val="auto"/>
                <w:highlight w:val="none"/>
              </w:rPr>
            </w:pPr>
            <w:r>
              <w:rPr>
                <w:rFonts w:ascii="Times New Roman" w:hAnsi="Times New Roman" w:cs="Times New Roman"/>
                <w:color w:val="auto"/>
                <w:highlight w:val="none"/>
              </w:rPr>
              <w:t>二级活性炭吸附装置</w:t>
            </w:r>
          </w:p>
        </w:tc>
        <w:tc>
          <w:tcPr>
            <w:tcW w:w="1920" w:type="dxa"/>
            <w:vAlign w:val="center"/>
          </w:tcPr>
          <w:p w14:paraId="01030A35">
            <w:pPr>
              <w:widowControl w:val="0"/>
              <w:ind w:left="-105" w:right="-105"/>
              <w:jc w:val="center"/>
              <w:rPr>
                <w:rFonts w:ascii="Times New Roman" w:hAnsi="Times New Roman" w:cs="Times New Roman"/>
                <w:color w:val="auto"/>
                <w:highlight w:val="none"/>
              </w:rPr>
            </w:pPr>
            <w:r>
              <w:rPr>
                <w:rFonts w:ascii="Times New Roman" w:hAnsi="Times New Roman" w:cs="Times New Roman"/>
                <w:color w:val="auto"/>
                <w:highlight w:val="none"/>
              </w:rPr>
              <w:t>风量</w:t>
            </w:r>
          </w:p>
        </w:tc>
        <w:tc>
          <w:tcPr>
            <w:tcW w:w="3561" w:type="dxa"/>
            <w:vAlign w:val="center"/>
          </w:tcPr>
          <w:p w14:paraId="4F6D68AB">
            <w:pPr>
              <w:widowControl w:val="0"/>
              <w:ind w:left="-105" w:right="-105"/>
              <w:jc w:val="center"/>
              <w:rPr>
                <w:rFonts w:ascii="Times New Roman" w:hAnsi="Times New Roman" w:cs="Times New Roman"/>
                <w:color w:val="auto"/>
                <w:highlight w:val="none"/>
              </w:rPr>
            </w:pPr>
            <w:r>
              <w:rPr>
                <w:rFonts w:hint="eastAsia" w:ascii="Times New Roman" w:hAnsi="Times New Roman" w:cs="Times New Roman"/>
                <w:color w:val="auto"/>
                <w:highlight w:val="none"/>
              </w:rPr>
              <w:t>200</w:t>
            </w:r>
            <w:r>
              <w:rPr>
                <w:rFonts w:ascii="Times New Roman" w:hAnsi="Times New Roman" w:cs="Times New Roman"/>
                <w:color w:val="auto"/>
                <w:highlight w:val="none"/>
              </w:rPr>
              <w:t>00m</w:t>
            </w:r>
            <w:r>
              <w:rPr>
                <w:rFonts w:ascii="Times New Roman" w:hAnsi="Times New Roman" w:cs="Times New Roman"/>
                <w:color w:val="auto"/>
                <w:highlight w:val="none"/>
                <w:vertAlign w:val="superscript"/>
              </w:rPr>
              <w:t>3</w:t>
            </w:r>
            <w:r>
              <w:rPr>
                <w:rFonts w:ascii="Times New Roman" w:hAnsi="Times New Roman" w:cs="Times New Roman"/>
                <w:color w:val="auto"/>
                <w:highlight w:val="none"/>
              </w:rPr>
              <w:t>/h</w:t>
            </w:r>
          </w:p>
        </w:tc>
      </w:tr>
      <w:tr w14:paraId="3442BA46">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2741" w:type="dxa"/>
            <w:vMerge w:val="continue"/>
            <w:vAlign w:val="center"/>
          </w:tcPr>
          <w:p w14:paraId="0BA996C4">
            <w:pPr>
              <w:widowControl w:val="0"/>
              <w:ind w:left="-105" w:right="-105"/>
              <w:jc w:val="center"/>
              <w:rPr>
                <w:rFonts w:ascii="Times New Roman" w:hAnsi="Times New Roman" w:cs="Times New Roman"/>
                <w:color w:val="auto"/>
                <w:highlight w:val="none"/>
              </w:rPr>
            </w:pPr>
          </w:p>
        </w:tc>
        <w:tc>
          <w:tcPr>
            <w:tcW w:w="1920" w:type="dxa"/>
            <w:vAlign w:val="center"/>
          </w:tcPr>
          <w:p w14:paraId="0D23F599">
            <w:pPr>
              <w:widowControl w:val="0"/>
              <w:ind w:left="-105" w:right="-105"/>
              <w:jc w:val="center"/>
              <w:rPr>
                <w:rFonts w:ascii="Times New Roman" w:hAnsi="Times New Roman" w:cs="Times New Roman"/>
                <w:color w:val="auto"/>
                <w:highlight w:val="none"/>
              </w:rPr>
            </w:pPr>
            <w:r>
              <w:rPr>
                <w:rFonts w:hint="eastAsia" w:ascii="Times New Roman" w:hAnsi="Times New Roman" w:cs="Times New Roman"/>
                <w:color w:val="auto"/>
                <w:highlight w:val="none"/>
              </w:rPr>
              <w:t>过滤</w:t>
            </w:r>
            <w:r>
              <w:rPr>
                <w:rFonts w:ascii="Times New Roman" w:hAnsi="Times New Roman" w:cs="Times New Roman"/>
                <w:color w:val="auto"/>
                <w:highlight w:val="none"/>
              </w:rPr>
              <w:t>风速</w:t>
            </w:r>
          </w:p>
        </w:tc>
        <w:tc>
          <w:tcPr>
            <w:tcW w:w="3561" w:type="dxa"/>
            <w:vAlign w:val="center"/>
          </w:tcPr>
          <w:p w14:paraId="7111C428">
            <w:pPr>
              <w:widowControl w:val="0"/>
              <w:ind w:left="-105" w:right="-105"/>
              <w:jc w:val="center"/>
              <w:rPr>
                <w:rFonts w:ascii="Times New Roman" w:hAnsi="Times New Roman" w:cs="Times New Roman"/>
                <w:color w:val="auto"/>
                <w:highlight w:val="none"/>
              </w:rPr>
            </w:pPr>
            <w:r>
              <w:rPr>
                <w:rFonts w:hint="eastAsia" w:ascii="Times New Roman" w:hAnsi="Times New Roman" w:cs="Times New Roman"/>
                <w:color w:val="auto"/>
                <w:highlight w:val="none"/>
              </w:rPr>
              <w:t>1.122m/s</w:t>
            </w:r>
          </w:p>
        </w:tc>
      </w:tr>
      <w:tr w14:paraId="35634DE6">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2741" w:type="dxa"/>
            <w:vMerge w:val="continue"/>
            <w:vAlign w:val="center"/>
          </w:tcPr>
          <w:p w14:paraId="295984CC">
            <w:pPr>
              <w:widowControl w:val="0"/>
              <w:ind w:left="-105" w:right="-105"/>
              <w:jc w:val="center"/>
              <w:rPr>
                <w:rFonts w:ascii="Times New Roman" w:hAnsi="Times New Roman" w:cs="Times New Roman"/>
                <w:color w:val="auto"/>
                <w:highlight w:val="none"/>
              </w:rPr>
            </w:pPr>
          </w:p>
        </w:tc>
        <w:tc>
          <w:tcPr>
            <w:tcW w:w="1920" w:type="dxa"/>
            <w:vAlign w:val="center"/>
          </w:tcPr>
          <w:p w14:paraId="20C6EAD7">
            <w:pPr>
              <w:widowControl w:val="0"/>
              <w:ind w:left="-105" w:right="-105"/>
              <w:jc w:val="center"/>
              <w:rPr>
                <w:rFonts w:ascii="Times New Roman" w:hAnsi="Times New Roman" w:cs="Times New Roman"/>
                <w:color w:val="auto"/>
                <w:highlight w:val="none"/>
              </w:rPr>
            </w:pPr>
            <w:r>
              <w:rPr>
                <w:rFonts w:hint="eastAsia" w:ascii="Times New Roman" w:hAnsi="Times New Roman" w:cs="Times New Roman"/>
                <w:color w:val="auto"/>
                <w:highlight w:val="none"/>
              </w:rPr>
              <w:t>过滤</w:t>
            </w:r>
            <w:r>
              <w:rPr>
                <w:rFonts w:ascii="Times New Roman" w:hAnsi="Times New Roman" w:cs="Times New Roman"/>
                <w:color w:val="auto"/>
                <w:highlight w:val="none"/>
              </w:rPr>
              <w:t>面积</w:t>
            </w:r>
          </w:p>
        </w:tc>
        <w:tc>
          <w:tcPr>
            <w:tcW w:w="3561" w:type="dxa"/>
            <w:vAlign w:val="center"/>
          </w:tcPr>
          <w:p w14:paraId="11EA6CBF">
            <w:pPr>
              <w:widowControl w:val="0"/>
              <w:ind w:left="-105" w:right="-105"/>
              <w:jc w:val="center"/>
              <w:rPr>
                <w:rFonts w:ascii="Times New Roman" w:hAnsi="Times New Roman" w:cs="Times New Roman"/>
                <w:color w:val="auto"/>
                <w:highlight w:val="none"/>
              </w:rPr>
            </w:pPr>
            <w:r>
              <w:rPr>
                <w:rFonts w:hint="eastAsia" w:ascii="Times New Roman" w:hAnsi="Times New Roman" w:cs="Times New Roman"/>
                <w:color w:val="auto"/>
                <w:highlight w:val="none"/>
              </w:rPr>
              <w:t>4.95m</w:t>
            </w:r>
            <w:r>
              <w:rPr>
                <w:rFonts w:ascii="Times New Roman" w:hAnsi="Times New Roman" w:cs="Times New Roman"/>
                <w:color w:val="auto"/>
                <w:highlight w:val="none"/>
                <w:vertAlign w:val="superscript"/>
              </w:rPr>
              <w:t>2</w:t>
            </w:r>
          </w:p>
        </w:tc>
      </w:tr>
      <w:tr w14:paraId="6DEBC152">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2741" w:type="dxa"/>
            <w:vMerge w:val="continue"/>
            <w:vAlign w:val="center"/>
          </w:tcPr>
          <w:p w14:paraId="5AB98DC3">
            <w:pPr>
              <w:widowControl w:val="0"/>
              <w:ind w:left="-105" w:right="-105"/>
              <w:jc w:val="center"/>
              <w:rPr>
                <w:rFonts w:ascii="Times New Roman" w:hAnsi="Times New Roman" w:cs="Times New Roman"/>
                <w:color w:val="auto"/>
                <w:highlight w:val="none"/>
              </w:rPr>
            </w:pPr>
          </w:p>
        </w:tc>
        <w:tc>
          <w:tcPr>
            <w:tcW w:w="1920" w:type="dxa"/>
            <w:vAlign w:val="center"/>
          </w:tcPr>
          <w:p w14:paraId="69652A7D">
            <w:pPr>
              <w:widowControl w:val="0"/>
              <w:ind w:left="-105" w:right="-105"/>
              <w:jc w:val="center"/>
              <w:rPr>
                <w:rFonts w:ascii="Times New Roman" w:hAnsi="Times New Roman" w:cs="Times New Roman"/>
                <w:color w:val="auto"/>
                <w:highlight w:val="none"/>
              </w:rPr>
            </w:pPr>
            <w:r>
              <w:rPr>
                <w:rFonts w:hint="eastAsia" w:ascii="Times New Roman" w:hAnsi="Times New Roman" w:cs="Times New Roman"/>
                <w:color w:val="auto"/>
                <w:highlight w:val="none"/>
              </w:rPr>
              <w:t>单级</w:t>
            </w:r>
            <w:r>
              <w:rPr>
                <w:rFonts w:ascii="Times New Roman" w:hAnsi="Times New Roman" w:cs="Times New Roman"/>
                <w:color w:val="auto"/>
                <w:highlight w:val="none"/>
              </w:rPr>
              <w:t>处理效率</w:t>
            </w:r>
          </w:p>
        </w:tc>
        <w:tc>
          <w:tcPr>
            <w:tcW w:w="3561" w:type="dxa"/>
            <w:vAlign w:val="center"/>
          </w:tcPr>
          <w:p w14:paraId="518DF5F9">
            <w:pPr>
              <w:widowControl w:val="0"/>
              <w:ind w:left="-105" w:right="-105"/>
              <w:jc w:val="center"/>
              <w:rPr>
                <w:rFonts w:ascii="Times New Roman" w:hAnsi="Times New Roman" w:cs="Times New Roman"/>
                <w:color w:val="auto"/>
                <w:highlight w:val="none"/>
              </w:rPr>
            </w:pPr>
            <w:r>
              <w:rPr>
                <w:rFonts w:ascii="Times New Roman" w:hAnsi="Times New Roman" w:cs="Times New Roman"/>
                <w:color w:val="auto"/>
                <w:highlight w:val="none"/>
              </w:rPr>
              <w:t>70%</w:t>
            </w:r>
          </w:p>
        </w:tc>
      </w:tr>
      <w:tr w14:paraId="764A2845">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2741" w:type="dxa"/>
            <w:vMerge w:val="continue"/>
            <w:vAlign w:val="center"/>
          </w:tcPr>
          <w:p w14:paraId="0FBFFE11">
            <w:pPr>
              <w:widowControl w:val="0"/>
              <w:ind w:left="-105" w:right="-105"/>
              <w:jc w:val="center"/>
              <w:rPr>
                <w:rFonts w:ascii="Times New Roman" w:hAnsi="Times New Roman" w:cs="Times New Roman"/>
                <w:color w:val="auto"/>
                <w:highlight w:val="none"/>
              </w:rPr>
            </w:pPr>
          </w:p>
        </w:tc>
        <w:tc>
          <w:tcPr>
            <w:tcW w:w="1920" w:type="dxa"/>
            <w:vAlign w:val="center"/>
          </w:tcPr>
          <w:p w14:paraId="6B5B86C6">
            <w:pPr>
              <w:widowControl w:val="0"/>
              <w:ind w:left="-105" w:right="-105"/>
              <w:jc w:val="center"/>
              <w:rPr>
                <w:rFonts w:ascii="Times New Roman" w:hAnsi="Times New Roman" w:cs="Times New Roman"/>
                <w:color w:val="auto"/>
                <w:highlight w:val="none"/>
              </w:rPr>
            </w:pPr>
            <w:r>
              <w:rPr>
                <w:rFonts w:ascii="Times New Roman" w:hAnsi="Times New Roman" w:cs="Times New Roman"/>
                <w:color w:val="auto"/>
                <w:highlight w:val="none"/>
              </w:rPr>
              <w:t>填充量</w:t>
            </w:r>
          </w:p>
        </w:tc>
        <w:tc>
          <w:tcPr>
            <w:tcW w:w="3561" w:type="dxa"/>
            <w:vAlign w:val="center"/>
          </w:tcPr>
          <w:p w14:paraId="4EBC9E06">
            <w:pPr>
              <w:widowControl w:val="0"/>
              <w:ind w:left="-105" w:right="-105"/>
              <w:jc w:val="center"/>
              <w:rPr>
                <w:rFonts w:ascii="Times New Roman" w:hAnsi="Times New Roman" w:cs="Times New Roman"/>
                <w:color w:val="auto"/>
                <w:highlight w:val="none"/>
              </w:rPr>
            </w:pPr>
            <w:r>
              <w:rPr>
                <w:rFonts w:hint="eastAsia" w:ascii="Times New Roman" w:hAnsi="Times New Roman" w:cs="Times New Roman"/>
                <w:color w:val="auto"/>
                <w:highlight w:val="none"/>
              </w:rPr>
              <w:t>1500kg</w:t>
            </w:r>
          </w:p>
        </w:tc>
      </w:tr>
      <w:tr w14:paraId="3EF60A89">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2741" w:type="dxa"/>
            <w:vMerge w:val="continue"/>
            <w:vAlign w:val="center"/>
          </w:tcPr>
          <w:p w14:paraId="766E04A6">
            <w:pPr>
              <w:widowControl w:val="0"/>
              <w:ind w:left="-105" w:right="-105"/>
              <w:jc w:val="center"/>
              <w:rPr>
                <w:rFonts w:ascii="Times New Roman" w:hAnsi="Times New Roman" w:cs="Times New Roman"/>
                <w:color w:val="auto"/>
                <w:highlight w:val="none"/>
              </w:rPr>
            </w:pPr>
          </w:p>
        </w:tc>
        <w:tc>
          <w:tcPr>
            <w:tcW w:w="1920" w:type="dxa"/>
            <w:vAlign w:val="center"/>
          </w:tcPr>
          <w:p w14:paraId="5478855B">
            <w:pPr>
              <w:widowControl w:val="0"/>
              <w:ind w:left="-105" w:right="-105"/>
              <w:jc w:val="center"/>
              <w:rPr>
                <w:rFonts w:ascii="Times New Roman" w:hAnsi="Times New Roman" w:cs="Times New Roman"/>
                <w:color w:val="auto"/>
                <w:highlight w:val="none"/>
              </w:rPr>
            </w:pPr>
            <w:r>
              <w:rPr>
                <w:rFonts w:ascii="Times New Roman" w:hAnsi="Times New Roman" w:cs="Times New Roman"/>
                <w:color w:val="auto"/>
                <w:highlight w:val="none"/>
              </w:rPr>
              <w:t>活性炭类型</w:t>
            </w:r>
          </w:p>
        </w:tc>
        <w:tc>
          <w:tcPr>
            <w:tcW w:w="3561" w:type="dxa"/>
            <w:vAlign w:val="center"/>
          </w:tcPr>
          <w:p w14:paraId="6EECC31F">
            <w:pPr>
              <w:widowControl w:val="0"/>
              <w:ind w:left="-105" w:right="-105"/>
              <w:jc w:val="center"/>
              <w:rPr>
                <w:rFonts w:ascii="Times New Roman" w:hAnsi="Times New Roman" w:cs="Times New Roman"/>
                <w:color w:val="auto"/>
                <w:highlight w:val="none"/>
              </w:rPr>
            </w:pPr>
            <w:r>
              <w:rPr>
                <w:rFonts w:hint="eastAsia" w:ascii="Times New Roman" w:hAnsi="Times New Roman" w:cs="Times New Roman"/>
                <w:color w:val="auto"/>
                <w:highlight w:val="none"/>
              </w:rPr>
              <w:t>颗粒</w:t>
            </w:r>
            <w:r>
              <w:rPr>
                <w:rFonts w:ascii="Times New Roman" w:hAnsi="Times New Roman" w:cs="Times New Roman"/>
                <w:color w:val="auto"/>
                <w:highlight w:val="none"/>
              </w:rPr>
              <w:t>状活性炭</w:t>
            </w:r>
          </w:p>
        </w:tc>
      </w:tr>
      <w:tr w14:paraId="1290AAD5">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2741" w:type="dxa"/>
            <w:vMerge w:val="continue"/>
            <w:vAlign w:val="center"/>
          </w:tcPr>
          <w:p w14:paraId="3A274624">
            <w:pPr>
              <w:widowControl w:val="0"/>
              <w:ind w:left="-105" w:right="-105"/>
              <w:jc w:val="center"/>
              <w:rPr>
                <w:rFonts w:ascii="Times New Roman" w:hAnsi="Times New Roman" w:cs="Times New Roman"/>
                <w:color w:val="auto"/>
                <w:highlight w:val="none"/>
              </w:rPr>
            </w:pPr>
          </w:p>
        </w:tc>
        <w:tc>
          <w:tcPr>
            <w:tcW w:w="1920" w:type="dxa"/>
            <w:vAlign w:val="center"/>
          </w:tcPr>
          <w:p w14:paraId="1DCE3D11">
            <w:pPr>
              <w:widowControl w:val="0"/>
              <w:ind w:left="-105" w:right="-105"/>
              <w:jc w:val="center"/>
              <w:rPr>
                <w:rFonts w:ascii="Times New Roman" w:hAnsi="Times New Roman" w:cs="Times New Roman"/>
                <w:color w:val="auto"/>
                <w:highlight w:val="none"/>
              </w:rPr>
            </w:pPr>
            <w:r>
              <w:rPr>
                <w:rFonts w:hint="eastAsia" w:ascii="Times New Roman" w:hAnsi="Times New Roman" w:cs="Times New Roman"/>
                <w:color w:val="auto"/>
                <w:highlight w:val="none"/>
              </w:rPr>
              <w:t>碘值</w:t>
            </w:r>
          </w:p>
        </w:tc>
        <w:tc>
          <w:tcPr>
            <w:tcW w:w="3561" w:type="dxa"/>
            <w:vAlign w:val="center"/>
          </w:tcPr>
          <w:p w14:paraId="7698557C">
            <w:pPr>
              <w:widowControl w:val="0"/>
              <w:ind w:left="-105" w:right="-105"/>
              <w:jc w:val="center"/>
              <w:rPr>
                <w:rFonts w:ascii="Times New Roman" w:hAnsi="Times New Roman" w:cs="Times New Roman"/>
                <w:color w:val="auto"/>
                <w:highlight w:val="none"/>
              </w:rPr>
            </w:pPr>
            <w:r>
              <w:rPr>
                <w:rFonts w:hint="eastAsia" w:ascii="Times New Roman" w:hAnsi="Times New Roman" w:cs="Times New Roman"/>
                <w:color w:val="auto"/>
                <w:highlight w:val="none"/>
              </w:rPr>
              <w:t>≥</w:t>
            </w:r>
            <w:r>
              <w:rPr>
                <w:rFonts w:ascii="Times New Roman" w:hAnsi="Times New Roman" w:cs="Times New Roman"/>
                <w:color w:val="auto"/>
                <w:highlight w:val="none"/>
              </w:rPr>
              <w:t>800mg/g</w:t>
            </w:r>
          </w:p>
        </w:tc>
      </w:tr>
      <w:tr w14:paraId="43482AD6">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2741" w:type="dxa"/>
            <w:vAlign w:val="center"/>
          </w:tcPr>
          <w:p w14:paraId="5BDE5723">
            <w:pPr>
              <w:widowControl w:val="0"/>
              <w:ind w:left="-105" w:right="-105"/>
              <w:jc w:val="center"/>
              <w:rPr>
                <w:rFonts w:ascii="Times New Roman" w:hAnsi="Times New Roman" w:cs="Times New Roman"/>
                <w:color w:val="auto"/>
                <w:highlight w:val="none"/>
              </w:rPr>
            </w:pPr>
            <w:r>
              <w:rPr>
                <w:rFonts w:ascii="Times New Roman" w:hAnsi="Times New Roman" w:cs="Times New Roman"/>
                <w:b/>
                <w:color w:val="auto"/>
                <w:highlight w:val="none"/>
              </w:rPr>
              <w:t>名称</w:t>
            </w:r>
          </w:p>
        </w:tc>
        <w:tc>
          <w:tcPr>
            <w:tcW w:w="1920" w:type="dxa"/>
            <w:vAlign w:val="center"/>
          </w:tcPr>
          <w:p w14:paraId="53A18788">
            <w:pPr>
              <w:widowControl w:val="0"/>
              <w:ind w:left="-105" w:right="-105"/>
              <w:jc w:val="center"/>
              <w:rPr>
                <w:rFonts w:ascii="Times New Roman" w:hAnsi="Times New Roman" w:cs="Times New Roman"/>
                <w:color w:val="auto"/>
                <w:highlight w:val="none"/>
              </w:rPr>
            </w:pPr>
            <w:r>
              <w:rPr>
                <w:rFonts w:ascii="Times New Roman" w:hAnsi="Times New Roman" w:cs="Times New Roman"/>
                <w:b/>
                <w:color w:val="auto"/>
                <w:highlight w:val="none"/>
              </w:rPr>
              <w:t>规格参数</w:t>
            </w:r>
          </w:p>
        </w:tc>
        <w:tc>
          <w:tcPr>
            <w:tcW w:w="3561" w:type="dxa"/>
            <w:vAlign w:val="center"/>
          </w:tcPr>
          <w:p w14:paraId="5E04D46F">
            <w:pPr>
              <w:widowControl w:val="0"/>
              <w:ind w:left="-105" w:right="-105"/>
              <w:jc w:val="center"/>
              <w:rPr>
                <w:rFonts w:ascii="Times New Roman" w:hAnsi="Times New Roman" w:cs="Times New Roman"/>
                <w:color w:val="auto"/>
                <w:highlight w:val="none"/>
              </w:rPr>
            </w:pPr>
            <w:r>
              <w:rPr>
                <w:rFonts w:ascii="Times New Roman" w:hAnsi="Times New Roman" w:cs="Times New Roman"/>
                <w:b/>
                <w:color w:val="auto"/>
                <w:highlight w:val="none"/>
              </w:rPr>
              <w:t>对应排气筒</w:t>
            </w:r>
            <w:r>
              <w:rPr>
                <w:rFonts w:hint="eastAsia" w:ascii="Times New Roman" w:hAnsi="Times New Roman" w:cs="Times New Roman"/>
                <w:b/>
                <w:color w:val="auto"/>
                <w:highlight w:val="none"/>
              </w:rPr>
              <w:t>DA006</w:t>
            </w:r>
          </w:p>
        </w:tc>
      </w:tr>
      <w:tr w14:paraId="12F1D152">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2741" w:type="dxa"/>
            <w:vMerge w:val="restart"/>
            <w:vAlign w:val="center"/>
          </w:tcPr>
          <w:p w14:paraId="6B24E92D">
            <w:pPr>
              <w:widowControl w:val="0"/>
              <w:ind w:left="-105" w:right="-105"/>
              <w:jc w:val="center"/>
              <w:rPr>
                <w:rFonts w:ascii="Times New Roman" w:hAnsi="Times New Roman" w:cs="Times New Roman"/>
                <w:color w:val="auto"/>
                <w:highlight w:val="none"/>
              </w:rPr>
            </w:pPr>
            <w:r>
              <w:rPr>
                <w:rFonts w:ascii="Times New Roman" w:hAnsi="Times New Roman" w:cs="Times New Roman"/>
                <w:color w:val="auto"/>
                <w:highlight w:val="none"/>
              </w:rPr>
              <w:t>二级活性炭吸附装置</w:t>
            </w:r>
          </w:p>
        </w:tc>
        <w:tc>
          <w:tcPr>
            <w:tcW w:w="1920" w:type="dxa"/>
            <w:vAlign w:val="center"/>
          </w:tcPr>
          <w:p w14:paraId="62C48AD9">
            <w:pPr>
              <w:widowControl w:val="0"/>
              <w:ind w:left="-105" w:right="-105"/>
              <w:jc w:val="center"/>
              <w:rPr>
                <w:rFonts w:ascii="Times New Roman" w:hAnsi="Times New Roman" w:cs="Times New Roman"/>
                <w:color w:val="auto"/>
                <w:highlight w:val="none"/>
              </w:rPr>
            </w:pPr>
            <w:r>
              <w:rPr>
                <w:rFonts w:ascii="Times New Roman" w:hAnsi="Times New Roman" w:cs="Times New Roman"/>
                <w:color w:val="auto"/>
                <w:highlight w:val="none"/>
              </w:rPr>
              <w:t>风量</w:t>
            </w:r>
          </w:p>
        </w:tc>
        <w:tc>
          <w:tcPr>
            <w:tcW w:w="3561" w:type="dxa"/>
            <w:vAlign w:val="center"/>
          </w:tcPr>
          <w:p w14:paraId="544B65A9">
            <w:pPr>
              <w:widowControl w:val="0"/>
              <w:ind w:left="-105" w:right="-105"/>
              <w:jc w:val="center"/>
              <w:rPr>
                <w:rFonts w:ascii="Times New Roman" w:hAnsi="Times New Roman" w:cs="Times New Roman"/>
                <w:color w:val="auto"/>
                <w:highlight w:val="none"/>
              </w:rPr>
            </w:pPr>
            <w:r>
              <w:rPr>
                <w:rFonts w:hint="eastAsia" w:ascii="Times New Roman" w:hAnsi="Times New Roman" w:cs="Times New Roman"/>
                <w:color w:val="auto"/>
                <w:highlight w:val="none"/>
              </w:rPr>
              <w:t>4</w:t>
            </w:r>
            <w:r>
              <w:rPr>
                <w:rFonts w:ascii="Times New Roman" w:hAnsi="Times New Roman" w:cs="Times New Roman"/>
                <w:color w:val="auto"/>
                <w:highlight w:val="none"/>
              </w:rPr>
              <w:t>000m</w:t>
            </w:r>
            <w:r>
              <w:rPr>
                <w:rFonts w:ascii="Times New Roman" w:hAnsi="Times New Roman" w:cs="Times New Roman"/>
                <w:color w:val="auto"/>
                <w:highlight w:val="none"/>
                <w:vertAlign w:val="superscript"/>
              </w:rPr>
              <w:t>3</w:t>
            </w:r>
            <w:r>
              <w:rPr>
                <w:rFonts w:ascii="Times New Roman" w:hAnsi="Times New Roman" w:cs="Times New Roman"/>
                <w:color w:val="auto"/>
                <w:highlight w:val="none"/>
              </w:rPr>
              <w:t>/h</w:t>
            </w:r>
          </w:p>
        </w:tc>
      </w:tr>
      <w:tr w14:paraId="37A9E7B4">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2741" w:type="dxa"/>
            <w:vMerge w:val="continue"/>
            <w:vAlign w:val="center"/>
          </w:tcPr>
          <w:p w14:paraId="2B7EB208">
            <w:pPr>
              <w:widowControl w:val="0"/>
              <w:ind w:left="-105" w:right="-105"/>
              <w:jc w:val="center"/>
              <w:rPr>
                <w:rFonts w:ascii="Times New Roman" w:hAnsi="Times New Roman" w:cs="Times New Roman"/>
                <w:color w:val="auto"/>
                <w:highlight w:val="none"/>
              </w:rPr>
            </w:pPr>
          </w:p>
        </w:tc>
        <w:tc>
          <w:tcPr>
            <w:tcW w:w="1920" w:type="dxa"/>
            <w:vAlign w:val="center"/>
          </w:tcPr>
          <w:p w14:paraId="49406ADA">
            <w:pPr>
              <w:widowControl w:val="0"/>
              <w:ind w:left="-105" w:right="-105"/>
              <w:jc w:val="center"/>
              <w:rPr>
                <w:rFonts w:ascii="Times New Roman" w:hAnsi="Times New Roman" w:cs="Times New Roman"/>
                <w:color w:val="auto"/>
                <w:highlight w:val="none"/>
              </w:rPr>
            </w:pPr>
            <w:r>
              <w:rPr>
                <w:rFonts w:hint="eastAsia" w:ascii="Times New Roman" w:hAnsi="Times New Roman" w:cs="Times New Roman"/>
                <w:color w:val="auto"/>
                <w:highlight w:val="none"/>
              </w:rPr>
              <w:t>过滤</w:t>
            </w:r>
            <w:r>
              <w:rPr>
                <w:rFonts w:ascii="Times New Roman" w:hAnsi="Times New Roman" w:cs="Times New Roman"/>
                <w:color w:val="auto"/>
                <w:highlight w:val="none"/>
              </w:rPr>
              <w:t>风速</w:t>
            </w:r>
          </w:p>
        </w:tc>
        <w:tc>
          <w:tcPr>
            <w:tcW w:w="3561" w:type="dxa"/>
            <w:vAlign w:val="center"/>
          </w:tcPr>
          <w:p w14:paraId="412D21DB">
            <w:pPr>
              <w:widowControl w:val="0"/>
              <w:ind w:left="-105" w:right="-105"/>
              <w:jc w:val="center"/>
              <w:rPr>
                <w:rFonts w:ascii="Times New Roman" w:hAnsi="Times New Roman" w:cs="Times New Roman"/>
                <w:color w:val="auto"/>
                <w:highlight w:val="none"/>
              </w:rPr>
            </w:pPr>
            <w:r>
              <w:rPr>
                <w:rFonts w:hint="eastAsia" w:ascii="Times New Roman" w:hAnsi="Times New Roman" w:cs="Times New Roman"/>
                <w:color w:val="auto"/>
                <w:highlight w:val="none"/>
              </w:rPr>
              <w:t>0.5m/s</w:t>
            </w:r>
          </w:p>
        </w:tc>
      </w:tr>
      <w:tr w14:paraId="586F2E6A">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2741" w:type="dxa"/>
            <w:vMerge w:val="continue"/>
            <w:vAlign w:val="center"/>
          </w:tcPr>
          <w:p w14:paraId="52F87D03">
            <w:pPr>
              <w:widowControl w:val="0"/>
              <w:ind w:left="-105" w:right="-105"/>
              <w:jc w:val="center"/>
              <w:rPr>
                <w:rFonts w:ascii="Times New Roman" w:hAnsi="Times New Roman" w:cs="Times New Roman"/>
                <w:color w:val="auto"/>
                <w:highlight w:val="none"/>
              </w:rPr>
            </w:pPr>
          </w:p>
        </w:tc>
        <w:tc>
          <w:tcPr>
            <w:tcW w:w="1920" w:type="dxa"/>
            <w:vAlign w:val="center"/>
          </w:tcPr>
          <w:p w14:paraId="5C80BE46">
            <w:pPr>
              <w:widowControl w:val="0"/>
              <w:ind w:left="-105" w:right="-105"/>
              <w:jc w:val="center"/>
              <w:rPr>
                <w:rFonts w:ascii="Times New Roman" w:hAnsi="Times New Roman" w:cs="Times New Roman"/>
                <w:color w:val="auto"/>
                <w:highlight w:val="none"/>
              </w:rPr>
            </w:pPr>
            <w:r>
              <w:rPr>
                <w:rFonts w:hint="eastAsia" w:ascii="Times New Roman" w:hAnsi="Times New Roman" w:cs="Times New Roman"/>
                <w:color w:val="auto"/>
                <w:highlight w:val="none"/>
              </w:rPr>
              <w:t>单级</w:t>
            </w:r>
            <w:r>
              <w:rPr>
                <w:rFonts w:ascii="Times New Roman" w:hAnsi="Times New Roman" w:cs="Times New Roman"/>
                <w:color w:val="auto"/>
                <w:highlight w:val="none"/>
              </w:rPr>
              <w:t>处理效率</w:t>
            </w:r>
          </w:p>
        </w:tc>
        <w:tc>
          <w:tcPr>
            <w:tcW w:w="3561" w:type="dxa"/>
            <w:vAlign w:val="center"/>
          </w:tcPr>
          <w:p w14:paraId="37972688">
            <w:pPr>
              <w:widowControl w:val="0"/>
              <w:ind w:left="-105" w:right="-105"/>
              <w:jc w:val="center"/>
              <w:rPr>
                <w:rFonts w:ascii="Times New Roman" w:hAnsi="Times New Roman" w:cs="Times New Roman"/>
                <w:color w:val="auto"/>
                <w:highlight w:val="none"/>
              </w:rPr>
            </w:pPr>
            <w:r>
              <w:rPr>
                <w:rFonts w:ascii="Times New Roman" w:hAnsi="Times New Roman" w:cs="Times New Roman"/>
                <w:color w:val="auto"/>
                <w:highlight w:val="none"/>
              </w:rPr>
              <w:t>70%</w:t>
            </w:r>
          </w:p>
        </w:tc>
      </w:tr>
      <w:tr w14:paraId="0FF3445D">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2741" w:type="dxa"/>
            <w:vMerge w:val="continue"/>
            <w:vAlign w:val="center"/>
          </w:tcPr>
          <w:p w14:paraId="31BF1090">
            <w:pPr>
              <w:widowControl w:val="0"/>
              <w:ind w:left="-105" w:right="-105"/>
              <w:jc w:val="center"/>
              <w:rPr>
                <w:rFonts w:ascii="Times New Roman" w:hAnsi="Times New Roman" w:cs="Times New Roman"/>
                <w:color w:val="auto"/>
                <w:highlight w:val="none"/>
              </w:rPr>
            </w:pPr>
          </w:p>
        </w:tc>
        <w:tc>
          <w:tcPr>
            <w:tcW w:w="1920" w:type="dxa"/>
            <w:vAlign w:val="center"/>
          </w:tcPr>
          <w:p w14:paraId="1CE36081">
            <w:pPr>
              <w:widowControl w:val="0"/>
              <w:ind w:left="-105" w:right="-105"/>
              <w:jc w:val="center"/>
              <w:rPr>
                <w:rFonts w:ascii="Times New Roman" w:hAnsi="Times New Roman" w:cs="Times New Roman"/>
                <w:color w:val="auto"/>
                <w:highlight w:val="none"/>
              </w:rPr>
            </w:pPr>
            <w:r>
              <w:rPr>
                <w:rFonts w:ascii="Times New Roman" w:hAnsi="Times New Roman" w:cs="Times New Roman"/>
                <w:color w:val="auto"/>
                <w:highlight w:val="none"/>
              </w:rPr>
              <w:t>填充量</w:t>
            </w:r>
          </w:p>
        </w:tc>
        <w:tc>
          <w:tcPr>
            <w:tcW w:w="3561" w:type="dxa"/>
            <w:vAlign w:val="center"/>
          </w:tcPr>
          <w:p w14:paraId="5BEEF93A">
            <w:pPr>
              <w:widowControl w:val="0"/>
              <w:ind w:left="-105" w:right="-105"/>
              <w:jc w:val="center"/>
              <w:rPr>
                <w:rFonts w:ascii="Times New Roman" w:hAnsi="Times New Roman" w:cs="Times New Roman"/>
                <w:color w:val="auto"/>
                <w:highlight w:val="none"/>
              </w:rPr>
            </w:pPr>
            <w:r>
              <w:rPr>
                <w:rFonts w:hint="eastAsia" w:ascii="Times New Roman" w:hAnsi="Times New Roman" w:cs="Times New Roman"/>
                <w:color w:val="auto"/>
                <w:highlight w:val="none"/>
              </w:rPr>
              <w:t>150kg</w:t>
            </w:r>
          </w:p>
        </w:tc>
      </w:tr>
      <w:tr w14:paraId="65871A28">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2741" w:type="dxa"/>
            <w:vMerge w:val="continue"/>
            <w:vAlign w:val="center"/>
          </w:tcPr>
          <w:p w14:paraId="67902104">
            <w:pPr>
              <w:widowControl w:val="0"/>
              <w:ind w:left="-105" w:right="-105"/>
              <w:jc w:val="center"/>
              <w:rPr>
                <w:rFonts w:ascii="Times New Roman" w:hAnsi="Times New Roman" w:cs="Times New Roman"/>
                <w:color w:val="auto"/>
                <w:highlight w:val="none"/>
              </w:rPr>
            </w:pPr>
          </w:p>
        </w:tc>
        <w:tc>
          <w:tcPr>
            <w:tcW w:w="1920" w:type="dxa"/>
            <w:vAlign w:val="center"/>
          </w:tcPr>
          <w:p w14:paraId="59A05E98">
            <w:pPr>
              <w:widowControl w:val="0"/>
              <w:ind w:left="-105" w:right="-105"/>
              <w:jc w:val="center"/>
              <w:rPr>
                <w:rFonts w:ascii="Times New Roman" w:hAnsi="Times New Roman" w:cs="Times New Roman"/>
                <w:color w:val="auto"/>
                <w:highlight w:val="none"/>
              </w:rPr>
            </w:pPr>
            <w:r>
              <w:rPr>
                <w:rFonts w:ascii="Times New Roman" w:hAnsi="Times New Roman" w:cs="Times New Roman"/>
                <w:color w:val="auto"/>
                <w:highlight w:val="none"/>
              </w:rPr>
              <w:t>活性炭类型</w:t>
            </w:r>
          </w:p>
        </w:tc>
        <w:tc>
          <w:tcPr>
            <w:tcW w:w="3561" w:type="dxa"/>
            <w:vAlign w:val="center"/>
          </w:tcPr>
          <w:p w14:paraId="3A6272BE">
            <w:pPr>
              <w:widowControl w:val="0"/>
              <w:ind w:left="-105" w:right="-105"/>
              <w:jc w:val="center"/>
              <w:rPr>
                <w:rFonts w:ascii="Times New Roman" w:hAnsi="Times New Roman" w:cs="Times New Roman"/>
                <w:color w:val="auto"/>
                <w:highlight w:val="none"/>
              </w:rPr>
            </w:pPr>
            <w:r>
              <w:rPr>
                <w:rFonts w:hint="eastAsia" w:ascii="Times New Roman" w:hAnsi="Times New Roman" w:cs="Times New Roman"/>
                <w:color w:val="auto"/>
                <w:highlight w:val="none"/>
              </w:rPr>
              <w:t>颗粒</w:t>
            </w:r>
            <w:r>
              <w:rPr>
                <w:rFonts w:ascii="Times New Roman" w:hAnsi="Times New Roman" w:cs="Times New Roman"/>
                <w:color w:val="auto"/>
                <w:highlight w:val="none"/>
              </w:rPr>
              <w:t>状活性炭</w:t>
            </w:r>
          </w:p>
        </w:tc>
      </w:tr>
      <w:tr w14:paraId="77E7D80E">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2741" w:type="dxa"/>
            <w:vMerge w:val="continue"/>
            <w:vAlign w:val="center"/>
          </w:tcPr>
          <w:p w14:paraId="00235C9D">
            <w:pPr>
              <w:widowControl w:val="0"/>
              <w:ind w:left="-105" w:right="-105"/>
              <w:jc w:val="center"/>
              <w:rPr>
                <w:rFonts w:ascii="Times New Roman" w:hAnsi="Times New Roman" w:cs="Times New Roman"/>
                <w:color w:val="auto"/>
                <w:highlight w:val="none"/>
              </w:rPr>
            </w:pPr>
          </w:p>
        </w:tc>
        <w:tc>
          <w:tcPr>
            <w:tcW w:w="1920" w:type="dxa"/>
            <w:vAlign w:val="center"/>
          </w:tcPr>
          <w:p w14:paraId="7F516D12">
            <w:pPr>
              <w:widowControl w:val="0"/>
              <w:ind w:left="-105" w:right="-105"/>
              <w:jc w:val="center"/>
              <w:rPr>
                <w:rFonts w:ascii="Times New Roman" w:hAnsi="Times New Roman" w:cs="Times New Roman"/>
                <w:color w:val="auto"/>
                <w:highlight w:val="none"/>
              </w:rPr>
            </w:pPr>
            <w:r>
              <w:rPr>
                <w:rFonts w:hint="eastAsia" w:ascii="Times New Roman" w:hAnsi="Times New Roman" w:cs="Times New Roman"/>
                <w:color w:val="auto"/>
                <w:highlight w:val="none"/>
              </w:rPr>
              <w:t>碘值</w:t>
            </w:r>
          </w:p>
        </w:tc>
        <w:tc>
          <w:tcPr>
            <w:tcW w:w="3561" w:type="dxa"/>
            <w:vAlign w:val="center"/>
          </w:tcPr>
          <w:p w14:paraId="075D3E9E">
            <w:pPr>
              <w:widowControl w:val="0"/>
              <w:ind w:left="-105" w:right="-105"/>
              <w:jc w:val="center"/>
              <w:rPr>
                <w:rFonts w:ascii="Times New Roman" w:hAnsi="Times New Roman" w:cs="Times New Roman"/>
                <w:color w:val="auto"/>
                <w:highlight w:val="none"/>
              </w:rPr>
            </w:pPr>
            <w:r>
              <w:rPr>
                <w:rFonts w:hint="eastAsia" w:ascii="Times New Roman" w:hAnsi="Times New Roman" w:cs="Times New Roman"/>
                <w:color w:val="auto"/>
                <w:highlight w:val="none"/>
              </w:rPr>
              <w:t>≥</w:t>
            </w:r>
            <w:r>
              <w:rPr>
                <w:rFonts w:ascii="Times New Roman" w:hAnsi="Times New Roman" w:cs="Times New Roman"/>
                <w:color w:val="auto"/>
                <w:highlight w:val="none"/>
              </w:rPr>
              <w:t>800mg/g</w:t>
            </w:r>
          </w:p>
        </w:tc>
      </w:tr>
      <w:tr w14:paraId="52AC683A">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2741" w:type="dxa"/>
            <w:vAlign w:val="center"/>
          </w:tcPr>
          <w:p w14:paraId="672CEEB3">
            <w:pPr>
              <w:widowControl w:val="0"/>
              <w:ind w:left="-105" w:right="-105"/>
              <w:jc w:val="center"/>
              <w:rPr>
                <w:rFonts w:ascii="Times New Roman" w:hAnsi="Times New Roman" w:cs="Times New Roman"/>
                <w:color w:val="auto"/>
                <w:highlight w:val="none"/>
              </w:rPr>
            </w:pPr>
            <w:r>
              <w:rPr>
                <w:rFonts w:ascii="Times New Roman" w:hAnsi="Times New Roman" w:cs="Times New Roman"/>
                <w:b/>
                <w:color w:val="auto"/>
                <w:highlight w:val="none"/>
              </w:rPr>
              <w:t>名称</w:t>
            </w:r>
          </w:p>
        </w:tc>
        <w:tc>
          <w:tcPr>
            <w:tcW w:w="1920" w:type="dxa"/>
            <w:vAlign w:val="center"/>
          </w:tcPr>
          <w:p w14:paraId="1594AE78">
            <w:pPr>
              <w:widowControl w:val="0"/>
              <w:ind w:left="-105" w:right="-105"/>
              <w:jc w:val="center"/>
              <w:rPr>
                <w:rFonts w:ascii="Times New Roman" w:hAnsi="Times New Roman" w:cs="Times New Roman"/>
                <w:color w:val="auto"/>
                <w:highlight w:val="none"/>
              </w:rPr>
            </w:pPr>
            <w:r>
              <w:rPr>
                <w:rFonts w:ascii="Times New Roman" w:hAnsi="Times New Roman" w:cs="Times New Roman"/>
                <w:b/>
                <w:color w:val="auto"/>
                <w:highlight w:val="none"/>
              </w:rPr>
              <w:t>规格参数</w:t>
            </w:r>
          </w:p>
        </w:tc>
        <w:tc>
          <w:tcPr>
            <w:tcW w:w="3561" w:type="dxa"/>
            <w:vAlign w:val="center"/>
          </w:tcPr>
          <w:p w14:paraId="55B0BD79">
            <w:pPr>
              <w:widowControl w:val="0"/>
              <w:ind w:left="-105" w:right="-105"/>
              <w:jc w:val="center"/>
              <w:rPr>
                <w:rFonts w:ascii="Times New Roman" w:hAnsi="Times New Roman" w:cs="Times New Roman"/>
                <w:color w:val="auto"/>
                <w:highlight w:val="none"/>
              </w:rPr>
            </w:pPr>
            <w:r>
              <w:rPr>
                <w:rFonts w:ascii="Times New Roman" w:hAnsi="Times New Roman" w:cs="Times New Roman"/>
                <w:b/>
                <w:color w:val="auto"/>
                <w:highlight w:val="none"/>
              </w:rPr>
              <w:t>对应排气筒</w:t>
            </w:r>
            <w:r>
              <w:rPr>
                <w:rFonts w:hint="eastAsia" w:ascii="Times New Roman" w:hAnsi="Times New Roman" w:cs="Times New Roman"/>
                <w:b/>
                <w:color w:val="auto"/>
                <w:highlight w:val="none"/>
              </w:rPr>
              <w:t>DA006</w:t>
            </w:r>
          </w:p>
        </w:tc>
      </w:tr>
      <w:tr w14:paraId="22AF57A7">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2741" w:type="dxa"/>
            <w:vMerge w:val="restart"/>
            <w:vAlign w:val="center"/>
          </w:tcPr>
          <w:p w14:paraId="34E8E9A5">
            <w:pPr>
              <w:widowControl w:val="0"/>
              <w:ind w:left="-105" w:right="-105"/>
              <w:jc w:val="center"/>
              <w:rPr>
                <w:rFonts w:ascii="Times New Roman" w:hAnsi="Times New Roman" w:cs="Times New Roman"/>
                <w:color w:val="auto"/>
                <w:highlight w:val="none"/>
              </w:rPr>
            </w:pPr>
            <w:r>
              <w:rPr>
                <w:rFonts w:ascii="Times New Roman" w:hAnsi="Times New Roman" w:cs="Times New Roman"/>
                <w:color w:val="auto"/>
                <w:highlight w:val="none"/>
              </w:rPr>
              <w:t>二级活性炭吸附装置</w:t>
            </w:r>
          </w:p>
        </w:tc>
        <w:tc>
          <w:tcPr>
            <w:tcW w:w="1920" w:type="dxa"/>
            <w:vAlign w:val="center"/>
          </w:tcPr>
          <w:p w14:paraId="0A81EA42">
            <w:pPr>
              <w:widowControl w:val="0"/>
              <w:ind w:left="-105" w:right="-105"/>
              <w:jc w:val="center"/>
              <w:rPr>
                <w:rFonts w:ascii="Times New Roman" w:hAnsi="Times New Roman" w:cs="Times New Roman"/>
                <w:color w:val="auto"/>
                <w:highlight w:val="none"/>
              </w:rPr>
            </w:pPr>
            <w:r>
              <w:rPr>
                <w:rFonts w:ascii="Times New Roman" w:hAnsi="Times New Roman" w:cs="Times New Roman"/>
                <w:color w:val="auto"/>
                <w:highlight w:val="none"/>
              </w:rPr>
              <w:t>风量</w:t>
            </w:r>
          </w:p>
        </w:tc>
        <w:tc>
          <w:tcPr>
            <w:tcW w:w="3561" w:type="dxa"/>
            <w:vAlign w:val="center"/>
          </w:tcPr>
          <w:p w14:paraId="1F0C50A3">
            <w:pPr>
              <w:widowControl w:val="0"/>
              <w:ind w:left="-105" w:right="-105"/>
              <w:jc w:val="center"/>
              <w:rPr>
                <w:rFonts w:ascii="Times New Roman" w:hAnsi="Times New Roman" w:cs="Times New Roman"/>
                <w:color w:val="auto"/>
                <w:highlight w:val="none"/>
              </w:rPr>
            </w:pPr>
            <w:r>
              <w:rPr>
                <w:rFonts w:hint="eastAsia" w:ascii="Times New Roman" w:hAnsi="Times New Roman" w:cs="Times New Roman"/>
                <w:color w:val="auto"/>
                <w:highlight w:val="none"/>
              </w:rPr>
              <w:t>18</w:t>
            </w:r>
            <w:r>
              <w:rPr>
                <w:rFonts w:ascii="Times New Roman" w:hAnsi="Times New Roman" w:cs="Times New Roman"/>
                <w:color w:val="auto"/>
                <w:highlight w:val="none"/>
              </w:rPr>
              <w:t>00m</w:t>
            </w:r>
            <w:r>
              <w:rPr>
                <w:rFonts w:ascii="Times New Roman" w:hAnsi="Times New Roman" w:cs="Times New Roman"/>
                <w:color w:val="auto"/>
                <w:highlight w:val="none"/>
                <w:vertAlign w:val="superscript"/>
              </w:rPr>
              <w:t>3</w:t>
            </w:r>
            <w:r>
              <w:rPr>
                <w:rFonts w:ascii="Times New Roman" w:hAnsi="Times New Roman" w:cs="Times New Roman"/>
                <w:color w:val="auto"/>
                <w:highlight w:val="none"/>
              </w:rPr>
              <w:t>/h</w:t>
            </w:r>
          </w:p>
        </w:tc>
      </w:tr>
      <w:tr w14:paraId="6A79A6E9">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2741" w:type="dxa"/>
            <w:vMerge w:val="continue"/>
            <w:vAlign w:val="center"/>
          </w:tcPr>
          <w:p w14:paraId="21271691">
            <w:pPr>
              <w:widowControl w:val="0"/>
              <w:ind w:left="-105" w:right="-105"/>
              <w:jc w:val="center"/>
              <w:rPr>
                <w:rFonts w:ascii="Times New Roman" w:hAnsi="Times New Roman" w:cs="Times New Roman"/>
                <w:color w:val="auto"/>
                <w:highlight w:val="none"/>
              </w:rPr>
            </w:pPr>
          </w:p>
        </w:tc>
        <w:tc>
          <w:tcPr>
            <w:tcW w:w="1920" w:type="dxa"/>
            <w:vAlign w:val="center"/>
          </w:tcPr>
          <w:p w14:paraId="1DC8C349">
            <w:pPr>
              <w:widowControl w:val="0"/>
              <w:ind w:left="-105" w:right="-105"/>
              <w:jc w:val="center"/>
              <w:rPr>
                <w:rFonts w:ascii="Times New Roman" w:hAnsi="Times New Roman" w:cs="Times New Roman"/>
                <w:color w:val="auto"/>
                <w:highlight w:val="none"/>
              </w:rPr>
            </w:pPr>
            <w:r>
              <w:rPr>
                <w:rFonts w:hint="eastAsia" w:ascii="Times New Roman" w:hAnsi="Times New Roman" w:cs="Times New Roman"/>
                <w:color w:val="auto"/>
                <w:highlight w:val="none"/>
              </w:rPr>
              <w:t>过滤</w:t>
            </w:r>
            <w:r>
              <w:rPr>
                <w:rFonts w:ascii="Times New Roman" w:hAnsi="Times New Roman" w:cs="Times New Roman"/>
                <w:color w:val="auto"/>
                <w:highlight w:val="none"/>
              </w:rPr>
              <w:t>风速</w:t>
            </w:r>
          </w:p>
        </w:tc>
        <w:tc>
          <w:tcPr>
            <w:tcW w:w="3561" w:type="dxa"/>
            <w:vAlign w:val="center"/>
          </w:tcPr>
          <w:p w14:paraId="37740C96">
            <w:pPr>
              <w:widowControl w:val="0"/>
              <w:ind w:left="-105" w:right="-105"/>
              <w:jc w:val="center"/>
              <w:rPr>
                <w:rFonts w:ascii="Times New Roman" w:hAnsi="Times New Roman" w:cs="Times New Roman"/>
                <w:color w:val="auto"/>
                <w:highlight w:val="none"/>
              </w:rPr>
            </w:pPr>
            <w:r>
              <w:rPr>
                <w:rFonts w:hint="eastAsia" w:ascii="Times New Roman" w:hAnsi="Times New Roman" w:cs="Times New Roman"/>
                <w:color w:val="auto"/>
                <w:highlight w:val="none"/>
              </w:rPr>
              <w:t>0.5m/s</w:t>
            </w:r>
          </w:p>
        </w:tc>
      </w:tr>
      <w:tr w14:paraId="6AB7F540">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2741" w:type="dxa"/>
            <w:vMerge w:val="continue"/>
            <w:vAlign w:val="center"/>
          </w:tcPr>
          <w:p w14:paraId="639CC4B5">
            <w:pPr>
              <w:widowControl w:val="0"/>
              <w:ind w:left="-105" w:right="-105"/>
              <w:jc w:val="center"/>
              <w:rPr>
                <w:rFonts w:ascii="Times New Roman" w:hAnsi="Times New Roman" w:cs="Times New Roman"/>
                <w:color w:val="auto"/>
                <w:highlight w:val="none"/>
              </w:rPr>
            </w:pPr>
          </w:p>
        </w:tc>
        <w:tc>
          <w:tcPr>
            <w:tcW w:w="1920" w:type="dxa"/>
            <w:vAlign w:val="center"/>
          </w:tcPr>
          <w:p w14:paraId="3E63EF46">
            <w:pPr>
              <w:widowControl w:val="0"/>
              <w:ind w:left="-105" w:right="-105"/>
              <w:jc w:val="center"/>
              <w:rPr>
                <w:rFonts w:ascii="Times New Roman" w:hAnsi="Times New Roman" w:cs="Times New Roman"/>
                <w:color w:val="auto"/>
                <w:highlight w:val="none"/>
              </w:rPr>
            </w:pPr>
            <w:r>
              <w:rPr>
                <w:rFonts w:hint="eastAsia" w:ascii="Times New Roman" w:hAnsi="Times New Roman" w:cs="Times New Roman"/>
                <w:color w:val="auto"/>
                <w:highlight w:val="none"/>
              </w:rPr>
              <w:t>单级</w:t>
            </w:r>
            <w:r>
              <w:rPr>
                <w:rFonts w:ascii="Times New Roman" w:hAnsi="Times New Roman" w:cs="Times New Roman"/>
                <w:color w:val="auto"/>
                <w:highlight w:val="none"/>
              </w:rPr>
              <w:t>处理效率</w:t>
            </w:r>
          </w:p>
        </w:tc>
        <w:tc>
          <w:tcPr>
            <w:tcW w:w="3561" w:type="dxa"/>
            <w:vAlign w:val="center"/>
          </w:tcPr>
          <w:p w14:paraId="73A9FFD8">
            <w:pPr>
              <w:widowControl w:val="0"/>
              <w:ind w:left="-105" w:right="-105"/>
              <w:jc w:val="center"/>
              <w:rPr>
                <w:rFonts w:ascii="Times New Roman" w:hAnsi="Times New Roman" w:cs="Times New Roman"/>
                <w:color w:val="auto"/>
                <w:highlight w:val="none"/>
              </w:rPr>
            </w:pPr>
            <w:r>
              <w:rPr>
                <w:rFonts w:ascii="Times New Roman" w:hAnsi="Times New Roman" w:cs="Times New Roman"/>
                <w:color w:val="auto"/>
                <w:highlight w:val="none"/>
              </w:rPr>
              <w:t>70%</w:t>
            </w:r>
          </w:p>
        </w:tc>
      </w:tr>
      <w:tr w14:paraId="1FF90F50">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2741" w:type="dxa"/>
            <w:vMerge w:val="continue"/>
            <w:vAlign w:val="center"/>
          </w:tcPr>
          <w:p w14:paraId="4F26C59D">
            <w:pPr>
              <w:widowControl w:val="0"/>
              <w:ind w:left="-105" w:right="-105"/>
              <w:jc w:val="center"/>
              <w:rPr>
                <w:rFonts w:ascii="Times New Roman" w:hAnsi="Times New Roman" w:cs="Times New Roman"/>
                <w:color w:val="auto"/>
                <w:highlight w:val="none"/>
              </w:rPr>
            </w:pPr>
          </w:p>
        </w:tc>
        <w:tc>
          <w:tcPr>
            <w:tcW w:w="1920" w:type="dxa"/>
            <w:vAlign w:val="center"/>
          </w:tcPr>
          <w:p w14:paraId="12688F60">
            <w:pPr>
              <w:widowControl w:val="0"/>
              <w:ind w:left="-105" w:right="-105"/>
              <w:jc w:val="center"/>
              <w:rPr>
                <w:rFonts w:ascii="Times New Roman" w:hAnsi="Times New Roman" w:cs="Times New Roman"/>
                <w:color w:val="auto"/>
                <w:highlight w:val="none"/>
              </w:rPr>
            </w:pPr>
            <w:r>
              <w:rPr>
                <w:rFonts w:ascii="Times New Roman" w:hAnsi="Times New Roman" w:cs="Times New Roman"/>
                <w:color w:val="auto"/>
                <w:highlight w:val="none"/>
              </w:rPr>
              <w:t>填充量</w:t>
            </w:r>
          </w:p>
        </w:tc>
        <w:tc>
          <w:tcPr>
            <w:tcW w:w="3561" w:type="dxa"/>
            <w:vAlign w:val="center"/>
          </w:tcPr>
          <w:p w14:paraId="473925A5">
            <w:pPr>
              <w:widowControl w:val="0"/>
              <w:ind w:left="-105" w:right="-105"/>
              <w:jc w:val="center"/>
              <w:rPr>
                <w:rFonts w:ascii="Times New Roman" w:hAnsi="Times New Roman" w:cs="Times New Roman"/>
                <w:color w:val="auto"/>
                <w:highlight w:val="none"/>
              </w:rPr>
            </w:pPr>
            <w:r>
              <w:rPr>
                <w:rFonts w:hint="eastAsia" w:ascii="Times New Roman" w:hAnsi="Times New Roman" w:cs="Times New Roman"/>
                <w:color w:val="auto"/>
                <w:highlight w:val="none"/>
              </w:rPr>
              <w:t>100kg</w:t>
            </w:r>
          </w:p>
        </w:tc>
      </w:tr>
      <w:tr w14:paraId="612A4649">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2741" w:type="dxa"/>
            <w:vMerge w:val="continue"/>
            <w:vAlign w:val="center"/>
          </w:tcPr>
          <w:p w14:paraId="00091B6B">
            <w:pPr>
              <w:widowControl w:val="0"/>
              <w:ind w:left="-105" w:right="-105"/>
              <w:jc w:val="center"/>
              <w:rPr>
                <w:rFonts w:ascii="Times New Roman" w:hAnsi="Times New Roman" w:cs="Times New Roman"/>
                <w:color w:val="auto"/>
                <w:highlight w:val="none"/>
              </w:rPr>
            </w:pPr>
          </w:p>
        </w:tc>
        <w:tc>
          <w:tcPr>
            <w:tcW w:w="1920" w:type="dxa"/>
            <w:vAlign w:val="center"/>
          </w:tcPr>
          <w:p w14:paraId="19B56129">
            <w:pPr>
              <w:widowControl w:val="0"/>
              <w:ind w:left="-105" w:right="-105"/>
              <w:jc w:val="center"/>
              <w:rPr>
                <w:rFonts w:ascii="Times New Roman" w:hAnsi="Times New Roman" w:cs="Times New Roman"/>
                <w:color w:val="auto"/>
                <w:highlight w:val="none"/>
              </w:rPr>
            </w:pPr>
            <w:r>
              <w:rPr>
                <w:rFonts w:ascii="Times New Roman" w:hAnsi="Times New Roman" w:cs="Times New Roman"/>
                <w:color w:val="auto"/>
                <w:highlight w:val="none"/>
              </w:rPr>
              <w:t>活性炭类型</w:t>
            </w:r>
          </w:p>
        </w:tc>
        <w:tc>
          <w:tcPr>
            <w:tcW w:w="3561" w:type="dxa"/>
            <w:vAlign w:val="center"/>
          </w:tcPr>
          <w:p w14:paraId="1F6FAB76">
            <w:pPr>
              <w:widowControl w:val="0"/>
              <w:ind w:left="-105" w:right="-105"/>
              <w:jc w:val="center"/>
              <w:rPr>
                <w:rFonts w:ascii="Times New Roman" w:hAnsi="Times New Roman" w:cs="Times New Roman"/>
                <w:color w:val="auto"/>
                <w:highlight w:val="none"/>
              </w:rPr>
            </w:pPr>
            <w:r>
              <w:rPr>
                <w:rFonts w:hint="eastAsia" w:ascii="Times New Roman" w:hAnsi="Times New Roman" w:cs="Times New Roman"/>
                <w:color w:val="auto"/>
                <w:highlight w:val="none"/>
              </w:rPr>
              <w:t>颗粒</w:t>
            </w:r>
            <w:r>
              <w:rPr>
                <w:rFonts w:ascii="Times New Roman" w:hAnsi="Times New Roman" w:cs="Times New Roman"/>
                <w:color w:val="auto"/>
                <w:highlight w:val="none"/>
              </w:rPr>
              <w:t>状活性炭</w:t>
            </w:r>
          </w:p>
        </w:tc>
      </w:tr>
      <w:tr w14:paraId="14671A7D">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2741" w:type="dxa"/>
            <w:vMerge w:val="continue"/>
            <w:vAlign w:val="center"/>
          </w:tcPr>
          <w:p w14:paraId="48731F6F">
            <w:pPr>
              <w:widowControl w:val="0"/>
              <w:ind w:left="-105" w:right="-105"/>
              <w:jc w:val="center"/>
              <w:rPr>
                <w:rFonts w:ascii="Times New Roman" w:hAnsi="Times New Roman" w:cs="Times New Roman"/>
                <w:color w:val="auto"/>
                <w:highlight w:val="none"/>
              </w:rPr>
            </w:pPr>
          </w:p>
        </w:tc>
        <w:tc>
          <w:tcPr>
            <w:tcW w:w="1920" w:type="dxa"/>
            <w:vAlign w:val="center"/>
          </w:tcPr>
          <w:p w14:paraId="0B1D6319">
            <w:pPr>
              <w:widowControl w:val="0"/>
              <w:ind w:left="-105" w:right="-105"/>
              <w:jc w:val="center"/>
              <w:rPr>
                <w:rFonts w:ascii="Times New Roman" w:hAnsi="Times New Roman" w:cs="Times New Roman"/>
                <w:color w:val="auto"/>
                <w:highlight w:val="none"/>
              </w:rPr>
            </w:pPr>
            <w:r>
              <w:rPr>
                <w:rFonts w:hint="eastAsia" w:ascii="Times New Roman" w:hAnsi="Times New Roman" w:cs="Times New Roman"/>
                <w:color w:val="auto"/>
                <w:highlight w:val="none"/>
              </w:rPr>
              <w:t>碘值</w:t>
            </w:r>
          </w:p>
        </w:tc>
        <w:tc>
          <w:tcPr>
            <w:tcW w:w="3561" w:type="dxa"/>
            <w:vAlign w:val="center"/>
          </w:tcPr>
          <w:p w14:paraId="575335EA">
            <w:pPr>
              <w:widowControl w:val="0"/>
              <w:ind w:left="-105" w:right="-105"/>
              <w:jc w:val="center"/>
              <w:rPr>
                <w:rFonts w:ascii="Times New Roman" w:hAnsi="Times New Roman" w:cs="Times New Roman"/>
                <w:color w:val="auto"/>
                <w:highlight w:val="none"/>
              </w:rPr>
            </w:pPr>
            <w:r>
              <w:rPr>
                <w:rFonts w:hint="eastAsia" w:ascii="Times New Roman" w:hAnsi="Times New Roman" w:cs="Times New Roman"/>
                <w:color w:val="auto"/>
                <w:highlight w:val="none"/>
              </w:rPr>
              <w:t>≥</w:t>
            </w:r>
            <w:r>
              <w:rPr>
                <w:rFonts w:ascii="Times New Roman" w:hAnsi="Times New Roman" w:cs="Times New Roman"/>
                <w:color w:val="auto"/>
                <w:highlight w:val="none"/>
              </w:rPr>
              <w:t>800mg/g</w:t>
            </w:r>
          </w:p>
        </w:tc>
      </w:tr>
    </w:tbl>
    <w:p w14:paraId="62793C3E">
      <w:pPr>
        <w:pStyle w:val="41"/>
        <w:widowControl w:val="0"/>
        <w:autoSpaceDE w:val="0"/>
        <w:autoSpaceDN w:val="0"/>
        <w:spacing w:before="0" w:beforeAutospacing="0" w:after="0" w:afterAutospacing="0" w:line="360" w:lineRule="auto"/>
        <w:ind w:left="-105" w:right="-105" w:firstLine="482" w:firstLineChars="200"/>
        <w:jc w:val="both"/>
        <w:rPr>
          <w:rFonts w:ascii="Times New Roman" w:hAnsi="Times New Roman"/>
          <w:b/>
          <w:bCs/>
          <w:color w:val="auto"/>
          <w:szCs w:val="24"/>
          <w:highlight w:val="none"/>
          <w:lang w:bidi="ar"/>
        </w:rPr>
      </w:pPr>
      <w:r>
        <w:rPr>
          <w:rFonts w:hint="eastAsia" w:ascii="Times New Roman" w:hAnsi="Times New Roman"/>
          <w:b/>
          <w:bCs/>
          <w:color w:val="auto"/>
          <w:szCs w:val="24"/>
          <w:highlight w:val="none"/>
          <w:lang w:bidi="ar"/>
        </w:rPr>
        <w:t>（4）可行技术分析</w:t>
      </w:r>
    </w:p>
    <w:p w14:paraId="107247E6">
      <w:pPr>
        <w:pStyle w:val="41"/>
        <w:widowControl w:val="0"/>
        <w:autoSpaceDE w:val="0"/>
        <w:autoSpaceDN w:val="0"/>
        <w:spacing w:before="0" w:beforeAutospacing="0" w:after="0" w:afterAutospacing="0" w:line="360" w:lineRule="auto"/>
        <w:ind w:left="-105" w:right="-105" w:firstLine="480" w:firstLineChars="200"/>
        <w:jc w:val="both"/>
        <w:rPr>
          <w:rFonts w:cs="宋体"/>
          <w:color w:val="auto"/>
          <w:szCs w:val="24"/>
          <w:highlight w:val="none"/>
          <w:lang w:bidi="ar"/>
        </w:rPr>
      </w:pPr>
      <w:r>
        <w:rPr>
          <w:rFonts w:hint="eastAsia" w:cs="宋体"/>
          <w:color w:val="auto"/>
          <w:szCs w:val="24"/>
          <w:highlight w:val="none"/>
          <w:lang w:bidi="ar"/>
        </w:rPr>
        <w:t>本项目采用的“碱喷淋+活性炭吸附”及“两级活性炭吸附”</w:t>
      </w:r>
      <w:r>
        <w:rPr>
          <w:rFonts w:hint="eastAsia" w:cs="宋体"/>
          <w:color w:val="auto"/>
          <w:szCs w:val="24"/>
          <w:highlight w:val="none"/>
          <w:lang w:val="en-US" w:eastAsia="zh-CN" w:bidi="ar"/>
        </w:rPr>
        <w:t>参照</w:t>
      </w:r>
      <w:r>
        <w:rPr>
          <w:rFonts w:hint="eastAsia" w:cs="宋体"/>
          <w:color w:val="auto"/>
          <w:szCs w:val="24"/>
          <w:highlight w:val="none"/>
          <w:lang w:bidi="ar"/>
        </w:rPr>
        <w:t>《排污许可证申请与核发技术规范</w:t>
      </w:r>
      <w:r>
        <w:rPr>
          <w:rFonts w:hint="eastAsia" w:cs="宋体"/>
          <w:color w:val="auto"/>
          <w:szCs w:val="24"/>
          <w:highlight w:val="none"/>
          <w:lang w:val="en-US" w:eastAsia="zh-CN" w:bidi="ar"/>
        </w:rPr>
        <w:t xml:space="preserve"> 电子</w:t>
      </w:r>
      <w:r>
        <w:rPr>
          <w:rFonts w:hint="eastAsia" w:cs="宋体"/>
          <w:color w:val="auto"/>
          <w:szCs w:val="24"/>
          <w:highlight w:val="none"/>
          <w:lang w:bidi="ar"/>
        </w:rPr>
        <w:t>工业》</w:t>
      </w:r>
      <w:r>
        <w:rPr>
          <w:rFonts w:ascii="Times New Roman" w:hAnsi="Times New Roman"/>
          <w:color w:val="auto"/>
          <w:szCs w:val="24"/>
          <w:highlight w:val="none"/>
          <w:lang w:bidi="ar"/>
        </w:rPr>
        <w:t>（HJ</w:t>
      </w:r>
      <w:r>
        <w:rPr>
          <w:rFonts w:hint="eastAsia" w:ascii="Times New Roman" w:hAnsi="Times New Roman"/>
          <w:color w:val="auto"/>
          <w:szCs w:val="24"/>
          <w:highlight w:val="none"/>
          <w:lang w:val="en-US" w:eastAsia="zh-CN" w:bidi="ar"/>
        </w:rPr>
        <w:t>2031-2019</w:t>
      </w:r>
      <w:r>
        <w:rPr>
          <w:rFonts w:ascii="Times New Roman" w:hAnsi="Times New Roman"/>
          <w:color w:val="auto"/>
          <w:szCs w:val="24"/>
          <w:highlight w:val="none"/>
          <w:lang w:bidi="ar"/>
        </w:rPr>
        <w:t>）</w:t>
      </w:r>
      <w:r>
        <w:rPr>
          <w:rFonts w:hint="eastAsia" w:cs="宋体"/>
          <w:color w:val="auto"/>
          <w:szCs w:val="24"/>
          <w:highlight w:val="none"/>
          <w:lang w:bidi="ar"/>
        </w:rPr>
        <w:t>中“</w:t>
      </w:r>
      <w:r>
        <w:rPr>
          <w:rFonts w:ascii="Times New Roman" w:hAnsi="Times New Roman"/>
          <w:color w:val="auto"/>
          <w:szCs w:val="24"/>
          <w:highlight w:val="none"/>
          <w:lang w:bidi="ar"/>
        </w:rPr>
        <w:t>表</w:t>
      </w:r>
      <w:r>
        <w:rPr>
          <w:rFonts w:hint="eastAsia" w:ascii="Times New Roman" w:hAnsi="Times New Roman"/>
          <w:color w:val="auto"/>
          <w:szCs w:val="24"/>
          <w:highlight w:val="none"/>
          <w:lang w:val="en-US" w:eastAsia="zh-CN" w:bidi="ar"/>
        </w:rPr>
        <w:t>B</w:t>
      </w:r>
      <w:r>
        <w:rPr>
          <w:rFonts w:ascii="Times New Roman" w:hAnsi="Times New Roman"/>
          <w:color w:val="auto"/>
          <w:szCs w:val="24"/>
          <w:highlight w:val="none"/>
          <w:lang w:bidi="ar"/>
        </w:rPr>
        <w:t>.1</w:t>
      </w:r>
      <w:r>
        <w:rPr>
          <w:rFonts w:hint="eastAsia" w:ascii="Times New Roman" w:hAnsi="Times New Roman"/>
          <w:color w:val="auto"/>
          <w:szCs w:val="24"/>
          <w:highlight w:val="none"/>
          <w:lang w:val="en-US" w:eastAsia="zh-CN" w:bidi="ar"/>
        </w:rPr>
        <w:t>电子工业排污单位</w:t>
      </w:r>
      <w:r>
        <w:rPr>
          <w:rFonts w:ascii="Times New Roman" w:hAnsi="Times New Roman"/>
          <w:color w:val="auto"/>
          <w:szCs w:val="24"/>
          <w:highlight w:val="none"/>
          <w:lang w:bidi="ar"/>
        </w:rPr>
        <w:t>废</w:t>
      </w:r>
      <w:r>
        <w:rPr>
          <w:rFonts w:hint="eastAsia" w:cs="宋体"/>
          <w:color w:val="auto"/>
          <w:szCs w:val="24"/>
          <w:highlight w:val="none"/>
          <w:lang w:bidi="ar"/>
        </w:rPr>
        <w:t>气防治可行技术参考表”</w:t>
      </w:r>
      <w:r>
        <w:rPr>
          <w:rFonts w:hint="eastAsia" w:cs="宋体"/>
          <w:color w:val="auto"/>
          <w:szCs w:val="24"/>
          <w:highlight w:val="none"/>
          <w:lang w:val="en-US" w:eastAsia="zh-CN" w:bidi="ar"/>
        </w:rPr>
        <w:t>中“互联与封装材料制造排污单位-清洗、表面处理-氮氧化物、硫酸雾等”和“工艺与辅助材料制造排污单位-研磨-挥发性有机物”的</w:t>
      </w:r>
      <w:r>
        <w:rPr>
          <w:rFonts w:hint="eastAsia" w:cs="宋体"/>
          <w:color w:val="auto"/>
          <w:szCs w:val="24"/>
          <w:highlight w:val="none"/>
          <w:lang w:bidi="ar"/>
        </w:rPr>
        <w:t>可行技术</w:t>
      </w:r>
      <w:r>
        <w:rPr>
          <w:rFonts w:hint="eastAsia" w:cs="宋体"/>
          <w:color w:val="auto"/>
          <w:szCs w:val="24"/>
          <w:highlight w:val="none"/>
          <w:lang w:eastAsia="zh-CN" w:bidi="ar"/>
        </w:rPr>
        <w:t>“</w:t>
      </w:r>
      <w:r>
        <w:rPr>
          <w:rFonts w:hint="eastAsia" w:cs="宋体"/>
          <w:color w:val="auto"/>
          <w:szCs w:val="24"/>
          <w:highlight w:val="none"/>
          <w:lang w:val="en-US" w:eastAsia="zh-CN" w:bidi="ar"/>
        </w:rPr>
        <w:t>碱液喷淋洗涤吸收法</w:t>
      </w:r>
      <w:r>
        <w:rPr>
          <w:rFonts w:hint="eastAsia" w:cs="宋体"/>
          <w:color w:val="auto"/>
          <w:szCs w:val="24"/>
          <w:highlight w:val="none"/>
          <w:lang w:eastAsia="zh-CN" w:bidi="ar"/>
        </w:rPr>
        <w:t>”“</w:t>
      </w:r>
      <w:r>
        <w:rPr>
          <w:rFonts w:hint="eastAsia" w:cs="宋体"/>
          <w:color w:val="auto"/>
          <w:szCs w:val="24"/>
          <w:highlight w:val="none"/>
          <w:lang w:val="en-US" w:eastAsia="zh-CN" w:bidi="ar"/>
        </w:rPr>
        <w:t>活性炭吸附法</w:t>
      </w:r>
      <w:r>
        <w:rPr>
          <w:rFonts w:hint="eastAsia" w:cs="宋体"/>
          <w:color w:val="auto"/>
          <w:szCs w:val="24"/>
          <w:highlight w:val="none"/>
          <w:lang w:eastAsia="zh-CN" w:bidi="ar"/>
        </w:rPr>
        <w:t>”</w:t>
      </w:r>
      <w:r>
        <w:rPr>
          <w:rFonts w:hint="eastAsia" w:cs="宋体"/>
          <w:color w:val="auto"/>
          <w:szCs w:val="24"/>
          <w:highlight w:val="none"/>
          <w:lang w:bidi="ar"/>
        </w:rPr>
        <w:t>，且废气治理措施能满足有组织排放要求，是可行的。</w:t>
      </w:r>
    </w:p>
    <w:p w14:paraId="13E5DD0E">
      <w:pPr>
        <w:pStyle w:val="41"/>
        <w:widowControl w:val="0"/>
        <w:autoSpaceDE w:val="0"/>
        <w:autoSpaceDN w:val="0"/>
        <w:spacing w:before="0" w:beforeAutospacing="0" w:after="0" w:afterAutospacing="0" w:line="360" w:lineRule="auto"/>
        <w:ind w:left="-105" w:right="-105" w:firstLine="482" w:firstLineChars="200"/>
        <w:jc w:val="both"/>
        <w:rPr>
          <w:rFonts w:ascii="Times New Roman" w:hAnsi="Times New Roman"/>
          <w:b/>
          <w:bCs/>
          <w:color w:val="auto"/>
          <w:szCs w:val="24"/>
          <w:highlight w:val="none"/>
          <w:lang w:bidi="ar"/>
        </w:rPr>
      </w:pPr>
      <w:r>
        <w:rPr>
          <w:rFonts w:ascii="Times New Roman" w:hAnsi="Times New Roman"/>
          <w:b/>
          <w:bCs/>
          <w:color w:val="auto"/>
          <w:szCs w:val="24"/>
          <w:highlight w:val="none"/>
          <w:lang w:bidi="ar"/>
        </w:rPr>
        <w:t>（5）</w:t>
      </w:r>
      <w:r>
        <w:rPr>
          <w:b/>
          <w:bCs/>
          <w:color w:val="auto"/>
          <w:szCs w:val="22"/>
          <w:highlight w:val="none"/>
        </w:rPr>
        <w:t>稳定达标分析</w:t>
      </w:r>
    </w:p>
    <w:p w14:paraId="413A9DA6">
      <w:pPr>
        <w:spacing w:line="360" w:lineRule="auto"/>
        <w:ind w:left="-105" w:right="-105" w:firstLine="480"/>
        <w:jc w:val="both"/>
        <w:rPr>
          <w:rFonts w:ascii="Times New Roman" w:hAnsi="Times New Roman" w:cs="Times New Roman"/>
          <w:color w:val="auto"/>
          <w:highlight w:val="none"/>
        </w:rPr>
      </w:pPr>
      <w:r>
        <w:rPr>
          <w:rFonts w:ascii="Times New Roman" w:hAnsi="Times New Roman"/>
          <w:color w:val="auto"/>
          <w:highlight w:val="none"/>
        </w:rPr>
        <w:t>经处理后项目废气排放情况见第四章</w:t>
      </w:r>
      <w:r>
        <w:rPr>
          <w:rFonts w:hint="eastAsia" w:ascii="Times New Roman" w:hAnsi="Times New Roman"/>
          <w:color w:val="auto"/>
          <w:highlight w:val="none"/>
        </w:rPr>
        <w:t>表4</w:t>
      </w:r>
      <w:r>
        <w:rPr>
          <w:rFonts w:ascii="Times New Roman" w:hAnsi="Times New Roman"/>
          <w:color w:val="auto"/>
          <w:highlight w:val="none"/>
        </w:rPr>
        <w:t>.6-4</w:t>
      </w:r>
      <w:r>
        <w:rPr>
          <w:rFonts w:hint="eastAsia" w:ascii="Times New Roman" w:hAnsi="Times New Roman"/>
          <w:color w:val="auto"/>
          <w:highlight w:val="none"/>
        </w:rPr>
        <w:t>、表4.6-5</w:t>
      </w:r>
      <w:r>
        <w:rPr>
          <w:rFonts w:ascii="Times New Roman" w:hAnsi="Times New Roman"/>
          <w:color w:val="auto"/>
          <w:highlight w:val="none"/>
        </w:rPr>
        <w:t>，本项目各类废气经过废气处理设施集中处理后均能达标排放，</w:t>
      </w:r>
      <w:r>
        <w:rPr>
          <w:rFonts w:hint="eastAsia" w:ascii="Times New Roman" w:hAnsi="Times New Roman"/>
          <w:bCs/>
          <w:color w:val="auto"/>
          <w:highlight w:val="none"/>
        </w:rPr>
        <w:t>本项目生产过程和实验室产生的氮氧化物、非甲烷总烃、甲醇排放执行《大气污染物综合排放标准》（DB32/4041-2021）表1、表3标准限值。</w:t>
      </w:r>
    </w:p>
    <w:p w14:paraId="7995C205">
      <w:pPr>
        <w:pStyle w:val="41"/>
        <w:widowControl w:val="0"/>
        <w:autoSpaceDE w:val="0"/>
        <w:autoSpaceDN w:val="0"/>
        <w:spacing w:before="0" w:beforeAutospacing="0" w:after="0" w:afterAutospacing="0" w:line="360" w:lineRule="auto"/>
        <w:ind w:left="-105" w:right="-105" w:firstLine="480" w:firstLineChars="200"/>
        <w:jc w:val="both"/>
        <w:rPr>
          <w:rFonts w:ascii="Times New Roman" w:hAnsi="Times New Roman"/>
          <w:color w:val="auto"/>
          <w:highlight w:val="none"/>
        </w:rPr>
      </w:pPr>
      <w:r>
        <w:rPr>
          <w:rFonts w:ascii="Times New Roman" w:hAnsi="Times New Roman"/>
          <w:color w:val="auto"/>
          <w:highlight w:val="none"/>
        </w:rPr>
        <w:t>本项目各项废气处理设施对对应废气均具有较高的去除效果，运行稳定、有效，具有操作简单，处理效果好、设备耐用，维护简单等优点。</w:t>
      </w:r>
    </w:p>
    <w:p w14:paraId="6E7B3C57">
      <w:pPr>
        <w:pStyle w:val="41"/>
        <w:widowControl w:val="0"/>
        <w:autoSpaceDE w:val="0"/>
        <w:autoSpaceDN w:val="0"/>
        <w:spacing w:before="0" w:beforeAutospacing="0" w:after="0" w:afterAutospacing="0" w:line="360" w:lineRule="auto"/>
        <w:ind w:left="-105" w:right="-105" w:firstLine="480" w:firstLineChars="200"/>
        <w:jc w:val="both"/>
        <w:rPr>
          <w:rFonts w:ascii="Times New Roman" w:hAnsi="Times New Roman"/>
          <w:color w:val="auto"/>
          <w:highlight w:val="none"/>
        </w:rPr>
      </w:pPr>
      <w:r>
        <w:rPr>
          <w:rFonts w:hint="eastAsia" w:ascii="Times New Roman" w:hAnsi="Times New Roman"/>
          <w:color w:val="auto"/>
          <w:highlight w:val="none"/>
        </w:rPr>
        <w:t>根据《吸附法工业有机废气治理工程技术规范》（</w:t>
      </w:r>
      <w:r>
        <w:rPr>
          <w:rFonts w:ascii="Times New Roman" w:hAnsi="Times New Roman"/>
          <w:color w:val="auto"/>
          <w:highlight w:val="none"/>
        </w:rPr>
        <w:t>HJ2026-2013</w:t>
      </w:r>
      <w:r>
        <w:rPr>
          <w:rFonts w:hint="eastAsia" w:ascii="Times New Roman" w:hAnsi="Times New Roman"/>
          <w:color w:val="auto"/>
          <w:highlight w:val="none"/>
        </w:rPr>
        <w:t>）</w:t>
      </w:r>
      <w:r>
        <w:rPr>
          <w:rFonts w:hint="eastAsia" w:ascii="Times New Roman" w:hAnsi="Times New Roman"/>
          <w:color w:val="auto"/>
          <w:highlight w:val="none"/>
          <w:lang w:eastAsia="zh-CN"/>
        </w:rPr>
        <w:t>、</w:t>
      </w:r>
      <w:r>
        <w:rPr>
          <w:rFonts w:hint="eastAsia" w:ascii="Times New Roman" w:hAnsi="Times New Roman"/>
          <w:color w:val="auto"/>
          <w:highlight w:val="none"/>
          <w:lang w:eastAsia="zh-CN"/>
        </w:rPr>
        <w:t>《</w:t>
      </w:r>
      <w:r>
        <w:rPr>
          <w:rFonts w:hint="eastAsia"/>
          <w:color w:val="auto"/>
          <w:highlight w:val="none"/>
        </w:rPr>
        <w:t>实验室废气污染控制技术规范</w:t>
      </w:r>
      <w:r>
        <w:rPr>
          <w:rFonts w:hint="eastAsia" w:ascii="Times New Roman" w:hAnsi="Times New Roman"/>
          <w:color w:val="auto"/>
          <w:highlight w:val="none"/>
          <w:lang w:eastAsia="zh-CN"/>
        </w:rPr>
        <w:t>》（DB32／T 4455-2023）</w:t>
      </w:r>
      <w:r>
        <w:rPr>
          <w:rFonts w:hint="eastAsia" w:ascii="Times New Roman" w:hAnsi="Times New Roman"/>
          <w:color w:val="auto"/>
          <w:highlight w:val="none"/>
        </w:rPr>
        <w:t>等要求，对生产线、实验室的有机废气采用二级活性炭吸附装置处理有机废气，需要注意相关的安全措施：1）</w:t>
      </w:r>
      <w:r>
        <w:rPr>
          <w:rFonts w:ascii="Times New Roman" w:hAnsi="Times New Roman"/>
          <w:color w:val="auto"/>
          <w:highlight w:val="none"/>
        </w:rPr>
        <w:t>治理系统应有事故自动报警装置，并符合安全生产、事故防范的相关规定</w:t>
      </w:r>
      <w:r>
        <w:rPr>
          <w:rFonts w:hint="eastAsia" w:ascii="Times New Roman" w:hAnsi="Times New Roman"/>
          <w:color w:val="auto"/>
          <w:highlight w:val="none"/>
        </w:rPr>
        <w:t>；2）</w:t>
      </w:r>
      <w:r>
        <w:rPr>
          <w:rFonts w:ascii="Times New Roman" w:hAnsi="Times New Roman"/>
          <w:color w:val="auto"/>
          <w:highlight w:val="none"/>
        </w:rPr>
        <w:t>治理系统与主体生产装置之间的管道系统应安装阻火器(防火阀),阻火器性能应符合GB13347</w:t>
      </w:r>
      <w:r>
        <w:rPr>
          <w:rFonts w:hint="eastAsia" w:ascii="Times New Roman" w:hAnsi="Times New Roman"/>
          <w:color w:val="auto"/>
          <w:highlight w:val="none"/>
        </w:rPr>
        <w:t>的规定；3）</w:t>
      </w:r>
      <w:r>
        <w:rPr>
          <w:rFonts w:ascii="Times New Roman" w:hAnsi="Times New Roman"/>
          <w:color w:val="auto"/>
          <w:highlight w:val="none"/>
        </w:rPr>
        <w:t>风机、电机和置于现场的电气仪表等应不低于现场防爆等级。当吸附剂采用降压解吸方式再生</w:t>
      </w:r>
      <w:r>
        <w:rPr>
          <w:rFonts w:hint="eastAsia" w:ascii="Times New Roman" w:hAnsi="Times New Roman"/>
          <w:color w:val="auto"/>
          <w:highlight w:val="none"/>
        </w:rPr>
        <w:t>；4）</w:t>
      </w:r>
      <w:r>
        <w:rPr>
          <w:rFonts w:ascii="Times New Roman" w:hAnsi="Times New Roman"/>
          <w:color w:val="auto"/>
          <w:highlight w:val="none"/>
        </w:rPr>
        <w:t>在吸附操作周期内</w:t>
      </w:r>
      <w:r>
        <w:rPr>
          <w:rFonts w:hint="eastAsia" w:ascii="Times New Roman" w:hAnsi="Times New Roman"/>
          <w:color w:val="auto"/>
          <w:highlight w:val="none"/>
        </w:rPr>
        <w:t>，</w:t>
      </w:r>
      <w:r>
        <w:rPr>
          <w:rFonts w:ascii="Times New Roman" w:hAnsi="Times New Roman"/>
          <w:color w:val="auto"/>
          <w:highlight w:val="none"/>
        </w:rPr>
        <w:t>吸附了有机气体后吸附床内的温度应低于83</w:t>
      </w:r>
      <w:r>
        <w:rPr>
          <w:rFonts w:hint="eastAsia" w:ascii="Times New Roman" w:hAnsi="Times New Roman"/>
          <w:color w:val="auto"/>
          <w:highlight w:val="none"/>
        </w:rPr>
        <w:t>℃，</w:t>
      </w:r>
      <w:r>
        <w:rPr>
          <w:rFonts w:ascii="Times New Roman" w:hAnsi="Times New Roman"/>
          <w:color w:val="auto"/>
          <w:highlight w:val="none"/>
        </w:rPr>
        <w:t>当吸附装置内的温度超过83</w:t>
      </w:r>
      <w:r>
        <w:rPr>
          <w:rFonts w:hint="eastAsia" w:ascii="Times New Roman" w:hAnsi="Times New Roman"/>
          <w:color w:val="auto"/>
          <w:highlight w:val="none"/>
        </w:rPr>
        <w:t>℃</w:t>
      </w:r>
      <w:r>
        <w:rPr>
          <w:rFonts w:ascii="Times New Roman" w:hAnsi="Times New Roman"/>
          <w:color w:val="auto"/>
          <w:highlight w:val="none"/>
        </w:rPr>
        <w:t>时，应能自动报警，并立即启动降温装置</w:t>
      </w:r>
      <w:r>
        <w:rPr>
          <w:rFonts w:hint="eastAsia" w:ascii="Times New Roman" w:hAnsi="Times New Roman"/>
          <w:color w:val="auto"/>
          <w:highlight w:val="none"/>
        </w:rPr>
        <w:t>；5）</w:t>
      </w:r>
      <w:r>
        <w:rPr>
          <w:rFonts w:ascii="Times New Roman" w:hAnsi="Times New Roman"/>
          <w:color w:val="auto"/>
          <w:highlight w:val="none"/>
        </w:rPr>
        <w:t>治理装置安装区域应按规定设置消防设施</w:t>
      </w:r>
      <w:r>
        <w:rPr>
          <w:rFonts w:hint="eastAsia" w:ascii="Times New Roman" w:hAnsi="Times New Roman"/>
          <w:color w:val="auto"/>
          <w:highlight w:val="none"/>
        </w:rPr>
        <w:t>；6）</w:t>
      </w:r>
      <w:r>
        <w:rPr>
          <w:rFonts w:ascii="Times New Roman" w:hAnsi="Times New Roman"/>
          <w:color w:val="auto"/>
          <w:highlight w:val="none"/>
        </w:rPr>
        <w:t>治理设备应具备短路保护和接地保护，接地电阻应小于4Ω</w:t>
      </w:r>
      <w:r>
        <w:rPr>
          <w:rFonts w:hint="eastAsia" w:ascii="Times New Roman" w:hAnsi="Times New Roman"/>
          <w:color w:val="auto"/>
          <w:highlight w:val="none"/>
        </w:rPr>
        <w:t>；7）</w:t>
      </w:r>
      <w:r>
        <w:rPr>
          <w:rFonts w:ascii="Times New Roman" w:hAnsi="Times New Roman"/>
          <w:color w:val="auto"/>
          <w:highlight w:val="none"/>
        </w:rPr>
        <w:t>室外治理设备应安装符合GB50057规定的避雷装置。</w:t>
      </w:r>
    </w:p>
    <w:p w14:paraId="655D69DC">
      <w:pPr>
        <w:pStyle w:val="41"/>
        <w:widowControl w:val="0"/>
        <w:autoSpaceDE w:val="0"/>
        <w:autoSpaceDN w:val="0"/>
        <w:spacing w:before="0" w:beforeAutospacing="0" w:after="0" w:afterAutospacing="0" w:line="360" w:lineRule="auto"/>
        <w:ind w:left="-105" w:right="-105" w:firstLine="480" w:firstLineChars="200"/>
        <w:jc w:val="both"/>
        <w:rPr>
          <w:rFonts w:ascii="Times New Roman" w:hAnsi="Times New Roman"/>
          <w:color w:val="auto"/>
          <w:szCs w:val="24"/>
          <w:highlight w:val="none"/>
          <w:lang w:bidi="ar"/>
        </w:rPr>
      </w:pPr>
      <w:r>
        <w:rPr>
          <w:rFonts w:ascii="Times New Roman" w:hAnsi="Times New Roman"/>
          <w:color w:val="auto"/>
          <w:szCs w:val="24"/>
          <w:highlight w:val="none"/>
          <w:lang w:bidi="ar"/>
        </w:rPr>
        <w:t>综上所述，通过以上废气污染控制措施处理后，本项目产生的各类废气均能够达到相关排放标准要求，大气污染防治措施从技术上和经济上均具有可行性，污染防治措施总体可信、可行。</w:t>
      </w:r>
    </w:p>
    <w:p w14:paraId="3FB32AE1">
      <w:pPr>
        <w:pStyle w:val="5"/>
        <w:keepLines w:val="0"/>
        <w:numPr>
          <w:ilvl w:val="2"/>
          <w:numId w:val="0"/>
        </w:numPr>
        <w:tabs>
          <w:tab w:val="left" w:pos="360"/>
          <w:tab w:val="left" w:pos="567"/>
          <w:tab w:val="left" w:pos="709"/>
          <w:tab w:val="left" w:pos="993"/>
        </w:tabs>
        <w:spacing w:before="0" w:after="0" w:line="360" w:lineRule="auto"/>
        <w:ind w:right="-105"/>
        <w:rPr>
          <w:rFonts w:eastAsia="宋体"/>
          <w:color w:val="auto"/>
          <w:sz w:val="28"/>
          <w:szCs w:val="28"/>
          <w:highlight w:val="none"/>
        </w:rPr>
      </w:pPr>
      <w:bookmarkStart w:id="446" w:name="_Toc461443197"/>
      <w:bookmarkStart w:id="447" w:name="_Toc60653587"/>
      <w:bookmarkStart w:id="448" w:name="_Toc60653589"/>
      <w:r>
        <w:rPr>
          <w:rFonts w:hint="eastAsia" w:eastAsia="宋体"/>
          <w:color w:val="auto"/>
          <w:sz w:val="28"/>
          <w:szCs w:val="28"/>
          <w:highlight w:val="none"/>
        </w:rPr>
        <w:t>7.1.</w:t>
      </w:r>
      <w:r>
        <w:rPr>
          <w:rFonts w:hint="eastAsia" w:eastAsia="宋体"/>
          <w:color w:val="auto"/>
          <w:sz w:val="28"/>
          <w:szCs w:val="28"/>
          <w:highlight w:val="none"/>
          <w:lang w:val="en-US" w:eastAsia="zh-CN"/>
        </w:rPr>
        <w:t>3</w:t>
      </w:r>
      <w:r>
        <w:rPr>
          <w:rFonts w:eastAsia="宋体"/>
          <w:color w:val="auto"/>
          <w:sz w:val="28"/>
          <w:szCs w:val="28"/>
          <w:highlight w:val="none"/>
        </w:rPr>
        <w:t>无组织废气排放控制措施</w:t>
      </w:r>
      <w:bookmarkEnd w:id="446"/>
      <w:bookmarkEnd w:id="447"/>
    </w:p>
    <w:p w14:paraId="79070A2A">
      <w:pPr>
        <w:pStyle w:val="41"/>
        <w:widowControl w:val="0"/>
        <w:autoSpaceDE w:val="0"/>
        <w:autoSpaceDN w:val="0"/>
        <w:spacing w:before="0" w:beforeAutospacing="0" w:after="0" w:afterAutospacing="0" w:line="360" w:lineRule="auto"/>
        <w:ind w:left="-105" w:right="-105" w:firstLine="480" w:firstLineChars="200"/>
        <w:jc w:val="both"/>
        <w:rPr>
          <w:rFonts w:cs="宋体"/>
          <w:color w:val="auto"/>
          <w:szCs w:val="24"/>
          <w:highlight w:val="none"/>
          <w:lang w:bidi="ar"/>
        </w:rPr>
      </w:pPr>
      <w:r>
        <w:rPr>
          <w:rFonts w:hint="eastAsia" w:cs="宋体"/>
          <w:color w:val="auto"/>
          <w:szCs w:val="24"/>
          <w:highlight w:val="none"/>
          <w:lang w:bidi="ar"/>
        </w:rPr>
        <w:t>本项目无组织排放废气主要为生产线和实验室未捕集的废气：非甲烷总烃（含甲醇）。企业可通过以下措施控制和减少无组织废气的产生及排放。</w:t>
      </w:r>
    </w:p>
    <w:p w14:paraId="5644828F">
      <w:pPr>
        <w:pStyle w:val="41"/>
        <w:widowControl w:val="0"/>
        <w:autoSpaceDE w:val="0"/>
        <w:autoSpaceDN w:val="0"/>
        <w:spacing w:before="0" w:beforeAutospacing="0" w:after="0" w:afterAutospacing="0" w:line="360" w:lineRule="auto"/>
        <w:ind w:left="-105" w:right="-105" w:firstLine="480" w:firstLineChars="200"/>
        <w:jc w:val="both"/>
        <w:rPr>
          <w:rFonts w:cs="宋体"/>
          <w:color w:val="auto"/>
          <w:szCs w:val="24"/>
          <w:highlight w:val="none"/>
          <w:lang w:bidi="ar"/>
        </w:rPr>
      </w:pPr>
      <w:r>
        <w:rPr>
          <w:rFonts w:hint="eastAsia" w:cs="宋体"/>
          <w:color w:val="auto"/>
          <w:szCs w:val="24"/>
          <w:highlight w:val="none"/>
          <w:lang w:bidi="ar"/>
        </w:rPr>
        <w:t>①严格控制生产工艺参数，减少废气的排放量。</w:t>
      </w:r>
    </w:p>
    <w:p w14:paraId="1B32E55E">
      <w:pPr>
        <w:pStyle w:val="41"/>
        <w:widowControl w:val="0"/>
        <w:autoSpaceDE w:val="0"/>
        <w:autoSpaceDN w:val="0"/>
        <w:spacing w:before="0" w:beforeAutospacing="0" w:after="0" w:afterAutospacing="0" w:line="360" w:lineRule="auto"/>
        <w:ind w:left="-105" w:right="-105" w:firstLine="480" w:firstLineChars="200"/>
        <w:jc w:val="both"/>
        <w:rPr>
          <w:rFonts w:cs="宋体"/>
          <w:color w:val="auto"/>
          <w:szCs w:val="24"/>
          <w:highlight w:val="none"/>
          <w:lang w:bidi="ar"/>
        </w:rPr>
      </w:pPr>
      <w:r>
        <w:rPr>
          <w:rFonts w:hint="eastAsia" w:cs="宋体"/>
          <w:color w:val="auto"/>
          <w:szCs w:val="24"/>
          <w:highlight w:val="none"/>
          <w:lang w:bidi="ar"/>
        </w:rPr>
        <w:t>②加强对各类废气收集与处理装置的检查和维护，保障其稳定运行，避免事故无组织排放。</w:t>
      </w:r>
    </w:p>
    <w:p w14:paraId="491C0422">
      <w:pPr>
        <w:pStyle w:val="41"/>
        <w:widowControl w:val="0"/>
        <w:autoSpaceDE w:val="0"/>
        <w:autoSpaceDN w:val="0"/>
        <w:spacing w:before="0" w:beforeAutospacing="0" w:after="0" w:afterAutospacing="0" w:line="360" w:lineRule="auto"/>
        <w:ind w:left="-105" w:right="-105" w:firstLine="480" w:firstLineChars="200"/>
        <w:jc w:val="both"/>
        <w:rPr>
          <w:rFonts w:cs="宋体"/>
          <w:color w:val="auto"/>
          <w:szCs w:val="24"/>
          <w:highlight w:val="none"/>
          <w:lang w:bidi="ar"/>
        </w:rPr>
      </w:pPr>
      <w:r>
        <w:rPr>
          <w:rFonts w:hint="eastAsia" w:cs="宋体"/>
          <w:color w:val="auto"/>
          <w:szCs w:val="24"/>
          <w:highlight w:val="none"/>
          <w:lang w:bidi="ar"/>
        </w:rPr>
        <w:t>③合理设计生产车间集气装置与进风门窗的相对位置，避免出现局部对流，影响车间内废气的捕集效率。合理设置各类废气收集装置的位置，保证废气捕集效率。</w:t>
      </w:r>
    </w:p>
    <w:p w14:paraId="0E3BB599">
      <w:pPr>
        <w:pStyle w:val="41"/>
        <w:widowControl w:val="0"/>
        <w:autoSpaceDE w:val="0"/>
        <w:autoSpaceDN w:val="0"/>
        <w:spacing w:before="0" w:beforeAutospacing="0" w:after="0" w:afterAutospacing="0" w:line="360" w:lineRule="auto"/>
        <w:ind w:left="-105" w:right="-105" w:firstLine="480" w:firstLineChars="200"/>
        <w:jc w:val="both"/>
        <w:rPr>
          <w:rFonts w:cs="宋体"/>
          <w:color w:val="auto"/>
          <w:szCs w:val="24"/>
          <w:highlight w:val="none"/>
          <w:lang w:bidi="ar"/>
        </w:rPr>
      </w:pPr>
      <w:r>
        <w:rPr>
          <w:rFonts w:hint="eastAsia" w:cs="宋体"/>
          <w:color w:val="auto"/>
          <w:szCs w:val="24"/>
          <w:highlight w:val="none"/>
          <w:lang w:bidi="ar"/>
        </w:rPr>
        <w:t>以上各项措施可以有效地减少无组织排放气体量，防止造成环境污染。建设单位同时拟采取如下措施，以减少项目无组织废气产生量：</w:t>
      </w:r>
    </w:p>
    <w:p w14:paraId="3BED2B15">
      <w:pPr>
        <w:pStyle w:val="41"/>
        <w:widowControl w:val="0"/>
        <w:autoSpaceDE w:val="0"/>
        <w:autoSpaceDN w:val="0"/>
        <w:spacing w:before="0" w:beforeAutospacing="0" w:after="0" w:afterAutospacing="0" w:line="360" w:lineRule="auto"/>
        <w:ind w:left="-105" w:right="-105" w:firstLine="480" w:firstLineChars="200"/>
        <w:jc w:val="both"/>
        <w:rPr>
          <w:rFonts w:cs="宋体"/>
          <w:color w:val="auto"/>
          <w:szCs w:val="24"/>
          <w:highlight w:val="none"/>
          <w:lang w:bidi="ar"/>
        </w:rPr>
      </w:pPr>
      <w:r>
        <w:rPr>
          <w:rFonts w:hint="eastAsia" w:cs="宋体"/>
          <w:color w:val="auto"/>
          <w:szCs w:val="24"/>
          <w:highlight w:val="none"/>
          <w:lang w:bidi="ar"/>
        </w:rPr>
        <w:t>①从源头上控制大气污染物的无组织排放。建设单位在生产过程中将加强对生产各加工工序的监控力度，最大可能的实现封闭式作业，杜绝敞开式作业，避免各工序中无组织排放量增大，大气污染物过度无组织排放。</w:t>
      </w:r>
    </w:p>
    <w:p w14:paraId="1C663854">
      <w:pPr>
        <w:pStyle w:val="41"/>
        <w:widowControl w:val="0"/>
        <w:autoSpaceDE w:val="0"/>
        <w:autoSpaceDN w:val="0"/>
        <w:spacing w:before="0" w:beforeAutospacing="0" w:after="0" w:afterAutospacing="0" w:line="360" w:lineRule="auto"/>
        <w:ind w:left="-105" w:right="-105" w:firstLine="480" w:firstLineChars="200"/>
        <w:jc w:val="both"/>
        <w:rPr>
          <w:rFonts w:cs="宋体"/>
          <w:color w:val="auto"/>
          <w:szCs w:val="24"/>
          <w:highlight w:val="none"/>
          <w:lang w:bidi="ar"/>
        </w:rPr>
      </w:pPr>
      <w:r>
        <w:rPr>
          <w:rFonts w:hint="eastAsia" w:cs="宋体"/>
          <w:color w:val="auto"/>
          <w:szCs w:val="24"/>
          <w:highlight w:val="none"/>
          <w:lang w:bidi="ar"/>
        </w:rPr>
        <w:t>②加强设备的维护，定期对生产装置进行检查检验，减少装置的跑、冒、滴、漏。</w:t>
      </w:r>
    </w:p>
    <w:p w14:paraId="6AB7B28A">
      <w:pPr>
        <w:pStyle w:val="41"/>
        <w:widowControl w:val="0"/>
        <w:autoSpaceDE w:val="0"/>
        <w:autoSpaceDN w:val="0"/>
        <w:spacing w:before="0" w:beforeAutospacing="0" w:after="0" w:afterAutospacing="0" w:line="360" w:lineRule="auto"/>
        <w:ind w:left="-105" w:right="-105" w:firstLine="480" w:firstLineChars="200"/>
        <w:jc w:val="both"/>
        <w:rPr>
          <w:rFonts w:cs="宋体"/>
          <w:color w:val="auto"/>
          <w:szCs w:val="24"/>
          <w:highlight w:val="none"/>
          <w:lang w:bidi="ar"/>
        </w:rPr>
      </w:pPr>
      <w:r>
        <w:rPr>
          <w:rFonts w:hint="eastAsia" w:cs="宋体"/>
          <w:color w:val="auto"/>
          <w:szCs w:val="24"/>
          <w:highlight w:val="none"/>
          <w:lang w:bidi="ar"/>
        </w:rPr>
        <w:t>③加强对操作工的培训和管理，以减少人为造成的废气无组织排放。</w:t>
      </w:r>
    </w:p>
    <w:p w14:paraId="34D41FBA">
      <w:pPr>
        <w:pStyle w:val="41"/>
        <w:widowControl w:val="0"/>
        <w:autoSpaceDE w:val="0"/>
        <w:autoSpaceDN w:val="0"/>
        <w:spacing w:before="0" w:beforeAutospacing="0" w:after="0" w:afterAutospacing="0" w:line="360" w:lineRule="auto"/>
        <w:ind w:left="-105" w:right="-105" w:firstLine="480" w:firstLineChars="200"/>
        <w:jc w:val="both"/>
        <w:rPr>
          <w:rFonts w:hint="eastAsia" w:cs="宋体"/>
          <w:color w:val="auto"/>
          <w:szCs w:val="24"/>
          <w:highlight w:val="none"/>
          <w:lang w:bidi="ar"/>
        </w:rPr>
      </w:pPr>
      <w:r>
        <w:rPr>
          <w:rFonts w:hint="eastAsia" w:cs="宋体"/>
          <w:color w:val="auto"/>
          <w:szCs w:val="24"/>
          <w:highlight w:val="none"/>
          <w:lang w:bidi="ar"/>
        </w:rPr>
        <w:t>④合理布置车间，将产生无组织废气的工序布置在远离厂界的地方，以减少无组织废气对厂界周围环境的影响。</w:t>
      </w:r>
    </w:p>
    <w:p w14:paraId="76438251">
      <w:pPr>
        <w:pStyle w:val="5"/>
        <w:keepLines w:val="0"/>
        <w:numPr>
          <w:ilvl w:val="2"/>
          <w:numId w:val="0"/>
        </w:numPr>
        <w:tabs>
          <w:tab w:val="left" w:pos="360"/>
          <w:tab w:val="left" w:pos="567"/>
          <w:tab w:val="left" w:pos="709"/>
          <w:tab w:val="left" w:pos="993"/>
        </w:tabs>
        <w:spacing w:before="0" w:after="0" w:line="360" w:lineRule="auto"/>
        <w:ind w:right="-105"/>
        <w:rPr>
          <w:rFonts w:eastAsia="宋体"/>
          <w:color w:val="auto"/>
          <w:sz w:val="28"/>
          <w:szCs w:val="28"/>
          <w:highlight w:val="none"/>
        </w:rPr>
      </w:pPr>
      <w:r>
        <w:rPr>
          <w:rFonts w:hint="eastAsia" w:eastAsia="宋体"/>
          <w:color w:val="auto"/>
          <w:sz w:val="28"/>
          <w:szCs w:val="28"/>
          <w:highlight w:val="none"/>
        </w:rPr>
        <w:t>7.1.</w:t>
      </w:r>
      <w:r>
        <w:rPr>
          <w:rFonts w:hint="eastAsia" w:eastAsia="宋体"/>
          <w:color w:val="auto"/>
          <w:sz w:val="28"/>
          <w:szCs w:val="28"/>
          <w:highlight w:val="none"/>
          <w:lang w:val="en-US" w:eastAsia="zh-CN"/>
        </w:rPr>
        <w:t>4</w:t>
      </w:r>
      <w:r>
        <w:rPr>
          <w:rFonts w:hint="eastAsia" w:eastAsia="宋体"/>
          <w:color w:val="auto"/>
          <w:sz w:val="28"/>
          <w:szCs w:val="28"/>
          <w:highlight w:val="none"/>
        </w:rPr>
        <w:t>废气治理措施经济可行性分析</w:t>
      </w:r>
    </w:p>
    <w:p w14:paraId="63AF03D5">
      <w:pPr>
        <w:pStyle w:val="41"/>
        <w:widowControl w:val="0"/>
        <w:autoSpaceDE w:val="0"/>
        <w:autoSpaceDN w:val="0"/>
        <w:spacing w:before="0" w:beforeAutospacing="0" w:after="0" w:afterAutospacing="0" w:line="360" w:lineRule="auto"/>
        <w:ind w:left="-105" w:right="-105" w:firstLine="480" w:firstLineChars="200"/>
        <w:jc w:val="both"/>
        <w:rPr>
          <w:rFonts w:hint="eastAsia" w:cs="宋体"/>
          <w:color w:val="auto"/>
          <w:szCs w:val="24"/>
          <w:highlight w:val="none"/>
          <w:lang w:bidi="ar"/>
        </w:rPr>
      </w:pPr>
      <w:r>
        <w:rPr>
          <w:rFonts w:ascii="Times New Roman" w:hAnsi="Times New Roman"/>
          <w:color w:val="auto"/>
          <w:szCs w:val="24"/>
          <w:highlight w:val="none"/>
          <w:lang w:bidi="ar"/>
        </w:rPr>
        <w:t>本项目废气处理装置总投资</w:t>
      </w:r>
      <w:r>
        <w:rPr>
          <w:rFonts w:hint="eastAsia" w:ascii="Times New Roman" w:hAnsi="Times New Roman"/>
          <w:color w:val="auto"/>
          <w:szCs w:val="24"/>
          <w:highlight w:val="none"/>
          <w:lang w:bidi="ar"/>
        </w:rPr>
        <w:t>20</w:t>
      </w:r>
      <w:r>
        <w:rPr>
          <w:rFonts w:ascii="Times New Roman" w:hAnsi="Times New Roman"/>
          <w:color w:val="auto"/>
          <w:szCs w:val="24"/>
          <w:highlight w:val="none"/>
          <w:lang w:bidi="ar"/>
        </w:rPr>
        <w:t>万人民币，约占总投资</w:t>
      </w:r>
      <w:r>
        <w:rPr>
          <w:rFonts w:hint="eastAsia" w:ascii="Times New Roman" w:hAnsi="Times New Roman"/>
          <w:color w:val="auto"/>
          <w:szCs w:val="24"/>
          <w:highlight w:val="none"/>
          <w:lang w:bidi="ar"/>
        </w:rPr>
        <w:t>2</w:t>
      </w:r>
      <w:r>
        <w:rPr>
          <w:rFonts w:ascii="Times New Roman" w:hAnsi="Times New Roman"/>
          <w:color w:val="auto"/>
          <w:szCs w:val="24"/>
          <w:highlight w:val="none"/>
          <w:lang w:bidi="ar"/>
        </w:rPr>
        <w:t>%，每年运行成本和维护保养费按10万人民币/年，活性炭、过滤器等购买及处理费用约</w:t>
      </w:r>
      <w:r>
        <w:rPr>
          <w:rFonts w:hint="eastAsia" w:ascii="Times New Roman" w:hAnsi="Times New Roman"/>
          <w:color w:val="auto"/>
          <w:szCs w:val="24"/>
          <w:highlight w:val="none"/>
          <w:lang w:bidi="ar"/>
        </w:rPr>
        <w:t>1</w:t>
      </w:r>
      <w:r>
        <w:rPr>
          <w:rFonts w:ascii="Times New Roman" w:hAnsi="Times New Roman"/>
          <w:color w:val="auto"/>
          <w:szCs w:val="24"/>
          <w:highlight w:val="none"/>
          <w:lang w:bidi="ar"/>
        </w:rPr>
        <w:t>0万人民币/年，共计20万人民币/年，本项目效益较好，企业可以承受，同时大大减少了污染物排入大气，可实现较大的环境效益。因此，从经济效益的角度分析，建设项目废气治理措施经济可行。</w:t>
      </w:r>
    </w:p>
    <w:p w14:paraId="1D8C0968">
      <w:pPr>
        <w:pStyle w:val="4"/>
        <w:numPr>
          <w:ilvl w:val="1"/>
          <w:numId w:val="6"/>
        </w:numPr>
        <w:tabs>
          <w:tab w:val="left" w:pos="426"/>
        </w:tabs>
        <w:spacing w:before="120" w:beforeLines="50" w:after="120" w:afterLines="50" w:line="360" w:lineRule="auto"/>
        <w:ind w:left="-105" w:right="-105"/>
        <w:rPr>
          <w:rFonts w:ascii="Times New Roman" w:eastAsia="宋体"/>
          <w:color w:val="auto"/>
          <w:sz w:val="28"/>
          <w:szCs w:val="28"/>
          <w:highlight w:val="none"/>
        </w:rPr>
      </w:pPr>
      <w:bookmarkStart w:id="449" w:name="_Toc25773"/>
      <w:r>
        <w:rPr>
          <w:rFonts w:ascii="Times New Roman" w:eastAsia="宋体"/>
          <w:color w:val="auto"/>
          <w:sz w:val="28"/>
          <w:szCs w:val="28"/>
          <w:highlight w:val="none"/>
        </w:rPr>
        <w:t>废水防治措施评述</w:t>
      </w:r>
      <w:bookmarkEnd w:id="440"/>
      <w:bookmarkEnd w:id="441"/>
      <w:bookmarkEnd w:id="442"/>
      <w:bookmarkEnd w:id="448"/>
      <w:bookmarkEnd w:id="449"/>
    </w:p>
    <w:p w14:paraId="7EE6D3CF">
      <w:pPr>
        <w:pStyle w:val="41"/>
        <w:widowControl w:val="0"/>
        <w:autoSpaceDE w:val="0"/>
        <w:autoSpaceDN w:val="0"/>
        <w:spacing w:before="0" w:beforeAutospacing="0" w:after="0" w:afterAutospacing="0" w:line="360" w:lineRule="auto"/>
        <w:ind w:left="-105" w:right="-105" w:firstLine="480" w:firstLineChars="200"/>
        <w:jc w:val="both"/>
        <w:rPr>
          <w:rFonts w:ascii="Times New Roman" w:hAnsi="Times New Roman"/>
          <w:color w:val="auto"/>
          <w:szCs w:val="24"/>
          <w:highlight w:val="none"/>
          <w:lang w:bidi="ar"/>
        </w:rPr>
      </w:pPr>
      <w:r>
        <w:rPr>
          <w:rFonts w:ascii="Times New Roman" w:hAnsi="Times New Roman"/>
          <w:color w:val="auto"/>
          <w:szCs w:val="24"/>
          <w:highlight w:val="none"/>
          <w:lang w:bidi="ar"/>
        </w:rPr>
        <w:t>本项目实行雨污分流。</w:t>
      </w:r>
      <w:r>
        <w:rPr>
          <w:rFonts w:hint="eastAsia" w:ascii="Times New Roman" w:hAnsi="Times New Roman"/>
          <w:color w:val="auto"/>
          <w:szCs w:val="24"/>
          <w:highlight w:val="none"/>
          <w:lang w:bidi="ar"/>
        </w:rPr>
        <w:t>全厂</w:t>
      </w:r>
      <w:r>
        <w:rPr>
          <w:rFonts w:ascii="Times New Roman" w:hAnsi="Times New Roman"/>
          <w:color w:val="auto"/>
          <w:szCs w:val="24"/>
          <w:highlight w:val="none"/>
          <w:lang w:bidi="ar"/>
        </w:rPr>
        <w:t>生活污水经化粪池预处理后与15分钟初期雨水一起进入经无锡</w:t>
      </w:r>
      <w:r>
        <w:rPr>
          <w:rFonts w:hint="eastAsia" w:ascii="Times New Roman" w:hAnsi="Times New Roman"/>
          <w:color w:val="auto"/>
          <w:szCs w:val="24"/>
          <w:highlight w:val="none"/>
          <w:lang w:bidi="ar"/>
        </w:rPr>
        <w:t>先进化药</w:t>
      </w:r>
      <w:r>
        <w:rPr>
          <w:rFonts w:ascii="Times New Roman" w:hAnsi="Times New Roman"/>
          <w:color w:val="auto"/>
          <w:szCs w:val="24"/>
          <w:highlight w:val="none"/>
          <w:lang w:bidi="ar"/>
        </w:rPr>
        <w:t>化工有限公司处理达标后接入无锡市锡山云林污水处理有限公司，接管水质中达到《合成树脂工业污染物排放标准》（GB31572-2015）表2中标准，尾水达《城镇污水处理厂污染物排放标准》（DB32/4440-2022）表1中C级标准后排入</w:t>
      </w:r>
      <w:r>
        <w:rPr>
          <w:rFonts w:hint="eastAsia" w:ascii="Times New Roman" w:hAnsi="Times New Roman"/>
          <w:color w:val="auto"/>
          <w:szCs w:val="24"/>
          <w:highlight w:val="none"/>
          <w:lang w:bidi="ar"/>
        </w:rPr>
        <w:t>北兴塘</w:t>
      </w:r>
      <w:r>
        <w:rPr>
          <w:rFonts w:ascii="Times New Roman" w:hAnsi="Times New Roman"/>
          <w:color w:val="auto"/>
          <w:szCs w:val="24"/>
          <w:highlight w:val="none"/>
          <w:lang w:bidi="ar"/>
        </w:rPr>
        <w:t>河。</w:t>
      </w:r>
    </w:p>
    <w:p w14:paraId="71B9C26C">
      <w:pPr>
        <w:pStyle w:val="41"/>
        <w:widowControl w:val="0"/>
        <w:autoSpaceDE w:val="0"/>
        <w:autoSpaceDN w:val="0"/>
        <w:spacing w:before="0" w:beforeAutospacing="0" w:after="0" w:afterAutospacing="0" w:line="360" w:lineRule="auto"/>
        <w:ind w:left="-105" w:right="-105" w:firstLine="480" w:firstLineChars="200"/>
        <w:jc w:val="both"/>
        <w:rPr>
          <w:rFonts w:ascii="Times New Roman"/>
          <w:color w:val="auto"/>
          <w:sz w:val="28"/>
          <w:szCs w:val="28"/>
          <w:highlight w:val="none"/>
        </w:rPr>
      </w:pPr>
      <w:r>
        <w:rPr>
          <w:rFonts w:ascii="Times New Roman" w:hAnsi="Times New Roman"/>
          <w:color w:val="auto"/>
          <w:szCs w:val="24"/>
          <w:highlight w:val="none"/>
          <w:lang w:bidi="ar"/>
        </w:rPr>
        <w:t>本项目不涉及新增废水排放，废水排放方式也无变动，本报告不再对废水排放情况进行分析评价，也不对依托污染处理设施环境可行性进行分析。</w:t>
      </w:r>
    </w:p>
    <w:p w14:paraId="2D71C68F">
      <w:pPr>
        <w:pStyle w:val="4"/>
        <w:numPr>
          <w:ilvl w:val="1"/>
          <w:numId w:val="6"/>
        </w:numPr>
        <w:tabs>
          <w:tab w:val="left" w:pos="426"/>
        </w:tabs>
        <w:spacing w:before="120" w:beforeLines="50" w:after="120" w:afterLines="50" w:line="360" w:lineRule="auto"/>
        <w:ind w:left="-105" w:right="-105"/>
        <w:rPr>
          <w:rFonts w:ascii="Times New Roman" w:eastAsia="宋体"/>
          <w:color w:val="auto"/>
          <w:sz w:val="28"/>
          <w:szCs w:val="28"/>
          <w:highlight w:val="none"/>
        </w:rPr>
      </w:pPr>
      <w:bookmarkStart w:id="450" w:name="_Toc60653594"/>
      <w:bookmarkStart w:id="451" w:name="_Toc8304"/>
      <w:bookmarkStart w:id="452" w:name="_Toc313475002"/>
      <w:bookmarkStart w:id="453" w:name="_Toc30146"/>
      <w:bookmarkStart w:id="454" w:name="_Toc347332643"/>
      <w:r>
        <w:rPr>
          <w:rFonts w:ascii="Times New Roman" w:eastAsia="宋体"/>
          <w:color w:val="auto"/>
          <w:sz w:val="28"/>
          <w:szCs w:val="28"/>
          <w:highlight w:val="none"/>
        </w:rPr>
        <w:t>噪声治理措施评述</w:t>
      </w:r>
      <w:bookmarkEnd w:id="450"/>
      <w:bookmarkEnd w:id="451"/>
      <w:bookmarkEnd w:id="452"/>
      <w:bookmarkEnd w:id="453"/>
      <w:bookmarkEnd w:id="454"/>
    </w:p>
    <w:p w14:paraId="6E761BE7">
      <w:pPr>
        <w:pStyle w:val="5"/>
        <w:keepLines w:val="0"/>
        <w:numPr>
          <w:ilvl w:val="2"/>
          <w:numId w:val="6"/>
        </w:numPr>
        <w:tabs>
          <w:tab w:val="left" w:pos="141"/>
          <w:tab w:val="left" w:pos="567"/>
          <w:tab w:val="left" w:pos="709"/>
          <w:tab w:val="left" w:pos="993"/>
          <w:tab w:val="left" w:pos="6663"/>
        </w:tabs>
        <w:spacing w:before="0" w:after="0" w:line="360" w:lineRule="auto"/>
        <w:ind w:left="-105" w:right="-105"/>
        <w:rPr>
          <w:rFonts w:eastAsia="宋体"/>
          <w:color w:val="auto"/>
          <w:sz w:val="28"/>
          <w:szCs w:val="28"/>
          <w:highlight w:val="none"/>
        </w:rPr>
      </w:pPr>
      <w:r>
        <w:rPr>
          <w:rFonts w:eastAsia="宋体"/>
          <w:color w:val="auto"/>
          <w:sz w:val="28"/>
          <w:szCs w:val="28"/>
          <w:highlight w:val="none"/>
        </w:rPr>
        <w:t>噪声控制原则</w:t>
      </w:r>
    </w:p>
    <w:p w14:paraId="5FF40CEB">
      <w:pPr>
        <w:spacing w:line="360" w:lineRule="auto"/>
        <w:ind w:left="-105" w:right="-105" w:firstLine="480" w:firstLineChars="200"/>
        <w:rPr>
          <w:rFonts w:ascii="Times New Roman" w:hAnsi="Times New Roman" w:cs="Times New Roman"/>
          <w:color w:val="auto"/>
          <w:highlight w:val="none"/>
        </w:rPr>
      </w:pPr>
      <w:r>
        <w:rPr>
          <w:rFonts w:hint="eastAsia"/>
          <w:color w:val="auto"/>
          <w:highlight w:val="none"/>
        </w:rPr>
        <w:t>①</w:t>
      </w:r>
      <w:r>
        <w:rPr>
          <w:rFonts w:ascii="Times New Roman" w:hAnsi="Times New Roman" w:cs="Times New Roman"/>
          <w:color w:val="auto"/>
          <w:highlight w:val="none"/>
        </w:rPr>
        <w:t>选用符合国家噪声标准规定的设备；</w:t>
      </w:r>
    </w:p>
    <w:p w14:paraId="1B82C577">
      <w:pPr>
        <w:spacing w:line="360" w:lineRule="auto"/>
        <w:ind w:left="-105" w:right="-105" w:firstLine="480" w:firstLineChars="200"/>
        <w:rPr>
          <w:rFonts w:ascii="Times New Roman" w:hAnsi="Times New Roman" w:cs="Times New Roman"/>
          <w:color w:val="auto"/>
          <w:highlight w:val="none"/>
        </w:rPr>
      </w:pPr>
      <w:r>
        <w:rPr>
          <w:rFonts w:hint="eastAsia"/>
          <w:color w:val="auto"/>
          <w:highlight w:val="none"/>
        </w:rPr>
        <w:t>②</w:t>
      </w:r>
      <w:r>
        <w:rPr>
          <w:rFonts w:ascii="Times New Roman" w:hAnsi="Times New Roman" w:cs="Times New Roman"/>
          <w:color w:val="auto"/>
          <w:highlight w:val="none"/>
        </w:rPr>
        <w:t>合理厂区平面布置，尽量集中布置高噪设备，并利用绿化加强噪声的影响；</w:t>
      </w:r>
    </w:p>
    <w:p w14:paraId="74149F69">
      <w:pPr>
        <w:spacing w:line="360" w:lineRule="auto"/>
        <w:ind w:left="-105" w:right="-105" w:firstLine="480" w:firstLineChars="200"/>
        <w:rPr>
          <w:rFonts w:ascii="Times New Roman" w:hAnsi="Times New Roman" w:cs="Times New Roman"/>
          <w:color w:val="auto"/>
          <w:highlight w:val="none"/>
        </w:rPr>
      </w:pPr>
      <w:r>
        <w:rPr>
          <w:rFonts w:hint="eastAsia"/>
          <w:color w:val="auto"/>
          <w:highlight w:val="none"/>
        </w:rPr>
        <w:t>③</w:t>
      </w:r>
      <w:r>
        <w:rPr>
          <w:rFonts w:ascii="Times New Roman" w:hAnsi="Times New Roman" w:cs="Times New Roman"/>
          <w:color w:val="auto"/>
          <w:highlight w:val="none"/>
        </w:rPr>
        <w:t>合理布置通风、通气和通水管道，采用正确的结构，防止产生振动和噪声；</w:t>
      </w:r>
    </w:p>
    <w:p w14:paraId="02C3A13D">
      <w:pPr>
        <w:spacing w:line="360" w:lineRule="auto"/>
        <w:ind w:left="-105" w:right="-105" w:firstLine="480" w:firstLineChars="200"/>
        <w:rPr>
          <w:rFonts w:ascii="Times New Roman" w:hAnsi="Times New Roman" w:cs="Times New Roman"/>
          <w:color w:val="auto"/>
          <w:highlight w:val="none"/>
        </w:rPr>
      </w:pPr>
      <w:r>
        <w:rPr>
          <w:rFonts w:hint="eastAsia"/>
          <w:color w:val="auto"/>
          <w:highlight w:val="none"/>
        </w:rPr>
        <w:t>④</w:t>
      </w:r>
      <w:r>
        <w:rPr>
          <w:rFonts w:ascii="Times New Roman" w:hAnsi="Times New Roman" w:cs="Times New Roman"/>
          <w:color w:val="auto"/>
          <w:highlight w:val="none"/>
        </w:rPr>
        <w:t>对于声源上无法根治的生产噪声，分别按不同情况采用消声隔振、隔声、吸声等措施，并着重控制声强高的噪声源；</w:t>
      </w:r>
    </w:p>
    <w:p w14:paraId="6B9BD6BC">
      <w:pPr>
        <w:spacing w:line="360" w:lineRule="auto"/>
        <w:ind w:left="-105" w:right="-105" w:firstLine="480" w:firstLineChars="200"/>
        <w:rPr>
          <w:rFonts w:ascii="Times New Roman" w:hAnsi="Times New Roman" w:cs="Times New Roman"/>
          <w:color w:val="auto"/>
          <w:highlight w:val="none"/>
        </w:rPr>
      </w:pPr>
      <w:r>
        <w:rPr>
          <w:rFonts w:hint="eastAsia"/>
          <w:color w:val="auto"/>
          <w:highlight w:val="none"/>
        </w:rPr>
        <w:t>⑤</w:t>
      </w:r>
      <w:r>
        <w:rPr>
          <w:rFonts w:ascii="Times New Roman" w:hAnsi="Times New Roman" w:cs="Times New Roman"/>
          <w:color w:val="auto"/>
          <w:highlight w:val="none"/>
        </w:rPr>
        <w:t>合理安排物流运输计划，大型物流运输车辆进出厂区和途径集中居民点时，应减速、禁鸣。</w:t>
      </w:r>
    </w:p>
    <w:p w14:paraId="20A0A4E6">
      <w:pPr>
        <w:pStyle w:val="5"/>
        <w:keepLines w:val="0"/>
        <w:numPr>
          <w:ilvl w:val="2"/>
          <w:numId w:val="6"/>
        </w:numPr>
        <w:tabs>
          <w:tab w:val="left" w:pos="141"/>
          <w:tab w:val="left" w:pos="567"/>
          <w:tab w:val="left" w:pos="709"/>
          <w:tab w:val="left" w:pos="993"/>
          <w:tab w:val="left" w:pos="6663"/>
        </w:tabs>
        <w:spacing w:before="0" w:after="0" w:line="360" w:lineRule="auto"/>
        <w:ind w:left="-105" w:right="-105"/>
        <w:rPr>
          <w:rFonts w:eastAsia="宋体"/>
          <w:color w:val="auto"/>
          <w:sz w:val="28"/>
          <w:szCs w:val="28"/>
          <w:highlight w:val="none"/>
        </w:rPr>
      </w:pPr>
      <w:r>
        <w:rPr>
          <w:rFonts w:eastAsia="宋体"/>
          <w:color w:val="auto"/>
          <w:sz w:val="28"/>
          <w:szCs w:val="28"/>
          <w:highlight w:val="none"/>
        </w:rPr>
        <w:t>噪声污染防治措施</w:t>
      </w:r>
    </w:p>
    <w:p w14:paraId="67F3601A">
      <w:pPr>
        <w:spacing w:line="360" w:lineRule="auto"/>
        <w:ind w:left="-105" w:right="-105" w:firstLine="480" w:firstLineChars="200"/>
        <w:rPr>
          <w:rFonts w:ascii="Times New Roman" w:hAnsi="Times New Roman" w:cs="Times New Roman"/>
          <w:bCs/>
          <w:color w:val="auto"/>
          <w:highlight w:val="none"/>
        </w:rPr>
      </w:pPr>
      <w:r>
        <w:rPr>
          <w:rFonts w:hint="eastAsia" w:ascii="Times New Roman" w:hAnsi="Times New Roman" w:cs="Times New Roman"/>
          <w:bCs/>
          <w:color w:val="auto"/>
          <w:highlight w:val="none"/>
        </w:rPr>
        <w:t>根据《环境影响评价技术导则</w:t>
      </w:r>
      <w:r>
        <w:rPr>
          <w:rFonts w:ascii="Times New Roman" w:hAnsi="Times New Roman" w:cs="Times New Roman"/>
          <w:bCs/>
          <w:color w:val="auto"/>
          <w:highlight w:val="none"/>
        </w:rPr>
        <w:t>声环境》（HJ2.4-2021），噪声防治对策措施中防治途径从规划防治对策、噪声源控制措施、噪声传播途径控制措施、声环境保护目标自身防护措施、管理措施五个方面来防治噪声。</w:t>
      </w:r>
    </w:p>
    <w:p w14:paraId="5083C4DB">
      <w:pPr>
        <w:autoSpaceDE w:val="0"/>
        <w:autoSpaceDN w:val="0"/>
        <w:adjustRightInd w:val="0"/>
        <w:spacing w:line="360" w:lineRule="auto"/>
        <w:ind w:left="-105" w:right="-105" w:firstLine="480" w:firstLineChars="200"/>
        <w:rPr>
          <w:rFonts w:ascii="Times New Roman" w:hAnsi="Times New Roman" w:cs="Times New Roman"/>
          <w:color w:val="auto"/>
          <w:highlight w:val="none"/>
        </w:rPr>
      </w:pPr>
      <w:r>
        <w:rPr>
          <w:rFonts w:ascii="Times New Roman" w:hAnsi="Times New Roman" w:cs="Times New Roman"/>
          <w:color w:val="auto"/>
          <w:highlight w:val="none"/>
        </w:rPr>
        <w:t>（1）规划防治对策</w:t>
      </w:r>
    </w:p>
    <w:p w14:paraId="65043ABA">
      <w:pPr>
        <w:autoSpaceDE w:val="0"/>
        <w:autoSpaceDN w:val="0"/>
        <w:adjustRightInd w:val="0"/>
        <w:spacing w:line="360" w:lineRule="auto"/>
        <w:ind w:left="-105" w:right="-105" w:firstLine="480" w:firstLineChars="200"/>
        <w:rPr>
          <w:rFonts w:ascii="Times New Roman" w:hAnsi="Times New Roman" w:cs="Times New Roman"/>
          <w:color w:val="auto"/>
          <w:highlight w:val="none"/>
        </w:rPr>
      </w:pPr>
      <w:r>
        <w:rPr>
          <w:rFonts w:ascii="Times New Roman" w:hAnsi="Times New Roman" w:cs="Times New Roman"/>
          <w:color w:val="auto"/>
          <w:highlight w:val="none"/>
        </w:rPr>
        <w:t>本项目位于</w:t>
      </w:r>
      <w:r>
        <w:rPr>
          <w:rFonts w:hint="eastAsia" w:ascii="Times New Roman" w:hAnsi="Times New Roman"/>
          <w:color w:val="auto"/>
          <w:szCs w:val="18"/>
          <w:highlight w:val="none"/>
        </w:rPr>
        <w:t>江苏省</w:t>
      </w:r>
      <w:r>
        <w:rPr>
          <w:rFonts w:ascii="Times New Roman" w:hAnsi="Times New Roman"/>
          <w:color w:val="auto"/>
          <w:szCs w:val="18"/>
          <w:highlight w:val="none"/>
        </w:rPr>
        <w:t>无锡市锡山区</w:t>
      </w:r>
      <w:r>
        <w:rPr>
          <w:rFonts w:hint="eastAsia" w:ascii="Times New Roman" w:hAnsi="Times New Roman"/>
          <w:color w:val="auto"/>
          <w:szCs w:val="18"/>
          <w:highlight w:val="none"/>
        </w:rPr>
        <w:t>锡北</w:t>
      </w:r>
      <w:r>
        <w:rPr>
          <w:rFonts w:ascii="Times New Roman" w:hAnsi="Times New Roman"/>
          <w:color w:val="auto"/>
          <w:szCs w:val="18"/>
          <w:highlight w:val="none"/>
        </w:rPr>
        <w:t>镇</w:t>
      </w:r>
      <w:r>
        <w:rPr>
          <w:rFonts w:hint="eastAsia" w:ascii="Times New Roman" w:hAnsi="Times New Roman"/>
          <w:color w:val="auto"/>
          <w:szCs w:val="18"/>
          <w:highlight w:val="none"/>
        </w:rPr>
        <w:t>新坝村新达路6号</w:t>
      </w:r>
      <w:r>
        <w:rPr>
          <w:rFonts w:ascii="Times New Roman" w:hAnsi="Times New Roman" w:cs="Times New Roman"/>
          <w:color w:val="auto"/>
          <w:highlight w:val="none"/>
        </w:rPr>
        <w:t>，位于3类声环境功能区，设备合理布局，远离声环境保护目标，规划布局合理。</w:t>
      </w:r>
    </w:p>
    <w:p w14:paraId="7D026D95">
      <w:pPr>
        <w:autoSpaceDE w:val="0"/>
        <w:autoSpaceDN w:val="0"/>
        <w:adjustRightInd w:val="0"/>
        <w:spacing w:line="360" w:lineRule="auto"/>
        <w:ind w:left="-105" w:right="-105" w:firstLine="480" w:firstLineChars="200"/>
        <w:rPr>
          <w:rFonts w:ascii="Times New Roman" w:hAnsi="Times New Roman" w:cs="Times New Roman"/>
          <w:color w:val="auto"/>
          <w:highlight w:val="none"/>
        </w:rPr>
      </w:pPr>
      <w:r>
        <w:rPr>
          <w:rFonts w:ascii="Times New Roman" w:hAnsi="Times New Roman" w:cs="Times New Roman"/>
          <w:color w:val="auto"/>
          <w:highlight w:val="none"/>
        </w:rPr>
        <w:t>（2）噪声源控制措施</w:t>
      </w:r>
    </w:p>
    <w:p w14:paraId="652F1C64">
      <w:pPr>
        <w:autoSpaceDE w:val="0"/>
        <w:autoSpaceDN w:val="0"/>
        <w:adjustRightInd w:val="0"/>
        <w:spacing w:line="360" w:lineRule="auto"/>
        <w:ind w:left="-105" w:right="-105" w:firstLine="480" w:firstLineChars="200"/>
        <w:rPr>
          <w:rFonts w:ascii="Times New Roman" w:hAnsi="Times New Roman" w:cs="Times New Roman"/>
          <w:color w:val="auto"/>
          <w:highlight w:val="none"/>
        </w:rPr>
      </w:pPr>
      <w:r>
        <w:rPr>
          <w:rFonts w:ascii="Times New Roman" w:hAnsi="Times New Roman" w:cs="Times New Roman"/>
          <w:color w:val="auto"/>
          <w:highlight w:val="none"/>
        </w:rPr>
        <w:t>项目室</w:t>
      </w:r>
      <w:r>
        <w:rPr>
          <w:rFonts w:hint="eastAsia" w:ascii="Times New Roman" w:hAnsi="Times New Roman" w:cs="Times New Roman"/>
          <w:color w:val="auto"/>
          <w:highlight w:val="none"/>
          <w:lang w:val="en-US" w:eastAsia="zh-CN"/>
        </w:rPr>
        <w:t>外</w:t>
      </w:r>
      <w:r>
        <w:rPr>
          <w:rFonts w:ascii="Times New Roman" w:hAnsi="Times New Roman" w:cs="Times New Roman"/>
          <w:color w:val="auto"/>
          <w:highlight w:val="none"/>
        </w:rPr>
        <w:t>噪声源主要为</w:t>
      </w:r>
      <w:r>
        <w:rPr>
          <w:rFonts w:hint="eastAsia" w:ascii="Times New Roman" w:hAnsi="Times New Roman" w:cs="Times New Roman"/>
          <w:color w:val="auto"/>
          <w:highlight w:val="none"/>
          <w:lang w:val="en-US" w:eastAsia="zh-CN"/>
        </w:rPr>
        <w:t>新增</w:t>
      </w:r>
      <w:r>
        <w:rPr>
          <w:rFonts w:hint="eastAsia" w:ascii="Times New Roman" w:hAnsi="Times New Roman" w:cs="Times New Roman"/>
          <w:color w:val="auto"/>
          <w:highlight w:val="none"/>
        </w:rPr>
        <w:t>的二工场洁净室引风风机</w:t>
      </w:r>
      <w:r>
        <w:rPr>
          <w:rFonts w:hint="eastAsia" w:ascii="Times New Roman" w:hAnsi="Times New Roman" w:cs="Times New Roman"/>
          <w:color w:val="auto"/>
          <w:highlight w:val="none"/>
        </w:rPr>
        <w:t>和实验楼DA006废气处理设施及配套风机，</w:t>
      </w:r>
      <w:r>
        <w:rPr>
          <w:rFonts w:hint="eastAsia" w:ascii="Times New Roman" w:hAnsi="Times New Roman" w:cs="Times New Roman"/>
          <w:color w:val="auto"/>
          <w:highlight w:val="none"/>
          <w:lang w:val="en-US" w:eastAsia="zh-CN"/>
        </w:rPr>
        <w:t>可</w:t>
      </w:r>
      <w:r>
        <w:rPr>
          <w:rFonts w:hint="eastAsia" w:ascii="Times New Roman" w:hAnsi="Times New Roman" w:cs="Times New Roman"/>
          <w:color w:val="auto"/>
          <w:highlight w:val="none"/>
        </w:rPr>
        <w:t>采取的控制措施如下</w:t>
      </w:r>
      <w:r>
        <w:rPr>
          <w:rFonts w:ascii="Times New Roman" w:hAnsi="Times New Roman" w:cs="Times New Roman"/>
          <w:color w:val="auto"/>
          <w:highlight w:val="none"/>
        </w:rPr>
        <w:t>。</w:t>
      </w:r>
    </w:p>
    <w:p w14:paraId="3994F972">
      <w:pPr>
        <w:autoSpaceDE w:val="0"/>
        <w:autoSpaceDN w:val="0"/>
        <w:adjustRightInd w:val="0"/>
        <w:spacing w:line="360" w:lineRule="auto"/>
        <w:ind w:left="-105" w:right="-105" w:firstLine="480" w:firstLineChars="200"/>
        <w:rPr>
          <w:rFonts w:ascii="Times New Roman" w:hAnsi="Times New Roman" w:cs="Times New Roman"/>
          <w:color w:val="auto"/>
          <w:highlight w:val="none"/>
        </w:rPr>
      </w:pPr>
      <w:r>
        <w:rPr>
          <w:rFonts w:hint="eastAsia"/>
          <w:color w:val="auto"/>
          <w:highlight w:val="none"/>
        </w:rPr>
        <w:t>①</w:t>
      </w:r>
      <w:r>
        <w:rPr>
          <w:rFonts w:ascii="Times New Roman" w:hAnsi="Times New Roman" w:cs="Times New Roman"/>
          <w:color w:val="auto"/>
          <w:highlight w:val="none"/>
        </w:rPr>
        <w:t>优化设备选型：在设备选型时选用满足国际标准的先进低噪声、低振动设备。</w:t>
      </w:r>
    </w:p>
    <w:p w14:paraId="6BB5E798">
      <w:pPr>
        <w:autoSpaceDE w:val="0"/>
        <w:autoSpaceDN w:val="0"/>
        <w:adjustRightInd w:val="0"/>
        <w:spacing w:line="360" w:lineRule="auto"/>
        <w:ind w:left="-105" w:right="-105" w:firstLine="480" w:firstLineChars="200"/>
        <w:rPr>
          <w:rFonts w:ascii="Times New Roman" w:hAnsi="Times New Roman" w:cs="Times New Roman"/>
          <w:color w:val="auto"/>
          <w:highlight w:val="none"/>
        </w:rPr>
      </w:pPr>
      <w:r>
        <w:rPr>
          <w:rFonts w:hint="eastAsia" w:ascii="Times New Roman" w:hAnsi="Times New Roman" w:cs="Times New Roman"/>
          <w:color w:val="auto"/>
          <w:highlight w:val="none"/>
        </w:rPr>
        <w:t>②</w:t>
      </w:r>
      <w:r>
        <w:rPr>
          <w:rFonts w:ascii="Times New Roman" w:hAnsi="Times New Roman" w:cs="Times New Roman"/>
          <w:color w:val="auto"/>
          <w:highlight w:val="none"/>
        </w:rPr>
        <w:t>消声：消声器可降噪约10dB（A）。</w:t>
      </w:r>
    </w:p>
    <w:p w14:paraId="3FFBA226">
      <w:pPr>
        <w:autoSpaceDE w:val="0"/>
        <w:autoSpaceDN w:val="0"/>
        <w:adjustRightInd w:val="0"/>
        <w:spacing w:line="360" w:lineRule="auto"/>
        <w:ind w:left="-105" w:right="-105" w:firstLine="480" w:firstLineChars="200"/>
        <w:rPr>
          <w:rFonts w:ascii="Times New Roman" w:hAnsi="Times New Roman" w:cs="Times New Roman"/>
          <w:color w:val="auto"/>
          <w:highlight w:val="none"/>
        </w:rPr>
      </w:pPr>
      <w:r>
        <w:rPr>
          <w:rFonts w:hint="eastAsia"/>
          <w:color w:val="auto"/>
          <w:highlight w:val="none"/>
        </w:rPr>
        <w:t>③</w:t>
      </w:r>
      <w:r>
        <w:rPr>
          <w:rFonts w:ascii="Times New Roman" w:hAnsi="Times New Roman" w:cs="Times New Roman"/>
          <w:color w:val="auto"/>
          <w:highlight w:val="none"/>
        </w:rPr>
        <w:t>隔振、减振：基础减振隔振可降噪约10dB（A）。</w:t>
      </w:r>
    </w:p>
    <w:p w14:paraId="1ECA4A1F">
      <w:pPr>
        <w:autoSpaceDE w:val="0"/>
        <w:autoSpaceDN w:val="0"/>
        <w:adjustRightInd w:val="0"/>
        <w:spacing w:line="360" w:lineRule="auto"/>
        <w:ind w:left="-105" w:right="-105" w:firstLine="480" w:firstLineChars="200"/>
        <w:rPr>
          <w:rFonts w:ascii="Times New Roman" w:hAnsi="Times New Roman" w:cs="Times New Roman"/>
          <w:color w:val="auto"/>
          <w:highlight w:val="none"/>
        </w:rPr>
      </w:pPr>
      <w:r>
        <w:rPr>
          <w:rFonts w:ascii="Times New Roman" w:hAnsi="Times New Roman" w:cs="Times New Roman"/>
          <w:color w:val="auto"/>
          <w:highlight w:val="none"/>
        </w:rPr>
        <w:fldChar w:fldCharType="begin"/>
      </w:r>
      <w:r>
        <w:rPr>
          <w:rFonts w:ascii="Times New Roman" w:hAnsi="Times New Roman" w:cs="Times New Roman"/>
          <w:color w:val="auto"/>
          <w:highlight w:val="none"/>
        </w:rPr>
        <w:instrText xml:space="preserve"> = 4 \* GB3 \* MERGEFORMAT </w:instrText>
      </w:r>
      <w:r>
        <w:rPr>
          <w:rFonts w:ascii="Times New Roman" w:hAnsi="Times New Roman" w:cs="Times New Roman"/>
          <w:color w:val="auto"/>
          <w:highlight w:val="none"/>
        </w:rPr>
        <w:fldChar w:fldCharType="separate"/>
      </w:r>
      <w:r>
        <w:rPr>
          <w:rFonts w:hint="eastAsia"/>
          <w:color w:val="auto"/>
          <w:highlight w:val="none"/>
        </w:rPr>
        <w:t>④</w:t>
      </w:r>
      <w:r>
        <w:rPr>
          <w:rFonts w:ascii="Times New Roman" w:hAnsi="Times New Roman" w:cs="Times New Roman"/>
          <w:color w:val="auto"/>
          <w:highlight w:val="none"/>
        </w:rPr>
        <w:fldChar w:fldCharType="end"/>
      </w:r>
      <w:r>
        <w:rPr>
          <w:rFonts w:ascii="Times New Roman" w:hAnsi="Times New Roman" w:cs="Times New Roman"/>
          <w:color w:val="auto"/>
          <w:highlight w:val="none"/>
        </w:rPr>
        <w:t>软管连接：软管连接可降噪约10dB（A）。</w:t>
      </w:r>
    </w:p>
    <w:p w14:paraId="3B410C6B">
      <w:pPr>
        <w:autoSpaceDE w:val="0"/>
        <w:autoSpaceDN w:val="0"/>
        <w:adjustRightInd w:val="0"/>
        <w:spacing w:line="360" w:lineRule="auto"/>
        <w:ind w:left="-105" w:right="-105" w:firstLine="480" w:firstLineChars="200"/>
        <w:rPr>
          <w:rFonts w:ascii="Times New Roman" w:hAnsi="Times New Roman" w:cs="Times New Roman"/>
          <w:color w:val="auto"/>
          <w:highlight w:val="none"/>
        </w:rPr>
      </w:pPr>
      <w:r>
        <w:rPr>
          <w:rFonts w:ascii="Times New Roman" w:hAnsi="Times New Roman" w:cs="Times New Roman"/>
          <w:color w:val="auto"/>
          <w:highlight w:val="none"/>
        </w:rPr>
        <w:fldChar w:fldCharType="begin"/>
      </w:r>
      <w:r>
        <w:rPr>
          <w:rFonts w:ascii="Times New Roman" w:hAnsi="Times New Roman" w:cs="Times New Roman"/>
          <w:color w:val="auto"/>
          <w:highlight w:val="none"/>
        </w:rPr>
        <w:instrText xml:space="preserve"> = 5 \* GB3 \* MERGEFORMAT </w:instrText>
      </w:r>
      <w:r>
        <w:rPr>
          <w:rFonts w:ascii="Times New Roman" w:hAnsi="Times New Roman" w:cs="Times New Roman"/>
          <w:color w:val="auto"/>
          <w:highlight w:val="none"/>
        </w:rPr>
        <w:fldChar w:fldCharType="separate"/>
      </w:r>
      <w:r>
        <w:rPr>
          <w:rFonts w:hint="eastAsia"/>
          <w:color w:val="auto"/>
          <w:highlight w:val="none"/>
        </w:rPr>
        <w:t>⑤</w:t>
      </w:r>
      <w:r>
        <w:rPr>
          <w:rFonts w:ascii="Times New Roman" w:hAnsi="Times New Roman" w:cs="Times New Roman"/>
          <w:color w:val="auto"/>
          <w:highlight w:val="none"/>
        </w:rPr>
        <w:fldChar w:fldCharType="end"/>
      </w:r>
      <w:r>
        <w:rPr>
          <w:rFonts w:ascii="Times New Roman" w:hAnsi="Times New Roman" w:cs="Times New Roman"/>
          <w:color w:val="auto"/>
          <w:highlight w:val="none"/>
        </w:rPr>
        <w:t>聚氨酯多孔泡沫塑料垫：可降噪约15dB（A）。</w:t>
      </w:r>
    </w:p>
    <w:p w14:paraId="692BC773">
      <w:pPr>
        <w:autoSpaceDE w:val="0"/>
        <w:autoSpaceDN w:val="0"/>
        <w:adjustRightInd w:val="0"/>
        <w:spacing w:line="360" w:lineRule="auto"/>
        <w:ind w:left="-105" w:right="-105" w:firstLine="480" w:firstLineChars="200"/>
        <w:rPr>
          <w:rFonts w:ascii="Times New Roman" w:hAnsi="Times New Roman" w:cs="Times New Roman"/>
          <w:color w:val="auto"/>
          <w:highlight w:val="none"/>
        </w:rPr>
      </w:pPr>
      <w:r>
        <w:rPr>
          <w:rFonts w:ascii="Times New Roman" w:hAnsi="Times New Roman" w:cs="Times New Roman"/>
          <w:color w:val="auto"/>
          <w:highlight w:val="none"/>
        </w:rPr>
        <w:fldChar w:fldCharType="begin"/>
      </w:r>
      <w:r>
        <w:rPr>
          <w:rFonts w:ascii="Times New Roman" w:hAnsi="Times New Roman" w:cs="Times New Roman"/>
          <w:color w:val="auto"/>
          <w:highlight w:val="none"/>
        </w:rPr>
        <w:instrText xml:space="preserve"> = 6 \* GB3 \* MERGEFORMAT </w:instrText>
      </w:r>
      <w:r>
        <w:rPr>
          <w:rFonts w:ascii="Times New Roman" w:hAnsi="Times New Roman" w:cs="Times New Roman"/>
          <w:color w:val="auto"/>
          <w:highlight w:val="none"/>
        </w:rPr>
        <w:fldChar w:fldCharType="separate"/>
      </w:r>
      <w:r>
        <w:rPr>
          <w:rFonts w:hint="eastAsia"/>
          <w:color w:val="auto"/>
          <w:highlight w:val="none"/>
        </w:rPr>
        <w:t>⑥</w:t>
      </w:r>
      <w:r>
        <w:rPr>
          <w:rFonts w:ascii="Times New Roman" w:hAnsi="Times New Roman" w:cs="Times New Roman"/>
          <w:color w:val="auto"/>
          <w:highlight w:val="none"/>
        </w:rPr>
        <w:fldChar w:fldCharType="end"/>
      </w:r>
      <w:r>
        <w:rPr>
          <w:rFonts w:ascii="Times New Roman" w:hAnsi="Times New Roman" w:cs="Times New Roman"/>
          <w:color w:val="auto"/>
          <w:highlight w:val="none"/>
        </w:rPr>
        <w:t>橡胶隔振垫：可降噪约15dB（A）。</w:t>
      </w:r>
    </w:p>
    <w:p w14:paraId="2B2AAA51">
      <w:pPr>
        <w:autoSpaceDE w:val="0"/>
        <w:autoSpaceDN w:val="0"/>
        <w:adjustRightInd w:val="0"/>
        <w:spacing w:line="360" w:lineRule="auto"/>
        <w:ind w:left="-105" w:right="-105" w:firstLine="480" w:firstLineChars="200"/>
        <w:rPr>
          <w:rFonts w:ascii="Times New Roman" w:hAnsi="Times New Roman" w:cs="Times New Roman"/>
          <w:color w:val="auto"/>
          <w:highlight w:val="none"/>
        </w:rPr>
      </w:pPr>
      <w:r>
        <w:rPr>
          <w:rFonts w:ascii="Times New Roman" w:hAnsi="Times New Roman" w:cs="Times New Roman"/>
          <w:color w:val="auto"/>
          <w:highlight w:val="none"/>
        </w:rPr>
        <w:t>（3）噪声传播途径控制措施</w:t>
      </w:r>
    </w:p>
    <w:p w14:paraId="49A9C9F6">
      <w:pPr>
        <w:autoSpaceDE w:val="0"/>
        <w:autoSpaceDN w:val="0"/>
        <w:adjustRightInd w:val="0"/>
        <w:spacing w:line="360" w:lineRule="auto"/>
        <w:ind w:left="-105" w:right="-105" w:firstLine="480" w:firstLineChars="200"/>
        <w:rPr>
          <w:rFonts w:ascii="Times New Roman" w:hAnsi="Times New Roman" w:cs="Times New Roman"/>
          <w:color w:val="auto"/>
          <w:highlight w:val="none"/>
        </w:rPr>
      </w:pPr>
      <w:r>
        <w:rPr>
          <w:rFonts w:ascii="Times New Roman" w:hAnsi="Times New Roman" w:cs="Times New Roman"/>
          <w:color w:val="auto"/>
          <w:highlight w:val="none"/>
        </w:rPr>
        <w:t>隔声罩：隔声罩可降噪约15dB（A）</w:t>
      </w:r>
    </w:p>
    <w:p w14:paraId="06DA7CE4">
      <w:pPr>
        <w:autoSpaceDE w:val="0"/>
        <w:autoSpaceDN w:val="0"/>
        <w:adjustRightInd w:val="0"/>
        <w:spacing w:line="360" w:lineRule="auto"/>
        <w:ind w:left="-105" w:right="-105" w:firstLine="480" w:firstLineChars="200"/>
        <w:rPr>
          <w:rFonts w:ascii="Times New Roman" w:hAnsi="Times New Roman" w:cs="Times New Roman"/>
          <w:color w:val="auto"/>
          <w:highlight w:val="none"/>
        </w:rPr>
      </w:pPr>
      <w:r>
        <w:rPr>
          <w:rFonts w:ascii="Times New Roman" w:hAnsi="Times New Roman" w:cs="Times New Roman"/>
          <w:color w:val="auto"/>
          <w:highlight w:val="none"/>
        </w:rPr>
        <w:t>（4）声环境保护目标自身防护措施</w:t>
      </w:r>
    </w:p>
    <w:p w14:paraId="1B4105B0">
      <w:pPr>
        <w:autoSpaceDE w:val="0"/>
        <w:autoSpaceDN w:val="0"/>
        <w:adjustRightInd w:val="0"/>
        <w:spacing w:line="360" w:lineRule="auto"/>
        <w:ind w:left="-105" w:right="-105" w:firstLine="480" w:firstLineChars="200"/>
        <w:rPr>
          <w:rFonts w:ascii="Times New Roman" w:hAnsi="Times New Roman" w:cs="Times New Roman"/>
          <w:color w:val="auto"/>
          <w:highlight w:val="none"/>
        </w:rPr>
      </w:pPr>
      <w:r>
        <w:rPr>
          <w:rFonts w:ascii="Times New Roman" w:hAnsi="Times New Roman" w:cs="Times New Roman"/>
          <w:color w:val="auto"/>
          <w:highlight w:val="none"/>
        </w:rPr>
        <w:t>本项目</w:t>
      </w:r>
      <w:r>
        <w:rPr>
          <w:rFonts w:hint="eastAsia" w:ascii="Times New Roman" w:hAnsi="Times New Roman" w:cs="Times New Roman"/>
          <w:color w:val="auto"/>
          <w:highlight w:val="none"/>
          <w:lang w:val="en-US" w:eastAsia="zh-CN"/>
        </w:rPr>
        <w:t>采取安装减振垫、隔声罩</w:t>
      </w:r>
      <w:r>
        <w:rPr>
          <w:rFonts w:ascii="Times New Roman" w:hAnsi="Times New Roman" w:cs="Times New Roman"/>
          <w:color w:val="auto"/>
          <w:highlight w:val="none"/>
        </w:rPr>
        <w:t>措施后</w:t>
      </w:r>
      <w:r>
        <w:rPr>
          <w:rFonts w:ascii="Times New Roman" w:hAnsi="Times New Roman" w:cs="Times New Roman"/>
          <w:color w:val="auto"/>
          <w:highlight w:val="none"/>
        </w:rPr>
        <w:t>，根据噪声预测结果，厂界可达标，声环境保护目标不需要做措施。</w:t>
      </w:r>
    </w:p>
    <w:p w14:paraId="4CB2F1CC">
      <w:pPr>
        <w:autoSpaceDE w:val="0"/>
        <w:autoSpaceDN w:val="0"/>
        <w:adjustRightInd w:val="0"/>
        <w:spacing w:line="360" w:lineRule="auto"/>
        <w:ind w:left="-105" w:right="-105" w:firstLine="480" w:firstLineChars="200"/>
        <w:rPr>
          <w:rFonts w:ascii="Times New Roman" w:hAnsi="Times New Roman" w:cs="Times New Roman"/>
          <w:color w:val="auto"/>
          <w:highlight w:val="none"/>
        </w:rPr>
      </w:pPr>
      <w:r>
        <w:rPr>
          <w:rFonts w:ascii="Times New Roman" w:hAnsi="Times New Roman" w:cs="Times New Roman"/>
          <w:color w:val="auto"/>
          <w:highlight w:val="none"/>
        </w:rPr>
        <w:t>（5）管理措施</w:t>
      </w:r>
    </w:p>
    <w:p w14:paraId="3F998A58">
      <w:pPr>
        <w:autoSpaceDE w:val="0"/>
        <w:autoSpaceDN w:val="0"/>
        <w:adjustRightInd w:val="0"/>
        <w:spacing w:line="360" w:lineRule="auto"/>
        <w:ind w:left="-105" w:right="-105" w:firstLine="480" w:firstLineChars="200"/>
        <w:rPr>
          <w:rFonts w:ascii="Times New Roman" w:hAnsi="Times New Roman" w:cs="Times New Roman"/>
          <w:color w:val="auto"/>
          <w:highlight w:val="none"/>
        </w:rPr>
      </w:pPr>
      <w:r>
        <w:rPr>
          <w:rFonts w:ascii="Times New Roman" w:hAnsi="Times New Roman" w:cs="Times New Roman"/>
          <w:color w:val="auto"/>
          <w:highlight w:val="none"/>
        </w:rPr>
        <w:t>加强对设备的维护保养，按照自行监测的要求定期监测，减少噪声对周边环境的影响。</w:t>
      </w:r>
    </w:p>
    <w:p w14:paraId="74C56B9A">
      <w:pPr>
        <w:spacing w:line="360" w:lineRule="auto"/>
        <w:ind w:left="-105" w:right="-105" w:firstLine="480" w:firstLineChars="200"/>
        <w:rPr>
          <w:rFonts w:ascii="Times New Roman" w:hAnsi="Times New Roman" w:cs="Times New Roman"/>
          <w:color w:val="auto"/>
          <w:highlight w:val="none"/>
          <w:lang w:bidi="ar"/>
        </w:rPr>
      </w:pPr>
      <w:r>
        <w:rPr>
          <w:rFonts w:ascii="Times New Roman" w:hAnsi="Times New Roman" w:cs="Times New Roman"/>
          <w:color w:val="auto"/>
          <w:highlight w:val="none"/>
          <w:lang w:bidi="ar"/>
        </w:rPr>
        <w:t>综上，采取降噪措施后，主要噪声源对厂界噪声影响很小，厂界噪声均可达标排放。因此，项目噪声污染防治措施是切实可行的。</w:t>
      </w:r>
    </w:p>
    <w:p w14:paraId="34C41086">
      <w:pPr>
        <w:pStyle w:val="4"/>
        <w:numPr>
          <w:ilvl w:val="1"/>
          <w:numId w:val="6"/>
        </w:numPr>
        <w:tabs>
          <w:tab w:val="left" w:pos="426"/>
        </w:tabs>
        <w:spacing w:before="120" w:beforeLines="50" w:after="120" w:afterLines="50" w:line="360" w:lineRule="auto"/>
        <w:ind w:left="-105" w:right="-105"/>
        <w:rPr>
          <w:rFonts w:ascii="Times New Roman" w:eastAsia="宋体"/>
          <w:color w:val="auto"/>
          <w:sz w:val="28"/>
          <w:szCs w:val="28"/>
          <w:highlight w:val="none"/>
        </w:rPr>
      </w:pPr>
      <w:bookmarkStart w:id="455" w:name="_Toc5409"/>
      <w:bookmarkStart w:id="456" w:name="_Toc1899"/>
      <w:bookmarkStart w:id="457" w:name="_Toc60653595"/>
      <w:bookmarkStart w:id="458" w:name="_Toc175038179"/>
      <w:r>
        <w:rPr>
          <w:rFonts w:ascii="Times New Roman" w:eastAsia="宋体"/>
          <w:color w:val="auto"/>
          <w:sz w:val="28"/>
          <w:szCs w:val="28"/>
          <w:highlight w:val="none"/>
        </w:rPr>
        <w:t>固体废物污染防治措施</w:t>
      </w:r>
      <w:bookmarkEnd w:id="455"/>
      <w:bookmarkEnd w:id="456"/>
      <w:bookmarkEnd w:id="457"/>
    </w:p>
    <w:p w14:paraId="24ADAE02">
      <w:pPr>
        <w:pStyle w:val="5"/>
        <w:keepLines w:val="0"/>
        <w:numPr>
          <w:ilvl w:val="2"/>
          <w:numId w:val="6"/>
        </w:numPr>
        <w:tabs>
          <w:tab w:val="left" w:pos="141"/>
          <w:tab w:val="left" w:pos="567"/>
          <w:tab w:val="left" w:pos="709"/>
          <w:tab w:val="left" w:pos="993"/>
          <w:tab w:val="left" w:pos="6663"/>
        </w:tabs>
        <w:spacing w:before="0" w:after="0" w:line="360" w:lineRule="auto"/>
        <w:ind w:left="-105" w:right="-105"/>
        <w:rPr>
          <w:rFonts w:eastAsia="宋体"/>
          <w:color w:val="auto"/>
          <w:sz w:val="28"/>
          <w:szCs w:val="28"/>
          <w:highlight w:val="none"/>
        </w:rPr>
      </w:pPr>
      <w:bookmarkStart w:id="459" w:name="_Toc43798563"/>
      <w:r>
        <w:rPr>
          <w:rFonts w:eastAsia="宋体"/>
          <w:color w:val="auto"/>
          <w:sz w:val="28"/>
          <w:szCs w:val="28"/>
          <w:highlight w:val="none"/>
        </w:rPr>
        <w:t>一般工业固废防治措施评述</w:t>
      </w:r>
      <w:bookmarkEnd w:id="459"/>
    </w:p>
    <w:p w14:paraId="095D8B27">
      <w:pPr>
        <w:adjustRightInd w:val="0"/>
        <w:snapToGrid w:val="0"/>
        <w:spacing w:line="360" w:lineRule="auto"/>
        <w:ind w:left="-105" w:right="-105" w:firstLine="480" w:firstLineChars="200"/>
        <w:jc w:val="both"/>
        <w:rPr>
          <w:rFonts w:ascii="Times New Roman" w:hAnsi="Times New Roman" w:cs="Times New Roman"/>
          <w:color w:val="auto"/>
          <w:szCs w:val="28"/>
          <w:highlight w:val="none"/>
        </w:rPr>
      </w:pPr>
      <w:r>
        <w:rPr>
          <w:rFonts w:ascii="Times New Roman" w:hAnsi="Times New Roman" w:cs="Times New Roman"/>
          <w:color w:val="auto"/>
          <w:szCs w:val="28"/>
          <w:highlight w:val="none"/>
        </w:rPr>
        <w:t>一般工业固废的暂存场所需按照《一般工业固体废物贮存和填埋污染控制标准》（GB18599-2020）和《关于加强一般工业固体废物管理的通知》（锡环办[2021]138号）要求建设，具体要求如下：</w:t>
      </w:r>
    </w:p>
    <w:p w14:paraId="156B2EA0">
      <w:pPr>
        <w:adjustRightInd w:val="0"/>
        <w:snapToGrid w:val="0"/>
        <w:spacing w:line="360" w:lineRule="auto"/>
        <w:ind w:left="-105" w:right="-105" w:firstLine="480" w:firstLineChars="200"/>
        <w:jc w:val="both"/>
        <w:rPr>
          <w:rFonts w:ascii="Times New Roman" w:hAnsi="Times New Roman" w:cs="Times New Roman"/>
          <w:color w:val="auto"/>
          <w:szCs w:val="28"/>
          <w:highlight w:val="none"/>
        </w:rPr>
      </w:pPr>
      <w:r>
        <w:rPr>
          <w:rFonts w:hint="eastAsia"/>
          <w:color w:val="auto"/>
          <w:szCs w:val="28"/>
          <w:highlight w:val="none"/>
        </w:rPr>
        <w:t>①</w:t>
      </w:r>
      <w:r>
        <w:rPr>
          <w:rFonts w:ascii="Times New Roman" w:hAnsi="Times New Roman" w:cs="Times New Roman"/>
          <w:color w:val="auto"/>
          <w:szCs w:val="28"/>
          <w:highlight w:val="none"/>
        </w:rPr>
        <w:t>贮存、处置场的建设类型，必须与将要堆放的一般工业固体废物的类别相一致。</w:t>
      </w:r>
    </w:p>
    <w:p w14:paraId="28ED5ED7">
      <w:pPr>
        <w:adjustRightInd w:val="0"/>
        <w:snapToGrid w:val="0"/>
        <w:spacing w:line="360" w:lineRule="auto"/>
        <w:ind w:left="-105" w:right="-105" w:firstLine="480" w:firstLineChars="200"/>
        <w:jc w:val="both"/>
        <w:rPr>
          <w:rFonts w:ascii="Times New Roman" w:hAnsi="Times New Roman" w:cs="Times New Roman"/>
          <w:color w:val="auto"/>
          <w:szCs w:val="28"/>
          <w:highlight w:val="none"/>
        </w:rPr>
      </w:pPr>
      <w:r>
        <w:rPr>
          <w:rFonts w:hint="eastAsia"/>
          <w:color w:val="auto"/>
          <w:szCs w:val="28"/>
          <w:highlight w:val="none"/>
        </w:rPr>
        <w:t>②</w:t>
      </w:r>
      <w:r>
        <w:rPr>
          <w:rFonts w:ascii="Times New Roman" w:hAnsi="Times New Roman" w:cs="Times New Roman"/>
          <w:color w:val="auto"/>
          <w:szCs w:val="28"/>
          <w:highlight w:val="none"/>
        </w:rPr>
        <w:t>贮存、处置场应采取防止粉尘污染的措施。</w:t>
      </w:r>
    </w:p>
    <w:p w14:paraId="1A209D91">
      <w:pPr>
        <w:adjustRightInd w:val="0"/>
        <w:snapToGrid w:val="0"/>
        <w:spacing w:line="360" w:lineRule="auto"/>
        <w:ind w:left="-105" w:right="-105" w:firstLine="480" w:firstLineChars="200"/>
        <w:jc w:val="both"/>
        <w:rPr>
          <w:rFonts w:ascii="Times New Roman" w:hAnsi="Times New Roman" w:cs="Times New Roman"/>
          <w:color w:val="auto"/>
          <w:szCs w:val="28"/>
          <w:highlight w:val="none"/>
        </w:rPr>
      </w:pPr>
      <w:r>
        <w:rPr>
          <w:rFonts w:hint="eastAsia"/>
          <w:color w:val="auto"/>
          <w:szCs w:val="28"/>
          <w:highlight w:val="none"/>
        </w:rPr>
        <w:t>③</w:t>
      </w:r>
      <w:r>
        <w:rPr>
          <w:rFonts w:ascii="Times New Roman" w:hAnsi="Times New Roman" w:cs="Times New Roman"/>
          <w:color w:val="auto"/>
          <w:szCs w:val="28"/>
          <w:highlight w:val="none"/>
        </w:rPr>
        <w:t>不得露天堆放，防止雨水进入，产生二次污染。</w:t>
      </w:r>
    </w:p>
    <w:p w14:paraId="330DCDEF">
      <w:pPr>
        <w:spacing w:line="360" w:lineRule="auto"/>
        <w:ind w:left="-105" w:right="-105" w:firstLine="480" w:firstLineChars="200"/>
        <w:rPr>
          <w:rFonts w:ascii="Times New Roman" w:hAnsi="Times New Roman" w:cs="Times New Roman"/>
          <w:color w:val="auto"/>
          <w:szCs w:val="28"/>
          <w:highlight w:val="none"/>
          <w:lang w:val="zh-CN"/>
        </w:rPr>
      </w:pPr>
      <w:r>
        <w:rPr>
          <w:rFonts w:ascii="Times New Roman" w:hAnsi="Times New Roman" w:cs="Times New Roman"/>
          <w:color w:val="auto"/>
          <w:szCs w:val="28"/>
          <w:highlight w:val="none"/>
        </w:rPr>
        <w:t>一般固体废物按照不同的类别和性质，分区堆放。通过规范设置固体废物暂存场，同时建立完善厂内固体废物防范措施和管理制度，可使固体废物在收集、存放过程中对环境的影响至最低限度。</w:t>
      </w:r>
      <w:r>
        <w:rPr>
          <w:rFonts w:ascii="Times New Roman" w:hAnsi="Times New Roman" w:cs="Times New Roman"/>
          <w:color w:val="auto"/>
          <w:szCs w:val="28"/>
          <w:highlight w:val="none"/>
          <w:lang w:val="zh-CN"/>
        </w:rPr>
        <w:t>本项目一般固体废物贮存场所见下表。</w:t>
      </w:r>
    </w:p>
    <w:p w14:paraId="70CE6AEE">
      <w:pPr>
        <w:spacing w:line="360" w:lineRule="auto"/>
        <w:ind w:left="-105" w:right="-105" w:firstLine="482"/>
        <w:jc w:val="center"/>
        <w:rPr>
          <w:rFonts w:ascii="Times New Roman" w:hAnsi="Times New Roman" w:cs="Times New Roman"/>
          <w:b/>
          <w:bCs/>
          <w:color w:val="auto"/>
          <w:szCs w:val="28"/>
          <w:highlight w:val="none"/>
          <w:lang w:val="zh-CN"/>
        </w:rPr>
      </w:pPr>
      <w:r>
        <w:rPr>
          <w:rFonts w:ascii="Times New Roman" w:hAnsi="Times New Roman" w:cs="Times New Roman"/>
          <w:b/>
          <w:bCs/>
          <w:color w:val="auto"/>
          <w:szCs w:val="18"/>
          <w:highlight w:val="none"/>
        </w:rPr>
        <w:t>表</w:t>
      </w:r>
      <w:r>
        <w:rPr>
          <w:rFonts w:ascii="Times New Roman" w:hAnsi="Times New Roman" w:cs="Times New Roman"/>
          <w:b/>
          <w:bCs/>
          <w:color w:val="auto"/>
          <w:szCs w:val="18"/>
          <w:highlight w:val="none"/>
        </w:rPr>
        <w:fldChar w:fldCharType="begin"/>
      </w:r>
      <w:r>
        <w:rPr>
          <w:rFonts w:ascii="Times New Roman" w:hAnsi="Times New Roman" w:cs="Times New Roman"/>
          <w:b/>
          <w:bCs/>
          <w:color w:val="auto"/>
          <w:szCs w:val="18"/>
          <w:highlight w:val="none"/>
        </w:rPr>
        <w:instrText xml:space="preserve"> STYLEREF 2 \s </w:instrText>
      </w:r>
      <w:r>
        <w:rPr>
          <w:rFonts w:ascii="Times New Roman" w:hAnsi="Times New Roman" w:cs="Times New Roman"/>
          <w:b/>
          <w:bCs/>
          <w:color w:val="auto"/>
          <w:szCs w:val="18"/>
          <w:highlight w:val="none"/>
        </w:rPr>
        <w:fldChar w:fldCharType="separate"/>
      </w:r>
      <w:r>
        <w:rPr>
          <w:rFonts w:ascii="Times New Roman" w:hAnsi="Times New Roman" w:cs="Times New Roman"/>
          <w:b/>
          <w:bCs/>
          <w:color w:val="auto"/>
          <w:szCs w:val="18"/>
          <w:highlight w:val="none"/>
        </w:rPr>
        <w:t>7.4</w:t>
      </w:r>
      <w:r>
        <w:rPr>
          <w:rFonts w:ascii="Times New Roman" w:hAnsi="Times New Roman" w:cs="Times New Roman"/>
          <w:b/>
          <w:bCs/>
          <w:color w:val="auto"/>
          <w:szCs w:val="18"/>
          <w:highlight w:val="none"/>
        </w:rPr>
        <w:fldChar w:fldCharType="end"/>
      </w:r>
      <w:r>
        <w:rPr>
          <w:rFonts w:ascii="Times New Roman" w:hAnsi="Times New Roman" w:cs="Times New Roman"/>
          <w:b/>
          <w:bCs/>
          <w:color w:val="auto"/>
          <w:szCs w:val="18"/>
          <w:highlight w:val="none"/>
        </w:rPr>
        <w:noBreakHyphen/>
      </w:r>
      <w:r>
        <w:rPr>
          <w:rFonts w:ascii="Times New Roman" w:hAnsi="Times New Roman" w:cs="Times New Roman"/>
          <w:b/>
          <w:bCs/>
          <w:color w:val="auto"/>
          <w:szCs w:val="18"/>
          <w:highlight w:val="none"/>
        </w:rPr>
        <w:fldChar w:fldCharType="begin"/>
      </w:r>
      <w:r>
        <w:rPr>
          <w:rFonts w:ascii="Times New Roman" w:hAnsi="Times New Roman" w:cs="Times New Roman"/>
          <w:b/>
          <w:bCs/>
          <w:color w:val="auto"/>
          <w:szCs w:val="18"/>
          <w:highlight w:val="none"/>
        </w:rPr>
        <w:instrText xml:space="preserve"> SEQ 表 \* ARABIC \s 2 </w:instrText>
      </w:r>
      <w:r>
        <w:rPr>
          <w:rFonts w:ascii="Times New Roman" w:hAnsi="Times New Roman" w:cs="Times New Roman"/>
          <w:b/>
          <w:bCs/>
          <w:color w:val="auto"/>
          <w:szCs w:val="18"/>
          <w:highlight w:val="none"/>
        </w:rPr>
        <w:fldChar w:fldCharType="separate"/>
      </w:r>
      <w:r>
        <w:rPr>
          <w:rFonts w:ascii="Times New Roman" w:hAnsi="Times New Roman" w:cs="Times New Roman"/>
          <w:b/>
          <w:bCs/>
          <w:color w:val="auto"/>
          <w:szCs w:val="18"/>
          <w:highlight w:val="none"/>
        </w:rPr>
        <w:t>1</w:t>
      </w:r>
      <w:r>
        <w:rPr>
          <w:rFonts w:ascii="Times New Roman" w:hAnsi="Times New Roman" w:cs="Times New Roman"/>
          <w:b/>
          <w:bCs/>
          <w:color w:val="auto"/>
          <w:szCs w:val="18"/>
          <w:highlight w:val="none"/>
        </w:rPr>
        <w:fldChar w:fldCharType="end"/>
      </w:r>
      <w:r>
        <w:rPr>
          <w:rFonts w:ascii="Times New Roman" w:hAnsi="Times New Roman" w:cs="Times New Roman"/>
          <w:b/>
          <w:bCs/>
          <w:color w:val="auto"/>
          <w:highlight w:val="none"/>
        </w:rPr>
        <w:t>建设项目</w:t>
      </w:r>
      <w:bookmarkStart w:id="460" w:name="_Hlk136609526"/>
      <w:r>
        <w:rPr>
          <w:rFonts w:ascii="Times New Roman" w:hAnsi="Times New Roman" w:cs="Times New Roman"/>
          <w:b/>
          <w:bCs/>
          <w:color w:val="auto"/>
          <w:highlight w:val="none"/>
        </w:rPr>
        <w:t>一般固体废物贮存场所基本情况表</w:t>
      </w:r>
      <w:bookmarkStart w:id="461" w:name="_Hlk136609580"/>
    </w:p>
    <w:tbl>
      <w:tblPr>
        <w:tblStyle w:val="45"/>
        <w:tblW w:w="5001"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78"/>
        <w:gridCol w:w="675"/>
        <w:gridCol w:w="1116"/>
        <w:gridCol w:w="899"/>
        <w:gridCol w:w="1359"/>
        <w:gridCol w:w="574"/>
        <w:gridCol w:w="785"/>
        <w:gridCol w:w="1106"/>
        <w:gridCol w:w="715"/>
        <w:gridCol w:w="815"/>
      </w:tblGrid>
      <w:tr w14:paraId="64B8218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675" w:type="dxa"/>
            <w:vAlign w:val="center"/>
          </w:tcPr>
          <w:p w14:paraId="6FAF1401">
            <w:pPr>
              <w:topLinePunct/>
              <w:ind w:left="-105" w:right="-105"/>
              <w:jc w:val="center"/>
              <w:rPr>
                <w:rFonts w:ascii="Times New Roman" w:hAnsi="Times New Roman" w:cs="Times New Roman"/>
                <w:b/>
                <w:color w:val="auto"/>
                <w:sz w:val="21"/>
                <w:szCs w:val="21"/>
                <w:highlight w:val="none"/>
              </w:rPr>
            </w:pPr>
            <w:r>
              <w:rPr>
                <w:rFonts w:ascii="Times New Roman" w:hAnsi="Times New Roman" w:cs="Times New Roman"/>
                <w:b/>
                <w:color w:val="auto"/>
                <w:sz w:val="21"/>
                <w:szCs w:val="21"/>
                <w:highlight w:val="none"/>
              </w:rPr>
              <w:t>序号</w:t>
            </w:r>
          </w:p>
        </w:tc>
        <w:tc>
          <w:tcPr>
            <w:tcW w:w="673" w:type="dxa"/>
            <w:vAlign w:val="center"/>
          </w:tcPr>
          <w:p w14:paraId="30570BF3">
            <w:pPr>
              <w:topLinePunct/>
              <w:ind w:left="-105" w:right="-105"/>
              <w:jc w:val="center"/>
              <w:rPr>
                <w:rFonts w:ascii="Times New Roman" w:hAnsi="Times New Roman" w:cs="Times New Roman"/>
                <w:b/>
                <w:color w:val="auto"/>
                <w:sz w:val="21"/>
                <w:szCs w:val="21"/>
                <w:highlight w:val="none"/>
              </w:rPr>
            </w:pPr>
            <w:r>
              <w:rPr>
                <w:rFonts w:ascii="Times New Roman" w:hAnsi="Times New Roman" w:cs="Times New Roman"/>
                <w:b/>
                <w:color w:val="auto"/>
                <w:sz w:val="21"/>
                <w:szCs w:val="21"/>
                <w:highlight w:val="none"/>
              </w:rPr>
              <w:t>贮存场所</w:t>
            </w:r>
          </w:p>
          <w:p w14:paraId="1B9BE95B">
            <w:pPr>
              <w:ind w:left="-105" w:right="-105"/>
              <w:jc w:val="center"/>
              <w:rPr>
                <w:rFonts w:ascii="Times New Roman" w:hAnsi="Times New Roman" w:cs="Times New Roman"/>
                <w:color w:val="auto"/>
                <w:sz w:val="21"/>
                <w:szCs w:val="21"/>
                <w:highlight w:val="none"/>
              </w:rPr>
            </w:pPr>
            <w:r>
              <w:rPr>
                <w:rFonts w:ascii="Times New Roman" w:hAnsi="Times New Roman" w:cs="Times New Roman"/>
                <w:b/>
                <w:color w:val="auto"/>
                <w:sz w:val="21"/>
                <w:szCs w:val="21"/>
                <w:highlight w:val="none"/>
              </w:rPr>
              <w:t>名称</w:t>
            </w:r>
          </w:p>
        </w:tc>
        <w:tc>
          <w:tcPr>
            <w:tcW w:w="1118" w:type="dxa"/>
            <w:vAlign w:val="center"/>
          </w:tcPr>
          <w:p w14:paraId="785C0731">
            <w:pPr>
              <w:ind w:left="-105" w:right="-105"/>
              <w:jc w:val="center"/>
              <w:rPr>
                <w:rFonts w:ascii="Times New Roman" w:hAnsi="Times New Roman" w:cs="Times New Roman"/>
                <w:color w:val="auto"/>
                <w:sz w:val="21"/>
                <w:szCs w:val="21"/>
                <w:highlight w:val="none"/>
              </w:rPr>
            </w:pPr>
            <w:r>
              <w:rPr>
                <w:rFonts w:ascii="Times New Roman" w:hAnsi="Times New Roman" w:cs="Times New Roman"/>
                <w:b/>
                <w:color w:val="auto"/>
                <w:sz w:val="21"/>
                <w:szCs w:val="21"/>
                <w:highlight w:val="none"/>
              </w:rPr>
              <w:t>固废名称</w:t>
            </w:r>
          </w:p>
        </w:tc>
        <w:tc>
          <w:tcPr>
            <w:tcW w:w="900" w:type="dxa"/>
            <w:vAlign w:val="center"/>
          </w:tcPr>
          <w:p w14:paraId="113D3C1E">
            <w:pPr>
              <w:pStyle w:val="98"/>
              <w:autoSpaceDE/>
              <w:autoSpaceDN/>
              <w:adjustRightInd w:val="0"/>
              <w:snapToGrid w:val="0"/>
              <w:ind w:left="-105" w:right="-105"/>
              <w:rPr>
                <w:color w:val="auto"/>
                <w:sz w:val="21"/>
                <w:szCs w:val="21"/>
                <w:highlight w:val="none"/>
              </w:rPr>
            </w:pPr>
            <w:r>
              <w:rPr>
                <w:rFonts w:eastAsia="宋体"/>
                <w:b/>
                <w:bCs/>
                <w:color w:val="auto"/>
                <w:sz w:val="21"/>
                <w:szCs w:val="21"/>
                <w:highlight w:val="none"/>
              </w:rPr>
              <w:t>废物类别</w:t>
            </w:r>
          </w:p>
        </w:tc>
        <w:tc>
          <w:tcPr>
            <w:tcW w:w="1363" w:type="dxa"/>
            <w:vAlign w:val="center"/>
          </w:tcPr>
          <w:p w14:paraId="6ECE973B">
            <w:pPr>
              <w:pStyle w:val="98"/>
              <w:autoSpaceDE/>
              <w:autoSpaceDN/>
              <w:adjustRightInd w:val="0"/>
              <w:snapToGrid w:val="0"/>
              <w:ind w:left="-105" w:right="-105"/>
              <w:rPr>
                <w:color w:val="auto"/>
                <w:sz w:val="21"/>
                <w:szCs w:val="21"/>
                <w:highlight w:val="none"/>
              </w:rPr>
            </w:pPr>
            <w:r>
              <w:rPr>
                <w:rFonts w:eastAsia="宋体"/>
                <w:b/>
                <w:bCs/>
                <w:color w:val="auto"/>
                <w:sz w:val="21"/>
                <w:szCs w:val="21"/>
                <w:highlight w:val="none"/>
              </w:rPr>
              <w:t>废物代码</w:t>
            </w:r>
          </w:p>
        </w:tc>
        <w:tc>
          <w:tcPr>
            <w:tcW w:w="571" w:type="dxa"/>
            <w:vAlign w:val="center"/>
          </w:tcPr>
          <w:p w14:paraId="10386082">
            <w:pPr>
              <w:ind w:left="-105" w:right="-105"/>
              <w:jc w:val="center"/>
              <w:rPr>
                <w:rFonts w:ascii="Times New Roman" w:hAnsi="Times New Roman" w:cs="Times New Roman"/>
                <w:color w:val="auto"/>
                <w:sz w:val="21"/>
                <w:szCs w:val="21"/>
                <w:highlight w:val="none"/>
              </w:rPr>
            </w:pPr>
            <w:r>
              <w:rPr>
                <w:rFonts w:ascii="Times New Roman" w:hAnsi="Times New Roman" w:cs="Times New Roman"/>
                <w:b/>
                <w:color w:val="auto"/>
                <w:sz w:val="21"/>
                <w:szCs w:val="21"/>
                <w:highlight w:val="none"/>
              </w:rPr>
              <w:t>位置</w:t>
            </w:r>
          </w:p>
        </w:tc>
        <w:tc>
          <w:tcPr>
            <w:tcW w:w="785" w:type="dxa"/>
            <w:vAlign w:val="center"/>
          </w:tcPr>
          <w:p w14:paraId="0FF82B27">
            <w:pPr>
              <w:ind w:left="-105" w:right="-105"/>
              <w:jc w:val="center"/>
              <w:rPr>
                <w:rFonts w:ascii="Times New Roman" w:hAnsi="Times New Roman" w:cs="Times New Roman"/>
                <w:color w:val="auto"/>
                <w:sz w:val="21"/>
                <w:szCs w:val="21"/>
                <w:highlight w:val="none"/>
              </w:rPr>
            </w:pPr>
            <w:r>
              <w:rPr>
                <w:rFonts w:ascii="Times New Roman" w:hAnsi="Times New Roman" w:cs="Times New Roman"/>
                <w:b/>
                <w:color w:val="auto"/>
                <w:sz w:val="21"/>
                <w:szCs w:val="21"/>
                <w:highlight w:val="none"/>
              </w:rPr>
              <w:t>占地面积</w:t>
            </w:r>
          </w:p>
        </w:tc>
        <w:tc>
          <w:tcPr>
            <w:tcW w:w="1109" w:type="dxa"/>
            <w:vAlign w:val="center"/>
          </w:tcPr>
          <w:p w14:paraId="30D12631">
            <w:pPr>
              <w:topLinePunct/>
              <w:ind w:left="-105" w:right="-105"/>
              <w:jc w:val="center"/>
              <w:rPr>
                <w:rFonts w:ascii="Times New Roman" w:hAnsi="Times New Roman" w:cs="Times New Roman"/>
                <w:color w:val="auto"/>
                <w:sz w:val="21"/>
                <w:szCs w:val="21"/>
                <w:highlight w:val="none"/>
              </w:rPr>
            </w:pPr>
            <w:r>
              <w:rPr>
                <w:rFonts w:ascii="Times New Roman" w:hAnsi="Times New Roman" w:cs="Times New Roman"/>
                <w:b/>
                <w:color w:val="auto"/>
                <w:sz w:val="21"/>
                <w:szCs w:val="21"/>
                <w:highlight w:val="none"/>
              </w:rPr>
              <w:t>贮存方式</w:t>
            </w:r>
          </w:p>
        </w:tc>
        <w:tc>
          <w:tcPr>
            <w:tcW w:w="713" w:type="dxa"/>
            <w:vAlign w:val="center"/>
          </w:tcPr>
          <w:p w14:paraId="4850C10B">
            <w:pPr>
              <w:topLinePunct/>
              <w:ind w:left="-105" w:right="-105"/>
              <w:jc w:val="center"/>
              <w:rPr>
                <w:rFonts w:ascii="Times New Roman" w:hAnsi="Times New Roman" w:cs="Times New Roman"/>
                <w:b/>
                <w:color w:val="auto"/>
                <w:sz w:val="21"/>
                <w:szCs w:val="21"/>
                <w:highlight w:val="none"/>
              </w:rPr>
            </w:pPr>
            <w:r>
              <w:rPr>
                <w:rFonts w:ascii="Times New Roman" w:hAnsi="Times New Roman" w:cs="Times New Roman"/>
                <w:b/>
                <w:color w:val="auto"/>
                <w:sz w:val="21"/>
                <w:szCs w:val="21"/>
                <w:highlight w:val="none"/>
              </w:rPr>
              <w:t>贮存</w:t>
            </w:r>
          </w:p>
          <w:p w14:paraId="38DAA948">
            <w:pPr>
              <w:ind w:left="-105" w:right="-105"/>
              <w:jc w:val="center"/>
              <w:rPr>
                <w:rFonts w:ascii="Times New Roman" w:hAnsi="Times New Roman" w:cs="Times New Roman"/>
                <w:color w:val="auto"/>
                <w:sz w:val="21"/>
                <w:szCs w:val="21"/>
                <w:highlight w:val="none"/>
              </w:rPr>
            </w:pPr>
            <w:r>
              <w:rPr>
                <w:rFonts w:ascii="Times New Roman" w:hAnsi="Times New Roman" w:cs="Times New Roman"/>
                <w:b/>
                <w:color w:val="auto"/>
                <w:sz w:val="21"/>
                <w:szCs w:val="21"/>
                <w:highlight w:val="none"/>
              </w:rPr>
              <w:t>能力</w:t>
            </w:r>
          </w:p>
        </w:tc>
        <w:tc>
          <w:tcPr>
            <w:tcW w:w="815" w:type="dxa"/>
            <w:vAlign w:val="center"/>
          </w:tcPr>
          <w:p w14:paraId="532F4A44">
            <w:pPr>
              <w:topLinePunct/>
              <w:ind w:left="-105" w:right="-105"/>
              <w:jc w:val="center"/>
              <w:rPr>
                <w:rFonts w:ascii="Times New Roman" w:hAnsi="Times New Roman" w:cs="Times New Roman"/>
                <w:b/>
                <w:color w:val="auto"/>
                <w:sz w:val="21"/>
                <w:szCs w:val="21"/>
                <w:highlight w:val="none"/>
              </w:rPr>
            </w:pPr>
            <w:r>
              <w:rPr>
                <w:rFonts w:ascii="Times New Roman" w:hAnsi="Times New Roman" w:cs="Times New Roman"/>
                <w:b/>
                <w:color w:val="auto"/>
                <w:sz w:val="21"/>
                <w:szCs w:val="21"/>
                <w:highlight w:val="none"/>
              </w:rPr>
              <w:t>贮存</w:t>
            </w:r>
          </w:p>
          <w:p w14:paraId="50F6BA5B">
            <w:pPr>
              <w:ind w:left="-105" w:right="-105"/>
              <w:jc w:val="center"/>
              <w:rPr>
                <w:rFonts w:ascii="Times New Roman" w:hAnsi="Times New Roman" w:cs="Times New Roman"/>
                <w:color w:val="auto"/>
                <w:sz w:val="21"/>
                <w:szCs w:val="21"/>
                <w:highlight w:val="none"/>
              </w:rPr>
            </w:pPr>
            <w:r>
              <w:rPr>
                <w:rFonts w:ascii="Times New Roman" w:hAnsi="Times New Roman" w:cs="Times New Roman"/>
                <w:b/>
                <w:color w:val="auto"/>
                <w:sz w:val="21"/>
                <w:szCs w:val="21"/>
                <w:highlight w:val="none"/>
              </w:rPr>
              <w:t>周期</w:t>
            </w:r>
          </w:p>
        </w:tc>
      </w:tr>
      <w:tr w14:paraId="5A7BB3F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75" w:type="dxa"/>
            <w:vAlign w:val="center"/>
          </w:tcPr>
          <w:p w14:paraId="2402CE7C">
            <w:pPr>
              <w:numPr>
                <w:ilvl w:val="0"/>
                <w:numId w:val="33"/>
              </w:numPr>
              <w:ind w:left="-105" w:right="-105" w:firstLine="0"/>
              <w:jc w:val="center"/>
              <w:rPr>
                <w:rFonts w:ascii="Times New Roman" w:hAnsi="Times New Roman" w:cs="Times New Roman"/>
                <w:color w:val="auto"/>
                <w:sz w:val="21"/>
                <w:szCs w:val="21"/>
                <w:highlight w:val="none"/>
              </w:rPr>
            </w:pPr>
          </w:p>
        </w:tc>
        <w:tc>
          <w:tcPr>
            <w:tcW w:w="673" w:type="dxa"/>
            <w:vMerge w:val="restart"/>
            <w:vAlign w:val="center"/>
          </w:tcPr>
          <w:p w14:paraId="7ACCE3A3">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一般固废贮存场所</w:t>
            </w:r>
          </w:p>
        </w:tc>
        <w:tc>
          <w:tcPr>
            <w:tcW w:w="1118" w:type="dxa"/>
            <w:vAlign w:val="center"/>
          </w:tcPr>
          <w:p w14:paraId="1DE11A2A">
            <w:pPr>
              <w:ind w:left="-105" w:right="-105"/>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18"/>
                <w:highlight w:val="none"/>
              </w:rPr>
              <w:t>废过滤介质</w:t>
            </w:r>
          </w:p>
        </w:tc>
        <w:tc>
          <w:tcPr>
            <w:tcW w:w="900" w:type="dxa"/>
            <w:vAlign w:val="center"/>
          </w:tcPr>
          <w:p w14:paraId="2B43FD00">
            <w:pPr>
              <w:adjustRightInd w:val="0"/>
              <w:snapToGrid w:val="0"/>
              <w:ind w:left="-105" w:right="-105"/>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SW59</w:t>
            </w:r>
          </w:p>
        </w:tc>
        <w:tc>
          <w:tcPr>
            <w:tcW w:w="1363" w:type="dxa"/>
            <w:vAlign w:val="center"/>
          </w:tcPr>
          <w:p w14:paraId="52FA3DE7">
            <w:pPr>
              <w:pStyle w:val="98"/>
              <w:autoSpaceDE/>
              <w:autoSpaceDN/>
              <w:adjustRightInd w:val="0"/>
              <w:snapToGrid w:val="0"/>
              <w:ind w:left="-105" w:right="-105"/>
              <w:rPr>
                <w:color w:val="auto"/>
                <w:sz w:val="21"/>
                <w:szCs w:val="21"/>
                <w:highlight w:val="none"/>
              </w:rPr>
            </w:pPr>
            <w:r>
              <w:rPr>
                <w:rFonts w:hint="eastAsia" w:eastAsia="宋体"/>
                <w:color w:val="auto"/>
                <w:sz w:val="21"/>
                <w:szCs w:val="21"/>
                <w:highlight w:val="none"/>
                <w:lang w:val="en-US"/>
              </w:rPr>
              <w:t>900-009-S59</w:t>
            </w:r>
          </w:p>
        </w:tc>
        <w:tc>
          <w:tcPr>
            <w:tcW w:w="571" w:type="dxa"/>
            <w:vMerge w:val="restart"/>
            <w:vAlign w:val="center"/>
          </w:tcPr>
          <w:p w14:paraId="4AD6D933">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厂区</w:t>
            </w:r>
            <w:r>
              <w:rPr>
                <w:rFonts w:hint="eastAsia" w:ascii="Times New Roman" w:hAnsi="Times New Roman" w:cs="Times New Roman"/>
                <w:color w:val="auto"/>
                <w:sz w:val="21"/>
                <w:szCs w:val="21"/>
                <w:highlight w:val="none"/>
              </w:rPr>
              <w:t>东</w:t>
            </w:r>
            <w:r>
              <w:rPr>
                <w:rFonts w:ascii="Times New Roman" w:hAnsi="Times New Roman" w:cs="Times New Roman"/>
                <w:color w:val="auto"/>
                <w:sz w:val="21"/>
                <w:szCs w:val="21"/>
                <w:highlight w:val="none"/>
              </w:rPr>
              <w:t>侧</w:t>
            </w:r>
          </w:p>
        </w:tc>
        <w:tc>
          <w:tcPr>
            <w:tcW w:w="785" w:type="dxa"/>
            <w:vMerge w:val="restart"/>
            <w:vAlign w:val="center"/>
          </w:tcPr>
          <w:p w14:paraId="315CF1F0">
            <w:pPr>
              <w:ind w:left="-105" w:right="-105"/>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8</w:t>
            </w:r>
            <w:r>
              <w:rPr>
                <w:rFonts w:ascii="Times New Roman" w:hAnsi="Times New Roman" w:cs="Times New Roman"/>
                <w:color w:val="auto"/>
                <w:sz w:val="21"/>
                <w:szCs w:val="21"/>
                <w:highlight w:val="none"/>
              </w:rPr>
              <w:t>m</w:t>
            </w:r>
            <w:r>
              <w:rPr>
                <w:rFonts w:ascii="Times New Roman" w:hAnsi="Times New Roman" w:cs="Times New Roman"/>
                <w:color w:val="auto"/>
                <w:sz w:val="21"/>
                <w:szCs w:val="21"/>
                <w:highlight w:val="none"/>
                <w:vertAlign w:val="superscript"/>
              </w:rPr>
              <w:t>2</w:t>
            </w:r>
          </w:p>
        </w:tc>
        <w:tc>
          <w:tcPr>
            <w:tcW w:w="1109" w:type="dxa"/>
            <w:vAlign w:val="center"/>
          </w:tcPr>
          <w:p w14:paraId="0D85E009">
            <w:pPr>
              <w:topLinePunct/>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吨袋暂存</w:t>
            </w:r>
          </w:p>
        </w:tc>
        <w:tc>
          <w:tcPr>
            <w:tcW w:w="713" w:type="dxa"/>
            <w:vAlign w:val="center"/>
          </w:tcPr>
          <w:p w14:paraId="34349191">
            <w:pPr>
              <w:ind w:left="-105" w:right="-105"/>
              <w:jc w:val="center"/>
              <w:textAlignment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2</w:t>
            </w:r>
          </w:p>
        </w:tc>
        <w:tc>
          <w:tcPr>
            <w:tcW w:w="815" w:type="dxa"/>
            <w:vAlign w:val="center"/>
          </w:tcPr>
          <w:p w14:paraId="30D1D6E5">
            <w:pPr>
              <w:ind w:left="-105" w:right="-105"/>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6</w:t>
            </w:r>
            <w:r>
              <w:rPr>
                <w:rFonts w:ascii="Times New Roman" w:hAnsi="Times New Roman" w:cs="Times New Roman"/>
                <w:color w:val="auto"/>
                <w:sz w:val="21"/>
                <w:szCs w:val="21"/>
                <w:highlight w:val="none"/>
              </w:rPr>
              <w:t>个月</w:t>
            </w:r>
          </w:p>
        </w:tc>
      </w:tr>
      <w:tr w14:paraId="516C2DD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75" w:type="dxa"/>
            <w:vAlign w:val="center"/>
          </w:tcPr>
          <w:p w14:paraId="47612749">
            <w:pPr>
              <w:numPr>
                <w:ilvl w:val="0"/>
                <w:numId w:val="33"/>
              </w:numPr>
              <w:ind w:left="-105" w:right="-105" w:firstLine="0"/>
              <w:jc w:val="center"/>
              <w:rPr>
                <w:rFonts w:ascii="Times New Roman" w:hAnsi="Times New Roman" w:cs="Times New Roman"/>
                <w:color w:val="auto"/>
                <w:sz w:val="21"/>
                <w:szCs w:val="21"/>
                <w:highlight w:val="none"/>
              </w:rPr>
            </w:pPr>
          </w:p>
        </w:tc>
        <w:tc>
          <w:tcPr>
            <w:tcW w:w="673" w:type="dxa"/>
            <w:vMerge w:val="continue"/>
            <w:vAlign w:val="center"/>
          </w:tcPr>
          <w:p w14:paraId="3A0AE8A7">
            <w:pPr>
              <w:ind w:left="-105" w:right="-105"/>
              <w:jc w:val="center"/>
              <w:rPr>
                <w:rFonts w:ascii="Times New Roman" w:hAnsi="Times New Roman" w:cs="Times New Roman"/>
                <w:color w:val="auto"/>
                <w:sz w:val="21"/>
                <w:szCs w:val="21"/>
                <w:highlight w:val="none"/>
              </w:rPr>
            </w:pPr>
          </w:p>
        </w:tc>
        <w:tc>
          <w:tcPr>
            <w:tcW w:w="1118" w:type="dxa"/>
            <w:vAlign w:val="center"/>
          </w:tcPr>
          <w:p w14:paraId="32E3AA61">
            <w:pPr>
              <w:ind w:left="-105" w:right="-105"/>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18"/>
                <w:highlight w:val="none"/>
              </w:rPr>
              <w:t>废活性炭</w:t>
            </w:r>
          </w:p>
        </w:tc>
        <w:tc>
          <w:tcPr>
            <w:tcW w:w="900" w:type="dxa"/>
            <w:vAlign w:val="center"/>
          </w:tcPr>
          <w:p w14:paraId="4D927F6D">
            <w:pPr>
              <w:adjustRightInd w:val="0"/>
              <w:snapToGrid w:val="0"/>
              <w:ind w:left="-105" w:right="-105"/>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SW59</w:t>
            </w:r>
          </w:p>
        </w:tc>
        <w:tc>
          <w:tcPr>
            <w:tcW w:w="1363" w:type="dxa"/>
            <w:vAlign w:val="center"/>
          </w:tcPr>
          <w:p w14:paraId="27A41174">
            <w:pPr>
              <w:adjustRightInd w:val="0"/>
              <w:snapToGrid w:val="0"/>
              <w:ind w:left="-105" w:right="-105"/>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900-009-S59</w:t>
            </w:r>
          </w:p>
        </w:tc>
        <w:tc>
          <w:tcPr>
            <w:tcW w:w="571" w:type="dxa"/>
            <w:vMerge w:val="continue"/>
            <w:vAlign w:val="center"/>
          </w:tcPr>
          <w:p w14:paraId="4FC77FF6">
            <w:pPr>
              <w:ind w:left="-105" w:right="-105"/>
              <w:jc w:val="center"/>
              <w:rPr>
                <w:rFonts w:ascii="Times New Roman" w:hAnsi="Times New Roman" w:cs="Times New Roman"/>
                <w:color w:val="auto"/>
                <w:sz w:val="21"/>
                <w:szCs w:val="21"/>
                <w:highlight w:val="none"/>
              </w:rPr>
            </w:pPr>
          </w:p>
        </w:tc>
        <w:tc>
          <w:tcPr>
            <w:tcW w:w="785" w:type="dxa"/>
            <w:vMerge w:val="continue"/>
            <w:vAlign w:val="center"/>
          </w:tcPr>
          <w:p w14:paraId="2D1AE9EA">
            <w:pPr>
              <w:ind w:left="-105" w:right="-105"/>
              <w:jc w:val="center"/>
              <w:rPr>
                <w:rFonts w:ascii="Times New Roman" w:hAnsi="Times New Roman" w:cs="Times New Roman"/>
                <w:color w:val="auto"/>
                <w:sz w:val="21"/>
                <w:szCs w:val="21"/>
                <w:highlight w:val="none"/>
              </w:rPr>
            </w:pPr>
          </w:p>
        </w:tc>
        <w:tc>
          <w:tcPr>
            <w:tcW w:w="1109" w:type="dxa"/>
            <w:vAlign w:val="center"/>
          </w:tcPr>
          <w:p w14:paraId="649668AF">
            <w:pPr>
              <w:topLinePunct/>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吨袋暂存</w:t>
            </w:r>
          </w:p>
        </w:tc>
        <w:tc>
          <w:tcPr>
            <w:tcW w:w="713" w:type="dxa"/>
            <w:vAlign w:val="center"/>
          </w:tcPr>
          <w:p w14:paraId="05E1E91F">
            <w:pPr>
              <w:ind w:left="-105" w:right="-105"/>
              <w:jc w:val="center"/>
              <w:textAlignment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1</w:t>
            </w:r>
          </w:p>
        </w:tc>
        <w:tc>
          <w:tcPr>
            <w:tcW w:w="815" w:type="dxa"/>
            <w:vAlign w:val="center"/>
          </w:tcPr>
          <w:p w14:paraId="0AD20C15">
            <w:pPr>
              <w:ind w:left="-105" w:right="-105"/>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6</w:t>
            </w:r>
            <w:r>
              <w:rPr>
                <w:rFonts w:ascii="Times New Roman" w:hAnsi="Times New Roman" w:cs="Times New Roman"/>
                <w:color w:val="auto"/>
                <w:sz w:val="21"/>
                <w:szCs w:val="21"/>
                <w:highlight w:val="none"/>
              </w:rPr>
              <w:t>个月</w:t>
            </w:r>
          </w:p>
        </w:tc>
      </w:tr>
      <w:tr w14:paraId="6A7CCF1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75" w:type="dxa"/>
            <w:vAlign w:val="center"/>
          </w:tcPr>
          <w:p w14:paraId="7A00A725">
            <w:pPr>
              <w:numPr>
                <w:ilvl w:val="0"/>
                <w:numId w:val="33"/>
              </w:numPr>
              <w:ind w:left="-105" w:right="-105" w:firstLine="0"/>
              <w:jc w:val="center"/>
              <w:rPr>
                <w:rFonts w:ascii="Times New Roman" w:hAnsi="Times New Roman" w:cs="Times New Roman"/>
                <w:color w:val="auto"/>
                <w:sz w:val="21"/>
                <w:szCs w:val="21"/>
                <w:highlight w:val="none"/>
              </w:rPr>
            </w:pPr>
          </w:p>
        </w:tc>
        <w:tc>
          <w:tcPr>
            <w:tcW w:w="673" w:type="dxa"/>
            <w:vMerge w:val="continue"/>
            <w:vAlign w:val="center"/>
          </w:tcPr>
          <w:p w14:paraId="5E567736">
            <w:pPr>
              <w:ind w:left="-105" w:right="-105"/>
              <w:jc w:val="center"/>
              <w:rPr>
                <w:rFonts w:ascii="Times New Roman" w:hAnsi="Times New Roman" w:cs="Times New Roman"/>
                <w:color w:val="auto"/>
                <w:sz w:val="21"/>
                <w:szCs w:val="21"/>
                <w:highlight w:val="none"/>
              </w:rPr>
            </w:pPr>
          </w:p>
        </w:tc>
        <w:tc>
          <w:tcPr>
            <w:tcW w:w="1118" w:type="dxa"/>
            <w:vAlign w:val="center"/>
          </w:tcPr>
          <w:p w14:paraId="213CAF68">
            <w:pPr>
              <w:ind w:left="-105" w:right="-105"/>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18"/>
                <w:highlight w:val="none"/>
              </w:rPr>
              <w:t>废RO膜</w:t>
            </w:r>
          </w:p>
        </w:tc>
        <w:tc>
          <w:tcPr>
            <w:tcW w:w="900" w:type="dxa"/>
            <w:vAlign w:val="center"/>
          </w:tcPr>
          <w:p w14:paraId="20F83245">
            <w:pPr>
              <w:adjustRightInd w:val="0"/>
              <w:snapToGrid w:val="0"/>
              <w:ind w:left="-105" w:right="-105"/>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SW59</w:t>
            </w:r>
          </w:p>
        </w:tc>
        <w:tc>
          <w:tcPr>
            <w:tcW w:w="1363" w:type="dxa"/>
            <w:vAlign w:val="center"/>
          </w:tcPr>
          <w:p w14:paraId="4A2FCEC4">
            <w:pPr>
              <w:adjustRightInd w:val="0"/>
              <w:snapToGrid w:val="0"/>
              <w:ind w:left="-105" w:right="-105"/>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900-009-S59</w:t>
            </w:r>
          </w:p>
        </w:tc>
        <w:tc>
          <w:tcPr>
            <w:tcW w:w="571" w:type="dxa"/>
            <w:vMerge w:val="continue"/>
            <w:vAlign w:val="center"/>
          </w:tcPr>
          <w:p w14:paraId="00FBBEC7">
            <w:pPr>
              <w:ind w:left="-105" w:right="-105"/>
              <w:jc w:val="center"/>
              <w:rPr>
                <w:rFonts w:ascii="Times New Roman" w:hAnsi="Times New Roman" w:cs="Times New Roman"/>
                <w:color w:val="auto"/>
                <w:sz w:val="21"/>
                <w:szCs w:val="21"/>
                <w:highlight w:val="none"/>
              </w:rPr>
            </w:pPr>
          </w:p>
        </w:tc>
        <w:tc>
          <w:tcPr>
            <w:tcW w:w="785" w:type="dxa"/>
            <w:vMerge w:val="continue"/>
            <w:vAlign w:val="center"/>
          </w:tcPr>
          <w:p w14:paraId="21AB9780">
            <w:pPr>
              <w:ind w:left="-105" w:right="-105"/>
              <w:jc w:val="center"/>
              <w:rPr>
                <w:rFonts w:ascii="Times New Roman" w:hAnsi="Times New Roman" w:cs="Times New Roman"/>
                <w:color w:val="auto"/>
                <w:sz w:val="21"/>
                <w:szCs w:val="21"/>
                <w:highlight w:val="none"/>
              </w:rPr>
            </w:pPr>
          </w:p>
        </w:tc>
        <w:tc>
          <w:tcPr>
            <w:tcW w:w="1109" w:type="dxa"/>
            <w:vAlign w:val="center"/>
          </w:tcPr>
          <w:p w14:paraId="0CA466A1">
            <w:pPr>
              <w:topLinePunct/>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吨袋暂存</w:t>
            </w:r>
          </w:p>
        </w:tc>
        <w:tc>
          <w:tcPr>
            <w:tcW w:w="713" w:type="dxa"/>
            <w:vAlign w:val="center"/>
          </w:tcPr>
          <w:p w14:paraId="19F7BB56">
            <w:pPr>
              <w:ind w:left="-105" w:right="-105"/>
              <w:jc w:val="center"/>
              <w:textAlignment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0.5</w:t>
            </w:r>
          </w:p>
        </w:tc>
        <w:tc>
          <w:tcPr>
            <w:tcW w:w="815" w:type="dxa"/>
            <w:vAlign w:val="center"/>
          </w:tcPr>
          <w:p w14:paraId="5499B70D">
            <w:pPr>
              <w:ind w:left="-105" w:right="-105"/>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6</w:t>
            </w:r>
            <w:r>
              <w:rPr>
                <w:rFonts w:ascii="Times New Roman" w:hAnsi="Times New Roman" w:cs="Times New Roman"/>
                <w:color w:val="auto"/>
                <w:sz w:val="21"/>
                <w:szCs w:val="21"/>
                <w:highlight w:val="none"/>
              </w:rPr>
              <w:t>个月</w:t>
            </w:r>
          </w:p>
        </w:tc>
      </w:tr>
      <w:bookmarkEnd w:id="460"/>
      <w:bookmarkEnd w:id="461"/>
    </w:tbl>
    <w:p w14:paraId="2A74A2B3">
      <w:pPr>
        <w:adjustRightInd w:val="0"/>
        <w:snapToGrid w:val="0"/>
        <w:spacing w:line="360" w:lineRule="auto"/>
        <w:ind w:left="-105" w:right="-105" w:firstLine="480" w:firstLineChars="200"/>
        <w:jc w:val="both"/>
        <w:rPr>
          <w:rFonts w:ascii="Times New Roman" w:hAnsi="Times New Roman" w:cs="Times New Roman"/>
          <w:color w:val="auto"/>
          <w:highlight w:val="none"/>
        </w:rPr>
      </w:pPr>
      <w:r>
        <w:rPr>
          <w:rFonts w:ascii="Times New Roman" w:hAnsi="Times New Roman" w:cs="Times New Roman"/>
          <w:color w:val="auto"/>
          <w:szCs w:val="28"/>
          <w:highlight w:val="none"/>
          <w:lang w:val="zh-CN"/>
        </w:rPr>
        <w:t>根据工程分析可知，本项目一般固废主要为</w:t>
      </w:r>
      <w:r>
        <w:rPr>
          <w:rFonts w:hint="eastAsia" w:ascii="Times New Roman" w:hAnsi="Times New Roman" w:cs="Times New Roman"/>
          <w:color w:val="auto"/>
          <w:szCs w:val="28"/>
          <w:highlight w:val="none"/>
          <w:lang w:val="zh-CN"/>
        </w:rPr>
        <w:t>废过滤介质、废活性炭、废RO膜</w:t>
      </w:r>
      <w:r>
        <w:rPr>
          <w:rFonts w:ascii="Times New Roman" w:hAnsi="Times New Roman" w:cs="Times New Roman"/>
          <w:color w:val="auto"/>
          <w:szCs w:val="28"/>
          <w:highlight w:val="none"/>
          <w:lang w:val="zh-CN"/>
        </w:rPr>
        <w:t>等，</w:t>
      </w:r>
      <w:r>
        <w:rPr>
          <w:rFonts w:ascii="Times New Roman" w:hAnsi="Times New Roman" w:cs="Times New Roman"/>
          <w:color w:val="auto"/>
          <w:highlight w:val="none"/>
        </w:rPr>
        <w:t>所有废物实行分类收集、暂存和处置。</w:t>
      </w:r>
    </w:p>
    <w:p w14:paraId="688594C3">
      <w:pPr>
        <w:pStyle w:val="5"/>
        <w:keepLines w:val="0"/>
        <w:numPr>
          <w:ilvl w:val="2"/>
          <w:numId w:val="6"/>
        </w:numPr>
        <w:tabs>
          <w:tab w:val="left" w:pos="141"/>
          <w:tab w:val="left" w:pos="567"/>
          <w:tab w:val="left" w:pos="709"/>
          <w:tab w:val="left" w:pos="993"/>
          <w:tab w:val="left" w:pos="6663"/>
        </w:tabs>
        <w:spacing w:before="0" w:after="0" w:line="360" w:lineRule="auto"/>
        <w:ind w:left="-105" w:right="-105"/>
        <w:rPr>
          <w:rFonts w:eastAsia="宋体"/>
          <w:color w:val="auto"/>
          <w:sz w:val="28"/>
          <w:szCs w:val="28"/>
          <w:highlight w:val="none"/>
        </w:rPr>
      </w:pPr>
      <w:bookmarkStart w:id="462" w:name="_Toc43798564"/>
      <w:r>
        <w:rPr>
          <w:rFonts w:eastAsia="宋体"/>
          <w:color w:val="auto"/>
          <w:sz w:val="28"/>
          <w:szCs w:val="28"/>
          <w:highlight w:val="none"/>
        </w:rPr>
        <w:t>危险废物防治措施评述</w:t>
      </w:r>
      <w:bookmarkEnd w:id="462"/>
    </w:p>
    <w:p w14:paraId="2DAC3868">
      <w:pPr>
        <w:adjustRightInd w:val="0"/>
        <w:snapToGrid w:val="0"/>
        <w:spacing w:line="360" w:lineRule="auto"/>
        <w:ind w:left="-105" w:right="-105" w:firstLine="480" w:firstLineChars="200"/>
        <w:jc w:val="both"/>
        <w:rPr>
          <w:rFonts w:ascii="Times New Roman" w:hAnsi="Times New Roman" w:cs="Times New Roman"/>
          <w:color w:val="auto"/>
          <w:szCs w:val="28"/>
          <w:highlight w:val="none"/>
          <w:lang w:val="zh-CN"/>
        </w:rPr>
      </w:pPr>
      <w:r>
        <w:rPr>
          <w:rFonts w:ascii="Times New Roman" w:hAnsi="Times New Roman" w:cs="Times New Roman"/>
          <w:color w:val="auto"/>
          <w:szCs w:val="28"/>
          <w:highlight w:val="none"/>
          <w:lang w:val="zh-CN"/>
        </w:rPr>
        <w:t>本项目危险废物包括</w:t>
      </w:r>
      <w:r>
        <w:rPr>
          <w:rFonts w:hint="eastAsia" w:ascii="Times New Roman" w:hAnsi="Times New Roman" w:cs="Times New Roman"/>
          <w:color w:val="auto"/>
          <w:szCs w:val="28"/>
          <w:highlight w:val="none"/>
          <w:lang w:val="zh-CN"/>
        </w:rPr>
        <w:t>废滤芯、实验废液、废实验耗材、废包装桶、废包装袋、废活性炭（</w:t>
      </w:r>
      <w:r>
        <w:rPr>
          <w:rFonts w:hint="eastAsia" w:ascii="Times New Roman" w:hAnsi="Times New Roman" w:cs="Times New Roman"/>
          <w:color w:val="auto"/>
          <w:szCs w:val="28"/>
          <w:highlight w:val="none"/>
        </w:rPr>
        <w:t>废气处理</w:t>
      </w:r>
      <w:r>
        <w:rPr>
          <w:rFonts w:hint="eastAsia" w:ascii="Times New Roman" w:hAnsi="Times New Roman" w:cs="Times New Roman"/>
          <w:color w:val="auto"/>
          <w:szCs w:val="28"/>
          <w:highlight w:val="none"/>
          <w:lang w:val="zh-CN"/>
        </w:rPr>
        <w:t>）</w:t>
      </w:r>
      <w:r>
        <w:rPr>
          <w:rFonts w:ascii="Times New Roman" w:hAnsi="Times New Roman" w:cs="Times New Roman"/>
          <w:color w:val="auto"/>
          <w:szCs w:val="28"/>
          <w:highlight w:val="none"/>
          <w:lang w:val="zh-CN"/>
        </w:rPr>
        <w:t>等，需按国家有关规定进行转移、运输及处置，要求企业将危险废物、一般工业固废、生活垃圾分类收集，分开处理。</w:t>
      </w:r>
    </w:p>
    <w:p w14:paraId="230E9EDF">
      <w:pPr>
        <w:adjustRightInd w:val="0"/>
        <w:snapToGrid w:val="0"/>
        <w:spacing w:line="360" w:lineRule="auto"/>
        <w:ind w:left="-105" w:right="-105" w:firstLine="480" w:firstLineChars="200"/>
        <w:jc w:val="both"/>
        <w:rPr>
          <w:rFonts w:ascii="Times New Roman" w:hAnsi="Times New Roman" w:cs="Times New Roman"/>
          <w:color w:val="auto"/>
          <w:szCs w:val="28"/>
          <w:highlight w:val="none"/>
          <w:lang w:val="zh-CN"/>
        </w:rPr>
      </w:pPr>
      <w:r>
        <w:rPr>
          <w:rFonts w:ascii="Times New Roman" w:hAnsi="Times New Roman" w:cs="Times New Roman"/>
          <w:color w:val="auto"/>
          <w:szCs w:val="28"/>
          <w:highlight w:val="none"/>
          <w:lang w:val="zh-CN"/>
        </w:rPr>
        <w:t>危险废物在收集时，应清楚废物的类别及主要成份，以方便委托处理单位处理。根据危险废物的性质和形态，可采用不同大小和不同材质的容器进行包装，所有包装容器应足够安全，并经过周密检查，严防在装载、搬移或运输途中出现渗漏、溢出、抛洒或挥发等情况。按照</w:t>
      </w:r>
      <w:r>
        <w:rPr>
          <w:rFonts w:hint="eastAsia" w:ascii="Times New Roman" w:hAnsi="Times New Roman" w:cs="Times New Roman"/>
          <w:color w:val="auto"/>
          <w:szCs w:val="28"/>
          <w:highlight w:val="none"/>
          <w:lang w:val="zh-CN"/>
        </w:rPr>
        <w:t>《省生态环境厅关于印发</w:t>
      </w:r>
      <w:r>
        <w:rPr>
          <w:rFonts w:hint="eastAsia" w:ascii="Times New Roman" w:hAnsi="Times New Roman" w:cs="Times New Roman"/>
          <w:color w:val="auto"/>
          <w:szCs w:val="28"/>
          <w:highlight w:val="none"/>
        </w:rPr>
        <w:t>&lt;</w:t>
      </w:r>
      <w:r>
        <w:rPr>
          <w:rFonts w:hint="eastAsia" w:ascii="Times New Roman" w:hAnsi="Times New Roman" w:cs="Times New Roman"/>
          <w:color w:val="auto"/>
          <w:szCs w:val="28"/>
          <w:highlight w:val="none"/>
          <w:lang w:val="zh-CN"/>
        </w:rPr>
        <w:t>江苏省固体废物全过程环境监管工作意见</w:t>
      </w:r>
      <w:r>
        <w:rPr>
          <w:rFonts w:hint="eastAsia" w:ascii="Times New Roman" w:hAnsi="Times New Roman" w:cs="Times New Roman"/>
          <w:color w:val="auto"/>
          <w:szCs w:val="28"/>
          <w:highlight w:val="none"/>
        </w:rPr>
        <w:t>&gt;</w:t>
      </w:r>
      <w:r>
        <w:rPr>
          <w:rFonts w:hint="eastAsia" w:ascii="Times New Roman" w:hAnsi="Times New Roman" w:cs="Times New Roman"/>
          <w:color w:val="auto"/>
          <w:szCs w:val="28"/>
          <w:highlight w:val="none"/>
          <w:lang w:val="zh-CN"/>
        </w:rPr>
        <w:t>的通知（苏环办〔2024〕16号）》</w:t>
      </w:r>
      <w:r>
        <w:rPr>
          <w:rFonts w:ascii="Times New Roman" w:hAnsi="Times New Roman" w:cs="Times New Roman"/>
          <w:color w:val="auto"/>
          <w:szCs w:val="28"/>
          <w:highlight w:val="none"/>
          <w:lang w:val="zh-CN"/>
        </w:rPr>
        <w:t>要求，对危险废物进行安全包装，并在包装的明显位置附上危险废物标签。</w:t>
      </w:r>
    </w:p>
    <w:p w14:paraId="5FF200FF">
      <w:pPr>
        <w:pStyle w:val="6"/>
        <w:keepLines w:val="0"/>
        <w:widowControl/>
        <w:numPr>
          <w:ilvl w:val="0"/>
          <w:numId w:val="0"/>
        </w:numPr>
        <w:tabs>
          <w:tab w:val="left" w:pos="0"/>
          <w:tab w:val="left" w:pos="2550"/>
        </w:tabs>
        <w:spacing w:before="50" w:after="50" w:line="360" w:lineRule="auto"/>
        <w:ind w:right="-105"/>
        <w:rPr>
          <w:rFonts w:ascii="Times New Roman" w:hAnsi="Times New Roman"/>
          <w:color w:val="auto"/>
          <w:sz w:val="24"/>
          <w:szCs w:val="24"/>
          <w:highlight w:val="none"/>
        </w:rPr>
      </w:pPr>
      <w:r>
        <w:rPr>
          <w:rFonts w:hint="eastAsia" w:ascii="Times New Roman" w:hAnsi="Times New Roman"/>
          <w:color w:val="auto"/>
          <w:sz w:val="24"/>
          <w:szCs w:val="24"/>
          <w:highlight w:val="none"/>
        </w:rPr>
        <w:t>7</w:t>
      </w:r>
      <w:r>
        <w:rPr>
          <w:rFonts w:ascii="Times New Roman" w:hAnsi="Times New Roman"/>
          <w:color w:val="auto"/>
          <w:sz w:val="24"/>
          <w:szCs w:val="24"/>
          <w:highlight w:val="none"/>
        </w:rPr>
        <w:t>.4.2.1危废贮存场所（设施）污染防治措施</w:t>
      </w:r>
    </w:p>
    <w:p w14:paraId="13E56253">
      <w:pPr>
        <w:adjustRightInd w:val="0"/>
        <w:snapToGrid w:val="0"/>
        <w:spacing w:line="360" w:lineRule="auto"/>
        <w:ind w:left="-105" w:right="-105" w:firstLine="480" w:firstLineChars="200"/>
        <w:jc w:val="both"/>
        <w:rPr>
          <w:rFonts w:ascii="Times New Roman" w:hAnsi="Times New Roman" w:cs="Times New Roman"/>
          <w:color w:val="auto"/>
          <w:szCs w:val="28"/>
          <w:highlight w:val="none"/>
          <w:lang w:val="zh-CN"/>
        </w:rPr>
      </w:pPr>
      <w:r>
        <w:rPr>
          <w:rFonts w:ascii="Times New Roman" w:hAnsi="Times New Roman" w:cs="Times New Roman"/>
          <w:color w:val="auto"/>
          <w:szCs w:val="28"/>
          <w:highlight w:val="none"/>
          <w:lang w:val="zh-CN"/>
        </w:rPr>
        <w:t>本项目危险废物产生量约为</w:t>
      </w:r>
      <w:r>
        <w:rPr>
          <w:rFonts w:hint="eastAsia" w:ascii="Times New Roman" w:hAnsi="Times New Roman" w:cs="Times New Roman"/>
          <w:color w:val="auto"/>
          <w:szCs w:val="28"/>
          <w:highlight w:val="none"/>
          <w:lang w:val="en-US" w:eastAsia="zh-CN"/>
        </w:rPr>
        <w:t>21.0189</w:t>
      </w:r>
      <w:r>
        <w:rPr>
          <w:rFonts w:ascii="Times New Roman" w:hAnsi="Times New Roman" w:cs="Times New Roman"/>
          <w:color w:val="auto"/>
          <w:szCs w:val="28"/>
          <w:highlight w:val="none"/>
          <w:lang w:val="zh-CN"/>
        </w:rPr>
        <w:t>t/a，</w:t>
      </w:r>
      <w:r>
        <w:rPr>
          <w:rFonts w:ascii="Times New Roman" w:hAnsi="Times New Roman" w:cs="Times New Roman"/>
          <w:color w:val="auto"/>
          <w:szCs w:val="28"/>
          <w:highlight w:val="none"/>
          <w:lang w:val="zh-CN"/>
        </w:rPr>
        <w:t>分别收集至危废仓库和</w:t>
      </w:r>
      <w:r>
        <w:rPr>
          <w:rFonts w:hint="eastAsia" w:ascii="Times New Roman" w:hAnsi="Times New Roman" w:cs="Times New Roman"/>
          <w:color w:val="auto"/>
          <w:szCs w:val="28"/>
          <w:highlight w:val="none"/>
        </w:rPr>
        <w:t>废液储罐</w:t>
      </w:r>
      <w:r>
        <w:rPr>
          <w:rFonts w:ascii="Times New Roman" w:hAnsi="Times New Roman" w:cs="Times New Roman"/>
          <w:color w:val="auto"/>
          <w:szCs w:val="28"/>
          <w:highlight w:val="none"/>
          <w:lang w:val="zh-CN"/>
        </w:rPr>
        <w:t>内，定期委托资质单位处置，根据</w:t>
      </w:r>
      <w:r>
        <w:rPr>
          <w:rFonts w:ascii="Times New Roman" w:hAnsi="Times New Roman" w:cs="Times New Roman"/>
          <w:color w:val="auto"/>
          <w:highlight w:val="none"/>
        </w:rPr>
        <w:t>建设项目危险废物贮存场所（设施）基本情况表确定的危废贮存和转移周期危险废物暂存仓库的贮存能力能满足要求。</w:t>
      </w:r>
    </w:p>
    <w:p w14:paraId="1D3A971C">
      <w:pPr>
        <w:pStyle w:val="15"/>
        <w:spacing w:line="360" w:lineRule="auto"/>
        <w:ind w:left="-105" w:right="-105" w:firstLine="482"/>
        <w:rPr>
          <w:rFonts w:eastAsia="宋体"/>
          <w:color w:val="auto"/>
          <w:sz w:val="24"/>
          <w:szCs w:val="24"/>
          <w:highlight w:val="none"/>
        </w:rPr>
      </w:pPr>
      <w:r>
        <w:rPr>
          <w:rFonts w:eastAsia="宋体"/>
          <w:color w:val="auto"/>
          <w:sz w:val="24"/>
          <w:szCs w:val="24"/>
          <w:highlight w:val="none"/>
        </w:rPr>
        <w:t>表</w:t>
      </w:r>
      <w:r>
        <w:rPr>
          <w:rFonts w:eastAsia="宋体"/>
          <w:color w:val="auto"/>
          <w:sz w:val="24"/>
          <w:szCs w:val="24"/>
          <w:highlight w:val="none"/>
        </w:rPr>
        <w:fldChar w:fldCharType="begin"/>
      </w:r>
      <w:r>
        <w:rPr>
          <w:rFonts w:eastAsia="宋体"/>
          <w:color w:val="auto"/>
          <w:sz w:val="24"/>
          <w:szCs w:val="24"/>
          <w:highlight w:val="none"/>
        </w:rPr>
        <w:instrText xml:space="preserve"> STYLEREF 2 \s </w:instrText>
      </w:r>
      <w:r>
        <w:rPr>
          <w:rFonts w:eastAsia="宋体"/>
          <w:color w:val="auto"/>
          <w:sz w:val="24"/>
          <w:szCs w:val="24"/>
          <w:highlight w:val="none"/>
        </w:rPr>
        <w:fldChar w:fldCharType="separate"/>
      </w:r>
      <w:r>
        <w:rPr>
          <w:rFonts w:eastAsia="宋体"/>
          <w:color w:val="auto"/>
          <w:sz w:val="24"/>
          <w:szCs w:val="24"/>
          <w:highlight w:val="none"/>
        </w:rPr>
        <w:t>7.4</w:t>
      </w:r>
      <w:r>
        <w:rPr>
          <w:rFonts w:eastAsia="宋体"/>
          <w:color w:val="auto"/>
          <w:sz w:val="24"/>
          <w:szCs w:val="24"/>
          <w:highlight w:val="none"/>
        </w:rPr>
        <w:fldChar w:fldCharType="end"/>
      </w:r>
      <w:r>
        <w:rPr>
          <w:rFonts w:eastAsia="宋体"/>
          <w:color w:val="auto"/>
          <w:sz w:val="24"/>
          <w:szCs w:val="24"/>
          <w:highlight w:val="none"/>
        </w:rPr>
        <w:noBreakHyphen/>
      </w:r>
      <w:r>
        <w:rPr>
          <w:rFonts w:eastAsia="宋体"/>
          <w:color w:val="auto"/>
          <w:sz w:val="24"/>
          <w:szCs w:val="24"/>
          <w:highlight w:val="none"/>
        </w:rPr>
        <w:fldChar w:fldCharType="begin"/>
      </w:r>
      <w:r>
        <w:rPr>
          <w:rFonts w:eastAsia="宋体"/>
          <w:color w:val="auto"/>
          <w:sz w:val="24"/>
          <w:szCs w:val="24"/>
          <w:highlight w:val="none"/>
        </w:rPr>
        <w:instrText xml:space="preserve"> SEQ 表 \* ARABIC \s 2 </w:instrText>
      </w:r>
      <w:r>
        <w:rPr>
          <w:rFonts w:eastAsia="宋体"/>
          <w:color w:val="auto"/>
          <w:sz w:val="24"/>
          <w:szCs w:val="24"/>
          <w:highlight w:val="none"/>
        </w:rPr>
        <w:fldChar w:fldCharType="separate"/>
      </w:r>
      <w:r>
        <w:rPr>
          <w:rFonts w:eastAsia="宋体"/>
          <w:color w:val="auto"/>
          <w:sz w:val="24"/>
          <w:szCs w:val="24"/>
          <w:highlight w:val="none"/>
        </w:rPr>
        <w:t>2</w:t>
      </w:r>
      <w:r>
        <w:rPr>
          <w:rFonts w:eastAsia="宋体"/>
          <w:color w:val="auto"/>
          <w:sz w:val="24"/>
          <w:szCs w:val="24"/>
          <w:highlight w:val="none"/>
        </w:rPr>
        <w:fldChar w:fldCharType="end"/>
      </w:r>
      <w:r>
        <w:rPr>
          <w:rFonts w:eastAsia="宋体"/>
          <w:color w:val="auto"/>
          <w:spacing w:val="6"/>
          <w:sz w:val="24"/>
          <w:szCs w:val="24"/>
          <w:highlight w:val="none"/>
        </w:rPr>
        <w:t>本项目危险废物贮存场所（设施）基本情况表</w:t>
      </w:r>
    </w:p>
    <w:tbl>
      <w:tblPr>
        <w:tblStyle w:val="45"/>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426"/>
        <w:gridCol w:w="687"/>
        <w:gridCol w:w="1360"/>
        <w:gridCol w:w="873"/>
        <w:gridCol w:w="1270"/>
        <w:gridCol w:w="579"/>
        <w:gridCol w:w="808"/>
        <w:gridCol w:w="1119"/>
        <w:gridCol w:w="728"/>
        <w:gridCol w:w="871"/>
      </w:tblGrid>
      <w:tr w14:paraId="0462262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426" w:type="dxa"/>
            <w:vAlign w:val="center"/>
          </w:tcPr>
          <w:p w14:paraId="1BF98241">
            <w:pPr>
              <w:topLinePunct/>
              <w:ind w:left="-105" w:right="-105"/>
              <w:jc w:val="center"/>
              <w:rPr>
                <w:rFonts w:ascii="Times New Roman" w:hAnsi="Times New Roman" w:cs="Times New Roman"/>
                <w:b/>
                <w:color w:val="auto"/>
                <w:sz w:val="21"/>
                <w:szCs w:val="21"/>
                <w:highlight w:val="none"/>
              </w:rPr>
            </w:pPr>
            <w:r>
              <w:rPr>
                <w:rFonts w:ascii="Times New Roman" w:hAnsi="Times New Roman" w:cs="Times New Roman"/>
                <w:b/>
                <w:color w:val="auto"/>
                <w:sz w:val="21"/>
                <w:szCs w:val="21"/>
                <w:highlight w:val="none"/>
              </w:rPr>
              <w:t>序号</w:t>
            </w:r>
          </w:p>
        </w:tc>
        <w:tc>
          <w:tcPr>
            <w:tcW w:w="687" w:type="dxa"/>
            <w:vAlign w:val="center"/>
          </w:tcPr>
          <w:p w14:paraId="6B4B5AD2">
            <w:pPr>
              <w:topLinePunct/>
              <w:ind w:left="-105" w:right="-105"/>
              <w:jc w:val="center"/>
              <w:rPr>
                <w:rFonts w:ascii="Times New Roman" w:hAnsi="Times New Roman" w:cs="Times New Roman"/>
                <w:b/>
                <w:color w:val="auto"/>
                <w:sz w:val="21"/>
                <w:szCs w:val="21"/>
                <w:highlight w:val="none"/>
              </w:rPr>
            </w:pPr>
            <w:r>
              <w:rPr>
                <w:rFonts w:ascii="Times New Roman" w:hAnsi="Times New Roman" w:cs="Times New Roman"/>
                <w:b/>
                <w:color w:val="auto"/>
                <w:sz w:val="21"/>
                <w:szCs w:val="21"/>
                <w:highlight w:val="none"/>
              </w:rPr>
              <w:t>贮存场所</w:t>
            </w:r>
          </w:p>
          <w:p w14:paraId="53C8290A">
            <w:pPr>
              <w:topLinePunct/>
              <w:ind w:left="-105" w:right="-105"/>
              <w:jc w:val="center"/>
              <w:rPr>
                <w:rFonts w:ascii="Times New Roman" w:hAnsi="Times New Roman" w:cs="Times New Roman"/>
                <w:b/>
                <w:color w:val="auto"/>
                <w:sz w:val="21"/>
                <w:szCs w:val="21"/>
                <w:highlight w:val="none"/>
              </w:rPr>
            </w:pPr>
            <w:r>
              <w:rPr>
                <w:rFonts w:ascii="Times New Roman" w:hAnsi="Times New Roman" w:cs="Times New Roman"/>
                <w:b/>
                <w:color w:val="auto"/>
                <w:sz w:val="21"/>
                <w:szCs w:val="21"/>
                <w:highlight w:val="none"/>
              </w:rPr>
              <w:t>名称</w:t>
            </w:r>
          </w:p>
        </w:tc>
        <w:tc>
          <w:tcPr>
            <w:tcW w:w="1360" w:type="dxa"/>
            <w:vAlign w:val="center"/>
          </w:tcPr>
          <w:p w14:paraId="249B7712">
            <w:pPr>
              <w:topLinePunct/>
              <w:ind w:left="-105" w:right="-105"/>
              <w:jc w:val="center"/>
              <w:rPr>
                <w:rFonts w:ascii="Times New Roman" w:hAnsi="Times New Roman" w:cs="Times New Roman"/>
                <w:b/>
                <w:color w:val="auto"/>
                <w:sz w:val="21"/>
                <w:szCs w:val="21"/>
                <w:highlight w:val="none"/>
              </w:rPr>
            </w:pPr>
            <w:r>
              <w:rPr>
                <w:rFonts w:ascii="Times New Roman" w:hAnsi="Times New Roman" w:cs="Times New Roman"/>
                <w:b/>
                <w:color w:val="auto"/>
                <w:sz w:val="21"/>
                <w:szCs w:val="21"/>
                <w:highlight w:val="none"/>
              </w:rPr>
              <w:t>危险废物名称</w:t>
            </w:r>
          </w:p>
        </w:tc>
        <w:tc>
          <w:tcPr>
            <w:tcW w:w="873" w:type="dxa"/>
            <w:vAlign w:val="center"/>
          </w:tcPr>
          <w:p w14:paraId="2C21D815">
            <w:pPr>
              <w:pStyle w:val="98"/>
              <w:autoSpaceDE/>
              <w:autoSpaceDN/>
              <w:adjustRightInd w:val="0"/>
              <w:snapToGrid w:val="0"/>
              <w:ind w:left="-105" w:right="-105"/>
              <w:rPr>
                <w:b/>
                <w:color w:val="auto"/>
                <w:sz w:val="21"/>
                <w:szCs w:val="21"/>
                <w:highlight w:val="none"/>
              </w:rPr>
            </w:pPr>
            <w:r>
              <w:rPr>
                <w:rFonts w:eastAsia="宋体"/>
                <w:b/>
                <w:bCs/>
                <w:color w:val="auto"/>
                <w:sz w:val="21"/>
                <w:szCs w:val="21"/>
                <w:highlight w:val="none"/>
              </w:rPr>
              <w:t>废物类别</w:t>
            </w:r>
          </w:p>
        </w:tc>
        <w:tc>
          <w:tcPr>
            <w:tcW w:w="1270" w:type="dxa"/>
            <w:vAlign w:val="center"/>
          </w:tcPr>
          <w:p w14:paraId="29AD724C">
            <w:pPr>
              <w:pStyle w:val="98"/>
              <w:autoSpaceDE/>
              <w:autoSpaceDN/>
              <w:adjustRightInd w:val="0"/>
              <w:snapToGrid w:val="0"/>
              <w:ind w:left="-105" w:right="-105"/>
              <w:rPr>
                <w:b/>
                <w:color w:val="auto"/>
                <w:sz w:val="21"/>
                <w:szCs w:val="21"/>
                <w:highlight w:val="none"/>
              </w:rPr>
            </w:pPr>
            <w:r>
              <w:rPr>
                <w:rFonts w:eastAsia="宋体"/>
                <w:b/>
                <w:bCs/>
                <w:color w:val="auto"/>
                <w:sz w:val="21"/>
                <w:szCs w:val="21"/>
                <w:highlight w:val="none"/>
              </w:rPr>
              <w:t>废物代码</w:t>
            </w:r>
          </w:p>
        </w:tc>
        <w:tc>
          <w:tcPr>
            <w:tcW w:w="579" w:type="dxa"/>
            <w:vAlign w:val="center"/>
          </w:tcPr>
          <w:p w14:paraId="4183DACE">
            <w:pPr>
              <w:topLinePunct/>
              <w:ind w:left="-105" w:right="-105"/>
              <w:jc w:val="center"/>
              <w:rPr>
                <w:rFonts w:ascii="Times New Roman" w:hAnsi="Times New Roman" w:cs="Times New Roman"/>
                <w:b/>
                <w:color w:val="auto"/>
                <w:sz w:val="21"/>
                <w:szCs w:val="21"/>
                <w:highlight w:val="none"/>
              </w:rPr>
            </w:pPr>
            <w:r>
              <w:rPr>
                <w:rFonts w:ascii="Times New Roman" w:hAnsi="Times New Roman" w:cs="Times New Roman"/>
                <w:b/>
                <w:color w:val="auto"/>
                <w:sz w:val="21"/>
                <w:szCs w:val="21"/>
                <w:highlight w:val="none"/>
              </w:rPr>
              <w:t>位置</w:t>
            </w:r>
          </w:p>
        </w:tc>
        <w:tc>
          <w:tcPr>
            <w:tcW w:w="808" w:type="dxa"/>
            <w:vAlign w:val="center"/>
          </w:tcPr>
          <w:p w14:paraId="0420097A">
            <w:pPr>
              <w:topLinePunct/>
              <w:ind w:left="-105" w:right="-105"/>
              <w:jc w:val="center"/>
              <w:rPr>
                <w:rFonts w:ascii="Times New Roman" w:hAnsi="Times New Roman" w:cs="Times New Roman"/>
                <w:b/>
                <w:color w:val="auto"/>
                <w:sz w:val="21"/>
                <w:szCs w:val="21"/>
                <w:highlight w:val="none"/>
              </w:rPr>
            </w:pPr>
            <w:r>
              <w:rPr>
                <w:rFonts w:ascii="Times New Roman" w:hAnsi="Times New Roman" w:cs="Times New Roman"/>
                <w:b/>
                <w:color w:val="auto"/>
                <w:sz w:val="21"/>
                <w:szCs w:val="21"/>
                <w:highlight w:val="none"/>
              </w:rPr>
              <w:t>占地面积</w:t>
            </w:r>
          </w:p>
        </w:tc>
        <w:tc>
          <w:tcPr>
            <w:tcW w:w="1119" w:type="dxa"/>
            <w:vAlign w:val="center"/>
          </w:tcPr>
          <w:p w14:paraId="7AA978FD">
            <w:pPr>
              <w:topLinePunct/>
              <w:ind w:left="-105" w:right="-105"/>
              <w:jc w:val="center"/>
              <w:rPr>
                <w:rFonts w:ascii="Times New Roman" w:hAnsi="Times New Roman" w:cs="Times New Roman"/>
                <w:b/>
                <w:color w:val="auto"/>
                <w:sz w:val="21"/>
                <w:szCs w:val="21"/>
                <w:highlight w:val="none"/>
              </w:rPr>
            </w:pPr>
            <w:r>
              <w:rPr>
                <w:rFonts w:ascii="Times New Roman" w:hAnsi="Times New Roman" w:cs="Times New Roman"/>
                <w:b/>
                <w:color w:val="auto"/>
                <w:sz w:val="21"/>
                <w:szCs w:val="21"/>
                <w:highlight w:val="none"/>
              </w:rPr>
              <w:t>贮存方式</w:t>
            </w:r>
          </w:p>
        </w:tc>
        <w:tc>
          <w:tcPr>
            <w:tcW w:w="728" w:type="dxa"/>
            <w:vAlign w:val="center"/>
          </w:tcPr>
          <w:p w14:paraId="42662FA9">
            <w:pPr>
              <w:topLinePunct/>
              <w:ind w:left="-105" w:right="-105"/>
              <w:jc w:val="center"/>
              <w:rPr>
                <w:rFonts w:ascii="Times New Roman" w:hAnsi="Times New Roman" w:cs="Times New Roman"/>
                <w:b/>
                <w:color w:val="auto"/>
                <w:sz w:val="21"/>
                <w:szCs w:val="21"/>
                <w:highlight w:val="none"/>
              </w:rPr>
            </w:pPr>
            <w:r>
              <w:rPr>
                <w:rFonts w:ascii="Times New Roman" w:hAnsi="Times New Roman" w:cs="Times New Roman"/>
                <w:b/>
                <w:color w:val="auto"/>
                <w:sz w:val="21"/>
                <w:szCs w:val="21"/>
                <w:highlight w:val="none"/>
              </w:rPr>
              <w:t>贮存</w:t>
            </w:r>
          </w:p>
          <w:p w14:paraId="6E7B90E1">
            <w:pPr>
              <w:topLinePunct/>
              <w:ind w:left="-105" w:right="-105"/>
              <w:jc w:val="center"/>
              <w:rPr>
                <w:rFonts w:ascii="Times New Roman" w:hAnsi="Times New Roman" w:cs="Times New Roman"/>
                <w:b/>
                <w:color w:val="auto"/>
                <w:sz w:val="21"/>
                <w:szCs w:val="21"/>
                <w:highlight w:val="none"/>
              </w:rPr>
            </w:pPr>
            <w:r>
              <w:rPr>
                <w:rFonts w:ascii="Times New Roman" w:hAnsi="Times New Roman" w:cs="Times New Roman"/>
                <w:b/>
                <w:color w:val="auto"/>
                <w:sz w:val="21"/>
                <w:szCs w:val="21"/>
                <w:highlight w:val="none"/>
              </w:rPr>
              <w:t>能力</w:t>
            </w:r>
          </w:p>
        </w:tc>
        <w:tc>
          <w:tcPr>
            <w:tcW w:w="871" w:type="dxa"/>
            <w:vAlign w:val="center"/>
          </w:tcPr>
          <w:p w14:paraId="30A48355">
            <w:pPr>
              <w:topLinePunct/>
              <w:ind w:left="-105" w:right="-105"/>
              <w:jc w:val="center"/>
              <w:rPr>
                <w:rFonts w:ascii="Times New Roman" w:hAnsi="Times New Roman" w:cs="Times New Roman"/>
                <w:b/>
                <w:color w:val="auto"/>
                <w:sz w:val="21"/>
                <w:szCs w:val="21"/>
                <w:highlight w:val="none"/>
              </w:rPr>
            </w:pPr>
            <w:r>
              <w:rPr>
                <w:rFonts w:ascii="Times New Roman" w:hAnsi="Times New Roman" w:cs="Times New Roman"/>
                <w:b/>
                <w:color w:val="auto"/>
                <w:sz w:val="21"/>
                <w:szCs w:val="21"/>
                <w:highlight w:val="none"/>
              </w:rPr>
              <w:t>贮存</w:t>
            </w:r>
          </w:p>
          <w:p w14:paraId="5B4E26E5">
            <w:pPr>
              <w:topLinePunct/>
              <w:ind w:left="-105" w:right="-105"/>
              <w:jc w:val="center"/>
              <w:rPr>
                <w:rFonts w:ascii="Times New Roman" w:hAnsi="Times New Roman" w:cs="Times New Roman"/>
                <w:b/>
                <w:color w:val="auto"/>
                <w:sz w:val="21"/>
                <w:szCs w:val="21"/>
                <w:highlight w:val="none"/>
              </w:rPr>
            </w:pPr>
            <w:r>
              <w:rPr>
                <w:rFonts w:ascii="Times New Roman" w:hAnsi="Times New Roman" w:cs="Times New Roman"/>
                <w:b/>
                <w:color w:val="auto"/>
                <w:sz w:val="21"/>
                <w:szCs w:val="21"/>
                <w:highlight w:val="none"/>
              </w:rPr>
              <w:t>周期</w:t>
            </w:r>
          </w:p>
        </w:tc>
      </w:tr>
      <w:tr w14:paraId="7BDEF0A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26" w:type="dxa"/>
            <w:vAlign w:val="center"/>
          </w:tcPr>
          <w:p w14:paraId="0EC76CCD">
            <w:pPr>
              <w:numPr>
                <w:ilvl w:val="0"/>
                <w:numId w:val="34"/>
              </w:numPr>
              <w:topLinePunct/>
              <w:ind w:left="-105" w:right="-105"/>
              <w:jc w:val="center"/>
              <w:rPr>
                <w:rFonts w:ascii="Times New Roman" w:hAnsi="Times New Roman" w:cs="Times New Roman"/>
                <w:bCs/>
                <w:color w:val="auto"/>
                <w:sz w:val="21"/>
                <w:szCs w:val="21"/>
                <w:highlight w:val="none"/>
              </w:rPr>
            </w:pPr>
          </w:p>
        </w:tc>
        <w:tc>
          <w:tcPr>
            <w:tcW w:w="687" w:type="dxa"/>
            <w:vMerge w:val="restart"/>
            <w:vAlign w:val="center"/>
          </w:tcPr>
          <w:p w14:paraId="5780B44D">
            <w:pPr>
              <w:topLinePunct/>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危废仓库</w:t>
            </w:r>
          </w:p>
        </w:tc>
        <w:tc>
          <w:tcPr>
            <w:tcW w:w="1360" w:type="dxa"/>
            <w:vAlign w:val="center"/>
          </w:tcPr>
          <w:p w14:paraId="318F42C6">
            <w:pPr>
              <w:pStyle w:val="98"/>
              <w:autoSpaceDE/>
              <w:autoSpaceDN/>
              <w:adjustRightInd w:val="0"/>
              <w:snapToGrid w:val="0"/>
              <w:ind w:left="-105" w:right="-105"/>
              <w:rPr>
                <w:b/>
                <w:color w:val="auto"/>
                <w:sz w:val="21"/>
                <w:szCs w:val="21"/>
                <w:highlight w:val="none"/>
              </w:rPr>
            </w:pPr>
            <w:r>
              <w:rPr>
                <w:rFonts w:hint="eastAsia"/>
                <w:color w:val="auto"/>
                <w:sz w:val="21"/>
                <w:szCs w:val="18"/>
                <w:highlight w:val="none"/>
                <w:lang w:val="en-US"/>
              </w:rPr>
              <w:t>废滤芯</w:t>
            </w:r>
          </w:p>
        </w:tc>
        <w:tc>
          <w:tcPr>
            <w:tcW w:w="873" w:type="dxa"/>
            <w:vAlign w:val="center"/>
          </w:tcPr>
          <w:p w14:paraId="3E0CFFFD">
            <w:pPr>
              <w:pStyle w:val="98"/>
              <w:autoSpaceDE/>
              <w:autoSpaceDN/>
              <w:adjustRightInd w:val="0"/>
              <w:snapToGrid w:val="0"/>
              <w:ind w:left="-105" w:right="-105"/>
              <w:rPr>
                <w:b/>
                <w:color w:val="auto"/>
                <w:sz w:val="21"/>
                <w:szCs w:val="21"/>
                <w:highlight w:val="none"/>
              </w:rPr>
            </w:pPr>
            <w:r>
              <w:rPr>
                <w:rFonts w:eastAsia="宋体"/>
                <w:color w:val="auto"/>
                <w:sz w:val="21"/>
                <w:szCs w:val="21"/>
                <w:highlight w:val="none"/>
                <w:lang w:val="en-US"/>
              </w:rPr>
              <w:t>HW49</w:t>
            </w:r>
          </w:p>
        </w:tc>
        <w:tc>
          <w:tcPr>
            <w:tcW w:w="1270" w:type="dxa"/>
            <w:vAlign w:val="center"/>
          </w:tcPr>
          <w:p w14:paraId="4F6F9B99">
            <w:pPr>
              <w:pStyle w:val="98"/>
              <w:autoSpaceDE/>
              <w:autoSpaceDN/>
              <w:adjustRightInd w:val="0"/>
              <w:snapToGrid w:val="0"/>
              <w:ind w:left="-105" w:right="-105"/>
              <w:rPr>
                <w:b/>
                <w:color w:val="auto"/>
                <w:sz w:val="21"/>
                <w:szCs w:val="21"/>
                <w:highlight w:val="none"/>
              </w:rPr>
            </w:pPr>
            <w:r>
              <w:rPr>
                <w:rFonts w:eastAsia="宋体"/>
                <w:color w:val="auto"/>
                <w:sz w:val="21"/>
                <w:szCs w:val="21"/>
                <w:highlight w:val="none"/>
                <w:lang w:val="en-US"/>
              </w:rPr>
              <w:t>900-041-49</w:t>
            </w:r>
          </w:p>
        </w:tc>
        <w:tc>
          <w:tcPr>
            <w:tcW w:w="579" w:type="dxa"/>
            <w:vMerge w:val="restart"/>
            <w:vAlign w:val="center"/>
          </w:tcPr>
          <w:p w14:paraId="6AA57227">
            <w:pPr>
              <w:topLinePunct/>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厂区东侧</w:t>
            </w:r>
          </w:p>
        </w:tc>
        <w:tc>
          <w:tcPr>
            <w:tcW w:w="808" w:type="dxa"/>
            <w:vMerge w:val="restart"/>
            <w:vAlign w:val="center"/>
          </w:tcPr>
          <w:p w14:paraId="02F98F41">
            <w:pPr>
              <w:topLinePunct/>
              <w:ind w:left="-105" w:right="-105"/>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50</w:t>
            </w:r>
            <w:r>
              <w:rPr>
                <w:rFonts w:ascii="Times New Roman" w:hAnsi="Times New Roman" w:cs="Times New Roman"/>
                <w:color w:val="auto"/>
                <w:sz w:val="21"/>
                <w:szCs w:val="21"/>
                <w:highlight w:val="none"/>
              </w:rPr>
              <w:t>m</w:t>
            </w:r>
            <w:r>
              <w:rPr>
                <w:rFonts w:ascii="Times New Roman" w:hAnsi="Times New Roman" w:cs="Times New Roman"/>
                <w:color w:val="auto"/>
                <w:sz w:val="21"/>
                <w:szCs w:val="21"/>
                <w:highlight w:val="none"/>
                <w:vertAlign w:val="superscript"/>
              </w:rPr>
              <w:t>2</w:t>
            </w:r>
          </w:p>
        </w:tc>
        <w:tc>
          <w:tcPr>
            <w:tcW w:w="1119" w:type="dxa"/>
            <w:vAlign w:val="center"/>
          </w:tcPr>
          <w:p w14:paraId="5DEBA1F3">
            <w:pPr>
              <w:topLinePunct/>
              <w:ind w:left="-105" w:right="-105"/>
              <w:jc w:val="center"/>
              <w:rPr>
                <w:rFonts w:ascii="Times New Roman" w:hAnsi="Times New Roman" w:cs="Times New Roman"/>
                <w:b/>
                <w:color w:val="auto"/>
                <w:sz w:val="21"/>
                <w:szCs w:val="21"/>
                <w:highlight w:val="none"/>
              </w:rPr>
            </w:pPr>
            <w:r>
              <w:rPr>
                <w:rFonts w:ascii="Times New Roman" w:hAnsi="Times New Roman" w:cs="Times New Roman"/>
                <w:color w:val="auto"/>
                <w:sz w:val="21"/>
                <w:szCs w:val="21"/>
                <w:highlight w:val="none"/>
              </w:rPr>
              <w:t>吨袋暂存</w:t>
            </w:r>
          </w:p>
        </w:tc>
        <w:tc>
          <w:tcPr>
            <w:tcW w:w="728" w:type="dxa"/>
            <w:vAlign w:val="center"/>
          </w:tcPr>
          <w:p w14:paraId="509D2266">
            <w:pPr>
              <w:topLinePunct/>
              <w:ind w:left="-105" w:right="-105"/>
              <w:jc w:val="center"/>
              <w:rPr>
                <w:rFonts w:ascii="Times New Roman" w:hAnsi="Times New Roman" w:cs="Times New Roman"/>
                <w:b/>
                <w:color w:val="auto"/>
                <w:sz w:val="21"/>
                <w:szCs w:val="21"/>
                <w:highlight w:val="none"/>
              </w:rPr>
            </w:pPr>
            <w:r>
              <w:rPr>
                <w:rFonts w:hint="eastAsia" w:ascii="Times New Roman" w:hAnsi="Times New Roman" w:cs="Times New Roman"/>
                <w:bCs/>
                <w:color w:val="auto"/>
                <w:sz w:val="21"/>
                <w:szCs w:val="21"/>
                <w:highlight w:val="none"/>
              </w:rPr>
              <w:t>1.25</w:t>
            </w:r>
          </w:p>
        </w:tc>
        <w:tc>
          <w:tcPr>
            <w:tcW w:w="871" w:type="dxa"/>
            <w:vAlign w:val="center"/>
          </w:tcPr>
          <w:p w14:paraId="38AD1192">
            <w:pPr>
              <w:topLinePunct/>
              <w:ind w:left="-105" w:right="-105"/>
              <w:jc w:val="center"/>
              <w:rPr>
                <w:rFonts w:ascii="Times New Roman" w:hAnsi="Times New Roman" w:cs="Times New Roman"/>
                <w:b/>
                <w:color w:val="auto"/>
                <w:sz w:val="21"/>
                <w:szCs w:val="21"/>
                <w:highlight w:val="none"/>
              </w:rPr>
            </w:pPr>
            <w:r>
              <w:rPr>
                <w:rFonts w:ascii="Times New Roman" w:hAnsi="Times New Roman" w:cs="Times New Roman"/>
                <w:color w:val="auto"/>
                <w:sz w:val="21"/>
                <w:szCs w:val="21"/>
                <w:highlight w:val="none"/>
              </w:rPr>
              <w:t>1个月</w:t>
            </w:r>
          </w:p>
        </w:tc>
      </w:tr>
      <w:tr w14:paraId="63B6C82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26" w:type="dxa"/>
            <w:vAlign w:val="center"/>
          </w:tcPr>
          <w:p w14:paraId="50B71D52">
            <w:pPr>
              <w:numPr>
                <w:ilvl w:val="0"/>
                <w:numId w:val="34"/>
              </w:numPr>
              <w:topLinePunct/>
              <w:ind w:left="-105" w:right="-105"/>
              <w:jc w:val="center"/>
              <w:rPr>
                <w:rFonts w:ascii="Times New Roman" w:hAnsi="Times New Roman" w:cs="Times New Roman"/>
                <w:bCs/>
                <w:color w:val="auto"/>
                <w:sz w:val="21"/>
                <w:szCs w:val="21"/>
                <w:highlight w:val="none"/>
              </w:rPr>
            </w:pPr>
          </w:p>
        </w:tc>
        <w:tc>
          <w:tcPr>
            <w:tcW w:w="687" w:type="dxa"/>
            <w:vMerge w:val="continue"/>
            <w:vAlign w:val="center"/>
          </w:tcPr>
          <w:p w14:paraId="5FFF311F">
            <w:pPr>
              <w:topLinePunct/>
              <w:ind w:left="-105" w:right="-105"/>
              <w:jc w:val="center"/>
              <w:rPr>
                <w:rFonts w:ascii="Times New Roman" w:hAnsi="Times New Roman" w:cs="Times New Roman"/>
                <w:color w:val="auto"/>
                <w:sz w:val="21"/>
                <w:szCs w:val="21"/>
                <w:highlight w:val="none"/>
              </w:rPr>
            </w:pPr>
          </w:p>
        </w:tc>
        <w:tc>
          <w:tcPr>
            <w:tcW w:w="1360" w:type="dxa"/>
            <w:vAlign w:val="center"/>
          </w:tcPr>
          <w:p w14:paraId="43BE5D2E">
            <w:pPr>
              <w:ind w:left="-105" w:leftChars="0" w:right="-105" w:rightChars="0"/>
              <w:jc w:val="center"/>
              <w:rPr>
                <w:rFonts w:hint="eastAsia" w:ascii="Times New Roman" w:hAnsi="Times New Roman" w:eastAsia="宋体" w:cs="Times New Roman"/>
                <w:color w:val="auto"/>
                <w:sz w:val="21"/>
                <w:szCs w:val="21"/>
                <w:highlight w:val="none"/>
                <w:lang w:val="en-US" w:eastAsia="zh-CN" w:bidi="ar-SA"/>
              </w:rPr>
            </w:pPr>
            <w:r>
              <w:rPr>
                <w:rFonts w:hint="eastAsia" w:ascii="Times New Roman" w:hAnsi="Times New Roman" w:cs="Times New Roman"/>
                <w:color w:val="auto"/>
                <w:sz w:val="21"/>
                <w:szCs w:val="21"/>
                <w:highlight w:val="none"/>
              </w:rPr>
              <w:t>实验废液</w:t>
            </w:r>
          </w:p>
        </w:tc>
        <w:tc>
          <w:tcPr>
            <w:tcW w:w="873" w:type="dxa"/>
            <w:vAlign w:val="center"/>
          </w:tcPr>
          <w:p w14:paraId="18FDB603">
            <w:pPr>
              <w:pStyle w:val="98"/>
              <w:autoSpaceDE/>
              <w:autoSpaceDN/>
              <w:adjustRightInd w:val="0"/>
              <w:snapToGrid w:val="0"/>
              <w:ind w:left="-105" w:leftChars="0" w:right="-105" w:rightChars="0"/>
              <w:rPr>
                <w:rFonts w:ascii="Times New Roman" w:hAnsi="Times New Roman" w:eastAsia="Times New Roman" w:cs="Times New Roman"/>
                <w:color w:val="auto"/>
                <w:sz w:val="21"/>
                <w:szCs w:val="21"/>
                <w:highlight w:val="none"/>
                <w:lang w:val="en-US" w:eastAsia="zh-CN" w:bidi="zh-CN"/>
              </w:rPr>
            </w:pPr>
            <w:r>
              <w:rPr>
                <w:rFonts w:eastAsia="宋体"/>
                <w:color w:val="auto"/>
                <w:sz w:val="21"/>
                <w:szCs w:val="21"/>
                <w:highlight w:val="none"/>
                <w:lang w:val="en-US"/>
              </w:rPr>
              <w:t>HW49</w:t>
            </w:r>
          </w:p>
        </w:tc>
        <w:tc>
          <w:tcPr>
            <w:tcW w:w="1270" w:type="dxa"/>
            <w:vAlign w:val="center"/>
          </w:tcPr>
          <w:p w14:paraId="690AF43D">
            <w:pPr>
              <w:pStyle w:val="98"/>
              <w:autoSpaceDE/>
              <w:autoSpaceDN/>
              <w:adjustRightInd w:val="0"/>
              <w:snapToGrid w:val="0"/>
              <w:ind w:left="-105" w:leftChars="0" w:right="-105" w:rightChars="0"/>
              <w:rPr>
                <w:rFonts w:ascii="Times New Roman" w:hAnsi="Times New Roman" w:eastAsia="Times New Roman" w:cs="Times New Roman"/>
                <w:color w:val="auto"/>
                <w:sz w:val="21"/>
                <w:szCs w:val="21"/>
                <w:highlight w:val="none"/>
                <w:lang w:val="en-US" w:eastAsia="zh-CN" w:bidi="zh-CN"/>
              </w:rPr>
            </w:pPr>
            <w:r>
              <w:rPr>
                <w:rFonts w:eastAsia="宋体"/>
                <w:color w:val="auto"/>
                <w:sz w:val="21"/>
                <w:szCs w:val="21"/>
                <w:highlight w:val="none"/>
                <w:lang w:val="en-US"/>
              </w:rPr>
              <w:t>900-04</w:t>
            </w:r>
            <w:r>
              <w:rPr>
                <w:rFonts w:hint="eastAsia" w:eastAsia="宋体"/>
                <w:color w:val="auto"/>
                <w:sz w:val="21"/>
                <w:szCs w:val="21"/>
                <w:highlight w:val="none"/>
                <w:lang w:val="en-US"/>
              </w:rPr>
              <w:t>7</w:t>
            </w:r>
            <w:r>
              <w:rPr>
                <w:rFonts w:eastAsia="宋体"/>
                <w:color w:val="auto"/>
                <w:sz w:val="21"/>
                <w:szCs w:val="21"/>
                <w:highlight w:val="none"/>
                <w:lang w:val="en-US"/>
              </w:rPr>
              <w:t>-49</w:t>
            </w:r>
          </w:p>
        </w:tc>
        <w:tc>
          <w:tcPr>
            <w:tcW w:w="579" w:type="dxa"/>
            <w:vMerge w:val="continue"/>
            <w:vAlign w:val="center"/>
          </w:tcPr>
          <w:p w14:paraId="3E9903F5">
            <w:pPr>
              <w:topLinePunct/>
              <w:ind w:left="-105" w:right="-105"/>
              <w:jc w:val="center"/>
              <w:rPr>
                <w:rFonts w:ascii="Times New Roman" w:hAnsi="Times New Roman" w:cs="Times New Roman"/>
                <w:color w:val="auto"/>
                <w:sz w:val="21"/>
                <w:szCs w:val="21"/>
                <w:highlight w:val="none"/>
              </w:rPr>
            </w:pPr>
          </w:p>
        </w:tc>
        <w:tc>
          <w:tcPr>
            <w:tcW w:w="808" w:type="dxa"/>
            <w:vMerge w:val="continue"/>
            <w:vAlign w:val="center"/>
          </w:tcPr>
          <w:p w14:paraId="30853704">
            <w:pPr>
              <w:topLinePunct/>
              <w:ind w:left="-105" w:right="-105"/>
              <w:jc w:val="center"/>
              <w:rPr>
                <w:rFonts w:hint="eastAsia" w:ascii="Times New Roman" w:hAnsi="Times New Roman" w:cs="Times New Roman"/>
                <w:color w:val="auto"/>
                <w:sz w:val="21"/>
                <w:szCs w:val="21"/>
                <w:highlight w:val="none"/>
              </w:rPr>
            </w:pPr>
          </w:p>
        </w:tc>
        <w:tc>
          <w:tcPr>
            <w:tcW w:w="1119" w:type="dxa"/>
            <w:vAlign w:val="center"/>
          </w:tcPr>
          <w:p w14:paraId="7505AF76">
            <w:pPr>
              <w:topLinePunct/>
              <w:ind w:left="-105" w:right="-105"/>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包装桶暂存</w:t>
            </w:r>
          </w:p>
        </w:tc>
        <w:tc>
          <w:tcPr>
            <w:tcW w:w="728" w:type="dxa"/>
            <w:vAlign w:val="center"/>
          </w:tcPr>
          <w:p w14:paraId="1987A4B1">
            <w:pPr>
              <w:topLinePunct/>
              <w:ind w:left="-105" w:right="-105"/>
              <w:jc w:val="center"/>
              <w:rPr>
                <w:rFonts w:hint="default" w:ascii="Times New Roman" w:hAnsi="Times New Roman" w:eastAsia="宋体" w:cs="Times New Roman"/>
                <w:bCs/>
                <w:color w:val="auto"/>
                <w:sz w:val="21"/>
                <w:szCs w:val="21"/>
                <w:highlight w:val="none"/>
                <w:lang w:val="en-US" w:eastAsia="zh-CN"/>
              </w:rPr>
            </w:pPr>
            <w:r>
              <w:rPr>
                <w:rFonts w:hint="eastAsia" w:ascii="Times New Roman" w:hAnsi="Times New Roman" w:cs="Times New Roman"/>
                <w:bCs/>
                <w:color w:val="auto"/>
                <w:sz w:val="21"/>
                <w:szCs w:val="21"/>
                <w:highlight w:val="none"/>
                <w:lang w:val="en-US" w:eastAsia="zh-CN"/>
              </w:rPr>
              <w:t>0.02</w:t>
            </w:r>
          </w:p>
        </w:tc>
        <w:tc>
          <w:tcPr>
            <w:tcW w:w="871" w:type="dxa"/>
            <w:vAlign w:val="center"/>
          </w:tcPr>
          <w:p w14:paraId="31586F32">
            <w:pPr>
              <w:topLinePunct/>
              <w:ind w:left="-105" w:right="-105"/>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6个月</w:t>
            </w:r>
          </w:p>
        </w:tc>
      </w:tr>
      <w:tr w14:paraId="2662DB9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26" w:type="dxa"/>
            <w:vAlign w:val="center"/>
          </w:tcPr>
          <w:p w14:paraId="15B358FC">
            <w:pPr>
              <w:pStyle w:val="97"/>
              <w:numPr>
                <w:ilvl w:val="0"/>
                <w:numId w:val="34"/>
              </w:numPr>
              <w:tabs>
                <w:tab w:val="left" w:pos="420"/>
              </w:tabs>
              <w:topLinePunct/>
              <w:ind w:left="-105" w:right="-105" w:firstLineChars="0"/>
              <w:jc w:val="center"/>
              <w:rPr>
                <w:rFonts w:eastAsia="宋体"/>
                <w:color w:val="auto"/>
                <w:sz w:val="21"/>
                <w:szCs w:val="21"/>
                <w:highlight w:val="none"/>
              </w:rPr>
            </w:pPr>
          </w:p>
        </w:tc>
        <w:tc>
          <w:tcPr>
            <w:tcW w:w="687" w:type="dxa"/>
            <w:vMerge w:val="continue"/>
            <w:vAlign w:val="center"/>
          </w:tcPr>
          <w:p w14:paraId="5FADA76F">
            <w:pPr>
              <w:topLinePunct/>
              <w:ind w:left="-105" w:right="-105"/>
              <w:jc w:val="center"/>
              <w:rPr>
                <w:rFonts w:ascii="Times New Roman" w:hAnsi="Times New Roman" w:cs="Times New Roman"/>
                <w:color w:val="auto"/>
                <w:sz w:val="21"/>
                <w:szCs w:val="21"/>
                <w:highlight w:val="none"/>
              </w:rPr>
            </w:pPr>
          </w:p>
        </w:tc>
        <w:tc>
          <w:tcPr>
            <w:tcW w:w="1360" w:type="dxa"/>
            <w:vAlign w:val="center"/>
          </w:tcPr>
          <w:p w14:paraId="1DC3E4B1">
            <w:pPr>
              <w:ind w:left="-105" w:right="-105"/>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18"/>
                <w:highlight w:val="none"/>
              </w:rPr>
              <w:t>废实验耗材</w:t>
            </w:r>
          </w:p>
        </w:tc>
        <w:tc>
          <w:tcPr>
            <w:tcW w:w="873" w:type="dxa"/>
            <w:vAlign w:val="center"/>
          </w:tcPr>
          <w:p w14:paraId="4FBC3A1D">
            <w:pPr>
              <w:pStyle w:val="98"/>
              <w:autoSpaceDE/>
              <w:autoSpaceDN/>
              <w:adjustRightInd w:val="0"/>
              <w:snapToGrid w:val="0"/>
              <w:ind w:left="-105" w:right="-105"/>
              <w:rPr>
                <w:color w:val="auto"/>
                <w:sz w:val="21"/>
                <w:szCs w:val="21"/>
                <w:highlight w:val="none"/>
              </w:rPr>
            </w:pPr>
            <w:r>
              <w:rPr>
                <w:rFonts w:eastAsia="宋体"/>
                <w:color w:val="auto"/>
                <w:sz w:val="21"/>
                <w:szCs w:val="21"/>
                <w:highlight w:val="none"/>
                <w:lang w:val="en-US"/>
              </w:rPr>
              <w:t>HW49</w:t>
            </w:r>
          </w:p>
        </w:tc>
        <w:tc>
          <w:tcPr>
            <w:tcW w:w="1270" w:type="dxa"/>
            <w:vAlign w:val="center"/>
          </w:tcPr>
          <w:p w14:paraId="2537624E">
            <w:pPr>
              <w:pStyle w:val="98"/>
              <w:autoSpaceDE/>
              <w:autoSpaceDN/>
              <w:adjustRightInd w:val="0"/>
              <w:snapToGrid w:val="0"/>
              <w:ind w:left="-105" w:right="-105"/>
              <w:rPr>
                <w:color w:val="auto"/>
                <w:sz w:val="21"/>
                <w:szCs w:val="21"/>
                <w:highlight w:val="none"/>
              </w:rPr>
            </w:pPr>
            <w:r>
              <w:rPr>
                <w:rFonts w:eastAsia="宋体"/>
                <w:color w:val="auto"/>
                <w:sz w:val="21"/>
                <w:szCs w:val="21"/>
                <w:highlight w:val="none"/>
                <w:lang w:val="en-US"/>
              </w:rPr>
              <w:t>900-04</w:t>
            </w:r>
            <w:r>
              <w:rPr>
                <w:rFonts w:hint="eastAsia" w:eastAsia="宋体"/>
                <w:color w:val="auto"/>
                <w:sz w:val="21"/>
                <w:szCs w:val="21"/>
                <w:highlight w:val="none"/>
                <w:lang w:val="en-US"/>
              </w:rPr>
              <w:t>7</w:t>
            </w:r>
            <w:r>
              <w:rPr>
                <w:rFonts w:eastAsia="宋体"/>
                <w:color w:val="auto"/>
                <w:sz w:val="21"/>
                <w:szCs w:val="21"/>
                <w:highlight w:val="none"/>
                <w:lang w:val="en-US"/>
              </w:rPr>
              <w:t>-49</w:t>
            </w:r>
          </w:p>
        </w:tc>
        <w:tc>
          <w:tcPr>
            <w:tcW w:w="579" w:type="dxa"/>
            <w:vMerge w:val="continue"/>
            <w:vAlign w:val="center"/>
          </w:tcPr>
          <w:p w14:paraId="0AC6BAD9">
            <w:pPr>
              <w:topLinePunct/>
              <w:ind w:left="-105" w:right="-105"/>
              <w:jc w:val="center"/>
              <w:rPr>
                <w:rFonts w:ascii="Times New Roman" w:hAnsi="Times New Roman" w:cs="Times New Roman"/>
                <w:color w:val="auto"/>
                <w:sz w:val="21"/>
                <w:szCs w:val="21"/>
                <w:highlight w:val="none"/>
              </w:rPr>
            </w:pPr>
          </w:p>
        </w:tc>
        <w:tc>
          <w:tcPr>
            <w:tcW w:w="808" w:type="dxa"/>
            <w:vMerge w:val="continue"/>
            <w:vAlign w:val="center"/>
          </w:tcPr>
          <w:p w14:paraId="35897688">
            <w:pPr>
              <w:topLinePunct/>
              <w:ind w:left="-105" w:right="-105"/>
              <w:jc w:val="center"/>
              <w:rPr>
                <w:rFonts w:ascii="Times New Roman" w:hAnsi="Times New Roman" w:cs="Times New Roman"/>
                <w:color w:val="auto"/>
                <w:sz w:val="21"/>
                <w:szCs w:val="21"/>
                <w:highlight w:val="none"/>
              </w:rPr>
            </w:pPr>
          </w:p>
        </w:tc>
        <w:tc>
          <w:tcPr>
            <w:tcW w:w="1119" w:type="dxa"/>
            <w:vAlign w:val="center"/>
          </w:tcPr>
          <w:p w14:paraId="5E0785DA">
            <w:pPr>
              <w:topLinePunct/>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吨袋暂存</w:t>
            </w:r>
          </w:p>
        </w:tc>
        <w:tc>
          <w:tcPr>
            <w:tcW w:w="728" w:type="dxa"/>
            <w:vAlign w:val="center"/>
          </w:tcPr>
          <w:p w14:paraId="5BEE0582">
            <w:pPr>
              <w:ind w:left="-105" w:right="-105"/>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0.5</w:t>
            </w:r>
          </w:p>
        </w:tc>
        <w:tc>
          <w:tcPr>
            <w:tcW w:w="871" w:type="dxa"/>
            <w:vAlign w:val="center"/>
          </w:tcPr>
          <w:p w14:paraId="7548E227">
            <w:pPr>
              <w:ind w:left="-60" w:leftChars="-25" w:right="-60" w:rightChars="-25"/>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lang w:val="en-US" w:eastAsia="zh-CN"/>
              </w:rPr>
              <w:t>3</w:t>
            </w:r>
            <w:r>
              <w:rPr>
                <w:rFonts w:ascii="Times New Roman" w:hAnsi="Times New Roman" w:cs="Times New Roman"/>
                <w:color w:val="auto"/>
                <w:sz w:val="21"/>
                <w:szCs w:val="21"/>
                <w:highlight w:val="none"/>
              </w:rPr>
              <w:t>个月</w:t>
            </w:r>
          </w:p>
        </w:tc>
      </w:tr>
      <w:tr w14:paraId="613AAF7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26" w:type="dxa"/>
            <w:vAlign w:val="center"/>
          </w:tcPr>
          <w:p w14:paraId="3343A29C">
            <w:pPr>
              <w:pStyle w:val="97"/>
              <w:numPr>
                <w:ilvl w:val="0"/>
                <w:numId w:val="34"/>
              </w:numPr>
              <w:tabs>
                <w:tab w:val="left" w:pos="420"/>
              </w:tabs>
              <w:topLinePunct/>
              <w:ind w:left="-105" w:right="-105" w:firstLineChars="0"/>
              <w:jc w:val="center"/>
              <w:rPr>
                <w:rFonts w:eastAsia="宋体"/>
                <w:color w:val="auto"/>
                <w:sz w:val="21"/>
                <w:szCs w:val="21"/>
                <w:highlight w:val="none"/>
              </w:rPr>
            </w:pPr>
          </w:p>
        </w:tc>
        <w:tc>
          <w:tcPr>
            <w:tcW w:w="687" w:type="dxa"/>
            <w:vMerge w:val="continue"/>
            <w:vAlign w:val="center"/>
          </w:tcPr>
          <w:p w14:paraId="2229414B">
            <w:pPr>
              <w:topLinePunct/>
              <w:ind w:left="-105" w:right="-105"/>
              <w:jc w:val="center"/>
              <w:rPr>
                <w:rFonts w:ascii="Times New Roman" w:hAnsi="Times New Roman" w:cs="Times New Roman"/>
                <w:color w:val="auto"/>
                <w:sz w:val="21"/>
                <w:szCs w:val="21"/>
                <w:highlight w:val="none"/>
              </w:rPr>
            </w:pPr>
          </w:p>
        </w:tc>
        <w:tc>
          <w:tcPr>
            <w:tcW w:w="1360" w:type="dxa"/>
            <w:vAlign w:val="center"/>
          </w:tcPr>
          <w:p w14:paraId="78C1B267">
            <w:pPr>
              <w:ind w:left="-105" w:right="-105"/>
              <w:jc w:val="center"/>
              <w:rPr>
                <w:rFonts w:hint="eastAsia" w:ascii="Times New Roman" w:hAnsi="Times New Roman" w:eastAsia="宋体" w:cs="Times New Roman"/>
                <w:color w:val="auto"/>
                <w:sz w:val="21"/>
                <w:szCs w:val="21"/>
                <w:highlight w:val="none"/>
                <w:lang w:eastAsia="zh-CN"/>
              </w:rPr>
            </w:pPr>
            <w:r>
              <w:rPr>
                <w:rFonts w:hint="eastAsia" w:ascii="Times New Roman" w:hAnsi="Times New Roman" w:cs="Times New Roman"/>
                <w:color w:val="auto"/>
                <w:sz w:val="21"/>
                <w:szCs w:val="18"/>
                <w:highlight w:val="none"/>
              </w:rPr>
              <w:t>废包装桶</w:t>
            </w:r>
            <w:r>
              <w:rPr>
                <w:rFonts w:hint="eastAsia" w:ascii="Times New Roman" w:hAnsi="Times New Roman" w:cs="Times New Roman"/>
                <w:color w:val="auto"/>
                <w:sz w:val="21"/>
                <w:szCs w:val="18"/>
                <w:highlight w:val="none"/>
                <w:lang w:eastAsia="zh-CN"/>
              </w:rPr>
              <w:t>（</w:t>
            </w:r>
            <w:r>
              <w:rPr>
                <w:rFonts w:hint="eastAsia" w:ascii="Times New Roman" w:hAnsi="Times New Roman" w:cs="Times New Roman"/>
                <w:color w:val="auto"/>
                <w:sz w:val="21"/>
                <w:szCs w:val="18"/>
                <w:highlight w:val="none"/>
                <w:lang w:val="en-US" w:eastAsia="zh-CN"/>
              </w:rPr>
              <w:t>瓶</w:t>
            </w:r>
            <w:r>
              <w:rPr>
                <w:rFonts w:hint="eastAsia" w:ascii="Times New Roman" w:hAnsi="Times New Roman" w:cs="Times New Roman"/>
                <w:color w:val="auto"/>
                <w:sz w:val="21"/>
                <w:szCs w:val="18"/>
                <w:highlight w:val="none"/>
                <w:lang w:eastAsia="zh-CN"/>
              </w:rPr>
              <w:t>）</w:t>
            </w:r>
          </w:p>
        </w:tc>
        <w:tc>
          <w:tcPr>
            <w:tcW w:w="873" w:type="dxa"/>
            <w:vAlign w:val="center"/>
          </w:tcPr>
          <w:p w14:paraId="08136670">
            <w:pPr>
              <w:pStyle w:val="98"/>
              <w:autoSpaceDE/>
              <w:autoSpaceDN/>
              <w:adjustRightInd w:val="0"/>
              <w:snapToGrid w:val="0"/>
              <w:ind w:left="-105" w:right="-105"/>
              <w:rPr>
                <w:bCs/>
                <w:color w:val="auto"/>
                <w:sz w:val="21"/>
                <w:szCs w:val="21"/>
                <w:highlight w:val="none"/>
              </w:rPr>
            </w:pPr>
            <w:r>
              <w:rPr>
                <w:rFonts w:eastAsia="宋体"/>
                <w:color w:val="auto"/>
                <w:sz w:val="21"/>
                <w:szCs w:val="21"/>
                <w:highlight w:val="none"/>
                <w:lang w:val="en-US"/>
              </w:rPr>
              <w:t>HW49</w:t>
            </w:r>
          </w:p>
        </w:tc>
        <w:tc>
          <w:tcPr>
            <w:tcW w:w="1270" w:type="dxa"/>
            <w:vAlign w:val="center"/>
          </w:tcPr>
          <w:p w14:paraId="24C57CEC">
            <w:pPr>
              <w:pStyle w:val="98"/>
              <w:autoSpaceDE/>
              <w:autoSpaceDN/>
              <w:adjustRightInd w:val="0"/>
              <w:snapToGrid w:val="0"/>
              <w:ind w:left="-105" w:right="-105"/>
              <w:rPr>
                <w:color w:val="auto"/>
                <w:sz w:val="21"/>
                <w:szCs w:val="21"/>
                <w:highlight w:val="none"/>
              </w:rPr>
            </w:pPr>
            <w:r>
              <w:rPr>
                <w:rFonts w:eastAsia="宋体"/>
                <w:color w:val="auto"/>
                <w:sz w:val="21"/>
                <w:szCs w:val="21"/>
                <w:highlight w:val="none"/>
                <w:lang w:val="en-US"/>
              </w:rPr>
              <w:t>900-041-49</w:t>
            </w:r>
          </w:p>
        </w:tc>
        <w:tc>
          <w:tcPr>
            <w:tcW w:w="579" w:type="dxa"/>
            <w:vMerge w:val="continue"/>
            <w:vAlign w:val="center"/>
          </w:tcPr>
          <w:p w14:paraId="5E53E394">
            <w:pPr>
              <w:topLinePunct/>
              <w:ind w:left="-105" w:right="-105"/>
              <w:jc w:val="center"/>
              <w:rPr>
                <w:rFonts w:ascii="Times New Roman" w:hAnsi="Times New Roman" w:cs="Times New Roman"/>
                <w:color w:val="auto"/>
                <w:sz w:val="21"/>
                <w:szCs w:val="21"/>
                <w:highlight w:val="none"/>
              </w:rPr>
            </w:pPr>
          </w:p>
        </w:tc>
        <w:tc>
          <w:tcPr>
            <w:tcW w:w="808" w:type="dxa"/>
            <w:vMerge w:val="continue"/>
            <w:vAlign w:val="center"/>
          </w:tcPr>
          <w:p w14:paraId="4441BABE">
            <w:pPr>
              <w:topLinePunct/>
              <w:ind w:left="-105" w:right="-105"/>
              <w:jc w:val="center"/>
              <w:rPr>
                <w:rFonts w:ascii="Times New Roman" w:hAnsi="Times New Roman" w:cs="Times New Roman"/>
                <w:color w:val="auto"/>
                <w:sz w:val="21"/>
                <w:szCs w:val="21"/>
                <w:highlight w:val="none"/>
              </w:rPr>
            </w:pPr>
          </w:p>
        </w:tc>
        <w:tc>
          <w:tcPr>
            <w:tcW w:w="1119" w:type="dxa"/>
            <w:vAlign w:val="center"/>
          </w:tcPr>
          <w:p w14:paraId="7E467BE0">
            <w:pPr>
              <w:topLinePunct/>
              <w:ind w:left="-105" w:right="-105"/>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w:t>
            </w:r>
          </w:p>
        </w:tc>
        <w:tc>
          <w:tcPr>
            <w:tcW w:w="728" w:type="dxa"/>
            <w:vAlign w:val="center"/>
          </w:tcPr>
          <w:p w14:paraId="581D432F">
            <w:pPr>
              <w:ind w:left="-105" w:right="-105"/>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15.35</w:t>
            </w:r>
          </w:p>
        </w:tc>
        <w:tc>
          <w:tcPr>
            <w:tcW w:w="871" w:type="dxa"/>
            <w:vAlign w:val="center"/>
          </w:tcPr>
          <w:p w14:paraId="6F902EFF">
            <w:pPr>
              <w:ind w:left="-60" w:leftChars="-25" w:right="-60" w:rightChars="-2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1个月</w:t>
            </w:r>
          </w:p>
        </w:tc>
      </w:tr>
      <w:tr w14:paraId="1C7669F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26" w:type="dxa"/>
            <w:vAlign w:val="center"/>
          </w:tcPr>
          <w:p w14:paraId="0FEECF09">
            <w:pPr>
              <w:pStyle w:val="97"/>
              <w:numPr>
                <w:ilvl w:val="0"/>
                <w:numId w:val="34"/>
              </w:numPr>
              <w:tabs>
                <w:tab w:val="left" w:pos="420"/>
              </w:tabs>
              <w:topLinePunct/>
              <w:ind w:left="-105" w:right="-105" w:firstLineChars="0"/>
              <w:jc w:val="center"/>
              <w:rPr>
                <w:rFonts w:eastAsia="宋体"/>
                <w:color w:val="auto"/>
                <w:sz w:val="21"/>
                <w:szCs w:val="21"/>
                <w:highlight w:val="none"/>
              </w:rPr>
            </w:pPr>
          </w:p>
        </w:tc>
        <w:tc>
          <w:tcPr>
            <w:tcW w:w="687" w:type="dxa"/>
            <w:vMerge w:val="continue"/>
            <w:vAlign w:val="center"/>
          </w:tcPr>
          <w:p w14:paraId="0E0598BA">
            <w:pPr>
              <w:ind w:left="-105" w:right="-105"/>
              <w:jc w:val="center"/>
              <w:rPr>
                <w:rFonts w:ascii="Times New Roman" w:hAnsi="Times New Roman" w:cs="Times New Roman"/>
                <w:color w:val="auto"/>
                <w:sz w:val="21"/>
                <w:szCs w:val="21"/>
                <w:highlight w:val="none"/>
              </w:rPr>
            </w:pPr>
          </w:p>
        </w:tc>
        <w:tc>
          <w:tcPr>
            <w:tcW w:w="1360" w:type="dxa"/>
            <w:vAlign w:val="center"/>
          </w:tcPr>
          <w:p w14:paraId="1A0E4ABC">
            <w:pPr>
              <w:ind w:left="-105" w:right="-105"/>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废包装袋</w:t>
            </w:r>
          </w:p>
        </w:tc>
        <w:tc>
          <w:tcPr>
            <w:tcW w:w="873" w:type="dxa"/>
            <w:vAlign w:val="center"/>
          </w:tcPr>
          <w:p w14:paraId="6B590E1A">
            <w:pPr>
              <w:pStyle w:val="98"/>
              <w:autoSpaceDE/>
              <w:autoSpaceDN/>
              <w:adjustRightInd w:val="0"/>
              <w:snapToGrid w:val="0"/>
              <w:ind w:left="-105" w:right="-105"/>
              <w:rPr>
                <w:bCs/>
                <w:color w:val="auto"/>
                <w:sz w:val="21"/>
                <w:szCs w:val="21"/>
                <w:highlight w:val="none"/>
              </w:rPr>
            </w:pPr>
            <w:r>
              <w:rPr>
                <w:rFonts w:eastAsia="宋体"/>
                <w:color w:val="auto"/>
                <w:sz w:val="21"/>
                <w:szCs w:val="21"/>
                <w:highlight w:val="none"/>
                <w:lang w:val="en-US"/>
              </w:rPr>
              <w:t>HW49</w:t>
            </w:r>
          </w:p>
        </w:tc>
        <w:tc>
          <w:tcPr>
            <w:tcW w:w="1270" w:type="dxa"/>
            <w:vAlign w:val="center"/>
          </w:tcPr>
          <w:p w14:paraId="267224DA">
            <w:pPr>
              <w:pStyle w:val="98"/>
              <w:autoSpaceDE/>
              <w:autoSpaceDN/>
              <w:adjustRightInd w:val="0"/>
              <w:snapToGrid w:val="0"/>
              <w:ind w:left="-105" w:right="-105"/>
              <w:rPr>
                <w:bCs/>
                <w:color w:val="auto"/>
                <w:sz w:val="21"/>
                <w:szCs w:val="21"/>
                <w:highlight w:val="none"/>
              </w:rPr>
            </w:pPr>
            <w:r>
              <w:rPr>
                <w:rFonts w:eastAsia="宋体"/>
                <w:color w:val="auto"/>
                <w:sz w:val="21"/>
                <w:szCs w:val="21"/>
                <w:highlight w:val="none"/>
                <w:lang w:val="en-US"/>
              </w:rPr>
              <w:t>900-041-49</w:t>
            </w:r>
          </w:p>
        </w:tc>
        <w:tc>
          <w:tcPr>
            <w:tcW w:w="579" w:type="dxa"/>
            <w:vMerge w:val="continue"/>
            <w:vAlign w:val="center"/>
          </w:tcPr>
          <w:p w14:paraId="622848BD">
            <w:pPr>
              <w:ind w:left="-105" w:right="-105"/>
              <w:jc w:val="center"/>
              <w:rPr>
                <w:rFonts w:ascii="Times New Roman" w:hAnsi="Times New Roman" w:cs="Times New Roman"/>
                <w:color w:val="auto"/>
                <w:sz w:val="21"/>
                <w:szCs w:val="21"/>
                <w:highlight w:val="none"/>
              </w:rPr>
            </w:pPr>
          </w:p>
        </w:tc>
        <w:tc>
          <w:tcPr>
            <w:tcW w:w="808" w:type="dxa"/>
            <w:vMerge w:val="continue"/>
            <w:vAlign w:val="center"/>
          </w:tcPr>
          <w:p w14:paraId="1A76313E">
            <w:pPr>
              <w:ind w:left="-105" w:right="-105"/>
              <w:jc w:val="center"/>
              <w:rPr>
                <w:rFonts w:ascii="Times New Roman" w:hAnsi="Times New Roman" w:cs="Times New Roman"/>
                <w:color w:val="auto"/>
                <w:sz w:val="21"/>
                <w:szCs w:val="21"/>
                <w:highlight w:val="none"/>
              </w:rPr>
            </w:pPr>
          </w:p>
        </w:tc>
        <w:tc>
          <w:tcPr>
            <w:tcW w:w="1119" w:type="dxa"/>
            <w:vAlign w:val="center"/>
          </w:tcPr>
          <w:p w14:paraId="5E37B710">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吨袋暂存</w:t>
            </w:r>
          </w:p>
        </w:tc>
        <w:tc>
          <w:tcPr>
            <w:tcW w:w="728" w:type="dxa"/>
            <w:vAlign w:val="center"/>
          </w:tcPr>
          <w:p w14:paraId="0C22955E">
            <w:pPr>
              <w:ind w:left="-105" w:right="-105"/>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0.02</w:t>
            </w:r>
          </w:p>
        </w:tc>
        <w:tc>
          <w:tcPr>
            <w:tcW w:w="871" w:type="dxa"/>
            <w:vAlign w:val="center"/>
          </w:tcPr>
          <w:p w14:paraId="3CF26402">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1个月</w:t>
            </w:r>
          </w:p>
        </w:tc>
      </w:tr>
      <w:tr w14:paraId="6155C8D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26" w:type="dxa"/>
            <w:vAlign w:val="center"/>
          </w:tcPr>
          <w:p w14:paraId="53C32226">
            <w:pPr>
              <w:pStyle w:val="97"/>
              <w:numPr>
                <w:ilvl w:val="0"/>
                <w:numId w:val="34"/>
              </w:numPr>
              <w:tabs>
                <w:tab w:val="left" w:pos="420"/>
              </w:tabs>
              <w:topLinePunct/>
              <w:ind w:left="-105" w:right="-105" w:firstLineChars="0"/>
              <w:jc w:val="center"/>
              <w:rPr>
                <w:rFonts w:eastAsia="宋体"/>
                <w:color w:val="auto"/>
                <w:sz w:val="21"/>
                <w:szCs w:val="21"/>
                <w:highlight w:val="none"/>
              </w:rPr>
            </w:pPr>
          </w:p>
        </w:tc>
        <w:tc>
          <w:tcPr>
            <w:tcW w:w="687" w:type="dxa"/>
            <w:vMerge w:val="continue"/>
            <w:vAlign w:val="center"/>
          </w:tcPr>
          <w:p w14:paraId="758C22B5">
            <w:pPr>
              <w:ind w:left="-105" w:right="-105"/>
              <w:jc w:val="center"/>
              <w:rPr>
                <w:rFonts w:ascii="Times New Roman" w:hAnsi="Times New Roman" w:cs="Times New Roman"/>
                <w:color w:val="auto"/>
                <w:sz w:val="21"/>
                <w:szCs w:val="21"/>
                <w:highlight w:val="none"/>
              </w:rPr>
            </w:pPr>
          </w:p>
        </w:tc>
        <w:tc>
          <w:tcPr>
            <w:tcW w:w="1360" w:type="dxa"/>
            <w:vAlign w:val="center"/>
          </w:tcPr>
          <w:p w14:paraId="5AAE7EC8">
            <w:pPr>
              <w:ind w:left="-105" w:right="-105"/>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18"/>
                <w:highlight w:val="none"/>
              </w:rPr>
              <w:t>废活性炭</w:t>
            </w:r>
          </w:p>
        </w:tc>
        <w:tc>
          <w:tcPr>
            <w:tcW w:w="873" w:type="dxa"/>
            <w:vAlign w:val="center"/>
          </w:tcPr>
          <w:p w14:paraId="7E1B552E">
            <w:pPr>
              <w:pStyle w:val="98"/>
              <w:autoSpaceDE/>
              <w:autoSpaceDN/>
              <w:adjustRightInd w:val="0"/>
              <w:snapToGrid w:val="0"/>
              <w:ind w:left="-105" w:right="-105"/>
              <w:rPr>
                <w:color w:val="auto"/>
                <w:sz w:val="21"/>
                <w:szCs w:val="21"/>
                <w:highlight w:val="none"/>
              </w:rPr>
            </w:pPr>
            <w:r>
              <w:rPr>
                <w:rFonts w:eastAsia="宋体"/>
                <w:color w:val="auto"/>
                <w:sz w:val="21"/>
                <w:szCs w:val="21"/>
                <w:highlight w:val="none"/>
                <w:lang w:val="en-US"/>
              </w:rPr>
              <w:t>HW49</w:t>
            </w:r>
          </w:p>
        </w:tc>
        <w:tc>
          <w:tcPr>
            <w:tcW w:w="1270" w:type="dxa"/>
            <w:vAlign w:val="center"/>
          </w:tcPr>
          <w:p w14:paraId="6FBBA7E5">
            <w:pPr>
              <w:pStyle w:val="98"/>
              <w:autoSpaceDE/>
              <w:autoSpaceDN/>
              <w:adjustRightInd w:val="0"/>
              <w:snapToGrid w:val="0"/>
              <w:ind w:left="-105" w:right="-105"/>
              <w:rPr>
                <w:color w:val="auto"/>
                <w:sz w:val="21"/>
                <w:szCs w:val="21"/>
                <w:highlight w:val="none"/>
              </w:rPr>
            </w:pPr>
            <w:r>
              <w:rPr>
                <w:rFonts w:eastAsia="宋体"/>
                <w:color w:val="auto"/>
                <w:sz w:val="21"/>
                <w:szCs w:val="21"/>
                <w:highlight w:val="none"/>
                <w:lang w:val="en-US"/>
              </w:rPr>
              <w:t>900-0</w:t>
            </w:r>
            <w:r>
              <w:rPr>
                <w:rFonts w:hint="eastAsia" w:eastAsia="宋体"/>
                <w:color w:val="auto"/>
                <w:sz w:val="21"/>
                <w:szCs w:val="21"/>
                <w:highlight w:val="none"/>
                <w:lang w:val="en-US"/>
              </w:rPr>
              <w:t>39</w:t>
            </w:r>
            <w:r>
              <w:rPr>
                <w:rFonts w:eastAsia="宋体"/>
                <w:color w:val="auto"/>
                <w:sz w:val="21"/>
                <w:szCs w:val="21"/>
                <w:highlight w:val="none"/>
                <w:lang w:val="en-US"/>
              </w:rPr>
              <w:t>-49</w:t>
            </w:r>
          </w:p>
        </w:tc>
        <w:tc>
          <w:tcPr>
            <w:tcW w:w="579" w:type="dxa"/>
            <w:vMerge w:val="continue"/>
            <w:vAlign w:val="center"/>
          </w:tcPr>
          <w:p w14:paraId="11CC8AE8">
            <w:pPr>
              <w:ind w:left="-105" w:right="-105"/>
              <w:jc w:val="center"/>
              <w:rPr>
                <w:rFonts w:ascii="Times New Roman" w:hAnsi="Times New Roman" w:cs="Times New Roman"/>
                <w:color w:val="auto"/>
                <w:sz w:val="21"/>
                <w:szCs w:val="21"/>
                <w:highlight w:val="none"/>
              </w:rPr>
            </w:pPr>
          </w:p>
        </w:tc>
        <w:tc>
          <w:tcPr>
            <w:tcW w:w="808" w:type="dxa"/>
            <w:vMerge w:val="continue"/>
            <w:vAlign w:val="center"/>
          </w:tcPr>
          <w:p w14:paraId="21056737">
            <w:pPr>
              <w:ind w:left="-105" w:right="-105"/>
              <w:jc w:val="center"/>
              <w:rPr>
                <w:rFonts w:ascii="Times New Roman" w:hAnsi="Times New Roman" w:cs="Times New Roman"/>
                <w:color w:val="auto"/>
                <w:sz w:val="21"/>
                <w:szCs w:val="21"/>
                <w:highlight w:val="none"/>
              </w:rPr>
            </w:pPr>
          </w:p>
        </w:tc>
        <w:tc>
          <w:tcPr>
            <w:tcW w:w="1119" w:type="dxa"/>
            <w:vAlign w:val="center"/>
          </w:tcPr>
          <w:p w14:paraId="1709C5AF">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吨袋暂存</w:t>
            </w:r>
          </w:p>
        </w:tc>
        <w:tc>
          <w:tcPr>
            <w:tcW w:w="728" w:type="dxa"/>
            <w:vAlign w:val="center"/>
          </w:tcPr>
          <w:p w14:paraId="2BFEF409">
            <w:pPr>
              <w:ind w:left="-105" w:right="-105"/>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18.4089</w:t>
            </w:r>
          </w:p>
        </w:tc>
        <w:tc>
          <w:tcPr>
            <w:tcW w:w="871" w:type="dxa"/>
            <w:vAlign w:val="center"/>
          </w:tcPr>
          <w:p w14:paraId="42C3246B">
            <w:pPr>
              <w:ind w:left="-105" w:right="-105"/>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lang w:val="en-US" w:eastAsia="zh-CN"/>
              </w:rPr>
              <w:t>3-</w:t>
            </w:r>
            <w:r>
              <w:rPr>
                <w:rFonts w:hint="eastAsia" w:ascii="Times New Roman" w:hAnsi="Times New Roman" w:cs="Times New Roman"/>
                <w:color w:val="auto"/>
                <w:sz w:val="21"/>
                <w:szCs w:val="21"/>
                <w:highlight w:val="none"/>
              </w:rPr>
              <w:t>5天</w:t>
            </w:r>
          </w:p>
        </w:tc>
      </w:tr>
      <w:tr w14:paraId="47FDDB5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26" w:type="dxa"/>
            <w:vAlign w:val="center"/>
          </w:tcPr>
          <w:p w14:paraId="056579C2">
            <w:pPr>
              <w:pStyle w:val="97"/>
              <w:numPr>
                <w:ilvl w:val="0"/>
                <w:numId w:val="34"/>
              </w:numPr>
              <w:tabs>
                <w:tab w:val="left" w:pos="420"/>
              </w:tabs>
              <w:topLinePunct/>
              <w:ind w:left="-105" w:right="-105" w:firstLineChars="0"/>
              <w:jc w:val="center"/>
              <w:rPr>
                <w:rFonts w:eastAsia="宋体"/>
                <w:color w:val="auto"/>
                <w:sz w:val="21"/>
                <w:szCs w:val="21"/>
                <w:highlight w:val="none"/>
              </w:rPr>
            </w:pPr>
          </w:p>
        </w:tc>
        <w:tc>
          <w:tcPr>
            <w:tcW w:w="687" w:type="dxa"/>
            <w:vAlign w:val="center"/>
          </w:tcPr>
          <w:p w14:paraId="3DC32D42">
            <w:pPr>
              <w:ind w:left="-105" w:right="-105"/>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废液储罐</w:t>
            </w:r>
          </w:p>
        </w:tc>
        <w:tc>
          <w:tcPr>
            <w:tcW w:w="1360" w:type="dxa"/>
            <w:vAlign w:val="center"/>
          </w:tcPr>
          <w:p w14:paraId="0AFF9715">
            <w:pPr>
              <w:ind w:left="-105" w:right="-105"/>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实验室清洗废水</w:t>
            </w:r>
          </w:p>
        </w:tc>
        <w:tc>
          <w:tcPr>
            <w:tcW w:w="873" w:type="dxa"/>
            <w:vAlign w:val="center"/>
          </w:tcPr>
          <w:p w14:paraId="0F7670A7">
            <w:pPr>
              <w:pStyle w:val="98"/>
              <w:keepNext w:val="0"/>
              <w:keepLines w:val="0"/>
              <w:pageBreakBefore w:val="0"/>
              <w:kinsoku/>
              <w:wordWrap/>
              <w:overflowPunct/>
              <w:topLinePunct w:val="0"/>
              <w:autoSpaceDE/>
              <w:autoSpaceDN/>
              <w:bidi w:val="0"/>
              <w:adjustRightInd w:val="0"/>
              <w:snapToGrid w:val="0"/>
              <w:ind w:left="0" w:leftChars="0" w:right="0" w:rightChars="0"/>
              <w:textAlignment w:val="auto"/>
              <w:rPr>
                <w:color w:val="auto"/>
                <w:sz w:val="21"/>
                <w:szCs w:val="21"/>
                <w:highlight w:val="none"/>
              </w:rPr>
            </w:pPr>
            <w:r>
              <w:rPr>
                <w:rFonts w:eastAsia="宋体"/>
                <w:color w:val="auto"/>
                <w:sz w:val="21"/>
                <w:szCs w:val="21"/>
                <w:highlight w:val="none"/>
                <w:lang w:val="en-US"/>
              </w:rPr>
              <w:t>HW49</w:t>
            </w:r>
          </w:p>
        </w:tc>
        <w:tc>
          <w:tcPr>
            <w:tcW w:w="1270" w:type="dxa"/>
            <w:vAlign w:val="center"/>
          </w:tcPr>
          <w:p w14:paraId="34A9D9F8">
            <w:pPr>
              <w:pStyle w:val="98"/>
              <w:keepNext w:val="0"/>
              <w:keepLines w:val="0"/>
              <w:pageBreakBefore w:val="0"/>
              <w:kinsoku/>
              <w:wordWrap/>
              <w:overflowPunct/>
              <w:topLinePunct w:val="0"/>
              <w:autoSpaceDE/>
              <w:autoSpaceDN/>
              <w:bidi w:val="0"/>
              <w:adjustRightInd w:val="0"/>
              <w:snapToGrid w:val="0"/>
              <w:ind w:left="0" w:leftChars="0" w:right="0" w:rightChars="0"/>
              <w:textAlignment w:val="auto"/>
              <w:rPr>
                <w:color w:val="auto"/>
                <w:sz w:val="21"/>
                <w:szCs w:val="21"/>
                <w:highlight w:val="none"/>
              </w:rPr>
            </w:pPr>
            <w:r>
              <w:rPr>
                <w:rFonts w:eastAsia="宋体"/>
                <w:color w:val="auto"/>
                <w:sz w:val="21"/>
                <w:szCs w:val="21"/>
                <w:highlight w:val="none"/>
                <w:lang w:val="en-US"/>
              </w:rPr>
              <w:t>900-04</w:t>
            </w:r>
            <w:r>
              <w:rPr>
                <w:rFonts w:hint="eastAsia" w:eastAsia="宋体"/>
                <w:color w:val="auto"/>
                <w:sz w:val="21"/>
                <w:szCs w:val="21"/>
                <w:highlight w:val="none"/>
                <w:lang w:val="en-US"/>
              </w:rPr>
              <w:t>7</w:t>
            </w:r>
            <w:r>
              <w:rPr>
                <w:rFonts w:eastAsia="宋体"/>
                <w:color w:val="auto"/>
                <w:sz w:val="21"/>
                <w:szCs w:val="21"/>
                <w:highlight w:val="none"/>
                <w:lang w:val="en-US"/>
              </w:rPr>
              <w:t>-49</w:t>
            </w:r>
          </w:p>
        </w:tc>
        <w:tc>
          <w:tcPr>
            <w:tcW w:w="579" w:type="dxa"/>
            <w:vAlign w:val="center"/>
          </w:tcPr>
          <w:p w14:paraId="59791DF9">
            <w:pPr>
              <w:ind w:left="-105" w:right="-105"/>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厂区西侧</w:t>
            </w:r>
          </w:p>
        </w:tc>
        <w:tc>
          <w:tcPr>
            <w:tcW w:w="808" w:type="dxa"/>
            <w:vAlign w:val="center"/>
          </w:tcPr>
          <w:p w14:paraId="57ED0508">
            <w:pPr>
              <w:ind w:left="-105" w:right="-105"/>
              <w:jc w:val="center"/>
              <w:rPr>
                <w:rFonts w:ascii="Times New Roman" w:hAnsi="Times New Roman" w:cs="Times New Roman"/>
                <w:color w:val="auto"/>
                <w:sz w:val="21"/>
                <w:szCs w:val="21"/>
                <w:highlight w:val="none"/>
              </w:rPr>
            </w:pPr>
            <w:r>
              <w:rPr>
                <w:rFonts w:hint="eastAsia" w:ascii="Times New Roman" w:hAnsi="Times New Roman"/>
                <w:color w:val="auto"/>
                <w:sz w:val="21"/>
                <w:szCs w:val="21"/>
                <w:highlight w:val="none"/>
              </w:rPr>
              <w:t>2×20m</w:t>
            </w:r>
            <w:r>
              <w:rPr>
                <w:rFonts w:hint="eastAsia" w:ascii="Times New Roman" w:hAnsi="Times New Roman"/>
                <w:color w:val="auto"/>
                <w:sz w:val="21"/>
                <w:szCs w:val="21"/>
                <w:highlight w:val="none"/>
                <w:vertAlign w:val="superscript"/>
              </w:rPr>
              <w:t>3</w:t>
            </w:r>
            <w:r>
              <w:rPr>
                <w:rFonts w:hint="eastAsia" w:ascii="Times New Roman" w:hAnsi="Times New Roman"/>
                <w:color w:val="auto"/>
                <w:sz w:val="21"/>
                <w:szCs w:val="21"/>
                <w:highlight w:val="none"/>
              </w:rPr>
              <w:t>，1×15m</w:t>
            </w:r>
            <w:r>
              <w:rPr>
                <w:rFonts w:hint="eastAsia" w:ascii="Times New Roman" w:hAnsi="Times New Roman"/>
                <w:color w:val="auto"/>
                <w:sz w:val="21"/>
                <w:szCs w:val="21"/>
                <w:highlight w:val="none"/>
                <w:vertAlign w:val="superscript"/>
              </w:rPr>
              <w:t>3</w:t>
            </w:r>
          </w:p>
        </w:tc>
        <w:tc>
          <w:tcPr>
            <w:tcW w:w="1119" w:type="dxa"/>
            <w:vAlign w:val="center"/>
          </w:tcPr>
          <w:p w14:paraId="335DE9E5">
            <w:pPr>
              <w:ind w:left="-105" w:right="-105"/>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储罐</w:t>
            </w:r>
            <w:r>
              <w:rPr>
                <w:rFonts w:ascii="Times New Roman" w:hAnsi="Times New Roman" w:cs="Times New Roman"/>
                <w:color w:val="auto"/>
                <w:sz w:val="21"/>
                <w:szCs w:val="21"/>
                <w:highlight w:val="none"/>
              </w:rPr>
              <w:t>暂存</w:t>
            </w:r>
          </w:p>
        </w:tc>
        <w:tc>
          <w:tcPr>
            <w:tcW w:w="728" w:type="dxa"/>
            <w:vAlign w:val="center"/>
          </w:tcPr>
          <w:p w14:paraId="70494650">
            <w:pPr>
              <w:ind w:left="-105" w:right="-105"/>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0.1</w:t>
            </w:r>
          </w:p>
        </w:tc>
        <w:tc>
          <w:tcPr>
            <w:tcW w:w="871" w:type="dxa"/>
            <w:vAlign w:val="center"/>
          </w:tcPr>
          <w:p w14:paraId="02740124">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1个月</w:t>
            </w:r>
          </w:p>
        </w:tc>
      </w:tr>
    </w:tbl>
    <w:p w14:paraId="5E821594">
      <w:pPr>
        <w:adjustRightInd w:val="0"/>
        <w:snapToGrid w:val="0"/>
        <w:spacing w:line="360" w:lineRule="auto"/>
        <w:ind w:left="-105" w:right="-105" w:firstLine="504" w:firstLineChars="200"/>
        <w:jc w:val="both"/>
        <w:rPr>
          <w:rFonts w:ascii="Times New Roman" w:hAnsi="Times New Roman" w:cs="Times New Roman"/>
          <w:color w:val="auto"/>
          <w:spacing w:val="6"/>
          <w:highlight w:val="none"/>
        </w:rPr>
      </w:pPr>
      <w:r>
        <w:rPr>
          <w:rFonts w:ascii="Times New Roman" w:hAnsi="Times New Roman" w:cs="Times New Roman"/>
          <w:color w:val="auto"/>
          <w:spacing w:val="6"/>
          <w:highlight w:val="none"/>
        </w:rPr>
        <w:t>厂区内危险废物暂存场地的设置应按《危险废物贮存污染控制标准》(GB18597-2023)、《省生态环境厅关于印发江苏省危险废物贮存规范化管理专项整治行动方案的通知》（苏环办[2019]149号）和</w:t>
      </w:r>
      <w:r>
        <w:rPr>
          <w:rFonts w:hint="eastAsia" w:ascii="Times New Roman" w:hAnsi="Times New Roman" w:cs="Times New Roman"/>
          <w:color w:val="auto"/>
          <w:szCs w:val="28"/>
          <w:highlight w:val="none"/>
          <w:lang w:val="zh-CN"/>
        </w:rPr>
        <w:t>《省生态环境厅关于印发</w:t>
      </w:r>
      <w:r>
        <w:rPr>
          <w:rFonts w:hint="eastAsia" w:ascii="Times New Roman" w:hAnsi="Times New Roman" w:cs="Times New Roman"/>
          <w:color w:val="auto"/>
          <w:szCs w:val="28"/>
          <w:highlight w:val="none"/>
        </w:rPr>
        <w:t>&lt;</w:t>
      </w:r>
      <w:r>
        <w:rPr>
          <w:rFonts w:hint="eastAsia" w:ascii="Times New Roman" w:hAnsi="Times New Roman" w:cs="Times New Roman"/>
          <w:color w:val="auto"/>
          <w:szCs w:val="28"/>
          <w:highlight w:val="none"/>
          <w:lang w:val="zh-CN"/>
        </w:rPr>
        <w:t>江苏省固体废物全过程环境监管工作意见</w:t>
      </w:r>
      <w:r>
        <w:rPr>
          <w:rFonts w:hint="eastAsia" w:ascii="Times New Roman" w:hAnsi="Times New Roman" w:cs="Times New Roman"/>
          <w:color w:val="auto"/>
          <w:szCs w:val="28"/>
          <w:highlight w:val="none"/>
        </w:rPr>
        <w:t>&gt;</w:t>
      </w:r>
      <w:r>
        <w:rPr>
          <w:rFonts w:hint="eastAsia" w:ascii="Times New Roman" w:hAnsi="Times New Roman" w:cs="Times New Roman"/>
          <w:color w:val="auto"/>
          <w:szCs w:val="28"/>
          <w:highlight w:val="none"/>
          <w:lang w:val="zh-CN"/>
        </w:rPr>
        <w:t>的通知（苏环办〔2024〕16号）》</w:t>
      </w:r>
      <w:r>
        <w:rPr>
          <w:rFonts w:ascii="Times New Roman" w:hAnsi="Times New Roman" w:cs="Times New Roman"/>
          <w:color w:val="auto"/>
          <w:spacing w:val="6"/>
          <w:highlight w:val="none"/>
        </w:rPr>
        <w:t>要求设置，要求做到以下几点：</w:t>
      </w:r>
    </w:p>
    <w:p w14:paraId="58FAF8B7">
      <w:pPr>
        <w:adjustRightInd w:val="0"/>
        <w:snapToGrid w:val="0"/>
        <w:spacing w:line="360" w:lineRule="auto"/>
        <w:ind w:left="-105" w:right="-105" w:firstLine="480" w:firstLineChars="200"/>
        <w:rPr>
          <w:rFonts w:ascii="Times New Roman" w:hAnsi="Times New Roman" w:cs="Times New Roman"/>
          <w:color w:val="auto"/>
          <w:highlight w:val="none"/>
        </w:rPr>
      </w:pPr>
      <w:r>
        <w:rPr>
          <w:rFonts w:ascii="Times New Roman" w:hAnsi="Times New Roman" w:cs="Times New Roman"/>
          <w:color w:val="auto"/>
          <w:highlight w:val="none"/>
        </w:rPr>
        <w:t>（1）贮存场所设置危险废物明显标志，危险废物暂存场所应设有符合环境保护的专用标志。</w:t>
      </w:r>
    </w:p>
    <w:p w14:paraId="1B40E95F">
      <w:pPr>
        <w:adjustRightInd w:val="0"/>
        <w:snapToGrid w:val="0"/>
        <w:spacing w:line="360" w:lineRule="auto"/>
        <w:ind w:left="-105" w:right="-105" w:firstLine="480" w:firstLineChars="200"/>
        <w:rPr>
          <w:rFonts w:ascii="Times New Roman" w:hAnsi="Times New Roman" w:cs="Times New Roman"/>
          <w:color w:val="auto"/>
          <w:highlight w:val="none"/>
        </w:rPr>
      </w:pPr>
      <w:r>
        <w:rPr>
          <w:rFonts w:ascii="Times New Roman" w:hAnsi="Times New Roman" w:cs="Times New Roman"/>
          <w:color w:val="auto"/>
          <w:highlight w:val="none"/>
        </w:rPr>
        <w:t>（2）贮存区内禁止混放不相容危险废物。</w:t>
      </w:r>
    </w:p>
    <w:p w14:paraId="6FB42146">
      <w:pPr>
        <w:adjustRightInd w:val="0"/>
        <w:snapToGrid w:val="0"/>
        <w:spacing w:line="360" w:lineRule="auto"/>
        <w:ind w:left="-105" w:right="-105" w:firstLine="480" w:firstLineChars="200"/>
        <w:rPr>
          <w:rFonts w:ascii="Times New Roman" w:hAnsi="Times New Roman" w:cs="Times New Roman"/>
          <w:color w:val="auto"/>
          <w:highlight w:val="none"/>
        </w:rPr>
      </w:pPr>
      <w:r>
        <w:rPr>
          <w:rFonts w:ascii="Times New Roman" w:hAnsi="Times New Roman" w:cs="Times New Roman"/>
          <w:color w:val="auto"/>
          <w:highlight w:val="none"/>
        </w:rPr>
        <w:t>（3）贮存区考虑相应的集排水和防渗设施。</w:t>
      </w:r>
    </w:p>
    <w:p w14:paraId="1531F220">
      <w:pPr>
        <w:adjustRightInd w:val="0"/>
        <w:snapToGrid w:val="0"/>
        <w:spacing w:line="360" w:lineRule="auto"/>
        <w:ind w:left="-105" w:right="-105" w:firstLine="480" w:firstLineChars="200"/>
        <w:jc w:val="both"/>
        <w:rPr>
          <w:rFonts w:ascii="Times New Roman" w:hAnsi="Times New Roman" w:cs="Times New Roman"/>
          <w:color w:val="auto"/>
          <w:highlight w:val="none"/>
        </w:rPr>
      </w:pPr>
      <w:r>
        <w:rPr>
          <w:rFonts w:ascii="Times New Roman" w:hAnsi="Times New Roman" w:cs="Times New Roman"/>
          <w:color w:val="auto"/>
          <w:highlight w:val="none"/>
        </w:rPr>
        <w:t>（4）贮存区符合消防要求。</w:t>
      </w:r>
    </w:p>
    <w:p w14:paraId="38437976">
      <w:pPr>
        <w:adjustRightInd w:val="0"/>
        <w:snapToGrid w:val="0"/>
        <w:spacing w:line="360" w:lineRule="auto"/>
        <w:ind w:left="-105" w:right="-105" w:firstLine="480" w:firstLineChars="200"/>
        <w:rPr>
          <w:rFonts w:ascii="Times New Roman" w:hAnsi="Times New Roman" w:cs="Times New Roman"/>
          <w:color w:val="auto"/>
          <w:highlight w:val="none"/>
        </w:rPr>
      </w:pPr>
      <w:r>
        <w:rPr>
          <w:rFonts w:ascii="Times New Roman" w:hAnsi="Times New Roman" w:cs="Times New Roman"/>
          <w:color w:val="auto"/>
          <w:highlight w:val="none"/>
        </w:rPr>
        <w:t>（5）贮存容器必须有明显标志，具有耐腐蚀、耐压、密封和不与所贮存的废物发生发应等特性。</w:t>
      </w:r>
    </w:p>
    <w:p w14:paraId="04B9988C">
      <w:pPr>
        <w:adjustRightInd w:val="0"/>
        <w:snapToGrid w:val="0"/>
        <w:spacing w:line="360" w:lineRule="auto"/>
        <w:ind w:left="-105" w:right="-105" w:firstLine="480" w:firstLineChars="200"/>
        <w:rPr>
          <w:rFonts w:ascii="Times New Roman" w:hAnsi="Times New Roman" w:cs="Times New Roman"/>
          <w:color w:val="auto"/>
          <w:highlight w:val="none"/>
        </w:rPr>
      </w:pPr>
      <w:r>
        <w:rPr>
          <w:rFonts w:ascii="Times New Roman" w:hAnsi="Times New Roman" w:cs="Times New Roman"/>
          <w:color w:val="auto"/>
          <w:highlight w:val="none"/>
        </w:rPr>
        <w:t>（6）危险废物的储存容器均应具有耐腐蚀、耐压、密封和不与所贮存的废物发生反应等特性</w:t>
      </w:r>
    </w:p>
    <w:p w14:paraId="21FD2C7E">
      <w:pPr>
        <w:adjustRightInd w:val="0"/>
        <w:snapToGrid w:val="0"/>
        <w:spacing w:line="360" w:lineRule="auto"/>
        <w:ind w:left="-105" w:right="-105" w:firstLine="480" w:firstLineChars="200"/>
        <w:rPr>
          <w:rFonts w:ascii="Times New Roman" w:hAnsi="Times New Roman" w:cs="Times New Roman"/>
          <w:color w:val="auto"/>
          <w:highlight w:val="none"/>
        </w:rPr>
      </w:pPr>
      <w:r>
        <w:rPr>
          <w:rFonts w:ascii="Times New Roman" w:hAnsi="Times New Roman" w:cs="Times New Roman"/>
          <w:color w:val="auto"/>
          <w:highlight w:val="none"/>
        </w:rPr>
        <w:t>（7）贮存容器保证完好无损并具有明显标志</w:t>
      </w:r>
    </w:p>
    <w:p w14:paraId="36DFBBAF">
      <w:pPr>
        <w:adjustRightInd w:val="0"/>
        <w:snapToGrid w:val="0"/>
        <w:spacing w:line="360" w:lineRule="auto"/>
        <w:ind w:left="-105" w:right="-105" w:firstLine="480" w:firstLineChars="200"/>
        <w:rPr>
          <w:rFonts w:ascii="Times New Roman" w:hAnsi="Times New Roman" w:cs="Times New Roman"/>
          <w:color w:val="auto"/>
          <w:highlight w:val="none"/>
        </w:rPr>
      </w:pPr>
      <w:r>
        <w:rPr>
          <w:rFonts w:ascii="Times New Roman" w:hAnsi="Times New Roman" w:cs="Times New Roman"/>
          <w:color w:val="auto"/>
          <w:highlight w:val="none"/>
        </w:rPr>
        <w:t>（8）按照《危险废物贮存污染控制标准》（GB18597-2023）的要求，基础防渗层为至少1m厚粘土层（渗透系数≤10</w:t>
      </w:r>
      <w:r>
        <w:rPr>
          <w:rFonts w:ascii="Times New Roman" w:hAnsi="Times New Roman" w:cs="Times New Roman"/>
          <w:color w:val="auto"/>
          <w:highlight w:val="none"/>
          <w:vertAlign w:val="superscript"/>
        </w:rPr>
        <w:t>-7</w:t>
      </w:r>
      <w:r>
        <w:rPr>
          <w:rFonts w:ascii="Times New Roman" w:hAnsi="Times New Roman" w:cs="Times New Roman"/>
          <w:color w:val="auto"/>
          <w:highlight w:val="none"/>
        </w:rPr>
        <w:t>cm/s），或2mm厚高密度聚乙烯</w:t>
      </w:r>
      <w:r>
        <w:rPr>
          <w:rFonts w:hint="eastAsia" w:ascii="Times New Roman" w:hAnsi="Times New Roman" w:cs="Times New Roman"/>
          <w:color w:val="auto"/>
          <w:highlight w:val="none"/>
        </w:rPr>
        <w:t>膜等</w:t>
      </w:r>
      <w:r>
        <w:rPr>
          <w:rFonts w:ascii="Times New Roman" w:hAnsi="Times New Roman" w:cs="Times New Roman"/>
          <w:color w:val="auto"/>
          <w:highlight w:val="none"/>
        </w:rPr>
        <w:t>人工</w:t>
      </w:r>
      <w:r>
        <w:rPr>
          <w:rFonts w:hint="eastAsia" w:ascii="Times New Roman" w:hAnsi="Times New Roman" w:cs="Times New Roman"/>
          <w:color w:val="auto"/>
          <w:highlight w:val="none"/>
        </w:rPr>
        <w:t>防渗</w:t>
      </w:r>
      <w:r>
        <w:rPr>
          <w:rFonts w:ascii="Times New Roman" w:hAnsi="Times New Roman" w:cs="Times New Roman"/>
          <w:color w:val="auto"/>
          <w:highlight w:val="none"/>
        </w:rPr>
        <w:t>材料，渗透系数≤10</w:t>
      </w:r>
      <w:r>
        <w:rPr>
          <w:rFonts w:ascii="Times New Roman" w:hAnsi="Times New Roman" w:cs="Times New Roman"/>
          <w:color w:val="auto"/>
          <w:highlight w:val="none"/>
          <w:vertAlign w:val="superscript"/>
        </w:rPr>
        <w:t>-10</w:t>
      </w:r>
      <w:r>
        <w:rPr>
          <w:rFonts w:ascii="Times New Roman" w:hAnsi="Times New Roman" w:cs="Times New Roman"/>
          <w:color w:val="auto"/>
          <w:highlight w:val="none"/>
        </w:rPr>
        <w:t>cm/s</w:t>
      </w:r>
      <w:r>
        <w:rPr>
          <w:rFonts w:hint="eastAsia" w:ascii="Times New Roman" w:hAnsi="Times New Roman" w:cs="Times New Roman"/>
          <w:color w:val="auto"/>
          <w:highlight w:val="none"/>
        </w:rPr>
        <w:t>，或其他防渗性能等效的材料</w:t>
      </w:r>
      <w:r>
        <w:rPr>
          <w:rFonts w:ascii="Times New Roman" w:hAnsi="Times New Roman" w:cs="Times New Roman"/>
          <w:color w:val="auto"/>
          <w:highlight w:val="none"/>
        </w:rPr>
        <w:t>。</w:t>
      </w:r>
    </w:p>
    <w:p w14:paraId="1419CD18">
      <w:pPr>
        <w:adjustRightInd w:val="0"/>
        <w:snapToGrid w:val="0"/>
        <w:spacing w:line="360" w:lineRule="auto"/>
        <w:ind w:left="-105" w:right="-105" w:firstLine="504" w:firstLineChars="200"/>
        <w:jc w:val="both"/>
        <w:rPr>
          <w:rFonts w:ascii="Times New Roman" w:hAnsi="Times New Roman" w:cs="Times New Roman"/>
          <w:color w:val="auto"/>
          <w:highlight w:val="none"/>
        </w:rPr>
      </w:pPr>
      <w:r>
        <w:rPr>
          <w:rFonts w:ascii="Times New Roman" w:hAnsi="Times New Roman" w:cs="Times New Roman"/>
          <w:color w:val="auto"/>
          <w:spacing w:val="6"/>
          <w:highlight w:val="none"/>
        </w:rPr>
        <w:t>危险固废暂存场所的环境保护图形标志见下表。</w:t>
      </w:r>
    </w:p>
    <w:p w14:paraId="11B2A685">
      <w:pPr>
        <w:pStyle w:val="15"/>
        <w:ind w:left="-105" w:right="-105" w:firstLine="482"/>
        <w:rPr>
          <w:bCs/>
          <w:color w:val="auto"/>
          <w:sz w:val="24"/>
          <w:highlight w:val="none"/>
        </w:rPr>
      </w:pPr>
      <w:r>
        <w:rPr>
          <w:rFonts w:eastAsia="宋体" w:cs="Times New Roman"/>
          <w:bCs/>
          <w:color w:val="auto"/>
          <w:sz w:val="24"/>
          <w:highlight w:val="none"/>
        </w:rPr>
        <w:t>表</w:t>
      </w:r>
      <w:r>
        <w:rPr>
          <w:rFonts w:eastAsia="宋体" w:cs="Times New Roman"/>
          <w:bCs/>
          <w:color w:val="auto"/>
          <w:sz w:val="24"/>
          <w:highlight w:val="none"/>
        </w:rPr>
        <w:fldChar w:fldCharType="begin"/>
      </w:r>
      <w:r>
        <w:rPr>
          <w:rFonts w:eastAsia="宋体" w:cs="Times New Roman"/>
          <w:bCs/>
          <w:color w:val="auto"/>
          <w:sz w:val="24"/>
          <w:highlight w:val="none"/>
        </w:rPr>
        <w:instrText xml:space="preserve"> STYLEREF 2 \s </w:instrText>
      </w:r>
      <w:r>
        <w:rPr>
          <w:rFonts w:eastAsia="宋体" w:cs="Times New Roman"/>
          <w:bCs/>
          <w:color w:val="auto"/>
          <w:sz w:val="24"/>
          <w:highlight w:val="none"/>
        </w:rPr>
        <w:fldChar w:fldCharType="separate"/>
      </w:r>
      <w:r>
        <w:rPr>
          <w:rFonts w:eastAsia="宋体" w:cs="Times New Roman"/>
          <w:bCs/>
          <w:color w:val="auto"/>
          <w:sz w:val="24"/>
          <w:highlight w:val="none"/>
        </w:rPr>
        <w:t>7.4</w:t>
      </w:r>
      <w:r>
        <w:rPr>
          <w:rFonts w:eastAsia="宋体" w:cs="Times New Roman"/>
          <w:bCs/>
          <w:color w:val="auto"/>
          <w:sz w:val="24"/>
          <w:highlight w:val="none"/>
        </w:rPr>
        <w:fldChar w:fldCharType="end"/>
      </w:r>
      <w:r>
        <w:rPr>
          <w:rFonts w:eastAsia="宋体" w:cs="Times New Roman"/>
          <w:bCs/>
          <w:color w:val="auto"/>
          <w:sz w:val="24"/>
          <w:highlight w:val="none"/>
        </w:rPr>
        <w:t>-</w:t>
      </w:r>
      <w:r>
        <w:rPr>
          <w:rFonts w:eastAsia="宋体" w:cs="Times New Roman"/>
          <w:bCs/>
          <w:color w:val="auto"/>
          <w:sz w:val="24"/>
          <w:highlight w:val="none"/>
        </w:rPr>
        <w:fldChar w:fldCharType="begin"/>
      </w:r>
      <w:r>
        <w:rPr>
          <w:rFonts w:eastAsia="宋体" w:cs="Times New Roman"/>
          <w:bCs/>
          <w:color w:val="auto"/>
          <w:sz w:val="24"/>
          <w:highlight w:val="none"/>
        </w:rPr>
        <w:instrText xml:space="preserve"> SEQ 表 \* ARABIC \s 2 </w:instrText>
      </w:r>
      <w:r>
        <w:rPr>
          <w:rFonts w:eastAsia="宋体" w:cs="Times New Roman"/>
          <w:bCs/>
          <w:color w:val="auto"/>
          <w:sz w:val="24"/>
          <w:highlight w:val="none"/>
        </w:rPr>
        <w:fldChar w:fldCharType="separate"/>
      </w:r>
      <w:r>
        <w:rPr>
          <w:rFonts w:eastAsia="宋体" w:cs="Times New Roman"/>
          <w:bCs/>
          <w:color w:val="auto"/>
          <w:sz w:val="24"/>
          <w:highlight w:val="none"/>
        </w:rPr>
        <w:t>3</w:t>
      </w:r>
      <w:r>
        <w:rPr>
          <w:rFonts w:eastAsia="宋体" w:cs="Times New Roman"/>
          <w:bCs/>
          <w:color w:val="auto"/>
          <w:sz w:val="24"/>
          <w:highlight w:val="none"/>
        </w:rPr>
        <w:fldChar w:fldCharType="end"/>
      </w:r>
      <w:r>
        <w:rPr>
          <w:rFonts w:eastAsia="宋体" w:cs="Times New Roman"/>
          <w:bCs/>
          <w:color w:val="auto"/>
          <w:sz w:val="24"/>
          <w:highlight w:val="none"/>
        </w:rPr>
        <w:t>危废间的环境保护图形标志</w:t>
      </w:r>
    </w:p>
    <w:tbl>
      <w:tblPr>
        <w:tblStyle w:val="45"/>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845"/>
        <w:gridCol w:w="3864"/>
        <w:gridCol w:w="4011"/>
      </w:tblGrid>
      <w:tr w14:paraId="1ED9F12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84" w:type="pct"/>
            <w:vAlign w:val="center"/>
          </w:tcPr>
          <w:p w14:paraId="2BB41A50">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b/>
                <w:bCs/>
                <w:color w:val="auto"/>
                <w:sz w:val="21"/>
                <w:szCs w:val="21"/>
                <w:highlight w:val="none"/>
              </w:rPr>
            </w:pPr>
            <w:r>
              <w:rPr>
                <w:rFonts w:ascii="Times New Roman" w:hAnsi="Times New Roman" w:cs="Times New Roman"/>
                <w:b/>
                <w:bCs/>
                <w:color w:val="auto"/>
                <w:sz w:val="21"/>
                <w:szCs w:val="21"/>
                <w:highlight w:val="none"/>
              </w:rPr>
              <w:t>危废标识名称</w:t>
            </w:r>
          </w:p>
        </w:tc>
        <w:tc>
          <w:tcPr>
            <w:tcW w:w="2215" w:type="pct"/>
            <w:vAlign w:val="center"/>
          </w:tcPr>
          <w:p w14:paraId="55F02DB8">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b/>
                <w:bCs/>
                <w:color w:val="auto"/>
                <w:sz w:val="21"/>
                <w:szCs w:val="21"/>
                <w:highlight w:val="none"/>
              </w:rPr>
            </w:pPr>
            <w:r>
              <w:rPr>
                <w:rFonts w:ascii="Times New Roman" w:hAnsi="Times New Roman" w:cs="Times New Roman"/>
                <w:b/>
                <w:bCs/>
                <w:color w:val="auto"/>
                <w:sz w:val="21"/>
                <w:szCs w:val="21"/>
                <w:highlight w:val="none"/>
              </w:rPr>
              <w:t>图案样式</w:t>
            </w:r>
          </w:p>
        </w:tc>
        <w:tc>
          <w:tcPr>
            <w:tcW w:w="2300" w:type="pct"/>
            <w:vAlign w:val="center"/>
          </w:tcPr>
          <w:p w14:paraId="3DC79F20">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b/>
                <w:bCs/>
                <w:color w:val="auto"/>
                <w:sz w:val="21"/>
                <w:szCs w:val="21"/>
                <w:highlight w:val="none"/>
              </w:rPr>
            </w:pPr>
            <w:r>
              <w:rPr>
                <w:rFonts w:ascii="Times New Roman" w:hAnsi="Times New Roman" w:cs="Times New Roman"/>
                <w:b/>
                <w:bCs/>
                <w:color w:val="auto"/>
                <w:sz w:val="21"/>
                <w:szCs w:val="21"/>
                <w:highlight w:val="none"/>
              </w:rPr>
              <w:t>设置规范</w:t>
            </w:r>
          </w:p>
        </w:tc>
      </w:tr>
      <w:tr w14:paraId="1A335BD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84" w:type="pct"/>
            <w:vAlign w:val="center"/>
          </w:tcPr>
          <w:p w14:paraId="529B5C64">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bCs/>
                <w:color w:val="auto"/>
                <w:sz w:val="21"/>
                <w:szCs w:val="21"/>
                <w:highlight w:val="none"/>
              </w:rPr>
            </w:pPr>
            <w:r>
              <w:rPr>
                <w:rFonts w:ascii="Times New Roman" w:hAnsi="Times New Roman" w:cs="Times New Roman"/>
                <w:bCs/>
                <w:color w:val="auto"/>
                <w:sz w:val="21"/>
                <w:szCs w:val="21"/>
                <w:highlight w:val="none"/>
              </w:rPr>
              <w:t>贮存设施警示标志牌</w:t>
            </w:r>
          </w:p>
        </w:tc>
        <w:tc>
          <w:tcPr>
            <w:tcW w:w="2215" w:type="pct"/>
            <w:vAlign w:val="center"/>
          </w:tcPr>
          <w:p w14:paraId="6827688D">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drawing>
                <wp:inline distT="0" distB="0" distL="0" distR="0">
                  <wp:extent cx="1759585" cy="1155700"/>
                  <wp:effectExtent l="0" t="0" r="12065" b="6350"/>
                  <wp:docPr id="4" name="图片 1" descr="16778099007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 descr="1677809900747"/>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a:xfrm>
                            <a:off x="0" y="0"/>
                            <a:ext cx="1759585" cy="1155700"/>
                          </a:xfrm>
                          <a:prstGeom prst="rect">
                            <a:avLst/>
                          </a:prstGeom>
                          <a:noFill/>
                          <a:ln>
                            <a:noFill/>
                          </a:ln>
                        </pic:spPr>
                      </pic:pic>
                    </a:graphicData>
                  </a:graphic>
                </wp:inline>
              </w:drawing>
            </w:r>
            <w:r>
              <w:rPr>
                <w:rFonts w:ascii="Times New Roman" w:hAnsi="Times New Roman" w:cs="Times New Roman"/>
                <w:color w:val="auto"/>
                <w:sz w:val="21"/>
                <w:szCs w:val="21"/>
                <w:highlight w:val="none"/>
              </w:rPr>
              <w:drawing>
                <wp:inline distT="0" distB="0" distL="0" distR="0">
                  <wp:extent cx="1268095" cy="2026920"/>
                  <wp:effectExtent l="0" t="0" r="8255" b="11430"/>
                  <wp:docPr id="13" name="图片 2" descr="16778102963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2" descr="1677810296352"/>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a:xfrm>
                            <a:off x="0" y="0"/>
                            <a:ext cx="1268095" cy="2026920"/>
                          </a:xfrm>
                          <a:prstGeom prst="rect">
                            <a:avLst/>
                          </a:prstGeom>
                          <a:noFill/>
                          <a:ln>
                            <a:noFill/>
                          </a:ln>
                        </pic:spPr>
                      </pic:pic>
                    </a:graphicData>
                  </a:graphic>
                </wp:inline>
              </w:drawing>
            </w:r>
          </w:p>
        </w:tc>
        <w:tc>
          <w:tcPr>
            <w:tcW w:w="2300" w:type="pct"/>
            <w:vAlign w:val="center"/>
          </w:tcPr>
          <w:p w14:paraId="071371E2">
            <w:pPr>
              <w:keepNext w:val="0"/>
              <w:keepLines w:val="0"/>
              <w:pageBreakBefore w:val="0"/>
              <w:widowControl/>
              <w:kinsoku/>
              <w:wordWrap/>
              <w:overflowPunct/>
              <w:topLinePunct w:val="0"/>
              <w:autoSpaceDE/>
              <w:autoSpaceDN/>
              <w:bidi w:val="0"/>
              <w:adjustRightInd/>
              <w:snapToGrid/>
              <w:ind w:left="0" w:right="0"/>
              <w:textAlignment w:val="auto"/>
              <w:rPr>
                <w:rFonts w:ascii="Times New Roman" w:hAnsi="Times New Roman" w:cs="Times New Roman"/>
                <w:color w:val="auto"/>
                <w:sz w:val="21"/>
                <w:szCs w:val="21"/>
                <w:highlight w:val="none"/>
              </w:rPr>
            </w:pPr>
            <w:r>
              <w:rPr>
                <w:rFonts w:ascii="Times New Roman" w:hAnsi="Times New Roman" w:cs="Times New Roman"/>
                <w:snapToGrid w:val="0"/>
                <w:color w:val="auto"/>
                <w:sz w:val="21"/>
                <w:szCs w:val="21"/>
                <w:highlight w:val="none"/>
              </w:rPr>
              <w:t>危险废物设施标志可采用附着式和柱式两种固定方式，应优先选择附着式，当无法选择附着式时，可选择柱式，附着式标志的设置高度，应尽量与视线高度一致；柱式的标志和支架应牢固地联接在一起，标志牌最上端距地面约2m；位于室外的标志牌中，支架固定在地下的，其支架埋深约0.3m。</w:t>
            </w:r>
          </w:p>
        </w:tc>
      </w:tr>
      <w:tr w14:paraId="6F59AB3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84" w:type="pct"/>
            <w:vAlign w:val="center"/>
          </w:tcPr>
          <w:p w14:paraId="77379209">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bCs/>
                <w:color w:val="auto"/>
                <w:sz w:val="21"/>
                <w:szCs w:val="21"/>
                <w:highlight w:val="none"/>
              </w:rPr>
            </w:pPr>
            <w:r>
              <w:rPr>
                <w:rFonts w:ascii="Times New Roman" w:hAnsi="Times New Roman" w:cs="Times New Roman"/>
                <w:bCs/>
                <w:color w:val="auto"/>
                <w:sz w:val="21"/>
                <w:szCs w:val="21"/>
                <w:highlight w:val="none"/>
              </w:rPr>
              <w:t>包装识别标签</w:t>
            </w:r>
          </w:p>
        </w:tc>
        <w:tc>
          <w:tcPr>
            <w:tcW w:w="2215" w:type="pct"/>
            <w:vAlign w:val="center"/>
          </w:tcPr>
          <w:p w14:paraId="5DAD487D">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bCs/>
                <w:color w:val="auto"/>
                <w:sz w:val="21"/>
                <w:szCs w:val="21"/>
                <w:highlight w:val="none"/>
              </w:rPr>
            </w:pPr>
            <w:r>
              <w:rPr>
                <w:rFonts w:ascii="Times New Roman" w:hAnsi="Times New Roman" w:cs="Times New Roman"/>
                <w:color w:val="auto"/>
                <w:sz w:val="21"/>
                <w:szCs w:val="21"/>
                <w:highlight w:val="none"/>
              </w:rPr>
              <w:drawing>
                <wp:inline distT="0" distB="0" distL="0" distR="0">
                  <wp:extent cx="2139315" cy="2130425"/>
                  <wp:effectExtent l="0" t="0" r="13335" b="3175"/>
                  <wp:docPr id="14"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3"/>
                          <pic:cNvPicPr>
                            <a:picLocks noChangeAspect="1" noChangeArrowheads="1"/>
                          </pic:cNvPicPr>
                        </pic:nvPicPr>
                        <pic:blipFill>
                          <a:blip r:embed="rId62" cstate="print">
                            <a:extLst>
                              <a:ext uri="{28A0092B-C50C-407E-A947-70E740481C1C}">
                                <a14:useLocalDpi xmlns:a14="http://schemas.microsoft.com/office/drawing/2010/main" val="0"/>
                              </a:ext>
                            </a:extLst>
                          </a:blip>
                          <a:srcRect/>
                          <a:stretch>
                            <a:fillRect/>
                          </a:stretch>
                        </pic:blipFill>
                        <pic:spPr>
                          <a:xfrm>
                            <a:off x="0" y="0"/>
                            <a:ext cx="2139315" cy="2130425"/>
                          </a:xfrm>
                          <a:prstGeom prst="rect">
                            <a:avLst/>
                          </a:prstGeom>
                          <a:noFill/>
                          <a:ln>
                            <a:noFill/>
                          </a:ln>
                        </pic:spPr>
                      </pic:pic>
                    </a:graphicData>
                  </a:graphic>
                </wp:inline>
              </w:drawing>
            </w:r>
          </w:p>
        </w:tc>
        <w:tc>
          <w:tcPr>
            <w:tcW w:w="2300" w:type="pct"/>
            <w:vAlign w:val="center"/>
          </w:tcPr>
          <w:p w14:paraId="3FDEFA37">
            <w:pPr>
              <w:keepNext w:val="0"/>
              <w:keepLines w:val="0"/>
              <w:pageBreakBefore w:val="0"/>
              <w:widowControl/>
              <w:kinsoku/>
              <w:wordWrap/>
              <w:overflowPunct/>
              <w:topLinePunct w:val="0"/>
              <w:autoSpaceDE/>
              <w:autoSpaceDN/>
              <w:bidi w:val="0"/>
              <w:adjustRightInd/>
              <w:snapToGrid/>
              <w:ind w:left="0" w:right="0"/>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1.危险废物标签背景色应采用醒目的橘黄色，RGB颜色值为（255,150,0）。标签边框和字体颜色为黑色，RGB颜色值为（0,0,0）。</w:t>
            </w:r>
          </w:p>
          <w:p w14:paraId="45837D12">
            <w:pPr>
              <w:keepNext w:val="0"/>
              <w:keepLines w:val="0"/>
              <w:pageBreakBefore w:val="0"/>
              <w:widowControl/>
              <w:kinsoku/>
              <w:wordWrap/>
              <w:overflowPunct/>
              <w:topLinePunct w:val="0"/>
              <w:autoSpaceDE/>
              <w:autoSpaceDN/>
              <w:bidi w:val="0"/>
              <w:adjustRightInd/>
              <w:snapToGrid/>
              <w:ind w:left="0" w:right="0"/>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2.危险废物标签字体宜采用黑体字，其中“危险废物”字样应加粗放大。</w:t>
            </w:r>
          </w:p>
          <w:p w14:paraId="44D0F212">
            <w:pPr>
              <w:keepNext w:val="0"/>
              <w:keepLines w:val="0"/>
              <w:pageBreakBefore w:val="0"/>
              <w:widowControl/>
              <w:kinsoku/>
              <w:wordWrap/>
              <w:overflowPunct/>
              <w:topLinePunct w:val="0"/>
              <w:autoSpaceDE/>
              <w:autoSpaceDN/>
              <w:bidi w:val="0"/>
              <w:adjustRightInd/>
              <w:snapToGrid/>
              <w:ind w:left="0" w:right="0"/>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3.危险废物标签的尺寸宜根据容器或包装物要求设置，容器或包装容积≤50L，标签最小尺寸100×100mm，最低文字高度3mm；容器或包装容积50~450L，标签最小尺寸150×150mm，最低文字高度5mm；容器或包装容积＞450L，标签最小尺寸200×200mm，最低文字高度6mm。</w:t>
            </w:r>
          </w:p>
          <w:p w14:paraId="42F88B04">
            <w:pPr>
              <w:keepNext w:val="0"/>
              <w:keepLines w:val="0"/>
              <w:pageBreakBefore w:val="0"/>
              <w:widowControl/>
              <w:kinsoku/>
              <w:wordWrap/>
              <w:overflowPunct/>
              <w:topLinePunct w:val="0"/>
              <w:autoSpaceDE/>
              <w:autoSpaceDN/>
              <w:bidi w:val="0"/>
              <w:adjustRightInd/>
              <w:snapToGrid/>
              <w:ind w:left="0" w:right="0"/>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4.危险废物标签所选用的材质宜具有一定的耐用性和防水性。标签可采用不干胶印刷品，或印刷品外加防水塑料袋或塑封等。</w:t>
            </w:r>
          </w:p>
          <w:p w14:paraId="32AEC83B">
            <w:pPr>
              <w:keepNext w:val="0"/>
              <w:keepLines w:val="0"/>
              <w:pageBreakBefore w:val="0"/>
              <w:widowControl/>
              <w:kinsoku/>
              <w:wordWrap/>
              <w:overflowPunct/>
              <w:topLinePunct w:val="0"/>
              <w:autoSpaceDE/>
              <w:autoSpaceDN/>
              <w:bidi w:val="0"/>
              <w:adjustRightInd/>
              <w:snapToGrid/>
              <w:ind w:left="0" w:right="0"/>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5.危险废物标签印刷的油墨应均匀，图案和文字应清晰、完整。危险废物标签的文字边缘宜加黑色边框，边框宽度不小于1mm，边框外宜留不小于3mm的空白。</w:t>
            </w:r>
          </w:p>
        </w:tc>
      </w:tr>
      <w:tr w14:paraId="308529C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84" w:type="pct"/>
            <w:vAlign w:val="center"/>
          </w:tcPr>
          <w:p w14:paraId="39418D18">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bCs/>
                <w:color w:val="auto"/>
                <w:sz w:val="21"/>
                <w:szCs w:val="21"/>
                <w:highlight w:val="none"/>
              </w:rPr>
            </w:pPr>
            <w:r>
              <w:rPr>
                <w:rFonts w:ascii="Times New Roman" w:hAnsi="Times New Roman" w:cs="Times New Roman"/>
                <w:bCs/>
                <w:color w:val="auto"/>
                <w:sz w:val="21"/>
                <w:szCs w:val="21"/>
                <w:highlight w:val="none"/>
              </w:rPr>
              <w:t>固体废物贮存、处置场图形标志</w:t>
            </w:r>
          </w:p>
        </w:tc>
        <w:tc>
          <w:tcPr>
            <w:tcW w:w="2215" w:type="pct"/>
            <w:vAlign w:val="center"/>
          </w:tcPr>
          <w:p w14:paraId="47C2E006">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drawing>
                <wp:inline distT="0" distB="0" distL="0" distR="0">
                  <wp:extent cx="2182495" cy="1621790"/>
                  <wp:effectExtent l="0" t="0" r="8255" b="16510"/>
                  <wp:docPr id="15"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7"/>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a:xfrm>
                            <a:off x="0" y="0"/>
                            <a:ext cx="2182495" cy="1621790"/>
                          </a:xfrm>
                          <a:prstGeom prst="rect">
                            <a:avLst/>
                          </a:prstGeom>
                          <a:noFill/>
                          <a:ln>
                            <a:noFill/>
                          </a:ln>
                        </pic:spPr>
                      </pic:pic>
                    </a:graphicData>
                  </a:graphic>
                </wp:inline>
              </w:drawing>
            </w:r>
          </w:p>
        </w:tc>
        <w:tc>
          <w:tcPr>
            <w:tcW w:w="2300" w:type="pct"/>
            <w:vAlign w:val="center"/>
          </w:tcPr>
          <w:p w14:paraId="1064712B">
            <w:pPr>
              <w:keepNext w:val="0"/>
              <w:keepLines w:val="0"/>
              <w:pageBreakBefore w:val="0"/>
              <w:widowControl/>
              <w:kinsoku/>
              <w:wordWrap/>
              <w:overflowPunct/>
              <w:topLinePunct w:val="0"/>
              <w:autoSpaceDE/>
              <w:autoSpaceDN/>
              <w:bidi w:val="0"/>
              <w:adjustRightInd/>
              <w:snapToGrid/>
              <w:ind w:left="0" w:right="0"/>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《环境保护图形标志—固体废物贮存（处置）场》（GB15562.2-1995）修改单将表示危险废物贮存、处置场的警告图形符号修改为左图</w:t>
            </w:r>
          </w:p>
        </w:tc>
      </w:tr>
      <w:tr w14:paraId="15C8612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84" w:type="pct"/>
            <w:vAlign w:val="center"/>
          </w:tcPr>
          <w:p w14:paraId="115D0C31">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bCs/>
                <w:color w:val="auto"/>
                <w:sz w:val="21"/>
                <w:szCs w:val="21"/>
                <w:highlight w:val="none"/>
              </w:rPr>
            </w:pPr>
            <w:r>
              <w:rPr>
                <w:rFonts w:ascii="Times New Roman" w:hAnsi="Times New Roman" w:cs="Times New Roman"/>
                <w:bCs/>
                <w:color w:val="auto"/>
                <w:kern w:val="21"/>
                <w:sz w:val="21"/>
                <w:szCs w:val="21"/>
                <w:highlight w:val="none"/>
              </w:rPr>
              <w:t>危险废物贮存分区标志</w:t>
            </w:r>
          </w:p>
        </w:tc>
        <w:tc>
          <w:tcPr>
            <w:tcW w:w="2215" w:type="pct"/>
            <w:vAlign w:val="center"/>
          </w:tcPr>
          <w:p w14:paraId="02CBC9CC">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kern w:val="21"/>
                <w:sz w:val="21"/>
                <w:szCs w:val="21"/>
                <w:highlight w:val="none"/>
              </w:rPr>
              <w:drawing>
                <wp:inline distT="0" distB="0" distL="0" distR="0">
                  <wp:extent cx="2242820" cy="1863090"/>
                  <wp:effectExtent l="0" t="0" r="5080" b="3810"/>
                  <wp:docPr id="16" name="图片 1" descr="图示&#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 descr="图示&#10;&#10;描述已自动生成"/>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a:xfrm>
                            <a:off x="0" y="0"/>
                            <a:ext cx="2242820" cy="1863090"/>
                          </a:xfrm>
                          <a:prstGeom prst="rect">
                            <a:avLst/>
                          </a:prstGeom>
                          <a:noFill/>
                          <a:ln>
                            <a:noFill/>
                          </a:ln>
                        </pic:spPr>
                      </pic:pic>
                    </a:graphicData>
                  </a:graphic>
                </wp:inline>
              </w:drawing>
            </w:r>
          </w:p>
        </w:tc>
        <w:tc>
          <w:tcPr>
            <w:tcW w:w="2300" w:type="pct"/>
            <w:vAlign w:val="center"/>
          </w:tcPr>
          <w:p w14:paraId="7501AEA5">
            <w:pPr>
              <w:keepNext w:val="0"/>
              <w:keepLines w:val="0"/>
              <w:pageBreakBefore w:val="0"/>
              <w:widowControl/>
              <w:kinsoku/>
              <w:wordWrap/>
              <w:overflowPunct/>
              <w:topLinePunct w:val="0"/>
              <w:autoSpaceDE/>
              <w:autoSpaceDN/>
              <w:bidi w:val="0"/>
              <w:adjustRightInd/>
              <w:snapToGrid/>
              <w:ind w:left="0" w:right="0"/>
              <w:textAlignment w:val="auto"/>
              <w:rPr>
                <w:rFonts w:ascii="Times New Roman" w:hAnsi="Times New Roman" w:cs="Times New Roman"/>
                <w:bCs/>
                <w:color w:val="auto"/>
                <w:kern w:val="21"/>
                <w:sz w:val="21"/>
                <w:szCs w:val="21"/>
                <w:highlight w:val="none"/>
              </w:rPr>
            </w:pPr>
            <w:r>
              <w:rPr>
                <w:rFonts w:ascii="Times New Roman" w:hAnsi="Times New Roman" w:cs="Times New Roman"/>
                <w:bCs/>
                <w:color w:val="auto"/>
                <w:kern w:val="21"/>
                <w:sz w:val="21"/>
                <w:szCs w:val="21"/>
                <w:highlight w:val="none"/>
              </w:rPr>
              <w:t>1.颜色：危险废物分区标志背景色应采用黄色，RGB颜色值为（255,255,0）。废物种类信息应采用醒目的橘黄色，RGB颜色值为（255,150,0）。字体颜色为黑色，RGB颜色值为（0,0,0）。</w:t>
            </w:r>
          </w:p>
          <w:p w14:paraId="4AC53B40">
            <w:pPr>
              <w:keepNext w:val="0"/>
              <w:keepLines w:val="0"/>
              <w:pageBreakBefore w:val="0"/>
              <w:widowControl/>
              <w:kinsoku/>
              <w:wordWrap/>
              <w:overflowPunct/>
              <w:topLinePunct w:val="0"/>
              <w:autoSpaceDE/>
              <w:autoSpaceDN/>
              <w:bidi w:val="0"/>
              <w:adjustRightInd/>
              <w:snapToGrid/>
              <w:ind w:left="0" w:right="0"/>
              <w:textAlignment w:val="auto"/>
              <w:rPr>
                <w:rFonts w:ascii="Times New Roman" w:hAnsi="Times New Roman" w:cs="Times New Roman"/>
                <w:bCs/>
                <w:color w:val="auto"/>
                <w:kern w:val="21"/>
                <w:sz w:val="21"/>
                <w:szCs w:val="21"/>
                <w:highlight w:val="none"/>
              </w:rPr>
            </w:pPr>
            <w:r>
              <w:rPr>
                <w:rFonts w:ascii="Times New Roman" w:hAnsi="Times New Roman" w:cs="Times New Roman"/>
                <w:bCs/>
                <w:color w:val="auto"/>
                <w:kern w:val="21"/>
                <w:sz w:val="21"/>
                <w:szCs w:val="21"/>
                <w:highlight w:val="none"/>
              </w:rPr>
              <w:t>2.字体：危险废物分区标志的字体宜采用黑体字，其中“危险废物贮存分区标志”字样应加粗放大并居中显示。</w:t>
            </w:r>
          </w:p>
          <w:p w14:paraId="60430666">
            <w:pPr>
              <w:keepNext w:val="0"/>
              <w:keepLines w:val="0"/>
              <w:pageBreakBefore w:val="0"/>
              <w:widowControl/>
              <w:kinsoku/>
              <w:wordWrap/>
              <w:overflowPunct/>
              <w:topLinePunct w:val="0"/>
              <w:autoSpaceDE/>
              <w:autoSpaceDN/>
              <w:bidi w:val="0"/>
              <w:adjustRightInd/>
              <w:snapToGrid/>
              <w:ind w:left="0" w:right="0"/>
              <w:textAlignment w:val="auto"/>
              <w:rPr>
                <w:rFonts w:ascii="Times New Roman" w:hAnsi="Times New Roman" w:cs="Times New Roman"/>
                <w:bCs/>
                <w:color w:val="auto"/>
                <w:kern w:val="21"/>
                <w:sz w:val="21"/>
                <w:szCs w:val="21"/>
                <w:highlight w:val="none"/>
              </w:rPr>
            </w:pPr>
            <w:r>
              <w:rPr>
                <w:rFonts w:ascii="Times New Roman" w:hAnsi="Times New Roman" w:cs="Times New Roman"/>
                <w:bCs/>
                <w:color w:val="auto"/>
                <w:kern w:val="21"/>
                <w:sz w:val="21"/>
                <w:szCs w:val="21"/>
                <w:highlight w:val="none"/>
              </w:rPr>
              <w:t>3.尺寸：观察距离0＜L≤2.5m，标志整体外形尺寸300*300mm，贮存分区标志最低文字高度20mm；观察距离2.5＜L≤4m，标志整体外形尺寸450*450mm，贮存分区标志最低文字高度30mm；观察距离L＞4m，标志整体外形尺寸600*600mm，贮存分区标志最低文字高度40mm；</w:t>
            </w:r>
          </w:p>
          <w:p w14:paraId="751DABDD">
            <w:pPr>
              <w:keepNext w:val="0"/>
              <w:keepLines w:val="0"/>
              <w:pageBreakBefore w:val="0"/>
              <w:widowControl/>
              <w:kinsoku/>
              <w:wordWrap/>
              <w:overflowPunct/>
              <w:topLinePunct w:val="0"/>
              <w:autoSpaceDE/>
              <w:autoSpaceDN/>
              <w:bidi w:val="0"/>
              <w:adjustRightInd/>
              <w:snapToGrid/>
              <w:ind w:left="0" w:right="0"/>
              <w:textAlignment w:val="auto"/>
              <w:rPr>
                <w:rFonts w:ascii="Times New Roman" w:hAnsi="Times New Roman" w:cs="Times New Roman"/>
                <w:bCs/>
                <w:color w:val="auto"/>
                <w:kern w:val="21"/>
                <w:sz w:val="21"/>
                <w:szCs w:val="21"/>
                <w:highlight w:val="none"/>
              </w:rPr>
            </w:pPr>
            <w:r>
              <w:rPr>
                <w:rFonts w:ascii="Times New Roman" w:hAnsi="Times New Roman" w:cs="Times New Roman"/>
                <w:bCs/>
                <w:color w:val="auto"/>
                <w:kern w:val="21"/>
                <w:sz w:val="21"/>
                <w:szCs w:val="21"/>
                <w:highlight w:val="none"/>
              </w:rPr>
              <w:t>4.材质：危险废物贮存分区标志的衬底宜采用坚固耐用的材料，并具有耐用性和防水性。废物贮存种类信息等可采用印刷纸张、不粘胶材质或塑料卡片等，以便固定在衬底上。</w:t>
            </w:r>
          </w:p>
          <w:p w14:paraId="6B7ECE5A">
            <w:pPr>
              <w:keepNext w:val="0"/>
              <w:keepLines w:val="0"/>
              <w:pageBreakBefore w:val="0"/>
              <w:widowControl/>
              <w:kinsoku/>
              <w:wordWrap/>
              <w:overflowPunct/>
              <w:topLinePunct w:val="0"/>
              <w:autoSpaceDE/>
              <w:autoSpaceDN/>
              <w:bidi w:val="0"/>
              <w:adjustRightInd/>
              <w:snapToGrid/>
              <w:ind w:left="0" w:right="0"/>
              <w:textAlignment w:val="auto"/>
              <w:rPr>
                <w:rFonts w:ascii="Times New Roman" w:hAnsi="Times New Roman" w:cs="Times New Roman"/>
                <w:color w:val="auto"/>
                <w:sz w:val="21"/>
                <w:szCs w:val="21"/>
                <w:highlight w:val="none"/>
              </w:rPr>
            </w:pPr>
            <w:r>
              <w:rPr>
                <w:rFonts w:ascii="Times New Roman" w:hAnsi="Times New Roman" w:cs="Times New Roman"/>
                <w:bCs/>
                <w:color w:val="auto"/>
                <w:kern w:val="21"/>
                <w:sz w:val="21"/>
                <w:szCs w:val="21"/>
                <w:highlight w:val="none"/>
              </w:rPr>
              <w:t>5.印刷：危险废物贮存分区标志的图形和文字应清晰、完整，保证在足够的观察距离条件下不影响阅读。“危险废物贮存分区标志”字样与其他信息宜加黑色分界线区分，分界线的宽度不小于2mm。</w:t>
            </w:r>
          </w:p>
        </w:tc>
      </w:tr>
    </w:tbl>
    <w:p w14:paraId="514EB66D">
      <w:pPr>
        <w:adjustRightInd w:val="0"/>
        <w:snapToGrid w:val="0"/>
        <w:spacing w:line="360" w:lineRule="auto"/>
        <w:ind w:left="-105" w:right="-105" w:firstLine="480" w:firstLineChars="200"/>
        <w:jc w:val="both"/>
        <w:rPr>
          <w:rFonts w:ascii="Times New Roman" w:hAnsi="Times New Roman" w:cs="Times New Roman"/>
          <w:color w:val="auto"/>
          <w:highlight w:val="none"/>
        </w:rPr>
      </w:pPr>
      <w:r>
        <w:rPr>
          <w:rFonts w:ascii="Times New Roman" w:hAnsi="Times New Roman" w:cs="Times New Roman"/>
          <w:color w:val="auto"/>
          <w:highlight w:val="none"/>
        </w:rPr>
        <w:t>建设单位应设有专人专职负责危险废物的收集、暂存和保管，加强对危险废物的管理，保证得到及时处理，防止造成二次污染。必须指出的是，固体废物处理处置前在厂内的堆放、贮存场所应按照国家固体废物贮存有关要求设置，危险废物应分类收集、贮存，防止危险废物与一般工业固体废物、生活垃圾混放后，引发危险废物的二次污染；各种固体废物在厂内堆放和转移输运过程应防止对环境造成影响，堆放场所采取防火、防扬散、防流失、防渗漏或者其他防止污染环境的措施后，降低对环境的影响。</w:t>
      </w:r>
    </w:p>
    <w:p w14:paraId="5FFEA037">
      <w:pPr>
        <w:adjustRightInd w:val="0"/>
        <w:snapToGrid w:val="0"/>
        <w:spacing w:line="360" w:lineRule="auto"/>
        <w:ind w:left="-105" w:right="-105" w:firstLine="480" w:firstLineChars="200"/>
        <w:rPr>
          <w:rFonts w:ascii="Times New Roman" w:hAnsi="Times New Roman" w:cs="Times New Roman"/>
          <w:color w:val="auto"/>
          <w:highlight w:val="none"/>
        </w:rPr>
      </w:pPr>
      <w:bookmarkStart w:id="463" w:name="_Hlk93579082"/>
      <w:r>
        <w:rPr>
          <w:rFonts w:ascii="Times New Roman" w:hAnsi="Times New Roman" w:cs="Times New Roman"/>
          <w:color w:val="auto"/>
          <w:highlight w:val="none"/>
        </w:rPr>
        <w:t>本项目与</w:t>
      </w:r>
      <w:r>
        <w:rPr>
          <w:rFonts w:hint="eastAsia" w:ascii="Times New Roman" w:hAnsi="Times New Roman" w:cs="Times New Roman"/>
          <w:color w:val="auto"/>
          <w:highlight w:val="none"/>
        </w:rPr>
        <w:t>《危险废物贮存污染控制标准》（GB18597-2023）</w:t>
      </w:r>
      <w:r>
        <w:rPr>
          <w:rFonts w:ascii="Times New Roman" w:hAnsi="Times New Roman" w:cs="Times New Roman"/>
          <w:color w:val="auto"/>
          <w:highlight w:val="none"/>
        </w:rPr>
        <w:t>的对照相符性分析</w:t>
      </w:r>
      <w:bookmarkEnd w:id="463"/>
      <w:r>
        <w:rPr>
          <w:rFonts w:ascii="Times New Roman" w:hAnsi="Times New Roman" w:cs="Times New Roman"/>
          <w:color w:val="auto"/>
          <w:highlight w:val="none"/>
        </w:rPr>
        <w:t>见下表</w:t>
      </w:r>
      <w:r>
        <w:rPr>
          <w:rFonts w:hint="eastAsia" w:ascii="Times New Roman" w:hAnsi="Times New Roman" w:cs="Times New Roman"/>
          <w:color w:val="auto"/>
          <w:highlight w:val="none"/>
        </w:rPr>
        <w:t>：</w:t>
      </w:r>
    </w:p>
    <w:p w14:paraId="37AF165A">
      <w:pPr>
        <w:pStyle w:val="15"/>
        <w:adjustRightInd w:val="0"/>
        <w:snapToGrid w:val="0"/>
        <w:spacing w:line="360" w:lineRule="auto"/>
        <w:ind w:left="-105" w:right="-105" w:firstLine="482"/>
        <w:rPr>
          <w:rFonts w:eastAsia="宋体" w:cs="Times New Roman"/>
          <w:color w:val="auto"/>
          <w:sz w:val="24"/>
          <w:szCs w:val="24"/>
          <w:highlight w:val="none"/>
        </w:rPr>
      </w:pPr>
      <w:r>
        <w:rPr>
          <w:rFonts w:eastAsia="宋体" w:cs="Times New Roman"/>
          <w:color w:val="auto"/>
          <w:sz w:val="24"/>
          <w:szCs w:val="24"/>
          <w:highlight w:val="none"/>
        </w:rPr>
        <w:t>表</w:t>
      </w:r>
      <w:r>
        <w:rPr>
          <w:rFonts w:eastAsia="宋体" w:cs="Times New Roman"/>
          <w:color w:val="auto"/>
          <w:sz w:val="24"/>
          <w:szCs w:val="24"/>
          <w:highlight w:val="none"/>
        </w:rPr>
        <w:fldChar w:fldCharType="begin"/>
      </w:r>
      <w:r>
        <w:rPr>
          <w:rFonts w:eastAsia="宋体" w:cs="Times New Roman"/>
          <w:color w:val="auto"/>
          <w:sz w:val="24"/>
          <w:szCs w:val="24"/>
          <w:highlight w:val="none"/>
        </w:rPr>
        <w:instrText xml:space="preserve"> STYLEREF 2 \s </w:instrText>
      </w:r>
      <w:r>
        <w:rPr>
          <w:rFonts w:eastAsia="宋体" w:cs="Times New Roman"/>
          <w:color w:val="auto"/>
          <w:sz w:val="24"/>
          <w:szCs w:val="24"/>
          <w:highlight w:val="none"/>
        </w:rPr>
        <w:fldChar w:fldCharType="separate"/>
      </w:r>
      <w:r>
        <w:rPr>
          <w:rFonts w:eastAsia="宋体" w:cs="Times New Roman"/>
          <w:color w:val="auto"/>
          <w:sz w:val="24"/>
          <w:szCs w:val="24"/>
          <w:highlight w:val="none"/>
        </w:rPr>
        <w:t>7.4</w:t>
      </w:r>
      <w:r>
        <w:rPr>
          <w:rFonts w:eastAsia="宋体" w:cs="Times New Roman"/>
          <w:color w:val="auto"/>
          <w:sz w:val="24"/>
          <w:szCs w:val="24"/>
          <w:highlight w:val="none"/>
        </w:rPr>
        <w:fldChar w:fldCharType="end"/>
      </w:r>
      <w:r>
        <w:rPr>
          <w:rFonts w:eastAsia="宋体" w:cs="Times New Roman"/>
          <w:color w:val="auto"/>
          <w:sz w:val="24"/>
          <w:szCs w:val="24"/>
          <w:highlight w:val="none"/>
        </w:rPr>
        <w:t>-</w:t>
      </w:r>
      <w:r>
        <w:rPr>
          <w:rFonts w:eastAsia="宋体" w:cs="Times New Roman"/>
          <w:color w:val="auto"/>
          <w:sz w:val="24"/>
          <w:szCs w:val="24"/>
          <w:highlight w:val="none"/>
        </w:rPr>
        <w:fldChar w:fldCharType="begin"/>
      </w:r>
      <w:r>
        <w:rPr>
          <w:rFonts w:eastAsia="宋体" w:cs="Times New Roman"/>
          <w:color w:val="auto"/>
          <w:sz w:val="24"/>
          <w:szCs w:val="24"/>
          <w:highlight w:val="none"/>
        </w:rPr>
        <w:instrText xml:space="preserve"> SEQ 表 \* ARABIC \s 2 </w:instrText>
      </w:r>
      <w:r>
        <w:rPr>
          <w:rFonts w:eastAsia="宋体" w:cs="Times New Roman"/>
          <w:color w:val="auto"/>
          <w:sz w:val="24"/>
          <w:szCs w:val="24"/>
          <w:highlight w:val="none"/>
        </w:rPr>
        <w:fldChar w:fldCharType="separate"/>
      </w:r>
      <w:r>
        <w:rPr>
          <w:rFonts w:eastAsia="宋体" w:cs="Times New Roman"/>
          <w:color w:val="auto"/>
          <w:sz w:val="24"/>
          <w:szCs w:val="24"/>
          <w:highlight w:val="none"/>
        </w:rPr>
        <w:t>4</w:t>
      </w:r>
      <w:r>
        <w:rPr>
          <w:rFonts w:eastAsia="宋体" w:cs="Times New Roman"/>
          <w:color w:val="auto"/>
          <w:sz w:val="24"/>
          <w:szCs w:val="24"/>
          <w:highlight w:val="none"/>
        </w:rPr>
        <w:fldChar w:fldCharType="end"/>
      </w:r>
      <w:r>
        <w:rPr>
          <w:rFonts w:eastAsia="宋体" w:cs="Times New Roman"/>
          <w:color w:val="auto"/>
          <w:sz w:val="24"/>
          <w:szCs w:val="24"/>
          <w:highlight w:val="none"/>
        </w:rPr>
        <w:t>贮存设施建设要求</w:t>
      </w:r>
    </w:p>
    <w:tbl>
      <w:tblPr>
        <w:tblStyle w:val="45"/>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456"/>
        <w:gridCol w:w="3792"/>
        <w:gridCol w:w="3226"/>
        <w:gridCol w:w="1030"/>
      </w:tblGrid>
      <w:tr w14:paraId="25D760B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268" w:type="pct"/>
            <w:vAlign w:val="center"/>
          </w:tcPr>
          <w:p w14:paraId="39947CF7">
            <w:pPr>
              <w:keepNext w:val="0"/>
              <w:keepLines w:val="0"/>
              <w:pageBreakBefore w:val="0"/>
              <w:kinsoku/>
              <w:wordWrap/>
              <w:overflowPunct/>
              <w:topLinePunct w:val="0"/>
              <w:autoSpaceDE/>
              <w:autoSpaceDN/>
              <w:bidi w:val="0"/>
              <w:ind w:left="0" w:right="0"/>
              <w:jc w:val="center"/>
              <w:textAlignment w:val="auto"/>
              <w:rPr>
                <w:rFonts w:ascii="Times New Roman" w:hAnsi="Times New Roman" w:cs="Times New Roman"/>
                <w:b/>
                <w:bCs/>
                <w:color w:val="auto"/>
                <w:sz w:val="21"/>
                <w:szCs w:val="21"/>
                <w:highlight w:val="none"/>
              </w:rPr>
            </w:pPr>
            <w:r>
              <w:rPr>
                <w:rFonts w:ascii="Times New Roman" w:hAnsi="Times New Roman" w:cs="Times New Roman"/>
                <w:b/>
                <w:bCs/>
                <w:color w:val="auto"/>
                <w:sz w:val="21"/>
                <w:szCs w:val="21"/>
                <w:highlight w:val="none"/>
              </w:rPr>
              <w:t>序号</w:t>
            </w:r>
          </w:p>
        </w:tc>
        <w:tc>
          <w:tcPr>
            <w:tcW w:w="2229" w:type="pct"/>
            <w:vAlign w:val="center"/>
          </w:tcPr>
          <w:p w14:paraId="54A8AA4F">
            <w:pPr>
              <w:keepNext w:val="0"/>
              <w:keepLines w:val="0"/>
              <w:pageBreakBefore w:val="0"/>
              <w:kinsoku/>
              <w:wordWrap/>
              <w:overflowPunct/>
              <w:topLinePunct w:val="0"/>
              <w:autoSpaceDE/>
              <w:autoSpaceDN/>
              <w:bidi w:val="0"/>
              <w:ind w:left="0" w:right="0"/>
              <w:jc w:val="center"/>
              <w:textAlignment w:val="auto"/>
              <w:rPr>
                <w:rFonts w:ascii="Times New Roman" w:hAnsi="Times New Roman" w:cs="Times New Roman"/>
                <w:b/>
                <w:bCs/>
                <w:color w:val="auto"/>
                <w:sz w:val="21"/>
                <w:szCs w:val="21"/>
                <w:highlight w:val="none"/>
              </w:rPr>
            </w:pPr>
            <w:r>
              <w:rPr>
                <w:rFonts w:ascii="Times New Roman" w:hAnsi="Times New Roman" w:cs="Times New Roman"/>
                <w:b/>
                <w:bCs/>
                <w:color w:val="auto"/>
                <w:sz w:val="21"/>
                <w:szCs w:val="21"/>
                <w:highlight w:val="none"/>
              </w:rPr>
              <w:t>贮存设施建设要求</w:t>
            </w:r>
          </w:p>
        </w:tc>
        <w:tc>
          <w:tcPr>
            <w:tcW w:w="1896" w:type="pct"/>
            <w:vAlign w:val="center"/>
          </w:tcPr>
          <w:p w14:paraId="23490C76">
            <w:pPr>
              <w:keepNext w:val="0"/>
              <w:keepLines w:val="0"/>
              <w:pageBreakBefore w:val="0"/>
              <w:kinsoku/>
              <w:wordWrap/>
              <w:overflowPunct/>
              <w:topLinePunct w:val="0"/>
              <w:autoSpaceDE/>
              <w:autoSpaceDN/>
              <w:bidi w:val="0"/>
              <w:ind w:left="0" w:right="0"/>
              <w:jc w:val="center"/>
              <w:textAlignment w:val="auto"/>
              <w:rPr>
                <w:rFonts w:ascii="Times New Roman" w:hAnsi="Times New Roman" w:cs="Times New Roman"/>
                <w:b/>
                <w:bCs/>
                <w:color w:val="auto"/>
                <w:sz w:val="21"/>
                <w:szCs w:val="21"/>
                <w:highlight w:val="none"/>
              </w:rPr>
            </w:pPr>
            <w:r>
              <w:rPr>
                <w:rFonts w:ascii="Times New Roman" w:hAnsi="Times New Roman" w:cs="Times New Roman"/>
                <w:b/>
                <w:bCs/>
                <w:color w:val="auto"/>
                <w:sz w:val="21"/>
                <w:szCs w:val="21"/>
                <w:highlight w:val="none"/>
              </w:rPr>
              <w:t>建设单位应采取的应对措施</w:t>
            </w:r>
          </w:p>
        </w:tc>
        <w:tc>
          <w:tcPr>
            <w:tcW w:w="605" w:type="pct"/>
            <w:vAlign w:val="center"/>
          </w:tcPr>
          <w:p w14:paraId="29327A91">
            <w:pPr>
              <w:keepNext w:val="0"/>
              <w:keepLines w:val="0"/>
              <w:pageBreakBefore w:val="0"/>
              <w:kinsoku/>
              <w:wordWrap/>
              <w:overflowPunct/>
              <w:topLinePunct w:val="0"/>
              <w:autoSpaceDE/>
              <w:autoSpaceDN/>
              <w:bidi w:val="0"/>
              <w:ind w:left="0" w:right="0"/>
              <w:jc w:val="center"/>
              <w:textAlignment w:val="auto"/>
              <w:rPr>
                <w:rFonts w:ascii="Times New Roman" w:hAnsi="Times New Roman" w:cs="Times New Roman"/>
                <w:b/>
                <w:bCs/>
                <w:color w:val="auto"/>
                <w:sz w:val="21"/>
                <w:szCs w:val="21"/>
                <w:highlight w:val="none"/>
              </w:rPr>
            </w:pPr>
            <w:r>
              <w:rPr>
                <w:rFonts w:ascii="Times New Roman" w:hAnsi="Times New Roman" w:cs="Times New Roman"/>
                <w:b/>
                <w:bCs/>
                <w:color w:val="auto"/>
                <w:sz w:val="21"/>
                <w:szCs w:val="21"/>
                <w:highlight w:val="none"/>
              </w:rPr>
              <w:t>相符性</w:t>
            </w:r>
          </w:p>
        </w:tc>
      </w:tr>
      <w:tr w14:paraId="5E058B0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268" w:type="pct"/>
            <w:vAlign w:val="center"/>
          </w:tcPr>
          <w:p w14:paraId="130B61AB">
            <w:pPr>
              <w:keepNext w:val="0"/>
              <w:keepLines w:val="0"/>
              <w:pageBreakBefore w:val="0"/>
              <w:kinsoku/>
              <w:wordWrap/>
              <w:overflowPunct/>
              <w:topLinePunct w:val="0"/>
              <w:autoSpaceDE/>
              <w:autoSpaceDN/>
              <w:bidi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1</w:t>
            </w:r>
          </w:p>
        </w:tc>
        <w:tc>
          <w:tcPr>
            <w:tcW w:w="2229" w:type="pct"/>
            <w:vAlign w:val="center"/>
          </w:tcPr>
          <w:p w14:paraId="78F2539A">
            <w:pPr>
              <w:keepNext w:val="0"/>
              <w:keepLines w:val="0"/>
              <w:pageBreakBefore w:val="0"/>
              <w:widowControl w:val="0"/>
              <w:kinsoku/>
              <w:wordWrap/>
              <w:overflowPunct/>
              <w:topLinePunct w:val="0"/>
              <w:autoSpaceDE/>
              <w:autoSpaceDN/>
              <w:bidi w:val="0"/>
              <w:adjustRightInd w:val="0"/>
              <w:snapToGrid w:val="0"/>
              <w:ind w:left="0" w:right="0" w:firstLine="420" w:firstLineChars="200"/>
              <w:jc w:val="both"/>
              <w:textAlignment w:val="auto"/>
              <w:rPr>
                <w:rFonts w:ascii="Times New Roman" w:hAnsi="Times New Roman" w:cs="Times New Roman"/>
                <w:bCs/>
                <w:color w:val="auto"/>
                <w:sz w:val="21"/>
                <w:szCs w:val="21"/>
                <w:highlight w:val="none"/>
              </w:rPr>
            </w:pPr>
            <w:r>
              <w:rPr>
                <w:rFonts w:ascii="Times New Roman" w:hAnsi="Times New Roman" w:cs="Times New Roman"/>
                <w:bCs/>
                <w:color w:val="auto"/>
                <w:sz w:val="21"/>
                <w:szCs w:val="21"/>
                <w:highlight w:val="none"/>
              </w:rPr>
              <w:t>贮存设施应根据危险废物的形态、物理化学性质、包装形式和污染物迁移途径，采取必要的防风、防晒、防雨、防漏、防渗、防腐以及其他环境污染防治措施，不应露天堆放危险废物。</w:t>
            </w:r>
          </w:p>
        </w:tc>
        <w:tc>
          <w:tcPr>
            <w:tcW w:w="1896" w:type="pct"/>
            <w:vAlign w:val="center"/>
          </w:tcPr>
          <w:p w14:paraId="7781D413">
            <w:pPr>
              <w:keepNext w:val="0"/>
              <w:keepLines w:val="0"/>
              <w:pageBreakBefore w:val="0"/>
              <w:widowControl w:val="0"/>
              <w:kinsoku/>
              <w:wordWrap/>
              <w:overflowPunct/>
              <w:topLinePunct w:val="0"/>
              <w:autoSpaceDE/>
              <w:autoSpaceDN/>
              <w:bidi w:val="0"/>
              <w:adjustRightInd w:val="0"/>
              <w:snapToGrid w:val="0"/>
              <w:ind w:left="0" w:right="0" w:firstLine="420" w:firstLineChars="200"/>
              <w:jc w:val="both"/>
              <w:textAlignment w:val="auto"/>
              <w:rPr>
                <w:rFonts w:ascii="Times New Roman" w:hAnsi="Times New Roman" w:cs="Times New Roman"/>
                <w:bCs/>
                <w:color w:val="auto"/>
                <w:sz w:val="21"/>
                <w:szCs w:val="21"/>
                <w:highlight w:val="none"/>
              </w:rPr>
            </w:pPr>
            <w:r>
              <w:rPr>
                <w:rFonts w:ascii="Times New Roman" w:hAnsi="Times New Roman" w:cs="Times New Roman"/>
                <w:bCs/>
                <w:color w:val="auto"/>
                <w:sz w:val="21"/>
                <w:szCs w:val="21"/>
                <w:highlight w:val="none"/>
              </w:rPr>
              <w:t>企业危废仓库为独立的库房，具备防风、防晒、防雨、防漏、防渗、防腐的功能，并设置有事故废水收集措施</w:t>
            </w:r>
            <w:r>
              <w:rPr>
                <w:rFonts w:hint="eastAsia" w:ascii="Times New Roman" w:hAnsi="Times New Roman" w:cs="Times New Roman"/>
                <w:bCs/>
                <w:color w:val="auto"/>
                <w:sz w:val="21"/>
                <w:szCs w:val="21"/>
                <w:highlight w:val="none"/>
              </w:rPr>
              <w:t>导流沟、收集坑</w:t>
            </w:r>
            <w:r>
              <w:rPr>
                <w:rFonts w:ascii="Times New Roman" w:hAnsi="Times New Roman" w:cs="Times New Roman"/>
                <w:bCs/>
                <w:color w:val="auto"/>
                <w:sz w:val="21"/>
                <w:szCs w:val="21"/>
                <w:highlight w:val="none"/>
              </w:rPr>
              <w:t>。</w:t>
            </w:r>
            <w:r>
              <w:rPr>
                <w:rFonts w:hint="eastAsia" w:ascii="Times New Roman" w:hAnsi="Times New Roman" w:cs="Times New Roman"/>
                <w:bCs/>
                <w:color w:val="auto"/>
                <w:sz w:val="21"/>
                <w:szCs w:val="21"/>
                <w:highlight w:val="none"/>
              </w:rPr>
              <w:t>废液储罐区有围堰，并</w:t>
            </w:r>
            <w:r>
              <w:rPr>
                <w:rFonts w:hint="eastAsia" w:ascii="Times New Roman" w:hAnsi="Times New Roman" w:cs="Times New Roman"/>
                <w:bCs/>
                <w:color w:val="auto"/>
                <w:sz w:val="21"/>
                <w:szCs w:val="21"/>
                <w:highlight w:val="none"/>
                <w:lang w:val="en-US" w:eastAsia="zh-CN"/>
              </w:rPr>
              <w:t>与</w:t>
            </w:r>
            <w:r>
              <w:rPr>
                <w:rFonts w:hint="eastAsia" w:ascii="Times New Roman" w:hAnsi="Times New Roman" w:cs="Times New Roman"/>
                <w:bCs/>
                <w:color w:val="auto"/>
                <w:sz w:val="21"/>
                <w:szCs w:val="21"/>
                <w:highlight w:val="none"/>
              </w:rPr>
              <w:t>事故应急池连通。</w:t>
            </w:r>
          </w:p>
        </w:tc>
        <w:tc>
          <w:tcPr>
            <w:tcW w:w="605" w:type="pct"/>
            <w:vAlign w:val="center"/>
          </w:tcPr>
          <w:p w14:paraId="2D1D9FD8">
            <w:pPr>
              <w:keepNext w:val="0"/>
              <w:keepLines w:val="0"/>
              <w:pageBreakBefore w:val="0"/>
              <w:kinsoku/>
              <w:wordWrap/>
              <w:overflowPunct/>
              <w:topLinePunct w:val="0"/>
              <w:autoSpaceDE/>
              <w:autoSpaceDN/>
              <w:bidi w:val="0"/>
              <w:ind w:left="0" w:right="0"/>
              <w:jc w:val="center"/>
              <w:textAlignment w:val="auto"/>
              <w:rPr>
                <w:rFonts w:ascii="Times New Roman" w:hAnsi="Times New Roman" w:cs="Times New Roman"/>
                <w:bCs/>
                <w:color w:val="auto"/>
                <w:sz w:val="21"/>
                <w:szCs w:val="21"/>
                <w:highlight w:val="none"/>
              </w:rPr>
            </w:pPr>
            <w:r>
              <w:rPr>
                <w:rFonts w:ascii="Times New Roman" w:hAnsi="Times New Roman" w:cs="Times New Roman"/>
                <w:bCs/>
                <w:color w:val="auto"/>
                <w:sz w:val="21"/>
                <w:szCs w:val="21"/>
                <w:highlight w:val="none"/>
              </w:rPr>
              <w:t>相符</w:t>
            </w:r>
          </w:p>
        </w:tc>
      </w:tr>
      <w:tr w14:paraId="4CC2460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268" w:type="pct"/>
            <w:vAlign w:val="center"/>
          </w:tcPr>
          <w:p w14:paraId="680A4E0E">
            <w:pPr>
              <w:keepNext w:val="0"/>
              <w:keepLines w:val="0"/>
              <w:pageBreakBefore w:val="0"/>
              <w:kinsoku/>
              <w:wordWrap/>
              <w:overflowPunct/>
              <w:topLinePunct w:val="0"/>
              <w:autoSpaceDE/>
              <w:autoSpaceDN/>
              <w:bidi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2</w:t>
            </w:r>
          </w:p>
        </w:tc>
        <w:tc>
          <w:tcPr>
            <w:tcW w:w="2229" w:type="pct"/>
            <w:vAlign w:val="center"/>
          </w:tcPr>
          <w:p w14:paraId="2AECC641">
            <w:pPr>
              <w:keepNext w:val="0"/>
              <w:keepLines w:val="0"/>
              <w:pageBreakBefore w:val="0"/>
              <w:widowControl w:val="0"/>
              <w:kinsoku/>
              <w:wordWrap/>
              <w:overflowPunct/>
              <w:topLinePunct w:val="0"/>
              <w:autoSpaceDE/>
              <w:autoSpaceDN/>
              <w:bidi w:val="0"/>
              <w:adjustRightInd w:val="0"/>
              <w:snapToGrid w:val="0"/>
              <w:ind w:left="0" w:right="0" w:firstLine="420" w:firstLineChars="200"/>
              <w:jc w:val="both"/>
              <w:textAlignment w:val="auto"/>
              <w:rPr>
                <w:rFonts w:ascii="Times New Roman" w:hAnsi="Times New Roman" w:cs="Times New Roman"/>
                <w:bCs/>
                <w:color w:val="auto"/>
                <w:sz w:val="21"/>
                <w:szCs w:val="21"/>
                <w:highlight w:val="none"/>
              </w:rPr>
            </w:pPr>
            <w:r>
              <w:rPr>
                <w:rFonts w:ascii="Times New Roman" w:hAnsi="Times New Roman" w:cs="Times New Roman"/>
                <w:bCs/>
                <w:color w:val="auto"/>
                <w:sz w:val="21"/>
                <w:szCs w:val="21"/>
                <w:highlight w:val="none"/>
              </w:rPr>
              <w:t>贮存设施应根据危险废物的类别、数量、形态、物理化学性质和污染防治等要求设置必要的贮存分区，避免不相容的危险废物接触、混合。</w:t>
            </w:r>
          </w:p>
        </w:tc>
        <w:tc>
          <w:tcPr>
            <w:tcW w:w="1896" w:type="pct"/>
            <w:vAlign w:val="center"/>
          </w:tcPr>
          <w:p w14:paraId="5ECE06FD">
            <w:pPr>
              <w:keepNext w:val="0"/>
              <w:keepLines w:val="0"/>
              <w:pageBreakBefore w:val="0"/>
              <w:widowControl w:val="0"/>
              <w:kinsoku/>
              <w:wordWrap/>
              <w:overflowPunct/>
              <w:topLinePunct w:val="0"/>
              <w:autoSpaceDE/>
              <w:autoSpaceDN/>
              <w:bidi w:val="0"/>
              <w:adjustRightInd w:val="0"/>
              <w:snapToGrid w:val="0"/>
              <w:ind w:left="0" w:right="0" w:firstLine="420" w:firstLineChars="200"/>
              <w:jc w:val="both"/>
              <w:textAlignment w:val="auto"/>
              <w:rPr>
                <w:rFonts w:ascii="Times New Roman" w:hAnsi="Times New Roman" w:cs="Times New Roman"/>
                <w:bCs/>
                <w:color w:val="auto"/>
                <w:sz w:val="21"/>
                <w:szCs w:val="21"/>
                <w:highlight w:val="none"/>
              </w:rPr>
            </w:pPr>
            <w:r>
              <w:rPr>
                <w:rFonts w:ascii="Times New Roman" w:hAnsi="Times New Roman" w:cs="Times New Roman"/>
                <w:bCs/>
                <w:color w:val="auto"/>
                <w:sz w:val="21"/>
                <w:szCs w:val="21"/>
                <w:highlight w:val="none"/>
              </w:rPr>
              <w:t>企业将针对危险废物种类、数量形态、物理化学性质和污染防治等要求设置必要的贮存分区。</w:t>
            </w:r>
          </w:p>
          <w:p w14:paraId="47F60674">
            <w:pPr>
              <w:keepNext w:val="0"/>
              <w:keepLines w:val="0"/>
              <w:pageBreakBefore w:val="0"/>
              <w:widowControl w:val="0"/>
              <w:kinsoku/>
              <w:wordWrap/>
              <w:overflowPunct/>
              <w:topLinePunct w:val="0"/>
              <w:autoSpaceDE/>
              <w:autoSpaceDN/>
              <w:bidi w:val="0"/>
              <w:adjustRightInd w:val="0"/>
              <w:snapToGrid w:val="0"/>
              <w:ind w:left="0" w:right="0" w:firstLine="420" w:firstLineChars="200"/>
              <w:jc w:val="both"/>
              <w:textAlignment w:val="auto"/>
              <w:rPr>
                <w:rFonts w:ascii="Times New Roman" w:hAnsi="Times New Roman" w:cs="Times New Roman"/>
                <w:bCs/>
                <w:color w:val="auto"/>
                <w:sz w:val="21"/>
                <w:szCs w:val="21"/>
                <w:highlight w:val="none"/>
              </w:rPr>
            </w:pPr>
            <w:r>
              <w:rPr>
                <w:rFonts w:ascii="Times New Roman" w:hAnsi="Times New Roman" w:cs="Times New Roman"/>
                <w:bCs/>
                <w:color w:val="auto"/>
                <w:sz w:val="21"/>
                <w:szCs w:val="21"/>
                <w:highlight w:val="none"/>
              </w:rPr>
              <w:t>危险废物采用合适的包装，危废仓库地面采取防渗措施</w:t>
            </w:r>
            <w:r>
              <w:rPr>
                <w:rFonts w:hint="eastAsia" w:ascii="Times New Roman" w:hAnsi="Times New Roman" w:cs="Times New Roman"/>
                <w:bCs/>
                <w:color w:val="auto"/>
                <w:sz w:val="21"/>
                <w:szCs w:val="21"/>
                <w:highlight w:val="none"/>
              </w:rPr>
              <w:t>，废液储罐区有防腐防渗措施</w:t>
            </w:r>
            <w:r>
              <w:rPr>
                <w:rFonts w:ascii="Times New Roman" w:hAnsi="Times New Roman" w:cs="Times New Roman"/>
                <w:bCs/>
                <w:color w:val="auto"/>
                <w:sz w:val="21"/>
                <w:szCs w:val="21"/>
                <w:highlight w:val="none"/>
              </w:rPr>
              <w:t>。危废间内设置禁火标志，并布置灭火器、沙包等消防物资。</w:t>
            </w:r>
          </w:p>
        </w:tc>
        <w:tc>
          <w:tcPr>
            <w:tcW w:w="605" w:type="pct"/>
            <w:vAlign w:val="center"/>
          </w:tcPr>
          <w:p w14:paraId="7D2EED8C">
            <w:pPr>
              <w:keepNext w:val="0"/>
              <w:keepLines w:val="0"/>
              <w:pageBreakBefore w:val="0"/>
              <w:kinsoku/>
              <w:wordWrap/>
              <w:overflowPunct/>
              <w:topLinePunct w:val="0"/>
              <w:autoSpaceDE/>
              <w:autoSpaceDN/>
              <w:bidi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bCs/>
                <w:color w:val="auto"/>
                <w:sz w:val="21"/>
                <w:szCs w:val="21"/>
                <w:highlight w:val="none"/>
              </w:rPr>
              <w:t>相符</w:t>
            </w:r>
          </w:p>
        </w:tc>
      </w:tr>
      <w:tr w14:paraId="4B06BDE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268" w:type="pct"/>
            <w:vAlign w:val="center"/>
          </w:tcPr>
          <w:p w14:paraId="0D86E7D5">
            <w:pPr>
              <w:keepNext w:val="0"/>
              <w:keepLines w:val="0"/>
              <w:pageBreakBefore w:val="0"/>
              <w:kinsoku/>
              <w:wordWrap/>
              <w:overflowPunct/>
              <w:topLinePunct w:val="0"/>
              <w:autoSpaceDE/>
              <w:autoSpaceDN/>
              <w:bidi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3</w:t>
            </w:r>
          </w:p>
        </w:tc>
        <w:tc>
          <w:tcPr>
            <w:tcW w:w="2229" w:type="pct"/>
            <w:vAlign w:val="center"/>
          </w:tcPr>
          <w:p w14:paraId="36518F04">
            <w:pPr>
              <w:keepNext w:val="0"/>
              <w:keepLines w:val="0"/>
              <w:pageBreakBefore w:val="0"/>
              <w:widowControl w:val="0"/>
              <w:kinsoku/>
              <w:wordWrap/>
              <w:overflowPunct/>
              <w:topLinePunct w:val="0"/>
              <w:autoSpaceDE/>
              <w:autoSpaceDN/>
              <w:bidi w:val="0"/>
              <w:adjustRightInd w:val="0"/>
              <w:snapToGrid w:val="0"/>
              <w:ind w:left="0" w:right="0" w:firstLine="420" w:firstLineChars="200"/>
              <w:jc w:val="both"/>
              <w:textAlignment w:val="auto"/>
              <w:rPr>
                <w:rFonts w:ascii="Times New Roman" w:hAnsi="Times New Roman" w:cs="Times New Roman"/>
                <w:bCs/>
                <w:color w:val="auto"/>
                <w:kern w:val="2"/>
                <w:sz w:val="21"/>
                <w:szCs w:val="21"/>
                <w:highlight w:val="none"/>
              </w:rPr>
            </w:pPr>
            <w:r>
              <w:rPr>
                <w:rFonts w:ascii="Times New Roman" w:hAnsi="Times New Roman" w:cs="Times New Roman"/>
                <w:bCs/>
                <w:color w:val="auto"/>
                <w:sz w:val="21"/>
                <w:szCs w:val="21"/>
                <w:highlight w:val="none"/>
              </w:rPr>
              <w:t>在贮存库内或通过贮存分区方式贮存液态危险废物的，应具有液体泄漏堵截设施，堵截设施最小容积不应低于对应贮存区域最大液态废物容器容积或液态废物总储量1/10（二者取较大者）；用于贮存可能产生渗滤液的危险废物的贮存库或贮存分区应设计渗滤液收集设施，收集设施容积应满足渗滤液的收集要求。</w:t>
            </w:r>
          </w:p>
        </w:tc>
        <w:tc>
          <w:tcPr>
            <w:tcW w:w="1896" w:type="pct"/>
            <w:vAlign w:val="center"/>
          </w:tcPr>
          <w:p w14:paraId="789580CE">
            <w:pPr>
              <w:keepNext w:val="0"/>
              <w:keepLines w:val="0"/>
              <w:pageBreakBefore w:val="0"/>
              <w:widowControl w:val="0"/>
              <w:kinsoku/>
              <w:wordWrap/>
              <w:overflowPunct/>
              <w:topLinePunct w:val="0"/>
              <w:autoSpaceDE/>
              <w:autoSpaceDN/>
              <w:bidi w:val="0"/>
              <w:adjustRightInd w:val="0"/>
              <w:snapToGrid w:val="0"/>
              <w:ind w:left="0" w:right="0" w:firstLine="420" w:firstLineChars="200"/>
              <w:jc w:val="both"/>
              <w:textAlignment w:val="auto"/>
              <w:rPr>
                <w:rFonts w:ascii="Times New Roman" w:hAnsi="Times New Roman" w:cs="Times New Roman"/>
                <w:bCs/>
                <w:color w:val="auto"/>
                <w:sz w:val="21"/>
                <w:szCs w:val="21"/>
                <w:highlight w:val="none"/>
              </w:rPr>
            </w:pPr>
            <w:r>
              <w:rPr>
                <w:rFonts w:ascii="Times New Roman" w:hAnsi="Times New Roman" w:cs="Times New Roman"/>
                <w:bCs/>
                <w:color w:val="auto"/>
                <w:sz w:val="21"/>
                <w:szCs w:val="21"/>
                <w:highlight w:val="none"/>
              </w:rPr>
              <w:t>企业危废仓库设立独立区域，</w:t>
            </w:r>
            <w:r>
              <w:rPr>
                <w:rFonts w:hint="eastAsia" w:ascii="Times New Roman" w:hAnsi="Times New Roman" w:cs="Times New Roman"/>
                <w:bCs/>
                <w:color w:val="auto"/>
                <w:sz w:val="21"/>
                <w:szCs w:val="21"/>
                <w:highlight w:val="none"/>
              </w:rPr>
              <w:t>库内设置</w:t>
            </w:r>
            <w:r>
              <w:rPr>
                <w:rFonts w:hint="eastAsia" w:ascii="Times New Roman" w:hAnsi="Times New Roman" w:cs="Times New Roman"/>
                <w:bCs/>
                <w:color w:val="auto"/>
                <w:sz w:val="21"/>
                <w:szCs w:val="21"/>
                <w:highlight w:val="none"/>
                <w:lang w:val="en-US" w:eastAsia="zh-CN"/>
              </w:rPr>
              <w:t>防泄漏托盘和</w:t>
            </w:r>
            <w:r>
              <w:rPr>
                <w:rFonts w:ascii="Times New Roman" w:hAnsi="Times New Roman" w:cs="Times New Roman"/>
                <w:bCs/>
                <w:color w:val="auto"/>
                <w:sz w:val="21"/>
                <w:szCs w:val="21"/>
                <w:highlight w:val="none"/>
              </w:rPr>
              <w:t>收集沟，收集沟与</w:t>
            </w:r>
            <w:r>
              <w:rPr>
                <w:rFonts w:hint="eastAsia" w:ascii="Times New Roman" w:hAnsi="Times New Roman" w:cs="Times New Roman"/>
                <w:bCs/>
                <w:color w:val="auto"/>
                <w:sz w:val="21"/>
                <w:szCs w:val="21"/>
                <w:highlight w:val="none"/>
              </w:rPr>
              <w:t>收集坑</w:t>
            </w:r>
            <w:r>
              <w:rPr>
                <w:rFonts w:ascii="Times New Roman" w:hAnsi="Times New Roman" w:cs="Times New Roman"/>
                <w:bCs/>
                <w:color w:val="auto"/>
                <w:sz w:val="21"/>
                <w:szCs w:val="21"/>
                <w:highlight w:val="none"/>
              </w:rPr>
              <w:t>相连通。</w:t>
            </w:r>
          </w:p>
          <w:p w14:paraId="0669AA9F">
            <w:pPr>
              <w:keepNext w:val="0"/>
              <w:keepLines w:val="0"/>
              <w:pageBreakBefore w:val="0"/>
              <w:widowControl w:val="0"/>
              <w:kinsoku/>
              <w:wordWrap/>
              <w:overflowPunct/>
              <w:topLinePunct w:val="0"/>
              <w:autoSpaceDE/>
              <w:autoSpaceDN/>
              <w:bidi w:val="0"/>
              <w:adjustRightInd w:val="0"/>
              <w:snapToGrid w:val="0"/>
              <w:ind w:left="0" w:right="0" w:firstLine="420" w:firstLineChars="200"/>
              <w:jc w:val="both"/>
              <w:textAlignment w:val="auto"/>
              <w:rPr>
                <w:color w:val="auto"/>
                <w:sz w:val="21"/>
                <w:szCs w:val="21"/>
                <w:highlight w:val="none"/>
              </w:rPr>
            </w:pPr>
            <w:r>
              <w:rPr>
                <w:rFonts w:hint="eastAsia" w:ascii="Times New Roman" w:hAnsi="Times New Roman" w:cs="Times New Roman"/>
                <w:bCs/>
                <w:color w:val="auto"/>
                <w:sz w:val="21"/>
                <w:szCs w:val="21"/>
                <w:highlight w:val="none"/>
              </w:rPr>
              <w:t>废液储罐区有围堰，并于事故应急池连通。</w:t>
            </w:r>
          </w:p>
        </w:tc>
        <w:tc>
          <w:tcPr>
            <w:tcW w:w="605" w:type="pct"/>
            <w:vAlign w:val="center"/>
          </w:tcPr>
          <w:p w14:paraId="6509ED76">
            <w:pPr>
              <w:keepNext w:val="0"/>
              <w:keepLines w:val="0"/>
              <w:pageBreakBefore w:val="0"/>
              <w:kinsoku/>
              <w:wordWrap/>
              <w:overflowPunct/>
              <w:topLinePunct w:val="0"/>
              <w:autoSpaceDE/>
              <w:autoSpaceDN/>
              <w:bidi w:val="0"/>
              <w:ind w:left="0" w:right="0"/>
              <w:jc w:val="center"/>
              <w:textAlignment w:val="auto"/>
              <w:rPr>
                <w:rFonts w:ascii="Times New Roman" w:hAnsi="Times New Roman" w:cs="Times New Roman"/>
                <w:color w:val="auto"/>
                <w:kern w:val="2"/>
                <w:sz w:val="21"/>
                <w:szCs w:val="21"/>
                <w:highlight w:val="none"/>
              </w:rPr>
            </w:pPr>
            <w:r>
              <w:rPr>
                <w:rFonts w:ascii="Times New Roman" w:hAnsi="Times New Roman" w:cs="Times New Roman"/>
                <w:bCs/>
                <w:color w:val="auto"/>
                <w:sz w:val="21"/>
                <w:szCs w:val="21"/>
                <w:highlight w:val="none"/>
              </w:rPr>
              <w:t>相符</w:t>
            </w:r>
          </w:p>
        </w:tc>
      </w:tr>
      <w:tr w14:paraId="57216CB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268" w:type="pct"/>
            <w:vAlign w:val="center"/>
          </w:tcPr>
          <w:p w14:paraId="6B9D7C72">
            <w:pPr>
              <w:keepNext w:val="0"/>
              <w:keepLines w:val="0"/>
              <w:pageBreakBefore w:val="0"/>
              <w:kinsoku/>
              <w:wordWrap/>
              <w:overflowPunct/>
              <w:topLinePunct w:val="0"/>
              <w:autoSpaceDE/>
              <w:autoSpaceDN/>
              <w:bidi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4</w:t>
            </w:r>
          </w:p>
        </w:tc>
        <w:tc>
          <w:tcPr>
            <w:tcW w:w="2229" w:type="pct"/>
            <w:vAlign w:val="center"/>
          </w:tcPr>
          <w:p w14:paraId="3FFE6E56">
            <w:pPr>
              <w:keepNext w:val="0"/>
              <w:keepLines w:val="0"/>
              <w:pageBreakBefore w:val="0"/>
              <w:widowControl w:val="0"/>
              <w:kinsoku/>
              <w:wordWrap/>
              <w:overflowPunct/>
              <w:topLinePunct w:val="0"/>
              <w:autoSpaceDE/>
              <w:autoSpaceDN/>
              <w:bidi w:val="0"/>
              <w:adjustRightInd w:val="0"/>
              <w:snapToGrid w:val="0"/>
              <w:ind w:left="0" w:right="0" w:firstLine="420" w:firstLineChars="200"/>
              <w:jc w:val="both"/>
              <w:textAlignment w:val="auto"/>
              <w:rPr>
                <w:rFonts w:ascii="Times New Roman" w:hAnsi="Times New Roman" w:cs="Times New Roman"/>
                <w:bCs/>
                <w:color w:val="auto"/>
                <w:kern w:val="2"/>
                <w:sz w:val="21"/>
                <w:szCs w:val="21"/>
                <w:highlight w:val="none"/>
              </w:rPr>
            </w:pPr>
            <w:r>
              <w:rPr>
                <w:rFonts w:ascii="Times New Roman" w:hAnsi="Times New Roman" w:cs="Times New Roman"/>
                <w:bCs/>
                <w:color w:val="auto"/>
                <w:sz w:val="21"/>
                <w:szCs w:val="21"/>
                <w:highlight w:val="none"/>
              </w:rPr>
              <w:t>贮存易产生粉尘、VOCs、酸雾、有毒有害大气污染物和刺激性气味气体的危险废物贮存库，应设置气体收集装置和气体净化设施。</w:t>
            </w:r>
          </w:p>
        </w:tc>
        <w:tc>
          <w:tcPr>
            <w:tcW w:w="1896" w:type="pct"/>
            <w:vAlign w:val="center"/>
          </w:tcPr>
          <w:p w14:paraId="4B535436">
            <w:pPr>
              <w:keepNext w:val="0"/>
              <w:keepLines w:val="0"/>
              <w:pageBreakBefore w:val="0"/>
              <w:widowControl w:val="0"/>
              <w:kinsoku/>
              <w:wordWrap/>
              <w:overflowPunct/>
              <w:topLinePunct w:val="0"/>
              <w:autoSpaceDE/>
              <w:autoSpaceDN/>
              <w:bidi w:val="0"/>
              <w:adjustRightInd w:val="0"/>
              <w:snapToGrid w:val="0"/>
              <w:ind w:left="0" w:right="0" w:firstLine="420" w:firstLineChars="200"/>
              <w:jc w:val="both"/>
              <w:textAlignment w:val="auto"/>
              <w:rPr>
                <w:rFonts w:ascii="Times New Roman" w:hAnsi="Times New Roman" w:cs="Times New Roman"/>
                <w:bCs/>
                <w:color w:val="auto"/>
                <w:kern w:val="2"/>
                <w:sz w:val="21"/>
                <w:szCs w:val="21"/>
                <w:highlight w:val="none"/>
              </w:rPr>
            </w:pPr>
            <w:r>
              <w:rPr>
                <w:rFonts w:ascii="Times New Roman" w:hAnsi="Times New Roman" w:cs="Times New Roman"/>
                <w:bCs/>
                <w:color w:val="auto"/>
                <w:sz w:val="21"/>
                <w:szCs w:val="21"/>
                <w:highlight w:val="none"/>
              </w:rPr>
              <w:t>危险废物</w:t>
            </w:r>
            <w:r>
              <w:rPr>
                <w:rFonts w:hint="eastAsia" w:ascii="Times New Roman" w:hAnsi="Times New Roman" w:cs="Times New Roman"/>
                <w:bCs/>
                <w:color w:val="auto"/>
                <w:sz w:val="21"/>
                <w:szCs w:val="21"/>
                <w:highlight w:val="none"/>
              </w:rPr>
              <w:t>均通过密闭容器贮存，吨袋有内衬、袋口扎紧，</w:t>
            </w:r>
            <w:r>
              <w:rPr>
                <w:rFonts w:hint="eastAsia" w:ascii="Times New Roman" w:hAnsi="Times New Roman" w:cs="Times New Roman"/>
                <w:bCs/>
                <w:color w:val="auto"/>
                <w:sz w:val="21"/>
                <w:szCs w:val="21"/>
                <w:highlight w:val="none"/>
                <w:lang w:val="en-US" w:eastAsia="zh-CN"/>
              </w:rPr>
              <w:t>废丁酮</w:t>
            </w:r>
            <w:r>
              <w:rPr>
                <w:rFonts w:hint="eastAsia" w:ascii="Times New Roman" w:hAnsi="Times New Roman" w:cs="Times New Roman"/>
                <w:bCs/>
                <w:color w:val="auto"/>
                <w:sz w:val="21"/>
                <w:szCs w:val="21"/>
                <w:highlight w:val="none"/>
              </w:rPr>
              <w:t>包装桶均</w:t>
            </w:r>
            <w:r>
              <w:rPr>
                <w:rFonts w:hint="eastAsia" w:ascii="Times New Roman" w:hAnsi="Times New Roman" w:cs="Times New Roman"/>
                <w:bCs/>
                <w:color w:val="auto"/>
                <w:sz w:val="21"/>
                <w:szCs w:val="21"/>
                <w:highlight w:val="none"/>
                <w:lang w:val="en-US" w:eastAsia="zh-CN"/>
              </w:rPr>
              <w:t>盖紧</w:t>
            </w:r>
            <w:r>
              <w:rPr>
                <w:rFonts w:hint="eastAsia" w:ascii="Times New Roman" w:hAnsi="Times New Roman" w:cs="Times New Roman"/>
                <w:bCs/>
                <w:color w:val="auto"/>
                <w:sz w:val="21"/>
                <w:szCs w:val="21"/>
                <w:highlight w:val="none"/>
              </w:rPr>
              <w:t>桶盖并用塑料膜缠绕，故</w:t>
            </w:r>
            <w:r>
              <w:rPr>
                <w:rFonts w:hint="eastAsia" w:ascii="Times New Roman" w:hAnsi="Times New Roman" w:cs="Times New Roman"/>
                <w:bCs/>
                <w:color w:val="auto"/>
                <w:sz w:val="21"/>
                <w:szCs w:val="21"/>
                <w:highlight w:val="none"/>
              </w:rPr>
              <w:t>不</w:t>
            </w:r>
            <w:r>
              <w:rPr>
                <w:rFonts w:ascii="Times New Roman" w:hAnsi="Times New Roman" w:cs="Times New Roman"/>
                <w:bCs/>
                <w:color w:val="auto"/>
                <w:sz w:val="21"/>
                <w:szCs w:val="21"/>
                <w:highlight w:val="none"/>
              </w:rPr>
              <w:t>易产生粉尘、VOCs、酸雾、有毒有害大气污染物和刺激性气味气体</w:t>
            </w:r>
            <w:r>
              <w:rPr>
                <w:rFonts w:hint="eastAsia" w:ascii="Times New Roman" w:hAnsi="Times New Roman" w:cs="Times New Roman"/>
                <w:bCs/>
                <w:color w:val="auto"/>
                <w:sz w:val="21"/>
                <w:szCs w:val="21"/>
                <w:highlight w:val="none"/>
              </w:rPr>
              <w:t>，</w:t>
            </w:r>
            <w:r>
              <w:rPr>
                <w:rFonts w:ascii="Times New Roman" w:hAnsi="Times New Roman" w:cs="Times New Roman"/>
                <w:bCs/>
                <w:color w:val="auto"/>
                <w:sz w:val="21"/>
                <w:szCs w:val="21"/>
                <w:highlight w:val="none"/>
              </w:rPr>
              <w:t>仓库</w:t>
            </w:r>
            <w:r>
              <w:rPr>
                <w:rFonts w:hint="eastAsia" w:ascii="Times New Roman" w:hAnsi="Times New Roman" w:cs="Times New Roman"/>
                <w:bCs/>
                <w:color w:val="auto"/>
                <w:sz w:val="21"/>
                <w:szCs w:val="21"/>
                <w:highlight w:val="none"/>
              </w:rPr>
              <w:t>无需</w:t>
            </w:r>
            <w:r>
              <w:rPr>
                <w:rFonts w:ascii="Times New Roman" w:hAnsi="Times New Roman" w:cs="Times New Roman"/>
                <w:bCs/>
                <w:color w:val="auto"/>
                <w:sz w:val="21"/>
                <w:szCs w:val="21"/>
                <w:highlight w:val="none"/>
              </w:rPr>
              <w:t>设置气体收集装置和气体净化设施</w:t>
            </w:r>
            <w:r>
              <w:rPr>
                <w:rFonts w:ascii="Times New Roman" w:hAnsi="Times New Roman" w:cs="Times New Roman"/>
                <w:bCs/>
                <w:color w:val="auto"/>
                <w:sz w:val="21"/>
                <w:szCs w:val="21"/>
                <w:highlight w:val="none"/>
              </w:rPr>
              <w:t>。</w:t>
            </w:r>
          </w:p>
        </w:tc>
        <w:tc>
          <w:tcPr>
            <w:tcW w:w="605" w:type="pct"/>
            <w:vAlign w:val="center"/>
          </w:tcPr>
          <w:p w14:paraId="386509EC">
            <w:pPr>
              <w:keepNext w:val="0"/>
              <w:keepLines w:val="0"/>
              <w:pageBreakBefore w:val="0"/>
              <w:kinsoku/>
              <w:wordWrap/>
              <w:overflowPunct/>
              <w:topLinePunct w:val="0"/>
              <w:autoSpaceDE/>
              <w:autoSpaceDN/>
              <w:bidi w:val="0"/>
              <w:ind w:left="0" w:right="0"/>
              <w:jc w:val="center"/>
              <w:textAlignment w:val="auto"/>
              <w:rPr>
                <w:rFonts w:ascii="Times New Roman" w:hAnsi="Times New Roman" w:cs="Times New Roman"/>
                <w:color w:val="auto"/>
                <w:kern w:val="2"/>
                <w:sz w:val="21"/>
                <w:szCs w:val="21"/>
                <w:highlight w:val="none"/>
              </w:rPr>
            </w:pPr>
            <w:r>
              <w:rPr>
                <w:rFonts w:ascii="Times New Roman" w:hAnsi="Times New Roman" w:cs="Times New Roman"/>
                <w:bCs/>
                <w:color w:val="auto"/>
                <w:sz w:val="21"/>
                <w:szCs w:val="21"/>
                <w:highlight w:val="none"/>
              </w:rPr>
              <w:t>相符</w:t>
            </w:r>
          </w:p>
        </w:tc>
      </w:tr>
      <w:tr w14:paraId="13D63FF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268" w:type="pct"/>
            <w:vAlign w:val="center"/>
          </w:tcPr>
          <w:p w14:paraId="67B84571">
            <w:pPr>
              <w:keepNext w:val="0"/>
              <w:keepLines w:val="0"/>
              <w:pageBreakBefore w:val="0"/>
              <w:kinsoku/>
              <w:wordWrap/>
              <w:overflowPunct/>
              <w:topLinePunct w:val="0"/>
              <w:autoSpaceDE/>
              <w:autoSpaceDN/>
              <w:bidi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5</w:t>
            </w:r>
          </w:p>
        </w:tc>
        <w:tc>
          <w:tcPr>
            <w:tcW w:w="2229" w:type="pct"/>
            <w:vAlign w:val="center"/>
          </w:tcPr>
          <w:p w14:paraId="7042BA17">
            <w:pPr>
              <w:keepNext w:val="0"/>
              <w:keepLines w:val="0"/>
              <w:pageBreakBefore w:val="0"/>
              <w:kinsoku/>
              <w:wordWrap/>
              <w:overflowPunct/>
              <w:topLinePunct w:val="0"/>
              <w:autoSpaceDE/>
              <w:autoSpaceDN/>
              <w:bidi w:val="0"/>
              <w:ind w:left="0" w:right="0" w:firstLine="420" w:firstLineChars="200"/>
              <w:jc w:val="both"/>
              <w:textAlignment w:val="auto"/>
              <w:rPr>
                <w:rFonts w:ascii="Times New Roman" w:hAnsi="Times New Roman" w:cs="Times New Roman"/>
                <w:bCs/>
                <w:color w:val="auto"/>
                <w:sz w:val="21"/>
                <w:szCs w:val="21"/>
                <w:highlight w:val="none"/>
              </w:rPr>
            </w:pPr>
            <w:r>
              <w:rPr>
                <w:rFonts w:ascii="Times New Roman" w:hAnsi="Times New Roman" w:cs="Times New Roman"/>
                <w:color w:val="auto"/>
                <w:sz w:val="21"/>
                <w:szCs w:val="21"/>
                <w:highlight w:val="none"/>
              </w:rPr>
              <w:t>贮存设施或场所、容器和包装物应按HJ1276要求设置危险废物贮存设施或场所标志、危险废物贮存分区标志和危险废物标签等危险废物识别标志。</w:t>
            </w:r>
          </w:p>
        </w:tc>
        <w:tc>
          <w:tcPr>
            <w:tcW w:w="1896" w:type="pct"/>
            <w:vAlign w:val="center"/>
          </w:tcPr>
          <w:p w14:paraId="00E6BC18">
            <w:pPr>
              <w:keepNext w:val="0"/>
              <w:keepLines w:val="0"/>
              <w:pageBreakBefore w:val="0"/>
              <w:kinsoku/>
              <w:wordWrap/>
              <w:overflowPunct/>
              <w:topLinePunct w:val="0"/>
              <w:autoSpaceDE/>
              <w:autoSpaceDN/>
              <w:bidi w:val="0"/>
              <w:ind w:left="0" w:right="0" w:firstLine="420" w:firstLineChars="200"/>
              <w:jc w:val="both"/>
              <w:textAlignment w:val="auto"/>
              <w:rPr>
                <w:rFonts w:ascii="Times New Roman" w:hAnsi="Times New Roman" w:cs="Times New Roman"/>
                <w:bCs/>
                <w:color w:val="auto"/>
                <w:sz w:val="21"/>
                <w:szCs w:val="21"/>
                <w:highlight w:val="none"/>
              </w:rPr>
            </w:pPr>
            <w:r>
              <w:rPr>
                <w:rFonts w:ascii="Times New Roman" w:hAnsi="Times New Roman" w:cs="Times New Roman"/>
                <w:bCs/>
                <w:color w:val="auto"/>
                <w:sz w:val="21"/>
                <w:szCs w:val="21"/>
                <w:highlight w:val="none"/>
              </w:rPr>
              <w:t>企业</w:t>
            </w:r>
            <w:r>
              <w:rPr>
                <w:rFonts w:ascii="Times New Roman" w:hAnsi="Times New Roman" w:cs="Times New Roman"/>
                <w:color w:val="auto"/>
                <w:sz w:val="21"/>
                <w:szCs w:val="21"/>
                <w:highlight w:val="none"/>
              </w:rPr>
              <w:t>将按要求设置危险废物识别标志。</w:t>
            </w:r>
          </w:p>
        </w:tc>
        <w:tc>
          <w:tcPr>
            <w:tcW w:w="605" w:type="pct"/>
            <w:vAlign w:val="center"/>
          </w:tcPr>
          <w:p w14:paraId="58E56393">
            <w:pPr>
              <w:keepNext w:val="0"/>
              <w:keepLines w:val="0"/>
              <w:pageBreakBefore w:val="0"/>
              <w:kinsoku/>
              <w:wordWrap/>
              <w:overflowPunct/>
              <w:topLinePunct w:val="0"/>
              <w:autoSpaceDE/>
              <w:autoSpaceDN/>
              <w:bidi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符合</w:t>
            </w:r>
          </w:p>
        </w:tc>
      </w:tr>
      <w:tr w14:paraId="1EE4A3C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268" w:type="pct"/>
            <w:vAlign w:val="center"/>
          </w:tcPr>
          <w:p w14:paraId="3776C75C">
            <w:pPr>
              <w:keepNext w:val="0"/>
              <w:keepLines w:val="0"/>
              <w:pageBreakBefore w:val="0"/>
              <w:kinsoku/>
              <w:wordWrap/>
              <w:overflowPunct/>
              <w:topLinePunct w:val="0"/>
              <w:autoSpaceDE/>
              <w:autoSpaceDN/>
              <w:bidi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6</w:t>
            </w:r>
          </w:p>
        </w:tc>
        <w:tc>
          <w:tcPr>
            <w:tcW w:w="2229" w:type="pct"/>
            <w:vAlign w:val="center"/>
          </w:tcPr>
          <w:p w14:paraId="5692FA88">
            <w:pPr>
              <w:keepNext w:val="0"/>
              <w:keepLines w:val="0"/>
              <w:pageBreakBefore w:val="0"/>
              <w:kinsoku/>
              <w:wordWrap/>
              <w:overflowPunct/>
              <w:topLinePunct w:val="0"/>
              <w:autoSpaceDE/>
              <w:autoSpaceDN/>
              <w:bidi w:val="0"/>
              <w:ind w:left="0" w:right="0" w:firstLine="420" w:firstLineChars="200"/>
              <w:jc w:val="both"/>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在常温常压下易爆、易燃及排出有毒气体的危险废物应进行预处理，使之稳定后贮存，否则应按易爆、易燃危险品贮存。</w:t>
            </w:r>
          </w:p>
        </w:tc>
        <w:tc>
          <w:tcPr>
            <w:tcW w:w="1896" w:type="pct"/>
            <w:vAlign w:val="center"/>
          </w:tcPr>
          <w:p w14:paraId="64F8FF28">
            <w:pPr>
              <w:keepNext w:val="0"/>
              <w:keepLines w:val="0"/>
              <w:pageBreakBefore w:val="0"/>
              <w:kinsoku/>
              <w:wordWrap/>
              <w:overflowPunct/>
              <w:topLinePunct w:val="0"/>
              <w:autoSpaceDE/>
              <w:autoSpaceDN/>
              <w:bidi w:val="0"/>
              <w:ind w:left="0" w:right="0" w:firstLine="420" w:firstLineChars="200"/>
              <w:jc w:val="both"/>
              <w:textAlignment w:val="auto"/>
              <w:rPr>
                <w:rFonts w:ascii="Times New Roman" w:hAnsi="Times New Roman" w:cs="Times New Roman"/>
                <w:color w:val="auto"/>
                <w:sz w:val="21"/>
                <w:szCs w:val="21"/>
                <w:highlight w:val="none"/>
              </w:rPr>
            </w:pPr>
            <w:r>
              <w:rPr>
                <w:rFonts w:ascii="Times New Roman" w:hAnsi="Times New Roman" w:cs="Times New Roman"/>
                <w:bCs/>
                <w:color w:val="auto"/>
                <w:sz w:val="21"/>
                <w:szCs w:val="21"/>
                <w:highlight w:val="none"/>
              </w:rPr>
              <w:t>企业</w:t>
            </w:r>
            <w:r>
              <w:rPr>
                <w:rFonts w:ascii="Times New Roman" w:hAnsi="Times New Roman" w:cs="Times New Roman"/>
                <w:color w:val="auto"/>
                <w:sz w:val="21"/>
                <w:szCs w:val="21"/>
                <w:highlight w:val="none"/>
              </w:rPr>
              <w:t>不涉及易爆、易燃及排出有毒气体的危险废物。</w:t>
            </w:r>
          </w:p>
        </w:tc>
        <w:tc>
          <w:tcPr>
            <w:tcW w:w="605" w:type="pct"/>
            <w:vAlign w:val="center"/>
          </w:tcPr>
          <w:p w14:paraId="2028A739">
            <w:pPr>
              <w:keepNext w:val="0"/>
              <w:keepLines w:val="0"/>
              <w:pageBreakBefore w:val="0"/>
              <w:kinsoku/>
              <w:wordWrap/>
              <w:overflowPunct/>
              <w:topLinePunct w:val="0"/>
              <w:autoSpaceDE/>
              <w:autoSpaceDN/>
              <w:bidi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符合</w:t>
            </w:r>
          </w:p>
        </w:tc>
      </w:tr>
      <w:tr w14:paraId="2938161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268" w:type="pct"/>
            <w:vAlign w:val="center"/>
          </w:tcPr>
          <w:p w14:paraId="7BA587FE">
            <w:pPr>
              <w:keepNext w:val="0"/>
              <w:keepLines w:val="0"/>
              <w:pageBreakBefore w:val="0"/>
              <w:kinsoku/>
              <w:wordWrap/>
              <w:overflowPunct/>
              <w:topLinePunct w:val="0"/>
              <w:autoSpaceDE/>
              <w:autoSpaceDN/>
              <w:bidi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7</w:t>
            </w:r>
          </w:p>
        </w:tc>
        <w:tc>
          <w:tcPr>
            <w:tcW w:w="2229" w:type="pct"/>
            <w:vAlign w:val="center"/>
          </w:tcPr>
          <w:p w14:paraId="65E5CE18">
            <w:pPr>
              <w:keepNext w:val="0"/>
              <w:keepLines w:val="0"/>
              <w:pageBreakBefore w:val="0"/>
              <w:kinsoku/>
              <w:wordWrap/>
              <w:overflowPunct/>
              <w:topLinePunct w:val="0"/>
              <w:autoSpaceDE/>
              <w:autoSpaceDN/>
              <w:bidi w:val="0"/>
              <w:ind w:left="0" w:right="0" w:firstLine="420" w:firstLineChars="200"/>
              <w:jc w:val="both"/>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贮存设施所有者或运营者应按照国家有关规定编制突发环境事件应急预案，定期开展必要的培训和环境应急演练，并做好培训、演练记录。</w:t>
            </w:r>
          </w:p>
        </w:tc>
        <w:tc>
          <w:tcPr>
            <w:tcW w:w="1896" w:type="pct"/>
            <w:vAlign w:val="center"/>
          </w:tcPr>
          <w:p w14:paraId="38E4D431">
            <w:pPr>
              <w:keepNext w:val="0"/>
              <w:keepLines w:val="0"/>
              <w:pageBreakBefore w:val="0"/>
              <w:kinsoku/>
              <w:wordWrap/>
              <w:overflowPunct/>
              <w:topLinePunct w:val="0"/>
              <w:autoSpaceDE/>
              <w:autoSpaceDN/>
              <w:bidi w:val="0"/>
              <w:ind w:left="0" w:right="0" w:firstLine="420" w:firstLineChars="200"/>
              <w:jc w:val="both"/>
              <w:textAlignment w:val="auto"/>
              <w:rPr>
                <w:rFonts w:ascii="Times New Roman" w:hAnsi="Times New Roman" w:cs="Times New Roman"/>
                <w:color w:val="auto"/>
                <w:sz w:val="21"/>
                <w:szCs w:val="21"/>
                <w:highlight w:val="none"/>
              </w:rPr>
            </w:pPr>
            <w:r>
              <w:rPr>
                <w:rFonts w:ascii="Times New Roman" w:hAnsi="Times New Roman" w:cs="Times New Roman"/>
                <w:bCs/>
                <w:color w:val="auto"/>
                <w:sz w:val="21"/>
                <w:szCs w:val="21"/>
                <w:highlight w:val="none"/>
              </w:rPr>
              <w:t>企业</w:t>
            </w:r>
            <w:r>
              <w:rPr>
                <w:rFonts w:ascii="Times New Roman" w:hAnsi="Times New Roman" w:cs="Times New Roman"/>
                <w:color w:val="auto"/>
                <w:sz w:val="21"/>
                <w:szCs w:val="21"/>
                <w:highlight w:val="none"/>
              </w:rPr>
              <w:t>将重新编制突发环境事件应急预案，定期开展必要的培训和环境应急演练。</w:t>
            </w:r>
          </w:p>
        </w:tc>
        <w:tc>
          <w:tcPr>
            <w:tcW w:w="605" w:type="pct"/>
            <w:vAlign w:val="center"/>
          </w:tcPr>
          <w:p w14:paraId="49C9FF2D">
            <w:pPr>
              <w:keepNext w:val="0"/>
              <w:keepLines w:val="0"/>
              <w:pageBreakBefore w:val="0"/>
              <w:kinsoku/>
              <w:wordWrap/>
              <w:overflowPunct/>
              <w:topLinePunct w:val="0"/>
              <w:autoSpaceDE/>
              <w:autoSpaceDN/>
              <w:bidi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bCs/>
                <w:color w:val="auto"/>
                <w:sz w:val="21"/>
                <w:szCs w:val="21"/>
                <w:highlight w:val="none"/>
              </w:rPr>
              <w:t>相符</w:t>
            </w:r>
          </w:p>
        </w:tc>
      </w:tr>
      <w:tr w14:paraId="3DAA902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268" w:type="pct"/>
            <w:vAlign w:val="center"/>
          </w:tcPr>
          <w:p w14:paraId="334831B7">
            <w:pPr>
              <w:keepNext w:val="0"/>
              <w:keepLines w:val="0"/>
              <w:pageBreakBefore w:val="0"/>
              <w:kinsoku/>
              <w:wordWrap/>
              <w:overflowPunct/>
              <w:topLinePunct w:val="0"/>
              <w:autoSpaceDE/>
              <w:autoSpaceDN/>
              <w:bidi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8</w:t>
            </w:r>
          </w:p>
        </w:tc>
        <w:tc>
          <w:tcPr>
            <w:tcW w:w="2229" w:type="pct"/>
            <w:vAlign w:val="center"/>
          </w:tcPr>
          <w:p w14:paraId="6264FA43">
            <w:pPr>
              <w:keepNext w:val="0"/>
              <w:keepLines w:val="0"/>
              <w:pageBreakBefore w:val="0"/>
              <w:kinsoku/>
              <w:wordWrap/>
              <w:overflowPunct/>
              <w:topLinePunct w:val="0"/>
              <w:autoSpaceDE/>
              <w:autoSpaceDN/>
              <w:bidi w:val="0"/>
              <w:ind w:left="0" w:right="0" w:firstLine="420" w:firstLineChars="200"/>
              <w:jc w:val="both"/>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贮存设施所有者或运营者应配备满足其突发环境事件应急要求的应急人员、装备和物资，并应设置应急照明系统。</w:t>
            </w:r>
          </w:p>
        </w:tc>
        <w:tc>
          <w:tcPr>
            <w:tcW w:w="1896" w:type="pct"/>
            <w:vAlign w:val="center"/>
          </w:tcPr>
          <w:p w14:paraId="55BC36F3">
            <w:pPr>
              <w:keepNext w:val="0"/>
              <w:keepLines w:val="0"/>
              <w:pageBreakBefore w:val="0"/>
              <w:kinsoku/>
              <w:wordWrap/>
              <w:overflowPunct/>
              <w:topLinePunct w:val="0"/>
              <w:autoSpaceDE/>
              <w:autoSpaceDN/>
              <w:bidi w:val="0"/>
              <w:ind w:left="0" w:right="0" w:firstLine="420" w:firstLineChars="200"/>
              <w:jc w:val="both"/>
              <w:textAlignment w:val="auto"/>
              <w:rPr>
                <w:rFonts w:ascii="Times New Roman" w:hAnsi="Times New Roman" w:cs="Times New Roman"/>
                <w:color w:val="auto"/>
                <w:sz w:val="21"/>
                <w:szCs w:val="21"/>
                <w:highlight w:val="none"/>
              </w:rPr>
            </w:pPr>
            <w:r>
              <w:rPr>
                <w:rFonts w:ascii="Times New Roman" w:hAnsi="Times New Roman" w:cs="Times New Roman"/>
                <w:bCs/>
                <w:color w:val="auto"/>
                <w:sz w:val="21"/>
                <w:szCs w:val="21"/>
                <w:highlight w:val="none"/>
              </w:rPr>
              <w:t>企业</w:t>
            </w:r>
            <w:r>
              <w:rPr>
                <w:rFonts w:ascii="Times New Roman" w:hAnsi="Times New Roman" w:cs="Times New Roman"/>
                <w:color w:val="auto"/>
                <w:sz w:val="21"/>
                <w:szCs w:val="21"/>
                <w:highlight w:val="none"/>
              </w:rPr>
              <w:t>危废仓库配备有满足突发环境事件应急要求的应急人员、装备和物资，并应设置应急照明系统。</w:t>
            </w:r>
          </w:p>
        </w:tc>
        <w:tc>
          <w:tcPr>
            <w:tcW w:w="605" w:type="pct"/>
            <w:vAlign w:val="center"/>
          </w:tcPr>
          <w:p w14:paraId="1A72F0E1">
            <w:pPr>
              <w:keepNext w:val="0"/>
              <w:keepLines w:val="0"/>
              <w:pageBreakBefore w:val="0"/>
              <w:kinsoku/>
              <w:wordWrap/>
              <w:overflowPunct/>
              <w:topLinePunct w:val="0"/>
              <w:autoSpaceDE/>
              <w:autoSpaceDN/>
              <w:bidi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bCs/>
                <w:color w:val="auto"/>
                <w:sz w:val="21"/>
                <w:szCs w:val="21"/>
                <w:highlight w:val="none"/>
              </w:rPr>
              <w:t>相符</w:t>
            </w:r>
          </w:p>
        </w:tc>
      </w:tr>
    </w:tbl>
    <w:p w14:paraId="7270BBD8">
      <w:pPr>
        <w:pStyle w:val="6"/>
        <w:keepLines w:val="0"/>
        <w:widowControl/>
        <w:numPr>
          <w:ilvl w:val="0"/>
          <w:numId w:val="0"/>
        </w:numPr>
        <w:tabs>
          <w:tab w:val="left" w:pos="0"/>
          <w:tab w:val="left" w:pos="2550"/>
        </w:tabs>
        <w:spacing w:before="50" w:after="50" w:line="360" w:lineRule="auto"/>
        <w:ind w:right="-105"/>
        <w:rPr>
          <w:rFonts w:ascii="Times New Roman" w:hAnsi="Times New Roman"/>
          <w:color w:val="auto"/>
          <w:sz w:val="24"/>
          <w:szCs w:val="24"/>
          <w:highlight w:val="none"/>
        </w:rPr>
      </w:pPr>
      <w:r>
        <w:rPr>
          <w:rFonts w:hint="eastAsia" w:ascii="Times New Roman" w:hAnsi="Times New Roman"/>
          <w:color w:val="auto"/>
          <w:sz w:val="24"/>
          <w:szCs w:val="24"/>
          <w:highlight w:val="none"/>
        </w:rPr>
        <w:t>7</w:t>
      </w:r>
      <w:r>
        <w:rPr>
          <w:rFonts w:ascii="Times New Roman" w:hAnsi="Times New Roman"/>
          <w:color w:val="auto"/>
          <w:sz w:val="24"/>
          <w:szCs w:val="24"/>
          <w:highlight w:val="none"/>
        </w:rPr>
        <w:t>.4.2.2运输过程的污染防治措施</w:t>
      </w:r>
    </w:p>
    <w:p w14:paraId="773F11B1">
      <w:pPr>
        <w:adjustRightInd w:val="0"/>
        <w:snapToGrid w:val="0"/>
        <w:spacing w:line="360" w:lineRule="auto"/>
        <w:ind w:left="-105" w:right="-105" w:firstLine="480" w:firstLineChars="200"/>
        <w:rPr>
          <w:rFonts w:ascii="Times New Roman" w:hAnsi="Times New Roman" w:cs="Times New Roman"/>
          <w:color w:val="auto"/>
          <w:highlight w:val="none"/>
        </w:rPr>
      </w:pPr>
      <w:r>
        <w:rPr>
          <w:rFonts w:ascii="Times New Roman" w:hAnsi="Times New Roman" w:cs="Times New Roman"/>
          <w:color w:val="auto"/>
          <w:highlight w:val="none"/>
        </w:rPr>
        <w:t>对于委托处理的危险废物，运输中应做到以下几点：</w:t>
      </w:r>
    </w:p>
    <w:p w14:paraId="2F51FCEA">
      <w:pPr>
        <w:adjustRightInd w:val="0"/>
        <w:snapToGrid w:val="0"/>
        <w:spacing w:line="360" w:lineRule="auto"/>
        <w:ind w:left="-105" w:right="-105" w:firstLine="240" w:firstLineChars="100"/>
        <w:rPr>
          <w:rFonts w:ascii="Times New Roman" w:hAnsi="Times New Roman" w:cs="Times New Roman"/>
          <w:color w:val="auto"/>
          <w:highlight w:val="none"/>
        </w:rPr>
      </w:pPr>
      <w:r>
        <w:rPr>
          <w:rFonts w:ascii="Times New Roman" w:hAnsi="Times New Roman" w:cs="Times New Roman"/>
          <w:color w:val="auto"/>
          <w:highlight w:val="none"/>
        </w:rPr>
        <w:t>（1）该运输车辆须经主管单位检查，并持有有关单位签发的许可证，负责运输的司机应通过培训，持有证明文件。</w:t>
      </w:r>
    </w:p>
    <w:p w14:paraId="555F2EA4">
      <w:pPr>
        <w:adjustRightInd w:val="0"/>
        <w:snapToGrid w:val="0"/>
        <w:spacing w:line="360" w:lineRule="auto"/>
        <w:ind w:left="-105" w:right="-105" w:firstLine="240" w:firstLineChars="100"/>
        <w:rPr>
          <w:rFonts w:ascii="Times New Roman" w:hAnsi="Times New Roman" w:cs="Times New Roman"/>
          <w:color w:val="auto"/>
          <w:highlight w:val="none"/>
        </w:rPr>
      </w:pPr>
      <w:r>
        <w:rPr>
          <w:rFonts w:ascii="Times New Roman" w:hAnsi="Times New Roman" w:cs="Times New Roman"/>
          <w:color w:val="auto"/>
          <w:highlight w:val="none"/>
        </w:rPr>
        <w:t>（2）承载危险废物的车辆须有明显的标志或适当的危险符号，以引起注意。</w:t>
      </w:r>
    </w:p>
    <w:p w14:paraId="1A8CA30F">
      <w:pPr>
        <w:adjustRightInd w:val="0"/>
        <w:snapToGrid w:val="0"/>
        <w:spacing w:line="360" w:lineRule="auto"/>
        <w:ind w:left="-105" w:right="-105" w:firstLine="240" w:firstLineChars="100"/>
        <w:rPr>
          <w:rFonts w:ascii="Times New Roman" w:hAnsi="Times New Roman" w:cs="Times New Roman"/>
          <w:color w:val="auto"/>
          <w:highlight w:val="none"/>
        </w:rPr>
      </w:pPr>
      <w:r>
        <w:rPr>
          <w:rFonts w:ascii="Times New Roman" w:hAnsi="Times New Roman" w:cs="Times New Roman"/>
          <w:color w:val="auto"/>
          <w:highlight w:val="none"/>
        </w:rPr>
        <w:t>（3）载有危险废物的车辆在公路上行驶时，需持有运输许可证，其上应注明废物来源、性质和运往地点。</w:t>
      </w:r>
    </w:p>
    <w:p w14:paraId="6BAF011E">
      <w:pPr>
        <w:adjustRightInd w:val="0"/>
        <w:snapToGrid w:val="0"/>
        <w:spacing w:line="360" w:lineRule="auto"/>
        <w:ind w:left="-105" w:right="-105" w:firstLine="240" w:firstLineChars="100"/>
        <w:rPr>
          <w:rFonts w:ascii="Times New Roman" w:hAnsi="Times New Roman" w:cs="Times New Roman"/>
          <w:color w:val="auto"/>
          <w:highlight w:val="none"/>
        </w:rPr>
      </w:pPr>
      <w:r>
        <w:rPr>
          <w:rFonts w:ascii="Times New Roman" w:hAnsi="Times New Roman" w:cs="Times New Roman"/>
          <w:color w:val="auto"/>
          <w:highlight w:val="none"/>
        </w:rPr>
        <w:t>（4）组织危险废物的运输单位，在事先需作出周密的运输计划和行驶路线，其中包括有效的废物泄漏情况下的应急措施。</w:t>
      </w:r>
    </w:p>
    <w:p w14:paraId="5060124C">
      <w:pPr>
        <w:pStyle w:val="6"/>
        <w:keepLines w:val="0"/>
        <w:widowControl/>
        <w:numPr>
          <w:ilvl w:val="0"/>
          <w:numId w:val="0"/>
        </w:numPr>
        <w:tabs>
          <w:tab w:val="left" w:pos="0"/>
          <w:tab w:val="left" w:pos="2550"/>
        </w:tabs>
        <w:spacing w:before="50" w:after="50" w:line="360" w:lineRule="auto"/>
        <w:ind w:right="-105"/>
        <w:rPr>
          <w:rFonts w:ascii="Times New Roman" w:hAnsi="Times New Roman"/>
          <w:color w:val="auto"/>
          <w:sz w:val="24"/>
          <w:szCs w:val="24"/>
          <w:highlight w:val="none"/>
        </w:rPr>
      </w:pPr>
      <w:r>
        <w:rPr>
          <w:rFonts w:hint="eastAsia" w:ascii="Times New Roman" w:hAnsi="Times New Roman"/>
          <w:color w:val="auto"/>
          <w:sz w:val="24"/>
          <w:szCs w:val="24"/>
          <w:highlight w:val="none"/>
        </w:rPr>
        <w:t>7.4.2.3危废利用或者处置方式的污染防治措施</w:t>
      </w:r>
    </w:p>
    <w:p w14:paraId="14CCADD9">
      <w:pPr>
        <w:spacing w:line="360" w:lineRule="auto"/>
        <w:ind w:left="-105" w:right="-105" w:firstLine="480" w:firstLineChars="200"/>
        <w:rPr>
          <w:rFonts w:ascii="Times New Roman" w:hAnsi="Times New Roman" w:cs="Times New Roman"/>
          <w:color w:val="auto"/>
          <w:highlight w:val="none"/>
        </w:rPr>
      </w:pPr>
      <w:r>
        <w:rPr>
          <w:rFonts w:ascii="Times New Roman" w:hAnsi="Times New Roman" w:cs="Times New Roman"/>
          <w:color w:val="auto"/>
          <w:highlight w:val="none"/>
        </w:rPr>
        <w:t>本项目产生的危废委托有资质单位处置，不涉及利用或者处置危险固废，不需进行利用或者处置方式的污染防治措施论证。</w:t>
      </w:r>
    </w:p>
    <w:p w14:paraId="71B424C7">
      <w:pPr>
        <w:pStyle w:val="5"/>
        <w:keepLines w:val="0"/>
        <w:numPr>
          <w:ilvl w:val="2"/>
          <w:numId w:val="6"/>
        </w:numPr>
        <w:tabs>
          <w:tab w:val="left" w:pos="141"/>
          <w:tab w:val="left" w:pos="567"/>
          <w:tab w:val="left" w:pos="709"/>
          <w:tab w:val="left" w:pos="993"/>
          <w:tab w:val="left" w:pos="6663"/>
        </w:tabs>
        <w:spacing w:before="0" w:after="0" w:line="360" w:lineRule="auto"/>
        <w:ind w:left="-105" w:right="-105"/>
        <w:rPr>
          <w:rFonts w:eastAsia="宋体"/>
          <w:color w:val="auto"/>
          <w:sz w:val="28"/>
          <w:szCs w:val="28"/>
          <w:highlight w:val="none"/>
        </w:rPr>
      </w:pPr>
      <w:bookmarkStart w:id="464" w:name="_Toc43798565"/>
      <w:r>
        <w:rPr>
          <w:rFonts w:eastAsia="宋体"/>
          <w:color w:val="auto"/>
          <w:sz w:val="28"/>
          <w:szCs w:val="28"/>
          <w:highlight w:val="none"/>
        </w:rPr>
        <w:t>日常管理要求</w:t>
      </w:r>
      <w:bookmarkEnd w:id="464"/>
    </w:p>
    <w:p w14:paraId="3B3AAA0F">
      <w:pPr>
        <w:spacing w:line="360" w:lineRule="auto"/>
        <w:ind w:left="-105" w:right="-105" w:firstLine="480" w:firstLineChars="200"/>
        <w:rPr>
          <w:rFonts w:ascii="Times New Roman" w:hAnsi="Times New Roman" w:cs="Times New Roman"/>
          <w:color w:val="auto"/>
          <w:highlight w:val="none"/>
        </w:rPr>
      </w:pPr>
      <w:r>
        <w:rPr>
          <w:rFonts w:ascii="Times New Roman" w:hAnsi="Times New Roman" w:cs="Times New Roman"/>
          <w:color w:val="auto"/>
          <w:highlight w:val="none"/>
        </w:rPr>
        <w:t>1、危险废物</w:t>
      </w:r>
    </w:p>
    <w:p w14:paraId="01931CF7">
      <w:pPr>
        <w:spacing w:line="360" w:lineRule="auto"/>
        <w:ind w:left="-105" w:right="-105" w:firstLine="480" w:firstLineChars="200"/>
        <w:rPr>
          <w:rFonts w:ascii="Times New Roman" w:hAnsi="Times New Roman" w:cs="Times New Roman"/>
          <w:color w:val="auto"/>
          <w:highlight w:val="none"/>
        </w:rPr>
      </w:pPr>
      <w:r>
        <w:rPr>
          <w:rFonts w:ascii="Times New Roman" w:hAnsi="Times New Roman" w:cs="Times New Roman"/>
          <w:color w:val="auto"/>
          <w:highlight w:val="none"/>
        </w:rPr>
        <w:t>（1）履行申报登记制度；</w:t>
      </w:r>
    </w:p>
    <w:p w14:paraId="542D3818">
      <w:pPr>
        <w:spacing w:line="360" w:lineRule="auto"/>
        <w:ind w:left="-105" w:right="-105" w:firstLine="480" w:firstLineChars="200"/>
        <w:rPr>
          <w:rFonts w:ascii="Times New Roman" w:hAnsi="Times New Roman" w:cs="Times New Roman"/>
          <w:color w:val="auto"/>
          <w:highlight w:val="none"/>
        </w:rPr>
      </w:pPr>
      <w:r>
        <w:rPr>
          <w:rFonts w:ascii="Times New Roman" w:hAnsi="Times New Roman" w:cs="Times New Roman"/>
          <w:color w:val="auto"/>
          <w:highlight w:val="none"/>
        </w:rPr>
        <w:t>（2）建立台账管理制度，企业须做好危险废物情况的记录，记录上需注明危险废物的名称、来源、数量、特性和包装容器的类别；</w:t>
      </w:r>
    </w:p>
    <w:p w14:paraId="2BF48D54">
      <w:pPr>
        <w:spacing w:line="360" w:lineRule="auto"/>
        <w:ind w:left="-105" w:right="-105" w:firstLine="480" w:firstLineChars="200"/>
        <w:rPr>
          <w:rFonts w:ascii="Times New Roman" w:hAnsi="Times New Roman" w:cs="Times New Roman"/>
          <w:color w:val="auto"/>
          <w:highlight w:val="none"/>
        </w:rPr>
      </w:pPr>
      <w:r>
        <w:rPr>
          <w:rFonts w:ascii="Times New Roman" w:hAnsi="Times New Roman" w:cs="Times New Roman"/>
          <w:color w:val="auto"/>
          <w:highlight w:val="none"/>
        </w:rPr>
        <w:t>（3）委托处置应执行报批和转移联单等制度；</w:t>
      </w:r>
    </w:p>
    <w:p w14:paraId="4FDF1919">
      <w:pPr>
        <w:spacing w:line="360" w:lineRule="auto"/>
        <w:ind w:left="-105" w:right="-105" w:firstLine="480" w:firstLineChars="200"/>
        <w:rPr>
          <w:rFonts w:ascii="Times New Roman" w:hAnsi="Times New Roman" w:cs="Times New Roman"/>
          <w:color w:val="auto"/>
          <w:highlight w:val="none"/>
        </w:rPr>
      </w:pPr>
      <w:r>
        <w:rPr>
          <w:rFonts w:ascii="Times New Roman" w:hAnsi="Times New Roman" w:cs="Times New Roman"/>
          <w:color w:val="auto"/>
          <w:highlight w:val="none"/>
        </w:rPr>
        <w:t>（4）必须定期对暂存的危险废物包装容器及贮存设施进行检查，及早发现破损，及时采取措施清理更换；</w:t>
      </w:r>
    </w:p>
    <w:p w14:paraId="5710BEA9">
      <w:pPr>
        <w:spacing w:line="360" w:lineRule="auto"/>
        <w:ind w:left="-105" w:right="-105" w:firstLine="480" w:firstLineChars="200"/>
        <w:rPr>
          <w:rFonts w:ascii="Times New Roman" w:hAnsi="Times New Roman" w:cs="Times New Roman"/>
          <w:color w:val="auto"/>
          <w:highlight w:val="none"/>
        </w:rPr>
      </w:pPr>
      <w:r>
        <w:rPr>
          <w:rFonts w:ascii="Times New Roman" w:hAnsi="Times New Roman" w:cs="Times New Roman"/>
          <w:color w:val="auto"/>
          <w:highlight w:val="none"/>
        </w:rPr>
        <w:t>（5）直接从事收集、贮存、运输、利用、处置危险废物的人员，应当接受专业培训，经考核合格，方可从事该项工作。</w:t>
      </w:r>
    </w:p>
    <w:p w14:paraId="4D89DEC9">
      <w:pPr>
        <w:spacing w:line="360" w:lineRule="auto"/>
        <w:ind w:left="-105" w:right="-105" w:firstLine="480" w:firstLineChars="200"/>
        <w:rPr>
          <w:rFonts w:ascii="Times New Roman" w:hAnsi="Times New Roman" w:cs="Times New Roman"/>
          <w:color w:val="auto"/>
          <w:highlight w:val="none"/>
        </w:rPr>
      </w:pPr>
      <w:r>
        <w:rPr>
          <w:rFonts w:ascii="Times New Roman" w:hAnsi="Times New Roman" w:cs="Times New Roman"/>
          <w:color w:val="auto"/>
          <w:highlight w:val="none"/>
        </w:rPr>
        <w:t>2、一般工业固废</w:t>
      </w:r>
    </w:p>
    <w:p w14:paraId="1B41F9C0">
      <w:pPr>
        <w:spacing w:line="360" w:lineRule="auto"/>
        <w:ind w:left="-105" w:right="-105" w:firstLine="480" w:firstLineChars="200"/>
        <w:rPr>
          <w:rFonts w:ascii="Times New Roman" w:hAnsi="Times New Roman" w:cs="Times New Roman"/>
          <w:color w:val="auto"/>
          <w:highlight w:val="none"/>
        </w:rPr>
      </w:pPr>
      <w:r>
        <w:rPr>
          <w:rFonts w:ascii="Times New Roman" w:hAnsi="Times New Roman" w:cs="Times New Roman"/>
          <w:color w:val="auto"/>
          <w:highlight w:val="none"/>
        </w:rPr>
        <w:t>（1）企业应建立检查维护制度；</w:t>
      </w:r>
    </w:p>
    <w:p w14:paraId="6872CAAA">
      <w:pPr>
        <w:spacing w:line="360" w:lineRule="auto"/>
        <w:ind w:left="-105" w:right="-105" w:firstLine="480" w:firstLineChars="200"/>
        <w:rPr>
          <w:rFonts w:ascii="Times New Roman" w:hAnsi="Times New Roman" w:cs="Times New Roman"/>
          <w:color w:val="auto"/>
          <w:highlight w:val="none"/>
        </w:rPr>
      </w:pPr>
      <w:r>
        <w:rPr>
          <w:rFonts w:ascii="Times New Roman" w:hAnsi="Times New Roman" w:cs="Times New Roman"/>
          <w:color w:val="auto"/>
          <w:highlight w:val="none"/>
        </w:rPr>
        <w:t>（2）应建立档案制度，将一般工业固废的种类和数量详细记录在案，长期保存，以供查阅。</w:t>
      </w:r>
    </w:p>
    <w:p w14:paraId="71CA1B6F">
      <w:pPr>
        <w:adjustRightInd w:val="0"/>
        <w:snapToGrid w:val="0"/>
        <w:spacing w:line="360" w:lineRule="auto"/>
        <w:ind w:left="-105" w:right="-105" w:firstLine="480" w:firstLineChars="200"/>
        <w:jc w:val="both"/>
        <w:rPr>
          <w:rFonts w:ascii="Times New Roman" w:hAnsi="Times New Roman"/>
          <w:color w:val="auto"/>
          <w:highlight w:val="none"/>
        </w:rPr>
      </w:pPr>
      <w:r>
        <w:rPr>
          <w:rFonts w:ascii="Times New Roman" w:hAnsi="Times New Roman" w:cs="Times New Roman"/>
          <w:color w:val="auto"/>
          <w:highlight w:val="none"/>
        </w:rPr>
        <w:t>综上，以上固废全部做到妥善处置，实现了无害化。</w:t>
      </w:r>
    </w:p>
    <w:bookmarkEnd w:id="458"/>
    <w:p w14:paraId="7A8B3D8D">
      <w:pPr>
        <w:pStyle w:val="4"/>
        <w:numPr>
          <w:ilvl w:val="1"/>
          <w:numId w:val="6"/>
        </w:numPr>
        <w:tabs>
          <w:tab w:val="left" w:pos="426"/>
        </w:tabs>
        <w:spacing w:before="120" w:beforeLines="50" w:after="120" w:afterLines="50" w:line="360" w:lineRule="auto"/>
        <w:ind w:left="-105" w:right="-105"/>
        <w:rPr>
          <w:rFonts w:ascii="Times New Roman" w:eastAsia="宋体"/>
          <w:color w:val="auto"/>
          <w:sz w:val="28"/>
          <w:szCs w:val="28"/>
          <w:highlight w:val="none"/>
        </w:rPr>
      </w:pPr>
      <w:bookmarkStart w:id="465" w:name="_Toc24078"/>
      <w:bookmarkStart w:id="466" w:name="_Toc60653596"/>
      <w:bookmarkStart w:id="467" w:name="_Toc306443308"/>
      <w:bookmarkStart w:id="468" w:name="_Toc461444294"/>
      <w:bookmarkStart w:id="469" w:name="_Toc470515086"/>
      <w:bookmarkStart w:id="470" w:name="_Toc439595263"/>
      <w:bookmarkStart w:id="471" w:name="_Toc313475004"/>
      <w:bookmarkStart w:id="472" w:name="_Toc461443210"/>
      <w:bookmarkStart w:id="473" w:name="_Toc347332645"/>
      <w:bookmarkStart w:id="474" w:name="_Toc460422617"/>
      <w:bookmarkStart w:id="475" w:name="_Toc55155433"/>
      <w:bookmarkStart w:id="476" w:name="_Toc118628736"/>
      <w:bookmarkStart w:id="477" w:name="_Toc4226737"/>
      <w:bookmarkStart w:id="478" w:name="_Toc101291792"/>
      <w:bookmarkStart w:id="479" w:name="_Toc100053287"/>
      <w:bookmarkStart w:id="480" w:name="_Toc118620508"/>
      <w:bookmarkStart w:id="481" w:name="_Toc313475006"/>
      <w:bookmarkStart w:id="482" w:name="_Toc127345283"/>
      <w:bookmarkStart w:id="483" w:name="_Toc347332646"/>
      <w:bookmarkStart w:id="484" w:name="_Toc175038181"/>
      <w:r>
        <w:rPr>
          <w:rFonts w:ascii="Times New Roman" w:eastAsia="宋体"/>
          <w:color w:val="auto"/>
          <w:sz w:val="28"/>
          <w:szCs w:val="28"/>
          <w:highlight w:val="none"/>
        </w:rPr>
        <w:t>地下水、土壤污染防治措施</w:t>
      </w:r>
      <w:bookmarkEnd w:id="465"/>
      <w:bookmarkEnd w:id="466"/>
      <w:bookmarkEnd w:id="467"/>
      <w:bookmarkEnd w:id="468"/>
      <w:bookmarkEnd w:id="469"/>
      <w:bookmarkEnd w:id="470"/>
      <w:bookmarkEnd w:id="471"/>
      <w:bookmarkEnd w:id="472"/>
      <w:bookmarkEnd w:id="473"/>
      <w:bookmarkEnd w:id="474"/>
    </w:p>
    <w:p w14:paraId="61F29BF3">
      <w:pPr>
        <w:pStyle w:val="20"/>
        <w:spacing w:line="360" w:lineRule="auto"/>
        <w:ind w:left="-105" w:right="-105" w:firstLine="464" w:firstLineChars="200"/>
        <w:jc w:val="both"/>
        <w:rPr>
          <w:rFonts w:ascii="Times New Roman" w:hAnsi="Times New Roman" w:cs="Times New Roman"/>
          <w:color w:val="auto"/>
          <w:spacing w:val="-4"/>
          <w:sz w:val="24"/>
          <w:szCs w:val="24"/>
          <w:highlight w:val="none"/>
          <w:lang w:val="en-US"/>
        </w:rPr>
      </w:pPr>
      <w:r>
        <w:rPr>
          <w:rFonts w:ascii="Times New Roman" w:hAnsi="Times New Roman" w:cs="Times New Roman"/>
          <w:color w:val="auto"/>
          <w:spacing w:val="-4"/>
          <w:sz w:val="24"/>
          <w:szCs w:val="24"/>
          <w:highlight w:val="none"/>
        </w:rPr>
        <w:t>针对本项目运营期各个单元可能存在的污水下渗，采取合理有效的工程措施可防止污染物对土壤、地下水的污染。地下水的污染主要是由于污染物迁移穿过包气带进入含水层造成的。若污水发生渗漏，首先污染土壤，同时污染物会较快穿过包气带进入浅层地下水，对浅层地下水造成污染。由于地下水一旦受污染其发现和治理难度较大，为了更好的保护地下水资源，将本项目对地下水、土壤的影响降至最低限度，建议采取以下的污染防治措施：</w:t>
      </w:r>
    </w:p>
    <w:bookmarkEnd w:id="475"/>
    <w:bookmarkEnd w:id="476"/>
    <w:bookmarkEnd w:id="477"/>
    <w:bookmarkEnd w:id="478"/>
    <w:bookmarkEnd w:id="479"/>
    <w:bookmarkEnd w:id="480"/>
    <w:bookmarkEnd w:id="481"/>
    <w:bookmarkEnd w:id="482"/>
    <w:bookmarkEnd w:id="483"/>
    <w:bookmarkEnd w:id="484"/>
    <w:p w14:paraId="2972ADCF">
      <w:pPr>
        <w:pStyle w:val="5"/>
        <w:keepLines w:val="0"/>
        <w:numPr>
          <w:ilvl w:val="2"/>
          <w:numId w:val="6"/>
        </w:numPr>
        <w:tabs>
          <w:tab w:val="left" w:pos="141"/>
          <w:tab w:val="left" w:pos="567"/>
          <w:tab w:val="left" w:pos="709"/>
        </w:tabs>
        <w:spacing w:before="120" w:beforeLines="50" w:after="120" w:afterLines="50" w:line="360" w:lineRule="auto"/>
        <w:ind w:left="-105" w:right="-105"/>
        <w:rPr>
          <w:rFonts w:eastAsia="宋体"/>
          <w:color w:val="auto"/>
          <w:sz w:val="28"/>
          <w:szCs w:val="28"/>
          <w:highlight w:val="none"/>
        </w:rPr>
      </w:pPr>
      <w:bookmarkStart w:id="485" w:name="_Toc60653597"/>
      <w:bookmarkStart w:id="486" w:name="_Toc6096"/>
      <w:bookmarkStart w:id="487" w:name="_Toc313475007"/>
      <w:bookmarkStart w:id="488" w:name="_Toc347332647"/>
      <w:r>
        <w:rPr>
          <w:rFonts w:eastAsia="宋体"/>
          <w:color w:val="auto"/>
          <w:sz w:val="28"/>
          <w:szCs w:val="28"/>
          <w:highlight w:val="none"/>
        </w:rPr>
        <w:t>源头控制</w:t>
      </w:r>
    </w:p>
    <w:p w14:paraId="0A2EA09C">
      <w:pPr>
        <w:pStyle w:val="105"/>
        <w:spacing w:line="360" w:lineRule="auto"/>
        <w:ind w:firstLine="480" w:firstLineChars="200"/>
        <w:jc w:val="both"/>
        <w:rPr>
          <w:rFonts w:ascii="Times New Roman" w:cs="Times New Roman"/>
          <w:color w:val="auto"/>
          <w:highlight w:val="none"/>
          <w:lang w:val="zh-CN" w:bidi="zh-CN"/>
        </w:rPr>
      </w:pPr>
      <w:r>
        <w:rPr>
          <w:rFonts w:hint="eastAsia" w:ascii="Times New Roman" w:cs="Times New Roman"/>
          <w:color w:val="auto"/>
          <w:highlight w:val="none"/>
          <w:lang w:val="zh-CN" w:bidi="zh-CN"/>
        </w:rPr>
        <w:t>（</w:t>
      </w:r>
      <w:r>
        <w:rPr>
          <w:rFonts w:ascii="Times New Roman" w:cs="Times New Roman"/>
          <w:color w:val="auto"/>
          <w:highlight w:val="none"/>
          <w:lang w:val="zh-CN" w:bidi="zh-CN"/>
        </w:rPr>
        <w:t>1</w:t>
      </w:r>
      <w:r>
        <w:rPr>
          <w:rFonts w:hint="eastAsia" w:ascii="Times New Roman" w:cs="Times New Roman"/>
          <w:color w:val="auto"/>
          <w:highlight w:val="none"/>
          <w:lang w:val="zh-CN" w:bidi="zh-CN"/>
        </w:rPr>
        <w:t>）生产线建设</w:t>
      </w:r>
      <w:r>
        <w:rPr>
          <w:rFonts w:hint="eastAsia" w:ascii="Times New Roman" w:cs="Times New Roman"/>
          <w:color w:val="auto"/>
          <w:highlight w:val="none"/>
          <w:lang w:bidi="zh-CN"/>
        </w:rPr>
        <w:t>防腐防渗环氧地坪，车间内设置收集沟于事故应急池连通</w:t>
      </w:r>
      <w:r>
        <w:rPr>
          <w:rFonts w:hint="eastAsia" w:ascii="Times New Roman" w:cs="Times New Roman"/>
          <w:color w:val="auto"/>
          <w:highlight w:val="none"/>
          <w:lang w:val="zh-CN" w:bidi="zh-CN"/>
        </w:rPr>
        <w:t>，防止槽液泄漏污染地下水。</w:t>
      </w:r>
    </w:p>
    <w:p w14:paraId="7CBF9B89">
      <w:pPr>
        <w:pStyle w:val="105"/>
        <w:spacing w:line="360" w:lineRule="auto"/>
        <w:ind w:firstLine="480" w:firstLineChars="200"/>
        <w:jc w:val="both"/>
        <w:rPr>
          <w:rFonts w:ascii="Times New Roman" w:cs="Times New Roman"/>
          <w:color w:val="auto"/>
          <w:highlight w:val="none"/>
          <w:lang w:val="zh-CN" w:bidi="zh-CN"/>
        </w:rPr>
      </w:pPr>
      <w:r>
        <w:rPr>
          <w:rFonts w:hint="eastAsia" w:ascii="Times New Roman" w:cs="Times New Roman"/>
          <w:color w:val="auto"/>
          <w:highlight w:val="none"/>
          <w:lang w:val="zh-CN" w:bidi="zh-CN"/>
        </w:rPr>
        <w:t>（</w:t>
      </w:r>
      <w:r>
        <w:rPr>
          <w:rFonts w:ascii="Times New Roman" w:cs="Times New Roman"/>
          <w:color w:val="auto"/>
          <w:highlight w:val="none"/>
          <w:lang w:val="zh-CN" w:bidi="zh-CN"/>
        </w:rPr>
        <w:t>2</w:t>
      </w:r>
      <w:r>
        <w:rPr>
          <w:rFonts w:hint="eastAsia" w:ascii="Times New Roman" w:cs="Times New Roman"/>
          <w:color w:val="auto"/>
          <w:highlight w:val="none"/>
          <w:lang w:val="zh-CN" w:bidi="zh-CN"/>
        </w:rPr>
        <w:t>）所有设备凡与</w:t>
      </w:r>
      <w:r>
        <w:rPr>
          <w:rFonts w:hint="eastAsia" w:ascii="Times New Roman" w:cs="Times New Roman"/>
          <w:color w:val="auto"/>
          <w:highlight w:val="none"/>
          <w:lang w:bidi="zh-CN"/>
        </w:rPr>
        <w:t>原料</w:t>
      </w:r>
      <w:r>
        <w:rPr>
          <w:rFonts w:hint="eastAsia" w:ascii="Times New Roman" w:cs="Times New Roman"/>
          <w:color w:val="auto"/>
          <w:highlight w:val="none"/>
          <w:lang w:val="zh-CN" w:bidi="zh-CN"/>
        </w:rPr>
        <w:t>接触部件均为不锈钢、</w:t>
      </w:r>
      <w:r>
        <w:rPr>
          <w:rFonts w:ascii="Times New Roman" w:cs="Times New Roman"/>
          <w:color w:val="auto"/>
          <w:highlight w:val="none"/>
          <w:lang w:val="zh-CN" w:bidi="zh-CN"/>
        </w:rPr>
        <w:t>PVC</w:t>
      </w:r>
      <w:r>
        <w:rPr>
          <w:rFonts w:hint="eastAsia" w:ascii="Times New Roman" w:cs="Times New Roman"/>
          <w:color w:val="auto"/>
          <w:highlight w:val="none"/>
          <w:lang w:val="zh-CN" w:bidi="zh-CN"/>
        </w:rPr>
        <w:t>、</w:t>
      </w:r>
      <w:r>
        <w:rPr>
          <w:rFonts w:ascii="Times New Roman" w:cs="Times New Roman"/>
          <w:color w:val="auto"/>
          <w:highlight w:val="none"/>
          <w:lang w:val="zh-CN" w:bidi="zh-CN"/>
        </w:rPr>
        <w:t>ABS</w:t>
      </w:r>
      <w:r>
        <w:rPr>
          <w:rFonts w:hint="eastAsia" w:ascii="Times New Roman" w:cs="Times New Roman"/>
          <w:color w:val="auto"/>
          <w:highlight w:val="none"/>
          <w:lang w:val="zh-CN" w:bidi="zh-CN"/>
        </w:rPr>
        <w:t>等防腐材质。所有阀体（空气管道除外），包括自动阀、切换阀、球阀等均为</w:t>
      </w:r>
      <w:r>
        <w:rPr>
          <w:rFonts w:ascii="Times New Roman" w:cs="Times New Roman"/>
          <w:color w:val="auto"/>
          <w:highlight w:val="none"/>
          <w:lang w:val="zh-CN" w:bidi="zh-CN"/>
        </w:rPr>
        <w:t>PVC</w:t>
      </w:r>
      <w:r>
        <w:rPr>
          <w:rFonts w:hint="eastAsia" w:ascii="Times New Roman" w:cs="Times New Roman"/>
          <w:color w:val="auto"/>
          <w:highlight w:val="none"/>
          <w:lang w:val="zh-CN" w:bidi="zh-CN"/>
        </w:rPr>
        <w:t>、衬胶等防腐材质。</w:t>
      </w:r>
    </w:p>
    <w:p w14:paraId="02826F6F">
      <w:pPr>
        <w:pStyle w:val="105"/>
        <w:spacing w:line="360" w:lineRule="auto"/>
        <w:ind w:firstLine="480" w:firstLineChars="200"/>
        <w:jc w:val="both"/>
        <w:rPr>
          <w:rFonts w:ascii="Times New Roman" w:cs="Times New Roman"/>
          <w:color w:val="auto"/>
          <w:highlight w:val="none"/>
          <w:lang w:val="zh-CN" w:bidi="zh-CN"/>
        </w:rPr>
      </w:pPr>
      <w:r>
        <w:rPr>
          <w:rFonts w:hint="eastAsia" w:ascii="Times New Roman" w:cs="Times New Roman"/>
          <w:color w:val="auto"/>
          <w:highlight w:val="none"/>
          <w:lang w:val="zh-CN" w:bidi="zh-CN"/>
        </w:rPr>
        <w:t>（</w:t>
      </w:r>
      <w:r>
        <w:rPr>
          <w:rFonts w:hint="eastAsia" w:ascii="Times New Roman" w:cs="Times New Roman"/>
          <w:color w:val="auto"/>
          <w:highlight w:val="none"/>
          <w:lang w:bidi="zh-CN"/>
        </w:rPr>
        <w:t>3</w:t>
      </w:r>
      <w:r>
        <w:rPr>
          <w:rFonts w:hint="eastAsia" w:ascii="Times New Roman" w:cs="Times New Roman"/>
          <w:color w:val="auto"/>
          <w:highlight w:val="none"/>
          <w:lang w:val="zh-CN" w:bidi="zh-CN"/>
        </w:rPr>
        <w:t>）做好废液的收集、贮存和管理，防止废液外渗污染地下水。在车间内设置加盖桶装收集危险废物，避免化学品与地面直接接触。</w:t>
      </w:r>
    </w:p>
    <w:p w14:paraId="7E4F7F6B">
      <w:pPr>
        <w:pStyle w:val="105"/>
        <w:spacing w:line="360" w:lineRule="auto"/>
        <w:ind w:firstLine="480" w:firstLineChars="200"/>
        <w:jc w:val="both"/>
        <w:rPr>
          <w:rFonts w:ascii="Times New Roman" w:cs="Times New Roman"/>
          <w:color w:val="auto"/>
          <w:highlight w:val="none"/>
          <w:lang w:val="zh-CN" w:bidi="zh-CN"/>
        </w:rPr>
      </w:pPr>
      <w:r>
        <w:rPr>
          <w:rFonts w:hint="eastAsia" w:ascii="Times New Roman" w:cs="Times New Roman"/>
          <w:color w:val="auto"/>
          <w:highlight w:val="none"/>
          <w:lang w:val="zh-CN" w:bidi="zh-CN"/>
        </w:rPr>
        <w:t>（</w:t>
      </w:r>
      <w:r>
        <w:rPr>
          <w:rFonts w:hint="eastAsia" w:ascii="Times New Roman" w:cs="Times New Roman"/>
          <w:color w:val="auto"/>
          <w:highlight w:val="none"/>
          <w:lang w:bidi="zh-CN"/>
        </w:rPr>
        <w:t>4</w:t>
      </w:r>
      <w:r>
        <w:rPr>
          <w:rFonts w:hint="eastAsia" w:ascii="Times New Roman" w:cs="Times New Roman"/>
          <w:color w:val="auto"/>
          <w:highlight w:val="none"/>
          <w:lang w:val="zh-CN" w:bidi="zh-CN"/>
        </w:rPr>
        <w:t>）车间地面及危废暂存间、</w:t>
      </w:r>
      <w:r>
        <w:rPr>
          <w:rFonts w:hint="eastAsia" w:ascii="Times New Roman" w:cs="Times New Roman"/>
          <w:color w:val="auto"/>
          <w:highlight w:val="none"/>
          <w:lang w:bidi="zh-CN"/>
        </w:rPr>
        <w:t>危险品仓库、废液储罐区</w:t>
      </w:r>
      <w:r>
        <w:rPr>
          <w:rFonts w:hint="eastAsia" w:ascii="Times New Roman" w:cs="Times New Roman"/>
          <w:color w:val="auto"/>
          <w:highlight w:val="none"/>
          <w:lang w:val="zh-CN" w:bidi="zh-CN"/>
        </w:rPr>
        <w:t>地面及裙角范围按重点污染防治区进行防腐防渗处理，防渗层要求等效黏土防渗层</w:t>
      </w:r>
      <w:r>
        <w:rPr>
          <w:rFonts w:ascii="Times New Roman" w:cs="Times New Roman"/>
          <w:color w:val="auto"/>
          <w:highlight w:val="none"/>
          <w:lang w:val="zh-CN" w:bidi="zh-CN"/>
        </w:rPr>
        <w:t>Mb</w:t>
      </w:r>
      <w:r>
        <w:rPr>
          <w:rFonts w:hint="eastAsia" w:ascii="Times New Roman" w:cs="Times New Roman"/>
          <w:color w:val="auto"/>
          <w:highlight w:val="none"/>
          <w:lang w:val="zh-CN" w:bidi="zh-CN"/>
        </w:rPr>
        <w:t>≥</w:t>
      </w:r>
      <w:r>
        <w:rPr>
          <w:rFonts w:ascii="Times New Roman" w:cs="Times New Roman"/>
          <w:color w:val="auto"/>
          <w:highlight w:val="none"/>
          <w:lang w:val="zh-CN" w:bidi="zh-CN"/>
        </w:rPr>
        <w:t>6.0m</w:t>
      </w:r>
      <w:r>
        <w:rPr>
          <w:rFonts w:hint="eastAsia" w:ascii="Times New Roman" w:cs="Times New Roman"/>
          <w:color w:val="auto"/>
          <w:highlight w:val="none"/>
          <w:lang w:val="zh-CN" w:bidi="zh-CN"/>
        </w:rPr>
        <w:t>，</w:t>
      </w:r>
      <w:r>
        <w:rPr>
          <w:rFonts w:ascii="Times New Roman" w:cs="Times New Roman"/>
          <w:color w:val="auto"/>
          <w:highlight w:val="none"/>
          <w:lang w:val="zh-CN" w:bidi="zh-CN"/>
        </w:rPr>
        <w:t>K</w:t>
      </w:r>
      <w:r>
        <w:rPr>
          <w:rFonts w:hint="eastAsia" w:ascii="Times New Roman" w:cs="Times New Roman"/>
          <w:color w:val="auto"/>
          <w:highlight w:val="none"/>
          <w:lang w:val="zh-CN" w:bidi="zh-CN"/>
        </w:rPr>
        <w:t>≤</w:t>
      </w:r>
      <w:r>
        <w:rPr>
          <w:rFonts w:ascii="Times New Roman" w:cs="Times New Roman"/>
          <w:color w:val="auto"/>
          <w:highlight w:val="none"/>
          <w:lang w:val="zh-CN" w:bidi="zh-CN"/>
        </w:rPr>
        <w:t>1</w:t>
      </w:r>
      <w:r>
        <w:rPr>
          <w:rFonts w:hint="eastAsia" w:ascii="Times New Roman" w:cs="Times New Roman"/>
          <w:color w:val="auto"/>
          <w:highlight w:val="none"/>
          <w:lang w:val="zh-CN" w:bidi="zh-CN"/>
        </w:rPr>
        <w:t>×</w:t>
      </w:r>
      <w:r>
        <w:rPr>
          <w:rFonts w:ascii="Times New Roman" w:cs="Times New Roman"/>
          <w:color w:val="auto"/>
          <w:highlight w:val="none"/>
          <w:lang w:val="zh-CN" w:bidi="zh-CN"/>
        </w:rPr>
        <w:t>10</w:t>
      </w:r>
      <w:r>
        <w:rPr>
          <w:rFonts w:ascii="Times New Roman" w:cs="Times New Roman"/>
          <w:color w:val="auto"/>
          <w:highlight w:val="none"/>
          <w:vertAlign w:val="superscript"/>
          <w:lang w:val="zh-CN" w:bidi="zh-CN"/>
        </w:rPr>
        <w:t>-10</w:t>
      </w:r>
      <w:r>
        <w:rPr>
          <w:rFonts w:ascii="Times New Roman" w:cs="Times New Roman"/>
          <w:color w:val="auto"/>
          <w:highlight w:val="none"/>
          <w:lang w:val="zh-CN" w:bidi="zh-CN"/>
        </w:rPr>
        <w:t>cm/s</w:t>
      </w:r>
      <w:r>
        <w:rPr>
          <w:rFonts w:hint="eastAsia" w:ascii="Times New Roman" w:cs="Times New Roman"/>
          <w:color w:val="auto"/>
          <w:highlight w:val="none"/>
          <w:lang w:val="zh-CN" w:bidi="zh-CN"/>
        </w:rPr>
        <w:t>；其他工作区作一般防渗处理，防渗层要求等效黏土防渗层</w:t>
      </w:r>
      <w:r>
        <w:rPr>
          <w:rFonts w:ascii="Times New Roman" w:cs="Times New Roman"/>
          <w:color w:val="auto"/>
          <w:highlight w:val="none"/>
          <w:lang w:val="zh-CN" w:bidi="zh-CN"/>
        </w:rPr>
        <w:t>Mb</w:t>
      </w:r>
      <w:r>
        <w:rPr>
          <w:rFonts w:hint="eastAsia" w:ascii="Times New Roman" w:cs="Times New Roman"/>
          <w:color w:val="auto"/>
          <w:highlight w:val="none"/>
          <w:lang w:val="zh-CN" w:bidi="zh-CN"/>
        </w:rPr>
        <w:t>≥</w:t>
      </w:r>
      <w:r>
        <w:rPr>
          <w:rFonts w:ascii="Times New Roman" w:cs="Times New Roman"/>
          <w:color w:val="auto"/>
          <w:highlight w:val="none"/>
          <w:lang w:val="zh-CN" w:bidi="zh-CN"/>
        </w:rPr>
        <w:t>1.5m</w:t>
      </w:r>
      <w:r>
        <w:rPr>
          <w:rFonts w:hint="eastAsia" w:ascii="Times New Roman" w:cs="Times New Roman"/>
          <w:color w:val="auto"/>
          <w:highlight w:val="none"/>
          <w:lang w:val="zh-CN" w:bidi="zh-CN"/>
        </w:rPr>
        <w:t>，</w:t>
      </w:r>
      <w:r>
        <w:rPr>
          <w:rFonts w:ascii="Times New Roman" w:cs="Times New Roman"/>
          <w:color w:val="auto"/>
          <w:highlight w:val="none"/>
          <w:lang w:val="zh-CN" w:bidi="zh-CN"/>
        </w:rPr>
        <w:t>K</w:t>
      </w:r>
      <w:r>
        <w:rPr>
          <w:rFonts w:hint="eastAsia" w:ascii="Times New Roman" w:cs="Times New Roman"/>
          <w:color w:val="auto"/>
          <w:highlight w:val="none"/>
          <w:lang w:val="zh-CN" w:bidi="zh-CN"/>
        </w:rPr>
        <w:t>≤</w:t>
      </w:r>
      <w:r>
        <w:rPr>
          <w:rFonts w:ascii="Times New Roman" w:cs="Times New Roman"/>
          <w:color w:val="auto"/>
          <w:highlight w:val="none"/>
          <w:lang w:val="zh-CN" w:bidi="zh-CN"/>
        </w:rPr>
        <w:t>1</w:t>
      </w:r>
      <w:r>
        <w:rPr>
          <w:rFonts w:hint="eastAsia" w:ascii="Times New Roman" w:cs="Times New Roman"/>
          <w:color w:val="auto"/>
          <w:highlight w:val="none"/>
          <w:lang w:val="zh-CN" w:bidi="zh-CN"/>
        </w:rPr>
        <w:t>×</w:t>
      </w:r>
      <w:r>
        <w:rPr>
          <w:rFonts w:ascii="Times New Roman" w:cs="Times New Roman"/>
          <w:color w:val="auto"/>
          <w:highlight w:val="none"/>
          <w:lang w:val="zh-CN" w:bidi="zh-CN"/>
        </w:rPr>
        <w:t>10</w:t>
      </w:r>
      <w:r>
        <w:rPr>
          <w:rFonts w:ascii="Times New Roman" w:cs="Times New Roman"/>
          <w:color w:val="auto"/>
          <w:highlight w:val="none"/>
          <w:vertAlign w:val="superscript"/>
          <w:lang w:val="zh-CN" w:bidi="zh-CN"/>
        </w:rPr>
        <w:t>-7</w:t>
      </w:r>
      <w:r>
        <w:rPr>
          <w:rFonts w:ascii="Times New Roman" w:cs="Times New Roman"/>
          <w:color w:val="auto"/>
          <w:highlight w:val="none"/>
          <w:lang w:val="zh-CN" w:bidi="zh-CN"/>
        </w:rPr>
        <w:t>cm/s</w:t>
      </w:r>
      <w:r>
        <w:rPr>
          <w:rFonts w:hint="eastAsia" w:ascii="Times New Roman" w:cs="Times New Roman"/>
          <w:color w:val="auto"/>
          <w:highlight w:val="none"/>
          <w:lang w:val="zh-CN" w:bidi="zh-CN"/>
        </w:rPr>
        <w:t>。</w:t>
      </w:r>
    </w:p>
    <w:p w14:paraId="7F543CB3">
      <w:pPr>
        <w:pStyle w:val="21"/>
        <w:spacing w:line="360" w:lineRule="auto"/>
        <w:ind w:left="-105" w:right="-105" w:firstLine="480" w:firstLineChars="200"/>
        <w:rPr>
          <w:rFonts w:eastAsia="宋体"/>
          <w:color w:val="auto"/>
          <w:kern w:val="0"/>
          <w:sz w:val="24"/>
          <w:highlight w:val="none"/>
          <w:lang w:val="zh-CN" w:bidi="zh-CN"/>
        </w:rPr>
      </w:pPr>
      <w:r>
        <w:rPr>
          <w:rFonts w:hint="eastAsia" w:eastAsia="宋体"/>
          <w:color w:val="auto"/>
          <w:kern w:val="0"/>
          <w:sz w:val="24"/>
          <w:highlight w:val="none"/>
          <w:lang w:val="zh-CN" w:bidi="zh-CN"/>
        </w:rPr>
        <w:t>（</w:t>
      </w:r>
      <w:r>
        <w:rPr>
          <w:rFonts w:eastAsia="宋体"/>
          <w:color w:val="auto"/>
          <w:kern w:val="0"/>
          <w:sz w:val="24"/>
          <w:highlight w:val="none"/>
          <w:lang w:val="zh-CN" w:bidi="zh-CN"/>
        </w:rPr>
        <w:t>8</w:t>
      </w:r>
      <w:r>
        <w:rPr>
          <w:rFonts w:hint="eastAsia" w:eastAsia="宋体"/>
          <w:color w:val="auto"/>
          <w:kern w:val="0"/>
          <w:sz w:val="24"/>
          <w:highlight w:val="none"/>
          <w:lang w:val="zh-CN" w:bidi="zh-CN"/>
        </w:rPr>
        <w:t>）危险品仓库与生产装置区</w:t>
      </w:r>
      <w:r>
        <w:rPr>
          <w:rFonts w:hint="eastAsia" w:eastAsia="宋体"/>
          <w:color w:val="auto"/>
          <w:kern w:val="0"/>
          <w:sz w:val="24"/>
          <w:highlight w:val="none"/>
          <w:lang w:bidi="zh-CN"/>
        </w:rPr>
        <w:t>设置</w:t>
      </w:r>
      <w:r>
        <w:rPr>
          <w:rFonts w:hint="eastAsia" w:eastAsia="宋体"/>
          <w:color w:val="auto"/>
          <w:kern w:val="0"/>
          <w:sz w:val="24"/>
          <w:highlight w:val="none"/>
          <w:lang w:val="zh-CN" w:bidi="zh-CN"/>
        </w:rPr>
        <w:t>隔离，做好通风措施，地面进行防腐防渗处理。将固体与液体、酸性与碱性化学品分开储存。液体化学品临时储存区设立围堤，防止化学品泄漏污染地下水。</w:t>
      </w:r>
    </w:p>
    <w:p w14:paraId="30E88576">
      <w:pPr>
        <w:pStyle w:val="5"/>
        <w:keepLines w:val="0"/>
        <w:numPr>
          <w:ilvl w:val="2"/>
          <w:numId w:val="6"/>
        </w:numPr>
        <w:tabs>
          <w:tab w:val="left" w:pos="141"/>
          <w:tab w:val="left" w:pos="567"/>
          <w:tab w:val="left" w:pos="709"/>
        </w:tabs>
        <w:spacing w:before="120" w:beforeLines="50" w:after="120" w:afterLines="50" w:line="360" w:lineRule="auto"/>
        <w:ind w:left="-105" w:right="-105"/>
        <w:rPr>
          <w:rFonts w:eastAsia="宋体"/>
          <w:color w:val="auto"/>
          <w:sz w:val="28"/>
          <w:szCs w:val="28"/>
          <w:highlight w:val="none"/>
        </w:rPr>
      </w:pPr>
      <w:r>
        <w:rPr>
          <w:rFonts w:eastAsia="宋体"/>
          <w:color w:val="auto"/>
          <w:sz w:val="28"/>
          <w:szCs w:val="28"/>
          <w:highlight w:val="none"/>
        </w:rPr>
        <w:t>厂区防渗</w:t>
      </w:r>
    </w:p>
    <w:p w14:paraId="542F4A81">
      <w:pPr>
        <w:pStyle w:val="6"/>
        <w:keepLines w:val="0"/>
        <w:widowControl/>
        <w:numPr>
          <w:ilvl w:val="0"/>
          <w:numId w:val="0"/>
        </w:numPr>
        <w:tabs>
          <w:tab w:val="left" w:pos="0"/>
          <w:tab w:val="left" w:pos="2550"/>
        </w:tabs>
        <w:spacing w:before="50" w:after="50" w:line="360" w:lineRule="auto"/>
        <w:ind w:right="-105"/>
        <w:rPr>
          <w:rFonts w:ascii="Times New Roman" w:hAnsi="Times New Roman"/>
          <w:color w:val="auto"/>
          <w:sz w:val="24"/>
          <w:szCs w:val="24"/>
          <w:highlight w:val="none"/>
        </w:rPr>
      </w:pPr>
      <w:r>
        <w:rPr>
          <w:rFonts w:hint="eastAsia" w:ascii="Times New Roman" w:hAnsi="Times New Roman"/>
          <w:color w:val="auto"/>
          <w:sz w:val="24"/>
          <w:szCs w:val="24"/>
          <w:highlight w:val="none"/>
        </w:rPr>
        <w:t>7</w:t>
      </w:r>
      <w:r>
        <w:rPr>
          <w:rFonts w:ascii="Times New Roman" w:hAnsi="Times New Roman"/>
          <w:color w:val="auto"/>
          <w:sz w:val="24"/>
          <w:szCs w:val="24"/>
          <w:highlight w:val="none"/>
        </w:rPr>
        <w:t>.5.2.1防渗分区划分</w:t>
      </w:r>
    </w:p>
    <w:p w14:paraId="65C96905">
      <w:pPr>
        <w:pStyle w:val="20"/>
        <w:spacing w:line="360" w:lineRule="auto"/>
        <w:ind w:left="-105" w:right="-105" w:firstLine="464" w:firstLineChars="200"/>
        <w:jc w:val="both"/>
        <w:rPr>
          <w:rFonts w:ascii="Times New Roman" w:hAnsi="Times New Roman" w:cs="Times New Roman"/>
          <w:color w:val="auto"/>
          <w:spacing w:val="-4"/>
          <w:sz w:val="24"/>
          <w:szCs w:val="24"/>
          <w:highlight w:val="none"/>
        </w:rPr>
      </w:pPr>
      <w:r>
        <w:rPr>
          <w:rFonts w:ascii="Times New Roman" w:hAnsi="Times New Roman" w:cs="Times New Roman"/>
          <w:color w:val="auto"/>
          <w:spacing w:val="-4"/>
          <w:sz w:val="24"/>
          <w:szCs w:val="24"/>
          <w:highlight w:val="none"/>
        </w:rPr>
        <w:t>本项目可能造成地下水和土壤污染影响的环节有：生产区、</w:t>
      </w:r>
      <w:r>
        <w:rPr>
          <w:rFonts w:hint="eastAsia" w:ascii="Times New Roman" w:hAnsi="Times New Roman" w:cs="Times New Roman"/>
          <w:color w:val="auto"/>
          <w:spacing w:val="-4"/>
          <w:sz w:val="24"/>
          <w:szCs w:val="24"/>
          <w:highlight w:val="none"/>
          <w:lang w:val="en-US" w:eastAsia="zh-CN"/>
        </w:rPr>
        <w:t>危险品仓库</w:t>
      </w:r>
      <w:r>
        <w:rPr>
          <w:rFonts w:ascii="Times New Roman" w:hAnsi="Times New Roman" w:cs="Times New Roman"/>
          <w:color w:val="auto"/>
          <w:spacing w:val="-4"/>
          <w:sz w:val="24"/>
          <w:szCs w:val="24"/>
          <w:highlight w:val="none"/>
        </w:rPr>
        <w:t>、</w:t>
      </w:r>
      <w:r>
        <w:rPr>
          <w:rFonts w:hint="eastAsia" w:ascii="Times New Roman" w:hAnsi="Times New Roman" w:cs="Times New Roman"/>
          <w:color w:val="auto"/>
          <w:spacing w:val="-4"/>
          <w:sz w:val="24"/>
          <w:szCs w:val="24"/>
          <w:highlight w:val="none"/>
          <w:lang w:val="en-US"/>
        </w:rPr>
        <w:t>成品仓库、埋地柴油罐、废液储罐区</w:t>
      </w:r>
      <w:r>
        <w:rPr>
          <w:rFonts w:ascii="Times New Roman" w:hAnsi="Times New Roman" w:cs="Times New Roman"/>
          <w:color w:val="auto"/>
          <w:spacing w:val="-4"/>
          <w:sz w:val="24"/>
          <w:szCs w:val="24"/>
          <w:highlight w:val="none"/>
        </w:rPr>
        <w:t>、危废仓库、事故池</w:t>
      </w:r>
      <w:r>
        <w:rPr>
          <w:rFonts w:hint="eastAsia" w:ascii="Times New Roman" w:hAnsi="Times New Roman" w:cs="Times New Roman"/>
          <w:color w:val="auto"/>
          <w:spacing w:val="-4"/>
          <w:sz w:val="24"/>
          <w:szCs w:val="24"/>
          <w:highlight w:val="none"/>
        </w:rPr>
        <w:t>、</w:t>
      </w:r>
      <w:r>
        <w:rPr>
          <w:rFonts w:hint="eastAsia" w:ascii="Times New Roman" w:hAnsi="Times New Roman" w:cs="Times New Roman"/>
          <w:color w:val="auto"/>
          <w:spacing w:val="-4"/>
          <w:sz w:val="24"/>
          <w:szCs w:val="24"/>
          <w:highlight w:val="none"/>
          <w:lang w:val="en-US"/>
        </w:rPr>
        <w:t>初期雨水收集池</w:t>
      </w:r>
      <w:r>
        <w:rPr>
          <w:rFonts w:ascii="Times New Roman" w:hAnsi="Times New Roman" w:cs="Times New Roman"/>
          <w:color w:val="auto"/>
          <w:spacing w:val="-4"/>
          <w:sz w:val="24"/>
          <w:szCs w:val="24"/>
          <w:highlight w:val="none"/>
        </w:rPr>
        <w:t>等场所，以及原料储存、运输过程中，可能会发生泄漏，对土壤和地下水存在风险。</w:t>
      </w:r>
    </w:p>
    <w:p w14:paraId="77C376E5">
      <w:pPr>
        <w:pStyle w:val="20"/>
        <w:spacing w:line="360" w:lineRule="auto"/>
        <w:ind w:left="-105" w:right="-105" w:firstLine="464" w:firstLineChars="200"/>
        <w:jc w:val="both"/>
        <w:rPr>
          <w:rFonts w:ascii="Times New Roman" w:hAnsi="Times New Roman" w:cs="Times New Roman"/>
          <w:color w:val="auto"/>
          <w:spacing w:val="-4"/>
          <w:sz w:val="24"/>
          <w:szCs w:val="24"/>
          <w:highlight w:val="none"/>
        </w:rPr>
      </w:pPr>
      <w:r>
        <w:rPr>
          <w:rFonts w:ascii="Times New Roman" w:hAnsi="Times New Roman" w:cs="Times New Roman"/>
          <w:color w:val="auto"/>
          <w:spacing w:val="-4"/>
          <w:sz w:val="24"/>
          <w:szCs w:val="24"/>
          <w:highlight w:val="none"/>
        </w:rPr>
        <w:t>因此，本项目厂区划分为重点防渗区、一般防渗区和简单防渗区，生产区、</w:t>
      </w:r>
      <w:r>
        <w:rPr>
          <w:rFonts w:hint="eastAsia" w:ascii="Times New Roman" w:hAnsi="Times New Roman" w:cs="Times New Roman"/>
          <w:color w:val="auto"/>
          <w:spacing w:val="-4"/>
          <w:sz w:val="24"/>
          <w:szCs w:val="24"/>
          <w:highlight w:val="none"/>
          <w:lang w:val="en-US" w:eastAsia="zh-CN"/>
        </w:rPr>
        <w:t>危险品仓库</w:t>
      </w:r>
      <w:r>
        <w:rPr>
          <w:rFonts w:ascii="Times New Roman" w:hAnsi="Times New Roman" w:cs="Times New Roman"/>
          <w:color w:val="auto"/>
          <w:spacing w:val="-4"/>
          <w:sz w:val="24"/>
          <w:szCs w:val="24"/>
          <w:highlight w:val="none"/>
        </w:rPr>
        <w:t>、</w:t>
      </w:r>
      <w:r>
        <w:rPr>
          <w:rFonts w:hint="eastAsia" w:ascii="Times New Roman" w:hAnsi="Times New Roman" w:cs="Times New Roman"/>
          <w:color w:val="auto"/>
          <w:spacing w:val="-4"/>
          <w:sz w:val="24"/>
          <w:szCs w:val="24"/>
          <w:highlight w:val="none"/>
          <w:lang w:val="en-US"/>
        </w:rPr>
        <w:t>成品仓库、埋地柴油罐、废液储罐区</w:t>
      </w:r>
      <w:r>
        <w:rPr>
          <w:rFonts w:ascii="Times New Roman" w:hAnsi="Times New Roman" w:cs="Times New Roman"/>
          <w:color w:val="auto"/>
          <w:spacing w:val="-4"/>
          <w:sz w:val="24"/>
          <w:szCs w:val="24"/>
          <w:highlight w:val="none"/>
        </w:rPr>
        <w:t>、危废仓库、事故池</w:t>
      </w:r>
      <w:r>
        <w:rPr>
          <w:rFonts w:hint="eastAsia" w:ascii="Times New Roman" w:hAnsi="Times New Roman" w:cs="Times New Roman"/>
          <w:color w:val="auto"/>
          <w:spacing w:val="-4"/>
          <w:sz w:val="24"/>
          <w:szCs w:val="24"/>
          <w:highlight w:val="none"/>
        </w:rPr>
        <w:t>、</w:t>
      </w:r>
      <w:r>
        <w:rPr>
          <w:rFonts w:hint="eastAsia" w:ascii="Times New Roman" w:hAnsi="Times New Roman" w:cs="Times New Roman"/>
          <w:color w:val="auto"/>
          <w:spacing w:val="-4"/>
          <w:sz w:val="24"/>
          <w:szCs w:val="24"/>
          <w:highlight w:val="none"/>
          <w:lang w:val="en-US"/>
        </w:rPr>
        <w:t>初期雨水收集池</w:t>
      </w:r>
      <w:r>
        <w:rPr>
          <w:rFonts w:ascii="Times New Roman" w:hAnsi="Times New Roman" w:cs="Times New Roman"/>
          <w:color w:val="auto"/>
          <w:spacing w:val="-4"/>
          <w:sz w:val="24"/>
          <w:szCs w:val="24"/>
          <w:highlight w:val="none"/>
        </w:rPr>
        <w:t>等属于重点防渗区；</w:t>
      </w:r>
      <w:r>
        <w:rPr>
          <w:rFonts w:hint="eastAsia" w:ascii="Times New Roman" w:hAnsi="Times New Roman" w:cs="Times New Roman"/>
          <w:color w:val="auto"/>
          <w:spacing w:val="-4"/>
          <w:sz w:val="24"/>
          <w:szCs w:val="24"/>
          <w:highlight w:val="none"/>
          <w:lang w:val="en-US"/>
        </w:rPr>
        <w:t>实验</w:t>
      </w:r>
      <w:r>
        <w:rPr>
          <w:rFonts w:hint="eastAsia" w:ascii="Times New Roman" w:hAnsi="Times New Roman" w:cs="Times New Roman"/>
          <w:color w:val="auto"/>
          <w:spacing w:val="-4"/>
          <w:sz w:val="24"/>
          <w:szCs w:val="24"/>
          <w:highlight w:val="none"/>
        </w:rPr>
        <w:t>楼、</w:t>
      </w:r>
      <w:r>
        <w:rPr>
          <w:rFonts w:ascii="Times New Roman" w:hAnsi="Times New Roman" w:cs="Times New Roman"/>
          <w:color w:val="auto"/>
          <w:spacing w:val="-4"/>
          <w:sz w:val="24"/>
          <w:szCs w:val="24"/>
          <w:highlight w:val="none"/>
        </w:rPr>
        <w:t>一般固废仓库</w:t>
      </w:r>
      <w:r>
        <w:rPr>
          <w:rFonts w:hint="eastAsia" w:ascii="Times New Roman" w:hAnsi="Times New Roman" w:cs="Times New Roman"/>
          <w:color w:val="auto"/>
          <w:spacing w:val="-4"/>
          <w:sz w:val="24"/>
          <w:szCs w:val="24"/>
          <w:highlight w:val="none"/>
        </w:rPr>
        <w:t>、</w:t>
      </w:r>
      <w:r>
        <w:rPr>
          <w:rFonts w:hint="eastAsia" w:ascii="Times New Roman" w:hAnsi="Times New Roman" w:cs="Times New Roman"/>
          <w:color w:val="auto"/>
          <w:spacing w:val="-4"/>
          <w:sz w:val="24"/>
          <w:szCs w:val="24"/>
          <w:highlight w:val="none"/>
          <w:lang w:val="en-US"/>
        </w:rPr>
        <w:t>辅房</w:t>
      </w:r>
      <w:r>
        <w:rPr>
          <w:rFonts w:ascii="Times New Roman" w:hAnsi="Times New Roman" w:cs="Times New Roman"/>
          <w:color w:val="auto"/>
          <w:spacing w:val="-4"/>
          <w:sz w:val="24"/>
          <w:szCs w:val="24"/>
          <w:highlight w:val="none"/>
        </w:rPr>
        <w:t>属于一般防渗区；办公区、厂区道路、停车场、门卫等属于简单防渗区。不同的污染物区，采取不同等级的防渗措施，并确保其可靠性和有效性。</w:t>
      </w:r>
    </w:p>
    <w:p w14:paraId="2D3FD670">
      <w:pPr>
        <w:pStyle w:val="20"/>
        <w:spacing w:line="360" w:lineRule="auto"/>
        <w:ind w:left="-105" w:right="-105" w:firstLine="464" w:firstLineChars="200"/>
        <w:jc w:val="both"/>
        <w:rPr>
          <w:rFonts w:ascii="Times New Roman" w:hAnsi="Times New Roman" w:cs="Times New Roman"/>
          <w:color w:val="auto"/>
          <w:highlight w:val="none"/>
        </w:rPr>
      </w:pPr>
      <w:r>
        <w:rPr>
          <w:rFonts w:ascii="Times New Roman" w:hAnsi="Times New Roman" w:cs="Times New Roman"/>
          <w:color w:val="auto"/>
          <w:spacing w:val="-4"/>
          <w:sz w:val="24"/>
          <w:szCs w:val="24"/>
          <w:highlight w:val="none"/>
        </w:rPr>
        <w:t>本项目防渗分区划分及防渗等级见下表，本项目涉及采取的各项防渗措施具体见下表；土壤、地下水防渗布局示意图见</w:t>
      </w:r>
      <w:r>
        <w:rPr>
          <w:rFonts w:ascii="Times New Roman" w:hAnsi="Times New Roman" w:cs="Times New Roman"/>
          <w:color w:val="auto"/>
          <w:spacing w:val="-4"/>
          <w:sz w:val="24"/>
          <w:szCs w:val="24"/>
          <w:highlight w:val="none"/>
        </w:rPr>
        <w:fldChar w:fldCharType="begin"/>
      </w:r>
      <w:r>
        <w:rPr>
          <w:rFonts w:ascii="Times New Roman" w:hAnsi="Times New Roman" w:cs="Times New Roman"/>
          <w:color w:val="auto"/>
          <w:spacing w:val="-4"/>
          <w:sz w:val="24"/>
          <w:szCs w:val="24"/>
          <w:highlight w:val="none"/>
        </w:rPr>
        <w:instrText xml:space="preserve"> REF _Ref97541506 \h  \* MERGEFORMAT </w:instrText>
      </w:r>
      <w:r>
        <w:rPr>
          <w:rFonts w:ascii="Times New Roman" w:hAnsi="Times New Roman" w:cs="Times New Roman"/>
          <w:color w:val="auto"/>
          <w:spacing w:val="-4"/>
          <w:sz w:val="24"/>
          <w:szCs w:val="24"/>
          <w:highlight w:val="none"/>
        </w:rPr>
        <w:fldChar w:fldCharType="separate"/>
      </w:r>
      <w:r>
        <w:rPr>
          <w:rFonts w:ascii="Times New Roman" w:hAnsi="Times New Roman" w:cs="Times New Roman"/>
          <w:color w:val="auto"/>
          <w:sz w:val="24"/>
          <w:szCs w:val="24"/>
          <w:highlight w:val="none"/>
        </w:rPr>
        <w:t>图</w:t>
      </w:r>
      <w:r>
        <w:rPr>
          <w:rFonts w:ascii="Times New Roman" w:hAnsi="Times New Roman" w:cs="Times New Roman"/>
          <w:color w:val="auto"/>
          <w:sz w:val="24"/>
          <w:szCs w:val="24"/>
          <w:highlight w:val="none"/>
        </w:rPr>
        <w:fldChar w:fldCharType="begin"/>
      </w:r>
      <w:r>
        <w:rPr>
          <w:rFonts w:ascii="Times New Roman" w:hAnsi="Times New Roman" w:cs="Times New Roman"/>
          <w:color w:val="auto"/>
          <w:sz w:val="24"/>
          <w:szCs w:val="24"/>
          <w:highlight w:val="none"/>
        </w:rPr>
        <w:instrText xml:space="preserve"> STYLEREF 2 \s </w:instrText>
      </w:r>
      <w:r>
        <w:rPr>
          <w:rFonts w:ascii="Times New Roman" w:hAnsi="Times New Roman" w:cs="Times New Roman"/>
          <w:color w:val="auto"/>
          <w:sz w:val="24"/>
          <w:szCs w:val="24"/>
          <w:highlight w:val="none"/>
        </w:rPr>
        <w:fldChar w:fldCharType="separate"/>
      </w:r>
      <w:r>
        <w:rPr>
          <w:rFonts w:ascii="Times New Roman" w:hAnsi="Times New Roman" w:cs="Times New Roman"/>
          <w:color w:val="auto"/>
          <w:sz w:val="24"/>
          <w:szCs w:val="24"/>
          <w:highlight w:val="none"/>
        </w:rPr>
        <w:t>7.5</w:t>
      </w:r>
      <w:r>
        <w:rPr>
          <w:rFonts w:ascii="Times New Roman" w:hAnsi="Times New Roman" w:cs="Times New Roman"/>
          <w:color w:val="auto"/>
          <w:sz w:val="24"/>
          <w:szCs w:val="24"/>
          <w:highlight w:val="none"/>
        </w:rPr>
        <w:fldChar w:fldCharType="end"/>
      </w:r>
      <w:r>
        <w:rPr>
          <w:rFonts w:ascii="Times New Roman" w:hAnsi="Times New Roman" w:cs="Times New Roman"/>
          <w:color w:val="auto"/>
          <w:sz w:val="24"/>
          <w:szCs w:val="24"/>
          <w:highlight w:val="none"/>
        </w:rPr>
        <w:noBreakHyphen/>
      </w:r>
      <w:r>
        <w:rPr>
          <w:rFonts w:ascii="Times New Roman" w:hAnsi="Times New Roman" w:cs="Times New Roman"/>
          <w:color w:val="auto"/>
          <w:sz w:val="24"/>
          <w:szCs w:val="24"/>
          <w:highlight w:val="none"/>
        </w:rPr>
        <w:t>1</w:t>
      </w:r>
      <w:r>
        <w:rPr>
          <w:rFonts w:ascii="Times New Roman" w:hAnsi="Times New Roman" w:cs="Times New Roman"/>
          <w:color w:val="auto"/>
          <w:spacing w:val="-4"/>
          <w:sz w:val="24"/>
          <w:szCs w:val="24"/>
          <w:highlight w:val="none"/>
        </w:rPr>
        <w:fldChar w:fldCharType="end"/>
      </w:r>
      <w:r>
        <w:rPr>
          <w:rFonts w:ascii="Times New Roman" w:hAnsi="Times New Roman" w:cs="Times New Roman"/>
          <w:color w:val="auto"/>
          <w:spacing w:val="-4"/>
          <w:sz w:val="24"/>
          <w:szCs w:val="24"/>
          <w:highlight w:val="none"/>
        </w:rPr>
        <w:t>、</w:t>
      </w:r>
      <w:r>
        <w:rPr>
          <w:rFonts w:ascii="Times New Roman" w:hAnsi="Times New Roman" w:cs="Times New Roman"/>
          <w:color w:val="auto"/>
          <w:spacing w:val="-4"/>
          <w:sz w:val="24"/>
          <w:szCs w:val="24"/>
          <w:highlight w:val="none"/>
        </w:rPr>
        <w:fldChar w:fldCharType="begin"/>
      </w:r>
      <w:r>
        <w:rPr>
          <w:rFonts w:ascii="Times New Roman" w:hAnsi="Times New Roman" w:cs="Times New Roman"/>
          <w:color w:val="auto"/>
          <w:spacing w:val="-4"/>
          <w:sz w:val="24"/>
          <w:szCs w:val="24"/>
          <w:highlight w:val="none"/>
        </w:rPr>
        <w:instrText xml:space="preserve"> REF _Ref2843 \h </w:instrText>
      </w:r>
      <w:r>
        <w:rPr>
          <w:rFonts w:ascii="Times New Roman" w:hAnsi="Times New Roman" w:cs="Times New Roman"/>
          <w:color w:val="auto"/>
          <w:spacing w:val="-4"/>
          <w:sz w:val="24"/>
          <w:szCs w:val="24"/>
          <w:highlight w:val="none"/>
        </w:rPr>
        <w:fldChar w:fldCharType="separate"/>
      </w:r>
      <w:r>
        <w:rPr>
          <w:rFonts w:ascii="Times New Roman" w:hAnsi="Times New Roman" w:cs="Times New Roman"/>
          <w:color w:val="auto"/>
          <w:spacing w:val="-4"/>
          <w:sz w:val="24"/>
          <w:szCs w:val="24"/>
          <w:highlight w:val="none"/>
          <w:lang w:val="en-US"/>
        </w:rPr>
        <w:t>图</w:t>
      </w:r>
      <w:r>
        <w:rPr>
          <w:rFonts w:ascii="Times New Roman" w:hAnsi="Times New Roman" w:cs="Times New Roman"/>
          <w:color w:val="auto"/>
          <w:spacing w:val="-4"/>
          <w:sz w:val="24"/>
          <w:szCs w:val="24"/>
          <w:highlight w:val="none"/>
          <w:lang w:val="en-US"/>
        </w:rPr>
        <w:fldChar w:fldCharType="begin"/>
      </w:r>
      <w:r>
        <w:rPr>
          <w:rFonts w:ascii="Times New Roman" w:hAnsi="Times New Roman" w:cs="Times New Roman"/>
          <w:color w:val="auto"/>
          <w:spacing w:val="-4"/>
          <w:sz w:val="24"/>
          <w:szCs w:val="24"/>
          <w:highlight w:val="none"/>
          <w:lang w:val="en-US"/>
        </w:rPr>
        <w:instrText xml:space="preserve"> STYLEREF 2 \s </w:instrText>
      </w:r>
      <w:r>
        <w:rPr>
          <w:rFonts w:ascii="Times New Roman" w:hAnsi="Times New Roman" w:cs="Times New Roman"/>
          <w:color w:val="auto"/>
          <w:spacing w:val="-4"/>
          <w:sz w:val="24"/>
          <w:szCs w:val="24"/>
          <w:highlight w:val="none"/>
          <w:lang w:val="en-US"/>
        </w:rPr>
        <w:fldChar w:fldCharType="separate"/>
      </w:r>
      <w:r>
        <w:rPr>
          <w:rFonts w:ascii="Times New Roman" w:hAnsi="Times New Roman" w:cs="Times New Roman"/>
          <w:color w:val="auto"/>
          <w:spacing w:val="-4"/>
          <w:sz w:val="24"/>
          <w:szCs w:val="24"/>
          <w:highlight w:val="none"/>
          <w:lang w:val="en-US"/>
        </w:rPr>
        <w:t>7.5</w:t>
      </w:r>
      <w:r>
        <w:rPr>
          <w:rFonts w:ascii="Times New Roman" w:hAnsi="Times New Roman" w:cs="Times New Roman"/>
          <w:color w:val="auto"/>
          <w:spacing w:val="-4"/>
          <w:sz w:val="24"/>
          <w:szCs w:val="24"/>
          <w:highlight w:val="none"/>
          <w:lang w:val="en-US"/>
        </w:rPr>
        <w:fldChar w:fldCharType="end"/>
      </w:r>
      <w:r>
        <w:rPr>
          <w:rFonts w:ascii="Times New Roman" w:hAnsi="Times New Roman" w:cs="Times New Roman"/>
          <w:color w:val="auto"/>
          <w:spacing w:val="-4"/>
          <w:sz w:val="24"/>
          <w:szCs w:val="24"/>
          <w:highlight w:val="none"/>
          <w:lang w:val="en-US"/>
        </w:rPr>
        <w:t>-2</w:t>
      </w:r>
      <w:r>
        <w:rPr>
          <w:rFonts w:ascii="Times New Roman" w:hAnsi="Times New Roman" w:cs="Times New Roman"/>
          <w:color w:val="auto"/>
          <w:spacing w:val="-4"/>
          <w:sz w:val="24"/>
          <w:szCs w:val="24"/>
          <w:highlight w:val="none"/>
        </w:rPr>
        <w:fldChar w:fldCharType="end"/>
      </w:r>
      <w:r>
        <w:rPr>
          <w:rFonts w:ascii="Times New Roman" w:hAnsi="Times New Roman" w:cs="Times New Roman"/>
          <w:color w:val="auto"/>
          <w:highlight w:val="none"/>
        </w:rPr>
        <w:t>。</w:t>
      </w:r>
    </w:p>
    <w:p w14:paraId="7ED203B7">
      <w:pPr>
        <w:pStyle w:val="15"/>
        <w:adjustRightInd w:val="0"/>
        <w:snapToGrid w:val="0"/>
        <w:spacing w:line="360" w:lineRule="auto"/>
        <w:ind w:left="-105" w:right="-105" w:firstLine="482" w:firstLineChars="200"/>
        <w:rPr>
          <w:color w:val="auto"/>
          <w:highlight w:val="none"/>
          <w:lang w:bidi="zh-CN"/>
        </w:rPr>
      </w:pPr>
      <w:r>
        <w:rPr>
          <w:rFonts w:eastAsia="宋体"/>
          <w:color w:val="auto"/>
          <w:sz w:val="24"/>
          <w:szCs w:val="24"/>
          <w:highlight w:val="none"/>
        </w:rPr>
        <w:t>表</w:t>
      </w:r>
      <w:r>
        <w:rPr>
          <w:rFonts w:eastAsia="宋体"/>
          <w:color w:val="auto"/>
          <w:sz w:val="24"/>
          <w:szCs w:val="24"/>
          <w:highlight w:val="none"/>
        </w:rPr>
        <w:fldChar w:fldCharType="begin"/>
      </w:r>
      <w:r>
        <w:rPr>
          <w:rFonts w:eastAsia="宋体"/>
          <w:color w:val="auto"/>
          <w:sz w:val="24"/>
          <w:szCs w:val="24"/>
          <w:highlight w:val="none"/>
        </w:rPr>
        <w:instrText xml:space="preserve"> STYLEREF 2 \s </w:instrText>
      </w:r>
      <w:r>
        <w:rPr>
          <w:rFonts w:eastAsia="宋体"/>
          <w:color w:val="auto"/>
          <w:sz w:val="24"/>
          <w:szCs w:val="24"/>
          <w:highlight w:val="none"/>
        </w:rPr>
        <w:fldChar w:fldCharType="separate"/>
      </w:r>
      <w:r>
        <w:rPr>
          <w:rFonts w:eastAsia="宋体"/>
          <w:color w:val="auto"/>
          <w:sz w:val="24"/>
          <w:szCs w:val="24"/>
          <w:highlight w:val="none"/>
        </w:rPr>
        <w:t>7.5</w:t>
      </w:r>
      <w:r>
        <w:rPr>
          <w:rFonts w:eastAsia="宋体"/>
          <w:color w:val="auto"/>
          <w:sz w:val="24"/>
          <w:szCs w:val="24"/>
          <w:highlight w:val="none"/>
        </w:rPr>
        <w:fldChar w:fldCharType="end"/>
      </w:r>
      <w:r>
        <w:rPr>
          <w:rFonts w:eastAsia="宋体"/>
          <w:color w:val="auto"/>
          <w:sz w:val="24"/>
          <w:szCs w:val="24"/>
          <w:highlight w:val="none"/>
        </w:rPr>
        <w:noBreakHyphen/>
      </w:r>
      <w:r>
        <w:rPr>
          <w:rFonts w:eastAsia="宋体"/>
          <w:color w:val="auto"/>
          <w:sz w:val="24"/>
          <w:szCs w:val="24"/>
          <w:highlight w:val="none"/>
        </w:rPr>
        <w:fldChar w:fldCharType="begin"/>
      </w:r>
      <w:r>
        <w:rPr>
          <w:rFonts w:eastAsia="宋体"/>
          <w:color w:val="auto"/>
          <w:sz w:val="24"/>
          <w:szCs w:val="24"/>
          <w:highlight w:val="none"/>
        </w:rPr>
        <w:instrText xml:space="preserve"> SEQ 表 \* ARABIC \s 2 </w:instrText>
      </w:r>
      <w:r>
        <w:rPr>
          <w:rFonts w:eastAsia="宋体"/>
          <w:color w:val="auto"/>
          <w:sz w:val="24"/>
          <w:szCs w:val="24"/>
          <w:highlight w:val="none"/>
        </w:rPr>
        <w:fldChar w:fldCharType="separate"/>
      </w:r>
      <w:r>
        <w:rPr>
          <w:rFonts w:eastAsia="宋体"/>
          <w:color w:val="auto"/>
          <w:sz w:val="24"/>
          <w:szCs w:val="24"/>
          <w:highlight w:val="none"/>
        </w:rPr>
        <w:t>1</w:t>
      </w:r>
      <w:r>
        <w:rPr>
          <w:rFonts w:eastAsia="宋体"/>
          <w:color w:val="auto"/>
          <w:sz w:val="24"/>
          <w:szCs w:val="24"/>
          <w:highlight w:val="none"/>
        </w:rPr>
        <w:fldChar w:fldCharType="end"/>
      </w:r>
      <w:r>
        <w:rPr>
          <w:rFonts w:eastAsia="宋体"/>
          <w:color w:val="auto"/>
          <w:sz w:val="24"/>
          <w:szCs w:val="24"/>
          <w:highlight w:val="none"/>
        </w:rPr>
        <w:t>本项目污染区划分及防渗要求</w:t>
      </w:r>
    </w:p>
    <w:tbl>
      <w:tblPr>
        <w:tblStyle w:val="45"/>
        <w:tblW w:w="9072" w:type="dxa"/>
        <w:jc w:val="center"/>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fixed"/>
        <w:tblCellMar>
          <w:top w:w="0" w:type="dxa"/>
          <w:left w:w="0" w:type="dxa"/>
          <w:bottom w:w="0" w:type="dxa"/>
          <w:right w:w="0" w:type="dxa"/>
        </w:tblCellMar>
      </w:tblPr>
      <w:tblGrid>
        <w:gridCol w:w="1404"/>
        <w:gridCol w:w="2257"/>
        <w:gridCol w:w="2493"/>
        <w:gridCol w:w="2918"/>
      </w:tblGrid>
      <w:tr w14:paraId="7E39FEDF">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40" w:hRule="atLeast"/>
          <w:jc w:val="center"/>
        </w:trPr>
        <w:tc>
          <w:tcPr>
            <w:tcW w:w="1404" w:type="dxa"/>
            <w:tcBorders>
              <w:left w:val="nil"/>
              <w:bottom w:val="single" w:color="000000" w:sz="4" w:space="0"/>
              <w:right w:val="single" w:color="000000" w:sz="4" w:space="0"/>
            </w:tcBorders>
            <w:vAlign w:val="center"/>
          </w:tcPr>
          <w:p w14:paraId="71DB41D9">
            <w:pPr>
              <w:pStyle w:val="98"/>
              <w:adjustRightInd w:val="0"/>
              <w:snapToGrid w:val="0"/>
              <w:ind w:left="-105" w:right="-105"/>
              <w:rPr>
                <w:rFonts w:eastAsia="宋体"/>
                <w:b/>
                <w:color w:val="auto"/>
                <w:sz w:val="21"/>
                <w:highlight w:val="none"/>
              </w:rPr>
            </w:pPr>
            <w:r>
              <w:rPr>
                <w:rFonts w:eastAsia="宋体"/>
                <w:b/>
                <w:color w:val="auto"/>
                <w:sz w:val="21"/>
                <w:highlight w:val="none"/>
              </w:rPr>
              <w:t>防渗分区</w:t>
            </w:r>
          </w:p>
        </w:tc>
        <w:tc>
          <w:tcPr>
            <w:tcW w:w="2257" w:type="dxa"/>
            <w:tcBorders>
              <w:left w:val="single" w:color="000000" w:sz="4" w:space="0"/>
              <w:bottom w:val="single" w:color="000000" w:sz="4" w:space="0"/>
              <w:right w:val="single" w:color="000000" w:sz="4" w:space="0"/>
            </w:tcBorders>
            <w:vAlign w:val="center"/>
          </w:tcPr>
          <w:p w14:paraId="35538A2E">
            <w:pPr>
              <w:pStyle w:val="98"/>
              <w:adjustRightInd w:val="0"/>
              <w:snapToGrid w:val="0"/>
              <w:ind w:left="-105" w:right="-105"/>
              <w:rPr>
                <w:rFonts w:eastAsia="宋体"/>
                <w:b/>
                <w:color w:val="auto"/>
                <w:sz w:val="21"/>
                <w:highlight w:val="none"/>
              </w:rPr>
            </w:pPr>
            <w:r>
              <w:rPr>
                <w:rFonts w:eastAsia="宋体"/>
                <w:b/>
                <w:color w:val="auto"/>
                <w:sz w:val="21"/>
                <w:highlight w:val="none"/>
              </w:rPr>
              <w:t>定义</w:t>
            </w:r>
          </w:p>
        </w:tc>
        <w:tc>
          <w:tcPr>
            <w:tcW w:w="2493" w:type="dxa"/>
            <w:tcBorders>
              <w:left w:val="single" w:color="000000" w:sz="4" w:space="0"/>
              <w:bottom w:val="single" w:color="000000" w:sz="4" w:space="0"/>
              <w:right w:val="single" w:color="000000" w:sz="4" w:space="0"/>
            </w:tcBorders>
            <w:vAlign w:val="center"/>
          </w:tcPr>
          <w:p w14:paraId="021D9764">
            <w:pPr>
              <w:pStyle w:val="98"/>
              <w:adjustRightInd w:val="0"/>
              <w:snapToGrid w:val="0"/>
              <w:ind w:left="-105" w:right="-105"/>
              <w:rPr>
                <w:rFonts w:eastAsia="宋体"/>
                <w:b/>
                <w:color w:val="auto"/>
                <w:sz w:val="21"/>
                <w:highlight w:val="none"/>
              </w:rPr>
            </w:pPr>
            <w:r>
              <w:rPr>
                <w:rFonts w:eastAsia="宋体"/>
                <w:b/>
                <w:color w:val="auto"/>
                <w:sz w:val="21"/>
                <w:highlight w:val="none"/>
              </w:rPr>
              <w:t>厂内分区</w:t>
            </w:r>
          </w:p>
        </w:tc>
        <w:tc>
          <w:tcPr>
            <w:tcW w:w="2918" w:type="dxa"/>
            <w:tcBorders>
              <w:left w:val="single" w:color="000000" w:sz="4" w:space="0"/>
              <w:bottom w:val="single" w:color="000000" w:sz="4" w:space="0"/>
              <w:right w:val="nil"/>
            </w:tcBorders>
            <w:vAlign w:val="center"/>
          </w:tcPr>
          <w:p w14:paraId="1AAD99C9">
            <w:pPr>
              <w:pStyle w:val="98"/>
              <w:adjustRightInd w:val="0"/>
              <w:snapToGrid w:val="0"/>
              <w:ind w:left="-105" w:right="-105"/>
              <w:rPr>
                <w:rFonts w:eastAsia="宋体"/>
                <w:b/>
                <w:color w:val="auto"/>
                <w:sz w:val="21"/>
                <w:highlight w:val="none"/>
              </w:rPr>
            </w:pPr>
            <w:r>
              <w:rPr>
                <w:rFonts w:eastAsia="宋体"/>
                <w:b/>
                <w:color w:val="auto"/>
                <w:sz w:val="21"/>
                <w:highlight w:val="none"/>
              </w:rPr>
              <w:t>防渗等级</w:t>
            </w:r>
          </w:p>
        </w:tc>
      </w:tr>
      <w:tr w14:paraId="2F3067FB">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40" w:hRule="atLeast"/>
          <w:jc w:val="center"/>
        </w:trPr>
        <w:tc>
          <w:tcPr>
            <w:tcW w:w="1404" w:type="dxa"/>
            <w:tcBorders>
              <w:top w:val="single" w:color="000000" w:sz="4" w:space="0"/>
              <w:left w:val="nil"/>
              <w:bottom w:val="single" w:color="000000" w:sz="4" w:space="0"/>
              <w:right w:val="single" w:color="000000" w:sz="4" w:space="0"/>
            </w:tcBorders>
            <w:vAlign w:val="center"/>
          </w:tcPr>
          <w:p w14:paraId="07B5DCA1">
            <w:pPr>
              <w:pStyle w:val="98"/>
              <w:adjustRightInd w:val="0"/>
              <w:snapToGrid w:val="0"/>
              <w:ind w:left="-105" w:right="-105"/>
              <w:rPr>
                <w:rFonts w:eastAsia="宋体"/>
                <w:color w:val="auto"/>
                <w:sz w:val="21"/>
                <w:highlight w:val="none"/>
              </w:rPr>
            </w:pPr>
            <w:r>
              <w:rPr>
                <w:rFonts w:eastAsia="宋体"/>
                <w:color w:val="auto"/>
                <w:sz w:val="21"/>
                <w:highlight w:val="none"/>
              </w:rPr>
              <w:t>重点防渗区</w:t>
            </w:r>
          </w:p>
        </w:tc>
        <w:tc>
          <w:tcPr>
            <w:tcW w:w="2257" w:type="dxa"/>
            <w:tcBorders>
              <w:top w:val="single" w:color="000000" w:sz="4" w:space="0"/>
              <w:left w:val="single" w:color="000000" w:sz="4" w:space="0"/>
              <w:bottom w:val="single" w:color="000000" w:sz="4" w:space="0"/>
              <w:right w:val="single" w:color="000000" w:sz="4" w:space="0"/>
            </w:tcBorders>
            <w:vAlign w:val="center"/>
          </w:tcPr>
          <w:p w14:paraId="72864EFD">
            <w:pPr>
              <w:pStyle w:val="98"/>
              <w:adjustRightInd w:val="0"/>
              <w:snapToGrid w:val="0"/>
              <w:ind w:left="-105" w:right="-105"/>
              <w:rPr>
                <w:rFonts w:eastAsia="宋体"/>
                <w:color w:val="auto"/>
                <w:sz w:val="21"/>
                <w:highlight w:val="none"/>
              </w:rPr>
            </w:pPr>
            <w:r>
              <w:rPr>
                <w:rFonts w:eastAsia="宋体"/>
                <w:color w:val="auto"/>
                <w:spacing w:val="-2"/>
                <w:sz w:val="21"/>
                <w:highlight w:val="none"/>
              </w:rPr>
              <w:t>危害性大、毒性较大的生产装置区、物料储罐区、危化品房、</w:t>
            </w:r>
            <w:r>
              <w:rPr>
                <w:rFonts w:eastAsia="宋体"/>
                <w:color w:val="auto"/>
                <w:sz w:val="21"/>
                <w:highlight w:val="none"/>
              </w:rPr>
              <w:t>危险固废暂存区等</w:t>
            </w:r>
          </w:p>
        </w:tc>
        <w:tc>
          <w:tcPr>
            <w:tcW w:w="2493" w:type="dxa"/>
            <w:tcBorders>
              <w:top w:val="single" w:color="000000" w:sz="4" w:space="0"/>
              <w:left w:val="single" w:color="000000" w:sz="4" w:space="0"/>
              <w:bottom w:val="single" w:color="000000" w:sz="4" w:space="0"/>
              <w:right w:val="single" w:color="000000" w:sz="4" w:space="0"/>
            </w:tcBorders>
            <w:vAlign w:val="center"/>
          </w:tcPr>
          <w:p w14:paraId="1639F523">
            <w:pPr>
              <w:pStyle w:val="98"/>
              <w:adjustRightInd w:val="0"/>
              <w:snapToGrid w:val="0"/>
              <w:ind w:left="-105" w:right="-105"/>
              <w:rPr>
                <w:rFonts w:eastAsia="宋体"/>
                <w:color w:val="auto"/>
                <w:sz w:val="21"/>
                <w:highlight w:val="none"/>
              </w:rPr>
            </w:pPr>
            <w:r>
              <w:rPr>
                <w:rFonts w:hint="eastAsia" w:eastAsia="宋体"/>
                <w:color w:val="auto"/>
                <w:spacing w:val="-4"/>
                <w:sz w:val="21"/>
                <w:highlight w:val="none"/>
              </w:rPr>
              <w:t>生产区、</w:t>
            </w:r>
            <w:r>
              <w:rPr>
                <w:rFonts w:hint="eastAsia" w:eastAsia="宋体"/>
                <w:color w:val="auto"/>
                <w:spacing w:val="-4"/>
                <w:sz w:val="21"/>
                <w:highlight w:val="none"/>
                <w:lang w:eastAsia="zh-CN"/>
              </w:rPr>
              <w:t>危险品仓库</w:t>
            </w:r>
            <w:r>
              <w:rPr>
                <w:rFonts w:hint="eastAsia" w:eastAsia="宋体"/>
                <w:color w:val="auto"/>
                <w:spacing w:val="-4"/>
                <w:sz w:val="21"/>
                <w:highlight w:val="none"/>
              </w:rPr>
              <w:t>、</w:t>
            </w:r>
            <w:r>
              <w:rPr>
                <w:rFonts w:hint="eastAsia" w:eastAsia="宋体"/>
                <w:color w:val="auto"/>
                <w:spacing w:val="-4"/>
                <w:sz w:val="21"/>
                <w:highlight w:val="none"/>
                <w:lang w:val="en-US"/>
              </w:rPr>
              <w:t>成品仓库、埋地柴油罐、</w:t>
            </w:r>
            <w:r>
              <w:rPr>
                <w:rFonts w:hint="eastAsia" w:eastAsia="宋体"/>
                <w:color w:val="auto"/>
                <w:spacing w:val="-4"/>
                <w:sz w:val="21"/>
                <w:highlight w:val="none"/>
              </w:rPr>
              <w:t>废液储罐区、危废仓库、事故池、</w:t>
            </w:r>
            <w:r>
              <w:rPr>
                <w:rFonts w:hint="eastAsia" w:eastAsia="宋体"/>
                <w:color w:val="auto"/>
                <w:spacing w:val="-4"/>
                <w:sz w:val="21"/>
                <w:highlight w:val="none"/>
                <w:lang w:val="en-US"/>
              </w:rPr>
              <w:t>初期雨水收集池</w:t>
            </w:r>
            <w:r>
              <w:rPr>
                <w:rFonts w:eastAsia="宋体"/>
                <w:color w:val="auto"/>
                <w:sz w:val="21"/>
                <w:highlight w:val="none"/>
              </w:rPr>
              <w:t>等</w:t>
            </w:r>
          </w:p>
        </w:tc>
        <w:tc>
          <w:tcPr>
            <w:tcW w:w="2918" w:type="dxa"/>
            <w:tcBorders>
              <w:top w:val="single" w:color="000000" w:sz="4" w:space="0"/>
              <w:left w:val="single" w:color="000000" w:sz="4" w:space="0"/>
              <w:bottom w:val="single" w:color="000000" w:sz="4" w:space="0"/>
              <w:right w:val="nil"/>
            </w:tcBorders>
            <w:vAlign w:val="center"/>
          </w:tcPr>
          <w:p w14:paraId="34C2AFC8">
            <w:pPr>
              <w:pStyle w:val="98"/>
              <w:adjustRightInd w:val="0"/>
              <w:snapToGrid w:val="0"/>
              <w:ind w:left="-105" w:right="-105"/>
              <w:rPr>
                <w:rFonts w:eastAsia="宋体"/>
                <w:color w:val="auto"/>
                <w:sz w:val="21"/>
                <w:highlight w:val="none"/>
              </w:rPr>
            </w:pPr>
            <w:r>
              <w:rPr>
                <w:rFonts w:eastAsia="宋体"/>
                <w:color w:val="auto"/>
                <w:sz w:val="21"/>
                <w:highlight w:val="none"/>
              </w:rPr>
              <w:t>渗透系数≤1.0×10</w:t>
            </w:r>
            <w:r>
              <w:rPr>
                <w:rFonts w:eastAsia="宋体"/>
                <w:color w:val="auto"/>
                <w:sz w:val="21"/>
                <w:highlight w:val="none"/>
                <w:vertAlign w:val="superscript"/>
              </w:rPr>
              <w:t>-10</w:t>
            </w:r>
            <w:r>
              <w:rPr>
                <w:rFonts w:eastAsia="宋体"/>
                <w:color w:val="auto"/>
                <w:sz w:val="21"/>
                <w:highlight w:val="none"/>
              </w:rPr>
              <w:t>cm/s</w:t>
            </w:r>
          </w:p>
        </w:tc>
      </w:tr>
      <w:tr w14:paraId="4265CC74">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40" w:hRule="atLeast"/>
          <w:jc w:val="center"/>
        </w:trPr>
        <w:tc>
          <w:tcPr>
            <w:tcW w:w="1404" w:type="dxa"/>
            <w:tcBorders>
              <w:top w:val="single" w:color="000000" w:sz="4" w:space="0"/>
              <w:left w:val="nil"/>
              <w:bottom w:val="single" w:color="000000" w:sz="4" w:space="0"/>
              <w:right w:val="single" w:color="000000" w:sz="4" w:space="0"/>
            </w:tcBorders>
            <w:vAlign w:val="center"/>
          </w:tcPr>
          <w:p w14:paraId="2444AF97">
            <w:pPr>
              <w:pStyle w:val="98"/>
              <w:adjustRightInd w:val="0"/>
              <w:snapToGrid w:val="0"/>
              <w:ind w:left="-105" w:right="-105"/>
              <w:rPr>
                <w:rFonts w:eastAsia="宋体"/>
                <w:color w:val="auto"/>
                <w:sz w:val="21"/>
                <w:highlight w:val="none"/>
              </w:rPr>
            </w:pPr>
            <w:r>
              <w:rPr>
                <w:rFonts w:eastAsia="宋体"/>
                <w:color w:val="auto"/>
                <w:sz w:val="21"/>
                <w:highlight w:val="none"/>
              </w:rPr>
              <w:t>一般防渗区</w:t>
            </w:r>
          </w:p>
        </w:tc>
        <w:tc>
          <w:tcPr>
            <w:tcW w:w="2257" w:type="dxa"/>
            <w:tcBorders>
              <w:top w:val="single" w:color="000000" w:sz="4" w:space="0"/>
              <w:left w:val="single" w:color="000000" w:sz="4" w:space="0"/>
              <w:bottom w:val="single" w:color="000000" w:sz="4" w:space="0"/>
              <w:right w:val="single" w:color="000000" w:sz="4" w:space="0"/>
            </w:tcBorders>
            <w:vAlign w:val="center"/>
          </w:tcPr>
          <w:p w14:paraId="073F4D42">
            <w:pPr>
              <w:pStyle w:val="98"/>
              <w:adjustRightInd w:val="0"/>
              <w:snapToGrid w:val="0"/>
              <w:ind w:left="-105" w:right="-105"/>
              <w:rPr>
                <w:rFonts w:eastAsia="宋体"/>
                <w:color w:val="auto"/>
                <w:sz w:val="21"/>
                <w:highlight w:val="none"/>
              </w:rPr>
            </w:pPr>
            <w:r>
              <w:rPr>
                <w:rFonts w:eastAsia="宋体"/>
                <w:color w:val="auto"/>
                <w:sz w:val="21"/>
                <w:highlight w:val="none"/>
              </w:rPr>
              <w:t>无毒性或毒性小的生产装置区、装置区外管廊区</w:t>
            </w:r>
          </w:p>
        </w:tc>
        <w:tc>
          <w:tcPr>
            <w:tcW w:w="2493" w:type="dxa"/>
            <w:tcBorders>
              <w:top w:val="single" w:color="000000" w:sz="4" w:space="0"/>
              <w:left w:val="single" w:color="000000" w:sz="4" w:space="0"/>
              <w:bottom w:val="single" w:color="000000" w:sz="4" w:space="0"/>
              <w:right w:val="single" w:color="000000" w:sz="4" w:space="0"/>
            </w:tcBorders>
            <w:vAlign w:val="center"/>
          </w:tcPr>
          <w:p w14:paraId="71F07EFB">
            <w:pPr>
              <w:pStyle w:val="98"/>
              <w:adjustRightInd w:val="0"/>
              <w:snapToGrid w:val="0"/>
              <w:ind w:left="-105" w:right="-105"/>
              <w:rPr>
                <w:rFonts w:eastAsia="宋体"/>
                <w:color w:val="auto"/>
                <w:sz w:val="21"/>
                <w:highlight w:val="none"/>
              </w:rPr>
            </w:pPr>
            <w:r>
              <w:rPr>
                <w:rFonts w:hint="eastAsia" w:eastAsia="宋体"/>
                <w:color w:val="auto"/>
                <w:sz w:val="21"/>
                <w:highlight w:val="none"/>
                <w:lang w:val="en-US"/>
              </w:rPr>
              <w:t>实验楼、</w:t>
            </w:r>
            <w:r>
              <w:rPr>
                <w:rFonts w:eastAsia="宋体"/>
                <w:color w:val="auto"/>
                <w:sz w:val="21"/>
                <w:highlight w:val="none"/>
                <w:lang w:val="en-US"/>
              </w:rPr>
              <w:t>一般固废仓库</w:t>
            </w:r>
            <w:r>
              <w:rPr>
                <w:rFonts w:hint="eastAsia" w:eastAsia="宋体"/>
                <w:color w:val="auto"/>
                <w:sz w:val="21"/>
                <w:highlight w:val="none"/>
                <w:lang w:val="en-US"/>
              </w:rPr>
              <w:t>、辅房</w:t>
            </w:r>
            <w:r>
              <w:rPr>
                <w:rFonts w:eastAsia="宋体"/>
                <w:color w:val="auto"/>
                <w:sz w:val="21"/>
                <w:highlight w:val="none"/>
              </w:rPr>
              <w:t>等</w:t>
            </w:r>
          </w:p>
        </w:tc>
        <w:tc>
          <w:tcPr>
            <w:tcW w:w="2918" w:type="dxa"/>
            <w:tcBorders>
              <w:top w:val="single" w:color="000000" w:sz="4" w:space="0"/>
              <w:left w:val="single" w:color="000000" w:sz="4" w:space="0"/>
              <w:bottom w:val="single" w:color="000000" w:sz="4" w:space="0"/>
              <w:right w:val="nil"/>
            </w:tcBorders>
            <w:vAlign w:val="center"/>
          </w:tcPr>
          <w:p w14:paraId="7D97D50A">
            <w:pPr>
              <w:pStyle w:val="98"/>
              <w:adjustRightInd w:val="0"/>
              <w:snapToGrid w:val="0"/>
              <w:ind w:left="-105" w:right="-105"/>
              <w:rPr>
                <w:rFonts w:eastAsia="宋体"/>
                <w:color w:val="auto"/>
                <w:sz w:val="21"/>
                <w:highlight w:val="none"/>
              </w:rPr>
            </w:pPr>
            <w:r>
              <w:rPr>
                <w:rFonts w:eastAsia="宋体"/>
                <w:color w:val="auto"/>
                <w:sz w:val="21"/>
                <w:highlight w:val="none"/>
              </w:rPr>
              <w:t>渗透系数≤1.0×10</w:t>
            </w:r>
            <w:r>
              <w:rPr>
                <w:rFonts w:eastAsia="宋体"/>
                <w:color w:val="auto"/>
                <w:sz w:val="21"/>
                <w:highlight w:val="none"/>
                <w:vertAlign w:val="superscript"/>
              </w:rPr>
              <w:t>-7</w:t>
            </w:r>
            <w:r>
              <w:rPr>
                <w:rFonts w:eastAsia="宋体"/>
                <w:color w:val="auto"/>
                <w:sz w:val="21"/>
                <w:highlight w:val="none"/>
              </w:rPr>
              <w:t>cm/s</w:t>
            </w:r>
          </w:p>
        </w:tc>
      </w:tr>
      <w:tr w14:paraId="4DEF06CC">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40" w:hRule="atLeast"/>
          <w:jc w:val="center"/>
        </w:trPr>
        <w:tc>
          <w:tcPr>
            <w:tcW w:w="1404" w:type="dxa"/>
            <w:tcBorders>
              <w:top w:val="single" w:color="000000" w:sz="4" w:space="0"/>
              <w:left w:val="nil"/>
              <w:right w:val="single" w:color="000000" w:sz="4" w:space="0"/>
            </w:tcBorders>
            <w:vAlign w:val="center"/>
          </w:tcPr>
          <w:p w14:paraId="01FBFA75">
            <w:pPr>
              <w:pStyle w:val="98"/>
              <w:adjustRightInd w:val="0"/>
              <w:snapToGrid w:val="0"/>
              <w:ind w:left="-105" w:right="-105"/>
              <w:rPr>
                <w:rFonts w:eastAsia="宋体"/>
                <w:color w:val="auto"/>
                <w:sz w:val="21"/>
                <w:highlight w:val="none"/>
              </w:rPr>
            </w:pPr>
            <w:r>
              <w:rPr>
                <w:rFonts w:eastAsia="宋体"/>
                <w:color w:val="auto"/>
                <w:sz w:val="21"/>
                <w:highlight w:val="none"/>
              </w:rPr>
              <w:t>简单防渗区</w:t>
            </w:r>
          </w:p>
        </w:tc>
        <w:tc>
          <w:tcPr>
            <w:tcW w:w="2257" w:type="dxa"/>
            <w:tcBorders>
              <w:top w:val="single" w:color="000000" w:sz="4" w:space="0"/>
              <w:left w:val="single" w:color="000000" w:sz="4" w:space="0"/>
              <w:right w:val="single" w:color="000000" w:sz="4" w:space="0"/>
            </w:tcBorders>
            <w:vAlign w:val="center"/>
          </w:tcPr>
          <w:p w14:paraId="3C6CD37C">
            <w:pPr>
              <w:pStyle w:val="98"/>
              <w:adjustRightInd w:val="0"/>
              <w:snapToGrid w:val="0"/>
              <w:ind w:left="-105" w:right="-105"/>
              <w:rPr>
                <w:rFonts w:eastAsia="宋体"/>
                <w:color w:val="auto"/>
                <w:sz w:val="21"/>
                <w:highlight w:val="none"/>
              </w:rPr>
            </w:pPr>
            <w:r>
              <w:rPr>
                <w:rFonts w:eastAsia="宋体"/>
                <w:color w:val="auto"/>
                <w:sz w:val="21"/>
                <w:highlight w:val="none"/>
              </w:rPr>
              <w:t>除污染区的其余区域</w:t>
            </w:r>
          </w:p>
        </w:tc>
        <w:tc>
          <w:tcPr>
            <w:tcW w:w="2493" w:type="dxa"/>
            <w:tcBorders>
              <w:top w:val="single" w:color="000000" w:sz="4" w:space="0"/>
              <w:left w:val="single" w:color="000000" w:sz="4" w:space="0"/>
              <w:right w:val="single" w:color="000000" w:sz="4" w:space="0"/>
            </w:tcBorders>
            <w:vAlign w:val="center"/>
          </w:tcPr>
          <w:p w14:paraId="7CF08EBB">
            <w:pPr>
              <w:pStyle w:val="98"/>
              <w:adjustRightInd w:val="0"/>
              <w:snapToGrid w:val="0"/>
              <w:ind w:left="-105" w:right="-105"/>
              <w:rPr>
                <w:rFonts w:eastAsia="宋体"/>
                <w:color w:val="auto"/>
                <w:sz w:val="21"/>
                <w:highlight w:val="none"/>
              </w:rPr>
            </w:pPr>
            <w:r>
              <w:rPr>
                <w:rFonts w:eastAsia="宋体"/>
                <w:color w:val="auto"/>
                <w:sz w:val="21"/>
                <w:highlight w:val="none"/>
              </w:rPr>
              <w:t>办公区、厂区道路、停车场、门卫等</w:t>
            </w:r>
          </w:p>
        </w:tc>
        <w:tc>
          <w:tcPr>
            <w:tcW w:w="2918" w:type="dxa"/>
            <w:tcBorders>
              <w:top w:val="single" w:color="000000" w:sz="4" w:space="0"/>
              <w:left w:val="single" w:color="000000" w:sz="4" w:space="0"/>
              <w:right w:val="nil"/>
            </w:tcBorders>
            <w:vAlign w:val="center"/>
          </w:tcPr>
          <w:p w14:paraId="2120F020">
            <w:pPr>
              <w:pStyle w:val="98"/>
              <w:adjustRightInd w:val="0"/>
              <w:snapToGrid w:val="0"/>
              <w:ind w:left="-105" w:right="-105"/>
              <w:rPr>
                <w:rFonts w:eastAsia="宋体"/>
                <w:color w:val="auto"/>
                <w:sz w:val="21"/>
                <w:highlight w:val="none"/>
              </w:rPr>
            </w:pPr>
            <w:r>
              <w:rPr>
                <w:rFonts w:eastAsia="宋体"/>
                <w:color w:val="auto"/>
                <w:sz w:val="21"/>
                <w:highlight w:val="none"/>
              </w:rPr>
              <w:t>不需设置防渗等级</w:t>
            </w:r>
          </w:p>
        </w:tc>
      </w:tr>
    </w:tbl>
    <w:p w14:paraId="5DDA1645">
      <w:pPr>
        <w:pStyle w:val="20"/>
        <w:spacing w:before="240" w:beforeLines="100"/>
        <w:ind w:left="-105" w:right="-105"/>
        <w:jc w:val="center"/>
        <w:rPr>
          <w:rFonts w:ascii="Times New Roman" w:hAnsi="Times New Roman" w:cs="Times New Roman"/>
          <w:color w:val="auto"/>
          <w:sz w:val="20"/>
          <w:highlight w:val="none"/>
        </w:rPr>
      </w:pPr>
      <w:r>
        <w:rPr>
          <w:color w:val="auto"/>
          <w:highlight w:val="none"/>
          <w:lang w:val="en-US" w:bidi="ar-SA"/>
        </w:rPr>
        <mc:AlternateContent>
          <mc:Choice Requires="wps">
            <w:drawing>
              <wp:anchor distT="0" distB="0" distL="114300" distR="114300" simplePos="0" relativeHeight="251670528" behindDoc="0" locked="0" layoutInCell="1" allowOverlap="1">
                <wp:simplePos x="0" y="0"/>
                <wp:positionH relativeFrom="column">
                  <wp:posOffset>2543175</wp:posOffset>
                </wp:positionH>
                <wp:positionV relativeFrom="paragraph">
                  <wp:posOffset>201295</wp:posOffset>
                </wp:positionV>
                <wp:extent cx="914400" cy="300990"/>
                <wp:effectExtent l="0" t="0" r="0" b="3810"/>
                <wp:wrapNone/>
                <wp:docPr id="483143763" name="文本框 202"/>
                <wp:cNvGraphicFramePr/>
                <a:graphic xmlns:a="http://schemas.openxmlformats.org/drawingml/2006/main">
                  <a:graphicData uri="http://schemas.microsoft.com/office/word/2010/wordprocessingShape">
                    <wps:wsp>
                      <wps:cNvSpPr txBox="1">
                        <a:spLocks noChangeArrowheads="1"/>
                      </wps:cNvSpPr>
                      <wps:spPr bwMode="auto">
                        <a:xfrm>
                          <a:off x="0" y="0"/>
                          <a:ext cx="914400" cy="300990"/>
                        </a:xfrm>
                        <a:prstGeom prst="rect">
                          <a:avLst/>
                        </a:prstGeom>
                        <a:solidFill>
                          <a:srgbClr val="FFFFFF"/>
                        </a:solidFill>
                        <a:ln>
                          <a:noFill/>
                        </a:ln>
                      </wps:spPr>
                      <wps:txbx>
                        <w:txbxContent>
                          <w:p w14:paraId="5D364D40">
                            <w:pPr>
                              <w:spacing w:before="120" w:beforeLines="50"/>
                              <w:rPr>
                                <w:rFonts w:ascii="微软雅黑" w:hAnsi="微软雅黑" w:eastAsia="微软雅黑"/>
                                <w:sz w:val="21"/>
                                <w:szCs w:val="32"/>
                              </w:rPr>
                            </w:pPr>
                            <w:r>
                              <w:rPr>
                                <w:rFonts w:hint="eastAsia" w:ascii="微软雅黑" w:hAnsi="微软雅黑" w:eastAsia="微软雅黑"/>
                                <w:sz w:val="21"/>
                                <w:szCs w:val="32"/>
                              </w:rPr>
                              <w:t>防腐防渗地坪</w:t>
                            </w:r>
                          </w:p>
                        </w:txbxContent>
                      </wps:txbx>
                      <wps:bodyPr rot="0" vert="horz" wrap="square" lIns="0" tIns="0" rIns="0" bIns="0" anchor="t" anchorCtr="0" upright="1">
                        <a:noAutofit/>
                      </wps:bodyPr>
                    </wps:wsp>
                  </a:graphicData>
                </a:graphic>
              </wp:anchor>
            </w:drawing>
          </mc:Choice>
          <mc:Fallback>
            <w:pict>
              <v:shape id="文本框 202" o:spid="_x0000_s1026" o:spt="202" type="#_x0000_t202" style="position:absolute;left:0pt;margin-left:200.25pt;margin-top:15.85pt;height:23.7pt;width:72pt;z-index:251670528;mso-width-relative:page;mso-height-relative:page;" fillcolor="#FFFFFF" filled="t" stroked="f" coordsize="21600,21600" o:gfxdata="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Bslhk72QAAAAkBAAAPAAAAAAAAAAEAIAAAACIAAABkcnMvZG93bnJldi54bWxQSwECFAAU&#10;AAAACACHTuJA5hVSMCkCAAA3BAAADgAAAAAAAAABACAAAAAoAQAAZHJzL2Uyb0RvYy54bWxQSwUG&#10;AAAAAAYABgBZAQAAwwUAAAAA&#10;">
                <v:fill on="t" focussize="0,0"/>
                <v:stroke on="f"/>
                <v:imagedata o:title=""/>
                <o:lock v:ext="edit" aspectratio="f"/>
                <v:textbox inset="0mm,0mm,0mm,0mm">
                  <w:txbxContent>
                    <w:p w14:paraId="5D364D40">
                      <w:pPr>
                        <w:spacing w:before="120" w:beforeLines="50"/>
                        <w:rPr>
                          <w:rFonts w:ascii="微软雅黑" w:hAnsi="微软雅黑" w:eastAsia="微软雅黑"/>
                          <w:sz w:val="21"/>
                          <w:szCs w:val="32"/>
                        </w:rPr>
                      </w:pPr>
                      <w:r>
                        <w:rPr>
                          <w:rFonts w:hint="eastAsia" w:ascii="微软雅黑" w:hAnsi="微软雅黑" w:eastAsia="微软雅黑"/>
                          <w:sz w:val="21"/>
                          <w:szCs w:val="32"/>
                        </w:rPr>
                        <w:t>防腐防渗地坪</w:t>
                      </w:r>
                    </w:p>
                  </w:txbxContent>
                </v:textbox>
              </v:shape>
            </w:pict>
          </mc:Fallback>
        </mc:AlternateContent>
      </w:r>
      <w:r>
        <w:rPr>
          <w:rFonts w:ascii="Times New Roman" w:hAnsi="Times New Roman" w:cs="Times New Roman"/>
          <w:color w:val="auto"/>
          <w:sz w:val="20"/>
          <w:highlight w:val="none"/>
          <w:lang w:val="en-US" w:bidi="ar-SA"/>
        </w:rPr>
        <w:drawing>
          <wp:inline distT="0" distB="0" distL="0" distR="0">
            <wp:extent cx="5400040" cy="2028190"/>
            <wp:effectExtent l="0" t="0" r="10160" b="10160"/>
            <wp:docPr id="1656850515" name="图片 1" descr="图示&#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6850515" name="图片 1" descr="图示&#10;&#10;描述已自动生成"/>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a:xfrm>
                      <a:off x="0" y="0"/>
                      <a:ext cx="5400040" cy="2028190"/>
                    </a:xfrm>
                    <a:prstGeom prst="rect">
                      <a:avLst/>
                    </a:prstGeom>
                    <a:noFill/>
                    <a:ln>
                      <a:noFill/>
                    </a:ln>
                  </pic:spPr>
                </pic:pic>
              </a:graphicData>
            </a:graphic>
          </wp:inline>
        </w:drawing>
      </w:r>
    </w:p>
    <w:p w14:paraId="3EE4A56B">
      <w:pPr>
        <w:pStyle w:val="15"/>
        <w:ind w:left="-105" w:right="-105" w:firstLine="482"/>
        <w:rPr>
          <w:rFonts w:eastAsia="宋体"/>
          <w:color w:val="auto"/>
          <w:sz w:val="24"/>
          <w:szCs w:val="18"/>
          <w:highlight w:val="none"/>
        </w:rPr>
      </w:pPr>
      <w:bookmarkStart w:id="489" w:name="_Ref97541506"/>
      <w:r>
        <w:rPr>
          <w:rFonts w:eastAsia="宋体"/>
          <w:color w:val="auto"/>
          <w:sz w:val="24"/>
          <w:szCs w:val="18"/>
          <w:highlight w:val="none"/>
        </w:rPr>
        <w:t>图</w:t>
      </w:r>
      <w:r>
        <w:rPr>
          <w:rFonts w:eastAsia="宋体"/>
          <w:color w:val="auto"/>
          <w:sz w:val="24"/>
          <w:szCs w:val="18"/>
          <w:highlight w:val="none"/>
        </w:rPr>
        <w:fldChar w:fldCharType="begin"/>
      </w:r>
      <w:r>
        <w:rPr>
          <w:rFonts w:eastAsia="宋体"/>
          <w:color w:val="auto"/>
          <w:sz w:val="24"/>
          <w:szCs w:val="18"/>
          <w:highlight w:val="none"/>
        </w:rPr>
        <w:instrText xml:space="preserve"> STYLEREF 2 \s </w:instrText>
      </w:r>
      <w:r>
        <w:rPr>
          <w:rFonts w:eastAsia="宋体"/>
          <w:color w:val="auto"/>
          <w:sz w:val="24"/>
          <w:szCs w:val="18"/>
          <w:highlight w:val="none"/>
        </w:rPr>
        <w:fldChar w:fldCharType="separate"/>
      </w:r>
      <w:r>
        <w:rPr>
          <w:rFonts w:eastAsia="宋体"/>
          <w:color w:val="auto"/>
          <w:sz w:val="24"/>
          <w:szCs w:val="18"/>
          <w:highlight w:val="none"/>
        </w:rPr>
        <w:t>7.5</w:t>
      </w:r>
      <w:r>
        <w:rPr>
          <w:rFonts w:eastAsia="宋体"/>
          <w:color w:val="auto"/>
          <w:sz w:val="24"/>
          <w:szCs w:val="18"/>
          <w:highlight w:val="none"/>
        </w:rPr>
        <w:fldChar w:fldCharType="end"/>
      </w:r>
      <w:r>
        <w:rPr>
          <w:rFonts w:eastAsia="宋体"/>
          <w:color w:val="auto"/>
          <w:sz w:val="24"/>
          <w:szCs w:val="18"/>
          <w:highlight w:val="none"/>
        </w:rPr>
        <w:noBreakHyphen/>
      </w:r>
      <w:r>
        <w:rPr>
          <w:rFonts w:eastAsia="宋体"/>
          <w:color w:val="auto"/>
          <w:sz w:val="24"/>
          <w:szCs w:val="18"/>
          <w:highlight w:val="none"/>
        </w:rPr>
        <w:fldChar w:fldCharType="begin"/>
      </w:r>
      <w:r>
        <w:rPr>
          <w:rFonts w:eastAsia="宋体"/>
          <w:color w:val="auto"/>
          <w:sz w:val="24"/>
          <w:szCs w:val="18"/>
          <w:highlight w:val="none"/>
        </w:rPr>
        <w:instrText xml:space="preserve"> SEQ 图 \* ARABIC \s 2 </w:instrText>
      </w:r>
      <w:r>
        <w:rPr>
          <w:rFonts w:eastAsia="宋体"/>
          <w:color w:val="auto"/>
          <w:sz w:val="24"/>
          <w:szCs w:val="18"/>
          <w:highlight w:val="none"/>
        </w:rPr>
        <w:fldChar w:fldCharType="separate"/>
      </w:r>
      <w:r>
        <w:rPr>
          <w:rFonts w:eastAsia="宋体"/>
          <w:color w:val="auto"/>
          <w:sz w:val="24"/>
          <w:szCs w:val="18"/>
          <w:highlight w:val="none"/>
        </w:rPr>
        <w:t>1</w:t>
      </w:r>
      <w:r>
        <w:rPr>
          <w:rFonts w:eastAsia="宋体"/>
          <w:color w:val="auto"/>
          <w:sz w:val="24"/>
          <w:szCs w:val="18"/>
          <w:highlight w:val="none"/>
        </w:rPr>
        <w:fldChar w:fldCharType="end"/>
      </w:r>
      <w:bookmarkEnd w:id="489"/>
      <w:r>
        <w:rPr>
          <w:rFonts w:eastAsia="宋体"/>
          <w:color w:val="auto"/>
          <w:sz w:val="24"/>
          <w:szCs w:val="18"/>
          <w:highlight w:val="none"/>
        </w:rPr>
        <w:tab/>
      </w:r>
      <w:r>
        <w:rPr>
          <w:rFonts w:eastAsia="宋体"/>
          <w:color w:val="auto"/>
          <w:sz w:val="24"/>
          <w:szCs w:val="18"/>
          <w:highlight w:val="none"/>
        </w:rPr>
        <w:t>分区防渗层示意图</w:t>
      </w:r>
    </w:p>
    <w:p w14:paraId="479B416D">
      <w:pPr>
        <w:pStyle w:val="2"/>
        <w:ind w:left="-105" w:right="-105" w:firstLine="0" w:firstLineChars="0"/>
        <w:rPr>
          <w:color w:val="auto"/>
          <w:highlight w:val="none"/>
        </w:rPr>
      </w:pPr>
      <w:r>
        <w:rPr>
          <w:color w:val="auto"/>
          <w:highlight w:val="none"/>
        </w:rPr>
        <mc:AlternateContent>
          <mc:Choice Requires="wps">
            <w:drawing>
              <wp:anchor distT="0" distB="0" distL="114300" distR="114300" simplePos="0" relativeHeight="251671552" behindDoc="0" locked="0" layoutInCell="1" allowOverlap="1">
                <wp:simplePos x="0" y="0"/>
                <wp:positionH relativeFrom="column">
                  <wp:posOffset>3543300</wp:posOffset>
                </wp:positionH>
                <wp:positionV relativeFrom="paragraph">
                  <wp:posOffset>4588510</wp:posOffset>
                </wp:positionV>
                <wp:extent cx="1756410" cy="866140"/>
                <wp:effectExtent l="4445" t="4445" r="10795" b="5715"/>
                <wp:wrapNone/>
                <wp:docPr id="12" name="文本框 12"/>
                <wp:cNvGraphicFramePr/>
                <a:graphic xmlns:a="http://schemas.openxmlformats.org/drawingml/2006/main">
                  <a:graphicData uri="http://schemas.microsoft.com/office/word/2010/wordprocessingShape">
                    <wps:wsp>
                      <wps:cNvSpPr txBox="1"/>
                      <wps:spPr>
                        <a:xfrm>
                          <a:off x="5394960" y="5492750"/>
                          <a:ext cx="1756410" cy="86614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1B570549">
                            <w:r>
                              <w:rPr>
                                <w:rFonts w:hint="eastAsia"/>
                              </w:rPr>
                              <w:t>图例：</w:t>
                            </w:r>
                          </w:p>
                          <w:p w14:paraId="3389C405">
                            <w:pPr>
                              <w:pStyle w:val="2"/>
                            </w:pPr>
                            <w:r>
                              <w:rPr>
                                <w:rFonts w:hint="eastAsia"/>
                              </w:rPr>
                              <w:t xml:space="preserve">      重点防渗区</w:t>
                            </w:r>
                          </w:p>
                          <w:p w14:paraId="69E21078">
                            <w:pPr>
                              <w:pStyle w:val="2"/>
                            </w:pPr>
                            <w:r>
                              <w:rPr>
                                <w:rFonts w:hint="eastAsia"/>
                              </w:rPr>
                              <w:t xml:space="preserve">      一般防渗区</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79pt;margin-top:361.3pt;height:68.2pt;width:138.3pt;z-index:251671552;mso-width-relative:page;mso-height-relative:page;" fillcolor="#FFFFFF [3201]" filled="t" stroked="t" coordsize="21600,21600" o:gfxdata="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">
                <v:fill on="t" focussize="0,0"/>
                <v:stroke weight="0.5pt" color="#000000 [3204]" joinstyle="round"/>
                <v:imagedata o:title=""/>
                <o:lock v:ext="edit" aspectratio="f"/>
                <v:textbox>
                  <w:txbxContent>
                    <w:p w14:paraId="1B570549">
                      <w:r>
                        <w:rPr>
                          <w:rFonts w:hint="eastAsia"/>
                        </w:rPr>
                        <w:t>图例：</w:t>
                      </w:r>
                    </w:p>
                    <w:p w14:paraId="3389C405">
                      <w:pPr>
                        <w:pStyle w:val="2"/>
                      </w:pPr>
                      <w:r>
                        <w:rPr>
                          <w:rFonts w:hint="eastAsia"/>
                        </w:rPr>
                        <w:t xml:space="preserve">      重点防渗区</w:t>
                      </w:r>
                    </w:p>
                    <w:p w14:paraId="69E21078">
                      <w:pPr>
                        <w:pStyle w:val="2"/>
                      </w:pPr>
                      <w:r>
                        <w:rPr>
                          <w:rFonts w:hint="eastAsia"/>
                        </w:rPr>
                        <w:t xml:space="preserve">      一般防渗区</w:t>
                      </w:r>
                    </w:p>
                  </w:txbxContent>
                </v:textbox>
              </v:shape>
            </w:pict>
          </mc:Fallback>
        </mc:AlternateContent>
      </w:r>
      <w:r>
        <w:rPr>
          <w:color w:val="auto"/>
          <w:highlight w:val="none"/>
        </w:rPr>
        <mc:AlternateContent>
          <mc:Choice Requires="wps">
            <w:drawing>
              <wp:anchor distT="0" distB="0" distL="114300" distR="114300" simplePos="0" relativeHeight="251691008" behindDoc="0" locked="0" layoutInCell="1" allowOverlap="1">
                <wp:simplePos x="0" y="0"/>
                <wp:positionH relativeFrom="column">
                  <wp:posOffset>3666490</wp:posOffset>
                </wp:positionH>
                <wp:positionV relativeFrom="paragraph">
                  <wp:posOffset>5190490</wp:posOffset>
                </wp:positionV>
                <wp:extent cx="384810" cy="187325"/>
                <wp:effectExtent l="6350" t="6350" r="8890" b="15875"/>
                <wp:wrapNone/>
                <wp:docPr id="42" name="矩形 42"/>
                <wp:cNvGraphicFramePr/>
                <a:graphic xmlns:a="http://schemas.openxmlformats.org/drawingml/2006/main">
                  <a:graphicData uri="http://schemas.microsoft.com/office/word/2010/wordprocessingShape">
                    <wps:wsp>
                      <wps:cNvSpPr/>
                      <wps:spPr>
                        <a:xfrm>
                          <a:off x="0" y="0"/>
                          <a:ext cx="384810" cy="187325"/>
                        </a:xfrm>
                        <a:prstGeom prst="rect">
                          <a:avLst/>
                        </a:prstGeom>
                        <a:pattFill prst="ltUpDiag">
                          <a:fgClr>
                            <a:srgbClr val="00B0F0"/>
                          </a:fgClr>
                          <a:bgClr>
                            <a:schemeClr val="bg1"/>
                          </a:bgClr>
                        </a:pattFill>
                        <a:ln>
                          <a:solidFill>
                            <a:schemeClr val="accent1">
                              <a:lumMod val="75000"/>
                            </a:schemeClr>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288.7pt;margin-top:408.7pt;height:14.75pt;width:30.3pt;z-index:251691008;v-text-anchor:middle;mso-width-relative:page;mso-height-relative:page;" fillcolor="#00B0F0" filled="t" stroked="t" coordsize="21600,21600" o:gfxdata="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">
                <v:fill type="pattern" on="t" color2="#FFFFFF [3212]" o:title="浅色上对角线" focussize="0,0" r:id="rId66"/>
                <v:stroke weight="1pt" color="#2F5597 [2404]" miterlimit="8" joinstyle="miter"/>
                <v:imagedata o:title=""/>
                <o:lock v:ext="edit" aspectratio="f"/>
              </v:rect>
            </w:pict>
          </mc:Fallback>
        </mc:AlternateContent>
      </w:r>
      <w:r>
        <w:rPr>
          <w:color w:val="auto"/>
          <w:highlight w:val="none"/>
        </w:rPr>
        <mc:AlternateContent>
          <mc:Choice Requires="wps">
            <w:drawing>
              <wp:anchor distT="0" distB="0" distL="114300" distR="114300" simplePos="0" relativeHeight="251688960" behindDoc="0" locked="0" layoutInCell="1" allowOverlap="1">
                <wp:simplePos x="0" y="0"/>
                <wp:positionH relativeFrom="column">
                  <wp:posOffset>3655695</wp:posOffset>
                </wp:positionH>
                <wp:positionV relativeFrom="paragraph">
                  <wp:posOffset>4900930</wp:posOffset>
                </wp:positionV>
                <wp:extent cx="387350" cy="190500"/>
                <wp:effectExtent l="6350" t="6350" r="6350" b="12700"/>
                <wp:wrapNone/>
                <wp:docPr id="40" name="矩形 40"/>
                <wp:cNvGraphicFramePr/>
                <a:graphic xmlns:a="http://schemas.openxmlformats.org/drawingml/2006/main">
                  <a:graphicData uri="http://schemas.microsoft.com/office/word/2010/wordprocessingShape">
                    <wps:wsp>
                      <wps:cNvSpPr/>
                      <wps:spPr>
                        <a:xfrm>
                          <a:off x="0" y="0"/>
                          <a:ext cx="387350" cy="190500"/>
                        </a:xfrm>
                        <a:prstGeom prst="rect">
                          <a:avLst/>
                        </a:prstGeom>
                        <a:pattFill prst="ltUpDiag">
                          <a:fgClr>
                            <a:srgbClr val="FF0000"/>
                          </a:fgClr>
                          <a:bgClr>
                            <a:schemeClr val="bg1"/>
                          </a:bgClr>
                        </a:pattFill>
                        <a:ln>
                          <a:solidFill>
                            <a:srgbClr val="FF0000"/>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287.85pt;margin-top:385.9pt;height:15pt;width:30.5pt;z-index:251688960;v-text-anchor:middle;mso-width-relative:page;mso-height-relative:page;" fillcolor="#FF0000" filled="t" stroked="t" coordsize="21600,21600" o:gfxdata="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">
                <v:fill type="pattern" on="t" color2="#FFFFFF [3212]" o:title="浅色上对角线" focussize="0,0" r:id="rId66"/>
                <v:stroke weight="1pt" color="#FF0000 [2404]" miterlimit="8" joinstyle="miter"/>
                <v:imagedata o:title=""/>
                <o:lock v:ext="edit" aspectratio="f"/>
              </v:rect>
            </w:pict>
          </mc:Fallback>
        </mc:AlternateContent>
      </w:r>
      <w:r>
        <w:rPr>
          <w:color w:val="auto"/>
          <w:highlight w:val="none"/>
        </w:rPr>
        <mc:AlternateContent>
          <mc:Choice Requires="wps">
            <w:drawing>
              <wp:anchor distT="0" distB="0" distL="114300" distR="114300" simplePos="0" relativeHeight="251694080" behindDoc="0" locked="0" layoutInCell="1" allowOverlap="1">
                <wp:simplePos x="0" y="0"/>
                <wp:positionH relativeFrom="column">
                  <wp:posOffset>912495</wp:posOffset>
                </wp:positionH>
                <wp:positionV relativeFrom="paragraph">
                  <wp:posOffset>4268470</wp:posOffset>
                </wp:positionV>
                <wp:extent cx="76200" cy="90805"/>
                <wp:effectExtent l="21590" t="18415" r="35560" b="24130"/>
                <wp:wrapNone/>
                <wp:docPr id="45" name="矩形 45"/>
                <wp:cNvGraphicFramePr/>
                <a:graphic xmlns:a="http://schemas.openxmlformats.org/drawingml/2006/main">
                  <a:graphicData uri="http://schemas.microsoft.com/office/word/2010/wordprocessingShape">
                    <wps:wsp>
                      <wps:cNvSpPr/>
                      <wps:spPr>
                        <a:xfrm rot="1200000">
                          <a:off x="0" y="0"/>
                          <a:ext cx="76200" cy="90805"/>
                        </a:xfrm>
                        <a:prstGeom prst="rect">
                          <a:avLst/>
                        </a:prstGeom>
                        <a:pattFill prst="ltUpDiag">
                          <a:fgClr>
                            <a:srgbClr val="FF0000"/>
                          </a:fgClr>
                          <a:bgClr>
                            <a:schemeClr val="bg1"/>
                          </a:bgClr>
                        </a:pattFill>
                        <a:ln>
                          <a:solidFill>
                            <a:srgbClr val="FF0000"/>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71.85pt;margin-top:336.1pt;height:7.15pt;width:6pt;rotation:1310720f;z-index:251694080;v-text-anchor:middle;mso-width-relative:page;mso-height-relative:page;" fillcolor="#FF0000" filled="t" stroked="t" coordsize="21600,21600" o:gfxdata="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">
                <v:fill type="pattern" on="t" color2="#FFFFFF [3212]" o:title="浅色上对角线" focussize="0,0" r:id="rId66"/>
                <v:stroke weight="1pt" color="#FF0000 [2404]" miterlimit="8" joinstyle="miter"/>
                <v:imagedata o:title=""/>
                <o:lock v:ext="edit" aspectratio="f"/>
              </v:rect>
            </w:pict>
          </mc:Fallback>
        </mc:AlternateContent>
      </w:r>
      <w:r>
        <w:rPr>
          <w:color w:val="auto"/>
          <w:highlight w:val="none"/>
        </w:rPr>
        <mc:AlternateContent>
          <mc:Choice Requires="wps">
            <w:drawing>
              <wp:anchor distT="0" distB="0" distL="114300" distR="114300" simplePos="0" relativeHeight="251696128" behindDoc="0" locked="0" layoutInCell="1" allowOverlap="1">
                <wp:simplePos x="0" y="0"/>
                <wp:positionH relativeFrom="column">
                  <wp:posOffset>756285</wp:posOffset>
                </wp:positionH>
                <wp:positionV relativeFrom="paragraph">
                  <wp:posOffset>3657600</wp:posOffset>
                </wp:positionV>
                <wp:extent cx="603885" cy="226695"/>
                <wp:effectExtent l="0" t="0" r="0" b="0"/>
                <wp:wrapNone/>
                <wp:docPr id="47" name="文本框 47"/>
                <wp:cNvGraphicFramePr/>
                <a:graphic xmlns:a="http://schemas.openxmlformats.org/drawingml/2006/main">
                  <a:graphicData uri="http://schemas.microsoft.com/office/word/2010/wordprocessingShape">
                    <wps:wsp>
                      <wps:cNvSpPr txBox="1"/>
                      <wps:spPr>
                        <a:xfrm rot="1200000">
                          <a:off x="0" y="0"/>
                          <a:ext cx="603885" cy="22669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FA4A672">
                            <w:pPr>
                              <w:rPr>
                                <w:b/>
                                <w:bCs/>
                                <w:sz w:val="16"/>
                                <w:szCs w:val="16"/>
                              </w:rPr>
                            </w:pPr>
                            <w:r>
                              <w:rPr>
                                <w:rFonts w:hint="eastAsia"/>
                                <w:b/>
                                <w:bCs/>
                                <w:sz w:val="16"/>
                                <w:szCs w:val="16"/>
                              </w:rPr>
                              <w:t>辅房</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59.55pt;margin-top:288pt;height:17.85pt;width:47.55pt;rotation:1310720f;z-index:251696128;mso-width-relative:page;mso-height-relative:page;" filled="f" stroked="f" coordsize="21600,21600" o:gfxdata="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">
                <v:fill on="f" focussize="0,0"/>
                <v:stroke on="f" weight="0.5pt"/>
                <v:imagedata o:title=""/>
                <o:lock v:ext="edit" aspectratio="f"/>
                <v:textbox>
                  <w:txbxContent>
                    <w:p w14:paraId="1FA4A672">
                      <w:pPr>
                        <w:rPr>
                          <w:b/>
                          <w:bCs/>
                          <w:sz w:val="16"/>
                          <w:szCs w:val="16"/>
                        </w:rPr>
                      </w:pPr>
                      <w:r>
                        <w:rPr>
                          <w:rFonts w:hint="eastAsia"/>
                          <w:b/>
                          <w:bCs/>
                          <w:sz w:val="16"/>
                          <w:szCs w:val="16"/>
                        </w:rPr>
                        <w:t>辅房</w:t>
                      </w:r>
                    </w:p>
                  </w:txbxContent>
                </v:textbox>
              </v:shape>
            </w:pict>
          </mc:Fallback>
        </mc:AlternateContent>
      </w:r>
      <w:r>
        <w:rPr>
          <w:color w:val="auto"/>
          <w:highlight w:val="none"/>
        </w:rPr>
        <mc:AlternateContent>
          <mc:Choice Requires="wps">
            <w:drawing>
              <wp:anchor distT="0" distB="0" distL="114300" distR="114300" simplePos="0" relativeHeight="251693056" behindDoc="0" locked="0" layoutInCell="1" allowOverlap="1">
                <wp:simplePos x="0" y="0"/>
                <wp:positionH relativeFrom="column">
                  <wp:posOffset>879475</wp:posOffset>
                </wp:positionH>
                <wp:positionV relativeFrom="paragraph">
                  <wp:posOffset>3564255</wp:posOffset>
                </wp:positionV>
                <wp:extent cx="183515" cy="388620"/>
                <wp:effectExtent l="27940" t="69215" r="40640" b="71120"/>
                <wp:wrapNone/>
                <wp:docPr id="44" name="矩形 44"/>
                <wp:cNvGraphicFramePr/>
                <a:graphic xmlns:a="http://schemas.openxmlformats.org/drawingml/2006/main">
                  <a:graphicData uri="http://schemas.microsoft.com/office/word/2010/wordprocessingShape">
                    <wps:wsp>
                      <wps:cNvSpPr/>
                      <wps:spPr>
                        <a:xfrm rot="17400000">
                          <a:off x="0" y="0"/>
                          <a:ext cx="183515" cy="388620"/>
                        </a:xfrm>
                        <a:prstGeom prst="rect">
                          <a:avLst/>
                        </a:prstGeom>
                        <a:pattFill prst="ltUpDiag">
                          <a:fgClr>
                            <a:srgbClr val="00B0F0"/>
                          </a:fgClr>
                          <a:bgClr>
                            <a:schemeClr val="bg1"/>
                          </a:bgClr>
                        </a:pattFill>
                        <a:ln>
                          <a:solidFill>
                            <a:schemeClr val="accent1">
                              <a:lumMod val="75000"/>
                            </a:schemeClr>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69.25pt;margin-top:280.65pt;height:30.6pt;width:14.45pt;rotation:-4587520f;z-index:251693056;v-text-anchor:middle;mso-width-relative:page;mso-height-relative:page;" fillcolor="#00B0F0" filled="t" stroked="t" coordsize="21600,21600" o:gfxdata="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">
                <v:fill type="pattern" on="t" color2="#FFFFFF [3212]" o:title="浅色上对角线" focussize="0,0" r:id="rId66"/>
                <v:stroke weight="1pt" color="#2F5597 [2404]" miterlimit="8" joinstyle="miter"/>
                <v:imagedata o:title=""/>
                <o:lock v:ext="edit" aspectratio="f"/>
              </v:rect>
            </w:pict>
          </mc:Fallback>
        </mc:AlternateContent>
      </w:r>
      <w:r>
        <w:rPr>
          <w:color w:val="auto"/>
          <w:highlight w:val="none"/>
        </w:rPr>
        <mc:AlternateContent>
          <mc:Choice Requires="wps">
            <w:drawing>
              <wp:anchor distT="0" distB="0" distL="114300" distR="114300" simplePos="0" relativeHeight="251697152" behindDoc="0" locked="0" layoutInCell="1" allowOverlap="1">
                <wp:simplePos x="0" y="0"/>
                <wp:positionH relativeFrom="column">
                  <wp:posOffset>2659380</wp:posOffset>
                </wp:positionH>
                <wp:positionV relativeFrom="paragraph">
                  <wp:posOffset>4275455</wp:posOffset>
                </wp:positionV>
                <wp:extent cx="529590" cy="342265"/>
                <wp:effectExtent l="0" t="0" r="0" b="0"/>
                <wp:wrapNone/>
                <wp:docPr id="48" name="文本框 48"/>
                <wp:cNvGraphicFramePr/>
                <a:graphic xmlns:a="http://schemas.openxmlformats.org/drawingml/2006/main">
                  <a:graphicData uri="http://schemas.microsoft.com/office/word/2010/wordprocessingShape">
                    <wps:wsp>
                      <wps:cNvSpPr txBox="1"/>
                      <wps:spPr>
                        <a:xfrm rot="1200000">
                          <a:off x="0" y="0"/>
                          <a:ext cx="529590" cy="34226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18C9616">
                            <w:pPr>
                              <w:rPr>
                                <w:b/>
                                <w:bCs/>
                                <w:sz w:val="16"/>
                                <w:szCs w:val="16"/>
                              </w:rPr>
                            </w:pPr>
                            <w:r>
                              <w:rPr>
                                <w:rFonts w:hint="eastAsia"/>
                                <w:b/>
                                <w:bCs/>
                                <w:sz w:val="16"/>
                                <w:szCs w:val="16"/>
                              </w:rPr>
                              <w:t>一般固废仓库</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09.4pt;margin-top:336.65pt;height:26.95pt;width:41.7pt;rotation:1310720f;z-index:251697152;mso-width-relative:page;mso-height-relative:page;" filled="f" stroked="f" coordsize="21600,21600" o:gfxdata="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">
                <v:fill on="f" focussize="0,0"/>
                <v:stroke on="f" weight="0.5pt"/>
                <v:imagedata o:title=""/>
                <o:lock v:ext="edit" aspectratio="f"/>
                <v:textbox>
                  <w:txbxContent>
                    <w:p w14:paraId="018C9616">
                      <w:pPr>
                        <w:rPr>
                          <w:b/>
                          <w:bCs/>
                          <w:sz w:val="16"/>
                          <w:szCs w:val="16"/>
                        </w:rPr>
                      </w:pPr>
                      <w:r>
                        <w:rPr>
                          <w:rFonts w:hint="eastAsia"/>
                          <w:b/>
                          <w:bCs/>
                          <w:sz w:val="16"/>
                          <w:szCs w:val="16"/>
                        </w:rPr>
                        <w:t>一般固废仓库</w:t>
                      </w:r>
                    </w:p>
                  </w:txbxContent>
                </v:textbox>
              </v:shape>
            </w:pict>
          </mc:Fallback>
        </mc:AlternateContent>
      </w:r>
      <w:r>
        <w:rPr>
          <w:color w:val="auto"/>
          <w:highlight w:val="none"/>
        </w:rPr>
        <mc:AlternateContent>
          <mc:Choice Requires="wps">
            <w:drawing>
              <wp:anchor distT="0" distB="0" distL="114300" distR="114300" simplePos="0" relativeHeight="251692032" behindDoc="0" locked="0" layoutInCell="1" allowOverlap="1">
                <wp:simplePos x="0" y="0"/>
                <wp:positionH relativeFrom="column">
                  <wp:posOffset>2753360</wp:posOffset>
                </wp:positionH>
                <wp:positionV relativeFrom="paragraph">
                  <wp:posOffset>4385310</wp:posOffset>
                </wp:positionV>
                <wp:extent cx="124460" cy="121920"/>
                <wp:effectExtent l="26035" t="25400" r="42545" b="40640"/>
                <wp:wrapNone/>
                <wp:docPr id="43" name="矩形 43"/>
                <wp:cNvGraphicFramePr/>
                <a:graphic xmlns:a="http://schemas.openxmlformats.org/drawingml/2006/main">
                  <a:graphicData uri="http://schemas.microsoft.com/office/word/2010/wordprocessingShape">
                    <wps:wsp>
                      <wps:cNvSpPr/>
                      <wps:spPr>
                        <a:xfrm rot="17400000">
                          <a:off x="0" y="0"/>
                          <a:ext cx="124460" cy="121920"/>
                        </a:xfrm>
                        <a:prstGeom prst="rect">
                          <a:avLst/>
                        </a:prstGeom>
                        <a:pattFill prst="ltUpDiag">
                          <a:fgClr>
                            <a:srgbClr val="00B0F0"/>
                          </a:fgClr>
                          <a:bgClr>
                            <a:schemeClr val="bg1"/>
                          </a:bgClr>
                        </a:pattFill>
                        <a:ln>
                          <a:solidFill>
                            <a:schemeClr val="accent1">
                              <a:lumMod val="75000"/>
                            </a:schemeClr>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216.8pt;margin-top:345.3pt;height:9.6pt;width:9.8pt;rotation:-4587520f;z-index:251692032;v-text-anchor:middle;mso-width-relative:page;mso-height-relative:page;" fillcolor="#00B0F0" filled="t" stroked="t" coordsize="21600,21600" o:gfxdata="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">
                <v:fill type="pattern" on="t" color2="#FFFFFF [3212]" o:title="浅色上对角线" focussize="0,0" r:id="rId66"/>
                <v:stroke weight="1pt" color="#2F5597 [2404]" miterlimit="8" joinstyle="miter"/>
                <v:imagedata o:title=""/>
                <o:lock v:ext="edit" aspectratio="f"/>
              </v:rect>
            </w:pict>
          </mc:Fallback>
        </mc:AlternateContent>
      </w:r>
      <w:r>
        <w:rPr>
          <w:color w:val="auto"/>
          <w:highlight w:val="none"/>
        </w:rPr>
        <mc:AlternateContent>
          <mc:Choice Requires="wps">
            <w:drawing>
              <wp:anchor distT="0" distB="0" distL="114300" distR="114300" simplePos="0" relativeHeight="251695104" behindDoc="0" locked="0" layoutInCell="1" allowOverlap="1">
                <wp:simplePos x="0" y="0"/>
                <wp:positionH relativeFrom="column">
                  <wp:posOffset>2019300</wp:posOffset>
                </wp:positionH>
                <wp:positionV relativeFrom="paragraph">
                  <wp:posOffset>4249420</wp:posOffset>
                </wp:positionV>
                <wp:extent cx="603885" cy="226695"/>
                <wp:effectExtent l="0" t="0" r="0" b="0"/>
                <wp:wrapNone/>
                <wp:docPr id="46" name="文本框 46"/>
                <wp:cNvGraphicFramePr/>
                <a:graphic xmlns:a="http://schemas.openxmlformats.org/drawingml/2006/main">
                  <a:graphicData uri="http://schemas.microsoft.com/office/word/2010/wordprocessingShape">
                    <wps:wsp>
                      <wps:cNvSpPr txBox="1"/>
                      <wps:spPr>
                        <a:xfrm rot="1200000">
                          <a:off x="0" y="0"/>
                          <a:ext cx="603885" cy="22669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C558EBB">
                            <w:pPr>
                              <w:rPr>
                                <w:b/>
                                <w:bCs/>
                                <w:sz w:val="16"/>
                                <w:szCs w:val="16"/>
                              </w:rPr>
                            </w:pPr>
                            <w:r>
                              <w:rPr>
                                <w:rFonts w:hint="eastAsia"/>
                                <w:b/>
                                <w:bCs/>
                                <w:sz w:val="16"/>
                                <w:szCs w:val="16"/>
                              </w:rPr>
                              <w:t>实验楼</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59pt;margin-top:334.6pt;height:17.85pt;width:47.55pt;rotation:1310720f;z-index:251695104;mso-width-relative:page;mso-height-relative:page;" filled="f" stroked="f" coordsize="21600,21600" o:gfxdata="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">
                <v:fill on="f" focussize="0,0"/>
                <v:stroke on="f" weight="0.5pt"/>
                <v:imagedata o:title=""/>
                <o:lock v:ext="edit" aspectratio="f"/>
                <v:textbox>
                  <w:txbxContent>
                    <w:p w14:paraId="7C558EBB">
                      <w:pPr>
                        <w:rPr>
                          <w:b/>
                          <w:bCs/>
                          <w:sz w:val="16"/>
                          <w:szCs w:val="16"/>
                        </w:rPr>
                      </w:pPr>
                      <w:r>
                        <w:rPr>
                          <w:rFonts w:hint="eastAsia"/>
                          <w:b/>
                          <w:bCs/>
                          <w:sz w:val="16"/>
                          <w:szCs w:val="16"/>
                        </w:rPr>
                        <w:t>实验楼</w:t>
                      </w:r>
                    </w:p>
                  </w:txbxContent>
                </v:textbox>
              </v:shape>
            </w:pict>
          </mc:Fallback>
        </mc:AlternateContent>
      </w:r>
      <w:r>
        <w:rPr>
          <w:color w:val="auto"/>
          <w:highlight w:val="none"/>
        </w:rPr>
        <mc:AlternateContent>
          <mc:Choice Requires="wps">
            <w:drawing>
              <wp:anchor distT="0" distB="0" distL="114300" distR="114300" simplePos="0" relativeHeight="251689984" behindDoc="0" locked="0" layoutInCell="1" allowOverlap="1">
                <wp:simplePos x="0" y="0"/>
                <wp:positionH relativeFrom="column">
                  <wp:posOffset>2008505</wp:posOffset>
                </wp:positionH>
                <wp:positionV relativeFrom="paragraph">
                  <wp:posOffset>4227195</wp:posOffset>
                </wp:positionV>
                <wp:extent cx="542925" cy="241935"/>
                <wp:effectExtent l="32385" t="90170" r="34290" b="106045"/>
                <wp:wrapNone/>
                <wp:docPr id="41" name="矩形 41"/>
                <wp:cNvGraphicFramePr/>
                <a:graphic xmlns:a="http://schemas.openxmlformats.org/drawingml/2006/main">
                  <a:graphicData uri="http://schemas.microsoft.com/office/word/2010/wordprocessingShape">
                    <wps:wsp>
                      <wps:cNvSpPr/>
                      <wps:spPr>
                        <a:xfrm rot="1140000">
                          <a:off x="0" y="0"/>
                          <a:ext cx="542925" cy="241935"/>
                        </a:xfrm>
                        <a:prstGeom prst="rect">
                          <a:avLst/>
                        </a:prstGeom>
                        <a:pattFill prst="ltUpDiag">
                          <a:fgClr>
                            <a:srgbClr val="00B0F0"/>
                          </a:fgClr>
                          <a:bgClr>
                            <a:schemeClr val="bg1"/>
                          </a:bgClr>
                        </a:pattFill>
                        <a:ln>
                          <a:solidFill>
                            <a:schemeClr val="accent1">
                              <a:lumMod val="75000"/>
                            </a:schemeClr>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58.15pt;margin-top:332.85pt;height:19.05pt;width:42.75pt;rotation:1245184f;z-index:251689984;v-text-anchor:middle;mso-width-relative:page;mso-height-relative:page;" fillcolor="#00B0F0" filled="t" stroked="t" coordsize="21600,21600" o:gfxdata="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&#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">
                <v:fill type="pattern" on="t" color2="#FFFFFF [3212]" o:title="浅色上对角线" focussize="0,0" r:id="rId66"/>
                <v:stroke weight="1pt" color="#2F5597 [2404]" miterlimit="8" joinstyle="miter"/>
                <v:imagedata o:title=""/>
                <o:lock v:ext="edit" aspectratio="f"/>
              </v:rect>
            </w:pict>
          </mc:Fallback>
        </mc:AlternateContent>
      </w:r>
      <w:r>
        <w:rPr>
          <w:color w:val="auto"/>
          <w:highlight w:val="none"/>
        </w:rPr>
        <mc:AlternateContent>
          <mc:Choice Requires="wps">
            <w:drawing>
              <wp:anchor distT="0" distB="0" distL="114300" distR="114300" simplePos="0" relativeHeight="251679744" behindDoc="0" locked="0" layoutInCell="1" allowOverlap="1">
                <wp:simplePos x="0" y="0"/>
                <wp:positionH relativeFrom="column">
                  <wp:posOffset>2336165</wp:posOffset>
                </wp:positionH>
                <wp:positionV relativeFrom="paragraph">
                  <wp:posOffset>3374390</wp:posOffset>
                </wp:positionV>
                <wp:extent cx="603885" cy="226695"/>
                <wp:effectExtent l="0" t="0" r="0" b="0"/>
                <wp:wrapNone/>
                <wp:docPr id="25" name="文本框 25"/>
                <wp:cNvGraphicFramePr/>
                <a:graphic xmlns:a="http://schemas.openxmlformats.org/drawingml/2006/main">
                  <a:graphicData uri="http://schemas.microsoft.com/office/word/2010/wordprocessingShape">
                    <wps:wsp>
                      <wps:cNvSpPr txBox="1"/>
                      <wps:spPr>
                        <a:xfrm rot="1140000">
                          <a:off x="0" y="0"/>
                          <a:ext cx="603885" cy="22669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47DB183">
                            <w:pPr>
                              <w:rPr>
                                <w:b/>
                                <w:bCs/>
                                <w:sz w:val="16"/>
                                <w:szCs w:val="16"/>
                              </w:rPr>
                            </w:pPr>
                            <w:r>
                              <w:rPr>
                                <w:rFonts w:hint="eastAsia"/>
                                <w:b/>
                                <w:bCs/>
                                <w:sz w:val="16"/>
                                <w:szCs w:val="16"/>
                              </w:rPr>
                              <w:t>成品仓库</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83.95pt;margin-top:265.7pt;height:17.85pt;width:47.55pt;rotation:1245184f;z-index:251679744;mso-width-relative:page;mso-height-relative:page;" filled="f" stroked="f" coordsize="21600,21600" o:gfxdata="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">
                <v:fill on="f" focussize="0,0"/>
                <v:stroke on="f" weight="0.5pt"/>
                <v:imagedata o:title=""/>
                <o:lock v:ext="edit" aspectratio="f"/>
                <v:textbox>
                  <w:txbxContent>
                    <w:p w14:paraId="147DB183">
                      <w:pPr>
                        <w:rPr>
                          <w:b/>
                          <w:bCs/>
                          <w:sz w:val="16"/>
                          <w:szCs w:val="16"/>
                        </w:rPr>
                      </w:pPr>
                      <w:r>
                        <w:rPr>
                          <w:rFonts w:hint="eastAsia"/>
                          <w:b/>
                          <w:bCs/>
                          <w:sz w:val="16"/>
                          <w:szCs w:val="16"/>
                        </w:rPr>
                        <w:t>成品仓库</w:t>
                      </w:r>
                    </w:p>
                  </w:txbxContent>
                </v:textbox>
              </v:shape>
            </w:pict>
          </mc:Fallback>
        </mc:AlternateContent>
      </w:r>
      <w:r>
        <w:rPr>
          <w:color w:val="auto"/>
          <w:highlight w:val="none"/>
        </w:rPr>
        <mc:AlternateContent>
          <mc:Choice Requires="wps">
            <w:drawing>
              <wp:anchor distT="0" distB="0" distL="114300" distR="114300" simplePos="0" relativeHeight="251683840" behindDoc="0" locked="0" layoutInCell="1" allowOverlap="1">
                <wp:simplePos x="0" y="0"/>
                <wp:positionH relativeFrom="column">
                  <wp:posOffset>1202055</wp:posOffset>
                </wp:positionH>
                <wp:positionV relativeFrom="paragraph">
                  <wp:posOffset>2956560</wp:posOffset>
                </wp:positionV>
                <wp:extent cx="603885" cy="226695"/>
                <wp:effectExtent l="0" t="0" r="0" b="0"/>
                <wp:wrapNone/>
                <wp:docPr id="31" name="文本框 31"/>
                <wp:cNvGraphicFramePr/>
                <a:graphic xmlns:a="http://schemas.openxmlformats.org/drawingml/2006/main">
                  <a:graphicData uri="http://schemas.microsoft.com/office/word/2010/wordprocessingShape">
                    <wps:wsp>
                      <wps:cNvSpPr txBox="1"/>
                      <wps:spPr>
                        <a:xfrm rot="1080000">
                          <a:off x="0" y="0"/>
                          <a:ext cx="603885" cy="22669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874D111">
                            <w:pPr>
                              <w:rPr>
                                <w:b/>
                                <w:bCs/>
                                <w:sz w:val="16"/>
                                <w:szCs w:val="16"/>
                              </w:rPr>
                            </w:pPr>
                            <w:r>
                              <w:rPr>
                                <w:rFonts w:hint="eastAsia"/>
                                <w:b/>
                                <w:bCs/>
                                <w:sz w:val="16"/>
                                <w:szCs w:val="16"/>
                              </w:rPr>
                              <w:t>第一工场</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94.65pt;margin-top:232.8pt;height:17.85pt;width:47.55pt;rotation:1179648f;z-index:251683840;mso-width-relative:page;mso-height-relative:page;" filled="f" stroked="f" coordsize="21600,21600" o:gfxdata="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">
                <v:fill on="f" focussize="0,0"/>
                <v:stroke on="f" weight="0.5pt"/>
                <v:imagedata o:title=""/>
                <o:lock v:ext="edit" aspectratio="f"/>
                <v:textbox>
                  <w:txbxContent>
                    <w:p w14:paraId="2874D111">
                      <w:pPr>
                        <w:rPr>
                          <w:b/>
                          <w:bCs/>
                          <w:sz w:val="16"/>
                          <w:szCs w:val="16"/>
                        </w:rPr>
                      </w:pPr>
                      <w:r>
                        <w:rPr>
                          <w:rFonts w:hint="eastAsia"/>
                          <w:b/>
                          <w:bCs/>
                          <w:sz w:val="16"/>
                          <w:szCs w:val="16"/>
                        </w:rPr>
                        <w:t>第一工场</w:t>
                      </w:r>
                    </w:p>
                  </w:txbxContent>
                </v:textbox>
              </v:shape>
            </w:pict>
          </mc:Fallback>
        </mc:AlternateContent>
      </w:r>
      <w:r>
        <w:rPr>
          <w:color w:val="auto"/>
          <w:highlight w:val="none"/>
        </w:rPr>
        <mc:AlternateContent>
          <mc:Choice Requires="wps">
            <w:drawing>
              <wp:anchor distT="0" distB="0" distL="114300" distR="114300" simplePos="0" relativeHeight="251682816" behindDoc="0" locked="0" layoutInCell="1" allowOverlap="1">
                <wp:simplePos x="0" y="0"/>
                <wp:positionH relativeFrom="column">
                  <wp:posOffset>1219835</wp:posOffset>
                </wp:positionH>
                <wp:positionV relativeFrom="paragraph">
                  <wp:posOffset>2926715</wp:posOffset>
                </wp:positionV>
                <wp:extent cx="566420" cy="275590"/>
                <wp:effectExtent l="38100" t="96520" r="43180" b="104140"/>
                <wp:wrapNone/>
                <wp:docPr id="29" name="矩形 29"/>
                <wp:cNvGraphicFramePr/>
                <a:graphic xmlns:a="http://schemas.openxmlformats.org/drawingml/2006/main">
                  <a:graphicData uri="http://schemas.microsoft.com/office/word/2010/wordprocessingShape">
                    <wps:wsp>
                      <wps:cNvSpPr/>
                      <wps:spPr>
                        <a:xfrm rot="1200000">
                          <a:off x="0" y="0"/>
                          <a:ext cx="566420" cy="275590"/>
                        </a:xfrm>
                        <a:prstGeom prst="rect">
                          <a:avLst/>
                        </a:prstGeom>
                        <a:pattFill prst="ltUpDiag">
                          <a:fgClr>
                            <a:srgbClr val="FF0000"/>
                          </a:fgClr>
                          <a:bgClr>
                            <a:schemeClr val="bg1"/>
                          </a:bgClr>
                        </a:pattFill>
                        <a:ln>
                          <a:solidFill>
                            <a:srgbClr val="FF0000"/>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96.05pt;margin-top:230.45pt;height:21.7pt;width:44.6pt;rotation:1310720f;z-index:251682816;v-text-anchor:middle;mso-width-relative:page;mso-height-relative:page;" fillcolor="#FF0000" filled="t" stroked="t" coordsize="21600,21600" o:gfxdata="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">
                <v:fill type="pattern" on="t" color2="#FFFFFF [3212]" o:title="浅色上对角线" focussize="0,0" r:id="rId66"/>
                <v:stroke weight="1pt" color="#FF0000 [2404]" miterlimit="8" joinstyle="miter"/>
                <v:imagedata o:title=""/>
                <o:lock v:ext="edit" aspectratio="f"/>
              </v:rect>
            </w:pict>
          </mc:Fallback>
        </mc:AlternateContent>
      </w:r>
      <w:r>
        <w:rPr>
          <w:color w:val="auto"/>
          <w:highlight w:val="none"/>
        </w:rPr>
        <mc:AlternateContent>
          <mc:Choice Requires="wps">
            <w:drawing>
              <wp:anchor distT="0" distB="0" distL="114300" distR="114300" simplePos="0" relativeHeight="251685888" behindDoc="0" locked="0" layoutInCell="1" allowOverlap="1">
                <wp:simplePos x="0" y="0"/>
                <wp:positionH relativeFrom="column">
                  <wp:posOffset>1323340</wp:posOffset>
                </wp:positionH>
                <wp:positionV relativeFrom="paragraph">
                  <wp:posOffset>2636520</wp:posOffset>
                </wp:positionV>
                <wp:extent cx="603885" cy="226695"/>
                <wp:effectExtent l="0" t="0" r="0" b="0"/>
                <wp:wrapNone/>
                <wp:docPr id="37" name="文本框 37"/>
                <wp:cNvGraphicFramePr/>
                <a:graphic xmlns:a="http://schemas.openxmlformats.org/drawingml/2006/main">
                  <a:graphicData uri="http://schemas.microsoft.com/office/word/2010/wordprocessingShape">
                    <wps:wsp>
                      <wps:cNvSpPr txBox="1"/>
                      <wps:spPr>
                        <a:xfrm rot="900000">
                          <a:off x="0" y="0"/>
                          <a:ext cx="603885" cy="22669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BA8EC2C">
                            <w:pPr>
                              <w:rPr>
                                <w:b/>
                                <w:bCs/>
                                <w:sz w:val="13"/>
                                <w:szCs w:val="13"/>
                              </w:rPr>
                            </w:pPr>
                            <w:r>
                              <w:rPr>
                                <w:rFonts w:hint="eastAsia"/>
                                <w:b/>
                                <w:bCs/>
                                <w:sz w:val="13"/>
                                <w:szCs w:val="13"/>
                              </w:rPr>
                              <w:t>废液储罐</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04.2pt;margin-top:207.6pt;height:17.85pt;width:47.55pt;rotation:983040f;z-index:251685888;mso-width-relative:page;mso-height-relative:page;" filled="f" stroked="f" coordsize="21600,21600" o:gfxdata="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">
                <v:fill on="f" focussize="0,0"/>
                <v:stroke on="f" weight="0.5pt"/>
                <v:imagedata o:title=""/>
                <o:lock v:ext="edit" aspectratio="f"/>
                <v:textbox>
                  <w:txbxContent>
                    <w:p w14:paraId="0BA8EC2C">
                      <w:pPr>
                        <w:rPr>
                          <w:b/>
                          <w:bCs/>
                          <w:sz w:val="13"/>
                          <w:szCs w:val="13"/>
                        </w:rPr>
                      </w:pPr>
                      <w:r>
                        <w:rPr>
                          <w:rFonts w:hint="eastAsia"/>
                          <w:b/>
                          <w:bCs/>
                          <w:sz w:val="13"/>
                          <w:szCs w:val="13"/>
                        </w:rPr>
                        <w:t>废液储罐</w:t>
                      </w:r>
                    </w:p>
                  </w:txbxContent>
                </v:textbox>
              </v:shape>
            </w:pict>
          </mc:Fallback>
        </mc:AlternateContent>
      </w:r>
      <w:r>
        <w:rPr>
          <w:color w:val="auto"/>
          <w:highlight w:val="none"/>
        </w:rPr>
        <mc:AlternateContent>
          <mc:Choice Requires="wps">
            <w:drawing>
              <wp:anchor distT="0" distB="0" distL="114300" distR="114300" simplePos="0" relativeHeight="251684864" behindDoc="0" locked="0" layoutInCell="1" allowOverlap="1">
                <wp:simplePos x="0" y="0"/>
                <wp:positionH relativeFrom="column">
                  <wp:posOffset>1420495</wp:posOffset>
                </wp:positionH>
                <wp:positionV relativeFrom="paragraph">
                  <wp:posOffset>2679700</wp:posOffset>
                </wp:positionV>
                <wp:extent cx="270510" cy="96520"/>
                <wp:effectExtent l="16510" t="51435" r="17780" b="61595"/>
                <wp:wrapNone/>
                <wp:docPr id="36" name="矩形 36"/>
                <wp:cNvGraphicFramePr/>
                <a:graphic xmlns:a="http://schemas.openxmlformats.org/drawingml/2006/main">
                  <a:graphicData uri="http://schemas.microsoft.com/office/word/2010/wordprocessingShape">
                    <wps:wsp>
                      <wps:cNvSpPr/>
                      <wps:spPr>
                        <a:xfrm rot="1200000">
                          <a:off x="0" y="0"/>
                          <a:ext cx="270510" cy="96520"/>
                        </a:xfrm>
                        <a:prstGeom prst="rect">
                          <a:avLst/>
                        </a:prstGeom>
                        <a:pattFill prst="ltUpDiag">
                          <a:fgClr>
                            <a:srgbClr val="FF0000"/>
                          </a:fgClr>
                          <a:bgClr>
                            <a:schemeClr val="bg1"/>
                          </a:bgClr>
                        </a:pattFill>
                        <a:ln>
                          <a:solidFill>
                            <a:srgbClr val="FF0000"/>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11.85pt;margin-top:211pt;height:7.6pt;width:21.3pt;rotation:1310720f;z-index:251684864;v-text-anchor:middle;mso-width-relative:page;mso-height-relative:page;" fillcolor="#FF0000" filled="t" stroked="t" coordsize="21600,21600" o:gfxdata="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">
                <v:fill type="pattern" on="t" color2="#FFFFFF [3212]" o:title="浅色上对角线" focussize="0,0" r:id="rId66"/>
                <v:stroke weight="1pt" color="#FF0000 [2404]" miterlimit="8" joinstyle="miter"/>
                <v:imagedata o:title=""/>
                <o:lock v:ext="edit" aspectratio="f"/>
              </v:rect>
            </w:pict>
          </mc:Fallback>
        </mc:AlternateContent>
      </w:r>
      <w:r>
        <w:rPr>
          <w:color w:val="auto"/>
          <w:highlight w:val="none"/>
        </w:rPr>
        <mc:AlternateContent>
          <mc:Choice Requires="wps">
            <w:drawing>
              <wp:anchor distT="0" distB="0" distL="114300" distR="114300" simplePos="0" relativeHeight="251687936" behindDoc="0" locked="0" layoutInCell="1" allowOverlap="1">
                <wp:simplePos x="0" y="0"/>
                <wp:positionH relativeFrom="column">
                  <wp:posOffset>1145540</wp:posOffset>
                </wp:positionH>
                <wp:positionV relativeFrom="paragraph">
                  <wp:posOffset>2486025</wp:posOffset>
                </wp:positionV>
                <wp:extent cx="329565" cy="327660"/>
                <wp:effectExtent l="0" t="0" r="0" b="0"/>
                <wp:wrapNone/>
                <wp:docPr id="39" name="文本框 39"/>
                <wp:cNvGraphicFramePr/>
                <a:graphic xmlns:a="http://schemas.openxmlformats.org/drawingml/2006/main">
                  <a:graphicData uri="http://schemas.microsoft.com/office/word/2010/wordprocessingShape">
                    <wps:wsp>
                      <wps:cNvSpPr txBox="1"/>
                      <wps:spPr>
                        <a:xfrm rot="900000">
                          <a:off x="0" y="0"/>
                          <a:ext cx="329565" cy="32766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6A3EBE9">
                            <w:pPr>
                              <w:rPr>
                                <w:b/>
                                <w:bCs/>
                                <w:sz w:val="10"/>
                                <w:szCs w:val="10"/>
                              </w:rPr>
                            </w:pPr>
                            <w:r>
                              <w:rPr>
                                <w:rFonts w:hint="eastAsia"/>
                                <w:b/>
                                <w:bCs/>
                                <w:sz w:val="10"/>
                                <w:szCs w:val="10"/>
                              </w:rPr>
                              <w:t>事故应急池</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90.2pt;margin-top:195.75pt;height:25.8pt;width:25.95pt;rotation:983040f;z-index:251687936;mso-width-relative:page;mso-height-relative:page;" filled="f" stroked="f" coordsize="21600,21600" o:gfxdata="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">
                <v:fill on="f" focussize="0,0"/>
                <v:stroke on="f" weight="0.5pt"/>
                <v:imagedata o:title=""/>
                <o:lock v:ext="edit" aspectratio="f"/>
                <v:textbox>
                  <w:txbxContent>
                    <w:p w14:paraId="36A3EBE9">
                      <w:pPr>
                        <w:rPr>
                          <w:b/>
                          <w:bCs/>
                          <w:sz w:val="10"/>
                          <w:szCs w:val="10"/>
                        </w:rPr>
                      </w:pPr>
                      <w:r>
                        <w:rPr>
                          <w:rFonts w:hint="eastAsia"/>
                          <w:b/>
                          <w:bCs/>
                          <w:sz w:val="10"/>
                          <w:szCs w:val="10"/>
                        </w:rPr>
                        <w:t>事故应急池</w:t>
                      </w:r>
                    </w:p>
                  </w:txbxContent>
                </v:textbox>
              </v:shape>
            </w:pict>
          </mc:Fallback>
        </mc:AlternateContent>
      </w:r>
      <w:r>
        <w:rPr>
          <w:color w:val="auto"/>
          <w:highlight w:val="none"/>
        </w:rPr>
        <mc:AlternateContent>
          <mc:Choice Requires="wps">
            <w:drawing>
              <wp:anchor distT="0" distB="0" distL="114300" distR="114300" simplePos="0" relativeHeight="251686912" behindDoc="0" locked="0" layoutInCell="1" allowOverlap="1">
                <wp:simplePos x="0" y="0"/>
                <wp:positionH relativeFrom="column">
                  <wp:posOffset>1207135</wp:posOffset>
                </wp:positionH>
                <wp:positionV relativeFrom="paragraph">
                  <wp:posOffset>2491740</wp:posOffset>
                </wp:positionV>
                <wp:extent cx="192405" cy="275590"/>
                <wp:effectExtent l="49530" t="33020" r="62865" b="34290"/>
                <wp:wrapNone/>
                <wp:docPr id="38" name="矩形 38"/>
                <wp:cNvGraphicFramePr/>
                <a:graphic xmlns:a="http://schemas.openxmlformats.org/drawingml/2006/main">
                  <a:graphicData uri="http://schemas.microsoft.com/office/word/2010/wordprocessingShape">
                    <wps:wsp>
                      <wps:cNvSpPr/>
                      <wps:spPr>
                        <a:xfrm rot="1200000">
                          <a:off x="0" y="0"/>
                          <a:ext cx="192405" cy="275590"/>
                        </a:xfrm>
                        <a:prstGeom prst="rect">
                          <a:avLst/>
                        </a:prstGeom>
                        <a:pattFill prst="ltUpDiag">
                          <a:fgClr>
                            <a:srgbClr val="FF0000"/>
                          </a:fgClr>
                          <a:bgClr>
                            <a:schemeClr val="bg1"/>
                          </a:bgClr>
                        </a:pattFill>
                        <a:ln>
                          <a:solidFill>
                            <a:srgbClr val="FF0000"/>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95.05pt;margin-top:196.2pt;height:21.7pt;width:15.15pt;rotation:1310720f;z-index:251686912;v-text-anchor:middle;mso-width-relative:page;mso-height-relative:page;" fillcolor="#FF0000" filled="t" stroked="t" coordsize="21600,21600" o:gfxdata="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">
                <v:fill type="pattern" on="t" color2="#FFFFFF [3212]" o:title="浅色上对角线" focussize="0,0" r:id="rId66"/>
                <v:stroke weight="1pt" color="#FF0000 [2404]" miterlimit="8" joinstyle="miter"/>
                <v:imagedata o:title=""/>
                <o:lock v:ext="edit" aspectratio="f"/>
              </v:rect>
            </w:pict>
          </mc:Fallback>
        </mc:AlternateContent>
      </w:r>
      <w:r>
        <w:rPr>
          <w:color w:val="auto"/>
          <w:highlight w:val="none"/>
        </w:rPr>
        <mc:AlternateContent>
          <mc:Choice Requires="wps">
            <w:drawing>
              <wp:anchor distT="0" distB="0" distL="114300" distR="114300" simplePos="0" relativeHeight="251676672" behindDoc="0" locked="0" layoutInCell="1" allowOverlap="1">
                <wp:simplePos x="0" y="0"/>
                <wp:positionH relativeFrom="column">
                  <wp:posOffset>2514600</wp:posOffset>
                </wp:positionH>
                <wp:positionV relativeFrom="paragraph">
                  <wp:posOffset>2345690</wp:posOffset>
                </wp:positionV>
                <wp:extent cx="219075" cy="433070"/>
                <wp:effectExtent l="0" t="0" r="0" b="0"/>
                <wp:wrapNone/>
                <wp:docPr id="21" name="文本框 21"/>
                <wp:cNvGraphicFramePr/>
                <a:graphic xmlns:a="http://schemas.openxmlformats.org/drawingml/2006/main">
                  <a:graphicData uri="http://schemas.microsoft.com/office/word/2010/wordprocessingShape">
                    <wps:wsp>
                      <wps:cNvSpPr txBox="1"/>
                      <wps:spPr>
                        <a:xfrm rot="1140000">
                          <a:off x="0" y="0"/>
                          <a:ext cx="219075" cy="43307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BE79977">
                            <w:pPr>
                              <w:rPr>
                                <w:b/>
                                <w:bCs/>
                                <w:sz w:val="10"/>
                                <w:szCs w:val="10"/>
                              </w:rPr>
                            </w:pPr>
                            <w:r>
                              <w:rPr>
                                <w:rFonts w:hint="eastAsia"/>
                                <w:b/>
                                <w:bCs/>
                                <w:sz w:val="10"/>
                                <w:szCs w:val="10"/>
                              </w:rPr>
                              <w:t>危废仓库</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98pt;margin-top:184.7pt;height:34.1pt;width:17.25pt;rotation:1245184f;z-index:251676672;mso-width-relative:page;mso-height-relative:page;" filled="f" stroked="f" coordsize="21600,21600" o:gfxdata="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">
                <v:fill on="f" focussize="0,0"/>
                <v:stroke on="f" weight="0.5pt"/>
                <v:imagedata o:title=""/>
                <o:lock v:ext="edit" aspectratio="f"/>
                <v:textbox>
                  <w:txbxContent>
                    <w:p w14:paraId="6BE79977">
                      <w:pPr>
                        <w:rPr>
                          <w:b/>
                          <w:bCs/>
                          <w:sz w:val="10"/>
                          <w:szCs w:val="10"/>
                        </w:rPr>
                      </w:pPr>
                      <w:r>
                        <w:rPr>
                          <w:rFonts w:hint="eastAsia"/>
                          <w:b/>
                          <w:bCs/>
                          <w:sz w:val="10"/>
                          <w:szCs w:val="10"/>
                        </w:rPr>
                        <w:t>危废仓库</w:t>
                      </w:r>
                    </w:p>
                  </w:txbxContent>
                </v:textbox>
              </v:shape>
            </w:pict>
          </mc:Fallback>
        </mc:AlternateContent>
      </w:r>
      <w:r>
        <w:rPr>
          <w:color w:val="auto"/>
          <w:highlight w:val="none"/>
        </w:rPr>
        <mc:AlternateContent>
          <mc:Choice Requires="wps">
            <w:drawing>
              <wp:anchor distT="0" distB="0" distL="114300" distR="114300" simplePos="0" relativeHeight="251677696" behindDoc="0" locked="0" layoutInCell="1" allowOverlap="1">
                <wp:simplePos x="0" y="0"/>
                <wp:positionH relativeFrom="column">
                  <wp:posOffset>2699385</wp:posOffset>
                </wp:positionH>
                <wp:positionV relativeFrom="paragraph">
                  <wp:posOffset>2574925</wp:posOffset>
                </wp:positionV>
                <wp:extent cx="603885" cy="226695"/>
                <wp:effectExtent l="0" t="0" r="0" b="0"/>
                <wp:wrapNone/>
                <wp:docPr id="22" name="文本框 22"/>
                <wp:cNvGraphicFramePr/>
                <a:graphic xmlns:a="http://schemas.openxmlformats.org/drawingml/2006/main">
                  <a:graphicData uri="http://schemas.microsoft.com/office/word/2010/wordprocessingShape">
                    <wps:wsp>
                      <wps:cNvSpPr txBox="1"/>
                      <wps:spPr>
                        <a:xfrm rot="1200000">
                          <a:off x="0" y="0"/>
                          <a:ext cx="603885" cy="22669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7F20ED3">
                            <w:pPr>
                              <w:rPr>
                                <w:rFonts w:hint="eastAsia" w:eastAsia="宋体"/>
                                <w:b/>
                                <w:bCs/>
                                <w:sz w:val="16"/>
                                <w:szCs w:val="16"/>
                                <w:lang w:eastAsia="zh-CN"/>
                              </w:rPr>
                            </w:pPr>
                            <w:r>
                              <w:rPr>
                                <w:rFonts w:hint="eastAsia"/>
                                <w:b/>
                                <w:bCs/>
                                <w:sz w:val="16"/>
                                <w:szCs w:val="16"/>
                                <w:lang w:eastAsia="zh-CN"/>
                              </w:rPr>
                              <w:t>危险品仓库</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12.55pt;margin-top:202.75pt;height:17.85pt;width:47.55pt;rotation:1310720f;z-index:251677696;mso-width-relative:page;mso-height-relative:page;" filled="f" stroked="f" coordsize="21600,21600" o:gfxdata="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">
                <v:fill on="f" focussize="0,0"/>
                <v:stroke on="f" weight="0.5pt"/>
                <v:imagedata o:title=""/>
                <o:lock v:ext="edit" aspectratio="f"/>
                <v:textbox>
                  <w:txbxContent>
                    <w:p w14:paraId="47F20ED3">
                      <w:pPr>
                        <w:rPr>
                          <w:rFonts w:hint="eastAsia" w:eastAsia="宋体"/>
                          <w:b/>
                          <w:bCs/>
                          <w:sz w:val="16"/>
                          <w:szCs w:val="16"/>
                          <w:lang w:eastAsia="zh-CN"/>
                        </w:rPr>
                      </w:pPr>
                      <w:r>
                        <w:rPr>
                          <w:rFonts w:hint="eastAsia"/>
                          <w:b/>
                          <w:bCs/>
                          <w:sz w:val="16"/>
                          <w:szCs w:val="16"/>
                          <w:lang w:eastAsia="zh-CN"/>
                        </w:rPr>
                        <w:t>危险品仓库</w:t>
                      </w:r>
                    </w:p>
                  </w:txbxContent>
                </v:textbox>
              </v:shape>
            </w:pict>
          </mc:Fallback>
        </mc:AlternateContent>
      </w:r>
      <w:r>
        <w:rPr>
          <w:color w:val="auto"/>
          <w:highlight w:val="none"/>
        </w:rPr>
        <mc:AlternateContent>
          <mc:Choice Requires="wps">
            <w:drawing>
              <wp:anchor distT="0" distB="0" distL="114300" distR="114300" simplePos="0" relativeHeight="251674624" behindDoc="0" locked="0" layoutInCell="1" allowOverlap="1">
                <wp:simplePos x="0" y="0"/>
                <wp:positionH relativeFrom="column">
                  <wp:posOffset>2574925</wp:posOffset>
                </wp:positionH>
                <wp:positionV relativeFrom="paragraph">
                  <wp:posOffset>2397125</wp:posOffset>
                </wp:positionV>
                <wp:extent cx="103505" cy="353695"/>
                <wp:effectExtent l="65405" t="15240" r="78740" b="31115"/>
                <wp:wrapNone/>
                <wp:docPr id="19" name="矩形 19"/>
                <wp:cNvGraphicFramePr/>
                <a:graphic xmlns:a="http://schemas.openxmlformats.org/drawingml/2006/main">
                  <a:graphicData uri="http://schemas.microsoft.com/office/word/2010/wordprocessingShape">
                    <wps:wsp>
                      <wps:cNvSpPr/>
                      <wps:spPr>
                        <a:xfrm rot="1200000">
                          <a:off x="0" y="0"/>
                          <a:ext cx="103505" cy="353695"/>
                        </a:xfrm>
                        <a:prstGeom prst="rect">
                          <a:avLst/>
                        </a:prstGeom>
                        <a:pattFill prst="ltUpDiag">
                          <a:fgClr>
                            <a:srgbClr val="FF0000"/>
                          </a:fgClr>
                          <a:bgClr>
                            <a:schemeClr val="bg1"/>
                          </a:bgClr>
                        </a:pattFill>
                        <a:ln>
                          <a:solidFill>
                            <a:srgbClr val="FF0000"/>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202.75pt;margin-top:188.75pt;height:27.85pt;width:8.15pt;rotation:1310720f;z-index:251674624;v-text-anchor:middle;mso-width-relative:page;mso-height-relative:page;" fillcolor="#FF0000" filled="t" stroked="t" coordsize="21600,21600" o:gfxdata="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">
                <v:fill type="pattern" on="t" color2="#FFFFFF [3212]" o:title="浅色上对角线" focussize="0,0" r:id="rId66"/>
                <v:stroke weight="1pt" color="#FF0000 [2404]" miterlimit="8" joinstyle="miter"/>
                <v:imagedata o:title=""/>
                <o:lock v:ext="edit" aspectratio="f"/>
              </v:rect>
            </w:pict>
          </mc:Fallback>
        </mc:AlternateContent>
      </w:r>
      <w:r>
        <w:rPr>
          <w:color w:val="auto"/>
          <w:highlight w:val="none"/>
        </w:rPr>
        <mc:AlternateContent>
          <mc:Choice Requires="wps">
            <w:drawing>
              <wp:anchor distT="0" distB="0" distL="114300" distR="114300" simplePos="0" relativeHeight="251673600" behindDoc="0" locked="0" layoutInCell="1" allowOverlap="1">
                <wp:simplePos x="0" y="0"/>
                <wp:positionH relativeFrom="column">
                  <wp:posOffset>2675255</wp:posOffset>
                </wp:positionH>
                <wp:positionV relativeFrom="paragraph">
                  <wp:posOffset>2506345</wp:posOffset>
                </wp:positionV>
                <wp:extent cx="481965" cy="353695"/>
                <wp:effectExtent l="53975" t="80010" r="54610" b="80645"/>
                <wp:wrapNone/>
                <wp:docPr id="18" name="矩形 18"/>
                <wp:cNvGraphicFramePr/>
                <a:graphic xmlns:a="http://schemas.openxmlformats.org/drawingml/2006/main">
                  <a:graphicData uri="http://schemas.microsoft.com/office/word/2010/wordprocessingShape">
                    <wps:wsp>
                      <wps:cNvSpPr/>
                      <wps:spPr>
                        <a:xfrm rot="1200000">
                          <a:off x="0" y="0"/>
                          <a:ext cx="481965" cy="353695"/>
                        </a:xfrm>
                        <a:prstGeom prst="rect">
                          <a:avLst/>
                        </a:prstGeom>
                        <a:pattFill prst="ltUpDiag">
                          <a:fgClr>
                            <a:srgbClr val="FF0000"/>
                          </a:fgClr>
                          <a:bgClr>
                            <a:schemeClr val="bg1"/>
                          </a:bgClr>
                        </a:pattFill>
                        <a:ln>
                          <a:solidFill>
                            <a:srgbClr val="FF0000"/>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210.65pt;margin-top:197.35pt;height:27.85pt;width:37.95pt;rotation:1310720f;z-index:251673600;v-text-anchor:middle;mso-width-relative:page;mso-height-relative:page;" fillcolor="#FF0000" filled="t" stroked="t" coordsize="21600,21600" o:gfxdata="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">
                <v:fill type="pattern" on="t" color2="#FFFFFF [3212]" o:title="浅色上对角线" focussize="0,0" r:id="rId66"/>
                <v:stroke weight="1pt" color="#FF0000 [2404]" miterlimit="8" joinstyle="miter"/>
                <v:imagedata o:title=""/>
                <o:lock v:ext="edit" aspectratio="f"/>
              </v:rect>
            </w:pict>
          </mc:Fallback>
        </mc:AlternateContent>
      </w:r>
      <w:r>
        <w:rPr>
          <w:color w:val="auto"/>
          <w:highlight w:val="none"/>
        </w:rPr>
        <mc:AlternateContent>
          <mc:Choice Requires="wps">
            <w:drawing>
              <wp:anchor distT="0" distB="0" distL="114300" distR="114300" simplePos="0" relativeHeight="251678720" behindDoc="0" locked="0" layoutInCell="1" allowOverlap="1">
                <wp:simplePos x="0" y="0"/>
                <wp:positionH relativeFrom="column">
                  <wp:posOffset>2357755</wp:posOffset>
                </wp:positionH>
                <wp:positionV relativeFrom="paragraph">
                  <wp:posOffset>3318510</wp:posOffset>
                </wp:positionV>
                <wp:extent cx="495935" cy="328930"/>
                <wp:effectExtent l="49530" t="83185" r="64135" b="83185"/>
                <wp:wrapNone/>
                <wp:docPr id="24" name="矩形 24"/>
                <wp:cNvGraphicFramePr/>
                <a:graphic xmlns:a="http://schemas.openxmlformats.org/drawingml/2006/main">
                  <a:graphicData uri="http://schemas.microsoft.com/office/word/2010/wordprocessingShape">
                    <wps:wsp>
                      <wps:cNvSpPr/>
                      <wps:spPr>
                        <a:xfrm rot="1200000">
                          <a:off x="0" y="0"/>
                          <a:ext cx="495935" cy="328930"/>
                        </a:xfrm>
                        <a:prstGeom prst="rect">
                          <a:avLst/>
                        </a:prstGeom>
                        <a:pattFill prst="ltUpDiag">
                          <a:fgClr>
                            <a:srgbClr val="FF0000"/>
                          </a:fgClr>
                          <a:bgClr>
                            <a:schemeClr val="bg1"/>
                          </a:bgClr>
                        </a:pattFill>
                        <a:ln>
                          <a:solidFill>
                            <a:srgbClr val="FF0000"/>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85.65pt;margin-top:261.3pt;height:25.9pt;width:39.05pt;rotation:1310720f;z-index:251678720;v-text-anchor:middle;mso-width-relative:page;mso-height-relative:page;" fillcolor="#FF0000" filled="t" stroked="t" coordsize="21600,21600" o:gfxdata="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">
                <v:fill type="pattern" on="t" color2="#FFFFFF [3212]" o:title="浅色上对角线" focussize="0,0" r:id="rId66"/>
                <v:stroke weight="1pt" color="#FF0000 [2404]" miterlimit="8" joinstyle="miter"/>
                <v:imagedata o:title=""/>
                <o:lock v:ext="edit" aspectratio="f"/>
              </v:rect>
            </w:pict>
          </mc:Fallback>
        </mc:AlternateContent>
      </w:r>
      <w:r>
        <w:rPr>
          <w:color w:val="auto"/>
          <w:highlight w:val="none"/>
        </w:rPr>
        <mc:AlternateContent>
          <mc:Choice Requires="wps">
            <w:drawing>
              <wp:anchor distT="0" distB="0" distL="114300" distR="114300" simplePos="0" relativeHeight="251681792" behindDoc="0" locked="0" layoutInCell="1" allowOverlap="1">
                <wp:simplePos x="0" y="0"/>
                <wp:positionH relativeFrom="column">
                  <wp:posOffset>2037715</wp:posOffset>
                </wp:positionH>
                <wp:positionV relativeFrom="paragraph">
                  <wp:posOffset>3853815</wp:posOffset>
                </wp:positionV>
                <wp:extent cx="603885" cy="226695"/>
                <wp:effectExtent l="0" t="0" r="0" b="0"/>
                <wp:wrapNone/>
                <wp:docPr id="27" name="文本框 27"/>
                <wp:cNvGraphicFramePr/>
                <a:graphic xmlns:a="http://schemas.openxmlformats.org/drawingml/2006/main">
                  <a:graphicData uri="http://schemas.microsoft.com/office/word/2010/wordprocessingShape">
                    <wps:wsp>
                      <wps:cNvSpPr txBox="1"/>
                      <wps:spPr>
                        <a:xfrm rot="1020000">
                          <a:off x="0" y="0"/>
                          <a:ext cx="603885" cy="22669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CB23A3A">
                            <w:pPr>
                              <w:rPr>
                                <w:b/>
                                <w:bCs/>
                                <w:sz w:val="13"/>
                                <w:szCs w:val="13"/>
                              </w:rPr>
                            </w:pPr>
                            <w:r>
                              <w:rPr>
                                <w:rFonts w:hint="eastAsia"/>
                                <w:b/>
                                <w:bCs/>
                                <w:sz w:val="13"/>
                                <w:szCs w:val="13"/>
                              </w:rPr>
                              <w:t>成品仓库</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60.45pt;margin-top:303.45pt;height:17.85pt;width:47.55pt;rotation:1114112f;z-index:251681792;mso-width-relative:page;mso-height-relative:page;" filled="f" stroked="f" coordsize="21600,21600" o:gfxdata="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">
                <v:fill on="f" focussize="0,0"/>
                <v:stroke on="f" weight="0.5pt"/>
                <v:imagedata o:title=""/>
                <o:lock v:ext="edit" aspectratio="f"/>
                <v:textbox>
                  <w:txbxContent>
                    <w:p w14:paraId="5CB23A3A">
                      <w:pPr>
                        <w:rPr>
                          <w:b/>
                          <w:bCs/>
                          <w:sz w:val="13"/>
                          <w:szCs w:val="13"/>
                        </w:rPr>
                      </w:pPr>
                      <w:r>
                        <w:rPr>
                          <w:rFonts w:hint="eastAsia"/>
                          <w:b/>
                          <w:bCs/>
                          <w:sz w:val="13"/>
                          <w:szCs w:val="13"/>
                        </w:rPr>
                        <w:t>成品仓库</w:t>
                      </w:r>
                    </w:p>
                  </w:txbxContent>
                </v:textbox>
              </v:shape>
            </w:pict>
          </mc:Fallback>
        </mc:AlternateContent>
      </w:r>
      <w:r>
        <w:rPr>
          <w:color w:val="auto"/>
          <w:highlight w:val="none"/>
        </w:rPr>
        <mc:AlternateContent>
          <mc:Choice Requires="wps">
            <w:drawing>
              <wp:anchor distT="0" distB="0" distL="114300" distR="114300" simplePos="0" relativeHeight="251680768" behindDoc="0" locked="0" layoutInCell="1" allowOverlap="1">
                <wp:simplePos x="0" y="0"/>
                <wp:positionH relativeFrom="column">
                  <wp:posOffset>2175510</wp:posOffset>
                </wp:positionH>
                <wp:positionV relativeFrom="paragraph">
                  <wp:posOffset>3864610</wp:posOffset>
                </wp:positionV>
                <wp:extent cx="253365" cy="180975"/>
                <wp:effectExtent l="31750" t="45720" r="38735" b="59055"/>
                <wp:wrapNone/>
                <wp:docPr id="26" name="矩形 26"/>
                <wp:cNvGraphicFramePr/>
                <a:graphic xmlns:a="http://schemas.openxmlformats.org/drawingml/2006/main">
                  <a:graphicData uri="http://schemas.microsoft.com/office/word/2010/wordprocessingShape">
                    <wps:wsp>
                      <wps:cNvSpPr/>
                      <wps:spPr>
                        <a:xfrm rot="1200000">
                          <a:off x="0" y="0"/>
                          <a:ext cx="253365" cy="180975"/>
                        </a:xfrm>
                        <a:prstGeom prst="rect">
                          <a:avLst/>
                        </a:prstGeom>
                        <a:pattFill prst="ltUpDiag">
                          <a:fgClr>
                            <a:srgbClr val="FF0000"/>
                          </a:fgClr>
                          <a:bgClr>
                            <a:schemeClr val="bg1"/>
                          </a:bgClr>
                        </a:pattFill>
                        <a:ln>
                          <a:solidFill>
                            <a:srgbClr val="FF0000"/>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71.3pt;margin-top:304.3pt;height:14.25pt;width:19.95pt;rotation:1310720f;z-index:251680768;v-text-anchor:middle;mso-width-relative:page;mso-height-relative:page;" fillcolor="#FF0000" filled="t" stroked="t" coordsize="21600,21600" o:gfxdata="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">
                <v:fill type="pattern" on="t" color2="#FFFFFF [3212]" o:title="浅色上对角线" focussize="0,0" r:id="rId66"/>
                <v:stroke weight="1pt" color="#FF0000 [2404]" miterlimit="8" joinstyle="miter"/>
                <v:imagedata o:title=""/>
                <o:lock v:ext="edit" aspectratio="f"/>
              </v:rect>
            </w:pict>
          </mc:Fallback>
        </mc:AlternateContent>
      </w:r>
      <w:r>
        <w:rPr>
          <w:color w:val="auto"/>
          <w:highlight w:val="none"/>
        </w:rPr>
        <mc:AlternateContent>
          <mc:Choice Requires="wps">
            <w:drawing>
              <wp:anchor distT="0" distB="0" distL="114300" distR="114300" simplePos="0" relativeHeight="251672576" behindDoc="0" locked="0" layoutInCell="1" allowOverlap="1">
                <wp:simplePos x="0" y="0"/>
                <wp:positionH relativeFrom="column">
                  <wp:posOffset>1677035</wp:posOffset>
                </wp:positionH>
                <wp:positionV relativeFrom="paragraph">
                  <wp:posOffset>1935480</wp:posOffset>
                </wp:positionV>
                <wp:extent cx="397510" cy="353695"/>
                <wp:effectExtent l="58420" t="67945" r="58420" b="73660"/>
                <wp:wrapNone/>
                <wp:docPr id="17" name="矩形 17"/>
                <wp:cNvGraphicFramePr/>
                <a:graphic xmlns:a="http://schemas.openxmlformats.org/drawingml/2006/main">
                  <a:graphicData uri="http://schemas.microsoft.com/office/word/2010/wordprocessingShape">
                    <wps:wsp>
                      <wps:cNvSpPr/>
                      <wps:spPr>
                        <a:xfrm rot="1260000">
                          <a:off x="2858135" y="2811145"/>
                          <a:ext cx="397510" cy="353695"/>
                        </a:xfrm>
                        <a:prstGeom prst="rect">
                          <a:avLst/>
                        </a:prstGeom>
                        <a:pattFill prst="ltUpDiag">
                          <a:fgClr>
                            <a:srgbClr val="FF0000"/>
                          </a:fgClr>
                          <a:bgClr>
                            <a:schemeClr val="bg1"/>
                          </a:bgClr>
                        </a:pattFill>
                        <a:ln>
                          <a:solidFill>
                            <a:srgbClr val="FF0000"/>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32.05pt;margin-top:152.4pt;height:27.85pt;width:31.3pt;rotation:1376256f;z-index:251672576;v-text-anchor:middle;mso-width-relative:page;mso-height-relative:page;" fillcolor="#FF0000" filled="t" stroked="t" coordsize="21600,21600" o:gfxdata="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">
                <v:fill type="pattern" on="t" color2="#FFFFFF [3212]" o:title="浅色上对角线" focussize="0,0" r:id="rId66"/>
                <v:stroke weight="1pt" color="#FF0000 [2404]" miterlimit="8" joinstyle="miter"/>
                <v:imagedata o:title=""/>
                <o:lock v:ext="edit" aspectratio="f"/>
              </v:rect>
            </w:pict>
          </mc:Fallback>
        </mc:AlternateContent>
      </w:r>
      <w:r>
        <w:rPr>
          <w:color w:val="auto"/>
          <w:highlight w:val="none"/>
        </w:rPr>
        <mc:AlternateContent>
          <mc:Choice Requires="wps">
            <w:drawing>
              <wp:anchor distT="0" distB="0" distL="114300" distR="114300" simplePos="0" relativeHeight="251675648" behindDoc="0" locked="0" layoutInCell="1" allowOverlap="1">
                <wp:simplePos x="0" y="0"/>
                <wp:positionH relativeFrom="column">
                  <wp:posOffset>1614170</wp:posOffset>
                </wp:positionH>
                <wp:positionV relativeFrom="paragraph">
                  <wp:posOffset>1988185</wp:posOffset>
                </wp:positionV>
                <wp:extent cx="603885" cy="226695"/>
                <wp:effectExtent l="0" t="0" r="0" b="0"/>
                <wp:wrapNone/>
                <wp:docPr id="20" name="文本框 20"/>
                <wp:cNvGraphicFramePr/>
                <a:graphic xmlns:a="http://schemas.openxmlformats.org/drawingml/2006/main">
                  <a:graphicData uri="http://schemas.microsoft.com/office/word/2010/wordprocessingShape">
                    <wps:wsp>
                      <wps:cNvSpPr txBox="1"/>
                      <wps:spPr>
                        <a:xfrm rot="1140000">
                          <a:off x="2994025" y="1963420"/>
                          <a:ext cx="603885" cy="22669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E2A23E3">
                            <w:pPr>
                              <w:rPr>
                                <w:b/>
                                <w:bCs/>
                                <w:sz w:val="16"/>
                                <w:szCs w:val="16"/>
                              </w:rPr>
                            </w:pPr>
                            <w:r>
                              <w:rPr>
                                <w:rFonts w:hint="eastAsia"/>
                                <w:b/>
                                <w:bCs/>
                                <w:sz w:val="16"/>
                                <w:szCs w:val="16"/>
                              </w:rPr>
                              <w:t>第二工场</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27.1pt;margin-top:156.55pt;height:17.85pt;width:47.55pt;rotation:1245184f;z-index:251675648;mso-width-relative:page;mso-height-relative:page;" filled="f" stroked="f" coordsize="21600,21600" o:gfxdata="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">
                <v:fill on="f" focussize="0,0"/>
                <v:stroke on="f" weight="0.5pt"/>
                <v:imagedata o:title=""/>
                <o:lock v:ext="edit" aspectratio="f"/>
                <v:textbox>
                  <w:txbxContent>
                    <w:p w14:paraId="3E2A23E3">
                      <w:pPr>
                        <w:rPr>
                          <w:b/>
                          <w:bCs/>
                          <w:sz w:val="16"/>
                          <w:szCs w:val="16"/>
                        </w:rPr>
                      </w:pPr>
                      <w:r>
                        <w:rPr>
                          <w:rFonts w:hint="eastAsia"/>
                          <w:b/>
                          <w:bCs/>
                          <w:sz w:val="16"/>
                          <w:szCs w:val="16"/>
                        </w:rPr>
                        <w:t>第二工场</w:t>
                      </w:r>
                    </w:p>
                  </w:txbxContent>
                </v:textbox>
              </v:shape>
            </w:pict>
          </mc:Fallback>
        </mc:AlternateContent>
      </w:r>
      <w:r>
        <w:rPr>
          <w:color w:val="auto"/>
          <w:highlight w:val="none"/>
        </w:rPr>
        <w:drawing>
          <wp:inline distT="0" distB="0" distL="114300" distR="114300">
            <wp:extent cx="5393055" cy="5475605"/>
            <wp:effectExtent l="0" t="0" r="17145" b="10795"/>
            <wp:docPr id="1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40"/>
                    <pic:cNvPicPr>
                      <a:picLocks noChangeAspect="1"/>
                    </pic:cNvPicPr>
                  </pic:nvPicPr>
                  <pic:blipFill>
                    <a:blip r:embed="rId67"/>
                    <a:stretch>
                      <a:fillRect/>
                    </a:stretch>
                  </pic:blipFill>
                  <pic:spPr>
                    <a:xfrm>
                      <a:off x="0" y="0"/>
                      <a:ext cx="5393055" cy="5475605"/>
                    </a:xfrm>
                    <a:prstGeom prst="rect">
                      <a:avLst/>
                    </a:prstGeom>
                    <a:noFill/>
                    <a:ln>
                      <a:noFill/>
                    </a:ln>
                  </pic:spPr>
                </pic:pic>
              </a:graphicData>
            </a:graphic>
          </wp:inline>
        </w:drawing>
      </w:r>
    </w:p>
    <w:p w14:paraId="65E7FB9F">
      <w:pPr>
        <w:pStyle w:val="15"/>
        <w:widowControl/>
        <w:adjustRightInd w:val="0"/>
        <w:snapToGrid w:val="0"/>
        <w:spacing w:line="360" w:lineRule="auto"/>
        <w:ind w:left="-105" w:right="-105" w:firstLine="482"/>
        <w:rPr>
          <w:color w:val="auto"/>
          <w:highlight w:val="none"/>
        </w:rPr>
      </w:pPr>
      <w:bookmarkStart w:id="490" w:name="_Ref2843"/>
      <w:r>
        <w:rPr>
          <w:rFonts w:hint="eastAsia" w:ascii="宋体" w:hAnsi="宋体" w:eastAsia="宋体" w:cs="宋体"/>
          <w:color w:val="auto"/>
          <w:sz w:val="24"/>
          <w:szCs w:val="18"/>
          <w:highlight w:val="none"/>
        </w:rPr>
        <w:t>图</w:t>
      </w:r>
      <w:r>
        <w:rPr>
          <w:rFonts w:hint="eastAsia"/>
          <w:color w:val="auto"/>
          <w:sz w:val="24"/>
          <w:szCs w:val="18"/>
          <w:highlight w:val="none"/>
        </w:rPr>
        <w:fldChar w:fldCharType="begin"/>
      </w:r>
      <w:r>
        <w:rPr>
          <w:rFonts w:hint="eastAsia"/>
          <w:color w:val="auto"/>
          <w:sz w:val="24"/>
          <w:szCs w:val="18"/>
          <w:highlight w:val="none"/>
        </w:rPr>
        <w:instrText xml:space="preserve"> STYLEREF 2 \s </w:instrText>
      </w:r>
      <w:r>
        <w:rPr>
          <w:rFonts w:hint="eastAsia"/>
          <w:color w:val="auto"/>
          <w:sz w:val="24"/>
          <w:szCs w:val="18"/>
          <w:highlight w:val="none"/>
        </w:rPr>
        <w:fldChar w:fldCharType="separate"/>
      </w:r>
      <w:r>
        <w:rPr>
          <w:rFonts w:hint="eastAsia"/>
          <w:color w:val="auto"/>
          <w:sz w:val="24"/>
          <w:szCs w:val="18"/>
          <w:highlight w:val="none"/>
        </w:rPr>
        <w:t>7.5</w:t>
      </w:r>
      <w:r>
        <w:rPr>
          <w:rFonts w:hint="eastAsia"/>
          <w:color w:val="auto"/>
          <w:sz w:val="24"/>
          <w:szCs w:val="18"/>
          <w:highlight w:val="none"/>
        </w:rPr>
        <w:fldChar w:fldCharType="end"/>
      </w:r>
      <w:r>
        <w:rPr>
          <w:rFonts w:hint="eastAsia"/>
          <w:color w:val="auto"/>
          <w:sz w:val="24"/>
          <w:szCs w:val="18"/>
          <w:highlight w:val="none"/>
        </w:rPr>
        <w:t>-</w:t>
      </w:r>
      <w:r>
        <w:rPr>
          <w:rFonts w:hint="eastAsia" w:eastAsia="宋体"/>
          <w:color w:val="auto"/>
          <w:sz w:val="24"/>
          <w:szCs w:val="18"/>
          <w:highlight w:val="none"/>
        </w:rPr>
        <w:fldChar w:fldCharType="begin"/>
      </w:r>
      <w:r>
        <w:rPr>
          <w:rFonts w:hint="eastAsia" w:eastAsia="宋体"/>
          <w:color w:val="auto"/>
          <w:sz w:val="24"/>
          <w:szCs w:val="18"/>
          <w:highlight w:val="none"/>
        </w:rPr>
        <w:instrText xml:space="preserve"> SEQ 图 \* ARABIC \s 2 </w:instrText>
      </w:r>
      <w:r>
        <w:rPr>
          <w:rFonts w:hint="eastAsia" w:eastAsia="宋体"/>
          <w:color w:val="auto"/>
          <w:sz w:val="24"/>
          <w:szCs w:val="18"/>
          <w:highlight w:val="none"/>
        </w:rPr>
        <w:fldChar w:fldCharType="separate"/>
      </w:r>
      <w:r>
        <w:rPr>
          <w:rFonts w:hint="eastAsia" w:eastAsia="宋体"/>
          <w:color w:val="auto"/>
          <w:sz w:val="24"/>
          <w:szCs w:val="18"/>
          <w:highlight w:val="none"/>
        </w:rPr>
        <w:t>2</w:t>
      </w:r>
      <w:r>
        <w:rPr>
          <w:rFonts w:hint="eastAsia" w:eastAsia="宋体"/>
          <w:color w:val="auto"/>
          <w:sz w:val="24"/>
          <w:szCs w:val="18"/>
          <w:highlight w:val="none"/>
        </w:rPr>
        <w:fldChar w:fldCharType="end"/>
      </w:r>
      <w:bookmarkEnd w:id="490"/>
      <w:r>
        <w:rPr>
          <w:rFonts w:hint="eastAsia" w:eastAsia="宋体"/>
          <w:color w:val="auto"/>
          <w:sz w:val="24"/>
          <w:szCs w:val="18"/>
          <w:highlight w:val="none"/>
        </w:rPr>
        <w:t>厂区防渗布局图</w:t>
      </w:r>
    </w:p>
    <w:p w14:paraId="4E2BF64A">
      <w:pPr>
        <w:pStyle w:val="6"/>
        <w:keepLines w:val="0"/>
        <w:widowControl/>
        <w:numPr>
          <w:ilvl w:val="0"/>
          <w:numId w:val="0"/>
        </w:numPr>
        <w:tabs>
          <w:tab w:val="left" w:pos="0"/>
          <w:tab w:val="left" w:pos="2550"/>
        </w:tabs>
        <w:spacing w:before="50" w:after="50" w:line="360" w:lineRule="auto"/>
        <w:ind w:right="-105"/>
        <w:rPr>
          <w:rFonts w:ascii="Times New Roman" w:hAnsi="Times New Roman"/>
          <w:color w:val="auto"/>
          <w:sz w:val="24"/>
          <w:szCs w:val="24"/>
          <w:highlight w:val="none"/>
        </w:rPr>
      </w:pPr>
      <w:r>
        <w:rPr>
          <w:rFonts w:hint="eastAsia" w:ascii="Times New Roman" w:hAnsi="Times New Roman"/>
          <w:color w:val="auto"/>
          <w:sz w:val="24"/>
          <w:szCs w:val="24"/>
          <w:highlight w:val="none"/>
        </w:rPr>
        <w:t>7</w:t>
      </w:r>
      <w:r>
        <w:rPr>
          <w:rFonts w:ascii="Times New Roman" w:hAnsi="Times New Roman"/>
          <w:color w:val="auto"/>
          <w:sz w:val="24"/>
          <w:szCs w:val="24"/>
          <w:highlight w:val="none"/>
        </w:rPr>
        <w:t>.5.2.2分区防控措施</w:t>
      </w:r>
    </w:p>
    <w:p w14:paraId="3D9EE4ED">
      <w:pPr>
        <w:pStyle w:val="15"/>
        <w:adjustRightInd w:val="0"/>
        <w:snapToGrid w:val="0"/>
        <w:spacing w:line="360" w:lineRule="auto"/>
        <w:ind w:left="-105" w:right="-105" w:firstLine="464" w:firstLineChars="200"/>
        <w:jc w:val="both"/>
        <w:rPr>
          <w:rFonts w:eastAsia="宋体"/>
          <w:b w:val="0"/>
          <w:color w:val="auto"/>
          <w:spacing w:val="-4"/>
          <w:kern w:val="0"/>
          <w:sz w:val="24"/>
          <w:szCs w:val="24"/>
          <w:highlight w:val="none"/>
          <w:lang w:val="zh-CN" w:bidi="zh-CN"/>
        </w:rPr>
      </w:pPr>
      <w:r>
        <w:rPr>
          <w:rFonts w:eastAsia="宋体"/>
          <w:b w:val="0"/>
          <w:color w:val="auto"/>
          <w:spacing w:val="-4"/>
          <w:kern w:val="0"/>
          <w:sz w:val="24"/>
          <w:szCs w:val="24"/>
          <w:highlight w:val="none"/>
          <w:lang w:val="zh-CN" w:bidi="zh-CN"/>
        </w:rPr>
        <w:t>简单防渗区为办公区、厂区道路、停车场、门卫等采用地面水泥硬化处理。</w:t>
      </w:r>
    </w:p>
    <w:p w14:paraId="3564C0E5">
      <w:pPr>
        <w:pStyle w:val="15"/>
        <w:adjustRightInd w:val="0"/>
        <w:snapToGrid w:val="0"/>
        <w:spacing w:line="360" w:lineRule="auto"/>
        <w:ind w:left="-105" w:right="-105" w:firstLine="464" w:firstLineChars="200"/>
        <w:jc w:val="both"/>
        <w:rPr>
          <w:rFonts w:eastAsia="宋体"/>
          <w:b w:val="0"/>
          <w:color w:val="auto"/>
          <w:spacing w:val="-4"/>
          <w:kern w:val="0"/>
          <w:sz w:val="24"/>
          <w:szCs w:val="24"/>
          <w:highlight w:val="none"/>
          <w:lang w:val="zh-CN" w:bidi="zh-CN"/>
        </w:rPr>
      </w:pPr>
      <w:r>
        <w:rPr>
          <w:rFonts w:eastAsia="宋体"/>
          <w:b w:val="0"/>
          <w:color w:val="auto"/>
          <w:spacing w:val="-4"/>
          <w:kern w:val="0"/>
          <w:sz w:val="24"/>
          <w:szCs w:val="24"/>
          <w:highlight w:val="none"/>
          <w:lang w:val="zh-CN" w:bidi="zh-CN"/>
        </w:rPr>
        <w:t>一般防渗区为</w:t>
      </w:r>
      <w:r>
        <w:rPr>
          <w:rFonts w:hint="eastAsia" w:eastAsia="宋体"/>
          <w:b w:val="0"/>
          <w:color w:val="auto"/>
          <w:spacing w:val="-4"/>
          <w:kern w:val="0"/>
          <w:sz w:val="24"/>
          <w:szCs w:val="24"/>
          <w:highlight w:val="none"/>
          <w:lang w:val="zh-CN" w:bidi="zh-CN"/>
        </w:rPr>
        <w:t>实验楼、一般固废仓库、辅房</w:t>
      </w:r>
      <w:r>
        <w:rPr>
          <w:rFonts w:eastAsia="宋体"/>
          <w:b w:val="0"/>
          <w:color w:val="auto"/>
          <w:spacing w:val="-4"/>
          <w:kern w:val="0"/>
          <w:sz w:val="24"/>
          <w:szCs w:val="24"/>
          <w:highlight w:val="none"/>
          <w:lang w:val="zh-CN" w:bidi="zh-CN"/>
        </w:rPr>
        <w:t>等。防渗设计要求参照《一般工业固体废物贮存和填埋污染控制标准》（GB18599-2020）。一般污染区地坪混凝土防渗层抗渗等级不应小于P6，其厚度不宜小于100mm，其防渗层性能与1.5m厚粘土层（渗透系数1.0×10</w:t>
      </w:r>
      <w:r>
        <w:rPr>
          <w:rFonts w:eastAsia="宋体"/>
          <w:b w:val="0"/>
          <w:color w:val="auto"/>
          <w:spacing w:val="-4"/>
          <w:kern w:val="0"/>
          <w:sz w:val="24"/>
          <w:szCs w:val="24"/>
          <w:highlight w:val="none"/>
          <w:vertAlign w:val="superscript"/>
          <w:lang w:val="zh-CN" w:bidi="zh-CN"/>
        </w:rPr>
        <w:t>-7</w:t>
      </w:r>
      <w:r>
        <w:rPr>
          <w:rFonts w:eastAsia="宋体"/>
          <w:b w:val="0"/>
          <w:color w:val="auto"/>
          <w:spacing w:val="-4"/>
          <w:kern w:val="0"/>
          <w:sz w:val="24"/>
          <w:szCs w:val="24"/>
          <w:highlight w:val="none"/>
          <w:lang w:val="zh-CN" w:bidi="zh-CN"/>
        </w:rPr>
        <w:t>cm/s）等效。</w:t>
      </w:r>
    </w:p>
    <w:p w14:paraId="263F2F0B">
      <w:pPr>
        <w:pStyle w:val="15"/>
        <w:adjustRightInd w:val="0"/>
        <w:snapToGrid w:val="0"/>
        <w:spacing w:line="360" w:lineRule="auto"/>
        <w:ind w:left="-105" w:right="-105" w:firstLine="464" w:firstLineChars="200"/>
        <w:jc w:val="both"/>
        <w:rPr>
          <w:rFonts w:eastAsia="宋体"/>
          <w:b w:val="0"/>
          <w:color w:val="auto"/>
          <w:spacing w:val="-4"/>
          <w:kern w:val="0"/>
          <w:sz w:val="24"/>
          <w:szCs w:val="24"/>
          <w:highlight w:val="none"/>
          <w:lang w:val="zh-CN" w:bidi="zh-CN"/>
        </w:rPr>
      </w:pPr>
      <w:r>
        <w:rPr>
          <w:rFonts w:eastAsia="宋体"/>
          <w:b w:val="0"/>
          <w:color w:val="auto"/>
          <w:spacing w:val="-4"/>
          <w:kern w:val="0"/>
          <w:sz w:val="24"/>
          <w:szCs w:val="24"/>
          <w:highlight w:val="none"/>
          <w:lang w:val="zh-CN" w:bidi="zh-CN"/>
        </w:rPr>
        <w:t>重点防渗区为</w:t>
      </w:r>
      <w:r>
        <w:rPr>
          <w:rFonts w:hint="eastAsia" w:eastAsia="宋体"/>
          <w:b w:val="0"/>
          <w:color w:val="auto"/>
          <w:spacing w:val="-4"/>
          <w:kern w:val="0"/>
          <w:sz w:val="24"/>
          <w:szCs w:val="24"/>
          <w:highlight w:val="none"/>
          <w:lang w:val="zh-CN" w:bidi="zh-CN"/>
        </w:rPr>
        <w:t>生产区、危险品仓库、成品仓库、埋地柴油罐、废液储罐区、危废仓库、事故池、初期雨水收集池</w:t>
      </w:r>
      <w:r>
        <w:rPr>
          <w:rFonts w:eastAsia="宋体"/>
          <w:b w:val="0"/>
          <w:color w:val="auto"/>
          <w:spacing w:val="-4"/>
          <w:kern w:val="0"/>
          <w:sz w:val="24"/>
          <w:szCs w:val="24"/>
          <w:highlight w:val="none"/>
          <w:lang w:val="zh-CN" w:bidi="zh-CN"/>
        </w:rPr>
        <w:t>等。地坪混凝土防渗层抗渗等级不应小于P8，其厚度不宜小于150mm，防渗层性能应与6m厚粘土层（渗透系数1.0×10</w:t>
      </w:r>
      <w:r>
        <w:rPr>
          <w:rFonts w:eastAsia="宋体"/>
          <w:b w:val="0"/>
          <w:color w:val="auto"/>
          <w:spacing w:val="-4"/>
          <w:kern w:val="0"/>
          <w:sz w:val="24"/>
          <w:szCs w:val="24"/>
          <w:highlight w:val="none"/>
          <w:vertAlign w:val="superscript"/>
          <w:lang w:val="zh-CN" w:bidi="zh-CN"/>
        </w:rPr>
        <w:t>-7</w:t>
      </w:r>
      <w:r>
        <w:rPr>
          <w:rFonts w:eastAsia="宋体"/>
          <w:b w:val="0"/>
          <w:color w:val="auto"/>
          <w:spacing w:val="-4"/>
          <w:kern w:val="0"/>
          <w:sz w:val="24"/>
          <w:szCs w:val="24"/>
          <w:highlight w:val="none"/>
          <w:lang w:val="zh-CN" w:bidi="zh-CN"/>
        </w:rPr>
        <w:t>cm/s）等效。</w:t>
      </w:r>
    </w:p>
    <w:p w14:paraId="5F015F3B">
      <w:pPr>
        <w:pStyle w:val="15"/>
        <w:adjustRightInd w:val="0"/>
        <w:snapToGrid w:val="0"/>
        <w:spacing w:line="360" w:lineRule="auto"/>
        <w:ind w:left="-105" w:right="-105" w:firstLine="464" w:firstLineChars="200"/>
        <w:jc w:val="both"/>
        <w:rPr>
          <w:rFonts w:eastAsia="宋体"/>
          <w:b w:val="0"/>
          <w:color w:val="auto"/>
          <w:spacing w:val="-4"/>
          <w:kern w:val="0"/>
          <w:sz w:val="24"/>
          <w:szCs w:val="24"/>
          <w:highlight w:val="none"/>
          <w:lang w:val="zh-CN" w:bidi="zh-CN"/>
        </w:rPr>
      </w:pPr>
      <w:r>
        <w:rPr>
          <w:rFonts w:eastAsia="宋体"/>
          <w:b w:val="0"/>
          <w:color w:val="auto"/>
          <w:spacing w:val="-4"/>
          <w:kern w:val="0"/>
          <w:sz w:val="24"/>
          <w:szCs w:val="24"/>
          <w:highlight w:val="none"/>
          <w:lang w:val="zh-CN" w:bidi="zh-CN"/>
        </w:rPr>
        <w:t>另外危废区域参照《危险废物贮存污染控制标准》（GB18597-2023）采取严格的防腐防渗措施，地面采用</w:t>
      </w:r>
      <w:r>
        <w:rPr>
          <w:rFonts w:hint="eastAsia" w:eastAsia="宋体"/>
          <w:b w:val="0"/>
          <w:color w:val="auto"/>
          <w:spacing w:val="-4"/>
          <w:kern w:val="0"/>
          <w:sz w:val="24"/>
          <w:szCs w:val="24"/>
          <w:highlight w:val="none"/>
          <w:lang w:val="zh-CN" w:bidi="zh-CN"/>
        </w:rPr>
        <w:t>抗渗</w:t>
      </w:r>
      <w:r>
        <w:rPr>
          <w:rFonts w:eastAsia="宋体"/>
          <w:b w:val="0"/>
          <w:color w:val="auto"/>
          <w:spacing w:val="-4"/>
          <w:kern w:val="0"/>
          <w:sz w:val="24"/>
          <w:szCs w:val="24"/>
          <w:highlight w:val="none"/>
          <w:lang w:val="zh-CN" w:bidi="zh-CN"/>
        </w:rPr>
        <w:t>混凝土+2mm厚HDPE，等效渗透系数≤1×10</w:t>
      </w:r>
      <w:r>
        <w:rPr>
          <w:rFonts w:eastAsia="宋体"/>
          <w:b w:val="0"/>
          <w:color w:val="auto"/>
          <w:spacing w:val="-4"/>
          <w:kern w:val="0"/>
          <w:sz w:val="24"/>
          <w:szCs w:val="24"/>
          <w:highlight w:val="none"/>
          <w:vertAlign w:val="superscript"/>
          <w:lang w:val="zh-CN" w:bidi="zh-CN"/>
        </w:rPr>
        <w:t>-10</w:t>
      </w:r>
      <w:r>
        <w:rPr>
          <w:rFonts w:eastAsia="宋体"/>
          <w:b w:val="0"/>
          <w:color w:val="auto"/>
          <w:spacing w:val="-4"/>
          <w:kern w:val="0"/>
          <w:sz w:val="24"/>
          <w:szCs w:val="24"/>
          <w:highlight w:val="none"/>
          <w:lang w:val="zh-CN" w:bidi="zh-CN"/>
        </w:rPr>
        <w:t>cm/s。</w:t>
      </w:r>
    </w:p>
    <w:p w14:paraId="3FC1CAA8">
      <w:pPr>
        <w:pStyle w:val="15"/>
        <w:adjustRightInd w:val="0"/>
        <w:snapToGrid w:val="0"/>
        <w:spacing w:line="360" w:lineRule="auto"/>
        <w:ind w:left="-105" w:right="-105" w:firstLine="464" w:firstLineChars="200"/>
        <w:jc w:val="both"/>
        <w:rPr>
          <w:rFonts w:eastAsia="宋体"/>
          <w:b w:val="0"/>
          <w:color w:val="auto"/>
          <w:spacing w:val="-4"/>
          <w:kern w:val="0"/>
          <w:sz w:val="24"/>
          <w:szCs w:val="24"/>
          <w:highlight w:val="none"/>
          <w:lang w:val="zh-CN" w:bidi="zh-CN"/>
        </w:rPr>
      </w:pPr>
      <w:r>
        <w:rPr>
          <w:rFonts w:eastAsia="宋体"/>
          <w:b w:val="0"/>
          <w:color w:val="auto"/>
          <w:spacing w:val="-4"/>
          <w:kern w:val="0"/>
          <w:sz w:val="24"/>
          <w:szCs w:val="24"/>
          <w:highlight w:val="none"/>
          <w:lang w:val="zh-CN" w:bidi="zh-CN"/>
        </w:rPr>
        <w:t>通过以上地下水保护措施，可以确保区域土壤、地下水不因项目建设而受到影响。</w:t>
      </w:r>
    </w:p>
    <w:p w14:paraId="79AFAF87">
      <w:pPr>
        <w:pStyle w:val="6"/>
        <w:keepLines w:val="0"/>
        <w:widowControl/>
        <w:numPr>
          <w:ilvl w:val="0"/>
          <w:numId w:val="0"/>
        </w:numPr>
        <w:tabs>
          <w:tab w:val="left" w:pos="0"/>
          <w:tab w:val="left" w:pos="2550"/>
        </w:tabs>
        <w:spacing w:before="50" w:after="50" w:line="360" w:lineRule="auto"/>
        <w:ind w:right="-105"/>
        <w:rPr>
          <w:rFonts w:ascii="Times New Roman" w:hAnsi="Times New Roman"/>
          <w:color w:val="auto"/>
          <w:sz w:val="24"/>
          <w:szCs w:val="24"/>
          <w:highlight w:val="none"/>
        </w:rPr>
      </w:pPr>
      <w:r>
        <w:rPr>
          <w:rFonts w:hint="eastAsia" w:ascii="Times New Roman" w:hAnsi="Times New Roman"/>
          <w:color w:val="auto"/>
          <w:sz w:val="24"/>
          <w:szCs w:val="24"/>
          <w:highlight w:val="none"/>
        </w:rPr>
        <w:t>7</w:t>
      </w:r>
      <w:r>
        <w:rPr>
          <w:rFonts w:ascii="Times New Roman" w:hAnsi="Times New Roman"/>
          <w:color w:val="auto"/>
          <w:sz w:val="24"/>
          <w:szCs w:val="24"/>
          <w:highlight w:val="none"/>
        </w:rPr>
        <w:t>.5.2.3其他土壤防控措施</w:t>
      </w:r>
    </w:p>
    <w:p w14:paraId="1D228453">
      <w:pPr>
        <w:adjustRightInd w:val="0"/>
        <w:snapToGrid w:val="0"/>
        <w:spacing w:line="360" w:lineRule="auto"/>
        <w:ind w:left="-105" w:right="-105" w:firstLine="464" w:firstLineChars="200"/>
        <w:jc w:val="both"/>
        <w:rPr>
          <w:rFonts w:ascii="Times New Roman" w:hAnsi="Times New Roman" w:cs="Times New Roman"/>
          <w:color w:val="auto"/>
          <w:spacing w:val="-4"/>
          <w:highlight w:val="none"/>
          <w:lang w:val="zh-CN" w:bidi="zh-CN"/>
        </w:rPr>
      </w:pPr>
      <w:r>
        <w:rPr>
          <w:rFonts w:ascii="Times New Roman" w:hAnsi="Times New Roman" w:cs="Times New Roman"/>
          <w:color w:val="auto"/>
          <w:spacing w:val="-4"/>
          <w:highlight w:val="none"/>
          <w:lang w:val="zh-CN" w:bidi="zh-CN"/>
        </w:rPr>
        <w:t>本项目为土壤污染型项目，根据《环境影响评价技术导则土壤环境（试行）》（HJ964-2018）过程控制措施，结合本项目污染特征。</w:t>
      </w:r>
      <w:r>
        <w:rPr>
          <w:rFonts w:ascii="Times New Roman" w:hAnsi="Times New Roman" w:cs="Times New Roman"/>
          <w:color w:val="auto"/>
          <w:spacing w:val="-4"/>
          <w:highlight w:val="none"/>
          <w:lang w:bidi="zh-CN"/>
        </w:rPr>
        <w:t>在做好分区防渗的前提下，</w:t>
      </w:r>
      <w:r>
        <w:rPr>
          <w:rFonts w:ascii="Times New Roman" w:hAnsi="Times New Roman" w:cs="Times New Roman"/>
          <w:color w:val="auto"/>
          <w:spacing w:val="-4"/>
          <w:highlight w:val="none"/>
          <w:lang w:val="zh-CN" w:bidi="zh-CN"/>
        </w:rPr>
        <w:t>本项目</w:t>
      </w:r>
      <w:r>
        <w:rPr>
          <w:rFonts w:ascii="Times New Roman" w:hAnsi="Times New Roman" w:cs="Times New Roman"/>
          <w:color w:val="auto"/>
          <w:spacing w:val="-4"/>
          <w:highlight w:val="none"/>
          <w:lang w:bidi="zh-CN"/>
        </w:rPr>
        <w:t>还应</w:t>
      </w:r>
      <w:r>
        <w:rPr>
          <w:rFonts w:ascii="Times New Roman" w:hAnsi="Times New Roman" w:cs="Times New Roman"/>
          <w:color w:val="auto"/>
          <w:spacing w:val="-4"/>
          <w:highlight w:val="none"/>
          <w:lang w:val="zh-CN" w:bidi="zh-CN"/>
        </w:rPr>
        <w:t>采取如下过程控制措施。</w:t>
      </w:r>
    </w:p>
    <w:p w14:paraId="5DD76DE4">
      <w:pPr>
        <w:adjustRightInd w:val="0"/>
        <w:snapToGrid w:val="0"/>
        <w:spacing w:line="360" w:lineRule="auto"/>
        <w:ind w:left="-105" w:right="-105" w:firstLine="464" w:firstLineChars="200"/>
        <w:jc w:val="both"/>
        <w:rPr>
          <w:rFonts w:ascii="Times New Roman" w:hAnsi="Times New Roman" w:cs="Times New Roman"/>
          <w:color w:val="auto"/>
          <w:spacing w:val="-4"/>
          <w:highlight w:val="none"/>
          <w:lang w:val="zh-CN" w:bidi="zh-CN"/>
        </w:rPr>
      </w:pPr>
      <w:r>
        <w:rPr>
          <w:rFonts w:ascii="Times New Roman" w:hAnsi="Times New Roman" w:cs="Times New Roman"/>
          <w:color w:val="auto"/>
          <w:spacing w:val="-4"/>
          <w:highlight w:val="none"/>
          <w:lang w:val="zh-CN" w:bidi="zh-CN"/>
        </w:rPr>
        <w:t>1、占地范围内应采取绿化措施，以种植具有较强吸附能力的植物为主，根据本项目所处区域自然地理特征，种植易于在该地区生长且富集能力较强、生物量较大的植物种植。</w:t>
      </w:r>
    </w:p>
    <w:p w14:paraId="64904E5A">
      <w:pPr>
        <w:adjustRightInd w:val="0"/>
        <w:snapToGrid w:val="0"/>
        <w:spacing w:line="360" w:lineRule="auto"/>
        <w:ind w:left="-105" w:right="-105" w:firstLine="464" w:firstLineChars="200"/>
        <w:jc w:val="both"/>
        <w:rPr>
          <w:rFonts w:ascii="Times New Roman" w:hAnsi="Times New Roman" w:cs="Times New Roman"/>
          <w:color w:val="auto"/>
          <w:spacing w:val="-4"/>
          <w:highlight w:val="none"/>
          <w:lang w:val="zh-CN" w:bidi="zh-CN"/>
        </w:rPr>
      </w:pPr>
      <w:r>
        <w:rPr>
          <w:rFonts w:ascii="Times New Roman" w:hAnsi="Times New Roman" w:cs="Times New Roman"/>
          <w:color w:val="auto"/>
          <w:spacing w:val="-4"/>
          <w:highlight w:val="none"/>
          <w:lang w:val="zh-CN" w:bidi="zh-CN"/>
        </w:rPr>
        <w:t>2、应根据建设项目所在地的地形特点优化地面布局，涉及地面漫流途径影响的必要时设置地面硬化、围堰或围墙，以防止土壤环境污染。</w:t>
      </w:r>
    </w:p>
    <w:p w14:paraId="12E62064">
      <w:pPr>
        <w:adjustRightInd w:val="0"/>
        <w:snapToGrid w:val="0"/>
        <w:spacing w:line="360" w:lineRule="auto"/>
        <w:ind w:left="-105" w:right="-105" w:firstLine="464" w:firstLineChars="200"/>
        <w:jc w:val="both"/>
        <w:rPr>
          <w:rFonts w:ascii="Times New Roman" w:hAnsi="Times New Roman" w:cs="Times New Roman"/>
          <w:color w:val="auto"/>
          <w:spacing w:val="-4"/>
          <w:highlight w:val="none"/>
          <w:lang w:val="zh-CN" w:bidi="zh-CN"/>
        </w:rPr>
      </w:pPr>
      <w:r>
        <w:rPr>
          <w:rFonts w:ascii="Times New Roman" w:hAnsi="Times New Roman" w:cs="Times New Roman"/>
          <w:color w:val="auto"/>
          <w:spacing w:val="-4"/>
          <w:highlight w:val="none"/>
          <w:lang w:val="zh-CN" w:bidi="zh-CN"/>
        </w:rPr>
        <w:t>3、涉及垂直入渗途径影响的，应根据相关标准规范要求，对设备设施采取相应的防</w:t>
      </w:r>
      <w:r>
        <w:rPr>
          <w:rFonts w:hint="eastAsia" w:ascii="Times New Roman" w:hAnsi="Times New Roman" w:cs="Times New Roman"/>
          <w:color w:val="auto"/>
          <w:spacing w:val="-4"/>
          <w:highlight w:val="none"/>
          <w:lang w:val="zh-CN" w:bidi="zh-CN"/>
        </w:rPr>
        <w:t>渗</w:t>
      </w:r>
      <w:r>
        <w:rPr>
          <w:rFonts w:ascii="Times New Roman" w:hAnsi="Times New Roman" w:cs="Times New Roman"/>
          <w:color w:val="auto"/>
          <w:spacing w:val="-4"/>
          <w:highlight w:val="none"/>
          <w:lang w:val="zh-CN" w:bidi="zh-CN"/>
        </w:rPr>
        <w:t>措施，以防止土壤环境污染。</w:t>
      </w:r>
    </w:p>
    <w:p w14:paraId="48FDBFFF">
      <w:pPr>
        <w:pStyle w:val="5"/>
        <w:keepLines w:val="0"/>
        <w:numPr>
          <w:ilvl w:val="2"/>
          <w:numId w:val="6"/>
        </w:numPr>
        <w:tabs>
          <w:tab w:val="left" w:pos="141"/>
          <w:tab w:val="left" w:pos="567"/>
          <w:tab w:val="left" w:pos="709"/>
        </w:tabs>
        <w:spacing w:before="120" w:beforeLines="50" w:after="120" w:afterLines="50" w:line="360" w:lineRule="auto"/>
        <w:ind w:left="-105" w:right="-105"/>
        <w:rPr>
          <w:rFonts w:eastAsia="宋体"/>
          <w:color w:val="auto"/>
          <w:sz w:val="28"/>
          <w:szCs w:val="28"/>
          <w:highlight w:val="none"/>
        </w:rPr>
      </w:pPr>
      <w:r>
        <w:rPr>
          <w:rFonts w:eastAsia="宋体"/>
          <w:color w:val="auto"/>
          <w:sz w:val="28"/>
          <w:szCs w:val="28"/>
          <w:highlight w:val="none"/>
        </w:rPr>
        <w:t>地下水、土壤污染监测与管理</w:t>
      </w:r>
    </w:p>
    <w:p w14:paraId="3695A3D7">
      <w:pPr>
        <w:pStyle w:val="20"/>
        <w:keepNext w:val="0"/>
        <w:keepLines w:val="0"/>
        <w:pageBreakBefore w:val="0"/>
        <w:widowControl w:val="0"/>
        <w:kinsoku/>
        <w:wordWrap/>
        <w:overflowPunct/>
        <w:topLinePunct w:val="0"/>
        <w:autoSpaceDE w:val="0"/>
        <w:autoSpaceDN w:val="0"/>
        <w:bidi w:val="0"/>
        <w:adjustRightInd w:val="0"/>
        <w:snapToGrid w:val="0"/>
        <w:spacing w:line="360" w:lineRule="auto"/>
        <w:ind w:left="0" w:right="0" w:firstLine="476" w:firstLineChars="200"/>
        <w:jc w:val="both"/>
        <w:textAlignment w:val="auto"/>
        <w:rPr>
          <w:rFonts w:ascii="Times New Roman" w:hAnsi="Times New Roman" w:cs="Times New Roman"/>
          <w:color w:val="auto"/>
          <w:spacing w:val="-1"/>
          <w:kern w:val="2"/>
          <w:sz w:val="24"/>
          <w:szCs w:val="24"/>
          <w:highlight w:val="none"/>
          <w:lang w:val="en-US" w:bidi="ar-SA"/>
        </w:rPr>
      </w:pPr>
      <w:r>
        <w:rPr>
          <w:rFonts w:ascii="Times New Roman" w:hAnsi="Times New Roman" w:cs="Times New Roman"/>
          <w:color w:val="auto"/>
          <w:spacing w:val="-1"/>
          <w:kern w:val="2"/>
          <w:sz w:val="24"/>
          <w:szCs w:val="24"/>
          <w:highlight w:val="none"/>
          <w:lang w:val="en-US" w:bidi="ar-SA"/>
        </w:rPr>
        <w:t>建立厂区地下水、土壤环境监控体系，包括建立地下水、土壤监控制度和环境管理体系、制定监测计划、配备必要的检测仪器和设备，以便及时发现问题，及时采取措施。若发现地下水、土壤中污染物超标，则应加大监测频率，并及时排查污染源并采取应对措施。公司制定相应的地下水、土壤跟踪监测计划，跟踪监测布设情况见</w:t>
      </w:r>
      <w:r>
        <w:rPr>
          <w:rFonts w:hint="eastAsia" w:ascii="Times New Roman" w:hAnsi="Times New Roman" w:cs="Times New Roman"/>
          <w:color w:val="auto"/>
          <w:spacing w:val="-1"/>
          <w:kern w:val="2"/>
          <w:sz w:val="24"/>
          <w:szCs w:val="24"/>
          <w:highlight w:val="none"/>
          <w:lang w:val="en-US" w:bidi="ar-SA"/>
        </w:rPr>
        <w:t>表</w:t>
      </w:r>
      <w:r>
        <w:rPr>
          <w:rFonts w:ascii="Times New Roman" w:hAnsi="Times New Roman" w:cs="Times New Roman"/>
          <w:color w:val="auto"/>
          <w:spacing w:val="-1"/>
          <w:kern w:val="2"/>
          <w:sz w:val="24"/>
          <w:szCs w:val="24"/>
          <w:highlight w:val="none"/>
          <w:lang w:val="en-US" w:bidi="ar-SA"/>
        </w:rPr>
        <w:t>9.3-1。</w:t>
      </w:r>
    </w:p>
    <w:p w14:paraId="51937D93">
      <w:pPr>
        <w:pStyle w:val="20"/>
        <w:keepNext w:val="0"/>
        <w:keepLines w:val="0"/>
        <w:pageBreakBefore w:val="0"/>
        <w:widowControl w:val="0"/>
        <w:kinsoku/>
        <w:wordWrap/>
        <w:overflowPunct/>
        <w:topLinePunct w:val="0"/>
        <w:autoSpaceDE w:val="0"/>
        <w:autoSpaceDN w:val="0"/>
        <w:bidi w:val="0"/>
        <w:adjustRightInd w:val="0"/>
        <w:snapToGrid w:val="0"/>
        <w:spacing w:line="360" w:lineRule="auto"/>
        <w:ind w:left="0" w:right="0" w:firstLine="476" w:firstLineChars="200"/>
        <w:jc w:val="both"/>
        <w:textAlignment w:val="auto"/>
        <w:rPr>
          <w:rFonts w:ascii="Times New Roman" w:hAnsi="Times New Roman" w:eastAsia="宋体" w:cs="Times New Roman"/>
          <w:color w:val="auto"/>
          <w:spacing w:val="-1"/>
          <w:kern w:val="2"/>
          <w:sz w:val="24"/>
          <w:szCs w:val="24"/>
          <w:highlight w:val="none"/>
          <w:lang w:val="en-US" w:bidi="ar-SA"/>
        </w:rPr>
      </w:pPr>
      <w:r>
        <w:rPr>
          <w:rFonts w:ascii="Times New Roman" w:hAnsi="Times New Roman" w:eastAsia="宋体" w:cs="Times New Roman"/>
          <w:color w:val="auto"/>
          <w:spacing w:val="-1"/>
          <w:kern w:val="2"/>
          <w:sz w:val="24"/>
          <w:szCs w:val="24"/>
          <w:highlight w:val="none"/>
          <w:lang w:val="en-US" w:bidi="ar-SA"/>
        </w:rPr>
        <w:t>本项目</w:t>
      </w:r>
      <w:r>
        <w:rPr>
          <w:rFonts w:hint="eastAsia" w:ascii="Times New Roman" w:hAnsi="Times New Roman" w:eastAsia="宋体" w:cs="Times New Roman"/>
          <w:color w:val="auto"/>
          <w:spacing w:val="-1"/>
          <w:kern w:val="2"/>
          <w:sz w:val="24"/>
          <w:szCs w:val="24"/>
          <w:highlight w:val="none"/>
          <w:lang w:val="en-US" w:bidi="ar-SA"/>
        </w:rPr>
        <w:t>不开展地下水环境影响评价</w:t>
      </w:r>
      <w:r>
        <w:rPr>
          <w:rFonts w:ascii="Times New Roman" w:hAnsi="Times New Roman" w:eastAsia="宋体" w:cs="Times New Roman"/>
          <w:color w:val="auto"/>
          <w:spacing w:val="-1"/>
          <w:kern w:val="2"/>
          <w:sz w:val="24"/>
          <w:szCs w:val="24"/>
          <w:highlight w:val="none"/>
          <w:lang w:val="en-US" w:bidi="ar-SA"/>
        </w:rPr>
        <w:t>，土壤环境评价等级为</w:t>
      </w:r>
      <w:r>
        <w:rPr>
          <w:rFonts w:hint="eastAsia" w:ascii="Times New Roman" w:hAnsi="Times New Roman" w:eastAsia="宋体" w:cs="Times New Roman"/>
          <w:color w:val="auto"/>
          <w:spacing w:val="-1"/>
          <w:kern w:val="2"/>
          <w:sz w:val="24"/>
          <w:szCs w:val="24"/>
          <w:highlight w:val="none"/>
          <w:lang w:val="en-US" w:bidi="ar-SA"/>
        </w:rPr>
        <w:t>二</w:t>
      </w:r>
      <w:r>
        <w:rPr>
          <w:rFonts w:ascii="Times New Roman" w:hAnsi="Times New Roman" w:eastAsia="宋体" w:cs="Times New Roman"/>
          <w:color w:val="auto"/>
          <w:spacing w:val="-1"/>
          <w:kern w:val="2"/>
          <w:sz w:val="24"/>
          <w:szCs w:val="24"/>
          <w:highlight w:val="none"/>
          <w:lang w:val="en-US" w:bidi="ar-SA"/>
        </w:rPr>
        <w:t>级，土壤环境跟踪监测要求如下：</w:t>
      </w:r>
    </w:p>
    <w:p w14:paraId="45AB4E31">
      <w:pPr>
        <w:pStyle w:val="20"/>
        <w:keepNext w:val="0"/>
        <w:keepLines w:val="0"/>
        <w:pageBreakBefore w:val="0"/>
        <w:widowControl w:val="0"/>
        <w:kinsoku/>
        <w:wordWrap/>
        <w:overflowPunct/>
        <w:topLinePunct w:val="0"/>
        <w:autoSpaceDE w:val="0"/>
        <w:autoSpaceDN w:val="0"/>
        <w:bidi w:val="0"/>
        <w:adjustRightInd w:val="0"/>
        <w:snapToGrid w:val="0"/>
        <w:spacing w:line="360" w:lineRule="auto"/>
        <w:ind w:left="0" w:right="0" w:firstLine="476" w:firstLineChars="200"/>
        <w:jc w:val="both"/>
        <w:textAlignment w:val="auto"/>
        <w:rPr>
          <w:rFonts w:ascii="Times New Roman" w:hAnsi="Times New Roman" w:eastAsia="宋体" w:cs="Times New Roman"/>
          <w:color w:val="auto"/>
          <w:spacing w:val="-1"/>
          <w:kern w:val="2"/>
          <w:sz w:val="24"/>
          <w:szCs w:val="24"/>
          <w:highlight w:val="none"/>
          <w:lang w:val="en-US" w:bidi="ar-SA"/>
        </w:rPr>
      </w:pPr>
      <w:r>
        <w:rPr>
          <w:rFonts w:ascii="Times New Roman" w:hAnsi="Times New Roman" w:eastAsia="宋体" w:cs="Times New Roman"/>
          <w:color w:val="auto"/>
          <w:spacing w:val="-1"/>
          <w:kern w:val="2"/>
          <w:sz w:val="24"/>
          <w:szCs w:val="24"/>
          <w:highlight w:val="none"/>
          <w:lang w:val="en-US" w:bidi="ar-SA"/>
        </w:rPr>
        <w:t>a）监测点位应布设在重点影响区和土壤环境敏感目标附近；</w:t>
      </w:r>
    </w:p>
    <w:p w14:paraId="5CC12CCC">
      <w:pPr>
        <w:pStyle w:val="20"/>
        <w:keepNext w:val="0"/>
        <w:keepLines w:val="0"/>
        <w:pageBreakBefore w:val="0"/>
        <w:widowControl w:val="0"/>
        <w:kinsoku/>
        <w:wordWrap/>
        <w:overflowPunct/>
        <w:topLinePunct w:val="0"/>
        <w:autoSpaceDE w:val="0"/>
        <w:autoSpaceDN w:val="0"/>
        <w:bidi w:val="0"/>
        <w:adjustRightInd w:val="0"/>
        <w:snapToGrid w:val="0"/>
        <w:spacing w:line="360" w:lineRule="auto"/>
        <w:ind w:left="0" w:right="0" w:firstLine="476" w:firstLineChars="200"/>
        <w:jc w:val="both"/>
        <w:textAlignment w:val="auto"/>
        <w:rPr>
          <w:rFonts w:ascii="Times New Roman" w:hAnsi="Times New Roman" w:eastAsia="宋体" w:cs="Times New Roman"/>
          <w:color w:val="auto"/>
          <w:spacing w:val="-1"/>
          <w:kern w:val="2"/>
          <w:sz w:val="24"/>
          <w:szCs w:val="24"/>
          <w:highlight w:val="none"/>
          <w:lang w:val="en-US" w:bidi="ar-SA"/>
        </w:rPr>
      </w:pPr>
      <w:r>
        <w:rPr>
          <w:rFonts w:ascii="Times New Roman" w:hAnsi="Times New Roman" w:eastAsia="宋体" w:cs="Times New Roman"/>
          <w:color w:val="auto"/>
          <w:spacing w:val="-1"/>
          <w:kern w:val="2"/>
          <w:sz w:val="24"/>
          <w:szCs w:val="24"/>
          <w:highlight w:val="none"/>
          <w:lang w:val="en-US" w:bidi="ar-SA"/>
        </w:rPr>
        <w:t>b）</w:t>
      </w:r>
      <w:r>
        <w:rPr>
          <w:rFonts w:hint="eastAsia" w:ascii="Times New Roman" w:hAnsi="Times New Roman" w:eastAsia="宋体" w:cs="Times New Roman"/>
          <w:color w:val="auto"/>
          <w:spacing w:val="-1"/>
          <w:kern w:val="2"/>
          <w:sz w:val="24"/>
          <w:szCs w:val="24"/>
          <w:highlight w:val="none"/>
          <w:lang w:val="en-US" w:eastAsia="zh-CN" w:bidi="ar-SA"/>
        </w:rPr>
        <w:t>监测</w:t>
      </w:r>
      <w:r>
        <w:rPr>
          <w:rFonts w:ascii="Times New Roman" w:hAnsi="Times New Roman" w:eastAsia="宋体" w:cs="Times New Roman"/>
          <w:color w:val="auto"/>
          <w:spacing w:val="-1"/>
          <w:kern w:val="2"/>
          <w:sz w:val="24"/>
          <w:szCs w:val="24"/>
          <w:highlight w:val="none"/>
          <w:lang w:val="en-US" w:bidi="ar-SA"/>
        </w:rPr>
        <w:t>指标应选择建设项目特征因子；</w:t>
      </w:r>
    </w:p>
    <w:p w14:paraId="6C7BD504">
      <w:pPr>
        <w:pStyle w:val="20"/>
        <w:keepNext w:val="0"/>
        <w:keepLines w:val="0"/>
        <w:pageBreakBefore w:val="0"/>
        <w:widowControl w:val="0"/>
        <w:kinsoku/>
        <w:wordWrap/>
        <w:overflowPunct/>
        <w:topLinePunct w:val="0"/>
        <w:autoSpaceDE w:val="0"/>
        <w:autoSpaceDN w:val="0"/>
        <w:bidi w:val="0"/>
        <w:adjustRightInd w:val="0"/>
        <w:snapToGrid w:val="0"/>
        <w:spacing w:line="360" w:lineRule="auto"/>
        <w:ind w:left="0" w:right="0" w:firstLine="476" w:firstLineChars="200"/>
        <w:jc w:val="both"/>
        <w:textAlignment w:val="auto"/>
        <w:rPr>
          <w:rFonts w:ascii="Times New Roman" w:hAnsi="Times New Roman" w:eastAsia="宋体" w:cs="Times New Roman"/>
          <w:color w:val="auto"/>
          <w:spacing w:val="-1"/>
          <w:kern w:val="2"/>
          <w:sz w:val="24"/>
          <w:szCs w:val="24"/>
          <w:highlight w:val="none"/>
          <w:lang w:val="en-US" w:bidi="ar-SA"/>
        </w:rPr>
      </w:pPr>
      <w:r>
        <w:rPr>
          <w:rFonts w:ascii="Times New Roman" w:hAnsi="Times New Roman" w:eastAsia="宋体" w:cs="Times New Roman"/>
          <w:color w:val="auto"/>
          <w:spacing w:val="-1"/>
          <w:kern w:val="2"/>
          <w:sz w:val="24"/>
          <w:szCs w:val="24"/>
          <w:highlight w:val="none"/>
          <w:lang w:val="en-US" w:bidi="ar-SA"/>
        </w:rPr>
        <w:t>c）一般每</w:t>
      </w:r>
      <w:r>
        <w:rPr>
          <w:rFonts w:hint="eastAsia" w:ascii="Times New Roman" w:hAnsi="Times New Roman" w:eastAsia="宋体" w:cs="Times New Roman"/>
          <w:color w:val="auto"/>
          <w:spacing w:val="-1"/>
          <w:kern w:val="2"/>
          <w:sz w:val="24"/>
          <w:szCs w:val="24"/>
          <w:highlight w:val="none"/>
          <w:lang w:val="en-US" w:eastAsia="zh-CN" w:bidi="ar-SA"/>
        </w:rPr>
        <w:t>5</w:t>
      </w:r>
      <w:r>
        <w:rPr>
          <w:rFonts w:ascii="Times New Roman" w:hAnsi="Times New Roman" w:eastAsia="宋体" w:cs="Times New Roman"/>
          <w:color w:val="auto"/>
          <w:spacing w:val="-1"/>
          <w:kern w:val="2"/>
          <w:sz w:val="24"/>
          <w:szCs w:val="24"/>
          <w:highlight w:val="none"/>
          <w:lang w:val="en-US" w:bidi="ar-SA"/>
        </w:rPr>
        <w:t>年内开展1次监测工作。</w:t>
      </w:r>
    </w:p>
    <w:p w14:paraId="33D414D1">
      <w:pPr>
        <w:pStyle w:val="20"/>
        <w:keepNext w:val="0"/>
        <w:keepLines w:val="0"/>
        <w:pageBreakBefore w:val="0"/>
        <w:widowControl w:val="0"/>
        <w:kinsoku/>
        <w:wordWrap/>
        <w:overflowPunct/>
        <w:topLinePunct w:val="0"/>
        <w:autoSpaceDE w:val="0"/>
        <w:autoSpaceDN w:val="0"/>
        <w:bidi w:val="0"/>
        <w:adjustRightInd w:val="0"/>
        <w:snapToGrid w:val="0"/>
        <w:spacing w:line="360" w:lineRule="auto"/>
        <w:ind w:left="0" w:right="0" w:firstLine="476" w:firstLineChars="200"/>
        <w:jc w:val="both"/>
        <w:textAlignment w:val="auto"/>
        <w:rPr>
          <w:rFonts w:hint="eastAsia" w:ascii="Times New Roman" w:hAnsi="Times New Roman" w:eastAsia="宋体" w:cs="Times New Roman"/>
          <w:color w:val="auto"/>
          <w:spacing w:val="-1"/>
          <w:kern w:val="2"/>
          <w:sz w:val="24"/>
          <w:szCs w:val="24"/>
          <w:highlight w:val="none"/>
          <w:lang w:val="en-US" w:bidi="ar-SA"/>
        </w:rPr>
      </w:pPr>
      <w:r>
        <w:rPr>
          <w:rFonts w:hint="eastAsia" w:ascii="Times New Roman" w:hAnsi="Times New Roman" w:eastAsia="宋体" w:cs="Times New Roman"/>
          <w:color w:val="auto"/>
          <w:spacing w:val="-1"/>
          <w:kern w:val="2"/>
          <w:sz w:val="24"/>
          <w:szCs w:val="24"/>
          <w:highlight w:val="none"/>
          <w:lang w:val="en-US" w:bidi="ar-SA"/>
        </w:rPr>
        <w:t>企业应将土壤监测开展情况及监测结果向社会公开，公开内容应包括：</w:t>
      </w:r>
    </w:p>
    <w:p w14:paraId="6FF52DDB">
      <w:pPr>
        <w:pStyle w:val="20"/>
        <w:keepNext w:val="0"/>
        <w:keepLines w:val="0"/>
        <w:pageBreakBefore w:val="0"/>
        <w:widowControl w:val="0"/>
        <w:kinsoku/>
        <w:wordWrap/>
        <w:overflowPunct/>
        <w:topLinePunct w:val="0"/>
        <w:autoSpaceDE w:val="0"/>
        <w:autoSpaceDN w:val="0"/>
        <w:bidi w:val="0"/>
        <w:adjustRightInd w:val="0"/>
        <w:snapToGrid w:val="0"/>
        <w:spacing w:line="360" w:lineRule="auto"/>
        <w:ind w:left="0" w:right="0" w:firstLine="476" w:firstLineChars="200"/>
        <w:jc w:val="both"/>
        <w:textAlignment w:val="auto"/>
        <w:rPr>
          <w:rFonts w:hint="eastAsia" w:ascii="Times New Roman" w:hAnsi="Times New Roman" w:eastAsia="宋体" w:cs="Times New Roman"/>
          <w:color w:val="auto"/>
          <w:spacing w:val="-1"/>
          <w:kern w:val="2"/>
          <w:sz w:val="24"/>
          <w:szCs w:val="24"/>
          <w:highlight w:val="none"/>
          <w:lang w:val="en-US" w:bidi="ar-SA"/>
        </w:rPr>
      </w:pPr>
      <w:r>
        <w:rPr>
          <w:rFonts w:hint="eastAsia" w:ascii="Times New Roman" w:hAnsi="Times New Roman" w:eastAsia="宋体" w:cs="Times New Roman"/>
          <w:color w:val="auto"/>
          <w:spacing w:val="-1"/>
          <w:kern w:val="2"/>
          <w:sz w:val="24"/>
          <w:szCs w:val="24"/>
          <w:highlight w:val="none"/>
          <w:lang w:val="en-US" w:bidi="ar-SA"/>
        </w:rPr>
        <w:t>基础信息：企业名称、法人代表、所属行业、地理位置、生产周期、联系方式等；</w:t>
      </w:r>
    </w:p>
    <w:p w14:paraId="68A5A221">
      <w:pPr>
        <w:pStyle w:val="20"/>
        <w:keepNext w:val="0"/>
        <w:keepLines w:val="0"/>
        <w:pageBreakBefore w:val="0"/>
        <w:widowControl w:val="0"/>
        <w:kinsoku/>
        <w:wordWrap/>
        <w:overflowPunct/>
        <w:topLinePunct w:val="0"/>
        <w:autoSpaceDE w:val="0"/>
        <w:autoSpaceDN w:val="0"/>
        <w:bidi w:val="0"/>
        <w:adjustRightInd w:val="0"/>
        <w:snapToGrid w:val="0"/>
        <w:spacing w:line="360" w:lineRule="auto"/>
        <w:ind w:left="0" w:right="0" w:firstLine="476" w:firstLineChars="200"/>
        <w:jc w:val="both"/>
        <w:textAlignment w:val="auto"/>
        <w:rPr>
          <w:rFonts w:ascii="Times New Roman" w:hAnsi="Times New Roman" w:eastAsia="宋体" w:cs="Times New Roman"/>
          <w:color w:val="auto"/>
          <w:spacing w:val="-1"/>
          <w:kern w:val="2"/>
          <w:sz w:val="24"/>
          <w:szCs w:val="24"/>
          <w:highlight w:val="none"/>
          <w:lang w:val="en-US" w:bidi="ar-SA"/>
        </w:rPr>
      </w:pPr>
      <w:r>
        <w:rPr>
          <w:rFonts w:hint="eastAsia" w:ascii="Times New Roman" w:hAnsi="Times New Roman" w:eastAsia="宋体" w:cs="Times New Roman"/>
          <w:color w:val="auto"/>
          <w:spacing w:val="-1"/>
          <w:kern w:val="2"/>
          <w:sz w:val="24"/>
          <w:szCs w:val="24"/>
          <w:highlight w:val="none"/>
          <w:lang w:val="en-US" w:bidi="ar-SA"/>
        </w:rPr>
        <w:t>土壤跟踪监测结果：监测点位、监测时间、监测因子及监测值、标准限值、达标情况、超标倍数等。</w:t>
      </w:r>
    </w:p>
    <w:p w14:paraId="6C1DC35D">
      <w:pPr>
        <w:pStyle w:val="5"/>
        <w:keepLines w:val="0"/>
        <w:numPr>
          <w:ilvl w:val="2"/>
          <w:numId w:val="6"/>
        </w:numPr>
        <w:tabs>
          <w:tab w:val="left" w:pos="141"/>
          <w:tab w:val="left" w:pos="567"/>
          <w:tab w:val="left" w:pos="709"/>
        </w:tabs>
        <w:spacing w:before="120" w:beforeLines="50" w:after="120" w:afterLines="50" w:line="360" w:lineRule="auto"/>
        <w:ind w:left="-105" w:right="-105"/>
        <w:rPr>
          <w:rFonts w:eastAsia="宋体"/>
          <w:color w:val="auto"/>
          <w:sz w:val="28"/>
          <w:szCs w:val="28"/>
          <w:highlight w:val="none"/>
        </w:rPr>
      </w:pPr>
      <w:r>
        <w:rPr>
          <w:rFonts w:eastAsia="宋体"/>
          <w:color w:val="auto"/>
          <w:sz w:val="28"/>
          <w:szCs w:val="28"/>
          <w:highlight w:val="none"/>
        </w:rPr>
        <w:t>应急处置措施及应急预案</w:t>
      </w:r>
    </w:p>
    <w:p w14:paraId="402E2572">
      <w:pPr>
        <w:pStyle w:val="44"/>
        <w:spacing w:after="0" w:line="360" w:lineRule="auto"/>
        <w:ind w:left="0" w:leftChars="0" w:right="-105" w:firstLine="480"/>
        <w:rPr>
          <w:rFonts w:eastAsia="宋体"/>
          <w:color w:val="auto"/>
          <w:sz w:val="24"/>
          <w:highlight w:val="none"/>
        </w:rPr>
      </w:pPr>
      <w:r>
        <w:rPr>
          <w:rFonts w:eastAsia="宋体"/>
          <w:color w:val="auto"/>
          <w:sz w:val="24"/>
          <w:highlight w:val="none"/>
        </w:rPr>
        <w:t>（1）应急处置</w:t>
      </w:r>
    </w:p>
    <w:p w14:paraId="402FB665">
      <w:pPr>
        <w:pStyle w:val="44"/>
        <w:spacing w:after="0" w:line="360" w:lineRule="auto"/>
        <w:ind w:left="0" w:leftChars="0" w:right="-105" w:firstLine="480"/>
        <w:rPr>
          <w:rFonts w:eastAsia="宋体"/>
          <w:color w:val="auto"/>
          <w:sz w:val="24"/>
          <w:highlight w:val="none"/>
        </w:rPr>
      </w:pPr>
      <w:r>
        <w:rPr>
          <w:rFonts w:hint="eastAsia" w:ascii="宋体" w:hAnsi="宋体" w:eastAsia="宋体" w:cs="宋体"/>
          <w:color w:val="auto"/>
          <w:sz w:val="24"/>
          <w:highlight w:val="none"/>
        </w:rPr>
        <w:t>①</w:t>
      </w:r>
      <w:r>
        <w:rPr>
          <w:rFonts w:eastAsia="宋体"/>
          <w:color w:val="auto"/>
          <w:sz w:val="24"/>
          <w:highlight w:val="none"/>
        </w:rPr>
        <w:t>当发生异常情况时，按照装置制定的环境事故应急预案，启动应急预案。在第一时间内尽快上报主管领导，启动周围社会预案，密切关注地下水水质变化情况。</w:t>
      </w:r>
    </w:p>
    <w:p w14:paraId="07CB2632">
      <w:pPr>
        <w:pStyle w:val="44"/>
        <w:spacing w:after="0" w:line="360" w:lineRule="auto"/>
        <w:ind w:left="0" w:leftChars="0" w:right="-105" w:firstLine="480"/>
        <w:rPr>
          <w:rFonts w:eastAsia="宋体"/>
          <w:color w:val="auto"/>
          <w:sz w:val="24"/>
          <w:highlight w:val="none"/>
        </w:rPr>
      </w:pPr>
      <w:r>
        <w:rPr>
          <w:rFonts w:hint="eastAsia" w:ascii="宋体" w:hAnsi="宋体" w:eastAsia="宋体" w:cs="宋体"/>
          <w:color w:val="auto"/>
          <w:sz w:val="24"/>
          <w:highlight w:val="none"/>
        </w:rPr>
        <w:t>②</w:t>
      </w:r>
      <w:r>
        <w:rPr>
          <w:rFonts w:eastAsia="宋体"/>
          <w:color w:val="auto"/>
          <w:sz w:val="24"/>
          <w:highlight w:val="none"/>
        </w:rPr>
        <w:t>组织专业队伍负责查找环境事故发生地点，分析事故原因，尽量将紧急时间局部化，如可能应予以消除，尽量缩小环境事故对人和财产的影响。减低事故后果的手段，包括切断生产装置或设施。</w:t>
      </w:r>
    </w:p>
    <w:p w14:paraId="267A5E2E">
      <w:pPr>
        <w:pStyle w:val="44"/>
        <w:spacing w:after="0" w:line="360" w:lineRule="auto"/>
        <w:ind w:left="0" w:leftChars="0" w:right="-105" w:firstLine="480"/>
        <w:rPr>
          <w:rFonts w:eastAsia="宋体"/>
          <w:color w:val="auto"/>
          <w:sz w:val="24"/>
          <w:highlight w:val="none"/>
        </w:rPr>
      </w:pPr>
      <w:r>
        <w:rPr>
          <w:rFonts w:hint="eastAsia" w:ascii="宋体" w:hAnsi="宋体" w:eastAsia="宋体" w:cs="宋体"/>
          <w:color w:val="auto"/>
          <w:sz w:val="24"/>
          <w:highlight w:val="none"/>
        </w:rPr>
        <w:t>③</w:t>
      </w:r>
      <w:r>
        <w:rPr>
          <w:rFonts w:eastAsia="宋体"/>
          <w:color w:val="auto"/>
          <w:sz w:val="24"/>
          <w:highlight w:val="none"/>
        </w:rPr>
        <w:t>对事故现场进行调查，监测，处理。对事故后果进行评估，采取紧急措施制止事故的扩散，扩大，并制定防止类似事件发生的措施。</w:t>
      </w:r>
    </w:p>
    <w:p w14:paraId="629C3BF8">
      <w:pPr>
        <w:pStyle w:val="44"/>
        <w:spacing w:after="0" w:line="360" w:lineRule="auto"/>
        <w:ind w:left="0" w:leftChars="0" w:right="-105" w:firstLine="480"/>
        <w:rPr>
          <w:rFonts w:eastAsia="宋体"/>
          <w:color w:val="auto"/>
          <w:sz w:val="24"/>
          <w:highlight w:val="none"/>
        </w:rPr>
      </w:pPr>
      <w:r>
        <w:rPr>
          <w:rFonts w:hint="eastAsia" w:ascii="宋体" w:hAnsi="宋体" w:eastAsia="宋体" w:cs="宋体"/>
          <w:color w:val="auto"/>
          <w:sz w:val="24"/>
          <w:highlight w:val="none"/>
        </w:rPr>
        <w:t>④</w:t>
      </w:r>
      <w:r>
        <w:rPr>
          <w:rFonts w:eastAsia="宋体"/>
          <w:color w:val="auto"/>
          <w:sz w:val="24"/>
          <w:highlight w:val="none"/>
        </w:rPr>
        <w:t>如果本公司力量不足，需要请求社会应急力量协助。</w:t>
      </w:r>
    </w:p>
    <w:p w14:paraId="4F993D99">
      <w:pPr>
        <w:pStyle w:val="44"/>
        <w:spacing w:after="0" w:line="360" w:lineRule="auto"/>
        <w:ind w:left="0" w:leftChars="0" w:right="-105" w:firstLine="480"/>
        <w:rPr>
          <w:rFonts w:eastAsia="宋体"/>
          <w:color w:val="auto"/>
          <w:sz w:val="24"/>
          <w:highlight w:val="none"/>
        </w:rPr>
      </w:pPr>
      <w:r>
        <w:rPr>
          <w:rFonts w:eastAsia="宋体"/>
          <w:color w:val="auto"/>
          <w:sz w:val="24"/>
          <w:highlight w:val="none"/>
        </w:rPr>
        <w:t>（2）应急预案</w:t>
      </w:r>
    </w:p>
    <w:p w14:paraId="59C83F01">
      <w:pPr>
        <w:pStyle w:val="44"/>
        <w:spacing w:after="0" w:line="360" w:lineRule="auto"/>
        <w:ind w:left="0" w:leftChars="0" w:right="-105" w:firstLine="480"/>
        <w:rPr>
          <w:rFonts w:eastAsia="宋体"/>
          <w:color w:val="auto"/>
          <w:sz w:val="24"/>
          <w:highlight w:val="none"/>
        </w:rPr>
      </w:pPr>
      <w:r>
        <w:rPr>
          <w:rFonts w:hint="eastAsia" w:ascii="宋体" w:hAnsi="宋体" w:eastAsia="宋体" w:cs="宋体"/>
          <w:color w:val="auto"/>
          <w:sz w:val="24"/>
          <w:highlight w:val="none"/>
        </w:rPr>
        <w:t>①</w:t>
      </w:r>
      <w:r>
        <w:rPr>
          <w:rFonts w:eastAsia="宋体"/>
          <w:color w:val="auto"/>
          <w:sz w:val="24"/>
          <w:highlight w:val="none"/>
        </w:rPr>
        <w:t>地下水、土壤污染事故的应急措施应在制定的安全管理体制的基础上，与其它应急预案相协调。制定企业、锡山区和无锡市三级应急预案。</w:t>
      </w:r>
    </w:p>
    <w:p w14:paraId="7DE2CB65">
      <w:pPr>
        <w:pStyle w:val="20"/>
        <w:spacing w:line="360" w:lineRule="auto"/>
        <w:ind w:left="-105" w:right="-105" w:firstLine="480" w:firstLineChars="200"/>
        <w:jc w:val="both"/>
        <w:rPr>
          <w:rFonts w:ascii="Times New Roman" w:hAnsi="Times New Roman" w:cs="Times New Roman"/>
          <w:color w:val="auto"/>
          <w:kern w:val="2"/>
          <w:sz w:val="24"/>
          <w:szCs w:val="24"/>
          <w:highlight w:val="none"/>
          <w:lang w:val="en-US" w:bidi="ar-SA"/>
        </w:rPr>
      </w:pPr>
      <w:r>
        <w:rPr>
          <w:rFonts w:ascii="Times New Roman" w:hAnsi="Times New Roman" w:cs="Times New Roman"/>
          <w:color w:val="auto"/>
          <w:kern w:val="2"/>
          <w:sz w:val="24"/>
          <w:szCs w:val="24"/>
          <w:highlight w:val="none"/>
          <w:lang w:val="en-US" w:bidi="ar-SA"/>
        </w:rPr>
        <w:t>在厂区建设和运行期间应制定地下水、土壤污染应急预案，并在发现厂区区域地下水、土壤监测井受到污染时立刻启动应急预案，采取应急措施防止污染扩散，防止周边生态环境受到影响。地下水、土壤污染应急预案应包括：</w:t>
      </w:r>
    </w:p>
    <w:p w14:paraId="6BCB71A5">
      <w:pPr>
        <w:pStyle w:val="20"/>
        <w:spacing w:line="360" w:lineRule="auto"/>
        <w:ind w:left="-105" w:right="-105" w:firstLine="480" w:firstLineChars="200"/>
        <w:jc w:val="both"/>
        <w:rPr>
          <w:rFonts w:ascii="Times New Roman" w:hAnsi="Times New Roman" w:cs="Times New Roman"/>
          <w:color w:val="auto"/>
          <w:kern w:val="2"/>
          <w:sz w:val="24"/>
          <w:szCs w:val="24"/>
          <w:highlight w:val="none"/>
          <w:lang w:val="en-US" w:bidi="ar-SA"/>
        </w:rPr>
      </w:pPr>
      <w:r>
        <w:rPr>
          <w:rFonts w:ascii="Times New Roman" w:hAnsi="Times New Roman" w:cs="Times New Roman"/>
          <w:color w:val="auto"/>
          <w:kern w:val="2"/>
          <w:sz w:val="24"/>
          <w:szCs w:val="24"/>
          <w:highlight w:val="none"/>
          <w:lang w:val="en-US" w:bidi="ar-SA"/>
        </w:rPr>
        <w:t>1、如发现地下水、土壤污染事故，应立即向厂区环保部门及行政管理部门报告，调查并确认污染源位置。</w:t>
      </w:r>
    </w:p>
    <w:p w14:paraId="5ACFBEB4">
      <w:pPr>
        <w:pStyle w:val="20"/>
        <w:spacing w:line="360" w:lineRule="auto"/>
        <w:ind w:left="-105" w:right="-105" w:firstLine="480" w:firstLineChars="200"/>
        <w:jc w:val="both"/>
        <w:rPr>
          <w:rFonts w:ascii="Times New Roman" w:hAnsi="Times New Roman" w:cs="Times New Roman"/>
          <w:color w:val="auto"/>
          <w:kern w:val="2"/>
          <w:sz w:val="24"/>
          <w:szCs w:val="24"/>
          <w:highlight w:val="none"/>
          <w:lang w:val="en-US" w:bidi="ar-SA"/>
        </w:rPr>
      </w:pPr>
      <w:r>
        <w:rPr>
          <w:rFonts w:ascii="Times New Roman" w:hAnsi="Times New Roman" w:cs="Times New Roman"/>
          <w:color w:val="auto"/>
          <w:kern w:val="2"/>
          <w:sz w:val="24"/>
          <w:szCs w:val="24"/>
          <w:highlight w:val="none"/>
          <w:lang w:val="en-US" w:bidi="ar-SA"/>
        </w:rPr>
        <w:t>2、若存在污染物泄漏情况，查明泄漏污染源位置后，应首先堵住泄漏源，利用围堰或事故池收容。如果已渗入地下水，应将污染区的地下水抽出并送到事故池中，防止污染物在地下继续扩散。</w:t>
      </w:r>
    </w:p>
    <w:p w14:paraId="6F62BB93">
      <w:pPr>
        <w:pStyle w:val="20"/>
        <w:spacing w:line="360" w:lineRule="auto"/>
        <w:ind w:left="-105" w:right="-105" w:firstLine="480" w:firstLineChars="200"/>
        <w:jc w:val="both"/>
        <w:rPr>
          <w:rFonts w:ascii="Times New Roman" w:hAnsi="Times New Roman" w:cs="Times New Roman"/>
          <w:color w:val="auto"/>
          <w:kern w:val="2"/>
          <w:sz w:val="24"/>
          <w:szCs w:val="24"/>
          <w:highlight w:val="none"/>
          <w:lang w:val="en-US" w:bidi="ar-SA"/>
        </w:rPr>
      </w:pPr>
      <w:r>
        <w:rPr>
          <w:rFonts w:ascii="Times New Roman" w:hAnsi="Times New Roman" w:cs="Times New Roman"/>
          <w:color w:val="auto"/>
          <w:kern w:val="2"/>
          <w:sz w:val="24"/>
          <w:szCs w:val="24"/>
          <w:highlight w:val="none"/>
          <w:lang w:val="en-US" w:bidi="ar-SA"/>
        </w:rPr>
        <w:t>3、立即对重污染区采取有效的修复措施，包括开挖并移走重污染土壤做危险废物处置，回填新鲜土壤；对重污染区的地下水通过检测井抽出并送至</w:t>
      </w:r>
      <w:r>
        <w:rPr>
          <w:rFonts w:hint="eastAsia" w:ascii="Times New Roman" w:hAnsi="Times New Roman" w:cs="Times New Roman"/>
          <w:color w:val="auto"/>
          <w:kern w:val="2"/>
          <w:sz w:val="24"/>
          <w:szCs w:val="24"/>
          <w:highlight w:val="none"/>
          <w:lang w:val="en-US" w:eastAsia="zh-CN" w:bidi="ar-SA"/>
        </w:rPr>
        <w:t>事故应急</w:t>
      </w:r>
      <w:r>
        <w:rPr>
          <w:rFonts w:ascii="Times New Roman" w:hAnsi="Times New Roman" w:cs="Times New Roman"/>
          <w:color w:val="auto"/>
          <w:kern w:val="2"/>
          <w:sz w:val="24"/>
          <w:szCs w:val="24"/>
          <w:highlight w:val="none"/>
          <w:lang w:val="en-US" w:bidi="ar-SA"/>
        </w:rPr>
        <w:t>池</w:t>
      </w:r>
      <w:r>
        <w:rPr>
          <w:rFonts w:ascii="Times New Roman" w:hAnsi="Times New Roman" w:cs="Times New Roman"/>
          <w:color w:val="auto"/>
          <w:kern w:val="2"/>
          <w:sz w:val="24"/>
          <w:szCs w:val="24"/>
          <w:highlight w:val="none"/>
          <w:lang w:val="en-US" w:bidi="ar-SA"/>
        </w:rPr>
        <w:t>中，防止污染物在地下继续扩散。</w:t>
      </w:r>
    </w:p>
    <w:p w14:paraId="72F9578C">
      <w:pPr>
        <w:pStyle w:val="20"/>
        <w:spacing w:line="360" w:lineRule="auto"/>
        <w:ind w:left="-105" w:right="-105" w:firstLine="480" w:firstLineChars="200"/>
        <w:jc w:val="both"/>
        <w:rPr>
          <w:rFonts w:ascii="Times New Roman" w:hAnsi="Times New Roman" w:cs="Times New Roman"/>
          <w:color w:val="auto"/>
          <w:kern w:val="2"/>
          <w:sz w:val="24"/>
          <w:szCs w:val="24"/>
          <w:highlight w:val="none"/>
          <w:lang w:val="en-US" w:bidi="ar-SA"/>
        </w:rPr>
      </w:pPr>
      <w:r>
        <w:rPr>
          <w:rFonts w:ascii="Times New Roman" w:hAnsi="Times New Roman" w:cs="Times New Roman"/>
          <w:color w:val="auto"/>
          <w:kern w:val="2"/>
          <w:sz w:val="24"/>
          <w:szCs w:val="24"/>
          <w:highlight w:val="none"/>
          <w:lang w:val="en-US" w:bidi="ar-SA"/>
        </w:rPr>
        <w:t>4、地下水、土壤污染应急监测。若发现监测水质异常，应加密监测频次，改为每周监测一次，并立即启动应急响应，上报环境保护部门，同时检测相应的地下水风险源的防渗措施是否失效或遭受破坏，及时处理被污染的地下水，确保影响程度降到最低。</w:t>
      </w:r>
    </w:p>
    <w:p w14:paraId="5EE67EB3">
      <w:pPr>
        <w:pStyle w:val="44"/>
        <w:spacing w:after="0" w:line="360" w:lineRule="auto"/>
        <w:ind w:left="0" w:leftChars="0" w:right="-105" w:firstLine="480"/>
        <w:rPr>
          <w:rFonts w:eastAsia="宋体"/>
          <w:color w:val="auto"/>
          <w:sz w:val="24"/>
          <w:highlight w:val="none"/>
        </w:rPr>
      </w:pPr>
      <w:r>
        <w:rPr>
          <w:rFonts w:hint="eastAsia" w:ascii="宋体" w:hAnsi="宋体" w:eastAsia="宋体" w:cs="宋体"/>
          <w:color w:val="auto"/>
          <w:sz w:val="24"/>
          <w:highlight w:val="none"/>
        </w:rPr>
        <w:t>②</w:t>
      </w:r>
      <w:r>
        <w:rPr>
          <w:rFonts w:eastAsia="宋体"/>
          <w:color w:val="auto"/>
          <w:sz w:val="24"/>
          <w:highlight w:val="none"/>
        </w:rPr>
        <w:t>应急预案制定应包括以下内容：</w:t>
      </w:r>
    </w:p>
    <w:p w14:paraId="5DB94DBA">
      <w:pPr>
        <w:pStyle w:val="44"/>
        <w:spacing w:after="0" w:line="360" w:lineRule="auto"/>
        <w:ind w:left="0" w:leftChars="0" w:right="-105" w:firstLine="480"/>
        <w:rPr>
          <w:rFonts w:eastAsia="宋体"/>
          <w:color w:val="auto"/>
          <w:sz w:val="24"/>
          <w:highlight w:val="none"/>
        </w:rPr>
      </w:pPr>
      <w:r>
        <w:rPr>
          <w:rFonts w:eastAsia="宋体"/>
          <w:color w:val="auto"/>
          <w:sz w:val="24"/>
          <w:highlight w:val="none"/>
        </w:rPr>
        <w:t>应急预案的制定机构：应急预案的日常协调和指挥机构；相关部门在应急预案中的职责和分工；地下水、土壤环境保护目标的确定和潜在污染可能性评估；应急救援组织状况和人员，装备情况。应急救援组织的训练和演习；特大环境事故的紧急处置措施，人员疏散措施，工程抢险措施，现场医疗急救措施。特大环境事故的社会支持和援助；特大环境事故应急救援的经费保障。</w:t>
      </w:r>
    </w:p>
    <w:p w14:paraId="44FFDB2E">
      <w:pPr>
        <w:pStyle w:val="5"/>
        <w:keepLines w:val="0"/>
        <w:numPr>
          <w:ilvl w:val="2"/>
          <w:numId w:val="6"/>
        </w:numPr>
        <w:tabs>
          <w:tab w:val="left" w:pos="141"/>
          <w:tab w:val="left" w:pos="567"/>
          <w:tab w:val="left" w:pos="709"/>
        </w:tabs>
        <w:spacing w:before="120" w:beforeLines="50" w:after="120" w:afterLines="50" w:line="360" w:lineRule="auto"/>
        <w:ind w:left="-105" w:right="-105"/>
        <w:rPr>
          <w:rFonts w:eastAsia="宋体"/>
          <w:color w:val="auto"/>
          <w:sz w:val="28"/>
          <w:szCs w:val="28"/>
          <w:highlight w:val="none"/>
        </w:rPr>
      </w:pPr>
      <w:r>
        <w:rPr>
          <w:rFonts w:eastAsia="宋体"/>
          <w:color w:val="auto"/>
          <w:sz w:val="28"/>
          <w:szCs w:val="28"/>
          <w:highlight w:val="none"/>
        </w:rPr>
        <w:t>小结</w:t>
      </w:r>
    </w:p>
    <w:p w14:paraId="7BC7C760">
      <w:pPr>
        <w:pStyle w:val="43"/>
        <w:keepNext w:val="0"/>
        <w:keepLines w:val="0"/>
        <w:pageBreakBefore w:val="0"/>
        <w:widowControl w:val="0"/>
        <w:kinsoku/>
        <w:wordWrap/>
        <w:overflowPunct/>
        <w:topLinePunct w:val="0"/>
        <w:autoSpaceDE w:val="0"/>
        <w:autoSpaceDN w:val="0"/>
        <w:bidi w:val="0"/>
        <w:adjustRightInd/>
        <w:snapToGrid/>
        <w:spacing w:after="0" w:line="360" w:lineRule="auto"/>
        <w:ind w:left="0" w:right="0" w:firstLine="480" w:firstLineChars="200"/>
        <w:textAlignment w:val="auto"/>
        <w:rPr>
          <w:rFonts w:ascii="Times New Roman" w:hAnsi="Times New Roman"/>
          <w:color w:val="auto"/>
          <w:sz w:val="24"/>
          <w:highlight w:val="none"/>
        </w:rPr>
      </w:pPr>
      <w:r>
        <w:rPr>
          <w:rFonts w:ascii="Times New Roman" w:hAnsi="Times New Roman"/>
          <w:color w:val="auto"/>
          <w:sz w:val="24"/>
          <w:highlight w:val="none"/>
        </w:rPr>
        <w:t>由污染途径及对应措施分析可知，项目对可能产生地下水、土壤影响的各项途径均进行有效预防，在确保各项防渗措施得以落实，并加强维护和厂区环境管理的前提下，可有效控制厂区内的废水污染物下渗现象，避免污染地下水，因此项目不会对区域地下水、土壤环境产生明显影响。</w:t>
      </w:r>
    </w:p>
    <w:p w14:paraId="20969A86">
      <w:pPr>
        <w:pStyle w:val="4"/>
        <w:numPr>
          <w:ilvl w:val="1"/>
          <w:numId w:val="6"/>
        </w:numPr>
        <w:tabs>
          <w:tab w:val="left" w:pos="426"/>
        </w:tabs>
        <w:spacing w:before="120" w:beforeLines="50" w:after="120" w:afterLines="50" w:line="360" w:lineRule="auto"/>
        <w:ind w:left="-105" w:right="-105"/>
        <w:rPr>
          <w:rFonts w:ascii="Times New Roman" w:eastAsia="宋体"/>
          <w:color w:val="auto"/>
          <w:sz w:val="28"/>
          <w:szCs w:val="28"/>
          <w:highlight w:val="none"/>
        </w:rPr>
      </w:pPr>
      <w:bookmarkStart w:id="491" w:name="_Toc29050"/>
      <w:r>
        <w:rPr>
          <w:rFonts w:ascii="Times New Roman" w:eastAsia="宋体"/>
          <w:color w:val="auto"/>
          <w:sz w:val="28"/>
          <w:szCs w:val="28"/>
          <w:highlight w:val="none"/>
        </w:rPr>
        <w:t>环境风险防范措施</w:t>
      </w:r>
      <w:bookmarkEnd w:id="485"/>
      <w:bookmarkEnd w:id="491"/>
    </w:p>
    <w:p w14:paraId="7657C5B3">
      <w:pPr>
        <w:pStyle w:val="5"/>
        <w:keepLines w:val="0"/>
        <w:numPr>
          <w:ilvl w:val="2"/>
          <w:numId w:val="6"/>
        </w:numPr>
        <w:tabs>
          <w:tab w:val="left" w:pos="141"/>
          <w:tab w:val="left" w:pos="567"/>
          <w:tab w:val="left" w:pos="709"/>
        </w:tabs>
        <w:spacing w:before="120" w:beforeLines="50" w:after="120" w:afterLines="50" w:line="360" w:lineRule="auto"/>
        <w:ind w:left="-105" w:right="-105"/>
        <w:rPr>
          <w:rFonts w:eastAsia="宋体"/>
          <w:color w:val="auto"/>
          <w:sz w:val="28"/>
          <w:szCs w:val="28"/>
          <w:highlight w:val="none"/>
        </w:rPr>
      </w:pPr>
      <w:r>
        <w:rPr>
          <w:rFonts w:eastAsia="宋体"/>
          <w:color w:val="auto"/>
          <w:sz w:val="28"/>
          <w:szCs w:val="28"/>
          <w:highlight w:val="none"/>
        </w:rPr>
        <w:t>环境风险管理目标</w:t>
      </w:r>
    </w:p>
    <w:p w14:paraId="61BA6435">
      <w:pPr>
        <w:spacing w:line="360" w:lineRule="auto"/>
        <w:ind w:left="-105" w:right="-105" w:firstLine="480" w:firstLineChars="200"/>
        <w:rPr>
          <w:rFonts w:ascii="Times New Roman" w:hAnsi="Times New Roman" w:cs="Times New Roman"/>
          <w:iCs/>
          <w:snapToGrid w:val="0"/>
          <w:color w:val="auto"/>
          <w:highlight w:val="none"/>
        </w:rPr>
      </w:pPr>
      <w:r>
        <w:rPr>
          <w:rFonts w:ascii="Times New Roman" w:hAnsi="Times New Roman" w:cs="Times New Roman"/>
          <w:iCs/>
          <w:snapToGrid w:val="0"/>
          <w:color w:val="auto"/>
          <w:highlight w:val="none"/>
        </w:rPr>
        <w:t>环境风险管理目标是采用最低合理可行原则管控环境风险。采取的环境风险防范措施应与社会经济技术发展水平相适应，运用科学的技术手段和管理方法，对环境风险进行有效的预防、监控、响应。</w:t>
      </w:r>
    </w:p>
    <w:p w14:paraId="7F6A3BD1">
      <w:pPr>
        <w:pStyle w:val="5"/>
        <w:keepLines w:val="0"/>
        <w:numPr>
          <w:ilvl w:val="2"/>
          <w:numId w:val="6"/>
        </w:numPr>
        <w:tabs>
          <w:tab w:val="left" w:pos="141"/>
          <w:tab w:val="left" w:pos="567"/>
          <w:tab w:val="left" w:pos="709"/>
        </w:tabs>
        <w:spacing w:before="120" w:beforeLines="50" w:after="120" w:afterLines="50" w:line="360" w:lineRule="auto"/>
        <w:ind w:left="-105" w:right="-105"/>
        <w:rPr>
          <w:rFonts w:eastAsia="宋体"/>
          <w:color w:val="auto"/>
          <w:sz w:val="28"/>
          <w:szCs w:val="28"/>
          <w:highlight w:val="none"/>
        </w:rPr>
      </w:pPr>
      <w:r>
        <w:rPr>
          <w:rFonts w:hint="eastAsia" w:eastAsia="宋体"/>
          <w:color w:val="auto"/>
          <w:sz w:val="28"/>
          <w:szCs w:val="28"/>
          <w:highlight w:val="none"/>
          <w:lang w:val="en-US" w:eastAsia="zh-CN"/>
        </w:rPr>
        <w:t>依托现有风险防范措施可行性</w:t>
      </w:r>
    </w:p>
    <w:p w14:paraId="174B7565">
      <w:pPr>
        <w:pStyle w:val="44"/>
        <w:spacing w:after="0" w:line="360" w:lineRule="auto"/>
        <w:ind w:left="0" w:leftChars="0" w:right="-105" w:firstLine="480"/>
        <w:rPr>
          <w:rFonts w:eastAsia="宋体"/>
          <w:color w:val="auto"/>
          <w:sz w:val="24"/>
          <w:highlight w:val="none"/>
        </w:rPr>
      </w:pPr>
      <w:r>
        <w:rPr>
          <w:rFonts w:hint="eastAsia" w:eastAsia="宋体"/>
          <w:color w:val="auto"/>
          <w:sz w:val="24"/>
          <w:highlight w:val="none"/>
        </w:rPr>
        <w:t>本次不新增风险防范措施，全部依托现有风险防范措施，主要分析依托现有风险防范措施的可行性。具体依托可行性分析如下：</w:t>
      </w:r>
    </w:p>
    <w:p w14:paraId="317C906E">
      <w:pPr>
        <w:pStyle w:val="44"/>
        <w:spacing w:after="0" w:line="360" w:lineRule="auto"/>
        <w:ind w:left="0" w:leftChars="0" w:right="-105" w:firstLine="480"/>
        <w:rPr>
          <w:rFonts w:eastAsia="宋体"/>
          <w:color w:val="auto"/>
          <w:sz w:val="24"/>
          <w:highlight w:val="none"/>
        </w:rPr>
      </w:pPr>
      <w:r>
        <w:rPr>
          <w:rFonts w:hint="eastAsia" w:eastAsia="宋体"/>
          <w:color w:val="auto"/>
          <w:sz w:val="24"/>
          <w:highlight w:val="none"/>
        </w:rPr>
        <w:t>①事故应急池依托现有可行性：根据前述事故应急池容积计算，扩建后全厂的事故应急池计算容积小于现有已建事故应急池容积，且现有事故应急池位置已采取防腐防渗处理，</w:t>
      </w:r>
      <w:r>
        <w:rPr>
          <w:rFonts w:hint="eastAsia" w:eastAsia="宋体"/>
          <w:color w:val="auto"/>
          <w:sz w:val="24"/>
          <w:highlight w:val="none"/>
          <w:lang w:val="en-US" w:eastAsia="zh-CN"/>
        </w:rPr>
        <w:t>并设置管道和临时泵连通各危险单元，</w:t>
      </w:r>
      <w:r>
        <w:rPr>
          <w:rFonts w:hint="eastAsia" w:eastAsia="宋体"/>
          <w:color w:val="auto"/>
          <w:sz w:val="24"/>
          <w:highlight w:val="none"/>
        </w:rPr>
        <w:t>事故状态下，事故废水能</w:t>
      </w:r>
      <w:r>
        <w:rPr>
          <w:rFonts w:hint="eastAsia" w:eastAsia="宋体"/>
          <w:color w:val="auto"/>
          <w:sz w:val="24"/>
          <w:highlight w:val="none"/>
          <w:lang w:val="en-US" w:eastAsia="zh-CN"/>
        </w:rPr>
        <w:t>通过管网</w:t>
      </w:r>
      <w:r>
        <w:rPr>
          <w:rFonts w:hint="eastAsia" w:eastAsia="宋体"/>
          <w:color w:val="auto"/>
          <w:sz w:val="24"/>
          <w:highlight w:val="none"/>
        </w:rPr>
        <w:t>进入事故应急池，能够满足全厂事故应急废水的储存需求，依托现有可行。</w:t>
      </w:r>
    </w:p>
    <w:p w14:paraId="0124F8F9">
      <w:pPr>
        <w:pStyle w:val="44"/>
        <w:spacing w:after="0" w:line="360" w:lineRule="auto"/>
        <w:ind w:left="0" w:leftChars="0" w:right="-105" w:firstLine="480"/>
        <w:rPr>
          <w:rFonts w:eastAsia="宋体"/>
          <w:color w:val="auto"/>
          <w:sz w:val="24"/>
          <w:highlight w:val="none"/>
        </w:rPr>
      </w:pPr>
      <w:r>
        <w:rPr>
          <w:rFonts w:hint="eastAsia" w:eastAsia="宋体"/>
          <w:color w:val="auto"/>
          <w:sz w:val="24"/>
          <w:highlight w:val="none"/>
        </w:rPr>
        <w:t>②危废库风险防范措施依托现有可行性：本次新增危险废物主要为废滤芯、</w:t>
      </w:r>
      <w:r>
        <w:rPr>
          <w:rFonts w:hint="eastAsia" w:eastAsia="宋体"/>
          <w:color w:val="auto"/>
          <w:sz w:val="24"/>
          <w:highlight w:val="none"/>
          <w:lang w:val="en-US" w:eastAsia="zh-CN"/>
        </w:rPr>
        <w:t>实验废液、</w:t>
      </w:r>
      <w:r>
        <w:rPr>
          <w:rFonts w:hint="eastAsia" w:eastAsia="宋体"/>
          <w:color w:val="auto"/>
          <w:sz w:val="24"/>
          <w:highlight w:val="none"/>
        </w:rPr>
        <w:t>废实验耗材、废包装桶</w:t>
      </w:r>
      <w:r>
        <w:rPr>
          <w:rFonts w:hint="eastAsia" w:eastAsia="宋体"/>
          <w:color w:val="auto"/>
          <w:sz w:val="24"/>
          <w:highlight w:val="none"/>
          <w:lang w:eastAsia="zh-CN"/>
        </w:rPr>
        <w:t>（</w:t>
      </w:r>
      <w:r>
        <w:rPr>
          <w:rFonts w:hint="eastAsia" w:eastAsia="宋体"/>
          <w:color w:val="auto"/>
          <w:sz w:val="24"/>
          <w:highlight w:val="none"/>
          <w:lang w:val="en-US" w:eastAsia="zh-CN"/>
        </w:rPr>
        <w:t>瓶</w:t>
      </w:r>
      <w:r>
        <w:rPr>
          <w:rFonts w:hint="eastAsia" w:eastAsia="宋体"/>
          <w:color w:val="auto"/>
          <w:sz w:val="24"/>
          <w:highlight w:val="none"/>
          <w:lang w:eastAsia="zh-CN"/>
        </w:rPr>
        <w:t>）</w:t>
      </w:r>
      <w:r>
        <w:rPr>
          <w:rFonts w:hint="eastAsia" w:eastAsia="宋体"/>
          <w:color w:val="auto"/>
          <w:sz w:val="24"/>
          <w:highlight w:val="none"/>
        </w:rPr>
        <w:t>、废包装袋、废活性炭</w:t>
      </w:r>
      <w:r>
        <w:rPr>
          <w:rFonts w:hint="eastAsia" w:eastAsia="宋体"/>
          <w:color w:val="auto"/>
          <w:sz w:val="24"/>
          <w:highlight w:val="none"/>
          <w:lang w:val="en-US" w:eastAsia="zh-CN"/>
        </w:rPr>
        <w:t>和实验室清洗废水</w:t>
      </w:r>
      <w:r>
        <w:rPr>
          <w:rFonts w:hint="eastAsia" w:eastAsia="宋体"/>
          <w:color w:val="auto"/>
          <w:sz w:val="24"/>
          <w:highlight w:val="none"/>
        </w:rPr>
        <w:t>，现有危废库内地面已采取防腐防渗处理，目前防渗系统完好</w:t>
      </w:r>
      <w:r>
        <w:rPr>
          <w:rFonts w:hint="eastAsia" w:eastAsia="宋体"/>
          <w:color w:val="auto"/>
          <w:sz w:val="24"/>
          <w:highlight w:val="none"/>
          <w:lang w:eastAsia="zh-CN"/>
        </w:rPr>
        <w:t>，</w:t>
      </w:r>
      <w:r>
        <w:rPr>
          <w:rFonts w:hint="eastAsia" w:eastAsia="宋体"/>
          <w:color w:val="auto"/>
          <w:sz w:val="24"/>
          <w:highlight w:val="none"/>
          <w:lang w:val="en-US" w:eastAsia="zh-CN"/>
        </w:rPr>
        <w:t>库内已设置防渗漏托盘、截流沟和收集池，可完全收集泄露物料</w:t>
      </w:r>
      <w:r>
        <w:rPr>
          <w:rFonts w:hint="eastAsia" w:eastAsia="宋体"/>
          <w:color w:val="auto"/>
          <w:sz w:val="24"/>
          <w:highlight w:val="none"/>
        </w:rPr>
        <w:t>；</w:t>
      </w:r>
      <w:r>
        <w:rPr>
          <w:rFonts w:hint="eastAsia" w:eastAsia="宋体"/>
          <w:color w:val="auto"/>
          <w:sz w:val="24"/>
          <w:highlight w:val="none"/>
          <w:lang w:val="en-US" w:eastAsia="zh-CN"/>
        </w:rPr>
        <w:t>实验室清洗废水</w:t>
      </w:r>
      <w:r>
        <w:rPr>
          <w:rFonts w:hint="eastAsia" w:eastAsia="宋体"/>
          <w:color w:val="auto"/>
          <w:sz w:val="24"/>
          <w:highlight w:val="none"/>
        </w:rPr>
        <w:t>进入废液储罐贮存，现有储罐区已设置围堰、管网连接至事故应急池，可满足全厂危废风险防范要求，依托现有可行。</w:t>
      </w:r>
    </w:p>
    <w:p w14:paraId="2EBCCC9E">
      <w:pPr>
        <w:tabs>
          <w:tab w:val="left" w:pos="0"/>
          <w:tab w:val="left" w:pos="1123"/>
        </w:tabs>
        <w:spacing w:line="360" w:lineRule="auto"/>
        <w:ind w:left="-105" w:right="-105"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③废气处理系统风险防范措施依托现有可行性：本次产生废气主要为非甲烷总烃，依托现有废气处理系统，即3级碱液喷淋塔+两级活性炭吸附装置，当发生事故排放时，立即关停生产线和废气处理装置，可满足事故状态废气处理要求。</w:t>
      </w:r>
    </w:p>
    <w:p w14:paraId="315ADE14">
      <w:pPr>
        <w:tabs>
          <w:tab w:val="left" w:pos="0"/>
          <w:tab w:val="left" w:pos="1123"/>
        </w:tabs>
        <w:spacing w:line="360" w:lineRule="auto"/>
        <w:ind w:left="-105" w:right="-105" w:firstLine="480" w:firstLineChars="200"/>
        <w:rPr>
          <w:rFonts w:ascii="Times New Roman" w:hAnsi="Times New Roman" w:cs="Times New Roman"/>
          <w:color w:val="auto"/>
          <w:highlight w:val="none"/>
        </w:rPr>
      </w:pPr>
      <w:r>
        <w:rPr>
          <w:rFonts w:hint="eastAsia" w:eastAsia="宋体"/>
          <w:color w:val="auto"/>
          <w:sz w:val="24"/>
          <w:highlight w:val="none"/>
          <w:lang w:val="en-US" w:eastAsia="zh-CN"/>
        </w:rPr>
        <w:t>④</w:t>
      </w:r>
      <w:r>
        <w:rPr>
          <w:rFonts w:hint="eastAsia" w:eastAsia="宋体"/>
          <w:color w:val="auto"/>
          <w:sz w:val="24"/>
          <w:highlight w:val="none"/>
          <w:lang w:eastAsia="zh-CN"/>
        </w:rPr>
        <w:t>危险品仓库、</w:t>
      </w:r>
      <w:r>
        <w:rPr>
          <w:rFonts w:hint="eastAsia" w:eastAsia="宋体"/>
          <w:color w:val="auto"/>
          <w:sz w:val="24"/>
          <w:highlight w:val="none"/>
          <w:lang w:val="en-US" w:eastAsia="zh-CN"/>
        </w:rPr>
        <w:t>成品库</w:t>
      </w:r>
      <w:r>
        <w:rPr>
          <w:rFonts w:hint="eastAsia" w:ascii="宋体" w:hAnsi="宋体" w:eastAsia="宋体" w:cs="宋体"/>
          <w:color w:val="auto"/>
          <w:sz w:val="24"/>
          <w:highlight w:val="none"/>
          <w:lang w:val="en-US" w:eastAsia="zh-CN"/>
        </w:rPr>
        <w:t>风险防范措施</w:t>
      </w:r>
      <w:r>
        <w:rPr>
          <w:rFonts w:hint="eastAsia" w:eastAsia="宋体"/>
          <w:color w:val="auto"/>
          <w:sz w:val="24"/>
          <w:highlight w:val="none"/>
        </w:rPr>
        <w:t>依托</w:t>
      </w:r>
      <w:r>
        <w:rPr>
          <w:rFonts w:hint="eastAsia" w:eastAsia="宋体"/>
          <w:color w:val="auto"/>
          <w:sz w:val="24"/>
          <w:highlight w:val="none"/>
          <w:lang w:val="en-US" w:eastAsia="zh-CN"/>
        </w:rPr>
        <w:t>现有</w:t>
      </w:r>
      <w:r>
        <w:rPr>
          <w:rFonts w:hint="eastAsia" w:eastAsia="宋体"/>
          <w:color w:val="auto"/>
          <w:sz w:val="24"/>
          <w:highlight w:val="none"/>
        </w:rPr>
        <w:t>可行：本次新增原料在</w:t>
      </w:r>
      <w:r>
        <w:rPr>
          <w:rFonts w:hint="eastAsia" w:eastAsia="宋体"/>
          <w:color w:val="auto"/>
          <w:sz w:val="24"/>
          <w:highlight w:val="none"/>
          <w:lang w:eastAsia="zh-CN"/>
        </w:rPr>
        <w:t>危险品仓库</w:t>
      </w:r>
      <w:r>
        <w:rPr>
          <w:rFonts w:hint="eastAsia" w:eastAsia="宋体"/>
          <w:color w:val="auto"/>
          <w:sz w:val="24"/>
          <w:highlight w:val="none"/>
        </w:rPr>
        <w:t>内，</w:t>
      </w:r>
      <w:r>
        <w:rPr>
          <w:rFonts w:hint="eastAsia" w:eastAsia="宋体"/>
          <w:color w:val="auto"/>
          <w:sz w:val="24"/>
          <w:highlight w:val="none"/>
          <w:lang w:val="en-US" w:eastAsia="zh-CN"/>
        </w:rPr>
        <w:t>现有危险品库内设置了防泄漏托盘、截流沟和收集池，</w:t>
      </w:r>
      <w:r>
        <w:rPr>
          <w:rFonts w:hint="eastAsia" w:eastAsia="宋体"/>
          <w:color w:val="auto"/>
          <w:sz w:val="24"/>
          <w:highlight w:val="none"/>
        </w:rPr>
        <w:t>且已采取防腐防渗措施，可满足风险事故状态下事故收容要求，依托现有可行。</w:t>
      </w:r>
    </w:p>
    <w:p w14:paraId="4529AF0D">
      <w:pPr>
        <w:tabs>
          <w:tab w:val="left" w:pos="0"/>
          <w:tab w:val="left" w:pos="1123"/>
        </w:tabs>
        <w:spacing w:line="360" w:lineRule="auto"/>
        <w:ind w:left="-105" w:right="-105" w:firstLine="480" w:firstLineChars="200"/>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⑤依托机构设置：项目建成后，依托公司现有安全环保组织机构，配备若干名工作人员，负责公司的日常安全和环保管理，对公司安全、环保设施、应急措施进行管理，负责组织应急预案编制、演练等工作。技改项目完成后，依托厂区现有机构设置可行。</w:t>
      </w:r>
    </w:p>
    <w:p w14:paraId="1C8CBF1F">
      <w:pPr>
        <w:tabs>
          <w:tab w:val="left" w:pos="0"/>
          <w:tab w:val="left" w:pos="1123"/>
        </w:tabs>
        <w:spacing w:line="360" w:lineRule="auto"/>
        <w:ind w:left="-105" w:right="-105" w:firstLine="480" w:firstLineChars="200"/>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综上，依托现有风险防范措施可行。</w:t>
      </w:r>
    </w:p>
    <w:p w14:paraId="50B46A4F">
      <w:pPr>
        <w:pStyle w:val="5"/>
        <w:keepLines w:val="0"/>
        <w:numPr>
          <w:ilvl w:val="2"/>
          <w:numId w:val="6"/>
        </w:numPr>
        <w:tabs>
          <w:tab w:val="left" w:pos="141"/>
          <w:tab w:val="left" w:pos="567"/>
          <w:tab w:val="left" w:pos="709"/>
        </w:tabs>
        <w:spacing w:before="120" w:beforeLines="50" w:after="120" w:afterLines="50" w:line="360" w:lineRule="auto"/>
        <w:ind w:left="-105" w:right="-105"/>
        <w:rPr>
          <w:rFonts w:eastAsia="宋体"/>
          <w:color w:val="auto"/>
          <w:sz w:val="28"/>
          <w:szCs w:val="28"/>
          <w:highlight w:val="none"/>
        </w:rPr>
      </w:pPr>
      <w:r>
        <w:rPr>
          <w:rFonts w:eastAsia="宋体"/>
          <w:color w:val="auto"/>
          <w:sz w:val="28"/>
          <w:szCs w:val="28"/>
          <w:highlight w:val="none"/>
        </w:rPr>
        <w:t>选址、总图布置和建筑设计环境风险防范措施</w:t>
      </w:r>
    </w:p>
    <w:p w14:paraId="7ABBF52D">
      <w:pPr>
        <w:tabs>
          <w:tab w:val="left" w:pos="0"/>
          <w:tab w:val="left" w:pos="1123"/>
        </w:tabs>
        <w:spacing w:line="360" w:lineRule="auto"/>
        <w:ind w:left="-105" w:right="-105" w:firstLine="480" w:firstLineChars="200"/>
        <w:rPr>
          <w:rFonts w:ascii="Times New Roman" w:hAnsi="Times New Roman" w:cs="Times New Roman"/>
          <w:color w:val="auto"/>
          <w:highlight w:val="none"/>
        </w:rPr>
      </w:pPr>
      <w:r>
        <w:rPr>
          <w:rFonts w:ascii="Times New Roman" w:hAnsi="Times New Roman" w:cs="Times New Roman"/>
          <w:color w:val="auto"/>
          <w:szCs w:val="21"/>
          <w:highlight w:val="none"/>
        </w:rPr>
        <w:t>本项目</w:t>
      </w:r>
      <w:r>
        <w:rPr>
          <w:rFonts w:ascii="Times New Roman" w:hAnsi="Times New Roman" w:cs="Times New Roman"/>
          <w:color w:val="auto"/>
          <w:szCs w:val="18"/>
          <w:highlight w:val="none"/>
        </w:rPr>
        <w:t>位于</w:t>
      </w:r>
      <w:r>
        <w:rPr>
          <w:rFonts w:hint="eastAsia" w:ascii="Times New Roman" w:hAnsi="Times New Roman"/>
          <w:color w:val="auto"/>
          <w:szCs w:val="18"/>
          <w:highlight w:val="none"/>
        </w:rPr>
        <w:t>江苏省</w:t>
      </w:r>
      <w:r>
        <w:rPr>
          <w:rFonts w:ascii="Times New Roman" w:hAnsi="Times New Roman"/>
          <w:color w:val="auto"/>
          <w:szCs w:val="18"/>
          <w:highlight w:val="none"/>
        </w:rPr>
        <w:t>无锡市锡山区</w:t>
      </w:r>
      <w:r>
        <w:rPr>
          <w:rFonts w:hint="eastAsia" w:ascii="Times New Roman" w:hAnsi="Times New Roman"/>
          <w:color w:val="auto"/>
          <w:szCs w:val="18"/>
          <w:highlight w:val="none"/>
        </w:rPr>
        <w:t>锡北</w:t>
      </w:r>
      <w:r>
        <w:rPr>
          <w:rFonts w:ascii="Times New Roman" w:hAnsi="Times New Roman"/>
          <w:color w:val="auto"/>
          <w:szCs w:val="18"/>
          <w:highlight w:val="none"/>
        </w:rPr>
        <w:t>镇</w:t>
      </w:r>
      <w:r>
        <w:rPr>
          <w:rFonts w:hint="eastAsia" w:ascii="Times New Roman" w:hAnsi="Times New Roman"/>
          <w:color w:val="auto"/>
          <w:szCs w:val="18"/>
          <w:highlight w:val="none"/>
        </w:rPr>
        <w:t>新坝村新达路6号</w:t>
      </w:r>
      <w:r>
        <w:rPr>
          <w:rFonts w:ascii="Times New Roman" w:hAnsi="Times New Roman" w:cs="Times New Roman"/>
          <w:color w:val="auto"/>
          <w:szCs w:val="18"/>
          <w:highlight w:val="none"/>
        </w:rPr>
        <w:t>，</w:t>
      </w:r>
      <w:r>
        <w:rPr>
          <w:rFonts w:ascii="Times New Roman" w:hAnsi="Times New Roman"/>
          <w:color w:val="auto"/>
          <w:szCs w:val="18"/>
          <w:highlight w:val="none"/>
        </w:rPr>
        <w:t>本项目东侧隔</w:t>
      </w:r>
      <w:r>
        <w:rPr>
          <w:rFonts w:hint="eastAsia" w:ascii="Times New Roman" w:hAnsi="Times New Roman"/>
          <w:color w:val="auto"/>
          <w:szCs w:val="18"/>
          <w:highlight w:val="none"/>
        </w:rPr>
        <w:t>八达大道</w:t>
      </w:r>
      <w:r>
        <w:rPr>
          <w:rFonts w:ascii="Times New Roman" w:hAnsi="Times New Roman"/>
          <w:color w:val="auto"/>
          <w:szCs w:val="18"/>
          <w:highlight w:val="none"/>
        </w:rPr>
        <w:t>为无锡</w:t>
      </w:r>
      <w:r>
        <w:rPr>
          <w:rFonts w:hint="eastAsia" w:ascii="Times New Roman" w:hAnsi="Times New Roman"/>
          <w:color w:val="auto"/>
          <w:szCs w:val="18"/>
          <w:highlight w:val="none"/>
        </w:rPr>
        <w:t>佳腾磁性粉</w:t>
      </w:r>
      <w:r>
        <w:rPr>
          <w:rFonts w:ascii="Times New Roman" w:hAnsi="Times New Roman"/>
          <w:color w:val="auto"/>
          <w:szCs w:val="18"/>
          <w:highlight w:val="none"/>
        </w:rPr>
        <w:t>有限公司，南侧隔</w:t>
      </w:r>
      <w:r>
        <w:rPr>
          <w:rFonts w:hint="eastAsia" w:ascii="Times New Roman" w:hAnsi="Times New Roman"/>
          <w:color w:val="auto"/>
          <w:szCs w:val="18"/>
          <w:highlight w:val="none"/>
        </w:rPr>
        <w:t>新达</w:t>
      </w:r>
      <w:r>
        <w:rPr>
          <w:rFonts w:ascii="Times New Roman" w:hAnsi="Times New Roman"/>
          <w:color w:val="auto"/>
          <w:szCs w:val="18"/>
          <w:highlight w:val="none"/>
        </w:rPr>
        <w:t>路为</w:t>
      </w:r>
      <w:r>
        <w:rPr>
          <w:rFonts w:hint="eastAsia" w:ascii="Times New Roman" w:hAnsi="Times New Roman"/>
          <w:color w:val="auto"/>
          <w:szCs w:val="18"/>
          <w:highlight w:val="none"/>
        </w:rPr>
        <w:t>无锡先进化药化工有限公司</w:t>
      </w:r>
      <w:r>
        <w:rPr>
          <w:rFonts w:ascii="Times New Roman" w:hAnsi="Times New Roman"/>
          <w:color w:val="auto"/>
          <w:szCs w:val="18"/>
          <w:highlight w:val="none"/>
        </w:rPr>
        <w:t>，西侧</w:t>
      </w:r>
      <w:r>
        <w:rPr>
          <w:rFonts w:hint="eastAsia" w:ascii="Times New Roman" w:hAnsi="Times New Roman"/>
          <w:color w:val="auto"/>
          <w:szCs w:val="18"/>
          <w:highlight w:val="none"/>
        </w:rPr>
        <w:t>为无锡市中汇线缆有限公司，</w:t>
      </w:r>
      <w:r>
        <w:rPr>
          <w:rFonts w:ascii="Times New Roman" w:hAnsi="Times New Roman"/>
          <w:color w:val="auto"/>
          <w:szCs w:val="18"/>
          <w:highlight w:val="none"/>
        </w:rPr>
        <w:t>北侧为</w:t>
      </w:r>
      <w:r>
        <w:rPr>
          <w:rFonts w:hint="eastAsia" w:ascii="Times New Roman" w:hAnsi="Times New Roman"/>
          <w:color w:val="auto"/>
          <w:szCs w:val="18"/>
          <w:highlight w:val="none"/>
        </w:rPr>
        <w:t>无锡宝来光学科技有限公司</w:t>
      </w:r>
      <w:r>
        <w:rPr>
          <w:rFonts w:ascii="Times New Roman" w:hAnsi="Times New Roman" w:cs="Times New Roman"/>
          <w:color w:val="auto"/>
          <w:szCs w:val="18"/>
          <w:highlight w:val="none"/>
        </w:rPr>
        <w:t>，</w:t>
      </w:r>
      <w:r>
        <w:rPr>
          <w:rFonts w:ascii="Times New Roman" w:hAnsi="Times New Roman" w:cs="Times New Roman"/>
          <w:color w:val="auto"/>
          <w:highlight w:val="none"/>
        </w:rPr>
        <w:t>本项目厂区总平面布置严格执行《工业企业总平面设计规范》等国家有关法规及技术标准要求进行，所有建、构筑物之间或与其它场所之间留有足够的防火间距，防止在火灾时相互影响。</w:t>
      </w:r>
    </w:p>
    <w:p w14:paraId="1EFDEC3F">
      <w:pPr>
        <w:tabs>
          <w:tab w:val="left" w:pos="0"/>
          <w:tab w:val="left" w:pos="1123"/>
        </w:tabs>
        <w:spacing w:line="360" w:lineRule="auto"/>
        <w:ind w:left="-105" w:right="-105" w:firstLine="480" w:firstLineChars="200"/>
        <w:rPr>
          <w:rFonts w:ascii="Times New Roman" w:hAnsi="Times New Roman" w:cs="Times New Roman"/>
          <w:color w:val="auto"/>
          <w:highlight w:val="none"/>
        </w:rPr>
      </w:pPr>
      <w:r>
        <w:rPr>
          <w:rFonts w:ascii="Times New Roman" w:hAnsi="Times New Roman" w:cs="Times New Roman"/>
          <w:color w:val="auto"/>
          <w:highlight w:val="none"/>
        </w:rPr>
        <w:t>（1）本项目储存区为泄漏、火灾危险区，各专业设计除满足库区储运作业功能外，设计中严格按照有关标准规范的要求，充分注意到防火、防爆、防污的要求，设置完善的消防系统、检测系统及报警系统。</w:t>
      </w:r>
    </w:p>
    <w:p w14:paraId="4A9E92E6">
      <w:pPr>
        <w:tabs>
          <w:tab w:val="left" w:pos="0"/>
          <w:tab w:val="left" w:pos="1123"/>
        </w:tabs>
        <w:spacing w:line="360" w:lineRule="auto"/>
        <w:ind w:left="-105" w:right="-105" w:firstLine="480" w:firstLineChars="200"/>
        <w:rPr>
          <w:rFonts w:ascii="Times New Roman" w:hAnsi="Times New Roman" w:cs="Times New Roman"/>
          <w:color w:val="auto"/>
          <w:highlight w:val="none"/>
        </w:rPr>
      </w:pPr>
      <w:r>
        <w:rPr>
          <w:rFonts w:ascii="Times New Roman" w:hAnsi="Times New Roman" w:cs="Times New Roman"/>
          <w:color w:val="auto"/>
          <w:highlight w:val="none"/>
        </w:rPr>
        <w:t>（2）采用先进成熟可靠的生产、储运工艺流程，力求达到当今国内比较先进的生产、储运模式。</w:t>
      </w:r>
    </w:p>
    <w:p w14:paraId="35D91007">
      <w:pPr>
        <w:tabs>
          <w:tab w:val="left" w:pos="0"/>
          <w:tab w:val="left" w:pos="1123"/>
        </w:tabs>
        <w:spacing w:line="360" w:lineRule="auto"/>
        <w:ind w:left="-105" w:right="-105" w:firstLine="480" w:firstLineChars="200"/>
        <w:rPr>
          <w:rFonts w:ascii="Times New Roman" w:hAnsi="Times New Roman" w:cs="Times New Roman"/>
          <w:color w:val="auto"/>
          <w:highlight w:val="none"/>
        </w:rPr>
      </w:pPr>
      <w:r>
        <w:rPr>
          <w:rFonts w:ascii="Times New Roman" w:hAnsi="Times New Roman" w:cs="Times New Roman"/>
          <w:color w:val="auto"/>
          <w:highlight w:val="none"/>
        </w:rPr>
        <w:t>（3）严格遵循防火、防爆、安全、卫生等现行规范标准，结合各设备的操作特点，按功能分区，紧凑布置，节省占地和工程投资。</w:t>
      </w:r>
    </w:p>
    <w:p w14:paraId="09883718">
      <w:pPr>
        <w:tabs>
          <w:tab w:val="left" w:pos="0"/>
          <w:tab w:val="left" w:pos="1123"/>
        </w:tabs>
        <w:spacing w:line="360" w:lineRule="auto"/>
        <w:ind w:left="-105" w:right="-105" w:firstLine="480" w:firstLineChars="200"/>
        <w:rPr>
          <w:rFonts w:ascii="Times New Roman" w:hAnsi="Times New Roman" w:cs="Times New Roman"/>
          <w:color w:val="auto"/>
          <w:highlight w:val="none"/>
        </w:rPr>
      </w:pPr>
      <w:r>
        <w:rPr>
          <w:rFonts w:ascii="Times New Roman" w:hAnsi="Times New Roman" w:cs="Times New Roman"/>
          <w:color w:val="auto"/>
          <w:highlight w:val="none"/>
        </w:rPr>
        <w:t>（4）提高自动化操作水平、减轻工人的劳动强度，将跑、冒、滴、漏、进错罐、发错料的事故发生的可能性降低到最小。</w:t>
      </w:r>
    </w:p>
    <w:p w14:paraId="28A5F732">
      <w:pPr>
        <w:tabs>
          <w:tab w:val="left" w:pos="0"/>
          <w:tab w:val="left" w:pos="1123"/>
        </w:tabs>
        <w:spacing w:line="360" w:lineRule="auto"/>
        <w:ind w:left="-105" w:right="-105" w:firstLine="480" w:firstLineChars="200"/>
        <w:rPr>
          <w:rFonts w:ascii="Times New Roman" w:hAnsi="Times New Roman" w:cs="Times New Roman"/>
          <w:color w:val="auto"/>
          <w:highlight w:val="none"/>
        </w:rPr>
      </w:pPr>
      <w:r>
        <w:rPr>
          <w:rFonts w:ascii="Times New Roman" w:hAnsi="Times New Roman" w:cs="Times New Roman"/>
          <w:color w:val="auto"/>
          <w:highlight w:val="none"/>
        </w:rPr>
        <w:t>（5）选择优质多功能节能设备，优化流程，减少设备台数，减少管道、阀门及管件的投资，少花钱、多办事、办好事，尽可能地降低运行成本。</w:t>
      </w:r>
    </w:p>
    <w:p w14:paraId="2CC05CEC">
      <w:pPr>
        <w:spacing w:line="360" w:lineRule="auto"/>
        <w:ind w:left="-105" w:right="-105" w:firstLine="480" w:firstLineChars="200"/>
        <w:jc w:val="both"/>
        <w:rPr>
          <w:rFonts w:ascii="Times New Roman" w:hAnsi="Times New Roman"/>
          <w:color w:val="auto"/>
          <w:szCs w:val="21"/>
          <w:highlight w:val="none"/>
        </w:rPr>
      </w:pPr>
      <w:r>
        <w:rPr>
          <w:rFonts w:ascii="Times New Roman" w:hAnsi="Times New Roman" w:cs="Times New Roman"/>
          <w:color w:val="auto"/>
          <w:highlight w:val="none"/>
        </w:rPr>
        <w:t>（6）厂区平面布置设计力求布局合理，功能齐全。</w:t>
      </w:r>
    </w:p>
    <w:p w14:paraId="29895AA7">
      <w:pPr>
        <w:pStyle w:val="5"/>
        <w:keepLines w:val="0"/>
        <w:numPr>
          <w:ilvl w:val="2"/>
          <w:numId w:val="0"/>
        </w:numPr>
        <w:tabs>
          <w:tab w:val="left" w:pos="567"/>
          <w:tab w:val="left" w:pos="709"/>
        </w:tabs>
        <w:spacing w:before="120" w:beforeLines="50" w:after="120" w:afterLines="50" w:line="360" w:lineRule="auto"/>
        <w:ind w:right="-105"/>
        <w:rPr>
          <w:rFonts w:eastAsia="宋体"/>
          <w:color w:val="auto"/>
          <w:sz w:val="28"/>
          <w:szCs w:val="28"/>
          <w:highlight w:val="none"/>
        </w:rPr>
      </w:pPr>
      <w:bookmarkStart w:id="492" w:name="_Toc60653599"/>
      <w:r>
        <w:rPr>
          <w:rFonts w:hint="eastAsia" w:eastAsia="宋体"/>
          <w:color w:val="auto"/>
          <w:sz w:val="28"/>
          <w:szCs w:val="28"/>
          <w:highlight w:val="none"/>
        </w:rPr>
        <w:t>7.6.3</w:t>
      </w:r>
      <w:r>
        <w:rPr>
          <w:rFonts w:eastAsia="宋体"/>
          <w:color w:val="auto"/>
          <w:sz w:val="28"/>
          <w:szCs w:val="28"/>
          <w:highlight w:val="none"/>
        </w:rPr>
        <w:t>储运设施风险防范措施</w:t>
      </w:r>
      <w:bookmarkEnd w:id="492"/>
    </w:p>
    <w:p w14:paraId="6AD1C3E6">
      <w:pPr>
        <w:spacing w:line="360" w:lineRule="auto"/>
        <w:ind w:left="-105" w:right="-105" w:firstLine="480" w:firstLineChars="200"/>
        <w:rPr>
          <w:rFonts w:ascii="Times New Roman" w:hAnsi="Times New Roman"/>
          <w:color w:val="auto"/>
          <w:szCs w:val="21"/>
          <w:highlight w:val="none"/>
        </w:rPr>
      </w:pPr>
      <w:r>
        <w:rPr>
          <w:rFonts w:hint="eastAsia" w:ascii="Times New Roman" w:hAnsi="Times New Roman"/>
          <w:color w:val="auto"/>
          <w:szCs w:val="21"/>
          <w:highlight w:val="none"/>
        </w:rPr>
        <w:t>本项目使用二甲基亚砜、N-甲基吡咯烷酮、四甲基氢氧化铵、2-甲氨基乙醇、邻苯二酚、乙醇胺、甲醇、硝酸（55%）、卡尔费休试剂、异丙醇等化学物质。对于项目使用的危险化学品，按照《危险化学品安全管理条例》及相关部门要求，设立专门的储存区，须符合储存危险化学品的相关条件（如防晒、防潮、通风、防雷、防静电等），实施危险化学品的储存和使用；建立健全安全规程及值勤制度，设置通讯、报警装置，确保其处于完好状态；对储存危险化学品的容器，应经有关检验部门定期检验合格后，才能使用，并设置明显的标识及警示牌；对使用危险化学品的名称、数量进行严格登记；凡储存、使用危险化学品的岗位，都应配置合格的防毒器材、消防器材，并确保其处于完好状态；所有进入储存、使用危险化学品的人员，都必须严格遵守《危险化学品管理制度》。</w:t>
      </w:r>
    </w:p>
    <w:p w14:paraId="24739077">
      <w:pPr>
        <w:spacing w:line="360" w:lineRule="auto"/>
        <w:ind w:left="-105" w:right="-105" w:firstLine="480" w:firstLineChars="200"/>
        <w:rPr>
          <w:rFonts w:ascii="Times New Roman" w:hAnsi="Times New Roman"/>
          <w:color w:val="auto"/>
          <w:szCs w:val="21"/>
          <w:highlight w:val="none"/>
        </w:rPr>
      </w:pPr>
      <w:r>
        <w:rPr>
          <w:rFonts w:hint="eastAsia" w:ascii="Times New Roman" w:hAnsi="Times New Roman"/>
          <w:color w:val="auto"/>
          <w:szCs w:val="21"/>
          <w:highlight w:val="none"/>
        </w:rPr>
        <w:t>危险化学品的运输应委托具备危险化学品运输资质的单位负责承运，驾驶员、押运员等从业人员应进行危险化学品执业资格培训，并经考核合格后取得上岗资格。运输车辆严禁烟火，配备干粉灭火器。装运危险货物应采取相应的防晒遮阳、控温、防爆、防火、防水、防冻、防粉尘飞扬、防撒漏等措施。</w:t>
      </w:r>
    </w:p>
    <w:p w14:paraId="18630060">
      <w:pPr>
        <w:pStyle w:val="5"/>
        <w:keepLines w:val="0"/>
        <w:numPr>
          <w:ilvl w:val="0"/>
          <w:numId w:val="0"/>
        </w:numPr>
        <w:tabs>
          <w:tab w:val="left" w:pos="141"/>
          <w:tab w:val="left" w:pos="567"/>
          <w:tab w:val="left" w:pos="709"/>
        </w:tabs>
        <w:spacing w:before="120" w:beforeLines="50" w:after="120" w:afterLines="50" w:line="360" w:lineRule="auto"/>
        <w:ind w:right="-105"/>
        <w:rPr>
          <w:rFonts w:eastAsia="宋体"/>
          <w:color w:val="auto"/>
          <w:sz w:val="28"/>
          <w:szCs w:val="28"/>
          <w:highlight w:val="none"/>
        </w:rPr>
      </w:pPr>
      <w:bookmarkStart w:id="493" w:name="_Toc325032417"/>
      <w:bookmarkStart w:id="494" w:name="_Toc60653605"/>
      <w:bookmarkStart w:id="495" w:name="_Toc459041322"/>
      <w:bookmarkStart w:id="496" w:name="_Toc215303529"/>
      <w:bookmarkStart w:id="497" w:name="_Toc215302619"/>
      <w:bookmarkStart w:id="498" w:name="_Toc216059578"/>
      <w:r>
        <w:rPr>
          <w:rFonts w:hint="eastAsia" w:eastAsia="宋体"/>
          <w:color w:val="auto"/>
          <w:sz w:val="28"/>
          <w:szCs w:val="28"/>
          <w:highlight w:val="none"/>
        </w:rPr>
        <w:t>7.6.4</w:t>
      </w:r>
      <w:r>
        <w:rPr>
          <w:rFonts w:eastAsia="宋体"/>
          <w:color w:val="auto"/>
          <w:sz w:val="28"/>
          <w:szCs w:val="28"/>
          <w:highlight w:val="none"/>
        </w:rPr>
        <w:t>大气环境风险防范措施</w:t>
      </w:r>
    </w:p>
    <w:p w14:paraId="77A9CD81">
      <w:pPr>
        <w:tabs>
          <w:tab w:val="left" w:pos="0"/>
          <w:tab w:val="left" w:pos="1123"/>
        </w:tabs>
        <w:spacing w:line="360" w:lineRule="auto"/>
        <w:ind w:left="-105" w:right="-105" w:firstLine="480" w:firstLineChars="200"/>
        <w:rPr>
          <w:rFonts w:ascii="Times New Roman" w:hAnsi="Times New Roman" w:cs="Times New Roman"/>
          <w:color w:val="auto"/>
          <w:highlight w:val="none"/>
        </w:rPr>
      </w:pPr>
      <w:r>
        <w:rPr>
          <w:rFonts w:ascii="Times New Roman" w:hAnsi="Times New Roman" w:cs="Times New Roman"/>
          <w:color w:val="auto"/>
          <w:highlight w:val="none"/>
        </w:rPr>
        <w:t>根据</w:t>
      </w:r>
      <w:r>
        <w:rPr>
          <w:rFonts w:ascii="Times New Roman" w:hAnsi="Times New Roman" w:cs="Times New Roman"/>
          <w:color w:val="auto"/>
          <w:highlight w:val="none"/>
        </w:rPr>
        <w:fldChar w:fldCharType="begin"/>
      </w:r>
      <w:r>
        <w:rPr>
          <w:rFonts w:ascii="Times New Roman" w:hAnsi="Times New Roman" w:cs="Times New Roman"/>
          <w:color w:val="auto"/>
          <w:highlight w:val="none"/>
        </w:rPr>
        <w:instrText xml:space="preserve"> REF _Ref1601 \h  \* MERGEFORMAT </w:instrText>
      </w:r>
      <w:r>
        <w:rPr>
          <w:rFonts w:ascii="Times New Roman" w:hAnsi="Times New Roman" w:cs="Times New Roman"/>
          <w:color w:val="auto"/>
          <w:highlight w:val="none"/>
        </w:rPr>
        <w:fldChar w:fldCharType="separate"/>
      </w:r>
      <w:r>
        <w:rPr>
          <w:rFonts w:ascii="Times New Roman" w:hAnsi="Times New Roman" w:cs="Times New Roman"/>
          <w:color w:val="auto"/>
          <w:szCs w:val="18"/>
          <w:highlight w:val="none"/>
        </w:rPr>
        <w:t>表</w:t>
      </w:r>
      <w:r>
        <w:rPr>
          <w:rFonts w:ascii="Times New Roman" w:hAnsi="Times New Roman" w:cs="Times New Roman"/>
          <w:color w:val="auto"/>
          <w:szCs w:val="18"/>
          <w:highlight w:val="none"/>
        </w:rPr>
        <w:fldChar w:fldCharType="begin"/>
      </w:r>
      <w:r>
        <w:rPr>
          <w:rFonts w:ascii="Times New Roman" w:hAnsi="Times New Roman" w:cs="Times New Roman"/>
          <w:color w:val="auto"/>
          <w:szCs w:val="18"/>
          <w:highlight w:val="none"/>
        </w:rPr>
        <w:instrText xml:space="preserve"> STYLEREF 2 \s </w:instrText>
      </w:r>
      <w:r>
        <w:rPr>
          <w:rFonts w:ascii="Times New Roman" w:hAnsi="Times New Roman" w:cs="Times New Roman"/>
          <w:color w:val="auto"/>
          <w:szCs w:val="18"/>
          <w:highlight w:val="none"/>
        </w:rPr>
        <w:fldChar w:fldCharType="separate"/>
      </w:r>
      <w:r>
        <w:rPr>
          <w:rFonts w:ascii="Times New Roman" w:hAnsi="Times New Roman" w:cs="Times New Roman"/>
          <w:color w:val="auto"/>
          <w:szCs w:val="18"/>
          <w:highlight w:val="none"/>
        </w:rPr>
        <w:t>4.8</w:t>
      </w:r>
      <w:r>
        <w:rPr>
          <w:rFonts w:ascii="Times New Roman" w:hAnsi="Times New Roman" w:cs="Times New Roman"/>
          <w:color w:val="auto"/>
          <w:szCs w:val="18"/>
          <w:highlight w:val="none"/>
        </w:rPr>
        <w:fldChar w:fldCharType="end"/>
      </w:r>
      <w:r>
        <w:rPr>
          <w:rFonts w:ascii="Times New Roman" w:hAnsi="Times New Roman" w:cs="Times New Roman"/>
          <w:color w:val="auto"/>
          <w:szCs w:val="18"/>
          <w:highlight w:val="none"/>
        </w:rPr>
        <w:noBreakHyphen/>
      </w:r>
      <w:r>
        <w:rPr>
          <w:rFonts w:ascii="Times New Roman" w:hAnsi="Times New Roman" w:cs="Times New Roman"/>
          <w:color w:val="auto"/>
          <w:szCs w:val="18"/>
          <w:highlight w:val="none"/>
        </w:rPr>
        <w:t>5</w:t>
      </w:r>
      <w:r>
        <w:rPr>
          <w:rFonts w:ascii="Times New Roman" w:hAnsi="Times New Roman" w:cs="Times New Roman"/>
          <w:color w:val="auto"/>
          <w:highlight w:val="none"/>
        </w:rPr>
        <w:fldChar w:fldCharType="end"/>
      </w:r>
      <w:r>
        <w:rPr>
          <w:rFonts w:ascii="Times New Roman" w:hAnsi="Times New Roman" w:cs="Times New Roman"/>
          <w:color w:val="auto"/>
          <w:highlight w:val="none"/>
        </w:rPr>
        <w:t>，本项目涉及大气环境风险的风险源和风险单元主要为</w:t>
      </w:r>
      <w:r>
        <w:rPr>
          <w:rFonts w:hint="eastAsia" w:ascii="Times New Roman" w:hAnsi="Times New Roman" w:cs="Times New Roman"/>
          <w:color w:val="auto"/>
          <w:highlight w:val="none"/>
          <w:lang w:eastAsia="zh-CN"/>
        </w:rPr>
        <w:t>危险品仓库</w:t>
      </w:r>
      <w:r>
        <w:rPr>
          <w:rFonts w:ascii="Times New Roman" w:hAnsi="Times New Roman" w:cs="Times New Roman"/>
          <w:color w:val="auto"/>
          <w:highlight w:val="none"/>
        </w:rPr>
        <w:t>、</w:t>
      </w:r>
      <w:r>
        <w:rPr>
          <w:rFonts w:hint="eastAsia" w:ascii="Times New Roman" w:hAnsi="Times New Roman" w:cs="Times New Roman"/>
          <w:color w:val="auto"/>
          <w:highlight w:val="none"/>
          <w:lang w:eastAsia="zh-CN"/>
        </w:rPr>
        <w:t>防爆间</w:t>
      </w:r>
      <w:r>
        <w:rPr>
          <w:rFonts w:hint="eastAsia" w:ascii="Times New Roman" w:hAnsi="Times New Roman" w:cs="Times New Roman"/>
          <w:color w:val="auto"/>
          <w:highlight w:val="none"/>
        </w:rPr>
        <w:t>、化学试剂柜、成品</w:t>
      </w:r>
      <w:r>
        <w:rPr>
          <w:rFonts w:ascii="Times New Roman" w:hAnsi="Times New Roman" w:cs="Times New Roman"/>
          <w:color w:val="auto"/>
          <w:highlight w:val="none"/>
        </w:rPr>
        <w:t>仓库贮存的危险物质原料、</w:t>
      </w:r>
      <w:r>
        <w:rPr>
          <w:rFonts w:hint="eastAsia" w:ascii="Times New Roman" w:hAnsi="Times New Roman" w:cs="Times New Roman"/>
          <w:color w:val="auto"/>
          <w:highlight w:val="none"/>
        </w:rPr>
        <w:t>废液储罐</w:t>
      </w:r>
      <w:r>
        <w:rPr>
          <w:rFonts w:ascii="Times New Roman" w:hAnsi="Times New Roman" w:cs="Times New Roman"/>
          <w:color w:val="auto"/>
          <w:highlight w:val="none"/>
        </w:rPr>
        <w:t>贮存的危废、生产车间各生产设备内的危险物质物料、废气收集处理系统内的废气等。主要影响途径为泄漏物料、危废挥发产生废气进入大气环境，泄漏的可燃易燃物料遇明火引发火灾爆炸，产生有毒有害气体进入大气环境，有毒有害废气的事故排放等。</w:t>
      </w:r>
    </w:p>
    <w:p w14:paraId="5A36DA60">
      <w:pPr>
        <w:tabs>
          <w:tab w:val="left" w:pos="0"/>
          <w:tab w:val="left" w:pos="1123"/>
        </w:tabs>
        <w:spacing w:line="360" w:lineRule="auto"/>
        <w:ind w:left="-105" w:right="-105" w:firstLine="480" w:firstLineChars="200"/>
        <w:rPr>
          <w:rFonts w:ascii="Times New Roman" w:hAnsi="Times New Roman" w:cs="Times New Roman"/>
          <w:color w:val="auto"/>
          <w:highlight w:val="none"/>
        </w:rPr>
      </w:pPr>
      <w:r>
        <w:rPr>
          <w:rFonts w:ascii="Times New Roman" w:hAnsi="Times New Roman" w:cs="Times New Roman"/>
          <w:color w:val="auto"/>
          <w:highlight w:val="none"/>
        </w:rPr>
        <w:t>根据前文最大可信事故分析预测表明，当</w:t>
      </w:r>
      <w:r>
        <w:rPr>
          <w:rFonts w:hint="eastAsia" w:ascii="Times New Roman" w:hAnsi="Times New Roman" w:cs="Times New Roman"/>
          <w:color w:val="auto"/>
          <w:highlight w:val="none"/>
        </w:rPr>
        <w:t>N-甲基吡咯烷酮包装桶泄漏遇明火高热发生火灾</w:t>
      </w:r>
      <w:r>
        <w:rPr>
          <w:rFonts w:ascii="Times New Roman" w:hAnsi="Times New Roman" w:cs="Times New Roman"/>
          <w:color w:val="auto"/>
          <w:highlight w:val="none"/>
        </w:rPr>
        <w:t>时，在</w:t>
      </w:r>
      <w:r>
        <w:rPr>
          <w:rFonts w:hint="eastAsia" w:ascii="Times New Roman" w:hAnsi="Times New Roman" w:cs="Times New Roman"/>
          <w:color w:val="auto"/>
          <w:szCs w:val="32"/>
          <w:highlight w:val="none"/>
        </w:rPr>
        <w:t>N-甲基吡咯烷酮包装桶</w:t>
      </w:r>
      <w:r>
        <w:rPr>
          <w:rFonts w:ascii="Times New Roman" w:hAnsi="Times New Roman" w:cs="Times New Roman"/>
          <w:color w:val="auto"/>
          <w:highlight w:val="none"/>
        </w:rPr>
        <w:t>半径240m范围内</w:t>
      </w:r>
      <w:r>
        <w:rPr>
          <w:rFonts w:ascii="Times New Roman" w:hAnsi="Times New Roman" w:cs="Times New Roman"/>
          <w:color w:val="auto"/>
          <w:szCs w:val="32"/>
          <w:highlight w:val="none"/>
        </w:rPr>
        <w:t>受到损伤</w:t>
      </w:r>
      <w:r>
        <w:rPr>
          <w:rFonts w:ascii="Times New Roman" w:hAnsi="Times New Roman" w:cs="Times New Roman"/>
          <w:color w:val="auto"/>
          <w:highlight w:val="none"/>
        </w:rPr>
        <w:t>的风险，</w:t>
      </w:r>
      <w:r>
        <w:rPr>
          <w:rFonts w:hint="eastAsia" w:ascii="Times New Roman" w:hAnsi="Times New Roman" w:cs="Times New Roman"/>
          <w:color w:val="auto"/>
          <w:szCs w:val="32"/>
          <w:highlight w:val="none"/>
        </w:rPr>
        <w:t>N-甲基吡咯烷酮包装桶</w:t>
      </w:r>
      <w:r>
        <w:rPr>
          <w:rFonts w:ascii="Times New Roman" w:hAnsi="Times New Roman" w:cs="Times New Roman"/>
          <w:color w:val="auto"/>
          <w:highlight w:val="none"/>
        </w:rPr>
        <w:t>半径100m范围内</w:t>
      </w:r>
      <w:r>
        <w:rPr>
          <w:rFonts w:ascii="Times New Roman" w:hAnsi="Times New Roman" w:cs="Times New Roman"/>
          <w:color w:val="auto"/>
          <w:szCs w:val="32"/>
          <w:highlight w:val="none"/>
        </w:rPr>
        <w:t>有致死</w:t>
      </w:r>
      <w:r>
        <w:rPr>
          <w:rFonts w:ascii="Times New Roman" w:hAnsi="Times New Roman" w:cs="Times New Roman"/>
          <w:color w:val="auto"/>
          <w:highlight w:val="none"/>
        </w:rPr>
        <w:t>风险。本项目浸渗液储罐240m范围内</w:t>
      </w:r>
      <w:r>
        <w:rPr>
          <w:rFonts w:hint="eastAsia" w:ascii="Times New Roman" w:hAnsi="Times New Roman" w:cs="Times New Roman"/>
          <w:color w:val="auto"/>
          <w:highlight w:val="none"/>
        </w:rPr>
        <w:t>有</w:t>
      </w:r>
      <w:r>
        <w:rPr>
          <w:rFonts w:ascii="Times New Roman" w:hAnsi="Times New Roman" w:cs="Times New Roman"/>
          <w:color w:val="auto"/>
          <w:highlight w:val="none"/>
        </w:rPr>
        <w:t>环境敏感目标，</w:t>
      </w:r>
      <w:r>
        <w:rPr>
          <w:rFonts w:hint="eastAsia" w:ascii="Times New Roman" w:hAnsi="Times New Roman" w:cs="Times New Roman"/>
          <w:color w:val="auto"/>
          <w:highlight w:val="none"/>
        </w:rPr>
        <w:t>在及时提醒疏散群众的情况下</w:t>
      </w:r>
      <w:r>
        <w:rPr>
          <w:rFonts w:ascii="Times New Roman" w:hAnsi="Times New Roman" w:cs="Times New Roman"/>
          <w:color w:val="auto"/>
          <w:highlight w:val="none"/>
        </w:rPr>
        <w:t>发生环境风险事故对周围环境和人群影响较小。</w:t>
      </w:r>
    </w:p>
    <w:p w14:paraId="193FAFF1">
      <w:pPr>
        <w:tabs>
          <w:tab w:val="left" w:pos="0"/>
          <w:tab w:val="left" w:pos="1123"/>
        </w:tabs>
        <w:spacing w:line="360" w:lineRule="auto"/>
        <w:ind w:left="-105" w:right="-105" w:firstLine="480" w:firstLineChars="200"/>
        <w:rPr>
          <w:rFonts w:ascii="Times New Roman" w:hAnsi="Times New Roman" w:cs="Times New Roman"/>
          <w:color w:val="auto"/>
          <w:highlight w:val="none"/>
        </w:rPr>
      </w:pPr>
      <w:r>
        <w:rPr>
          <w:rFonts w:ascii="Times New Roman" w:hAnsi="Times New Roman" w:cs="Times New Roman"/>
          <w:color w:val="auto"/>
          <w:highlight w:val="none"/>
        </w:rPr>
        <w:t>根据</w:t>
      </w:r>
      <w:r>
        <w:rPr>
          <w:rFonts w:ascii="Times New Roman" w:hAnsi="Times New Roman" w:cs="Times New Roman"/>
          <w:color w:val="auto"/>
          <w:highlight w:val="none"/>
        </w:rPr>
        <w:fldChar w:fldCharType="begin"/>
      </w:r>
      <w:r>
        <w:rPr>
          <w:rFonts w:ascii="Times New Roman" w:hAnsi="Times New Roman" w:cs="Times New Roman"/>
          <w:color w:val="auto"/>
          <w:highlight w:val="none"/>
        </w:rPr>
        <w:instrText xml:space="preserve"> REF _Ref38808574 \h  \* MERGEFORMAT </w:instrText>
      </w:r>
      <w:r>
        <w:rPr>
          <w:rFonts w:ascii="Times New Roman" w:hAnsi="Times New Roman" w:cs="Times New Roman"/>
          <w:color w:val="auto"/>
          <w:highlight w:val="none"/>
        </w:rPr>
        <w:fldChar w:fldCharType="separate"/>
      </w:r>
      <w:r>
        <w:rPr>
          <w:rFonts w:ascii="Times New Roman" w:hAnsi="Times New Roman" w:cs="Times New Roman"/>
          <w:color w:val="auto"/>
          <w:szCs w:val="22"/>
          <w:highlight w:val="none"/>
        </w:rPr>
        <w:t>表</w:t>
      </w:r>
      <w:r>
        <w:rPr>
          <w:rFonts w:ascii="Times New Roman" w:hAnsi="Times New Roman" w:cs="Times New Roman"/>
          <w:color w:val="auto"/>
          <w:szCs w:val="22"/>
          <w:highlight w:val="none"/>
        </w:rPr>
        <w:fldChar w:fldCharType="begin"/>
      </w:r>
      <w:r>
        <w:rPr>
          <w:rFonts w:ascii="Times New Roman" w:hAnsi="Times New Roman" w:cs="Times New Roman"/>
          <w:color w:val="auto"/>
          <w:szCs w:val="22"/>
          <w:highlight w:val="none"/>
        </w:rPr>
        <w:instrText xml:space="preserve"> STYLEREF</w:instrText>
      </w:r>
      <w:r>
        <w:rPr>
          <w:rFonts w:ascii="Times New Roman" w:hAnsi="Times New Roman" w:cs="Times New Roman"/>
          <w:color w:val="auto"/>
          <w:highlight w:val="none"/>
        </w:rPr>
        <w:instrText xml:space="preserve"> 2 \s </w:instrText>
      </w:r>
      <w:r>
        <w:rPr>
          <w:rFonts w:ascii="Times New Roman" w:hAnsi="Times New Roman" w:cs="Times New Roman"/>
          <w:color w:val="auto"/>
          <w:highlight w:val="none"/>
        </w:rPr>
        <w:fldChar w:fldCharType="separate"/>
      </w:r>
      <w:r>
        <w:rPr>
          <w:rFonts w:ascii="Times New Roman" w:hAnsi="Times New Roman" w:cs="Times New Roman"/>
          <w:color w:val="auto"/>
          <w:highlight w:val="none"/>
        </w:rPr>
        <w:t>6.1</w:t>
      </w:r>
      <w:r>
        <w:rPr>
          <w:rFonts w:ascii="Times New Roman" w:hAnsi="Times New Roman" w:cs="Times New Roman"/>
          <w:color w:val="auto"/>
          <w:highlight w:val="none"/>
        </w:rPr>
        <w:fldChar w:fldCharType="end"/>
      </w:r>
      <w:r>
        <w:rPr>
          <w:rFonts w:ascii="Times New Roman" w:hAnsi="Times New Roman" w:cs="Times New Roman"/>
          <w:color w:val="auto"/>
          <w:highlight w:val="none"/>
        </w:rPr>
        <w:noBreakHyphen/>
      </w:r>
      <w:r>
        <w:rPr>
          <w:rFonts w:ascii="Times New Roman" w:hAnsi="Times New Roman" w:cs="Times New Roman"/>
          <w:color w:val="auto"/>
          <w:highlight w:val="none"/>
        </w:rPr>
        <w:t>12</w:t>
      </w:r>
      <w:r>
        <w:rPr>
          <w:rFonts w:ascii="Times New Roman" w:hAnsi="Times New Roman" w:cs="Times New Roman"/>
          <w:color w:val="auto"/>
          <w:highlight w:val="none"/>
        </w:rPr>
        <w:fldChar w:fldCharType="end"/>
      </w:r>
      <w:r>
        <w:rPr>
          <w:rFonts w:ascii="Times New Roman" w:hAnsi="Times New Roman" w:cs="Times New Roman"/>
          <w:color w:val="auto"/>
          <w:highlight w:val="none"/>
        </w:rPr>
        <w:t>所</w:t>
      </w:r>
      <w:r>
        <w:rPr>
          <w:rFonts w:ascii="Times New Roman" w:hAnsi="Times New Roman"/>
          <w:color w:val="auto"/>
          <w:highlight w:val="none"/>
        </w:rPr>
        <w:t>示</w:t>
      </w:r>
      <w:r>
        <w:rPr>
          <w:rFonts w:ascii="Times New Roman" w:hAnsi="Times New Roman" w:cs="Times New Roman"/>
          <w:color w:val="auto"/>
          <w:highlight w:val="none"/>
        </w:rPr>
        <w:t>，废气事故排放预测结果表明，</w:t>
      </w:r>
      <w:r>
        <w:rPr>
          <w:rFonts w:hint="eastAsia" w:ascii="Times New Roman" w:hAnsi="Times New Roman" w:cs="Times New Roman"/>
          <w:color w:val="auto"/>
          <w:highlight w:val="none"/>
        </w:rPr>
        <w:t>当废气处理设施故障导致废气事故排放时，排气筒中废气浓度超标，但在采取相应的应急处置措施的情况下，环境风险事故对周围环境影响较小</w:t>
      </w:r>
      <w:r>
        <w:rPr>
          <w:rFonts w:ascii="Times New Roman" w:hAnsi="Times New Roman" w:cs="Times New Roman"/>
          <w:color w:val="auto"/>
          <w:highlight w:val="none"/>
        </w:rPr>
        <w:t>。</w:t>
      </w:r>
    </w:p>
    <w:p w14:paraId="4711C47C">
      <w:pPr>
        <w:tabs>
          <w:tab w:val="left" w:pos="0"/>
          <w:tab w:val="left" w:pos="1123"/>
        </w:tabs>
        <w:spacing w:line="360" w:lineRule="auto"/>
        <w:ind w:left="-105" w:right="-105" w:firstLine="480" w:firstLineChars="200"/>
        <w:rPr>
          <w:rFonts w:ascii="Times New Roman" w:hAnsi="Times New Roman" w:cs="Times New Roman"/>
          <w:color w:val="auto"/>
          <w:highlight w:val="none"/>
        </w:rPr>
      </w:pPr>
      <w:r>
        <w:rPr>
          <w:rFonts w:ascii="Times New Roman" w:hAnsi="Times New Roman" w:cs="Times New Roman"/>
          <w:color w:val="auto"/>
          <w:highlight w:val="none"/>
        </w:rPr>
        <w:t>因此，企业应加强废气污染防防治措施管理，建立环境管理台账，定期进行污染防治措施维护、保养，发现废气污染防治设施故障应及时停产或启用备用电源，及时检修。针对泄漏、火灾事故，企业应加强管理，建立人员巡检制度，在重点区域安装可燃气体报警和烟雾探测报警装置等监控预警装置，在厂区设置消防及火灾报警系统，发生泄漏、火灾事故可及时发现并预警。企业应落实泄漏收集和应急处置措施，合理配备应急物资，发现泄漏应及时处理。合理设置消防设施、疏散通道和安置场所，发现火灾应及时扑灭，发现火情不可控，应安排应急小组进行人员疏散和安置。区域应急疏散通道、安置场所位置图详见</w:t>
      </w:r>
      <w:r>
        <w:rPr>
          <w:rFonts w:hint="eastAsia" w:ascii="Times New Roman" w:hAnsi="Times New Roman" w:cs="Times New Roman"/>
          <w:color w:val="auto"/>
          <w:highlight w:val="none"/>
        </w:rPr>
        <w:t>附图</w:t>
      </w:r>
      <w:r>
        <w:rPr>
          <w:rFonts w:ascii="Times New Roman" w:hAnsi="Times New Roman" w:cs="Times New Roman"/>
          <w:color w:val="auto"/>
          <w:highlight w:val="none"/>
        </w:rPr>
        <w:t>。</w:t>
      </w:r>
    </w:p>
    <w:p w14:paraId="7E5D3FC9">
      <w:pPr>
        <w:tabs>
          <w:tab w:val="left" w:pos="0"/>
          <w:tab w:val="left" w:pos="1123"/>
        </w:tabs>
        <w:spacing w:line="360" w:lineRule="auto"/>
        <w:ind w:left="-105" w:right="-105" w:firstLine="482" w:firstLineChars="200"/>
        <w:rPr>
          <w:rFonts w:ascii="Times New Roman" w:hAnsi="Times New Roman" w:cs="Times New Roman"/>
          <w:b/>
          <w:bCs/>
          <w:color w:val="auto"/>
          <w:highlight w:val="none"/>
        </w:rPr>
      </w:pPr>
      <w:r>
        <w:rPr>
          <w:rFonts w:ascii="Times New Roman" w:hAnsi="Times New Roman" w:cs="Times New Roman"/>
          <w:b/>
          <w:bCs/>
          <w:color w:val="auto"/>
          <w:highlight w:val="none"/>
        </w:rPr>
        <w:t>事件现场人员清点、撤离方式、方法</w:t>
      </w:r>
    </w:p>
    <w:p w14:paraId="69A1D0C6">
      <w:pPr>
        <w:tabs>
          <w:tab w:val="left" w:pos="0"/>
          <w:tab w:val="left" w:pos="1123"/>
        </w:tabs>
        <w:spacing w:line="360" w:lineRule="auto"/>
        <w:ind w:left="-105" w:right="-105" w:firstLine="480" w:firstLineChars="200"/>
        <w:rPr>
          <w:rFonts w:ascii="Times New Roman" w:hAnsi="Times New Roman" w:cs="Times New Roman"/>
          <w:color w:val="auto"/>
          <w:highlight w:val="none"/>
        </w:rPr>
      </w:pPr>
      <w:r>
        <w:rPr>
          <w:rFonts w:ascii="Times New Roman" w:hAnsi="Times New Roman" w:cs="Times New Roman"/>
          <w:color w:val="auto"/>
          <w:highlight w:val="none"/>
        </w:rPr>
        <w:t>当员工接到紧急撤离命令后，应对生产装置进行停车，并对物料进行安全处置无危险后，方可撤离岗位到指定地点进行集合。</w:t>
      </w:r>
    </w:p>
    <w:p w14:paraId="560CBDA7">
      <w:pPr>
        <w:tabs>
          <w:tab w:val="left" w:pos="0"/>
          <w:tab w:val="left" w:pos="1123"/>
        </w:tabs>
        <w:spacing w:line="360" w:lineRule="auto"/>
        <w:ind w:left="-105" w:right="-105" w:firstLine="480" w:firstLineChars="200"/>
        <w:rPr>
          <w:rFonts w:ascii="Times New Roman" w:hAnsi="Times New Roman" w:cs="Times New Roman"/>
          <w:color w:val="auto"/>
          <w:highlight w:val="none"/>
        </w:rPr>
      </w:pPr>
      <w:r>
        <w:rPr>
          <w:rFonts w:ascii="Times New Roman" w:hAnsi="Times New Roman" w:cs="Times New Roman"/>
          <w:color w:val="auto"/>
          <w:highlight w:val="none"/>
        </w:rPr>
        <w:t>员工在撤离过程中，不能剧烈跑步，应憋住呼吸，用湿毛巾唔住口、鼻部位，缓缓地朝逆风方向，或指定的集中地点走去。</w:t>
      </w:r>
    </w:p>
    <w:p w14:paraId="08D43F8A">
      <w:pPr>
        <w:tabs>
          <w:tab w:val="left" w:pos="0"/>
          <w:tab w:val="left" w:pos="1123"/>
        </w:tabs>
        <w:spacing w:line="360" w:lineRule="auto"/>
        <w:ind w:left="-105" w:right="-105" w:firstLine="480" w:firstLineChars="200"/>
        <w:rPr>
          <w:rFonts w:ascii="Times New Roman" w:hAnsi="Times New Roman" w:cs="Times New Roman"/>
          <w:color w:val="auto"/>
          <w:highlight w:val="none"/>
        </w:rPr>
      </w:pPr>
      <w:r>
        <w:rPr>
          <w:rFonts w:ascii="Times New Roman" w:hAnsi="Times New Roman" w:cs="Times New Roman"/>
          <w:color w:val="auto"/>
          <w:highlight w:val="none"/>
        </w:rPr>
        <w:t>疏散集中点由应急指挥组总指挥根据当时气象条件确定，疏散的原则是撤离安全点处于当时的上风向。</w:t>
      </w:r>
    </w:p>
    <w:p w14:paraId="62D71FA6">
      <w:pPr>
        <w:tabs>
          <w:tab w:val="left" w:pos="0"/>
          <w:tab w:val="left" w:pos="1123"/>
        </w:tabs>
        <w:spacing w:line="360" w:lineRule="auto"/>
        <w:ind w:left="-105" w:right="-105" w:firstLine="482" w:firstLineChars="200"/>
        <w:rPr>
          <w:rFonts w:ascii="Times New Roman" w:hAnsi="Times New Roman" w:cs="Times New Roman"/>
          <w:b/>
          <w:bCs/>
          <w:color w:val="auto"/>
          <w:highlight w:val="none"/>
        </w:rPr>
      </w:pPr>
      <w:r>
        <w:rPr>
          <w:rFonts w:ascii="Times New Roman" w:hAnsi="Times New Roman" w:cs="Times New Roman"/>
          <w:b/>
          <w:bCs/>
          <w:color w:val="auto"/>
          <w:highlight w:val="none"/>
        </w:rPr>
        <w:t>应急人员进入、撤离事件现场</w:t>
      </w:r>
    </w:p>
    <w:p w14:paraId="7390F1BB">
      <w:pPr>
        <w:tabs>
          <w:tab w:val="left" w:pos="0"/>
          <w:tab w:val="left" w:pos="1123"/>
        </w:tabs>
        <w:spacing w:line="360" w:lineRule="auto"/>
        <w:ind w:left="-105" w:right="-105" w:firstLine="480" w:firstLineChars="200"/>
        <w:rPr>
          <w:rFonts w:ascii="Times New Roman" w:hAnsi="Times New Roman" w:cs="Times New Roman"/>
          <w:color w:val="auto"/>
          <w:highlight w:val="none"/>
        </w:rPr>
      </w:pPr>
      <w:r>
        <w:rPr>
          <w:rFonts w:ascii="Times New Roman" w:hAnsi="Times New Roman" w:cs="Times New Roman"/>
          <w:color w:val="auto"/>
          <w:highlight w:val="none"/>
        </w:rPr>
        <w:t>一般情况下，应急工作人员佩带防护用品等方可进入事件现场作业。应急工作人员应学会自救互救。进入限制性空间或其它高浓度区作业，须有人监护。</w:t>
      </w:r>
    </w:p>
    <w:p w14:paraId="6EAC9AC1">
      <w:pPr>
        <w:tabs>
          <w:tab w:val="left" w:pos="0"/>
          <w:tab w:val="left" w:pos="1123"/>
        </w:tabs>
        <w:spacing w:line="360" w:lineRule="auto"/>
        <w:ind w:left="-105" w:right="-105" w:firstLine="480" w:firstLineChars="200"/>
        <w:rPr>
          <w:rFonts w:ascii="Times New Roman" w:hAnsi="Times New Roman" w:cs="Times New Roman"/>
          <w:color w:val="auto"/>
          <w:highlight w:val="none"/>
        </w:rPr>
      </w:pPr>
      <w:r>
        <w:rPr>
          <w:rFonts w:ascii="Times New Roman" w:hAnsi="Times New Roman" w:cs="Times New Roman"/>
          <w:color w:val="auto"/>
          <w:highlight w:val="none"/>
        </w:rPr>
        <w:t>应急工作人员在完成应急处理工作，应急结束后方可离开现场。事件较难控制，可能发生火灾爆炸事故并危及生命安全时，应急工作人员应撤离。</w:t>
      </w:r>
    </w:p>
    <w:p w14:paraId="7A806F22">
      <w:pPr>
        <w:tabs>
          <w:tab w:val="left" w:pos="0"/>
          <w:tab w:val="left" w:pos="1123"/>
        </w:tabs>
        <w:spacing w:line="360" w:lineRule="auto"/>
        <w:ind w:left="-105" w:right="-105" w:firstLine="482" w:firstLineChars="200"/>
        <w:rPr>
          <w:rFonts w:ascii="Times New Roman" w:hAnsi="Times New Roman" w:cs="Times New Roman"/>
          <w:b/>
          <w:bCs/>
          <w:color w:val="auto"/>
          <w:highlight w:val="none"/>
        </w:rPr>
      </w:pPr>
      <w:r>
        <w:rPr>
          <w:rFonts w:ascii="Times New Roman" w:hAnsi="Times New Roman" w:cs="Times New Roman"/>
          <w:b/>
          <w:bCs/>
          <w:color w:val="auto"/>
          <w:highlight w:val="none"/>
        </w:rPr>
        <w:t>非事故现场人员紧急疏散的方式、方法</w:t>
      </w:r>
    </w:p>
    <w:p w14:paraId="0A3EEA50">
      <w:pPr>
        <w:tabs>
          <w:tab w:val="left" w:pos="0"/>
          <w:tab w:val="left" w:pos="1123"/>
        </w:tabs>
        <w:spacing w:line="360" w:lineRule="auto"/>
        <w:ind w:left="-105" w:right="-105" w:firstLine="480" w:firstLineChars="200"/>
        <w:rPr>
          <w:rFonts w:ascii="Times New Roman" w:hAnsi="Times New Roman" w:cs="Times New Roman"/>
          <w:color w:val="auto"/>
          <w:highlight w:val="none"/>
        </w:rPr>
      </w:pPr>
      <w:r>
        <w:rPr>
          <w:rFonts w:ascii="Times New Roman" w:hAnsi="Times New Roman" w:cs="Times New Roman"/>
          <w:color w:val="auto"/>
          <w:highlight w:val="none"/>
        </w:rPr>
        <w:t>事故警戒区域外为非事故现场。当发生重大事故时，应急指挥组应根据当时气象条件，以气相扩散后可能污染的区域、场所内的人员，实施有序疏散。疏散人员应到指定的地点集中，疏散之前做好各生产装置的停车工作。</w:t>
      </w:r>
    </w:p>
    <w:p w14:paraId="11FC76B0">
      <w:pPr>
        <w:tabs>
          <w:tab w:val="left" w:pos="0"/>
          <w:tab w:val="left" w:pos="1123"/>
        </w:tabs>
        <w:spacing w:line="360" w:lineRule="auto"/>
        <w:ind w:left="-105" w:right="-105" w:firstLine="482" w:firstLineChars="200"/>
        <w:rPr>
          <w:rFonts w:ascii="Times New Roman" w:hAnsi="Times New Roman" w:cs="Times New Roman"/>
          <w:b/>
          <w:bCs/>
          <w:color w:val="auto"/>
          <w:highlight w:val="none"/>
        </w:rPr>
      </w:pPr>
      <w:r>
        <w:rPr>
          <w:rFonts w:ascii="Times New Roman" w:hAnsi="Times New Roman" w:cs="Times New Roman"/>
          <w:b/>
          <w:bCs/>
          <w:color w:val="auto"/>
          <w:highlight w:val="none"/>
        </w:rPr>
        <w:t>周边区域的单位、社区人员紧急疏散的方式、方法</w:t>
      </w:r>
    </w:p>
    <w:p w14:paraId="69B872C8">
      <w:pPr>
        <w:tabs>
          <w:tab w:val="left" w:pos="0"/>
          <w:tab w:val="left" w:pos="1123"/>
        </w:tabs>
        <w:spacing w:line="360" w:lineRule="auto"/>
        <w:ind w:left="-105" w:right="-105" w:firstLine="480" w:firstLineChars="200"/>
        <w:rPr>
          <w:rFonts w:ascii="Times New Roman" w:hAnsi="Times New Roman" w:cs="Times New Roman"/>
          <w:color w:val="auto"/>
          <w:highlight w:val="none"/>
        </w:rPr>
      </w:pPr>
      <w:r>
        <w:rPr>
          <w:rFonts w:ascii="Times New Roman" w:hAnsi="Times New Roman" w:cs="Times New Roman"/>
          <w:color w:val="auto"/>
          <w:highlight w:val="none"/>
        </w:rPr>
        <w:t>发生重大事故时，可能危及周边区域的单位、社区安全时，应急救援小组组长应与政府有关部门联系，配合政府工作人员引导相关人员迅速疏散至安全地方。</w:t>
      </w:r>
    </w:p>
    <w:p w14:paraId="70A4CD15">
      <w:pPr>
        <w:tabs>
          <w:tab w:val="left" w:pos="0"/>
          <w:tab w:val="left" w:pos="1123"/>
        </w:tabs>
        <w:spacing w:line="360" w:lineRule="auto"/>
        <w:ind w:left="-105" w:right="-105" w:firstLine="482" w:firstLineChars="200"/>
        <w:rPr>
          <w:rFonts w:ascii="Times New Roman" w:hAnsi="Times New Roman" w:cs="Times New Roman"/>
          <w:b/>
          <w:bCs/>
          <w:color w:val="auto"/>
          <w:highlight w:val="none"/>
        </w:rPr>
      </w:pPr>
      <w:r>
        <w:rPr>
          <w:rFonts w:ascii="Times New Roman" w:hAnsi="Times New Roman" w:cs="Times New Roman"/>
          <w:b/>
          <w:bCs/>
          <w:color w:val="auto"/>
          <w:highlight w:val="none"/>
        </w:rPr>
        <w:t>人员在撤离、疏散后的报告</w:t>
      </w:r>
    </w:p>
    <w:p w14:paraId="2BB02B4A">
      <w:pPr>
        <w:tabs>
          <w:tab w:val="left" w:pos="0"/>
          <w:tab w:val="left" w:pos="1123"/>
        </w:tabs>
        <w:spacing w:line="360" w:lineRule="auto"/>
        <w:ind w:left="-105" w:right="-105" w:firstLine="480" w:firstLineChars="200"/>
        <w:rPr>
          <w:rFonts w:ascii="Times New Roman" w:hAnsi="Times New Roman" w:cs="Times New Roman"/>
          <w:color w:val="auto"/>
          <w:highlight w:val="none"/>
        </w:rPr>
      </w:pPr>
      <w:r>
        <w:rPr>
          <w:rFonts w:ascii="Times New Roman" w:hAnsi="Times New Roman" w:cs="Times New Roman"/>
          <w:color w:val="auto"/>
          <w:highlight w:val="none"/>
        </w:rPr>
        <w:t>事故现场、非事故现场和周边区域的人员按指挥组命令撤离、疏散至安全地点集中后，由相关负责人清点、统计人数后，及时向指挥组报告。</w:t>
      </w:r>
    </w:p>
    <w:p w14:paraId="2B4079BC">
      <w:pPr>
        <w:tabs>
          <w:tab w:val="left" w:pos="0"/>
          <w:tab w:val="left" w:pos="1123"/>
        </w:tabs>
        <w:spacing w:line="360" w:lineRule="auto"/>
        <w:ind w:left="-105" w:right="-105" w:firstLine="482" w:firstLineChars="200"/>
        <w:rPr>
          <w:rFonts w:ascii="Times New Roman" w:hAnsi="Times New Roman" w:cs="Times New Roman"/>
          <w:b/>
          <w:bCs/>
          <w:color w:val="auto"/>
          <w:highlight w:val="none"/>
        </w:rPr>
      </w:pPr>
      <w:r>
        <w:rPr>
          <w:rFonts w:ascii="Times New Roman" w:hAnsi="Times New Roman" w:cs="Times New Roman"/>
          <w:b/>
          <w:bCs/>
          <w:color w:val="auto"/>
          <w:highlight w:val="none"/>
        </w:rPr>
        <w:t>道路隔离或交通疏导办法</w:t>
      </w:r>
    </w:p>
    <w:p w14:paraId="1FF72B22">
      <w:pPr>
        <w:tabs>
          <w:tab w:val="left" w:pos="0"/>
          <w:tab w:val="left" w:pos="1123"/>
        </w:tabs>
        <w:spacing w:line="360" w:lineRule="auto"/>
        <w:ind w:left="-105" w:right="-105" w:firstLine="480" w:firstLineChars="200"/>
        <w:rPr>
          <w:rFonts w:ascii="Times New Roman" w:hAnsi="Times New Roman" w:cs="Times New Roman"/>
          <w:color w:val="auto"/>
          <w:highlight w:val="none"/>
        </w:rPr>
      </w:pPr>
      <w:r>
        <w:rPr>
          <w:rFonts w:ascii="Times New Roman" w:hAnsi="Times New Roman" w:cs="Times New Roman"/>
          <w:color w:val="auto"/>
          <w:highlight w:val="none"/>
        </w:rPr>
        <w:t>一旦发生较大或严重污染事故，对事故现场周边区域的道路实施交通管制，除救护车、消防车、抢险物资运输车、指挥车辆可进入事故隔离区内，其它车辆不得进入事故隔离区内；对原停留在隔离区内的车辆实施疏导、管制。</w:t>
      </w:r>
    </w:p>
    <w:p w14:paraId="102AC1BA">
      <w:pPr>
        <w:pStyle w:val="5"/>
        <w:keepLines w:val="0"/>
        <w:numPr>
          <w:ilvl w:val="0"/>
          <w:numId w:val="0"/>
        </w:numPr>
        <w:tabs>
          <w:tab w:val="left" w:pos="141"/>
          <w:tab w:val="left" w:pos="567"/>
          <w:tab w:val="left" w:pos="709"/>
        </w:tabs>
        <w:spacing w:before="120" w:beforeLines="50" w:after="120" w:afterLines="50" w:line="360" w:lineRule="auto"/>
        <w:ind w:right="-105"/>
        <w:rPr>
          <w:rFonts w:eastAsia="宋体"/>
          <w:color w:val="auto"/>
          <w:sz w:val="28"/>
          <w:szCs w:val="28"/>
          <w:highlight w:val="none"/>
        </w:rPr>
      </w:pPr>
      <w:r>
        <w:rPr>
          <w:rFonts w:hint="eastAsia" w:eastAsia="宋体"/>
          <w:color w:val="auto"/>
          <w:sz w:val="28"/>
          <w:szCs w:val="28"/>
          <w:highlight w:val="none"/>
        </w:rPr>
        <w:t>7.6.5</w:t>
      </w:r>
      <w:r>
        <w:rPr>
          <w:rFonts w:eastAsia="宋体"/>
          <w:color w:val="auto"/>
          <w:sz w:val="28"/>
          <w:szCs w:val="28"/>
          <w:highlight w:val="none"/>
        </w:rPr>
        <w:t>地表水环境风险防范措施</w:t>
      </w:r>
    </w:p>
    <w:p w14:paraId="049FCBED">
      <w:pPr>
        <w:tabs>
          <w:tab w:val="left" w:pos="0"/>
          <w:tab w:val="left" w:pos="1123"/>
        </w:tabs>
        <w:spacing w:line="360" w:lineRule="auto"/>
        <w:ind w:left="-105" w:right="-105" w:firstLine="480" w:firstLineChars="200"/>
        <w:rPr>
          <w:rFonts w:ascii="Times New Roman" w:hAnsi="Times New Roman" w:cs="Times New Roman"/>
          <w:color w:val="auto"/>
          <w:highlight w:val="none"/>
        </w:rPr>
      </w:pPr>
      <w:r>
        <w:rPr>
          <w:rFonts w:ascii="Times New Roman" w:hAnsi="Times New Roman" w:cs="Times New Roman"/>
          <w:color w:val="auto"/>
          <w:highlight w:val="none"/>
        </w:rPr>
        <w:t>根据</w:t>
      </w:r>
      <w:r>
        <w:rPr>
          <w:rFonts w:ascii="Times New Roman" w:hAnsi="Times New Roman" w:cs="Times New Roman"/>
          <w:color w:val="auto"/>
          <w:highlight w:val="none"/>
        </w:rPr>
        <w:fldChar w:fldCharType="begin"/>
      </w:r>
      <w:r>
        <w:rPr>
          <w:rFonts w:ascii="Times New Roman" w:hAnsi="Times New Roman" w:cs="Times New Roman"/>
          <w:color w:val="auto"/>
          <w:highlight w:val="none"/>
        </w:rPr>
        <w:instrText xml:space="preserve"> REF _Ref1601 \h  \* MERGEFORMAT </w:instrText>
      </w:r>
      <w:r>
        <w:rPr>
          <w:rFonts w:ascii="Times New Roman" w:hAnsi="Times New Roman" w:cs="Times New Roman"/>
          <w:color w:val="auto"/>
          <w:highlight w:val="none"/>
        </w:rPr>
        <w:fldChar w:fldCharType="separate"/>
      </w:r>
      <w:r>
        <w:rPr>
          <w:rFonts w:ascii="Times New Roman" w:hAnsi="Times New Roman" w:cs="Times New Roman"/>
          <w:color w:val="auto"/>
          <w:szCs w:val="18"/>
          <w:highlight w:val="none"/>
        </w:rPr>
        <w:t>表</w:t>
      </w:r>
      <w:r>
        <w:rPr>
          <w:rFonts w:ascii="Times New Roman" w:hAnsi="Times New Roman" w:cs="Times New Roman"/>
          <w:color w:val="auto"/>
          <w:szCs w:val="18"/>
          <w:highlight w:val="none"/>
        </w:rPr>
        <w:fldChar w:fldCharType="begin"/>
      </w:r>
      <w:r>
        <w:rPr>
          <w:rFonts w:ascii="Times New Roman" w:hAnsi="Times New Roman" w:cs="Times New Roman"/>
          <w:color w:val="auto"/>
          <w:szCs w:val="18"/>
          <w:highlight w:val="none"/>
        </w:rPr>
        <w:instrText xml:space="preserve"> STYLEREF 2 \s </w:instrText>
      </w:r>
      <w:r>
        <w:rPr>
          <w:rFonts w:ascii="Times New Roman" w:hAnsi="Times New Roman" w:cs="Times New Roman"/>
          <w:color w:val="auto"/>
          <w:szCs w:val="18"/>
          <w:highlight w:val="none"/>
        </w:rPr>
        <w:fldChar w:fldCharType="separate"/>
      </w:r>
      <w:r>
        <w:rPr>
          <w:rFonts w:ascii="Times New Roman" w:hAnsi="Times New Roman" w:cs="Times New Roman"/>
          <w:color w:val="auto"/>
          <w:szCs w:val="18"/>
          <w:highlight w:val="none"/>
        </w:rPr>
        <w:t>4.8</w:t>
      </w:r>
      <w:r>
        <w:rPr>
          <w:rFonts w:ascii="Times New Roman" w:hAnsi="Times New Roman" w:cs="Times New Roman"/>
          <w:color w:val="auto"/>
          <w:szCs w:val="18"/>
          <w:highlight w:val="none"/>
        </w:rPr>
        <w:fldChar w:fldCharType="end"/>
      </w:r>
      <w:r>
        <w:rPr>
          <w:rFonts w:ascii="Times New Roman" w:hAnsi="Times New Roman" w:cs="Times New Roman"/>
          <w:color w:val="auto"/>
          <w:szCs w:val="18"/>
          <w:highlight w:val="none"/>
        </w:rPr>
        <w:noBreakHyphen/>
      </w:r>
      <w:r>
        <w:rPr>
          <w:rFonts w:ascii="Times New Roman" w:hAnsi="Times New Roman" w:cs="Times New Roman"/>
          <w:color w:val="auto"/>
          <w:szCs w:val="18"/>
          <w:highlight w:val="none"/>
        </w:rPr>
        <w:t>5</w:t>
      </w:r>
      <w:r>
        <w:rPr>
          <w:rFonts w:ascii="Times New Roman" w:hAnsi="Times New Roman" w:cs="Times New Roman"/>
          <w:color w:val="auto"/>
          <w:highlight w:val="none"/>
        </w:rPr>
        <w:fldChar w:fldCharType="end"/>
      </w:r>
      <w:r>
        <w:rPr>
          <w:rFonts w:ascii="Times New Roman" w:hAnsi="Times New Roman" w:cs="Times New Roman"/>
          <w:color w:val="auto"/>
          <w:highlight w:val="none"/>
        </w:rPr>
        <w:t>，本项目涉及地表水环境风险的风险源和风险单元主要为</w:t>
      </w:r>
      <w:r>
        <w:rPr>
          <w:rFonts w:hint="eastAsia" w:ascii="Times New Roman" w:hAnsi="Times New Roman" w:cs="Times New Roman"/>
          <w:color w:val="auto"/>
          <w:highlight w:val="none"/>
          <w:lang w:eastAsia="zh-CN"/>
        </w:rPr>
        <w:t>危险品仓库</w:t>
      </w:r>
      <w:r>
        <w:rPr>
          <w:rFonts w:ascii="Times New Roman" w:hAnsi="Times New Roman" w:cs="Times New Roman"/>
          <w:color w:val="auto"/>
          <w:highlight w:val="none"/>
        </w:rPr>
        <w:t>、</w:t>
      </w:r>
      <w:r>
        <w:rPr>
          <w:rFonts w:hint="eastAsia" w:ascii="Times New Roman" w:hAnsi="Times New Roman" w:cs="Times New Roman"/>
          <w:color w:val="auto"/>
          <w:highlight w:val="none"/>
          <w:lang w:eastAsia="zh-CN"/>
        </w:rPr>
        <w:t>防爆间</w:t>
      </w:r>
      <w:r>
        <w:rPr>
          <w:rFonts w:hint="eastAsia" w:ascii="Times New Roman" w:hAnsi="Times New Roman" w:cs="Times New Roman"/>
          <w:color w:val="auto"/>
          <w:highlight w:val="none"/>
        </w:rPr>
        <w:t>、化学试剂柜、成品仓库</w:t>
      </w:r>
      <w:r>
        <w:rPr>
          <w:rFonts w:ascii="Times New Roman" w:hAnsi="Times New Roman" w:cs="Times New Roman"/>
          <w:color w:val="auto"/>
          <w:highlight w:val="none"/>
        </w:rPr>
        <w:t>的贮存的危险物质原料、危废仓库</w:t>
      </w:r>
      <w:r>
        <w:rPr>
          <w:rFonts w:hint="eastAsia" w:ascii="Times New Roman" w:hAnsi="Times New Roman" w:cs="Times New Roman"/>
          <w:color w:val="auto"/>
          <w:highlight w:val="none"/>
        </w:rPr>
        <w:t>、废液储罐</w:t>
      </w:r>
      <w:r>
        <w:rPr>
          <w:rFonts w:ascii="Times New Roman" w:hAnsi="Times New Roman" w:cs="Times New Roman"/>
          <w:color w:val="auto"/>
          <w:highlight w:val="none"/>
        </w:rPr>
        <w:t>贮存的危废、生产车间各生产设备内的危险物质物料、废气处理设施等。主要影响途径为泄漏物料、消防废水等事故废水进入雨水，污染附近水体。企业应设置事故废水收集措施，确保泄漏物料、事故废水、消防废水、受污染的雨水等在厂内收集，不会泄漏出厂界。</w:t>
      </w:r>
    </w:p>
    <w:p w14:paraId="606C57BF">
      <w:pPr>
        <w:adjustRightInd w:val="0"/>
        <w:snapToGrid w:val="0"/>
        <w:spacing w:line="360" w:lineRule="auto"/>
        <w:ind w:left="-105" w:right="-105" w:firstLine="480" w:firstLineChars="200"/>
        <w:rPr>
          <w:rFonts w:ascii="Times New Roman" w:hAnsi="Times New Roman" w:cs="Times New Roman"/>
          <w:color w:val="auto"/>
          <w:highlight w:val="none"/>
        </w:rPr>
      </w:pPr>
      <w:r>
        <w:rPr>
          <w:rFonts w:ascii="Times New Roman" w:hAnsi="Times New Roman" w:cs="Times New Roman"/>
          <w:color w:val="auto"/>
          <w:highlight w:val="none"/>
        </w:rPr>
        <w:t>（1）水环境风险控制措施体系</w:t>
      </w:r>
    </w:p>
    <w:p w14:paraId="3E510341">
      <w:pPr>
        <w:adjustRightInd w:val="0"/>
        <w:snapToGrid w:val="0"/>
        <w:spacing w:line="360" w:lineRule="auto"/>
        <w:ind w:left="-105" w:right="-105" w:firstLine="480" w:firstLineChars="200"/>
        <w:rPr>
          <w:rFonts w:ascii="Times New Roman" w:hAnsi="Times New Roman" w:cs="Times New Roman"/>
          <w:color w:val="auto"/>
          <w:highlight w:val="none"/>
        </w:rPr>
      </w:pPr>
      <w:r>
        <w:rPr>
          <w:rFonts w:ascii="Times New Roman" w:hAnsi="Times New Roman" w:cs="Times New Roman"/>
          <w:color w:val="auto"/>
          <w:highlight w:val="none"/>
        </w:rPr>
        <w:t>本项目应通过建立</w:t>
      </w:r>
      <w:r>
        <w:rPr>
          <w:rFonts w:hint="eastAsia" w:ascii="Times New Roman" w:hAnsi="Times New Roman" w:cs="Times New Roman"/>
          <w:color w:val="auto"/>
          <w:highlight w:val="none"/>
        </w:rPr>
        <w:t>“</w:t>
      </w:r>
      <w:r>
        <w:rPr>
          <w:rFonts w:ascii="Times New Roman" w:hAnsi="Times New Roman" w:cs="Times New Roman"/>
          <w:color w:val="auto"/>
          <w:highlight w:val="none"/>
        </w:rPr>
        <w:t>单元-厂区-园区/区域</w:t>
      </w:r>
      <w:r>
        <w:rPr>
          <w:rFonts w:hint="eastAsia" w:ascii="Times New Roman" w:hAnsi="Times New Roman" w:cs="Times New Roman"/>
          <w:color w:val="auto"/>
          <w:highlight w:val="none"/>
        </w:rPr>
        <w:t>”</w:t>
      </w:r>
      <w:r>
        <w:rPr>
          <w:rFonts w:ascii="Times New Roman" w:hAnsi="Times New Roman" w:cs="Times New Roman"/>
          <w:color w:val="auto"/>
          <w:highlight w:val="none"/>
        </w:rPr>
        <w:t>三级防控体系，关口前移，降低末端风险控制压力，系统提升水环境风险的保障水平，从根本上保障环境安全，实现事故状态下对环境风险的有效控制，防止生产过程和突发性事故产生的污染物对周围环境污染事故。</w:t>
      </w:r>
    </w:p>
    <w:p w14:paraId="0EABEC38">
      <w:pPr>
        <w:adjustRightInd w:val="0"/>
        <w:snapToGrid w:val="0"/>
        <w:spacing w:line="360" w:lineRule="auto"/>
        <w:ind w:firstLine="480" w:firstLineChars="200"/>
        <w:rPr>
          <w:rFonts w:ascii="Times New Roman" w:hAnsi="Times New Roman" w:eastAsia="宋体"/>
          <w:color w:val="auto"/>
          <w:sz w:val="24"/>
          <w:highlight w:val="none"/>
        </w:rPr>
      </w:pPr>
      <w:r>
        <w:rPr>
          <w:rFonts w:ascii="Times New Roman" w:hAnsi="Times New Roman" w:eastAsia="宋体"/>
          <w:color w:val="auto"/>
          <w:sz w:val="24"/>
          <w:highlight w:val="none"/>
        </w:rPr>
        <w:t>三级防控主要指源头、过程、末端三个环节的环境风险控制措施体系</w:t>
      </w:r>
      <w:r>
        <w:rPr>
          <w:rFonts w:hint="eastAsia" w:ascii="Times New Roman" w:hAnsi="Times New Roman" w:eastAsia="宋体"/>
          <w:color w:val="auto"/>
          <w:sz w:val="24"/>
          <w:highlight w:val="none"/>
          <w:lang w:eastAsia="zh-CN"/>
        </w:rPr>
        <w:t>，防止事故水进入外环境的控制、封堵系统见</w:t>
      </w:r>
      <w:r>
        <w:rPr>
          <w:rFonts w:hint="eastAsia" w:ascii="Times New Roman" w:hAnsi="Times New Roman" w:eastAsia="宋体"/>
          <w:color w:val="auto"/>
          <w:sz w:val="24"/>
          <w:highlight w:val="none"/>
          <w:lang w:val="en-US" w:eastAsia="zh-CN"/>
        </w:rPr>
        <w:t>下</w:t>
      </w:r>
      <w:r>
        <w:rPr>
          <w:rFonts w:hint="eastAsia" w:ascii="Times New Roman" w:hAnsi="Times New Roman" w:eastAsia="宋体"/>
          <w:color w:val="auto"/>
          <w:sz w:val="24"/>
          <w:highlight w:val="none"/>
          <w:lang w:eastAsia="zh-CN"/>
        </w:rPr>
        <w:t>图</w:t>
      </w:r>
      <w:r>
        <w:rPr>
          <w:rFonts w:ascii="Times New Roman" w:hAnsi="Times New Roman" w:eastAsia="宋体"/>
          <w:color w:val="auto"/>
          <w:sz w:val="24"/>
          <w:highlight w:val="none"/>
        </w:rPr>
        <w:t>：</w:t>
      </w:r>
    </w:p>
    <w:p w14:paraId="04E85247">
      <w:pPr>
        <w:rPr>
          <w:color w:val="auto"/>
          <w:highlight w:val="none"/>
        </w:rPr>
      </w:pPr>
      <w:r>
        <w:rPr>
          <w:color w:val="auto"/>
          <w:highlight w:val="none"/>
        </w:rPr>
        <w:object>
          <v:shape id="_x0000_i1040" o:spt="75" type="#_x0000_t75" style="height:239.45pt;width:414.6pt;" o:ole="t" filled="f" o:preferrelative="t" stroked="f" coordsize="21600,21600">
            <v:path/>
            <v:fill on="f" focussize="0,0"/>
            <v:stroke on="f"/>
            <v:imagedata r:id="rId69" o:title=""/>
            <o:lock v:ext="edit" aspectratio="f"/>
            <w10:wrap type="none"/>
            <w10:anchorlock/>
          </v:shape>
          <o:OLEObject Type="Embed" ProgID="Visio.Drawing.15" ShapeID="_x0000_i1040" DrawAspect="Content" ObjectID="_1468075731" r:id="rId68">
            <o:LockedField>false</o:LockedField>
          </o:OLEObject>
        </w:object>
      </w:r>
    </w:p>
    <w:p w14:paraId="6F00B964">
      <w:pPr>
        <w:pStyle w:val="15"/>
        <w:adjustRightInd w:val="0"/>
        <w:snapToGrid w:val="0"/>
        <w:spacing w:line="360" w:lineRule="auto"/>
        <w:ind w:left="-105" w:right="-105" w:firstLine="482" w:firstLineChars="200"/>
        <w:jc w:val="center"/>
        <w:rPr>
          <w:rFonts w:ascii="Times New Roman" w:hAnsi="Times New Roman" w:cs="Times New Roman"/>
          <w:color w:val="auto"/>
          <w:sz w:val="24"/>
          <w:szCs w:val="24"/>
          <w:highlight w:val="none"/>
        </w:rPr>
      </w:pPr>
      <w:r>
        <w:rPr>
          <w:rFonts w:hint="default" w:ascii="Times New Roman" w:hAnsi="Times New Roman" w:eastAsia="宋体" w:cs="Times New Roman"/>
          <w:b/>
          <w:bCs/>
          <w:color w:val="auto"/>
          <w:sz w:val="24"/>
          <w:szCs w:val="24"/>
          <w:highlight w:val="none"/>
        </w:rPr>
        <w:t>图</w:t>
      </w:r>
      <w:r>
        <w:rPr>
          <w:rFonts w:hint="default" w:ascii="Times New Roman" w:hAnsi="Times New Roman" w:cs="Times New Roman"/>
          <w:color w:val="auto"/>
          <w:sz w:val="24"/>
          <w:szCs w:val="24"/>
          <w:highlight w:val="none"/>
        </w:rPr>
        <w:t xml:space="preserve"> </w:t>
      </w:r>
      <w:r>
        <w:rPr>
          <w:rFonts w:hint="default" w:ascii="Times New Roman" w:hAnsi="Times New Roman" w:cs="Times New Roman"/>
          <w:color w:val="auto"/>
          <w:sz w:val="24"/>
          <w:szCs w:val="24"/>
          <w:highlight w:val="none"/>
        </w:rPr>
        <w:fldChar w:fldCharType="begin"/>
      </w:r>
      <w:r>
        <w:rPr>
          <w:rFonts w:hint="default" w:ascii="Times New Roman" w:hAnsi="Times New Roman" w:cs="Times New Roman"/>
          <w:color w:val="auto"/>
          <w:sz w:val="24"/>
          <w:szCs w:val="24"/>
          <w:highlight w:val="none"/>
        </w:rPr>
        <w:instrText xml:space="preserve"> STYLEREF 2 \s </w:instrText>
      </w:r>
      <w:r>
        <w:rPr>
          <w:rFonts w:hint="default" w:ascii="Times New Roman" w:hAnsi="Times New Roman" w:cs="Times New Roman"/>
          <w:color w:val="auto"/>
          <w:sz w:val="24"/>
          <w:szCs w:val="24"/>
          <w:highlight w:val="none"/>
        </w:rPr>
        <w:fldChar w:fldCharType="separate"/>
      </w:r>
      <w:r>
        <w:rPr>
          <w:rFonts w:hint="default" w:ascii="Times New Roman" w:hAnsi="Times New Roman" w:cs="Times New Roman"/>
          <w:color w:val="auto"/>
          <w:sz w:val="24"/>
          <w:szCs w:val="24"/>
          <w:highlight w:val="none"/>
        </w:rPr>
        <w:t>7.6</w:t>
      </w:r>
      <w:r>
        <w:rPr>
          <w:rFonts w:hint="default" w:ascii="Times New Roman" w:hAnsi="Times New Roman" w:cs="Times New Roman"/>
          <w:color w:val="auto"/>
          <w:sz w:val="24"/>
          <w:szCs w:val="24"/>
          <w:highlight w:val="none"/>
        </w:rPr>
        <w:fldChar w:fldCharType="end"/>
      </w:r>
      <w:r>
        <w:rPr>
          <w:rFonts w:hint="default" w:ascii="Times New Roman" w:hAnsi="Times New Roman" w:cs="Times New Roman"/>
          <w:color w:val="auto"/>
          <w:sz w:val="24"/>
          <w:szCs w:val="24"/>
          <w:highlight w:val="none"/>
          <w:lang w:eastAsia="zh-CN"/>
        </w:rPr>
        <w:t>-</w:t>
      </w:r>
      <w:r>
        <w:rPr>
          <w:rFonts w:hint="default" w:ascii="Times New Roman" w:hAnsi="Times New Roman" w:cs="Times New Roman"/>
          <w:color w:val="auto"/>
          <w:sz w:val="24"/>
          <w:szCs w:val="24"/>
          <w:highlight w:val="none"/>
        </w:rPr>
        <w:fldChar w:fldCharType="begin"/>
      </w:r>
      <w:r>
        <w:rPr>
          <w:rFonts w:hint="default" w:ascii="Times New Roman" w:hAnsi="Times New Roman" w:cs="Times New Roman"/>
          <w:color w:val="auto"/>
          <w:sz w:val="24"/>
          <w:szCs w:val="24"/>
          <w:highlight w:val="none"/>
        </w:rPr>
        <w:instrText xml:space="preserve"> SEQ 图 \* ARABIC \s 2 </w:instrText>
      </w:r>
      <w:r>
        <w:rPr>
          <w:rFonts w:hint="default" w:ascii="Times New Roman" w:hAnsi="Times New Roman" w:cs="Times New Roman"/>
          <w:color w:val="auto"/>
          <w:sz w:val="24"/>
          <w:szCs w:val="24"/>
          <w:highlight w:val="none"/>
        </w:rPr>
        <w:fldChar w:fldCharType="separate"/>
      </w:r>
      <w:r>
        <w:rPr>
          <w:rFonts w:hint="default" w:ascii="Times New Roman" w:hAnsi="Times New Roman" w:cs="Times New Roman"/>
          <w:color w:val="auto"/>
          <w:sz w:val="24"/>
          <w:szCs w:val="24"/>
          <w:highlight w:val="none"/>
        </w:rPr>
        <w:t>1</w:t>
      </w:r>
      <w:r>
        <w:rPr>
          <w:rFonts w:hint="default" w:ascii="Times New Roman" w:hAnsi="Times New Roman" w:cs="Times New Roman"/>
          <w:color w:val="auto"/>
          <w:sz w:val="24"/>
          <w:szCs w:val="24"/>
          <w:highlight w:val="none"/>
        </w:rPr>
        <w:fldChar w:fldCharType="end"/>
      </w:r>
      <w:r>
        <w:rPr>
          <w:rFonts w:hint="default" w:ascii="Times New Roman" w:hAnsi="Times New Roman" w:eastAsia="宋体" w:cs="Times New Roman"/>
          <w:b/>
          <w:bCs/>
          <w:color w:val="auto"/>
          <w:sz w:val="24"/>
          <w:szCs w:val="24"/>
          <w:highlight w:val="none"/>
        </w:rPr>
        <w:t xml:space="preserve"> 防止事故水进入外环境的控制、封堵系统示意图</w:t>
      </w:r>
    </w:p>
    <w:p w14:paraId="4B18D153">
      <w:pPr>
        <w:adjustRightInd w:val="0"/>
        <w:snapToGrid w:val="0"/>
        <w:spacing w:line="360" w:lineRule="auto"/>
        <w:ind w:left="-105" w:right="-105" w:firstLine="480" w:firstLineChars="200"/>
        <w:rPr>
          <w:rFonts w:ascii="Times New Roman" w:hAnsi="Times New Roman" w:cs="Times New Roman"/>
          <w:color w:val="auto"/>
          <w:highlight w:val="none"/>
        </w:rPr>
      </w:pPr>
      <w:r>
        <w:rPr>
          <w:rFonts w:hint="eastAsia" w:ascii="Times New Roman" w:hAnsi="Times New Roman" w:cs="Times New Roman"/>
          <w:color w:val="auto"/>
          <w:highlight w:val="none"/>
        </w:rPr>
        <w:t>①公司一级防控体系由各单元配套的防腐防渗措施、截流设施构成。公司各环境风险单元，如第一工场、第二工场、危险品仓库、柴油储罐区、实验室、成品仓库、危废仓库、废水储罐区均已按照要求设置了防腐蚀、防渗漏、防流失措施；除罐区以外其余风险单元均位于室内，设有防淋溶措施。各环境风险单元及其防控设施均有专人负责管理。</w:t>
      </w:r>
    </w:p>
    <w:p w14:paraId="2C5ABB30">
      <w:pPr>
        <w:tabs>
          <w:tab w:val="left" w:pos="0"/>
          <w:tab w:val="left" w:pos="1123"/>
        </w:tabs>
        <w:spacing w:line="360" w:lineRule="auto"/>
        <w:ind w:left="-105" w:right="-105" w:firstLine="480" w:firstLineChars="200"/>
        <w:rPr>
          <w:rFonts w:ascii="Times New Roman" w:hAnsi="Times New Roman" w:cs="Times New Roman"/>
          <w:color w:val="auto"/>
          <w:highlight w:val="none"/>
        </w:rPr>
      </w:pPr>
      <w:r>
        <w:rPr>
          <w:rFonts w:hint="eastAsia" w:ascii="Times New Roman" w:hAnsi="Times New Roman" w:cs="Times New Roman"/>
          <w:color w:val="auto"/>
          <w:highlight w:val="none"/>
        </w:rPr>
        <w:t>②公司二级防控体系主要由雨水排放口切断阀、事故应急池（540m</w:t>
      </w:r>
      <w:r>
        <w:rPr>
          <w:rFonts w:hint="eastAsia" w:ascii="Times New Roman" w:hAnsi="Times New Roman" w:cs="Times New Roman"/>
          <w:color w:val="auto"/>
          <w:highlight w:val="none"/>
          <w:vertAlign w:val="superscript"/>
        </w:rPr>
        <w:t>3</w:t>
      </w:r>
      <w:r>
        <w:rPr>
          <w:rFonts w:hint="eastAsia" w:ascii="Times New Roman" w:hAnsi="Times New Roman" w:cs="Times New Roman"/>
          <w:color w:val="auto"/>
          <w:highlight w:val="none"/>
        </w:rPr>
        <w:t>）、应急吨桶（166m</w:t>
      </w:r>
      <w:r>
        <w:rPr>
          <w:rFonts w:hint="eastAsia" w:ascii="Times New Roman" w:hAnsi="Times New Roman" w:cs="Times New Roman"/>
          <w:color w:val="auto"/>
          <w:highlight w:val="none"/>
          <w:vertAlign w:val="superscript"/>
        </w:rPr>
        <w:t>3</w:t>
      </w:r>
      <w:r>
        <w:rPr>
          <w:rFonts w:hint="eastAsia" w:ascii="Times New Roman" w:hAnsi="Times New Roman" w:cs="Times New Roman"/>
          <w:color w:val="auto"/>
          <w:highlight w:val="none"/>
        </w:rPr>
        <w:t>）构成。公司设有1个雨水排放口，雨水排放口已设置切断阀门，并设有专人负责其启闭工作，正常情况下阀门关闭，下雨天专人将其打开。企业设置的切断阀为手动的闸阀，不能远程操控，关闭闸阀需借助工具，工具位于雨水口旁侧约1m处，闸阀从开到关约需1min。企业定期对闸阀及闸阀启闭工具进行维护，确保切断阀门的截流效果。企业已设置雨水切换阀日常管理及操作细则和雨水切换阀点检表。公司设有1个污水排放口，用于排放生活污水和初期雨水。公司设置的污水排放口为强排口，需通过提升泵将生活污水和初期雨水输送至无锡先进化药化工有限公司污水站处理后，接管锡山区云林污水处理有限公司。无锡先进化药化工有限公司污水站废水处理能力为1500t/d，采用的废水处理工艺主要为化学氧化、混凝沉淀、调节、水解酸化、好氧曝气等，目前污水站运行稳定。公司设有容积为540m</w:t>
      </w:r>
      <w:r>
        <w:rPr>
          <w:rFonts w:hint="eastAsia" w:ascii="Times New Roman" w:hAnsi="Times New Roman" w:cs="Times New Roman"/>
          <w:color w:val="auto"/>
          <w:highlight w:val="none"/>
          <w:vertAlign w:val="superscript"/>
        </w:rPr>
        <w:t>3</w:t>
      </w:r>
      <w:r>
        <w:rPr>
          <w:rFonts w:hint="eastAsia" w:ascii="Times New Roman" w:hAnsi="Times New Roman" w:cs="Times New Roman"/>
          <w:color w:val="auto"/>
          <w:highlight w:val="none"/>
        </w:rPr>
        <w:t>的事故应急池，应急池内设置液位计并设有专门负责人刘家财。公司事故应急池露天无盖，为保证事故应急池处于常空状态，已配置固定提升泵（泵的流量为24m</w:t>
      </w:r>
      <w:r>
        <w:rPr>
          <w:rFonts w:hint="eastAsia" w:ascii="Times New Roman" w:hAnsi="Times New Roman" w:cs="Times New Roman"/>
          <w:color w:val="auto"/>
          <w:highlight w:val="none"/>
          <w:vertAlign w:val="superscript"/>
        </w:rPr>
        <w:t>3</w:t>
      </w:r>
      <w:r>
        <w:rPr>
          <w:rFonts w:hint="eastAsia" w:ascii="Times New Roman" w:hAnsi="Times New Roman" w:cs="Times New Roman"/>
          <w:color w:val="auto"/>
          <w:highlight w:val="none"/>
        </w:rPr>
        <w:t>/h）及时将应急池内的雨水抽空。当应急池内液位计读数大于12m</w:t>
      </w:r>
      <w:r>
        <w:rPr>
          <w:rFonts w:hint="eastAsia" w:ascii="Times New Roman" w:hAnsi="Times New Roman" w:cs="Times New Roman"/>
          <w:color w:val="auto"/>
          <w:highlight w:val="none"/>
          <w:vertAlign w:val="superscript"/>
        </w:rPr>
        <w:t>3</w:t>
      </w:r>
      <w:r>
        <w:rPr>
          <w:rFonts w:hint="eastAsia" w:ascii="Times New Roman" w:hAnsi="Times New Roman" w:cs="Times New Roman"/>
          <w:color w:val="auto"/>
          <w:highlight w:val="none"/>
        </w:rPr>
        <w:t>时，即启动提升泵抽送应急池内的雨水，30min后可将应急池内的雨水抽空。公司厂内设有应急吨桶，数量为166个，则可贮存事故废水166m</w:t>
      </w:r>
      <w:r>
        <w:rPr>
          <w:rFonts w:hint="eastAsia" w:ascii="Times New Roman" w:hAnsi="Times New Roman" w:cs="Times New Roman"/>
          <w:color w:val="auto"/>
          <w:highlight w:val="none"/>
          <w:vertAlign w:val="superscript"/>
        </w:rPr>
        <w:t>3</w:t>
      </w:r>
      <w:r>
        <w:rPr>
          <w:rFonts w:hint="eastAsia" w:ascii="Times New Roman" w:hAnsi="Times New Roman" w:cs="Times New Roman"/>
          <w:color w:val="auto"/>
          <w:highlight w:val="none"/>
        </w:rPr>
        <w:t>，已设有专门负责人。当事故应急池容量不足时，可通过移动水泵及管线将事故废水抽送至应急吨桶内暂存。</w:t>
      </w:r>
    </w:p>
    <w:p w14:paraId="1563B4A1">
      <w:pPr>
        <w:tabs>
          <w:tab w:val="left" w:pos="0"/>
          <w:tab w:val="left" w:pos="1123"/>
        </w:tabs>
        <w:spacing w:line="360" w:lineRule="auto"/>
        <w:ind w:left="-105" w:right="-105" w:firstLine="480" w:firstLineChars="200"/>
        <w:rPr>
          <w:rFonts w:ascii="Times New Roman" w:hAnsi="Times New Roman" w:cs="Times New Roman"/>
          <w:color w:val="auto"/>
          <w:highlight w:val="none"/>
        </w:rPr>
      </w:pPr>
      <w:r>
        <w:rPr>
          <w:rFonts w:hint="eastAsia" w:ascii="Times New Roman" w:hAnsi="Times New Roman" w:cs="Times New Roman"/>
          <w:color w:val="auto"/>
          <w:highlight w:val="none"/>
        </w:rPr>
        <w:t>③公司三级防控体系主要依托无锡先进化药化工有限公司已建的防控设施、区域安全缓冲区域等。公司雨水管网与无锡先进化药化工有限公司的雨水管网连通，两个公司雨水管网出口均设有切断阀，无锡先进化药化工有限公司雨水排放口最终去向为锡北运河；公司生活污水和初期雨水通过污水管网泵提升至无锡先进化药化工有限公司污水处理站处理，最终排入锡山区云林污水处理有限公司集中处理，尾水排入北兴塘河。因此，公司三级防控首先与无锡先进化药化工有限公司已建的防控设施进行衔接配套。同时，考虑到公司雨水排放口进入无锡先进化药化工有限公司雨水管网后，最终去向为锡北运河。《无锡市锡北运河（锡山段）突发水污染事件应急处置方案》已经编制完成，因此，公司三级防控同时与锡北运河的应急防范体系进行衔接。</w:t>
      </w:r>
    </w:p>
    <w:p w14:paraId="7C232C12">
      <w:pPr>
        <w:tabs>
          <w:tab w:val="left" w:pos="0"/>
          <w:tab w:val="left" w:pos="1123"/>
        </w:tabs>
        <w:adjustRightInd w:val="0"/>
        <w:snapToGrid w:val="0"/>
        <w:spacing w:line="360" w:lineRule="auto"/>
        <w:ind w:left="-105" w:right="-105" w:firstLine="480" w:firstLineChars="200"/>
        <w:rPr>
          <w:rFonts w:ascii="Times New Roman" w:hAnsi="Times New Roman" w:cs="Times New Roman"/>
          <w:color w:val="auto"/>
          <w:highlight w:val="none"/>
        </w:rPr>
      </w:pPr>
      <w:r>
        <w:rPr>
          <w:rFonts w:ascii="Times New Roman" w:hAnsi="Times New Roman" w:cs="Times New Roman"/>
          <w:color w:val="auto"/>
          <w:highlight w:val="none"/>
        </w:rPr>
        <w:t>（2）事故废水收集和应急贮存设施</w:t>
      </w:r>
    </w:p>
    <w:p w14:paraId="716EE6F9">
      <w:pPr>
        <w:tabs>
          <w:tab w:val="left" w:pos="0"/>
          <w:tab w:val="left" w:pos="1123"/>
        </w:tabs>
        <w:adjustRightInd w:val="0"/>
        <w:snapToGrid w:val="0"/>
        <w:spacing w:line="360" w:lineRule="auto"/>
        <w:ind w:left="-105" w:right="-105" w:firstLine="480" w:firstLineChars="200"/>
        <w:rPr>
          <w:rFonts w:ascii="Times New Roman" w:hAnsi="Times New Roman" w:cs="Times New Roman"/>
          <w:color w:val="auto"/>
          <w:highlight w:val="none"/>
        </w:rPr>
      </w:pPr>
      <w:r>
        <w:rPr>
          <w:rFonts w:ascii="Times New Roman" w:hAnsi="Times New Roman" w:cs="Times New Roman"/>
          <w:color w:val="auto"/>
          <w:highlight w:val="none"/>
        </w:rPr>
        <w:t>项目如发生火灾或爆炸事故，将导致大量物料和大量含有物料的消防水外泄。如该废水不经处理直接排入水体，将导致水体严重污染。为防止此类事故发生，项目采取如下方案：</w:t>
      </w:r>
    </w:p>
    <w:p w14:paraId="29F6F6C6">
      <w:pPr>
        <w:tabs>
          <w:tab w:val="left" w:pos="0"/>
          <w:tab w:val="left" w:pos="1123"/>
        </w:tabs>
        <w:spacing w:line="360" w:lineRule="auto"/>
        <w:ind w:left="480" w:leftChars="200" w:right="-105"/>
        <w:rPr>
          <w:rFonts w:ascii="Times New Roman" w:hAnsi="Times New Roman" w:cs="Times New Roman"/>
          <w:color w:val="auto"/>
          <w:highlight w:val="none"/>
        </w:rPr>
      </w:pPr>
      <w:r>
        <w:rPr>
          <w:rFonts w:hint="eastAsia" w:ascii="Times New Roman" w:hAnsi="Times New Roman" w:cs="Times New Roman"/>
          <w:color w:val="auto"/>
          <w:highlight w:val="none"/>
        </w:rPr>
        <w:t>1）</w:t>
      </w:r>
      <w:r>
        <w:rPr>
          <w:rFonts w:ascii="Times New Roman" w:hAnsi="Times New Roman" w:cs="Times New Roman"/>
          <w:color w:val="auto"/>
          <w:highlight w:val="none"/>
        </w:rPr>
        <w:t>厂区雨水、消防废水收集系统</w:t>
      </w:r>
    </w:p>
    <w:p w14:paraId="6027EF43">
      <w:pPr>
        <w:tabs>
          <w:tab w:val="left" w:pos="0"/>
          <w:tab w:val="left" w:pos="1123"/>
        </w:tabs>
        <w:spacing w:line="360" w:lineRule="auto"/>
        <w:ind w:left="-105" w:right="-105" w:firstLine="480" w:firstLineChars="200"/>
        <w:rPr>
          <w:rFonts w:ascii="Times New Roman" w:hAnsi="Times New Roman" w:cs="Times New Roman"/>
          <w:color w:val="auto"/>
          <w:highlight w:val="none"/>
        </w:rPr>
      </w:pPr>
      <w:r>
        <w:rPr>
          <w:rFonts w:ascii="Times New Roman" w:hAnsi="Times New Roman" w:cs="Times New Roman"/>
          <w:color w:val="auto"/>
          <w:highlight w:val="none"/>
        </w:rPr>
        <w:t>厂区雨水管网设置雨水切断阀，雨天情况下雨水通过雨水管网进入水体，事故状态下，</w:t>
      </w:r>
      <w:r>
        <w:rPr>
          <w:rFonts w:hint="eastAsia" w:ascii="Times New Roman" w:hAnsi="Times New Roman" w:cs="Times New Roman"/>
          <w:color w:val="auto"/>
          <w:highlight w:val="none"/>
        </w:rPr>
        <w:t>第一时间确认</w:t>
      </w:r>
      <w:r>
        <w:rPr>
          <w:rFonts w:ascii="Times New Roman" w:hAnsi="Times New Roman" w:cs="Times New Roman"/>
          <w:color w:val="auto"/>
          <w:highlight w:val="none"/>
        </w:rPr>
        <w:t>雨水切断阀</w:t>
      </w:r>
      <w:r>
        <w:rPr>
          <w:rFonts w:hint="eastAsia" w:ascii="Times New Roman" w:hAnsi="Times New Roman" w:cs="Times New Roman"/>
          <w:color w:val="auto"/>
          <w:highlight w:val="none"/>
        </w:rPr>
        <w:t>是否关闭</w:t>
      </w:r>
      <w:r>
        <w:rPr>
          <w:rFonts w:ascii="Times New Roman" w:hAnsi="Times New Roman" w:cs="Times New Roman"/>
          <w:color w:val="auto"/>
          <w:highlight w:val="none"/>
        </w:rPr>
        <w:t>，以便能及时、有效地收集厂区污染雨水。</w:t>
      </w:r>
    </w:p>
    <w:p w14:paraId="755BE731">
      <w:pPr>
        <w:tabs>
          <w:tab w:val="left" w:pos="0"/>
          <w:tab w:val="left" w:pos="1123"/>
        </w:tabs>
        <w:spacing w:line="360" w:lineRule="auto"/>
        <w:ind w:left="-105" w:right="-105" w:firstLine="480" w:firstLineChars="200"/>
        <w:rPr>
          <w:rFonts w:ascii="Times New Roman" w:hAnsi="Times New Roman" w:cs="Times New Roman"/>
          <w:color w:val="auto"/>
          <w:highlight w:val="none"/>
        </w:rPr>
      </w:pPr>
      <w:r>
        <w:rPr>
          <w:rFonts w:ascii="Times New Roman" w:hAnsi="Times New Roman" w:cs="Times New Roman"/>
          <w:color w:val="auto"/>
          <w:highlight w:val="none"/>
        </w:rPr>
        <w:t>当发生火灾、爆炸事故和物料泄漏事故，进行消防和地面冲洗时，消防过程产生的消防液和泄漏冲洗废液可通过地表径流，进入雨水管网，最终排入外环境。因此，项目雨水排放口必须设置雨水切断阀，并设置自动化联动系统，如发生火灾、爆炸事故，</w:t>
      </w:r>
      <w:r>
        <w:rPr>
          <w:rFonts w:hint="eastAsia" w:ascii="Times New Roman" w:hAnsi="Times New Roman" w:cs="Times New Roman"/>
          <w:color w:val="auto"/>
          <w:highlight w:val="none"/>
        </w:rPr>
        <w:t>第一时间确认</w:t>
      </w:r>
      <w:r>
        <w:rPr>
          <w:rFonts w:ascii="Times New Roman" w:hAnsi="Times New Roman" w:cs="Times New Roman"/>
          <w:color w:val="auto"/>
          <w:highlight w:val="none"/>
        </w:rPr>
        <w:t>雨水切断阀</w:t>
      </w:r>
      <w:r>
        <w:rPr>
          <w:rFonts w:hint="eastAsia" w:ascii="Times New Roman" w:hAnsi="Times New Roman" w:cs="Times New Roman"/>
          <w:color w:val="auto"/>
          <w:highlight w:val="none"/>
        </w:rPr>
        <w:t>是否关闭</w:t>
      </w:r>
      <w:r>
        <w:rPr>
          <w:rFonts w:ascii="Times New Roman" w:hAnsi="Times New Roman" w:cs="Times New Roman"/>
          <w:color w:val="auto"/>
          <w:highlight w:val="none"/>
        </w:rPr>
        <w:t>，并将雨水排放管网内的废水导入事故池内，这样不但可以保证消防尾水不会排入外环境，而且也能利用雨水管网收集消防尾水，以免对附近水体造成重大影响。</w:t>
      </w:r>
    </w:p>
    <w:p w14:paraId="3752C826">
      <w:pPr>
        <w:tabs>
          <w:tab w:val="left" w:pos="0"/>
          <w:tab w:val="left" w:pos="1123"/>
        </w:tabs>
        <w:spacing w:line="360" w:lineRule="auto"/>
        <w:ind w:left="480" w:leftChars="200" w:right="-105"/>
        <w:rPr>
          <w:rFonts w:ascii="Times New Roman" w:hAnsi="Times New Roman" w:cs="Times New Roman"/>
          <w:color w:val="auto"/>
          <w:highlight w:val="none"/>
        </w:rPr>
      </w:pPr>
      <w:r>
        <w:rPr>
          <w:rFonts w:hint="eastAsia" w:ascii="Times New Roman" w:hAnsi="Times New Roman" w:cs="Times New Roman"/>
          <w:color w:val="auto"/>
          <w:highlight w:val="none"/>
        </w:rPr>
        <w:t>2）</w:t>
      </w:r>
      <w:r>
        <w:rPr>
          <w:rFonts w:ascii="Times New Roman" w:hAnsi="Times New Roman" w:cs="Times New Roman"/>
          <w:color w:val="auto"/>
          <w:highlight w:val="none"/>
        </w:rPr>
        <w:t>事故收集池设置</w:t>
      </w:r>
    </w:p>
    <w:p w14:paraId="12442CCA">
      <w:pPr>
        <w:pStyle w:val="20"/>
        <w:spacing w:line="360" w:lineRule="auto"/>
        <w:ind w:left="-105" w:right="-105" w:firstLine="480" w:firstLineChars="200"/>
        <w:jc w:val="both"/>
        <w:rPr>
          <w:rFonts w:ascii="Times New Roman" w:hAnsi="Times New Roman" w:cs="Times New Roman"/>
          <w:color w:val="auto"/>
          <w:sz w:val="24"/>
          <w:szCs w:val="24"/>
          <w:highlight w:val="none"/>
        </w:rPr>
      </w:pPr>
      <w:r>
        <w:rPr>
          <w:rFonts w:hint="eastAsia" w:ascii="Times New Roman" w:hAnsi="Times New Roman" w:cs="Times New Roman"/>
          <w:color w:val="auto"/>
          <w:sz w:val="24"/>
          <w:szCs w:val="24"/>
          <w:highlight w:val="none"/>
        </w:rPr>
        <w:t>根据《化工建设项目环境保护设计标准》（GB/T50483-2019）和中石化集团印发的《水体污染防控紧急措施设计导则》（中国石化建标[2006]43号）要求，明确事故存储设施总有效容积的计算公式如下：</w:t>
      </w:r>
    </w:p>
    <w:p w14:paraId="2A4D868E">
      <w:pPr>
        <w:pStyle w:val="20"/>
        <w:keepNext w:val="0"/>
        <w:keepLines w:val="0"/>
        <w:pageBreakBefore w:val="0"/>
        <w:widowControl w:val="0"/>
        <w:kinsoku/>
        <w:wordWrap/>
        <w:overflowPunct/>
        <w:topLinePunct w:val="0"/>
        <w:bidi w:val="0"/>
        <w:adjustRightInd/>
        <w:snapToGrid/>
        <w:spacing w:line="360" w:lineRule="auto"/>
        <w:ind w:left="0" w:right="0" w:firstLine="480" w:firstLineChars="200"/>
        <w:jc w:val="center"/>
        <w:textAlignment w:val="auto"/>
        <w:rPr>
          <w:rFonts w:ascii="Times New Roman" w:hAnsi="Times New Roman" w:cs="Times New Roman"/>
          <w:color w:val="auto"/>
          <w:sz w:val="24"/>
          <w:szCs w:val="24"/>
          <w:highlight w:val="none"/>
        </w:rPr>
      </w:pPr>
      <w:r>
        <w:rPr>
          <w:rFonts w:ascii="Times New Roman" w:hAnsi="Times New Roman" w:cs="Times New Roman"/>
          <w:color w:val="auto"/>
          <w:sz w:val="24"/>
          <w:szCs w:val="24"/>
          <w:highlight w:val="none"/>
        </w:rPr>
        <w:t>V</w:t>
      </w:r>
      <w:r>
        <w:rPr>
          <w:rFonts w:ascii="Times New Roman" w:hAnsi="Times New Roman" w:cs="Times New Roman"/>
          <w:color w:val="auto"/>
          <w:position w:val="-1"/>
          <w:sz w:val="24"/>
          <w:szCs w:val="24"/>
          <w:highlight w:val="none"/>
          <w:vertAlign w:val="subscript"/>
        </w:rPr>
        <w:t>总</w:t>
      </w:r>
      <w:r>
        <w:rPr>
          <w:rFonts w:ascii="Times New Roman" w:hAnsi="Times New Roman" w:cs="Times New Roman"/>
          <w:color w:val="auto"/>
          <w:sz w:val="24"/>
          <w:szCs w:val="24"/>
          <w:highlight w:val="none"/>
        </w:rPr>
        <w:t>=(V</w:t>
      </w:r>
      <w:r>
        <w:rPr>
          <w:rFonts w:ascii="Times New Roman" w:hAnsi="Times New Roman" w:cs="Times New Roman"/>
          <w:color w:val="auto"/>
          <w:sz w:val="24"/>
          <w:szCs w:val="24"/>
          <w:highlight w:val="none"/>
          <w:vertAlign w:val="subscript"/>
        </w:rPr>
        <w:t>1</w:t>
      </w:r>
      <w:r>
        <w:rPr>
          <w:rFonts w:ascii="Times New Roman" w:hAnsi="Times New Roman" w:cs="Times New Roman"/>
          <w:color w:val="auto"/>
          <w:sz w:val="24"/>
          <w:szCs w:val="24"/>
          <w:highlight w:val="none"/>
        </w:rPr>
        <w:t>+V</w:t>
      </w:r>
      <w:r>
        <w:rPr>
          <w:rFonts w:ascii="Times New Roman" w:hAnsi="Times New Roman" w:cs="Times New Roman"/>
          <w:color w:val="auto"/>
          <w:sz w:val="24"/>
          <w:szCs w:val="24"/>
          <w:highlight w:val="none"/>
          <w:vertAlign w:val="subscript"/>
        </w:rPr>
        <w:t>2</w:t>
      </w:r>
      <w:r>
        <w:rPr>
          <w:rFonts w:ascii="Times New Roman" w:hAnsi="Times New Roman" w:cs="Times New Roman"/>
          <w:color w:val="auto"/>
          <w:sz w:val="24"/>
          <w:szCs w:val="24"/>
          <w:highlight w:val="none"/>
        </w:rPr>
        <w:t>一V</w:t>
      </w:r>
      <w:r>
        <w:rPr>
          <w:rFonts w:ascii="Times New Roman" w:hAnsi="Times New Roman" w:cs="Times New Roman"/>
          <w:color w:val="auto"/>
          <w:sz w:val="24"/>
          <w:szCs w:val="24"/>
          <w:highlight w:val="none"/>
          <w:vertAlign w:val="subscript"/>
        </w:rPr>
        <w:t>3</w:t>
      </w:r>
      <w:r>
        <w:rPr>
          <w:rFonts w:ascii="Times New Roman" w:hAnsi="Times New Roman" w:cs="Times New Roman"/>
          <w:color w:val="auto"/>
          <w:sz w:val="24"/>
          <w:szCs w:val="24"/>
          <w:highlight w:val="none"/>
        </w:rPr>
        <w:t>)max+V</w:t>
      </w:r>
      <w:r>
        <w:rPr>
          <w:rFonts w:ascii="Times New Roman" w:hAnsi="Times New Roman" w:cs="Times New Roman"/>
          <w:color w:val="auto"/>
          <w:sz w:val="24"/>
          <w:szCs w:val="24"/>
          <w:highlight w:val="none"/>
          <w:vertAlign w:val="subscript"/>
        </w:rPr>
        <w:t>4</w:t>
      </w:r>
      <w:r>
        <w:rPr>
          <w:rFonts w:ascii="Times New Roman" w:hAnsi="Times New Roman" w:cs="Times New Roman"/>
          <w:color w:val="auto"/>
          <w:sz w:val="24"/>
          <w:szCs w:val="24"/>
          <w:highlight w:val="none"/>
        </w:rPr>
        <w:t>+V</w:t>
      </w:r>
      <w:r>
        <w:rPr>
          <w:rFonts w:ascii="Times New Roman" w:hAnsi="Times New Roman" w:cs="Times New Roman"/>
          <w:color w:val="auto"/>
          <w:sz w:val="24"/>
          <w:szCs w:val="24"/>
          <w:highlight w:val="none"/>
          <w:vertAlign w:val="subscript"/>
        </w:rPr>
        <w:t>5</w:t>
      </w:r>
    </w:p>
    <w:p w14:paraId="6D4DBBF3">
      <w:pPr>
        <w:pStyle w:val="20"/>
        <w:keepNext w:val="0"/>
        <w:keepLines w:val="0"/>
        <w:pageBreakBefore w:val="0"/>
        <w:widowControl w:val="0"/>
        <w:kinsoku/>
        <w:wordWrap/>
        <w:overflowPunct/>
        <w:topLinePunct w:val="0"/>
        <w:bidi w:val="0"/>
        <w:adjustRightInd/>
        <w:snapToGrid/>
        <w:spacing w:line="360" w:lineRule="auto"/>
        <w:ind w:left="0" w:right="0" w:firstLine="480" w:firstLineChars="200"/>
        <w:jc w:val="both"/>
        <w:textAlignment w:val="auto"/>
        <w:rPr>
          <w:rFonts w:ascii="Times New Roman" w:hAnsi="Times New Roman" w:cs="Times New Roman"/>
          <w:color w:val="auto"/>
          <w:sz w:val="24"/>
          <w:szCs w:val="24"/>
          <w:highlight w:val="none"/>
        </w:rPr>
      </w:pPr>
      <w:r>
        <w:rPr>
          <w:rFonts w:ascii="Times New Roman" w:hAnsi="Times New Roman" w:cs="Times New Roman"/>
          <w:color w:val="auto"/>
          <w:sz w:val="24"/>
          <w:szCs w:val="24"/>
          <w:highlight w:val="none"/>
        </w:rPr>
        <w:t>式中，</w:t>
      </w:r>
    </w:p>
    <w:p w14:paraId="58052654">
      <w:pPr>
        <w:pStyle w:val="97"/>
        <w:keepNext w:val="0"/>
        <w:keepLines w:val="0"/>
        <w:pageBreakBefore w:val="0"/>
        <w:widowControl w:val="0"/>
        <w:tabs>
          <w:tab w:val="left" w:pos="1069"/>
        </w:tabs>
        <w:kinsoku/>
        <w:wordWrap/>
        <w:overflowPunct/>
        <w:topLinePunct w:val="0"/>
        <w:bidi w:val="0"/>
        <w:adjustRightInd/>
        <w:snapToGrid/>
        <w:spacing w:line="360" w:lineRule="auto"/>
        <w:ind w:left="0" w:right="0" w:firstLine="480"/>
        <w:textAlignment w:val="auto"/>
        <w:rPr>
          <w:rFonts w:eastAsia="宋体"/>
          <w:color w:val="auto"/>
          <w:sz w:val="24"/>
          <w:highlight w:val="none"/>
        </w:rPr>
      </w:pPr>
      <w:r>
        <w:rPr>
          <w:rFonts w:eastAsia="宋体"/>
          <w:color w:val="auto"/>
          <w:sz w:val="24"/>
          <w:highlight w:val="none"/>
        </w:rPr>
        <w:t>（V</w:t>
      </w:r>
      <w:r>
        <w:rPr>
          <w:rFonts w:eastAsia="宋体"/>
          <w:color w:val="auto"/>
          <w:sz w:val="24"/>
          <w:highlight w:val="none"/>
          <w:vertAlign w:val="subscript"/>
        </w:rPr>
        <w:t>1</w:t>
      </w:r>
      <w:r>
        <w:rPr>
          <w:rFonts w:eastAsia="宋体"/>
          <w:color w:val="auto"/>
          <w:sz w:val="24"/>
          <w:highlight w:val="none"/>
        </w:rPr>
        <w:t>＋V</w:t>
      </w:r>
      <w:r>
        <w:rPr>
          <w:rFonts w:eastAsia="宋体"/>
          <w:color w:val="auto"/>
          <w:sz w:val="24"/>
          <w:highlight w:val="none"/>
          <w:vertAlign w:val="subscript"/>
        </w:rPr>
        <w:t>2</w:t>
      </w:r>
      <w:r>
        <w:rPr>
          <w:rFonts w:eastAsia="宋体"/>
          <w:color w:val="auto"/>
          <w:sz w:val="24"/>
          <w:highlight w:val="none"/>
        </w:rPr>
        <w:t>-V</w:t>
      </w:r>
      <w:r>
        <w:rPr>
          <w:rFonts w:eastAsia="宋体"/>
          <w:color w:val="auto"/>
          <w:sz w:val="24"/>
          <w:highlight w:val="none"/>
          <w:vertAlign w:val="subscript"/>
        </w:rPr>
        <w:t>3</w:t>
      </w:r>
      <w:r>
        <w:rPr>
          <w:rFonts w:eastAsia="宋体"/>
          <w:color w:val="auto"/>
          <w:sz w:val="24"/>
          <w:highlight w:val="none"/>
        </w:rPr>
        <w:t>）max是指对收集系统范围内不同罐组或装置分别计算V</w:t>
      </w:r>
      <w:r>
        <w:rPr>
          <w:rFonts w:eastAsia="宋体"/>
          <w:color w:val="auto"/>
          <w:sz w:val="24"/>
          <w:highlight w:val="none"/>
          <w:vertAlign w:val="subscript"/>
        </w:rPr>
        <w:t>1</w:t>
      </w:r>
      <w:r>
        <w:rPr>
          <w:rFonts w:eastAsia="宋体"/>
          <w:color w:val="auto"/>
          <w:sz w:val="24"/>
          <w:highlight w:val="none"/>
        </w:rPr>
        <w:t>+V</w:t>
      </w:r>
      <w:r>
        <w:rPr>
          <w:rFonts w:eastAsia="宋体"/>
          <w:color w:val="auto"/>
          <w:sz w:val="24"/>
          <w:highlight w:val="none"/>
          <w:vertAlign w:val="subscript"/>
        </w:rPr>
        <w:t>2</w:t>
      </w:r>
      <w:r>
        <w:rPr>
          <w:rFonts w:eastAsia="宋体"/>
          <w:color w:val="auto"/>
          <w:sz w:val="24"/>
          <w:highlight w:val="none"/>
        </w:rPr>
        <w:t>-V</w:t>
      </w:r>
      <w:r>
        <w:rPr>
          <w:rFonts w:eastAsia="宋体"/>
          <w:color w:val="auto"/>
          <w:sz w:val="24"/>
          <w:highlight w:val="none"/>
          <w:vertAlign w:val="subscript"/>
        </w:rPr>
        <w:t>3</w:t>
      </w:r>
      <w:r>
        <w:rPr>
          <w:rFonts w:eastAsia="宋体"/>
          <w:color w:val="auto"/>
          <w:sz w:val="24"/>
          <w:highlight w:val="none"/>
        </w:rPr>
        <w:t>，取其中最大值。</w:t>
      </w:r>
    </w:p>
    <w:p w14:paraId="716EA03D">
      <w:pPr>
        <w:pStyle w:val="97"/>
        <w:keepNext w:val="0"/>
        <w:keepLines w:val="0"/>
        <w:pageBreakBefore w:val="0"/>
        <w:widowControl w:val="0"/>
        <w:tabs>
          <w:tab w:val="left" w:pos="1069"/>
        </w:tabs>
        <w:kinsoku/>
        <w:wordWrap/>
        <w:overflowPunct/>
        <w:topLinePunct w:val="0"/>
        <w:bidi w:val="0"/>
        <w:adjustRightInd/>
        <w:snapToGrid/>
        <w:spacing w:line="360" w:lineRule="auto"/>
        <w:ind w:left="0" w:right="0" w:firstLine="480"/>
        <w:textAlignment w:val="auto"/>
        <w:rPr>
          <w:rFonts w:eastAsia="宋体"/>
          <w:color w:val="auto"/>
          <w:sz w:val="24"/>
          <w:highlight w:val="none"/>
        </w:rPr>
      </w:pPr>
      <w:r>
        <w:rPr>
          <w:rFonts w:eastAsia="宋体"/>
          <w:color w:val="auto"/>
          <w:sz w:val="24"/>
          <w:highlight w:val="none"/>
        </w:rPr>
        <w:t>V</w:t>
      </w:r>
      <w:r>
        <w:rPr>
          <w:rFonts w:eastAsia="宋体"/>
          <w:color w:val="auto"/>
          <w:sz w:val="24"/>
          <w:highlight w:val="none"/>
          <w:vertAlign w:val="subscript"/>
        </w:rPr>
        <w:t>1</w:t>
      </w:r>
      <w:r>
        <w:rPr>
          <w:rFonts w:eastAsia="宋体"/>
          <w:color w:val="auto"/>
          <w:sz w:val="24"/>
          <w:highlight w:val="none"/>
        </w:rPr>
        <w:t>——收集系统范围内发生事故的一个罐组或一套装置的物料量。注：储存相同物料的罐组按一个最大储罐计，装置物料量按存留最大物料量的一台反应器或中间储罐计；</w:t>
      </w:r>
    </w:p>
    <w:p w14:paraId="52A3D8DD">
      <w:pPr>
        <w:pStyle w:val="97"/>
        <w:keepNext w:val="0"/>
        <w:keepLines w:val="0"/>
        <w:pageBreakBefore w:val="0"/>
        <w:widowControl w:val="0"/>
        <w:tabs>
          <w:tab w:val="left" w:pos="1069"/>
        </w:tabs>
        <w:kinsoku/>
        <w:wordWrap/>
        <w:overflowPunct/>
        <w:topLinePunct w:val="0"/>
        <w:bidi w:val="0"/>
        <w:adjustRightInd/>
        <w:snapToGrid/>
        <w:spacing w:line="360" w:lineRule="auto"/>
        <w:ind w:left="0" w:right="0" w:firstLine="480"/>
        <w:textAlignment w:val="auto"/>
        <w:rPr>
          <w:rFonts w:eastAsia="宋体"/>
          <w:color w:val="auto"/>
          <w:sz w:val="24"/>
          <w:highlight w:val="none"/>
        </w:rPr>
      </w:pPr>
      <w:r>
        <w:rPr>
          <w:rFonts w:eastAsia="宋体"/>
          <w:color w:val="auto"/>
          <w:sz w:val="24"/>
          <w:highlight w:val="none"/>
        </w:rPr>
        <w:t>V</w:t>
      </w:r>
      <w:r>
        <w:rPr>
          <w:rFonts w:eastAsia="宋体"/>
          <w:color w:val="auto"/>
          <w:sz w:val="24"/>
          <w:highlight w:val="none"/>
          <w:vertAlign w:val="subscript"/>
        </w:rPr>
        <w:t>2</w:t>
      </w:r>
      <w:r>
        <w:rPr>
          <w:rFonts w:eastAsia="宋体"/>
          <w:color w:val="auto"/>
          <w:sz w:val="24"/>
          <w:highlight w:val="none"/>
        </w:rPr>
        <w:t>——发生事故的储罐或装置的消防水量，m</w:t>
      </w:r>
      <w:r>
        <w:rPr>
          <w:rFonts w:eastAsia="宋体"/>
          <w:color w:val="auto"/>
          <w:sz w:val="24"/>
          <w:highlight w:val="none"/>
          <w:vertAlign w:val="superscript"/>
        </w:rPr>
        <w:t>3</w:t>
      </w:r>
      <w:r>
        <w:rPr>
          <w:rFonts w:eastAsia="宋体"/>
          <w:color w:val="auto"/>
          <w:sz w:val="24"/>
          <w:highlight w:val="none"/>
        </w:rPr>
        <w:t>；</w:t>
      </w:r>
    </w:p>
    <w:p w14:paraId="07DD72E3">
      <w:pPr>
        <w:pStyle w:val="97"/>
        <w:keepNext w:val="0"/>
        <w:keepLines w:val="0"/>
        <w:pageBreakBefore w:val="0"/>
        <w:widowControl w:val="0"/>
        <w:tabs>
          <w:tab w:val="left" w:pos="1069"/>
        </w:tabs>
        <w:kinsoku/>
        <w:wordWrap/>
        <w:overflowPunct/>
        <w:topLinePunct w:val="0"/>
        <w:bidi w:val="0"/>
        <w:adjustRightInd/>
        <w:snapToGrid/>
        <w:spacing w:line="360" w:lineRule="auto"/>
        <w:ind w:left="0" w:right="0" w:firstLine="480"/>
        <w:jc w:val="center"/>
        <w:textAlignment w:val="auto"/>
        <w:rPr>
          <w:rFonts w:eastAsia="宋体"/>
          <w:color w:val="auto"/>
          <w:sz w:val="24"/>
          <w:highlight w:val="none"/>
        </w:rPr>
      </w:pPr>
      <w:r>
        <w:rPr>
          <w:rFonts w:eastAsia="宋体"/>
          <w:color w:val="auto"/>
          <w:sz w:val="24"/>
          <w:highlight w:val="none"/>
        </w:rPr>
        <w:t>V</w:t>
      </w:r>
      <w:r>
        <w:rPr>
          <w:rFonts w:eastAsia="宋体"/>
          <w:color w:val="auto"/>
          <w:sz w:val="24"/>
          <w:highlight w:val="none"/>
          <w:vertAlign w:val="subscript"/>
        </w:rPr>
        <w:t>2</w:t>
      </w:r>
      <w:r>
        <w:rPr>
          <w:rFonts w:eastAsia="宋体"/>
          <w:color w:val="auto"/>
          <w:sz w:val="24"/>
          <w:highlight w:val="none"/>
        </w:rPr>
        <w:t>=ΣQ</w:t>
      </w:r>
      <w:r>
        <w:rPr>
          <w:rFonts w:eastAsia="宋体"/>
          <w:color w:val="auto"/>
          <w:sz w:val="24"/>
          <w:highlight w:val="none"/>
          <w:vertAlign w:val="subscript"/>
        </w:rPr>
        <w:t>消</w:t>
      </w:r>
      <w:r>
        <w:rPr>
          <w:rFonts w:eastAsia="宋体"/>
          <w:color w:val="auto"/>
          <w:sz w:val="24"/>
          <w:highlight w:val="none"/>
        </w:rPr>
        <w:t>×t</w:t>
      </w:r>
      <w:r>
        <w:rPr>
          <w:rFonts w:eastAsia="宋体"/>
          <w:color w:val="auto"/>
          <w:sz w:val="24"/>
          <w:highlight w:val="none"/>
          <w:vertAlign w:val="subscript"/>
        </w:rPr>
        <w:t>消</w:t>
      </w:r>
    </w:p>
    <w:p w14:paraId="04E876FE">
      <w:pPr>
        <w:pStyle w:val="97"/>
        <w:keepNext w:val="0"/>
        <w:keepLines w:val="0"/>
        <w:pageBreakBefore w:val="0"/>
        <w:widowControl w:val="0"/>
        <w:tabs>
          <w:tab w:val="left" w:pos="1069"/>
        </w:tabs>
        <w:kinsoku/>
        <w:wordWrap/>
        <w:overflowPunct/>
        <w:topLinePunct w:val="0"/>
        <w:bidi w:val="0"/>
        <w:adjustRightInd/>
        <w:snapToGrid/>
        <w:spacing w:line="360" w:lineRule="auto"/>
        <w:ind w:left="0" w:right="0" w:firstLine="480"/>
        <w:textAlignment w:val="auto"/>
        <w:rPr>
          <w:rFonts w:eastAsia="宋体"/>
          <w:color w:val="auto"/>
          <w:sz w:val="24"/>
          <w:highlight w:val="none"/>
        </w:rPr>
      </w:pPr>
      <w:r>
        <w:rPr>
          <w:rFonts w:eastAsia="宋体"/>
          <w:color w:val="auto"/>
          <w:sz w:val="24"/>
          <w:highlight w:val="none"/>
        </w:rPr>
        <w:t>Q</w:t>
      </w:r>
      <w:r>
        <w:rPr>
          <w:rFonts w:eastAsia="宋体"/>
          <w:color w:val="auto"/>
          <w:sz w:val="24"/>
          <w:highlight w:val="none"/>
          <w:vertAlign w:val="subscript"/>
        </w:rPr>
        <w:t>消</w:t>
      </w:r>
      <w:r>
        <w:rPr>
          <w:rFonts w:eastAsia="宋体"/>
          <w:color w:val="auto"/>
          <w:sz w:val="24"/>
          <w:highlight w:val="none"/>
        </w:rPr>
        <w:t>——发生事故的储罐或装置的同时使用的消防设施给水流量，m</w:t>
      </w:r>
      <w:r>
        <w:rPr>
          <w:rFonts w:eastAsia="宋体"/>
          <w:color w:val="auto"/>
          <w:sz w:val="24"/>
          <w:highlight w:val="none"/>
          <w:vertAlign w:val="superscript"/>
        </w:rPr>
        <w:t>3</w:t>
      </w:r>
      <w:r>
        <w:rPr>
          <w:rFonts w:eastAsia="宋体"/>
          <w:color w:val="auto"/>
          <w:sz w:val="24"/>
          <w:highlight w:val="none"/>
        </w:rPr>
        <w:t>/h；</w:t>
      </w:r>
    </w:p>
    <w:p w14:paraId="3A9608C0">
      <w:pPr>
        <w:pStyle w:val="97"/>
        <w:keepNext w:val="0"/>
        <w:keepLines w:val="0"/>
        <w:pageBreakBefore w:val="0"/>
        <w:widowControl w:val="0"/>
        <w:tabs>
          <w:tab w:val="left" w:pos="1069"/>
        </w:tabs>
        <w:kinsoku/>
        <w:wordWrap/>
        <w:overflowPunct/>
        <w:topLinePunct w:val="0"/>
        <w:bidi w:val="0"/>
        <w:adjustRightInd/>
        <w:snapToGrid/>
        <w:spacing w:line="360" w:lineRule="auto"/>
        <w:ind w:left="0" w:right="0" w:firstLine="480"/>
        <w:textAlignment w:val="auto"/>
        <w:rPr>
          <w:rFonts w:eastAsia="宋体"/>
          <w:color w:val="auto"/>
          <w:sz w:val="24"/>
          <w:highlight w:val="none"/>
        </w:rPr>
      </w:pPr>
      <w:r>
        <w:rPr>
          <w:rFonts w:eastAsia="宋体"/>
          <w:color w:val="auto"/>
          <w:sz w:val="24"/>
          <w:highlight w:val="none"/>
        </w:rPr>
        <w:t>t</w:t>
      </w:r>
      <w:r>
        <w:rPr>
          <w:rFonts w:eastAsia="宋体"/>
          <w:color w:val="auto"/>
          <w:sz w:val="24"/>
          <w:highlight w:val="none"/>
          <w:vertAlign w:val="subscript"/>
        </w:rPr>
        <w:t>消</w:t>
      </w:r>
      <w:r>
        <w:rPr>
          <w:rFonts w:eastAsia="宋体"/>
          <w:color w:val="auto"/>
          <w:sz w:val="24"/>
          <w:highlight w:val="none"/>
        </w:rPr>
        <w:t>——消防设施对应的设计消防历时，h；</w:t>
      </w:r>
    </w:p>
    <w:p w14:paraId="56A7E502">
      <w:pPr>
        <w:pStyle w:val="97"/>
        <w:keepNext w:val="0"/>
        <w:keepLines w:val="0"/>
        <w:pageBreakBefore w:val="0"/>
        <w:widowControl w:val="0"/>
        <w:tabs>
          <w:tab w:val="left" w:pos="1069"/>
        </w:tabs>
        <w:kinsoku/>
        <w:wordWrap/>
        <w:overflowPunct/>
        <w:topLinePunct w:val="0"/>
        <w:bidi w:val="0"/>
        <w:adjustRightInd/>
        <w:snapToGrid/>
        <w:spacing w:line="360" w:lineRule="auto"/>
        <w:ind w:left="0" w:right="0" w:firstLine="480"/>
        <w:textAlignment w:val="auto"/>
        <w:rPr>
          <w:rFonts w:eastAsia="宋体"/>
          <w:color w:val="auto"/>
          <w:sz w:val="24"/>
          <w:highlight w:val="none"/>
        </w:rPr>
      </w:pPr>
      <w:r>
        <w:rPr>
          <w:rFonts w:eastAsia="宋体"/>
          <w:color w:val="auto"/>
          <w:sz w:val="24"/>
          <w:highlight w:val="none"/>
        </w:rPr>
        <w:t>V</w:t>
      </w:r>
      <w:r>
        <w:rPr>
          <w:rFonts w:eastAsia="宋体"/>
          <w:color w:val="auto"/>
          <w:sz w:val="24"/>
          <w:highlight w:val="none"/>
          <w:vertAlign w:val="subscript"/>
        </w:rPr>
        <w:t>3</w:t>
      </w:r>
      <w:r>
        <w:rPr>
          <w:rFonts w:eastAsia="宋体"/>
          <w:color w:val="auto"/>
          <w:sz w:val="24"/>
          <w:highlight w:val="none"/>
        </w:rPr>
        <w:t>——发生事故时可以转输到其他储存或处理设施的物料量，m</w:t>
      </w:r>
      <w:r>
        <w:rPr>
          <w:rFonts w:eastAsia="宋体"/>
          <w:color w:val="auto"/>
          <w:sz w:val="24"/>
          <w:highlight w:val="none"/>
          <w:vertAlign w:val="superscript"/>
        </w:rPr>
        <w:t>3</w:t>
      </w:r>
      <w:r>
        <w:rPr>
          <w:rFonts w:eastAsia="宋体"/>
          <w:color w:val="auto"/>
          <w:sz w:val="24"/>
          <w:highlight w:val="none"/>
        </w:rPr>
        <w:t>；</w:t>
      </w:r>
    </w:p>
    <w:p w14:paraId="292050B6">
      <w:pPr>
        <w:pStyle w:val="97"/>
        <w:keepNext w:val="0"/>
        <w:keepLines w:val="0"/>
        <w:pageBreakBefore w:val="0"/>
        <w:widowControl w:val="0"/>
        <w:tabs>
          <w:tab w:val="left" w:pos="1069"/>
        </w:tabs>
        <w:kinsoku/>
        <w:wordWrap/>
        <w:overflowPunct/>
        <w:topLinePunct w:val="0"/>
        <w:bidi w:val="0"/>
        <w:adjustRightInd/>
        <w:snapToGrid/>
        <w:spacing w:line="360" w:lineRule="auto"/>
        <w:ind w:left="0" w:right="0" w:firstLine="480"/>
        <w:textAlignment w:val="auto"/>
        <w:rPr>
          <w:rFonts w:eastAsia="宋体"/>
          <w:color w:val="auto"/>
          <w:sz w:val="24"/>
          <w:highlight w:val="none"/>
        </w:rPr>
      </w:pPr>
      <w:r>
        <w:rPr>
          <w:rFonts w:eastAsia="宋体"/>
          <w:color w:val="auto"/>
          <w:sz w:val="24"/>
          <w:highlight w:val="none"/>
        </w:rPr>
        <w:t>V</w:t>
      </w:r>
      <w:r>
        <w:rPr>
          <w:rFonts w:eastAsia="宋体"/>
          <w:color w:val="auto"/>
          <w:sz w:val="24"/>
          <w:highlight w:val="none"/>
          <w:vertAlign w:val="subscript"/>
        </w:rPr>
        <w:t>4</w:t>
      </w:r>
      <w:r>
        <w:rPr>
          <w:rFonts w:eastAsia="宋体"/>
          <w:color w:val="auto"/>
          <w:sz w:val="24"/>
          <w:highlight w:val="none"/>
        </w:rPr>
        <w:t>——发生事故时仍必须进入该收集系统的生产废水量，m</w:t>
      </w:r>
      <w:r>
        <w:rPr>
          <w:rFonts w:eastAsia="宋体"/>
          <w:color w:val="auto"/>
          <w:sz w:val="24"/>
          <w:highlight w:val="none"/>
          <w:vertAlign w:val="superscript"/>
        </w:rPr>
        <w:t>3</w:t>
      </w:r>
      <w:r>
        <w:rPr>
          <w:rFonts w:eastAsia="宋体"/>
          <w:color w:val="auto"/>
          <w:sz w:val="24"/>
          <w:highlight w:val="none"/>
        </w:rPr>
        <w:t>；</w:t>
      </w:r>
    </w:p>
    <w:p w14:paraId="0F679984">
      <w:pPr>
        <w:pStyle w:val="97"/>
        <w:keepNext w:val="0"/>
        <w:keepLines w:val="0"/>
        <w:pageBreakBefore w:val="0"/>
        <w:widowControl w:val="0"/>
        <w:tabs>
          <w:tab w:val="left" w:pos="1069"/>
        </w:tabs>
        <w:kinsoku/>
        <w:wordWrap/>
        <w:overflowPunct/>
        <w:topLinePunct w:val="0"/>
        <w:bidi w:val="0"/>
        <w:adjustRightInd/>
        <w:snapToGrid/>
        <w:spacing w:line="360" w:lineRule="auto"/>
        <w:ind w:left="0" w:right="0" w:firstLine="480"/>
        <w:textAlignment w:val="auto"/>
        <w:rPr>
          <w:rFonts w:eastAsia="宋体"/>
          <w:color w:val="auto"/>
          <w:sz w:val="24"/>
          <w:highlight w:val="none"/>
        </w:rPr>
      </w:pPr>
      <w:r>
        <w:rPr>
          <w:rFonts w:eastAsia="宋体"/>
          <w:color w:val="auto"/>
          <w:sz w:val="24"/>
          <w:highlight w:val="none"/>
        </w:rPr>
        <w:t>V</w:t>
      </w:r>
      <w:r>
        <w:rPr>
          <w:rFonts w:eastAsia="宋体"/>
          <w:color w:val="auto"/>
          <w:sz w:val="24"/>
          <w:highlight w:val="none"/>
          <w:vertAlign w:val="subscript"/>
        </w:rPr>
        <w:t>5</w:t>
      </w:r>
      <w:r>
        <w:rPr>
          <w:rFonts w:eastAsia="宋体"/>
          <w:color w:val="auto"/>
          <w:sz w:val="24"/>
          <w:highlight w:val="none"/>
        </w:rPr>
        <w:t>——发生事故时可能进入该收集系统的降雨量，m</w:t>
      </w:r>
      <w:r>
        <w:rPr>
          <w:rFonts w:eastAsia="宋体"/>
          <w:color w:val="auto"/>
          <w:sz w:val="24"/>
          <w:highlight w:val="none"/>
          <w:vertAlign w:val="superscript"/>
        </w:rPr>
        <w:t>3</w:t>
      </w:r>
      <w:r>
        <w:rPr>
          <w:rFonts w:eastAsia="宋体"/>
          <w:color w:val="auto"/>
          <w:sz w:val="24"/>
          <w:highlight w:val="none"/>
        </w:rPr>
        <w:t>。</w:t>
      </w:r>
    </w:p>
    <w:p w14:paraId="1B63C47F">
      <w:pPr>
        <w:pStyle w:val="97"/>
        <w:keepNext w:val="0"/>
        <w:keepLines w:val="0"/>
        <w:pageBreakBefore w:val="0"/>
        <w:widowControl w:val="0"/>
        <w:tabs>
          <w:tab w:val="left" w:pos="1069"/>
        </w:tabs>
        <w:kinsoku/>
        <w:wordWrap/>
        <w:overflowPunct/>
        <w:topLinePunct w:val="0"/>
        <w:bidi w:val="0"/>
        <w:adjustRightInd/>
        <w:snapToGrid/>
        <w:spacing w:line="360" w:lineRule="auto"/>
        <w:ind w:left="0" w:right="0" w:firstLine="480"/>
        <w:textAlignment w:val="auto"/>
        <w:rPr>
          <w:rFonts w:eastAsia="宋体"/>
          <w:color w:val="auto"/>
          <w:sz w:val="24"/>
          <w:highlight w:val="none"/>
        </w:rPr>
      </w:pPr>
      <w:r>
        <w:rPr>
          <w:rFonts w:eastAsia="宋体"/>
          <w:color w:val="auto"/>
          <w:sz w:val="24"/>
          <w:highlight w:val="none"/>
        </w:rPr>
        <w:t>①V</w:t>
      </w:r>
      <w:r>
        <w:rPr>
          <w:rFonts w:eastAsia="宋体"/>
          <w:color w:val="auto"/>
          <w:sz w:val="24"/>
          <w:highlight w:val="none"/>
          <w:vertAlign w:val="subscript"/>
        </w:rPr>
        <w:t>1</w:t>
      </w:r>
      <w:r>
        <w:rPr>
          <w:rFonts w:eastAsia="宋体"/>
          <w:color w:val="auto"/>
          <w:sz w:val="24"/>
          <w:highlight w:val="none"/>
        </w:rPr>
        <w:t>：公司一工</w:t>
      </w:r>
      <w:r>
        <w:rPr>
          <w:rFonts w:hint="eastAsia" w:eastAsia="宋体"/>
          <w:color w:val="auto"/>
          <w:sz w:val="24"/>
          <w:highlight w:val="none"/>
          <w:lang w:val="en-US" w:eastAsia="zh-CN"/>
        </w:rPr>
        <w:t>场</w:t>
      </w:r>
      <w:r>
        <w:rPr>
          <w:rFonts w:eastAsia="宋体"/>
          <w:color w:val="auto"/>
          <w:sz w:val="24"/>
          <w:highlight w:val="none"/>
        </w:rPr>
        <w:t>、二工</w:t>
      </w:r>
      <w:r>
        <w:rPr>
          <w:rFonts w:hint="eastAsia" w:eastAsia="宋体"/>
          <w:color w:val="auto"/>
          <w:sz w:val="24"/>
          <w:highlight w:val="none"/>
          <w:lang w:val="en-US" w:eastAsia="zh-CN"/>
        </w:rPr>
        <w:t>场</w:t>
      </w:r>
      <w:r>
        <w:rPr>
          <w:rFonts w:eastAsia="宋体"/>
          <w:color w:val="auto"/>
          <w:sz w:val="24"/>
          <w:highlight w:val="none"/>
        </w:rPr>
        <w:t>的</w:t>
      </w:r>
      <w:r>
        <w:rPr>
          <w:rFonts w:hint="eastAsia" w:eastAsia="宋体"/>
          <w:color w:val="auto"/>
          <w:sz w:val="24"/>
          <w:highlight w:val="none"/>
          <w:lang w:val="en-US" w:eastAsia="zh-CN"/>
        </w:rPr>
        <w:t>混合</w:t>
      </w:r>
      <w:r>
        <w:rPr>
          <w:rFonts w:eastAsia="宋体"/>
          <w:color w:val="auto"/>
          <w:sz w:val="24"/>
          <w:highlight w:val="none"/>
        </w:rPr>
        <w:t>釜最大规格为8000L，V</w:t>
      </w:r>
      <w:r>
        <w:rPr>
          <w:rFonts w:eastAsia="宋体"/>
          <w:color w:val="auto"/>
          <w:sz w:val="24"/>
          <w:highlight w:val="none"/>
          <w:vertAlign w:val="subscript"/>
        </w:rPr>
        <w:t>1</w:t>
      </w:r>
      <w:r>
        <w:rPr>
          <w:rFonts w:eastAsia="宋体"/>
          <w:color w:val="auto"/>
          <w:sz w:val="24"/>
          <w:highlight w:val="none"/>
        </w:rPr>
        <w:t>以8m</w:t>
      </w:r>
      <w:r>
        <w:rPr>
          <w:rFonts w:eastAsia="宋体"/>
          <w:color w:val="auto"/>
          <w:sz w:val="24"/>
          <w:highlight w:val="none"/>
          <w:vertAlign w:val="superscript"/>
        </w:rPr>
        <w:t>3</w:t>
      </w:r>
      <w:r>
        <w:rPr>
          <w:rFonts w:eastAsia="宋体"/>
          <w:color w:val="auto"/>
          <w:sz w:val="24"/>
          <w:highlight w:val="none"/>
        </w:rPr>
        <w:t>计；</w:t>
      </w:r>
      <w:r>
        <w:rPr>
          <w:rFonts w:hint="eastAsia" w:eastAsia="宋体"/>
          <w:color w:val="auto"/>
          <w:sz w:val="24"/>
          <w:highlight w:val="none"/>
          <w:lang w:eastAsia="zh-CN"/>
        </w:rPr>
        <w:t>危险品仓库</w:t>
      </w:r>
      <w:r>
        <w:rPr>
          <w:rFonts w:eastAsia="宋体"/>
          <w:color w:val="auto"/>
          <w:sz w:val="24"/>
          <w:highlight w:val="none"/>
        </w:rPr>
        <w:t>及成品库包装桶最大规格为200L/桶，V</w:t>
      </w:r>
      <w:r>
        <w:rPr>
          <w:rFonts w:eastAsia="宋体"/>
          <w:color w:val="auto"/>
          <w:sz w:val="24"/>
          <w:highlight w:val="none"/>
          <w:vertAlign w:val="subscript"/>
        </w:rPr>
        <w:t>1</w:t>
      </w:r>
      <w:r>
        <w:rPr>
          <w:rFonts w:eastAsia="宋体"/>
          <w:color w:val="auto"/>
          <w:sz w:val="24"/>
          <w:highlight w:val="none"/>
        </w:rPr>
        <w:t>以0.2m</w:t>
      </w:r>
      <w:r>
        <w:rPr>
          <w:rFonts w:eastAsia="宋体"/>
          <w:color w:val="auto"/>
          <w:sz w:val="24"/>
          <w:highlight w:val="none"/>
          <w:vertAlign w:val="superscript"/>
        </w:rPr>
        <w:t>3</w:t>
      </w:r>
      <w:r>
        <w:rPr>
          <w:rFonts w:eastAsia="宋体"/>
          <w:color w:val="auto"/>
          <w:sz w:val="24"/>
          <w:highlight w:val="none"/>
        </w:rPr>
        <w:t>计；柴油最大存储量为0.65t，柴油密度以0.83g/mL计，V</w:t>
      </w:r>
      <w:r>
        <w:rPr>
          <w:rFonts w:eastAsia="宋体"/>
          <w:color w:val="auto"/>
          <w:sz w:val="24"/>
          <w:highlight w:val="none"/>
          <w:vertAlign w:val="subscript"/>
        </w:rPr>
        <w:t>1</w:t>
      </w:r>
      <w:r>
        <w:rPr>
          <w:rFonts w:eastAsia="宋体"/>
          <w:color w:val="auto"/>
          <w:sz w:val="24"/>
          <w:highlight w:val="none"/>
        </w:rPr>
        <w:t>取0.78m</w:t>
      </w:r>
      <w:r>
        <w:rPr>
          <w:rFonts w:eastAsia="宋体"/>
          <w:color w:val="auto"/>
          <w:sz w:val="24"/>
          <w:highlight w:val="none"/>
          <w:vertAlign w:val="superscript"/>
        </w:rPr>
        <w:t>3</w:t>
      </w:r>
      <w:r>
        <w:rPr>
          <w:rFonts w:eastAsia="宋体"/>
          <w:color w:val="auto"/>
          <w:sz w:val="24"/>
          <w:highlight w:val="none"/>
        </w:rPr>
        <w:t>；危废仓库包装桶最大规格为200L/桶，V</w:t>
      </w:r>
      <w:r>
        <w:rPr>
          <w:rFonts w:eastAsia="宋体"/>
          <w:color w:val="auto"/>
          <w:sz w:val="24"/>
          <w:highlight w:val="none"/>
          <w:vertAlign w:val="subscript"/>
        </w:rPr>
        <w:t>1</w:t>
      </w:r>
      <w:r>
        <w:rPr>
          <w:rFonts w:eastAsia="宋体"/>
          <w:color w:val="auto"/>
          <w:sz w:val="24"/>
          <w:highlight w:val="none"/>
        </w:rPr>
        <w:t>以0.2m</w:t>
      </w:r>
      <w:r>
        <w:rPr>
          <w:rFonts w:eastAsia="宋体"/>
          <w:color w:val="auto"/>
          <w:sz w:val="24"/>
          <w:highlight w:val="none"/>
          <w:vertAlign w:val="superscript"/>
        </w:rPr>
        <w:t>3</w:t>
      </w:r>
      <w:r>
        <w:rPr>
          <w:rFonts w:eastAsia="宋体"/>
          <w:color w:val="auto"/>
          <w:sz w:val="24"/>
          <w:highlight w:val="none"/>
        </w:rPr>
        <w:t>计；柴油储罐区柴油最大存储量为10t，柴油密度以0.83g/mL计，V</w:t>
      </w:r>
      <w:r>
        <w:rPr>
          <w:rFonts w:eastAsia="宋体"/>
          <w:color w:val="auto"/>
          <w:sz w:val="24"/>
          <w:highlight w:val="none"/>
          <w:vertAlign w:val="subscript"/>
        </w:rPr>
        <w:t>1</w:t>
      </w:r>
      <w:r>
        <w:rPr>
          <w:rFonts w:eastAsia="宋体"/>
          <w:color w:val="auto"/>
          <w:sz w:val="24"/>
          <w:highlight w:val="none"/>
        </w:rPr>
        <w:t>取12m</w:t>
      </w:r>
      <w:r>
        <w:rPr>
          <w:rFonts w:eastAsia="宋体"/>
          <w:color w:val="auto"/>
          <w:sz w:val="24"/>
          <w:highlight w:val="none"/>
          <w:vertAlign w:val="superscript"/>
        </w:rPr>
        <w:t>3</w:t>
      </w:r>
      <w:r>
        <w:rPr>
          <w:rFonts w:eastAsia="宋体"/>
          <w:color w:val="auto"/>
          <w:sz w:val="24"/>
          <w:highlight w:val="none"/>
        </w:rPr>
        <w:t>；喷淋废液储罐区最大存储量为</w:t>
      </w:r>
      <w:r>
        <w:rPr>
          <w:rFonts w:hint="eastAsia" w:eastAsia="宋体"/>
          <w:color w:val="auto"/>
          <w:sz w:val="24"/>
          <w:highlight w:val="none"/>
        </w:rPr>
        <w:t>2</w:t>
      </w:r>
      <w:r>
        <w:rPr>
          <w:rFonts w:eastAsia="宋体"/>
          <w:color w:val="auto"/>
          <w:sz w:val="24"/>
          <w:highlight w:val="none"/>
        </w:rPr>
        <w:t>0m</w:t>
      </w:r>
      <w:r>
        <w:rPr>
          <w:rFonts w:eastAsia="宋体"/>
          <w:color w:val="auto"/>
          <w:sz w:val="24"/>
          <w:highlight w:val="none"/>
          <w:vertAlign w:val="superscript"/>
        </w:rPr>
        <w:t>3</w:t>
      </w:r>
      <w:r>
        <w:rPr>
          <w:rFonts w:eastAsia="宋体"/>
          <w:color w:val="auto"/>
          <w:sz w:val="24"/>
          <w:highlight w:val="none"/>
        </w:rPr>
        <w:t>，V</w:t>
      </w:r>
      <w:r>
        <w:rPr>
          <w:rFonts w:eastAsia="宋体"/>
          <w:color w:val="auto"/>
          <w:sz w:val="24"/>
          <w:highlight w:val="none"/>
          <w:vertAlign w:val="subscript"/>
        </w:rPr>
        <w:t>1</w:t>
      </w:r>
      <w:r>
        <w:rPr>
          <w:rFonts w:eastAsia="宋体"/>
          <w:color w:val="auto"/>
          <w:sz w:val="24"/>
          <w:highlight w:val="none"/>
        </w:rPr>
        <w:t>取</w:t>
      </w:r>
      <w:r>
        <w:rPr>
          <w:rFonts w:hint="eastAsia" w:eastAsia="宋体"/>
          <w:color w:val="auto"/>
          <w:sz w:val="24"/>
          <w:highlight w:val="none"/>
        </w:rPr>
        <w:t>2</w:t>
      </w:r>
      <w:r>
        <w:rPr>
          <w:rFonts w:eastAsia="宋体"/>
          <w:color w:val="auto"/>
          <w:sz w:val="24"/>
          <w:highlight w:val="none"/>
        </w:rPr>
        <w:t>0m</w:t>
      </w:r>
      <w:r>
        <w:rPr>
          <w:rFonts w:eastAsia="宋体"/>
          <w:color w:val="auto"/>
          <w:sz w:val="24"/>
          <w:highlight w:val="none"/>
          <w:vertAlign w:val="superscript"/>
        </w:rPr>
        <w:t>3</w:t>
      </w:r>
      <w:r>
        <w:rPr>
          <w:rFonts w:eastAsia="宋体"/>
          <w:color w:val="auto"/>
          <w:sz w:val="24"/>
          <w:highlight w:val="none"/>
        </w:rPr>
        <w:t>。因此V1最大为</w:t>
      </w:r>
      <w:r>
        <w:rPr>
          <w:rFonts w:hint="eastAsia" w:eastAsia="宋体"/>
          <w:color w:val="auto"/>
          <w:sz w:val="24"/>
          <w:highlight w:val="none"/>
        </w:rPr>
        <w:t>2</w:t>
      </w:r>
      <w:r>
        <w:rPr>
          <w:rFonts w:eastAsia="宋体"/>
          <w:color w:val="auto"/>
          <w:sz w:val="24"/>
          <w:highlight w:val="none"/>
        </w:rPr>
        <w:t>0m</w:t>
      </w:r>
      <w:r>
        <w:rPr>
          <w:rFonts w:eastAsia="宋体"/>
          <w:color w:val="auto"/>
          <w:sz w:val="24"/>
          <w:highlight w:val="none"/>
          <w:vertAlign w:val="superscript"/>
        </w:rPr>
        <w:t>3</w:t>
      </w:r>
      <w:r>
        <w:rPr>
          <w:rFonts w:eastAsia="宋体"/>
          <w:color w:val="auto"/>
          <w:sz w:val="24"/>
          <w:highlight w:val="none"/>
        </w:rPr>
        <w:t>。</w:t>
      </w:r>
    </w:p>
    <w:p w14:paraId="2F6A2DD6">
      <w:pPr>
        <w:pStyle w:val="97"/>
        <w:keepNext w:val="0"/>
        <w:keepLines w:val="0"/>
        <w:pageBreakBefore w:val="0"/>
        <w:widowControl w:val="0"/>
        <w:tabs>
          <w:tab w:val="left" w:pos="1069"/>
        </w:tabs>
        <w:kinsoku/>
        <w:wordWrap/>
        <w:overflowPunct/>
        <w:topLinePunct w:val="0"/>
        <w:bidi w:val="0"/>
        <w:adjustRightInd/>
        <w:snapToGrid/>
        <w:spacing w:line="360" w:lineRule="auto"/>
        <w:ind w:left="0" w:right="0" w:firstLine="480"/>
        <w:textAlignment w:val="auto"/>
        <w:rPr>
          <w:rFonts w:eastAsia="宋体"/>
          <w:color w:val="auto"/>
          <w:sz w:val="24"/>
          <w:highlight w:val="none"/>
        </w:rPr>
      </w:pPr>
      <w:r>
        <w:rPr>
          <w:rFonts w:eastAsia="宋体"/>
          <w:color w:val="auto"/>
          <w:sz w:val="24"/>
          <w:highlight w:val="none"/>
        </w:rPr>
        <w:t>②根据《消防给水及消火栓系统技术规范》（GB50974-2014），消防废水</w:t>
      </w:r>
    </w:p>
    <w:p w14:paraId="3F235627">
      <w:pPr>
        <w:pStyle w:val="97"/>
        <w:keepNext w:val="0"/>
        <w:keepLines w:val="0"/>
        <w:pageBreakBefore w:val="0"/>
        <w:widowControl w:val="0"/>
        <w:tabs>
          <w:tab w:val="left" w:pos="1069"/>
        </w:tabs>
        <w:kinsoku/>
        <w:wordWrap/>
        <w:overflowPunct/>
        <w:topLinePunct w:val="0"/>
        <w:bidi w:val="0"/>
        <w:adjustRightInd/>
        <w:snapToGrid/>
        <w:spacing w:line="360" w:lineRule="auto"/>
        <w:ind w:left="0" w:right="0" w:firstLine="480"/>
        <w:textAlignment w:val="auto"/>
        <w:rPr>
          <w:rFonts w:eastAsia="宋体"/>
          <w:color w:val="auto"/>
          <w:sz w:val="24"/>
          <w:highlight w:val="none"/>
        </w:rPr>
      </w:pPr>
      <w:r>
        <w:rPr>
          <w:rFonts w:eastAsia="宋体"/>
          <w:color w:val="auto"/>
          <w:sz w:val="24"/>
          <w:highlight w:val="none"/>
        </w:rPr>
        <w:t>按下列公式计算：</w:t>
      </w:r>
    </w:p>
    <w:p w14:paraId="52E16890">
      <w:pPr>
        <w:pStyle w:val="97"/>
        <w:tabs>
          <w:tab w:val="left" w:pos="1069"/>
        </w:tabs>
        <w:spacing w:line="360" w:lineRule="auto"/>
        <w:ind w:left="-105" w:right="-105" w:firstLine="480"/>
        <w:jc w:val="center"/>
        <w:rPr>
          <w:rFonts w:eastAsia="宋体"/>
          <w:color w:val="auto"/>
          <w:sz w:val="24"/>
          <w:highlight w:val="none"/>
        </w:rPr>
      </w:pPr>
      <w:r>
        <w:rPr>
          <w:rFonts w:eastAsia="宋体"/>
          <w:color w:val="auto"/>
          <w:sz w:val="24"/>
          <w:highlight w:val="none"/>
        </w:rPr>
        <w:drawing>
          <wp:inline distT="0" distB="0" distL="0" distR="0">
            <wp:extent cx="1648460" cy="1197610"/>
            <wp:effectExtent l="0" t="0" r="8890" b="2540"/>
            <wp:docPr id="49" name="IM 176"/>
            <wp:cNvGraphicFramePr/>
            <a:graphic xmlns:a="http://schemas.openxmlformats.org/drawingml/2006/main">
              <a:graphicData uri="http://schemas.openxmlformats.org/drawingml/2006/picture">
                <pic:pic xmlns:pic="http://schemas.openxmlformats.org/drawingml/2006/picture">
                  <pic:nvPicPr>
                    <pic:cNvPr id="49" name="IM 176"/>
                    <pic:cNvPicPr/>
                  </pic:nvPicPr>
                  <pic:blipFill>
                    <a:blip r:embed="rId70"/>
                    <a:stretch>
                      <a:fillRect/>
                    </a:stretch>
                  </pic:blipFill>
                  <pic:spPr>
                    <a:xfrm>
                      <a:off x="0" y="0"/>
                      <a:ext cx="1648460" cy="1197610"/>
                    </a:xfrm>
                    <a:prstGeom prst="rect">
                      <a:avLst/>
                    </a:prstGeom>
                  </pic:spPr>
                </pic:pic>
              </a:graphicData>
            </a:graphic>
          </wp:inline>
        </w:drawing>
      </w:r>
    </w:p>
    <w:p w14:paraId="2AB911E6">
      <w:pPr>
        <w:pStyle w:val="97"/>
        <w:keepNext w:val="0"/>
        <w:keepLines w:val="0"/>
        <w:pageBreakBefore w:val="0"/>
        <w:widowControl w:val="0"/>
        <w:tabs>
          <w:tab w:val="left" w:pos="1069"/>
        </w:tabs>
        <w:kinsoku/>
        <w:wordWrap/>
        <w:overflowPunct/>
        <w:topLinePunct w:val="0"/>
        <w:autoSpaceDE/>
        <w:autoSpaceDN/>
        <w:bidi w:val="0"/>
        <w:adjustRightInd/>
        <w:snapToGrid/>
        <w:spacing w:line="360" w:lineRule="auto"/>
        <w:ind w:left="0" w:right="0" w:firstLine="480"/>
        <w:textAlignment w:val="auto"/>
        <w:rPr>
          <w:rFonts w:eastAsia="宋体"/>
          <w:color w:val="auto"/>
          <w:sz w:val="24"/>
          <w:highlight w:val="none"/>
        </w:rPr>
      </w:pPr>
      <w:r>
        <w:rPr>
          <w:rFonts w:eastAsia="宋体"/>
          <w:color w:val="auto"/>
          <w:sz w:val="24"/>
          <w:highlight w:val="none"/>
        </w:rPr>
        <w:t>式中：V—建筑消防给水一起火灾灭火用水总量（m</w:t>
      </w:r>
      <w:r>
        <w:rPr>
          <w:rFonts w:eastAsia="宋体"/>
          <w:color w:val="auto"/>
          <w:sz w:val="24"/>
          <w:highlight w:val="none"/>
          <w:vertAlign w:val="superscript"/>
        </w:rPr>
        <w:t>3</w:t>
      </w:r>
      <w:r>
        <w:rPr>
          <w:rFonts w:eastAsia="宋体"/>
          <w:color w:val="auto"/>
          <w:sz w:val="24"/>
          <w:highlight w:val="none"/>
        </w:rPr>
        <w:t>）；</w:t>
      </w:r>
    </w:p>
    <w:p w14:paraId="4F907E84">
      <w:pPr>
        <w:pStyle w:val="97"/>
        <w:keepNext w:val="0"/>
        <w:keepLines w:val="0"/>
        <w:pageBreakBefore w:val="0"/>
        <w:widowControl w:val="0"/>
        <w:tabs>
          <w:tab w:val="left" w:pos="1069"/>
        </w:tabs>
        <w:kinsoku/>
        <w:wordWrap/>
        <w:overflowPunct/>
        <w:topLinePunct w:val="0"/>
        <w:autoSpaceDE/>
        <w:autoSpaceDN/>
        <w:bidi w:val="0"/>
        <w:adjustRightInd/>
        <w:snapToGrid/>
        <w:spacing w:line="360" w:lineRule="auto"/>
        <w:ind w:left="0" w:right="0" w:firstLine="480"/>
        <w:textAlignment w:val="auto"/>
        <w:rPr>
          <w:rFonts w:eastAsia="宋体"/>
          <w:color w:val="auto"/>
          <w:sz w:val="24"/>
          <w:highlight w:val="none"/>
        </w:rPr>
      </w:pPr>
      <w:r>
        <w:rPr>
          <w:rFonts w:eastAsia="宋体"/>
          <w:color w:val="auto"/>
          <w:sz w:val="24"/>
          <w:highlight w:val="none"/>
        </w:rPr>
        <w:t>V</w:t>
      </w:r>
      <w:r>
        <w:rPr>
          <w:rFonts w:eastAsia="宋体"/>
          <w:color w:val="auto"/>
          <w:sz w:val="24"/>
          <w:highlight w:val="none"/>
          <w:vertAlign w:val="subscript"/>
        </w:rPr>
        <w:t>1</w:t>
      </w:r>
      <w:r>
        <w:rPr>
          <w:rFonts w:eastAsia="宋体"/>
          <w:color w:val="auto"/>
          <w:sz w:val="24"/>
          <w:highlight w:val="none"/>
        </w:rPr>
        <w:t>—室外消防给水一起火灾灭火用水量（m</w:t>
      </w:r>
      <w:r>
        <w:rPr>
          <w:rFonts w:eastAsia="宋体"/>
          <w:color w:val="auto"/>
          <w:sz w:val="24"/>
          <w:highlight w:val="none"/>
          <w:vertAlign w:val="superscript"/>
        </w:rPr>
        <w:t>3</w:t>
      </w:r>
      <w:r>
        <w:rPr>
          <w:rFonts w:eastAsia="宋体"/>
          <w:color w:val="auto"/>
          <w:sz w:val="24"/>
          <w:highlight w:val="none"/>
        </w:rPr>
        <w:t>）；</w:t>
      </w:r>
    </w:p>
    <w:p w14:paraId="555BA83F">
      <w:pPr>
        <w:pStyle w:val="97"/>
        <w:keepNext w:val="0"/>
        <w:keepLines w:val="0"/>
        <w:pageBreakBefore w:val="0"/>
        <w:widowControl w:val="0"/>
        <w:tabs>
          <w:tab w:val="left" w:pos="1069"/>
        </w:tabs>
        <w:kinsoku/>
        <w:wordWrap/>
        <w:overflowPunct/>
        <w:topLinePunct w:val="0"/>
        <w:autoSpaceDE/>
        <w:autoSpaceDN/>
        <w:bidi w:val="0"/>
        <w:adjustRightInd/>
        <w:snapToGrid/>
        <w:spacing w:line="360" w:lineRule="auto"/>
        <w:ind w:left="0" w:right="0" w:firstLine="480"/>
        <w:textAlignment w:val="auto"/>
        <w:rPr>
          <w:rFonts w:eastAsia="宋体"/>
          <w:color w:val="auto"/>
          <w:sz w:val="24"/>
          <w:highlight w:val="none"/>
        </w:rPr>
      </w:pPr>
      <w:r>
        <w:rPr>
          <w:rFonts w:eastAsia="宋体"/>
          <w:color w:val="auto"/>
          <w:sz w:val="24"/>
          <w:highlight w:val="none"/>
        </w:rPr>
        <w:t>V</w:t>
      </w:r>
      <w:r>
        <w:rPr>
          <w:rFonts w:eastAsia="宋体"/>
          <w:color w:val="auto"/>
          <w:sz w:val="24"/>
          <w:highlight w:val="none"/>
          <w:vertAlign w:val="subscript"/>
        </w:rPr>
        <w:t>2</w:t>
      </w:r>
      <w:r>
        <w:rPr>
          <w:rFonts w:eastAsia="宋体"/>
          <w:color w:val="auto"/>
          <w:sz w:val="24"/>
          <w:highlight w:val="none"/>
        </w:rPr>
        <w:t>—室内消防给水一起火灾灭火用水量（m</w:t>
      </w:r>
      <w:r>
        <w:rPr>
          <w:rFonts w:eastAsia="宋体"/>
          <w:color w:val="auto"/>
          <w:sz w:val="24"/>
          <w:highlight w:val="none"/>
          <w:vertAlign w:val="superscript"/>
        </w:rPr>
        <w:t>3</w:t>
      </w:r>
      <w:r>
        <w:rPr>
          <w:rFonts w:eastAsia="宋体"/>
          <w:color w:val="auto"/>
          <w:sz w:val="24"/>
          <w:highlight w:val="none"/>
        </w:rPr>
        <w:t>）；</w:t>
      </w:r>
    </w:p>
    <w:p w14:paraId="429DE718">
      <w:pPr>
        <w:pStyle w:val="97"/>
        <w:keepNext w:val="0"/>
        <w:keepLines w:val="0"/>
        <w:pageBreakBefore w:val="0"/>
        <w:widowControl w:val="0"/>
        <w:tabs>
          <w:tab w:val="left" w:pos="1069"/>
        </w:tabs>
        <w:kinsoku/>
        <w:wordWrap/>
        <w:overflowPunct/>
        <w:topLinePunct w:val="0"/>
        <w:autoSpaceDE/>
        <w:autoSpaceDN/>
        <w:bidi w:val="0"/>
        <w:adjustRightInd/>
        <w:snapToGrid/>
        <w:spacing w:line="360" w:lineRule="auto"/>
        <w:ind w:left="0" w:right="0" w:firstLine="480"/>
        <w:textAlignment w:val="auto"/>
        <w:rPr>
          <w:rFonts w:eastAsia="宋体"/>
          <w:color w:val="auto"/>
          <w:sz w:val="24"/>
          <w:highlight w:val="none"/>
        </w:rPr>
      </w:pPr>
      <w:r>
        <w:rPr>
          <w:rFonts w:eastAsia="宋体"/>
          <w:color w:val="auto"/>
          <w:sz w:val="24"/>
          <w:highlight w:val="none"/>
        </w:rPr>
        <w:t>q</w:t>
      </w:r>
      <w:r>
        <w:rPr>
          <w:rFonts w:eastAsia="宋体"/>
          <w:color w:val="auto"/>
          <w:sz w:val="24"/>
          <w:highlight w:val="none"/>
          <w:vertAlign w:val="subscript"/>
        </w:rPr>
        <w:t>1</w:t>
      </w:r>
      <w:r>
        <w:rPr>
          <w:rFonts w:eastAsia="宋体"/>
          <w:color w:val="auto"/>
          <w:sz w:val="24"/>
          <w:highlight w:val="none"/>
        </w:rPr>
        <w:t>—室外第i种水灭火系统的设计流量（L/s）；</w:t>
      </w:r>
    </w:p>
    <w:p w14:paraId="49D43F25">
      <w:pPr>
        <w:pStyle w:val="97"/>
        <w:keepNext w:val="0"/>
        <w:keepLines w:val="0"/>
        <w:pageBreakBefore w:val="0"/>
        <w:widowControl w:val="0"/>
        <w:tabs>
          <w:tab w:val="left" w:pos="1069"/>
        </w:tabs>
        <w:kinsoku/>
        <w:wordWrap/>
        <w:overflowPunct/>
        <w:topLinePunct w:val="0"/>
        <w:autoSpaceDE/>
        <w:autoSpaceDN/>
        <w:bidi w:val="0"/>
        <w:adjustRightInd/>
        <w:snapToGrid/>
        <w:spacing w:line="360" w:lineRule="auto"/>
        <w:ind w:left="0" w:right="0" w:firstLine="480"/>
        <w:textAlignment w:val="auto"/>
        <w:rPr>
          <w:rFonts w:eastAsia="宋体"/>
          <w:color w:val="auto"/>
          <w:sz w:val="24"/>
          <w:highlight w:val="none"/>
        </w:rPr>
      </w:pPr>
      <w:r>
        <w:rPr>
          <w:rFonts w:eastAsia="宋体"/>
          <w:color w:val="auto"/>
          <w:sz w:val="24"/>
          <w:highlight w:val="none"/>
        </w:rPr>
        <w:t>t</w:t>
      </w:r>
      <w:r>
        <w:rPr>
          <w:rFonts w:eastAsia="宋体"/>
          <w:color w:val="auto"/>
          <w:sz w:val="24"/>
          <w:highlight w:val="none"/>
          <w:vertAlign w:val="subscript"/>
        </w:rPr>
        <w:t>1</w:t>
      </w:r>
      <w:r>
        <w:rPr>
          <w:rFonts w:eastAsia="宋体"/>
          <w:color w:val="auto"/>
          <w:sz w:val="24"/>
          <w:highlight w:val="none"/>
        </w:rPr>
        <w:t>—室外第i种水灭火系统的火灾延续时间（h）；</w:t>
      </w:r>
    </w:p>
    <w:p w14:paraId="0F792A99">
      <w:pPr>
        <w:pStyle w:val="97"/>
        <w:keepNext w:val="0"/>
        <w:keepLines w:val="0"/>
        <w:pageBreakBefore w:val="0"/>
        <w:widowControl w:val="0"/>
        <w:tabs>
          <w:tab w:val="left" w:pos="1069"/>
        </w:tabs>
        <w:kinsoku/>
        <w:wordWrap/>
        <w:overflowPunct/>
        <w:topLinePunct w:val="0"/>
        <w:autoSpaceDE/>
        <w:autoSpaceDN/>
        <w:bidi w:val="0"/>
        <w:adjustRightInd/>
        <w:snapToGrid/>
        <w:spacing w:line="360" w:lineRule="auto"/>
        <w:ind w:left="0" w:right="0" w:firstLine="480"/>
        <w:textAlignment w:val="auto"/>
        <w:rPr>
          <w:rFonts w:eastAsia="宋体"/>
          <w:color w:val="auto"/>
          <w:sz w:val="24"/>
          <w:highlight w:val="none"/>
        </w:rPr>
      </w:pPr>
      <w:r>
        <w:rPr>
          <w:rFonts w:eastAsia="宋体"/>
          <w:color w:val="auto"/>
          <w:sz w:val="24"/>
          <w:highlight w:val="none"/>
        </w:rPr>
        <w:t>n—建筑需要同时作用的室外水灭火系统数量；</w:t>
      </w:r>
    </w:p>
    <w:p w14:paraId="3AD34178">
      <w:pPr>
        <w:pStyle w:val="97"/>
        <w:keepNext w:val="0"/>
        <w:keepLines w:val="0"/>
        <w:pageBreakBefore w:val="0"/>
        <w:widowControl w:val="0"/>
        <w:tabs>
          <w:tab w:val="left" w:pos="1069"/>
        </w:tabs>
        <w:kinsoku/>
        <w:wordWrap/>
        <w:overflowPunct/>
        <w:topLinePunct w:val="0"/>
        <w:autoSpaceDE/>
        <w:autoSpaceDN/>
        <w:bidi w:val="0"/>
        <w:adjustRightInd/>
        <w:snapToGrid/>
        <w:spacing w:line="360" w:lineRule="auto"/>
        <w:ind w:left="0" w:right="0" w:firstLine="480"/>
        <w:textAlignment w:val="auto"/>
        <w:rPr>
          <w:rFonts w:eastAsia="宋体"/>
          <w:color w:val="auto"/>
          <w:sz w:val="24"/>
          <w:highlight w:val="none"/>
        </w:rPr>
      </w:pPr>
      <w:r>
        <w:rPr>
          <w:rFonts w:eastAsia="宋体"/>
          <w:color w:val="auto"/>
          <w:sz w:val="24"/>
          <w:highlight w:val="none"/>
        </w:rPr>
        <w:t>Q</w:t>
      </w:r>
      <w:r>
        <w:rPr>
          <w:rFonts w:hint="eastAsia" w:eastAsia="宋体"/>
          <w:color w:val="auto"/>
          <w:sz w:val="24"/>
          <w:highlight w:val="none"/>
          <w:vertAlign w:val="subscript"/>
        </w:rPr>
        <w:t>2</w:t>
      </w:r>
      <w:r>
        <w:rPr>
          <w:rFonts w:eastAsia="宋体"/>
          <w:color w:val="auto"/>
          <w:sz w:val="24"/>
          <w:highlight w:val="none"/>
        </w:rPr>
        <w:t>—室内第i种水灭火系统的设计流量（L/s）；</w:t>
      </w:r>
    </w:p>
    <w:p w14:paraId="5BDFE178">
      <w:pPr>
        <w:pStyle w:val="97"/>
        <w:keepNext w:val="0"/>
        <w:keepLines w:val="0"/>
        <w:pageBreakBefore w:val="0"/>
        <w:widowControl w:val="0"/>
        <w:tabs>
          <w:tab w:val="left" w:pos="1069"/>
        </w:tabs>
        <w:kinsoku/>
        <w:wordWrap/>
        <w:overflowPunct/>
        <w:topLinePunct w:val="0"/>
        <w:autoSpaceDE/>
        <w:autoSpaceDN/>
        <w:bidi w:val="0"/>
        <w:adjustRightInd/>
        <w:snapToGrid/>
        <w:spacing w:line="360" w:lineRule="auto"/>
        <w:ind w:left="0" w:right="0" w:firstLine="480"/>
        <w:textAlignment w:val="auto"/>
        <w:rPr>
          <w:rFonts w:eastAsia="宋体"/>
          <w:color w:val="auto"/>
          <w:sz w:val="24"/>
          <w:highlight w:val="none"/>
        </w:rPr>
      </w:pPr>
      <w:r>
        <w:rPr>
          <w:rFonts w:hint="eastAsia" w:eastAsia="宋体"/>
          <w:color w:val="auto"/>
          <w:sz w:val="24"/>
          <w:highlight w:val="none"/>
        </w:rPr>
        <w:t>t</w:t>
      </w:r>
      <w:r>
        <w:rPr>
          <w:rFonts w:hint="eastAsia" w:eastAsia="宋体"/>
          <w:color w:val="auto"/>
          <w:sz w:val="24"/>
          <w:highlight w:val="none"/>
          <w:vertAlign w:val="subscript"/>
        </w:rPr>
        <w:t>2</w:t>
      </w:r>
      <w:r>
        <w:rPr>
          <w:rFonts w:eastAsia="宋体"/>
          <w:color w:val="auto"/>
          <w:sz w:val="24"/>
          <w:highlight w:val="none"/>
        </w:rPr>
        <w:t>—室内第i种水灭火系统的火灾延续时间（h）；</w:t>
      </w:r>
    </w:p>
    <w:p w14:paraId="315AA6CF">
      <w:pPr>
        <w:pStyle w:val="97"/>
        <w:keepNext w:val="0"/>
        <w:keepLines w:val="0"/>
        <w:pageBreakBefore w:val="0"/>
        <w:widowControl w:val="0"/>
        <w:tabs>
          <w:tab w:val="left" w:pos="1069"/>
        </w:tabs>
        <w:kinsoku/>
        <w:wordWrap/>
        <w:overflowPunct/>
        <w:topLinePunct w:val="0"/>
        <w:autoSpaceDE/>
        <w:autoSpaceDN/>
        <w:bidi w:val="0"/>
        <w:adjustRightInd/>
        <w:snapToGrid/>
        <w:spacing w:line="360" w:lineRule="auto"/>
        <w:ind w:left="0" w:right="0" w:firstLine="480"/>
        <w:textAlignment w:val="auto"/>
        <w:rPr>
          <w:rFonts w:eastAsia="宋体"/>
          <w:color w:val="auto"/>
          <w:sz w:val="24"/>
          <w:highlight w:val="none"/>
        </w:rPr>
      </w:pPr>
      <w:r>
        <w:rPr>
          <w:rFonts w:eastAsia="宋体"/>
          <w:color w:val="auto"/>
          <w:sz w:val="24"/>
          <w:highlight w:val="none"/>
        </w:rPr>
        <w:t>m—建筑需要同时作用的室内水灭火系统数量。</w:t>
      </w:r>
    </w:p>
    <w:p w14:paraId="27FA6064">
      <w:pPr>
        <w:pStyle w:val="97"/>
        <w:keepNext w:val="0"/>
        <w:keepLines w:val="0"/>
        <w:pageBreakBefore w:val="0"/>
        <w:widowControl w:val="0"/>
        <w:tabs>
          <w:tab w:val="left" w:pos="1069"/>
        </w:tabs>
        <w:kinsoku/>
        <w:wordWrap/>
        <w:overflowPunct/>
        <w:topLinePunct w:val="0"/>
        <w:autoSpaceDE/>
        <w:autoSpaceDN/>
        <w:bidi w:val="0"/>
        <w:adjustRightInd/>
        <w:snapToGrid/>
        <w:spacing w:line="360" w:lineRule="auto"/>
        <w:ind w:left="0" w:right="0" w:firstLine="480"/>
        <w:textAlignment w:val="auto"/>
        <w:rPr>
          <w:rFonts w:eastAsia="宋体"/>
          <w:color w:val="auto"/>
          <w:sz w:val="24"/>
          <w:highlight w:val="none"/>
        </w:rPr>
      </w:pPr>
      <w:r>
        <w:rPr>
          <w:rFonts w:eastAsia="宋体"/>
          <w:color w:val="auto"/>
          <w:sz w:val="24"/>
          <w:highlight w:val="none"/>
        </w:rPr>
        <w:t>企业同一时间内的火灾起数按1起计，公司内设有甲类厂房、</w:t>
      </w:r>
      <w:r>
        <w:rPr>
          <w:rFonts w:hint="eastAsia" w:eastAsia="宋体"/>
          <w:color w:val="auto"/>
          <w:sz w:val="24"/>
          <w:highlight w:val="none"/>
          <w:lang w:eastAsia="zh-CN"/>
        </w:rPr>
        <w:t>危险品仓库</w:t>
      </w:r>
      <w:r>
        <w:rPr>
          <w:rFonts w:eastAsia="宋体"/>
          <w:color w:val="auto"/>
          <w:sz w:val="24"/>
          <w:highlight w:val="none"/>
        </w:rPr>
        <w:t>、丙类仓库等，根据《消防给水及消火栓系统技术规范》（GB50974-2014），各个建筑物消防用水情况如下表所示：</w:t>
      </w:r>
    </w:p>
    <w:p w14:paraId="28C5D1AB">
      <w:pPr>
        <w:pStyle w:val="15"/>
        <w:spacing w:line="360" w:lineRule="auto"/>
        <w:ind w:left="-105" w:right="-105" w:firstLine="482"/>
        <w:rPr>
          <w:rFonts w:eastAsia="宋体" w:cs="Times New Roman"/>
          <w:color w:val="auto"/>
          <w:sz w:val="24"/>
          <w:szCs w:val="18"/>
          <w:highlight w:val="none"/>
        </w:rPr>
      </w:pPr>
      <w:r>
        <w:rPr>
          <w:rFonts w:hint="eastAsia" w:eastAsia="宋体" w:cs="Times New Roman"/>
          <w:color w:val="auto"/>
          <w:sz w:val="24"/>
          <w:szCs w:val="18"/>
          <w:highlight w:val="none"/>
        </w:rPr>
        <w:t>表</w:t>
      </w:r>
      <w:r>
        <w:rPr>
          <w:rFonts w:hint="eastAsia" w:eastAsia="宋体" w:cs="Times New Roman"/>
          <w:color w:val="auto"/>
          <w:sz w:val="24"/>
          <w:szCs w:val="18"/>
          <w:highlight w:val="none"/>
        </w:rPr>
        <w:fldChar w:fldCharType="begin"/>
      </w:r>
      <w:r>
        <w:rPr>
          <w:rFonts w:hint="eastAsia" w:eastAsia="宋体" w:cs="Times New Roman"/>
          <w:color w:val="auto"/>
          <w:sz w:val="24"/>
          <w:szCs w:val="18"/>
          <w:highlight w:val="none"/>
        </w:rPr>
        <w:instrText xml:space="preserve"> STYLEREF 2 \s </w:instrText>
      </w:r>
      <w:r>
        <w:rPr>
          <w:rFonts w:hint="eastAsia" w:eastAsia="宋体" w:cs="Times New Roman"/>
          <w:color w:val="auto"/>
          <w:sz w:val="24"/>
          <w:szCs w:val="18"/>
          <w:highlight w:val="none"/>
        </w:rPr>
        <w:fldChar w:fldCharType="separate"/>
      </w:r>
      <w:r>
        <w:rPr>
          <w:rFonts w:hint="eastAsia" w:eastAsia="宋体" w:cs="Times New Roman"/>
          <w:color w:val="auto"/>
          <w:sz w:val="24"/>
          <w:szCs w:val="18"/>
          <w:highlight w:val="none"/>
        </w:rPr>
        <w:t>7.6</w:t>
      </w:r>
      <w:r>
        <w:rPr>
          <w:rFonts w:hint="eastAsia" w:eastAsia="宋体" w:cs="Times New Roman"/>
          <w:color w:val="auto"/>
          <w:sz w:val="24"/>
          <w:szCs w:val="18"/>
          <w:highlight w:val="none"/>
        </w:rPr>
        <w:fldChar w:fldCharType="end"/>
      </w:r>
      <w:r>
        <w:rPr>
          <w:rFonts w:hint="eastAsia" w:eastAsia="宋体" w:cs="Times New Roman"/>
          <w:color w:val="auto"/>
          <w:sz w:val="24"/>
          <w:szCs w:val="18"/>
          <w:highlight w:val="none"/>
        </w:rPr>
        <w:t>-</w:t>
      </w:r>
      <w:r>
        <w:rPr>
          <w:rFonts w:eastAsia="宋体" w:cs="Times New Roman"/>
          <w:color w:val="auto"/>
          <w:sz w:val="24"/>
          <w:szCs w:val="18"/>
          <w:highlight w:val="none"/>
        </w:rPr>
        <w:fldChar w:fldCharType="begin"/>
      </w:r>
      <w:r>
        <w:rPr>
          <w:rFonts w:eastAsia="宋体" w:cs="Times New Roman"/>
          <w:color w:val="auto"/>
          <w:sz w:val="24"/>
          <w:szCs w:val="18"/>
          <w:highlight w:val="none"/>
        </w:rPr>
        <w:instrText xml:space="preserve"> SEQ 表 \* ARABIC \s 2 </w:instrText>
      </w:r>
      <w:r>
        <w:rPr>
          <w:rFonts w:eastAsia="宋体" w:cs="Times New Roman"/>
          <w:color w:val="auto"/>
          <w:sz w:val="24"/>
          <w:szCs w:val="18"/>
          <w:highlight w:val="none"/>
        </w:rPr>
        <w:fldChar w:fldCharType="separate"/>
      </w:r>
      <w:r>
        <w:rPr>
          <w:rFonts w:eastAsia="宋体" w:cs="Times New Roman"/>
          <w:color w:val="auto"/>
          <w:sz w:val="24"/>
          <w:szCs w:val="18"/>
          <w:highlight w:val="none"/>
        </w:rPr>
        <w:t>1</w:t>
      </w:r>
      <w:r>
        <w:rPr>
          <w:rFonts w:eastAsia="宋体" w:cs="Times New Roman"/>
          <w:color w:val="auto"/>
          <w:sz w:val="24"/>
          <w:szCs w:val="18"/>
          <w:highlight w:val="none"/>
        </w:rPr>
        <w:fldChar w:fldCharType="end"/>
      </w:r>
      <w:r>
        <w:rPr>
          <w:rFonts w:eastAsia="宋体" w:cs="Times New Roman"/>
          <w:color w:val="auto"/>
          <w:sz w:val="24"/>
          <w:szCs w:val="18"/>
          <w:highlight w:val="none"/>
        </w:rPr>
        <w:t>公司内各个建筑消防用水计算一览表</w:t>
      </w:r>
    </w:p>
    <w:tbl>
      <w:tblPr>
        <w:tblStyle w:val="99"/>
        <w:tblW w:w="5000" w:type="pct"/>
        <w:tblInd w:w="0" w:type="dxa"/>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0" w:type="dxa"/>
          <w:bottom w:w="0" w:type="dxa"/>
          <w:right w:w="0" w:type="dxa"/>
        </w:tblCellMar>
      </w:tblPr>
      <w:tblGrid>
        <w:gridCol w:w="1020"/>
        <w:gridCol w:w="718"/>
        <w:gridCol w:w="717"/>
        <w:gridCol w:w="708"/>
        <w:gridCol w:w="769"/>
        <w:gridCol w:w="795"/>
        <w:gridCol w:w="778"/>
        <w:gridCol w:w="717"/>
        <w:gridCol w:w="769"/>
        <w:gridCol w:w="698"/>
        <w:gridCol w:w="815"/>
      </w:tblGrid>
      <w:tr w14:paraId="7A5B4574">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1020" w:type="dxa"/>
            <w:tcBorders>
              <w:tl2br w:val="nil"/>
              <w:tr2bl w:val="nil"/>
            </w:tcBorders>
            <w:vAlign w:val="center"/>
          </w:tcPr>
          <w:p w14:paraId="05501440">
            <w:pPr>
              <w:pStyle w:val="236"/>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eastAsia="宋体" w:cs="Times New Roman"/>
                <w:color w:val="auto"/>
                <w:sz w:val="21"/>
                <w:szCs w:val="21"/>
                <w:highlight w:val="none"/>
              </w:rPr>
            </w:pPr>
            <w:r>
              <w:rPr>
                <w:rFonts w:ascii="Times New Roman" w:hAnsi="Times New Roman" w:eastAsia="宋体" w:cs="Times New Roman"/>
                <w:b/>
                <w:bCs/>
                <w:color w:val="auto"/>
                <w:spacing w:val="6"/>
                <w:sz w:val="21"/>
                <w:szCs w:val="21"/>
                <w:highlight w:val="none"/>
              </w:rPr>
              <w:t>车间名称</w:t>
            </w:r>
          </w:p>
        </w:tc>
        <w:tc>
          <w:tcPr>
            <w:tcW w:w="718" w:type="dxa"/>
            <w:tcBorders>
              <w:tl2br w:val="nil"/>
              <w:tr2bl w:val="nil"/>
            </w:tcBorders>
            <w:vAlign w:val="center"/>
          </w:tcPr>
          <w:p w14:paraId="5FB141D8">
            <w:pPr>
              <w:pStyle w:val="236"/>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eastAsia="宋体" w:cs="Times New Roman"/>
                <w:color w:val="auto"/>
                <w:sz w:val="21"/>
                <w:szCs w:val="21"/>
                <w:highlight w:val="none"/>
                <w:vertAlign w:val="superscript"/>
                <w:lang w:eastAsia="zh-CN"/>
              </w:rPr>
            </w:pPr>
            <w:r>
              <w:rPr>
                <w:rFonts w:ascii="Times New Roman" w:hAnsi="Times New Roman" w:eastAsia="宋体" w:cs="Times New Roman"/>
                <w:b/>
                <w:bCs/>
                <w:color w:val="auto"/>
                <w:spacing w:val="5"/>
                <w:sz w:val="21"/>
                <w:szCs w:val="21"/>
                <w:highlight w:val="none"/>
              </w:rPr>
              <w:t>建筑面积</w:t>
            </w:r>
            <w:r>
              <w:rPr>
                <w:rFonts w:ascii="Times New Roman" w:hAnsi="Times New Roman" w:eastAsia="宋体" w:cs="Times New Roman"/>
                <w:b/>
                <w:bCs/>
                <w:color w:val="auto"/>
                <w:sz w:val="21"/>
                <w:szCs w:val="21"/>
                <w:highlight w:val="none"/>
              </w:rPr>
              <w:t>（</w:t>
            </w:r>
            <w:r>
              <w:rPr>
                <w:rFonts w:hint="eastAsia" w:ascii="Times New Roman" w:hAnsi="Times New Roman" w:eastAsia="宋体" w:cs="Times New Roman"/>
                <w:b/>
                <w:bCs/>
                <w:color w:val="auto"/>
                <w:sz w:val="21"/>
                <w:szCs w:val="21"/>
                <w:highlight w:val="none"/>
                <w:lang w:eastAsia="zh-CN"/>
              </w:rPr>
              <w:t>m</w:t>
            </w:r>
            <w:r>
              <w:rPr>
                <w:rFonts w:hint="eastAsia" w:ascii="Times New Roman" w:hAnsi="Times New Roman" w:eastAsia="宋体" w:cs="Times New Roman"/>
                <w:b/>
                <w:bCs/>
                <w:color w:val="auto"/>
                <w:sz w:val="21"/>
                <w:szCs w:val="21"/>
                <w:highlight w:val="none"/>
                <w:vertAlign w:val="superscript"/>
                <w:lang w:eastAsia="zh-CN"/>
              </w:rPr>
              <w:t>2</w:t>
            </w:r>
            <w:r>
              <w:rPr>
                <w:rFonts w:hint="eastAsia" w:ascii="Times New Roman" w:hAnsi="Times New Roman" w:eastAsia="宋体" w:cs="Times New Roman"/>
                <w:b/>
                <w:bCs/>
                <w:color w:val="auto"/>
                <w:sz w:val="21"/>
                <w:szCs w:val="21"/>
                <w:highlight w:val="none"/>
                <w:lang w:eastAsia="zh-CN"/>
              </w:rPr>
              <w:t>）</w:t>
            </w:r>
          </w:p>
        </w:tc>
        <w:tc>
          <w:tcPr>
            <w:tcW w:w="717" w:type="dxa"/>
            <w:tcBorders>
              <w:tl2br w:val="nil"/>
              <w:tr2bl w:val="nil"/>
            </w:tcBorders>
            <w:vAlign w:val="center"/>
          </w:tcPr>
          <w:p w14:paraId="79FFDEEC">
            <w:pPr>
              <w:pStyle w:val="236"/>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eastAsia="宋体" w:cs="Times New Roman"/>
                <w:color w:val="auto"/>
                <w:sz w:val="21"/>
                <w:szCs w:val="21"/>
                <w:highlight w:val="none"/>
              </w:rPr>
            </w:pPr>
            <w:r>
              <w:rPr>
                <w:rFonts w:ascii="Times New Roman" w:hAnsi="Times New Roman" w:eastAsia="宋体" w:cs="Times New Roman"/>
                <w:b/>
                <w:bCs/>
                <w:color w:val="auto"/>
                <w:spacing w:val="5"/>
                <w:sz w:val="21"/>
                <w:szCs w:val="21"/>
                <w:highlight w:val="none"/>
              </w:rPr>
              <w:t>建筑高度</w:t>
            </w:r>
            <w:r>
              <w:rPr>
                <w:rFonts w:ascii="Times New Roman" w:hAnsi="Times New Roman" w:eastAsia="宋体" w:cs="Times New Roman"/>
                <w:b/>
                <w:bCs/>
                <w:color w:val="auto"/>
                <w:spacing w:val="-3"/>
                <w:sz w:val="21"/>
                <w:szCs w:val="21"/>
                <w:highlight w:val="none"/>
              </w:rPr>
              <w:t>（m）</w:t>
            </w:r>
          </w:p>
        </w:tc>
        <w:tc>
          <w:tcPr>
            <w:tcW w:w="708" w:type="dxa"/>
            <w:tcBorders>
              <w:tl2br w:val="nil"/>
              <w:tr2bl w:val="nil"/>
            </w:tcBorders>
            <w:vAlign w:val="center"/>
          </w:tcPr>
          <w:p w14:paraId="5834468A">
            <w:pPr>
              <w:pStyle w:val="236"/>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eastAsia="宋体" w:cs="Times New Roman"/>
                <w:color w:val="auto"/>
                <w:sz w:val="21"/>
                <w:szCs w:val="21"/>
                <w:highlight w:val="none"/>
              </w:rPr>
            </w:pPr>
            <w:r>
              <w:rPr>
                <w:rFonts w:ascii="Times New Roman" w:hAnsi="Times New Roman" w:eastAsia="宋体" w:cs="Times New Roman"/>
                <w:b/>
                <w:bCs/>
                <w:color w:val="auto"/>
                <w:spacing w:val="5"/>
                <w:sz w:val="21"/>
                <w:szCs w:val="21"/>
                <w:highlight w:val="none"/>
              </w:rPr>
              <w:t>建筑体积</w:t>
            </w:r>
            <w:r>
              <w:rPr>
                <w:rFonts w:ascii="Times New Roman" w:hAnsi="Times New Roman" w:eastAsia="宋体" w:cs="Times New Roman"/>
                <w:b/>
                <w:bCs/>
                <w:color w:val="auto"/>
                <w:spacing w:val="-1"/>
                <w:sz w:val="21"/>
                <w:szCs w:val="21"/>
                <w:highlight w:val="none"/>
              </w:rPr>
              <w:t>（m</w:t>
            </w:r>
            <w:r>
              <w:rPr>
                <w:rFonts w:hint="eastAsia" w:ascii="Times New Roman" w:hAnsi="Times New Roman" w:eastAsia="宋体" w:cs="Times New Roman"/>
                <w:b/>
                <w:bCs/>
                <w:color w:val="auto"/>
                <w:spacing w:val="-1"/>
                <w:sz w:val="21"/>
                <w:szCs w:val="21"/>
                <w:highlight w:val="none"/>
                <w:vertAlign w:val="superscript"/>
                <w:lang w:eastAsia="zh-CN"/>
              </w:rPr>
              <w:t>3</w:t>
            </w:r>
            <w:r>
              <w:rPr>
                <w:rFonts w:ascii="Times New Roman" w:hAnsi="Times New Roman" w:eastAsia="宋体" w:cs="Times New Roman"/>
                <w:b/>
                <w:bCs/>
                <w:color w:val="auto"/>
                <w:spacing w:val="-1"/>
                <w:sz w:val="21"/>
                <w:szCs w:val="21"/>
                <w:highlight w:val="none"/>
              </w:rPr>
              <w:t>）</w:t>
            </w:r>
          </w:p>
        </w:tc>
        <w:tc>
          <w:tcPr>
            <w:tcW w:w="769" w:type="dxa"/>
            <w:tcBorders>
              <w:tl2br w:val="nil"/>
              <w:tr2bl w:val="nil"/>
            </w:tcBorders>
            <w:vAlign w:val="center"/>
          </w:tcPr>
          <w:p w14:paraId="74658449">
            <w:pPr>
              <w:pStyle w:val="236"/>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eastAsia="宋体" w:cs="Times New Roman"/>
                <w:color w:val="auto"/>
                <w:sz w:val="21"/>
                <w:szCs w:val="21"/>
                <w:highlight w:val="none"/>
              </w:rPr>
            </w:pPr>
            <w:r>
              <w:rPr>
                <w:rFonts w:ascii="Times New Roman" w:hAnsi="Times New Roman" w:eastAsia="宋体" w:cs="Times New Roman"/>
                <w:b/>
                <w:bCs/>
                <w:color w:val="auto"/>
                <w:spacing w:val="5"/>
                <w:sz w:val="21"/>
                <w:szCs w:val="21"/>
                <w:highlight w:val="none"/>
              </w:rPr>
              <w:t>火灾类别/耐火等级</w:t>
            </w:r>
          </w:p>
        </w:tc>
        <w:tc>
          <w:tcPr>
            <w:tcW w:w="795" w:type="dxa"/>
            <w:tcBorders>
              <w:tl2br w:val="nil"/>
              <w:tr2bl w:val="nil"/>
            </w:tcBorders>
            <w:vAlign w:val="center"/>
          </w:tcPr>
          <w:p w14:paraId="45AB81E2">
            <w:pPr>
              <w:pStyle w:val="236"/>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eastAsia="宋体" w:cs="Times New Roman"/>
                <w:color w:val="auto"/>
                <w:sz w:val="21"/>
                <w:szCs w:val="21"/>
                <w:highlight w:val="none"/>
              </w:rPr>
            </w:pPr>
            <w:r>
              <w:rPr>
                <w:rFonts w:ascii="Times New Roman" w:hAnsi="Times New Roman" w:eastAsia="宋体" w:cs="Times New Roman"/>
                <w:b/>
                <w:bCs/>
                <w:color w:val="auto"/>
                <w:spacing w:val="5"/>
                <w:sz w:val="21"/>
                <w:szCs w:val="21"/>
                <w:highlight w:val="none"/>
              </w:rPr>
              <w:t>室外消火</w:t>
            </w:r>
            <w:r>
              <w:rPr>
                <w:rFonts w:ascii="Times New Roman" w:hAnsi="Times New Roman" w:eastAsia="宋体" w:cs="Times New Roman"/>
                <w:b/>
                <w:bCs/>
                <w:color w:val="auto"/>
                <w:spacing w:val="6"/>
                <w:sz w:val="21"/>
                <w:szCs w:val="21"/>
                <w:highlight w:val="none"/>
              </w:rPr>
              <w:t>栓设计流</w:t>
            </w:r>
            <w:r>
              <w:rPr>
                <w:rFonts w:ascii="Times New Roman" w:hAnsi="Times New Roman" w:eastAsia="宋体" w:cs="Times New Roman"/>
                <w:b/>
                <w:bCs/>
                <w:color w:val="auto"/>
                <w:spacing w:val="17"/>
                <w:sz w:val="21"/>
                <w:szCs w:val="21"/>
                <w:highlight w:val="none"/>
              </w:rPr>
              <w:t>量(L/S)</w:t>
            </w:r>
          </w:p>
        </w:tc>
        <w:tc>
          <w:tcPr>
            <w:tcW w:w="778" w:type="dxa"/>
            <w:tcBorders>
              <w:tl2br w:val="nil"/>
              <w:tr2bl w:val="nil"/>
            </w:tcBorders>
            <w:vAlign w:val="center"/>
          </w:tcPr>
          <w:p w14:paraId="5B625B5E">
            <w:pPr>
              <w:pStyle w:val="236"/>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eastAsia="宋体" w:cs="Times New Roman"/>
                <w:color w:val="auto"/>
                <w:sz w:val="21"/>
                <w:szCs w:val="21"/>
                <w:highlight w:val="none"/>
              </w:rPr>
            </w:pPr>
            <w:r>
              <w:rPr>
                <w:rFonts w:ascii="Times New Roman" w:hAnsi="Times New Roman" w:eastAsia="宋体" w:cs="Times New Roman"/>
                <w:b/>
                <w:bCs/>
                <w:color w:val="auto"/>
                <w:spacing w:val="5"/>
                <w:sz w:val="21"/>
                <w:szCs w:val="21"/>
                <w:highlight w:val="none"/>
              </w:rPr>
              <w:t>室内消火</w:t>
            </w:r>
            <w:r>
              <w:rPr>
                <w:rFonts w:ascii="Times New Roman" w:hAnsi="Times New Roman" w:eastAsia="宋体" w:cs="Times New Roman"/>
                <w:b/>
                <w:bCs/>
                <w:color w:val="auto"/>
                <w:spacing w:val="6"/>
                <w:sz w:val="21"/>
                <w:szCs w:val="21"/>
                <w:highlight w:val="none"/>
              </w:rPr>
              <w:t>栓设计流</w:t>
            </w:r>
            <w:r>
              <w:rPr>
                <w:rFonts w:ascii="Times New Roman" w:hAnsi="Times New Roman" w:eastAsia="宋体" w:cs="Times New Roman"/>
                <w:b/>
                <w:bCs/>
                <w:color w:val="auto"/>
                <w:spacing w:val="18"/>
                <w:sz w:val="21"/>
                <w:szCs w:val="21"/>
                <w:highlight w:val="none"/>
              </w:rPr>
              <w:t>量(L/S)</w:t>
            </w:r>
          </w:p>
        </w:tc>
        <w:tc>
          <w:tcPr>
            <w:tcW w:w="717" w:type="dxa"/>
            <w:tcBorders>
              <w:tl2br w:val="nil"/>
              <w:tr2bl w:val="nil"/>
            </w:tcBorders>
            <w:vAlign w:val="center"/>
          </w:tcPr>
          <w:p w14:paraId="519826DD">
            <w:pPr>
              <w:pStyle w:val="236"/>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eastAsia="宋体" w:cs="Times New Roman"/>
                <w:color w:val="auto"/>
                <w:sz w:val="21"/>
                <w:szCs w:val="21"/>
                <w:highlight w:val="none"/>
              </w:rPr>
            </w:pPr>
            <w:r>
              <w:rPr>
                <w:rFonts w:ascii="Times New Roman" w:hAnsi="Times New Roman" w:eastAsia="宋体" w:cs="Times New Roman"/>
                <w:b/>
                <w:bCs/>
                <w:color w:val="auto"/>
                <w:spacing w:val="6"/>
                <w:sz w:val="21"/>
                <w:szCs w:val="21"/>
                <w:highlight w:val="none"/>
              </w:rPr>
              <w:t>火灾延续</w:t>
            </w:r>
            <w:r>
              <w:rPr>
                <w:rFonts w:ascii="Times New Roman" w:hAnsi="Times New Roman" w:eastAsia="宋体" w:cs="Times New Roman"/>
                <w:b/>
                <w:bCs/>
                <w:color w:val="auto"/>
                <w:sz w:val="21"/>
                <w:szCs w:val="21"/>
                <w:highlight w:val="none"/>
              </w:rPr>
              <w:t>时间（h）</w:t>
            </w:r>
          </w:p>
        </w:tc>
        <w:tc>
          <w:tcPr>
            <w:tcW w:w="769" w:type="dxa"/>
            <w:tcBorders>
              <w:tl2br w:val="nil"/>
              <w:tr2bl w:val="nil"/>
            </w:tcBorders>
            <w:vAlign w:val="center"/>
          </w:tcPr>
          <w:p w14:paraId="0773904F">
            <w:pPr>
              <w:pStyle w:val="236"/>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eastAsia="宋体" w:cs="Times New Roman"/>
                <w:color w:val="auto"/>
                <w:sz w:val="21"/>
                <w:szCs w:val="21"/>
                <w:highlight w:val="none"/>
              </w:rPr>
            </w:pPr>
            <w:r>
              <w:rPr>
                <w:rFonts w:ascii="Times New Roman" w:hAnsi="Times New Roman" w:eastAsia="宋体" w:cs="Times New Roman"/>
                <w:b/>
                <w:bCs/>
                <w:color w:val="auto"/>
                <w:spacing w:val="5"/>
                <w:sz w:val="21"/>
                <w:szCs w:val="21"/>
                <w:highlight w:val="none"/>
              </w:rPr>
              <w:t>室外用水</w:t>
            </w:r>
            <w:r>
              <w:rPr>
                <w:rFonts w:ascii="Times New Roman" w:hAnsi="Times New Roman" w:eastAsia="宋体" w:cs="Times New Roman"/>
                <w:b/>
                <w:bCs/>
                <w:color w:val="auto"/>
                <w:spacing w:val="2"/>
                <w:sz w:val="21"/>
                <w:szCs w:val="21"/>
                <w:highlight w:val="none"/>
              </w:rPr>
              <w:t>(</w:t>
            </w:r>
            <w:r>
              <w:rPr>
                <w:rFonts w:ascii="Times New Roman" w:hAnsi="Times New Roman" w:eastAsia="宋体" w:cs="Times New Roman"/>
                <w:b/>
                <w:bCs/>
                <w:color w:val="auto"/>
                <w:spacing w:val="-1"/>
                <w:sz w:val="21"/>
                <w:szCs w:val="21"/>
                <w:highlight w:val="none"/>
              </w:rPr>
              <w:t>m</w:t>
            </w:r>
            <w:r>
              <w:rPr>
                <w:rFonts w:hint="eastAsia" w:ascii="Times New Roman" w:hAnsi="Times New Roman" w:eastAsia="宋体" w:cs="Times New Roman"/>
                <w:b/>
                <w:bCs/>
                <w:color w:val="auto"/>
                <w:spacing w:val="-1"/>
                <w:sz w:val="21"/>
                <w:szCs w:val="21"/>
                <w:highlight w:val="none"/>
                <w:vertAlign w:val="superscript"/>
                <w:lang w:eastAsia="zh-CN"/>
              </w:rPr>
              <w:t>3</w:t>
            </w:r>
            <w:r>
              <w:rPr>
                <w:rFonts w:ascii="Times New Roman" w:hAnsi="Times New Roman" w:eastAsia="宋体" w:cs="Times New Roman"/>
                <w:b/>
                <w:bCs/>
                <w:color w:val="auto"/>
                <w:spacing w:val="2"/>
                <w:sz w:val="21"/>
                <w:szCs w:val="21"/>
                <w:highlight w:val="none"/>
              </w:rPr>
              <w:t>)</w:t>
            </w:r>
          </w:p>
        </w:tc>
        <w:tc>
          <w:tcPr>
            <w:tcW w:w="698" w:type="dxa"/>
            <w:tcBorders>
              <w:tl2br w:val="nil"/>
              <w:tr2bl w:val="nil"/>
            </w:tcBorders>
            <w:vAlign w:val="center"/>
          </w:tcPr>
          <w:p w14:paraId="79CD756A">
            <w:pPr>
              <w:pStyle w:val="236"/>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eastAsia="宋体" w:cs="Times New Roman"/>
                <w:color w:val="auto"/>
                <w:sz w:val="21"/>
                <w:szCs w:val="21"/>
                <w:highlight w:val="none"/>
              </w:rPr>
            </w:pPr>
            <w:r>
              <w:rPr>
                <w:rFonts w:ascii="Times New Roman" w:hAnsi="Times New Roman" w:eastAsia="宋体" w:cs="Times New Roman"/>
                <w:b/>
                <w:bCs/>
                <w:color w:val="auto"/>
                <w:spacing w:val="5"/>
                <w:sz w:val="21"/>
                <w:szCs w:val="21"/>
                <w:highlight w:val="none"/>
              </w:rPr>
              <w:t>室内用水</w:t>
            </w:r>
            <w:r>
              <w:rPr>
                <w:rFonts w:ascii="Times New Roman" w:hAnsi="Times New Roman" w:eastAsia="宋体" w:cs="Times New Roman"/>
                <w:b/>
                <w:bCs/>
                <w:color w:val="auto"/>
                <w:spacing w:val="2"/>
                <w:sz w:val="21"/>
                <w:szCs w:val="21"/>
                <w:highlight w:val="none"/>
              </w:rPr>
              <w:t>(</w:t>
            </w:r>
            <w:r>
              <w:rPr>
                <w:rFonts w:ascii="Times New Roman" w:hAnsi="Times New Roman" w:eastAsia="宋体" w:cs="Times New Roman"/>
                <w:b/>
                <w:bCs/>
                <w:color w:val="auto"/>
                <w:spacing w:val="-1"/>
                <w:sz w:val="21"/>
                <w:szCs w:val="21"/>
                <w:highlight w:val="none"/>
              </w:rPr>
              <w:t>m</w:t>
            </w:r>
            <w:r>
              <w:rPr>
                <w:rFonts w:hint="eastAsia" w:ascii="Times New Roman" w:hAnsi="Times New Roman" w:eastAsia="宋体" w:cs="Times New Roman"/>
                <w:b/>
                <w:bCs/>
                <w:color w:val="auto"/>
                <w:spacing w:val="-1"/>
                <w:sz w:val="21"/>
                <w:szCs w:val="21"/>
                <w:highlight w:val="none"/>
                <w:vertAlign w:val="superscript"/>
                <w:lang w:eastAsia="zh-CN"/>
              </w:rPr>
              <w:t>3</w:t>
            </w:r>
            <w:r>
              <w:rPr>
                <w:rFonts w:ascii="Times New Roman" w:hAnsi="Times New Roman" w:eastAsia="宋体" w:cs="Times New Roman"/>
                <w:b/>
                <w:bCs/>
                <w:color w:val="auto"/>
                <w:spacing w:val="2"/>
                <w:sz w:val="21"/>
                <w:szCs w:val="21"/>
                <w:highlight w:val="none"/>
              </w:rPr>
              <w:t>)</w:t>
            </w:r>
          </w:p>
        </w:tc>
        <w:tc>
          <w:tcPr>
            <w:tcW w:w="815" w:type="dxa"/>
            <w:tcBorders>
              <w:tl2br w:val="nil"/>
              <w:tr2bl w:val="nil"/>
            </w:tcBorders>
            <w:vAlign w:val="center"/>
          </w:tcPr>
          <w:p w14:paraId="660988AB">
            <w:pPr>
              <w:pStyle w:val="236"/>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eastAsia="宋体" w:cs="Times New Roman"/>
                <w:color w:val="auto"/>
                <w:sz w:val="21"/>
                <w:szCs w:val="21"/>
                <w:highlight w:val="none"/>
              </w:rPr>
            </w:pPr>
            <w:r>
              <w:rPr>
                <w:rFonts w:ascii="Times New Roman" w:hAnsi="Times New Roman" w:eastAsia="宋体" w:cs="Times New Roman"/>
                <w:b/>
                <w:bCs/>
                <w:color w:val="auto"/>
                <w:spacing w:val="5"/>
                <w:sz w:val="21"/>
                <w:szCs w:val="21"/>
                <w:highlight w:val="none"/>
              </w:rPr>
              <w:t>消防用水</w:t>
            </w:r>
            <w:r>
              <w:rPr>
                <w:rFonts w:ascii="Times New Roman" w:hAnsi="Times New Roman" w:eastAsia="宋体" w:cs="Times New Roman"/>
                <w:b/>
                <w:bCs/>
                <w:color w:val="auto"/>
                <w:spacing w:val="4"/>
                <w:sz w:val="21"/>
                <w:szCs w:val="21"/>
                <w:highlight w:val="none"/>
              </w:rPr>
              <w:t>共计(</w:t>
            </w:r>
            <w:r>
              <w:rPr>
                <w:rFonts w:ascii="Times New Roman" w:hAnsi="Times New Roman" w:eastAsia="宋体" w:cs="Times New Roman"/>
                <w:b/>
                <w:bCs/>
                <w:color w:val="auto"/>
                <w:spacing w:val="-1"/>
                <w:sz w:val="21"/>
                <w:szCs w:val="21"/>
                <w:highlight w:val="none"/>
              </w:rPr>
              <w:t>m</w:t>
            </w:r>
            <w:r>
              <w:rPr>
                <w:rFonts w:hint="eastAsia" w:ascii="Times New Roman" w:hAnsi="Times New Roman" w:eastAsia="宋体" w:cs="Times New Roman"/>
                <w:b/>
                <w:bCs/>
                <w:color w:val="auto"/>
                <w:spacing w:val="-1"/>
                <w:sz w:val="21"/>
                <w:szCs w:val="21"/>
                <w:highlight w:val="none"/>
                <w:vertAlign w:val="superscript"/>
                <w:lang w:eastAsia="zh-CN"/>
              </w:rPr>
              <w:t>3</w:t>
            </w:r>
            <w:r>
              <w:rPr>
                <w:rFonts w:ascii="Times New Roman" w:hAnsi="Times New Roman" w:eastAsia="宋体" w:cs="Times New Roman"/>
                <w:b/>
                <w:bCs/>
                <w:color w:val="auto"/>
                <w:spacing w:val="4"/>
                <w:sz w:val="21"/>
                <w:szCs w:val="21"/>
                <w:highlight w:val="none"/>
              </w:rPr>
              <w:t>)</w:t>
            </w:r>
          </w:p>
        </w:tc>
      </w:tr>
      <w:tr w14:paraId="5E541E85">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1020" w:type="dxa"/>
            <w:tcBorders>
              <w:tl2br w:val="nil"/>
              <w:tr2bl w:val="nil"/>
            </w:tcBorders>
            <w:vAlign w:val="center"/>
          </w:tcPr>
          <w:p w14:paraId="2F53112F">
            <w:pPr>
              <w:pStyle w:val="236"/>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eastAsia="宋体" w:cs="Times New Roman"/>
                <w:color w:val="auto"/>
                <w:sz w:val="21"/>
                <w:szCs w:val="21"/>
                <w:highlight w:val="none"/>
              </w:rPr>
            </w:pPr>
            <w:r>
              <w:rPr>
                <w:rFonts w:ascii="Times New Roman" w:hAnsi="Times New Roman" w:eastAsia="宋体" w:cs="Times New Roman"/>
                <w:color w:val="auto"/>
                <w:spacing w:val="7"/>
                <w:sz w:val="21"/>
                <w:szCs w:val="21"/>
                <w:highlight w:val="none"/>
              </w:rPr>
              <w:t>第一工场</w:t>
            </w:r>
          </w:p>
        </w:tc>
        <w:tc>
          <w:tcPr>
            <w:tcW w:w="718" w:type="dxa"/>
            <w:tcBorders>
              <w:tl2br w:val="nil"/>
              <w:tr2bl w:val="nil"/>
            </w:tcBorders>
            <w:vAlign w:val="center"/>
          </w:tcPr>
          <w:p w14:paraId="10198D57">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21"/>
                <w:highlight w:val="none"/>
                <w:lang w:eastAsia="en-US"/>
              </w:rPr>
            </w:pPr>
            <w:r>
              <w:rPr>
                <w:rFonts w:ascii="Times New Roman" w:hAnsi="Times New Roman" w:cs="Times New Roman"/>
                <w:color w:val="auto"/>
                <w:sz w:val="21"/>
                <w:szCs w:val="21"/>
                <w:highlight w:val="none"/>
                <w:lang w:eastAsia="en-US"/>
              </w:rPr>
              <w:t>836</w:t>
            </w:r>
          </w:p>
        </w:tc>
        <w:tc>
          <w:tcPr>
            <w:tcW w:w="717" w:type="dxa"/>
            <w:tcBorders>
              <w:tl2br w:val="nil"/>
              <w:tr2bl w:val="nil"/>
            </w:tcBorders>
            <w:vAlign w:val="center"/>
          </w:tcPr>
          <w:p w14:paraId="63C8910B">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21"/>
                <w:highlight w:val="none"/>
                <w:lang w:eastAsia="en-US"/>
              </w:rPr>
            </w:pPr>
            <w:r>
              <w:rPr>
                <w:rFonts w:ascii="Times New Roman" w:hAnsi="Times New Roman" w:cs="Times New Roman"/>
                <w:color w:val="auto"/>
                <w:spacing w:val="-1"/>
                <w:sz w:val="21"/>
                <w:szCs w:val="21"/>
                <w:highlight w:val="none"/>
                <w:lang w:eastAsia="en-US"/>
              </w:rPr>
              <w:t>13.43</w:t>
            </w:r>
          </w:p>
        </w:tc>
        <w:tc>
          <w:tcPr>
            <w:tcW w:w="708" w:type="dxa"/>
            <w:tcBorders>
              <w:tl2br w:val="nil"/>
              <w:tr2bl w:val="nil"/>
            </w:tcBorders>
            <w:vAlign w:val="center"/>
          </w:tcPr>
          <w:p w14:paraId="2AE74036">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21"/>
                <w:highlight w:val="none"/>
                <w:lang w:eastAsia="en-US"/>
              </w:rPr>
            </w:pPr>
            <w:r>
              <w:rPr>
                <w:rFonts w:ascii="Times New Roman" w:hAnsi="Times New Roman" w:cs="Times New Roman"/>
                <w:color w:val="auto"/>
                <w:sz w:val="21"/>
                <w:szCs w:val="21"/>
                <w:highlight w:val="none"/>
                <w:lang w:eastAsia="en-US"/>
              </w:rPr>
              <w:t>11228</w:t>
            </w:r>
          </w:p>
        </w:tc>
        <w:tc>
          <w:tcPr>
            <w:tcW w:w="769" w:type="dxa"/>
            <w:tcBorders>
              <w:tl2br w:val="nil"/>
              <w:tr2bl w:val="nil"/>
            </w:tcBorders>
            <w:vAlign w:val="center"/>
          </w:tcPr>
          <w:p w14:paraId="138F6F79">
            <w:pPr>
              <w:pStyle w:val="236"/>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eastAsia="宋体" w:cs="Times New Roman"/>
                <w:color w:val="auto"/>
                <w:sz w:val="21"/>
                <w:szCs w:val="21"/>
                <w:highlight w:val="none"/>
              </w:rPr>
            </w:pPr>
            <w:r>
              <w:rPr>
                <w:rFonts w:ascii="Times New Roman" w:hAnsi="Times New Roman" w:eastAsia="宋体" w:cs="Times New Roman"/>
                <w:color w:val="auto"/>
                <w:spacing w:val="-9"/>
                <w:sz w:val="21"/>
                <w:szCs w:val="21"/>
                <w:highlight w:val="none"/>
              </w:rPr>
              <w:t>甲类</w:t>
            </w:r>
          </w:p>
        </w:tc>
        <w:tc>
          <w:tcPr>
            <w:tcW w:w="795" w:type="dxa"/>
            <w:tcBorders>
              <w:tl2br w:val="nil"/>
              <w:tr2bl w:val="nil"/>
            </w:tcBorders>
            <w:vAlign w:val="center"/>
          </w:tcPr>
          <w:p w14:paraId="067AD966">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21"/>
                <w:highlight w:val="none"/>
                <w:lang w:eastAsia="en-US"/>
              </w:rPr>
            </w:pPr>
            <w:r>
              <w:rPr>
                <w:rFonts w:ascii="Times New Roman" w:hAnsi="Times New Roman" w:cs="Times New Roman"/>
                <w:color w:val="auto"/>
                <w:spacing w:val="2"/>
                <w:sz w:val="21"/>
                <w:szCs w:val="21"/>
                <w:highlight w:val="none"/>
                <w:lang w:eastAsia="en-US"/>
              </w:rPr>
              <w:t>25</w:t>
            </w:r>
          </w:p>
        </w:tc>
        <w:tc>
          <w:tcPr>
            <w:tcW w:w="778" w:type="dxa"/>
            <w:tcBorders>
              <w:tl2br w:val="nil"/>
              <w:tr2bl w:val="nil"/>
            </w:tcBorders>
            <w:vAlign w:val="center"/>
          </w:tcPr>
          <w:p w14:paraId="2D7A6F5F">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21"/>
                <w:highlight w:val="none"/>
                <w:lang w:eastAsia="en-US"/>
              </w:rPr>
            </w:pPr>
            <w:r>
              <w:rPr>
                <w:rFonts w:ascii="Times New Roman" w:hAnsi="Times New Roman" w:cs="Times New Roman"/>
                <w:color w:val="auto"/>
                <w:spacing w:val="-8"/>
                <w:sz w:val="21"/>
                <w:szCs w:val="21"/>
                <w:highlight w:val="none"/>
                <w:lang w:eastAsia="en-US"/>
              </w:rPr>
              <w:t>10</w:t>
            </w:r>
          </w:p>
        </w:tc>
        <w:tc>
          <w:tcPr>
            <w:tcW w:w="717" w:type="dxa"/>
            <w:tcBorders>
              <w:tl2br w:val="nil"/>
              <w:tr2bl w:val="nil"/>
            </w:tcBorders>
            <w:vAlign w:val="center"/>
          </w:tcPr>
          <w:p w14:paraId="2A25F610">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21"/>
                <w:highlight w:val="none"/>
                <w:lang w:eastAsia="en-US"/>
              </w:rPr>
            </w:pPr>
            <w:r>
              <w:rPr>
                <w:rFonts w:ascii="Times New Roman" w:hAnsi="Times New Roman" w:cs="Times New Roman"/>
                <w:color w:val="auto"/>
                <w:sz w:val="21"/>
                <w:szCs w:val="21"/>
                <w:highlight w:val="none"/>
                <w:lang w:eastAsia="en-US"/>
              </w:rPr>
              <w:t>3</w:t>
            </w:r>
          </w:p>
        </w:tc>
        <w:tc>
          <w:tcPr>
            <w:tcW w:w="769" w:type="dxa"/>
            <w:tcBorders>
              <w:tl2br w:val="nil"/>
              <w:tr2bl w:val="nil"/>
            </w:tcBorders>
            <w:vAlign w:val="center"/>
          </w:tcPr>
          <w:p w14:paraId="6B5DAD81">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21"/>
                <w:highlight w:val="none"/>
                <w:lang w:eastAsia="en-US"/>
              </w:rPr>
            </w:pPr>
            <w:r>
              <w:rPr>
                <w:rFonts w:ascii="Times New Roman" w:hAnsi="Times New Roman" w:cs="Times New Roman"/>
                <w:color w:val="auto"/>
                <w:spacing w:val="3"/>
                <w:sz w:val="21"/>
                <w:szCs w:val="21"/>
                <w:highlight w:val="none"/>
                <w:lang w:eastAsia="en-US"/>
              </w:rPr>
              <w:t>270</w:t>
            </w:r>
          </w:p>
        </w:tc>
        <w:tc>
          <w:tcPr>
            <w:tcW w:w="698" w:type="dxa"/>
            <w:tcBorders>
              <w:tl2br w:val="nil"/>
              <w:tr2bl w:val="nil"/>
            </w:tcBorders>
            <w:vAlign w:val="center"/>
          </w:tcPr>
          <w:p w14:paraId="3456186D">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21"/>
                <w:highlight w:val="none"/>
                <w:lang w:eastAsia="en-US"/>
              </w:rPr>
            </w:pPr>
            <w:r>
              <w:rPr>
                <w:rFonts w:ascii="Times New Roman" w:hAnsi="Times New Roman" w:cs="Times New Roman"/>
                <w:color w:val="auto"/>
                <w:spacing w:val="-3"/>
                <w:sz w:val="21"/>
                <w:szCs w:val="21"/>
                <w:highlight w:val="none"/>
                <w:lang w:eastAsia="en-US"/>
              </w:rPr>
              <w:t>108</w:t>
            </w:r>
          </w:p>
        </w:tc>
        <w:tc>
          <w:tcPr>
            <w:tcW w:w="815" w:type="dxa"/>
            <w:tcBorders>
              <w:tl2br w:val="nil"/>
              <w:tr2bl w:val="nil"/>
            </w:tcBorders>
            <w:vAlign w:val="center"/>
          </w:tcPr>
          <w:p w14:paraId="38929E77">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21"/>
                <w:highlight w:val="none"/>
                <w:lang w:eastAsia="en-US"/>
              </w:rPr>
            </w:pPr>
            <w:r>
              <w:rPr>
                <w:rFonts w:ascii="Times New Roman" w:hAnsi="Times New Roman" w:cs="Times New Roman"/>
                <w:color w:val="auto"/>
                <w:spacing w:val="2"/>
                <w:sz w:val="21"/>
                <w:szCs w:val="21"/>
                <w:highlight w:val="none"/>
                <w:lang w:eastAsia="en-US"/>
              </w:rPr>
              <w:t>378</w:t>
            </w:r>
          </w:p>
        </w:tc>
      </w:tr>
      <w:tr w14:paraId="00621929">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1020" w:type="dxa"/>
            <w:tcBorders>
              <w:tl2br w:val="nil"/>
              <w:tr2bl w:val="nil"/>
            </w:tcBorders>
            <w:vAlign w:val="center"/>
          </w:tcPr>
          <w:p w14:paraId="12658F76">
            <w:pPr>
              <w:pStyle w:val="236"/>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eastAsia="宋体" w:cs="Times New Roman"/>
                <w:color w:val="auto"/>
                <w:sz w:val="21"/>
                <w:szCs w:val="21"/>
                <w:highlight w:val="none"/>
              </w:rPr>
            </w:pPr>
            <w:r>
              <w:rPr>
                <w:rFonts w:ascii="Times New Roman" w:hAnsi="Times New Roman" w:eastAsia="宋体" w:cs="Times New Roman"/>
                <w:color w:val="auto"/>
                <w:spacing w:val="7"/>
                <w:sz w:val="21"/>
                <w:szCs w:val="21"/>
                <w:highlight w:val="none"/>
              </w:rPr>
              <w:t>第二工场</w:t>
            </w:r>
          </w:p>
        </w:tc>
        <w:tc>
          <w:tcPr>
            <w:tcW w:w="718" w:type="dxa"/>
            <w:tcBorders>
              <w:tl2br w:val="nil"/>
              <w:tr2bl w:val="nil"/>
            </w:tcBorders>
            <w:vAlign w:val="center"/>
          </w:tcPr>
          <w:p w14:paraId="3D35F1D3">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21"/>
                <w:highlight w:val="none"/>
                <w:lang w:eastAsia="en-US"/>
              </w:rPr>
            </w:pPr>
            <w:r>
              <w:rPr>
                <w:rFonts w:ascii="Times New Roman" w:hAnsi="Times New Roman" w:cs="Times New Roman"/>
                <w:color w:val="auto"/>
                <w:spacing w:val="-1"/>
                <w:sz w:val="21"/>
                <w:szCs w:val="21"/>
                <w:highlight w:val="none"/>
                <w:lang w:eastAsia="en-US"/>
              </w:rPr>
              <w:t>1357</w:t>
            </w:r>
          </w:p>
        </w:tc>
        <w:tc>
          <w:tcPr>
            <w:tcW w:w="717" w:type="dxa"/>
            <w:tcBorders>
              <w:tl2br w:val="nil"/>
              <w:tr2bl w:val="nil"/>
            </w:tcBorders>
            <w:vAlign w:val="center"/>
          </w:tcPr>
          <w:p w14:paraId="0ADEA2F4">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21"/>
                <w:highlight w:val="none"/>
                <w:lang w:eastAsia="en-US"/>
              </w:rPr>
            </w:pPr>
            <w:r>
              <w:rPr>
                <w:rFonts w:ascii="Times New Roman" w:hAnsi="Times New Roman" w:cs="Times New Roman"/>
                <w:color w:val="auto"/>
                <w:spacing w:val="-1"/>
                <w:sz w:val="21"/>
                <w:szCs w:val="21"/>
                <w:highlight w:val="none"/>
                <w:lang w:eastAsia="en-US"/>
              </w:rPr>
              <w:t>14.17</w:t>
            </w:r>
          </w:p>
        </w:tc>
        <w:tc>
          <w:tcPr>
            <w:tcW w:w="708" w:type="dxa"/>
            <w:tcBorders>
              <w:tl2br w:val="nil"/>
              <w:tr2bl w:val="nil"/>
            </w:tcBorders>
            <w:vAlign w:val="center"/>
          </w:tcPr>
          <w:p w14:paraId="0AAFE99C">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21"/>
                <w:highlight w:val="none"/>
                <w:lang w:eastAsia="en-US"/>
              </w:rPr>
            </w:pPr>
            <w:r>
              <w:rPr>
                <w:rFonts w:ascii="Times New Roman" w:hAnsi="Times New Roman" w:cs="Times New Roman"/>
                <w:color w:val="auto"/>
                <w:sz w:val="21"/>
                <w:szCs w:val="21"/>
                <w:highlight w:val="none"/>
                <w:lang w:eastAsia="en-US"/>
              </w:rPr>
              <w:t>19229</w:t>
            </w:r>
          </w:p>
        </w:tc>
        <w:tc>
          <w:tcPr>
            <w:tcW w:w="769" w:type="dxa"/>
            <w:tcBorders>
              <w:tl2br w:val="nil"/>
              <w:tr2bl w:val="nil"/>
            </w:tcBorders>
            <w:vAlign w:val="center"/>
          </w:tcPr>
          <w:p w14:paraId="199275D1">
            <w:pPr>
              <w:pStyle w:val="236"/>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eastAsia="宋体" w:cs="Times New Roman"/>
                <w:color w:val="auto"/>
                <w:sz w:val="21"/>
                <w:szCs w:val="21"/>
                <w:highlight w:val="none"/>
              </w:rPr>
            </w:pPr>
            <w:r>
              <w:rPr>
                <w:rFonts w:ascii="Times New Roman" w:hAnsi="Times New Roman" w:eastAsia="宋体" w:cs="Times New Roman"/>
                <w:color w:val="auto"/>
                <w:spacing w:val="-9"/>
                <w:sz w:val="21"/>
                <w:szCs w:val="21"/>
                <w:highlight w:val="none"/>
              </w:rPr>
              <w:t>甲类</w:t>
            </w:r>
          </w:p>
        </w:tc>
        <w:tc>
          <w:tcPr>
            <w:tcW w:w="795" w:type="dxa"/>
            <w:tcBorders>
              <w:tl2br w:val="nil"/>
              <w:tr2bl w:val="nil"/>
            </w:tcBorders>
            <w:vAlign w:val="center"/>
          </w:tcPr>
          <w:p w14:paraId="12944104">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21"/>
                <w:highlight w:val="none"/>
                <w:lang w:eastAsia="en-US"/>
              </w:rPr>
            </w:pPr>
            <w:r>
              <w:rPr>
                <w:rFonts w:ascii="Times New Roman" w:hAnsi="Times New Roman" w:cs="Times New Roman"/>
                <w:color w:val="auto"/>
                <w:spacing w:val="2"/>
                <w:sz w:val="21"/>
                <w:szCs w:val="21"/>
                <w:highlight w:val="none"/>
                <w:lang w:eastAsia="en-US"/>
              </w:rPr>
              <w:t>25</w:t>
            </w:r>
          </w:p>
        </w:tc>
        <w:tc>
          <w:tcPr>
            <w:tcW w:w="778" w:type="dxa"/>
            <w:tcBorders>
              <w:tl2br w:val="nil"/>
              <w:tr2bl w:val="nil"/>
            </w:tcBorders>
            <w:vAlign w:val="center"/>
          </w:tcPr>
          <w:p w14:paraId="735398DC">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21"/>
                <w:highlight w:val="none"/>
                <w:lang w:eastAsia="en-US"/>
              </w:rPr>
            </w:pPr>
            <w:r>
              <w:rPr>
                <w:rFonts w:ascii="Times New Roman" w:hAnsi="Times New Roman" w:cs="Times New Roman"/>
                <w:color w:val="auto"/>
                <w:spacing w:val="-8"/>
                <w:sz w:val="21"/>
                <w:szCs w:val="21"/>
                <w:highlight w:val="none"/>
                <w:lang w:eastAsia="en-US"/>
              </w:rPr>
              <w:t>10</w:t>
            </w:r>
          </w:p>
        </w:tc>
        <w:tc>
          <w:tcPr>
            <w:tcW w:w="717" w:type="dxa"/>
            <w:tcBorders>
              <w:tl2br w:val="nil"/>
              <w:tr2bl w:val="nil"/>
            </w:tcBorders>
            <w:vAlign w:val="center"/>
          </w:tcPr>
          <w:p w14:paraId="2AE80FF8">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21"/>
                <w:highlight w:val="none"/>
                <w:lang w:eastAsia="en-US"/>
              </w:rPr>
            </w:pPr>
            <w:r>
              <w:rPr>
                <w:rFonts w:ascii="Times New Roman" w:hAnsi="Times New Roman" w:cs="Times New Roman"/>
                <w:color w:val="auto"/>
                <w:sz w:val="21"/>
                <w:szCs w:val="21"/>
                <w:highlight w:val="none"/>
                <w:lang w:eastAsia="en-US"/>
              </w:rPr>
              <w:t>3</w:t>
            </w:r>
          </w:p>
        </w:tc>
        <w:tc>
          <w:tcPr>
            <w:tcW w:w="769" w:type="dxa"/>
            <w:tcBorders>
              <w:tl2br w:val="nil"/>
              <w:tr2bl w:val="nil"/>
            </w:tcBorders>
            <w:vAlign w:val="center"/>
          </w:tcPr>
          <w:p w14:paraId="0331CCF4">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21"/>
                <w:highlight w:val="none"/>
                <w:lang w:eastAsia="en-US"/>
              </w:rPr>
            </w:pPr>
            <w:r>
              <w:rPr>
                <w:rFonts w:ascii="Times New Roman" w:hAnsi="Times New Roman" w:cs="Times New Roman"/>
                <w:color w:val="auto"/>
                <w:spacing w:val="3"/>
                <w:sz w:val="21"/>
                <w:szCs w:val="21"/>
                <w:highlight w:val="none"/>
                <w:lang w:eastAsia="en-US"/>
              </w:rPr>
              <w:t>270</w:t>
            </w:r>
          </w:p>
        </w:tc>
        <w:tc>
          <w:tcPr>
            <w:tcW w:w="698" w:type="dxa"/>
            <w:tcBorders>
              <w:tl2br w:val="nil"/>
              <w:tr2bl w:val="nil"/>
            </w:tcBorders>
            <w:vAlign w:val="center"/>
          </w:tcPr>
          <w:p w14:paraId="339A1A3B">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21"/>
                <w:highlight w:val="none"/>
                <w:lang w:eastAsia="en-US"/>
              </w:rPr>
            </w:pPr>
            <w:r>
              <w:rPr>
                <w:rFonts w:ascii="Times New Roman" w:hAnsi="Times New Roman" w:cs="Times New Roman"/>
                <w:color w:val="auto"/>
                <w:spacing w:val="-3"/>
                <w:sz w:val="21"/>
                <w:szCs w:val="21"/>
                <w:highlight w:val="none"/>
                <w:lang w:eastAsia="en-US"/>
              </w:rPr>
              <w:t>108</w:t>
            </w:r>
          </w:p>
        </w:tc>
        <w:tc>
          <w:tcPr>
            <w:tcW w:w="815" w:type="dxa"/>
            <w:tcBorders>
              <w:tl2br w:val="nil"/>
              <w:tr2bl w:val="nil"/>
            </w:tcBorders>
            <w:vAlign w:val="center"/>
          </w:tcPr>
          <w:p w14:paraId="60FA7765">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21"/>
                <w:highlight w:val="none"/>
                <w:lang w:eastAsia="en-US"/>
              </w:rPr>
            </w:pPr>
            <w:r>
              <w:rPr>
                <w:rFonts w:ascii="Times New Roman" w:hAnsi="Times New Roman" w:cs="Times New Roman"/>
                <w:color w:val="auto"/>
                <w:spacing w:val="2"/>
                <w:sz w:val="21"/>
                <w:szCs w:val="21"/>
                <w:highlight w:val="none"/>
                <w:lang w:eastAsia="en-US"/>
              </w:rPr>
              <w:t>378</w:t>
            </w:r>
          </w:p>
        </w:tc>
      </w:tr>
      <w:tr w14:paraId="61904787">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1020" w:type="dxa"/>
            <w:tcBorders>
              <w:tl2br w:val="nil"/>
              <w:tr2bl w:val="nil"/>
            </w:tcBorders>
            <w:vAlign w:val="center"/>
          </w:tcPr>
          <w:p w14:paraId="0C138A53">
            <w:pPr>
              <w:pStyle w:val="236"/>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eastAsia="宋体" w:cs="Times New Roman"/>
                <w:color w:val="auto"/>
                <w:sz w:val="21"/>
                <w:szCs w:val="21"/>
                <w:highlight w:val="none"/>
              </w:rPr>
            </w:pPr>
            <w:r>
              <w:rPr>
                <w:rFonts w:ascii="Times New Roman" w:hAnsi="Times New Roman" w:eastAsia="宋体" w:cs="Times New Roman"/>
                <w:color w:val="auto"/>
                <w:spacing w:val="7"/>
                <w:sz w:val="21"/>
                <w:szCs w:val="21"/>
                <w:highlight w:val="none"/>
              </w:rPr>
              <w:t>危险品仓库</w:t>
            </w:r>
          </w:p>
        </w:tc>
        <w:tc>
          <w:tcPr>
            <w:tcW w:w="718" w:type="dxa"/>
            <w:tcBorders>
              <w:tl2br w:val="nil"/>
              <w:tr2bl w:val="nil"/>
            </w:tcBorders>
            <w:vAlign w:val="center"/>
          </w:tcPr>
          <w:p w14:paraId="4DC523CF">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21"/>
                <w:highlight w:val="none"/>
                <w:lang w:eastAsia="en-US"/>
              </w:rPr>
            </w:pPr>
            <w:r>
              <w:rPr>
                <w:rFonts w:ascii="Times New Roman" w:hAnsi="Times New Roman" w:cs="Times New Roman"/>
                <w:color w:val="auto"/>
                <w:spacing w:val="3"/>
                <w:sz w:val="21"/>
                <w:szCs w:val="21"/>
                <w:highlight w:val="none"/>
                <w:lang w:eastAsia="en-US"/>
              </w:rPr>
              <w:t>498.96</w:t>
            </w:r>
          </w:p>
        </w:tc>
        <w:tc>
          <w:tcPr>
            <w:tcW w:w="717" w:type="dxa"/>
            <w:tcBorders>
              <w:tl2br w:val="nil"/>
              <w:tr2bl w:val="nil"/>
            </w:tcBorders>
            <w:vAlign w:val="center"/>
          </w:tcPr>
          <w:p w14:paraId="09E88648">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21"/>
                <w:highlight w:val="none"/>
                <w:lang w:eastAsia="en-US"/>
              </w:rPr>
            </w:pPr>
            <w:r>
              <w:rPr>
                <w:rFonts w:ascii="Times New Roman" w:hAnsi="Times New Roman" w:cs="Times New Roman"/>
                <w:color w:val="auto"/>
                <w:spacing w:val="1"/>
                <w:sz w:val="21"/>
                <w:szCs w:val="21"/>
                <w:highlight w:val="none"/>
                <w:lang w:eastAsia="en-US"/>
              </w:rPr>
              <w:t>8.15</w:t>
            </w:r>
          </w:p>
        </w:tc>
        <w:tc>
          <w:tcPr>
            <w:tcW w:w="708" w:type="dxa"/>
            <w:tcBorders>
              <w:tl2br w:val="nil"/>
              <w:tr2bl w:val="nil"/>
            </w:tcBorders>
            <w:vAlign w:val="center"/>
          </w:tcPr>
          <w:p w14:paraId="7A81CD8B">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21"/>
                <w:highlight w:val="none"/>
                <w:lang w:eastAsia="en-US"/>
              </w:rPr>
            </w:pPr>
            <w:r>
              <w:rPr>
                <w:rFonts w:ascii="Times New Roman" w:hAnsi="Times New Roman" w:cs="Times New Roman"/>
                <w:color w:val="auto"/>
                <w:spacing w:val="3"/>
                <w:sz w:val="21"/>
                <w:szCs w:val="21"/>
                <w:highlight w:val="none"/>
                <w:lang w:eastAsia="en-US"/>
              </w:rPr>
              <w:t>4067</w:t>
            </w:r>
          </w:p>
        </w:tc>
        <w:tc>
          <w:tcPr>
            <w:tcW w:w="769" w:type="dxa"/>
            <w:tcBorders>
              <w:tl2br w:val="nil"/>
              <w:tr2bl w:val="nil"/>
            </w:tcBorders>
            <w:vAlign w:val="center"/>
          </w:tcPr>
          <w:p w14:paraId="36640871">
            <w:pPr>
              <w:pStyle w:val="236"/>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eastAsia="宋体" w:cs="Times New Roman"/>
                <w:color w:val="auto"/>
                <w:sz w:val="21"/>
                <w:szCs w:val="21"/>
                <w:highlight w:val="none"/>
              </w:rPr>
            </w:pPr>
            <w:r>
              <w:rPr>
                <w:rFonts w:ascii="Times New Roman" w:hAnsi="Times New Roman" w:eastAsia="宋体" w:cs="Times New Roman"/>
                <w:color w:val="auto"/>
                <w:spacing w:val="-9"/>
                <w:sz w:val="21"/>
                <w:szCs w:val="21"/>
                <w:highlight w:val="none"/>
              </w:rPr>
              <w:t>甲类</w:t>
            </w:r>
          </w:p>
        </w:tc>
        <w:tc>
          <w:tcPr>
            <w:tcW w:w="795" w:type="dxa"/>
            <w:tcBorders>
              <w:tl2br w:val="nil"/>
              <w:tr2bl w:val="nil"/>
            </w:tcBorders>
            <w:vAlign w:val="center"/>
          </w:tcPr>
          <w:p w14:paraId="262A95C5">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21"/>
                <w:highlight w:val="none"/>
                <w:lang w:eastAsia="en-US"/>
              </w:rPr>
            </w:pPr>
            <w:r>
              <w:rPr>
                <w:rFonts w:ascii="Times New Roman" w:hAnsi="Times New Roman" w:cs="Times New Roman"/>
                <w:color w:val="auto"/>
                <w:spacing w:val="2"/>
                <w:sz w:val="21"/>
                <w:szCs w:val="21"/>
                <w:highlight w:val="none"/>
                <w:lang w:eastAsia="en-US"/>
              </w:rPr>
              <w:t>25</w:t>
            </w:r>
          </w:p>
        </w:tc>
        <w:tc>
          <w:tcPr>
            <w:tcW w:w="778" w:type="dxa"/>
            <w:tcBorders>
              <w:tl2br w:val="nil"/>
              <w:tr2bl w:val="nil"/>
            </w:tcBorders>
            <w:vAlign w:val="center"/>
          </w:tcPr>
          <w:p w14:paraId="3EB5B509">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21"/>
                <w:highlight w:val="none"/>
                <w:lang w:eastAsia="en-US"/>
              </w:rPr>
            </w:pPr>
            <w:r>
              <w:rPr>
                <w:rFonts w:ascii="Times New Roman" w:hAnsi="Times New Roman" w:cs="Times New Roman"/>
                <w:color w:val="auto"/>
                <w:spacing w:val="-8"/>
                <w:sz w:val="21"/>
                <w:szCs w:val="21"/>
                <w:highlight w:val="none"/>
                <w:lang w:eastAsia="en-US"/>
              </w:rPr>
              <w:t>10</w:t>
            </w:r>
          </w:p>
        </w:tc>
        <w:tc>
          <w:tcPr>
            <w:tcW w:w="717" w:type="dxa"/>
            <w:tcBorders>
              <w:tl2br w:val="nil"/>
              <w:tr2bl w:val="nil"/>
            </w:tcBorders>
            <w:vAlign w:val="center"/>
          </w:tcPr>
          <w:p w14:paraId="3C60F25F">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21"/>
                <w:highlight w:val="none"/>
                <w:lang w:eastAsia="en-US"/>
              </w:rPr>
            </w:pPr>
            <w:r>
              <w:rPr>
                <w:rFonts w:ascii="Times New Roman" w:hAnsi="Times New Roman" w:cs="Times New Roman"/>
                <w:color w:val="auto"/>
                <w:sz w:val="21"/>
                <w:szCs w:val="21"/>
                <w:highlight w:val="none"/>
                <w:lang w:eastAsia="en-US"/>
              </w:rPr>
              <w:t>3</w:t>
            </w:r>
          </w:p>
        </w:tc>
        <w:tc>
          <w:tcPr>
            <w:tcW w:w="769" w:type="dxa"/>
            <w:tcBorders>
              <w:tl2br w:val="nil"/>
              <w:tr2bl w:val="nil"/>
            </w:tcBorders>
            <w:vAlign w:val="center"/>
          </w:tcPr>
          <w:p w14:paraId="7051879D">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21"/>
                <w:highlight w:val="none"/>
                <w:lang w:eastAsia="en-US"/>
              </w:rPr>
            </w:pPr>
            <w:r>
              <w:rPr>
                <w:rFonts w:ascii="Times New Roman" w:hAnsi="Times New Roman" w:cs="Times New Roman"/>
                <w:color w:val="auto"/>
                <w:spacing w:val="3"/>
                <w:sz w:val="21"/>
                <w:szCs w:val="21"/>
                <w:highlight w:val="none"/>
                <w:lang w:eastAsia="en-US"/>
              </w:rPr>
              <w:t>270</w:t>
            </w:r>
          </w:p>
        </w:tc>
        <w:tc>
          <w:tcPr>
            <w:tcW w:w="698" w:type="dxa"/>
            <w:tcBorders>
              <w:tl2br w:val="nil"/>
              <w:tr2bl w:val="nil"/>
            </w:tcBorders>
            <w:vAlign w:val="center"/>
          </w:tcPr>
          <w:p w14:paraId="18C8032B">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21"/>
                <w:highlight w:val="none"/>
                <w:lang w:eastAsia="en-US"/>
              </w:rPr>
            </w:pPr>
            <w:r>
              <w:rPr>
                <w:rFonts w:ascii="Times New Roman" w:hAnsi="Times New Roman" w:cs="Times New Roman"/>
                <w:color w:val="auto"/>
                <w:spacing w:val="-3"/>
                <w:sz w:val="21"/>
                <w:szCs w:val="21"/>
                <w:highlight w:val="none"/>
                <w:lang w:eastAsia="en-US"/>
              </w:rPr>
              <w:t>108</w:t>
            </w:r>
          </w:p>
        </w:tc>
        <w:tc>
          <w:tcPr>
            <w:tcW w:w="815" w:type="dxa"/>
            <w:tcBorders>
              <w:tl2br w:val="nil"/>
              <w:tr2bl w:val="nil"/>
            </w:tcBorders>
            <w:vAlign w:val="center"/>
          </w:tcPr>
          <w:p w14:paraId="5B5C3ECF">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21"/>
                <w:highlight w:val="none"/>
                <w:lang w:eastAsia="en-US"/>
              </w:rPr>
            </w:pPr>
            <w:r>
              <w:rPr>
                <w:rFonts w:ascii="Times New Roman" w:hAnsi="Times New Roman" w:cs="Times New Roman"/>
                <w:color w:val="auto"/>
                <w:spacing w:val="2"/>
                <w:sz w:val="21"/>
                <w:szCs w:val="21"/>
                <w:highlight w:val="none"/>
                <w:lang w:eastAsia="en-US"/>
              </w:rPr>
              <w:t>378</w:t>
            </w:r>
          </w:p>
        </w:tc>
      </w:tr>
      <w:tr w14:paraId="5623E6A6">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1020" w:type="dxa"/>
            <w:tcBorders>
              <w:tl2br w:val="nil"/>
              <w:tr2bl w:val="nil"/>
            </w:tcBorders>
            <w:vAlign w:val="center"/>
          </w:tcPr>
          <w:p w14:paraId="2C4D88A8">
            <w:pPr>
              <w:pStyle w:val="236"/>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eastAsia="宋体" w:cs="Times New Roman"/>
                <w:color w:val="auto"/>
                <w:sz w:val="21"/>
                <w:szCs w:val="21"/>
                <w:highlight w:val="none"/>
              </w:rPr>
            </w:pPr>
            <w:r>
              <w:rPr>
                <w:rFonts w:ascii="Times New Roman" w:hAnsi="Times New Roman" w:eastAsia="宋体" w:cs="Times New Roman"/>
                <w:color w:val="auto"/>
                <w:spacing w:val="5"/>
                <w:sz w:val="21"/>
                <w:szCs w:val="21"/>
                <w:highlight w:val="none"/>
              </w:rPr>
              <w:t>成品仓库1</w:t>
            </w:r>
          </w:p>
        </w:tc>
        <w:tc>
          <w:tcPr>
            <w:tcW w:w="718" w:type="dxa"/>
            <w:tcBorders>
              <w:tl2br w:val="nil"/>
              <w:tr2bl w:val="nil"/>
            </w:tcBorders>
            <w:vAlign w:val="center"/>
          </w:tcPr>
          <w:p w14:paraId="5957F550">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21"/>
                <w:highlight w:val="none"/>
                <w:lang w:eastAsia="en-US"/>
              </w:rPr>
            </w:pPr>
            <w:r>
              <w:rPr>
                <w:rFonts w:ascii="Times New Roman" w:hAnsi="Times New Roman" w:cs="Times New Roman"/>
                <w:color w:val="auto"/>
                <w:spacing w:val="3"/>
                <w:sz w:val="21"/>
                <w:szCs w:val="21"/>
                <w:highlight w:val="none"/>
                <w:lang w:eastAsia="en-US"/>
              </w:rPr>
              <w:t>245</w:t>
            </w:r>
          </w:p>
        </w:tc>
        <w:tc>
          <w:tcPr>
            <w:tcW w:w="717" w:type="dxa"/>
            <w:tcBorders>
              <w:tl2br w:val="nil"/>
              <w:tr2bl w:val="nil"/>
            </w:tcBorders>
            <w:vAlign w:val="center"/>
          </w:tcPr>
          <w:p w14:paraId="7CAECBD4">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21"/>
                <w:highlight w:val="none"/>
                <w:lang w:eastAsia="en-US"/>
              </w:rPr>
            </w:pPr>
            <w:r>
              <w:rPr>
                <w:rFonts w:ascii="Times New Roman" w:hAnsi="Times New Roman" w:cs="Times New Roman"/>
                <w:color w:val="auto"/>
                <w:spacing w:val="2"/>
                <w:sz w:val="21"/>
                <w:szCs w:val="21"/>
                <w:highlight w:val="none"/>
                <w:lang w:eastAsia="en-US"/>
              </w:rPr>
              <w:t>6.98</w:t>
            </w:r>
          </w:p>
        </w:tc>
        <w:tc>
          <w:tcPr>
            <w:tcW w:w="708" w:type="dxa"/>
            <w:tcBorders>
              <w:tl2br w:val="nil"/>
              <w:tr2bl w:val="nil"/>
            </w:tcBorders>
            <w:vAlign w:val="center"/>
          </w:tcPr>
          <w:p w14:paraId="27A4A707">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21"/>
                <w:highlight w:val="none"/>
                <w:lang w:eastAsia="en-US"/>
              </w:rPr>
            </w:pPr>
            <w:r>
              <w:rPr>
                <w:rFonts w:ascii="Times New Roman" w:hAnsi="Times New Roman" w:cs="Times New Roman"/>
                <w:color w:val="auto"/>
                <w:spacing w:val="-2"/>
                <w:sz w:val="21"/>
                <w:szCs w:val="21"/>
                <w:highlight w:val="none"/>
                <w:lang w:eastAsia="en-US"/>
              </w:rPr>
              <w:t>1710</w:t>
            </w:r>
          </w:p>
        </w:tc>
        <w:tc>
          <w:tcPr>
            <w:tcW w:w="769" w:type="dxa"/>
            <w:tcBorders>
              <w:tl2br w:val="nil"/>
              <w:tr2bl w:val="nil"/>
            </w:tcBorders>
            <w:vAlign w:val="center"/>
          </w:tcPr>
          <w:p w14:paraId="4FE5356D">
            <w:pPr>
              <w:pStyle w:val="236"/>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eastAsia="宋体" w:cs="Times New Roman"/>
                <w:color w:val="auto"/>
                <w:sz w:val="21"/>
                <w:szCs w:val="21"/>
                <w:highlight w:val="none"/>
              </w:rPr>
            </w:pPr>
            <w:r>
              <w:rPr>
                <w:rFonts w:ascii="Times New Roman" w:hAnsi="Times New Roman" w:eastAsia="宋体" w:cs="Times New Roman"/>
                <w:color w:val="auto"/>
                <w:spacing w:val="2"/>
                <w:sz w:val="21"/>
                <w:szCs w:val="21"/>
                <w:highlight w:val="none"/>
              </w:rPr>
              <w:t>丙类</w:t>
            </w:r>
          </w:p>
        </w:tc>
        <w:tc>
          <w:tcPr>
            <w:tcW w:w="795" w:type="dxa"/>
            <w:tcBorders>
              <w:tl2br w:val="nil"/>
              <w:tr2bl w:val="nil"/>
            </w:tcBorders>
            <w:vAlign w:val="center"/>
          </w:tcPr>
          <w:p w14:paraId="7F86BAFE">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21"/>
                <w:highlight w:val="none"/>
                <w:lang w:eastAsia="en-US"/>
              </w:rPr>
            </w:pPr>
            <w:r>
              <w:rPr>
                <w:rFonts w:ascii="Times New Roman" w:hAnsi="Times New Roman" w:cs="Times New Roman"/>
                <w:color w:val="auto"/>
                <w:spacing w:val="-8"/>
                <w:sz w:val="21"/>
                <w:szCs w:val="21"/>
                <w:highlight w:val="none"/>
                <w:lang w:eastAsia="en-US"/>
              </w:rPr>
              <w:t>15</w:t>
            </w:r>
          </w:p>
        </w:tc>
        <w:tc>
          <w:tcPr>
            <w:tcW w:w="778" w:type="dxa"/>
            <w:tcBorders>
              <w:tl2br w:val="nil"/>
              <w:tr2bl w:val="nil"/>
            </w:tcBorders>
            <w:vAlign w:val="center"/>
          </w:tcPr>
          <w:p w14:paraId="73C21FDA">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21"/>
                <w:highlight w:val="none"/>
                <w:lang w:eastAsia="en-US"/>
              </w:rPr>
            </w:pPr>
            <w:r>
              <w:rPr>
                <w:rFonts w:ascii="Times New Roman" w:hAnsi="Times New Roman" w:cs="Times New Roman"/>
                <w:color w:val="auto"/>
                <w:spacing w:val="2"/>
                <w:sz w:val="21"/>
                <w:szCs w:val="21"/>
                <w:highlight w:val="none"/>
                <w:lang w:eastAsia="en-US"/>
              </w:rPr>
              <w:t>20</w:t>
            </w:r>
          </w:p>
        </w:tc>
        <w:tc>
          <w:tcPr>
            <w:tcW w:w="717" w:type="dxa"/>
            <w:tcBorders>
              <w:tl2br w:val="nil"/>
              <w:tr2bl w:val="nil"/>
            </w:tcBorders>
            <w:vAlign w:val="center"/>
          </w:tcPr>
          <w:p w14:paraId="28B35D25">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21"/>
                <w:highlight w:val="none"/>
                <w:lang w:eastAsia="en-US"/>
              </w:rPr>
            </w:pPr>
            <w:r>
              <w:rPr>
                <w:rFonts w:ascii="Times New Roman" w:hAnsi="Times New Roman" w:cs="Times New Roman"/>
                <w:color w:val="auto"/>
                <w:sz w:val="21"/>
                <w:szCs w:val="21"/>
                <w:highlight w:val="none"/>
                <w:lang w:eastAsia="en-US"/>
              </w:rPr>
              <w:t>3</w:t>
            </w:r>
          </w:p>
        </w:tc>
        <w:tc>
          <w:tcPr>
            <w:tcW w:w="769" w:type="dxa"/>
            <w:tcBorders>
              <w:tl2br w:val="nil"/>
              <w:tr2bl w:val="nil"/>
            </w:tcBorders>
            <w:vAlign w:val="center"/>
          </w:tcPr>
          <w:p w14:paraId="4E4A58D5">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21"/>
                <w:highlight w:val="none"/>
                <w:lang w:eastAsia="en-US"/>
              </w:rPr>
            </w:pPr>
            <w:r>
              <w:rPr>
                <w:rFonts w:ascii="Times New Roman" w:hAnsi="Times New Roman" w:cs="Times New Roman"/>
                <w:color w:val="auto"/>
                <w:spacing w:val="-3"/>
                <w:sz w:val="21"/>
                <w:szCs w:val="21"/>
                <w:highlight w:val="none"/>
                <w:lang w:eastAsia="en-US"/>
              </w:rPr>
              <w:t>162</w:t>
            </w:r>
          </w:p>
        </w:tc>
        <w:tc>
          <w:tcPr>
            <w:tcW w:w="698" w:type="dxa"/>
            <w:tcBorders>
              <w:tl2br w:val="nil"/>
              <w:tr2bl w:val="nil"/>
            </w:tcBorders>
            <w:vAlign w:val="center"/>
          </w:tcPr>
          <w:p w14:paraId="01C697CF">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21"/>
                <w:highlight w:val="none"/>
                <w:lang w:eastAsia="en-US"/>
              </w:rPr>
            </w:pPr>
            <w:r>
              <w:rPr>
                <w:rFonts w:ascii="Times New Roman" w:hAnsi="Times New Roman" w:cs="Times New Roman"/>
                <w:color w:val="auto"/>
                <w:spacing w:val="3"/>
                <w:sz w:val="21"/>
                <w:szCs w:val="21"/>
                <w:highlight w:val="none"/>
                <w:lang w:eastAsia="en-US"/>
              </w:rPr>
              <w:t>216</w:t>
            </w:r>
          </w:p>
        </w:tc>
        <w:tc>
          <w:tcPr>
            <w:tcW w:w="815" w:type="dxa"/>
            <w:tcBorders>
              <w:tl2br w:val="nil"/>
              <w:tr2bl w:val="nil"/>
            </w:tcBorders>
            <w:vAlign w:val="center"/>
          </w:tcPr>
          <w:p w14:paraId="73AFB004">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21"/>
                <w:highlight w:val="none"/>
                <w:lang w:eastAsia="en-US"/>
              </w:rPr>
            </w:pPr>
            <w:r>
              <w:rPr>
                <w:rFonts w:ascii="Times New Roman" w:hAnsi="Times New Roman" w:cs="Times New Roman"/>
                <w:color w:val="auto"/>
                <w:spacing w:val="2"/>
                <w:sz w:val="21"/>
                <w:szCs w:val="21"/>
                <w:highlight w:val="none"/>
                <w:lang w:eastAsia="en-US"/>
              </w:rPr>
              <w:t>378</w:t>
            </w:r>
          </w:p>
        </w:tc>
      </w:tr>
      <w:tr w14:paraId="6444B377">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1020" w:type="dxa"/>
            <w:tcBorders>
              <w:tl2br w:val="nil"/>
              <w:tr2bl w:val="nil"/>
            </w:tcBorders>
            <w:vAlign w:val="center"/>
          </w:tcPr>
          <w:p w14:paraId="7EDABEA1">
            <w:pPr>
              <w:pStyle w:val="236"/>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eastAsia="宋体" w:cs="Times New Roman"/>
                <w:color w:val="auto"/>
                <w:sz w:val="21"/>
                <w:szCs w:val="21"/>
                <w:highlight w:val="none"/>
              </w:rPr>
            </w:pPr>
            <w:r>
              <w:rPr>
                <w:rFonts w:ascii="Times New Roman" w:hAnsi="Times New Roman" w:eastAsia="宋体" w:cs="Times New Roman"/>
                <w:color w:val="auto"/>
                <w:spacing w:val="5"/>
                <w:sz w:val="21"/>
                <w:szCs w:val="21"/>
                <w:highlight w:val="none"/>
              </w:rPr>
              <w:t>成品仓库2</w:t>
            </w:r>
          </w:p>
        </w:tc>
        <w:tc>
          <w:tcPr>
            <w:tcW w:w="718" w:type="dxa"/>
            <w:tcBorders>
              <w:tl2br w:val="nil"/>
              <w:tr2bl w:val="nil"/>
            </w:tcBorders>
            <w:vAlign w:val="center"/>
          </w:tcPr>
          <w:p w14:paraId="3A6685F7">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21"/>
                <w:highlight w:val="none"/>
                <w:lang w:eastAsia="en-US"/>
              </w:rPr>
            </w:pPr>
            <w:r>
              <w:rPr>
                <w:rFonts w:ascii="Times New Roman" w:hAnsi="Times New Roman" w:cs="Times New Roman"/>
                <w:color w:val="auto"/>
                <w:spacing w:val="3"/>
                <w:sz w:val="21"/>
                <w:szCs w:val="21"/>
                <w:highlight w:val="none"/>
                <w:lang w:eastAsia="en-US"/>
              </w:rPr>
              <w:t>245</w:t>
            </w:r>
          </w:p>
        </w:tc>
        <w:tc>
          <w:tcPr>
            <w:tcW w:w="717" w:type="dxa"/>
            <w:tcBorders>
              <w:tl2br w:val="nil"/>
              <w:tr2bl w:val="nil"/>
            </w:tcBorders>
            <w:vAlign w:val="center"/>
          </w:tcPr>
          <w:p w14:paraId="6A0478D8">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21"/>
                <w:highlight w:val="none"/>
                <w:lang w:eastAsia="en-US"/>
              </w:rPr>
            </w:pPr>
            <w:r>
              <w:rPr>
                <w:rFonts w:ascii="Times New Roman" w:hAnsi="Times New Roman" w:cs="Times New Roman"/>
                <w:color w:val="auto"/>
                <w:spacing w:val="2"/>
                <w:sz w:val="21"/>
                <w:szCs w:val="21"/>
                <w:highlight w:val="none"/>
                <w:lang w:eastAsia="en-US"/>
              </w:rPr>
              <w:t>6.98</w:t>
            </w:r>
          </w:p>
        </w:tc>
        <w:tc>
          <w:tcPr>
            <w:tcW w:w="708" w:type="dxa"/>
            <w:tcBorders>
              <w:tl2br w:val="nil"/>
              <w:tr2bl w:val="nil"/>
            </w:tcBorders>
            <w:vAlign w:val="center"/>
          </w:tcPr>
          <w:p w14:paraId="6C60D522">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21"/>
                <w:highlight w:val="none"/>
                <w:lang w:eastAsia="en-US"/>
              </w:rPr>
            </w:pPr>
            <w:r>
              <w:rPr>
                <w:rFonts w:ascii="Times New Roman" w:hAnsi="Times New Roman" w:cs="Times New Roman"/>
                <w:color w:val="auto"/>
                <w:spacing w:val="-2"/>
                <w:sz w:val="21"/>
                <w:szCs w:val="21"/>
                <w:highlight w:val="none"/>
                <w:lang w:eastAsia="en-US"/>
              </w:rPr>
              <w:t>1710</w:t>
            </w:r>
          </w:p>
        </w:tc>
        <w:tc>
          <w:tcPr>
            <w:tcW w:w="769" w:type="dxa"/>
            <w:tcBorders>
              <w:tl2br w:val="nil"/>
              <w:tr2bl w:val="nil"/>
            </w:tcBorders>
            <w:vAlign w:val="center"/>
          </w:tcPr>
          <w:p w14:paraId="4EF9155D">
            <w:pPr>
              <w:pStyle w:val="236"/>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eastAsia="宋体" w:cs="Times New Roman"/>
                <w:color w:val="auto"/>
                <w:sz w:val="21"/>
                <w:szCs w:val="21"/>
                <w:highlight w:val="none"/>
              </w:rPr>
            </w:pPr>
            <w:r>
              <w:rPr>
                <w:rFonts w:ascii="Times New Roman" w:hAnsi="Times New Roman" w:eastAsia="宋体" w:cs="Times New Roman"/>
                <w:color w:val="auto"/>
                <w:spacing w:val="2"/>
                <w:sz w:val="21"/>
                <w:szCs w:val="21"/>
                <w:highlight w:val="none"/>
              </w:rPr>
              <w:t>丙类</w:t>
            </w:r>
          </w:p>
        </w:tc>
        <w:tc>
          <w:tcPr>
            <w:tcW w:w="795" w:type="dxa"/>
            <w:tcBorders>
              <w:tl2br w:val="nil"/>
              <w:tr2bl w:val="nil"/>
            </w:tcBorders>
            <w:vAlign w:val="center"/>
          </w:tcPr>
          <w:p w14:paraId="352B0D20">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21"/>
                <w:highlight w:val="none"/>
                <w:lang w:eastAsia="en-US"/>
              </w:rPr>
            </w:pPr>
            <w:r>
              <w:rPr>
                <w:rFonts w:ascii="Times New Roman" w:hAnsi="Times New Roman" w:cs="Times New Roman"/>
                <w:color w:val="auto"/>
                <w:spacing w:val="-8"/>
                <w:sz w:val="21"/>
                <w:szCs w:val="21"/>
                <w:highlight w:val="none"/>
                <w:lang w:eastAsia="en-US"/>
              </w:rPr>
              <w:t>15</w:t>
            </w:r>
          </w:p>
        </w:tc>
        <w:tc>
          <w:tcPr>
            <w:tcW w:w="778" w:type="dxa"/>
            <w:tcBorders>
              <w:tl2br w:val="nil"/>
              <w:tr2bl w:val="nil"/>
            </w:tcBorders>
            <w:vAlign w:val="center"/>
          </w:tcPr>
          <w:p w14:paraId="488EE025">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21"/>
                <w:highlight w:val="none"/>
                <w:lang w:eastAsia="en-US"/>
              </w:rPr>
            </w:pPr>
            <w:r>
              <w:rPr>
                <w:rFonts w:ascii="Times New Roman" w:hAnsi="Times New Roman" w:cs="Times New Roman"/>
                <w:color w:val="auto"/>
                <w:spacing w:val="2"/>
                <w:sz w:val="21"/>
                <w:szCs w:val="21"/>
                <w:highlight w:val="none"/>
                <w:lang w:eastAsia="en-US"/>
              </w:rPr>
              <w:t>20</w:t>
            </w:r>
          </w:p>
        </w:tc>
        <w:tc>
          <w:tcPr>
            <w:tcW w:w="717" w:type="dxa"/>
            <w:tcBorders>
              <w:tl2br w:val="nil"/>
              <w:tr2bl w:val="nil"/>
            </w:tcBorders>
            <w:vAlign w:val="center"/>
          </w:tcPr>
          <w:p w14:paraId="6C0B9980">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21"/>
                <w:highlight w:val="none"/>
                <w:lang w:eastAsia="en-US"/>
              </w:rPr>
            </w:pPr>
            <w:r>
              <w:rPr>
                <w:rFonts w:ascii="Times New Roman" w:hAnsi="Times New Roman" w:cs="Times New Roman"/>
                <w:color w:val="auto"/>
                <w:sz w:val="21"/>
                <w:szCs w:val="21"/>
                <w:highlight w:val="none"/>
                <w:lang w:eastAsia="en-US"/>
              </w:rPr>
              <w:t>3</w:t>
            </w:r>
          </w:p>
        </w:tc>
        <w:tc>
          <w:tcPr>
            <w:tcW w:w="769" w:type="dxa"/>
            <w:tcBorders>
              <w:tl2br w:val="nil"/>
              <w:tr2bl w:val="nil"/>
            </w:tcBorders>
            <w:vAlign w:val="center"/>
          </w:tcPr>
          <w:p w14:paraId="31DBD079">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21"/>
                <w:highlight w:val="none"/>
                <w:lang w:eastAsia="en-US"/>
              </w:rPr>
            </w:pPr>
            <w:r>
              <w:rPr>
                <w:rFonts w:ascii="Times New Roman" w:hAnsi="Times New Roman" w:cs="Times New Roman"/>
                <w:color w:val="auto"/>
                <w:spacing w:val="-3"/>
                <w:sz w:val="21"/>
                <w:szCs w:val="21"/>
                <w:highlight w:val="none"/>
                <w:lang w:eastAsia="en-US"/>
              </w:rPr>
              <w:t>162</w:t>
            </w:r>
          </w:p>
        </w:tc>
        <w:tc>
          <w:tcPr>
            <w:tcW w:w="698" w:type="dxa"/>
            <w:tcBorders>
              <w:tl2br w:val="nil"/>
              <w:tr2bl w:val="nil"/>
            </w:tcBorders>
            <w:vAlign w:val="center"/>
          </w:tcPr>
          <w:p w14:paraId="31644879">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21"/>
                <w:highlight w:val="none"/>
                <w:lang w:eastAsia="en-US"/>
              </w:rPr>
            </w:pPr>
            <w:r>
              <w:rPr>
                <w:rFonts w:ascii="Times New Roman" w:hAnsi="Times New Roman" w:cs="Times New Roman"/>
                <w:color w:val="auto"/>
                <w:spacing w:val="3"/>
                <w:sz w:val="21"/>
                <w:szCs w:val="21"/>
                <w:highlight w:val="none"/>
                <w:lang w:eastAsia="en-US"/>
              </w:rPr>
              <w:t>216</w:t>
            </w:r>
          </w:p>
        </w:tc>
        <w:tc>
          <w:tcPr>
            <w:tcW w:w="815" w:type="dxa"/>
            <w:tcBorders>
              <w:tl2br w:val="nil"/>
              <w:tr2bl w:val="nil"/>
            </w:tcBorders>
            <w:vAlign w:val="center"/>
          </w:tcPr>
          <w:p w14:paraId="03DC35F6">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21"/>
                <w:highlight w:val="none"/>
                <w:lang w:eastAsia="en-US"/>
              </w:rPr>
            </w:pPr>
            <w:r>
              <w:rPr>
                <w:rFonts w:ascii="Times New Roman" w:hAnsi="Times New Roman" w:cs="Times New Roman"/>
                <w:color w:val="auto"/>
                <w:spacing w:val="2"/>
                <w:sz w:val="21"/>
                <w:szCs w:val="21"/>
                <w:highlight w:val="none"/>
                <w:lang w:eastAsia="en-US"/>
              </w:rPr>
              <w:t>378</w:t>
            </w:r>
          </w:p>
        </w:tc>
      </w:tr>
      <w:tr w14:paraId="085705C2">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1020" w:type="dxa"/>
            <w:tcBorders>
              <w:tl2br w:val="nil"/>
              <w:tr2bl w:val="nil"/>
            </w:tcBorders>
            <w:vAlign w:val="center"/>
          </w:tcPr>
          <w:p w14:paraId="759376C0">
            <w:pPr>
              <w:pStyle w:val="236"/>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eastAsia="宋体" w:cs="Times New Roman"/>
                <w:color w:val="auto"/>
                <w:sz w:val="21"/>
                <w:szCs w:val="21"/>
                <w:highlight w:val="none"/>
              </w:rPr>
            </w:pPr>
            <w:r>
              <w:rPr>
                <w:rFonts w:ascii="Times New Roman" w:hAnsi="Times New Roman" w:eastAsia="宋体" w:cs="Times New Roman"/>
                <w:color w:val="auto"/>
                <w:spacing w:val="6"/>
                <w:sz w:val="21"/>
                <w:szCs w:val="21"/>
                <w:highlight w:val="none"/>
              </w:rPr>
              <w:t>锅炉房</w:t>
            </w:r>
          </w:p>
        </w:tc>
        <w:tc>
          <w:tcPr>
            <w:tcW w:w="718" w:type="dxa"/>
            <w:tcBorders>
              <w:tl2br w:val="nil"/>
              <w:tr2bl w:val="nil"/>
            </w:tcBorders>
            <w:vAlign w:val="center"/>
          </w:tcPr>
          <w:p w14:paraId="6F2D2CAF">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21"/>
                <w:highlight w:val="none"/>
                <w:lang w:eastAsia="en-US"/>
              </w:rPr>
            </w:pPr>
            <w:r>
              <w:rPr>
                <w:rFonts w:ascii="Times New Roman" w:hAnsi="Times New Roman" w:cs="Times New Roman"/>
                <w:color w:val="auto"/>
                <w:spacing w:val="-1"/>
                <w:sz w:val="21"/>
                <w:szCs w:val="21"/>
                <w:highlight w:val="none"/>
                <w:lang w:eastAsia="en-US"/>
              </w:rPr>
              <w:t>153.5</w:t>
            </w:r>
          </w:p>
        </w:tc>
        <w:tc>
          <w:tcPr>
            <w:tcW w:w="717" w:type="dxa"/>
            <w:tcBorders>
              <w:tl2br w:val="nil"/>
              <w:tr2bl w:val="nil"/>
            </w:tcBorders>
            <w:vAlign w:val="center"/>
          </w:tcPr>
          <w:p w14:paraId="121E69EF">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21"/>
                <w:highlight w:val="none"/>
                <w:lang w:eastAsia="en-US"/>
              </w:rPr>
            </w:pPr>
            <w:r>
              <w:rPr>
                <w:rFonts w:ascii="Times New Roman" w:hAnsi="Times New Roman" w:cs="Times New Roman"/>
                <w:color w:val="auto"/>
                <w:spacing w:val="2"/>
                <w:sz w:val="21"/>
                <w:szCs w:val="21"/>
                <w:highlight w:val="none"/>
                <w:lang w:eastAsia="en-US"/>
              </w:rPr>
              <w:t>6.67</w:t>
            </w:r>
          </w:p>
        </w:tc>
        <w:tc>
          <w:tcPr>
            <w:tcW w:w="708" w:type="dxa"/>
            <w:tcBorders>
              <w:tl2br w:val="nil"/>
              <w:tr2bl w:val="nil"/>
            </w:tcBorders>
            <w:vAlign w:val="center"/>
          </w:tcPr>
          <w:p w14:paraId="2E960972">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21"/>
                <w:highlight w:val="none"/>
                <w:lang w:eastAsia="en-US"/>
              </w:rPr>
            </w:pPr>
            <w:r>
              <w:rPr>
                <w:rFonts w:ascii="Times New Roman" w:hAnsi="Times New Roman" w:cs="Times New Roman"/>
                <w:color w:val="auto"/>
                <w:spacing w:val="-2"/>
                <w:sz w:val="21"/>
                <w:szCs w:val="21"/>
                <w:highlight w:val="none"/>
                <w:lang w:eastAsia="en-US"/>
              </w:rPr>
              <w:t>1024</w:t>
            </w:r>
          </w:p>
        </w:tc>
        <w:tc>
          <w:tcPr>
            <w:tcW w:w="769" w:type="dxa"/>
            <w:tcBorders>
              <w:tl2br w:val="nil"/>
              <w:tr2bl w:val="nil"/>
            </w:tcBorders>
            <w:vAlign w:val="center"/>
          </w:tcPr>
          <w:p w14:paraId="3ACEBABD">
            <w:pPr>
              <w:pStyle w:val="236"/>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eastAsia="宋体" w:cs="Times New Roman"/>
                <w:color w:val="auto"/>
                <w:sz w:val="21"/>
                <w:szCs w:val="21"/>
                <w:highlight w:val="none"/>
              </w:rPr>
            </w:pPr>
            <w:r>
              <w:rPr>
                <w:rFonts w:ascii="Times New Roman" w:hAnsi="Times New Roman" w:eastAsia="宋体" w:cs="Times New Roman"/>
                <w:color w:val="auto"/>
                <w:spacing w:val="2"/>
                <w:sz w:val="21"/>
                <w:szCs w:val="21"/>
                <w:highlight w:val="none"/>
              </w:rPr>
              <w:t>丙类</w:t>
            </w:r>
          </w:p>
        </w:tc>
        <w:tc>
          <w:tcPr>
            <w:tcW w:w="795" w:type="dxa"/>
            <w:tcBorders>
              <w:tl2br w:val="nil"/>
              <w:tr2bl w:val="nil"/>
            </w:tcBorders>
            <w:vAlign w:val="center"/>
          </w:tcPr>
          <w:p w14:paraId="46109863">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21"/>
                <w:highlight w:val="none"/>
                <w:lang w:eastAsia="en-US"/>
              </w:rPr>
            </w:pPr>
            <w:r>
              <w:rPr>
                <w:rFonts w:ascii="Times New Roman" w:hAnsi="Times New Roman" w:cs="Times New Roman"/>
                <w:color w:val="auto"/>
                <w:spacing w:val="-8"/>
                <w:sz w:val="21"/>
                <w:szCs w:val="21"/>
                <w:highlight w:val="none"/>
                <w:lang w:eastAsia="en-US"/>
              </w:rPr>
              <w:t>15</w:t>
            </w:r>
          </w:p>
        </w:tc>
        <w:tc>
          <w:tcPr>
            <w:tcW w:w="778" w:type="dxa"/>
            <w:tcBorders>
              <w:tl2br w:val="nil"/>
              <w:tr2bl w:val="nil"/>
            </w:tcBorders>
            <w:vAlign w:val="center"/>
          </w:tcPr>
          <w:p w14:paraId="3B77F6D6">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21"/>
                <w:highlight w:val="none"/>
                <w:lang w:eastAsia="en-US"/>
              </w:rPr>
            </w:pPr>
            <w:r>
              <w:rPr>
                <w:rFonts w:ascii="Times New Roman" w:hAnsi="Times New Roman" w:cs="Times New Roman"/>
                <w:color w:val="auto"/>
                <w:spacing w:val="2"/>
                <w:sz w:val="21"/>
                <w:szCs w:val="21"/>
                <w:highlight w:val="none"/>
                <w:lang w:eastAsia="en-US"/>
              </w:rPr>
              <w:t>20</w:t>
            </w:r>
          </w:p>
        </w:tc>
        <w:tc>
          <w:tcPr>
            <w:tcW w:w="717" w:type="dxa"/>
            <w:tcBorders>
              <w:tl2br w:val="nil"/>
              <w:tr2bl w:val="nil"/>
            </w:tcBorders>
            <w:vAlign w:val="center"/>
          </w:tcPr>
          <w:p w14:paraId="4AD828AD">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21"/>
                <w:highlight w:val="none"/>
                <w:lang w:eastAsia="en-US"/>
              </w:rPr>
            </w:pPr>
            <w:r>
              <w:rPr>
                <w:rFonts w:ascii="Times New Roman" w:hAnsi="Times New Roman" w:cs="Times New Roman"/>
                <w:color w:val="auto"/>
                <w:sz w:val="21"/>
                <w:szCs w:val="21"/>
                <w:highlight w:val="none"/>
                <w:lang w:eastAsia="en-US"/>
              </w:rPr>
              <w:t>3</w:t>
            </w:r>
          </w:p>
        </w:tc>
        <w:tc>
          <w:tcPr>
            <w:tcW w:w="769" w:type="dxa"/>
            <w:tcBorders>
              <w:tl2br w:val="nil"/>
              <w:tr2bl w:val="nil"/>
            </w:tcBorders>
            <w:vAlign w:val="center"/>
          </w:tcPr>
          <w:p w14:paraId="1CAA3859">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21"/>
                <w:highlight w:val="none"/>
                <w:lang w:eastAsia="en-US"/>
              </w:rPr>
            </w:pPr>
            <w:r>
              <w:rPr>
                <w:rFonts w:ascii="Times New Roman" w:hAnsi="Times New Roman" w:cs="Times New Roman"/>
                <w:color w:val="auto"/>
                <w:spacing w:val="-3"/>
                <w:sz w:val="21"/>
                <w:szCs w:val="21"/>
                <w:highlight w:val="none"/>
                <w:lang w:eastAsia="en-US"/>
              </w:rPr>
              <w:t>162</w:t>
            </w:r>
          </w:p>
        </w:tc>
        <w:tc>
          <w:tcPr>
            <w:tcW w:w="698" w:type="dxa"/>
            <w:tcBorders>
              <w:tl2br w:val="nil"/>
              <w:tr2bl w:val="nil"/>
            </w:tcBorders>
            <w:vAlign w:val="center"/>
          </w:tcPr>
          <w:p w14:paraId="25980844">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21"/>
                <w:highlight w:val="none"/>
                <w:lang w:eastAsia="en-US"/>
              </w:rPr>
            </w:pPr>
            <w:r>
              <w:rPr>
                <w:rFonts w:ascii="Times New Roman" w:hAnsi="Times New Roman" w:cs="Times New Roman"/>
                <w:color w:val="auto"/>
                <w:spacing w:val="3"/>
                <w:sz w:val="21"/>
                <w:szCs w:val="21"/>
                <w:highlight w:val="none"/>
                <w:lang w:eastAsia="en-US"/>
              </w:rPr>
              <w:t>216</w:t>
            </w:r>
          </w:p>
        </w:tc>
        <w:tc>
          <w:tcPr>
            <w:tcW w:w="815" w:type="dxa"/>
            <w:tcBorders>
              <w:tl2br w:val="nil"/>
              <w:tr2bl w:val="nil"/>
            </w:tcBorders>
            <w:vAlign w:val="center"/>
          </w:tcPr>
          <w:p w14:paraId="14462375">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21"/>
                <w:highlight w:val="none"/>
                <w:lang w:eastAsia="en-US"/>
              </w:rPr>
            </w:pPr>
            <w:r>
              <w:rPr>
                <w:rFonts w:ascii="Times New Roman" w:hAnsi="Times New Roman" w:cs="Times New Roman"/>
                <w:color w:val="auto"/>
                <w:spacing w:val="2"/>
                <w:sz w:val="21"/>
                <w:szCs w:val="21"/>
                <w:highlight w:val="none"/>
                <w:lang w:eastAsia="en-US"/>
              </w:rPr>
              <w:t>378</w:t>
            </w:r>
          </w:p>
        </w:tc>
      </w:tr>
      <w:tr w14:paraId="4C3A8ACB">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1020" w:type="dxa"/>
            <w:tcBorders>
              <w:tl2br w:val="nil"/>
              <w:tr2bl w:val="nil"/>
            </w:tcBorders>
            <w:vAlign w:val="center"/>
          </w:tcPr>
          <w:p w14:paraId="7EFFCDEB">
            <w:pPr>
              <w:pStyle w:val="236"/>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eastAsia="宋体" w:cs="Times New Roman"/>
                <w:color w:val="auto"/>
                <w:sz w:val="21"/>
                <w:szCs w:val="21"/>
                <w:highlight w:val="none"/>
              </w:rPr>
            </w:pPr>
            <w:r>
              <w:rPr>
                <w:rFonts w:ascii="Times New Roman" w:hAnsi="Times New Roman" w:eastAsia="宋体" w:cs="Times New Roman"/>
                <w:color w:val="auto"/>
                <w:spacing w:val="6"/>
                <w:sz w:val="21"/>
                <w:szCs w:val="21"/>
                <w:highlight w:val="none"/>
              </w:rPr>
              <w:t>危废仓库</w:t>
            </w:r>
          </w:p>
        </w:tc>
        <w:tc>
          <w:tcPr>
            <w:tcW w:w="718" w:type="dxa"/>
            <w:tcBorders>
              <w:tl2br w:val="nil"/>
              <w:tr2bl w:val="nil"/>
            </w:tcBorders>
            <w:vAlign w:val="center"/>
          </w:tcPr>
          <w:p w14:paraId="5148E711">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21"/>
                <w:highlight w:val="none"/>
                <w:lang w:eastAsia="en-US"/>
              </w:rPr>
            </w:pPr>
            <w:r>
              <w:rPr>
                <w:rFonts w:ascii="Times New Roman" w:hAnsi="Times New Roman" w:cs="Times New Roman"/>
                <w:color w:val="auto"/>
                <w:sz w:val="21"/>
                <w:szCs w:val="21"/>
                <w:highlight w:val="none"/>
                <w:lang w:eastAsia="en-US"/>
              </w:rPr>
              <w:t>50</w:t>
            </w:r>
          </w:p>
        </w:tc>
        <w:tc>
          <w:tcPr>
            <w:tcW w:w="717" w:type="dxa"/>
            <w:tcBorders>
              <w:tl2br w:val="nil"/>
              <w:tr2bl w:val="nil"/>
            </w:tcBorders>
            <w:vAlign w:val="center"/>
          </w:tcPr>
          <w:p w14:paraId="531E2DD6">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21"/>
                <w:highlight w:val="none"/>
                <w:lang w:eastAsia="en-US"/>
              </w:rPr>
            </w:pPr>
            <w:r>
              <w:rPr>
                <w:rFonts w:ascii="Times New Roman" w:hAnsi="Times New Roman" w:cs="Times New Roman"/>
                <w:color w:val="auto"/>
                <w:sz w:val="21"/>
                <w:szCs w:val="21"/>
                <w:highlight w:val="none"/>
                <w:lang w:eastAsia="en-US"/>
              </w:rPr>
              <w:t>8</w:t>
            </w:r>
          </w:p>
        </w:tc>
        <w:tc>
          <w:tcPr>
            <w:tcW w:w="708" w:type="dxa"/>
            <w:tcBorders>
              <w:tl2br w:val="nil"/>
              <w:tr2bl w:val="nil"/>
            </w:tcBorders>
            <w:vAlign w:val="center"/>
          </w:tcPr>
          <w:p w14:paraId="4F61394E">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21"/>
                <w:highlight w:val="none"/>
                <w:lang w:eastAsia="en-US"/>
              </w:rPr>
            </w:pPr>
            <w:r>
              <w:rPr>
                <w:rFonts w:ascii="Times New Roman" w:hAnsi="Times New Roman" w:cs="Times New Roman"/>
                <w:color w:val="auto"/>
                <w:spacing w:val="4"/>
                <w:sz w:val="21"/>
                <w:szCs w:val="21"/>
                <w:highlight w:val="none"/>
                <w:lang w:eastAsia="en-US"/>
              </w:rPr>
              <w:t>400</w:t>
            </w:r>
          </w:p>
        </w:tc>
        <w:tc>
          <w:tcPr>
            <w:tcW w:w="769" w:type="dxa"/>
            <w:tcBorders>
              <w:tl2br w:val="nil"/>
              <w:tr2bl w:val="nil"/>
            </w:tcBorders>
            <w:vAlign w:val="center"/>
          </w:tcPr>
          <w:p w14:paraId="40212817">
            <w:pPr>
              <w:pStyle w:val="236"/>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eastAsia="宋体" w:cs="Times New Roman"/>
                <w:color w:val="auto"/>
                <w:sz w:val="21"/>
                <w:szCs w:val="21"/>
                <w:highlight w:val="none"/>
              </w:rPr>
            </w:pPr>
            <w:r>
              <w:rPr>
                <w:rFonts w:ascii="Times New Roman" w:hAnsi="Times New Roman" w:eastAsia="宋体" w:cs="Times New Roman"/>
                <w:color w:val="auto"/>
                <w:spacing w:val="2"/>
                <w:sz w:val="21"/>
                <w:szCs w:val="21"/>
                <w:highlight w:val="none"/>
              </w:rPr>
              <w:t>丙类</w:t>
            </w:r>
          </w:p>
        </w:tc>
        <w:tc>
          <w:tcPr>
            <w:tcW w:w="795" w:type="dxa"/>
            <w:tcBorders>
              <w:tl2br w:val="nil"/>
              <w:tr2bl w:val="nil"/>
            </w:tcBorders>
            <w:vAlign w:val="center"/>
          </w:tcPr>
          <w:p w14:paraId="31E15B1C">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21"/>
                <w:highlight w:val="none"/>
                <w:lang w:eastAsia="en-US"/>
              </w:rPr>
            </w:pPr>
            <w:r>
              <w:rPr>
                <w:rFonts w:ascii="Times New Roman" w:hAnsi="Times New Roman" w:cs="Times New Roman"/>
                <w:color w:val="auto"/>
                <w:spacing w:val="-8"/>
                <w:sz w:val="21"/>
                <w:szCs w:val="21"/>
                <w:highlight w:val="none"/>
                <w:lang w:eastAsia="en-US"/>
              </w:rPr>
              <w:t>15</w:t>
            </w:r>
          </w:p>
        </w:tc>
        <w:tc>
          <w:tcPr>
            <w:tcW w:w="778" w:type="dxa"/>
            <w:tcBorders>
              <w:tl2br w:val="nil"/>
              <w:tr2bl w:val="nil"/>
            </w:tcBorders>
            <w:vAlign w:val="center"/>
          </w:tcPr>
          <w:p w14:paraId="01C814B6">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21"/>
                <w:highlight w:val="none"/>
                <w:lang w:eastAsia="en-US"/>
              </w:rPr>
            </w:pPr>
            <w:r>
              <w:rPr>
                <w:rFonts w:ascii="Times New Roman" w:hAnsi="Times New Roman" w:cs="Times New Roman"/>
                <w:color w:val="auto"/>
                <w:spacing w:val="2"/>
                <w:sz w:val="21"/>
                <w:szCs w:val="21"/>
                <w:highlight w:val="none"/>
                <w:lang w:eastAsia="en-US"/>
              </w:rPr>
              <w:t>20</w:t>
            </w:r>
          </w:p>
        </w:tc>
        <w:tc>
          <w:tcPr>
            <w:tcW w:w="717" w:type="dxa"/>
            <w:tcBorders>
              <w:tl2br w:val="nil"/>
              <w:tr2bl w:val="nil"/>
            </w:tcBorders>
            <w:vAlign w:val="center"/>
          </w:tcPr>
          <w:p w14:paraId="2F4E60CB">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21"/>
                <w:highlight w:val="none"/>
                <w:lang w:eastAsia="en-US"/>
              </w:rPr>
            </w:pPr>
            <w:r>
              <w:rPr>
                <w:rFonts w:ascii="Times New Roman" w:hAnsi="Times New Roman" w:cs="Times New Roman"/>
                <w:color w:val="auto"/>
                <w:sz w:val="21"/>
                <w:szCs w:val="21"/>
                <w:highlight w:val="none"/>
                <w:lang w:eastAsia="en-US"/>
              </w:rPr>
              <w:t>3</w:t>
            </w:r>
          </w:p>
        </w:tc>
        <w:tc>
          <w:tcPr>
            <w:tcW w:w="769" w:type="dxa"/>
            <w:tcBorders>
              <w:tl2br w:val="nil"/>
              <w:tr2bl w:val="nil"/>
            </w:tcBorders>
            <w:vAlign w:val="center"/>
          </w:tcPr>
          <w:p w14:paraId="263B4A3C">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21"/>
                <w:highlight w:val="none"/>
                <w:lang w:eastAsia="en-US"/>
              </w:rPr>
            </w:pPr>
            <w:r>
              <w:rPr>
                <w:rFonts w:ascii="Times New Roman" w:hAnsi="Times New Roman" w:cs="Times New Roman"/>
                <w:color w:val="auto"/>
                <w:spacing w:val="-3"/>
                <w:sz w:val="21"/>
                <w:szCs w:val="21"/>
                <w:highlight w:val="none"/>
                <w:lang w:eastAsia="en-US"/>
              </w:rPr>
              <w:t>162</w:t>
            </w:r>
          </w:p>
        </w:tc>
        <w:tc>
          <w:tcPr>
            <w:tcW w:w="698" w:type="dxa"/>
            <w:tcBorders>
              <w:tl2br w:val="nil"/>
              <w:tr2bl w:val="nil"/>
            </w:tcBorders>
            <w:vAlign w:val="center"/>
          </w:tcPr>
          <w:p w14:paraId="49E87B47">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21"/>
                <w:highlight w:val="none"/>
                <w:lang w:eastAsia="en-US"/>
              </w:rPr>
            </w:pPr>
            <w:r>
              <w:rPr>
                <w:rFonts w:ascii="Times New Roman" w:hAnsi="Times New Roman" w:cs="Times New Roman"/>
                <w:color w:val="auto"/>
                <w:spacing w:val="3"/>
                <w:sz w:val="21"/>
                <w:szCs w:val="21"/>
                <w:highlight w:val="none"/>
                <w:lang w:eastAsia="en-US"/>
              </w:rPr>
              <w:t>216</w:t>
            </w:r>
          </w:p>
        </w:tc>
        <w:tc>
          <w:tcPr>
            <w:tcW w:w="815" w:type="dxa"/>
            <w:tcBorders>
              <w:tl2br w:val="nil"/>
              <w:tr2bl w:val="nil"/>
            </w:tcBorders>
            <w:vAlign w:val="center"/>
          </w:tcPr>
          <w:p w14:paraId="58F21959">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21"/>
                <w:highlight w:val="none"/>
                <w:lang w:eastAsia="en-US"/>
              </w:rPr>
            </w:pPr>
            <w:r>
              <w:rPr>
                <w:rFonts w:ascii="Times New Roman" w:hAnsi="Times New Roman" w:cs="Times New Roman"/>
                <w:color w:val="auto"/>
                <w:spacing w:val="2"/>
                <w:sz w:val="21"/>
                <w:szCs w:val="21"/>
                <w:highlight w:val="none"/>
                <w:lang w:eastAsia="en-US"/>
              </w:rPr>
              <w:t>378</w:t>
            </w:r>
          </w:p>
        </w:tc>
      </w:tr>
    </w:tbl>
    <w:p w14:paraId="1D881710">
      <w:pPr>
        <w:pStyle w:val="97"/>
        <w:keepNext w:val="0"/>
        <w:keepLines w:val="0"/>
        <w:pageBreakBefore w:val="0"/>
        <w:widowControl w:val="0"/>
        <w:tabs>
          <w:tab w:val="left" w:pos="1069"/>
        </w:tabs>
        <w:kinsoku/>
        <w:wordWrap/>
        <w:overflowPunct/>
        <w:topLinePunct w:val="0"/>
        <w:bidi w:val="0"/>
        <w:spacing w:line="360" w:lineRule="auto"/>
        <w:ind w:left="0" w:right="0" w:firstLine="480"/>
        <w:textAlignment w:val="auto"/>
        <w:rPr>
          <w:rFonts w:eastAsia="宋体"/>
          <w:color w:val="auto"/>
          <w:sz w:val="24"/>
          <w:highlight w:val="none"/>
        </w:rPr>
      </w:pPr>
      <w:r>
        <w:rPr>
          <w:rFonts w:eastAsia="宋体"/>
          <w:color w:val="auto"/>
          <w:sz w:val="24"/>
          <w:highlight w:val="none"/>
        </w:rPr>
        <w:t>由上表可知，公司内厂房及仓库最大消防用水量均为378m</w:t>
      </w:r>
      <w:r>
        <w:rPr>
          <w:rFonts w:eastAsia="宋体"/>
          <w:color w:val="auto"/>
          <w:sz w:val="24"/>
          <w:highlight w:val="none"/>
          <w:vertAlign w:val="superscript"/>
        </w:rPr>
        <w:t>3</w:t>
      </w:r>
      <w:r>
        <w:rPr>
          <w:rFonts w:eastAsia="宋体"/>
          <w:color w:val="auto"/>
          <w:sz w:val="24"/>
          <w:highlight w:val="none"/>
        </w:rPr>
        <w:t>；则V</w:t>
      </w:r>
      <w:r>
        <w:rPr>
          <w:rFonts w:eastAsia="宋体"/>
          <w:color w:val="auto"/>
          <w:sz w:val="24"/>
          <w:highlight w:val="none"/>
          <w:vertAlign w:val="subscript"/>
        </w:rPr>
        <w:t>2</w:t>
      </w:r>
      <w:r>
        <w:rPr>
          <w:rFonts w:eastAsia="宋体"/>
          <w:color w:val="auto"/>
          <w:sz w:val="24"/>
          <w:highlight w:val="none"/>
        </w:rPr>
        <w:t>取值为378m</w:t>
      </w:r>
      <w:r>
        <w:rPr>
          <w:rFonts w:eastAsia="宋体"/>
          <w:color w:val="auto"/>
          <w:sz w:val="24"/>
          <w:highlight w:val="none"/>
          <w:vertAlign w:val="superscript"/>
        </w:rPr>
        <w:t>3</w:t>
      </w:r>
      <w:r>
        <w:rPr>
          <w:rFonts w:eastAsia="宋体"/>
          <w:color w:val="auto"/>
          <w:sz w:val="24"/>
          <w:highlight w:val="none"/>
        </w:rPr>
        <w:t>。</w:t>
      </w:r>
    </w:p>
    <w:p w14:paraId="6ABB753C">
      <w:pPr>
        <w:pStyle w:val="97"/>
        <w:keepNext w:val="0"/>
        <w:keepLines w:val="0"/>
        <w:pageBreakBefore w:val="0"/>
        <w:widowControl w:val="0"/>
        <w:tabs>
          <w:tab w:val="left" w:pos="1069"/>
        </w:tabs>
        <w:kinsoku/>
        <w:wordWrap/>
        <w:overflowPunct/>
        <w:topLinePunct w:val="0"/>
        <w:bidi w:val="0"/>
        <w:spacing w:line="360" w:lineRule="auto"/>
        <w:ind w:left="0" w:right="0" w:firstLine="480"/>
        <w:textAlignment w:val="auto"/>
        <w:rPr>
          <w:rFonts w:eastAsia="宋体"/>
          <w:color w:val="auto"/>
          <w:sz w:val="24"/>
          <w:highlight w:val="none"/>
        </w:rPr>
      </w:pPr>
      <w:r>
        <w:rPr>
          <w:rFonts w:eastAsia="宋体"/>
          <w:color w:val="auto"/>
          <w:sz w:val="24"/>
          <w:highlight w:val="none"/>
        </w:rPr>
        <w:t>③公司厂区内设有围堰，尺寸为15.4×6.4×0.93=91m</w:t>
      </w:r>
      <w:r>
        <w:rPr>
          <w:rFonts w:eastAsia="宋体"/>
          <w:color w:val="auto"/>
          <w:sz w:val="24"/>
          <w:highlight w:val="none"/>
          <w:vertAlign w:val="superscript"/>
        </w:rPr>
        <w:t>3</w:t>
      </w:r>
      <w:r>
        <w:rPr>
          <w:rFonts w:eastAsia="宋体"/>
          <w:color w:val="auto"/>
          <w:sz w:val="24"/>
          <w:highlight w:val="none"/>
        </w:rPr>
        <w:t>，其中空储罐及基座约占10m</w:t>
      </w:r>
      <w:r>
        <w:rPr>
          <w:rFonts w:eastAsia="宋体"/>
          <w:color w:val="auto"/>
          <w:sz w:val="24"/>
          <w:highlight w:val="none"/>
          <w:vertAlign w:val="superscript"/>
        </w:rPr>
        <w:t>3</w:t>
      </w:r>
      <w:r>
        <w:rPr>
          <w:rFonts w:eastAsia="宋体"/>
          <w:color w:val="auto"/>
          <w:sz w:val="24"/>
          <w:highlight w:val="none"/>
        </w:rPr>
        <w:t>，剩余容量为81m</w:t>
      </w:r>
      <w:r>
        <w:rPr>
          <w:rFonts w:eastAsia="宋体"/>
          <w:color w:val="auto"/>
          <w:sz w:val="24"/>
          <w:highlight w:val="none"/>
          <w:vertAlign w:val="superscript"/>
        </w:rPr>
        <w:t>3</w:t>
      </w:r>
      <w:r>
        <w:rPr>
          <w:rFonts w:eastAsia="宋体"/>
          <w:color w:val="auto"/>
          <w:sz w:val="24"/>
          <w:highlight w:val="none"/>
        </w:rPr>
        <w:t>，V</w:t>
      </w:r>
      <w:r>
        <w:rPr>
          <w:rFonts w:eastAsia="宋体"/>
          <w:color w:val="auto"/>
          <w:sz w:val="24"/>
          <w:highlight w:val="none"/>
          <w:vertAlign w:val="subscript"/>
        </w:rPr>
        <w:t>3</w:t>
      </w:r>
      <w:r>
        <w:rPr>
          <w:rFonts w:eastAsia="宋体"/>
          <w:color w:val="auto"/>
          <w:sz w:val="24"/>
          <w:highlight w:val="none"/>
        </w:rPr>
        <w:t>取81m</w:t>
      </w:r>
      <w:r>
        <w:rPr>
          <w:rFonts w:eastAsia="宋体"/>
          <w:color w:val="auto"/>
          <w:sz w:val="24"/>
          <w:highlight w:val="none"/>
          <w:vertAlign w:val="superscript"/>
        </w:rPr>
        <w:t>3</w:t>
      </w:r>
      <w:r>
        <w:rPr>
          <w:rFonts w:eastAsia="宋体"/>
          <w:color w:val="auto"/>
          <w:sz w:val="24"/>
          <w:highlight w:val="none"/>
        </w:rPr>
        <w:t>。</w:t>
      </w:r>
    </w:p>
    <w:p w14:paraId="742E6DAE">
      <w:pPr>
        <w:pStyle w:val="97"/>
        <w:keepNext w:val="0"/>
        <w:keepLines w:val="0"/>
        <w:pageBreakBefore w:val="0"/>
        <w:widowControl w:val="0"/>
        <w:tabs>
          <w:tab w:val="left" w:pos="1069"/>
        </w:tabs>
        <w:kinsoku/>
        <w:wordWrap/>
        <w:overflowPunct/>
        <w:topLinePunct w:val="0"/>
        <w:bidi w:val="0"/>
        <w:adjustRightInd w:val="0"/>
        <w:snapToGrid w:val="0"/>
        <w:spacing w:line="360" w:lineRule="auto"/>
        <w:ind w:left="0" w:right="0" w:firstLine="480"/>
        <w:textAlignment w:val="auto"/>
        <w:rPr>
          <w:rFonts w:eastAsia="宋体"/>
          <w:color w:val="auto"/>
          <w:sz w:val="24"/>
          <w:highlight w:val="none"/>
        </w:rPr>
      </w:pPr>
      <w:r>
        <w:rPr>
          <w:rFonts w:eastAsia="宋体"/>
          <w:color w:val="auto"/>
          <w:sz w:val="24"/>
          <w:highlight w:val="none"/>
        </w:rPr>
        <w:t>④发生事故时，立即停止生产；厂区生产废水不进入该系统，故V</w:t>
      </w:r>
      <w:r>
        <w:rPr>
          <w:rFonts w:eastAsia="宋体"/>
          <w:color w:val="auto"/>
          <w:sz w:val="24"/>
          <w:highlight w:val="none"/>
          <w:vertAlign w:val="subscript"/>
        </w:rPr>
        <w:t>4</w:t>
      </w:r>
      <w:r>
        <w:rPr>
          <w:rFonts w:eastAsia="宋体"/>
          <w:color w:val="auto"/>
          <w:sz w:val="24"/>
          <w:highlight w:val="none"/>
        </w:rPr>
        <w:t>取0。</w:t>
      </w:r>
    </w:p>
    <w:p w14:paraId="3BEFEB92">
      <w:pPr>
        <w:pStyle w:val="97"/>
        <w:keepNext w:val="0"/>
        <w:keepLines w:val="0"/>
        <w:pageBreakBefore w:val="0"/>
        <w:widowControl w:val="0"/>
        <w:tabs>
          <w:tab w:val="left" w:pos="1069"/>
        </w:tabs>
        <w:kinsoku/>
        <w:wordWrap/>
        <w:overflowPunct/>
        <w:topLinePunct w:val="0"/>
        <w:bidi w:val="0"/>
        <w:adjustRightInd w:val="0"/>
        <w:snapToGrid w:val="0"/>
        <w:spacing w:line="360" w:lineRule="auto"/>
        <w:ind w:left="0" w:right="0" w:firstLine="480"/>
        <w:jc w:val="both"/>
        <w:textAlignment w:val="auto"/>
        <w:rPr>
          <w:rFonts w:eastAsia="宋体"/>
          <w:color w:val="auto"/>
          <w:sz w:val="24"/>
          <w:highlight w:val="none"/>
        </w:rPr>
      </w:pPr>
      <w:r>
        <w:rPr>
          <w:rFonts w:eastAsia="宋体"/>
          <w:color w:val="auto"/>
          <w:sz w:val="24"/>
          <w:highlight w:val="none"/>
        </w:rPr>
        <w:t>⑤发生事故时可能进入该收集系统的降雨量V</w:t>
      </w:r>
      <w:r>
        <w:rPr>
          <w:rFonts w:eastAsia="宋体"/>
          <w:color w:val="auto"/>
          <w:sz w:val="24"/>
          <w:highlight w:val="none"/>
          <w:vertAlign w:val="subscript"/>
        </w:rPr>
        <w:t>5</w:t>
      </w:r>
      <w:r>
        <w:rPr>
          <w:rFonts w:eastAsia="宋体"/>
          <w:color w:val="auto"/>
          <w:sz w:val="24"/>
          <w:highlight w:val="none"/>
        </w:rPr>
        <w:t>，降雨量V</w:t>
      </w:r>
      <w:r>
        <w:rPr>
          <w:rFonts w:eastAsia="宋体"/>
          <w:color w:val="auto"/>
          <w:sz w:val="24"/>
          <w:highlight w:val="none"/>
          <w:vertAlign w:val="subscript"/>
        </w:rPr>
        <w:t>5</w:t>
      </w:r>
      <w:r>
        <w:rPr>
          <w:rFonts w:eastAsia="宋体"/>
          <w:color w:val="auto"/>
          <w:sz w:val="24"/>
          <w:highlight w:val="none"/>
        </w:rPr>
        <w:t>按照下式确定：</w:t>
      </w:r>
    </w:p>
    <w:p w14:paraId="073835CF">
      <w:pPr>
        <w:pStyle w:val="97"/>
        <w:keepNext w:val="0"/>
        <w:keepLines w:val="0"/>
        <w:pageBreakBefore w:val="0"/>
        <w:widowControl w:val="0"/>
        <w:tabs>
          <w:tab w:val="left" w:pos="1069"/>
        </w:tabs>
        <w:kinsoku/>
        <w:wordWrap/>
        <w:overflowPunct/>
        <w:topLinePunct w:val="0"/>
        <w:bidi w:val="0"/>
        <w:adjustRightInd w:val="0"/>
        <w:snapToGrid w:val="0"/>
        <w:spacing w:line="360" w:lineRule="auto"/>
        <w:ind w:left="0" w:right="0" w:firstLine="480"/>
        <w:jc w:val="center"/>
        <w:textAlignment w:val="auto"/>
        <w:rPr>
          <w:rFonts w:eastAsia="宋体"/>
          <w:color w:val="auto"/>
          <w:sz w:val="24"/>
          <w:highlight w:val="none"/>
        </w:rPr>
      </w:pPr>
      <w:r>
        <w:rPr>
          <w:rFonts w:eastAsia="宋体"/>
          <w:color w:val="auto"/>
          <w:sz w:val="24"/>
          <w:highlight w:val="none"/>
        </w:rPr>
        <w:t>V</w:t>
      </w:r>
      <w:r>
        <w:rPr>
          <w:rFonts w:eastAsia="宋体"/>
          <w:color w:val="auto"/>
          <w:sz w:val="24"/>
          <w:highlight w:val="none"/>
          <w:vertAlign w:val="subscript"/>
        </w:rPr>
        <w:t>5</w:t>
      </w:r>
      <w:r>
        <w:rPr>
          <w:rFonts w:eastAsia="宋体"/>
          <w:color w:val="auto"/>
          <w:sz w:val="24"/>
          <w:highlight w:val="none"/>
        </w:rPr>
        <w:t>=10q×f</w:t>
      </w:r>
    </w:p>
    <w:p w14:paraId="1AC96F06">
      <w:pPr>
        <w:pStyle w:val="97"/>
        <w:keepNext w:val="0"/>
        <w:keepLines w:val="0"/>
        <w:pageBreakBefore w:val="0"/>
        <w:widowControl w:val="0"/>
        <w:tabs>
          <w:tab w:val="left" w:pos="1069"/>
        </w:tabs>
        <w:kinsoku/>
        <w:wordWrap/>
        <w:overflowPunct/>
        <w:topLinePunct w:val="0"/>
        <w:bidi w:val="0"/>
        <w:spacing w:line="360" w:lineRule="auto"/>
        <w:ind w:left="0" w:right="0" w:firstLine="480"/>
        <w:jc w:val="center"/>
        <w:textAlignment w:val="auto"/>
        <w:rPr>
          <w:rFonts w:eastAsia="宋体"/>
          <w:color w:val="auto"/>
          <w:sz w:val="24"/>
          <w:highlight w:val="none"/>
        </w:rPr>
      </w:pPr>
      <w:r>
        <w:rPr>
          <w:rFonts w:eastAsia="宋体"/>
          <w:color w:val="auto"/>
          <w:sz w:val="24"/>
          <w:highlight w:val="none"/>
        </w:rPr>
        <w:drawing>
          <wp:inline distT="0" distB="0" distL="0" distR="0">
            <wp:extent cx="464820" cy="309245"/>
            <wp:effectExtent l="0" t="0" r="11430" b="14605"/>
            <wp:docPr id="50" name="IM 178"/>
            <wp:cNvGraphicFramePr/>
            <a:graphic xmlns:a="http://schemas.openxmlformats.org/drawingml/2006/main">
              <a:graphicData uri="http://schemas.openxmlformats.org/drawingml/2006/picture">
                <pic:pic xmlns:pic="http://schemas.openxmlformats.org/drawingml/2006/picture">
                  <pic:nvPicPr>
                    <pic:cNvPr id="50" name="IM 178"/>
                    <pic:cNvPicPr/>
                  </pic:nvPicPr>
                  <pic:blipFill>
                    <a:blip r:embed="rId71"/>
                    <a:stretch>
                      <a:fillRect/>
                    </a:stretch>
                  </pic:blipFill>
                  <pic:spPr>
                    <a:xfrm>
                      <a:off x="0" y="0"/>
                      <a:ext cx="464820" cy="309372"/>
                    </a:xfrm>
                    <a:prstGeom prst="rect">
                      <a:avLst/>
                    </a:prstGeom>
                  </pic:spPr>
                </pic:pic>
              </a:graphicData>
            </a:graphic>
          </wp:inline>
        </w:drawing>
      </w:r>
    </w:p>
    <w:p w14:paraId="25D32656">
      <w:pPr>
        <w:pStyle w:val="97"/>
        <w:keepNext w:val="0"/>
        <w:keepLines w:val="0"/>
        <w:pageBreakBefore w:val="0"/>
        <w:widowControl w:val="0"/>
        <w:tabs>
          <w:tab w:val="left" w:pos="1069"/>
        </w:tabs>
        <w:kinsoku/>
        <w:wordWrap/>
        <w:overflowPunct/>
        <w:topLinePunct w:val="0"/>
        <w:bidi w:val="0"/>
        <w:spacing w:line="360" w:lineRule="auto"/>
        <w:ind w:left="0" w:right="0" w:firstLine="480"/>
        <w:textAlignment w:val="auto"/>
        <w:rPr>
          <w:rFonts w:eastAsia="宋体"/>
          <w:color w:val="auto"/>
          <w:sz w:val="24"/>
          <w:highlight w:val="none"/>
        </w:rPr>
      </w:pPr>
      <w:r>
        <w:rPr>
          <w:rFonts w:eastAsia="宋体"/>
          <w:color w:val="auto"/>
          <w:sz w:val="24"/>
          <w:highlight w:val="none"/>
        </w:rPr>
        <w:t>式中：q—降雨强度，按平均日降雨量，mm；</w:t>
      </w:r>
    </w:p>
    <w:p w14:paraId="13D5796E">
      <w:pPr>
        <w:pStyle w:val="97"/>
        <w:keepNext w:val="0"/>
        <w:keepLines w:val="0"/>
        <w:pageBreakBefore w:val="0"/>
        <w:widowControl w:val="0"/>
        <w:tabs>
          <w:tab w:val="left" w:pos="1069"/>
        </w:tabs>
        <w:kinsoku/>
        <w:wordWrap/>
        <w:overflowPunct/>
        <w:topLinePunct w:val="0"/>
        <w:bidi w:val="0"/>
        <w:spacing w:line="360" w:lineRule="auto"/>
        <w:ind w:left="0" w:right="0" w:firstLine="480"/>
        <w:textAlignment w:val="auto"/>
        <w:rPr>
          <w:rFonts w:eastAsia="宋体"/>
          <w:color w:val="auto"/>
          <w:sz w:val="24"/>
          <w:highlight w:val="none"/>
        </w:rPr>
      </w:pPr>
      <w:r>
        <w:rPr>
          <w:rFonts w:eastAsia="宋体"/>
          <w:color w:val="auto"/>
          <w:sz w:val="24"/>
          <w:highlight w:val="none"/>
        </w:rPr>
        <w:t>f—必须进入事故废水收集系统的雨水汇水面积，ha；</w:t>
      </w:r>
    </w:p>
    <w:p w14:paraId="4FB8EC02">
      <w:pPr>
        <w:pStyle w:val="20"/>
        <w:keepNext w:val="0"/>
        <w:keepLines w:val="0"/>
        <w:pageBreakBefore w:val="0"/>
        <w:widowControl w:val="0"/>
        <w:kinsoku/>
        <w:wordWrap/>
        <w:overflowPunct/>
        <w:topLinePunct w:val="0"/>
        <w:bidi w:val="0"/>
        <w:spacing w:line="360" w:lineRule="auto"/>
        <w:ind w:left="0" w:right="0" w:firstLine="480" w:firstLineChars="200"/>
        <w:jc w:val="both"/>
        <w:textAlignment w:val="auto"/>
        <w:rPr>
          <w:rFonts w:ascii="Times New Roman" w:hAnsi="Times New Roman" w:cs="Times New Roman"/>
          <w:color w:val="auto"/>
          <w:sz w:val="24"/>
          <w:szCs w:val="24"/>
          <w:highlight w:val="none"/>
        </w:rPr>
      </w:pPr>
      <w:r>
        <w:rPr>
          <w:rFonts w:ascii="Times New Roman" w:hAnsi="Times New Roman" w:cs="Times New Roman"/>
          <w:color w:val="auto"/>
          <w:sz w:val="24"/>
          <w:szCs w:val="24"/>
          <w:highlight w:val="none"/>
        </w:rPr>
        <w:t>qn—年平均降雨量，mm；n—年平均降雨日数，d；</w:t>
      </w:r>
    </w:p>
    <w:p w14:paraId="14BA1016">
      <w:pPr>
        <w:pStyle w:val="20"/>
        <w:keepNext w:val="0"/>
        <w:keepLines w:val="0"/>
        <w:pageBreakBefore w:val="0"/>
        <w:widowControl w:val="0"/>
        <w:kinsoku/>
        <w:wordWrap/>
        <w:overflowPunct/>
        <w:topLinePunct w:val="0"/>
        <w:bidi w:val="0"/>
        <w:spacing w:line="360" w:lineRule="auto"/>
        <w:ind w:left="0" w:right="0" w:firstLine="480" w:firstLineChars="200"/>
        <w:jc w:val="both"/>
        <w:textAlignment w:val="auto"/>
        <w:rPr>
          <w:rFonts w:ascii="Times New Roman" w:hAnsi="Times New Roman" w:cs="Times New Roman"/>
          <w:color w:val="auto"/>
          <w:sz w:val="24"/>
          <w:szCs w:val="24"/>
          <w:highlight w:val="none"/>
        </w:rPr>
      </w:pPr>
      <w:r>
        <w:rPr>
          <w:rFonts w:ascii="Times New Roman" w:hAnsi="Times New Roman" w:cs="Times New Roman"/>
          <w:color w:val="auto"/>
          <w:sz w:val="24"/>
          <w:szCs w:val="24"/>
          <w:highlight w:val="none"/>
        </w:rPr>
        <w:t>根据无锡市近20年（2002年-2021年）的统计数据，无锡市年平均降雨量为1218.5mm，年平均降雨天数为127d，平均降雨强度为9.59mm。</w:t>
      </w:r>
    </w:p>
    <w:p w14:paraId="13579172">
      <w:pPr>
        <w:pStyle w:val="20"/>
        <w:keepNext w:val="0"/>
        <w:keepLines w:val="0"/>
        <w:pageBreakBefore w:val="0"/>
        <w:widowControl w:val="0"/>
        <w:kinsoku/>
        <w:wordWrap/>
        <w:overflowPunct/>
        <w:topLinePunct w:val="0"/>
        <w:bidi w:val="0"/>
        <w:spacing w:line="360" w:lineRule="auto"/>
        <w:ind w:left="0" w:right="0" w:firstLine="480" w:firstLineChars="200"/>
        <w:jc w:val="both"/>
        <w:textAlignment w:val="auto"/>
        <w:rPr>
          <w:rFonts w:hint="default" w:ascii="Times New Roman" w:hAnsi="Times New Roman" w:eastAsia="宋体" w:cs="Times New Roman"/>
          <w:color w:val="auto"/>
          <w:sz w:val="24"/>
          <w:szCs w:val="24"/>
          <w:highlight w:val="none"/>
          <w:vertAlign w:val="baseline"/>
          <w:lang w:val="en-US" w:eastAsia="zh-CN"/>
        </w:rPr>
      </w:pPr>
      <w:r>
        <w:rPr>
          <w:rFonts w:ascii="Times New Roman" w:hAnsi="Times New Roman" w:cs="Times New Roman"/>
          <w:color w:val="auto"/>
          <w:sz w:val="24"/>
          <w:szCs w:val="24"/>
          <w:highlight w:val="none"/>
        </w:rPr>
        <w:t>公司雨水汇流面积约2公顷，则V</w:t>
      </w:r>
      <w:r>
        <w:rPr>
          <w:rFonts w:ascii="Times New Roman" w:hAnsi="Times New Roman" w:cs="Times New Roman"/>
          <w:color w:val="auto"/>
          <w:sz w:val="24"/>
          <w:szCs w:val="24"/>
          <w:highlight w:val="none"/>
          <w:vertAlign w:val="subscript"/>
        </w:rPr>
        <w:t>5</w:t>
      </w:r>
      <w:r>
        <w:rPr>
          <w:rFonts w:ascii="Times New Roman" w:hAnsi="Times New Roman" w:cs="Times New Roman"/>
          <w:color w:val="auto"/>
          <w:sz w:val="24"/>
          <w:szCs w:val="24"/>
          <w:highlight w:val="none"/>
        </w:rPr>
        <w:t>=10×9.59×2=192m</w:t>
      </w:r>
      <w:r>
        <w:rPr>
          <w:rFonts w:ascii="Times New Roman" w:hAnsi="Times New Roman" w:cs="Times New Roman"/>
          <w:color w:val="auto"/>
          <w:sz w:val="24"/>
          <w:szCs w:val="24"/>
          <w:highlight w:val="none"/>
          <w:vertAlign w:val="superscript"/>
        </w:rPr>
        <w:t>3</w:t>
      </w:r>
      <w:r>
        <w:rPr>
          <w:rFonts w:ascii="Times New Roman" w:hAnsi="Times New Roman" w:cs="Times New Roman"/>
          <w:color w:val="auto"/>
          <w:sz w:val="24"/>
          <w:szCs w:val="24"/>
          <w:highlight w:val="none"/>
        </w:rPr>
        <w:t>。</w:t>
      </w:r>
      <w:r>
        <w:rPr>
          <w:rFonts w:hint="eastAsia" w:ascii="Times New Roman" w:hAnsi="Times New Roman" w:cs="Times New Roman"/>
          <w:color w:val="auto"/>
          <w:sz w:val="24"/>
          <w:szCs w:val="24"/>
          <w:highlight w:val="none"/>
          <w:lang w:val="en-US" w:eastAsia="zh-CN"/>
        </w:rPr>
        <w:t>企业拟改造380m</w:t>
      </w:r>
      <w:r>
        <w:rPr>
          <w:rFonts w:hint="eastAsia" w:ascii="Times New Roman" w:hAnsi="Times New Roman" w:cs="Times New Roman"/>
          <w:color w:val="auto"/>
          <w:sz w:val="24"/>
          <w:szCs w:val="24"/>
          <w:highlight w:val="none"/>
          <w:vertAlign w:val="superscript"/>
          <w:lang w:val="en-US" w:eastAsia="zh-CN"/>
        </w:rPr>
        <w:t>3</w:t>
      </w:r>
      <w:r>
        <w:rPr>
          <w:rFonts w:hint="eastAsia" w:ascii="Times New Roman" w:hAnsi="Times New Roman" w:cs="Times New Roman"/>
          <w:color w:val="auto"/>
          <w:sz w:val="24"/>
          <w:szCs w:val="24"/>
          <w:highlight w:val="none"/>
          <w:vertAlign w:val="baseline"/>
          <w:lang w:val="en-US" w:eastAsia="zh-CN"/>
        </w:rPr>
        <w:t>初期雨水收集池。</w:t>
      </w:r>
    </w:p>
    <w:p w14:paraId="73E9179E">
      <w:pPr>
        <w:pStyle w:val="20"/>
        <w:keepNext w:val="0"/>
        <w:keepLines w:val="0"/>
        <w:pageBreakBefore w:val="0"/>
        <w:widowControl w:val="0"/>
        <w:kinsoku/>
        <w:wordWrap/>
        <w:overflowPunct/>
        <w:topLinePunct w:val="0"/>
        <w:bidi w:val="0"/>
        <w:spacing w:line="360" w:lineRule="auto"/>
        <w:ind w:left="0" w:right="0" w:firstLine="480" w:firstLineChars="200"/>
        <w:jc w:val="both"/>
        <w:textAlignment w:val="auto"/>
        <w:rPr>
          <w:rFonts w:ascii="Times New Roman" w:hAnsi="Times New Roman" w:cs="Times New Roman"/>
          <w:color w:val="auto"/>
          <w:sz w:val="24"/>
          <w:szCs w:val="24"/>
          <w:highlight w:val="none"/>
        </w:rPr>
      </w:pPr>
      <w:r>
        <w:rPr>
          <w:rFonts w:ascii="Times New Roman" w:hAnsi="Times New Roman" w:cs="Times New Roman"/>
          <w:color w:val="auto"/>
          <w:sz w:val="24"/>
          <w:szCs w:val="24"/>
          <w:highlight w:val="none"/>
        </w:rPr>
        <w:t>通过以上基础数据可计算，如发生事故，则事故应急池容积约为：</w:t>
      </w:r>
    </w:p>
    <w:p w14:paraId="6531E903">
      <w:pPr>
        <w:pStyle w:val="20"/>
        <w:keepNext w:val="0"/>
        <w:keepLines w:val="0"/>
        <w:pageBreakBefore w:val="0"/>
        <w:widowControl w:val="0"/>
        <w:kinsoku/>
        <w:wordWrap/>
        <w:overflowPunct/>
        <w:topLinePunct w:val="0"/>
        <w:bidi w:val="0"/>
        <w:spacing w:line="360" w:lineRule="auto"/>
        <w:ind w:left="0" w:right="0" w:firstLine="480" w:firstLineChars="200"/>
        <w:jc w:val="both"/>
        <w:textAlignment w:val="auto"/>
        <w:rPr>
          <w:rFonts w:ascii="Times New Roman" w:hAnsi="Times New Roman" w:cs="Times New Roman"/>
          <w:color w:val="auto"/>
          <w:sz w:val="24"/>
          <w:szCs w:val="24"/>
          <w:highlight w:val="none"/>
        </w:rPr>
      </w:pPr>
      <w:r>
        <w:rPr>
          <w:rFonts w:ascii="Times New Roman" w:hAnsi="Times New Roman" w:cs="Times New Roman"/>
          <w:color w:val="auto"/>
          <w:sz w:val="24"/>
          <w:szCs w:val="24"/>
          <w:highlight w:val="none"/>
        </w:rPr>
        <w:t>V</w:t>
      </w:r>
      <w:r>
        <w:rPr>
          <w:rFonts w:ascii="Times New Roman" w:hAnsi="Times New Roman" w:cs="Times New Roman"/>
          <w:color w:val="auto"/>
          <w:sz w:val="24"/>
          <w:szCs w:val="24"/>
          <w:highlight w:val="none"/>
          <w:vertAlign w:val="subscript"/>
        </w:rPr>
        <w:t>总</w:t>
      </w:r>
      <w:r>
        <w:rPr>
          <w:rFonts w:ascii="Times New Roman" w:hAnsi="Times New Roman" w:cs="Times New Roman"/>
          <w:color w:val="auto"/>
          <w:sz w:val="24"/>
          <w:szCs w:val="24"/>
          <w:highlight w:val="none"/>
        </w:rPr>
        <w:t>＝（V</w:t>
      </w:r>
      <w:r>
        <w:rPr>
          <w:rFonts w:ascii="Times New Roman" w:hAnsi="Times New Roman" w:cs="Times New Roman"/>
          <w:color w:val="auto"/>
          <w:sz w:val="24"/>
          <w:szCs w:val="24"/>
          <w:highlight w:val="none"/>
          <w:vertAlign w:val="subscript"/>
        </w:rPr>
        <w:t>1</w:t>
      </w:r>
      <w:r>
        <w:rPr>
          <w:rFonts w:ascii="Times New Roman" w:hAnsi="Times New Roman" w:cs="Times New Roman"/>
          <w:color w:val="auto"/>
          <w:sz w:val="24"/>
          <w:szCs w:val="24"/>
          <w:highlight w:val="none"/>
        </w:rPr>
        <w:t>＋V</w:t>
      </w:r>
      <w:r>
        <w:rPr>
          <w:rFonts w:ascii="Times New Roman" w:hAnsi="Times New Roman" w:cs="Times New Roman"/>
          <w:color w:val="auto"/>
          <w:sz w:val="24"/>
          <w:szCs w:val="24"/>
          <w:highlight w:val="none"/>
          <w:vertAlign w:val="subscript"/>
        </w:rPr>
        <w:t>2</w:t>
      </w:r>
      <w:r>
        <w:rPr>
          <w:rFonts w:ascii="Times New Roman" w:hAnsi="Times New Roman" w:cs="Times New Roman"/>
          <w:color w:val="auto"/>
          <w:sz w:val="24"/>
          <w:szCs w:val="24"/>
          <w:highlight w:val="none"/>
        </w:rPr>
        <w:t>-V</w:t>
      </w:r>
      <w:r>
        <w:rPr>
          <w:rFonts w:ascii="Times New Roman" w:hAnsi="Times New Roman" w:cs="Times New Roman"/>
          <w:color w:val="auto"/>
          <w:sz w:val="24"/>
          <w:szCs w:val="24"/>
          <w:highlight w:val="none"/>
          <w:vertAlign w:val="subscript"/>
        </w:rPr>
        <w:t>3</w:t>
      </w:r>
      <w:r>
        <w:rPr>
          <w:rFonts w:ascii="Times New Roman" w:hAnsi="Times New Roman" w:cs="Times New Roman"/>
          <w:color w:val="auto"/>
          <w:sz w:val="24"/>
          <w:szCs w:val="24"/>
          <w:highlight w:val="none"/>
        </w:rPr>
        <w:t>）max+V</w:t>
      </w:r>
      <w:r>
        <w:rPr>
          <w:rFonts w:ascii="Times New Roman" w:hAnsi="Times New Roman" w:cs="Times New Roman"/>
          <w:color w:val="auto"/>
          <w:sz w:val="24"/>
          <w:szCs w:val="24"/>
          <w:highlight w:val="none"/>
          <w:vertAlign w:val="subscript"/>
        </w:rPr>
        <w:t>4</w:t>
      </w:r>
      <w:r>
        <w:rPr>
          <w:rFonts w:ascii="Times New Roman" w:hAnsi="Times New Roman" w:cs="Times New Roman"/>
          <w:color w:val="auto"/>
          <w:sz w:val="24"/>
          <w:szCs w:val="24"/>
          <w:highlight w:val="none"/>
        </w:rPr>
        <w:t>+V</w:t>
      </w:r>
      <w:r>
        <w:rPr>
          <w:rFonts w:ascii="Times New Roman" w:hAnsi="Times New Roman" w:cs="Times New Roman"/>
          <w:color w:val="auto"/>
          <w:sz w:val="24"/>
          <w:szCs w:val="24"/>
          <w:highlight w:val="none"/>
          <w:vertAlign w:val="subscript"/>
        </w:rPr>
        <w:t>5</w:t>
      </w:r>
      <w:r>
        <w:rPr>
          <w:rFonts w:ascii="Times New Roman" w:hAnsi="Times New Roman" w:cs="Times New Roman"/>
          <w:color w:val="auto"/>
          <w:sz w:val="24"/>
          <w:szCs w:val="24"/>
          <w:highlight w:val="none"/>
        </w:rPr>
        <w:t>＝</w:t>
      </w:r>
      <w:r>
        <w:rPr>
          <w:rFonts w:hint="eastAsia" w:ascii="Times New Roman" w:hAnsi="Times New Roman" w:cs="Times New Roman"/>
          <w:color w:val="auto"/>
          <w:sz w:val="24"/>
          <w:szCs w:val="24"/>
          <w:highlight w:val="none"/>
          <w:lang w:val="en-US" w:eastAsia="zh-CN"/>
        </w:rPr>
        <w:t>2</w:t>
      </w:r>
      <w:r>
        <w:rPr>
          <w:rFonts w:ascii="Times New Roman" w:hAnsi="Times New Roman" w:cs="Times New Roman"/>
          <w:color w:val="auto"/>
          <w:sz w:val="24"/>
          <w:szCs w:val="24"/>
          <w:highlight w:val="none"/>
        </w:rPr>
        <w:t>0+378-81+0+192</w:t>
      </w:r>
      <w:r>
        <w:rPr>
          <w:rFonts w:hint="eastAsia" w:ascii="Times New Roman" w:hAnsi="Times New Roman" w:cs="Times New Roman"/>
          <w:color w:val="auto"/>
          <w:sz w:val="24"/>
          <w:szCs w:val="24"/>
          <w:highlight w:val="none"/>
          <w:lang w:val="en-US" w:eastAsia="zh-CN"/>
        </w:rPr>
        <w:t>-380</w:t>
      </w:r>
      <w:r>
        <w:rPr>
          <w:rFonts w:ascii="Times New Roman" w:hAnsi="Times New Roman" w:cs="Times New Roman"/>
          <w:color w:val="auto"/>
          <w:sz w:val="24"/>
          <w:szCs w:val="24"/>
          <w:highlight w:val="none"/>
        </w:rPr>
        <w:t>=</w:t>
      </w:r>
      <w:r>
        <w:rPr>
          <w:rFonts w:hint="eastAsia" w:ascii="Times New Roman" w:hAnsi="Times New Roman" w:cs="Times New Roman"/>
          <w:color w:val="auto"/>
          <w:sz w:val="24"/>
          <w:szCs w:val="24"/>
          <w:highlight w:val="none"/>
          <w:lang w:val="en-US" w:eastAsia="zh-CN"/>
        </w:rPr>
        <w:t>129</w:t>
      </w:r>
      <w:r>
        <w:rPr>
          <w:rFonts w:ascii="Times New Roman" w:hAnsi="Times New Roman" w:cs="Times New Roman"/>
          <w:color w:val="auto"/>
          <w:sz w:val="24"/>
          <w:szCs w:val="24"/>
          <w:highlight w:val="none"/>
        </w:rPr>
        <w:t>m</w:t>
      </w:r>
      <w:r>
        <w:rPr>
          <w:rFonts w:ascii="Times New Roman" w:hAnsi="Times New Roman" w:cs="Times New Roman"/>
          <w:color w:val="auto"/>
          <w:sz w:val="24"/>
          <w:szCs w:val="24"/>
          <w:highlight w:val="none"/>
          <w:vertAlign w:val="superscript"/>
        </w:rPr>
        <w:t>3</w:t>
      </w:r>
    </w:p>
    <w:p w14:paraId="796D9EE1">
      <w:pPr>
        <w:pStyle w:val="20"/>
        <w:keepNext w:val="0"/>
        <w:keepLines w:val="0"/>
        <w:pageBreakBefore w:val="0"/>
        <w:widowControl w:val="0"/>
        <w:kinsoku/>
        <w:wordWrap/>
        <w:overflowPunct/>
        <w:topLinePunct w:val="0"/>
        <w:bidi w:val="0"/>
        <w:spacing w:line="360" w:lineRule="auto"/>
        <w:ind w:left="0" w:right="0" w:firstLine="456" w:firstLineChars="200"/>
        <w:jc w:val="both"/>
        <w:textAlignment w:val="auto"/>
        <w:rPr>
          <w:rFonts w:ascii="Times New Roman" w:hAnsi="Times New Roman" w:cs="Times New Roman"/>
          <w:color w:val="auto"/>
          <w:sz w:val="24"/>
          <w:szCs w:val="24"/>
          <w:highlight w:val="none"/>
        </w:rPr>
      </w:pPr>
      <w:r>
        <w:rPr>
          <w:rFonts w:hint="eastAsia" w:ascii="Times New Roman" w:hAnsi="Times New Roman" w:cs="Times New Roman"/>
          <w:color w:val="auto"/>
          <w:spacing w:val="-6"/>
          <w:sz w:val="24"/>
          <w:szCs w:val="24"/>
          <w:highlight w:val="none"/>
        </w:rPr>
        <w:t>通过以上计算可知，企业需设置容积不小于</w:t>
      </w:r>
      <w:r>
        <w:rPr>
          <w:rFonts w:hint="eastAsia" w:ascii="Times New Roman" w:hAnsi="Times New Roman" w:cs="Times New Roman"/>
          <w:color w:val="auto"/>
          <w:spacing w:val="-6"/>
          <w:sz w:val="24"/>
          <w:szCs w:val="24"/>
          <w:highlight w:val="none"/>
          <w:lang w:val="en-US" w:eastAsia="zh-CN"/>
        </w:rPr>
        <w:t>129</w:t>
      </w:r>
      <w:r>
        <w:rPr>
          <w:rFonts w:hint="eastAsia" w:ascii="Times New Roman" w:hAnsi="Times New Roman" w:cs="Times New Roman"/>
          <w:color w:val="auto"/>
          <w:spacing w:val="-6"/>
          <w:sz w:val="24"/>
          <w:szCs w:val="24"/>
          <w:highlight w:val="none"/>
        </w:rPr>
        <w:t>m</w:t>
      </w:r>
      <w:r>
        <w:rPr>
          <w:rFonts w:hint="eastAsia" w:ascii="Times New Roman" w:hAnsi="Times New Roman" w:cs="Times New Roman"/>
          <w:color w:val="auto"/>
          <w:spacing w:val="-6"/>
          <w:sz w:val="24"/>
          <w:szCs w:val="24"/>
          <w:highlight w:val="none"/>
          <w:vertAlign w:val="superscript"/>
        </w:rPr>
        <w:t>3</w:t>
      </w:r>
      <w:r>
        <w:rPr>
          <w:rFonts w:hint="eastAsia" w:ascii="Times New Roman" w:hAnsi="Times New Roman" w:cs="Times New Roman"/>
          <w:color w:val="auto"/>
          <w:spacing w:val="-6"/>
          <w:sz w:val="24"/>
          <w:szCs w:val="24"/>
          <w:highlight w:val="none"/>
        </w:rPr>
        <w:t>的应急事故池，才可满足收集消防事故废水的要求。目前，企业设置应急事故池540m</w:t>
      </w:r>
      <w:r>
        <w:rPr>
          <w:rFonts w:hint="eastAsia" w:ascii="Times New Roman" w:hAnsi="Times New Roman" w:cs="Times New Roman"/>
          <w:color w:val="auto"/>
          <w:spacing w:val="-6"/>
          <w:sz w:val="24"/>
          <w:szCs w:val="24"/>
          <w:highlight w:val="none"/>
          <w:vertAlign w:val="superscript"/>
        </w:rPr>
        <w:t>3</w:t>
      </w:r>
      <w:r>
        <w:rPr>
          <w:rFonts w:hint="eastAsia" w:ascii="Times New Roman" w:hAnsi="Times New Roman" w:cs="Times New Roman"/>
          <w:color w:val="auto"/>
          <w:spacing w:val="-6"/>
          <w:sz w:val="24"/>
          <w:szCs w:val="24"/>
          <w:highlight w:val="none"/>
        </w:rPr>
        <w:t>，可满足事故废水的收集要求。</w:t>
      </w:r>
    </w:p>
    <w:p w14:paraId="3812155B">
      <w:pPr>
        <w:pStyle w:val="5"/>
        <w:keepLines w:val="0"/>
        <w:numPr>
          <w:ilvl w:val="0"/>
          <w:numId w:val="0"/>
        </w:numPr>
        <w:tabs>
          <w:tab w:val="left" w:pos="141"/>
          <w:tab w:val="left" w:pos="567"/>
          <w:tab w:val="left" w:pos="709"/>
        </w:tabs>
        <w:spacing w:before="120" w:beforeLines="50" w:after="120" w:afterLines="50" w:line="360" w:lineRule="auto"/>
        <w:ind w:right="-105"/>
        <w:rPr>
          <w:rFonts w:eastAsia="宋体"/>
          <w:color w:val="auto"/>
          <w:sz w:val="28"/>
          <w:szCs w:val="28"/>
          <w:highlight w:val="none"/>
        </w:rPr>
      </w:pPr>
      <w:r>
        <w:rPr>
          <w:rFonts w:hint="eastAsia" w:eastAsia="宋体"/>
          <w:color w:val="auto"/>
          <w:sz w:val="28"/>
          <w:szCs w:val="28"/>
          <w:highlight w:val="none"/>
        </w:rPr>
        <w:t>7.6.6</w:t>
      </w:r>
      <w:r>
        <w:rPr>
          <w:rFonts w:eastAsia="宋体"/>
          <w:color w:val="auto"/>
          <w:sz w:val="28"/>
          <w:szCs w:val="28"/>
          <w:highlight w:val="none"/>
        </w:rPr>
        <w:t>地下水</w:t>
      </w:r>
      <w:r>
        <w:rPr>
          <w:rFonts w:hint="eastAsia" w:eastAsia="宋体"/>
          <w:color w:val="auto"/>
          <w:sz w:val="28"/>
          <w:szCs w:val="28"/>
          <w:highlight w:val="none"/>
        </w:rPr>
        <w:t>、土壤</w:t>
      </w:r>
      <w:r>
        <w:rPr>
          <w:rFonts w:eastAsia="宋体"/>
          <w:color w:val="auto"/>
          <w:sz w:val="28"/>
          <w:szCs w:val="28"/>
          <w:highlight w:val="none"/>
        </w:rPr>
        <w:t>环境风险防范措施</w:t>
      </w:r>
    </w:p>
    <w:p w14:paraId="4AD42A2E">
      <w:pPr>
        <w:tabs>
          <w:tab w:val="left" w:pos="0"/>
          <w:tab w:val="left" w:pos="1123"/>
        </w:tabs>
        <w:spacing w:line="360" w:lineRule="auto"/>
        <w:ind w:left="-105" w:right="-105" w:firstLine="480" w:firstLineChars="200"/>
        <w:rPr>
          <w:rFonts w:ascii="Times New Roman" w:hAnsi="Times New Roman" w:cs="Times New Roman"/>
          <w:color w:val="auto"/>
          <w:highlight w:val="none"/>
        </w:rPr>
      </w:pPr>
      <w:r>
        <w:rPr>
          <w:rFonts w:ascii="Times New Roman" w:hAnsi="Times New Roman" w:cs="Times New Roman"/>
          <w:color w:val="auto"/>
          <w:highlight w:val="none"/>
        </w:rPr>
        <w:t>根据</w:t>
      </w:r>
      <w:r>
        <w:rPr>
          <w:rFonts w:ascii="Times New Roman" w:hAnsi="Times New Roman" w:cs="Times New Roman"/>
          <w:color w:val="auto"/>
          <w:highlight w:val="none"/>
        </w:rPr>
        <w:fldChar w:fldCharType="begin"/>
      </w:r>
      <w:r>
        <w:rPr>
          <w:rFonts w:ascii="Times New Roman" w:hAnsi="Times New Roman" w:cs="Times New Roman"/>
          <w:color w:val="auto"/>
          <w:highlight w:val="none"/>
        </w:rPr>
        <w:instrText xml:space="preserve"> REF _Ref1601 \h  \* MERGEFORMAT </w:instrText>
      </w:r>
      <w:r>
        <w:rPr>
          <w:rFonts w:ascii="Times New Roman" w:hAnsi="Times New Roman" w:cs="Times New Roman"/>
          <w:color w:val="auto"/>
          <w:highlight w:val="none"/>
        </w:rPr>
        <w:fldChar w:fldCharType="separate"/>
      </w:r>
      <w:r>
        <w:rPr>
          <w:rFonts w:ascii="Times New Roman" w:hAnsi="Times New Roman" w:cs="Times New Roman"/>
          <w:color w:val="auto"/>
          <w:szCs w:val="18"/>
          <w:highlight w:val="none"/>
        </w:rPr>
        <w:t>表</w:t>
      </w:r>
      <w:r>
        <w:rPr>
          <w:rFonts w:ascii="Times New Roman" w:hAnsi="Times New Roman" w:cs="Times New Roman"/>
          <w:color w:val="auto"/>
          <w:szCs w:val="18"/>
          <w:highlight w:val="none"/>
        </w:rPr>
        <w:fldChar w:fldCharType="begin"/>
      </w:r>
      <w:r>
        <w:rPr>
          <w:rFonts w:ascii="Times New Roman" w:hAnsi="Times New Roman" w:cs="Times New Roman"/>
          <w:color w:val="auto"/>
          <w:szCs w:val="18"/>
          <w:highlight w:val="none"/>
        </w:rPr>
        <w:instrText xml:space="preserve"> STYLEREF 2 \s </w:instrText>
      </w:r>
      <w:r>
        <w:rPr>
          <w:rFonts w:ascii="Times New Roman" w:hAnsi="Times New Roman" w:cs="Times New Roman"/>
          <w:color w:val="auto"/>
          <w:szCs w:val="18"/>
          <w:highlight w:val="none"/>
        </w:rPr>
        <w:fldChar w:fldCharType="separate"/>
      </w:r>
      <w:r>
        <w:rPr>
          <w:rFonts w:ascii="Times New Roman" w:hAnsi="Times New Roman" w:cs="Times New Roman"/>
          <w:color w:val="auto"/>
          <w:szCs w:val="18"/>
          <w:highlight w:val="none"/>
        </w:rPr>
        <w:t>4.8</w:t>
      </w:r>
      <w:r>
        <w:rPr>
          <w:rFonts w:ascii="Times New Roman" w:hAnsi="Times New Roman" w:cs="Times New Roman"/>
          <w:color w:val="auto"/>
          <w:szCs w:val="18"/>
          <w:highlight w:val="none"/>
        </w:rPr>
        <w:fldChar w:fldCharType="end"/>
      </w:r>
      <w:r>
        <w:rPr>
          <w:rFonts w:ascii="Times New Roman" w:hAnsi="Times New Roman" w:cs="Times New Roman"/>
          <w:color w:val="auto"/>
          <w:szCs w:val="18"/>
          <w:highlight w:val="none"/>
        </w:rPr>
        <w:noBreakHyphen/>
      </w:r>
      <w:r>
        <w:rPr>
          <w:rFonts w:ascii="Times New Roman" w:hAnsi="Times New Roman" w:cs="Times New Roman"/>
          <w:color w:val="auto"/>
          <w:szCs w:val="18"/>
          <w:highlight w:val="none"/>
        </w:rPr>
        <w:t>5</w:t>
      </w:r>
      <w:r>
        <w:rPr>
          <w:rFonts w:ascii="Times New Roman" w:hAnsi="Times New Roman" w:cs="Times New Roman"/>
          <w:color w:val="auto"/>
          <w:highlight w:val="none"/>
        </w:rPr>
        <w:fldChar w:fldCharType="end"/>
      </w:r>
      <w:r>
        <w:rPr>
          <w:rFonts w:ascii="Times New Roman" w:hAnsi="Times New Roman" w:cs="Times New Roman"/>
          <w:color w:val="auto"/>
          <w:highlight w:val="none"/>
        </w:rPr>
        <w:t>，本项目涉及地表水环境风险的风险源和风险单元主要为</w:t>
      </w:r>
      <w:r>
        <w:rPr>
          <w:rFonts w:hint="eastAsia" w:ascii="Times New Roman" w:hAnsi="Times New Roman" w:cs="Times New Roman"/>
          <w:color w:val="auto"/>
          <w:highlight w:val="none"/>
          <w:lang w:eastAsia="zh-CN"/>
        </w:rPr>
        <w:t>危险品仓库</w:t>
      </w:r>
      <w:r>
        <w:rPr>
          <w:rFonts w:ascii="Times New Roman" w:hAnsi="Times New Roman" w:cs="Times New Roman"/>
          <w:color w:val="auto"/>
          <w:highlight w:val="none"/>
        </w:rPr>
        <w:t>、</w:t>
      </w:r>
      <w:r>
        <w:rPr>
          <w:rFonts w:hint="eastAsia" w:ascii="Times New Roman" w:hAnsi="Times New Roman" w:cs="Times New Roman"/>
          <w:color w:val="auto"/>
          <w:highlight w:val="none"/>
          <w:lang w:eastAsia="zh-CN"/>
        </w:rPr>
        <w:t>防爆间</w:t>
      </w:r>
      <w:r>
        <w:rPr>
          <w:rFonts w:hint="eastAsia" w:ascii="Times New Roman" w:hAnsi="Times New Roman" w:cs="Times New Roman"/>
          <w:color w:val="auto"/>
          <w:highlight w:val="none"/>
        </w:rPr>
        <w:t>、化学试剂柜、成品仓库</w:t>
      </w:r>
      <w:r>
        <w:rPr>
          <w:rFonts w:ascii="Times New Roman" w:hAnsi="Times New Roman" w:cs="Times New Roman"/>
          <w:color w:val="auto"/>
          <w:highlight w:val="none"/>
        </w:rPr>
        <w:t>的贮存的危险物质原料、危废仓库</w:t>
      </w:r>
      <w:r>
        <w:rPr>
          <w:rFonts w:hint="eastAsia" w:ascii="Times New Roman" w:hAnsi="Times New Roman" w:cs="Times New Roman"/>
          <w:color w:val="auto"/>
          <w:highlight w:val="none"/>
        </w:rPr>
        <w:t>、废液储罐</w:t>
      </w:r>
      <w:r>
        <w:rPr>
          <w:rFonts w:ascii="Times New Roman" w:hAnsi="Times New Roman" w:cs="Times New Roman"/>
          <w:color w:val="auto"/>
          <w:highlight w:val="none"/>
        </w:rPr>
        <w:t>贮存的危废、生产车间各生产设备内的危险物质物料、废气处理设施等。主要影响途径为泄漏物料、消防沙土和废水渗漏进入土壤和地下水。企业应重点采取源头控制和分区防渗措施，加强地下水环境的监控、预警，发现污染事故及时采取措施控制和消除污染。</w:t>
      </w:r>
    </w:p>
    <w:p w14:paraId="37DDD807">
      <w:pPr>
        <w:tabs>
          <w:tab w:val="left" w:pos="0"/>
          <w:tab w:val="left" w:pos="1123"/>
        </w:tabs>
        <w:spacing w:line="360" w:lineRule="auto"/>
        <w:ind w:left="-105" w:right="-105" w:firstLine="480" w:firstLineChars="200"/>
        <w:rPr>
          <w:rFonts w:ascii="Times New Roman" w:hAnsi="Times New Roman" w:cs="Times New Roman"/>
          <w:color w:val="auto"/>
          <w:highlight w:val="none"/>
        </w:rPr>
      </w:pPr>
      <w:r>
        <w:rPr>
          <w:rFonts w:ascii="Times New Roman" w:hAnsi="Times New Roman" w:cs="Times New Roman"/>
          <w:color w:val="auto"/>
          <w:highlight w:val="none"/>
        </w:rPr>
        <w:t>（1）源头控制</w:t>
      </w:r>
    </w:p>
    <w:p w14:paraId="3979EB6A">
      <w:pPr>
        <w:tabs>
          <w:tab w:val="left" w:pos="0"/>
          <w:tab w:val="left" w:pos="1123"/>
        </w:tabs>
        <w:spacing w:line="360" w:lineRule="auto"/>
        <w:ind w:left="-105" w:right="-105" w:firstLine="480" w:firstLineChars="200"/>
        <w:rPr>
          <w:rFonts w:ascii="Times New Roman" w:hAnsi="Times New Roman" w:cs="Times New Roman"/>
          <w:color w:val="auto"/>
          <w:highlight w:val="none"/>
        </w:rPr>
      </w:pPr>
      <w:r>
        <w:rPr>
          <w:rFonts w:ascii="Times New Roman" w:hAnsi="Times New Roman" w:cs="Times New Roman"/>
          <w:color w:val="auto"/>
          <w:highlight w:val="none"/>
        </w:rPr>
        <w:t>1）严格按照国家相关规范要求，对本项目构筑物等采取相应措施，以防止和降低污染物的跑、冒、滴、漏，将污染物泄漏的环境风险事故降到最低程度。</w:t>
      </w:r>
    </w:p>
    <w:p w14:paraId="39311650">
      <w:pPr>
        <w:tabs>
          <w:tab w:val="left" w:pos="0"/>
          <w:tab w:val="left" w:pos="1123"/>
        </w:tabs>
        <w:spacing w:line="360" w:lineRule="auto"/>
        <w:ind w:left="-105" w:right="-105" w:firstLine="480" w:firstLineChars="200"/>
        <w:rPr>
          <w:rFonts w:ascii="Times New Roman" w:hAnsi="Times New Roman" w:cs="Times New Roman"/>
          <w:color w:val="auto"/>
          <w:highlight w:val="none"/>
        </w:rPr>
      </w:pPr>
      <w:r>
        <w:rPr>
          <w:rFonts w:ascii="Times New Roman" w:hAnsi="Times New Roman" w:cs="Times New Roman"/>
          <w:color w:val="auto"/>
          <w:highlight w:val="none"/>
        </w:rPr>
        <w:t>2）设备和管线尽量采用</w:t>
      </w:r>
      <w:r>
        <w:rPr>
          <w:rFonts w:hint="eastAsia" w:ascii="Times New Roman" w:hAnsi="Times New Roman" w:cs="Times New Roman"/>
          <w:color w:val="auto"/>
          <w:highlight w:val="none"/>
        </w:rPr>
        <w:t>“</w:t>
      </w:r>
      <w:r>
        <w:rPr>
          <w:rFonts w:ascii="Times New Roman" w:hAnsi="Times New Roman" w:cs="Times New Roman"/>
          <w:color w:val="auto"/>
          <w:highlight w:val="none"/>
        </w:rPr>
        <w:t>可视化</w:t>
      </w:r>
      <w:r>
        <w:rPr>
          <w:rFonts w:hint="eastAsia" w:ascii="Times New Roman" w:hAnsi="Times New Roman" w:cs="Times New Roman"/>
          <w:color w:val="auto"/>
          <w:highlight w:val="none"/>
        </w:rPr>
        <w:t>”</w:t>
      </w:r>
      <w:r>
        <w:rPr>
          <w:rFonts w:ascii="Times New Roman" w:hAnsi="Times New Roman" w:cs="Times New Roman"/>
          <w:color w:val="auto"/>
          <w:highlight w:val="none"/>
        </w:rPr>
        <w:t>原则，即尽可能地上敷设和放置，做到污染物</w:t>
      </w:r>
      <w:r>
        <w:rPr>
          <w:rFonts w:hint="eastAsia" w:ascii="Times New Roman" w:hAnsi="Times New Roman" w:cs="Times New Roman"/>
          <w:color w:val="auto"/>
          <w:highlight w:val="none"/>
        </w:rPr>
        <w:t>“</w:t>
      </w:r>
      <w:r>
        <w:rPr>
          <w:rFonts w:ascii="Times New Roman" w:hAnsi="Times New Roman" w:cs="Times New Roman"/>
          <w:color w:val="auto"/>
          <w:highlight w:val="none"/>
        </w:rPr>
        <w:t>早发现、早处理</w:t>
      </w:r>
      <w:r>
        <w:rPr>
          <w:rFonts w:hint="eastAsia" w:ascii="Times New Roman" w:hAnsi="Times New Roman" w:cs="Times New Roman"/>
          <w:color w:val="auto"/>
          <w:highlight w:val="none"/>
        </w:rPr>
        <w:t>”</w:t>
      </w:r>
      <w:r>
        <w:rPr>
          <w:rFonts w:ascii="Times New Roman" w:hAnsi="Times New Roman" w:cs="Times New Roman"/>
          <w:color w:val="auto"/>
          <w:highlight w:val="none"/>
        </w:rPr>
        <w:t>，以减少由于埋地泄漏而可能造成的地下水污染。对地下管道，管道内外均采用防腐处理，另建设控制站、截污阀、排污阀、流量、压力在线监测仪，购买超声及磁力检漏设备，定期对管道进行检漏，对出现泄漏处的土壤进行换土。</w:t>
      </w:r>
    </w:p>
    <w:p w14:paraId="41BF6DCE">
      <w:pPr>
        <w:tabs>
          <w:tab w:val="left" w:pos="0"/>
          <w:tab w:val="left" w:pos="1123"/>
        </w:tabs>
        <w:spacing w:line="360" w:lineRule="auto"/>
        <w:ind w:left="-105" w:right="-105" w:firstLine="480" w:firstLineChars="200"/>
        <w:rPr>
          <w:rFonts w:ascii="Times New Roman" w:hAnsi="Times New Roman" w:cs="Times New Roman"/>
          <w:color w:val="auto"/>
          <w:highlight w:val="none"/>
        </w:rPr>
      </w:pPr>
      <w:r>
        <w:rPr>
          <w:rFonts w:ascii="Times New Roman" w:hAnsi="Times New Roman" w:cs="Times New Roman"/>
          <w:color w:val="auto"/>
          <w:highlight w:val="none"/>
        </w:rPr>
        <w:t>3）堆放固体废物的场地按照国家相关规范要求，采取防泄漏措施。</w:t>
      </w:r>
    </w:p>
    <w:p w14:paraId="2E1E6138">
      <w:pPr>
        <w:tabs>
          <w:tab w:val="left" w:pos="0"/>
          <w:tab w:val="left" w:pos="1123"/>
        </w:tabs>
        <w:spacing w:line="360" w:lineRule="auto"/>
        <w:ind w:left="-105" w:right="-105" w:firstLine="480" w:firstLineChars="200"/>
        <w:rPr>
          <w:rFonts w:ascii="Times New Roman" w:hAnsi="Times New Roman" w:cs="Times New Roman"/>
          <w:color w:val="auto"/>
          <w:highlight w:val="none"/>
        </w:rPr>
      </w:pPr>
      <w:r>
        <w:rPr>
          <w:rFonts w:ascii="Times New Roman" w:hAnsi="Times New Roman" w:cs="Times New Roman"/>
          <w:color w:val="auto"/>
          <w:highlight w:val="none"/>
        </w:rPr>
        <w:t>4）严格固体废物管理，不接触外界降水，使其不产生淋滤液，严防污染物泄漏到地下水、土壤中。</w:t>
      </w:r>
    </w:p>
    <w:p w14:paraId="61E011AD">
      <w:pPr>
        <w:tabs>
          <w:tab w:val="left" w:pos="0"/>
          <w:tab w:val="left" w:pos="1123"/>
        </w:tabs>
        <w:spacing w:line="360" w:lineRule="auto"/>
        <w:ind w:left="-105" w:right="-105" w:firstLine="480" w:firstLineChars="200"/>
        <w:rPr>
          <w:rFonts w:ascii="Times New Roman" w:hAnsi="Times New Roman" w:cs="Times New Roman"/>
          <w:color w:val="auto"/>
          <w:highlight w:val="none"/>
        </w:rPr>
      </w:pPr>
      <w:r>
        <w:rPr>
          <w:rFonts w:ascii="Times New Roman" w:hAnsi="Times New Roman" w:cs="Times New Roman"/>
          <w:color w:val="auto"/>
          <w:highlight w:val="none"/>
        </w:rPr>
        <w:t>（2）分区防渗</w:t>
      </w:r>
    </w:p>
    <w:p w14:paraId="1FDEF331">
      <w:pPr>
        <w:tabs>
          <w:tab w:val="left" w:pos="0"/>
          <w:tab w:val="left" w:pos="1123"/>
        </w:tabs>
        <w:spacing w:line="360" w:lineRule="auto"/>
        <w:ind w:left="-105" w:right="-105" w:firstLine="480" w:firstLineChars="200"/>
        <w:rPr>
          <w:rFonts w:ascii="Times New Roman" w:hAnsi="Times New Roman" w:cs="Times New Roman"/>
          <w:color w:val="auto"/>
          <w:highlight w:val="none"/>
        </w:rPr>
      </w:pPr>
      <w:r>
        <w:rPr>
          <w:rFonts w:ascii="Times New Roman" w:hAnsi="Times New Roman" w:cs="Times New Roman"/>
          <w:color w:val="auto"/>
          <w:highlight w:val="none"/>
        </w:rPr>
        <w:t>应根据建设项目所在地的地形特点优化地面布局，必要时设置地面硬化、围堰或围墙，以防止土壤环境污染。本项目将全厂按物料或者污染物泄漏、抛洒的途径和生产功能单元所处的位置进行分区防渗。</w:t>
      </w:r>
    </w:p>
    <w:p w14:paraId="1C857BA8">
      <w:pPr>
        <w:spacing w:line="360" w:lineRule="auto"/>
        <w:ind w:left="-105" w:right="-105" w:firstLine="480"/>
        <w:rPr>
          <w:rFonts w:ascii="Times New Roman" w:hAnsi="Times New Roman" w:cs="Times New Roman"/>
          <w:color w:val="auto"/>
          <w:highlight w:val="none"/>
          <w:lang w:bidi="ar"/>
        </w:rPr>
      </w:pPr>
      <w:r>
        <w:rPr>
          <w:rFonts w:ascii="Times New Roman" w:hAnsi="Times New Roman" w:cs="Times New Roman"/>
          <w:color w:val="auto"/>
          <w:highlight w:val="none"/>
          <w:lang w:bidi="ar"/>
        </w:rPr>
        <w:t>重点防渗区（包气带防护性能为弱，污染控制难易程度为易）主要为：</w:t>
      </w:r>
      <w:r>
        <w:rPr>
          <w:rFonts w:hint="eastAsia" w:ascii="Times New Roman" w:hAnsi="Times New Roman" w:cs="Times New Roman"/>
          <w:color w:val="auto"/>
          <w:highlight w:val="none"/>
          <w:lang w:bidi="ar"/>
        </w:rPr>
        <w:t>生产区、</w:t>
      </w:r>
      <w:r>
        <w:rPr>
          <w:rFonts w:hint="eastAsia" w:ascii="Times New Roman" w:hAnsi="Times New Roman" w:cs="Times New Roman"/>
          <w:color w:val="auto"/>
          <w:highlight w:val="none"/>
          <w:lang w:eastAsia="zh-CN" w:bidi="ar"/>
        </w:rPr>
        <w:t>危险品仓库</w:t>
      </w:r>
      <w:r>
        <w:rPr>
          <w:rFonts w:hint="eastAsia" w:ascii="Times New Roman" w:hAnsi="Times New Roman" w:cs="Times New Roman"/>
          <w:color w:val="auto"/>
          <w:highlight w:val="none"/>
          <w:lang w:bidi="ar"/>
        </w:rPr>
        <w:t>、成品仓库、埋地柴油罐、废液储罐区、危废仓库、事故池、初期雨水收集池</w:t>
      </w:r>
      <w:r>
        <w:rPr>
          <w:rFonts w:ascii="Times New Roman" w:hAnsi="Times New Roman" w:cs="Times New Roman"/>
          <w:color w:val="auto"/>
          <w:highlight w:val="none"/>
          <w:lang w:bidi="ar"/>
        </w:rPr>
        <w:t>。本项目重点防渗区的设计渗透系数≤1.0×10</w:t>
      </w:r>
      <w:r>
        <w:rPr>
          <w:rFonts w:ascii="Times New Roman" w:hAnsi="Times New Roman" w:cs="Times New Roman"/>
          <w:color w:val="auto"/>
          <w:highlight w:val="none"/>
          <w:vertAlign w:val="superscript"/>
          <w:lang w:bidi="ar"/>
        </w:rPr>
        <w:t>-10</w:t>
      </w:r>
      <w:r>
        <w:rPr>
          <w:rFonts w:ascii="Times New Roman" w:hAnsi="Times New Roman" w:cs="Times New Roman"/>
          <w:color w:val="auto"/>
          <w:highlight w:val="none"/>
          <w:lang w:bidi="ar"/>
        </w:rPr>
        <w:t>cm/s。</w:t>
      </w:r>
    </w:p>
    <w:p w14:paraId="0132D318">
      <w:pPr>
        <w:spacing w:line="360" w:lineRule="auto"/>
        <w:ind w:left="-105" w:right="-105" w:firstLine="480"/>
        <w:rPr>
          <w:rFonts w:ascii="Times New Roman" w:hAnsi="Times New Roman" w:cs="Times New Roman"/>
          <w:color w:val="auto"/>
          <w:highlight w:val="none"/>
          <w:lang w:bidi="ar"/>
        </w:rPr>
      </w:pPr>
      <w:r>
        <w:rPr>
          <w:rFonts w:ascii="Times New Roman" w:hAnsi="Times New Roman" w:cs="Times New Roman"/>
          <w:color w:val="auto"/>
          <w:highlight w:val="none"/>
          <w:lang w:bidi="ar"/>
        </w:rPr>
        <w:t>一般防渗区（包气带防护性能为弱，污染控制难易程度为易）主要为：</w:t>
      </w:r>
      <w:r>
        <w:rPr>
          <w:rFonts w:hint="eastAsia" w:ascii="Times New Roman" w:hAnsi="Times New Roman" w:cs="Times New Roman"/>
          <w:color w:val="auto"/>
          <w:highlight w:val="none"/>
          <w:lang w:bidi="ar"/>
        </w:rPr>
        <w:t>实验楼、一般固废仓库、辅房</w:t>
      </w:r>
      <w:r>
        <w:rPr>
          <w:rFonts w:ascii="Times New Roman" w:hAnsi="Times New Roman" w:cs="Times New Roman"/>
          <w:color w:val="auto"/>
          <w:highlight w:val="none"/>
          <w:lang w:bidi="ar"/>
        </w:rPr>
        <w:t>等地。本项目一般防渗区的设计渗透系数≤1.0×10</w:t>
      </w:r>
      <w:r>
        <w:rPr>
          <w:rFonts w:ascii="Times New Roman" w:hAnsi="Times New Roman" w:cs="Times New Roman"/>
          <w:color w:val="auto"/>
          <w:highlight w:val="none"/>
          <w:vertAlign w:val="superscript"/>
          <w:lang w:bidi="ar"/>
        </w:rPr>
        <w:t>-7</w:t>
      </w:r>
      <w:r>
        <w:rPr>
          <w:rFonts w:ascii="Times New Roman" w:hAnsi="Times New Roman" w:cs="Times New Roman"/>
          <w:color w:val="auto"/>
          <w:highlight w:val="none"/>
          <w:lang w:bidi="ar"/>
        </w:rPr>
        <w:t>cm/s。本项目一般防渗区的设计为铺装普通水泥地面。</w:t>
      </w:r>
    </w:p>
    <w:p w14:paraId="018AC9A7">
      <w:pPr>
        <w:tabs>
          <w:tab w:val="left" w:pos="0"/>
          <w:tab w:val="left" w:pos="1123"/>
        </w:tabs>
        <w:spacing w:line="360" w:lineRule="auto"/>
        <w:ind w:left="-105" w:right="-105" w:firstLine="480" w:firstLineChars="200"/>
        <w:rPr>
          <w:rFonts w:ascii="Times New Roman" w:hAnsi="Times New Roman" w:cs="Times New Roman"/>
          <w:color w:val="auto"/>
          <w:highlight w:val="none"/>
        </w:rPr>
      </w:pPr>
      <w:r>
        <w:rPr>
          <w:rFonts w:ascii="Times New Roman" w:hAnsi="Times New Roman" w:cs="Times New Roman"/>
          <w:color w:val="auto"/>
          <w:highlight w:val="none"/>
          <w:lang w:bidi="ar"/>
        </w:rPr>
        <w:t>简单防渗区（包气带防护性能为弱，污染控制难易程度为易）主要为：</w:t>
      </w:r>
      <w:r>
        <w:rPr>
          <w:rFonts w:hint="eastAsia" w:ascii="Times New Roman" w:hAnsi="Times New Roman" w:cs="Times New Roman"/>
          <w:color w:val="auto"/>
          <w:highlight w:val="none"/>
          <w:lang w:bidi="ar"/>
        </w:rPr>
        <w:t>办公区、厂区道路、停车场、门卫</w:t>
      </w:r>
      <w:r>
        <w:rPr>
          <w:rFonts w:ascii="Times New Roman" w:hAnsi="Times New Roman" w:cs="Times New Roman"/>
          <w:color w:val="auto"/>
          <w:highlight w:val="none"/>
        </w:rPr>
        <w:t>。</w:t>
      </w:r>
    </w:p>
    <w:p w14:paraId="5B81D43B">
      <w:pPr>
        <w:tabs>
          <w:tab w:val="left" w:pos="0"/>
          <w:tab w:val="left" w:pos="1123"/>
        </w:tabs>
        <w:spacing w:line="360" w:lineRule="auto"/>
        <w:ind w:left="-105" w:right="-105" w:firstLine="480" w:firstLineChars="200"/>
        <w:rPr>
          <w:rFonts w:ascii="Times New Roman" w:hAnsi="Times New Roman" w:cs="Times New Roman"/>
          <w:color w:val="auto"/>
          <w:highlight w:val="none"/>
        </w:rPr>
      </w:pPr>
      <w:r>
        <w:rPr>
          <w:rFonts w:ascii="Times New Roman" w:hAnsi="Times New Roman" w:cs="Times New Roman"/>
          <w:color w:val="auto"/>
          <w:highlight w:val="none"/>
        </w:rPr>
        <w:t>（3）监控、预警</w:t>
      </w:r>
    </w:p>
    <w:p w14:paraId="2779FCC9">
      <w:pPr>
        <w:tabs>
          <w:tab w:val="left" w:pos="0"/>
          <w:tab w:val="left" w:pos="1123"/>
        </w:tabs>
        <w:spacing w:line="360" w:lineRule="auto"/>
        <w:ind w:left="-105" w:right="-105" w:firstLine="480" w:firstLineChars="200"/>
        <w:rPr>
          <w:rFonts w:ascii="Times New Roman" w:hAnsi="Times New Roman" w:cs="Times New Roman"/>
          <w:color w:val="auto"/>
          <w:highlight w:val="none"/>
        </w:rPr>
      </w:pPr>
      <w:r>
        <w:rPr>
          <w:rFonts w:ascii="Times New Roman" w:hAnsi="Times New Roman" w:cs="Times New Roman"/>
          <w:color w:val="auto"/>
          <w:highlight w:val="none"/>
        </w:rPr>
        <w:t>企业应建立污染监控和预警体系，实施覆盖生产区的地下水污染监控体系，包括建立完善的监测制度、配备检测仪器和设备、科学、合理设置地下水污染监控井，及时发现污染、及时控制。一旦发现地下水污染事故，立即启动应急预案，采取应急措施控制地下水污染，并使污染得到治理。</w:t>
      </w:r>
    </w:p>
    <w:p w14:paraId="2FBCD727">
      <w:pPr>
        <w:pStyle w:val="5"/>
        <w:keepLines w:val="0"/>
        <w:numPr>
          <w:ilvl w:val="0"/>
          <w:numId w:val="0"/>
        </w:numPr>
        <w:tabs>
          <w:tab w:val="left" w:pos="141"/>
          <w:tab w:val="left" w:pos="567"/>
          <w:tab w:val="left" w:pos="709"/>
        </w:tabs>
        <w:spacing w:before="120" w:beforeLines="50" w:after="120" w:afterLines="50" w:line="360" w:lineRule="auto"/>
        <w:ind w:right="-105"/>
        <w:rPr>
          <w:rFonts w:eastAsia="宋体"/>
          <w:color w:val="auto"/>
          <w:sz w:val="28"/>
          <w:szCs w:val="28"/>
          <w:highlight w:val="none"/>
        </w:rPr>
      </w:pPr>
      <w:r>
        <w:rPr>
          <w:rFonts w:hint="eastAsia" w:eastAsia="宋体"/>
          <w:color w:val="auto"/>
          <w:sz w:val="28"/>
          <w:szCs w:val="28"/>
          <w:highlight w:val="none"/>
        </w:rPr>
        <w:t>7.6.7</w:t>
      </w:r>
      <w:r>
        <w:rPr>
          <w:rFonts w:eastAsia="宋体"/>
          <w:color w:val="auto"/>
          <w:sz w:val="28"/>
          <w:szCs w:val="28"/>
          <w:highlight w:val="none"/>
        </w:rPr>
        <w:t>风险监控、应急监测和事故应急处理措施</w:t>
      </w:r>
    </w:p>
    <w:p w14:paraId="3625AF39">
      <w:pPr>
        <w:tabs>
          <w:tab w:val="left" w:pos="0"/>
          <w:tab w:val="left" w:pos="1123"/>
        </w:tabs>
        <w:spacing w:line="360" w:lineRule="auto"/>
        <w:ind w:left="-105" w:right="-105" w:firstLine="480" w:firstLineChars="200"/>
        <w:rPr>
          <w:rFonts w:ascii="Times New Roman" w:hAnsi="Times New Roman" w:cs="Times New Roman"/>
          <w:color w:val="auto"/>
          <w:highlight w:val="none"/>
        </w:rPr>
      </w:pPr>
      <w:r>
        <w:rPr>
          <w:rFonts w:ascii="Times New Roman" w:hAnsi="Times New Roman" w:cs="Times New Roman"/>
          <w:color w:val="auto"/>
          <w:highlight w:val="none"/>
        </w:rPr>
        <w:t>（1）风险监控和应急监测</w:t>
      </w:r>
    </w:p>
    <w:p w14:paraId="17D9DEB1">
      <w:pPr>
        <w:tabs>
          <w:tab w:val="left" w:pos="0"/>
          <w:tab w:val="left" w:pos="1123"/>
        </w:tabs>
        <w:spacing w:line="360" w:lineRule="auto"/>
        <w:ind w:left="-105" w:right="-105" w:firstLine="480" w:firstLineChars="200"/>
        <w:jc w:val="both"/>
        <w:rPr>
          <w:rFonts w:ascii="Times New Roman" w:hAnsi="Times New Roman" w:cs="Times New Roman"/>
          <w:color w:val="auto"/>
          <w:highlight w:val="none"/>
        </w:rPr>
      </w:pPr>
      <w:r>
        <w:rPr>
          <w:rFonts w:ascii="Times New Roman" w:hAnsi="Times New Roman" w:cs="Times New Roman"/>
          <w:color w:val="auto"/>
          <w:highlight w:val="none"/>
        </w:rPr>
        <w:t>根据</w:t>
      </w:r>
      <w:r>
        <w:rPr>
          <w:rFonts w:ascii="Times New Roman" w:hAnsi="Times New Roman" w:cs="Times New Roman"/>
          <w:color w:val="auto"/>
          <w:highlight w:val="none"/>
        </w:rPr>
        <w:fldChar w:fldCharType="begin"/>
      </w:r>
      <w:r>
        <w:rPr>
          <w:rFonts w:ascii="Times New Roman" w:hAnsi="Times New Roman" w:cs="Times New Roman"/>
          <w:color w:val="auto"/>
          <w:highlight w:val="none"/>
        </w:rPr>
        <w:instrText xml:space="preserve"> REF _Ref1601 \h  \* MERGEFORMAT </w:instrText>
      </w:r>
      <w:r>
        <w:rPr>
          <w:rFonts w:ascii="Times New Roman" w:hAnsi="Times New Roman" w:cs="Times New Roman"/>
          <w:color w:val="auto"/>
          <w:highlight w:val="none"/>
        </w:rPr>
        <w:fldChar w:fldCharType="separate"/>
      </w:r>
      <w:r>
        <w:rPr>
          <w:rFonts w:ascii="Times New Roman" w:hAnsi="Times New Roman" w:cs="Times New Roman"/>
          <w:color w:val="auto"/>
          <w:szCs w:val="18"/>
          <w:highlight w:val="none"/>
        </w:rPr>
        <w:t>表</w:t>
      </w:r>
      <w:r>
        <w:rPr>
          <w:rFonts w:ascii="Times New Roman" w:hAnsi="Times New Roman" w:cs="Times New Roman"/>
          <w:color w:val="auto"/>
          <w:szCs w:val="18"/>
          <w:highlight w:val="none"/>
        </w:rPr>
        <w:fldChar w:fldCharType="begin"/>
      </w:r>
      <w:r>
        <w:rPr>
          <w:rFonts w:ascii="Times New Roman" w:hAnsi="Times New Roman" w:cs="Times New Roman"/>
          <w:color w:val="auto"/>
          <w:szCs w:val="18"/>
          <w:highlight w:val="none"/>
        </w:rPr>
        <w:instrText xml:space="preserve"> STYLEREF 2 \s </w:instrText>
      </w:r>
      <w:r>
        <w:rPr>
          <w:rFonts w:ascii="Times New Roman" w:hAnsi="Times New Roman" w:cs="Times New Roman"/>
          <w:color w:val="auto"/>
          <w:szCs w:val="18"/>
          <w:highlight w:val="none"/>
        </w:rPr>
        <w:fldChar w:fldCharType="separate"/>
      </w:r>
      <w:r>
        <w:rPr>
          <w:rFonts w:ascii="Times New Roman" w:hAnsi="Times New Roman" w:cs="Times New Roman"/>
          <w:color w:val="auto"/>
          <w:szCs w:val="18"/>
          <w:highlight w:val="none"/>
        </w:rPr>
        <w:t>4.8</w:t>
      </w:r>
      <w:r>
        <w:rPr>
          <w:rFonts w:ascii="Times New Roman" w:hAnsi="Times New Roman" w:cs="Times New Roman"/>
          <w:color w:val="auto"/>
          <w:szCs w:val="18"/>
          <w:highlight w:val="none"/>
        </w:rPr>
        <w:fldChar w:fldCharType="end"/>
      </w:r>
      <w:r>
        <w:rPr>
          <w:rFonts w:ascii="Times New Roman" w:hAnsi="Times New Roman" w:cs="Times New Roman"/>
          <w:color w:val="auto"/>
          <w:szCs w:val="18"/>
          <w:highlight w:val="none"/>
        </w:rPr>
        <w:noBreakHyphen/>
      </w:r>
      <w:r>
        <w:rPr>
          <w:rFonts w:ascii="Times New Roman" w:hAnsi="Times New Roman" w:cs="Times New Roman"/>
          <w:color w:val="auto"/>
          <w:szCs w:val="18"/>
          <w:highlight w:val="none"/>
        </w:rPr>
        <w:t>5</w:t>
      </w:r>
      <w:r>
        <w:rPr>
          <w:rFonts w:ascii="Times New Roman" w:hAnsi="Times New Roman" w:cs="Times New Roman"/>
          <w:color w:val="auto"/>
          <w:highlight w:val="none"/>
        </w:rPr>
        <w:fldChar w:fldCharType="end"/>
      </w:r>
      <w:r>
        <w:rPr>
          <w:rFonts w:ascii="Times New Roman" w:hAnsi="Times New Roman" w:cs="Times New Roman"/>
          <w:color w:val="auto"/>
          <w:highlight w:val="none"/>
        </w:rPr>
        <w:t>，本项目涉及环境风险的风险源和风险单元主要为</w:t>
      </w:r>
      <w:r>
        <w:rPr>
          <w:rFonts w:hint="eastAsia" w:ascii="Times New Roman" w:hAnsi="Times New Roman" w:cs="Times New Roman"/>
          <w:color w:val="auto"/>
          <w:highlight w:val="none"/>
          <w:lang w:eastAsia="zh-CN"/>
        </w:rPr>
        <w:t>危险品仓库</w:t>
      </w:r>
      <w:r>
        <w:rPr>
          <w:rFonts w:ascii="Times New Roman" w:hAnsi="Times New Roman" w:cs="Times New Roman"/>
          <w:color w:val="auto"/>
          <w:highlight w:val="none"/>
        </w:rPr>
        <w:t>、</w:t>
      </w:r>
      <w:r>
        <w:rPr>
          <w:rFonts w:hint="eastAsia" w:ascii="Times New Roman" w:hAnsi="Times New Roman" w:cs="Times New Roman"/>
          <w:color w:val="auto"/>
          <w:highlight w:val="none"/>
          <w:lang w:eastAsia="zh-CN"/>
        </w:rPr>
        <w:t>防爆间</w:t>
      </w:r>
      <w:r>
        <w:rPr>
          <w:rFonts w:hint="eastAsia" w:ascii="Times New Roman" w:hAnsi="Times New Roman" w:cs="Times New Roman"/>
          <w:color w:val="auto"/>
          <w:highlight w:val="none"/>
        </w:rPr>
        <w:t>、化学试剂柜、成品仓库</w:t>
      </w:r>
      <w:r>
        <w:rPr>
          <w:rFonts w:ascii="Times New Roman" w:hAnsi="Times New Roman" w:cs="Times New Roman"/>
          <w:color w:val="auto"/>
          <w:highlight w:val="none"/>
        </w:rPr>
        <w:t>的贮存的危险物质原料、危废仓库</w:t>
      </w:r>
      <w:r>
        <w:rPr>
          <w:rFonts w:hint="eastAsia" w:ascii="Times New Roman" w:hAnsi="Times New Roman" w:cs="Times New Roman"/>
          <w:color w:val="auto"/>
          <w:highlight w:val="none"/>
        </w:rPr>
        <w:t>、废液储罐</w:t>
      </w:r>
      <w:r>
        <w:rPr>
          <w:rFonts w:ascii="Times New Roman" w:hAnsi="Times New Roman" w:cs="Times New Roman"/>
          <w:color w:val="auto"/>
          <w:highlight w:val="none"/>
        </w:rPr>
        <w:t>贮存的危废、生产车间各生产设备内的危险物质物料、废气处理设施等，企业应对环境风险单元设置风险源监控，并建立应急监测系统，实现事故预警和快速应急监测、跟踪。具体环境风险防范措施和事故应急处理措施主要如下：</w:t>
      </w:r>
    </w:p>
    <w:p w14:paraId="39296566">
      <w:pPr>
        <w:tabs>
          <w:tab w:val="left" w:pos="0"/>
          <w:tab w:val="left" w:pos="1123"/>
        </w:tabs>
        <w:adjustRightInd w:val="0"/>
        <w:snapToGrid w:val="0"/>
        <w:spacing w:line="360" w:lineRule="auto"/>
        <w:ind w:left="-105" w:right="-105" w:firstLine="480" w:firstLineChars="200"/>
        <w:rPr>
          <w:rFonts w:ascii="Times New Roman" w:hAnsi="Times New Roman" w:cs="Times New Roman"/>
          <w:color w:val="auto"/>
          <w:szCs w:val="32"/>
          <w:highlight w:val="none"/>
        </w:rPr>
      </w:pPr>
      <w:r>
        <w:rPr>
          <w:rFonts w:ascii="Times New Roman" w:hAnsi="Times New Roman" w:cs="Times New Roman"/>
          <w:color w:val="auto"/>
          <w:szCs w:val="32"/>
          <w:highlight w:val="none"/>
        </w:rPr>
        <w:t>1）加强管理，建立人员巡检和排查制度，发现环境风险隐患和事故及时报告。</w:t>
      </w:r>
    </w:p>
    <w:p w14:paraId="6CFC3BD4">
      <w:pPr>
        <w:tabs>
          <w:tab w:val="left" w:pos="0"/>
          <w:tab w:val="left" w:pos="1123"/>
        </w:tabs>
        <w:adjustRightInd w:val="0"/>
        <w:snapToGrid w:val="0"/>
        <w:spacing w:line="360" w:lineRule="auto"/>
        <w:ind w:left="-105" w:right="-105" w:firstLine="480" w:firstLineChars="200"/>
        <w:rPr>
          <w:rFonts w:ascii="Times New Roman" w:hAnsi="Times New Roman" w:cs="Times New Roman"/>
          <w:color w:val="auto"/>
          <w:szCs w:val="32"/>
          <w:highlight w:val="none"/>
        </w:rPr>
      </w:pPr>
      <w:r>
        <w:rPr>
          <w:rFonts w:ascii="Times New Roman" w:hAnsi="Times New Roman" w:cs="Times New Roman"/>
          <w:color w:val="auto"/>
          <w:szCs w:val="32"/>
          <w:highlight w:val="none"/>
        </w:rPr>
        <w:t>2）在重点区域安装可燃气体报警和烟雾探测报警装置等监控预警装置，在厂区设置</w:t>
      </w:r>
      <w:r>
        <w:rPr>
          <w:rFonts w:ascii="Times New Roman" w:hAnsi="Times New Roman" w:cs="Times New Roman"/>
          <w:color w:val="auto"/>
          <w:highlight w:val="none"/>
        </w:rPr>
        <w:t>消防及火灾报警系统</w:t>
      </w:r>
      <w:r>
        <w:rPr>
          <w:rFonts w:ascii="Times New Roman" w:hAnsi="Times New Roman" w:cs="Times New Roman"/>
          <w:color w:val="auto"/>
          <w:szCs w:val="32"/>
          <w:highlight w:val="none"/>
        </w:rPr>
        <w:t>，可对泄漏和火灾事故进行监控和预警。</w:t>
      </w:r>
    </w:p>
    <w:p w14:paraId="7CCA823D">
      <w:pPr>
        <w:tabs>
          <w:tab w:val="left" w:pos="0"/>
          <w:tab w:val="left" w:pos="1123"/>
        </w:tabs>
        <w:adjustRightInd w:val="0"/>
        <w:snapToGrid w:val="0"/>
        <w:spacing w:line="360" w:lineRule="auto"/>
        <w:ind w:left="-105" w:right="-105" w:firstLine="480" w:firstLineChars="200"/>
        <w:rPr>
          <w:rFonts w:ascii="Times New Roman" w:hAnsi="Times New Roman" w:cs="Times New Roman"/>
          <w:color w:val="auto"/>
          <w:szCs w:val="32"/>
          <w:highlight w:val="none"/>
        </w:rPr>
      </w:pPr>
      <w:r>
        <w:rPr>
          <w:rFonts w:ascii="Times New Roman" w:hAnsi="Times New Roman" w:cs="Times New Roman"/>
          <w:color w:val="auto"/>
          <w:szCs w:val="32"/>
          <w:highlight w:val="none"/>
        </w:rPr>
        <w:t>3）根据环保要求，安装废气处理设施工况监控装置或废气在线监测装置，发现废气处理设施不正常运行或废气超标排放及时报警。</w:t>
      </w:r>
    </w:p>
    <w:p w14:paraId="1A1F7985">
      <w:pPr>
        <w:tabs>
          <w:tab w:val="left" w:pos="0"/>
          <w:tab w:val="left" w:pos="1123"/>
        </w:tabs>
        <w:adjustRightInd w:val="0"/>
        <w:snapToGrid w:val="0"/>
        <w:spacing w:line="360" w:lineRule="auto"/>
        <w:ind w:left="-105" w:right="-105" w:firstLine="480" w:firstLineChars="200"/>
        <w:rPr>
          <w:rFonts w:ascii="Times New Roman" w:hAnsi="Times New Roman" w:cs="Times New Roman"/>
          <w:color w:val="auto"/>
          <w:szCs w:val="32"/>
          <w:highlight w:val="none"/>
        </w:rPr>
      </w:pPr>
      <w:r>
        <w:rPr>
          <w:rFonts w:ascii="Times New Roman" w:hAnsi="Times New Roman" w:cs="Times New Roman"/>
          <w:color w:val="auto"/>
          <w:szCs w:val="32"/>
          <w:highlight w:val="none"/>
        </w:rPr>
        <w:t>4）设置地下水监控井地下水污染监控体系，包括建立完善的监测制度、配备检测仪器和设备、科学、合理设置地下水污染监控井，及时发现污染、及时控制。一旦发现地下水污染事故，立即启动应急预案。</w:t>
      </w:r>
    </w:p>
    <w:p w14:paraId="35253429">
      <w:pPr>
        <w:tabs>
          <w:tab w:val="left" w:pos="0"/>
          <w:tab w:val="left" w:pos="1123"/>
        </w:tabs>
        <w:adjustRightInd w:val="0"/>
        <w:snapToGrid w:val="0"/>
        <w:spacing w:line="360" w:lineRule="auto"/>
        <w:ind w:left="-105" w:right="-105" w:firstLine="480" w:firstLineChars="200"/>
        <w:rPr>
          <w:rFonts w:ascii="Times New Roman" w:hAnsi="Times New Roman" w:cs="Times New Roman"/>
          <w:color w:val="auto"/>
          <w:szCs w:val="32"/>
          <w:highlight w:val="none"/>
        </w:rPr>
      </w:pPr>
      <w:r>
        <w:rPr>
          <w:rFonts w:ascii="Times New Roman" w:hAnsi="Times New Roman" w:cs="Times New Roman"/>
          <w:color w:val="auto"/>
          <w:szCs w:val="32"/>
          <w:highlight w:val="none"/>
        </w:rPr>
        <w:t>5）根据应急监测要求，企业与有资质的监测单位签订了应急监测协议，发生事故后立即通知监测单位人员进行相关应急监测工作。</w:t>
      </w:r>
    </w:p>
    <w:p w14:paraId="65C615B2">
      <w:pPr>
        <w:tabs>
          <w:tab w:val="left" w:pos="0"/>
          <w:tab w:val="left" w:pos="1123"/>
        </w:tabs>
        <w:adjustRightInd w:val="0"/>
        <w:snapToGrid w:val="0"/>
        <w:spacing w:line="360" w:lineRule="auto"/>
        <w:ind w:left="-105" w:right="-105" w:firstLine="480" w:firstLineChars="200"/>
        <w:rPr>
          <w:rFonts w:ascii="Times New Roman" w:hAnsi="Times New Roman" w:cs="Times New Roman"/>
          <w:color w:val="auto"/>
          <w:szCs w:val="32"/>
          <w:highlight w:val="none"/>
        </w:rPr>
      </w:pPr>
      <w:r>
        <w:rPr>
          <w:rFonts w:ascii="Times New Roman" w:hAnsi="Times New Roman" w:cs="Times New Roman"/>
          <w:color w:val="auto"/>
          <w:szCs w:val="32"/>
          <w:highlight w:val="none"/>
        </w:rPr>
        <w:t>（2）主要应急处置措施</w:t>
      </w:r>
    </w:p>
    <w:p w14:paraId="3BF87A46">
      <w:pPr>
        <w:adjustRightInd w:val="0"/>
        <w:snapToGrid w:val="0"/>
        <w:spacing w:line="360" w:lineRule="auto"/>
        <w:ind w:left="-105" w:right="-105" w:firstLine="480" w:firstLineChars="200"/>
        <w:rPr>
          <w:rFonts w:ascii="Times New Roman" w:hAnsi="Times New Roman" w:cs="Times New Roman"/>
          <w:color w:val="auto"/>
          <w:highlight w:val="none"/>
        </w:rPr>
      </w:pPr>
      <w:r>
        <w:rPr>
          <w:rFonts w:ascii="Times New Roman" w:hAnsi="Times New Roman" w:cs="Times New Roman"/>
          <w:color w:val="auto"/>
          <w:highlight w:val="none"/>
        </w:rPr>
        <w:t>1）化学品发生泄漏：</w:t>
      </w:r>
    </w:p>
    <w:p w14:paraId="6B53B3C9">
      <w:pPr>
        <w:adjustRightInd w:val="0"/>
        <w:snapToGrid w:val="0"/>
        <w:spacing w:line="360" w:lineRule="auto"/>
        <w:ind w:left="-105" w:right="-105" w:firstLine="480" w:firstLineChars="200"/>
        <w:rPr>
          <w:rFonts w:ascii="Times New Roman" w:hAnsi="Times New Roman" w:cs="Times New Roman"/>
          <w:color w:val="auto"/>
          <w:highlight w:val="none"/>
        </w:rPr>
      </w:pPr>
      <w:r>
        <w:rPr>
          <w:rFonts w:ascii="Times New Roman" w:hAnsi="Times New Roman" w:cs="Times New Roman"/>
          <w:color w:val="auto"/>
          <w:highlight w:val="none"/>
        </w:rPr>
        <w:t>少量泄漏时，建议应急处理人员戴防毒面具、耐酸碱手套，将泄漏包装桶内的物料转至干净可封闭的空桶内暂存，优先投入生产使用，用沙土或其它惰性材料对泄漏物进行覆盖，并收集至密闭容器内，收集的泄漏物料及破损废包装桶作危废处置。</w:t>
      </w:r>
    </w:p>
    <w:p w14:paraId="393B27AA">
      <w:pPr>
        <w:adjustRightInd w:val="0"/>
        <w:snapToGrid w:val="0"/>
        <w:spacing w:line="360" w:lineRule="auto"/>
        <w:ind w:left="-105" w:right="-105" w:firstLine="480" w:firstLineChars="200"/>
        <w:rPr>
          <w:rFonts w:ascii="Times New Roman" w:hAnsi="Times New Roman" w:cs="Times New Roman"/>
          <w:color w:val="auto"/>
          <w:highlight w:val="none"/>
        </w:rPr>
      </w:pPr>
      <w:r>
        <w:rPr>
          <w:rFonts w:ascii="Times New Roman" w:hAnsi="Times New Roman" w:cs="Times New Roman"/>
          <w:color w:val="auto"/>
          <w:highlight w:val="none"/>
        </w:rPr>
        <w:t>大量泄漏时，如包装桶侧翻等情况，第一发现人立即疏散泄漏污染区人员至安全区，禁止无关人员进入污染区，切断火源，并上报副总指挥，副总指挥负责现场救援指挥。利用沙袋构筑围挡控制流散范围，设立警戒线，严禁烟火，应急处理人员戴防毒面具，穿化学防护服(完全隔离)，不要直接接触泄漏物，在确保安全情况下处置。</w:t>
      </w:r>
    </w:p>
    <w:p w14:paraId="2E0A3B89">
      <w:pPr>
        <w:widowControl w:val="0"/>
        <w:adjustRightInd w:val="0"/>
        <w:snapToGrid w:val="0"/>
        <w:spacing w:line="360" w:lineRule="auto"/>
        <w:ind w:left="-105" w:right="-105" w:firstLine="480" w:firstLineChars="200"/>
        <w:jc w:val="both"/>
        <w:rPr>
          <w:rFonts w:ascii="Times New Roman" w:hAnsi="Times New Roman" w:cs="Times New Roman"/>
          <w:color w:val="auto"/>
          <w:highlight w:val="none"/>
        </w:rPr>
      </w:pPr>
      <w:r>
        <w:rPr>
          <w:rFonts w:ascii="Times New Roman" w:hAnsi="Times New Roman" w:cs="Times New Roman"/>
          <w:color w:val="auto"/>
          <w:highlight w:val="none"/>
        </w:rPr>
        <w:t>2）</w:t>
      </w:r>
      <w:r>
        <w:rPr>
          <w:rFonts w:hint="eastAsia" w:ascii="Times New Roman" w:hAnsi="Times New Roman" w:cs="Times New Roman"/>
          <w:color w:val="auto"/>
          <w:highlight w:val="none"/>
        </w:rPr>
        <w:t>废液</w:t>
      </w:r>
      <w:r>
        <w:rPr>
          <w:rFonts w:ascii="Times New Roman" w:hAnsi="Times New Roman" w:cs="Times New Roman"/>
          <w:color w:val="auto"/>
          <w:highlight w:val="none"/>
        </w:rPr>
        <w:t>储罐发生泄漏：</w:t>
      </w:r>
    </w:p>
    <w:p w14:paraId="026C5109">
      <w:pPr>
        <w:adjustRightInd w:val="0"/>
        <w:snapToGrid w:val="0"/>
        <w:spacing w:line="360" w:lineRule="auto"/>
        <w:ind w:left="-105" w:right="-105" w:firstLine="480" w:firstLineChars="200"/>
        <w:rPr>
          <w:rFonts w:ascii="Times New Roman" w:hAnsi="Times New Roman" w:cs="Times New Roman"/>
          <w:color w:val="auto"/>
          <w:highlight w:val="none"/>
        </w:rPr>
      </w:pPr>
      <w:r>
        <w:rPr>
          <w:rFonts w:ascii="Times New Roman" w:hAnsi="Times New Roman" w:cs="Times New Roman"/>
          <w:color w:val="auto"/>
          <w:highlight w:val="none"/>
        </w:rPr>
        <w:t>如</w:t>
      </w:r>
      <w:r>
        <w:rPr>
          <w:rFonts w:hint="eastAsia" w:ascii="Times New Roman" w:hAnsi="Times New Roman" w:cs="Times New Roman"/>
          <w:color w:val="auto"/>
          <w:highlight w:val="none"/>
        </w:rPr>
        <w:t>废液</w:t>
      </w:r>
      <w:r>
        <w:rPr>
          <w:rFonts w:ascii="Times New Roman" w:hAnsi="Times New Roman" w:cs="Times New Roman"/>
          <w:color w:val="auto"/>
          <w:highlight w:val="none"/>
        </w:rPr>
        <w:t>储罐出现裂缝、进料管线泵跑冒滴漏等，可利用储罐周边截流沟收集，发现泄漏时，并清理收集沟内泄漏物料，作为危废委外处置；如发生收集沟外溢，第一发现人立即疏散泄漏污染区人员至安全区，并上报副总指挥，副总指挥负责现场救援指挥。利用沙袋构筑围挡控制流散范围，设立警戒线，严禁烟火，应急处理人员戴防护装备，不要直接接触泄漏物，在确保安全情况下处置。</w:t>
      </w:r>
    </w:p>
    <w:p w14:paraId="51B4E639">
      <w:pPr>
        <w:spacing w:line="360" w:lineRule="auto"/>
        <w:ind w:left="-105" w:right="-105" w:firstLine="480" w:firstLineChars="200"/>
        <w:rPr>
          <w:rFonts w:ascii="Times New Roman" w:hAnsi="Times New Roman" w:cs="Times New Roman"/>
          <w:color w:val="auto"/>
          <w:highlight w:val="none"/>
        </w:rPr>
      </w:pPr>
      <w:r>
        <w:rPr>
          <w:rFonts w:hint="eastAsia" w:ascii="Times New Roman" w:hAnsi="Times New Roman" w:cs="Times New Roman"/>
          <w:color w:val="auto"/>
          <w:highlight w:val="none"/>
        </w:rPr>
        <w:t>3</w:t>
      </w:r>
      <w:r>
        <w:rPr>
          <w:rFonts w:ascii="Times New Roman" w:hAnsi="Times New Roman" w:cs="Times New Roman"/>
          <w:color w:val="auto"/>
          <w:highlight w:val="none"/>
        </w:rPr>
        <w:t>）事故废水（主要为消防废水）进入雨水管网</w:t>
      </w:r>
    </w:p>
    <w:p w14:paraId="1B160860">
      <w:pPr>
        <w:spacing w:line="360" w:lineRule="auto"/>
        <w:ind w:left="-105" w:right="-105" w:firstLine="480" w:firstLineChars="200"/>
        <w:rPr>
          <w:rFonts w:ascii="Times New Roman" w:hAnsi="Times New Roman" w:cs="Times New Roman"/>
          <w:color w:val="auto"/>
          <w:highlight w:val="none"/>
        </w:rPr>
      </w:pPr>
      <w:r>
        <w:rPr>
          <w:rFonts w:ascii="Times New Roman" w:hAnsi="Times New Roman" w:cs="Times New Roman"/>
          <w:color w:val="auto"/>
          <w:highlight w:val="none"/>
        </w:rPr>
        <w:t>突发情况下，事故废水进入雨水管网，</w:t>
      </w:r>
      <w:r>
        <w:rPr>
          <w:rFonts w:hint="eastAsia" w:ascii="Times New Roman" w:hAnsi="Times New Roman" w:cs="Times New Roman"/>
          <w:color w:val="auto"/>
          <w:highlight w:val="none"/>
        </w:rPr>
        <w:t>第一时间确认</w:t>
      </w:r>
      <w:r>
        <w:rPr>
          <w:rFonts w:ascii="Times New Roman" w:hAnsi="Times New Roman" w:cs="Times New Roman"/>
          <w:color w:val="auto"/>
          <w:highlight w:val="none"/>
        </w:rPr>
        <w:t>雨水阀门</w:t>
      </w:r>
      <w:r>
        <w:rPr>
          <w:rFonts w:hint="eastAsia" w:ascii="Times New Roman" w:hAnsi="Times New Roman" w:cs="Times New Roman"/>
          <w:color w:val="auto"/>
          <w:highlight w:val="none"/>
        </w:rPr>
        <w:t>是否关闭</w:t>
      </w:r>
      <w:r>
        <w:rPr>
          <w:rFonts w:ascii="Times New Roman" w:hAnsi="Times New Roman" w:cs="Times New Roman"/>
          <w:color w:val="auto"/>
          <w:highlight w:val="none"/>
        </w:rPr>
        <w:t>，将事故废水拦截至厂区范围内；同时应检查是否有事故废水进入河道，当发现有事故废水进入外环境时，估算进入外环境的污水总量，启动Ⅰ级响应程序，并向上级应急指挥中心请求援助。</w:t>
      </w:r>
    </w:p>
    <w:p w14:paraId="0FCF14A7">
      <w:pPr>
        <w:spacing w:line="360" w:lineRule="auto"/>
        <w:ind w:left="-105" w:right="-105" w:firstLine="480" w:firstLineChars="200"/>
        <w:rPr>
          <w:rFonts w:ascii="Times New Roman" w:hAnsi="Times New Roman" w:cs="Times New Roman"/>
          <w:color w:val="auto"/>
          <w:highlight w:val="none"/>
        </w:rPr>
      </w:pPr>
      <w:r>
        <w:rPr>
          <w:rFonts w:ascii="Times New Roman" w:hAnsi="Times New Roman" w:cs="Times New Roman"/>
          <w:color w:val="auto"/>
          <w:highlight w:val="none"/>
        </w:rPr>
        <w:t>待事故处置结束后，将事故废水收集管网等处的废水进行收集，对雨水管网进行洗消，洗消废水一并委外处理。</w:t>
      </w:r>
    </w:p>
    <w:p w14:paraId="04EA935C">
      <w:pPr>
        <w:spacing w:line="360" w:lineRule="auto"/>
        <w:ind w:left="-105" w:right="-105" w:firstLine="480" w:firstLineChars="200"/>
        <w:rPr>
          <w:rFonts w:ascii="Times New Roman" w:hAnsi="Times New Roman" w:cs="Times New Roman"/>
          <w:color w:val="auto"/>
          <w:highlight w:val="none"/>
        </w:rPr>
      </w:pPr>
      <w:r>
        <w:rPr>
          <w:rFonts w:hint="eastAsia" w:ascii="Times New Roman" w:hAnsi="Times New Roman" w:cs="Times New Roman"/>
          <w:color w:val="auto"/>
          <w:highlight w:val="none"/>
        </w:rPr>
        <w:t>4</w:t>
      </w:r>
      <w:r>
        <w:rPr>
          <w:rFonts w:ascii="Times New Roman" w:hAnsi="Times New Roman" w:cs="Times New Roman"/>
          <w:color w:val="auto"/>
          <w:highlight w:val="none"/>
        </w:rPr>
        <w:t>）治污设施故障（含停电情况）应急措施</w:t>
      </w:r>
    </w:p>
    <w:p w14:paraId="54EBE772">
      <w:pPr>
        <w:adjustRightInd w:val="0"/>
        <w:snapToGrid w:val="0"/>
        <w:spacing w:line="360" w:lineRule="auto"/>
        <w:ind w:left="-105" w:right="-105" w:firstLine="480" w:firstLineChars="200"/>
        <w:rPr>
          <w:rFonts w:ascii="Times New Roman" w:hAnsi="Times New Roman" w:cs="Times New Roman"/>
          <w:color w:val="auto"/>
          <w:highlight w:val="none"/>
        </w:rPr>
      </w:pPr>
      <w:r>
        <w:rPr>
          <w:rFonts w:ascii="Times New Roman" w:hAnsi="Times New Roman" w:cs="Times New Roman"/>
          <w:color w:val="auto"/>
          <w:highlight w:val="none"/>
        </w:rPr>
        <w:t>废气治理设施故障</w:t>
      </w:r>
    </w:p>
    <w:p w14:paraId="0FC73852">
      <w:pPr>
        <w:adjustRightInd w:val="0"/>
        <w:snapToGrid w:val="0"/>
        <w:spacing w:line="360" w:lineRule="auto"/>
        <w:ind w:left="-105" w:right="-105" w:firstLine="480" w:firstLineChars="200"/>
        <w:rPr>
          <w:rFonts w:ascii="Times New Roman" w:hAnsi="Times New Roman" w:cs="Times New Roman"/>
          <w:color w:val="auto"/>
          <w:highlight w:val="none"/>
        </w:rPr>
      </w:pPr>
      <w:r>
        <w:rPr>
          <w:rFonts w:ascii="Times New Roman" w:hAnsi="Times New Roman" w:cs="Times New Roman"/>
          <w:color w:val="auto"/>
          <w:highlight w:val="none"/>
        </w:rPr>
        <w:t>立即停止对应生产装置的生产，同时操作人员及时采取防治措施，减少废气排放。通知相关人员检查事故原因并对故障设备进行维修。废气治理设施运行正常后继续生产。</w:t>
      </w:r>
    </w:p>
    <w:p w14:paraId="1326F6F2">
      <w:pPr>
        <w:tabs>
          <w:tab w:val="left" w:pos="0"/>
          <w:tab w:val="left" w:pos="1123"/>
        </w:tabs>
        <w:spacing w:line="360" w:lineRule="auto"/>
        <w:ind w:left="-105" w:right="-105" w:firstLine="480" w:firstLineChars="200"/>
        <w:rPr>
          <w:rFonts w:ascii="Times New Roman" w:hAnsi="Times New Roman" w:cs="Times New Roman"/>
          <w:color w:val="auto"/>
          <w:highlight w:val="none"/>
        </w:rPr>
      </w:pPr>
      <w:r>
        <w:rPr>
          <w:rFonts w:ascii="Times New Roman" w:hAnsi="Times New Roman" w:cs="Times New Roman"/>
          <w:color w:val="auto"/>
          <w:highlight w:val="none"/>
        </w:rPr>
        <w:t>平时加强废气处理设施的维护保养，及时发现处理设备的隐患，并及时进行维修，确保废气处理系统正常运行；建立健全的环保机构，配置必要的监测仪器，对管理人员和技术人员进行岗位培训，对废气处理实行全过程跟踪控制；根据环境风险预测分析结果，事故状态下立即启动厂区应急预案，及时通知厂内人员和周边企业、居民等的疏散。</w:t>
      </w:r>
    </w:p>
    <w:p w14:paraId="6F403FE7">
      <w:pPr>
        <w:spacing w:line="360" w:lineRule="auto"/>
        <w:ind w:left="-105" w:right="-105" w:firstLine="480" w:firstLineChars="200"/>
        <w:rPr>
          <w:rFonts w:ascii="Times New Roman" w:hAnsi="Times New Roman" w:cs="Times New Roman"/>
          <w:color w:val="auto"/>
          <w:highlight w:val="none"/>
        </w:rPr>
      </w:pPr>
      <w:r>
        <w:rPr>
          <w:rFonts w:hint="eastAsia" w:ascii="Times New Roman" w:hAnsi="Times New Roman" w:cs="Times New Roman"/>
          <w:color w:val="auto"/>
          <w:highlight w:val="none"/>
        </w:rPr>
        <w:t>5</w:t>
      </w:r>
      <w:r>
        <w:rPr>
          <w:rFonts w:ascii="Times New Roman" w:hAnsi="Times New Roman" w:cs="Times New Roman"/>
          <w:color w:val="auto"/>
          <w:highlight w:val="none"/>
        </w:rPr>
        <w:t>）固（危）废抛洒/泄漏现场处置措施</w:t>
      </w:r>
    </w:p>
    <w:p w14:paraId="37B5AB5C">
      <w:pPr>
        <w:autoSpaceDE w:val="0"/>
        <w:autoSpaceDN w:val="0"/>
        <w:adjustRightInd w:val="0"/>
        <w:spacing w:line="360" w:lineRule="auto"/>
        <w:ind w:left="-105" w:right="-105" w:firstLine="480" w:firstLineChars="200"/>
        <w:rPr>
          <w:rFonts w:ascii="Times New Roman" w:hAnsi="Times New Roman" w:cs="Times New Roman"/>
          <w:color w:val="auto"/>
          <w:highlight w:val="none"/>
        </w:rPr>
      </w:pPr>
      <w:r>
        <w:rPr>
          <w:rFonts w:hint="eastAsia" w:ascii="Times New Roman" w:hAnsi="Times New Roman" w:cs="Times New Roman"/>
          <w:color w:val="auto"/>
          <w:highlight w:val="none"/>
        </w:rPr>
        <w:t>①</w:t>
      </w:r>
      <w:r>
        <w:rPr>
          <w:rFonts w:ascii="Times New Roman" w:hAnsi="Times New Roman" w:cs="Times New Roman"/>
          <w:color w:val="auto"/>
          <w:highlight w:val="none"/>
        </w:rPr>
        <w:t>装车过程发现有固体废弃物抛洒现象，由现场员工负责处置；</w:t>
      </w:r>
    </w:p>
    <w:p w14:paraId="0E971694">
      <w:pPr>
        <w:autoSpaceDE w:val="0"/>
        <w:autoSpaceDN w:val="0"/>
        <w:adjustRightInd w:val="0"/>
        <w:spacing w:line="360" w:lineRule="auto"/>
        <w:ind w:left="-105" w:right="-105" w:firstLine="480" w:firstLineChars="200"/>
        <w:rPr>
          <w:rFonts w:ascii="Times New Roman" w:hAnsi="Times New Roman" w:cs="Times New Roman"/>
          <w:color w:val="auto"/>
          <w:highlight w:val="none"/>
        </w:rPr>
      </w:pPr>
      <w:r>
        <w:rPr>
          <w:rFonts w:hint="eastAsia" w:ascii="Times New Roman" w:hAnsi="Times New Roman" w:cs="Times New Roman"/>
          <w:color w:val="auto"/>
          <w:highlight w:val="none"/>
        </w:rPr>
        <w:t>②</w:t>
      </w:r>
      <w:r>
        <w:rPr>
          <w:rFonts w:ascii="Times New Roman" w:hAnsi="Times New Roman" w:cs="Times New Roman"/>
          <w:color w:val="auto"/>
          <w:highlight w:val="none"/>
        </w:rPr>
        <w:t>用铲子将抛洒的物料装入车内；</w:t>
      </w:r>
    </w:p>
    <w:p w14:paraId="0C7E2C4B">
      <w:pPr>
        <w:autoSpaceDE w:val="0"/>
        <w:autoSpaceDN w:val="0"/>
        <w:adjustRightInd w:val="0"/>
        <w:spacing w:line="360" w:lineRule="auto"/>
        <w:ind w:left="-105" w:right="-105" w:firstLine="480" w:firstLineChars="200"/>
        <w:rPr>
          <w:rFonts w:ascii="Times New Roman" w:hAnsi="Times New Roman" w:cs="Times New Roman"/>
          <w:b/>
          <w:bCs/>
          <w:color w:val="auto"/>
          <w:highlight w:val="none"/>
        </w:rPr>
      </w:pPr>
      <w:r>
        <w:rPr>
          <w:rFonts w:hint="eastAsia" w:ascii="Times New Roman" w:hAnsi="Times New Roman" w:cs="Times New Roman"/>
          <w:color w:val="auto"/>
          <w:highlight w:val="none"/>
        </w:rPr>
        <w:t>③</w:t>
      </w:r>
      <w:r>
        <w:rPr>
          <w:rFonts w:ascii="Times New Roman" w:hAnsi="Times New Roman" w:cs="Times New Roman"/>
          <w:color w:val="auto"/>
          <w:highlight w:val="none"/>
        </w:rPr>
        <w:t>处置结束后，对沾染污染物的铲子等进行清洗，清洗液可倒入抛洒的固废中委外处置。</w:t>
      </w:r>
    </w:p>
    <w:p w14:paraId="4F888143">
      <w:pPr>
        <w:tabs>
          <w:tab w:val="left" w:pos="0"/>
          <w:tab w:val="left" w:pos="1123"/>
        </w:tabs>
        <w:spacing w:line="360" w:lineRule="auto"/>
        <w:ind w:left="-105" w:right="-105" w:firstLine="480" w:firstLineChars="200"/>
        <w:rPr>
          <w:rFonts w:ascii="Times New Roman" w:hAnsi="Times New Roman" w:cs="Times New Roman"/>
          <w:color w:val="auto"/>
          <w:highlight w:val="none"/>
        </w:rPr>
      </w:pPr>
      <w:r>
        <w:rPr>
          <w:rFonts w:ascii="Times New Roman" w:hAnsi="Times New Roman" w:cs="Times New Roman"/>
          <w:color w:val="auto"/>
          <w:highlight w:val="none"/>
        </w:rPr>
        <w:t>加强日常管理，加强对各种危废的管理工作，按照危险废物管理办法的有关规定，严格执行。加强危险固废临时贮存、运输、处置等各个环节的管理工作，坚决做到环环有记录，环环有量的概念，杜绝其量的减少和流失。危废仓库配备一定数量空桶，用于应对可能的泄漏事故。</w:t>
      </w:r>
    </w:p>
    <w:p w14:paraId="5A5A9C55">
      <w:pPr>
        <w:spacing w:line="360" w:lineRule="auto"/>
        <w:ind w:left="-105" w:right="-105" w:firstLine="480" w:firstLineChars="200"/>
        <w:rPr>
          <w:rFonts w:ascii="Times New Roman" w:hAnsi="Times New Roman" w:cs="Times New Roman"/>
          <w:color w:val="auto"/>
          <w:highlight w:val="none"/>
        </w:rPr>
      </w:pPr>
      <w:r>
        <w:rPr>
          <w:rFonts w:hint="eastAsia" w:ascii="Times New Roman" w:hAnsi="Times New Roman" w:cs="Times New Roman"/>
          <w:color w:val="auto"/>
          <w:highlight w:val="none"/>
        </w:rPr>
        <w:t>6</w:t>
      </w:r>
      <w:r>
        <w:rPr>
          <w:rFonts w:ascii="Times New Roman" w:hAnsi="Times New Roman" w:cs="Times New Roman"/>
          <w:color w:val="auto"/>
          <w:highlight w:val="none"/>
        </w:rPr>
        <w:t>）火灾事故应急措施</w:t>
      </w:r>
    </w:p>
    <w:p w14:paraId="4BBDD67C">
      <w:pPr>
        <w:adjustRightInd w:val="0"/>
        <w:snapToGrid w:val="0"/>
        <w:spacing w:line="360" w:lineRule="auto"/>
        <w:ind w:left="-105" w:right="-105" w:firstLine="480" w:firstLineChars="200"/>
        <w:rPr>
          <w:rFonts w:ascii="Times New Roman" w:hAnsi="Times New Roman" w:cs="Times New Roman"/>
          <w:color w:val="auto"/>
          <w:highlight w:val="none"/>
        </w:rPr>
      </w:pPr>
      <w:r>
        <w:rPr>
          <w:rFonts w:ascii="Times New Roman" w:hAnsi="Times New Roman" w:cs="Times New Roman"/>
          <w:color w:val="auto"/>
          <w:highlight w:val="none"/>
        </w:rPr>
        <w:t>在作业过程中一旦发生火灾，做到立即报警，停止生产并且充分发挥整体组织功能，在确保人身安全的前提下，用身边的消防器材将灾害减到最低程度，避免火势扩大殃及周围危险场所。</w:t>
      </w:r>
    </w:p>
    <w:p w14:paraId="757C2A5E">
      <w:pPr>
        <w:adjustRightInd w:val="0"/>
        <w:snapToGrid w:val="0"/>
        <w:spacing w:line="360" w:lineRule="auto"/>
        <w:ind w:left="-105" w:right="-105" w:firstLine="480" w:firstLineChars="200"/>
        <w:rPr>
          <w:rFonts w:ascii="Times New Roman" w:hAnsi="Times New Roman" w:cs="Times New Roman"/>
          <w:color w:val="auto"/>
          <w:highlight w:val="none"/>
        </w:rPr>
      </w:pPr>
      <w:r>
        <w:rPr>
          <w:rFonts w:ascii="Times New Roman" w:hAnsi="Times New Roman" w:cs="Times New Roman"/>
          <w:color w:val="auto"/>
          <w:highlight w:val="none"/>
        </w:rPr>
        <w:t>如果是电气设备燃烧，应先切断电源，用二氧化碳、干粉灭火器灭火，禁止用水灭火。</w:t>
      </w:r>
    </w:p>
    <w:p w14:paraId="0621EC5F">
      <w:pPr>
        <w:adjustRightInd w:val="0"/>
        <w:snapToGrid w:val="0"/>
        <w:spacing w:line="360" w:lineRule="auto"/>
        <w:ind w:left="-105" w:right="-105" w:firstLine="480" w:firstLineChars="200"/>
        <w:rPr>
          <w:rFonts w:ascii="Times New Roman" w:hAnsi="Times New Roman" w:cs="Times New Roman"/>
          <w:color w:val="auto"/>
          <w:highlight w:val="none"/>
        </w:rPr>
      </w:pPr>
      <w:r>
        <w:rPr>
          <w:rFonts w:ascii="Times New Roman" w:hAnsi="Times New Roman" w:cs="Times New Roman"/>
          <w:color w:val="auto"/>
          <w:highlight w:val="none"/>
        </w:rPr>
        <w:t>应急指挥组迅速电话通知所有的应急救援队伍人员到着火区域上风口集合了解分析情况，疏散无关人员至安全区，并分析和确定火灾原因，采取相应措施进行扑救。</w:t>
      </w:r>
    </w:p>
    <w:p w14:paraId="1037DB10">
      <w:pPr>
        <w:adjustRightInd w:val="0"/>
        <w:snapToGrid w:val="0"/>
        <w:spacing w:line="360" w:lineRule="auto"/>
        <w:ind w:left="-105" w:right="-105" w:firstLine="480" w:firstLineChars="200"/>
        <w:rPr>
          <w:rFonts w:ascii="Times New Roman" w:hAnsi="Times New Roman" w:cs="Times New Roman"/>
          <w:color w:val="auto"/>
          <w:highlight w:val="none"/>
        </w:rPr>
      </w:pPr>
      <w:r>
        <w:rPr>
          <w:rFonts w:ascii="Times New Roman" w:hAnsi="Times New Roman" w:cs="Times New Roman"/>
          <w:color w:val="auto"/>
          <w:highlight w:val="none"/>
        </w:rPr>
        <w:t>扑救时人站在上风位置，顺序前进。当火势趋盛、无法靠自身力量扑救和控制时，职工应立即疏散撤离，并对人员进行清点，留下主控人员对系统进行手动控制，停止系统运行。</w:t>
      </w:r>
    </w:p>
    <w:p w14:paraId="4005D295">
      <w:pPr>
        <w:adjustRightInd w:val="0"/>
        <w:snapToGrid w:val="0"/>
        <w:spacing w:line="360" w:lineRule="auto"/>
        <w:ind w:left="-105" w:right="-105" w:firstLine="480" w:firstLineChars="200"/>
        <w:rPr>
          <w:rFonts w:ascii="Times New Roman" w:hAnsi="Times New Roman" w:cs="Times New Roman"/>
          <w:color w:val="auto"/>
          <w:highlight w:val="none"/>
        </w:rPr>
      </w:pPr>
      <w:r>
        <w:rPr>
          <w:rFonts w:ascii="Times New Roman" w:hAnsi="Times New Roman" w:cs="Times New Roman"/>
          <w:color w:val="auto"/>
          <w:highlight w:val="none"/>
        </w:rPr>
        <w:t>其他生产工序人员密切注意本岗情况，加强岗位监督控制，确保其它目标安全生产。</w:t>
      </w:r>
    </w:p>
    <w:p w14:paraId="6B9A78FC">
      <w:pPr>
        <w:adjustRightInd w:val="0"/>
        <w:snapToGrid w:val="0"/>
        <w:spacing w:line="360" w:lineRule="auto"/>
        <w:ind w:left="-105" w:right="-105" w:firstLine="480" w:firstLineChars="200"/>
        <w:rPr>
          <w:rFonts w:ascii="Times New Roman" w:hAnsi="Times New Roman" w:cs="Times New Roman"/>
          <w:color w:val="auto"/>
          <w:highlight w:val="none"/>
        </w:rPr>
      </w:pPr>
      <w:r>
        <w:rPr>
          <w:rFonts w:ascii="Times New Roman" w:hAnsi="Times New Roman" w:cs="Times New Roman"/>
          <w:color w:val="auto"/>
          <w:highlight w:val="none"/>
        </w:rPr>
        <w:t>若使用消防水灭火，消防废水会排入企业厂区内雨水排放管网，因此需确保雨水接管口处于关闭状态，防止流入雨水管网的地面消防废水进入外环境。待事故结束后，通过检测确定事故废水是委托有资质单位处置，还是拖运至污水厂处理。</w:t>
      </w:r>
    </w:p>
    <w:p w14:paraId="49362D7A">
      <w:pPr>
        <w:adjustRightInd w:val="0"/>
        <w:snapToGrid w:val="0"/>
        <w:spacing w:line="360" w:lineRule="auto"/>
        <w:ind w:left="-105" w:right="-105" w:firstLine="480" w:firstLineChars="200"/>
        <w:rPr>
          <w:rFonts w:ascii="Times New Roman" w:hAnsi="Times New Roman" w:cs="Times New Roman"/>
          <w:b/>
          <w:bCs/>
          <w:color w:val="auto"/>
          <w:highlight w:val="none"/>
        </w:rPr>
      </w:pPr>
      <w:r>
        <w:rPr>
          <w:rFonts w:hint="eastAsia" w:ascii="Times New Roman" w:hAnsi="Times New Roman" w:cs="Times New Roman"/>
          <w:color w:val="auto"/>
          <w:highlight w:val="none"/>
        </w:rPr>
        <w:t>7</w:t>
      </w:r>
      <w:r>
        <w:rPr>
          <w:rFonts w:ascii="Times New Roman" w:hAnsi="Times New Roman" w:cs="Times New Roman"/>
          <w:color w:val="auto"/>
          <w:highlight w:val="none"/>
        </w:rPr>
        <w:t>）爆炸事故应急措施</w:t>
      </w:r>
    </w:p>
    <w:p w14:paraId="65FCC27C">
      <w:pPr>
        <w:adjustRightInd w:val="0"/>
        <w:snapToGrid w:val="0"/>
        <w:spacing w:line="360" w:lineRule="auto"/>
        <w:ind w:left="-105" w:right="-105" w:firstLine="480" w:firstLineChars="200"/>
        <w:rPr>
          <w:rFonts w:ascii="Times New Roman" w:hAnsi="Times New Roman" w:cs="Times New Roman"/>
          <w:color w:val="auto"/>
          <w:highlight w:val="none"/>
        </w:rPr>
      </w:pPr>
      <w:r>
        <w:rPr>
          <w:rFonts w:ascii="Times New Roman" w:hAnsi="Times New Roman" w:cs="Times New Roman"/>
          <w:color w:val="auto"/>
          <w:highlight w:val="none"/>
        </w:rPr>
        <w:t>当爆炸事故发生后，现场发现人应立即报告给值班领导，对事故现场进行警戒。值班领导立即报告应急指挥部，应急救援小组立即赶赴现场并拨打报警电话。</w:t>
      </w:r>
    </w:p>
    <w:p w14:paraId="40864EB6">
      <w:pPr>
        <w:adjustRightInd w:val="0"/>
        <w:snapToGrid w:val="0"/>
        <w:spacing w:line="360" w:lineRule="auto"/>
        <w:ind w:left="-105" w:right="-105" w:firstLine="480" w:firstLineChars="200"/>
        <w:rPr>
          <w:rFonts w:ascii="Times New Roman" w:hAnsi="Times New Roman" w:cs="Times New Roman"/>
          <w:color w:val="auto"/>
          <w:highlight w:val="none"/>
        </w:rPr>
      </w:pPr>
      <w:r>
        <w:rPr>
          <w:rFonts w:ascii="Times New Roman" w:hAnsi="Times New Roman" w:cs="Times New Roman"/>
          <w:color w:val="auto"/>
          <w:highlight w:val="none"/>
        </w:rPr>
        <w:t>对可燃气体或易燃原辅材料应用沙石或二氧化碳、干粉等灭火器进行灭火，同时设置隔离带以防火灾事故蔓延。对受伤人员立即实行现场救护，伤势严重的立即送往附近医院。根据事故现场情况，判断是否可能发生再次爆炸，撤离所有人员至安全地带。</w:t>
      </w:r>
    </w:p>
    <w:p w14:paraId="1FFFB1CC">
      <w:pPr>
        <w:adjustRightInd w:val="0"/>
        <w:snapToGrid w:val="0"/>
        <w:spacing w:line="360" w:lineRule="auto"/>
        <w:ind w:left="-105" w:right="-105" w:firstLine="480" w:firstLineChars="200"/>
        <w:rPr>
          <w:rFonts w:ascii="Times New Roman" w:hAnsi="Times New Roman" w:cs="Times New Roman"/>
          <w:color w:val="auto"/>
          <w:highlight w:val="none"/>
        </w:rPr>
      </w:pPr>
      <w:r>
        <w:rPr>
          <w:rFonts w:ascii="Times New Roman" w:hAnsi="Times New Roman" w:cs="Times New Roman"/>
          <w:color w:val="auto"/>
          <w:highlight w:val="none"/>
        </w:rPr>
        <w:t>当爆炸引起建筑物发生坍塌，造成人员被埋、被压的情况，应在确认不会再次发生同类事故的前提下，立即组织人员进行抢救受伤人员。</w:t>
      </w:r>
    </w:p>
    <w:p w14:paraId="425E3B35">
      <w:pPr>
        <w:adjustRightInd w:val="0"/>
        <w:snapToGrid w:val="0"/>
        <w:spacing w:line="360" w:lineRule="auto"/>
        <w:ind w:left="-105" w:right="-105" w:firstLine="480" w:firstLineChars="200"/>
        <w:rPr>
          <w:rFonts w:ascii="Times New Roman" w:hAnsi="Times New Roman" w:cs="Times New Roman"/>
          <w:b/>
          <w:bCs/>
          <w:color w:val="auto"/>
          <w:highlight w:val="none"/>
        </w:rPr>
      </w:pPr>
      <w:r>
        <w:rPr>
          <w:rFonts w:ascii="Times New Roman" w:hAnsi="Times New Roman" w:cs="Times New Roman"/>
          <w:color w:val="auto"/>
          <w:highlight w:val="none"/>
        </w:rPr>
        <w:t>当发现有人员受伤时，拨打</w:t>
      </w:r>
      <w:r>
        <w:rPr>
          <w:rFonts w:hint="eastAsia" w:ascii="Times New Roman" w:hAnsi="Times New Roman" w:cs="Times New Roman"/>
          <w:color w:val="auto"/>
          <w:highlight w:val="none"/>
        </w:rPr>
        <w:t>“</w:t>
      </w:r>
      <w:r>
        <w:rPr>
          <w:rFonts w:ascii="Times New Roman" w:hAnsi="Times New Roman" w:cs="Times New Roman"/>
          <w:color w:val="auto"/>
          <w:highlight w:val="none"/>
        </w:rPr>
        <w:t>120</w:t>
      </w:r>
      <w:r>
        <w:rPr>
          <w:rFonts w:hint="eastAsia" w:ascii="Times New Roman" w:hAnsi="Times New Roman" w:cs="Times New Roman"/>
          <w:color w:val="auto"/>
          <w:highlight w:val="none"/>
        </w:rPr>
        <w:t>”</w:t>
      </w:r>
      <w:r>
        <w:rPr>
          <w:rFonts w:ascii="Times New Roman" w:hAnsi="Times New Roman" w:cs="Times New Roman"/>
          <w:color w:val="auto"/>
          <w:highlight w:val="none"/>
        </w:rPr>
        <w:t>向当地急救中心取得联系，详细说明事故地点、严重程度、联系电话，并派人到路口接应。</w:t>
      </w:r>
    </w:p>
    <w:p w14:paraId="29634B0E">
      <w:pPr>
        <w:pStyle w:val="5"/>
        <w:keepLines w:val="0"/>
        <w:numPr>
          <w:ilvl w:val="0"/>
          <w:numId w:val="0"/>
        </w:numPr>
        <w:tabs>
          <w:tab w:val="left" w:pos="141"/>
          <w:tab w:val="left" w:pos="567"/>
          <w:tab w:val="left" w:pos="709"/>
        </w:tabs>
        <w:spacing w:before="120" w:beforeLines="50" w:after="120" w:afterLines="50" w:line="360" w:lineRule="auto"/>
        <w:ind w:right="-105"/>
        <w:rPr>
          <w:rFonts w:eastAsia="宋体"/>
          <w:color w:val="auto"/>
          <w:sz w:val="28"/>
          <w:szCs w:val="28"/>
          <w:highlight w:val="none"/>
        </w:rPr>
      </w:pPr>
      <w:r>
        <w:rPr>
          <w:rFonts w:hint="eastAsia" w:eastAsia="宋体"/>
          <w:color w:val="auto"/>
          <w:sz w:val="28"/>
          <w:szCs w:val="28"/>
          <w:highlight w:val="none"/>
        </w:rPr>
        <w:t>7.6.8</w:t>
      </w:r>
      <w:r>
        <w:rPr>
          <w:rFonts w:eastAsia="宋体"/>
          <w:color w:val="auto"/>
          <w:sz w:val="28"/>
          <w:szCs w:val="28"/>
          <w:highlight w:val="none"/>
        </w:rPr>
        <w:t>周边敏感目标风险防范措施</w:t>
      </w:r>
    </w:p>
    <w:p w14:paraId="549CE160">
      <w:pPr>
        <w:tabs>
          <w:tab w:val="left" w:pos="0"/>
          <w:tab w:val="left" w:pos="1123"/>
        </w:tabs>
        <w:spacing w:line="360" w:lineRule="auto"/>
        <w:ind w:left="-105" w:right="-105" w:firstLine="480" w:firstLineChars="200"/>
        <w:rPr>
          <w:rFonts w:ascii="Times New Roman" w:hAnsi="Times New Roman" w:cs="Times New Roman"/>
          <w:color w:val="auto"/>
          <w:highlight w:val="none"/>
        </w:rPr>
      </w:pPr>
      <w:r>
        <w:rPr>
          <w:rFonts w:ascii="Times New Roman" w:hAnsi="Times New Roman" w:cs="Times New Roman"/>
          <w:color w:val="auto"/>
          <w:highlight w:val="none"/>
        </w:rPr>
        <w:fldChar w:fldCharType="begin"/>
      </w:r>
      <w:r>
        <w:rPr>
          <w:rFonts w:ascii="Times New Roman" w:hAnsi="Times New Roman" w:cs="Times New Roman"/>
          <w:color w:val="auto"/>
          <w:highlight w:val="none"/>
        </w:rPr>
        <w:instrText xml:space="preserve"> = 1 \* GB3 </w:instrText>
      </w:r>
      <w:r>
        <w:rPr>
          <w:rFonts w:ascii="Times New Roman" w:hAnsi="Times New Roman" w:cs="Times New Roman"/>
          <w:color w:val="auto"/>
          <w:highlight w:val="none"/>
        </w:rPr>
        <w:fldChar w:fldCharType="separate"/>
      </w:r>
      <w:r>
        <w:rPr>
          <w:rFonts w:hint="eastAsia"/>
          <w:color w:val="auto"/>
          <w:highlight w:val="none"/>
        </w:rPr>
        <w:t>①</w:t>
      </w:r>
      <w:r>
        <w:rPr>
          <w:rFonts w:ascii="Times New Roman" w:hAnsi="Times New Roman" w:cs="Times New Roman"/>
          <w:color w:val="auto"/>
          <w:highlight w:val="none"/>
        </w:rPr>
        <w:fldChar w:fldCharType="end"/>
      </w:r>
      <w:r>
        <w:rPr>
          <w:rFonts w:ascii="Times New Roman" w:hAnsi="Times New Roman" w:cs="Times New Roman"/>
          <w:color w:val="auto"/>
          <w:highlight w:val="none"/>
        </w:rPr>
        <w:t>建立健全的监控预警措施，落实各项提醒周边公众紧急疏散的措施和手段等。</w:t>
      </w:r>
    </w:p>
    <w:p w14:paraId="30D8F4B4">
      <w:pPr>
        <w:tabs>
          <w:tab w:val="left" w:pos="0"/>
          <w:tab w:val="left" w:pos="1123"/>
        </w:tabs>
        <w:spacing w:line="360" w:lineRule="auto"/>
        <w:ind w:left="-105" w:right="-105" w:firstLine="480" w:firstLineChars="200"/>
        <w:rPr>
          <w:rFonts w:ascii="Times New Roman" w:hAnsi="Times New Roman" w:cs="Times New Roman"/>
          <w:color w:val="auto"/>
          <w:highlight w:val="none"/>
        </w:rPr>
      </w:pPr>
      <w:r>
        <w:rPr>
          <w:rFonts w:ascii="Times New Roman" w:hAnsi="Times New Roman" w:cs="Times New Roman"/>
          <w:color w:val="auto"/>
          <w:highlight w:val="none"/>
        </w:rPr>
        <w:fldChar w:fldCharType="begin"/>
      </w:r>
      <w:r>
        <w:rPr>
          <w:rFonts w:ascii="Times New Roman" w:hAnsi="Times New Roman" w:cs="Times New Roman"/>
          <w:color w:val="auto"/>
          <w:highlight w:val="none"/>
        </w:rPr>
        <w:instrText xml:space="preserve"> = 2 \* GB3 </w:instrText>
      </w:r>
      <w:r>
        <w:rPr>
          <w:rFonts w:ascii="Times New Roman" w:hAnsi="Times New Roman" w:cs="Times New Roman"/>
          <w:color w:val="auto"/>
          <w:highlight w:val="none"/>
        </w:rPr>
        <w:fldChar w:fldCharType="separate"/>
      </w:r>
      <w:r>
        <w:rPr>
          <w:rFonts w:hint="eastAsia"/>
          <w:color w:val="auto"/>
          <w:highlight w:val="none"/>
        </w:rPr>
        <w:t>②</w:t>
      </w:r>
      <w:r>
        <w:rPr>
          <w:rFonts w:ascii="Times New Roman" w:hAnsi="Times New Roman" w:cs="Times New Roman"/>
          <w:color w:val="auto"/>
          <w:highlight w:val="none"/>
        </w:rPr>
        <w:fldChar w:fldCharType="end"/>
      </w:r>
      <w:r>
        <w:rPr>
          <w:rFonts w:ascii="Times New Roman" w:hAnsi="Times New Roman" w:cs="Times New Roman"/>
          <w:color w:val="auto"/>
          <w:highlight w:val="none"/>
        </w:rPr>
        <w:t>落实环评及批复文件的各项环境风险防控和应急措施要求，确保其有效性。</w:t>
      </w:r>
    </w:p>
    <w:p w14:paraId="0555388B">
      <w:pPr>
        <w:tabs>
          <w:tab w:val="left" w:pos="0"/>
          <w:tab w:val="left" w:pos="1123"/>
        </w:tabs>
        <w:spacing w:line="360" w:lineRule="auto"/>
        <w:ind w:left="-105" w:right="-105" w:firstLine="480" w:firstLineChars="200"/>
        <w:rPr>
          <w:rFonts w:ascii="Times New Roman" w:hAnsi="Times New Roman" w:cs="Times New Roman"/>
          <w:b/>
          <w:bCs/>
          <w:color w:val="auto"/>
          <w:highlight w:val="none"/>
        </w:rPr>
      </w:pPr>
      <w:r>
        <w:rPr>
          <w:rFonts w:hint="eastAsia"/>
          <w:color w:val="auto"/>
          <w:highlight w:val="none"/>
        </w:rPr>
        <w:t>③</w:t>
      </w:r>
      <w:r>
        <w:rPr>
          <w:rFonts w:ascii="Times New Roman" w:hAnsi="Times New Roman" w:cs="Times New Roman"/>
          <w:color w:val="auto"/>
          <w:highlight w:val="none"/>
        </w:rPr>
        <w:t>落实公众教育和信息发布工作，对企业邻近地区开展公众教育、培训和发布有关信息。</w:t>
      </w:r>
    </w:p>
    <w:p w14:paraId="27D53F7D">
      <w:pPr>
        <w:pStyle w:val="5"/>
        <w:keepLines w:val="0"/>
        <w:numPr>
          <w:ilvl w:val="0"/>
          <w:numId w:val="0"/>
        </w:numPr>
        <w:tabs>
          <w:tab w:val="left" w:pos="141"/>
          <w:tab w:val="left" w:pos="567"/>
          <w:tab w:val="left" w:pos="709"/>
        </w:tabs>
        <w:spacing w:before="120" w:beforeLines="50" w:after="120" w:afterLines="50" w:line="360" w:lineRule="auto"/>
        <w:ind w:right="-105"/>
        <w:rPr>
          <w:rFonts w:eastAsia="宋体"/>
          <w:color w:val="auto"/>
          <w:sz w:val="28"/>
          <w:szCs w:val="28"/>
          <w:highlight w:val="none"/>
        </w:rPr>
      </w:pPr>
      <w:bookmarkStart w:id="499" w:name="_Toc13693"/>
      <w:bookmarkStart w:id="500" w:name="_Toc1717"/>
      <w:r>
        <w:rPr>
          <w:rFonts w:hint="eastAsia" w:eastAsia="宋体"/>
          <w:color w:val="auto"/>
          <w:sz w:val="28"/>
          <w:szCs w:val="28"/>
          <w:highlight w:val="none"/>
        </w:rPr>
        <w:t>7.6.9</w:t>
      </w:r>
      <w:r>
        <w:rPr>
          <w:rFonts w:eastAsia="宋体"/>
          <w:color w:val="auto"/>
          <w:sz w:val="28"/>
          <w:szCs w:val="28"/>
          <w:highlight w:val="none"/>
        </w:rPr>
        <w:t>突发环境事件应急预案</w:t>
      </w:r>
      <w:bookmarkEnd w:id="499"/>
      <w:bookmarkEnd w:id="500"/>
    </w:p>
    <w:p w14:paraId="55A158AC">
      <w:pPr>
        <w:tabs>
          <w:tab w:val="left" w:pos="96"/>
          <w:tab w:val="left" w:pos="340"/>
          <w:tab w:val="left" w:pos="890"/>
          <w:tab w:val="left" w:pos="5142"/>
        </w:tabs>
        <w:spacing w:line="360" w:lineRule="auto"/>
        <w:ind w:left="-105" w:right="-105" w:firstLine="480" w:firstLineChars="200"/>
        <w:jc w:val="both"/>
        <w:rPr>
          <w:rFonts w:ascii="Times New Roman" w:hAnsi="Times New Roman" w:cs="Times New Roman"/>
          <w:bCs/>
          <w:color w:val="auto"/>
          <w:highlight w:val="none"/>
        </w:rPr>
      </w:pPr>
      <w:bookmarkStart w:id="501" w:name="_Toc32628"/>
      <w:r>
        <w:rPr>
          <w:rFonts w:ascii="Times New Roman" w:hAnsi="Times New Roman" w:cs="Times New Roman"/>
          <w:bCs/>
          <w:color w:val="auto"/>
          <w:highlight w:val="none"/>
        </w:rPr>
        <w:t>建设单位应根据《突发环境事件应急管理办法》（环境保护部令第34号）、《企业事业单位突发环境事件应急预案备案管理办法（试行）》（环发[2015]4号）、《江苏省突发环境事件应急预案管理办法》（苏环规[2014]2号）、企业突发环境事件风险评估指南（试行）、《企业突发环境事件风险分级方法》（HJ941-2018）、《企事业单位和工业园区突发环境事件应急预案编制导则》（DB32/T3795-2020）等要求编制、完善突发环境事件应急预案并送锡山区生态环境局备案。</w:t>
      </w:r>
      <w:r>
        <w:rPr>
          <w:rFonts w:ascii="Times New Roman" w:hAnsi="Times New Roman" w:cs="Times New Roman"/>
          <w:color w:val="auto"/>
          <w:highlight w:val="none"/>
        </w:rPr>
        <w:t>应急预案应包含以下内容：</w:t>
      </w:r>
    </w:p>
    <w:p w14:paraId="3C6F6B23">
      <w:pPr>
        <w:adjustRightInd w:val="0"/>
        <w:snapToGrid w:val="0"/>
        <w:spacing w:line="360" w:lineRule="auto"/>
        <w:ind w:left="-105" w:right="-105" w:firstLine="480" w:firstLineChars="200"/>
        <w:rPr>
          <w:rFonts w:ascii="Times New Roman" w:hAnsi="Times New Roman" w:cs="Times New Roman"/>
          <w:color w:val="auto"/>
          <w:highlight w:val="none"/>
        </w:rPr>
      </w:pPr>
      <w:r>
        <w:rPr>
          <w:rFonts w:ascii="Times New Roman" w:hAnsi="Times New Roman" w:cs="Times New Roman"/>
          <w:color w:val="auto"/>
          <w:highlight w:val="none"/>
        </w:rPr>
        <w:t>1、预案适用范围</w:t>
      </w:r>
    </w:p>
    <w:p w14:paraId="4335BC23">
      <w:pPr>
        <w:adjustRightInd w:val="0"/>
        <w:snapToGrid w:val="0"/>
        <w:spacing w:line="360" w:lineRule="auto"/>
        <w:ind w:left="-105" w:right="-105" w:firstLine="480" w:firstLineChars="200"/>
        <w:rPr>
          <w:rFonts w:ascii="Times New Roman" w:hAnsi="Times New Roman" w:cs="Times New Roman"/>
          <w:color w:val="auto"/>
          <w:highlight w:val="none"/>
        </w:rPr>
      </w:pPr>
      <w:r>
        <w:rPr>
          <w:rFonts w:ascii="Times New Roman" w:hAnsi="Times New Roman" w:cs="Times New Roman"/>
          <w:color w:val="auto"/>
          <w:highlight w:val="none"/>
        </w:rPr>
        <w:t>2、环境事件分类与分级</w:t>
      </w:r>
    </w:p>
    <w:p w14:paraId="26F810B0">
      <w:pPr>
        <w:adjustRightInd w:val="0"/>
        <w:snapToGrid w:val="0"/>
        <w:spacing w:line="360" w:lineRule="auto"/>
        <w:ind w:left="-105" w:right="-105" w:firstLine="480" w:firstLineChars="200"/>
        <w:rPr>
          <w:rFonts w:ascii="Times New Roman" w:hAnsi="Times New Roman" w:cs="Times New Roman"/>
          <w:color w:val="auto"/>
          <w:highlight w:val="none"/>
        </w:rPr>
      </w:pPr>
      <w:r>
        <w:rPr>
          <w:rFonts w:ascii="Times New Roman" w:hAnsi="Times New Roman" w:cs="Times New Roman"/>
          <w:color w:val="auto"/>
          <w:highlight w:val="none"/>
        </w:rPr>
        <w:t>3、组织机构及职责</w:t>
      </w:r>
    </w:p>
    <w:p w14:paraId="158E9662">
      <w:pPr>
        <w:adjustRightInd w:val="0"/>
        <w:snapToGrid w:val="0"/>
        <w:spacing w:line="360" w:lineRule="auto"/>
        <w:ind w:left="-105" w:right="-105" w:firstLine="480" w:firstLineChars="200"/>
        <w:rPr>
          <w:rFonts w:ascii="Times New Roman" w:hAnsi="Times New Roman" w:cs="Times New Roman"/>
          <w:color w:val="auto"/>
          <w:highlight w:val="none"/>
        </w:rPr>
      </w:pPr>
      <w:r>
        <w:rPr>
          <w:rFonts w:ascii="Times New Roman" w:hAnsi="Times New Roman" w:cs="Times New Roman"/>
          <w:color w:val="auto"/>
          <w:highlight w:val="none"/>
        </w:rPr>
        <w:t>4、监控和预警</w:t>
      </w:r>
    </w:p>
    <w:p w14:paraId="4C23FF1B">
      <w:pPr>
        <w:adjustRightInd w:val="0"/>
        <w:snapToGrid w:val="0"/>
        <w:spacing w:line="360" w:lineRule="auto"/>
        <w:ind w:left="-105" w:right="-105" w:firstLine="480" w:firstLineChars="200"/>
        <w:rPr>
          <w:rFonts w:ascii="Times New Roman" w:hAnsi="Times New Roman" w:cs="Times New Roman"/>
          <w:color w:val="auto"/>
          <w:highlight w:val="none"/>
        </w:rPr>
      </w:pPr>
      <w:r>
        <w:rPr>
          <w:rFonts w:ascii="Times New Roman" w:hAnsi="Times New Roman" w:cs="Times New Roman"/>
          <w:color w:val="auto"/>
          <w:highlight w:val="none"/>
        </w:rPr>
        <w:t>5、应急响应</w:t>
      </w:r>
    </w:p>
    <w:p w14:paraId="0906BEA0">
      <w:pPr>
        <w:adjustRightInd w:val="0"/>
        <w:snapToGrid w:val="0"/>
        <w:spacing w:line="360" w:lineRule="auto"/>
        <w:ind w:left="-105" w:right="-105" w:firstLine="480" w:firstLineChars="200"/>
        <w:rPr>
          <w:rFonts w:ascii="Times New Roman" w:hAnsi="Times New Roman" w:cs="Times New Roman"/>
          <w:color w:val="auto"/>
          <w:highlight w:val="none"/>
        </w:rPr>
      </w:pPr>
      <w:r>
        <w:rPr>
          <w:rFonts w:ascii="Times New Roman" w:hAnsi="Times New Roman" w:cs="Times New Roman"/>
          <w:color w:val="auto"/>
          <w:highlight w:val="none"/>
        </w:rPr>
        <w:t>6、应急保障</w:t>
      </w:r>
    </w:p>
    <w:p w14:paraId="64888AE5">
      <w:pPr>
        <w:adjustRightInd w:val="0"/>
        <w:snapToGrid w:val="0"/>
        <w:spacing w:line="360" w:lineRule="auto"/>
        <w:ind w:left="-105" w:right="-105" w:firstLine="480" w:firstLineChars="200"/>
        <w:rPr>
          <w:rFonts w:ascii="Times New Roman" w:hAnsi="Times New Roman" w:cs="Times New Roman"/>
          <w:color w:val="auto"/>
          <w:highlight w:val="none"/>
        </w:rPr>
      </w:pPr>
      <w:r>
        <w:rPr>
          <w:rFonts w:ascii="Times New Roman" w:hAnsi="Times New Roman" w:cs="Times New Roman"/>
          <w:color w:val="auto"/>
          <w:highlight w:val="none"/>
        </w:rPr>
        <w:t>7、善后处置</w:t>
      </w:r>
    </w:p>
    <w:p w14:paraId="01D11BEA">
      <w:pPr>
        <w:adjustRightInd w:val="0"/>
        <w:snapToGrid w:val="0"/>
        <w:spacing w:line="360" w:lineRule="auto"/>
        <w:ind w:left="-105" w:right="-105" w:firstLine="480" w:firstLineChars="200"/>
        <w:rPr>
          <w:rFonts w:ascii="Times New Roman" w:hAnsi="Times New Roman" w:cs="Times New Roman"/>
          <w:color w:val="auto"/>
          <w:highlight w:val="none"/>
        </w:rPr>
      </w:pPr>
      <w:r>
        <w:rPr>
          <w:rFonts w:ascii="Times New Roman" w:hAnsi="Times New Roman" w:cs="Times New Roman"/>
          <w:color w:val="auto"/>
          <w:highlight w:val="none"/>
        </w:rPr>
        <w:t>8、预案管理与演练</w:t>
      </w:r>
    </w:p>
    <w:p w14:paraId="13E074F5">
      <w:pPr>
        <w:tabs>
          <w:tab w:val="left" w:pos="0"/>
          <w:tab w:val="left" w:pos="1123"/>
        </w:tabs>
        <w:adjustRightInd w:val="0"/>
        <w:snapToGrid w:val="0"/>
        <w:spacing w:line="360" w:lineRule="auto"/>
        <w:ind w:left="-105" w:right="-105" w:firstLine="480" w:firstLineChars="200"/>
        <w:rPr>
          <w:rFonts w:ascii="Times New Roman" w:hAnsi="Times New Roman" w:cs="Times New Roman"/>
          <w:color w:val="auto"/>
          <w:highlight w:val="none"/>
        </w:rPr>
      </w:pPr>
      <w:r>
        <w:rPr>
          <w:rFonts w:ascii="Times New Roman" w:hAnsi="Times New Roman" w:cs="Times New Roman"/>
          <w:color w:val="auto"/>
          <w:highlight w:val="none"/>
        </w:rPr>
        <w:t>企业应按照《企业突发环境事件隐患排查和治理工作指南(试行)》（环保部第74号公告）的要求制定隐患排查制度，采取自查或委托专业机构排查等方式对</w:t>
      </w:r>
      <w:r>
        <w:rPr>
          <w:rFonts w:hint="eastAsia" w:ascii="Times New Roman" w:hAnsi="Times New Roman" w:cs="Times New Roman"/>
          <w:color w:val="auto"/>
          <w:highlight w:val="none"/>
        </w:rPr>
        <w:t>生产装置、</w:t>
      </w:r>
      <w:r>
        <w:rPr>
          <w:rFonts w:hint="eastAsia" w:ascii="Times New Roman" w:hAnsi="Times New Roman" w:cs="Times New Roman"/>
          <w:color w:val="auto"/>
          <w:highlight w:val="none"/>
          <w:lang w:eastAsia="zh-CN"/>
        </w:rPr>
        <w:t>危险品仓库</w:t>
      </w:r>
      <w:r>
        <w:rPr>
          <w:rFonts w:hint="eastAsia" w:ascii="Times New Roman" w:hAnsi="Times New Roman" w:cs="Times New Roman"/>
          <w:color w:val="auto"/>
          <w:highlight w:val="none"/>
        </w:rPr>
        <w:t>、</w:t>
      </w:r>
      <w:r>
        <w:rPr>
          <w:rFonts w:hint="eastAsia" w:ascii="Times New Roman" w:hAnsi="Times New Roman" w:cs="Times New Roman"/>
          <w:color w:val="auto"/>
          <w:highlight w:val="none"/>
          <w:lang w:eastAsia="zh-CN"/>
        </w:rPr>
        <w:t>防爆间</w:t>
      </w:r>
      <w:r>
        <w:rPr>
          <w:rFonts w:hint="eastAsia" w:ascii="Times New Roman" w:hAnsi="Times New Roman" w:cs="Times New Roman"/>
          <w:color w:val="auto"/>
          <w:highlight w:val="none"/>
        </w:rPr>
        <w:t>、化学试剂柜、成品仓库、危废仓库、废液储罐、废气处理设施</w:t>
      </w:r>
      <w:r>
        <w:rPr>
          <w:rFonts w:ascii="Times New Roman" w:hAnsi="Times New Roman" w:cs="Times New Roman"/>
          <w:color w:val="auto"/>
          <w:highlight w:val="none"/>
        </w:rPr>
        <w:t>等区域开展隐患排查，频次不低于1年/次。并在重点风险区域现场应配置可视化的应急处置卡，例如：</w:t>
      </w:r>
    </w:p>
    <w:p w14:paraId="5101D943">
      <w:pPr>
        <w:pStyle w:val="43"/>
        <w:ind w:left="-105" w:right="-105" w:firstLine="241"/>
        <w:jc w:val="center"/>
        <w:rPr>
          <w:rFonts w:ascii="Times New Roman" w:hAnsi="Times New Roman"/>
          <w:color w:val="auto"/>
          <w:sz w:val="24"/>
          <w:szCs w:val="32"/>
          <w:highlight w:val="none"/>
        </w:rPr>
      </w:pPr>
      <w:r>
        <w:rPr>
          <w:rFonts w:ascii="Times New Roman" w:hAnsi="Times New Roman"/>
          <w:b/>
          <w:bCs/>
          <w:color w:val="auto"/>
          <w:sz w:val="24"/>
          <w:highlight w:val="none"/>
        </w:rPr>
        <w:t>表</w:t>
      </w:r>
      <w:r>
        <w:rPr>
          <w:rFonts w:ascii="Times New Roman" w:hAnsi="Times New Roman"/>
          <w:b/>
          <w:bCs/>
          <w:color w:val="auto"/>
          <w:sz w:val="24"/>
          <w:highlight w:val="none"/>
        </w:rPr>
        <w:fldChar w:fldCharType="begin"/>
      </w:r>
      <w:r>
        <w:rPr>
          <w:rFonts w:ascii="Times New Roman" w:hAnsi="Times New Roman"/>
          <w:b/>
          <w:bCs/>
          <w:color w:val="auto"/>
          <w:sz w:val="24"/>
          <w:highlight w:val="none"/>
        </w:rPr>
        <w:instrText xml:space="preserve"> STYLEREF 2 \s </w:instrText>
      </w:r>
      <w:r>
        <w:rPr>
          <w:rFonts w:ascii="Times New Roman" w:hAnsi="Times New Roman"/>
          <w:b/>
          <w:bCs/>
          <w:color w:val="auto"/>
          <w:sz w:val="24"/>
          <w:highlight w:val="none"/>
        </w:rPr>
        <w:fldChar w:fldCharType="separate"/>
      </w:r>
      <w:r>
        <w:rPr>
          <w:rFonts w:ascii="Times New Roman" w:hAnsi="Times New Roman"/>
          <w:b/>
          <w:bCs/>
          <w:color w:val="auto"/>
          <w:sz w:val="24"/>
          <w:highlight w:val="none"/>
        </w:rPr>
        <w:t>7.6</w:t>
      </w:r>
      <w:r>
        <w:rPr>
          <w:rFonts w:ascii="Times New Roman" w:hAnsi="Times New Roman"/>
          <w:b/>
          <w:bCs/>
          <w:color w:val="auto"/>
          <w:sz w:val="24"/>
          <w:highlight w:val="none"/>
        </w:rPr>
        <w:fldChar w:fldCharType="end"/>
      </w:r>
      <w:r>
        <w:rPr>
          <w:rFonts w:ascii="Times New Roman" w:hAnsi="Times New Roman"/>
          <w:b/>
          <w:bCs/>
          <w:color w:val="auto"/>
          <w:sz w:val="24"/>
          <w:highlight w:val="none"/>
        </w:rPr>
        <w:noBreakHyphen/>
      </w:r>
      <w:r>
        <w:rPr>
          <w:rFonts w:ascii="Times New Roman" w:hAnsi="Times New Roman"/>
          <w:b/>
          <w:bCs/>
          <w:color w:val="auto"/>
          <w:sz w:val="24"/>
          <w:highlight w:val="none"/>
        </w:rPr>
        <w:fldChar w:fldCharType="begin"/>
      </w:r>
      <w:r>
        <w:rPr>
          <w:rFonts w:ascii="Times New Roman" w:hAnsi="Times New Roman"/>
          <w:b/>
          <w:bCs/>
          <w:color w:val="auto"/>
          <w:sz w:val="24"/>
          <w:highlight w:val="none"/>
        </w:rPr>
        <w:instrText xml:space="preserve"> SEQ 表 \* ARABIC \s 2 </w:instrText>
      </w:r>
      <w:r>
        <w:rPr>
          <w:rFonts w:ascii="Times New Roman" w:hAnsi="Times New Roman"/>
          <w:b/>
          <w:bCs/>
          <w:color w:val="auto"/>
          <w:sz w:val="24"/>
          <w:highlight w:val="none"/>
        </w:rPr>
        <w:fldChar w:fldCharType="separate"/>
      </w:r>
      <w:r>
        <w:rPr>
          <w:rFonts w:ascii="Times New Roman" w:hAnsi="Times New Roman"/>
          <w:b/>
          <w:bCs/>
          <w:color w:val="auto"/>
          <w:sz w:val="24"/>
          <w:highlight w:val="none"/>
        </w:rPr>
        <w:t>2</w:t>
      </w:r>
      <w:r>
        <w:rPr>
          <w:rFonts w:ascii="Times New Roman" w:hAnsi="Times New Roman"/>
          <w:b/>
          <w:bCs/>
          <w:color w:val="auto"/>
          <w:sz w:val="24"/>
          <w:highlight w:val="none"/>
        </w:rPr>
        <w:fldChar w:fldCharType="end"/>
      </w:r>
      <w:r>
        <w:rPr>
          <w:rFonts w:hint="eastAsia" w:ascii="Times New Roman" w:hAnsi="Times New Roman"/>
          <w:b/>
          <w:bCs/>
          <w:color w:val="auto"/>
          <w:sz w:val="24"/>
          <w:szCs w:val="32"/>
          <w:highlight w:val="none"/>
          <w:lang w:eastAsia="zh-CN"/>
        </w:rPr>
        <w:t>危险品仓库</w:t>
      </w:r>
      <w:r>
        <w:rPr>
          <w:rFonts w:ascii="Times New Roman" w:hAnsi="Times New Roman"/>
          <w:b/>
          <w:bCs/>
          <w:color w:val="auto"/>
          <w:sz w:val="24"/>
          <w:szCs w:val="32"/>
          <w:highlight w:val="none"/>
        </w:rPr>
        <w:t>现场处置卡</w:t>
      </w:r>
    </w:p>
    <w:tbl>
      <w:tblPr>
        <w:tblStyle w:val="45"/>
        <w:tblW w:w="5000" w:type="pct"/>
        <w:tblInd w:w="0" w:type="dxa"/>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autofit"/>
        <w:tblCellMar>
          <w:top w:w="0" w:type="dxa"/>
          <w:left w:w="0" w:type="dxa"/>
          <w:bottom w:w="0" w:type="dxa"/>
          <w:right w:w="0" w:type="dxa"/>
        </w:tblCellMar>
      </w:tblPr>
      <w:tblGrid>
        <w:gridCol w:w="1487"/>
        <w:gridCol w:w="2133"/>
        <w:gridCol w:w="4884"/>
      </w:tblGrid>
      <w:tr w14:paraId="3A10BD24">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97" w:hRule="atLeast"/>
        </w:trPr>
        <w:tc>
          <w:tcPr>
            <w:tcW w:w="874" w:type="pct"/>
            <w:vAlign w:val="center"/>
          </w:tcPr>
          <w:p w14:paraId="5739463B">
            <w:pPr>
              <w:keepNext w:val="0"/>
              <w:keepLines w:val="0"/>
              <w:pageBreakBefore w:val="0"/>
              <w:widowControl/>
              <w:kinsoku/>
              <w:wordWrap/>
              <w:overflowPunct/>
              <w:topLinePunct w:val="0"/>
              <w:autoSpaceDE/>
              <w:autoSpaceDN/>
              <w:bidi w:val="0"/>
              <w:adjustRightInd w:val="0"/>
              <w:snapToGrid w:val="0"/>
              <w:ind w:left="0" w:right="0"/>
              <w:jc w:val="center"/>
              <w:textAlignment w:val="auto"/>
              <w:rPr>
                <w:rFonts w:ascii="Times New Roman" w:hAnsi="Times New Roman" w:cs="Times New Roman"/>
                <w:bCs/>
                <w:color w:val="auto"/>
                <w:sz w:val="21"/>
                <w:szCs w:val="21"/>
                <w:highlight w:val="none"/>
              </w:rPr>
            </w:pPr>
            <w:r>
              <w:rPr>
                <w:rFonts w:ascii="Times New Roman" w:hAnsi="Times New Roman" w:cs="Times New Roman"/>
                <w:bCs/>
                <w:color w:val="auto"/>
                <w:sz w:val="21"/>
                <w:szCs w:val="21"/>
                <w:highlight w:val="none"/>
              </w:rPr>
              <w:t>岗位名称</w:t>
            </w:r>
          </w:p>
        </w:tc>
        <w:tc>
          <w:tcPr>
            <w:tcW w:w="4125" w:type="pct"/>
            <w:gridSpan w:val="2"/>
            <w:vAlign w:val="center"/>
          </w:tcPr>
          <w:p w14:paraId="5F500FB9">
            <w:pPr>
              <w:keepNext w:val="0"/>
              <w:keepLines w:val="0"/>
              <w:pageBreakBefore w:val="0"/>
              <w:widowControl/>
              <w:kinsoku/>
              <w:wordWrap/>
              <w:overflowPunct/>
              <w:topLinePunct w:val="0"/>
              <w:autoSpaceDE/>
              <w:autoSpaceDN/>
              <w:bidi w:val="0"/>
              <w:adjustRightInd w:val="0"/>
              <w:snapToGrid w:val="0"/>
              <w:ind w:left="0" w:right="0"/>
              <w:jc w:val="center"/>
              <w:textAlignment w:val="auto"/>
              <w:rPr>
                <w:rFonts w:hint="eastAsia" w:ascii="Times New Roman" w:hAnsi="Times New Roman" w:eastAsia="宋体" w:cs="Times New Roman"/>
                <w:bCs/>
                <w:color w:val="auto"/>
                <w:sz w:val="21"/>
                <w:szCs w:val="21"/>
                <w:highlight w:val="none"/>
                <w:lang w:eastAsia="zh-CN"/>
              </w:rPr>
            </w:pPr>
            <w:r>
              <w:rPr>
                <w:rFonts w:hint="eastAsia" w:ascii="Times New Roman" w:hAnsi="Times New Roman" w:cs="Times New Roman"/>
                <w:color w:val="auto"/>
                <w:sz w:val="21"/>
                <w:szCs w:val="21"/>
                <w:highlight w:val="none"/>
                <w:lang w:eastAsia="zh-CN"/>
              </w:rPr>
              <w:t>危险品仓库</w:t>
            </w:r>
          </w:p>
        </w:tc>
      </w:tr>
      <w:tr w14:paraId="31814C9D">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97" w:hRule="atLeast"/>
        </w:trPr>
        <w:tc>
          <w:tcPr>
            <w:tcW w:w="874" w:type="pct"/>
            <w:vAlign w:val="center"/>
          </w:tcPr>
          <w:p w14:paraId="16655786">
            <w:pPr>
              <w:keepNext w:val="0"/>
              <w:keepLines w:val="0"/>
              <w:pageBreakBefore w:val="0"/>
              <w:widowControl/>
              <w:kinsoku/>
              <w:wordWrap/>
              <w:overflowPunct/>
              <w:topLinePunct w:val="0"/>
              <w:autoSpaceDE/>
              <w:autoSpaceDN/>
              <w:bidi w:val="0"/>
              <w:adjustRightInd w:val="0"/>
              <w:snapToGrid w:val="0"/>
              <w:ind w:left="0" w:right="0"/>
              <w:jc w:val="center"/>
              <w:textAlignment w:val="auto"/>
              <w:rPr>
                <w:rFonts w:ascii="Times New Roman" w:hAnsi="Times New Roman" w:cs="Times New Roman"/>
                <w:bCs/>
                <w:color w:val="auto"/>
                <w:sz w:val="21"/>
                <w:szCs w:val="21"/>
                <w:highlight w:val="none"/>
              </w:rPr>
            </w:pPr>
            <w:r>
              <w:rPr>
                <w:rFonts w:ascii="Times New Roman" w:hAnsi="Times New Roman" w:cs="Times New Roman"/>
                <w:bCs/>
                <w:color w:val="auto"/>
                <w:sz w:val="21"/>
                <w:szCs w:val="21"/>
                <w:highlight w:val="none"/>
              </w:rPr>
              <w:t>风险物质</w:t>
            </w:r>
          </w:p>
        </w:tc>
        <w:tc>
          <w:tcPr>
            <w:tcW w:w="4125" w:type="pct"/>
            <w:gridSpan w:val="2"/>
            <w:vAlign w:val="center"/>
          </w:tcPr>
          <w:p w14:paraId="08D6DB2D">
            <w:pPr>
              <w:keepNext w:val="0"/>
              <w:keepLines w:val="0"/>
              <w:pageBreakBefore w:val="0"/>
              <w:widowControl/>
              <w:kinsoku/>
              <w:wordWrap/>
              <w:overflowPunct/>
              <w:topLinePunct w:val="0"/>
              <w:autoSpaceDE/>
              <w:autoSpaceDN/>
              <w:bidi w:val="0"/>
              <w:adjustRightInd w:val="0"/>
              <w:snapToGrid w:val="0"/>
              <w:ind w:left="0" w:right="0"/>
              <w:jc w:val="center"/>
              <w:textAlignment w:val="auto"/>
              <w:rPr>
                <w:rFonts w:ascii="Times New Roman" w:hAnsi="Times New Roman" w:cs="Times New Roman"/>
                <w:bCs/>
                <w:color w:val="auto"/>
                <w:sz w:val="21"/>
                <w:szCs w:val="21"/>
                <w:highlight w:val="none"/>
              </w:rPr>
            </w:pPr>
            <w:r>
              <w:rPr>
                <w:rFonts w:hint="eastAsia" w:ascii="Times New Roman" w:hAnsi="Times New Roman" w:cs="Times New Roman"/>
                <w:color w:val="auto"/>
                <w:sz w:val="21"/>
                <w:szCs w:val="21"/>
                <w:highlight w:val="none"/>
              </w:rPr>
              <w:t>二甲基亚砜、N-甲基吡咯烷酮、四甲基氢氧化铵、2-甲氨基乙醇、邻苯二酚、乙醇胺</w:t>
            </w:r>
            <w:r>
              <w:rPr>
                <w:rFonts w:ascii="Times New Roman" w:hAnsi="Times New Roman" w:cs="Times New Roman"/>
                <w:color w:val="auto"/>
                <w:sz w:val="21"/>
                <w:szCs w:val="21"/>
                <w:highlight w:val="none"/>
              </w:rPr>
              <w:t>等</w:t>
            </w:r>
          </w:p>
        </w:tc>
      </w:tr>
      <w:tr w14:paraId="382EE382">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PrEx>
        <w:trPr>
          <w:trHeight w:val="397" w:hRule="atLeast"/>
        </w:trPr>
        <w:tc>
          <w:tcPr>
            <w:tcW w:w="874" w:type="pct"/>
            <w:vAlign w:val="center"/>
          </w:tcPr>
          <w:p w14:paraId="1993C105">
            <w:pPr>
              <w:keepNext w:val="0"/>
              <w:keepLines w:val="0"/>
              <w:pageBreakBefore w:val="0"/>
              <w:widowControl/>
              <w:kinsoku/>
              <w:wordWrap/>
              <w:overflowPunct/>
              <w:topLinePunct w:val="0"/>
              <w:autoSpaceDE/>
              <w:autoSpaceDN/>
              <w:bidi w:val="0"/>
              <w:adjustRightInd w:val="0"/>
              <w:snapToGrid w:val="0"/>
              <w:ind w:left="0" w:right="0"/>
              <w:jc w:val="center"/>
              <w:textAlignment w:val="auto"/>
              <w:rPr>
                <w:rFonts w:ascii="Times New Roman" w:hAnsi="Times New Roman" w:cs="Times New Roman"/>
                <w:bCs/>
                <w:color w:val="auto"/>
                <w:sz w:val="21"/>
                <w:szCs w:val="21"/>
                <w:highlight w:val="none"/>
              </w:rPr>
            </w:pPr>
            <w:r>
              <w:rPr>
                <w:rFonts w:ascii="Times New Roman" w:hAnsi="Times New Roman" w:cs="Times New Roman"/>
                <w:bCs/>
                <w:color w:val="auto"/>
                <w:sz w:val="21"/>
                <w:szCs w:val="21"/>
                <w:highlight w:val="none"/>
              </w:rPr>
              <w:t>环境风险类型</w:t>
            </w:r>
          </w:p>
        </w:tc>
        <w:tc>
          <w:tcPr>
            <w:tcW w:w="4125" w:type="pct"/>
            <w:gridSpan w:val="2"/>
            <w:vAlign w:val="center"/>
          </w:tcPr>
          <w:p w14:paraId="753039A6">
            <w:pPr>
              <w:keepNext w:val="0"/>
              <w:keepLines w:val="0"/>
              <w:pageBreakBefore w:val="0"/>
              <w:widowControl/>
              <w:kinsoku/>
              <w:wordWrap/>
              <w:overflowPunct/>
              <w:topLinePunct w:val="0"/>
              <w:autoSpaceDE/>
              <w:autoSpaceDN/>
              <w:bidi w:val="0"/>
              <w:adjustRightInd w:val="0"/>
              <w:snapToGrid w:val="0"/>
              <w:ind w:left="0" w:right="0"/>
              <w:jc w:val="center"/>
              <w:textAlignment w:val="auto"/>
              <w:rPr>
                <w:rFonts w:ascii="Times New Roman" w:hAnsi="Times New Roman" w:cs="Times New Roman"/>
                <w:bCs/>
                <w:color w:val="auto"/>
                <w:sz w:val="21"/>
                <w:szCs w:val="21"/>
                <w:highlight w:val="none"/>
              </w:rPr>
            </w:pPr>
            <w:r>
              <w:rPr>
                <w:rFonts w:ascii="Times New Roman" w:hAnsi="Times New Roman" w:cs="Times New Roman"/>
                <w:bCs/>
                <w:color w:val="auto"/>
                <w:sz w:val="21"/>
                <w:szCs w:val="21"/>
                <w:highlight w:val="none"/>
              </w:rPr>
              <w:t>泄漏、火灾、爆炸</w:t>
            </w:r>
          </w:p>
        </w:tc>
      </w:tr>
      <w:tr w14:paraId="19264B23">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PrEx>
        <w:trPr>
          <w:trHeight w:val="397" w:hRule="atLeast"/>
        </w:trPr>
        <w:tc>
          <w:tcPr>
            <w:tcW w:w="874" w:type="pct"/>
            <w:vAlign w:val="center"/>
          </w:tcPr>
          <w:p w14:paraId="60F675A8">
            <w:pPr>
              <w:keepNext w:val="0"/>
              <w:keepLines w:val="0"/>
              <w:pageBreakBefore w:val="0"/>
              <w:widowControl/>
              <w:kinsoku/>
              <w:wordWrap/>
              <w:overflowPunct/>
              <w:topLinePunct w:val="0"/>
              <w:autoSpaceDE/>
              <w:autoSpaceDN/>
              <w:bidi w:val="0"/>
              <w:adjustRightInd w:val="0"/>
              <w:snapToGrid w:val="0"/>
              <w:ind w:left="0" w:right="0"/>
              <w:jc w:val="center"/>
              <w:textAlignment w:val="auto"/>
              <w:rPr>
                <w:rFonts w:ascii="Times New Roman" w:hAnsi="Times New Roman" w:cs="Times New Roman"/>
                <w:bCs/>
                <w:color w:val="auto"/>
                <w:sz w:val="21"/>
                <w:szCs w:val="21"/>
                <w:highlight w:val="none"/>
              </w:rPr>
            </w:pPr>
            <w:r>
              <w:rPr>
                <w:rFonts w:ascii="Times New Roman" w:hAnsi="Times New Roman" w:cs="Times New Roman"/>
                <w:bCs/>
                <w:color w:val="auto"/>
                <w:sz w:val="21"/>
                <w:szCs w:val="21"/>
                <w:highlight w:val="none"/>
              </w:rPr>
              <w:t>应急处置措施</w:t>
            </w:r>
          </w:p>
        </w:tc>
        <w:tc>
          <w:tcPr>
            <w:tcW w:w="4125" w:type="pct"/>
            <w:gridSpan w:val="2"/>
            <w:vAlign w:val="center"/>
          </w:tcPr>
          <w:p w14:paraId="0E02F604">
            <w:pPr>
              <w:keepNext w:val="0"/>
              <w:keepLines w:val="0"/>
              <w:pageBreakBefore w:val="0"/>
              <w:widowControl/>
              <w:kinsoku/>
              <w:wordWrap/>
              <w:overflowPunct/>
              <w:topLinePunct w:val="0"/>
              <w:autoSpaceDE/>
              <w:autoSpaceDN/>
              <w:bidi w:val="0"/>
              <w:adjustRightInd w:val="0"/>
              <w:snapToGrid w:val="0"/>
              <w:ind w:left="0" w:right="0"/>
              <w:textAlignment w:val="auto"/>
              <w:rPr>
                <w:rFonts w:ascii="Times New Roman" w:hAnsi="Times New Roman" w:cs="Times New Roman"/>
                <w:bCs/>
                <w:color w:val="auto"/>
                <w:sz w:val="21"/>
                <w:szCs w:val="21"/>
                <w:highlight w:val="none"/>
              </w:rPr>
            </w:pPr>
            <w:r>
              <w:rPr>
                <w:rFonts w:ascii="Times New Roman" w:hAnsi="Times New Roman" w:cs="Times New Roman"/>
                <w:bCs/>
                <w:color w:val="auto"/>
                <w:sz w:val="21"/>
                <w:szCs w:val="21"/>
                <w:highlight w:val="none"/>
              </w:rPr>
              <w:t>物料泄漏应急处理措施：</w:t>
            </w:r>
          </w:p>
          <w:p w14:paraId="6B5D4E52">
            <w:pPr>
              <w:keepNext w:val="0"/>
              <w:keepLines w:val="0"/>
              <w:pageBreakBefore w:val="0"/>
              <w:widowControl/>
              <w:kinsoku/>
              <w:wordWrap/>
              <w:overflowPunct/>
              <w:topLinePunct w:val="0"/>
              <w:autoSpaceDE/>
              <w:autoSpaceDN/>
              <w:bidi w:val="0"/>
              <w:adjustRightInd w:val="0"/>
              <w:snapToGrid w:val="0"/>
              <w:ind w:left="0" w:right="0"/>
              <w:textAlignment w:val="auto"/>
              <w:rPr>
                <w:rFonts w:ascii="Times New Roman" w:hAnsi="Times New Roman" w:cs="Times New Roman"/>
                <w:bCs/>
                <w:color w:val="auto"/>
                <w:sz w:val="21"/>
                <w:szCs w:val="21"/>
                <w:highlight w:val="none"/>
              </w:rPr>
            </w:pPr>
            <w:r>
              <w:rPr>
                <w:rFonts w:hint="eastAsia"/>
                <w:bCs/>
                <w:color w:val="auto"/>
                <w:sz w:val="21"/>
                <w:szCs w:val="21"/>
                <w:highlight w:val="none"/>
              </w:rPr>
              <w:t>①</w:t>
            </w:r>
            <w:r>
              <w:rPr>
                <w:rFonts w:ascii="Times New Roman" w:hAnsi="Times New Roman" w:cs="Times New Roman"/>
                <w:bCs/>
                <w:color w:val="auto"/>
                <w:sz w:val="21"/>
                <w:szCs w:val="21"/>
                <w:highlight w:val="none"/>
              </w:rPr>
              <w:t>内部污染源控制：根据包装桶破损或侧翻情况进行相应处置，侧翻时及时扶正，破损时立即更换包装，地面废液采用黄沙吸附。</w:t>
            </w:r>
          </w:p>
          <w:p w14:paraId="02B6436A">
            <w:pPr>
              <w:keepNext w:val="0"/>
              <w:keepLines w:val="0"/>
              <w:pageBreakBefore w:val="0"/>
              <w:widowControl/>
              <w:kinsoku/>
              <w:wordWrap/>
              <w:overflowPunct/>
              <w:topLinePunct w:val="0"/>
              <w:autoSpaceDE/>
              <w:autoSpaceDN/>
              <w:bidi w:val="0"/>
              <w:adjustRightInd w:val="0"/>
              <w:snapToGrid w:val="0"/>
              <w:ind w:left="0" w:right="0"/>
              <w:textAlignment w:val="auto"/>
              <w:rPr>
                <w:rFonts w:ascii="Times New Roman" w:hAnsi="Times New Roman" w:cs="Times New Roman"/>
                <w:bCs/>
                <w:color w:val="auto"/>
                <w:sz w:val="21"/>
                <w:szCs w:val="21"/>
                <w:highlight w:val="none"/>
              </w:rPr>
            </w:pPr>
            <w:r>
              <w:rPr>
                <w:rFonts w:hint="eastAsia"/>
                <w:bCs/>
                <w:color w:val="auto"/>
                <w:sz w:val="21"/>
                <w:szCs w:val="21"/>
                <w:highlight w:val="none"/>
              </w:rPr>
              <w:t>②</w:t>
            </w:r>
            <w:r>
              <w:rPr>
                <w:rFonts w:ascii="Times New Roman" w:hAnsi="Times New Roman" w:cs="Times New Roman"/>
                <w:bCs/>
                <w:color w:val="auto"/>
                <w:sz w:val="21"/>
                <w:szCs w:val="21"/>
                <w:highlight w:val="none"/>
              </w:rPr>
              <w:t>污染范围研判：原料仓库内桶装液体发生泄漏时，一般不会流出仓库。</w:t>
            </w:r>
          </w:p>
          <w:p w14:paraId="0A8E9F8B">
            <w:pPr>
              <w:keepNext w:val="0"/>
              <w:keepLines w:val="0"/>
              <w:pageBreakBefore w:val="0"/>
              <w:widowControl/>
              <w:kinsoku/>
              <w:wordWrap/>
              <w:overflowPunct/>
              <w:topLinePunct w:val="0"/>
              <w:autoSpaceDE/>
              <w:autoSpaceDN/>
              <w:bidi w:val="0"/>
              <w:adjustRightInd w:val="0"/>
              <w:snapToGrid w:val="0"/>
              <w:ind w:left="0" w:right="0"/>
              <w:textAlignment w:val="auto"/>
              <w:rPr>
                <w:rFonts w:ascii="Times New Roman" w:hAnsi="Times New Roman" w:cs="Times New Roman"/>
                <w:bCs/>
                <w:color w:val="auto"/>
                <w:sz w:val="21"/>
                <w:szCs w:val="21"/>
                <w:highlight w:val="none"/>
              </w:rPr>
            </w:pPr>
            <w:r>
              <w:rPr>
                <w:rFonts w:hint="eastAsia"/>
                <w:bCs/>
                <w:color w:val="auto"/>
                <w:sz w:val="21"/>
                <w:szCs w:val="21"/>
                <w:highlight w:val="none"/>
              </w:rPr>
              <w:t>③</w:t>
            </w:r>
            <w:r>
              <w:rPr>
                <w:rFonts w:ascii="Times New Roman" w:hAnsi="Times New Roman" w:cs="Times New Roman"/>
                <w:bCs/>
                <w:color w:val="auto"/>
                <w:sz w:val="21"/>
                <w:szCs w:val="21"/>
                <w:highlight w:val="none"/>
              </w:rPr>
              <w:t>污染扩散控制：原料仓库设有防渗漏措施，液体物料发生泄漏时可收集在原料仓库内，只要控制污染源即可；若发生泄漏液流出原料仓库并进入厂区雨水管网时，首先确认雨水切断阀是否处于关闭状态，然后对污染区域雨水管网进行隔绝、管道内物料抽至应急池，并对管网进行冲洗，冲洗水抽至应急池。</w:t>
            </w:r>
          </w:p>
          <w:p w14:paraId="297BE5EA">
            <w:pPr>
              <w:keepNext w:val="0"/>
              <w:keepLines w:val="0"/>
              <w:pageBreakBefore w:val="0"/>
              <w:widowControl/>
              <w:kinsoku/>
              <w:wordWrap/>
              <w:overflowPunct/>
              <w:topLinePunct w:val="0"/>
              <w:autoSpaceDE/>
              <w:autoSpaceDN/>
              <w:bidi w:val="0"/>
              <w:adjustRightInd w:val="0"/>
              <w:snapToGrid w:val="0"/>
              <w:ind w:left="0" w:right="0"/>
              <w:textAlignment w:val="auto"/>
              <w:rPr>
                <w:rFonts w:ascii="Times New Roman" w:hAnsi="Times New Roman" w:cs="Times New Roman"/>
                <w:bCs/>
                <w:color w:val="auto"/>
                <w:sz w:val="21"/>
                <w:szCs w:val="21"/>
                <w:highlight w:val="none"/>
              </w:rPr>
            </w:pPr>
            <w:r>
              <w:rPr>
                <w:rFonts w:hint="eastAsia"/>
                <w:bCs/>
                <w:color w:val="auto"/>
                <w:sz w:val="21"/>
                <w:szCs w:val="21"/>
                <w:highlight w:val="none"/>
              </w:rPr>
              <w:t>④</w:t>
            </w:r>
            <w:r>
              <w:rPr>
                <w:rFonts w:ascii="Times New Roman" w:hAnsi="Times New Roman" w:cs="Times New Roman"/>
                <w:bCs/>
                <w:color w:val="auto"/>
                <w:sz w:val="21"/>
                <w:szCs w:val="21"/>
                <w:highlight w:val="none"/>
              </w:rPr>
              <w:t>污染处置：吸附过物料的黄沙作为危废处置，应急池内的物料及冲洗水委外处置。</w:t>
            </w:r>
          </w:p>
          <w:p w14:paraId="2C603AA2">
            <w:pPr>
              <w:keepNext w:val="0"/>
              <w:keepLines w:val="0"/>
              <w:pageBreakBefore w:val="0"/>
              <w:widowControl/>
              <w:kinsoku/>
              <w:wordWrap/>
              <w:overflowPunct/>
              <w:topLinePunct w:val="0"/>
              <w:autoSpaceDE/>
              <w:autoSpaceDN/>
              <w:bidi w:val="0"/>
              <w:adjustRightInd w:val="0"/>
              <w:snapToGrid w:val="0"/>
              <w:ind w:left="0" w:right="0"/>
              <w:textAlignment w:val="auto"/>
              <w:rPr>
                <w:rFonts w:ascii="Times New Roman" w:hAnsi="Times New Roman" w:cs="Times New Roman"/>
                <w:bCs/>
                <w:color w:val="auto"/>
                <w:sz w:val="21"/>
                <w:szCs w:val="21"/>
                <w:highlight w:val="none"/>
              </w:rPr>
            </w:pPr>
            <w:r>
              <w:rPr>
                <w:rFonts w:ascii="Times New Roman" w:hAnsi="Times New Roman" w:cs="Times New Roman"/>
                <w:bCs/>
                <w:color w:val="auto"/>
                <w:sz w:val="21"/>
                <w:szCs w:val="21"/>
                <w:highlight w:val="none"/>
              </w:rPr>
              <w:t>火灾事故应急措施：</w:t>
            </w:r>
          </w:p>
          <w:p w14:paraId="4C97B9BB">
            <w:pPr>
              <w:keepNext w:val="0"/>
              <w:keepLines w:val="0"/>
              <w:pageBreakBefore w:val="0"/>
              <w:widowControl/>
              <w:kinsoku/>
              <w:wordWrap/>
              <w:overflowPunct/>
              <w:topLinePunct w:val="0"/>
              <w:autoSpaceDE/>
              <w:autoSpaceDN/>
              <w:bidi w:val="0"/>
              <w:adjustRightInd w:val="0"/>
              <w:snapToGrid w:val="0"/>
              <w:ind w:left="0" w:right="0"/>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在作业过程中一旦发生火灾，做到立即报警，停止生产并且充分发挥整体组织功能，在确保人身安全的前提下，用身边的消防器材将灾害减到最低程度，避免火势扩大殃及周围危险场所。</w:t>
            </w:r>
          </w:p>
          <w:p w14:paraId="02ECF3E1">
            <w:pPr>
              <w:keepNext w:val="0"/>
              <w:keepLines w:val="0"/>
              <w:pageBreakBefore w:val="0"/>
              <w:widowControl/>
              <w:kinsoku/>
              <w:wordWrap/>
              <w:overflowPunct/>
              <w:topLinePunct w:val="0"/>
              <w:autoSpaceDE/>
              <w:autoSpaceDN/>
              <w:bidi w:val="0"/>
              <w:adjustRightInd w:val="0"/>
              <w:snapToGrid w:val="0"/>
              <w:ind w:left="0" w:right="0"/>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应急指挥组迅速电话通知所有的应急救援队伍人员到着火区域上风口集合了解分析情况，疏散无关人员至安全区，并分析和确定火灾原因，采取相应措施进行扑救。</w:t>
            </w:r>
          </w:p>
          <w:p w14:paraId="17990C2B">
            <w:pPr>
              <w:keepNext w:val="0"/>
              <w:keepLines w:val="0"/>
              <w:pageBreakBefore w:val="0"/>
              <w:widowControl/>
              <w:kinsoku/>
              <w:wordWrap/>
              <w:overflowPunct/>
              <w:topLinePunct w:val="0"/>
              <w:autoSpaceDE/>
              <w:autoSpaceDN/>
              <w:bidi w:val="0"/>
              <w:adjustRightInd w:val="0"/>
              <w:snapToGrid w:val="0"/>
              <w:ind w:left="0" w:right="0"/>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扑救时人站在上风位置，顺序前进。当火势趋盛、无法靠自身力量扑救和控制时，职工应立即疏散撤离，并对人员进行清点，留下主控人员对系统进行手动控制，停止系统运行。</w:t>
            </w:r>
          </w:p>
          <w:p w14:paraId="5D2C93E1">
            <w:pPr>
              <w:keepNext w:val="0"/>
              <w:keepLines w:val="0"/>
              <w:pageBreakBefore w:val="0"/>
              <w:widowControl/>
              <w:kinsoku/>
              <w:wordWrap/>
              <w:overflowPunct/>
              <w:topLinePunct w:val="0"/>
              <w:autoSpaceDE/>
              <w:autoSpaceDN/>
              <w:bidi w:val="0"/>
              <w:adjustRightInd w:val="0"/>
              <w:snapToGrid w:val="0"/>
              <w:ind w:left="0" w:right="0"/>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其他生产工序人员密切注意本岗情况，加强岗位监督控制，确保其它目标安全生产。</w:t>
            </w:r>
          </w:p>
          <w:p w14:paraId="25BB6F69">
            <w:pPr>
              <w:keepNext w:val="0"/>
              <w:keepLines w:val="0"/>
              <w:pageBreakBefore w:val="0"/>
              <w:widowControl/>
              <w:kinsoku/>
              <w:wordWrap/>
              <w:overflowPunct/>
              <w:topLinePunct w:val="0"/>
              <w:autoSpaceDE/>
              <w:autoSpaceDN/>
              <w:bidi w:val="0"/>
              <w:adjustRightInd w:val="0"/>
              <w:snapToGrid w:val="0"/>
              <w:ind w:left="0" w:right="0"/>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若使用消防水灭火，消防废水会排入企业厂区内雨水排放管网，因此需确保雨水接管口处于关闭状态，防止流入雨水管网的地面消防废水进入外环境。待事故结束后，通过检测确定事故废水是委托有资质单位处置，还是拖运至污水厂处理。</w:t>
            </w:r>
          </w:p>
          <w:p w14:paraId="7CE5B026">
            <w:pPr>
              <w:keepNext w:val="0"/>
              <w:keepLines w:val="0"/>
              <w:pageBreakBefore w:val="0"/>
              <w:widowControl/>
              <w:kinsoku/>
              <w:wordWrap/>
              <w:overflowPunct/>
              <w:topLinePunct w:val="0"/>
              <w:autoSpaceDE/>
              <w:autoSpaceDN/>
              <w:bidi w:val="0"/>
              <w:adjustRightInd w:val="0"/>
              <w:snapToGrid w:val="0"/>
              <w:ind w:left="0" w:right="0"/>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爆炸事故应急措施：</w:t>
            </w:r>
          </w:p>
          <w:p w14:paraId="660EC07A">
            <w:pPr>
              <w:keepNext w:val="0"/>
              <w:keepLines w:val="0"/>
              <w:pageBreakBefore w:val="0"/>
              <w:widowControl/>
              <w:kinsoku/>
              <w:wordWrap/>
              <w:overflowPunct/>
              <w:topLinePunct w:val="0"/>
              <w:autoSpaceDE/>
              <w:autoSpaceDN/>
              <w:bidi w:val="0"/>
              <w:adjustRightInd w:val="0"/>
              <w:snapToGrid w:val="0"/>
              <w:ind w:left="0" w:right="0"/>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当爆炸事故发生后，现场发现人应立即报告给值班领导，对事故现场进行警戒。值班领导立即报告应急指挥部，应急救援小组立即赶赴现场并拨打报警电话。</w:t>
            </w:r>
          </w:p>
          <w:p w14:paraId="6C2E6461">
            <w:pPr>
              <w:keepNext w:val="0"/>
              <w:keepLines w:val="0"/>
              <w:pageBreakBefore w:val="0"/>
              <w:widowControl/>
              <w:kinsoku/>
              <w:wordWrap/>
              <w:overflowPunct/>
              <w:topLinePunct w:val="0"/>
              <w:autoSpaceDE/>
              <w:autoSpaceDN/>
              <w:bidi w:val="0"/>
              <w:adjustRightInd w:val="0"/>
              <w:snapToGrid w:val="0"/>
              <w:ind w:left="0" w:right="0"/>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当爆炸引起建筑物发生坍塌，造成人员被埋、被压的情况，应在确认不会再次发生同类事故的前提下，立即组织人员进行抢救受伤人员。</w:t>
            </w:r>
          </w:p>
          <w:p w14:paraId="1D8D73C2">
            <w:pPr>
              <w:keepNext w:val="0"/>
              <w:keepLines w:val="0"/>
              <w:pageBreakBefore w:val="0"/>
              <w:widowControl/>
              <w:kinsoku/>
              <w:wordWrap/>
              <w:overflowPunct/>
              <w:topLinePunct w:val="0"/>
              <w:autoSpaceDE/>
              <w:autoSpaceDN/>
              <w:bidi w:val="0"/>
              <w:adjustRightInd w:val="0"/>
              <w:snapToGrid w:val="0"/>
              <w:ind w:left="0" w:right="0"/>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当发现有人员受伤时，拨打</w:t>
            </w:r>
            <w:r>
              <w:rPr>
                <w:rFonts w:hint="eastAsia" w:ascii="Times New Roman" w:hAnsi="Times New Roman" w:cs="Times New Roman"/>
                <w:color w:val="auto"/>
                <w:sz w:val="21"/>
                <w:szCs w:val="21"/>
                <w:highlight w:val="none"/>
              </w:rPr>
              <w:t>“</w:t>
            </w:r>
            <w:r>
              <w:rPr>
                <w:rFonts w:ascii="Times New Roman" w:hAnsi="Times New Roman" w:cs="Times New Roman"/>
                <w:color w:val="auto"/>
                <w:sz w:val="21"/>
                <w:szCs w:val="21"/>
                <w:highlight w:val="none"/>
              </w:rPr>
              <w:t>120</w:t>
            </w:r>
            <w:r>
              <w:rPr>
                <w:rFonts w:hint="eastAsia" w:ascii="Times New Roman" w:hAnsi="Times New Roman" w:cs="Times New Roman"/>
                <w:color w:val="auto"/>
                <w:sz w:val="21"/>
                <w:szCs w:val="21"/>
                <w:highlight w:val="none"/>
              </w:rPr>
              <w:t>”</w:t>
            </w:r>
            <w:r>
              <w:rPr>
                <w:rFonts w:ascii="Times New Roman" w:hAnsi="Times New Roman" w:cs="Times New Roman"/>
                <w:color w:val="auto"/>
                <w:sz w:val="21"/>
                <w:szCs w:val="21"/>
                <w:highlight w:val="none"/>
              </w:rPr>
              <w:t>向当地急救中心取得联系，详细说明事故地点、严重程度、联系电话，并派人到路口接应。</w:t>
            </w:r>
          </w:p>
        </w:tc>
      </w:tr>
      <w:tr w14:paraId="7DB24358">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97" w:hRule="atLeast"/>
        </w:trPr>
        <w:tc>
          <w:tcPr>
            <w:tcW w:w="874" w:type="pct"/>
            <w:vAlign w:val="center"/>
          </w:tcPr>
          <w:p w14:paraId="63BC0A86">
            <w:pPr>
              <w:keepNext w:val="0"/>
              <w:keepLines w:val="0"/>
              <w:pageBreakBefore w:val="0"/>
              <w:widowControl/>
              <w:kinsoku/>
              <w:wordWrap/>
              <w:overflowPunct/>
              <w:topLinePunct w:val="0"/>
              <w:autoSpaceDE/>
              <w:autoSpaceDN/>
              <w:bidi w:val="0"/>
              <w:adjustRightInd w:val="0"/>
              <w:snapToGrid w:val="0"/>
              <w:ind w:left="0" w:right="0"/>
              <w:jc w:val="center"/>
              <w:textAlignment w:val="auto"/>
              <w:rPr>
                <w:rFonts w:ascii="Times New Roman" w:hAnsi="Times New Roman" w:cs="Times New Roman"/>
                <w:bCs/>
                <w:color w:val="auto"/>
                <w:sz w:val="21"/>
                <w:szCs w:val="21"/>
                <w:highlight w:val="none"/>
              </w:rPr>
            </w:pPr>
            <w:r>
              <w:rPr>
                <w:rFonts w:ascii="Times New Roman" w:hAnsi="Times New Roman" w:cs="Times New Roman"/>
                <w:bCs/>
                <w:color w:val="auto"/>
                <w:sz w:val="21"/>
                <w:szCs w:val="21"/>
                <w:highlight w:val="none"/>
              </w:rPr>
              <w:t>事件</w:t>
            </w:r>
          </w:p>
          <w:p w14:paraId="7CAC9E2E">
            <w:pPr>
              <w:keepNext w:val="0"/>
              <w:keepLines w:val="0"/>
              <w:pageBreakBefore w:val="0"/>
              <w:widowControl/>
              <w:kinsoku/>
              <w:wordWrap/>
              <w:overflowPunct/>
              <w:topLinePunct w:val="0"/>
              <w:autoSpaceDE/>
              <w:autoSpaceDN/>
              <w:bidi w:val="0"/>
              <w:adjustRightInd w:val="0"/>
              <w:snapToGrid w:val="0"/>
              <w:ind w:left="0" w:right="0"/>
              <w:jc w:val="center"/>
              <w:textAlignment w:val="auto"/>
              <w:rPr>
                <w:rFonts w:ascii="Times New Roman" w:hAnsi="Times New Roman" w:cs="Times New Roman"/>
                <w:bCs/>
                <w:color w:val="auto"/>
                <w:sz w:val="21"/>
                <w:szCs w:val="21"/>
                <w:highlight w:val="none"/>
              </w:rPr>
            </w:pPr>
            <w:r>
              <w:rPr>
                <w:rFonts w:ascii="Times New Roman" w:hAnsi="Times New Roman" w:cs="Times New Roman"/>
                <w:bCs/>
                <w:color w:val="auto"/>
                <w:sz w:val="21"/>
                <w:szCs w:val="21"/>
                <w:highlight w:val="none"/>
              </w:rPr>
              <w:t>报告</w:t>
            </w:r>
          </w:p>
        </w:tc>
        <w:tc>
          <w:tcPr>
            <w:tcW w:w="1254" w:type="pct"/>
            <w:vAlign w:val="center"/>
          </w:tcPr>
          <w:p w14:paraId="50D6EE1D">
            <w:pPr>
              <w:keepNext w:val="0"/>
              <w:keepLines w:val="0"/>
              <w:pageBreakBefore w:val="0"/>
              <w:widowControl/>
              <w:kinsoku/>
              <w:wordWrap/>
              <w:overflowPunct/>
              <w:topLinePunct w:val="0"/>
              <w:autoSpaceDE/>
              <w:autoSpaceDN/>
              <w:bidi w:val="0"/>
              <w:adjustRightInd w:val="0"/>
              <w:snapToGrid w:val="0"/>
              <w:ind w:left="0" w:right="0"/>
              <w:textAlignment w:val="auto"/>
              <w:rPr>
                <w:rFonts w:ascii="Times New Roman" w:hAnsi="Times New Roman" w:cs="Times New Roman"/>
                <w:bCs/>
                <w:color w:val="auto"/>
                <w:sz w:val="21"/>
                <w:szCs w:val="21"/>
                <w:highlight w:val="none"/>
              </w:rPr>
            </w:pPr>
            <w:r>
              <w:rPr>
                <w:rFonts w:ascii="Times New Roman" w:hAnsi="Times New Roman" w:cs="Times New Roman"/>
                <w:bCs/>
                <w:color w:val="auto"/>
                <w:sz w:val="21"/>
                <w:szCs w:val="21"/>
                <w:highlight w:val="none"/>
              </w:rPr>
              <w:t>报告流程：</w:t>
            </w:r>
          </w:p>
          <w:p w14:paraId="04CCCC31">
            <w:pPr>
              <w:keepNext w:val="0"/>
              <w:keepLines w:val="0"/>
              <w:pageBreakBefore w:val="0"/>
              <w:widowControl/>
              <w:kinsoku/>
              <w:wordWrap/>
              <w:overflowPunct/>
              <w:topLinePunct w:val="0"/>
              <w:autoSpaceDE/>
              <w:autoSpaceDN/>
              <w:bidi w:val="0"/>
              <w:adjustRightInd w:val="0"/>
              <w:snapToGrid w:val="0"/>
              <w:ind w:left="0" w:right="0"/>
              <w:textAlignment w:val="auto"/>
              <w:rPr>
                <w:rFonts w:ascii="Times New Roman" w:hAnsi="Times New Roman" w:cs="Times New Roman"/>
                <w:bCs/>
                <w:color w:val="auto"/>
                <w:sz w:val="21"/>
                <w:szCs w:val="21"/>
                <w:highlight w:val="none"/>
              </w:rPr>
            </w:pPr>
            <w:r>
              <w:rPr>
                <w:rFonts w:ascii="Times New Roman" w:hAnsi="Times New Roman" w:cs="Times New Roman"/>
                <w:bCs/>
                <w:color w:val="auto"/>
                <w:sz w:val="21"/>
                <w:szCs w:val="21"/>
                <w:highlight w:val="none"/>
              </w:rPr>
              <w:t>现场突发环境事件知情人→指挥部</w:t>
            </w:r>
          </w:p>
        </w:tc>
        <w:tc>
          <w:tcPr>
            <w:tcW w:w="2870" w:type="pct"/>
            <w:vAlign w:val="center"/>
          </w:tcPr>
          <w:p w14:paraId="62161E13">
            <w:pPr>
              <w:keepNext w:val="0"/>
              <w:keepLines w:val="0"/>
              <w:pageBreakBefore w:val="0"/>
              <w:widowControl/>
              <w:kinsoku/>
              <w:wordWrap/>
              <w:overflowPunct/>
              <w:topLinePunct w:val="0"/>
              <w:autoSpaceDE/>
              <w:autoSpaceDN/>
              <w:bidi w:val="0"/>
              <w:adjustRightInd w:val="0"/>
              <w:snapToGrid w:val="0"/>
              <w:ind w:left="0" w:right="0"/>
              <w:textAlignment w:val="auto"/>
              <w:rPr>
                <w:rFonts w:ascii="Times New Roman" w:hAnsi="Times New Roman" w:cs="Times New Roman"/>
                <w:bCs/>
                <w:color w:val="auto"/>
                <w:sz w:val="21"/>
                <w:szCs w:val="21"/>
                <w:highlight w:val="none"/>
              </w:rPr>
            </w:pPr>
            <w:r>
              <w:rPr>
                <w:rFonts w:ascii="Times New Roman" w:hAnsi="Times New Roman" w:cs="Times New Roman"/>
                <w:bCs/>
                <w:color w:val="auto"/>
                <w:sz w:val="21"/>
                <w:szCs w:val="21"/>
                <w:highlight w:val="none"/>
              </w:rPr>
              <w:t>报告内容：</w:t>
            </w:r>
          </w:p>
          <w:p w14:paraId="40E13B1E">
            <w:pPr>
              <w:keepNext w:val="0"/>
              <w:keepLines w:val="0"/>
              <w:pageBreakBefore w:val="0"/>
              <w:widowControl/>
              <w:kinsoku/>
              <w:wordWrap/>
              <w:overflowPunct/>
              <w:topLinePunct w:val="0"/>
              <w:autoSpaceDE/>
              <w:autoSpaceDN/>
              <w:bidi w:val="0"/>
              <w:adjustRightInd w:val="0"/>
              <w:snapToGrid w:val="0"/>
              <w:ind w:left="0" w:right="0"/>
              <w:textAlignment w:val="auto"/>
              <w:rPr>
                <w:rFonts w:ascii="Times New Roman" w:hAnsi="Times New Roman" w:cs="Times New Roman"/>
                <w:bCs/>
                <w:color w:val="auto"/>
                <w:sz w:val="21"/>
                <w:szCs w:val="21"/>
                <w:highlight w:val="none"/>
              </w:rPr>
            </w:pPr>
            <w:r>
              <w:rPr>
                <w:rFonts w:hint="eastAsia"/>
                <w:bCs/>
                <w:color w:val="auto"/>
                <w:sz w:val="21"/>
                <w:szCs w:val="21"/>
                <w:highlight w:val="none"/>
              </w:rPr>
              <w:t>①</w:t>
            </w:r>
            <w:r>
              <w:rPr>
                <w:rFonts w:ascii="Times New Roman" w:hAnsi="Times New Roman" w:cs="Times New Roman"/>
                <w:bCs/>
                <w:color w:val="auto"/>
                <w:sz w:val="21"/>
                <w:szCs w:val="21"/>
                <w:highlight w:val="none"/>
              </w:rPr>
              <w:t>事故发生的时间和地点；</w:t>
            </w:r>
          </w:p>
          <w:p w14:paraId="0991AB4F">
            <w:pPr>
              <w:keepNext w:val="0"/>
              <w:keepLines w:val="0"/>
              <w:pageBreakBefore w:val="0"/>
              <w:widowControl/>
              <w:kinsoku/>
              <w:wordWrap/>
              <w:overflowPunct/>
              <w:topLinePunct w:val="0"/>
              <w:autoSpaceDE/>
              <w:autoSpaceDN/>
              <w:bidi w:val="0"/>
              <w:adjustRightInd w:val="0"/>
              <w:snapToGrid w:val="0"/>
              <w:ind w:left="0" w:right="0"/>
              <w:textAlignment w:val="auto"/>
              <w:rPr>
                <w:rFonts w:ascii="Times New Roman" w:hAnsi="Times New Roman" w:cs="Times New Roman"/>
                <w:bCs/>
                <w:color w:val="auto"/>
                <w:sz w:val="21"/>
                <w:szCs w:val="21"/>
                <w:highlight w:val="none"/>
              </w:rPr>
            </w:pPr>
            <w:r>
              <w:rPr>
                <w:rFonts w:hint="eastAsia"/>
                <w:bCs/>
                <w:color w:val="auto"/>
                <w:sz w:val="21"/>
                <w:szCs w:val="21"/>
                <w:highlight w:val="none"/>
              </w:rPr>
              <w:t>②</w:t>
            </w:r>
            <w:r>
              <w:rPr>
                <w:rFonts w:ascii="Times New Roman" w:hAnsi="Times New Roman" w:cs="Times New Roman"/>
                <w:bCs/>
                <w:color w:val="auto"/>
                <w:sz w:val="21"/>
                <w:szCs w:val="21"/>
                <w:highlight w:val="none"/>
              </w:rPr>
              <w:t>事故类型：泄漏、火灾、爆炸（暂时状态、连续状态）；</w:t>
            </w:r>
          </w:p>
          <w:p w14:paraId="53F31DA8">
            <w:pPr>
              <w:keepNext w:val="0"/>
              <w:keepLines w:val="0"/>
              <w:pageBreakBefore w:val="0"/>
              <w:widowControl/>
              <w:kinsoku/>
              <w:wordWrap/>
              <w:overflowPunct/>
              <w:topLinePunct w:val="0"/>
              <w:autoSpaceDE/>
              <w:autoSpaceDN/>
              <w:bidi w:val="0"/>
              <w:adjustRightInd w:val="0"/>
              <w:snapToGrid w:val="0"/>
              <w:ind w:left="0" w:right="0"/>
              <w:textAlignment w:val="auto"/>
              <w:rPr>
                <w:rFonts w:ascii="Times New Roman" w:hAnsi="Times New Roman" w:cs="Times New Roman"/>
                <w:bCs/>
                <w:color w:val="auto"/>
                <w:sz w:val="21"/>
                <w:szCs w:val="21"/>
                <w:highlight w:val="none"/>
              </w:rPr>
            </w:pPr>
            <w:r>
              <w:rPr>
                <w:rFonts w:hint="eastAsia"/>
                <w:bCs/>
                <w:color w:val="auto"/>
                <w:sz w:val="21"/>
                <w:szCs w:val="21"/>
                <w:highlight w:val="none"/>
              </w:rPr>
              <w:t>③</w:t>
            </w:r>
            <w:r>
              <w:rPr>
                <w:rFonts w:ascii="Times New Roman" w:hAnsi="Times New Roman" w:cs="Times New Roman"/>
                <w:bCs/>
                <w:color w:val="auto"/>
                <w:sz w:val="21"/>
                <w:szCs w:val="21"/>
                <w:highlight w:val="none"/>
              </w:rPr>
              <w:t>估计造成事故的泄漏量、火灾程度、爆炸程度；</w:t>
            </w:r>
          </w:p>
          <w:p w14:paraId="00F97A7D">
            <w:pPr>
              <w:keepNext w:val="0"/>
              <w:keepLines w:val="0"/>
              <w:pageBreakBefore w:val="0"/>
              <w:widowControl/>
              <w:kinsoku/>
              <w:wordWrap/>
              <w:overflowPunct/>
              <w:topLinePunct w:val="0"/>
              <w:autoSpaceDE/>
              <w:autoSpaceDN/>
              <w:bidi w:val="0"/>
              <w:adjustRightInd w:val="0"/>
              <w:snapToGrid w:val="0"/>
              <w:ind w:left="0" w:right="0"/>
              <w:textAlignment w:val="auto"/>
              <w:rPr>
                <w:rFonts w:ascii="Times New Roman" w:hAnsi="Times New Roman" w:cs="Times New Roman"/>
                <w:bCs/>
                <w:color w:val="auto"/>
                <w:sz w:val="21"/>
                <w:szCs w:val="21"/>
                <w:highlight w:val="none"/>
              </w:rPr>
            </w:pPr>
            <w:r>
              <w:rPr>
                <w:rFonts w:hint="eastAsia"/>
                <w:bCs/>
                <w:color w:val="auto"/>
                <w:sz w:val="21"/>
                <w:szCs w:val="21"/>
                <w:highlight w:val="none"/>
              </w:rPr>
              <w:t>④</w:t>
            </w:r>
            <w:r>
              <w:rPr>
                <w:rFonts w:ascii="Times New Roman" w:hAnsi="Times New Roman" w:cs="Times New Roman"/>
                <w:bCs/>
                <w:color w:val="auto"/>
                <w:sz w:val="21"/>
                <w:szCs w:val="21"/>
                <w:highlight w:val="none"/>
              </w:rPr>
              <w:t>事故可能持续的时间。</w:t>
            </w:r>
          </w:p>
        </w:tc>
      </w:tr>
      <w:tr w14:paraId="239CE502">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97" w:hRule="atLeast"/>
        </w:trPr>
        <w:tc>
          <w:tcPr>
            <w:tcW w:w="874" w:type="pct"/>
            <w:vAlign w:val="center"/>
          </w:tcPr>
          <w:p w14:paraId="5F1974C6">
            <w:pPr>
              <w:keepNext w:val="0"/>
              <w:keepLines w:val="0"/>
              <w:pageBreakBefore w:val="0"/>
              <w:widowControl/>
              <w:kinsoku/>
              <w:wordWrap/>
              <w:overflowPunct/>
              <w:topLinePunct w:val="0"/>
              <w:autoSpaceDE/>
              <w:autoSpaceDN/>
              <w:bidi w:val="0"/>
              <w:adjustRightInd w:val="0"/>
              <w:snapToGrid w:val="0"/>
              <w:ind w:left="0" w:right="0"/>
              <w:jc w:val="center"/>
              <w:textAlignment w:val="auto"/>
              <w:rPr>
                <w:rFonts w:ascii="Times New Roman" w:hAnsi="Times New Roman" w:cs="Times New Roman"/>
                <w:bCs/>
                <w:color w:val="auto"/>
                <w:sz w:val="21"/>
                <w:szCs w:val="21"/>
                <w:highlight w:val="none"/>
              </w:rPr>
            </w:pPr>
            <w:r>
              <w:rPr>
                <w:rFonts w:ascii="Times New Roman" w:hAnsi="Times New Roman" w:cs="Times New Roman"/>
                <w:bCs/>
                <w:color w:val="auto"/>
                <w:sz w:val="21"/>
                <w:szCs w:val="21"/>
                <w:highlight w:val="none"/>
              </w:rPr>
              <w:t>应急物资</w:t>
            </w:r>
          </w:p>
        </w:tc>
        <w:tc>
          <w:tcPr>
            <w:tcW w:w="4125" w:type="pct"/>
            <w:gridSpan w:val="2"/>
            <w:vAlign w:val="center"/>
          </w:tcPr>
          <w:p w14:paraId="69691BB1">
            <w:pPr>
              <w:keepNext w:val="0"/>
              <w:keepLines w:val="0"/>
              <w:pageBreakBefore w:val="0"/>
              <w:widowControl/>
              <w:kinsoku/>
              <w:wordWrap/>
              <w:overflowPunct/>
              <w:topLinePunct w:val="0"/>
              <w:autoSpaceDE/>
              <w:autoSpaceDN/>
              <w:bidi w:val="0"/>
              <w:adjustRightInd w:val="0"/>
              <w:snapToGrid w:val="0"/>
              <w:ind w:left="0" w:right="0"/>
              <w:jc w:val="center"/>
              <w:textAlignment w:val="auto"/>
              <w:rPr>
                <w:rFonts w:ascii="Times New Roman" w:hAnsi="Times New Roman" w:cs="Times New Roman"/>
                <w:bCs/>
                <w:color w:val="auto"/>
                <w:sz w:val="21"/>
                <w:szCs w:val="21"/>
                <w:highlight w:val="none"/>
              </w:rPr>
            </w:pPr>
            <w:r>
              <w:rPr>
                <w:rFonts w:hint="eastAsia"/>
                <w:color w:val="auto"/>
                <w:sz w:val="21"/>
                <w:szCs w:val="21"/>
                <w:highlight w:val="none"/>
              </w:rPr>
              <w:t>雨水总排口切换阀门</w:t>
            </w:r>
            <w:r>
              <w:rPr>
                <w:rFonts w:hint="eastAsia"/>
                <w:color w:val="auto"/>
                <w:sz w:val="21"/>
                <w:szCs w:val="21"/>
                <w:highlight w:val="none"/>
                <w:lang w:eastAsia="zh-CN"/>
              </w:rPr>
              <w:t>、</w:t>
            </w:r>
            <w:r>
              <w:rPr>
                <w:rFonts w:hint="eastAsia"/>
                <w:color w:val="auto"/>
                <w:sz w:val="21"/>
                <w:szCs w:val="21"/>
                <w:highlight w:val="none"/>
              </w:rPr>
              <w:t>黄沙</w:t>
            </w:r>
            <w:r>
              <w:rPr>
                <w:rFonts w:hint="eastAsia"/>
                <w:color w:val="auto"/>
                <w:sz w:val="21"/>
                <w:szCs w:val="21"/>
                <w:highlight w:val="none"/>
                <w:lang w:eastAsia="zh-CN"/>
              </w:rPr>
              <w:t>、</w:t>
            </w:r>
            <w:r>
              <w:rPr>
                <w:rFonts w:hint="eastAsia"/>
                <w:color w:val="auto"/>
                <w:sz w:val="21"/>
                <w:szCs w:val="21"/>
                <w:highlight w:val="none"/>
              </w:rPr>
              <w:t>铁锹</w:t>
            </w:r>
            <w:r>
              <w:rPr>
                <w:rFonts w:hint="eastAsia"/>
                <w:color w:val="auto"/>
                <w:sz w:val="21"/>
                <w:szCs w:val="21"/>
                <w:highlight w:val="none"/>
                <w:lang w:eastAsia="zh-CN"/>
              </w:rPr>
              <w:t>、</w:t>
            </w:r>
            <w:r>
              <w:rPr>
                <w:rFonts w:hint="eastAsia"/>
                <w:color w:val="auto"/>
                <w:sz w:val="21"/>
                <w:szCs w:val="21"/>
                <w:highlight w:val="none"/>
              </w:rPr>
              <w:t>吸附纸</w:t>
            </w:r>
            <w:r>
              <w:rPr>
                <w:rFonts w:hint="eastAsia"/>
                <w:color w:val="auto"/>
                <w:sz w:val="21"/>
                <w:szCs w:val="21"/>
                <w:highlight w:val="none"/>
                <w:lang w:eastAsia="zh-CN"/>
              </w:rPr>
              <w:t>、</w:t>
            </w:r>
            <w:r>
              <w:rPr>
                <w:rFonts w:hint="eastAsia"/>
                <w:color w:val="auto"/>
                <w:sz w:val="21"/>
                <w:szCs w:val="21"/>
                <w:highlight w:val="none"/>
              </w:rPr>
              <w:t>应急事故池</w:t>
            </w:r>
            <w:r>
              <w:rPr>
                <w:rFonts w:hint="eastAsia"/>
                <w:color w:val="auto"/>
                <w:sz w:val="21"/>
                <w:szCs w:val="21"/>
                <w:highlight w:val="none"/>
                <w:lang w:eastAsia="zh-CN"/>
              </w:rPr>
              <w:t>、</w:t>
            </w:r>
            <w:r>
              <w:rPr>
                <w:rFonts w:hint="eastAsia"/>
                <w:color w:val="auto"/>
                <w:sz w:val="21"/>
                <w:szCs w:val="21"/>
                <w:highlight w:val="none"/>
              </w:rPr>
              <w:t>围堰</w:t>
            </w:r>
            <w:r>
              <w:rPr>
                <w:rFonts w:hint="eastAsia"/>
                <w:color w:val="auto"/>
                <w:sz w:val="21"/>
                <w:szCs w:val="21"/>
                <w:highlight w:val="none"/>
                <w:lang w:eastAsia="zh-CN"/>
              </w:rPr>
              <w:t>、</w:t>
            </w:r>
            <w:r>
              <w:rPr>
                <w:rFonts w:hint="eastAsia"/>
                <w:color w:val="auto"/>
                <w:sz w:val="21"/>
                <w:szCs w:val="21"/>
                <w:highlight w:val="none"/>
              </w:rPr>
              <w:t>水泵</w:t>
            </w:r>
            <w:r>
              <w:rPr>
                <w:rFonts w:hint="eastAsia"/>
                <w:color w:val="auto"/>
                <w:sz w:val="21"/>
                <w:szCs w:val="21"/>
                <w:highlight w:val="none"/>
                <w:lang w:eastAsia="zh-CN"/>
              </w:rPr>
              <w:t>、</w:t>
            </w:r>
            <w:r>
              <w:rPr>
                <w:rFonts w:hint="eastAsia"/>
                <w:color w:val="auto"/>
                <w:sz w:val="21"/>
                <w:szCs w:val="21"/>
                <w:highlight w:val="none"/>
              </w:rPr>
              <w:t>应急电源</w:t>
            </w:r>
            <w:r>
              <w:rPr>
                <w:rFonts w:hint="eastAsia"/>
                <w:color w:val="auto"/>
                <w:sz w:val="21"/>
                <w:szCs w:val="21"/>
                <w:highlight w:val="none"/>
                <w:lang w:eastAsia="zh-CN"/>
              </w:rPr>
              <w:t>、</w:t>
            </w:r>
            <w:r>
              <w:rPr>
                <w:rFonts w:hint="eastAsia"/>
                <w:color w:val="auto"/>
                <w:sz w:val="21"/>
                <w:szCs w:val="21"/>
                <w:highlight w:val="none"/>
              </w:rPr>
              <w:t>活性炭等吸附材料</w:t>
            </w:r>
            <w:r>
              <w:rPr>
                <w:rFonts w:hint="eastAsia"/>
                <w:color w:val="auto"/>
                <w:sz w:val="21"/>
                <w:szCs w:val="21"/>
                <w:highlight w:val="none"/>
                <w:lang w:eastAsia="zh-CN"/>
              </w:rPr>
              <w:t>、</w:t>
            </w:r>
            <w:r>
              <w:rPr>
                <w:rFonts w:hint="eastAsia"/>
                <w:color w:val="auto"/>
                <w:sz w:val="21"/>
                <w:szCs w:val="21"/>
                <w:highlight w:val="none"/>
              </w:rPr>
              <w:t>有毒有害气体泄露监控预警系统</w:t>
            </w:r>
            <w:r>
              <w:rPr>
                <w:rFonts w:hint="eastAsia"/>
                <w:color w:val="auto"/>
                <w:sz w:val="21"/>
                <w:szCs w:val="21"/>
                <w:highlight w:val="none"/>
                <w:lang w:eastAsia="zh-CN"/>
              </w:rPr>
              <w:t>、</w:t>
            </w:r>
            <w:r>
              <w:rPr>
                <w:rFonts w:hint="eastAsia"/>
                <w:color w:val="auto"/>
                <w:sz w:val="21"/>
                <w:szCs w:val="21"/>
                <w:highlight w:val="none"/>
              </w:rPr>
              <w:t>过滤式防毒面具</w:t>
            </w:r>
            <w:r>
              <w:rPr>
                <w:rFonts w:hint="eastAsia"/>
                <w:color w:val="auto"/>
                <w:sz w:val="21"/>
                <w:szCs w:val="21"/>
                <w:highlight w:val="none"/>
                <w:lang w:eastAsia="zh-CN"/>
              </w:rPr>
              <w:t>、</w:t>
            </w:r>
            <w:r>
              <w:rPr>
                <w:rFonts w:hint="eastAsia"/>
                <w:color w:val="auto"/>
                <w:sz w:val="21"/>
                <w:szCs w:val="21"/>
                <w:highlight w:val="none"/>
              </w:rPr>
              <w:t>防护服</w:t>
            </w:r>
            <w:r>
              <w:rPr>
                <w:rFonts w:hint="eastAsia"/>
                <w:color w:val="auto"/>
                <w:sz w:val="21"/>
                <w:szCs w:val="21"/>
                <w:highlight w:val="none"/>
                <w:lang w:eastAsia="zh-CN"/>
              </w:rPr>
              <w:t>、</w:t>
            </w:r>
            <w:r>
              <w:rPr>
                <w:rFonts w:hint="eastAsia"/>
                <w:color w:val="auto"/>
                <w:sz w:val="21"/>
                <w:szCs w:val="21"/>
                <w:highlight w:val="none"/>
              </w:rPr>
              <w:t>防护胶鞋</w:t>
            </w:r>
            <w:r>
              <w:rPr>
                <w:rFonts w:hint="eastAsia"/>
                <w:color w:val="auto"/>
                <w:sz w:val="21"/>
                <w:szCs w:val="21"/>
                <w:highlight w:val="none"/>
                <w:lang w:eastAsia="zh-CN"/>
              </w:rPr>
              <w:t>、</w:t>
            </w:r>
            <w:r>
              <w:rPr>
                <w:rFonts w:hint="eastAsia"/>
                <w:color w:val="auto"/>
                <w:sz w:val="21"/>
                <w:szCs w:val="21"/>
                <w:highlight w:val="none"/>
              </w:rPr>
              <w:t>洗眼器</w:t>
            </w:r>
            <w:r>
              <w:rPr>
                <w:rFonts w:hint="eastAsia"/>
                <w:color w:val="auto"/>
                <w:sz w:val="21"/>
                <w:szCs w:val="21"/>
                <w:highlight w:val="none"/>
                <w:lang w:eastAsia="zh-CN"/>
              </w:rPr>
              <w:t>、</w:t>
            </w:r>
            <w:r>
              <w:rPr>
                <w:rFonts w:hint="eastAsia"/>
                <w:color w:val="auto"/>
                <w:sz w:val="21"/>
                <w:szCs w:val="21"/>
                <w:highlight w:val="none"/>
              </w:rPr>
              <w:t>警戒带</w:t>
            </w:r>
            <w:r>
              <w:rPr>
                <w:rFonts w:hint="eastAsia"/>
                <w:color w:val="auto"/>
                <w:sz w:val="21"/>
                <w:szCs w:val="21"/>
                <w:highlight w:val="none"/>
                <w:lang w:eastAsia="zh-CN"/>
              </w:rPr>
              <w:t>、</w:t>
            </w:r>
            <w:r>
              <w:rPr>
                <w:rFonts w:hint="eastAsia"/>
                <w:color w:val="auto"/>
                <w:sz w:val="21"/>
                <w:szCs w:val="21"/>
                <w:highlight w:val="none"/>
              </w:rPr>
              <w:t>急救箱</w:t>
            </w:r>
            <w:r>
              <w:rPr>
                <w:rFonts w:hint="eastAsia"/>
                <w:color w:val="auto"/>
                <w:sz w:val="21"/>
                <w:szCs w:val="21"/>
                <w:highlight w:val="none"/>
                <w:lang w:eastAsia="zh-CN"/>
              </w:rPr>
              <w:t>、</w:t>
            </w:r>
            <w:r>
              <w:rPr>
                <w:rFonts w:hint="eastAsia"/>
                <w:color w:val="auto"/>
                <w:sz w:val="21"/>
                <w:szCs w:val="21"/>
                <w:highlight w:val="none"/>
              </w:rPr>
              <w:t>担架</w:t>
            </w:r>
            <w:r>
              <w:rPr>
                <w:rFonts w:hint="eastAsia"/>
                <w:color w:val="auto"/>
                <w:sz w:val="21"/>
                <w:szCs w:val="21"/>
                <w:highlight w:val="none"/>
                <w:lang w:eastAsia="zh-CN"/>
              </w:rPr>
              <w:t>、</w:t>
            </w:r>
            <w:r>
              <w:rPr>
                <w:rFonts w:hint="eastAsia"/>
                <w:color w:val="auto"/>
                <w:sz w:val="21"/>
                <w:szCs w:val="21"/>
                <w:highlight w:val="none"/>
              </w:rPr>
              <w:t>正压式呼吸器</w:t>
            </w:r>
            <w:r>
              <w:rPr>
                <w:rFonts w:hint="eastAsia"/>
                <w:color w:val="auto"/>
                <w:sz w:val="21"/>
                <w:szCs w:val="21"/>
                <w:highlight w:val="none"/>
                <w:lang w:eastAsia="zh-CN"/>
              </w:rPr>
              <w:t>、</w:t>
            </w:r>
            <w:r>
              <w:rPr>
                <w:rFonts w:hint="eastAsia"/>
                <w:color w:val="auto"/>
                <w:sz w:val="21"/>
                <w:szCs w:val="21"/>
                <w:highlight w:val="none"/>
              </w:rPr>
              <w:t>扩音器</w:t>
            </w:r>
          </w:p>
        </w:tc>
      </w:tr>
    </w:tbl>
    <w:p w14:paraId="6C122DD5">
      <w:pPr>
        <w:tabs>
          <w:tab w:val="left" w:pos="96"/>
          <w:tab w:val="left" w:pos="340"/>
          <w:tab w:val="left" w:pos="890"/>
          <w:tab w:val="left" w:pos="5142"/>
        </w:tabs>
        <w:adjustRightInd w:val="0"/>
        <w:snapToGrid w:val="0"/>
        <w:spacing w:line="360" w:lineRule="auto"/>
        <w:ind w:left="-105" w:right="-105" w:firstLine="480" w:firstLineChars="200"/>
        <w:rPr>
          <w:rFonts w:ascii="Times New Roman" w:hAnsi="Times New Roman" w:cs="Times New Roman"/>
          <w:bCs/>
          <w:color w:val="auto"/>
          <w:highlight w:val="none"/>
        </w:rPr>
      </w:pPr>
      <w:r>
        <w:rPr>
          <w:rFonts w:ascii="Times New Roman" w:hAnsi="Times New Roman" w:cs="Times New Roman"/>
          <w:bCs/>
          <w:color w:val="auto"/>
          <w:highlight w:val="none"/>
        </w:rPr>
        <w:t>为满足事故应急需要，企业应配备相应应急物资，拟配备应急物资如下：</w:t>
      </w:r>
    </w:p>
    <w:p w14:paraId="77714F0E">
      <w:pPr>
        <w:pStyle w:val="43"/>
        <w:ind w:left="-105" w:right="-105" w:firstLine="0" w:firstLineChars="0"/>
        <w:jc w:val="center"/>
        <w:rPr>
          <w:rFonts w:ascii="Times New Roman" w:hAnsi="Times New Roman"/>
          <w:color w:val="auto"/>
          <w:highlight w:val="none"/>
        </w:rPr>
      </w:pPr>
      <w:r>
        <w:rPr>
          <w:rFonts w:ascii="Times New Roman" w:hAnsi="Times New Roman"/>
          <w:b/>
          <w:bCs/>
          <w:color w:val="auto"/>
          <w:sz w:val="24"/>
          <w:highlight w:val="none"/>
        </w:rPr>
        <w:t>表</w:t>
      </w:r>
      <w:r>
        <w:rPr>
          <w:rFonts w:ascii="Times New Roman" w:hAnsi="Times New Roman"/>
          <w:b/>
          <w:bCs/>
          <w:color w:val="auto"/>
          <w:sz w:val="24"/>
          <w:highlight w:val="none"/>
        </w:rPr>
        <w:fldChar w:fldCharType="begin"/>
      </w:r>
      <w:r>
        <w:rPr>
          <w:rFonts w:ascii="Times New Roman" w:hAnsi="Times New Roman"/>
          <w:b/>
          <w:bCs/>
          <w:color w:val="auto"/>
          <w:sz w:val="24"/>
          <w:highlight w:val="none"/>
        </w:rPr>
        <w:instrText xml:space="preserve"> STYLEREF 2 \s </w:instrText>
      </w:r>
      <w:r>
        <w:rPr>
          <w:rFonts w:ascii="Times New Roman" w:hAnsi="Times New Roman"/>
          <w:b/>
          <w:bCs/>
          <w:color w:val="auto"/>
          <w:sz w:val="24"/>
          <w:highlight w:val="none"/>
        </w:rPr>
        <w:fldChar w:fldCharType="separate"/>
      </w:r>
      <w:r>
        <w:rPr>
          <w:rFonts w:ascii="Times New Roman" w:hAnsi="Times New Roman"/>
          <w:b/>
          <w:bCs/>
          <w:color w:val="auto"/>
          <w:sz w:val="24"/>
          <w:highlight w:val="none"/>
        </w:rPr>
        <w:t>6.6</w:t>
      </w:r>
      <w:r>
        <w:rPr>
          <w:rFonts w:ascii="Times New Roman" w:hAnsi="Times New Roman"/>
          <w:b/>
          <w:bCs/>
          <w:color w:val="auto"/>
          <w:sz w:val="24"/>
          <w:highlight w:val="none"/>
        </w:rPr>
        <w:fldChar w:fldCharType="end"/>
      </w:r>
      <w:r>
        <w:rPr>
          <w:rFonts w:ascii="Times New Roman" w:hAnsi="Times New Roman"/>
          <w:b/>
          <w:bCs/>
          <w:color w:val="auto"/>
          <w:sz w:val="24"/>
          <w:highlight w:val="none"/>
        </w:rPr>
        <w:noBreakHyphen/>
      </w:r>
      <w:r>
        <w:rPr>
          <w:rFonts w:ascii="Times New Roman" w:hAnsi="Times New Roman"/>
          <w:b/>
          <w:bCs/>
          <w:color w:val="auto"/>
          <w:sz w:val="24"/>
          <w:highlight w:val="none"/>
        </w:rPr>
        <w:fldChar w:fldCharType="begin"/>
      </w:r>
      <w:r>
        <w:rPr>
          <w:rFonts w:ascii="Times New Roman" w:hAnsi="Times New Roman"/>
          <w:b/>
          <w:bCs/>
          <w:color w:val="auto"/>
          <w:sz w:val="24"/>
          <w:highlight w:val="none"/>
        </w:rPr>
        <w:instrText xml:space="preserve"> SEQ 表 \* ARABIC \s 2 </w:instrText>
      </w:r>
      <w:r>
        <w:rPr>
          <w:rFonts w:ascii="Times New Roman" w:hAnsi="Times New Roman"/>
          <w:b/>
          <w:bCs/>
          <w:color w:val="auto"/>
          <w:sz w:val="24"/>
          <w:highlight w:val="none"/>
        </w:rPr>
        <w:fldChar w:fldCharType="separate"/>
      </w:r>
      <w:r>
        <w:rPr>
          <w:rFonts w:ascii="Times New Roman" w:hAnsi="Times New Roman"/>
          <w:b/>
          <w:bCs/>
          <w:color w:val="auto"/>
          <w:sz w:val="24"/>
          <w:highlight w:val="none"/>
        </w:rPr>
        <w:t>3</w:t>
      </w:r>
      <w:r>
        <w:rPr>
          <w:rFonts w:ascii="Times New Roman" w:hAnsi="Times New Roman"/>
          <w:b/>
          <w:bCs/>
          <w:color w:val="auto"/>
          <w:sz w:val="24"/>
          <w:highlight w:val="none"/>
        </w:rPr>
        <w:fldChar w:fldCharType="end"/>
      </w:r>
      <w:r>
        <w:rPr>
          <w:rFonts w:ascii="Times New Roman" w:hAnsi="Times New Roman"/>
          <w:b/>
          <w:bCs/>
          <w:color w:val="auto"/>
          <w:sz w:val="24"/>
          <w:szCs w:val="32"/>
          <w:highlight w:val="none"/>
        </w:rPr>
        <w:t>企业拟配备应急物资</w:t>
      </w:r>
    </w:p>
    <w:tbl>
      <w:tblPr>
        <w:tblStyle w:val="45"/>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2488"/>
        <w:gridCol w:w="2749"/>
        <w:gridCol w:w="3483"/>
      </w:tblGrid>
      <w:tr w14:paraId="07588E7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88" w:hRule="atLeast"/>
          <w:tblHeader/>
          <w:jc w:val="center"/>
        </w:trPr>
        <w:tc>
          <w:tcPr>
            <w:tcW w:w="2486" w:type="dxa"/>
            <w:tcBorders>
              <w:top w:val="single" w:color="auto" w:sz="12" w:space="0"/>
            </w:tcBorders>
            <w:vAlign w:val="center"/>
          </w:tcPr>
          <w:p w14:paraId="09B8AB1B">
            <w:pPr>
              <w:adjustRightInd w:val="0"/>
              <w:snapToGrid w:val="0"/>
              <w:ind w:left="-105" w:right="-105"/>
              <w:jc w:val="center"/>
              <w:rPr>
                <w:rFonts w:ascii="Times New Roman" w:hAnsi="Times New Roman" w:cs="Times New Roman"/>
                <w:b/>
                <w:bCs/>
                <w:color w:val="auto"/>
                <w:sz w:val="21"/>
                <w:szCs w:val="21"/>
                <w:highlight w:val="none"/>
              </w:rPr>
            </w:pPr>
            <w:bookmarkStart w:id="502" w:name="_Hlk87953768"/>
            <w:r>
              <w:rPr>
                <w:rFonts w:ascii="Times New Roman" w:hAnsi="Times New Roman" w:cs="Times New Roman"/>
                <w:b/>
                <w:bCs/>
                <w:color w:val="auto"/>
                <w:sz w:val="21"/>
                <w:szCs w:val="21"/>
                <w:highlight w:val="none"/>
              </w:rPr>
              <w:t>分类</w:t>
            </w:r>
          </w:p>
        </w:tc>
        <w:tc>
          <w:tcPr>
            <w:tcW w:w="2749" w:type="dxa"/>
            <w:tcBorders>
              <w:top w:val="single" w:color="auto" w:sz="12" w:space="0"/>
            </w:tcBorders>
            <w:vAlign w:val="center"/>
          </w:tcPr>
          <w:p w14:paraId="62452F30">
            <w:pPr>
              <w:adjustRightInd w:val="0"/>
              <w:snapToGrid w:val="0"/>
              <w:ind w:left="-105" w:right="-105"/>
              <w:jc w:val="center"/>
              <w:rPr>
                <w:rFonts w:ascii="Times New Roman" w:hAnsi="Times New Roman" w:cs="Times New Roman"/>
                <w:b/>
                <w:bCs/>
                <w:color w:val="auto"/>
                <w:sz w:val="21"/>
                <w:szCs w:val="21"/>
                <w:highlight w:val="none"/>
              </w:rPr>
            </w:pPr>
            <w:r>
              <w:rPr>
                <w:rFonts w:ascii="Times New Roman" w:hAnsi="Times New Roman" w:cs="Times New Roman"/>
                <w:b/>
                <w:bCs/>
                <w:color w:val="auto"/>
                <w:sz w:val="21"/>
                <w:szCs w:val="21"/>
                <w:highlight w:val="none"/>
              </w:rPr>
              <w:t>名称</w:t>
            </w:r>
          </w:p>
        </w:tc>
        <w:tc>
          <w:tcPr>
            <w:tcW w:w="3485" w:type="dxa"/>
            <w:tcBorders>
              <w:top w:val="single" w:color="auto" w:sz="12" w:space="0"/>
            </w:tcBorders>
            <w:vAlign w:val="center"/>
          </w:tcPr>
          <w:p w14:paraId="3DC80E32">
            <w:pPr>
              <w:adjustRightInd w:val="0"/>
              <w:snapToGrid w:val="0"/>
              <w:ind w:left="-105" w:right="-105"/>
              <w:jc w:val="center"/>
              <w:rPr>
                <w:rFonts w:ascii="Times New Roman" w:hAnsi="Times New Roman" w:cs="Times New Roman"/>
                <w:b/>
                <w:bCs/>
                <w:color w:val="auto"/>
                <w:sz w:val="21"/>
                <w:szCs w:val="21"/>
                <w:highlight w:val="none"/>
              </w:rPr>
            </w:pPr>
            <w:r>
              <w:rPr>
                <w:rFonts w:ascii="Times New Roman" w:hAnsi="Times New Roman" w:cs="Times New Roman"/>
                <w:b/>
                <w:bCs/>
                <w:color w:val="auto"/>
                <w:sz w:val="21"/>
                <w:szCs w:val="21"/>
                <w:highlight w:val="none"/>
              </w:rPr>
              <w:t>数量</w:t>
            </w:r>
          </w:p>
        </w:tc>
      </w:tr>
      <w:tr w14:paraId="0604E19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486" w:type="dxa"/>
            <w:vAlign w:val="center"/>
          </w:tcPr>
          <w:p w14:paraId="61786C76">
            <w:pPr>
              <w:adjustRightInd w:val="0"/>
              <w:snapToGrid w:val="0"/>
              <w:ind w:left="-105" w:right="-105"/>
              <w:jc w:val="center"/>
              <w:rPr>
                <w:rFonts w:ascii="Times New Roman" w:hAnsi="Times New Roman" w:cs="Times New Roman"/>
                <w:color w:val="auto"/>
                <w:sz w:val="21"/>
                <w:szCs w:val="21"/>
                <w:highlight w:val="none"/>
                <w:lang w:val="zh-CN"/>
              </w:rPr>
            </w:pPr>
            <w:r>
              <w:rPr>
                <w:rFonts w:ascii="Times New Roman" w:hAnsi="Times New Roman" w:cs="Times New Roman"/>
                <w:color w:val="auto"/>
                <w:sz w:val="21"/>
                <w:szCs w:val="21"/>
                <w:highlight w:val="none"/>
                <w:lang w:val="zh-CN"/>
              </w:rPr>
              <w:t>污染源切断</w:t>
            </w:r>
          </w:p>
        </w:tc>
        <w:tc>
          <w:tcPr>
            <w:tcW w:w="2749" w:type="dxa"/>
            <w:vAlign w:val="center"/>
          </w:tcPr>
          <w:p w14:paraId="484F21C5">
            <w:pPr>
              <w:adjustRightInd w:val="0"/>
              <w:snapToGrid w:val="0"/>
              <w:ind w:left="-105" w:right="-105"/>
              <w:jc w:val="center"/>
              <w:rPr>
                <w:rFonts w:ascii="Times New Roman" w:hAnsi="Times New Roman" w:cs="Times New Roman"/>
                <w:color w:val="auto"/>
                <w:sz w:val="21"/>
                <w:szCs w:val="21"/>
                <w:highlight w:val="none"/>
                <w:lang w:val="zh-CN"/>
              </w:rPr>
            </w:pPr>
            <w:r>
              <w:rPr>
                <w:rFonts w:hint="eastAsia" w:ascii="Times New Roman" w:hAnsi="Times New Roman" w:cs="Times New Roman"/>
                <w:color w:val="auto"/>
                <w:sz w:val="21"/>
                <w:szCs w:val="21"/>
                <w:highlight w:val="none"/>
                <w:lang w:val="zh-CN"/>
              </w:rPr>
              <w:t>雨水总排口切换阀门</w:t>
            </w:r>
          </w:p>
        </w:tc>
        <w:tc>
          <w:tcPr>
            <w:tcW w:w="3485" w:type="dxa"/>
            <w:vAlign w:val="center"/>
          </w:tcPr>
          <w:p w14:paraId="227DA1B3">
            <w:pPr>
              <w:adjustRightInd w:val="0"/>
              <w:snapToGrid w:val="0"/>
              <w:ind w:left="-105" w:right="-105"/>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1个</w:t>
            </w:r>
          </w:p>
        </w:tc>
      </w:tr>
      <w:tr w14:paraId="6500386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486" w:type="dxa"/>
            <w:vMerge w:val="restart"/>
            <w:vAlign w:val="center"/>
          </w:tcPr>
          <w:p w14:paraId="1A653DA4">
            <w:pPr>
              <w:adjustRightInd w:val="0"/>
              <w:snapToGrid w:val="0"/>
              <w:ind w:left="-105" w:right="-105"/>
              <w:jc w:val="center"/>
              <w:rPr>
                <w:rFonts w:ascii="Times New Roman" w:hAnsi="Times New Roman" w:cs="Times New Roman"/>
                <w:color w:val="auto"/>
                <w:sz w:val="21"/>
                <w:szCs w:val="21"/>
                <w:highlight w:val="none"/>
                <w:lang w:val="zh-CN"/>
              </w:rPr>
            </w:pPr>
            <w:r>
              <w:rPr>
                <w:rFonts w:ascii="Times New Roman" w:hAnsi="Times New Roman" w:cs="Times New Roman"/>
                <w:color w:val="auto"/>
                <w:sz w:val="21"/>
                <w:szCs w:val="21"/>
                <w:highlight w:val="none"/>
              </w:rPr>
              <w:t>污染物控制</w:t>
            </w:r>
          </w:p>
        </w:tc>
        <w:tc>
          <w:tcPr>
            <w:tcW w:w="2749" w:type="dxa"/>
            <w:vAlign w:val="center"/>
          </w:tcPr>
          <w:p w14:paraId="7FF8D217">
            <w:pPr>
              <w:pStyle w:val="236"/>
              <w:ind w:left="-105" w:right="-105"/>
              <w:jc w:val="center"/>
              <w:rPr>
                <w:rFonts w:ascii="Times New Roman" w:hAnsi="Times New Roman" w:eastAsia="宋体" w:cs="Times New Roman"/>
                <w:color w:val="auto"/>
                <w:sz w:val="21"/>
                <w:szCs w:val="21"/>
                <w:highlight w:val="none"/>
                <w:lang w:val="zh-CN" w:eastAsia="zh-CN"/>
              </w:rPr>
            </w:pPr>
            <w:r>
              <w:rPr>
                <w:rFonts w:ascii="Times New Roman" w:hAnsi="Times New Roman" w:eastAsia="宋体" w:cs="Times New Roman"/>
                <w:color w:val="auto"/>
                <w:sz w:val="21"/>
                <w:szCs w:val="21"/>
                <w:highlight w:val="none"/>
                <w:lang w:val="zh-CN" w:eastAsia="zh-CN"/>
              </w:rPr>
              <w:t>黄沙</w:t>
            </w:r>
          </w:p>
        </w:tc>
        <w:tc>
          <w:tcPr>
            <w:tcW w:w="3485" w:type="dxa"/>
            <w:vAlign w:val="center"/>
          </w:tcPr>
          <w:p w14:paraId="387A03CC">
            <w:pPr>
              <w:pStyle w:val="236"/>
              <w:ind w:left="-105" w:right="-105"/>
              <w:jc w:val="center"/>
              <w:rPr>
                <w:rFonts w:ascii="Times New Roman" w:hAnsi="Times New Roman" w:eastAsia="宋体" w:cs="Times New Roman"/>
                <w:color w:val="auto"/>
                <w:sz w:val="21"/>
                <w:szCs w:val="21"/>
                <w:highlight w:val="none"/>
                <w:lang w:val="zh-CN" w:eastAsia="zh-CN"/>
              </w:rPr>
            </w:pPr>
            <w:r>
              <w:rPr>
                <w:rFonts w:ascii="Times New Roman" w:hAnsi="Times New Roman" w:eastAsia="宋体" w:cs="Times New Roman"/>
                <w:color w:val="auto"/>
                <w:sz w:val="21"/>
                <w:szCs w:val="21"/>
                <w:highlight w:val="none"/>
                <w:lang w:val="zh-CN" w:eastAsia="zh-CN"/>
              </w:rPr>
              <w:t>7堆</w:t>
            </w:r>
          </w:p>
        </w:tc>
      </w:tr>
      <w:tr w14:paraId="682960A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486" w:type="dxa"/>
            <w:vMerge w:val="continue"/>
            <w:vAlign w:val="center"/>
          </w:tcPr>
          <w:p w14:paraId="5C1F6C51">
            <w:pPr>
              <w:adjustRightInd w:val="0"/>
              <w:snapToGrid w:val="0"/>
              <w:ind w:left="-105" w:right="-105"/>
              <w:jc w:val="center"/>
              <w:rPr>
                <w:rFonts w:ascii="Times New Roman" w:hAnsi="Times New Roman" w:cs="Times New Roman"/>
                <w:color w:val="auto"/>
                <w:sz w:val="21"/>
                <w:szCs w:val="21"/>
                <w:highlight w:val="none"/>
              </w:rPr>
            </w:pPr>
          </w:p>
        </w:tc>
        <w:tc>
          <w:tcPr>
            <w:tcW w:w="2749" w:type="dxa"/>
            <w:vAlign w:val="center"/>
          </w:tcPr>
          <w:p w14:paraId="6B449029">
            <w:pPr>
              <w:adjustRightInd w:val="0"/>
              <w:snapToGrid w:val="0"/>
              <w:ind w:left="-105" w:right="-105"/>
              <w:jc w:val="center"/>
              <w:rPr>
                <w:rFonts w:ascii="Times New Roman" w:hAnsi="Times New Roman" w:cs="Times New Roman"/>
                <w:color w:val="auto"/>
                <w:sz w:val="21"/>
                <w:szCs w:val="21"/>
                <w:highlight w:val="none"/>
                <w:lang w:val="zh-CN"/>
              </w:rPr>
            </w:pPr>
            <w:r>
              <w:rPr>
                <w:rFonts w:hint="eastAsia" w:ascii="Times New Roman" w:hAnsi="Times New Roman" w:cs="Times New Roman"/>
                <w:color w:val="auto"/>
                <w:sz w:val="21"/>
                <w:szCs w:val="21"/>
                <w:highlight w:val="none"/>
                <w:lang w:val="zh-CN"/>
              </w:rPr>
              <w:t>铁锹</w:t>
            </w:r>
          </w:p>
        </w:tc>
        <w:tc>
          <w:tcPr>
            <w:tcW w:w="3485" w:type="dxa"/>
            <w:vAlign w:val="center"/>
          </w:tcPr>
          <w:p w14:paraId="1BCE1EE7">
            <w:pPr>
              <w:adjustRightInd w:val="0"/>
              <w:snapToGrid w:val="0"/>
              <w:ind w:left="-105" w:right="-105"/>
              <w:jc w:val="center"/>
              <w:rPr>
                <w:rFonts w:ascii="Times New Roman" w:hAnsi="Times New Roman" w:cs="Times New Roman"/>
                <w:color w:val="auto"/>
                <w:sz w:val="21"/>
                <w:szCs w:val="21"/>
                <w:highlight w:val="none"/>
                <w:lang w:val="zh-CN"/>
              </w:rPr>
            </w:pPr>
            <w:r>
              <w:rPr>
                <w:rFonts w:hint="eastAsia" w:ascii="Times New Roman" w:hAnsi="Times New Roman" w:cs="Times New Roman"/>
                <w:color w:val="auto"/>
                <w:sz w:val="21"/>
                <w:szCs w:val="21"/>
                <w:highlight w:val="none"/>
                <w:lang w:val="zh-CN"/>
              </w:rPr>
              <w:t>2把</w:t>
            </w:r>
          </w:p>
        </w:tc>
      </w:tr>
      <w:tr w14:paraId="6E8A52C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486" w:type="dxa"/>
            <w:vMerge w:val="restart"/>
            <w:vAlign w:val="center"/>
          </w:tcPr>
          <w:p w14:paraId="6525F1F0">
            <w:pPr>
              <w:adjustRightInd w:val="0"/>
              <w:snapToGrid w:val="0"/>
              <w:ind w:left="-105" w:right="-105"/>
              <w:jc w:val="center"/>
              <w:rPr>
                <w:rFonts w:ascii="Times New Roman" w:hAnsi="Times New Roman" w:cs="Times New Roman"/>
                <w:color w:val="auto"/>
                <w:sz w:val="21"/>
                <w:szCs w:val="21"/>
                <w:highlight w:val="none"/>
                <w:lang w:val="zh-CN"/>
              </w:rPr>
            </w:pPr>
            <w:r>
              <w:rPr>
                <w:rFonts w:ascii="Times New Roman" w:hAnsi="Times New Roman" w:cs="Times New Roman"/>
                <w:color w:val="auto"/>
                <w:sz w:val="21"/>
                <w:szCs w:val="21"/>
                <w:highlight w:val="none"/>
              </w:rPr>
              <w:t>污染物收集</w:t>
            </w:r>
          </w:p>
        </w:tc>
        <w:tc>
          <w:tcPr>
            <w:tcW w:w="2749" w:type="dxa"/>
            <w:vAlign w:val="center"/>
          </w:tcPr>
          <w:p w14:paraId="5ED87E9E">
            <w:pPr>
              <w:adjustRightInd w:val="0"/>
              <w:snapToGrid w:val="0"/>
              <w:ind w:left="-105" w:right="-105"/>
              <w:jc w:val="center"/>
              <w:rPr>
                <w:rFonts w:ascii="Times New Roman" w:hAnsi="Times New Roman" w:cs="Times New Roman"/>
                <w:color w:val="auto"/>
                <w:sz w:val="21"/>
                <w:szCs w:val="21"/>
                <w:highlight w:val="none"/>
                <w:lang w:val="zh-CN"/>
              </w:rPr>
            </w:pPr>
            <w:r>
              <w:rPr>
                <w:rFonts w:hint="eastAsia" w:ascii="Times New Roman" w:hAnsi="Times New Roman" w:cs="Times New Roman"/>
                <w:color w:val="auto"/>
                <w:sz w:val="21"/>
                <w:szCs w:val="21"/>
                <w:highlight w:val="none"/>
                <w:lang w:val="zh-CN"/>
              </w:rPr>
              <w:t>吸附纸</w:t>
            </w:r>
          </w:p>
        </w:tc>
        <w:tc>
          <w:tcPr>
            <w:tcW w:w="3485" w:type="dxa"/>
            <w:vAlign w:val="center"/>
          </w:tcPr>
          <w:p w14:paraId="76E2A2A7">
            <w:pPr>
              <w:adjustRightInd w:val="0"/>
              <w:snapToGrid w:val="0"/>
              <w:ind w:left="-105" w:right="-105"/>
              <w:jc w:val="center"/>
              <w:rPr>
                <w:rFonts w:ascii="Times New Roman" w:hAnsi="Times New Roman" w:cs="Times New Roman"/>
                <w:color w:val="auto"/>
                <w:sz w:val="21"/>
                <w:szCs w:val="21"/>
                <w:highlight w:val="none"/>
                <w:lang w:val="zh-CN"/>
              </w:rPr>
            </w:pPr>
            <w:r>
              <w:rPr>
                <w:rFonts w:hint="eastAsia" w:ascii="Times New Roman" w:hAnsi="Times New Roman" w:cs="Times New Roman"/>
                <w:color w:val="auto"/>
                <w:sz w:val="21"/>
                <w:szCs w:val="21"/>
                <w:highlight w:val="none"/>
                <w:lang w:val="zh-CN"/>
              </w:rPr>
              <w:t>1箱</w:t>
            </w:r>
          </w:p>
        </w:tc>
      </w:tr>
      <w:tr w14:paraId="0696C97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486" w:type="dxa"/>
            <w:vMerge w:val="continue"/>
            <w:vAlign w:val="center"/>
          </w:tcPr>
          <w:p w14:paraId="66783EDE">
            <w:pPr>
              <w:adjustRightInd w:val="0"/>
              <w:snapToGrid w:val="0"/>
              <w:ind w:left="-105" w:right="-105"/>
              <w:jc w:val="center"/>
              <w:rPr>
                <w:rFonts w:ascii="Times New Roman" w:hAnsi="Times New Roman" w:cs="Times New Roman"/>
                <w:color w:val="auto"/>
                <w:sz w:val="21"/>
                <w:szCs w:val="21"/>
                <w:highlight w:val="none"/>
              </w:rPr>
            </w:pPr>
          </w:p>
        </w:tc>
        <w:tc>
          <w:tcPr>
            <w:tcW w:w="2749" w:type="dxa"/>
            <w:vAlign w:val="center"/>
          </w:tcPr>
          <w:p w14:paraId="3FECE959">
            <w:pPr>
              <w:pStyle w:val="236"/>
              <w:ind w:left="-105" w:right="-105"/>
              <w:jc w:val="center"/>
              <w:rPr>
                <w:rFonts w:ascii="Times New Roman" w:hAnsi="Times New Roman" w:eastAsia="宋体" w:cs="Times New Roman"/>
                <w:color w:val="auto"/>
                <w:sz w:val="21"/>
                <w:szCs w:val="21"/>
                <w:highlight w:val="none"/>
                <w:lang w:val="zh-CN" w:eastAsia="zh-CN"/>
              </w:rPr>
            </w:pPr>
            <w:r>
              <w:rPr>
                <w:rFonts w:hint="eastAsia" w:ascii="Times New Roman" w:hAnsi="Times New Roman" w:eastAsia="宋体" w:cs="Times New Roman"/>
                <w:color w:val="auto"/>
                <w:sz w:val="21"/>
                <w:szCs w:val="21"/>
                <w:highlight w:val="none"/>
                <w:lang w:val="zh-CN" w:eastAsia="zh-CN"/>
              </w:rPr>
              <w:t>应急事故池</w:t>
            </w:r>
          </w:p>
        </w:tc>
        <w:tc>
          <w:tcPr>
            <w:tcW w:w="3485" w:type="dxa"/>
            <w:vAlign w:val="center"/>
          </w:tcPr>
          <w:p w14:paraId="3E72D671">
            <w:pPr>
              <w:adjustRightInd w:val="0"/>
              <w:snapToGrid w:val="0"/>
              <w:ind w:left="-105" w:right="-105"/>
              <w:jc w:val="center"/>
              <w:rPr>
                <w:rFonts w:ascii="Times New Roman" w:hAnsi="Times New Roman" w:cs="Times New Roman"/>
                <w:color w:val="auto"/>
                <w:sz w:val="21"/>
                <w:szCs w:val="21"/>
                <w:highlight w:val="none"/>
                <w:lang w:val="zh-CN"/>
              </w:rPr>
            </w:pPr>
            <w:r>
              <w:rPr>
                <w:rFonts w:hint="eastAsia" w:ascii="Times New Roman" w:hAnsi="Times New Roman" w:cs="Times New Roman"/>
                <w:color w:val="auto"/>
                <w:sz w:val="21"/>
                <w:szCs w:val="21"/>
                <w:highlight w:val="none"/>
                <w:lang w:val="zh-CN"/>
              </w:rPr>
              <w:t>540m</w:t>
            </w:r>
            <w:r>
              <w:rPr>
                <w:rFonts w:hint="eastAsia" w:ascii="Times New Roman" w:hAnsi="Times New Roman" w:cs="Times New Roman"/>
                <w:color w:val="auto"/>
                <w:sz w:val="21"/>
                <w:szCs w:val="21"/>
                <w:highlight w:val="none"/>
                <w:vertAlign w:val="superscript"/>
                <w:lang w:val="zh-CN"/>
              </w:rPr>
              <w:t>3</w:t>
            </w:r>
          </w:p>
        </w:tc>
      </w:tr>
      <w:tr w14:paraId="77F43D0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486" w:type="dxa"/>
            <w:vMerge w:val="continue"/>
            <w:vAlign w:val="center"/>
          </w:tcPr>
          <w:p w14:paraId="10C13A1F">
            <w:pPr>
              <w:adjustRightInd w:val="0"/>
              <w:snapToGrid w:val="0"/>
              <w:ind w:left="-105" w:right="-105"/>
              <w:jc w:val="center"/>
              <w:rPr>
                <w:rFonts w:ascii="Times New Roman" w:hAnsi="Times New Roman" w:cs="Times New Roman"/>
                <w:color w:val="auto"/>
                <w:sz w:val="21"/>
                <w:szCs w:val="21"/>
                <w:highlight w:val="none"/>
              </w:rPr>
            </w:pPr>
          </w:p>
        </w:tc>
        <w:tc>
          <w:tcPr>
            <w:tcW w:w="2749" w:type="dxa"/>
            <w:vAlign w:val="center"/>
          </w:tcPr>
          <w:p w14:paraId="5665434F">
            <w:pPr>
              <w:pStyle w:val="236"/>
              <w:ind w:left="-105" w:right="-105"/>
              <w:jc w:val="center"/>
              <w:rPr>
                <w:rFonts w:ascii="Times New Roman" w:hAnsi="Times New Roman" w:eastAsia="宋体" w:cs="Times New Roman"/>
                <w:color w:val="auto"/>
                <w:sz w:val="21"/>
                <w:szCs w:val="21"/>
                <w:highlight w:val="none"/>
                <w:lang w:val="zh-CN" w:eastAsia="zh-CN"/>
              </w:rPr>
            </w:pPr>
            <w:r>
              <w:rPr>
                <w:rFonts w:hint="eastAsia" w:ascii="Times New Roman" w:hAnsi="Times New Roman" w:eastAsia="宋体" w:cs="Times New Roman"/>
                <w:color w:val="auto"/>
                <w:sz w:val="21"/>
                <w:szCs w:val="21"/>
                <w:highlight w:val="none"/>
                <w:lang w:val="zh-CN" w:eastAsia="zh-CN"/>
              </w:rPr>
              <w:t>围堰</w:t>
            </w:r>
          </w:p>
        </w:tc>
        <w:tc>
          <w:tcPr>
            <w:tcW w:w="3485" w:type="dxa"/>
            <w:vAlign w:val="center"/>
          </w:tcPr>
          <w:p w14:paraId="47C57594">
            <w:pPr>
              <w:adjustRightInd w:val="0"/>
              <w:snapToGrid w:val="0"/>
              <w:ind w:left="-105" w:right="-105"/>
              <w:jc w:val="center"/>
              <w:rPr>
                <w:rFonts w:ascii="Times New Roman" w:hAnsi="Times New Roman" w:cs="Times New Roman"/>
                <w:color w:val="auto"/>
                <w:sz w:val="21"/>
                <w:szCs w:val="21"/>
                <w:highlight w:val="none"/>
                <w:lang w:val="zh-CN"/>
              </w:rPr>
            </w:pPr>
            <w:r>
              <w:rPr>
                <w:rFonts w:hint="eastAsia" w:ascii="Times New Roman" w:hAnsi="Times New Roman" w:cs="Times New Roman"/>
                <w:color w:val="auto"/>
                <w:sz w:val="21"/>
                <w:szCs w:val="21"/>
                <w:highlight w:val="none"/>
                <w:lang w:val="zh-CN"/>
              </w:rPr>
              <w:t>15.4×6.4×0.93m</w:t>
            </w:r>
          </w:p>
        </w:tc>
      </w:tr>
      <w:tr w14:paraId="2DE999A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486" w:type="dxa"/>
            <w:vMerge w:val="continue"/>
            <w:vAlign w:val="center"/>
          </w:tcPr>
          <w:p w14:paraId="58844A94">
            <w:pPr>
              <w:adjustRightInd w:val="0"/>
              <w:snapToGrid w:val="0"/>
              <w:ind w:left="-105" w:right="-105"/>
              <w:jc w:val="center"/>
              <w:rPr>
                <w:rFonts w:ascii="Times New Roman" w:hAnsi="Times New Roman" w:cs="Times New Roman"/>
                <w:color w:val="auto"/>
                <w:sz w:val="21"/>
                <w:szCs w:val="21"/>
                <w:highlight w:val="none"/>
              </w:rPr>
            </w:pPr>
          </w:p>
        </w:tc>
        <w:tc>
          <w:tcPr>
            <w:tcW w:w="2749" w:type="dxa"/>
            <w:vAlign w:val="center"/>
          </w:tcPr>
          <w:p w14:paraId="6A025297">
            <w:pPr>
              <w:adjustRightInd w:val="0"/>
              <w:snapToGrid w:val="0"/>
              <w:ind w:left="-105" w:right="-105"/>
              <w:jc w:val="center"/>
              <w:rPr>
                <w:rFonts w:ascii="Times New Roman" w:hAnsi="Times New Roman" w:cs="Times New Roman"/>
                <w:color w:val="auto"/>
                <w:sz w:val="21"/>
                <w:szCs w:val="21"/>
                <w:highlight w:val="none"/>
                <w:lang w:val="zh-CN"/>
              </w:rPr>
            </w:pPr>
            <w:r>
              <w:rPr>
                <w:rFonts w:hint="eastAsia" w:ascii="Times New Roman" w:hAnsi="Times New Roman" w:cs="Times New Roman"/>
                <w:color w:val="auto"/>
                <w:sz w:val="21"/>
                <w:szCs w:val="21"/>
                <w:highlight w:val="none"/>
                <w:lang w:val="zh-CN"/>
              </w:rPr>
              <w:t>水泵</w:t>
            </w:r>
          </w:p>
        </w:tc>
        <w:tc>
          <w:tcPr>
            <w:tcW w:w="3485" w:type="dxa"/>
            <w:vAlign w:val="center"/>
          </w:tcPr>
          <w:p w14:paraId="566E1DCF">
            <w:pPr>
              <w:adjustRightInd w:val="0"/>
              <w:snapToGrid w:val="0"/>
              <w:ind w:left="-105" w:right="-105"/>
              <w:jc w:val="center"/>
              <w:rPr>
                <w:rFonts w:ascii="Times New Roman" w:hAnsi="Times New Roman" w:cs="Times New Roman"/>
                <w:color w:val="auto"/>
                <w:sz w:val="21"/>
                <w:szCs w:val="21"/>
                <w:highlight w:val="none"/>
                <w:lang w:val="zh-CN"/>
              </w:rPr>
            </w:pPr>
            <w:r>
              <w:rPr>
                <w:rFonts w:hint="eastAsia" w:ascii="Times New Roman" w:hAnsi="Times New Roman" w:cs="Times New Roman"/>
                <w:color w:val="auto"/>
                <w:sz w:val="21"/>
                <w:szCs w:val="21"/>
                <w:highlight w:val="none"/>
                <w:lang w:val="zh-CN"/>
              </w:rPr>
              <w:t>2台</w:t>
            </w:r>
          </w:p>
        </w:tc>
      </w:tr>
      <w:tr w14:paraId="6FFF40D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486" w:type="dxa"/>
            <w:vMerge w:val="continue"/>
            <w:vAlign w:val="center"/>
          </w:tcPr>
          <w:p w14:paraId="6B74EED7">
            <w:pPr>
              <w:adjustRightInd w:val="0"/>
              <w:snapToGrid w:val="0"/>
              <w:ind w:left="-105" w:right="-105"/>
              <w:jc w:val="center"/>
              <w:rPr>
                <w:rFonts w:ascii="Times New Roman" w:hAnsi="Times New Roman" w:cs="Times New Roman"/>
                <w:color w:val="auto"/>
                <w:sz w:val="21"/>
                <w:szCs w:val="21"/>
                <w:highlight w:val="none"/>
              </w:rPr>
            </w:pPr>
          </w:p>
        </w:tc>
        <w:tc>
          <w:tcPr>
            <w:tcW w:w="2749" w:type="dxa"/>
            <w:vAlign w:val="center"/>
          </w:tcPr>
          <w:p w14:paraId="22289EDD">
            <w:pPr>
              <w:adjustRightInd w:val="0"/>
              <w:snapToGrid w:val="0"/>
              <w:ind w:left="-105" w:right="-105"/>
              <w:jc w:val="center"/>
              <w:rPr>
                <w:rFonts w:ascii="Times New Roman" w:hAnsi="Times New Roman" w:cs="Times New Roman"/>
                <w:color w:val="auto"/>
                <w:sz w:val="21"/>
                <w:szCs w:val="21"/>
                <w:highlight w:val="none"/>
                <w:lang w:val="zh-CN"/>
              </w:rPr>
            </w:pPr>
            <w:r>
              <w:rPr>
                <w:rFonts w:hint="eastAsia" w:ascii="Times New Roman" w:hAnsi="Times New Roman" w:cs="Times New Roman"/>
                <w:color w:val="auto"/>
                <w:sz w:val="21"/>
                <w:szCs w:val="21"/>
                <w:highlight w:val="none"/>
                <w:lang w:val="zh-CN"/>
              </w:rPr>
              <w:t>应急电源</w:t>
            </w:r>
          </w:p>
        </w:tc>
        <w:tc>
          <w:tcPr>
            <w:tcW w:w="3485" w:type="dxa"/>
            <w:vAlign w:val="center"/>
          </w:tcPr>
          <w:p w14:paraId="4F730D9C">
            <w:pPr>
              <w:adjustRightInd w:val="0"/>
              <w:snapToGrid w:val="0"/>
              <w:ind w:left="-105" w:right="-105"/>
              <w:jc w:val="center"/>
              <w:rPr>
                <w:rFonts w:ascii="Times New Roman" w:hAnsi="Times New Roman" w:cs="Times New Roman"/>
                <w:color w:val="auto"/>
                <w:sz w:val="21"/>
                <w:szCs w:val="21"/>
                <w:highlight w:val="none"/>
                <w:lang w:val="zh-CN"/>
              </w:rPr>
            </w:pPr>
            <w:r>
              <w:rPr>
                <w:rFonts w:hint="eastAsia" w:ascii="Times New Roman" w:hAnsi="Times New Roman" w:cs="Times New Roman"/>
                <w:color w:val="auto"/>
                <w:sz w:val="21"/>
                <w:szCs w:val="21"/>
                <w:highlight w:val="none"/>
              </w:rPr>
              <w:t>1</w:t>
            </w:r>
            <w:r>
              <w:rPr>
                <w:rFonts w:hint="eastAsia" w:ascii="Times New Roman" w:hAnsi="Times New Roman" w:cs="Times New Roman"/>
                <w:color w:val="auto"/>
                <w:sz w:val="21"/>
                <w:szCs w:val="21"/>
                <w:highlight w:val="none"/>
                <w:lang w:val="zh-CN"/>
              </w:rPr>
              <w:t>台</w:t>
            </w:r>
          </w:p>
        </w:tc>
      </w:tr>
      <w:tr w14:paraId="43379EC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486" w:type="dxa"/>
            <w:vAlign w:val="center"/>
          </w:tcPr>
          <w:p w14:paraId="331CF2E0">
            <w:pPr>
              <w:adjustRightInd w:val="0"/>
              <w:snapToGrid w:val="0"/>
              <w:ind w:left="-105" w:right="-105"/>
              <w:jc w:val="center"/>
              <w:rPr>
                <w:rFonts w:ascii="Times New Roman" w:hAnsi="Times New Roman" w:cs="Times New Roman"/>
                <w:color w:val="auto"/>
                <w:sz w:val="21"/>
                <w:szCs w:val="21"/>
                <w:highlight w:val="none"/>
                <w:lang w:val="zh-CN"/>
              </w:rPr>
            </w:pPr>
            <w:r>
              <w:rPr>
                <w:rFonts w:ascii="Times New Roman" w:hAnsi="Times New Roman" w:cs="Times New Roman"/>
                <w:color w:val="auto"/>
                <w:sz w:val="21"/>
                <w:szCs w:val="21"/>
                <w:highlight w:val="none"/>
              </w:rPr>
              <w:t>污染物降解</w:t>
            </w:r>
          </w:p>
        </w:tc>
        <w:tc>
          <w:tcPr>
            <w:tcW w:w="2749" w:type="dxa"/>
            <w:vAlign w:val="center"/>
          </w:tcPr>
          <w:p w14:paraId="2F086AE1">
            <w:pPr>
              <w:adjustRightInd w:val="0"/>
              <w:snapToGrid w:val="0"/>
              <w:ind w:left="-105" w:right="-105"/>
              <w:jc w:val="center"/>
              <w:rPr>
                <w:rFonts w:ascii="Times New Roman" w:hAnsi="Times New Roman" w:cs="Times New Roman"/>
                <w:color w:val="auto"/>
                <w:sz w:val="21"/>
                <w:szCs w:val="21"/>
                <w:highlight w:val="none"/>
                <w:lang w:val="zh-CN"/>
              </w:rPr>
            </w:pPr>
            <w:r>
              <w:rPr>
                <w:rFonts w:hint="eastAsia" w:ascii="Times New Roman" w:hAnsi="Times New Roman" w:cs="Times New Roman"/>
                <w:color w:val="auto"/>
                <w:sz w:val="21"/>
                <w:szCs w:val="21"/>
                <w:highlight w:val="none"/>
                <w:lang w:val="zh-CN"/>
              </w:rPr>
              <w:t>活性炭等吸附材料</w:t>
            </w:r>
          </w:p>
        </w:tc>
        <w:tc>
          <w:tcPr>
            <w:tcW w:w="3485" w:type="dxa"/>
            <w:vAlign w:val="center"/>
          </w:tcPr>
          <w:p w14:paraId="77382E2D">
            <w:pPr>
              <w:adjustRightInd w:val="0"/>
              <w:snapToGrid w:val="0"/>
              <w:ind w:left="-105" w:right="-105"/>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2箱</w:t>
            </w:r>
          </w:p>
        </w:tc>
      </w:tr>
      <w:tr w14:paraId="3B003E7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486" w:type="dxa"/>
            <w:vMerge w:val="restart"/>
            <w:vAlign w:val="center"/>
          </w:tcPr>
          <w:p w14:paraId="1A8943B8">
            <w:pPr>
              <w:adjustRightInd w:val="0"/>
              <w:snapToGrid w:val="0"/>
              <w:ind w:left="-105" w:right="-105"/>
              <w:jc w:val="center"/>
              <w:rPr>
                <w:rFonts w:ascii="Times New Roman" w:hAnsi="Times New Roman" w:cs="Times New Roman"/>
                <w:color w:val="auto"/>
                <w:sz w:val="21"/>
                <w:szCs w:val="21"/>
                <w:highlight w:val="none"/>
                <w:lang w:val="zh-CN"/>
              </w:rPr>
            </w:pPr>
            <w:r>
              <w:rPr>
                <w:rFonts w:ascii="Times New Roman" w:hAnsi="Times New Roman" w:cs="Times New Roman"/>
                <w:color w:val="auto"/>
                <w:sz w:val="21"/>
                <w:szCs w:val="21"/>
                <w:highlight w:val="none"/>
              </w:rPr>
              <w:t>安全防护</w:t>
            </w:r>
          </w:p>
        </w:tc>
        <w:tc>
          <w:tcPr>
            <w:tcW w:w="2749" w:type="dxa"/>
            <w:vAlign w:val="center"/>
          </w:tcPr>
          <w:p w14:paraId="4E349B89">
            <w:pPr>
              <w:pStyle w:val="236"/>
              <w:ind w:left="-105" w:right="-105"/>
              <w:jc w:val="center"/>
              <w:rPr>
                <w:rFonts w:ascii="Times New Roman" w:hAnsi="Times New Roman" w:eastAsia="宋体" w:cs="Times New Roman"/>
                <w:color w:val="auto"/>
                <w:sz w:val="21"/>
                <w:szCs w:val="21"/>
                <w:highlight w:val="none"/>
                <w:lang w:val="zh-CN"/>
              </w:rPr>
            </w:pPr>
            <w:r>
              <w:rPr>
                <w:rFonts w:hint="eastAsia" w:ascii="Times New Roman" w:hAnsi="Times New Roman" w:eastAsia="宋体" w:cs="Times New Roman"/>
                <w:color w:val="auto"/>
                <w:sz w:val="21"/>
                <w:szCs w:val="21"/>
                <w:highlight w:val="none"/>
                <w:lang w:val="zh-CN" w:eastAsia="zh-CN"/>
              </w:rPr>
              <w:t>有毒有害气体泄露监控预警系统</w:t>
            </w:r>
          </w:p>
        </w:tc>
        <w:tc>
          <w:tcPr>
            <w:tcW w:w="3485" w:type="dxa"/>
            <w:vAlign w:val="center"/>
          </w:tcPr>
          <w:p w14:paraId="0C5D3B1E">
            <w:pPr>
              <w:pStyle w:val="236"/>
              <w:ind w:left="-105" w:right="-105"/>
              <w:jc w:val="center"/>
              <w:rPr>
                <w:rFonts w:ascii="Times New Roman" w:hAnsi="Times New Roman" w:eastAsia="宋体" w:cs="Times New Roman"/>
                <w:color w:val="auto"/>
                <w:sz w:val="21"/>
                <w:szCs w:val="21"/>
                <w:highlight w:val="none"/>
                <w:lang w:val="zh-CN"/>
              </w:rPr>
            </w:pPr>
            <w:r>
              <w:rPr>
                <w:rFonts w:hint="eastAsia" w:ascii="Times New Roman" w:hAnsi="Times New Roman" w:eastAsia="宋体" w:cs="Times New Roman"/>
                <w:color w:val="auto"/>
                <w:sz w:val="21"/>
                <w:szCs w:val="21"/>
                <w:highlight w:val="none"/>
                <w:lang w:val="zh-CN" w:eastAsia="zh-CN"/>
              </w:rPr>
              <w:t>2个</w:t>
            </w:r>
          </w:p>
        </w:tc>
      </w:tr>
      <w:tr w14:paraId="6264FC1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486" w:type="dxa"/>
            <w:vMerge w:val="continue"/>
            <w:vAlign w:val="center"/>
          </w:tcPr>
          <w:p w14:paraId="379B5B69">
            <w:pPr>
              <w:adjustRightInd w:val="0"/>
              <w:snapToGrid w:val="0"/>
              <w:ind w:left="-105" w:right="-105"/>
              <w:jc w:val="center"/>
              <w:rPr>
                <w:rFonts w:ascii="Times New Roman" w:hAnsi="Times New Roman" w:cs="Times New Roman"/>
                <w:color w:val="auto"/>
                <w:sz w:val="21"/>
                <w:szCs w:val="21"/>
                <w:highlight w:val="none"/>
              </w:rPr>
            </w:pPr>
          </w:p>
        </w:tc>
        <w:tc>
          <w:tcPr>
            <w:tcW w:w="2749" w:type="dxa"/>
            <w:vAlign w:val="center"/>
          </w:tcPr>
          <w:p w14:paraId="6F7C42EC">
            <w:pPr>
              <w:adjustRightInd w:val="0"/>
              <w:snapToGrid w:val="0"/>
              <w:ind w:left="-105" w:right="-105"/>
              <w:jc w:val="center"/>
              <w:rPr>
                <w:rFonts w:ascii="Times New Roman" w:hAnsi="Times New Roman" w:cs="Times New Roman"/>
                <w:color w:val="auto"/>
                <w:sz w:val="21"/>
                <w:szCs w:val="21"/>
                <w:highlight w:val="none"/>
                <w:lang w:val="zh-CN" w:eastAsia="en-US"/>
              </w:rPr>
            </w:pPr>
            <w:r>
              <w:rPr>
                <w:rFonts w:hint="eastAsia" w:ascii="Times New Roman" w:hAnsi="Times New Roman" w:cs="Times New Roman"/>
                <w:color w:val="auto"/>
                <w:sz w:val="21"/>
                <w:szCs w:val="21"/>
                <w:highlight w:val="none"/>
                <w:lang w:val="zh-CN"/>
              </w:rPr>
              <w:t>烟感报警器</w:t>
            </w:r>
          </w:p>
        </w:tc>
        <w:tc>
          <w:tcPr>
            <w:tcW w:w="3485" w:type="dxa"/>
            <w:vAlign w:val="center"/>
          </w:tcPr>
          <w:p w14:paraId="65D0CE86">
            <w:pPr>
              <w:adjustRightInd w:val="0"/>
              <w:snapToGrid w:val="0"/>
              <w:ind w:left="-105" w:right="-105"/>
              <w:jc w:val="center"/>
              <w:rPr>
                <w:rFonts w:ascii="Times New Roman" w:hAnsi="Times New Roman" w:cs="Times New Roman"/>
                <w:color w:val="auto"/>
                <w:sz w:val="21"/>
                <w:szCs w:val="21"/>
                <w:highlight w:val="none"/>
                <w:lang w:val="zh-CN" w:eastAsia="en-US"/>
              </w:rPr>
            </w:pPr>
            <w:r>
              <w:rPr>
                <w:rFonts w:hint="eastAsia" w:ascii="Times New Roman" w:hAnsi="Times New Roman" w:cs="Times New Roman"/>
                <w:color w:val="auto"/>
                <w:sz w:val="21"/>
                <w:szCs w:val="21"/>
                <w:highlight w:val="none"/>
                <w:lang w:val="zh-CN"/>
              </w:rPr>
              <w:t>55个</w:t>
            </w:r>
          </w:p>
        </w:tc>
      </w:tr>
      <w:tr w14:paraId="79E8F75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486" w:type="dxa"/>
            <w:vMerge w:val="continue"/>
            <w:vAlign w:val="center"/>
          </w:tcPr>
          <w:p w14:paraId="30744B48">
            <w:pPr>
              <w:adjustRightInd w:val="0"/>
              <w:snapToGrid w:val="0"/>
              <w:ind w:left="-105" w:right="-105"/>
              <w:jc w:val="center"/>
              <w:rPr>
                <w:rFonts w:ascii="Times New Roman" w:hAnsi="Times New Roman" w:cs="Times New Roman"/>
                <w:color w:val="auto"/>
                <w:sz w:val="21"/>
                <w:szCs w:val="21"/>
                <w:highlight w:val="none"/>
              </w:rPr>
            </w:pPr>
          </w:p>
        </w:tc>
        <w:tc>
          <w:tcPr>
            <w:tcW w:w="2749" w:type="dxa"/>
            <w:vAlign w:val="center"/>
          </w:tcPr>
          <w:p w14:paraId="44420B25">
            <w:pPr>
              <w:pStyle w:val="236"/>
              <w:ind w:left="-105" w:right="-105"/>
              <w:jc w:val="center"/>
              <w:rPr>
                <w:rFonts w:ascii="Times New Roman" w:hAnsi="Times New Roman" w:eastAsia="宋体" w:cs="Times New Roman"/>
                <w:color w:val="auto"/>
                <w:sz w:val="21"/>
                <w:szCs w:val="21"/>
                <w:highlight w:val="none"/>
                <w:lang w:val="zh-CN"/>
              </w:rPr>
            </w:pPr>
            <w:r>
              <w:rPr>
                <w:rFonts w:hint="eastAsia" w:ascii="Times New Roman" w:hAnsi="Times New Roman" w:eastAsia="宋体" w:cs="Times New Roman"/>
                <w:color w:val="auto"/>
                <w:sz w:val="21"/>
                <w:szCs w:val="21"/>
                <w:highlight w:val="none"/>
                <w:lang w:val="zh-CN" w:eastAsia="zh-CN"/>
              </w:rPr>
              <w:t>可燃气体报警器</w:t>
            </w:r>
          </w:p>
        </w:tc>
        <w:tc>
          <w:tcPr>
            <w:tcW w:w="3485" w:type="dxa"/>
            <w:vAlign w:val="center"/>
          </w:tcPr>
          <w:p w14:paraId="215AF655">
            <w:pPr>
              <w:pStyle w:val="236"/>
              <w:ind w:left="-105" w:right="-105"/>
              <w:jc w:val="center"/>
              <w:rPr>
                <w:rFonts w:ascii="Times New Roman" w:hAnsi="Times New Roman" w:eastAsia="宋体" w:cs="Times New Roman"/>
                <w:color w:val="auto"/>
                <w:sz w:val="21"/>
                <w:szCs w:val="21"/>
                <w:highlight w:val="none"/>
                <w:lang w:val="zh-CN"/>
              </w:rPr>
            </w:pPr>
            <w:r>
              <w:rPr>
                <w:rFonts w:hint="eastAsia" w:ascii="Times New Roman" w:hAnsi="Times New Roman" w:eastAsia="宋体" w:cs="Times New Roman"/>
                <w:color w:val="auto"/>
                <w:sz w:val="21"/>
                <w:szCs w:val="21"/>
                <w:highlight w:val="none"/>
                <w:lang w:val="zh-CN" w:eastAsia="zh-CN"/>
              </w:rPr>
              <w:t>55个</w:t>
            </w:r>
          </w:p>
        </w:tc>
      </w:tr>
      <w:tr w14:paraId="54EFF14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486" w:type="dxa"/>
            <w:vMerge w:val="continue"/>
            <w:vAlign w:val="center"/>
          </w:tcPr>
          <w:p w14:paraId="572E54B9">
            <w:pPr>
              <w:adjustRightInd w:val="0"/>
              <w:snapToGrid w:val="0"/>
              <w:ind w:left="-105" w:right="-105"/>
              <w:jc w:val="center"/>
              <w:rPr>
                <w:rFonts w:ascii="Times New Roman" w:hAnsi="Times New Roman" w:cs="Times New Roman"/>
                <w:color w:val="auto"/>
                <w:sz w:val="21"/>
                <w:szCs w:val="21"/>
                <w:highlight w:val="none"/>
              </w:rPr>
            </w:pPr>
          </w:p>
        </w:tc>
        <w:tc>
          <w:tcPr>
            <w:tcW w:w="2749" w:type="dxa"/>
            <w:vAlign w:val="center"/>
          </w:tcPr>
          <w:p w14:paraId="5D2AA241">
            <w:pPr>
              <w:adjustRightInd w:val="0"/>
              <w:snapToGrid w:val="0"/>
              <w:ind w:left="-105" w:right="-105"/>
              <w:jc w:val="center"/>
              <w:rPr>
                <w:rFonts w:ascii="Times New Roman" w:hAnsi="Times New Roman" w:cs="Times New Roman"/>
                <w:color w:val="auto"/>
                <w:sz w:val="21"/>
                <w:szCs w:val="21"/>
                <w:highlight w:val="none"/>
                <w:lang w:val="zh-CN" w:eastAsia="en-US"/>
              </w:rPr>
            </w:pPr>
            <w:r>
              <w:rPr>
                <w:rFonts w:hint="eastAsia" w:ascii="Times New Roman" w:hAnsi="Times New Roman" w:cs="Times New Roman"/>
                <w:color w:val="auto"/>
                <w:sz w:val="21"/>
                <w:szCs w:val="21"/>
                <w:highlight w:val="none"/>
                <w:lang w:val="zh-CN"/>
              </w:rPr>
              <w:t>手动报警装置</w:t>
            </w:r>
          </w:p>
        </w:tc>
        <w:tc>
          <w:tcPr>
            <w:tcW w:w="3485" w:type="dxa"/>
            <w:vAlign w:val="center"/>
          </w:tcPr>
          <w:p w14:paraId="3DB2161B">
            <w:pPr>
              <w:adjustRightInd w:val="0"/>
              <w:snapToGrid w:val="0"/>
              <w:ind w:left="-105" w:right="-105"/>
              <w:jc w:val="center"/>
              <w:rPr>
                <w:rFonts w:ascii="Times New Roman" w:hAnsi="Times New Roman" w:cs="Times New Roman"/>
                <w:color w:val="auto"/>
                <w:sz w:val="21"/>
                <w:szCs w:val="21"/>
                <w:highlight w:val="none"/>
                <w:lang w:val="zh-CN" w:eastAsia="en-US"/>
              </w:rPr>
            </w:pPr>
            <w:r>
              <w:rPr>
                <w:rFonts w:hint="eastAsia" w:ascii="Times New Roman" w:hAnsi="Times New Roman" w:cs="Times New Roman"/>
                <w:color w:val="auto"/>
                <w:sz w:val="21"/>
                <w:szCs w:val="21"/>
                <w:highlight w:val="none"/>
                <w:lang w:val="zh-CN"/>
              </w:rPr>
              <w:t>19台</w:t>
            </w:r>
          </w:p>
        </w:tc>
      </w:tr>
      <w:tr w14:paraId="1FD40A2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486" w:type="dxa"/>
            <w:vMerge w:val="continue"/>
            <w:vAlign w:val="center"/>
          </w:tcPr>
          <w:p w14:paraId="6627CDE5">
            <w:pPr>
              <w:adjustRightInd w:val="0"/>
              <w:snapToGrid w:val="0"/>
              <w:ind w:left="-105" w:right="-105"/>
              <w:jc w:val="center"/>
              <w:rPr>
                <w:rFonts w:ascii="Times New Roman" w:hAnsi="Times New Roman" w:cs="Times New Roman"/>
                <w:color w:val="auto"/>
                <w:sz w:val="21"/>
                <w:szCs w:val="21"/>
                <w:highlight w:val="none"/>
              </w:rPr>
            </w:pPr>
          </w:p>
        </w:tc>
        <w:tc>
          <w:tcPr>
            <w:tcW w:w="2749" w:type="dxa"/>
            <w:vAlign w:val="center"/>
          </w:tcPr>
          <w:p w14:paraId="32A1EFA2">
            <w:pPr>
              <w:adjustRightInd w:val="0"/>
              <w:snapToGrid w:val="0"/>
              <w:ind w:left="-105" w:right="-105"/>
              <w:jc w:val="center"/>
              <w:rPr>
                <w:rFonts w:ascii="Times New Roman" w:hAnsi="Times New Roman" w:cs="Times New Roman"/>
                <w:color w:val="auto"/>
                <w:sz w:val="21"/>
                <w:szCs w:val="21"/>
                <w:highlight w:val="none"/>
                <w:lang w:val="zh-CN" w:eastAsia="en-US"/>
              </w:rPr>
            </w:pPr>
            <w:r>
              <w:rPr>
                <w:rFonts w:hint="eastAsia" w:ascii="Times New Roman" w:hAnsi="Times New Roman" w:cs="Times New Roman"/>
                <w:color w:val="auto"/>
                <w:sz w:val="21"/>
                <w:szCs w:val="21"/>
                <w:highlight w:val="none"/>
                <w:lang w:val="zh-CN"/>
              </w:rPr>
              <w:t>过滤式防毒面具</w:t>
            </w:r>
          </w:p>
        </w:tc>
        <w:tc>
          <w:tcPr>
            <w:tcW w:w="3485" w:type="dxa"/>
            <w:vAlign w:val="center"/>
          </w:tcPr>
          <w:p w14:paraId="7194E15E">
            <w:pPr>
              <w:adjustRightInd w:val="0"/>
              <w:snapToGrid w:val="0"/>
              <w:ind w:left="-105" w:right="-105"/>
              <w:jc w:val="center"/>
              <w:rPr>
                <w:rFonts w:ascii="Times New Roman" w:hAnsi="Times New Roman" w:cs="Times New Roman"/>
                <w:color w:val="auto"/>
                <w:sz w:val="21"/>
                <w:szCs w:val="21"/>
                <w:highlight w:val="none"/>
                <w:lang w:val="zh-CN" w:eastAsia="en-US"/>
              </w:rPr>
            </w:pPr>
            <w:r>
              <w:rPr>
                <w:rFonts w:hint="eastAsia" w:ascii="Times New Roman" w:hAnsi="Times New Roman" w:cs="Times New Roman"/>
                <w:color w:val="auto"/>
                <w:sz w:val="21"/>
                <w:szCs w:val="21"/>
                <w:highlight w:val="none"/>
                <w:lang w:val="zh-CN"/>
              </w:rPr>
              <w:t>24个</w:t>
            </w:r>
          </w:p>
        </w:tc>
      </w:tr>
      <w:tr w14:paraId="5BEC496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486" w:type="dxa"/>
            <w:vMerge w:val="continue"/>
            <w:vAlign w:val="center"/>
          </w:tcPr>
          <w:p w14:paraId="2141A945">
            <w:pPr>
              <w:adjustRightInd w:val="0"/>
              <w:snapToGrid w:val="0"/>
              <w:ind w:left="-105" w:right="-105"/>
              <w:jc w:val="center"/>
              <w:rPr>
                <w:rFonts w:ascii="Times New Roman" w:hAnsi="Times New Roman" w:cs="Times New Roman"/>
                <w:color w:val="auto"/>
                <w:sz w:val="21"/>
                <w:szCs w:val="21"/>
                <w:highlight w:val="none"/>
              </w:rPr>
            </w:pPr>
          </w:p>
        </w:tc>
        <w:tc>
          <w:tcPr>
            <w:tcW w:w="2749" w:type="dxa"/>
            <w:vAlign w:val="center"/>
          </w:tcPr>
          <w:p w14:paraId="49F5053D">
            <w:pPr>
              <w:pStyle w:val="236"/>
              <w:ind w:left="-105" w:right="-105"/>
              <w:jc w:val="center"/>
              <w:rPr>
                <w:rFonts w:ascii="Times New Roman" w:hAnsi="Times New Roman" w:eastAsia="宋体" w:cs="Times New Roman"/>
                <w:color w:val="auto"/>
                <w:sz w:val="21"/>
                <w:szCs w:val="21"/>
                <w:highlight w:val="none"/>
                <w:lang w:val="zh-CN"/>
              </w:rPr>
            </w:pPr>
            <w:r>
              <w:rPr>
                <w:rFonts w:hint="eastAsia" w:ascii="Times New Roman" w:hAnsi="Times New Roman" w:eastAsia="宋体" w:cs="Times New Roman"/>
                <w:color w:val="auto"/>
                <w:sz w:val="21"/>
                <w:szCs w:val="21"/>
                <w:highlight w:val="none"/>
                <w:lang w:val="zh-CN" w:eastAsia="zh-CN"/>
              </w:rPr>
              <w:t>防护服</w:t>
            </w:r>
          </w:p>
        </w:tc>
        <w:tc>
          <w:tcPr>
            <w:tcW w:w="3485" w:type="dxa"/>
            <w:vAlign w:val="center"/>
          </w:tcPr>
          <w:p w14:paraId="5133AB40">
            <w:pPr>
              <w:pStyle w:val="236"/>
              <w:ind w:left="-105" w:right="-105"/>
              <w:jc w:val="center"/>
              <w:rPr>
                <w:rFonts w:ascii="Times New Roman" w:hAnsi="Times New Roman" w:eastAsia="宋体" w:cs="Times New Roman"/>
                <w:color w:val="auto"/>
                <w:sz w:val="21"/>
                <w:szCs w:val="21"/>
                <w:highlight w:val="none"/>
                <w:lang w:val="zh-CN"/>
              </w:rPr>
            </w:pPr>
            <w:r>
              <w:rPr>
                <w:rFonts w:hint="eastAsia" w:ascii="Times New Roman" w:hAnsi="Times New Roman" w:eastAsia="宋体" w:cs="Times New Roman"/>
                <w:color w:val="auto"/>
                <w:sz w:val="21"/>
                <w:szCs w:val="21"/>
                <w:highlight w:val="none"/>
                <w:lang w:val="zh-CN" w:eastAsia="zh-CN"/>
              </w:rPr>
              <w:t>6套</w:t>
            </w:r>
          </w:p>
        </w:tc>
      </w:tr>
      <w:tr w14:paraId="7379CDC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486" w:type="dxa"/>
            <w:vMerge w:val="continue"/>
            <w:vAlign w:val="center"/>
          </w:tcPr>
          <w:p w14:paraId="7620D578">
            <w:pPr>
              <w:adjustRightInd w:val="0"/>
              <w:snapToGrid w:val="0"/>
              <w:ind w:left="-105" w:right="-105"/>
              <w:jc w:val="center"/>
              <w:rPr>
                <w:rFonts w:ascii="Times New Roman" w:hAnsi="Times New Roman" w:cs="Times New Roman"/>
                <w:color w:val="auto"/>
                <w:sz w:val="21"/>
                <w:szCs w:val="21"/>
                <w:highlight w:val="none"/>
              </w:rPr>
            </w:pPr>
          </w:p>
        </w:tc>
        <w:tc>
          <w:tcPr>
            <w:tcW w:w="2749" w:type="dxa"/>
            <w:vAlign w:val="center"/>
          </w:tcPr>
          <w:p w14:paraId="0DB1662F">
            <w:pPr>
              <w:pStyle w:val="236"/>
              <w:ind w:left="-105" w:right="-105"/>
              <w:jc w:val="center"/>
              <w:rPr>
                <w:rFonts w:ascii="Times New Roman" w:hAnsi="Times New Roman" w:eastAsia="宋体" w:cs="Times New Roman"/>
                <w:color w:val="auto"/>
                <w:sz w:val="21"/>
                <w:szCs w:val="21"/>
                <w:highlight w:val="none"/>
                <w:lang w:val="zh-CN"/>
              </w:rPr>
            </w:pPr>
            <w:r>
              <w:rPr>
                <w:rFonts w:hint="eastAsia" w:ascii="Times New Roman" w:hAnsi="Times New Roman" w:eastAsia="宋体" w:cs="Times New Roman"/>
                <w:color w:val="auto"/>
                <w:sz w:val="21"/>
                <w:szCs w:val="21"/>
                <w:highlight w:val="none"/>
                <w:lang w:val="zh-CN" w:eastAsia="zh-CN"/>
              </w:rPr>
              <w:t>防护胶鞋</w:t>
            </w:r>
          </w:p>
        </w:tc>
        <w:tc>
          <w:tcPr>
            <w:tcW w:w="3485" w:type="dxa"/>
            <w:vAlign w:val="center"/>
          </w:tcPr>
          <w:p w14:paraId="28A33347">
            <w:pPr>
              <w:pStyle w:val="236"/>
              <w:ind w:left="-105" w:right="-105"/>
              <w:jc w:val="center"/>
              <w:rPr>
                <w:rFonts w:ascii="Times New Roman" w:hAnsi="Times New Roman" w:eastAsia="宋体" w:cs="Times New Roman"/>
                <w:color w:val="auto"/>
                <w:sz w:val="21"/>
                <w:szCs w:val="21"/>
                <w:highlight w:val="none"/>
                <w:lang w:val="zh-CN"/>
              </w:rPr>
            </w:pPr>
            <w:r>
              <w:rPr>
                <w:rFonts w:hint="eastAsia" w:ascii="Times New Roman" w:hAnsi="Times New Roman" w:eastAsia="宋体" w:cs="Times New Roman"/>
                <w:color w:val="auto"/>
                <w:sz w:val="21"/>
                <w:szCs w:val="21"/>
                <w:highlight w:val="none"/>
                <w:lang w:val="zh-CN" w:eastAsia="zh-CN"/>
              </w:rPr>
              <w:t>2双</w:t>
            </w:r>
          </w:p>
        </w:tc>
      </w:tr>
      <w:tr w14:paraId="3D26F85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486" w:type="dxa"/>
            <w:vMerge w:val="continue"/>
            <w:vAlign w:val="center"/>
          </w:tcPr>
          <w:p w14:paraId="00F56DED">
            <w:pPr>
              <w:adjustRightInd w:val="0"/>
              <w:snapToGrid w:val="0"/>
              <w:ind w:left="-105" w:right="-105"/>
              <w:jc w:val="center"/>
              <w:rPr>
                <w:rFonts w:ascii="Times New Roman" w:hAnsi="Times New Roman" w:cs="Times New Roman"/>
                <w:color w:val="auto"/>
                <w:sz w:val="21"/>
                <w:szCs w:val="21"/>
                <w:highlight w:val="none"/>
              </w:rPr>
            </w:pPr>
          </w:p>
        </w:tc>
        <w:tc>
          <w:tcPr>
            <w:tcW w:w="2749" w:type="dxa"/>
            <w:vAlign w:val="center"/>
          </w:tcPr>
          <w:p w14:paraId="61690E4D">
            <w:pPr>
              <w:pStyle w:val="236"/>
              <w:ind w:left="-105" w:right="-105"/>
              <w:jc w:val="center"/>
              <w:rPr>
                <w:rFonts w:ascii="Times New Roman" w:hAnsi="Times New Roman" w:eastAsia="宋体" w:cs="Times New Roman"/>
                <w:color w:val="auto"/>
                <w:sz w:val="21"/>
                <w:szCs w:val="21"/>
                <w:highlight w:val="none"/>
                <w:lang w:val="zh-CN"/>
              </w:rPr>
            </w:pPr>
            <w:r>
              <w:rPr>
                <w:rFonts w:hint="eastAsia" w:ascii="Times New Roman" w:hAnsi="Times New Roman" w:eastAsia="宋体" w:cs="Times New Roman"/>
                <w:color w:val="auto"/>
                <w:sz w:val="21"/>
                <w:szCs w:val="21"/>
                <w:highlight w:val="none"/>
                <w:lang w:val="zh-CN" w:eastAsia="zh-CN"/>
              </w:rPr>
              <w:t>洗眼器</w:t>
            </w:r>
          </w:p>
        </w:tc>
        <w:tc>
          <w:tcPr>
            <w:tcW w:w="3485" w:type="dxa"/>
            <w:vAlign w:val="center"/>
          </w:tcPr>
          <w:p w14:paraId="106C6FA3">
            <w:pPr>
              <w:pStyle w:val="236"/>
              <w:ind w:left="-105" w:right="-105"/>
              <w:jc w:val="center"/>
              <w:rPr>
                <w:rFonts w:ascii="Times New Roman" w:hAnsi="Times New Roman" w:eastAsia="宋体" w:cs="Times New Roman"/>
                <w:color w:val="auto"/>
                <w:sz w:val="21"/>
                <w:szCs w:val="21"/>
                <w:highlight w:val="none"/>
                <w:lang w:val="zh-CN"/>
              </w:rPr>
            </w:pPr>
            <w:r>
              <w:rPr>
                <w:rFonts w:hint="eastAsia" w:ascii="Times New Roman" w:hAnsi="Times New Roman" w:eastAsia="宋体" w:cs="Times New Roman"/>
                <w:color w:val="auto"/>
                <w:sz w:val="21"/>
                <w:szCs w:val="21"/>
                <w:highlight w:val="none"/>
                <w:lang w:val="zh-CN" w:eastAsia="zh-CN"/>
              </w:rPr>
              <w:t>16个</w:t>
            </w:r>
          </w:p>
        </w:tc>
      </w:tr>
      <w:tr w14:paraId="6D72135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486" w:type="dxa"/>
            <w:vMerge w:val="continue"/>
            <w:vAlign w:val="center"/>
          </w:tcPr>
          <w:p w14:paraId="69903974">
            <w:pPr>
              <w:adjustRightInd w:val="0"/>
              <w:snapToGrid w:val="0"/>
              <w:ind w:left="-105" w:right="-105"/>
              <w:jc w:val="center"/>
              <w:rPr>
                <w:rFonts w:ascii="Times New Roman" w:hAnsi="Times New Roman" w:cs="Times New Roman"/>
                <w:color w:val="auto"/>
                <w:sz w:val="21"/>
                <w:szCs w:val="21"/>
                <w:highlight w:val="none"/>
              </w:rPr>
            </w:pPr>
          </w:p>
        </w:tc>
        <w:tc>
          <w:tcPr>
            <w:tcW w:w="2749" w:type="dxa"/>
            <w:vAlign w:val="center"/>
          </w:tcPr>
          <w:p w14:paraId="3BE530B8">
            <w:pPr>
              <w:pStyle w:val="236"/>
              <w:ind w:left="-105" w:right="-105"/>
              <w:jc w:val="center"/>
              <w:rPr>
                <w:rFonts w:ascii="Times New Roman" w:hAnsi="Times New Roman" w:eastAsia="宋体" w:cs="Times New Roman"/>
                <w:color w:val="auto"/>
                <w:sz w:val="21"/>
                <w:szCs w:val="21"/>
                <w:highlight w:val="none"/>
                <w:lang w:val="zh-CN"/>
              </w:rPr>
            </w:pPr>
            <w:r>
              <w:rPr>
                <w:rFonts w:hint="eastAsia" w:ascii="Times New Roman" w:hAnsi="Times New Roman" w:eastAsia="宋体" w:cs="Times New Roman"/>
                <w:color w:val="auto"/>
                <w:sz w:val="21"/>
                <w:szCs w:val="21"/>
                <w:highlight w:val="none"/>
                <w:lang w:val="zh-CN" w:eastAsia="zh-CN"/>
              </w:rPr>
              <w:t>警戒带</w:t>
            </w:r>
          </w:p>
        </w:tc>
        <w:tc>
          <w:tcPr>
            <w:tcW w:w="3485" w:type="dxa"/>
            <w:vAlign w:val="center"/>
          </w:tcPr>
          <w:p w14:paraId="022A0EB9">
            <w:pPr>
              <w:pStyle w:val="236"/>
              <w:ind w:left="-105" w:right="-105"/>
              <w:jc w:val="center"/>
              <w:rPr>
                <w:rFonts w:ascii="Times New Roman" w:hAnsi="Times New Roman" w:eastAsia="宋体" w:cs="Times New Roman"/>
                <w:color w:val="auto"/>
                <w:sz w:val="21"/>
                <w:szCs w:val="21"/>
                <w:highlight w:val="none"/>
                <w:lang w:val="zh-CN"/>
              </w:rPr>
            </w:pPr>
            <w:r>
              <w:rPr>
                <w:rFonts w:hint="eastAsia" w:ascii="Times New Roman" w:hAnsi="Times New Roman" w:eastAsia="宋体" w:cs="Times New Roman"/>
                <w:color w:val="auto"/>
                <w:sz w:val="21"/>
                <w:szCs w:val="21"/>
                <w:highlight w:val="none"/>
                <w:lang w:val="zh-CN" w:eastAsia="zh-CN"/>
              </w:rPr>
              <w:t>2卷</w:t>
            </w:r>
          </w:p>
        </w:tc>
      </w:tr>
      <w:tr w14:paraId="657DEFD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486" w:type="dxa"/>
            <w:vMerge w:val="continue"/>
            <w:vAlign w:val="center"/>
          </w:tcPr>
          <w:p w14:paraId="698CEC4A">
            <w:pPr>
              <w:adjustRightInd w:val="0"/>
              <w:snapToGrid w:val="0"/>
              <w:ind w:left="-105" w:right="-105"/>
              <w:jc w:val="center"/>
              <w:rPr>
                <w:rFonts w:ascii="Times New Roman" w:hAnsi="Times New Roman" w:cs="Times New Roman"/>
                <w:color w:val="auto"/>
                <w:sz w:val="21"/>
                <w:szCs w:val="21"/>
                <w:highlight w:val="none"/>
              </w:rPr>
            </w:pPr>
          </w:p>
        </w:tc>
        <w:tc>
          <w:tcPr>
            <w:tcW w:w="2749" w:type="dxa"/>
            <w:vAlign w:val="center"/>
          </w:tcPr>
          <w:p w14:paraId="36FC33A8">
            <w:pPr>
              <w:pStyle w:val="236"/>
              <w:ind w:left="-105" w:right="-105"/>
              <w:jc w:val="center"/>
              <w:rPr>
                <w:rFonts w:ascii="Times New Roman" w:hAnsi="Times New Roman" w:eastAsia="宋体" w:cs="Times New Roman"/>
                <w:color w:val="auto"/>
                <w:sz w:val="21"/>
                <w:szCs w:val="21"/>
                <w:highlight w:val="none"/>
                <w:lang w:val="zh-CN" w:eastAsia="zh-CN"/>
              </w:rPr>
            </w:pPr>
            <w:r>
              <w:rPr>
                <w:rFonts w:hint="eastAsia" w:ascii="Times New Roman" w:hAnsi="Times New Roman" w:eastAsia="宋体" w:cs="Times New Roman"/>
                <w:color w:val="auto"/>
                <w:sz w:val="21"/>
                <w:szCs w:val="21"/>
                <w:highlight w:val="none"/>
                <w:lang w:val="zh-CN" w:eastAsia="zh-CN"/>
              </w:rPr>
              <w:t>急救箱</w:t>
            </w:r>
          </w:p>
        </w:tc>
        <w:tc>
          <w:tcPr>
            <w:tcW w:w="3485" w:type="dxa"/>
            <w:vAlign w:val="center"/>
          </w:tcPr>
          <w:p w14:paraId="6D2B1360">
            <w:pPr>
              <w:pStyle w:val="236"/>
              <w:ind w:left="-105" w:right="-105"/>
              <w:jc w:val="center"/>
              <w:rPr>
                <w:rFonts w:ascii="Times New Roman" w:hAnsi="Times New Roman" w:eastAsia="宋体" w:cs="Times New Roman"/>
                <w:color w:val="auto"/>
                <w:sz w:val="21"/>
                <w:szCs w:val="21"/>
                <w:highlight w:val="none"/>
                <w:lang w:val="zh-CN" w:eastAsia="zh-CN"/>
              </w:rPr>
            </w:pPr>
            <w:r>
              <w:rPr>
                <w:rFonts w:hint="eastAsia" w:ascii="Times New Roman" w:hAnsi="Times New Roman" w:eastAsia="宋体" w:cs="Times New Roman"/>
                <w:color w:val="auto"/>
                <w:sz w:val="21"/>
                <w:szCs w:val="21"/>
                <w:highlight w:val="none"/>
                <w:lang w:val="zh-CN" w:eastAsia="zh-CN"/>
              </w:rPr>
              <w:t>3个</w:t>
            </w:r>
          </w:p>
        </w:tc>
      </w:tr>
      <w:tr w14:paraId="58B5FF5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486" w:type="dxa"/>
            <w:vMerge w:val="continue"/>
            <w:vAlign w:val="center"/>
          </w:tcPr>
          <w:p w14:paraId="3F2D487B">
            <w:pPr>
              <w:adjustRightInd w:val="0"/>
              <w:snapToGrid w:val="0"/>
              <w:ind w:left="-105" w:right="-105"/>
              <w:jc w:val="center"/>
              <w:rPr>
                <w:rFonts w:ascii="Times New Roman" w:hAnsi="Times New Roman" w:cs="Times New Roman"/>
                <w:color w:val="auto"/>
                <w:sz w:val="21"/>
                <w:szCs w:val="21"/>
                <w:highlight w:val="none"/>
              </w:rPr>
            </w:pPr>
          </w:p>
        </w:tc>
        <w:tc>
          <w:tcPr>
            <w:tcW w:w="2749" w:type="dxa"/>
            <w:vAlign w:val="center"/>
          </w:tcPr>
          <w:p w14:paraId="7E096C26">
            <w:pPr>
              <w:pStyle w:val="236"/>
              <w:ind w:left="-105" w:right="-105"/>
              <w:jc w:val="center"/>
              <w:rPr>
                <w:rFonts w:ascii="Times New Roman" w:hAnsi="Times New Roman" w:eastAsia="宋体" w:cs="Times New Roman"/>
                <w:color w:val="auto"/>
                <w:sz w:val="21"/>
                <w:szCs w:val="21"/>
                <w:highlight w:val="none"/>
                <w:lang w:val="zh-CN" w:eastAsia="zh-CN"/>
              </w:rPr>
            </w:pPr>
            <w:r>
              <w:rPr>
                <w:rFonts w:hint="eastAsia" w:ascii="Times New Roman" w:hAnsi="Times New Roman" w:eastAsia="宋体" w:cs="Times New Roman"/>
                <w:color w:val="auto"/>
                <w:sz w:val="21"/>
                <w:szCs w:val="21"/>
                <w:highlight w:val="none"/>
                <w:lang w:val="zh-CN" w:eastAsia="zh-CN"/>
              </w:rPr>
              <w:t>担架</w:t>
            </w:r>
          </w:p>
        </w:tc>
        <w:tc>
          <w:tcPr>
            <w:tcW w:w="3485" w:type="dxa"/>
            <w:vAlign w:val="center"/>
          </w:tcPr>
          <w:p w14:paraId="5A3D6078">
            <w:pPr>
              <w:pStyle w:val="236"/>
              <w:ind w:left="-105" w:right="-105"/>
              <w:jc w:val="center"/>
              <w:rPr>
                <w:rFonts w:ascii="Times New Roman" w:hAnsi="Times New Roman" w:eastAsia="宋体" w:cs="Times New Roman"/>
                <w:color w:val="auto"/>
                <w:sz w:val="21"/>
                <w:szCs w:val="21"/>
                <w:highlight w:val="none"/>
                <w:lang w:val="zh-CN" w:eastAsia="zh-CN"/>
              </w:rPr>
            </w:pPr>
            <w:r>
              <w:rPr>
                <w:rFonts w:hint="eastAsia" w:ascii="Times New Roman" w:hAnsi="Times New Roman" w:eastAsia="宋体" w:cs="Times New Roman"/>
                <w:color w:val="auto"/>
                <w:sz w:val="21"/>
                <w:szCs w:val="21"/>
                <w:highlight w:val="none"/>
                <w:lang w:val="zh-CN" w:eastAsia="zh-CN"/>
              </w:rPr>
              <w:t>1副</w:t>
            </w:r>
          </w:p>
        </w:tc>
      </w:tr>
      <w:tr w14:paraId="5765A64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486" w:type="dxa"/>
            <w:vMerge w:val="continue"/>
            <w:vAlign w:val="center"/>
          </w:tcPr>
          <w:p w14:paraId="1E05A627">
            <w:pPr>
              <w:adjustRightInd w:val="0"/>
              <w:snapToGrid w:val="0"/>
              <w:ind w:left="-105" w:right="-105"/>
              <w:jc w:val="center"/>
              <w:rPr>
                <w:rFonts w:ascii="Times New Roman" w:hAnsi="Times New Roman" w:cs="Times New Roman"/>
                <w:color w:val="auto"/>
                <w:sz w:val="21"/>
                <w:szCs w:val="21"/>
                <w:highlight w:val="none"/>
              </w:rPr>
            </w:pPr>
          </w:p>
        </w:tc>
        <w:tc>
          <w:tcPr>
            <w:tcW w:w="2749" w:type="dxa"/>
            <w:vAlign w:val="center"/>
          </w:tcPr>
          <w:p w14:paraId="074440C8">
            <w:pPr>
              <w:pStyle w:val="236"/>
              <w:ind w:left="-105" w:right="-105"/>
              <w:jc w:val="center"/>
              <w:rPr>
                <w:rFonts w:ascii="Times New Roman" w:hAnsi="Times New Roman" w:eastAsia="宋体" w:cs="Times New Roman"/>
                <w:color w:val="auto"/>
                <w:sz w:val="21"/>
                <w:szCs w:val="21"/>
                <w:highlight w:val="none"/>
                <w:lang w:val="zh-CN" w:eastAsia="zh-CN"/>
              </w:rPr>
            </w:pPr>
            <w:r>
              <w:rPr>
                <w:rFonts w:hint="eastAsia" w:ascii="Times New Roman" w:hAnsi="Times New Roman" w:eastAsia="宋体" w:cs="Times New Roman"/>
                <w:color w:val="auto"/>
                <w:sz w:val="21"/>
                <w:szCs w:val="21"/>
                <w:highlight w:val="none"/>
                <w:lang w:val="zh-CN" w:eastAsia="zh-CN"/>
              </w:rPr>
              <w:t>正压式呼吸器</w:t>
            </w:r>
          </w:p>
        </w:tc>
        <w:tc>
          <w:tcPr>
            <w:tcW w:w="3485" w:type="dxa"/>
            <w:vAlign w:val="center"/>
          </w:tcPr>
          <w:p w14:paraId="07F360C7">
            <w:pPr>
              <w:pStyle w:val="236"/>
              <w:ind w:left="-105" w:right="-105"/>
              <w:jc w:val="center"/>
              <w:rPr>
                <w:rFonts w:ascii="Times New Roman" w:hAnsi="Times New Roman" w:eastAsia="宋体" w:cs="Times New Roman"/>
                <w:color w:val="auto"/>
                <w:sz w:val="21"/>
                <w:szCs w:val="21"/>
                <w:highlight w:val="none"/>
                <w:lang w:val="zh-CN" w:eastAsia="zh-CN"/>
              </w:rPr>
            </w:pPr>
            <w:r>
              <w:rPr>
                <w:rFonts w:hint="eastAsia" w:ascii="Times New Roman" w:hAnsi="Times New Roman" w:eastAsia="宋体" w:cs="Times New Roman"/>
                <w:color w:val="auto"/>
                <w:sz w:val="21"/>
                <w:szCs w:val="21"/>
                <w:highlight w:val="none"/>
                <w:lang w:val="zh-CN" w:eastAsia="zh-CN"/>
              </w:rPr>
              <w:t>2套</w:t>
            </w:r>
          </w:p>
        </w:tc>
      </w:tr>
      <w:tr w14:paraId="71DA061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486" w:type="dxa"/>
            <w:vAlign w:val="center"/>
          </w:tcPr>
          <w:p w14:paraId="5C1E5A37">
            <w:pPr>
              <w:adjustRightInd w:val="0"/>
              <w:snapToGrid w:val="0"/>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应急通信和指挥</w:t>
            </w:r>
          </w:p>
        </w:tc>
        <w:tc>
          <w:tcPr>
            <w:tcW w:w="2749" w:type="dxa"/>
            <w:vAlign w:val="center"/>
          </w:tcPr>
          <w:p w14:paraId="0AEF0DA6">
            <w:pPr>
              <w:adjustRightInd w:val="0"/>
              <w:snapToGrid w:val="0"/>
              <w:ind w:left="-105" w:right="-105"/>
              <w:jc w:val="center"/>
              <w:rPr>
                <w:rFonts w:ascii="Times New Roman" w:hAnsi="Times New Roman" w:cs="Times New Roman"/>
                <w:color w:val="auto"/>
                <w:sz w:val="21"/>
                <w:szCs w:val="21"/>
                <w:highlight w:val="none"/>
                <w:lang w:val="zh-CN"/>
              </w:rPr>
            </w:pPr>
            <w:r>
              <w:rPr>
                <w:rFonts w:hint="eastAsia" w:ascii="Times New Roman" w:hAnsi="Times New Roman" w:cs="Times New Roman"/>
                <w:color w:val="auto"/>
                <w:sz w:val="21"/>
                <w:szCs w:val="21"/>
                <w:highlight w:val="none"/>
                <w:lang w:val="zh-CN"/>
              </w:rPr>
              <w:t>扩音器</w:t>
            </w:r>
          </w:p>
        </w:tc>
        <w:tc>
          <w:tcPr>
            <w:tcW w:w="3485" w:type="dxa"/>
            <w:vAlign w:val="center"/>
          </w:tcPr>
          <w:p w14:paraId="1315F75B">
            <w:pPr>
              <w:adjustRightInd w:val="0"/>
              <w:snapToGrid w:val="0"/>
              <w:ind w:left="-105" w:right="-105"/>
              <w:jc w:val="center"/>
              <w:rPr>
                <w:rFonts w:ascii="Times New Roman" w:hAnsi="Times New Roman" w:cs="Times New Roman"/>
                <w:color w:val="auto"/>
                <w:sz w:val="21"/>
                <w:szCs w:val="21"/>
                <w:highlight w:val="none"/>
                <w:lang w:val="zh-CN"/>
              </w:rPr>
            </w:pPr>
            <w:r>
              <w:rPr>
                <w:rFonts w:hint="eastAsia" w:ascii="Times New Roman" w:hAnsi="Times New Roman" w:cs="Times New Roman"/>
                <w:color w:val="auto"/>
                <w:sz w:val="21"/>
                <w:szCs w:val="21"/>
                <w:highlight w:val="none"/>
                <w:lang w:val="zh-CN"/>
              </w:rPr>
              <w:t>2个</w:t>
            </w:r>
          </w:p>
        </w:tc>
      </w:tr>
      <w:bookmarkEnd w:id="502"/>
    </w:tbl>
    <w:p w14:paraId="4C38558C">
      <w:pPr>
        <w:pStyle w:val="44"/>
        <w:spacing w:after="0" w:line="360" w:lineRule="auto"/>
        <w:ind w:left="0" w:leftChars="0" w:right="-105" w:firstLine="480"/>
        <w:rPr>
          <w:rFonts w:eastAsia="宋体"/>
          <w:color w:val="auto"/>
          <w:sz w:val="24"/>
          <w:highlight w:val="none"/>
        </w:rPr>
      </w:pPr>
      <w:r>
        <w:rPr>
          <w:rFonts w:eastAsia="宋体"/>
          <w:color w:val="auto"/>
          <w:sz w:val="24"/>
          <w:highlight w:val="none"/>
        </w:rPr>
        <w:t>企业应系统培训公司作业人员，发生事故时报警、紧急处置、逃生、个体防护、急救、紧急疏散等程序的基本要求，针对可能发生的泄漏、火灾或爆炸情形开展应急演练，并邀请同行、专家进行指导评价，提高企业人员对突发环境事件的处置能力，尽可能的减小对突发环境事件对周边环境的影响。应急培训、演练频次不低于1年/次。</w:t>
      </w:r>
    </w:p>
    <w:p w14:paraId="38721688">
      <w:pPr>
        <w:pStyle w:val="44"/>
        <w:spacing w:after="0" w:line="360" w:lineRule="auto"/>
        <w:ind w:left="0" w:leftChars="0" w:right="-105" w:firstLine="480"/>
        <w:rPr>
          <w:color w:val="auto"/>
          <w:highlight w:val="none"/>
        </w:rPr>
      </w:pPr>
      <w:r>
        <w:rPr>
          <w:rFonts w:eastAsia="宋体"/>
          <w:color w:val="auto"/>
          <w:sz w:val="24"/>
          <w:highlight w:val="none"/>
        </w:rPr>
        <w:t>企业应急根据应急预案的管理要求，针对全厂的工艺、设备、风险源及可能发生的事故编制应急预案，并定期进行演练，并在生产地点、生产规模和生产工艺发生重大变化时，及时更新预案。在演练过程中发现存在的问题和出现新的情况，也应及时修订完善预案。</w:t>
      </w:r>
    </w:p>
    <w:p w14:paraId="3CA7A896">
      <w:pPr>
        <w:pStyle w:val="5"/>
        <w:keepLines w:val="0"/>
        <w:numPr>
          <w:ilvl w:val="0"/>
          <w:numId w:val="0"/>
        </w:numPr>
        <w:tabs>
          <w:tab w:val="left" w:pos="141"/>
          <w:tab w:val="left" w:pos="567"/>
          <w:tab w:val="left" w:pos="709"/>
        </w:tabs>
        <w:spacing w:before="120" w:beforeLines="50" w:after="120" w:afterLines="50" w:line="360" w:lineRule="auto"/>
        <w:ind w:right="-105"/>
        <w:rPr>
          <w:rFonts w:eastAsia="宋体"/>
          <w:color w:val="auto"/>
          <w:sz w:val="28"/>
          <w:szCs w:val="28"/>
          <w:highlight w:val="none"/>
        </w:rPr>
      </w:pPr>
      <w:r>
        <w:rPr>
          <w:rFonts w:hint="eastAsia" w:eastAsia="宋体"/>
          <w:color w:val="auto"/>
          <w:sz w:val="28"/>
          <w:szCs w:val="28"/>
          <w:highlight w:val="none"/>
        </w:rPr>
        <w:t>7.6.10</w:t>
      </w:r>
      <w:r>
        <w:rPr>
          <w:rFonts w:eastAsia="宋体"/>
          <w:color w:val="auto"/>
          <w:sz w:val="28"/>
          <w:szCs w:val="28"/>
          <w:highlight w:val="none"/>
        </w:rPr>
        <w:t>环境风险应急体系</w:t>
      </w:r>
    </w:p>
    <w:p w14:paraId="6425222F">
      <w:pPr>
        <w:adjustRightInd w:val="0"/>
        <w:snapToGrid w:val="0"/>
        <w:spacing w:line="360" w:lineRule="auto"/>
        <w:ind w:left="-105" w:right="-105" w:firstLine="480" w:firstLineChars="200"/>
        <w:rPr>
          <w:rFonts w:ascii="Times New Roman" w:hAnsi="Times New Roman" w:cs="Times New Roman"/>
          <w:color w:val="auto"/>
          <w:highlight w:val="none"/>
        </w:rPr>
      </w:pPr>
      <w:r>
        <w:rPr>
          <w:rFonts w:hint="eastAsia" w:ascii="Times New Roman" w:hAnsi="Times New Roman" w:cs="Times New Roman"/>
          <w:color w:val="auto"/>
          <w:highlight w:val="none"/>
        </w:rPr>
        <w:t>化药化工（无锡）有限公司</w:t>
      </w:r>
      <w:r>
        <w:rPr>
          <w:rFonts w:ascii="Times New Roman" w:hAnsi="Times New Roman" w:cs="Times New Roman"/>
          <w:color w:val="auto"/>
          <w:highlight w:val="none"/>
        </w:rPr>
        <w:t>应急预案体系根据有关法律、法规、规章、上级人民政府及其有关部门要求，针对</w:t>
      </w:r>
      <w:r>
        <w:rPr>
          <w:rFonts w:hint="eastAsia" w:ascii="Times New Roman" w:hAnsi="Times New Roman" w:cs="Times New Roman"/>
          <w:color w:val="auto"/>
          <w:highlight w:val="none"/>
        </w:rPr>
        <w:t>化药化工（无锡）有限公司</w:t>
      </w:r>
      <w:r>
        <w:rPr>
          <w:rFonts w:ascii="Times New Roman" w:hAnsi="Times New Roman" w:cs="Times New Roman"/>
          <w:color w:val="auto"/>
          <w:highlight w:val="none"/>
        </w:rPr>
        <w:t>的情况制定的突发环境事件总体应急预案、各单项应急预案、现场处置预案，编制安全生产事故应急救援预案，并与区域突发环境事件应急预案相衔接，与锡山区环境风险防控和应急响应机制相联动，符合区域环境安全要求。应急预案体系如下图。</w:t>
      </w:r>
    </w:p>
    <w:p w14:paraId="2952CF02">
      <w:pPr>
        <w:pStyle w:val="15"/>
        <w:ind w:left="-105" w:right="-105" w:firstLine="562"/>
        <w:rPr>
          <w:rFonts w:eastAsia="宋体"/>
          <w:color w:val="auto"/>
          <w:sz w:val="24"/>
          <w:szCs w:val="18"/>
          <w:highlight w:val="none"/>
        </w:rPr>
      </w:pPr>
      <w:r>
        <w:rPr>
          <w:color w:val="auto"/>
          <w:highlight w:val="none"/>
        </w:rPr>
        <mc:AlternateContent>
          <mc:Choice Requires="wpc">
            <w:drawing>
              <wp:inline distT="0" distB="0" distL="0" distR="0">
                <wp:extent cx="5166995" cy="3223895"/>
                <wp:effectExtent l="0" t="0" r="0" b="0"/>
                <wp:docPr id="590360456" name="画布 191"/>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wps:wsp>
                        <wps:cNvPr id="1221807022" name="文本框 179"/>
                        <wps:cNvSpPr txBox="1">
                          <a:spLocks noChangeArrowheads="1"/>
                        </wps:cNvSpPr>
                        <wps:spPr bwMode="auto">
                          <a:xfrm>
                            <a:off x="200004" y="198106"/>
                            <a:ext cx="2400344" cy="296609"/>
                          </a:xfrm>
                          <a:prstGeom prst="rect">
                            <a:avLst/>
                          </a:prstGeom>
                          <a:solidFill>
                            <a:srgbClr val="FFFFFF"/>
                          </a:solidFill>
                          <a:ln w="9525">
                            <a:solidFill>
                              <a:srgbClr val="000000"/>
                            </a:solidFill>
                            <a:miter lim="800000"/>
                          </a:ln>
                        </wps:spPr>
                        <wps:txbx>
                          <w:txbxContent>
                            <w:p w14:paraId="6B291ABB">
                              <w:pPr>
                                <w:jc w:val="center"/>
                                <w:rPr>
                                  <w:rFonts w:cs="Times New Roman"/>
                                  <w:sz w:val="21"/>
                                  <w:szCs w:val="21"/>
                                </w:rPr>
                              </w:pPr>
                              <w:r>
                                <w:rPr>
                                  <w:rFonts w:cs="Times New Roman"/>
                                  <w:sz w:val="21"/>
                                  <w:szCs w:val="21"/>
                                </w:rPr>
                                <w:t>锡山区突发环境事件应急预案</w:t>
                              </w:r>
                            </w:p>
                          </w:txbxContent>
                        </wps:txbx>
                        <wps:bodyPr rot="0" vert="horz" wrap="square" lIns="91440" tIns="45720" rIns="91440" bIns="45720" anchor="t" anchorCtr="0" upright="1">
                          <a:noAutofit/>
                        </wps:bodyPr>
                      </wps:wsp>
                      <wps:wsp>
                        <wps:cNvPr id="1199138302" name="直接连接符 180"/>
                        <wps:cNvCnPr>
                          <a:cxnSpLocks noChangeShapeType="1"/>
                        </wps:cNvCnPr>
                        <wps:spPr bwMode="auto">
                          <a:xfrm>
                            <a:off x="1399526" y="494715"/>
                            <a:ext cx="0" cy="397012"/>
                          </a:xfrm>
                          <a:prstGeom prst="line">
                            <a:avLst/>
                          </a:prstGeom>
                          <a:noFill/>
                          <a:ln w="9525">
                            <a:solidFill>
                              <a:srgbClr val="000000"/>
                            </a:solidFill>
                            <a:prstDash val="dash"/>
                            <a:round/>
                            <a:headEnd type="triangle" w="med" len="med"/>
                          </a:ln>
                        </wps:spPr>
                        <wps:bodyPr/>
                      </wps:wsp>
                      <wps:wsp>
                        <wps:cNvPr id="2097421531" name="文本框 181"/>
                        <wps:cNvSpPr txBox="1">
                          <a:spLocks noChangeArrowheads="1"/>
                        </wps:cNvSpPr>
                        <wps:spPr bwMode="auto">
                          <a:xfrm>
                            <a:off x="200004" y="891726"/>
                            <a:ext cx="2400344" cy="495415"/>
                          </a:xfrm>
                          <a:prstGeom prst="rect">
                            <a:avLst/>
                          </a:prstGeom>
                          <a:solidFill>
                            <a:srgbClr val="FFFFFF"/>
                          </a:solidFill>
                          <a:ln w="9525">
                            <a:solidFill>
                              <a:srgbClr val="000000"/>
                            </a:solidFill>
                            <a:miter lim="800000"/>
                          </a:ln>
                        </wps:spPr>
                        <wps:txbx>
                          <w:txbxContent>
                            <w:p w14:paraId="574205A2">
                              <w:pPr>
                                <w:rPr>
                                  <w:rFonts w:cs="Times New Roman"/>
                                  <w:sz w:val="21"/>
                                  <w:szCs w:val="21"/>
                                </w:rPr>
                              </w:pPr>
                              <w:r>
                                <w:rPr>
                                  <w:rFonts w:hint="eastAsia" w:cs="Times New Roman"/>
                                  <w:sz w:val="21"/>
                                  <w:szCs w:val="21"/>
                                </w:rPr>
                                <w:t>化药化工（无锡）有限公司</w:t>
                              </w:r>
                              <w:r>
                                <w:rPr>
                                  <w:rFonts w:cs="Times New Roman"/>
                                  <w:sz w:val="21"/>
                                  <w:szCs w:val="21"/>
                                </w:rPr>
                                <w:t>突发环境事件应急预案（本预案）</w:t>
                              </w:r>
                            </w:p>
                          </w:txbxContent>
                        </wps:txbx>
                        <wps:bodyPr rot="0" vert="horz" wrap="square" lIns="91440" tIns="45720" rIns="91440" bIns="45720" anchor="t" anchorCtr="0" upright="1">
                          <a:noAutofit/>
                        </wps:bodyPr>
                      </wps:wsp>
                      <wps:wsp>
                        <wps:cNvPr id="576456072" name="文本框 182"/>
                        <wps:cNvSpPr txBox="1">
                          <a:spLocks noChangeArrowheads="1"/>
                        </wps:cNvSpPr>
                        <wps:spPr bwMode="auto">
                          <a:xfrm>
                            <a:off x="3071495" y="900430"/>
                            <a:ext cx="1906270" cy="485140"/>
                          </a:xfrm>
                          <a:prstGeom prst="rect">
                            <a:avLst/>
                          </a:prstGeom>
                          <a:solidFill>
                            <a:srgbClr val="FFFFFF"/>
                          </a:solidFill>
                          <a:ln w="12700">
                            <a:solidFill>
                              <a:srgbClr val="000000"/>
                            </a:solidFill>
                            <a:prstDash val="dash"/>
                            <a:miter lim="800000"/>
                          </a:ln>
                        </wps:spPr>
                        <wps:txbx>
                          <w:txbxContent>
                            <w:p w14:paraId="605590C9">
                              <w:pPr>
                                <w:rPr>
                                  <w:rFonts w:cs="Times New Roman"/>
                                  <w:sz w:val="21"/>
                                  <w:szCs w:val="21"/>
                                </w:rPr>
                              </w:pPr>
                              <w:r>
                                <w:rPr>
                                  <w:rFonts w:hint="eastAsia" w:cs="Times New Roman"/>
                                  <w:sz w:val="21"/>
                                  <w:szCs w:val="21"/>
                                </w:rPr>
                                <w:t>化药化工（无锡）有限公司</w:t>
                              </w:r>
                              <w:r>
                                <w:rPr>
                                  <w:rFonts w:cs="Times New Roman"/>
                                  <w:sz w:val="21"/>
                                  <w:szCs w:val="21"/>
                                </w:rPr>
                                <w:t>安全生产事故应急救援预案</w:t>
                              </w:r>
                            </w:p>
                          </w:txbxContent>
                        </wps:txbx>
                        <wps:bodyPr rot="0" vert="horz" wrap="square" lIns="91440" tIns="45720" rIns="91440" bIns="45720" anchor="t" anchorCtr="0" upright="1">
                          <a:noAutofit/>
                        </wps:bodyPr>
                      </wps:wsp>
                      <wps:wsp>
                        <wps:cNvPr id="1373531251" name="直接连接符 183"/>
                        <wps:cNvCnPr>
                          <a:cxnSpLocks noChangeShapeType="1"/>
                        </wps:cNvCnPr>
                        <wps:spPr bwMode="auto">
                          <a:xfrm>
                            <a:off x="2600348" y="1126733"/>
                            <a:ext cx="466709" cy="600"/>
                          </a:xfrm>
                          <a:prstGeom prst="line">
                            <a:avLst/>
                          </a:prstGeom>
                          <a:noFill/>
                          <a:ln w="9525">
                            <a:solidFill>
                              <a:srgbClr val="000000"/>
                            </a:solidFill>
                            <a:round/>
                          </a:ln>
                        </wps:spPr>
                        <wps:bodyPr/>
                      </wps:wsp>
                      <wps:wsp>
                        <wps:cNvPr id="1352509751" name="直接连接符 185"/>
                        <wps:cNvCnPr>
                          <a:cxnSpLocks noChangeShapeType="1"/>
                        </wps:cNvCnPr>
                        <wps:spPr bwMode="auto">
                          <a:xfrm>
                            <a:off x="1400126" y="1387141"/>
                            <a:ext cx="700" cy="396912"/>
                          </a:xfrm>
                          <a:prstGeom prst="line">
                            <a:avLst/>
                          </a:prstGeom>
                          <a:noFill/>
                          <a:ln w="9525">
                            <a:solidFill>
                              <a:srgbClr val="000000"/>
                            </a:solidFill>
                            <a:round/>
                            <a:tailEnd type="triangle" w="med" len="med"/>
                          </a:ln>
                        </wps:spPr>
                        <wps:bodyPr/>
                      </wps:wsp>
                      <wps:wsp>
                        <wps:cNvPr id="1470667849" name="文本框 186"/>
                        <wps:cNvSpPr txBox="1">
                          <a:spLocks noChangeArrowheads="1"/>
                        </wps:cNvSpPr>
                        <wps:spPr bwMode="auto">
                          <a:xfrm>
                            <a:off x="766414" y="1795453"/>
                            <a:ext cx="1283324" cy="296609"/>
                          </a:xfrm>
                          <a:prstGeom prst="rect">
                            <a:avLst/>
                          </a:prstGeom>
                          <a:solidFill>
                            <a:srgbClr val="FFFFFF"/>
                          </a:solidFill>
                          <a:ln w="9525">
                            <a:solidFill>
                              <a:srgbClr val="000000"/>
                            </a:solidFill>
                            <a:miter lim="800000"/>
                          </a:ln>
                        </wps:spPr>
                        <wps:txbx>
                          <w:txbxContent>
                            <w:p w14:paraId="1A081C53">
                              <w:pPr>
                                <w:rPr>
                                  <w:rFonts w:cs="Times New Roman"/>
                                  <w:sz w:val="21"/>
                                  <w:szCs w:val="21"/>
                                </w:rPr>
                              </w:pPr>
                              <w:r>
                                <w:rPr>
                                  <w:rFonts w:cs="Times New Roman"/>
                                  <w:sz w:val="21"/>
                                  <w:szCs w:val="21"/>
                                </w:rPr>
                                <w:t>专项应急预案</w:t>
                              </w:r>
                            </w:p>
                          </w:txbxContent>
                        </wps:txbx>
                        <wps:bodyPr rot="0" vert="horz" wrap="square" lIns="91440" tIns="45720" rIns="91440" bIns="45720" anchor="t" anchorCtr="0" upright="1">
                          <a:noAutofit/>
                        </wps:bodyPr>
                      </wps:wsp>
                      <wps:wsp>
                        <wps:cNvPr id="1982162393" name="文本框 187"/>
                        <wps:cNvSpPr txBox="1">
                          <a:spLocks noChangeArrowheads="1"/>
                        </wps:cNvSpPr>
                        <wps:spPr bwMode="auto">
                          <a:xfrm>
                            <a:off x="1333525" y="595118"/>
                            <a:ext cx="1066820" cy="296609"/>
                          </a:xfrm>
                          <a:prstGeom prst="rect">
                            <a:avLst/>
                          </a:prstGeom>
                          <a:noFill/>
                          <a:ln>
                            <a:noFill/>
                          </a:ln>
                        </wps:spPr>
                        <wps:txbx>
                          <w:txbxContent>
                            <w:p w14:paraId="63DBEB9F">
                              <w:pPr>
                                <w:rPr>
                                  <w:rFonts w:cs="Times New Roman"/>
                                  <w:sz w:val="21"/>
                                  <w:szCs w:val="21"/>
                                </w:rPr>
                              </w:pPr>
                              <w:r>
                                <w:rPr>
                                  <w:rFonts w:cs="Times New Roman"/>
                                  <w:sz w:val="21"/>
                                  <w:szCs w:val="21"/>
                                </w:rPr>
                                <w:t>提供依据</w:t>
                              </w:r>
                            </w:p>
                          </w:txbxContent>
                        </wps:txbx>
                        <wps:bodyPr rot="0" vert="horz" wrap="square" lIns="91440" tIns="45720" rIns="91440" bIns="45720" anchor="t" anchorCtr="0" upright="1">
                          <a:noAutofit/>
                        </wps:bodyPr>
                      </wps:wsp>
                      <wps:wsp>
                        <wps:cNvPr id="277338997" name="文本框 188"/>
                        <wps:cNvSpPr txBox="1">
                          <a:spLocks noChangeArrowheads="1"/>
                        </wps:cNvSpPr>
                        <wps:spPr bwMode="auto">
                          <a:xfrm>
                            <a:off x="2583948" y="891726"/>
                            <a:ext cx="666712" cy="495415"/>
                          </a:xfrm>
                          <a:prstGeom prst="rect">
                            <a:avLst/>
                          </a:prstGeom>
                          <a:noFill/>
                          <a:ln>
                            <a:noFill/>
                          </a:ln>
                        </wps:spPr>
                        <wps:txbx>
                          <w:txbxContent>
                            <w:p w14:paraId="07A7F5CE">
                              <w:pPr>
                                <w:rPr>
                                  <w:rFonts w:cs="Times New Roman"/>
                                  <w:sz w:val="21"/>
                                  <w:szCs w:val="21"/>
                                </w:rPr>
                              </w:pPr>
                              <w:r>
                                <w:rPr>
                                  <w:rFonts w:cs="Times New Roman"/>
                                  <w:sz w:val="21"/>
                                  <w:szCs w:val="21"/>
                                </w:rPr>
                                <w:t>相互</w:t>
                              </w:r>
                            </w:p>
                            <w:p w14:paraId="59657E6D">
                              <w:pPr>
                                <w:rPr>
                                  <w:rFonts w:cs="Times New Roman"/>
                                  <w:sz w:val="21"/>
                                  <w:szCs w:val="21"/>
                                </w:rPr>
                              </w:pPr>
                              <w:r>
                                <w:rPr>
                                  <w:rFonts w:cs="Times New Roman"/>
                                  <w:sz w:val="21"/>
                                  <w:szCs w:val="21"/>
                                </w:rPr>
                                <w:t>衔接</w:t>
                              </w:r>
                            </w:p>
                          </w:txbxContent>
                        </wps:txbx>
                        <wps:bodyPr rot="0" vert="horz" wrap="square" lIns="91440" tIns="45720" rIns="91440" bIns="45720" anchor="t" anchorCtr="0" upright="1">
                          <a:noAutofit/>
                        </wps:bodyPr>
                      </wps:wsp>
                      <wps:wsp>
                        <wps:cNvPr id="101668550" name="直接连接符 189"/>
                        <wps:cNvCnPr>
                          <a:cxnSpLocks noChangeShapeType="1"/>
                        </wps:cNvCnPr>
                        <wps:spPr bwMode="auto">
                          <a:xfrm>
                            <a:off x="1412226" y="2107362"/>
                            <a:ext cx="0" cy="393812"/>
                          </a:xfrm>
                          <a:prstGeom prst="line">
                            <a:avLst/>
                          </a:prstGeom>
                          <a:noFill/>
                          <a:ln w="9525">
                            <a:solidFill>
                              <a:srgbClr val="000000"/>
                            </a:solidFill>
                            <a:round/>
                            <a:tailEnd type="triangle" w="med" len="med"/>
                          </a:ln>
                        </wps:spPr>
                        <wps:bodyPr/>
                      </wps:wsp>
                      <wps:wsp>
                        <wps:cNvPr id="1912481482" name="文本框 190"/>
                        <wps:cNvSpPr txBox="1">
                          <a:spLocks noChangeArrowheads="1"/>
                        </wps:cNvSpPr>
                        <wps:spPr bwMode="auto">
                          <a:xfrm>
                            <a:off x="742914" y="2493473"/>
                            <a:ext cx="1282724" cy="292209"/>
                          </a:xfrm>
                          <a:prstGeom prst="rect">
                            <a:avLst/>
                          </a:prstGeom>
                          <a:solidFill>
                            <a:srgbClr val="FFFFFF"/>
                          </a:solidFill>
                          <a:ln w="9525">
                            <a:solidFill>
                              <a:srgbClr val="000000"/>
                            </a:solidFill>
                            <a:miter lim="800000"/>
                          </a:ln>
                        </wps:spPr>
                        <wps:txbx>
                          <w:txbxContent>
                            <w:p w14:paraId="6095D9B6">
                              <w:pPr>
                                <w:rPr>
                                  <w:rFonts w:cs="Times New Roman"/>
                                  <w:sz w:val="21"/>
                                  <w:szCs w:val="21"/>
                                </w:rPr>
                              </w:pPr>
                              <w:r>
                                <w:rPr>
                                  <w:rFonts w:cs="Times New Roman"/>
                                  <w:sz w:val="21"/>
                                  <w:szCs w:val="21"/>
                                </w:rPr>
                                <w:t>现场处置方案</w:t>
                              </w:r>
                            </w:p>
                          </w:txbxContent>
                        </wps:txbx>
                        <wps:bodyPr rot="0" vert="horz" wrap="square" lIns="91440" tIns="45720" rIns="91440" bIns="45720" anchor="t" anchorCtr="0" upright="1">
                          <a:noAutofit/>
                        </wps:bodyPr>
                      </wps:wsp>
                    </wpc:wpc>
                  </a:graphicData>
                </a:graphic>
              </wp:inline>
            </w:drawing>
          </mc:Choice>
          <mc:Fallback>
            <w:pict>
              <v:group id="画布 191" o:spid="_x0000_s1026" o:spt="203" style="height:253.85pt;width:406.85pt;" coordsize="5166995,3223895" editas="canvas" o:gfxdata="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">
                <o:lock v:ext="edit" aspectratio="f"/>
                <v:shape id="画布 191" o:spid="_x0000_s1026" style="position:absolute;left:0;top:0;height:3223895;width:5166995;" filled="f" stroked="f" coordsize="21600,21600" o:gfxdata="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">
                  <v:fill on="f" focussize="0,0"/>
                  <v:stroke on="f"/>
                  <v:imagedata o:title=""/>
                  <o:lock v:ext="edit" aspectratio="t"/>
                </v:shape>
                <v:shape id="文本框 179" o:spid="_x0000_s1026" o:spt="202" type="#_x0000_t202" style="position:absolute;left:200004;top:198106;height:296609;width:2400344;" fillcolor="#FFFFFF" filled="t" stroked="t" coordsize="21600,21600" o:gfxdata="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">
                  <v:fill on="t" focussize="0,0"/>
                  <v:stroke color="#000000" miterlimit="8" joinstyle="miter"/>
                  <v:imagedata o:title=""/>
                  <o:lock v:ext="edit" aspectratio="f"/>
                  <v:textbox>
                    <w:txbxContent>
                      <w:p w14:paraId="6B291ABB">
                        <w:pPr>
                          <w:jc w:val="center"/>
                          <w:rPr>
                            <w:rFonts w:cs="Times New Roman"/>
                            <w:sz w:val="21"/>
                            <w:szCs w:val="21"/>
                          </w:rPr>
                        </w:pPr>
                        <w:r>
                          <w:rPr>
                            <w:rFonts w:cs="Times New Roman"/>
                            <w:sz w:val="21"/>
                            <w:szCs w:val="21"/>
                          </w:rPr>
                          <w:t>锡山区突发环境事件应急预案</w:t>
                        </w:r>
                      </w:p>
                    </w:txbxContent>
                  </v:textbox>
                </v:shape>
                <v:line id="直接连接符 180" o:spid="_x0000_s1026" o:spt="20" style="position:absolute;left:1399526;top:494715;height:397012;width:0;" filled="f" stroked="t" coordsize="21600,21600" o:gfxdata="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">
                  <v:fill on="f" focussize="0,0"/>
                  <v:stroke color="#000000" joinstyle="round" dashstyle="dash" startarrow="block"/>
                  <v:imagedata o:title=""/>
                  <o:lock v:ext="edit" aspectratio="f"/>
                </v:line>
                <v:shape id="文本框 181" o:spid="_x0000_s1026" o:spt="202" type="#_x0000_t202" style="position:absolute;left:200004;top:891726;height:495415;width:2400344;" fillcolor="#FFFFFF" filled="t" stroked="t" coordsize="21600,21600" o:gfxdata="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">
                  <v:fill on="t" focussize="0,0"/>
                  <v:stroke color="#000000" miterlimit="8" joinstyle="miter"/>
                  <v:imagedata o:title=""/>
                  <o:lock v:ext="edit" aspectratio="f"/>
                  <v:textbox>
                    <w:txbxContent>
                      <w:p w14:paraId="574205A2">
                        <w:pPr>
                          <w:rPr>
                            <w:rFonts w:cs="Times New Roman"/>
                            <w:sz w:val="21"/>
                            <w:szCs w:val="21"/>
                          </w:rPr>
                        </w:pPr>
                        <w:r>
                          <w:rPr>
                            <w:rFonts w:hint="eastAsia" w:cs="Times New Roman"/>
                            <w:sz w:val="21"/>
                            <w:szCs w:val="21"/>
                          </w:rPr>
                          <w:t>化药化工（无锡）有限公司</w:t>
                        </w:r>
                        <w:r>
                          <w:rPr>
                            <w:rFonts w:cs="Times New Roman"/>
                            <w:sz w:val="21"/>
                            <w:szCs w:val="21"/>
                          </w:rPr>
                          <w:t>突发环境事件应急预案（本预案）</w:t>
                        </w:r>
                      </w:p>
                    </w:txbxContent>
                  </v:textbox>
                </v:shape>
                <v:shape id="文本框 182" o:spid="_x0000_s1026" o:spt="202" type="#_x0000_t202" style="position:absolute;left:3071495;top:900430;height:485140;width:1906270;" fillcolor="#FFFFFF" filled="t" stroked="t" coordsize="21600,21600" o:gfxdata="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">
                  <v:fill on="t" focussize="0,0"/>
                  <v:stroke weight="1pt" color="#000000" miterlimit="8" joinstyle="miter" dashstyle="dash"/>
                  <v:imagedata o:title=""/>
                  <o:lock v:ext="edit" aspectratio="f"/>
                  <v:textbox>
                    <w:txbxContent>
                      <w:p w14:paraId="605590C9">
                        <w:pPr>
                          <w:rPr>
                            <w:rFonts w:cs="Times New Roman"/>
                            <w:sz w:val="21"/>
                            <w:szCs w:val="21"/>
                          </w:rPr>
                        </w:pPr>
                        <w:r>
                          <w:rPr>
                            <w:rFonts w:hint="eastAsia" w:cs="Times New Roman"/>
                            <w:sz w:val="21"/>
                            <w:szCs w:val="21"/>
                          </w:rPr>
                          <w:t>化药化工（无锡）有限公司</w:t>
                        </w:r>
                        <w:r>
                          <w:rPr>
                            <w:rFonts w:cs="Times New Roman"/>
                            <w:sz w:val="21"/>
                            <w:szCs w:val="21"/>
                          </w:rPr>
                          <w:t>安全生产事故应急救援预案</w:t>
                        </w:r>
                      </w:p>
                    </w:txbxContent>
                  </v:textbox>
                </v:shape>
                <v:line id="直接连接符 183" o:spid="_x0000_s1026" o:spt="20" style="position:absolute;left:2600348;top:1126733;height:600;width:466709;" filled="f" stroked="t" coordsize="21600,21600" o:gfxdata="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IQ5QGzVAAAABQEAAA8AAAAAAAAAAQAgAAAAIgAAAGRycy9kb3ducmV2Lnht&#10;bFBLAQIUABQAAAAIAIdO4kDmzfok/AEAAMIDAAAOAAAAAAAAAAEAIAAAACQBAABkcnMvZTJvRG9j&#10;LnhtbFBLBQYAAAAABgAGAFkBAACSBQAAAAA=&#10;">
                  <v:fill on="f" focussize="0,0"/>
                  <v:stroke color="#000000" joinstyle="round"/>
                  <v:imagedata o:title=""/>
                  <o:lock v:ext="edit" aspectratio="f"/>
                </v:line>
                <v:line id="直接连接符 185" o:spid="_x0000_s1026" o:spt="20" style="position:absolute;left:1400126;top:1387141;height:396912;width:700;" filled="f" stroked="t" coordsize="21600,21600" o:gfxdata="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C3TeMM2AAAAAUBAAAPAAAA&#10;AAAAAAEAIAAAACIAAABkcnMvZG93bnJldi54bWxQSwECFAAUAAAACACHTuJAC24HUxUCAADwAwAA&#10;DgAAAAAAAAABACAAAAAnAQAAZHJzL2Uyb0RvYy54bWxQSwUGAAAAAAYABgBZAQAArgUAAAAA&#10;">
                  <v:fill on="f" focussize="0,0"/>
                  <v:stroke color="#000000" joinstyle="round" endarrow="block"/>
                  <v:imagedata o:title=""/>
                  <o:lock v:ext="edit" aspectratio="f"/>
                </v:line>
                <v:shape id="文本框 186" o:spid="_x0000_s1026" o:spt="202" type="#_x0000_t202" style="position:absolute;left:766414;top:1795453;height:296609;width:1283324;" fillcolor="#FFFFFF" filled="t" stroked="t" coordsize="21600,21600" o:gfxdata="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">
                  <v:fill on="t" focussize="0,0"/>
                  <v:stroke color="#000000" miterlimit="8" joinstyle="miter"/>
                  <v:imagedata o:title=""/>
                  <o:lock v:ext="edit" aspectratio="f"/>
                  <v:textbox>
                    <w:txbxContent>
                      <w:p w14:paraId="1A081C53">
                        <w:pPr>
                          <w:rPr>
                            <w:rFonts w:cs="Times New Roman"/>
                            <w:sz w:val="21"/>
                            <w:szCs w:val="21"/>
                          </w:rPr>
                        </w:pPr>
                        <w:r>
                          <w:rPr>
                            <w:rFonts w:cs="Times New Roman"/>
                            <w:sz w:val="21"/>
                            <w:szCs w:val="21"/>
                          </w:rPr>
                          <w:t>专项应急预案</w:t>
                        </w:r>
                      </w:p>
                    </w:txbxContent>
                  </v:textbox>
                </v:shape>
                <v:shape id="文本框 187" o:spid="_x0000_s1026" o:spt="202" type="#_x0000_t202" style="position:absolute;left:1333525;top:595118;height:296609;width:1066820;" filled="f" stroked="f" coordsize="21600,21600" o:gfxdata="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">
                  <v:fill on="f" focussize="0,0"/>
                  <v:stroke on="f"/>
                  <v:imagedata o:title=""/>
                  <o:lock v:ext="edit" aspectratio="f"/>
                  <v:textbox>
                    <w:txbxContent>
                      <w:p w14:paraId="63DBEB9F">
                        <w:pPr>
                          <w:rPr>
                            <w:rFonts w:cs="Times New Roman"/>
                            <w:sz w:val="21"/>
                            <w:szCs w:val="21"/>
                          </w:rPr>
                        </w:pPr>
                        <w:r>
                          <w:rPr>
                            <w:rFonts w:cs="Times New Roman"/>
                            <w:sz w:val="21"/>
                            <w:szCs w:val="21"/>
                          </w:rPr>
                          <w:t>提供依据</w:t>
                        </w:r>
                      </w:p>
                    </w:txbxContent>
                  </v:textbox>
                </v:shape>
                <v:shape id="文本框 188" o:spid="_x0000_s1026" o:spt="202" type="#_x0000_t202" style="position:absolute;left:2583948;top:891726;height:495415;width:666712;" filled="f" stroked="f" coordsize="21600,21600" o:gfxdata="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1uIH0dQAAAAFAQAADwAAAAAAAAABACAAAAAiAAAAZHJzL2Rvd25yZXYueG1sUEsBAhQAFAAA&#10;AAgAh07iQOwSguMsAgAAKQQAAA4AAAAAAAAAAQAgAAAAIwEAAGRycy9lMm9Eb2MueG1sUEsFBgAA&#10;AAAGAAYAWQEAAMEFAAAAAA==&#10;">
                  <v:fill on="f" focussize="0,0"/>
                  <v:stroke on="f"/>
                  <v:imagedata o:title=""/>
                  <o:lock v:ext="edit" aspectratio="f"/>
                  <v:textbox>
                    <w:txbxContent>
                      <w:p w14:paraId="07A7F5CE">
                        <w:pPr>
                          <w:rPr>
                            <w:rFonts w:cs="Times New Roman"/>
                            <w:sz w:val="21"/>
                            <w:szCs w:val="21"/>
                          </w:rPr>
                        </w:pPr>
                        <w:r>
                          <w:rPr>
                            <w:rFonts w:cs="Times New Roman"/>
                            <w:sz w:val="21"/>
                            <w:szCs w:val="21"/>
                          </w:rPr>
                          <w:t>相互</w:t>
                        </w:r>
                      </w:p>
                      <w:p w14:paraId="59657E6D">
                        <w:pPr>
                          <w:rPr>
                            <w:rFonts w:cs="Times New Roman"/>
                            <w:sz w:val="21"/>
                            <w:szCs w:val="21"/>
                          </w:rPr>
                        </w:pPr>
                        <w:r>
                          <w:rPr>
                            <w:rFonts w:cs="Times New Roman"/>
                            <w:sz w:val="21"/>
                            <w:szCs w:val="21"/>
                          </w:rPr>
                          <w:t>衔接</w:t>
                        </w:r>
                      </w:p>
                    </w:txbxContent>
                  </v:textbox>
                </v:shape>
                <v:line id="直接连接符 189" o:spid="_x0000_s1026" o:spt="20" style="position:absolute;left:1412226;top:2107362;height:393812;width:0;" filled="f" stroked="t" coordsize="21600,21600" o:gfxdata="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C3TeMM2AAAAAUBAAAPAAAA&#10;AAAAAAEAIAAAACIAAABkcnMvZG93bnJldi54bWxQSwECFAAUAAAACACHTuJAf9Kl3xUCAADtAwAA&#10;DgAAAAAAAAABACAAAAAnAQAAZHJzL2Uyb0RvYy54bWxQSwUGAAAAAAYABgBZAQAArgUAAAAA&#10;">
                  <v:fill on="f" focussize="0,0"/>
                  <v:stroke color="#000000" joinstyle="round" endarrow="block"/>
                  <v:imagedata o:title=""/>
                  <o:lock v:ext="edit" aspectratio="f"/>
                </v:line>
                <v:shape id="文本框 190" o:spid="_x0000_s1026" o:spt="202" type="#_x0000_t202" style="position:absolute;left:742914;top:2493473;height:292209;width:1282724;" fillcolor="#FFFFFF" filled="t" stroked="t" coordsize="21600,21600" o:gfxdata="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">
                  <v:fill on="t" focussize="0,0"/>
                  <v:stroke color="#000000" miterlimit="8" joinstyle="miter"/>
                  <v:imagedata o:title=""/>
                  <o:lock v:ext="edit" aspectratio="f"/>
                  <v:textbox>
                    <w:txbxContent>
                      <w:p w14:paraId="6095D9B6">
                        <w:pPr>
                          <w:rPr>
                            <w:rFonts w:cs="Times New Roman"/>
                            <w:sz w:val="21"/>
                            <w:szCs w:val="21"/>
                          </w:rPr>
                        </w:pPr>
                        <w:r>
                          <w:rPr>
                            <w:rFonts w:cs="Times New Roman"/>
                            <w:sz w:val="21"/>
                            <w:szCs w:val="21"/>
                          </w:rPr>
                          <w:t>现场处置方案</w:t>
                        </w:r>
                      </w:p>
                    </w:txbxContent>
                  </v:textbox>
                </v:shape>
                <w10:wrap type="none"/>
                <w10:anchorlock/>
              </v:group>
            </w:pict>
          </mc:Fallback>
        </mc:AlternateContent>
      </w:r>
    </w:p>
    <w:p w14:paraId="5335364E">
      <w:pPr>
        <w:pStyle w:val="15"/>
        <w:ind w:left="-105" w:right="-105" w:firstLine="482"/>
        <w:rPr>
          <w:rFonts w:eastAsia="宋体"/>
          <w:color w:val="auto"/>
          <w:sz w:val="24"/>
          <w:szCs w:val="18"/>
          <w:highlight w:val="none"/>
        </w:rPr>
      </w:pPr>
      <w:r>
        <w:rPr>
          <w:rFonts w:eastAsia="宋体"/>
          <w:color w:val="auto"/>
          <w:sz w:val="24"/>
          <w:szCs w:val="18"/>
          <w:highlight w:val="none"/>
        </w:rPr>
        <w:t>图</w:t>
      </w:r>
      <w:r>
        <w:rPr>
          <w:rFonts w:eastAsia="宋体"/>
          <w:color w:val="auto"/>
          <w:sz w:val="24"/>
          <w:szCs w:val="18"/>
          <w:highlight w:val="none"/>
        </w:rPr>
        <w:fldChar w:fldCharType="begin"/>
      </w:r>
      <w:r>
        <w:rPr>
          <w:rFonts w:eastAsia="宋体"/>
          <w:color w:val="auto"/>
          <w:sz w:val="24"/>
          <w:szCs w:val="18"/>
          <w:highlight w:val="none"/>
        </w:rPr>
        <w:instrText xml:space="preserve"> STYLEREF 2 \s </w:instrText>
      </w:r>
      <w:r>
        <w:rPr>
          <w:rFonts w:eastAsia="宋体"/>
          <w:color w:val="auto"/>
          <w:sz w:val="24"/>
          <w:szCs w:val="18"/>
          <w:highlight w:val="none"/>
        </w:rPr>
        <w:fldChar w:fldCharType="separate"/>
      </w:r>
      <w:r>
        <w:rPr>
          <w:rFonts w:eastAsia="宋体"/>
          <w:color w:val="auto"/>
          <w:sz w:val="24"/>
          <w:szCs w:val="18"/>
          <w:highlight w:val="none"/>
        </w:rPr>
        <w:t>7.6</w:t>
      </w:r>
      <w:r>
        <w:rPr>
          <w:rFonts w:eastAsia="宋体"/>
          <w:color w:val="auto"/>
          <w:sz w:val="24"/>
          <w:szCs w:val="18"/>
          <w:highlight w:val="none"/>
        </w:rPr>
        <w:fldChar w:fldCharType="end"/>
      </w:r>
      <w:r>
        <w:rPr>
          <w:rFonts w:eastAsia="宋体"/>
          <w:color w:val="auto"/>
          <w:sz w:val="24"/>
          <w:szCs w:val="18"/>
          <w:highlight w:val="none"/>
        </w:rPr>
        <w:noBreakHyphen/>
      </w:r>
      <w:r>
        <w:rPr>
          <w:rFonts w:eastAsia="宋体"/>
          <w:color w:val="auto"/>
          <w:sz w:val="24"/>
          <w:szCs w:val="18"/>
          <w:highlight w:val="none"/>
        </w:rPr>
        <w:fldChar w:fldCharType="begin"/>
      </w:r>
      <w:r>
        <w:rPr>
          <w:rFonts w:eastAsia="宋体"/>
          <w:color w:val="auto"/>
          <w:sz w:val="24"/>
          <w:szCs w:val="18"/>
          <w:highlight w:val="none"/>
        </w:rPr>
        <w:instrText xml:space="preserve"> SEQ 图 \* ARABIC \s 2 </w:instrText>
      </w:r>
      <w:r>
        <w:rPr>
          <w:rFonts w:eastAsia="宋体"/>
          <w:color w:val="auto"/>
          <w:sz w:val="24"/>
          <w:szCs w:val="18"/>
          <w:highlight w:val="none"/>
        </w:rPr>
        <w:fldChar w:fldCharType="separate"/>
      </w:r>
      <w:r>
        <w:rPr>
          <w:rFonts w:eastAsia="宋体"/>
          <w:color w:val="auto"/>
          <w:sz w:val="24"/>
          <w:szCs w:val="18"/>
          <w:highlight w:val="none"/>
        </w:rPr>
        <w:t>2</w:t>
      </w:r>
      <w:r>
        <w:rPr>
          <w:rFonts w:eastAsia="宋体"/>
          <w:color w:val="auto"/>
          <w:sz w:val="24"/>
          <w:szCs w:val="18"/>
          <w:highlight w:val="none"/>
        </w:rPr>
        <w:fldChar w:fldCharType="end"/>
      </w:r>
      <w:r>
        <w:rPr>
          <w:rFonts w:eastAsia="宋体"/>
          <w:color w:val="auto"/>
          <w:sz w:val="24"/>
          <w:szCs w:val="18"/>
          <w:highlight w:val="none"/>
        </w:rPr>
        <w:t>应急预案构成体系框架图</w:t>
      </w:r>
    </w:p>
    <w:p w14:paraId="787B197F">
      <w:pPr>
        <w:adjustRightInd w:val="0"/>
        <w:snapToGrid w:val="0"/>
        <w:spacing w:line="360" w:lineRule="auto"/>
        <w:ind w:left="-105" w:right="-105" w:firstLine="482" w:firstLineChars="200"/>
        <w:rPr>
          <w:rFonts w:ascii="Times New Roman" w:hAnsi="Times New Roman" w:cs="Times New Roman"/>
          <w:bCs/>
          <w:color w:val="auto"/>
          <w:highlight w:val="none"/>
        </w:rPr>
      </w:pPr>
      <w:r>
        <w:rPr>
          <w:rFonts w:ascii="Times New Roman" w:hAnsi="Times New Roman" w:cs="Times New Roman"/>
          <w:b/>
          <w:color w:val="auto"/>
          <w:highlight w:val="none"/>
        </w:rPr>
        <w:t>响应程序</w:t>
      </w:r>
    </w:p>
    <w:p w14:paraId="77BAB311">
      <w:pPr>
        <w:adjustRightInd w:val="0"/>
        <w:snapToGrid w:val="0"/>
        <w:spacing w:line="360" w:lineRule="auto"/>
        <w:ind w:left="-105" w:right="-105" w:firstLine="480" w:firstLineChars="200"/>
        <w:rPr>
          <w:rFonts w:ascii="Times New Roman" w:hAnsi="Times New Roman" w:cs="Times New Roman"/>
          <w:bCs/>
          <w:color w:val="auto"/>
          <w:highlight w:val="none"/>
        </w:rPr>
      </w:pPr>
      <w:r>
        <w:rPr>
          <w:rFonts w:ascii="Times New Roman" w:hAnsi="Times New Roman" w:cs="Times New Roman"/>
          <w:bCs/>
          <w:color w:val="auto"/>
          <w:highlight w:val="none"/>
        </w:rPr>
        <w:t>明确突发环境事件发生后，各应急组织机构应当采取的具体行动措施，包括响应分级、应急启动、应急处置等程序。</w:t>
      </w:r>
    </w:p>
    <w:p w14:paraId="4E87049C">
      <w:pPr>
        <w:ind w:left="-105" w:right="-105"/>
        <w:rPr>
          <w:rFonts w:ascii="Times New Roman" w:hAnsi="Times New Roman" w:cs="Times New Roman"/>
          <w:color w:val="auto"/>
          <w:highlight w:val="none"/>
        </w:rPr>
      </w:pPr>
      <w:r>
        <w:rPr>
          <w:rFonts w:ascii="Times New Roman" w:hAnsi="Times New Roman" w:cs="Times New Roman"/>
          <w:color w:val="auto"/>
          <w:highlight w:val="none"/>
        </w:rPr>
        <mc:AlternateContent>
          <mc:Choice Requires="wpc">
            <w:drawing>
              <wp:inline distT="0" distB="0" distL="0" distR="0">
                <wp:extent cx="5500370" cy="6260465"/>
                <wp:effectExtent l="4445" t="4445" r="19685" b="2540"/>
                <wp:docPr id="239" name="画布 149"/>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wps:wsp>
                        <wps:cNvPr id="420994371" name="文本框 102"/>
                        <wps:cNvSpPr txBox="1">
                          <a:spLocks noChangeArrowheads="1"/>
                        </wps:cNvSpPr>
                        <wps:spPr bwMode="auto">
                          <a:xfrm>
                            <a:off x="1967230" y="685165"/>
                            <a:ext cx="2029460" cy="497840"/>
                          </a:xfrm>
                          <a:prstGeom prst="rect">
                            <a:avLst/>
                          </a:prstGeom>
                          <a:solidFill>
                            <a:srgbClr val="FFFFFF"/>
                          </a:solidFill>
                          <a:ln w="6350">
                            <a:solidFill>
                              <a:srgbClr val="000000"/>
                            </a:solidFill>
                            <a:round/>
                          </a:ln>
                        </wps:spPr>
                        <wps:txbx>
                          <w:txbxContent>
                            <w:p w14:paraId="422A9B96">
                              <w:pPr>
                                <w:autoSpaceDE w:val="0"/>
                                <w:autoSpaceDN w:val="0"/>
                                <w:adjustRightInd w:val="0"/>
                                <w:jc w:val="center"/>
                                <w:rPr>
                                  <w:color w:val="000000"/>
                                  <w:sz w:val="21"/>
                                  <w:szCs w:val="21"/>
                                  <w:lang w:val="zh-CN"/>
                                </w:rPr>
                              </w:pPr>
                              <w:r>
                                <w:rPr>
                                  <w:rFonts w:hint="eastAsia"/>
                                  <w:color w:val="000000"/>
                                  <w:sz w:val="21"/>
                                  <w:szCs w:val="21"/>
                                  <w:lang w:val="zh-CN"/>
                                </w:rPr>
                                <w:t>化药化工（无锡）有限公司</w:t>
                              </w:r>
                            </w:p>
                            <w:p w14:paraId="09DACE73">
                              <w:pPr>
                                <w:autoSpaceDE w:val="0"/>
                                <w:autoSpaceDN w:val="0"/>
                                <w:adjustRightInd w:val="0"/>
                                <w:jc w:val="center"/>
                                <w:rPr>
                                  <w:color w:val="000000"/>
                                  <w:sz w:val="21"/>
                                  <w:szCs w:val="21"/>
                                  <w:lang w:val="zh-CN"/>
                                </w:rPr>
                              </w:pPr>
                              <w:r>
                                <w:rPr>
                                  <w:color w:val="000000"/>
                                  <w:sz w:val="21"/>
                                  <w:szCs w:val="21"/>
                                  <w:lang w:val="zh-CN"/>
                                </w:rPr>
                                <w:t>应急指挥部</w:t>
                              </w:r>
                            </w:p>
                          </w:txbxContent>
                        </wps:txbx>
                        <wps:bodyPr rot="0" vert="horz" wrap="square" lIns="91440" tIns="45720" rIns="91440" bIns="45720" anchor="ctr" anchorCtr="0" upright="1">
                          <a:noAutofit/>
                        </wps:bodyPr>
                      </wps:wsp>
                      <wps:wsp>
                        <wps:cNvPr id="963317148" name="文本框 103"/>
                        <wps:cNvSpPr txBox="1">
                          <a:spLocks noChangeArrowheads="1"/>
                        </wps:cNvSpPr>
                        <wps:spPr bwMode="auto">
                          <a:xfrm>
                            <a:off x="2011680" y="0"/>
                            <a:ext cx="1808480" cy="313055"/>
                          </a:xfrm>
                          <a:prstGeom prst="rect">
                            <a:avLst/>
                          </a:prstGeom>
                          <a:solidFill>
                            <a:srgbClr val="FFFFFF"/>
                          </a:solidFill>
                          <a:ln w="6350">
                            <a:solidFill>
                              <a:srgbClr val="000000"/>
                            </a:solidFill>
                            <a:round/>
                          </a:ln>
                        </wps:spPr>
                        <wps:txbx>
                          <w:txbxContent>
                            <w:p w14:paraId="2FDABEC1">
                              <w:pPr>
                                <w:autoSpaceDE w:val="0"/>
                                <w:autoSpaceDN w:val="0"/>
                                <w:adjustRightInd w:val="0"/>
                                <w:jc w:val="center"/>
                                <w:rPr>
                                  <w:color w:val="000000"/>
                                  <w:sz w:val="21"/>
                                  <w:szCs w:val="21"/>
                                  <w:lang w:val="zh-CN"/>
                                </w:rPr>
                              </w:pPr>
                              <w:r>
                                <w:rPr>
                                  <w:color w:val="000000"/>
                                  <w:sz w:val="21"/>
                                  <w:szCs w:val="21"/>
                                </w:rPr>
                                <w:t>无锡市</w:t>
                              </w:r>
                              <w:r>
                                <w:rPr>
                                  <w:rFonts w:hint="eastAsia"/>
                                  <w:color w:val="000000"/>
                                  <w:sz w:val="21"/>
                                  <w:szCs w:val="21"/>
                                </w:rPr>
                                <w:t>锡山</w:t>
                              </w:r>
                              <w:r>
                                <w:rPr>
                                  <w:color w:val="000000"/>
                                  <w:sz w:val="21"/>
                                  <w:szCs w:val="21"/>
                                  <w:lang w:val="zh-CN"/>
                                </w:rPr>
                                <w:t>生态环境局</w:t>
                              </w:r>
                            </w:p>
                          </w:txbxContent>
                        </wps:txbx>
                        <wps:bodyPr rot="0" vert="horz" wrap="square" lIns="91440" tIns="45720" rIns="91440" bIns="45720" anchor="ctr" anchorCtr="1" upright="1">
                          <a:noAutofit/>
                        </wps:bodyPr>
                      </wps:wsp>
                      <wps:wsp>
                        <wps:cNvPr id="1156112548" name="文本框 104"/>
                        <wps:cNvSpPr txBox="1">
                          <a:spLocks noChangeArrowheads="1"/>
                        </wps:cNvSpPr>
                        <wps:spPr bwMode="auto">
                          <a:xfrm>
                            <a:off x="4157345" y="1935480"/>
                            <a:ext cx="1343025" cy="328295"/>
                          </a:xfrm>
                          <a:prstGeom prst="rect">
                            <a:avLst/>
                          </a:prstGeom>
                          <a:solidFill>
                            <a:srgbClr val="FFFFFF"/>
                          </a:solidFill>
                          <a:ln w="6350">
                            <a:solidFill>
                              <a:srgbClr val="000000"/>
                            </a:solidFill>
                            <a:round/>
                          </a:ln>
                        </wps:spPr>
                        <wps:txbx>
                          <w:txbxContent>
                            <w:p w14:paraId="6D921823">
                              <w:pPr>
                                <w:autoSpaceDE w:val="0"/>
                                <w:autoSpaceDN w:val="0"/>
                                <w:adjustRightInd w:val="0"/>
                                <w:rPr>
                                  <w:color w:val="000000"/>
                                  <w:sz w:val="21"/>
                                  <w:szCs w:val="21"/>
                                  <w:lang w:val="zh-CN"/>
                                </w:rPr>
                              </w:pPr>
                              <w:r>
                                <w:rPr>
                                  <w:color w:val="000000"/>
                                  <w:sz w:val="21"/>
                                  <w:szCs w:val="21"/>
                                  <w:lang w:val="zh-CN"/>
                                </w:rPr>
                                <w:t>启动预案</w:t>
                              </w:r>
                              <w:r>
                                <w:rPr>
                                  <w:color w:val="000000"/>
                                  <w:sz w:val="21"/>
                                  <w:szCs w:val="21"/>
                                </w:rPr>
                                <w:t>/</w:t>
                              </w:r>
                              <w:r>
                                <w:rPr>
                                  <w:color w:val="000000"/>
                                  <w:sz w:val="21"/>
                                  <w:szCs w:val="21"/>
                                  <w:lang w:val="zh-CN"/>
                                </w:rPr>
                                <w:t>终止预案</w:t>
                              </w:r>
                            </w:p>
                          </w:txbxContent>
                        </wps:txbx>
                        <wps:bodyPr rot="0" vert="horz" wrap="square" lIns="91440" tIns="45720" rIns="91440" bIns="45720" anchor="ctr" anchorCtr="1" upright="1">
                          <a:noAutofit/>
                        </wps:bodyPr>
                      </wps:wsp>
                      <wps:wsp>
                        <wps:cNvPr id="1861024778" name="文本框 105"/>
                        <wps:cNvSpPr txBox="1">
                          <a:spLocks noChangeArrowheads="1"/>
                        </wps:cNvSpPr>
                        <wps:spPr bwMode="auto">
                          <a:xfrm>
                            <a:off x="988060" y="1961515"/>
                            <a:ext cx="871220" cy="327025"/>
                          </a:xfrm>
                          <a:prstGeom prst="rect">
                            <a:avLst/>
                          </a:prstGeom>
                          <a:solidFill>
                            <a:srgbClr val="FFFFFF"/>
                          </a:solidFill>
                          <a:ln w="6350">
                            <a:solidFill>
                              <a:srgbClr val="000000"/>
                            </a:solidFill>
                            <a:round/>
                          </a:ln>
                        </wps:spPr>
                        <wps:txbx>
                          <w:txbxContent>
                            <w:p w14:paraId="3C8F77E3">
                              <w:pPr>
                                <w:autoSpaceDE w:val="0"/>
                                <w:autoSpaceDN w:val="0"/>
                                <w:adjustRightInd w:val="0"/>
                                <w:rPr>
                                  <w:color w:val="000000"/>
                                  <w:sz w:val="21"/>
                                  <w:szCs w:val="21"/>
                                  <w:lang w:val="zh-CN"/>
                                </w:rPr>
                              </w:pPr>
                              <w:r>
                                <w:rPr>
                                  <w:color w:val="000000"/>
                                  <w:sz w:val="21"/>
                                  <w:szCs w:val="21"/>
                                  <w:lang w:val="zh-CN"/>
                                </w:rPr>
                                <w:t>第一发现人</w:t>
                              </w:r>
                            </w:p>
                          </w:txbxContent>
                        </wps:txbx>
                        <wps:bodyPr rot="0" vert="horz" wrap="square" lIns="91440" tIns="45720" rIns="91440" bIns="45720" anchor="ctr" anchorCtr="1" upright="1">
                          <a:noAutofit/>
                        </wps:bodyPr>
                      </wps:wsp>
                      <wps:wsp>
                        <wps:cNvPr id="906863736" name="文本框 106"/>
                        <wps:cNvSpPr txBox="1">
                          <a:spLocks noChangeArrowheads="1"/>
                        </wps:cNvSpPr>
                        <wps:spPr bwMode="auto">
                          <a:xfrm>
                            <a:off x="2511425" y="1938655"/>
                            <a:ext cx="735330" cy="327025"/>
                          </a:xfrm>
                          <a:prstGeom prst="rect">
                            <a:avLst/>
                          </a:prstGeom>
                          <a:solidFill>
                            <a:srgbClr val="FFFFFF"/>
                          </a:solidFill>
                          <a:ln w="6350">
                            <a:solidFill>
                              <a:srgbClr val="000000"/>
                            </a:solidFill>
                            <a:round/>
                          </a:ln>
                        </wps:spPr>
                        <wps:txbx>
                          <w:txbxContent>
                            <w:p w14:paraId="1465163E">
                              <w:pPr>
                                <w:autoSpaceDE w:val="0"/>
                                <w:autoSpaceDN w:val="0"/>
                                <w:adjustRightInd w:val="0"/>
                                <w:rPr>
                                  <w:color w:val="000000"/>
                                  <w:sz w:val="21"/>
                                  <w:szCs w:val="21"/>
                                  <w:lang w:val="zh-CN"/>
                                </w:rPr>
                              </w:pPr>
                              <w:r>
                                <w:rPr>
                                  <w:color w:val="000000"/>
                                  <w:sz w:val="21"/>
                                  <w:szCs w:val="21"/>
                                  <w:lang w:val="zh-CN"/>
                                </w:rPr>
                                <w:t>副总指挥</w:t>
                              </w:r>
                            </w:p>
                          </w:txbxContent>
                        </wps:txbx>
                        <wps:bodyPr rot="0" vert="horz" wrap="square" lIns="91440" tIns="45720" rIns="91440" bIns="45720" anchor="ctr" anchorCtr="1" upright="1">
                          <a:noAutofit/>
                        </wps:bodyPr>
                      </wps:wsp>
                      <wps:wsp>
                        <wps:cNvPr id="1913426332" name="文本框 107"/>
                        <wps:cNvSpPr txBox="1">
                          <a:spLocks noChangeArrowheads="1"/>
                        </wps:cNvSpPr>
                        <wps:spPr bwMode="auto">
                          <a:xfrm>
                            <a:off x="2411730" y="2903855"/>
                            <a:ext cx="1038860" cy="327025"/>
                          </a:xfrm>
                          <a:prstGeom prst="rect">
                            <a:avLst/>
                          </a:prstGeom>
                          <a:solidFill>
                            <a:srgbClr val="FFFFFF"/>
                          </a:solidFill>
                          <a:ln w="6350">
                            <a:solidFill>
                              <a:srgbClr val="000000"/>
                            </a:solidFill>
                            <a:round/>
                          </a:ln>
                        </wps:spPr>
                        <wps:txbx>
                          <w:txbxContent>
                            <w:p w14:paraId="1DEA39DE">
                              <w:pPr>
                                <w:autoSpaceDE w:val="0"/>
                                <w:autoSpaceDN w:val="0"/>
                                <w:adjustRightInd w:val="0"/>
                                <w:rPr>
                                  <w:color w:val="000000"/>
                                  <w:sz w:val="21"/>
                                  <w:szCs w:val="21"/>
                                  <w:lang w:val="zh-CN"/>
                                </w:rPr>
                              </w:pPr>
                              <w:r>
                                <w:rPr>
                                  <w:color w:val="000000"/>
                                  <w:sz w:val="21"/>
                                  <w:szCs w:val="21"/>
                                  <w:lang w:val="zh-CN"/>
                                </w:rPr>
                                <w:t>现场应急处置</w:t>
                              </w:r>
                            </w:p>
                          </w:txbxContent>
                        </wps:txbx>
                        <wps:bodyPr rot="0" vert="horz" wrap="square" lIns="91440" tIns="45720" rIns="91440" bIns="45720" anchor="ctr" anchorCtr="1" upright="1">
                          <a:noAutofit/>
                        </wps:bodyPr>
                      </wps:wsp>
                      <wps:wsp>
                        <wps:cNvPr id="901360367" name="文本框 108"/>
                        <wps:cNvSpPr txBox="1">
                          <a:spLocks noChangeArrowheads="1"/>
                        </wps:cNvSpPr>
                        <wps:spPr bwMode="auto">
                          <a:xfrm>
                            <a:off x="3996690" y="4132580"/>
                            <a:ext cx="333375" cy="1063625"/>
                          </a:xfrm>
                          <a:prstGeom prst="rect">
                            <a:avLst/>
                          </a:prstGeom>
                          <a:solidFill>
                            <a:srgbClr val="FFFFFF"/>
                          </a:solidFill>
                          <a:ln w="6350">
                            <a:solidFill>
                              <a:srgbClr val="000000"/>
                            </a:solidFill>
                            <a:round/>
                          </a:ln>
                        </wps:spPr>
                        <wps:txbx>
                          <w:txbxContent>
                            <w:p w14:paraId="39ACA92F">
                              <w:pPr>
                                <w:autoSpaceDE w:val="0"/>
                                <w:autoSpaceDN w:val="0"/>
                                <w:adjustRightInd w:val="0"/>
                                <w:rPr>
                                  <w:color w:val="000000"/>
                                  <w:sz w:val="21"/>
                                  <w:szCs w:val="21"/>
                                  <w:lang w:val="zh-CN"/>
                                </w:rPr>
                              </w:pPr>
                              <w:r>
                                <w:rPr>
                                  <w:rFonts w:hint="eastAsia"/>
                                  <w:color w:val="000000"/>
                                  <w:sz w:val="21"/>
                                  <w:szCs w:val="21"/>
                                </w:rPr>
                                <w:t>应急监测</w:t>
                              </w:r>
                              <w:r>
                                <w:rPr>
                                  <w:color w:val="000000"/>
                                  <w:sz w:val="21"/>
                                  <w:szCs w:val="21"/>
                                  <w:lang w:val="zh-CN"/>
                                </w:rPr>
                                <w:t>组</w:t>
                              </w:r>
                            </w:p>
                          </w:txbxContent>
                        </wps:txbx>
                        <wps:bodyPr rot="0" vert="horz" wrap="square" lIns="91440" tIns="45720" rIns="91440" bIns="45720" anchor="ctr" anchorCtr="1" upright="1">
                          <a:noAutofit/>
                        </wps:bodyPr>
                      </wps:wsp>
                      <wps:wsp>
                        <wps:cNvPr id="1432339640" name="直接箭头连接符 109"/>
                        <wps:cNvCnPr>
                          <a:cxnSpLocks noChangeShapeType="1"/>
                        </wps:cNvCnPr>
                        <wps:spPr bwMode="auto">
                          <a:xfrm flipV="1">
                            <a:off x="2817495" y="335915"/>
                            <a:ext cx="0" cy="349885"/>
                          </a:xfrm>
                          <a:prstGeom prst="straightConnector1">
                            <a:avLst/>
                          </a:prstGeom>
                          <a:noFill/>
                          <a:ln w="9525">
                            <a:solidFill>
                              <a:srgbClr val="000000"/>
                            </a:solidFill>
                            <a:prstDash val="lgDash"/>
                            <a:round/>
                            <a:tailEnd type="triangle" w="med" len="med"/>
                          </a:ln>
                        </wps:spPr>
                        <wps:bodyPr/>
                      </wps:wsp>
                      <wps:wsp>
                        <wps:cNvPr id="1838149350" name="直接箭头连接符 110"/>
                        <wps:cNvCnPr>
                          <a:cxnSpLocks noChangeShapeType="1"/>
                        </wps:cNvCnPr>
                        <wps:spPr bwMode="auto">
                          <a:xfrm flipV="1">
                            <a:off x="2927350" y="1215390"/>
                            <a:ext cx="0" cy="709295"/>
                          </a:xfrm>
                          <a:prstGeom prst="straightConnector1">
                            <a:avLst/>
                          </a:prstGeom>
                          <a:noFill/>
                          <a:ln w="9525">
                            <a:solidFill>
                              <a:srgbClr val="000000"/>
                            </a:solidFill>
                            <a:prstDash val="lgDash"/>
                            <a:round/>
                            <a:tailEnd type="triangle" w="med" len="med"/>
                          </a:ln>
                        </wps:spPr>
                        <wps:bodyPr/>
                      </wps:wsp>
                      <wps:wsp>
                        <wps:cNvPr id="1349678770" name="直接箭头连接符 111"/>
                        <wps:cNvCnPr>
                          <a:cxnSpLocks noChangeShapeType="1"/>
                        </wps:cNvCnPr>
                        <wps:spPr bwMode="auto">
                          <a:xfrm>
                            <a:off x="1889760" y="2116455"/>
                            <a:ext cx="612140" cy="635"/>
                          </a:xfrm>
                          <a:prstGeom prst="straightConnector1">
                            <a:avLst/>
                          </a:prstGeom>
                          <a:noFill/>
                          <a:ln w="9525">
                            <a:solidFill>
                              <a:srgbClr val="000000"/>
                            </a:solidFill>
                            <a:prstDash val="lgDash"/>
                            <a:round/>
                            <a:tailEnd type="triangle" w="med" len="med"/>
                          </a:ln>
                        </wps:spPr>
                        <wps:bodyPr/>
                      </wps:wsp>
                      <wps:wsp>
                        <wps:cNvPr id="635601029" name="直接连接符 112"/>
                        <wps:cNvCnPr>
                          <a:cxnSpLocks noChangeShapeType="1"/>
                        </wps:cNvCnPr>
                        <wps:spPr bwMode="auto">
                          <a:xfrm>
                            <a:off x="1729740" y="3791585"/>
                            <a:ext cx="2447290" cy="2540"/>
                          </a:xfrm>
                          <a:prstGeom prst="line">
                            <a:avLst/>
                          </a:prstGeom>
                          <a:noFill/>
                          <a:ln w="9525">
                            <a:solidFill>
                              <a:srgbClr val="000000"/>
                            </a:solidFill>
                            <a:round/>
                          </a:ln>
                        </wps:spPr>
                        <wps:bodyPr/>
                      </wps:wsp>
                      <wps:wsp>
                        <wps:cNvPr id="982623695" name="文本框 113"/>
                        <wps:cNvSpPr txBox="1">
                          <a:spLocks noChangeArrowheads="1"/>
                        </wps:cNvSpPr>
                        <wps:spPr bwMode="auto">
                          <a:xfrm>
                            <a:off x="1569720" y="4140835"/>
                            <a:ext cx="333375" cy="1054100"/>
                          </a:xfrm>
                          <a:prstGeom prst="rect">
                            <a:avLst/>
                          </a:prstGeom>
                          <a:solidFill>
                            <a:srgbClr val="FFFFFF"/>
                          </a:solidFill>
                          <a:ln w="6350">
                            <a:solidFill>
                              <a:srgbClr val="000000"/>
                            </a:solidFill>
                            <a:round/>
                          </a:ln>
                        </wps:spPr>
                        <wps:txbx>
                          <w:txbxContent>
                            <w:p w14:paraId="37695DF2">
                              <w:pPr>
                                <w:autoSpaceDE w:val="0"/>
                                <w:autoSpaceDN w:val="0"/>
                                <w:adjustRightInd w:val="0"/>
                                <w:rPr>
                                  <w:color w:val="000000"/>
                                  <w:sz w:val="21"/>
                                  <w:szCs w:val="21"/>
                                  <w:lang w:val="zh-CN"/>
                                </w:rPr>
                              </w:pPr>
                              <w:r>
                                <w:rPr>
                                  <w:rFonts w:hint="eastAsia"/>
                                  <w:color w:val="000000"/>
                                  <w:sz w:val="21"/>
                                  <w:szCs w:val="21"/>
                                </w:rPr>
                                <w:t>抢险灭火</w:t>
                              </w:r>
                              <w:r>
                                <w:rPr>
                                  <w:color w:val="000000"/>
                                  <w:sz w:val="21"/>
                                  <w:szCs w:val="21"/>
                                  <w:lang w:val="zh-CN"/>
                                </w:rPr>
                                <w:t>组</w:t>
                              </w:r>
                            </w:p>
                          </w:txbxContent>
                        </wps:txbx>
                        <wps:bodyPr rot="0" vert="horz" wrap="square" lIns="91440" tIns="45720" rIns="91440" bIns="45720" anchor="ctr" anchorCtr="1" upright="1">
                          <a:noAutofit/>
                        </wps:bodyPr>
                      </wps:wsp>
                      <wps:wsp>
                        <wps:cNvPr id="1686413936" name="直接箭头连接符 114"/>
                        <wps:cNvCnPr>
                          <a:cxnSpLocks noChangeShapeType="1"/>
                        </wps:cNvCnPr>
                        <wps:spPr bwMode="auto">
                          <a:xfrm>
                            <a:off x="1738630" y="3787775"/>
                            <a:ext cx="0" cy="348615"/>
                          </a:xfrm>
                          <a:prstGeom prst="straightConnector1">
                            <a:avLst/>
                          </a:prstGeom>
                          <a:noFill/>
                          <a:ln w="9525">
                            <a:solidFill>
                              <a:srgbClr val="000000"/>
                            </a:solidFill>
                            <a:round/>
                            <a:tailEnd type="triangle" w="med" len="med"/>
                          </a:ln>
                        </wps:spPr>
                        <wps:bodyPr/>
                      </wps:wsp>
                      <wps:wsp>
                        <wps:cNvPr id="2041615511" name="直接箭头连接符 116"/>
                        <wps:cNvCnPr>
                          <a:cxnSpLocks noChangeShapeType="1"/>
                        </wps:cNvCnPr>
                        <wps:spPr bwMode="auto">
                          <a:xfrm>
                            <a:off x="4176395" y="3789045"/>
                            <a:ext cx="0" cy="346710"/>
                          </a:xfrm>
                          <a:prstGeom prst="straightConnector1">
                            <a:avLst/>
                          </a:prstGeom>
                          <a:noFill/>
                          <a:ln w="9525">
                            <a:solidFill>
                              <a:srgbClr val="000000"/>
                            </a:solidFill>
                            <a:round/>
                            <a:tailEnd type="triangle" w="med" len="med"/>
                          </a:ln>
                        </wps:spPr>
                        <wps:bodyPr/>
                      </wps:wsp>
                      <wps:wsp>
                        <wps:cNvPr id="1346251838" name="直接箭头连接符 117"/>
                        <wps:cNvCnPr>
                          <a:cxnSpLocks noChangeShapeType="1"/>
                        </wps:cNvCnPr>
                        <wps:spPr bwMode="auto">
                          <a:xfrm>
                            <a:off x="2927985" y="3230880"/>
                            <a:ext cx="0" cy="566420"/>
                          </a:xfrm>
                          <a:prstGeom prst="straightConnector1">
                            <a:avLst/>
                          </a:prstGeom>
                          <a:noFill/>
                          <a:ln w="9525">
                            <a:solidFill>
                              <a:srgbClr val="000000"/>
                            </a:solidFill>
                            <a:round/>
                            <a:tailEnd type="triangle" w="med" len="med"/>
                          </a:ln>
                        </wps:spPr>
                        <wps:bodyPr/>
                      </wps:wsp>
                      <wps:wsp>
                        <wps:cNvPr id="1894833903" name="文本框 118"/>
                        <wps:cNvSpPr txBox="1">
                          <a:spLocks noChangeArrowheads="1"/>
                        </wps:cNvSpPr>
                        <wps:spPr bwMode="auto">
                          <a:xfrm>
                            <a:off x="0" y="1579880"/>
                            <a:ext cx="768350" cy="448945"/>
                          </a:xfrm>
                          <a:prstGeom prst="rect">
                            <a:avLst/>
                          </a:prstGeom>
                          <a:noFill/>
                          <a:ln w="6350">
                            <a:solidFill>
                              <a:srgbClr val="000000"/>
                            </a:solidFill>
                            <a:round/>
                          </a:ln>
                        </wps:spPr>
                        <wps:txbx>
                          <w:txbxContent>
                            <w:p w14:paraId="28EF1826">
                              <w:pPr>
                                <w:autoSpaceDE w:val="0"/>
                                <w:autoSpaceDN w:val="0"/>
                                <w:adjustRightInd w:val="0"/>
                                <w:jc w:val="center"/>
                                <w:rPr>
                                  <w:color w:val="000000"/>
                                  <w:sz w:val="21"/>
                                  <w:szCs w:val="21"/>
                                  <w:lang w:val="zh-CN"/>
                                </w:rPr>
                              </w:pPr>
                              <w:r>
                                <w:rPr>
                                  <w:rFonts w:hint="eastAsia"/>
                                  <w:color w:val="000000"/>
                                  <w:sz w:val="21"/>
                                  <w:szCs w:val="21"/>
                                  <w:lang w:val="zh-CN"/>
                                </w:rPr>
                                <w:t>应急救援</w:t>
                              </w:r>
                              <w:r>
                                <w:rPr>
                                  <w:color w:val="000000"/>
                                  <w:sz w:val="21"/>
                                  <w:szCs w:val="21"/>
                                  <w:lang w:val="zh-CN"/>
                                </w:rPr>
                                <w:t>协调员</w:t>
                              </w:r>
                            </w:p>
                          </w:txbxContent>
                        </wps:txbx>
                        <wps:bodyPr rot="0" vert="horz" wrap="square" lIns="91440" tIns="45720" rIns="91440" bIns="45720" anchor="ctr" anchorCtr="1" upright="1">
                          <a:noAutofit/>
                        </wps:bodyPr>
                      </wps:wsp>
                      <wps:wsp>
                        <wps:cNvPr id="1218201240" name="直接连接符 119"/>
                        <wps:cNvCnPr>
                          <a:cxnSpLocks noChangeShapeType="1"/>
                        </wps:cNvCnPr>
                        <wps:spPr bwMode="auto">
                          <a:xfrm>
                            <a:off x="281305" y="884555"/>
                            <a:ext cx="1710055" cy="1270"/>
                          </a:xfrm>
                          <a:prstGeom prst="line">
                            <a:avLst/>
                          </a:prstGeom>
                          <a:noFill/>
                          <a:ln w="9525">
                            <a:solidFill>
                              <a:srgbClr val="000000"/>
                            </a:solidFill>
                            <a:round/>
                          </a:ln>
                        </wps:spPr>
                        <wps:bodyPr/>
                      </wps:wsp>
                      <wps:wsp>
                        <wps:cNvPr id="1536345605" name="直接箭头连接符 120"/>
                        <wps:cNvCnPr>
                          <a:cxnSpLocks noChangeShapeType="1"/>
                        </wps:cNvCnPr>
                        <wps:spPr bwMode="auto">
                          <a:xfrm flipH="1">
                            <a:off x="281305" y="884555"/>
                            <a:ext cx="8255" cy="683895"/>
                          </a:xfrm>
                          <a:prstGeom prst="straightConnector1">
                            <a:avLst/>
                          </a:prstGeom>
                          <a:noFill/>
                          <a:ln w="9525">
                            <a:solidFill>
                              <a:srgbClr val="000000"/>
                            </a:solidFill>
                            <a:round/>
                            <a:tailEnd type="triangle" w="med" len="med"/>
                          </a:ln>
                        </wps:spPr>
                        <wps:bodyPr/>
                      </wps:wsp>
                      <wps:wsp>
                        <wps:cNvPr id="1793368833" name="直接箭头连接符 121"/>
                        <wps:cNvCnPr>
                          <a:cxnSpLocks noChangeShapeType="1"/>
                        </wps:cNvCnPr>
                        <wps:spPr bwMode="auto">
                          <a:xfrm>
                            <a:off x="274955" y="4463415"/>
                            <a:ext cx="851535" cy="0"/>
                          </a:xfrm>
                          <a:prstGeom prst="straightConnector1">
                            <a:avLst/>
                          </a:prstGeom>
                          <a:noFill/>
                          <a:ln w="9525">
                            <a:solidFill>
                              <a:srgbClr val="000000"/>
                            </a:solidFill>
                            <a:round/>
                            <a:tailEnd type="triangle" w="med" len="med"/>
                          </a:ln>
                        </wps:spPr>
                        <wps:bodyPr/>
                      </wps:wsp>
                      <wps:wsp>
                        <wps:cNvPr id="363562286" name="直接连接符 122"/>
                        <wps:cNvCnPr>
                          <a:cxnSpLocks noChangeShapeType="1"/>
                        </wps:cNvCnPr>
                        <wps:spPr bwMode="auto">
                          <a:xfrm flipH="1" flipV="1">
                            <a:off x="274955" y="2028825"/>
                            <a:ext cx="6350" cy="2425065"/>
                          </a:xfrm>
                          <a:prstGeom prst="line">
                            <a:avLst/>
                          </a:prstGeom>
                          <a:noFill/>
                          <a:ln w="9525">
                            <a:solidFill>
                              <a:srgbClr val="000000"/>
                            </a:solidFill>
                            <a:round/>
                          </a:ln>
                        </wps:spPr>
                        <wps:bodyPr/>
                      </wps:wsp>
                      <wps:wsp>
                        <wps:cNvPr id="553984193" name="直接连接符 123"/>
                        <wps:cNvCnPr>
                          <a:cxnSpLocks noChangeShapeType="1"/>
                        </wps:cNvCnPr>
                        <wps:spPr bwMode="auto">
                          <a:xfrm>
                            <a:off x="3996690" y="862330"/>
                            <a:ext cx="830580" cy="1905"/>
                          </a:xfrm>
                          <a:prstGeom prst="line">
                            <a:avLst/>
                          </a:prstGeom>
                          <a:noFill/>
                          <a:ln w="9525">
                            <a:solidFill>
                              <a:srgbClr val="000000"/>
                            </a:solidFill>
                            <a:round/>
                          </a:ln>
                        </wps:spPr>
                        <wps:bodyPr/>
                      </wps:wsp>
                      <wps:wsp>
                        <wps:cNvPr id="1251337250" name="直接箭头连接符 124"/>
                        <wps:cNvCnPr>
                          <a:cxnSpLocks noChangeShapeType="1"/>
                        </wps:cNvCnPr>
                        <wps:spPr bwMode="auto">
                          <a:xfrm flipH="1">
                            <a:off x="4808220" y="864235"/>
                            <a:ext cx="19050" cy="1076325"/>
                          </a:xfrm>
                          <a:prstGeom prst="straightConnector1">
                            <a:avLst/>
                          </a:prstGeom>
                          <a:noFill/>
                          <a:ln w="9525">
                            <a:solidFill>
                              <a:srgbClr val="000000"/>
                            </a:solidFill>
                            <a:round/>
                            <a:tailEnd type="triangle" w="med" len="med"/>
                          </a:ln>
                        </wps:spPr>
                        <wps:bodyPr/>
                      </wps:wsp>
                      <wps:wsp>
                        <wps:cNvPr id="962252599" name="直接箭头连接符 125"/>
                        <wps:cNvCnPr>
                          <a:cxnSpLocks noChangeShapeType="1"/>
                        </wps:cNvCnPr>
                        <wps:spPr bwMode="auto">
                          <a:xfrm>
                            <a:off x="3249295" y="2079625"/>
                            <a:ext cx="871220" cy="0"/>
                          </a:xfrm>
                          <a:prstGeom prst="straightConnector1">
                            <a:avLst/>
                          </a:prstGeom>
                          <a:noFill/>
                          <a:ln w="9525">
                            <a:solidFill>
                              <a:srgbClr val="000000"/>
                            </a:solidFill>
                            <a:round/>
                            <a:tailEnd type="triangle" w="med" len="med"/>
                          </a:ln>
                        </wps:spPr>
                        <wps:bodyPr/>
                      </wps:wsp>
                      <wps:wsp>
                        <wps:cNvPr id="1014832147" name="文本框 126"/>
                        <wps:cNvSpPr txBox="1">
                          <a:spLocks noChangeArrowheads="1"/>
                        </wps:cNvSpPr>
                        <wps:spPr bwMode="auto">
                          <a:xfrm>
                            <a:off x="3322320" y="1856740"/>
                            <a:ext cx="804545" cy="294640"/>
                          </a:xfrm>
                          <a:prstGeom prst="rect">
                            <a:avLst/>
                          </a:prstGeom>
                          <a:noFill/>
                          <a:ln>
                            <a:noFill/>
                          </a:ln>
                        </wps:spPr>
                        <wps:txbx>
                          <w:txbxContent>
                            <w:p w14:paraId="4BEAF8F9">
                              <w:pPr>
                                <w:autoSpaceDE w:val="0"/>
                                <w:autoSpaceDN w:val="0"/>
                                <w:adjustRightInd w:val="0"/>
                                <w:rPr>
                                  <w:color w:val="000000"/>
                                  <w:sz w:val="21"/>
                                  <w:szCs w:val="21"/>
                                  <w:lang w:val="zh-CN"/>
                                </w:rPr>
                              </w:pPr>
                              <w:r>
                                <w:rPr>
                                  <w:color w:val="000000"/>
                                  <w:sz w:val="21"/>
                                  <w:szCs w:val="21"/>
                                  <w:lang w:val="zh-CN"/>
                                </w:rPr>
                                <w:t>二、三级</w:t>
                              </w:r>
                            </w:p>
                          </w:txbxContent>
                        </wps:txbx>
                        <wps:bodyPr rot="0" vert="horz" wrap="square" lIns="91440" tIns="45720" rIns="91440" bIns="45720" anchor="t" anchorCtr="0" upright="1">
                          <a:noAutofit/>
                        </wps:bodyPr>
                      </wps:wsp>
                      <wps:wsp>
                        <wps:cNvPr id="1037435631" name="文本框 127"/>
                        <wps:cNvSpPr txBox="1">
                          <a:spLocks noChangeArrowheads="1"/>
                        </wps:cNvSpPr>
                        <wps:spPr bwMode="auto">
                          <a:xfrm>
                            <a:off x="4134485" y="602615"/>
                            <a:ext cx="602615" cy="295275"/>
                          </a:xfrm>
                          <a:prstGeom prst="rect">
                            <a:avLst/>
                          </a:prstGeom>
                          <a:noFill/>
                          <a:ln>
                            <a:noFill/>
                          </a:ln>
                        </wps:spPr>
                        <wps:txbx>
                          <w:txbxContent>
                            <w:p w14:paraId="2E25800C">
                              <w:pPr>
                                <w:autoSpaceDE w:val="0"/>
                                <w:autoSpaceDN w:val="0"/>
                                <w:adjustRightInd w:val="0"/>
                                <w:rPr>
                                  <w:color w:val="000000"/>
                                  <w:sz w:val="21"/>
                                  <w:szCs w:val="21"/>
                                  <w:lang w:val="zh-CN"/>
                                </w:rPr>
                              </w:pPr>
                              <w:r>
                                <w:rPr>
                                  <w:color w:val="000000"/>
                                  <w:sz w:val="21"/>
                                  <w:szCs w:val="21"/>
                                  <w:lang w:val="zh-CN"/>
                                </w:rPr>
                                <w:t>一级</w:t>
                              </w:r>
                            </w:p>
                          </w:txbxContent>
                        </wps:txbx>
                        <wps:bodyPr rot="0" vert="horz" wrap="square" lIns="91440" tIns="45720" rIns="91440" bIns="45720" anchor="t" anchorCtr="0" upright="1">
                          <a:noAutofit/>
                        </wps:bodyPr>
                      </wps:wsp>
                      <wps:wsp>
                        <wps:cNvPr id="1803617858" name="矩形 128"/>
                        <wps:cNvSpPr>
                          <a:spLocks noChangeArrowheads="1"/>
                        </wps:cNvSpPr>
                        <wps:spPr bwMode="auto">
                          <a:xfrm>
                            <a:off x="1126490" y="3552825"/>
                            <a:ext cx="3636010" cy="1669415"/>
                          </a:xfrm>
                          <a:prstGeom prst="rect">
                            <a:avLst/>
                          </a:prstGeom>
                          <a:noFill/>
                          <a:ln w="12700">
                            <a:solidFill>
                              <a:srgbClr val="000000"/>
                            </a:solidFill>
                            <a:prstDash val="dash"/>
                            <a:round/>
                          </a:ln>
                        </wps:spPr>
                        <wps:bodyPr rot="0" vert="horz" wrap="square" lIns="91440" tIns="45720" rIns="91440" bIns="45720" anchor="ctr" anchorCtr="0" upright="1">
                          <a:noAutofit/>
                        </wps:bodyPr>
                      </wps:wsp>
                      <wps:wsp>
                        <wps:cNvPr id="1569493440" name="直接连接符 129"/>
                        <wps:cNvCnPr>
                          <a:cxnSpLocks noChangeShapeType="1"/>
                        </wps:cNvCnPr>
                        <wps:spPr bwMode="auto">
                          <a:xfrm>
                            <a:off x="542290" y="4274820"/>
                            <a:ext cx="619125" cy="0"/>
                          </a:xfrm>
                          <a:prstGeom prst="line">
                            <a:avLst/>
                          </a:prstGeom>
                          <a:noFill/>
                          <a:ln w="12700">
                            <a:solidFill>
                              <a:srgbClr val="000000"/>
                            </a:solidFill>
                            <a:prstDash val="dash"/>
                            <a:round/>
                          </a:ln>
                        </wps:spPr>
                        <wps:bodyPr/>
                      </wps:wsp>
                      <wps:wsp>
                        <wps:cNvPr id="1341973995" name="直接连接符 130"/>
                        <wps:cNvCnPr>
                          <a:cxnSpLocks noChangeShapeType="1"/>
                        </wps:cNvCnPr>
                        <wps:spPr bwMode="auto">
                          <a:xfrm>
                            <a:off x="513715" y="999490"/>
                            <a:ext cx="0" cy="549910"/>
                          </a:xfrm>
                          <a:prstGeom prst="line">
                            <a:avLst/>
                          </a:prstGeom>
                          <a:noFill/>
                          <a:ln w="12700">
                            <a:solidFill>
                              <a:srgbClr val="000000"/>
                            </a:solidFill>
                            <a:prstDash val="dash"/>
                            <a:round/>
                          </a:ln>
                        </wps:spPr>
                        <wps:bodyPr/>
                      </wps:wsp>
                      <wps:wsp>
                        <wps:cNvPr id="471941763" name="直接箭头连接符 131"/>
                        <wps:cNvCnPr>
                          <a:cxnSpLocks noChangeShapeType="1"/>
                        </wps:cNvCnPr>
                        <wps:spPr bwMode="auto">
                          <a:xfrm>
                            <a:off x="2987675" y="351155"/>
                            <a:ext cx="0" cy="347345"/>
                          </a:xfrm>
                          <a:prstGeom prst="straightConnector1">
                            <a:avLst/>
                          </a:prstGeom>
                          <a:noFill/>
                          <a:ln w="9525">
                            <a:solidFill>
                              <a:srgbClr val="000000"/>
                            </a:solidFill>
                            <a:round/>
                            <a:tailEnd type="triangle" w="med" len="med"/>
                          </a:ln>
                        </wps:spPr>
                        <wps:bodyPr/>
                      </wps:wsp>
                      <wps:wsp>
                        <wps:cNvPr id="2136629374" name="文本框 132"/>
                        <wps:cNvSpPr txBox="1">
                          <a:spLocks noChangeArrowheads="1"/>
                        </wps:cNvSpPr>
                        <wps:spPr bwMode="auto">
                          <a:xfrm>
                            <a:off x="3234690" y="354330"/>
                            <a:ext cx="603885" cy="295275"/>
                          </a:xfrm>
                          <a:prstGeom prst="rect">
                            <a:avLst/>
                          </a:prstGeom>
                          <a:noFill/>
                          <a:ln>
                            <a:noFill/>
                          </a:ln>
                        </wps:spPr>
                        <wps:txbx>
                          <w:txbxContent>
                            <w:p w14:paraId="64C78F7C">
                              <w:pPr>
                                <w:autoSpaceDE w:val="0"/>
                                <w:autoSpaceDN w:val="0"/>
                                <w:adjustRightInd w:val="0"/>
                                <w:rPr>
                                  <w:color w:val="000000"/>
                                  <w:sz w:val="21"/>
                                  <w:szCs w:val="21"/>
                                  <w:lang w:val="zh-CN"/>
                                </w:rPr>
                              </w:pPr>
                              <w:r>
                                <w:rPr>
                                  <w:color w:val="000000"/>
                                  <w:sz w:val="21"/>
                                  <w:szCs w:val="21"/>
                                  <w:lang w:val="zh-CN"/>
                                </w:rPr>
                                <w:t>一级</w:t>
                              </w:r>
                            </w:p>
                          </w:txbxContent>
                        </wps:txbx>
                        <wps:bodyPr rot="0" vert="horz" wrap="square" lIns="91440" tIns="45720" rIns="91440" bIns="45720" anchor="t" anchorCtr="0" upright="1">
                          <a:noAutofit/>
                        </wps:bodyPr>
                      </wps:wsp>
                      <wps:wsp>
                        <wps:cNvPr id="1746377762" name="直接连接符 133"/>
                        <wps:cNvCnPr>
                          <a:cxnSpLocks noChangeShapeType="1"/>
                        </wps:cNvCnPr>
                        <wps:spPr bwMode="auto">
                          <a:xfrm>
                            <a:off x="4798060" y="2295525"/>
                            <a:ext cx="0" cy="749300"/>
                          </a:xfrm>
                          <a:prstGeom prst="line">
                            <a:avLst/>
                          </a:prstGeom>
                          <a:noFill/>
                          <a:ln w="9525">
                            <a:solidFill>
                              <a:srgbClr val="000000"/>
                            </a:solidFill>
                            <a:round/>
                          </a:ln>
                        </wps:spPr>
                        <wps:bodyPr/>
                      </wps:wsp>
                      <wps:wsp>
                        <wps:cNvPr id="508118321" name="文本框 134"/>
                        <wps:cNvSpPr txBox="1">
                          <a:spLocks noChangeArrowheads="1"/>
                        </wps:cNvSpPr>
                        <wps:spPr bwMode="auto">
                          <a:xfrm>
                            <a:off x="1016000" y="5559425"/>
                            <a:ext cx="1031875" cy="254635"/>
                          </a:xfrm>
                          <a:prstGeom prst="rect">
                            <a:avLst/>
                          </a:prstGeom>
                          <a:solidFill>
                            <a:srgbClr val="FFFFFF"/>
                          </a:solidFill>
                          <a:ln>
                            <a:noFill/>
                          </a:ln>
                        </wps:spPr>
                        <wps:txbx>
                          <w:txbxContent>
                            <w:p w14:paraId="0752AA9C">
                              <w:pPr>
                                <w:autoSpaceDE w:val="0"/>
                                <w:autoSpaceDN w:val="0"/>
                                <w:adjustRightInd w:val="0"/>
                                <w:rPr>
                                  <w:color w:val="000000"/>
                                  <w:sz w:val="21"/>
                                  <w:szCs w:val="21"/>
                                  <w:lang w:val="zh-CN"/>
                                </w:rPr>
                              </w:pPr>
                              <w:r>
                                <w:rPr>
                                  <w:color w:val="000000"/>
                                  <w:sz w:val="21"/>
                                  <w:szCs w:val="21"/>
                                  <w:lang w:val="zh-CN"/>
                                </w:rPr>
                                <w:t>指令下达程序</w:t>
                              </w:r>
                            </w:p>
                          </w:txbxContent>
                        </wps:txbx>
                        <wps:bodyPr rot="0" vert="horz" wrap="square" lIns="91440" tIns="45720" rIns="91440" bIns="45720" anchor="t" anchorCtr="0" upright="1">
                          <a:noAutofit/>
                        </wps:bodyPr>
                      </wps:wsp>
                      <wps:wsp>
                        <wps:cNvPr id="1064364008" name="直接箭头连接符 135"/>
                        <wps:cNvCnPr>
                          <a:cxnSpLocks noChangeShapeType="1"/>
                        </wps:cNvCnPr>
                        <wps:spPr bwMode="auto">
                          <a:xfrm flipH="1">
                            <a:off x="3465195" y="3041015"/>
                            <a:ext cx="1316990" cy="6985"/>
                          </a:xfrm>
                          <a:prstGeom prst="straightConnector1">
                            <a:avLst/>
                          </a:prstGeom>
                          <a:noFill/>
                          <a:ln w="9525">
                            <a:solidFill>
                              <a:srgbClr val="000000"/>
                            </a:solidFill>
                            <a:round/>
                            <a:tailEnd type="triangle" w="med" len="med"/>
                          </a:ln>
                        </wps:spPr>
                        <wps:bodyPr/>
                      </wps:wsp>
                      <wps:wsp>
                        <wps:cNvPr id="2006638252" name="直接箭头连接符 136"/>
                        <wps:cNvCnPr>
                          <a:cxnSpLocks noChangeShapeType="1"/>
                        </wps:cNvCnPr>
                        <wps:spPr bwMode="auto">
                          <a:xfrm flipV="1">
                            <a:off x="2927350" y="2243455"/>
                            <a:ext cx="0" cy="636905"/>
                          </a:xfrm>
                          <a:prstGeom prst="straightConnector1">
                            <a:avLst/>
                          </a:prstGeom>
                          <a:noFill/>
                          <a:ln w="9525">
                            <a:solidFill>
                              <a:srgbClr val="000000"/>
                            </a:solidFill>
                            <a:prstDash val="lgDash"/>
                            <a:round/>
                            <a:tailEnd type="triangle" w="med" len="med"/>
                          </a:ln>
                        </wps:spPr>
                        <wps:bodyPr/>
                      </wps:wsp>
                      <wps:wsp>
                        <wps:cNvPr id="1475357198" name="文本框 137"/>
                        <wps:cNvSpPr txBox="1">
                          <a:spLocks noChangeArrowheads="1"/>
                        </wps:cNvSpPr>
                        <wps:spPr bwMode="auto">
                          <a:xfrm>
                            <a:off x="1016000" y="5216525"/>
                            <a:ext cx="1031875" cy="254635"/>
                          </a:xfrm>
                          <a:prstGeom prst="rect">
                            <a:avLst/>
                          </a:prstGeom>
                          <a:solidFill>
                            <a:srgbClr val="FFFFFF"/>
                          </a:solidFill>
                          <a:ln>
                            <a:noFill/>
                          </a:ln>
                        </wps:spPr>
                        <wps:txbx>
                          <w:txbxContent>
                            <w:p w14:paraId="2D4CC916">
                              <w:pPr>
                                <w:autoSpaceDE w:val="0"/>
                                <w:autoSpaceDN w:val="0"/>
                                <w:adjustRightInd w:val="0"/>
                                <w:rPr>
                                  <w:color w:val="000000"/>
                                  <w:sz w:val="21"/>
                                  <w:szCs w:val="21"/>
                                  <w:lang w:val="zh-CN"/>
                                </w:rPr>
                              </w:pPr>
                              <w:r>
                                <w:rPr>
                                  <w:color w:val="000000"/>
                                  <w:sz w:val="21"/>
                                  <w:szCs w:val="21"/>
                                  <w:lang w:val="zh-CN"/>
                                </w:rPr>
                                <w:t>信息报告程序</w:t>
                              </w:r>
                            </w:p>
                          </w:txbxContent>
                        </wps:txbx>
                        <wps:bodyPr rot="0" vert="horz" wrap="square" lIns="91440" tIns="45720" rIns="91440" bIns="45720" anchor="t" anchorCtr="0" upright="1">
                          <a:noAutofit/>
                        </wps:bodyPr>
                      </wps:wsp>
                      <wps:wsp>
                        <wps:cNvPr id="538407678" name="直接连接符 138"/>
                        <wps:cNvCnPr>
                          <a:cxnSpLocks noChangeShapeType="1"/>
                        </wps:cNvCnPr>
                        <wps:spPr bwMode="auto">
                          <a:xfrm>
                            <a:off x="513715" y="999490"/>
                            <a:ext cx="1439545" cy="0"/>
                          </a:xfrm>
                          <a:prstGeom prst="line">
                            <a:avLst/>
                          </a:prstGeom>
                          <a:noFill/>
                          <a:ln w="9525">
                            <a:solidFill>
                              <a:srgbClr val="000000"/>
                            </a:solidFill>
                            <a:prstDash val="dash"/>
                            <a:round/>
                            <a:tailEnd type="triangle" w="med" len="med"/>
                          </a:ln>
                        </wps:spPr>
                        <wps:bodyPr/>
                      </wps:wsp>
                      <wps:wsp>
                        <wps:cNvPr id="1322348567" name="直接连接符 139"/>
                        <wps:cNvCnPr>
                          <a:cxnSpLocks noChangeShapeType="1"/>
                        </wps:cNvCnPr>
                        <wps:spPr bwMode="auto">
                          <a:xfrm flipV="1">
                            <a:off x="513715" y="2028825"/>
                            <a:ext cx="635" cy="2244090"/>
                          </a:xfrm>
                          <a:prstGeom prst="line">
                            <a:avLst/>
                          </a:prstGeom>
                          <a:noFill/>
                          <a:ln w="9525">
                            <a:solidFill>
                              <a:srgbClr val="000000"/>
                            </a:solidFill>
                            <a:prstDash val="dash"/>
                            <a:round/>
                            <a:tailEnd type="triangle" w="med" len="med"/>
                          </a:ln>
                        </wps:spPr>
                        <wps:bodyPr/>
                      </wps:wsp>
                      <wps:wsp>
                        <wps:cNvPr id="1923724223" name="直接连接符 140"/>
                        <wps:cNvCnPr>
                          <a:cxnSpLocks noChangeShapeType="1"/>
                        </wps:cNvCnPr>
                        <wps:spPr bwMode="auto">
                          <a:xfrm>
                            <a:off x="1953260" y="5361305"/>
                            <a:ext cx="647065" cy="635"/>
                          </a:xfrm>
                          <a:prstGeom prst="line">
                            <a:avLst/>
                          </a:prstGeom>
                          <a:noFill/>
                          <a:ln w="9525">
                            <a:solidFill>
                              <a:srgbClr val="000000"/>
                            </a:solidFill>
                            <a:prstDash val="dash"/>
                            <a:round/>
                            <a:tailEnd type="triangle" w="med" len="med"/>
                          </a:ln>
                        </wps:spPr>
                        <wps:bodyPr/>
                      </wps:wsp>
                      <wps:wsp>
                        <wps:cNvPr id="1767765222" name="直接连接符 141"/>
                        <wps:cNvCnPr>
                          <a:cxnSpLocks noChangeShapeType="1"/>
                        </wps:cNvCnPr>
                        <wps:spPr bwMode="auto">
                          <a:xfrm>
                            <a:off x="1953260" y="5704205"/>
                            <a:ext cx="647065" cy="635"/>
                          </a:xfrm>
                          <a:prstGeom prst="line">
                            <a:avLst/>
                          </a:prstGeom>
                          <a:noFill/>
                          <a:ln w="9525">
                            <a:solidFill>
                              <a:srgbClr val="000000"/>
                            </a:solidFill>
                            <a:round/>
                            <a:tailEnd type="triangle" w="med" len="med"/>
                          </a:ln>
                        </wps:spPr>
                        <wps:bodyPr/>
                      </wps:wsp>
                      <wps:wsp>
                        <wps:cNvPr id="882074031" name="文本框 142"/>
                        <wps:cNvSpPr txBox="1">
                          <a:spLocks noChangeArrowheads="1"/>
                        </wps:cNvSpPr>
                        <wps:spPr bwMode="auto">
                          <a:xfrm>
                            <a:off x="1738630" y="5908040"/>
                            <a:ext cx="2600960" cy="352425"/>
                          </a:xfrm>
                          <a:prstGeom prst="rect">
                            <a:avLst/>
                          </a:prstGeom>
                          <a:solidFill>
                            <a:srgbClr val="FFFFFF"/>
                          </a:solidFill>
                          <a:ln>
                            <a:noFill/>
                          </a:ln>
                        </wps:spPr>
                        <wps:txbx>
                          <w:txbxContent>
                            <w:p w14:paraId="2AB7D179">
                              <w:pPr>
                                <w:rPr>
                                  <w:rFonts w:ascii="Times New Roman" w:hAnsi="Times New Roman" w:cs="Times New Roman"/>
                                </w:rPr>
                              </w:pPr>
                              <w:r>
                                <w:rPr>
                                  <w:rFonts w:ascii="Times New Roman" w:hAnsi="Times New Roman" w:cs="Times New Roman"/>
                                  <w:b/>
                                  <w:bCs/>
                                </w:rPr>
                                <w:t>图</w:t>
                              </w:r>
                              <w:r>
                                <w:rPr>
                                  <w:rFonts w:hint="eastAsia" w:ascii="Times New Roman" w:hAnsi="Times New Roman" w:cs="Times New Roman"/>
                                  <w:b/>
                                  <w:bCs/>
                                </w:rPr>
                                <w:t>7</w:t>
                              </w:r>
                              <w:r>
                                <w:rPr>
                                  <w:rFonts w:ascii="Times New Roman" w:hAnsi="Times New Roman" w:cs="Times New Roman"/>
                                  <w:b/>
                                  <w:bCs/>
                                </w:rPr>
                                <w:t>.6-</w:t>
                              </w:r>
                              <w:r>
                                <w:rPr>
                                  <w:rFonts w:hint="eastAsia" w:ascii="Times New Roman" w:hAnsi="Times New Roman" w:cs="Times New Roman"/>
                                  <w:b/>
                                  <w:bCs/>
                                  <w:lang w:val="en-US" w:eastAsia="zh-CN"/>
                                </w:rPr>
                                <w:t>3</w:t>
                              </w:r>
                              <w:r>
                                <w:rPr>
                                  <w:rFonts w:ascii="Times New Roman" w:hAnsi="Times New Roman" w:cs="Times New Roman"/>
                                  <w:b/>
                                  <w:bCs/>
                                </w:rPr>
                                <w:t>应急预案构成体系框架图</w:t>
                              </w:r>
                            </w:p>
                          </w:txbxContent>
                        </wps:txbx>
                        <wps:bodyPr rot="0" vert="horz" wrap="square" lIns="91440" tIns="45720" rIns="91440" bIns="45720" anchor="t" anchorCtr="0" upright="1">
                          <a:noAutofit/>
                        </wps:bodyPr>
                      </wps:wsp>
                      <wps:wsp>
                        <wps:cNvPr id="56764626" name="文本框 143"/>
                        <wps:cNvSpPr txBox="1">
                          <a:spLocks noChangeArrowheads="1"/>
                        </wps:cNvSpPr>
                        <wps:spPr bwMode="auto">
                          <a:xfrm>
                            <a:off x="2181860" y="4148455"/>
                            <a:ext cx="333375" cy="1047750"/>
                          </a:xfrm>
                          <a:prstGeom prst="rect">
                            <a:avLst/>
                          </a:prstGeom>
                          <a:solidFill>
                            <a:srgbClr val="FFFFFF"/>
                          </a:solidFill>
                          <a:ln w="6350">
                            <a:solidFill>
                              <a:srgbClr val="000000"/>
                            </a:solidFill>
                            <a:round/>
                          </a:ln>
                        </wps:spPr>
                        <wps:txbx>
                          <w:txbxContent>
                            <w:p w14:paraId="188B4F3F">
                              <w:pPr>
                                <w:autoSpaceDE w:val="0"/>
                                <w:autoSpaceDN w:val="0"/>
                                <w:adjustRightInd w:val="0"/>
                                <w:rPr>
                                  <w:color w:val="000000"/>
                                  <w:sz w:val="21"/>
                                  <w:szCs w:val="21"/>
                                  <w:lang w:val="zh-CN"/>
                                </w:rPr>
                              </w:pPr>
                              <w:r>
                                <w:rPr>
                                  <w:color w:val="000000"/>
                                  <w:sz w:val="21"/>
                                  <w:szCs w:val="21"/>
                                  <w:lang w:val="zh-CN"/>
                                </w:rPr>
                                <w:t>通讯</w:t>
                              </w:r>
                            </w:p>
                            <w:p w14:paraId="30A374A4">
                              <w:pPr>
                                <w:autoSpaceDE w:val="0"/>
                                <w:autoSpaceDN w:val="0"/>
                                <w:adjustRightInd w:val="0"/>
                                <w:rPr>
                                  <w:color w:val="000000"/>
                                  <w:sz w:val="21"/>
                                  <w:szCs w:val="21"/>
                                  <w:lang w:val="zh-CN"/>
                                </w:rPr>
                              </w:pPr>
                              <w:r>
                                <w:rPr>
                                  <w:color w:val="000000"/>
                                  <w:sz w:val="21"/>
                                  <w:szCs w:val="21"/>
                                  <w:lang w:val="zh-CN"/>
                                </w:rPr>
                                <w:t>组</w:t>
                              </w:r>
                            </w:p>
                          </w:txbxContent>
                        </wps:txbx>
                        <wps:bodyPr rot="0" vert="horz" wrap="square" lIns="91440" tIns="45720" rIns="91440" bIns="45720" anchor="ctr" anchorCtr="1" upright="1">
                          <a:noAutofit/>
                        </wps:bodyPr>
                      </wps:wsp>
                      <wps:wsp>
                        <wps:cNvPr id="373366506" name="直接箭头连接符 144"/>
                        <wps:cNvCnPr>
                          <a:cxnSpLocks noChangeShapeType="1"/>
                        </wps:cNvCnPr>
                        <wps:spPr bwMode="auto">
                          <a:xfrm>
                            <a:off x="2346325" y="3793490"/>
                            <a:ext cx="635" cy="348615"/>
                          </a:xfrm>
                          <a:prstGeom prst="straightConnector1">
                            <a:avLst/>
                          </a:prstGeom>
                          <a:noFill/>
                          <a:ln w="9525">
                            <a:solidFill>
                              <a:srgbClr val="000000"/>
                            </a:solidFill>
                            <a:round/>
                            <a:tailEnd type="triangle" w="med" len="med"/>
                          </a:ln>
                        </wps:spPr>
                        <wps:bodyPr/>
                      </wps:wsp>
                      <wps:wsp>
                        <wps:cNvPr id="1637133683" name="文本框 145"/>
                        <wps:cNvSpPr txBox="1">
                          <a:spLocks noChangeArrowheads="1"/>
                        </wps:cNvSpPr>
                        <wps:spPr bwMode="auto">
                          <a:xfrm>
                            <a:off x="3354070" y="4142740"/>
                            <a:ext cx="330200" cy="1053465"/>
                          </a:xfrm>
                          <a:prstGeom prst="rect">
                            <a:avLst/>
                          </a:prstGeom>
                          <a:solidFill>
                            <a:srgbClr val="FFFFFF"/>
                          </a:solidFill>
                          <a:ln w="6350">
                            <a:solidFill>
                              <a:srgbClr val="000000"/>
                            </a:solidFill>
                            <a:round/>
                          </a:ln>
                        </wps:spPr>
                        <wps:txbx>
                          <w:txbxContent>
                            <w:p w14:paraId="016B42BD">
                              <w:pPr>
                                <w:autoSpaceDE w:val="0"/>
                                <w:autoSpaceDN w:val="0"/>
                                <w:adjustRightInd w:val="0"/>
                                <w:rPr>
                                  <w:color w:val="000000"/>
                                  <w:sz w:val="21"/>
                                  <w:szCs w:val="21"/>
                                  <w:lang w:val="zh-CN"/>
                                </w:rPr>
                              </w:pPr>
                              <w:r>
                                <w:rPr>
                                  <w:rFonts w:hint="eastAsia"/>
                                  <w:color w:val="000000"/>
                                  <w:sz w:val="21"/>
                                  <w:szCs w:val="21"/>
                                </w:rPr>
                                <w:t>事故处置</w:t>
                              </w:r>
                              <w:r>
                                <w:rPr>
                                  <w:color w:val="000000"/>
                                  <w:sz w:val="21"/>
                                  <w:szCs w:val="21"/>
                                  <w:lang w:val="zh-CN"/>
                                </w:rPr>
                                <w:t>组</w:t>
                              </w:r>
                            </w:p>
                          </w:txbxContent>
                        </wps:txbx>
                        <wps:bodyPr rot="0" vert="horz" wrap="square" lIns="91440" tIns="45720" rIns="91440" bIns="45720" anchor="ctr" anchorCtr="1" upright="1">
                          <a:noAutofit/>
                        </wps:bodyPr>
                      </wps:wsp>
                      <wps:wsp>
                        <wps:cNvPr id="378072361" name="直接箭头连接符 146"/>
                        <wps:cNvCnPr>
                          <a:cxnSpLocks noChangeShapeType="1"/>
                        </wps:cNvCnPr>
                        <wps:spPr bwMode="auto">
                          <a:xfrm>
                            <a:off x="3529330" y="3791585"/>
                            <a:ext cx="0" cy="342900"/>
                          </a:xfrm>
                          <a:prstGeom prst="straightConnector1">
                            <a:avLst/>
                          </a:prstGeom>
                          <a:noFill/>
                          <a:ln w="9525">
                            <a:solidFill>
                              <a:srgbClr val="000000"/>
                            </a:solidFill>
                            <a:round/>
                            <a:tailEnd type="triangle" w="med" len="med"/>
                          </a:ln>
                        </wps:spPr>
                        <wps:bodyPr/>
                      </wps:wsp>
                      <wps:wsp>
                        <wps:cNvPr id="324302023" name="直接箭头连接符 147"/>
                        <wps:cNvCnPr>
                          <a:cxnSpLocks noChangeShapeType="1"/>
                        </wps:cNvCnPr>
                        <wps:spPr bwMode="auto">
                          <a:xfrm>
                            <a:off x="2930525" y="3800475"/>
                            <a:ext cx="0" cy="342900"/>
                          </a:xfrm>
                          <a:prstGeom prst="straightConnector1">
                            <a:avLst/>
                          </a:prstGeom>
                          <a:noFill/>
                          <a:ln w="9525">
                            <a:solidFill>
                              <a:srgbClr val="000000"/>
                            </a:solidFill>
                            <a:round/>
                            <a:tailEnd type="triangle" w="med" len="med"/>
                          </a:ln>
                        </wps:spPr>
                        <wps:bodyPr/>
                      </wps:wsp>
                      <wps:wsp>
                        <wps:cNvPr id="77098138" name="文本框 148"/>
                        <wps:cNvSpPr txBox="1">
                          <a:spLocks noChangeArrowheads="1"/>
                        </wps:cNvSpPr>
                        <wps:spPr bwMode="auto">
                          <a:xfrm>
                            <a:off x="2752725" y="4139565"/>
                            <a:ext cx="330200" cy="1056005"/>
                          </a:xfrm>
                          <a:prstGeom prst="rect">
                            <a:avLst/>
                          </a:prstGeom>
                          <a:solidFill>
                            <a:srgbClr val="FFFFFF"/>
                          </a:solidFill>
                          <a:ln w="6350">
                            <a:solidFill>
                              <a:srgbClr val="000000"/>
                            </a:solidFill>
                            <a:round/>
                          </a:ln>
                        </wps:spPr>
                        <wps:txbx>
                          <w:txbxContent>
                            <w:p w14:paraId="25C5948B">
                              <w:pPr>
                                <w:autoSpaceDE w:val="0"/>
                                <w:autoSpaceDN w:val="0"/>
                                <w:adjustRightInd w:val="0"/>
                                <w:rPr>
                                  <w:color w:val="000000"/>
                                  <w:sz w:val="21"/>
                                  <w:szCs w:val="21"/>
                                </w:rPr>
                              </w:pPr>
                              <w:r>
                                <w:rPr>
                                  <w:rFonts w:hint="eastAsia"/>
                                  <w:color w:val="000000"/>
                                  <w:sz w:val="21"/>
                                  <w:szCs w:val="21"/>
                                </w:rPr>
                                <w:t>应急保障</w:t>
                              </w:r>
                              <w:r>
                                <w:rPr>
                                  <w:color w:val="000000"/>
                                  <w:sz w:val="21"/>
                                  <w:szCs w:val="21"/>
                                </w:rPr>
                                <w:t>组</w:t>
                              </w:r>
                            </w:p>
                          </w:txbxContent>
                        </wps:txbx>
                        <wps:bodyPr rot="0" vert="horz" wrap="square" lIns="91440" tIns="45720" rIns="91440" bIns="45720" anchor="ctr" anchorCtr="1" upright="1">
                          <a:noAutofit/>
                        </wps:bodyPr>
                      </wps:wsp>
                    </wpc:wpc>
                  </a:graphicData>
                </a:graphic>
              </wp:inline>
            </w:drawing>
          </mc:Choice>
          <mc:Fallback>
            <w:pict>
              <v:group id="画布 149" o:spid="_x0000_s1026" o:spt="203" style="height:492.95pt;width:433.1pt;" coordsize="5500370,6260465" editas="canvas" o:gfxdata="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">
                <o:lock v:ext="edit" aspectratio="f"/>
                <v:shape id="画布 149" o:spid="_x0000_s1026" style="position:absolute;left:0;top:0;height:6260465;width:5500370;" filled="f" stroked="f" coordsize="21600,21600" o:gfxdata="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">
                  <v:fill on="f" focussize="0,0"/>
                  <v:stroke on="f"/>
                  <v:imagedata o:title=""/>
                  <o:lock v:ext="edit" aspectratio="t"/>
                </v:shape>
                <v:shape id="文本框 102" o:spid="_x0000_s1026" o:spt="202" type="#_x0000_t202" style="position:absolute;left:1967230;top:685165;height:497840;width:2029460;v-text-anchor:middle;" fillcolor="#FFFFFF" filled="t" stroked="t" coordsize="21600,21600" o:gfxdata="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">
                  <v:fill on="t" focussize="0,0"/>
                  <v:stroke weight="0.5pt" color="#000000" joinstyle="round"/>
                  <v:imagedata o:title=""/>
                  <o:lock v:ext="edit" aspectratio="f"/>
                  <v:textbox>
                    <w:txbxContent>
                      <w:p w14:paraId="422A9B96">
                        <w:pPr>
                          <w:autoSpaceDE w:val="0"/>
                          <w:autoSpaceDN w:val="0"/>
                          <w:adjustRightInd w:val="0"/>
                          <w:jc w:val="center"/>
                          <w:rPr>
                            <w:color w:val="000000"/>
                            <w:sz w:val="21"/>
                            <w:szCs w:val="21"/>
                            <w:lang w:val="zh-CN"/>
                          </w:rPr>
                        </w:pPr>
                        <w:r>
                          <w:rPr>
                            <w:rFonts w:hint="eastAsia"/>
                            <w:color w:val="000000"/>
                            <w:sz w:val="21"/>
                            <w:szCs w:val="21"/>
                            <w:lang w:val="zh-CN"/>
                          </w:rPr>
                          <w:t>化药化工（无锡）有限公司</w:t>
                        </w:r>
                      </w:p>
                      <w:p w14:paraId="09DACE73">
                        <w:pPr>
                          <w:autoSpaceDE w:val="0"/>
                          <w:autoSpaceDN w:val="0"/>
                          <w:adjustRightInd w:val="0"/>
                          <w:jc w:val="center"/>
                          <w:rPr>
                            <w:color w:val="000000"/>
                            <w:sz w:val="21"/>
                            <w:szCs w:val="21"/>
                            <w:lang w:val="zh-CN"/>
                          </w:rPr>
                        </w:pPr>
                        <w:r>
                          <w:rPr>
                            <w:color w:val="000000"/>
                            <w:sz w:val="21"/>
                            <w:szCs w:val="21"/>
                            <w:lang w:val="zh-CN"/>
                          </w:rPr>
                          <w:t>应急指挥部</w:t>
                        </w:r>
                      </w:p>
                    </w:txbxContent>
                  </v:textbox>
                </v:shape>
                <v:shape id="文本框 103" o:spid="_x0000_s1026" o:spt="202" type="#_x0000_t202" style="position:absolute;left:2011680;top:0;height:313055;width:1808480;v-text-anchor:middle-center;" fillcolor="#FFFFFF" filled="t" stroked="t" coordsize="21600,21600" o:gfxdata="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">
                  <v:fill on="t" focussize="0,0"/>
                  <v:stroke weight="0.5pt" color="#000000" joinstyle="round"/>
                  <v:imagedata o:title=""/>
                  <o:lock v:ext="edit" aspectratio="f"/>
                  <v:textbox>
                    <w:txbxContent>
                      <w:p w14:paraId="2FDABEC1">
                        <w:pPr>
                          <w:autoSpaceDE w:val="0"/>
                          <w:autoSpaceDN w:val="0"/>
                          <w:adjustRightInd w:val="0"/>
                          <w:jc w:val="center"/>
                          <w:rPr>
                            <w:color w:val="000000"/>
                            <w:sz w:val="21"/>
                            <w:szCs w:val="21"/>
                            <w:lang w:val="zh-CN"/>
                          </w:rPr>
                        </w:pPr>
                        <w:r>
                          <w:rPr>
                            <w:color w:val="000000"/>
                            <w:sz w:val="21"/>
                            <w:szCs w:val="21"/>
                          </w:rPr>
                          <w:t>无锡市</w:t>
                        </w:r>
                        <w:r>
                          <w:rPr>
                            <w:rFonts w:hint="eastAsia"/>
                            <w:color w:val="000000"/>
                            <w:sz w:val="21"/>
                            <w:szCs w:val="21"/>
                          </w:rPr>
                          <w:t>锡山</w:t>
                        </w:r>
                        <w:r>
                          <w:rPr>
                            <w:color w:val="000000"/>
                            <w:sz w:val="21"/>
                            <w:szCs w:val="21"/>
                            <w:lang w:val="zh-CN"/>
                          </w:rPr>
                          <w:t>生态环境局</w:t>
                        </w:r>
                      </w:p>
                    </w:txbxContent>
                  </v:textbox>
                </v:shape>
                <v:shape id="文本框 104" o:spid="_x0000_s1026" o:spt="202" type="#_x0000_t202" style="position:absolute;left:4157345;top:1935480;height:328295;width:1343025;v-text-anchor:middle-center;" fillcolor="#FFFFFF" filled="t" stroked="t" coordsize="21600,21600" o:gfxdata="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">
                  <v:fill on="t" focussize="0,0"/>
                  <v:stroke weight="0.5pt" color="#000000" joinstyle="round"/>
                  <v:imagedata o:title=""/>
                  <o:lock v:ext="edit" aspectratio="f"/>
                  <v:textbox>
                    <w:txbxContent>
                      <w:p w14:paraId="6D921823">
                        <w:pPr>
                          <w:autoSpaceDE w:val="0"/>
                          <w:autoSpaceDN w:val="0"/>
                          <w:adjustRightInd w:val="0"/>
                          <w:rPr>
                            <w:color w:val="000000"/>
                            <w:sz w:val="21"/>
                            <w:szCs w:val="21"/>
                            <w:lang w:val="zh-CN"/>
                          </w:rPr>
                        </w:pPr>
                        <w:r>
                          <w:rPr>
                            <w:color w:val="000000"/>
                            <w:sz w:val="21"/>
                            <w:szCs w:val="21"/>
                            <w:lang w:val="zh-CN"/>
                          </w:rPr>
                          <w:t>启动预案</w:t>
                        </w:r>
                        <w:r>
                          <w:rPr>
                            <w:color w:val="000000"/>
                            <w:sz w:val="21"/>
                            <w:szCs w:val="21"/>
                          </w:rPr>
                          <w:t>/</w:t>
                        </w:r>
                        <w:r>
                          <w:rPr>
                            <w:color w:val="000000"/>
                            <w:sz w:val="21"/>
                            <w:szCs w:val="21"/>
                            <w:lang w:val="zh-CN"/>
                          </w:rPr>
                          <w:t>终止预案</w:t>
                        </w:r>
                      </w:p>
                    </w:txbxContent>
                  </v:textbox>
                </v:shape>
                <v:shape id="文本框 105" o:spid="_x0000_s1026" o:spt="202" type="#_x0000_t202" style="position:absolute;left:988060;top:1961515;height:327025;width:871220;v-text-anchor:middle-center;" fillcolor="#FFFFFF" filled="t" stroked="t" coordsize="21600,21600" o:gfxdata="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">
                  <v:fill on="t" focussize="0,0"/>
                  <v:stroke weight="0.5pt" color="#000000" joinstyle="round"/>
                  <v:imagedata o:title=""/>
                  <o:lock v:ext="edit" aspectratio="f"/>
                  <v:textbox>
                    <w:txbxContent>
                      <w:p w14:paraId="3C8F77E3">
                        <w:pPr>
                          <w:autoSpaceDE w:val="0"/>
                          <w:autoSpaceDN w:val="0"/>
                          <w:adjustRightInd w:val="0"/>
                          <w:rPr>
                            <w:color w:val="000000"/>
                            <w:sz w:val="21"/>
                            <w:szCs w:val="21"/>
                            <w:lang w:val="zh-CN"/>
                          </w:rPr>
                        </w:pPr>
                        <w:r>
                          <w:rPr>
                            <w:color w:val="000000"/>
                            <w:sz w:val="21"/>
                            <w:szCs w:val="21"/>
                            <w:lang w:val="zh-CN"/>
                          </w:rPr>
                          <w:t>第一发现人</w:t>
                        </w:r>
                      </w:p>
                    </w:txbxContent>
                  </v:textbox>
                </v:shape>
                <v:shape id="文本框 106" o:spid="_x0000_s1026" o:spt="202" type="#_x0000_t202" style="position:absolute;left:2511425;top:1938655;height:327025;width:735330;v-text-anchor:middle-center;" fillcolor="#FFFFFF" filled="t" stroked="t" coordsize="21600,21600" o:gfxdata="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">
                  <v:fill on="t" focussize="0,0"/>
                  <v:stroke weight="0.5pt" color="#000000" joinstyle="round"/>
                  <v:imagedata o:title=""/>
                  <o:lock v:ext="edit" aspectratio="f"/>
                  <v:textbox>
                    <w:txbxContent>
                      <w:p w14:paraId="1465163E">
                        <w:pPr>
                          <w:autoSpaceDE w:val="0"/>
                          <w:autoSpaceDN w:val="0"/>
                          <w:adjustRightInd w:val="0"/>
                          <w:rPr>
                            <w:color w:val="000000"/>
                            <w:sz w:val="21"/>
                            <w:szCs w:val="21"/>
                            <w:lang w:val="zh-CN"/>
                          </w:rPr>
                        </w:pPr>
                        <w:r>
                          <w:rPr>
                            <w:color w:val="000000"/>
                            <w:sz w:val="21"/>
                            <w:szCs w:val="21"/>
                            <w:lang w:val="zh-CN"/>
                          </w:rPr>
                          <w:t>副总指挥</w:t>
                        </w:r>
                      </w:p>
                    </w:txbxContent>
                  </v:textbox>
                </v:shape>
                <v:shape id="文本框 107" o:spid="_x0000_s1026" o:spt="202" type="#_x0000_t202" style="position:absolute;left:2411730;top:2903855;height:327025;width:1038860;v-text-anchor:middle-center;" fillcolor="#FFFFFF" filled="t" stroked="t" coordsize="21600,21600" o:gfxdata="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">
                  <v:fill on="t" focussize="0,0"/>
                  <v:stroke weight="0.5pt" color="#000000" joinstyle="round"/>
                  <v:imagedata o:title=""/>
                  <o:lock v:ext="edit" aspectratio="f"/>
                  <v:textbox>
                    <w:txbxContent>
                      <w:p w14:paraId="1DEA39DE">
                        <w:pPr>
                          <w:autoSpaceDE w:val="0"/>
                          <w:autoSpaceDN w:val="0"/>
                          <w:adjustRightInd w:val="0"/>
                          <w:rPr>
                            <w:color w:val="000000"/>
                            <w:sz w:val="21"/>
                            <w:szCs w:val="21"/>
                            <w:lang w:val="zh-CN"/>
                          </w:rPr>
                        </w:pPr>
                        <w:r>
                          <w:rPr>
                            <w:color w:val="000000"/>
                            <w:sz w:val="21"/>
                            <w:szCs w:val="21"/>
                            <w:lang w:val="zh-CN"/>
                          </w:rPr>
                          <w:t>现场应急处置</w:t>
                        </w:r>
                      </w:p>
                    </w:txbxContent>
                  </v:textbox>
                </v:shape>
                <v:shape id="文本框 108" o:spid="_x0000_s1026" o:spt="202" type="#_x0000_t202" style="position:absolute;left:3996690;top:4132580;height:1063625;width:333375;v-text-anchor:middle-center;" fillcolor="#FFFFFF" filled="t" stroked="t" coordsize="21600,21600" o:gfxdata="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">
                  <v:fill on="t" focussize="0,0"/>
                  <v:stroke weight="0.5pt" color="#000000" joinstyle="round"/>
                  <v:imagedata o:title=""/>
                  <o:lock v:ext="edit" aspectratio="f"/>
                  <v:textbox>
                    <w:txbxContent>
                      <w:p w14:paraId="39ACA92F">
                        <w:pPr>
                          <w:autoSpaceDE w:val="0"/>
                          <w:autoSpaceDN w:val="0"/>
                          <w:adjustRightInd w:val="0"/>
                          <w:rPr>
                            <w:color w:val="000000"/>
                            <w:sz w:val="21"/>
                            <w:szCs w:val="21"/>
                            <w:lang w:val="zh-CN"/>
                          </w:rPr>
                        </w:pPr>
                        <w:r>
                          <w:rPr>
                            <w:rFonts w:hint="eastAsia"/>
                            <w:color w:val="000000"/>
                            <w:sz w:val="21"/>
                            <w:szCs w:val="21"/>
                          </w:rPr>
                          <w:t>应急监测</w:t>
                        </w:r>
                        <w:r>
                          <w:rPr>
                            <w:color w:val="000000"/>
                            <w:sz w:val="21"/>
                            <w:szCs w:val="21"/>
                            <w:lang w:val="zh-CN"/>
                          </w:rPr>
                          <w:t>组</w:t>
                        </w:r>
                      </w:p>
                    </w:txbxContent>
                  </v:textbox>
                </v:shape>
                <v:shape id="直接箭头连接符 109" o:spid="_x0000_s1026" o:spt="32" type="#_x0000_t32" style="position:absolute;left:2817495;top:335915;flip:y;height:349885;width:0;" filled="f" stroked="t" coordsize="21600,21600" o:gfxdata="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tjzGINYAAAAFAQAADwAAAAAAAAABACAAAAAiAAAAZHJzL2Rvd25yZXYu&#10;eG1sUEsBAhQAFAAAAAgAh07iQNw8RqU2AgAAJQQAAA4AAAAAAAAAAQAgAAAAJQEAAGRycy9lMm9E&#10;b2MueG1sUEsFBgAAAAAGAAYAWQEAAM0FAAAAAA==&#10;">
                  <v:fill on="f" focussize="0,0"/>
                  <v:stroke color="#000000" joinstyle="round" dashstyle="longDash" endarrow="block"/>
                  <v:imagedata o:title=""/>
                  <o:lock v:ext="edit" aspectratio="f"/>
                </v:shape>
                <v:shape id="直接箭头连接符 110" o:spid="_x0000_s1026" o:spt="32" type="#_x0000_t32" style="position:absolute;left:2927350;top:1215390;flip:y;height:709295;width:0;" filled="f" stroked="t" coordsize="21600,21600" o:gfxdata="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tjzGINYAAAAFAQAADwAAAAAAAAABACAAAAAiAAAAZHJzL2Rvd25yZXYueG1s&#10;UEsBAhQAFAAAAAgAh07iQE6mD5IzAgAAJgQAAA4AAAAAAAAAAQAgAAAAJQEAAGRycy9lMm9Eb2Mu&#10;eG1sUEsFBgAAAAAGAAYAWQEAAMoFAAAAAA==&#10;">
                  <v:fill on="f" focussize="0,0"/>
                  <v:stroke color="#000000" joinstyle="round" dashstyle="longDash" endarrow="block"/>
                  <v:imagedata o:title=""/>
                  <o:lock v:ext="edit" aspectratio="f"/>
                </v:shape>
                <v:shape id="直接箭头连接符 111" o:spid="_x0000_s1026" o:spt="32" type="#_x0000_t32" style="position:absolute;left:1889760;top:2116455;height:635;width:612140;" filled="f" stroked="t" coordsize="21600,21600" o:gfxdata="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hQfOR1gAAAAUBAAAPAAAAAAAAAAEAIAAAACIAAABkcnMvZG93bnJldi54bWxQ&#10;SwECFAAUAAAACACHTuJAH9dy9zICAAAeBAAADgAAAAAAAAABACAAAAAlAQAAZHJzL2Uyb0RvYy54&#10;bWxQSwUGAAAAAAYABgBZAQAAyQUAAAAA&#10;">
                  <v:fill on="f" focussize="0,0"/>
                  <v:stroke color="#000000" joinstyle="round" dashstyle="longDash" endarrow="block"/>
                  <v:imagedata o:title=""/>
                  <o:lock v:ext="edit" aspectratio="f"/>
                </v:shape>
                <v:line id="直接连接符 112" o:spid="_x0000_s1026" o:spt="20" style="position:absolute;left:1729740;top:3791585;height:2540;width:2447290;" filled="f" stroked="t" coordsize="21600,21600" o:gfxdata="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TP7KdNUAAAAFAQAADwAAAAAAAAABACAAAAAiAAAAZHJzL2Rvd25yZXYueG1s&#10;UEsBAhQAFAAAAAgAh07iQLiUY1D7AQAAwwMAAA4AAAAAAAAAAQAgAAAAJAEAAGRycy9lMm9Eb2Mu&#10;eG1sUEsFBgAAAAAGAAYAWQEAAJEFAAAAAA==&#10;">
                  <v:fill on="f" focussize="0,0"/>
                  <v:stroke color="#000000" joinstyle="round"/>
                  <v:imagedata o:title=""/>
                  <o:lock v:ext="edit" aspectratio="f"/>
                </v:line>
                <v:shape id="文本框 113" o:spid="_x0000_s1026" o:spt="202" type="#_x0000_t202" style="position:absolute;left:1569720;top:4140835;height:1054100;width:333375;v-text-anchor:middle-center;" fillcolor="#FFFFFF" filled="t" stroked="t" coordsize="21600,21600" o:gfxdata="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">
                  <v:fill on="t" focussize="0,0"/>
                  <v:stroke weight="0.5pt" color="#000000" joinstyle="round"/>
                  <v:imagedata o:title=""/>
                  <o:lock v:ext="edit" aspectratio="f"/>
                  <v:textbox>
                    <w:txbxContent>
                      <w:p w14:paraId="37695DF2">
                        <w:pPr>
                          <w:autoSpaceDE w:val="0"/>
                          <w:autoSpaceDN w:val="0"/>
                          <w:adjustRightInd w:val="0"/>
                          <w:rPr>
                            <w:color w:val="000000"/>
                            <w:sz w:val="21"/>
                            <w:szCs w:val="21"/>
                            <w:lang w:val="zh-CN"/>
                          </w:rPr>
                        </w:pPr>
                        <w:r>
                          <w:rPr>
                            <w:rFonts w:hint="eastAsia"/>
                            <w:color w:val="000000"/>
                            <w:sz w:val="21"/>
                            <w:szCs w:val="21"/>
                          </w:rPr>
                          <w:t>抢险灭火</w:t>
                        </w:r>
                        <w:r>
                          <w:rPr>
                            <w:color w:val="000000"/>
                            <w:sz w:val="21"/>
                            <w:szCs w:val="21"/>
                            <w:lang w:val="zh-CN"/>
                          </w:rPr>
                          <w:t>组</w:t>
                        </w:r>
                      </w:p>
                    </w:txbxContent>
                  </v:textbox>
                </v:shape>
                <v:shape id="直接箭头连接符 114" o:spid="_x0000_s1026" o:spt="32" type="#_x0000_t32" style="position:absolute;left:1738630;top:3787775;height:348615;width:0;" filled="f" stroked="t" coordsize="21600,21600" o:gfxdata="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heYTbtcAAAAFAQAADwAAAAAAAAABACAAAAAiAAAAZHJzL2Rvd25yZXYueG1sUEsBAhQAFAAAAAgA&#10;h07iQJwGUs0mAgAAAgQAAA4AAAAAAAAAAQAgAAAAJgEAAGRycy9lMm9Eb2MueG1sUEsFBgAAAAAG&#10;AAYAWQEAAL4FAAAAAA==&#10;">
                  <v:fill on="f" focussize="0,0"/>
                  <v:stroke color="#000000" joinstyle="round" endarrow="block"/>
                  <v:imagedata o:title=""/>
                  <o:lock v:ext="edit" aspectratio="f"/>
                </v:shape>
                <v:shape id="直接箭头连接符 116" o:spid="_x0000_s1026" o:spt="32" type="#_x0000_t32" style="position:absolute;left:4176395;top:3789045;height:346710;width:0;" filled="f" stroked="t" coordsize="21600,21600" o:gfxdata="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">
                  <v:fill on="f" focussize="0,0"/>
                  <v:stroke color="#000000" joinstyle="round" endarrow="block"/>
                  <v:imagedata o:title=""/>
                  <o:lock v:ext="edit" aspectratio="f"/>
                </v:shape>
                <v:shape id="直接箭头连接符 117" o:spid="_x0000_s1026" o:spt="32" type="#_x0000_t32" style="position:absolute;left:2927985;top:3230880;height:566420;width:0;" filled="f" stroked="t" coordsize="21600,21600" o:gfxdata="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">
                  <v:fill on="f" focussize="0,0"/>
                  <v:stroke color="#000000" joinstyle="round" endarrow="block"/>
                  <v:imagedata o:title=""/>
                  <o:lock v:ext="edit" aspectratio="f"/>
                </v:shape>
                <v:shape id="文本框 118" o:spid="_x0000_s1026" o:spt="202" type="#_x0000_t202" style="position:absolute;left:0;top:1579880;height:448945;width:768350;v-text-anchor:middle-center;" filled="f" stroked="t" coordsize="21600,21600" o:gfxdata="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">
                  <v:fill on="f" focussize="0,0"/>
                  <v:stroke weight="0.5pt" color="#000000" joinstyle="round"/>
                  <v:imagedata o:title=""/>
                  <o:lock v:ext="edit" aspectratio="f"/>
                  <v:textbox>
                    <w:txbxContent>
                      <w:p w14:paraId="28EF1826">
                        <w:pPr>
                          <w:autoSpaceDE w:val="0"/>
                          <w:autoSpaceDN w:val="0"/>
                          <w:adjustRightInd w:val="0"/>
                          <w:jc w:val="center"/>
                          <w:rPr>
                            <w:color w:val="000000"/>
                            <w:sz w:val="21"/>
                            <w:szCs w:val="21"/>
                            <w:lang w:val="zh-CN"/>
                          </w:rPr>
                        </w:pPr>
                        <w:r>
                          <w:rPr>
                            <w:rFonts w:hint="eastAsia"/>
                            <w:color w:val="000000"/>
                            <w:sz w:val="21"/>
                            <w:szCs w:val="21"/>
                            <w:lang w:val="zh-CN"/>
                          </w:rPr>
                          <w:t>应急救援</w:t>
                        </w:r>
                        <w:r>
                          <w:rPr>
                            <w:color w:val="000000"/>
                            <w:sz w:val="21"/>
                            <w:szCs w:val="21"/>
                            <w:lang w:val="zh-CN"/>
                          </w:rPr>
                          <w:t>协调员</w:t>
                        </w:r>
                      </w:p>
                    </w:txbxContent>
                  </v:textbox>
                </v:shape>
                <v:line id="直接连接符 119" o:spid="_x0000_s1026" o:spt="20" style="position:absolute;left:281305;top:884555;height:1270;width:1710055;" filled="f" stroked="t" coordsize="21600,21600" o:gfxdata="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Ez+ynTVAAAABQEAAA8AAAAAAAAAAQAgAAAAIgAAAGRycy9kb3ducmV2Lnht&#10;bFBLAQIUABQAAAAIAIdO4kDYmcZv/AEAAMIDAAAOAAAAAAAAAAEAIAAAACQBAABkcnMvZTJvRG9j&#10;LnhtbFBLBQYAAAAABgAGAFkBAACSBQAAAAA=&#10;">
                  <v:fill on="f" focussize="0,0"/>
                  <v:stroke color="#000000" joinstyle="round"/>
                  <v:imagedata o:title=""/>
                  <o:lock v:ext="edit" aspectratio="f"/>
                </v:line>
                <v:shape id="直接箭头连接符 120" o:spid="_x0000_s1026" o:spt="32" type="#_x0000_t32" style="position:absolute;left:281305;top:884555;flip:x;height:683895;width:8255;" filled="f" stroked="t" coordsize="21600,21600" o:gfxdata="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1ejsQ1gAAAAUBAAAPAAAAAAAAAAEAIAAAACIAAABkcnMvZG93bnJldi54bWxQSwECFAAU&#10;AAAACACHTuJAp7DjOSwCAAANBAAADgAAAAAAAAABACAAAAAlAQAAZHJzL2Uyb0RvYy54bWxQSwUG&#10;AAAAAAYABgBZAQAAwwUAAAAA&#10;">
                  <v:fill on="f" focussize="0,0"/>
                  <v:stroke color="#000000" joinstyle="round" endarrow="block"/>
                  <v:imagedata o:title=""/>
                  <o:lock v:ext="edit" aspectratio="f"/>
                </v:shape>
                <v:shape id="直接箭头连接符 121" o:spid="_x0000_s1026" o:spt="32" type="#_x0000_t32" style="position:absolute;left:274955;top:4463415;height:0;width:851535;" filled="f" stroked="t" coordsize="21600,21600" o:gfxdata="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heYTbtcAAAAFAQAADwAAAAAAAAABACAAAAAiAAAAZHJzL2Rvd25yZXYueG1sUEsBAhQAFAAAAAgA&#10;h07iQA97j4AmAgAAAQQAAA4AAAAAAAAAAQAgAAAAJgEAAGRycy9lMm9Eb2MueG1sUEsFBgAAAAAG&#10;AAYAWQEAAL4FAAAAAA==&#10;">
                  <v:fill on="f" focussize="0,0"/>
                  <v:stroke color="#000000" joinstyle="round" endarrow="block"/>
                  <v:imagedata o:title=""/>
                  <o:lock v:ext="edit" aspectratio="f"/>
                </v:shape>
                <v:line id="直接连接符 122" o:spid="_x0000_s1026" o:spt="20" style="position:absolute;left:274955;top:2028825;flip:x y;height:2425065;width:6350;" filled="f" stroked="t" coordsize="21600,21600" o:gfxdata="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DbZ1YF0gAAAAUBAAAPAAAAAAAAAAEAIAAAACIAAABkcnMvZG93bnJl&#10;di54bWxQSwECFAAUAAAACACHTuJAjedAzAMCAADWAwAADgAAAAAAAAABACAAAAAhAQAAZHJzL2Uy&#10;b0RvYy54bWxQSwUGAAAAAAYABgBZAQAAlgUAAAAA&#10;">
                  <v:fill on="f" focussize="0,0"/>
                  <v:stroke color="#000000" joinstyle="round"/>
                  <v:imagedata o:title=""/>
                  <o:lock v:ext="edit" aspectratio="f"/>
                </v:line>
                <v:line id="直接连接符 123" o:spid="_x0000_s1026" o:spt="20" style="position:absolute;left:3996690;top:862330;height:1905;width:830580;" filled="f" stroked="t" coordsize="21600,21600" o:gfxdata="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TP7KdNUAAAAFAQAADwAAAAAAAAABACAAAAAiAAAAZHJzL2Rvd25yZXYueG1s&#10;UEsBAhQAFAAAAAgAh07iQFS+nQT7AQAAwQMAAA4AAAAAAAAAAQAgAAAAJAEAAGRycy9lMm9Eb2Mu&#10;eG1sUEsFBgAAAAAGAAYAWQEAAJEFAAAAAA==&#10;">
                  <v:fill on="f" focussize="0,0"/>
                  <v:stroke color="#000000" joinstyle="round"/>
                  <v:imagedata o:title=""/>
                  <o:lock v:ext="edit" aspectratio="f"/>
                </v:line>
                <v:shape id="直接箭头连接符 124" o:spid="_x0000_s1026" o:spt="32" type="#_x0000_t32" style="position:absolute;left:4808220;top:864235;flip:x;height:1076325;width:19050;" filled="f" stroked="t" coordsize="21600,21600" o:gfxdata="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tXo7ENYAAAAFAQAADwAAAAAAAAABACAAAAAiAAAAZHJzL2Rvd25yZXYueG1sUEsBAhQA&#10;FAAAAAgAh07iQLStQwwtAgAAEAQAAA4AAAAAAAAAAQAgAAAAJQEAAGRycy9lMm9Eb2MueG1sUEsF&#10;BgAAAAAGAAYAWQEAAMQFAAAAAA==&#10;">
                  <v:fill on="f" focussize="0,0"/>
                  <v:stroke color="#000000" joinstyle="round" endarrow="block"/>
                  <v:imagedata o:title=""/>
                  <o:lock v:ext="edit" aspectratio="f"/>
                </v:shape>
                <v:shape id="直接箭头连接符 125" o:spid="_x0000_s1026" o:spt="32" type="#_x0000_t32" style="position:absolute;left:3249295;top:2079625;height:0;width:871220;" filled="f" stroked="t" coordsize="21600,21600" o:gfxdata="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IXm&#10;E27XAAAABQEAAA8AAAAAAAAAAQAgAAAAIgAAAGRycy9kb3ducmV2LnhtbFBLAQIUABQAAAAIAIdO&#10;4kBrcnwQJAIAAAEEAAAOAAAAAAAAAAEAIAAAACYBAABkcnMvZTJvRG9jLnhtbFBLBQYAAAAABgAG&#10;AFkBAAC8BQAAAAA=&#10;">
                  <v:fill on="f" focussize="0,0"/>
                  <v:stroke color="#000000" joinstyle="round" endarrow="block"/>
                  <v:imagedata o:title=""/>
                  <o:lock v:ext="edit" aspectratio="f"/>
                </v:shape>
                <v:shape id="文本框 126" o:spid="_x0000_s1026" o:spt="202" type="#_x0000_t202" style="position:absolute;left:3322320;top:1856740;height:294640;width:804545;" filled="f" stroked="f" coordsize="21600,21600" o:gfxdata="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">
                  <v:fill on="f" focussize="0,0"/>
                  <v:stroke on="f"/>
                  <v:imagedata o:title=""/>
                  <o:lock v:ext="edit" aspectratio="f"/>
                  <v:textbox>
                    <w:txbxContent>
                      <w:p w14:paraId="4BEAF8F9">
                        <w:pPr>
                          <w:autoSpaceDE w:val="0"/>
                          <w:autoSpaceDN w:val="0"/>
                          <w:adjustRightInd w:val="0"/>
                          <w:rPr>
                            <w:color w:val="000000"/>
                            <w:sz w:val="21"/>
                            <w:szCs w:val="21"/>
                            <w:lang w:val="zh-CN"/>
                          </w:rPr>
                        </w:pPr>
                        <w:r>
                          <w:rPr>
                            <w:color w:val="000000"/>
                            <w:sz w:val="21"/>
                            <w:szCs w:val="21"/>
                            <w:lang w:val="zh-CN"/>
                          </w:rPr>
                          <w:t>二、三级</w:t>
                        </w:r>
                      </w:p>
                    </w:txbxContent>
                  </v:textbox>
                </v:shape>
                <v:shape id="文本框 127" o:spid="_x0000_s1026" o:spt="202" type="#_x0000_t202" style="position:absolute;left:4134485;top:602615;height:295275;width:602615;" filled="f" stroked="f" coordsize="21600,21600" o:gfxdata="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Ae&#10;JY3J1AAAAAUBAAAPAAAAAAAAAAEAIAAAACIAAABkcnMvZG93bnJldi54bWxQSwECFAAUAAAACACH&#10;TuJAcnBnfygCAAAqBAAADgAAAAAAAAABACAAAAAjAQAAZHJzL2Uyb0RvYy54bWxQSwUGAAAAAAYA&#10;BgBZAQAAvQUAAAAA&#10;">
                  <v:fill on="f" focussize="0,0"/>
                  <v:stroke on="f"/>
                  <v:imagedata o:title=""/>
                  <o:lock v:ext="edit" aspectratio="f"/>
                  <v:textbox>
                    <w:txbxContent>
                      <w:p w14:paraId="2E25800C">
                        <w:pPr>
                          <w:autoSpaceDE w:val="0"/>
                          <w:autoSpaceDN w:val="0"/>
                          <w:adjustRightInd w:val="0"/>
                          <w:rPr>
                            <w:color w:val="000000"/>
                            <w:sz w:val="21"/>
                            <w:szCs w:val="21"/>
                            <w:lang w:val="zh-CN"/>
                          </w:rPr>
                        </w:pPr>
                        <w:r>
                          <w:rPr>
                            <w:color w:val="000000"/>
                            <w:sz w:val="21"/>
                            <w:szCs w:val="21"/>
                            <w:lang w:val="zh-CN"/>
                          </w:rPr>
                          <w:t>一级</w:t>
                        </w:r>
                      </w:p>
                    </w:txbxContent>
                  </v:textbox>
                </v:shape>
                <v:rect id="矩形 128" o:spid="_x0000_s1026" o:spt="1" style="position:absolute;left:1126490;top:3552825;height:1669415;width:3636010;v-text-anchor:middle;" filled="f" stroked="t" coordsize="21600,21600" o:gfxdata="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">
                  <v:fill on="f" focussize="0,0"/>
                  <v:stroke weight="1pt" color="#000000" joinstyle="round" dashstyle="dash"/>
                  <v:imagedata o:title=""/>
                  <o:lock v:ext="edit" aspectratio="f"/>
                </v:rect>
                <v:line id="直接连接符 129" o:spid="_x0000_s1026" o:spt="20" style="position:absolute;left:542290;top:4274820;height:0;width:619125;" filled="f" stroked="t" coordsize="21600,21600" o:gfxdata="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Drwk0S0gAAAAUBAAAPAAAAAAAAAAEAIAAAACIAAABkcnMvZG93&#10;bnJldi54bWxQSwECFAAUAAAACACHTuJA5V2yvQYCAADYAwAADgAAAAAAAAABACAAAAAhAQAAZHJz&#10;L2Uyb0RvYy54bWxQSwUGAAAAAAYABgBZAQAAmQUAAAAA&#10;">
                  <v:fill on="f" focussize="0,0"/>
                  <v:stroke weight="1pt" color="#000000" joinstyle="round" dashstyle="dash"/>
                  <v:imagedata o:title=""/>
                  <o:lock v:ext="edit" aspectratio="f"/>
                </v:line>
                <v:line id="直接连接符 130" o:spid="_x0000_s1026" o:spt="20" style="position:absolute;left:513715;top:999490;height:549910;width:0;" filled="f" stroked="t" coordsize="21600,21600" o:gfxdata="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OvCTRLSAAAABQEAAA8AAAAAAAAAAQAgAAAAIgAAAGRycy9kb3du&#10;cmV2LnhtbFBLAQIUABQAAAAIAIdO4kDOm8IhBQIAANcDAAAOAAAAAAAAAAEAIAAAACEBAABkcnMv&#10;ZTJvRG9jLnhtbFBLBQYAAAAABgAGAFkBAACYBQAAAAA=&#10;">
                  <v:fill on="f" focussize="0,0"/>
                  <v:stroke weight="1pt" color="#000000" joinstyle="round" dashstyle="dash"/>
                  <v:imagedata o:title=""/>
                  <o:lock v:ext="edit" aspectratio="f"/>
                </v:line>
                <v:shape id="直接箭头连接符 131" o:spid="_x0000_s1026" o:spt="32" type="#_x0000_t32" style="position:absolute;left:2987675;top:351155;height:347345;width:0;" filled="f" stroked="t" coordsize="21600,21600" o:gfxdata="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IXm&#10;E27XAAAABQEAAA8AAAAAAAAAAQAgAAAAIgAAAGRycy9kb3ducmV2LnhtbFBLAQIUABQAAAAIAIdO&#10;4kAeifHxJAIAAAAEAAAOAAAAAAAAAAEAIAAAACYBAABkcnMvZTJvRG9jLnhtbFBLBQYAAAAABgAG&#10;AFkBAAC8BQAAAAA=&#10;">
                  <v:fill on="f" focussize="0,0"/>
                  <v:stroke color="#000000" joinstyle="round" endarrow="block"/>
                  <v:imagedata o:title=""/>
                  <o:lock v:ext="edit" aspectratio="f"/>
                </v:shape>
                <v:shape id="文本框 132" o:spid="_x0000_s1026" o:spt="202" type="#_x0000_t202" style="position:absolute;left:3234690;top:354330;height:295275;width:603885;" filled="f" stroked="f" coordsize="21600,21600" o:gfxdata="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">
                  <v:fill on="f" focussize="0,0"/>
                  <v:stroke on="f"/>
                  <v:imagedata o:title=""/>
                  <o:lock v:ext="edit" aspectratio="f"/>
                  <v:textbox>
                    <w:txbxContent>
                      <w:p w14:paraId="64C78F7C">
                        <w:pPr>
                          <w:autoSpaceDE w:val="0"/>
                          <w:autoSpaceDN w:val="0"/>
                          <w:adjustRightInd w:val="0"/>
                          <w:rPr>
                            <w:color w:val="000000"/>
                            <w:sz w:val="21"/>
                            <w:szCs w:val="21"/>
                            <w:lang w:val="zh-CN"/>
                          </w:rPr>
                        </w:pPr>
                        <w:r>
                          <w:rPr>
                            <w:color w:val="000000"/>
                            <w:sz w:val="21"/>
                            <w:szCs w:val="21"/>
                            <w:lang w:val="zh-CN"/>
                          </w:rPr>
                          <w:t>一级</w:t>
                        </w:r>
                      </w:p>
                    </w:txbxContent>
                  </v:textbox>
                </v:shape>
                <v:line id="直接连接符 133" o:spid="_x0000_s1026" o:spt="20" style="position:absolute;left:4798060;top:2295525;height:749300;width:0;" filled="f" stroked="t" coordsize="21600,21600" o:gfxdata="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BM/sp01QAAAAUBAAAPAAAAAAAAAAEAIAAAACIAAABkcnMvZG93bnJldi54bWxQ&#10;SwECFAAUAAAACACHTuJAuPFRX/oBAADAAwAADgAAAAAAAAABACAAAAAkAQAAZHJzL2Uyb0RvYy54&#10;bWxQSwUGAAAAAAYABgBZAQAAkAUAAAAA&#10;">
                  <v:fill on="f" focussize="0,0"/>
                  <v:stroke color="#000000" joinstyle="round"/>
                  <v:imagedata o:title=""/>
                  <o:lock v:ext="edit" aspectratio="f"/>
                </v:line>
                <v:shape id="文本框 134" o:spid="_x0000_s1026" o:spt="202" type="#_x0000_t202" style="position:absolute;left:1016000;top:5559425;height:254635;width:1031875;" fillcolor="#FFFFFF" filled="t" stroked="f" coordsize="21600,21600" o:gfxdata="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">
                  <v:fill on="t" focussize="0,0"/>
                  <v:stroke on="f"/>
                  <v:imagedata o:title=""/>
                  <o:lock v:ext="edit" aspectratio="f"/>
                  <v:textbox>
                    <w:txbxContent>
                      <w:p w14:paraId="0752AA9C">
                        <w:pPr>
                          <w:autoSpaceDE w:val="0"/>
                          <w:autoSpaceDN w:val="0"/>
                          <w:adjustRightInd w:val="0"/>
                          <w:rPr>
                            <w:color w:val="000000"/>
                            <w:sz w:val="21"/>
                            <w:szCs w:val="21"/>
                            <w:lang w:val="zh-CN"/>
                          </w:rPr>
                        </w:pPr>
                        <w:r>
                          <w:rPr>
                            <w:color w:val="000000"/>
                            <w:sz w:val="21"/>
                            <w:szCs w:val="21"/>
                            <w:lang w:val="zh-CN"/>
                          </w:rPr>
                          <w:t>指令下达程序</w:t>
                        </w:r>
                      </w:p>
                    </w:txbxContent>
                  </v:textbox>
                </v:shape>
                <v:shape id="直接箭头连接符 135" o:spid="_x0000_s1026" o:spt="32" type="#_x0000_t32" style="position:absolute;left:3465195;top:3041015;flip:x;height:6985;width:1316990;" filled="f" stroked="t" coordsize="21600,21600" o:gfxdata="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AAAAAGRycy9QSwECFAAU&#10;AAAACACHTuJAtXo7ENYAAAAFAQAADwAAAAAAAAABACAAAAAiAAAAZHJzL2Rvd25yZXYueG1sUEsB&#10;AhQAFAAAAAgAh07iQKeYc6IwAgAAEAQAAA4AAAAAAAAAAQAgAAAAJQEAAGRycy9lMm9Eb2MueG1s&#10;UEsFBgAAAAAGAAYAWQEAAMcFAAAAAA==&#10;">
                  <v:fill on="f" focussize="0,0"/>
                  <v:stroke color="#000000" joinstyle="round" endarrow="block"/>
                  <v:imagedata o:title=""/>
                  <o:lock v:ext="edit" aspectratio="f"/>
                </v:shape>
                <v:shape id="直接箭头连接符 136" o:spid="_x0000_s1026" o:spt="32" type="#_x0000_t32" style="position:absolute;left:2927350;top:2243455;flip:y;height:636905;width:0;" filled="f" stroked="t" coordsize="21600,21600" o:gfxdata="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">
                  <v:fill on="f" focussize="0,0"/>
                  <v:stroke color="#000000" joinstyle="round" dashstyle="longDash" endarrow="block"/>
                  <v:imagedata o:title=""/>
                  <o:lock v:ext="edit" aspectratio="f"/>
                </v:shape>
                <v:shape id="文本框 137" o:spid="_x0000_s1026" o:spt="202" type="#_x0000_t202" style="position:absolute;left:1016000;top:5216525;height:254635;width:1031875;" fillcolor="#FFFFFF" filled="t" stroked="f" coordsize="21600,21600" o:gfxdata="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">
                  <v:fill on="t" focussize="0,0"/>
                  <v:stroke on="f"/>
                  <v:imagedata o:title=""/>
                  <o:lock v:ext="edit" aspectratio="f"/>
                  <v:textbox>
                    <w:txbxContent>
                      <w:p w14:paraId="2D4CC916">
                        <w:pPr>
                          <w:autoSpaceDE w:val="0"/>
                          <w:autoSpaceDN w:val="0"/>
                          <w:adjustRightInd w:val="0"/>
                          <w:rPr>
                            <w:color w:val="000000"/>
                            <w:sz w:val="21"/>
                            <w:szCs w:val="21"/>
                            <w:lang w:val="zh-CN"/>
                          </w:rPr>
                        </w:pPr>
                        <w:r>
                          <w:rPr>
                            <w:color w:val="000000"/>
                            <w:sz w:val="21"/>
                            <w:szCs w:val="21"/>
                            <w:lang w:val="zh-CN"/>
                          </w:rPr>
                          <w:t>信息报告程序</w:t>
                        </w:r>
                      </w:p>
                    </w:txbxContent>
                  </v:textbox>
                </v:shape>
                <v:line id="直接连接符 138" o:spid="_x0000_s1026" o:spt="20" style="position:absolute;left:513715;top:999490;height:0;width:1439545;" filled="f" stroked="t" coordsize="21600,21600" o:gfxdata="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">
                  <v:fill on="f" focussize="0,0"/>
                  <v:stroke color="#000000" joinstyle="round" dashstyle="dash" endarrow="block"/>
                  <v:imagedata o:title=""/>
                  <o:lock v:ext="edit" aspectratio="f"/>
                </v:line>
                <v:line id="直接连接符 139" o:spid="_x0000_s1026" o:spt="20" style="position:absolute;left:513715;top:2028825;flip:y;height:2244090;width:635;" filled="f" stroked="t" coordsize="21600,21600" o:gfxdata="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ZjBd&#10;wtQAAAAFAQAADwAAAAAAAAABACAAAAAiAAAAZHJzL2Rvd25yZXYueG1sUEsBAhQAFAAAAAgAh07i&#10;QI70QL8mAgAAEgQAAA4AAAAAAAAAAQAgAAAAIwEAAGRycy9lMm9Eb2MueG1sUEsFBgAAAAAGAAYA&#10;WQEAALsFAAAAAA==&#10;">
                  <v:fill on="f" focussize="0,0"/>
                  <v:stroke color="#000000" joinstyle="round" dashstyle="dash" endarrow="block"/>
                  <v:imagedata o:title=""/>
                  <o:lock v:ext="edit" aspectratio="f"/>
                </v:line>
                <v:line id="直接连接符 140" o:spid="_x0000_s1026" o:spt="20" style="position:absolute;left:1953260;top:5361305;height:635;width:647065;" filled="f" stroked="t" coordsize="21600,21600" o:gfxdata="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OJ1b&#10;MNgAAAAFAQAADwAAAAAAAAABACAAAAAiAAAAZHJzL2Rvd25yZXYueG1sUEsBAhQAFAAAAAgAh07i&#10;QIyC8cQiAgAACAQAAA4AAAAAAAAAAQAgAAAAJwEAAGRycy9lMm9Eb2MueG1sUEsFBgAAAAAGAAYA&#10;WQEAALsFAAAAAA==&#10;">
                  <v:fill on="f" focussize="0,0"/>
                  <v:stroke color="#000000" joinstyle="round" dashstyle="dash" endarrow="block"/>
                  <v:imagedata o:title=""/>
                  <o:lock v:ext="edit" aspectratio="f"/>
                </v:line>
                <v:line id="直接连接符 141" o:spid="_x0000_s1026" o:spt="20" style="position:absolute;left:1953260;top:5704205;height:635;width:647065;" filled="f" stroked="t" coordsize="21600,21600" o:gfxdata="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H+KaRTYAAAABQEAAA8A&#10;AAAAAAAAAQAgAAAAIgAAAGRycy9kb3ducmV2LnhtbFBLAQIUABQAAAAIAIdO4kDUKH+bFwIAAPAD&#10;AAAOAAAAAAAAAAEAIAAAACcBAABkcnMvZTJvRG9jLnhtbFBLBQYAAAAABgAGAFkBAACwBQAAAAA=&#10;">
                  <v:fill on="f" focussize="0,0"/>
                  <v:stroke color="#000000" joinstyle="round" endarrow="block"/>
                  <v:imagedata o:title=""/>
                  <o:lock v:ext="edit" aspectratio="f"/>
                </v:line>
                <v:shape id="文本框 142" o:spid="_x0000_s1026" o:spt="202" type="#_x0000_t202" style="position:absolute;left:1738630;top:5908040;height:352425;width:2600960;" fillcolor="#FFFFFF" filled="t" stroked="f" coordsize="21600,21600" o:gfxdata="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">
                  <v:fill on="t" focussize="0,0"/>
                  <v:stroke on="f"/>
                  <v:imagedata o:title=""/>
                  <o:lock v:ext="edit" aspectratio="f"/>
                  <v:textbox>
                    <w:txbxContent>
                      <w:p w14:paraId="2AB7D179">
                        <w:pPr>
                          <w:rPr>
                            <w:rFonts w:ascii="Times New Roman" w:hAnsi="Times New Roman" w:cs="Times New Roman"/>
                          </w:rPr>
                        </w:pPr>
                        <w:r>
                          <w:rPr>
                            <w:rFonts w:ascii="Times New Roman" w:hAnsi="Times New Roman" w:cs="Times New Roman"/>
                            <w:b/>
                            <w:bCs/>
                          </w:rPr>
                          <w:t>图</w:t>
                        </w:r>
                        <w:r>
                          <w:rPr>
                            <w:rFonts w:hint="eastAsia" w:ascii="Times New Roman" w:hAnsi="Times New Roman" w:cs="Times New Roman"/>
                            <w:b/>
                            <w:bCs/>
                          </w:rPr>
                          <w:t>7</w:t>
                        </w:r>
                        <w:r>
                          <w:rPr>
                            <w:rFonts w:ascii="Times New Roman" w:hAnsi="Times New Roman" w:cs="Times New Roman"/>
                            <w:b/>
                            <w:bCs/>
                          </w:rPr>
                          <w:t>.6-</w:t>
                        </w:r>
                        <w:r>
                          <w:rPr>
                            <w:rFonts w:hint="eastAsia" w:ascii="Times New Roman" w:hAnsi="Times New Roman" w:cs="Times New Roman"/>
                            <w:b/>
                            <w:bCs/>
                            <w:lang w:val="en-US" w:eastAsia="zh-CN"/>
                          </w:rPr>
                          <w:t>3</w:t>
                        </w:r>
                        <w:r>
                          <w:rPr>
                            <w:rFonts w:ascii="Times New Roman" w:hAnsi="Times New Roman" w:cs="Times New Roman"/>
                            <w:b/>
                            <w:bCs/>
                          </w:rPr>
                          <w:t>应急预案构成体系框架图</w:t>
                        </w:r>
                      </w:p>
                    </w:txbxContent>
                  </v:textbox>
                </v:shape>
                <v:shape id="文本框 143" o:spid="_x0000_s1026" o:spt="202" type="#_x0000_t202" style="position:absolute;left:2181860;top:4148455;height:1047750;width:333375;v-text-anchor:middle-center;" fillcolor="#FFFFFF" filled="t" stroked="t" coordsize="21600,21600" o:gfxdata="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">
                  <v:fill on="t" focussize="0,0"/>
                  <v:stroke weight="0.5pt" color="#000000" joinstyle="round"/>
                  <v:imagedata o:title=""/>
                  <o:lock v:ext="edit" aspectratio="f"/>
                  <v:textbox>
                    <w:txbxContent>
                      <w:p w14:paraId="188B4F3F">
                        <w:pPr>
                          <w:autoSpaceDE w:val="0"/>
                          <w:autoSpaceDN w:val="0"/>
                          <w:adjustRightInd w:val="0"/>
                          <w:rPr>
                            <w:color w:val="000000"/>
                            <w:sz w:val="21"/>
                            <w:szCs w:val="21"/>
                            <w:lang w:val="zh-CN"/>
                          </w:rPr>
                        </w:pPr>
                        <w:r>
                          <w:rPr>
                            <w:color w:val="000000"/>
                            <w:sz w:val="21"/>
                            <w:szCs w:val="21"/>
                            <w:lang w:val="zh-CN"/>
                          </w:rPr>
                          <w:t>通讯</w:t>
                        </w:r>
                      </w:p>
                      <w:p w14:paraId="30A374A4">
                        <w:pPr>
                          <w:autoSpaceDE w:val="0"/>
                          <w:autoSpaceDN w:val="0"/>
                          <w:adjustRightInd w:val="0"/>
                          <w:rPr>
                            <w:color w:val="000000"/>
                            <w:sz w:val="21"/>
                            <w:szCs w:val="21"/>
                            <w:lang w:val="zh-CN"/>
                          </w:rPr>
                        </w:pPr>
                        <w:r>
                          <w:rPr>
                            <w:color w:val="000000"/>
                            <w:sz w:val="21"/>
                            <w:szCs w:val="21"/>
                            <w:lang w:val="zh-CN"/>
                          </w:rPr>
                          <w:t>组</w:t>
                        </w:r>
                      </w:p>
                    </w:txbxContent>
                  </v:textbox>
                </v:shape>
                <v:shape id="直接箭头连接符 144" o:spid="_x0000_s1026" o:spt="32" type="#_x0000_t32" style="position:absolute;left:2346325;top:3793490;height:348615;width:635;" filled="f" stroked="t" coordsize="21600,21600" o:gfxdata="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IXm&#10;E27XAAAABQEAAA8AAAAAAAAAAQAgAAAAIgAAAGRycy9kb3ducmV2LnhtbFBLAQIUABQAAAAIAIdO&#10;4kBDQA4dJAIAAAMEAAAOAAAAAAAAAAEAIAAAACYBAABkcnMvZTJvRG9jLnhtbFBLBQYAAAAABgAG&#10;AFkBAAC8BQAAAAA=&#10;">
                  <v:fill on="f" focussize="0,0"/>
                  <v:stroke color="#000000" joinstyle="round" endarrow="block"/>
                  <v:imagedata o:title=""/>
                  <o:lock v:ext="edit" aspectratio="f"/>
                </v:shape>
                <v:shape id="文本框 145" o:spid="_x0000_s1026" o:spt="202" type="#_x0000_t202" style="position:absolute;left:3354070;top:4142740;height:1053465;width:330200;v-text-anchor:middle-center;" fillcolor="#FFFFFF" filled="t" stroked="t" coordsize="21600,21600" o:gfxdata="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">
                  <v:fill on="t" focussize="0,0"/>
                  <v:stroke weight="0.5pt" color="#000000" joinstyle="round"/>
                  <v:imagedata o:title=""/>
                  <o:lock v:ext="edit" aspectratio="f"/>
                  <v:textbox>
                    <w:txbxContent>
                      <w:p w14:paraId="016B42BD">
                        <w:pPr>
                          <w:autoSpaceDE w:val="0"/>
                          <w:autoSpaceDN w:val="0"/>
                          <w:adjustRightInd w:val="0"/>
                          <w:rPr>
                            <w:color w:val="000000"/>
                            <w:sz w:val="21"/>
                            <w:szCs w:val="21"/>
                            <w:lang w:val="zh-CN"/>
                          </w:rPr>
                        </w:pPr>
                        <w:r>
                          <w:rPr>
                            <w:rFonts w:hint="eastAsia"/>
                            <w:color w:val="000000"/>
                            <w:sz w:val="21"/>
                            <w:szCs w:val="21"/>
                          </w:rPr>
                          <w:t>事故处置</w:t>
                        </w:r>
                        <w:r>
                          <w:rPr>
                            <w:color w:val="000000"/>
                            <w:sz w:val="21"/>
                            <w:szCs w:val="21"/>
                            <w:lang w:val="zh-CN"/>
                          </w:rPr>
                          <w:t>组</w:t>
                        </w:r>
                      </w:p>
                    </w:txbxContent>
                  </v:textbox>
                </v:shape>
                <v:shape id="直接箭头连接符 146" o:spid="_x0000_s1026" o:spt="32" type="#_x0000_t32" style="position:absolute;left:3529330;top:3791585;height:342900;width:0;" filled="f" stroked="t" coordsize="21600,21600" o:gfxdata="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F&#10;5hNu1wAAAAUBAAAPAAAAAAAAAAEAIAAAACIAAABkcnMvZG93bnJldi54bWxQSwECFAAUAAAACACH&#10;TuJAuBMOPyUCAAABBAAADgAAAAAAAAABACAAAAAmAQAAZHJzL2Uyb0RvYy54bWxQSwUGAAAAAAYA&#10;BgBZAQAAvQUAAAAA&#10;">
                  <v:fill on="f" focussize="0,0"/>
                  <v:stroke color="#000000" joinstyle="round" endarrow="block"/>
                  <v:imagedata o:title=""/>
                  <o:lock v:ext="edit" aspectratio="f"/>
                </v:shape>
                <v:shape id="直接箭头连接符 147" o:spid="_x0000_s1026" o:spt="32" type="#_x0000_t32" style="position:absolute;left:2930525;top:3800475;height:342900;width:0;" filled="f" stroked="t" coordsize="21600,21600" o:gfxdata="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heYT&#10;btcAAAAFAQAADwAAAAAAAAABACAAAAAiAAAAZHJzL2Rvd25yZXYueG1sUEsBAhQAFAAAAAgAh07i&#10;QN8G+VwjAgAAAQQAAA4AAAAAAAAAAQAgAAAAJgEAAGRycy9lMm9Eb2MueG1sUEsFBgAAAAAGAAYA&#10;WQEAALsFAAAAAA==&#10;">
                  <v:fill on="f" focussize="0,0"/>
                  <v:stroke color="#000000" joinstyle="round" endarrow="block"/>
                  <v:imagedata o:title=""/>
                  <o:lock v:ext="edit" aspectratio="f"/>
                </v:shape>
                <v:shape id="文本框 148" o:spid="_x0000_s1026" o:spt="202" type="#_x0000_t202" style="position:absolute;left:2752725;top:4139565;height:1056005;width:330200;v-text-anchor:middle-center;" fillcolor="#FFFFFF" filled="t" stroked="t" coordsize="21600,21600" o:gfxdata="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">
                  <v:fill on="t" focussize="0,0"/>
                  <v:stroke weight="0.5pt" color="#000000" joinstyle="round"/>
                  <v:imagedata o:title=""/>
                  <o:lock v:ext="edit" aspectratio="f"/>
                  <v:textbox>
                    <w:txbxContent>
                      <w:p w14:paraId="25C5948B">
                        <w:pPr>
                          <w:autoSpaceDE w:val="0"/>
                          <w:autoSpaceDN w:val="0"/>
                          <w:adjustRightInd w:val="0"/>
                          <w:rPr>
                            <w:color w:val="000000"/>
                            <w:sz w:val="21"/>
                            <w:szCs w:val="21"/>
                          </w:rPr>
                        </w:pPr>
                        <w:r>
                          <w:rPr>
                            <w:rFonts w:hint="eastAsia"/>
                            <w:color w:val="000000"/>
                            <w:sz w:val="21"/>
                            <w:szCs w:val="21"/>
                          </w:rPr>
                          <w:t>应急保障</w:t>
                        </w:r>
                        <w:r>
                          <w:rPr>
                            <w:color w:val="000000"/>
                            <w:sz w:val="21"/>
                            <w:szCs w:val="21"/>
                          </w:rPr>
                          <w:t>组</w:t>
                        </w:r>
                      </w:p>
                    </w:txbxContent>
                  </v:textbox>
                </v:shape>
                <w10:wrap type="none"/>
                <w10:anchorlock/>
              </v:group>
            </w:pict>
          </mc:Fallback>
        </mc:AlternateContent>
      </w:r>
    </w:p>
    <w:p w14:paraId="0C2501AD">
      <w:pPr>
        <w:pStyle w:val="5"/>
        <w:keepLines w:val="0"/>
        <w:numPr>
          <w:ilvl w:val="0"/>
          <w:numId w:val="0"/>
        </w:numPr>
        <w:tabs>
          <w:tab w:val="left" w:pos="141"/>
          <w:tab w:val="left" w:pos="567"/>
          <w:tab w:val="left" w:pos="709"/>
        </w:tabs>
        <w:spacing w:before="120" w:beforeLines="50" w:after="120" w:afterLines="50" w:line="360" w:lineRule="auto"/>
        <w:ind w:right="-105"/>
        <w:rPr>
          <w:rFonts w:eastAsia="宋体"/>
          <w:color w:val="auto"/>
          <w:sz w:val="28"/>
          <w:szCs w:val="28"/>
          <w:highlight w:val="none"/>
        </w:rPr>
      </w:pPr>
      <w:bookmarkStart w:id="503" w:name="_Toc2913"/>
      <w:r>
        <w:rPr>
          <w:rFonts w:hint="eastAsia" w:eastAsia="宋体"/>
          <w:color w:val="auto"/>
          <w:sz w:val="28"/>
          <w:szCs w:val="28"/>
          <w:highlight w:val="none"/>
        </w:rPr>
        <w:t>7.6.11</w:t>
      </w:r>
      <w:r>
        <w:rPr>
          <w:rFonts w:eastAsia="宋体"/>
          <w:color w:val="auto"/>
          <w:sz w:val="28"/>
          <w:szCs w:val="28"/>
          <w:highlight w:val="none"/>
        </w:rPr>
        <w:t>风险防范措施和应急预案纳入验收管理</w:t>
      </w:r>
      <w:bookmarkEnd w:id="503"/>
    </w:p>
    <w:p w14:paraId="0064AB3B">
      <w:pPr>
        <w:pStyle w:val="20"/>
        <w:spacing w:line="360" w:lineRule="auto"/>
        <w:ind w:left="-105" w:right="-105" w:firstLine="480" w:firstLineChars="200"/>
        <w:rPr>
          <w:rFonts w:ascii="Times New Roman" w:hAnsi="Times New Roman" w:cs="Times New Roman"/>
          <w:b/>
          <w:bCs/>
          <w:color w:val="auto"/>
          <w:sz w:val="24"/>
          <w:highlight w:val="none"/>
        </w:rPr>
      </w:pPr>
      <w:r>
        <w:rPr>
          <w:rFonts w:ascii="Times New Roman" w:hAnsi="Times New Roman" w:cs="Times New Roman"/>
          <w:bCs/>
          <w:color w:val="auto"/>
          <w:sz w:val="24"/>
          <w:highlight w:val="none"/>
        </w:rPr>
        <w:t>将本次环评提出环境风险防范措施和应急预案纳入环保投资和建设项目竣工环境保护验收内容，具体见下表。</w:t>
      </w:r>
    </w:p>
    <w:p w14:paraId="7C39E8AD">
      <w:pPr>
        <w:pStyle w:val="15"/>
        <w:ind w:left="-105" w:right="-105" w:firstLine="482"/>
        <w:rPr>
          <w:rFonts w:eastAsia="宋体"/>
          <w:color w:val="auto"/>
          <w:sz w:val="24"/>
          <w:szCs w:val="18"/>
          <w:highlight w:val="none"/>
        </w:rPr>
      </w:pPr>
      <w:r>
        <w:rPr>
          <w:rFonts w:eastAsia="宋体"/>
          <w:color w:val="auto"/>
          <w:sz w:val="24"/>
          <w:szCs w:val="18"/>
          <w:highlight w:val="none"/>
        </w:rPr>
        <w:t>表</w:t>
      </w:r>
      <w:r>
        <w:rPr>
          <w:rFonts w:eastAsia="宋体"/>
          <w:color w:val="auto"/>
          <w:sz w:val="24"/>
          <w:szCs w:val="18"/>
          <w:highlight w:val="none"/>
        </w:rPr>
        <w:fldChar w:fldCharType="begin"/>
      </w:r>
      <w:r>
        <w:rPr>
          <w:rFonts w:eastAsia="宋体"/>
          <w:color w:val="auto"/>
          <w:sz w:val="24"/>
          <w:szCs w:val="18"/>
          <w:highlight w:val="none"/>
        </w:rPr>
        <w:instrText xml:space="preserve"> STYLEREF 2 \s </w:instrText>
      </w:r>
      <w:r>
        <w:rPr>
          <w:rFonts w:eastAsia="宋体"/>
          <w:color w:val="auto"/>
          <w:sz w:val="24"/>
          <w:szCs w:val="18"/>
          <w:highlight w:val="none"/>
        </w:rPr>
        <w:fldChar w:fldCharType="separate"/>
      </w:r>
      <w:r>
        <w:rPr>
          <w:rFonts w:eastAsia="宋体"/>
          <w:color w:val="auto"/>
          <w:sz w:val="24"/>
          <w:szCs w:val="18"/>
          <w:highlight w:val="none"/>
        </w:rPr>
        <w:t>7.6</w:t>
      </w:r>
      <w:r>
        <w:rPr>
          <w:rFonts w:eastAsia="宋体"/>
          <w:color w:val="auto"/>
          <w:sz w:val="24"/>
          <w:szCs w:val="18"/>
          <w:highlight w:val="none"/>
        </w:rPr>
        <w:fldChar w:fldCharType="end"/>
      </w:r>
      <w:r>
        <w:rPr>
          <w:rFonts w:eastAsia="宋体"/>
          <w:color w:val="auto"/>
          <w:sz w:val="24"/>
          <w:szCs w:val="18"/>
          <w:highlight w:val="none"/>
        </w:rPr>
        <w:noBreakHyphen/>
      </w:r>
      <w:r>
        <w:rPr>
          <w:rFonts w:eastAsia="宋体"/>
          <w:color w:val="auto"/>
          <w:sz w:val="24"/>
          <w:szCs w:val="18"/>
          <w:highlight w:val="none"/>
        </w:rPr>
        <w:fldChar w:fldCharType="begin"/>
      </w:r>
      <w:r>
        <w:rPr>
          <w:rFonts w:eastAsia="宋体"/>
          <w:color w:val="auto"/>
          <w:sz w:val="24"/>
          <w:szCs w:val="18"/>
          <w:highlight w:val="none"/>
        </w:rPr>
        <w:instrText xml:space="preserve"> SEQ 表 \* ARABIC \s 2 </w:instrText>
      </w:r>
      <w:r>
        <w:rPr>
          <w:rFonts w:eastAsia="宋体"/>
          <w:color w:val="auto"/>
          <w:sz w:val="24"/>
          <w:szCs w:val="18"/>
          <w:highlight w:val="none"/>
        </w:rPr>
        <w:fldChar w:fldCharType="separate"/>
      </w:r>
      <w:r>
        <w:rPr>
          <w:rFonts w:eastAsia="宋体"/>
          <w:color w:val="auto"/>
          <w:sz w:val="24"/>
          <w:szCs w:val="18"/>
          <w:highlight w:val="none"/>
        </w:rPr>
        <w:t>4</w:t>
      </w:r>
      <w:r>
        <w:rPr>
          <w:rFonts w:eastAsia="宋体"/>
          <w:color w:val="auto"/>
          <w:sz w:val="24"/>
          <w:szCs w:val="18"/>
          <w:highlight w:val="none"/>
        </w:rPr>
        <w:fldChar w:fldCharType="end"/>
      </w:r>
      <w:r>
        <w:rPr>
          <w:rFonts w:eastAsia="宋体"/>
          <w:color w:val="auto"/>
          <w:sz w:val="24"/>
          <w:szCs w:val="18"/>
          <w:highlight w:val="none"/>
        </w:rPr>
        <w:t>环境风险防范措施和应急预案“三同时”检查表</w:t>
      </w:r>
    </w:p>
    <w:tbl>
      <w:tblPr>
        <w:tblStyle w:val="45"/>
        <w:tblW w:w="8504" w:type="dxa"/>
        <w:tblInd w:w="108"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791"/>
        <w:gridCol w:w="1850"/>
        <w:gridCol w:w="3300"/>
        <w:gridCol w:w="1563"/>
      </w:tblGrid>
      <w:tr w14:paraId="75E9963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blHeader/>
        </w:trPr>
        <w:tc>
          <w:tcPr>
            <w:tcW w:w="1791" w:type="dxa"/>
            <w:vAlign w:val="center"/>
          </w:tcPr>
          <w:p w14:paraId="2FBCDB46">
            <w:pPr>
              <w:pStyle w:val="21"/>
              <w:keepNext w:val="0"/>
              <w:keepLines w:val="0"/>
              <w:pageBreakBefore w:val="0"/>
              <w:widowControl w:val="0"/>
              <w:kinsoku/>
              <w:wordWrap/>
              <w:overflowPunct/>
              <w:topLinePunct w:val="0"/>
              <w:autoSpaceDE/>
              <w:autoSpaceDN/>
              <w:bidi w:val="0"/>
              <w:adjustRightInd/>
              <w:snapToGrid/>
              <w:ind w:left="0" w:right="0" w:firstLine="0"/>
              <w:jc w:val="center"/>
              <w:textAlignment w:val="auto"/>
              <w:rPr>
                <w:rFonts w:eastAsia="宋体"/>
                <w:b/>
                <w:color w:val="auto"/>
                <w:sz w:val="21"/>
                <w:szCs w:val="16"/>
                <w:highlight w:val="none"/>
              </w:rPr>
            </w:pPr>
            <w:r>
              <w:rPr>
                <w:rFonts w:eastAsia="宋体"/>
                <w:b/>
                <w:color w:val="auto"/>
                <w:sz w:val="21"/>
                <w:szCs w:val="16"/>
                <w:highlight w:val="none"/>
              </w:rPr>
              <w:t>类别</w:t>
            </w:r>
          </w:p>
        </w:tc>
        <w:tc>
          <w:tcPr>
            <w:tcW w:w="1850" w:type="dxa"/>
            <w:vAlign w:val="center"/>
          </w:tcPr>
          <w:p w14:paraId="18146740">
            <w:pPr>
              <w:pStyle w:val="21"/>
              <w:keepNext w:val="0"/>
              <w:keepLines w:val="0"/>
              <w:pageBreakBefore w:val="0"/>
              <w:widowControl w:val="0"/>
              <w:kinsoku/>
              <w:wordWrap/>
              <w:overflowPunct/>
              <w:topLinePunct w:val="0"/>
              <w:autoSpaceDE/>
              <w:autoSpaceDN/>
              <w:bidi w:val="0"/>
              <w:adjustRightInd/>
              <w:snapToGrid/>
              <w:ind w:left="0" w:right="0" w:firstLine="0"/>
              <w:jc w:val="center"/>
              <w:textAlignment w:val="auto"/>
              <w:rPr>
                <w:rFonts w:eastAsia="宋体"/>
                <w:b/>
                <w:color w:val="auto"/>
                <w:sz w:val="21"/>
                <w:szCs w:val="16"/>
                <w:highlight w:val="none"/>
              </w:rPr>
            </w:pPr>
            <w:r>
              <w:rPr>
                <w:rFonts w:eastAsia="宋体"/>
                <w:b/>
                <w:color w:val="auto"/>
                <w:sz w:val="21"/>
                <w:szCs w:val="16"/>
                <w:highlight w:val="none"/>
              </w:rPr>
              <w:t>措施名称</w:t>
            </w:r>
          </w:p>
        </w:tc>
        <w:tc>
          <w:tcPr>
            <w:tcW w:w="3300" w:type="dxa"/>
            <w:vAlign w:val="center"/>
          </w:tcPr>
          <w:p w14:paraId="1E5FB008">
            <w:pPr>
              <w:pStyle w:val="21"/>
              <w:keepNext w:val="0"/>
              <w:keepLines w:val="0"/>
              <w:pageBreakBefore w:val="0"/>
              <w:widowControl w:val="0"/>
              <w:kinsoku/>
              <w:wordWrap/>
              <w:overflowPunct/>
              <w:topLinePunct w:val="0"/>
              <w:autoSpaceDE/>
              <w:autoSpaceDN/>
              <w:bidi w:val="0"/>
              <w:adjustRightInd/>
              <w:snapToGrid/>
              <w:ind w:left="0" w:right="0" w:firstLine="0"/>
              <w:jc w:val="center"/>
              <w:textAlignment w:val="auto"/>
              <w:rPr>
                <w:rFonts w:eastAsia="宋体"/>
                <w:b/>
                <w:color w:val="auto"/>
                <w:sz w:val="21"/>
                <w:szCs w:val="16"/>
                <w:highlight w:val="none"/>
              </w:rPr>
            </w:pPr>
            <w:r>
              <w:rPr>
                <w:rFonts w:eastAsia="宋体"/>
                <w:b/>
                <w:color w:val="auto"/>
                <w:sz w:val="21"/>
                <w:szCs w:val="16"/>
                <w:highlight w:val="none"/>
              </w:rPr>
              <w:t>措施内容</w:t>
            </w:r>
          </w:p>
        </w:tc>
        <w:tc>
          <w:tcPr>
            <w:tcW w:w="1563" w:type="dxa"/>
            <w:vAlign w:val="center"/>
          </w:tcPr>
          <w:p w14:paraId="372AFCF3">
            <w:pPr>
              <w:pStyle w:val="21"/>
              <w:keepNext w:val="0"/>
              <w:keepLines w:val="0"/>
              <w:pageBreakBefore w:val="0"/>
              <w:widowControl w:val="0"/>
              <w:kinsoku/>
              <w:wordWrap/>
              <w:overflowPunct/>
              <w:topLinePunct w:val="0"/>
              <w:autoSpaceDE/>
              <w:autoSpaceDN/>
              <w:bidi w:val="0"/>
              <w:adjustRightInd/>
              <w:snapToGrid/>
              <w:ind w:left="0" w:right="0" w:firstLine="0"/>
              <w:jc w:val="center"/>
              <w:textAlignment w:val="auto"/>
              <w:rPr>
                <w:rFonts w:eastAsia="宋体"/>
                <w:b/>
                <w:color w:val="auto"/>
                <w:sz w:val="21"/>
                <w:szCs w:val="16"/>
                <w:highlight w:val="none"/>
              </w:rPr>
            </w:pPr>
            <w:r>
              <w:rPr>
                <w:rFonts w:eastAsia="宋体"/>
                <w:b/>
                <w:color w:val="auto"/>
                <w:sz w:val="21"/>
                <w:szCs w:val="16"/>
                <w:highlight w:val="none"/>
              </w:rPr>
              <w:t>完成时间</w:t>
            </w:r>
          </w:p>
        </w:tc>
      </w:tr>
      <w:tr w14:paraId="168533C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791" w:type="dxa"/>
            <w:vAlign w:val="center"/>
          </w:tcPr>
          <w:p w14:paraId="111ABFE2">
            <w:pPr>
              <w:pStyle w:val="21"/>
              <w:keepNext w:val="0"/>
              <w:keepLines w:val="0"/>
              <w:pageBreakBefore w:val="0"/>
              <w:widowControl w:val="0"/>
              <w:kinsoku/>
              <w:wordWrap/>
              <w:overflowPunct/>
              <w:topLinePunct w:val="0"/>
              <w:autoSpaceDE/>
              <w:autoSpaceDN/>
              <w:bidi w:val="0"/>
              <w:adjustRightInd/>
              <w:snapToGrid/>
              <w:ind w:left="0" w:right="0" w:firstLine="0"/>
              <w:jc w:val="center"/>
              <w:textAlignment w:val="auto"/>
              <w:rPr>
                <w:rFonts w:eastAsia="宋体"/>
                <w:bCs/>
                <w:color w:val="auto"/>
                <w:sz w:val="21"/>
                <w:szCs w:val="16"/>
                <w:highlight w:val="none"/>
              </w:rPr>
            </w:pPr>
            <w:r>
              <w:rPr>
                <w:rFonts w:eastAsia="宋体"/>
                <w:bCs/>
                <w:color w:val="auto"/>
                <w:sz w:val="21"/>
                <w:szCs w:val="16"/>
                <w:highlight w:val="none"/>
              </w:rPr>
              <w:t>环境风险</w:t>
            </w:r>
          </w:p>
          <w:p w14:paraId="76A943A7">
            <w:pPr>
              <w:pStyle w:val="21"/>
              <w:keepNext w:val="0"/>
              <w:keepLines w:val="0"/>
              <w:pageBreakBefore w:val="0"/>
              <w:widowControl w:val="0"/>
              <w:kinsoku/>
              <w:wordWrap/>
              <w:overflowPunct/>
              <w:topLinePunct w:val="0"/>
              <w:autoSpaceDE/>
              <w:autoSpaceDN/>
              <w:bidi w:val="0"/>
              <w:adjustRightInd/>
              <w:snapToGrid/>
              <w:ind w:left="0" w:right="0" w:firstLine="0"/>
              <w:jc w:val="center"/>
              <w:textAlignment w:val="auto"/>
              <w:rPr>
                <w:rFonts w:eastAsia="宋体"/>
                <w:bCs/>
                <w:color w:val="auto"/>
                <w:sz w:val="21"/>
                <w:szCs w:val="16"/>
                <w:highlight w:val="none"/>
              </w:rPr>
            </w:pPr>
            <w:r>
              <w:rPr>
                <w:rFonts w:eastAsia="宋体"/>
                <w:bCs/>
                <w:color w:val="auto"/>
                <w:sz w:val="21"/>
                <w:szCs w:val="16"/>
                <w:highlight w:val="none"/>
              </w:rPr>
              <w:t>防范措施</w:t>
            </w:r>
          </w:p>
        </w:tc>
        <w:tc>
          <w:tcPr>
            <w:tcW w:w="1850" w:type="dxa"/>
            <w:vAlign w:val="center"/>
          </w:tcPr>
          <w:p w14:paraId="299A7B23">
            <w:pPr>
              <w:pStyle w:val="21"/>
              <w:keepNext w:val="0"/>
              <w:keepLines w:val="0"/>
              <w:pageBreakBefore w:val="0"/>
              <w:widowControl w:val="0"/>
              <w:kinsoku/>
              <w:wordWrap/>
              <w:overflowPunct/>
              <w:topLinePunct w:val="0"/>
              <w:autoSpaceDE/>
              <w:autoSpaceDN/>
              <w:bidi w:val="0"/>
              <w:adjustRightInd/>
              <w:snapToGrid/>
              <w:ind w:left="0" w:right="0" w:firstLine="0"/>
              <w:jc w:val="center"/>
              <w:textAlignment w:val="auto"/>
              <w:rPr>
                <w:rFonts w:eastAsia="宋体"/>
                <w:bCs/>
                <w:color w:val="auto"/>
                <w:sz w:val="21"/>
                <w:szCs w:val="16"/>
                <w:highlight w:val="none"/>
              </w:rPr>
            </w:pPr>
            <w:r>
              <w:rPr>
                <w:rFonts w:eastAsia="宋体"/>
                <w:bCs/>
                <w:color w:val="auto"/>
                <w:sz w:val="21"/>
                <w:szCs w:val="16"/>
                <w:highlight w:val="none"/>
              </w:rPr>
              <w:t>泄漏、火灾和爆炸具体措施主要见前文</w:t>
            </w:r>
            <w:r>
              <w:rPr>
                <w:rFonts w:hint="eastAsia" w:eastAsia="宋体"/>
                <w:bCs/>
                <w:color w:val="auto"/>
                <w:sz w:val="21"/>
                <w:szCs w:val="16"/>
                <w:highlight w:val="none"/>
              </w:rPr>
              <w:t>7.6</w:t>
            </w:r>
            <w:r>
              <w:rPr>
                <w:rFonts w:eastAsia="宋体"/>
                <w:bCs/>
                <w:color w:val="auto"/>
                <w:sz w:val="21"/>
                <w:szCs w:val="16"/>
                <w:highlight w:val="none"/>
              </w:rPr>
              <w:t>章</w:t>
            </w:r>
          </w:p>
        </w:tc>
        <w:tc>
          <w:tcPr>
            <w:tcW w:w="3300" w:type="dxa"/>
            <w:vAlign w:val="center"/>
          </w:tcPr>
          <w:p w14:paraId="16E59768">
            <w:pPr>
              <w:pStyle w:val="21"/>
              <w:keepNext w:val="0"/>
              <w:keepLines w:val="0"/>
              <w:pageBreakBefore w:val="0"/>
              <w:widowControl w:val="0"/>
              <w:kinsoku/>
              <w:wordWrap/>
              <w:overflowPunct/>
              <w:topLinePunct w:val="0"/>
              <w:autoSpaceDE/>
              <w:autoSpaceDN/>
              <w:bidi w:val="0"/>
              <w:adjustRightInd/>
              <w:snapToGrid/>
              <w:ind w:left="0" w:right="0" w:firstLine="0"/>
              <w:jc w:val="center"/>
              <w:textAlignment w:val="auto"/>
              <w:rPr>
                <w:rFonts w:eastAsia="宋体"/>
                <w:bCs/>
                <w:color w:val="auto"/>
                <w:sz w:val="21"/>
                <w:szCs w:val="16"/>
                <w:highlight w:val="none"/>
              </w:rPr>
            </w:pPr>
            <w:r>
              <w:rPr>
                <w:rFonts w:eastAsia="宋体"/>
                <w:bCs/>
                <w:color w:val="auto"/>
                <w:sz w:val="21"/>
                <w:szCs w:val="16"/>
                <w:highlight w:val="none"/>
              </w:rPr>
              <w:t>全厂按</w:t>
            </w:r>
            <w:r>
              <w:rPr>
                <w:rFonts w:hint="eastAsia" w:eastAsia="宋体"/>
                <w:bCs/>
                <w:color w:val="auto"/>
                <w:sz w:val="21"/>
                <w:szCs w:val="16"/>
                <w:highlight w:val="none"/>
              </w:rPr>
              <w:t>《建筑防火通用规范》</w:t>
            </w:r>
            <w:r>
              <w:rPr>
                <w:rFonts w:hint="eastAsia" w:eastAsia="宋体"/>
                <w:bCs/>
                <w:color w:val="auto"/>
                <w:sz w:val="21"/>
                <w:szCs w:val="16"/>
                <w:highlight w:val="none"/>
                <w:lang w:eastAsia="zh-CN"/>
              </w:rPr>
              <w:t>（</w:t>
            </w:r>
            <w:r>
              <w:rPr>
                <w:rFonts w:hint="eastAsia" w:eastAsia="宋体"/>
                <w:bCs/>
                <w:color w:val="auto"/>
                <w:sz w:val="21"/>
                <w:szCs w:val="16"/>
                <w:highlight w:val="none"/>
              </w:rPr>
              <w:t>GB 55037-2022</w:t>
            </w:r>
            <w:r>
              <w:rPr>
                <w:rFonts w:hint="eastAsia" w:eastAsia="宋体"/>
                <w:bCs/>
                <w:color w:val="auto"/>
                <w:sz w:val="21"/>
                <w:szCs w:val="16"/>
                <w:highlight w:val="none"/>
                <w:lang w:eastAsia="zh-CN"/>
              </w:rPr>
              <w:t>）</w:t>
            </w:r>
            <w:r>
              <w:rPr>
                <w:rFonts w:eastAsia="宋体"/>
                <w:bCs/>
                <w:color w:val="auto"/>
                <w:sz w:val="21"/>
                <w:szCs w:val="16"/>
                <w:highlight w:val="none"/>
              </w:rPr>
              <w:t>的要求设置。设置电气、供水、工艺风险防范措施，设置消防及火灾报警系统；</w:t>
            </w:r>
            <w:r>
              <w:rPr>
                <w:rFonts w:hint="eastAsia" w:eastAsia="宋体"/>
                <w:bCs/>
                <w:color w:val="auto"/>
                <w:sz w:val="21"/>
                <w:szCs w:val="16"/>
                <w:highlight w:val="none"/>
                <w:lang w:eastAsia="zh-CN"/>
              </w:rPr>
              <w:t>危险品仓库</w:t>
            </w:r>
            <w:r>
              <w:rPr>
                <w:rFonts w:hint="eastAsia" w:eastAsia="宋体"/>
                <w:bCs/>
                <w:color w:val="auto"/>
                <w:sz w:val="21"/>
                <w:szCs w:val="16"/>
                <w:highlight w:val="none"/>
              </w:rPr>
              <w:t>、成品库、废液储罐区、</w:t>
            </w:r>
            <w:r>
              <w:rPr>
                <w:rFonts w:eastAsia="宋体"/>
                <w:bCs/>
                <w:color w:val="auto"/>
                <w:sz w:val="21"/>
                <w:szCs w:val="16"/>
                <w:highlight w:val="none"/>
              </w:rPr>
              <w:t>危废仓库按要求设置防泄漏、防腐防渗措施，设置监控和报警系统等；按要求设置切断阀、应急池等各类应急物资和环境风险防范措施。</w:t>
            </w:r>
          </w:p>
        </w:tc>
        <w:tc>
          <w:tcPr>
            <w:tcW w:w="1563" w:type="dxa"/>
            <w:vAlign w:val="center"/>
          </w:tcPr>
          <w:p w14:paraId="2A4E6CB3">
            <w:pPr>
              <w:pStyle w:val="21"/>
              <w:keepNext w:val="0"/>
              <w:keepLines w:val="0"/>
              <w:pageBreakBefore w:val="0"/>
              <w:widowControl w:val="0"/>
              <w:kinsoku/>
              <w:wordWrap/>
              <w:overflowPunct/>
              <w:topLinePunct w:val="0"/>
              <w:autoSpaceDE/>
              <w:autoSpaceDN/>
              <w:bidi w:val="0"/>
              <w:adjustRightInd/>
              <w:snapToGrid/>
              <w:ind w:left="0" w:right="0" w:firstLine="0"/>
              <w:jc w:val="center"/>
              <w:textAlignment w:val="auto"/>
              <w:rPr>
                <w:rFonts w:eastAsia="宋体"/>
                <w:bCs/>
                <w:color w:val="auto"/>
                <w:sz w:val="21"/>
                <w:szCs w:val="16"/>
                <w:highlight w:val="none"/>
              </w:rPr>
            </w:pPr>
            <w:r>
              <w:rPr>
                <w:rFonts w:eastAsia="宋体"/>
                <w:bCs/>
                <w:color w:val="auto"/>
                <w:sz w:val="21"/>
                <w:szCs w:val="16"/>
                <w:highlight w:val="none"/>
              </w:rPr>
              <w:t>试生产前</w:t>
            </w:r>
          </w:p>
        </w:tc>
      </w:tr>
      <w:tr w14:paraId="3E6A611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641" w:type="dxa"/>
            <w:gridSpan w:val="2"/>
            <w:vAlign w:val="center"/>
          </w:tcPr>
          <w:p w14:paraId="14031781">
            <w:pPr>
              <w:pStyle w:val="21"/>
              <w:keepNext w:val="0"/>
              <w:keepLines w:val="0"/>
              <w:pageBreakBefore w:val="0"/>
              <w:widowControl w:val="0"/>
              <w:kinsoku/>
              <w:wordWrap/>
              <w:overflowPunct/>
              <w:topLinePunct w:val="0"/>
              <w:autoSpaceDE/>
              <w:autoSpaceDN/>
              <w:bidi w:val="0"/>
              <w:adjustRightInd/>
              <w:snapToGrid/>
              <w:ind w:left="0" w:right="0" w:firstLine="0"/>
              <w:jc w:val="center"/>
              <w:textAlignment w:val="auto"/>
              <w:rPr>
                <w:rFonts w:eastAsia="宋体"/>
                <w:bCs/>
                <w:color w:val="auto"/>
                <w:sz w:val="21"/>
                <w:szCs w:val="16"/>
                <w:highlight w:val="none"/>
              </w:rPr>
            </w:pPr>
            <w:r>
              <w:rPr>
                <w:rFonts w:eastAsia="宋体"/>
                <w:bCs/>
                <w:color w:val="auto"/>
                <w:sz w:val="21"/>
                <w:szCs w:val="16"/>
                <w:highlight w:val="none"/>
              </w:rPr>
              <w:t>突发环境事件应急预案</w:t>
            </w:r>
          </w:p>
        </w:tc>
        <w:tc>
          <w:tcPr>
            <w:tcW w:w="3300" w:type="dxa"/>
            <w:vAlign w:val="center"/>
          </w:tcPr>
          <w:p w14:paraId="31B743F5">
            <w:pPr>
              <w:pStyle w:val="21"/>
              <w:keepNext w:val="0"/>
              <w:keepLines w:val="0"/>
              <w:pageBreakBefore w:val="0"/>
              <w:widowControl w:val="0"/>
              <w:kinsoku/>
              <w:wordWrap/>
              <w:overflowPunct/>
              <w:topLinePunct w:val="0"/>
              <w:autoSpaceDE/>
              <w:autoSpaceDN/>
              <w:bidi w:val="0"/>
              <w:adjustRightInd/>
              <w:snapToGrid/>
              <w:ind w:left="0" w:right="0" w:firstLine="0"/>
              <w:jc w:val="center"/>
              <w:textAlignment w:val="auto"/>
              <w:rPr>
                <w:rFonts w:eastAsia="宋体"/>
                <w:bCs/>
                <w:color w:val="auto"/>
                <w:sz w:val="21"/>
                <w:szCs w:val="16"/>
                <w:highlight w:val="none"/>
              </w:rPr>
            </w:pPr>
            <w:r>
              <w:rPr>
                <w:rFonts w:eastAsia="宋体"/>
                <w:bCs/>
                <w:color w:val="auto"/>
                <w:sz w:val="21"/>
                <w:szCs w:val="16"/>
                <w:highlight w:val="none"/>
              </w:rPr>
              <w:t>按要求编制突发环境事件应急预案并完成备案</w:t>
            </w:r>
          </w:p>
        </w:tc>
        <w:tc>
          <w:tcPr>
            <w:tcW w:w="1563" w:type="dxa"/>
            <w:vAlign w:val="center"/>
          </w:tcPr>
          <w:p w14:paraId="386379C5">
            <w:pPr>
              <w:pStyle w:val="21"/>
              <w:keepNext w:val="0"/>
              <w:keepLines w:val="0"/>
              <w:pageBreakBefore w:val="0"/>
              <w:widowControl w:val="0"/>
              <w:kinsoku/>
              <w:wordWrap/>
              <w:overflowPunct/>
              <w:topLinePunct w:val="0"/>
              <w:autoSpaceDE/>
              <w:autoSpaceDN/>
              <w:bidi w:val="0"/>
              <w:adjustRightInd/>
              <w:snapToGrid/>
              <w:ind w:left="0" w:right="0" w:firstLine="0"/>
              <w:jc w:val="center"/>
              <w:textAlignment w:val="auto"/>
              <w:rPr>
                <w:rFonts w:eastAsia="宋体"/>
                <w:bCs/>
                <w:color w:val="auto"/>
                <w:sz w:val="21"/>
                <w:szCs w:val="16"/>
                <w:highlight w:val="none"/>
              </w:rPr>
            </w:pPr>
            <w:r>
              <w:rPr>
                <w:rFonts w:eastAsia="宋体"/>
                <w:bCs/>
                <w:color w:val="auto"/>
                <w:sz w:val="21"/>
                <w:szCs w:val="16"/>
                <w:highlight w:val="none"/>
              </w:rPr>
              <w:t>试生产前</w:t>
            </w:r>
          </w:p>
        </w:tc>
      </w:tr>
      <w:bookmarkEnd w:id="501"/>
    </w:tbl>
    <w:p w14:paraId="7E149116">
      <w:pPr>
        <w:pStyle w:val="5"/>
        <w:keepLines w:val="0"/>
        <w:numPr>
          <w:ilvl w:val="0"/>
          <w:numId w:val="0"/>
        </w:numPr>
        <w:tabs>
          <w:tab w:val="left" w:pos="141"/>
          <w:tab w:val="left" w:pos="567"/>
          <w:tab w:val="left" w:pos="709"/>
        </w:tabs>
        <w:spacing w:before="120" w:beforeLines="50" w:after="120" w:afterLines="50" w:line="360" w:lineRule="auto"/>
        <w:ind w:right="-105"/>
        <w:rPr>
          <w:rFonts w:eastAsia="宋体"/>
          <w:color w:val="auto"/>
          <w:sz w:val="28"/>
          <w:szCs w:val="28"/>
          <w:highlight w:val="none"/>
        </w:rPr>
      </w:pPr>
      <w:r>
        <w:rPr>
          <w:rFonts w:hint="eastAsia" w:eastAsia="宋体"/>
          <w:color w:val="auto"/>
          <w:sz w:val="28"/>
          <w:szCs w:val="28"/>
          <w:highlight w:val="none"/>
        </w:rPr>
        <w:t>7.6.12</w:t>
      </w:r>
      <w:r>
        <w:rPr>
          <w:rFonts w:eastAsia="宋体"/>
          <w:color w:val="auto"/>
          <w:sz w:val="28"/>
          <w:szCs w:val="28"/>
          <w:highlight w:val="none"/>
        </w:rPr>
        <w:t>风险应急监测</w:t>
      </w:r>
    </w:p>
    <w:p w14:paraId="28157349">
      <w:pPr>
        <w:pStyle w:val="15"/>
        <w:ind w:left="-105" w:right="-105" w:firstLine="482"/>
        <w:rPr>
          <w:rFonts w:eastAsia="宋体"/>
          <w:b w:val="0"/>
          <w:bCs/>
          <w:color w:val="auto"/>
          <w:sz w:val="24"/>
          <w:highlight w:val="none"/>
        </w:rPr>
      </w:pPr>
      <w:r>
        <w:rPr>
          <w:rFonts w:eastAsia="宋体"/>
          <w:color w:val="auto"/>
          <w:sz w:val="24"/>
          <w:szCs w:val="18"/>
          <w:highlight w:val="none"/>
        </w:rPr>
        <w:t>表</w:t>
      </w:r>
      <w:r>
        <w:rPr>
          <w:rFonts w:eastAsia="宋体"/>
          <w:color w:val="auto"/>
          <w:sz w:val="24"/>
          <w:szCs w:val="18"/>
          <w:highlight w:val="none"/>
        </w:rPr>
        <w:fldChar w:fldCharType="begin"/>
      </w:r>
      <w:r>
        <w:rPr>
          <w:rFonts w:eastAsia="宋体"/>
          <w:color w:val="auto"/>
          <w:sz w:val="24"/>
          <w:szCs w:val="18"/>
          <w:highlight w:val="none"/>
        </w:rPr>
        <w:instrText xml:space="preserve"> STYLEREF 2 \s </w:instrText>
      </w:r>
      <w:r>
        <w:rPr>
          <w:rFonts w:eastAsia="宋体"/>
          <w:color w:val="auto"/>
          <w:sz w:val="24"/>
          <w:szCs w:val="18"/>
          <w:highlight w:val="none"/>
        </w:rPr>
        <w:fldChar w:fldCharType="separate"/>
      </w:r>
      <w:r>
        <w:rPr>
          <w:rFonts w:eastAsia="宋体"/>
          <w:color w:val="auto"/>
          <w:sz w:val="24"/>
          <w:szCs w:val="18"/>
          <w:highlight w:val="none"/>
        </w:rPr>
        <w:t>7.6</w:t>
      </w:r>
      <w:r>
        <w:rPr>
          <w:rFonts w:eastAsia="宋体"/>
          <w:color w:val="auto"/>
          <w:sz w:val="24"/>
          <w:szCs w:val="18"/>
          <w:highlight w:val="none"/>
        </w:rPr>
        <w:fldChar w:fldCharType="end"/>
      </w:r>
      <w:r>
        <w:rPr>
          <w:rFonts w:eastAsia="宋体"/>
          <w:color w:val="auto"/>
          <w:sz w:val="24"/>
          <w:szCs w:val="18"/>
          <w:highlight w:val="none"/>
        </w:rPr>
        <w:noBreakHyphen/>
      </w:r>
      <w:r>
        <w:rPr>
          <w:rFonts w:eastAsia="宋体"/>
          <w:color w:val="auto"/>
          <w:sz w:val="24"/>
          <w:szCs w:val="18"/>
          <w:highlight w:val="none"/>
        </w:rPr>
        <w:fldChar w:fldCharType="begin"/>
      </w:r>
      <w:r>
        <w:rPr>
          <w:rFonts w:eastAsia="宋体"/>
          <w:color w:val="auto"/>
          <w:sz w:val="24"/>
          <w:szCs w:val="18"/>
          <w:highlight w:val="none"/>
        </w:rPr>
        <w:instrText xml:space="preserve"> SEQ 表 \* ARABIC \s 2 </w:instrText>
      </w:r>
      <w:r>
        <w:rPr>
          <w:rFonts w:eastAsia="宋体"/>
          <w:color w:val="auto"/>
          <w:sz w:val="24"/>
          <w:szCs w:val="18"/>
          <w:highlight w:val="none"/>
        </w:rPr>
        <w:fldChar w:fldCharType="separate"/>
      </w:r>
      <w:r>
        <w:rPr>
          <w:rFonts w:eastAsia="宋体"/>
          <w:color w:val="auto"/>
          <w:sz w:val="24"/>
          <w:szCs w:val="18"/>
          <w:highlight w:val="none"/>
        </w:rPr>
        <w:t>5</w:t>
      </w:r>
      <w:r>
        <w:rPr>
          <w:rFonts w:eastAsia="宋体"/>
          <w:color w:val="auto"/>
          <w:sz w:val="24"/>
          <w:szCs w:val="18"/>
          <w:highlight w:val="none"/>
        </w:rPr>
        <w:fldChar w:fldCharType="end"/>
      </w:r>
      <w:r>
        <w:rPr>
          <w:rFonts w:eastAsia="宋体"/>
          <w:bCs/>
          <w:color w:val="auto"/>
          <w:sz w:val="24"/>
          <w:highlight w:val="none"/>
        </w:rPr>
        <w:t>应急监测点位、因子、频次</w:t>
      </w:r>
    </w:p>
    <w:tbl>
      <w:tblPr>
        <w:tblStyle w:val="45"/>
        <w:tblW w:w="5000" w:type="pct"/>
        <w:tblInd w:w="0" w:type="dxa"/>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
      <w:tblGrid>
        <w:gridCol w:w="1288"/>
        <w:gridCol w:w="2921"/>
        <w:gridCol w:w="2030"/>
        <w:gridCol w:w="2480"/>
      </w:tblGrid>
      <w:tr w14:paraId="656654B3">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blHeader/>
        </w:trPr>
        <w:tc>
          <w:tcPr>
            <w:tcW w:w="739" w:type="pct"/>
            <w:tcBorders>
              <w:top w:val="single" w:color="000000" w:sz="12" w:space="0"/>
            </w:tcBorders>
            <w:vAlign w:val="center"/>
          </w:tcPr>
          <w:p w14:paraId="7244B8B7">
            <w:pPr>
              <w:keepNext w:val="0"/>
              <w:keepLines w:val="0"/>
              <w:pageBreakBefore w:val="0"/>
              <w:widowControl/>
              <w:shd w:val="clear" w:color="auto" w:fill="FFFFFF"/>
              <w:kinsoku/>
              <w:wordWrap/>
              <w:overflowPunct/>
              <w:topLinePunct w:val="0"/>
              <w:autoSpaceDE/>
              <w:autoSpaceDN/>
              <w:bidi w:val="0"/>
              <w:adjustRightInd/>
              <w:snapToGrid/>
              <w:ind w:left="0" w:right="0"/>
              <w:jc w:val="center"/>
              <w:textAlignment w:val="auto"/>
              <w:rPr>
                <w:rFonts w:ascii="Times New Roman" w:hAnsi="Times New Roman" w:cs="Times New Roman"/>
                <w:b/>
                <w:color w:val="auto"/>
                <w:sz w:val="21"/>
                <w:szCs w:val="21"/>
                <w:highlight w:val="none"/>
              </w:rPr>
            </w:pPr>
            <w:r>
              <w:rPr>
                <w:rFonts w:ascii="Times New Roman" w:hAnsi="Times New Roman" w:cs="Times New Roman"/>
                <w:b/>
                <w:color w:val="auto"/>
                <w:sz w:val="21"/>
                <w:szCs w:val="21"/>
                <w:highlight w:val="none"/>
              </w:rPr>
              <w:t>事故类型</w:t>
            </w:r>
          </w:p>
        </w:tc>
        <w:tc>
          <w:tcPr>
            <w:tcW w:w="1675" w:type="pct"/>
            <w:tcBorders>
              <w:top w:val="single" w:color="000000" w:sz="12" w:space="0"/>
            </w:tcBorders>
            <w:vAlign w:val="center"/>
          </w:tcPr>
          <w:p w14:paraId="3EFE867D">
            <w:pPr>
              <w:keepNext w:val="0"/>
              <w:keepLines w:val="0"/>
              <w:pageBreakBefore w:val="0"/>
              <w:widowControl/>
              <w:shd w:val="clear" w:color="auto" w:fill="FFFFFF"/>
              <w:kinsoku/>
              <w:wordWrap/>
              <w:overflowPunct/>
              <w:topLinePunct w:val="0"/>
              <w:autoSpaceDE/>
              <w:autoSpaceDN/>
              <w:bidi w:val="0"/>
              <w:adjustRightInd/>
              <w:snapToGrid/>
              <w:ind w:left="0" w:right="0"/>
              <w:jc w:val="center"/>
              <w:textAlignment w:val="auto"/>
              <w:rPr>
                <w:rFonts w:ascii="Times New Roman" w:hAnsi="Times New Roman" w:cs="Times New Roman"/>
                <w:b/>
                <w:snapToGrid w:val="0"/>
                <w:color w:val="auto"/>
                <w:sz w:val="21"/>
                <w:szCs w:val="21"/>
                <w:highlight w:val="none"/>
              </w:rPr>
            </w:pPr>
            <w:r>
              <w:rPr>
                <w:rFonts w:ascii="Times New Roman" w:hAnsi="Times New Roman" w:cs="Times New Roman"/>
                <w:b/>
                <w:snapToGrid w:val="0"/>
                <w:color w:val="auto"/>
                <w:sz w:val="21"/>
                <w:szCs w:val="21"/>
                <w:highlight w:val="none"/>
              </w:rPr>
              <w:t>监测点位</w:t>
            </w:r>
          </w:p>
        </w:tc>
        <w:tc>
          <w:tcPr>
            <w:tcW w:w="1164" w:type="pct"/>
            <w:tcBorders>
              <w:top w:val="single" w:color="000000" w:sz="12" w:space="0"/>
            </w:tcBorders>
            <w:vAlign w:val="center"/>
          </w:tcPr>
          <w:p w14:paraId="50CEA98A">
            <w:pPr>
              <w:keepNext w:val="0"/>
              <w:keepLines w:val="0"/>
              <w:pageBreakBefore w:val="0"/>
              <w:widowControl/>
              <w:shd w:val="clear" w:color="auto" w:fill="FFFFFF"/>
              <w:kinsoku/>
              <w:wordWrap/>
              <w:overflowPunct/>
              <w:topLinePunct w:val="0"/>
              <w:autoSpaceDE/>
              <w:autoSpaceDN/>
              <w:bidi w:val="0"/>
              <w:adjustRightInd/>
              <w:snapToGrid/>
              <w:ind w:left="0" w:right="0"/>
              <w:jc w:val="center"/>
              <w:textAlignment w:val="auto"/>
              <w:rPr>
                <w:rFonts w:ascii="Times New Roman" w:hAnsi="Times New Roman" w:cs="Times New Roman"/>
                <w:b/>
                <w:snapToGrid w:val="0"/>
                <w:color w:val="auto"/>
                <w:sz w:val="21"/>
                <w:szCs w:val="21"/>
                <w:highlight w:val="none"/>
              </w:rPr>
            </w:pPr>
            <w:r>
              <w:rPr>
                <w:rFonts w:ascii="Times New Roman" w:hAnsi="Times New Roman" w:cs="Times New Roman"/>
                <w:b/>
                <w:snapToGrid w:val="0"/>
                <w:color w:val="auto"/>
                <w:sz w:val="21"/>
                <w:szCs w:val="21"/>
                <w:highlight w:val="none"/>
              </w:rPr>
              <w:t>监测因子</w:t>
            </w:r>
          </w:p>
        </w:tc>
        <w:tc>
          <w:tcPr>
            <w:tcW w:w="1422" w:type="pct"/>
            <w:tcBorders>
              <w:top w:val="single" w:color="000000" w:sz="12" w:space="0"/>
            </w:tcBorders>
            <w:vAlign w:val="center"/>
          </w:tcPr>
          <w:p w14:paraId="0D821441">
            <w:pPr>
              <w:keepNext w:val="0"/>
              <w:keepLines w:val="0"/>
              <w:pageBreakBefore w:val="0"/>
              <w:widowControl/>
              <w:shd w:val="clear" w:color="auto" w:fill="FFFFFF"/>
              <w:kinsoku/>
              <w:wordWrap/>
              <w:overflowPunct/>
              <w:topLinePunct w:val="0"/>
              <w:autoSpaceDE/>
              <w:autoSpaceDN/>
              <w:bidi w:val="0"/>
              <w:adjustRightInd/>
              <w:snapToGrid/>
              <w:ind w:left="0" w:right="0"/>
              <w:jc w:val="center"/>
              <w:textAlignment w:val="auto"/>
              <w:rPr>
                <w:rFonts w:ascii="Times New Roman" w:hAnsi="Times New Roman" w:cs="Times New Roman"/>
                <w:b/>
                <w:snapToGrid w:val="0"/>
                <w:color w:val="auto"/>
                <w:sz w:val="21"/>
                <w:szCs w:val="21"/>
                <w:highlight w:val="none"/>
              </w:rPr>
            </w:pPr>
            <w:r>
              <w:rPr>
                <w:rFonts w:ascii="Times New Roman" w:hAnsi="Times New Roman" w:cs="Times New Roman"/>
                <w:b/>
                <w:color w:val="auto"/>
                <w:sz w:val="21"/>
                <w:szCs w:val="21"/>
                <w:highlight w:val="none"/>
              </w:rPr>
              <w:t>应急监测频次</w:t>
            </w:r>
          </w:p>
        </w:tc>
      </w:tr>
      <w:tr w14:paraId="121C1AA5">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c>
          <w:tcPr>
            <w:tcW w:w="739" w:type="pct"/>
            <w:vMerge w:val="restart"/>
            <w:vAlign w:val="center"/>
          </w:tcPr>
          <w:p w14:paraId="517C933C">
            <w:pPr>
              <w:keepNext w:val="0"/>
              <w:keepLines w:val="0"/>
              <w:pageBreakBefore w:val="0"/>
              <w:widowControl/>
              <w:shd w:val="clear" w:color="auto" w:fill="FFFFFF"/>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环境空气</w:t>
            </w:r>
          </w:p>
          <w:p w14:paraId="6FB5C528">
            <w:pPr>
              <w:keepNext w:val="0"/>
              <w:keepLines w:val="0"/>
              <w:pageBreakBefore w:val="0"/>
              <w:widowControl/>
              <w:shd w:val="clear" w:color="auto" w:fill="FFFFFF"/>
              <w:kinsoku/>
              <w:wordWrap/>
              <w:overflowPunct/>
              <w:topLinePunct w:val="0"/>
              <w:autoSpaceDE/>
              <w:autoSpaceDN/>
              <w:bidi w:val="0"/>
              <w:adjustRightInd/>
              <w:snapToGrid/>
              <w:ind w:left="0" w:right="0"/>
              <w:jc w:val="center"/>
              <w:textAlignment w:val="auto"/>
              <w:rPr>
                <w:rFonts w:ascii="Times New Roman" w:hAnsi="Times New Roman" w:cs="Times New Roman"/>
                <w:snapToGrid w:val="0"/>
                <w:color w:val="auto"/>
                <w:sz w:val="21"/>
                <w:szCs w:val="21"/>
                <w:highlight w:val="none"/>
              </w:rPr>
            </w:pPr>
            <w:r>
              <w:rPr>
                <w:rFonts w:ascii="Times New Roman" w:hAnsi="Times New Roman" w:cs="Times New Roman"/>
                <w:color w:val="auto"/>
                <w:sz w:val="21"/>
                <w:szCs w:val="21"/>
                <w:highlight w:val="none"/>
              </w:rPr>
              <w:t>污染事故</w:t>
            </w:r>
          </w:p>
        </w:tc>
        <w:tc>
          <w:tcPr>
            <w:tcW w:w="1675" w:type="pct"/>
            <w:vAlign w:val="center"/>
          </w:tcPr>
          <w:p w14:paraId="60E43D86">
            <w:pPr>
              <w:keepNext w:val="0"/>
              <w:keepLines w:val="0"/>
              <w:pageBreakBefore w:val="0"/>
              <w:widowControl/>
              <w:shd w:val="clear" w:color="auto" w:fill="FFFFFF"/>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事故发生地</w:t>
            </w:r>
          </w:p>
        </w:tc>
        <w:tc>
          <w:tcPr>
            <w:tcW w:w="1164" w:type="pct"/>
            <w:vMerge w:val="restart"/>
            <w:vAlign w:val="center"/>
          </w:tcPr>
          <w:p w14:paraId="1FB5E9F3">
            <w:pPr>
              <w:keepNext w:val="0"/>
              <w:keepLines w:val="0"/>
              <w:pageBreakBefore w:val="0"/>
              <w:widowControl/>
              <w:shd w:val="clear" w:color="auto" w:fill="FFFFFF"/>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根据事故选取监测因子，如非甲烷总烃</w:t>
            </w:r>
            <w:r>
              <w:rPr>
                <w:rFonts w:hint="eastAsia" w:ascii="Times New Roman" w:hAnsi="Times New Roman" w:cs="Times New Roman"/>
                <w:color w:val="auto"/>
                <w:sz w:val="21"/>
                <w:szCs w:val="21"/>
                <w:highlight w:val="none"/>
              </w:rPr>
              <w:t>（含甲醇）、</w:t>
            </w:r>
            <w:r>
              <w:rPr>
                <w:rFonts w:ascii="Times New Roman" w:hAnsi="Times New Roman" w:cs="Times New Roman"/>
                <w:color w:val="auto"/>
                <w:sz w:val="21"/>
                <w:szCs w:val="21"/>
                <w:highlight w:val="none"/>
              </w:rPr>
              <w:t>一氧化碳等</w:t>
            </w:r>
          </w:p>
        </w:tc>
        <w:tc>
          <w:tcPr>
            <w:tcW w:w="1422" w:type="pct"/>
            <w:vAlign w:val="center"/>
          </w:tcPr>
          <w:p w14:paraId="127DAC00">
            <w:pPr>
              <w:keepNext w:val="0"/>
              <w:keepLines w:val="0"/>
              <w:pageBreakBefore w:val="0"/>
              <w:widowControl/>
              <w:shd w:val="clear" w:color="auto" w:fill="FFFFFF"/>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初始加密（6次/天）监测，随着污染物浓度的下降逐渐降低频次</w:t>
            </w:r>
          </w:p>
        </w:tc>
      </w:tr>
      <w:tr w14:paraId="297B3D3C">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c>
          <w:tcPr>
            <w:tcW w:w="739" w:type="pct"/>
            <w:vMerge w:val="continue"/>
            <w:vAlign w:val="center"/>
          </w:tcPr>
          <w:p w14:paraId="01FC1FA5">
            <w:pPr>
              <w:keepNext w:val="0"/>
              <w:keepLines w:val="0"/>
              <w:pageBreakBefore w:val="0"/>
              <w:widowControl/>
              <w:shd w:val="clear" w:color="auto" w:fill="FFFFFF"/>
              <w:kinsoku/>
              <w:wordWrap/>
              <w:overflowPunct/>
              <w:topLinePunct w:val="0"/>
              <w:autoSpaceDE/>
              <w:autoSpaceDN/>
              <w:bidi w:val="0"/>
              <w:adjustRightInd/>
              <w:snapToGrid/>
              <w:ind w:left="0" w:right="0"/>
              <w:jc w:val="center"/>
              <w:textAlignment w:val="auto"/>
              <w:rPr>
                <w:rFonts w:ascii="Times New Roman" w:hAnsi="Times New Roman" w:cs="Times New Roman"/>
                <w:snapToGrid w:val="0"/>
                <w:color w:val="auto"/>
                <w:sz w:val="21"/>
                <w:szCs w:val="21"/>
                <w:highlight w:val="none"/>
              </w:rPr>
            </w:pPr>
          </w:p>
        </w:tc>
        <w:tc>
          <w:tcPr>
            <w:tcW w:w="1675" w:type="pct"/>
            <w:vAlign w:val="center"/>
          </w:tcPr>
          <w:p w14:paraId="402F5A34">
            <w:pPr>
              <w:keepNext w:val="0"/>
              <w:keepLines w:val="0"/>
              <w:pageBreakBefore w:val="0"/>
              <w:widowControl/>
              <w:shd w:val="clear" w:color="auto" w:fill="FFFFFF"/>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事故发生地下风向</w:t>
            </w:r>
          </w:p>
        </w:tc>
        <w:tc>
          <w:tcPr>
            <w:tcW w:w="1164" w:type="pct"/>
            <w:vMerge w:val="continue"/>
            <w:vAlign w:val="center"/>
          </w:tcPr>
          <w:p w14:paraId="05A7C36F">
            <w:pPr>
              <w:keepNext w:val="0"/>
              <w:keepLines w:val="0"/>
              <w:pageBreakBefore w:val="0"/>
              <w:widowControl/>
              <w:shd w:val="clear" w:color="auto" w:fill="FFFFFF"/>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21"/>
                <w:highlight w:val="none"/>
              </w:rPr>
            </w:pPr>
          </w:p>
        </w:tc>
        <w:tc>
          <w:tcPr>
            <w:tcW w:w="1422" w:type="pct"/>
            <w:vAlign w:val="center"/>
          </w:tcPr>
          <w:p w14:paraId="0AED72E6">
            <w:pPr>
              <w:keepNext w:val="0"/>
              <w:keepLines w:val="0"/>
              <w:pageBreakBefore w:val="0"/>
              <w:widowControl/>
              <w:shd w:val="clear" w:color="auto" w:fill="FFFFFF"/>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4次/天或与事故发生地同频次（应急期间）</w:t>
            </w:r>
          </w:p>
        </w:tc>
      </w:tr>
      <w:tr w14:paraId="1850887D">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c>
          <w:tcPr>
            <w:tcW w:w="739" w:type="pct"/>
            <w:vMerge w:val="continue"/>
            <w:vAlign w:val="center"/>
          </w:tcPr>
          <w:p w14:paraId="7885F7A3">
            <w:pPr>
              <w:keepNext w:val="0"/>
              <w:keepLines w:val="0"/>
              <w:pageBreakBefore w:val="0"/>
              <w:widowControl/>
              <w:shd w:val="clear" w:color="auto" w:fill="FFFFFF"/>
              <w:kinsoku/>
              <w:wordWrap/>
              <w:overflowPunct/>
              <w:topLinePunct w:val="0"/>
              <w:autoSpaceDE/>
              <w:autoSpaceDN/>
              <w:bidi w:val="0"/>
              <w:adjustRightInd/>
              <w:snapToGrid/>
              <w:ind w:left="0" w:right="0"/>
              <w:jc w:val="center"/>
              <w:textAlignment w:val="auto"/>
              <w:rPr>
                <w:rFonts w:ascii="Times New Roman" w:hAnsi="Times New Roman" w:cs="Times New Roman"/>
                <w:snapToGrid w:val="0"/>
                <w:color w:val="auto"/>
                <w:sz w:val="21"/>
                <w:szCs w:val="21"/>
                <w:highlight w:val="none"/>
              </w:rPr>
            </w:pPr>
          </w:p>
        </w:tc>
        <w:tc>
          <w:tcPr>
            <w:tcW w:w="1675" w:type="pct"/>
            <w:vAlign w:val="center"/>
          </w:tcPr>
          <w:p w14:paraId="658855FF">
            <w:pPr>
              <w:keepNext w:val="0"/>
              <w:keepLines w:val="0"/>
              <w:pageBreakBefore w:val="0"/>
              <w:widowControl/>
              <w:shd w:val="clear" w:color="auto" w:fill="FFFFFF"/>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事故发生地上风向对照点</w:t>
            </w:r>
          </w:p>
        </w:tc>
        <w:tc>
          <w:tcPr>
            <w:tcW w:w="1164" w:type="pct"/>
            <w:vMerge w:val="continue"/>
            <w:vAlign w:val="center"/>
          </w:tcPr>
          <w:p w14:paraId="1A1DD0E9">
            <w:pPr>
              <w:keepNext w:val="0"/>
              <w:keepLines w:val="0"/>
              <w:pageBreakBefore w:val="0"/>
              <w:widowControl/>
              <w:shd w:val="clear" w:color="auto" w:fill="FFFFFF"/>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21"/>
                <w:highlight w:val="none"/>
              </w:rPr>
            </w:pPr>
          </w:p>
        </w:tc>
        <w:tc>
          <w:tcPr>
            <w:tcW w:w="1422" w:type="pct"/>
            <w:vAlign w:val="center"/>
          </w:tcPr>
          <w:p w14:paraId="4FADAFE4">
            <w:pPr>
              <w:keepNext w:val="0"/>
              <w:keepLines w:val="0"/>
              <w:pageBreakBefore w:val="0"/>
              <w:widowControl/>
              <w:shd w:val="clear" w:color="auto" w:fill="FFFFFF"/>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3次/天（应急期间）</w:t>
            </w:r>
          </w:p>
        </w:tc>
      </w:tr>
      <w:tr w14:paraId="0ED9134D">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c>
          <w:tcPr>
            <w:tcW w:w="739" w:type="pct"/>
            <w:vMerge w:val="restart"/>
            <w:tcBorders>
              <w:top w:val="single" w:color="auto" w:sz="4" w:space="0"/>
            </w:tcBorders>
            <w:vAlign w:val="center"/>
          </w:tcPr>
          <w:p w14:paraId="77AFBDB8">
            <w:pPr>
              <w:keepNext w:val="0"/>
              <w:keepLines w:val="0"/>
              <w:pageBreakBefore w:val="0"/>
              <w:widowControl/>
              <w:shd w:val="clear" w:color="auto" w:fill="FFFFFF"/>
              <w:kinsoku/>
              <w:wordWrap/>
              <w:overflowPunct/>
              <w:topLinePunct w:val="0"/>
              <w:autoSpaceDE/>
              <w:autoSpaceDN/>
              <w:bidi w:val="0"/>
              <w:adjustRightInd/>
              <w:snapToGrid/>
              <w:ind w:left="0" w:right="0"/>
              <w:jc w:val="center"/>
              <w:textAlignment w:val="auto"/>
              <w:rPr>
                <w:rFonts w:ascii="Times New Roman" w:hAnsi="Times New Roman" w:cs="Times New Roman"/>
                <w:snapToGrid w:val="0"/>
                <w:color w:val="auto"/>
                <w:sz w:val="21"/>
                <w:szCs w:val="21"/>
                <w:highlight w:val="none"/>
              </w:rPr>
            </w:pPr>
            <w:r>
              <w:rPr>
                <w:rFonts w:ascii="Times New Roman" w:hAnsi="Times New Roman" w:cs="Times New Roman"/>
                <w:color w:val="auto"/>
                <w:sz w:val="21"/>
                <w:szCs w:val="21"/>
                <w:highlight w:val="none"/>
              </w:rPr>
              <w:t>地表水环境污染事故</w:t>
            </w:r>
          </w:p>
        </w:tc>
        <w:tc>
          <w:tcPr>
            <w:tcW w:w="1675" w:type="pct"/>
            <w:tcBorders>
              <w:top w:val="single" w:color="auto" w:sz="4" w:space="0"/>
            </w:tcBorders>
            <w:vAlign w:val="center"/>
          </w:tcPr>
          <w:p w14:paraId="03D4CE4C">
            <w:pPr>
              <w:keepNext w:val="0"/>
              <w:keepLines w:val="0"/>
              <w:pageBreakBefore w:val="0"/>
              <w:widowControl/>
              <w:shd w:val="clear" w:color="auto" w:fill="FFFFFF"/>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事故发生地</w:t>
            </w:r>
          </w:p>
        </w:tc>
        <w:tc>
          <w:tcPr>
            <w:tcW w:w="1164" w:type="pct"/>
            <w:vMerge w:val="restart"/>
            <w:tcBorders>
              <w:top w:val="single" w:color="auto" w:sz="4" w:space="0"/>
            </w:tcBorders>
            <w:vAlign w:val="center"/>
          </w:tcPr>
          <w:p w14:paraId="165426DF">
            <w:pPr>
              <w:keepNext w:val="0"/>
              <w:keepLines w:val="0"/>
              <w:pageBreakBefore w:val="0"/>
              <w:widowControl/>
              <w:shd w:val="clear" w:color="auto" w:fill="FFFFFF"/>
              <w:kinsoku/>
              <w:wordWrap/>
              <w:overflowPunct/>
              <w:topLinePunct w:val="0"/>
              <w:autoSpaceDE/>
              <w:autoSpaceDN/>
              <w:bidi w:val="0"/>
              <w:adjustRightInd/>
              <w:snapToGrid/>
              <w:ind w:left="0" w:right="0"/>
              <w:jc w:val="center"/>
              <w:textAlignment w:val="auto"/>
              <w:rPr>
                <w:rFonts w:ascii="Times New Roman" w:hAnsi="Times New Roman" w:cs="Times New Roman"/>
                <w:snapToGrid w:val="0"/>
                <w:color w:val="auto"/>
                <w:sz w:val="21"/>
                <w:szCs w:val="21"/>
                <w:highlight w:val="none"/>
              </w:rPr>
            </w:pPr>
            <w:r>
              <w:rPr>
                <w:rFonts w:ascii="Times New Roman" w:hAnsi="Times New Roman" w:cs="Times New Roman"/>
                <w:color w:val="auto"/>
                <w:sz w:val="21"/>
                <w:szCs w:val="21"/>
                <w:highlight w:val="none"/>
              </w:rPr>
              <w:t>根据事故选取监测因子，如pH、COD、BOD、氨氮、总氮、总磷、石油类等</w:t>
            </w:r>
          </w:p>
        </w:tc>
        <w:tc>
          <w:tcPr>
            <w:tcW w:w="1422" w:type="pct"/>
            <w:tcBorders>
              <w:top w:val="single" w:color="auto" w:sz="4" w:space="0"/>
            </w:tcBorders>
            <w:vAlign w:val="center"/>
          </w:tcPr>
          <w:p w14:paraId="65494652">
            <w:pPr>
              <w:keepNext w:val="0"/>
              <w:keepLines w:val="0"/>
              <w:pageBreakBefore w:val="0"/>
              <w:widowControl/>
              <w:shd w:val="clear" w:color="auto" w:fill="FFFFFF"/>
              <w:kinsoku/>
              <w:wordWrap/>
              <w:overflowPunct/>
              <w:topLinePunct w:val="0"/>
              <w:autoSpaceDE/>
              <w:autoSpaceDN/>
              <w:bidi w:val="0"/>
              <w:adjustRightInd/>
              <w:snapToGrid/>
              <w:ind w:left="0" w:right="0"/>
              <w:jc w:val="center"/>
              <w:textAlignment w:val="auto"/>
              <w:rPr>
                <w:rFonts w:ascii="Times New Roman" w:hAnsi="Times New Roman" w:cs="Times New Roman"/>
                <w:snapToGrid w:val="0"/>
                <w:color w:val="auto"/>
                <w:sz w:val="21"/>
                <w:szCs w:val="21"/>
                <w:highlight w:val="none"/>
              </w:rPr>
            </w:pPr>
            <w:r>
              <w:rPr>
                <w:rFonts w:ascii="Times New Roman" w:hAnsi="Times New Roman" w:cs="Times New Roman"/>
                <w:color w:val="auto"/>
                <w:sz w:val="21"/>
                <w:szCs w:val="21"/>
                <w:highlight w:val="none"/>
              </w:rPr>
              <w:t>初始加密（4次/天）监测，随着污染物浓度的下降逐渐降低频次</w:t>
            </w:r>
          </w:p>
        </w:tc>
      </w:tr>
      <w:tr w14:paraId="295D20CF">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c>
          <w:tcPr>
            <w:tcW w:w="739" w:type="pct"/>
            <w:vMerge w:val="continue"/>
            <w:vAlign w:val="center"/>
          </w:tcPr>
          <w:p w14:paraId="564E0946">
            <w:pPr>
              <w:keepNext w:val="0"/>
              <w:keepLines w:val="0"/>
              <w:pageBreakBefore w:val="0"/>
              <w:widowControl/>
              <w:shd w:val="clear" w:color="auto" w:fill="FFFFFF"/>
              <w:kinsoku/>
              <w:wordWrap/>
              <w:overflowPunct/>
              <w:topLinePunct w:val="0"/>
              <w:autoSpaceDE/>
              <w:autoSpaceDN/>
              <w:bidi w:val="0"/>
              <w:adjustRightInd/>
              <w:snapToGrid/>
              <w:ind w:left="0" w:right="0"/>
              <w:jc w:val="center"/>
              <w:textAlignment w:val="auto"/>
              <w:rPr>
                <w:rFonts w:ascii="Times New Roman" w:hAnsi="Times New Roman" w:cs="Times New Roman"/>
                <w:snapToGrid w:val="0"/>
                <w:color w:val="auto"/>
                <w:sz w:val="21"/>
                <w:szCs w:val="21"/>
                <w:highlight w:val="none"/>
              </w:rPr>
            </w:pPr>
          </w:p>
        </w:tc>
        <w:tc>
          <w:tcPr>
            <w:tcW w:w="1675" w:type="pct"/>
            <w:vAlign w:val="center"/>
          </w:tcPr>
          <w:p w14:paraId="4CE652FD">
            <w:pPr>
              <w:keepNext w:val="0"/>
              <w:keepLines w:val="0"/>
              <w:pageBreakBefore w:val="0"/>
              <w:widowControl/>
              <w:shd w:val="clear" w:color="auto" w:fill="FFFFFF"/>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雨水管道监控池</w:t>
            </w:r>
          </w:p>
        </w:tc>
        <w:tc>
          <w:tcPr>
            <w:tcW w:w="1164" w:type="pct"/>
            <w:vMerge w:val="continue"/>
            <w:vAlign w:val="center"/>
          </w:tcPr>
          <w:p w14:paraId="56C22465">
            <w:pPr>
              <w:keepNext w:val="0"/>
              <w:keepLines w:val="0"/>
              <w:pageBreakBefore w:val="0"/>
              <w:widowControl/>
              <w:shd w:val="clear" w:color="auto" w:fill="FFFFFF"/>
              <w:kinsoku/>
              <w:wordWrap/>
              <w:overflowPunct/>
              <w:topLinePunct w:val="0"/>
              <w:autoSpaceDE/>
              <w:autoSpaceDN/>
              <w:bidi w:val="0"/>
              <w:adjustRightInd/>
              <w:snapToGrid/>
              <w:ind w:left="0" w:right="0"/>
              <w:jc w:val="center"/>
              <w:textAlignment w:val="auto"/>
              <w:rPr>
                <w:rFonts w:ascii="Times New Roman" w:hAnsi="Times New Roman" w:cs="Times New Roman"/>
                <w:snapToGrid w:val="0"/>
                <w:color w:val="auto"/>
                <w:sz w:val="21"/>
                <w:szCs w:val="21"/>
                <w:highlight w:val="none"/>
              </w:rPr>
            </w:pPr>
          </w:p>
        </w:tc>
        <w:tc>
          <w:tcPr>
            <w:tcW w:w="1422" w:type="pct"/>
            <w:vAlign w:val="center"/>
          </w:tcPr>
          <w:p w14:paraId="7ECF4140">
            <w:pPr>
              <w:keepNext w:val="0"/>
              <w:keepLines w:val="0"/>
              <w:pageBreakBefore w:val="0"/>
              <w:widowControl/>
              <w:shd w:val="clear" w:color="auto" w:fill="FFFFFF"/>
              <w:kinsoku/>
              <w:wordWrap/>
              <w:overflowPunct/>
              <w:topLinePunct w:val="0"/>
              <w:autoSpaceDE/>
              <w:autoSpaceDN/>
              <w:bidi w:val="0"/>
              <w:adjustRightInd/>
              <w:snapToGrid/>
              <w:ind w:left="0" w:right="0"/>
              <w:jc w:val="center"/>
              <w:textAlignment w:val="auto"/>
              <w:rPr>
                <w:rFonts w:ascii="Times New Roman" w:hAnsi="Times New Roman" w:cs="Times New Roman"/>
                <w:snapToGrid w:val="0"/>
                <w:color w:val="auto"/>
                <w:sz w:val="21"/>
                <w:szCs w:val="21"/>
                <w:highlight w:val="none"/>
              </w:rPr>
            </w:pPr>
            <w:r>
              <w:rPr>
                <w:rFonts w:ascii="Times New Roman" w:hAnsi="Times New Roman" w:cs="Times New Roman"/>
                <w:color w:val="auto"/>
                <w:sz w:val="21"/>
                <w:szCs w:val="21"/>
                <w:highlight w:val="none"/>
              </w:rPr>
              <w:t>2~4次/天</w:t>
            </w:r>
          </w:p>
        </w:tc>
      </w:tr>
      <w:tr w14:paraId="0B1BFC8E">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c>
          <w:tcPr>
            <w:tcW w:w="739" w:type="pct"/>
            <w:vMerge w:val="continue"/>
            <w:vAlign w:val="center"/>
          </w:tcPr>
          <w:p w14:paraId="1EA93975">
            <w:pPr>
              <w:keepNext w:val="0"/>
              <w:keepLines w:val="0"/>
              <w:pageBreakBefore w:val="0"/>
              <w:widowControl/>
              <w:shd w:val="clear" w:color="auto" w:fill="FFFFFF"/>
              <w:kinsoku/>
              <w:wordWrap/>
              <w:overflowPunct/>
              <w:topLinePunct w:val="0"/>
              <w:autoSpaceDE/>
              <w:autoSpaceDN/>
              <w:bidi w:val="0"/>
              <w:adjustRightInd/>
              <w:snapToGrid/>
              <w:ind w:left="0" w:right="0"/>
              <w:jc w:val="center"/>
              <w:textAlignment w:val="auto"/>
              <w:rPr>
                <w:rFonts w:ascii="Times New Roman" w:hAnsi="Times New Roman" w:cs="Times New Roman"/>
                <w:snapToGrid w:val="0"/>
                <w:color w:val="auto"/>
                <w:sz w:val="21"/>
                <w:szCs w:val="21"/>
                <w:highlight w:val="none"/>
              </w:rPr>
            </w:pPr>
          </w:p>
        </w:tc>
        <w:tc>
          <w:tcPr>
            <w:tcW w:w="1675" w:type="pct"/>
            <w:vAlign w:val="center"/>
          </w:tcPr>
          <w:p w14:paraId="55E66827">
            <w:pPr>
              <w:keepNext w:val="0"/>
              <w:keepLines w:val="0"/>
              <w:pageBreakBefore w:val="0"/>
              <w:widowControl/>
              <w:shd w:val="clear" w:color="auto" w:fill="FFFFFF"/>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污水管道监控池</w:t>
            </w:r>
          </w:p>
        </w:tc>
        <w:tc>
          <w:tcPr>
            <w:tcW w:w="1164" w:type="pct"/>
            <w:vMerge w:val="continue"/>
            <w:vAlign w:val="center"/>
          </w:tcPr>
          <w:p w14:paraId="239C4C09">
            <w:pPr>
              <w:keepNext w:val="0"/>
              <w:keepLines w:val="0"/>
              <w:pageBreakBefore w:val="0"/>
              <w:widowControl/>
              <w:shd w:val="clear" w:color="auto" w:fill="FFFFFF"/>
              <w:kinsoku/>
              <w:wordWrap/>
              <w:overflowPunct/>
              <w:topLinePunct w:val="0"/>
              <w:autoSpaceDE/>
              <w:autoSpaceDN/>
              <w:bidi w:val="0"/>
              <w:adjustRightInd/>
              <w:snapToGrid/>
              <w:ind w:left="0" w:right="0"/>
              <w:jc w:val="center"/>
              <w:textAlignment w:val="auto"/>
              <w:rPr>
                <w:rFonts w:ascii="Times New Roman" w:hAnsi="Times New Roman" w:cs="Times New Roman"/>
                <w:snapToGrid w:val="0"/>
                <w:color w:val="auto"/>
                <w:sz w:val="21"/>
                <w:szCs w:val="21"/>
                <w:highlight w:val="none"/>
              </w:rPr>
            </w:pPr>
          </w:p>
        </w:tc>
        <w:tc>
          <w:tcPr>
            <w:tcW w:w="1422" w:type="pct"/>
            <w:vAlign w:val="center"/>
          </w:tcPr>
          <w:p w14:paraId="6F434506">
            <w:pPr>
              <w:keepNext w:val="0"/>
              <w:keepLines w:val="0"/>
              <w:pageBreakBefore w:val="0"/>
              <w:widowControl/>
              <w:shd w:val="clear" w:color="auto" w:fill="FFFFFF"/>
              <w:kinsoku/>
              <w:wordWrap/>
              <w:overflowPunct/>
              <w:topLinePunct w:val="0"/>
              <w:autoSpaceDE/>
              <w:autoSpaceDN/>
              <w:bidi w:val="0"/>
              <w:adjustRightInd/>
              <w:snapToGrid/>
              <w:ind w:left="0" w:right="0"/>
              <w:jc w:val="center"/>
              <w:textAlignment w:val="auto"/>
              <w:rPr>
                <w:rFonts w:ascii="Times New Roman" w:hAnsi="Times New Roman" w:cs="Times New Roman"/>
                <w:snapToGrid w:val="0"/>
                <w:color w:val="auto"/>
                <w:sz w:val="21"/>
                <w:szCs w:val="21"/>
                <w:highlight w:val="none"/>
              </w:rPr>
            </w:pPr>
            <w:r>
              <w:rPr>
                <w:rFonts w:ascii="Times New Roman" w:hAnsi="Times New Roman" w:cs="Times New Roman"/>
                <w:snapToGrid w:val="0"/>
                <w:color w:val="auto"/>
                <w:sz w:val="21"/>
                <w:szCs w:val="21"/>
                <w:highlight w:val="none"/>
              </w:rPr>
              <w:t>2~4次/天</w:t>
            </w:r>
          </w:p>
        </w:tc>
      </w:tr>
      <w:tr w14:paraId="7D96B59D">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c>
          <w:tcPr>
            <w:tcW w:w="739" w:type="pct"/>
            <w:vMerge w:val="restart"/>
            <w:vAlign w:val="center"/>
          </w:tcPr>
          <w:p w14:paraId="4B369F61">
            <w:pPr>
              <w:keepNext w:val="0"/>
              <w:keepLines w:val="0"/>
              <w:pageBreakBefore w:val="0"/>
              <w:widowControl/>
              <w:shd w:val="clear" w:color="auto" w:fill="FFFFFF"/>
              <w:kinsoku/>
              <w:wordWrap/>
              <w:overflowPunct/>
              <w:topLinePunct w:val="0"/>
              <w:autoSpaceDE/>
              <w:autoSpaceDN/>
              <w:bidi w:val="0"/>
              <w:adjustRightInd/>
              <w:snapToGrid/>
              <w:ind w:left="0" w:right="0"/>
              <w:jc w:val="center"/>
              <w:textAlignment w:val="auto"/>
              <w:rPr>
                <w:rFonts w:ascii="Times New Roman" w:hAnsi="Times New Roman" w:cs="Times New Roman"/>
                <w:snapToGrid w:val="0"/>
                <w:color w:val="auto"/>
                <w:sz w:val="21"/>
                <w:szCs w:val="21"/>
                <w:highlight w:val="none"/>
              </w:rPr>
            </w:pPr>
            <w:r>
              <w:rPr>
                <w:rFonts w:ascii="Times New Roman" w:hAnsi="Times New Roman" w:cs="Times New Roman"/>
                <w:snapToGrid w:val="0"/>
                <w:color w:val="auto"/>
                <w:sz w:val="21"/>
                <w:szCs w:val="21"/>
                <w:highlight w:val="none"/>
              </w:rPr>
              <w:t>地下水环境污染事故</w:t>
            </w:r>
          </w:p>
        </w:tc>
        <w:tc>
          <w:tcPr>
            <w:tcW w:w="1675" w:type="pct"/>
            <w:vAlign w:val="center"/>
          </w:tcPr>
          <w:p w14:paraId="0DA8B8F0">
            <w:pPr>
              <w:keepNext w:val="0"/>
              <w:keepLines w:val="0"/>
              <w:pageBreakBefore w:val="0"/>
              <w:widowControl/>
              <w:shd w:val="clear" w:color="auto" w:fill="FFFFFF"/>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事故发生地周围水井</w:t>
            </w:r>
          </w:p>
        </w:tc>
        <w:tc>
          <w:tcPr>
            <w:tcW w:w="1164" w:type="pct"/>
            <w:vMerge w:val="restart"/>
            <w:vAlign w:val="center"/>
          </w:tcPr>
          <w:p w14:paraId="5F014D21">
            <w:pPr>
              <w:keepNext w:val="0"/>
              <w:keepLines w:val="0"/>
              <w:pageBreakBefore w:val="0"/>
              <w:widowControl/>
              <w:shd w:val="clear" w:color="auto" w:fill="FFFFFF"/>
              <w:kinsoku/>
              <w:wordWrap/>
              <w:overflowPunct/>
              <w:topLinePunct w:val="0"/>
              <w:autoSpaceDE/>
              <w:autoSpaceDN/>
              <w:bidi w:val="0"/>
              <w:adjustRightInd/>
              <w:snapToGrid/>
              <w:ind w:left="0" w:right="0"/>
              <w:jc w:val="center"/>
              <w:textAlignment w:val="auto"/>
              <w:rPr>
                <w:rFonts w:ascii="Times New Roman" w:hAnsi="Times New Roman" w:cs="Times New Roman"/>
                <w:snapToGrid w:val="0"/>
                <w:color w:val="auto"/>
                <w:sz w:val="21"/>
                <w:szCs w:val="21"/>
                <w:highlight w:val="none"/>
              </w:rPr>
            </w:pPr>
            <w:r>
              <w:rPr>
                <w:rFonts w:ascii="Times New Roman" w:hAnsi="Times New Roman" w:cs="Times New Roman"/>
                <w:color w:val="auto"/>
                <w:sz w:val="21"/>
                <w:szCs w:val="21"/>
                <w:highlight w:val="none"/>
              </w:rPr>
              <w:t>根据事故选取监测因子，如pH、耗氧量、氨氮、石油烃等</w:t>
            </w:r>
          </w:p>
        </w:tc>
        <w:tc>
          <w:tcPr>
            <w:tcW w:w="1422" w:type="pct"/>
            <w:vAlign w:val="center"/>
          </w:tcPr>
          <w:p w14:paraId="22144B57">
            <w:pPr>
              <w:keepNext w:val="0"/>
              <w:keepLines w:val="0"/>
              <w:pageBreakBefore w:val="0"/>
              <w:widowControl/>
              <w:shd w:val="clear" w:color="auto" w:fill="FFFFFF"/>
              <w:kinsoku/>
              <w:wordWrap/>
              <w:overflowPunct/>
              <w:topLinePunct w:val="0"/>
              <w:autoSpaceDE/>
              <w:autoSpaceDN/>
              <w:bidi w:val="0"/>
              <w:adjustRightInd/>
              <w:snapToGrid/>
              <w:ind w:left="0" w:right="0"/>
              <w:jc w:val="center"/>
              <w:textAlignment w:val="auto"/>
              <w:rPr>
                <w:rFonts w:ascii="Times New Roman" w:hAnsi="Times New Roman" w:cs="Times New Roman"/>
                <w:snapToGrid w:val="0"/>
                <w:color w:val="auto"/>
                <w:sz w:val="21"/>
                <w:szCs w:val="21"/>
                <w:highlight w:val="none"/>
              </w:rPr>
            </w:pPr>
            <w:r>
              <w:rPr>
                <w:rFonts w:ascii="Times New Roman" w:hAnsi="Times New Roman" w:cs="Times New Roman"/>
                <w:color w:val="auto"/>
                <w:sz w:val="21"/>
                <w:szCs w:val="21"/>
                <w:highlight w:val="none"/>
              </w:rPr>
              <w:t>初始1~2次/天，第三天后，1次/周直至应急结束</w:t>
            </w:r>
          </w:p>
        </w:tc>
      </w:tr>
      <w:tr w14:paraId="22C5A79F">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c>
          <w:tcPr>
            <w:tcW w:w="739" w:type="pct"/>
            <w:vMerge w:val="continue"/>
            <w:vAlign w:val="center"/>
          </w:tcPr>
          <w:p w14:paraId="5ADF8ABC">
            <w:pPr>
              <w:keepNext w:val="0"/>
              <w:keepLines w:val="0"/>
              <w:pageBreakBefore w:val="0"/>
              <w:widowControl/>
              <w:shd w:val="clear" w:color="auto" w:fill="FFFFFF"/>
              <w:kinsoku/>
              <w:wordWrap/>
              <w:overflowPunct/>
              <w:topLinePunct w:val="0"/>
              <w:autoSpaceDE/>
              <w:autoSpaceDN/>
              <w:bidi w:val="0"/>
              <w:adjustRightInd/>
              <w:snapToGrid/>
              <w:ind w:left="0" w:right="0"/>
              <w:jc w:val="center"/>
              <w:textAlignment w:val="auto"/>
              <w:rPr>
                <w:rFonts w:ascii="Times New Roman" w:hAnsi="Times New Roman" w:cs="Times New Roman"/>
                <w:snapToGrid w:val="0"/>
                <w:color w:val="auto"/>
                <w:sz w:val="21"/>
                <w:szCs w:val="21"/>
                <w:highlight w:val="none"/>
              </w:rPr>
            </w:pPr>
          </w:p>
        </w:tc>
        <w:tc>
          <w:tcPr>
            <w:tcW w:w="1675" w:type="pct"/>
            <w:vAlign w:val="center"/>
          </w:tcPr>
          <w:p w14:paraId="1483A88E">
            <w:pPr>
              <w:keepNext w:val="0"/>
              <w:keepLines w:val="0"/>
              <w:pageBreakBefore w:val="0"/>
              <w:widowControl/>
              <w:shd w:val="clear" w:color="auto" w:fill="FFFFFF"/>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事故发生地厂界处水井</w:t>
            </w:r>
          </w:p>
        </w:tc>
        <w:tc>
          <w:tcPr>
            <w:tcW w:w="1164" w:type="pct"/>
            <w:vMerge w:val="continue"/>
            <w:vAlign w:val="center"/>
          </w:tcPr>
          <w:p w14:paraId="4B1187DE">
            <w:pPr>
              <w:keepNext w:val="0"/>
              <w:keepLines w:val="0"/>
              <w:pageBreakBefore w:val="0"/>
              <w:widowControl/>
              <w:shd w:val="clear" w:color="auto" w:fill="FFFFFF"/>
              <w:kinsoku/>
              <w:wordWrap/>
              <w:overflowPunct/>
              <w:topLinePunct w:val="0"/>
              <w:autoSpaceDE/>
              <w:autoSpaceDN/>
              <w:bidi w:val="0"/>
              <w:adjustRightInd/>
              <w:snapToGrid/>
              <w:ind w:left="0" w:right="0"/>
              <w:jc w:val="center"/>
              <w:textAlignment w:val="auto"/>
              <w:rPr>
                <w:rFonts w:ascii="Times New Roman" w:hAnsi="Times New Roman" w:cs="Times New Roman"/>
                <w:snapToGrid w:val="0"/>
                <w:color w:val="auto"/>
                <w:sz w:val="21"/>
                <w:szCs w:val="21"/>
                <w:highlight w:val="none"/>
              </w:rPr>
            </w:pPr>
          </w:p>
        </w:tc>
        <w:tc>
          <w:tcPr>
            <w:tcW w:w="1422" w:type="pct"/>
            <w:vAlign w:val="center"/>
          </w:tcPr>
          <w:p w14:paraId="0FF7C214">
            <w:pPr>
              <w:keepNext w:val="0"/>
              <w:keepLines w:val="0"/>
              <w:pageBreakBefore w:val="0"/>
              <w:widowControl/>
              <w:shd w:val="clear" w:color="auto" w:fill="FFFFFF"/>
              <w:kinsoku/>
              <w:wordWrap/>
              <w:overflowPunct/>
              <w:topLinePunct w:val="0"/>
              <w:autoSpaceDE/>
              <w:autoSpaceDN/>
              <w:bidi w:val="0"/>
              <w:adjustRightInd/>
              <w:snapToGrid/>
              <w:ind w:left="0" w:right="0"/>
              <w:jc w:val="center"/>
              <w:textAlignment w:val="auto"/>
              <w:rPr>
                <w:rFonts w:ascii="Times New Roman" w:hAnsi="Times New Roman" w:cs="Times New Roman"/>
                <w:snapToGrid w:val="0"/>
                <w:color w:val="auto"/>
                <w:sz w:val="21"/>
                <w:szCs w:val="21"/>
                <w:highlight w:val="none"/>
              </w:rPr>
            </w:pPr>
            <w:r>
              <w:rPr>
                <w:rFonts w:ascii="Times New Roman" w:hAnsi="Times New Roman" w:cs="Times New Roman"/>
                <w:color w:val="auto"/>
                <w:sz w:val="21"/>
                <w:szCs w:val="21"/>
                <w:highlight w:val="none"/>
              </w:rPr>
              <w:t>1次/天，第三天后，1次/周直至应急结束</w:t>
            </w:r>
          </w:p>
        </w:tc>
      </w:tr>
      <w:tr w14:paraId="2A001524">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c>
          <w:tcPr>
            <w:tcW w:w="739" w:type="pct"/>
            <w:vMerge w:val="continue"/>
            <w:vAlign w:val="center"/>
          </w:tcPr>
          <w:p w14:paraId="57CE9622">
            <w:pPr>
              <w:keepNext w:val="0"/>
              <w:keepLines w:val="0"/>
              <w:pageBreakBefore w:val="0"/>
              <w:widowControl/>
              <w:shd w:val="clear" w:color="auto" w:fill="FFFFFF"/>
              <w:kinsoku/>
              <w:wordWrap/>
              <w:overflowPunct/>
              <w:topLinePunct w:val="0"/>
              <w:autoSpaceDE/>
              <w:autoSpaceDN/>
              <w:bidi w:val="0"/>
              <w:adjustRightInd/>
              <w:snapToGrid/>
              <w:ind w:left="0" w:right="0"/>
              <w:jc w:val="center"/>
              <w:textAlignment w:val="auto"/>
              <w:rPr>
                <w:rFonts w:ascii="Times New Roman" w:hAnsi="Times New Roman" w:cs="Times New Roman"/>
                <w:snapToGrid w:val="0"/>
                <w:color w:val="auto"/>
                <w:sz w:val="21"/>
                <w:szCs w:val="21"/>
                <w:highlight w:val="none"/>
              </w:rPr>
            </w:pPr>
          </w:p>
        </w:tc>
        <w:tc>
          <w:tcPr>
            <w:tcW w:w="1675" w:type="pct"/>
            <w:vAlign w:val="center"/>
          </w:tcPr>
          <w:p w14:paraId="0AC8C551">
            <w:pPr>
              <w:keepNext w:val="0"/>
              <w:keepLines w:val="0"/>
              <w:pageBreakBefore w:val="0"/>
              <w:widowControl/>
              <w:shd w:val="clear" w:color="auto" w:fill="FFFFFF"/>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事故发生地下游500m水井</w:t>
            </w:r>
          </w:p>
        </w:tc>
        <w:tc>
          <w:tcPr>
            <w:tcW w:w="1164" w:type="pct"/>
            <w:vMerge w:val="continue"/>
            <w:vAlign w:val="center"/>
          </w:tcPr>
          <w:p w14:paraId="29B7BBB6">
            <w:pPr>
              <w:keepNext w:val="0"/>
              <w:keepLines w:val="0"/>
              <w:pageBreakBefore w:val="0"/>
              <w:widowControl/>
              <w:shd w:val="clear" w:color="auto" w:fill="FFFFFF"/>
              <w:kinsoku/>
              <w:wordWrap/>
              <w:overflowPunct/>
              <w:topLinePunct w:val="0"/>
              <w:autoSpaceDE/>
              <w:autoSpaceDN/>
              <w:bidi w:val="0"/>
              <w:adjustRightInd/>
              <w:snapToGrid/>
              <w:ind w:left="0" w:right="0"/>
              <w:jc w:val="center"/>
              <w:textAlignment w:val="auto"/>
              <w:rPr>
                <w:rFonts w:ascii="Times New Roman" w:hAnsi="Times New Roman" w:cs="Times New Roman"/>
                <w:snapToGrid w:val="0"/>
                <w:color w:val="auto"/>
                <w:sz w:val="21"/>
                <w:szCs w:val="21"/>
                <w:highlight w:val="none"/>
              </w:rPr>
            </w:pPr>
          </w:p>
        </w:tc>
        <w:tc>
          <w:tcPr>
            <w:tcW w:w="1422" w:type="pct"/>
            <w:vAlign w:val="center"/>
          </w:tcPr>
          <w:p w14:paraId="76ED180C">
            <w:pPr>
              <w:keepNext w:val="0"/>
              <w:keepLines w:val="0"/>
              <w:pageBreakBefore w:val="0"/>
              <w:widowControl/>
              <w:shd w:val="clear" w:color="auto" w:fill="FFFFFF"/>
              <w:kinsoku/>
              <w:wordWrap/>
              <w:overflowPunct/>
              <w:topLinePunct w:val="0"/>
              <w:autoSpaceDE/>
              <w:autoSpaceDN/>
              <w:bidi w:val="0"/>
              <w:adjustRightInd/>
              <w:snapToGrid/>
              <w:ind w:left="0" w:right="0"/>
              <w:jc w:val="center"/>
              <w:textAlignment w:val="auto"/>
              <w:rPr>
                <w:rFonts w:ascii="Times New Roman" w:hAnsi="Times New Roman" w:cs="Times New Roman"/>
                <w:snapToGrid w:val="0"/>
                <w:color w:val="auto"/>
                <w:sz w:val="21"/>
                <w:szCs w:val="21"/>
                <w:highlight w:val="none"/>
              </w:rPr>
            </w:pPr>
            <w:r>
              <w:rPr>
                <w:rFonts w:ascii="Times New Roman" w:hAnsi="Times New Roman" w:cs="Times New Roman"/>
                <w:snapToGrid w:val="0"/>
                <w:color w:val="auto"/>
                <w:sz w:val="21"/>
                <w:szCs w:val="21"/>
                <w:highlight w:val="none"/>
              </w:rPr>
              <w:t>1次/天</w:t>
            </w:r>
            <w:r>
              <w:rPr>
                <w:rFonts w:ascii="Times New Roman" w:hAnsi="Times New Roman" w:cs="Times New Roman"/>
                <w:color w:val="auto"/>
                <w:sz w:val="21"/>
                <w:szCs w:val="21"/>
                <w:highlight w:val="none"/>
              </w:rPr>
              <w:t>第三天后，1次/周直至应急结束</w:t>
            </w:r>
          </w:p>
        </w:tc>
      </w:tr>
      <w:tr w14:paraId="6A418C7D">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c>
          <w:tcPr>
            <w:tcW w:w="739" w:type="pct"/>
            <w:vMerge w:val="restart"/>
            <w:vAlign w:val="center"/>
          </w:tcPr>
          <w:p w14:paraId="00845819">
            <w:pPr>
              <w:keepNext w:val="0"/>
              <w:keepLines w:val="0"/>
              <w:pageBreakBefore w:val="0"/>
              <w:widowControl/>
              <w:shd w:val="clear" w:color="auto" w:fill="FFFFFF"/>
              <w:kinsoku/>
              <w:wordWrap/>
              <w:overflowPunct/>
              <w:topLinePunct w:val="0"/>
              <w:autoSpaceDE/>
              <w:autoSpaceDN/>
              <w:bidi w:val="0"/>
              <w:adjustRightInd/>
              <w:snapToGrid/>
              <w:ind w:left="0" w:right="0"/>
              <w:jc w:val="center"/>
              <w:textAlignment w:val="auto"/>
              <w:rPr>
                <w:rFonts w:ascii="Times New Roman" w:hAnsi="Times New Roman" w:cs="Times New Roman"/>
                <w:snapToGrid w:val="0"/>
                <w:color w:val="auto"/>
                <w:sz w:val="21"/>
                <w:szCs w:val="21"/>
                <w:highlight w:val="none"/>
              </w:rPr>
            </w:pPr>
            <w:r>
              <w:rPr>
                <w:rFonts w:ascii="Times New Roman" w:hAnsi="Times New Roman" w:cs="Times New Roman"/>
                <w:snapToGrid w:val="0"/>
                <w:color w:val="auto"/>
                <w:sz w:val="21"/>
                <w:szCs w:val="21"/>
                <w:highlight w:val="none"/>
              </w:rPr>
              <w:t>土壤环境污染事故</w:t>
            </w:r>
          </w:p>
        </w:tc>
        <w:tc>
          <w:tcPr>
            <w:tcW w:w="1675" w:type="pct"/>
            <w:vAlign w:val="center"/>
          </w:tcPr>
          <w:p w14:paraId="0C57A591">
            <w:pPr>
              <w:keepNext w:val="0"/>
              <w:keepLines w:val="0"/>
              <w:pageBreakBefore w:val="0"/>
              <w:widowControl/>
              <w:shd w:val="clear" w:color="auto" w:fill="FFFFFF"/>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事故发生地周围土壤</w:t>
            </w:r>
          </w:p>
        </w:tc>
        <w:tc>
          <w:tcPr>
            <w:tcW w:w="1164" w:type="pct"/>
            <w:vMerge w:val="restart"/>
            <w:vAlign w:val="center"/>
          </w:tcPr>
          <w:p w14:paraId="2A1B1049">
            <w:pPr>
              <w:keepNext w:val="0"/>
              <w:keepLines w:val="0"/>
              <w:pageBreakBefore w:val="0"/>
              <w:widowControl/>
              <w:shd w:val="clear" w:color="auto" w:fill="FFFFFF"/>
              <w:kinsoku/>
              <w:wordWrap/>
              <w:overflowPunct/>
              <w:topLinePunct w:val="0"/>
              <w:autoSpaceDE/>
              <w:autoSpaceDN/>
              <w:bidi w:val="0"/>
              <w:adjustRightInd/>
              <w:snapToGrid/>
              <w:ind w:left="0" w:right="0"/>
              <w:jc w:val="center"/>
              <w:textAlignment w:val="auto"/>
              <w:rPr>
                <w:rFonts w:ascii="Times New Roman" w:hAnsi="Times New Roman" w:cs="Times New Roman"/>
                <w:snapToGrid w:val="0"/>
                <w:color w:val="auto"/>
                <w:sz w:val="21"/>
                <w:szCs w:val="21"/>
                <w:highlight w:val="none"/>
              </w:rPr>
            </w:pPr>
            <w:r>
              <w:rPr>
                <w:rFonts w:ascii="Times New Roman" w:hAnsi="Times New Roman" w:cs="Times New Roman"/>
                <w:snapToGrid w:val="0"/>
                <w:color w:val="auto"/>
                <w:sz w:val="21"/>
                <w:szCs w:val="21"/>
                <w:highlight w:val="none"/>
              </w:rPr>
              <w:t>根据事故选取监测因子，如pH、石油烃等</w:t>
            </w:r>
          </w:p>
        </w:tc>
        <w:tc>
          <w:tcPr>
            <w:tcW w:w="1422" w:type="pct"/>
            <w:vAlign w:val="center"/>
          </w:tcPr>
          <w:p w14:paraId="7BE36BD1">
            <w:pPr>
              <w:keepNext w:val="0"/>
              <w:keepLines w:val="0"/>
              <w:pageBreakBefore w:val="0"/>
              <w:widowControl/>
              <w:shd w:val="clear" w:color="auto" w:fill="FFFFFF"/>
              <w:kinsoku/>
              <w:wordWrap/>
              <w:overflowPunct/>
              <w:topLinePunct w:val="0"/>
              <w:autoSpaceDE/>
              <w:autoSpaceDN/>
              <w:bidi w:val="0"/>
              <w:adjustRightInd/>
              <w:snapToGrid/>
              <w:ind w:left="0" w:right="0"/>
              <w:jc w:val="center"/>
              <w:textAlignment w:val="auto"/>
              <w:rPr>
                <w:rFonts w:ascii="Times New Roman" w:hAnsi="Times New Roman" w:cs="Times New Roman"/>
                <w:snapToGrid w:val="0"/>
                <w:color w:val="auto"/>
                <w:sz w:val="21"/>
                <w:szCs w:val="21"/>
                <w:highlight w:val="none"/>
              </w:rPr>
            </w:pPr>
            <w:r>
              <w:rPr>
                <w:rFonts w:ascii="Times New Roman" w:hAnsi="Times New Roman" w:cs="Times New Roman"/>
                <w:color w:val="auto"/>
                <w:sz w:val="21"/>
                <w:szCs w:val="21"/>
                <w:highlight w:val="none"/>
              </w:rPr>
              <w:t>初始1~2次/天，视处置进展情况逐渐降低频次</w:t>
            </w:r>
          </w:p>
        </w:tc>
      </w:tr>
      <w:tr w14:paraId="7F7A6859">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c>
          <w:tcPr>
            <w:tcW w:w="739" w:type="pct"/>
            <w:vMerge w:val="continue"/>
            <w:vAlign w:val="center"/>
          </w:tcPr>
          <w:p w14:paraId="6B864221">
            <w:pPr>
              <w:keepNext w:val="0"/>
              <w:keepLines w:val="0"/>
              <w:pageBreakBefore w:val="0"/>
              <w:widowControl/>
              <w:shd w:val="clear" w:color="auto" w:fill="FFFFFF"/>
              <w:kinsoku/>
              <w:wordWrap/>
              <w:overflowPunct/>
              <w:topLinePunct w:val="0"/>
              <w:autoSpaceDE/>
              <w:autoSpaceDN/>
              <w:bidi w:val="0"/>
              <w:adjustRightInd/>
              <w:snapToGrid/>
              <w:ind w:left="0" w:right="0"/>
              <w:jc w:val="center"/>
              <w:textAlignment w:val="auto"/>
              <w:rPr>
                <w:rFonts w:ascii="Times New Roman" w:hAnsi="Times New Roman" w:cs="Times New Roman"/>
                <w:snapToGrid w:val="0"/>
                <w:color w:val="auto"/>
                <w:sz w:val="21"/>
                <w:szCs w:val="21"/>
                <w:highlight w:val="none"/>
              </w:rPr>
            </w:pPr>
          </w:p>
        </w:tc>
        <w:tc>
          <w:tcPr>
            <w:tcW w:w="1675" w:type="pct"/>
            <w:vAlign w:val="center"/>
          </w:tcPr>
          <w:p w14:paraId="7B1AE4D1">
            <w:pPr>
              <w:keepNext w:val="0"/>
              <w:keepLines w:val="0"/>
              <w:pageBreakBefore w:val="0"/>
              <w:widowControl/>
              <w:shd w:val="clear" w:color="auto" w:fill="FFFFFF"/>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事故发生地厂界处土壤</w:t>
            </w:r>
          </w:p>
        </w:tc>
        <w:tc>
          <w:tcPr>
            <w:tcW w:w="1164" w:type="pct"/>
            <w:vMerge w:val="continue"/>
            <w:vAlign w:val="center"/>
          </w:tcPr>
          <w:p w14:paraId="0526E9B3">
            <w:pPr>
              <w:keepNext w:val="0"/>
              <w:keepLines w:val="0"/>
              <w:pageBreakBefore w:val="0"/>
              <w:widowControl/>
              <w:shd w:val="clear" w:color="auto" w:fill="FFFFFF"/>
              <w:kinsoku/>
              <w:wordWrap/>
              <w:overflowPunct/>
              <w:topLinePunct w:val="0"/>
              <w:autoSpaceDE/>
              <w:autoSpaceDN/>
              <w:bidi w:val="0"/>
              <w:adjustRightInd/>
              <w:snapToGrid/>
              <w:ind w:left="0" w:right="0"/>
              <w:jc w:val="center"/>
              <w:textAlignment w:val="auto"/>
              <w:rPr>
                <w:rFonts w:ascii="Times New Roman" w:hAnsi="Times New Roman" w:cs="Times New Roman"/>
                <w:snapToGrid w:val="0"/>
                <w:color w:val="auto"/>
                <w:sz w:val="21"/>
                <w:szCs w:val="21"/>
                <w:highlight w:val="none"/>
              </w:rPr>
            </w:pPr>
          </w:p>
        </w:tc>
        <w:tc>
          <w:tcPr>
            <w:tcW w:w="1422" w:type="pct"/>
            <w:vAlign w:val="center"/>
          </w:tcPr>
          <w:p w14:paraId="642115A7">
            <w:pPr>
              <w:keepNext w:val="0"/>
              <w:keepLines w:val="0"/>
              <w:pageBreakBefore w:val="0"/>
              <w:widowControl/>
              <w:shd w:val="clear" w:color="auto" w:fill="FFFFFF"/>
              <w:kinsoku/>
              <w:wordWrap/>
              <w:overflowPunct/>
              <w:topLinePunct w:val="0"/>
              <w:autoSpaceDE/>
              <w:autoSpaceDN/>
              <w:bidi w:val="0"/>
              <w:adjustRightInd/>
              <w:snapToGrid/>
              <w:ind w:left="0" w:right="0"/>
              <w:jc w:val="center"/>
              <w:textAlignment w:val="auto"/>
              <w:rPr>
                <w:rFonts w:ascii="Times New Roman" w:hAnsi="Times New Roman" w:cs="Times New Roman"/>
                <w:snapToGrid w:val="0"/>
                <w:color w:val="auto"/>
                <w:sz w:val="21"/>
                <w:szCs w:val="21"/>
                <w:highlight w:val="none"/>
              </w:rPr>
            </w:pPr>
            <w:r>
              <w:rPr>
                <w:rFonts w:ascii="Times New Roman" w:hAnsi="Times New Roman" w:cs="Times New Roman"/>
                <w:color w:val="auto"/>
                <w:sz w:val="21"/>
                <w:szCs w:val="21"/>
                <w:highlight w:val="none"/>
              </w:rPr>
              <w:t>1次/天，视处置进展情况逐渐降低频次</w:t>
            </w:r>
          </w:p>
        </w:tc>
      </w:tr>
      <w:tr w14:paraId="230EB62E">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c>
          <w:tcPr>
            <w:tcW w:w="739" w:type="pct"/>
            <w:vMerge w:val="continue"/>
            <w:vAlign w:val="center"/>
          </w:tcPr>
          <w:p w14:paraId="60963F53">
            <w:pPr>
              <w:keepNext w:val="0"/>
              <w:keepLines w:val="0"/>
              <w:pageBreakBefore w:val="0"/>
              <w:widowControl/>
              <w:shd w:val="clear" w:color="auto" w:fill="FFFFFF"/>
              <w:kinsoku/>
              <w:wordWrap/>
              <w:overflowPunct/>
              <w:topLinePunct w:val="0"/>
              <w:autoSpaceDE/>
              <w:autoSpaceDN/>
              <w:bidi w:val="0"/>
              <w:adjustRightInd/>
              <w:snapToGrid/>
              <w:ind w:left="0" w:right="0"/>
              <w:jc w:val="center"/>
              <w:textAlignment w:val="auto"/>
              <w:rPr>
                <w:rFonts w:ascii="Times New Roman" w:hAnsi="Times New Roman" w:cs="Times New Roman"/>
                <w:snapToGrid w:val="0"/>
                <w:color w:val="auto"/>
                <w:sz w:val="21"/>
                <w:szCs w:val="21"/>
                <w:highlight w:val="none"/>
              </w:rPr>
            </w:pPr>
          </w:p>
        </w:tc>
        <w:tc>
          <w:tcPr>
            <w:tcW w:w="1675" w:type="pct"/>
            <w:vAlign w:val="center"/>
          </w:tcPr>
          <w:p w14:paraId="1A70E71A">
            <w:pPr>
              <w:keepNext w:val="0"/>
              <w:keepLines w:val="0"/>
              <w:pageBreakBefore w:val="0"/>
              <w:widowControl/>
              <w:shd w:val="clear" w:color="auto" w:fill="FFFFFF"/>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厂界外200m土壤</w:t>
            </w:r>
          </w:p>
        </w:tc>
        <w:tc>
          <w:tcPr>
            <w:tcW w:w="1164" w:type="pct"/>
            <w:vMerge w:val="continue"/>
            <w:vAlign w:val="center"/>
          </w:tcPr>
          <w:p w14:paraId="7EF2FB17">
            <w:pPr>
              <w:keepNext w:val="0"/>
              <w:keepLines w:val="0"/>
              <w:pageBreakBefore w:val="0"/>
              <w:widowControl/>
              <w:shd w:val="clear" w:color="auto" w:fill="FFFFFF"/>
              <w:kinsoku/>
              <w:wordWrap/>
              <w:overflowPunct/>
              <w:topLinePunct w:val="0"/>
              <w:autoSpaceDE/>
              <w:autoSpaceDN/>
              <w:bidi w:val="0"/>
              <w:adjustRightInd/>
              <w:snapToGrid/>
              <w:ind w:left="0" w:right="0"/>
              <w:jc w:val="center"/>
              <w:textAlignment w:val="auto"/>
              <w:rPr>
                <w:rFonts w:ascii="Times New Roman" w:hAnsi="Times New Roman" w:cs="Times New Roman"/>
                <w:snapToGrid w:val="0"/>
                <w:color w:val="auto"/>
                <w:sz w:val="21"/>
                <w:szCs w:val="21"/>
                <w:highlight w:val="none"/>
              </w:rPr>
            </w:pPr>
          </w:p>
        </w:tc>
        <w:tc>
          <w:tcPr>
            <w:tcW w:w="1422" w:type="pct"/>
            <w:vAlign w:val="center"/>
          </w:tcPr>
          <w:p w14:paraId="04F6DC31">
            <w:pPr>
              <w:keepNext w:val="0"/>
              <w:keepLines w:val="0"/>
              <w:pageBreakBefore w:val="0"/>
              <w:widowControl/>
              <w:shd w:val="clear" w:color="auto" w:fill="FFFFFF"/>
              <w:kinsoku/>
              <w:wordWrap/>
              <w:overflowPunct/>
              <w:topLinePunct w:val="0"/>
              <w:autoSpaceDE/>
              <w:autoSpaceDN/>
              <w:bidi w:val="0"/>
              <w:adjustRightInd/>
              <w:snapToGrid/>
              <w:ind w:left="0" w:right="0"/>
              <w:jc w:val="center"/>
              <w:textAlignment w:val="auto"/>
              <w:rPr>
                <w:rFonts w:ascii="Times New Roman" w:hAnsi="Times New Roman" w:cs="Times New Roman"/>
                <w:snapToGrid w:val="0"/>
                <w:color w:val="auto"/>
                <w:sz w:val="21"/>
                <w:szCs w:val="21"/>
                <w:highlight w:val="none"/>
              </w:rPr>
            </w:pPr>
            <w:r>
              <w:rPr>
                <w:rFonts w:ascii="Times New Roman" w:hAnsi="Times New Roman" w:cs="Times New Roman"/>
                <w:color w:val="auto"/>
                <w:sz w:val="21"/>
                <w:szCs w:val="21"/>
                <w:highlight w:val="none"/>
              </w:rPr>
              <w:t>1次/天，视处置进展情况逐渐降低频次</w:t>
            </w:r>
          </w:p>
        </w:tc>
      </w:tr>
    </w:tbl>
    <w:p w14:paraId="677C3E5F">
      <w:pPr>
        <w:pStyle w:val="5"/>
        <w:keepLines w:val="0"/>
        <w:numPr>
          <w:ilvl w:val="0"/>
          <w:numId w:val="0"/>
        </w:numPr>
        <w:tabs>
          <w:tab w:val="left" w:pos="141"/>
          <w:tab w:val="left" w:pos="567"/>
          <w:tab w:val="left" w:pos="709"/>
        </w:tabs>
        <w:spacing w:before="120" w:beforeLines="50" w:after="120" w:afterLines="50" w:line="360" w:lineRule="auto"/>
        <w:ind w:right="-105"/>
        <w:rPr>
          <w:rFonts w:eastAsia="宋体"/>
          <w:color w:val="auto"/>
          <w:sz w:val="28"/>
          <w:szCs w:val="28"/>
          <w:highlight w:val="none"/>
        </w:rPr>
      </w:pPr>
      <w:r>
        <w:rPr>
          <w:rFonts w:hint="eastAsia" w:eastAsia="宋体"/>
          <w:color w:val="auto"/>
          <w:sz w:val="28"/>
          <w:szCs w:val="28"/>
          <w:highlight w:val="none"/>
        </w:rPr>
        <w:t>7.6.13环境风险与防范措施</w:t>
      </w:r>
    </w:p>
    <w:p w14:paraId="77E18805">
      <w:pPr>
        <w:ind w:left="-105" w:right="-105" w:firstLine="482"/>
        <w:jc w:val="center"/>
        <w:rPr>
          <w:color w:val="auto"/>
          <w:highlight w:val="none"/>
        </w:rPr>
      </w:pPr>
      <w:r>
        <w:rPr>
          <w:rFonts w:ascii="Times New Roman" w:hAnsi="Times New Roman" w:cs="Times New Roman"/>
          <w:b/>
          <w:bCs/>
          <w:color w:val="auto"/>
          <w:szCs w:val="18"/>
          <w:highlight w:val="none"/>
        </w:rPr>
        <w:t>表</w:t>
      </w:r>
      <w:r>
        <w:rPr>
          <w:rFonts w:ascii="Times New Roman" w:hAnsi="Times New Roman" w:cs="Times New Roman"/>
          <w:b/>
          <w:bCs/>
          <w:color w:val="auto"/>
          <w:szCs w:val="18"/>
          <w:highlight w:val="none"/>
        </w:rPr>
        <w:fldChar w:fldCharType="begin"/>
      </w:r>
      <w:r>
        <w:rPr>
          <w:rFonts w:ascii="Times New Roman" w:hAnsi="Times New Roman" w:cs="Times New Roman"/>
          <w:b/>
          <w:bCs/>
          <w:color w:val="auto"/>
          <w:szCs w:val="18"/>
          <w:highlight w:val="none"/>
        </w:rPr>
        <w:instrText xml:space="preserve"> STYLEREF 2 \s </w:instrText>
      </w:r>
      <w:r>
        <w:rPr>
          <w:rFonts w:ascii="Times New Roman" w:hAnsi="Times New Roman" w:cs="Times New Roman"/>
          <w:b/>
          <w:bCs/>
          <w:color w:val="auto"/>
          <w:szCs w:val="18"/>
          <w:highlight w:val="none"/>
        </w:rPr>
        <w:fldChar w:fldCharType="separate"/>
      </w:r>
      <w:r>
        <w:rPr>
          <w:rFonts w:ascii="Times New Roman" w:hAnsi="Times New Roman" w:cs="Times New Roman"/>
          <w:b/>
          <w:bCs/>
          <w:color w:val="auto"/>
          <w:szCs w:val="18"/>
          <w:highlight w:val="none"/>
        </w:rPr>
        <w:t>7.6</w:t>
      </w:r>
      <w:r>
        <w:rPr>
          <w:rFonts w:ascii="Times New Roman" w:hAnsi="Times New Roman" w:cs="Times New Roman"/>
          <w:b/>
          <w:bCs/>
          <w:color w:val="auto"/>
          <w:szCs w:val="18"/>
          <w:highlight w:val="none"/>
        </w:rPr>
        <w:fldChar w:fldCharType="end"/>
      </w:r>
      <w:r>
        <w:rPr>
          <w:rFonts w:ascii="Times New Roman" w:hAnsi="Times New Roman" w:cs="Times New Roman"/>
          <w:b/>
          <w:bCs/>
          <w:color w:val="auto"/>
          <w:szCs w:val="18"/>
          <w:highlight w:val="none"/>
        </w:rPr>
        <w:noBreakHyphen/>
      </w:r>
      <w:r>
        <w:rPr>
          <w:rFonts w:ascii="Times New Roman" w:hAnsi="Times New Roman" w:cs="Times New Roman"/>
          <w:b/>
          <w:bCs/>
          <w:color w:val="auto"/>
          <w:szCs w:val="18"/>
          <w:highlight w:val="none"/>
        </w:rPr>
        <w:fldChar w:fldCharType="begin"/>
      </w:r>
      <w:r>
        <w:rPr>
          <w:rFonts w:ascii="Times New Roman" w:hAnsi="Times New Roman" w:cs="Times New Roman"/>
          <w:b/>
          <w:bCs/>
          <w:color w:val="auto"/>
          <w:szCs w:val="18"/>
          <w:highlight w:val="none"/>
        </w:rPr>
        <w:instrText xml:space="preserve"> SEQ 表 \* ARABIC \s 2 </w:instrText>
      </w:r>
      <w:r>
        <w:rPr>
          <w:rFonts w:ascii="Times New Roman" w:hAnsi="Times New Roman" w:cs="Times New Roman"/>
          <w:b/>
          <w:bCs/>
          <w:color w:val="auto"/>
          <w:szCs w:val="18"/>
          <w:highlight w:val="none"/>
        </w:rPr>
        <w:fldChar w:fldCharType="separate"/>
      </w:r>
      <w:r>
        <w:rPr>
          <w:rFonts w:ascii="Times New Roman" w:hAnsi="Times New Roman" w:cs="Times New Roman"/>
          <w:b/>
          <w:bCs/>
          <w:color w:val="auto"/>
          <w:szCs w:val="18"/>
          <w:highlight w:val="none"/>
        </w:rPr>
        <w:t>6</w:t>
      </w:r>
      <w:r>
        <w:rPr>
          <w:rFonts w:ascii="Times New Roman" w:hAnsi="Times New Roman" w:cs="Times New Roman"/>
          <w:b/>
          <w:bCs/>
          <w:color w:val="auto"/>
          <w:szCs w:val="18"/>
          <w:highlight w:val="none"/>
        </w:rPr>
        <w:fldChar w:fldCharType="end"/>
      </w:r>
      <w:r>
        <w:rPr>
          <w:rFonts w:hint="eastAsia"/>
          <w:b/>
          <w:bCs/>
          <w:color w:val="auto"/>
          <w:highlight w:val="none"/>
        </w:rPr>
        <w:t>本</w:t>
      </w:r>
      <w:r>
        <w:rPr>
          <w:rFonts w:hint="eastAsia" w:ascii="Times New Roman" w:hAnsi="Times New Roman" w:cs="Times New Roman"/>
          <w:b/>
          <w:color w:val="auto"/>
          <w:kern w:val="2"/>
          <w:szCs w:val="18"/>
          <w:highlight w:val="none"/>
        </w:rPr>
        <w:t>项目</w:t>
      </w:r>
      <w:r>
        <w:rPr>
          <w:rFonts w:ascii="Times New Roman" w:hAnsi="Times New Roman" w:cs="Times New Roman"/>
          <w:b/>
          <w:color w:val="auto"/>
          <w:kern w:val="2"/>
          <w:szCs w:val="18"/>
          <w:highlight w:val="none"/>
        </w:rPr>
        <w:t>环境风险与防范措施</w:t>
      </w:r>
      <w:r>
        <w:rPr>
          <w:rFonts w:hint="eastAsia" w:ascii="Times New Roman" w:hAnsi="Times New Roman" w:cs="Times New Roman"/>
          <w:b/>
          <w:color w:val="auto"/>
          <w:kern w:val="2"/>
          <w:szCs w:val="18"/>
          <w:highlight w:val="none"/>
        </w:rPr>
        <w:t>一览表</w:t>
      </w:r>
    </w:p>
    <w:tbl>
      <w:tblPr>
        <w:tblStyle w:val="46"/>
        <w:tblW w:w="5000" w:type="pct"/>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autofit"/>
        <w:tblCellMar>
          <w:top w:w="0" w:type="dxa"/>
          <w:left w:w="108" w:type="dxa"/>
          <w:bottom w:w="0" w:type="dxa"/>
          <w:right w:w="108" w:type="dxa"/>
        </w:tblCellMar>
      </w:tblPr>
      <w:tblGrid>
        <w:gridCol w:w="1599"/>
        <w:gridCol w:w="7121"/>
      </w:tblGrid>
      <w:tr w14:paraId="3E37AF7A">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917" w:type="pct"/>
            <w:vAlign w:val="center"/>
          </w:tcPr>
          <w:p w14:paraId="72BA9679">
            <w:pPr>
              <w:pStyle w:val="240"/>
              <w:keepNext w:val="0"/>
              <w:keepLines w:val="0"/>
              <w:pageBreakBefore w:val="0"/>
              <w:kinsoku/>
              <w:wordWrap/>
              <w:overflowPunct/>
              <w:topLinePunct w:val="0"/>
              <w:bidi w:val="0"/>
              <w:adjustRightInd w:val="0"/>
              <w:snapToGrid w:val="0"/>
              <w:ind w:left="0" w:right="0"/>
              <w:textAlignment w:val="auto"/>
              <w:rPr>
                <w:rFonts w:ascii="Times New Roman" w:hAnsi="Times New Roman"/>
                <w:b/>
                <w:color w:val="auto"/>
                <w:kern w:val="0"/>
                <w:highlight w:val="none"/>
              </w:rPr>
            </w:pPr>
            <w:bookmarkStart w:id="504" w:name="_Hlk136270523"/>
            <w:r>
              <w:rPr>
                <w:rFonts w:ascii="Times New Roman" w:hAnsi="Times New Roman"/>
                <w:b/>
                <w:color w:val="auto"/>
                <w:kern w:val="0"/>
                <w:highlight w:val="none"/>
              </w:rPr>
              <w:t>区分</w:t>
            </w:r>
          </w:p>
        </w:tc>
        <w:tc>
          <w:tcPr>
            <w:tcW w:w="4083" w:type="pct"/>
            <w:vAlign w:val="center"/>
          </w:tcPr>
          <w:p w14:paraId="5FDA76AA">
            <w:pPr>
              <w:pStyle w:val="240"/>
              <w:keepNext w:val="0"/>
              <w:keepLines w:val="0"/>
              <w:pageBreakBefore w:val="0"/>
              <w:kinsoku/>
              <w:wordWrap/>
              <w:overflowPunct/>
              <w:topLinePunct w:val="0"/>
              <w:bidi w:val="0"/>
              <w:adjustRightInd w:val="0"/>
              <w:snapToGrid w:val="0"/>
              <w:ind w:left="0" w:right="0"/>
              <w:textAlignment w:val="auto"/>
              <w:rPr>
                <w:rFonts w:ascii="Times New Roman" w:hAnsi="Times New Roman"/>
                <w:b/>
                <w:color w:val="auto"/>
                <w:kern w:val="0"/>
                <w:highlight w:val="none"/>
              </w:rPr>
            </w:pPr>
            <w:r>
              <w:rPr>
                <w:rFonts w:ascii="Times New Roman" w:hAnsi="Times New Roman"/>
                <w:b/>
                <w:color w:val="auto"/>
                <w:kern w:val="0"/>
                <w:highlight w:val="none"/>
              </w:rPr>
              <w:t>具体等级、性质、内容、规模及措施与要求</w:t>
            </w:r>
          </w:p>
        </w:tc>
      </w:tr>
      <w:tr w14:paraId="524BB9F5">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917" w:type="pct"/>
            <w:vAlign w:val="center"/>
          </w:tcPr>
          <w:p w14:paraId="0B438836">
            <w:pPr>
              <w:pStyle w:val="240"/>
              <w:keepNext w:val="0"/>
              <w:keepLines w:val="0"/>
              <w:pageBreakBefore w:val="0"/>
              <w:kinsoku/>
              <w:wordWrap/>
              <w:overflowPunct/>
              <w:topLinePunct w:val="0"/>
              <w:bidi w:val="0"/>
              <w:adjustRightInd w:val="0"/>
              <w:snapToGrid w:val="0"/>
              <w:ind w:left="0" w:right="0"/>
              <w:textAlignment w:val="auto"/>
              <w:rPr>
                <w:rFonts w:ascii="Times New Roman" w:hAnsi="Times New Roman"/>
                <w:b/>
                <w:color w:val="auto"/>
                <w:kern w:val="0"/>
                <w:highlight w:val="none"/>
              </w:rPr>
            </w:pPr>
            <w:r>
              <w:rPr>
                <w:rFonts w:ascii="Times New Roman" w:hAnsi="Times New Roman"/>
                <w:b/>
                <w:color w:val="auto"/>
                <w:kern w:val="0"/>
                <w:highlight w:val="none"/>
              </w:rPr>
              <w:t>环境风险及各环境要素评价等级</w:t>
            </w:r>
          </w:p>
        </w:tc>
        <w:tc>
          <w:tcPr>
            <w:tcW w:w="4083" w:type="pct"/>
            <w:vAlign w:val="center"/>
          </w:tcPr>
          <w:p w14:paraId="1F5A2869">
            <w:pPr>
              <w:pStyle w:val="240"/>
              <w:keepNext w:val="0"/>
              <w:keepLines w:val="0"/>
              <w:pageBreakBefore w:val="0"/>
              <w:kinsoku/>
              <w:wordWrap/>
              <w:overflowPunct/>
              <w:topLinePunct w:val="0"/>
              <w:bidi w:val="0"/>
              <w:adjustRightInd w:val="0"/>
              <w:snapToGrid w:val="0"/>
              <w:ind w:left="0" w:right="0"/>
              <w:textAlignment w:val="auto"/>
              <w:rPr>
                <w:rFonts w:ascii="Times New Roman" w:hAnsi="Times New Roman"/>
                <w:color w:val="auto"/>
                <w:kern w:val="0"/>
                <w:highlight w:val="none"/>
              </w:rPr>
            </w:pPr>
            <w:r>
              <w:rPr>
                <w:rFonts w:ascii="Times New Roman" w:hAnsi="Times New Roman"/>
                <w:color w:val="auto"/>
                <w:kern w:val="0"/>
                <w:highlight w:val="none"/>
              </w:rPr>
              <w:t>环境风险：二级</w:t>
            </w:r>
            <w:r>
              <w:rPr>
                <w:rFonts w:hint="eastAsia" w:ascii="Times New Roman" w:hAnsi="Times New Roman"/>
                <w:color w:val="auto"/>
                <w:kern w:val="0"/>
                <w:highlight w:val="none"/>
              </w:rPr>
              <w:t>，</w:t>
            </w:r>
            <w:r>
              <w:rPr>
                <w:rFonts w:ascii="Times New Roman" w:hAnsi="Times New Roman"/>
                <w:color w:val="auto"/>
                <w:kern w:val="0"/>
                <w:highlight w:val="none"/>
              </w:rPr>
              <w:t>大气</w:t>
            </w:r>
            <w:r>
              <w:rPr>
                <w:rFonts w:hint="eastAsia" w:ascii="Times New Roman" w:hAnsi="Times New Roman"/>
                <w:color w:val="auto"/>
                <w:kern w:val="0"/>
                <w:highlight w:val="none"/>
              </w:rPr>
              <w:t>：</w:t>
            </w:r>
            <w:r>
              <w:rPr>
                <w:rFonts w:ascii="Times New Roman" w:hAnsi="Times New Roman"/>
                <w:color w:val="auto"/>
                <w:kern w:val="0"/>
                <w:highlight w:val="none"/>
              </w:rPr>
              <w:t>二级</w:t>
            </w:r>
            <w:r>
              <w:rPr>
                <w:rFonts w:hint="eastAsia" w:ascii="Times New Roman" w:hAnsi="Times New Roman"/>
                <w:color w:val="auto"/>
                <w:kern w:val="0"/>
                <w:highlight w:val="none"/>
              </w:rPr>
              <w:t>，</w:t>
            </w:r>
            <w:r>
              <w:rPr>
                <w:rFonts w:ascii="Times New Roman" w:hAnsi="Times New Roman"/>
                <w:color w:val="auto"/>
                <w:kern w:val="0"/>
                <w:highlight w:val="none"/>
              </w:rPr>
              <w:t>地表水：</w:t>
            </w:r>
            <w:r>
              <w:rPr>
                <w:rFonts w:hint="eastAsia" w:ascii="Times New Roman" w:hAnsi="Times New Roman"/>
                <w:color w:val="auto"/>
                <w:kern w:val="0"/>
                <w:highlight w:val="none"/>
              </w:rPr>
              <w:t>二</w:t>
            </w:r>
            <w:r>
              <w:rPr>
                <w:rFonts w:ascii="Times New Roman" w:hAnsi="Times New Roman"/>
                <w:color w:val="auto"/>
                <w:kern w:val="0"/>
                <w:highlight w:val="none"/>
              </w:rPr>
              <w:t>级，地下水：简单分析</w:t>
            </w:r>
          </w:p>
        </w:tc>
      </w:tr>
      <w:tr w14:paraId="0D603F8C">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917" w:type="pct"/>
            <w:vAlign w:val="center"/>
          </w:tcPr>
          <w:p w14:paraId="4DAFD4D7">
            <w:pPr>
              <w:pStyle w:val="240"/>
              <w:keepNext w:val="0"/>
              <w:keepLines w:val="0"/>
              <w:pageBreakBefore w:val="0"/>
              <w:kinsoku/>
              <w:wordWrap/>
              <w:overflowPunct/>
              <w:topLinePunct w:val="0"/>
              <w:bidi w:val="0"/>
              <w:adjustRightInd w:val="0"/>
              <w:snapToGrid w:val="0"/>
              <w:ind w:left="0" w:right="0"/>
              <w:textAlignment w:val="auto"/>
              <w:rPr>
                <w:rFonts w:ascii="Times New Roman" w:hAnsi="Times New Roman"/>
                <w:b/>
                <w:color w:val="auto"/>
                <w:kern w:val="0"/>
                <w:highlight w:val="none"/>
              </w:rPr>
            </w:pPr>
            <w:r>
              <w:rPr>
                <w:rFonts w:ascii="Times New Roman" w:hAnsi="Times New Roman"/>
                <w:b/>
                <w:color w:val="auto"/>
                <w:kern w:val="0"/>
                <w:highlight w:val="none"/>
              </w:rPr>
              <w:t>环境风险类型</w:t>
            </w:r>
          </w:p>
        </w:tc>
        <w:tc>
          <w:tcPr>
            <w:tcW w:w="4083" w:type="pct"/>
            <w:vAlign w:val="center"/>
          </w:tcPr>
          <w:p w14:paraId="0FEC39E4">
            <w:pPr>
              <w:pStyle w:val="240"/>
              <w:keepNext w:val="0"/>
              <w:keepLines w:val="0"/>
              <w:pageBreakBefore w:val="0"/>
              <w:kinsoku/>
              <w:wordWrap/>
              <w:overflowPunct/>
              <w:topLinePunct w:val="0"/>
              <w:bidi w:val="0"/>
              <w:adjustRightInd w:val="0"/>
              <w:snapToGrid w:val="0"/>
              <w:ind w:left="0" w:right="0"/>
              <w:textAlignment w:val="auto"/>
              <w:rPr>
                <w:rFonts w:ascii="Times New Roman" w:hAnsi="Times New Roman"/>
                <w:color w:val="auto"/>
                <w:kern w:val="0"/>
                <w:highlight w:val="none"/>
              </w:rPr>
            </w:pPr>
            <w:r>
              <w:rPr>
                <w:rFonts w:ascii="Times New Roman" w:hAnsi="Times New Roman"/>
                <w:color w:val="auto"/>
                <w:kern w:val="0"/>
                <w:highlight w:val="none"/>
              </w:rPr>
              <w:t>泄漏、火灾、爆炸</w:t>
            </w:r>
          </w:p>
        </w:tc>
      </w:tr>
      <w:tr w14:paraId="5971959D">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917" w:type="pct"/>
            <w:vAlign w:val="center"/>
          </w:tcPr>
          <w:p w14:paraId="266EC7A1">
            <w:pPr>
              <w:pStyle w:val="240"/>
              <w:keepNext w:val="0"/>
              <w:keepLines w:val="0"/>
              <w:pageBreakBefore w:val="0"/>
              <w:kinsoku/>
              <w:wordWrap/>
              <w:overflowPunct/>
              <w:topLinePunct w:val="0"/>
              <w:bidi w:val="0"/>
              <w:adjustRightInd w:val="0"/>
              <w:snapToGrid w:val="0"/>
              <w:ind w:left="0" w:right="0"/>
              <w:textAlignment w:val="auto"/>
              <w:rPr>
                <w:rFonts w:ascii="Times New Roman" w:hAnsi="Times New Roman"/>
                <w:b/>
                <w:color w:val="auto"/>
                <w:kern w:val="0"/>
                <w:highlight w:val="none"/>
              </w:rPr>
            </w:pPr>
            <w:r>
              <w:rPr>
                <w:rFonts w:ascii="Times New Roman" w:hAnsi="Times New Roman"/>
                <w:b/>
                <w:color w:val="auto"/>
                <w:kern w:val="0"/>
                <w:highlight w:val="none"/>
              </w:rPr>
              <w:t>危险物质存储情况和最大可信事故</w:t>
            </w:r>
          </w:p>
        </w:tc>
        <w:tc>
          <w:tcPr>
            <w:tcW w:w="4083" w:type="pct"/>
            <w:vAlign w:val="center"/>
          </w:tcPr>
          <w:p w14:paraId="57006E65">
            <w:pPr>
              <w:pStyle w:val="240"/>
              <w:keepNext w:val="0"/>
              <w:keepLines w:val="0"/>
              <w:pageBreakBefore w:val="0"/>
              <w:kinsoku/>
              <w:wordWrap/>
              <w:overflowPunct/>
              <w:topLinePunct w:val="0"/>
              <w:bidi w:val="0"/>
              <w:adjustRightInd w:val="0"/>
              <w:snapToGrid w:val="0"/>
              <w:ind w:left="0" w:right="0" w:firstLine="420" w:firstLineChars="200"/>
              <w:jc w:val="both"/>
              <w:textAlignment w:val="auto"/>
              <w:rPr>
                <w:rFonts w:ascii="Times New Roman" w:hAnsi="Times New Roman"/>
                <w:color w:val="auto"/>
                <w:kern w:val="0"/>
                <w:highlight w:val="none"/>
              </w:rPr>
            </w:pPr>
            <w:r>
              <w:rPr>
                <w:rFonts w:ascii="Times New Roman" w:hAnsi="Times New Roman"/>
                <w:color w:val="auto"/>
                <w:kern w:val="0"/>
                <w:highlight w:val="none"/>
              </w:rPr>
              <w:t>主要危险物质：</w:t>
            </w:r>
            <w:r>
              <w:rPr>
                <w:rFonts w:hint="eastAsia" w:ascii="Times New Roman" w:hAnsi="Times New Roman"/>
                <w:color w:val="auto"/>
                <w:kern w:val="0"/>
                <w:highlight w:val="none"/>
              </w:rPr>
              <w:t>丙烯酸酯树脂、异氰酸酯（六亚甲基-1,6-二异氰酸酯）、丁酮、聚氨酯丙烯酸酯、环氧丙烯酸树脂、单体（二缩三丙二醇二丙烯酸酯）、光敏剂（1-羟环己基苯酮）、酚醛环氧树脂、丙烯酸、2-乙二醇单乙醚醋酸酯（溶剂）、重溶剂油（溶剂）、2-甲基对苯二酚（聚合阻止剂）、三苯基膦（催化剂）、2、6-二叔丁基对甲基苯酚（聚合阻止剂）、四氢化邻苯二甲酸酐、二甲基亚砜、N-甲基吡咯烷酮、四甲基氢氧化铵、2-甲氨基乙醇、邻苯二酚、乙醇胺</w:t>
            </w:r>
            <w:r>
              <w:rPr>
                <w:rFonts w:ascii="Times New Roman" w:hAnsi="Times New Roman"/>
                <w:color w:val="auto"/>
                <w:kern w:val="0"/>
                <w:highlight w:val="none"/>
              </w:rPr>
              <w:t>等，以及</w:t>
            </w:r>
            <w:r>
              <w:rPr>
                <w:rFonts w:hint="eastAsia" w:ascii="Times New Roman" w:hAnsi="Times New Roman"/>
                <w:color w:val="auto"/>
                <w:kern w:val="0"/>
                <w:highlight w:val="none"/>
              </w:rPr>
              <w:t>生产废液</w:t>
            </w:r>
            <w:r>
              <w:rPr>
                <w:rFonts w:ascii="Times New Roman" w:hAnsi="Times New Roman"/>
                <w:color w:val="auto"/>
                <w:kern w:val="0"/>
                <w:highlight w:val="none"/>
              </w:rPr>
              <w:t>等；存储方式：包装桶</w:t>
            </w:r>
            <w:r>
              <w:rPr>
                <w:rFonts w:hint="eastAsia" w:ascii="Times New Roman" w:hAnsi="Times New Roman"/>
                <w:color w:val="auto"/>
                <w:kern w:val="0"/>
                <w:highlight w:val="none"/>
              </w:rPr>
              <w:t>、储罐</w:t>
            </w:r>
            <w:r>
              <w:rPr>
                <w:rFonts w:ascii="Times New Roman" w:hAnsi="Times New Roman"/>
                <w:color w:val="auto"/>
                <w:kern w:val="0"/>
                <w:highlight w:val="none"/>
              </w:rPr>
              <w:t>等；存储量超临界量的物质：</w:t>
            </w:r>
            <w:r>
              <w:rPr>
                <w:rFonts w:ascii="Times New Roman" w:hAnsi="Times New Roman"/>
                <w:color w:val="auto"/>
                <w:spacing w:val="8"/>
                <w:highlight w:val="none"/>
              </w:rPr>
              <w:t>丙烯酸酯组成物</w:t>
            </w:r>
            <w:r>
              <w:rPr>
                <w:rFonts w:hint="eastAsia" w:ascii="Times New Roman" w:hAnsi="Times New Roman"/>
                <w:color w:val="auto"/>
                <w:spacing w:val="8"/>
                <w:highlight w:val="none"/>
              </w:rPr>
              <w:t>、</w:t>
            </w:r>
            <w:r>
              <w:rPr>
                <w:rFonts w:ascii="Times New Roman" w:hAnsi="Times New Roman"/>
                <w:color w:val="auto"/>
                <w:spacing w:val="7"/>
                <w:highlight w:val="none"/>
              </w:rPr>
              <w:t>废丁酮</w:t>
            </w:r>
            <w:r>
              <w:rPr>
                <w:rFonts w:ascii="Times New Roman" w:hAnsi="Times New Roman"/>
                <w:color w:val="auto"/>
                <w:kern w:val="0"/>
                <w:highlight w:val="none"/>
              </w:rPr>
              <w:t>等；风险源主要部位：</w:t>
            </w:r>
            <w:r>
              <w:rPr>
                <w:rFonts w:hint="eastAsia" w:ascii="Times New Roman" w:hAnsi="Times New Roman"/>
                <w:color w:val="auto"/>
                <w:kern w:val="0"/>
                <w:highlight w:val="none"/>
                <w:lang w:eastAsia="zh-CN"/>
              </w:rPr>
              <w:t>危险品仓库</w:t>
            </w:r>
            <w:r>
              <w:rPr>
                <w:rFonts w:hint="eastAsia" w:ascii="Times New Roman" w:hAnsi="Times New Roman"/>
                <w:color w:val="auto"/>
                <w:kern w:val="0"/>
                <w:highlight w:val="none"/>
              </w:rPr>
              <w:t>、成品库、危废库、废液储罐</w:t>
            </w:r>
            <w:r>
              <w:rPr>
                <w:rFonts w:ascii="Times New Roman" w:hAnsi="Times New Roman"/>
                <w:color w:val="auto"/>
                <w:kern w:val="0"/>
                <w:highlight w:val="none"/>
              </w:rPr>
              <w:t>等，最大可信事故为：（1）</w:t>
            </w:r>
            <w:r>
              <w:rPr>
                <w:rFonts w:hint="eastAsia" w:ascii="Times New Roman" w:hAnsi="Times New Roman"/>
                <w:color w:val="auto"/>
                <w:kern w:val="0"/>
                <w:highlight w:val="none"/>
              </w:rPr>
              <w:t>N-甲基吡咯烷酮包装桶泄漏遇明火发生火灾产生一氧化碳进入大气环境、DA005排气筒事故排放进入大气环境</w:t>
            </w:r>
            <w:r>
              <w:rPr>
                <w:rFonts w:ascii="Times New Roman" w:hAnsi="Times New Roman"/>
                <w:color w:val="auto"/>
                <w:kern w:val="0"/>
                <w:highlight w:val="none"/>
              </w:rPr>
              <w:t>。（2）</w:t>
            </w:r>
            <w:r>
              <w:rPr>
                <w:rFonts w:hint="eastAsia" w:ascii="Times New Roman" w:hAnsi="Times New Roman"/>
                <w:color w:val="auto"/>
                <w:kern w:val="0"/>
                <w:highlight w:val="none"/>
              </w:rPr>
              <w:t>废液储罐泄漏污染地表水、地下水环境</w:t>
            </w:r>
            <w:r>
              <w:rPr>
                <w:rFonts w:ascii="Times New Roman" w:hAnsi="Times New Roman"/>
                <w:color w:val="auto"/>
                <w:kern w:val="0"/>
                <w:highlight w:val="none"/>
              </w:rPr>
              <w:t>。</w:t>
            </w:r>
            <w:r>
              <w:rPr>
                <w:rFonts w:hint="eastAsia" w:ascii="Times New Roman" w:hAnsi="Times New Roman"/>
                <w:color w:val="auto"/>
                <w:kern w:val="0"/>
                <w:highlight w:val="none"/>
              </w:rPr>
              <w:t>（3）DA005、DA006排气筒因设备故障或加药系统发生故障、活性炭未及时更换导致废气处理不达标外排至大气环境</w:t>
            </w:r>
          </w:p>
        </w:tc>
      </w:tr>
      <w:tr w14:paraId="6AA35D4B">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917" w:type="pct"/>
            <w:vAlign w:val="center"/>
          </w:tcPr>
          <w:p w14:paraId="1899B4BC">
            <w:pPr>
              <w:pStyle w:val="240"/>
              <w:keepNext w:val="0"/>
              <w:keepLines w:val="0"/>
              <w:pageBreakBefore w:val="0"/>
              <w:kinsoku/>
              <w:wordWrap/>
              <w:overflowPunct/>
              <w:topLinePunct w:val="0"/>
              <w:bidi w:val="0"/>
              <w:adjustRightInd w:val="0"/>
              <w:snapToGrid w:val="0"/>
              <w:ind w:left="0" w:right="0"/>
              <w:textAlignment w:val="auto"/>
              <w:rPr>
                <w:rFonts w:ascii="Times New Roman" w:hAnsi="Times New Roman"/>
                <w:b/>
                <w:color w:val="auto"/>
                <w:kern w:val="0"/>
                <w:highlight w:val="none"/>
              </w:rPr>
            </w:pPr>
            <w:r>
              <w:rPr>
                <w:rFonts w:ascii="Times New Roman" w:hAnsi="Times New Roman"/>
                <w:b/>
                <w:color w:val="auto"/>
                <w:kern w:val="0"/>
                <w:highlight w:val="none"/>
              </w:rPr>
              <w:t>影响程度判定</w:t>
            </w:r>
          </w:p>
        </w:tc>
        <w:tc>
          <w:tcPr>
            <w:tcW w:w="4083" w:type="pct"/>
            <w:vAlign w:val="center"/>
          </w:tcPr>
          <w:p w14:paraId="67C52B7E">
            <w:pPr>
              <w:keepNext w:val="0"/>
              <w:keepLines w:val="0"/>
              <w:pageBreakBefore w:val="0"/>
              <w:kinsoku/>
              <w:wordWrap/>
              <w:overflowPunct/>
              <w:topLinePunct w:val="0"/>
              <w:bidi w:val="0"/>
              <w:ind w:left="0" w:right="0" w:firstLine="420" w:firstLineChars="200"/>
              <w:jc w:val="both"/>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有毒有害和易燃易爆危险物质存储量超过临界量，</w:t>
            </w:r>
            <w:r>
              <w:rPr>
                <w:rFonts w:ascii="Times New Roman" w:hAnsi="Times New Roman" w:cs="Times New Roman"/>
                <w:snapToGrid w:val="0"/>
                <w:color w:val="auto"/>
                <w:sz w:val="21"/>
                <w:szCs w:val="21"/>
                <w:highlight w:val="none"/>
              </w:rPr>
              <w:t>存在发生较大环境风险的可能，但据《报告》测算概率较低，风险事故的后果在可接受范围。在严格按有关规范搞好危险单元的建设与监管，严格储量控制与规范存放、严格遵守使用与生产的操作规程，认真制定和落实各项环境风险防控措施与应急预案和风险防范与应急物资储备，定期对员工进行突发环境事件应急培训与演练的前提下，风险总体可控并在可接受范围内。</w:t>
            </w:r>
          </w:p>
        </w:tc>
      </w:tr>
      <w:tr w14:paraId="4B5779D4">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917" w:type="pct"/>
            <w:vAlign w:val="center"/>
          </w:tcPr>
          <w:p w14:paraId="16FC28D3">
            <w:pPr>
              <w:pStyle w:val="240"/>
              <w:keepNext w:val="0"/>
              <w:keepLines w:val="0"/>
              <w:pageBreakBefore w:val="0"/>
              <w:kinsoku/>
              <w:wordWrap/>
              <w:overflowPunct/>
              <w:topLinePunct w:val="0"/>
              <w:bidi w:val="0"/>
              <w:adjustRightInd w:val="0"/>
              <w:snapToGrid w:val="0"/>
              <w:ind w:left="0" w:right="0"/>
              <w:textAlignment w:val="auto"/>
              <w:rPr>
                <w:rFonts w:ascii="Times New Roman" w:hAnsi="Times New Roman"/>
                <w:b/>
                <w:color w:val="auto"/>
                <w:kern w:val="0"/>
                <w:highlight w:val="none"/>
              </w:rPr>
            </w:pPr>
            <w:r>
              <w:rPr>
                <w:rFonts w:ascii="Times New Roman" w:hAnsi="Times New Roman"/>
                <w:b/>
                <w:color w:val="auto"/>
                <w:kern w:val="0"/>
                <w:highlight w:val="none"/>
              </w:rPr>
              <w:t>风险防范与管控的主要工程措施</w:t>
            </w:r>
          </w:p>
        </w:tc>
        <w:tc>
          <w:tcPr>
            <w:tcW w:w="4083" w:type="pct"/>
            <w:vAlign w:val="center"/>
          </w:tcPr>
          <w:p w14:paraId="293BB19C">
            <w:pPr>
              <w:pStyle w:val="20"/>
              <w:keepNext w:val="0"/>
              <w:keepLines w:val="0"/>
              <w:pageBreakBefore w:val="0"/>
              <w:kinsoku/>
              <w:wordWrap/>
              <w:overflowPunct/>
              <w:topLinePunct w:val="0"/>
              <w:bidi w:val="0"/>
              <w:adjustRightInd w:val="0"/>
              <w:snapToGrid w:val="0"/>
              <w:ind w:left="0" w:right="0" w:firstLine="420" w:firstLineChars="200"/>
              <w:jc w:val="both"/>
              <w:textAlignment w:val="auto"/>
              <w:rPr>
                <w:rFonts w:ascii="Times New Roman" w:hAnsi="Times New Roman" w:cs="Times New Roman"/>
                <w:snapToGrid w:val="0"/>
                <w:color w:val="auto"/>
                <w:sz w:val="21"/>
                <w:szCs w:val="21"/>
                <w:highlight w:val="none"/>
              </w:rPr>
            </w:pPr>
            <w:r>
              <w:rPr>
                <w:rFonts w:ascii="Times New Roman" w:hAnsi="Times New Roman" w:cs="Times New Roman"/>
                <w:snapToGrid w:val="0"/>
                <w:color w:val="auto"/>
                <w:sz w:val="21"/>
                <w:szCs w:val="21"/>
                <w:highlight w:val="none"/>
              </w:rPr>
              <w:t>按照</w:t>
            </w:r>
            <w:r>
              <w:rPr>
                <w:rFonts w:hint="eastAsia" w:ascii="Times New Roman" w:hAnsi="Times New Roman" w:cs="Times New Roman"/>
                <w:snapToGrid w:val="0"/>
                <w:color w:val="auto"/>
                <w:sz w:val="21"/>
                <w:szCs w:val="21"/>
                <w:highlight w:val="none"/>
              </w:rPr>
              <w:t>“</w:t>
            </w:r>
            <w:r>
              <w:rPr>
                <w:rFonts w:ascii="Times New Roman" w:hAnsi="Times New Roman" w:cs="Times New Roman"/>
                <w:snapToGrid w:val="0"/>
                <w:color w:val="auto"/>
                <w:sz w:val="21"/>
                <w:szCs w:val="21"/>
                <w:highlight w:val="none"/>
              </w:rPr>
              <w:t>源头控制、末端防治、污染监控、应急响应</w:t>
            </w:r>
            <w:r>
              <w:rPr>
                <w:rFonts w:hint="eastAsia" w:ascii="Times New Roman" w:hAnsi="Times New Roman" w:cs="Times New Roman"/>
                <w:snapToGrid w:val="0"/>
                <w:color w:val="auto"/>
                <w:sz w:val="21"/>
                <w:szCs w:val="21"/>
                <w:highlight w:val="none"/>
              </w:rPr>
              <w:t>”</w:t>
            </w:r>
            <w:r>
              <w:rPr>
                <w:rFonts w:ascii="Times New Roman" w:hAnsi="Times New Roman" w:cs="Times New Roman"/>
                <w:snapToGrid w:val="0"/>
                <w:color w:val="auto"/>
                <w:sz w:val="21"/>
                <w:szCs w:val="21"/>
                <w:highlight w:val="none"/>
              </w:rPr>
              <w:t>相结合的原则，从污染物的产生、入渗、扩散、应急响应全阶段进行控制。</w:t>
            </w:r>
            <w:r>
              <w:rPr>
                <w:rFonts w:hint="eastAsia" w:ascii="Times New Roman" w:hAnsi="Times New Roman" w:cs="Times New Roman"/>
                <w:snapToGrid w:val="0"/>
                <w:color w:val="auto"/>
                <w:sz w:val="21"/>
                <w:szCs w:val="21"/>
                <w:highlight w:val="none"/>
                <w:lang w:val="en-US" w:eastAsia="zh-CN"/>
              </w:rPr>
              <w:t>危险品仓库</w:t>
            </w:r>
            <w:r>
              <w:rPr>
                <w:rFonts w:ascii="Times New Roman" w:hAnsi="Times New Roman" w:cs="Times New Roman"/>
                <w:snapToGrid w:val="0"/>
                <w:color w:val="auto"/>
                <w:sz w:val="21"/>
                <w:szCs w:val="21"/>
                <w:highlight w:val="none"/>
              </w:rPr>
              <w:t>的设置必须符合相应规范的要求和储存条件，各类危险化学品不得与禁忌物料混合存放。对</w:t>
            </w:r>
            <w:r>
              <w:rPr>
                <w:rFonts w:hint="eastAsia" w:ascii="Times New Roman" w:hAnsi="Times New Roman" w:cs="Times New Roman"/>
                <w:snapToGrid w:val="0"/>
                <w:color w:val="auto"/>
                <w:sz w:val="21"/>
                <w:szCs w:val="21"/>
                <w:highlight w:val="none"/>
                <w:lang w:val="en-US" w:eastAsia="zh-CN"/>
              </w:rPr>
              <w:t>危险品仓库</w:t>
            </w:r>
            <w:r>
              <w:rPr>
                <w:rFonts w:ascii="Times New Roman" w:hAnsi="Times New Roman" w:cs="Times New Roman"/>
                <w:snapToGrid w:val="0"/>
                <w:color w:val="auto"/>
                <w:sz w:val="21"/>
                <w:szCs w:val="21"/>
                <w:highlight w:val="none"/>
              </w:rPr>
              <w:t>、</w:t>
            </w:r>
            <w:r>
              <w:rPr>
                <w:rFonts w:hint="eastAsia" w:ascii="Times New Roman" w:hAnsi="Times New Roman" w:cs="Times New Roman"/>
                <w:snapToGrid w:val="0"/>
                <w:color w:val="auto"/>
                <w:sz w:val="21"/>
                <w:szCs w:val="21"/>
                <w:highlight w:val="none"/>
                <w:lang w:val="en-US"/>
              </w:rPr>
              <w:t>成品</w:t>
            </w:r>
            <w:r>
              <w:rPr>
                <w:rFonts w:ascii="Times New Roman" w:hAnsi="Times New Roman" w:cs="Times New Roman"/>
                <w:snapToGrid w:val="0"/>
                <w:color w:val="auto"/>
                <w:sz w:val="21"/>
                <w:szCs w:val="21"/>
                <w:highlight w:val="none"/>
              </w:rPr>
              <w:t>库、危废仓库、</w:t>
            </w:r>
            <w:r>
              <w:rPr>
                <w:rFonts w:hint="eastAsia" w:ascii="Times New Roman" w:hAnsi="Times New Roman" w:cs="Times New Roman"/>
                <w:snapToGrid w:val="0"/>
                <w:color w:val="auto"/>
                <w:sz w:val="21"/>
                <w:szCs w:val="21"/>
                <w:highlight w:val="none"/>
                <w:lang w:val="en-US"/>
              </w:rPr>
              <w:t>废液储罐、</w:t>
            </w:r>
            <w:r>
              <w:rPr>
                <w:rFonts w:ascii="Times New Roman" w:hAnsi="Times New Roman" w:cs="Times New Roman"/>
                <w:snapToGrid w:val="0"/>
                <w:color w:val="auto"/>
                <w:sz w:val="21"/>
                <w:szCs w:val="21"/>
                <w:highlight w:val="none"/>
              </w:rPr>
              <w:t>各生产车间、废气处理设施所在区域等危险单元，应严格按公安、消防、应急管理、生态环境等部门的要求和行业技术规范与指南，做好建设和日常运行、管理、监督工作。</w:t>
            </w:r>
            <w:r>
              <w:rPr>
                <w:rFonts w:hint="eastAsia" w:ascii="Times New Roman" w:hAnsi="Times New Roman" w:cs="Times New Roman"/>
                <w:snapToGrid w:val="0"/>
                <w:color w:val="auto"/>
                <w:sz w:val="21"/>
                <w:szCs w:val="21"/>
                <w:highlight w:val="none"/>
                <w:lang w:val="en-US" w:eastAsia="zh-CN"/>
              </w:rPr>
              <w:t>危险品仓库</w:t>
            </w:r>
            <w:r>
              <w:rPr>
                <w:rFonts w:ascii="Times New Roman" w:hAnsi="Times New Roman" w:cs="Times New Roman"/>
                <w:snapToGrid w:val="0"/>
                <w:color w:val="auto"/>
                <w:sz w:val="21"/>
                <w:szCs w:val="21"/>
                <w:highlight w:val="none"/>
              </w:rPr>
              <w:t>、</w:t>
            </w:r>
            <w:r>
              <w:rPr>
                <w:rFonts w:hint="eastAsia" w:ascii="Times New Roman" w:hAnsi="Times New Roman" w:cs="Times New Roman"/>
                <w:snapToGrid w:val="0"/>
                <w:color w:val="auto"/>
                <w:sz w:val="21"/>
                <w:szCs w:val="21"/>
                <w:highlight w:val="none"/>
                <w:lang w:val="en-US"/>
              </w:rPr>
              <w:t>成品</w:t>
            </w:r>
            <w:r>
              <w:rPr>
                <w:rFonts w:ascii="Times New Roman" w:hAnsi="Times New Roman" w:cs="Times New Roman"/>
                <w:snapToGrid w:val="0"/>
                <w:color w:val="auto"/>
                <w:sz w:val="21"/>
                <w:szCs w:val="21"/>
                <w:highlight w:val="none"/>
              </w:rPr>
              <w:t>库、危废仓库、</w:t>
            </w:r>
            <w:r>
              <w:rPr>
                <w:rFonts w:hint="eastAsia" w:ascii="Times New Roman" w:hAnsi="Times New Roman" w:cs="Times New Roman"/>
                <w:snapToGrid w:val="0"/>
                <w:color w:val="auto"/>
                <w:sz w:val="21"/>
                <w:szCs w:val="21"/>
                <w:highlight w:val="none"/>
                <w:lang w:val="en-US"/>
              </w:rPr>
              <w:t>废液储罐、</w:t>
            </w:r>
            <w:r>
              <w:rPr>
                <w:rFonts w:ascii="Times New Roman" w:hAnsi="Times New Roman" w:cs="Times New Roman"/>
                <w:snapToGrid w:val="0"/>
                <w:color w:val="auto"/>
                <w:sz w:val="21"/>
                <w:szCs w:val="21"/>
                <w:highlight w:val="none"/>
              </w:rPr>
              <w:t>各生产车间、废气处理设施等应按消防要求划定禁火、防爆区域，配置消防灭火系统，对使用易燃易爆介质的设备</w:t>
            </w:r>
            <w:r>
              <w:rPr>
                <w:rFonts w:ascii="Times New Roman" w:hAnsi="Times New Roman" w:cs="Times New Roman"/>
                <w:snapToGrid w:val="0"/>
                <w:color w:val="auto"/>
                <w:sz w:val="21"/>
                <w:szCs w:val="21"/>
                <w:highlight w:val="none"/>
                <w:lang w:val="en-US"/>
              </w:rPr>
              <w:t>和产生、存放涉</w:t>
            </w:r>
            <w:r>
              <w:rPr>
                <w:rFonts w:ascii="Times New Roman" w:hAnsi="Times New Roman" w:cs="Times New Roman"/>
                <w:snapToGrid w:val="0"/>
                <w:color w:val="auto"/>
                <w:sz w:val="21"/>
                <w:szCs w:val="21"/>
                <w:highlight w:val="none"/>
              </w:rPr>
              <w:t>爆</w:t>
            </w:r>
            <w:r>
              <w:rPr>
                <w:rFonts w:ascii="Times New Roman" w:hAnsi="Times New Roman" w:cs="Times New Roman"/>
                <w:snapToGrid w:val="0"/>
                <w:color w:val="auto"/>
                <w:sz w:val="21"/>
                <w:szCs w:val="21"/>
                <w:highlight w:val="none"/>
                <w:lang w:val="en-US"/>
              </w:rPr>
              <w:t>粉尘的部位</w:t>
            </w:r>
            <w:r>
              <w:rPr>
                <w:rFonts w:ascii="Times New Roman" w:hAnsi="Times New Roman" w:cs="Times New Roman"/>
                <w:snapToGrid w:val="0"/>
                <w:color w:val="auto"/>
                <w:sz w:val="21"/>
                <w:szCs w:val="21"/>
                <w:highlight w:val="none"/>
              </w:rPr>
              <w:t>，应设置防燃爆元</w:t>
            </w:r>
            <w:r>
              <w:rPr>
                <w:rFonts w:ascii="Times New Roman" w:hAnsi="Times New Roman" w:cs="Times New Roman"/>
                <w:snapToGrid w:val="0"/>
                <w:color w:val="auto"/>
                <w:sz w:val="21"/>
                <w:szCs w:val="21"/>
                <w:highlight w:val="none"/>
                <w:lang w:val="en-US"/>
              </w:rPr>
              <w:t>件或采取</w:t>
            </w:r>
            <w:r>
              <w:rPr>
                <w:rFonts w:ascii="Times New Roman" w:hAnsi="Times New Roman" w:cs="Times New Roman"/>
                <w:snapToGrid w:val="0"/>
                <w:color w:val="auto"/>
                <w:sz w:val="21"/>
                <w:szCs w:val="21"/>
                <w:highlight w:val="none"/>
              </w:rPr>
              <w:t>防燃爆</w:t>
            </w:r>
            <w:r>
              <w:rPr>
                <w:rFonts w:ascii="Times New Roman" w:hAnsi="Times New Roman" w:cs="Times New Roman"/>
                <w:snapToGrid w:val="0"/>
                <w:color w:val="auto"/>
                <w:sz w:val="21"/>
                <w:szCs w:val="21"/>
                <w:highlight w:val="none"/>
                <w:lang w:val="en-US"/>
              </w:rPr>
              <w:t>工程与管理等措施</w:t>
            </w:r>
            <w:r>
              <w:rPr>
                <w:rFonts w:ascii="Times New Roman" w:hAnsi="Times New Roman" w:cs="Times New Roman"/>
                <w:snapToGrid w:val="0"/>
                <w:color w:val="auto"/>
                <w:sz w:val="21"/>
                <w:szCs w:val="21"/>
                <w:highlight w:val="none"/>
              </w:rPr>
              <w:t>。</w:t>
            </w:r>
          </w:p>
          <w:p w14:paraId="0E2632F5">
            <w:pPr>
              <w:pStyle w:val="20"/>
              <w:keepNext w:val="0"/>
              <w:keepLines w:val="0"/>
              <w:pageBreakBefore w:val="0"/>
              <w:kinsoku/>
              <w:wordWrap/>
              <w:overflowPunct/>
              <w:topLinePunct w:val="0"/>
              <w:bidi w:val="0"/>
              <w:adjustRightInd w:val="0"/>
              <w:snapToGrid w:val="0"/>
              <w:ind w:left="0" w:right="0" w:firstLine="420" w:firstLineChars="200"/>
              <w:jc w:val="both"/>
              <w:textAlignment w:val="auto"/>
              <w:rPr>
                <w:rFonts w:ascii="Times New Roman" w:hAnsi="Times New Roman" w:cs="Times New Roman"/>
                <w:snapToGrid w:val="0"/>
                <w:color w:val="auto"/>
                <w:sz w:val="21"/>
                <w:szCs w:val="21"/>
                <w:highlight w:val="none"/>
              </w:rPr>
            </w:pPr>
            <w:r>
              <w:rPr>
                <w:rFonts w:hint="eastAsia" w:ascii="Times New Roman" w:hAnsi="Times New Roman" w:cs="Times New Roman"/>
                <w:snapToGrid w:val="0"/>
                <w:color w:val="auto"/>
                <w:sz w:val="21"/>
                <w:szCs w:val="21"/>
                <w:highlight w:val="none"/>
                <w:lang w:val="en-US" w:eastAsia="zh-CN"/>
              </w:rPr>
              <w:t>已</w:t>
            </w:r>
            <w:r>
              <w:rPr>
                <w:rFonts w:ascii="Times New Roman" w:hAnsi="Times New Roman" w:cs="Times New Roman"/>
                <w:snapToGrid w:val="0"/>
                <w:color w:val="auto"/>
                <w:sz w:val="21"/>
                <w:szCs w:val="21"/>
                <w:highlight w:val="none"/>
              </w:rPr>
              <w:t>建设容积</w:t>
            </w:r>
            <w:r>
              <w:rPr>
                <w:rFonts w:hint="eastAsia" w:ascii="Times New Roman" w:hAnsi="Times New Roman" w:cs="Times New Roman"/>
                <w:snapToGrid w:val="0"/>
                <w:color w:val="auto"/>
                <w:sz w:val="21"/>
                <w:szCs w:val="21"/>
                <w:highlight w:val="none"/>
                <w:lang w:val="en-US" w:eastAsia="zh-CN"/>
              </w:rPr>
              <w:t>540</w:t>
            </w:r>
            <w:r>
              <w:rPr>
                <w:rFonts w:ascii="Times New Roman" w:hAnsi="Times New Roman" w:cs="Times New Roman"/>
                <w:snapToGrid w:val="0"/>
                <w:color w:val="auto"/>
                <w:sz w:val="21"/>
                <w:szCs w:val="21"/>
                <w:highlight w:val="none"/>
              </w:rPr>
              <w:t>m</w:t>
            </w:r>
            <w:r>
              <w:rPr>
                <w:rFonts w:ascii="Times New Roman" w:hAnsi="Times New Roman" w:cs="Times New Roman"/>
                <w:snapToGrid w:val="0"/>
                <w:color w:val="auto"/>
                <w:sz w:val="21"/>
                <w:szCs w:val="21"/>
                <w:highlight w:val="none"/>
                <w:vertAlign w:val="superscript"/>
              </w:rPr>
              <w:t>3</w:t>
            </w:r>
            <w:r>
              <w:rPr>
                <w:rFonts w:ascii="Times New Roman" w:hAnsi="Times New Roman" w:cs="Times New Roman"/>
                <w:snapToGrid w:val="0"/>
                <w:color w:val="auto"/>
                <w:sz w:val="21"/>
                <w:szCs w:val="21"/>
                <w:highlight w:val="none"/>
              </w:rPr>
              <w:t>事故池</w:t>
            </w:r>
            <w:r>
              <w:rPr>
                <w:rFonts w:hint="eastAsia" w:ascii="Times New Roman" w:hAnsi="Times New Roman" w:cs="Times New Roman"/>
                <w:snapToGrid w:val="0"/>
                <w:color w:val="auto"/>
                <w:sz w:val="21"/>
                <w:szCs w:val="21"/>
                <w:highlight w:val="none"/>
                <w:lang w:val="en-US" w:eastAsia="zh-CN"/>
              </w:rPr>
              <w:t>和380m</w:t>
            </w:r>
            <w:r>
              <w:rPr>
                <w:rFonts w:hint="eastAsia" w:ascii="Times New Roman" w:hAnsi="Times New Roman" w:cs="Times New Roman"/>
                <w:snapToGrid w:val="0"/>
                <w:color w:val="auto"/>
                <w:sz w:val="21"/>
                <w:szCs w:val="21"/>
                <w:highlight w:val="none"/>
                <w:vertAlign w:val="superscript"/>
                <w:lang w:val="en-US" w:eastAsia="zh-CN"/>
              </w:rPr>
              <w:t>3</w:t>
            </w:r>
            <w:r>
              <w:rPr>
                <w:rFonts w:hint="eastAsia" w:ascii="Times New Roman" w:hAnsi="Times New Roman" w:cs="Times New Roman"/>
                <w:snapToGrid w:val="0"/>
                <w:color w:val="auto"/>
                <w:sz w:val="21"/>
                <w:szCs w:val="21"/>
                <w:highlight w:val="none"/>
                <w:vertAlign w:val="baseline"/>
                <w:lang w:val="en-US" w:eastAsia="zh-CN"/>
              </w:rPr>
              <w:t>初期雨水收集池</w:t>
            </w:r>
            <w:r>
              <w:rPr>
                <w:rFonts w:ascii="Times New Roman" w:hAnsi="Times New Roman" w:cs="Times New Roman"/>
                <w:snapToGrid w:val="0"/>
                <w:color w:val="auto"/>
                <w:sz w:val="21"/>
                <w:szCs w:val="21"/>
                <w:highlight w:val="none"/>
              </w:rPr>
              <w:t>。</w:t>
            </w:r>
            <w:r>
              <w:rPr>
                <w:rFonts w:hint="eastAsia" w:ascii="Times New Roman" w:hAnsi="Times New Roman" w:cs="Times New Roman"/>
                <w:snapToGrid w:val="0"/>
                <w:color w:val="auto"/>
                <w:sz w:val="21"/>
                <w:szCs w:val="21"/>
                <w:highlight w:val="none"/>
                <w:lang w:val="en-US" w:eastAsia="zh-CN"/>
              </w:rPr>
              <w:t>危险品仓库</w:t>
            </w:r>
            <w:r>
              <w:rPr>
                <w:rFonts w:hint="eastAsia" w:ascii="Times New Roman" w:hAnsi="Times New Roman" w:cs="Times New Roman"/>
                <w:snapToGrid w:val="0"/>
                <w:color w:val="auto"/>
                <w:sz w:val="21"/>
                <w:szCs w:val="21"/>
                <w:highlight w:val="none"/>
              </w:rPr>
              <w:t>、</w:t>
            </w:r>
            <w:r>
              <w:rPr>
                <w:rFonts w:hint="eastAsia" w:ascii="Times New Roman" w:hAnsi="Times New Roman" w:cs="Times New Roman"/>
                <w:snapToGrid w:val="0"/>
                <w:color w:val="auto"/>
                <w:sz w:val="21"/>
                <w:szCs w:val="21"/>
                <w:highlight w:val="none"/>
                <w:lang w:val="en-US"/>
              </w:rPr>
              <w:t>成品库</w:t>
            </w:r>
            <w:r>
              <w:rPr>
                <w:rFonts w:ascii="Times New Roman" w:hAnsi="Times New Roman" w:cs="Times New Roman"/>
                <w:snapToGrid w:val="0"/>
                <w:color w:val="auto"/>
                <w:sz w:val="21"/>
                <w:szCs w:val="21"/>
                <w:highlight w:val="none"/>
              </w:rPr>
              <w:t>和危废仓库要全面落实防雨、防晒、防渗、防腐、防火、防爆、防泄漏、防雷电、通风等技术措施；属于液态化学品物质的应按有关技术规范和规定设置围堰、托盘、截流沟、收集池等</w:t>
            </w:r>
            <w:r>
              <w:rPr>
                <w:rFonts w:hint="eastAsia" w:ascii="Times New Roman" w:hAnsi="Times New Roman" w:cs="Times New Roman"/>
                <w:snapToGrid w:val="0"/>
                <w:color w:val="auto"/>
                <w:sz w:val="21"/>
                <w:szCs w:val="21"/>
                <w:highlight w:val="none"/>
              </w:rPr>
              <w:t>，</w:t>
            </w:r>
            <w:r>
              <w:rPr>
                <w:rFonts w:ascii="Times New Roman" w:hAnsi="Times New Roman" w:cs="Times New Roman"/>
                <w:snapToGrid w:val="0"/>
                <w:color w:val="auto"/>
                <w:sz w:val="21"/>
                <w:szCs w:val="21"/>
                <w:highlight w:val="none"/>
              </w:rPr>
              <w:t>防止泄漏物质进入外环境；厂区实行雨污分流并设置截流切断阀，落实专人管理等措施；电动自动控制阀，火灾、泄漏等探测、报警、防爆监控设施应设置备用电源或不间断电源（UPS），以时刻保持正常工作状态。</w:t>
            </w:r>
          </w:p>
        </w:tc>
      </w:tr>
      <w:tr w14:paraId="7710C741">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917" w:type="pct"/>
            <w:vAlign w:val="center"/>
          </w:tcPr>
          <w:p w14:paraId="18E6120E">
            <w:pPr>
              <w:pStyle w:val="240"/>
              <w:keepNext w:val="0"/>
              <w:keepLines w:val="0"/>
              <w:pageBreakBefore w:val="0"/>
              <w:kinsoku/>
              <w:wordWrap/>
              <w:overflowPunct/>
              <w:topLinePunct w:val="0"/>
              <w:bidi w:val="0"/>
              <w:adjustRightInd w:val="0"/>
              <w:snapToGrid w:val="0"/>
              <w:ind w:left="0" w:right="0"/>
              <w:textAlignment w:val="auto"/>
              <w:rPr>
                <w:rFonts w:ascii="Times New Roman" w:hAnsi="Times New Roman"/>
                <w:b/>
                <w:color w:val="auto"/>
                <w:kern w:val="0"/>
                <w:highlight w:val="none"/>
              </w:rPr>
            </w:pPr>
            <w:r>
              <w:rPr>
                <w:rFonts w:ascii="Times New Roman" w:hAnsi="Times New Roman"/>
                <w:b/>
                <w:color w:val="auto"/>
                <w:kern w:val="0"/>
                <w:highlight w:val="none"/>
              </w:rPr>
              <w:t>风险防范与管控的其它措施</w:t>
            </w:r>
          </w:p>
        </w:tc>
        <w:tc>
          <w:tcPr>
            <w:tcW w:w="4083" w:type="pct"/>
            <w:vAlign w:val="center"/>
          </w:tcPr>
          <w:p w14:paraId="19645D5A">
            <w:pPr>
              <w:pStyle w:val="240"/>
              <w:keepNext w:val="0"/>
              <w:keepLines w:val="0"/>
              <w:pageBreakBefore w:val="0"/>
              <w:kinsoku/>
              <w:wordWrap/>
              <w:overflowPunct/>
              <w:topLinePunct w:val="0"/>
              <w:bidi w:val="0"/>
              <w:adjustRightInd w:val="0"/>
              <w:snapToGrid w:val="0"/>
              <w:ind w:left="0" w:right="0" w:firstLine="420" w:firstLineChars="200"/>
              <w:jc w:val="both"/>
              <w:textAlignment w:val="auto"/>
              <w:rPr>
                <w:rFonts w:ascii="Times New Roman" w:hAnsi="Times New Roman"/>
                <w:color w:val="auto"/>
                <w:kern w:val="0"/>
                <w:highlight w:val="none"/>
              </w:rPr>
            </w:pPr>
            <w:r>
              <w:rPr>
                <w:rFonts w:ascii="Times New Roman" w:hAnsi="Times New Roman"/>
                <w:color w:val="auto"/>
                <w:kern w:val="0"/>
                <w:highlight w:val="none"/>
              </w:rPr>
              <w:t>应设专职环保专员，配备必要的人员防护、急救和事故应急器材；制定落实应急预案和各项环境风险防控措施，定期对员工进行操作规程、突发环境事件应急培训与应急演练。对存贮、使用或输送易燃易爆、有毒有害物质的设备和管道加强保养维护和检查，确保处于良好状态；对废气和废水处理系统及所用填料，进行定期的测试、检修、更新、维护,确保设备处于良好状态。一旦发生风险苗头和事故，按应急预案或有关规定进行设备故障、泄漏、火灾、爆炸、土壤、地下水污染等事故的处理、处置和人员救护，并积极消除其后续影响。</w:t>
            </w:r>
          </w:p>
        </w:tc>
      </w:tr>
      <w:tr w14:paraId="46C82480">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917" w:type="pct"/>
            <w:vAlign w:val="center"/>
          </w:tcPr>
          <w:p w14:paraId="59EF0B42">
            <w:pPr>
              <w:pStyle w:val="240"/>
              <w:keepNext w:val="0"/>
              <w:keepLines w:val="0"/>
              <w:pageBreakBefore w:val="0"/>
              <w:kinsoku/>
              <w:wordWrap/>
              <w:overflowPunct/>
              <w:topLinePunct w:val="0"/>
              <w:bidi w:val="0"/>
              <w:adjustRightInd w:val="0"/>
              <w:snapToGrid w:val="0"/>
              <w:ind w:left="0" w:right="0"/>
              <w:textAlignment w:val="auto"/>
              <w:rPr>
                <w:rFonts w:ascii="Times New Roman" w:hAnsi="Times New Roman"/>
                <w:b/>
                <w:color w:val="auto"/>
                <w:kern w:val="0"/>
                <w:highlight w:val="none"/>
              </w:rPr>
            </w:pPr>
            <w:r>
              <w:rPr>
                <w:rFonts w:ascii="Times New Roman" w:hAnsi="Times New Roman"/>
                <w:b/>
                <w:color w:val="auto"/>
                <w:kern w:val="0"/>
                <w:highlight w:val="none"/>
              </w:rPr>
              <w:t>环境安全距离设置</w:t>
            </w:r>
          </w:p>
        </w:tc>
        <w:tc>
          <w:tcPr>
            <w:tcW w:w="4083" w:type="pct"/>
            <w:vAlign w:val="center"/>
          </w:tcPr>
          <w:p w14:paraId="2FA7D386">
            <w:pPr>
              <w:keepNext w:val="0"/>
              <w:keepLines w:val="0"/>
              <w:pageBreakBefore w:val="0"/>
              <w:kinsoku/>
              <w:wordWrap/>
              <w:overflowPunct/>
              <w:topLinePunct w:val="0"/>
              <w:bidi w:val="0"/>
              <w:ind w:left="0" w:right="0"/>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根</w:t>
            </w:r>
            <w:r>
              <w:rPr>
                <w:rFonts w:ascii="Times New Roman" w:hAnsi="Times New Roman" w:cs="Times New Roman"/>
                <w:color w:val="auto"/>
                <w:sz w:val="21"/>
                <w:szCs w:val="21"/>
                <w:highlight w:val="none"/>
              </w:rPr>
              <w:t>据《报告》按有关规范测算，本项目不需要设置大气环境防护距离。</w:t>
            </w:r>
          </w:p>
        </w:tc>
      </w:tr>
      <w:bookmarkEnd w:id="493"/>
      <w:bookmarkEnd w:id="494"/>
      <w:bookmarkEnd w:id="495"/>
      <w:bookmarkEnd w:id="496"/>
      <w:bookmarkEnd w:id="497"/>
      <w:bookmarkEnd w:id="498"/>
      <w:bookmarkEnd w:id="504"/>
    </w:tbl>
    <w:p w14:paraId="16A9560A">
      <w:pPr>
        <w:spacing w:line="360" w:lineRule="auto"/>
        <w:ind w:left="-105" w:right="-105" w:firstLine="480" w:firstLineChars="200"/>
        <w:rPr>
          <w:rFonts w:ascii="Times New Roman" w:hAnsi="Times New Roman"/>
          <w:color w:val="auto"/>
          <w:szCs w:val="21"/>
          <w:highlight w:val="none"/>
        </w:rPr>
      </w:pPr>
    </w:p>
    <w:p w14:paraId="4EAF62FD">
      <w:pPr>
        <w:spacing w:line="360" w:lineRule="auto"/>
        <w:ind w:left="-105" w:right="-105" w:firstLine="480"/>
        <w:rPr>
          <w:rFonts w:ascii="Times New Roman" w:hAnsi="Times New Roman"/>
          <w:color w:val="auto"/>
          <w:highlight w:val="none"/>
        </w:rPr>
        <w:sectPr>
          <w:headerReference r:id="rId25" w:type="default"/>
          <w:headerReference r:id="rId26" w:type="even"/>
          <w:pgSz w:w="11906" w:h="16838"/>
          <w:pgMar w:top="1440" w:right="1701" w:bottom="1440" w:left="1701" w:header="851" w:footer="851" w:gutter="0"/>
          <w:pgBorders>
            <w:top w:val="none" w:sz="0" w:space="0"/>
            <w:left w:val="none" w:sz="0" w:space="0"/>
            <w:bottom w:val="none" w:sz="0" w:space="0"/>
            <w:right w:val="none" w:sz="0" w:space="0"/>
          </w:pgBorders>
          <w:cols w:space="720" w:num="1"/>
          <w:docGrid w:linePitch="498" w:charSpace="-2336"/>
        </w:sectPr>
      </w:pPr>
    </w:p>
    <w:bookmarkEnd w:id="486"/>
    <w:bookmarkEnd w:id="487"/>
    <w:bookmarkEnd w:id="488"/>
    <w:p w14:paraId="2A6B7261">
      <w:pPr>
        <w:pStyle w:val="4"/>
        <w:numPr>
          <w:ilvl w:val="1"/>
          <w:numId w:val="6"/>
        </w:numPr>
        <w:tabs>
          <w:tab w:val="left" w:pos="426"/>
        </w:tabs>
        <w:spacing w:before="120" w:beforeLines="50" w:after="120" w:afterLines="50" w:line="360" w:lineRule="auto"/>
        <w:ind w:left="-105" w:right="-105" w:firstLine="562"/>
        <w:rPr>
          <w:rFonts w:ascii="Times New Roman" w:eastAsia="宋体"/>
          <w:color w:val="auto"/>
          <w:sz w:val="28"/>
          <w:szCs w:val="28"/>
          <w:highlight w:val="none"/>
        </w:rPr>
      </w:pPr>
      <w:bookmarkStart w:id="505" w:name="_Toc781"/>
      <w:r>
        <w:rPr>
          <w:rFonts w:hint="eastAsia" w:ascii="Times New Roman" w:eastAsia="宋体"/>
          <w:color w:val="auto"/>
          <w:sz w:val="28"/>
          <w:szCs w:val="28"/>
          <w:highlight w:val="none"/>
        </w:rPr>
        <w:t>运行期环境治理与保护措施</w:t>
      </w:r>
      <w:bookmarkEnd w:id="505"/>
    </w:p>
    <w:p w14:paraId="0E96F02E">
      <w:pPr>
        <w:pStyle w:val="15"/>
        <w:spacing w:line="360" w:lineRule="auto"/>
        <w:ind w:left="-105" w:right="-105" w:firstLine="482" w:firstLineChars="200"/>
        <w:rPr>
          <w:rFonts w:eastAsia="宋体" w:cs="Times New Roman"/>
          <w:color w:val="auto"/>
          <w:sz w:val="24"/>
          <w:szCs w:val="21"/>
          <w:highlight w:val="none"/>
        </w:rPr>
      </w:pPr>
      <w:r>
        <w:rPr>
          <w:rFonts w:eastAsia="宋体" w:cs="Times New Roman"/>
          <w:color w:val="auto"/>
          <w:sz w:val="24"/>
          <w:szCs w:val="18"/>
          <w:highlight w:val="none"/>
        </w:rPr>
        <w:t>表</w:t>
      </w:r>
      <w:r>
        <w:rPr>
          <w:rFonts w:eastAsia="宋体" w:cs="Times New Roman"/>
          <w:color w:val="auto"/>
          <w:sz w:val="24"/>
          <w:szCs w:val="18"/>
          <w:highlight w:val="none"/>
        </w:rPr>
        <w:fldChar w:fldCharType="begin"/>
      </w:r>
      <w:r>
        <w:rPr>
          <w:rFonts w:eastAsia="宋体" w:cs="Times New Roman"/>
          <w:color w:val="auto"/>
          <w:sz w:val="24"/>
          <w:szCs w:val="18"/>
          <w:highlight w:val="none"/>
        </w:rPr>
        <w:instrText xml:space="preserve"> STYLEREF 2 \s </w:instrText>
      </w:r>
      <w:r>
        <w:rPr>
          <w:rFonts w:eastAsia="宋体" w:cs="Times New Roman"/>
          <w:color w:val="auto"/>
          <w:sz w:val="24"/>
          <w:szCs w:val="18"/>
          <w:highlight w:val="none"/>
        </w:rPr>
        <w:fldChar w:fldCharType="separate"/>
      </w:r>
      <w:r>
        <w:rPr>
          <w:rFonts w:eastAsia="宋体" w:cs="Times New Roman"/>
          <w:color w:val="auto"/>
          <w:sz w:val="24"/>
          <w:szCs w:val="18"/>
          <w:highlight w:val="none"/>
        </w:rPr>
        <w:t>7.7</w:t>
      </w:r>
      <w:r>
        <w:rPr>
          <w:rFonts w:eastAsia="宋体" w:cs="Times New Roman"/>
          <w:color w:val="auto"/>
          <w:sz w:val="24"/>
          <w:szCs w:val="18"/>
          <w:highlight w:val="none"/>
        </w:rPr>
        <w:fldChar w:fldCharType="end"/>
      </w:r>
      <w:r>
        <w:rPr>
          <w:rFonts w:eastAsia="宋体" w:cs="Times New Roman"/>
          <w:color w:val="auto"/>
          <w:sz w:val="24"/>
          <w:szCs w:val="18"/>
          <w:highlight w:val="none"/>
        </w:rPr>
        <w:noBreakHyphen/>
      </w:r>
      <w:r>
        <w:rPr>
          <w:rFonts w:eastAsia="宋体" w:cs="Times New Roman"/>
          <w:color w:val="auto"/>
          <w:sz w:val="24"/>
          <w:szCs w:val="18"/>
          <w:highlight w:val="none"/>
        </w:rPr>
        <w:fldChar w:fldCharType="begin"/>
      </w:r>
      <w:r>
        <w:rPr>
          <w:rFonts w:eastAsia="宋体" w:cs="Times New Roman"/>
          <w:color w:val="auto"/>
          <w:sz w:val="24"/>
          <w:szCs w:val="18"/>
          <w:highlight w:val="none"/>
        </w:rPr>
        <w:instrText xml:space="preserve"> SEQ 表 \* ARABIC \s 2 </w:instrText>
      </w:r>
      <w:r>
        <w:rPr>
          <w:rFonts w:eastAsia="宋体" w:cs="Times New Roman"/>
          <w:color w:val="auto"/>
          <w:sz w:val="24"/>
          <w:szCs w:val="18"/>
          <w:highlight w:val="none"/>
        </w:rPr>
        <w:fldChar w:fldCharType="separate"/>
      </w:r>
      <w:r>
        <w:rPr>
          <w:rFonts w:eastAsia="宋体" w:cs="Times New Roman"/>
          <w:color w:val="auto"/>
          <w:sz w:val="24"/>
          <w:szCs w:val="18"/>
          <w:highlight w:val="none"/>
        </w:rPr>
        <w:t>1</w:t>
      </w:r>
      <w:r>
        <w:rPr>
          <w:rFonts w:eastAsia="宋体" w:cs="Times New Roman"/>
          <w:color w:val="auto"/>
          <w:sz w:val="24"/>
          <w:szCs w:val="18"/>
          <w:highlight w:val="none"/>
        </w:rPr>
        <w:fldChar w:fldCharType="end"/>
      </w:r>
      <w:r>
        <w:rPr>
          <w:rFonts w:hint="eastAsia" w:eastAsia="宋体" w:cs="Times New Roman"/>
          <w:color w:val="auto"/>
          <w:sz w:val="24"/>
          <w:szCs w:val="18"/>
          <w:highlight w:val="none"/>
        </w:rPr>
        <w:t>运行期环境治理与保护措施</w:t>
      </w:r>
    </w:p>
    <w:tbl>
      <w:tblPr>
        <w:tblStyle w:val="45"/>
        <w:tblW w:w="4997" w:type="pct"/>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
      <w:tblGrid>
        <w:gridCol w:w="542"/>
        <w:gridCol w:w="548"/>
        <w:gridCol w:w="1758"/>
        <w:gridCol w:w="22"/>
        <w:gridCol w:w="1641"/>
        <w:gridCol w:w="1355"/>
        <w:gridCol w:w="1116"/>
        <w:gridCol w:w="1817"/>
        <w:gridCol w:w="703"/>
        <w:gridCol w:w="1252"/>
        <w:gridCol w:w="932"/>
        <w:gridCol w:w="2481"/>
      </w:tblGrid>
      <w:tr w14:paraId="3D4F9A31">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56" w:hRule="atLeast"/>
          <w:jc w:val="center"/>
        </w:trPr>
        <w:tc>
          <w:tcPr>
            <w:tcW w:w="384" w:type="pct"/>
            <w:gridSpan w:val="2"/>
            <w:vMerge w:val="restart"/>
            <w:vAlign w:val="center"/>
          </w:tcPr>
          <w:p w14:paraId="4DF2E382">
            <w:pPr>
              <w:pStyle w:val="240"/>
              <w:pageBreakBefore w:val="0"/>
              <w:kinsoku/>
              <w:wordWrap/>
              <w:overflowPunct/>
              <w:topLinePunct w:val="0"/>
              <w:autoSpaceDE/>
              <w:autoSpaceDN/>
              <w:bidi w:val="0"/>
              <w:adjustRightInd w:val="0"/>
              <w:snapToGrid w:val="0"/>
              <w:ind w:left="0" w:right="0"/>
              <w:textAlignment w:val="auto"/>
              <w:rPr>
                <w:rFonts w:ascii="Times New Roman" w:hAnsi="Times New Roman"/>
                <w:b/>
                <w:color w:val="auto"/>
                <w:highlight w:val="none"/>
              </w:rPr>
            </w:pPr>
            <w:r>
              <w:rPr>
                <w:rFonts w:ascii="Times New Roman" w:hAnsi="Times New Roman"/>
                <w:b/>
                <w:color w:val="auto"/>
                <w:highlight w:val="none"/>
              </w:rPr>
              <w:t>类别</w:t>
            </w:r>
          </w:p>
          <w:p w14:paraId="7925B811">
            <w:pPr>
              <w:pStyle w:val="240"/>
              <w:pageBreakBefore w:val="0"/>
              <w:kinsoku/>
              <w:wordWrap/>
              <w:overflowPunct/>
              <w:topLinePunct w:val="0"/>
              <w:autoSpaceDE/>
              <w:autoSpaceDN/>
              <w:bidi w:val="0"/>
              <w:adjustRightInd w:val="0"/>
              <w:snapToGrid w:val="0"/>
              <w:ind w:left="0" w:right="0"/>
              <w:textAlignment w:val="auto"/>
              <w:rPr>
                <w:rFonts w:ascii="Times New Roman" w:hAnsi="Times New Roman"/>
                <w:b/>
                <w:color w:val="auto"/>
                <w:highlight w:val="none"/>
              </w:rPr>
            </w:pPr>
            <w:r>
              <w:rPr>
                <w:rFonts w:ascii="Times New Roman" w:hAnsi="Times New Roman"/>
                <w:b/>
                <w:color w:val="auto"/>
                <w:highlight w:val="none"/>
              </w:rPr>
              <w:t>形式</w:t>
            </w:r>
          </w:p>
          <w:p w14:paraId="1F31B340">
            <w:pPr>
              <w:pStyle w:val="240"/>
              <w:pageBreakBefore w:val="0"/>
              <w:kinsoku/>
              <w:wordWrap/>
              <w:overflowPunct/>
              <w:topLinePunct w:val="0"/>
              <w:autoSpaceDE/>
              <w:autoSpaceDN/>
              <w:bidi w:val="0"/>
              <w:adjustRightInd w:val="0"/>
              <w:snapToGrid w:val="0"/>
              <w:ind w:left="0" w:right="0"/>
              <w:textAlignment w:val="auto"/>
              <w:rPr>
                <w:rFonts w:ascii="Times New Roman" w:hAnsi="Times New Roman"/>
                <w:b/>
                <w:color w:val="auto"/>
                <w:highlight w:val="none"/>
              </w:rPr>
            </w:pPr>
          </w:p>
        </w:tc>
        <w:tc>
          <w:tcPr>
            <w:tcW w:w="1685" w:type="pct"/>
            <w:gridSpan w:val="4"/>
            <w:vAlign w:val="center"/>
          </w:tcPr>
          <w:p w14:paraId="7BFDB16B">
            <w:pPr>
              <w:pStyle w:val="240"/>
              <w:pageBreakBefore w:val="0"/>
              <w:kinsoku/>
              <w:wordWrap/>
              <w:overflowPunct/>
              <w:topLinePunct w:val="0"/>
              <w:autoSpaceDE/>
              <w:autoSpaceDN/>
              <w:bidi w:val="0"/>
              <w:adjustRightInd w:val="0"/>
              <w:snapToGrid w:val="0"/>
              <w:ind w:left="0" w:right="0"/>
              <w:textAlignment w:val="auto"/>
              <w:rPr>
                <w:rFonts w:ascii="Times New Roman" w:hAnsi="Times New Roman"/>
                <w:b/>
                <w:color w:val="auto"/>
                <w:highlight w:val="none"/>
              </w:rPr>
            </w:pPr>
            <w:r>
              <w:rPr>
                <w:rFonts w:ascii="Times New Roman" w:hAnsi="Times New Roman"/>
                <w:b/>
                <w:color w:val="auto"/>
                <w:highlight w:val="none"/>
              </w:rPr>
              <w:t>污染物（t/a）</w:t>
            </w:r>
          </w:p>
        </w:tc>
        <w:tc>
          <w:tcPr>
            <w:tcW w:w="1283" w:type="pct"/>
            <w:gridSpan w:val="3"/>
            <w:vAlign w:val="center"/>
          </w:tcPr>
          <w:p w14:paraId="557C3EC5">
            <w:pPr>
              <w:pStyle w:val="240"/>
              <w:pageBreakBefore w:val="0"/>
              <w:kinsoku/>
              <w:wordWrap/>
              <w:overflowPunct/>
              <w:topLinePunct w:val="0"/>
              <w:autoSpaceDE/>
              <w:autoSpaceDN/>
              <w:bidi w:val="0"/>
              <w:adjustRightInd w:val="0"/>
              <w:snapToGrid w:val="0"/>
              <w:ind w:left="0" w:right="0"/>
              <w:textAlignment w:val="auto"/>
              <w:rPr>
                <w:rFonts w:ascii="Times New Roman" w:hAnsi="Times New Roman"/>
                <w:b/>
                <w:color w:val="auto"/>
                <w:highlight w:val="none"/>
              </w:rPr>
            </w:pPr>
            <w:r>
              <w:rPr>
                <w:rFonts w:ascii="Times New Roman" w:hAnsi="Times New Roman"/>
                <w:b/>
                <w:color w:val="auto"/>
                <w:highlight w:val="none"/>
              </w:rPr>
              <w:t>捕集、处理（保护）工程措施</w:t>
            </w:r>
          </w:p>
        </w:tc>
        <w:tc>
          <w:tcPr>
            <w:tcW w:w="1646" w:type="pct"/>
            <w:gridSpan w:val="3"/>
            <w:vAlign w:val="center"/>
          </w:tcPr>
          <w:p w14:paraId="6B2211AE">
            <w:pPr>
              <w:pStyle w:val="240"/>
              <w:pageBreakBefore w:val="0"/>
              <w:kinsoku/>
              <w:wordWrap/>
              <w:overflowPunct/>
              <w:topLinePunct w:val="0"/>
              <w:autoSpaceDE/>
              <w:autoSpaceDN/>
              <w:bidi w:val="0"/>
              <w:adjustRightInd w:val="0"/>
              <w:snapToGrid w:val="0"/>
              <w:ind w:left="0" w:right="0"/>
              <w:textAlignment w:val="auto"/>
              <w:rPr>
                <w:rFonts w:ascii="Times New Roman" w:hAnsi="Times New Roman"/>
                <w:b/>
                <w:color w:val="auto"/>
                <w:highlight w:val="none"/>
              </w:rPr>
            </w:pPr>
            <w:r>
              <w:rPr>
                <w:rFonts w:ascii="Times New Roman" w:hAnsi="Times New Roman"/>
                <w:b/>
                <w:color w:val="auto"/>
                <w:highlight w:val="none"/>
              </w:rPr>
              <w:t>排放情况及有关要求</w:t>
            </w:r>
          </w:p>
        </w:tc>
      </w:tr>
      <w:tr w14:paraId="345E1EF2">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384" w:type="pct"/>
            <w:gridSpan w:val="2"/>
            <w:vMerge w:val="continue"/>
            <w:vAlign w:val="center"/>
          </w:tcPr>
          <w:p w14:paraId="497D45F5">
            <w:pPr>
              <w:pStyle w:val="240"/>
              <w:pageBreakBefore w:val="0"/>
              <w:kinsoku/>
              <w:wordWrap/>
              <w:overflowPunct/>
              <w:topLinePunct w:val="0"/>
              <w:autoSpaceDE/>
              <w:autoSpaceDN/>
              <w:bidi w:val="0"/>
              <w:adjustRightInd w:val="0"/>
              <w:snapToGrid w:val="0"/>
              <w:ind w:left="0" w:right="0"/>
              <w:textAlignment w:val="auto"/>
              <w:rPr>
                <w:rFonts w:ascii="Times New Roman" w:hAnsi="Times New Roman"/>
                <w:b/>
                <w:color w:val="auto"/>
                <w:highlight w:val="none"/>
              </w:rPr>
            </w:pPr>
          </w:p>
        </w:tc>
        <w:tc>
          <w:tcPr>
            <w:tcW w:w="628" w:type="pct"/>
            <w:gridSpan w:val="2"/>
            <w:vAlign w:val="center"/>
          </w:tcPr>
          <w:p w14:paraId="46565349">
            <w:pPr>
              <w:pStyle w:val="240"/>
              <w:pageBreakBefore w:val="0"/>
              <w:kinsoku/>
              <w:wordWrap/>
              <w:overflowPunct/>
              <w:topLinePunct w:val="0"/>
              <w:autoSpaceDE/>
              <w:autoSpaceDN/>
              <w:bidi w:val="0"/>
              <w:adjustRightInd w:val="0"/>
              <w:snapToGrid w:val="0"/>
              <w:ind w:left="0" w:right="0"/>
              <w:textAlignment w:val="auto"/>
              <w:rPr>
                <w:rFonts w:ascii="Times New Roman" w:hAnsi="Times New Roman"/>
                <w:b/>
                <w:bCs/>
                <w:color w:val="auto"/>
                <w:highlight w:val="none"/>
              </w:rPr>
            </w:pPr>
            <w:r>
              <w:rPr>
                <w:rFonts w:ascii="Times New Roman" w:hAnsi="Times New Roman"/>
                <w:b/>
                <w:bCs/>
                <w:color w:val="auto"/>
                <w:highlight w:val="none"/>
              </w:rPr>
              <w:t>产污序号及种类</w:t>
            </w:r>
          </w:p>
        </w:tc>
        <w:tc>
          <w:tcPr>
            <w:tcW w:w="579" w:type="pct"/>
            <w:vAlign w:val="center"/>
          </w:tcPr>
          <w:p w14:paraId="5B642700">
            <w:pPr>
              <w:pStyle w:val="240"/>
              <w:pageBreakBefore w:val="0"/>
              <w:kinsoku/>
              <w:wordWrap/>
              <w:overflowPunct/>
              <w:topLinePunct w:val="0"/>
              <w:autoSpaceDE/>
              <w:autoSpaceDN/>
              <w:bidi w:val="0"/>
              <w:adjustRightInd w:val="0"/>
              <w:snapToGrid w:val="0"/>
              <w:ind w:left="0" w:right="0"/>
              <w:textAlignment w:val="auto"/>
              <w:rPr>
                <w:rFonts w:ascii="Times New Roman" w:hAnsi="Times New Roman"/>
                <w:b/>
                <w:bCs/>
                <w:color w:val="auto"/>
                <w:highlight w:val="none"/>
              </w:rPr>
            </w:pPr>
            <w:r>
              <w:rPr>
                <w:rFonts w:ascii="Times New Roman" w:hAnsi="Times New Roman"/>
                <w:b/>
                <w:bCs/>
                <w:color w:val="auto"/>
                <w:highlight w:val="none"/>
              </w:rPr>
              <w:t>名称</w:t>
            </w:r>
          </w:p>
        </w:tc>
        <w:tc>
          <w:tcPr>
            <w:tcW w:w="478" w:type="pct"/>
            <w:vAlign w:val="center"/>
          </w:tcPr>
          <w:p w14:paraId="4ED23B43">
            <w:pPr>
              <w:pStyle w:val="240"/>
              <w:pageBreakBefore w:val="0"/>
              <w:kinsoku/>
              <w:wordWrap/>
              <w:overflowPunct/>
              <w:topLinePunct w:val="0"/>
              <w:autoSpaceDE/>
              <w:autoSpaceDN/>
              <w:bidi w:val="0"/>
              <w:adjustRightInd w:val="0"/>
              <w:snapToGrid w:val="0"/>
              <w:ind w:left="0" w:right="0"/>
              <w:textAlignment w:val="auto"/>
              <w:rPr>
                <w:rFonts w:ascii="Times New Roman" w:hAnsi="Times New Roman"/>
                <w:b/>
                <w:bCs/>
                <w:color w:val="auto"/>
                <w:highlight w:val="none"/>
              </w:rPr>
            </w:pPr>
            <w:r>
              <w:rPr>
                <w:rFonts w:ascii="Times New Roman" w:hAnsi="Times New Roman"/>
                <w:b/>
                <w:bCs/>
                <w:color w:val="auto"/>
                <w:highlight w:val="none"/>
              </w:rPr>
              <w:t>捕集（逃逸）量/产生量</w:t>
            </w:r>
          </w:p>
        </w:tc>
        <w:tc>
          <w:tcPr>
            <w:tcW w:w="393" w:type="pct"/>
            <w:vAlign w:val="center"/>
          </w:tcPr>
          <w:p w14:paraId="6A1B6764">
            <w:pPr>
              <w:pStyle w:val="240"/>
              <w:pageBreakBefore w:val="0"/>
              <w:kinsoku/>
              <w:wordWrap/>
              <w:overflowPunct/>
              <w:topLinePunct w:val="0"/>
              <w:autoSpaceDE/>
              <w:autoSpaceDN/>
              <w:bidi w:val="0"/>
              <w:adjustRightInd w:val="0"/>
              <w:snapToGrid w:val="0"/>
              <w:ind w:left="0" w:right="0"/>
              <w:textAlignment w:val="auto"/>
              <w:rPr>
                <w:rFonts w:ascii="Times New Roman" w:hAnsi="Times New Roman"/>
                <w:b/>
                <w:bCs/>
                <w:color w:val="auto"/>
                <w:highlight w:val="none"/>
              </w:rPr>
            </w:pPr>
            <w:r>
              <w:rPr>
                <w:rFonts w:ascii="Times New Roman" w:hAnsi="Times New Roman"/>
                <w:b/>
                <w:bCs/>
                <w:color w:val="auto"/>
                <w:highlight w:val="none"/>
              </w:rPr>
              <w:t>方式</w:t>
            </w:r>
          </w:p>
          <w:p w14:paraId="2855A5EB">
            <w:pPr>
              <w:pStyle w:val="240"/>
              <w:pageBreakBefore w:val="0"/>
              <w:kinsoku/>
              <w:wordWrap/>
              <w:overflowPunct/>
              <w:topLinePunct w:val="0"/>
              <w:autoSpaceDE/>
              <w:autoSpaceDN/>
              <w:bidi w:val="0"/>
              <w:adjustRightInd w:val="0"/>
              <w:snapToGrid w:val="0"/>
              <w:ind w:left="0" w:right="0"/>
              <w:textAlignment w:val="auto"/>
              <w:rPr>
                <w:rFonts w:ascii="Times New Roman" w:hAnsi="Times New Roman"/>
                <w:b/>
                <w:bCs/>
                <w:color w:val="auto"/>
                <w:highlight w:val="none"/>
              </w:rPr>
            </w:pPr>
            <w:r>
              <w:rPr>
                <w:rFonts w:ascii="Times New Roman" w:hAnsi="Times New Roman"/>
                <w:b/>
                <w:bCs/>
                <w:color w:val="auto"/>
                <w:highlight w:val="none"/>
              </w:rPr>
              <w:t>/效率%</w:t>
            </w:r>
          </w:p>
        </w:tc>
        <w:tc>
          <w:tcPr>
            <w:tcW w:w="641" w:type="pct"/>
            <w:vAlign w:val="center"/>
          </w:tcPr>
          <w:p w14:paraId="7B92DE48">
            <w:pPr>
              <w:pStyle w:val="240"/>
              <w:pageBreakBefore w:val="0"/>
              <w:kinsoku/>
              <w:wordWrap/>
              <w:overflowPunct/>
              <w:topLinePunct w:val="0"/>
              <w:autoSpaceDE/>
              <w:autoSpaceDN/>
              <w:bidi w:val="0"/>
              <w:adjustRightInd w:val="0"/>
              <w:snapToGrid w:val="0"/>
              <w:ind w:left="0" w:right="0"/>
              <w:textAlignment w:val="auto"/>
              <w:rPr>
                <w:rFonts w:ascii="Times New Roman" w:hAnsi="Times New Roman"/>
                <w:b/>
                <w:bCs/>
                <w:color w:val="auto"/>
                <w:highlight w:val="none"/>
              </w:rPr>
            </w:pPr>
            <w:r>
              <w:rPr>
                <w:rFonts w:ascii="Times New Roman" w:hAnsi="Times New Roman"/>
                <w:b/>
                <w:bCs/>
                <w:color w:val="auto"/>
                <w:highlight w:val="none"/>
              </w:rPr>
              <w:t>主要设施、工艺、规模、能力等</w:t>
            </w:r>
          </w:p>
        </w:tc>
        <w:tc>
          <w:tcPr>
            <w:tcW w:w="248" w:type="pct"/>
            <w:vAlign w:val="center"/>
          </w:tcPr>
          <w:p w14:paraId="08C5330F">
            <w:pPr>
              <w:pStyle w:val="240"/>
              <w:pageBreakBefore w:val="0"/>
              <w:kinsoku/>
              <w:wordWrap/>
              <w:overflowPunct/>
              <w:topLinePunct w:val="0"/>
              <w:autoSpaceDE/>
              <w:autoSpaceDN/>
              <w:bidi w:val="0"/>
              <w:adjustRightInd w:val="0"/>
              <w:snapToGrid w:val="0"/>
              <w:ind w:left="0" w:right="0"/>
              <w:textAlignment w:val="auto"/>
              <w:rPr>
                <w:rFonts w:ascii="Times New Roman" w:hAnsi="Times New Roman"/>
                <w:b/>
                <w:bCs/>
                <w:color w:val="auto"/>
                <w:highlight w:val="none"/>
              </w:rPr>
            </w:pPr>
            <w:r>
              <w:rPr>
                <w:rFonts w:ascii="Times New Roman" w:hAnsi="Times New Roman"/>
                <w:b/>
                <w:bCs/>
                <w:color w:val="auto"/>
                <w:highlight w:val="none"/>
              </w:rPr>
              <w:t>去除率%</w:t>
            </w:r>
          </w:p>
        </w:tc>
        <w:tc>
          <w:tcPr>
            <w:tcW w:w="441" w:type="pct"/>
            <w:vAlign w:val="center"/>
          </w:tcPr>
          <w:p w14:paraId="3C177B91">
            <w:pPr>
              <w:pStyle w:val="240"/>
              <w:pageBreakBefore w:val="0"/>
              <w:kinsoku/>
              <w:wordWrap/>
              <w:overflowPunct/>
              <w:topLinePunct w:val="0"/>
              <w:autoSpaceDE/>
              <w:autoSpaceDN/>
              <w:bidi w:val="0"/>
              <w:adjustRightInd w:val="0"/>
              <w:snapToGrid w:val="0"/>
              <w:ind w:left="0" w:right="0"/>
              <w:textAlignment w:val="auto"/>
              <w:rPr>
                <w:rFonts w:ascii="Times New Roman" w:hAnsi="Times New Roman"/>
                <w:b/>
                <w:bCs/>
                <w:color w:val="auto"/>
                <w:highlight w:val="none"/>
              </w:rPr>
            </w:pPr>
            <w:r>
              <w:rPr>
                <w:rFonts w:ascii="Times New Roman" w:hAnsi="Times New Roman"/>
                <w:b/>
                <w:bCs/>
                <w:color w:val="auto"/>
                <w:highlight w:val="none"/>
              </w:rPr>
              <w:t>排放（接管）量t/a</w:t>
            </w:r>
          </w:p>
        </w:tc>
        <w:tc>
          <w:tcPr>
            <w:tcW w:w="328" w:type="pct"/>
            <w:vAlign w:val="center"/>
          </w:tcPr>
          <w:p w14:paraId="5C5AC248">
            <w:pPr>
              <w:pStyle w:val="240"/>
              <w:pageBreakBefore w:val="0"/>
              <w:kinsoku/>
              <w:wordWrap/>
              <w:overflowPunct/>
              <w:topLinePunct w:val="0"/>
              <w:autoSpaceDE/>
              <w:autoSpaceDN/>
              <w:bidi w:val="0"/>
              <w:adjustRightInd w:val="0"/>
              <w:snapToGrid w:val="0"/>
              <w:ind w:left="0" w:right="0"/>
              <w:textAlignment w:val="auto"/>
              <w:rPr>
                <w:rFonts w:ascii="Times New Roman" w:hAnsi="Times New Roman"/>
                <w:b/>
                <w:bCs/>
                <w:color w:val="auto"/>
                <w:highlight w:val="none"/>
              </w:rPr>
            </w:pPr>
            <w:r>
              <w:rPr>
                <w:rFonts w:ascii="Times New Roman" w:hAnsi="Times New Roman"/>
                <w:b/>
                <w:bCs/>
                <w:color w:val="auto"/>
                <w:highlight w:val="none"/>
              </w:rPr>
              <w:t>去向</w:t>
            </w:r>
          </w:p>
        </w:tc>
        <w:tc>
          <w:tcPr>
            <w:tcW w:w="875" w:type="pct"/>
            <w:vAlign w:val="center"/>
          </w:tcPr>
          <w:p w14:paraId="5B80CDFE">
            <w:pPr>
              <w:pStyle w:val="240"/>
              <w:pageBreakBefore w:val="0"/>
              <w:kinsoku/>
              <w:wordWrap/>
              <w:overflowPunct/>
              <w:topLinePunct w:val="0"/>
              <w:autoSpaceDE/>
              <w:autoSpaceDN/>
              <w:bidi w:val="0"/>
              <w:adjustRightInd w:val="0"/>
              <w:snapToGrid w:val="0"/>
              <w:ind w:left="0" w:right="0"/>
              <w:textAlignment w:val="auto"/>
              <w:rPr>
                <w:rFonts w:ascii="Times New Roman" w:hAnsi="Times New Roman"/>
                <w:b/>
                <w:bCs/>
                <w:color w:val="auto"/>
                <w:highlight w:val="none"/>
              </w:rPr>
            </w:pPr>
            <w:r>
              <w:rPr>
                <w:rFonts w:ascii="Times New Roman" w:hAnsi="Times New Roman"/>
                <w:b/>
                <w:bCs/>
                <w:color w:val="auto"/>
                <w:highlight w:val="none"/>
              </w:rPr>
              <w:t>执行标准</w:t>
            </w:r>
          </w:p>
          <w:p w14:paraId="45BA2AA4">
            <w:pPr>
              <w:pStyle w:val="240"/>
              <w:pageBreakBefore w:val="0"/>
              <w:kinsoku/>
              <w:wordWrap/>
              <w:overflowPunct/>
              <w:topLinePunct w:val="0"/>
              <w:autoSpaceDE/>
              <w:autoSpaceDN/>
              <w:bidi w:val="0"/>
              <w:adjustRightInd w:val="0"/>
              <w:snapToGrid w:val="0"/>
              <w:ind w:left="0" w:right="0"/>
              <w:textAlignment w:val="auto"/>
              <w:rPr>
                <w:rFonts w:ascii="Times New Roman" w:hAnsi="Times New Roman"/>
                <w:b/>
                <w:bCs/>
                <w:color w:val="auto"/>
                <w:highlight w:val="none"/>
              </w:rPr>
            </w:pPr>
            <w:r>
              <w:rPr>
                <w:rFonts w:ascii="Times New Roman" w:hAnsi="Times New Roman"/>
                <w:b/>
                <w:bCs/>
                <w:color w:val="auto"/>
                <w:highlight w:val="none"/>
              </w:rPr>
              <w:t>与要求</w:t>
            </w:r>
          </w:p>
        </w:tc>
      </w:tr>
      <w:tr w14:paraId="2A1DF134">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191" w:type="pct"/>
            <w:vMerge w:val="restart"/>
            <w:vAlign w:val="center"/>
          </w:tcPr>
          <w:p w14:paraId="7973716A">
            <w:pPr>
              <w:pStyle w:val="240"/>
              <w:pageBreakBefore w:val="0"/>
              <w:kinsoku/>
              <w:wordWrap/>
              <w:overflowPunct/>
              <w:topLinePunct w:val="0"/>
              <w:autoSpaceDE/>
              <w:autoSpaceDN/>
              <w:bidi w:val="0"/>
              <w:adjustRightInd w:val="0"/>
              <w:snapToGrid w:val="0"/>
              <w:ind w:left="0" w:right="0"/>
              <w:textAlignment w:val="auto"/>
              <w:rPr>
                <w:rFonts w:ascii="Times New Roman" w:hAnsi="Times New Roman"/>
                <w:b/>
                <w:color w:val="auto"/>
                <w:highlight w:val="none"/>
              </w:rPr>
            </w:pPr>
            <w:r>
              <w:rPr>
                <w:rFonts w:ascii="Times New Roman" w:hAnsi="Times New Roman"/>
                <w:b/>
                <w:color w:val="auto"/>
                <w:highlight w:val="none"/>
              </w:rPr>
              <w:t>废</w:t>
            </w:r>
          </w:p>
          <w:p w14:paraId="44FA9C0C">
            <w:pPr>
              <w:pStyle w:val="240"/>
              <w:pageBreakBefore w:val="0"/>
              <w:kinsoku/>
              <w:wordWrap/>
              <w:overflowPunct/>
              <w:topLinePunct w:val="0"/>
              <w:autoSpaceDE/>
              <w:autoSpaceDN/>
              <w:bidi w:val="0"/>
              <w:adjustRightInd w:val="0"/>
              <w:snapToGrid w:val="0"/>
              <w:ind w:left="0" w:right="0"/>
              <w:textAlignment w:val="auto"/>
              <w:rPr>
                <w:rFonts w:ascii="Times New Roman" w:hAnsi="Times New Roman"/>
                <w:b/>
                <w:color w:val="auto"/>
                <w:highlight w:val="none"/>
              </w:rPr>
            </w:pPr>
            <w:r>
              <w:rPr>
                <w:rFonts w:ascii="Times New Roman" w:hAnsi="Times New Roman"/>
                <w:b/>
                <w:color w:val="auto"/>
                <w:highlight w:val="none"/>
              </w:rPr>
              <w:t>气</w:t>
            </w:r>
          </w:p>
        </w:tc>
        <w:tc>
          <w:tcPr>
            <w:tcW w:w="193" w:type="pct"/>
            <w:vMerge w:val="restart"/>
            <w:vAlign w:val="center"/>
          </w:tcPr>
          <w:p w14:paraId="43BFEEAC">
            <w:pPr>
              <w:pStyle w:val="240"/>
              <w:pageBreakBefore w:val="0"/>
              <w:kinsoku/>
              <w:wordWrap/>
              <w:overflowPunct/>
              <w:topLinePunct w:val="0"/>
              <w:autoSpaceDE/>
              <w:autoSpaceDN/>
              <w:bidi w:val="0"/>
              <w:adjustRightInd w:val="0"/>
              <w:snapToGrid w:val="0"/>
              <w:ind w:left="0" w:right="0"/>
              <w:textAlignment w:val="auto"/>
              <w:rPr>
                <w:rFonts w:ascii="Times New Roman" w:hAnsi="Times New Roman"/>
                <w:b/>
                <w:color w:val="auto"/>
                <w:highlight w:val="none"/>
              </w:rPr>
            </w:pPr>
            <w:r>
              <w:rPr>
                <w:rFonts w:ascii="Times New Roman" w:hAnsi="Times New Roman"/>
                <w:b/>
                <w:color w:val="auto"/>
                <w:highlight w:val="none"/>
              </w:rPr>
              <w:t>有组织</w:t>
            </w:r>
          </w:p>
        </w:tc>
        <w:tc>
          <w:tcPr>
            <w:tcW w:w="628" w:type="pct"/>
            <w:gridSpan w:val="2"/>
            <w:vAlign w:val="center"/>
          </w:tcPr>
          <w:p w14:paraId="08976463">
            <w:pPr>
              <w:pStyle w:val="240"/>
              <w:pageBreakBefore w:val="0"/>
              <w:kinsoku/>
              <w:wordWrap/>
              <w:overflowPunct/>
              <w:topLinePunct w:val="0"/>
              <w:autoSpaceDE/>
              <w:autoSpaceDN/>
              <w:bidi w:val="0"/>
              <w:adjustRightInd w:val="0"/>
              <w:snapToGrid w:val="0"/>
              <w:ind w:left="0" w:right="0"/>
              <w:textAlignment w:val="auto"/>
              <w:rPr>
                <w:rFonts w:ascii="Times New Roman" w:hAnsi="Times New Roman"/>
                <w:color w:val="auto"/>
                <w:highlight w:val="none"/>
              </w:rPr>
            </w:pPr>
            <w:r>
              <w:rPr>
                <w:rFonts w:hint="eastAsia" w:ascii="Times New Roman" w:hAnsi="Times New Roman"/>
                <w:color w:val="auto"/>
                <w:highlight w:val="none"/>
              </w:rPr>
              <w:t>混合、收缸废气</w:t>
            </w:r>
            <w:r>
              <w:rPr>
                <w:rFonts w:ascii="Times New Roman" w:hAnsi="Times New Roman"/>
                <w:color w:val="auto"/>
                <w:highlight w:val="none"/>
              </w:rPr>
              <w:t>（G1-1</w:t>
            </w:r>
            <w:r>
              <w:rPr>
                <w:rFonts w:hint="eastAsia" w:ascii="Times New Roman" w:hAnsi="Times New Roman"/>
                <w:color w:val="auto"/>
                <w:highlight w:val="none"/>
              </w:rPr>
              <w:t>、</w:t>
            </w:r>
            <w:r>
              <w:rPr>
                <w:rFonts w:ascii="Times New Roman" w:hAnsi="Times New Roman"/>
                <w:color w:val="auto"/>
                <w:highlight w:val="none"/>
              </w:rPr>
              <w:t>1-3）</w:t>
            </w:r>
          </w:p>
        </w:tc>
        <w:tc>
          <w:tcPr>
            <w:tcW w:w="579" w:type="pct"/>
            <w:vAlign w:val="center"/>
          </w:tcPr>
          <w:p w14:paraId="20C15392">
            <w:pPr>
              <w:pStyle w:val="240"/>
              <w:pageBreakBefore w:val="0"/>
              <w:kinsoku/>
              <w:wordWrap/>
              <w:overflowPunct/>
              <w:topLinePunct w:val="0"/>
              <w:autoSpaceDE/>
              <w:autoSpaceDN/>
              <w:bidi w:val="0"/>
              <w:adjustRightInd w:val="0"/>
              <w:snapToGrid w:val="0"/>
              <w:ind w:left="0" w:right="0"/>
              <w:textAlignment w:val="auto"/>
              <w:rPr>
                <w:rFonts w:ascii="Times New Roman" w:hAnsi="Times New Roman"/>
                <w:color w:val="auto"/>
                <w:highlight w:val="none"/>
              </w:rPr>
            </w:pPr>
            <w:r>
              <w:rPr>
                <w:rFonts w:hint="eastAsia" w:ascii="Times New Roman" w:hAnsi="Times New Roman"/>
                <w:color w:val="auto"/>
                <w:highlight w:val="none"/>
              </w:rPr>
              <w:t>非甲烷总烃</w:t>
            </w:r>
          </w:p>
        </w:tc>
        <w:tc>
          <w:tcPr>
            <w:tcW w:w="478" w:type="pct"/>
            <w:vAlign w:val="center"/>
          </w:tcPr>
          <w:p w14:paraId="2643BC55">
            <w:pPr>
              <w:pStyle w:val="240"/>
              <w:pageBreakBefore w:val="0"/>
              <w:kinsoku/>
              <w:wordWrap/>
              <w:overflowPunct/>
              <w:topLinePunct w:val="0"/>
              <w:autoSpaceDE/>
              <w:autoSpaceDN/>
              <w:bidi w:val="0"/>
              <w:adjustRightInd w:val="0"/>
              <w:snapToGrid w:val="0"/>
              <w:ind w:left="0" w:right="0"/>
              <w:textAlignment w:val="auto"/>
              <w:rPr>
                <w:rFonts w:hint="default" w:ascii="Times New Roman" w:hAnsi="Times New Roman" w:eastAsia="宋体"/>
                <w:color w:val="auto"/>
                <w:highlight w:val="none"/>
                <w:lang w:val="en-US" w:eastAsia="zh-CN"/>
              </w:rPr>
            </w:pPr>
            <w:r>
              <w:rPr>
                <w:rFonts w:hint="eastAsia" w:ascii="Times New Roman" w:hAnsi="Times New Roman"/>
                <w:color w:val="auto"/>
                <w:highlight w:val="none"/>
                <w:lang w:val="en-US" w:eastAsia="zh-CN"/>
              </w:rPr>
              <w:t>1.1540</w:t>
            </w:r>
            <w:r>
              <w:rPr>
                <w:rFonts w:ascii="Times New Roman" w:hAnsi="Times New Roman"/>
                <w:color w:val="auto"/>
                <w:highlight w:val="none"/>
              </w:rPr>
              <w:t>/</w:t>
            </w:r>
            <w:r>
              <w:rPr>
                <w:rFonts w:hint="eastAsia" w:ascii="Times New Roman" w:hAnsi="Times New Roman"/>
                <w:color w:val="auto"/>
                <w:highlight w:val="none"/>
                <w:lang w:val="en-US" w:eastAsia="zh-CN"/>
              </w:rPr>
              <w:t>1.1775</w:t>
            </w:r>
          </w:p>
        </w:tc>
        <w:tc>
          <w:tcPr>
            <w:tcW w:w="393" w:type="pct"/>
            <w:vAlign w:val="center"/>
          </w:tcPr>
          <w:p w14:paraId="106A0228">
            <w:pPr>
              <w:pStyle w:val="240"/>
              <w:pageBreakBefore w:val="0"/>
              <w:kinsoku/>
              <w:wordWrap/>
              <w:overflowPunct/>
              <w:topLinePunct w:val="0"/>
              <w:autoSpaceDE/>
              <w:autoSpaceDN/>
              <w:bidi w:val="0"/>
              <w:adjustRightInd w:val="0"/>
              <w:snapToGrid w:val="0"/>
              <w:ind w:left="0" w:right="0"/>
              <w:textAlignment w:val="auto"/>
              <w:rPr>
                <w:rFonts w:hint="default" w:ascii="Times New Roman" w:hAnsi="Times New Roman" w:eastAsia="宋体"/>
                <w:color w:val="auto"/>
                <w:highlight w:val="none"/>
                <w:lang w:val="en-US" w:eastAsia="zh-CN"/>
              </w:rPr>
            </w:pPr>
            <w:r>
              <w:rPr>
                <w:rFonts w:ascii="Times New Roman" w:hAnsi="Times New Roman"/>
                <w:color w:val="auto"/>
                <w:highlight w:val="none"/>
              </w:rPr>
              <w:t>密闭收集/</w:t>
            </w:r>
            <w:r>
              <w:rPr>
                <w:rFonts w:hint="eastAsia" w:ascii="Times New Roman" w:hAnsi="Times New Roman"/>
                <w:color w:val="auto"/>
                <w:highlight w:val="none"/>
                <w:lang w:val="en-US" w:eastAsia="zh-CN"/>
              </w:rPr>
              <w:t>98</w:t>
            </w:r>
          </w:p>
        </w:tc>
        <w:tc>
          <w:tcPr>
            <w:tcW w:w="641" w:type="pct"/>
            <w:vAlign w:val="center"/>
          </w:tcPr>
          <w:p w14:paraId="1E34F31F">
            <w:pPr>
              <w:pStyle w:val="240"/>
              <w:pageBreakBefore w:val="0"/>
              <w:kinsoku/>
              <w:wordWrap/>
              <w:overflowPunct/>
              <w:topLinePunct w:val="0"/>
              <w:autoSpaceDE/>
              <w:autoSpaceDN/>
              <w:bidi w:val="0"/>
              <w:adjustRightInd w:val="0"/>
              <w:snapToGrid w:val="0"/>
              <w:ind w:left="0" w:right="0"/>
              <w:textAlignment w:val="auto"/>
              <w:rPr>
                <w:rFonts w:ascii="Times New Roman" w:hAnsi="Times New Roman"/>
                <w:color w:val="auto"/>
                <w:highlight w:val="none"/>
              </w:rPr>
            </w:pPr>
            <w:r>
              <w:rPr>
                <w:rFonts w:ascii="Times New Roman" w:hAnsi="Times New Roman"/>
                <w:color w:val="auto"/>
                <w:highlight w:val="none"/>
              </w:rPr>
              <w:t>风量合计</w:t>
            </w:r>
            <w:r>
              <w:rPr>
                <w:rFonts w:hint="eastAsia" w:ascii="Times New Roman" w:hAnsi="Times New Roman"/>
                <w:color w:val="auto"/>
                <w:highlight w:val="none"/>
              </w:rPr>
              <w:t>20</w:t>
            </w:r>
            <w:r>
              <w:rPr>
                <w:rFonts w:ascii="Times New Roman" w:hAnsi="Times New Roman"/>
                <w:color w:val="auto"/>
                <w:highlight w:val="none"/>
              </w:rPr>
              <w:t>000m</w:t>
            </w:r>
            <w:r>
              <w:rPr>
                <w:rFonts w:ascii="Times New Roman" w:hAnsi="Times New Roman"/>
                <w:color w:val="auto"/>
                <w:highlight w:val="none"/>
                <w:vertAlign w:val="superscript"/>
              </w:rPr>
              <w:t>3</w:t>
            </w:r>
            <w:r>
              <w:rPr>
                <w:rFonts w:ascii="Times New Roman" w:hAnsi="Times New Roman"/>
                <w:color w:val="auto"/>
                <w:highlight w:val="none"/>
              </w:rPr>
              <w:t>/h；废气经</w:t>
            </w:r>
            <w:r>
              <w:rPr>
                <w:rFonts w:hint="eastAsia" w:ascii="Times New Roman" w:hAnsi="Times New Roman"/>
                <w:color w:val="auto"/>
                <w:highlight w:val="none"/>
              </w:rPr>
              <w:t>“3级碱液喷淋+二级活性炭吸附”</w:t>
            </w:r>
            <w:r>
              <w:rPr>
                <w:rFonts w:ascii="Times New Roman" w:hAnsi="Times New Roman"/>
                <w:color w:val="auto"/>
                <w:highlight w:val="none"/>
              </w:rPr>
              <w:t>处理。</w:t>
            </w:r>
          </w:p>
        </w:tc>
        <w:tc>
          <w:tcPr>
            <w:tcW w:w="248" w:type="pct"/>
            <w:vAlign w:val="center"/>
          </w:tcPr>
          <w:p w14:paraId="1E8A5D29">
            <w:pPr>
              <w:pStyle w:val="240"/>
              <w:pageBreakBefore w:val="0"/>
              <w:kinsoku/>
              <w:wordWrap/>
              <w:overflowPunct/>
              <w:topLinePunct w:val="0"/>
              <w:autoSpaceDE/>
              <w:autoSpaceDN/>
              <w:bidi w:val="0"/>
              <w:adjustRightInd w:val="0"/>
              <w:snapToGrid w:val="0"/>
              <w:ind w:left="0" w:right="0"/>
              <w:textAlignment w:val="auto"/>
              <w:rPr>
                <w:rFonts w:ascii="Times New Roman" w:hAnsi="Times New Roman"/>
                <w:color w:val="auto"/>
                <w:highlight w:val="none"/>
              </w:rPr>
            </w:pPr>
            <w:r>
              <w:rPr>
                <w:rFonts w:ascii="Times New Roman" w:hAnsi="Times New Roman"/>
                <w:color w:val="auto"/>
                <w:highlight w:val="none"/>
              </w:rPr>
              <w:t>9</w:t>
            </w:r>
            <w:r>
              <w:rPr>
                <w:rFonts w:hint="eastAsia" w:ascii="Times New Roman" w:hAnsi="Times New Roman"/>
                <w:color w:val="auto"/>
                <w:highlight w:val="none"/>
              </w:rPr>
              <w:t>0</w:t>
            </w:r>
          </w:p>
        </w:tc>
        <w:tc>
          <w:tcPr>
            <w:tcW w:w="441" w:type="pct"/>
            <w:vAlign w:val="center"/>
          </w:tcPr>
          <w:p w14:paraId="17319982">
            <w:pPr>
              <w:pStyle w:val="240"/>
              <w:pageBreakBefore w:val="0"/>
              <w:kinsoku/>
              <w:wordWrap/>
              <w:overflowPunct/>
              <w:topLinePunct w:val="0"/>
              <w:autoSpaceDE/>
              <w:autoSpaceDN/>
              <w:bidi w:val="0"/>
              <w:adjustRightInd w:val="0"/>
              <w:snapToGrid w:val="0"/>
              <w:ind w:left="0" w:right="0"/>
              <w:textAlignment w:val="auto"/>
              <w:rPr>
                <w:rFonts w:hint="default" w:ascii="Times New Roman" w:hAnsi="Times New Roman" w:eastAsia="宋体"/>
                <w:color w:val="auto"/>
                <w:highlight w:val="none"/>
                <w:lang w:val="en-US" w:eastAsia="zh-CN"/>
              </w:rPr>
            </w:pPr>
            <w:r>
              <w:rPr>
                <w:rFonts w:hint="eastAsia" w:ascii="Times New Roman" w:hAnsi="Times New Roman"/>
                <w:color w:val="auto"/>
                <w:highlight w:val="none"/>
                <w:lang w:val="en-US" w:eastAsia="zh-CN"/>
              </w:rPr>
              <w:t>0.1154</w:t>
            </w:r>
          </w:p>
        </w:tc>
        <w:tc>
          <w:tcPr>
            <w:tcW w:w="328" w:type="pct"/>
            <w:vAlign w:val="center"/>
          </w:tcPr>
          <w:p w14:paraId="3FC4F0A4">
            <w:pPr>
              <w:pStyle w:val="240"/>
              <w:pageBreakBefore w:val="0"/>
              <w:kinsoku/>
              <w:wordWrap/>
              <w:overflowPunct/>
              <w:topLinePunct w:val="0"/>
              <w:autoSpaceDE/>
              <w:autoSpaceDN/>
              <w:bidi w:val="0"/>
              <w:adjustRightInd w:val="0"/>
              <w:snapToGrid w:val="0"/>
              <w:ind w:left="0" w:right="0"/>
              <w:textAlignment w:val="auto"/>
              <w:rPr>
                <w:rFonts w:ascii="Times New Roman" w:hAnsi="Times New Roman"/>
                <w:color w:val="auto"/>
                <w:highlight w:val="none"/>
              </w:rPr>
            </w:pPr>
            <w:r>
              <w:rPr>
                <w:rFonts w:hint="eastAsia" w:ascii="Times New Roman" w:hAnsi="Times New Roman"/>
                <w:color w:val="auto"/>
                <w:highlight w:val="none"/>
              </w:rPr>
              <w:t>DA005</w:t>
            </w:r>
          </w:p>
        </w:tc>
        <w:tc>
          <w:tcPr>
            <w:tcW w:w="875" w:type="pct"/>
            <w:vAlign w:val="center"/>
          </w:tcPr>
          <w:p w14:paraId="5DF33BFE">
            <w:pPr>
              <w:pageBreakBefore w:val="0"/>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olor w:val="auto"/>
                <w:sz w:val="21"/>
                <w:szCs w:val="21"/>
                <w:highlight w:val="none"/>
              </w:rPr>
              <w:t>非甲烷总烃执行《大气污染物综合排放标准》（DB32/4041-2021）表1标准</w:t>
            </w:r>
          </w:p>
        </w:tc>
      </w:tr>
      <w:tr w14:paraId="3A07BA91">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191" w:type="pct"/>
            <w:vMerge w:val="continue"/>
            <w:vAlign w:val="center"/>
          </w:tcPr>
          <w:p w14:paraId="4140E8C2">
            <w:pPr>
              <w:pStyle w:val="240"/>
              <w:pageBreakBefore w:val="0"/>
              <w:kinsoku/>
              <w:wordWrap/>
              <w:overflowPunct/>
              <w:topLinePunct w:val="0"/>
              <w:autoSpaceDE/>
              <w:autoSpaceDN/>
              <w:bidi w:val="0"/>
              <w:adjustRightInd w:val="0"/>
              <w:snapToGrid w:val="0"/>
              <w:ind w:left="0" w:right="0"/>
              <w:textAlignment w:val="auto"/>
              <w:rPr>
                <w:rFonts w:ascii="Times New Roman" w:hAnsi="Times New Roman"/>
                <w:b/>
                <w:color w:val="auto"/>
                <w:highlight w:val="none"/>
              </w:rPr>
            </w:pPr>
          </w:p>
        </w:tc>
        <w:tc>
          <w:tcPr>
            <w:tcW w:w="193" w:type="pct"/>
            <w:vMerge w:val="continue"/>
            <w:vAlign w:val="center"/>
          </w:tcPr>
          <w:p w14:paraId="129FDC11">
            <w:pPr>
              <w:pStyle w:val="240"/>
              <w:pageBreakBefore w:val="0"/>
              <w:kinsoku/>
              <w:wordWrap/>
              <w:overflowPunct/>
              <w:topLinePunct w:val="0"/>
              <w:autoSpaceDE/>
              <w:autoSpaceDN/>
              <w:bidi w:val="0"/>
              <w:adjustRightInd w:val="0"/>
              <w:snapToGrid w:val="0"/>
              <w:ind w:left="0" w:right="0"/>
              <w:textAlignment w:val="auto"/>
              <w:rPr>
                <w:rFonts w:ascii="Times New Roman" w:hAnsi="Times New Roman"/>
                <w:b/>
                <w:color w:val="auto"/>
                <w:highlight w:val="none"/>
              </w:rPr>
            </w:pPr>
          </w:p>
        </w:tc>
        <w:tc>
          <w:tcPr>
            <w:tcW w:w="628" w:type="pct"/>
            <w:gridSpan w:val="2"/>
            <w:vMerge w:val="restart"/>
            <w:vAlign w:val="center"/>
          </w:tcPr>
          <w:p w14:paraId="4C9A507D">
            <w:pPr>
              <w:pStyle w:val="240"/>
              <w:pageBreakBefore w:val="0"/>
              <w:kinsoku/>
              <w:wordWrap/>
              <w:overflowPunct/>
              <w:topLinePunct w:val="0"/>
              <w:autoSpaceDE/>
              <w:autoSpaceDN/>
              <w:bidi w:val="0"/>
              <w:adjustRightInd w:val="0"/>
              <w:snapToGrid w:val="0"/>
              <w:ind w:left="0" w:right="0"/>
              <w:textAlignment w:val="auto"/>
              <w:rPr>
                <w:rFonts w:ascii="Times New Roman" w:hAnsi="Times New Roman"/>
                <w:color w:val="auto"/>
                <w:highlight w:val="none"/>
              </w:rPr>
            </w:pPr>
            <w:r>
              <w:rPr>
                <w:rFonts w:hint="eastAsia" w:ascii="Times New Roman" w:hAnsi="Times New Roman"/>
                <w:color w:val="auto"/>
                <w:highlight w:val="none"/>
              </w:rPr>
              <w:t>实验</w:t>
            </w:r>
            <w:r>
              <w:rPr>
                <w:rFonts w:ascii="Times New Roman" w:hAnsi="Times New Roman"/>
                <w:color w:val="auto"/>
                <w:highlight w:val="none"/>
              </w:rPr>
              <w:t>废气（G1-</w:t>
            </w:r>
            <w:r>
              <w:rPr>
                <w:rFonts w:hint="eastAsia" w:ascii="Times New Roman" w:hAnsi="Times New Roman"/>
                <w:color w:val="auto"/>
                <w:highlight w:val="none"/>
              </w:rPr>
              <w:t>2</w:t>
            </w:r>
            <w:r>
              <w:rPr>
                <w:rFonts w:ascii="Times New Roman" w:hAnsi="Times New Roman"/>
                <w:color w:val="auto"/>
                <w:highlight w:val="none"/>
              </w:rPr>
              <w:t>）</w:t>
            </w:r>
          </w:p>
        </w:tc>
        <w:tc>
          <w:tcPr>
            <w:tcW w:w="579" w:type="pct"/>
            <w:vAlign w:val="center"/>
          </w:tcPr>
          <w:p w14:paraId="6233E63F">
            <w:pPr>
              <w:pStyle w:val="240"/>
              <w:pageBreakBefore w:val="0"/>
              <w:kinsoku/>
              <w:wordWrap/>
              <w:overflowPunct/>
              <w:topLinePunct w:val="0"/>
              <w:autoSpaceDE/>
              <w:autoSpaceDN/>
              <w:bidi w:val="0"/>
              <w:adjustRightInd w:val="0"/>
              <w:snapToGrid w:val="0"/>
              <w:ind w:left="0" w:right="0"/>
              <w:textAlignment w:val="auto"/>
              <w:rPr>
                <w:rFonts w:ascii="Times New Roman" w:hAnsi="Times New Roman"/>
                <w:color w:val="auto"/>
                <w:highlight w:val="none"/>
              </w:rPr>
            </w:pPr>
            <w:r>
              <w:rPr>
                <w:rFonts w:hint="eastAsia" w:ascii="Times New Roman" w:hAnsi="Times New Roman"/>
                <w:color w:val="auto"/>
                <w:highlight w:val="none"/>
              </w:rPr>
              <w:t>非甲烷总烃</w:t>
            </w:r>
          </w:p>
        </w:tc>
        <w:tc>
          <w:tcPr>
            <w:tcW w:w="478" w:type="pct"/>
            <w:vAlign w:val="center"/>
          </w:tcPr>
          <w:p w14:paraId="17A3E12F">
            <w:pPr>
              <w:pStyle w:val="240"/>
              <w:pageBreakBefore w:val="0"/>
              <w:kinsoku/>
              <w:wordWrap/>
              <w:overflowPunct/>
              <w:topLinePunct w:val="0"/>
              <w:autoSpaceDE/>
              <w:autoSpaceDN/>
              <w:bidi w:val="0"/>
              <w:adjustRightInd w:val="0"/>
              <w:snapToGrid w:val="0"/>
              <w:ind w:left="0" w:right="0"/>
              <w:textAlignment w:val="auto"/>
              <w:rPr>
                <w:rFonts w:hint="default" w:ascii="Times New Roman" w:hAnsi="Times New Roman" w:eastAsia="宋体"/>
                <w:color w:val="auto"/>
                <w:highlight w:val="none"/>
                <w:lang w:val="en-US" w:eastAsia="zh-CN"/>
              </w:rPr>
            </w:pPr>
            <w:r>
              <w:rPr>
                <w:rFonts w:hint="eastAsia" w:ascii="Times New Roman" w:hAnsi="Times New Roman"/>
                <w:color w:val="auto"/>
                <w:highlight w:val="none"/>
              </w:rPr>
              <w:t>0.0</w:t>
            </w:r>
            <w:r>
              <w:rPr>
                <w:rFonts w:hint="eastAsia" w:ascii="Times New Roman" w:hAnsi="Times New Roman"/>
                <w:color w:val="auto"/>
                <w:highlight w:val="none"/>
                <w:lang w:val="en-US" w:eastAsia="zh-CN"/>
              </w:rPr>
              <w:t>062</w:t>
            </w:r>
            <w:r>
              <w:rPr>
                <w:rFonts w:hint="eastAsia" w:ascii="Times New Roman" w:hAnsi="Times New Roman"/>
                <w:color w:val="auto"/>
                <w:highlight w:val="none"/>
              </w:rPr>
              <w:t>/0.00</w:t>
            </w:r>
            <w:r>
              <w:rPr>
                <w:rFonts w:hint="eastAsia" w:ascii="Times New Roman" w:hAnsi="Times New Roman"/>
                <w:color w:val="auto"/>
                <w:highlight w:val="none"/>
                <w:lang w:val="en-US" w:eastAsia="zh-CN"/>
              </w:rPr>
              <w:t>67</w:t>
            </w:r>
          </w:p>
        </w:tc>
        <w:tc>
          <w:tcPr>
            <w:tcW w:w="393" w:type="pct"/>
            <w:vMerge w:val="restart"/>
            <w:vAlign w:val="center"/>
          </w:tcPr>
          <w:p w14:paraId="5C186E08">
            <w:pPr>
              <w:pageBreakBefore w:val="0"/>
              <w:kinsoku/>
              <w:wordWrap/>
              <w:overflowPunct/>
              <w:topLinePunct w:val="0"/>
              <w:autoSpaceDE/>
              <w:autoSpaceDN/>
              <w:bidi w:val="0"/>
              <w:adjustRightInd w:val="0"/>
              <w:snapToGrid w:val="0"/>
              <w:ind w:left="0" w:right="0"/>
              <w:jc w:val="center"/>
              <w:textAlignment w:val="auto"/>
              <w:rPr>
                <w:rFonts w:hint="default" w:ascii="Times New Roman" w:hAnsi="Times New Roman" w:eastAsia="宋体" w:cs="Times New Roman"/>
                <w:color w:val="auto"/>
                <w:sz w:val="21"/>
                <w:szCs w:val="21"/>
                <w:highlight w:val="none"/>
                <w:lang w:val="en-US" w:eastAsia="zh-CN"/>
              </w:rPr>
            </w:pPr>
            <w:r>
              <w:rPr>
                <w:rFonts w:ascii="Times New Roman" w:hAnsi="Times New Roman" w:cs="Times New Roman"/>
                <w:color w:val="auto"/>
                <w:sz w:val="21"/>
                <w:szCs w:val="21"/>
                <w:highlight w:val="none"/>
              </w:rPr>
              <w:t>密闭收集</w:t>
            </w:r>
            <w:r>
              <w:rPr>
                <w:rFonts w:hint="eastAsia" w:ascii="Times New Roman" w:hAnsi="Times New Roman" w:cs="Times New Roman"/>
                <w:color w:val="auto"/>
                <w:sz w:val="21"/>
                <w:szCs w:val="21"/>
                <w:highlight w:val="none"/>
              </w:rPr>
              <w:t>、通风橱收集</w:t>
            </w:r>
            <w:r>
              <w:rPr>
                <w:rFonts w:ascii="Times New Roman" w:hAnsi="Times New Roman" w:cs="Times New Roman"/>
                <w:color w:val="auto"/>
                <w:sz w:val="21"/>
                <w:szCs w:val="21"/>
                <w:highlight w:val="none"/>
              </w:rPr>
              <w:t>/9</w:t>
            </w:r>
            <w:r>
              <w:rPr>
                <w:rFonts w:hint="eastAsia" w:ascii="Times New Roman" w:hAnsi="Times New Roman" w:cs="Times New Roman"/>
                <w:color w:val="auto"/>
                <w:sz w:val="21"/>
                <w:szCs w:val="21"/>
                <w:highlight w:val="none"/>
                <w:lang w:val="en-US" w:eastAsia="zh-CN"/>
              </w:rPr>
              <w:t>0、100</w:t>
            </w:r>
          </w:p>
        </w:tc>
        <w:tc>
          <w:tcPr>
            <w:tcW w:w="641" w:type="pct"/>
            <w:vMerge w:val="restart"/>
            <w:vAlign w:val="center"/>
          </w:tcPr>
          <w:p w14:paraId="4BD767AC">
            <w:pPr>
              <w:pageBreakBefore w:val="0"/>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风量</w:t>
            </w:r>
            <w:r>
              <w:rPr>
                <w:rFonts w:hint="eastAsia" w:ascii="Times New Roman" w:hAnsi="Times New Roman" w:cs="Times New Roman"/>
                <w:color w:val="auto"/>
                <w:sz w:val="21"/>
                <w:szCs w:val="21"/>
                <w:highlight w:val="none"/>
                <w:lang w:val="en-US" w:eastAsia="zh-CN"/>
              </w:rPr>
              <w:t>40</w:t>
            </w:r>
            <w:r>
              <w:rPr>
                <w:rFonts w:ascii="Times New Roman" w:hAnsi="Times New Roman" w:cs="Times New Roman"/>
                <w:color w:val="auto"/>
                <w:sz w:val="21"/>
                <w:szCs w:val="21"/>
                <w:highlight w:val="none"/>
              </w:rPr>
              <w:t>00m</w:t>
            </w:r>
            <w:r>
              <w:rPr>
                <w:rFonts w:ascii="Times New Roman" w:hAnsi="Times New Roman" w:cs="Times New Roman"/>
                <w:color w:val="auto"/>
                <w:sz w:val="21"/>
                <w:szCs w:val="21"/>
                <w:highlight w:val="none"/>
                <w:vertAlign w:val="superscript"/>
              </w:rPr>
              <w:t>3</w:t>
            </w:r>
            <w:r>
              <w:rPr>
                <w:rFonts w:ascii="Times New Roman" w:hAnsi="Times New Roman" w:cs="Times New Roman"/>
                <w:color w:val="auto"/>
                <w:sz w:val="21"/>
                <w:szCs w:val="21"/>
                <w:highlight w:val="none"/>
              </w:rPr>
              <w:t>/h；废气经</w:t>
            </w:r>
            <w:r>
              <w:rPr>
                <w:rFonts w:hint="eastAsia" w:ascii="Times New Roman" w:hAnsi="Times New Roman" w:cs="Times New Roman"/>
                <w:color w:val="auto"/>
                <w:sz w:val="21"/>
                <w:szCs w:val="21"/>
                <w:highlight w:val="none"/>
              </w:rPr>
              <w:t>“二级活性炭吸附”</w:t>
            </w:r>
            <w:r>
              <w:rPr>
                <w:rFonts w:ascii="Times New Roman" w:hAnsi="Times New Roman" w:cs="Times New Roman"/>
                <w:color w:val="auto"/>
                <w:sz w:val="21"/>
                <w:szCs w:val="21"/>
                <w:highlight w:val="none"/>
              </w:rPr>
              <w:t>处理。</w:t>
            </w:r>
          </w:p>
        </w:tc>
        <w:tc>
          <w:tcPr>
            <w:tcW w:w="248" w:type="pct"/>
            <w:vAlign w:val="center"/>
          </w:tcPr>
          <w:p w14:paraId="4B831000">
            <w:pPr>
              <w:pageBreakBefore w:val="0"/>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90</w:t>
            </w:r>
          </w:p>
        </w:tc>
        <w:tc>
          <w:tcPr>
            <w:tcW w:w="441" w:type="pct"/>
            <w:vAlign w:val="center"/>
          </w:tcPr>
          <w:p w14:paraId="6906B03F">
            <w:pPr>
              <w:pStyle w:val="240"/>
              <w:pageBreakBefore w:val="0"/>
              <w:kinsoku/>
              <w:wordWrap/>
              <w:overflowPunct/>
              <w:topLinePunct w:val="0"/>
              <w:autoSpaceDE/>
              <w:autoSpaceDN/>
              <w:bidi w:val="0"/>
              <w:adjustRightInd w:val="0"/>
              <w:snapToGrid w:val="0"/>
              <w:ind w:left="0" w:right="0"/>
              <w:textAlignment w:val="auto"/>
              <w:rPr>
                <w:rFonts w:hint="default" w:ascii="Times New Roman" w:hAnsi="Times New Roman" w:eastAsia="宋体"/>
                <w:color w:val="auto"/>
                <w:highlight w:val="none"/>
                <w:lang w:val="en-US" w:eastAsia="zh-CN"/>
              </w:rPr>
            </w:pPr>
            <w:r>
              <w:rPr>
                <w:rFonts w:hint="eastAsia" w:ascii="Times New Roman" w:hAnsi="Times New Roman"/>
                <w:color w:val="auto"/>
                <w:highlight w:val="none"/>
                <w:lang w:val="en-US" w:eastAsia="zh-CN"/>
              </w:rPr>
              <w:t>0.0006</w:t>
            </w:r>
          </w:p>
        </w:tc>
        <w:tc>
          <w:tcPr>
            <w:tcW w:w="328" w:type="pct"/>
            <w:vMerge w:val="restart"/>
            <w:vAlign w:val="center"/>
          </w:tcPr>
          <w:p w14:paraId="20CDA7F2">
            <w:pPr>
              <w:pageBreakBefore w:val="0"/>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DA006</w:t>
            </w:r>
          </w:p>
        </w:tc>
        <w:tc>
          <w:tcPr>
            <w:tcW w:w="875" w:type="pct"/>
            <w:vMerge w:val="restart"/>
            <w:vAlign w:val="center"/>
          </w:tcPr>
          <w:p w14:paraId="5145D440">
            <w:pPr>
              <w:pageBreakBefore w:val="0"/>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olor w:val="auto"/>
                <w:sz w:val="21"/>
                <w:szCs w:val="21"/>
                <w:highlight w:val="none"/>
              </w:rPr>
              <w:t>非甲烷总烃</w:t>
            </w:r>
            <w:r>
              <w:rPr>
                <w:rFonts w:hint="eastAsia" w:ascii="Times New Roman" w:hAnsi="Times New Roman"/>
                <w:color w:val="auto"/>
                <w:sz w:val="21"/>
                <w:szCs w:val="21"/>
                <w:highlight w:val="none"/>
                <w:lang w:eastAsia="zh-CN"/>
              </w:rPr>
              <w:t>、</w:t>
            </w:r>
            <w:r>
              <w:rPr>
                <w:rFonts w:hint="eastAsia" w:ascii="Times New Roman" w:hAnsi="Times New Roman"/>
                <w:color w:val="auto"/>
                <w:sz w:val="21"/>
                <w:szCs w:val="21"/>
                <w:highlight w:val="none"/>
                <w:lang w:val="en-US" w:eastAsia="zh-CN"/>
              </w:rPr>
              <w:t>氮氧化物</w:t>
            </w:r>
            <w:r>
              <w:rPr>
                <w:rFonts w:hint="eastAsia" w:ascii="Times New Roman" w:hAnsi="Times New Roman"/>
                <w:color w:val="auto"/>
                <w:sz w:val="21"/>
                <w:szCs w:val="21"/>
                <w:highlight w:val="none"/>
              </w:rPr>
              <w:t>执行《大气污染物综合排放标准》（DB32/4041-2021）表1标准</w:t>
            </w:r>
          </w:p>
        </w:tc>
      </w:tr>
      <w:tr w14:paraId="1AB92381">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191" w:type="pct"/>
            <w:vMerge w:val="continue"/>
            <w:vAlign w:val="center"/>
          </w:tcPr>
          <w:p w14:paraId="77FCC17A">
            <w:pPr>
              <w:pStyle w:val="240"/>
              <w:pageBreakBefore w:val="0"/>
              <w:kinsoku/>
              <w:wordWrap/>
              <w:overflowPunct/>
              <w:topLinePunct w:val="0"/>
              <w:autoSpaceDE/>
              <w:autoSpaceDN/>
              <w:bidi w:val="0"/>
              <w:adjustRightInd w:val="0"/>
              <w:snapToGrid w:val="0"/>
              <w:ind w:left="0" w:right="0"/>
              <w:textAlignment w:val="auto"/>
              <w:rPr>
                <w:rFonts w:ascii="Times New Roman" w:hAnsi="Times New Roman"/>
                <w:b/>
                <w:color w:val="auto"/>
                <w:highlight w:val="none"/>
              </w:rPr>
            </w:pPr>
          </w:p>
        </w:tc>
        <w:tc>
          <w:tcPr>
            <w:tcW w:w="193" w:type="pct"/>
            <w:vMerge w:val="continue"/>
            <w:vAlign w:val="center"/>
          </w:tcPr>
          <w:p w14:paraId="13894FEB">
            <w:pPr>
              <w:pStyle w:val="240"/>
              <w:pageBreakBefore w:val="0"/>
              <w:kinsoku/>
              <w:wordWrap/>
              <w:overflowPunct/>
              <w:topLinePunct w:val="0"/>
              <w:autoSpaceDE/>
              <w:autoSpaceDN/>
              <w:bidi w:val="0"/>
              <w:adjustRightInd w:val="0"/>
              <w:snapToGrid w:val="0"/>
              <w:ind w:left="0" w:right="0"/>
              <w:textAlignment w:val="auto"/>
              <w:rPr>
                <w:rFonts w:ascii="Times New Roman" w:hAnsi="Times New Roman"/>
                <w:b/>
                <w:color w:val="auto"/>
                <w:highlight w:val="none"/>
              </w:rPr>
            </w:pPr>
          </w:p>
        </w:tc>
        <w:tc>
          <w:tcPr>
            <w:tcW w:w="628" w:type="pct"/>
            <w:gridSpan w:val="2"/>
            <w:vMerge w:val="continue"/>
            <w:vAlign w:val="center"/>
          </w:tcPr>
          <w:p w14:paraId="74609567">
            <w:pPr>
              <w:pStyle w:val="240"/>
              <w:pageBreakBefore w:val="0"/>
              <w:kinsoku/>
              <w:wordWrap/>
              <w:overflowPunct/>
              <w:topLinePunct w:val="0"/>
              <w:autoSpaceDE/>
              <w:autoSpaceDN/>
              <w:bidi w:val="0"/>
              <w:adjustRightInd w:val="0"/>
              <w:snapToGrid w:val="0"/>
              <w:ind w:left="0" w:right="0"/>
              <w:textAlignment w:val="auto"/>
              <w:rPr>
                <w:rFonts w:hint="eastAsia" w:ascii="Times New Roman" w:hAnsi="Times New Roman"/>
                <w:color w:val="auto"/>
                <w:highlight w:val="none"/>
              </w:rPr>
            </w:pPr>
          </w:p>
        </w:tc>
        <w:tc>
          <w:tcPr>
            <w:tcW w:w="579" w:type="pct"/>
            <w:vAlign w:val="center"/>
          </w:tcPr>
          <w:p w14:paraId="030FCB91">
            <w:pPr>
              <w:pStyle w:val="240"/>
              <w:pageBreakBefore w:val="0"/>
              <w:kinsoku/>
              <w:wordWrap/>
              <w:overflowPunct/>
              <w:topLinePunct w:val="0"/>
              <w:autoSpaceDE/>
              <w:autoSpaceDN/>
              <w:bidi w:val="0"/>
              <w:adjustRightInd w:val="0"/>
              <w:snapToGrid w:val="0"/>
              <w:ind w:left="0" w:right="0"/>
              <w:textAlignment w:val="auto"/>
              <w:rPr>
                <w:rFonts w:hint="eastAsia" w:ascii="Times New Roman" w:hAnsi="Times New Roman" w:eastAsia="宋体"/>
                <w:color w:val="auto"/>
                <w:highlight w:val="none"/>
                <w:lang w:val="en-US" w:eastAsia="zh-CN"/>
              </w:rPr>
            </w:pPr>
            <w:r>
              <w:rPr>
                <w:rFonts w:hint="eastAsia" w:ascii="Times New Roman" w:hAnsi="Times New Roman"/>
                <w:color w:val="auto"/>
                <w:highlight w:val="none"/>
                <w:lang w:val="en-US" w:eastAsia="zh-CN"/>
              </w:rPr>
              <w:t>氮氧化物</w:t>
            </w:r>
          </w:p>
        </w:tc>
        <w:tc>
          <w:tcPr>
            <w:tcW w:w="478" w:type="pct"/>
            <w:vAlign w:val="center"/>
          </w:tcPr>
          <w:p w14:paraId="631CBA12">
            <w:pPr>
              <w:pStyle w:val="240"/>
              <w:pageBreakBefore w:val="0"/>
              <w:kinsoku/>
              <w:wordWrap/>
              <w:overflowPunct/>
              <w:topLinePunct w:val="0"/>
              <w:autoSpaceDE/>
              <w:autoSpaceDN/>
              <w:bidi w:val="0"/>
              <w:adjustRightInd w:val="0"/>
              <w:snapToGrid w:val="0"/>
              <w:ind w:left="0" w:right="0"/>
              <w:textAlignment w:val="auto"/>
              <w:rPr>
                <w:rFonts w:hint="default" w:ascii="Times New Roman" w:hAnsi="Times New Roman" w:eastAsia="宋体"/>
                <w:color w:val="auto"/>
                <w:highlight w:val="none"/>
                <w:lang w:val="en-US" w:eastAsia="zh-CN"/>
              </w:rPr>
            </w:pPr>
            <w:r>
              <w:rPr>
                <w:rFonts w:hint="eastAsia" w:ascii="Times New Roman" w:hAnsi="Times New Roman"/>
                <w:color w:val="auto"/>
                <w:highlight w:val="none"/>
                <w:lang w:val="en-US" w:eastAsia="zh-CN"/>
              </w:rPr>
              <w:t>0.00297/0.003</w:t>
            </w:r>
          </w:p>
        </w:tc>
        <w:tc>
          <w:tcPr>
            <w:tcW w:w="393" w:type="pct"/>
            <w:vMerge w:val="continue"/>
            <w:vAlign w:val="center"/>
          </w:tcPr>
          <w:p w14:paraId="6F54AE8D">
            <w:pPr>
              <w:pageBreakBefore w:val="0"/>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sz w:val="21"/>
                <w:szCs w:val="21"/>
                <w:highlight w:val="none"/>
              </w:rPr>
            </w:pPr>
          </w:p>
        </w:tc>
        <w:tc>
          <w:tcPr>
            <w:tcW w:w="641" w:type="pct"/>
            <w:vMerge w:val="continue"/>
            <w:vAlign w:val="center"/>
          </w:tcPr>
          <w:p w14:paraId="68C25407">
            <w:pPr>
              <w:pageBreakBefore w:val="0"/>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sz w:val="21"/>
                <w:szCs w:val="21"/>
                <w:highlight w:val="none"/>
              </w:rPr>
            </w:pPr>
          </w:p>
        </w:tc>
        <w:tc>
          <w:tcPr>
            <w:tcW w:w="248" w:type="pct"/>
            <w:vAlign w:val="center"/>
          </w:tcPr>
          <w:p w14:paraId="4641A9C1">
            <w:pPr>
              <w:pageBreakBefore w:val="0"/>
              <w:kinsoku/>
              <w:wordWrap/>
              <w:overflowPunct/>
              <w:topLinePunct w:val="0"/>
              <w:autoSpaceDE/>
              <w:autoSpaceDN/>
              <w:bidi w:val="0"/>
              <w:adjustRightInd w:val="0"/>
              <w:snapToGrid w:val="0"/>
              <w:ind w:left="0" w:right="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90</w:t>
            </w:r>
          </w:p>
        </w:tc>
        <w:tc>
          <w:tcPr>
            <w:tcW w:w="441" w:type="pct"/>
            <w:vAlign w:val="center"/>
          </w:tcPr>
          <w:p w14:paraId="1F112483">
            <w:pPr>
              <w:pStyle w:val="240"/>
              <w:pageBreakBefore w:val="0"/>
              <w:kinsoku/>
              <w:wordWrap/>
              <w:overflowPunct/>
              <w:topLinePunct w:val="0"/>
              <w:autoSpaceDE/>
              <w:autoSpaceDN/>
              <w:bidi w:val="0"/>
              <w:adjustRightInd w:val="0"/>
              <w:snapToGrid w:val="0"/>
              <w:ind w:left="0" w:right="0"/>
              <w:textAlignment w:val="auto"/>
              <w:rPr>
                <w:rFonts w:hint="default" w:ascii="Times New Roman" w:hAnsi="Times New Roman" w:eastAsia="等线"/>
                <w:color w:val="auto"/>
                <w:kern w:val="0"/>
                <w:highlight w:val="none"/>
                <w:lang w:val="en-US" w:eastAsia="zh-CN" w:bidi="ar"/>
              </w:rPr>
            </w:pPr>
            <w:r>
              <w:rPr>
                <w:rFonts w:hint="eastAsia" w:ascii="Times New Roman" w:hAnsi="Times New Roman" w:eastAsia="等线"/>
                <w:color w:val="auto"/>
                <w:kern w:val="0"/>
                <w:highlight w:val="none"/>
                <w:lang w:val="en-US" w:eastAsia="zh-CN" w:bidi="ar"/>
              </w:rPr>
              <w:t>0.0003</w:t>
            </w:r>
          </w:p>
        </w:tc>
        <w:tc>
          <w:tcPr>
            <w:tcW w:w="328" w:type="pct"/>
            <w:vMerge w:val="continue"/>
            <w:vAlign w:val="center"/>
          </w:tcPr>
          <w:p w14:paraId="52C39181">
            <w:pPr>
              <w:pageBreakBefore w:val="0"/>
              <w:kinsoku/>
              <w:wordWrap/>
              <w:overflowPunct/>
              <w:topLinePunct w:val="0"/>
              <w:autoSpaceDE/>
              <w:autoSpaceDN/>
              <w:bidi w:val="0"/>
              <w:adjustRightInd w:val="0"/>
              <w:snapToGrid w:val="0"/>
              <w:ind w:left="0" w:right="0"/>
              <w:jc w:val="center"/>
              <w:textAlignment w:val="auto"/>
              <w:rPr>
                <w:rFonts w:hint="eastAsia" w:ascii="Times New Roman" w:hAnsi="Times New Roman" w:cs="Times New Roman"/>
                <w:color w:val="auto"/>
                <w:sz w:val="21"/>
                <w:szCs w:val="21"/>
                <w:highlight w:val="none"/>
              </w:rPr>
            </w:pPr>
          </w:p>
        </w:tc>
        <w:tc>
          <w:tcPr>
            <w:tcW w:w="875" w:type="pct"/>
            <w:vMerge w:val="continue"/>
            <w:vAlign w:val="center"/>
          </w:tcPr>
          <w:p w14:paraId="054EF838">
            <w:pPr>
              <w:pageBreakBefore w:val="0"/>
              <w:kinsoku/>
              <w:wordWrap/>
              <w:overflowPunct/>
              <w:topLinePunct w:val="0"/>
              <w:autoSpaceDE/>
              <w:autoSpaceDN/>
              <w:bidi w:val="0"/>
              <w:adjustRightInd w:val="0"/>
              <w:snapToGrid w:val="0"/>
              <w:ind w:left="0" w:right="0"/>
              <w:jc w:val="center"/>
              <w:textAlignment w:val="auto"/>
              <w:rPr>
                <w:rFonts w:hint="eastAsia" w:ascii="Times New Roman" w:hAnsi="Times New Roman"/>
                <w:color w:val="auto"/>
                <w:sz w:val="21"/>
                <w:szCs w:val="21"/>
                <w:highlight w:val="none"/>
              </w:rPr>
            </w:pPr>
          </w:p>
        </w:tc>
      </w:tr>
      <w:tr w14:paraId="03F2092F">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191" w:type="pct"/>
            <w:vMerge w:val="continue"/>
            <w:vAlign w:val="center"/>
          </w:tcPr>
          <w:p w14:paraId="282831F5">
            <w:pPr>
              <w:pStyle w:val="240"/>
              <w:pageBreakBefore w:val="0"/>
              <w:kinsoku/>
              <w:wordWrap/>
              <w:overflowPunct/>
              <w:topLinePunct w:val="0"/>
              <w:autoSpaceDE/>
              <w:autoSpaceDN/>
              <w:bidi w:val="0"/>
              <w:adjustRightInd w:val="0"/>
              <w:snapToGrid w:val="0"/>
              <w:ind w:left="0" w:right="0"/>
              <w:textAlignment w:val="auto"/>
              <w:rPr>
                <w:rFonts w:ascii="Times New Roman" w:hAnsi="Times New Roman"/>
                <w:b/>
                <w:color w:val="auto"/>
                <w:highlight w:val="none"/>
              </w:rPr>
            </w:pPr>
          </w:p>
        </w:tc>
        <w:tc>
          <w:tcPr>
            <w:tcW w:w="193" w:type="pct"/>
            <w:vMerge w:val="restart"/>
            <w:vAlign w:val="center"/>
          </w:tcPr>
          <w:p w14:paraId="51E3CC96">
            <w:pPr>
              <w:pStyle w:val="240"/>
              <w:pageBreakBefore w:val="0"/>
              <w:kinsoku/>
              <w:wordWrap/>
              <w:overflowPunct/>
              <w:topLinePunct w:val="0"/>
              <w:autoSpaceDE/>
              <w:autoSpaceDN/>
              <w:bidi w:val="0"/>
              <w:adjustRightInd w:val="0"/>
              <w:snapToGrid w:val="0"/>
              <w:ind w:left="0" w:right="0"/>
              <w:textAlignment w:val="auto"/>
              <w:rPr>
                <w:rFonts w:ascii="Times New Roman" w:hAnsi="Times New Roman"/>
                <w:b/>
                <w:color w:val="auto"/>
                <w:highlight w:val="none"/>
              </w:rPr>
            </w:pPr>
            <w:r>
              <w:rPr>
                <w:rFonts w:ascii="Times New Roman" w:hAnsi="Times New Roman"/>
                <w:b/>
                <w:color w:val="auto"/>
                <w:highlight w:val="none"/>
              </w:rPr>
              <w:t>无组织</w:t>
            </w:r>
          </w:p>
        </w:tc>
        <w:tc>
          <w:tcPr>
            <w:tcW w:w="628" w:type="pct"/>
            <w:gridSpan w:val="2"/>
            <w:vAlign w:val="center"/>
          </w:tcPr>
          <w:p w14:paraId="6B23F425">
            <w:pPr>
              <w:pStyle w:val="240"/>
              <w:pageBreakBefore w:val="0"/>
              <w:kinsoku/>
              <w:wordWrap/>
              <w:overflowPunct/>
              <w:topLinePunct w:val="0"/>
              <w:autoSpaceDE/>
              <w:autoSpaceDN/>
              <w:bidi w:val="0"/>
              <w:adjustRightInd w:val="0"/>
              <w:snapToGrid w:val="0"/>
              <w:ind w:left="0" w:right="0"/>
              <w:textAlignment w:val="auto"/>
              <w:rPr>
                <w:rFonts w:ascii="Times New Roman" w:hAnsi="Times New Roman"/>
                <w:color w:val="auto"/>
                <w:highlight w:val="none"/>
              </w:rPr>
            </w:pPr>
            <w:r>
              <w:rPr>
                <w:rFonts w:hint="eastAsia" w:ascii="Times New Roman" w:hAnsi="Times New Roman"/>
                <w:color w:val="auto"/>
                <w:highlight w:val="none"/>
              </w:rPr>
              <w:t>混合、收缸废气未捕集</w:t>
            </w:r>
            <w:r>
              <w:rPr>
                <w:rFonts w:ascii="Times New Roman" w:hAnsi="Times New Roman"/>
                <w:color w:val="auto"/>
                <w:highlight w:val="none"/>
              </w:rPr>
              <w:t>部分</w:t>
            </w:r>
          </w:p>
        </w:tc>
        <w:tc>
          <w:tcPr>
            <w:tcW w:w="579" w:type="pct"/>
            <w:vAlign w:val="center"/>
          </w:tcPr>
          <w:p w14:paraId="776C32DF">
            <w:pPr>
              <w:pStyle w:val="240"/>
              <w:pageBreakBefore w:val="0"/>
              <w:kinsoku/>
              <w:wordWrap/>
              <w:overflowPunct/>
              <w:topLinePunct w:val="0"/>
              <w:autoSpaceDE/>
              <w:autoSpaceDN/>
              <w:bidi w:val="0"/>
              <w:adjustRightInd w:val="0"/>
              <w:snapToGrid w:val="0"/>
              <w:ind w:left="0" w:right="0"/>
              <w:textAlignment w:val="auto"/>
              <w:rPr>
                <w:rFonts w:ascii="Times New Roman" w:hAnsi="Times New Roman"/>
                <w:color w:val="auto"/>
                <w:highlight w:val="none"/>
              </w:rPr>
            </w:pPr>
            <w:r>
              <w:rPr>
                <w:rFonts w:hint="eastAsia" w:ascii="Times New Roman" w:hAnsi="Times New Roman"/>
                <w:color w:val="auto"/>
                <w:highlight w:val="none"/>
              </w:rPr>
              <w:t>非甲烷总烃</w:t>
            </w:r>
          </w:p>
        </w:tc>
        <w:tc>
          <w:tcPr>
            <w:tcW w:w="478" w:type="pct"/>
            <w:vAlign w:val="center"/>
          </w:tcPr>
          <w:p w14:paraId="3C4CC530">
            <w:pPr>
              <w:pStyle w:val="240"/>
              <w:pageBreakBefore w:val="0"/>
              <w:kinsoku/>
              <w:wordWrap/>
              <w:overflowPunct/>
              <w:topLinePunct w:val="0"/>
              <w:autoSpaceDE/>
              <w:autoSpaceDN/>
              <w:bidi w:val="0"/>
              <w:adjustRightInd w:val="0"/>
              <w:snapToGrid w:val="0"/>
              <w:ind w:left="0" w:right="0"/>
              <w:textAlignment w:val="auto"/>
              <w:rPr>
                <w:rStyle w:val="241"/>
                <w:rFonts w:ascii="Times New Roman" w:hAnsi="Times New Roman"/>
                <w:color w:val="auto"/>
                <w:highlight w:val="none"/>
              </w:rPr>
            </w:pPr>
            <w:r>
              <w:rPr>
                <w:rFonts w:hint="eastAsia" w:ascii="Times New Roman" w:hAnsi="Times New Roman"/>
                <w:color w:val="auto"/>
                <w:highlight w:val="none"/>
              </w:rPr>
              <w:t>0.0235</w:t>
            </w:r>
          </w:p>
        </w:tc>
        <w:tc>
          <w:tcPr>
            <w:tcW w:w="393" w:type="pct"/>
            <w:vAlign w:val="center"/>
          </w:tcPr>
          <w:p w14:paraId="66921A1F">
            <w:pPr>
              <w:pStyle w:val="240"/>
              <w:pageBreakBefore w:val="0"/>
              <w:kinsoku/>
              <w:wordWrap/>
              <w:overflowPunct/>
              <w:topLinePunct w:val="0"/>
              <w:autoSpaceDE/>
              <w:autoSpaceDN/>
              <w:bidi w:val="0"/>
              <w:adjustRightInd w:val="0"/>
              <w:snapToGrid w:val="0"/>
              <w:ind w:left="0" w:right="0"/>
              <w:textAlignment w:val="auto"/>
              <w:rPr>
                <w:rFonts w:ascii="Times New Roman" w:hAnsi="Times New Roman"/>
                <w:color w:val="auto"/>
                <w:highlight w:val="none"/>
              </w:rPr>
            </w:pPr>
            <w:r>
              <w:rPr>
                <w:rFonts w:ascii="Times New Roman" w:hAnsi="Times New Roman"/>
                <w:color w:val="auto"/>
                <w:highlight w:val="none"/>
              </w:rPr>
              <w:t>/</w:t>
            </w:r>
          </w:p>
        </w:tc>
        <w:tc>
          <w:tcPr>
            <w:tcW w:w="641" w:type="pct"/>
            <w:vAlign w:val="center"/>
          </w:tcPr>
          <w:p w14:paraId="222E4FF0">
            <w:pPr>
              <w:pStyle w:val="240"/>
              <w:pageBreakBefore w:val="0"/>
              <w:kinsoku/>
              <w:wordWrap/>
              <w:overflowPunct/>
              <w:topLinePunct w:val="0"/>
              <w:autoSpaceDE/>
              <w:autoSpaceDN/>
              <w:bidi w:val="0"/>
              <w:adjustRightInd w:val="0"/>
              <w:snapToGrid w:val="0"/>
              <w:ind w:left="0" w:right="0"/>
              <w:textAlignment w:val="auto"/>
              <w:rPr>
                <w:rFonts w:ascii="Times New Roman" w:hAnsi="Times New Roman"/>
                <w:color w:val="auto"/>
                <w:highlight w:val="none"/>
              </w:rPr>
            </w:pPr>
            <w:r>
              <w:rPr>
                <w:rFonts w:ascii="Times New Roman" w:hAnsi="Times New Roman"/>
                <w:color w:val="auto"/>
                <w:highlight w:val="none"/>
              </w:rPr>
              <w:t>车间通风</w:t>
            </w:r>
          </w:p>
        </w:tc>
        <w:tc>
          <w:tcPr>
            <w:tcW w:w="248" w:type="pct"/>
            <w:vAlign w:val="center"/>
          </w:tcPr>
          <w:p w14:paraId="38CCFF64">
            <w:pPr>
              <w:pStyle w:val="240"/>
              <w:pageBreakBefore w:val="0"/>
              <w:kinsoku/>
              <w:wordWrap/>
              <w:overflowPunct/>
              <w:topLinePunct w:val="0"/>
              <w:autoSpaceDE/>
              <w:autoSpaceDN/>
              <w:bidi w:val="0"/>
              <w:adjustRightInd w:val="0"/>
              <w:snapToGrid w:val="0"/>
              <w:ind w:left="0" w:right="0"/>
              <w:textAlignment w:val="auto"/>
              <w:rPr>
                <w:rFonts w:ascii="Times New Roman" w:hAnsi="Times New Roman"/>
                <w:color w:val="auto"/>
                <w:highlight w:val="none"/>
              </w:rPr>
            </w:pPr>
            <w:r>
              <w:rPr>
                <w:rFonts w:ascii="Times New Roman" w:hAnsi="Times New Roman"/>
                <w:color w:val="auto"/>
                <w:highlight w:val="none"/>
              </w:rPr>
              <w:t>/</w:t>
            </w:r>
          </w:p>
        </w:tc>
        <w:tc>
          <w:tcPr>
            <w:tcW w:w="441" w:type="pct"/>
            <w:vAlign w:val="center"/>
          </w:tcPr>
          <w:p w14:paraId="0FC0E94E">
            <w:pPr>
              <w:pageBreakBefore w:val="0"/>
              <w:kinsoku/>
              <w:wordWrap/>
              <w:overflowPunct/>
              <w:topLinePunct w:val="0"/>
              <w:autoSpaceDE/>
              <w:autoSpaceDN/>
              <w:bidi w:val="0"/>
              <w:ind w:left="0" w:right="0"/>
              <w:jc w:val="center"/>
              <w:textAlignment w:val="auto"/>
              <w:rPr>
                <w:rFonts w:ascii="Times New Roman" w:hAnsi="Times New Roman"/>
                <w:color w:val="auto"/>
                <w:highlight w:val="none"/>
              </w:rPr>
            </w:pPr>
            <w:r>
              <w:rPr>
                <w:rFonts w:hint="eastAsia" w:ascii="Times New Roman" w:hAnsi="Times New Roman" w:cs="Times New Roman"/>
                <w:color w:val="auto"/>
                <w:sz w:val="21"/>
                <w:szCs w:val="21"/>
                <w:highlight w:val="none"/>
              </w:rPr>
              <w:t>0.0235</w:t>
            </w:r>
          </w:p>
        </w:tc>
        <w:tc>
          <w:tcPr>
            <w:tcW w:w="328" w:type="pct"/>
            <w:vAlign w:val="center"/>
          </w:tcPr>
          <w:p w14:paraId="797D5E0D">
            <w:pPr>
              <w:pStyle w:val="240"/>
              <w:pageBreakBefore w:val="0"/>
              <w:kinsoku/>
              <w:wordWrap/>
              <w:overflowPunct/>
              <w:topLinePunct w:val="0"/>
              <w:autoSpaceDE/>
              <w:autoSpaceDN/>
              <w:bidi w:val="0"/>
              <w:adjustRightInd w:val="0"/>
              <w:snapToGrid w:val="0"/>
              <w:ind w:left="0" w:right="0"/>
              <w:textAlignment w:val="auto"/>
              <w:rPr>
                <w:rFonts w:ascii="Times New Roman" w:hAnsi="Times New Roman"/>
                <w:color w:val="auto"/>
                <w:highlight w:val="none"/>
              </w:rPr>
            </w:pPr>
            <w:r>
              <w:rPr>
                <w:rFonts w:hint="eastAsia" w:ascii="Times New Roman" w:hAnsi="Times New Roman"/>
                <w:color w:val="auto"/>
                <w:highlight w:val="none"/>
              </w:rPr>
              <w:t>二工场</w:t>
            </w:r>
          </w:p>
        </w:tc>
        <w:tc>
          <w:tcPr>
            <w:tcW w:w="875" w:type="pct"/>
            <w:vAlign w:val="center"/>
          </w:tcPr>
          <w:p w14:paraId="6E82EBC6">
            <w:pPr>
              <w:pageBreakBefore w:val="0"/>
              <w:kinsoku/>
              <w:wordWrap/>
              <w:overflowPunct/>
              <w:topLinePunct w:val="0"/>
              <w:autoSpaceDE/>
              <w:autoSpaceDN/>
              <w:bidi w:val="0"/>
              <w:adjustRightInd w:val="0"/>
              <w:snapToGrid w:val="0"/>
              <w:ind w:left="0" w:right="0"/>
              <w:jc w:val="center"/>
              <w:textAlignment w:val="auto"/>
              <w:rPr>
                <w:rFonts w:ascii="Times New Roman" w:hAnsi="Times New Roman"/>
                <w:color w:val="auto"/>
                <w:highlight w:val="none"/>
              </w:rPr>
            </w:pPr>
            <w:r>
              <w:rPr>
                <w:rFonts w:hint="eastAsia" w:ascii="Times New Roman" w:hAnsi="Times New Roman"/>
                <w:color w:val="auto"/>
                <w:sz w:val="21"/>
                <w:szCs w:val="21"/>
                <w:highlight w:val="none"/>
              </w:rPr>
              <w:t>非甲烷总烃执行《大气污染物综合排放标准》（DB32/4041-2021）表3标准</w:t>
            </w:r>
          </w:p>
        </w:tc>
      </w:tr>
      <w:tr w14:paraId="4448280B">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PrEx>
        <w:trPr>
          <w:cantSplit/>
          <w:trHeight w:val="340" w:hRule="atLeast"/>
          <w:jc w:val="center"/>
        </w:trPr>
        <w:tc>
          <w:tcPr>
            <w:tcW w:w="191" w:type="pct"/>
            <w:vMerge w:val="continue"/>
            <w:vAlign w:val="center"/>
          </w:tcPr>
          <w:p w14:paraId="2BB3FDBA">
            <w:pPr>
              <w:pageBreakBefore w:val="0"/>
              <w:kinsoku/>
              <w:wordWrap/>
              <w:overflowPunct/>
              <w:topLinePunct w:val="0"/>
              <w:autoSpaceDE/>
              <w:autoSpaceDN/>
              <w:bidi w:val="0"/>
              <w:adjustRightInd w:val="0"/>
              <w:snapToGrid w:val="0"/>
              <w:ind w:left="0" w:right="0"/>
              <w:jc w:val="center"/>
              <w:textAlignment w:val="auto"/>
              <w:rPr>
                <w:rFonts w:ascii="Times New Roman" w:hAnsi="Times New Roman" w:cs="Times New Roman"/>
                <w:b/>
                <w:color w:val="auto"/>
                <w:sz w:val="21"/>
                <w:szCs w:val="21"/>
                <w:highlight w:val="none"/>
              </w:rPr>
            </w:pPr>
          </w:p>
        </w:tc>
        <w:tc>
          <w:tcPr>
            <w:tcW w:w="193" w:type="pct"/>
            <w:vMerge w:val="continue"/>
            <w:vAlign w:val="center"/>
          </w:tcPr>
          <w:p w14:paraId="46078DFD">
            <w:pPr>
              <w:pStyle w:val="240"/>
              <w:pageBreakBefore w:val="0"/>
              <w:kinsoku/>
              <w:wordWrap/>
              <w:overflowPunct/>
              <w:topLinePunct w:val="0"/>
              <w:autoSpaceDE/>
              <w:autoSpaceDN/>
              <w:bidi w:val="0"/>
              <w:adjustRightInd w:val="0"/>
              <w:snapToGrid w:val="0"/>
              <w:ind w:left="0" w:right="0"/>
              <w:textAlignment w:val="auto"/>
              <w:rPr>
                <w:rFonts w:ascii="Times New Roman" w:hAnsi="Times New Roman"/>
                <w:b/>
                <w:color w:val="auto"/>
                <w:highlight w:val="none"/>
              </w:rPr>
            </w:pPr>
          </w:p>
        </w:tc>
        <w:tc>
          <w:tcPr>
            <w:tcW w:w="628" w:type="pct"/>
            <w:gridSpan w:val="2"/>
            <w:vMerge w:val="restart"/>
            <w:vAlign w:val="center"/>
          </w:tcPr>
          <w:p w14:paraId="2CFFE96C">
            <w:pPr>
              <w:pStyle w:val="240"/>
              <w:pageBreakBefore w:val="0"/>
              <w:kinsoku/>
              <w:wordWrap/>
              <w:overflowPunct/>
              <w:topLinePunct w:val="0"/>
              <w:autoSpaceDE/>
              <w:autoSpaceDN/>
              <w:bidi w:val="0"/>
              <w:adjustRightInd w:val="0"/>
              <w:snapToGrid w:val="0"/>
              <w:ind w:left="0" w:right="0"/>
              <w:textAlignment w:val="auto"/>
              <w:rPr>
                <w:rFonts w:ascii="Times New Roman" w:hAnsi="Times New Roman"/>
                <w:color w:val="auto"/>
                <w:highlight w:val="none"/>
              </w:rPr>
            </w:pPr>
            <w:r>
              <w:rPr>
                <w:rFonts w:hint="eastAsia" w:ascii="Times New Roman" w:hAnsi="Times New Roman"/>
                <w:color w:val="auto"/>
                <w:highlight w:val="none"/>
              </w:rPr>
              <w:t>实验</w:t>
            </w:r>
            <w:r>
              <w:rPr>
                <w:rFonts w:ascii="Times New Roman" w:hAnsi="Times New Roman"/>
                <w:color w:val="auto"/>
                <w:highlight w:val="none"/>
              </w:rPr>
              <w:t>废气</w:t>
            </w:r>
            <w:r>
              <w:rPr>
                <w:rFonts w:hint="eastAsia" w:ascii="Times New Roman" w:hAnsi="Times New Roman"/>
                <w:color w:val="auto"/>
                <w:highlight w:val="none"/>
              </w:rPr>
              <w:t>未捕集</w:t>
            </w:r>
            <w:r>
              <w:rPr>
                <w:rFonts w:ascii="Times New Roman" w:hAnsi="Times New Roman"/>
                <w:color w:val="auto"/>
                <w:highlight w:val="none"/>
              </w:rPr>
              <w:t>部分</w:t>
            </w:r>
          </w:p>
        </w:tc>
        <w:tc>
          <w:tcPr>
            <w:tcW w:w="579" w:type="pct"/>
            <w:vAlign w:val="center"/>
          </w:tcPr>
          <w:p w14:paraId="4C75CD0C">
            <w:pPr>
              <w:pStyle w:val="240"/>
              <w:pageBreakBefore w:val="0"/>
              <w:kinsoku/>
              <w:wordWrap/>
              <w:overflowPunct/>
              <w:topLinePunct w:val="0"/>
              <w:autoSpaceDE/>
              <w:autoSpaceDN/>
              <w:bidi w:val="0"/>
              <w:adjustRightInd w:val="0"/>
              <w:snapToGrid w:val="0"/>
              <w:ind w:left="0" w:right="0"/>
              <w:textAlignment w:val="auto"/>
              <w:rPr>
                <w:rFonts w:ascii="Times New Roman" w:hAnsi="Times New Roman"/>
                <w:color w:val="auto"/>
                <w:highlight w:val="none"/>
              </w:rPr>
            </w:pPr>
            <w:r>
              <w:rPr>
                <w:rFonts w:hint="eastAsia" w:ascii="Times New Roman" w:hAnsi="Times New Roman"/>
                <w:color w:val="auto"/>
                <w:highlight w:val="none"/>
              </w:rPr>
              <w:t>非甲烷总烃（含甲醇）</w:t>
            </w:r>
          </w:p>
        </w:tc>
        <w:tc>
          <w:tcPr>
            <w:tcW w:w="478" w:type="pct"/>
            <w:vAlign w:val="center"/>
          </w:tcPr>
          <w:p w14:paraId="4462273B">
            <w:pPr>
              <w:pageBreakBefore w:val="0"/>
              <w:kinsoku/>
              <w:wordWrap/>
              <w:overflowPunct/>
              <w:topLinePunct w:val="0"/>
              <w:autoSpaceDE/>
              <w:autoSpaceDN/>
              <w:bidi w:val="0"/>
              <w:adjustRightInd w:val="0"/>
              <w:snapToGrid w:val="0"/>
              <w:ind w:left="0" w:right="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0.0013</w:t>
            </w:r>
          </w:p>
        </w:tc>
        <w:tc>
          <w:tcPr>
            <w:tcW w:w="393" w:type="pct"/>
            <w:vMerge w:val="restart"/>
            <w:vAlign w:val="center"/>
          </w:tcPr>
          <w:p w14:paraId="4330B47B">
            <w:pPr>
              <w:pageBreakBefore w:val="0"/>
              <w:kinsoku/>
              <w:wordWrap/>
              <w:overflowPunct/>
              <w:topLinePunct w:val="0"/>
              <w:autoSpaceDE/>
              <w:autoSpaceDN/>
              <w:bidi w:val="0"/>
              <w:adjustRightInd w:val="0"/>
              <w:snapToGrid w:val="0"/>
              <w:ind w:left="0" w:right="0"/>
              <w:jc w:val="center"/>
              <w:textAlignment w:val="auto"/>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w:t>
            </w:r>
          </w:p>
        </w:tc>
        <w:tc>
          <w:tcPr>
            <w:tcW w:w="641" w:type="pct"/>
            <w:vMerge w:val="restart"/>
            <w:vAlign w:val="center"/>
          </w:tcPr>
          <w:p w14:paraId="7E71537D">
            <w:pPr>
              <w:pStyle w:val="240"/>
              <w:pageBreakBefore w:val="0"/>
              <w:kinsoku/>
              <w:wordWrap/>
              <w:overflowPunct/>
              <w:topLinePunct w:val="0"/>
              <w:autoSpaceDE/>
              <w:autoSpaceDN/>
              <w:bidi w:val="0"/>
              <w:adjustRightInd w:val="0"/>
              <w:snapToGrid w:val="0"/>
              <w:ind w:left="0" w:right="0"/>
              <w:textAlignment w:val="auto"/>
              <w:rPr>
                <w:rFonts w:ascii="Times New Roman" w:hAnsi="Times New Roman"/>
                <w:color w:val="auto"/>
                <w:highlight w:val="none"/>
              </w:rPr>
            </w:pPr>
            <w:r>
              <w:rPr>
                <w:rFonts w:hint="eastAsia" w:ascii="Times New Roman" w:hAnsi="Times New Roman"/>
                <w:color w:val="auto"/>
                <w:highlight w:val="none"/>
              </w:rPr>
              <w:t>实验室</w:t>
            </w:r>
            <w:r>
              <w:rPr>
                <w:rFonts w:ascii="Times New Roman" w:hAnsi="Times New Roman"/>
                <w:color w:val="auto"/>
                <w:highlight w:val="none"/>
              </w:rPr>
              <w:t>通风</w:t>
            </w:r>
          </w:p>
        </w:tc>
        <w:tc>
          <w:tcPr>
            <w:tcW w:w="248" w:type="pct"/>
            <w:vMerge w:val="restart"/>
            <w:vAlign w:val="center"/>
          </w:tcPr>
          <w:p w14:paraId="4FECCE27">
            <w:pPr>
              <w:pStyle w:val="240"/>
              <w:pageBreakBefore w:val="0"/>
              <w:kinsoku/>
              <w:wordWrap/>
              <w:overflowPunct/>
              <w:topLinePunct w:val="0"/>
              <w:autoSpaceDE/>
              <w:autoSpaceDN/>
              <w:bidi w:val="0"/>
              <w:adjustRightInd w:val="0"/>
              <w:snapToGrid w:val="0"/>
              <w:ind w:left="0" w:right="0"/>
              <w:textAlignment w:val="auto"/>
              <w:rPr>
                <w:rFonts w:ascii="Times New Roman" w:hAnsi="Times New Roman"/>
                <w:color w:val="auto"/>
                <w:highlight w:val="none"/>
              </w:rPr>
            </w:pPr>
            <w:r>
              <w:rPr>
                <w:rFonts w:ascii="Times New Roman" w:hAnsi="Times New Roman"/>
                <w:color w:val="auto"/>
                <w:highlight w:val="none"/>
              </w:rPr>
              <w:t>/</w:t>
            </w:r>
          </w:p>
        </w:tc>
        <w:tc>
          <w:tcPr>
            <w:tcW w:w="441" w:type="pct"/>
            <w:vAlign w:val="center"/>
          </w:tcPr>
          <w:p w14:paraId="4EB3E581">
            <w:pPr>
              <w:pageBreakBefore w:val="0"/>
              <w:kinsoku/>
              <w:wordWrap/>
              <w:overflowPunct/>
              <w:topLinePunct w:val="0"/>
              <w:autoSpaceDE/>
              <w:autoSpaceDN/>
              <w:bidi w:val="0"/>
              <w:adjustRightInd w:val="0"/>
              <w:snapToGrid w:val="0"/>
              <w:ind w:left="0" w:leftChars="0" w:right="0" w:rightChars="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lang w:val="en-US" w:eastAsia="zh-CN"/>
              </w:rPr>
              <w:t>0.0013</w:t>
            </w:r>
          </w:p>
        </w:tc>
        <w:tc>
          <w:tcPr>
            <w:tcW w:w="328" w:type="pct"/>
            <w:vMerge w:val="restart"/>
            <w:vAlign w:val="center"/>
          </w:tcPr>
          <w:p w14:paraId="0FE15DB5">
            <w:pPr>
              <w:pageBreakBefore w:val="0"/>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实验室</w:t>
            </w:r>
          </w:p>
        </w:tc>
        <w:tc>
          <w:tcPr>
            <w:tcW w:w="875" w:type="pct"/>
            <w:vMerge w:val="restart"/>
            <w:vAlign w:val="center"/>
          </w:tcPr>
          <w:p w14:paraId="25D01543">
            <w:pPr>
              <w:pageBreakBefore w:val="0"/>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olor w:val="auto"/>
                <w:sz w:val="21"/>
                <w:szCs w:val="21"/>
                <w:highlight w:val="none"/>
              </w:rPr>
              <w:t>非甲烷总烃</w:t>
            </w:r>
            <w:r>
              <w:rPr>
                <w:rFonts w:hint="eastAsia" w:ascii="Times New Roman" w:hAnsi="Times New Roman"/>
                <w:color w:val="auto"/>
                <w:sz w:val="21"/>
                <w:szCs w:val="21"/>
                <w:highlight w:val="none"/>
                <w:lang w:eastAsia="zh-CN"/>
              </w:rPr>
              <w:t>、</w:t>
            </w:r>
            <w:r>
              <w:rPr>
                <w:rFonts w:hint="eastAsia" w:ascii="Times New Roman" w:hAnsi="Times New Roman"/>
                <w:color w:val="auto"/>
                <w:sz w:val="21"/>
                <w:szCs w:val="21"/>
                <w:highlight w:val="none"/>
                <w:lang w:val="en-US" w:eastAsia="zh-CN"/>
              </w:rPr>
              <w:t>氮氧化物、甲醇</w:t>
            </w:r>
            <w:r>
              <w:rPr>
                <w:rFonts w:hint="eastAsia" w:ascii="Times New Roman" w:hAnsi="Times New Roman"/>
                <w:color w:val="auto"/>
                <w:sz w:val="21"/>
                <w:szCs w:val="21"/>
                <w:highlight w:val="none"/>
              </w:rPr>
              <w:t>执行《大气污染物综合排放标准》（DB32/4041-2021）表3标准</w:t>
            </w:r>
          </w:p>
        </w:tc>
      </w:tr>
      <w:tr w14:paraId="6F5D7979">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191" w:type="pct"/>
            <w:vMerge w:val="continue"/>
            <w:vAlign w:val="center"/>
          </w:tcPr>
          <w:p w14:paraId="1A95C9E8">
            <w:pPr>
              <w:pageBreakBefore w:val="0"/>
              <w:kinsoku/>
              <w:wordWrap/>
              <w:overflowPunct/>
              <w:topLinePunct w:val="0"/>
              <w:autoSpaceDE/>
              <w:autoSpaceDN/>
              <w:bidi w:val="0"/>
              <w:adjustRightInd w:val="0"/>
              <w:snapToGrid w:val="0"/>
              <w:ind w:left="0" w:right="0"/>
              <w:jc w:val="center"/>
              <w:textAlignment w:val="auto"/>
              <w:rPr>
                <w:rFonts w:ascii="Times New Roman" w:hAnsi="Times New Roman" w:cs="Times New Roman"/>
                <w:b/>
                <w:color w:val="auto"/>
                <w:sz w:val="21"/>
                <w:szCs w:val="21"/>
                <w:highlight w:val="none"/>
              </w:rPr>
            </w:pPr>
          </w:p>
        </w:tc>
        <w:tc>
          <w:tcPr>
            <w:tcW w:w="193" w:type="pct"/>
            <w:vMerge w:val="continue"/>
            <w:vAlign w:val="center"/>
          </w:tcPr>
          <w:p w14:paraId="3B0CFB34">
            <w:pPr>
              <w:pStyle w:val="240"/>
              <w:pageBreakBefore w:val="0"/>
              <w:kinsoku/>
              <w:wordWrap/>
              <w:overflowPunct/>
              <w:topLinePunct w:val="0"/>
              <w:autoSpaceDE/>
              <w:autoSpaceDN/>
              <w:bidi w:val="0"/>
              <w:adjustRightInd w:val="0"/>
              <w:snapToGrid w:val="0"/>
              <w:ind w:left="0" w:right="0"/>
              <w:textAlignment w:val="auto"/>
              <w:rPr>
                <w:rFonts w:ascii="Times New Roman" w:hAnsi="Times New Roman"/>
                <w:b/>
                <w:color w:val="auto"/>
                <w:highlight w:val="none"/>
              </w:rPr>
            </w:pPr>
          </w:p>
        </w:tc>
        <w:tc>
          <w:tcPr>
            <w:tcW w:w="628" w:type="pct"/>
            <w:gridSpan w:val="2"/>
            <w:vMerge w:val="continue"/>
            <w:vAlign w:val="center"/>
          </w:tcPr>
          <w:p w14:paraId="59597478">
            <w:pPr>
              <w:pStyle w:val="240"/>
              <w:pageBreakBefore w:val="0"/>
              <w:kinsoku/>
              <w:wordWrap/>
              <w:overflowPunct/>
              <w:topLinePunct w:val="0"/>
              <w:autoSpaceDE/>
              <w:autoSpaceDN/>
              <w:bidi w:val="0"/>
              <w:adjustRightInd w:val="0"/>
              <w:snapToGrid w:val="0"/>
              <w:ind w:left="0" w:right="0"/>
              <w:textAlignment w:val="auto"/>
              <w:rPr>
                <w:rFonts w:hint="eastAsia" w:ascii="Times New Roman" w:hAnsi="Times New Roman"/>
                <w:color w:val="auto"/>
                <w:highlight w:val="none"/>
              </w:rPr>
            </w:pPr>
          </w:p>
        </w:tc>
        <w:tc>
          <w:tcPr>
            <w:tcW w:w="579" w:type="pct"/>
            <w:vAlign w:val="center"/>
          </w:tcPr>
          <w:p w14:paraId="38D82228">
            <w:pPr>
              <w:pStyle w:val="240"/>
              <w:pageBreakBefore w:val="0"/>
              <w:kinsoku/>
              <w:wordWrap/>
              <w:overflowPunct/>
              <w:topLinePunct w:val="0"/>
              <w:autoSpaceDE/>
              <w:autoSpaceDN/>
              <w:bidi w:val="0"/>
              <w:adjustRightInd w:val="0"/>
              <w:snapToGrid w:val="0"/>
              <w:ind w:left="0" w:right="0"/>
              <w:textAlignment w:val="auto"/>
              <w:rPr>
                <w:rFonts w:hint="eastAsia" w:ascii="Times New Roman" w:hAnsi="Times New Roman" w:eastAsia="宋体"/>
                <w:color w:val="auto"/>
                <w:highlight w:val="none"/>
                <w:lang w:val="en-US" w:eastAsia="zh-CN"/>
              </w:rPr>
            </w:pPr>
            <w:r>
              <w:rPr>
                <w:rFonts w:hint="eastAsia" w:ascii="Times New Roman" w:hAnsi="Times New Roman"/>
                <w:color w:val="auto"/>
                <w:highlight w:val="none"/>
                <w:lang w:val="en-US" w:eastAsia="zh-CN"/>
              </w:rPr>
              <w:t>氮氧化物</w:t>
            </w:r>
          </w:p>
        </w:tc>
        <w:tc>
          <w:tcPr>
            <w:tcW w:w="478" w:type="pct"/>
            <w:vAlign w:val="center"/>
          </w:tcPr>
          <w:p w14:paraId="08781CF1">
            <w:pPr>
              <w:pageBreakBefore w:val="0"/>
              <w:kinsoku/>
              <w:wordWrap/>
              <w:overflowPunct/>
              <w:topLinePunct w:val="0"/>
              <w:autoSpaceDE/>
              <w:autoSpaceDN/>
              <w:bidi w:val="0"/>
              <w:adjustRightInd w:val="0"/>
              <w:snapToGrid w:val="0"/>
              <w:ind w:left="0" w:right="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0.00003</w:t>
            </w:r>
          </w:p>
        </w:tc>
        <w:tc>
          <w:tcPr>
            <w:tcW w:w="393" w:type="pct"/>
            <w:vMerge w:val="continue"/>
            <w:vAlign w:val="center"/>
          </w:tcPr>
          <w:p w14:paraId="1B7B7FE0">
            <w:pPr>
              <w:pageBreakBefore w:val="0"/>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sz w:val="21"/>
                <w:szCs w:val="21"/>
                <w:highlight w:val="none"/>
              </w:rPr>
            </w:pPr>
          </w:p>
        </w:tc>
        <w:tc>
          <w:tcPr>
            <w:tcW w:w="641" w:type="pct"/>
            <w:vMerge w:val="continue"/>
            <w:vAlign w:val="center"/>
          </w:tcPr>
          <w:p w14:paraId="1CAEC8DC">
            <w:pPr>
              <w:pStyle w:val="240"/>
              <w:pageBreakBefore w:val="0"/>
              <w:kinsoku/>
              <w:wordWrap/>
              <w:overflowPunct/>
              <w:topLinePunct w:val="0"/>
              <w:autoSpaceDE/>
              <w:autoSpaceDN/>
              <w:bidi w:val="0"/>
              <w:adjustRightInd w:val="0"/>
              <w:snapToGrid w:val="0"/>
              <w:ind w:left="0" w:right="0"/>
              <w:textAlignment w:val="auto"/>
              <w:rPr>
                <w:rFonts w:hint="eastAsia" w:ascii="Times New Roman" w:hAnsi="Times New Roman"/>
                <w:color w:val="auto"/>
                <w:highlight w:val="none"/>
              </w:rPr>
            </w:pPr>
          </w:p>
        </w:tc>
        <w:tc>
          <w:tcPr>
            <w:tcW w:w="248" w:type="pct"/>
            <w:vMerge w:val="continue"/>
            <w:vAlign w:val="center"/>
          </w:tcPr>
          <w:p w14:paraId="0BC82BF8">
            <w:pPr>
              <w:pStyle w:val="240"/>
              <w:pageBreakBefore w:val="0"/>
              <w:kinsoku/>
              <w:wordWrap/>
              <w:overflowPunct/>
              <w:topLinePunct w:val="0"/>
              <w:autoSpaceDE/>
              <w:autoSpaceDN/>
              <w:bidi w:val="0"/>
              <w:adjustRightInd w:val="0"/>
              <w:snapToGrid w:val="0"/>
              <w:ind w:left="0" w:right="0"/>
              <w:textAlignment w:val="auto"/>
              <w:rPr>
                <w:rFonts w:ascii="Times New Roman" w:hAnsi="Times New Roman"/>
                <w:color w:val="auto"/>
                <w:highlight w:val="none"/>
              </w:rPr>
            </w:pPr>
          </w:p>
        </w:tc>
        <w:tc>
          <w:tcPr>
            <w:tcW w:w="441" w:type="pct"/>
            <w:vAlign w:val="center"/>
          </w:tcPr>
          <w:p w14:paraId="102830CD">
            <w:pPr>
              <w:pageBreakBefore w:val="0"/>
              <w:kinsoku/>
              <w:wordWrap/>
              <w:overflowPunct/>
              <w:topLinePunct w:val="0"/>
              <w:autoSpaceDE/>
              <w:autoSpaceDN/>
              <w:bidi w:val="0"/>
              <w:adjustRightInd w:val="0"/>
              <w:snapToGrid w:val="0"/>
              <w:ind w:left="0" w:leftChars="0" w:right="0" w:rightChars="0"/>
              <w:jc w:val="center"/>
              <w:textAlignment w:val="auto"/>
              <w:rPr>
                <w:rFonts w:hint="eastAsia"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lang w:val="en-US" w:eastAsia="zh-CN"/>
              </w:rPr>
              <w:t>0.00003</w:t>
            </w:r>
          </w:p>
        </w:tc>
        <w:tc>
          <w:tcPr>
            <w:tcW w:w="328" w:type="pct"/>
            <w:vMerge w:val="continue"/>
            <w:vAlign w:val="center"/>
          </w:tcPr>
          <w:p w14:paraId="1AF83F67">
            <w:pPr>
              <w:pageBreakBefore w:val="0"/>
              <w:kinsoku/>
              <w:wordWrap/>
              <w:overflowPunct/>
              <w:topLinePunct w:val="0"/>
              <w:autoSpaceDE/>
              <w:autoSpaceDN/>
              <w:bidi w:val="0"/>
              <w:adjustRightInd w:val="0"/>
              <w:snapToGrid w:val="0"/>
              <w:ind w:left="0" w:right="0"/>
              <w:jc w:val="center"/>
              <w:textAlignment w:val="auto"/>
              <w:rPr>
                <w:rFonts w:hint="eastAsia" w:ascii="Times New Roman" w:hAnsi="Times New Roman" w:cs="Times New Roman"/>
                <w:color w:val="auto"/>
                <w:sz w:val="21"/>
                <w:szCs w:val="21"/>
                <w:highlight w:val="none"/>
              </w:rPr>
            </w:pPr>
          </w:p>
        </w:tc>
        <w:tc>
          <w:tcPr>
            <w:tcW w:w="875" w:type="pct"/>
            <w:vMerge w:val="continue"/>
            <w:vAlign w:val="center"/>
          </w:tcPr>
          <w:p w14:paraId="7EF5B251">
            <w:pPr>
              <w:pageBreakBefore w:val="0"/>
              <w:kinsoku/>
              <w:wordWrap/>
              <w:overflowPunct/>
              <w:topLinePunct w:val="0"/>
              <w:autoSpaceDE/>
              <w:autoSpaceDN/>
              <w:bidi w:val="0"/>
              <w:adjustRightInd w:val="0"/>
              <w:snapToGrid w:val="0"/>
              <w:ind w:left="0" w:right="0"/>
              <w:jc w:val="center"/>
              <w:textAlignment w:val="auto"/>
              <w:rPr>
                <w:rFonts w:hint="eastAsia" w:ascii="Times New Roman" w:hAnsi="Times New Roman"/>
                <w:color w:val="auto"/>
                <w:sz w:val="21"/>
                <w:szCs w:val="21"/>
                <w:highlight w:val="none"/>
              </w:rPr>
            </w:pPr>
          </w:p>
        </w:tc>
      </w:tr>
      <w:tr w14:paraId="08524519">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PrEx>
        <w:trPr>
          <w:cantSplit/>
          <w:trHeight w:val="340" w:hRule="atLeast"/>
          <w:jc w:val="center"/>
        </w:trPr>
        <w:tc>
          <w:tcPr>
            <w:tcW w:w="191" w:type="pct"/>
            <w:vMerge w:val="continue"/>
            <w:vAlign w:val="center"/>
          </w:tcPr>
          <w:p w14:paraId="0FA66ADF">
            <w:pPr>
              <w:pageBreakBefore w:val="0"/>
              <w:kinsoku/>
              <w:wordWrap/>
              <w:overflowPunct/>
              <w:topLinePunct w:val="0"/>
              <w:autoSpaceDE/>
              <w:autoSpaceDN/>
              <w:bidi w:val="0"/>
              <w:adjustRightInd w:val="0"/>
              <w:snapToGrid w:val="0"/>
              <w:ind w:left="0" w:right="0"/>
              <w:jc w:val="center"/>
              <w:textAlignment w:val="auto"/>
              <w:rPr>
                <w:rFonts w:ascii="Times New Roman" w:hAnsi="Times New Roman" w:cs="Times New Roman"/>
                <w:b/>
                <w:color w:val="auto"/>
                <w:sz w:val="21"/>
                <w:szCs w:val="21"/>
                <w:highlight w:val="none"/>
              </w:rPr>
            </w:pPr>
          </w:p>
        </w:tc>
        <w:tc>
          <w:tcPr>
            <w:tcW w:w="193" w:type="pct"/>
            <w:vMerge w:val="continue"/>
            <w:vAlign w:val="center"/>
          </w:tcPr>
          <w:p w14:paraId="03E6E8A3">
            <w:pPr>
              <w:pStyle w:val="240"/>
              <w:pageBreakBefore w:val="0"/>
              <w:kinsoku/>
              <w:wordWrap/>
              <w:overflowPunct/>
              <w:topLinePunct w:val="0"/>
              <w:autoSpaceDE/>
              <w:autoSpaceDN/>
              <w:bidi w:val="0"/>
              <w:adjustRightInd w:val="0"/>
              <w:snapToGrid w:val="0"/>
              <w:ind w:left="0" w:right="0"/>
              <w:textAlignment w:val="auto"/>
              <w:rPr>
                <w:rFonts w:ascii="Times New Roman" w:hAnsi="Times New Roman"/>
                <w:b/>
                <w:color w:val="auto"/>
                <w:highlight w:val="none"/>
              </w:rPr>
            </w:pPr>
          </w:p>
        </w:tc>
        <w:tc>
          <w:tcPr>
            <w:tcW w:w="628" w:type="pct"/>
            <w:gridSpan w:val="2"/>
            <w:vMerge w:val="continue"/>
            <w:vAlign w:val="center"/>
          </w:tcPr>
          <w:p w14:paraId="34330BD8">
            <w:pPr>
              <w:pStyle w:val="240"/>
              <w:pageBreakBefore w:val="0"/>
              <w:kinsoku/>
              <w:wordWrap/>
              <w:overflowPunct/>
              <w:topLinePunct w:val="0"/>
              <w:autoSpaceDE/>
              <w:autoSpaceDN/>
              <w:bidi w:val="0"/>
              <w:adjustRightInd w:val="0"/>
              <w:snapToGrid w:val="0"/>
              <w:ind w:left="0" w:right="0"/>
              <w:textAlignment w:val="auto"/>
              <w:rPr>
                <w:rFonts w:hint="eastAsia" w:ascii="Times New Roman" w:hAnsi="Times New Roman"/>
                <w:color w:val="auto"/>
                <w:highlight w:val="none"/>
              </w:rPr>
            </w:pPr>
          </w:p>
        </w:tc>
        <w:tc>
          <w:tcPr>
            <w:tcW w:w="579" w:type="pct"/>
            <w:vAlign w:val="center"/>
          </w:tcPr>
          <w:p w14:paraId="4B167385">
            <w:pPr>
              <w:pStyle w:val="240"/>
              <w:pageBreakBefore w:val="0"/>
              <w:kinsoku/>
              <w:wordWrap/>
              <w:overflowPunct/>
              <w:topLinePunct w:val="0"/>
              <w:autoSpaceDE/>
              <w:autoSpaceDN/>
              <w:bidi w:val="0"/>
              <w:adjustRightInd w:val="0"/>
              <w:snapToGrid w:val="0"/>
              <w:ind w:left="0" w:right="0"/>
              <w:textAlignment w:val="auto"/>
              <w:rPr>
                <w:rFonts w:hint="eastAsia" w:ascii="Times New Roman" w:hAnsi="Times New Roman" w:eastAsia="宋体"/>
                <w:color w:val="auto"/>
                <w:highlight w:val="none"/>
                <w:lang w:val="en-US" w:eastAsia="zh-CN"/>
              </w:rPr>
            </w:pPr>
            <w:r>
              <w:rPr>
                <w:rFonts w:hint="eastAsia" w:ascii="Times New Roman" w:hAnsi="Times New Roman"/>
                <w:color w:val="auto"/>
                <w:highlight w:val="none"/>
                <w:lang w:val="en-US" w:eastAsia="zh-CN"/>
              </w:rPr>
              <w:t>甲醇</w:t>
            </w:r>
          </w:p>
        </w:tc>
        <w:tc>
          <w:tcPr>
            <w:tcW w:w="478" w:type="pct"/>
            <w:vAlign w:val="center"/>
          </w:tcPr>
          <w:p w14:paraId="596F8AB2">
            <w:pPr>
              <w:pageBreakBefore w:val="0"/>
              <w:kinsoku/>
              <w:wordWrap/>
              <w:overflowPunct/>
              <w:topLinePunct w:val="0"/>
              <w:autoSpaceDE/>
              <w:autoSpaceDN/>
              <w:bidi w:val="0"/>
              <w:adjustRightInd w:val="0"/>
              <w:snapToGrid w:val="0"/>
              <w:ind w:left="0" w:right="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0.0008</w:t>
            </w:r>
          </w:p>
        </w:tc>
        <w:tc>
          <w:tcPr>
            <w:tcW w:w="393" w:type="pct"/>
            <w:vMerge w:val="continue"/>
            <w:vAlign w:val="center"/>
          </w:tcPr>
          <w:p w14:paraId="39064880">
            <w:pPr>
              <w:pageBreakBefore w:val="0"/>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sz w:val="21"/>
                <w:szCs w:val="21"/>
                <w:highlight w:val="none"/>
              </w:rPr>
            </w:pPr>
          </w:p>
        </w:tc>
        <w:tc>
          <w:tcPr>
            <w:tcW w:w="641" w:type="pct"/>
            <w:vMerge w:val="continue"/>
            <w:vAlign w:val="center"/>
          </w:tcPr>
          <w:p w14:paraId="25B99374">
            <w:pPr>
              <w:pStyle w:val="240"/>
              <w:pageBreakBefore w:val="0"/>
              <w:kinsoku/>
              <w:wordWrap/>
              <w:overflowPunct/>
              <w:topLinePunct w:val="0"/>
              <w:autoSpaceDE/>
              <w:autoSpaceDN/>
              <w:bidi w:val="0"/>
              <w:adjustRightInd w:val="0"/>
              <w:snapToGrid w:val="0"/>
              <w:ind w:left="0" w:right="0"/>
              <w:textAlignment w:val="auto"/>
              <w:rPr>
                <w:rFonts w:hint="eastAsia" w:ascii="Times New Roman" w:hAnsi="Times New Roman"/>
                <w:color w:val="auto"/>
                <w:highlight w:val="none"/>
              </w:rPr>
            </w:pPr>
          </w:p>
        </w:tc>
        <w:tc>
          <w:tcPr>
            <w:tcW w:w="248" w:type="pct"/>
            <w:vMerge w:val="continue"/>
            <w:vAlign w:val="center"/>
          </w:tcPr>
          <w:p w14:paraId="7C1CF97E">
            <w:pPr>
              <w:pStyle w:val="240"/>
              <w:pageBreakBefore w:val="0"/>
              <w:kinsoku/>
              <w:wordWrap/>
              <w:overflowPunct/>
              <w:topLinePunct w:val="0"/>
              <w:autoSpaceDE/>
              <w:autoSpaceDN/>
              <w:bidi w:val="0"/>
              <w:adjustRightInd w:val="0"/>
              <w:snapToGrid w:val="0"/>
              <w:ind w:left="0" w:right="0"/>
              <w:textAlignment w:val="auto"/>
              <w:rPr>
                <w:rFonts w:ascii="Times New Roman" w:hAnsi="Times New Roman"/>
                <w:color w:val="auto"/>
                <w:highlight w:val="none"/>
              </w:rPr>
            </w:pPr>
          </w:p>
        </w:tc>
        <w:tc>
          <w:tcPr>
            <w:tcW w:w="441" w:type="pct"/>
            <w:vAlign w:val="center"/>
          </w:tcPr>
          <w:p w14:paraId="544F5AC0">
            <w:pPr>
              <w:pageBreakBefore w:val="0"/>
              <w:kinsoku/>
              <w:wordWrap/>
              <w:overflowPunct/>
              <w:topLinePunct w:val="0"/>
              <w:autoSpaceDE/>
              <w:autoSpaceDN/>
              <w:bidi w:val="0"/>
              <w:adjustRightInd w:val="0"/>
              <w:snapToGrid w:val="0"/>
              <w:ind w:left="0" w:leftChars="0" w:right="0" w:rightChars="0"/>
              <w:jc w:val="center"/>
              <w:textAlignment w:val="auto"/>
              <w:rPr>
                <w:rFonts w:hint="eastAsia"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lang w:val="en-US" w:eastAsia="zh-CN"/>
              </w:rPr>
              <w:t>0.0008</w:t>
            </w:r>
          </w:p>
        </w:tc>
        <w:tc>
          <w:tcPr>
            <w:tcW w:w="328" w:type="pct"/>
            <w:vMerge w:val="continue"/>
            <w:vAlign w:val="center"/>
          </w:tcPr>
          <w:p w14:paraId="051F7AA6">
            <w:pPr>
              <w:pageBreakBefore w:val="0"/>
              <w:kinsoku/>
              <w:wordWrap/>
              <w:overflowPunct/>
              <w:topLinePunct w:val="0"/>
              <w:autoSpaceDE/>
              <w:autoSpaceDN/>
              <w:bidi w:val="0"/>
              <w:adjustRightInd w:val="0"/>
              <w:snapToGrid w:val="0"/>
              <w:ind w:left="0" w:right="0"/>
              <w:jc w:val="center"/>
              <w:textAlignment w:val="auto"/>
              <w:rPr>
                <w:rFonts w:hint="eastAsia" w:ascii="Times New Roman" w:hAnsi="Times New Roman" w:cs="Times New Roman"/>
                <w:color w:val="auto"/>
                <w:sz w:val="21"/>
                <w:szCs w:val="21"/>
                <w:highlight w:val="none"/>
              </w:rPr>
            </w:pPr>
          </w:p>
        </w:tc>
        <w:tc>
          <w:tcPr>
            <w:tcW w:w="875" w:type="pct"/>
            <w:vMerge w:val="continue"/>
            <w:vAlign w:val="center"/>
          </w:tcPr>
          <w:p w14:paraId="0087117E">
            <w:pPr>
              <w:pageBreakBefore w:val="0"/>
              <w:kinsoku/>
              <w:wordWrap/>
              <w:overflowPunct/>
              <w:topLinePunct w:val="0"/>
              <w:autoSpaceDE/>
              <w:autoSpaceDN/>
              <w:bidi w:val="0"/>
              <w:adjustRightInd w:val="0"/>
              <w:snapToGrid w:val="0"/>
              <w:ind w:left="0" w:right="0"/>
              <w:jc w:val="center"/>
              <w:textAlignment w:val="auto"/>
              <w:rPr>
                <w:rFonts w:hint="eastAsia" w:ascii="Times New Roman" w:hAnsi="Times New Roman"/>
                <w:color w:val="auto"/>
                <w:sz w:val="21"/>
                <w:szCs w:val="21"/>
                <w:highlight w:val="none"/>
              </w:rPr>
            </w:pPr>
          </w:p>
        </w:tc>
      </w:tr>
      <w:tr w14:paraId="06D9B463">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191" w:type="pct"/>
            <w:vMerge w:val="restart"/>
            <w:vAlign w:val="center"/>
          </w:tcPr>
          <w:p w14:paraId="6CE6A3E9">
            <w:pPr>
              <w:pStyle w:val="240"/>
              <w:pageBreakBefore w:val="0"/>
              <w:kinsoku/>
              <w:wordWrap/>
              <w:overflowPunct/>
              <w:topLinePunct w:val="0"/>
              <w:autoSpaceDE/>
              <w:autoSpaceDN/>
              <w:bidi w:val="0"/>
              <w:adjustRightInd w:val="0"/>
              <w:snapToGrid w:val="0"/>
              <w:ind w:left="0" w:right="0"/>
              <w:textAlignment w:val="auto"/>
              <w:rPr>
                <w:rFonts w:ascii="Times New Roman" w:hAnsi="Times New Roman"/>
                <w:b/>
                <w:color w:val="auto"/>
                <w:highlight w:val="none"/>
              </w:rPr>
            </w:pPr>
            <w:r>
              <w:rPr>
                <w:rFonts w:ascii="Times New Roman" w:hAnsi="Times New Roman"/>
                <w:b/>
                <w:color w:val="auto"/>
                <w:highlight w:val="none"/>
              </w:rPr>
              <w:t>废</w:t>
            </w:r>
          </w:p>
          <w:p w14:paraId="07A3C896">
            <w:pPr>
              <w:pStyle w:val="240"/>
              <w:pageBreakBefore w:val="0"/>
              <w:kinsoku/>
              <w:wordWrap/>
              <w:overflowPunct/>
              <w:topLinePunct w:val="0"/>
              <w:autoSpaceDE/>
              <w:autoSpaceDN/>
              <w:bidi w:val="0"/>
              <w:adjustRightInd w:val="0"/>
              <w:snapToGrid w:val="0"/>
              <w:ind w:left="0" w:right="0"/>
              <w:textAlignment w:val="auto"/>
              <w:rPr>
                <w:rFonts w:ascii="Times New Roman" w:hAnsi="Times New Roman"/>
                <w:b/>
                <w:color w:val="auto"/>
                <w:highlight w:val="none"/>
              </w:rPr>
            </w:pPr>
            <w:r>
              <w:rPr>
                <w:rFonts w:hint="eastAsia" w:ascii="Times New Roman" w:hAnsi="Times New Roman"/>
                <w:b/>
                <w:color w:val="auto"/>
                <w:highlight w:val="none"/>
              </w:rPr>
              <w:t>水</w:t>
            </w:r>
          </w:p>
        </w:tc>
        <w:tc>
          <w:tcPr>
            <w:tcW w:w="193" w:type="pct"/>
            <w:vMerge w:val="restart"/>
            <w:vAlign w:val="center"/>
          </w:tcPr>
          <w:p w14:paraId="1BAFE78B">
            <w:pPr>
              <w:pStyle w:val="240"/>
              <w:pageBreakBefore w:val="0"/>
              <w:kinsoku/>
              <w:wordWrap/>
              <w:overflowPunct/>
              <w:topLinePunct w:val="0"/>
              <w:autoSpaceDE/>
              <w:autoSpaceDN/>
              <w:bidi w:val="0"/>
              <w:adjustRightInd w:val="0"/>
              <w:snapToGrid w:val="0"/>
              <w:ind w:left="0" w:right="0"/>
              <w:textAlignment w:val="auto"/>
              <w:rPr>
                <w:rFonts w:ascii="Times New Roman" w:hAnsi="Times New Roman"/>
                <w:b/>
                <w:color w:val="auto"/>
                <w:highlight w:val="none"/>
              </w:rPr>
            </w:pPr>
            <w:r>
              <w:rPr>
                <w:rFonts w:ascii="Times New Roman" w:hAnsi="Times New Roman"/>
                <w:b/>
                <w:color w:val="auto"/>
                <w:highlight w:val="none"/>
              </w:rPr>
              <w:t>生产废水</w:t>
            </w:r>
          </w:p>
        </w:tc>
        <w:tc>
          <w:tcPr>
            <w:tcW w:w="628" w:type="pct"/>
            <w:gridSpan w:val="2"/>
            <w:vMerge w:val="restart"/>
            <w:vAlign w:val="center"/>
          </w:tcPr>
          <w:p w14:paraId="6B166033">
            <w:pPr>
              <w:pStyle w:val="240"/>
              <w:pageBreakBefore w:val="0"/>
              <w:kinsoku/>
              <w:wordWrap/>
              <w:overflowPunct/>
              <w:topLinePunct w:val="0"/>
              <w:autoSpaceDE/>
              <w:autoSpaceDN/>
              <w:bidi w:val="0"/>
              <w:adjustRightInd w:val="0"/>
              <w:snapToGrid w:val="0"/>
              <w:ind w:left="0" w:right="0"/>
              <w:textAlignment w:val="auto"/>
              <w:rPr>
                <w:rFonts w:ascii="Times New Roman" w:hAnsi="Times New Roman"/>
                <w:color w:val="auto"/>
                <w:highlight w:val="none"/>
              </w:rPr>
            </w:pPr>
            <w:r>
              <w:rPr>
                <w:rFonts w:hint="eastAsia" w:ascii="Times New Roman" w:hAnsi="Times New Roman"/>
                <w:color w:val="auto"/>
                <w:highlight w:val="none"/>
              </w:rPr>
              <w:t>制纯浓水、反冲洗水</w:t>
            </w:r>
            <w:r>
              <w:rPr>
                <w:rFonts w:ascii="Times New Roman" w:hAnsi="Times New Roman"/>
                <w:color w:val="auto"/>
                <w:highlight w:val="none"/>
                <w:lang w:bidi="zh-CN"/>
              </w:rPr>
              <w:t>（W</w:t>
            </w:r>
            <w:r>
              <w:rPr>
                <w:rFonts w:hint="eastAsia" w:ascii="Times New Roman" w:hAnsi="Times New Roman"/>
                <w:color w:val="auto"/>
                <w:highlight w:val="none"/>
                <w:lang w:bidi="zh-CN"/>
              </w:rPr>
              <w:t>2-</w:t>
            </w:r>
            <w:r>
              <w:rPr>
                <w:rFonts w:ascii="Times New Roman" w:hAnsi="Times New Roman"/>
                <w:color w:val="auto"/>
                <w:highlight w:val="none"/>
                <w:lang w:bidi="zh-CN"/>
              </w:rPr>
              <w:t>1、W</w:t>
            </w:r>
            <w:r>
              <w:rPr>
                <w:rFonts w:hint="eastAsia" w:ascii="Times New Roman" w:hAnsi="Times New Roman"/>
                <w:color w:val="auto"/>
                <w:highlight w:val="none"/>
                <w:lang w:bidi="zh-CN"/>
              </w:rPr>
              <w:t>2-2</w:t>
            </w:r>
            <w:r>
              <w:rPr>
                <w:rFonts w:ascii="Times New Roman" w:hAnsi="Times New Roman"/>
                <w:color w:val="auto"/>
                <w:highlight w:val="none"/>
                <w:lang w:bidi="zh-CN"/>
              </w:rPr>
              <w:t>）</w:t>
            </w:r>
          </w:p>
        </w:tc>
        <w:tc>
          <w:tcPr>
            <w:tcW w:w="579" w:type="pct"/>
            <w:vAlign w:val="center"/>
          </w:tcPr>
          <w:p w14:paraId="0C207059">
            <w:pPr>
              <w:pStyle w:val="240"/>
              <w:pageBreakBefore w:val="0"/>
              <w:kinsoku/>
              <w:wordWrap/>
              <w:overflowPunct/>
              <w:topLinePunct w:val="0"/>
              <w:autoSpaceDE/>
              <w:autoSpaceDN/>
              <w:bidi w:val="0"/>
              <w:adjustRightInd w:val="0"/>
              <w:snapToGrid w:val="0"/>
              <w:ind w:left="0" w:right="0"/>
              <w:textAlignment w:val="auto"/>
              <w:rPr>
                <w:rFonts w:ascii="Times New Roman" w:hAnsi="Times New Roman"/>
                <w:color w:val="auto"/>
                <w:highlight w:val="none"/>
              </w:rPr>
            </w:pPr>
            <w:r>
              <w:rPr>
                <w:rFonts w:ascii="Times New Roman" w:hAnsi="Times New Roman"/>
                <w:color w:val="auto"/>
                <w:highlight w:val="none"/>
                <w:lang w:bidi="zh-CN"/>
              </w:rPr>
              <w:t>水量</w:t>
            </w:r>
          </w:p>
        </w:tc>
        <w:tc>
          <w:tcPr>
            <w:tcW w:w="478" w:type="pct"/>
            <w:shd w:val="clear" w:color="auto" w:fill="auto"/>
            <w:vAlign w:val="center"/>
          </w:tcPr>
          <w:p w14:paraId="07D69564">
            <w:pPr>
              <w:pStyle w:val="240"/>
              <w:pageBreakBefore w:val="0"/>
              <w:kinsoku/>
              <w:wordWrap/>
              <w:overflowPunct/>
              <w:topLinePunct w:val="0"/>
              <w:autoSpaceDE/>
              <w:autoSpaceDN/>
              <w:bidi w:val="0"/>
              <w:adjustRightInd w:val="0"/>
              <w:snapToGrid w:val="0"/>
              <w:ind w:left="0" w:right="0"/>
              <w:textAlignment w:val="auto"/>
              <w:rPr>
                <w:rFonts w:hint="default" w:ascii="Times New Roman" w:hAnsi="Times New Roman" w:eastAsia="宋体"/>
                <w:color w:val="auto"/>
                <w:highlight w:val="none"/>
                <w:lang w:val="en-US" w:eastAsia="zh-CN"/>
              </w:rPr>
            </w:pPr>
            <w:r>
              <w:rPr>
                <w:rFonts w:hint="eastAsia" w:ascii="Times New Roman" w:hAnsi="Times New Roman"/>
                <w:color w:val="auto"/>
                <w:highlight w:val="none"/>
                <w:lang w:val="en-US" w:eastAsia="zh-CN"/>
              </w:rPr>
              <w:t>12.5</w:t>
            </w:r>
          </w:p>
        </w:tc>
        <w:tc>
          <w:tcPr>
            <w:tcW w:w="393" w:type="pct"/>
            <w:vMerge w:val="restart"/>
            <w:shd w:val="clear" w:color="auto" w:fill="auto"/>
            <w:vAlign w:val="center"/>
          </w:tcPr>
          <w:p w14:paraId="56F689E1">
            <w:pPr>
              <w:pStyle w:val="240"/>
              <w:pageBreakBefore w:val="0"/>
              <w:kinsoku/>
              <w:wordWrap/>
              <w:overflowPunct/>
              <w:topLinePunct w:val="0"/>
              <w:autoSpaceDE/>
              <w:autoSpaceDN/>
              <w:bidi w:val="0"/>
              <w:adjustRightInd w:val="0"/>
              <w:snapToGrid w:val="0"/>
              <w:ind w:left="0" w:right="0"/>
              <w:textAlignment w:val="auto"/>
              <w:rPr>
                <w:rFonts w:ascii="Times New Roman" w:hAnsi="Times New Roman"/>
                <w:color w:val="auto"/>
                <w:highlight w:val="none"/>
              </w:rPr>
            </w:pPr>
            <w:r>
              <w:rPr>
                <w:rFonts w:ascii="Times New Roman" w:hAnsi="Times New Roman"/>
                <w:color w:val="auto"/>
                <w:highlight w:val="none"/>
              </w:rPr>
              <w:t>经专用管道收集后</w:t>
            </w:r>
            <w:r>
              <w:rPr>
                <w:rFonts w:hint="eastAsia" w:ascii="Times New Roman" w:hAnsi="Times New Roman"/>
                <w:color w:val="auto"/>
                <w:highlight w:val="none"/>
              </w:rPr>
              <w:t>回用于冲厕</w:t>
            </w:r>
          </w:p>
        </w:tc>
        <w:tc>
          <w:tcPr>
            <w:tcW w:w="641" w:type="pct"/>
            <w:vMerge w:val="restart"/>
            <w:shd w:val="clear" w:color="auto" w:fill="auto"/>
            <w:vAlign w:val="center"/>
          </w:tcPr>
          <w:p w14:paraId="58AC6856">
            <w:pPr>
              <w:pStyle w:val="240"/>
              <w:pageBreakBefore w:val="0"/>
              <w:kinsoku/>
              <w:wordWrap/>
              <w:overflowPunct/>
              <w:topLinePunct w:val="0"/>
              <w:autoSpaceDE/>
              <w:autoSpaceDN/>
              <w:bidi w:val="0"/>
              <w:adjustRightInd w:val="0"/>
              <w:snapToGrid w:val="0"/>
              <w:ind w:left="0" w:right="0"/>
              <w:textAlignment w:val="auto"/>
              <w:rPr>
                <w:rFonts w:ascii="Times New Roman" w:hAnsi="Times New Roman"/>
                <w:color w:val="auto"/>
                <w:highlight w:val="none"/>
              </w:rPr>
            </w:pPr>
            <w:r>
              <w:rPr>
                <w:rFonts w:hint="eastAsia" w:ascii="Times New Roman" w:hAnsi="Times New Roman"/>
                <w:color w:val="auto"/>
                <w:highlight w:val="none"/>
              </w:rPr>
              <w:t>/</w:t>
            </w:r>
          </w:p>
        </w:tc>
        <w:tc>
          <w:tcPr>
            <w:tcW w:w="1018" w:type="pct"/>
            <w:gridSpan w:val="3"/>
            <w:vMerge w:val="restart"/>
            <w:shd w:val="clear" w:color="auto" w:fill="auto"/>
            <w:vAlign w:val="center"/>
          </w:tcPr>
          <w:p w14:paraId="46CDC089">
            <w:pPr>
              <w:pStyle w:val="240"/>
              <w:pageBreakBefore w:val="0"/>
              <w:kinsoku/>
              <w:wordWrap/>
              <w:overflowPunct/>
              <w:topLinePunct w:val="0"/>
              <w:autoSpaceDE/>
              <w:autoSpaceDN/>
              <w:bidi w:val="0"/>
              <w:adjustRightInd w:val="0"/>
              <w:snapToGrid w:val="0"/>
              <w:ind w:left="0" w:right="0"/>
              <w:textAlignment w:val="auto"/>
              <w:rPr>
                <w:rFonts w:ascii="Times New Roman" w:hAnsi="Times New Roman"/>
                <w:color w:val="auto"/>
                <w:highlight w:val="none"/>
              </w:rPr>
            </w:pPr>
            <w:r>
              <w:rPr>
                <w:rFonts w:ascii="Times New Roman" w:hAnsi="Times New Roman"/>
                <w:color w:val="auto"/>
                <w:highlight w:val="none"/>
              </w:rPr>
              <w:t>回用于</w:t>
            </w:r>
            <w:r>
              <w:rPr>
                <w:rFonts w:hint="eastAsia" w:ascii="Times New Roman" w:hAnsi="Times New Roman"/>
                <w:color w:val="auto"/>
                <w:highlight w:val="none"/>
              </w:rPr>
              <w:t>冲厕</w:t>
            </w:r>
          </w:p>
        </w:tc>
        <w:tc>
          <w:tcPr>
            <w:tcW w:w="875" w:type="pct"/>
            <w:vMerge w:val="restart"/>
            <w:vAlign w:val="center"/>
          </w:tcPr>
          <w:p w14:paraId="6CCDB0D8">
            <w:pPr>
              <w:pStyle w:val="240"/>
              <w:pageBreakBefore w:val="0"/>
              <w:kinsoku/>
              <w:wordWrap/>
              <w:overflowPunct/>
              <w:topLinePunct w:val="0"/>
              <w:autoSpaceDE/>
              <w:autoSpaceDN/>
              <w:bidi w:val="0"/>
              <w:adjustRightInd w:val="0"/>
              <w:snapToGrid w:val="0"/>
              <w:ind w:left="0" w:right="0"/>
              <w:textAlignment w:val="auto"/>
              <w:rPr>
                <w:rFonts w:ascii="Times New Roman" w:hAnsi="Times New Roman"/>
                <w:color w:val="auto"/>
                <w:highlight w:val="none"/>
              </w:rPr>
            </w:pPr>
            <w:r>
              <w:rPr>
                <w:rFonts w:hint="eastAsia" w:ascii="Times New Roman" w:hAnsi="Times New Roman"/>
                <w:color w:val="auto"/>
                <w:highlight w:val="none"/>
              </w:rPr>
              <w:t>/</w:t>
            </w:r>
          </w:p>
        </w:tc>
      </w:tr>
      <w:tr w14:paraId="6F01F676">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PrEx>
        <w:trPr>
          <w:cantSplit/>
          <w:trHeight w:val="340" w:hRule="atLeast"/>
          <w:jc w:val="center"/>
        </w:trPr>
        <w:tc>
          <w:tcPr>
            <w:tcW w:w="191" w:type="pct"/>
            <w:vMerge w:val="continue"/>
            <w:vAlign w:val="center"/>
          </w:tcPr>
          <w:p w14:paraId="64B983A4">
            <w:pPr>
              <w:pStyle w:val="240"/>
              <w:pageBreakBefore w:val="0"/>
              <w:kinsoku/>
              <w:wordWrap/>
              <w:overflowPunct/>
              <w:topLinePunct w:val="0"/>
              <w:autoSpaceDE/>
              <w:autoSpaceDN/>
              <w:bidi w:val="0"/>
              <w:adjustRightInd w:val="0"/>
              <w:snapToGrid w:val="0"/>
              <w:ind w:left="0" w:right="0"/>
              <w:textAlignment w:val="auto"/>
              <w:rPr>
                <w:rFonts w:ascii="Times New Roman" w:hAnsi="Times New Roman"/>
                <w:b/>
                <w:color w:val="auto"/>
                <w:highlight w:val="none"/>
              </w:rPr>
            </w:pPr>
          </w:p>
        </w:tc>
        <w:tc>
          <w:tcPr>
            <w:tcW w:w="193" w:type="pct"/>
            <w:vMerge w:val="continue"/>
            <w:vAlign w:val="center"/>
          </w:tcPr>
          <w:p w14:paraId="229B9D3C">
            <w:pPr>
              <w:pStyle w:val="240"/>
              <w:pageBreakBefore w:val="0"/>
              <w:kinsoku/>
              <w:wordWrap/>
              <w:overflowPunct/>
              <w:topLinePunct w:val="0"/>
              <w:autoSpaceDE/>
              <w:autoSpaceDN/>
              <w:bidi w:val="0"/>
              <w:adjustRightInd w:val="0"/>
              <w:snapToGrid w:val="0"/>
              <w:ind w:left="0" w:right="0"/>
              <w:textAlignment w:val="auto"/>
              <w:rPr>
                <w:rFonts w:ascii="Times New Roman" w:hAnsi="Times New Roman"/>
                <w:b/>
                <w:color w:val="auto"/>
                <w:highlight w:val="none"/>
              </w:rPr>
            </w:pPr>
          </w:p>
        </w:tc>
        <w:tc>
          <w:tcPr>
            <w:tcW w:w="628" w:type="pct"/>
            <w:gridSpan w:val="2"/>
            <w:vMerge w:val="continue"/>
            <w:vAlign w:val="center"/>
          </w:tcPr>
          <w:p w14:paraId="36BD8E16">
            <w:pPr>
              <w:pStyle w:val="240"/>
              <w:pageBreakBefore w:val="0"/>
              <w:kinsoku/>
              <w:wordWrap/>
              <w:overflowPunct/>
              <w:topLinePunct w:val="0"/>
              <w:autoSpaceDE/>
              <w:autoSpaceDN/>
              <w:bidi w:val="0"/>
              <w:adjustRightInd w:val="0"/>
              <w:snapToGrid w:val="0"/>
              <w:ind w:left="0" w:right="0"/>
              <w:textAlignment w:val="auto"/>
              <w:rPr>
                <w:rFonts w:ascii="Times New Roman" w:hAnsi="Times New Roman"/>
                <w:color w:val="auto"/>
                <w:highlight w:val="none"/>
              </w:rPr>
            </w:pPr>
          </w:p>
        </w:tc>
        <w:tc>
          <w:tcPr>
            <w:tcW w:w="579" w:type="pct"/>
            <w:vAlign w:val="center"/>
          </w:tcPr>
          <w:p w14:paraId="6EA8987D">
            <w:pPr>
              <w:pStyle w:val="242"/>
              <w:pageBreakBefore w:val="0"/>
              <w:kinsoku/>
              <w:wordWrap/>
              <w:overflowPunct/>
              <w:topLinePunct w:val="0"/>
              <w:autoSpaceDE/>
              <w:autoSpaceDN/>
              <w:bidi w:val="0"/>
              <w:snapToGrid w:val="0"/>
              <w:ind w:left="0" w:right="0"/>
              <w:textAlignment w:val="auto"/>
              <w:rPr>
                <w:rFonts w:ascii="Times New Roman" w:hAnsi="Times New Roman" w:cs="Times New Roman"/>
                <w:color w:val="auto"/>
                <w:highlight w:val="none"/>
              </w:rPr>
            </w:pPr>
            <w:r>
              <w:rPr>
                <w:rFonts w:ascii="Times New Roman" w:hAnsi="Times New Roman" w:cs="Times New Roman"/>
                <w:color w:val="auto"/>
                <w:highlight w:val="none"/>
                <w:lang w:bidi="zh-CN"/>
              </w:rPr>
              <w:t>COD</w:t>
            </w:r>
          </w:p>
        </w:tc>
        <w:tc>
          <w:tcPr>
            <w:tcW w:w="478" w:type="pct"/>
            <w:shd w:val="clear" w:color="auto" w:fill="auto"/>
            <w:vAlign w:val="center"/>
          </w:tcPr>
          <w:p w14:paraId="7D48D543">
            <w:pPr>
              <w:pageBreakBefore w:val="0"/>
              <w:kinsoku/>
              <w:wordWrap/>
              <w:overflowPunct/>
              <w:topLinePunct w:val="0"/>
              <w:autoSpaceDE/>
              <w:autoSpaceDN/>
              <w:bidi w:val="0"/>
              <w:ind w:left="0" w:right="0"/>
              <w:jc w:val="center"/>
              <w:textAlignment w:val="auto"/>
              <w:rPr>
                <w:rFonts w:ascii="Times New Roman" w:hAnsi="Times New Roman" w:cs="Times New Roman"/>
                <w:color w:val="auto"/>
                <w:highlight w:val="none"/>
              </w:rPr>
            </w:pPr>
            <w:r>
              <w:rPr>
                <w:rFonts w:hint="eastAsia" w:ascii="Times New Roman" w:hAnsi="Times New Roman" w:cs="Times New Roman"/>
                <w:color w:val="auto"/>
                <w:sz w:val="21"/>
                <w:szCs w:val="21"/>
                <w:highlight w:val="none"/>
              </w:rPr>
              <w:t>0.00</w:t>
            </w:r>
            <w:r>
              <w:rPr>
                <w:rFonts w:hint="eastAsia" w:ascii="Times New Roman" w:hAnsi="Times New Roman" w:cs="Times New Roman"/>
                <w:color w:val="auto"/>
                <w:sz w:val="21"/>
                <w:szCs w:val="21"/>
                <w:highlight w:val="none"/>
                <w:lang w:val="en-US" w:eastAsia="zh-CN"/>
              </w:rPr>
              <w:t>0</w:t>
            </w:r>
            <w:r>
              <w:rPr>
                <w:rFonts w:hint="eastAsia" w:ascii="Times New Roman" w:hAnsi="Times New Roman" w:cs="Times New Roman"/>
                <w:color w:val="auto"/>
                <w:sz w:val="21"/>
                <w:szCs w:val="21"/>
                <w:highlight w:val="none"/>
              </w:rPr>
              <w:t>8</w:t>
            </w:r>
          </w:p>
        </w:tc>
        <w:tc>
          <w:tcPr>
            <w:tcW w:w="393" w:type="pct"/>
            <w:vMerge w:val="continue"/>
            <w:shd w:val="clear" w:color="auto" w:fill="auto"/>
            <w:vAlign w:val="center"/>
          </w:tcPr>
          <w:p w14:paraId="3AEE5A63">
            <w:pPr>
              <w:pStyle w:val="240"/>
              <w:pageBreakBefore w:val="0"/>
              <w:kinsoku/>
              <w:wordWrap/>
              <w:overflowPunct/>
              <w:topLinePunct w:val="0"/>
              <w:autoSpaceDE/>
              <w:autoSpaceDN/>
              <w:bidi w:val="0"/>
              <w:adjustRightInd w:val="0"/>
              <w:snapToGrid w:val="0"/>
              <w:ind w:left="0" w:right="0"/>
              <w:textAlignment w:val="auto"/>
              <w:rPr>
                <w:rFonts w:ascii="Times New Roman" w:hAnsi="Times New Roman"/>
                <w:color w:val="auto"/>
                <w:highlight w:val="none"/>
              </w:rPr>
            </w:pPr>
          </w:p>
        </w:tc>
        <w:tc>
          <w:tcPr>
            <w:tcW w:w="641" w:type="pct"/>
            <w:vMerge w:val="continue"/>
            <w:shd w:val="clear" w:color="auto" w:fill="auto"/>
            <w:vAlign w:val="center"/>
          </w:tcPr>
          <w:p w14:paraId="0D15F77B">
            <w:pPr>
              <w:pStyle w:val="240"/>
              <w:pageBreakBefore w:val="0"/>
              <w:kinsoku/>
              <w:wordWrap/>
              <w:overflowPunct/>
              <w:topLinePunct w:val="0"/>
              <w:autoSpaceDE/>
              <w:autoSpaceDN/>
              <w:bidi w:val="0"/>
              <w:adjustRightInd w:val="0"/>
              <w:snapToGrid w:val="0"/>
              <w:ind w:left="0" w:right="0"/>
              <w:textAlignment w:val="auto"/>
              <w:rPr>
                <w:rFonts w:ascii="Times New Roman" w:hAnsi="Times New Roman"/>
                <w:color w:val="auto"/>
                <w:highlight w:val="none"/>
              </w:rPr>
            </w:pPr>
          </w:p>
        </w:tc>
        <w:tc>
          <w:tcPr>
            <w:tcW w:w="1018" w:type="pct"/>
            <w:gridSpan w:val="3"/>
            <w:vMerge w:val="continue"/>
            <w:shd w:val="clear" w:color="auto" w:fill="auto"/>
            <w:vAlign w:val="center"/>
          </w:tcPr>
          <w:p w14:paraId="168ECC04">
            <w:pPr>
              <w:pStyle w:val="240"/>
              <w:pageBreakBefore w:val="0"/>
              <w:kinsoku/>
              <w:wordWrap/>
              <w:overflowPunct/>
              <w:topLinePunct w:val="0"/>
              <w:autoSpaceDE/>
              <w:autoSpaceDN/>
              <w:bidi w:val="0"/>
              <w:adjustRightInd w:val="0"/>
              <w:snapToGrid w:val="0"/>
              <w:ind w:left="0" w:right="0"/>
              <w:textAlignment w:val="auto"/>
              <w:rPr>
                <w:rFonts w:ascii="Times New Roman" w:hAnsi="Times New Roman"/>
                <w:color w:val="auto"/>
                <w:highlight w:val="none"/>
              </w:rPr>
            </w:pPr>
          </w:p>
        </w:tc>
        <w:tc>
          <w:tcPr>
            <w:tcW w:w="875" w:type="pct"/>
            <w:vMerge w:val="continue"/>
            <w:vAlign w:val="center"/>
          </w:tcPr>
          <w:p w14:paraId="137BAF29">
            <w:pPr>
              <w:pStyle w:val="240"/>
              <w:pageBreakBefore w:val="0"/>
              <w:kinsoku/>
              <w:wordWrap/>
              <w:overflowPunct/>
              <w:topLinePunct w:val="0"/>
              <w:autoSpaceDE/>
              <w:autoSpaceDN/>
              <w:bidi w:val="0"/>
              <w:adjustRightInd w:val="0"/>
              <w:snapToGrid w:val="0"/>
              <w:ind w:left="0" w:right="0"/>
              <w:textAlignment w:val="auto"/>
              <w:rPr>
                <w:rFonts w:ascii="Times New Roman" w:hAnsi="Times New Roman"/>
                <w:color w:val="auto"/>
                <w:highlight w:val="none"/>
              </w:rPr>
            </w:pPr>
          </w:p>
        </w:tc>
      </w:tr>
      <w:tr w14:paraId="2CE6F697">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PrEx>
        <w:trPr>
          <w:cantSplit/>
          <w:trHeight w:val="340" w:hRule="atLeast"/>
          <w:jc w:val="center"/>
        </w:trPr>
        <w:tc>
          <w:tcPr>
            <w:tcW w:w="191" w:type="pct"/>
            <w:vMerge w:val="continue"/>
            <w:vAlign w:val="center"/>
          </w:tcPr>
          <w:p w14:paraId="42C3B3EA">
            <w:pPr>
              <w:pStyle w:val="240"/>
              <w:pageBreakBefore w:val="0"/>
              <w:kinsoku/>
              <w:wordWrap/>
              <w:overflowPunct/>
              <w:topLinePunct w:val="0"/>
              <w:autoSpaceDE/>
              <w:autoSpaceDN/>
              <w:bidi w:val="0"/>
              <w:adjustRightInd w:val="0"/>
              <w:snapToGrid w:val="0"/>
              <w:ind w:left="0" w:right="0"/>
              <w:textAlignment w:val="auto"/>
              <w:rPr>
                <w:rFonts w:ascii="Times New Roman" w:hAnsi="Times New Roman"/>
                <w:b/>
                <w:color w:val="auto"/>
                <w:highlight w:val="none"/>
              </w:rPr>
            </w:pPr>
          </w:p>
        </w:tc>
        <w:tc>
          <w:tcPr>
            <w:tcW w:w="193" w:type="pct"/>
            <w:vMerge w:val="continue"/>
            <w:vAlign w:val="center"/>
          </w:tcPr>
          <w:p w14:paraId="29898051">
            <w:pPr>
              <w:pStyle w:val="240"/>
              <w:pageBreakBefore w:val="0"/>
              <w:kinsoku/>
              <w:wordWrap/>
              <w:overflowPunct/>
              <w:topLinePunct w:val="0"/>
              <w:autoSpaceDE/>
              <w:autoSpaceDN/>
              <w:bidi w:val="0"/>
              <w:adjustRightInd w:val="0"/>
              <w:snapToGrid w:val="0"/>
              <w:ind w:left="0" w:right="0"/>
              <w:textAlignment w:val="auto"/>
              <w:rPr>
                <w:rFonts w:ascii="Times New Roman" w:hAnsi="Times New Roman"/>
                <w:b/>
                <w:color w:val="auto"/>
                <w:highlight w:val="none"/>
              </w:rPr>
            </w:pPr>
          </w:p>
        </w:tc>
        <w:tc>
          <w:tcPr>
            <w:tcW w:w="628" w:type="pct"/>
            <w:gridSpan w:val="2"/>
            <w:vMerge w:val="continue"/>
            <w:vAlign w:val="center"/>
          </w:tcPr>
          <w:p w14:paraId="2E840D65">
            <w:pPr>
              <w:pStyle w:val="240"/>
              <w:pageBreakBefore w:val="0"/>
              <w:kinsoku/>
              <w:wordWrap/>
              <w:overflowPunct/>
              <w:topLinePunct w:val="0"/>
              <w:autoSpaceDE/>
              <w:autoSpaceDN/>
              <w:bidi w:val="0"/>
              <w:adjustRightInd w:val="0"/>
              <w:snapToGrid w:val="0"/>
              <w:ind w:left="0" w:right="0"/>
              <w:textAlignment w:val="auto"/>
              <w:rPr>
                <w:rFonts w:ascii="Times New Roman" w:hAnsi="Times New Roman"/>
                <w:color w:val="auto"/>
                <w:highlight w:val="none"/>
              </w:rPr>
            </w:pPr>
          </w:p>
        </w:tc>
        <w:tc>
          <w:tcPr>
            <w:tcW w:w="579" w:type="pct"/>
            <w:vAlign w:val="center"/>
          </w:tcPr>
          <w:p w14:paraId="5E9B401D">
            <w:pPr>
              <w:pStyle w:val="242"/>
              <w:pageBreakBefore w:val="0"/>
              <w:kinsoku/>
              <w:wordWrap/>
              <w:overflowPunct/>
              <w:topLinePunct w:val="0"/>
              <w:autoSpaceDE/>
              <w:autoSpaceDN/>
              <w:bidi w:val="0"/>
              <w:snapToGrid w:val="0"/>
              <w:ind w:left="0" w:right="0"/>
              <w:textAlignment w:val="auto"/>
              <w:rPr>
                <w:rFonts w:ascii="Times New Roman" w:hAnsi="Times New Roman" w:cs="Times New Roman"/>
                <w:color w:val="auto"/>
                <w:highlight w:val="none"/>
              </w:rPr>
            </w:pPr>
            <w:r>
              <w:rPr>
                <w:rFonts w:ascii="Times New Roman" w:hAnsi="Times New Roman" w:cs="Times New Roman"/>
                <w:color w:val="auto"/>
                <w:highlight w:val="none"/>
                <w:lang w:bidi="zh-CN"/>
              </w:rPr>
              <w:t>SS</w:t>
            </w:r>
          </w:p>
        </w:tc>
        <w:tc>
          <w:tcPr>
            <w:tcW w:w="478" w:type="pct"/>
            <w:shd w:val="clear" w:color="auto" w:fill="auto"/>
            <w:vAlign w:val="center"/>
          </w:tcPr>
          <w:p w14:paraId="68212425">
            <w:pPr>
              <w:pageBreakBefore w:val="0"/>
              <w:kinsoku/>
              <w:wordWrap/>
              <w:overflowPunct/>
              <w:topLinePunct w:val="0"/>
              <w:autoSpaceDE/>
              <w:autoSpaceDN/>
              <w:bidi w:val="0"/>
              <w:ind w:left="0" w:right="0"/>
              <w:jc w:val="center"/>
              <w:textAlignment w:val="auto"/>
              <w:rPr>
                <w:rFonts w:hint="default" w:ascii="Times New Roman" w:hAnsi="Times New Roman" w:eastAsia="宋体" w:cs="Times New Roman"/>
                <w:color w:val="auto"/>
                <w:highlight w:val="none"/>
                <w:lang w:val="en-US" w:eastAsia="zh-CN"/>
              </w:rPr>
            </w:pPr>
            <w:r>
              <w:rPr>
                <w:rFonts w:hint="eastAsia" w:ascii="Times New Roman" w:hAnsi="Times New Roman" w:cs="Times New Roman"/>
                <w:color w:val="auto"/>
                <w:sz w:val="21"/>
                <w:szCs w:val="21"/>
                <w:highlight w:val="none"/>
              </w:rPr>
              <w:t>0.00</w:t>
            </w:r>
            <w:r>
              <w:rPr>
                <w:rFonts w:hint="eastAsia" w:ascii="Times New Roman" w:hAnsi="Times New Roman" w:cs="Times New Roman"/>
                <w:color w:val="auto"/>
                <w:sz w:val="21"/>
                <w:szCs w:val="21"/>
                <w:highlight w:val="none"/>
                <w:lang w:val="en-US" w:eastAsia="zh-CN"/>
              </w:rPr>
              <w:t>04</w:t>
            </w:r>
          </w:p>
        </w:tc>
        <w:tc>
          <w:tcPr>
            <w:tcW w:w="393" w:type="pct"/>
            <w:vMerge w:val="continue"/>
            <w:shd w:val="clear" w:color="auto" w:fill="auto"/>
            <w:vAlign w:val="center"/>
          </w:tcPr>
          <w:p w14:paraId="2527D0E8">
            <w:pPr>
              <w:pStyle w:val="240"/>
              <w:pageBreakBefore w:val="0"/>
              <w:kinsoku/>
              <w:wordWrap/>
              <w:overflowPunct/>
              <w:topLinePunct w:val="0"/>
              <w:autoSpaceDE/>
              <w:autoSpaceDN/>
              <w:bidi w:val="0"/>
              <w:adjustRightInd w:val="0"/>
              <w:snapToGrid w:val="0"/>
              <w:ind w:left="0" w:right="0"/>
              <w:textAlignment w:val="auto"/>
              <w:rPr>
                <w:rFonts w:ascii="Times New Roman" w:hAnsi="Times New Roman"/>
                <w:color w:val="auto"/>
                <w:highlight w:val="none"/>
              </w:rPr>
            </w:pPr>
          </w:p>
        </w:tc>
        <w:tc>
          <w:tcPr>
            <w:tcW w:w="641" w:type="pct"/>
            <w:vMerge w:val="continue"/>
            <w:shd w:val="clear" w:color="auto" w:fill="auto"/>
            <w:vAlign w:val="center"/>
          </w:tcPr>
          <w:p w14:paraId="29342F04">
            <w:pPr>
              <w:pStyle w:val="240"/>
              <w:pageBreakBefore w:val="0"/>
              <w:kinsoku/>
              <w:wordWrap/>
              <w:overflowPunct/>
              <w:topLinePunct w:val="0"/>
              <w:autoSpaceDE/>
              <w:autoSpaceDN/>
              <w:bidi w:val="0"/>
              <w:adjustRightInd w:val="0"/>
              <w:snapToGrid w:val="0"/>
              <w:ind w:left="0" w:right="0"/>
              <w:textAlignment w:val="auto"/>
              <w:rPr>
                <w:rFonts w:ascii="Times New Roman" w:hAnsi="Times New Roman"/>
                <w:color w:val="auto"/>
                <w:highlight w:val="none"/>
              </w:rPr>
            </w:pPr>
          </w:p>
        </w:tc>
        <w:tc>
          <w:tcPr>
            <w:tcW w:w="1018" w:type="pct"/>
            <w:gridSpan w:val="3"/>
            <w:vMerge w:val="continue"/>
            <w:shd w:val="clear" w:color="auto" w:fill="auto"/>
            <w:vAlign w:val="center"/>
          </w:tcPr>
          <w:p w14:paraId="0CA9AFB1">
            <w:pPr>
              <w:pStyle w:val="240"/>
              <w:pageBreakBefore w:val="0"/>
              <w:kinsoku/>
              <w:wordWrap/>
              <w:overflowPunct/>
              <w:topLinePunct w:val="0"/>
              <w:autoSpaceDE/>
              <w:autoSpaceDN/>
              <w:bidi w:val="0"/>
              <w:adjustRightInd w:val="0"/>
              <w:snapToGrid w:val="0"/>
              <w:ind w:left="0" w:right="0"/>
              <w:textAlignment w:val="auto"/>
              <w:rPr>
                <w:rFonts w:ascii="Times New Roman" w:hAnsi="Times New Roman"/>
                <w:color w:val="auto"/>
                <w:highlight w:val="none"/>
              </w:rPr>
            </w:pPr>
          </w:p>
        </w:tc>
        <w:tc>
          <w:tcPr>
            <w:tcW w:w="875" w:type="pct"/>
            <w:vMerge w:val="continue"/>
            <w:vAlign w:val="center"/>
          </w:tcPr>
          <w:p w14:paraId="6D937E35">
            <w:pPr>
              <w:pStyle w:val="240"/>
              <w:pageBreakBefore w:val="0"/>
              <w:kinsoku/>
              <w:wordWrap/>
              <w:overflowPunct/>
              <w:topLinePunct w:val="0"/>
              <w:autoSpaceDE/>
              <w:autoSpaceDN/>
              <w:bidi w:val="0"/>
              <w:adjustRightInd w:val="0"/>
              <w:snapToGrid w:val="0"/>
              <w:ind w:left="0" w:right="0"/>
              <w:textAlignment w:val="auto"/>
              <w:rPr>
                <w:rFonts w:ascii="Times New Roman" w:hAnsi="Times New Roman"/>
                <w:color w:val="auto"/>
                <w:highlight w:val="none"/>
              </w:rPr>
            </w:pPr>
          </w:p>
        </w:tc>
      </w:tr>
      <w:tr w14:paraId="79BE868C">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PrEx>
        <w:trPr>
          <w:cantSplit/>
          <w:trHeight w:val="340" w:hRule="atLeast"/>
          <w:jc w:val="center"/>
        </w:trPr>
        <w:tc>
          <w:tcPr>
            <w:tcW w:w="191" w:type="pct"/>
            <w:vMerge w:val="restart"/>
            <w:vAlign w:val="center"/>
          </w:tcPr>
          <w:p w14:paraId="3F99469B">
            <w:pPr>
              <w:pStyle w:val="240"/>
              <w:pageBreakBefore w:val="0"/>
              <w:kinsoku/>
              <w:wordWrap/>
              <w:overflowPunct/>
              <w:topLinePunct w:val="0"/>
              <w:autoSpaceDE/>
              <w:autoSpaceDN/>
              <w:bidi w:val="0"/>
              <w:adjustRightInd w:val="0"/>
              <w:snapToGrid w:val="0"/>
              <w:ind w:left="0" w:right="0"/>
              <w:textAlignment w:val="auto"/>
              <w:rPr>
                <w:rFonts w:ascii="Times New Roman" w:hAnsi="Times New Roman"/>
                <w:b/>
                <w:color w:val="auto"/>
                <w:highlight w:val="none"/>
              </w:rPr>
            </w:pPr>
            <w:r>
              <w:rPr>
                <w:rFonts w:ascii="Times New Roman" w:hAnsi="Times New Roman"/>
                <w:b/>
                <w:color w:val="auto"/>
                <w:highlight w:val="none"/>
              </w:rPr>
              <w:t>固体废物</w:t>
            </w:r>
          </w:p>
        </w:tc>
        <w:tc>
          <w:tcPr>
            <w:tcW w:w="193" w:type="pct"/>
            <w:vMerge w:val="restart"/>
            <w:vAlign w:val="center"/>
          </w:tcPr>
          <w:p w14:paraId="7AE82DAE">
            <w:pPr>
              <w:pStyle w:val="240"/>
              <w:pageBreakBefore w:val="0"/>
              <w:kinsoku/>
              <w:wordWrap/>
              <w:overflowPunct/>
              <w:topLinePunct w:val="0"/>
              <w:autoSpaceDE/>
              <w:autoSpaceDN/>
              <w:bidi w:val="0"/>
              <w:adjustRightInd w:val="0"/>
              <w:snapToGrid w:val="0"/>
              <w:ind w:left="0" w:right="0"/>
              <w:textAlignment w:val="auto"/>
              <w:rPr>
                <w:rFonts w:ascii="Times New Roman" w:hAnsi="Times New Roman"/>
                <w:b/>
                <w:color w:val="auto"/>
                <w:highlight w:val="none"/>
              </w:rPr>
            </w:pPr>
            <w:r>
              <w:rPr>
                <w:rFonts w:ascii="Times New Roman" w:hAnsi="Times New Roman"/>
                <w:b/>
                <w:color w:val="auto"/>
                <w:highlight w:val="none"/>
              </w:rPr>
              <w:t>一</w:t>
            </w:r>
          </w:p>
          <w:p w14:paraId="149889B5">
            <w:pPr>
              <w:pStyle w:val="240"/>
              <w:pageBreakBefore w:val="0"/>
              <w:kinsoku/>
              <w:wordWrap/>
              <w:overflowPunct/>
              <w:topLinePunct w:val="0"/>
              <w:autoSpaceDE/>
              <w:autoSpaceDN/>
              <w:bidi w:val="0"/>
              <w:adjustRightInd w:val="0"/>
              <w:snapToGrid w:val="0"/>
              <w:ind w:left="0" w:right="0"/>
              <w:textAlignment w:val="auto"/>
              <w:rPr>
                <w:rFonts w:ascii="Times New Roman" w:hAnsi="Times New Roman"/>
                <w:b/>
                <w:color w:val="auto"/>
                <w:highlight w:val="none"/>
              </w:rPr>
            </w:pPr>
            <w:r>
              <w:rPr>
                <w:rFonts w:ascii="Times New Roman" w:hAnsi="Times New Roman"/>
                <w:b/>
                <w:color w:val="auto"/>
                <w:highlight w:val="none"/>
              </w:rPr>
              <w:t>般</w:t>
            </w:r>
          </w:p>
          <w:p w14:paraId="2EF3CF3D">
            <w:pPr>
              <w:pStyle w:val="240"/>
              <w:pageBreakBefore w:val="0"/>
              <w:kinsoku/>
              <w:wordWrap/>
              <w:overflowPunct/>
              <w:topLinePunct w:val="0"/>
              <w:autoSpaceDE/>
              <w:autoSpaceDN/>
              <w:bidi w:val="0"/>
              <w:adjustRightInd w:val="0"/>
              <w:snapToGrid w:val="0"/>
              <w:ind w:left="0" w:right="0"/>
              <w:textAlignment w:val="auto"/>
              <w:rPr>
                <w:rFonts w:ascii="Times New Roman" w:hAnsi="Times New Roman"/>
                <w:b/>
                <w:color w:val="auto"/>
                <w:highlight w:val="none"/>
              </w:rPr>
            </w:pPr>
            <w:r>
              <w:rPr>
                <w:rFonts w:ascii="Times New Roman" w:hAnsi="Times New Roman"/>
                <w:b/>
                <w:color w:val="auto"/>
                <w:highlight w:val="none"/>
              </w:rPr>
              <w:t>固</w:t>
            </w:r>
          </w:p>
          <w:p w14:paraId="4A1F2189">
            <w:pPr>
              <w:pStyle w:val="240"/>
              <w:pageBreakBefore w:val="0"/>
              <w:kinsoku/>
              <w:wordWrap/>
              <w:overflowPunct/>
              <w:topLinePunct w:val="0"/>
              <w:autoSpaceDE/>
              <w:autoSpaceDN/>
              <w:bidi w:val="0"/>
              <w:adjustRightInd w:val="0"/>
              <w:snapToGrid w:val="0"/>
              <w:ind w:left="0" w:right="0"/>
              <w:textAlignment w:val="auto"/>
              <w:rPr>
                <w:rFonts w:ascii="Times New Roman" w:hAnsi="Times New Roman"/>
                <w:b/>
                <w:color w:val="auto"/>
                <w:highlight w:val="none"/>
              </w:rPr>
            </w:pPr>
            <w:r>
              <w:rPr>
                <w:rFonts w:ascii="Times New Roman" w:hAnsi="Times New Roman"/>
                <w:b/>
                <w:color w:val="auto"/>
                <w:highlight w:val="none"/>
              </w:rPr>
              <w:t>废</w:t>
            </w:r>
          </w:p>
        </w:tc>
        <w:tc>
          <w:tcPr>
            <w:tcW w:w="1207" w:type="pct"/>
            <w:gridSpan w:val="3"/>
            <w:vAlign w:val="center"/>
          </w:tcPr>
          <w:p w14:paraId="41746190">
            <w:pPr>
              <w:pageBreakBefore w:val="0"/>
              <w:kinsoku/>
              <w:wordWrap/>
              <w:overflowPunct/>
              <w:topLinePunct w:val="0"/>
              <w:autoSpaceDE/>
              <w:autoSpaceDN/>
              <w:bidi w:val="0"/>
              <w:ind w:left="0" w:right="0"/>
              <w:jc w:val="center"/>
              <w:textAlignment w:val="auto"/>
              <w:rPr>
                <w:rFonts w:ascii="Times New Roman" w:hAnsi="Times New Roman"/>
                <w:color w:val="auto"/>
                <w:highlight w:val="none"/>
              </w:rPr>
            </w:pPr>
            <w:r>
              <w:rPr>
                <w:rFonts w:hint="eastAsia" w:ascii="Times New Roman" w:hAnsi="Times New Roman" w:cs="Times New Roman"/>
                <w:color w:val="auto"/>
                <w:sz w:val="21"/>
                <w:szCs w:val="18"/>
                <w:highlight w:val="none"/>
              </w:rPr>
              <w:t>S2-1废过滤介质</w:t>
            </w:r>
          </w:p>
        </w:tc>
        <w:tc>
          <w:tcPr>
            <w:tcW w:w="478" w:type="pct"/>
            <w:vAlign w:val="center"/>
          </w:tcPr>
          <w:p w14:paraId="7CA24FBA">
            <w:pPr>
              <w:pageBreakBefore w:val="0"/>
              <w:kinsoku/>
              <w:wordWrap/>
              <w:overflowPunct/>
              <w:topLinePunct w:val="0"/>
              <w:autoSpaceDE/>
              <w:autoSpaceDN/>
              <w:bidi w:val="0"/>
              <w:ind w:left="0" w:right="0"/>
              <w:jc w:val="center"/>
              <w:textAlignment w:val="auto"/>
              <w:rPr>
                <w:rFonts w:ascii="Times New Roman" w:hAnsi="Times New Roman"/>
                <w:color w:val="auto"/>
                <w:highlight w:val="none"/>
              </w:rPr>
            </w:pPr>
            <w:r>
              <w:rPr>
                <w:rFonts w:hint="eastAsia" w:ascii="Times New Roman" w:hAnsi="Times New Roman" w:cs="Times New Roman"/>
                <w:color w:val="auto"/>
                <w:sz w:val="21"/>
                <w:szCs w:val="21"/>
                <w:highlight w:val="none"/>
              </w:rPr>
              <w:t>2</w:t>
            </w:r>
          </w:p>
        </w:tc>
        <w:tc>
          <w:tcPr>
            <w:tcW w:w="393" w:type="pct"/>
            <w:vMerge w:val="restart"/>
            <w:vAlign w:val="center"/>
          </w:tcPr>
          <w:p w14:paraId="79681A43">
            <w:pPr>
              <w:pStyle w:val="240"/>
              <w:pageBreakBefore w:val="0"/>
              <w:kinsoku/>
              <w:wordWrap/>
              <w:overflowPunct/>
              <w:topLinePunct w:val="0"/>
              <w:autoSpaceDE/>
              <w:autoSpaceDN/>
              <w:bidi w:val="0"/>
              <w:adjustRightInd w:val="0"/>
              <w:snapToGrid w:val="0"/>
              <w:ind w:left="0" w:right="0"/>
              <w:textAlignment w:val="auto"/>
              <w:rPr>
                <w:rFonts w:ascii="Times New Roman" w:hAnsi="Times New Roman"/>
                <w:color w:val="auto"/>
                <w:highlight w:val="none"/>
              </w:rPr>
            </w:pPr>
            <w:r>
              <w:rPr>
                <w:rFonts w:hint="eastAsia" w:ascii="Times New Roman" w:hAnsi="Times New Roman"/>
                <w:color w:val="auto"/>
                <w:highlight w:val="none"/>
              </w:rPr>
              <w:t>外售</w:t>
            </w:r>
          </w:p>
        </w:tc>
        <w:tc>
          <w:tcPr>
            <w:tcW w:w="1660" w:type="pct"/>
            <w:gridSpan w:val="4"/>
            <w:vMerge w:val="restart"/>
            <w:vAlign w:val="center"/>
          </w:tcPr>
          <w:p w14:paraId="3C74404F">
            <w:pPr>
              <w:pStyle w:val="240"/>
              <w:pageBreakBefore w:val="0"/>
              <w:kinsoku/>
              <w:wordWrap/>
              <w:overflowPunct/>
              <w:topLinePunct w:val="0"/>
              <w:autoSpaceDE/>
              <w:autoSpaceDN/>
              <w:bidi w:val="0"/>
              <w:adjustRightInd w:val="0"/>
              <w:snapToGrid w:val="0"/>
              <w:ind w:left="0" w:right="0"/>
              <w:textAlignment w:val="auto"/>
              <w:rPr>
                <w:rFonts w:ascii="Times New Roman" w:hAnsi="Times New Roman"/>
                <w:color w:val="auto"/>
                <w:highlight w:val="none"/>
              </w:rPr>
            </w:pPr>
            <w:r>
              <w:rPr>
                <w:rFonts w:ascii="Times New Roman" w:hAnsi="Times New Roman"/>
                <w:color w:val="auto"/>
                <w:highlight w:val="none"/>
              </w:rPr>
              <w:t>建</w:t>
            </w:r>
            <w:r>
              <w:rPr>
                <w:rFonts w:hint="eastAsia" w:ascii="Times New Roman" w:hAnsi="Times New Roman"/>
                <w:color w:val="auto"/>
                <w:highlight w:val="none"/>
              </w:rPr>
              <w:t>8</w:t>
            </w:r>
            <w:r>
              <w:rPr>
                <w:rFonts w:ascii="Times New Roman" w:hAnsi="Times New Roman"/>
                <w:color w:val="auto"/>
                <w:highlight w:val="none"/>
              </w:rPr>
              <w:t>m</w:t>
            </w:r>
            <w:r>
              <w:rPr>
                <w:rFonts w:ascii="Times New Roman" w:hAnsi="Times New Roman"/>
                <w:color w:val="auto"/>
                <w:highlight w:val="none"/>
                <w:vertAlign w:val="superscript"/>
              </w:rPr>
              <w:t>2</w:t>
            </w:r>
            <w:r>
              <w:rPr>
                <w:rFonts w:ascii="Times New Roman" w:hAnsi="Times New Roman"/>
                <w:color w:val="auto"/>
                <w:highlight w:val="none"/>
              </w:rPr>
              <w:t>的一般固废仓库，分类收集后外售给有关单位。</w:t>
            </w:r>
          </w:p>
        </w:tc>
        <w:tc>
          <w:tcPr>
            <w:tcW w:w="875" w:type="pct"/>
            <w:vMerge w:val="restart"/>
            <w:vAlign w:val="center"/>
          </w:tcPr>
          <w:p w14:paraId="774C78B1">
            <w:pPr>
              <w:pStyle w:val="240"/>
              <w:pageBreakBefore w:val="0"/>
              <w:kinsoku/>
              <w:wordWrap/>
              <w:overflowPunct/>
              <w:topLinePunct w:val="0"/>
              <w:autoSpaceDE/>
              <w:autoSpaceDN/>
              <w:bidi w:val="0"/>
              <w:adjustRightInd w:val="0"/>
              <w:snapToGrid w:val="0"/>
              <w:ind w:left="0" w:right="0"/>
              <w:textAlignment w:val="auto"/>
              <w:rPr>
                <w:rFonts w:ascii="Times New Roman" w:hAnsi="Times New Roman"/>
                <w:color w:val="auto"/>
                <w:highlight w:val="none"/>
              </w:rPr>
            </w:pPr>
            <w:r>
              <w:rPr>
                <w:rFonts w:ascii="Times New Roman" w:hAnsi="Times New Roman"/>
                <w:color w:val="auto"/>
                <w:highlight w:val="none"/>
              </w:rPr>
              <w:t>执行《一般工业固体废物贮存、处置场污染控制标准》(GB18599-2020)和《危险废物贮存污染控制标准》（GB18597-2023）</w:t>
            </w:r>
            <w:r>
              <w:rPr>
                <w:rFonts w:ascii="Times New Roman" w:hAnsi="Times New Roman"/>
                <w:bCs/>
                <w:color w:val="auto"/>
                <w:highlight w:val="none"/>
              </w:rPr>
              <w:t>和《</w:t>
            </w:r>
            <w:r>
              <w:rPr>
                <w:rFonts w:hint="eastAsia" w:ascii="Times New Roman" w:hAnsi="Times New Roman"/>
                <w:bCs/>
                <w:color w:val="auto"/>
                <w:highlight w:val="none"/>
              </w:rPr>
              <w:t>省生态环境厅关于印发&lt;江苏省固体废物全过程环境监管工作意见&gt;的通知</w:t>
            </w:r>
            <w:r>
              <w:rPr>
                <w:rFonts w:ascii="Times New Roman" w:hAnsi="Times New Roman"/>
                <w:bCs/>
                <w:color w:val="auto"/>
                <w:highlight w:val="none"/>
              </w:rPr>
              <w:t>》（</w:t>
            </w:r>
            <w:r>
              <w:rPr>
                <w:rFonts w:hint="eastAsia" w:ascii="Times New Roman" w:hAnsi="Times New Roman"/>
                <w:bCs/>
                <w:color w:val="auto"/>
                <w:highlight w:val="none"/>
              </w:rPr>
              <w:t>苏环办〔2024〕16号</w:t>
            </w:r>
            <w:r>
              <w:rPr>
                <w:rFonts w:ascii="Times New Roman" w:hAnsi="Times New Roman"/>
                <w:bCs/>
                <w:color w:val="auto"/>
                <w:highlight w:val="none"/>
              </w:rPr>
              <w:t>）文件要求</w:t>
            </w:r>
            <w:r>
              <w:rPr>
                <w:rFonts w:ascii="Times New Roman" w:hAnsi="Times New Roman"/>
                <w:color w:val="auto"/>
                <w:highlight w:val="none"/>
              </w:rPr>
              <w:t>。确保一般固废得到有效利用和安全处置，危险废物得到有效安全处置，并不产生二次污染。</w:t>
            </w:r>
          </w:p>
        </w:tc>
      </w:tr>
      <w:tr w14:paraId="5EEC56FF">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191" w:type="pct"/>
            <w:vMerge w:val="continue"/>
            <w:vAlign w:val="center"/>
          </w:tcPr>
          <w:p w14:paraId="7CCA1530">
            <w:pPr>
              <w:pStyle w:val="240"/>
              <w:pageBreakBefore w:val="0"/>
              <w:kinsoku/>
              <w:wordWrap/>
              <w:overflowPunct/>
              <w:topLinePunct w:val="0"/>
              <w:autoSpaceDE/>
              <w:autoSpaceDN/>
              <w:bidi w:val="0"/>
              <w:adjustRightInd w:val="0"/>
              <w:snapToGrid w:val="0"/>
              <w:ind w:left="0" w:right="0"/>
              <w:textAlignment w:val="auto"/>
              <w:rPr>
                <w:rFonts w:ascii="Times New Roman" w:hAnsi="Times New Roman"/>
                <w:b/>
                <w:color w:val="auto"/>
                <w:highlight w:val="none"/>
              </w:rPr>
            </w:pPr>
          </w:p>
        </w:tc>
        <w:tc>
          <w:tcPr>
            <w:tcW w:w="193" w:type="pct"/>
            <w:vMerge w:val="continue"/>
            <w:vAlign w:val="center"/>
          </w:tcPr>
          <w:p w14:paraId="53E96BBA">
            <w:pPr>
              <w:pStyle w:val="240"/>
              <w:pageBreakBefore w:val="0"/>
              <w:kinsoku/>
              <w:wordWrap/>
              <w:overflowPunct/>
              <w:topLinePunct w:val="0"/>
              <w:autoSpaceDE/>
              <w:autoSpaceDN/>
              <w:bidi w:val="0"/>
              <w:adjustRightInd w:val="0"/>
              <w:snapToGrid w:val="0"/>
              <w:ind w:left="0" w:right="0"/>
              <w:textAlignment w:val="auto"/>
              <w:rPr>
                <w:rFonts w:ascii="Times New Roman" w:hAnsi="Times New Roman"/>
                <w:b/>
                <w:color w:val="auto"/>
                <w:highlight w:val="none"/>
              </w:rPr>
            </w:pPr>
          </w:p>
        </w:tc>
        <w:tc>
          <w:tcPr>
            <w:tcW w:w="1207" w:type="pct"/>
            <w:gridSpan w:val="3"/>
            <w:vAlign w:val="center"/>
          </w:tcPr>
          <w:p w14:paraId="61654643">
            <w:pPr>
              <w:pageBreakBefore w:val="0"/>
              <w:kinsoku/>
              <w:wordWrap/>
              <w:overflowPunct/>
              <w:topLinePunct w:val="0"/>
              <w:autoSpaceDE/>
              <w:autoSpaceDN/>
              <w:bidi w:val="0"/>
              <w:ind w:left="0" w:right="0"/>
              <w:jc w:val="center"/>
              <w:textAlignment w:val="auto"/>
              <w:rPr>
                <w:rFonts w:ascii="Times New Roman" w:hAnsi="Times New Roman"/>
                <w:color w:val="auto"/>
                <w:highlight w:val="none"/>
              </w:rPr>
            </w:pPr>
            <w:r>
              <w:rPr>
                <w:rFonts w:hint="eastAsia" w:ascii="Times New Roman" w:hAnsi="Times New Roman" w:cs="Times New Roman"/>
                <w:color w:val="auto"/>
                <w:sz w:val="21"/>
                <w:szCs w:val="18"/>
                <w:highlight w:val="none"/>
              </w:rPr>
              <w:t>S2-2废活性炭</w:t>
            </w:r>
          </w:p>
        </w:tc>
        <w:tc>
          <w:tcPr>
            <w:tcW w:w="478" w:type="pct"/>
            <w:vAlign w:val="center"/>
          </w:tcPr>
          <w:p w14:paraId="15D522DF">
            <w:pPr>
              <w:pageBreakBefore w:val="0"/>
              <w:kinsoku/>
              <w:wordWrap/>
              <w:overflowPunct/>
              <w:topLinePunct w:val="0"/>
              <w:autoSpaceDE/>
              <w:autoSpaceDN/>
              <w:bidi w:val="0"/>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1</w:t>
            </w:r>
          </w:p>
        </w:tc>
        <w:tc>
          <w:tcPr>
            <w:tcW w:w="393" w:type="pct"/>
            <w:vMerge w:val="continue"/>
            <w:vAlign w:val="center"/>
          </w:tcPr>
          <w:p w14:paraId="0780FC2E">
            <w:pPr>
              <w:pageBreakBefore w:val="0"/>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sz w:val="21"/>
                <w:szCs w:val="21"/>
                <w:highlight w:val="none"/>
              </w:rPr>
            </w:pPr>
          </w:p>
        </w:tc>
        <w:tc>
          <w:tcPr>
            <w:tcW w:w="1660" w:type="pct"/>
            <w:gridSpan w:val="4"/>
            <w:vMerge w:val="continue"/>
            <w:vAlign w:val="center"/>
          </w:tcPr>
          <w:p w14:paraId="3B9B6D18">
            <w:pPr>
              <w:pStyle w:val="240"/>
              <w:pageBreakBefore w:val="0"/>
              <w:kinsoku/>
              <w:wordWrap/>
              <w:overflowPunct/>
              <w:topLinePunct w:val="0"/>
              <w:autoSpaceDE/>
              <w:autoSpaceDN/>
              <w:bidi w:val="0"/>
              <w:adjustRightInd w:val="0"/>
              <w:snapToGrid w:val="0"/>
              <w:ind w:left="0" w:right="0"/>
              <w:textAlignment w:val="auto"/>
              <w:rPr>
                <w:rFonts w:ascii="Times New Roman" w:hAnsi="Times New Roman"/>
                <w:color w:val="auto"/>
                <w:highlight w:val="none"/>
              </w:rPr>
            </w:pPr>
          </w:p>
        </w:tc>
        <w:tc>
          <w:tcPr>
            <w:tcW w:w="875" w:type="pct"/>
            <w:vMerge w:val="continue"/>
            <w:vAlign w:val="center"/>
          </w:tcPr>
          <w:p w14:paraId="277DA55E">
            <w:pPr>
              <w:pStyle w:val="240"/>
              <w:pageBreakBefore w:val="0"/>
              <w:kinsoku/>
              <w:wordWrap/>
              <w:overflowPunct/>
              <w:topLinePunct w:val="0"/>
              <w:autoSpaceDE/>
              <w:autoSpaceDN/>
              <w:bidi w:val="0"/>
              <w:adjustRightInd w:val="0"/>
              <w:snapToGrid w:val="0"/>
              <w:ind w:left="0" w:right="0"/>
              <w:textAlignment w:val="auto"/>
              <w:rPr>
                <w:rFonts w:ascii="Times New Roman" w:hAnsi="Times New Roman"/>
                <w:color w:val="auto"/>
                <w:highlight w:val="none"/>
              </w:rPr>
            </w:pPr>
          </w:p>
        </w:tc>
      </w:tr>
      <w:tr w14:paraId="20624D03">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PrEx>
        <w:trPr>
          <w:cantSplit/>
          <w:trHeight w:val="340" w:hRule="atLeast"/>
          <w:jc w:val="center"/>
        </w:trPr>
        <w:tc>
          <w:tcPr>
            <w:tcW w:w="191" w:type="pct"/>
            <w:vMerge w:val="continue"/>
            <w:vAlign w:val="center"/>
          </w:tcPr>
          <w:p w14:paraId="0817A433">
            <w:pPr>
              <w:pStyle w:val="240"/>
              <w:pageBreakBefore w:val="0"/>
              <w:kinsoku/>
              <w:wordWrap/>
              <w:overflowPunct/>
              <w:topLinePunct w:val="0"/>
              <w:autoSpaceDE/>
              <w:autoSpaceDN/>
              <w:bidi w:val="0"/>
              <w:adjustRightInd w:val="0"/>
              <w:snapToGrid w:val="0"/>
              <w:ind w:left="0" w:right="0"/>
              <w:textAlignment w:val="auto"/>
              <w:rPr>
                <w:rFonts w:ascii="Times New Roman" w:hAnsi="Times New Roman"/>
                <w:b/>
                <w:color w:val="auto"/>
                <w:highlight w:val="none"/>
              </w:rPr>
            </w:pPr>
          </w:p>
        </w:tc>
        <w:tc>
          <w:tcPr>
            <w:tcW w:w="193" w:type="pct"/>
            <w:vMerge w:val="continue"/>
            <w:vAlign w:val="center"/>
          </w:tcPr>
          <w:p w14:paraId="696C1CF2">
            <w:pPr>
              <w:pStyle w:val="240"/>
              <w:pageBreakBefore w:val="0"/>
              <w:kinsoku/>
              <w:wordWrap/>
              <w:overflowPunct/>
              <w:topLinePunct w:val="0"/>
              <w:autoSpaceDE/>
              <w:autoSpaceDN/>
              <w:bidi w:val="0"/>
              <w:adjustRightInd w:val="0"/>
              <w:snapToGrid w:val="0"/>
              <w:ind w:left="0" w:right="0"/>
              <w:textAlignment w:val="auto"/>
              <w:rPr>
                <w:rFonts w:ascii="Times New Roman" w:hAnsi="Times New Roman"/>
                <w:b/>
                <w:color w:val="auto"/>
                <w:highlight w:val="none"/>
              </w:rPr>
            </w:pPr>
          </w:p>
        </w:tc>
        <w:tc>
          <w:tcPr>
            <w:tcW w:w="1207" w:type="pct"/>
            <w:gridSpan w:val="3"/>
            <w:vAlign w:val="center"/>
          </w:tcPr>
          <w:p w14:paraId="64C5D935">
            <w:pPr>
              <w:pageBreakBefore w:val="0"/>
              <w:kinsoku/>
              <w:wordWrap/>
              <w:overflowPunct/>
              <w:topLinePunct w:val="0"/>
              <w:autoSpaceDE/>
              <w:autoSpaceDN/>
              <w:bidi w:val="0"/>
              <w:ind w:left="0" w:right="0"/>
              <w:jc w:val="center"/>
              <w:textAlignment w:val="auto"/>
              <w:rPr>
                <w:rFonts w:ascii="Times New Roman" w:hAnsi="Times New Roman"/>
                <w:color w:val="auto"/>
                <w:highlight w:val="none"/>
              </w:rPr>
            </w:pPr>
            <w:r>
              <w:rPr>
                <w:rFonts w:hint="eastAsia" w:ascii="Times New Roman" w:hAnsi="Times New Roman" w:cs="Times New Roman"/>
                <w:color w:val="auto"/>
                <w:sz w:val="21"/>
                <w:szCs w:val="18"/>
                <w:highlight w:val="none"/>
              </w:rPr>
              <w:t>S2-3废RO膜</w:t>
            </w:r>
          </w:p>
        </w:tc>
        <w:tc>
          <w:tcPr>
            <w:tcW w:w="478" w:type="pct"/>
            <w:vAlign w:val="center"/>
          </w:tcPr>
          <w:p w14:paraId="27F1FDD5">
            <w:pPr>
              <w:pageBreakBefore w:val="0"/>
              <w:kinsoku/>
              <w:wordWrap/>
              <w:overflowPunct/>
              <w:topLinePunct w:val="0"/>
              <w:autoSpaceDE/>
              <w:autoSpaceDN/>
              <w:bidi w:val="0"/>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0.5</w:t>
            </w:r>
          </w:p>
        </w:tc>
        <w:tc>
          <w:tcPr>
            <w:tcW w:w="393" w:type="pct"/>
            <w:vMerge w:val="continue"/>
            <w:vAlign w:val="center"/>
          </w:tcPr>
          <w:p w14:paraId="744EED84">
            <w:pPr>
              <w:pageBreakBefore w:val="0"/>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sz w:val="21"/>
                <w:szCs w:val="21"/>
                <w:highlight w:val="none"/>
              </w:rPr>
            </w:pPr>
          </w:p>
        </w:tc>
        <w:tc>
          <w:tcPr>
            <w:tcW w:w="1660" w:type="pct"/>
            <w:gridSpan w:val="4"/>
            <w:vMerge w:val="continue"/>
            <w:vAlign w:val="center"/>
          </w:tcPr>
          <w:p w14:paraId="36E630EA">
            <w:pPr>
              <w:pStyle w:val="240"/>
              <w:pageBreakBefore w:val="0"/>
              <w:kinsoku/>
              <w:wordWrap/>
              <w:overflowPunct/>
              <w:topLinePunct w:val="0"/>
              <w:autoSpaceDE/>
              <w:autoSpaceDN/>
              <w:bidi w:val="0"/>
              <w:adjustRightInd w:val="0"/>
              <w:snapToGrid w:val="0"/>
              <w:ind w:left="0" w:right="0"/>
              <w:textAlignment w:val="auto"/>
              <w:rPr>
                <w:rFonts w:ascii="Times New Roman" w:hAnsi="Times New Roman"/>
                <w:color w:val="auto"/>
                <w:highlight w:val="none"/>
              </w:rPr>
            </w:pPr>
          </w:p>
        </w:tc>
        <w:tc>
          <w:tcPr>
            <w:tcW w:w="875" w:type="pct"/>
            <w:vMerge w:val="continue"/>
            <w:vAlign w:val="center"/>
          </w:tcPr>
          <w:p w14:paraId="589E554A">
            <w:pPr>
              <w:pStyle w:val="240"/>
              <w:pageBreakBefore w:val="0"/>
              <w:kinsoku/>
              <w:wordWrap/>
              <w:overflowPunct/>
              <w:topLinePunct w:val="0"/>
              <w:autoSpaceDE/>
              <w:autoSpaceDN/>
              <w:bidi w:val="0"/>
              <w:adjustRightInd w:val="0"/>
              <w:snapToGrid w:val="0"/>
              <w:ind w:left="0" w:right="0"/>
              <w:textAlignment w:val="auto"/>
              <w:rPr>
                <w:rFonts w:ascii="Times New Roman" w:hAnsi="Times New Roman"/>
                <w:color w:val="auto"/>
                <w:highlight w:val="none"/>
              </w:rPr>
            </w:pPr>
          </w:p>
        </w:tc>
      </w:tr>
      <w:tr w14:paraId="58878ED7">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191" w:type="pct"/>
            <w:vMerge w:val="continue"/>
            <w:vAlign w:val="center"/>
          </w:tcPr>
          <w:p w14:paraId="3379603D">
            <w:pPr>
              <w:pStyle w:val="240"/>
              <w:pageBreakBefore w:val="0"/>
              <w:kinsoku/>
              <w:wordWrap/>
              <w:overflowPunct/>
              <w:topLinePunct w:val="0"/>
              <w:autoSpaceDE/>
              <w:autoSpaceDN/>
              <w:bidi w:val="0"/>
              <w:adjustRightInd w:val="0"/>
              <w:snapToGrid w:val="0"/>
              <w:ind w:left="0" w:right="0"/>
              <w:textAlignment w:val="auto"/>
              <w:rPr>
                <w:rFonts w:ascii="Times New Roman" w:hAnsi="Times New Roman"/>
                <w:color w:val="auto"/>
                <w:highlight w:val="none"/>
              </w:rPr>
            </w:pPr>
          </w:p>
        </w:tc>
        <w:tc>
          <w:tcPr>
            <w:tcW w:w="193" w:type="pct"/>
            <w:vMerge w:val="restart"/>
            <w:vAlign w:val="center"/>
          </w:tcPr>
          <w:p w14:paraId="4897CCFD">
            <w:pPr>
              <w:pStyle w:val="240"/>
              <w:pageBreakBefore w:val="0"/>
              <w:kinsoku/>
              <w:wordWrap/>
              <w:overflowPunct/>
              <w:topLinePunct w:val="0"/>
              <w:autoSpaceDE/>
              <w:autoSpaceDN/>
              <w:bidi w:val="0"/>
              <w:adjustRightInd w:val="0"/>
              <w:snapToGrid w:val="0"/>
              <w:ind w:left="0" w:right="0"/>
              <w:textAlignment w:val="auto"/>
              <w:rPr>
                <w:rFonts w:ascii="Times New Roman" w:hAnsi="Times New Roman"/>
                <w:b/>
                <w:color w:val="auto"/>
                <w:highlight w:val="none"/>
              </w:rPr>
            </w:pPr>
            <w:r>
              <w:rPr>
                <w:rFonts w:ascii="Times New Roman" w:hAnsi="Times New Roman"/>
                <w:b/>
                <w:color w:val="auto"/>
                <w:highlight w:val="none"/>
              </w:rPr>
              <w:t>危险废物</w:t>
            </w:r>
          </w:p>
        </w:tc>
        <w:tc>
          <w:tcPr>
            <w:tcW w:w="1207" w:type="pct"/>
            <w:gridSpan w:val="3"/>
            <w:vAlign w:val="center"/>
          </w:tcPr>
          <w:p w14:paraId="5B1F6173">
            <w:pPr>
              <w:pStyle w:val="98"/>
              <w:pageBreakBefore w:val="0"/>
              <w:kinsoku/>
              <w:wordWrap/>
              <w:overflowPunct/>
              <w:topLinePunct w:val="0"/>
              <w:autoSpaceDE/>
              <w:autoSpaceDN/>
              <w:bidi w:val="0"/>
              <w:adjustRightInd w:val="0"/>
              <w:snapToGrid w:val="0"/>
              <w:ind w:left="0" w:right="0"/>
              <w:textAlignment w:val="auto"/>
              <w:rPr>
                <w:color w:val="auto"/>
                <w:highlight w:val="none"/>
              </w:rPr>
            </w:pPr>
            <w:r>
              <w:rPr>
                <w:rFonts w:hint="eastAsia" w:ascii="宋体" w:hAnsi="宋体" w:eastAsia="宋体" w:cs="宋体"/>
                <w:color w:val="auto"/>
                <w:sz w:val="21"/>
                <w:szCs w:val="18"/>
                <w:highlight w:val="none"/>
                <w:lang w:val="en-US"/>
              </w:rPr>
              <w:t>废</w:t>
            </w:r>
            <w:r>
              <w:rPr>
                <w:rFonts w:hint="eastAsia"/>
                <w:color w:val="auto"/>
                <w:sz w:val="21"/>
                <w:szCs w:val="18"/>
                <w:highlight w:val="none"/>
                <w:lang w:val="en-US"/>
              </w:rPr>
              <w:t>滤芯</w:t>
            </w:r>
          </w:p>
        </w:tc>
        <w:tc>
          <w:tcPr>
            <w:tcW w:w="478" w:type="pct"/>
            <w:vAlign w:val="center"/>
          </w:tcPr>
          <w:p w14:paraId="68B6C40E">
            <w:pPr>
              <w:pageBreakBefore w:val="0"/>
              <w:kinsoku/>
              <w:wordWrap/>
              <w:overflowPunct/>
              <w:topLinePunct w:val="0"/>
              <w:autoSpaceDE/>
              <w:autoSpaceDN/>
              <w:bidi w:val="0"/>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2</w:t>
            </w:r>
          </w:p>
        </w:tc>
        <w:tc>
          <w:tcPr>
            <w:tcW w:w="393" w:type="pct"/>
            <w:vMerge w:val="restart"/>
            <w:vAlign w:val="center"/>
          </w:tcPr>
          <w:p w14:paraId="23EAE7BE">
            <w:pPr>
              <w:pageBreakBefore w:val="0"/>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委外安全处置</w:t>
            </w:r>
          </w:p>
        </w:tc>
        <w:tc>
          <w:tcPr>
            <w:tcW w:w="1660" w:type="pct"/>
            <w:gridSpan w:val="4"/>
            <w:vMerge w:val="restart"/>
            <w:vAlign w:val="center"/>
          </w:tcPr>
          <w:p w14:paraId="1E7883BA">
            <w:pPr>
              <w:pStyle w:val="240"/>
              <w:pageBreakBefore w:val="0"/>
              <w:kinsoku/>
              <w:wordWrap/>
              <w:overflowPunct/>
              <w:topLinePunct w:val="0"/>
              <w:autoSpaceDE/>
              <w:autoSpaceDN/>
              <w:bidi w:val="0"/>
              <w:adjustRightInd w:val="0"/>
              <w:snapToGrid w:val="0"/>
              <w:ind w:left="0" w:right="0"/>
              <w:textAlignment w:val="auto"/>
              <w:rPr>
                <w:rFonts w:ascii="Times New Roman" w:hAnsi="Times New Roman"/>
                <w:color w:val="auto"/>
                <w:highlight w:val="none"/>
              </w:rPr>
            </w:pPr>
            <w:r>
              <w:rPr>
                <w:rFonts w:ascii="Times New Roman" w:hAnsi="Times New Roman"/>
                <w:color w:val="auto"/>
                <w:highlight w:val="none"/>
              </w:rPr>
              <w:t>建</w:t>
            </w:r>
            <w:r>
              <w:rPr>
                <w:rFonts w:hint="eastAsia" w:ascii="Times New Roman" w:hAnsi="Times New Roman"/>
                <w:color w:val="auto"/>
                <w:highlight w:val="none"/>
              </w:rPr>
              <w:t>50</w:t>
            </w:r>
            <w:r>
              <w:rPr>
                <w:rFonts w:ascii="Times New Roman" w:hAnsi="Times New Roman"/>
                <w:color w:val="auto"/>
                <w:highlight w:val="none"/>
              </w:rPr>
              <w:t>m</w:t>
            </w:r>
            <w:r>
              <w:rPr>
                <w:rFonts w:ascii="Times New Roman" w:hAnsi="Times New Roman"/>
                <w:color w:val="auto"/>
                <w:highlight w:val="none"/>
                <w:vertAlign w:val="superscript"/>
              </w:rPr>
              <w:t>2</w:t>
            </w:r>
            <w:r>
              <w:rPr>
                <w:rFonts w:ascii="Times New Roman" w:hAnsi="Times New Roman"/>
                <w:color w:val="auto"/>
                <w:highlight w:val="none"/>
              </w:rPr>
              <w:t>的危废暂存库</w:t>
            </w:r>
            <w:r>
              <w:rPr>
                <w:rFonts w:hint="eastAsia" w:ascii="Times New Roman" w:hAnsi="Times New Roman"/>
                <w:color w:val="auto"/>
                <w:highlight w:val="none"/>
                <w:lang w:val="en-US" w:eastAsia="zh-CN"/>
              </w:rPr>
              <w:t>和55m</w:t>
            </w:r>
            <w:r>
              <w:rPr>
                <w:rFonts w:hint="eastAsia" w:ascii="Times New Roman" w:hAnsi="Times New Roman"/>
                <w:color w:val="auto"/>
                <w:highlight w:val="none"/>
                <w:vertAlign w:val="superscript"/>
                <w:lang w:val="en-US" w:eastAsia="zh-CN"/>
              </w:rPr>
              <w:t>3</w:t>
            </w:r>
            <w:r>
              <w:rPr>
                <w:rFonts w:hint="eastAsia" w:ascii="Times New Roman" w:hAnsi="Times New Roman"/>
                <w:color w:val="auto"/>
                <w:highlight w:val="none"/>
                <w:vertAlign w:val="baseline"/>
                <w:lang w:val="en-US" w:eastAsia="zh-CN"/>
              </w:rPr>
              <w:t>废液储罐</w:t>
            </w:r>
            <w:r>
              <w:rPr>
                <w:rFonts w:ascii="Times New Roman" w:hAnsi="Times New Roman"/>
                <w:color w:val="auto"/>
                <w:highlight w:val="none"/>
              </w:rPr>
              <w:t>。委托有相应资质的单位实施安全处置。</w:t>
            </w:r>
          </w:p>
        </w:tc>
        <w:tc>
          <w:tcPr>
            <w:tcW w:w="875" w:type="pct"/>
            <w:vMerge w:val="continue"/>
            <w:vAlign w:val="center"/>
          </w:tcPr>
          <w:p w14:paraId="628F7937">
            <w:pPr>
              <w:pStyle w:val="240"/>
              <w:pageBreakBefore w:val="0"/>
              <w:kinsoku/>
              <w:wordWrap/>
              <w:overflowPunct/>
              <w:topLinePunct w:val="0"/>
              <w:autoSpaceDE/>
              <w:autoSpaceDN/>
              <w:bidi w:val="0"/>
              <w:adjustRightInd w:val="0"/>
              <w:snapToGrid w:val="0"/>
              <w:ind w:left="0" w:right="0"/>
              <w:textAlignment w:val="auto"/>
              <w:rPr>
                <w:rFonts w:ascii="Times New Roman" w:hAnsi="Times New Roman"/>
                <w:color w:val="auto"/>
                <w:highlight w:val="none"/>
              </w:rPr>
            </w:pPr>
          </w:p>
        </w:tc>
      </w:tr>
      <w:tr w14:paraId="71BF13B5">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191" w:type="pct"/>
            <w:vMerge w:val="continue"/>
            <w:vAlign w:val="center"/>
          </w:tcPr>
          <w:p w14:paraId="5D3489D6">
            <w:pPr>
              <w:pStyle w:val="240"/>
              <w:pageBreakBefore w:val="0"/>
              <w:kinsoku/>
              <w:wordWrap/>
              <w:overflowPunct/>
              <w:topLinePunct w:val="0"/>
              <w:autoSpaceDE/>
              <w:autoSpaceDN/>
              <w:bidi w:val="0"/>
              <w:adjustRightInd w:val="0"/>
              <w:snapToGrid w:val="0"/>
              <w:ind w:left="0" w:right="0"/>
              <w:textAlignment w:val="auto"/>
              <w:rPr>
                <w:rFonts w:ascii="Times New Roman" w:hAnsi="Times New Roman"/>
                <w:color w:val="auto"/>
                <w:highlight w:val="none"/>
              </w:rPr>
            </w:pPr>
          </w:p>
        </w:tc>
        <w:tc>
          <w:tcPr>
            <w:tcW w:w="193" w:type="pct"/>
            <w:vMerge w:val="continue"/>
            <w:vAlign w:val="center"/>
          </w:tcPr>
          <w:p w14:paraId="22CA0EC3">
            <w:pPr>
              <w:pStyle w:val="240"/>
              <w:pageBreakBefore w:val="0"/>
              <w:kinsoku/>
              <w:wordWrap/>
              <w:overflowPunct/>
              <w:topLinePunct w:val="0"/>
              <w:autoSpaceDE/>
              <w:autoSpaceDN/>
              <w:bidi w:val="0"/>
              <w:adjustRightInd w:val="0"/>
              <w:snapToGrid w:val="0"/>
              <w:ind w:left="0" w:right="0"/>
              <w:textAlignment w:val="auto"/>
              <w:rPr>
                <w:rFonts w:ascii="Times New Roman" w:hAnsi="Times New Roman"/>
                <w:color w:val="auto"/>
                <w:highlight w:val="none"/>
              </w:rPr>
            </w:pPr>
          </w:p>
        </w:tc>
        <w:tc>
          <w:tcPr>
            <w:tcW w:w="1207" w:type="pct"/>
            <w:gridSpan w:val="3"/>
            <w:vAlign w:val="center"/>
          </w:tcPr>
          <w:p w14:paraId="4F81A152">
            <w:pPr>
              <w:pageBreakBefore w:val="0"/>
              <w:kinsoku/>
              <w:wordWrap/>
              <w:overflowPunct/>
              <w:topLinePunct w:val="0"/>
              <w:autoSpaceDE/>
              <w:autoSpaceDN/>
              <w:bidi w:val="0"/>
              <w:ind w:left="0" w:right="0"/>
              <w:jc w:val="center"/>
              <w:textAlignment w:val="auto"/>
              <w:rPr>
                <w:rFonts w:ascii="Times New Roman" w:hAnsi="Times New Roman"/>
                <w:color w:val="auto"/>
                <w:highlight w:val="none"/>
              </w:rPr>
            </w:pPr>
            <w:r>
              <w:rPr>
                <w:rFonts w:hint="eastAsia" w:ascii="Times New Roman" w:hAnsi="Times New Roman" w:cs="Times New Roman"/>
                <w:color w:val="auto"/>
                <w:sz w:val="21"/>
                <w:szCs w:val="18"/>
                <w:highlight w:val="none"/>
              </w:rPr>
              <w:t>实验废液</w:t>
            </w:r>
          </w:p>
        </w:tc>
        <w:tc>
          <w:tcPr>
            <w:tcW w:w="478" w:type="pct"/>
            <w:vAlign w:val="center"/>
          </w:tcPr>
          <w:p w14:paraId="04D5DC22">
            <w:pPr>
              <w:pageBreakBefore w:val="0"/>
              <w:kinsoku/>
              <w:wordWrap/>
              <w:overflowPunct/>
              <w:topLinePunct w:val="0"/>
              <w:autoSpaceDE/>
              <w:autoSpaceDN/>
              <w:bidi w:val="0"/>
              <w:ind w:left="0" w:right="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0.02</w:t>
            </w:r>
          </w:p>
        </w:tc>
        <w:tc>
          <w:tcPr>
            <w:tcW w:w="393" w:type="pct"/>
            <w:vMerge w:val="continue"/>
            <w:vAlign w:val="center"/>
          </w:tcPr>
          <w:p w14:paraId="4A43C8B6">
            <w:pPr>
              <w:pageBreakBefore w:val="0"/>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sz w:val="21"/>
                <w:szCs w:val="21"/>
                <w:highlight w:val="none"/>
              </w:rPr>
            </w:pPr>
          </w:p>
        </w:tc>
        <w:tc>
          <w:tcPr>
            <w:tcW w:w="1660" w:type="pct"/>
            <w:gridSpan w:val="4"/>
            <w:vMerge w:val="continue"/>
            <w:vAlign w:val="center"/>
          </w:tcPr>
          <w:p w14:paraId="3C96C631">
            <w:pPr>
              <w:pStyle w:val="240"/>
              <w:pageBreakBefore w:val="0"/>
              <w:kinsoku/>
              <w:wordWrap/>
              <w:overflowPunct/>
              <w:topLinePunct w:val="0"/>
              <w:autoSpaceDE/>
              <w:autoSpaceDN/>
              <w:bidi w:val="0"/>
              <w:adjustRightInd w:val="0"/>
              <w:snapToGrid w:val="0"/>
              <w:ind w:left="0" w:right="0"/>
              <w:textAlignment w:val="auto"/>
              <w:rPr>
                <w:rFonts w:ascii="Times New Roman" w:hAnsi="Times New Roman"/>
                <w:color w:val="auto"/>
                <w:highlight w:val="none"/>
              </w:rPr>
            </w:pPr>
          </w:p>
        </w:tc>
        <w:tc>
          <w:tcPr>
            <w:tcW w:w="875" w:type="pct"/>
            <w:vMerge w:val="continue"/>
            <w:vAlign w:val="center"/>
          </w:tcPr>
          <w:p w14:paraId="2D84D138">
            <w:pPr>
              <w:pStyle w:val="240"/>
              <w:pageBreakBefore w:val="0"/>
              <w:kinsoku/>
              <w:wordWrap/>
              <w:overflowPunct/>
              <w:topLinePunct w:val="0"/>
              <w:autoSpaceDE/>
              <w:autoSpaceDN/>
              <w:bidi w:val="0"/>
              <w:adjustRightInd w:val="0"/>
              <w:snapToGrid w:val="0"/>
              <w:ind w:left="0" w:right="0"/>
              <w:textAlignment w:val="auto"/>
              <w:rPr>
                <w:rFonts w:ascii="Times New Roman" w:hAnsi="Times New Roman"/>
                <w:color w:val="auto"/>
                <w:highlight w:val="none"/>
              </w:rPr>
            </w:pPr>
          </w:p>
        </w:tc>
      </w:tr>
      <w:tr w14:paraId="7876637C">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191" w:type="pct"/>
            <w:vMerge w:val="continue"/>
            <w:vAlign w:val="center"/>
          </w:tcPr>
          <w:p w14:paraId="77DA2C38">
            <w:pPr>
              <w:pStyle w:val="240"/>
              <w:pageBreakBefore w:val="0"/>
              <w:kinsoku/>
              <w:wordWrap/>
              <w:overflowPunct/>
              <w:topLinePunct w:val="0"/>
              <w:autoSpaceDE/>
              <w:autoSpaceDN/>
              <w:bidi w:val="0"/>
              <w:adjustRightInd w:val="0"/>
              <w:snapToGrid w:val="0"/>
              <w:ind w:left="0" w:right="0"/>
              <w:textAlignment w:val="auto"/>
              <w:rPr>
                <w:rFonts w:ascii="Times New Roman" w:hAnsi="Times New Roman"/>
                <w:color w:val="auto"/>
                <w:highlight w:val="none"/>
              </w:rPr>
            </w:pPr>
          </w:p>
        </w:tc>
        <w:tc>
          <w:tcPr>
            <w:tcW w:w="193" w:type="pct"/>
            <w:vMerge w:val="continue"/>
            <w:vAlign w:val="center"/>
          </w:tcPr>
          <w:p w14:paraId="5F7BE737">
            <w:pPr>
              <w:pStyle w:val="240"/>
              <w:pageBreakBefore w:val="0"/>
              <w:kinsoku/>
              <w:wordWrap/>
              <w:overflowPunct/>
              <w:topLinePunct w:val="0"/>
              <w:autoSpaceDE/>
              <w:autoSpaceDN/>
              <w:bidi w:val="0"/>
              <w:adjustRightInd w:val="0"/>
              <w:snapToGrid w:val="0"/>
              <w:ind w:left="0" w:right="0"/>
              <w:textAlignment w:val="auto"/>
              <w:rPr>
                <w:rFonts w:ascii="Times New Roman" w:hAnsi="Times New Roman"/>
                <w:color w:val="auto"/>
                <w:highlight w:val="none"/>
              </w:rPr>
            </w:pPr>
          </w:p>
        </w:tc>
        <w:tc>
          <w:tcPr>
            <w:tcW w:w="1207" w:type="pct"/>
            <w:gridSpan w:val="3"/>
            <w:vAlign w:val="center"/>
          </w:tcPr>
          <w:p w14:paraId="0B4E93DD">
            <w:pPr>
              <w:pageBreakBefore w:val="0"/>
              <w:kinsoku/>
              <w:wordWrap/>
              <w:overflowPunct/>
              <w:topLinePunct w:val="0"/>
              <w:autoSpaceDE/>
              <w:autoSpaceDN/>
              <w:bidi w:val="0"/>
              <w:ind w:left="0" w:right="0"/>
              <w:jc w:val="center"/>
              <w:textAlignment w:val="auto"/>
              <w:rPr>
                <w:rFonts w:ascii="Times New Roman" w:hAnsi="Times New Roman"/>
                <w:color w:val="auto"/>
                <w:highlight w:val="none"/>
              </w:rPr>
            </w:pPr>
            <w:r>
              <w:rPr>
                <w:rFonts w:hint="eastAsia" w:ascii="Times New Roman" w:hAnsi="Times New Roman" w:cs="Times New Roman"/>
                <w:color w:val="auto"/>
                <w:sz w:val="21"/>
                <w:szCs w:val="18"/>
                <w:highlight w:val="none"/>
              </w:rPr>
              <w:t>废实验耗材</w:t>
            </w:r>
          </w:p>
        </w:tc>
        <w:tc>
          <w:tcPr>
            <w:tcW w:w="478" w:type="pct"/>
            <w:vAlign w:val="center"/>
          </w:tcPr>
          <w:p w14:paraId="7421E9ED">
            <w:pPr>
              <w:pageBreakBefore w:val="0"/>
              <w:kinsoku/>
              <w:wordWrap/>
              <w:overflowPunct/>
              <w:topLinePunct w:val="0"/>
              <w:autoSpaceDE/>
              <w:autoSpaceDN/>
              <w:bidi w:val="0"/>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0.5</w:t>
            </w:r>
          </w:p>
        </w:tc>
        <w:tc>
          <w:tcPr>
            <w:tcW w:w="393" w:type="pct"/>
            <w:vMerge w:val="continue"/>
            <w:vAlign w:val="center"/>
          </w:tcPr>
          <w:p w14:paraId="01F54C84">
            <w:pPr>
              <w:pageBreakBefore w:val="0"/>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sz w:val="21"/>
                <w:szCs w:val="21"/>
                <w:highlight w:val="none"/>
              </w:rPr>
            </w:pPr>
          </w:p>
        </w:tc>
        <w:tc>
          <w:tcPr>
            <w:tcW w:w="1660" w:type="pct"/>
            <w:gridSpan w:val="4"/>
            <w:vMerge w:val="continue"/>
            <w:vAlign w:val="center"/>
          </w:tcPr>
          <w:p w14:paraId="2493DDC6">
            <w:pPr>
              <w:pStyle w:val="240"/>
              <w:pageBreakBefore w:val="0"/>
              <w:kinsoku/>
              <w:wordWrap/>
              <w:overflowPunct/>
              <w:topLinePunct w:val="0"/>
              <w:autoSpaceDE/>
              <w:autoSpaceDN/>
              <w:bidi w:val="0"/>
              <w:adjustRightInd w:val="0"/>
              <w:snapToGrid w:val="0"/>
              <w:ind w:left="0" w:right="0"/>
              <w:textAlignment w:val="auto"/>
              <w:rPr>
                <w:rFonts w:ascii="Times New Roman" w:hAnsi="Times New Roman"/>
                <w:color w:val="auto"/>
                <w:highlight w:val="none"/>
              </w:rPr>
            </w:pPr>
          </w:p>
        </w:tc>
        <w:tc>
          <w:tcPr>
            <w:tcW w:w="875" w:type="pct"/>
            <w:vMerge w:val="continue"/>
            <w:vAlign w:val="center"/>
          </w:tcPr>
          <w:p w14:paraId="1343D2DE">
            <w:pPr>
              <w:pStyle w:val="240"/>
              <w:pageBreakBefore w:val="0"/>
              <w:kinsoku/>
              <w:wordWrap/>
              <w:overflowPunct/>
              <w:topLinePunct w:val="0"/>
              <w:autoSpaceDE/>
              <w:autoSpaceDN/>
              <w:bidi w:val="0"/>
              <w:adjustRightInd w:val="0"/>
              <w:snapToGrid w:val="0"/>
              <w:ind w:left="0" w:right="0"/>
              <w:textAlignment w:val="auto"/>
              <w:rPr>
                <w:rFonts w:ascii="Times New Roman" w:hAnsi="Times New Roman"/>
                <w:color w:val="auto"/>
                <w:highlight w:val="none"/>
              </w:rPr>
            </w:pPr>
          </w:p>
        </w:tc>
      </w:tr>
      <w:tr w14:paraId="076D2855">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191" w:type="pct"/>
            <w:vMerge w:val="continue"/>
            <w:vAlign w:val="center"/>
          </w:tcPr>
          <w:p w14:paraId="085241AB">
            <w:pPr>
              <w:pStyle w:val="240"/>
              <w:pageBreakBefore w:val="0"/>
              <w:kinsoku/>
              <w:wordWrap/>
              <w:overflowPunct/>
              <w:topLinePunct w:val="0"/>
              <w:autoSpaceDE/>
              <w:autoSpaceDN/>
              <w:bidi w:val="0"/>
              <w:adjustRightInd w:val="0"/>
              <w:snapToGrid w:val="0"/>
              <w:ind w:left="0" w:right="0"/>
              <w:textAlignment w:val="auto"/>
              <w:rPr>
                <w:rFonts w:ascii="Times New Roman" w:hAnsi="Times New Roman"/>
                <w:color w:val="auto"/>
                <w:highlight w:val="none"/>
              </w:rPr>
            </w:pPr>
          </w:p>
        </w:tc>
        <w:tc>
          <w:tcPr>
            <w:tcW w:w="193" w:type="pct"/>
            <w:vMerge w:val="continue"/>
            <w:vAlign w:val="center"/>
          </w:tcPr>
          <w:p w14:paraId="72E84120">
            <w:pPr>
              <w:pStyle w:val="240"/>
              <w:pageBreakBefore w:val="0"/>
              <w:kinsoku/>
              <w:wordWrap/>
              <w:overflowPunct/>
              <w:topLinePunct w:val="0"/>
              <w:autoSpaceDE/>
              <w:autoSpaceDN/>
              <w:bidi w:val="0"/>
              <w:adjustRightInd w:val="0"/>
              <w:snapToGrid w:val="0"/>
              <w:ind w:left="0" w:right="0"/>
              <w:textAlignment w:val="auto"/>
              <w:rPr>
                <w:rFonts w:ascii="Times New Roman" w:hAnsi="Times New Roman"/>
                <w:color w:val="auto"/>
                <w:highlight w:val="none"/>
              </w:rPr>
            </w:pPr>
          </w:p>
        </w:tc>
        <w:tc>
          <w:tcPr>
            <w:tcW w:w="3421" w:type="dxa"/>
            <w:gridSpan w:val="3"/>
            <w:vAlign w:val="center"/>
          </w:tcPr>
          <w:p w14:paraId="28621D3B">
            <w:pPr>
              <w:keepNext w:val="0"/>
              <w:keepLines w:val="0"/>
              <w:pageBreakBefore w:val="0"/>
              <w:kinsoku/>
              <w:wordWrap/>
              <w:overflowPunct/>
              <w:topLinePunct w:val="0"/>
              <w:autoSpaceDE/>
              <w:autoSpaceDN/>
              <w:bidi w:val="0"/>
              <w:ind w:left="0" w:leftChars="0" w:right="0" w:rightChars="0"/>
              <w:jc w:val="center"/>
              <w:textAlignment w:val="auto"/>
              <w:rPr>
                <w:rFonts w:hint="eastAsia" w:ascii="Times New Roman" w:hAnsi="Times New Roman" w:eastAsia="宋体"/>
                <w:color w:val="auto"/>
                <w:highlight w:val="none"/>
                <w:lang w:eastAsia="zh-CN"/>
              </w:rPr>
            </w:pPr>
            <w:r>
              <w:rPr>
                <w:rFonts w:hint="eastAsia" w:ascii="Times New Roman" w:hAnsi="Times New Roman" w:cs="Times New Roman"/>
                <w:color w:val="auto"/>
                <w:sz w:val="21"/>
                <w:szCs w:val="18"/>
                <w:highlight w:val="none"/>
              </w:rPr>
              <w:t>废包装桶（瓶）</w:t>
            </w:r>
          </w:p>
        </w:tc>
        <w:tc>
          <w:tcPr>
            <w:tcW w:w="1355" w:type="dxa"/>
            <w:vAlign w:val="center"/>
          </w:tcPr>
          <w:p w14:paraId="3AA689C2">
            <w:pPr>
              <w:keepNext w:val="0"/>
              <w:keepLines w:val="0"/>
              <w:pageBreakBefore w:val="0"/>
              <w:kinsoku/>
              <w:wordWrap/>
              <w:overflowPunct/>
              <w:topLinePunct w:val="0"/>
              <w:autoSpaceDE/>
              <w:autoSpaceDN/>
              <w:bidi w:val="0"/>
              <w:ind w:left="0" w:leftChars="0" w:right="0" w:rightChars="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lang w:val="en-US" w:eastAsia="zh-CN"/>
              </w:rPr>
              <w:t>7.79</w:t>
            </w:r>
          </w:p>
        </w:tc>
        <w:tc>
          <w:tcPr>
            <w:tcW w:w="393" w:type="pct"/>
            <w:vMerge w:val="continue"/>
            <w:vAlign w:val="center"/>
          </w:tcPr>
          <w:p w14:paraId="758B0807">
            <w:pPr>
              <w:pageBreakBefore w:val="0"/>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sz w:val="21"/>
                <w:szCs w:val="21"/>
                <w:highlight w:val="none"/>
              </w:rPr>
            </w:pPr>
          </w:p>
        </w:tc>
        <w:tc>
          <w:tcPr>
            <w:tcW w:w="1660" w:type="pct"/>
            <w:gridSpan w:val="4"/>
            <w:vMerge w:val="continue"/>
            <w:vAlign w:val="center"/>
          </w:tcPr>
          <w:p w14:paraId="4765EF6E">
            <w:pPr>
              <w:pStyle w:val="240"/>
              <w:pageBreakBefore w:val="0"/>
              <w:kinsoku/>
              <w:wordWrap/>
              <w:overflowPunct/>
              <w:topLinePunct w:val="0"/>
              <w:autoSpaceDE/>
              <w:autoSpaceDN/>
              <w:bidi w:val="0"/>
              <w:adjustRightInd w:val="0"/>
              <w:snapToGrid w:val="0"/>
              <w:ind w:left="0" w:right="0"/>
              <w:textAlignment w:val="auto"/>
              <w:rPr>
                <w:rFonts w:ascii="Times New Roman" w:hAnsi="Times New Roman"/>
                <w:color w:val="auto"/>
                <w:highlight w:val="none"/>
              </w:rPr>
            </w:pPr>
          </w:p>
        </w:tc>
        <w:tc>
          <w:tcPr>
            <w:tcW w:w="875" w:type="pct"/>
            <w:vMerge w:val="continue"/>
            <w:vAlign w:val="center"/>
          </w:tcPr>
          <w:p w14:paraId="4CB0A30C">
            <w:pPr>
              <w:pStyle w:val="240"/>
              <w:pageBreakBefore w:val="0"/>
              <w:kinsoku/>
              <w:wordWrap/>
              <w:overflowPunct/>
              <w:topLinePunct w:val="0"/>
              <w:autoSpaceDE/>
              <w:autoSpaceDN/>
              <w:bidi w:val="0"/>
              <w:adjustRightInd w:val="0"/>
              <w:snapToGrid w:val="0"/>
              <w:ind w:left="0" w:right="0"/>
              <w:textAlignment w:val="auto"/>
              <w:rPr>
                <w:rFonts w:ascii="Times New Roman" w:hAnsi="Times New Roman"/>
                <w:color w:val="auto"/>
                <w:highlight w:val="none"/>
              </w:rPr>
            </w:pPr>
          </w:p>
        </w:tc>
      </w:tr>
      <w:tr w14:paraId="0413B104">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191" w:type="pct"/>
            <w:vMerge w:val="continue"/>
            <w:vAlign w:val="center"/>
          </w:tcPr>
          <w:p w14:paraId="511DAB74">
            <w:pPr>
              <w:pStyle w:val="240"/>
              <w:pageBreakBefore w:val="0"/>
              <w:kinsoku/>
              <w:wordWrap/>
              <w:overflowPunct/>
              <w:topLinePunct w:val="0"/>
              <w:autoSpaceDE/>
              <w:autoSpaceDN/>
              <w:bidi w:val="0"/>
              <w:adjustRightInd w:val="0"/>
              <w:snapToGrid w:val="0"/>
              <w:ind w:left="0" w:right="0"/>
              <w:textAlignment w:val="auto"/>
              <w:rPr>
                <w:rFonts w:ascii="Times New Roman" w:hAnsi="Times New Roman"/>
                <w:color w:val="auto"/>
                <w:highlight w:val="none"/>
              </w:rPr>
            </w:pPr>
          </w:p>
        </w:tc>
        <w:tc>
          <w:tcPr>
            <w:tcW w:w="193" w:type="pct"/>
            <w:vMerge w:val="continue"/>
            <w:vAlign w:val="center"/>
          </w:tcPr>
          <w:p w14:paraId="4D744C27">
            <w:pPr>
              <w:pStyle w:val="240"/>
              <w:pageBreakBefore w:val="0"/>
              <w:kinsoku/>
              <w:wordWrap/>
              <w:overflowPunct/>
              <w:topLinePunct w:val="0"/>
              <w:autoSpaceDE/>
              <w:autoSpaceDN/>
              <w:bidi w:val="0"/>
              <w:adjustRightInd w:val="0"/>
              <w:snapToGrid w:val="0"/>
              <w:ind w:left="0" w:right="0"/>
              <w:textAlignment w:val="auto"/>
              <w:rPr>
                <w:rFonts w:ascii="Times New Roman" w:hAnsi="Times New Roman"/>
                <w:color w:val="auto"/>
                <w:highlight w:val="none"/>
              </w:rPr>
            </w:pPr>
          </w:p>
        </w:tc>
        <w:tc>
          <w:tcPr>
            <w:tcW w:w="3421" w:type="dxa"/>
            <w:gridSpan w:val="3"/>
            <w:vAlign w:val="center"/>
          </w:tcPr>
          <w:p w14:paraId="106CE0A1">
            <w:pPr>
              <w:keepNext w:val="0"/>
              <w:keepLines w:val="0"/>
              <w:pageBreakBefore w:val="0"/>
              <w:kinsoku/>
              <w:wordWrap/>
              <w:overflowPunct/>
              <w:topLinePunct w:val="0"/>
              <w:autoSpaceDE/>
              <w:autoSpaceDN/>
              <w:bidi w:val="0"/>
              <w:ind w:left="0" w:leftChars="0" w:right="0" w:rightChars="0"/>
              <w:jc w:val="center"/>
              <w:textAlignment w:val="auto"/>
              <w:rPr>
                <w:rFonts w:ascii="Times New Roman" w:hAnsi="Times New Roman"/>
                <w:color w:val="auto"/>
                <w:highlight w:val="none"/>
              </w:rPr>
            </w:pPr>
            <w:r>
              <w:rPr>
                <w:rFonts w:hint="eastAsia" w:ascii="Times New Roman" w:hAnsi="Times New Roman" w:cs="Times New Roman"/>
                <w:color w:val="auto"/>
                <w:sz w:val="21"/>
                <w:szCs w:val="21"/>
                <w:highlight w:val="none"/>
              </w:rPr>
              <w:t>废包装袋</w:t>
            </w:r>
          </w:p>
        </w:tc>
        <w:tc>
          <w:tcPr>
            <w:tcW w:w="1355" w:type="dxa"/>
            <w:vAlign w:val="center"/>
          </w:tcPr>
          <w:p w14:paraId="4A4775F6">
            <w:pPr>
              <w:keepNext w:val="0"/>
              <w:keepLines w:val="0"/>
              <w:pageBreakBefore w:val="0"/>
              <w:kinsoku/>
              <w:wordWrap/>
              <w:overflowPunct/>
              <w:topLinePunct w:val="0"/>
              <w:autoSpaceDE/>
              <w:autoSpaceDN/>
              <w:bidi w:val="0"/>
              <w:ind w:left="0" w:leftChars="0" w:right="0" w:rightChars="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0.2</w:t>
            </w:r>
          </w:p>
        </w:tc>
        <w:tc>
          <w:tcPr>
            <w:tcW w:w="393" w:type="pct"/>
            <w:vMerge w:val="continue"/>
            <w:vAlign w:val="center"/>
          </w:tcPr>
          <w:p w14:paraId="10E0BFE7">
            <w:pPr>
              <w:pageBreakBefore w:val="0"/>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sz w:val="21"/>
                <w:szCs w:val="21"/>
                <w:highlight w:val="none"/>
              </w:rPr>
            </w:pPr>
          </w:p>
        </w:tc>
        <w:tc>
          <w:tcPr>
            <w:tcW w:w="1660" w:type="pct"/>
            <w:gridSpan w:val="4"/>
            <w:vMerge w:val="continue"/>
            <w:vAlign w:val="center"/>
          </w:tcPr>
          <w:p w14:paraId="62AE8FD5">
            <w:pPr>
              <w:pStyle w:val="240"/>
              <w:pageBreakBefore w:val="0"/>
              <w:kinsoku/>
              <w:wordWrap/>
              <w:overflowPunct/>
              <w:topLinePunct w:val="0"/>
              <w:autoSpaceDE/>
              <w:autoSpaceDN/>
              <w:bidi w:val="0"/>
              <w:adjustRightInd w:val="0"/>
              <w:snapToGrid w:val="0"/>
              <w:ind w:left="0" w:right="0"/>
              <w:textAlignment w:val="auto"/>
              <w:rPr>
                <w:rFonts w:ascii="Times New Roman" w:hAnsi="Times New Roman"/>
                <w:color w:val="auto"/>
                <w:highlight w:val="none"/>
              </w:rPr>
            </w:pPr>
          </w:p>
        </w:tc>
        <w:tc>
          <w:tcPr>
            <w:tcW w:w="875" w:type="pct"/>
            <w:vMerge w:val="continue"/>
            <w:vAlign w:val="center"/>
          </w:tcPr>
          <w:p w14:paraId="3AF46B40">
            <w:pPr>
              <w:pStyle w:val="240"/>
              <w:pageBreakBefore w:val="0"/>
              <w:kinsoku/>
              <w:wordWrap/>
              <w:overflowPunct/>
              <w:topLinePunct w:val="0"/>
              <w:autoSpaceDE/>
              <w:autoSpaceDN/>
              <w:bidi w:val="0"/>
              <w:adjustRightInd w:val="0"/>
              <w:snapToGrid w:val="0"/>
              <w:ind w:left="0" w:right="0"/>
              <w:textAlignment w:val="auto"/>
              <w:rPr>
                <w:rFonts w:ascii="Times New Roman" w:hAnsi="Times New Roman"/>
                <w:color w:val="auto"/>
                <w:highlight w:val="none"/>
              </w:rPr>
            </w:pPr>
          </w:p>
        </w:tc>
      </w:tr>
      <w:tr w14:paraId="11FC36EE">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191" w:type="pct"/>
            <w:vMerge w:val="continue"/>
            <w:vAlign w:val="center"/>
          </w:tcPr>
          <w:p w14:paraId="63DEED83">
            <w:pPr>
              <w:pStyle w:val="240"/>
              <w:pageBreakBefore w:val="0"/>
              <w:kinsoku/>
              <w:wordWrap/>
              <w:overflowPunct/>
              <w:topLinePunct w:val="0"/>
              <w:autoSpaceDE/>
              <w:autoSpaceDN/>
              <w:bidi w:val="0"/>
              <w:adjustRightInd w:val="0"/>
              <w:snapToGrid w:val="0"/>
              <w:ind w:left="0" w:right="0"/>
              <w:textAlignment w:val="auto"/>
              <w:rPr>
                <w:rFonts w:ascii="Times New Roman" w:hAnsi="Times New Roman"/>
                <w:color w:val="auto"/>
                <w:highlight w:val="none"/>
              </w:rPr>
            </w:pPr>
          </w:p>
        </w:tc>
        <w:tc>
          <w:tcPr>
            <w:tcW w:w="193" w:type="pct"/>
            <w:vMerge w:val="continue"/>
            <w:vAlign w:val="center"/>
          </w:tcPr>
          <w:p w14:paraId="40D3540F">
            <w:pPr>
              <w:pStyle w:val="240"/>
              <w:pageBreakBefore w:val="0"/>
              <w:kinsoku/>
              <w:wordWrap/>
              <w:overflowPunct/>
              <w:topLinePunct w:val="0"/>
              <w:autoSpaceDE/>
              <w:autoSpaceDN/>
              <w:bidi w:val="0"/>
              <w:adjustRightInd w:val="0"/>
              <w:snapToGrid w:val="0"/>
              <w:ind w:left="0" w:right="0"/>
              <w:textAlignment w:val="auto"/>
              <w:rPr>
                <w:rFonts w:ascii="Times New Roman" w:hAnsi="Times New Roman"/>
                <w:color w:val="auto"/>
                <w:highlight w:val="none"/>
              </w:rPr>
            </w:pPr>
          </w:p>
        </w:tc>
        <w:tc>
          <w:tcPr>
            <w:tcW w:w="3421" w:type="dxa"/>
            <w:gridSpan w:val="3"/>
            <w:vAlign w:val="center"/>
          </w:tcPr>
          <w:p w14:paraId="16182EAB">
            <w:pPr>
              <w:keepNext w:val="0"/>
              <w:keepLines w:val="0"/>
              <w:pageBreakBefore w:val="0"/>
              <w:kinsoku/>
              <w:wordWrap/>
              <w:overflowPunct/>
              <w:topLinePunct w:val="0"/>
              <w:autoSpaceDE/>
              <w:autoSpaceDN/>
              <w:bidi w:val="0"/>
              <w:ind w:left="0" w:leftChars="0" w:right="0" w:rightChars="0"/>
              <w:jc w:val="center"/>
              <w:textAlignment w:val="auto"/>
              <w:rPr>
                <w:rFonts w:hint="eastAsia" w:ascii="Times New Roman" w:hAnsi="Times New Roman" w:eastAsia="宋体" w:cs="宋体"/>
                <w:color w:val="auto"/>
                <w:sz w:val="24"/>
                <w:szCs w:val="24"/>
                <w:highlight w:val="none"/>
                <w:lang w:val="en-US" w:eastAsia="zh-CN" w:bidi="ar-SA"/>
              </w:rPr>
            </w:pPr>
            <w:r>
              <w:rPr>
                <w:rFonts w:hint="eastAsia" w:ascii="Times New Roman" w:hAnsi="Times New Roman" w:cs="Times New Roman"/>
                <w:color w:val="auto"/>
                <w:sz w:val="21"/>
                <w:szCs w:val="18"/>
                <w:highlight w:val="none"/>
              </w:rPr>
              <w:t>废活性炭</w:t>
            </w:r>
          </w:p>
        </w:tc>
        <w:tc>
          <w:tcPr>
            <w:tcW w:w="1355" w:type="dxa"/>
            <w:vAlign w:val="center"/>
          </w:tcPr>
          <w:p w14:paraId="7B6D8D1D">
            <w:pPr>
              <w:keepNext w:val="0"/>
              <w:keepLines w:val="0"/>
              <w:pageBreakBefore w:val="0"/>
              <w:kinsoku/>
              <w:wordWrap/>
              <w:overflowPunct/>
              <w:topLinePunct w:val="0"/>
              <w:autoSpaceDE/>
              <w:autoSpaceDN/>
              <w:bidi w:val="0"/>
              <w:ind w:left="0" w:leftChars="0" w:right="0" w:rightChars="0"/>
              <w:jc w:val="center"/>
              <w:textAlignment w:val="auto"/>
              <w:rPr>
                <w:rFonts w:hint="eastAsia" w:ascii="Times New Roman" w:hAnsi="Times New Roman" w:eastAsia="宋体" w:cs="Times New Roman"/>
                <w:color w:val="auto"/>
                <w:sz w:val="21"/>
                <w:szCs w:val="21"/>
                <w:highlight w:val="none"/>
                <w:lang w:val="en-US" w:eastAsia="zh-CN" w:bidi="ar-SA"/>
              </w:rPr>
            </w:pPr>
            <w:r>
              <w:rPr>
                <w:rFonts w:hint="eastAsia" w:ascii="Times New Roman" w:hAnsi="Times New Roman" w:cs="Times New Roman"/>
                <w:color w:val="auto"/>
                <w:sz w:val="21"/>
                <w:szCs w:val="21"/>
                <w:highlight w:val="none"/>
                <w:lang w:val="en-US" w:eastAsia="zh-CN"/>
              </w:rPr>
              <w:t>10.4089</w:t>
            </w:r>
          </w:p>
        </w:tc>
        <w:tc>
          <w:tcPr>
            <w:tcW w:w="393" w:type="pct"/>
            <w:vMerge w:val="continue"/>
            <w:vAlign w:val="center"/>
          </w:tcPr>
          <w:p w14:paraId="6F9783EC">
            <w:pPr>
              <w:pageBreakBefore w:val="0"/>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sz w:val="21"/>
                <w:szCs w:val="21"/>
                <w:highlight w:val="none"/>
              </w:rPr>
            </w:pPr>
          </w:p>
        </w:tc>
        <w:tc>
          <w:tcPr>
            <w:tcW w:w="1660" w:type="pct"/>
            <w:gridSpan w:val="4"/>
            <w:vMerge w:val="continue"/>
            <w:vAlign w:val="center"/>
          </w:tcPr>
          <w:p w14:paraId="62E238B3">
            <w:pPr>
              <w:pStyle w:val="240"/>
              <w:pageBreakBefore w:val="0"/>
              <w:kinsoku/>
              <w:wordWrap/>
              <w:overflowPunct/>
              <w:topLinePunct w:val="0"/>
              <w:autoSpaceDE/>
              <w:autoSpaceDN/>
              <w:bidi w:val="0"/>
              <w:adjustRightInd w:val="0"/>
              <w:snapToGrid w:val="0"/>
              <w:ind w:left="0" w:right="0"/>
              <w:textAlignment w:val="auto"/>
              <w:rPr>
                <w:rFonts w:ascii="Times New Roman" w:hAnsi="Times New Roman"/>
                <w:color w:val="auto"/>
                <w:highlight w:val="none"/>
              </w:rPr>
            </w:pPr>
          </w:p>
        </w:tc>
        <w:tc>
          <w:tcPr>
            <w:tcW w:w="875" w:type="pct"/>
            <w:vMerge w:val="continue"/>
            <w:vAlign w:val="center"/>
          </w:tcPr>
          <w:p w14:paraId="55C04A2C">
            <w:pPr>
              <w:pStyle w:val="240"/>
              <w:pageBreakBefore w:val="0"/>
              <w:kinsoku/>
              <w:wordWrap/>
              <w:overflowPunct/>
              <w:topLinePunct w:val="0"/>
              <w:autoSpaceDE/>
              <w:autoSpaceDN/>
              <w:bidi w:val="0"/>
              <w:adjustRightInd w:val="0"/>
              <w:snapToGrid w:val="0"/>
              <w:ind w:left="0" w:right="0"/>
              <w:textAlignment w:val="auto"/>
              <w:rPr>
                <w:rFonts w:ascii="Times New Roman" w:hAnsi="Times New Roman"/>
                <w:color w:val="auto"/>
                <w:highlight w:val="none"/>
              </w:rPr>
            </w:pPr>
          </w:p>
        </w:tc>
      </w:tr>
      <w:tr w14:paraId="43C3D48A">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PrEx>
        <w:trPr>
          <w:cantSplit/>
          <w:trHeight w:val="340" w:hRule="atLeast"/>
          <w:jc w:val="center"/>
        </w:trPr>
        <w:tc>
          <w:tcPr>
            <w:tcW w:w="191" w:type="pct"/>
            <w:vMerge w:val="continue"/>
            <w:vAlign w:val="center"/>
          </w:tcPr>
          <w:p w14:paraId="1B26F8C8">
            <w:pPr>
              <w:pStyle w:val="240"/>
              <w:pageBreakBefore w:val="0"/>
              <w:kinsoku/>
              <w:wordWrap/>
              <w:overflowPunct/>
              <w:topLinePunct w:val="0"/>
              <w:autoSpaceDE/>
              <w:autoSpaceDN/>
              <w:bidi w:val="0"/>
              <w:adjustRightInd w:val="0"/>
              <w:snapToGrid w:val="0"/>
              <w:ind w:left="0" w:right="0"/>
              <w:textAlignment w:val="auto"/>
              <w:rPr>
                <w:rFonts w:ascii="Times New Roman" w:hAnsi="Times New Roman"/>
                <w:color w:val="auto"/>
                <w:highlight w:val="none"/>
              </w:rPr>
            </w:pPr>
          </w:p>
        </w:tc>
        <w:tc>
          <w:tcPr>
            <w:tcW w:w="193" w:type="pct"/>
            <w:vMerge w:val="continue"/>
            <w:vAlign w:val="center"/>
          </w:tcPr>
          <w:p w14:paraId="1F6EF1E0">
            <w:pPr>
              <w:pStyle w:val="240"/>
              <w:pageBreakBefore w:val="0"/>
              <w:kinsoku/>
              <w:wordWrap/>
              <w:overflowPunct/>
              <w:topLinePunct w:val="0"/>
              <w:autoSpaceDE/>
              <w:autoSpaceDN/>
              <w:bidi w:val="0"/>
              <w:adjustRightInd w:val="0"/>
              <w:snapToGrid w:val="0"/>
              <w:ind w:left="0" w:right="0"/>
              <w:textAlignment w:val="auto"/>
              <w:rPr>
                <w:rFonts w:ascii="Times New Roman" w:hAnsi="Times New Roman"/>
                <w:color w:val="auto"/>
                <w:highlight w:val="none"/>
              </w:rPr>
            </w:pPr>
          </w:p>
        </w:tc>
        <w:tc>
          <w:tcPr>
            <w:tcW w:w="3421" w:type="dxa"/>
            <w:gridSpan w:val="3"/>
            <w:vAlign w:val="center"/>
          </w:tcPr>
          <w:p w14:paraId="199A680E">
            <w:pPr>
              <w:keepNext w:val="0"/>
              <w:keepLines w:val="0"/>
              <w:pageBreakBefore w:val="0"/>
              <w:kinsoku/>
              <w:wordWrap/>
              <w:overflowPunct/>
              <w:topLinePunct w:val="0"/>
              <w:autoSpaceDE/>
              <w:autoSpaceDN/>
              <w:bidi w:val="0"/>
              <w:ind w:left="0" w:leftChars="0" w:right="0" w:rightChars="0"/>
              <w:jc w:val="center"/>
              <w:textAlignment w:val="auto"/>
              <w:rPr>
                <w:rFonts w:ascii="Times New Roman" w:hAnsi="Times New Roman"/>
                <w:color w:val="auto"/>
                <w:highlight w:val="none"/>
              </w:rPr>
            </w:pPr>
            <w:r>
              <w:rPr>
                <w:rFonts w:hint="eastAsia" w:ascii="Times New Roman" w:hAnsi="Times New Roman" w:cs="Times New Roman"/>
                <w:color w:val="auto"/>
                <w:sz w:val="21"/>
                <w:szCs w:val="18"/>
                <w:highlight w:val="none"/>
                <w:lang w:val="en-US" w:eastAsia="zh-CN"/>
              </w:rPr>
              <w:t>实验室清洗废水</w:t>
            </w:r>
          </w:p>
        </w:tc>
        <w:tc>
          <w:tcPr>
            <w:tcW w:w="1355" w:type="dxa"/>
            <w:vAlign w:val="center"/>
          </w:tcPr>
          <w:p w14:paraId="01045492">
            <w:pPr>
              <w:keepNext w:val="0"/>
              <w:keepLines w:val="0"/>
              <w:pageBreakBefore w:val="0"/>
              <w:kinsoku/>
              <w:wordWrap/>
              <w:overflowPunct/>
              <w:topLinePunct w:val="0"/>
              <w:autoSpaceDE/>
              <w:autoSpaceDN/>
              <w:bidi w:val="0"/>
              <w:ind w:left="0" w:leftChars="0" w:right="0" w:rightChars="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lang w:val="en-US" w:eastAsia="zh-CN"/>
              </w:rPr>
              <w:t>0.1</w:t>
            </w:r>
          </w:p>
        </w:tc>
        <w:tc>
          <w:tcPr>
            <w:tcW w:w="393" w:type="pct"/>
            <w:vMerge w:val="continue"/>
            <w:vAlign w:val="center"/>
          </w:tcPr>
          <w:p w14:paraId="42E748DA">
            <w:pPr>
              <w:pageBreakBefore w:val="0"/>
              <w:kinsoku/>
              <w:wordWrap/>
              <w:overflowPunct/>
              <w:topLinePunct w:val="0"/>
              <w:autoSpaceDE/>
              <w:autoSpaceDN/>
              <w:bidi w:val="0"/>
              <w:adjustRightInd w:val="0"/>
              <w:snapToGrid w:val="0"/>
              <w:ind w:left="0" w:right="0"/>
              <w:jc w:val="center"/>
              <w:textAlignment w:val="auto"/>
              <w:rPr>
                <w:rFonts w:ascii="Times New Roman" w:hAnsi="Times New Roman" w:cs="Times New Roman"/>
                <w:color w:val="auto"/>
                <w:sz w:val="21"/>
                <w:szCs w:val="21"/>
                <w:highlight w:val="none"/>
              </w:rPr>
            </w:pPr>
          </w:p>
        </w:tc>
        <w:tc>
          <w:tcPr>
            <w:tcW w:w="1660" w:type="pct"/>
            <w:gridSpan w:val="4"/>
            <w:vMerge w:val="continue"/>
            <w:vAlign w:val="center"/>
          </w:tcPr>
          <w:p w14:paraId="46AA8F4D">
            <w:pPr>
              <w:pStyle w:val="240"/>
              <w:pageBreakBefore w:val="0"/>
              <w:kinsoku/>
              <w:wordWrap/>
              <w:overflowPunct/>
              <w:topLinePunct w:val="0"/>
              <w:autoSpaceDE/>
              <w:autoSpaceDN/>
              <w:bidi w:val="0"/>
              <w:adjustRightInd w:val="0"/>
              <w:snapToGrid w:val="0"/>
              <w:ind w:left="0" w:right="0"/>
              <w:textAlignment w:val="auto"/>
              <w:rPr>
                <w:rFonts w:ascii="Times New Roman" w:hAnsi="Times New Roman"/>
                <w:color w:val="auto"/>
                <w:highlight w:val="none"/>
              </w:rPr>
            </w:pPr>
          </w:p>
        </w:tc>
        <w:tc>
          <w:tcPr>
            <w:tcW w:w="875" w:type="pct"/>
            <w:vMerge w:val="continue"/>
            <w:vAlign w:val="center"/>
          </w:tcPr>
          <w:p w14:paraId="6BC83B66">
            <w:pPr>
              <w:pStyle w:val="240"/>
              <w:pageBreakBefore w:val="0"/>
              <w:kinsoku/>
              <w:wordWrap/>
              <w:overflowPunct/>
              <w:topLinePunct w:val="0"/>
              <w:autoSpaceDE/>
              <w:autoSpaceDN/>
              <w:bidi w:val="0"/>
              <w:adjustRightInd w:val="0"/>
              <w:snapToGrid w:val="0"/>
              <w:ind w:left="0" w:right="0"/>
              <w:textAlignment w:val="auto"/>
              <w:rPr>
                <w:rFonts w:ascii="Times New Roman" w:hAnsi="Times New Roman"/>
                <w:color w:val="auto"/>
                <w:highlight w:val="none"/>
              </w:rPr>
            </w:pPr>
          </w:p>
        </w:tc>
      </w:tr>
      <w:tr w14:paraId="6C78D822">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PrEx>
        <w:trPr>
          <w:cantSplit/>
          <w:trHeight w:val="340" w:hRule="atLeast"/>
          <w:jc w:val="center"/>
        </w:trPr>
        <w:tc>
          <w:tcPr>
            <w:tcW w:w="384" w:type="pct"/>
            <w:gridSpan w:val="2"/>
            <w:vMerge w:val="restart"/>
            <w:vAlign w:val="center"/>
          </w:tcPr>
          <w:p w14:paraId="7ECDF06E">
            <w:pPr>
              <w:pStyle w:val="240"/>
              <w:pageBreakBefore w:val="0"/>
              <w:kinsoku/>
              <w:wordWrap/>
              <w:overflowPunct/>
              <w:topLinePunct w:val="0"/>
              <w:autoSpaceDE/>
              <w:autoSpaceDN/>
              <w:bidi w:val="0"/>
              <w:adjustRightInd w:val="0"/>
              <w:snapToGrid w:val="0"/>
              <w:ind w:left="0" w:right="0"/>
              <w:textAlignment w:val="auto"/>
              <w:rPr>
                <w:rFonts w:ascii="Times New Roman" w:hAnsi="Times New Roman"/>
                <w:b/>
                <w:color w:val="auto"/>
                <w:highlight w:val="none"/>
              </w:rPr>
            </w:pPr>
            <w:r>
              <w:rPr>
                <w:rFonts w:ascii="Times New Roman" w:hAnsi="Times New Roman"/>
                <w:b/>
                <w:color w:val="auto"/>
                <w:highlight w:val="none"/>
              </w:rPr>
              <w:t>噪声</w:t>
            </w:r>
          </w:p>
        </w:tc>
        <w:tc>
          <w:tcPr>
            <w:tcW w:w="620" w:type="pct"/>
            <w:vAlign w:val="center"/>
          </w:tcPr>
          <w:p w14:paraId="19CCB367">
            <w:pPr>
              <w:pStyle w:val="240"/>
              <w:pageBreakBefore w:val="0"/>
              <w:kinsoku/>
              <w:wordWrap/>
              <w:overflowPunct/>
              <w:topLinePunct w:val="0"/>
              <w:autoSpaceDE/>
              <w:autoSpaceDN/>
              <w:bidi w:val="0"/>
              <w:adjustRightInd w:val="0"/>
              <w:snapToGrid w:val="0"/>
              <w:ind w:left="0" w:right="0"/>
              <w:textAlignment w:val="auto"/>
              <w:rPr>
                <w:rFonts w:ascii="Times New Roman" w:hAnsi="Times New Roman"/>
                <w:color w:val="auto"/>
                <w:highlight w:val="none"/>
              </w:rPr>
            </w:pPr>
            <w:r>
              <w:rPr>
                <w:rFonts w:hint="eastAsia" w:ascii="Times New Roman" w:hAnsi="Times New Roman"/>
                <w:color w:val="auto"/>
                <w:highlight w:val="none"/>
              </w:rPr>
              <w:t>二工场</w:t>
            </w:r>
            <w:r>
              <w:rPr>
                <w:rFonts w:ascii="Times New Roman" w:hAnsi="Times New Roman"/>
                <w:color w:val="auto"/>
                <w:highlight w:val="none"/>
              </w:rPr>
              <w:t>噪声N（室</w:t>
            </w:r>
            <w:r>
              <w:rPr>
                <w:rFonts w:hint="eastAsia" w:ascii="Times New Roman" w:hAnsi="Times New Roman"/>
                <w:color w:val="auto"/>
                <w:highlight w:val="none"/>
              </w:rPr>
              <w:t>外</w:t>
            </w:r>
            <w:r>
              <w:rPr>
                <w:rFonts w:ascii="Times New Roman" w:hAnsi="Times New Roman"/>
                <w:color w:val="auto"/>
                <w:highlight w:val="none"/>
              </w:rPr>
              <w:t>）</w:t>
            </w:r>
          </w:p>
        </w:tc>
        <w:tc>
          <w:tcPr>
            <w:tcW w:w="1459" w:type="pct"/>
            <w:gridSpan w:val="4"/>
            <w:vAlign w:val="center"/>
          </w:tcPr>
          <w:p w14:paraId="2CB6C1D1">
            <w:pPr>
              <w:pageBreakBefore w:val="0"/>
              <w:kinsoku/>
              <w:wordWrap/>
              <w:overflowPunct/>
              <w:topLinePunct w:val="0"/>
              <w:autoSpaceDE/>
              <w:autoSpaceDN/>
              <w:bidi w:val="0"/>
              <w:ind w:left="0" w:right="0"/>
              <w:jc w:val="center"/>
              <w:textAlignment w:val="auto"/>
              <w:rPr>
                <w:rFonts w:ascii="Times New Roman" w:hAnsi="Times New Roman"/>
                <w:color w:val="auto"/>
                <w:highlight w:val="none"/>
              </w:rPr>
            </w:pPr>
            <w:r>
              <w:rPr>
                <w:rFonts w:hint="eastAsia" w:ascii="Times New Roman" w:hAnsi="Times New Roman" w:cs="Times New Roman"/>
                <w:color w:val="auto"/>
                <w:sz w:val="21"/>
                <w:szCs w:val="21"/>
                <w:highlight w:val="none"/>
              </w:rPr>
              <w:t>洁净室引风风机</w:t>
            </w:r>
          </w:p>
        </w:tc>
        <w:tc>
          <w:tcPr>
            <w:tcW w:w="1660" w:type="pct"/>
            <w:gridSpan w:val="4"/>
            <w:vAlign w:val="center"/>
          </w:tcPr>
          <w:p w14:paraId="1E25E8FB">
            <w:pPr>
              <w:pStyle w:val="240"/>
              <w:pageBreakBefore w:val="0"/>
              <w:kinsoku/>
              <w:wordWrap/>
              <w:overflowPunct/>
              <w:topLinePunct w:val="0"/>
              <w:autoSpaceDE/>
              <w:autoSpaceDN/>
              <w:bidi w:val="0"/>
              <w:adjustRightInd w:val="0"/>
              <w:snapToGrid w:val="0"/>
              <w:ind w:left="0" w:right="0"/>
              <w:textAlignment w:val="auto"/>
              <w:rPr>
                <w:rFonts w:ascii="Times New Roman" w:hAnsi="Times New Roman"/>
                <w:color w:val="auto"/>
                <w:highlight w:val="none"/>
              </w:rPr>
            </w:pPr>
            <w:r>
              <w:rPr>
                <w:rFonts w:ascii="Times New Roman" w:hAnsi="Times New Roman"/>
                <w:color w:val="auto"/>
                <w:kern w:val="0"/>
                <w:highlight w:val="none"/>
              </w:rPr>
              <w:t>通过</w:t>
            </w:r>
            <w:r>
              <w:rPr>
                <w:rFonts w:hint="eastAsia" w:ascii="Times New Roman" w:hAnsi="Times New Roman"/>
                <w:color w:val="auto"/>
                <w:kern w:val="0"/>
                <w:highlight w:val="none"/>
                <w:lang w:val="en-US" w:eastAsia="zh-CN"/>
              </w:rPr>
              <w:t>减振</w:t>
            </w:r>
            <w:r>
              <w:rPr>
                <w:rFonts w:ascii="Times New Roman" w:hAnsi="Times New Roman"/>
                <w:color w:val="auto"/>
                <w:kern w:val="0"/>
                <w:highlight w:val="none"/>
              </w:rPr>
              <w:t>隔声，距离衰减</w:t>
            </w:r>
            <w:r>
              <w:rPr>
                <w:rFonts w:ascii="Times New Roman" w:hAnsi="Times New Roman"/>
                <w:color w:val="auto"/>
                <w:highlight w:val="none"/>
              </w:rPr>
              <w:t>措施降噪。</w:t>
            </w:r>
          </w:p>
        </w:tc>
        <w:tc>
          <w:tcPr>
            <w:tcW w:w="875" w:type="pct"/>
            <w:vMerge w:val="restart"/>
            <w:vAlign w:val="center"/>
          </w:tcPr>
          <w:p w14:paraId="7A1914A1">
            <w:pPr>
              <w:pStyle w:val="240"/>
              <w:pageBreakBefore w:val="0"/>
              <w:kinsoku/>
              <w:wordWrap/>
              <w:overflowPunct/>
              <w:topLinePunct w:val="0"/>
              <w:autoSpaceDE/>
              <w:autoSpaceDN/>
              <w:bidi w:val="0"/>
              <w:adjustRightInd w:val="0"/>
              <w:snapToGrid w:val="0"/>
              <w:ind w:left="0" w:right="0"/>
              <w:textAlignment w:val="auto"/>
              <w:rPr>
                <w:rFonts w:ascii="Times New Roman" w:hAnsi="Times New Roman"/>
                <w:color w:val="auto"/>
                <w:highlight w:val="none"/>
              </w:rPr>
            </w:pPr>
            <w:r>
              <w:rPr>
                <w:rFonts w:ascii="Times New Roman" w:hAnsi="Times New Roman"/>
                <w:color w:val="auto"/>
                <w:highlight w:val="none"/>
              </w:rPr>
              <w:t>执行《工业企业厂界环境噪声排放标准》（GB12348-2008）厂界外3类声环境功能区标准。</w:t>
            </w:r>
          </w:p>
        </w:tc>
      </w:tr>
      <w:tr w14:paraId="620032A6">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384" w:type="pct"/>
            <w:gridSpan w:val="2"/>
            <w:vMerge w:val="continue"/>
            <w:vAlign w:val="center"/>
          </w:tcPr>
          <w:p w14:paraId="28AD5301">
            <w:pPr>
              <w:pStyle w:val="240"/>
              <w:pageBreakBefore w:val="0"/>
              <w:kinsoku/>
              <w:wordWrap/>
              <w:overflowPunct/>
              <w:topLinePunct w:val="0"/>
              <w:autoSpaceDE/>
              <w:autoSpaceDN/>
              <w:bidi w:val="0"/>
              <w:adjustRightInd w:val="0"/>
              <w:snapToGrid w:val="0"/>
              <w:ind w:left="0" w:right="0"/>
              <w:textAlignment w:val="auto"/>
              <w:rPr>
                <w:rFonts w:ascii="Times New Roman" w:hAnsi="Times New Roman"/>
                <w:b/>
                <w:color w:val="auto"/>
                <w:highlight w:val="none"/>
              </w:rPr>
            </w:pPr>
          </w:p>
        </w:tc>
        <w:tc>
          <w:tcPr>
            <w:tcW w:w="620" w:type="pct"/>
            <w:vAlign w:val="center"/>
          </w:tcPr>
          <w:p w14:paraId="59F2C5F5">
            <w:pPr>
              <w:pStyle w:val="240"/>
              <w:pageBreakBefore w:val="0"/>
              <w:kinsoku/>
              <w:wordWrap/>
              <w:overflowPunct/>
              <w:topLinePunct w:val="0"/>
              <w:autoSpaceDE/>
              <w:autoSpaceDN/>
              <w:bidi w:val="0"/>
              <w:adjustRightInd w:val="0"/>
              <w:snapToGrid w:val="0"/>
              <w:ind w:left="0" w:right="0"/>
              <w:textAlignment w:val="auto"/>
              <w:rPr>
                <w:rFonts w:ascii="Times New Roman" w:hAnsi="Times New Roman"/>
                <w:color w:val="auto"/>
                <w:highlight w:val="none"/>
              </w:rPr>
            </w:pPr>
            <w:r>
              <w:rPr>
                <w:rFonts w:hint="eastAsia" w:ascii="Times New Roman" w:hAnsi="Times New Roman"/>
                <w:color w:val="auto"/>
                <w:highlight w:val="none"/>
              </w:rPr>
              <w:t>实验楼</w:t>
            </w:r>
            <w:r>
              <w:rPr>
                <w:rFonts w:ascii="Times New Roman" w:hAnsi="Times New Roman"/>
                <w:color w:val="auto"/>
                <w:highlight w:val="none"/>
              </w:rPr>
              <w:t>噪声N（室</w:t>
            </w:r>
            <w:r>
              <w:rPr>
                <w:rFonts w:hint="eastAsia" w:ascii="Times New Roman" w:hAnsi="Times New Roman"/>
                <w:color w:val="auto"/>
                <w:highlight w:val="none"/>
              </w:rPr>
              <w:t>外</w:t>
            </w:r>
            <w:r>
              <w:rPr>
                <w:rFonts w:ascii="Times New Roman" w:hAnsi="Times New Roman"/>
                <w:color w:val="auto"/>
                <w:highlight w:val="none"/>
              </w:rPr>
              <w:t>）</w:t>
            </w:r>
          </w:p>
        </w:tc>
        <w:tc>
          <w:tcPr>
            <w:tcW w:w="1459" w:type="pct"/>
            <w:gridSpan w:val="4"/>
            <w:vAlign w:val="center"/>
          </w:tcPr>
          <w:p w14:paraId="21A8C034">
            <w:pPr>
              <w:pageBreakBefore w:val="0"/>
              <w:kinsoku/>
              <w:wordWrap/>
              <w:overflowPunct/>
              <w:topLinePunct w:val="0"/>
              <w:autoSpaceDE/>
              <w:autoSpaceDN/>
              <w:bidi w:val="0"/>
              <w:ind w:left="0" w:right="0"/>
              <w:jc w:val="center"/>
              <w:textAlignment w:val="auto"/>
              <w:rPr>
                <w:rFonts w:ascii="Times New Roman" w:hAnsi="Times New Roman"/>
                <w:snapToGrid w:val="0"/>
                <w:color w:val="auto"/>
                <w:highlight w:val="none"/>
              </w:rPr>
            </w:pPr>
            <w:r>
              <w:rPr>
                <w:rFonts w:hint="eastAsia" w:ascii="Times New Roman" w:hAnsi="Times New Roman" w:cs="Times New Roman"/>
                <w:color w:val="auto"/>
                <w:sz w:val="21"/>
                <w:szCs w:val="21"/>
                <w:highlight w:val="none"/>
              </w:rPr>
              <w:t>2套二级活性炭吸附</w:t>
            </w:r>
            <w:r>
              <w:rPr>
                <w:rFonts w:ascii="Times New Roman" w:hAnsi="Times New Roman" w:cs="Times New Roman"/>
                <w:color w:val="auto"/>
                <w:sz w:val="21"/>
                <w:szCs w:val="21"/>
                <w:highlight w:val="none"/>
              </w:rPr>
              <w:t>装置及配套风机</w:t>
            </w:r>
            <w:r>
              <w:rPr>
                <w:rFonts w:hint="eastAsia" w:ascii="Times New Roman" w:hAnsi="Times New Roman" w:cs="Times New Roman"/>
                <w:color w:val="auto"/>
                <w:sz w:val="21"/>
                <w:szCs w:val="21"/>
                <w:highlight w:val="none"/>
              </w:rPr>
              <w:t>（DA006）</w:t>
            </w:r>
          </w:p>
        </w:tc>
        <w:tc>
          <w:tcPr>
            <w:tcW w:w="1660" w:type="pct"/>
            <w:gridSpan w:val="4"/>
            <w:vAlign w:val="center"/>
          </w:tcPr>
          <w:p w14:paraId="7527F305">
            <w:pPr>
              <w:pStyle w:val="240"/>
              <w:pageBreakBefore w:val="0"/>
              <w:kinsoku/>
              <w:wordWrap/>
              <w:overflowPunct/>
              <w:topLinePunct w:val="0"/>
              <w:autoSpaceDE/>
              <w:autoSpaceDN/>
              <w:bidi w:val="0"/>
              <w:adjustRightInd w:val="0"/>
              <w:snapToGrid w:val="0"/>
              <w:ind w:left="0" w:right="0"/>
              <w:textAlignment w:val="auto"/>
              <w:rPr>
                <w:rFonts w:ascii="Times New Roman" w:hAnsi="Times New Roman"/>
                <w:color w:val="auto"/>
                <w:highlight w:val="none"/>
              </w:rPr>
            </w:pPr>
            <w:r>
              <w:rPr>
                <w:rFonts w:ascii="Times New Roman" w:hAnsi="Times New Roman"/>
                <w:color w:val="auto"/>
                <w:kern w:val="0"/>
                <w:highlight w:val="none"/>
              </w:rPr>
              <w:t>通过</w:t>
            </w:r>
            <w:r>
              <w:rPr>
                <w:rFonts w:hint="eastAsia" w:ascii="Times New Roman" w:hAnsi="Times New Roman"/>
                <w:color w:val="auto"/>
                <w:kern w:val="0"/>
                <w:highlight w:val="none"/>
                <w:lang w:val="en-US" w:eastAsia="zh-CN"/>
              </w:rPr>
              <w:t>减振</w:t>
            </w:r>
            <w:r>
              <w:rPr>
                <w:rFonts w:ascii="Times New Roman" w:hAnsi="Times New Roman"/>
                <w:color w:val="auto"/>
                <w:kern w:val="0"/>
                <w:highlight w:val="none"/>
              </w:rPr>
              <w:t>隔声，距离衰减</w:t>
            </w:r>
            <w:r>
              <w:rPr>
                <w:rFonts w:ascii="Times New Roman" w:hAnsi="Times New Roman"/>
                <w:color w:val="auto"/>
                <w:highlight w:val="none"/>
              </w:rPr>
              <w:t>措施降噪。</w:t>
            </w:r>
          </w:p>
        </w:tc>
        <w:tc>
          <w:tcPr>
            <w:tcW w:w="875" w:type="pct"/>
            <w:vMerge w:val="continue"/>
            <w:vAlign w:val="center"/>
          </w:tcPr>
          <w:p w14:paraId="72DD877A">
            <w:pPr>
              <w:pStyle w:val="240"/>
              <w:pageBreakBefore w:val="0"/>
              <w:kinsoku/>
              <w:wordWrap/>
              <w:overflowPunct/>
              <w:topLinePunct w:val="0"/>
              <w:autoSpaceDE/>
              <w:autoSpaceDN/>
              <w:bidi w:val="0"/>
              <w:adjustRightInd w:val="0"/>
              <w:snapToGrid w:val="0"/>
              <w:ind w:left="0" w:right="0"/>
              <w:textAlignment w:val="auto"/>
              <w:rPr>
                <w:rFonts w:ascii="Times New Roman" w:hAnsi="Times New Roman"/>
                <w:color w:val="auto"/>
                <w:highlight w:val="none"/>
              </w:rPr>
            </w:pPr>
          </w:p>
        </w:tc>
      </w:tr>
      <w:tr w14:paraId="60ADEF8A">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384" w:type="pct"/>
            <w:gridSpan w:val="2"/>
            <w:vAlign w:val="center"/>
          </w:tcPr>
          <w:p w14:paraId="683B8A4C">
            <w:pPr>
              <w:pStyle w:val="240"/>
              <w:pageBreakBefore w:val="0"/>
              <w:kinsoku/>
              <w:wordWrap/>
              <w:overflowPunct/>
              <w:topLinePunct w:val="0"/>
              <w:autoSpaceDE/>
              <w:autoSpaceDN/>
              <w:bidi w:val="0"/>
              <w:adjustRightInd w:val="0"/>
              <w:snapToGrid w:val="0"/>
              <w:ind w:left="0" w:right="0"/>
              <w:textAlignment w:val="auto"/>
              <w:rPr>
                <w:rFonts w:ascii="Times New Roman" w:hAnsi="Times New Roman"/>
                <w:b/>
                <w:color w:val="auto"/>
                <w:highlight w:val="none"/>
              </w:rPr>
            </w:pPr>
            <w:r>
              <w:rPr>
                <w:rFonts w:ascii="Times New Roman" w:hAnsi="Times New Roman"/>
                <w:b/>
                <w:color w:val="auto"/>
                <w:highlight w:val="none"/>
              </w:rPr>
              <w:t>土壤与</w:t>
            </w:r>
          </w:p>
          <w:p w14:paraId="46E3BD28">
            <w:pPr>
              <w:pStyle w:val="240"/>
              <w:pageBreakBefore w:val="0"/>
              <w:kinsoku/>
              <w:wordWrap/>
              <w:overflowPunct/>
              <w:topLinePunct w:val="0"/>
              <w:autoSpaceDE/>
              <w:autoSpaceDN/>
              <w:bidi w:val="0"/>
              <w:adjustRightInd w:val="0"/>
              <w:snapToGrid w:val="0"/>
              <w:ind w:left="0" w:right="0"/>
              <w:textAlignment w:val="auto"/>
              <w:rPr>
                <w:rFonts w:ascii="Times New Roman" w:hAnsi="Times New Roman"/>
                <w:b/>
                <w:color w:val="auto"/>
                <w:highlight w:val="none"/>
              </w:rPr>
            </w:pPr>
            <w:r>
              <w:rPr>
                <w:rFonts w:ascii="Times New Roman" w:hAnsi="Times New Roman"/>
                <w:b/>
                <w:color w:val="auto"/>
                <w:highlight w:val="none"/>
              </w:rPr>
              <w:t>地下水</w:t>
            </w:r>
          </w:p>
        </w:tc>
        <w:tc>
          <w:tcPr>
            <w:tcW w:w="2079" w:type="pct"/>
            <w:gridSpan w:val="5"/>
            <w:vAlign w:val="center"/>
          </w:tcPr>
          <w:p w14:paraId="379A3214">
            <w:pPr>
              <w:keepNext/>
              <w:keepLines/>
              <w:pageBreakBefore w:val="0"/>
              <w:widowControl w:val="0"/>
              <w:kinsoku/>
              <w:wordWrap/>
              <w:overflowPunct/>
              <w:topLinePunct w:val="0"/>
              <w:autoSpaceDE/>
              <w:autoSpaceDN/>
              <w:bidi w:val="0"/>
              <w:adjustRightInd w:val="0"/>
              <w:snapToGrid w:val="0"/>
              <w:ind w:left="0" w:right="0"/>
              <w:jc w:val="center"/>
              <w:textAlignment w:val="auto"/>
              <w:rPr>
                <w:color w:val="auto"/>
                <w:sz w:val="21"/>
                <w:szCs w:val="21"/>
                <w:highlight w:val="none"/>
              </w:rPr>
            </w:pPr>
            <w:r>
              <w:rPr>
                <w:color w:val="auto"/>
                <w:sz w:val="21"/>
                <w:szCs w:val="21"/>
                <w:highlight w:val="none"/>
              </w:rPr>
              <w:t>重点防渗区为</w:t>
            </w:r>
            <w:r>
              <w:rPr>
                <w:rFonts w:hint="eastAsia"/>
                <w:color w:val="auto"/>
                <w:sz w:val="21"/>
                <w:szCs w:val="21"/>
                <w:highlight w:val="none"/>
              </w:rPr>
              <w:t>生产区、</w:t>
            </w:r>
            <w:r>
              <w:rPr>
                <w:rFonts w:hint="eastAsia"/>
                <w:color w:val="auto"/>
                <w:sz w:val="21"/>
                <w:szCs w:val="21"/>
                <w:highlight w:val="none"/>
                <w:lang w:eastAsia="zh-CN"/>
              </w:rPr>
              <w:t>危险品仓库</w:t>
            </w:r>
            <w:r>
              <w:rPr>
                <w:rFonts w:hint="eastAsia"/>
                <w:color w:val="auto"/>
                <w:sz w:val="21"/>
                <w:szCs w:val="21"/>
                <w:highlight w:val="none"/>
              </w:rPr>
              <w:t>、成品仓库、埋地柴油罐、废液储罐区、危废仓库、事故池、初期雨水收集池</w:t>
            </w:r>
            <w:r>
              <w:rPr>
                <w:color w:val="auto"/>
                <w:sz w:val="21"/>
                <w:szCs w:val="21"/>
                <w:highlight w:val="none"/>
              </w:rPr>
              <w:t>等，一般防渗区为</w:t>
            </w:r>
            <w:r>
              <w:rPr>
                <w:rFonts w:hint="eastAsia"/>
                <w:color w:val="auto"/>
                <w:sz w:val="21"/>
                <w:szCs w:val="21"/>
                <w:highlight w:val="none"/>
              </w:rPr>
              <w:t>实验楼、一般固废仓库、辅房</w:t>
            </w:r>
            <w:r>
              <w:rPr>
                <w:color w:val="auto"/>
                <w:sz w:val="21"/>
                <w:szCs w:val="21"/>
                <w:highlight w:val="none"/>
              </w:rPr>
              <w:t>等，并按有关规定、规范在平面图中做出标注。</w:t>
            </w:r>
          </w:p>
        </w:tc>
        <w:tc>
          <w:tcPr>
            <w:tcW w:w="889" w:type="pct"/>
            <w:gridSpan w:val="2"/>
            <w:vAlign w:val="center"/>
          </w:tcPr>
          <w:p w14:paraId="115A84F6">
            <w:pPr>
              <w:keepNext/>
              <w:keepLines/>
              <w:pageBreakBefore w:val="0"/>
              <w:widowControl w:val="0"/>
              <w:kinsoku/>
              <w:wordWrap/>
              <w:overflowPunct/>
              <w:topLinePunct w:val="0"/>
              <w:autoSpaceDE/>
              <w:autoSpaceDN/>
              <w:bidi w:val="0"/>
              <w:adjustRightInd w:val="0"/>
              <w:snapToGrid w:val="0"/>
              <w:ind w:left="0" w:right="0"/>
              <w:jc w:val="center"/>
              <w:textAlignment w:val="auto"/>
              <w:rPr>
                <w:color w:val="auto"/>
                <w:sz w:val="21"/>
                <w:szCs w:val="21"/>
                <w:highlight w:val="none"/>
              </w:rPr>
            </w:pPr>
            <w:r>
              <w:rPr>
                <w:color w:val="auto"/>
                <w:sz w:val="21"/>
                <w:szCs w:val="21"/>
                <w:highlight w:val="none"/>
              </w:rPr>
              <w:t>易污染区地面均做好防腐防渗处理。盛装强酸强碱和有机溶剂的场所，并要按有关规范建设防溢围堰。</w:t>
            </w:r>
          </w:p>
        </w:tc>
        <w:tc>
          <w:tcPr>
            <w:tcW w:w="1646" w:type="pct"/>
            <w:gridSpan w:val="3"/>
            <w:vAlign w:val="center"/>
          </w:tcPr>
          <w:p w14:paraId="481FDDC7">
            <w:pPr>
              <w:keepNext/>
              <w:keepLines/>
              <w:pageBreakBefore w:val="0"/>
              <w:widowControl w:val="0"/>
              <w:kinsoku/>
              <w:wordWrap/>
              <w:overflowPunct/>
              <w:topLinePunct w:val="0"/>
              <w:autoSpaceDE/>
              <w:autoSpaceDN/>
              <w:bidi w:val="0"/>
              <w:adjustRightInd w:val="0"/>
              <w:snapToGrid w:val="0"/>
              <w:ind w:left="0" w:right="0"/>
              <w:jc w:val="center"/>
              <w:textAlignment w:val="auto"/>
              <w:rPr>
                <w:color w:val="auto"/>
                <w:sz w:val="21"/>
                <w:szCs w:val="21"/>
                <w:highlight w:val="none"/>
              </w:rPr>
            </w:pPr>
            <w:r>
              <w:rPr>
                <w:color w:val="auto"/>
                <w:sz w:val="21"/>
                <w:szCs w:val="21"/>
                <w:highlight w:val="none"/>
              </w:rPr>
              <w:t>重点</w:t>
            </w:r>
            <w:r>
              <w:rPr>
                <w:rFonts w:ascii="Times New Roman" w:hAnsi="Times New Roman" w:cs="Times New Roman"/>
                <w:color w:val="auto"/>
                <w:sz w:val="21"/>
                <w:szCs w:val="21"/>
                <w:highlight w:val="none"/>
              </w:rPr>
              <w:t>防渗区：执行等效黏土层Mb≥6.0m，渗透系数≤10</w:t>
            </w:r>
            <w:r>
              <w:rPr>
                <w:rFonts w:ascii="Times New Roman" w:hAnsi="Times New Roman" w:cs="Times New Roman"/>
                <w:color w:val="auto"/>
                <w:sz w:val="21"/>
                <w:szCs w:val="21"/>
                <w:highlight w:val="none"/>
                <w:vertAlign w:val="superscript"/>
              </w:rPr>
              <w:t>-7</w:t>
            </w:r>
            <w:r>
              <w:rPr>
                <w:rFonts w:ascii="Times New Roman" w:hAnsi="Times New Roman" w:cs="Times New Roman"/>
                <w:color w:val="auto"/>
                <w:sz w:val="21"/>
                <w:szCs w:val="21"/>
                <w:highlight w:val="none"/>
              </w:rPr>
              <w:t>cm/s；一般防渗区：执行等效黏土层Mb≥1.5m，渗透系数≤10</w:t>
            </w:r>
            <w:r>
              <w:rPr>
                <w:rFonts w:ascii="Times New Roman" w:hAnsi="Times New Roman" w:cs="Times New Roman"/>
                <w:color w:val="auto"/>
                <w:sz w:val="21"/>
                <w:szCs w:val="21"/>
                <w:highlight w:val="none"/>
                <w:vertAlign w:val="superscript"/>
              </w:rPr>
              <w:t>-7</w:t>
            </w:r>
            <w:r>
              <w:rPr>
                <w:rFonts w:ascii="Times New Roman" w:hAnsi="Times New Roman" w:cs="Times New Roman"/>
                <w:color w:val="auto"/>
                <w:sz w:val="21"/>
                <w:szCs w:val="21"/>
                <w:highlight w:val="none"/>
              </w:rPr>
              <w:t>cm/s的规定。</w:t>
            </w:r>
          </w:p>
        </w:tc>
      </w:tr>
      <w:tr w14:paraId="492C4757">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384" w:type="pct"/>
            <w:gridSpan w:val="2"/>
            <w:vAlign w:val="center"/>
          </w:tcPr>
          <w:p w14:paraId="7C036D0D">
            <w:pPr>
              <w:pStyle w:val="240"/>
              <w:pageBreakBefore w:val="0"/>
              <w:kinsoku/>
              <w:wordWrap/>
              <w:overflowPunct/>
              <w:topLinePunct w:val="0"/>
              <w:autoSpaceDE/>
              <w:autoSpaceDN/>
              <w:bidi w:val="0"/>
              <w:adjustRightInd w:val="0"/>
              <w:snapToGrid w:val="0"/>
              <w:ind w:left="0" w:right="0"/>
              <w:textAlignment w:val="auto"/>
              <w:rPr>
                <w:rFonts w:ascii="Times New Roman" w:hAnsi="Times New Roman"/>
                <w:b/>
                <w:color w:val="auto"/>
                <w:highlight w:val="none"/>
              </w:rPr>
            </w:pPr>
            <w:r>
              <w:rPr>
                <w:rFonts w:ascii="Times New Roman" w:hAnsi="Times New Roman"/>
                <w:b/>
                <w:color w:val="auto"/>
                <w:highlight w:val="none"/>
              </w:rPr>
              <w:t>清污雨污分流</w:t>
            </w:r>
          </w:p>
        </w:tc>
        <w:tc>
          <w:tcPr>
            <w:tcW w:w="4615" w:type="pct"/>
            <w:gridSpan w:val="10"/>
            <w:vAlign w:val="center"/>
          </w:tcPr>
          <w:p w14:paraId="33643D8B">
            <w:pPr>
              <w:pageBreakBefore w:val="0"/>
              <w:kinsoku/>
              <w:wordWrap/>
              <w:overflowPunct/>
              <w:topLinePunct w:val="0"/>
              <w:autoSpaceDE/>
              <w:autoSpaceDN/>
              <w:bidi w:val="0"/>
              <w:adjustRightInd w:val="0"/>
              <w:snapToGrid w:val="0"/>
              <w:ind w:left="0" w:right="0"/>
              <w:jc w:val="center"/>
              <w:textAlignment w:val="auto"/>
              <w:rPr>
                <w:color w:val="auto"/>
                <w:sz w:val="21"/>
                <w:szCs w:val="21"/>
                <w:highlight w:val="none"/>
              </w:rPr>
            </w:pPr>
            <w:r>
              <w:rPr>
                <w:color w:val="auto"/>
                <w:sz w:val="21"/>
                <w:szCs w:val="21"/>
                <w:highlight w:val="none"/>
              </w:rPr>
              <w:t>厂区全面实行雨污分流、清污分流。建</w:t>
            </w:r>
            <w:r>
              <w:rPr>
                <w:rFonts w:ascii="Times New Roman" w:hAnsi="Times New Roman" w:cs="Times New Roman"/>
                <w:color w:val="auto"/>
                <w:sz w:val="21"/>
                <w:szCs w:val="21"/>
                <w:highlight w:val="none"/>
              </w:rPr>
              <w:t>设540m</w:t>
            </w:r>
            <w:r>
              <w:rPr>
                <w:rFonts w:ascii="Times New Roman" w:hAnsi="Times New Roman" w:cs="Times New Roman"/>
                <w:color w:val="auto"/>
                <w:sz w:val="21"/>
                <w:szCs w:val="21"/>
                <w:highlight w:val="none"/>
                <w:vertAlign w:val="superscript"/>
              </w:rPr>
              <w:t>3</w:t>
            </w:r>
            <w:r>
              <w:rPr>
                <w:rFonts w:ascii="Times New Roman" w:hAnsi="Times New Roman" w:cs="Times New Roman"/>
                <w:color w:val="auto"/>
                <w:sz w:val="21"/>
                <w:szCs w:val="21"/>
                <w:highlight w:val="none"/>
              </w:rPr>
              <w:t>的</w:t>
            </w:r>
            <w:r>
              <w:rPr>
                <w:color w:val="auto"/>
                <w:sz w:val="21"/>
                <w:szCs w:val="21"/>
                <w:highlight w:val="none"/>
              </w:rPr>
              <w:t>应急事故池</w:t>
            </w:r>
            <w:r>
              <w:rPr>
                <w:rFonts w:ascii="Times New Roman" w:hAnsi="Times New Roman" w:cs="Times New Roman"/>
                <w:color w:val="auto"/>
                <w:sz w:val="21"/>
                <w:szCs w:val="21"/>
                <w:highlight w:val="none"/>
              </w:rPr>
              <w:t>、</w:t>
            </w:r>
            <w:r>
              <w:rPr>
                <w:rFonts w:hint="eastAsia" w:ascii="Times New Roman" w:hAnsi="Times New Roman" w:cs="Times New Roman"/>
                <w:color w:val="auto"/>
                <w:sz w:val="21"/>
                <w:szCs w:val="21"/>
                <w:highlight w:val="none"/>
                <w:lang w:val="en-US" w:eastAsia="zh-CN"/>
              </w:rPr>
              <w:t>380</w:t>
            </w:r>
            <w:r>
              <w:rPr>
                <w:rFonts w:ascii="Times New Roman" w:hAnsi="Times New Roman" w:cs="Times New Roman"/>
                <w:color w:val="auto"/>
                <w:sz w:val="21"/>
                <w:szCs w:val="21"/>
                <w:highlight w:val="none"/>
              </w:rPr>
              <w:t>m</w:t>
            </w:r>
            <w:r>
              <w:rPr>
                <w:rFonts w:ascii="Times New Roman" w:hAnsi="Times New Roman" w:cs="Times New Roman"/>
                <w:color w:val="auto"/>
                <w:sz w:val="21"/>
                <w:szCs w:val="21"/>
                <w:highlight w:val="none"/>
                <w:vertAlign w:val="superscript"/>
              </w:rPr>
              <w:t>3</w:t>
            </w:r>
            <w:r>
              <w:rPr>
                <w:rFonts w:hint="eastAsia" w:ascii="Times New Roman" w:hAnsi="Times New Roman" w:cs="Times New Roman"/>
                <w:color w:val="auto"/>
                <w:sz w:val="21"/>
                <w:szCs w:val="21"/>
                <w:highlight w:val="none"/>
              </w:rPr>
              <w:t>的初期雨水收集池</w:t>
            </w:r>
            <w:r>
              <w:rPr>
                <w:color w:val="auto"/>
                <w:sz w:val="21"/>
                <w:szCs w:val="21"/>
                <w:highlight w:val="none"/>
              </w:rPr>
              <w:t>。</w:t>
            </w:r>
          </w:p>
        </w:tc>
      </w:tr>
    </w:tbl>
    <w:p w14:paraId="46B6F207">
      <w:pPr>
        <w:ind w:left="-105" w:right="-105"/>
        <w:rPr>
          <w:color w:val="auto"/>
          <w:highlight w:val="none"/>
        </w:rPr>
      </w:pPr>
      <w:bookmarkStart w:id="506" w:name="_Toc139356220"/>
    </w:p>
    <w:p w14:paraId="1CDB216B">
      <w:pPr>
        <w:ind w:left="-105" w:right="-105"/>
        <w:rPr>
          <w:color w:val="auto"/>
          <w:highlight w:val="none"/>
        </w:rPr>
      </w:pPr>
    </w:p>
    <w:p w14:paraId="4869ADCF">
      <w:pPr>
        <w:pStyle w:val="2"/>
        <w:rPr>
          <w:color w:val="auto"/>
          <w:highlight w:val="none"/>
        </w:rPr>
      </w:pPr>
    </w:p>
    <w:p w14:paraId="0F2B8BC7">
      <w:pPr>
        <w:ind w:left="-105" w:right="-105"/>
        <w:rPr>
          <w:color w:val="auto"/>
          <w:highlight w:val="none"/>
        </w:rPr>
      </w:pPr>
    </w:p>
    <w:p w14:paraId="1C8B251A">
      <w:pPr>
        <w:pStyle w:val="4"/>
        <w:numPr>
          <w:ilvl w:val="1"/>
          <w:numId w:val="6"/>
        </w:numPr>
        <w:tabs>
          <w:tab w:val="left" w:pos="426"/>
        </w:tabs>
        <w:spacing w:before="120" w:beforeLines="50" w:line="360" w:lineRule="auto"/>
        <w:ind w:left="-105" w:right="-105" w:firstLine="562"/>
        <w:rPr>
          <w:rFonts w:ascii="Times New Roman" w:eastAsia="宋体"/>
          <w:color w:val="auto"/>
          <w:sz w:val="28"/>
          <w:szCs w:val="28"/>
          <w:highlight w:val="none"/>
        </w:rPr>
      </w:pPr>
      <w:bookmarkStart w:id="507" w:name="_Toc26495"/>
      <w:r>
        <w:rPr>
          <w:rFonts w:hint="eastAsia" w:ascii="Times New Roman" w:eastAsia="宋体"/>
          <w:color w:val="auto"/>
          <w:sz w:val="28"/>
          <w:szCs w:val="28"/>
          <w:highlight w:val="none"/>
        </w:rPr>
        <w:t>“三同时”验收一览表</w:t>
      </w:r>
      <w:bookmarkEnd w:id="506"/>
      <w:bookmarkEnd w:id="507"/>
    </w:p>
    <w:p w14:paraId="3372A1FE">
      <w:pPr>
        <w:ind w:left="-105" w:right="-105" w:firstLine="482"/>
        <w:jc w:val="center"/>
        <w:rPr>
          <w:rFonts w:ascii="Times New Roman" w:hAnsi="Times New Roman" w:cs="Times New Roman"/>
          <w:b/>
          <w:bCs/>
          <w:color w:val="auto"/>
          <w:highlight w:val="none"/>
        </w:rPr>
      </w:pPr>
      <w:r>
        <w:rPr>
          <w:rFonts w:ascii="Times New Roman" w:hAnsi="Times New Roman" w:cs="Times New Roman"/>
          <w:b/>
          <w:bCs/>
          <w:color w:val="auto"/>
          <w:szCs w:val="18"/>
          <w:highlight w:val="none"/>
        </w:rPr>
        <w:t>表</w:t>
      </w:r>
      <w:r>
        <w:rPr>
          <w:rFonts w:ascii="Times New Roman" w:hAnsi="Times New Roman" w:cs="Times New Roman"/>
          <w:b/>
          <w:bCs/>
          <w:color w:val="auto"/>
          <w:szCs w:val="18"/>
          <w:highlight w:val="none"/>
        </w:rPr>
        <w:fldChar w:fldCharType="begin"/>
      </w:r>
      <w:r>
        <w:rPr>
          <w:rFonts w:ascii="Times New Roman" w:hAnsi="Times New Roman" w:cs="Times New Roman"/>
          <w:b/>
          <w:bCs/>
          <w:color w:val="auto"/>
          <w:szCs w:val="18"/>
          <w:highlight w:val="none"/>
        </w:rPr>
        <w:instrText xml:space="preserve"> STYLEREF 2 \s </w:instrText>
      </w:r>
      <w:r>
        <w:rPr>
          <w:rFonts w:ascii="Times New Roman" w:hAnsi="Times New Roman" w:cs="Times New Roman"/>
          <w:b/>
          <w:bCs/>
          <w:color w:val="auto"/>
          <w:szCs w:val="18"/>
          <w:highlight w:val="none"/>
        </w:rPr>
        <w:fldChar w:fldCharType="separate"/>
      </w:r>
      <w:r>
        <w:rPr>
          <w:rFonts w:ascii="Times New Roman" w:hAnsi="Times New Roman" w:cs="Times New Roman"/>
          <w:b/>
          <w:bCs/>
          <w:color w:val="auto"/>
          <w:szCs w:val="18"/>
          <w:highlight w:val="none"/>
        </w:rPr>
        <w:t>7.8</w:t>
      </w:r>
      <w:r>
        <w:rPr>
          <w:rFonts w:ascii="Times New Roman" w:hAnsi="Times New Roman" w:cs="Times New Roman"/>
          <w:b/>
          <w:bCs/>
          <w:color w:val="auto"/>
          <w:szCs w:val="18"/>
          <w:highlight w:val="none"/>
        </w:rPr>
        <w:fldChar w:fldCharType="end"/>
      </w:r>
      <w:r>
        <w:rPr>
          <w:rFonts w:ascii="Times New Roman" w:hAnsi="Times New Roman" w:cs="Times New Roman"/>
          <w:b/>
          <w:bCs/>
          <w:color w:val="auto"/>
          <w:szCs w:val="18"/>
          <w:highlight w:val="none"/>
        </w:rPr>
        <w:noBreakHyphen/>
      </w:r>
      <w:r>
        <w:rPr>
          <w:rFonts w:ascii="Times New Roman" w:hAnsi="Times New Roman" w:cs="Times New Roman"/>
          <w:b/>
          <w:bCs/>
          <w:color w:val="auto"/>
          <w:szCs w:val="18"/>
          <w:highlight w:val="none"/>
        </w:rPr>
        <w:fldChar w:fldCharType="begin"/>
      </w:r>
      <w:r>
        <w:rPr>
          <w:rFonts w:ascii="Times New Roman" w:hAnsi="Times New Roman" w:cs="Times New Roman"/>
          <w:b/>
          <w:bCs/>
          <w:color w:val="auto"/>
          <w:szCs w:val="18"/>
          <w:highlight w:val="none"/>
        </w:rPr>
        <w:instrText xml:space="preserve"> SEQ 表 \* ARABIC \s 2 </w:instrText>
      </w:r>
      <w:r>
        <w:rPr>
          <w:rFonts w:ascii="Times New Roman" w:hAnsi="Times New Roman" w:cs="Times New Roman"/>
          <w:b/>
          <w:bCs/>
          <w:color w:val="auto"/>
          <w:szCs w:val="18"/>
          <w:highlight w:val="none"/>
        </w:rPr>
        <w:fldChar w:fldCharType="separate"/>
      </w:r>
      <w:r>
        <w:rPr>
          <w:rFonts w:ascii="Times New Roman" w:hAnsi="Times New Roman" w:cs="Times New Roman"/>
          <w:b/>
          <w:bCs/>
          <w:color w:val="auto"/>
          <w:szCs w:val="18"/>
          <w:highlight w:val="none"/>
        </w:rPr>
        <w:t>1</w:t>
      </w:r>
      <w:r>
        <w:rPr>
          <w:rFonts w:ascii="Times New Roman" w:hAnsi="Times New Roman" w:cs="Times New Roman"/>
          <w:b/>
          <w:bCs/>
          <w:color w:val="auto"/>
          <w:szCs w:val="18"/>
          <w:highlight w:val="none"/>
        </w:rPr>
        <w:fldChar w:fldCharType="end"/>
      </w:r>
      <w:r>
        <w:rPr>
          <w:rFonts w:ascii="Times New Roman" w:hAnsi="Times New Roman" w:cs="Times New Roman"/>
          <w:b/>
          <w:bCs/>
          <w:color w:val="auto"/>
          <w:szCs w:val="18"/>
          <w:highlight w:val="none"/>
        </w:rPr>
        <w:t>本项目</w:t>
      </w:r>
      <w:r>
        <w:rPr>
          <w:rFonts w:hint="eastAsia" w:ascii="Times New Roman" w:hAnsi="Times New Roman" w:cs="Times New Roman"/>
          <w:b/>
          <w:bCs/>
          <w:color w:val="auto"/>
          <w:szCs w:val="18"/>
          <w:highlight w:val="none"/>
        </w:rPr>
        <w:t>“三同时”验收一览表</w:t>
      </w:r>
    </w:p>
    <w:tbl>
      <w:tblPr>
        <w:tblStyle w:val="45"/>
        <w:tblW w:w="13462" w:type="dxa"/>
        <w:tblInd w:w="0" w:type="dxa"/>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
      <w:tblGrid>
        <w:gridCol w:w="677"/>
        <w:gridCol w:w="528"/>
        <w:gridCol w:w="915"/>
        <w:gridCol w:w="1399"/>
        <w:gridCol w:w="1391"/>
        <w:gridCol w:w="1470"/>
        <w:gridCol w:w="825"/>
        <w:gridCol w:w="1695"/>
        <w:gridCol w:w="1020"/>
        <w:gridCol w:w="2906"/>
        <w:gridCol w:w="636"/>
      </w:tblGrid>
      <w:tr w14:paraId="0A0C0E1A">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677" w:type="dxa"/>
            <w:shd w:val="clear" w:color="auto" w:fill="auto"/>
            <w:vAlign w:val="center"/>
          </w:tcPr>
          <w:p w14:paraId="3BB0A60D">
            <w:pPr>
              <w:keepNext w:val="0"/>
              <w:keepLines w:val="0"/>
              <w:pageBreakBefore w:val="0"/>
              <w:kinsoku/>
              <w:wordWrap/>
              <w:overflowPunct/>
              <w:topLinePunct w:val="0"/>
              <w:autoSpaceDE/>
              <w:autoSpaceDN/>
              <w:bidi w:val="0"/>
              <w:ind w:left="0" w:right="0"/>
              <w:jc w:val="center"/>
              <w:textAlignment w:val="auto"/>
              <w:rPr>
                <w:rFonts w:ascii="Times New Roman" w:hAnsi="Times New Roman" w:cs="Times New Roman"/>
                <w:b/>
                <w:bCs/>
                <w:color w:val="auto"/>
                <w:sz w:val="21"/>
                <w:szCs w:val="21"/>
                <w:highlight w:val="none"/>
              </w:rPr>
            </w:pPr>
            <w:r>
              <w:rPr>
                <w:rFonts w:ascii="Times New Roman" w:hAnsi="Times New Roman" w:cs="Times New Roman"/>
                <w:b/>
                <w:bCs/>
                <w:color w:val="auto"/>
                <w:sz w:val="21"/>
                <w:szCs w:val="21"/>
                <w:highlight w:val="none"/>
              </w:rPr>
              <w:t>项目名称</w:t>
            </w:r>
          </w:p>
        </w:tc>
        <w:tc>
          <w:tcPr>
            <w:tcW w:w="12785" w:type="dxa"/>
            <w:gridSpan w:val="10"/>
            <w:shd w:val="clear" w:color="auto" w:fill="auto"/>
            <w:vAlign w:val="center"/>
          </w:tcPr>
          <w:p w14:paraId="64F41CB2">
            <w:pPr>
              <w:keepNext w:val="0"/>
              <w:keepLines w:val="0"/>
              <w:pageBreakBefore w:val="0"/>
              <w:kinsoku/>
              <w:wordWrap/>
              <w:overflowPunct/>
              <w:topLinePunct w:val="0"/>
              <w:autoSpaceDE/>
              <w:autoSpaceDN/>
              <w:bidi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化药化工（无锡）有限公司年产剥离液800t项目</w:t>
            </w:r>
          </w:p>
        </w:tc>
      </w:tr>
      <w:tr w14:paraId="3147E478">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677" w:type="dxa"/>
            <w:shd w:val="clear" w:color="auto" w:fill="auto"/>
            <w:vAlign w:val="center"/>
          </w:tcPr>
          <w:p w14:paraId="267CB347">
            <w:pPr>
              <w:keepNext w:val="0"/>
              <w:keepLines w:val="0"/>
              <w:pageBreakBefore w:val="0"/>
              <w:kinsoku/>
              <w:wordWrap/>
              <w:overflowPunct/>
              <w:topLinePunct w:val="0"/>
              <w:autoSpaceDE/>
              <w:autoSpaceDN/>
              <w:bidi w:val="0"/>
              <w:ind w:left="0" w:right="0"/>
              <w:jc w:val="center"/>
              <w:textAlignment w:val="auto"/>
              <w:rPr>
                <w:rFonts w:ascii="Times New Roman" w:hAnsi="Times New Roman" w:cs="Times New Roman"/>
                <w:b/>
                <w:bCs/>
                <w:color w:val="auto"/>
                <w:sz w:val="21"/>
                <w:szCs w:val="21"/>
                <w:highlight w:val="none"/>
              </w:rPr>
            </w:pPr>
            <w:r>
              <w:rPr>
                <w:rFonts w:ascii="Times New Roman" w:hAnsi="Times New Roman" w:cs="Times New Roman"/>
                <w:b/>
                <w:bCs/>
                <w:color w:val="auto"/>
                <w:sz w:val="21"/>
                <w:szCs w:val="21"/>
                <w:highlight w:val="none"/>
              </w:rPr>
              <w:t>类型</w:t>
            </w:r>
          </w:p>
        </w:tc>
        <w:tc>
          <w:tcPr>
            <w:tcW w:w="1443" w:type="dxa"/>
            <w:gridSpan w:val="2"/>
            <w:shd w:val="clear" w:color="auto" w:fill="auto"/>
            <w:vAlign w:val="center"/>
          </w:tcPr>
          <w:p w14:paraId="22F6543F">
            <w:pPr>
              <w:keepNext w:val="0"/>
              <w:keepLines w:val="0"/>
              <w:pageBreakBefore w:val="0"/>
              <w:kinsoku/>
              <w:wordWrap/>
              <w:overflowPunct/>
              <w:topLinePunct w:val="0"/>
              <w:autoSpaceDE/>
              <w:autoSpaceDN/>
              <w:bidi w:val="0"/>
              <w:ind w:left="0" w:right="0"/>
              <w:jc w:val="center"/>
              <w:textAlignment w:val="auto"/>
              <w:rPr>
                <w:rFonts w:ascii="Times New Roman" w:hAnsi="Times New Roman" w:cs="Times New Roman"/>
                <w:b/>
                <w:bCs/>
                <w:color w:val="auto"/>
                <w:sz w:val="21"/>
                <w:szCs w:val="21"/>
                <w:highlight w:val="none"/>
              </w:rPr>
            </w:pPr>
            <w:r>
              <w:rPr>
                <w:rFonts w:ascii="Times New Roman" w:hAnsi="Times New Roman" w:cs="Times New Roman"/>
                <w:b/>
                <w:bCs/>
                <w:color w:val="auto"/>
                <w:sz w:val="21"/>
                <w:szCs w:val="21"/>
                <w:highlight w:val="none"/>
              </w:rPr>
              <w:t>污染源</w:t>
            </w:r>
          </w:p>
        </w:tc>
        <w:tc>
          <w:tcPr>
            <w:tcW w:w="1399" w:type="dxa"/>
            <w:shd w:val="clear" w:color="auto" w:fill="auto"/>
            <w:vAlign w:val="center"/>
          </w:tcPr>
          <w:p w14:paraId="27065CBE">
            <w:pPr>
              <w:keepNext w:val="0"/>
              <w:keepLines w:val="0"/>
              <w:pageBreakBefore w:val="0"/>
              <w:kinsoku/>
              <w:wordWrap/>
              <w:overflowPunct/>
              <w:topLinePunct w:val="0"/>
              <w:autoSpaceDE/>
              <w:autoSpaceDN/>
              <w:bidi w:val="0"/>
              <w:ind w:left="0" w:right="0"/>
              <w:jc w:val="center"/>
              <w:textAlignment w:val="auto"/>
              <w:rPr>
                <w:rFonts w:ascii="Times New Roman" w:hAnsi="Times New Roman" w:cs="Times New Roman"/>
                <w:b/>
                <w:bCs/>
                <w:color w:val="auto"/>
                <w:sz w:val="21"/>
                <w:szCs w:val="21"/>
                <w:highlight w:val="none"/>
              </w:rPr>
            </w:pPr>
            <w:r>
              <w:rPr>
                <w:rFonts w:ascii="Times New Roman" w:hAnsi="Times New Roman" w:cs="Times New Roman"/>
                <w:b/>
                <w:bCs/>
                <w:color w:val="auto"/>
                <w:sz w:val="21"/>
                <w:szCs w:val="21"/>
                <w:highlight w:val="none"/>
              </w:rPr>
              <w:t>主要污染物</w:t>
            </w:r>
          </w:p>
        </w:tc>
        <w:tc>
          <w:tcPr>
            <w:tcW w:w="1391" w:type="dxa"/>
            <w:shd w:val="clear" w:color="auto" w:fill="auto"/>
            <w:vAlign w:val="center"/>
          </w:tcPr>
          <w:p w14:paraId="428E9D8A">
            <w:pPr>
              <w:keepNext w:val="0"/>
              <w:keepLines w:val="0"/>
              <w:pageBreakBefore w:val="0"/>
              <w:kinsoku/>
              <w:wordWrap/>
              <w:overflowPunct/>
              <w:topLinePunct w:val="0"/>
              <w:autoSpaceDE/>
              <w:autoSpaceDN/>
              <w:bidi w:val="0"/>
              <w:ind w:left="0" w:right="0"/>
              <w:jc w:val="center"/>
              <w:textAlignment w:val="auto"/>
              <w:rPr>
                <w:rFonts w:ascii="Times New Roman" w:hAnsi="Times New Roman" w:cs="Times New Roman"/>
                <w:b/>
                <w:bCs/>
                <w:color w:val="auto"/>
                <w:sz w:val="21"/>
                <w:szCs w:val="21"/>
                <w:highlight w:val="none"/>
              </w:rPr>
            </w:pPr>
            <w:r>
              <w:rPr>
                <w:rFonts w:ascii="Times New Roman" w:hAnsi="Times New Roman" w:cs="Times New Roman"/>
                <w:b/>
                <w:bCs/>
                <w:color w:val="auto"/>
                <w:sz w:val="21"/>
                <w:szCs w:val="21"/>
                <w:highlight w:val="none"/>
              </w:rPr>
              <w:t>验收监测内容</w:t>
            </w:r>
          </w:p>
        </w:tc>
        <w:tc>
          <w:tcPr>
            <w:tcW w:w="1470" w:type="dxa"/>
            <w:shd w:val="clear" w:color="auto" w:fill="auto"/>
            <w:vAlign w:val="center"/>
          </w:tcPr>
          <w:p w14:paraId="47033FFA">
            <w:pPr>
              <w:keepNext w:val="0"/>
              <w:keepLines w:val="0"/>
              <w:pageBreakBefore w:val="0"/>
              <w:kinsoku/>
              <w:wordWrap/>
              <w:overflowPunct/>
              <w:topLinePunct w:val="0"/>
              <w:autoSpaceDE/>
              <w:autoSpaceDN/>
              <w:bidi w:val="0"/>
              <w:ind w:left="0" w:right="0"/>
              <w:jc w:val="center"/>
              <w:textAlignment w:val="auto"/>
              <w:rPr>
                <w:rFonts w:ascii="Times New Roman" w:hAnsi="Times New Roman" w:cs="Times New Roman"/>
                <w:b/>
                <w:bCs/>
                <w:color w:val="auto"/>
                <w:sz w:val="21"/>
                <w:szCs w:val="21"/>
                <w:highlight w:val="none"/>
              </w:rPr>
            </w:pPr>
            <w:r>
              <w:rPr>
                <w:rFonts w:ascii="Times New Roman" w:hAnsi="Times New Roman" w:cs="Times New Roman"/>
                <w:b/>
                <w:bCs/>
                <w:color w:val="auto"/>
                <w:sz w:val="21"/>
                <w:szCs w:val="21"/>
                <w:highlight w:val="none"/>
              </w:rPr>
              <w:t>环保设施名称</w:t>
            </w:r>
          </w:p>
        </w:tc>
        <w:tc>
          <w:tcPr>
            <w:tcW w:w="825" w:type="dxa"/>
            <w:shd w:val="clear" w:color="auto" w:fill="auto"/>
            <w:vAlign w:val="center"/>
          </w:tcPr>
          <w:p w14:paraId="601666C4">
            <w:pPr>
              <w:keepNext w:val="0"/>
              <w:keepLines w:val="0"/>
              <w:pageBreakBefore w:val="0"/>
              <w:kinsoku/>
              <w:wordWrap/>
              <w:overflowPunct/>
              <w:topLinePunct w:val="0"/>
              <w:autoSpaceDE/>
              <w:autoSpaceDN/>
              <w:bidi w:val="0"/>
              <w:ind w:left="0" w:right="0"/>
              <w:jc w:val="center"/>
              <w:textAlignment w:val="auto"/>
              <w:rPr>
                <w:rFonts w:ascii="Times New Roman" w:hAnsi="Times New Roman" w:cs="Times New Roman"/>
                <w:b/>
                <w:bCs/>
                <w:color w:val="auto"/>
                <w:sz w:val="21"/>
                <w:szCs w:val="21"/>
                <w:highlight w:val="none"/>
              </w:rPr>
            </w:pPr>
            <w:r>
              <w:rPr>
                <w:rFonts w:ascii="Times New Roman" w:hAnsi="Times New Roman" w:cs="Times New Roman"/>
                <w:b/>
                <w:bCs/>
                <w:color w:val="auto"/>
                <w:sz w:val="21"/>
                <w:szCs w:val="21"/>
                <w:highlight w:val="none"/>
              </w:rPr>
              <w:t>台/套</w:t>
            </w:r>
          </w:p>
        </w:tc>
        <w:tc>
          <w:tcPr>
            <w:tcW w:w="1695" w:type="dxa"/>
            <w:shd w:val="clear" w:color="auto" w:fill="auto"/>
            <w:vAlign w:val="center"/>
          </w:tcPr>
          <w:p w14:paraId="0878F05D">
            <w:pPr>
              <w:keepNext w:val="0"/>
              <w:keepLines w:val="0"/>
              <w:pageBreakBefore w:val="0"/>
              <w:kinsoku/>
              <w:wordWrap/>
              <w:overflowPunct/>
              <w:topLinePunct w:val="0"/>
              <w:autoSpaceDE/>
              <w:autoSpaceDN/>
              <w:bidi w:val="0"/>
              <w:ind w:left="0" w:right="0"/>
              <w:jc w:val="center"/>
              <w:textAlignment w:val="auto"/>
              <w:rPr>
                <w:rFonts w:ascii="Times New Roman" w:hAnsi="Times New Roman" w:cs="Times New Roman"/>
                <w:b/>
                <w:bCs/>
                <w:color w:val="auto"/>
                <w:sz w:val="21"/>
                <w:szCs w:val="21"/>
                <w:highlight w:val="none"/>
              </w:rPr>
            </w:pPr>
            <w:r>
              <w:rPr>
                <w:rFonts w:ascii="Times New Roman" w:hAnsi="Times New Roman" w:cs="Times New Roman"/>
                <w:b/>
                <w:bCs/>
                <w:color w:val="auto"/>
                <w:sz w:val="21"/>
                <w:szCs w:val="21"/>
                <w:highlight w:val="none"/>
              </w:rPr>
              <w:t>设计处理能力</w:t>
            </w:r>
          </w:p>
        </w:tc>
        <w:tc>
          <w:tcPr>
            <w:tcW w:w="1020" w:type="dxa"/>
            <w:shd w:val="clear" w:color="auto" w:fill="auto"/>
            <w:vAlign w:val="center"/>
          </w:tcPr>
          <w:p w14:paraId="15613AEA">
            <w:pPr>
              <w:keepNext w:val="0"/>
              <w:keepLines w:val="0"/>
              <w:pageBreakBefore w:val="0"/>
              <w:kinsoku/>
              <w:wordWrap/>
              <w:overflowPunct/>
              <w:topLinePunct w:val="0"/>
              <w:autoSpaceDE/>
              <w:autoSpaceDN/>
              <w:bidi w:val="0"/>
              <w:ind w:left="0" w:right="0"/>
              <w:jc w:val="center"/>
              <w:textAlignment w:val="auto"/>
              <w:rPr>
                <w:rFonts w:ascii="Times New Roman" w:hAnsi="Times New Roman" w:cs="Times New Roman"/>
                <w:b/>
                <w:bCs/>
                <w:color w:val="auto"/>
                <w:sz w:val="21"/>
                <w:szCs w:val="21"/>
                <w:highlight w:val="none"/>
              </w:rPr>
            </w:pPr>
            <w:r>
              <w:rPr>
                <w:rFonts w:ascii="Times New Roman" w:hAnsi="Times New Roman" w:cs="Times New Roman"/>
                <w:b/>
                <w:bCs/>
                <w:color w:val="auto"/>
                <w:sz w:val="21"/>
                <w:szCs w:val="21"/>
                <w:highlight w:val="none"/>
              </w:rPr>
              <w:t>环保投资(万元)</w:t>
            </w:r>
          </w:p>
        </w:tc>
        <w:tc>
          <w:tcPr>
            <w:tcW w:w="2906" w:type="dxa"/>
            <w:shd w:val="clear" w:color="auto" w:fill="auto"/>
            <w:vAlign w:val="center"/>
          </w:tcPr>
          <w:p w14:paraId="37783CD4">
            <w:pPr>
              <w:keepNext w:val="0"/>
              <w:keepLines w:val="0"/>
              <w:pageBreakBefore w:val="0"/>
              <w:kinsoku/>
              <w:wordWrap/>
              <w:overflowPunct/>
              <w:topLinePunct w:val="0"/>
              <w:autoSpaceDE/>
              <w:autoSpaceDN/>
              <w:bidi w:val="0"/>
              <w:ind w:left="0" w:right="0"/>
              <w:jc w:val="center"/>
              <w:textAlignment w:val="auto"/>
              <w:rPr>
                <w:rFonts w:ascii="Times New Roman" w:hAnsi="Times New Roman" w:cs="Times New Roman"/>
                <w:b/>
                <w:bCs/>
                <w:color w:val="auto"/>
                <w:sz w:val="21"/>
                <w:szCs w:val="21"/>
                <w:highlight w:val="none"/>
              </w:rPr>
            </w:pPr>
            <w:r>
              <w:rPr>
                <w:rFonts w:ascii="Times New Roman" w:hAnsi="Times New Roman" w:cs="Times New Roman"/>
                <w:b/>
                <w:bCs/>
                <w:color w:val="auto"/>
                <w:sz w:val="21"/>
                <w:szCs w:val="21"/>
                <w:highlight w:val="none"/>
              </w:rPr>
              <w:t>预期效果</w:t>
            </w:r>
          </w:p>
        </w:tc>
        <w:tc>
          <w:tcPr>
            <w:tcW w:w="636" w:type="dxa"/>
            <w:shd w:val="clear" w:color="auto" w:fill="auto"/>
            <w:vAlign w:val="center"/>
          </w:tcPr>
          <w:p w14:paraId="1089C5A9">
            <w:pPr>
              <w:keepNext w:val="0"/>
              <w:keepLines w:val="0"/>
              <w:pageBreakBefore w:val="0"/>
              <w:kinsoku/>
              <w:wordWrap/>
              <w:overflowPunct/>
              <w:topLinePunct w:val="0"/>
              <w:autoSpaceDE/>
              <w:autoSpaceDN/>
              <w:bidi w:val="0"/>
              <w:ind w:left="0" w:right="0"/>
              <w:jc w:val="center"/>
              <w:textAlignment w:val="auto"/>
              <w:rPr>
                <w:rFonts w:ascii="Times New Roman" w:hAnsi="Times New Roman" w:cs="Times New Roman"/>
                <w:b/>
                <w:bCs/>
                <w:color w:val="auto"/>
                <w:sz w:val="21"/>
                <w:szCs w:val="21"/>
                <w:highlight w:val="none"/>
              </w:rPr>
            </w:pPr>
            <w:r>
              <w:rPr>
                <w:rFonts w:ascii="Times New Roman" w:hAnsi="Times New Roman" w:cs="Times New Roman"/>
                <w:b/>
                <w:bCs/>
                <w:color w:val="auto"/>
                <w:sz w:val="21"/>
                <w:szCs w:val="21"/>
                <w:highlight w:val="none"/>
              </w:rPr>
              <w:t>进度</w:t>
            </w:r>
          </w:p>
        </w:tc>
      </w:tr>
      <w:tr w14:paraId="1BAE2736">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677" w:type="dxa"/>
            <w:vMerge w:val="restart"/>
            <w:shd w:val="clear" w:color="auto" w:fill="auto"/>
            <w:vAlign w:val="center"/>
          </w:tcPr>
          <w:p w14:paraId="6D8241ED">
            <w:pPr>
              <w:keepNext w:val="0"/>
              <w:keepLines w:val="0"/>
              <w:pageBreakBefore w:val="0"/>
              <w:kinsoku/>
              <w:wordWrap/>
              <w:overflowPunct/>
              <w:topLinePunct w:val="0"/>
              <w:autoSpaceDE/>
              <w:autoSpaceDN/>
              <w:bidi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废气</w:t>
            </w:r>
          </w:p>
        </w:tc>
        <w:tc>
          <w:tcPr>
            <w:tcW w:w="528" w:type="dxa"/>
            <w:vMerge w:val="restart"/>
            <w:shd w:val="clear" w:color="auto" w:fill="auto"/>
            <w:vAlign w:val="center"/>
          </w:tcPr>
          <w:p w14:paraId="4E9BEC35">
            <w:pPr>
              <w:keepNext w:val="0"/>
              <w:keepLines w:val="0"/>
              <w:pageBreakBefore w:val="0"/>
              <w:kinsoku/>
              <w:wordWrap/>
              <w:overflowPunct/>
              <w:topLinePunct w:val="0"/>
              <w:autoSpaceDE/>
              <w:autoSpaceDN/>
              <w:bidi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有组织</w:t>
            </w:r>
          </w:p>
        </w:tc>
        <w:tc>
          <w:tcPr>
            <w:tcW w:w="915" w:type="dxa"/>
            <w:shd w:val="clear" w:color="auto" w:fill="auto"/>
            <w:vAlign w:val="center"/>
          </w:tcPr>
          <w:p w14:paraId="49DDAD11">
            <w:pPr>
              <w:keepNext w:val="0"/>
              <w:keepLines w:val="0"/>
              <w:pageBreakBefore w:val="0"/>
              <w:kinsoku/>
              <w:wordWrap/>
              <w:overflowPunct/>
              <w:topLinePunct w:val="0"/>
              <w:autoSpaceDE/>
              <w:autoSpaceDN/>
              <w:bidi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混合、收缸废气</w:t>
            </w:r>
          </w:p>
        </w:tc>
        <w:tc>
          <w:tcPr>
            <w:tcW w:w="1399" w:type="dxa"/>
            <w:shd w:val="clear" w:color="auto" w:fill="auto"/>
            <w:vAlign w:val="center"/>
          </w:tcPr>
          <w:p w14:paraId="3680C5E1">
            <w:pPr>
              <w:pStyle w:val="240"/>
              <w:keepNext w:val="0"/>
              <w:keepLines w:val="0"/>
              <w:pageBreakBefore w:val="0"/>
              <w:kinsoku/>
              <w:wordWrap/>
              <w:overflowPunct/>
              <w:topLinePunct w:val="0"/>
              <w:autoSpaceDE/>
              <w:autoSpaceDN/>
              <w:bidi w:val="0"/>
              <w:adjustRightInd w:val="0"/>
              <w:snapToGrid w:val="0"/>
              <w:ind w:left="0" w:right="0"/>
              <w:textAlignment w:val="auto"/>
              <w:rPr>
                <w:rFonts w:ascii="Times New Roman" w:hAnsi="Times New Roman"/>
                <w:color w:val="auto"/>
                <w:highlight w:val="none"/>
              </w:rPr>
            </w:pPr>
            <w:r>
              <w:rPr>
                <w:rFonts w:ascii="Times New Roman" w:hAnsi="Times New Roman"/>
                <w:color w:val="auto"/>
                <w:highlight w:val="none"/>
              </w:rPr>
              <w:t>非甲烷总烃</w:t>
            </w:r>
          </w:p>
        </w:tc>
        <w:tc>
          <w:tcPr>
            <w:tcW w:w="1391" w:type="dxa"/>
            <w:vMerge w:val="restart"/>
            <w:shd w:val="clear" w:color="auto" w:fill="auto"/>
            <w:vAlign w:val="center"/>
          </w:tcPr>
          <w:p w14:paraId="6954B31C">
            <w:pPr>
              <w:keepNext w:val="0"/>
              <w:keepLines w:val="0"/>
              <w:pageBreakBefore w:val="0"/>
              <w:kinsoku/>
              <w:wordWrap/>
              <w:overflowPunct/>
              <w:topLinePunct w:val="0"/>
              <w:autoSpaceDE/>
              <w:autoSpaceDN/>
              <w:bidi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烟气流速、烟气温度、氧含量、烟气含湿量</w:t>
            </w:r>
          </w:p>
        </w:tc>
        <w:tc>
          <w:tcPr>
            <w:tcW w:w="1470" w:type="dxa"/>
            <w:tcBorders>
              <w:bottom w:val="single" w:color="auto" w:sz="4" w:space="0"/>
            </w:tcBorders>
            <w:shd w:val="clear" w:color="auto" w:fill="auto"/>
            <w:vAlign w:val="center"/>
          </w:tcPr>
          <w:p w14:paraId="56B912FD">
            <w:pPr>
              <w:keepNext w:val="0"/>
              <w:keepLines w:val="0"/>
              <w:pageBreakBefore w:val="0"/>
              <w:kinsoku/>
              <w:wordWrap/>
              <w:overflowPunct/>
              <w:topLinePunct w:val="0"/>
              <w:autoSpaceDE/>
              <w:autoSpaceDN/>
              <w:bidi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3级碱液喷淋+二级活性炭吸附，20米高排气筒DA005</w:t>
            </w:r>
          </w:p>
        </w:tc>
        <w:tc>
          <w:tcPr>
            <w:tcW w:w="825" w:type="dxa"/>
            <w:tcBorders>
              <w:bottom w:val="single" w:color="auto" w:sz="4" w:space="0"/>
            </w:tcBorders>
            <w:shd w:val="clear" w:color="auto" w:fill="auto"/>
            <w:vAlign w:val="center"/>
          </w:tcPr>
          <w:p w14:paraId="7B5D0881">
            <w:pPr>
              <w:keepNext w:val="0"/>
              <w:keepLines w:val="0"/>
              <w:pageBreakBefore w:val="0"/>
              <w:kinsoku/>
              <w:wordWrap/>
              <w:overflowPunct/>
              <w:topLinePunct w:val="0"/>
              <w:autoSpaceDE/>
              <w:autoSpaceDN/>
              <w:bidi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1</w:t>
            </w:r>
          </w:p>
        </w:tc>
        <w:tc>
          <w:tcPr>
            <w:tcW w:w="1695" w:type="dxa"/>
            <w:tcBorders>
              <w:bottom w:val="single" w:color="auto" w:sz="4" w:space="0"/>
            </w:tcBorders>
            <w:shd w:val="clear" w:color="auto" w:fill="auto"/>
            <w:vAlign w:val="center"/>
          </w:tcPr>
          <w:p w14:paraId="1A2CDE4B">
            <w:pPr>
              <w:keepNext w:val="0"/>
              <w:keepLines w:val="0"/>
              <w:pageBreakBefore w:val="0"/>
              <w:kinsoku/>
              <w:wordWrap/>
              <w:overflowPunct/>
              <w:topLinePunct w:val="0"/>
              <w:autoSpaceDE/>
              <w:autoSpaceDN/>
              <w:bidi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设计风量20000m</w:t>
            </w:r>
            <w:r>
              <w:rPr>
                <w:rFonts w:ascii="Times New Roman" w:hAnsi="Times New Roman" w:cs="Times New Roman"/>
                <w:color w:val="auto"/>
                <w:sz w:val="21"/>
                <w:szCs w:val="21"/>
                <w:highlight w:val="none"/>
                <w:vertAlign w:val="superscript"/>
              </w:rPr>
              <w:t>3</w:t>
            </w:r>
            <w:r>
              <w:rPr>
                <w:rFonts w:ascii="Times New Roman" w:hAnsi="Times New Roman" w:cs="Times New Roman"/>
                <w:color w:val="auto"/>
                <w:sz w:val="21"/>
                <w:szCs w:val="21"/>
                <w:highlight w:val="none"/>
              </w:rPr>
              <w:t>/h，收集率</w:t>
            </w:r>
            <w:r>
              <w:rPr>
                <w:rFonts w:hint="eastAsia" w:ascii="Times New Roman" w:hAnsi="Times New Roman" w:cs="Times New Roman"/>
                <w:color w:val="auto"/>
                <w:sz w:val="21"/>
                <w:szCs w:val="21"/>
                <w:highlight w:val="none"/>
                <w:lang w:val="en-US" w:eastAsia="zh-CN"/>
              </w:rPr>
              <w:t>98</w:t>
            </w:r>
            <w:r>
              <w:rPr>
                <w:rFonts w:ascii="Times New Roman" w:hAnsi="Times New Roman" w:cs="Times New Roman"/>
                <w:color w:val="auto"/>
                <w:sz w:val="21"/>
                <w:szCs w:val="21"/>
                <w:highlight w:val="none"/>
              </w:rPr>
              <w:t>%，处理率90%</w:t>
            </w:r>
          </w:p>
        </w:tc>
        <w:tc>
          <w:tcPr>
            <w:tcW w:w="1020" w:type="dxa"/>
            <w:tcBorders>
              <w:bottom w:val="single" w:color="auto" w:sz="4" w:space="0"/>
            </w:tcBorders>
            <w:shd w:val="clear" w:color="auto" w:fill="auto"/>
            <w:vAlign w:val="center"/>
          </w:tcPr>
          <w:p w14:paraId="57031166">
            <w:pPr>
              <w:keepNext w:val="0"/>
              <w:keepLines w:val="0"/>
              <w:pageBreakBefore w:val="0"/>
              <w:kinsoku/>
              <w:wordWrap/>
              <w:overflowPunct/>
              <w:topLinePunct w:val="0"/>
              <w:autoSpaceDE/>
              <w:autoSpaceDN/>
              <w:bidi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5</w:t>
            </w:r>
          </w:p>
        </w:tc>
        <w:tc>
          <w:tcPr>
            <w:tcW w:w="2906" w:type="dxa"/>
            <w:vMerge w:val="restart"/>
            <w:shd w:val="clear" w:color="auto" w:fill="auto"/>
            <w:vAlign w:val="center"/>
          </w:tcPr>
          <w:p w14:paraId="19C7A4E5">
            <w:pPr>
              <w:keepNext w:val="0"/>
              <w:keepLines w:val="0"/>
              <w:pageBreakBefore w:val="0"/>
              <w:kinsoku/>
              <w:wordWrap/>
              <w:overflowPunct/>
              <w:topLinePunct w:val="0"/>
              <w:autoSpaceDE/>
              <w:autoSpaceDN/>
              <w:bidi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非甲烷总烃执行《大气污染物综合排放标准》（DB32/4041-2021）表1标准限值</w:t>
            </w:r>
          </w:p>
        </w:tc>
        <w:tc>
          <w:tcPr>
            <w:tcW w:w="636" w:type="dxa"/>
            <w:vMerge w:val="restart"/>
            <w:shd w:val="clear" w:color="auto" w:fill="auto"/>
            <w:vAlign w:val="center"/>
          </w:tcPr>
          <w:p w14:paraId="219236B1">
            <w:pPr>
              <w:keepNext w:val="0"/>
              <w:keepLines w:val="0"/>
              <w:pageBreakBefore w:val="0"/>
              <w:kinsoku/>
              <w:wordWrap/>
              <w:overflowPunct/>
              <w:topLinePunct w:val="0"/>
              <w:autoSpaceDE/>
              <w:autoSpaceDN/>
              <w:bidi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与建设项目主体工程同时设计、同时开工、同时建成运行</w:t>
            </w:r>
          </w:p>
        </w:tc>
      </w:tr>
      <w:tr w14:paraId="38ED6C08">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677" w:type="dxa"/>
            <w:vMerge w:val="continue"/>
            <w:vAlign w:val="center"/>
          </w:tcPr>
          <w:p w14:paraId="11F926FB">
            <w:pPr>
              <w:keepNext w:val="0"/>
              <w:keepLines w:val="0"/>
              <w:pageBreakBefore w:val="0"/>
              <w:kinsoku/>
              <w:wordWrap/>
              <w:overflowPunct/>
              <w:topLinePunct w:val="0"/>
              <w:autoSpaceDE/>
              <w:autoSpaceDN/>
              <w:bidi w:val="0"/>
              <w:ind w:left="0" w:right="0"/>
              <w:textAlignment w:val="auto"/>
              <w:rPr>
                <w:rFonts w:ascii="Times New Roman" w:hAnsi="Times New Roman" w:cs="Times New Roman"/>
                <w:color w:val="auto"/>
                <w:sz w:val="21"/>
                <w:szCs w:val="21"/>
                <w:highlight w:val="none"/>
              </w:rPr>
            </w:pPr>
          </w:p>
        </w:tc>
        <w:tc>
          <w:tcPr>
            <w:tcW w:w="528" w:type="dxa"/>
            <w:vMerge w:val="continue"/>
            <w:vAlign w:val="center"/>
          </w:tcPr>
          <w:p w14:paraId="5BD72EDB">
            <w:pPr>
              <w:keepNext w:val="0"/>
              <w:keepLines w:val="0"/>
              <w:pageBreakBefore w:val="0"/>
              <w:kinsoku/>
              <w:wordWrap/>
              <w:overflowPunct/>
              <w:topLinePunct w:val="0"/>
              <w:autoSpaceDE/>
              <w:autoSpaceDN/>
              <w:bidi w:val="0"/>
              <w:ind w:left="0" w:right="0"/>
              <w:textAlignment w:val="auto"/>
              <w:rPr>
                <w:rFonts w:ascii="Times New Roman" w:hAnsi="Times New Roman" w:cs="Times New Roman"/>
                <w:color w:val="auto"/>
                <w:sz w:val="21"/>
                <w:szCs w:val="21"/>
                <w:highlight w:val="none"/>
              </w:rPr>
            </w:pPr>
          </w:p>
        </w:tc>
        <w:tc>
          <w:tcPr>
            <w:tcW w:w="915" w:type="dxa"/>
            <w:shd w:val="clear" w:color="auto" w:fill="auto"/>
            <w:vAlign w:val="center"/>
          </w:tcPr>
          <w:p w14:paraId="14C37719">
            <w:pPr>
              <w:keepNext w:val="0"/>
              <w:keepLines w:val="0"/>
              <w:pageBreakBefore w:val="0"/>
              <w:kinsoku/>
              <w:wordWrap/>
              <w:overflowPunct/>
              <w:topLinePunct w:val="0"/>
              <w:autoSpaceDE/>
              <w:autoSpaceDN/>
              <w:bidi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实验废气</w:t>
            </w:r>
          </w:p>
        </w:tc>
        <w:tc>
          <w:tcPr>
            <w:tcW w:w="1399" w:type="dxa"/>
            <w:shd w:val="clear" w:color="auto" w:fill="auto"/>
            <w:vAlign w:val="center"/>
          </w:tcPr>
          <w:p w14:paraId="550174A1">
            <w:pPr>
              <w:pStyle w:val="240"/>
              <w:keepNext w:val="0"/>
              <w:keepLines w:val="0"/>
              <w:pageBreakBefore w:val="0"/>
              <w:kinsoku/>
              <w:wordWrap/>
              <w:overflowPunct/>
              <w:topLinePunct w:val="0"/>
              <w:autoSpaceDE/>
              <w:autoSpaceDN/>
              <w:bidi w:val="0"/>
              <w:adjustRightInd w:val="0"/>
              <w:snapToGrid w:val="0"/>
              <w:ind w:left="0" w:right="0"/>
              <w:textAlignment w:val="auto"/>
              <w:rPr>
                <w:rFonts w:hint="default" w:ascii="Times New Roman" w:hAnsi="Times New Roman" w:eastAsia="宋体"/>
                <w:color w:val="auto"/>
                <w:highlight w:val="none"/>
                <w:lang w:val="en-US" w:eastAsia="zh-CN"/>
              </w:rPr>
            </w:pPr>
            <w:r>
              <w:rPr>
                <w:rFonts w:ascii="Times New Roman" w:hAnsi="Times New Roman"/>
                <w:color w:val="auto"/>
                <w:highlight w:val="none"/>
              </w:rPr>
              <w:t>非甲烷总烃</w:t>
            </w:r>
            <w:r>
              <w:rPr>
                <w:rFonts w:hint="eastAsia" w:ascii="Times New Roman" w:hAnsi="Times New Roman"/>
                <w:color w:val="auto"/>
                <w:highlight w:val="none"/>
                <w:lang w:eastAsia="zh-CN"/>
              </w:rPr>
              <w:t>、</w:t>
            </w:r>
            <w:r>
              <w:rPr>
                <w:rFonts w:hint="eastAsia" w:ascii="Times New Roman" w:hAnsi="Times New Roman"/>
                <w:color w:val="auto"/>
                <w:highlight w:val="none"/>
                <w:lang w:val="en-US" w:eastAsia="zh-CN"/>
              </w:rPr>
              <w:t>氮氧化物</w:t>
            </w:r>
          </w:p>
        </w:tc>
        <w:tc>
          <w:tcPr>
            <w:tcW w:w="1391" w:type="dxa"/>
            <w:vMerge w:val="continue"/>
            <w:vAlign w:val="center"/>
          </w:tcPr>
          <w:p w14:paraId="38B982CB">
            <w:pPr>
              <w:keepNext w:val="0"/>
              <w:keepLines w:val="0"/>
              <w:pageBreakBefore w:val="0"/>
              <w:kinsoku/>
              <w:wordWrap/>
              <w:overflowPunct/>
              <w:topLinePunct w:val="0"/>
              <w:autoSpaceDE/>
              <w:autoSpaceDN/>
              <w:bidi w:val="0"/>
              <w:ind w:left="0" w:right="0"/>
              <w:textAlignment w:val="auto"/>
              <w:rPr>
                <w:rFonts w:ascii="Times New Roman" w:hAnsi="Times New Roman" w:cs="Times New Roman"/>
                <w:color w:val="auto"/>
                <w:sz w:val="21"/>
                <w:szCs w:val="21"/>
                <w:highlight w:val="none"/>
              </w:rPr>
            </w:pPr>
          </w:p>
        </w:tc>
        <w:tc>
          <w:tcPr>
            <w:tcW w:w="1470" w:type="dxa"/>
            <w:tcBorders>
              <w:top w:val="single" w:color="auto" w:sz="4" w:space="0"/>
            </w:tcBorders>
            <w:vAlign w:val="center"/>
          </w:tcPr>
          <w:p w14:paraId="49E40210">
            <w:pPr>
              <w:keepNext w:val="0"/>
              <w:keepLines w:val="0"/>
              <w:pageBreakBefore w:val="0"/>
              <w:kinsoku/>
              <w:wordWrap/>
              <w:overflowPunct/>
              <w:topLinePunct w:val="0"/>
              <w:autoSpaceDE/>
              <w:autoSpaceDN/>
              <w:bidi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二级活性炭吸附，15米高排气筒DA006</w:t>
            </w:r>
          </w:p>
        </w:tc>
        <w:tc>
          <w:tcPr>
            <w:tcW w:w="825" w:type="dxa"/>
            <w:tcBorders>
              <w:top w:val="single" w:color="auto" w:sz="4" w:space="0"/>
            </w:tcBorders>
            <w:vAlign w:val="center"/>
          </w:tcPr>
          <w:p w14:paraId="544189E4">
            <w:pPr>
              <w:keepNext w:val="0"/>
              <w:keepLines w:val="0"/>
              <w:pageBreakBefore w:val="0"/>
              <w:kinsoku/>
              <w:wordWrap/>
              <w:overflowPunct/>
              <w:topLinePunct w:val="0"/>
              <w:autoSpaceDE/>
              <w:autoSpaceDN/>
              <w:bidi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2</w:t>
            </w:r>
          </w:p>
        </w:tc>
        <w:tc>
          <w:tcPr>
            <w:tcW w:w="1695" w:type="dxa"/>
            <w:tcBorders>
              <w:top w:val="single" w:color="auto" w:sz="4" w:space="0"/>
            </w:tcBorders>
            <w:vAlign w:val="center"/>
          </w:tcPr>
          <w:p w14:paraId="37B6A1CE">
            <w:pPr>
              <w:keepNext w:val="0"/>
              <w:keepLines w:val="0"/>
              <w:pageBreakBefore w:val="0"/>
              <w:kinsoku/>
              <w:wordWrap/>
              <w:overflowPunct/>
              <w:topLinePunct w:val="0"/>
              <w:autoSpaceDE/>
              <w:autoSpaceDN/>
              <w:bidi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设计风量</w:t>
            </w:r>
            <w:r>
              <w:rPr>
                <w:rFonts w:hint="eastAsia" w:ascii="Times New Roman" w:hAnsi="Times New Roman" w:cs="Times New Roman"/>
                <w:color w:val="auto"/>
                <w:sz w:val="21"/>
                <w:szCs w:val="21"/>
                <w:highlight w:val="none"/>
                <w:lang w:val="en-US" w:eastAsia="zh-CN"/>
              </w:rPr>
              <w:t>40</w:t>
            </w:r>
            <w:r>
              <w:rPr>
                <w:rFonts w:ascii="Times New Roman" w:hAnsi="Times New Roman" w:cs="Times New Roman"/>
                <w:color w:val="auto"/>
                <w:sz w:val="21"/>
                <w:szCs w:val="21"/>
                <w:highlight w:val="none"/>
              </w:rPr>
              <w:t>00m</w:t>
            </w:r>
            <w:r>
              <w:rPr>
                <w:rFonts w:ascii="Times New Roman" w:hAnsi="Times New Roman" w:cs="Times New Roman"/>
                <w:color w:val="auto"/>
                <w:sz w:val="21"/>
                <w:szCs w:val="21"/>
                <w:highlight w:val="none"/>
                <w:vertAlign w:val="superscript"/>
              </w:rPr>
              <w:t>3</w:t>
            </w:r>
            <w:r>
              <w:rPr>
                <w:rFonts w:ascii="Times New Roman" w:hAnsi="Times New Roman" w:cs="Times New Roman"/>
                <w:color w:val="auto"/>
                <w:sz w:val="21"/>
                <w:szCs w:val="21"/>
                <w:highlight w:val="none"/>
              </w:rPr>
              <w:t>/h</w:t>
            </w:r>
            <w:r>
              <w:rPr>
                <w:rFonts w:hint="eastAsia" w:ascii="Times New Roman" w:hAnsi="Times New Roman" w:cs="Times New Roman"/>
                <w:color w:val="auto"/>
                <w:sz w:val="21"/>
                <w:szCs w:val="21"/>
                <w:highlight w:val="none"/>
                <w:lang w:eastAsia="zh-CN"/>
              </w:rPr>
              <w:t>、</w:t>
            </w:r>
            <w:r>
              <w:rPr>
                <w:rFonts w:hint="eastAsia" w:ascii="Times New Roman" w:hAnsi="Times New Roman" w:cs="Times New Roman"/>
                <w:color w:val="auto"/>
                <w:sz w:val="21"/>
                <w:szCs w:val="21"/>
                <w:highlight w:val="none"/>
                <w:lang w:val="en-US" w:eastAsia="zh-CN"/>
              </w:rPr>
              <w:t>1800m</w:t>
            </w:r>
            <w:r>
              <w:rPr>
                <w:rFonts w:hint="eastAsia" w:ascii="Times New Roman" w:hAnsi="Times New Roman" w:cs="Times New Roman"/>
                <w:color w:val="auto"/>
                <w:sz w:val="21"/>
                <w:szCs w:val="21"/>
                <w:highlight w:val="none"/>
                <w:vertAlign w:val="superscript"/>
                <w:lang w:val="en-US" w:eastAsia="zh-CN"/>
              </w:rPr>
              <w:t>3</w:t>
            </w:r>
            <w:r>
              <w:rPr>
                <w:rFonts w:hint="eastAsia" w:ascii="Times New Roman" w:hAnsi="Times New Roman" w:cs="Times New Roman"/>
                <w:color w:val="auto"/>
                <w:sz w:val="21"/>
                <w:szCs w:val="21"/>
                <w:highlight w:val="none"/>
                <w:vertAlign w:val="baseline"/>
                <w:lang w:val="en-US" w:eastAsia="zh-CN"/>
              </w:rPr>
              <w:t>/h</w:t>
            </w:r>
            <w:r>
              <w:rPr>
                <w:rFonts w:ascii="Times New Roman" w:hAnsi="Times New Roman" w:cs="Times New Roman"/>
                <w:color w:val="auto"/>
                <w:sz w:val="21"/>
                <w:szCs w:val="21"/>
                <w:highlight w:val="none"/>
              </w:rPr>
              <w:t>，收集率</w:t>
            </w:r>
            <w:r>
              <w:rPr>
                <w:rFonts w:hint="eastAsia" w:ascii="Times New Roman" w:hAnsi="Times New Roman" w:cs="Times New Roman"/>
                <w:color w:val="auto"/>
                <w:sz w:val="21"/>
                <w:szCs w:val="21"/>
                <w:highlight w:val="none"/>
                <w:lang w:val="en-US" w:eastAsia="zh-CN"/>
              </w:rPr>
              <w:t>90</w:t>
            </w:r>
            <w:r>
              <w:rPr>
                <w:rFonts w:ascii="Times New Roman" w:hAnsi="Times New Roman" w:cs="Times New Roman"/>
                <w:color w:val="auto"/>
                <w:sz w:val="21"/>
                <w:szCs w:val="21"/>
                <w:highlight w:val="none"/>
              </w:rPr>
              <w:t>%</w:t>
            </w:r>
            <w:r>
              <w:rPr>
                <w:rFonts w:hint="eastAsia" w:ascii="Times New Roman" w:hAnsi="Times New Roman" w:cs="Times New Roman"/>
                <w:color w:val="auto"/>
                <w:sz w:val="21"/>
                <w:szCs w:val="21"/>
                <w:highlight w:val="none"/>
                <w:lang w:eastAsia="zh-CN"/>
              </w:rPr>
              <w:t>、</w:t>
            </w:r>
            <w:r>
              <w:rPr>
                <w:rFonts w:hint="eastAsia" w:ascii="Times New Roman" w:hAnsi="Times New Roman" w:cs="Times New Roman"/>
                <w:color w:val="auto"/>
                <w:sz w:val="21"/>
                <w:szCs w:val="21"/>
                <w:highlight w:val="none"/>
                <w:lang w:val="en-US" w:eastAsia="zh-CN"/>
              </w:rPr>
              <w:t>100%</w:t>
            </w:r>
            <w:r>
              <w:rPr>
                <w:rFonts w:ascii="Times New Roman" w:hAnsi="Times New Roman" w:cs="Times New Roman"/>
                <w:color w:val="auto"/>
                <w:sz w:val="21"/>
                <w:szCs w:val="21"/>
                <w:highlight w:val="none"/>
              </w:rPr>
              <w:t>，处理率90%</w:t>
            </w:r>
          </w:p>
        </w:tc>
        <w:tc>
          <w:tcPr>
            <w:tcW w:w="1020" w:type="dxa"/>
            <w:tcBorders>
              <w:top w:val="single" w:color="auto" w:sz="4" w:space="0"/>
            </w:tcBorders>
            <w:vAlign w:val="center"/>
          </w:tcPr>
          <w:p w14:paraId="64CBE8D2">
            <w:pPr>
              <w:keepNext w:val="0"/>
              <w:keepLines w:val="0"/>
              <w:pageBreakBefore w:val="0"/>
              <w:kinsoku/>
              <w:wordWrap/>
              <w:overflowPunct/>
              <w:topLinePunct w:val="0"/>
              <w:autoSpaceDE/>
              <w:autoSpaceDN/>
              <w:bidi w:val="0"/>
              <w:ind w:left="0" w:right="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10</w:t>
            </w:r>
          </w:p>
        </w:tc>
        <w:tc>
          <w:tcPr>
            <w:tcW w:w="2906" w:type="dxa"/>
            <w:vMerge w:val="continue"/>
            <w:vAlign w:val="center"/>
          </w:tcPr>
          <w:p w14:paraId="4BA002FF">
            <w:pPr>
              <w:keepNext w:val="0"/>
              <w:keepLines w:val="0"/>
              <w:pageBreakBefore w:val="0"/>
              <w:kinsoku/>
              <w:wordWrap/>
              <w:overflowPunct/>
              <w:topLinePunct w:val="0"/>
              <w:autoSpaceDE/>
              <w:autoSpaceDN/>
              <w:bidi w:val="0"/>
              <w:ind w:left="0" w:right="0"/>
              <w:textAlignment w:val="auto"/>
              <w:rPr>
                <w:rFonts w:ascii="Times New Roman" w:hAnsi="Times New Roman" w:cs="Times New Roman"/>
                <w:color w:val="auto"/>
                <w:sz w:val="21"/>
                <w:szCs w:val="21"/>
                <w:highlight w:val="none"/>
              </w:rPr>
            </w:pPr>
          </w:p>
        </w:tc>
        <w:tc>
          <w:tcPr>
            <w:tcW w:w="636" w:type="dxa"/>
            <w:vMerge w:val="continue"/>
            <w:vAlign w:val="center"/>
          </w:tcPr>
          <w:p w14:paraId="2FF61155">
            <w:pPr>
              <w:keepNext w:val="0"/>
              <w:keepLines w:val="0"/>
              <w:pageBreakBefore w:val="0"/>
              <w:kinsoku/>
              <w:wordWrap/>
              <w:overflowPunct/>
              <w:topLinePunct w:val="0"/>
              <w:autoSpaceDE/>
              <w:autoSpaceDN/>
              <w:bidi w:val="0"/>
              <w:ind w:left="0" w:right="0"/>
              <w:textAlignment w:val="auto"/>
              <w:rPr>
                <w:rFonts w:ascii="Times New Roman" w:hAnsi="Times New Roman" w:cs="Times New Roman"/>
                <w:color w:val="auto"/>
                <w:sz w:val="21"/>
                <w:szCs w:val="21"/>
                <w:highlight w:val="none"/>
              </w:rPr>
            </w:pPr>
          </w:p>
        </w:tc>
      </w:tr>
      <w:tr w14:paraId="19E81E91">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677" w:type="dxa"/>
            <w:vMerge w:val="continue"/>
            <w:vAlign w:val="center"/>
          </w:tcPr>
          <w:p w14:paraId="47EC3AF2">
            <w:pPr>
              <w:keepNext w:val="0"/>
              <w:keepLines w:val="0"/>
              <w:pageBreakBefore w:val="0"/>
              <w:kinsoku/>
              <w:wordWrap/>
              <w:overflowPunct/>
              <w:topLinePunct w:val="0"/>
              <w:autoSpaceDE/>
              <w:autoSpaceDN/>
              <w:bidi w:val="0"/>
              <w:ind w:left="0" w:right="0"/>
              <w:textAlignment w:val="auto"/>
              <w:rPr>
                <w:rFonts w:ascii="Times New Roman" w:hAnsi="Times New Roman" w:cs="Times New Roman"/>
                <w:color w:val="auto"/>
                <w:sz w:val="21"/>
                <w:szCs w:val="21"/>
                <w:highlight w:val="none"/>
              </w:rPr>
            </w:pPr>
          </w:p>
        </w:tc>
        <w:tc>
          <w:tcPr>
            <w:tcW w:w="528" w:type="dxa"/>
            <w:vMerge w:val="restart"/>
            <w:shd w:val="clear" w:color="auto" w:fill="auto"/>
            <w:vAlign w:val="center"/>
          </w:tcPr>
          <w:p w14:paraId="39F03D93">
            <w:pPr>
              <w:keepNext w:val="0"/>
              <w:keepLines w:val="0"/>
              <w:pageBreakBefore w:val="0"/>
              <w:kinsoku/>
              <w:wordWrap/>
              <w:overflowPunct/>
              <w:topLinePunct w:val="0"/>
              <w:autoSpaceDE/>
              <w:autoSpaceDN/>
              <w:bidi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无组织</w:t>
            </w:r>
          </w:p>
        </w:tc>
        <w:tc>
          <w:tcPr>
            <w:tcW w:w="915" w:type="dxa"/>
            <w:shd w:val="clear" w:color="auto" w:fill="auto"/>
            <w:vAlign w:val="center"/>
          </w:tcPr>
          <w:p w14:paraId="1AF4884F">
            <w:pPr>
              <w:keepNext w:val="0"/>
              <w:keepLines w:val="0"/>
              <w:pageBreakBefore w:val="0"/>
              <w:kinsoku/>
              <w:wordWrap/>
              <w:overflowPunct/>
              <w:topLinePunct w:val="0"/>
              <w:autoSpaceDE/>
              <w:autoSpaceDN/>
              <w:bidi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混合、收缸废气</w:t>
            </w:r>
          </w:p>
        </w:tc>
        <w:tc>
          <w:tcPr>
            <w:tcW w:w="1399" w:type="dxa"/>
            <w:shd w:val="clear" w:color="auto" w:fill="auto"/>
            <w:vAlign w:val="center"/>
          </w:tcPr>
          <w:p w14:paraId="36F4FB63">
            <w:pPr>
              <w:pStyle w:val="240"/>
              <w:keepNext w:val="0"/>
              <w:keepLines w:val="0"/>
              <w:pageBreakBefore w:val="0"/>
              <w:kinsoku/>
              <w:wordWrap/>
              <w:overflowPunct/>
              <w:topLinePunct w:val="0"/>
              <w:autoSpaceDE/>
              <w:autoSpaceDN/>
              <w:bidi w:val="0"/>
              <w:adjustRightInd w:val="0"/>
              <w:snapToGrid w:val="0"/>
              <w:ind w:left="0" w:right="0"/>
              <w:textAlignment w:val="auto"/>
              <w:rPr>
                <w:rFonts w:ascii="Times New Roman" w:hAnsi="Times New Roman"/>
                <w:color w:val="auto"/>
                <w:highlight w:val="none"/>
              </w:rPr>
            </w:pPr>
            <w:r>
              <w:rPr>
                <w:rFonts w:ascii="Times New Roman" w:hAnsi="Times New Roman"/>
                <w:color w:val="auto"/>
                <w:highlight w:val="none"/>
              </w:rPr>
              <w:t>非甲烷总烃</w:t>
            </w:r>
          </w:p>
        </w:tc>
        <w:tc>
          <w:tcPr>
            <w:tcW w:w="1391" w:type="dxa"/>
            <w:vMerge w:val="restart"/>
            <w:shd w:val="clear" w:color="auto" w:fill="auto"/>
            <w:vAlign w:val="center"/>
          </w:tcPr>
          <w:p w14:paraId="3A03BDFE">
            <w:pPr>
              <w:keepNext w:val="0"/>
              <w:keepLines w:val="0"/>
              <w:pageBreakBefore w:val="0"/>
              <w:kinsoku/>
              <w:wordWrap/>
              <w:overflowPunct/>
              <w:topLinePunct w:val="0"/>
              <w:autoSpaceDE/>
              <w:autoSpaceDN/>
              <w:bidi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温度、湿度、风速、风向</w:t>
            </w:r>
          </w:p>
        </w:tc>
        <w:tc>
          <w:tcPr>
            <w:tcW w:w="1470" w:type="dxa"/>
            <w:shd w:val="clear" w:color="auto" w:fill="auto"/>
            <w:vAlign w:val="center"/>
          </w:tcPr>
          <w:p w14:paraId="126B1E1C">
            <w:pPr>
              <w:keepNext w:val="0"/>
              <w:keepLines w:val="0"/>
              <w:pageBreakBefore w:val="0"/>
              <w:kinsoku/>
              <w:wordWrap/>
              <w:overflowPunct/>
              <w:topLinePunct w:val="0"/>
              <w:autoSpaceDE/>
              <w:autoSpaceDN/>
              <w:bidi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加强通风</w:t>
            </w:r>
          </w:p>
        </w:tc>
        <w:tc>
          <w:tcPr>
            <w:tcW w:w="825" w:type="dxa"/>
            <w:shd w:val="clear" w:color="auto" w:fill="auto"/>
            <w:vAlign w:val="center"/>
          </w:tcPr>
          <w:p w14:paraId="10EE5078">
            <w:pPr>
              <w:keepNext w:val="0"/>
              <w:keepLines w:val="0"/>
              <w:pageBreakBefore w:val="0"/>
              <w:kinsoku/>
              <w:wordWrap/>
              <w:overflowPunct/>
              <w:topLinePunct w:val="0"/>
              <w:autoSpaceDE/>
              <w:autoSpaceDN/>
              <w:bidi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w:t>
            </w:r>
          </w:p>
        </w:tc>
        <w:tc>
          <w:tcPr>
            <w:tcW w:w="1695" w:type="dxa"/>
            <w:shd w:val="clear" w:color="auto" w:fill="auto"/>
            <w:vAlign w:val="center"/>
          </w:tcPr>
          <w:p w14:paraId="3426EC16">
            <w:pPr>
              <w:keepNext w:val="0"/>
              <w:keepLines w:val="0"/>
              <w:pageBreakBefore w:val="0"/>
              <w:kinsoku/>
              <w:wordWrap/>
              <w:overflowPunct/>
              <w:topLinePunct w:val="0"/>
              <w:autoSpaceDE/>
              <w:autoSpaceDN/>
              <w:bidi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w:t>
            </w:r>
          </w:p>
        </w:tc>
        <w:tc>
          <w:tcPr>
            <w:tcW w:w="1020" w:type="dxa"/>
            <w:shd w:val="clear" w:color="auto" w:fill="auto"/>
            <w:vAlign w:val="center"/>
          </w:tcPr>
          <w:p w14:paraId="0D628ABB">
            <w:pPr>
              <w:keepNext w:val="0"/>
              <w:keepLines w:val="0"/>
              <w:pageBreakBefore w:val="0"/>
              <w:kinsoku/>
              <w:wordWrap/>
              <w:overflowPunct/>
              <w:topLinePunct w:val="0"/>
              <w:autoSpaceDE/>
              <w:autoSpaceDN/>
              <w:bidi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w:t>
            </w:r>
          </w:p>
        </w:tc>
        <w:tc>
          <w:tcPr>
            <w:tcW w:w="2906" w:type="dxa"/>
            <w:vMerge w:val="restart"/>
            <w:shd w:val="clear" w:color="auto" w:fill="auto"/>
            <w:vAlign w:val="center"/>
          </w:tcPr>
          <w:p w14:paraId="2376ED70">
            <w:pPr>
              <w:keepNext w:val="0"/>
              <w:keepLines w:val="0"/>
              <w:pageBreakBefore w:val="0"/>
              <w:kinsoku/>
              <w:wordWrap/>
              <w:overflowPunct/>
              <w:topLinePunct w:val="0"/>
              <w:autoSpaceDE/>
              <w:autoSpaceDN/>
              <w:bidi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厂界达到《大气污染物综合排放标准》（DB32/4041-2021)表3中标准；厂区内挥发性有机物执行《大气污染物综合排放标准》（DB32/4041-2021)表2中标准限值要求</w:t>
            </w:r>
          </w:p>
        </w:tc>
        <w:tc>
          <w:tcPr>
            <w:tcW w:w="636" w:type="dxa"/>
            <w:vMerge w:val="continue"/>
            <w:vAlign w:val="center"/>
          </w:tcPr>
          <w:p w14:paraId="6DB0EDFA">
            <w:pPr>
              <w:keepNext w:val="0"/>
              <w:keepLines w:val="0"/>
              <w:pageBreakBefore w:val="0"/>
              <w:kinsoku/>
              <w:wordWrap/>
              <w:overflowPunct/>
              <w:topLinePunct w:val="0"/>
              <w:autoSpaceDE/>
              <w:autoSpaceDN/>
              <w:bidi w:val="0"/>
              <w:ind w:left="0" w:right="0"/>
              <w:textAlignment w:val="auto"/>
              <w:rPr>
                <w:rFonts w:ascii="Times New Roman" w:hAnsi="Times New Roman" w:cs="Times New Roman"/>
                <w:color w:val="auto"/>
                <w:sz w:val="21"/>
                <w:szCs w:val="21"/>
                <w:highlight w:val="none"/>
              </w:rPr>
            </w:pPr>
          </w:p>
        </w:tc>
      </w:tr>
      <w:tr w14:paraId="62626746">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PrEx>
        <w:trPr>
          <w:trHeight w:val="340" w:hRule="atLeast"/>
        </w:trPr>
        <w:tc>
          <w:tcPr>
            <w:tcW w:w="677" w:type="dxa"/>
            <w:vMerge w:val="continue"/>
            <w:vAlign w:val="center"/>
          </w:tcPr>
          <w:p w14:paraId="0E3943B0">
            <w:pPr>
              <w:keepNext w:val="0"/>
              <w:keepLines w:val="0"/>
              <w:pageBreakBefore w:val="0"/>
              <w:kinsoku/>
              <w:wordWrap/>
              <w:overflowPunct/>
              <w:topLinePunct w:val="0"/>
              <w:autoSpaceDE/>
              <w:autoSpaceDN/>
              <w:bidi w:val="0"/>
              <w:ind w:left="0" w:right="0"/>
              <w:textAlignment w:val="auto"/>
              <w:rPr>
                <w:rFonts w:ascii="Times New Roman" w:hAnsi="Times New Roman" w:cs="Times New Roman"/>
                <w:color w:val="auto"/>
                <w:sz w:val="21"/>
                <w:szCs w:val="21"/>
                <w:highlight w:val="none"/>
              </w:rPr>
            </w:pPr>
          </w:p>
        </w:tc>
        <w:tc>
          <w:tcPr>
            <w:tcW w:w="528" w:type="dxa"/>
            <w:vMerge w:val="continue"/>
            <w:vAlign w:val="center"/>
          </w:tcPr>
          <w:p w14:paraId="4BC9D4E6">
            <w:pPr>
              <w:keepNext w:val="0"/>
              <w:keepLines w:val="0"/>
              <w:pageBreakBefore w:val="0"/>
              <w:kinsoku/>
              <w:wordWrap/>
              <w:overflowPunct/>
              <w:topLinePunct w:val="0"/>
              <w:autoSpaceDE/>
              <w:autoSpaceDN/>
              <w:bidi w:val="0"/>
              <w:ind w:left="0" w:right="0"/>
              <w:textAlignment w:val="auto"/>
              <w:rPr>
                <w:rFonts w:ascii="Times New Roman" w:hAnsi="Times New Roman" w:cs="Times New Roman"/>
                <w:color w:val="auto"/>
                <w:sz w:val="21"/>
                <w:szCs w:val="21"/>
                <w:highlight w:val="none"/>
              </w:rPr>
            </w:pPr>
          </w:p>
        </w:tc>
        <w:tc>
          <w:tcPr>
            <w:tcW w:w="915" w:type="dxa"/>
            <w:shd w:val="clear" w:color="auto" w:fill="auto"/>
            <w:vAlign w:val="center"/>
          </w:tcPr>
          <w:p w14:paraId="2DF9C346">
            <w:pPr>
              <w:keepNext w:val="0"/>
              <w:keepLines w:val="0"/>
              <w:pageBreakBefore w:val="0"/>
              <w:kinsoku/>
              <w:wordWrap/>
              <w:overflowPunct/>
              <w:topLinePunct w:val="0"/>
              <w:autoSpaceDE/>
              <w:autoSpaceDN/>
              <w:bidi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实验废气</w:t>
            </w:r>
          </w:p>
        </w:tc>
        <w:tc>
          <w:tcPr>
            <w:tcW w:w="1399" w:type="dxa"/>
            <w:shd w:val="clear" w:color="auto" w:fill="auto"/>
            <w:vAlign w:val="center"/>
          </w:tcPr>
          <w:p w14:paraId="3E3851F6">
            <w:pPr>
              <w:pStyle w:val="240"/>
              <w:keepNext w:val="0"/>
              <w:keepLines w:val="0"/>
              <w:pageBreakBefore w:val="0"/>
              <w:kinsoku/>
              <w:wordWrap/>
              <w:overflowPunct/>
              <w:topLinePunct w:val="0"/>
              <w:autoSpaceDE/>
              <w:autoSpaceDN/>
              <w:bidi w:val="0"/>
              <w:adjustRightInd w:val="0"/>
              <w:snapToGrid w:val="0"/>
              <w:ind w:left="0" w:right="0"/>
              <w:textAlignment w:val="auto"/>
              <w:rPr>
                <w:rFonts w:hint="default" w:ascii="Times New Roman" w:hAnsi="Times New Roman" w:eastAsia="宋体"/>
                <w:color w:val="auto"/>
                <w:highlight w:val="none"/>
                <w:lang w:val="en-US" w:eastAsia="zh-CN"/>
              </w:rPr>
            </w:pPr>
            <w:r>
              <w:rPr>
                <w:rFonts w:ascii="Times New Roman" w:hAnsi="Times New Roman"/>
                <w:color w:val="auto"/>
                <w:highlight w:val="none"/>
              </w:rPr>
              <w:t>非甲烷总烃（含甲醇）</w:t>
            </w:r>
            <w:r>
              <w:rPr>
                <w:rFonts w:hint="eastAsia" w:ascii="Times New Roman" w:hAnsi="Times New Roman"/>
                <w:color w:val="auto"/>
                <w:highlight w:val="none"/>
                <w:lang w:eastAsia="zh-CN"/>
              </w:rPr>
              <w:t>、</w:t>
            </w:r>
            <w:r>
              <w:rPr>
                <w:rFonts w:hint="eastAsia" w:ascii="Times New Roman" w:hAnsi="Times New Roman"/>
                <w:color w:val="auto"/>
                <w:highlight w:val="none"/>
                <w:lang w:val="en-US" w:eastAsia="zh-CN"/>
              </w:rPr>
              <w:t>氮氧化物、甲醇</w:t>
            </w:r>
          </w:p>
        </w:tc>
        <w:tc>
          <w:tcPr>
            <w:tcW w:w="1391" w:type="dxa"/>
            <w:vMerge w:val="continue"/>
            <w:vAlign w:val="center"/>
          </w:tcPr>
          <w:p w14:paraId="48D2C911">
            <w:pPr>
              <w:keepNext w:val="0"/>
              <w:keepLines w:val="0"/>
              <w:pageBreakBefore w:val="0"/>
              <w:kinsoku/>
              <w:wordWrap/>
              <w:overflowPunct/>
              <w:topLinePunct w:val="0"/>
              <w:autoSpaceDE/>
              <w:autoSpaceDN/>
              <w:bidi w:val="0"/>
              <w:ind w:left="0" w:right="0"/>
              <w:textAlignment w:val="auto"/>
              <w:rPr>
                <w:rFonts w:ascii="Times New Roman" w:hAnsi="Times New Roman" w:cs="Times New Roman"/>
                <w:color w:val="auto"/>
                <w:sz w:val="21"/>
                <w:szCs w:val="21"/>
                <w:highlight w:val="none"/>
              </w:rPr>
            </w:pPr>
          </w:p>
        </w:tc>
        <w:tc>
          <w:tcPr>
            <w:tcW w:w="1470" w:type="dxa"/>
            <w:shd w:val="clear" w:color="auto" w:fill="auto"/>
            <w:vAlign w:val="center"/>
          </w:tcPr>
          <w:p w14:paraId="5959EA8A">
            <w:pPr>
              <w:keepNext w:val="0"/>
              <w:keepLines w:val="0"/>
              <w:pageBreakBefore w:val="0"/>
              <w:kinsoku/>
              <w:wordWrap/>
              <w:overflowPunct/>
              <w:topLinePunct w:val="0"/>
              <w:autoSpaceDE/>
              <w:autoSpaceDN/>
              <w:bidi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加强通风</w:t>
            </w:r>
          </w:p>
        </w:tc>
        <w:tc>
          <w:tcPr>
            <w:tcW w:w="825" w:type="dxa"/>
            <w:shd w:val="clear" w:color="auto" w:fill="auto"/>
            <w:vAlign w:val="center"/>
          </w:tcPr>
          <w:p w14:paraId="7230F44B">
            <w:pPr>
              <w:keepNext w:val="0"/>
              <w:keepLines w:val="0"/>
              <w:pageBreakBefore w:val="0"/>
              <w:kinsoku/>
              <w:wordWrap/>
              <w:overflowPunct/>
              <w:topLinePunct w:val="0"/>
              <w:autoSpaceDE/>
              <w:autoSpaceDN/>
              <w:bidi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w:t>
            </w:r>
          </w:p>
        </w:tc>
        <w:tc>
          <w:tcPr>
            <w:tcW w:w="1695" w:type="dxa"/>
            <w:shd w:val="clear" w:color="auto" w:fill="auto"/>
            <w:vAlign w:val="center"/>
          </w:tcPr>
          <w:p w14:paraId="173041F3">
            <w:pPr>
              <w:keepNext w:val="0"/>
              <w:keepLines w:val="0"/>
              <w:pageBreakBefore w:val="0"/>
              <w:kinsoku/>
              <w:wordWrap/>
              <w:overflowPunct/>
              <w:topLinePunct w:val="0"/>
              <w:autoSpaceDE/>
              <w:autoSpaceDN/>
              <w:bidi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w:t>
            </w:r>
          </w:p>
        </w:tc>
        <w:tc>
          <w:tcPr>
            <w:tcW w:w="1020" w:type="dxa"/>
            <w:shd w:val="clear" w:color="auto" w:fill="auto"/>
            <w:vAlign w:val="center"/>
          </w:tcPr>
          <w:p w14:paraId="0BD48235">
            <w:pPr>
              <w:keepNext w:val="0"/>
              <w:keepLines w:val="0"/>
              <w:pageBreakBefore w:val="0"/>
              <w:kinsoku/>
              <w:wordWrap/>
              <w:overflowPunct/>
              <w:topLinePunct w:val="0"/>
              <w:autoSpaceDE/>
              <w:autoSpaceDN/>
              <w:bidi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w:t>
            </w:r>
          </w:p>
        </w:tc>
        <w:tc>
          <w:tcPr>
            <w:tcW w:w="2906" w:type="dxa"/>
            <w:vMerge w:val="continue"/>
            <w:vAlign w:val="center"/>
          </w:tcPr>
          <w:p w14:paraId="68AEC30A">
            <w:pPr>
              <w:keepNext w:val="0"/>
              <w:keepLines w:val="0"/>
              <w:pageBreakBefore w:val="0"/>
              <w:kinsoku/>
              <w:wordWrap/>
              <w:overflowPunct/>
              <w:topLinePunct w:val="0"/>
              <w:autoSpaceDE/>
              <w:autoSpaceDN/>
              <w:bidi w:val="0"/>
              <w:ind w:left="0" w:right="0"/>
              <w:textAlignment w:val="auto"/>
              <w:rPr>
                <w:rFonts w:ascii="Times New Roman" w:hAnsi="Times New Roman" w:cs="Times New Roman"/>
                <w:color w:val="auto"/>
                <w:sz w:val="21"/>
                <w:szCs w:val="21"/>
                <w:highlight w:val="none"/>
              </w:rPr>
            </w:pPr>
          </w:p>
        </w:tc>
        <w:tc>
          <w:tcPr>
            <w:tcW w:w="636" w:type="dxa"/>
            <w:vMerge w:val="continue"/>
            <w:vAlign w:val="center"/>
          </w:tcPr>
          <w:p w14:paraId="46CA539E">
            <w:pPr>
              <w:keepNext w:val="0"/>
              <w:keepLines w:val="0"/>
              <w:pageBreakBefore w:val="0"/>
              <w:kinsoku/>
              <w:wordWrap/>
              <w:overflowPunct/>
              <w:topLinePunct w:val="0"/>
              <w:autoSpaceDE/>
              <w:autoSpaceDN/>
              <w:bidi w:val="0"/>
              <w:ind w:left="0" w:right="0"/>
              <w:textAlignment w:val="auto"/>
              <w:rPr>
                <w:rFonts w:ascii="Times New Roman" w:hAnsi="Times New Roman" w:cs="Times New Roman"/>
                <w:color w:val="auto"/>
                <w:sz w:val="21"/>
                <w:szCs w:val="21"/>
                <w:highlight w:val="none"/>
              </w:rPr>
            </w:pPr>
          </w:p>
        </w:tc>
      </w:tr>
      <w:tr w14:paraId="0EC9F858">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PrEx>
        <w:trPr>
          <w:trHeight w:val="340" w:hRule="atLeast"/>
        </w:trPr>
        <w:tc>
          <w:tcPr>
            <w:tcW w:w="677" w:type="dxa"/>
            <w:shd w:val="clear" w:color="auto" w:fill="auto"/>
            <w:vAlign w:val="center"/>
          </w:tcPr>
          <w:p w14:paraId="5E3F9E66">
            <w:pPr>
              <w:keepNext w:val="0"/>
              <w:keepLines w:val="0"/>
              <w:pageBreakBefore w:val="0"/>
              <w:kinsoku/>
              <w:wordWrap/>
              <w:overflowPunct/>
              <w:topLinePunct w:val="0"/>
              <w:autoSpaceDE/>
              <w:autoSpaceDN/>
              <w:bidi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废水</w:t>
            </w:r>
          </w:p>
        </w:tc>
        <w:tc>
          <w:tcPr>
            <w:tcW w:w="1443" w:type="dxa"/>
            <w:gridSpan w:val="2"/>
            <w:shd w:val="clear" w:color="auto" w:fill="auto"/>
            <w:vAlign w:val="center"/>
          </w:tcPr>
          <w:p w14:paraId="5D247093">
            <w:pPr>
              <w:keepNext w:val="0"/>
              <w:keepLines w:val="0"/>
              <w:pageBreakBefore w:val="0"/>
              <w:kinsoku/>
              <w:wordWrap/>
              <w:overflowPunct/>
              <w:topLinePunct w:val="0"/>
              <w:autoSpaceDE/>
              <w:autoSpaceDN/>
              <w:bidi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w:t>
            </w:r>
          </w:p>
        </w:tc>
        <w:tc>
          <w:tcPr>
            <w:tcW w:w="1399" w:type="dxa"/>
            <w:shd w:val="clear" w:color="auto" w:fill="auto"/>
            <w:vAlign w:val="center"/>
          </w:tcPr>
          <w:p w14:paraId="2D10C270">
            <w:pPr>
              <w:keepNext w:val="0"/>
              <w:keepLines w:val="0"/>
              <w:pageBreakBefore w:val="0"/>
              <w:kinsoku/>
              <w:wordWrap/>
              <w:overflowPunct/>
              <w:topLinePunct w:val="0"/>
              <w:autoSpaceDE/>
              <w:autoSpaceDN/>
              <w:bidi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w:t>
            </w:r>
          </w:p>
        </w:tc>
        <w:tc>
          <w:tcPr>
            <w:tcW w:w="1391" w:type="dxa"/>
            <w:shd w:val="clear" w:color="auto" w:fill="auto"/>
            <w:vAlign w:val="center"/>
          </w:tcPr>
          <w:p w14:paraId="2935ABEE">
            <w:pPr>
              <w:keepNext w:val="0"/>
              <w:keepLines w:val="0"/>
              <w:pageBreakBefore w:val="0"/>
              <w:kinsoku/>
              <w:wordWrap/>
              <w:overflowPunct/>
              <w:topLinePunct w:val="0"/>
              <w:autoSpaceDE/>
              <w:autoSpaceDN/>
              <w:bidi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w:t>
            </w:r>
          </w:p>
        </w:tc>
        <w:tc>
          <w:tcPr>
            <w:tcW w:w="1470" w:type="dxa"/>
            <w:shd w:val="clear" w:color="auto" w:fill="auto"/>
            <w:vAlign w:val="center"/>
          </w:tcPr>
          <w:p w14:paraId="1B345066">
            <w:pPr>
              <w:keepNext w:val="0"/>
              <w:keepLines w:val="0"/>
              <w:pageBreakBefore w:val="0"/>
              <w:kinsoku/>
              <w:wordWrap/>
              <w:overflowPunct/>
              <w:topLinePunct w:val="0"/>
              <w:autoSpaceDE/>
              <w:autoSpaceDN/>
              <w:bidi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w:t>
            </w:r>
          </w:p>
        </w:tc>
        <w:tc>
          <w:tcPr>
            <w:tcW w:w="825" w:type="dxa"/>
            <w:shd w:val="clear" w:color="auto" w:fill="auto"/>
            <w:vAlign w:val="center"/>
          </w:tcPr>
          <w:p w14:paraId="786EC1FC">
            <w:pPr>
              <w:keepNext w:val="0"/>
              <w:keepLines w:val="0"/>
              <w:pageBreakBefore w:val="0"/>
              <w:kinsoku/>
              <w:wordWrap/>
              <w:overflowPunct/>
              <w:topLinePunct w:val="0"/>
              <w:autoSpaceDE/>
              <w:autoSpaceDN/>
              <w:bidi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w:t>
            </w:r>
          </w:p>
        </w:tc>
        <w:tc>
          <w:tcPr>
            <w:tcW w:w="1695" w:type="dxa"/>
            <w:shd w:val="clear" w:color="auto" w:fill="auto"/>
            <w:vAlign w:val="center"/>
          </w:tcPr>
          <w:p w14:paraId="6E1DAE89">
            <w:pPr>
              <w:keepNext w:val="0"/>
              <w:keepLines w:val="0"/>
              <w:pageBreakBefore w:val="0"/>
              <w:kinsoku/>
              <w:wordWrap/>
              <w:overflowPunct/>
              <w:topLinePunct w:val="0"/>
              <w:autoSpaceDE/>
              <w:autoSpaceDN/>
              <w:bidi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w:t>
            </w:r>
          </w:p>
        </w:tc>
        <w:tc>
          <w:tcPr>
            <w:tcW w:w="1020" w:type="dxa"/>
            <w:shd w:val="clear" w:color="auto" w:fill="auto"/>
            <w:vAlign w:val="center"/>
          </w:tcPr>
          <w:p w14:paraId="122D675E">
            <w:pPr>
              <w:keepNext w:val="0"/>
              <w:keepLines w:val="0"/>
              <w:pageBreakBefore w:val="0"/>
              <w:kinsoku/>
              <w:wordWrap/>
              <w:overflowPunct/>
              <w:topLinePunct w:val="0"/>
              <w:autoSpaceDE/>
              <w:autoSpaceDN/>
              <w:bidi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w:t>
            </w:r>
          </w:p>
        </w:tc>
        <w:tc>
          <w:tcPr>
            <w:tcW w:w="2906" w:type="dxa"/>
            <w:shd w:val="clear" w:color="auto" w:fill="auto"/>
            <w:vAlign w:val="center"/>
          </w:tcPr>
          <w:p w14:paraId="556B27AD">
            <w:pPr>
              <w:keepNext w:val="0"/>
              <w:keepLines w:val="0"/>
              <w:pageBreakBefore w:val="0"/>
              <w:kinsoku/>
              <w:wordWrap/>
              <w:overflowPunct/>
              <w:topLinePunct w:val="0"/>
              <w:autoSpaceDE/>
              <w:autoSpaceDN/>
              <w:bidi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w:t>
            </w:r>
          </w:p>
        </w:tc>
        <w:tc>
          <w:tcPr>
            <w:tcW w:w="636" w:type="dxa"/>
            <w:vMerge w:val="continue"/>
            <w:vAlign w:val="center"/>
          </w:tcPr>
          <w:p w14:paraId="53D6529D">
            <w:pPr>
              <w:keepNext w:val="0"/>
              <w:keepLines w:val="0"/>
              <w:pageBreakBefore w:val="0"/>
              <w:kinsoku/>
              <w:wordWrap/>
              <w:overflowPunct/>
              <w:topLinePunct w:val="0"/>
              <w:autoSpaceDE/>
              <w:autoSpaceDN/>
              <w:bidi w:val="0"/>
              <w:ind w:left="0" w:right="0"/>
              <w:textAlignment w:val="auto"/>
              <w:rPr>
                <w:rFonts w:ascii="Times New Roman" w:hAnsi="Times New Roman" w:cs="Times New Roman"/>
                <w:color w:val="auto"/>
                <w:sz w:val="21"/>
                <w:szCs w:val="21"/>
                <w:highlight w:val="none"/>
              </w:rPr>
            </w:pPr>
          </w:p>
        </w:tc>
      </w:tr>
      <w:tr w14:paraId="579BAC86">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677" w:type="dxa"/>
            <w:shd w:val="clear" w:color="auto" w:fill="auto"/>
            <w:vAlign w:val="center"/>
          </w:tcPr>
          <w:p w14:paraId="71DB45E1">
            <w:pPr>
              <w:keepNext w:val="0"/>
              <w:keepLines w:val="0"/>
              <w:pageBreakBefore w:val="0"/>
              <w:kinsoku/>
              <w:wordWrap/>
              <w:overflowPunct/>
              <w:topLinePunct w:val="0"/>
              <w:autoSpaceDE/>
              <w:autoSpaceDN/>
              <w:bidi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噪声</w:t>
            </w:r>
          </w:p>
        </w:tc>
        <w:tc>
          <w:tcPr>
            <w:tcW w:w="1443" w:type="dxa"/>
            <w:gridSpan w:val="2"/>
            <w:shd w:val="clear" w:color="auto" w:fill="auto"/>
            <w:vAlign w:val="center"/>
          </w:tcPr>
          <w:p w14:paraId="23853EB8">
            <w:pPr>
              <w:keepNext w:val="0"/>
              <w:keepLines w:val="0"/>
              <w:pageBreakBefore w:val="0"/>
              <w:kinsoku/>
              <w:wordWrap/>
              <w:overflowPunct/>
              <w:topLinePunct w:val="0"/>
              <w:autoSpaceDE/>
              <w:autoSpaceDN/>
              <w:bidi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设备噪声</w:t>
            </w:r>
          </w:p>
        </w:tc>
        <w:tc>
          <w:tcPr>
            <w:tcW w:w="1399" w:type="dxa"/>
            <w:shd w:val="clear" w:color="auto" w:fill="auto"/>
            <w:vAlign w:val="center"/>
          </w:tcPr>
          <w:p w14:paraId="2A2C26F5">
            <w:pPr>
              <w:keepNext w:val="0"/>
              <w:keepLines w:val="0"/>
              <w:pageBreakBefore w:val="0"/>
              <w:kinsoku/>
              <w:wordWrap/>
              <w:overflowPunct/>
              <w:topLinePunct w:val="0"/>
              <w:autoSpaceDE/>
              <w:autoSpaceDN/>
              <w:bidi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噪声</w:t>
            </w:r>
          </w:p>
        </w:tc>
        <w:tc>
          <w:tcPr>
            <w:tcW w:w="2861" w:type="dxa"/>
            <w:gridSpan w:val="2"/>
            <w:shd w:val="clear" w:color="auto" w:fill="auto"/>
            <w:vAlign w:val="center"/>
          </w:tcPr>
          <w:p w14:paraId="11055D16">
            <w:pPr>
              <w:keepNext w:val="0"/>
              <w:keepLines w:val="0"/>
              <w:pageBreakBefore w:val="0"/>
              <w:kinsoku/>
              <w:wordWrap/>
              <w:overflowPunct/>
              <w:topLinePunct w:val="0"/>
              <w:autoSpaceDE/>
              <w:autoSpaceDN/>
              <w:bidi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安装减振垫，风机安装隔声罩，基础减振，距离衰减</w:t>
            </w:r>
          </w:p>
        </w:tc>
        <w:tc>
          <w:tcPr>
            <w:tcW w:w="825" w:type="dxa"/>
            <w:shd w:val="clear" w:color="auto" w:fill="auto"/>
            <w:vAlign w:val="center"/>
          </w:tcPr>
          <w:p w14:paraId="3D7B0126">
            <w:pPr>
              <w:keepNext w:val="0"/>
              <w:keepLines w:val="0"/>
              <w:pageBreakBefore w:val="0"/>
              <w:kinsoku/>
              <w:wordWrap/>
              <w:overflowPunct/>
              <w:topLinePunct w:val="0"/>
              <w:autoSpaceDE/>
              <w:autoSpaceDN/>
              <w:bidi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若干</w:t>
            </w:r>
          </w:p>
        </w:tc>
        <w:tc>
          <w:tcPr>
            <w:tcW w:w="1695" w:type="dxa"/>
            <w:shd w:val="clear" w:color="auto" w:fill="auto"/>
            <w:vAlign w:val="center"/>
          </w:tcPr>
          <w:p w14:paraId="17235759">
            <w:pPr>
              <w:keepNext w:val="0"/>
              <w:keepLines w:val="0"/>
              <w:pageBreakBefore w:val="0"/>
              <w:kinsoku/>
              <w:wordWrap/>
              <w:overflowPunct/>
              <w:topLinePunct w:val="0"/>
              <w:autoSpaceDE/>
              <w:autoSpaceDN/>
              <w:bidi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降噪25dB(A)</w:t>
            </w:r>
          </w:p>
        </w:tc>
        <w:tc>
          <w:tcPr>
            <w:tcW w:w="1020" w:type="dxa"/>
            <w:shd w:val="clear" w:color="auto" w:fill="auto"/>
            <w:vAlign w:val="center"/>
          </w:tcPr>
          <w:p w14:paraId="00E5FAF3">
            <w:pPr>
              <w:keepNext w:val="0"/>
              <w:keepLines w:val="0"/>
              <w:pageBreakBefore w:val="0"/>
              <w:kinsoku/>
              <w:wordWrap/>
              <w:overflowPunct/>
              <w:topLinePunct w:val="0"/>
              <w:autoSpaceDE/>
              <w:autoSpaceDN/>
              <w:bidi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w:t>
            </w:r>
          </w:p>
        </w:tc>
        <w:tc>
          <w:tcPr>
            <w:tcW w:w="2906" w:type="dxa"/>
            <w:shd w:val="clear" w:color="auto" w:fill="auto"/>
            <w:vAlign w:val="center"/>
          </w:tcPr>
          <w:p w14:paraId="30D00710">
            <w:pPr>
              <w:keepNext w:val="0"/>
              <w:keepLines w:val="0"/>
              <w:pageBreakBefore w:val="0"/>
              <w:kinsoku/>
              <w:wordWrap/>
              <w:overflowPunct/>
              <w:topLinePunct w:val="0"/>
              <w:autoSpaceDE/>
              <w:autoSpaceDN/>
              <w:bidi w:val="0"/>
              <w:ind w:left="0" w:right="0"/>
              <w:jc w:val="center"/>
              <w:textAlignment w:val="auto"/>
              <w:rPr>
                <w:rFonts w:ascii="Times New Roman" w:hAnsi="Times New Roman" w:cs="Times New Roman"/>
                <w:color w:val="auto"/>
                <w:sz w:val="21"/>
                <w:szCs w:val="21"/>
                <w:highlight w:val="none"/>
              </w:rPr>
            </w:pPr>
            <w:r>
              <w:rPr>
                <w:rFonts w:hint="eastAsia"/>
                <w:color w:val="auto"/>
                <w:sz w:val="21"/>
                <w:szCs w:val="21"/>
                <w:highlight w:val="none"/>
                <w:lang w:val="en-US" w:eastAsia="zh-CN"/>
              </w:rPr>
              <w:t>厂界噪声</w:t>
            </w:r>
            <w:r>
              <w:rPr>
                <w:rFonts w:ascii="Times New Roman" w:hAnsi="Times New Roman" w:cs="Times New Roman"/>
                <w:color w:val="auto"/>
                <w:sz w:val="21"/>
                <w:szCs w:val="21"/>
                <w:highlight w:val="none"/>
              </w:rPr>
              <w:t>达到《工业企业厂界环境噪声排放标准》(GB12348-2008)中的3类标准</w:t>
            </w:r>
          </w:p>
        </w:tc>
        <w:tc>
          <w:tcPr>
            <w:tcW w:w="636" w:type="dxa"/>
            <w:vMerge w:val="continue"/>
            <w:vAlign w:val="center"/>
          </w:tcPr>
          <w:p w14:paraId="257D0A4F">
            <w:pPr>
              <w:keepNext w:val="0"/>
              <w:keepLines w:val="0"/>
              <w:pageBreakBefore w:val="0"/>
              <w:kinsoku/>
              <w:wordWrap/>
              <w:overflowPunct/>
              <w:topLinePunct w:val="0"/>
              <w:autoSpaceDE/>
              <w:autoSpaceDN/>
              <w:bidi w:val="0"/>
              <w:ind w:left="0" w:right="0"/>
              <w:textAlignment w:val="auto"/>
              <w:rPr>
                <w:rFonts w:ascii="Times New Roman" w:hAnsi="Times New Roman" w:cs="Times New Roman"/>
                <w:color w:val="auto"/>
                <w:sz w:val="21"/>
                <w:szCs w:val="21"/>
                <w:highlight w:val="none"/>
              </w:rPr>
            </w:pPr>
          </w:p>
        </w:tc>
      </w:tr>
      <w:tr w14:paraId="07E0C329">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677" w:type="dxa"/>
            <w:vMerge w:val="restart"/>
            <w:shd w:val="clear" w:color="auto" w:fill="auto"/>
            <w:vAlign w:val="center"/>
          </w:tcPr>
          <w:p w14:paraId="565490A5">
            <w:pPr>
              <w:keepNext w:val="0"/>
              <w:keepLines w:val="0"/>
              <w:pageBreakBefore w:val="0"/>
              <w:kinsoku/>
              <w:wordWrap/>
              <w:overflowPunct/>
              <w:topLinePunct w:val="0"/>
              <w:autoSpaceDE/>
              <w:autoSpaceDN/>
              <w:bidi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固废</w:t>
            </w:r>
          </w:p>
        </w:tc>
        <w:tc>
          <w:tcPr>
            <w:tcW w:w="1443" w:type="dxa"/>
            <w:gridSpan w:val="2"/>
            <w:vMerge w:val="restart"/>
            <w:shd w:val="clear" w:color="auto" w:fill="auto"/>
            <w:vAlign w:val="center"/>
          </w:tcPr>
          <w:p w14:paraId="71F2650C">
            <w:pPr>
              <w:keepNext w:val="0"/>
              <w:keepLines w:val="0"/>
              <w:pageBreakBefore w:val="0"/>
              <w:kinsoku/>
              <w:wordWrap/>
              <w:overflowPunct/>
              <w:topLinePunct w:val="0"/>
              <w:autoSpaceDE/>
              <w:autoSpaceDN/>
              <w:bidi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车间</w:t>
            </w:r>
          </w:p>
        </w:tc>
        <w:tc>
          <w:tcPr>
            <w:tcW w:w="1399" w:type="dxa"/>
            <w:shd w:val="clear" w:color="auto" w:fill="auto"/>
            <w:vAlign w:val="center"/>
          </w:tcPr>
          <w:p w14:paraId="682D78D0">
            <w:pPr>
              <w:keepNext w:val="0"/>
              <w:keepLines w:val="0"/>
              <w:pageBreakBefore w:val="0"/>
              <w:kinsoku/>
              <w:wordWrap/>
              <w:overflowPunct/>
              <w:topLinePunct w:val="0"/>
              <w:autoSpaceDE/>
              <w:autoSpaceDN/>
              <w:bidi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一般工业固废</w:t>
            </w:r>
          </w:p>
        </w:tc>
        <w:tc>
          <w:tcPr>
            <w:tcW w:w="2861" w:type="dxa"/>
            <w:gridSpan w:val="2"/>
            <w:shd w:val="clear" w:color="auto" w:fill="auto"/>
            <w:vAlign w:val="center"/>
          </w:tcPr>
          <w:p w14:paraId="44DFB490">
            <w:pPr>
              <w:keepNext w:val="0"/>
              <w:keepLines w:val="0"/>
              <w:pageBreakBefore w:val="0"/>
              <w:kinsoku/>
              <w:wordWrap/>
              <w:overflowPunct/>
              <w:topLinePunct w:val="0"/>
              <w:autoSpaceDE/>
              <w:autoSpaceDN/>
              <w:bidi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一般固废仓库</w:t>
            </w:r>
          </w:p>
        </w:tc>
        <w:tc>
          <w:tcPr>
            <w:tcW w:w="825" w:type="dxa"/>
            <w:shd w:val="clear" w:color="auto" w:fill="auto"/>
            <w:vAlign w:val="center"/>
          </w:tcPr>
          <w:p w14:paraId="088D5EF2">
            <w:pPr>
              <w:keepNext w:val="0"/>
              <w:keepLines w:val="0"/>
              <w:pageBreakBefore w:val="0"/>
              <w:kinsoku/>
              <w:wordWrap/>
              <w:overflowPunct/>
              <w:topLinePunct w:val="0"/>
              <w:autoSpaceDE/>
              <w:autoSpaceDN/>
              <w:bidi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8m</w:t>
            </w:r>
            <w:r>
              <w:rPr>
                <w:rFonts w:ascii="Times New Roman" w:hAnsi="Times New Roman" w:cs="Times New Roman"/>
                <w:color w:val="auto"/>
                <w:sz w:val="21"/>
                <w:szCs w:val="21"/>
                <w:highlight w:val="none"/>
                <w:vertAlign w:val="superscript"/>
              </w:rPr>
              <w:t>2</w:t>
            </w:r>
          </w:p>
        </w:tc>
        <w:tc>
          <w:tcPr>
            <w:tcW w:w="1695" w:type="dxa"/>
            <w:vMerge w:val="restart"/>
            <w:shd w:val="clear" w:color="auto" w:fill="auto"/>
            <w:vAlign w:val="center"/>
          </w:tcPr>
          <w:p w14:paraId="6F48B6A1">
            <w:pPr>
              <w:keepNext w:val="0"/>
              <w:keepLines w:val="0"/>
              <w:pageBreakBefore w:val="0"/>
              <w:kinsoku/>
              <w:wordWrap/>
              <w:overflowPunct/>
              <w:topLinePunct w:val="0"/>
              <w:autoSpaceDE/>
              <w:autoSpaceDN/>
              <w:bidi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零排放</w:t>
            </w:r>
          </w:p>
        </w:tc>
        <w:tc>
          <w:tcPr>
            <w:tcW w:w="1020" w:type="dxa"/>
            <w:vMerge w:val="restart"/>
            <w:shd w:val="clear" w:color="auto" w:fill="auto"/>
            <w:vAlign w:val="center"/>
          </w:tcPr>
          <w:p w14:paraId="23B96C01">
            <w:pPr>
              <w:keepNext w:val="0"/>
              <w:keepLines w:val="0"/>
              <w:pageBreakBefore w:val="0"/>
              <w:kinsoku/>
              <w:wordWrap/>
              <w:overflowPunct/>
              <w:topLinePunct w:val="0"/>
              <w:autoSpaceDE/>
              <w:autoSpaceDN/>
              <w:bidi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w:t>
            </w:r>
          </w:p>
        </w:tc>
        <w:tc>
          <w:tcPr>
            <w:tcW w:w="2906" w:type="dxa"/>
            <w:vMerge w:val="restart"/>
            <w:shd w:val="clear" w:color="auto" w:fill="auto"/>
            <w:vAlign w:val="center"/>
          </w:tcPr>
          <w:p w14:paraId="3FD45025">
            <w:pPr>
              <w:keepNext w:val="0"/>
              <w:keepLines w:val="0"/>
              <w:pageBreakBefore w:val="0"/>
              <w:kinsoku/>
              <w:wordWrap/>
              <w:overflowPunct/>
              <w:topLinePunct w:val="0"/>
              <w:autoSpaceDE/>
              <w:autoSpaceDN/>
              <w:bidi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固废达到“零排放”，危险固废的暂存场所执行《危险废物贮存污染控制标准》(GB18597-2023)；一般固废的暂存执行一般工业固体废物贮存和填埋污染控制标准（GB18599-2020）</w:t>
            </w:r>
          </w:p>
        </w:tc>
        <w:tc>
          <w:tcPr>
            <w:tcW w:w="636" w:type="dxa"/>
            <w:vMerge w:val="continue"/>
            <w:vAlign w:val="center"/>
          </w:tcPr>
          <w:p w14:paraId="3379A380">
            <w:pPr>
              <w:keepNext w:val="0"/>
              <w:keepLines w:val="0"/>
              <w:pageBreakBefore w:val="0"/>
              <w:kinsoku/>
              <w:wordWrap/>
              <w:overflowPunct/>
              <w:topLinePunct w:val="0"/>
              <w:autoSpaceDE/>
              <w:autoSpaceDN/>
              <w:bidi w:val="0"/>
              <w:ind w:left="0" w:right="0"/>
              <w:textAlignment w:val="auto"/>
              <w:rPr>
                <w:rFonts w:ascii="Times New Roman" w:hAnsi="Times New Roman" w:cs="Times New Roman"/>
                <w:color w:val="auto"/>
                <w:sz w:val="21"/>
                <w:szCs w:val="21"/>
                <w:highlight w:val="none"/>
              </w:rPr>
            </w:pPr>
          </w:p>
        </w:tc>
      </w:tr>
      <w:tr w14:paraId="00BB749D">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453" w:hRule="atLeast"/>
        </w:trPr>
        <w:tc>
          <w:tcPr>
            <w:tcW w:w="677" w:type="dxa"/>
            <w:vMerge w:val="continue"/>
            <w:vAlign w:val="center"/>
          </w:tcPr>
          <w:p w14:paraId="5C721F70">
            <w:pPr>
              <w:keepNext w:val="0"/>
              <w:keepLines w:val="0"/>
              <w:pageBreakBefore w:val="0"/>
              <w:kinsoku/>
              <w:wordWrap/>
              <w:overflowPunct/>
              <w:topLinePunct w:val="0"/>
              <w:autoSpaceDE/>
              <w:autoSpaceDN/>
              <w:bidi w:val="0"/>
              <w:ind w:left="0" w:right="0"/>
              <w:textAlignment w:val="auto"/>
              <w:rPr>
                <w:rFonts w:ascii="Times New Roman" w:hAnsi="Times New Roman" w:cs="Times New Roman"/>
                <w:color w:val="auto"/>
                <w:sz w:val="21"/>
                <w:szCs w:val="21"/>
                <w:highlight w:val="none"/>
              </w:rPr>
            </w:pPr>
          </w:p>
        </w:tc>
        <w:tc>
          <w:tcPr>
            <w:tcW w:w="1443" w:type="dxa"/>
            <w:gridSpan w:val="2"/>
            <w:vMerge w:val="continue"/>
            <w:vAlign w:val="center"/>
          </w:tcPr>
          <w:p w14:paraId="65F97070">
            <w:pPr>
              <w:keepNext w:val="0"/>
              <w:keepLines w:val="0"/>
              <w:pageBreakBefore w:val="0"/>
              <w:kinsoku/>
              <w:wordWrap/>
              <w:overflowPunct/>
              <w:topLinePunct w:val="0"/>
              <w:autoSpaceDE/>
              <w:autoSpaceDN/>
              <w:bidi w:val="0"/>
              <w:ind w:left="0" w:right="0"/>
              <w:textAlignment w:val="auto"/>
              <w:rPr>
                <w:rFonts w:ascii="Times New Roman" w:hAnsi="Times New Roman" w:cs="Times New Roman"/>
                <w:color w:val="auto"/>
                <w:sz w:val="21"/>
                <w:szCs w:val="21"/>
                <w:highlight w:val="none"/>
              </w:rPr>
            </w:pPr>
          </w:p>
        </w:tc>
        <w:tc>
          <w:tcPr>
            <w:tcW w:w="1399" w:type="dxa"/>
            <w:vMerge w:val="restart"/>
            <w:shd w:val="clear" w:color="auto" w:fill="auto"/>
            <w:vAlign w:val="center"/>
          </w:tcPr>
          <w:p w14:paraId="30FF5C80">
            <w:pPr>
              <w:keepNext w:val="0"/>
              <w:keepLines w:val="0"/>
              <w:pageBreakBefore w:val="0"/>
              <w:kinsoku/>
              <w:wordWrap/>
              <w:overflowPunct/>
              <w:topLinePunct w:val="0"/>
              <w:autoSpaceDE/>
              <w:autoSpaceDN/>
              <w:bidi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危险废物</w:t>
            </w:r>
          </w:p>
        </w:tc>
        <w:tc>
          <w:tcPr>
            <w:tcW w:w="2861" w:type="dxa"/>
            <w:gridSpan w:val="2"/>
            <w:shd w:val="clear" w:color="auto" w:fill="auto"/>
            <w:vAlign w:val="center"/>
          </w:tcPr>
          <w:p w14:paraId="249246DB">
            <w:pPr>
              <w:keepNext w:val="0"/>
              <w:keepLines w:val="0"/>
              <w:pageBreakBefore w:val="0"/>
              <w:kinsoku/>
              <w:wordWrap/>
              <w:overflowPunct/>
              <w:topLinePunct w:val="0"/>
              <w:autoSpaceDE/>
              <w:autoSpaceDN/>
              <w:bidi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危废仓库</w:t>
            </w:r>
          </w:p>
        </w:tc>
        <w:tc>
          <w:tcPr>
            <w:tcW w:w="825" w:type="dxa"/>
            <w:shd w:val="clear" w:color="auto" w:fill="auto"/>
            <w:vAlign w:val="center"/>
          </w:tcPr>
          <w:p w14:paraId="6241D74B">
            <w:pPr>
              <w:keepNext w:val="0"/>
              <w:keepLines w:val="0"/>
              <w:pageBreakBefore w:val="0"/>
              <w:kinsoku/>
              <w:wordWrap/>
              <w:overflowPunct/>
              <w:topLinePunct w:val="0"/>
              <w:autoSpaceDE/>
              <w:autoSpaceDN/>
              <w:bidi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50m</w:t>
            </w:r>
            <w:r>
              <w:rPr>
                <w:rFonts w:ascii="Times New Roman" w:hAnsi="Times New Roman" w:cs="Times New Roman"/>
                <w:color w:val="auto"/>
                <w:sz w:val="21"/>
                <w:szCs w:val="21"/>
                <w:highlight w:val="none"/>
                <w:vertAlign w:val="superscript"/>
              </w:rPr>
              <w:t>2</w:t>
            </w:r>
          </w:p>
        </w:tc>
        <w:tc>
          <w:tcPr>
            <w:tcW w:w="1695" w:type="dxa"/>
            <w:vMerge w:val="continue"/>
            <w:vAlign w:val="center"/>
          </w:tcPr>
          <w:p w14:paraId="70B79476">
            <w:pPr>
              <w:keepNext w:val="0"/>
              <w:keepLines w:val="0"/>
              <w:pageBreakBefore w:val="0"/>
              <w:kinsoku/>
              <w:wordWrap/>
              <w:overflowPunct/>
              <w:topLinePunct w:val="0"/>
              <w:autoSpaceDE/>
              <w:autoSpaceDN/>
              <w:bidi w:val="0"/>
              <w:ind w:left="0" w:right="0"/>
              <w:textAlignment w:val="auto"/>
              <w:rPr>
                <w:rFonts w:ascii="Times New Roman" w:hAnsi="Times New Roman" w:cs="Times New Roman"/>
                <w:color w:val="auto"/>
                <w:sz w:val="21"/>
                <w:szCs w:val="21"/>
                <w:highlight w:val="none"/>
              </w:rPr>
            </w:pPr>
          </w:p>
        </w:tc>
        <w:tc>
          <w:tcPr>
            <w:tcW w:w="1020" w:type="dxa"/>
            <w:vMerge w:val="continue"/>
            <w:vAlign w:val="center"/>
          </w:tcPr>
          <w:p w14:paraId="7DB63C2B">
            <w:pPr>
              <w:keepNext w:val="0"/>
              <w:keepLines w:val="0"/>
              <w:pageBreakBefore w:val="0"/>
              <w:kinsoku/>
              <w:wordWrap/>
              <w:overflowPunct/>
              <w:topLinePunct w:val="0"/>
              <w:autoSpaceDE/>
              <w:autoSpaceDN/>
              <w:bidi w:val="0"/>
              <w:ind w:left="0" w:right="0"/>
              <w:textAlignment w:val="auto"/>
              <w:rPr>
                <w:rFonts w:ascii="Times New Roman" w:hAnsi="Times New Roman" w:cs="Times New Roman"/>
                <w:color w:val="auto"/>
                <w:sz w:val="21"/>
                <w:szCs w:val="21"/>
                <w:highlight w:val="none"/>
              </w:rPr>
            </w:pPr>
          </w:p>
        </w:tc>
        <w:tc>
          <w:tcPr>
            <w:tcW w:w="2906" w:type="dxa"/>
            <w:vMerge w:val="continue"/>
            <w:vAlign w:val="center"/>
          </w:tcPr>
          <w:p w14:paraId="585C9D59">
            <w:pPr>
              <w:keepNext w:val="0"/>
              <w:keepLines w:val="0"/>
              <w:pageBreakBefore w:val="0"/>
              <w:kinsoku/>
              <w:wordWrap/>
              <w:overflowPunct/>
              <w:topLinePunct w:val="0"/>
              <w:autoSpaceDE/>
              <w:autoSpaceDN/>
              <w:bidi w:val="0"/>
              <w:ind w:left="0" w:right="0"/>
              <w:textAlignment w:val="auto"/>
              <w:rPr>
                <w:rFonts w:ascii="Times New Roman" w:hAnsi="Times New Roman" w:cs="Times New Roman"/>
                <w:color w:val="auto"/>
                <w:sz w:val="21"/>
                <w:szCs w:val="21"/>
                <w:highlight w:val="none"/>
              </w:rPr>
            </w:pPr>
          </w:p>
        </w:tc>
        <w:tc>
          <w:tcPr>
            <w:tcW w:w="636" w:type="dxa"/>
            <w:vMerge w:val="continue"/>
            <w:vAlign w:val="center"/>
          </w:tcPr>
          <w:p w14:paraId="4F4FE0AB">
            <w:pPr>
              <w:keepNext w:val="0"/>
              <w:keepLines w:val="0"/>
              <w:pageBreakBefore w:val="0"/>
              <w:kinsoku/>
              <w:wordWrap/>
              <w:overflowPunct/>
              <w:topLinePunct w:val="0"/>
              <w:autoSpaceDE/>
              <w:autoSpaceDN/>
              <w:bidi w:val="0"/>
              <w:ind w:left="0" w:right="0"/>
              <w:textAlignment w:val="auto"/>
              <w:rPr>
                <w:rFonts w:ascii="Times New Roman" w:hAnsi="Times New Roman" w:cs="Times New Roman"/>
                <w:color w:val="auto"/>
                <w:sz w:val="21"/>
                <w:szCs w:val="21"/>
                <w:highlight w:val="none"/>
              </w:rPr>
            </w:pPr>
          </w:p>
        </w:tc>
      </w:tr>
      <w:tr w14:paraId="58E0C4A9">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PrEx>
        <w:trPr>
          <w:trHeight w:val="340" w:hRule="atLeast"/>
        </w:trPr>
        <w:tc>
          <w:tcPr>
            <w:tcW w:w="677" w:type="dxa"/>
            <w:vMerge w:val="continue"/>
            <w:vAlign w:val="center"/>
          </w:tcPr>
          <w:p w14:paraId="24208945">
            <w:pPr>
              <w:keepNext w:val="0"/>
              <w:keepLines w:val="0"/>
              <w:pageBreakBefore w:val="0"/>
              <w:kinsoku/>
              <w:wordWrap/>
              <w:overflowPunct/>
              <w:topLinePunct w:val="0"/>
              <w:autoSpaceDE/>
              <w:autoSpaceDN/>
              <w:bidi w:val="0"/>
              <w:ind w:left="0" w:right="0"/>
              <w:textAlignment w:val="auto"/>
              <w:rPr>
                <w:rFonts w:ascii="Times New Roman" w:hAnsi="Times New Roman" w:cs="Times New Roman"/>
                <w:color w:val="auto"/>
                <w:sz w:val="21"/>
                <w:szCs w:val="21"/>
                <w:highlight w:val="none"/>
              </w:rPr>
            </w:pPr>
          </w:p>
        </w:tc>
        <w:tc>
          <w:tcPr>
            <w:tcW w:w="1443" w:type="dxa"/>
            <w:gridSpan w:val="2"/>
            <w:vMerge w:val="continue"/>
            <w:vAlign w:val="center"/>
          </w:tcPr>
          <w:p w14:paraId="20674565">
            <w:pPr>
              <w:keepNext w:val="0"/>
              <w:keepLines w:val="0"/>
              <w:pageBreakBefore w:val="0"/>
              <w:kinsoku/>
              <w:wordWrap/>
              <w:overflowPunct/>
              <w:topLinePunct w:val="0"/>
              <w:autoSpaceDE/>
              <w:autoSpaceDN/>
              <w:bidi w:val="0"/>
              <w:ind w:left="0" w:right="0"/>
              <w:textAlignment w:val="auto"/>
              <w:rPr>
                <w:rFonts w:ascii="Times New Roman" w:hAnsi="Times New Roman" w:cs="Times New Roman"/>
                <w:color w:val="auto"/>
                <w:sz w:val="21"/>
                <w:szCs w:val="21"/>
                <w:highlight w:val="none"/>
              </w:rPr>
            </w:pPr>
          </w:p>
        </w:tc>
        <w:tc>
          <w:tcPr>
            <w:tcW w:w="1399" w:type="dxa"/>
            <w:vMerge w:val="continue"/>
            <w:vAlign w:val="center"/>
          </w:tcPr>
          <w:p w14:paraId="71DA77C3">
            <w:pPr>
              <w:keepNext w:val="0"/>
              <w:keepLines w:val="0"/>
              <w:pageBreakBefore w:val="0"/>
              <w:kinsoku/>
              <w:wordWrap/>
              <w:overflowPunct/>
              <w:topLinePunct w:val="0"/>
              <w:autoSpaceDE/>
              <w:autoSpaceDN/>
              <w:bidi w:val="0"/>
              <w:ind w:left="0" w:right="0"/>
              <w:textAlignment w:val="auto"/>
              <w:rPr>
                <w:rFonts w:ascii="Times New Roman" w:hAnsi="Times New Roman" w:cs="Times New Roman"/>
                <w:color w:val="auto"/>
                <w:sz w:val="21"/>
                <w:szCs w:val="21"/>
                <w:highlight w:val="none"/>
              </w:rPr>
            </w:pPr>
          </w:p>
        </w:tc>
        <w:tc>
          <w:tcPr>
            <w:tcW w:w="2861" w:type="dxa"/>
            <w:gridSpan w:val="2"/>
            <w:shd w:val="clear" w:color="auto" w:fill="auto"/>
            <w:vAlign w:val="center"/>
          </w:tcPr>
          <w:p w14:paraId="4DB24B86">
            <w:pPr>
              <w:keepNext w:val="0"/>
              <w:keepLines w:val="0"/>
              <w:pageBreakBefore w:val="0"/>
              <w:kinsoku/>
              <w:wordWrap/>
              <w:overflowPunct/>
              <w:topLinePunct w:val="0"/>
              <w:autoSpaceDE/>
              <w:autoSpaceDN/>
              <w:bidi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废液储罐</w:t>
            </w:r>
          </w:p>
        </w:tc>
        <w:tc>
          <w:tcPr>
            <w:tcW w:w="825" w:type="dxa"/>
            <w:shd w:val="clear" w:color="auto" w:fill="auto"/>
            <w:vAlign w:val="center"/>
          </w:tcPr>
          <w:p w14:paraId="36CBB3E8">
            <w:pPr>
              <w:keepNext w:val="0"/>
              <w:keepLines w:val="0"/>
              <w:pageBreakBefore w:val="0"/>
              <w:kinsoku/>
              <w:wordWrap/>
              <w:overflowPunct/>
              <w:topLinePunct w:val="0"/>
              <w:autoSpaceDE/>
              <w:autoSpaceDN/>
              <w:bidi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55m</w:t>
            </w:r>
            <w:r>
              <w:rPr>
                <w:rFonts w:ascii="Times New Roman" w:hAnsi="Times New Roman" w:cs="Times New Roman"/>
                <w:color w:val="auto"/>
                <w:sz w:val="21"/>
                <w:szCs w:val="21"/>
                <w:highlight w:val="none"/>
                <w:vertAlign w:val="superscript"/>
              </w:rPr>
              <w:t>3</w:t>
            </w:r>
          </w:p>
        </w:tc>
        <w:tc>
          <w:tcPr>
            <w:tcW w:w="1695" w:type="dxa"/>
            <w:vMerge w:val="continue"/>
            <w:vAlign w:val="center"/>
          </w:tcPr>
          <w:p w14:paraId="333E8252">
            <w:pPr>
              <w:keepNext w:val="0"/>
              <w:keepLines w:val="0"/>
              <w:pageBreakBefore w:val="0"/>
              <w:kinsoku/>
              <w:wordWrap/>
              <w:overflowPunct/>
              <w:topLinePunct w:val="0"/>
              <w:autoSpaceDE/>
              <w:autoSpaceDN/>
              <w:bidi w:val="0"/>
              <w:ind w:left="0" w:right="0"/>
              <w:textAlignment w:val="auto"/>
              <w:rPr>
                <w:rFonts w:ascii="Times New Roman" w:hAnsi="Times New Roman" w:cs="Times New Roman"/>
                <w:color w:val="auto"/>
                <w:sz w:val="21"/>
                <w:szCs w:val="21"/>
                <w:highlight w:val="none"/>
              </w:rPr>
            </w:pPr>
          </w:p>
        </w:tc>
        <w:tc>
          <w:tcPr>
            <w:tcW w:w="1020" w:type="dxa"/>
            <w:vMerge w:val="continue"/>
            <w:vAlign w:val="center"/>
          </w:tcPr>
          <w:p w14:paraId="327F7554">
            <w:pPr>
              <w:keepNext w:val="0"/>
              <w:keepLines w:val="0"/>
              <w:pageBreakBefore w:val="0"/>
              <w:kinsoku/>
              <w:wordWrap/>
              <w:overflowPunct/>
              <w:topLinePunct w:val="0"/>
              <w:autoSpaceDE/>
              <w:autoSpaceDN/>
              <w:bidi w:val="0"/>
              <w:ind w:left="0" w:right="0"/>
              <w:textAlignment w:val="auto"/>
              <w:rPr>
                <w:rFonts w:ascii="Times New Roman" w:hAnsi="Times New Roman" w:cs="Times New Roman"/>
                <w:color w:val="auto"/>
                <w:sz w:val="21"/>
                <w:szCs w:val="21"/>
                <w:highlight w:val="none"/>
              </w:rPr>
            </w:pPr>
          </w:p>
        </w:tc>
        <w:tc>
          <w:tcPr>
            <w:tcW w:w="2906" w:type="dxa"/>
            <w:vMerge w:val="continue"/>
            <w:vAlign w:val="center"/>
          </w:tcPr>
          <w:p w14:paraId="0A82C1E4">
            <w:pPr>
              <w:keepNext w:val="0"/>
              <w:keepLines w:val="0"/>
              <w:pageBreakBefore w:val="0"/>
              <w:kinsoku/>
              <w:wordWrap/>
              <w:overflowPunct/>
              <w:topLinePunct w:val="0"/>
              <w:autoSpaceDE/>
              <w:autoSpaceDN/>
              <w:bidi w:val="0"/>
              <w:ind w:left="0" w:right="0"/>
              <w:textAlignment w:val="auto"/>
              <w:rPr>
                <w:rFonts w:ascii="Times New Roman" w:hAnsi="Times New Roman" w:cs="Times New Roman"/>
                <w:color w:val="auto"/>
                <w:sz w:val="21"/>
                <w:szCs w:val="21"/>
                <w:highlight w:val="none"/>
              </w:rPr>
            </w:pPr>
          </w:p>
        </w:tc>
        <w:tc>
          <w:tcPr>
            <w:tcW w:w="636" w:type="dxa"/>
            <w:vMerge w:val="continue"/>
            <w:vAlign w:val="center"/>
          </w:tcPr>
          <w:p w14:paraId="61EBBB59">
            <w:pPr>
              <w:keepNext w:val="0"/>
              <w:keepLines w:val="0"/>
              <w:pageBreakBefore w:val="0"/>
              <w:kinsoku/>
              <w:wordWrap/>
              <w:overflowPunct/>
              <w:topLinePunct w:val="0"/>
              <w:autoSpaceDE/>
              <w:autoSpaceDN/>
              <w:bidi w:val="0"/>
              <w:ind w:left="0" w:right="0"/>
              <w:textAlignment w:val="auto"/>
              <w:rPr>
                <w:rFonts w:ascii="Times New Roman" w:hAnsi="Times New Roman" w:cs="Times New Roman"/>
                <w:color w:val="auto"/>
                <w:sz w:val="21"/>
                <w:szCs w:val="21"/>
                <w:highlight w:val="none"/>
              </w:rPr>
            </w:pPr>
          </w:p>
        </w:tc>
      </w:tr>
      <w:tr w14:paraId="3BDAA557">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PrEx>
        <w:trPr>
          <w:trHeight w:val="340" w:hRule="atLeast"/>
        </w:trPr>
        <w:tc>
          <w:tcPr>
            <w:tcW w:w="3519" w:type="dxa"/>
            <w:gridSpan w:val="4"/>
            <w:shd w:val="clear" w:color="auto" w:fill="auto"/>
            <w:vAlign w:val="center"/>
          </w:tcPr>
          <w:p w14:paraId="2A4DA20E">
            <w:pPr>
              <w:keepNext w:val="0"/>
              <w:keepLines w:val="0"/>
              <w:pageBreakBefore w:val="0"/>
              <w:kinsoku/>
              <w:wordWrap/>
              <w:overflowPunct/>
              <w:topLinePunct w:val="0"/>
              <w:autoSpaceDE/>
              <w:autoSpaceDN/>
              <w:bidi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环境管理（机构、监测能力等）</w:t>
            </w:r>
          </w:p>
        </w:tc>
        <w:tc>
          <w:tcPr>
            <w:tcW w:w="2861" w:type="dxa"/>
            <w:gridSpan w:val="2"/>
            <w:shd w:val="clear" w:color="auto" w:fill="auto"/>
            <w:vAlign w:val="center"/>
          </w:tcPr>
          <w:p w14:paraId="02324E0D">
            <w:pPr>
              <w:keepNext w:val="0"/>
              <w:keepLines w:val="0"/>
              <w:pageBreakBefore w:val="0"/>
              <w:kinsoku/>
              <w:wordWrap/>
              <w:overflowPunct/>
              <w:topLinePunct w:val="0"/>
              <w:autoSpaceDE/>
              <w:autoSpaceDN/>
              <w:bidi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w:t>
            </w:r>
          </w:p>
        </w:tc>
        <w:tc>
          <w:tcPr>
            <w:tcW w:w="825" w:type="dxa"/>
            <w:shd w:val="clear" w:color="auto" w:fill="auto"/>
            <w:vAlign w:val="center"/>
          </w:tcPr>
          <w:p w14:paraId="0D0F1142">
            <w:pPr>
              <w:keepNext w:val="0"/>
              <w:keepLines w:val="0"/>
              <w:pageBreakBefore w:val="0"/>
              <w:kinsoku/>
              <w:wordWrap/>
              <w:overflowPunct/>
              <w:topLinePunct w:val="0"/>
              <w:autoSpaceDE/>
              <w:autoSpaceDN/>
              <w:bidi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w:t>
            </w:r>
          </w:p>
        </w:tc>
        <w:tc>
          <w:tcPr>
            <w:tcW w:w="1695" w:type="dxa"/>
            <w:shd w:val="clear" w:color="auto" w:fill="auto"/>
            <w:vAlign w:val="center"/>
          </w:tcPr>
          <w:p w14:paraId="635C0333">
            <w:pPr>
              <w:keepNext w:val="0"/>
              <w:keepLines w:val="0"/>
              <w:pageBreakBefore w:val="0"/>
              <w:kinsoku/>
              <w:wordWrap/>
              <w:overflowPunct/>
              <w:topLinePunct w:val="0"/>
              <w:autoSpaceDE/>
              <w:autoSpaceDN/>
              <w:bidi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w:t>
            </w:r>
          </w:p>
        </w:tc>
        <w:tc>
          <w:tcPr>
            <w:tcW w:w="1020" w:type="dxa"/>
            <w:shd w:val="clear" w:color="auto" w:fill="auto"/>
            <w:vAlign w:val="center"/>
          </w:tcPr>
          <w:p w14:paraId="415A7C4D">
            <w:pPr>
              <w:keepNext w:val="0"/>
              <w:keepLines w:val="0"/>
              <w:pageBreakBefore w:val="0"/>
              <w:kinsoku/>
              <w:wordWrap/>
              <w:overflowPunct/>
              <w:topLinePunct w:val="0"/>
              <w:autoSpaceDE/>
              <w:autoSpaceDN/>
              <w:bidi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w:t>
            </w:r>
          </w:p>
        </w:tc>
        <w:tc>
          <w:tcPr>
            <w:tcW w:w="2906" w:type="dxa"/>
            <w:shd w:val="clear" w:color="auto" w:fill="auto"/>
            <w:vAlign w:val="center"/>
          </w:tcPr>
          <w:p w14:paraId="5F57FCC9">
            <w:pPr>
              <w:keepNext w:val="0"/>
              <w:keepLines w:val="0"/>
              <w:pageBreakBefore w:val="0"/>
              <w:kinsoku/>
              <w:wordWrap/>
              <w:overflowPunct/>
              <w:topLinePunct w:val="0"/>
              <w:autoSpaceDE/>
              <w:autoSpaceDN/>
              <w:bidi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w:t>
            </w:r>
          </w:p>
        </w:tc>
        <w:tc>
          <w:tcPr>
            <w:tcW w:w="636" w:type="dxa"/>
            <w:vMerge w:val="continue"/>
            <w:vAlign w:val="center"/>
          </w:tcPr>
          <w:p w14:paraId="584C29FA">
            <w:pPr>
              <w:keepNext w:val="0"/>
              <w:keepLines w:val="0"/>
              <w:pageBreakBefore w:val="0"/>
              <w:kinsoku/>
              <w:wordWrap/>
              <w:overflowPunct/>
              <w:topLinePunct w:val="0"/>
              <w:autoSpaceDE/>
              <w:autoSpaceDN/>
              <w:bidi w:val="0"/>
              <w:ind w:left="0" w:right="0"/>
              <w:textAlignment w:val="auto"/>
              <w:rPr>
                <w:rFonts w:ascii="Times New Roman" w:hAnsi="Times New Roman" w:cs="Times New Roman"/>
                <w:color w:val="auto"/>
                <w:sz w:val="21"/>
                <w:szCs w:val="21"/>
                <w:highlight w:val="none"/>
              </w:rPr>
            </w:pPr>
          </w:p>
        </w:tc>
      </w:tr>
      <w:tr w14:paraId="208E1E87">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3519" w:type="dxa"/>
            <w:gridSpan w:val="4"/>
            <w:shd w:val="clear" w:color="auto" w:fill="auto"/>
            <w:vAlign w:val="center"/>
          </w:tcPr>
          <w:p w14:paraId="18E24B89">
            <w:pPr>
              <w:keepNext w:val="0"/>
              <w:keepLines w:val="0"/>
              <w:pageBreakBefore w:val="0"/>
              <w:kinsoku/>
              <w:wordWrap/>
              <w:overflowPunct/>
              <w:topLinePunct w:val="0"/>
              <w:autoSpaceDE/>
              <w:autoSpaceDN/>
              <w:bidi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污水、雨水</w:t>
            </w:r>
          </w:p>
        </w:tc>
        <w:tc>
          <w:tcPr>
            <w:tcW w:w="2861" w:type="dxa"/>
            <w:gridSpan w:val="2"/>
            <w:shd w:val="clear" w:color="auto" w:fill="auto"/>
            <w:vAlign w:val="center"/>
          </w:tcPr>
          <w:p w14:paraId="39523CD3">
            <w:pPr>
              <w:keepNext w:val="0"/>
              <w:keepLines w:val="0"/>
              <w:pageBreakBefore w:val="0"/>
              <w:kinsoku/>
              <w:wordWrap/>
              <w:overflowPunct/>
              <w:topLinePunct w:val="0"/>
              <w:autoSpaceDE/>
              <w:autoSpaceDN/>
              <w:bidi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雨、污管网</w:t>
            </w:r>
          </w:p>
        </w:tc>
        <w:tc>
          <w:tcPr>
            <w:tcW w:w="825" w:type="dxa"/>
            <w:shd w:val="clear" w:color="auto" w:fill="auto"/>
            <w:vAlign w:val="center"/>
          </w:tcPr>
          <w:p w14:paraId="477DF15C">
            <w:pPr>
              <w:keepNext w:val="0"/>
              <w:keepLines w:val="0"/>
              <w:pageBreakBefore w:val="0"/>
              <w:kinsoku/>
              <w:wordWrap/>
              <w:overflowPunct/>
              <w:topLinePunct w:val="0"/>
              <w:autoSpaceDE/>
              <w:autoSpaceDN/>
              <w:bidi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w:t>
            </w:r>
          </w:p>
        </w:tc>
        <w:tc>
          <w:tcPr>
            <w:tcW w:w="1695" w:type="dxa"/>
            <w:shd w:val="clear" w:color="auto" w:fill="auto"/>
            <w:vAlign w:val="center"/>
          </w:tcPr>
          <w:p w14:paraId="31EDD36F">
            <w:pPr>
              <w:keepNext w:val="0"/>
              <w:keepLines w:val="0"/>
              <w:pageBreakBefore w:val="0"/>
              <w:kinsoku/>
              <w:wordWrap/>
              <w:overflowPunct/>
              <w:topLinePunct w:val="0"/>
              <w:autoSpaceDE/>
              <w:autoSpaceDN/>
              <w:bidi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w:t>
            </w:r>
          </w:p>
        </w:tc>
        <w:tc>
          <w:tcPr>
            <w:tcW w:w="1020" w:type="dxa"/>
            <w:shd w:val="clear" w:color="auto" w:fill="auto"/>
            <w:vAlign w:val="center"/>
          </w:tcPr>
          <w:p w14:paraId="1CE46AF0">
            <w:pPr>
              <w:keepNext w:val="0"/>
              <w:keepLines w:val="0"/>
              <w:pageBreakBefore w:val="0"/>
              <w:kinsoku/>
              <w:wordWrap/>
              <w:overflowPunct/>
              <w:topLinePunct w:val="0"/>
              <w:autoSpaceDE/>
              <w:autoSpaceDN/>
              <w:bidi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w:t>
            </w:r>
          </w:p>
        </w:tc>
        <w:tc>
          <w:tcPr>
            <w:tcW w:w="2906" w:type="dxa"/>
            <w:shd w:val="clear" w:color="auto" w:fill="auto"/>
            <w:vAlign w:val="center"/>
          </w:tcPr>
          <w:p w14:paraId="4524FED6">
            <w:pPr>
              <w:keepNext w:val="0"/>
              <w:keepLines w:val="0"/>
              <w:pageBreakBefore w:val="0"/>
              <w:kinsoku/>
              <w:wordWrap/>
              <w:overflowPunct/>
              <w:topLinePunct w:val="0"/>
              <w:autoSpaceDE/>
              <w:autoSpaceDN/>
              <w:bidi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雨污分流</w:t>
            </w:r>
          </w:p>
        </w:tc>
        <w:tc>
          <w:tcPr>
            <w:tcW w:w="636" w:type="dxa"/>
            <w:vMerge w:val="continue"/>
            <w:vAlign w:val="center"/>
          </w:tcPr>
          <w:p w14:paraId="66976348">
            <w:pPr>
              <w:keepNext w:val="0"/>
              <w:keepLines w:val="0"/>
              <w:pageBreakBefore w:val="0"/>
              <w:kinsoku/>
              <w:wordWrap/>
              <w:overflowPunct/>
              <w:topLinePunct w:val="0"/>
              <w:autoSpaceDE/>
              <w:autoSpaceDN/>
              <w:bidi w:val="0"/>
              <w:ind w:left="0" w:right="0"/>
              <w:textAlignment w:val="auto"/>
              <w:rPr>
                <w:rFonts w:ascii="Times New Roman" w:hAnsi="Times New Roman" w:cs="Times New Roman"/>
                <w:color w:val="auto"/>
                <w:sz w:val="21"/>
                <w:szCs w:val="21"/>
                <w:highlight w:val="none"/>
              </w:rPr>
            </w:pPr>
          </w:p>
        </w:tc>
      </w:tr>
      <w:tr w14:paraId="01EF1118">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3519" w:type="dxa"/>
            <w:gridSpan w:val="4"/>
            <w:shd w:val="clear" w:color="auto" w:fill="auto"/>
            <w:vAlign w:val="center"/>
          </w:tcPr>
          <w:p w14:paraId="22BD9B0F">
            <w:pPr>
              <w:keepNext w:val="0"/>
              <w:keepLines w:val="0"/>
              <w:pageBreakBefore w:val="0"/>
              <w:kinsoku/>
              <w:wordWrap/>
              <w:overflowPunct/>
              <w:topLinePunct w:val="0"/>
              <w:autoSpaceDE/>
              <w:autoSpaceDN/>
              <w:bidi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排污口规范化设置</w:t>
            </w:r>
          </w:p>
        </w:tc>
        <w:tc>
          <w:tcPr>
            <w:tcW w:w="2861" w:type="dxa"/>
            <w:gridSpan w:val="2"/>
            <w:shd w:val="clear" w:color="auto" w:fill="auto"/>
            <w:vAlign w:val="center"/>
          </w:tcPr>
          <w:p w14:paraId="315DC773">
            <w:pPr>
              <w:keepNext w:val="0"/>
              <w:keepLines w:val="0"/>
              <w:pageBreakBefore w:val="0"/>
              <w:kinsoku/>
              <w:wordWrap/>
              <w:overflowPunct/>
              <w:topLinePunct w:val="0"/>
              <w:autoSpaceDE/>
              <w:autoSpaceDN/>
              <w:bidi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明渠、采样平台等</w:t>
            </w:r>
          </w:p>
        </w:tc>
        <w:tc>
          <w:tcPr>
            <w:tcW w:w="825" w:type="dxa"/>
            <w:shd w:val="clear" w:color="auto" w:fill="auto"/>
            <w:vAlign w:val="center"/>
          </w:tcPr>
          <w:p w14:paraId="2D27FAB5">
            <w:pPr>
              <w:keepNext w:val="0"/>
              <w:keepLines w:val="0"/>
              <w:pageBreakBefore w:val="0"/>
              <w:kinsoku/>
              <w:wordWrap/>
              <w:overflowPunct/>
              <w:topLinePunct w:val="0"/>
              <w:autoSpaceDE/>
              <w:autoSpaceDN/>
              <w:bidi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w:t>
            </w:r>
          </w:p>
        </w:tc>
        <w:tc>
          <w:tcPr>
            <w:tcW w:w="1695" w:type="dxa"/>
            <w:shd w:val="clear" w:color="auto" w:fill="auto"/>
            <w:vAlign w:val="center"/>
          </w:tcPr>
          <w:p w14:paraId="5E4DD0EC">
            <w:pPr>
              <w:keepNext w:val="0"/>
              <w:keepLines w:val="0"/>
              <w:pageBreakBefore w:val="0"/>
              <w:kinsoku/>
              <w:wordWrap/>
              <w:overflowPunct/>
              <w:topLinePunct w:val="0"/>
              <w:autoSpaceDE/>
              <w:autoSpaceDN/>
              <w:bidi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w:t>
            </w:r>
          </w:p>
        </w:tc>
        <w:tc>
          <w:tcPr>
            <w:tcW w:w="1020" w:type="dxa"/>
            <w:shd w:val="clear" w:color="auto" w:fill="auto"/>
            <w:vAlign w:val="center"/>
          </w:tcPr>
          <w:p w14:paraId="13BDA922">
            <w:pPr>
              <w:keepNext w:val="0"/>
              <w:keepLines w:val="0"/>
              <w:pageBreakBefore w:val="0"/>
              <w:kinsoku/>
              <w:wordWrap/>
              <w:overflowPunct/>
              <w:topLinePunct w:val="0"/>
              <w:autoSpaceDE/>
              <w:autoSpaceDN/>
              <w:bidi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w:t>
            </w:r>
          </w:p>
        </w:tc>
        <w:tc>
          <w:tcPr>
            <w:tcW w:w="2906" w:type="dxa"/>
            <w:shd w:val="clear" w:color="auto" w:fill="auto"/>
            <w:vAlign w:val="center"/>
          </w:tcPr>
          <w:p w14:paraId="505D130D">
            <w:pPr>
              <w:keepNext w:val="0"/>
              <w:keepLines w:val="0"/>
              <w:pageBreakBefore w:val="0"/>
              <w:kinsoku/>
              <w:wordWrap/>
              <w:overflowPunct/>
              <w:topLinePunct w:val="0"/>
              <w:autoSpaceDE/>
              <w:autoSpaceDN/>
              <w:bidi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w:t>
            </w:r>
          </w:p>
        </w:tc>
        <w:tc>
          <w:tcPr>
            <w:tcW w:w="636" w:type="dxa"/>
            <w:vMerge w:val="continue"/>
            <w:vAlign w:val="center"/>
          </w:tcPr>
          <w:p w14:paraId="7A697678">
            <w:pPr>
              <w:keepNext w:val="0"/>
              <w:keepLines w:val="0"/>
              <w:pageBreakBefore w:val="0"/>
              <w:kinsoku/>
              <w:wordWrap/>
              <w:overflowPunct/>
              <w:topLinePunct w:val="0"/>
              <w:autoSpaceDE/>
              <w:autoSpaceDN/>
              <w:bidi w:val="0"/>
              <w:ind w:left="0" w:right="0"/>
              <w:textAlignment w:val="auto"/>
              <w:rPr>
                <w:rFonts w:ascii="Times New Roman" w:hAnsi="Times New Roman" w:cs="Times New Roman"/>
                <w:color w:val="auto"/>
                <w:sz w:val="21"/>
                <w:szCs w:val="21"/>
                <w:highlight w:val="none"/>
              </w:rPr>
            </w:pPr>
          </w:p>
        </w:tc>
      </w:tr>
      <w:tr w14:paraId="52757FC4">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PrEx>
        <w:trPr>
          <w:trHeight w:val="340" w:hRule="atLeast"/>
        </w:trPr>
        <w:tc>
          <w:tcPr>
            <w:tcW w:w="3519" w:type="dxa"/>
            <w:gridSpan w:val="4"/>
            <w:vMerge w:val="restart"/>
            <w:shd w:val="clear" w:color="auto" w:fill="auto"/>
            <w:vAlign w:val="center"/>
          </w:tcPr>
          <w:p w14:paraId="47FECB23">
            <w:pPr>
              <w:keepNext w:val="0"/>
              <w:keepLines w:val="0"/>
              <w:pageBreakBefore w:val="0"/>
              <w:kinsoku/>
              <w:wordWrap/>
              <w:overflowPunct/>
              <w:topLinePunct w:val="0"/>
              <w:autoSpaceDE/>
              <w:autoSpaceDN/>
              <w:bidi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环境风险防范措施</w:t>
            </w:r>
          </w:p>
        </w:tc>
        <w:tc>
          <w:tcPr>
            <w:tcW w:w="2861" w:type="dxa"/>
            <w:gridSpan w:val="2"/>
            <w:shd w:val="clear" w:color="auto" w:fill="auto"/>
            <w:vAlign w:val="center"/>
          </w:tcPr>
          <w:p w14:paraId="76ECA921">
            <w:pPr>
              <w:keepNext w:val="0"/>
              <w:keepLines w:val="0"/>
              <w:pageBreakBefore w:val="0"/>
              <w:kinsoku/>
              <w:wordWrap/>
              <w:overflowPunct/>
              <w:topLinePunct w:val="0"/>
              <w:autoSpaceDE/>
              <w:autoSpaceDN/>
              <w:bidi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应急物资</w:t>
            </w:r>
          </w:p>
        </w:tc>
        <w:tc>
          <w:tcPr>
            <w:tcW w:w="825" w:type="dxa"/>
            <w:shd w:val="clear" w:color="auto" w:fill="auto"/>
            <w:vAlign w:val="center"/>
          </w:tcPr>
          <w:p w14:paraId="76C2FF43">
            <w:pPr>
              <w:keepNext w:val="0"/>
              <w:keepLines w:val="0"/>
              <w:pageBreakBefore w:val="0"/>
              <w:kinsoku/>
              <w:wordWrap/>
              <w:overflowPunct/>
              <w:topLinePunct w:val="0"/>
              <w:autoSpaceDE/>
              <w:autoSpaceDN/>
              <w:bidi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若干</w:t>
            </w:r>
          </w:p>
        </w:tc>
        <w:tc>
          <w:tcPr>
            <w:tcW w:w="1695" w:type="dxa"/>
            <w:shd w:val="clear" w:color="auto" w:fill="auto"/>
            <w:vAlign w:val="center"/>
          </w:tcPr>
          <w:p w14:paraId="04CAEAAD">
            <w:pPr>
              <w:keepNext w:val="0"/>
              <w:keepLines w:val="0"/>
              <w:pageBreakBefore w:val="0"/>
              <w:kinsoku/>
              <w:wordWrap/>
              <w:overflowPunct/>
              <w:topLinePunct w:val="0"/>
              <w:autoSpaceDE/>
              <w:autoSpaceDN/>
              <w:bidi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w:t>
            </w:r>
          </w:p>
        </w:tc>
        <w:tc>
          <w:tcPr>
            <w:tcW w:w="1020" w:type="dxa"/>
            <w:vMerge w:val="restart"/>
            <w:shd w:val="clear" w:color="auto" w:fill="auto"/>
            <w:vAlign w:val="center"/>
          </w:tcPr>
          <w:p w14:paraId="26C31EB9">
            <w:pPr>
              <w:keepNext w:val="0"/>
              <w:keepLines w:val="0"/>
              <w:pageBreakBefore w:val="0"/>
              <w:kinsoku/>
              <w:wordWrap/>
              <w:overflowPunct/>
              <w:topLinePunct w:val="0"/>
              <w:autoSpaceDE/>
              <w:autoSpaceDN/>
              <w:bidi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w:t>
            </w:r>
          </w:p>
        </w:tc>
        <w:tc>
          <w:tcPr>
            <w:tcW w:w="2906" w:type="dxa"/>
            <w:vMerge w:val="restart"/>
            <w:shd w:val="clear" w:color="auto" w:fill="auto"/>
            <w:vAlign w:val="center"/>
          </w:tcPr>
          <w:p w14:paraId="2A1F4D44">
            <w:pPr>
              <w:keepNext w:val="0"/>
              <w:keepLines w:val="0"/>
              <w:pageBreakBefore w:val="0"/>
              <w:kinsoku/>
              <w:wordWrap/>
              <w:overflowPunct/>
              <w:topLinePunct w:val="0"/>
              <w:autoSpaceDE/>
              <w:autoSpaceDN/>
              <w:bidi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企业环境风险可控</w:t>
            </w:r>
          </w:p>
        </w:tc>
        <w:tc>
          <w:tcPr>
            <w:tcW w:w="636" w:type="dxa"/>
            <w:vMerge w:val="continue"/>
            <w:vAlign w:val="center"/>
          </w:tcPr>
          <w:p w14:paraId="19198E92">
            <w:pPr>
              <w:keepNext w:val="0"/>
              <w:keepLines w:val="0"/>
              <w:pageBreakBefore w:val="0"/>
              <w:kinsoku/>
              <w:wordWrap/>
              <w:overflowPunct/>
              <w:topLinePunct w:val="0"/>
              <w:autoSpaceDE/>
              <w:autoSpaceDN/>
              <w:bidi w:val="0"/>
              <w:ind w:left="0" w:right="0"/>
              <w:textAlignment w:val="auto"/>
              <w:rPr>
                <w:rFonts w:ascii="Times New Roman" w:hAnsi="Times New Roman" w:cs="Times New Roman"/>
                <w:color w:val="auto"/>
                <w:sz w:val="21"/>
                <w:szCs w:val="21"/>
                <w:highlight w:val="none"/>
              </w:rPr>
            </w:pPr>
          </w:p>
        </w:tc>
      </w:tr>
      <w:tr w14:paraId="2FFCEA25">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3519" w:type="dxa"/>
            <w:gridSpan w:val="4"/>
            <w:vMerge w:val="continue"/>
            <w:vAlign w:val="center"/>
          </w:tcPr>
          <w:p w14:paraId="0AC09F40">
            <w:pPr>
              <w:keepNext w:val="0"/>
              <w:keepLines w:val="0"/>
              <w:pageBreakBefore w:val="0"/>
              <w:kinsoku/>
              <w:wordWrap/>
              <w:overflowPunct/>
              <w:topLinePunct w:val="0"/>
              <w:autoSpaceDE/>
              <w:autoSpaceDN/>
              <w:bidi w:val="0"/>
              <w:ind w:left="0" w:right="0"/>
              <w:textAlignment w:val="auto"/>
              <w:rPr>
                <w:rFonts w:ascii="Times New Roman" w:hAnsi="Times New Roman" w:cs="Times New Roman"/>
                <w:color w:val="auto"/>
                <w:sz w:val="21"/>
                <w:szCs w:val="21"/>
                <w:highlight w:val="none"/>
              </w:rPr>
            </w:pPr>
          </w:p>
        </w:tc>
        <w:tc>
          <w:tcPr>
            <w:tcW w:w="2861" w:type="dxa"/>
            <w:gridSpan w:val="2"/>
            <w:shd w:val="clear" w:color="auto" w:fill="auto"/>
            <w:vAlign w:val="center"/>
          </w:tcPr>
          <w:p w14:paraId="30B06BE8">
            <w:pPr>
              <w:keepNext w:val="0"/>
              <w:keepLines w:val="0"/>
              <w:pageBreakBefore w:val="0"/>
              <w:kinsoku/>
              <w:wordWrap/>
              <w:overflowPunct/>
              <w:topLinePunct w:val="0"/>
              <w:autoSpaceDE/>
              <w:autoSpaceDN/>
              <w:bidi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雨水切断阀</w:t>
            </w:r>
          </w:p>
        </w:tc>
        <w:tc>
          <w:tcPr>
            <w:tcW w:w="825" w:type="dxa"/>
            <w:shd w:val="clear" w:color="auto" w:fill="auto"/>
            <w:vAlign w:val="center"/>
          </w:tcPr>
          <w:p w14:paraId="505F0BF6">
            <w:pPr>
              <w:keepNext w:val="0"/>
              <w:keepLines w:val="0"/>
              <w:pageBreakBefore w:val="0"/>
              <w:kinsoku/>
              <w:wordWrap/>
              <w:overflowPunct/>
              <w:topLinePunct w:val="0"/>
              <w:autoSpaceDE/>
              <w:autoSpaceDN/>
              <w:bidi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1个</w:t>
            </w:r>
          </w:p>
        </w:tc>
        <w:tc>
          <w:tcPr>
            <w:tcW w:w="1695" w:type="dxa"/>
            <w:shd w:val="clear" w:color="auto" w:fill="auto"/>
            <w:vAlign w:val="center"/>
          </w:tcPr>
          <w:p w14:paraId="133DA387">
            <w:pPr>
              <w:keepNext w:val="0"/>
              <w:keepLines w:val="0"/>
              <w:pageBreakBefore w:val="0"/>
              <w:kinsoku/>
              <w:wordWrap/>
              <w:overflowPunct/>
              <w:topLinePunct w:val="0"/>
              <w:autoSpaceDE/>
              <w:autoSpaceDN/>
              <w:bidi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w:t>
            </w:r>
          </w:p>
        </w:tc>
        <w:tc>
          <w:tcPr>
            <w:tcW w:w="1020" w:type="dxa"/>
            <w:vMerge w:val="continue"/>
            <w:vAlign w:val="center"/>
          </w:tcPr>
          <w:p w14:paraId="13BDFFBB">
            <w:pPr>
              <w:keepNext w:val="0"/>
              <w:keepLines w:val="0"/>
              <w:pageBreakBefore w:val="0"/>
              <w:kinsoku/>
              <w:wordWrap/>
              <w:overflowPunct/>
              <w:topLinePunct w:val="0"/>
              <w:autoSpaceDE/>
              <w:autoSpaceDN/>
              <w:bidi w:val="0"/>
              <w:ind w:left="0" w:right="0"/>
              <w:textAlignment w:val="auto"/>
              <w:rPr>
                <w:rFonts w:ascii="Times New Roman" w:hAnsi="Times New Roman" w:cs="Times New Roman"/>
                <w:color w:val="auto"/>
                <w:sz w:val="21"/>
                <w:szCs w:val="21"/>
                <w:highlight w:val="none"/>
              </w:rPr>
            </w:pPr>
          </w:p>
        </w:tc>
        <w:tc>
          <w:tcPr>
            <w:tcW w:w="2906" w:type="dxa"/>
            <w:vMerge w:val="continue"/>
            <w:vAlign w:val="center"/>
          </w:tcPr>
          <w:p w14:paraId="16C1D05C">
            <w:pPr>
              <w:keepNext w:val="0"/>
              <w:keepLines w:val="0"/>
              <w:pageBreakBefore w:val="0"/>
              <w:kinsoku/>
              <w:wordWrap/>
              <w:overflowPunct/>
              <w:topLinePunct w:val="0"/>
              <w:autoSpaceDE/>
              <w:autoSpaceDN/>
              <w:bidi w:val="0"/>
              <w:ind w:left="0" w:right="0"/>
              <w:textAlignment w:val="auto"/>
              <w:rPr>
                <w:rFonts w:ascii="Times New Roman" w:hAnsi="Times New Roman" w:cs="Times New Roman"/>
                <w:color w:val="auto"/>
                <w:sz w:val="21"/>
                <w:szCs w:val="21"/>
                <w:highlight w:val="none"/>
              </w:rPr>
            </w:pPr>
          </w:p>
        </w:tc>
        <w:tc>
          <w:tcPr>
            <w:tcW w:w="636" w:type="dxa"/>
            <w:vMerge w:val="continue"/>
            <w:vAlign w:val="center"/>
          </w:tcPr>
          <w:p w14:paraId="075A356F">
            <w:pPr>
              <w:keepNext w:val="0"/>
              <w:keepLines w:val="0"/>
              <w:pageBreakBefore w:val="0"/>
              <w:kinsoku/>
              <w:wordWrap/>
              <w:overflowPunct/>
              <w:topLinePunct w:val="0"/>
              <w:autoSpaceDE/>
              <w:autoSpaceDN/>
              <w:bidi w:val="0"/>
              <w:ind w:left="0" w:right="0"/>
              <w:textAlignment w:val="auto"/>
              <w:rPr>
                <w:rFonts w:ascii="Times New Roman" w:hAnsi="Times New Roman" w:cs="Times New Roman"/>
                <w:color w:val="auto"/>
                <w:sz w:val="21"/>
                <w:szCs w:val="21"/>
                <w:highlight w:val="none"/>
              </w:rPr>
            </w:pPr>
          </w:p>
        </w:tc>
      </w:tr>
      <w:tr w14:paraId="6AF7385C">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PrEx>
        <w:trPr>
          <w:trHeight w:val="340" w:hRule="atLeast"/>
        </w:trPr>
        <w:tc>
          <w:tcPr>
            <w:tcW w:w="3519" w:type="dxa"/>
            <w:gridSpan w:val="4"/>
            <w:vMerge w:val="continue"/>
            <w:vAlign w:val="center"/>
          </w:tcPr>
          <w:p w14:paraId="6D773AA9">
            <w:pPr>
              <w:keepNext w:val="0"/>
              <w:keepLines w:val="0"/>
              <w:pageBreakBefore w:val="0"/>
              <w:kinsoku/>
              <w:wordWrap/>
              <w:overflowPunct/>
              <w:topLinePunct w:val="0"/>
              <w:autoSpaceDE/>
              <w:autoSpaceDN/>
              <w:bidi w:val="0"/>
              <w:ind w:left="0" w:right="0"/>
              <w:textAlignment w:val="auto"/>
              <w:rPr>
                <w:rFonts w:ascii="Times New Roman" w:hAnsi="Times New Roman" w:cs="Times New Roman"/>
                <w:color w:val="auto"/>
                <w:sz w:val="21"/>
                <w:szCs w:val="21"/>
                <w:highlight w:val="none"/>
              </w:rPr>
            </w:pPr>
          </w:p>
        </w:tc>
        <w:tc>
          <w:tcPr>
            <w:tcW w:w="2861" w:type="dxa"/>
            <w:gridSpan w:val="2"/>
            <w:shd w:val="clear" w:color="auto" w:fill="auto"/>
            <w:vAlign w:val="center"/>
          </w:tcPr>
          <w:p w14:paraId="27BD84B4">
            <w:pPr>
              <w:keepNext w:val="0"/>
              <w:keepLines w:val="0"/>
              <w:pageBreakBefore w:val="0"/>
              <w:kinsoku/>
              <w:wordWrap/>
              <w:overflowPunct/>
              <w:topLinePunct w:val="0"/>
              <w:autoSpaceDE/>
              <w:autoSpaceDN/>
              <w:bidi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应急事故池</w:t>
            </w:r>
          </w:p>
        </w:tc>
        <w:tc>
          <w:tcPr>
            <w:tcW w:w="825" w:type="dxa"/>
            <w:shd w:val="clear" w:color="auto" w:fill="auto"/>
            <w:vAlign w:val="center"/>
          </w:tcPr>
          <w:p w14:paraId="2E69185E">
            <w:pPr>
              <w:keepNext w:val="0"/>
              <w:keepLines w:val="0"/>
              <w:pageBreakBefore w:val="0"/>
              <w:kinsoku/>
              <w:wordWrap/>
              <w:overflowPunct/>
              <w:topLinePunct w:val="0"/>
              <w:autoSpaceDE/>
              <w:autoSpaceDN/>
              <w:bidi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540m</w:t>
            </w:r>
            <w:r>
              <w:rPr>
                <w:rFonts w:ascii="Times New Roman" w:hAnsi="Times New Roman" w:cs="Times New Roman"/>
                <w:color w:val="auto"/>
                <w:sz w:val="21"/>
                <w:szCs w:val="21"/>
                <w:highlight w:val="none"/>
                <w:vertAlign w:val="superscript"/>
              </w:rPr>
              <w:t>3</w:t>
            </w:r>
          </w:p>
        </w:tc>
        <w:tc>
          <w:tcPr>
            <w:tcW w:w="1695" w:type="dxa"/>
            <w:shd w:val="clear" w:color="auto" w:fill="auto"/>
            <w:vAlign w:val="center"/>
          </w:tcPr>
          <w:p w14:paraId="2E9CEBBE">
            <w:pPr>
              <w:keepNext w:val="0"/>
              <w:keepLines w:val="0"/>
              <w:pageBreakBefore w:val="0"/>
              <w:kinsoku/>
              <w:wordWrap/>
              <w:overflowPunct/>
              <w:topLinePunct w:val="0"/>
              <w:autoSpaceDE/>
              <w:autoSpaceDN/>
              <w:bidi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w:t>
            </w:r>
          </w:p>
        </w:tc>
        <w:tc>
          <w:tcPr>
            <w:tcW w:w="1020" w:type="dxa"/>
            <w:vMerge w:val="continue"/>
            <w:vAlign w:val="center"/>
          </w:tcPr>
          <w:p w14:paraId="3E2E87CD">
            <w:pPr>
              <w:keepNext w:val="0"/>
              <w:keepLines w:val="0"/>
              <w:pageBreakBefore w:val="0"/>
              <w:kinsoku/>
              <w:wordWrap/>
              <w:overflowPunct/>
              <w:topLinePunct w:val="0"/>
              <w:autoSpaceDE/>
              <w:autoSpaceDN/>
              <w:bidi w:val="0"/>
              <w:ind w:left="0" w:right="0"/>
              <w:textAlignment w:val="auto"/>
              <w:rPr>
                <w:rFonts w:ascii="Times New Roman" w:hAnsi="Times New Roman" w:cs="Times New Roman"/>
                <w:color w:val="auto"/>
                <w:sz w:val="21"/>
                <w:szCs w:val="21"/>
                <w:highlight w:val="none"/>
              </w:rPr>
            </w:pPr>
          </w:p>
        </w:tc>
        <w:tc>
          <w:tcPr>
            <w:tcW w:w="2906" w:type="dxa"/>
            <w:vMerge w:val="continue"/>
            <w:vAlign w:val="center"/>
          </w:tcPr>
          <w:p w14:paraId="05482B56">
            <w:pPr>
              <w:keepNext w:val="0"/>
              <w:keepLines w:val="0"/>
              <w:pageBreakBefore w:val="0"/>
              <w:kinsoku/>
              <w:wordWrap/>
              <w:overflowPunct/>
              <w:topLinePunct w:val="0"/>
              <w:autoSpaceDE/>
              <w:autoSpaceDN/>
              <w:bidi w:val="0"/>
              <w:ind w:left="0" w:right="0"/>
              <w:textAlignment w:val="auto"/>
              <w:rPr>
                <w:rFonts w:ascii="Times New Roman" w:hAnsi="Times New Roman" w:cs="Times New Roman"/>
                <w:color w:val="auto"/>
                <w:sz w:val="21"/>
                <w:szCs w:val="21"/>
                <w:highlight w:val="none"/>
              </w:rPr>
            </w:pPr>
          </w:p>
        </w:tc>
        <w:tc>
          <w:tcPr>
            <w:tcW w:w="636" w:type="dxa"/>
            <w:vMerge w:val="continue"/>
            <w:vAlign w:val="center"/>
          </w:tcPr>
          <w:p w14:paraId="18C7DDA1">
            <w:pPr>
              <w:keepNext w:val="0"/>
              <w:keepLines w:val="0"/>
              <w:pageBreakBefore w:val="0"/>
              <w:kinsoku/>
              <w:wordWrap/>
              <w:overflowPunct/>
              <w:topLinePunct w:val="0"/>
              <w:autoSpaceDE/>
              <w:autoSpaceDN/>
              <w:bidi w:val="0"/>
              <w:ind w:left="0" w:right="0"/>
              <w:textAlignment w:val="auto"/>
              <w:rPr>
                <w:rFonts w:ascii="Times New Roman" w:hAnsi="Times New Roman" w:cs="Times New Roman"/>
                <w:color w:val="auto"/>
                <w:sz w:val="21"/>
                <w:szCs w:val="21"/>
                <w:highlight w:val="none"/>
              </w:rPr>
            </w:pPr>
          </w:p>
        </w:tc>
      </w:tr>
      <w:tr w14:paraId="292B2D5F">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3519" w:type="dxa"/>
            <w:gridSpan w:val="4"/>
            <w:vMerge w:val="continue"/>
            <w:vAlign w:val="center"/>
          </w:tcPr>
          <w:p w14:paraId="6135AA11">
            <w:pPr>
              <w:keepNext w:val="0"/>
              <w:keepLines w:val="0"/>
              <w:pageBreakBefore w:val="0"/>
              <w:kinsoku/>
              <w:wordWrap/>
              <w:overflowPunct/>
              <w:topLinePunct w:val="0"/>
              <w:autoSpaceDE/>
              <w:autoSpaceDN/>
              <w:bidi w:val="0"/>
              <w:ind w:left="0" w:right="0"/>
              <w:textAlignment w:val="auto"/>
              <w:rPr>
                <w:rFonts w:ascii="Times New Roman" w:hAnsi="Times New Roman" w:cs="Times New Roman"/>
                <w:color w:val="auto"/>
                <w:sz w:val="21"/>
                <w:szCs w:val="21"/>
                <w:highlight w:val="none"/>
              </w:rPr>
            </w:pPr>
          </w:p>
        </w:tc>
        <w:tc>
          <w:tcPr>
            <w:tcW w:w="2861" w:type="dxa"/>
            <w:gridSpan w:val="2"/>
            <w:shd w:val="clear" w:color="auto" w:fill="auto"/>
            <w:vAlign w:val="center"/>
          </w:tcPr>
          <w:p w14:paraId="63BF9953">
            <w:pPr>
              <w:keepNext w:val="0"/>
              <w:keepLines w:val="0"/>
              <w:pageBreakBefore w:val="0"/>
              <w:kinsoku/>
              <w:wordWrap/>
              <w:overflowPunct/>
              <w:topLinePunct w:val="0"/>
              <w:autoSpaceDE/>
              <w:autoSpaceDN/>
              <w:bidi w:val="0"/>
              <w:ind w:left="0" w:right="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初期雨水收集池</w:t>
            </w:r>
          </w:p>
        </w:tc>
        <w:tc>
          <w:tcPr>
            <w:tcW w:w="825" w:type="dxa"/>
            <w:shd w:val="clear" w:color="auto" w:fill="auto"/>
            <w:vAlign w:val="center"/>
          </w:tcPr>
          <w:p w14:paraId="6A968050">
            <w:pPr>
              <w:keepNext w:val="0"/>
              <w:keepLines w:val="0"/>
              <w:pageBreakBefore w:val="0"/>
              <w:kinsoku/>
              <w:wordWrap/>
              <w:overflowPunct/>
              <w:topLinePunct w:val="0"/>
              <w:autoSpaceDE/>
              <w:autoSpaceDN/>
              <w:bidi w:val="0"/>
              <w:ind w:left="0" w:right="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eastAsia" w:ascii="Times New Roman" w:hAnsi="Times New Roman" w:cs="Times New Roman"/>
                <w:color w:val="auto"/>
                <w:sz w:val="21"/>
                <w:szCs w:val="21"/>
                <w:highlight w:val="none"/>
                <w:lang w:val="en-US" w:eastAsia="zh-CN"/>
              </w:rPr>
              <w:t>380m</w:t>
            </w:r>
            <w:r>
              <w:rPr>
                <w:rFonts w:hint="eastAsia" w:ascii="Times New Roman" w:hAnsi="Times New Roman" w:cs="Times New Roman"/>
                <w:color w:val="auto"/>
                <w:sz w:val="21"/>
                <w:szCs w:val="21"/>
                <w:highlight w:val="none"/>
                <w:vertAlign w:val="superscript"/>
                <w:lang w:val="en-US" w:eastAsia="zh-CN"/>
              </w:rPr>
              <w:t>3</w:t>
            </w:r>
          </w:p>
        </w:tc>
        <w:tc>
          <w:tcPr>
            <w:tcW w:w="1695" w:type="dxa"/>
            <w:shd w:val="clear" w:color="auto" w:fill="auto"/>
            <w:vAlign w:val="center"/>
          </w:tcPr>
          <w:p w14:paraId="461D053D">
            <w:pPr>
              <w:keepNext w:val="0"/>
              <w:keepLines w:val="0"/>
              <w:pageBreakBefore w:val="0"/>
              <w:kinsoku/>
              <w:wordWrap/>
              <w:overflowPunct/>
              <w:topLinePunct w:val="0"/>
              <w:autoSpaceDE/>
              <w:autoSpaceDN/>
              <w:bidi w:val="0"/>
              <w:ind w:left="0" w:right="0"/>
              <w:jc w:val="center"/>
              <w:textAlignment w:val="auto"/>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w:t>
            </w:r>
          </w:p>
        </w:tc>
        <w:tc>
          <w:tcPr>
            <w:tcW w:w="1020" w:type="dxa"/>
            <w:vMerge w:val="continue"/>
            <w:vAlign w:val="center"/>
          </w:tcPr>
          <w:p w14:paraId="41E73F9A">
            <w:pPr>
              <w:keepNext w:val="0"/>
              <w:keepLines w:val="0"/>
              <w:pageBreakBefore w:val="0"/>
              <w:kinsoku/>
              <w:wordWrap/>
              <w:overflowPunct/>
              <w:topLinePunct w:val="0"/>
              <w:autoSpaceDE/>
              <w:autoSpaceDN/>
              <w:bidi w:val="0"/>
              <w:ind w:left="0" w:right="0"/>
              <w:textAlignment w:val="auto"/>
              <w:rPr>
                <w:rFonts w:ascii="Times New Roman" w:hAnsi="Times New Roman" w:cs="Times New Roman"/>
                <w:color w:val="auto"/>
                <w:sz w:val="21"/>
                <w:szCs w:val="21"/>
                <w:highlight w:val="none"/>
              </w:rPr>
            </w:pPr>
          </w:p>
        </w:tc>
        <w:tc>
          <w:tcPr>
            <w:tcW w:w="2906" w:type="dxa"/>
            <w:vMerge w:val="continue"/>
            <w:vAlign w:val="center"/>
          </w:tcPr>
          <w:p w14:paraId="3903B992">
            <w:pPr>
              <w:keepNext w:val="0"/>
              <w:keepLines w:val="0"/>
              <w:pageBreakBefore w:val="0"/>
              <w:kinsoku/>
              <w:wordWrap/>
              <w:overflowPunct/>
              <w:topLinePunct w:val="0"/>
              <w:autoSpaceDE/>
              <w:autoSpaceDN/>
              <w:bidi w:val="0"/>
              <w:ind w:left="0" w:right="0"/>
              <w:textAlignment w:val="auto"/>
              <w:rPr>
                <w:rFonts w:ascii="Times New Roman" w:hAnsi="Times New Roman" w:cs="Times New Roman"/>
                <w:color w:val="auto"/>
                <w:sz w:val="21"/>
                <w:szCs w:val="21"/>
                <w:highlight w:val="none"/>
              </w:rPr>
            </w:pPr>
          </w:p>
        </w:tc>
        <w:tc>
          <w:tcPr>
            <w:tcW w:w="636" w:type="dxa"/>
            <w:vMerge w:val="continue"/>
            <w:vAlign w:val="center"/>
          </w:tcPr>
          <w:p w14:paraId="5A35353B">
            <w:pPr>
              <w:keepNext w:val="0"/>
              <w:keepLines w:val="0"/>
              <w:pageBreakBefore w:val="0"/>
              <w:kinsoku/>
              <w:wordWrap/>
              <w:overflowPunct/>
              <w:topLinePunct w:val="0"/>
              <w:autoSpaceDE/>
              <w:autoSpaceDN/>
              <w:bidi w:val="0"/>
              <w:ind w:left="0" w:right="0"/>
              <w:textAlignment w:val="auto"/>
              <w:rPr>
                <w:rFonts w:ascii="Times New Roman" w:hAnsi="Times New Roman" w:cs="Times New Roman"/>
                <w:color w:val="auto"/>
                <w:sz w:val="21"/>
                <w:szCs w:val="21"/>
                <w:highlight w:val="none"/>
              </w:rPr>
            </w:pPr>
          </w:p>
        </w:tc>
      </w:tr>
      <w:tr w14:paraId="3A2D05AA">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PrEx>
        <w:trPr>
          <w:trHeight w:val="340" w:hRule="atLeast"/>
        </w:trPr>
        <w:tc>
          <w:tcPr>
            <w:tcW w:w="3519" w:type="dxa"/>
            <w:gridSpan w:val="4"/>
            <w:shd w:val="clear" w:color="auto" w:fill="auto"/>
            <w:vAlign w:val="center"/>
          </w:tcPr>
          <w:p w14:paraId="2D640239">
            <w:pPr>
              <w:keepNext w:val="0"/>
              <w:keepLines w:val="0"/>
              <w:pageBreakBefore w:val="0"/>
              <w:kinsoku/>
              <w:wordWrap/>
              <w:overflowPunct/>
              <w:topLinePunct w:val="0"/>
              <w:autoSpaceDE/>
              <w:autoSpaceDN/>
              <w:bidi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日常检测费</w:t>
            </w:r>
          </w:p>
        </w:tc>
        <w:tc>
          <w:tcPr>
            <w:tcW w:w="2861" w:type="dxa"/>
            <w:gridSpan w:val="2"/>
            <w:shd w:val="clear" w:color="auto" w:fill="auto"/>
            <w:vAlign w:val="center"/>
          </w:tcPr>
          <w:p w14:paraId="007CB809">
            <w:pPr>
              <w:keepNext w:val="0"/>
              <w:keepLines w:val="0"/>
              <w:pageBreakBefore w:val="0"/>
              <w:kinsoku/>
              <w:wordWrap/>
              <w:overflowPunct/>
              <w:topLinePunct w:val="0"/>
              <w:autoSpaceDE/>
              <w:autoSpaceDN/>
              <w:bidi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大气、水、噪声等监测</w:t>
            </w:r>
          </w:p>
        </w:tc>
        <w:tc>
          <w:tcPr>
            <w:tcW w:w="825" w:type="dxa"/>
            <w:shd w:val="clear" w:color="auto" w:fill="auto"/>
            <w:vAlign w:val="center"/>
          </w:tcPr>
          <w:p w14:paraId="1A8F0EC1">
            <w:pPr>
              <w:keepNext w:val="0"/>
              <w:keepLines w:val="0"/>
              <w:pageBreakBefore w:val="0"/>
              <w:kinsoku/>
              <w:wordWrap/>
              <w:overflowPunct/>
              <w:topLinePunct w:val="0"/>
              <w:autoSpaceDE/>
              <w:autoSpaceDN/>
              <w:bidi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w:t>
            </w:r>
          </w:p>
        </w:tc>
        <w:tc>
          <w:tcPr>
            <w:tcW w:w="1695" w:type="dxa"/>
            <w:shd w:val="clear" w:color="auto" w:fill="auto"/>
            <w:vAlign w:val="center"/>
          </w:tcPr>
          <w:p w14:paraId="703F3B94">
            <w:pPr>
              <w:keepNext w:val="0"/>
              <w:keepLines w:val="0"/>
              <w:pageBreakBefore w:val="0"/>
              <w:kinsoku/>
              <w:wordWrap/>
              <w:overflowPunct/>
              <w:topLinePunct w:val="0"/>
              <w:autoSpaceDE/>
              <w:autoSpaceDN/>
              <w:bidi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w:t>
            </w:r>
          </w:p>
        </w:tc>
        <w:tc>
          <w:tcPr>
            <w:tcW w:w="1020" w:type="dxa"/>
            <w:shd w:val="clear" w:color="auto" w:fill="auto"/>
            <w:vAlign w:val="center"/>
          </w:tcPr>
          <w:p w14:paraId="6FC52207">
            <w:pPr>
              <w:keepNext w:val="0"/>
              <w:keepLines w:val="0"/>
              <w:pageBreakBefore w:val="0"/>
              <w:kinsoku/>
              <w:wordWrap/>
              <w:overflowPunct/>
              <w:topLinePunct w:val="0"/>
              <w:autoSpaceDE/>
              <w:autoSpaceDN/>
              <w:bidi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w:t>
            </w:r>
          </w:p>
        </w:tc>
        <w:tc>
          <w:tcPr>
            <w:tcW w:w="2906" w:type="dxa"/>
            <w:shd w:val="clear" w:color="auto" w:fill="auto"/>
            <w:vAlign w:val="center"/>
          </w:tcPr>
          <w:p w14:paraId="20A4E412">
            <w:pPr>
              <w:keepNext w:val="0"/>
              <w:keepLines w:val="0"/>
              <w:pageBreakBefore w:val="0"/>
              <w:kinsoku/>
              <w:wordWrap/>
              <w:overflowPunct/>
              <w:topLinePunct w:val="0"/>
              <w:autoSpaceDE/>
              <w:autoSpaceDN/>
              <w:bidi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w:t>
            </w:r>
          </w:p>
        </w:tc>
        <w:tc>
          <w:tcPr>
            <w:tcW w:w="636" w:type="dxa"/>
            <w:vMerge w:val="continue"/>
            <w:vAlign w:val="center"/>
          </w:tcPr>
          <w:p w14:paraId="7514471B">
            <w:pPr>
              <w:keepNext w:val="0"/>
              <w:keepLines w:val="0"/>
              <w:pageBreakBefore w:val="0"/>
              <w:kinsoku/>
              <w:wordWrap/>
              <w:overflowPunct/>
              <w:topLinePunct w:val="0"/>
              <w:autoSpaceDE/>
              <w:autoSpaceDN/>
              <w:bidi w:val="0"/>
              <w:ind w:left="0" w:right="0"/>
              <w:textAlignment w:val="auto"/>
              <w:rPr>
                <w:rFonts w:ascii="Times New Roman" w:hAnsi="Times New Roman" w:cs="Times New Roman"/>
                <w:color w:val="auto"/>
                <w:sz w:val="21"/>
                <w:szCs w:val="21"/>
                <w:highlight w:val="none"/>
              </w:rPr>
            </w:pPr>
          </w:p>
        </w:tc>
      </w:tr>
      <w:tr w14:paraId="5F3FA60D">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3519" w:type="dxa"/>
            <w:gridSpan w:val="4"/>
            <w:shd w:val="clear" w:color="auto" w:fill="auto"/>
            <w:vAlign w:val="center"/>
          </w:tcPr>
          <w:p w14:paraId="757D5911">
            <w:pPr>
              <w:keepNext w:val="0"/>
              <w:keepLines w:val="0"/>
              <w:pageBreakBefore w:val="0"/>
              <w:kinsoku/>
              <w:wordWrap/>
              <w:overflowPunct/>
              <w:topLinePunct w:val="0"/>
              <w:autoSpaceDE/>
              <w:autoSpaceDN/>
              <w:bidi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大气环境防护距离</w:t>
            </w:r>
          </w:p>
        </w:tc>
        <w:tc>
          <w:tcPr>
            <w:tcW w:w="9943" w:type="dxa"/>
            <w:gridSpan w:val="7"/>
            <w:shd w:val="clear" w:color="auto" w:fill="auto"/>
            <w:vAlign w:val="center"/>
          </w:tcPr>
          <w:p w14:paraId="66257B44">
            <w:pPr>
              <w:keepNext w:val="0"/>
              <w:keepLines w:val="0"/>
              <w:pageBreakBefore w:val="0"/>
              <w:kinsoku/>
              <w:wordWrap/>
              <w:overflowPunct/>
              <w:topLinePunct w:val="0"/>
              <w:autoSpaceDE/>
              <w:autoSpaceDN/>
              <w:bidi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本项目不需要设置大气环境防护距离。</w:t>
            </w:r>
            <w:r>
              <w:rPr>
                <w:rFonts w:hint="eastAsia" w:ascii="Times New Roman" w:hAnsi="Times New Roman" w:eastAsia="宋体" w:cs="Times New Roman"/>
                <w:color w:val="auto"/>
                <w:sz w:val="21"/>
                <w:szCs w:val="21"/>
                <w:highlight w:val="none"/>
                <w:lang w:val="en-US" w:eastAsia="zh-CN"/>
              </w:rPr>
              <w:t>企业</w:t>
            </w:r>
            <w:r>
              <w:rPr>
                <w:rFonts w:hint="default" w:ascii="Times New Roman" w:hAnsi="Times New Roman" w:eastAsia="宋体" w:cs="Times New Roman"/>
                <w:color w:val="auto"/>
                <w:sz w:val="21"/>
                <w:szCs w:val="21"/>
                <w:highlight w:val="none"/>
              </w:rPr>
              <w:t>卫生防护距离为环氧丙烯酸树脂收罐车间</w:t>
            </w:r>
            <w:r>
              <w:rPr>
                <w:rFonts w:hint="eastAsia" w:ascii="Times New Roman" w:hAnsi="Times New Roman" w:eastAsia="宋体" w:cs="Times New Roman"/>
                <w:color w:val="auto"/>
                <w:sz w:val="21"/>
                <w:szCs w:val="21"/>
                <w:highlight w:val="none"/>
                <w:lang w:eastAsia="zh-CN"/>
              </w:rPr>
              <w:t>（</w:t>
            </w:r>
            <w:r>
              <w:rPr>
                <w:rFonts w:hint="eastAsia" w:ascii="Times New Roman" w:hAnsi="Times New Roman" w:eastAsia="宋体" w:cs="Times New Roman"/>
                <w:color w:val="auto"/>
                <w:sz w:val="21"/>
                <w:szCs w:val="21"/>
                <w:highlight w:val="none"/>
                <w:lang w:val="en-US" w:eastAsia="zh-CN"/>
              </w:rPr>
              <w:t>一工场车间</w:t>
            </w:r>
            <w:r>
              <w:rPr>
                <w:rFonts w:hint="eastAsia" w:ascii="Times New Roman" w:hAnsi="Times New Roman" w:eastAsia="宋体" w:cs="Times New Roman"/>
                <w:color w:val="auto"/>
                <w:sz w:val="21"/>
                <w:szCs w:val="21"/>
                <w:highlight w:val="none"/>
                <w:lang w:eastAsia="zh-CN"/>
              </w:rPr>
              <w:t>）</w:t>
            </w:r>
            <w:r>
              <w:rPr>
                <w:rFonts w:hint="default" w:ascii="Times New Roman" w:hAnsi="Times New Roman" w:eastAsia="宋体" w:cs="Times New Roman"/>
                <w:color w:val="auto"/>
                <w:sz w:val="21"/>
                <w:szCs w:val="21"/>
                <w:highlight w:val="none"/>
              </w:rPr>
              <w:t>、丙烯酸酯组成物收罐车间</w:t>
            </w:r>
            <w:r>
              <w:rPr>
                <w:rFonts w:hint="eastAsia" w:ascii="Times New Roman" w:hAnsi="Times New Roman" w:eastAsia="宋体" w:cs="Times New Roman"/>
                <w:color w:val="auto"/>
                <w:sz w:val="21"/>
                <w:szCs w:val="21"/>
                <w:highlight w:val="none"/>
                <w:lang w:eastAsia="zh-CN"/>
              </w:rPr>
              <w:t>（</w:t>
            </w:r>
            <w:r>
              <w:rPr>
                <w:rFonts w:hint="eastAsia" w:ascii="Times New Roman" w:hAnsi="Times New Roman" w:eastAsia="宋体" w:cs="Times New Roman"/>
                <w:color w:val="auto"/>
                <w:sz w:val="21"/>
                <w:szCs w:val="21"/>
                <w:highlight w:val="none"/>
                <w:lang w:val="en-US" w:eastAsia="zh-CN"/>
              </w:rPr>
              <w:t>二工场车间</w:t>
            </w:r>
            <w:r>
              <w:rPr>
                <w:rFonts w:hint="eastAsia" w:ascii="Times New Roman" w:hAnsi="Times New Roman" w:eastAsia="宋体" w:cs="Times New Roman"/>
                <w:color w:val="auto"/>
                <w:sz w:val="21"/>
                <w:szCs w:val="21"/>
                <w:highlight w:val="none"/>
                <w:lang w:eastAsia="zh-CN"/>
              </w:rPr>
              <w:t>）</w:t>
            </w:r>
            <w:r>
              <w:rPr>
                <w:rFonts w:hint="eastAsia" w:ascii="Times New Roman" w:hAnsi="Times New Roman" w:eastAsia="宋体" w:cs="Times New Roman"/>
                <w:color w:val="auto"/>
                <w:sz w:val="21"/>
                <w:szCs w:val="21"/>
                <w:highlight w:val="none"/>
                <w:lang w:val="en-US" w:eastAsia="zh-CN"/>
              </w:rPr>
              <w:t>外</w:t>
            </w:r>
            <w:r>
              <w:rPr>
                <w:rFonts w:hint="default" w:ascii="Times New Roman" w:hAnsi="Times New Roman" w:eastAsia="宋体" w:cs="Times New Roman"/>
                <w:color w:val="auto"/>
                <w:sz w:val="21"/>
                <w:szCs w:val="21"/>
                <w:highlight w:val="none"/>
              </w:rPr>
              <w:t>100米、</w:t>
            </w:r>
            <w:r>
              <w:rPr>
                <w:rFonts w:hint="eastAsia" w:ascii="Times New Roman" w:hAnsi="Times New Roman" w:eastAsia="宋体" w:cs="Times New Roman"/>
                <w:color w:val="auto"/>
                <w:sz w:val="21"/>
                <w:szCs w:val="21"/>
                <w:highlight w:val="none"/>
                <w:lang w:val="en-US" w:eastAsia="zh-CN"/>
              </w:rPr>
              <w:t>实验室</w:t>
            </w:r>
            <w:r>
              <w:rPr>
                <w:rFonts w:hint="default" w:ascii="Times New Roman" w:hAnsi="Times New Roman" w:eastAsia="宋体" w:cs="Times New Roman"/>
                <w:color w:val="auto"/>
                <w:sz w:val="21"/>
                <w:szCs w:val="21"/>
                <w:highlight w:val="none"/>
              </w:rPr>
              <w:t>外</w:t>
            </w:r>
            <w:r>
              <w:rPr>
                <w:rFonts w:hint="eastAsia" w:ascii="Times New Roman" w:hAnsi="Times New Roman" w:eastAsia="宋体" w:cs="Times New Roman"/>
                <w:color w:val="auto"/>
                <w:sz w:val="21"/>
                <w:szCs w:val="21"/>
                <w:highlight w:val="none"/>
                <w:lang w:val="en-US" w:eastAsia="zh-CN"/>
              </w:rPr>
              <w:t>100米</w:t>
            </w:r>
            <w:r>
              <w:rPr>
                <w:rFonts w:hint="default" w:ascii="Times New Roman" w:hAnsi="Times New Roman" w:eastAsia="宋体" w:cs="Times New Roman"/>
                <w:color w:val="auto"/>
                <w:sz w:val="21"/>
                <w:szCs w:val="21"/>
                <w:highlight w:val="none"/>
              </w:rPr>
              <w:t>包络线围成的范围。</w:t>
            </w:r>
          </w:p>
        </w:tc>
      </w:tr>
      <w:tr w14:paraId="60C81986">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3519" w:type="dxa"/>
            <w:gridSpan w:val="4"/>
            <w:vMerge w:val="restart"/>
            <w:shd w:val="clear" w:color="auto" w:fill="auto"/>
            <w:vAlign w:val="center"/>
          </w:tcPr>
          <w:p w14:paraId="0D6BF45F">
            <w:pPr>
              <w:keepNext w:val="0"/>
              <w:keepLines w:val="0"/>
              <w:pageBreakBefore w:val="0"/>
              <w:kinsoku/>
              <w:wordWrap/>
              <w:overflowPunct/>
              <w:topLinePunct w:val="0"/>
              <w:autoSpaceDE/>
              <w:autoSpaceDN/>
              <w:bidi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总量平衡具体方案</w:t>
            </w:r>
          </w:p>
        </w:tc>
        <w:tc>
          <w:tcPr>
            <w:tcW w:w="9943" w:type="dxa"/>
            <w:gridSpan w:val="7"/>
            <w:shd w:val="clear" w:color="auto" w:fill="auto"/>
            <w:vAlign w:val="center"/>
          </w:tcPr>
          <w:p w14:paraId="0E4FBE93">
            <w:pPr>
              <w:keepNext w:val="0"/>
              <w:keepLines w:val="0"/>
              <w:pageBreakBefore w:val="0"/>
              <w:kinsoku/>
              <w:wordWrap/>
              <w:overflowPunct/>
              <w:topLinePunct w:val="0"/>
              <w:autoSpaceDE/>
              <w:autoSpaceDN/>
              <w:bidi w:val="0"/>
              <w:ind w:left="0" w:right="0"/>
              <w:jc w:val="both"/>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本项目选址位于“双控区”和“太湖流域”，项目所在地属于太湖流域水污染防治三级保护区。总量控制指标为：</w:t>
            </w:r>
          </w:p>
        </w:tc>
      </w:tr>
      <w:tr w14:paraId="6594D1F2">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3519" w:type="dxa"/>
            <w:gridSpan w:val="4"/>
            <w:vMerge w:val="continue"/>
            <w:vAlign w:val="center"/>
          </w:tcPr>
          <w:p w14:paraId="4ABEAF83">
            <w:pPr>
              <w:keepNext w:val="0"/>
              <w:keepLines w:val="0"/>
              <w:pageBreakBefore w:val="0"/>
              <w:kinsoku/>
              <w:wordWrap/>
              <w:overflowPunct/>
              <w:topLinePunct w:val="0"/>
              <w:autoSpaceDE/>
              <w:autoSpaceDN/>
              <w:bidi w:val="0"/>
              <w:ind w:left="0" w:right="0"/>
              <w:textAlignment w:val="auto"/>
              <w:rPr>
                <w:rFonts w:ascii="Times New Roman" w:hAnsi="Times New Roman" w:cs="Times New Roman"/>
                <w:color w:val="auto"/>
                <w:sz w:val="21"/>
                <w:szCs w:val="21"/>
                <w:highlight w:val="none"/>
              </w:rPr>
            </w:pPr>
          </w:p>
        </w:tc>
        <w:tc>
          <w:tcPr>
            <w:tcW w:w="9943" w:type="dxa"/>
            <w:gridSpan w:val="7"/>
            <w:shd w:val="clear" w:color="auto" w:fill="auto"/>
            <w:vAlign w:val="center"/>
          </w:tcPr>
          <w:p w14:paraId="28213FD0">
            <w:pPr>
              <w:keepNext w:val="0"/>
              <w:keepLines w:val="0"/>
              <w:pageBreakBefore w:val="0"/>
              <w:numPr>
                <w:ilvl w:val="0"/>
                <w:numId w:val="35"/>
              </w:numPr>
              <w:kinsoku/>
              <w:wordWrap/>
              <w:overflowPunct/>
              <w:topLinePunct w:val="0"/>
              <w:autoSpaceDE/>
              <w:autoSpaceDN/>
              <w:bidi w:val="0"/>
              <w:ind w:left="0" w:right="0"/>
              <w:jc w:val="both"/>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大气污染物：</w:t>
            </w:r>
          </w:p>
          <w:p w14:paraId="72B1121B">
            <w:pPr>
              <w:keepNext w:val="0"/>
              <w:keepLines w:val="0"/>
              <w:pageBreakBefore w:val="0"/>
              <w:kinsoku/>
              <w:wordWrap/>
              <w:overflowPunct/>
              <w:topLinePunct w:val="0"/>
              <w:autoSpaceDE/>
              <w:autoSpaceDN/>
              <w:bidi w:val="0"/>
              <w:ind w:left="0" w:right="0"/>
              <w:jc w:val="both"/>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有组织：（本项目）非甲烷总烃</w:t>
            </w:r>
            <w:r>
              <w:rPr>
                <w:rFonts w:hint="eastAsia" w:ascii="Times New Roman" w:hAnsi="Times New Roman" w:cs="Times New Roman"/>
                <w:color w:val="auto"/>
                <w:sz w:val="21"/>
                <w:szCs w:val="21"/>
                <w:highlight w:val="none"/>
                <w:lang w:val="en-US" w:eastAsia="zh-CN"/>
              </w:rPr>
              <w:t>0.116</w:t>
            </w:r>
            <w:r>
              <w:rPr>
                <w:rFonts w:ascii="Times New Roman" w:hAnsi="Times New Roman" w:cs="Times New Roman"/>
                <w:color w:val="auto"/>
                <w:sz w:val="21"/>
                <w:szCs w:val="21"/>
                <w:highlight w:val="none"/>
              </w:rPr>
              <w:t>t/a</w:t>
            </w:r>
            <w:r>
              <w:rPr>
                <w:rFonts w:hint="eastAsia" w:ascii="Times New Roman" w:hAnsi="Times New Roman" w:cs="Times New Roman"/>
                <w:color w:val="auto"/>
                <w:sz w:val="21"/>
                <w:szCs w:val="21"/>
                <w:highlight w:val="none"/>
                <w:lang w:eastAsia="zh-CN"/>
              </w:rPr>
              <w:t>、</w:t>
            </w:r>
            <w:r>
              <w:rPr>
                <w:rFonts w:hint="eastAsia" w:ascii="Times New Roman" w:hAnsi="Times New Roman" w:cs="Times New Roman"/>
                <w:color w:val="auto"/>
                <w:sz w:val="21"/>
                <w:szCs w:val="21"/>
                <w:highlight w:val="none"/>
                <w:lang w:val="en-US" w:eastAsia="zh-CN"/>
              </w:rPr>
              <w:t>氮氧化物0.0003t/a</w:t>
            </w:r>
            <w:r>
              <w:rPr>
                <w:rFonts w:ascii="Times New Roman" w:hAnsi="Times New Roman" w:cs="Times New Roman"/>
                <w:color w:val="auto"/>
                <w:sz w:val="21"/>
                <w:szCs w:val="21"/>
                <w:highlight w:val="none"/>
              </w:rPr>
              <w:t>；（全厂）非甲烷总烃</w:t>
            </w:r>
            <w:r>
              <w:rPr>
                <w:rFonts w:hint="eastAsia" w:ascii="Times New Roman" w:hAnsi="Times New Roman" w:cs="Times New Roman"/>
                <w:color w:val="auto"/>
                <w:sz w:val="21"/>
                <w:szCs w:val="21"/>
                <w:highlight w:val="none"/>
                <w:lang w:val="en-US" w:eastAsia="zh-CN"/>
              </w:rPr>
              <w:t>1.90916</w:t>
            </w:r>
            <w:r>
              <w:rPr>
                <w:rFonts w:ascii="Times New Roman" w:hAnsi="Times New Roman" w:cs="Times New Roman"/>
                <w:color w:val="auto"/>
                <w:sz w:val="21"/>
                <w:szCs w:val="21"/>
                <w:highlight w:val="none"/>
              </w:rPr>
              <w:t>t/a</w:t>
            </w:r>
            <w:r>
              <w:rPr>
                <w:rFonts w:hint="eastAsia" w:ascii="Times New Roman" w:hAnsi="Times New Roman" w:cs="Times New Roman"/>
                <w:color w:val="auto"/>
                <w:sz w:val="21"/>
                <w:szCs w:val="21"/>
                <w:highlight w:val="none"/>
                <w:lang w:eastAsia="zh-CN"/>
              </w:rPr>
              <w:t>、</w:t>
            </w:r>
            <w:r>
              <w:rPr>
                <w:rFonts w:hint="eastAsia" w:ascii="Times New Roman" w:hAnsi="Times New Roman" w:cs="Times New Roman"/>
                <w:color w:val="auto"/>
                <w:sz w:val="21"/>
                <w:szCs w:val="21"/>
                <w:highlight w:val="none"/>
                <w:lang w:val="en-US" w:eastAsia="zh-CN"/>
              </w:rPr>
              <w:t>氮氧化物0.0003t/a</w:t>
            </w:r>
            <w:r>
              <w:rPr>
                <w:rFonts w:ascii="Times New Roman" w:hAnsi="Times New Roman" w:cs="Times New Roman"/>
                <w:color w:val="auto"/>
                <w:sz w:val="21"/>
                <w:szCs w:val="21"/>
                <w:highlight w:val="none"/>
              </w:rPr>
              <w:t>。</w:t>
            </w:r>
          </w:p>
          <w:p w14:paraId="43F672CB">
            <w:pPr>
              <w:keepNext w:val="0"/>
              <w:keepLines w:val="0"/>
              <w:pageBreakBefore w:val="0"/>
              <w:kinsoku/>
              <w:wordWrap/>
              <w:overflowPunct/>
              <w:topLinePunct w:val="0"/>
              <w:autoSpaceDE/>
              <w:autoSpaceDN/>
              <w:bidi w:val="0"/>
              <w:ind w:left="0" w:right="0"/>
              <w:jc w:val="both"/>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无组织：（本项目）非甲烷总烃</w:t>
            </w:r>
            <w:r>
              <w:rPr>
                <w:rFonts w:hint="eastAsia" w:ascii="Times New Roman" w:hAnsi="Times New Roman" w:cs="Times New Roman"/>
                <w:color w:val="auto"/>
                <w:sz w:val="21"/>
                <w:szCs w:val="21"/>
                <w:highlight w:val="none"/>
                <w:lang w:eastAsia="zh-CN"/>
              </w:rPr>
              <w:t>（</w:t>
            </w:r>
            <w:r>
              <w:rPr>
                <w:rFonts w:hint="eastAsia" w:ascii="Times New Roman" w:hAnsi="Times New Roman" w:cs="Times New Roman"/>
                <w:color w:val="auto"/>
                <w:sz w:val="21"/>
                <w:szCs w:val="21"/>
                <w:highlight w:val="none"/>
                <w:lang w:val="en-US" w:eastAsia="zh-CN"/>
              </w:rPr>
              <w:t>含甲醇</w:t>
            </w:r>
            <w:r>
              <w:rPr>
                <w:rFonts w:hint="eastAsia" w:ascii="Times New Roman" w:hAnsi="Times New Roman" w:cs="Times New Roman"/>
                <w:color w:val="auto"/>
                <w:sz w:val="21"/>
                <w:szCs w:val="21"/>
                <w:highlight w:val="none"/>
                <w:lang w:eastAsia="zh-CN"/>
              </w:rPr>
              <w:t>）</w:t>
            </w:r>
            <w:r>
              <w:rPr>
                <w:rFonts w:hint="eastAsia" w:ascii="Times New Roman" w:hAnsi="Times New Roman" w:cs="Times New Roman"/>
                <w:color w:val="auto"/>
                <w:sz w:val="21"/>
                <w:szCs w:val="21"/>
                <w:highlight w:val="none"/>
                <w:lang w:val="en-US" w:eastAsia="zh-CN"/>
              </w:rPr>
              <w:t>0.0248</w:t>
            </w:r>
            <w:r>
              <w:rPr>
                <w:rFonts w:ascii="Times New Roman" w:hAnsi="Times New Roman" w:cs="Times New Roman"/>
                <w:color w:val="auto"/>
                <w:sz w:val="21"/>
                <w:szCs w:val="21"/>
                <w:highlight w:val="none"/>
              </w:rPr>
              <w:t>t/a</w:t>
            </w:r>
            <w:r>
              <w:rPr>
                <w:rFonts w:hint="eastAsia" w:ascii="Times New Roman" w:hAnsi="Times New Roman" w:cs="Times New Roman"/>
                <w:color w:val="auto"/>
                <w:sz w:val="21"/>
                <w:szCs w:val="21"/>
                <w:highlight w:val="none"/>
                <w:lang w:eastAsia="zh-CN"/>
              </w:rPr>
              <w:t>、</w:t>
            </w:r>
            <w:r>
              <w:rPr>
                <w:rFonts w:hint="eastAsia" w:ascii="Times New Roman" w:hAnsi="Times New Roman" w:cs="Times New Roman"/>
                <w:color w:val="auto"/>
                <w:sz w:val="21"/>
                <w:szCs w:val="21"/>
                <w:highlight w:val="none"/>
                <w:lang w:val="en-US" w:eastAsia="zh-CN"/>
              </w:rPr>
              <w:t>氮氧化物0.00003t/a、甲醇0.0008t/a</w:t>
            </w:r>
            <w:r>
              <w:rPr>
                <w:rFonts w:ascii="Times New Roman" w:hAnsi="Times New Roman" w:cs="Times New Roman"/>
                <w:color w:val="auto"/>
                <w:sz w:val="21"/>
                <w:szCs w:val="21"/>
                <w:highlight w:val="none"/>
              </w:rPr>
              <w:t>；（全厂）非甲烷总烃（含甲醇）</w:t>
            </w:r>
            <w:r>
              <w:rPr>
                <w:rFonts w:hint="eastAsia" w:ascii="Times New Roman" w:hAnsi="Times New Roman" w:cs="Times New Roman"/>
                <w:color w:val="auto"/>
                <w:sz w:val="21"/>
                <w:szCs w:val="21"/>
                <w:highlight w:val="none"/>
                <w:lang w:val="en-US" w:eastAsia="zh-CN"/>
              </w:rPr>
              <w:t>0.04955</w:t>
            </w:r>
            <w:r>
              <w:rPr>
                <w:rFonts w:ascii="Times New Roman" w:hAnsi="Times New Roman" w:cs="Times New Roman"/>
                <w:color w:val="auto"/>
                <w:sz w:val="21"/>
                <w:szCs w:val="21"/>
                <w:highlight w:val="none"/>
              </w:rPr>
              <w:t>t/a</w:t>
            </w:r>
            <w:r>
              <w:rPr>
                <w:rFonts w:hint="eastAsia" w:ascii="Times New Roman" w:hAnsi="Times New Roman" w:cs="Times New Roman"/>
                <w:color w:val="auto"/>
                <w:sz w:val="21"/>
                <w:szCs w:val="21"/>
                <w:highlight w:val="none"/>
                <w:lang w:eastAsia="zh-CN"/>
              </w:rPr>
              <w:t>、</w:t>
            </w:r>
            <w:r>
              <w:rPr>
                <w:rFonts w:hint="eastAsia" w:ascii="Times New Roman" w:hAnsi="Times New Roman" w:cs="Times New Roman"/>
                <w:color w:val="auto"/>
                <w:sz w:val="21"/>
                <w:szCs w:val="21"/>
                <w:highlight w:val="none"/>
                <w:lang w:val="en-US" w:eastAsia="zh-CN"/>
              </w:rPr>
              <w:t>氮氧化物0.00003t/a、甲醇0.0008t/a</w:t>
            </w:r>
            <w:r>
              <w:rPr>
                <w:rFonts w:ascii="Times New Roman" w:hAnsi="Times New Roman" w:cs="Times New Roman"/>
                <w:color w:val="auto"/>
                <w:sz w:val="21"/>
                <w:szCs w:val="21"/>
                <w:highlight w:val="none"/>
              </w:rPr>
              <w:t>。</w:t>
            </w:r>
          </w:p>
          <w:p w14:paraId="76A3AA08">
            <w:pPr>
              <w:keepNext w:val="0"/>
              <w:keepLines w:val="0"/>
              <w:pageBreakBefore w:val="0"/>
              <w:kinsoku/>
              <w:wordWrap/>
              <w:overflowPunct/>
              <w:topLinePunct w:val="0"/>
              <w:autoSpaceDE/>
              <w:autoSpaceDN/>
              <w:bidi w:val="0"/>
              <w:ind w:left="0" w:right="0"/>
              <w:jc w:val="both"/>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在原已审批项目和无锡市锡山区范围内平衡。</w:t>
            </w:r>
          </w:p>
        </w:tc>
      </w:tr>
      <w:tr w14:paraId="76B2FB9B">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3519" w:type="dxa"/>
            <w:gridSpan w:val="4"/>
            <w:vMerge w:val="continue"/>
            <w:vAlign w:val="center"/>
          </w:tcPr>
          <w:p w14:paraId="156803F8">
            <w:pPr>
              <w:keepNext w:val="0"/>
              <w:keepLines w:val="0"/>
              <w:pageBreakBefore w:val="0"/>
              <w:kinsoku/>
              <w:wordWrap/>
              <w:overflowPunct/>
              <w:topLinePunct w:val="0"/>
              <w:autoSpaceDE/>
              <w:autoSpaceDN/>
              <w:bidi w:val="0"/>
              <w:ind w:left="0" w:right="0"/>
              <w:textAlignment w:val="auto"/>
              <w:rPr>
                <w:rFonts w:ascii="Times New Roman" w:hAnsi="Times New Roman" w:cs="Times New Roman"/>
                <w:color w:val="auto"/>
                <w:sz w:val="21"/>
                <w:szCs w:val="21"/>
                <w:highlight w:val="none"/>
              </w:rPr>
            </w:pPr>
          </w:p>
        </w:tc>
        <w:tc>
          <w:tcPr>
            <w:tcW w:w="9943" w:type="dxa"/>
            <w:gridSpan w:val="7"/>
            <w:shd w:val="clear" w:color="auto" w:fill="auto"/>
            <w:vAlign w:val="center"/>
          </w:tcPr>
          <w:p w14:paraId="624480C0">
            <w:pPr>
              <w:keepNext w:val="0"/>
              <w:keepLines w:val="0"/>
              <w:pageBreakBefore w:val="0"/>
              <w:numPr>
                <w:ilvl w:val="0"/>
                <w:numId w:val="35"/>
              </w:numPr>
              <w:kinsoku/>
              <w:wordWrap/>
              <w:overflowPunct/>
              <w:topLinePunct w:val="0"/>
              <w:autoSpaceDE/>
              <w:autoSpaceDN/>
              <w:bidi w:val="0"/>
              <w:ind w:left="0" w:right="0"/>
              <w:jc w:val="both"/>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水污染物：</w:t>
            </w:r>
          </w:p>
          <w:p w14:paraId="502E6819">
            <w:pPr>
              <w:keepNext w:val="0"/>
              <w:keepLines w:val="0"/>
              <w:pageBreakBefore w:val="0"/>
              <w:kinsoku/>
              <w:wordWrap/>
              <w:overflowPunct/>
              <w:topLinePunct w:val="0"/>
              <w:autoSpaceDE/>
              <w:autoSpaceDN/>
              <w:bidi w:val="0"/>
              <w:ind w:left="0" w:right="0"/>
              <w:jc w:val="both"/>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接管水量：3800t/a，各污染物的接管考核量：COD：0.5t/a、SS：0.248t/a、氨氮：0.06t/a、总氮：0.1188t/a、总磷：0.004t/a。</w:t>
            </w:r>
          </w:p>
          <w:p w14:paraId="302A64C3">
            <w:pPr>
              <w:keepNext w:val="0"/>
              <w:keepLines w:val="0"/>
              <w:pageBreakBefore w:val="0"/>
              <w:kinsoku/>
              <w:wordWrap/>
              <w:overflowPunct/>
              <w:topLinePunct w:val="0"/>
              <w:autoSpaceDE/>
              <w:autoSpaceDN/>
              <w:bidi w:val="0"/>
              <w:ind w:left="0" w:right="0"/>
              <w:jc w:val="both"/>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水污染物接管无锡市锡山云林污水处理有限公司处理，水污染物总量在无锡市锡山云林污水处理有限公司内平衡。</w:t>
            </w:r>
          </w:p>
        </w:tc>
      </w:tr>
      <w:tr w14:paraId="168FCFC2">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3519" w:type="dxa"/>
            <w:gridSpan w:val="4"/>
            <w:vMerge w:val="continue"/>
            <w:vAlign w:val="center"/>
          </w:tcPr>
          <w:p w14:paraId="48CB16DF">
            <w:pPr>
              <w:keepNext w:val="0"/>
              <w:keepLines w:val="0"/>
              <w:pageBreakBefore w:val="0"/>
              <w:kinsoku/>
              <w:wordWrap/>
              <w:overflowPunct/>
              <w:topLinePunct w:val="0"/>
              <w:autoSpaceDE/>
              <w:autoSpaceDN/>
              <w:bidi w:val="0"/>
              <w:ind w:left="0" w:right="0"/>
              <w:textAlignment w:val="auto"/>
              <w:rPr>
                <w:rFonts w:ascii="Times New Roman" w:hAnsi="Times New Roman" w:cs="Times New Roman"/>
                <w:color w:val="auto"/>
                <w:sz w:val="21"/>
                <w:szCs w:val="21"/>
                <w:highlight w:val="none"/>
              </w:rPr>
            </w:pPr>
          </w:p>
        </w:tc>
        <w:tc>
          <w:tcPr>
            <w:tcW w:w="9943" w:type="dxa"/>
            <w:gridSpan w:val="7"/>
            <w:shd w:val="clear" w:color="auto" w:fill="auto"/>
            <w:vAlign w:val="center"/>
          </w:tcPr>
          <w:p w14:paraId="6856845B">
            <w:pPr>
              <w:keepNext w:val="0"/>
              <w:keepLines w:val="0"/>
              <w:pageBreakBefore w:val="0"/>
              <w:numPr>
                <w:ilvl w:val="0"/>
                <w:numId w:val="35"/>
              </w:numPr>
              <w:kinsoku/>
              <w:wordWrap/>
              <w:overflowPunct/>
              <w:topLinePunct w:val="0"/>
              <w:autoSpaceDE/>
              <w:autoSpaceDN/>
              <w:bidi w:val="0"/>
              <w:ind w:left="0" w:right="0"/>
              <w:jc w:val="both"/>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固体废物</w:t>
            </w:r>
          </w:p>
          <w:p w14:paraId="08932C91">
            <w:pPr>
              <w:keepNext w:val="0"/>
              <w:keepLines w:val="0"/>
              <w:pageBreakBefore w:val="0"/>
              <w:kinsoku/>
              <w:wordWrap/>
              <w:overflowPunct/>
              <w:topLinePunct w:val="0"/>
              <w:autoSpaceDE/>
              <w:autoSpaceDN/>
              <w:bidi w:val="0"/>
              <w:ind w:left="0" w:right="0"/>
              <w:jc w:val="both"/>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lang w:eastAsia="zh-CN"/>
              </w:rPr>
              <w:t>“</w:t>
            </w:r>
            <w:r>
              <w:rPr>
                <w:rFonts w:ascii="Times New Roman" w:hAnsi="Times New Roman" w:cs="Times New Roman"/>
                <w:color w:val="auto"/>
                <w:sz w:val="21"/>
                <w:szCs w:val="21"/>
                <w:highlight w:val="none"/>
              </w:rPr>
              <w:t>零</w:t>
            </w:r>
            <w:r>
              <w:rPr>
                <w:rFonts w:hint="eastAsia" w:ascii="Times New Roman" w:hAnsi="Times New Roman" w:cs="Times New Roman"/>
                <w:color w:val="auto"/>
                <w:sz w:val="21"/>
                <w:szCs w:val="21"/>
                <w:highlight w:val="none"/>
                <w:lang w:eastAsia="zh-CN"/>
              </w:rPr>
              <w:t>”</w:t>
            </w:r>
            <w:r>
              <w:rPr>
                <w:rFonts w:ascii="Times New Roman" w:hAnsi="Times New Roman" w:cs="Times New Roman"/>
                <w:color w:val="auto"/>
                <w:sz w:val="21"/>
                <w:szCs w:val="21"/>
                <w:highlight w:val="none"/>
              </w:rPr>
              <w:t>排放。</w:t>
            </w:r>
          </w:p>
        </w:tc>
      </w:tr>
      <w:tr w14:paraId="425BC41D">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3519" w:type="dxa"/>
            <w:gridSpan w:val="4"/>
            <w:shd w:val="clear" w:color="auto" w:fill="auto"/>
            <w:vAlign w:val="center"/>
          </w:tcPr>
          <w:p w14:paraId="43324996">
            <w:pPr>
              <w:keepNext w:val="0"/>
              <w:keepLines w:val="0"/>
              <w:pageBreakBefore w:val="0"/>
              <w:kinsoku/>
              <w:wordWrap/>
              <w:overflowPunct/>
              <w:topLinePunct w:val="0"/>
              <w:autoSpaceDE/>
              <w:autoSpaceDN/>
              <w:bidi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合计</w:t>
            </w:r>
          </w:p>
        </w:tc>
        <w:tc>
          <w:tcPr>
            <w:tcW w:w="9943" w:type="dxa"/>
            <w:gridSpan w:val="7"/>
            <w:shd w:val="clear" w:color="auto" w:fill="auto"/>
            <w:vAlign w:val="center"/>
          </w:tcPr>
          <w:p w14:paraId="61E6A71C">
            <w:pPr>
              <w:keepNext w:val="0"/>
              <w:keepLines w:val="0"/>
              <w:pageBreakBefore w:val="0"/>
              <w:kinsoku/>
              <w:wordWrap/>
              <w:overflowPunct/>
              <w:topLinePunct w:val="0"/>
              <w:autoSpaceDE/>
              <w:autoSpaceDN/>
              <w:bidi w:val="0"/>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环保投资</w:t>
            </w:r>
            <w:r>
              <w:rPr>
                <w:rFonts w:hint="eastAsia" w:ascii="Times New Roman" w:hAnsi="Times New Roman" w:cs="Times New Roman"/>
                <w:color w:val="auto"/>
                <w:sz w:val="21"/>
                <w:szCs w:val="21"/>
                <w:highlight w:val="none"/>
                <w:lang w:val="en-US" w:eastAsia="zh-CN"/>
              </w:rPr>
              <w:t>15</w:t>
            </w:r>
            <w:r>
              <w:rPr>
                <w:rFonts w:ascii="Times New Roman" w:hAnsi="Times New Roman" w:cs="Times New Roman"/>
                <w:color w:val="auto"/>
                <w:sz w:val="21"/>
                <w:szCs w:val="21"/>
                <w:highlight w:val="none"/>
              </w:rPr>
              <w:t>万元</w:t>
            </w:r>
          </w:p>
        </w:tc>
      </w:tr>
    </w:tbl>
    <w:p w14:paraId="459B730F">
      <w:pPr>
        <w:spacing w:line="360" w:lineRule="auto"/>
        <w:ind w:left="-105" w:right="-105"/>
        <w:rPr>
          <w:rFonts w:ascii="Times New Roman" w:hAnsi="Times New Roman"/>
          <w:color w:val="auto"/>
          <w:szCs w:val="22"/>
          <w:highlight w:val="none"/>
        </w:rPr>
      </w:pPr>
      <w:bookmarkStart w:id="508" w:name="_Toc15942"/>
    </w:p>
    <w:p w14:paraId="59A82F64">
      <w:pPr>
        <w:spacing w:line="360" w:lineRule="auto"/>
        <w:ind w:left="-105" w:right="-105"/>
        <w:rPr>
          <w:rFonts w:ascii="Times New Roman" w:hAnsi="Times New Roman"/>
          <w:color w:val="auto"/>
          <w:szCs w:val="22"/>
          <w:highlight w:val="none"/>
        </w:rPr>
        <w:sectPr>
          <w:pgSz w:w="16838" w:h="11906" w:orient="landscape"/>
          <w:pgMar w:top="1701" w:right="1440" w:bottom="1701" w:left="1440" w:header="851" w:footer="851" w:gutter="0"/>
          <w:pgBorders>
            <w:top w:val="none" w:sz="0" w:space="0"/>
            <w:left w:val="none" w:sz="0" w:space="0"/>
            <w:bottom w:val="none" w:sz="0" w:space="0"/>
            <w:right w:val="none" w:sz="0" w:space="0"/>
          </w:pgBorders>
          <w:cols w:space="720" w:num="1"/>
          <w:docGrid w:linePitch="498" w:charSpace="-2336"/>
        </w:sectPr>
      </w:pPr>
    </w:p>
    <w:bookmarkEnd w:id="508"/>
    <w:p w14:paraId="2EDF21D4">
      <w:pPr>
        <w:pStyle w:val="3"/>
        <w:numPr>
          <w:ilvl w:val="0"/>
          <w:numId w:val="6"/>
        </w:numPr>
        <w:spacing w:before="120" w:beforeLines="50" w:afterLines="50" w:line="360" w:lineRule="auto"/>
        <w:ind w:left="-105" w:right="-105"/>
        <w:rPr>
          <w:rFonts w:ascii="Times New Roman" w:eastAsia="宋体"/>
          <w:color w:val="auto"/>
          <w:sz w:val="32"/>
          <w:szCs w:val="32"/>
          <w:highlight w:val="none"/>
        </w:rPr>
      </w:pPr>
      <w:bookmarkStart w:id="509" w:name="_Toc60653608"/>
      <w:bookmarkStart w:id="510" w:name="_Toc14490"/>
      <w:bookmarkStart w:id="511" w:name="_Toc5852"/>
      <w:r>
        <w:rPr>
          <w:rFonts w:ascii="Times New Roman" w:eastAsia="宋体"/>
          <w:color w:val="auto"/>
          <w:sz w:val="32"/>
          <w:szCs w:val="32"/>
          <w:highlight w:val="none"/>
        </w:rPr>
        <w:t>环境影响经济损益分析</w:t>
      </w:r>
      <w:bookmarkEnd w:id="509"/>
      <w:bookmarkEnd w:id="510"/>
      <w:bookmarkEnd w:id="511"/>
    </w:p>
    <w:p w14:paraId="5B9353B3">
      <w:pPr>
        <w:pStyle w:val="97"/>
        <w:autoSpaceDE w:val="0"/>
        <w:autoSpaceDN w:val="0"/>
        <w:spacing w:line="360" w:lineRule="auto"/>
        <w:ind w:left="-105" w:right="-105" w:firstLine="480"/>
        <w:rPr>
          <w:rFonts w:eastAsia="宋体"/>
          <w:color w:val="auto"/>
          <w:sz w:val="24"/>
          <w:szCs w:val="22"/>
          <w:highlight w:val="none"/>
        </w:rPr>
      </w:pPr>
      <w:r>
        <w:rPr>
          <w:rFonts w:hint="eastAsia" w:eastAsia="宋体"/>
          <w:color w:val="auto"/>
          <w:sz w:val="24"/>
          <w:szCs w:val="22"/>
          <w:highlight w:val="none"/>
        </w:rPr>
        <w:t>环境经济损益分析是从经济学的角度来分析、预测工程建设项目的环境损益，是环境影响评价的重要环节之一，其工作内容是确保环保措施的项目内容，通过统计分析环保措施投入的资金及环保投资占工程总投资的比例，环保设施的运转费用，削减污染物量的情况，综合利用的效益等，说明建设项目环保措施的可行性和环保投资的合理性，其主要任务是衡量建设项目投入的环保投资所能获得的环保效果，从经济角度采用价值形式分析环境对人类经济活动的适宜性，分析人类开发活动对环境的影响，对项目建设造成的环境影响进行技术、经济评价分析，最终实现经济效益、社会效益和环境效益的统一。</w:t>
      </w:r>
    </w:p>
    <w:p w14:paraId="4554314C">
      <w:pPr>
        <w:pStyle w:val="4"/>
        <w:numPr>
          <w:ilvl w:val="1"/>
          <w:numId w:val="0"/>
        </w:numPr>
        <w:tabs>
          <w:tab w:val="left" w:pos="426"/>
        </w:tabs>
        <w:spacing w:before="120" w:beforeLines="50" w:line="360" w:lineRule="auto"/>
        <w:ind w:right="-105"/>
        <w:rPr>
          <w:rFonts w:ascii="Times New Roman" w:eastAsia="宋体"/>
          <w:color w:val="auto"/>
          <w:sz w:val="28"/>
          <w:szCs w:val="28"/>
          <w:highlight w:val="none"/>
        </w:rPr>
      </w:pPr>
      <w:bookmarkStart w:id="512" w:name="_Toc60653609"/>
      <w:bookmarkStart w:id="513" w:name="_Toc11296"/>
      <w:bookmarkStart w:id="514" w:name="_Toc17416"/>
      <w:r>
        <w:rPr>
          <w:rFonts w:hint="eastAsia" w:ascii="Times New Roman" w:eastAsia="宋体"/>
          <w:color w:val="auto"/>
          <w:sz w:val="28"/>
          <w:szCs w:val="28"/>
          <w:highlight w:val="none"/>
        </w:rPr>
        <w:t>8.1</w:t>
      </w:r>
      <w:r>
        <w:rPr>
          <w:rFonts w:ascii="Times New Roman" w:eastAsia="宋体"/>
          <w:color w:val="auto"/>
          <w:sz w:val="28"/>
          <w:szCs w:val="28"/>
          <w:highlight w:val="none"/>
        </w:rPr>
        <w:t>经济效益分析</w:t>
      </w:r>
      <w:bookmarkEnd w:id="512"/>
      <w:bookmarkEnd w:id="513"/>
      <w:bookmarkEnd w:id="514"/>
    </w:p>
    <w:p w14:paraId="15C57243">
      <w:pPr>
        <w:spacing w:line="360" w:lineRule="auto"/>
        <w:ind w:left="-105" w:right="-105" w:firstLine="480" w:firstLineChars="200"/>
        <w:rPr>
          <w:rFonts w:ascii="Times New Roman" w:hAnsi="Times New Roman"/>
          <w:color w:val="auto"/>
          <w:szCs w:val="22"/>
          <w:highlight w:val="none"/>
        </w:rPr>
      </w:pPr>
      <w:r>
        <w:rPr>
          <w:rFonts w:ascii="Times New Roman" w:hAnsi="Times New Roman" w:cs="Times New Roman"/>
          <w:color w:val="auto"/>
          <w:szCs w:val="22"/>
          <w:highlight w:val="none"/>
        </w:rPr>
        <w:t>本项目拟投资</w:t>
      </w:r>
      <w:r>
        <w:rPr>
          <w:rFonts w:hint="eastAsia" w:ascii="Times New Roman" w:hAnsi="Times New Roman" w:cs="Times New Roman"/>
          <w:color w:val="auto"/>
          <w:szCs w:val="22"/>
          <w:highlight w:val="none"/>
          <w:lang w:val="en-US" w:eastAsia="zh-CN"/>
        </w:rPr>
        <w:t>1</w:t>
      </w:r>
      <w:r>
        <w:rPr>
          <w:rFonts w:ascii="Times New Roman" w:hAnsi="Times New Roman" w:cs="Times New Roman"/>
          <w:color w:val="auto"/>
          <w:szCs w:val="22"/>
          <w:highlight w:val="none"/>
        </w:rPr>
        <w:t>000万元</w:t>
      </w:r>
      <w:r>
        <w:rPr>
          <w:rFonts w:ascii="Times New Roman" w:hAnsi="Times New Roman" w:cs="Times New Roman"/>
          <w:color w:val="auto"/>
          <w:szCs w:val="22"/>
          <w:highlight w:val="none"/>
        </w:rPr>
        <w:t>，公司生产的</w:t>
      </w:r>
      <w:r>
        <w:rPr>
          <w:rFonts w:hint="eastAsia" w:ascii="Times New Roman" w:hAnsi="Times New Roman" w:cs="Times New Roman"/>
          <w:color w:val="auto"/>
          <w:szCs w:val="22"/>
          <w:highlight w:val="none"/>
        </w:rPr>
        <w:t>剥离液</w:t>
      </w:r>
      <w:r>
        <w:rPr>
          <w:rFonts w:ascii="Times New Roman" w:hAnsi="Times New Roman" w:cs="Times New Roman"/>
          <w:color w:val="auto"/>
          <w:szCs w:val="22"/>
          <w:highlight w:val="none"/>
        </w:rPr>
        <w:t>主要供应对象包括</w:t>
      </w:r>
      <w:r>
        <w:rPr>
          <w:rFonts w:hint="eastAsia" w:ascii="Times New Roman" w:hAnsi="Times New Roman" w:cs="Times New Roman"/>
          <w:color w:val="auto"/>
          <w:szCs w:val="22"/>
          <w:highlight w:val="none"/>
        </w:rPr>
        <w:t>索尼半导体、铠侠（前东芝）、日亚化学、STMicroelectronics等众多半导体厂商</w:t>
      </w:r>
      <w:r>
        <w:rPr>
          <w:rFonts w:ascii="Times New Roman" w:hAnsi="Times New Roman" w:cs="Times New Roman"/>
          <w:color w:val="auto"/>
          <w:szCs w:val="22"/>
          <w:highlight w:val="none"/>
        </w:rPr>
        <w:t>。具有较好的经济效益，在市场上具有较大的竞争力。</w:t>
      </w:r>
    </w:p>
    <w:p w14:paraId="16074B8D">
      <w:pPr>
        <w:spacing w:line="360" w:lineRule="auto"/>
        <w:ind w:left="-105" w:right="-105" w:firstLine="480" w:firstLineChars="200"/>
        <w:rPr>
          <w:rFonts w:ascii="Times New Roman" w:hAnsi="Times New Roman"/>
          <w:color w:val="auto"/>
          <w:szCs w:val="22"/>
          <w:highlight w:val="none"/>
        </w:rPr>
      </w:pPr>
      <w:r>
        <w:rPr>
          <w:rFonts w:ascii="Times New Roman" w:hAnsi="Times New Roman"/>
          <w:color w:val="auto"/>
          <w:szCs w:val="22"/>
          <w:highlight w:val="none"/>
        </w:rPr>
        <w:t>根据本项目的可行性研究报告，项目经济效益情况见</w:t>
      </w:r>
      <w:r>
        <w:rPr>
          <w:rFonts w:ascii="Times New Roman" w:hAnsi="Times New Roman"/>
          <w:color w:val="auto"/>
          <w:szCs w:val="22"/>
          <w:highlight w:val="none"/>
        </w:rPr>
        <w:fldChar w:fldCharType="begin"/>
      </w:r>
      <w:r>
        <w:rPr>
          <w:rFonts w:ascii="Times New Roman" w:hAnsi="Times New Roman"/>
          <w:color w:val="auto"/>
          <w:szCs w:val="22"/>
          <w:highlight w:val="none"/>
        </w:rPr>
        <w:instrText xml:space="preserve"> REF _Ref40986524 \h  \* MERGEFORMAT </w:instrText>
      </w:r>
      <w:r>
        <w:rPr>
          <w:rFonts w:ascii="Times New Roman" w:hAnsi="Times New Roman"/>
          <w:color w:val="auto"/>
          <w:szCs w:val="22"/>
          <w:highlight w:val="none"/>
        </w:rPr>
        <w:fldChar w:fldCharType="separate"/>
      </w:r>
      <w:r>
        <w:rPr>
          <w:rFonts w:ascii="Times New Roman" w:hAnsi="Times New Roman"/>
          <w:color w:val="auto"/>
          <w:szCs w:val="22"/>
          <w:highlight w:val="none"/>
        </w:rPr>
        <w:t>表8.1</w:t>
      </w:r>
      <w:r>
        <w:rPr>
          <w:rFonts w:ascii="Times New Roman" w:hAnsi="Times New Roman"/>
          <w:color w:val="auto"/>
          <w:szCs w:val="22"/>
          <w:highlight w:val="none"/>
        </w:rPr>
        <w:noBreakHyphen/>
      </w:r>
      <w:r>
        <w:rPr>
          <w:rFonts w:ascii="Times New Roman" w:hAnsi="Times New Roman"/>
          <w:color w:val="auto"/>
          <w:szCs w:val="22"/>
          <w:highlight w:val="none"/>
        </w:rPr>
        <w:t>1</w:t>
      </w:r>
      <w:r>
        <w:rPr>
          <w:rFonts w:ascii="Times New Roman" w:hAnsi="Times New Roman"/>
          <w:color w:val="auto"/>
          <w:szCs w:val="22"/>
          <w:highlight w:val="none"/>
        </w:rPr>
        <w:fldChar w:fldCharType="end"/>
      </w:r>
      <w:r>
        <w:rPr>
          <w:rFonts w:ascii="Times New Roman" w:hAnsi="Times New Roman"/>
          <w:color w:val="auto"/>
          <w:szCs w:val="22"/>
          <w:highlight w:val="none"/>
        </w:rPr>
        <w:t>。由</w:t>
      </w:r>
      <w:r>
        <w:rPr>
          <w:rFonts w:ascii="Times New Roman" w:hAnsi="Times New Roman"/>
          <w:color w:val="auto"/>
          <w:szCs w:val="22"/>
          <w:highlight w:val="none"/>
        </w:rPr>
        <w:fldChar w:fldCharType="begin"/>
      </w:r>
      <w:r>
        <w:rPr>
          <w:rFonts w:ascii="Times New Roman" w:hAnsi="Times New Roman"/>
          <w:color w:val="auto"/>
          <w:szCs w:val="22"/>
          <w:highlight w:val="none"/>
        </w:rPr>
        <w:instrText xml:space="preserve"> REF _Ref40986524 \h  \* MERGEFORMAT </w:instrText>
      </w:r>
      <w:r>
        <w:rPr>
          <w:rFonts w:ascii="Times New Roman" w:hAnsi="Times New Roman"/>
          <w:color w:val="auto"/>
          <w:szCs w:val="22"/>
          <w:highlight w:val="none"/>
        </w:rPr>
        <w:fldChar w:fldCharType="separate"/>
      </w:r>
      <w:r>
        <w:rPr>
          <w:rFonts w:ascii="Times New Roman" w:hAnsi="Times New Roman"/>
          <w:color w:val="auto"/>
          <w:szCs w:val="22"/>
          <w:highlight w:val="none"/>
        </w:rPr>
        <w:t>表8.1</w:t>
      </w:r>
      <w:r>
        <w:rPr>
          <w:rFonts w:ascii="Times New Roman" w:hAnsi="Times New Roman"/>
          <w:color w:val="auto"/>
          <w:szCs w:val="22"/>
          <w:highlight w:val="none"/>
        </w:rPr>
        <w:noBreakHyphen/>
      </w:r>
      <w:r>
        <w:rPr>
          <w:rFonts w:ascii="Times New Roman" w:hAnsi="Times New Roman"/>
          <w:color w:val="auto"/>
          <w:szCs w:val="22"/>
          <w:highlight w:val="none"/>
        </w:rPr>
        <w:t>1</w:t>
      </w:r>
      <w:r>
        <w:rPr>
          <w:rFonts w:ascii="Times New Roman" w:hAnsi="Times New Roman"/>
          <w:color w:val="auto"/>
          <w:szCs w:val="22"/>
          <w:highlight w:val="none"/>
        </w:rPr>
        <w:fldChar w:fldCharType="end"/>
      </w:r>
      <w:r>
        <w:rPr>
          <w:rFonts w:ascii="Times New Roman" w:hAnsi="Times New Roman"/>
          <w:color w:val="auto"/>
          <w:szCs w:val="22"/>
          <w:highlight w:val="none"/>
        </w:rPr>
        <w:t>分析可知，各项财务盈利性指标均达到较高水平，工程收益率较高，具有较好经济效益。</w:t>
      </w:r>
    </w:p>
    <w:p w14:paraId="333D58BB">
      <w:pPr>
        <w:pStyle w:val="15"/>
        <w:spacing w:line="360" w:lineRule="auto"/>
        <w:ind w:left="-105" w:right="-105" w:firstLine="482"/>
        <w:rPr>
          <w:rFonts w:eastAsia="宋体" w:cs="Times New Roman"/>
          <w:color w:val="auto"/>
          <w:sz w:val="24"/>
          <w:szCs w:val="18"/>
          <w:highlight w:val="none"/>
        </w:rPr>
      </w:pPr>
      <w:bookmarkStart w:id="515" w:name="_Ref40986524"/>
      <w:r>
        <w:rPr>
          <w:rFonts w:eastAsia="宋体" w:cs="Times New Roman"/>
          <w:color w:val="auto"/>
          <w:sz w:val="24"/>
          <w:szCs w:val="18"/>
          <w:highlight w:val="none"/>
        </w:rPr>
        <w:t>表</w:t>
      </w:r>
      <w:r>
        <w:rPr>
          <w:rFonts w:eastAsia="宋体" w:cs="Times New Roman"/>
          <w:color w:val="auto"/>
          <w:sz w:val="24"/>
          <w:szCs w:val="18"/>
          <w:highlight w:val="none"/>
        </w:rPr>
        <w:fldChar w:fldCharType="begin"/>
      </w:r>
      <w:r>
        <w:rPr>
          <w:rFonts w:eastAsia="宋体" w:cs="Times New Roman"/>
          <w:color w:val="auto"/>
          <w:sz w:val="24"/>
          <w:szCs w:val="18"/>
          <w:highlight w:val="none"/>
        </w:rPr>
        <w:instrText xml:space="preserve"> STYLEREF 2 \s </w:instrText>
      </w:r>
      <w:r>
        <w:rPr>
          <w:rFonts w:eastAsia="宋体" w:cs="Times New Roman"/>
          <w:color w:val="auto"/>
          <w:sz w:val="24"/>
          <w:szCs w:val="18"/>
          <w:highlight w:val="none"/>
        </w:rPr>
        <w:fldChar w:fldCharType="separate"/>
      </w:r>
      <w:r>
        <w:rPr>
          <w:rFonts w:eastAsia="宋体" w:cs="Times New Roman"/>
          <w:color w:val="auto"/>
          <w:sz w:val="24"/>
          <w:szCs w:val="18"/>
          <w:highlight w:val="none"/>
        </w:rPr>
        <w:t>8.1</w:t>
      </w:r>
      <w:r>
        <w:rPr>
          <w:rFonts w:eastAsia="宋体" w:cs="Times New Roman"/>
          <w:color w:val="auto"/>
          <w:sz w:val="24"/>
          <w:szCs w:val="18"/>
          <w:highlight w:val="none"/>
        </w:rPr>
        <w:fldChar w:fldCharType="end"/>
      </w:r>
      <w:r>
        <w:rPr>
          <w:rFonts w:eastAsia="宋体" w:cs="Times New Roman"/>
          <w:color w:val="auto"/>
          <w:sz w:val="24"/>
          <w:szCs w:val="18"/>
          <w:highlight w:val="none"/>
        </w:rPr>
        <w:noBreakHyphen/>
      </w:r>
      <w:r>
        <w:rPr>
          <w:rFonts w:eastAsia="宋体" w:cs="Times New Roman"/>
          <w:color w:val="auto"/>
          <w:sz w:val="24"/>
          <w:szCs w:val="18"/>
          <w:highlight w:val="none"/>
        </w:rPr>
        <w:fldChar w:fldCharType="begin"/>
      </w:r>
      <w:r>
        <w:rPr>
          <w:rFonts w:eastAsia="宋体" w:cs="Times New Roman"/>
          <w:color w:val="auto"/>
          <w:sz w:val="24"/>
          <w:szCs w:val="18"/>
          <w:highlight w:val="none"/>
        </w:rPr>
        <w:instrText xml:space="preserve"> SEQ 表 \* ARABIC \s 2 </w:instrText>
      </w:r>
      <w:r>
        <w:rPr>
          <w:rFonts w:eastAsia="宋体" w:cs="Times New Roman"/>
          <w:color w:val="auto"/>
          <w:sz w:val="24"/>
          <w:szCs w:val="18"/>
          <w:highlight w:val="none"/>
        </w:rPr>
        <w:fldChar w:fldCharType="separate"/>
      </w:r>
      <w:r>
        <w:rPr>
          <w:rFonts w:eastAsia="宋体" w:cs="Times New Roman"/>
          <w:color w:val="auto"/>
          <w:sz w:val="24"/>
          <w:szCs w:val="18"/>
          <w:highlight w:val="none"/>
        </w:rPr>
        <w:t>1</w:t>
      </w:r>
      <w:r>
        <w:rPr>
          <w:rFonts w:eastAsia="宋体" w:cs="Times New Roman"/>
          <w:color w:val="auto"/>
          <w:sz w:val="24"/>
          <w:szCs w:val="18"/>
          <w:highlight w:val="none"/>
        </w:rPr>
        <w:fldChar w:fldCharType="end"/>
      </w:r>
      <w:bookmarkEnd w:id="515"/>
      <w:r>
        <w:rPr>
          <w:rFonts w:eastAsia="宋体" w:cs="Times New Roman"/>
          <w:bCs/>
          <w:color w:val="auto"/>
          <w:sz w:val="24"/>
          <w:szCs w:val="18"/>
          <w:highlight w:val="none"/>
        </w:rPr>
        <w:t>本项目经济效益一览表</w:t>
      </w:r>
    </w:p>
    <w:tbl>
      <w:tblPr>
        <w:tblStyle w:val="45"/>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835"/>
        <w:gridCol w:w="3047"/>
        <w:gridCol w:w="1741"/>
        <w:gridCol w:w="1536"/>
        <w:gridCol w:w="1561"/>
      </w:tblGrid>
      <w:tr w14:paraId="1BC3780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3" w:hRule="atLeast"/>
          <w:tblHeader/>
          <w:jc w:val="center"/>
        </w:trPr>
        <w:tc>
          <w:tcPr>
            <w:tcW w:w="479" w:type="pct"/>
            <w:tcBorders>
              <w:top w:val="single" w:color="auto" w:sz="12" w:space="0"/>
              <w:left w:val="nil"/>
              <w:bottom w:val="single" w:color="auto" w:sz="4" w:space="0"/>
              <w:right w:val="single" w:color="auto" w:sz="4" w:space="0"/>
            </w:tcBorders>
            <w:vAlign w:val="center"/>
          </w:tcPr>
          <w:p w14:paraId="46F6BFCD">
            <w:pPr>
              <w:ind w:left="-105" w:right="-105"/>
              <w:jc w:val="center"/>
              <w:rPr>
                <w:rFonts w:ascii="Times New Roman" w:hAnsi="Times New Roman"/>
                <w:b/>
                <w:bCs/>
                <w:color w:val="auto"/>
                <w:sz w:val="21"/>
                <w:szCs w:val="21"/>
                <w:highlight w:val="none"/>
              </w:rPr>
            </w:pPr>
            <w:r>
              <w:rPr>
                <w:rFonts w:ascii="Times New Roman" w:hAnsi="Times New Roman"/>
                <w:b/>
                <w:bCs/>
                <w:color w:val="auto"/>
                <w:sz w:val="21"/>
                <w:szCs w:val="21"/>
                <w:highlight w:val="none"/>
              </w:rPr>
              <w:t>序号</w:t>
            </w:r>
          </w:p>
        </w:tc>
        <w:tc>
          <w:tcPr>
            <w:tcW w:w="1747" w:type="pct"/>
            <w:tcBorders>
              <w:top w:val="single" w:color="auto" w:sz="12" w:space="0"/>
              <w:left w:val="single" w:color="auto" w:sz="4" w:space="0"/>
              <w:bottom w:val="single" w:color="auto" w:sz="4" w:space="0"/>
              <w:right w:val="single" w:color="auto" w:sz="4" w:space="0"/>
            </w:tcBorders>
            <w:vAlign w:val="center"/>
          </w:tcPr>
          <w:p w14:paraId="79889344">
            <w:pPr>
              <w:ind w:left="-105" w:right="-105"/>
              <w:jc w:val="center"/>
              <w:rPr>
                <w:rFonts w:ascii="Times New Roman" w:hAnsi="Times New Roman"/>
                <w:b/>
                <w:bCs/>
                <w:color w:val="auto"/>
                <w:sz w:val="21"/>
                <w:szCs w:val="21"/>
                <w:highlight w:val="none"/>
              </w:rPr>
            </w:pPr>
            <w:r>
              <w:rPr>
                <w:rFonts w:ascii="Times New Roman" w:hAnsi="Times New Roman"/>
                <w:b/>
                <w:bCs/>
                <w:color w:val="auto"/>
                <w:sz w:val="21"/>
                <w:szCs w:val="21"/>
                <w:highlight w:val="none"/>
              </w:rPr>
              <w:t>项目名称</w:t>
            </w:r>
          </w:p>
        </w:tc>
        <w:tc>
          <w:tcPr>
            <w:tcW w:w="998" w:type="pct"/>
            <w:tcBorders>
              <w:top w:val="single" w:color="auto" w:sz="12" w:space="0"/>
              <w:left w:val="single" w:color="auto" w:sz="4" w:space="0"/>
              <w:bottom w:val="single" w:color="auto" w:sz="4" w:space="0"/>
              <w:right w:val="single" w:color="auto" w:sz="4" w:space="0"/>
            </w:tcBorders>
            <w:vAlign w:val="center"/>
          </w:tcPr>
          <w:p w14:paraId="4C750B58">
            <w:pPr>
              <w:ind w:left="-105" w:right="-105"/>
              <w:jc w:val="center"/>
              <w:rPr>
                <w:rFonts w:ascii="Times New Roman" w:hAnsi="Times New Roman"/>
                <w:b/>
                <w:bCs/>
                <w:color w:val="auto"/>
                <w:sz w:val="21"/>
                <w:szCs w:val="21"/>
                <w:highlight w:val="none"/>
              </w:rPr>
            </w:pPr>
            <w:r>
              <w:rPr>
                <w:rFonts w:ascii="Times New Roman" w:hAnsi="Times New Roman"/>
                <w:b/>
                <w:bCs/>
                <w:color w:val="auto"/>
                <w:sz w:val="21"/>
                <w:szCs w:val="21"/>
                <w:highlight w:val="none"/>
              </w:rPr>
              <w:t>单位</w:t>
            </w:r>
          </w:p>
        </w:tc>
        <w:tc>
          <w:tcPr>
            <w:tcW w:w="881" w:type="pct"/>
            <w:tcBorders>
              <w:top w:val="single" w:color="auto" w:sz="12" w:space="0"/>
              <w:left w:val="single" w:color="auto" w:sz="4" w:space="0"/>
              <w:bottom w:val="single" w:color="auto" w:sz="4" w:space="0"/>
              <w:right w:val="single" w:color="auto" w:sz="4" w:space="0"/>
            </w:tcBorders>
            <w:vAlign w:val="center"/>
          </w:tcPr>
          <w:p w14:paraId="3DCE28C2">
            <w:pPr>
              <w:ind w:left="-105" w:right="-105"/>
              <w:jc w:val="center"/>
              <w:rPr>
                <w:rFonts w:ascii="Times New Roman" w:hAnsi="Times New Roman"/>
                <w:b/>
                <w:bCs/>
                <w:color w:val="auto"/>
                <w:sz w:val="21"/>
                <w:szCs w:val="21"/>
                <w:highlight w:val="none"/>
              </w:rPr>
            </w:pPr>
            <w:r>
              <w:rPr>
                <w:rFonts w:ascii="Times New Roman" w:hAnsi="Times New Roman"/>
                <w:b/>
                <w:bCs/>
                <w:color w:val="auto"/>
                <w:sz w:val="21"/>
                <w:szCs w:val="21"/>
                <w:highlight w:val="none"/>
              </w:rPr>
              <w:t>数量</w:t>
            </w:r>
          </w:p>
        </w:tc>
        <w:tc>
          <w:tcPr>
            <w:tcW w:w="895" w:type="pct"/>
            <w:tcBorders>
              <w:top w:val="single" w:color="auto" w:sz="12" w:space="0"/>
              <w:left w:val="single" w:color="auto" w:sz="4" w:space="0"/>
              <w:bottom w:val="single" w:color="auto" w:sz="4" w:space="0"/>
              <w:right w:val="nil"/>
            </w:tcBorders>
            <w:vAlign w:val="center"/>
          </w:tcPr>
          <w:p w14:paraId="5E1D6594">
            <w:pPr>
              <w:ind w:left="-105" w:right="-105"/>
              <w:jc w:val="center"/>
              <w:rPr>
                <w:rFonts w:ascii="Times New Roman" w:hAnsi="Times New Roman"/>
                <w:b/>
                <w:bCs/>
                <w:color w:val="auto"/>
                <w:sz w:val="21"/>
                <w:szCs w:val="21"/>
                <w:highlight w:val="none"/>
              </w:rPr>
            </w:pPr>
            <w:r>
              <w:rPr>
                <w:rFonts w:ascii="Times New Roman" w:hAnsi="Times New Roman"/>
                <w:b/>
                <w:bCs/>
                <w:color w:val="auto"/>
                <w:sz w:val="21"/>
                <w:szCs w:val="21"/>
                <w:highlight w:val="none"/>
              </w:rPr>
              <w:t>备注</w:t>
            </w:r>
          </w:p>
        </w:tc>
      </w:tr>
      <w:tr w14:paraId="63EC652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479" w:type="pct"/>
            <w:tcBorders>
              <w:top w:val="single" w:color="auto" w:sz="4" w:space="0"/>
              <w:left w:val="nil"/>
              <w:bottom w:val="single" w:color="auto" w:sz="4" w:space="0"/>
              <w:right w:val="single" w:color="auto" w:sz="4" w:space="0"/>
            </w:tcBorders>
            <w:vAlign w:val="center"/>
          </w:tcPr>
          <w:p w14:paraId="5F0CEBDC">
            <w:pPr>
              <w:pStyle w:val="97"/>
              <w:widowControl/>
              <w:numPr>
                <w:ilvl w:val="0"/>
                <w:numId w:val="36"/>
              </w:numPr>
              <w:ind w:left="-105" w:right="-105" w:firstLineChars="0"/>
              <w:jc w:val="center"/>
              <w:rPr>
                <w:rFonts w:eastAsia="宋体"/>
                <w:color w:val="auto"/>
                <w:kern w:val="0"/>
                <w:sz w:val="21"/>
                <w:szCs w:val="21"/>
                <w:highlight w:val="none"/>
              </w:rPr>
            </w:pPr>
          </w:p>
        </w:tc>
        <w:tc>
          <w:tcPr>
            <w:tcW w:w="1747" w:type="pct"/>
            <w:tcBorders>
              <w:top w:val="single" w:color="auto" w:sz="4" w:space="0"/>
              <w:left w:val="single" w:color="auto" w:sz="4" w:space="0"/>
              <w:bottom w:val="single" w:color="auto" w:sz="4" w:space="0"/>
              <w:right w:val="single" w:color="auto" w:sz="4" w:space="0"/>
            </w:tcBorders>
            <w:vAlign w:val="center"/>
          </w:tcPr>
          <w:p w14:paraId="7989F933">
            <w:pPr>
              <w:ind w:left="-105" w:right="-105"/>
              <w:jc w:val="center"/>
              <w:rPr>
                <w:rFonts w:ascii="Times New Roman" w:hAnsi="Times New Roman"/>
                <w:color w:val="auto"/>
                <w:sz w:val="21"/>
                <w:szCs w:val="21"/>
                <w:highlight w:val="none"/>
              </w:rPr>
            </w:pPr>
            <w:r>
              <w:rPr>
                <w:rFonts w:ascii="Times New Roman" w:hAnsi="Times New Roman"/>
                <w:color w:val="auto"/>
                <w:sz w:val="21"/>
                <w:szCs w:val="21"/>
                <w:highlight w:val="none"/>
              </w:rPr>
              <w:t>项目总投资</w:t>
            </w:r>
          </w:p>
        </w:tc>
        <w:tc>
          <w:tcPr>
            <w:tcW w:w="998" w:type="pct"/>
            <w:tcBorders>
              <w:top w:val="single" w:color="auto" w:sz="4" w:space="0"/>
              <w:left w:val="single" w:color="auto" w:sz="4" w:space="0"/>
              <w:bottom w:val="single" w:color="auto" w:sz="4" w:space="0"/>
              <w:right w:val="single" w:color="auto" w:sz="4" w:space="0"/>
            </w:tcBorders>
            <w:vAlign w:val="center"/>
          </w:tcPr>
          <w:p w14:paraId="1721A3A9">
            <w:pPr>
              <w:ind w:left="-105" w:right="-105"/>
              <w:jc w:val="center"/>
              <w:rPr>
                <w:rFonts w:ascii="Times New Roman" w:hAnsi="Times New Roman"/>
                <w:color w:val="auto"/>
                <w:sz w:val="21"/>
                <w:szCs w:val="21"/>
                <w:highlight w:val="none"/>
              </w:rPr>
            </w:pPr>
            <w:r>
              <w:rPr>
                <w:rFonts w:ascii="Times New Roman" w:hAnsi="Times New Roman"/>
                <w:color w:val="auto"/>
                <w:sz w:val="21"/>
                <w:szCs w:val="21"/>
                <w:highlight w:val="none"/>
              </w:rPr>
              <w:t>万元</w:t>
            </w:r>
          </w:p>
        </w:tc>
        <w:tc>
          <w:tcPr>
            <w:tcW w:w="881" w:type="pct"/>
            <w:tcBorders>
              <w:top w:val="single" w:color="auto" w:sz="4" w:space="0"/>
              <w:left w:val="single" w:color="auto" w:sz="4" w:space="0"/>
              <w:bottom w:val="single" w:color="auto" w:sz="4" w:space="0"/>
              <w:right w:val="single" w:color="auto" w:sz="4" w:space="0"/>
            </w:tcBorders>
            <w:vAlign w:val="center"/>
          </w:tcPr>
          <w:p w14:paraId="316E3274">
            <w:pPr>
              <w:ind w:left="-105" w:right="-105"/>
              <w:jc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1000</w:t>
            </w:r>
          </w:p>
        </w:tc>
        <w:tc>
          <w:tcPr>
            <w:tcW w:w="895" w:type="pct"/>
            <w:tcBorders>
              <w:top w:val="single" w:color="auto" w:sz="4" w:space="0"/>
              <w:left w:val="single" w:color="auto" w:sz="4" w:space="0"/>
              <w:bottom w:val="single" w:color="auto" w:sz="4" w:space="0"/>
              <w:right w:val="nil"/>
            </w:tcBorders>
            <w:vAlign w:val="center"/>
          </w:tcPr>
          <w:p w14:paraId="7DA6B908">
            <w:pPr>
              <w:ind w:left="-105" w:right="-105"/>
              <w:jc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w:t>
            </w:r>
          </w:p>
        </w:tc>
      </w:tr>
      <w:tr w14:paraId="0FB6B3F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479" w:type="pct"/>
            <w:tcBorders>
              <w:top w:val="single" w:color="auto" w:sz="4" w:space="0"/>
              <w:left w:val="nil"/>
              <w:bottom w:val="single" w:color="auto" w:sz="4" w:space="0"/>
              <w:right w:val="single" w:color="auto" w:sz="4" w:space="0"/>
            </w:tcBorders>
            <w:vAlign w:val="center"/>
          </w:tcPr>
          <w:p w14:paraId="4206F89E">
            <w:pPr>
              <w:pStyle w:val="97"/>
              <w:widowControl/>
              <w:numPr>
                <w:ilvl w:val="0"/>
                <w:numId w:val="36"/>
              </w:numPr>
              <w:ind w:left="-105" w:right="-105" w:firstLineChars="0"/>
              <w:jc w:val="center"/>
              <w:rPr>
                <w:rFonts w:eastAsia="宋体"/>
                <w:color w:val="auto"/>
                <w:kern w:val="0"/>
                <w:sz w:val="21"/>
                <w:szCs w:val="21"/>
                <w:highlight w:val="none"/>
              </w:rPr>
            </w:pPr>
          </w:p>
        </w:tc>
        <w:tc>
          <w:tcPr>
            <w:tcW w:w="1747" w:type="pct"/>
            <w:tcBorders>
              <w:top w:val="single" w:color="auto" w:sz="4" w:space="0"/>
              <w:left w:val="single" w:color="auto" w:sz="4" w:space="0"/>
              <w:bottom w:val="single" w:color="auto" w:sz="4" w:space="0"/>
              <w:right w:val="single" w:color="auto" w:sz="4" w:space="0"/>
            </w:tcBorders>
            <w:vAlign w:val="center"/>
          </w:tcPr>
          <w:p w14:paraId="45E8EE95">
            <w:pPr>
              <w:ind w:left="-105" w:right="-105"/>
              <w:jc w:val="center"/>
              <w:rPr>
                <w:rFonts w:ascii="Times New Roman" w:hAnsi="Times New Roman"/>
                <w:color w:val="auto"/>
                <w:sz w:val="21"/>
                <w:szCs w:val="21"/>
                <w:highlight w:val="none"/>
              </w:rPr>
            </w:pPr>
            <w:r>
              <w:rPr>
                <w:rFonts w:ascii="Times New Roman" w:hAnsi="Times New Roman"/>
                <w:color w:val="auto"/>
                <w:sz w:val="21"/>
                <w:szCs w:val="21"/>
                <w:highlight w:val="none"/>
              </w:rPr>
              <w:t>年营业收入</w:t>
            </w:r>
          </w:p>
        </w:tc>
        <w:tc>
          <w:tcPr>
            <w:tcW w:w="998" w:type="pct"/>
            <w:tcBorders>
              <w:top w:val="single" w:color="auto" w:sz="4" w:space="0"/>
              <w:left w:val="single" w:color="auto" w:sz="4" w:space="0"/>
              <w:bottom w:val="single" w:color="auto" w:sz="4" w:space="0"/>
              <w:right w:val="single" w:color="auto" w:sz="4" w:space="0"/>
            </w:tcBorders>
            <w:vAlign w:val="center"/>
          </w:tcPr>
          <w:p w14:paraId="4848DEBB">
            <w:pPr>
              <w:ind w:left="-105" w:right="-105"/>
              <w:jc w:val="center"/>
              <w:rPr>
                <w:rFonts w:ascii="Times New Roman" w:hAnsi="Times New Roman"/>
                <w:color w:val="auto"/>
                <w:sz w:val="21"/>
                <w:szCs w:val="21"/>
                <w:highlight w:val="none"/>
              </w:rPr>
            </w:pPr>
            <w:r>
              <w:rPr>
                <w:rFonts w:ascii="Times New Roman" w:hAnsi="Times New Roman"/>
                <w:color w:val="auto"/>
                <w:sz w:val="21"/>
                <w:szCs w:val="21"/>
                <w:highlight w:val="none"/>
              </w:rPr>
              <w:t>万元</w:t>
            </w:r>
          </w:p>
        </w:tc>
        <w:tc>
          <w:tcPr>
            <w:tcW w:w="881" w:type="pct"/>
            <w:tcBorders>
              <w:top w:val="single" w:color="auto" w:sz="4" w:space="0"/>
              <w:left w:val="single" w:color="auto" w:sz="4" w:space="0"/>
              <w:bottom w:val="single" w:color="auto" w:sz="4" w:space="0"/>
              <w:right w:val="single" w:color="auto" w:sz="4" w:space="0"/>
            </w:tcBorders>
            <w:vAlign w:val="center"/>
          </w:tcPr>
          <w:p w14:paraId="02AABE8F">
            <w:pPr>
              <w:ind w:left="-105" w:right="-105"/>
              <w:jc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1500</w:t>
            </w:r>
          </w:p>
        </w:tc>
        <w:tc>
          <w:tcPr>
            <w:tcW w:w="895" w:type="pct"/>
            <w:tcBorders>
              <w:top w:val="single" w:color="auto" w:sz="4" w:space="0"/>
              <w:left w:val="single" w:color="auto" w:sz="4" w:space="0"/>
              <w:bottom w:val="single" w:color="auto" w:sz="4" w:space="0"/>
              <w:right w:val="nil"/>
            </w:tcBorders>
            <w:vAlign w:val="center"/>
          </w:tcPr>
          <w:p w14:paraId="60BF1C4B">
            <w:pPr>
              <w:ind w:left="-105" w:right="-105"/>
              <w:jc w:val="center"/>
              <w:rPr>
                <w:rFonts w:ascii="Times New Roman" w:hAnsi="Times New Roman"/>
                <w:color w:val="auto"/>
                <w:sz w:val="21"/>
                <w:szCs w:val="21"/>
                <w:highlight w:val="none"/>
              </w:rPr>
            </w:pPr>
            <w:r>
              <w:rPr>
                <w:rFonts w:ascii="Times New Roman" w:hAnsi="Times New Roman"/>
                <w:color w:val="auto"/>
                <w:sz w:val="21"/>
                <w:szCs w:val="21"/>
                <w:highlight w:val="none"/>
              </w:rPr>
              <w:t>达产年</w:t>
            </w:r>
          </w:p>
        </w:tc>
      </w:tr>
      <w:tr w14:paraId="155DDB9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479" w:type="pct"/>
            <w:tcBorders>
              <w:top w:val="single" w:color="auto" w:sz="4" w:space="0"/>
              <w:left w:val="nil"/>
              <w:bottom w:val="single" w:color="auto" w:sz="4" w:space="0"/>
              <w:right w:val="single" w:color="auto" w:sz="4" w:space="0"/>
            </w:tcBorders>
            <w:vAlign w:val="center"/>
          </w:tcPr>
          <w:p w14:paraId="30ADD077">
            <w:pPr>
              <w:pStyle w:val="97"/>
              <w:widowControl/>
              <w:numPr>
                <w:ilvl w:val="0"/>
                <w:numId w:val="36"/>
              </w:numPr>
              <w:ind w:left="-105" w:right="-105" w:firstLineChars="0"/>
              <w:jc w:val="center"/>
              <w:rPr>
                <w:rFonts w:eastAsia="宋体"/>
                <w:color w:val="auto"/>
                <w:kern w:val="0"/>
                <w:sz w:val="21"/>
                <w:szCs w:val="21"/>
                <w:highlight w:val="none"/>
              </w:rPr>
            </w:pPr>
          </w:p>
        </w:tc>
        <w:tc>
          <w:tcPr>
            <w:tcW w:w="1747" w:type="pct"/>
            <w:tcBorders>
              <w:top w:val="single" w:color="auto" w:sz="4" w:space="0"/>
              <w:left w:val="single" w:color="auto" w:sz="4" w:space="0"/>
              <w:bottom w:val="single" w:color="auto" w:sz="4" w:space="0"/>
              <w:right w:val="single" w:color="auto" w:sz="4" w:space="0"/>
            </w:tcBorders>
            <w:vAlign w:val="center"/>
          </w:tcPr>
          <w:p w14:paraId="1BE25716">
            <w:pPr>
              <w:ind w:left="-105" w:right="-105"/>
              <w:jc w:val="center"/>
              <w:rPr>
                <w:rFonts w:ascii="Times New Roman" w:hAnsi="Times New Roman"/>
                <w:color w:val="auto"/>
                <w:sz w:val="21"/>
                <w:szCs w:val="21"/>
                <w:highlight w:val="none"/>
              </w:rPr>
            </w:pPr>
            <w:r>
              <w:rPr>
                <w:rFonts w:ascii="Times New Roman" w:hAnsi="Times New Roman"/>
                <w:color w:val="auto"/>
                <w:sz w:val="21"/>
                <w:szCs w:val="21"/>
                <w:highlight w:val="none"/>
              </w:rPr>
              <w:t>年利润总额</w:t>
            </w:r>
          </w:p>
        </w:tc>
        <w:tc>
          <w:tcPr>
            <w:tcW w:w="998" w:type="pct"/>
            <w:tcBorders>
              <w:top w:val="single" w:color="auto" w:sz="4" w:space="0"/>
              <w:left w:val="single" w:color="auto" w:sz="4" w:space="0"/>
              <w:bottom w:val="single" w:color="auto" w:sz="4" w:space="0"/>
              <w:right w:val="single" w:color="auto" w:sz="4" w:space="0"/>
            </w:tcBorders>
            <w:vAlign w:val="center"/>
          </w:tcPr>
          <w:p w14:paraId="5C36EB9E">
            <w:pPr>
              <w:ind w:left="-105" w:right="-105"/>
              <w:jc w:val="center"/>
              <w:rPr>
                <w:rFonts w:ascii="Times New Roman" w:hAnsi="Times New Roman"/>
                <w:color w:val="auto"/>
                <w:sz w:val="21"/>
                <w:szCs w:val="21"/>
                <w:highlight w:val="none"/>
              </w:rPr>
            </w:pPr>
            <w:r>
              <w:rPr>
                <w:rFonts w:ascii="Times New Roman" w:hAnsi="Times New Roman"/>
                <w:color w:val="auto"/>
                <w:sz w:val="21"/>
                <w:szCs w:val="21"/>
                <w:highlight w:val="none"/>
              </w:rPr>
              <w:t>万元</w:t>
            </w:r>
          </w:p>
        </w:tc>
        <w:tc>
          <w:tcPr>
            <w:tcW w:w="881" w:type="pct"/>
            <w:tcBorders>
              <w:top w:val="single" w:color="auto" w:sz="4" w:space="0"/>
              <w:left w:val="single" w:color="auto" w:sz="4" w:space="0"/>
              <w:bottom w:val="single" w:color="auto" w:sz="4" w:space="0"/>
              <w:right w:val="single" w:color="auto" w:sz="4" w:space="0"/>
            </w:tcBorders>
            <w:vAlign w:val="center"/>
          </w:tcPr>
          <w:p w14:paraId="4D9A574A">
            <w:pPr>
              <w:ind w:left="-105" w:right="-105"/>
              <w:jc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350</w:t>
            </w:r>
          </w:p>
        </w:tc>
        <w:tc>
          <w:tcPr>
            <w:tcW w:w="895" w:type="pct"/>
            <w:tcBorders>
              <w:top w:val="single" w:color="auto" w:sz="4" w:space="0"/>
              <w:left w:val="single" w:color="auto" w:sz="4" w:space="0"/>
              <w:bottom w:val="single" w:color="auto" w:sz="4" w:space="0"/>
              <w:right w:val="nil"/>
            </w:tcBorders>
            <w:vAlign w:val="center"/>
          </w:tcPr>
          <w:p w14:paraId="6040C3AA">
            <w:pPr>
              <w:ind w:left="-105" w:right="-105"/>
              <w:jc w:val="center"/>
              <w:rPr>
                <w:rFonts w:ascii="Times New Roman" w:hAnsi="Times New Roman"/>
                <w:color w:val="auto"/>
                <w:sz w:val="21"/>
                <w:szCs w:val="21"/>
                <w:highlight w:val="none"/>
              </w:rPr>
            </w:pPr>
            <w:r>
              <w:rPr>
                <w:rFonts w:ascii="Times New Roman" w:hAnsi="Times New Roman"/>
                <w:color w:val="auto"/>
                <w:sz w:val="21"/>
                <w:szCs w:val="21"/>
                <w:highlight w:val="none"/>
              </w:rPr>
              <w:t>达产年</w:t>
            </w:r>
          </w:p>
        </w:tc>
      </w:tr>
      <w:tr w14:paraId="05E0CED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479" w:type="pct"/>
            <w:tcBorders>
              <w:top w:val="single" w:color="auto" w:sz="4" w:space="0"/>
              <w:left w:val="nil"/>
              <w:bottom w:val="single" w:color="auto" w:sz="4" w:space="0"/>
              <w:right w:val="single" w:color="auto" w:sz="4" w:space="0"/>
            </w:tcBorders>
            <w:vAlign w:val="center"/>
          </w:tcPr>
          <w:p w14:paraId="7B025982">
            <w:pPr>
              <w:pStyle w:val="97"/>
              <w:widowControl/>
              <w:numPr>
                <w:ilvl w:val="0"/>
                <w:numId w:val="36"/>
              </w:numPr>
              <w:ind w:left="-105" w:right="-105" w:firstLineChars="0"/>
              <w:jc w:val="center"/>
              <w:rPr>
                <w:rFonts w:eastAsia="宋体"/>
                <w:color w:val="auto"/>
                <w:kern w:val="0"/>
                <w:sz w:val="21"/>
                <w:szCs w:val="21"/>
                <w:highlight w:val="none"/>
              </w:rPr>
            </w:pPr>
          </w:p>
        </w:tc>
        <w:tc>
          <w:tcPr>
            <w:tcW w:w="1747" w:type="pct"/>
            <w:tcBorders>
              <w:top w:val="single" w:color="auto" w:sz="4" w:space="0"/>
              <w:left w:val="single" w:color="auto" w:sz="4" w:space="0"/>
              <w:bottom w:val="single" w:color="auto" w:sz="4" w:space="0"/>
              <w:right w:val="single" w:color="auto" w:sz="4" w:space="0"/>
            </w:tcBorders>
            <w:vAlign w:val="center"/>
          </w:tcPr>
          <w:p w14:paraId="17FCC70E">
            <w:pPr>
              <w:ind w:left="-105" w:right="-105"/>
              <w:jc w:val="center"/>
              <w:rPr>
                <w:rFonts w:ascii="Times New Roman" w:hAnsi="Times New Roman"/>
                <w:color w:val="auto"/>
                <w:sz w:val="21"/>
                <w:szCs w:val="21"/>
                <w:highlight w:val="none"/>
              </w:rPr>
            </w:pPr>
            <w:r>
              <w:rPr>
                <w:rFonts w:ascii="Times New Roman" w:hAnsi="Times New Roman"/>
                <w:color w:val="auto"/>
                <w:sz w:val="21"/>
                <w:szCs w:val="21"/>
                <w:highlight w:val="none"/>
              </w:rPr>
              <w:t>年所得税</w:t>
            </w:r>
          </w:p>
        </w:tc>
        <w:tc>
          <w:tcPr>
            <w:tcW w:w="998" w:type="pct"/>
            <w:tcBorders>
              <w:top w:val="single" w:color="auto" w:sz="4" w:space="0"/>
              <w:left w:val="single" w:color="auto" w:sz="4" w:space="0"/>
              <w:bottom w:val="single" w:color="auto" w:sz="4" w:space="0"/>
              <w:right w:val="single" w:color="auto" w:sz="4" w:space="0"/>
            </w:tcBorders>
            <w:vAlign w:val="center"/>
          </w:tcPr>
          <w:p w14:paraId="74AB4E2C">
            <w:pPr>
              <w:ind w:left="-105" w:right="-105"/>
              <w:jc w:val="center"/>
              <w:rPr>
                <w:rFonts w:ascii="Times New Roman" w:hAnsi="Times New Roman"/>
                <w:color w:val="auto"/>
                <w:sz w:val="21"/>
                <w:szCs w:val="21"/>
                <w:highlight w:val="none"/>
              </w:rPr>
            </w:pPr>
            <w:r>
              <w:rPr>
                <w:rFonts w:ascii="Times New Roman" w:hAnsi="Times New Roman"/>
                <w:color w:val="auto"/>
                <w:sz w:val="21"/>
                <w:szCs w:val="21"/>
                <w:highlight w:val="none"/>
              </w:rPr>
              <w:t>万元</w:t>
            </w:r>
          </w:p>
        </w:tc>
        <w:tc>
          <w:tcPr>
            <w:tcW w:w="881" w:type="pct"/>
            <w:tcBorders>
              <w:top w:val="single" w:color="auto" w:sz="4" w:space="0"/>
              <w:left w:val="single" w:color="auto" w:sz="4" w:space="0"/>
              <w:bottom w:val="single" w:color="auto" w:sz="4" w:space="0"/>
              <w:right w:val="single" w:color="auto" w:sz="4" w:space="0"/>
            </w:tcBorders>
            <w:vAlign w:val="center"/>
          </w:tcPr>
          <w:p w14:paraId="1944C007">
            <w:pPr>
              <w:ind w:left="-105" w:right="-105"/>
              <w:jc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0.09</w:t>
            </w:r>
          </w:p>
        </w:tc>
        <w:tc>
          <w:tcPr>
            <w:tcW w:w="895" w:type="pct"/>
            <w:tcBorders>
              <w:top w:val="single" w:color="auto" w:sz="4" w:space="0"/>
              <w:left w:val="single" w:color="auto" w:sz="4" w:space="0"/>
              <w:bottom w:val="single" w:color="auto" w:sz="4" w:space="0"/>
              <w:right w:val="nil"/>
            </w:tcBorders>
            <w:vAlign w:val="center"/>
          </w:tcPr>
          <w:p w14:paraId="77E79639">
            <w:pPr>
              <w:ind w:left="-105" w:right="-105"/>
              <w:jc w:val="center"/>
              <w:rPr>
                <w:rFonts w:ascii="Times New Roman" w:hAnsi="Times New Roman"/>
                <w:color w:val="auto"/>
                <w:sz w:val="21"/>
                <w:szCs w:val="21"/>
                <w:highlight w:val="none"/>
              </w:rPr>
            </w:pPr>
            <w:r>
              <w:rPr>
                <w:rFonts w:ascii="Times New Roman" w:hAnsi="Times New Roman"/>
                <w:color w:val="auto"/>
                <w:sz w:val="21"/>
                <w:szCs w:val="21"/>
                <w:highlight w:val="none"/>
              </w:rPr>
              <w:t>达产年</w:t>
            </w:r>
          </w:p>
        </w:tc>
      </w:tr>
      <w:tr w14:paraId="56CBC8B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479" w:type="pct"/>
            <w:tcBorders>
              <w:top w:val="single" w:color="auto" w:sz="4" w:space="0"/>
              <w:left w:val="nil"/>
              <w:bottom w:val="single" w:color="auto" w:sz="4" w:space="0"/>
              <w:right w:val="single" w:color="auto" w:sz="4" w:space="0"/>
            </w:tcBorders>
            <w:vAlign w:val="center"/>
          </w:tcPr>
          <w:p w14:paraId="006EBF3B">
            <w:pPr>
              <w:pStyle w:val="97"/>
              <w:widowControl/>
              <w:numPr>
                <w:ilvl w:val="0"/>
                <w:numId w:val="36"/>
              </w:numPr>
              <w:ind w:left="-105" w:right="-105" w:firstLineChars="0"/>
              <w:jc w:val="center"/>
              <w:rPr>
                <w:rFonts w:eastAsia="宋体"/>
                <w:color w:val="auto"/>
                <w:kern w:val="0"/>
                <w:sz w:val="21"/>
                <w:szCs w:val="21"/>
                <w:highlight w:val="none"/>
              </w:rPr>
            </w:pPr>
          </w:p>
        </w:tc>
        <w:tc>
          <w:tcPr>
            <w:tcW w:w="1747" w:type="pct"/>
            <w:tcBorders>
              <w:top w:val="single" w:color="auto" w:sz="4" w:space="0"/>
              <w:left w:val="single" w:color="auto" w:sz="4" w:space="0"/>
              <w:bottom w:val="single" w:color="auto" w:sz="4" w:space="0"/>
              <w:right w:val="single" w:color="auto" w:sz="4" w:space="0"/>
            </w:tcBorders>
            <w:vAlign w:val="center"/>
          </w:tcPr>
          <w:p w14:paraId="5AB56148">
            <w:pPr>
              <w:ind w:left="-105" w:right="-105"/>
              <w:jc w:val="center"/>
              <w:rPr>
                <w:rFonts w:ascii="Times New Roman" w:hAnsi="Times New Roman"/>
                <w:color w:val="auto"/>
                <w:sz w:val="21"/>
                <w:szCs w:val="21"/>
                <w:highlight w:val="none"/>
              </w:rPr>
            </w:pPr>
            <w:r>
              <w:rPr>
                <w:rFonts w:ascii="Times New Roman" w:hAnsi="Times New Roman"/>
                <w:color w:val="auto"/>
                <w:sz w:val="21"/>
                <w:szCs w:val="21"/>
                <w:highlight w:val="none"/>
              </w:rPr>
              <w:t>年净利润</w:t>
            </w:r>
          </w:p>
        </w:tc>
        <w:tc>
          <w:tcPr>
            <w:tcW w:w="998" w:type="pct"/>
            <w:tcBorders>
              <w:top w:val="single" w:color="auto" w:sz="4" w:space="0"/>
              <w:left w:val="single" w:color="auto" w:sz="4" w:space="0"/>
              <w:bottom w:val="single" w:color="auto" w:sz="4" w:space="0"/>
              <w:right w:val="single" w:color="auto" w:sz="4" w:space="0"/>
            </w:tcBorders>
            <w:vAlign w:val="center"/>
          </w:tcPr>
          <w:p w14:paraId="0CE4CEDC">
            <w:pPr>
              <w:ind w:left="-105" w:right="-105"/>
              <w:jc w:val="center"/>
              <w:rPr>
                <w:rFonts w:ascii="Times New Roman" w:hAnsi="Times New Roman"/>
                <w:color w:val="auto"/>
                <w:sz w:val="21"/>
                <w:szCs w:val="21"/>
                <w:highlight w:val="none"/>
              </w:rPr>
            </w:pPr>
            <w:r>
              <w:rPr>
                <w:rFonts w:ascii="Times New Roman" w:hAnsi="Times New Roman"/>
                <w:color w:val="auto"/>
                <w:sz w:val="21"/>
                <w:szCs w:val="21"/>
                <w:highlight w:val="none"/>
              </w:rPr>
              <w:t>万元</w:t>
            </w:r>
          </w:p>
        </w:tc>
        <w:tc>
          <w:tcPr>
            <w:tcW w:w="881" w:type="pct"/>
            <w:tcBorders>
              <w:top w:val="single" w:color="auto" w:sz="4" w:space="0"/>
              <w:left w:val="single" w:color="auto" w:sz="4" w:space="0"/>
              <w:bottom w:val="single" w:color="auto" w:sz="4" w:space="0"/>
              <w:right w:val="single" w:color="auto" w:sz="4" w:space="0"/>
            </w:tcBorders>
            <w:vAlign w:val="center"/>
          </w:tcPr>
          <w:p w14:paraId="2C6A841A">
            <w:pPr>
              <w:ind w:left="-105" w:right="-105"/>
              <w:jc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260</w:t>
            </w:r>
          </w:p>
        </w:tc>
        <w:tc>
          <w:tcPr>
            <w:tcW w:w="895" w:type="pct"/>
            <w:tcBorders>
              <w:top w:val="single" w:color="auto" w:sz="4" w:space="0"/>
              <w:left w:val="single" w:color="auto" w:sz="4" w:space="0"/>
              <w:bottom w:val="single" w:color="auto" w:sz="4" w:space="0"/>
              <w:right w:val="nil"/>
            </w:tcBorders>
            <w:vAlign w:val="center"/>
          </w:tcPr>
          <w:p w14:paraId="70887DC4">
            <w:pPr>
              <w:ind w:left="-105" w:right="-105"/>
              <w:jc w:val="center"/>
              <w:rPr>
                <w:rFonts w:ascii="Times New Roman" w:hAnsi="Times New Roman"/>
                <w:color w:val="auto"/>
                <w:sz w:val="21"/>
                <w:szCs w:val="21"/>
                <w:highlight w:val="none"/>
              </w:rPr>
            </w:pPr>
            <w:r>
              <w:rPr>
                <w:rFonts w:ascii="Times New Roman" w:hAnsi="Times New Roman"/>
                <w:color w:val="auto"/>
                <w:sz w:val="21"/>
                <w:szCs w:val="21"/>
                <w:highlight w:val="none"/>
              </w:rPr>
              <w:t>达产年</w:t>
            </w:r>
          </w:p>
        </w:tc>
      </w:tr>
      <w:tr w14:paraId="3056DF6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479" w:type="pct"/>
            <w:tcBorders>
              <w:top w:val="single" w:color="auto" w:sz="4" w:space="0"/>
              <w:left w:val="nil"/>
              <w:bottom w:val="single" w:color="auto" w:sz="4" w:space="0"/>
              <w:right w:val="single" w:color="auto" w:sz="4" w:space="0"/>
            </w:tcBorders>
            <w:vAlign w:val="center"/>
          </w:tcPr>
          <w:p w14:paraId="42C55F45">
            <w:pPr>
              <w:pStyle w:val="97"/>
              <w:widowControl/>
              <w:numPr>
                <w:ilvl w:val="0"/>
                <w:numId w:val="36"/>
              </w:numPr>
              <w:ind w:left="-105" w:right="-105" w:firstLineChars="0"/>
              <w:jc w:val="center"/>
              <w:rPr>
                <w:rFonts w:eastAsia="宋体"/>
                <w:color w:val="auto"/>
                <w:kern w:val="0"/>
                <w:sz w:val="21"/>
                <w:szCs w:val="21"/>
                <w:highlight w:val="none"/>
              </w:rPr>
            </w:pPr>
          </w:p>
        </w:tc>
        <w:tc>
          <w:tcPr>
            <w:tcW w:w="1747" w:type="pct"/>
            <w:tcBorders>
              <w:top w:val="single" w:color="auto" w:sz="4" w:space="0"/>
              <w:left w:val="single" w:color="auto" w:sz="4" w:space="0"/>
              <w:bottom w:val="single" w:color="auto" w:sz="4" w:space="0"/>
              <w:right w:val="single" w:color="auto" w:sz="4" w:space="0"/>
            </w:tcBorders>
            <w:vAlign w:val="center"/>
          </w:tcPr>
          <w:p w14:paraId="27269920">
            <w:pPr>
              <w:ind w:left="-105" w:right="-105"/>
              <w:jc w:val="center"/>
              <w:rPr>
                <w:rFonts w:ascii="Times New Roman" w:hAnsi="Times New Roman"/>
                <w:color w:val="auto"/>
                <w:sz w:val="21"/>
                <w:szCs w:val="21"/>
                <w:highlight w:val="none"/>
              </w:rPr>
            </w:pPr>
            <w:r>
              <w:rPr>
                <w:rFonts w:ascii="Times New Roman" w:hAnsi="Times New Roman"/>
                <w:color w:val="auto"/>
                <w:sz w:val="21"/>
                <w:szCs w:val="21"/>
                <w:highlight w:val="none"/>
              </w:rPr>
              <w:t>内部收益率（全部投资，税后）</w:t>
            </w:r>
          </w:p>
        </w:tc>
        <w:tc>
          <w:tcPr>
            <w:tcW w:w="998" w:type="pct"/>
            <w:tcBorders>
              <w:top w:val="single" w:color="auto" w:sz="4" w:space="0"/>
              <w:left w:val="single" w:color="auto" w:sz="4" w:space="0"/>
              <w:bottom w:val="single" w:color="auto" w:sz="4" w:space="0"/>
              <w:right w:val="single" w:color="auto" w:sz="4" w:space="0"/>
            </w:tcBorders>
            <w:vAlign w:val="center"/>
          </w:tcPr>
          <w:p w14:paraId="19E11870">
            <w:pPr>
              <w:ind w:left="-105" w:right="-105"/>
              <w:jc w:val="center"/>
              <w:rPr>
                <w:rFonts w:ascii="Times New Roman" w:hAnsi="Times New Roman"/>
                <w:color w:val="auto"/>
                <w:sz w:val="21"/>
                <w:szCs w:val="21"/>
                <w:highlight w:val="none"/>
              </w:rPr>
            </w:pPr>
            <w:r>
              <w:rPr>
                <w:rFonts w:ascii="Times New Roman" w:hAnsi="Times New Roman"/>
                <w:color w:val="auto"/>
                <w:sz w:val="21"/>
                <w:szCs w:val="21"/>
                <w:highlight w:val="none"/>
              </w:rPr>
              <w:t>%</w:t>
            </w:r>
          </w:p>
        </w:tc>
        <w:tc>
          <w:tcPr>
            <w:tcW w:w="881" w:type="pct"/>
            <w:tcBorders>
              <w:top w:val="single" w:color="auto" w:sz="4" w:space="0"/>
              <w:left w:val="single" w:color="auto" w:sz="4" w:space="0"/>
              <w:bottom w:val="single" w:color="auto" w:sz="4" w:space="0"/>
              <w:right w:val="single" w:color="auto" w:sz="4" w:space="0"/>
            </w:tcBorders>
            <w:vAlign w:val="center"/>
          </w:tcPr>
          <w:p w14:paraId="4A125D36">
            <w:pPr>
              <w:ind w:left="-105" w:right="-105"/>
              <w:jc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29</w:t>
            </w:r>
          </w:p>
        </w:tc>
        <w:tc>
          <w:tcPr>
            <w:tcW w:w="895" w:type="pct"/>
            <w:tcBorders>
              <w:top w:val="single" w:color="auto" w:sz="4" w:space="0"/>
              <w:left w:val="single" w:color="auto" w:sz="4" w:space="0"/>
              <w:bottom w:val="single" w:color="auto" w:sz="4" w:space="0"/>
              <w:right w:val="nil"/>
            </w:tcBorders>
            <w:vAlign w:val="center"/>
          </w:tcPr>
          <w:p w14:paraId="22A3CDDA">
            <w:pPr>
              <w:ind w:left="-105" w:right="-105"/>
              <w:jc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w:t>
            </w:r>
          </w:p>
        </w:tc>
      </w:tr>
      <w:tr w14:paraId="4B8F666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479" w:type="pct"/>
            <w:tcBorders>
              <w:top w:val="single" w:color="auto" w:sz="4" w:space="0"/>
              <w:left w:val="nil"/>
              <w:bottom w:val="single" w:color="auto" w:sz="12" w:space="0"/>
              <w:right w:val="single" w:color="auto" w:sz="4" w:space="0"/>
            </w:tcBorders>
            <w:vAlign w:val="center"/>
          </w:tcPr>
          <w:p w14:paraId="6802B75C">
            <w:pPr>
              <w:pStyle w:val="97"/>
              <w:widowControl/>
              <w:numPr>
                <w:ilvl w:val="0"/>
                <w:numId w:val="36"/>
              </w:numPr>
              <w:ind w:left="-105" w:right="-105" w:firstLineChars="0"/>
              <w:jc w:val="center"/>
              <w:rPr>
                <w:rFonts w:eastAsia="宋体"/>
                <w:color w:val="auto"/>
                <w:kern w:val="0"/>
                <w:sz w:val="21"/>
                <w:szCs w:val="21"/>
                <w:highlight w:val="none"/>
              </w:rPr>
            </w:pPr>
          </w:p>
        </w:tc>
        <w:tc>
          <w:tcPr>
            <w:tcW w:w="1747" w:type="pct"/>
            <w:tcBorders>
              <w:top w:val="single" w:color="auto" w:sz="4" w:space="0"/>
              <w:left w:val="single" w:color="auto" w:sz="4" w:space="0"/>
              <w:bottom w:val="single" w:color="auto" w:sz="12" w:space="0"/>
              <w:right w:val="single" w:color="auto" w:sz="4" w:space="0"/>
            </w:tcBorders>
            <w:vAlign w:val="center"/>
          </w:tcPr>
          <w:p w14:paraId="06B65DD7">
            <w:pPr>
              <w:ind w:left="-105" w:right="-105"/>
              <w:jc w:val="center"/>
              <w:rPr>
                <w:rFonts w:ascii="Times New Roman" w:hAnsi="Times New Roman"/>
                <w:color w:val="auto"/>
                <w:sz w:val="21"/>
                <w:szCs w:val="21"/>
                <w:highlight w:val="none"/>
              </w:rPr>
            </w:pPr>
            <w:r>
              <w:rPr>
                <w:rFonts w:ascii="Times New Roman" w:hAnsi="Times New Roman"/>
                <w:color w:val="auto"/>
                <w:sz w:val="21"/>
                <w:szCs w:val="21"/>
                <w:highlight w:val="none"/>
              </w:rPr>
              <w:t>投资回收期（含建设期，税后）</w:t>
            </w:r>
          </w:p>
        </w:tc>
        <w:tc>
          <w:tcPr>
            <w:tcW w:w="998" w:type="pct"/>
            <w:tcBorders>
              <w:top w:val="single" w:color="auto" w:sz="4" w:space="0"/>
              <w:left w:val="single" w:color="auto" w:sz="4" w:space="0"/>
              <w:bottom w:val="single" w:color="auto" w:sz="12" w:space="0"/>
              <w:right w:val="single" w:color="auto" w:sz="4" w:space="0"/>
            </w:tcBorders>
            <w:vAlign w:val="center"/>
          </w:tcPr>
          <w:p w14:paraId="0778A4EE">
            <w:pPr>
              <w:ind w:left="-105" w:right="-105"/>
              <w:jc w:val="center"/>
              <w:rPr>
                <w:rFonts w:ascii="Times New Roman" w:hAnsi="Times New Roman"/>
                <w:color w:val="auto"/>
                <w:sz w:val="21"/>
                <w:szCs w:val="21"/>
                <w:highlight w:val="none"/>
              </w:rPr>
            </w:pPr>
            <w:r>
              <w:rPr>
                <w:rFonts w:ascii="Times New Roman" w:hAnsi="Times New Roman"/>
                <w:color w:val="auto"/>
                <w:sz w:val="21"/>
                <w:szCs w:val="21"/>
                <w:highlight w:val="none"/>
              </w:rPr>
              <w:t>年</w:t>
            </w:r>
          </w:p>
        </w:tc>
        <w:tc>
          <w:tcPr>
            <w:tcW w:w="881" w:type="pct"/>
            <w:tcBorders>
              <w:top w:val="single" w:color="auto" w:sz="4" w:space="0"/>
              <w:left w:val="single" w:color="auto" w:sz="4" w:space="0"/>
              <w:bottom w:val="single" w:color="auto" w:sz="12" w:space="0"/>
              <w:right w:val="single" w:color="auto" w:sz="4" w:space="0"/>
            </w:tcBorders>
            <w:vAlign w:val="center"/>
          </w:tcPr>
          <w:p w14:paraId="68A829DC">
            <w:pPr>
              <w:ind w:left="-105" w:right="-105"/>
              <w:jc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4.2</w:t>
            </w:r>
          </w:p>
        </w:tc>
        <w:tc>
          <w:tcPr>
            <w:tcW w:w="895" w:type="pct"/>
            <w:tcBorders>
              <w:top w:val="single" w:color="auto" w:sz="4" w:space="0"/>
              <w:left w:val="single" w:color="auto" w:sz="4" w:space="0"/>
              <w:bottom w:val="single" w:color="auto" w:sz="12" w:space="0"/>
              <w:right w:val="nil"/>
            </w:tcBorders>
            <w:vAlign w:val="center"/>
          </w:tcPr>
          <w:p w14:paraId="01FF266A">
            <w:pPr>
              <w:ind w:left="-105" w:right="-105"/>
              <w:jc w:val="center"/>
              <w:rPr>
                <w:rFonts w:ascii="Times New Roman" w:hAnsi="Times New Roman"/>
                <w:color w:val="auto"/>
                <w:sz w:val="21"/>
                <w:szCs w:val="21"/>
                <w:highlight w:val="none"/>
              </w:rPr>
            </w:pPr>
            <w:r>
              <w:rPr>
                <w:rFonts w:ascii="Times New Roman" w:hAnsi="Times New Roman"/>
                <w:color w:val="auto"/>
                <w:sz w:val="21"/>
                <w:szCs w:val="21"/>
                <w:highlight w:val="none"/>
              </w:rPr>
              <w:t>静态</w:t>
            </w:r>
          </w:p>
        </w:tc>
      </w:tr>
    </w:tbl>
    <w:p w14:paraId="2FD7478F">
      <w:pPr>
        <w:pStyle w:val="4"/>
        <w:numPr>
          <w:ilvl w:val="1"/>
          <w:numId w:val="0"/>
        </w:numPr>
        <w:tabs>
          <w:tab w:val="left" w:pos="426"/>
        </w:tabs>
        <w:spacing w:before="120" w:beforeLines="50" w:line="360" w:lineRule="auto"/>
        <w:ind w:right="-105"/>
        <w:rPr>
          <w:rFonts w:ascii="Times New Roman" w:eastAsia="宋体"/>
          <w:color w:val="auto"/>
          <w:sz w:val="28"/>
          <w:szCs w:val="28"/>
          <w:highlight w:val="none"/>
        </w:rPr>
      </w:pPr>
      <w:bookmarkStart w:id="516" w:name="_Toc1052"/>
      <w:bookmarkStart w:id="517" w:name="_Toc13944"/>
      <w:bookmarkStart w:id="518" w:name="_Toc60653610"/>
      <w:r>
        <w:rPr>
          <w:rFonts w:hint="eastAsia" w:ascii="Times New Roman" w:eastAsia="宋体"/>
          <w:color w:val="auto"/>
          <w:sz w:val="28"/>
          <w:szCs w:val="28"/>
          <w:highlight w:val="none"/>
        </w:rPr>
        <w:t>8.2环境效益</w:t>
      </w:r>
      <w:bookmarkEnd w:id="516"/>
      <w:bookmarkEnd w:id="517"/>
      <w:bookmarkEnd w:id="518"/>
    </w:p>
    <w:p w14:paraId="48D6056E">
      <w:pPr>
        <w:pStyle w:val="5"/>
        <w:keepLines w:val="0"/>
        <w:numPr>
          <w:ilvl w:val="2"/>
          <w:numId w:val="0"/>
        </w:numPr>
        <w:tabs>
          <w:tab w:val="left" w:pos="567"/>
          <w:tab w:val="left" w:pos="709"/>
        </w:tabs>
        <w:spacing w:before="120" w:beforeLines="50" w:after="0" w:line="360" w:lineRule="auto"/>
        <w:ind w:right="-105"/>
        <w:rPr>
          <w:rFonts w:eastAsia="宋体"/>
          <w:color w:val="auto"/>
          <w:sz w:val="28"/>
          <w:szCs w:val="28"/>
          <w:highlight w:val="none"/>
        </w:rPr>
      </w:pPr>
      <w:bookmarkStart w:id="519" w:name="_Toc60653611"/>
      <w:r>
        <w:rPr>
          <w:rFonts w:hint="eastAsia" w:eastAsia="宋体"/>
          <w:color w:val="auto"/>
          <w:sz w:val="28"/>
          <w:szCs w:val="28"/>
          <w:highlight w:val="none"/>
        </w:rPr>
        <w:t>8.2.1</w:t>
      </w:r>
      <w:r>
        <w:rPr>
          <w:rFonts w:eastAsia="宋体"/>
          <w:color w:val="auto"/>
          <w:sz w:val="28"/>
          <w:szCs w:val="28"/>
          <w:highlight w:val="none"/>
        </w:rPr>
        <w:t>环保投资估算</w:t>
      </w:r>
      <w:bookmarkEnd w:id="519"/>
    </w:p>
    <w:p w14:paraId="34C286AE">
      <w:pPr>
        <w:spacing w:line="360" w:lineRule="auto"/>
        <w:ind w:left="-105" w:right="-105" w:firstLine="480" w:firstLineChars="200"/>
        <w:rPr>
          <w:rFonts w:ascii="Times New Roman" w:hAnsi="Times New Roman"/>
          <w:color w:val="auto"/>
          <w:szCs w:val="22"/>
          <w:highlight w:val="none"/>
        </w:rPr>
      </w:pPr>
      <w:r>
        <w:rPr>
          <w:rFonts w:ascii="Times New Roman" w:hAnsi="Times New Roman"/>
          <w:color w:val="auto"/>
          <w:szCs w:val="22"/>
          <w:highlight w:val="none"/>
        </w:rPr>
        <w:t>拟建项目在环保方面的投入约</w:t>
      </w:r>
      <w:r>
        <w:rPr>
          <w:rFonts w:hint="eastAsia" w:ascii="Times New Roman" w:hAnsi="Times New Roman"/>
          <w:color w:val="auto"/>
          <w:szCs w:val="22"/>
          <w:highlight w:val="none"/>
          <w:lang w:val="en-US" w:eastAsia="zh-CN"/>
        </w:rPr>
        <w:t>15</w:t>
      </w:r>
      <w:r>
        <w:rPr>
          <w:rFonts w:ascii="Times New Roman" w:hAnsi="Times New Roman"/>
          <w:color w:val="auto"/>
          <w:szCs w:val="22"/>
          <w:highlight w:val="none"/>
        </w:rPr>
        <w:t>万元，主要为废气治理设施，经估算环保投资见</w:t>
      </w:r>
      <w:r>
        <w:rPr>
          <w:rFonts w:ascii="Times New Roman" w:hAnsi="Times New Roman"/>
          <w:color w:val="auto"/>
          <w:szCs w:val="22"/>
          <w:highlight w:val="none"/>
        </w:rPr>
        <w:fldChar w:fldCharType="begin"/>
      </w:r>
      <w:r>
        <w:rPr>
          <w:rFonts w:ascii="Times New Roman" w:hAnsi="Times New Roman"/>
          <w:color w:val="auto"/>
          <w:szCs w:val="22"/>
          <w:highlight w:val="none"/>
        </w:rPr>
        <w:instrText xml:space="preserve"> REF _Ref40986681 \h  \* MERGEFORMAT </w:instrText>
      </w:r>
      <w:r>
        <w:rPr>
          <w:rFonts w:ascii="Times New Roman" w:hAnsi="Times New Roman"/>
          <w:color w:val="auto"/>
          <w:szCs w:val="22"/>
          <w:highlight w:val="none"/>
        </w:rPr>
        <w:fldChar w:fldCharType="separate"/>
      </w:r>
      <w:r>
        <w:rPr>
          <w:rFonts w:ascii="Times New Roman" w:hAnsi="Times New Roman"/>
          <w:color w:val="auto"/>
          <w:szCs w:val="22"/>
          <w:highlight w:val="none"/>
        </w:rPr>
        <w:t>表8.2</w:t>
      </w:r>
      <w:r>
        <w:rPr>
          <w:rFonts w:ascii="Times New Roman" w:hAnsi="Times New Roman"/>
          <w:color w:val="auto"/>
          <w:szCs w:val="22"/>
          <w:highlight w:val="none"/>
        </w:rPr>
        <w:noBreakHyphen/>
      </w:r>
      <w:r>
        <w:rPr>
          <w:rFonts w:ascii="Times New Roman" w:hAnsi="Times New Roman"/>
          <w:color w:val="auto"/>
          <w:szCs w:val="22"/>
          <w:highlight w:val="none"/>
        </w:rPr>
        <w:t>1</w:t>
      </w:r>
      <w:r>
        <w:rPr>
          <w:rFonts w:ascii="Times New Roman" w:hAnsi="Times New Roman"/>
          <w:color w:val="auto"/>
          <w:szCs w:val="22"/>
          <w:highlight w:val="none"/>
        </w:rPr>
        <w:fldChar w:fldCharType="end"/>
      </w:r>
      <w:r>
        <w:rPr>
          <w:rFonts w:ascii="Times New Roman" w:hAnsi="Times New Roman"/>
          <w:color w:val="auto"/>
          <w:szCs w:val="22"/>
          <w:highlight w:val="none"/>
        </w:rPr>
        <w:t>。</w:t>
      </w:r>
    </w:p>
    <w:p w14:paraId="61768DE5">
      <w:pPr>
        <w:pStyle w:val="15"/>
        <w:spacing w:line="360" w:lineRule="auto"/>
        <w:ind w:left="-105" w:right="-105" w:firstLine="482"/>
        <w:rPr>
          <w:rFonts w:eastAsia="宋体" w:cs="Times New Roman"/>
          <w:color w:val="auto"/>
          <w:sz w:val="24"/>
          <w:szCs w:val="18"/>
          <w:highlight w:val="none"/>
        </w:rPr>
      </w:pPr>
      <w:bookmarkStart w:id="520" w:name="_Ref40986681"/>
    </w:p>
    <w:p w14:paraId="438C2B45">
      <w:pPr>
        <w:pStyle w:val="15"/>
        <w:spacing w:line="360" w:lineRule="auto"/>
        <w:ind w:left="-105" w:right="-105" w:firstLine="482"/>
        <w:rPr>
          <w:rFonts w:eastAsia="宋体" w:cs="Times New Roman"/>
          <w:bCs/>
          <w:color w:val="auto"/>
          <w:sz w:val="24"/>
          <w:highlight w:val="none"/>
        </w:rPr>
      </w:pPr>
      <w:r>
        <w:rPr>
          <w:rFonts w:eastAsia="宋体" w:cs="Times New Roman"/>
          <w:color w:val="auto"/>
          <w:sz w:val="24"/>
          <w:szCs w:val="18"/>
          <w:highlight w:val="none"/>
        </w:rPr>
        <w:t>表</w:t>
      </w:r>
      <w:r>
        <w:rPr>
          <w:rFonts w:eastAsia="宋体" w:cs="Times New Roman"/>
          <w:color w:val="auto"/>
          <w:sz w:val="24"/>
          <w:szCs w:val="18"/>
          <w:highlight w:val="none"/>
        </w:rPr>
        <w:fldChar w:fldCharType="begin"/>
      </w:r>
      <w:r>
        <w:rPr>
          <w:rFonts w:eastAsia="宋体" w:cs="Times New Roman"/>
          <w:color w:val="auto"/>
          <w:sz w:val="24"/>
          <w:szCs w:val="18"/>
          <w:highlight w:val="none"/>
        </w:rPr>
        <w:instrText xml:space="preserve"> STYLEREF 2 \s </w:instrText>
      </w:r>
      <w:r>
        <w:rPr>
          <w:rFonts w:eastAsia="宋体" w:cs="Times New Roman"/>
          <w:color w:val="auto"/>
          <w:sz w:val="24"/>
          <w:szCs w:val="18"/>
          <w:highlight w:val="none"/>
        </w:rPr>
        <w:fldChar w:fldCharType="separate"/>
      </w:r>
      <w:r>
        <w:rPr>
          <w:rFonts w:eastAsia="宋体" w:cs="Times New Roman"/>
          <w:color w:val="auto"/>
          <w:sz w:val="24"/>
          <w:szCs w:val="18"/>
          <w:highlight w:val="none"/>
        </w:rPr>
        <w:t>8.2</w:t>
      </w:r>
      <w:r>
        <w:rPr>
          <w:rFonts w:eastAsia="宋体" w:cs="Times New Roman"/>
          <w:color w:val="auto"/>
          <w:sz w:val="24"/>
          <w:szCs w:val="18"/>
          <w:highlight w:val="none"/>
        </w:rPr>
        <w:fldChar w:fldCharType="end"/>
      </w:r>
      <w:r>
        <w:rPr>
          <w:rFonts w:eastAsia="宋体" w:cs="Times New Roman"/>
          <w:color w:val="auto"/>
          <w:sz w:val="24"/>
          <w:szCs w:val="18"/>
          <w:highlight w:val="none"/>
        </w:rPr>
        <w:noBreakHyphen/>
      </w:r>
      <w:r>
        <w:rPr>
          <w:rFonts w:eastAsia="宋体" w:cs="Times New Roman"/>
          <w:color w:val="auto"/>
          <w:sz w:val="24"/>
          <w:szCs w:val="18"/>
          <w:highlight w:val="none"/>
        </w:rPr>
        <w:fldChar w:fldCharType="begin"/>
      </w:r>
      <w:r>
        <w:rPr>
          <w:rFonts w:eastAsia="宋体" w:cs="Times New Roman"/>
          <w:color w:val="auto"/>
          <w:sz w:val="24"/>
          <w:szCs w:val="18"/>
          <w:highlight w:val="none"/>
        </w:rPr>
        <w:instrText xml:space="preserve"> SEQ 表 \* ARABIC \s 2 </w:instrText>
      </w:r>
      <w:r>
        <w:rPr>
          <w:rFonts w:eastAsia="宋体" w:cs="Times New Roman"/>
          <w:color w:val="auto"/>
          <w:sz w:val="24"/>
          <w:szCs w:val="18"/>
          <w:highlight w:val="none"/>
        </w:rPr>
        <w:fldChar w:fldCharType="separate"/>
      </w:r>
      <w:r>
        <w:rPr>
          <w:rFonts w:eastAsia="宋体" w:cs="Times New Roman"/>
          <w:color w:val="auto"/>
          <w:sz w:val="24"/>
          <w:szCs w:val="18"/>
          <w:highlight w:val="none"/>
        </w:rPr>
        <w:t>1</w:t>
      </w:r>
      <w:r>
        <w:rPr>
          <w:rFonts w:eastAsia="宋体" w:cs="Times New Roman"/>
          <w:color w:val="auto"/>
          <w:sz w:val="24"/>
          <w:szCs w:val="18"/>
          <w:highlight w:val="none"/>
        </w:rPr>
        <w:fldChar w:fldCharType="end"/>
      </w:r>
      <w:bookmarkEnd w:id="520"/>
      <w:r>
        <w:rPr>
          <w:rFonts w:eastAsia="宋体" w:cs="Times New Roman"/>
          <w:bCs/>
          <w:color w:val="auto"/>
          <w:sz w:val="24"/>
          <w:highlight w:val="none"/>
        </w:rPr>
        <w:t>项目环保投资估算表</w:t>
      </w:r>
    </w:p>
    <w:tbl>
      <w:tblPr>
        <w:tblStyle w:val="45"/>
        <w:tblW w:w="5000" w:type="pct"/>
        <w:tblInd w:w="107"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727"/>
        <w:gridCol w:w="2870"/>
        <w:gridCol w:w="2936"/>
        <w:gridCol w:w="2187"/>
      </w:tblGrid>
      <w:tr w14:paraId="420C152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00" w:type="dxa"/>
            <w:tcBorders>
              <w:top w:val="single" w:color="auto" w:sz="12" w:space="0"/>
              <w:left w:val="nil"/>
              <w:bottom w:val="single" w:color="auto" w:sz="4" w:space="0"/>
              <w:right w:val="single" w:color="auto" w:sz="4" w:space="0"/>
            </w:tcBorders>
            <w:vAlign w:val="center"/>
          </w:tcPr>
          <w:p w14:paraId="0007A536">
            <w:pPr>
              <w:ind w:left="-105" w:right="-105"/>
              <w:jc w:val="center"/>
              <w:rPr>
                <w:rFonts w:ascii="Times New Roman" w:hAnsi="Times New Roman" w:cs="Times New Roman"/>
                <w:b/>
                <w:color w:val="auto"/>
                <w:sz w:val="21"/>
                <w:szCs w:val="21"/>
                <w:highlight w:val="none"/>
              </w:rPr>
            </w:pPr>
            <w:r>
              <w:rPr>
                <w:rFonts w:ascii="Times New Roman" w:hAnsi="Times New Roman" w:cs="Times New Roman"/>
                <w:b/>
                <w:color w:val="auto"/>
                <w:sz w:val="21"/>
                <w:szCs w:val="21"/>
                <w:highlight w:val="none"/>
              </w:rPr>
              <w:t>序号</w:t>
            </w:r>
          </w:p>
        </w:tc>
        <w:tc>
          <w:tcPr>
            <w:tcW w:w="5591" w:type="dxa"/>
            <w:gridSpan w:val="2"/>
            <w:tcBorders>
              <w:top w:val="single" w:color="auto" w:sz="12" w:space="0"/>
              <w:left w:val="single" w:color="auto" w:sz="4" w:space="0"/>
              <w:bottom w:val="single" w:color="auto" w:sz="4" w:space="0"/>
              <w:right w:val="single" w:color="auto" w:sz="4" w:space="0"/>
            </w:tcBorders>
            <w:vAlign w:val="center"/>
          </w:tcPr>
          <w:p w14:paraId="6EAE4562">
            <w:pPr>
              <w:ind w:left="-105" w:right="-105"/>
              <w:jc w:val="center"/>
              <w:rPr>
                <w:rFonts w:ascii="Times New Roman" w:hAnsi="Times New Roman" w:cs="Times New Roman"/>
                <w:b/>
                <w:color w:val="auto"/>
                <w:sz w:val="21"/>
                <w:szCs w:val="21"/>
                <w:highlight w:val="none"/>
              </w:rPr>
            </w:pPr>
            <w:r>
              <w:rPr>
                <w:rFonts w:ascii="Times New Roman" w:hAnsi="Times New Roman" w:cs="Times New Roman"/>
                <w:b/>
                <w:color w:val="auto"/>
                <w:sz w:val="21"/>
                <w:szCs w:val="21"/>
                <w:highlight w:val="none"/>
              </w:rPr>
              <w:t>投资项目</w:t>
            </w:r>
          </w:p>
        </w:tc>
        <w:tc>
          <w:tcPr>
            <w:tcW w:w="2106" w:type="dxa"/>
            <w:tcBorders>
              <w:top w:val="single" w:color="auto" w:sz="12" w:space="0"/>
              <w:left w:val="single" w:color="auto" w:sz="4" w:space="0"/>
              <w:bottom w:val="single" w:color="auto" w:sz="4" w:space="0"/>
              <w:right w:val="nil"/>
            </w:tcBorders>
            <w:vAlign w:val="center"/>
          </w:tcPr>
          <w:p w14:paraId="191F9680">
            <w:pPr>
              <w:ind w:left="-105" w:right="-105"/>
              <w:jc w:val="center"/>
              <w:rPr>
                <w:rFonts w:ascii="Times New Roman" w:hAnsi="Times New Roman" w:cs="Times New Roman"/>
                <w:b/>
                <w:color w:val="auto"/>
                <w:sz w:val="21"/>
                <w:szCs w:val="21"/>
                <w:highlight w:val="none"/>
              </w:rPr>
            </w:pPr>
            <w:r>
              <w:rPr>
                <w:rFonts w:ascii="Times New Roman" w:hAnsi="Times New Roman" w:cs="Times New Roman"/>
                <w:b/>
                <w:color w:val="auto"/>
                <w:sz w:val="21"/>
                <w:szCs w:val="21"/>
                <w:highlight w:val="none"/>
              </w:rPr>
              <w:t>投资金额（万元）</w:t>
            </w:r>
          </w:p>
        </w:tc>
      </w:tr>
      <w:tr w14:paraId="2E4F1D5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00" w:type="dxa"/>
            <w:tcBorders>
              <w:top w:val="single" w:color="auto" w:sz="4" w:space="0"/>
              <w:left w:val="nil"/>
              <w:bottom w:val="single" w:color="auto" w:sz="4" w:space="0"/>
              <w:right w:val="single" w:color="auto" w:sz="4" w:space="0"/>
            </w:tcBorders>
            <w:vAlign w:val="center"/>
          </w:tcPr>
          <w:p w14:paraId="6DA7E34F">
            <w:pPr>
              <w:pStyle w:val="97"/>
              <w:numPr>
                <w:ilvl w:val="0"/>
                <w:numId w:val="37"/>
              </w:numPr>
              <w:ind w:left="-105" w:right="-105" w:firstLineChars="0"/>
              <w:jc w:val="center"/>
              <w:rPr>
                <w:rFonts w:eastAsia="宋体"/>
                <w:color w:val="auto"/>
                <w:sz w:val="21"/>
                <w:szCs w:val="21"/>
                <w:highlight w:val="none"/>
              </w:rPr>
            </w:pPr>
          </w:p>
        </w:tc>
        <w:tc>
          <w:tcPr>
            <w:tcW w:w="2764" w:type="dxa"/>
            <w:tcBorders>
              <w:top w:val="single" w:color="auto" w:sz="4" w:space="0"/>
              <w:left w:val="single" w:color="auto" w:sz="4" w:space="0"/>
              <w:bottom w:val="single" w:color="auto" w:sz="4" w:space="0"/>
              <w:right w:val="single" w:color="auto" w:sz="4" w:space="0"/>
            </w:tcBorders>
            <w:vAlign w:val="center"/>
          </w:tcPr>
          <w:p w14:paraId="0D1C8E88">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车间工艺废气治理装置</w:t>
            </w:r>
          </w:p>
        </w:tc>
        <w:tc>
          <w:tcPr>
            <w:tcW w:w="2827" w:type="dxa"/>
            <w:tcBorders>
              <w:top w:val="single" w:color="auto" w:sz="4" w:space="0"/>
              <w:left w:val="single" w:color="auto" w:sz="4" w:space="0"/>
              <w:bottom w:val="single" w:color="auto" w:sz="4" w:space="0"/>
              <w:right w:val="single" w:color="auto" w:sz="4" w:space="0"/>
            </w:tcBorders>
            <w:vAlign w:val="center"/>
          </w:tcPr>
          <w:p w14:paraId="17CCFD59">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废气处理装置</w:t>
            </w:r>
            <w:r>
              <w:rPr>
                <w:rFonts w:hint="eastAsia" w:ascii="Times New Roman" w:hAnsi="Times New Roman" w:cs="Times New Roman"/>
                <w:color w:val="auto"/>
                <w:sz w:val="21"/>
                <w:szCs w:val="21"/>
                <w:highlight w:val="none"/>
              </w:rPr>
              <w:t>：管道</w:t>
            </w:r>
            <w:r>
              <w:rPr>
                <w:rFonts w:ascii="Times New Roman" w:hAnsi="Times New Roman" w:cs="Times New Roman"/>
                <w:color w:val="auto"/>
                <w:sz w:val="21"/>
                <w:szCs w:val="21"/>
                <w:highlight w:val="none"/>
              </w:rPr>
              <w:t>等</w:t>
            </w:r>
          </w:p>
        </w:tc>
        <w:tc>
          <w:tcPr>
            <w:tcW w:w="2106" w:type="dxa"/>
            <w:tcBorders>
              <w:top w:val="single" w:color="auto" w:sz="4" w:space="0"/>
              <w:left w:val="single" w:color="auto" w:sz="4" w:space="0"/>
              <w:bottom w:val="single" w:color="auto" w:sz="4" w:space="0"/>
              <w:right w:val="nil"/>
            </w:tcBorders>
            <w:vAlign w:val="center"/>
          </w:tcPr>
          <w:p w14:paraId="683F39DD">
            <w:pPr>
              <w:ind w:left="-105" w:right="-105"/>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15</w:t>
            </w:r>
          </w:p>
        </w:tc>
      </w:tr>
      <w:tr w14:paraId="2043982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00" w:type="dxa"/>
            <w:tcBorders>
              <w:top w:val="single" w:color="auto" w:sz="4" w:space="0"/>
              <w:left w:val="nil"/>
              <w:bottom w:val="single" w:color="auto" w:sz="4" w:space="0"/>
              <w:right w:val="single" w:color="auto" w:sz="4" w:space="0"/>
            </w:tcBorders>
            <w:vAlign w:val="center"/>
          </w:tcPr>
          <w:p w14:paraId="55BCFBCE">
            <w:pPr>
              <w:pStyle w:val="97"/>
              <w:numPr>
                <w:ilvl w:val="0"/>
                <w:numId w:val="37"/>
              </w:numPr>
              <w:ind w:left="-105" w:right="-105" w:firstLineChars="0"/>
              <w:jc w:val="center"/>
              <w:rPr>
                <w:rFonts w:eastAsia="宋体"/>
                <w:color w:val="auto"/>
                <w:sz w:val="21"/>
                <w:szCs w:val="21"/>
                <w:highlight w:val="none"/>
              </w:rPr>
            </w:pPr>
          </w:p>
        </w:tc>
        <w:tc>
          <w:tcPr>
            <w:tcW w:w="2764" w:type="dxa"/>
            <w:tcBorders>
              <w:top w:val="single" w:color="auto" w:sz="4" w:space="0"/>
              <w:left w:val="single" w:color="auto" w:sz="4" w:space="0"/>
              <w:bottom w:val="single" w:color="auto" w:sz="4" w:space="0"/>
              <w:right w:val="single" w:color="auto" w:sz="4" w:space="0"/>
            </w:tcBorders>
            <w:vAlign w:val="center"/>
          </w:tcPr>
          <w:p w14:paraId="0C59939E">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废水处理系统</w:t>
            </w:r>
          </w:p>
        </w:tc>
        <w:tc>
          <w:tcPr>
            <w:tcW w:w="2827" w:type="dxa"/>
            <w:tcBorders>
              <w:top w:val="single" w:color="auto" w:sz="4" w:space="0"/>
              <w:left w:val="single" w:color="auto" w:sz="4" w:space="0"/>
              <w:bottom w:val="single" w:color="auto" w:sz="4" w:space="0"/>
              <w:right w:val="single" w:color="auto" w:sz="4" w:space="0"/>
            </w:tcBorders>
            <w:vAlign w:val="center"/>
          </w:tcPr>
          <w:p w14:paraId="5060A3B1">
            <w:pPr>
              <w:ind w:left="-105" w:right="-105"/>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w:t>
            </w:r>
          </w:p>
        </w:tc>
        <w:tc>
          <w:tcPr>
            <w:tcW w:w="2106" w:type="dxa"/>
            <w:tcBorders>
              <w:top w:val="single" w:color="auto" w:sz="4" w:space="0"/>
              <w:left w:val="single" w:color="auto" w:sz="4" w:space="0"/>
              <w:bottom w:val="single" w:color="auto" w:sz="4" w:space="0"/>
              <w:right w:val="nil"/>
            </w:tcBorders>
            <w:vAlign w:val="center"/>
          </w:tcPr>
          <w:p w14:paraId="15D6E2BB">
            <w:pPr>
              <w:ind w:left="-105" w:right="-105"/>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w:t>
            </w:r>
          </w:p>
        </w:tc>
      </w:tr>
      <w:tr w14:paraId="4BCAB04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00" w:type="dxa"/>
            <w:tcBorders>
              <w:top w:val="single" w:color="auto" w:sz="4" w:space="0"/>
              <w:left w:val="nil"/>
              <w:bottom w:val="single" w:color="auto" w:sz="4" w:space="0"/>
              <w:right w:val="single" w:color="auto" w:sz="4" w:space="0"/>
            </w:tcBorders>
            <w:vAlign w:val="center"/>
          </w:tcPr>
          <w:p w14:paraId="7DA3CD54">
            <w:pPr>
              <w:pStyle w:val="97"/>
              <w:numPr>
                <w:ilvl w:val="0"/>
                <w:numId w:val="37"/>
              </w:numPr>
              <w:ind w:left="-105" w:right="-105" w:firstLineChars="0"/>
              <w:jc w:val="center"/>
              <w:rPr>
                <w:rFonts w:eastAsia="宋体"/>
                <w:color w:val="auto"/>
                <w:sz w:val="21"/>
                <w:szCs w:val="21"/>
                <w:highlight w:val="none"/>
              </w:rPr>
            </w:pPr>
          </w:p>
        </w:tc>
        <w:tc>
          <w:tcPr>
            <w:tcW w:w="5591" w:type="dxa"/>
            <w:gridSpan w:val="2"/>
            <w:tcBorders>
              <w:top w:val="single" w:color="auto" w:sz="4" w:space="0"/>
              <w:left w:val="single" w:color="auto" w:sz="4" w:space="0"/>
              <w:bottom w:val="single" w:color="auto" w:sz="4" w:space="0"/>
              <w:right w:val="single" w:color="auto" w:sz="4" w:space="0"/>
            </w:tcBorders>
            <w:vAlign w:val="center"/>
          </w:tcPr>
          <w:p w14:paraId="66893706">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设置减震、隔声、消音等噪声防治装置</w:t>
            </w:r>
          </w:p>
        </w:tc>
        <w:tc>
          <w:tcPr>
            <w:tcW w:w="2106" w:type="dxa"/>
            <w:tcBorders>
              <w:top w:val="single" w:color="auto" w:sz="4" w:space="0"/>
              <w:left w:val="single" w:color="auto" w:sz="4" w:space="0"/>
              <w:bottom w:val="single" w:color="auto" w:sz="4" w:space="0"/>
              <w:right w:val="nil"/>
            </w:tcBorders>
            <w:vAlign w:val="center"/>
          </w:tcPr>
          <w:p w14:paraId="24584679">
            <w:pPr>
              <w:ind w:left="-105" w:right="-105"/>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w:t>
            </w:r>
          </w:p>
        </w:tc>
      </w:tr>
      <w:tr w14:paraId="22F5F70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00" w:type="dxa"/>
            <w:tcBorders>
              <w:top w:val="single" w:color="auto" w:sz="4" w:space="0"/>
              <w:left w:val="nil"/>
              <w:bottom w:val="single" w:color="auto" w:sz="4" w:space="0"/>
              <w:right w:val="single" w:color="auto" w:sz="4" w:space="0"/>
            </w:tcBorders>
            <w:vAlign w:val="center"/>
          </w:tcPr>
          <w:p w14:paraId="1610F9BC">
            <w:pPr>
              <w:pStyle w:val="97"/>
              <w:numPr>
                <w:ilvl w:val="0"/>
                <w:numId w:val="37"/>
              </w:numPr>
              <w:ind w:left="-105" w:right="-105" w:firstLineChars="0"/>
              <w:jc w:val="center"/>
              <w:rPr>
                <w:rFonts w:eastAsia="宋体"/>
                <w:color w:val="auto"/>
                <w:sz w:val="21"/>
                <w:szCs w:val="21"/>
                <w:highlight w:val="none"/>
              </w:rPr>
            </w:pPr>
          </w:p>
        </w:tc>
        <w:tc>
          <w:tcPr>
            <w:tcW w:w="5591" w:type="dxa"/>
            <w:gridSpan w:val="2"/>
            <w:tcBorders>
              <w:top w:val="single" w:color="auto" w:sz="4" w:space="0"/>
              <w:left w:val="single" w:color="auto" w:sz="4" w:space="0"/>
              <w:bottom w:val="single" w:color="auto" w:sz="4" w:space="0"/>
              <w:right w:val="single" w:color="auto" w:sz="4" w:space="0"/>
            </w:tcBorders>
            <w:vAlign w:val="center"/>
          </w:tcPr>
          <w:p w14:paraId="4A8B364F">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雨、污水管网</w:t>
            </w:r>
          </w:p>
        </w:tc>
        <w:tc>
          <w:tcPr>
            <w:tcW w:w="2106" w:type="dxa"/>
            <w:tcBorders>
              <w:top w:val="single" w:color="auto" w:sz="4" w:space="0"/>
              <w:left w:val="single" w:color="auto" w:sz="4" w:space="0"/>
              <w:bottom w:val="single" w:color="auto" w:sz="4" w:space="0"/>
              <w:right w:val="nil"/>
            </w:tcBorders>
            <w:vAlign w:val="center"/>
          </w:tcPr>
          <w:p w14:paraId="0CEF503D">
            <w:pPr>
              <w:ind w:left="-105" w:right="-105"/>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w:t>
            </w:r>
          </w:p>
        </w:tc>
      </w:tr>
      <w:tr w14:paraId="7C0442F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00" w:type="dxa"/>
            <w:tcBorders>
              <w:top w:val="single" w:color="auto" w:sz="4" w:space="0"/>
              <w:left w:val="nil"/>
              <w:bottom w:val="single" w:color="auto" w:sz="4" w:space="0"/>
              <w:right w:val="single" w:color="auto" w:sz="4" w:space="0"/>
            </w:tcBorders>
            <w:vAlign w:val="center"/>
          </w:tcPr>
          <w:p w14:paraId="40B7859A">
            <w:pPr>
              <w:pStyle w:val="97"/>
              <w:numPr>
                <w:ilvl w:val="0"/>
                <w:numId w:val="37"/>
              </w:numPr>
              <w:ind w:left="-105" w:right="-105" w:firstLineChars="0"/>
              <w:jc w:val="center"/>
              <w:rPr>
                <w:rFonts w:eastAsia="宋体"/>
                <w:color w:val="auto"/>
                <w:sz w:val="21"/>
                <w:szCs w:val="21"/>
                <w:highlight w:val="none"/>
              </w:rPr>
            </w:pPr>
          </w:p>
        </w:tc>
        <w:tc>
          <w:tcPr>
            <w:tcW w:w="2764" w:type="dxa"/>
            <w:tcBorders>
              <w:top w:val="single" w:color="auto" w:sz="4" w:space="0"/>
              <w:left w:val="single" w:color="auto" w:sz="4" w:space="0"/>
              <w:bottom w:val="single" w:color="auto" w:sz="4" w:space="0"/>
              <w:right w:val="single" w:color="auto" w:sz="4" w:space="0"/>
            </w:tcBorders>
            <w:vAlign w:val="center"/>
          </w:tcPr>
          <w:p w14:paraId="1098144F">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危险化学品贮存设施</w:t>
            </w:r>
          </w:p>
        </w:tc>
        <w:tc>
          <w:tcPr>
            <w:tcW w:w="2827" w:type="dxa"/>
            <w:tcBorders>
              <w:top w:val="single" w:color="auto" w:sz="4" w:space="0"/>
              <w:left w:val="single" w:color="auto" w:sz="4" w:space="0"/>
              <w:bottom w:val="single" w:color="auto" w:sz="4" w:space="0"/>
              <w:right w:val="single" w:color="auto" w:sz="4" w:space="0"/>
            </w:tcBorders>
            <w:vAlign w:val="center"/>
          </w:tcPr>
          <w:p w14:paraId="77F0F48B">
            <w:pPr>
              <w:ind w:left="-105" w:right="-105"/>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w:t>
            </w:r>
          </w:p>
        </w:tc>
        <w:tc>
          <w:tcPr>
            <w:tcW w:w="2106" w:type="dxa"/>
            <w:vMerge w:val="restart"/>
            <w:tcBorders>
              <w:top w:val="single" w:color="auto" w:sz="4" w:space="0"/>
              <w:left w:val="single" w:color="auto" w:sz="4" w:space="0"/>
              <w:right w:val="nil"/>
            </w:tcBorders>
            <w:vAlign w:val="center"/>
          </w:tcPr>
          <w:p w14:paraId="37481C86">
            <w:pPr>
              <w:ind w:left="-105" w:right="-105"/>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w:t>
            </w:r>
          </w:p>
        </w:tc>
      </w:tr>
      <w:tr w14:paraId="3B56159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00" w:type="dxa"/>
            <w:tcBorders>
              <w:top w:val="single" w:color="auto" w:sz="4" w:space="0"/>
              <w:left w:val="nil"/>
              <w:bottom w:val="single" w:color="auto" w:sz="4" w:space="0"/>
              <w:right w:val="single" w:color="auto" w:sz="4" w:space="0"/>
            </w:tcBorders>
            <w:vAlign w:val="center"/>
          </w:tcPr>
          <w:p w14:paraId="23D721B3">
            <w:pPr>
              <w:pStyle w:val="97"/>
              <w:numPr>
                <w:ilvl w:val="0"/>
                <w:numId w:val="37"/>
              </w:numPr>
              <w:ind w:left="-105" w:right="-105" w:firstLineChars="0"/>
              <w:jc w:val="center"/>
              <w:rPr>
                <w:rFonts w:eastAsia="宋体"/>
                <w:color w:val="auto"/>
                <w:sz w:val="21"/>
                <w:szCs w:val="21"/>
                <w:highlight w:val="none"/>
              </w:rPr>
            </w:pPr>
          </w:p>
        </w:tc>
        <w:tc>
          <w:tcPr>
            <w:tcW w:w="2764" w:type="dxa"/>
            <w:tcBorders>
              <w:top w:val="single" w:color="auto" w:sz="4" w:space="0"/>
              <w:left w:val="single" w:color="auto" w:sz="4" w:space="0"/>
              <w:bottom w:val="single" w:color="auto" w:sz="4" w:space="0"/>
              <w:right w:val="single" w:color="auto" w:sz="4" w:space="0"/>
            </w:tcBorders>
            <w:vAlign w:val="center"/>
          </w:tcPr>
          <w:p w14:paraId="7E42FC34">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固废废物贮存设施</w:t>
            </w:r>
          </w:p>
        </w:tc>
        <w:tc>
          <w:tcPr>
            <w:tcW w:w="2827" w:type="dxa"/>
            <w:tcBorders>
              <w:top w:val="single" w:color="auto" w:sz="4" w:space="0"/>
              <w:left w:val="single" w:color="auto" w:sz="4" w:space="0"/>
              <w:bottom w:val="single" w:color="auto" w:sz="4" w:space="0"/>
              <w:right w:val="single" w:color="auto" w:sz="4" w:space="0"/>
            </w:tcBorders>
            <w:vAlign w:val="center"/>
          </w:tcPr>
          <w:p w14:paraId="1F191EEB">
            <w:pPr>
              <w:ind w:left="-105" w:right="-105"/>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w:t>
            </w:r>
          </w:p>
        </w:tc>
        <w:tc>
          <w:tcPr>
            <w:tcW w:w="2106" w:type="dxa"/>
            <w:vMerge w:val="continue"/>
            <w:tcBorders>
              <w:left w:val="single" w:color="auto" w:sz="4" w:space="0"/>
              <w:bottom w:val="single" w:color="auto" w:sz="4" w:space="0"/>
              <w:right w:val="nil"/>
            </w:tcBorders>
            <w:vAlign w:val="center"/>
          </w:tcPr>
          <w:p w14:paraId="445A5A69">
            <w:pPr>
              <w:ind w:left="-105" w:right="-105"/>
              <w:jc w:val="center"/>
              <w:rPr>
                <w:rFonts w:ascii="Times New Roman" w:hAnsi="Times New Roman" w:cs="Times New Roman"/>
                <w:color w:val="auto"/>
                <w:sz w:val="21"/>
                <w:szCs w:val="21"/>
                <w:highlight w:val="none"/>
              </w:rPr>
            </w:pPr>
          </w:p>
        </w:tc>
      </w:tr>
      <w:tr w14:paraId="1A237F4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00" w:type="dxa"/>
            <w:tcBorders>
              <w:top w:val="single" w:color="auto" w:sz="4" w:space="0"/>
              <w:left w:val="nil"/>
              <w:bottom w:val="single" w:color="auto" w:sz="4" w:space="0"/>
              <w:right w:val="single" w:color="auto" w:sz="4" w:space="0"/>
            </w:tcBorders>
            <w:vAlign w:val="center"/>
          </w:tcPr>
          <w:p w14:paraId="28373878">
            <w:pPr>
              <w:pStyle w:val="97"/>
              <w:numPr>
                <w:ilvl w:val="0"/>
                <w:numId w:val="37"/>
              </w:numPr>
              <w:ind w:left="-105" w:right="-105" w:firstLineChars="0"/>
              <w:jc w:val="center"/>
              <w:rPr>
                <w:rFonts w:eastAsia="宋体"/>
                <w:color w:val="auto"/>
                <w:sz w:val="21"/>
                <w:szCs w:val="21"/>
                <w:highlight w:val="none"/>
              </w:rPr>
            </w:pPr>
          </w:p>
        </w:tc>
        <w:tc>
          <w:tcPr>
            <w:tcW w:w="5591" w:type="dxa"/>
            <w:gridSpan w:val="2"/>
            <w:tcBorders>
              <w:top w:val="single" w:color="auto" w:sz="4" w:space="0"/>
              <w:left w:val="single" w:color="auto" w:sz="4" w:space="0"/>
              <w:bottom w:val="single" w:color="auto" w:sz="4" w:space="0"/>
              <w:right w:val="single" w:color="auto" w:sz="4" w:space="0"/>
            </w:tcBorders>
            <w:vAlign w:val="center"/>
          </w:tcPr>
          <w:p w14:paraId="362AC6EA">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环境风险应急措施</w:t>
            </w:r>
          </w:p>
        </w:tc>
        <w:tc>
          <w:tcPr>
            <w:tcW w:w="2106" w:type="dxa"/>
            <w:tcBorders>
              <w:left w:val="single" w:color="auto" w:sz="4" w:space="0"/>
              <w:bottom w:val="single" w:color="auto" w:sz="4" w:space="0"/>
              <w:right w:val="nil"/>
            </w:tcBorders>
            <w:vAlign w:val="center"/>
          </w:tcPr>
          <w:p w14:paraId="74B43D9C">
            <w:pPr>
              <w:ind w:left="-105" w:right="-105"/>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w:t>
            </w:r>
          </w:p>
        </w:tc>
      </w:tr>
      <w:tr w14:paraId="52E66D9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00" w:type="dxa"/>
            <w:tcBorders>
              <w:top w:val="single" w:color="auto" w:sz="4" w:space="0"/>
              <w:left w:val="nil"/>
              <w:bottom w:val="single" w:color="auto" w:sz="4" w:space="0"/>
              <w:right w:val="single" w:color="auto" w:sz="4" w:space="0"/>
            </w:tcBorders>
            <w:vAlign w:val="center"/>
          </w:tcPr>
          <w:p w14:paraId="46912EF4">
            <w:pPr>
              <w:pStyle w:val="97"/>
              <w:numPr>
                <w:ilvl w:val="0"/>
                <w:numId w:val="37"/>
              </w:numPr>
              <w:ind w:left="-105" w:right="-105" w:firstLineChars="0"/>
              <w:jc w:val="center"/>
              <w:rPr>
                <w:rFonts w:eastAsia="宋体"/>
                <w:color w:val="auto"/>
                <w:sz w:val="21"/>
                <w:szCs w:val="21"/>
                <w:highlight w:val="none"/>
              </w:rPr>
            </w:pPr>
          </w:p>
        </w:tc>
        <w:tc>
          <w:tcPr>
            <w:tcW w:w="5591" w:type="dxa"/>
            <w:gridSpan w:val="2"/>
            <w:tcBorders>
              <w:top w:val="single" w:color="auto" w:sz="4" w:space="0"/>
              <w:left w:val="single" w:color="auto" w:sz="4" w:space="0"/>
              <w:bottom w:val="single" w:color="auto" w:sz="4" w:space="0"/>
              <w:right w:val="single" w:color="auto" w:sz="4" w:space="0"/>
            </w:tcBorders>
            <w:vAlign w:val="center"/>
          </w:tcPr>
          <w:p w14:paraId="1AE2EA64">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日常检测费</w:t>
            </w:r>
          </w:p>
        </w:tc>
        <w:tc>
          <w:tcPr>
            <w:tcW w:w="2106" w:type="dxa"/>
            <w:tcBorders>
              <w:top w:val="single" w:color="auto" w:sz="4" w:space="0"/>
              <w:left w:val="single" w:color="auto" w:sz="4" w:space="0"/>
              <w:bottom w:val="single" w:color="auto" w:sz="4" w:space="0"/>
              <w:right w:val="nil"/>
            </w:tcBorders>
            <w:vAlign w:val="center"/>
          </w:tcPr>
          <w:p w14:paraId="26910E0E">
            <w:pPr>
              <w:ind w:left="-105" w:right="-105"/>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w:t>
            </w:r>
          </w:p>
        </w:tc>
      </w:tr>
      <w:tr w14:paraId="0573C9C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00" w:type="dxa"/>
            <w:tcBorders>
              <w:top w:val="single" w:color="auto" w:sz="4" w:space="0"/>
              <w:left w:val="nil"/>
              <w:bottom w:val="single" w:color="auto" w:sz="4" w:space="0"/>
              <w:right w:val="single" w:color="auto" w:sz="4" w:space="0"/>
            </w:tcBorders>
            <w:vAlign w:val="center"/>
          </w:tcPr>
          <w:p w14:paraId="2C75D578">
            <w:pPr>
              <w:pStyle w:val="97"/>
              <w:numPr>
                <w:ilvl w:val="0"/>
                <w:numId w:val="37"/>
              </w:numPr>
              <w:ind w:left="-105" w:right="-105" w:firstLineChars="0"/>
              <w:jc w:val="center"/>
              <w:rPr>
                <w:rFonts w:eastAsia="宋体"/>
                <w:color w:val="auto"/>
                <w:sz w:val="21"/>
                <w:szCs w:val="21"/>
                <w:highlight w:val="none"/>
              </w:rPr>
            </w:pPr>
          </w:p>
        </w:tc>
        <w:tc>
          <w:tcPr>
            <w:tcW w:w="5591" w:type="dxa"/>
            <w:gridSpan w:val="2"/>
            <w:tcBorders>
              <w:top w:val="single" w:color="auto" w:sz="4" w:space="0"/>
              <w:left w:val="single" w:color="auto" w:sz="4" w:space="0"/>
              <w:bottom w:val="single" w:color="auto" w:sz="4" w:space="0"/>
              <w:right w:val="single" w:color="auto" w:sz="4" w:space="0"/>
            </w:tcBorders>
            <w:vAlign w:val="center"/>
          </w:tcPr>
          <w:p w14:paraId="24246E9F">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环保投资合计</w:t>
            </w:r>
          </w:p>
        </w:tc>
        <w:tc>
          <w:tcPr>
            <w:tcW w:w="2106" w:type="dxa"/>
            <w:tcBorders>
              <w:top w:val="single" w:color="auto" w:sz="4" w:space="0"/>
              <w:left w:val="single" w:color="auto" w:sz="4" w:space="0"/>
              <w:bottom w:val="single" w:color="auto" w:sz="4" w:space="0"/>
              <w:right w:val="nil"/>
            </w:tcBorders>
            <w:vAlign w:val="center"/>
          </w:tcPr>
          <w:p w14:paraId="30512E7A">
            <w:pPr>
              <w:ind w:left="-105" w:right="-105"/>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15</w:t>
            </w:r>
          </w:p>
        </w:tc>
      </w:tr>
      <w:tr w14:paraId="307939A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00" w:type="dxa"/>
            <w:tcBorders>
              <w:top w:val="single" w:color="auto" w:sz="4" w:space="0"/>
              <w:left w:val="nil"/>
              <w:bottom w:val="single" w:color="auto" w:sz="4" w:space="0"/>
              <w:right w:val="single" w:color="auto" w:sz="4" w:space="0"/>
            </w:tcBorders>
            <w:vAlign w:val="center"/>
          </w:tcPr>
          <w:p w14:paraId="292D617F">
            <w:pPr>
              <w:pStyle w:val="97"/>
              <w:numPr>
                <w:ilvl w:val="0"/>
                <w:numId w:val="37"/>
              </w:numPr>
              <w:ind w:left="-105" w:right="-105" w:firstLineChars="0"/>
              <w:jc w:val="center"/>
              <w:rPr>
                <w:rFonts w:eastAsia="宋体"/>
                <w:color w:val="auto"/>
                <w:sz w:val="21"/>
                <w:szCs w:val="21"/>
                <w:highlight w:val="none"/>
              </w:rPr>
            </w:pPr>
          </w:p>
        </w:tc>
        <w:tc>
          <w:tcPr>
            <w:tcW w:w="5591" w:type="dxa"/>
            <w:gridSpan w:val="2"/>
            <w:tcBorders>
              <w:top w:val="single" w:color="auto" w:sz="4" w:space="0"/>
              <w:left w:val="single" w:color="auto" w:sz="4" w:space="0"/>
              <w:bottom w:val="single" w:color="auto" w:sz="4" w:space="0"/>
              <w:right w:val="single" w:color="auto" w:sz="4" w:space="0"/>
            </w:tcBorders>
            <w:vAlign w:val="center"/>
          </w:tcPr>
          <w:p w14:paraId="3091F347">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总投资</w:t>
            </w:r>
          </w:p>
        </w:tc>
        <w:tc>
          <w:tcPr>
            <w:tcW w:w="2106" w:type="dxa"/>
            <w:tcBorders>
              <w:top w:val="single" w:color="auto" w:sz="4" w:space="0"/>
              <w:left w:val="single" w:color="auto" w:sz="4" w:space="0"/>
              <w:bottom w:val="single" w:color="auto" w:sz="4" w:space="0"/>
              <w:right w:val="nil"/>
            </w:tcBorders>
            <w:vAlign w:val="center"/>
          </w:tcPr>
          <w:p w14:paraId="25EE0433">
            <w:pPr>
              <w:ind w:left="-105" w:right="-105"/>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1</w:t>
            </w:r>
            <w:r>
              <w:rPr>
                <w:rFonts w:ascii="Times New Roman" w:hAnsi="Times New Roman" w:cs="Times New Roman"/>
                <w:color w:val="auto"/>
                <w:sz w:val="21"/>
                <w:szCs w:val="21"/>
                <w:highlight w:val="none"/>
              </w:rPr>
              <w:t>000</w:t>
            </w:r>
          </w:p>
        </w:tc>
      </w:tr>
      <w:tr w14:paraId="6B30D0F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00" w:type="dxa"/>
            <w:tcBorders>
              <w:top w:val="single" w:color="auto" w:sz="4" w:space="0"/>
              <w:left w:val="nil"/>
              <w:bottom w:val="single" w:color="auto" w:sz="12" w:space="0"/>
              <w:right w:val="single" w:color="auto" w:sz="4" w:space="0"/>
            </w:tcBorders>
            <w:vAlign w:val="center"/>
          </w:tcPr>
          <w:p w14:paraId="31314B57">
            <w:pPr>
              <w:pStyle w:val="97"/>
              <w:numPr>
                <w:ilvl w:val="0"/>
                <w:numId w:val="37"/>
              </w:numPr>
              <w:ind w:left="-105" w:right="-105" w:firstLineChars="0"/>
              <w:jc w:val="center"/>
              <w:rPr>
                <w:rFonts w:eastAsia="宋体"/>
                <w:color w:val="auto"/>
                <w:sz w:val="21"/>
                <w:szCs w:val="21"/>
                <w:highlight w:val="none"/>
              </w:rPr>
            </w:pPr>
          </w:p>
        </w:tc>
        <w:tc>
          <w:tcPr>
            <w:tcW w:w="5591" w:type="dxa"/>
            <w:gridSpan w:val="2"/>
            <w:tcBorders>
              <w:top w:val="single" w:color="auto" w:sz="4" w:space="0"/>
              <w:left w:val="single" w:color="auto" w:sz="4" w:space="0"/>
              <w:bottom w:val="single" w:color="auto" w:sz="12" w:space="0"/>
              <w:right w:val="single" w:color="auto" w:sz="4" w:space="0"/>
            </w:tcBorders>
            <w:vAlign w:val="center"/>
          </w:tcPr>
          <w:p w14:paraId="2D469031">
            <w:pPr>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占比例（%）</w:t>
            </w:r>
          </w:p>
        </w:tc>
        <w:tc>
          <w:tcPr>
            <w:tcW w:w="2106" w:type="dxa"/>
            <w:tcBorders>
              <w:top w:val="single" w:color="auto" w:sz="4" w:space="0"/>
              <w:left w:val="single" w:color="auto" w:sz="4" w:space="0"/>
              <w:bottom w:val="single" w:color="auto" w:sz="12" w:space="0"/>
              <w:right w:val="nil"/>
            </w:tcBorders>
            <w:vAlign w:val="center"/>
          </w:tcPr>
          <w:p w14:paraId="31DF640A">
            <w:pPr>
              <w:ind w:left="-105" w:right="-105"/>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1.5</w:t>
            </w:r>
          </w:p>
        </w:tc>
      </w:tr>
    </w:tbl>
    <w:p w14:paraId="2A7EBD77">
      <w:pPr>
        <w:spacing w:line="360" w:lineRule="auto"/>
        <w:ind w:left="-105" w:right="-105" w:firstLine="480" w:firstLineChars="200"/>
        <w:rPr>
          <w:rFonts w:ascii="Times New Roman" w:hAnsi="Times New Roman"/>
          <w:color w:val="auto"/>
          <w:szCs w:val="22"/>
          <w:highlight w:val="none"/>
        </w:rPr>
      </w:pPr>
      <w:r>
        <w:rPr>
          <w:rFonts w:ascii="Times New Roman" w:hAnsi="Times New Roman"/>
          <w:color w:val="auto"/>
          <w:szCs w:val="22"/>
          <w:highlight w:val="none"/>
        </w:rPr>
        <w:t>由表可见，</w:t>
      </w:r>
      <w:r>
        <w:rPr>
          <w:rFonts w:hint="eastAsia" w:ascii="Times New Roman" w:hAnsi="Times New Roman"/>
          <w:color w:val="auto"/>
          <w:szCs w:val="22"/>
          <w:highlight w:val="none"/>
        </w:rPr>
        <w:t>本</w:t>
      </w:r>
      <w:r>
        <w:rPr>
          <w:rFonts w:ascii="Times New Roman" w:hAnsi="Times New Roman"/>
          <w:color w:val="auto"/>
          <w:szCs w:val="22"/>
          <w:highlight w:val="none"/>
        </w:rPr>
        <w:t>项目总投资为</w:t>
      </w:r>
      <w:r>
        <w:rPr>
          <w:rFonts w:hint="eastAsia" w:ascii="Times New Roman" w:hAnsi="Times New Roman"/>
          <w:color w:val="auto"/>
          <w:szCs w:val="22"/>
          <w:highlight w:val="none"/>
        </w:rPr>
        <w:t>1000</w:t>
      </w:r>
      <w:r>
        <w:rPr>
          <w:rFonts w:ascii="Times New Roman" w:hAnsi="Times New Roman"/>
          <w:color w:val="auto"/>
          <w:szCs w:val="22"/>
          <w:highlight w:val="none"/>
        </w:rPr>
        <w:t>万元，其中环保投资</w:t>
      </w:r>
      <w:r>
        <w:rPr>
          <w:rFonts w:hint="eastAsia" w:ascii="Times New Roman" w:hAnsi="Times New Roman"/>
          <w:color w:val="auto"/>
          <w:szCs w:val="22"/>
          <w:highlight w:val="none"/>
          <w:lang w:val="en-US" w:eastAsia="zh-CN"/>
        </w:rPr>
        <w:t>15</w:t>
      </w:r>
      <w:r>
        <w:rPr>
          <w:rFonts w:ascii="Times New Roman" w:hAnsi="Times New Roman"/>
          <w:color w:val="auto"/>
          <w:szCs w:val="22"/>
          <w:highlight w:val="none"/>
        </w:rPr>
        <w:t>万元，环保投资占总投资的比例为</w:t>
      </w:r>
      <w:r>
        <w:rPr>
          <w:rFonts w:hint="eastAsia" w:ascii="Times New Roman" w:hAnsi="Times New Roman"/>
          <w:color w:val="auto"/>
          <w:szCs w:val="22"/>
          <w:highlight w:val="none"/>
          <w:lang w:val="en-US" w:eastAsia="zh-CN"/>
        </w:rPr>
        <w:t>1.5</w:t>
      </w:r>
      <w:r>
        <w:rPr>
          <w:rFonts w:ascii="Times New Roman" w:hAnsi="Times New Roman"/>
          <w:color w:val="auto"/>
          <w:szCs w:val="22"/>
          <w:highlight w:val="none"/>
        </w:rPr>
        <w:t>%。通过一系列环保投资建</w:t>
      </w:r>
      <w:r>
        <w:rPr>
          <w:rFonts w:ascii="Times New Roman" w:hAnsi="Times New Roman"/>
          <w:color w:val="auto"/>
          <w:szCs w:val="22"/>
          <w:highlight w:val="none"/>
        </w:rPr>
        <w:t>设，加强了工程的硬件设施，全面控制了项目的产污和排污，有效地防止了周围环境污染和影响，也达到保设施与主体工程同时设计、同时施工、同时投产使用的要求，应该说投资比例比较适宜。</w:t>
      </w:r>
    </w:p>
    <w:p w14:paraId="5A70C87C">
      <w:pPr>
        <w:pStyle w:val="5"/>
        <w:keepLines w:val="0"/>
        <w:numPr>
          <w:ilvl w:val="0"/>
          <w:numId w:val="0"/>
        </w:numPr>
        <w:tabs>
          <w:tab w:val="left" w:pos="-567"/>
          <w:tab w:val="left" w:pos="567"/>
          <w:tab w:val="left" w:pos="709"/>
        </w:tabs>
        <w:spacing w:before="120" w:beforeLines="50" w:after="0" w:line="360" w:lineRule="auto"/>
        <w:ind w:left="420" w:right="-105" w:hanging="420"/>
        <w:rPr>
          <w:rFonts w:eastAsia="宋体"/>
          <w:color w:val="auto"/>
          <w:sz w:val="28"/>
          <w:szCs w:val="28"/>
          <w:highlight w:val="none"/>
        </w:rPr>
      </w:pPr>
      <w:bookmarkStart w:id="521" w:name="_Toc60653612"/>
      <w:r>
        <w:rPr>
          <w:rFonts w:eastAsia="宋体"/>
          <w:color w:val="auto"/>
          <w:sz w:val="28"/>
          <w:szCs w:val="28"/>
          <w:highlight w:val="none"/>
        </w:rPr>
        <w:t>8.2.2环境损益分析</w:t>
      </w:r>
      <w:bookmarkEnd w:id="521"/>
    </w:p>
    <w:p w14:paraId="5A4F49B6">
      <w:pPr>
        <w:spacing w:line="360" w:lineRule="auto"/>
        <w:ind w:left="-105" w:right="-105" w:firstLine="480" w:firstLineChars="200"/>
        <w:rPr>
          <w:rFonts w:ascii="Times New Roman" w:hAnsi="Times New Roman"/>
          <w:color w:val="auto"/>
          <w:szCs w:val="22"/>
          <w:highlight w:val="none"/>
        </w:rPr>
      </w:pPr>
      <w:r>
        <w:rPr>
          <w:rFonts w:ascii="Times New Roman" w:hAnsi="Times New Roman"/>
          <w:color w:val="auto"/>
          <w:szCs w:val="22"/>
          <w:highlight w:val="none"/>
        </w:rPr>
        <w:t>该项目拟投资建设的各项污染治理措施能有效地削减污染物排放量，可将其环境影响降至较低水平，具有较好的环境效益。同时，企业的污染防治不仅是投资污染防治设施，更重要的是培养员工的环境保护意识，做好危废处置、资源回收等工作。在生产工艺上，采用清洁生产工艺，从源头预防污染产生，并做好污染的末端处理。</w:t>
      </w:r>
    </w:p>
    <w:p w14:paraId="2E20D54F">
      <w:pPr>
        <w:spacing w:line="360" w:lineRule="auto"/>
        <w:ind w:left="-105" w:right="-105" w:firstLine="480" w:firstLineChars="200"/>
        <w:rPr>
          <w:rFonts w:ascii="Times New Roman" w:hAnsi="Times New Roman"/>
          <w:color w:val="auto"/>
          <w:szCs w:val="22"/>
          <w:highlight w:val="none"/>
        </w:rPr>
      </w:pPr>
      <w:r>
        <w:rPr>
          <w:rFonts w:ascii="Times New Roman" w:hAnsi="Times New Roman"/>
          <w:color w:val="auto"/>
          <w:szCs w:val="22"/>
          <w:highlight w:val="none"/>
        </w:rPr>
        <w:t>本项目生产废水零排放，</w:t>
      </w:r>
      <w:r>
        <w:rPr>
          <w:rFonts w:hint="eastAsia" w:ascii="Times New Roman" w:hAnsi="Times New Roman"/>
          <w:color w:val="auto"/>
          <w:szCs w:val="22"/>
          <w:highlight w:val="none"/>
        </w:rPr>
        <w:t>生活污水经化粪池预处理后与15分钟初期雨水一起进入经无锡先进化药化工有限公司处理达标后接入无锡市锡山云林污水处理有限公司</w:t>
      </w:r>
      <w:r>
        <w:rPr>
          <w:rFonts w:ascii="Times New Roman" w:hAnsi="Times New Roman"/>
          <w:color w:val="auto"/>
          <w:szCs w:val="22"/>
          <w:highlight w:val="none"/>
        </w:rPr>
        <w:t>；并采取了较为完善可靠的废气治理措施，经严格采取废气处理措施后，废气对环境的影响、对敏感目标的影响可控；本项目固体废物全部得到妥善处置，实现零排放。上述各项措施可使排入周围环境的污染物大大降低，具有明显的环境效益。</w:t>
      </w:r>
    </w:p>
    <w:p w14:paraId="3E23C015">
      <w:pPr>
        <w:pStyle w:val="4"/>
        <w:numPr>
          <w:ilvl w:val="1"/>
          <w:numId w:val="0"/>
        </w:numPr>
        <w:tabs>
          <w:tab w:val="left" w:pos="426"/>
        </w:tabs>
        <w:spacing w:before="120" w:beforeLines="50" w:line="360" w:lineRule="auto"/>
        <w:ind w:right="-105"/>
        <w:rPr>
          <w:rFonts w:ascii="Times New Roman" w:eastAsia="宋体"/>
          <w:color w:val="auto"/>
          <w:sz w:val="28"/>
          <w:szCs w:val="28"/>
          <w:highlight w:val="none"/>
        </w:rPr>
      </w:pPr>
      <w:bookmarkStart w:id="522" w:name="_Toc23654"/>
      <w:bookmarkStart w:id="523" w:name="_Toc60653613"/>
      <w:r>
        <w:rPr>
          <w:rFonts w:hint="eastAsia" w:ascii="Times New Roman" w:eastAsia="宋体"/>
          <w:color w:val="auto"/>
          <w:sz w:val="28"/>
          <w:szCs w:val="28"/>
          <w:highlight w:val="none"/>
        </w:rPr>
        <w:t>8.3社会效益</w:t>
      </w:r>
      <w:bookmarkEnd w:id="522"/>
      <w:bookmarkEnd w:id="523"/>
    </w:p>
    <w:p w14:paraId="6B1123FE">
      <w:pPr>
        <w:spacing w:line="360" w:lineRule="auto"/>
        <w:ind w:left="-105" w:right="-105" w:firstLine="480" w:firstLineChars="200"/>
        <w:rPr>
          <w:rFonts w:ascii="Times New Roman" w:hAnsi="Times New Roman"/>
          <w:color w:val="auto"/>
          <w:szCs w:val="22"/>
          <w:highlight w:val="none"/>
        </w:rPr>
      </w:pPr>
      <w:r>
        <w:rPr>
          <w:rFonts w:ascii="Times New Roman" w:hAnsi="Times New Roman"/>
          <w:color w:val="auto"/>
          <w:szCs w:val="22"/>
          <w:highlight w:val="none"/>
        </w:rPr>
        <w:t>项目的建设为周围农民群众创造多个产业工人就业机会，客观上促进了农村剩余劳动力就业，提升了其技术水平，加快了农民向产业工人转化的进程。项目通过吸收附近居民从事工业化社会生产，提高了居民收入，改善了人民生活，同时也起到了促进就业，维护社会稳定的作用。项目建成后，该区域将由农村自然经济社会逐步向工业转变，相应的社会生活环境也必将随之发生深刻的变化，参与相关产业就业的劳动收入成为农村主要经济来源之一等。</w:t>
      </w:r>
    </w:p>
    <w:p w14:paraId="4BE6CB22">
      <w:pPr>
        <w:spacing w:line="360" w:lineRule="auto"/>
        <w:ind w:left="-105" w:right="-105" w:firstLine="480" w:firstLineChars="200"/>
        <w:rPr>
          <w:rFonts w:ascii="Times New Roman" w:hAnsi="Times New Roman"/>
          <w:color w:val="auto"/>
          <w:szCs w:val="22"/>
          <w:highlight w:val="none"/>
        </w:rPr>
      </w:pPr>
    </w:p>
    <w:p w14:paraId="63FD1D3F">
      <w:pPr>
        <w:spacing w:line="360" w:lineRule="auto"/>
        <w:ind w:left="-105" w:right="-105" w:firstLine="480" w:firstLineChars="200"/>
        <w:rPr>
          <w:rFonts w:ascii="Times New Roman" w:hAnsi="Times New Roman"/>
          <w:color w:val="auto"/>
          <w:highlight w:val="none"/>
        </w:rPr>
        <w:sectPr>
          <w:headerReference r:id="rId27" w:type="default"/>
          <w:headerReference r:id="rId28" w:type="even"/>
          <w:pgSz w:w="11906" w:h="16838"/>
          <w:pgMar w:top="1440" w:right="1701" w:bottom="1440" w:left="1701" w:header="851" w:footer="851" w:gutter="0"/>
          <w:pgBorders>
            <w:top w:val="none" w:sz="0" w:space="0"/>
            <w:left w:val="none" w:sz="0" w:space="0"/>
            <w:bottom w:val="none" w:sz="0" w:space="0"/>
            <w:right w:val="none" w:sz="0" w:space="0"/>
          </w:pgBorders>
          <w:cols w:space="720" w:num="1"/>
          <w:docGrid w:linePitch="498" w:charSpace="-2336"/>
        </w:sectPr>
      </w:pPr>
    </w:p>
    <w:p w14:paraId="4B6A8CCB">
      <w:pPr>
        <w:pStyle w:val="3"/>
        <w:numPr>
          <w:ilvl w:val="0"/>
          <w:numId w:val="6"/>
        </w:numPr>
        <w:spacing w:before="120" w:beforeLines="50" w:afterLines="50" w:line="360" w:lineRule="auto"/>
        <w:ind w:left="-105" w:right="-105"/>
        <w:rPr>
          <w:rFonts w:ascii="Times New Roman" w:eastAsia="宋体"/>
          <w:color w:val="auto"/>
          <w:sz w:val="32"/>
          <w:szCs w:val="32"/>
          <w:highlight w:val="none"/>
        </w:rPr>
      </w:pPr>
      <w:bookmarkStart w:id="524" w:name="_Toc60653614"/>
      <w:bookmarkStart w:id="525" w:name="_Toc173"/>
      <w:bookmarkStart w:id="526" w:name="_Toc11075"/>
      <w:r>
        <w:rPr>
          <w:rFonts w:hint="eastAsia" w:ascii="Times New Roman" w:eastAsia="宋体"/>
          <w:color w:val="auto"/>
          <w:sz w:val="32"/>
          <w:szCs w:val="32"/>
          <w:highlight w:val="none"/>
        </w:rPr>
        <w:t>环境管理与环境监测</w:t>
      </w:r>
      <w:bookmarkEnd w:id="524"/>
      <w:bookmarkEnd w:id="525"/>
      <w:bookmarkEnd w:id="526"/>
    </w:p>
    <w:p w14:paraId="3B6391DF">
      <w:pPr>
        <w:spacing w:line="360" w:lineRule="auto"/>
        <w:ind w:left="-105" w:right="-105" w:firstLine="480" w:firstLineChars="200"/>
        <w:rPr>
          <w:rFonts w:ascii="Times New Roman" w:hAnsi="Times New Roman"/>
          <w:color w:val="auto"/>
          <w:szCs w:val="22"/>
          <w:highlight w:val="none"/>
        </w:rPr>
      </w:pPr>
      <w:r>
        <w:rPr>
          <w:rFonts w:ascii="Times New Roman" w:hAnsi="Times New Roman"/>
          <w:color w:val="auto"/>
          <w:szCs w:val="22"/>
          <w:highlight w:val="none"/>
        </w:rPr>
        <w:t>环境保护是一项基本国策，环境管理也应该是企业管理工作的重要组成部分。加强环境管理工作，配备专业环保技术人员，准确、及时地对项目运行过程中产生的污染情况进行监测，对控制和防治环境污染，节约资源，促进可持续发展，提高经济和环境效益具有重要意义。对于扩建项目而言，加强环境管理工作的有效途径是设立专门机构，落实岗位职责，制定环境管理和监测计划，配备环境监测仪器设备，对项目的产污和排污情况进行监控。</w:t>
      </w:r>
    </w:p>
    <w:p w14:paraId="3C9A68D5">
      <w:pPr>
        <w:pStyle w:val="4"/>
        <w:numPr>
          <w:ilvl w:val="1"/>
          <w:numId w:val="0"/>
        </w:numPr>
        <w:tabs>
          <w:tab w:val="left" w:pos="360"/>
          <w:tab w:val="left" w:pos="426"/>
        </w:tabs>
        <w:spacing w:before="120" w:beforeLines="50" w:line="360" w:lineRule="auto"/>
        <w:ind w:right="-105"/>
        <w:rPr>
          <w:rFonts w:ascii="Times New Roman" w:eastAsia="宋体"/>
          <w:color w:val="auto"/>
          <w:sz w:val="28"/>
          <w:szCs w:val="28"/>
          <w:highlight w:val="none"/>
        </w:rPr>
      </w:pPr>
      <w:bookmarkStart w:id="527" w:name="_Toc60653615"/>
      <w:bookmarkStart w:id="528" w:name="_Toc25296"/>
      <w:bookmarkStart w:id="529" w:name="_Toc1302"/>
      <w:r>
        <w:rPr>
          <w:rFonts w:hint="eastAsia" w:ascii="Times New Roman" w:eastAsia="宋体"/>
          <w:color w:val="auto"/>
          <w:sz w:val="28"/>
          <w:szCs w:val="28"/>
          <w:highlight w:val="none"/>
        </w:rPr>
        <w:t>9.1</w:t>
      </w:r>
      <w:r>
        <w:rPr>
          <w:rFonts w:ascii="Times New Roman" w:eastAsia="宋体"/>
          <w:color w:val="auto"/>
          <w:sz w:val="28"/>
          <w:szCs w:val="28"/>
          <w:highlight w:val="none"/>
        </w:rPr>
        <w:t>污染物排放清单及总量控制</w:t>
      </w:r>
      <w:bookmarkEnd w:id="527"/>
      <w:bookmarkEnd w:id="528"/>
    </w:p>
    <w:p w14:paraId="7699FF85">
      <w:pPr>
        <w:pStyle w:val="5"/>
        <w:keepLines w:val="0"/>
        <w:numPr>
          <w:ilvl w:val="2"/>
          <w:numId w:val="0"/>
        </w:numPr>
        <w:tabs>
          <w:tab w:val="left" w:pos="567"/>
          <w:tab w:val="left" w:pos="709"/>
        </w:tabs>
        <w:spacing w:before="120" w:beforeLines="50" w:after="0" w:line="360" w:lineRule="auto"/>
        <w:ind w:right="-105"/>
        <w:rPr>
          <w:rFonts w:eastAsia="宋体"/>
          <w:color w:val="auto"/>
          <w:sz w:val="28"/>
          <w:szCs w:val="28"/>
          <w:highlight w:val="none"/>
        </w:rPr>
      </w:pPr>
      <w:bookmarkStart w:id="530" w:name="_Toc60653616"/>
      <w:r>
        <w:rPr>
          <w:rFonts w:hint="eastAsia" w:eastAsia="宋体"/>
          <w:color w:val="auto"/>
          <w:sz w:val="28"/>
          <w:szCs w:val="28"/>
          <w:highlight w:val="none"/>
        </w:rPr>
        <w:t>9.1.1</w:t>
      </w:r>
      <w:r>
        <w:rPr>
          <w:rFonts w:eastAsia="宋体"/>
          <w:color w:val="auto"/>
          <w:sz w:val="28"/>
          <w:szCs w:val="28"/>
          <w:highlight w:val="none"/>
        </w:rPr>
        <w:t>污染物排放清单</w:t>
      </w:r>
      <w:bookmarkEnd w:id="530"/>
    </w:p>
    <w:p w14:paraId="1C09D9C1">
      <w:pPr>
        <w:spacing w:line="360" w:lineRule="auto"/>
        <w:ind w:left="-105" w:right="-105" w:firstLine="480" w:firstLineChars="200"/>
        <w:rPr>
          <w:rFonts w:ascii="Times New Roman" w:hAnsi="Times New Roman"/>
          <w:color w:val="auto"/>
          <w:szCs w:val="22"/>
          <w:highlight w:val="none"/>
        </w:rPr>
        <w:sectPr>
          <w:pgSz w:w="11906" w:h="16838"/>
          <w:pgMar w:top="1440" w:right="1701" w:bottom="1440" w:left="1701" w:header="851" w:footer="851" w:gutter="0"/>
          <w:pgBorders>
            <w:top w:val="none" w:sz="0" w:space="0"/>
            <w:left w:val="none" w:sz="0" w:space="0"/>
            <w:bottom w:val="none" w:sz="0" w:space="0"/>
            <w:right w:val="none" w:sz="0" w:space="0"/>
          </w:pgBorders>
          <w:cols w:space="720" w:num="1"/>
          <w:docGrid w:linePitch="498" w:charSpace="-2336"/>
        </w:sectPr>
      </w:pPr>
      <w:r>
        <w:rPr>
          <w:rFonts w:ascii="Times New Roman" w:hAnsi="Times New Roman" w:cs="Times New Roman"/>
          <w:color w:val="auto"/>
          <w:highlight w:val="none"/>
        </w:rPr>
        <w:t>建项目生产运行阶段产生的主要污染物来源为工艺废气、本项目产生固体废物和相关设备噪声等。本项目生产过程中原辅材料必须选择无毒或微毒物质，从而从源头上控制污染物的产生。同时建设单位应按申报的工程组成和原辅材料组分要求进行生产，严格落实各项环境保护措施、环境风险防范措施和环境监测，减少污染物的排放量，应严格执行</w:t>
      </w:r>
      <w:r>
        <w:rPr>
          <w:rFonts w:hint="eastAsia" w:ascii="Times New Roman" w:hAnsi="Times New Roman" w:cs="Times New Roman"/>
          <w:color w:val="auto"/>
          <w:highlight w:val="none"/>
        </w:rPr>
        <w:t>“</w:t>
      </w:r>
      <w:r>
        <w:rPr>
          <w:rFonts w:ascii="Times New Roman" w:hAnsi="Times New Roman" w:cs="Times New Roman"/>
          <w:color w:val="auto"/>
          <w:highlight w:val="none"/>
        </w:rPr>
        <w:t>三同时</w:t>
      </w:r>
      <w:r>
        <w:rPr>
          <w:rFonts w:hint="eastAsia" w:ascii="Times New Roman" w:hAnsi="Times New Roman" w:cs="Times New Roman"/>
          <w:color w:val="auto"/>
          <w:highlight w:val="none"/>
        </w:rPr>
        <w:t>”</w:t>
      </w:r>
      <w:r>
        <w:rPr>
          <w:rFonts w:ascii="Times New Roman" w:hAnsi="Times New Roman" w:cs="Times New Roman"/>
          <w:color w:val="auto"/>
          <w:highlight w:val="none"/>
        </w:rPr>
        <w:t>制度，确保各环境保护措施能够和生产工艺“同时设计、同时施工、同时投产使用”。在此基础上，通过本项目工程分析，</w:t>
      </w:r>
      <w:r>
        <w:rPr>
          <w:rFonts w:ascii="Times New Roman" w:hAnsi="Times New Roman" w:cs="Times New Roman"/>
          <w:color w:val="auto"/>
          <w:szCs w:val="22"/>
          <w:highlight w:val="none"/>
        </w:rPr>
        <w:t>本项目实施后污染物排放清单及排放管理要求如下表</w:t>
      </w:r>
      <w:r>
        <w:rPr>
          <w:rFonts w:hint="eastAsia" w:ascii="Times New Roman" w:hAnsi="Times New Roman"/>
          <w:color w:val="auto"/>
          <w:szCs w:val="22"/>
          <w:highlight w:val="none"/>
        </w:rPr>
        <w:t>。</w:t>
      </w:r>
    </w:p>
    <w:p w14:paraId="10D07BC2">
      <w:pPr>
        <w:pStyle w:val="15"/>
        <w:ind w:left="-105" w:right="-105" w:firstLine="482"/>
        <w:rPr>
          <w:rFonts w:cs="Times New Roman"/>
          <w:color w:val="auto"/>
          <w:sz w:val="32"/>
          <w:szCs w:val="21"/>
          <w:highlight w:val="none"/>
        </w:rPr>
      </w:pPr>
      <w:r>
        <w:rPr>
          <w:rFonts w:eastAsia="宋体" w:cs="Times New Roman"/>
          <w:color w:val="auto"/>
          <w:sz w:val="24"/>
          <w:szCs w:val="24"/>
          <w:highlight w:val="none"/>
          <w:lang w:val="zh-CN" w:bidi="zh-CN"/>
        </w:rPr>
        <w:t>表</w:t>
      </w:r>
      <w:r>
        <w:rPr>
          <w:rFonts w:eastAsia="宋体" w:cs="Times New Roman"/>
          <w:color w:val="auto"/>
          <w:sz w:val="24"/>
          <w:szCs w:val="24"/>
          <w:highlight w:val="none"/>
          <w:lang w:val="zh-CN" w:bidi="zh-CN"/>
        </w:rPr>
        <w:fldChar w:fldCharType="begin"/>
      </w:r>
      <w:r>
        <w:rPr>
          <w:rFonts w:eastAsia="宋体" w:cs="Times New Roman"/>
          <w:color w:val="auto"/>
          <w:sz w:val="24"/>
          <w:szCs w:val="24"/>
          <w:highlight w:val="none"/>
          <w:lang w:val="zh-CN" w:bidi="zh-CN"/>
        </w:rPr>
        <w:instrText xml:space="preserve"> STYLEREF 2 \s </w:instrText>
      </w:r>
      <w:r>
        <w:rPr>
          <w:rFonts w:eastAsia="宋体" w:cs="Times New Roman"/>
          <w:color w:val="auto"/>
          <w:sz w:val="24"/>
          <w:szCs w:val="24"/>
          <w:highlight w:val="none"/>
          <w:lang w:val="zh-CN" w:bidi="zh-CN"/>
        </w:rPr>
        <w:fldChar w:fldCharType="separate"/>
      </w:r>
      <w:r>
        <w:rPr>
          <w:rFonts w:eastAsia="宋体" w:cs="Times New Roman"/>
          <w:color w:val="auto"/>
          <w:sz w:val="24"/>
          <w:szCs w:val="24"/>
          <w:highlight w:val="none"/>
          <w:lang w:val="zh-CN" w:bidi="zh-CN"/>
        </w:rPr>
        <w:t>9.1</w:t>
      </w:r>
      <w:r>
        <w:rPr>
          <w:rFonts w:eastAsia="宋体" w:cs="Times New Roman"/>
          <w:color w:val="auto"/>
          <w:sz w:val="24"/>
          <w:szCs w:val="24"/>
          <w:highlight w:val="none"/>
          <w:lang w:val="zh-CN" w:bidi="zh-CN"/>
        </w:rPr>
        <w:fldChar w:fldCharType="end"/>
      </w:r>
      <w:r>
        <w:rPr>
          <w:rFonts w:eastAsia="宋体" w:cs="Times New Roman"/>
          <w:color w:val="auto"/>
          <w:sz w:val="24"/>
          <w:szCs w:val="24"/>
          <w:highlight w:val="none"/>
          <w:lang w:val="zh-CN" w:bidi="zh-CN"/>
        </w:rPr>
        <w:noBreakHyphen/>
      </w:r>
      <w:r>
        <w:rPr>
          <w:rFonts w:eastAsia="宋体" w:cs="Times New Roman"/>
          <w:color w:val="auto"/>
          <w:sz w:val="24"/>
          <w:szCs w:val="24"/>
          <w:highlight w:val="none"/>
          <w:lang w:val="zh-CN" w:bidi="zh-CN"/>
        </w:rPr>
        <w:fldChar w:fldCharType="begin"/>
      </w:r>
      <w:r>
        <w:rPr>
          <w:rFonts w:eastAsia="宋体" w:cs="Times New Roman"/>
          <w:color w:val="auto"/>
          <w:sz w:val="24"/>
          <w:szCs w:val="24"/>
          <w:highlight w:val="none"/>
          <w:lang w:val="zh-CN" w:bidi="zh-CN"/>
        </w:rPr>
        <w:instrText xml:space="preserve"> SEQ 表 \* ARABIC \s 2 </w:instrText>
      </w:r>
      <w:r>
        <w:rPr>
          <w:rFonts w:eastAsia="宋体" w:cs="Times New Roman"/>
          <w:color w:val="auto"/>
          <w:sz w:val="24"/>
          <w:szCs w:val="24"/>
          <w:highlight w:val="none"/>
          <w:lang w:val="zh-CN" w:bidi="zh-CN"/>
        </w:rPr>
        <w:fldChar w:fldCharType="separate"/>
      </w:r>
      <w:r>
        <w:rPr>
          <w:rFonts w:eastAsia="宋体" w:cs="Times New Roman"/>
          <w:color w:val="auto"/>
          <w:sz w:val="24"/>
          <w:szCs w:val="24"/>
          <w:highlight w:val="none"/>
          <w:lang w:val="zh-CN" w:bidi="zh-CN"/>
        </w:rPr>
        <w:t>1</w:t>
      </w:r>
      <w:r>
        <w:rPr>
          <w:rFonts w:eastAsia="宋体" w:cs="Times New Roman"/>
          <w:color w:val="auto"/>
          <w:sz w:val="24"/>
          <w:szCs w:val="24"/>
          <w:highlight w:val="none"/>
          <w:lang w:val="zh-CN" w:bidi="zh-CN"/>
        </w:rPr>
        <w:fldChar w:fldCharType="end"/>
      </w:r>
      <w:r>
        <w:rPr>
          <w:rFonts w:eastAsia="宋体" w:cs="Times New Roman"/>
          <w:color w:val="auto"/>
          <w:sz w:val="24"/>
          <w:szCs w:val="24"/>
          <w:highlight w:val="none"/>
          <w:lang w:val="zh-CN" w:bidi="zh-CN"/>
        </w:rPr>
        <w:t>运营期污染物排放清单及管理要求</w:t>
      </w:r>
    </w:p>
    <w:tbl>
      <w:tblPr>
        <w:tblStyle w:val="45"/>
        <w:tblW w:w="5000" w:type="pct"/>
        <w:tblInd w:w="0" w:type="dxa"/>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Layout w:type="autofit"/>
        <w:tblCellMar>
          <w:top w:w="0" w:type="dxa"/>
          <w:left w:w="108" w:type="dxa"/>
          <w:bottom w:w="0" w:type="dxa"/>
          <w:right w:w="108" w:type="dxa"/>
        </w:tblCellMar>
      </w:tblPr>
      <w:tblGrid>
        <w:gridCol w:w="1130"/>
        <w:gridCol w:w="1185"/>
        <w:gridCol w:w="1349"/>
        <w:gridCol w:w="1342"/>
        <w:gridCol w:w="1424"/>
        <w:gridCol w:w="1299"/>
        <w:gridCol w:w="1279"/>
        <w:gridCol w:w="851"/>
        <w:gridCol w:w="1835"/>
        <w:gridCol w:w="2480"/>
      </w:tblGrid>
      <w:tr w14:paraId="42660E62">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340" w:hRule="atLeast"/>
          <w:tblHeader/>
        </w:trPr>
        <w:tc>
          <w:tcPr>
            <w:tcW w:w="2315" w:type="dxa"/>
            <w:gridSpan w:val="2"/>
            <w:vAlign w:val="center"/>
          </w:tcPr>
          <w:p w14:paraId="78D41EE5">
            <w:pPr>
              <w:keepNext w:val="0"/>
              <w:keepLines w:val="0"/>
              <w:pageBreakBefore w:val="0"/>
              <w:kinsoku/>
              <w:wordWrap/>
              <w:overflowPunct/>
              <w:topLinePunct w:val="0"/>
              <w:autoSpaceDE/>
              <w:autoSpaceDN/>
              <w:bidi w:val="0"/>
              <w:ind w:left="0" w:right="0"/>
              <w:jc w:val="center"/>
              <w:rPr>
                <w:rFonts w:ascii="Times New Roman" w:hAnsi="Times New Roman" w:cs="Times New Roman"/>
                <w:b/>
                <w:bCs/>
                <w:color w:val="auto"/>
                <w:sz w:val="21"/>
                <w:szCs w:val="21"/>
                <w:highlight w:val="none"/>
              </w:rPr>
            </w:pPr>
            <w:r>
              <w:rPr>
                <w:rFonts w:ascii="Times New Roman" w:hAnsi="Times New Roman" w:cs="Times New Roman"/>
                <w:b/>
                <w:bCs/>
                <w:color w:val="auto"/>
                <w:sz w:val="21"/>
                <w:szCs w:val="21"/>
                <w:highlight w:val="none"/>
              </w:rPr>
              <w:t>污染物来源</w:t>
            </w:r>
          </w:p>
        </w:tc>
        <w:tc>
          <w:tcPr>
            <w:tcW w:w="1349" w:type="dxa"/>
            <w:vAlign w:val="center"/>
          </w:tcPr>
          <w:p w14:paraId="6201DAD5">
            <w:pPr>
              <w:keepNext w:val="0"/>
              <w:keepLines w:val="0"/>
              <w:pageBreakBefore w:val="0"/>
              <w:kinsoku/>
              <w:wordWrap/>
              <w:overflowPunct/>
              <w:topLinePunct w:val="0"/>
              <w:autoSpaceDE/>
              <w:autoSpaceDN/>
              <w:bidi w:val="0"/>
              <w:ind w:left="0" w:right="0"/>
              <w:jc w:val="center"/>
              <w:rPr>
                <w:rFonts w:ascii="Times New Roman" w:hAnsi="Times New Roman" w:cs="Times New Roman"/>
                <w:b/>
                <w:bCs/>
                <w:color w:val="auto"/>
                <w:sz w:val="21"/>
                <w:szCs w:val="21"/>
                <w:highlight w:val="none"/>
              </w:rPr>
            </w:pPr>
            <w:r>
              <w:rPr>
                <w:rFonts w:ascii="Times New Roman" w:hAnsi="Times New Roman" w:cs="Times New Roman"/>
                <w:b/>
                <w:bCs/>
                <w:color w:val="auto"/>
                <w:sz w:val="21"/>
                <w:szCs w:val="21"/>
                <w:highlight w:val="none"/>
              </w:rPr>
              <w:t>拟采取的环境保护措施</w:t>
            </w:r>
          </w:p>
        </w:tc>
        <w:tc>
          <w:tcPr>
            <w:tcW w:w="1342" w:type="dxa"/>
            <w:vAlign w:val="center"/>
          </w:tcPr>
          <w:p w14:paraId="48313C44">
            <w:pPr>
              <w:keepNext w:val="0"/>
              <w:keepLines w:val="0"/>
              <w:pageBreakBefore w:val="0"/>
              <w:kinsoku/>
              <w:wordWrap/>
              <w:overflowPunct/>
              <w:topLinePunct w:val="0"/>
              <w:autoSpaceDE/>
              <w:autoSpaceDN/>
              <w:bidi w:val="0"/>
              <w:ind w:left="0" w:right="0"/>
              <w:jc w:val="center"/>
              <w:rPr>
                <w:rFonts w:ascii="Times New Roman" w:hAnsi="Times New Roman" w:cs="Times New Roman"/>
                <w:b/>
                <w:bCs/>
                <w:color w:val="auto"/>
                <w:sz w:val="21"/>
                <w:szCs w:val="21"/>
                <w:highlight w:val="none"/>
              </w:rPr>
            </w:pPr>
            <w:r>
              <w:rPr>
                <w:rFonts w:ascii="Times New Roman" w:hAnsi="Times New Roman" w:cs="Times New Roman"/>
                <w:b/>
                <w:bCs/>
                <w:color w:val="auto"/>
                <w:sz w:val="21"/>
                <w:szCs w:val="21"/>
                <w:highlight w:val="none"/>
              </w:rPr>
              <w:t>主要运行参数</w:t>
            </w:r>
          </w:p>
        </w:tc>
        <w:tc>
          <w:tcPr>
            <w:tcW w:w="1424" w:type="dxa"/>
            <w:vAlign w:val="center"/>
          </w:tcPr>
          <w:p w14:paraId="7D4C9322">
            <w:pPr>
              <w:keepNext w:val="0"/>
              <w:keepLines w:val="0"/>
              <w:pageBreakBefore w:val="0"/>
              <w:kinsoku/>
              <w:wordWrap/>
              <w:overflowPunct/>
              <w:topLinePunct w:val="0"/>
              <w:autoSpaceDE/>
              <w:autoSpaceDN/>
              <w:bidi w:val="0"/>
              <w:ind w:left="0" w:right="0"/>
              <w:jc w:val="center"/>
              <w:rPr>
                <w:rFonts w:ascii="Times New Roman" w:hAnsi="Times New Roman" w:cs="Times New Roman"/>
                <w:b/>
                <w:bCs/>
                <w:color w:val="auto"/>
                <w:sz w:val="21"/>
                <w:szCs w:val="21"/>
                <w:highlight w:val="none"/>
              </w:rPr>
            </w:pPr>
            <w:r>
              <w:rPr>
                <w:rFonts w:ascii="Times New Roman" w:hAnsi="Times New Roman" w:cs="Times New Roman"/>
                <w:b/>
                <w:bCs/>
                <w:color w:val="auto"/>
                <w:sz w:val="21"/>
                <w:szCs w:val="21"/>
                <w:highlight w:val="none"/>
              </w:rPr>
              <w:t>污染物种类</w:t>
            </w:r>
          </w:p>
        </w:tc>
        <w:tc>
          <w:tcPr>
            <w:tcW w:w="1299" w:type="dxa"/>
            <w:vAlign w:val="center"/>
          </w:tcPr>
          <w:p w14:paraId="04DBD35F">
            <w:pPr>
              <w:keepNext w:val="0"/>
              <w:keepLines w:val="0"/>
              <w:pageBreakBefore w:val="0"/>
              <w:kinsoku/>
              <w:wordWrap/>
              <w:overflowPunct/>
              <w:topLinePunct w:val="0"/>
              <w:autoSpaceDE/>
              <w:autoSpaceDN/>
              <w:bidi w:val="0"/>
              <w:ind w:left="0" w:right="0"/>
              <w:jc w:val="center"/>
              <w:rPr>
                <w:rFonts w:ascii="Times New Roman" w:hAnsi="Times New Roman" w:cs="Times New Roman"/>
                <w:b/>
                <w:bCs/>
                <w:color w:val="auto"/>
                <w:sz w:val="21"/>
                <w:szCs w:val="21"/>
                <w:highlight w:val="none"/>
              </w:rPr>
            </w:pPr>
            <w:r>
              <w:rPr>
                <w:rFonts w:ascii="Times New Roman" w:hAnsi="Times New Roman" w:cs="Times New Roman"/>
                <w:b/>
                <w:bCs/>
                <w:color w:val="auto"/>
                <w:sz w:val="21"/>
                <w:szCs w:val="21"/>
                <w:highlight w:val="none"/>
              </w:rPr>
              <w:t>排放浓度（mg/m</w:t>
            </w:r>
            <w:r>
              <w:rPr>
                <w:rFonts w:ascii="Times New Roman" w:hAnsi="Times New Roman" w:cs="Times New Roman"/>
                <w:b/>
                <w:bCs/>
                <w:color w:val="auto"/>
                <w:sz w:val="21"/>
                <w:szCs w:val="21"/>
                <w:highlight w:val="none"/>
                <w:vertAlign w:val="superscript"/>
              </w:rPr>
              <w:t>3</w:t>
            </w:r>
            <w:r>
              <w:rPr>
                <w:rFonts w:ascii="Times New Roman" w:hAnsi="Times New Roman" w:cs="Times New Roman"/>
                <w:b/>
                <w:bCs/>
                <w:color w:val="auto"/>
                <w:sz w:val="21"/>
                <w:szCs w:val="21"/>
                <w:highlight w:val="none"/>
              </w:rPr>
              <w:t>）</w:t>
            </w:r>
          </w:p>
        </w:tc>
        <w:tc>
          <w:tcPr>
            <w:tcW w:w="1279" w:type="dxa"/>
            <w:vAlign w:val="center"/>
          </w:tcPr>
          <w:p w14:paraId="7AE11BC7">
            <w:pPr>
              <w:keepNext w:val="0"/>
              <w:keepLines w:val="0"/>
              <w:pageBreakBefore w:val="0"/>
              <w:kinsoku/>
              <w:wordWrap/>
              <w:overflowPunct/>
              <w:topLinePunct w:val="0"/>
              <w:autoSpaceDE/>
              <w:autoSpaceDN/>
              <w:bidi w:val="0"/>
              <w:ind w:left="0" w:right="0"/>
              <w:jc w:val="center"/>
              <w:rPr>
                <w:rFonts w:ascii="Times New Roman" w:hAnsi="Times New Roman" w:cs="Times New Roman"/>
                <w:b/>
                <w:bCs/>
                <w:color w:val="auto"/>
                <w:sz w:val="21"/>
                <w:szCs w:val="21"/>
                <w:highlight w:val="none"/>
              </w:rPr>
            </w:pPr>
            <w:r>
              <w:rPr>
                <w:rFonts w:ascii="Times New Roman" w:hAnsi="Times New Roman" w:cs="Times New Roman"/>
                <w:b/>
                <w:bCs/>
                <w:color w:val="auto"/>
                <w:sz w:val="21"/>
                <w:szCs w:val="21"/>
                <w:highlight w:val="none"/>
              </w:rPr>
              <w:t>排放量（t/a）</w:t>
            </w:r>
          </w:p>
        </w:tc>
        <w:tc>
          <w:tcPr>
            <w:tcW w:w="851" w:type="dxa"/>
            <w:vAlign w:val="center"/>
          </w:tcPr>
          <w:p w14:paraId="2A140A20">
            <w:pPr>
              <w:keepNext w:val="0"/>
              <w:keepLines w:val="0"/>
              <w:pageBreakBefore w:val="0"/>
              <w:kinsoku/>
              <w:wordWrap/>
              <w:overflowPunct/>
              <w:topLinePunct w:val="0"/>
              <w:autoSpaceDE/>
              <w:autoSpaceDN/>
              <w:bidi w:val="0"/>
              <w:ind w:left="0" w:right="0"/>
              <w:jc w:val="center"/>
              <w:rPr>
                <w:rFonts w:ascii="Times New Roman" w:hAnsi="Times New Roman" w:cs="Times New Roman"/>
                <w:b/>
                <w:bCs/>
                <w:color w:val="auto"/>
                <w:sz w:val="21"/>
                <w:szCs w:val="21"/>
                <w:highlight w:val="none"/>
              </w:rPr>
            </w:pPr>
            <w:r>
              <w:rPr>
                <w:rFonts w:ascii="Times New Roman" w:hAnsi="Times New Roman" w:cs="Times New Roman"/>
                <w:b/>
                <w:bCs/>
                <w:color w:val="auto"/>
                <w:sz w:val="21"/>
                <w:szCs w:val="21"/>
                <w:highlight w:val="none"/>
              </w:rPr>
              <w:t>排放时段</w:t>
            </w:r>
          </w:p>
        </w:tc>
        <w:tc>
          <w:tcPr>
            <w:tcW w:w="1835" w:type="dxa"/>
            <w:vAlign w:val="center"/>
          </w:tcPr>
          <w:p w14:paraId="5A6138F4">
            <w:pPr>
              <w:keepNext w:val="0"/>
              <w:keepLines w:val="0"/>
              <w:pageBreakBefore w:val="0"/>
              <w:kinsoku/>
              <w:wordWrap/>
              <w:overflowPunct/>
              <w:topLinePunct w:val="0"/>
              <w:autoSpaceDE/>
              <w:autoSpaceDN/>
              <w:bidi w:val="0"/>
              <w:ind w:left="0" w:right="0"/>
              <w:jc w:val="center"/>
              <w:rPr>
                <w:rFonts w:ascii="Times New Roman" w:hAnsi="Times New Roman" w:cs="Times New Roman"/>
                <w:b/>
                <w:bCs/>
                <w:color w:val="auto"/>
                <w:sz w:val="21"/>
                <w:szCs w:val="21"/>
                <w:highlight w:val="none"/>
              </w:rPr>
            </w:pPr>
            <w:r>
              <w:rPr>
                <w:rFonts w:ascii="Times New Roman" w:hAnsi="Times New Roman" w:cs="Times New Roman"/>
                <w:b/>
                <w:bCs/>
                <w:color w:val="auto"/>
                <w:sz w:val="21"/>
                <w:szCs w:val="21"/>
                <w:highlight w:val="none"/>
              </w:rPr>
              <w:t>排污口信息</w:t>
            </w:r>
          </w:p>
        </w:tc>
        <w:tc>
          <w:tcPr>
            <w:tcW w:w="2480" w:type="dxa"/>
            <w:vAlign w:val="center"/>
          </w:tcPr>
          <w:p w14:paraId="1062F179">
            <w:pPr>
              <w:keepNext w:val="0"/>
              <w:keepLines w:val="0"/>
              <w:pageBreakBefore w:val="0"/>
              <w:kinsoku/>
              <w:wordWrap/>
              <w:overflowPunct/>
              <w:topLinePunct w:val="0"/>
              <w:autoSpaceDE/>
              <w:autoSpaceDN/>
              <w:bidi w:val="0"/>
              <w:ind w:left="0" w:right="0"/>
              <w:jc w:val="center"/>
              <w:rPr>
                <w:rFonts w:ascii="Times New Roman" w:hAnsi="Times New Roman" w:cs="Times New Roman"/>
                <w:b/>
                <w:bCs/>
                <w:color w:val="auto"/>
                <w:sz w:val="21"/>
                <w:szCs w:val="21"/>
                <w:highlight w:val="none"/>
              </w:rPr>
            </w:pPr>
            <w:r>
              <w:rPr>
                <w:rFonts w:ascii="Times New Roman" w:hAnsi="Times New Roman" w:cs="Times New Roman"/>
                <w:b/>
                <w:bCs/>
                <w:color w:val="auto"/>
                <w:sz w:val="21"/>
                <w:szCs w:val="21"/>
                <w:highlight w:val="none"/>
              </w:rPr>
              <w:t>执行标准</w:t>
            </w:r>
          </w:p>
        </w:tc>
      </w:tr>
      <w:tr w14:paraId="67FF3520">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340" w:hRule="atLeast"/>
        </w:trPr>
        <w:tc>
          <w:tcPr>
            <w:tcW w:w="1130" w:type="dxa"/>
            <w:vMerge w:val="restart"/>
            <w:vAlign w:val="center"/>
          </w:tcPr>
          <w:p w14:paraId="7CD44593">
            <w:pPr>
              <w:keepNext w:val="0"/>
              <w:keepLines w:val="0"/>
              <w:pageBreakBefore w:val="0"/>
              <w:kinsoku/>
              <w:wordWrap/>
              <w:overflowPunct/>
              <w:topLinePunct w:val="0"/>
              <w:autoSpaceDE/>
              <w:autoSpaceDN/>
              <w:bidi w:val="0"/>
              <w:ind w:left="0" w:right="0"/>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废气（有组织）</w:t>
            </w:r>
          </w:p>
        </w:tc>
        <w:tc>
          <w:tcPr>
            <w:tcW w:w="1185" w:type="dxa"/>
            <w:vAlign w:val="center"/>
          </w:tcPr>
          <w:p w14:paraId="46B0E34A">
            <w:pPr>
              <w:keepNext w:val="0"/>
              <w:keepLines w:val="0"/>
              <w:pageBreakBefore w:val="0"/>
              <w:kinsoku/>
              <w:wordWrap/>
              <w:overflowPunct/>
              <w:topLinePunct w:val="0"/>
              <w:autoSpaceDE/>
              <w:autoSpaceDN/>
              <w:bidi w:val="0"/>
              <w:ind w:left="0" w:right="0"/>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混合、收缸</w:t>
            </w:r>
          </w:p>
        </w:tc>
        <w:tc>
          <w:tcPr>
            <w:tcW w:w="1349" w:type="dxa"/>
            <w:vAlign w:val="center"/>
          </w:tcPr>
          <w:p w14:paraId="6D604E8D">
            <w:pPr>
              <w:keepNext w:val="0"/>
              <w:keepLines w:val="0"/>
              <w:pageBreakBefore w:val="0"/>
              <w:kinsoku/>
              <w:wordWrap/>
              <w:overflowPunct/>
              <w:topLinePunct w:val="0"/>
              <w:autoSpaceDE/>
              <w:autoSpaceDN/>
              <w:bidi w:val="0"/>
              <w:ind w:left="0" w:right="0"/>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3级碱液喷淋+二级活性炭吸附</w:t>
            </w:r>
          </w:p>
        </w:tc>
        <w:tc>
          <w:tcPr>
            <w:tcW w:w="1342" w:type="dxa"/>
            <w:vAlign w:val="center"/>
          </w:tcPr>
          <w:p w14:paraId="05CB6A9D">
            <w:pPr>
              <w:keepNext w:val="0"/>
              <w:keepLines w:val="0"/>
              <w:pageBreakBefore w:val="0"/>
              <w:kinsoku/>
              <w:wordWrap/>
              <w:overflowPunct/>
              <w:topLinePunct w:val="0"/>
              <w:autoSpaceDE/>
              <w:autoSpaceDN/>
              <w:bidi w:val="0"/>
              <w:ind w:left="0" w:right="0"/>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风机风量：2</w:t>
            </w:r>
            <w:r>
              <w:rPr>
                <w:rFonts w:hint="eastAsia" w:ascii="Times New Roman" w:hAnsi="Times New Roman" w:cs="Times New Roman"/>
                <w:color w:val="auto"/>
                <w:sz w:val="21"/>
                <w:szCs w:val="21"/>
                <w:highlight w:val="none"/>
              </w:rPr>
              <w:t>0</w:t>
            </w:r>
            <w:r>
              <w:rPr>
                <w:rFonts w:ascii="Times New Roman" w:hAnsi="Times New Roman" w:cs="Times New Roman"/>
                <w:color w:val="auto"/>
                <w:sz w:val="21"/>
                <w:szCs w:val="21"/>
                <w:highlight w:val="none"/>
              </w:rPr>
              <w:t>000m</w:t>
            </w:r>
            <w:r>
              <w:rPr>
                <w:rFonts w:ascii="Times New Roman" w:hAnsi="Times New Roman" w:cs="Times New Roman"/>
                <w:color w:val="auto"/>
                <w:sz w:val="21"/>
                <w:szCs w:val="21"/>
                <w:highlight w:val="none"/>
                <w:vertAlign w:val="superscript"/>
              </w:rPr>
              <w:t>3</w:t>
            </w:r>
            <w:r>
              <w:rPr>
                <w:rFonts w:ascii="Times New Roman" w:hAnsi="Times New Roman" w:cs="Times New Roman"/>
                <w:color w:val="auto"/>
                <w:sz w:val="21"/>
                <w:szCs w:val="21"/>
                <w:highlight w:val="none"/>
              </w:rPr>
              <w:t>/h</w:t>
            </w:r>
          </w:p>
        </w:tc>
        <w:tc>
          <w:tcPr>
            <w:tcW w:w="1424" w:type="dxa"/>
            <w:vAlign w:val="center"/>
          </w:tcPr>
          <w:p w14:paraId="0BB8D3BD">
            <w:pPr>
              <w:pStyle w:val="240"/>
              <w:keepNext w:val="0"/>
              <w:keepLines w:val="0"/>
              <w:pageBreakBefore w:val="0"/>
              <w:kinsoku/>
              <w:wordWrap/>
              <w:overflowPunct/>
              <w:topLinePunct w:val="0"/>
              <w:autoSpaceDE/>
              <w:autoSpaceDN/>
              <w:bidi w:val="0"/>
              <w:adjustRightInd w:val="0"/>
              <w:snapToGrid w:val="0"/>
              <w:ind w:left="0" w:right="0"/>
              <w:rPr>
                <w:rFonts w:ascii="Times New Roman" w:hAnsi="Times New Roman"/>
                <w:color w:val="auto"/>
                <w:highlight w:val="none"/>
              </w:rPr>
            </w:pPr>
            <w:r>
              <w:rPr>
                <w:rFonts w:hint="eastAsia" w:ascii="Times New Roman" w:hAnsi="Times New Roman"/>
                <w:color w:val="auto"/>
                <w:highlight w:val="none"/>
              </w:rPr>
              <w:t>非甲烷总烃</w:t>
            </w:r>
          </w:p>
        </w:tc>
        <w:tc>
          <w:tcPr>
            <w:tcW w:w="1299" w:type="dxa"/>
            <w:vAlign w:val="center"/>
          </w:tcPr>
          <w:p w14:paraId="423C8E11">
            <w:pPr>
              <w:keepNext w:val="0"/>
              <w:keepLines w:val="0"/>
              <w:pageBreakBefore w:val="0"/>
              <w:widowControl/>
              <w:suppressLineNumbers w:val="0"/>
              <w:kinsoku/>
              <w:wordWrap/>
              <w:overflowPunct/>
              <w:topLinePunct w:val="0"/>
              <w:autoSpaceDE/>
              <w:autoSpaceDN/>
              <w:bidi w:val="0"/>
              <w:ind w:left="0" w:right="0"/>
              <w:jc w:val="center"/>
              <w:textAlignment w:val="center"/>
              <w:rPr>
                <w:rFonts w:ascii="Times New Roman" w:hAnsi="Times New Roman" w:cs="Times New Roman"/>
                <w:color w:val="auto"/>
                <w:sz w:val="21"/>
                <w:szCs w:val="21"/>
                <w:highlight w:val="none"/>
              </w:rPr>
            </w:pPr>
            <w:r>
              <w:rPr>
                <w:rFonts w:hint="default" w:ascii="Times New Roman" w:hAnsi="Times New Roman" w:eastAsia="等线" w:cs="Times New Roman"/>
                <w:i w:val="0"/>
                <w:iCs w:val="0"/>
                <w:color w:val="auto"/>
                <w:kern w:val="0"/>
                <w:sz w:val="21"/>
                <w:szCs w:val="21"/>
                <w:highlight w:val="none"/>
                <w:u w:val="none"/>
                <w:lang w:val="en-US" w:eastAsia="zh-CN" w:bidi="ar"/>
              </w:rPr>
              <w:t>2.8849</w:t>
            </w:r>
          </w:p>
        </w:tc>
        <w:tc>
          <w:tcPr>
            <w:tcW w:w="1279" w:type="dxa"/>
            <w:vAlign w:val="center"/>
          </w:tcPr>
          <w:p w14:paraId="56A33E65">
            <w:pPr>
              <w:keepNext w:val="0"/>
              <w:keepLines w:val="0"/>
              <w:pageBreakBefore w:val="0"/>
              <w:widowControl/>
              <w:suppressLineNumbers w:val="0"/>
              <w:kinsoku/>
              <w:wordWrap/>
              <w:overflowPunct/>
              <w:topLinePunct w:val="0"/>
              <w:autoSpaceDE/>
              <w:autoSpaceDN/>
              <w:bidi w:val="0"/>
              <w:ind w:left="0" w:right="0"/>
              <w:jc w:val="center"/>
              <w:textAlignment w:val="center"/>
              <w:rPr>
                <w:rFonts w:ascii="Times New Roman" w:hAnsi="Times New Roman" w:cs="Times New Roman"/>
                <w:color w:val="auto"/>
                <w:sz w:val="21"/>
                <w:szCs w:val="21"/>
                <w:highlight w:val="none"/>
              </w:rPr>
            </w:pPr>
            <w:r>
              <w:rPr>
                <w:rFonts w:hint="default" w:ascii="Times New Roman" w:hAnsi="Times New Roman" w:eastAsia="等线" w:cs="Times New Roman"/>
                <w:i w:val="0"/>
                <w:iCs w:val="0"/>
                <w:color w:val="auto"/>
                <w:kern w:val="0"/>
                <w:sz w:val="21"/>
                <w:szCs w:val="21"/>
                <w:highlight w:val="none"/>
                <w:u w:val="none"/>
                <w:lang w:val="en-US" w:eastAsia="zh-CN" w:bidi="ar"/>
              </w:rPr>
              <w:t>0.1154</w:t>
            </w:r>
          </w:p>
        </w:tc>
        <w:tc>
          <w:tcPr>
            <w:tcW w:w="851" w:type="dxa"/>
            <w:vAlign w:val="center"/>
          </w:tcPr>
          <w:p w14:paraId="7664FF01">
            <w:pPr>
              <w:keepNext w:val="0"/>
              <w:keepLines w:val="0"/>
              <w:pageBreakBefore w:val="0"/>
              <w:kinsoku/>
              <w:wordWrap/>
              <w:overflowPunct/>
              <w:topLinePunct w:val="0"/>
              <w:autoSpaceDE/>
              <w:autoSpaceDN/>
              <w:bidi w:val="0"/>
              <w:ind w:left="0" w:right="0"/>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连续排放</w:t>
            </w:r>
          </w:p>
        </w:tc>
        <w:tc>
          <w:tcPr>
            <w:tcW w:w="1835" w:type="dxa"/>
            <w:vAlign w:val="center"/>
          </w:tcPr>
          <w:p w14:paraId="2D88E966">
            <w:pPr>
              <w:keepNext w:val="0"/>
              <w:keepLines w:val="0"/>
              <w:pageBreakBefore w:val="0"/>
              <w:kinsoku/>
              <w:wordWrap/>
              <w:overflowPunct/>
              <w:topLinePunct w:val="0"/>
              <w:autoSpaceDE/>
              <w:autoSpaceDN/>
              <w:bidi w:val="0"/>
              <w:ind w:left="0" w:right="0"/>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DA005</w:t>
            </w:r>
            <w:r>
              <w:rPr>
                <w:rFonts w:ascii="Times New Roman" w:hAnsi="Times New Roman" w:cs="Times New Roman"/>
                <w:color w:val="auto"/>
                <w:sz w:val="21"/>
                <w:szCs w:val="21"/>
                <w:highlight w:val="none"/>
              </w:rPr>
              <w:t>：H=</w:t>
            </w:r>
            <w:r>
              <w:rPr>
                <w:rFonts w:hint="eastAsia" w:ascii="Times New Roman" w:hAnsi="Times New Roman" w:cs="Times New Roman"/>
                <w:color w:val="auto"/>
                <w:sz w:val="21"/>
                <w:szCs w:val="21"/>
                <w:highlight w:val="none"/>
              </w:rPr>
              <w:t>20</w:t>
            </w:r>
            <w:r>
              <w:rPr>
                <w:rFonts w:ascii="Times New Roman" w:hAnsi="Times New Roman" w:cs="Times New Roman"/>
                <w:color w:val="auto"/>
                <w:sz w:val="21"/>
                <w:szCs w:val="21"/>
                <w:highlight w:val="none"/>
              </w:rPr>
              <w:t>m，R=0.</w:t>
            </w:r>
            <w:r>
              <w:rPr>
                <w:rFonts w:hint="eastAsia" w:ascii="Times New Roman" w:hAnsi="Times New Roman" w:cs="Times New Roman"/>
                <w:color w:val="auto"/>
                <w:sz w:val="21"/>
                <w:szCs w:val="21"/>
                <w:highlight w:val="none"/>
              </w:rPr>
              <w:t>7</w:t>
            </w:r>
          </w:p>
        </w:tc>
        <w:tc>
          <w:tcPr>
            <w:tcW w:w="2480" w:type="dxa"/>
            <w:vAlign w:val="center"/>
          </w:tcPr>
          <w:p w14:paraId="739C6091">
            <w:pPr>
              <w:keepNext w:val="0"/>
              <w:keepLines w:val="0"/>
              <w:pageBreakBefore w:val="0"/>
              <w:kinsoku/>
              <w:wordWrap/>
              <w:overflowPunct/>
              <w:topLinePunct w:val="0"/>
              <w:autoSpaceDE/>
              <w:autoSpaceDN/>
              <w:bidi w:val="0"/>
              <w:ind w:left="0" w:right="0"/>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非甲烷总烃执行《大气污染物综合排放标准》（DB32/4041-2021）表1标准限值</w:t>
            </w:r>
          </w:p>
        </w:tc>
      </w:tr>
      <w:tr w14:paraId="1AD82E9A">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340" w:hRule="atLeast"/>
        </w:trPr>
        <w:tc>
          <w:tcPr>
            <w:tcW w:w="1130" w:type="dxa"/>
            <w:vMerge w:val="continue"/>
            <w:vAlign w:val="center"/>
          </w:tcPr>
          <w:p w14:paraId="7B278203">
            <w:pPr>
              <w:keepNext w:val="0"/>
              <w:keepLines w:val="0"/>
              <w:pageBreakBefore w:val="0"/>
              <w:kinsoku/>
              <w:wordWrap/>
              <w:overflowPunct/>
              <w:topLinePunct w:val="0"/>
              <w:autoSpaceDE/>
              <w:autoSpaceDN/>
              <w:bidi w:val="0"/>
              <w:ind w:left="0" w:right="0"/>
              <w:jc w:val="center"/>
              <w:rPr>
                <w:rFonts w:ascii="Times New Roman" w:hAnsi="Times New Roman" w:cs="Times New Roman"/>
                <w:color w:val="auto"/>
                <w:sz w:val="21"/>
                <w:szCs w:val="21"/>
                <w:highlight w:val="none"/>
              </w:rPr>
            </w:pPr>
          </w:p>
        </w:tc>
        <w:tc>
          <w:tcPr>
            <w:tcW w:w="1185" w:type="dxa"/>
            <w:vMerge w:val="restart"/>
            <w:vAlign w:val="center"/>
          </w:tcPr>
          <w:p w14:paraId="242ADB4E">
            <w:pPr>
              <w:keepNext w:val="0"/>
              <w:keepLines w:val="0"/>
              <w:pageBreakBefore w:val="0"/>
              <w:kinsoku/>
              <w:wordWrap/>
              <w:overflowPunct/>
              <w:topLinePunct w:val="0"/>
              <w:autoSpaceDE/>
              <w:autoSpaceDN/>
              <w:bidi w:val="0"/>
              <w:ind w:left="0" w:right="0"/>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取样检测</w:t>
            </w:r>
          </w:p>
        </w:tc>
        <w:tc>
          <w:tcPr>
            <w:tcW w:w="1349" w:type="dxa"/>
            <w:vMerge w:val="restart"/>
            <w:vAlign w:val="center"/>
          </w:tcPr>
          <w:p w14:paraId="28E76BB9">
            <w:pPr>
              <w:keepNext w:val="0"/>
              <w:keepLines w:val="0"/>
              <w:pageBreakBefore w:val="0"/>
              <w:kinsoku/>
              <w:wordWrap/>
              <w:overflowPunct/>
              <w:topLinePunct w:val="0"/>
              <w:autoSpaceDE/>
              <w:autoSpaceDN/>
              <w:bidi w:val="0"/>
              <w:ind w:left="0" w:right="0"/>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二级活性炭吸附</w:t>
            </w:r>
          </w:p>
        </w:tc>
        <w:tc>
          <w:tcPr>
            <w:tcW w:w="1342" w:type="dxa"/>
            <w:vMerge w:val="restart"/>
            <w:vAlign w:val="center"/>
          </w:tcPr>
          <w:p w14:paraId="1D66874F">
            <w:pPr>
              <w:keepNext w:val="0"/>
              <w:keepLines w:val="0"/>
              <w:pageBreakBefore w:val="0"/>
              <w:kinsoku/>
              <w:wordWrap/>
              <w:overflowPunct/>
              <w:topLinePunct w:val="0"/>
              <w:autoSpaceDE/>
              <w:autoSpaceDN/>
              <w:bidi w:val="0"/>
              <w:ind w:left="0" w:right="0"/>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风机风量：</w:t>
            </w:r>
            <w:r>
              <w:rPr>
                <w:rFonts w:hint="eastAsia" w:ascii="Times New Roman" w:hAnsi="Times New Roman" w:cs="Times New Roman"/>
                <w:color w:val="auto"/>
                <w:sz w:val="21"/>
                <w:szCs w:val="21"/>
                <w:highlight w:val="none"/>
                <w:lang w:val="en-US" w:eastAsia="zh-CN"/>
              </w:rPr>
              <w:t>40</w:t>
            </w:r>
            <w:r>
              <w:rPr>
                <w:rFonts w:ascii="Times New Roman" w:hAnsi="Times New Roman" w:cs="Times New Roman"/>
                <w:color w:val="auto"/>
                <w:sz w:val="21"/>
                <w:szCs w:val="21"/>
                <w:highlight w:val="none"/>
              </w:rPr>
              <w:t>00m</w:t>
            </w:r>
            <w:r>
              <w:rPr>
                <w:rFonts w:ascii="Times New Roman" w:hAnsi="Times New Roman" w:cs="Times New Roman"/>
                <w:color w:val="auto"/>
                <w:sz w:val="21"/>
                <w:szCs w:val="21"/>
                <w:highlight w:val="none"/>
                <w:vertAlign w:val="superscript"/>
              </w:rPr>
              <w:t>3</w:t>
            </w:r>
            <w:r>
              <w:rPr>
                <w:rFonts w:ascii="Times New Roman" w:hAnsi="Times New Roman" w:cs="Times New Roman"/>
                <w:color w:val="auto"/>
                <w:sz w:val="21"/>
                <w:szCs w:val="21"/>
                <w:highlight w:val="none"/>
              </w:rPr>
              <w:t>/h</w:t>
            </w:r>
          </w:p>
        </w:tc>
        <w:tc>
          <w:tcPr>
            <w:tcW w:w="1424" w:type="dxa"/>
            <w:vAlign w:val="center"/>
          </w:tcPr>
          <w:p w14:paraId="181A30F0">
            <w:pPr>
              <w:pStyle w:val="240"/>
              <w:keepNext w:val="0"/>
              <w:keepLines w:val="0"/>
              <w:pageBreakBefore w:val="0"/>
              <w:kinsoku/>
              <w:wordWrap/>
              <w:overflowPunct/>
              <w:topLinePunct w:val="0"/>
              <w:autoSpaceDE/>
              <w:autoSpaceDN/>
              <w:bidi w:val="0"/>
              <w:adjustRightInd w:val="0"/>
              <w:snapToGrid w:val="0"/>
              <w:ind w:left="0" w:right="0"/>
              <w:rPr>
                <w:rFonts w:hint="eastAsia" w:ascii="Times New Roman" w:hAnsi="Times New Roman" w:eastAsia="宋体"/>
                <w:color w:val="auto"/>
                <w:highlight w:val="none"/>
                <w:lang w:eastAsia="zh-CN"/>
              </w:rPr>
            </w:pPr>
            <w:r>
              <w:rPr>
                <w:rFonts w:hint="eastAsia" w:ascii="Times New Roman" w:hAnsi="Times New Roman"/>
                <w:color w:val="auto"/>
                <w:highlight w:val="none"/>
              </w:rPr>
              <w:t>非甲烷总烃</w:t>
            </w:r>
          </w:p>
        </w:tc>
        <w:tc>
          <w:tcPr>
            <w:tcW w:w="1299" w:type="dxa"/>
            <w:vAlign w:val="center"/>
          </w:tcPr>
          <w:p w14:paraId="7E150AB2">
            <w:pPr>
              <w:keepNext w:val="0"/>
              <w:keepLines w:val="0"/>
              <w:pageBreakBefore w:val="0"/>
              <w:widowControl/>
              <w:suppressLineNumbers w:val="0"/>
              <w:kinsoku/>
              <w:wordWrap/>
              <w:overflowPunct/>
              <w:topLinePunct w:val="0"/>
              <w:autoSpaceDE/>
              <w:autoSpaceDN/>
              <w:bidi w:val="0"/>
              <w:adjustRightInd/>
              <w:snapToGrid/>
              <w:ind w:left="0" w:leftChars="0" w:right="0" w:rightChars="0"/>
              <w:jc w:val="center"/>
              <w:textAlignment w:val="center"/>
              <w:rPr>
                <w:rFonts w:ascii="Times New Roman" w:hAnsi="Times New Roman" w:cs="Times New Roman"/>
                <w:color w:val="auto"/>
                <w:sz w:val="21"/>
                <w:szCs w:val="21"/>
                <w:highlight w:val="none"/>
              </w:rPr>
            </w:pPr>
            <w:r>
              <w:rPr>
                <w:rFonts w:hint="default" w:ascii="Times New Roman" w:hAnsi="Times New Roman" w:eastAsia="等线" w:cs="Times New Roman"/>
                <w:i w:val="0"/>
                <w:iCs w:val="0"/>
                <w:color w:val="auto"/>
                <w:kern w:val="0"/>
                <w:sz w:val="21"/>
                <w:szCs w:val="21"/>
                <w:highlight w:val="none"/>
                <w:u w:val="none"/>
                <w:lang w:val="en-US" w:eastAsia="zh-CN" w:bidi="ar"/>
              </w:rPr>
              <w:t>0.3086</w:t>
            </w:r>
          </w:p>
        </w:tc>
        <w:tc>
          <w:tcPr>
            <w:tcW w:w="1279" w:type="dxa"/>
            <w:vAlign w:val="center"/>
          </w:tcPr>
          <w:p w14:paraId="471A3E97">
            <w:pPr>
              <w:keepNext w:val="0"/>
              <w:keepLines w:val="0"/>
              <w:pageBreakBefore w:val="0"/>
              <w:widowControl/>
              <w:suppressLineNumbers w:val="0"/>
              <w:kinsoku/>
              <w:wordWrap/>
              <w:overflowPunct/>
              <w:topLinePunct w:val="0"/>
              <w:autoSpaceDE/>
              <w:autoSpaceDN/>
              <w:bidi w:val="0"/>
              <w:adjustRightInd/>
              <w:snapToGrid/>
              <w:ind w:left="0" w:leftChars="0" w:right="0" w:rightChars="0"/>
              <w:jc w:val="center"/>
              <w:textAlignment w:val="center"/>
              <w:rPr>
                <w:rFonts w:ascii="Times New Roman" w:hAnsi="Times New Roman" w:cs="Times New Roman"/>
                <w:color w:val="auto"/>
                <w:sz w:val="21"/>
                <w:szCs w:val="21"/>
                <w:highlight w:val="none"/>
              </w:rPr>
            </w:pPr>
            <w:r>
              <w:rPr>
                <w:rFonts w:hint="default" w:ascii="Times New Roman" w:hAnsi="Times New Roman" w:eastAsia="等线" w:cs="Times New Roman"/>
                <w:i w:val="0"/>
                <w:iCs w:val="0"/>
                <w:color w:val="auto"/>
                <w:kern w:val="0"/>
                <w:sz w:val="21"/>
                <w:szCs w:val="21"/>
                <w:highlight w:val="none"/>
                <w:u w:val="none"/>
                <w:lang w:val="en-US" w:eastAsia="zh-CN" w:bidi="ar"/>
              </w:rPr>
              <w:t>0.0006</w:t>
            </w:r>
          </w:p>
        </w:tc>
        <w:tc>
          <w:tcPr>
            <w:tcW w:w="851" w:type="dxa"/>
            <w:vMerge w:val="restart"/>
            <w:vAlign w:val="center"/>
          </w:tcPr>
          <w:p w14:paraId="6EB88B84">
            <w:pPr>
              <w:keepNext w:val="0"/>
              <w:keepLines w:val="0"/>
              <w:pageBreakBefore w:val="0"/>
              <w:kinsoku/>
              <w:wordWrap/>
              <w:overflowPunct/>
              <w:topLinePunct w:val="0"/>
              <w:autoSpaceDE/>
              <w:autoSpaceDN/>
              <w:bidi w:val="0"/>
              <w:ind w:left="0" w:right="0"/>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间断</w:t>
            </w:r>
            <w:r>
              <w:rPr>
                <w:rFonts w:ascii="Times New Roman" w:hAnsi="Times New Roman" w:cs="Times New Roman"/>
                <w:color w:val="auto"/>
                <w:sz w:val="21"/>
                <w:szCs w:val="21"/>
                <w:highlight w:val="none"/>
              </w:rPr>
              <w:t>排放</w:t>
            </w:r>
          </w:p>
        </w:tc>
        <w:tc>
          <w:tcPr>
            <w:tcW w:w="1835" w:type="dxa"/>
            <w:vMerge w:val="restart"/>
            <w:vAlign w:val="center"/>
          </w:tcPr>
          <w:p w14:paraId="29307E5D">
            <w:pPr>
              <w:keepNext w:val="0"/>
              <w:keepLines w:val="0"/>
              <w:pageBreakBefore w:val="0"/>
              <w:kinsoku/>
              <w:wordWrap/>
              <w:overflowPunct/>
              <w:topLinePunct w:val="0"/>
              <w:autoSpaceDE/>
              <w:autoSpaceDN/>
              <w:bidi w:val="0"/>
              <w:ind w:left="0" w:right="0"/>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DA006</w:t>
            </w:r>
            <w:r>
              <w:rPr>
                <w:rFonts w:ascii="Times New Roman" w:hAnsi="Times New Roman" w:cs="Times New Roman"/>
                <w:color w:val="auto"/>
                <w:sz w:val="21"/>
                <w:szCs w:val="21"/>
                <w:highlight w:val="none"/>
              </w:rPr>
              <w:t>：H=15m，R=0.3</w:t>
            </w:r>
            <w:r>
              <w:rPr>
                <w:rFonts w:hint="eastAsia" w:ascii="Times New Roman" w:hAnsi="Times New Roman" w:cs="Times New Roman"/>
                <w:color w:val="auto"/>
                <w:sz w:val="21"/>
                <w:szCs w:val="21"/>
                <w:highlight w:val="none"/>
              </w:rPr>
              <w:t>2</w:t>
            </w:r>
          </w:p>
        </w:tc>
        <w:tc>
          <w:tcPr>
            <w:tcW w:w="2480" w:type="dxa"/>
            <w:vMerge w:val="restart"/>
            <w:vAlign w:val="center"/>
          </w:tcPr>
          <w:p w14:paraId="7574FBE2">
            <w:pPr>
              <w:keepNext w:val="0"/>
              <w:keepLines w:val="0"/>
              <w:pageBreakBefore w:val="0"/>
              <w:kinsoku/>
              <w:wordWrap/>
              <w:overflowPunct/>
              <w:topLinePunct w:val="0"/>
              <w:autoSpaceDE/>
              <w:autoSpaceDN/>
              <w:bidi w:val="0"/>
              <w:ind w:left="0" w:right="0"/>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非甲烷总烃</w:t>
            </w:r>
            <w:r>
              <w:rPr>
                <w:rFonts w:hint="eastAsia" w:ascii="Times New Roman" w:hAnsi="Times New Roman" w:cs="Times New Roman"/>
                <w:color w:val="auto"/>
                <w:sz w:val="21"/>
                <w:szCs w:val="21"/>
                <w:highlight w:val="none"/>
                <w:lang w:eastAsia="zh-CN"/>
              </w:rPr>
              <w:t>、</w:t>
            </w:r>
            <w:r>
              <w:rPr>
                <w:rFonts w:hint="eastAsia" w:ascii="Times New Roman" w:hAnsi="Times New Roman" w:cs="Times New Roman"/>
                <w:color w:val="auto"/>
                <w:sz w:val="21"/>
                <w:szCs w:val="21"/>
                <w:highlight w:val="none"/>
                <w:lang w:val="en-US" w:eastAsia="zh-CN"/>
              </w:rPr>
              <w:t>氮氧化物</w:t>
            </w:r>
            <w:r>
              <w:rPr>
                <w:rFonts w:ascii="Times New Roman" w:hAnsi="Times New Roman" w:cs="Times New Roman"/>
                <w:color w:val="auto"/>
                <w:sz w:val="21"/>
                <w:szCs w:val="21"/>
                <w:highlight w:val="none"/>
              </w:rPr>
              <w:t>执行《大气污染物综合排放标准》（DB32/4041-2021）表1标准限值</w:t>
            </w:r>
          </w:p>
        </w:tc>
      </w:tr>
      <w:tr w14:paraId="51A21635">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340" w:hRule="atLeast"/>
        </w:trPr>
        <w:tc>
          <w:tcPr>
            <w:tcW w:w="1130" w:type="dxa"/>
            <w:vMerge w:val="continue"/>
            <w:vAlign w:val="center"/>
          </w:tcPr>
          <w:p w14:paraId="3ABE2317">
            <w:pPr>
              <w:keepNext w:val="0"/>
              <w:keepLines w:val="0"/>
              <w:pageBreakBefore w:val="0"/>
              <w:kinsoku/>
              <w:wordWrap/>
              <w:overflowPunct/>
              <w:topLinePunct w:val="0"/>
              <w:autoSpaceDE/>
              <w:autoSpaceDN/>
              <w:bidi w:val="0"/>
              <w:ind w:left="0" w:right="0"/>
              <w:jc w:val="center"/>
              <w:rPr>
                <w:rFonts w:ascii="Times New Roman" w:hAnsi="Times New Roman" w:cs="Times New Roman"/>
                <w:color w:val="auto"/>
                <w:sz w:val="21"/>
                <w:szCs w:val="21"/>
                <w:highlight w:val="none"/>
              </w:rPr>
            </w:pPr>
          </w:p>
        </w:tc>
        <w:tc>
          <w:tcPr>
            <w:tcW w:w="1185" w:type="dxa"/>
            <w:vMerge w:val="continue"/>
            <w:vAlign w:val="center"/>
          </w:tcPr>
          <w:p w14:paraId="6C8697D8">
            <w:pPr>
              <w:keepNext w:val="0"/>
              <w:keepLines w:val="0"/>
              <w:pageBreakBefore w:val="0"/>
              <w:kinsoku/>
              <w:wordWrap/>
              <w:overflowPunct/>
              <w:topLinePunct w:val="0"/>
              <w:autoSpaceDE/>
              <w:autoSpaceDN/>
              <w:bidi w:val="0"/>
              <w:ind w:left="0" w:right="0"/>
              <w:jc w:val="center"/>
              <w:rPr>
                <w:rFonts w:ascii="Times New Roman" w:hAnsi="Times New Roman" w:cs="Times New Roman"/>
                <w:color w:val="auto"/>
                <w:sz w:val="21"/>
                <w:szCs w:val="21"/>
                <w:highlight w:val="none"/>
              </w:rPr>
            </w:pPr>
          </w:p>
        </w:tc>
        <w:tc>
          <w:tcPr>
            <w:tcW w:w="1349" w:type="dxa"/>
            <w:vMerge w:val="continue"/>
            <w:vAlign w:val="center"/>
          </w:tcPr>
          <w:p w14:paraId="42035CE2">
            <w:pPr>
              <w:keepNext w:val="0"/>
              <w:keepLines w:val="0"/>
              <w:pageBreakBefore w:val="0"/>
              <w:kinsoku/>
              <w:wordWrap/>
              <w:overflowPunct/>
              <w:topLinePunct w:val="0"/>
              <w:autoSpaceDE/>
              <w:autoSpaceDN/>
              <w:bidi w:val="0"/>
              <w:ind w:left="0" w:right="0"/>
              <w:jc w:val="center"/>
              <w:rPr>
                <w:rFonts w:ascii="Times New Roman" w:hAnsi="Times New Roman" w:cs="Times New Roman"/>
                <w:color w:val="auto"/>
                <w:sz w:val="21"/>
                <w:szCs w:val="21"/>
                <w:highlight w:val="none"/>
              </w:rPr>
            </w:pPr>
          </w:p>
        </w:tc>
        <w:tc>
          <w:tcPr>
            <w:tcW w:w="1342" w:type="dxa"/>
            <w:vMerge w:val="continue"/>
            <w:vAlign w:val="center"/>
          </w:tcPr>
          <w:p w14:paraId="74564835">
            <w:pPr>
              <w:keepNext w:val="0"/>
              <w:keepLines w:val="0"/>
              <w:pageBreakBefore w:val="0"/>
              <w:kinsoku/>
              <w:wordWrap/>
              <w:overflowPunct/>
              <w:topLinePunct w:val="0"/>
              <w:autoSpaceDE/>
              <w:autoSpaceDN/>
              <w:bidi w:val="0"/>
              <w:ind w:left="0" w:right="0"/>
              <w:jc w:val="center"/>
              <w:rPr>
                <w:rFonts w:ascii="Times New Roman" w:hAnsi="Times New Roman" w:cs="Times New Roman"/>
                <w:color w:val="auto"/>
                <w:sz w:val="21"/>
                <w:szCs w:val="21"/>
                <w:highlight w:val="none"/>
              </w:rPr>
            </w:pPr>
          </w:p>
        </w:tc>
        <w:tc>
          <w:tcPr>
            <w:tcW w:w="1424" w:type="dxa"/>
            <w:vAlign w:val="center"/>
          </w:tcPr>
          <w:p w14:paraId="6A441615">
            <w:pPr>
              <w:pStyle w:val="240"/>
              <w:keepNext w:val="0"/>
              <w:keepLines w:val="0"/>
              <w:pageBreakBefore w:val="0"/>
              <w:kinsoku/>
              <w:wordWrap/>
              <w:overflowPunct/>
              <w:topLinePunct w:val="0"/>
              <w:autoSpaceDE/>
              <w:autoSpaceDN/>
              <w:bidi w:val="0"/>
              <w:adjustRightInd w:val="0"/>
              <w:snapToGrid w:val="0"/>
              <w:ind w:left="0" w:right="0"/>
              <w:rPr>
                <w:rFonts w:hint="eastAsia" w:ascii="Times New Roman" w:hAnsi="Times New Roman" w:eastAsia="宋体"/>
                <w:color w:val="auto"/>
                <w:highlight w:val="none"/>
                <w:lang w:val="en-US" w:eastAsia="zh-CN"/>
              </w:rPr>
            </w:pPr>
            <w:r>
              <w:rPr>
                <w:rFonts w:hint="eastAsia" w:ascii="Times New Roman" w:hAnsi="Times New Roman"/>
                <w:color w:val="auto"/>
                <w:highlight w:val="none"/>
                <w:lang w:val="en-US" w:eastAsia="zh-CN"/>
              </w:rPr>
              <w:t>氮氧化物</w:t>
            </w:r>
          </w:p>
        </w:tc>
        <w:tc>
          <w:tcPr>
            <w:tcW w:w="1299" w:type="dxa"/>
            <w:vAlign w:val="center"/>
          </w:tcPr>
          <w:p w14:paraId="3CDC589E">
            <w:pPr>
              <w:keepNext w:val="0"/>
              <w:keepLines w:val="0"/>
              <w:pageBreakBefore w:val="0"/>
              <w:widowControl/>
              <w:suppressLineNumbers w:val="0"/>
              <w:kinsoku/>
              <w:wordWrap/>
              <w:overflowPunct/>
              <w:topLinePunct w:val="0"/>
              <w:autoSpaceDE/>
              <w:autoSpaceDN/>
              <w:bidi w:val="0"/>
              <w:adjustRightInd/>
              <w:snapToGrid/>
              <w:ind w:left="0" w:leftChars="0" w:right="0" w:rightChars="0"/>
              <w:jc w:val="center"/>
              <w:textAlignment w:val="center"/>
              <w:rPr>
                <w:rFonts w:ascii="Times New Roman" w:hAnsi="Times New Roman" w:cs="Times New Roman"/>
                <w:color w:val="auto"/>
                <w:sz w:val="21"/>
                <w:szCs w:val="21"/>
                <w:highlight w:val="none"/>
              </w:rPr>
            </w:pPr>
            <w:r>
              <w:rPr>
                <w:rFonts w:hint="default" w:ascii="Times New Roman" w:hAnsi="Times New Roman" w:eastAsia="等线" w:cs="Times New Roman"/>
                <w:i w:val="0"/>
                <w:iCs w:val="0"/>
                <w:color w:val="auto"/>
                <w:kern w:val="0"/>
                <w:sz w:val="21"/>
                <w:szCs w:val="21"/>
                <w:highlight w:val="none"/>
                <w:u w:val="none"/>
                <w:lang w:val="en-US" w:eastAsia="zh-CN" w:bidi="ar"/>
              </w:rPr>
              <w:t>0.1485</w:t>
            </w:r>
          </w:p>
        </w:tc>
        <w:tc>
          <w:tcPr>
            <w:tcW w:w="1279" w:type="dxa"/>
            <w:vAlign w:val="center"/>
          </w:tcPr>
          <w:p w14:paraId="6FA19988">
            <w:pPr>
              <w:keepNext w:val="0"/>
              <w:keepLines w:val="0"/>
              <w:pageBreakBefore w:val="0"/>
              <w:widowControl/>
              <w:suppressLineNumbers w:val="0"/>
              <w:kinsoku/>
              <w:wordWrap/>
              <w:overflowPunct/>
              <w:topLinePunct w:val="0"/>
              <w:autoSpaceDE/>
              <w:autoSpaceDN/>
              <w:bidi w:val="0"/>
              <w:adjustRightInd/>
              <w:snapToGrid/>
              <w:ind w:left="0" w:leftChars="0" w:right="0" w:rightChars="0"/>
              <w:jc w:val="center"/>
              <w:textAlignment w:val="center"/>
              <w:rPr>
                <w:rFonts w:ascii="Times New Roman" w:hAnsi="Times New Roman" w:cs="Times New Roman"/>
                <w:color w:val="auto"/>
                <w:sz w:val="21"/>
                <w:szCs w:val="21"/>
                <w:highlight w:val="none"/>
              </w:rPr>
            </w:pPr>
            <w:r>
              <w:rPr>
                <w:rFonts w:hint="default" w:ascii="Times New Roman" w:hAnsi="Times New Roman" w:eastAsia="等线" w:cs="Times New Roman"/>
                <w:i w:val="0"/>
                <w:iCs w:val="0"/>
                <w:color w:val="auto"/>
                <w:kern w:val="0"/>
                <w:sz w:val="21"/>
                <w:szCs w:val="21"/>
                <w:highlight w:val="none"/>
                <w:u w:val="none"/>
                <w:lang w:val="en-US" w:eastAsia="zh-CN" w:bidi="ar"/>
              </w:rPr>
              <w:t>0.0003</w:t>
            </w:r>
          </w:p>
        </w:tc>
        <w:tc>
          <w:tcPr>
            <w:tcW w:w="851" w:type="dxa"/>
            <w:vMerge w:val="continue"/>
            <w:vAlign w:val="center"/>
          </w:tcPr>
          <w:p w14:paraId="3B1B07F5">
            <w:pPr>
              <w:keepNext w:val="0"/>
              <w:keepLines w:val="0"/>
              <w:pageBreakBefore w:val="0"/>
              <w:kinsoku/>
              <w:wordWrap/>
              <w:overflowPunct/>
              <w:topLinePunct w:val="0"/>
              <w:autoSpaceDE/>
              <w:autoSpaceDN/>
              <w:bidi w:val="0"/>
              <w:ind w:left="0" w:right="0"/>
              <w:jc w:val="center"/>
              <w:rPr>
                <w:rFonts w:hint="eastAsia" w:ascii="Times New Roman" w:hAnsi="Times New Roman" w:cs="Times New Roman"/>
                <w:color w:val="auto"/>
                <w:sz w:val="21"/>
                <w:szCs w:val="21"/>
                <w:highlight w:val="none"/>
              </w:rPr>
            </w:pPr>
          </w:p>
        </w:tc>
        <w:tc>
          <w:tcPr>
            <w:tcW w:w="1835" w:type="dxa"/>
            <w:vMerge w:val="continue"/>
            <w:vAlign w:val="center"/>
          </w:tcPr>
          <w:p w14:paraId="15933E08">
            <w:pPr>
              <w:keepNext w:val="0"/>
              <w:keepLines w:val="0"/>
              <w:pageBreakBefore w:val="0"/>
              <w:kinsoku/>
              <w:wordWrap/>
              <w:overflowPunct/>
              <w:topLinePunct w:val="0"/>
              <w:autoSpaceDE/>
              <w:autoSpaceDN/>
              <w:bidi w:val="0"/>
              <w:ind w:left="0" w:right="0"/>
              <w:jc w:val="center"/>
              <w:rPr>
                <w:rFonts w:hint="eastAsia" w:ascii="Times New Roman" w:hAnsi="Times New Roman" w:cs="Times New Roman"/>
                <w:color w:val="auto"/>
                <w:sz w:val="21"/>
                <w:szCs w:val="21"/>
                <w:highlight w:val="none"/>
              </w:rPr>
            </w:pPr>
          </w:p>
        </w:tc>
        <w:tc>
          <w:tcPr>
            <w:tcW w:w="2480" w:type="dxa"/>
            <w:vMerge w:val="continue"/>
            <w:vAlign w:val="center"/>
          </w:tcPr>
          <w:p w14:paraId="2014CAD0">
            <w:pPr>
              <w:keepNext w:val="0"/>
              <w:keepLines w:val="0"/>
              <w:pageBreakBefore w:val="0"/>
              <w:kinsoku/>
              <w:wordWrap/>
              <w:overflowPunct/>
              <w:topLinePunct w:val="0"/>
              <w:autoSpaceDE/>
              <w:autoSpaceDN/>
              <w:bidi w:val="0"/>
              <w:ind w:left="0" w:right="0"/>
              <w:jc w:val="center"/>
              <w:rPr>
                <w:rFonts w:ascii="Times New Roman" w:hAnsi="Times New Roman" w:cs="Times New Roman"/>
                <w:color w:val="auto"/>
                <w:sz w:val="21"/>
                <w:szCs w:val="21"/>
                <w:highlight w:val="none"/>
              </w:rPr>
            </w:pPr>
          </w:p>
        </w:tc>
      </w:tr>
      <w:tr w14:paraId="339D4894">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172" w:hRule="atLeast"/>
        </w:trPr>
        <w:tc>
          <w:tcPr>
            <w:tcW w:w="1130" w:type="dxa"/>
            <w:vMerge w:val="restart"/>
            <w:vAlign w:val="center"/>
          </w:tcPr>
          <w:p w14:paraId="736AD070">
            <w:pPr>
              <w:keepNext w:val="0"/>
              <w:keepLines w:val="0"/>
              <w:pageBreakBefore w:val="0"/>
              <w:kinsoku/>
              <w:wordWrap/>
              <w:overflowPunct/>
              <w:topLinePunct w:val="0"/>
              <w:autoSpaceDE/>
              <w:autoSpaceDN/>
              <w:bidi w:val="0"/>
              <w:ind w:left="0" w:right="0"/>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废气（无组织）</w:t>
            </w:r>
          </w:p>
        </w:tc>
        <w:tc>
          <w:tcPr>
            <w:tcW w:w="1185" w:type="dxa"/>
            <w:vAlign w:val="center"/>
          </w:tcPr>
          <w:p w14:paraId="42F353C5">
            <w:pPr>
              <w:keepNext w:val="0"/>
              <w:keepLines w:val="0"/>
              <w:pageBreakBefore w:val="0"/>
              <w:kinsoku/>
              <w:wordWrap/>
              <w:overflowPunct/>
              <w:topLinePunct w:val="0"/>
              <w:autoSpaceDE/>
              <w:autoSpaceDN/>
              <w:bidi w:val="0"/>
              <w:ind w:left="0" w:right="0"/>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二工场</w:t>
            </w:r>
          </w:p>
        </w:tc>
        <w:tc>
          <w:tcPr>
            <w:tcW w:w="1349" w:type="dxa"/>
            <w:vAlign w:val="center"/>
          </w:tcPr>
          <w:p w14:paraId="47834E9A">
            <w:pPr>
              <w:keepNext w:val="0"/>
              <w:keepLines w:val="0"/>
              <w:pageBreakBefore w:val="0"/>
              <w:kinsoku/>
              <w:wordWrap/>
              <w:overflowPunct/>
              <w:topLinePunct w:val="0"/>
              <w:autoSpaceDE/>
              <w:autoSpaceDN/>
              <w:bidi w:val="0"/>
              <w:ind w:left="0" w:right="0"/>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w:t>
            </w:r>
          </w:p>
        </w:tc>
        <w:tc>
          <w:tcPr>
            <w:tcW w:w="1342" w:type="dxa"/>
            <w:vAlign w:val="center"/>
          </w:tcPr>
          <w:p w14:paraId="64EEF2D0">
            <w:pPr>
              <w:keepNext w:val="0"/>
              <w:keepLines w:val="0"/>
              <w:pageBreakBefore w:val="0"/>
              <w:kinsoku/>
              <w:wordWrap/>
              <w:overflowPunct/>
              <w:topLinePunct w:val="0"/>
              <w:autoSpaceDE/>
              <w:autoSpaceDN/>
              <w:bidi w:val="0"/>
              <w:ind w:left="0" w:right="0"/>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w:t>
            </w:r>
          </w:p>
        </w:tc>
        <w:tc>
          <w:tcPr>
            <w:tcW w:w="1424" w:type="dxa"/>
            <w:tcBorders>
              <w:bottom w:val="single" w:color="auto" w:sz="4" w:space="0"/>
            </w:tcBorders>
            <w:vAlign w:val="center"/>
          </w:tcPr>
          <w:p w14:paraId="3F6C20B4">
            <w:pPr>
              <w:pStyle w:val="240"/>
              <w:keepNext w:val="0"/>
              <w:keepLines w:val="0"/>
              <w:pageBreakBefore w:val="0"/>
              <w:kinsoku/>
              <w:wordWrap/>
              <w:overflowPunct/>
              <w:topLinePunct w:val="0"/>
              <w:autoSpaceDE/>
              <w:autoSpaceDN/>
              <w:bidi w:val="0"/>
              <w:adjustRightInd w:val="0"/>
              <w:snapToGrid w:val="0"/>
              <w:ind w:left="0" w:right="0"/>
              <w:rPr>
                <w:rFonts w:ascii="Times New Roman" w:hAnsi="Times New Roman"/>
                <w:color w:val="auto"/>
                <w:highlight w:val="none"/>
              </w:rPr>
            </w:pPr>
            <w:r>
              <w:rPr>
                <w:rFonts w:hint="eastAsia" w:ascii="Times New Roman" w:hAnsi="Times New Roman"/>
                <w:color w:val="auto"/>
                <w:highlight w:val="none"/>
              </w:rPr>
              <w:t>非甲烷总烃</w:t>
            </w:r>
          </w:p>
        </w:tc>
        <w:tc>
          <w:tcPr>
            <w:tcW w:w="1299" w:type="dxa"/>
            <w:tcBorders>
              <w:bottom w:val="single" w:color="auto" w:sz="4" w:space="0"/>
            </w:tcBorders>
            <w:vAlign w:val="center"/>
          </w:tcPr>
          <w:p w14:paraId="759284A9">
            <w:pPr>
              <w:keepNext w:val="0"/>
              <w:keepLines w:val="0"/>
              <w:pageBreakBefore w:val="0"/>
              <w:kinsoku/>
              <w:wordWrap/>
              <w:overflowPunct/>
              <w:topLinePunct w:val="0"/>
              <w:autoSpaceDE/>
              <w:autoSpaceDN/>
              <w:bidi w:val="0"/>
              <w:ind w:left="0" w:right="0"/>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w:t>
            </w:r>
          </w:p>
        </w:tc>
        <w:tc>
          <w:tcPr>
            <w:tcW w:w="1279" w:type="dxa"/>
            <w:tcBorders>
              <w:bottom w:val="single" w:color="auto" w:sz="4" w:space="0"/>
            </w:tcBorders>
            <w:vAlign w:val="center"/>
          </w:tcPr>
          <w:p w14:paraId="6ECF68AD">
            <w:pPr>
              <w:keepNext w:val="0"/>
              <w:keepLines w:val="0"/>
              <w:pageBreakBefore w:val="0"/>
              <w:kinsoku/>
              <w:wordWrap/>
              <w:overflowPunct/>
              <w:topLinePunct w:val="0"/>
              <w:autoSpaceDE/>
              <w:autoSpaceDN/>
              <w:bidi w:val="0"/>
              <w:ind w:left="0" w:right="0"/>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0.0235</w:t>
            </w:r>
          </w:p>
        </w:tc>
        <w:tc>
          <w:tcPr>
            <w:tcW w:w="851" w:type="dxa"/>
            <w:vAlign w:val="center"/>
          </w:tcPr>
          <w:p w14:paraId="162A0398">
            <w:pPr>
              <w:keepNext w:val="0"/>
              <w:keepLines w:val="0"/>
              <w:pageBreakBefore w:val="0"/>
              <w:kinsoku/>
              <w:wordWrap/>
              <w:overflowPunct/>
              <w:topLinePunct w:val="0"/>
              <w:autoSpaceDE/>
              <w:autoSpaceDN/>
              <w:bidi w:val="0"/>
              <w:ind w:left="0" w:right="0"/>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连续排放</w:t>
            </w:r>
          </w:p>
        </w:tc>
        <w:tc>
          <w:tcPr>
            <w:tcW w:w="1835" w:type="dxa"/>
            <w:vAlign w:val="center"/>
          </w:tcPr>
          <w:p w14:paraId="182C0122">
            <w:pPr>
              <w:keepNext w:val="0"/>
              <w:keepLines w:val="0"/>
              <w:pageBreakBefore w:val="0"/>
              <w:kinsoku/>
              <w:wordWrap/>
              <w:overflowPunct/>
              <w:topLinePunct w:val="0"/>
              <w:autoSpaceDE/>
              <w:autoSpaceDN/>
              <w:bidi w:val="0"/>
              <w:ind w:left="0" w:right="0"/>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21*30*12.4</w:t>
            </w:r>
          </w:p>
        </w:tc>
        <w:tc>
          <w:tcPr>
            <w:tcW w:w="2480" w:type="dxa"/>
            <w:vAlign w:val="center"/>
          </w:tcPr>
          <w:p w14:paraId="340B3527">
            <w:pPr>
              <w:keepNext w:val="0"/>
              <w:keepLines w:val="0"/>
              <w:pageBreakBefore w:val="0"/>
              <w:kinsoku/>
              <w:wordWrap/>
              <w:overflowPunct/>
              <w:topLinePunct w:val="0"/>
              <w:autoSpaceDE/>
              <w:autoSpaceDN/>
              <w:bidi w:val="0"/>
              <w:ind w:left="0" w:right="0"/>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非甲烷总烃执行《大气污染物综合排放标准》（DB32/4041-2021）表</w:t>
            </w:r>
            <w:r>
              <w:rPr>
                <w:rFonts w:hint="eastAsia" w:ascii="Times New Roman" w:hAnsi="Times New Roman" w:cs="Times New Roman"/>
                <w:color w:val="auto"/>
                <w:sz w:val="21"/>
                <w:szCs w:val="21"/>
                <w:highlight w:val="none"/>
              </w:rPr>
              <w:t>3</w:t>
            </w:r>
            <w:r>
              <w:rPr>
                <w:rFonts w:ascii="Times New Roman" w:hAnsi="Times New Roman" w:cs="Times New Roman"/>
                <w:color w:val="auto"/>
                <w:sz w:val="21"/>
                <w:szCs w:val="21"/>
                <w:highlight w:val="none"/>
              </w:rPr>
              <w:t>标准限值</w:t>
            </w:r>
          </w:p>
        </w:tc>
      </w:tr>
      <w:tr w14:paraId="49164923">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184" w:hRule="atLeast"/>
        </w:trPr>
        <w:tc>
          <w:tcPr>
            <w:tcW w:w="1130" w:type="dxa"/>
            <w:vMerge w:val="continue"/>
            <w:vAlign w:val="center"/>
          </w:tcPr>
          <w:p w14:paraId="54C72BD4">
            <w:pPr>
              <w:keepNext w:val="0"/>
              <w:keepLines w:val="0"/>
              <w:pageBreakBefore w:val="0"/>
              <w:kinsoku/>
              <w:wordWrap/>
              <w:overflowPunct/>
              <w:topLinePunct w:val="0"/>
              <w:autoSpaceDE/>
              <w:autoSpaceDN/>
              <w:bidi w:val="0"/>
              <w:ind w:left="0" w:right="0"/>
              <w:jc w:val="center"/>
              <w:rPr>
                <w:rFonts w:ascii="Times New Roman" w:hAnsi="Times New Roman" w:cs="Times New Roman"/>
                <w:color w:val="auto"/>
                <w:sz w:val="21"/>
                <w:szCs w:val="21"/>
                <w:highlight w:val="none"/>
              </w:rPr>
            </w:pPr>
          </w:p>
        </w:tc>
        <w:tc>
          <w:tcPr>
            <w:tcW w:w="1185" w:type="dxa"/>
            <w:vMerge w:val="restart"/>
            <w:vAlign w:val="center"/>
          </w:tcPr>
          <w:p w14:paraId="0B02D009">
            <w:pPr>
              <w:keepNext w:val="0"/>
              <w:keepLines w:val="0"/>
              <w:pageBreakBefore w:val="0"/>
              <w:kinsoku/>
              <w:wordWrap/>
              <w:overflowPunct/>
              <w:topLinePunct w:val="0"/>
              <w:autoSpaceDE/>
              <w:autoSpaceDN/>
              <w:bidi w:val="0"/>
              <w:ind w:left="0" w:right="0"/>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实验楼</w:t>
            </w:r>
          </w:p>
        </w:tc>
        <w:tc>
          <w:tcPr>
            <w:tcW w:w="1349" w:type="dxa"/>
            <w:vMerge w:val="restart"/>
            <w:vAlign w:val="center"/>
          </w:tcPr>
          <w:p w14:paraId="50FE13E2">
            <w:pPr>
              <w:keepNext w:val="0"/>
              <w:keepLines w:val="0"/>
              <w:pageBreakBefore w:val="0"/>
              <w:kinsoku/>
              <w:wordWrap/>
              <w:overflowPunct/>
              <w:topLinePunct w:val="0"/>
              <w:autoSpaceDE/>
              <w:autoSpaceDN/>
              <w:bidi w:val="0"/>
              <w:ind w:left="0" w:right="0"/>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w:t>
            </w:r>
          </w:p>
        </w:tc>
        <w:tc>
          <w:tcPr>
            <w:tcW w:w="1342" w:type="dxa"/>
            <w:vMerge w:val="restart"/>
            <w:vAlign w:val="center"/>
          </w:tcPr>
          <w:p w14:paraId="16A14433">
            <w:pPr>
              <w:keepNext w:val="0"/>
              <w:keepLines w:val="0"/>
              <w:pageBreakBefore w:val="0"/>
              <w:kinsoku/>
              <w:wordWrap/>
              <w:overflowPunct/>
              <w:topLinePunct w:val="0"/>
              <w:autoSpaceDE/>
              <w:autoSpaceDN/>
              <w:bidi w:val="0"/>
              <w:ind w:left="0" w:right="0"/>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w:t>
            </w:r>
          </w:p>
        </w:tc>
        <w:tc>
          <w:tcPr>
            <w:tcW w:w="1424" w:type="dxa"/>
            <w:tcBorders>
              <w:bottom w:val="single" w:color="auto" w:sz="4" w:space="0"/>
            </w:tcBorders>
            <w:vAlign w:val="center"/>
          </w:tcPr>
          <w:p w14:paraId="29D90687">
            <w:pPr>
              <w:pStyle w:val="240"/>
              <w:keepNext w:val="0"/>
              <w:keepLines w:val="0"/>
              <w:pageBreakBefore w:val="0"/>
              <w:kinsoku/>
              <w:wordWrap/>
              <w:overflowPunct/>
              <w:topLinePunct w:val="0"/>
              <w:autoSpaceDE/>
              <w:autoSpaceDN/>
              <w:bidi w:val="0"/>
              <w:adjustRightInd w:val="0"/>
              <w:snapToGrid w:val="0"/>
              <w:ind w:left="0" w:right="0"/>
              <w:rPr>
                <w:rFonts w:ascii="Times New Roman" w:hAnsi="Times New Roman"/>
                <w:color w:val="auto"/>
                <w:highlight w:val="none"/>
              </w:rPr>
            </w:pPr>
            <w:r>
              <w:rPr>
                <w:rFonts w:hint="eastAsia" w:ascii="Times New Roman" w:hAnsi="Times New Roman"/>
                <w:color w:val="auto"/>
                <w:highlight w:val="none"/>
              </w:rPr>
              <w:t>非甲烷总烃（含甲醇）</w:t>
            </w:r>
          </w:p>
        </w:tc>
        <w:tc>
          <w:tcPr>
            <w:tcW w:w="1299" w:type="dxa"/>
            <w:vMerge w:val="restart"/>
            <w:vAlign w:val="center"/>
          </w:tcPr>
          <w:p w14:paraId="7DB11112">
            <w:pPr>
              <w:keepNext w:val="0"/>
              <w:keepLines w:val="0"/>
              <w:pageBreakBefore w:val="0"/>
              <w:kinsoku/>
              <w:wordWrap/>
              <w:overflowPunct/>
              <w:topLinePunct w:val="0"/>
              <w:autoSpaceDE/>
              <w:autoSpaceDN/>
              <w:bidi w:val="0"/>
              <w:ind w:left="0" w:right="0"/>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w:t>
            </w:r>
          </w:p>
        </w:tc>
        <w:tc>
          <w:tcPr>
            <w:tcW w:w="1279" w:type="dxa"/>
            <w:tcBorders>
              <w:bottom w:val="single" w:color="auto" w:sz="4" w:space="0"/>
            </w:tcBorders>
            <w:vAlign w:val="center"/>
          </w:tcPr>
          <w:p w14:paraId="3AA0179B">
            <w:pPr>
              <w:keepNext w:val="0"/>
              <w:keepLines w:val="0"/>
              <w:pageBreakBefore w:val="0"/>
              <w:widowControl/>
              <w:kinsoku/>
              <w:wordWrap/>
              <w:overflowPunct/>
              <w:topLinePunct w:val="0"/>
              <w:autoSpaceDE/>
              <w:autoSpaceDN/>
              <w:bidi w:val="0"/>
              <w:adjustRightInd/>
              <w:snapToGrid/>
              <w:ind w:left="0" w:leftChars="0" w:right="0" w:rightChars="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0.00</w:t>
            </w:r>
            <w:r>
              <w:rPr>
                <w:rFonts w:hint="eastAsia" w:ascii="Times New Roman" w:hAnsi="Times New Roman" w:cs="Times New Roman"/>
                <w:color w:val="auto"/>
                <w:sz w:val="21"/>
                <w:szCs w:val="21"/>
                <w:highlight w:val="none"/>
                <w:lang w:val="en-US" w:eastAsia="zh-CN"/>
              </w:rPr>
              <w:t>1</w:t>
            </w:r>
            <w:r>
              <w:rPr>
                <w:rFonts w:hint="eastAsia" w:ascii="Times New Roman" w:hAnsi="Times New Roman" w:cs="Times New Roman"/>
                <w:color w:val="auto"/>
                <w:sz w:val="21"/>
                <w:szCs w:val="21"/>
                <w:highlight w:val="none"/>
              </w:rPr>
              <w:t>3</w:t>
            </w:r>
          </w:p>
        </w:tc>
        <w:tc>
          <w:tcPr>
            <w:tcW w:w="851" w:type="dxa"/>
            <w:vMerge w:val="restart"/>
            <w:vAlign w:val="center"/>
          </w:tcPr>
          <w:p w14:paraId="5B149318">
            <w:pPr>
              <w:keepNext w:val="0"/>
              <w:keepLines w:val="0"/>
              <w:pageBreakBefore w:val="0"/>
              <w:kinsoku/>
              <w:wordWrap/>
              <w:overflowPunct/>
              <w:topLinePunct w:val="0"/>
              <w:autoSpaceDE/>
              <w:autoSpaceDN/>
              <w:bidi w:val="0"/>
              <w:ind w:left="0" w:right="0"/>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间断</w:t>
            </w:r>
            <w:r>
              <w:rPr>
                <w:rFonts w:ascii="Times New Roman" w:hAnsi="Times New Roman" w:cs="Times New Roman"/>
                <w:color w:val="auto"/>
                <w:sz w:val="21"/>
                <w:szCs w:val="21"/>
                <w:highlight w:val="none"/>
              </w:rPr>
              <w:t>排放</w:t>
            </w:r>
          </w:p>
        </w:tc>
        <w:tc>
          <w:tcPr>
            <w:tcW w:w="1835" w:type="dxa"/>
            <w:vMerge w:val="restart"/>
            <w:vAlign w:val="center"/>
          </w:tcPr>
          <w:p w14:paraId="2F387CFF">
            <w:pPr>
              <w:keepNext w:val="0"/>
              <w:keepLines w:val="0"/>
              <w:pageBreakBefore w:val="0"/>
              <w:kinsoku/>
              <w:wordWrap/>
              <w:overflowPunct/>
              <w:topLinePunct w:val="0"/>
              <w:autoSpaceDE/>
              <w:autoSpaceDN/>
              <w:bidi w:val="0"/>
              <w:ind w:left="0" w:right="0"/>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29*12*8.7</w:t>
            </w:r>
          </w:p>
        </w:tc>
        <w:tc>
          <w:tcPr>
            <w:tcW w:w="2480" w:type="dxa"/>
            <w:vMerge w:val="restart"/>
            <w:vAlign w:val="center"/>
          </w:tcPr>
          <w:p w14:paraId="66A365E2">
            <w:pPr>
              <w:keepNext w:val="0"/>
              <w:keepLines w:val="0"/>
              <w:pageBreakBefore w:val="0"/>
              <w:kinsoku/>
              <w:wordWrap/>
              <w:overflowPunct/>
              <w:topLinePunct w:val="0"/>
              <w:autoSpaceDE/>
              <w:autoSpaceDN/>
              <w:bidi w:val="0"/>
              <w:ind w:left="0" w:right="0"/>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非甲烷总烃</w:t>
            </w:r>
            <w:r>
              <w:rPr>
                <w:rFonts w:hint="eastAsia" w:ascii="Times New Roman" w:hAnsi="Times New Roman" w:cs="Times New Roman"/>
                <w:color w:val="auto"/>
                <w:sz w:val="21"/>
                <w:szCs w:val="21"/>
                <w:highlight w:val="none"/>
                <w:lang w:eastAsia="zh-CN"/>
              </w:rPr>
              <w:t>、</w:t>
            </w:r>
            <w:r>
              <w:rPr>
                <w:rFonts w:hint="eastAsia" w:ascii="Times New Roman" w:hAnsi="Times New Roman" w:cs="Times New Roman"/>
                <w:color w:val="auto"/>
                <w:sz w:val="21"/>
                <w:szCs w:val="21"/>
                <w:highlight w:val="none"/>
                <w:lang w:val="en-US" w:eastAsia="zh-CN"/>
              </w:rPr>
              <w:t>氮氧化物、甲醇</w:t>
            </w:r>
            <w:r>
              <w:rPr>
                <w:rFonts w:ascii="Times New Roman" w:hAnsi="Times New Roman" w:cs="Times New Roman"/>
                <w:color w:val="auto"/>
                <w:sz w:val="21"/>
                <w:szCs w:val="21"/>
                <w:highlight w:val="none"/>
              </w:rPr>
              <w:t>执行《大气污染物综合排放标准》（DB32/4041-2021）表</w:t>
            </w:r>
            <w:r>
              <w:rPr>
                <w:rFonts w:hint="eastAsia" w:ascii="Times New Roman" w:hAnsi="Times New Roman" w:cs="Times New Roman"/>
                <w:color w:val="auto"/>
                <w:sz w:val="21"/>
                <w:szCs w:val="21"/>
                <w:highlight w:val="none"/>
              </w:rPr>
              <w:t>3</w:t>
            </w:r>
            <w:r>
              <w:rPr>
                <w:rFonts w:ascii="Times New Roman" w:hAnsi="Times New Roman" w:cs="Times New Roman"/>
                <w:color w:val="auto"/>
                <w:sz w:val="21"/>
                <w:szCs w:val="21"/>
                <w:highlight w:val="none"/>
              </w:rPr>
              <w:t>标准限值</w:t>
            </w:r>
          </w:p>
        </w:tc>
      </w:tr>
      <w:tr w14:paraId="5BBD00B8">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184" w:hRule="atLeast"/>
        </w:trPr>
        <w:tc>
          <w:tcPr>
            <w:tcW w:w="1130" w:type="dxa"/>
            <w:vMerge w:val="continue"/>
            <w:vAlign w:val="center"/>
          </w:tcPr>
          <w:p w14:paraId="3F7CBE0C">
            <w:pPr>
              <w:keepNext w:val="0"/>
              <w:keepLines w:val="0"/>
              <w:pageBreakBefore w:val="0"/>
              <w:kinsoku/>
              <w:wordWrap/>
              <w:overflowPunct/>
              <w:topLinePunct w:val="0"/>
              <w:autoSpaceDE/>
              <w:autoSpaceDN/>
              <w:bidi w:val="0"/>
              <w:ind w:left="0" w:right="0"/>
              <w:jc w:val="center"/>
              <w:rPr>
                <w:rFonts w:ascii="Times New Roman" w:hAnsi="Times New Roman" w:cs="Times New Roman"/>
                <w:color w:val="auto"/>
                <w:sz w:val="21"/>
                <w:szCs w:val="21"/>
                <w:highlight w:val="none"/>
              </w:rPr>
            </w:pPr>
          </w:p>
        </w:tc>
        <w:tc>
          <w:tcPr>
            <w:tcW w:w="1185" w:type="dxa"/>
            <w:vMerge w:val="continue"/>
            <w:vAlign w:val="center"/>
          </w:tcPr>
          <w:p w14:paraId="29D18566">
            <w:pPr>
              <w:keepNext w:val="0"/>
              <w:keepLines w:val="0"/>
              <w:pageBreakBefore w:val="0"/>
              <w:kinsoku/>
              <w:wordWrap/>
              <w:overflowPunct/>
              <w:topLinePunct w:val="0"/>
              <w:autoSpaceDE/>
              <w:autoSpaceDN/>
              <w:bidi w:val="0"/>
              <w:ind w:left="0" w:right="0"/>
              <w:jc w:val="center"/>
              <w:rPr>
                <w:rFonts w:hint="eastAsia" w:ascii="Times New Roman" w:hAnsi="Times New Roman" w:cs="Times New Roman"/>
                <w:color w:val="auto"/>
                <w:sz w:val="21"/>
                <w:szCs w:val="21"/>
                <w:highlight w:val="none"/>
              </w:rPr>
            </w:pPr>
          </w:p>
        </w:tc>
        <w:tc>
          <w:tcPr>
            <w:tcW w:w="1349" w:type="dxa"/>
            <w:vMerge w:val="continue"/>
            <w:vAlign w:val="center"/>
          </w:tcPr>
          <w:p w14:paraId="22D47F9F">
            <w:pPr>
              <w:keepNext w:val="0"/>
              <w:keepLines w:val="0"/>
              <w:pageBreakBefore w:val="0"/>
              <w:kinsoku/>
              <w:wordWrap/>
              <w:overflowPunct/>
              <w:topLinePunct w:val="0"/>
              <w:autoSpaceDE/>
              <w:autoSpaceDN/>
              <w:bidi w:val="0"/>
              <w:ind w:left="0" w:right="0"/>
              <w:jc w:val="center"/>
              <w:rPr>
                <w:rFonts w:ascii="Times New Roman" w:hAnsi="Times New Roman" w:cs="Times New Roman"/>
                <w:color w:val="auto"/>
                <w:sz w:val="21"/>
                <w:szCs w:val="21"/>
                <w:highlight w:val="none"/>
              </w:rPr>
            </w:pPr>
          </w:p>
        </w:tc>
        <w:tc>
          <w:tcPr>
            <w:tcW w:w="1342" w:type="dxa"/>
            <w:vMerge w:val="continue"/>
            <w:vAlign w:val="center"/>
          </w:tcPr>
          <w:p w14:paraId="6C281C24">
            <w:pPr>
              <w:keepNext w:val="0"/>
              <w:keepLines w:val="0"/>
              <w:pageBreakBefore w:val="0"/>
              <w:kinsoku/>
              <w:wordWrap/>
              <w:overflowPunct/>
              <w:topLinePunct w:val="0"/>
              <w:autoSpaceDE/>
              <w:autoSpaceDN/>
              <w:bidi w:val="0"/>
              <w:ind w:left="0" w:right="0"/>
              <w:jc w:val="center"/>
              <w:rPr>
                <w:rFonts w:ascii="Times New Roman" w:hAnsi="Times New Roman" w:cs="Times New Roman"/>
                <w:color w:val="auto"/>
                <w:sz w:val="21"/>
                <w:szCs w:val="21"/>
                <w:highlight w:val="none"/>
              </w:rPr>
            </w:pPr>
          </w:p>
        </w:tc>
        <w:tc>
          <w:tcPr>
            <w:tcW w:w="1424" w:type="dxa"/>
            <w:tcBorders>
              <w:bottom w:val="single" w:color="auto" w:sz="4" w:space="0"/>
            </w:tcBorders>
            <w:vAlign w:val="center"/>
          </w:tcPr>
          <w:p w14:paraId="023BAF4A">
            <w:pPr>
              <w:keepNext w:val="0"/>
              <w:keepLines w:val="0"/>
              <w:pageBreakBefore w:val="0"/>
              <w:widowControl/>
              <w:kinsoku/>
              <w:wordWrap/>
              <w:overflowPunct/>
              <w:topLinePunct w:val="0"/>
              <w:autoSpaceDE/>
              <w:autoSpaceDN/>
              <w:bidi w:val="0"/>
              <w:adjustRightInd/>
              <w:snapToGrid/>
              <w:ind w:left="0" w:leftChars="0" w:right="0" w:rightChars="0"/>
              <w:jc w:val="center"/>
              <w:textAlignment w:val="auto"/>
              <w:rPr>
                <w:rFonts w:hint="eastAsia" w:ascii="Times New Roman" w:hAnsi="Times New Roman"/>
                <w:color w:val="auto"/>
                <w:highlight w:val="none"/>
              </w:rPr>
            </w:pPr>
            <w:r>
              <w:rPr>
                <w:rFonts w:hint="eastAsia" w:ascii="Times New Roman" w:hAnsi="Times New Roman" w:cs="Times New Roman"/>
                <w:color w:val="auto"/>
                <w:sz w:val="21"/>
                <w:szCs w:val="21"/>
                <w:highlight w:val="none"/>
                <w:lang w:val="en-US" w:eastAsia="zh-CN"/>
              </w:rPr>
              <w:t>氮氧化物</w:t>
            </w:r>
          </w:p>
        </w:tc>
        <w:tc>
          <w:tcPr>
            <w:tcW w:w="1299" w:type="dxa"/>
            <w:vMerge w:val="continue"/>
            <w:vAlign w:val="center"/>
          </w:tcPr>
          <w:p w14:paraId="5708A1CB">
            <w:pPr>
              <w:keepNext w:val="0"/>
              <w:keepLines w:val="0"/>
              <w:pageBreakBefore w:val="0"/>
              <w:kinsoku/>
              <w:wordWrap/>
              <w:overflowPunct/>
              <w:topLinePunct w:val="0"/>
              <w:autoSpaceDE/>
              <w:autoSpaceDN/>
              <w:bidi w:val="0"/>
              <w:ind w:left="0" w:right="0"/>
              <w:jc w:val="center"/>
              <w:rPr>
                <w:rFonts w:ascii="Times New Roman" w:hAnsi="Times New Roman" w:cs="Times New Roman"/>
                <w:color w:val="auto"/>
                <w:sz w:val="21"/>
                <w:szCs w:val="21"/>
                <w:highlight w:val="none"/>
              </w:rPr>
            </w:pPr>
          </w:p>
        </w:tc>
        <w:tc>
          <w:tcPr>
            <w:tcW w:w="1279" w:type="dxa"/>
            <w:tcBorders>
              <w:bottom w:val="single" w:color="auto" w:sz="4" w:space="0"/>
            </w:tcBorders>
            <w:vAlign w:val="center"/>
          </w:tcPr>
          <w:p w14:paraId="7B47A7B8">
            <w:pPr>
              <w:keepNext w:val="0"/>
              <w:keepLines w:val="0"/>
              <w:pageBreakBefore w:val="0"/>
              <w:widowControl/>
              <w:kinsoku/>
              <w:wordWrap/>
              <w:overflowPunct/>
              <w:topLinePunct w:val="0"/>
              <w:autoSpaceDE/>
              <w:autoSpaceDN/>
              <w:bidi w:val="0"/>
              <w:adjustRightInd/>
              <w:snapToGrid/>
              <w:ind w:left="0" w:leftChars="0" w:right="0" w:rightChars="0"/>
              <w:jc w:val="center"/>
              <w:textAlignment w:val="auto"/>
              <w:rPr>
                <w:rFonts w:hint="eastAsia"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lang w:val="en-US" w:eastAsia="zh-CN"/>
              </w:rPr>
              <w:t>0.00003</w:t>
            </w:r>
          </w:p>
        </w:tc>
        <w:tc>
          <w:tcPr>
            <w:tcW w:w="851" w:type="dxa"/>
            <w:vMerge w:val="continue"/>
            <w:vAlign w:val="center"/>
          </w:tcPr>
          <w:p w14:paraId="74541F5B">
            <w:pPr>
              <w:keepNext w:val="0"/>
              <w:keepLines w:val="0"/>
              <w:pageBreakBefore w:val="0"/>
              <w:kinsoku/>
              <w:wordWrap/>
              <w:overflowPunct/>
              <w:topLinePunct w:val="0"/>
              <w:autoSpaceDE/>
              <w:autoSpaceDN/>
              <w:bidi w:val="0"/>
              <w:ind w:left="0" w:right="0"/>
              <w:jc w:val="center"/>
              <w:rPr>
                <w:rFonts w:hint="eastAsia" w:ascii="Times New Roman" w:hAnsi="Times New Roman" w:cs="Times New Roman"/>
                <w:color w:val="auto"/>
                <w:sz w:val="21"/>
                <w:szCs w:val="21"/>
                <w:highlight w:val="none"/>
              </w:rPr>
            </w:pPr>
          </w:p>
        </w:tc>
        <w:tc>
          <w:tcPr>
            <w:tcW w:w="1835" w:type="dxa"/>
            <w:vMerge w:val="continue"/>
            <w:vAlign w:val="center"/>
          </w:tcPr>
          <w:p w14:paraId="7DB98E21">
            <w:pPr>
              <w:keepNext w:val="0"/>
              <w:keepLines w:val="0"/>
              <w:pageBreakBefore w:val="0"/>
              <w:kinsoku/>
              <w:wordWrap/>
              <w:overflowPunct/>
              <w:topLinePunct w:val="0"/>
              <w:autoSpaceDE/>
              <w:autoSpaceDN/>
              <w:bidi w:val="0"/>
              <w:ind w:left="0" w:right="0"/>
              <w:jc w:val="center"/>
              <w:rPr>
                <w:rFonts w:hint="eastAsia" w:ascii="Times New Roman" w:hAnsi="Times New Roman" w:cs="Times New Roman"/>
                <w:color w:val="auto"/>
                <w:sz w:val="21"/>
                <w:szCs w:val="21"/>
                <w:highlight w:val="none"/>
              </w:rPr>
            </w:pPr>
          </w:p>
        </w:tc>
        <w:tc>
          <w:tcPr>
            <w:tcW w:w="2480" w:type="dxa"/>
            <w:vMerge w:val="continue"/>
            <w:vAlign w:val="center"/>
          </w:tcPr>
          <w:p w14:paraId="3B310B2E">
            <w:pPr>
              <w:keepNext w:val="0"/>
              <w:keepLines w:val="0"/>
              <w:pageBreakBefore w:val="0"/>
              <w:kinsoku/>
              <w:wordWrap/>
              <w:overflowPunct/>
              <w:topLinePunct w:val="0"/>
              <w:autoSpaceDE/>
              <w:autoSpaceDN/>
              <w:bidi w:val="0"/>
              <w:ind w:left="0" w:right="0"/>
              <w:jc w:val="center"/>
              <w:rPr>
                <w:rFonts w:ascii="Times New Roman" w:hAnsi="Times New Roman" w:cs="Times New Roman"/>
                <w:color w:val="auto"/>
                <w:sz w:val="21"/>
                <w:szCs w:val="21"/>
                <w:highlight w:val="none"/>
              </w:rPr>
            </w:pPr>
          </w:p>
        </w:tc>
      </w:tr>
      <w:tr w14:paraId="28C2CF24">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184" w:hRule="atLeast"/>
        </w:trPr>
        <w:tc>
          <w:tcPr>
            <w:tcW w:w="1130" w:type="dxa"/>
            <w:vMerge w:val="continue"/>
            <w:vAlign w:val="center"/>
          </w:tcPr>
          <w:p w14:paraId="0F718FE9">
            <w:pPr>
              <w:keepNext w:val="0"/>
              <w:keepLines w:val="0"/>
              <w:pageBreakBefore w:val="0"/>
              <w:kinsoku/>
              <w:wordWrap/>
              <w:overflowPunct/>
              <w:topLinePunct w:val="0"/>
              <w:autoSpaceDE/>
              <w:autoSpaceDN/>
              <w:bidi w:val="0"/>
              <w:ind w:left="0" w:right="0"/>
              <w:jc w:val="center"/>
              <w:rPr>
                <w:rFonts w:ascii="Times New Roman" w:hAnsi="Times New Roman" w:cs="Times New Roman"/>
                <w:color w:val="auto"/>
                <w:sz w:val="21"/>
                <w:szCs w:val="21"/>
                <w:highlight w:val="none"/>
              </w:rPr>
            </w:pPr>
          </w:p>
        </w:tc>
        <w:tc>
          <w:tcPr>
            <w:tcW w:w="1185" w:type="dxa"/>
            <w:vMerge w:val="continue"/>
            <w:vAlign w:val="center"/>
          </w:tcPr>
          <w:p w14:paraId="28650CD9">
            <w:pPr>
              <w:keepNext w:val="0"/>
              <w:keepLines w:val="0"/>
              <w:pageBreakBefore w:val="0"/>
              <w:kinsoku/>
              <w:wordWrap/>
              <w:overflowPunct/>
              <w:topLinePunct w:val="0"/>
              <w:autoSpaceDE/>
              <w:autoSpaceDN/>
              <w:bidi w:val="0"/>
              <w:ind w:left="0" w:right="0"/>
              <w:jc w:val="center"/>
              <w:rPr>
                <w:rFonts w:hint="eastAsia" w:ascii="Times New Roman" w:hAnsi="Times New Roman" w:cs="Times New Roman"/>
                <w:color w:val="auto"/>
                <w:sz w:val="21"/>
                <w:szCs w:val="21"/>
                <w:highlight w:val="none"/>
              </w:rPr>
            </w:pPr>
          </w:p>
        </w:tc>
        <w:tc>
          <w:tcPr>
            <w:tcW w:w="1349" w:type="dxa"/>
            <w:vMerge w:val="continue"/>
            <w:vAlign w:val="center"/>
          </w:tcPr>
          <w:p w14:paraId="0C1130F2">
            <w:pPr>
              <w:keepNext w:val="0"/>
              <w:keepLines w:val="0"/>
              <w:pageBreakBefore w:val="0"/>
              <w:kinsoku/>
              <w:wordWrap/>
              <w:overflowPunct/>
              <w:topLinePunct w:val="0"/>
              <w:autoSpaceDE/>
              <w:autoSpaceDN/>
              <w:bidi w:val="0"/>
              <w:ind w:left="0" w:right="0"/>
              <w:jc w:val="center"/>
              <w:rPr>
                <w:rFonts w:ascii="Times New Roman" w:hAnsi="Times New Roman" w:cs="Times New Roman"/>
                <w:color w:val="auto"/>
                <w:sz w:val="21"/>
                <w:szCs w:val="21"/>
                <w:highlight w:val="none"/>
              </w:rPr>
            </w:pPr>
          </w:p>
        </w:tc>
        <w:tc>
          <w:tcPr>
            <w:tcW w:w="1342" w:type="dxa"/>
            <w:vMerge w:val="continue"/>
            <w:vAlign w:val="center"/>
          </w:tcPr>
          <w:p w14:paraId="4F4B425A">
            <w:pPr>
              <w:keepNext w:val="0"/>
              <w:keepLines w:val="0"/>
              <w:pageBreakBefore w:val="0"/>
              <w:kinsoku/>
              <w:wordWrap/>
              <w:overflowPunct/>
              <w:topLinePunct w:val="0"/>
              <w:autoSpaceDE/>
              <w:autoSpaceDN/>
              <w:bidi w:val="0"/>
              <w:ind w:left="0" w:right="0"/>
              <w:jc w:val="center"/>
              <w:rPr>
                <w:rFonts w:ascii="Times New Roman" w:hAnsi="Times New Roman" w:cs="Times New Roman"/>
                <w:color w:val="auto"/>
                <w:sz w:val="21"/>
                <w:szCs w:val="21"/>
                <w:highlight w:val="none"/>
              </w:rPr>
            </w:pPr>
          </w:p>
        </w:tc>
        <w:tc>
          <w:tcPr>
            <w:tcW w:w="1424" w:type="dxa"/>
            <w:tcBorders>
              <w:bottom w:val="single" w:color="auto" w:sz="4" w:space="0"/>
            </w:tcBorders>
            <w:vAlign w:val="center"/>
          </w:tcPr>
          <w:p w14:paraId="55E4DA6E">
            <w:pPr>
              <w:keepNext w:val="0"/>
              <w:keepLines w:val="0"/>
              <w:pageBreakBefore w:val="0"/>
              <w:widowControl/>
              <w:kinsoku/>
              <w:wordWrap/>
              <w:overflowPunct/>
              <w:topLinePunct w:val="0"/>
              <w:autoSpaceDE/>
              <w:autoSpaceDN/>
              <w:bidi w:val="0"/>
              <w:adjustRightInd/>
              <w:snapToGrid/>
              <w:ind w:left="0" w:leftChars="0" w:right="0" w:rightChars="0"/>
              <w:jc w:val="center"/>
              <w:textAlignment w:val="auto"/>
              <w:rPr>
                <w:rFonts w:hint="eastAsia" w:ascii="Times New Roman" w:hAnsi="Times New Roman"/>
                <w:color w:val="auto"/>
                <w:highlight w:val="none"/>
              </w:rPr>
            </w:pPr>
            <w:r>
              <w:rPr>
                <w:rFonts w:hint="eastAsia" w:ascii="Times New Roman" w:hAnsi="Times New Roman"/>
                <w:color w:val="auto"/>
                <w:sz w:val="21"/>
                <w:szCs w:val="21"/>
                <w:highlight w:val="none"/>
              </w:rPr>
              <w:t>甲醇</w:t>
            </w:r>
          </w:p>
        </w:tc>
        <w:tc>
          <w:tcPr>
            <w:tcW w:w="1299" w:type="dxa"/>
            <w:vMerge w:val="continue"/>
            <w:tcBorders>
              <w:bottom w:val="single" w:color="auto" w:sz="4" w:space="0"/>
            </w:tcBorders>
            <w:vAlign w:val="center"/>
          </w:tcPr>
          <w:p w14:paraId="63A37177">
            <w:pPr>
              <w:keepNext w:val="0"/>
              <w:keepLines w:val="0"/>
              <w:pageBreakBefore w:val="0"/>
              <w:kinsoku/>
              <w:wordWrap/>
              <w:overflowPunct/>
              <w:topLinePunct w:val="0"/>
              <w:autoSpaceDE/>
              <w:autoSpaceDN/>
              <w:bidi w:val="0"/>
              <w:ind w:left="0" w:right="0"/>
              <w:jc w:val="center"/>
              <w:rPr>
                <w:rFonts w:ascii="Times New Roman" w:hAnsi="Times New Roman" w:cs="Times New Roman"/>
                <w:color w:val="auto"/>
                <w:sz w:val="21"/>
                <w:szCs w:val="21"/>
                <w:highlight w:val="none"/>
              </w:rPr>
            </w:pPr>
          </w:p>
        </w:tc>
        <w:tc>
          <w:tcPr>
            <w:tcW w:w="1279" w:type="dxa"/>
            <w:tcBorders>
              <w:bottom w:val="single" w:color="auto" w:sz="4" w:space="0"/>
            </w:tcBorders>
            <w:vAlign w:val="center"/>
          </w:tcPr>
          <w:p w14:paraId="7EA6D9FB">
            <w:pPr>
              <w:keepNext w:val="0"/>
              <w:keepLines w:val="0"/>
              <w:pageBreakBefore w:val="0"/>
              <w:widowControl/>
              <w:kinsoku/>
              <w:wordWrap/>
              <w:overflowPunct/>
              <w:topLinePunct w:val="0"/>
              <w:autoSpaceDE/>
              <w:autoSpaceDN/>
              <w:bidi w:val="0"/>
              <w:adjustRightInd/>
              <w:snapToGrid/>
              <w:ind w:left="0" w:leftChars="0" w:right="0" w:rightChars="0"/>
              <w:jc w:val="center"/>
              <w:textAlignment w:val="auto"/>
              <w:rPr>
                <w:rFonts w:hint="eastAsia"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lang w:val="en-US" w:eastAsia="zh-CN"/>
              </w:rPr>
              <w:t>0.0008</w:t>
            </w:r>
          </w:p>
        </w:tc>
        <w:tc>
          <w:tcPr>
            <w:tcW w:w="851" w:type="dxa"/>
            <w:vMerge w:val="continue"/>
            <w:vAlign w:val="center"/>
          </w:tcPr>
          <w:p w14:paraId="3B683758">
            <w:pPr>
              <w:keepNext w:val="0"/>
              <w:keepLines w:val="0"/>
              <w:pageBreakBefore w:val="0"/>
              <w:kinsoku/>
              <w:wordWrap/>
              <w:overflowPunct/>
              <w:topLinePunct w:val="0"/>
              <w:autoSpaceDE/>
              <w:autoSpaceDN/>
              <w:bidi w:val="0"/>
              <w:ind w:left="0" w:right="0"/>
              <w:jc w:val="center"/>
              <w:rPr>
                <w:rFonts w:hint="eastAsia" w:ascii="Times New Roman" w:hAnsi="Times New Roman" w:cs="Times New Roman"/>
                <w:color w:val="auto"/>
                <w:sz w:val="21"/>
                <w:szCs w:val="21"/>
                <w:highlight w:val="none"/>
              </w:rPr>
            </w:pPr>
          </w:p>
        </w:tc>
        <w:tc>
          <w:tcPr>
            <w:tcW w:w="1835" w:type="dxa"/>
            <w:vMerge w:val="continue"/>
            <w:vAlign w:val="center"/>
          </w:tcPr>
          <w:p w14:paraId="2D8CF4CF">
            <w:pPr>
              <w:keepNext w:val="0"/>
              <w:keepLines w:val="0"/>
              <w:pageBreakBefore w:val="0"/>
              <w:kinsoku/>
              <w:wordWrap/>
              <w:overflowPunct/>
              <w:topLinePunct w:val="0"/>
              <w:autoSpaceDE/>
              <w:autoSpaceDN/>
              <w:bidi w:val="0"/>
              <w:ind w:left="0" w:right="0"/>
              <w:jc w:val="center"/>
              <w:rPr>
                <w:rFonts w:hint="eastAsia" w:ascii="Times New Roman" w:hAnsi="Times New Roman" w:cs="Times New Roman"/>
                <w:color w:val="auto"/>
                <w:sz w:val="21"/>
                <w:szCs w:val="21"/>
                <w:highlight w:val="none"/>
              </w:rPr>
            </w:pPr>
          </w:p>
        </w:tc>
        <w:tc>
          <w:tcPr>
            <w:tcW w:w="2480" w:type="dxa"/>
            <w:vMerge w:val="continue"/>
            <w:vAlign w:val="center"/>
          </w:tcPr>
          <w:p w14:paraId="3C9ABCFB">
            <w:pPr>
              <w:keepNext w:val="0"/>
              <w:keepLines w:val="0"/>
              <w:pageBreakBefore w:val="0"/>
              <w:kinsoku/>
              <w:wordWrap/>
              <w:overflowPunct/>
              <w:topLinePunct w:val="0"/>
              <w:autoSpaceDE/>
              <w:autoSpaceDN/>
              <w:bidi w:val="0"/>
              <w:ind w:left="0" w:right="0"/>
              <w:jc w:val="center"/>
              <w:rPr>
                <w:rFonts w:ascii="Times New Roman" w:hAnsi="Times New Roman" w:cs="Times New Roman"/>
                <w:color w:val="auto"/>
                <w:sz w:val="21"/>
                <w:szCs w:val="21"/>
                <w:highlight w:val="none"/>
              </w:rPr>
            </w:pPr>
          </w:p>
        </w:tc>
      </w:tr>
      <w:tr w14:paraId="0CEAD219">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340" w:hRule="atLeast"/>
        </w:trPr>
        <w:tc>
          <w:tcPr>
            <w:tcW w:w="1130" w:type="dxa"/>
            <w:vAlign w:val="center"/>
          </w:tcPr>
          <w:p w14:paraId="1D9DA892">
            <w:pPr>
              <w:keepNext w:val="0"/>
              <w:keepLines w:val="0"/>
              <w:pageBreakBefore w:val="0"/>
              <w:kinsoku/>
              <w:wordWrap/>
              <w:overflowPunct/>
              <w:topLinePunct w:val="0"/>
              <w:autoSpaceDE/>
              <w:autoSpaceDN/>
              <w:bidi w:val="0"/>
              <w:ind w:left="0" w:right="0"/>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废水</w:t>
            </w:r>
          </w:p>
        </w:tc>
        <w:tc>
          <w:tcPr>
            <w:tcW w:w="1185" w:type="dxa"/>
            <w:vAlign w:val="center"/>
          </w:tcPr>
          <w:p w14:paraId="2210C921">
            <w:pPr>
              <w:keepNext w:val="0"/>
              <w:keepLines w:val="0"/>
              <w:pageBreakBefore w:val="0"/>
              <w:kinsoku/>
              <w:wordWrap/>
              <w:overflowPunct/>
              <w:topLinePunct w:val="0"/>
              <w:autoSpaceDE/>
              <w:autoSpaceDN/>
              <w:bidi w:val="0"/>
              <w:ind w:left="0" w:right="0"/>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w:t>
            </w:r>
          </w:p>
        </w:tc>
        <w:tc>
          <w:tcPr>
            <w:tcW w:w="1349" w:type="dxa"/>
            <w:vAlign w:val="center"/>
          </w:tcPr>
          <w:p w14:paraId="1E42DDCC">
            <w:pPr>
              <w:keepNext w:val="0"/>
              <w:keepLines w:val="0"/>
              <w:pageBreakBefore w:val="0"/>
              <w:kinsoku/>
              <w:wordWrap/>
              <w:overflowPunct/>
              <w:topLinePunct w:val="0"/>
              <w:autoSpaceDE/>
              <w:autoSpaceDN/>
              <w:bidi w:val="0"/>
              <w:ind w:left="0" w:right="0"/>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w:t>
            </w:r>
          </w:p>
        </w:tc>
        <w:tc>
          <w:tcPr>
            <w:tcW w:w="1342" w:type="dxa"/>
            <w:vAlign w:val="center"/>
          </w:tcPr>
          <w:p w14:paraId="1B4F0A21">
            <w:pPr>
              <w:keepNext w:val="0"/>
              <w:keepLines w:val="0"/>
              <w:pageBreakBefore w:val="0"/>
              <w:kinsoku/>
              <w:wordWrap/>
              <w:overflowPunct/>
              <w:topLinePunct w:val="0"/>
              <w:autoSpaceDE/>
              <w:autoSpaceDN/>
              <w:bidi w:val="0"/>
              <w:ind w:left="0" w:right="0"/>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w:t>
            </w:r>
          </w:p>
        </w:tc>
        <w:tc>
          <w:tcPr>
            <w:tcW w:w="1424" w:type="dxa"/>
            <w:vAlign w:val="center"/>
          </w:tcPr>
          <w:p w14:paraId="5A8257B4">
            <w:pPr>
              <w:keepNext w:val="0"/>
              <w:keepLines w:val="0"/>
              <w:pageBreakBefore w:val="0"/>
              <w:kinsoku/>
              <w:wordWrap/>
              <w:overflowPunct/>
              <w:topLinePunct w:val="0"/>
              <w:autoSpaceDE/>
              <w:autoSpaceDN/>
              <w:bidi w:val="0"/>
              <w:ind w:left="0" w:right="0"/>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w:t>
            </w:r>
          </w:p>
        </w:tc>
        <w:tc>
          <w:tcPr>
            <w:tcW w:w="1299" w:type="dxa"/>
            <w:vAlign w:val="center"/>
          </w:tcPr>
          <w:p w14:paraId="4325555C">
            <w:pPr>
              <w:keepNext w:val="0"/>
              <w:keepLines w:val="0"/>
              <w:pageBreakBefore w:val="0"/>
              <w:kinsoku/>
              <w:wordWrap/>
              <w:overflowPunct/>
              <w:topLinePunct w:val="0"/>
              <w:autoSpaceDE/>
              <w:autoSpaceDN/>
              <w:bidi w:val="0"/>
              <w:ind w:left="0" w:right="0"/>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w:t>
            </w:r>
          </w:p>
        </w:tc>
        <w:tc>
          <w:tcPr>
            <w:tcW w:w="1279" w:type="dxa"/>
            <w:vAlign w:val="center"/>
          </w:tcPr>
          <w:p w14:paraId="028B944A">
            <w:pPr>
              <w:keepNext w:val="0"/>
              <w:keepLines w:val="0"/>
              <w:pageBreakBefore w:val="0"/>
              <w:kinsoku/>
              <w:wordWrap/>
              <w:overflowPunct/>
              <w:topLinePunct w:val="0"/>
              <w:autoSpaceDE/>
              <w:autoSpaceDN/>
              <w:bidi w:val="0"/>
              <w:ind w:left="0" w:right="0"/>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w:t>
            </w:r>
          </w:p>
        </w:tc>
        <w:tc>
          <w:tcPr>
            <w:tcW w:w="851" w:type="dxa"/>
            <w:vAlign w:val="center"/>
          </w:tcPr>
          <w:p w14:paraId="4FCC3F47">
            <w:pPr>
              <w:keepNext w:val="0"/>
              <w:keepLines w:val="0"/>
              <w:pageBreakBefore w:val="0"/>
              <w:kinsoku/>
              <w:wordWrap/>
              <w:overflowPunct/>
              <w:topLinePunct w:val="0"/>
              <w:autoSpaceDE/>
              <w:autoSpaceDN/>
              <w:bidi w:val="0"/>
              <w:ind w:left="0" w:right="0"/>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w:t>
            </w:r>
          </w:p>
        </w:tc>
        <w:tc>
          <w:tcPr>
            <w:tcW w:w="1835" w:type="dxa"/>
            <w:vAlign w:val="center"/>
          </w:tcPr>
          <w:p w14:paraId="1E0D158A">
            <w:pPr>
              <w:keepNext w:val="0"/>
              <w:keepLines w:val="0"/>
              <w:pageBreakBefore w:val="0"/>
              <w:kinsoku/>
              <w:wordWrap/>
              <w:overflowPunct/>
              <w:topLinePunct w:val="0"/>
              <w:autoSpaceDE/>
              <w:autoSpaceDN/>
              <w:bidi w:val="0"/>
              <w:ind w:left="0" w:right="0"/>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w:t>
            </w:r>
          </w:p>
        </w:tc>
        <w:tc>
          <w:tcPr>
            <w:tcW w:w="2480" w:type="dxa"/>
            <w:vAlign w:val="center"/>
          </w:tcPr>
          <w:p w14:paraId="4EB706DE">
            <w:pPr>
              <w:keepNext w:val="0"/>
              <w:keepLines w:val="0"/>
              <w:pageBreakBefore w:val="0"/>
              <w:kinsoku/>
              <w:wordWrap/>
              <w:overflowPunct/>
              <w:topLinePunct w:val="0"/>
              <w:autoSpaceDE/>
              <w:autoSpaceDN/>
              <w:bidi w:val="0"/>
              <w:ind w:left="0" w:right="0"/>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w:t>
            </w:r>
          </w:p>
        </w:tc>
      </w:tr>
    </w:tbl>
    <w:p w14:paraId="2E477D0F">
      <w:pPr>
        <w:spacing w:line="360" w:lineRule="auto"/>
        <w:ind w:left="-105" w:right="-105"/>
        <w:rPr>
          <w:rFonts w:ascii="Times New Roman" w:hAnsi="Times New Roman"/>
          <w:color w:val="auto"/>
          <w:szCs w:val="22"/>
          <w:highlight w:val="none"/>
        </w:rPr>
      </w:pPr>
    </w:p>
    <w:p w14:paraId="5E79F252">
      <w:pPr>
        <w:spacing w:line="360" w:lineRule="auto"/>
        <w:ind w:left="-105" w:right="-105" w:firstLine="480" w:firstLineChars="200"/>
        <w:rPr>
          <w:rFonts w:ascii="Times New Roman" w:hAnsi="Times New Roman"/>
          <w:color w:val="auto"/>
          <w:szCs w:val="22"/>
          <w:highlight w:val="none"/>
        </w:rPr>
        <w:sectPr>
          <w:pgSz w:w="16838" w:h="11906" w:orient="landscape"/>
          <w:pgMar w:top="1701" w:right="1440" w:bottom="1701" w:left="1440" w:header="851" w:footer="851" w:gutter="0"/>
          <w:pgBorders>
            <w:top w:val="none" w:sz="0" w:space="0"/>
            <w:left w:val="none" w:sz="0" w:space="0"/>
            <w:bottom w:val="none" w:sz="0" w:space="0"/>
            <w:right w:val="none" w:sz="0" w:space="0"/>
          </w:pgBorders>
          <w:cols w:space="720" w:num="1"/>
          <w:docGrid w:linePitch="498" w:charSpace="-2336"/>
        </w:sectPr>
      </w:pPr>
    </w:p>
    <w:p w14:paraId="34214427">
      <w:pPr>
        <w:pStyle w:val="5"/>
        <w:keepLines w:val="0"/>
        <w:numPr>
          <w:ilvl w:val="2"/>
          <w:numId w:val="0"/>
        </w:numPr>
        <w:tabs>
          <w:tab w:val="left" w:pos="567"/>
          <w:tab w:val="left" w:pos="709"/>
        </w:tabs>
        <w:spacing w:before="120" w:beforeLines="50" w:after="0" w:line="360" w:lineRule="auto"/>
        <w:ind w:right="-105"/>
        <w:rPr>
          <w:rFonts w:eastAsia="宋体"/>
          <w:color w:val="auto"/>
          <w:sz w:val="28"/>
          <w:szCs w:val="28"/>
          <w:highlight w:val="none"/>
        </w:rPr>
      </w:pPr>
      <w:bookmarkStart w:id="531" w:name="_Toc60653617"/>
      <w:r>
        <w:rPr>
          <w:rFonts w:hint="eastAsia" w:eastAsia="宋体"/>
          <w:color w:val="auto"/>
          <w:sz w:val="28"/>
          <w:szCs w:val="28"/>
          <w:highlight w:val="none"/>
        </w:rPr>
        <w:t>9.1.2</w:t>
      </w:r>
      <w:r>
        <w:rPr>
          <w:rFonts w:eastAsia="宋体"/>
          <w:color w:val="auto"/>
          <w:sz w:val="28"/>
          <w:szCs w:val="28"/>
          <w:highlight w:val="none"/>
        </w:rPr>
        <w:t>污染物总量控制</w:t>
      </w:r>
      <w:bookmarkEnd w:id="531"/>
    </w:p>
    <w:p w14:paraId="355A6D15">
      <w:pPr>
        <w:pStyle w:val="20"/>
        <w:spacing w:line="360" w:lineRule="auto"/>
        <w:ind w:left="-105" w:right="-105" w:firstLine="480" w:firstLineChars="200"/>
        <w:rPr>
          <w:color w:val="auto"/>
          <w:sz w:val="22"/>
          <w:szCs w:val="22"/>
          <w:highlight w:val="none"/>
        </w:rPr>
      </w:pPr>
      <w:r>
        <w:rPr>
          <w:rFonts w:hint="eastAsia"/>
          <w:color w:val="auto"/>
          <w:sz w:val="24"/>
          <w:szCs w:val="24"/>
          <w:highlight w:val="none"/>
        </w:rPr>
        <w:t>本项目建成后，全厂污染物</w:t>
      </w:r>
      <w:r>
        <w:rPr>
          <w:rFonts w:hint="eastAsia" w:ascii="Times New Roman" w:hAnsi="Times New Roman"/>
          <w:color w:val="auto"/>
          <w:sz w:val="24"/>
          <w:szCs w:val="24"/>
          <w:highlight w:val="none"/>
        </w:rPr>
        <w:t>“</w:t>
      </w:r>
      <w:r>
        <w:rPr>
          <w:rFonts w:hint="eastAsia"/>
          <w:color w:val="auto"/>
          <w:sz w:val="24"/>
          <w:szCs w:val="24"/>
          <w:highlight w:val="none"/>
        </w:rPr>
        <w:t>三本帐</w:t>
      </w:r>
      <w:r>
        <w:rPr>
          <w:rFonts w:hint="eastAsia" w:ascii="Times New Roman" w:hAnsi="Times New Roman"/>
          <w:color w:val="auto"/>
          <w:sz w:val="24"/>
          <w:szCs w:val="24"/>
          <w:highlight w:val="none"/>
        </w:rPr>
        <w:t>”</w:t>
      </w:r>
      <w:r>
        <w:rPr>
          <w:rFonts w:hint="eastAsia"/>
          <w:color w:val="auto"/>
          <w:sz w:val="24"/>
          <w:szCs w:val="24"/>
          <w:highlight w:val="none"/>
        </w:rPr>
        <w:t>核算情况见下表。</w:t>
      </w:r>
    </w:p>
    <w:p w14:paraId="7A898803">
      <w:pPr>
        <w:pStyle w:val="15"/>
        <w:ind w:left="-105" w:right="-105" w:firstLine="482"/>
        <w:rPr>
          <w:rFonts w:eastAsia="宋体" w:cs="Times New Roman"/>
          <w:color w:val="auto"/>
          <w:sz w:val="24"/>
          <w:szCs w:val="18"/>
          <w:highlight w:val="none"/>
        </w:rPr>
      </w:pPr>
      <w:r>
        <w:rPr>
          <w:rFonts w:eastAsia="宋体" w:cs="Times New Roman"/>
          <w:color w:val="auto"/>
          <w:sz w:val="24"/>
          <w:szCs w:val="18"/>
          <w:highlight w:val="none"/>
        </w:rPr>
        <w:t>表</w:t>
      </w:r>
      <w:r>
        <w:rPr>
          <w:rFonts w:eastAsia="宋体" w:cs="Times New Roman"/>
          <w:color w:val="auto"/>
          <w:sz w:val="24"/>
          <w:szCs w:val="18"/>
          <w:highlight w:val="none"/>
        </w:rPr>
        <w:fldChar w:fldCharType="begin"/>
      </w:r>
      <w:r>
        <w:rPr>
          <w:rFonts w:eastAsia="宋体" w:cs="Times New Roman"/>
          <w:color w:val="auto"/>
          <w:sz w:val="24"/>
          <w:szCs w:val="18"/>
          <w:highlight w:val="none"/>
        </w:rPr>
        <w:instrText xml:space="preserve"> STYLEREF 2 \s </w:instrText>
      </w:r>
      <w:r>
        <w:rPr>
          <w:rFonts w:eastAsia="宋体" w:cs="Times New Roman"/>
          <w:color w:val="auto"/>
          <w:sz w:val="24"/>
          <w:szCs w:val="18"/>
          <w:highlight w:val="none"/>
        </w:rPr>
        <w:fldChar w:fldCharType="separate"/>
      </w:r>
      <w:r>
        <w:rPr>
          <w:rFonts w:eastAsia="宋体" w:cs="Times New Roman"/>
          <w:color w:val="auto"/>
          <w:sz w:val="24"/>
          <w:szCs w:val="18"/>
          <w:highlight w:val="none"/>
        </w:rPr>
        <w:t>9.1</w:t>
      </w:r>
      <w:r>
        <w:rPr>
          <w:rFonts w:eastAsia="宋体" w:cs="Times New Roman"/>
          <w:color w:val="auto"/>
          <w:sz w:val="24"/>
          <w:szCs w:val="18"/>
          <w:highlight w:val="none"/>
        </w:rPr>
        <w:fldChar w:fldCharType="end"/>
      </w:r>
      <w:r>
        <w:rPr>
          <w:rFonts w:eastAsia="宋体" w:cs="Times New Roman"/>
          <w:color w:val="auto"/>
          <w:sz w:val="24"/>
          <w:szCs w:val="18"/>
          <w:highlight w:val="none"/>
        </w:rPr>
        <w:noBreakHyphen/>
      </w:r>
      <w:r>
        <w:rPr>
          <w:rFonts w:eastAsia="宋体" w:cs="Times New Roman"/>
          <w:color w:val="auto"/>
          <w:sz w:val="24"/>
          <w:szCs w:val="18"/>
          <w:highlight w:val="none"/>
        </w:rPr>
        <w:fldChar w:fldCharType="begin"/>
      </w:r>
      <w:r>
        <w:rPr>
          <w:rFonts w:eastAsia="宋体" w:cs="Times New Roman"/>
          <w:color w:val="auto"/>
          <w:sz w:val="24"/>
          <w:szCs w:val="18"/>
          <w:highlight w:val="none"/>
        </w:rPr>
        <w:instrText xml:space="preserve"> SEQ 表 \* ARABIC \s 2 </w:instrText>
      </w:r>
      <w:r>
        <w:rPr>
          <w:rFonts w:eastAsia="宋体" w:cs="Times New Roman"/>
          <w:color w:val="auto"/>
          <w:sz w:val="24"/>
          <w:szCs w:val="18"/>
          <w:highlight w:val="none"/>
        </w:rPr>
        <w:fldChar w:fldCharType="separate"/>
      </w:r>
      <w:r>
        <w:rPr>
          <w:rFonts w:eastAsia="宋体" w:cs="Times New Roman"/>
          <w:color w:val="auto"/>
          <w:sz w:val="24"/>
          <w:szCs w:val="18"/>
          <w:highlight w:val="none"/>
        </w:rPr>
        <w:t>2</w:t>
      </w:r>
      <w:r>
        <w:rPr>
          <w:rFonts w:eastAsia="宋体" w:cs="Times New Roman"/>
          <w:color w:val="auto"/>
          <w:sz w:val="24"/>
          <w:szCs w:val="18"/>
          <w:highlight w:val="none"/>
        </w:rPr>
        <w:fldChar w:fldCharType="end"/>
      </w:r>
      <w:r>
        <w:rPr>
          <w:rFonts w:eastAsia="宋体" w:cs="Times New Roman"/>
          <w:color w:val="auto"/>
          <w:sz w:val="24"/>
          <w:szCs w:val="18"/>
          <w:highlight w:val="none"/>
        </w:rPr>
        <w:t>污染物排放量汇总</w:t>
      </w:r>
      <w:r>
        <w:rPr>
          <w:rFonts w:eastAsia="宋体" w:cs="Times New Roman"/>
          <w:color w:val="auto"/>
          <w:sz w:val="24"/>
          <w:szCs w:val="18"/>
          <w:highlight w:val="none"/>
        </w:rPr>
        <w:tab/>
      </w:r>
      <w:r>
        <w:rPr>
          <w:rFonts w:eastAsia="宋体" w:cs="Times New Roman"/>
          <w:color w:val="auto"/>
          <w:sz w:val="24"/>
          <w:szCs w:val="18"/>
          <w:highlight w:val="none"/>
        </w:rPr>
        <w:t>单位：t/a</w:t>
      </w:r>
    </w:p>
    <w:tbl>
      <w:tblPr>
        <w:tblStyle w:val="45"/>
        <w:tblW w:w="13699" w:type="dxa"/>
        <w:jc w:val="center"/>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Layout w:type="fixed"/>
        <w:tblCellMar>
          <w:top w:w="0" w:type="dxa"/>
          <w:left w:w="0" w:type="dxa"/>
          <w:bottom w:w="0" w:type="dxa"/>
          <w:right w:w="0" w:type="dxa"/>
        </w:tblCellMar>
      </w:tblPr>
      <w:tblGrid>
        <w:gridCol w:w="732"/>
        <w:gridCol w:w="1111"/>
        <w:gridCol w:w="1417"/>
        <w:gridCol w:w="1418"/>
        <w:gridCol w:w="1181"/>
        <w:gridCol w:w="1181"/>
        <w:gridCol w:w="1182"/>
        <w:gridCol w:w="1559"/>
        <w:gridCol w:w="1559"/>
        <w:gridCol w:w="1098"/>
        <w:gridCol w:w="1261"/>
      </w:tblGrid>
      <w:tr w14:paraId="79F19A9D">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CellMar>
            <w:top w:w="0" w:type="dxa"/>
            <w:left w:w="0" w:type="dxa"/>
            <w:bottom w:w="0" w:type="dxa"/>
            <w:right w:w="0" w:type="dxa"/>
          </w:tblCellMar>
        </w:tblPrEx>
        <w:trPr>
          <w:cantSplit/>
          <w:trHeight w:val="273" w:hRule="atLeast"/>
          <w:jc w:val="center"/>
        </w:trPr>
        <w:tc>
          <w:tcPr>
            <w:tcW w:w="1843" w:type="dxa"/>
            <w:gridSpan w:val="2"/>
            <w:vMerge w:val="restart"/>
            <w:vAlign w:val="center"/>
          </w:tcPr>
          <w:p w14:paraId="31A14FC2">
            <w:pPr>
              <w:pStyle w:val="118"/>
              <w:keepNext w:val="0"/>
              <w:keepLines w:val="0"/>
              <w:pageBreakBefore w:val="0"/>
              <w:kinsoku/>
              <w:wordWrap/>
              <w:overflowPunct/>
              <w:topLinePunct w:val="0"/>
              <w:autoSpaceDE/>
              <w:autoSpaceDN/>
              <w:bidi w:val="0"/>
              <w:adjustRightInd/>
              <w:snapToGrid/>
              <w:ind w:left="0" w:right="0"/>
              <w:rPr>
                <w:rFonts w:ascii="Times New Roman" w:hAnsi="Times New Roman" w:eastAsia="宋体"/>
                <w:b/>
                <w:bCs/>
                <w:color w:val="auto"/>
                <w:sz w:val="21"/>
                <w:szCs w:val="21"/>
                <w:highlight w:val="none"/>
              </w:rPr>
            </w:pPr>
            <w:r>
              <w:rPr>
                <w:rFonts w:ascii="Times New Roman" w:hAnsi="Times New Roman" w:eastAsia="宋体"/>
                <w:b/>
                <w:bCs/>
                <w:color w:val="auto"/>
                <w:sz w:val="21"/>
                <w:szCs w:val="21"/>
                <w:highlight w:val="none"/>
              </w:rPr>
              <w:t>污染物名称</w:t>
            </w:r>
          </w:p>
        </w:tc>
        <w:tc>
          <w:tcPr>
            <w:tcW w:w="1417" w:type="dxa"/>
            <w:vMerge w:val="restart"/>
            <w:vAlign w:val="center"/>
          </w:tcPr>
          <w:p w14:paraId="3E673AD7">
            <w:pPr>
              <w:pStyle w:val="118"/>
              <w:keepNext w:val="0"/>
              <w:keepLines w:val="0"/>
              <w:pageBreakBefore w:val="0"/>
              <w:kinsoku/>
              <w:wordWrap/>
              <w:overflowPunct/>
              <w:topLinePunct w:val="0"/>
              <w:autoSpaceDE/>
              <w:autoSpaceDN/>
              <w:bidi w:val="0"/>
              <w:adjustRightInd/>
              <w:snapToGrid/>
              <w:ind w:left="0" w:right="0"/>
              <w:rPr>
                <w:rFonts w:ascii="Times New Roman" w:hAnsi="Times New Roman" w:eastAsia="宋体"/>
                <w:b/>
                <w:bCs/>
                <w:color w:val="auto"/>
                <w:sz w:val="21"/>
                <w:szCs w:val="21"/>
                <w:highlight w:val="none"/>
              </w:rPr>
            </w:pPr>
            <w:r>
              <w:rPr>
                <w:rFonts w:hint="eastAsia" w:ascii="Times New Roman" w:hAnsi="Times New Roman" w:eastAsia="宋体"/>
                <w:b/>
                <w:bCs/>
                <w:color w:val="auto"/>
                <w:sz w:val="21"/>
                <w:szCs w:val="21"/>
                <w:highlight w:val="none"/>
              </w:rPr>
              <w:t>环评批复量</w:t>
            </w:r>
            <w:r>
              <w:rPr>
                <w:rFonts w:ascii="Times New Roman" w:hAnsi="Times New Roman" w:eastAsia="宋体"/>
                <w:b/>
                <w:bCs/>
                <w:color w:val="auto"/>
                <w:sz w:val="21"/>
                <w:szCs w:val="21"/>
                <w:highlight w:val="none"/>
              </w:rPr>
              <w:t>量</w:t>
            </w:r>
          </w:p>
        </w:tc>
        <w:tc>
          <w:tcPr>
            <w:tcW w:w="1418" w:type="dxa"/>
            <w:vMerge w:val="restart"/>
            <w:vAlign w:val="center"/>
          </w:tcPr>
          <w:p w14:paraId="04C6A64B">
            <w:pPr>
              <w:pStyle w:val="118"/>
              <w:keepNext w:val="0"/>
              <w:keepLines w:val="0"/>
              <w:pageBreakBefore w:val="0"/>
              <w:kinsoku/>
              <w:wordWrap/>
              <w:overflowPunct/>
              <w:topLinePunct w:val="0"/>
              <w:autoSpaceDE/>
              <w:autoSpaceDN/>
              <w:bidi w:val="0"/>
              <w:adjustRightInd/>
              <w:snapToGrid/>
              <w:ind w:left="0" w:right="0"/>
              <w:rPr>
                <w:rFonts w:ascii="Times New Roman" w:hAnsi="Times New Roman" w:eastAsia="宋体"/>
                <w:b/>
                <w:bCs/>
                <w:color w:val="auto"/>
                <w:sz w:val="21"/>
                <w:szCs w:val="21"/>
                <w:highlight w:val="none"/>
              </w:rPr>
            </w:pPr>
            <w:r>
              <w:rPr>
                <w:rFonts w:hint="eastAsia" w:ascii="Times New Roman" w:hAnsi="Times New Roman" w:eastAsia="宋体"/>
                <w:b/>
                <w:bCs/>
                <w:color w:val="auto"/>
                <w:sz w:val="21"/>
                <w:szCs w:val="21"/>
                <w:highlight w:val="none"/>
              </w:rPr>
              <w:t>现有项目排放量*</w:t>
            </w:r>
          </w:p>
        </w:tc>
        <w:tc>
          <w:tcPr>
            <w:tcW w:w="3544" w:type="dxa"/>
            <w:gridSpan w:val="3"/>
            <w:vAlign w:val="center"/>
          </w:tcPr>
          <w:p w14:paraId="5977C006">
            <w:pPr>
              <w:pStyle w:val="118"/>
              <w:keepNext w:val="0"/>
              <w:keepLines w:val="0"/>
              <w:pageBreakBefore w:val="0"/>
              <w:kinsoku/>
              <w:wordWrap/>
              <w:overflowPunct/>
              <w:topLinePunct w:val="0"/>
              <w:autoSpaceDE/>
              <w:autoSpaceDN/>
              <w:bidi w:val="0"/>
              <w:adjustRightInd/>
              <w:snapToGrid/>
              <w:ind w:left="0" w:right="0"/>
              <w:rPr>
                <w:rFonts w:ascii="Times New Roman" w:hAnsi="Times New Roman" w:eastAsia="宋体"/>
                <w:b/>
                <w:bCs/>
                <w:color w:val="auto"/>
                <w:sz w:val="21"/>
                <w:szCs w:val="21"/>
                <w:highlight w:val="none"/>
              </w:rPr>
            </w:pPr>
            <w:r>
              <w:rPr>
                <w:rFonts w:hint="eastAsia" w:ascii="Times New Roman" w:hAnsi="Times New Roman" w:eastAsia="宋体"/>
                <w:b/>
                <w:bCs/>
                <w:color w:val="auto"/>
                <w:sz w:val="21"/>
                <w:szCs w:val="21"/>
                <w:highlight w:val="none"/>
              </w:rPr>
              <w:t>扩</w:t>
            </w:r>
            <w:r>
              <w:rPr>
                <w:rFonts w:ascii="Times New Roman" w:hAnsi="Times New Roman" w:eastAsia="宋体"/>
                <w:b/>
                <w:bCs/>
                <w:color w:val="auto"/>
                <w:sz w:val="21"/>
                <w:szCs w:val="21"/>
                <w:highlight w:val="none"/>
              </w:rPr>
              <w:t>建项目</w:t>
            </w:r>
          </w:p>
        </w:tc>
        <w:tc>
          <w:tcPr>
            <w:tcW w:w="1559" w:type="dxa"/>
            <w:vMerge w:val="restart"/>
            <w:vAlign w:val="center"/>
          </w:tcPr>
          <w:p w14:paraId="015AC08B">
            <w:pPr>
              <w:pStyle w:val="118"/>
              <w:keepNext w:val="0"/>
              <w:keepLines w:val="0"/>
              <w:pageBreakBefore w:val="0"/>
              <w:kinsoku/>
              <w:wordWrap/>
              <w:overflowPunct/>
              <w:topLinePunct w:val="0"/>
              <w:autoSpaceDE/>
              <w:autoSpaceDN/>
              <w:bidi w:val="0"/>
              <w:adjustRightInd/>
              <w:snapToGrid/>
              <w:ind w:left="0" w:right="0"/>
              <w:rPr>
                <w:rFonts w:ascii="Times New Roman" w:hAnsi="Times New Roman" w:eastAsia="宋体"/>
                <w:b/>
                <w:bCs/>
                <w:color w:val="auto"/>
                <w:sz w:val="21"/>
                <w:szCs w:val="21"/>
                <w:highlight w:val="none"/>
              </w:rPr>
            </w:pPr>
            <w:r>
              <w:rPr>
                <w:rFonts w:ascii="Times New Roman" w:hAnsi="Times New Roman" w:eastAsia="宋体"/>
                <w:b/>
                <w:bCs/>
                <w:color w:val="auto"/>
                <w:sz w:val="21"/>
                <w:szCs w:val="21"/>
                <w:highlight w:val="none"/>
              </w:rPr>
              <w:t>以新带老削减量</w:t>
            </w:r>
          </w:p>
        </w:tc>
        <w:tc>
          <w:tcPr>
            <w:tcW w:w="1559" w:type="dxa"/>
            <w:vMerge w:val="restart"/>
            <w:vAlign w:val="center"/>
          </w:tcPr>
          <w:p w14:paraId="47DD46DF">
            <w:pPr>
              <w:pStyle w:val="118"/>
              <w:keepNext w:val="0"/>
              <w:keepLines w:val="0"/>
              <w:pageBreakBefore w:val="0"/>
              <w:kinsoku/>
              <w:wordWrap/>
              <w:overflowPunct/>
              <w:topLinePunct w:val="0"/>
              <w:autoSpaceDE/>
              <w:autoSpaceDN/>
              <w:bidi w:val="0"/>
              <w:adjustRightInd/>
              <w:snapToGrid/>
              <w:ind w:left="0" w:right="0"/>
              <w:rPr>
                <w:rFonts w:ascii="Times New Roman" w:hAnsi="Times New Roman" w:eastAsia="宋体"/>
                <w:b/>
                <w:bCs/>
                <w:color w:val="auto"/>
                <w:sz w:val="21"/>
                <w:szCs w:val="21"/>
                <w:highlight w:val="none"/>
              </w:rPr>
            </w:pPr>
            <w:r>
              <w:rPr>
                <w:rFonts w:ascii="Times New Roman" w:hAnsi="Times New Roman" w:eastAsia="宋体"/>
                <w:b/>
                <w:bCs/>
                <w:color w:val="auto"/>
                <w:sz w:val="21"/>
                <w:szCs w:val="21"/>
                <w:highlight w:val="none"/>
              </w:rPr>
              <w:t>全厂排放量</w:t>
            </w:r>
          </w:p>
        </w:tc>
        <w:tc>
          <w:tcPr>
            <w:tcW w:w="1098" w:type="dxa"/>
            <w:vMerge w:val="restart"/>
            <w:vAlign w:val="center"/>
          </w:tcPr>
          <w:p w14:paraId="75175083">
            <w:pPr>
              <w:pStyle w:val="118"/>
              <w:keepNext w:val="0"/>
              <w:keepLines w:val="0"/>
              <w:pageBreakBefore w:val="0"/>
              <w:kinsoku/>
              <w:wordWrap/>
              <w:overflowPunct/>
              <w:topLinePunct w:val="0"/>
              <w:autoSpaceDE/>
              <w:autoSpaceDN/>
              <w:bidi w:val="0"/>
              <w:adjustRightInd/>
              <w:snapToGrid/>
              <w:ind w:left="0" w:right="0"/>
              <w:rPr>
                <w:rFonts w:ascii="Times New Roman" w:hAnsi="Times New Roman" w:eastAsia="宋体"/>
                <w:b/>
                <w:bCs/>
                <w:color w:val="auto"/>
                <w:sz w:val="21"/>
                <w:szCs w:val="21"/>
                <w:highlight w:val="none"/>
              </w:rPr>
            </w:pPr>
            <w:r>
              <w:rPr>
                <w:rFonts w:ascii="Times New Roman" w:hAnsi="Times New Roman" w:eastAsia="宋体"/>
                <w:b/>
                <w:bCs/>
                <w:color w:val="auto"/>
                <w:sz w:val="21"/>
                <w:szCs w:val="21"/>
                <w:highlight w:val="none"/>
              </w:rPr>
              <w:t>排放增减量</w:t>
            </w:r>
          </w:p>
        </w:tc>
        <w:tc>
          <w:tcPr>
            <w:tcW w:w="1261" w:type="dxa"/>
            <w:vMerge w:val="restart"/>
            <w:vAlign w:val="center"/>
          </w:tcPr>
          <w:p w14:paraId="212F8DEC">
            <w:pPr>
              <w:pStyle w:val="118"/>
              <w:keepNext w:val="0"/>
              <w:keepLines w:val="0"/>
              <w:pageBreakBefore w:val="0"/>
              <w:kinsoku/>
              <w:wordWrap/>
              <w:overflowPunct/>
              <w:topLinePunct w:val="0"/>
              <w:autoSpaceDE/>
              <w:autoSpaceDN/>
              <w:bidi w:val="0"/>
              <w:adjustRightInd/>
              <w:snapToGrid/>
              <w:ind w:left="0" w:right="0"/>
              <w:rPr>
                <w:rFonts w:ascii="Times New Roman" w:hAnsi="Times New Roman" w:eastAsia="宋体"/>
                <w:b/>
                <w:bCs/>
                <w:color w:val="auto"/>
                <w:sz w:val="21"/>
                <w:szCs w:val="21"/>
                <w:highlight w:val="none"/>
              </w:rPr>
            </w:pPr>
            <w:r>
              <w:rPr>
                <w:rFonts w:ascii="Times New Roman" w:hAnsi="Times New Roman" w:eastAsia="宋体"/>
                <w:b/>
                <w:bCs/>
                <w:color w:val="auto"/>
                <w:sz w:val="21"/>
                <w:szCs w:val="21"/>
                <w:highlight w:val="none"/>
              </w:rPr>
              <w:t>排放去向</w:t>
            </w:r>
          </w:p>
        </w:tc>
      </w:tr>
      <w:tr w14:paraId="0BB31296">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CellMar>
            <w:top w:w="0" w:type="dxa"/>
            <w:left w:w="0" w:type="dxa"/>
            <w:bottom w:w="0" w:type="dxa"/>
            <w:right w:w="0" w:type="dxa"/>
          </w:tblCellMar>
        </w:tblPrEx>
        <w:trPr>
          <w:cantSplit/>
          <w:trHeight w:val="377" w:hRule="atLeast"/>
          <w:jc w:val="center"/>
        </w:trPr>
        <w:tc>
          <w:tcPr>
            <w:tcW w:w="1843" w:type="dxa"/>
            <w:gridSpan w:val="2"/>
            <w:vMerge w:val="continue"/>
            <w:vAlign w:val="center"/>
          </w:tcPr>
          <w:p w14:paraId="0389FD64">
            <w:pPr>
              <w:keepNext w:val="0"/>
              <w:keepLines w:val="0"/>
              <w:pageBreakBefore w:val="0"/>
              <w:kinsoku/>
              <w:wordWrap/>
              <w:overflowPunct/>
              <w:topLinePunct w:val="0"/>
              <w:autoSpaceDE/>
              <w:autoSpaceDN/>
              <w:bidi w:val="0"/>
              <w:adjustRightInd/>
              <w:snapToGrid/>
              <w:ind w:left="0" w:right="0"/>
              <w:jc w:val="center"/>
              <w:rPr>
                <w:rFonts w:ascii="Times New Roman" w:hAnsi="Times New Roman" w:cs="Times New Roman"/>
                <w:b/>
                <w:bCs/>
                <w:color w:val="auto"/>
                <w:kern w:val="44"/>
                <w:sz w:val="21"/>
                <w:szCs w:val="21"/>
                <w:highlight w:val="none"/>
              </w:rPr>
            </w:pPr>
          </w:p>
        </w:tc>
        <w:tc>
          <w:tcPr>
            <w:tcW w:w="1417" w:type="dxa"/>
            <w:vMerge w:val="continue"/>
            <w:vAlign w:val="center"/>
          </w:tcPr>
          <w:p w14:paraId="130622EE">
            <w:pPr>
              <w:pStyle w:val="118"/>
              <w:keepNext w:val="0"/>
              <w:keepLines w:val="0"/>
              <w:pageBreakBefore w:val="0"/>
              <w:kinsoku/>
              <w:wordWrap/>
              <w:overflowPunct/>
              <w:topLinePunct w:val="0"/>
              <w:autoSpaceDE/>
              <w:autoSpaceDN/>
              <w:bidi w:val="0"/>
              <w:adjustRightInd/>
              <w:snapToGrid/>
              <w:ind w:left="0" w:right="0"/>
              <w:rPr>
                <w:rFonts w:ascii="Times New Roman" w:hAnsi="Times New Roman"/>
                <w:b/>
                <w:bCs/>
                <w:color w:val="auto"/>
                <w:sz w:val="21"/>
                <w:szCs w:val="21"/>
                <w:highlight w:val="none"/>
              </w:rPr>
            </w:pPr>
          </w:p>
        </w:tc>
        <w:tc>
          <w:tcPr>
            <w:tcW w:w="1418" w:type="dxa"/>
            <w:vMerge w:val="continue"/>
            <w:vAlign w:val="center"/>
          </w:tcPr>
          <w:p w14:paraId="25824410">
            <w:pPr>
              <w:pStyle w:val="118"/>
              <w:keepNext w:val="0"/>
              <w:keepLines w:val="0"/>
              <w:pageBreakBefore w:val="0"/>
              <w:kinsoku/>
              <w:wordWrap/>
              <w:overflowPunct/>
              <w:topLinePunct w:val="0"/>
              <w:autoSpaceDE/>
              <w:autoSpaceDN/>
              <w:bidi w:val="0"/>
              <w:adjustRightInd/>
              <w:snapToGrid/>
              <w:ind w:left="0" w:right="0"/>
              <w:rPr>
                <w:rFonts w:ascii="Times New Roman" w:hAnsi="Times New Roman"/>
                <w:b/>
                <w:bCs/>
                <w:color w:val="auto"/>
                <w:sz w:val="21"/>
                <w:szCs w:val="21"/>
                <w:highlight w:val="none"/>
              </w:rPr>
            </w:pPr>
          </w:p>
        </w:tc>
        <w:tc>
          <w:tcPr>
            <w:tcW w:w="1181" w:type="dxa"/>
            <w:vAlign w:val="center"/>
          </w:tcPr>
          <w:p w14:paraId="656510AA">
            <w:pPr>
              <w:pStyle w:val="118"/>
              <w:keepNext w:val="0"/>
              <w:keepLines w:val="0"/>
              <w:pageBreakBefore w:val="0"/>
              <w:kinsoku/>
              <w:wordWrap/>
              <w:overflowPunct/>
              <w:topLinePunct w:val="0"/>
              <w:autoSpaceDE/>
              <w:autoSpaceDN/>
              <w:bidi w:val="0"/>
              <w:adjustRightInd/>
              <w:snapToGrid/>
              <w:ind w:left="0" w:right="0"/>
              <w:rPr>
                <w:rFonts w:ascii="Times New Roman" w:hAnsi="Times New Roman" w:eastAsia="宋体"/>
                <w:b/>
                <w:bCs/>
                <w:color w:val="auto"/>
                <w:sz w:val="21"/>
                <w:szCs w:val="21"/>
                <w:highlight w:val="none"/>
              </w:rPr>
            </w:pPr>
            <w:r>
              <w:rPr>
                <w:rFonts w:ascii="Times New Roman" w:hAnsi="Times New Roman" w:eastAsia="宋体"/>
                <w:b/>
                <w:bCs/>
                <w:color w:val="auto"/>
                <w:sz w:val="21"/>
                <w:szCs w:val="21"/>
                <w:highlight w:val="none"/>
              </w:rPr>
              <w:t>产生量</w:t>
            </w:r>
          </w:p>
        </w:tc>
        <w:tc>
          <w:tcPr>
            <w:tcW w:w="1181" w:type="dxa"/>
            <w:vAlign w:val="center"/>
          </w:tcPr>
          <w:p w14:paraId="673660EC">
            <w:pPr>
              <w:pStyle w:val="118"/>
              <w:keepNext w:val="0"/>
              <w:keepLines w:val="0"/>
              <w:pageBreakBefore w:val="0"/>
              <w:kinsoku/>
              <w:wordWrap/>
              <w:overflowPunct/>
              <w:topLinePunct w:val="0"/>
              <w:autoSpaceDE/>
              <w:autoSpaceDN/>
              <w:bidi w:val="0"/>
              <w:adjustRightInd/>
              <w:snapToGrid/>
              <w:ind w:left="0" w:right="0"/>
              <w:rPr>
                <w:rFonts w:ascii="Times New Roman" w:hAnsi="Times New Roman" w:eastAsia="宋体"/>
                <w:b/>
                <w:bCs/>
                <w:color w:val="auto"/>
                <w:sz w:val="21"/>
                <w:szCs w:val="21"/>
                <w:highlight w:val="none"/>
              </w:rPr>
            </w:pPr>
            <w:r>
              <w:rPr>
                <w:rFonts w:ascii="Times New Roman" w:hAnsi="Times New Roman" w:eastAsia="宋体"/>
                <w:b/>
                <w:bCs/>
                <w:color w:val="auto"/>
                <w:sz w:val="21"/>
                <w:szCs w:val="21"/>
                <w:highlight w:val="none"/>
              </w:rPr>
              <w:t>削减量</w:t>
            </w:r>
          </w:p>
        </w:tc>
        <w:tc>
          <w:tcPr>
            <w:tcW w:w="1182" w:type="dxa"/>
            <w:vAlign w:val="center"/>
          </w:tcPr>
          <w:p w14:paraId="028C4DEC">
            <w:pPr>
              <w:pStyle w:val="118"/>
              <w:keepNext w:val="0"/>
              <w:keepLines w:val="0"/>
              <w:pageBreakBefore w:val="0"/>
              <w:kinsoku/>
              <w:wordWrap/>
              <w:overflowPunct/>
              <w:topLinePunct w:val="0"/>
              <w:autoSpaceDE/>
              <w:autoSpaceDN/>
              <w:bidi w:val="0"/>
              <w:adjustRightInd/>
              <w:snapToGrid/>
              <w:ind w:left="0" w:right="0"/>
              <w:rPr>
                <w:rFonts w:ascii="Times New Roman" w:hAnsi="Times New Roman" w:eastAsia="宋体"/>
                <w:b/>
                <w:bCs/>
                <w:color w:val="auto"/>
                <w:sz w:val="21"/>
                <w:szCs w:val="21"/>
                <w:highlight w:val="none"/>
              </w:rPr>
            </w:pPr>
            <w:r>
              <w:rPr>
                <w:rFonts w:ascii="Times New Roman" w:hAnsi="Times New Roman" w:eastAsia="宋体"/>
                <w:b/>
                <w:bCs/>
                <w:color w:val="auto"/>
                <w:sz w:val="21"/>
                <w:szCs w:val="21"/>
                <w:highlight w:val="none"/>
              </w:rPr>
              <w:t>排放量</w:t>
            </w:r>
          </w:p>
        </w:tc>
        <w:tc>
          <w:tcPr>
            <w:tcW w:w="1559" w:type="dxa"/>
            <w:vMerge w:val="continue"/>
            <w:vAlign w:val="center"/>
          </w:tcPr>
          <w:p w14:paraId="5BA10CD7">
            <w:pPr>
              <w:keepNext w:val="0"/>
              <w:keepLines w:val="0"/>
              <w:pageBreakBefore w:val="0"/>
              <w:kinsoku/>
              <w:wordWrap/>
              <w:overflowPunct/>
              <w:topLinePunct w:val="0"/>
              <w:autoSpaceDE/>
              <w:autoSpaceDN/>
              <w:bidi w:val="0"/>
              <w:adjustRightInd/>
              <w:snapToGrid/>
              <w:ind w:left="0" w:right="0"/>
              <w:jc w:val="center"/>
              <w:rPr>
                <w:rFonts w:ascii="Times New Roman" w:hAnsi="Times New Roman" w:cs="Times New Roman"/>
                <w:b/>
                <w:bCs/>
                <w:color w:val="auto"/>
                <w:kern w:val="44"/>
                <w:sz w:val="21"/>
                <w:szCs w:val="21"/>
                <w:highlight w:val="none"/>
              </w:rPr>
            </w:pPr>
          </w:p>
        </w:tc>
        <w:tc>
          <w:tcPr>
            <w:tcW w:w="1559" w:type="dxa"/>
            <w:vMerge w:val="continue"/>
            <w:vAlign w:val="center"/>
          </w:tcPr>
          <w:p w14:paraId="50FD2C2F">
            <w:pPr>
              <w:keepNext w:val="0"/>
              <w:keepLines w:val="0"/>
              <w:pageBreakBefore w:val="0"/>
              <w:kinsoku/>
              <w:wordWrap/>
              <w:overflowPunct/>
              <w:topLinePunct w:val="0"/>
              <w:autoSpaceDE/>
              <w:autoSpaceDN/>
              <w:bidi w:val="0"/>
              <w:adjustRightInd/>
              <w:snapToGrid/>
              <w:ind w:left="0" w:right="0"/>
              <w:jc w:val="center"/>
              <w:rPr>
                <w:rFonts w:ascii="Times New Roman" w:hAnsi="Times New Roman" w:cs="Times New Roman"/>
                <w:b/>
                <w:bCs/>
                <w:color w:val="auto"/>
                <w:kern w:val="44"/>
                <w:sz w:val="21"/>
                <w:szCs w:val="21"/>
                <w:highlight w:val="none"/>
              </w:rPr>
            </w:pPr>
          </w:p>
        </w:tc>
        <w:tc>
          <w:tcPr>
            <w:tcW w:w="1098" w:type="dxa"/>
            <w:vMerge w:val="continue"/>
            <w:vAlign w:val="center"/>
          </w:tcPr>
          <w:p w14:paraId="2B6B0B4C">
            <w:pPr>
              <w:keepNext w:val="0"/>
              <w:keepLines w:val="0"/>
              <w:pageBreakBefore w:val="0"/>
              <w:kinsoku/>
              <w:wordWrap/>
              <w:overflowPunct/>
              <w:topLinePunct w:val="0"/>
              <w:autoSpaceDE/>
              <w:autoSpaceDN/>
              <w:bidi w:val="0"/>
              <w:adjustRightInd/>
              <w:snapToGrid/>
              <w:ind w:left="0" w:right="0"/>
              <w:jc w:val="center"/>
              <w:rPr>
                <w:rFonts w:ascii="Times New Roman" w:hAnsi="Times New Roman" w:cs="Times New Roman"/>
                <w:b/>
                <w:bCs/>
                <w:color w:val="auto"/>
                <w:kern w:val="44"/>
                <w:sz w:val="21"/>
                <w:szCs w:val="21"/>
                <w:highlight w:val="none"/>
              </w:rPr>
            </w:pPr>
          </w:p>
        </w:tc>
        <w:tc>
          <w:tcPr>
            <w:tcW w:w="1261" w:type="dxa"/>
            <w:vMerge w:val="continue"/>
            <w:vAlign w:val="center"/>
          </w:tcPr>
          <w:p w14:paraId="1DD1C8D1">
            <w:pPr>
              <w:keepNext w:val="0"/>
              <w:keepLines w:val="0"/>
              <w:pageBreakBefore w:val="0"/>
              <w:kinsoku/>
              <w:wordWrap/>
              <w:overflowPunct/>
              <w:topLinePunct w:val="0"/>
              <w:autoSpaceDE/>
              <w:autoSpaceDN/>
              <w:bidi w:val="0"/>
              <w:adjustRightInd/>
              <w:snapToGrid/>
              <w:ind w:left="0" w:right="0"/>
              <w:jc w:val="center"/>
              <w:rPr>
                <w:rFonts w:ascii="Times New Roman" w:hAnsi="Times New Roman" w:cs="Times New Roman"/>
                <w:b/>
                <w:bCs/>
                <w:color w:val="auto"/>
                <w:kern w:val="44"/>
                <w:sz w:val="21"/>
                <w:szCs w:val="21"/>
                <w:highlight w:val="none"/>
              </w:rPr>
            </w:pPr>
          </w:p>
        </w:tc>
      </w:tr>
      <w:tr w14:paraId="3D51204C">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CellMar>
            <w:top w:w="0" w:type="dxa"/>
            <w:left w:w="0" w:type="dxa"/>
            <w:bottom w:w="0" w:type="dxa"/>
            <w:right w:w="0" w:type="dxa"/>
          </w:tblCellMar>
        </w:tblPrEx>
        <w:trPr>
          <w:cantSplit/>
          <w:trHeight w:val="406" w:hRule="atLeast"/>
          <w:jc w:val="center"/>
        </w:trPr>
        <w:tc>
          <w:tcPr>
            <w:tcW w:w="732" w:type="dxa"/>
            <w:vMerge w:val="restart"/>
            <w:vAlign w:val="center"/>
          </w:tcPr>
          <w:p w14:paraId="3B16E833">
            <w:pPr>
              <w:pStyle w:val="118"/>
              <w:keepNext w:val="0"/>
              <w:keepLines w:val="0"/>
              <w:pageBreakBefore w:val="0"/>
              <w:kinsoku/>
              <w:wordWrap/>
              <w:overflowPunct/>
              <w:topLinePunct w:val="0"/>
              <w:autoSpaceDE/>
              <w:autoSpaceDN/>
              <w:bidi w:val="0"/>
              <w:adjustRightInd/>
              <w:snapToGrid/>
              <w:ind w:left="0" w:right="0"/>
              <w:rPr>
                <w:rFonts w:ascii="Times New Roman" w:hAnsi="Times New Roman" w:eastAsia="宋体"/>
                <w:color w:val="auto"/>
                <w:sz w:val="21"/>
                <w:szCs w:val="21"/>
                <w:highlight w:val="none"/>
              </w:rPr>
            </w:pPr>
            <w:r>
              <w:rPr>
                <w:rFonts w:ascii="Times New Roman" w:hAnsi="Times New Roman" w:eastAsia="宋体"/>
                <w:color w:val="auto"/>
                <w:sz w:val="21"/>
                <w:szCs w:val="21"/>
                <w:highlight w:val="none"/>
              </w:rPr>
              <w:t>有组织废气</w:t>
            </w:r>
          </w:p>
        </w:tc>
        <w:tc>
          <w:tcPr>
            <w:tcW w:w="1111" w:type="dxa"/>
            <w:vAlign w:val="center"/>
          </w:tcPr>
          <w:p w14:paraId="4CF96F05">
            <w:pPr>
              <w:pStyle w:val="118"/>
              <w:keepNext w:val="0"/>
              <w:keepLines w:val="0"/>
              <w:pageBreakBefore w:val="0"/>
              <w:kinsoku/>
              <w:wordWrap/>
              <w:overflowPunct/>
              <w:topLinePunct w:val="0"/>
              <w:autoSpaceDE/>
              <w:autoSpaceDN/>
              <w:bidi w:val="0"/>
              <w:adjustRightInd/>
              <w:snapToGrid/>
              <w:ind w:left="0" w:right="0"/>
              <w:rPr>
                <w:rFonts w:ascii="Times New Roman" w:hAnsi="Times New Roman" w:eastAsia="宋体"/>
                <w:color w:val="auto"/>
                <w:sz w:val="21"/>
                <w:szCs w:val="21"/>
                <w:highlight w:val="none"/>
              </w:rPr>
            </w:pPr>
            <w:r>
              <w:rPr>
                <w:rFonts w:hint="eastAsia" w:ascii="Times New Roman" w:hAnsi="Times New Roman" w:eastAsia="宋体"/>
                <w:color w:val="auto"/>
                <w:sz w:val="21"/>
                <w:szCs w:val="21"/>
                <w:highlight w:val="none"/>
              </w:rPr>
              <w:t>非甲烷总烃</w:t>
            </w:r>
          </w:p>
        </w:tc>
        <w:tc>
          <w:tcPr>
            <w:tcW w:w="1417" w:type="dxa"/>
            <w:vAlign w:val="center"/>
          </w:tcPr>
          <w:p w14:paraId="6DC4FE05">
            <w:pPr>
              <w:pStyle w:val="118"/>
              <w:keepNext w:val="0"/>
              <w:keepLines w:val="0"/>
              <w:pageBreakBefore w:val="0"/>
              <w:kinsoku/>
              <w:wordWrap/>
              <w:overflowPunct/>
              <w:topLinePunct w:val="0"/>
              <w:autoSpaceDE/>
              <w:autoSpaceDN/>
              <w:bidi w:val="0"/>
              <w:adjustRightInd/>
              <w:snapToGrid/>
              <w:ind w:left="0" w:right="0"/>
              <w:rPr>
                <w:rFonts w:ascii="Times New Roman" w:hAnsi="Times New Roman"/>
                <w:color w:val="auto"/>
                <w:sz w:val="21"/>
                <w:szCs w:val="21"/>
                <w:highlight w:val="none"/>
              </w:rPr>
            </w:pPr>
            <w:r>
              <w:rPr>
                <w:rFonts w:hint="eastAsia" w:ascii="Times New Roman" w:hAnsi="Times New Roman"/>
                <w:color w:val="auto"/>
                <w:sz w:val="21"/>
                <w:szCs w:val="21"/>
                <w:highlight w:val="none"/>
              </w:rPr>
              <w:t>0.667</w:t>
            </w:r>
          </w:p>
        </w:tc>
        <w:tc>
          <w:tcPr>
            <w:tcW w:w="1418" w:type="dxa"/>
            <w:vAlign w:val="center"/>
          </w:tcPr>
          <w:p w14:paraId="798217A5">
            <w:pPr>
              <w:pStyle w:val="118"/>
              <w:keepNext w:val="0"/>
              <w:keepLines w:val="0"/>
              <w:pageBreakBefore w:val="0"/>
              <w:kinsoku/>
              <w:wordWrap/>
              <w:overflowPunct/>
              <w:topLinePunct w:val="0"/>
              <w:autoSpaceDE/>
              <w:autoSpaceDN/>
              <w:bidi w:val="0"/>
              <w:adjustRightInd/>
              <w:snapToGrid/>
              <w:ind w:left="0" w:right="0"/>
              <w:rPr>
                <w:rFonts w:ascii="Times New Roman" w:hAnsi="Times New Roman"/>
                <w:color w:val="auto"/>
                <w:sz w:val="21"/>
                <w:szCs w:val="21"/>
                <w:highlight w:val="none"/>
              </w:rPr>
            </w:pPr>
            <w:r>
              <w:rPr>
                <w:rFonts w:hint="eastAsia" w:ascii="Times New Roman" w:hAnsi="Times New Roman"/>
                <w:color w:val="auto"/>
                <w:sz w:val="21"/>
                <w:szCs w:val="21"/>
                <w:highlight w:val="none"/>
              </w:rPr>
              <w:t>1.9924</w:t>
            </w:r>
          </w:p>
        </w:tc>
        <w:tc>
          <w:tcPr>
            <w:tcW w:w="1181" w:type="dxa"/>
            <w:vAlign w:val="center"/>
          </w:tcPr>
          <w:p w14:paraId="4303A8DA">
            <w:pPr>
              <w:pStyle w:val="118"/>
              <w:keepNext w:val="0"/>
              <w:keepLines w:val="0"/>
              <w:pageBreakBefore w:val="0"/>
              <w:kinsoku/>
              <w:wordWrap/>
              <w:overflowPunct/>
              <w:topLinePunct w:val="0"/>
              <w:autoSpaceDE/>
              <w:autoSpaceDN/>
              <w:bidi w:val="0"/>
              <w:adjustRightInd/>
              <w:snapToGrid/>
              <w:ind w:left="0" w:right="0"/>
              <w:rPr>
                <w:rFonts w:hint="default" w:ascii="Times New Roman" w:hAnsi="Times New Roman" w:eastAsia="等线"/>
                <w:color w:val="auto"/>
                <w:sz w:val="21"/>
                <w:szCs w:val="21"/>
                <w:highlight w:val="none"/>
                <w:lang w:val="en-US" w:eastAsia="zh-CN"/>
              </w:rPr>
            </w:pPr>
            <w:r>
              <w:rPr>
                <w:rFonts w:hint="eastAsia" w:ascii="Times New Roman" w:hAnsi="Times New Roman" w:eastAsia="等线"/>
                <w:color w:val="auto"/>
                <w:sz w:val="21"/>
                <w:szCs w:val="21"/>
                <w:highlight w:val="none"/>
                <w:lang w:val="en-US" w:eastAsia="zh-CN"/>
              </w:rPr>
              <w:t>1.1602</w:t>
            </w:r>
          </w:p>
        </w:tc>
        <w:tc>
          <w:tcPr>
            <w:tcW w:w="1181" w:type="dxa"/>
            <w:vAlign w:val="center"/>
          </w:tcPr>
          <w:p w14:paraId="74F60DD1">
            <w:pPr>
              <w:pStyle w:val="118"/>
              <w:keepNext w:val="0"/>
              <w:keepLines w:val="0"/>
              <w:pageBreakBefore w:val="0"/>
              <w:kinsoku/>
              <w:wordWrap/>
              <w:overflowPunct/>
              <w:topLinePunct w:val="0"/>
              <w:autoSpaceDE/>
              <w:autoSpaceDN/>
              <w:bidi w:val="0"/>
              <w:adjustRightInd/>
              <w:snapToGrid/>
              <w:ind w:left="0" w:right="0"/>
              <w:rPr>
                <w:rFonts w:hint="default" w:ascii="Times New Roman" w:hAnsi="Times New Roman" w:eastAsia="等线"/>
                <w:color w:val="auto"/>
                <w:sz w:val="21"/>
                <w:szCs w:val="21"/>
                <w:highlight w:val="none"/>
                <w:lang w:val="en-US" w:eastAsia="zh-CN"/>
              </w:rPr>
            </w:pPr>
            <w:r>
              <w:rPr>
                <w:rFonts w:hint="eastAsia" w:ascii="Times New Roman" w:hAnsi="Times New Roman" w:eastAsia="等线"/>
                <w:color w:val="auto"/>
                <w:sz w:val="21"/>
                <w:szCs w:val="21"/>
                <w:highlight w:val="none"/>
                <w:lang w:val="en-US" w:eastAsia="zh-CN"/>
              </w:rPr>
              <w:t>1.0442</w:t>
            </w:r>
          </w:p>
        </w:tc>
        <w:tc>
          <w:tcPr>
            <w:tcW w:w="1182" w:type="dxa"/>
            <w:vAlign w:val="center"/>
          </w:tcPr>
          <w:p w14:paraId="7758194C">
            <w:pPr>
              <w:keepNext w:val="0"/>
              <w:keepLines w:val="0"/>
              <w:pageBreakBefore w:val="0"/>
              <w:kinsoku/>
              <w:wordWrap/>
              <w:overflowPunct/>
              <w:topLinePunct w:val="0"/>
              <w:autoSpaceDE/>
              <w:autoSpaceDN/>
              <w:bidi w:val="0"/>
              <w:adjustRightInd/>
              <w:snapToGrid/>
              <w:ind w:left="0" w:right="0"/>
              <w:jc w:val="center"/>
              <w:rPr>
                <w:rFonts w:hint="default" w:ascii="Times New Roman" w:hAnsi="Times New Roman" w:eastAsia="宋体"/>
                <w:color w:val="auto"/>
                <w:sz w:val="21"/>
                <w:szCs w:val="21"/>
                <w:highlight w:val="none"/>
                <w:lang w:val="en-US" w:eastAsia="zh-CN"/>
              </w:rPr>
            </w:pPr>
            <w:r>
              <w:rPr>
                <w:rFonts w:hint="eastAsia" w:ascii="Times New Roman" w:hAnsi="Times New Roman"/>
                <w:color w:val="auto"/>
                <w:sz w:val="21"/>
                <w:szCs w:val="21"/>
                <w:highlight w:val="none"/>
                <w:lang w:val="en-US" w:eastAsia="zh-CN"/>
              </w:rPr>
              <w:t>0.1160</w:t>
            </w:r>
          </w:p>
        </w:tc>
        <w:tc>
          <w:tcPr>
            <w:tcW w:w="1559" w:type="dxa"/>
            <w:vAlign w:val="center"/>
          </w:tcPr>
          <w:p w14:paraId="52698B60">
            <w:pPr>
              <w:pStyle w:val="118"/>
              <w:keepNext w:val="0"/>
              <w:keepLines w:val="0"/>
              <w:pageBreakBefore w:val="0"/>
              <w:kinsoku/>
              <w:wordWrap/>
              <w:overflowPunct/>
              <w:topLinePunct w:val="0"/>
              <w:autoSpaceDE/>
              <w:autoSpaceDN/>
              <w:bidi w:val="0"/>
              <w:adjustRightInd/>
              <w:snapToGrid/>
              <w:ind w:left="0" w:right="0"/>
              <w:rPr>
                <w:rFonts w:hint="default" w:ascii="Times New Roman" w:hAnsi="Times New Roman" w:eastAsia="宋体"/>
                <w:color w:val="auto"/>
                <w:sz w:val="21"/>
                <w:szCs w:val="21"/>
                <w:highlight w:val="none"/>
                <w:lang w:val="en-US" w:eastAsia="zh-CN"/>
              </w:rPr>
            </w:pPr>
            <w:r>
              <w:rPr>
                <w:rFonts w:hint="eastAsia" w:ascii="Times New Roman" w:hAnsi="Times New Roman" w:eastAsia="宋体"/>
                <w:color w:val="auto"/>
                <w:sz w:val="21"/>
                <w:szCs w:val="21"/>
                <w:highlight w:val="none"/>
                <w:lang w:val="en-US" w:eastAsia="zh-CN"/>
              </w:rPr>
              <w:t>0.19924</w:t>
            </w:r>
          </w:p>
        </w:tc>
        <w:tc>
          <w:tcPr>
            <w:tcW w:w="1559" w:type="dxa"/>
            <w:vAlign w:val="center"/>
          </w:tcPr>
          <w:p w14:paraId="4FF97B95">
            <w:pPr>
              <w:keepNext w:val="0"/>
              <w:keepLines w:val="0"/>
              <w:pageBreakBefore w:val="0"/>
              <w:widowControl/>
              <w:kinsoku/>
              <w:wordWrap/>
              <w:overflowPunct/>
              <w:topLinePunct w:val="0"/>
              <w:autoSpaceDE/>
              <w:autoSpaceDN/>
              <w:bidi w:val="0"/>
              <w:adjustRightInd/>
              <w:snapToGrid/>
              <w:ind w:left="0" w:leftChars="0" w:right="0" w:rightChars="0"/>
              <w:jc w:val="center"/>
              <w:textAlignment w:val="center"/>
              <w:rPr>
                <w:rFonts w:ascii="Times New Roman" w:hAnsi="Times New Roman"/>
                <w:color w:val="auto"/>
                <w:sz w:val="21"/>
                <w:szCs w:val="21"/>
                <w:highlight w:val="none"/>
              </w:rPr>
            </w:pPr>
            <w:r>
              <w:rPr>
                <w:rFonts w:hint="eastAsia" w:ascii="Times New Roman" w:hAnsi="Times New Roman" w:cs="Times New Roman"/>
                <w:color w:val="auto"/>
                <w:sz w:val="21"/>
                <w:szCs w:val="21"/>
                <w:highlight w:val="none"/>
                <w:lang w:val="en-US" w:eastAsia="zh-CN"/>
              </w:rPr>
              <w:t>1.90916</w:t>
            </w:r>
          </w:p>
        </w:tc>
        <w:tc>
          <w:tcPr>
            <w:tcW w:w="1098" w:type="dxa"/>
            <w:vAlign w:val="center"/>
          </w:tcPr>
          <w:p w14:paraId="46A1F609">
            <w:pPr>
              <w:keepNext w:val="0"/>
              <w:keepLines w:val="0"/>
              <w:pageBreakBefore w:val="0"/>
              <w:widowControl/>
              <w:kinsoku/>
              <w:wordWrap/>
              <w:overflowPunct/>
              <w:topLinePunct w:val="0"/>
              <w:autoSpaceDE/>
              <w:autoSpaceDN/>
              <w:bidi w:val="0"/>
              <w:adjustRightInd/>
              <w:snapToGrid/>
              <w:ind w:left="0" w:leftChars="0" w:right="0" w:rightChars="0"/>
              <w:jc w:val="center"/>
              <w:textAlignment w:val="center"/>
              <w:rPr>
                <w:rFonts w:ascii="Times New Roman" w:hAnsi="Times New Roman" w:eastAsia="宋体"/>
                <w:color w:val="auto"/>
                <w:sz w:val="21"/>
                <w:szCs w:val="21"/>
                <w:highlight w:val="none"/>
              </w:rPr>
            </w:pPr>
            <w:r>
              <w:rPr>
                <w:rFonts w:hint="eastAsia" w:ascii="Times New Roman" w:hAnsi="Times New Roman" w:cs="Times New Roman"/>
                <w:color w:val="auto"/>
                <w:sz w:val="21"/>
                <w:szCs w:val="21"/>
                <w:highlight w:val="none"/>
                <w:lang w:val="en-US" w:eastAsia="zh-CN"/>
              </w:rPr>
              <w:t>-0.08324</w:t>
            </w:r>
          </w:p>
        </w:tc>
        <w:tc>
          <w:tcPr>
            <w:tcW w:w="1261" w:type="dxa"/>
            <w:vMerge w:val="restart"/>
            <w:vAlign w:val="center"/>
          </w:tcPr>
          <w:p w14:paraId="401AC113">
            <w:pPr>
              <w:pStyle w:val="118"/>
              <w:keepNext w:val="0"/>
              <w:keepLines w:val="0"/>
              <w:pageBreakBefore w:val="0"/>
              <w:kinsoku/>
              <w:wordWrap/>
              <w:overflowPunct/>
              <w:topLinePunct w:val="0"/>
              <w:autoSpaceDE/>
              <w:autoSpaceDN/>
              <w:bidi w:val="0"/>
              <w:adjustRightInd/>
              <w:snapToGrid/>
              <w:ind w:left="0" w:right="0"/>
              <w:rPr>
                <w:rFonts w:ascii="Times New Roman" w:hAnsi="Times New Roman" w:eastAsia="宋体"/>
                <w:color w:val="auto"/>
                <w:sz w:val="21"/>
                <w:szCs w:val="21"/>
                <w:highlight w:val="none"/>
              </w:rPr>
            </w:pPr>
            <w:r>
              <w:rPr>
                <w:rFonts w:ascii="Times New Roman" w:hAnsi="Times New Roman" w:eastAsia="宋体"/>
                <w:color w:val="auto"/>
                <w:sz w:val="21"/>
                <w:szCs w:val="21"/>
                <w:highlight w:val="none"/>
              </w:rPr>
              <w:t>大气环境</w:t>
            </w:r>
          </w:p>
        </w:tc>
      </w:tr>
      <w:tr w14:paraId="7B35C635">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CellMar>
            <w:top w:w="0" w:type="dxa"/>
            <w:left w:w="0" w:type="dxa"/>
            <w:bottom w:w="0" w:type="dxa"/>
            <w:right w:w="0" w:type="dxa"/>
          </w:tblCellMar>
        </w:tblPrEx>
        <w:trPr>
          <w:cantSplit/>
          <w:trHeight w:val="406" w:hRule="atLeast"/>
          <w:jc w:val="center"/>
        </w:trPr>
        <w:tc>
          <w:tcPr>
            <w:tcW w:w="732" w:type="dxa"/>
            <w:vMerge w:val="continue"/>
            <w:vAlign w:val="center"/>
          </w:tcPr>
          <w:p w14:paraId="6E1280D9">
            <w:pPr>
              <w:pStyle w:val="118"/>
              <w:keepNext w:val="0"/>
              <w:keepLines w:val="0"/>
              <w:pageBreakBefore w:val="0"/>
              <w:kinsoku/>
              <w:wordWrap/>
              <w:overflowPunct/>
              <w:topLinePunct w:val="0"/>
              <w:autoSpaceDE/>
              <w:autoSpaceDN/>
              <w:bidi w:val="0"/>
              <w:adjustRightInd/>
              <w:snapToGrid/>
              <w:ind w:left="0" w:right="0"/>
              <w:rPr>
                <w:rFonts w:ascii="Times New Roman" w:hAnsi="Times New Roman" w:eastAsia="宋体"/>
                <w:color w:val="auto"/>
                <w:sz w:val="21"/>
                <w:szCs w:val="21"/>
                <w:highlight w:val="none"/>
              </w:rPr>
            </w:pPr>
          </w:p>
        </w:tc>
        <w:tc>
          <w:tcPr>
            <w:tcW w:w="1111" w:type="dxa"/>
            <w:vAlign w:val="center"/>
          </w:tcPr>
          <w:p w14:paraId="420D19DD">
            <w:pPr>
              <w:pStyle w:val="118"/>
              <w:keepNext w:val="0"/>
              <w:keepLines w:val="0"/>
              <w:pageBreakBefore w:val="0"/>
              <w:kinsoku/>
              <w:wordWrap/>
              <w:overflowPunct/>
              <w:topLinePunct w:val="0"/>
              <w:autoSpaceDE/>
              <w:autoSpaceDN/>
              <w:bidi w:val="0"/>
              <w:adjustRightInd/>
              <w:snapToGrid/>
              <w:ind w:left="0" w:right="0"/>
              <w:rPr>
                <w:rFonts w:hint="eastAsia" w:ascii="Times New Roman" w:hAnsi="Times New Roman" w:eastAsia="宋体"/>
                <w:color w:val="auto"/>
                <w:sz w:val="21"/>
                <w:szCs w:val="21"/>
                <w:highlight w:val="none"/>
                <w:lang w:val="en-US" w:eastAsia="zh-CN"/>
              </w:rPr>
            </w:pPr>
            <w:r>
              <w:rPr>
                <w:rFonts w:hint="eastAsia" w:ascii="Times New Roman" w:hAnsi="Times New Roman" w:eastAsia="宋体"/>
                <w:color w:val="auto"/>
                <w:sz w:val="21"/>
                <w:szCs w:val="21"/>
                <w:highlight w:val="none"/>
                <w:lang w:val="en-US" w:eastAsia="zh-CN"/>
              </w:rPr>
              <w:t>氮氧化物</w:t>
            </w:r>
          </w:p>
        </w:tc>
        <w:tc>
          <w:tcPr>
            <w:tcW w:w="1417" w:type="dxa"/>
            <w:vAlign w:val="center"/>
          </w:tcPr>
          <w:p w14:paraId="0CF8C16D">
            <w:pPr>
              <w:pStyle w:val="118"/>
              <w:keepNext w:val="0"/>
              <w:keepLines w:val="0"/>
              <w:pageBreakBefore w:val="0"/>
              <w:kinsoku/>
              <w:wordWrap/>
              <w:overflowPunct/>
              <w:topLinePunct w:val="0"/>
              <w:autoSpaceDE/>
              <w:autoSpaceDN/>
              <w:bidi w:val="0"/>
              <w:adjustRightInd/>
              <w:snapToGrid/>
              <w:ind w:left="0" w:right="0"/>
              <w:rPr>
                <w:rFonts w:hint="eastAsia" w:ascii="Times New Roman" w:hAnsi="Times New Roman" w:eastAsia="仿宋_GB2312"/>
                <w:color w:val="auto"/>
                <w:sz w:val="21"/>
                <w:szCs w:val="21"/>
                <w:highlight w:val="none"/>
                <w:lang w:val="en-US" w:eastAsia="zh-CN"/>
              </w:rPr>
            </w:pPr>
            <w:r>
              <w:rPr>
                <w:rFonts w:hint="eastAsia" w:ascii="Times New Roman" w:hAnsi="Times New Roman"/>
                <w:color w:val="auto"/>
                <w:sz w:val="21"/>
                <w:szCs w:val="21"/>
                <w:highlight w:val="none"/>
                <w:lang w:val="en-US" w:eastAsia="zh-CN"/>
              </w:rPr>
              <w:t>0</w:t>
            </w:r>
          </w:p>
        </w:tc>
        <w:tc>
          <w:tcPr>
            <w:tcW w:w="1418" w:type="dxa"/>
            <w:vAlign w:val="center"/>
          </w:tcPr>
          <w:p w14:paraId="724308BB">
            <w:pPr>
              <w:pStyle w:val="118"/>
              <w:keepNext w:val="0"/>
              <w:keepLines w:val="0"/>
              <w:pageBreakBefore w:val="0"/>
              <w:kinsoku/>
              <w:wordWrap/>
              <w:overflowPunct/>
              <w:topLinePunct w:val="0"/>
              <w:autoSpaceDE/>
              <w:autoSpaceDN/>
              <w:bidi w:val="0"/>
              <w:adjustRightInd/>
              <w:snapToGrid/>
              <w:ind w:left="0" w:right="0"/>
              <w:rPr>
                <w:rFonts w:hint="eastAsia" w:ascii="Times New Roman" w:hAnsi="Times New Roman" w:eastAsia="仿宋_GB2312"/>
                <w:color w:val="auto"/>
                <w:sz w:val="21"/>
                <w:szCs w:val="21"/>
                <w:highlight w:val="none"/>
                <w:lang w:val="en-US" w:eastAsia="zh-CN"/>
              </w:rPr>
            </w:pPr>
            <w:r>
              <w:rPr>
                <w:rFonts w:hint="eastAsia" w:ascii="Times New Roman" w:hAnsi="Times New Roman"/>
                <w:color w:val="auto"/>
                <w:sz w:val="21"/>
                <w:szCs w:val="21"/>
                <w:highlight w:val="none"/>
                <w:lang w:val="en-US" w:eastAsia="zh-CN"/>
              </w:rPr>
              <w:t>0</w:t>
            </w:r>
          </w:p>
        </w:tc>
        <w:tc>
          <w:tcPr>
            <w:tcW w:w="1181" w:type="dxa"/>
            <w:vAlign w:val="center"/>
          </w:tcPr>
          <w:p w14:paraId="6F8688BA">
            <w:pPr>
              <w:pStyle w:val="118"/>
              <w:keepNext w:val="0"/>
              <w:keepLines w:val="0"/>
              <w:pageBreakBefore w:val="0"/>
              <w:kinsoku/>
              <w:wordWrap/>
              <w:overflowPunct/>
              <w:topLinePunct w:val="0"/>
              <w:autoSpaceDE/>
              <w:autoSpaceDN/>
              <w:bidi w:val="0"/>
              <w:adjustRightInd/>
              <w:snapToGrid/>
              <w:ind w:left="0" w:right="0"/>
              <w:rPr>
                <w:rFonts w:hint="default" w:ascii="Times New Roman" w:hAnsi="Times New Roman" w:eastAsia="等线"/>
                <w:color w:val="auto"/>
                <w:sz w:val="21"/>
                <w:szCs w:val="21"/>
                <w:highlight w:val="none"/>
                <w:lang w:val="en-US" w:eastAsia="zh-CN"/>
              </w:rPr>
            </w:pPr>
            <w:r>
              <w:rPr>
                <w:rFonts w:hint="eastAsia" w:ascii="Times New Roman" w:hAnsi="Times New Roman" w:eastAsia="等线"/>
                <w:color w:val="auto"/>
                <w:sz w:val="21"/>
                <w:szCs w:val="21"/>
                <w:highlight w:val="none"/>
                <w:lang w:val="en-US" w:eastAsia="zh-CN"/>
              </w:rPr>
              <w:t>0.00297</w:t>
            </w:r>
          </w:p>
        </w:tc>
        <w:tc>
          <w:tcPr>
            <w:tcW w:w="1181" w:type="dxa"/>
            <w:vAlign w:val="center"/>
          </w:tcPr>
          <w:p w14:paraId="38CB0844">
            <w:pPr>
              <w:pStyle w:val="118"/>
              <w:keepNext w:val="0"/>
              <w:keepLines w:val="0"/>
              <w:pageBreakBefore w:val="0"/>
              <w:kinsoku/>
              <w:wordWrap/>
              <w:overflowPunct/>
              <w:topLinePunct w:val="0"/>
              <w:autoSpaceDE/>
              <w:autoSpaceDN/>
              <w:bidi w:val="0"/>
              <w:adjustRightInd/>
              <w:snapToGrid/>
              <w:ind w:left="0" w:right="0"/>
              <w:rPr>
                <w:rFonts w:hint="default" w:ascii="Times New Roman" w:hAnsi="Times New Roman" w:eastAsia="等线"/>
                <w:color w:val="auto"/>
                <w:sz w:val="21"/>
                <w:szCs w:val="21"/>
                <w:highlight w:val="none"/>
                <w:lang w:val="en-US" w:eastAsia="zh-CN"/>
              </w:rPr>
            </w:pPr>
            <w:r>
              <w:rPr>
                <w:rFonts w:hint="eastAsia" w:ascii="Times New Roman" w:hAnsi="Times New Roman" w:eastAsia="等线"/>
                <w:color w:val="auto"/>
                <w:sz w:val="21"/>
                <w:szCs w:val="21"/>
                <w:highlight w:val="none"/>
                <w:lang w:val="en-US" w:eastAsia="zh-CN"/>
              </w:rPr>
              <w:t>0.00267</w:t>
            </w:r>
          </w:p>
        </w:tc>
        <w:tc>
          <w:tcPr>
            <w:tcW w:w="1182" w:type="dxa"/>
            <w:vAlign w:val="center"/>
          </w:tcPr>
          <w:p w14:paraId="6CD67511">
            <w:pPr>
              <w:keepNext w:val="0"/>
              <w:keepLines w:val="0"/>
              <w:pageBreakBefore w:val="0"/>
              <w:kinsoku/>
              <w:wordWrap/>
              <w:overflowPunct/>
              <w:topLinePunct w:val="0"/>
              <w:autoSpaceDE/>
              <w:autoSpaceDN/>
              <w:bidi w:val="0"/>
              <w:adjustRightInd/>
              <w:snapToGrid/>
              <w:ind w:left="0" w:right="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0.0003</w:t>
            </w:r>
          </w:p>
        </w:tc>
        <w:tc>
          <w:tcPr>
            <w:tcW w:w="1559" w:type="dxa"/>
            <w:vAlign w:val="center"/>
          </w:tcPr>
          <w:p w14:paraId="29BB8B3B">
            <w:pPr>
              <w:pStyle w:val="118"/>
              <w:keepNext w:val="0"/>
              <w:keepLines w:val="0"/>
              <w:pageBreakBefore w:val="0"/>
              <w:kinsoku/>
              <w:wordWrap/>
              <w:overflowPunct/>
              <w:topLinePunct w:val="0"/>
              <w:autoSpaceDE/>
              <w:autoSpaceDN/>
              <w:bidi w:val="0"/>
              <w:adjustRightInd/>
              <w:snapToGrid/>
              <w:ind w:left="0" w:right="0"/>
              <w:rPr>
                <w:rFonts w:hint="eastAsia" w:ascii="Times New Roman" w:hAnsi="Times New Roman" w:eastAsia="宋体"/>
                <w:color w:val="auto"/>
                <w:sz w:val="21"/>
                <w:szCs w:val="21"/>
                <w:highlight w:val="none"/>
                <w:lang w:val="en-US" w:eastAsia="zh-CN"/>
              </w:rPr>
            </w:pPr>
            <w:r>
              <w:rPr>
                <w:rFonts w:hint="eastAsia" w:ascii="Times New Roman" w:hAnsi="Times New Roman" w:eastAsia="宋体"/>
                <w:color w:val="auto"/>
                <w:sz w:val="21"/>
                <w:szCs w:val="21"/>
                <w:highlight w:val="none"/>
                <w:lang w:val="en-US" w:eastAsia="zh-CN"/>
              </w:rPr>
              <w:t>0</w:t>
            </w:r>
          </w:p>
        </w:tc>
        <w:tc>
          <w:tcPr>
            <w:tcW w:w="1559" w:type="dxa"/>
            <w:vAlign w:val="center"/>
          </w:tcPr>
          <w:p w14:paraId="289FCAD5">
            <w:pPr>
              <w:keepNext w:val="0"/>
              <w:keepLines w:val="0"/>
              <w:pageBreakBefore w:val="0"/>
              <w:widowControl/>
              <w:kinsoku/>
              <w:wordWrap/>
              <w:overflowPunct/>
              <w:topLinePunct w:val="0"/>
              <w:autoSpaceDE/>
              <w:autoSpaceDN/>
              <w:bidi w:val="0"/>
              <w:adjustRightInd/>
              <w:snapToGrid/>
              <w:ind w:left="0" w:leftChars="0" w:right="0" w:rightChars="0"/>
              <w:jc w:val="center"/>
              <w:textAlignment w:val="center"/>
              <w:rPr>
                <w:rFonts w:ascii="Times New Roman" w:hAnsi="Times New Roman" w:eastAsia="等线" w:cs="Times New Roman"/>
                <w:color w:val="auto"/>
                <w:sz w:val="21"/>
                <w:szCs w:val="21"/>
                <w:highlight w:val="none"/>
                <w:lang w:bidi="ar"/>
              </w:rPr>
            </w:pPr>
            <w:r>
              <w:rPr>
                <w:rFonts w:hint="eastAsia" w:ascii="Times New Roman" w:hAnsi="Times New Roman" w:eastAsia="等线" w:cs="Times New Roman"/>
                <w:color w:val="auto"/>
                <w:sz w:val="21"/>
                <w:szCs w:val="21"/>
                <w:highlight w:val="none"/>
                <w:lang w:val="en-US" w:eastAsia="zh-CN" w:bidi="ar"/>
              </w:rPr>
              <w:t>0.0003</w:t>
            </w:r>
          </w:p>
        </w:tc>
        <w:tc>
          <w:tcPr>
            <w:tcW w:w="1098" w:type="dxa"/>
            <w:vAlign w:val="center"/>
          </w:tcPr>
          <w:p w14:paraId="459B6D08">
            <w:pPr>
              <w:keepNext w:val="0"/>
              <w:keepLines w:val="0"/>
              <w:pageBreakBefore w:val="0"/>
              <w:widowControl/>
              <w:kinsoku/>
              <w:wordWrap/>
              <w:overflowPunct/>
              <w:topLinePunct w:val="0"/>
              <w:autoSpaceDE/>
              <w:autoSpaceDN/>
              <w:bidi w:val="0"/>
              <w:adjustRightInd/>
              <w:snapToGrid/>
              <w:ind w:left="0" w:leftChars="0" w:right="0" w:rightChars="0"/>
              <w:jc w:val="center"/>
              <w:textAlignment w:val="center"/>
              <w:rPr>
                <w:rFonts w:hint="eastAsia" w:ascii="Times New Roman" w:hAnsi="Times New Roman" w:eastAsia="宋体"/>
                <w:color w:val="auto"/>
                <w:sz w:val="21"/>
                <w:szCs w:val="21"/>
                <w:highlight w:val="none"/>
              </w:rPr>
            </w:pPr>
            <w:r>
              <w:rPr>
                <w:rFonts w:hint="eastAsia" w:ascii="Times New Roman" w:hAnsi="Times New Roman" w:eastAsia="等线" w:cs="Times New Roman"/>
                <w:color w:val="auto"/>
                <w:sz w:val="21"/>
                <w:szCs w:val="21"/>
                <w:highlight w:val="none"/>
                <w:lang w:val="en-US" w:eastAsia="zh-CN" w:bidi="ar"/>
              </w:rPr>
              <w:t>+0.0003</w:t>
            </w:r>
          </w:p>
        </w:tc>
        <w:tc>
          <w:tcPr>
            <w:tcW w:w="1261" w:type="dxa"/>
            <w:vMerge w:val="continue"/>
            <w:vAlign w:val="center"/>
          </w:tcPr>
          <w:p w14:paraId="65ADCAE1">
            <w:pPr>
              <w:pStyle w:val="118"/>
              <w:keepNext w:val="0"/>
              <w:keepLines w:val="0"/>
              <w:pageBreakBefore w:val="0"/>
              <w:kinsoku/>
              <w:wordWrap/>
              <w:overflowPunct/>
              <w:topLinePunct w:val="0"/>
              <w:autoSpaceDE/>
              <w:autoSpaceDN/>
              <w:bidi w:val="0"/>
              <w:adjustRightInd/>
              <w:snapToGrid/>
              <w:ind w:left="0" w:right="0"/>
              <w:rPr>
                <w:rFonts w:ascii="Times New Roman" w:hAnsi="Times New Roman" w:eastAsia="宋体"/>
                <w:color w:val="auto"/>
                <w:sz w:val="21"/>
                <w:szCs w:val="21"/>
                <w:highlight w:val="none"/>
              </w:rPr>
            </w:pPr>
          </w:p>
        </w:tc>
      </w:tr>
      <w:tr w14:paraId="35861A95">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CellMar>
            <w:top w:w="0" w:type="dxa"/>
            <w:left w:w="0" w:type="dxa"/>
            <w:bottom w:w="0" w:type="dxa"/>
            <w:right w:w="0" w:type="dxa"/>
          </w:tblCellMar>
        </w:tblPrEx>
        <w:trPr>
          <w:cantSplit/>
          <w:trHeight w:val="406" w:hRule="atLeast"/>
          <w:jc w:val="center"/>
        </w:trPr>
        <w:tc>
          <w:tcPr>
            <w:tcW w:w="732" w:type="dxa"/>
            <w:vMerge w:val="restart"/>
            <w:vAlign w:val="center"/>
          </w:tcPr>
          <w:p w14:paraId="2C264BF7">
            <w:pPr>
              <w:pStyle w:val="118"/>
              <w:keepNext w:val="0"/>
              <w:keepLines w:val="0"/>
              <w:pageBreakBefore w:val="0"/>
              <w:kinsoku/>
              <w:wordWrap/>
              <w:overflowPunct/>
              <w:topLinePunct w:val="0"/>
              <w:autoSpaceDE/>
              <w:autoSpaceDN/>
              <w:bidi w:val="0"/>
              <w:adjustRightInd/>
              <w:snapToGrid/>
              <w:ind w:left="0" w:right="0"/>
              <w:rPr>
                <w:rFonts w:ascii="Times New Roman" w:hAnsi="Times New Roman" w:eastAsia="宋体"/>
                <w:color w:val="auto"/>
                <w:sz w:val="21"/>
                <w:szCs w:val="21"/>
                <w:highlight w:val="none"/>
              </w:rPr>
            </w:pPr>
            <w:r>
              <w:rPr>
                <w:rFonts w:ascii="Times New Roman" w:hAnsi="Times New Roman" w:eastAsia="宋体"/>
                <w:color w:val="auto"/>
                <w:sz w:val="21"/>
                <w:szCs w:val="21"/>
                <w:highlight w:val="none"/>
              </w:rPr>
              <w:t>无组织废气</w:t>
            </w:r>
          </w:p>
        </w:tc>
        <w:tc>
          <w:tcPr>
            <w:tcW w:w="1111" w:type="dxa"/>
            <w:vAlign w:val="center"/>
          </w:tcPr>
          <w:p w14:paraId="08D1E802">
            <w:pPr>
              <w:pStyle w:val="118"/>
              <w:keepNext w:val="0"/>
              <w:keepLines w:val="0"/>
              <w:pageBreakBefore w:val="0"/>
              <w:kinsoku/>
              <w:wordWrap/>
              <w:overflowPunct/>
              <w:topLinePunct w:val="0"/>
              <w:autoSpaceDE/>
              <w:autoSpaceDN/>
              <w:bidi w:val="0"/>
              <w:adjustRightInd/>
              <w:snapToGrid/>
              <w:ind w:left="0" w:right="0"/>
              <w:rPr>
                <w:rFonts w:ascii="Times New Roman" w:hAnsi="Times New Roman" w:eastAsia="宋体"/>
                <w:color w:val="auto"/>
                <w:sz w:val="21"/>
                <w:szCs w:val="21"/>
                <w:highlight w:val="none"/>
              </w:rPr>
            </w:pPr>
            <w:r>
              <w:rPr>
                <w:rFonts w:hint="eastAsia" w:ascii="Times New Roman" w:hAnsi="Times New Roman" w:eastAsia="宋体"/>
                <w:color w:val="auto"/>
                <w:sz w:val="21"/>
                <w:szCs w:val="21"/>
                <w:highlight w:val="none"/>
              </w:rPr>
              <w:t>非甲烷总烃（含甲醇）</w:t>
            </w:r>
          </w:p>
        </w:tc>
        <w:tc>
          <w:tcPr>
            <w:tcW w:w="1417" w:type="dxa"/>
            <w:vAlign w:val="center"/>
          </w:tcPr>
          <w:p w14:paraId="636FE6B4">
            <w:pPr>
              <w:pStyle w:val="118"/>
              <w:keepNext w:val="0"/>
              <w:keepLines w:val="0"/>
              <w:pageBreakBefore w:val="0"/>
              <w:kinsoku/>
              <w:wordWrap/>
              <w:overflowPunct/>
              <w:topLinePunct w:val="0"/>
              <w:autoSpaceDE/>
              <w:autoSpaceDN/>
              <w:bidi w:val="0"/>
              <w:adjustRightInd/>
              <w:snapToGrid/>
              <w:ind w:left="0" w:right="0"/>
              <w:rPr>
                <w:rFonts w:hint="eastAsia" w:ascii="Times New Roman" w:hAnsi="Times New Roman" w:eastAsia="宋体"/>
                <w:color w:val="auto"/>
                <w:sz w:val="21"/>
                <w:szCs w:val="21"/>
                <w:highlight w:val="none"/>
                <w:lang w:val="en-US" w:eastAsia="zh-CN"/>
              </w:rPr>
            </w:pPr>
            <w:r>
              <w:rPr>
                <w:rFonts w:hint="eastAsia" w:ascii="Times New Roman" w:hAnsi="Times New Roman" w:eastAsia="宋体"/>
                <w:color w:val="auto"/>
                <w:sz w:val="21"/>
                <w:szCs w:val="21"/>
                <w:highlight w:val="none"/>
              </w:rPr>
              <w:t>/</w:t>
            </w:r>
          </w:p>
        </w:tc>
        <w:tc>
          <w:tcPr>
            <w:tcW w:w="1418" w:type="dxa"/>
            <w:vAlign w:val="center"/>
          </w:tcPr>
          <w:p w14:paraId="6ACE9643">
            <w:pPr>
              <w:pStyle w:val="118"/>
              <w:keepNext w:val="0"/>
              <w:keepLines w:val="0"/>
              <w:pageBreakBefore w:val="0"/>
              <w:kinsoku/>
              <w:wordWrap/>
              <w:overflowPunct/>
              <w:topLinePunct w:val="0"/>
              <w:autoSpaceDE/>
              <w:autoSpaceDN/>
              <w:bidi w:val="0"/>
              <w:adjustRightInd/>
              <w:snapToGrid/>
              <w:ind w:left="0" w:right="0"/>
              <w:rPr>
                <w:rFonts w:ascii="Times New Roman" w:hAnsi="Times New Roman" w:eastAsia="宋体"/>
                <w:color w:val="auto"/>
                <w:sz w:val="21"/>
                <w:szCs w:val="21"/>
                <w:highlight w:val="none"/>
              </w:rPr>
            </w:pPr>
            <w:r>
              <w:rPr>
                <w:rFonts w:hint="eastAsia" w:ascii="Times New Roman" w:hAnsi="Times New Roman" w:eastAsia="宋体"/>
                <w:color w:val="auto"/>
                <w:sz w:val="21"/>
                <w:szCs w:val="21"/>
                <w:highlight w:val="none"/>
              </w:rPr>
              <w:t>0.0275</w:t>
            </w:r>
          </w:p>
        </w:tc>
        <w:tc>
          <w:tcPr>
            <w:tcW w:w="1181" w:type="dxa"/>
            <w:vAlign w:val="center"/>
          </w:tcPr>
          <w:p w14:paraId="16D50CF3">
            <w:pPr>
              <w:keepNext w:val="0"/>
              <w:keepLines w:val="0"/>
              <w:pageBreakBefore w:val="0"/>
              <w:widowControl/>
              <w:kinsoku/>
              <w:wordWrap/>
              <w:overflowPunct/>
              <w:topLinePunct w:val="0"/>
              <w:autoSpaceDE/>
              <w:autoSpaceDN/>
              <w:bidi w:val="0"/>
              <w:adjustRightInd/>
              <w:snapToGrid/>
              <w:ind w:left="0" w:leftChars="0" w:right="0" w:rightChars="0"/>
              <w:jc w:val="center"/>
              <w:rPr>
                <w:color w:val="auto"/>
                <w:sz w:val="21"/>
                <w:szCs w:val="21"/>
                <w:highlight w:val="none"/>
              </w:rPr>
            </w:pPr>
            <w:r>
              <w:rPr>
                <w:rFonts w:hint="eastAsia" w:ascii="Times New Roman" w:hAnsi="Times New Roman" w:cs="Times New Roman"/>
                <w:color w:val="auto"/>
                <w:sz w:val="21"/>
                <w:szCs w:val="21"/>
                <w:highlight w:val="none"/>
                <w:lang w:val="en-US" w:eastAsia="zh-CN"/>
              </w:rPr>
              <w:t>0.0248</w:t>
            </w:r>
          </w:p>
        </w:tc>
        <w:tc>
          <w:tcPr>
            <w:tcW w:w="1181" w:type="dxa"/>
            <w:vAlign w:val="center"/>
          </w:tcPr>
          <w:p w14:paraId="7697C841">
            <w:pPr>
              <w:pStyle w:val="118"/>
              <w:keepNext w:val="0"/>
              <w:keepLines w:val="0"/>
              <w:pageBreakBefore w:val="0"/>
              <w:kinsoku/>
              <w:wordWrap/>
              <w:overflowPunct/>
              <w:topLinePunct w:val="0"/>
              <w:autoSpaceDE/>
              <w:autoSpaceDN/>
              <w:bidi w:val="0"/>
              <w:adjustRightInd/>
              <w:snapToGrid/>
              <w:ind w:left="0" w:right="0"/>
              <w:rPr>
                <w:rFonts w:hint="eastAsia" w:ascii="Times New Roman" w:hAnsi="Times New Roman" w:eastAsia="宋体"/>
                <w:color w:val="auto"/>
                <w:sz w:val="21"/>
                <w:szCs w:val="21"/>
                <w:highlight w:val="none"/>
                <w:lang w:val="en-US" w:eastAsia="zh-CN"/>
              </w:rPr>
            </w:pPr>
            <w:r>
              <w:rPr>
                <w:rFonts w:hint="eastAsia" w:ascii="Times New Roman" w:hAnsi="Times New Roman" w:eastAsia="宋体"/>
                <w:color w:val="auto"/>
                <w:sz w:val="21"/>
                <w:szCs w:val="21"/>
                <w:highlight w:val="none"/>
                <w:lang w:val="en-US" w:eastAsia="zh-CN"/>
              </w:rPr>
              <w:t>0</w:t>
            </w:r>
          </w:p>
        </w:tc>
        <w:tc>
          <w:tcPr>
            <w:tcW w:w="1182" w:type="dxa"/>
            <w:vAlign w:val="center"/>
          </w:tcPr>
          <w:p w14:paraId="111B7200">
            <w:pPr>
              <w:keepNext w:val="0"/>
              <w:keepLines w:val="0"/>
              <w:pageBreakBefore w:val="0"/>
              <w:widowControl/>
              <w:kinsoku/>
              <w:wordWrap/>
              <w:overflowPunct/>
              <w:topLinePunct w:val="0"/>
              <w:autoSpaceDE/>
              <w:autoSpaceDN/>
              <w:bidi w:val="0"/>
              <w:adjustRightInd/>
              <w:snapToGrid/>
              <w:ind w:left="0" w:leftChars="0" w:right="0" w:rightChars="0"/>
              <w:jc w:val="center"/>
              <w:rPr>
                <w:color w:val="auto"/>
                <w:sz w:val="21"/>
                <w:szCs w:val="21"/>
                <w:highlight w:val="none"/>
              </w:rPr>
            </w:pPr>
            <w:r>
              <w:rPr>
                <w:rFonts w:hint="eastAsia" w:ascii="Times New Roman" w:hAnsi="Times New Roman" w:cs="Times New Roman"/>
                <w:color w:val="auto"/>
                <w:sz w:val="21"/>
                <w:szCs w:val="21"/>
                <w:highlight w:val="none"/>
                <w:lang w:val="en-US" w:eastAsia="zh-CN"/>
              </w:rPr>
              <w:t>0.0248</w:t>
            </w:r>
          </w:p>
        </w:tc>
        <w:tc>
          <w:tcPr>
            <w:tcW w:w="1559" w:type="dxa"/>
            <w:vAlign w:val="center"/>
          </w:tcPr>
          <w:p w14:paraId="28F1526A">
            <w:pPr>
              <w:pStyle w:val="118"/>
              <w:keepNext w:val="0"/>
              <w:keepLines w:val="0"/>
              <w:pageBreakBefore w:val="0"/>
              <w:kinsoku/>
              <w:wordWrap/>
              <w:overflowPunct/>
              <w:topLinePunct w:val="0"/>
              <w:autoSpaceDE/>
              <w:autoSpaceDN/>
              <w:bidi w:val="0"/>
              <w:adjustRightInd/>
              <w:snapToGrid/>
              <w:ind w:left="0" w:right="0"/>
              <w:rPr>
                <w:rFonts w:hint="default" w:ascii="Times New Roman" w:hAnsi="Times New Roman" w:eastAsia="宋体"/>
                <w:color w:val="auto"/>
                <w:sz w:val="21"/>
                <w:szCs w:val="21"/>
                <w:highlight w:val="none"/>
                <w:lang w:val="en-US" w:eastAsia="zh-CN"/>
              </w:rPr>
            </w:pPr>
            <w:r>
              <w:rPr>
                <w:rFonts w:hint="eastAsia" w:ascii="Times New Roman" w:hAnsi="Times New Roman" w:eastAsia="宋体"/>
                <w:color w:val="auto"/>
                <w:sz w:val="21"/>
                <w:szCs w:val="21"/>
                <w:highlight w:val="none"/>
                <w:lang w:val="en-US" w:eastAsia="zh-CN"/>
              </w:rPr>
              <w:t>0.00275</w:t>
            </w:r>
          </w:p>
        </w:tc>
        <w:tc>
          <w:tcPr>
            <w:tcW w:w="1559" w:type="dxa"/>
            <w:vAlign w:val="center"/>
          </w:tcPr>
          <w:p w14:paraId="6592C169">
            <w:pPr>
              <w:keepNext w:val="0"/>
              <w:keepLines w:val="0"/>
              <w:pageBreakBefore w:val="0"/>
              <w:widowControl/>
              <w:kinsoku/>
              <w:wordWrap/>
              <w:overflowPunct/>
              <w:topLinePunct w:val="0"/>
              <w:autoSpaceDE/>
              <w:autoSpaceDN/>
              <w:bidi w:val="0"/>
              <w:adjustRightInd/>
              <w:snapToGrid/>
              <w:ind w:left="0" w:leftChars="0" w:right="0" w:rightChars="0"/>
              <w:jc w:val="center"/>
              <w:textAlignment w:val="center"/>
              <w:rPr>
                <w:color w:val="auto"/>
                <w:sz w:val="21"/>
                <w:szCs w:val="21"/>
                <w:highlight w:val="none"/>
              </w:rPr>
            </w:pPr>
            <w:r>
              <w:rPr>
                <w:rFonts w:hint="eastAsia" w:ascii="Times New Roman" w:hAnsi="Times New Roman" w:cs="Times New Roman"/>
                <w:color w:val="auto"/>
                <w:sz w:val="21"/>
                <w:szCs w:val="21"/>
                <w:highlight w:val="none"/>
                <w:lang w:val="en-US" w:eastAsia="zh-CN"/>
              </w:rPr>
              <w:t>0.04955</w:t>
            </w:r>
          </w:p>
        </w:tc>
        <w:tc>
          <w:tcPr>
            <w:tcW w:w="1098" w:type="dxa"/>
            <w:vAlign w:val="center"/>
          </w:tcPr>
          <w:p w14:paraId="57331593">
            <w:pPr>
              <w:keepNext w:val="0"/>
              <w:keepLines w:val="0"/>
              <w:pageBreakBefore w:val="0"/>
              <w:widowControl/>
              <w:kinsoku/>
              <w:wordWrap/>
              <w:overflowPunct/>
              <w:topLinePunct w:val="0"/>
              <w:autoSpaceDE/>
              <w:autoSpaceDN/>
              <w:bidi w:val="0"/>
              <w:adjustRightInd/>
              <w:snapToGrid/>
              <w:ind w:left="0" w:leftChars="0" w:right="0" w:rightChars="0"/>
              <w:jc w:val="center"/>
              <w:textAlignment w:val="center"/>
              <w:rPr>
                <w:color w:val="auto"/>
                <w:sz w:val="21"/>
                <w:szCs w:val="21"/>
                <w:highlight w:val="none"/>
              </w:rPr>
            </w:pPr>
            <w:r>
              <w:rPr>
                <w:rFonts w:hint="eastAsia" w:ascii="Times New Roman" w:hAnsi="Times New Roman" w:cs="Times New Roman"/>
                <w:color w:val="auto"/>
                <w:sz w:val="21"/>
                <w:szCs w:val="21"/>
                <w:highlight w:val="none"/>
                <w:lang w:val="en-US" w:eastAsia="zh-CN"/>
              </w:rPr>
              <w:t>+0.02205</w:t>
            </w:r>
          </w:p>
        </w:tc>
        <w:tc>
          <w:tcPr>
            <w:tcW w:w="1261" w:type="dxa"/>
            <w:vMerge w:val="continue"/>
            <w:vAlign w:val="center"/>
          </w:tcPr>
          <w:p w14:paraId="16C8E491">
            <w:pPr>
              <w:keepNext w:val="0"/>
              <w:keepLines w:val="0"/>
              <w:pageBreakBefore w:val="0"/>
              <w:kinsoku/>
              <w:wordWrap/>
              <w:overflowPunct/>
              <w:topLinePunct w:val="0"/>
              <w:autoSpaceDE/>
              <w:autoSpaceDN/>
              <w:bidi w:val="0"/>
              <w:adjustRightInd/>
              <w:snapToGrid/>
              <w:ind w:left="0" w:right="0"/>
              <w:jc w:val="center"/>
              <w:rPr>
                <w:rFonts w:ascii="Times New Roman" w:hAnsi="Times New Roman" w:cs="Times New Roman"/>
                <w:color w:val="auto"/>
                <w:kern w:val="44"/>
                <w:sz w:val="21"/>
                <w:szCs w:val="21"/>
                <w:highlight w:val="none"/>
              </w:rPr>
            </w:pPr>
          </w:p>
        </w:tc>
      </w:tr>
      <w:tr w14:paraId="00C9DD9D">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CellMar>
            <w:top w:w="0" w:type="dxa"/>
            <w:left w:w="0" w:type="dxa"/>
            <w:bottom w:w="0" w:type="dxa"/>
            <w:right w:w="0" w:type="dxa"/>
          </w:tblCellMar>
        </w:tblPrEx>
        <w:trPr>
          <w:cantSplit/>
          <w:trHeight w:val="406" w:hRule="atLeast"/>
          <w:jc w:val="center"/>
        </w:trPr>
        <w:tc>
          <w:tcPr>
            <w:tcW w:w="732" w:type="dxa"/>
            <w:vMerge w:val="continue"/>
            <w:vAlign w:val="center"/>
          </w:tcPr>
          <w:p w14:paraId="12C58CFD">
            <w:pPr>
              <w:pStyle w:val="118"/>
              <w:keepNext w:val="0"/>
              <w:keepLines w:val="0"/>
              <w:pageBreakBefore w:val="0"/>
              <w:kinsoku/>
              <w:wordWrap/>
              <w:overflowPunct/>
              <w:topLinePunct w:val="0"/>
              <w:autoSpaceDE/>
              <w:autoSpaceDN/>
              <w:bidi w:val="0"/>
              <w:adjustRightInd/>
              <w:snapToGrid/>
              <w:ind w:left="0" w:right="0"/>
              <w:rPr>
                <w:rFonts w:ascii="Times New Roman" w:hAnsi="Times New Roman" w:eastAsia="宋体"/>
                <w:color w:val="auto"/>
                <w:sz w:val="21"/>
                <w:szCs w:val="21"/>
                <w:highlight w:val="none"/>
              </w:rPr>
            </w:pPr>
          </w:p>
        </w:tc>
        <w:tc>
          <w:tcPr>
            <w:tcW w:w="1111" w:type="dxa"/>
            <w:vAlign w:val="center"/>
          </w:tcPr>
          <w:p w14:paraId="5043130E">
            <w:pPr>
              <w:pStyle w:val="118"/>
              <w:keepNext w:val="0"/>
              <w:keepLines w:val="0"/>
              <w:pageBreakBefore w:val="0"/>
              <w:kinsoku/>
              <w:wordWrap/>
              <w:overflowPunct/>
              <w:topLinePunct w:val="0"/>
              <w:autoSpaceDE/>
              <w:autoSpaceDN/>
              <w:bidi w:val="0"/>
              <w:adjustRightInd/>
              <w:snapToGrid/>
              <w:ind w:left="0" w:right="0"/>
              <w:rPr>
                <w:rFonts w:hint="eastAsia" w:ascii="Times New Roman" w:hAnsi="Times New Roman" w:eastAsia="宋体"/>
                <w:color w:val="auto"/>
                <w:sz w:val="21"/>
                <w:szCs w:val="21"/>
                <w:highlight w:val="none"/>
                <w:lang w:val="en-US" w:eastAsia="zh-CN"/>
              </w:rPr>
            </w:pPr>
            <w:r>
              <w:rPr>
                <w:rFonts w:hint="eastAsia" w:ascii="Times New Roman" w:hAnsi="Times New Roman" w:eastAsia="宋体"/>
                <w:color w:val="auto"/>
                <w:sz w:val="21"/>
                <w:szCs w:val="21"/>
                <w:highlight w:val="none"/>
                <w:lang w:val="en-US" w:eastAsia="zh-CN"/>
              </w:rPr>
              <w:t>氮氧化物</w:t>
            </w:r>
          </w:p>
        </w:tc>
        <w:tc>
          <w:tcPr>
            <w:tcW w:w="1417" w:type="dxa"/>
            <w:vAlign w:val="center"/>
          </w:tcPr>
          <w:p w14:paraId="1EDE2C1E">
            <w:pPr>
              <w:pStyle w:val="118"/>
              <w:keepNext w:val="0"/>
              <w:keepLines w:val="0"/>
              <w:pageBreakBefore w:val="0"/>
              <w:kinsoku/>
              <w:wordWrap/>
              <w:overflowPunct/>
              <w:topLinePunct w:val="0"/>
              <w:autoSpaceDE/>
              <w:autoSpaceDN/>
              <w:bidi w:val="0"/>
              <w:adjustRightInd/>
              <w:snapToGrid/>
              <w:ind w:left="0" w:right="0"/>
              <w:rPr>
                <w:rFonts w:hint="eastAsia" w:ascii="Times New Roman" w:hAnsi="Times New Roman" w:eastAsia="宋体"/>
                <w:color w:val="auto"/>
                <w:sz w:val="21"/>
                <w:szCs w:val="21"/>
                <w:highlight w:val="none"/>
                <w:lang w:val="en-US" w:eastAsia="zh-CN"/>
              </w:rPr>
            </w:pPr>
            <w:r>
              <w:rPr>
                <w:rFonts w:hint="eastAsia" w:ascii="Times New Roman" w:hAnsi="Times New Roman" w:eastAsia="宋体"/>
                <w:color w:val="auto"/>
                <w:sz w:val="21"/>
                <w:szCs w:val="21"/>
                <w:highlight w:val="none"/>
                <w:lang w:val="en-US" w:eastAsia="zh-CN"/>
              </w:rPr>
              <w:t>0</w:t>
            </w:r>
          </w:p>
        </w:tc>
        <w:tc>
          <w:tcPr>
            <w:tcW w:w="1418" w:type="dxa"/>
            <w:vAlign w:val="center"/>
          </w:tcPr>
          <w:p w14:paraId="71AB2EFC">
            <w:pPr>
              <w:pStyle w:val="118"/>
              <w:keepNext w:val="0"/>
              <w:keepLines w:val="0"/>
              <w:pageBreakBefore w:val="0"/>
              <w:kinsoku/>
              <w:wordWrap/>
              <w:overflowPunct/>
              <w:topLinePunct w:val="0"/>
              <w:autoSpaceDE/>
              <w:autoSpaceDN/>
              <w:bidi w:val="0"/>
              <w:adjustRightInd/>
              <w:snapToGrid/>
              <w:ind w:left="0" w:right="0"/>
              <w:rPr>
                <w:rFonts w:hint="eastAsia" w:ascii="Times New Roman" w:hAnsi="Times New Roman" w:eastAsia="宋体"/>
                <w:color w:val="auto"/>
                <w:sz w:val="21"/>
                <w:szCs w:val="21"/>
                <w:highlight w:val="none"/>
                <w:lang w:val="en-US" w:eastAsia="zh-CN"/>
              </w:rPr>
            </w:pPr>
            <w:r>
              <w:rPr>
                <w:rFonts w:hint="eastAsia" w:ascii="Times New Roman" w:hAnsi="Times New Roman" w:eastAsia="宋体"/>
                <w:color w:val="auto"/>
                <w:sz w:val="21"/>
                <w:szCs w:val="21"/>
                <w:highlight w:val="none"/>
                <w:lang w:val="en-US" w:eastAsia="zh-CN"/>
              </w:rPr>
              <w:t>0</w:t>
            </w:r>
          </w:p>
        </w:tc>
        <w:tc>
          <w:tcPr>
            <w:tcW w:w="1181" w:type="dxa"/>
            <w:vAlign w:val="center"/>
          </w:tcPr>
          <w:p w14:paraId="0A23592A">
            <w:pPr>
              <w:keepNext w:val="0"/>
              <w:keepLines w:val="0"/>
              <w:pageBreakBefore w:val="0"/>
              <w:widowControl/>
              <w:kinsoku/>
              <w:wordWrap/>
              <w:overflowPunct/>
              <w:topLinePunct w:val="0"/>
              <w:autoSpaceDE/>
              <w:autoSpaceDN/>
              <w:bidi w:val="0"/>
              <w:adjustRightInd/>
              <w:snapToGrid/>
              <w:ind w:left="0" w:leftChars="0" w:right="0" w:rightChars="0"/>
              <w:jc w:val="center"/>
              <w:rPr>
                <w:rFonts w:hint="eastAsia"/>
                <w:color w:val="auto"/>
                <w:sz w:val="21"/>
                <w:szCs w:val="21"/>
                <w:highlight w:val="none"/>
              </w:rPr>
            </w:pPr>
            <w:r>
              <w:rPr>
                <w:rFonts w:hint="eastAsia" w:ascii="Times New Roman" w:hAnsi="Times New Roman" w:cs="Times New Roman"/>
                <w:color w:val="auto"/>
                <w:sz w:val="21"/>
                <w:szCs w:val="21"/>
                <w:highlight w:val="none"/>
                <w:lang w:val="en-US" w:eastAsia="zh-CN"/>
              </w:rPr>
              <w:t>0.00003</w:t>
            </w:r>
          </w:p>
        </w:tc>
        <w:tc>
          <w:tcPr>
            <w:tcW w:w="1181" w:type="dxa"/>
            <w:vAlign w:val="center"/>
          </w:tcPr>
          <w:p w14:paraId="52A28CB8">
            <w:pPr>
              <w:pStyle w:val="118"/>
              <w:keepNext w:val="0"/>
              <w:keepLines w:val="0"/>
              <w:pageBreakBefore w:val="0"/>
              <w:kinsoku/>
              <w:wordWrap/>
              <w:overflowPunct/>
              <w:topLinePunct w:val="0"/>
              <w:autoSpaceDE/>
              <w:autoSpaceDN/>
              <w:bidi w:val="0"/>
              <w:adjustRightInd/>
              <w:snapToGrid/>
              <w:ind w:left="0" w:right="0"/>
              <w:rPr>
                <w:rFonts w:hint="eastAsia" w:ascii="Times New Roman" w:hAnsi="Times New Roman" w:eastAsia="宋体"/>
                <w:color w:val="auto"/>
                <w:sz w:val="21"/>
                <w:szCs w:val="21"/>
                <w:highlight w:val="none"/>
                <w:lang w:val="en-US" w:eastAsia="zh-CN"/>
              </w:rPr>
            </w:pPr>
            <w:r>
              <w:rPr>
                <w:rFonts w:hint="eastAsia" w:ascii="Times New Roman" w:hAnsi="Times New Roman" w:eastAsia="宋体"/>
                <w:color w:val="auto"/>
                <w:sz w:val="21"/>
                <w:szCs w:val="21"/>
                <w:highlight w:val="none"/>
                <w:lang w:val="en-US" w:eastAsia="zh-CN"/>
              </w:rPr>
              <w:t>0</w:t>
            </w:r>
          </w:p>
        </w:tc>
        <w:tc>
          <w:tcPr>
            <w:tcW w:w="1182" w:type="dxa"/>
            <w:vAlign w:val="center"/>
          </w:tcPr>
          <w:p w14:paraId="5F8267AC">
            <w:pPr>
              <w:keepNext w:val="0"/>
              <w:keepLines w:val="0"/>
              <w:pageBreakBefore w:val="0"/>
              <w:widowControl/>
              <w:kinsoku/>
              <w:wordWrap/>
              <w:overflowPunct/>
              <w:topLinePunct w:val="0"/>
              <w:autoSpaceDE/>
              <w:autoSpaceDN/>
              <w:bidi w:val="0"/>
              <w:adjustRightInd/>
              <w:snapToGrid/>
              <w:ind w:left="0" w:leftChars="0" w:right="0" w:rightChars="0"/>
              <w:jc w:val="center"/>
              <w:rPr>
                <w:rFonts w:hint="eastAsia"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lang w:val="en-US" w:eastAsia="zh-CN"/>
              </w:rPr>
              <w:t>0.00003</w:t>
            </w:r>
          </w:p>
        </w:tc>
        <w:tc>
          <w:tcPr>
            <w:tcW w:w="1559" w:type="dxa"/>
            <w:vAlign w:val="center"/>
          </w:tcPr>
          <w:p w14:paraId="3707C654">
            <w:pPr>
              <w:pStyle w:val="118"/>
              <w:keepNext w:val="0"/>
              <w:keepLines w:val="0"/>
              <w:pageBreakBefore w:val="0"/>
              <w:kinsoku/>
              <w:wordWrap/>
              <w:overflowPunct/>
              <w:topLinePunct w:val="0"/>
              <w:autoSpaceDE/>
              <w:autoSpaceDN/>
              <w:bidi w:val="0"/>
              <w:adjustRightInd/>
              <w:snapToGrid/>
              <w:ind w:left="0" w:right="0"/>
              <w:rPr>
                <w:rFonts w:hint="eastAsia" w:ascii="Times New Roman" w:hAnsi="Times New Roman" w:eastAsia="宋体"/>
                <w:color w:val="auto"/>
                <w:sz w:val="21"/>
                <w:szCs w:val="21"/>
                <w:highlight w:val="none"/>
                <w:lang w:val="en-US" w:eastAsia="zh-CN"/>
              </w:rPr>
            </w:pPr>
            <w:r>
              <w:rPr>
                <w:rFonts w:hint="eastAsia" w:ascii="Times New Roman" w:hAnsi="Times New Roman" w:eastAsia="宋体"/>
                <w:color w:val="auto"/>
                <w:sz w:val="21"/>
                <w:szCs w:val="21"/>
                <w:highlight w:val="none"/>
                <w:lang w:val="en-US" w:eastAsia="zh-CN"/>
              </w:rPr>
              <w:t>0</w:t>
            </w:r>
          </w:p>
        </w:tc>
        <w:tc>
          <w:tcPr>
            <w:tcW w:w="1559" w:type="dxa"/>
            <w:vAlign w:val="center"/>
          </w:tcPr>
          <w:p w14:paraId="381D3CA1">
            <w:pPr>
              <w:keepNext w:val="0"/>
              <w:keepLines w:val="0"/>
              <w:pageBreakBefore w:val="0"/>
              <w:widowControl/>
              <w:kinsoku/>
              <w:wordWrap/>
              <w:overflowPunct/>
              <w:topLinePunct w:val="0"/>
              <w:autoSpaceDE/>
              <w:autoSpaceDN/>
              <w:bidi w:val="0"/>
              <w:adjustRightInd/>
              <w:snapToGrid/>
              <w:ind w:left="0" w:leftChars="0" w:right="0" w:rightChars="0"/>
              <w:jc w:val="center"/>
              <w:textAlignment w:val="center"/>
              <w:rPr>
                <w:rFonts w:ascii="Times New Roman" w:hAnsi="Times New Roman" w:eastAsia="等线" w:cs="Times New Roman"/>
                <w:color w:val="auto"/>
                <w:sz w:val="21"/>
                <w:szCs w:val="21"/>
                <w:highlight w:val="none"/>
                <w:lang w:bidi="ar"/>
              </w:rPr>
            </w:pPr>
            <w:r>
              <w:rPr>
                <w:rFonts w:hint="eastAsia" w:ascii="Times New Roman" w:hAnsi="Times New Roman" w:eastAsia="等线" w:cs="Times New Roman"/>
                <w:color w:val="auto"/>
                <w:sz w:val="21"/>
                <w:szCs w:val="21"/>
                <w:highlight w:val="none"/>
                <w:lang w:val="en-US" w:eastAsia="zh-CN" w:bidi="ar"/>
              </w:rPr>
              <w:t>0.00003</w:t>
            </w:r>
          </w:p>
        </w:tc>
        <w:tc>
          <w:tcPr>
            <w:tcW w:w="1098" w:type="dxa"/>
            <w:vAlign w:val="center"/>
          </w:tcPr>
          <w:p w14:paraId="2A009B44">
            <w:pPr>
              <w:keepNext w:val="0"/>
              <w:keepLines w:val="0"/>
              <w:pageBreakBefore w:val="0"/>
              <w:widowControl/>
              <w:kinsoku/>
              <w:wordWrap/>
              <w:overflowPunct/>
              <w:topLinePunct w:val="0"/>
              <w:autoSpaceDE/>
              <w:autoSpaceDN/>
              <w:bidi w:val="0"/>
              <w:adjustRightInd/>
              <w:snapToGrid/>
              <w:ind w:left="0" w:leftChars="0" w:right="0" w:rightChars="0"/>
              <w:jc w:val="center"/>
              <w:textAlignment w:val="center"/>
              <w:rPr>
                <w:rFonts w:hint="eastAsia"/>
                <w:color w:val="auto"/>
                <w:sz w:val="21"/>
                <w:szCs w:val="21"/>
                <w:highlight w:val="none"/>
              </w:rPr>
            </w:pPr>
            <w:r>
              <w:rPr>
                <w:rFonts w:hint="eastAsia" w:ascii="Times New Roman" w:hAnsi="Times New Roman" w:eastAsia="等线" w:cs="Times New Roman"/>
                <w:color w:val="auto"/>
                <w:sz w:val="21"/>
                <w:szCs w:val="21"/>
                <w:highlight w:val="none"/>
                <w:lang w:val="en-US" w:eastAsia="zh-CN" w:bidi="ar"/>
              </w:rPr>
              <w:t>+0.00003</w:t>
            </w:r>
          </w:p>
        </w:tc>
        <w:tc>
          <w:tcPr>
            <w:tcW w:w="1261" w:type="dxa"/>
            <w:vMerge w:val="continue"/>
            <w:vAlign w:val="center"/>
          </w:tcPr>
          <w:p w14:paraId="495F7961">
            <w:pPr>
              <w:keepNext w:val="0"/>
              <w:keepLines w:val="0"/>
              <w:pageBreakBefore w:val="0"/>
              <w:kinsoku/>
              <w:wordWrap/>
              <w:overflowPunct/>
              <w:topLinePunct w:val="0"/>
              <w:autoSpaceDE/>
              <w:autoSpaceDN/>
              <w:bidi w:val="0"/>
              <w:adjustRightInd/>
              <w:snapToGrid/>
              <w:ind w:left="0" w:right="0"/>
              <w:jc w:val="center"/>
              <w:rPr>
                <w:rFonts w:ascii="Times New Roman" w:hAnsi="Times New Roman" w:cs="Times New Roman"/>
                <w:color w:val="auto"/>
                <w:kern w:val="44"/>
                <w:sz w:val="21"/>
                <w:szCs w:val="21"/>
                <w:highlight w:val="none"/>
              </w:rPr>
            </w:pPr>
          </w:p>
        </w:tc>
      </w:tr>
      <w:tr w14:paraId="3B16207A">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CellMar>
            <w:top w:w="0" w:type="dxa"/>
            <w:left w:w="0" w:type="dxa"/>
            <w:bottom w:w="0" w:type="dxa"/>
            <w:right w:w="0" w:type="dxa"/>
          </w:tblCellMar>
        </w:tblPrEx>
        <w:trPr>
          <w:cantSplit/>
          <w:trHeight w:val="406" w:hRule="atLeast"/>
          <w:jc w:val="center"/>
        </w:trPr>
        <w:tc>
          <w:tcPr>
            <w:tcW w:w="732" w:type="dxa"/>
            <w:vMerge w:val="continue"/>
            <w:vAlign w:val="center"/>
          </w:tcPr>
          <w:p w14:paraId="084ED1FE">
            <w:pPr>
              <w:pStyle w:val="118"/>
              <w:keepNext w:val="0"/>
              <w:keepLines w:val="0"/>
              <w:pageBreakBefore w:val="0"/>
              <w:kinsoku/>
              <w:wordWrap/>
              <w:overflowPunct/>
              <w:topLinePunct w:val="0"/>
              <w:autoSpaceDE/>
              <w:autoSpaceDN/>
              <w:bidi w:val="0"/>
              <w:adjustRightInd/>
              <w:snapToGrid/>
              <w:ind w:left="0" w:right="0"/>
              <w:rPr>
                <w:rFonts w:ascii="Times New Roman" w:hAnsi="Times New Roman" w:eastAsia="宋体"/>
                <w:color w:val="auto"/>
                <w:sz w:val="21"/>
                <w:szCs w:val="21"/>
                <w:highlight w:val="none"/>
              </w:rPr>
            </w:pPr>
          </w:p>
        </w:tc>
        <w:tc>
          <w:tcPr>
            <w:tcW w:w="1111" w:type="dxa"/>
            <w:vAlign w:val="center"/>
          </w:tcPr>
          <w:p w14:paraId="17E26B15">
            <w:pPr>
              <w:pStyle w:val="118"/>
              <w:keepNext w:val="0"/>
              <w:keepLines w:val="0"/>
              <w:pageBreakBefore w:val="0"/>
              <w:kinsoku/>
              <w:wordWrap/>
              <w:overflowPunct/>
              <w:topLinePunct w:val="0"/>
              <w:autoSpaceDE/>
              <w:autoSpaceDN/>
              <w:bidi w:val="0"/>
              <w:adjustRightInd/>
              <w:snapToGrid/>
              <w:ind w:left="0" w:right="0"/>
              <w:rPr>
                <w:rFonts w:hint="eastAsia" w:ascii="Times New Roman" w:hAnsi="Times New Roman" w:eastAsia="宋体"/>
                <w:color w:val="auto"/>
                <w:sz w:val="21"/>
                <w:szCs w:val="21"/>
                <w:highlight w:val="none"/>
                <w:lang w:val="en-US" w:eastAsia="zh-CN"/>
              </w:rPr>
            </w:pPr>
            <w:r>
              <w:rPr>
                <w:rFonts w:hint="eastAsia" w:ascii="Times New Roman" w:hAnsi="Times New Roman" w:eastAsia="宋体"/>
                <w:color w:val="auto"/>
                <w:sz w:val="21"/>
                <w:szCs w:val="21"/>
                <w:highlight w:val="none"/>
                <w:lang w:val="en-US" w:eastAsia="zh-CN"/>
              </w:rPr>
              <w:t>甲醇</w:t>
            </w:r>
          </w:p>
        </w:tc>
        <w:tc>
          <w:tcPr>
            <w:tcW w:w="1417" w:type="dxa"/>
            <w:vAlign w:val="center"/>
          </w:tcPr>
          <w:p w14:paraId="17B19F57">
            <w:pPr>
              <w:pStyle w:val="118"/>
              <w:keepNext w:val="0"/>
              <w:keepLines w:val="0"/>
              <w:pageBreakBefore w:val="0"/>
              <w:kinsoku/>
              <w:wordWrap/>
              <w:overflowPunct/>
              <w:topLinePunct w:val="0"/>
              <w:autoSpaceDE/>
              <w:autoSpaceDN/>
              <w:bidi w:val="0"/>
              <w:adjustRightInd/>
              <w:snapToGrid/>
              <w:ind w:left="0" w:right="0"/>
              <w:rPr>
                <w:rFonts w:hint="eastAsia" w:ascii="Times New Roman" w:hAnsi="Times New Roman" w:eastAsia="宋体"/>
                <w:color w:val="auto"/>
                <w:sz w:val="21"/>
                <w:szCs w:val="21"/>
                <w:highlight w:val="none"/>
                <w:lang w:val="en-US" w:eastAsia="zh-CN"/>
              </w:rPr>
            </w:pPr>
            <w:r>
              <w:rPr>
                <w:rFonts w:hint="eastAsia" w:ascii="Times New Roman" w:hAnsi="Times New Roman" w:eastAsia="宋体"/>
                <w:color w:val="auto"/>
                <w:sz w:val="21"/>
                <w:szCs w:val="21"/>
                <w:highlight w:val="none"/>
                <w:lang w:val="en-US" w:eastAsia="zh-CN"/>
              </w:rPr>
              <w:t>0</w:t>
            </w:r>
          </w:p>
        </w:tc>
        <w:tc>
          <w:tcPr>
            <w:tcW w:w="1418" w:type="dxa"/>
            <w:vAlign w:val="center"/>
          </w:tcPr>
          <w:p w14:paraId="0DC28F71">
            <w:pPr>
              <w:pStyle w:val="118"/>
              <w:keepNext w:val="0"/>
              <w:keepLines w:val="0"/>
              <w:pageBreakBefore w:val="0"/>
              <w:kinsoku/>
              <w:wordWrap/>
              <w:overflowPunct/>
              <w:topLinePunct w:val="0"/>
              <w:autoSpaceDE/>
              <w:autoSpaceDN/>
              <w:bidi w:val="0"/>
              <w:adjustRightInd/>
              <w:snapToGrid/>
              <w:ind w:left="0" w:right="0"/>
              <w:rPr>
                <w:rFonts w:hint="eastAsia" w:ascii="Times New Roman" w:hAnsi="Times New Roman" w:eastAsia="宋体"/>
                <w:color w:val="auto"/>
                <w:sz w:val="21"/>
                <w:szCs w:val="21"/>
                <w:highlight w:val="none"/>
                <w:lang w:val="en-US" w:eastAsia="zh-CN"/>
              </w:rPr>
            </w:pPr>
            <w:r>
              <w:rPr>
                <w:rFonts w:hint="eastAsia" w:ascii="Times New Roman" w:hAnsi="Times New Roman" w:eastAsia="宋体"/>
                <w:color w:val="auto"/>
                <w:sz w:val="21"/>
                <w:szCs w:val="21"/>
                <w:highlight w:val="none"/>
                <w:lang w:val="en-US" w:eastAsia="zh-CN"/>
              </w:rPr>
              <w:t>0</w:t>
            </w:r>
          </w:p>
        </w:tc>
        <w:tc>
          <w:tcPr>
            <w:tcW w:w="1181" w:type="dxa"/>
            <w:vAlign w:val="center"/>
          </w:tcPr>
          <w:p w14:paraId="53C78C55">
            <w:pPr>
              <w:keepNext w:val="0"/>
              <w:keepLines w:val="0"/>
              <w:pageBreakBefore w:val="0"/>
              <w:widowControl/>
              <w:kinsoku/>
              <w:wordWrap/>
              <w:overflowPunct/>
              <w:topLinePunct w:val="0"/>
              <w:autoSpaceDE/>
              <w:autoSpaceDN/>
              <w:bidi w:val="0"/>
              <w:adjustRightInd/>
              <w:snapToGrid/>
              <w:ind w:left="0" w:leftChars="0" w:right="0" w:rightChars="0"/>
              <w:jc w:val="center"/>
              <w:rPr>
                <w:rFonts w:hint="eastAsia"/>
                <w:color w:val="auto"/>
                <w:sz w:val="21"/>
                <w:szCs w:val="21"/>
                <w:highlight w:val="none"/>
              </w:rPr>
            </w:pPr>
            <w:r>
              <w:rPr>
                <w:rFonts w:hint="eastAsia" w:ascii="Times New Roman" w:hAnsi="Times New Roman" w:cs="Times New Roman"/>
                <w:color w:val="auto"/>
                <w:sz w:val="21"/>
                <w:szCs w:val="21"/>
                <w:highlight w:val="none"/>
                <w:lang w:val="en-US" w:eastAsia="zh-CN"/>
              </w:rPr>
              <w:t>0.0008</w:t>
            </w:r>
          </w:p>
        </w:tc>
        <w:tc>
          <w:tcPr>
            <w:tcW w:w="1181" w:type="dxa"/>
            <w:vAlign w:val="center"/>
          </w:tcPr>
          <w:p w14:paraId="0C27854F">
            <w:pPr>
              <w:pStyle w:val="118"/>
              <w:keepNext w:val="0"/>
              <w:keepLines w:val="0"/>
              <w:pageBreakBefore w:val="0"/>
              <w:kinsoku/>
              <w:wordWrap/>
              <w:overflowPunct/>
              <w:topLinePunct w:val="0"/>
              <w:autoSpaceDE/>
              <w:autoSpaceDN/>
              <w:bidi w:val="0"/>
              <w:adjustRightInd/>
              <w:snapToGrid/>
              <w:ind w:left="0" w:right="0"/>
              <w:rPr>
                <w:rFonts w:hint="eastAsia" w:ascii="Times New Roman" w:hAnsi="Times New Roman" w:eastAsia="宋体"/>
                <w:color w:val="auto"/>
                <w:sz w:val="21"/>
                <w:szCs w:val="21"/>
                <w:highlight w:val="none"/>
                <w:lang w:val="en-US" w:eastAsia="zh-CN"/>
              </w:rPr>
            </w:pPr>
            <w:r>
              <w:rPr>
                <w:rFonts w:hint="eastAsia" w:ascii="Times New Roman" w:hAnsi="Times New Roman" w:eastAsia="宋体"/>
                <w:color w:val="auto"/>
                <w:sz w:val="21"/>
                <w:szCs w:val="21"/>
                <w:highlight w:val="none"/>
                <w:lang w:val="en-US" w:eastAsia="zh-CN"/>
              </w:rPr>
              <w:t>0</w:t>
            </w:r>
          </w:p>
        </w:tc>
        <w:tc>
          <w:tcPr>
            <w:tcW w:w="1182" w:type="dxa"/>
            <w:vAlign w:val="center"/>
          </w:tcPr>
          <w:p w14:paraId="3CEA3551">
            <w:pPr>
              <w:keepNext w:val="0"/>
              <w:keepLines w:val="0"/>
              <w:pageBreakBefore w:val="0"/>
              <w:widowControl/>
              <w:kinsoku/>
              <w:wordWrap/>
              <w:overflowPunct/>
              <w:topLinePunct w:val="0"/>
              <w:autoSpaceDE/>
              <w:autoSpaceDN/>
              <w:bidi w:val="0"/>
              <w:adjustRightInd/>
              <w:snapToGrid/>
              <w:ind w:left="0" w:leftChars="0" w:right="0" w:rightChars="0"/>
              <w:jc w:val="center"/>
              <w:rPr>
                <w:rFonts w:hint="eastAsia"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lang w:val="en-US" w:eastAsia="zh-CN"/>
              </w:rPr>
              <w:t>0.0008</w:t>
            </w:r>
          </w:p>
        </w:tc>
        <w:tc>
          <w:tcPr>
            <w:tcW w:w="1559" w:type="dxa"/>
            <w:vAlign w:val="center"/>
          </w:tcPr>
          <w:p w14:paraId="54AF4424">
            <w:pPr>
              <w:pStyle w:val="118"/>
              <w:keepNext w:val="0"/>
              <w:keepLines w:val="0"/>
              <w:pageBreakBefore w:val="0"/>
              <w:kinsoku/>
              <w:wordWrap/>
              <w:overflowPunct/>
              <w:topLinePunct w:val="0"/>
              <w:autoSpaceDE/>
              <w:autoSpaceDN/>
              <w:bidi w:val="0"/>
              <w:adjustRightInd/>
              <w:snapToGrid/>
              <w:ind w:left="0" w:right="0"/>
              <w:rPr>
                <w:rFonts w:hint="eastAsia" w:ascii="Times New Roman" w:hAnsi="Times New Roman" w:eastAsia="宋体"/>
                <w:color w:val="auto"/>
                <w:sz w:val="21"/>
                <w:szCs w:val="21"/>
                <w:highlight w:val="none"/>
                <w:lang w:val="en-US" w:eastAsia="zh-CN"/>
              </w:rPr>
            </w:pPr>
            <w:r>
              <w:rPr>
                <w:rFonts w:hint="eastAsia" w:ascii="Times New Roman" w:hAnsi="Times New Roman" w:eastAsia="宋体"/>
                <w:color w:val="auto"/>
                <w:sz w:val="21"/>
                <w:szCs w:val="21"/>
                <w:highlight w:val="none"/>
                <w:lang w:val="en-US" w:eastAsia="zh-CN"/>
              </w:rPr>
              <w:t>0</w:t>
            </w:r>
          </w:p>
        </w:tc>
        <w:tc>
          <w:tcPr>
            <w:tcW w:w="1559" w:type="dxa"/>
            <w:vAlign w:val="center"/>
          </w:tcPr>
          <w:p w14:paraId="3AF4A9C3">
            <w:pPr>
              <w:keepNext w:val="0"/>
              <w:keepLines w:val="0"/>
              <w:pageBreakBefore w:val="0"/>
              <w:widowControl/>
              <w:kinsoku/>
              <w:wordWrap/>
              <w:overflowPunct/>
              <w:topLinePunct w:val="0"/>
              <w:autoSpaceDE/>
              <w:autoSpaceDN/>
              <w:bidi w:val="0"/>
              <w:adjustRightInd/>
              <w:snapToGrid/>
              <w:ind w:left="0" w:leftChars="0" w:right="0" w:rightChars="0"/>
              <w:jc w:val="center"/>
              <w:textAlignment w:val="center"/>
              <w:rPr>
                <w:rFonts w:ascii="Times New Roman" w:hAnsi="Times New Roman" w:eastAsia="等线" w:cs="Times New Roman"/>
                <w:color w:val="auto"/>
                <w:sz w:val="21"/>
                <w:szCs w:val="21"/>
                <w:highlight w:val="none"/>
                <w:lang w:bidi="ar"/>
              </w:rPr>
            </w:pPr>
            <w:r>
              <w:rPr>
                <w:rFonts w:hint="eastAsia" w:ascii="Times New Roman" w:hAnsi="Times New Roman" w:eastAsia="等线" w:cs="Times New Roman"/>
                <w:color w:val="auto"/>
                <w:sz w:val="21"/>
                <w:szCs w:val="21"/>
                <w:highlight w:val="none"/>
                <w:lang w:val="en-US" w:eastAsia="zh-CN" w:bidi="ar"/>
              </w:rPr>
              <w:t>0.0008</w:t>
            </w:r>
          </w:p>
        </w:tc>
        <w:tc>
          <w:tcPr>
            <w:tcW w:w="1098" w:type="dxa"/>
            <w:vAlign w:val="center"/>
          </w:tcPr>
          <w:p w14:paraId="27F628FE">
            <w:pPr>
              <w:keepNext w:val="0"/>
              <w:keepLines w:val="0"/>
              <w:pageBreakBefore w:val="0"/>
              <w:widowControl/>
              <w:kinsoku/>
              <w:wordWrap/>
              <w:overflowPunct/>
              <w:topLinePunct w:val="0"/>
              <w:autoSpaceDE/>
              <w:autoSpaceDN/>
              <w:bidi w:val="0"/>
              <w:adjustRightInd/>
              <w:snapToGrid/>
              <w:ind w:left="0" w:leftChars="0" w:right="0" w:rightChars="0"/>
              <w:jc w:val="center"/>
              <w:textAlignment w:val="center"/>
              <w:rPr>
                <w:rFonts w:hint="eastAsia"/>
                <w:color w:val="auto"/>
                <w:sz w:val="21"/>
                <w:szCs w:val="21"/>
                <w:highlight w:val="none"/>
              </w:rPr>
            </w:pPr>
            <w:r>
              <w:rPr>
                <w:rFonts w:hint="eastAsia" w:ascii="Times New Roman" w:hAnsi="Times New Roman" w:eastAsia="等线" w:cs="Times New Roman"/>
                <w:color w:val="auto"/>
                <w:sz w:val="21"/>
                <w:szCs w:val="21"/>
                <w:highlight w:val="none"/>
                <w:lang w:val="en-US" w:eastAsia="zh-CN" w:bidi="ar"/>
              </w:rPr>
              <w:t>+0.0008</w:t>
            </w:r>
          </w:p>
        </w:tc>
        <w:tc>
          <w:tcPr>
            <w:tcW w:w="1261" w:type="dxa"/>
            <w:vMerge w:val="continue"/>
            <w:vAlign w:val="center"/>
          </w:tcPr>
          <w:p w14:paraId="03FE0F9E">
            <w:pPr>
              <w:keepNext w:val="0"/>
              <w:keepLines w:val="0"/>
              <w:pageBreakBefore w:val="0"/>
              <w:kinsoku/>
              <w:wordWrap/>
              <w:overflowPunct/>
              <w:topLinePunct w:val="0"/>
              <w:autoSpaceDE/>
              <w:autoSpaceDN/>
              <w:bidi w:val="0"/>
              <w:adjustRightInd/>
              <w:snapToGrid/>
              <w:ind w:left="0" w:right="0"/>
              <w:jc w:val="center"/>
              <w:rPr>
                <w:rFonts w:ascii="Times New Roman" w:hAnsi="Times New Roman" w:cs="Times New Roman"/>
                <w:color w:val="auto"/>
                <w:kern w:val="44"/>
                <w:sz w:val="21"/>
                <w:szCs w:val="21"/>
                <w:highlight w:val="none"/>
              </w:rPr>
            </w:pPr>
          </w:p>
        </w:tc>
      </w:tr>
      <w:tr w14:paraId="6B811CAE">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CellMar>
            <w:top w:w="0" w:type="dxa"/>
            <w:left w:w="0" w:type="dxa"/>
            <w:bottom w:w="0" w:type="dxa"/>
            <w:right w:w="0" w:type="dxa"/>
          </w:tblCellMar>
        </w:tblPrEx>
        <w:trPr>
          <w:cantSplit/>
          <w:trHeight w:val="343" w:hRule="atLeast"/>
          <w:jc w:val="center"/>
        </w:trPr>
        <w:tc>
          <w:tcPr>
            <w:tcW w:w="732" w:type="dxa"/>
            <w:vMerge w:val="restart"/>
            <w:vAlign w:val="center"/>
          </w:tcPr>
          <w:p w14:paraId="1F3026BB">
            <w:pPr>
              <w:pStyle w:val="118"/>
              <w:keepNext w:val="0"/>
              <w:keepLines w:val="0"/>
              <w:pageBreakBefore w:val="0"/>
              <w:kinsoku/>
              <w:wordWrap/>
              <w:overflowPunct/>
              <w:topLinePunct w:val="0"/>
              <w:autoSpaceDE/>
              <w:autoSpaceDN/>
              <w:bidi w:val="0"/>
              <w:adjustRightInd/>
              <w:snapToGrid/>
              <w:ind w:left="0" w:right="0"/>
              <w:rPr>
                <w:rFonts w:ascii="Times New Roman" w:hAnsi="Times New Roman" w:eastAsia="宋体"/>
                <w:color w:val="auto"/>
                <w:sz w:val="21"/>
                <w:szCs w:val="21"/>
                <w:highlight w:val="none"/>
              </w:rPr>
            </w:pPr>
            <w:r>
              <w:rPr>
                <w:rFonts w:hint="eastAsia" w:ascii="Times New Roman" w:hAnsi="Times New Roman" w:eastAsia="宋体"/>
                <w:color w:val="auto"/>
                <w:sz w:val="21"/>
                <w:szCs w:val="21"/>
                <w:highlight w:val="none"/>
              </w:rPr>
              <w:t>接管生活污水</w:t>
            </w:r>
          </w:p>
        </w:tc>
        <w:tc>
          <w:tcPr>
            <w:tcW w:w="1111" w:type="dxa"/>
            <w:vAlign w:val="center"/>
          </w:tcPr>
          <w:p w14:paraId="4481895E">
            <w:pPr>
              <w:pStyle w:val="118"/>
              <w:keepNext w:val="0"/>
              <w:keepLines w:val="0"/>
              <w:pageBreakBefore w:val="0"/>
              <w:kinsoku/>
              <w:wordWrap/>
              <w:overflowPunct/>
              <w:topLinePunct w:val="0"/>
              <w:autoSpaceDE/>
              <w:autoSpaceDN/>
              <w:bidi w:val="0"/>
              <w:adjustRightInd/>
              <w:snapToGrid/>
              <w:ind w:left="0" w:right="0"/>
              <w:rPr>
                <w:rFonts w:ascii="Times New Roman" w:hAnsi="Times New Roman" w:eastAsia="宋体"/>
                <w:color w:val="auto"/>
                <w:sz w:val="21"/>
                <w:szCs w:val="21"/>
                <w:highlight w:val="none"/>
              </w:rPr>
            </w:pPr>
            <w:r>
              <w:rPr>
                <w:rFonts w:hint="eastAsia" w:ascii="Times New Roman" w:hAnsi="Times New Roman" w:eastAsia="宋体"/>
                <w:color w:val="auto"/>
                <w:sz w:val="21"/>
                <w:szCs w:val="21"/>
                <w:highlight w:val="none"/>
              </w:rPr>
              <w:t>废</w:t>
            </w:r>
            <w:r>
              <w:rPr>
                <w:rFonts w:ascii="Times New Roman" w:hAnsi="Times New Roman" w:eastAsia="宋体"/>
                <w:color w:val="auto"/>
                <w:sz w:val="21"/>
                <w:szCs w:val="21"/>
                <w:highlight w:val="none"/>
              </w:rPr>
              <w:t>水量</w:t>
            </w:r>
          </w:p>
        </w:tc>
        <w:tc>
          <w:tcPr>
            <w:tcW w:w="1417" w:type="dxa"/>
            <w:vAlign w:val="center"/>
          </w:tcPr>
          <w:p w14:paraId="391E138D">
            <w:pPr>
              <w:pStyle w:val="118"/>
              <w:keepNext w:val="0"/>
              <w:keepLines w:val="0"/>
              <w:pageBreakBefore w:val="0"/>
              <w:kinsoku/>
              <w:wordWrap/>
              <w:overflowPunct/>
              <w:topLinePunct w:val="0"/>
              <w:autoSpaceDE/>
              <w:autoSpaceDN/>
              <w:bidi w:val="0"/>
              <w:adjustRightInd/>
              <w:snapToGrid/>
              <w:ind w:left="0" w:right="0"/>
              <w:rPr>
                <w:rFonts w:ascii="Times New Roman" w:hAnsi="Times New Roman"/>
                <w:color w:val="auto"/>
                <w:sz w:val="21"/>
                <w:szCs w:val="21"/>
                <w:highlight w:val="none"/>
              </w:rPr>
            </w:pPr>
            <w:r>
              <w:rPr>
                <w:rFonts w:hint="eastAsia" w:ascii="Times New Roman" w:hAnsi="Times New Roman"/>
                <w:color w:val="auto"/>
                <w:sz w:val="21"/>
                <w:szCs w:val="21"/>
                <w:highlight w:val="none"/>
              </w:rPr>
              <w:t>4300</w:t>
            </w:r>
          </w:p>
        </w:tc>
        <w:tc>
          <w:tcPr>
            <w:tcW w:w="1418" w:type="dxa"/>
            <w:vAlign w:val="center"/>
          </w:tcPr>
          <w:p w14:paraId="667D4E2B">
            <w:pPr>
              <w:keepNext w:val="0"/>
              <w:keepLines w:val="0"/>
              <w:pageBreakBefore w:val="0"/>
              <w:kinsoku/>
              <w:wordWrap/>
              <w:overflowPunct/>
              <w:topLinePunct w:val="0"/>
              <w:autoSpaceDE/>
              <w:autoSpaceDN/>
              <w:bidi w:val="0"/>
              <w:adjustRightInd/>
              <w:snapToGrid/>
              <w:ind w:left="0" w:right="0"/>
              <w:jc w:val="center"/>
              <w:rPr>
                <w:rFonts w:ascii="Times New Roman" w:hAnsi="Times New Roman"/>
                <w:color w:val="auto"/>
                <w:sz w:val="21"/>
                <w:szCs w:val="18"/>
                <w:highlight w:val="none"/>
              </w:rPr>
            </w:pPr>
            <w:r>
              <w:rPr>
                <w:rFonts w:hint="eastAsia" w:ascii="Times New Roman" w:hAnsi="Times New Roman" w:cs="Times New Roman"/>
                <w:color w:val="auto"/>
                <w:sz w:val="21"/>
                <w:szCs w:val="15"/>
                <w:highlight w:val="none"/>
              </w:rPr>
              <w:t>3800</w:t>
            </w:r>
          </w:p>
        </w:tc>
        <w:tc>
          <w:tcPr>
            <w:tcW w:w="1181" w:type="dxa"/>
            <w:vAlign w:val="center"/>
          </w:tcPr>
          <w:p w14:paraId="654A0167">
            <w:pPr>
              <w:keepNext w:val="0"/>
              <w:keepLines w:val="0"/>
              <w:pageBreakBefore w:val="0"/>
              <w:kinsoku/>
              <w:wordWrap/>
              <w:overflowPunct/>
              <w:topLinePunct w:val="0"/>
              <w:autoSpaceDE/>
              <w:autoSpaceDN/>
              <w:bidi w:val="0"/>
              <w:adjustRightInd/>
              <w:snapToGrid/>
              <w:ind w:left="0" w:right="0"/>
              <w:jc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0</w:t>
            </w:r>
          </w:p>
        </w:tc>
        <w:tc>
          <w:tcPr>
            <w:tcW w:w="1181" w:type="dxa"/>
            <w:vAlign w:val="center"/>
          </w:tcPr>
          <w:p w14:paraId="53C93DE0">
            <w:pPr>
              <w:keepNext w:val="0"/>
              <w:keepLines w:val="0"/>
              <w:pageBreakBefore w:val="0"/>
              <w:kinsoku/>
              <w:wordWrap/>
              <w:overflowPunct/>
              <w:topLinePunct w:val="0"/>
              <w:autoSpaceDE/>
              <w:autoSpaceDN/>
              <w:bidi w:val="0"/>
              <w:adjustRightInd/>
              <w:snapToGrid/>
              <w:ind w:left="0" w:right="0"/>
              <w:jc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0</w:t>
            </w:r>
          </w:p>
        </w:tc>
        <w:tc>
          <w:tcPr>
            <w:tcW w:w="1182" w:type="dxa"/>
            <w:vAlign w:val="center"/>
          </w:tcPr>
          <w:p w14:paraId="00C26793">
            <w:pPr>
              <w:keepNext w:val="0"/>
              <w:keepLines w:val="0"/>
              <w:pageBreakBefore w:val="0"/>
              <w:kinsoku/>
              <w:wordWrap/>
              <w:overflowPunct/>
              <w:topLinePunct w:val="0"/>
              <w:autoSpaceDE/>
              <w:autoSpaceDN/>
              <w:bidi w:val="0"/>
              <w:adjustRightInd/>
              <w:snapToGrid/>
              <w:ind w:left="0" w:right="0"/>
              <w:jc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0</w:t>
            </w:r>
          </w:p>
        </w:tc>
        <w:tc>
          <w:tcPr>
            <w:tcW w:w="1559" w:type="dxa"/>
            <w:vAlign w:val="center"/>
          </w:tcPr>
          <w:p w14:paraId="496E41AB">
            <w:pPr>
              <w:keepNext w:val="0"/>
              <w:keepLines w:val="0"/>
              <w:pageBreakBefore w:val="0"/>
              <w:kinsoku/>
              <w:wordWrap/>
              <w:overflowPunct/>
              <w:topLinePunct w:val="0"/>
              <w:autoSpaceDE/>
              <w:autoSpaceDN/>
              <w:bidi w:val="0"/>
              <w:adjustRightInd/>
              <w:snapToGrid/>
              <w:ind w:left="0" w:right="0"/>
              <w:jc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0</w:t>
            </w:r>
          </w:p>
        </w:tc>
        <w:tc>
          <w:tcPr>
            <w:tcW w:w="1559" w:type="dxa"/>
            <w:vAlign w:val="center"/>
          </w:tcPr>
          <w:p w14:paraId="69CBDB14">
            <w:pPr>
              <w:keepNext w:val="0"/>
              <w:keepLines w:val="0"/>
              <w:pageBreakBefore w:val="0"/>
              <w:kinsoku/>
              <w:wordWrap/>
              <w:overflowPunct/>
              <w:topLinePunct w:val="0"/>
              <w:autoSpaceDE/>
              <w:autoSpaceDN/>
              <w:bidi w:val="0"/>
              <w:adjustRightInd/>
              <w:snapToGrid/>
              <w:ind w:left="0" w:right="0"/>
              <w:jc w:val="center"/>
              <w:rPr>
                <w:rFonts w:ascii="Times New Roman" w:hAnsi="Times New Roman"/>
                <w:color w:val="auto"/>
                <w:sz w:val="21"/>
                <w:szCs w:val="18"/>
                <w:highlight w:val="none"/>
              </w:rPr>
            </w:pPr>
            <w:r>
              <w:rPr>
                <w:rFonts w:hint="eastAsia" w:ascii="Times New Roman" w:hAnsi="Times New Roman" w:cs="Times New Roman"/>
                <w:color w:val="auto"/>
                <w:sz w:val="21"/>
                <w:szCs w:val="15"/>
                <w:highlight w:val="none"/>
              </w:rPr>
              <w:t>3800</w:t>
            </w:r>
          </w:p>
        </w:tc>
        <w:tc>
          <w:tcPr>
            <w:tcW w:w="1098" w:type="dxa"/>
            <w:vAlign w:val="center"/>
          </w:tcPr>
          <w:p w14:paraId="1182AEF4">
            <w:pPr>
              <w:keepNext w:val="0"/>
              <w:keepLines w:val="0"/>
              <w:pageBreakBefore w:val="0"/>
              <w:kinsoku/>
              <w:wordWrap/>
              <w:overflowPunct/>
              <w:topLinePunct w:val="0"/>
              <w:autoSpaceDE/>
              <w:autoSpaceDN/>
              <w:bidi w:val="0"/>
              <w:adjustRightInd/>
              <w:snapToGrid/>
              <w:ind w:left="0" w:right="0"/>
              <w:jc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0</w:t>
            </w:r>
          </w:p>
        </w:tc>
        <w:tc>
          <w:tcPr>
            <w:tcW w:w="1261" w:type="dxa"/>
            <w:vMerge w:val="restart"/>
            <w:vAlign w:val="center"/>
          </w:tcPr>
          <w:p w14:paraId="43CC1B54">
            <w:pPr>
              <w:pStyle w:val="118"/>
              <w:keepNext w:val="0"/>
              <w:keepLines w:val="0"/>
              <w:pageBreakBefore w:val="0"/>
              <w:kinsoku/>
              <w:wordWrap/>
              <w:overflowPunct/>
              <w:topLinePunct w:val="0"/>
              <w:autoSpaceDE/>
              <w:autoSpaceDN/>
              <w:bidi w:val="0"/>
              <w:adjustRightInd/>
              <w:snapToGrid/>
              <w:ind w:left="0" w:right="0"/>
              <w:rPr>
                <w:rFonts w:ascii="Times New Roman" w:hAnsi="Times New Roman" w:eastAsia="宋体"/>
                <w:color w:val="auto"/>
                <w:sz w:val="21"/>
                <w:szCs w:val="21"/>
                <w:highlight w:val="none"/>
              </w:rPr>
            </w:pPr>
            <w:r>
              <w:rPr>
                <w:rFonts w:hint="eastAsia" w:ascii="Times New Roman" w:hAnsi="Times New Roman" w:eastAsia="宋体"/>
                <w:color w:val="auto"/>
                <w:sz w:val="21"/>
                <w:szCs w:val="21"/>
                <w:highlight w:val="none"/>
              </w:rPr>
              <w:t>经无锡先进化药化工有限公司处理达标后接入无锡市锡山云林污水处理有限公司</w:t>
            </w:r>
          </w:p>
        </w:tc>
      </w:tr>
      <w:tr w14:paraId="4C6EEA21">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CellMar>
            <w:top w:w="0" w:type="dxa"/>
            <w:left w:w="0" w:type="dxa"/>
            <w:bottom w:w="0" w:type="dxa"/>
            <w:right w:w="0" w:type="dxa"/>
          </w:tblCellMar>
        </w:tblPrEx>
        <w:trPr>
          <w:cantSplit/>
          <w:trHeight w:val="344" w:hRule="atLeast"/>
          <w:jc w:val="center"/>
        </w:trPr>
        <w:tc>
          <w:tcPr>
            <w:tcW w:w="732" w:type="dxa"/>
            <w:vMerge w:val="continue"/>
            <w:vAlign w:val="center"/>
          </w:tcPr>
          <w:p w14:paraId="0E23D6FA">
            <w:pPr>
              <w:keepNext w:val="0"/>
              <w:keepLines w:val="0"/>
              <w:pageBreakBefore w:val="0"/>
              <w:kinsoku/>
              <w:wordWrap/>
              <w:overflowPunct/>
              <w:topLinePunct w:val="0"/>
              <w:autoSpaceDE/>
              <w:autoSpaceDN/>
              <w:bidi w:val="0"/>
              <w:adjustRightInd/>
              <w:snapToGrid/>
              <w:ind w:left="0" w:right="0"/>
              <w:jc w:val="center"/>
              <w:rPr>
                <w:rFonts w:ascii="Times New Roman" w:hAnsi="Times New Roman" w:cs="Times New Roman"/>
                <w:color w:val="auto"/>
                <w:kern w:val="44"/>
                <w:sz w:val="21"/>
                <w:szCs w:val="21"/>
                <w:highlight w:val="none"/>
              </w:rPr>
            </w:pPr>
          </w:p>
        </w:tc>
        <w:tc>
          <w:tcPr>
            <w:tcW w:w="1111" w:type="dxa"/>
            <w:vAlign w:val="center"/>
          </w:tcPr>
          <w:p w14:paraId="0151698D">
            <w:pPr>
              <w:pStyle w:val="118"/>
              <w:keepNext w:val="0"/>
              <w:keepLines w:val="0"/>
              <w:pageBreakBefore w:val="0"/>
              <w:kinsoku/>
              <w:wordWrap/>
              <w:overflowPunct/>
              <w:topLinePunct w:val="0"/>
              <w:autoSpaceDE/>
              <w:autoSpaceDN/>
              <w:bidi w:val="0"/>
              <w:adjustRightInd/>
              <w:snapToGrid/>
              <w:ind w:left="0" w:right="0"/>
              <w:rPr>
                <w:rFonts w:ascii="Times New Roman" w:hAnsi="Times New Roman" w:eastAsia="宋体"/>
                <w:color w:val="auto"/>
                <w:sz w:val="21"/>
                <w:szCs w:val="21"/>
                <w:highlight w:val="none"/>
              </w:rPr>
            </w:pPr>
            <w:r>
              <w:rPr>
                <w:rFonts w:ascii="Times New Roman" w:hAnsi="Times New Roman" w:eastAsia="宋体"/>
                <w:color w:val="auto"/>
                <w:sz w:val="21"/>
                <w:szCs w:val="21"/>
                <w:highlight w:val="none"/>
              </w:rPr>
              <w:t>COD</w:t>
            </w:r>
          </w:p>
        </w:tc>
        <w:tc>
          <w:tcPr>
            <w:tcW w:w="1417" w:type="dxa"/>
            <w:vAlign w:val="center"/>
          </w:tcPr>
          <w:p w14:paraId="0D0FBC38">
            <w:pPr>
              <w:pStyle w:val="118"/>
              <w:keepNext w:val="0"/>
              <w:keepLines w:val="0"/>
              <w:pageBreakBefore w:val="0"/>
              <w:kinsoku/>
              <w:wordWrap/>
              <w:overflowPunct/>
              <w:topLinePunct w:val="0"/>
              <w:autoSpaceDE/>
              <w:autoSpaceDN/>
              <w:bidi w:val="0"/>
              <w:adjustRightInd/>
              <w:snapToGrid/>
              <w:ind w:left="0" w:right="0"/>
              <w:rPr>
                <w:rFonts w:ascii="Times New Roman" w:hAnsi="Times New Roman"/>
                <w:color w:val="auto"/>
                <w:sz w:val="21"/>
                <w:szCs w:val="21"/>
                <w:highlight w:val="none"/>
              </w:rPr>
            </w:pPr>
            <w:r>
              <w:rPr>
                <w:rFonts w:hint="eastAsia" w:ascii="Times New Roman" w:hAnsi="Times New Roman"/>
                <w:color w:val="auto"/>
                <w:sz w:val="21"/>
                <w:szCs w:val="21"/>
                <w:highlight w:val="none"/>
              </w:rPr>
              <w:t>0.65</w:t>
            </w:r>
          </w:p>
        </w:tc>
        <w:tc>
          <w:tcPr>
            <w:tcW w:w="1418" w:type="dxa"/>
            <w:vAlign w:val="center"/>
          </w:tcPr>
          <w:p w14:paraId="7DE5D4CB">
            <w:pPr>
              <w:keepNext w:val="0"/>
              <w:keepLines w:val="0"/>
              <w:pageBreakBefore w:val="0"/>
              <w:kinsoku/>
              <w:wordWrap/>
              <w:overflowPunct/>
              <w:topLinePunct w:val="0"/>
              <w:autoSpaceDE/>
              <w:autoSpaceDN/>
              <w:bidi w:val="0"/>
              <w:adjustRightInd/>
              <w:snapToGrid/>
              <w:ind w:left="0" w:right="0"/>
              <w:jc w:val="center"/>
              <w:rPr>
                <w:rFonts w:ascii="Times New Roman" w:hAnsi="Times New Roman"/>
                <w:color w:val="auto"/>
                <w:sz w:val="21"/>
                <w:szCs w:val="18"/>
                <w:highlight w:val="none"/>
              </w:rPr>
            </w:pPr>
            <w:r>
              <w:rPr>
                <w:rFonts w:hint="eastAsia" w:ascii="Times New Roman" w:hAnsi="Times New Roman" w:cs="Times New Roman"/>
                <w:color w:val="auto"/>
                <w:sz w:val="21"/>
                <w:szCs w:val="15"/>
                <w:highlight w:val="none"/>
              </w:rPr>
              <w:t>0.5</w:t>
            </w:r>
          </w:p>
        </w:tc>
        <w:tc>
          <w:tcPr>
            <w:tcW w:w="1181" w:type="dxa"/>
            <w:vAlign w:val="center"/>
          </w:tcPr>
          <w:p w14:paraId="0A030B27">
            <w:pPr>
              <w:keepNext w:val="0"/>
              <w:keepLines w:val="0"/>
              <w:pageBreakBefore w:val="0"/>
              <w:kinsoku/>
              <w:wordWrap/>
              <w:overflowPunct/>
              <w:topLinePunct w:val="0"/>
              <w:autoSpaceDE/>
              <w:autoSpaceDN/>
              <w:bidi w:val="0"/>
              <w:adjustRightInd/>
              <w:snapToGrid/>
              <w:ind w:left="0" w:right="0"/>
              <w:jc w:val="center"/>
              <w:rPr>
                <w:rFonts w:ascii="Times New Roman" w:hAnsi="Times New Roman" w:cs="Times New Roman"/>
                <w:color w:val="auto"/>
                <w:sz w:val="21"/>
                <w:szCs w:val="21"/>
                <w:highlight w:val="none"/>
              </w:rPr>
            </w:pPr>
            <w:r>
              <w:rPr>
                <w:rFonts w:hint="eastAsia" w:ascii="Times New Roman" w:hAnsi="Times New Roman"/>
                <w:color w:val="auto"/>
                <w:sz w:val="21"/>
                <w:szCs w:val="21"/>
                <w:highlight w:val="none"/>
              </w:rPr>
              <w:t>0</w:t>
            </w:r>
          </w:p>
        </w:tc>
        <w:tc>
          <w:tcPr>
            <w:tcW w:w="1181" w:type="dxa"/>
            <w:vAlign w:val="center"/>
          </w:tcPr>
          <w:p w14:paraId="603F315A">
            <w:pPr>
              <w:keepNext w:val="0"/>
              <w:keepLines w:val="0"/>
              <w:pageBreakBefore w:val="0"/>
              <w:kinsoku/>
              <w:wordWrap/>
              <w:overflowPunct/>
              <w:topLinePunct w:val="0"/>
              <w:autoSpaceDE/>
              <w:autoSpaceDN/>
              <w:bidi w:val="0"/>
              <w:adjustRightInd/>
              <w:snapToGrid/>
              <w:ind w:left="0" w:right="0"/>
              <w:jc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0</w:t>
            </w:r>
          </w:p>
        </w:tc>
        <w:tc>
          <w:tcPr>
            <w:tcW w:w="1182" w:type="dxa"/>
            <w:vAlign w:val="center"/>
          </w:tcPr>
          <w:p w14:paraId="12B52BD6">
            <w:pPr>
              <w:keepNext w:val="0"/>
              <w:keepLines w:val="0"/>
              <w:pageBreakBefore w:val="0"/>
              <w:kinsoku/>
              <w:wordWrap/>
              <w:overflowPunct/>
              <w:topLinePunct w:val="0"/>
              <w:autoSpaceDE/>
              <w:autoSpaceDN/>
              <w:bidi w:val="0"/>
              <w:adjustRightInd/>
              <w:snapToGrid/>
              <w:ind w:left="0" w:right="0"/>
              <w:jc w:val="center"/>
              <w:rPr>
                <w:rFonts w:ascii="Times New Roman" w:hAnsi="Times New Roman" w:cs="Times New Roman"/>
                <w:color w:val="auto"/>
                <w:sz w:val="21"/>
                <w:szCs w:val="21"/>
                <w:highlight w:val="none"/>
              </w:rPr>
            </w:pPr>
            <w:r>
              <w:rPr>
                <w:rFonts w:hint="eastAsia" w:ascii="Times New Roman" w:hAnsi="Times New Roman"/>
                <w:color w:val="auto"/>
                <w:sz w:val="21"/>
                <w:szCs w:val="21"/>
                <w:highlight w:val="none"/>
              </w:rPr>
              <w:t>0</w:t>
            </w:r>
          </w:p>
        </w:tc>
        <w:tc>
          <w:tcPr>
            <w:tcW w:w="1559" w:type="dxa"/>
            <w:vAlign w:val="center"/>
          </w:tcPr>
          <w:p w14:paraId="7F146C9F">
            <w:pPr>
              <w:keepNext w:val="0"/>
              <w:keepLines w:val="0"/>
              <w:pageBreakBefore w:val="0"/>
              <w:kinsoku/>
              <w:wordWrap/>
              <w:overflowPunct/>
              <w:topLinePunct w:val="0"/>
              <w:autoSpaceDE/>
              <w:autoSpaceDN/>
              <w:bidi w:val="0"/>
              <w:adjustRightInd/>
              <w:snapToGrid/>
              <w:ind w:left="0" w:right="0"/>
              <w:jc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0</w:t>
            </w:r>
          </w:p>
        </w:tc>
        <w:tc>
          <w:tcPr>
            <w:tcW w:w="1559" w:type="dxa"/>
            <w:vAlign w:val="center"/>
          </w:tcPr>
          <w:p w14:paraId="64F06DC7">
            <w:pPr>
              <w:keepNext w:val="0"/>
              <w:keepLines w:val="0"/>
              <w:pageBreakBefore w:val="0"/>
              <w:kinsoku/>
              <w:wordWrap/>
              <w:overflowPunct/>
              <w:topLinePunct w:val="0"/>
              <w:autoSpaceDE/>
              <w:autoSpaceDN/>
              <w:bidi w:val="0"/>
              <w:adjustRightInd/>
              <w:snapToGrid/>
              <w:ind w:left="0" w:right="0"/>
              <w:jc w:val="center"/>
              <w:rPr>
                <w:rFonts w:ascii="Times New Roman" w:hAnsi="Times New Roman"/>
                <w:color w:val="auto"/>
                <w:sz w:val="21"/>
                <w:szCs w:val="18"/>
                <w:highlight w:val="none"/>
              </w:rPr>
            </w:pPr>
            <w:r>
              <w:rPr>
                <w:rFonts w:hint="eastAsia" w:ascii="Times New Roman" w:hAnsi="Times New Roman" w:cs="Times New Roman"/>
                <w:color w:val="auto"/>
                <w:sz w:val="21"/>
                <w:szCs w:val="15"/>
                <w:highlight w:val="none"/>
              </w:rPr>
              <w:t>0.5</w:t>
            </w:r>
          </w:p>
        </w:tc>
        <w:tc>
          <w:tcPr>
            <w:tcW w:w="1098" w:type="dxa"/>
            <w:vAlign w:val="center"/>
          </w:tcPr>
          <w:p w14:paraId="53F10691">
            <w:pPr>
              <w:keepNext w:val="0"/>
              <w:keepLines w:val="0"/>
              <w:pageBreakBefore w:val="0"/>
              <w:kinsoku/>
              <w:wordWrap/>
              <w:overflowPunct/>
              <w:topLinePunct w:val="0"/>
              <w:autoSpaceDE/>
              <w:autoSpaceDN/>
              <w:bidi w:val="0"/>
              <w:adjustRightInd/>
              <w:snapToGrid/>
              <w:ind w:left="0" w:right="0"/>
              <w:jc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0</w:t>
            </w:r>
          </w:p>
        </w:tc>
        <w:tc>
          <w:tcPr>
            <w:tcW w:w="1261" w:type="dxa"/>
            <w:vMerge w:val="continue"/>
            <w:vAlign w:val="center"/>
          </w:tcPr>
          <w:p w14:paraId="7A721FE1">
            <w:pPr>
              <w:keepNext w:val="0"/>
              <w:keepLines w:val="0"/>
              <w:pageBreakBefore w:val="0"/>
              <w:kinsoku/>
              <w:wordWrap/>
              <w:overflowPunct/>
              <w:topLinePunct w:val="0"/>
              <w:autoSpaceDE/>
              <w:autoSpaceDN/>
              <w:bidi w:val="0"/>
              <w:adjustRightInd/>
              <w:snapToGrid/>
              <w:ind w:left="0" w:right="0"/>
              <w:jc w:val="center"/>
              <w:rPr>
                <w:rFonts w:ascii="Times New Roman" w:hAnsi="Times New Roman" w:cs="Times New Roman"/>
                <w:color w:val="auto"/>
                <w:kern w:val="44"/>
                <w:sz w:val="21"/>
                <w:szCs w:val="21"/>
                <w:highlight w:val="none"/>
              </w:rPr>
            </w:pPr>
          </w:p>
        </w:tc>
      </w:tr>
      <w:tr w14:paraId="173A45B8">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CellMar>
            <w:top w:w="0" w:type="dxa"/>
            <w:left w:w="0" w:type="dxa"/>
            <w:bottom w:w="0" w:type="dxa"/>
            <w:right w:w="0" w:type="dxa"/>
          </w:tblCellMar>
        </w:tblPrEx>
        <w:trPr>
          <w:cantSplit/>
          <w:trHeight w:val="343" w:hRule="atLeast"/>
          <w:jc w:val="center"/>
        </w:trPr>
        <w:tc>
          <w:tcPr>
            <w:tcW w:w="732" w:type="dxa"/>
            <w:vMerge w:val="continue"/>
            <w:vAlign w:val="center"/>
          </w:tcPr>
          <w:p w14:paraId="12550DF4">
            <w:pPr>
              <w:keepNext w:val="0"/>
              <w:keepLines w:val="0"/>
              <w:pageBreakBefore w:val="0"/>
              <w:kinsoku/>
              <w:wordWrap/>
              <w:overflowPunct/>
              <w:topLinePunct w:val="0"/>
              <w:autoSpaceDE/>
              <w:autoSpaceDN/>
              <w:bidi w:val="0"/>
              <w:adjustRightInd/>
              <w:snapToGrid/>
              <w:ind w:left="0" w:right="0"/>
              <w:jc w:val="center"/>
              <w:rPr>
                <w:rFonts w:ascii="Times New Roman" w:hAnsi="Times New Roman" w:cs="Times New Roman"/>
                <w:color w:val="auto"/>
                <w:kern w:val="44"/>
                <w:sz w:val="21"/>
                <w:szCs w:val="21"/>
                <w:highlight w:val="none"/>
              </w:rPr>
            </w:pPr>
          </w:p>
        </w:tc>
        <w:tc>
          <w:tcPr>
            <w:tcW w:w="1111" w:type="dxa"/>
            <w:vAlign w:val="center"/>
          </w:tcPr>
          <w:p w14:paraId="3BB4897E">
            <w:pPr>
              <w:pStyle w:val="118"/>
              <w:keepNext w:val="0"/>
              <w:keepLines w:val="0"/>
              <w:pageBreakBefore w:val="0"/>
              <w:kinsoku/>
              <w:wordWrap/>
              <w:overflowPunct/>
              <w:topLinePunct w:val="0"/>
              <w:autoSpaceDE/>
              <w:autoSpaceDN/>
              <w:bidi w:val="0"/>
              <w:adjustRightInd/>
              <w:snapToGrid/>
              <w:ind w:left="0" w:right="0"/>
              <w:rPr>
                <w:rFonts w:ascii="Times New Roman" w:hAnsi="Times New Roman" w:eastAsia="宋体"/>
                <w:color w:val="auto"/>
                <w:sz w:val="21"/>
                <w:szCs w:val="21"/>
                <w:highlight w:val="none"/>
              </w:rPr>
            </w:pPr>
            <w:r>
              <w:rPr>
                <w:rFonts w:ascii="Times New Roman" w:hAnsi="Times New Roman" w:eastAsia="宋体"/>
                <w:color w:val="auto"/>
                <w:sz w:val="21"/>
                <w:szCs w:val="21"/>
                <w:highlight w:val="none"/>
              </w:rPr>
              <w:t>SS</w:t>
            </w:r>
          </w:p>
        </w:tc>
        <w:tc>
          <w:tcPr>
            <w:tcW w:w="1417" w:type="dxa"/>
            <w:vAlign w:val="center"/>
          </w:tcPr>
          <w:p w14:paraId="2D74E2B0">
            <w:pPr>
              <w:keepNext w:val="0"/>
              <w:keepLines w:val="0"/>
              <w:pageBreakBefore w:val="0"/>
              <w:kinsoku/>
              <w:wordWrap/>
              <w:overflowPunct/>
              <w:topLinePunct w:val="0"/>
              <w:autoSpaceDE/>
              <w:autoSpaceDN/>
              <w:bidi w:val="0"/>
              <w:adjustRightInd/>
              <w:snapToGrid/>
              <w:ind w:left="0" w:right="0"/>
              <w:jc w:val="center"/>
              <w:rPr>
                <w:rFonts w:ascii="Times New Roman" w:hAnsi="Times New Roman"/>
                <w:color w:val="auto"/>
                <w:sz w:val="21"/>
                <w:szCs w:val="21"/>
                <w:highlight w:val="none"/>
              </w:rPr>
            </w:pPr>
            <w:r>
              <w:rPr>
                <w:rFonts w:hint="eastAsia" w:ascii="Times New Roman" w:hAnsi="Times New Roman" w:cs="Times New Roman"/>
                <w:color w:val="auto"/>
                <w:sz w:val="21"/>
                <w:szCs w:val="15"/>
                <w:highlight w:val="none"/>
              </w:rPr>
              <w:t>0.268</w:t>
            </w:r>
          </w:p>
        </w:tc>
        <w:tc>
          <w:tcPr>
            <w:tcW w:w="1418" w:type="dxa"/>
            <w:vAlign w:val="center"/>
          </w:tcPr>
          <w:p w14:paraId="4E2DEC1A">
            <w:pPr>
              <w:keepNext w:val="0"/>
              <w:keepLines w:val="0"/>
              <w:pageBreakBefore w:val="0"/>
              <w:kinsoku/>
              <w:wordWrap/>
              <w:overflowPunct/>
              <w:topLinePunct w:val="0"/>
              <w:autoSpaceDE/>
              <w:autoSpaceDN/>
              <w:bidi w:val="0"/>
              <w:adjustRightInd/>
              <w:snapToGrid/>
              <w:ind w:left="0" w:right="0"/>
              <w:jc w:val="center"/>
              <w:rPr>
                <w:rFonts w:ascii="Times New Roman" w:hAnsi="Times New Roman"/>
                <w:color w:val="auto"/>
                <w:sz w:val="21"/>
                <w:szCs w:val="18"/>
                <w:highlight w:val="none"/>
              </w:rPr>
            </w:pPr>
            <w:r>
              <w:rPr>
                <w:rFonts w:hint="eastAsia" w:ascii="Times New Roman" w:hAnsi="Times New Roman" w:cs="Times New Roman"/>
                <w:color w:val="auto"/>
                <w:sz w:val="21"/>
                <w:szCs w:val="15"/>
                <w:highlight w:val="none"/>
              </w:rPr>
              <w:t>0.248</w:t>
            </w:r>
          </w:p>
        </w:tc>
        <w:tc>
          <w:tcPr>
            <w:tcW w:w="1181" w:type="dxa"/>
            <w:vAlign w:val="center"/>
          </w:tcPr>
          <w:p w14:paraId="25E4ABFD">
            <w:pPr>
              <w:keepNext w:val="0"/>
              <w:keepLines w:val="0"/>
              <w:pageBreakBefore w:val="0"/>
              <w:kinsoku/>
              <w:wordWrap/>
              <w:overflowPunct/>
              <w:topLinePunct w:val="0"/>
              <w:autoSpaceDE/>
              <w:autoSpaceDN/>
              <w:bidi w:val="0"/>
              <w:adjustRightInd/>
              <w:snapToGrid/>
              <w:ind w:left="0" w:right="0"/>
              <w:jc w:val="center"/>
              <w:rPr>
                <w:rFonts w:ascii="Times New Roman" w:hAnsi="Times New Roman" w:cs="Times New Roman"/>
                <w:color w:val="auto"/>
                <w:sz w:val="21"/>
                <w:szCs w:val="21"/>
                <w:highlight w:val="none"/>
              </w:rPr>
            </w:pPr>
            <w:r>
              <w:rPr>
                <w:rFonts w:hint="eastAsia" w:ascii="Times New Roman" w:hAnsi="Times New Roman"/>
                <w:color w:val="auto"/>
                <w:sz w:val="21"/>
                <w:szCs w:val="21"/>
                <w:highlight w:val="none"/>
              </w:rPr>
              <w:t>0</w:t>
            </w:r>
          </w:p>
        </w:tc>
        <w:tc>
          <w:tcPr>
            <w:tcW w:w="1181" w:type="dxa"/>
            <w:vAlign w:val="center"/>
          </w:tcPr>
          <w:p w14:paraId="3FE1D340">
            <w:pPr>
              <w:keepNext w:val="0"/>
              <w:keepLines w:val="0"/>
              <w:pageBreakBefore w:val="0"/>
              <w:kinsoku/>
              <w:wordWrap/>
              <w:overflowPunct/>
              <w:topLinePunct w:val="0"/>
              <w:autoSpaceDE/>
              <w:autoSpaceDN/>
              <w:bidi w:val="0"/>
              <w:adjustRightInd/>
              <w:snapToGrid/>
              <w:ind w:left="0" w:right="0"/>
              <w:jc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0</w:t>
            </w:r>
          </w:p>
        </w:tc>
        <w:tc>
          <w:tcPr>
            <w:tcW w:w="1182" w:type="dxa"/>
            <w:vAlign w:val="center"/>
          </w:tcPr>
          <w:p w14:paraId="1CC16F40">
            <w:pPr>
              <w:keepNext w:val="0"/>
              <w:keepLines w:val="0"/>
              <w:pageBreakBefore w:val="0"/>
              <w:kinsoku/>
              <w:wordWrap/>
              <w:overflowPunct/>
              <w:topLinePunct w:val="0"/>
              <w:autoSpaceDE/>
              <w:autoSpaceDN/>
              <w:bidi w:val="0"/>
              <w:adjustRightInd/>
              <w:snapToGrid/>
              <w:ind w:left="0" w:right="0"/>
              <w:jc w:val="center"/>
              <w:rPr>
                <w:rFonts w:ascii="Times New Roman" w:hAnsi="Times New Roman" w:cs="Times New Roman"/>
                <w:color w:val="auto"/>
                <w:sz w:val="21"/>
                <w:szCs w:val="21"/>
                <w:highlight w:val="none"/>
              </w:rPr>
            </w:pPr>
            <w:r>
              <w:rPr>
                <w:rFonts w:hint="eastAsia" w:ascii="Times New Roman" w:hAnsi="Times New Roman"/>
                <w:color w:val="auto"/>
                <w:sz w:val="21"/>
                <w:szCs w:val="21"/>
                <w:highlight w:val="none"/>
              </w:rPr>
              <w:t>0</w:t>
            </w:r>
          </w:p>
        </w:tc>
        <w:tc>
          <w:tcPr>
            <w:tcW w:w="1559" w:type="dxa"/>
            <w:vAlign w:val="center"/>
          </w:tcPr>
          <w:p w14:paraId="5B855BD3">
            <w:pPr>
              <w:keepNext w:val="0"/>
              <w:keepLines w:val="0"/>
              <w:pageBreakBefore w:val="0"/>
              <w:kinsoku/>
              <w:wordWrap/>
              <w:overflowPunct/>
              <w:topLinePunct w:val="0"/>
              <w:autoSpaceDE/>
              <w:autoSpaceDN/>
              <w:bidi w:val="0"/>
              <w:adjustRightInd/>
              <w:snapToGrid/>
              <w:ind w:left="0" w:right="0"/>
              <w:jc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0</w:t>
            </w:r>
          </w:p>
        </w:tc>
        <w:tc>
          <w:tcPr>
            <w:tcW w:w="1559" w:type="dxa"/>
            <w:vAlign w:val="center"/>
          </w:tcPr>
          <w:p w14:paraId="52330F91">
            <w:pPr>
              <w:keepNext w:val="0"/>
              <w:keepLines w:val="0"/>
              <w:pageBreakBefore w:val="0"/>
              <w:kinsoku/>
              <w:wordWrap/>
              <w:overflowPunct/>
              <w:topLinePunct w:val="0"/>
              <w:autoSpaceDE/>
              <w:autoSpaceDN/>
              <w:bidi w:val="0"/>
              <w:adjustRightInd/>
              <w:snapToGrid/>
              <w:ind w:left="0" w:right="0"/>
              <w:jc w:val="center"/>
              <w:rPr>
                <w:rFonts w:ascii="Times New Roman" w:hAnsi="Times New Roman"/>
                <w:color w:val="auto"/>
                <w:sz w:val="21"/>
                <w:szCs w:val="18"/>
                <w:highlight w:val="none"/>
              </w:rPr>
            </w:pPr>
            <w:r>
              <w:rPr>
                <w:rFonts w:hint="eastAsia" w:ascii="Times New Roman" w:hAnsi="Times New Roman" w:cs="Times New Roman"/>
                <w:color w:val="auto"/>
                <w:sz w:val="21"/>
                <w:szCs w:val="15"/>
                <w:highlight w:val="none"/>
              </w:rPr>
              <w:t>0.248</w:t>
            </w:r>
          </w:p>
        </w:tc>
        <w:tc>
          <w:tcPr>
            <w:tcW w:w="1098" w:type="dxa"/>
            <w:vAlign w:val="center"/>
          </w:tcPr>
          <w:p w14:paraId="6E75DA4D">
            <w:pPr>
              <w:keepNext w:val="0"/>
              <w:keepLines w:val="0"/>
              <w:pageBreakBefore w:val="0"/>
              <w:kinsoku/>
              <w:wordWrap/>
              <w:overflowPunct/>
              <w:topLinePunct w:val="0"/>
              <w:autoSpaceDE/>
              <w:autoSpaceDN/>
              <w:bidi w:val="0"/>
              <w:adjustRightInd/>
              <w:snapToGrid/>
              <w:ind w:left="0" w:right="0"/>
              <w:jc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0</w:t>
            </w:r>
          </w:p>
        </w:tc>
        <w:tc>
          <w:tcPr>
            <w:tcW w:w="1261" w:type="dxa"/>
            <w:vMerge w:val="continue"/>
            <w:vAlign w:val="center"/>
          </w:tcPr>
          <w:p w14:paraId="78C00843">
            <w:pPr>
              <w:keepNext w:val="0"/>
              <w:keepLines w:val="0"/>
              <w:pageBreakBefore w:val="0"/>
              <w:kinsoku/>
              <w:wordWrap/>
              <w:overflowPunct/>
              <w:topLinePunct w:val="0"/>
              <w:autoSpaceDE/>
              <w:autoSpaceDN/>
              <w:bidi w:val="0"/>
              <w:adjustRightInd/>
              <w:snapToGrid/>
              <w:ind w:left="0" w:right="0"/>
              <w:jc w:val="center"/>
              <w:rPr>
                <w:rFonts w:ascii="Times New Roman" w:hAnsi="Times New Roman" w:cs="Times New Roman"/>
                <w:color w:val="auto"/>
                <w:kern w:val="44"/>
                <w:sz w:val="21"/>
                <w:szCs w:val="21"/>
                <w:highlight w:val="none"/>
              </w:rPr>
            </w:pPr>
          </w:p>
        </w:tc>
      </w:tr>
      <w:tr w14:paraId="4BE5851A">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CellMar>
            <w:top w:w="0" w:type="dxa"/>
            <w:left w:w="0" w:type="dxa"/>
            <w:bottom w:w="0" w:type="dxa"/>
            <w:right w:w="0" w:type="dxa"/>
          </w:tblCellMar>
        </w:tblPrEx>
        <w:trPr>
          <w:cantSplit/>
          <w:trHeight w:val="344" w:hRule="atLeast"/>
          <w:jc w:val="center"/>
        </w:trPr>
        <w:tc>
          <w:tcPr>
            <w:tcW w:w="732" w:type="dxa"/>
            <w:vMerge w:val="continue"/>
            <w:vAlign w:val="center"/>
          </w:tcPr>
          <w:p w14:paraId="75F7329A">
            <w:pPr>
              <w:keepNext w:val="0"/>
              <w:keepLines w:val="0"/>
              <w:pageBreakBefore w:val="0"/>
              <w:kinsoku/>
              <w:wordWrap/>
              <w:overflowPunct/>
              <w:topLinePunct w:val="0"/>
              <w:autoSpaceDE/>
              <w:autoSpaceDN/>
              <w:bidi w:val="0"/>
              <w:adjustRightInd/>
              <w:snapToGrid/>
              <w:ind w:left="0" w:right="0"/>
              <w:jc w:val="center"/>
              <w:rPr>
                <w:rFonts w:ascii="Times New Roman" w:hAnsi="Times New Roman" w:cs="Times New Roman"/>
                <w:color w:val="auto"/>
                <w:kern w:val="44"/>
                <w:sz w:val="21"/>
                <w:szCs w:val="21"/>
                <w:highlight w:val="none"/>
              </w:rPr>
            </w:pPr>
          </w:p>
        </w:tc>
        <w:tc>
          <w:tcPr>
            <w:tcW w:w="1111" w:type="dxa"/>
            <w:vAlign w:val="center"/>
          </w:tcPr>
          <w:p w14:paraId="1BE397B8">
            <w:pPr>
              <w:pStyle w:val="118"/>
              <w:keepNext w:val="0"/>
              <w:keepLines w:val="0"/>
              <w:pageBreakBefore w:val="0"/>
              <w:kinsoku/>
              <w:wordWrap/>
              <w:overflowPunct/>
              <w:topLinePunct w:val="0"/>
              <w:autoSpaceDE/>
              <w:autoSpaceDN/>
              <w:bidi w:val="0"/>
              <w:adjustRightInd/>
              <w:snapToGrid/>
              <w:ind w:left="0" w:right="0"/>
              <w:rPr>
                <w:rFonts w:ascii="Times New Roman" w:hAnsi="Times New Roman" w:eastAsia="宋体"/>
                <w:color w:val="auto"/>
                <w:sz w:val="21"/>
                <w:szCs w:val="21"/>
                <w:highlight w:val="none"/>
              </w:rPr>
            </w:pPr>
            <w:r>
              <w:rPr>
                <w:rFonts w:ascii="Times New Roman" w:hAnsi="Times New Roman" w:eastAsia="宋体"/>
                <w:color w:val="auto"/>
                <w:sz w:val="21"/>
                <w:szCs w:val="21"/>
                <w:highlight w:val="none"/>
              </w:rPr>
              <w:t>NH</w:t>
            </w:r>
            <w:r>
              <w:rPr>
                <w:rFonts w:ascii="Times New Roman" w:hAnsi="Times New Roman" w:eastAsia="宋体"/>
                <w:color w:val="auto"/>
                <w:sz w:val="21"/>
                <w:szCs w:val="21"/>
                <w:highlight w:val="none"/>
                <w:vertAlign w:val="subscript"/>
              </w:rPr>
              <w:t>3</w:t>
            </w:r>
            <w:r>
              <w:rPr>
                <w:rFonts w:ascii="Times New Roman" w:hAnsi="Times New Roman" w:eastAsia="宋体"/>
                <w:color w:val="auto"/>
                <w:sz w:val="21"/>
                <w:szCs w:val="21"/>
                <w:highlight w:val="none"/>
              </w:rPr>
              <w:t>-N</w:t>
            </w:r>
          </w:p>
        </w:tc>
        <w:tc>
          <w:tcPr>
            <w:tcW w:w="1417" w:type="dxa"/>
            <w:vAlign w:val="center"/>
          </w:tcPr>
          <w:p w14:paraId="6EDFB922">
            <w:pPr>
              <w:keepNext w:val="0"/>
              <w:keepLines w:val="0"/>
              <w:pageBreakBefore w:val="0"/>
              <w:kinsoku/>
              <w:wordWrap/>
              <w:overflowPunct/>
              <w:topLinePunct w:val="0"/>
              <w:autoSpaceDE/>
              <w:autoSpaceDN/>
              <w:bidi w:val="0"/>
              <w:adjustRightInd/>
              <w:snapToGrid/>
              <w:ind w:left="0" w:right="0"/>
              <w:jc w:val="center"/>
              <w:rPr>
                <w:rFonts w:ascii="Times New Roman" w:hAnsi="Times New Roman"/>
                <w:color w:val="auto"/>
                <w:sz w:val="21"/>
                <w:szCs w:val="21"/>
                <w:highlight w:val="none"/>
              </w:rPr>
            </w:pPr>
            <w:r>
              <w:rPr>
                <w:rFonts w:hint="eastAsia" w:ascii="Times New Roman" w:hAnsi="Times New Roman" w:cs="Times New Roman"/>
                <w:color w:val="auto"/>
                <w:sz w:val="21"/>
                <w:szCs w:val="15"/>
                <w:highlight w:val="none"/>
              </w:rPr>
              <w:t>0.06</w:t>
            </w:r>
          </w:p>
        </w:tc>
        <w:tc>
          <w:tcPr>
            <w:tcW w:w="1418" w:type="dxa"/>
            <w:vAlign w:val="center"/>
          </w:tcPr>
          <w:p w14:paraId="52991EAE">
            <w:pPr>
              <w:keepNext w:val="0"/>
              <w:keepLines w:val="0"/>
              <w:pageBreakBefore w:val="0"/>
              <w:kinsoku/>
              <w:wordWrap/>
              <w:overflowPunct/>
              <w:topLinePunct w:val="0"/>
              <w:autoSpaceDE/>
              <w:autoSpaceDN/>
              <w:bidi w:val="0"/>
              <w:adjustRightInd/>
              <w:snapToGrid/>
              <w:ind w:left="0" w:right="0"/>
              <w:jc w:val="center"/>
              <w:rPr>
                <w:rFonts w:ascii="Times New Roman" w:hAnsi="Times New Roman"/>
                <w:color w:val="auto"/>
                <w:sz w:val="21"/>
                <w:szCs w:val="18"/>
                <w:highlight w:val="none"/>
              </w:rPr>
            </w:pPr>
            <w:r>
              <w:rPr>
                <w:rFonts w:hint="eastAsia" w:ascii="Times New Roman" w:hAnsi="Times New Roman" w:cs="Times New Roman"/>
                <w:color w:val="auto"/>
                <w:sz w:val="21"/>
                <w:szCs w:val="15"/>
                <w:highlight w:val="none"/>
              </w:rPr>
              <w:t>0.06</w:t>
            </w:r>
          </w:p>
        </w:tc>
        <w:tc>
          <w:tcPr>
            <w:tcW w:w="1181" w:type="dxa"/>
            <w:vAlign w:val="center"/>
          </w:tcPr>
          <w:p w14:paraId="6480E016">
            <w:pPr>
              <w:keepNext w:val="0"/>
              <w:keepLines w:val="0"/>
              <w:pageBreakBefore w:val="0"/>
              <w:kinsoku/>
              <w:wordWrap/>
              <w:overflowPunct/>
              <w:topLinePunct w:val="0"/>
              <w:autoSpaceDE/>
              <w:autoSpaceDN/>
              <w:bidi w:val="0"/>
              <w:adjustRightInd/>
              <w:snapToGrid/>
              <w:ind w:left="0" w:right="0"/>
              <w:jc w:val="center"/>
              <w:rPr>
                <w:rFonts w:ascii="Times New Roman" w:hAnsi="Times New Roman" w:cs="Times New Roman"/>
                <w:color w:val="auto"/>
                <w:sz w:val="21"/>
                <w:szCs w:val="21"/>
                <w:highlight w:val="none"/>
              </w:rPr>
            </w:pPr>
            <w:r>
              <w:rPr>
                <w:rFonts w:hint="eastAsia" w:ascii="Times New Roman" w:hAnsi="Times New Roman"/>
                <w:color w:val="auto"/>
                <w:sz w:val="21"/>
                <w:szCs w:val="21"/>
                <w:highlight w:val="none"/>
              </w:rPr>
              <w:t>0</w:t>
            </w:r>
          </w:p>
        </w:tc>
        <w:tc>
          <w:tcPr>
            <w:tcW w:w="1181" w:type="dxa"/>
            <w:vAlign w:val="center"/>
          </w:tcPr>
          <w:p w14:paraId="1F2DEE06">
            <w:pPr>
              <w:keepNext w:val="0"/>
              <w:keepLines w:val="0"/>
              <w:pageBreakBefore w:val="0"/>
              <w:kinsoku/>
              <w:wordWrap/>
              <w:overflowPunct/>
              <w:topLinePunct w:val="0"/>
              <w:autoSpaceDE/>
              <w:autoSpaceDN/>
              <w:bidi w:val="0"/>
              <w:adjustRightInd/>
              <w:snapToGrid/>
              <w:ind w:left="0" w:right="0"/>
              <w:jc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0</w:t>
            </w:r>
          </w:p>
        </w:tc>
        <w:tc>
          <w:tcPr>
            <w:tcW w:w="1182" w:type="dxa"/>
            <w:vAlign w:val="center"/>
          </w:tcPr>
          <w:p w14:paraId="45C83E33">
            <w:pPr>
              <w:keepNext w:val="0"/>
              <w:keepLines w:val="0"/>
              <w:pageBreakBefore w:val="0"/>
              <w:kinsoku/>
              <w:wordWrap/>
              <w:overflowPunct/>
              <w:topLinePunct w:val="0"/>
              <w:autoSpaceDE/>
              <w:autoSpaceDN/>
              <w:bidi w:val="0"/>
              <w:adjustRightInd/>
              <w:snapToGrid/>
              <w:ind w:left="0" w:right="0"/>
              <w:jc w:val="center"/>
              <w:rPr>
                <w:rFonts w:ascii="Times New Roman" w:hAnsi="Times New Roman" w:cs="Times New Roman"/>
                <w:color w:val="auto"/>
                <w:sz w:val="21"/>
                <w:szCs w:val="21"/>
                <w:highlight w:val="none"/>
              </w:rPr>
            </w:pPr>
            <w:r>
              <w:rPr>
                <w:rFonts w:hint="eastAsia" w:ascii="Times New Roman" w:hAnsi="Times New Roman"/>
                <w:color w:val="auto"/>
                <w:sz w:val="21"/>
                <w:szCs w:val="21"/>
                <w:highlight w:val="none"/>
              </w:rPr>
              <w:t>0</w:t>
            </w:r>
          </w:p>
        </w:tc>
        <w:tc>
          <w:tcPr>
            <w:tcW w:w="1559" w:type="dxa"/>
            <w:vAlign w:val="center"/>
          </w:tcPr>
          <w:p w14:paraId="62250635">
            <w:pPr>
              <w:keepNext w:val="0"/>
              <w:keepLines w:val="0"/>
              <w:pageBreakBefore w:val="0"/>
              <w:kinsoku/>
              <w:wordWrap/>
              <w:overflowPunct/>
              <w:topLinePunct w:val="0"/>
              <w:autoSpaceDE/>
              <w:autoSpaceDN/>
              <w:bidi w:val="0"/>
              <w:adjustRightInd/>
              <w:snapToGrid/>
              <w:ind w:left="0" w:right="0"/>
              <w:jc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0</w:t>
            </w:r>
          </w:p>
        </w:tc>
        <w:tc>
          <w:tcPr>
            <w:tcW w:w="1559" w:type="dxa"/>
            <w:vAlign w:val="center"/>
          </w:tcPr>
          <w:p w14:paraId="1926E408">
            <w:pPr>
              <w:keepNext w:val="0"/>
              <w:keepLines w:val="0"/>
              <w:pageBreakBefore w:val="0"/>
              <w:kinsoku/>
              <w:wordWrap/>
              <w:overflowPunct/>
              <w:topLinePunct w:val="0"/>
              <w:autoSpaceDE/>
              <w:autoSpaceDN/>
              <w:bidi w:val="0"/>
              <w:adjustRightInd/>
              <w:snapToGrid/>
              <w:ind w:left="0" w:right="0"/>
              <w:jc w:val="center"/>
              <w:rPr>
                <w:rFonts w:ascii="Times New Roman" w:hAnsi="Times New Roman"/>
                <w:color w:val="auto"/>
                <w:sz w:val="21"/>
                <w:szCs w:val="18"/>
                <w:highlight w:val="none"/>
              </w:rPr>
            </w:pPr>
            <w:r>
              <w:rPr>
                <w:rFonts w:hint="eastAsia" w:ascii="Times New Roman" w:hAnsi="Times New Roman" w:cs="Times New Roman"/>
                <w:color w:val="auto"/>
                <w:sz w:val="21"/>
                <w:szCs w:val="15"/>
                <w:highlight w:val="none"/>
              </w:rPr>
              <w:t>0.06</w:t>
            </w:r>
          </w:p>
        </w:tc>
        <w:tc>
          <w:tcPr>
            <w:tcW w:w="1098" w:type="dxa"/>
            <w:vAlign w:val="center"/>
          </w:tcPr>
          <w:p w14:paraId="2CF0D83D">
            <w:pPr>
              <w:keepNext w:val="0"/>
              <w:keepLines w:val="0"/>
              <w:pageBreakBefore w:val="0"/>
              <w:kinsoku/>
              <w:wordWrap/>
              <w:overflowPunct/>
              <w:topLinePunct w:val="0"/>
              <w:autoSpaceDE/>
              <w:autoSpaceDN/>
              <w:bidi w:val="0"/>
              <w:adjustRightInd/>
              <w:snapToGrid/>
              <w:ind w:left="0" w:right="0"/>
              <w:jc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0</w:t>
            </w:r>
          </w:p>
        </w:tc>
        <w:tc>
          <w:tcPr>
            <w:tcW w:w="1261" w:type="dxa"/>
            <w:vMerge w:val="continue"/>
            <w:vAlign w:val="center"/>
          </w:tcPr>
          <w:p w14:paraId="6F4CBA81">
            <w:pPr>
              <w:keepNext w:val="0"/>
              <w:keepLines w:val="0"/>
              <w:pageBreakBefore w:val="0"/>
              <w:kinsoku/>
              <w:wordWrap/>
              <w:overflowPunct/>
              <w:topLinePunct w:val="0"/>
              <w:autoSpaceDE/>
              <w:autoSpaceDN/>
              <w:bidi w:val="0"/>
              <w:adjustRightInd/>
              <w:snapToGrid/>
              <w:ind w:left="0" w:right="0"/>
              <w:jc w:val="center"/>
              <w:rPr>
                <w:rFonts w:ascii="Times New Roman" w:hAnsi="Times New Roman" w:cs="Times New Roman"/>
                <w:color w:val="auto"/>
                <w:kern w:val="44"/>
                <w:sz w:val="21"/>
                <w:szCs w:val="21"/>
                <w:highlight w:val="none"/>
              </w:rPr>
            </w:pPr>
          </w:p>
        </w:tc>
      </w:tr>
      <w:tr w14:paraId="5236123F">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CellMar>
            <w:top w:w="0" w:type="dxa"/>
            <w:left w:w="0" w:type="dxa"/>
            <w:bottom w:w="0" w:type="dxa"/>
            <w:right w:w="0" w:type="dxa"/>
          </w:tblCellMar>
        </w:tblPrEx>
        <w:trPr>
          <w:cantSplit/>
          <w:trHeight w:val="343" w:hRule="atLeast"/>
          <w:jc w:val="center"/>
        </w:trPr>
        <w:tc>
          <w:tcPr>
            <w:tcW w:w="732" w:type="dxa"/>
            <w:vMerge w:val="continue"/>
            <w:vAlign w:val="center"/>
          </w:tcPr>
          <w:p w14:paraId="25C96B24">
            <w:pPr>
              <w:keepNext w:val="0"/>
              <w:keepLines w:val="0"/>
              <w:pageBreakBefore w:val="0"/>
              <w:kinsoku/>
              <w:wordWrap/>
              <w:overflowPunct/>
              <w:topLinePunct w:val="0"/>
              <w:autoSpaceDE/>
              <w:autoSpaceDN/>
              <w:bidi w:val="0"/>
              <w:adjustRightInd/>
              <w:snapToGrid/>
              <w:ind w:left="0" w:right="0"/>
              <w:jc w:val="center"/>
              <w:rPr>
                <w:rFonts w:ascii="Times New Roman" w:hAnsi="Times New Roman" w:cs="Times New Roman"/>
                <w:color w:val="auto"/>
                <w:kern w:val="44"/>
                <w:sz w:val="21"/>
                <w:szCs w:val="21"/>
                <w:highlight w:val="none"/>
              </w:rPr>
            </w:pPr>
          </w:p>
        </w:tc>
        <w:tc>
          <w:tcPr>
            <w:tcW w:w="1111" w:type="dxa"/>
            <w:vAlign w:val="center"/>
          </w:tcPr>
          <w:p w14:paraId="2276BCC0">
            <w:pPr>
              <w:pStyle w:val="118"/>
              <w:keepNext w:val="0"/>
              <w:keepLines w:val="0"/>
              <w:pageBreakBefore w:val="0"/>
              <w:kinsoku/>
              <w:wordWrap/>
              <w:overflowPunct/>
              <w:topLinePunct w:val="0"/>
              <w:autoSpaceDE/>
              <w:autoSpaceDN/>
              <w:bidi w:val="0"/>
              <w:adjustRightInd/>
              <w:snapToGrid/>
              <w:ind w:left="0" w:right="0"/>
              <w:rPr>
                <w:rFonts w:ascii="Times New Roman" w:hAnsi="Times New Roman" w:eastAsia="宋体"/>
                <w:color w:val="auto"/>
                <w:sz w:val="21"/>
                <w:szCs w:val="21"/>
                <w:highlight w:val="none"/>
              </w:rPr>
            </w:pPr>
            <w:r>
              <w:rPr>
                <w:rFonts w:ascii="Times New Roman" w:hAnsi="Times New Roman" w:eastAsia="宋体"/>
                <w:color w:val="auto"/>
                <w:sz w:val="21"/>
                <w:szCs w:val="21"/>
                <w:highlight w:val="none"/>
              </w:rPr>
              <w:t>TP</w:t>
            </w:r>
          </w:p>
        </w:tc>
        <w:tc>
          <w:tcPr>
            <w:tcW w:w="1417" w:type="dxa"/>
            <w:vAlign w:val="center"/>
          </w:tcPr>
          <w:p w14:paraId="05F4B7D5">
            <w:pPr>
              <w:keepNext w:val="0"/>
              <w:keepLines w:val="0"/>
              <w:pageBreakBefore w:val="0"/>
              <w:kinsoku/>
              <w:wordWrap/>
              <w:overflowPunct/>
              <w:topLinePunct w:val="0"/>
              <w:autoSpaceDE/>
              <w:autoSpaceDN/>
              <w:bidi w:val="0"/>
              <w:adjustRightInd/>
              <w:snapToGrid/>
              <w:ind w:left="0" w:right="0"/>
              <w:jc w:val="center"/>
              <w:rPr>
                <w:rFonts w:ascii="Times New Roman" w:hAnsi="Times New Roman"/>
                <w:color w:val="auto"/>
                <w:sz w:val="21"/>
                <w:szCs w:val="21"/>
                <w:highlight w:val="none"/>
              </w:rPr>
            </w:pPr>
            <w:r>
              <w:rPr>
                <w:rFonts w:hint="eastAsia" w:ascii="Times New Roman" w:hAnsi="Times New Roman" w:cs="Times New Roman"/>
                <w:color w:val="auto"/>
                <w:sz w:val="21"/>
                <w:szCs w:val="15"/>
                <w:highlight w:val="none"/>
              </w:rPr>
              <w:t>0.004</w:t>
            </w:r>
          </w:p>
        </w:tc>
        <w:tc>
          <w:tcPr>
            <w:tcW w:w="1418" w:type="dxa"/>
            <w:vAlign w:val="center"/>
          </w:tcPr>
          <w:p w14:paraId="2A4F72CE">
            <w:pPr>
              <w:keepNext w:val="0"/>
              <w:keepLines w:val="0"/>
              <w:pageBreakBefore w:val="0"/>
              <w:kinsoku/>
              <w:wordWrap/>
              <w:overflowPunct/>
              <w:topLinePunct w:val="0"/>
              <w:autoSpaceDE/>
              <w:autoSpaceDN/>
              <w:bidi w:val="0"/>
              <w:adjustRightInd/>
              <w:snapToGrid/>
              <w:ind w:left="0" w:right="0"/>
              <w:jc w:val="center"/>
              <w:rPr>
                <w:rFonts w:ascii="Times New Roman" w:hAnsi="Times New Roman"/>
                <w:color w:val="auto"/>
                <w:sz w:val="21"/>
                <w:szCs w:val="18"/>
                <w:highlight w:val="none"/>
              </w:rPr>
            </w:pPr>
            <w:r>
              <w:rPr>
                <w:rFonts w:hint="eastAsia" w:ascii="Times New Roman" w:hAnsi="Times New Roman" w:cs="Times New Roman"/>
                <w:color w:val="auto"/>
                <w:sz w:val="21"/>
                <w:szCs w:val="15"/>
                <w:highlight w:val="none"/>
              </w:rPr>
              <w:t>0.004</w:t>
            </w:r>
          </w:p>
        </w:tc>
        <w:tc>
          <w:tcPr>
            <w:tcW w:w="1181" w:type="dxa"/>
            <w:vAlign w:val="center"/>
          </w:tcPr>
          <w:p w14:paraId="2EB833FE">
            <w:pPr>
              <w:keepNext w:val="0"/>
              <w:keepLines w:val="0"/>
              <w:pageBreakBefore w:val="0"/>
              <w:kinsoku/>
              <w:wordWrap/>
              <w:overflowPunct/>
              <w:topLinePunct w:val="0"/>
              <w:autoSpaceDE/>
              <w:autoSpaceDN/>
              <w:bidi w:val="0"/>
              <w:adjustRightInd/>
              <w:snapToGrid/>
              <w:ind w:left="0" w:right="0"/>
              <w:jc w:val="center"/>
              <w:rPr>
                <w:rFonts w:ascii="Times New Roman" w:hAnsi="Times New Roman" w:cs="Times New Roman"/>
                <w:color w:val="auto"/>
                <w:sz w:val="21"/>
                <w:szCs w:val="21"/>
                <w:highlight w:val="none"/>
              </w:rPr>
            </w:pPr>
            <w:r>
              <w:rPr>
                <w:rFonts w:hint="eastAsia" w:ascii="Times New Roman" w:hAnsi="Times New Roman"/>
                <w:color w:val="auto"/>
                <w:sz w:val="21"/>
                <w:szCs w:val="21"/>
                <w:highlight w:val="none"/>
              </w:rPr>
              <w:t>0</w:t>
            </w:r>
          </w:p>
        </w:tc>
        <w:tc>
          <w:tcPr>
            <w:tcW w:w="1181" w:type="dxa"/>
            <w:vAlign w:val="center"/>
          </w:tcPr>
          <w:p w14:paraId="249F3706">
            <w:pPr>
              <w:keepNext w:val="0"/>
              <w:keepLines w:val="0"/>
              <w:pageBreakBefore w:val="0"/>
              <w:kinsoku/>
              <w:wordWrap/>
              <w:overflowPunct/>
              <w:topLinePunct w:val="0"/>
              <w:autoSpaceDE/>
              <w:autoSpaceDN/>
              <w:bidi w:val="0"/>
              <w:adjustRightInd/>
              <w:snapToGrid/>
              <w:ind w:left="0" w:right="0"/>
              <w:jc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0</w:t>
            </w:r>
          </w:p>
        </w:tc>
        <w:tc>
          <w:tcPr>
            <w:tcW w:w="1182" w:type="dxa"/>
            <w:vAlign w:val="center"/>
          </w:tcPr>
          <w:p w14:paraId="6CA926D5">
            <w:pPr>
              <w:keepNext w:val="0"/>
              <w:keepLines w:val="0"/>
              <w:pageBreakBefore w:val="0"/>
              <w:kinsoku/>
              <w:wordWrap/>
              <w:overflowPunct/>
              <w:topLinePunct w:val="0"/>
              <w:autoSpaceDE/>
              <w:autoSpaceDN/>
              <w:bidi w:val="0"/>
              <w:adjustRightInd/>
              <w:snapToGrid/>
              <w:ind w:left="0" w:right="0"/>
              <w:jc w:val="center"/>
              <w:rPr>
                <w:rFonts w:ascii="Times New Roman" w:hAnsi="Times New Roman" w:cs="Times New Roman"/>
                <w:color w:val="auto"/>
                <w:sz w:val="21"/>
                <w:szCs w:val="21"/>
                <w:highlight w:val="none"/>
              </w:rPr>
            </w:pPr>
            <w:r>
              <w:rPr>
                <w:rFonts w:hint="eastAsia" w:ascii="Times New Roman" w:hAnsi="Times New Roman"/>
                <w:color w:val="auto"/>
                <w:sz w:val="21"/>
                <w:szCs w:val="21"/>
                <w:highlight w:val="none"/>
              </w:rPr>
              <w:t>0</w:t>
            </w:r>
          </w:p>
        </w:tc>
        <w:tc>
          <w:tcPr>
            <w:tcW w:w="1559" w:type="dxa"/>
            <w:vAlign w:val="center"/>
          </w:tcPr>
          <w:p w14:paraId="279FAF52">
            <w:pPr>
              <w:keepNext w:val="0"/>
              <w:keepLines w:val="0"/>
              <w:pageBreakBefore w:val="0"/>
              <w:kinsoku/>
              <w:wordWrap/>
              <w:overflowPunct/>
              <w:topLinePunct w:val="0"/>
              <w:autoSpaceDE/>
              <w:autoSpaceDN/>
              <w:bidi w:val="0"/>
              <w:adjustRightInd/>
              <w:snapToGrid/>
              <w:ind w:left="0" w:right="0"/>
              <w:jc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0</w:t>
            </w:r>
          </w:p>
        </w:tc>
        <w:tc>
          <w:tcPr>
            <w:tcW w:w="1559" w:type="dxa"/>
            <w:vAlign w:val="center"/>
          </w:tcPr>
          <w:p w14:paraId="3745BA57">
            <w:pPr>
              <w:keepNext w:val="0"/>
              <w:keepLines w:val="0"/>
              <w:pageBreakBefore w:val="0"/>
              <w:kinsoku/>
              <w:wordWrap/>
              <w:overflowPunct/>
              <w:topLinePunct w:val="0"/>
              <w:autoSpaceDE/>
              <w:autoSpaceDN/>
              <w:bidi w:val="0"/>
              <w:adjustRightInd/>
              <w:snapToGrid/>
              <w:ind w:left="0" w:right="0"/>
              <w:jc w:val="center"/>
              <w:rPr>
                <w:rFonts w:ascii="Times New Roman" w:hAnsi="Times New Roman"/>
                <w:color w:val="auto"/>
                <w:sz w:val="21"/>
                <w:szCs w:val="18"/>
                <w:highlight w:val="none"/>
              </w:rPr>
            </w:pPr>
            <w:r>
              <w:rPr>
                <w:rFonts w:hint="eastAsia" w:ascii="Times New Roman" w:hAnsi="Times New Roman" w:cs="Times New Roman"/>
                <w:color w:val="auto"/>
                <w:sz w:val="21"/>
                <w:szCs w:val="15"/>
                <w:highlight w:val="none"/>
              </w:rPr>
              <w:t>0.004</w:t>
            </w:r>
          </w:p>
        </w:tc>
        <w:tc>
          <w:tcPr>
            <w:tcW w:w="1098" w:type="dxa"/>
            <w:vAlign w:val="center"/>
          </w:tcPr>
          <w:p w14:paraId="59404EEA">
            <w:pPr>
              <w:keepNext w:val="0"/>
              <w:keepLines w:val="0"/>
              <w:pageBreakBefore w:val="0"/>
              <w:kinsoku/>
              <w:wordWrap/>
              <w:overflowPunct/>
              <w:topLinePunct w:val="0"/>
              <w:autoSpaceDE/>
              <w:autoSpaceDN/>
              <w:bidi w:val="0"/>
              <w:adjustRightInd/>
              <w:snapToGrid/>
              <w:ind w:left="0" w:right="0"/>
              <w:jc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0</w:t>
            </w:r>
          </w:p>
        </w:tc>
        <w:tc>
          <w:tcPr>
            <w:tcW w:w="1261" w:type="dxa"/>
            <w:vMerge w:val="continue"/>
            <w:vAlign w:val="center"/>
          </w:tcPr>
          <w:p w14:paraId="4DA9381E">
            <w:pPr>
              <w:keepNext w:val="0"/>
              <w:keepLines w:val="0"/>
              <w:pageBreakBefore w:val="0"/>
              <w:kinsoku/>
              <w:wordWrap/>
              <w:overflowPunct/>
              <w:topLinePunct w:val="0"/>
              <w:autoSpaceDE/>
              <w:autoSpaceDN/>
              <w:bidi w:val="0"/>
              <w:adjustRightInd/>
              <w:snapToGrid/>
              <w:ind w:left="0" w:right="0"/>
              <w:jc w:val="center"/>
              <w:rPr>
                <w:rFonts w:ascii="Times New Roman" w:hAnsi="Times New Roman" w:cs="Times New Roman"/>
                <w:color w:val="auto"/>
                <w:kern w:val="44"/>
                <w:sz w:val="21"/>
                <w:szCs w:val="21"/>
                <w:highlight w:val="none"/>
              </w:rPr>
            </w:pPr>
          </w:p>
        </w:tc>
      </w:tr>
      <w:tr w14:paraId="4DB6F1CF">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CellMar>
            <w:top w:w="0" w:type="dxa"/>
            <w:left w:w="0" w:type="dxa"/>
            <w:bottom w:w="0" w:type="dxa"/>
            <w:right w:w="0" w:type="dxa"/>
          </w:tblCellMar>
        </w:tblPrEx>
        <w:trPr>
          <w:cantSplit/>
          <w:trHeight w:val="344" w:hRule="atLeast"/>
          <w:jc w:val="center"/>
        </w:trPr>
        <w:tc>
          <w:tcPr>
            <w:tcW w:w="732" w:type="dxa"/>
            <w:vMerge w:val="continue"/>
            <w:vAlign w:val="center"/>
          </w:tcPr>
          <w:p w14:paraId="3C135682">
            <w:pPr>
              <w:keepNext w:val="0"/>
              <w:keepLines w:val="0"/>
              <w:pageBreakBefore w:val="0"/>
              <w:kinsoku/>
              <w:wordWrap/>
              <w:overflowPunct/>
              <w:topLinePunct w:val="0"/>
              <w:autoSpaceDE/>
              <w:autoSpaceDN/>
              <w:bidi w:val="0"/>
              <w:adjustRightInd/>
              <w:snapToGrid/>
              <w:ind w:left="0" w:right="0"/>
              <w:jc w:val="center"/>
              <w:rPr>
                <w:rFonts w:ascii="Times New Roman" w:hAnsi="Times New Roman" w:cs="Times New Roman"/>
                <w:color w:val="auto"/>
                <w:kern w:val="44"/>
                <w:sz w:val="21"/>
                <w:szCs w:val="21"/>
                <w:highlight w:val="none"/>
              </w:rPr>
            </w:pPr>
          </w:p>
        </w:tc>
        <w:tc>
          <w:tcPr>
            <w:tcW w:w="1111" w:type="dxa"/>
            <w:vAlign w:val="center"/>
          </w:tcPr>
          <w:p w14:paraId="51911EE3">
            <w:pPr>
              <w:pStyle w:val="118"/>
              <w:keepNext w:val="0"/>
              <w:keepLines w:val="0"/>
              <w:pageBreakBefore w:val="0"/>
              <w:kinsoku/>
              <w:wordWrap/>
              <w:overflowPunct/>
              <w:topLinePunct w:val="0"/>
              <w:autoSpaceDE/>
              <w:autoSpaceDN/>
              <w:bidi w:val="0"/>
              <w:adjustRightInd/>
              <w:snapToGrid/>
              <w:ind w:left="0" w:right="0"/>
              <w:rPr>
                <w:rFonts w:ascii="Times New Roman" w:hAnsi="Times New Roman" w:eastAsia="宋体"/>
                <w:color w:val="auto"/>
                <w:sz w:val="21"/>
                <w:szCs w:val="21"/>
                <w:highlight w:val="none"/>
              </w:rPr>
            </w:pPr>
            <w:r>
              <w:rPr>
                <w:rFonts w:ascii="Times New Roman" w:hAnsi="Times New Roman" w:eastAsia="宋体"/>
                <w:color w:val="auto"/>
                <w:sz w:val="21"/>
                <w:szCs w:val="21"/>
                <w:highlight w:val="none"/>
              </w:rPr>
              <w:t>TN</w:t>
            </w:r>
          </w:p>
        </w:tc>
        <w:tc>
          <w:tcPr>
            <w:tcW w:w="1417" w:type="dxa"/>
            <w:vAlign w:val="center"/>
          </w:tcPr>
          <w:p w14:paraId="74589106">
            <w:pPr>
              <w:keepNext w:val="0"/>
              <w:keepLines w:val="0"/>
              <w:pageBreakBefore w:val="0"/>
              <w:kinsoku/>
              <w:wordWrap/>
              <w:overflowPunct/>
              <w:topLinePunct w:val="0"/>
              <w:autoSpaceDE/>
              <w:autoSpaceDN/>
              <w:bidi w:val="0"/>
              <w:adjustRightInd/>
              <w:snapToGrid/>
              <w:ind w:left="0" w:right="0"/>
              <w:jc w:val="center"/>
              <w:rPr>
                <w:rFonts w:ascii="Times New Roman" w:hAnsi="Times New Roman"/>
                <w:color w:val="auto"/>
                <w:sz w:val="21"/>
                <w:szCs w:val="21"/>
                <w:highlight w:val="none"/>
              </w:rPr>
            </w:pPr>
            <w:r>
              <w:rPr>
                <w:rFonts w:hint="eastAsia" w:ascii="Times New Roman" w:hAnsi="Times New Roman" w:cs="Times New Roman"/>
                <w:color w:val="auto"/>
                <w:sz w:val="21"/>
                <w:szCs w:val="15"/>
                <w:highlight w:val="none"/>
              </w:rPr>
              <w:t>0.1188</w:t>
            </w:r>
          </w:p>
        </w:tc>
        <w:tc>
          <w:tcPr>
            <w:tcW w:w="1418" w:type="dxa"/>
            <w:vAlign w:val="center"/>
          </w:tcPr>
          <w:p w14:paraId="27C18BFC">
            <w:pPr>
              <w:keepNext w:val="0"/>
              <w:keepLines w:val="0"/>
              <w:pageBreakBefore w:val="0"/>
              <w:kinsoku/>
              <w:wordWrap/>
              <w:overflowPunct/>
              <w:topLinePunct w:val="0"/>
              <w:autoSpaceDE/>
              <w:autoSpaceDN/>
              <w:bidi w:val="0"/>
              <w:adjustRightInd/>
              <w:snapToGrid/>
              <w:ind w:left="0" w:right="0"/>
              <w:jc w:val="center"/>
              <w:rPr>
                <w:rFonts w:ascii="Times New Roman" w:hAnsi="Times New Roman"/>
                <w:color w:val="auto"/>
                <w:sz w:val="21"/>
                <w:szCs w:val="18"/>
                <w:highlight w:val="none"/>
              </w:rPr>
            </w:pPr>
            <w:r>
              <w:rPr>
                <w:rFonts w:hint="eastAsia" w:ascii="Times New Roman" w:hAnsi="Times New Roman" w:cs="Times New Roman"/>
                <w:color w:val="auto"/>
                <w:sz w:val="21"/>
                <w:szCs w:val="15"/>
                <w:highlight w:val="none"/>
              </w:rPr>
              <w:t>0.1188</w:t>
            </w:r>
          </w:p>
        </w:tc>
        <w:tc>
          <w:tcPr>
            <w:tcW w:w="1181" w:type="dxa"/>
            <w:vAlign w:val="center"/>
          </w:tcPr>
          <w:p w14:paraId="44484FDE">
            <w:pPr>
              <w:keepNext w:val="0"/>
              <w:keepLines w:val="0"/>
              <w:pageBreakBefore w:val="0"/>
              <w:kinsoku/>
              <w:wordWrap/>
              <w:overflowPunct/>
              <w:topLinePunct w:val="0"/>
              <w:autoSpaceDE/>
              <w:autoSpaceDN/>
              <w:bidi w:val="0"/>
              <w:adjustRightInd/>
              <w:snapToGrid/>
              <w:ind w:left="0" w:right="0"/>
              <w:jc w:val="center"/>
              <w:rPr>
                <w:rFonts w:ascii="Times New Roman" w:hAnsi="Times New Roman" w:cs="Times New Roman"/>
                <w:color w:val="auto"/>
                <w:sz w:val="21"/>
                <w:szCs w:val="21"/>
                <w:highlight w:val="none"/>
              </w:rPr>
            </w:pPr>
            <w:r>
              <w:rPr>
                <w:rFonts w:hint="eastAsia" w:ascii="Times New Roman" w:hAnsi="Times New Roman"/>
                <w:color w:val="auto"/>
                <w:sz w:val="21"/>
                <w:szCs w:val="21"/>
                <w:highlight w:val="none"/>
              </w:rPr>
              <w:t>0</w:t>
            </w:r>
          </w:p>
        </w:tc>
        <w:tc>
          <w:tcPr>
            <w:tcW w:w="1181" w:type="dxa"/>
            <w:vAlign w:val="center"/>
          </w:tcPr>
          <w:p w14:paraId="517B3EE7">
            <w:pPr>
              <w:keepNext w:val="0"/>
              <w:keepLines w:val="0"/>
              <w:pageBreakBefore w:val="0"/>
              <w:kinsoku/>
              <w:wordWrap/>
              <w:overflowPunct/>
              <w:topLinePunct w:val="0"/>
              <w:autoSpaceDE/>
              <w:autoSpaceDN/>
              <w:bidi w:val="0"/>
              <w:adjustRightInd/>
              <w:snapToGrid/>
              <w:ind w:left="0" w:right="0"/>
              <w:jc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0</w:t>
            </w:r>
          </w:p>
        </w:tc>
        <w:tc>
          <w:tcPr>
            <w:tcW w:w="1182" w:type="dxa"/>
            <w:vAlign w:val="center"/>
          </w:tcPr>
          <w:p w14:paraId="6BD0D6BC">
            <w:pPr>
              <w:keepNext w:val="0"/>
              <w:keepLines w:val="0"/>
              <w:pageBreakBefore w:val="0"/>
              <w:kinsoku/>
              <w:wordWrap/>
              <w:overflowPunct/>
              <w:topLinePunct w:val="0"/>
              <w:autoSpaceDE/>
              <w:autoSpaceDN/>
              <w:bidi w:val="0"/>
              <w:adjustRightInd/>
              <w:snapToGrid/>
              <w:ind w:left="0" w:right="0"/>
              <w:jc w:val="center"/>
              <w:rPr>
                <w:rFonts w:ascii="Times New Roman" w:hAnsi="Times New Roman" w:cs="Times New Roman"/>
                <w:color w:val="auto"/>
                <w:sz w:val="21"/>
                <w:szCs w:val="21"/>
                <w:highlight w:val="none"/>
              </w:rPr>
            </w:pPr>
            <w:r>
              <w:rPr>
                <w:rFonts w:hint="eastAsia" w:ascii="Times New Roman" w:hAnsi="Times New Roman"/>
                <w:color w:val="auto"/>
                <w:sz w:val="21"/>
                <w:szCs w:val="21"/>
                <w:highlight w:val="none"/>
              </w:rPr>
              <w:t>0</w:t>
            </w:r>
          </w:p>
        </w:tc>
        <w:tc>
          <w:tcPr>
            <w:tcW w:w="1559" w:type="dxa"/>
            <w:vAlign w:val="center"/>
          </w:tcPr>
          <w:p w14:paraId="684FB53B">
            <w:pPr>
              <w:keepNext w:val="0"/>
              <w:keepLines w:val="0"/>
              <w:pageBreakBefore w:val="0"/>
              <w:kinsoku/>
              <w:wordWrap/>
              <w:overflowPunct/>
              <w:topLinePunct w:val="0"/>
              <w:autoSpaceDE/>
              <w:autoSpaceDN/>
              <w:bidi w:val="0"/>
              <w:adjustRightInd/>
              <w:snapToGrid/>
              <w:ind w:left="0" w:right="0"/>
              <w:jc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0</w:t>
            </w:r>
          </w:p>
        </w:tc>
        <w:tc>
          <w:tcPr>
            <w:tcW w:w="1559" w:type="dxa"/>
            <w:vAlign w:val="center"/>
          </w:tcPr>
          <w:p w14:paraId="7D41B5B9">
            <w:pPr>
              <w:keepNext w:val="0"/>
              <w:keepLines w:val="0"/>
              <w:pageBreakBefore w:val="0"/>
              <w:kinsoku/>
              <w:wordWrap/>
              <w:overflowPunct/>
              <w:topLinePunct w:val="0"/>
              <w:autoSpaceDE/>
              <w:autoSpaceDN/>
              <w:bidi w:val="0"/>
              <w:adjustRightInd/>
              <w:snapToGrid/>
              <w:ind w:left="0" w:right="0"/>
              <w:jc w:val="center"/>
              <w:rPr>
                <w:rFonts w:ascii="Times New Roman" w:hAnsi="Times New Roman"/>
                <w:color w:val="auto"/>
                <w:sz w:val="21"/>
                <w:szCs w:val="18"/>
                <w:highlight w:val="none"/>
              </w:rPr>
            </w:pPr>
            <w:r>
              <w:rPr>
                <w:rFonts w:hint="eastAsia" w:ascii="Times New Roman" w:hAnsi="Times New Roman" w:cs="Times New Roman"/>
                <w:color w:val="auto"/>
                <w:sz w:val="21"/>
                <w:szCs w:val="15"/>
                <w:highlight w:val="none"/>
              </w:rPr>
              <w:t>0.1188</w:t>
            </w:r>
          </w:p>
        </w:tc>
        <w:tc>
          <w:tcPr>
            <w:tcW w:w="1098" w:type="dxa"/>
            <w:vAlign w:val="center"/>
          </w:tcPr>
          <w:p w14:paraId="33E9FA3F">
            <w:pPr>
              <w:keepNext w:val="0"/>
              <w:keepLines w:val="0"/>
              <w:pageBreakBefore w:val="0"/>
              <w:kinsoku/>
              <w:wordWrap/>
              <w:overflowPunct/>
              <w:topLinePunct w:val="0"/>
              <w:autoSpaceDE/>
              <w:autoSpaceDN/>
              <w:bidi w:val="0"/>
              <w:adjustRightInd/>
              <w:snapToGrid/>
              <w:ind w:left="0" w:right="0"/>
              <w:jc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0</w:t>
            </w:r>
          </w:p>
        </w:tc>
        <w:tc>
          <w:tcPr>
            <w:tcW w:w="1261" w:type="dxa"/>
            <w:vMerge w:val="continue"/>
            <w:vAlign w:val="center"/>
          </w:tcPr>
          <w:p w14:paraId="6BF9A553">
            <w:pPr>
              <w:keepNext w:val="0"/>
              <w:keepLines w:val="0"/>
              <w:pageBreakBefore w:val="0"/>
              <w:kinsoku/>
              <w:wordWrap/>
              <w:overflowPunct/>
              <w:topLinePunct w:val="0"/>
              <w:autoSpaceDE/>
              <w:autoSpaceDN/>
              <w:bidi w:val="0"/>
              <w:adjustRightInd/>
              <w:snapToGrid/>
              <w:ind w:left="0" w:right="0"/>
              <w:jc w:val="center"/>
              <w:rPr>
                <w:rFonts w:ascii="Times New Roman" w:hAnsi="Times New Roman" w:cs="Times New Roman"/>
                <w:color w:val="auto"/>
                <w:kern w:val="44"/>
                <w:sz w:val="21"/>
                <w:szCs w:val="21"/>
                <w:highlight w:val="none"/>
              </w:rPr>
            </w:pPr>
          </w:p>
        </w:tc>
      </w:tr>
      <w:tr w14:paraId="0FAE9943">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CellMar>
            <w:top w:w="0" w:type="dxa"/>
            <w:left w:w="0" w:type="dxa"/>
            <w:bottom w:w="0" w:type="dxa"/>
            <w:right w:w="0" w:type="dxa"/>
          </w:tblCellMar>
        </w:tblPrEx>
        <w:trPr>
          <w:cantSplit/>
          <w:trHeight w:val="344" w:hRule="atLeast"/>
          <w:jc w:val="center"/>
        </w:trPr>
        <w:tc>
          <w:tcPr>
            <w:tcW w:w="732" w:type="dxa"/>
            <w:vMerge w:val="continue"/>
            <w:vAlign w:val="center"/>
          </w:tcPr>
          <w:p w14:paraId="3C52D537">
            <w:pPr>
              <w:keepNext w:val="0"/>
              <w:keepLines w:val="0"/>
              <w:pageBreakBefore w:val="0"/>
              <w:kinsoku/>
              <w:wordWrap/>
              <w:overflowPunct/>
              <w:topLinePunct w:val="0"/>
              <w:autoSpaceDE/>
              <w:autoSpaceDN/>
              <w:bidi w:val="0"/>
              <w:adjustRightInd/>
              <w:snapToGrid/>
              <w:ind w:left="0" w:right="0"/>
              <w:jc w:val="center"/>
              <w:rPr>
                <w:rFonts w:ascii="Times New Roman" w:hAnsi="Times New Roman" w:cs="Times New Roman"/>
                <w:color w:val="auto"/>
                <w:kern w:val="44"/>
                <w:sz w:val="21"/>
                <w:szCs w:val="21"/>
                <w:highlight w:val="none"/>
              </w:rPr>
            </w:pPr>
          </w:p>
        </w:tc>
        <w:tc>
          <w:tcPr>
            <w:tcW w:w="1111" w:type="dxa"/>
            <w:vAlign w:val="center"/>
          </w:tcPr>
          <w:p w14:paraId="0959A677">
            <w:pPr>
              <w:pStyle w:val="118"/>
              <w:keepNext w:val="0"/>
              <w:keepLines w:val="0"/>
              <w:pageBreakBefore w:val="0"/>
              <w:kinsoku/>
              <w:wordWrap/>
              <w:overflowPunct/>
              <w:topLinePunct w:val="0"/>
              <w:autoSpaceDE/>
              <w:autoSpaceDN/>
              <w:bidi w:val="0"/>
              <w:adjustRightInd/>
              <w:snapToGrid/>
              <w:ind w:left="0" w:right="0"/>
              <w:rPr>
                <w:rFonts w:ascii="Times New Roman" w:hAnsi="Times New Roman" w:eastAsia="宋体"/>
                <w:color w:val="auto"/>
                <w:sz w:val="21"/>
                <w:szCs w:val="21"/>
                <w:highlight w:val="none"/>
              </w:rPr>
            </w:pPr>
            <w:r>
              <w:rPr>
                <w:rFonts w:hint="eastAsia" w:ascii="Times New Roman" w:hAnsi="Times New Roman" w:eastAsia="宋体"/>
                <w:color w:val="auto"/>
                <w:sz w:val="21"/>
                <w:szCs w:val="21"/>
                <w:highlight w:val="none"/>
              </w:rPr>
              <w:t>石油类</w:t>
            </w:r>
          </w:p>
        </w:tc>
        <w:tc>
          <w:tcPr>
            <w:tcW w:w="1417" w:type="dxa"/>
            <w:vAlign w:val="center"/>
          </w:tcPr>
          <w:p w14:paraId="51083066">
            <w:pPr>
              <w:keepNext w:val="0"/>
              <w:keepLines w:val="0"/>
              <w:pageBreakBefore w:val="0"/>
              <w:kinsoku/>
              <w:wordWrap/>
              <w:overflowPunct/>
              <w:topLinePunct w:val="0"/>
              <w:autoSpaceDE/>
              <w:autoSpaceDN/>
              <w:bidi w:val="0"/>
              <w:adjustRightInd/>
              <w:snapToGrid/>
              <w:ind w:left="0" w:right="0"/>
              <w:jc w:val="center"/>
              <w:rPr>
                <w:rFonts w:ascii="Times New Roman" w:hAnsi="Times New Roman"/>
                <w:color w:val="auto"/>
                <w:sz w:val="21"/>
                <w:szCs w:val="21"/>
                <w:highlight w:val="none"/>
              </w:rPr>
            </w:pPr>
            <w:r>
              <w:rPr>
                <w:rFonts w:hint="eastAsia" w:ascii="Times New Roman" w:hAnsi="Times New Roman" w:cs="Times New Roman"/>
                <w:color w:val="auto"/>
                <w:sz w:val="21"/>
                <w:szCs w:val="15"/>
                <w:highlight w:val="none"/>
              </w:rPr>
              <w:t>0.0135</w:t>
            </w:r>
          </w:p>
        </w:tc>
        <w:tc>
          <w:tcPr>
            <w:tcW w:w="1418" w:type="dxa"/>
            <w:vAlign w:val="center"/>
          </w:tcPr>
          <w:p w14:paraId="40209944">
            <w:pPr>
              <w:keepNext w:val="0"/>
              <w:keepLines w:val="0"/>
              <w:pageBreakBefore w:val="0"/>
              <w:kinsoku/>
              <w:wordWrap/>
              <w:overflowPunct/>
              <w:topLinePunct w:val="0"/>
              <w:autoSpaceDE/>
              <w:autoSpaceDN/>
              <w:bidi w:val="0"/>
              <w:adjustRightInd/>
              <w:snapToGrid/>
              <w:ind w:left="0" w:right="0"/>
              <w:jc w:val="center"/>
              <w:rPr>
                <w:rFonts w:ascii="Times New Roman" w:hAnsi="Times New Roman"/>
                <w:color w:val="auto"/>
                <w:sz w:val="21"/>
                <w:szCs w:val="18"/>
                <w:highlight w:val="none"/>
              </w:rPr>
            </w:pPr>
            <w:r>
              <w:rPr>
                <w:rFonts w:hint="eastAsia" w:ascii="Times New Roman" w:hAnsi="Times New Roman" w:cs="Times New Roman"/>
                <w:color w:val="auto"/>
                <w:sz w:val="21"/>
                <w:szCs w:val="15"/>
                <w:highlight w:val="none"/>
              </w:rPr>
              <w:t>0</w:t>
            </w:r>
          </w:p>
        </w:tc>
        <w:tc>
          <w:tcPr>
            <w:tcW w:w="1181" w:type="dxa"/>
            <w:vAlign w:val="center"/>
          </w:tcPr>
          <w:p w14:paraId="6AFB030B">
            <w:pPr>
              <w:keepNext w:val="0"/>
              <w:keepLines w:val="0"/>
              <w:pageBreakBefore w:val="0"/>
              <w:kinsoku/>
              <w:wordWrap/>
              <w:overflowPunct/>
              <w:topLinePunct w:val="0"/>
              <w:autoSpaceDE/>
              <w:autoSpaceDN/>
              <w:bidi w:val="0"/>
              <w:adjustRightInd/>
              <w:snapToGrid/>
              <w:ind w:left="0" w:right="0"/>
              <w:jc w:val="center"/>
              <w:rPr>
                <w:rFonts w:ascii="Times New Roman" w:hAnsi="Times New Roman" w:cs="Times New Roman"/>
                <w:color w:val="auto"/>
                <w:sz w:val="21"/>
                <w:szCs w:val="21"/>
                <w:highlight w:val="none"/>
              </w:rPr>
            </w:pPr>
            <w:r>
              <w:rPr>
                <w:rFonts w:hint="eastAsia" w:ascii="Times New Roman" w:hAnsi="Times New Roman"/>
                <w:color w:val="auto"/>
                <w:sz w:val="21"/>
                <w:szCs w:val="21"/>
                <w:highlight w:val="none"/>
              </w:rPr>
              <w:t>0</w:t>
            </w:r>
          </w:p>
        </w:tc>
        <w:tc>
          <w:tcPr>
            <w:tcW w:w="1181" w:type="dxa"/>
            <w:vAlign w:val="center"/>
          </w:tcPr>
          <w:p w14:paraId="7984B4E4">
            <w:pPr>
              <w:keepNext w:val="0"/>
              <w:keepLines w:val="0"/>
              <w:pageBreakBefore w:val="0"/>
              <w:kinsoku/>
              <w:wordWrap/>
              <w:overflowPunct/>
              <w:topLinePunct w:val="0"/>
              <w:autoSpaceDE/>
              <w:autoSpaceDN/>
              <w:bidi w:val="0"/>
              <w:adjustRightInd/>
              <w:snapToGrid/>
              <w:ind w:left="0" w:right="0"/>
              <w:jc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0</w:t>
            </w:r>
          </w:p>
        </w:tc>
        <w:tc>
          <w:tcPr>
            <w:tcW w:w="1182" w:type="dxa"/>
            <w:vAlign w:val="center"/>
          </w:tcPr>
          <w:p w14:paraId="34136E3A">
            <w:pPr>
              <w:keepNext w:val="0"/>
              <w:keepLines w:val="0"/>
              <w:pageBreakBefore w:val="0"/>
              <w:kinsoku/>
              <w:wordWrap/>
              <w:overflowPunct/>
              <w:topLinePunct w:val="0"/>
              <w:autoSpaceDE/>
              <w:autoSpaceDN/>
              <w:bidi w:val="0"/>
              <w:adjustRightInd/>
              <w:snapToGrid/>
              <w:ind w:left="0" w:right="0"/>
              <w:jc w:val="center"/>
              <w:rPr>
                <w:rFonts w:ascii="Times New Roman" w:hAnsi="Times New Roman" w:cs="Times New Roman"/>
                <w:color w:val="auto"/>
                <w:sz w:val="21"/>
                <w:szCs w:val="21"/>
                <w:highlight w:val="none"/>
              </w:rPr>
            </w:pPr>
            <w:r>
              <w:rPr>
                <w:rFonts w:hint="eastAsia" w:ascii="Times New Roman" w:hAnsi="Times New Roman"/>
                <w:color w:val="auto"/>
                <w:sz w:val="21"/>
                <w:szCs w:val="21"/>
                <w:highlight w:val="none"/>
              </w:rPr>
              <w:t>0</w:t>
            </w:r>
          </w:p>
        </w:tc>
        <w:tc>
          <w:tcPr>
            <w:tcW w:w="1559" w:type="dxa"/>
            <w:vAlign w:val="center"/>
          </w:tcPr>
          <w:p w14:paraId="2E1161A6">
            <w:pPr>
              <w:keepNext w:val="0"/>
              <w:keepLines w:val="0"/>
              <w:pageBreakBefore w:val="0"/>
              <w:kinsoku/>
              <w:wordWrap/>
              <w:overflowPunct/>
              <w:topLinePunct w:val="0"/>
              <w:autoSpaceDE/>
              <w:autoSpaceDN/>
              <w:bidi w:val="0"/>
              <w:adjustRightInd/>
              <w:snapToGrid/>
              <w:ind w:left="0" w:right="0"/>
              <w:jc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0</w:t>
            </w:r>
          </w:p>
        </w:tc>
        <w:tc>
          <w:tcPr>
            <w:tcW w:w="1559" w:type="dxa"/>
            <w:vAlign w:val="center"/>
          </w:tcPr>
          <w:p w14:paraId="3B327015">
            <w:pPr>
              <w:keepNext w:val="0"/>
              <w:keepLines w:val="0"/>
              <w:pageBreakBefore w:val="0"/>
              <w:kinsoku/>
              <w:wordWrap/>
              <w:overflowPunct/>
              <w:topLinePunct w:val="0"/>
              <w:autoSpaceDE/>
              <w:autoSpaceDN/>
              <w:bidi w:val="0"/>
              <w:adjustRightInd/>
              <w:snapToGrid/>
              <w:ind w:left="0" w:right="0"/>
              <w:jc w:val="center"/>
              <w:rPr>
                <w:rFonts w:ascii="Times New Roman" w:hAnsi="Times New Roman"/>
                <w:color w:val="auto"/>
                <w:sz w:val="21"/>
                <w:szCs w:val="18"/>
                <w:highlight w:val="none"/>
              </w:rPr>
            </w:pPr>
            <w:r>
              <w:rPr>
                <w:rFonts w:hint="eastAsia" w:ascii="Times New Roman" w:hAnsi="Times New Roman" w:cs="Times New Roman"/>
                <w:color w:val="auto"/>
                <w:sz w:val="21"/>
                <w:szCs w:val="15"/>
                <w:highlight w:val="none"/>
              </w:rPr>
              <w:t>0</w:t>
            </w:r>
          </w:p>
        </w:tc>
        <w:tc>
          <w:tcPr>
            <w:tcW w:w="1098" w:type="dxa"/>
            <w:vAlign w:val="center"/>
          </w:tcPr>
          <w:p w14:paraId="2A25AED8">
            <w:pPr>
              <w:keepNext w:val="0"/>
              <w:keepLines w:val="0"/>
              <w:pageBreakBefore w:val="0"/>
              <w:kinsoku/>
              <w:wordWrap/>
              <w:overflowPunct/>
              <w:topLinePunct w:val="0"/>
              <w:autoSpaceDE/>
              <w:autoSpaceDN/>
              <w:bidi w:val="0"/>
              <w:adjustRightInd/>
              <w:snapToGrid/>
              <w:ind w:left="0" w:right="0"/>
              <w:jc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0</w:t>
            </w:r>
          </w:p>
        </w:tc>
        <w:tc>
          <w:tcPr>
            <w:tcW w:w="1261" w:type="dxa"/>
            <w:vMerge w:val="continue"/>
            <w:vAlign w:val="center"/>
          </w:tcPr>
          <w:p w14:paraId="0AF8CFCE">
            <w:pPr>
              <w:keepNext w:val="0"/>
              <w:keepLines w:val="0"/>
              <w:pageBreakBefore w:val="0"/>
              <w:kinsoku/>
              <w:wordWrap/>
              <w:overflowPunct/>
              <w:topLinePunct w:val="0"/>
              <w:autoSpaceDE/>
              <w:autoSpaceDN/>
              <w:bidi w:val="0"/>
              <w:adjustRightInd/>
              <w:snapToGrid/>
              <w:ind w:left="0" w:right="0"/>
              <w:jc w:val="center"/>
              <w:rPr>
                <w:rFonts w:ascii="Times New Roman" w:hAnsi="Times New Roman" w:cs="Times New Roman"/>
                <w:color w:val="auto"/>
                <w:kern w:val="44"/>
                <w:sz w:val="21"/>
                <w:szCs w:val="21"/>
                <w:highlight w:val="none"/>
              </w:rPr>
            </w:pPr>
          </w:p>
        </w:tc>
      </w:tr>
      <w:tr w14:paraId="45024E2E">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CellMar>
            <w:top w:w="0" w:type="dxa"/>
            <w:left w:w="0" w:type="dxa"/>
            <w:bottom w:w="0" w:type="dxa"/>
            <w:right w:w="0" w:type="dxa"/>
          </w:tblCellMar>
        </w:tblPrEx>
        <w:trPr>
          <w:cantSplit/>
          <w:trHeight w:val="547" w:hRule="atLeast"/>
          <w:jc w:val="center"/>
        </w:trPr>
        <w:tc>
          <w:tcPr>
            <w:tcW w:w="732" w:type="dxa"/>
            <w:vMerge w:val="restart"/>
            <w:vAlign w:val="center"/>
          </w:tcPr>
          <w:p w14:paraId="31FFDDBA">
            <w:pPr>
              <w:pStyle w:val="118"/>
              <w:keepNext w:val="0"/>
              <w:keepLines w:val="0"/>
              <w:pageBreakBefore w:val="0"/>
              <w:kinsoku/>
              <w:wordWrap/>
              <w:overflowPunct/>
              <w:topLinePunct w:val="0"/>
              <w:autoSpaceDE/>
              <w:autoSpaceDN/>
              <w:bidi w:val="0"/>
              <w:adjustRightInd/>
              <w:snapToGrid/>
              <w:ind w:left="0" w:right="0"/>
              <w:rPr>
                <w:rFonts w:ascii="Times New Roman" w:hAnsi="Times New Roman" w:eastAsia="宋体"/>
                <w:color w:val="auto"/>
                <w:sz w:val="21"/>
                <w:szCs w:val="21"/>
                <w:highlight w:val="none"/>
              </w:rPr>
            </w:pPr>
            <w:r>
              <w:rPr>
                <w:rFonts w:ascii="Times New Roman" w:hAnsi="Times New Roman" w:eastAsia="宋体"/>
                <w:color w:val="auto"/>
                <w:sz w:val="21"/>
                <w:szCs w:val="21"/>
                <w:highlight w:val="none"/>
              </w:rPr>
              <w:t>固废</w:t>
            </w:r>
          </w:p>
        </w:tc>
        <w:tc>
          <w:tcPr>
            <w:tcW w:w="1111" w:type="dxa"/>
            <w:vAlign w:val="center"/>
          </w:tcPr>
          <w:p w14:paraId="72E0F990">
            <w:pPr>
              <w:pStyle w:val="118"/>
              <w:keepNext w:val="0"/>
              <w:keepLines w:val="0"/>
              <w:pageBreakBefore w:val="0"/>
              <w:kinsoku/>
              <w:wordWrap/>
              <w:overflowPunct/>
              <w:topLinePunct w:val="0"/>
              <w:autoSpaceDE/>
              <w:autoSpaceDN/>
              <w:bidi w:val="0"/>
              <w:adjustRightInd/>
              <w:snapToGrid/>
              <w:ind w:left="0" w:right="0"/>
              <w:rPr>
                <w:rFonts w:ascii="Times New Roman" w:hAnsi="Times New Roman" w:eastAsia="宋体"/>
                <w:b/>
                <w:bCs/>
                <w:color w:val="auto"/>
                <w:sz w:val="21"/>
                <w:szCs w:val="21"/>
                <w:highlight w:val="none"/>
              </w:rPr>
            </w:pPr>
            <w:r>
              <w:rPr>
                <w:rFonts w:ascii="Times New Roman" w:hAnsi="Times New Roman" w:eastAsia="宋体"/>
                <w:b/>
                <w:bCs/>
                <w:color w:val="auto"/>
                <w:sz w:val="21"/>
                <w:szCs w:val="21"/>
                <w:highlight w:val="none"/>
              </w:rPr>
              <w:t>污染物类别</w:t>
            </w:r>
          </w:p>
        </w:tc>
        <w:tc>
          <w:tcPr>
            <w:tcW w:w="1417" w:type="dxa"/>
            <w:vAlign w:val="center"/>
          </w:tcPr>
          <w:p w14:paraId="146A6852">
            <w:pPr>
              <w:pStyle w:val="118"/>
              <w:keepNext w:val="0"/>
              <w:keepLines w:val="0"/>
              <w:pageBreakBefore w:val="0"/>
              <w:kinsoku/>
              <w:wordWrap/>
              <w:overflowPunct/>
              <w:topLinePunct w:val="0"/>
              <w:autoSpaceDE/>
              <w:autoSpaceDN/>
              <w:bidi w:val="0"/>
              <w:adjustRightInd/>
              <w:snapToGrid/>
              <w:ind w:left="0" w:right="0"/>
              <w:rPr>
                <w:rFonts w:ascii="Times New Roman" w:hAnsi="Times New Roman" w:eastAsia="宋体"/>
                <w:b/>
                <w:bCs/>
                <w:color w:val="auto"/>
                <w:sz w:val="21"/>
                <w:szCs w:val="21"/>
                <w:highlight w:val="none"/>
              </w:rPr>
            </w:pPr>
            <w:r>
              <w:rPr>
                <w:rFonts w:hint="eastAsia" w:ascii="Times New Roman" w:hAnsi="Times New Roman" w:eastAsia="宋体"/>
                <w:b/>
                <w:bCs/>
                <w:color w:val="auto"/>
                <w:sz w:val="21"/>
                <w:szCs w:val="21"/>
                <w:highlight w:val="none"/>
              </w:rPr>
              <w:t>环评批复量</w:t>
            </w:r>
            <w:r>
              <w:rPr>
                <w:rFonts w:ascii="Times New Roman" w:hAnsi="Times New Roman" w:eastAsia="宋体"/>
                <w:b/>
                <w:bCs/>
                <w:color w:val="auto"/>
                <w:sz w:val="21"/>
                <w:szCs w:val="21"/>
                <w:highlight w:val="none"/>
              </w:rPr>
              <w:t>量</w:t>
            </w:r>
          </w:p>
        </w:tc>
        <w:tc>
          <w:tcPr>
            <w:tcW w:w="1418" w:type="dxa"/>
            <w:vAlign w:val="center"/>
          </w:tcPr>
          <w:p w14:paraId="4D87B976">
            <w:pPr>
              <w:pStyle w:val="118"/>
              <w:keepNext w:val="0"/>
              <w:keepLines w:val="0"/>
              <w:pageBreakBefore w:val="0"/>
              <w:kinsoku/>
              <w:wordWrap/>
              <w:overflowPunct/>
              <w:topLinePunct w:val="0"/>
              <w:autoSpaceDE/>
              <w:autoSpaceDN/>
              <w:bidi w:val="0"/>
              <w:adjustRightInd/>
              <w:snapToGrid/>
              <w:ind w:left="0" w:right="0"/>
              <w:rPr>
                <w:rFonts w:ascii="Times New Roman" w:hAnsi="Times New Roman" w:eastAsia="宋体"/>
                <w:b/>
                <w:bCs/>
                <w:color w:val="auto"/>
                <w:sz w:val="21"/>
                <w:szCs w:val="21"/>
                <w:highlight w:val="none"/>
              </w:rPr>
            </w:pPr>
            <w:r>
              <w:rPr>
                <w:rFonts w:hint="eastAsia" w:ascii="Times New Roman" w:hAnsi="Times New Roman" w:eastAsia="宋体"/>
                <w:b/>
                <w:bCs/>
                <w:color w:val="auto"/>
                <w:sz w:val="21"/>
                <w:szCs w:val="21"/>
                <w:highlight w:val="none"/>
              </w:rPr>
              <w:t>现有项目排放量*</w:t>
            </w:r>
          </w:p>
        </w:tc>
        <w:tc>
          <w:tcPr>
            <w:tcW w:w="1181" w:type="dxa"/>
            <w:vAlign w:val="center"/>
          </w:tcPr>
          <w:p w14:paraId="1B86B16C">
            <w:pPr>
              <w:pStyle w:val="118"/>
              <w:keepNext w:val="0"/>
              <w:keepLines w:val="0"/>
              <w:pageBreakBefore w:val="0"/>
              <w:kinsoku/>
              <w:wordWrap/>
              <w:overflowPunct/>
              <w:topLinePunct w:val="0"/>
              <w:autoSpaceDE/>
              <w:autoSpaceDN/>
              <w:bidi w:val="0"/>
              <w:adjustRightInd/>
              <w:snapToGrid/>
              <w:ind w:left="0" w:right="0"/>
              <w:rPr>
                <w:rFonts w:ascii="Times New Roman" w:hAnsi="Times New Roman" w:eastAsia="宋体"/>
                <w:b/>
                <w:bCs/>
                <w:color w:val="auto"/>
                <w:sz w:val="21"/>
                <w:szCs w:val="21"/>
                <w:highlight w:val="none"/>
              </w:rPr>
            </w:pPr>
            <w:r>
              <w:rPr>
                <w:rFonts w:ascii="Times New Roman" w:hAnsi="Times New Roman" w:eastAsia="宋体"/>
                <w:b/>
                <w:bCs/>
                <w:color w:val="auto"/>
                <w:sz w:val="21"/>
                <w:szCs w:val="21"/>
                <w:highlight w:val="none"/>
              </w:rPr>
              <w:t>产生量</w:t>
            </w:r>
          </w:p>
        </w:tc>
        <w:tc>
          <w:tcPr>
            <w:tcW w:w="1181" w:type="dxa"/>
            <w:vAlign w:val="center"/>
          </w:tcPr>
          <w:p w14:paraId="43B89FEA">
            <w:pPr>
              <w:pStyle w:val="118"/>
              <w:keepNext w:val="0"/>
              <w:keepLines w:val="0"/>
              <w:pageBreakBefore w:val="0"/>
              <w:kinsoku/>
              <w:wordWrap/>
              <w:overflowPunct/>
              <w:topLinePunct w:val="0"/>
              <w:autoSpaceDE/>
              <w:autoSpaceDN/>
              <w:bidi w:val="0"/>
              <w:adjustRightInd/>
              <w:snapToGrid/>
              <w:ind w:left="0" w:right="0"/>
              <w:rPr>
                <w:rFonts w:ascii="Times New Roman" w:hAnsi="Times New Roman" w:eastAsia="宋体"/>
                <w:b/>
                <w:bCs/>
                <w:color w:val="auto"/>
                <w:sz w:val="21"/>
                <w:szCs w:val="21"/>
                <w:highlight w:val="none"/>
              </w:rPr>
            </w:pPr>
            <w:r>
              <w:rPr>
                <w:rFonts w:ascii="Times New Roman" w:hAnsi="Times New Roman" w:eastAsia="宋体"/>
                <w:b/>
                <w:bCs/>
                <w:color w:val="auto"/>
                <w:sz w:val="21"/>
                <w:szCs w:val="21"/>
                <w:highlight w:val="none"/>
              </w:rPr>
              <w:t>处理处置量</w:t>
            </w:r>
          </w:p>
        </w:tc>
        <w:tc>
          <w:tcPr>
            <w:tcW w:w="1182" w:type="dxa"/>
            <w:vAlign w:val="center"/>
          </w:tcPr>
          <w:p w14:paraId="60B51865">
            <w:pPr>
              <w:pStyle w:val="118"/>
              <w:keepNext w:val="0"/>
              <w:keepLines w:val="0"/>
              <w:pageBreakBefore w:val="0"/>
              <w:kinsoku/>
              <w:wordWrap/>
              <w:overflowPunct/>
              <w:topLinePunct w:val="0"/>
              <w:autoSpaceDE/>
              <w:autoSpaceDN/>
              <w:bidi w:val="0"/>
              <w:adjustRightInd/>
              <w:snapToGrid/>
              <w:ind w:left="0" w:right="0"/>
              <w:rPr>
                <w:rFonts w:ascii="Times New Roman" w:hAnsi="Times New Roman" w:eastAsia="宋体"/>
                <w:b/>
                <w:bCs/>
                <w:color w:val="auto"/>
                <w:sz w:val="21"/>
                <w:szCs w:val="21"/>
                <w:highlight w:val="none"/>
              </w:rPr>
            </w:pPr>
            <w:r>
              <w:rPr>
                <w:rFonts w:ascii="Times New Roman" w:hAnsi="Times New Roman" w:eastAsia="宋体"/>
                <w:b/>
                <w:bCs/>
                <w:color w:val="auto"/>
                <w:sz w:val="21"/>
                <w:szCs w:val="21"/>
                <w:highlight w:val="none"/>
              </w:rPr>
              <w:t>综合利用量</w:t>
            </w:r>
          </w:p>
        </w:tc>
        <w:tc>
          <w:tcPr>
            <w:tcW w:w="1559" w:type="dxa"/>
            <w:vAlign w:val="center"/>
          </w:tcPr>
          <w:p w14:paraId="30FBCAAE">
            <w:pPr>
              <w:pStyle w:val="118"/>
              <w:keepNext w:val="0"/>
              <w:keepLines w:val="0"/>
              <w:pageBreakBefore w:val="0"/>
              <w:kinsoku/>
              <w:wordWrap/>
              <w:overflowPunct/>
              <w:topLinePunct w:val="0"/>
              <w:autoSpaceDE/>
              <w:autoSpaceDN/>
              <w:bidi w:val="0"/>
              <w:adjustRightInd/>
              <w:snapToGrid/>
              <w:ind w:left="0" w:right="0"/>
              <w:rPr>
                <w:rFonts w:ascii="Times New Roman" w:hAnsi="Times New Roman" w:eastAsia="宋体"/>
                <w:b/>
                <w:bCs/>
                <w:color w:val="auto"/>
                <w:sz w:val="21"/>
                <w:szCs w:val="21"/>
                <w:highlight w:val="none"/>
              </w:rPr>
            </w:pPr>
            <w:r>
              <w:rPr>
                <w:rFonts w:ascii="Times New Roman" w:hAnsi="Times New Roman" w:eastAsia="宋体"/>
                <w:b/>
                <w:bCs/>
                <w:color w:val="auto"/>
                <w:sz w:val="21"/>
                <w:szCs w:val="21"/>
                <w:highlight w:val="none"/>
              </w:rPr>
              <w:t>外排量</w:t>
            </w:r>
          </w:p>
        </w:tc>
        <w:tc>
          <w:tcPr>
            <w:tcW w:w="1559" w:type="dxa"/>
            <w:vAlign w:val="center"/>
          </w:tcPr>
          <w:p w14:paraId="79488345">
            <w:pPr>
              <w:pStyle w:val="118"/>
              <w:keepNext w:val="0"/>
              <w:keepLines w:val="0"/>
              <w:pageBreakBefore w:val="0"/>
              <w:kinsoku/>
              <w:wordWrap/>
              <w:overflowPunct/>
              <w:topLinePunct w:val="0"/>
              <w:autoSpaceDE/>
              <w:autoSpaceDN/>
              <w:bidi w:val="0"/>
              <w:adjustRightInd/>
              <w:snapToGrid/>
              <w:ind w:left="0" w:right="0"/>
              <w:rPr>
                <w:rFonts w:ascii="Times New Roman" w:hAnsi="Times New Roman" w:eastAsia="宋体"/>
                <w:b/>
                <w:bCs/>
                <w:color w:val="auto"/>
                <w:sz w:val="21"/>
                <w:szCs w:val="21"/>
                <w:highlight w:val="none"/>
              </w:rPr>
            </w:pPr>
            <w:r>
              <w:rPr>
                <w:rFonts w:ascii="Times New Roman" w:hAnsi="Times New Roman" w:eastAsia="宋体"/>
                <w:b/>
                <w:bCs/>
                <w:color w:val="auto"/>
                <w:sz w:val="21"/>
                <w:szCs w:val="21"/>
                <w:highlight w:val="none"/>
              </w:rPr>
              <w:t>全厂排放量</w:t>
            </w:r>
          </w:p>
        </w:tc>
        <w:tc>
          <w:tcPr>
            <w:tcW w:w="1098" w:type="dxa"/>
            <w:vAlign w:val="center"/>
          </w:tcPr>
          <w:p w14:paraId="7A3DEEDE">
            <w:pPr>
              <w:pStyle w:val="118"/>
              <w:keepNext w:val="0"/>
              <w:keepLines w:val="0"/>
              <w:pageBreakBefore w:val="0"/>
              <w:kinsoku/>
              <w:wordWrap/>
              <w:overflowPunct/>
              <w:topLinePunct w:val="0"/>
              <w:autoSpaceDE/>
              <w:autoSpaceDN/>
              <w:bidi w:val="0"/>
              <w:adjustRightInd/>
              <w:snapToGrid/>
              <w:ind w:left="0" w:right="0"/>
              <w:rPr>
                <w:rFonts w:ascii="Times New Roman" w:hAnsi="Times New Roman" w:eastAsia="宋体"/>
                <w:b/>
                <w:bCs/>
                <w:color w:val="auto"/>
                <w:sz w:val="21"/>
                <w:szCs w:val="21"/>
                <w:highlight w:val="none"/>
              </w:rPr>
            </w:pPr>
            <w:r>
              <w:rPr>
                <w:rFonts w:ascii="Times New Roman" w:hAnsi="Times New Roman" w:eastAsia="宋体"/>
                <w:b/>
                <w:bCs/>
                <w:color w:val="auto"/>
                <w:sz w:val="21"/>
                <w:szCs w:val="21"/>
                <w:highlight w:val="none"/>
              </w:rPr>
              <w:t>增减量</w:t>
            </w:r>
          </w:p>
        </w:tc>
        <w:tc>
          <w:tcPr>
            <w:tcW w:w="1261" w:type="dxa"/>
            <w:vMerge w:val="restart"/>
            <w:vAlign w:val="center"/>
          </w:tcPr>
          <w:p w14:paraId="0EEA0CEA">
            <w:pPr>
              <w:pStyle w:val="118"/>
              <w:keepNext w:val="0"/>
              <w:keepLines w:val="0"/>
              <w:pageBreakBefore w:val="0"/>
              <w:kinsoku/>
              <w:wordWrap/>
              <w:overflowPunct/>
              <w:topLinePunct w:val="0"/>
              <w:autoSpaceDE/>
              <w:autoSpaceDN/>
              <w:bidi w:val="0"/>
              <w:adjustRightInd/>
              <w:snapToGrid/>
              <w:ind w:left="0" w:right="0"/>
              <w:rPr>
                <w:rFonts w:ascii="Times New Roman" w:hAnsi="Times New Roman" w:eastAsia="宋体"/>
                <w:b/>
                <w:bCs/>
                <w:color w:val="auto"/>
                <w:sz w:val="21"/>
                <w:szCs w:val="21"/>
                <w:highlight w:val="none"/>
              </w:rPr>
            </w:pPr>
            <w:r>
              <w:rPr>
                <w:rFonts w:ascii="Times New Roman" w:hAnsi="Times New Roman" w:eastAsia="宋体"/>
                <w:b/>
                <w:bCs/>
                <w:color w:val="auto"/>
                <w:sz w:val="21"/>
                <w:szCs w:val="21"/>
                <w:highlight w:val="none"/>
              </w:rPr>
              <w:t>/</w:t>
            </w:r>
          </w:p>
        </w:tc>
      </w:tr>
      <w:tr w14:paraId="500F41B3">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CellMar>
            <w:top w:w="0" w:type="dxa"/>
            <w:left w:w="0" w:type="dxa"/>
            <w:bottom w:w="0" w:type="dxa"/>
            <w:right w:w="0" w:type="dxa"/>
          </w:tblCellMar>
        </w:tblPrEx>
        <w:trPr>
          <w:cantSplit/>
          <w:trHeight w:val="192" w:hRule="atLeast"/>
          <w:jc w:val="center"/>
        </w:trPr>
        <w:tc>
          <w:tcPr>
            <w:tcW w:w="732" w:type="dxa"/>
            <w:vMerge w:val="continue"/>
            <w:vAlign w:val="center"/>
          </w:tcPr>
          <w:p w14:paraId="27F73DCA">
            <w:pPr>
              <w:keepNext w:val="0"/>
              <w:keepLines w:val="0"/>
              <w:pageBreakBefore w:val="0"/>
              <w:kinsoku/>
              <w:wordWrap/>
              <w:overflowPunct/>
              <w:topLinePunct w:val="0"/>
              <w:autoSpaceDE/>
              <w:autoSpaceDN/>
              <w:bidi w:val="0"/>
              <w:adjustRightInd/>
              <w:snapToGrid/>
              <w:ind w:left="0" w:right="0"/>
              <w:jc w:val="center"/>
              <w:rPr>
                <w:rFonts w:ascii="Times New Roman" w:hAnsi="Times New Roman" w:cs="Times New Roman"/>
                <w:color w:val="auto"/>
                <w:kern w:val="44"/>
                <w:sz w:val="21"/>
                <w:szCs w:val="21"/>
                <w:highlight w:val="none"/>
              </w:rPr>
            </w:pPr>
          </w:p>
        </w:tc>
        <w:tc>
          <w:tcPr>
            <w:tcW w:w="1111" w:type="dxa"/>
            <w:vAlign w:val="center"/>
          </w:tcPr>
          <w:p w14:paraId="221845A7">
            <w:pPr>
              <w:pStyle w:val="154"/>
              <w:keepNext w:val="0"/>
              <w:keepLines w:val="0"/>
              <w:pageBreakBefore w:val="0"/>
              <w:kinsoku/>
              <w:wordWrap/>
              <w:overflowPunct/>
              <w:topLinePunct w:val="0"/>
              <w:autoSpaceDE/>
              <w:autoSpaceDN/>
              <w:bidi w:val="0"/>
              <w:adjustRightInd/>
              <w:snapToGrid/>
              <w:ind w:left="0" w:right="0"/>
              <w:rPr>
                <w:color w:val="auto"/>
                <w:sz w:val="21"/>
                <w:szCs w:val="21"/>
                <w:highlight w:val="none"/>
              </w:rPr>
            </w:pPr>
            <w:r>
              <w:rPr>
                <w:color w:val="auto"/>
                <w:sz w:val="21"/>
                <w:szCs w:val="21"/>
                <w:highlight w:val="none"/>
              </w:rPr>
              <w:t>危险废物</w:t>
            </w:r>
          </w:p>
        </w:tc>
        <w:tc>
          <w:tcPr>
            <w:tcW w:w="1417" w:type="dxa"/>
            <w:vAlign w:val="center"/>
          </w:tcPr>
          <w:p w14:paraId="71DD1DA4">
            <w:pPr>
              <w:pStyle w:val="118"/>
              <w:keepNext w:val="0"/>
              <w:keepLines w:val="0"/>
              <w:pageBreakBefore w:val="0"/>
              <w:kinsoku/>
              <w:wordWrap/>
              <w:overflowPunct/>
              <w:topLinePunct w:val="0"/>
              <w:autoSpaceDE/>
              <w:autoSpaceDN/>
              <w:bidi w:val="0"/>
              <w:adjustRightInd/>
              <w:snapToGrid/>
              <w:ind w:left="0" w:right="0"/>
              <w:rPr>
                <w:rFonts w:ascii="Times New Roman" w:hAnsi="Times New Roman" w:eastAsia="宋体"/>
                <w:color w:val="auto"/>
                <w:sz w:val="21"/>
                <w:szCs w:val="21"/>
                <w:highlight w:val="none"/>
              </w:rPr>
            </w:pPr>
            <w:r>
              <w:rPr>
                <w:rFonts w:hint="eastAsia" w:ascii="Times New Roman" w:hAnsi="Times New Roman" w:eastAsia="宋体"/>
                <w:color w:val="auto"/>
                <w:sz w:val="21"/>
                <w:szCs w:val="21"/>
                <w:highlight w:val="none"/>
              </w:rPr>
              <w:t>0</w:t>
            </w:r>
          </w:p>
        </w:tc>
        <w:tc>
          <w:tcPr>
            <w:tcW w:w="1418" w:type="dxa"/>
            <w:vAlign w:val="center"/>
          </w:tcPr>
          <w:p w14:paraId="65D7D872">
            <w:pPr>
              <w:pStyle w:val="118"/>
              <w:keepNext w:val="0"/>
              <w:keepLines w:val="0"/>
              <w:pageBreakBefore w:val="0"/>
              <w:kinsoku/>
              <w:wordWrap/>
              <w:overflowPunct/>
              <w:topLinePunct w:val="0"/>
              <w:autoSpaceDE/>
              <w:autoSpaceDN/>
              <w:bidi w:val="0"/>
              <w:adjustRightInd/>
              <w:snapToGrid/>
              <w:ind w:left="0" w:right="0"/>
              <w:rPr>
                <w:rFonts w:ascii="Times New Roman" w:hAnsi="Times New Roman" w:eastAsia="宋体"/>
                <w:color w:val="auto"/>
                <w:sz w:val="21"/>
                <w:szCs w:val="21"/>
                <w:highlight w:val="none"/>
              </w:rPr>
            </w:pPr>
            <w:r>
              <w:rPr>
                <w:rFonts w:hint="eastAsia" w:ascii="Times New Roman" w:hAnsi="Times New Roman" w:eastAsia="宋体"/>
                <w:color w:val="auto"/>
                <w:sz w:val="21"/>
                <w:szCs w:val="21"/>
                <w:highlight w:val="none"/>
              </w:rPr>
              <w:t>0</w:t>
            </w:r>
          </w:p>
        </w:tc>
        <w:tc>
          <w:tcPr>
            <w:tcW w:w="1181" w:type="dxa"/>
            <w:vAlign w:val="center"/>
          </w:tcPr>
          <w:p w14:paraId="4BD132B3">
            <w:pPr>
              <w:pStyle w:val="154"/>
              <w:keepNext w:val="0"/>
              <w:keepLines w:val="0"/>
              <w:pageBreakBefore w:val="0"/>
              <w:kinsoku/>
              <w:wordWrap/>
              <w:overflowPunct/>
              <w:topLinePunct w:val="0"/>
              <w:autoSpaceDE/>
              <w:autoSpaceDN/>
              <w:bidi w:val="0"/>
              <w:adjustRightInd/>
              <w:snapToGrid/>
              <w:ind w:left="0" w:right="0"/>
              <w:rPr>
                <w:color w:val="auto"/>
                <w:sz w:val="21"/>
                <w:szCs w:val="21"/>
                <w:highlight w:val="none"/>
              </w:rPr>
            </w:pPr>
            <w:r>
              <w:rPr>
                <w:rFonts w:hint="eastAsia"/>
                <w:color w:val="auto"/>
                <w:sz w:val="21"/>
                <w:szCs w:val="21"/>
                <w:highlight w:val="none"/>
              </w:rPr>
              <w:t>20.09</w:t>
            </w:r>
          </w:p>
        </w:tc>
        <w:tc>
          <w:tcPr>
            <w:tcW w:w="1181" w:type="dxa"/>
            <w:vAlign w:val="center"/>
          </w:tcPr>
          <w:p w14:paraId="1AF95FE3">
            <w:pPr>
              <w:pStyle w:val="154"/>
              <w:keepNext w:val="0"/>
              <w:keepLines w:val="0"/>
              <w:pageBreakBefore w:val="0"/>
              <w:kinsoku/>
              <w:wordWrap/>
              <w:overflowPunct/>
              <w:topLinePunct w:val="0"/>
              <w:autoSpaceDE/>
              <w:autoSpaceDN/>
              <w:bidi w:val="0"/>
              <w:adjustRightInd/>
              <w:snapToGrid/>
              <w:ind w:left="0" w:right="0"/>
              <w:rPr>
                <w:color w:val="auto"/>
                <w:sz w:val="21"/>
                <w:szCs w:val="21"/>
                <w:highlight w:val="none"/>
              </w:rPr>
            </w:pPr>
            <w:r>
              <w:rPr>
                <w:rFonts w:hint="eastAsia"/>
                <w:color w:val="auto"/>
                <w:sz w:val="21"/>
                <w:szCs w:val="21"/>
                <w:highlight w:val="none"/>
              </w:rPr>
              <w:t>20.09</w:t>
            </w:r>
          </w:p>
        </w:tc>
        <w:tc>
          <w:tcPr>
            <w:tcW w:w="1182" w:type="dxa"/>
            <w:vAlign w:val="center"/>
          </w:tcPr>
          <w:p w14:paraId="1675200A">
            <w:pPr>
              <w:pStyle w:val="118"/>
              <w:keepNext w:val="0"/>
              <w:keepLines w:val="0"/>
              <w:pageBreakBefore w:val="0"/>
              <w:kinsoku/>
              <w:wordWrap/>
              <w:overflowPunct/>
              <w:topLinePunct w:val="0"/>
              <w:autoSpaceDE/>
              <w:autoSpaceDN/>
              <w:bidi w:val="0"/>
              <w:adjustRightInd/>
              <w:snapToGrid/>
              <w:ind w:left="0" w:right="0"/>
              <w:rPr>
                <w:rFonts w:ascii="Times New Roman" w:hAnsi="Times New Roman" w:eastAsia="宋体"/>
                <w:color w:val="auto"/>
                <w:sz w:val="21"/>
                <w:szCs w:val="21"/>
                <w:highlight w:val="none"/>
              </w:rPr>
            </w:pPr>
            <w:r>
              <w:rPr>
                <w:rFonts w:hint="eastAsia" w:ascii="Times New Roman" w:hAnsi="Times New Roman" w:eastAsia="宋体"/>
                <w:color w:val="auto"/>
                <w:sz w:val="21"/>
                <w:szCs w:val="21"/>
                <w:highlight w:val="none"/>
              </w:rPr>
              <w:t>0</w:t>
            </w:r>
          </w:p>
        </w:tc>
        <w:tc>
          <w:tcPr>
            <w:tcW w:w="1559" w:type="dxa"/>
            <w:vAlign w:val="center"/>
          </w:tcPr>
          <w:p w14:paraId="27FBBF6D">
            <w:pPr>
              <w:pStyle w:val="118"/>
              <w:keepNext w:val="0"/>
              <w:keepLines w:val="0"/>
              <w:pageBreakBefore w:val="0"/>
              <w:kinsoku/>
              <w:wordWrap/>
              <w:overflowPunct/>
              <w:topLinePunct w:val="0"/>
              <w:autoSpaceDE/>
              <w:autoSpaceDN/>
              <w:bidi w:val="0"/>
              <w:adjustRightInd/>
              <w:snapToGrid/>
              <w:ind w:left="0" w:right="0"/>
              <w:rPr>
                <w:rFonts w:ascii="Times New Roman" w:hAnsi="Times New Roman" w:eastAsia="宋体"/>
                <w:color w:val="auto"/>
                <w:sz w:val="21"/>
                <w:szCs w:val="21"/>
                <w:highlight w:val="none"/>
              </w:rPr>
            </w:pPr>
            <w:r>
              <w:rPr>
                <w:rFonts w:ascii="Times New Roman" w:hAnsi="Times New Roman" w:eastAsia="宋体"/>
                <w:color w:val="auto"/>
                <w:sz w:val="21"/>
                <w:szCs w:val="21"/>
                <w:highlight w:val="none"/>
              </w:rPr>
              <w:t>0</w:t>
            </w:r>
          </w:p>
        </w:tc>
        <w:tc>
          <w:tcPr>
            <w:tcW w:w="1559" w:type="dxa"/>
            <w:vAlign w:val="center"/>
          </w:tcPr>
          <w:p w14:paraId="090B32CE">
            <w:pPr>
              <w:pStyle w:val="118"/>
              <w:keepNext w:val="0"/>
              <w:keepLines w:val="0"/>
              <w:pageBreakBefore w:val="0"/>
              <w:kinsoku/>
              <w:wordWrap/>
              <w:overflowPunct/>
              <w:topLinePunct w:val="0"/>
              <w:autoSpaceDE/>
              <w:autoSpaceDN/>
              <w:bidi w:val="0"/>
              <w:adjustRightInd/>
              <w:snapToGrid/>
              <w:ind w:left="0" w:right="0"/>
              <w:rPr>
                <w:rFonts w:ascii="Times New Roman" w:hAnsi="Times New Roman" w:eastAsia="宋体"/>
                <w:color w:val="auto"/>
                <w:sz w:val="21"/>
                <w:szCs w:val="21"/>
                <w:highlight w:val="none"/>
              </w:rPr>
            </w:pPr>
            <w:r>
              <w:rPr>
                <w:rFonts w:ascii="Times New Roman" w:hAnsi="Times New Roman" w:eastAsia="宋体"/>
                <w:color w:val="auto"/>
                <w:sz w:val="21"/>
                <w:szCs w:val="21"/>
                <w:highlight w:val="none"/>
              </w:rPr>
              <w:t>0</w:t>
            </w:r>
          </w:p>
        </w:tc>
        <w:tc>
          <w:tcPr>
            <w:tcW w:w="1098" w:type="dxa"/>
            <w:vAlign w:val="center"/>
          </w:tcPr>
          <w:p w14:paraId="780D4188">
            <w:pPr>
              <w:pStyle w:val="118"/>
              <w:keepNext w:val="0"/>
              <w:keepLines w:val="0"/>
              <w:pageBreakBefore w:val="0"/>
              <w:kinsoku/>
              <w:wordWrap/>
              <w:overflowPunct/>
              <w:topLinePunct w:val="0"/>
              <w:autoSpaceDE/>
              <w:autoSpaceDN/>
              <w:bidi w:val="0"/>
              <w:adjustRightInd/>
              <w:snapToGrid/>
              <w:ind w:left="0" w:right="0"/>
              <w:rPr>
                <w:rFonts w:ascii="Times New Roman" w:hAnsi="Times New Roman" w:eastAsia="宋体"/>
                <w:color w:val="auto"/>
                <w:sz w:val="21"/>
                <w:szCs w:val="21"/>
                <w:highlight w:val="none"/>
              </w:rPr>
            </w:pPr>
            <w:r>
              <w:rPr>
                <w:rFonts w:ascii="Times New Roman" w:hAnsi="Times New Roman" w:eastAsia="宋体"/>
                <w:color w:val="auto"/>
                <w:sz w:val="21"/>
                <w:szCs w:val="21"/>
                <w:highlight w:val="none"/>
              </w:rPr>
              <w:t>0</w:t>
            </w:r>
          </w:p>
        </w:tc>
        <w:tc>
          <w:tcPr>
            <w:tcW w:w="1261" w:type="dxa"/>
            <w:vMerge w:val="continue"/>
            <w:vAlign w:val="center"/>
          </w:tcPr>
          <w:p w14:paraId="0749A4AD">
            <w:pPr>
              <w:keepNext w:val="0"/>
              <w:keepLines w:val="0"/>
              <w:pageBreakBefore w:val="0"/>
              <w:kinsoku/>
              <w:wordWrap/>
              <w:overflowPunct/>
              <w:topLinePunct w:val="0"/>
              <w:autoSpaceDE/>
              <w:autoSpaceDN/>
              <w:bidi w:val="0"/>
              <w:adjustRightInd/>
              <w:snapToGrid/>
              <w:ind w:left="0" w:right="0"/>
              <w:jc w:val="center"/>
              <w:rPr>
                <w:rFonts w:ascii="Times New Roman" w:hAnsi="Times New Roman" w:cs="Times New Roman"/>
                <w:b/>
                <w:bCs/>
                <w:color w:val="auto"/>
                <w:kern w:val="44"/>
                <w:sz w:val="21"/>
                <w:szCs w:val="21"/>
                <w:highlight w:val="none"/>
              </w:rPr>
            </w:pPr>
          </w:p>
        </w:tc>
      </w:tr>
      <w:tr w14:paraId="36B44CA4">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CellMar>
            <w:top w:w="0" w:type="dxa"/>
            <w:left w:w="0" w:type="dxa"/>
            <w:bottom w:w="0" w:type="dxa"/>
            <w:right w:w="0" w:type="dxa"/>
          </w:tblCellMar>
        </w:tblPrEx>
        <w:trPr>
          <w:cantSplit/>
          <w:trHeight w:val="286" w:hRule="atLeast"/>
          <w:jc w:val="center"/>
        </w:trPr>
        <w:tc>
          <w:tcPr>
            <w:tcW w:w="732" w:type="dxa"/>
            <w:vMerge w:val="continue"/>
            <w:vAlign w:val="center"/>
          </w:tcPr>
          <w:p w14:paraId="7FC6CC3A">
            <w:pPr>
              <w:keepNext w:val="0"/>
              <w:keepLines w:val="0"/>
              <w:pageBreakBefore w:val="0"/>
              <w:kinsoku/>
              <w:wordWrap/>
              <w:overflowPunct/>
              <w:topLinePunct w:val="0"/>
              <w:autoSpaceDE/>
              <w:autoSpaceDN/>
              <w:bidi w:val="0"/>
              <w:adjustRightInd/>
              <w:snapToGrid/>
              <w:ind w:left="0" w:right="0"/>
              <w:jc w:val="center"/>
              <w:rPr>
                <w:rFonts w:ascii="Times New Roman" w:hAnsi="Times New Roman" w:cs="Times New Roman"/>
                <w:color w:val="auto"/>
                <w:kern w:val="44"/>
                <w:sz w:val="21"/>
                <w:szCs w:val="21"/>
                <w:highlight w:val="none"/>
              </w:rPr>
            </w:pPr>
          </w:p>
        </w:tc>
        <w:tc>
          <w:tcPr>
            <w:tcW w:w="1111" w:type="dxa"/>
            <w:vAlign w:val="center"/>
          </w:tcPr>
          <w:p w14:paraId="3854ACBA">
            <w:pPr>
              <w:pStyle w:val="154"/>
              <w:keepNext w:val="0"/>
              <w:keepLines w:val="0"/>
              <w:pageBreakBefore w:val="0"/>
              <w:kinsoku/>
              <w:wordWrap/>
              <w:overflowPunct/>
              <w:topLinePunct w:val="0"/>
              <w:autoSpaceDE/>
              <w:autoSpaceDN/>
              <w:bidi w:val="0"/>
              <w:adjustRightInd/>
              <w:snapToGrid/>
              <w:ind w:left="0" w:right="0"/>
              <w:rPr>
                <w:color w:val="auto"/>
                <w:sz w:val="21"/>
                <w:szCs w:val="21"/>
                <w:highlight w:val="none"/>
              </w:rPr>
            </w:pPr>
            <w:r>
              <w:rPr>
                <w:color w:val="auto"/>
                <w:sz w:val="21"/>
                <w:szCs w:val="21"/>
                <w:highlight w:val="none"/>
              </w:rPr>
              <w:t>一般固废</w:t>
            </w:r>
          </w:p>
        </w:tc>
        <w:tc>
          <w:tcPr>
            <w:tcW w:w="1417" w:type="dxa"/>
            <w:vAlign w:val="center"/>
          </w:tcPr>
          <w:p w14:paraId="2A0D652F">
            <w:pPr>
              <w:pStyle w:val="118"/>
              <w:keepNext w:val="0"/>
              <w:keepLines w:val="0"/>
              <w:pageBreakBefore w:val="0"/>
              <w:kinsoku/>
              <w:wordWrap/>
              <w:overflowPunct/>
              <w:topLinePunct w:val="0"/>
              <w:autoSpaceDE/>
              <w:autoSpaceDN/>
              <w:bidi w:val="0"/>
              <w:adjustRightInd/>
              <w:snapToGrid/>
              <w:ind w:left="0" w:right="0"/>
              <w:rPr>
                <w:rFonts w:ascii="Times New Roman" w:hAnsi="Times New Roman" w:eastAsia="宋体"/>
                <w:color w:val="auto"/>
                <w:sz w:val="21"/>
                <w:szCs w:val="21"/>
                <w:highlight w:val="none"/>
              </w:rPr>
            </w:pPr>
            <w:r>
              <w:rPr>
                <w:rFonts w:hint="eastAsia" w:ascii="Times New Roman" w:hAnsi="Times New Roman" w:eastAsia="宋体"/>
                <w:color w:val="auto"/>
                <w:sz w:val="21"/>
                <w:szCs w:val="21"/>
                <w:highlight w:val="none"/>
              </w:rPr>
              <w:t>0</w:t>
            </w:r>
          </w:p>
        </w:tc>
        <w:tc>
          <w:tcPr>
            <w:tcW w:w="1418" w:type="dxa"/>
            <w:vAlign w:val="center"/>
          </w:tcPr>
          <w:p w14:paraId="64198485">
            <w:pPr>
              <w:pStyle w:val="118"/>
              <w:keepNext w:val="0"/>
              <w:keepLines w:val="0"/>
              <w:pageBreakBefore w:val="0"/>
              <w:kinsoku/>
              <w:wordWrap/>
              <w:overflowPunct/>
              <w:topLinePunct w:val="0"/>
              <w:autoSpaceDE/>
              <w:autoSpaceDN/>
              <w:bidi w:val="0"/>
              <w:adjustRightInd/>
              <w:snapToGrid/>
              <w:ind w:left="0" w:right="0"/>
              <w:rPr>
                <w:rFonts w:ascii="Times New Roman" w:hAnsi="Times New Roman" w:eastAsia="宋体"/>
                <w:color w:val="auto"/>
                <w:sz w:val="21"/>
                <w:szCs w:val="21"/>
                <w:highlight w:val="none"/>
              </w:rPr>
            </w:pPr>
            <w:r>
              <w:rPr>
                <w:rFonts w:hint="eastAsia" w:ascii="Times New Roman" w:hAnsi="Times New Roman" w:eastAsia="宋体"/>
                <w:color w:val="auto"/>
                <w:sz w:val="21"/>
                <w:szCs w:val="21"/>
                <w:highlight w:val="none"/>
              </w:rPr>
              <w:t>0</w:t>
            </w:r>
          </w:p>
        </w:tc>
        <w:tc>
          <w:tcPr>
            <w:tcW w:w="1181" w:type="dxa"/>
            <w:vAlign w:val="center"/>
          </w:tcPr>
          <w:p w14:paraId="6D99FE41">
            <w:pPr>
              <w:pStyle w:val="154"/>
              <w:keepNext w:val="0"/>
              <w:keepLines w:val="0"/>
              <w:pageBreakBefore w:val="0"/>
              <w:kinsoku/>
              <w:wordWrap/>
              <w:overflowPunct/>
              <w:topLinePunct w:val="0"/>
              <w:autoSpaceDE/>
              <w:autoSpaceDN/>
              <w:bidi w:val="0"/>
              <w:adjustRightInd/>
              <w:snapToGrid/>
              <w:ind w:left="0" w:right="0"/>
              <w:rPr>
                <w:color w:val="auto"/>
                <w:sz w:val="21"/>
                <w:szCs w:val="21"/>
                <w:highlight w:val="none"/>
              </w:rPr>
            </w:pPr>
            <w:r>
              <w:rPr>
                <w:rFonts w:hint="eastAsia"/>
                <w:color w:val="auto"/>
                <w:sz w:val="21"/>
                <w:szCs w:val="21"/>
                <w:highlight w:val="none"/>
              </w:rPr>
              <w:t>3.5</w:t>
            </w:r>
          </w:p>
        </w:tc>
        <w:tc>
          <w:tcPr>
            <w:tcW w:w="1181" w:type="dxa"/>
            <w:vAlign w:val="center"/>
          </w:tcPr>
          <w:p w14:paraId="4E92B12E">
            <w:pPr>
              <w:pStyle w:val="118"/>
              <w:keepNext w:val="0"/>
              <w:keepLines w:val="0"/>
              <w:pageBreakBefore w:val="0"/>
              <w:kinsoku/>
              <w:wordWrap/>
              <w:overflowPunct/>
              <w:topLinePunct w:val="0"/>
              <w:autoSpaceDE/>
              <w:autoSpaceDN/>
              <w:bidi w:val="0"/>
              <w:adjustRightInd/>
              <w:snapToGrid/>
              <w:ind w:left="0" w:right="0"/>
              <w:rPr>
                <w:rFonts w:ascii="Times New Roman" w:hAnsi="Times New Roman" w:eastAsia="宋体"/>
                <w:color w:val="auto"/>
                <w:sz w:val="21"/>
                <w:szCs w:val="21"/>
                <w:highlight w:val="none"/>
              </w:rPr>
            </w:pPr>
            <w:r>
              <w:rPr>
                <w:rFonts w:hint="eastAsia" w:ascii="Times New Roman" w:hAnsi="Times New Roman" w:eastAsia="宋体"/>
                <w:color w:val="auto"/>
                <w:sz w:val="21"/>
                <w:szCs w:val="21"/>
                <w:highlight w:val="none"/>
              </w:rPr>
              <w:t>0</w:t>
            </w:r>
          </w:p>
        </w:tc>
        <w:tc>
          <w:tcPr>
            <w:tcW w:w="1182" w:type="dxa"/>
            <w:vAlign w:val="center"/>
          </w:tcPr>
          <w:p w14:paraId="634CDFA8">
            <w:pPr>
              <w:pStyle w:val="154"/>
              <w:keepNext w:val="0"/>
              <w:keepLines w:val="0"/>
              <w:pageBreakBefore w:val="0"/>
              <w:kinsoku/>
              <w:wordWrap/>
              <w:overflowPunct/>
              <w:topLinePunct w:val="0"/>
              <w:autoSpaceDE/>
              <w:autoSpaceDN/>
              <w:bidi w:val="0"/>
              <w:adjustRightInd/>
              <w:snapToGrid/>
              <w:ind w:left="0" w:right="0"/>
              <w:rPr>
                <w:color w:val="auto"/>
                <w:sz w:val="21"/>
                <w:szCs w:val="21"/>
                <w:highlight w:val="none"/>
              </w:rPr>
            </w:pPr>
            <w:r>
              <w:rPr>
                <w:rFonts w:hint="eastAsia"/>
                <w:color w:val="auto"/>
                <w:sz w:val="21"/>
                <w:szCs w:val="21"/>
                <w:highlight w:val="none"/>
              </w:rPr>
              <w:t>3.5</w:t>
            </w:r>
          </w:p>
        </w:tc>
        <w:tc>
          <w:tcPr>
            <w:tcW w:w="1559" w:type="dxa"/>
            <w:vAlign w:val="center"/>
          </w:tcPr>
          <w:p w14:paraId="23969F51">
            <w:pPr>
              <w:pStyle w:val="118"/>
              <w:keepNext w:val="0"/>
              <w:keepLines w:val="0"/>
              <w:pageBreakBefore w:val="0"/>
              <w:kinsoku/>
              <w:wordWrap/>
              <w:overflowPunct/>
              <w:topLinePunct w:val="0"/>
              <w:autoSpaceDE/>
              <w:autoSpaceDN/>
              <w:bidi w:val="0"/>
              <w:adjustRightInd/>
              <w:snapToGrid/>
              <w:ind w:left="0" w:right="0"/>
              <w:rPr>
                <w:rFonts w:ascii="Times New Roman" w:hAnsi="Times New Roman" w:eastAsia="宋体"/>
                <w:color w:val="auto"/>
                <w:sz w:val="21"/>
                <w:szCs w:val="21"/>
                <w:highlight w:val="none"/>
              </w:rPr>
            </w:pPr>
            <w:r>
              <w:rPr>
                <w:rFonts w:ascii="Times New Roman" w:hAnsi="Times New Roman" w:eastAsia="宋体"/>
                <w:color w:val="auto"/>
                <w:sz w:val="21"/>
                <w:szCs w:val="21"/>
                <w:highlight w:val="none"/>
              </w:rPr>
              <w:t>0</w:t>
            </w:r>
          </w:p>
        </w:tc>
        <w:tc>
          <w:tcPr>
            <w:tcW w:w="1559" w:type="dxa"/>
            <w:vAlign w:val="center"/>
          </w:tcPr>
          <w:p w14:paraId="1908FB11">
            <w:pPr>
              <w:pStyle w:val="118"/>
              <w:keepNext w:val="0"/>
              <w:keepLines w:val="0"/>
              <w:pageBreakBefore w:val="0"/>
              <w:kinsoku/>
              <w:wordWrap/>
              <w:overflowPunct/>
              <w:topLinePunct w:val="0"/>
              <w:autoSpaceDE/>
              <w:autoSpaceDN/>
              <w:bidi w:val="0"/>
              <w:adjustRightInd/>
              <w:snapToGrid/>
              <w:ind w:left="0" w:right="0"/>
              <w:rPr>
                <w:rFonts w:ascii="Times New Roman" w:hAnsi="Times New Roman" w:eastAsia="宋体"/>
                <w:color w:val="auto"/>
                <w:sz w:val="21"/>
                <w:szCs w:val="21"/>
                <w:highlight w:val="none"/>
              </w:rPr>
            </w:pPr>
            <w:r>
              <w:rPr>
                <w:rFonts w:ascii="Times New Roman" w:hAnsi="Times New Roman" w:eastAsia="宋体"/>
                <w:color w:val="auto"/>
                <w:sz w:val="21"/>
                <w:szCs w:val="21"/>
                <w:highlight w:val="none"/>
              </w:rPr>
              <w:t>0</w:t>
            </w:r>
          </w:p>
        </w:tc>
        <w:tc>
          <w:tcPr>
            <w:tcW w:w="1098" w:type="dxa"/>
            <w:vAlign w:val="center"/>
          </w:tcPr>
          <w:p w14:paraId="1E1D6F06">
            <w:pPr>
              <w:pStyle w:val="118"/>
              <w:keepNext w:val="0"/>
              <w:keepLines w:val="0"/>
              <w:pageBreakBefore w:val="0"/>
              <w:kinsoku/>
              <w:wordWrap/>
              <w:overflowPunct/>
              <w:topLinePunct w:val="0"/>
              <w:autoSpaceDE/>
              <w:autoSpaceDN/>
              <w:bidi w:val="0"/>
              <w:adjustRightInd/>
              <w:snapToGrid/>
              <w:ind w:left="0" w:right="0"/>
              <w:rPr>
                <w:rFonts w:ascii="Times New Roman" w:hAnsi="Times New Roman" w:eastAsia="宋体"/>
                <w:color w:val="auto"/>
                <w:sz w:val="21"/>
                <w:szCs w:val="21"/>
                <w:highlight w:val="none"/>
              </w:rPr>
            </w:pPr>
            <w:r>
              <w:rPr>
                <w:rFonts w:ascii="Times New Roman" w:hAnsi="Times New Roman" w:eastAsia="宋体"/>
                <w:color w:val="auto"/>
                <w:sz w:val="21"/>
                <w:szCs w:val="21"/>
                <w:highlight w:val="none"/>
              </w:rPr>
              <w:t>0</w:t>
            </w:r>
          </w:p>
        </w:tc>
        <w:tc>
          <w:tcPr>
            <w:tcW w:w="1261" w:type="dxa"/>
            <w:vMerge w:val="continue"/>
            <w:vAlign w:val="center"/>
          </w:tcPr>
          <w:p w14:paraId="790DEE9B">
            <w:pPr>
              <w:keepNext w:val="0"/>
              <w:keepLines w:val="0"/>
              <w:pageBreakBefore w:val="0"/>
              <w:kinsoku/>
              <w:wordWrap/>
              <w:overflowPunct/>
              <w:topLinePunct w:val="0"/>
              <w:autoSpaceDE/>
              <w:autoSpaceDN/>
              <w:bidi w:val="0"/>
              <w:adjustRightInd/>
              <w:snapToGrid/>
              <w:ind w:left="0" w:right="0"/>
              <w:jc w:val="center"/>
              <w:rPr>
                <w:rFonts w:ascii="Times New Roman" w:hAnsi="Times New Roman" w:cs="Times New Roman"/>
                <w:b/>
                <w:bCs/>
                <w:color w:val="auto"/>
                <w:kern w:val="44"/>
                <w:sz w:val="21"/>
                <w:szCs w:val="21"/>
                <w:highlight w:val="none"/>
              </w:rPr>
            </w:pPr>
          </w:p>
        </w:tc>
      </w:tr>
    </w:tbl>
    <w:p w14:paraId="6AB4C63B">
      <w:pPr>
        <w:spacing w:line="360" w:lineRule="auto"/>
        <w:ind w:left="-105" w:right="-105" w:firstLine="361" w:firstLineChars="200"/>
        <w:rPr>
          <w:rFonts w:ascii="Times New Roman" w:hAnsi="Times New Roman"/>
          <w:color w:val="auto"/>
          <w:szCs w:val="22"/>
          <w:highlight w:val="none"/>
        </w:rPr>
      </w:pPr>
      <w:r>
        <w:rPr>
          <w:rFonts w:ascii="Times New Roman" w:hAnsi="Times New Roman" w:cs="Times New Roman"/>
          <w:b/>
          <w:bCs/>
          <w:color w:val="auto"/>
          <w:sz w:val="18"/>
          <w:szCs w:val="18"/>
          <w:highlight w:val="none"/>
        </w:rPr>
        <w:t>注：*数据来源</w:t>
      </w:r>
      <w:r>
        <w:rPr>
          <w:rFonts w:hint="eastAsia" w:ascii="Times New Roman" w:hAnsi="Times New Roman" w:cs="Times New Roman"/>
          <w:b/>
          <w:bCs/>
          <w:color w:val="auto"/>
          <w:sz w:val="18"/>
          <w:szCs w:val="18"/>
          <w:highlight w:val="none"/>
        </w:rPr>
        <w:t>《化药化工（无锡）有限公司年产聚氨酯丙烯酸酯5000t、丙烯酸酯组成物10000t和环氧丙烯酸树脂1200t生产线技改扩建项目一般变动环境影响分析报告》</w:t>
      </w:r>
      <w:r>
        <w:rPr>
          <w:rFonts w:hint="eastAsia" w:ascii="Times New Roman" w:hAnsi="Times New Roman" w:cs="Times New Roman"/>
          <w:b/>
          <w:bCs/>
          <w:color w:val="auto"/>
          <w:sz w:val="18"/>
          <w:szCs w:val="18"/>
          <w:highlight w:val="none"/>
          <w:lang w:val="en-US" w:eastAsia="zh-CN"/>
        </w:rPr>
        <w:t>总量变动情况</w:t>
      </w:r>
      <w:r>
        <w:rPr>
          <w:rFonts w:ascii="Times New Roman" w:hAnsi="Times New Roman" w:cs="Times New Roman"/>
          <w:b/>
          <w:bCs/>
          <w:color w:val="auto"/>
          <w:sz w:val="18"/>
          <w:szCs w:val="18"/>
          <w:highlight w:val="none"/>
        </w:rPr>
        <w:t>。</w:t>
      </w:r>
    </w:p>
    <w:p w14:paraId="730AB0EF">
      <w:pPr>
        <w:spacing w:line="360" w:lineRule="auto"/>
        <w:ind w:left="-105" w:right="-105" w:firstLine="480" w:firstLineChars="200"/>
        <w:rPr>
          <w:rFonts w:ascii="Times New Roman" w:hAnsi="Times New Roman"/>
          <w:color w:val="auto"/>
          <w:szCs w:val="22"/>
          <w:highlight w:val="none"/>
        </w:rPr>
        <w:sectPr>
          <w:pgSz w:w="16838" w:h="11906" w:orient="landscape"/>
          <w:pgMar w:top="1701" w:right="1440" w:bottom="1701" w:left="1440" w:header="851" w:footer="851" w:gutter="0"/>
          <w:pgBorders>
            <w:top w:val="none" w:sz="0" w:space="0"/>
            <w:left w:val="none" w:sz="0" w:space="0"/>
            <w:bottom w:val="none" w:sz="0" w:space="0"/>
            <w:right w:val="none" w:sz="0" w:space="0"/>
          </w:pgBorders>
          <w:cols w:space="720" w:num="1"/>
          <w:docGrid w:linePitch="498" w:charSpace="-2336"/>
        </w:sectPr>
      </w:pPr>
    </w:p>
    <w:p w14:paraId="67912EC9">
      <w:pPr>
        <w:pStyle w:val="4"/>
        <w:numPr>
          <w:ilvl w:val="1"/>
          <w:numId w:val="0"/>
        </w:numPr>
        <w:tabs>
          <w:tab w:val="left" w:pos="360"/>
          <w:tab w:val="left" w:pos="426"/>
        </w:tabs>
        <w:spacing w:line="360" w:lineRule="auto"/>
        <w:ind w:right="-105"/>
        <w:rPr>
          <w:rFonts w:ascii="Times New Roman" w:eastAsia="宋体"/>
          <w:color w:val="auto"/>
          <w:sz w:val="28"/>
          <w:szCs w:val="28"/>
          <w:highlight w:val="none"/>
        </w:rPr>
      </w:pPr>
      <w:bookmarkStart w:id="532" w:name="_Toc60653618"/>
      <w:bookmarkStart w:id="533" w:name="_Toc23535"/>
      <w:r>
        <w:rPr>
          <w:rFonts w:hint="eastAsia" w:ascii="Times New Roman" w:eastAsia="宋体"/>
          <w:color w:val="auto"/>
          <w:sz w:val="28"/>
          <w:szCs w:val="28"/>
          <w:highlight w:val="none"/>
        </w:rPr>
        <w:t>9.2</w:t>
      </w:r>
      <w:r>
        <w:rPr>
          <w:rFonts w:ascii="Times New Roman" w:eastAsia="宋体"/>
          <w:color w:val="auto"/>
          <w:sz w:val="28"/>
          <w:szCs w:val="28"/>
          <w:highlight w:val="none"/>
        </w:rPr>
        <w:t>环境管理</w:t>
      </w:r>
      <w:bookmarkEnd w:id="532"/>
      <w:bookmarkEnd w:id="533"/>
    </w:p>
    <w:p w14:paraId="075C4375">
      <w:pPr>
        <w:pStyle w:val="5"/>
        <w:keepLines w:val="0"/>
        <w:numPr>
          <w:ilvl w:val="0"/>
          <w:numId w:val="0"/>
        </w:numPr>
        <w:tabs>
          <w:tab w:val="left" w:pos="-567"/>
          <w:tab w:val="left" w:pos="360"/>
        </w:tabs>
        <w:spacing w:before="0" w:after="0" w:line="360" w:lineRule="auto"/>
        <w:ind w:right="-105"/>
        <w:rPr>
          <w:rFonts w:eastAsia="宋体"/>
          <w:color w:val="auto"/>
          <w:sz w:val="28"/>
          <w:szCs w:val="28"/>
          <w:highlight w:val="none"/>
        </w:rPr>
      </w:pPr>
      <w:bookmarkStart w:id="534" w:name="_Toc60653619"/>
      <w:r>
        <w:rPr>
          <w:rFonts w:eastAsia="宋体"/>
          <w:color w:val="auto"/>
          <w:sz w:val="28"/>
          <w:szCs w:val="28"/>
          <w:highlight w:val="none"/>
        </w:rPr>
        <w:t>9.2.1环境管理与管理机构设置</w:t>
      </w:r>
      <w:bookmarkEnd w:id="534"/>
    </w:p>
    <w:p w14:paraId="4A256DE3">
      <w:pPr>
        <w:spacing w:line="360" w:lineRule="auto"/>
        <w:ind w:left="-105" w:right="-105" w:firstLine="480" w:firstLineChars="200"/>
        <w:rPr>
          <w:rFonts w:ascii="Times New Roman" w:hAnsi="Times New Roman"/>
          <w:color w:val="auto"/>
          <w:szCs w:val="22"/>
          <w:highlight w:val="none"/>
        </w:rPr>
      </w:pPr>
      <w:r>
        <w:rPr>
          <w:rFonts w:hint="eastAsia" w:ascii="Times New Roman" w:hAnsi="Times New Roman"/>
          <w:color w:val="auto"/>
          <w:szCs w:val="22"/>
          <w:highlight w:val="none"/>
        </w:rPr>
        <w:t>化药化工（无锡）有限公司</w:t>
      </w:r>
      <w:r>
        <w:rPr>
          <w:rFonts w:ascii="Times New Roman" w:hAnsi="Times New Roman"/>
          <w:color w:val="auto"/>
          <w:szCs w:val="22"/>
          <w:highlight w:val="none"/>
        </w:rPr>
        <w:t>应设置环境管理机构，对环保相关资料有建立独立的档案管理，有对重点环保设施运行作相关记录，并存档。设立专职主环保人员1名，环保人员应对工厂的环境保护工作负责，开展环境保护管理工作，同时负责处理环保设施的运行。环境管理机构的具体职责包括：</w:t>
      </w:r>
    </w:p>
    <w:p w14:paraId="27776087">
      <w:pPr>
        <w:spacing w:line="360" w:lineRule="auto"/>
        <w:ind w:left="-105" w:right="-105" w:firstLine="480" w:firstLineChars="200"/>
        <w:rPr>
          <w:rFonts w:ascii="Times New Roman" w:hAnsi="Times New Roman"/>
          <w:color w:val="auto"/>
          <w:szCs w:val="22"/>
          <w:highlight w:val="none"/>
        </w:rPr>
      </w:pPr>
      <w:r>
        <w:rPr>
          <w:rFonts w:ascii="Times New Roman" w:hAnsi="Times New Roman"/>
          <w:color w:val="auto"/>
          <w:szCs w:val="22"/>
          <w:highlight w:val="none"/>
        </w:rPr>
        <w:t>（1）</w:t>
      </w:r>
      <w:r>
        <w:rPr>
          <w:rFonts w:ascii="Times New Roman" w:hAnsi="Times New Roman"/>
          <w:color w:val="auto"/>
          <w:szCs w:val="22"/>
          <w:highlight w:val="none"/>
        </w:rPr>
        <w:tab/>
      </w:r>
      <w:r>
        <w:rPr>
          <w:rFonts w:ascii="Times New Roman" w:hAnsi="Times New Roman"/>
          <w:color w:val="auto"/>
          <w:szCs w:val="22"/>
          <w:highlight w:val="none"/>
        </w:rPr>
        <w:t>保持与环境保护主管机构的密切联系，及时了解国家、地方对本项目的有关环境保护的法律、法规和其它要求，及时向环境保护主管机构反映与项目有关的污染因素、存在的问题、采取的污染控制对策等环境保护方面的内容，听取环境保护主管机构的批示意见。</w:t>
      </w:r>
    </w:p>
    <w:p w14:paraId="0DB5E51A">
      <w:pPr>
        <w:spacing w:line="360" w:lineRule="auto"/>
        <w:ind w:left="-105" w:right="-105" w:firstLine="480" w:firstLineChars="200"/>
        <w:rPr>
          <w:rFonts w:ascii="Times New Roman" w:hAnsi="Times New Roman"/>
          <w:color w:val="auto"/>
          <w:szCs w:val="22"/>
          <w:highlight w:val="none"/>
        </w:rPr>
      </w:pPr>
      <w:r>
        <w:rPr>
          <w:rFonts w:ascii="Times New Roman" w:hAnsi="Times New Roman"/>
          <w:color w:val="auto"/>
          <w:szCs w:val="22"/>
          <w:highlight w:val="none"/>
        </w:rPr>
        <w:t>（2）</w:t>
      </w:r>
      <w:r>
        <w:rPr>
          <w:rFonts w:ascii="Times New Roman" w:hAnsi="Times New Roman"/>
          <w:color w:val="auto"/>
          <w:szCs w:val="22"/>
          <w:highlight w:val="none"/>
        </w:rPr>
        <w:tab/>
      </w:r>
      <w:r>
        <w:rPr>
          <w:rFonts w:ascii="Times New Roman" w:hAnsi="Times New Roman"/>
          <w:color w:val="auto"/>
          <w:szCs w:val="22"/>
          <w:highlight w:val="none"/>
        </w:rPr>
        <w:t>及时将国家、地方与本项目环境保护有关的法律、法规和其它要求向单位负责人汇报，及时向本单位有关机构、人员进行通报，组织职工进行环境保护方面的教育、培训，提高环保意识。</w:t>
      </w:r>
    </w:p>
    <w:p w14:paraId="50A73C73">
      <w:pPr>
        <w:spacing w:line="360" w:lineRule="auto"/>
        <w:ind w:left="-105" w:right="-105" w:firstLine="480" w:firstLineChars="200"/>
        <w:rPr>
          <w:rFonts w:ascii="Times New Roman" w:hAnsi="Times New Roman"/>
          <w:color w:val="auto"/>
          <w:szCs w:val="22"/>
          <w:highlight w:val="none"/>
        </w:rPr>
      </w:pPr>
      <w:r>
        <w:rPr>
          <w:rFonts w:ascii="Times New Roman" w:hAnsi="Times New Roman"/>
          <w:color w:val="auto"/>
          <w:szCs w:val="22"/>
          <w:highlight w:val="none"/>
        </w:rPr>
        <w:t>（3）</w:t>
      </w:r>
      <w:r>
        <w:rPr>
          <w:rFonts w:ascii="Times New Roman" w:hAnsi="Times New Roman"/>
          <w:color w:val="auto"/>
          <w:szCs w:val="22"/>
          <w:highlight w:val="none"/>
        </w:rPr>
        <w:tab/>
      </w:r>
      <w:r>
        <w:rPr>
          <w:rFonts w:ascii="Times New Roman" w:hAnsi="Times New Roman"/>
          <w:color w:val="auto"/>
          <w:szCs w:val="22"/>
          <w:highlight w:val="none"/>
        </w:rPr>
        <w:t>及时向单位负责人汇报与本项目有关的污染因素、存在问题、采取的污染控制对策、实施情况等，提出改进建议。</w:t>
      </w:r>
    </w:p>
    <w:p w14:paraId="29D30F94">
      <w:pPr>
        <w:spacing w:line="360" w:lineRule="auto"/>
        <w:ind w:left="-105" w:right="-105" w:firstLine="480" w:firstLineChars="200"/>
        <w:rPr>
          <w:rFonts w:ascii="Times New Roman" w:hAnsi="Times New Roman"/>
          <w:color w:val="auto"/>
          <w:szCs w:val="22"/>
          <w:highlight w:val="none"/>
        </w:rPr>
      </w:pPr>
      <w:r>
        <w:rPr>
          <w:rFonts w:ascii="Times New Roman" w:hAnsi="Times New Roman"/>
          <w:color w:val="auto"/>
          <w:szCs w:val="22"/>
          <w:highlight w:val="none"/>
        </w:rPr>
        <w:t>（4）</w:t>
      </w:r>
      <w:r>
        <w:rPr>
          <w:rFonts w:ascii="Times New Roman" w:hAnsi="Times New Roman"/>
          <w:color w:val="auto"/>
          <w:szCs w:val="22"/>
          <w:highlight w:val="none"/>
        </w:rPr>
        <w:tab/>
      </w:r>
      <w:r>
        <w:rPr>
          <w:rFonts w:ascii="Times New Roman" w:hAnsi="Times New Roman"/>
          <w:color w:val="auto"/>
          <w:szCs w:val="22"/>
          <w:highlight w:val="none"/>
        </w:rPr>
        <w:t>负责制定、监督实施本单位的有关环境保护管理规章制度，负责实施污染控制措施、管理污染治理设施，并进行详细的记录、以备检查。</w:t>
      </w:r>
    </w:p>
    <w:p w14:paraId="4AA9003F">
      <w:pPr>
        <w:spacing w:line="360" w:lineRule="auto"/>
        <w:ind w:left="-105" w:right="-105" w:firstLine="480" w:firstLineChars="200"/>
        <w:rPr>
          <w:rFonts w:ascii="Times New Roman" w:hAnsi="Times New Roman"/>
          <w:color w:val="auto"/>
          <w:szCs w:val="22"/>
          <w:highlight w:val="none"/>
        </w:rPr>
      </w:pPr>
      <w:r>
        <w:rPr>
          <w:rFonts w:ascii="Times New Roman" w:hAnsi="Times New Roman"/>
          <w:color w:val="auto"/>
          <w:szCs w:val="22"/>
          <w:highlight w:val="none"/>
        </w:rPr>
        <w:t>（5）</w:t>
      </w:r>
      <w:r>
        <w:rPr>
          <w:rFonts w:ascii="Times New Roman" w:hAnsi="Times New Roman"/>
          <w:color w:val="auto"/>
          <w:szCs w:val="22"/>
          <w:highlight w:val="none"/>
        </w:rPr>
        <w:tab/>
      </w:r>
      <w:r>
        <w:rPr>
          <w:rFonts w:ascii="Times New Roman" w:hAnsi="Times New Roman"/>
          <w:color w:val="auto"/>
          <w:szCs w:val="22"/>
          <w:highlight w:val="none"/>
        </w:rPr>
        <w:t>按照本报告提出的各项环境保护措施，编制详细的环境保护措施落实计划，明确各污染源位置、环境影响、环境保护措施、落实责任机构（人）等，并将该环境保护计划以书面形式发放给相关人员，以便于各项措施的有效落实。</w:t>
      </w:r>
    </w:p>
    <w:p w14:paraId="51B60EB8">
      <w:pPr>
        <w:pStyle w:val="5"/>
        <w:keepLines w:val="0"/>
        <w:numPr>
          <w:ilvl w:val="0"/>
          <w:numId w:val="0"/>
        </w:numPr>
        <w:tabs>
          <w:tab w:val="left" w:pos="-568"/>
          <w:tab w:val="left" w:pos="0"/>
          <w:tab w:val="left" w:pos="567"/>
          <w:tab w:val="left" w:pos="709"/>
        </w:tabs>
        <w:spacing w:before="120" w:beforeLines="50" w:after="0" w:line="360" w:lineRule="auto"/>
        <w:ind w:right="-105"/>
        <w:rPr>
          <w:rFonts w:eastAsia="宋体"/>
          <w:color w:val="auto"/>
          <w:sz w:val="28"/>
          <w:szCs w:val="28"/>
          <w:highlight w:val="none"/>
        </w:rPr>
      </w:pPr>
      <w:bookmarkStart w:id="535" w:name="_Toc60653620"/>
      <w:r>
        <w:rPr>
          <w:rFonts w:eastAsia="宋体"/>
          <w:color w:val="auto"/>
          <w:sz w:val="28"/>
          <w:szCs w:val="28"/>
          <w:highlight w:val="none"/>
        </w:rPr>
        <w:t>9.2.2环境管理制度的建立</w:t>
      </w:r>
      <w:bookmarkEnd w:id="535"/>
    </w:p>
    <w:p w14:paraId="6E62DF85">
      <w:pPr>
        <w:pStyle w:val="97"/>
        <w:tabs>
          <w:tab w:val="left" w:pos="1502"/>
        </w:tabs>
        <w:autoSpaceDE w:val="0"/>
        <w:autoSpaceDN w:val="0"/>
        <w:spacing w:line="360" w:lineRule="auto"/>
        <w:ind w:left="-105" w:right="-105" w:firstLine="476"/>
        <w:rPr>
          <w:rFonts w:eastAsia="宋体"/>
          <w:color w:val="auto"/>
          <w:sz w:val="24"/>
          <w:szCs w:val="22"/>
          <w:highlight w:val="none"/>
        </w:rPr>
      </w:pPr>
      <w:r>
        <w:rPr>
          <w:rFonts w:eastAsia="宋体"/>
          <w:color w:val="auto"/>
          <w:spacing w:val="-1"/>
          <w:sz w:val="24"/>
          <w:szCs w:val="22"/>
          <w:highlight w:val="none"/>
        </w:rPr>
        <w:t>（1）报告制度</w:t>
      </w:r>
    </w:p>
    <w:p w14:paraId="3024A0DC">
      <w:pPr>
        <w:pStyle w:val="20"/>
        <w:spacing w:line="360" w:lineRule="auto"/>
        <w:ind w:left="-105" w:right="-105" w:firstLine="480" w:firstLineChars="200"/>
        <w:jc w:val="both"/>
        <w:rPr>
          <w:rFonts w:ascii="Times New Roman" w:hAnsi="Times New Roman" w:cs="Times New Roman"/>
          <w:color w:val="auto"/>
          <w:kern w:val="2"/>
          <w:sz w:val="24"/>
          <w:szCs w:val="22"/>
          <w:highlight w:val="none"/>
          <w:lang w:val="en-US" w:bidi="ar-SA"/>
        </w:rPr>
      </w:pPr>
      <w:r>
        <w:rPr>
          <w:rFonts w:ascii="Times New Roman" w:hAnsi="Times New Roman" w:cs="Times New Roman"/>
          <w:color w:val="auto"/>
          <w:kern w:val="2"/>
          <w:sz w:val="24"/>
          <w:szCs w:val="22"/>
          <w:highlight w:val="none"/>
          <w:lang w:val="en-US" w:bidi="ar-SA"/>
        </w:rPr>
        <w:t>按《建设项目环境保护管理条例》中第二十条和二十三条规定，本次建设项目在正式投产前，应向负责审批的环保部门提交</w:t>
      </w:r>
      <w:r>
        <w:rPr>
          <w:rFonts w:hint="eastAsia" w:ascii="Times New Roman" w:hAnsi="Times New Roman" w:cs="Times New Roman"/>
          <w:color w:val="auto"/>
          <w:kern w:val="2"/>
          <w:sz w:val="24"/>
          <w:szCs w:val="22"/>
          <w:highlight w:val="none"/>
          <w:lang w:val="en-US" w:bidi="ar-SA"/>
        </w:rPr>
        <w:t>“</w:t>
      </w:r>
      <w:r>
        <w:rPr>
          <w:rFonts w:ascii="Times New Roman" w:hAnsi="Times New Roman" w:cs="Times New Roman"/>
          <w:color w:val="auto"/>
          <w:kern w:val="2"/>
          <w:sz w:val="24"/>
          <w:szCs w:val="22"/>
          <w:highlight w:val="none"/>
          <w:lang w:val="en-US" w:bidi="ar-SA"/>
        </w:rPr>
        <w:t>环境保护设施竣工验收报告</w:t>
      </w:r>
      <w:r>
        <w:rPr>
          <w:rFonts w:hint="eastAsia" w:ascii="Times New Roman" w:hAnsi="Times New Roman" w:cs="Times New Roman"/>
          <w:color w:val="auto"/>
          <w:kern w:val="2"/>
          <w:sz w:val="24"/>
          <w:szCs w:val="22"/>
          <w:highlight w:val="none"/>
          <w:lang w:val="en-US" w:bidi="ar-SA"/>
        </w:rPr>
        <w:t>”</w:t>
      </w:r>
      <w:r>
        <w:rPr>
          <w:rFonts w:ascii="Times New Roman" w:hAnsi="Times New Roman" w:cs="Times New Roman"/>
          <w:color w:val="auto"/>
          <w:kern w:val="2"/>
          <w:sz w:val="24"/>
          <w:szCs w:val="22"/>
          <w:highlight w:val="none"/>
          <w:lang w:val="en-US" w:bidi="ar-SA"/>
        </w:rPr>
        <w:t>，经验收合格并发给</w:t>
      </w:r>
      <w:r>
        <w:rPr>
          <w:rFonts w:hint="eastAsia" w:ascii="Times New Roman" w:hAnsi="Times New Roman" w:cs="Times New Roman"/>
          <w:color w:val="auto"/>
          <w:kern w:val="2"/>
          <w:sz w:val="24"/>
          <w:szCs w:val="22"/>
          <w:highlight w:val="none"/>
          <w:lang w:val="en-US" w:bidi="ar-SA"/>
        </w:rPr>
        <w:t>“</w:t>
      </w:r>
      <w:r>
        <w:rPr>
          <w:rFonts w:ascii="Times New Roman" w:hAnsi="Times New Roman" w:cs="Times New Roman"/>
          <w:color w:val="auto"/>
          <w:kern w:val="2"/>
          <w:sz w:val="24"/>
          <w:szCs w:val="22"/>
          <w:highlight w:val="none"/>
          <w:lang w:val="en-US" w:bidi="ar-SA"/>
        </w:rPr>
        <w:t>环境保护设施验收合格证</w:t>
      </w:r>
      <w:r>
        <w:rPr>
          <w:rFonts w:hint="eastAsia" w:ascii="Times New Roman" w:hAnsi="Times New Roman" w:cs="Times New Roman"/>
          <w:color w:val="auto"/>
          <w:kern w:val="2"/>
          <w:sz w:val="24"/>
          <w:szCs w:val="22"/>
          <w:highlight w:val="none"/>
          <w:lang w:val="en-US" w:bidi="ar-SA"/>
        </w:rPr>
        <w:t>”</w:t>
      </w:r>
      <w:r>
        <w:rPr>
          <w:rFonts w:ascii="Times New Roman" w:hAnsi="Times New Roman" w:cs="Times New Roman"/>
          <w:color w:val="auto"/>
          <w:kern w:val="2"/>
          <w:sz w:val="24"/>
          <w:szCs w:val="22"/>
          <w:highlight w:val="none"/>
          <w:lang w:val="en-US" w:bidi="ar-SA"/>
        </w:rPr>
        <w:t>后，方可正式投入生产。</w:t>
      </w:r>
    </w:p>
    <w:p w14:paraId="14FE201A">
      <w:pPr>
        <w:pStyle w:val="20"/>
        <w:spacing w:line="360" w:lineRule="auto"/>
        <w:ind w:left="-105" w:right="-105" w:firstLine="480" w:firstLineChars="200"/>
        <w:jc w:val="both"/>
        <w:rPr>
          <w:rFonts w:ascii="Times New Roman" w:hAnsi="Times New Roman" w:cs="Times New Roman"/>
          <w:color w:val="auto"/>
          <w:kern w:val="2"/>
          <w:sz w:val="24"/>
          <w:szCs w:val="22"/>
          <w:highlight w:val="none"/>
          <w:lang w:val="en-US" w:bidi="ar-SA"/>
        </w:rPr>
      </w:pPr>
      <w:r>
        <w:rPr>
          <w:rFonts w:ascii="Times New Roman" w:hAnsi="Times New Roman" w:cs="Times New Roman"/>
          <w:color w:val="auto"/>
          <w:kern w:val="2"/>
          <w:sz w:val="24"/>
          <w:szCs w:val="22"/>
          <w:highlight w:val="none"/>
          <w:lang w:val="en-US" w:bidi="ar-SA"/>
        </w:rPr>
        <w:t>项目建成后，应严格执行月报制度。即每月向当地环保部门报告污染治理设施运行情况、污染物排放情况以及污染事故、污染纠纷等情况。</w:t>
      </w:r>
    </w:p>
    <w:p w14:paraId="4263DD57">
      <w:pPr>
        <w:pStyle w:val="20"/>
        <w:spacing w:line="360" w:lineRule="auto"/>
        <w:ind w:left="-105" w:right="-105" w:firstLine="480" w:firstLineChars="200"/>
        <w:jc w:val="both"/>
        <w:rPr>
          <w:rFonts w:ascii="Times New Roman" w:hAnsi="Times New Roman" w:cs="Times New Roman"/>
          <w:color w:val="auto"/>
          <w:kern w:val="2"/>
          <w:sz w:val="24"/>
          <w:szCs w:val="22"/>
          <w:highlight w:val="none"/>
          <w:lang w:val="en-US" w:bidi="ar-SA"/>
        </w:rPr>
      </w:pPr>
      <w:r>
        <w:rPr>
          <w:rFonts w:ascii="Times New Roman" w:hAnsi="Times New Roman" w:cs="Times New Roman"/>
          <w:color w:val="auto"/>
          <w:kern w:val="2"/>
          <w:sz w:val="24"/>
          <w:szCs w:val="22"/>
          <w:highlight w:val="none"/>
          <w:lang w:val="en-US" w:bidi="ar-SA"/>
        </w:rPr>
        <w:t>企业排污发生重大变化、污染治理设施改变或生产运行计划改变等都必须向当地环保部门申报，经审批同意后方可实施。</w:t>
      </w:r>
    </w:p>
    <w:p w14:paraId="3A2B56F8">
      <w:pPr>
        <w:pStyle w:val="20"/>
        <w:spacing w:line="360" w:lineRule="auto"/>
        <w:ind w:left="-105" w:right="-105" w:firstLine="480" w:firstLineChars="200"/>
        <w:jc w:val="both"/>
        <w:rPr>
          <w:rFonts w:ascii="Times New Roman" w:hAnsi="Times New Roman" w:cs="Times New Roman"/>
          <w:color w:val="auto"/>
          <w:kern w:val="2"/>
          <w:sz w:val="24"/>
          <w:szCs w:val="22"/>
          <w:highlight w:val="none"/>
          <w:lang w:val="en-US" w:bidi="ar-SA"/>
        </w:rPr>
      </w:pPr>
      <w:r>
        <w:rPr>
          <w:rFonts w:ascii="Times New Roman" w:hAnsi="Times New Roman" w:cs="Times New Roman"/>
          <w:color w:val="auto"/>
          <w:kern w:val="2"/>
          <w:sz w:val="24"/>
          <w:szCs w:val="22"/>
          <w:highlight w:val="none"/>
          <w:lang w:val="en-US" w:bidi="ar-SA"/>
        </w:rPr>
        <w:t>（2）污染处理设施的管理制度</w:t>
      </w:r>
    </w:p>
    <w:p w14:paraId="0A4E9807">
      <w:pPr>
        <w:spacing w:line="360" w:lineRule="auto"/>
        <w:ind w:left="-105" w:right="-105" w:firstLine="480" w:firstLineChars="200"/>
        <w:rPr>
          <w:rFonts w:ascii="Times New Roman" w:hAnsi="Times New Roman"/>
          <w:color w:val="auto"/>
          <w:szCs w:val="22"/>
          <w:highlight w:val="none"/>
        </w:rPr>
      </w:pPr>
      <w:r>
        <w:rPr>
          <w:rFonts w:ascii="Times New Roman" w:hAnsi="Times New Roman"/>
          <w:color w:val="auto"/>
          <w:szCs w:val="22"/>
          <w:highlight w:val="none"/>
        </w:rPr>
        <w:t>对污染治理设施和管理必须与生产经营活动一起纳入企业的日常管理中，要建立岗位责任制，制定操作规程，建立管理台帐。台账应真实记录生产设施运行管理信息、原辅材料采购信息、污染治理设施运行管理信息、非正常工况及污染治理设施异常情况记录信息、监测记录信息、其他环境管理信息。</w:t>
      </w:r>
    </w:p>
    <w:p w14:paraId="03A6D089">
      <w:pPr>
        <w:pStyle w:val="5"/>
        <w:keepLines w:val="0"/>
        <w:numPr>
          <w:ilvl w:val="0"/>
          <w:numId w:val="0"/>
        </w:numPr>
        <w:tabs>
          <w:tab w:val="left" w:pos="-568"/>
          <w:tab w:val="left" w:pos="0"/>
          <w:tab w:val="left" w:pos="567"/>
          <w:tab w:val="left" w:pos="709"/>
        </w:tabs>
        <w:spacing w:before="120" w:beforeLines="50" w:after="0" w:line="360" w:lineRule="auto"/>
        <w:ind w:right="-105"/>
        <w:rPr>
          <w:rFonts w:eastAsia="宋体"/>
          <w:color w:val="auto"/>
          <w:sz w:val="28"/>
          <w:szCs w:val="28"/>
          <w:highlight w:val="none"/>
        </w:rPr>
      </w:pPr>
      <w:bookmarkStart w:id="536" w:name="_Toc60653622"/>
      <w:r>
        <w:rPr>
          <w:rFonts w:eastAsia="宋体"/>
          <w:color w:val="auto"/>
          <w:sz w:val="28"/>
          <w:szCs w:val="28"/>
          <w:highlight w:val="none"/>
        </w:rPr>
        <w:t>9.2.</w:t>
      </w:r>
      <w:r>
        <w:rPr>
          <w:rFonts w:hint="eastAsia" w:eastAsia="宋体"/>
          <w:color w:val="auto"/>
          <w:sz w:val="28"/>
          <w:szCs w:val="28"/>
          <w:highlight w:val="none"/>
        </w:rPr>
        <w:t>3</w:t>
      </w:r>
      <w:r>
        <w:rPr>
          <w:rFonts w:eastAsia="宋体"/>
          <w:color w:val="auto"/>
          <w:sz w:val="28"/>
          <w:szCs w:val="28"/>
          <w:highlight w:val="none"/>
        </w:rPr>
        <w:t>营运期环境管理计划</w:t>
      </w:r>
      <w:bookmarkEnd w:id="536"/>
    </w:p>
    <w:p w14:paraId="7CEC0006">
      <w:pPr>
        <w:spacing w:line="360" w:lineRule="auto"/>
        <w:ind w:left="-105" w:right="-105" w:firstLine="480" w:firstLineChars="200"/>
        <w:rPr>
          <w:rFonts w:ascii="Times New Roman" w:hAnsi="Times New Roman"/>
          <w:color w:val="auto"/>
          <w:szCs w:val="22"/>
          <w:highlight w:val="none"/>
        </w:rPr>
      </w:pPr>
      <w:r>
        <w:rPr>
          <w:rFonts w:ascii="Times New Roman" w:hAnsi="Times New Roman"/>
          <w:color w:val="auto"/>
          <w:szCs w:val="22"/>
          <w:highlight w:val="none"/>
        </w:rPr>
        <w:t>（1）</w:t>
      </w:r>
      <w:r>
        <w:rPr>
          <w:rFonts w:ascii="Times New Roman" w:hAnsi="Times New Roman"/>
          <w:color w:val="auto"/>
          <w:szCs w:val="22"/>
          <w:highlight w:val="none"/>
        </w:rPr>
        <w:tab/>
      </w:r>
      <w:r>
        <w:rPr>
          <w:rFonts w:ascii="Times New Roman" w:hAnsi="Times New Roman"/>
          <w:color w:val="auto"/>
          <w:szCs w:val="22"/>
          <w:highlight w:val="none"/>
        </w:rPr>
        <w:t>根据国家环保政策、标准及环境监测要求，制定项目运营期环境管理规章制度、各种污染物排放指标；建立项目环境保护工作相关挡案资料，建立环境管理台帐，以备环保部门抽查。</w:t>
      </w:r>
    </w:p>
    <w:p w14:paraId="21B1BD6C">
      <w:pPr>
        <w:spacing w:line="360" w:lineRule="auto"/>
        <w:ind w:left="-105" w:right="-105" w:firstLine="480" w:firstLineChars="200"/>
        <w:rPr>
          <w:rFonts w:ascii="Times New Roman" w:hAnsi="Times New Roman"/>
          <w:color w:val="auto"/>
          <w:szCs w:val="22"/>
          <w:highlight w:val="none"/>
        </w:rPr>
      </w:pPr>
      <w:r>
        <w:rPr>
          <w:rFonts w:ascii="Times New Roman" w:hAnsi="Times New Roman"/>
          <w:color w:val="auto"/>
          <w:szCs w:val="22"/>
          <w:highlight w:val="none"/>
        </w:rPr>
        <w:t>（2）</w:t>
      </w:r>
      <w:r>
        <w:rPr>
          <w:rFonts w:ascii="Times New Roman" w:hAnsi="Times New Roman"/>
          <w:color w:val="auto"/>
          <w:szCs w:val="22"/>
          <w:highlight w:val="none"/>
        </w:rPr>
        <w:tab/>
      </w:r>
      <w:r>
        <w:rPr>
          <w:rFonts w:ascii="Times New Roman" w:hAnsi="Times New Roman"/>
          <w:color w:val="auto"/>
          <w:szCs w:val="22"/>
          <w:highlight w:val="none"/>
        </w:rPr>
        <w:t>建设单位在项目营运后，应建立相应的环保管理机构，配置专职环保人员，委托有关单位对营运期间项目建设地和周围环境进行定期监测，以便找出运行存在的环境问题，并及时解决。</w:t>
      </w:r>
    </w:p>
    <w:p w14:paraId="06F0EBE2">
      <w:pPr>
        <w:spacing w:line="360" w:lineRule="auto"/>
        <w:ind w:left="-105" w:right="-105" w:firstLine="480" w:firstLineChars="200"/>
        <w:rPr>
          <w:rFonts w:ascii="Times New Roman" w:hAnsi="Times New Roman"/>
          <w:color w:val="auto"/>
          <w:szCs w:val="22"/>
          <w:highlight w:val="none"/>
        </w:rPr>
      </w:pPr>
      <w:r>
        <w:rPr>
          <w:rFonts w:ascii="Times New Roman" w:hAnsi="Times New Roman"/>
          <w:color w:val="auto"/>
          <w:szCs w:val="22"/>
          <w:highlight w:val="none"/>
        </w:rPr>
        <w:t>（3）</w:t>
      </w:r>
      <w:r>
        <w:rPr>
          <w:rFonts w:ascii="Times New Roman" w:hAnsi="Times New Roman"/>
          <w:color w:val="auto"/>
          <w:szCs w:val="22"/>
          <w:highlight w:val="none"/>
        </w:rPr>
        <w:tab/>
      </w:r>
      <w:r>
        <w:rPr>
          <w:rFonts w:ascii="Times New Roman" w:hAnsi="Times New Roman"/>
          <w:color w:val="auto"/>
          <w:szCs w:val="22"/>
          <w:highlight w:val="none"/>
        </w:rPr>
        <w:t>开展环境保护教育和培训，增强物业管理人员的环保意识；张贴环境保护的宣传单，增强区内人员的环保意识。</w:t>
      </w:r>
    </w:p>
    <w:p w14:paraId="1600BE44">
      <w:pPr>
        <w:spacing w:line="360" w:lineRule="auto"/>
        <w:ind w:left="-105" w:right="-105" w:firstLine="480" w:firstLineChars="200"/>
        <w:rPr>
          <w:rFonts w:ascii="Times New Roman" w:hAnsi="Times New Roman"/>
          <w:color w:val="auto"/>
          <w:szCs w:val="22"/>
          <w:highlight w:val="none"/>
        </w:rPr>
      </w:pPr>
      <w:r>
        <w:rPr>
          <w:rFonts w:ascii="Times New Roman" w:hAnsi="Times New Roman"/>
          <w:color w:val="auto"/>
          <w:szCs w:val="22"/>
          <w:highlight w:val="none"/>
        </w:rPr>
        <w:t>（4）</w:t>
      </w:r>
      <w:r>
        <w:rPr>
          <w:rFonts w:ascii="Times New Roman" w:hAnsi="Times New Roman"/>
          <w:color w:val="auto"/>
          <w:szCs w:val="22"/>
          <w:highlight w:val="none"/>
        </w:rPr>
        <w:tab/>
      </w:r>
      <w:r>
        <w:rPr>
          <w:rFonts w:ascii="Times New Roman" w:hAnsi="Times New Roman"/>
          <w:color w:val="auto"/>
          <w:szCs w:val="22"/>
          <w:highlight w:val="none"/>
        </w:rPr>
        <w:t>另外项目运营期需尤其重视危险固废的管理与处置：</w:t>
      </w:r>
    </w:p>
    <w:p w14:paraId="18DF6FD3">
      <w:pPr>
        <w:spacing w:line="360" w:lineRule="auto"/>
        <w:ind w:left="-105" w:right="-105" w:firstLine="480" w:firstLineChars="200"/>
        <w:rPr>
          <w:rFonts w:ascii="Times New Roman" w:hAnsi="Times New Roman"/>
          <w:color w:val="auto"/>
          <w:szCs w:val="22"/>
          <w:highlight w:val="none"/>
        </w:rPr>
      </w:pPr>
      <w:r>
        <w:rPr>
          <w:rFonts w:hint="eastAsia" w:ascii="Times New Roman" w:hAnsi="Times New Roman"/>
          <w:color w:val="auto"/>
          <w:szCs w:val="22"/>
          <w:highlight w:val="none"/>
        </w:rPr>
        <w:t>①</w:t>
      </w:r>
      <w:r>
        <w:rPr>
          <w:rFonts w:ascii="Times New Roman" w:hAnsi="Times New Roman"/>
          <w:color w:val="auto"/>
          <w:szCs w:val="22"/>
          <w:highlight w:val="none"/>
        </w:rPr>
        <w:t>建设单位应通过</w:t>
      </w:r>
      <w:r>
        <w:rPr>
          <w:rFonts w:hint="eastAsia" w:ascii="Times New Roman" w:hAnsi="Times New Roman" w:cs="Times New Roman"/>
          <w:color w:val="auto"/>
          <w:szCs w:val="22"/>
          <w:highlight w:val="none"/>
        </w:rPr>
        <w:t>“</w:t>
      </w:r>
      <w:r>
        <w:rPr>
          <w:rFonts w:ascii="Times New Roman" w:hAnsi="Times New Roman" w:cs="Times New Roman"/>
          <w:color w:val="auto"/>
          <w:szCs w:val="22"/>
          <w:highlight w:val="none"/>
        </w:rPr>
        <w:t>江苏省污染源</w:t>
      </w:r>
      <w:r>
        <w:rPr>
          <w:rFonts w:hint="eastAsia" w:ascii="Times New Roman" w:hAnsi="Times New Roman" w:cs="Times New Roman"/>
          <w:color w:val="auto"/>
          <w:szCs w:val="22"/>
          <w:highlight w:val="none"/>
        </w:rPr>
        <w:t>‘</w:t>
      </w:r>
      <w:r>
        <w:rPr>
          <w:rFonts w:ascii="Times New Roman" w:hAnsi="Times New Roman" w:cs="Times New Roman"/>
          <w:color w:val="auto"/>
          <w:szCs w:val="22"/>
          <w:highlight w:val="none"/>
        </w:rPr>
        <w:t>一企一档</w:t>
      </w:r>
      <w:r>
        <w:rPr>
          <w:rFonts w:hint="eastAsia" w:ascii="Times New Roman" w:hAnsi="Times New Roman" w:cs="Times New Roman"/>
          <w:color w:val="auto"/>
          <w:szCs w:val="22"/>
          <w:highlight w:val="none"/>
        </w:rPr>
        <w:t>’</w:t>
      </w:r>
      <w:r>
        <w:rPr>
          <w:rFonts w:ascii="Times New Roman" w:hAnsi="Times New Roman" w:cs="Times New Roman"/>
          <w:color w:val="auto"/>
          <w:szCs w:val="22"/>
          <w:highlight w:val="none"/>
        </w:rPr>
        <w:t>管理系统</w:t>
      </w:r>
      <w:r>
        <w:rPr>
          <w:rFonts w:hint="eastAsia" w:ascii="Times New Roman" w:hAnsi="Times New Roman" w:cs="Times New Roman"/>
          <w:color w:val="auto"/>
          <w:szCs w:val="22"/>
          <w:highlight w:val="none"/>
        </w:rPr>
        <w:t>”</w:t>
      </w:r>
      <w:r>
        <w:rPr>
          <w:rFonts w:ascii="Times New Roman" w:hAnsi="Times New Roman" w:cs="Times New Roman"/>
          <w:color w:val="auto"/>
          <w:szCs w:val="22"/>
          <w:highlight w:val="none"/>
        </w:rPr>
        <w:t>（</w:t>
      </w:r>
      <w:r>
        <w:rPr>
          <w:rFonts w:hint="eastAsia" w:ascii="Times New Roman" w:hAnsi="Times New Roman" w:cs="Times New Roman"/>
          <w:color w:val="auto"/>
          <w:szCs w:val="22"/>
          <w:highlight w:val="none"/>
        </w:rPr>
        <w:t>“</w:t>
      </w:r>
      <w:r>
        <w:rPr>
          <w:rFonts w:ascii="Times New Roman" w:hAnsi="Times New Roman" w:cs="Times New Roman"/>
          <w:color w:val="auto"/>
          <w:szCs w:val="22"/>
          <w:highlight w:val="none"/>
        </w:rPr>
        <w:t>环保脸谱</w:t>
      </w:r>
      <w:r>
        <w:rPr>
          <w:rFonts w:hint="eastAsia" w:ascii="Times New Roman" w:hAnsi="Times New Roman" w:cs="Times New Roman"/>
          <w:color w:val="auto"/>
          <w:szCs w:val="22"/>
          <w:highlight w:val="none"/>
        </w:rPr>
        <w:t>”</w:t>
      </w:r>
      <w:r>
        <w:rPr>
          <w:rFonts w:ascii="Times New Roman" w:hAnsi="Times New Roman" w:cs="Times New Roman"/>
          <w:color w:val="auto"/>
          <w:szCs w:val="22"/>
          <w:highlight w:val="none"/>
        </w:rPr>
        <w:t>企业端）</w:t>
      </w:r>
      <w:r>
        <w:rPr>
          <w:rFonts w:ascii="Times New Roman" w:hAnsi="Times New Roman"/>
          <w:color w:val="auto"/>
          <w:szCs w:val="22"/>
          <w:highlight w:val="none"/>
        </w:rPr>
        <w:t>进行危险废物申报登记。将危险废物的实际产生、贮存、利用、处置等情况纳入生产记录，建立危险废物管理台账和企业内部产生和收集、贮存、转移等部门危险废物交接制度。</w:t>
      </w:r>
    </w:p>
    <w:p w14:paraId="6BE56F8D">
      <w:pPr>
        <w:spacing w:line="360" w:lineRule="auto"/>
        <w:ind w:left="-105" w:right="-105" w:firstLine="480" w:firstLineChars="200"/>
        <w:rPr>
          <w:rFonts w:ascii="Times New Roman" w:hAnsi="Times New Roman"/>
          <w:color w:val="auto"/>
          <w:szCs w:val="22"/>
          <w:highlight w:val="none"/>
        </w:rPr>
      </w:pPr>
      <w:r>
        <w:rPr>
          <w:rFonts w:hint="eastAsia" w:ascii="Times New Roman" w:hAnsi="Times New Roman"/>
          <w:color w:val="auto"/>
          <w:szCs w:val="22"/>
          <w:highlight w:val="none"/>
        </w:rPr>
        <w:t>②</w:t>
      </w:r>
      <w:r>
        <w:rPr>
          <w:rFonts w:ascii="Times New Roman" w:hAnsi="Times New Roman"/>
          <w:color w:val="auto"/>
          <w:szCs w:val="22"/>
          <w:highlight w:val="none"/>
        </w:rPr>
        <w:t>必须明确企业为固体废物污染防治的责任主体，要求企业建立风险管理及应急救援体系，执行环境监测计划、转移联单管理制度及国家和省有关转移管理的相关规定、处置过程安全操作规程、人员培训考核制度、档案管理制度、处置全过程管理制度等。</w:t>
      </w:r>
    </w:p>
    <w:p w14:paraId="69E62DB1">
      <w:pPr>
        <w:spacing w:line="360" w:lineRule="auto"/>
        <w:ind w:left="-105" w:right="-105" w:firstLine="480" w:firstLineChars="200"/>
        <w:rPr>
          <w:rFonts w:ascii="Times New Roman" w:hAnsi="Times New Roman"/>
          <w:color w:val="auto"/>
          <w:szCs w:val="22"/>
          <w:highlight w:val="none"/>
        </w:rPr>
      </w:pPr>
      <w:r>
        <w:rPr>
          <w:rFonts w:hint="eastAsia" w:ascii="Times New Roman" w:hAnsi="Times New Roman"/>
          <w:color w:val="auto"/>
          <w:szCs w:val="22"/>
          <w:highlight w:val="none"/>
        </w:rPr>
        <w:t>③</w:t>
      </w:r>
      <w:r>
        <w:rPr>
          <w:rFonts w:ascii="Times New Roman" w:hAnsi="Times New Roman"/>
          <w:color w:val="auto"/>
          <w:szCs w:val="22"/>
          <w:highlight w:val="none"/>
        </w:rPr>
        <w:t>规范建设危险废物贮存场所并按照要求设置警告标志，危废包装、容器和贮存场所应按照《危险废物贮存污染控制标准》（GB18597-20</w:t>
      </w:r>
      <w:r>
        <w:rPr>
          <w:rFonts w:hint="eastAsia" w:ascii="Times New Roman" w:hAnsi="Times New Roman"/>
          <w:color w:val="auto"/>
          <w:szCs w:val="22"/>
          <w:highlight w:val="none"/>
        </w:rPr>
        <w:t>23</w:t>
      </w:r>
      <w:r>
        <w:rPr>
          <w:rFonts w:ascii="Times New Roman" w:hAnsi="Times New Roman"/>
          <w:color w:val="auto"/>
          <w:szCs w:val="22"/>
          <w:highlight w:val="none"/>
        </w:rPr>
        <w:t>）有关要求张贴标识。</w:t>
      </w:r>
    </w:p>
    <w:p w14:paraId="0087304F">
      <w:pPr>
        <w:spacing w:line="360" w:lineRule="auto"/>
        <w:ind w:left="-105" w:right="-105" w:firstLine="480" w:firstLineChars="200"/>
        <w:rPr>
          <w:rFonts w:ascii="Times New Roman" w:hAnsi="Times New Roman"/>
          <w:color w:val="auto"/>
          <w:szCs w:val="22"/>
          <w:highlight w:val="none"/>
        </w:rPr>
      </w:pPr>
      <w:r>
        <w:rPr>
          <w:rFonts w:hint="eastAsia" w:ascii="Times New Roman" w:hAnsi="Times New Roman"/>
          <w:color w:val="auto"/>
          <w:szCs w:val="22"/>
          <w:highlight w:val="none"/>
        </w:rPr>
        <w:t>④</w:t>
      </w:r>
      <w:r>
        <w:rPr>
          <w:rFonts w:ascii="Times New Roman" w:hAnsi="Times New Roman"/>
          <w:color w:val="auto"/>
          <w:szCs w:val="22"/>
          <w:highlight w:val="none"/>
        </w:rPr>
        <w:t>企业需严格执行《省生态环境厅关于印发江苏省危险废物贮存规范化管理专项整治行动方案的通知》（苏环办〔2019〕149号）和</w:t>
      </w:r>
      <w:r>
        <w:rPr>
          <w:rFonts w:hint="eastAsia" w:ascii="Times New Roman" w:hAnsi="Times New Roman" w:cs="Times New Roman"/>
          <w:color w:val="auto"/>
          <w:szCs w:val="28"/>
          <w:highlight w:val="none"/>
          <w:lang w:val="zh-CN"/>
        </w:rPr>
        <w:t>《省生态环境厅关于印发</w:t>
      </w:r>
      <w:r>
        <w:rPr>
          <w:rFonts w:hint="eastAsia" w:ascii="Times New Roman" w:hAnsi="Times New Roman" w:cs="Times New Roman"/>
          <w:color w:val="auto"/>
          <w:szCs w:val="28"/>
          <w:highlight w:val="none"/>
        </w:rPr>
        <w:t>&lt;</w:t>
      </w:r>
      <w:r>
        <w:rPr>
          <w:rFonts w:hint="eastAsia" w:ascii="Times New Roman" w:hAnsi="Times New Roman" w:cs="Times New Roman"/>
          <w:color w:val="auto"/>
          <w:szCs w:val="28"/>
          <w:highlight w:val="none"/>
          <w:lang w:val="zh-CN"/>
        </w:rPr>
        <w:t>江苏省固体废物全过程环境监管工作意见</w:t>
      </w:r>
      <w:r>
        <w:rPr>
          <w:rFonts w:hint="eastAsia" w:ascii="Times New Roman" w:hAnsi="Times New Roman" w:cs="Times New Roman"/>
          <w:color w:val="auto"/>
          <w:szCs w:val="28"/>
          <w:highlight w:val="none"/>
        </w:rPr>
        <w:t>&gt;</w:t>
      </w:r>
      <w:r>
        <w:rPr>
          <w:rFonts w:hint="eastAsia" w:ascii="Times New Roman" w:hAnsi="Times New Roman" w:cs="Times New Roman"/>
          <w:color w:val="auto"/>
          <w:szCs w:val="28"/>
          <w:highlight w:val="none"/>
          <w:lang w:val="zh-CN"/>
        </w:rPr>
        <w:t>的通知（苏环办〔2024〕16号）》</w:t>
      </w:r>
      <w:r>
        <w:rPr>
          <w:rFonts w:ascii="Times New Roman" w:hAnsi="Times New Roman"/>
          <w:color w:val="auto"/>
          <w:szCs w:val="22"/>
          <w:highlight w:val="none"/>
        </w:rPr>
        <w:t>的要求，对危险固废储存场配备通讯设备、照明设施和消防设施；在出入口、设施内部、危险废物运输车辆通道等关键位置按照危险废物贮存设施视频监控布设要求设置视频监控，并与中控室联网。</w:t>
      </w:r>
    </w:p>
    <w:p w14:paraId="5B5B4D70">
      <w:pPr>
        <w:pStyle w:val="5"/>
        <w:keepLines w:val="0"/>
        <w:numPr>
          <w:ilvl w:val="0"/>
          <w:numId w:val="0"/>
        </w:numPr>
        <w:tabs>
          <w:tab w:val="left" w:pos="-568"/>
          <w:tab w:val="left" w:pos="0"/>
          <w:tab w:val="left" w:pos="567"/>
          <w:tab w:val="left" w:pos="709"/>
        </w:tabs>
        <w:spacing w:before="120" w:beforeLines="50" w:after="0" w:line="360" w:lineRule="auto"/>
        <w:ind w:right="-105"/>
        <w:rPr>
          <w:rFonts w:eastAsia="宋体"/>
          <w:color w:val="auto"/>
          <w:sz w:val="28"/>
          <w:szCs w:val="28"/>
          <w:highlight w:val="none"/>
        </w:rPr>
      </w:pPr>
      <w:bookmarkStart w:id="537" w:name="_Toc60653623"/>
      <w:r>
        <w:rPr>
          <w:rFonts w:eastAsia="宋体"/>
          <w:color w:val="auto"/>
          <w:sz w:val="28"/>
          <w:szCs w:val="28"/>
          <w:highlight w:val="none"/>
        </w:rPr>
        <w:t>9.2.</w:t>
      </w:r>
      <w:r>
        <w:rPr>
          <w:rFonts w:hint="eastAsia" w:eastAsia="宋体"/>
          <w:color w:val="auto"/>
          <w:sz w:val="28"/>
          <w:szCs w:val="28"/>
          <w:highlight w:val="none"/>
        </w:rPr>
        <w:t>4</w:t>
      </w:r>
      <w:r>
        <w:rPr>
          <w:rFonts w:eastAsia="宋体"/>
          <w:color w:val="auto"/>
          <w:sz w:val="28"/>
          <w:szCs w:val="28"/>
          <w:highlight w:val="none"/>
        </w:rPr>
        <w:t>排污口规范化设计和整治</w:t>
      </w:r>
      <w:bookmarkEnd w:id="537"/>
    </w:p>
    <w:p w14:paraId="77D967A0">
      <w:pPr>
        <w:spacing w:line="360" w:lineRule="auto"/>
        <w:ind w:left="-105" w:right="-105" w:firstLine="480" w:firstLineChars="200"/>
        <w:rPr>
          <w:rFonts w:ascii="Times New Roman" w:hAnsi="Times New Roman"/>
          <w:color w:val="auto"/>
          <w:szCs w:val="22"/>
          <w:highlight w:val="none"/>
        </w:rPr>
      </w:pPr>
      <w:r>
        <w:rPr>
          <w:rFonts w:ascii="Times New Roman" w:hAnsi="Times New Roman"/>
          <w:color w:val="auto"/>
          <w:szCs w:val="22"/>
          <w:highlight w:val="none"/>
        </w:rPr>
        <w:t>按《江苏省排污口设置及规范化整治管理办法》[苏环控(97)122号]要求，建设项目废水排放口、废气排气筒、固定噪声源扰民处、固废堆放处必须进行规范化设置。</w:t>
      </w:r>
    </w:p>
    <w:p w14:paraId="242E4AB9">
      <w:pPr>
        <w:spacing w:line="360" w:lineRule="auto"/>
        <w:ind w:left="-105" w:right="-105" w:firstLine="480" w:firstLineChars="200"/>
        <w:rPr>
          <w:rFonts w:ascii="Times New Roman" w:hAnsi="Times New Roman"/>
          <w:color w:val="auto"/>
          <w:szCs w:val="22"/>
          <w:highlight w:val="none"/>
        </w:rPr>
      </w:pPr>
      <w:r>
        <w:rPr>
          <w:rFonts w:ascii="Times New Roman" w:hAnsi="Times New Roman"/>
          <w:color w:val="auto"/>
          <w:szCs w:val="22"/>
          <w:highlight w:val="none"/>
        </w:rPr>
        <w:t>（1）</w:t>
      </w:r>
      <w:r>
        <w:rPr>
          <w:rFonts w:ascii="Times New Roman" w:hAnsi="Times New Roman"/>
          <w:color w:val="auto"/>
          <w:szCs w:val="22"/>
          <w:highlight w:val="none"/>
        </w:rPr>
        <w:tab/>
      </w:r>
      <w:r>
        <w:rPr>
          <w:rFonts w:ascii="Times New Roman" w:hAnsi="Times New Roman"/>
          <w:color w:val="auto"/>
          <w:szCs w:val="22"/>
          <w:highlight w:val="none"/>
        </w:rPr>
        <w:t>污水排放口规范化</w:t>
      </w:r>
    </w:p>
    <w:p w14:paraId="77CCC740">
      <w:pPr>
        <w:spacing w:line="360" w:lineRule="auto"/>
        <w:ind w:left="-105" w:right="-105" w:firstLine="480" w:firstLineChars="200"/>
        <w:rPr>
          <w:rFonts w:ascii="Times New Roman" w:hAnsi="Times New Roman"/>
          <w:color w:val="auto"/>
          <w:szCs w:val="22"/>
          <w:highlight w:val="none"/>
        </w:rPr>
      </w:pPr>
      <w:r>
        <w:rPr>
          <w:rFonts w:ascii="Times New Roman" w:hAnsi="Times New Roman"/>
          <w:color w:val="auto"/>
          <w:szCs w:val="22"/>
          <w:highlight w:val="none"/>
        </w:rPr>
        <w:t>根据江苏省环保厅《江苏省排污口设置及规范化整治管理办法》第十二条规定，对排污口进行规范化整治，以满足江苏省厅和无锡市环保局的管理要求。企业必须做好地下管网的铺设工作，实现雨污分流。全厂设置一个雨水接管口，在总接管口设置标志牌及装备污水流量计，雨水接管口应符合</w:t>
      </w:r>
      <w:r>
        <w:rPr>
          <w:rFonts w:hint="eastAsia" w:ascii="Times New Roman" w:hAnsi="Times New Roman"/>
          <w:color w:val="auto"/>
          <w:szCs w:val="22"/>
          <w:highlight w:val="none"/>
        </w:rPr>
        <w:t>“</w:t>
      </w:r>
      <w:r>
        <w:rPr>
          <w:rFonts w:ascii="Times New Roman" w:hAnsi="Times New Roman"/>
          <w:color w:val="auto"/>
          <w:szCs w:val="22"/>
          <w:highlight w:val="none"/>
        </w:rPr>
        <w:t>一明显，二合理，三便于</w:t>
      </w:r>
      <w:r>
        <w:rPr>
          <w:rFonts w:hint="eastAsia" w:ascii="Times New Roman" w:hAnsi="Times New Roman"/>
          <w:color w:val="auto"/>
          <w:szCs w:val="22"/>
          <w:highlight w:val="none"/>
        </w:rPr>
        <w:t>”</w:t>
      </w:r>
      <w:r>
        <w:rPr>
          <w:rFonts w:ascii="Times New Roman" w:hAnsi="Times New Roman"/>
          <w:color w:val="auto"/>
          <w:szCs w:val="22"/>
          <w:highlight w:val="none"/>
        </w:rPr>
        <w:t>的要求，设置能满足采样条件的明渠，明渠规格符合《城市排水流量堰槽测量标准》(CJ3009.1-5-93）设计规定，以便于采取水样和监测计量。</w:t>
      </w:r>
    </w:p>
    <w:p w14:paraId="31A8B0EF">
      <w:pPr>
        <w:spacing w:line="360" w:lineRule="auto"/>
        <w:ind w:left="-105" w:right="-105" w:firstLine="480" w:firstLineChars="200"/>
        <w:rPr>
          <w:rFonts w:ascii="Times New Roman" w:hAnsi="Times New Roman"/>
          <w:color w:val="auto"/>
          <w:szCs w:val="22"/>
          <w:highlight w:val="none"/>
        </w:rPr>
      </w:pPr>
      <w:r>
        <w:rPr>
          <w:rFonts w:ascii="Times New Roman" w:hAnsi="Times New Roman"/>
          <w:color w:val="auto"/>
          <w:szCs w:val="22"/>
          <w:highlight w:val="none"/>
        </w:rPr>
        <w:t>（2）</w:t>
      </w:r>
      <w:r>
        <w:rPr>
          <w:rFonts w:ascii="Times New Roman" w:hAnsi="Times New Roman"/>
          <w:color w:val="auto"/>
          <w:szCs w:val="22"/>
          <w:highlight w:val="none"/>
        </w:rPr>
        <w:tab/>
      </w:r>
      <w:r>
        <w:rPr>
          <w:rFonts w:ascii="Times New Roman" w:hAnsi="Times New Roman"/>
          <w:color w:val="auto"/>
          <w:szCs w:val="22"/>
          <w:highlight w:val="none"/>
        </w:rPr>
        <w:t>废气排放口的规范化设置</w:t>
      </w:r>
    </w:p>
    <w:p w14:paraId="7C485510">
      <w:pPr>
        <w:spacing w:line="360" w:lineRule="auto"/>
        <w:ind w:left="-105" w:right="-105" w:firstLine="480" w:firstLineChars="200"/>
        <w:rPr>
          <w:rFonts w:ascii="Times New Roman" w:hAnsi="Times New Roman"/>
          <w:color w:val="auto"/>
          <w:szCs w:val="22"/>
          <w:highlight w:val="none"/>
        </w:rPr>
      </w:pPr>
      <w:r>
        <w:rPr>
          <w:rFonts w:ascii="Times New Roman" w:hAnsi="Times New Roman"/>
          <w:color w:val="auto"/>
          <w:szCs w:val="22"/>
          <w:highlight w:val="none"/>
        </w:rPr>
        <w:t>对有组织废气的排气筒，应按规范要求设置一个排放口，根据项目废气排放情况，</w:t>
      </w:r>
      <w:r>
        <w:rPr>
          <w:rFonts w:hint="eastAsia" w:ascii="Times New Roman" w:hAnsi="Times New Roman"/>
          <w:color w:val="auto"/>
          <w:szCs w:val="22"/>
          <w:highlight w:val="none"/>
        </w:rPr>
        <w:t>本</w:t>
      </w:r>
      <w:r>
        <w:rPr>
          <w:rFonts w:ascii="Times New Roman" w:hAnsi="Times New Roman"/>
          <w:color w:val="auto"/>
          <w:szCs w:val="22"/>
          <w:highlight w:val="none"/>
        </w:rPr>
        <w:t>项目共设置</w:t>
      </w:r>
      <w:r>
        <w:rPr>
          <w:rFonts w:hint="eastAsia" w:ascii="Times New Roman" w:hAnsi="Times New Roman"/>
          <w:color w:val="auto"/>
          <w:szCs w:val="22"/>
          <w:highlight w:val="none"/>
        </w:rPr>
        <w:t>2</w:t>
      </w:r>
      <w:r>
        <w:rPr>
          <w:rFonts w:ascii="Times New Roman" w:hAnsi="Times New Roman"/>
          <w:color w:val="auto"/>
          <w:szCs w:val="22"/>
          <w:highlight w:val="none"/>
        </w:rPr>
        <w:t>个排气筒</w:t>
      </w:r>
      <w:r>
        <w:rPr>
          <w:rFonts w:hint="eastAsia" w:ascii="Times New Roman" w:hAnsi="Times New Roman"/>
          <w:color w:val="auto"/>
          <w:szCs w:val="22"/>
          <w:highlight w:val="none"/>
        </w:rPr>
        <w:t>、新增1根排气筒</w:t>
      </w:r>
      <w:r>
        <w:rPr>
          <w:rFonts w:ascii="Times New Roman" w:hAnsi="Times New Roman"/>
          <w:color w:val="auto"/>
          <w:szCs w:val="22"/>
          <w:highlight w:val="none"/>
        </w:rPr>
        <w:t>，废气排气筒要设立标识牌，并预留采样监测孔。</w:t>
      </w:r>
    </w:p>
    <w:p w14:paraId="7851FB30">
      <w:pPr>
        <w:spacing w:line="360" w:lineRule="auto"/>
        <w:ind w:left="-105" w:right="-105" w:firstLine="480" w:firstLineChars="200"/>
        <w:rPr>
          <w:rFonts w:ascii="Times New Roman" w:hAnsi="Times New Roman"/>
          <w:color w:val="auto"/>
          <w:szCs w:val="22"/>
          <w:highlight w:val="none"/>
        </w:rPr>
      </w:pPr>
      <w:r>
        <w:rPr>
          <w:rFonts w:ascii="Times New Roman" w:hAnsi="Times New Roman"/>
          <w:color w:val="auto"/>
          <w:szCs w:val="22"/>
          <w:highlight w:val="none"/>
        </w:rPr>
        <w:t>（3）</w:t>
      </w:r>
      <w:r>
        <w:rPr>
          <w:rFonts w:ascii="Times New Roman" w:hAnsi="Times New Roman"/>
          <w:color w:val="auto"/>
          <w:szCs w:val="22"/>
          <w:highlight w:val="none"/>
        </w:rPr>
        <w:tab/>
      </w:r>
      <w:r>
        <w:rPr>
          <w:rFonts w:ascii="Times New Roman" w:hAnsi="Times New Roman"/>
          <w:color w:val="auto"/>
          <w:szCs w:val="22"/>
          <w:highlight w:val="none"/>
        </w:rPr>
        <w:t>固定噪声污染源扰民处规范化整治</w:t>
      </w:r>
    </w:p>
    <w:p w14:paraId="1E4BB7FB">
      <w:pPr>
        <w:spacing w:line="360" w:lineRule="auto"/>
        <w:ind w:left="-105" w:right="-105" w:firstLine="480" w:firstLineChars="200"/>
        <w:rPr>
          <w:rFonts w:ascii="Times New Roman" w:hAnsi="Times New Roman"/>
          <w:color w:val="auto"/>
          <w:szCs w:val="22"/>
          <w:highlight w:val="none"/>
        </w:rPr>
      </w:pPr>
      <w:r>
        <w:rPr>
          <w:rFonts w:ascii="Times New Roman" w:hAnsi="Times New Roman"/>
          <w:color w:val="auto"/>
          <w:szCs w:val="22"/>
          <w:highlight w:val="none"/>
        </w:rPr>
        <w:t>对固定噪声污染源（即其产生的噪声超标国家标准并干扰他人正常生活、工作和学习的固定噪声源）对边界影响最大处，设置环境噪声监测点，并在该处附近醒目处设置环境保护图形标志牌；边界上有若干个在声环境中相对独立的固定噪声污染源扰民处，应分别设置环境噪声监测点和环境保护图形标志牌。</w:t>
      </w:r>
    </w:p>
    <w:p w14:paraId="4916CB85">
      <w:pPr>
        <w:spacing w:line="360" w:lineRule="auto"/>
        <w:ind w:left="-105" w:right="-105" w:firstLine="480" w:firstLineChars="200"/>
        <w:rPr>
          <w:rFonts w:hint="default" w:ascii="Times New Roman" w:hAnsi="Times New Roman" w:eastAsia="宋体" w:cs="Times New Roman"/>
          <w:color w:val="auto"/>
          <w:highlight w:val="none"/>
          <w:lang w:val="en-US" w:eastAsia="zh-CN"/>
        </w:rPr>
      </w:pPr>
      <w:r>
        <w:rPr>
          <w:rFonts w:hint="default" w:ascii="Times New Roman" w:hAnsi="Times New Roman" w:cs="Times New Roman"/>
          <w:color w:val="auto"/>
          <w:highlight w:val="none"/>
          <w:lang w:eastAsia="zh-CN"/>
        </w:rPr>
        <w:t>（</w:t>
      </w:r>
      <w:r>
        <w:rPr>
          <w:rFonts w:hint="default" w:ascii="Times New Roman" w:hAnsi="Times New Roman" w:cs="Times New Roman"/>
          <w:color w:val="auto"/>
          <w:highlight w:val="none"/>
          <w:lang w:val="en-US" w:eastAsia="zh-CN"/>
        </w:rPr>
        <w:t>4</w:t>
      </w:r>
      <w:r>
        <w:rPr>
          <w:rFonts w:hint="default" w:ascii="Times New Roman" w:hAnsi="Times New Roman" w:cs="Times New Roman"/>
          <w:color w:val="auto"/>
          <w:highlight w:val="none"/>
          <w:lang w:eastAsia="zh-CN"/>
        </w:rPr>
        <w:t>）</w:t>
      </w:r>
      <w:r>
        <w:rPr>
          <w:rFonts w:hint="default" w:ascii="Times New Roman" w:hAnsi="Times New Roman" w:cs="Times New Roman"/>
          <w:color w:val="auto"/>
          <w:highlight w:val="none"/>
          <w:lang w:val="en-US" w:eastAsia="zh-CN"/>
        </w:rPr>
        <w:t>固体废物贮存</w:t>
      </w:r>
    </w:p>
    <w:p w14:paraId="2E720525">
      <w:pPr>
        <w:spacing w:line="360" w:lineRule="auto"/>
        <w:ind w:left="-105" w:right="-105" w:firstLine="480" w:firstLineChars="200"/>
        <w:rPr>
          <w:rFonts w:ascii="Times New Roman" w:hAnsi="Times New Roman"/>
          <w:color w:val="auto"/>
          <w:szCs w:val="22"/>
          <w:highlight w:val="none"/>
        </w:rPr>
      </w:pPr>
      <w:r>
        <w:rPr>
          <w:rFonts w:ascii="Times New Roman" w:hAnsi="Times New Roman"/>
          <w:color w:val="auto"/>
          <w:szCs w:val="22"/>
          <w:highlight w:val="none"/>
        </w:rPr>
        <w:t>固废堆场应设置环境保护图形标志牌，将生活垃圾、工业固废等分开堆放，做到防风、防雨、防晒、防火、防雷、防扬散、防渗、防腐，确保不对周围环境形成二次污染。</w:t>
      </w:r>
    </w:p>
    <w:p w14:paraId="25424237">
      <w:pPr>
        <w:pStyle w:val="44"/>
        <w:spacing w:after="0"/>
        <w:ind w:left="0" w:leftChars="0" w:right="-105" w:firstLine="0" w:firstLineChars="0"/>
        <w:jc w:val="center"/>
        <w:rPr>
          <w:rFonts w:eastAsia="宋体"/>
          <w:b/>
          <w:bCs/>
          <w:color w:val="auto"/>
          <w:sz w:val="24"/>
          <w:highlight w:val="none"/>
        </w:rPr>
      </w:pPr>
      <w:bookmarkStart w:id="538" w:name="_Toc60653624"/>
    </w:p>
    <w:p w14:paraId="43AD0940">
      <w:pPr>
        <w:pStyle w:val="43"/>
        <w:rPr>
          <w:rFonts w:eastAsia="宋体"/>
          <w:b/>
          <w:bCs/>
          <w:color w:val="auto"/>
          <w:sz w:val="24"/>
          <w:highlight w:val="none"/>
        </w:rPr>
      </w:pPr>
    </w:p>
    <w:p w14:paraId="000512C6">
      <w:pPr>
        <w:pStyle w:val="43"/>
        <w:ind w:left="-105" w:right="-105" w:firstLine="210"/>
        <w:rPr>
          <w:color w:val="auto"/>
          <w:highlight w:val="none"/>
        </w:rPr>
      </w:pPr>
    </w:p>
    <w:p w14:paraId="407C0C4D">
      <w:pPr>
        <w:pStyle w:val="44"/>
        <w:spacing w:after="0"/>
        <w:ind w:left="0" w:leftChars="0" w:right="-105" w:firstLine="0" w:firstLineChars="0"/>
        <w:jc w:val="center"/>
        <w:rPr>
          <w:rFonts w:eastAsia="宋体"/>
          <w:b/>
          <w:bCs/>
          <w:color w:val="auto"/>
          <w:sz w:val="24"/>
          <w:highlight w:val="none"/>
        </w:rPr>
      </w:pPr>
    </w:p>
    <w:p w14:paraId="4F0ADAD2">
      <w:pPr>
        <w:pStyle w:val="44"/>
        <w:spacing w:after="0"/>
        <w:ind w:left="0" w:leftChars="0" w:right="-105" w:firstLine="0" w:firstLineChars="0"/>
        <w:jc w:val="center"/>
        <w:rPr>
          <w:b/>
          <w:bCs/>
          <w:color w:val="auto"/>
          <w:sz w:val="24"/>
          <w:highlight w:val="none"/>
        </w:rPr>
      </w:pPr>
      <w:r>
        <w:rPr>
          <w:rFonts w:eastAsia="宋体"/>
          <w:b/>
          <w:bCs/>
          <w:color w:val="auto"/>
          <w:sz w:val="24"/>
          <w:highlight w:val="none"/>
        </w:rPr>
        <w:t>表</w:t>
      </w:r>
      <w:r>
        <w:rPr>
          <w:rFonts w:hint="eastAsia" w:eastAsia="宋体"/>
          <w:b/>
          <w:bCs/>
          <w:color w:val="auto"/>
          <w:sz w:val="24"/>
          <w:highlight w:val="none"/>
        </w:rPr>
        <w:t>9.2-1</w:t>
      </w:r>
      <w:r>
        <w:rPr>
          <w:rFonts w:eastAsia="宋体"/>
          <w:b/>
          <w:bCs/>
          <w:color w:val="auto"/>
          <w:sz w:val="24"/>
          <w:highlight w:val="none"/>
        </w:rPr>
        <w:t>排放口标识要求</w:t>
      </w:r>
    </w:p>
    <w:tbl>
      <w:tblPr>
        <w:tblStyle w:val="45"/>
        <w:tblW w:w="5000" w:type="pct"/>
        <w:jc w:val="center"/>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Layout w:type="fixed"/>
        <w:tblCellMar>
          <w:top w:w="0" w:type="dxa"/>
          <w:left w:w="0" w:type="dxa"/>
          <w:bottom w:w="0" w:type="dxa"/>
          <w:right w:w="0" w:type="dxa"/>
        </w:tblCellMar>
      </w:tblPr>
      <w:tblGrid>
        <w:gridCol w:w="1843"/>
        <w:gridCol w:w="1701"/>
        <w:gridCol w:w="1701"/>
        <w:gridCol w:w="1089"/>
        <w:gridCol w:w="509"/>
        <w:gridCol w:w="657"/>
        <w:gridCol w:w="976"/>
        <w:gridCol w:w="28"/>
      </w:tblGrid>
      <w:tr w14:paraId="0B7D5241">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0" w:type="dxa"/>
            <w:bottom w:w="0" w:type="dxa"/>
            <w:right w:w="0" w:type="dxa"/>
          </w:tblCellMar>
        </w:tblPrEx>
        <w:trPr>
          <w:gridAfter w:val="1"/>
          <w:wAfter w:w="28" w:type="dxa"/>
          <w:trHeight w:val="340" w:hRule="atLeast"/>
          <w:jc w:val="center"/>
        </w:trPr>
        <w:tc>
          <w:tcPr>
            <w:tcW w:w="1843" w:type="dxa"/>
            <w:vAlign w:val="center"/>
          </w:tcPr>
          <w:p w14:paraId="2AFB9D74">
            <w:pPr>
              <w:pStyle w:val="98"/>
              <w:keepNext w:val="0"/>
              <w:keepLines w:val="0"/>
              <w:pageBreakBefore w:val="0"/>
              <w:kinsoku/>
              <w:wordWrap/>
              <w:overflowPunct/>
              <w:topLinePunct w:val="0"/>
              <w:bidi w:val="0"/>
              <w:adjustRightInd/>
              <w:snapToGrid/>
              <w:ind w:left="0" w:right="0"/>
              <w:textAlignment w:val="auto"/>
              <w:rPr>
                <w:rFonts w:eastAsia="宋体"/>
                <w:color w:val="auto"/>
                <w:sz w:val="21"/>
                <w:szCs w:val="21"/>
                <w:highlight w:val="none"/>
              </w:rPr>
            </w:pPr>
            <w:r>
              <w:rPr>
                <w:rFonts w:eastAsia="宋体"/>
                <w:color w:val="auto"/>
                <w:sz w:val="21"/>
                <w:szCs w:val="21"/>
                <w:highlight w:val="none"/>
                <w:lang w:val="en-US" w:bidi="ar-SA"/>
              </w:rPr>
              <w:drawing>
                <wp:inline distT="0" distB="0" distL="0" distR="0">
                  <wp:extent cx="923290" cy="923290"/>
                  <wp:effectExtent l="0" t="0" r="10160" b="10160"/>
                  <wp:docPr id="95" name="图片 21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图片 2196"/>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a:xfrm>
                            <a:off x="0" y="0"/>
                            <a:ext cx="923290" cy="923290"/>
                          </a:xfrm>
                          <a:prstGeom prst="rect">
                            <a:avLst/>
                          </a:prstGeom>
                          <a:noFill/>
                          <a:ln>
                            <a:noFill/>
                          </a:ln>
                        </pic:spPr>
                      </pic:pic>
                    </a:graphicData>
                  </a:graphic>
                </wp:inline>
              </w:drawing>
            </w:r>
          </w:p>
          <w:p w14:paraId="1E42F7E5">
            <w:pPr>
              <w:pStyle w:val="98"/>
              <w:keepNext w:val="0"/>
              <w:keepLines w:val="0"/>
              <w:pageBreakBefore w:val="0"/>
              <w:kinsoku/>
              <w:wordWrap/>
              <w:overflowPunct/>
              <w:topLinePunct w:val="0"/>
              <w:bidi w:val="0"/>
              <w:adjustRightInd/>
              <w:snapToGrid/>
              <w:ind w:left="0" w:right="0"/>
              <w:textAlignment w:val="auto"/>
              <w:rPr>
                <w:rFonts w:eastAsia="宋体"/>
                <w:color w:val="auto"/>
                <w:sz w:val="21"/>
                <w:szCs w:val="21"/>
                <w:highlight w:val="none"/>
              </w:rPr>
            </w:pPr>
            <w:r>
              <w:rPr>
                <w:rFonts w:eastAsia="宋体"/>
                <w:color w:val="auto"/>
                <w:sz w:val="21"/>
                <w:szCs w:val="21"/>
                <w:highlight w:val="none"/>
              </w:rPr>
              <w:t>废气排放口</w:t>
            </w:r>
          </w:p>
        </w:tc>
        <w:tc>
          <w:tcPr>
            <w:tcW w:w="1701" w:type="dxa"/>
            <w:vAlign w:val="center"/>
          </w:tcPr>
          <w:p w14:paraId="3F5D4A02">
            <w:pPr>
              <w:pStyle w:val="98"/>
              <w:keepNext w:val="0"/>
              <w:keepLines w:val="0"/>
              <w:pageBreakBefore w:val="0"/>
              <w:kinsoku/>
              <w:wordWrap/>
              <w:overflowPunct/>
              <w:topLinePunct w:val="0"/>
              <w:bidi w:val="0"/>
              <w:adjustRightInd/>
              <w:snapToGrid/>
              <w:ind w:left="0" w:right="0"/>
              <w:textAlignment w:val="auto"/>
              <w:rPr>
                <w:rFonts w:eastAsia="宋体"/>
                <w:color w:val="auto"/>
                <w:sz w:val="21"/>
                <w:szCs w:val="21"/>
                <w:highlight w:val="none"/>
              </w:rPr>
            </w:pPr>
            <w:r>
              <w:rPr>
                <w:rFonts w:eastAsia="宋体"/>
                <w:color w:val="auto"/>
                <w:sz w:val="21"/>
                <w:szCs w:val="21"/>
                <w:highlight w:val="none"/>
                <w:lang w:val="en-US" w:bidi="ar-SA"/>
              </w:rPr>
              <w:drawing>
                <wp:inline distT="0" distB="0" distL="0" distR="0">
                  <wp:extent cx="923290" cy="950595"/>
                  <wp:effectExtent l="0" t="0" r="10160" b="1905"/>
                  <wp:docPr id="96" name="图片 2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 name="图片 2195"/>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a:xfrm>
                            <a:off x="0" y="0"/>
                            <a:ext cx="923290" cy="950595"/>
                          </a:xfrm>
                          <a:prstGeom prst="rect">
                            <a:avLst/>
                          </a:prstGeom>
                          <a:noFill/>
                          <a:ln>
                            <a:noFill/>
                          </a:ln>
                        </pic:spPr>
                      </pic:pic>
                    </a:graphicData>
                  </a:graphic>
                </wp:inline>
              </w:drawing>
            </w:r>
          </w:p>
          <w:p w14:paraId="1F15DCD1">
            <w:pPr>
              <w:pStyle w:val="98"/>
              <w:keepNext w:val="0"/>
              <w:keepLines w:val="0"/>
              <w:pageBreakBefore w:val="0"/>
              <w:kinsoku/>
              <w:wordWrap/>
              <w:overflowPunct/>
              <w:topLinePunct w:val="0"/>
              <w:bidi w:val="0"/>
              <w:adjustRightInd/>
              <w:snapToGrid/>
              <w:ind w:left="0" w:right="0"/>
              <w:textAlignment w:val="auto"/>
              <w:rPr>
                <w:rFonts w:eastAsia="宋体"/>
                <w:color w:val="auto"/>
                <w:sz w:val="21"/>
                <w:szCs w:val="21"/>
                <w:highlight w:val="none"/>
                <w:lang w:eastAsia="en-US"/>
              </w:rPr>
            </w:pPr>
            <w:r>
              <w:rPr>
                <w:rFonts w:eastAsia="宋体"/>
                <w:color w:val="auto"/>
                <w:sz w:val="21"/>
                <w:szCs w:val="21"/>
                <w:highlight w:val="none"/>
                <w:lang w:val="en-US" w:eastAsia="en-US"/>
              </w:rPr>
              <w:t>污水排放口</w:t>
            </w:r>
          </w:p>
        </w:tc>
        <w:tc>
          <w:tcPr>
            <w:tcW w:w="1701" w:type="dxa"/>
            <w:vAlign w:val="center"/>
          </w:tcPr>
          <w:p w14:paraId="0E105C4E">
            <w:pPr>
              <w:pStyle w:val="98"/>
              <w:keepNext w:val="0"/>
              <w:keepLines w:val="0"/>
              <w:pageBreakBefore w:val="0"/>
              <w:kinsoku/>
              <w:wordWrap/>
              <w:overflowPunct/>
              <w:topLinePunct w:val="0"/>
              <w:bidi w:val="0"/>
              <w:adjustRightInd/>
              <w:snapToGrid/>
              <w:ind w:left="0" w:right="0"/>
              <w:textAlignment w:val="auto"/>
              <w:rPr>
                <w:rFonts w:eastAsia="宋体"/>
                <w:color w:val="auto"/>
                <w:sz w:val="21"/>
                <w:szCs w:val="21"/>
                <w:highlight w:val="none"/>
                <w:lang w:eastAsia="en-US"/>
              </w:rPr>
            </w:pPr>
            <w:r>
              <w:rPr>
                <w:rFonts w:eastAsia="宋体"/>
                <w:color w:val="auto"/>
                <w:sz w:val="21"/>
                <w:szCs w:val="21"/>
                <w:highlight w:val="none"/>
                <w:lang w:val="en-US" w:bidi="ar-SA"/>
              </w:rPr>
              <w:drawing>
                <wp:inline distT="0" distB="0" distL="0" distR="0">
                  <wp:extent cx="963930" cy="941705"/>
                  <wp:effectExtent l="0" t="0" r="7620" b="10795"/>
                  <wp:docPr id="97" name="图片 21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图片 2194"/>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a:xfrm>
                            <a:off x="0" y="0"/>
                            <a:ext cx="963930" cy="941705"/>
                          </a:xfrm>
                          <a:prstGeom prst="rect">
                            <a:avLst/>
                          </a:prstGeom>
                          <a:noFill/>
                          <a:ln>
                            <a:noFill/>
                          </a:ln>
                        </pic:spPr>
                      </pic:pic>
                    </a:graphicData>
                  </a:graphic>
                </wp:inline>
              </w:drawing>
            </w:r>
          </w:p>
          <w:p w14:paraId="33C02F04">
            <w:pPr>
              <w:pStyle w:val="98"/>
              <w:keepNext w:val="0"/>
              <w:keepLines w:val="0"/>
              <w:pageBreakBefore w:val="0"/>
              <w:kinsoku/>
              <w:wordWrap/>
              <w:overflowPunct/>
              <w:topLinePunct w:val="0"/>
              <w:bidi w:val="0"/>
              <w:adjustRightInd/>
              <w:snapToGrid/>
              <w:ind w:left="0" w:right="0"/>
              <w:textAlignment w:val="auto"/>
              <w:rPr>
                <w:rFonts w:eastAsia="宋体"/>
                <w:color w:val="auto"/>
                <w:sz w:val="21"/>
                <w:szCs w:val="21"/>
                <w:highlight w:val="none"/>
                <w:lang w:eastAsia="en-US"/>
              </w:rPr>
            </w:pPr>
            <w:r>
              <w:rPr>
                <w:rFonts w:eastAsia="宋体"/>
                <w:color w:val="auto"/>
                <w:sz w:val="21"/>
                <w:szCs w:val="21"/>
                <w:highlight w:val="none"/>
              </w:rPr>
              <w:t>雨水排放口</w:t>
            </w:r>
          </w:p>
        </w:tc>
        <w:tc>
          <w:tcPr>
            <w:tcW w:w="1598" w:type="dxa"/>
            <w:gridSpan w:val="2"/>
            <w:vAlign w:val="center"/>
          </w:tcPr>
          <w:p w14:paraId="5A4646CF">
            <w:pPr>
              <w:pStyle w:val="98"/>
              <w:keepNext w:val="0"/>
              <w:keepLines w:val="0"/>
              <w:pageBreakBefore w:val="0"/>
              <w:kinsoku/>
              <w:wordWrap/>
              <w:overflowPunct/>
              <w:topLinePunct w:val="0"/>
              <w:bidi w:val="0"/>
              <w:adjustRightInd/>
              <w:snapToGrid/>
              <w:ind w:left="0" w:right="0"/>
              <w:textAlignment w:val="auto"/>
              <w:rPr>
                <w:rFonts w:eastAsia="宋体"/>
                <w:color w:val="auto"/>
                <w:sz w:val="21"/>
                <w:szCs w:val="21"/>
                <w:highlight w:val="none"/>
                <w:lang w:eastAsia="en-US"/>
              </w:rPr>
            </w:pPr>
            <w:r>
              <w:rPr>
                <w:rFonts w:eastAsia="宋体"/>
                <w:color w:val="auto"/>
                <w:sz w:val="21"/>
                <w:szCs w:val="21"/>
                <w:highlight w:val="none"/>
                <w:lang w:val="en-US" w:bidi="ar-SA"/>
              </w:rPr>
              <w:drawing>
                <wp:inline distT="0" distB="0" distL="0" distR="0">
                  <wp:extent cx="914400" cy="950595"/>
                  <wp:effectExtent l="0" t="0" r="0" b="1905"/>
                  <wp:docPr id="98" name="图片 21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 name="图片 2193"/>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a:xfrm>
                            <a:off x="0" y="0"/>
                            <a:ext cx="914400" cy="950595"/>
                          </a:xfrm>
                          <a:prstGeom prst="rect">
                            <a:avLst/>
                          </a:prstGeom>
                          <a:noFill/>
                          <a:ln>
                            <a:noFill/>
                          </a:ln>
                        </pic:spPr>
                      </pic:pic>
                    </a:graphicData>
                  </a:graphic>
                </wp:inline>
              </w:drawing>
            </w:r>
          </w:p>
          <w:p w14:paraId="4B1AE412">
            <w:pPr>
              <w:pStyle w:val="98"/>
              <w:keepNext w:val="0"/>
              <w:keepLines w:val="0"/>
              <w:pageBreakBefore w:val="0"/>
              <w:kinsoku/>
              <w:wordWrap/>
              <w:overflowPunct/>
              <w:topLinePunct w:val="0"/>
              <w:bidi w:val="0"/>
              <w:adjustRightInd/>
              <w:snapToGrid/>
              <w:ind w:left="0" w:right="0"/>
              <w:textAlignment w:val="auto"/>
              <w:rPr>
                <w:rFonts w:eastAsia="宋体"/>
                <w:color w:val="auto"/>
                <w:sz w:val="21"/>
                <w:szCs w:val="21"/>
                <w:highlight w:val="none"/>
                <w:lang w:eastAsia="en-US"/>
              </w:rPr>
            </w:pPr>
            <w:r>
              <w:rPr>
                <w:rFonts w:eastAsia="宋体"/>
                <w:color w:val="auto"/>
                <w:sz w:val="21"/>
                <w:szCs w:val="21"/>
                <w:highlight w:val="none"/>
                <w:lang w:val="en-US" w:eastAsia="en-US"/>
              </w:rPr>
              <w:t>噪声排放源</w:t>
            </w:r>
          </w:p>
        </w:tc>
        <w:tc>
          <w:tcPr>
            <w:tcW w:w="1633" w:type="dxa"/>
            <w:gridSpan w:val="2"/>
            <w:vAlign w:val="center"/>
          </w:tcPr>
          <w:p w14:paraId="657043C2">
            <w:pPr>
              <w:pStyle w:val="98"/>
              <w:keepNext w:val="0"/>
              <w:keepLines w:val="0"/>
              <w:pageBreakBefore w:val="0"/>
              <w:kinsoku/>
              <w:wordWrap/>
              <w:overflowPunct/>
              <w:topLinePunct w:val="0"/>
              <w:bidi w:val="0"/>
              <w:adjustRightInd/>
              <w:snapToGrid/>
              <w:ind w:left="0" w:right="0"/>
              <w:textAlignment w:val="auto"/>
              <w:rPr>
                <w:rFonts w:eastAsia="宋体"/>
                <w:color w:val="auto"/>
                <w:sz w:val="21"/>
                <w:szCs w:val="21"/>
                <w:highlight w:val="none"/>
                <w:lang w:eastAsia="en-US"/>
              </w:rPr>
            </w:pPr>
            <w:r>
              <w:rPr>
                <w:rFonts w:eastAsia="宋体"/>
                <w:color w:val="auto"/>
                <w:sz w:val="21"/>
                <w:szCs w:val="21"/>
                <w:highlight w:val="none"/>
                <w:lang w:val="en-US" w:bidi="ar-SA"/>
              </w:rPr>
              <w:drawing>
                <wp:inline distT="0" distB="0" distL="0" distR="0">
                  <wp:extent cx="923290" cy="914400"/>
                  <wp:effectExtent l="0" t="0" r="10160" b="0"/>
                  <wp:docPr id="99" name="图片 21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图片 2192"/>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a:xfrm>
                            <a:off x="0" y="0"/>
                            <a:ext cx="923290" cy="914400"/>
                          </a:xfrm>
                          <a:prstGeom prst="rect">
                            <a:avLst/>
                          </a:prstGeom>
                          <a:noFill/>
                          <a:ln>
                            <a:noFill/>
                          </a:ln>
                        </pic:spPr>
                      </pic:pic>
                    </a:graphicData>
                  </a:graphic>
                </wp:inline>
              </w:drawing>
            </w:r>
          </w:p>
          <w:p w14:paraId="7D8F2FEA">
            <w:pPr>
              <w:pStyle w:val="98"/>
              <w:keepNext w:val="0"/>
              <w:keepLines w:val="0"/>
              <w:pageBreakBefore w:val="0"/>
              <w:kinsoku/>
              <w:wordWrap/>
              <w:overflowPunct/>
              <w:topLinePunct w:val="0"/>
              <w:bidi w:val="0"/>
              <w:adjustRightInd/>
              <w:snapToGrid/>
              <w:ind w:left="0" w:right="0"/>
              <w:textAlignment w:val="auto"/>
              <w:rPr>
                <w:rFonts w:eastAsia="宋体"/>
                <w:color w:val="auto"/>
                <w:sz w:val="21"/>
                <w:szCs w:val="21"/>
                <w:highlight w:val="none"/>
                <w:lang w:eastAsia="en-US"/>
              </w:rPr>
            </w:pPr>
            <w:r>
              <w:rPr>
                <w:rFonts w:eastAsia="宋体"/>
                <w:color w:val="auto"/>
                <w:sz w:val="21"/>
                <w:szCs w:val="21"/>
                <w:highlight w:val="none"/>
              </w:rPr>
              <w:t>一般固废废物</w:t>
            </w:r>
          </w:p>
        </w:tc>
      </w:tr>
      <w:tr w14:paraId="57B0335B">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0" w:type="dxa"/>
            <w:bottom w:w="0" w:type="dxa"/>
            <w:right w:w="0" w:type="dxa"/>
          </w:tblCellMar>
        </w:tblPrEx>
        <w:trPr>
          <w:gridAfter w:val="1"/>
          <w:wAfter w:w="28" w:type="dxa"/>
          <w:trHeight w:val="340" w:hRule="atLeast"/>
          <w:jc w:val="center"/>
        </w:trPr>
        <w:tc>
          <w:tcPr>
            <w:tcW w:w="1843" w:type="dxa"/>
            <w:vAlign w:val="center"/>
          </w:tcPr>
          <w:p w14:paraId="21723442">
            <w:pPr>
              <w:keepNext w:val="0"/>
              <w:keepLines w:val="0"/>
              <w:pageBreakBefore w:val="0"/>
              <w:kinsoku/>
              <w:wordWrap/>
              <w:overflowPunct/>
              <w:topLinePunct w:val="0"/>
              <w:bidi w:val="0"/>
              <w:adjustRightInd/>
              <w:snapToGrid/>
              <w:ind w:left="0" w:right="0"/>
              <w:textAlignment w:val="auto"/>
              <w:rPr>
                <w:color w:val="auto"/>
                <w:highlight w:val="none"/>
              </w:rPr>
            </w:pPr>
            <w:r>
              <w:rPr>
                <w:color w:val="auto"/>
                <w:highlight w:val="none"/>
              </w:rPr>
              <w:drawing>
                <wp:inline distT="0" distB="0" distL="0" distR="0">
                  <wp:extent cx="1238250" cy="708660"/>
                  <wp:effectExtent l="0" t="0" r="0" b="15240"/>
                  <wp:docPr id="190333536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3335368" name="图片 1"/>
                          <pic:cNvPicPr>
                            <a:picLocks noChangeAspect="1" noChangeArrowheads="1"/>
                          </pic:cNvPicPr>
                        </pic:nvPicPr>
                        <pic:blipFill>
                          <a:blip r:embed="rId77" cstate="print">
                            <a:extLst>
                              <a:ext uri="{28A0092B-C50C-407E-A947-70E740481C1C}">
                                <a14:useLocalDpi xmlns:a14="http://schemas.microsoft.com/office/drawing/2010/main" val="0"/>
                              </a:ext>
                            </a:extLst>
                          </a:blip>
                          <a:srcRect/>
                          <a:stretch>
                            <a:fillRect/>
                          </a:stretch>
                        </pic:blipFill>
                        <pic:spPr>
                          <a:xfrm>
                            <a:off x="0" y="0"/>
                            <a:ext cx="1238250" cy="708660"/>
                          </a:xfrm>
                          <a:prstGeom prst="rect">
                            <a:avLst/>
                          </a:prstGeom>
                          <a:noFill/>
                          <a:ln>
                            <a:noFill/>
                          </a:ln>
                        </pic:spPr>
                      </pic:pic>
                    </a:graphicData>
                  </a:graphic>
                </wp:inline>
              </w:drawing>
            </w:r>
          </w:p>
          <w:p w14:paraId="348CF7B7">
            <w:pPr>
              <w:pStyle w:val="98"/>
              <w:keepNext w:val="0"/>
              <w:keepLines w:val="0"/>
              <w:pageBreakBefore w:val="0"/>
              <w:kinsoku/>
              <w:wordWrap/>
              <w:overflowPunct/>
              <w:topLinePunct w:val="0"/>
              <w:bidi w:val="0"/>
              <w:adjustRightInd/>
              <w:snapToGrid/>
              <w:ind w:left="0" w:right="0"/>
              <w:textAlignment w:val="auto"/>
              <w:rPr>
                <w:rFonts w:eastAsia="等线"/>
                <w:color w:val="auto"/>
                <w:sz w:val="21"/>
                <w:szCs w:val="21"/>
                <w:highlight w:val="none"/>
                <w:lang w:eastAsia="en-US"/>
              </w:rPr>
            </w:pPr>
            <w:r>
              <w:rPr>
                <w:rFonts w:eastAsia="宋体"/>
                <w:color w:val="auto"/>
                <w:sz w:val="21"/>
                <w:szCs w:val="21"/>
                <w:highlight w:val="none"/>
              </w:rPr>
              <w:t>危险废物贮存设施</w:t>
            </w:r>
          </w:p>
        </w:tc>
        <w:tc>
          <w:tcPr>
            <w:tcW w:w="1701" w:type="dxa"/>
            <w:vAlign w:val="center"/>
          </w:tcPr>
          <w:p w14:paraId="0D5966A3">
            <w:pPr>
              <w:pStyle w:val="98"/>
              <w:keepNext w:val="0"/>
              <w:keepLines w:val="0"/>
              <w:pageBreakBefore w:val="0"/>
              <w:kinsoku/>
              <w:wordWrap/>
              <w:overflowPunct/>
              <w:topLinePunct w:val="0"/>
              <w:bidi w:val="0"/>
              <w:adjustRightInd/>
              <w:snapToGrid/>
              <w:ind w:left="0" w:right="0"/>
              <w:textAlignment w:val="auto"/>
              <w:rPr>
                <w:rFonts w:eastAsia="宋体"/>
                <w:color w:val="auto"/>
                <w:sz w:val="21"/>
                <w:szCs w:val="21"/>
                <w:highlight w:val="none"/>
              </w:rPr>
            </w:pPr>
            <w:r>
              <w:rPr>
                <w:rFonts w:eastAsia="宋体"/>
                <w:color w:val="auto"/>
                <w:sz w:val="21"/>
                <w:szCs w:val="21"/>
                <w:highlight w:val="none"/>
                <w:lang w:val="en-US" w:bidi="ar-SA"/>
              </w:rPr>
              <w:drawing>
                <wp:inline distT="0" distB="0" distL="0" distR="0">
                  <wp:extent cx="1036320" cy="697230"/>
                  <wp:effectExtent l="0" t="0" r="11430" b="7620"/>
                  <wp:docPr id="101" name="图片 21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 name="图片 2191"/>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a:xfrm>
                            <a:off x="0" y="0"/>
                            <a:ext cx="1036320" cy="697230"/>
                          </a:xfrm>
                          <a:prstGeom prst="rect">
                            <a:avLst/>
                          </a:prstGeom>
                          <a:noFill/>
                          <a:ln>
                            <a:noFill/>
                          </a:ln>
                        </pic:spPr>
                      </pic:pic>
                    </a:graphicData>
                  </a:graphic>
                </wp:inline>
              </w:drawing>
            </w:r>
          </w:p>
          <w:p w14:paraId="086C1492">
            <w:pPr>
              <w:pStyle w:val="98"/>
              <w:keepNext w:val="0"/>
              <w:keepLines w:val="0"/>
              <w:pageBreakBefore w:val="0"/>
              <w:kinsoku/>
              <w:wordWrap/>
              <w:overflowPunct/>
              <w:topLinePunct w:val="0"/>
              <w:bidi w:val="0"/>
              <w:adjustRightInd/>
              <w:snapToGrid/>
              <w:ind w:left="0" w:right="0"/>
              <w:textAlignment w:val="auto"/>
              <w:rPr>
                <w:rFonts w:eastAsia="宋体"/>
                <w:color w:val="auto"/>
                <w:sz w:val="21"/>
                <w:szCs w:val="21"/>
                <w:highlight w:val="none"/>
                <w:lang w:eastAsia="en-US"/>
              </w:rPr>
            </w:pPr>
            <w:r>
              <w:rPr>
                <w:rFonts w:eastAsia="宋体"/>
                <w:color w:val="auto"/>
                <w:sz w:val="21"/>
                <w:szCs w:val="21"/>
                <w:highlight w:val="none"/>
              </w:rPr>
              <w:t>危险废物产生单位信息公开</w:t>
            </w:r>
          </w:p>
        </w:tc>
        <w:tc>
          <w:tcPr>
            <w:tcW w:w="1701" w:type="dxa"/>
            <w:vAlign w:val="center"/>
          </w:tcPr>
          <w:p w14:paraId="2A761E3F">
            <w:pPr>
              <w:pStyle w:val="98"/>
              <w:keepNext w:val="0"/>
              <w:keepLines w:val="0"/>
              <w:pageBreakBefore w:val="0"/>
              <w:kinsoku/>
              <w:wordWrap/>
              <w:overflowPunct/>
              <w:topLinePunct w:val="0"/>
              <w:bidi w:val="0"/>
              <w:adjustRightInd/>
              <w:snapToGrid/>
              <w:ind w:left="0" w:right="0"/>
              <w:textAlignment w:val="auto"/>
              <w:rPr>
                <w:rFonts w:eastAsia="宋体"/>
                <w:color w:val="auto"/>
                <w:sz w:val="21"/>
                <w:szCs w:val="21"/>
                <w:highlight w:val="none"/>
                <w:lang w:val="en-US" w:eastAsia="en-US" w:bidi="ar-SA"/>
              </w:rPr>
            </w:pPr>
            <w:r>
              <w:rPr>
                <w:color w:val="auto"/>
                <w:highlight w:val="none"/>
                <w:lang w:val="en-US" w:bidi="ar-SA"/>
              </w:rPr>
              <w:drawing>
                <wp:inline distT="0" distB="0" distL="0" distR="0">
                  <wp:extent cx="1136650" cy="957580"/>
                  <wp:effectExtent l="0" t="0" r="6350" b="13970"/>
                  <wp:docPr id="60812204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8122040" name="图片 1"/>
                          <pic:cNvPicPr>
                            <a:picLocks noChangeAspect="1"/>
                          </pic:cNvPicPr>
                        </pic:nvPicPr>
                        <pic:blipFill>
                          <a:blip r:embed="rId79"/>
                          <a:stretch>
                            <a:fillRect/>
                          </a:stretch>
                        </pic:blipFill>
                        <pic:spPr>
                          <a:xfrm>
                            <a:off x="0" y="0"/>
                            <a:ext cx="1136650" cy="957580"/>
                          </a:xfrm>
                          <a:prstGeom prst="rect">
                            <a:avLst/>
                          </a:prstGeom>
                        </pic:spPr>
                      </pic:pic>
                    </a:graphicData>
                  </a:graphic>
                </wp:inline>
              </w:drawing>
            </w:r>
          </w:p>
          <w:p w14:paraId="24AF097F">
            <w:pPr>
              <w:pStyle w:val="98"/>
              <w:keepNext w:val="0"/>
              <w:keepLines w:val="0"/>
              <w:pageBreakBefore w:val="0"/>
              <w:kinsoku/>
              <w:wordWrap/>
              <w:overflowPunct/>
              <w:topLinePunct w:val="0"/>
              <w:bidi w:val="0"/>
              <w:adjustRightInd/>
              <w:snapToGrid/>
              <w:ind w:left="0" w:right="0"/>
              <w:textAlignment w:val="auto"/>
              <w:rPr>
                <w:rFonts w:eastAsia="宋体"/>
                <w:color w:val="auto"/>
                <w:sz w:val="21"/>
                <w:szCs w:val="21"/>
                <w:highlight w:val="none"/>
                <w:lang w:eastAsia="en-US"/>
              </w:rPr>
            </w:pPr>
            <w:r>
              <w:rPr>
                <w:rFonts w:eastAsia="宋体"/>
                <w:color w:val="auto"/>
                <w:sz w:val="21"/>
                <w:szCs w:val="21"/>
                <w:highlight w:val="none"/>
              </w:rPr>
              <w:t>贮存设施内部分区警示标志牌</w:t>
            </w:r>
          </w:p>
        </w:tc>
        <w:tc>
          <w:tcPr>
            <w:tcW w:w="1598" w:type="dxa"/>
            <w:gridSpan w:val="2"/>
            <w:vAlign w:val="center"/>
          </w:tcPr>
          <w:p w14:paraId="0657B514">
            <w:pPr>
              <w:pStyle w:val="98"/>
              <w:keepNext w:val="0"/>
              <w:keepLines w:val="0"/>
              <w:pageBreakBefore w:val="0"/>
              <w:kinsoku/>
              <w:wordWrap/>
              <w:overflowPunct/>
              <w:topLinePunct w:val="0"/>
              <w:bidi w:val="0"/>
              <w:adjustRightInd/>
              <w:snapToGrid/>
              <w:ind w:left="0" w:right="0"/>
              <w:textAlignment w:val="auto"/>
              <w:rPr>
                <w:rFonts w:eastAsia="宋体"/>
                <w:color w:val="auto"/>
                <w:sz w:val="21"/>
                <w:szCs w:val="21"/>
                <w:highlight w:val="none"/>
                <w:lang w:val="en-US" w:eastAsia="en-US" w:bidi="ar-SA"/>
              </w:rPr>
            </w:pPr>
            <w:r>
              <w:rPr>
                <w:rFonts w:eastAsia="宋体"/>
                <w:color w:val="auto"/>
                <w:sz w:val="21"/>
                <w:szCs w:val="21"/>
                <w:highlight w:val="none"/>
                <w:lang w:val="en-US" w:bidi="ar-SA"/>
              </w:rPr>
              <w:drawing>
                <wp:inline distT="0" distB="0" distL="0" distR="0">
                  <wp:extent cx="561340" cy="697230"/>
                  <wp:effectExtent l="0" t="0" r="10160" b="7620"/>
                  <wp:docPr id="103" name="图片 21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 name="图片 2188"/>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a:xfrm>
                            <a:off x="0" y="0"/>
                            <a:ext cx="561340" cy="697230"/>
                          </a:xfrm>
                          <a:prstGeom prst="rect">
                            <a:avLst/>
                          </a:prstGeom>
                          <a:noFill/>
                          <a:ln>
                            <a:noFill/>
                          </a:ln>
                        </pic:spPr>
                      </pic:pic>
                    </a:graphicData>
                  </a:graphic>
                </wp:inline>
              </w:drawing>
            </w:r>
          </w:p>
          <w:p w14:paraId="14F2448A">
            <w:pPr>
              <w:pStyle w:val="98"/>
              <w:keepNext w:val="0"/>
              <w:keepLines w:val="0"/>
              <w:pageBreakBefore w:val="0"/>
              <w:kinsoku/>
              <w:wordWrap/>
              <w:overflowPunct/>
              <w:topLinePunct w:val="0"/>
              <w:bidi w:val="0"/>
              <w:adjustRightInd/>
              <w:snapToGrid/>
              <w:ind w:left="0" w:right="0"/>
              <w:textAlignment w:val="auto"/>
              <w:rPr>
                <w:rFonts w:eastAsia="宋体"/>
                <w:color w:val="auto"/>
                <w:sz w:val="21"/>
                <w:szCs w:val="21"/>
                <w:highlight w:val="none"/>
                <w:lang w:eastAsia="en-US"/>
              </w:rPr>
            </w:pPr>
            <w:r>
              <w:rPr>
                <w:rFonts w:eastAsia="宋体"/>
                <w:color w:val="auto"/>
                <w:sz w:val="21"/>
                <w:szCs w:val="21"/>
                <w:highlight w:val="none"/>
              </w:rPr>
              <w:t>禁止烟火</w:t>
            </w:r>
          </w:p>
        </w:tc>
        <w:tc>
          <w:tcPr>
            <w:tcW w:w="1633" w:type="dxa"/>
            <w:gridSpan w:val="2"/>
            <w:vAlign w:val="center"/>
          </w:tcPr>
          <w:p w14:paraId="604AAD00">
            <w:pPr>
              <w:pStyle w:val="98"/>
              <w:keepNext w:val="0"/>
              <w:keepLines w:val="0"/>
              <w:pageBreakBefore w:val="0"/>
              <w:kinsoku/>
              <w:wordWrap/>
              <w:overflowPunct/>
              <w:topLinePunct w:val="0"/>
              <w:bidi w:val="0"/>
              <w:adjustRightInd/>
              <w:snapToGrid/>
              <w:ind w:left="0" w:right="0"/>
              <w:textAlignment w:val="auto"/>
              <w:rPr>
                <w:rFonts w:eastAsia="等线"/>
                <w:color w:val="auto"/>
                <w:highlight w:val="none"/>
              </w:rPr>
            </w:pPr>
            <w:r>
              <w:rPr>
                <w:color w:val="auto"/>
                <w:highlight w:val="none"/>
                <w:lang w:val="en-US" w:bidi="ar-SA"/>
              </w:rPr>
              <w:drawing>
                <wp:inline distT="0" distB="0" distL="0" distR="0">
                  <wp:extent cx="1031875" cy="556895"/>
                  <wp:effectExtent l="0" t="0" r="15875" b="14605"/>
                  <wp:docPr id="104"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 name="图片 42"/>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a:xfrm>
                            <a:off x="0" y="0"/>
                            <a:ext cx="1031875" cy="556895"/>
                          </a:xfrm>
                          <a:prstGeom prst="rect">
                            <a:avLst/>
                          </a:prstGeom>
                          <a:noFill/>
                          <a:ln>
                            <a:noFill/>
                          </a:ln>
                        </pic:spPr>
                      </pic:pic>
                    </a:graphicData>
                  </a:graphic>
                </wp:inline>
              </w:drawing>
            </w:r>
          </w:p>
          <w:p w14:paraId="5E26A3A5">
            <w:pPr>
              <w:pStyle w:val="98"/>
              <w:keepNext w:val="0"/>
              <w:keepLines w:val="0"/>
              <w:pageBreakBefore w:val="0"/>
              <w:kinsoku/>
              <w:wordWrap/>
              <w:overflowPunct/>
              <w:topLinePunct w:val="0"/>
              <w:bidi w:val="0"/>
              <w:adjustRightInd/>
              <w:snapToGrid/>
              <w:ind w:left="0" w:right="0"/>
              <w:textAlignment w:val="auto"/>
              <w:rPr>
                <w:rFonts w:eastAsia="等线"/>
                <w:color w:val="auto"/>
                <w:sz w:val="21"/>
                <w:szCs w:val="21"/>
                <w:highlight w:val="none"/>
              </w:rPr>
            </w:pPr>
            <w:r>
              <w:rPr>
                <w:rFonts w:eastAsia="宋体"/>
                <w:color w:val="auto"/>
                <w:sz w:val="21"/>
                <w:szCs w:val="21"/>
                <w:highlight w:val="none"/>
              </w:rPr>
              <w:t>危废产生源</w:t>
            </w:r>
          </w:p>
        </w:tc>
      </w:tr>
      <w:tr w14:paraId="268FC2C1">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0" w:type="dxa"/>
            <w:bottom w:w="0" w:type="dxa"/>
            <w:right w:w="0" w:type="dxa"/>
          </w:tblCellMar>
        </w:tblPrEx>
        <w:trPr>
          <w:trHeight w:val="340" w:hRule="atLeast"/>
          <w:jc w:val="center"/>
        </w:trPr>
        <w:tc>
          <w:tcPr>
            <w:tcW w:w="1843" w:type="dxa"/>
            <w:vAlign w:val="center"/>
          </w:tcPr>
          <w:p w14:paraId="2656FE62">
            <w:pPr>
              <w:pStyle w:val="98"/>
              <w:keepNext w:val="0"/>
              <w:keepLines w:val="0"/>
              <w:pageBreakBefore w:val="0"/>
              <w:kinsoku/>
              <w:wordWrap/>
              <w:overflowPunct/>
              <w:topLinePunct w:val="0"/>
              <w:bidi w:val="0"/>
              <w:adjustRightInd/>
              <w:snapToGrid/>
              <w:ind w:left="0" w:right="0"/>
              <w:textAlignment w:val="auto"/>
              <w:rPr>
                <w:rFonts w:eastAsia="宋体"/>
                <w:b/>
                <w:color w:val="auto"/>
                <w:sz w:val="21"/>
                <w:szCs w:val="21"/>
                <w:highlight w:val="none"/>
                <w:lang w:eastAsia="en-US"/>
              </w:rPr>
            </w:pPr>
            <w:r>
              <w:rPr>
                <w:rFonts w:eastAsia="宋体"/>
                <w:b/>
                <w:color w:val="auto"/>
                <w:sz w:val="21"/>
                <w:szCs w:val="21"/>
                <w:highlight w:val="none"/>
                <w:lang w:val="en-US" w:eastAsia="en-US"/>
              </w:rPr>
              <w:t>排放口名称</w:t>
            </w:r>
          </w:p>
        </w:tc>
        <w:tc>
          <w:tcPr>
            <w:tcW w:w="1701" w:type="dxa"/>
            <w:vAlign w:val="center"/>
          </w:tcPr>
          <w:p w14:paraId="6206A86B">
            <w:pPr>
              <w:pStyle w:val="98"/>
              <w:keepNext w:val="0"/>
              <w:keepLines w:val="0"/>
              <w:pageBreakBefore w:val="0"/>
              <w:kinsoku/>
              <w:wordWrap/>
              <w:overflowPunct/>
              <w:topLinePunct w:val="0"/>
              <w:bidi w:val="0"/>
              <w:adjustRightInd/>
              <w:snapToGrid/>
              <w:ind w:left="0" w:right="0"/>
              <w:textAlignment w:val="auto"/>
              <w:rPr>
                <w:rFonts w:eastAsia="宋体"/>
                <w:b/>
                <w:color w:val="auto"/>
                <w:sz w:val="21"/>
                <w:szCs w:val="21"/>
                <w:highlight w:val="none"/>
                <w:lang w:eastAsia="en-US"/>
              </w:rPr>
            </w:pPr>
            <w:r>
              <w:rPr>
                <w:rFonts w:eastAsia="宋体"/>
                <w:b/>
                <w:color w:val="auto"/>
                <w:sz w:val="21"/>
                <w:szCs w:val="21"/>
                <w:highlight w:val="none"/>
                <w:lang w:val="en-US" w:eastAsia="en-US"/>
              </w:rPr>
              <w:t>编号</w:t>
            </w:r>
          </w:p>
        </w:tc>
        <w:tc>
          <w:tcPr>
            <w:tcW w:w="1701" w:type="dxa"/>
            <w:vAlign w:val="center"/>
          </w:tcPr>
          <w:p w14:paraId="527AC76B">
            <w:pPr>
              <w:pStyle w:val="98"/>
              <w:keepNext w:val="0"/>
              <w:keepLines w:val="0"/>
              <w:pageBreakBefore w:val="0"/>
              <w:kinsoku/>
              <w:wordWrap/>
              <w:overflowPunct/>
              <w:topLinePunct w:val="0"/>
              <w:bidi w:val="0"/>
              <w:adjustRightInd/>
              <w:snapToGrid/>
              <w:ind w:left="0" w:right="0"/>
              <w:textAlignment w:val="auto"/>
              <w:rPr>
                <w:rFonts w:eastAsia="宋体"/>
                <w:b/>
                <w:color w:val="auto"/>
                <w:sz w:val="21"/>
                <w:szCs w:val="21"/>
                <w:highlight w:val="none"/>
                <w:lang w:eastAsia="en-US"/>
              </w:rPr>
            </w:pPr>
            <w:r>
              <w:rPr>
                <w:rFonts w:eastAsia="宋体"/>
                <w:b/>
                <w:color w:val="auto"/>
                <w:sz w:val="21"/>
                <w:szCs w:val="21"/>
                <w:highlight w:val="none"/>
                <w:lang w:val="en-US" w:eastAsia="en-US"/>
              </w:rPr>
              <w:t>图形标志</w:t>
            </w:r>
          </w:p>
        </w:tc>
        <w:tc>
          <w:tcPr>
            <w:tcW w:w="1089" w:type="dxa"/>
            <w:vAlign w:val="center"/>
          </w:tcPr>
          <w:p w14:paraId="07FE0665">
            <w:pPr>
              <w:pStyle w:val="98"/>
              <w:keepNext w:val="0"/>
              <w:keepLines w:val="0"/>
              <w:pageBreakBefore w:val="0"/>
              <w:kinsoku/>
              <w:wordWrap/>
              <w:overflowPunct/>
              <w:topLinePunct w:val="0"/>
              <w:bidi w:val="0"/>
              <w:adjustRightInd/>
              <w:snapToGrid/>
              <w:ind w:left="0" w:right="0"/>
              <w:textAlignment w:val="auto"/>
              <w:rPr>
                <w:rFonts w:eastAsia="宋体"/>
                <w:b/>
                <w:color w:val="auto"/>
                <w:sz w:val="21"/>
                <w:szCs w:val="21"/>
                <w:highlight w:val="none"/>
                <w:lang w:eastAsia="en-US"/>
              </w:rPr>
            </w:pPr>
            <w:r>
              <w:rPr>
                <w:rFonts w:eastAsia="宋体"/>
                <w:b/>
                <w:color w:val="auto"/>
                <w:sz w:val="21"/>
                <w:szCs w:val="21"/>
                <w:highlight w:val="none"/>
                <w:lang w:val="en-US" w:eastAsia="en-US"/>
              </w:rPr>
              <w:t>形状</w:t>
            </w:r>
          </w:p>
        </w:tc>
        <w:tc>
          <w:tcPr>
            <w:tcW w:w="1166" w:type="dxa"/>
            <w:gridSpan w:val="2"/>
            <w:vAlign w:val="center"/>
          </w:tcPr>
          <w:p w14:paraId="2BBEE3BD">
            <w:pPr>
              <w:pStyle w:val="98"/>
              <w:keepNext w:val="0"/>
              <w:keepLines w:val="0"/>
              <w:pageBreakBefore w:val="0"/>
              <w:kinsoku/>
              <w:wordWrap/>
              <w:overflowPunct/>
              <w:topLinePunct w:val="0"/>
              <w:bidi w:val="0"/>
              <w:adjustRightInd/>
              <w:snapToGrid/>
              <w:ind w:left="0" w:right="0"/>
              <w:textAlignment w:val="auto"/>
              <w:rPr>
                <w:rFonts w:eastAsia="宋体"/>
                <w:b/>
                <w:color w:val="auto"/>
                <w:sz w:val="21"/>
                <w:szCs w:val="21"/>
                <w:highlight w:val="none"/>
                <w:lang w:eastAsia="en-US"/>
              </w:rPr>
            </w:pPr>
            <w:r>
              <w:rPr>
                <w:rFonts w:eastAsia="宋体"/>
                <w:b/>
                <w:color w:val="auto"/>
                <w:sz w:val="21"/>
                <w:szCs w:val="21"/>
                <w:highlight w:val="none"/>
                <w:lang w:val="en-US" w:eastAsia="en-US"/>
              </w:rPr>
              <w:t>背景颜色</w:t>
            </w:r>
          </w:p>
        </w:tc>
        <w:tc>
          <w:tcPr>
            <w:tcW w:w="1004" w:type="dxa"/>
            <w:gridSpan w:val="2"/>
            <w:vAlign w:val="center"/>
          </w:tcPr>
          <w:p w14:paraId="053BCEC8">
            <w:pPr>
              <w:pStyle w:val="98"/>
              <w:keepNext w:val="0"/>
              <w:keepLines w:val="0"/>
              <w:pageBreakBefore w:val="0"/>
              <w:kinsoku/>
              <w:wordWrap/>
              <w:overflowPunct/>
              <w:topLinePunct w:val="0"/>
              <w:bidi w:val="0"/>
              <w:adjustRightInd/>
              <w:snapToGrid/>
              <w:ind w:left="0" w:right="0"/>
              <w:textAlignment w:val="auto"/>
              <w:rPr>
                <w:rFonts w:eastAsia="宋体"/>
                <w:b/>
                <w:color w:val="auto"/>
                <w:sz w:val="21"/>
                <w:szCs w:val="21"/>
                <w:highlight w:val="none"/>
                <w:lang w:eastAsia="en-US"/>
              </w:rPr>
            </w:pPr>
            <w:r>
              <w:rPr>
                <w:rFonts w:eastAsia="宋体"/>
                <w:b/>
                <w:color w:val="auto"/>
                <w:sz w:val="21"/>
                <w:szCs w:val="21"/>
                <w:highlight w:val="none"/>
                <w:lang w:val="en-US" w:eastAsia="en-US"/>
              </w:rPr>
              <w:t>图形颜色</w:t>
            </w:r>
          </w:p>
        </w:tc>
      </w:tr>
      <w:tr w14:paraId="4E89750E">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0" w:type="dxa"/>
            <w:bottom w:w="0" w:type="dxa"/>
            <w:right w:w="0" w:type="dxa"/>
          </w:tblCellMar>
        </w:tblPrEx>
        <w:trPr>
          <w:trHeight w:val="340" w:hRule="atLeast"/>
          <w:jc w:val="center"/>
        </w:trPr>
        <w:tc>
          <w:tcPr>
            <w:tcW w:w="1843" w:type="dxa"/>
            <w:vAlign w:val="center"/>
          </w:tcPr>
          <w:p w14:paraId="14A7BFE8">
            <w:pPr>
              <w:pStyle w:val="98"/>
              <w:keepNext w:val="0"/>
              <w:keepLines w:val="0"/>
              <w:pageBreakBefore w:val="0"/>
              <w:kinsoku/>
              <w:wordWrap/>
              <w:overflowPunct/>
              <w:topLinePunct w:val="0"/>
              <w:bidi w:val="0"/>
              <w:adjustRightInd/>
              <w:snapToGrid/>
              <w:ind w:left="0" w:right="0"/>
              <w:textAlignment w:val="auto"/>
              <w:rPr>
                <w:rFonts w:eastAsia="宋体"/>
                <w:color w:val="auto"/>
                <w:sz w:val="21"/>
                <w:szCs w:val="21"/>
                <w:highlight w:val="none"/>
                <w:lang w:eastAsia="en-US"/>
              </w:rPr>
            </w:pPr>
            <w:r>
              <w:rPr>
                <w:rFonts w:eastAsia="宋体"/>
                <w:color w:val="auto"/>
                <w:sz w:val="21"/>
                <w:szCs w:val="21"/>
                <w:highlight w:val="none"/>
              </w:rPr>
              <w:t>废气排放口</w:t>
            </w:r>
          </w:p>
        </w:tc>
        <w:tc>
          <w:tcPr>
            <w:tcW w:w="1701" w:type="dxa"/>
            <w:vAlign w:val="center"/>
          </w:tcPr>
          <w:p w14:paraId="090BBA49">
            <w:pPr>
              <w:pStyle w:val="98"/>
              <w:keepNext w:val="0"/>
              <w:keepLines w:val="0"/>
              <w:pageBreakBefore w:val="0"/>
              <w:kinsoku/>
              <w:wordWrap/>
              <w:overflowPunct/>
              <w:topLinePunct w:val="0"/>
              <w:bidi w:val="0"/>
              <w:adjustRightInd/>
              <w:snapToGrid/>
              <w:ind w:left="0" w:right="0"/>
              <w:textAlignment w:val="auto"/>
              <w:rPr>
                <w:rFonts w:eastAsia="宋体"/>
                <w:color w:val="auto"/>
                <w:sz w:val="21"/>
                <w:szCs w:val="21"/>
                <w:highlight w:val="none"/>
                <w:lang w:val="en-US"/>
              </w:rPr>
            </w:pPr>
            <w:r>
              <w:rPr>
                <w:rFonts w:hint="eastAsia" w:eastAsia="宋体"/>
                <w:color w:val="auto"/>
                <w:sz w:val="21"/>
                <w:szCs w:val="21"/>
                <w:highlight w:val="none"/>
                <w:lang w:val="en-US"/>
              </w:rPr>
              <w:t>DA005~DA006</w:t>
            </w:r>
          </w:p>
        </w:tc>
        <w:tc>
          <w:tcPr>
            <w:tcW w:w="1701" w:type="dxa"/>
            <w:vAlign w:val="center"/>
          </w:tcPr>
          <w:p w14:paraId="7671864E">
            <w:pPr>
              <w:pStyle w:val="98"/>
              <w:keepNext w:val="0"/>
              <w:keepLines w:val="0"/>
              <w:pageBreakBefore w:val="0"/>
              <w:kinsoku/>
              <w:wordWrap/>
              <w:overflowPunct/>
              <w:topLinePunct w:val="0"/>
              <w:bidi w:val="0"/>
              <w:adjustRightInd/>
              <w:snapToGrid/>
              <w:ind w:left="0" w:right="0"/>
              <w:textAlignment w:val="auto"/>
              <w:rPr>
                <w:rFonts w:eastAsia="宋体"/>
                <w:color w:val="auto"/>
                <w:sz w:val="21"/>
                <w:szCs w:val="21"/>
                <w:highlight w:val="none"/>
                <w:lang w:eastAsia="en-US"/>
              </w:rPr>
            </w:pPr>
            <w:r>
              <w:rPr>
                <w:rFonts w:eastAsia="宋体"/>
                <w:color w:val="auto"/>
                <w:sz w:val="21"/>
                <w:szCs w:val="21"/>
                <w:highlight w:val="none"/>
                <w:lang w:val="en-US" w:eastAsia="en-US"/>
              </w:rPr>
              <w:t>提示标志</w:t>
            </w:r>
          </w:p>
        </w:tc>
        <w:tc>
          <w:tcPr>
            <w:tcW w:w="1089" w:type="dxa"/>
            <w:vAlign w:val="center"/>
          </w:tcPr>
          <w:p w14:paraId="497437D5">
            <w:pPr>
              <w:pStyle w:val="98"/>
              <w:keepNext w:val="0"/>
              <w:keepLines w:val="0"/>
              <w:pageBreakBefore w:val="0"/>
              <w:kinsoku/>
              <w:wordWrap/>
              <w:overflowPunct/>
              <w:topLinePunct w:val="0"/>
              <w:bidi w:val="0"/>
              <w:adjustRightInd/>
              <w:snapToGrid/>
              <w:ind w:left="0" w:right="0"/>
              <w:textAlignment w:val="auto"/>
              <w:rPr>
                <w:rFonts w:eastAsia="宋体"/>
                <w:color w:val="auto"/>
                <w:sz w:val="21"/>
                <w:szCs w:val="21"/>
                <w:highlight w:val="none"/>
                <w:lang w:eastAsia="en-US"/>
              </w:rPr>
            </w:pPr>
            <w:r>
              <w:rPr>
                <w:rFonts w:eastAsia="宋体"/>
                <w:color w:val="auto"/>
                <w:sz w:val="21"/>
                <w:szCs w:val="21"/>
                <w:highlight w:val="none"/>
                <w:lang w:val="en-US" w:eastAsia="en-US"/>
              </w:rPr>
              <w:t>正方形边框</w:t>
            </w:r>
          </w:p>
        </w:tc>
        <w:tc>
          <w:tcPr>
            <w:tcW w:w="1166" w:type="dxa"/>
            <w:gridSpan w:val="2"/>
            <w:vAlign w:val="center"/>
          </w:tcPr>
          <w:p w14:paraId="583F1F9E">
            <w:pPr>
              <w:pStyle w:val="98"/>
              <w:keepNext w:val="0"/>
              <w:keepLines w:val="0"/>
              <w:pageBreakBefore w:val="0"/>
              <w:kinsoku/>
              <w:wordWrap/>
              <w:overflowPunct/>
              <w:topLinePunct w:val="0"/>
              <w:bidi w:val="0"/>
              <w:adjustRightInd/>
              <w:snapToGrid/>
              <w:ind w:left="0" w:right="0"/>
              <w:textAlignment w:val="auto"/>
              <w:rPr>
                <w:rFonts w:eastAsia="宋体"/>
                <w:color w:val="auto"/>
                <w:sz w:val="21"/>
                <w:szCs w:val="21"/>
                <w:highlight w:val="none"/>
                <w:lang w:eastAsia="en-US"/>
              </w:rPr>
            </w:pPr>
            <w:r>
              <w:rPr>
                <w:rFonts w:eastAsia="宋体"/>
                <w:color w:val="auto"/>
                <w:sz w:val="21"/>
                <w:szCs w:val="21"/>
                <w:highlight w:val="none"/>
                <w:lang w:val="en-US" w:eastAsia="en-US"/>
              </w:rPr>
              <w:t>绿色</w:t>
            </w:r>
          </w:p>
        </w:tc>
        <w:tc>
          <w:tcPr>
            <w:tcW w:w="1004" w:type="dxa"/>
            <w:gridSpan w:val="2"/>
            <w:vAlign w:val="center"/>
          </w:tcPr>
          <w:p w14:paraId="11902975">
            <w:pPr>
              <w:pStyle w:val="98"/>
              <w:keepNext w:val="0"/>
              <w:keepLines w:val="0"/>
              <w:pageBreakBefore w:val="0"/>
              <w:kinsoku/>
              <w:wordWrap/>
              <w:overflowPunct/>
              <w:topLinePunct w:val="0"/>
              <w:bidi w:val="0"/>
              <w:adjustRightInd/>
              <w:snapToGrid/>
              <w:ind w:left="0" w:right="0"/>
              <w:textAlignment w:val="auto"/>
              <w:rPr>
                <w:rFonts w:eastAsia="宋体"/>
                <w:color w:val="auto"/>
                <w:sz w:val="21"/>
                <w:szCs w:val="21"/>
                <w:highlight w:val="none"/>
                <w:lang w:eastAsia="en-US"/>
              </w:rPr>
            </w:pPr>
            <w:r>
              <w:rPr>
                <w:rFonts w:eastAsia="宋体"/>
                <w:color w:val="auto"/>
                <w:sz w:val="21"/>
                <w:szCs w:val="21"/>
                <w:highlight w:val="none"/>
                <w:lang w:val="en-US" w:eastAsia="en-US"/>
              </w:rPr>
              <w:t>白色</w:t>
            </w:r>
          </w:p>
        </w:tc>
      </w:tr>
      <w:tr w14:paraId="35E4C498">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0" w:type="dxa"/>
            <w:bottom w:w="0" w:type="dxa"/>
            <w:right w:w="0" w:type="dxa"/>
          </w:tblCellMar>
        </w:tblPrEx>
        <w:trPr>
          <w:trHeight w:val="340" w:hRule="atLeast"/>
          <w:jc w:val="center"/>
        </w:trPr>
        <w:tc>
          <w:tcPr>
            <w:tcW w:w="1843" w:type="dxa"/>
            <w:vAlign w:val="center"/>
          </w:tcPr>
          <w:p w14:paraId="033B6B71">
            <w:pPr>
              <w:pStyle w:val="98"/>
              <w:keepNext w:val="0"/>
              <w:keepLines w:val="0"/>
              <w:pageBreakBefore w:val="0"/>
              <w:kinsoku/>
              <w:wordWrap/>
              <w:overflowPunct/>
              <w:topLinePunct w:val="0"/>
              <w:bidi w:val="0"/>
              <w:adjustRightInd/>
              <w:snapToGrid/>
              <w:ind w:left="0" w:right="0"/>
              <w:textAlignment w:val="auto"/>
              <w:rPr>
                <w:rFonts w:eastAsia="宋体"/>
                <w:color w:val="auto"/>
                <w:sz w:val="21"/>
                <w:szCs w:val="21"/>
                <w:highlight w:val="none"/>
                <w:lang w:eastAsia="en-US"/>
              </w:rPr>
            </w:pPr>
            <w:r>
              <w:rPr>
                <w:rFonts w:eastAsia="宋体"/>
                <w:color w:val="auto"/>
                <w:sz w:val="21"/>
                <w:szCs w:val="21"/>
                <w:highlight w:val="none"/>
                <w:lang w:val="en-US" w:eastAsia="en-US"/>
              </w:rPr>
              <w:t>雨水排放口</w:t>
            </w:r>
          </w:p>
        </w:tc>
        <w:tc>
          <w:tcPr>
            <w:tcW w:w="1701" w:type="dxa"/>
            <w:vAlign w:val="center"/>
          </w:tcPr>
          <w:p w14:paraId="265A7846">
            <w:pPr>
              <w:pStyle w:val="98"/>
              <w:keepNext w:val="0"/>
              <w:keepLines w:val="0"/>
              <w:pageBreakBefore w:val="0"/>
              <w:kinsoku/>
              <w:wordWrap/>
              <w:overflowPunct/>
              <w:topLinePunct w:val="0"/>
              <w:bidi w:val="0"/>
              <w:adjustRightInd/>
              <w:snapToGrid/>
              <w:ind w:left="0" w:right="0"/>
              <w:textAlignment w:val="auto"/>
              <w:rPr>
                <w:rFonts w:eastAsia="宋体"/>
                <w:color w:val="auto"/>
                <w:sz w:val="21"/>
                <w:szCs w:val="21"/>
                <w:highlight w:val="none"/>
              </w:rPr>
            </w:pPr>
            <w:r>
              <w:rPr>
                <w:rFonts w:eastAsia="宋体"/>
                <w:color w:val="auto"/>
                <w:sz w:val="21"/>
                <w:szCs w:val="21"/>
                <w:highlight w:val="none"/>
                <w:lang w:eastAsia="en-US"/>
              </w:rPr>
              <w:t>YS0</w:t>
            </w:r>
            <w:r>
              <w:rPr>
                <w:rFonts w:eastAsia="宋体"/>
                <w:color w:val="auto"/>
                <w:sz w:val="21"/>
                <w:szCs w:val="21"/>
                <w:highlight w:val="none"/>
              </w:rPr>
              <w:t>0</w:t>
            </w:r>
            <w:r>
              <w:rPr>
                <w:rFonts w:eastAsia="宋体"/>
                <w:color w:val="auto"/>
                <w:sz w:val="21"/>
                <w:szCs w:val="21"/>
                <w:highlight w:val="none"/>
                <w:lang w:eastAsia="en-US"/>
              </w:rPr>
              <w:t>1</w:t>
            </w:r>
          </w:p>
        </w:tc>
        <w:tc>
          <w:tcPr>
            <w:tcW w:w="1701" w:type="dxa"/>
            <w:vAlign w:val="center"/>
          </w:tcPr>
          <w:p w14:paraId="20BD58D9">
            <w:pPr>
              <w:pStyle w:val="98"/>
              <w:keepNext w:val="0"/>
              <w:keepLines w:val="0"/>
              <w:pageBreakBefore w:val="0"/>
              <w:kinsoku/>
              <w:wordWrap/>
              <w:overflowPunct/>
              <w:topLinePunct w:val="0"/>
              <w:bidi w:val="0"/>
              <w:adjustRightInd/>
              <w:snapToGrid/>
              <w:ind w:left="0" w:right="0"/>
              <w:textAlignment w:val="auto"/>
              <w:rPr>
                <w:rFonts w:eastAsia="宋体"/>
                <w:color w:val="auto"/>
                <w:sz w:val="21"/>
                <w:szCs w:val="21"/>
                <w:highlight w:val="none"/>
                <w:lang w:eastAsia="en-US"/>
              </w:rPr>
            </w:pPr>
            <w:r>
              <w:rPr>
                <w:rFonts w:eastAsia="宋体"/>
                <w:color w:val="auto"/>
                <w:sz w:val="21"/>
                <w:szCs w:val="21"/>
                <w:highlight w:val="none"/>
                <w:lang w:val="en-US" w:eastAsia="en-US"/>
              </w:rPr>
              <w:t>提示标志</w:t>
            </w:r>
          </w:p>
        </w:tc>
        <w:tc>
          <w:tcPr>
            <w:tcW w:w="1089" w:type="dxa"/>
            <w:vAlign w:val="center"/>
          </w:tcPr>
          <w:p w14:paraId="4CC23D44">
            <w:pPr>
              <w:pStyle w:val="98"/>
              <w:keepNext w:val="0"/>
              <w:keepLines w:val="0"/>
              <w:pageBreakBefore w:val="0"/>
              <w:kinsoku/>
              <w:wordWrap/>
              <w:overflowPunct/>
              <w:topLinePunct w:val="0"/>
              <w:bidi w:val="0"/>
              <w:adjustRightInd/>
              <w:snapToGrid/>
              <w:ind w:left="0" w:right="0"/>
              <w:textAlignment w:val="auto"/>
              <w:rPr>
                <w:rFonts w:eastAsia="宋体"/>
                <w:color w:val="auto"/>
                <w:sz w:val="21"/>
                <w:szCs w:val="21"/>
                <w:highlight w:val="none"/>
                <w:lang w:eastAsia="en-US"/>
              </w:rPr>
            </w:pPr>
            <w:r>
              <w:rPr>
                <w:rFonts w:eastAsia="宋体"/>
                <w:color w:val="auto"/>
                <w:sz w:val="21"/>
                <w:szCs w:val="21"/>
                <w:highlight w:val="none"/>
                <w:lang w:val="en-US" w:eastAsia="en-US"/>
              </w:rPr>
              <w:t>正方形边框</w:t>
            </w:r>
          </w:p>
        </w:tc>
        <w:tc>
          <w:tcPr>
            <w:tcW w:w="1166" w:type="dxa"/>
            <w:gridSpan w:val="2"/>
            <w:vAlign w:val="center"/>
          </w:tcPr>
          <w:p w14:paraId="0F0636C7">
            <w:pPr>
              <w:pStyle w:val="98"/>
              <w:keepNext w:val="0"/>
              <w:keepLines w:val="0"/>
              <w:pageBreakBefore w:val="0"/>
              <w:kinsoku/>
              <w:wordWrap/>
              <w:overflowPunct/>
              <w:topLinePunct w:val="0"/>
              <w:bidi w:val="0"/>
              <w:adjustRightInd/>
              <w:snapToGrid/>
              <w:ind w:left="0" w:right="0"/>
              <w:textAlignment w:val="auto"/>
              <w:rPr>
                <w:rFonts w:eastAsia="宋体"/>
                <w:color w:val="auto"/>
                <w:sz w:val="21"/>
                <w:szCs w:val="21"/>
                <w:highlight w:val="none"/>
                <w:lang w:eastAsia="en-US"/>
              </w:rPr>
            </w:pPr>
            <w:r>
              <w:rPr>
                <w:rFonts w:eastAsia="宋体"/>
                <w:color w:val="auto"/>
                <w:sz w:val="21"/>
                <w:szCs w:val="21"/>
                <w:highlight w:val="none"/>
                <w:lang w:val="en-US" w:eastAsia="en-US"/>
              </w:rPr>
              <w:t>绿色</w:t>
            </w:r>
          </w:p>
        </w:tc>
        <w:tc>
          <w:tcPr>
            <w:tcW w:w="1004" w:type="dxa"/>
            <w:gridSpan w:val="2"/>
            <w:vAlign w:val="center"/>
          </w:tcPr>
          <w:p w14:paraId="5E5C47F7">
            <w:pPr>
              <w:pStyle w:val="98"/>
              <w:keepNext w:val="0"/>
              <w:keepLines w:val="0"/>
              <w:pageBreakBefore w:val="0"/>
              <w:kinsoku/>
              <w:wordWrap/>
              <w:overflowPunct/>
              <w:topLinePunct w:val="0"/>
              <w:bidi w:val="0"/>
              <w:adjustRightInd/>
              <w:snapToGrid/>
              <w:ind w:left="0" w:right="0"/>
              <w:textAlignment w:val="auto"/>
              <w:rPr>
                <w:rFonts w:eastAsia="宋体"/>
                <w:color w:val="auto"/>
                <w:sz w:val="21"/>
                <w:szCs w:val="21"/>
                <w:highlight w:val="none"/>
                <w:lang w:eastAsia="en-US"/>
              </w:rPr>
            </w:pPr>
            <w:r>
              <w:rPr>
                <w:rFonts w:eastAsia="宋体"/>
                <w:color w:val="auto"/>
                <w:sz w:val="21"/>
                <w:szCs w:val="21"/>
                <w:highlight w:val="none"/>
                <w:lang w:val="en-US" w:eastAsia="en-US"/>
              </w:rPr>
              <w:t>白色</w:t>
            </w:r>
          </w:p>
        </w:tc>
      </w:tr>
      <w:tr w14:paraId="3BC05F03">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0" w:type="dxa"/>
            <w:bottom w:w="0" w:type="dxa"/>
            <w:right w:w="0" w:type="dxa"/>
          </w:tblCellMar>
        </w:tblPrEx>
        <w:trPr>
          <w:trHeight w:val="340" w:hRule="atLeast"/>
          <w:jc w:val="center"/>
        </w:trPr>
        <w:tc>
          <w:tcPr>
            <w:tcW w:w="1843" w:type="dxa"/>
            <w:vAlign w:val="center"/>
          </w:tcPr>
          <w:p w14:paraId="4E96D2B8">
            <w:pPr>
              <w:pStyle w:val="98"/>
              <w:keepNext w:val="0"/>
              <w:keepLines w:val="0"/>
              <w:pageBreakBefore w:val="0"/>
              <w:kinsoku/>
              <w:wordWrap/>
              <w:overflowPunct/>
              <w:topLinePunct w:val="0"/>
              <w:bidi w:val="0"/>
              <w:adjustRightInd/>
              <w:snapToGrid/>
              <w:ind w:left="0" w:right="0"/>
              <w:textAlignment w:val="auto"/>
              <w:rPr>
                <w:rFonts w:eastAsia="宋体"/>
                <w:color w:val="auto"/>
                <w:sz w:val="21"/>
                <w:szCs w:val="21"/>
                <w:highlight w:val="none"/>
                <w:lang w:val="en-US" w:eastAsia="en-US"/>
              </w:rPr>
            </w:pPr>
            <w:r>
              <w:rPr>
                <w:rFonts w:eastAsia="宋体"/>
                <w:color w:val="auto"/>
                <w:sz w:val="21"/>
                <w:szCs w:val="21"/>
                <w:highlight w:val="none"/>
                <w:lang w:val="en-US"/>
              </w:rPr>
              <w:t>噪声排放源</w:t>
            </w:r>
          </w:p>
        </w:tc>
        <w:tc>
          <w:tcPr>
            <w:tcW w:w="1701" w:type="dxa"/>
            <w:vAlign w:val="center"/>
          </w:tcPr>
          <w:p w14:paraId="4385BAD8">
            <w:pPr>
              <w:pStyle w:val="98"/>
              <w:keepNext w:val="0"/>
              <w:keepLines w:val="0"/>
              <w:pageBreakBefore w:val="0"/>
              <w:kinsoku/>
              <w:wordWrap/>
              <w:overflowPunct/>
              <w:topLinePunct w:val="0"/>
              <w:bidi w:val="0"/>
              <w:adjustRightInd/>
              <w:snapToGrid/>
              <w:ind w:left="0" w:right="0"/>
              <w:textAlignment w:val="auto"/>
              <w:rPr>
                <w:rFonts w:eastAsia="宋体"/>
                <w:color w:val="auto"/>
                <w:sz w:val="21"/>
                <w:szCs w:val="21"/>
                <w:highlight w:val="none"/>
              </w:rPr>
            </w:pPr>
            <w:r>
              <w:rPr>
                <w:rFonts w:eastAsia="宋体"/>
                <w:color w:val="auto"/>
                <w:sz w:val="21"/>
                <w:szCs w:val="21"/>
                <w:highlight w:val="none"/>
              </w:rPr>
              <w:t>/</w:t>
            </w:r>
          </w:p>
        </w:tc>
        <w:tc>
          <w:tcPr>
            <w:tcW w:w="1701" w:type="dxa"/>
            <w:vAlign w:val="center"/>
          </w:tcPr>
          <w:p w14:paraId="2866B283">
            <w:pPr>
              <w:pStyle w:val="98"/>
              <w:keepNext w:val="0"/>
              <w:keepLines w:val="0"/>
              <w:pageBreakBefore w:val="0"/>
              <w:kinsoku/>
              <w:wordWrap/>
              <w:overflowPunct/>
              <w:topLinePunct w:val="0"/>
              <w:bidi w:val="0"/>
              <w:adjustRightInd/>
              <w:snapToGrid/>
              <w:ind w:left="0" w:right="0"/>
              <w:textAlignment w:val="auto"/>
              <w:rPr>
                <w:rFonts w:eastAsia="宋体"/>
                <w:color w:val="auto"/>
                <w:sz w:val="21"/>
                <w:szCs w:val="21"/>
                <w:highlight w:val="none"/>
                <w:lang w:val="en-US" w:eastAsia="en-US"/>
              </w:rPr>
            </w:pPr>
            <w:r>
              <w:rPr>
                <w:rFonts w:eastAsia="宋体"/>
                <w:color w:val="auto"/>
                <w:sz w:val="21"/>
                <w:szCs w:val="21"/>
                <w:highlight w:val="none"/>
                <w:lang w:val="en-US" w:eastAsia="en-US"/>
              </w:rPr>
              <w:t>提示标志</w:t>
            </w:r>
          </w:p>
        </w:tc>
        <w:tc>
          <w:tcPr>
            <w:tcW w:w="1089" w:type="dxa"/>
            <w:vAlign w:val="center"/>
          </w:tcPr>
          <w:p w14:paraId="27D32C56">
            <w:pPr>
              <w:pStyle w:val="98"/>
              <w:keepNext w:val="0"/>
              <w:keepLines w:val="0"/>
              <w:pageBreakBefore w:val="0"/>
              <w:kinsoku/>
              <w:wordWrap/>
              <w:overflowPunct/>
              <w:topLinePunct w:val="0"/>
              <w:bidi w:val="0"/>
              <w:adjustRightInd/>
              <w:snapToGrid/>
              <w:ind w:left="0" w:right="0"/>
              <w:textAlignment w:val="auto"/>
              <w:rPr>
                <w:rFonts w:eastAsia="宋体"/>
                <w:color w:val="auto"/>
                <w:sz w:val="21"/>
                <w:szCs w:val="21"/>
                <w:highlight w:val="none"/>
                <w:lang w:val="en-US" w:eastAsia="en-US"/>
              </w:rPr>
            </w:pPr>
            <w:r>
              <w:rPr>
                <w:rFonts w:eastAsia="宋体"/>
                <w:color w:val="auto"/>
                <w:sz w:val="21"/>
                <w:szCs w:val="21"/>
                <w:highlight w:val="none"/>
                <w:lang w:val="en-US" w:eastAsia="en-US"/>
              </w:rPr>
              <w:t>正方形边框</w:t>
            </w:r>
          </w:p>
        </w:tc>
        <w:tc>
          <w:tcPr>
            <w:tcW w:w="1166" w:type="dxa"/>
            <w:gridSpan w:val="2"/>
            <w:vAlign w:val="center"/>
          </w:tcPr>
          <w:p w14:paraId="0FF3951C">
            <w:pPr>
              <w:pStyle w:val="98"/>
              <w:keepNext w:val="0"/>
              <w:keepLines w:val="0"/>
              <w:pageBreakBefore w:val="0"/>
              <w:kinsoku/>
              <w:wordWrap/>
              <w:overflowPunct/>
              <w:topLinePunct w:val="0"/>
              <w:bidi w:val="0"/>
              <w:adjustRightInd/>
              <w:snapToGrid/>
              <w:ind w:left="0" w:right="0"/>
              <w:textAlignment w:val="auto"/>
              <w:rPr>
                <w:rFonts w:eastAsia="宋体"/>
                <w:color w:val="auto"/>
                <w:sz w:val="21"/>
                <w:szCs w:val="21"/>
                <w:highlight w:val="none"/>
                <w:lang w:val="en-US" w:eastAsia="en-US"/>
              </w:rPr>
            </w:pPr>
            <w:r>
              <w:rPr>
                <w:rFonts w:eastAsia="宋体"/>
                <w:color w:val="auto"/>
                <w:sz w:val="21"/>
                <w:szCs w:val="21"/>
                <w:highlight w:val="none"/>
                <w:lang w:val="en-US" w:eastAsia="en-US"/>
              </w:rPr>
              <w:t>绿色</w:t>
            </w:r>
          </w:p>
        </w:tc>
        <w:tc>
          <w:tcPr>
            <w:tcW w:w="1004" w:type="dxa"/>
            <w:gridSpan w:val="2"/>
            <w:vAlign w:val="center"/>
          </w:tcPr>
          <w:p w14:paraId="744CBDC8">
            <w:pPr>
              <w:pStyle w:val="98"/>
              <w:keepNext w:val="0"/>
              <w:keepLines w:val="0"/>
              <w:pageBreakBefore w:val="0"/>
              <w:kinsoku/>
              <w:wordWrap/>
              <w:overflowPunct/>
              <w:topLinePunct w:val="0"/>
              <w:bidi w:val="0"/>
              <w:adjustRightInd/>
              <w:snapToGrid/>
              <w:ind w:left="0" w:right="0"/>
              <w:textAlignment w:val="auto"/>
              <w:rPr>
                <w:rFonts w:eastAsia="宋体"/>
                <w:color w:val="auto"/>
                <w:sz w:val="21"/>
                <w:szCs w:val="21"/>
                <w:highlight w:val="none"/>
                <w:lang w:val="en-US" w:eastAsia="en-US"/>
              </w:rPr>
            </w:pPr>
            <w:r>
              <w:rPr>
                <w:rFonts w:eastAsia="宋体"/>
                <w:color w:val="auto"/>
                <w:sz w:val="21"/>
                <w:szCs w:val="21"/>
                <w:highlight w:val="none"/>
                <w:lang w:val="en-US" w:eastAsia="en-US"/>
              </w:rPr>
              <w:t>白色</w:t>
            </w:r>
          </w:p>
        </w:tc>
      </w:tr>
      <w:tr w14:paraId="3E060633">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0" w:type="dxa"/>
            <w:bottom w:w="0" w:type="dxa"/>
            <w:right w:w="0" w:type="dxa"/>
          </w:tblCellMar>
        </w:tblPrEx>
        <w:trPr>
          <w:trHeight w:val="340" w:hRule="atLeast"/>
          <w:jc w:val="center"/>
        </w:trPr>
        <w:tc>
          <w:tcPr>
            <w:tcW w:w="1843" w:type="dxa"/>
            <w:vAlign w:val="center"/>
          </w:tcPr>
          <w:p w14:paraId="657EC688">
            <w:pPr>
              <w:pStyle w:val="98"/>
              <w:keepNext w:val="0"/>
              <w:keepLines w:val="0"/>
              <w:pageBreakBefore w:val="0"/>
              <w:kinsoku/>
              <w:wordWrap/>
              <w:overflowPunct/>
              <w:topLinePunct w:val="0"/>
              <w:bidi w:val="0"/>
              <w:adjustRightInd/>
              <w:snapToGrid/>
              <w:ind w:left="0" w:right="0"/>
              <w:textAlignment w:val="auto"/>
              <w:rPr>
                <w:rFonts w:eastAsia="宋体"/>
                <w:color w:val="auto"/>
                <w:sz w:val="21"/>
                <w:szCs w:val="21"/>
                <w:highlight w:val="none"/>
                <w:lang w:eastAsia="en-US"/>
              </w:rPr>
            </w:pPr>
            <w:r>
              <w:rPr>
                <w:rFonts w:eastAsia="宋体"/>
                <w:color w:val="auto"/>
                <w:sz w:val="21"/>
                <w:szCs w:val="21"/>
                <w:highlight w:val="none"/>
                <w:lang w:val="en-US" w:eastAsia="en-US"/>
              </w:rPr>
              <w:t>一般固体废物</w:t>
            </w:r>
          </w:p>
        </w:tc>
        <w:tc>
          <w:tcPr>
            <w:tcW w:w="1701" w:type="dxa"/>
            <w:vAlign w:val="center"/>
          </w:tcPr>
          <w:p w14:paraId="4AD676B7">
            <w:pPr>
              <w:pStyle w:val="98"/>
              <w:keepNext w:val="0"/>
              <w:keepLines w:val="0"/>
              <w:pageBreakBefore w:val="0"/>
              <w:kinsoku/>
              <w:wordWrap/>
              <w:overflowPunct/>
              <w:topLinePunct w:val="0"/>
              <w:bidi w:val="0"/>
              <w:adjustRightInd/>
              <w:snapToGrid/>
              <w:ind w:left="0" w:right="0"/>
              <w:textAlignment w:val="auto"/>
              <w:rPr>
                <w:rFonts w:eastAsia="宋体"/>
                <w:color w:val="auto"/>
                <w:sz w:val="21"/>
                <w:szCs w:val="21"/>
                <w:highlight w:val="none"/>
              </w:rPr>
            </w:pPr>
            <w:r>
              <w:rPr>
                <w:rFonts w:eastAsia="宋体"/>
                <w:color w:val="auto"/>
                <w:sz w:val="21"/>
                <w:szCs w:val="21"/>
                <w:highlight w:val="none"/>
                <w:lang w:eastAsia="en-US"/>
              </w:rPr>
              <w:t>GF-0</w:t>
            </w:r>
            <w:r>
              <w:rPr>
                <w:rFonts w:eastAsia="宋体"/>
                <w:color w:val="auto"/>
                <w:sz w:val="21"/>
                <w:szCs w:val="21"/>
                <w:highlight w:val="none"/>
                <w:lang w:val="en-US"/>
              </w:rPr>
              <w:t>1</w:t>
            </w:r>
          </w:p>
        </w:tc>
        <w:tc>
          <w:tcPr>
            <w:tcW w:w="1701" w:type="dxa"/>
            <w:vAlign w:val="center"/>
          </w:tcPr>
          <w:p w14:paraId="3FF74E08">
            <w:pPr>
              <w:pStyle w:val="98"/>
              <w:keepNext w:val="0"/>
              <w:keepLines w:val="0"/>
              <w:pageBreakBefore w:val="0"/>
              <w:kinsoku/>
              <w:wordWrap/>
              <w:overflowPunct/>
              <w:topLinePunct w:val="0"/>
              <w:bidi w:val="0"/>
              <w:adjustRightInd/>
              <w:snapToGrid/>
              <w:ind w:left="0" w:right="0"/>
              <w:textAlignment w:val="auto"/>
              <w:rPr>
                <w:rFonts w:eastAsia="宋体"/>
                <w:color w:val="auto"/>
                <w:sz w:val="21"/>
                <w:szCs w:val="21"/>
                <w:highlight w:val="none"/>
                <w:lang w:eastAsia="en-US"/>
              </w:rPr>
            </w:pPr>
            <w:r>
              <w:rPr>
                <w:rFonts w:eastAsia="宋体"/>
                <w:color w:val="auto"/>
                <w:sz w:val="21"/>
                <w:szCs w:val="21"/>
                <w:highlight w:val="none"/>
                <w:lang w:val="en-US" w:eastAsia="en-US"/>
              </w:rPr>
              <w:t>提示标志</w:t>
            </w:r>
          </w:p>
        </w:tc>
        <w:tc>
          <w:tcPr>
            <w:tcW w:w="1089" w:type="dxa"/>
            <w:vAlign w:val="center"/>
          </w:tcPr>
          <w:p w14:paraId="7294CE6B">
            <w:pPr>
              <w:pStyle w:val="98"/>
              <w:keepNext w:val="0"/>
              <w:keepLines w:val="0"/>
              <w:pageBreakBefore w:val="0"/>
              <w:kinsoku/>
              <w:wordWrap/>
              <w:overflowPunct/>
              <w:topLinePunct w:val="0"/>
              <w:bidi w:val="0"/>
              <w:adjustRightInd/>
              <w:snapToGrid/>
              <w:ind w:left="0" w:right="0"/>
              <w:textAlignment w:val="auto"/>
              <w:rPr>
                <w:rFonts w:eastAsia="宋体"/>
                <w:color w:val="auto"/>
                <w:sz w:val="21"/>
                <w:szCs w:val="21"/>
                <w:highlight w:val="none"/>
                <w:lang w:eastAsia="en-US"/>
              </w:rPr>
            </w:pPr>
            <w:r>
              <w:rPr>
                <w:rFonts w:eastAsia="宋体"/>
                <w:color w:val="auto"/>
                <w:sz w:val="21"/>
                <w:szCs w:val="21"/>
                <w:highlight w:val="none"/>
                <w:lang w:val="en-US" w:eastAsia="en-US"/>
              </w:rPr>
              <w:t>正方形边框</w:t>
            </w:r>
          </w:p>
        </w:tc>
        <w:tc>
          <w:tcPr>
            <w:tcW w:w="1166" w:type="dxa"/>
            <w:gridSpan w:val="2"/>
            <w:vAlign w:val="center"/>
          </w:tcPr>
          <w:p w14:paraId="05BAD9B0">
            <w:pPr>
              <w:pStyle w:val="98"/>
              <w:keepNext w:val="0"/>
              <w:keepLines w:val="0"/>
              <w:pageBreakBefore w:val="0"/>
              <w:kinsoku/>
              <w:wordWrap/>
              <w:overflowPunct/>
              <w:topLinePunct w:val="0"/>
              <w:bidi w:val="0"/>
              <w:adjustRightInd/>
              <w:snapToGrid/>
              <w:ind w:left="0" w:right="0"/>
              <w:textAlignment w:val="auto"/>
              <w:rPr>
                <w:rFonts w:eastAsia="宋体"/>
                <w:color w:val="auto"/>
                <w:sz w:val="21"/>
                <w:szCs w:val="21"/>
                <w:highlight w:val="none"/>
                <w:lang w:eastAsia="en-US"/>
              </w:rPr>
            </w:pPr>
            <w:r>
              <w:rPr>
                <w:rFonts w:eastAsia="宋体"/>
                <w:color w:val="auto"/>
                <w:sz w:val="21"/>
                <w:szCs w:val="21"/>
                <w:highlight w:val="none"/>
                <w:lang w:val="en-US" w:eastAsia="en-US"/>
              </w:rPr>
              <w:t>绿色</w:t>
            </w:r>
          </w:p>
        </w:tc>
        <w:tc>
          <w:tcPr>
            <w:tcW w:w="1004" w:type="dxa"/>
            <w:gridSpan w:val="2"/>
            <w:vAlign w:val="center"/>
          </w:tcPr>
          <w:p w14:paraId="3B7C12EB">
            <w:pPr>
              <w:pStyle w:val="98"/>
              <w:keepNext w:val="0"/>
              <w:keepLines w:val="0"/>
              <w:pageBreakBefore w:val="0"/>
              <w:kinsoku/>
              <w:wordWrap/>
              <w:overflowPunct/>
              <w:topLinePunct w:val="0"/>
              <w:bidi w:val="0"/>
              <w:adjustRightInd/>
              <w:snapToGrid/>
              <w:ind w:left="0" w:right="0"/>
              <w:textAlignment w:val="auto"/>
              <w:rPr>
                <w:rFonts w:eastAsia="宋体"/>
                <w:color w:val="auto"/>
                <w:sz w:val="21"/>
                <w:szCs w:val="21"/>
                <w:highlight w:val="none"/>
                <w:lang w:eastAsia="en-US"/>
              </w:rPr>
            </w:pPr>
            <w:r>
              <w:rPr>
                <w:rFonts w:eastAsia="宋体"/>
                <w:color w:val="auto"/>
                <w:sz w:val="21"/>
                <w:szCs w:val="21"/>
                <w:highlight w:val="none"/>
                <w:lang w:val="en-US" w:eastAsia="en-US"/>
              </w:rPr>
              <w:t>白色</w:t>
            </w:r>
          </w:p>
        </w:tc>
      </w:tr>
      <w:tr w14:paraId="43C16E94">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0" w:type="dxa"/>
            <w:bottom w:w="0" w:type="dxa"/>
            <w:right w:w="0" w:type="dxa"/>
          </w:tblCellMar>
        </w:tblPrEx>
        <w:trPr>
          <w:trHeight w:val="340" w:hRule="atLeast"/>
          <w:jc w:val="center"/>
        </w:trPr>
        <w:tc>
          <w:tcPr>
            <w:tcW w:w="1843" w:type="dxa"/>
            <w:vAlign w:val="center"/>
          </w:tcPr>
          <w:p w14:paraId="066F7E6E">
            <w:pPr>
              <w:pStyle w:val="98"/>
              <w:keepNext w:val="0"/>
              <w:keepLines w:val="0"/>
              <w:pageBreakBefore w:val="0"/>
              <w:kinsoku/>
              <w:wordWrap/>
              <w:overflowPunct/>
              <w:topLinePunct w:val="0"/>
              <w:bidi w:val="0"/>
              <w:adjustRightInd/>
              <w:snapToGrid/>
              <w:ind w:left="0" w:right="0"/>
              <w:textAlignment w:val="auto"/>
              <w:rPr>
                <w:rFonts w:eastAsia="宋体"/>
                <w:color w:val="auto"/>
                <w:sz w:val="21"/>
                <w:szCs w:val="21"/>
                <w:highlight w:val="none"/>
                <w:lang w:val="en-US" w:eastAsia="en-US"/>
              </w:rPr>
            </w:pPr>
            <w:r>
              <w:rPr>
                <w:rFonts w:eastAsia="宋体"/>
                <w:color w:val="auto"/>
                <w:sz w:val="21"/>
                <w:szCs w:val="21"/>
                <w:highlight w:val="none"/>
                <w:lang w:val="en-US"/>
              </w:rPr>
              <w:t>危险废物贮存设施</w:t>
            </w:r>
          </w:p>
        </w:tc>
        <w:tc>
          <w:tcPr>
            <w:tcW w:w="1701" w:type="dxa"/>
            <w:vAlign w:val="center"/>
          </w:tcPr>
          <w:p w14:paraId="1C8620AF">
            <w:pPr>
              <w:pStyle w:val="98"/>
              <w:keepNext w:val="0"/>
              <w:keepLines w:val="0"/>
              <w:pageBreakBefore w:val="0"/>
              <w:kinsoku/>
              <w:wordWrap/>
              <w:overflowPunct/>
              <w:topLinePunct w:val="0"/>
              <w:bidi w:val="0"/>
              <w:adjustRightInd/>
              <w:snapToGrid/>
              <w:ind w:left="0" w:right="0"/>
              <w:textAlignment w:val="auto"/>
              <w:rPr>
                <w:rFonts w:eastAsia="宋体"/>
                <w:color w:val="auto"/>
                <w:sz w:val="21"/>
                <w:szCs w:val="21"/>
                <w:highlight w:val="none"/>
                <w:lang w:eastAsia="en-US"/>
              </w:rPr>
            </w:pPr>
            <w:r>
              <w:rPr>
                <w:rFonts w:eastAsia="宋体"/>
                <w:color w:val="auto"/>
                <w:sz w:val="21"/>
                <w:szCs w:val="21"/>
                <w:highlight w:val="none"/>
              </w:rPr>
              <w:t>第1-1号</w:t>
            </w:r>
            <w:r>
              <w:rPr>
                <w:rFonts w:hint="eastAsia" w:eastAsia="宋体"/>
                <w:color w:val="auto"/>
                <w:sz w:val="21"/>
                <w:szCs w:val="21"/>
                <w:highlight w:val="none"/>
              </w:rPr>
              <w:t>、第1</w:t>
            </w:r>
            <w:r>
              <w:rPr>
                <w:rFonts w:eastAsia="宋体"/>
                <w:color w:val="auto"/>
                <w:sz w:val="21"/>
                <w:szCs w:val="21"/>
                <w:highlight w:val="none"/>
              </w:rPr>
              <w:t>-2</w:t>
            </w:r>
            <w:r>
              <w:rPr>
                <w:rFonts w:hint="eastAsia" w:eastAsia="宋体"/>
                <w:color w:val="auto"/>
                <w:sz w:val="21"/>
                <w:szCs w:val="21"/>
                <w:highlight w:val="none"/>
              </w:rPr>
              <w:t>号</w:t>
            </w:r>
          </w:p>
        </w:tc>
        <w:tc>
          <w:tcPr>
            <w:tcW w:w="1701" w:type="dxa"/>
            <w:vAlign w:val="center"/>
          </w:tcPr>
          <w:p w14:paraId="15EB2E5F">
            <w:pPr>
              <w:pStyle w:val="98"/>
              <w:keepNext w:val="0"/>
              <w:keepLines w:val="0"/>
              <w:pageBreakBefore w:val="0"/>
              <w:kinsoku/>
              <w:wordWrap/>
              <w:overflowPunct/>
              <w:topLinePunct w:val="0"/>
              <w:bidi w:val="0"/>
              <w:adjustRightInd/>
              <w:snapToGrid/>
              <w:ind w:left="0" w:right="0"/>
              <w:textAlignment w:val="auto"/>
              <w:rPr>
                <w:rFonts w:eastAsia="宋体"/>
                <w:color w:val="auto"/>
                <w:sz w:val="21"/>
                <w:szCs w:val="21"/>
                <w:highlight w:val="none"/>
                <w:lang w:val="en-US" w:eastAsia="en-US"/>
              </w:rPr>
            </w:pPr>
            <w:r>
              <w:rPr>
                <w:rFonts w:eastAsia="宋体"/>
                <w:color w:val="auto"/>
                <w:sz w:val="21"/>
                <w:szCs w:val="21"/>
                <w:highlight w:val="none"/>
                <w:lang w:val="en-US" w:eastAsia="en-US"/>
              </w:rPr>
              <w:t>提示标志</w:t>
            </w:r>
          </w:p>
        </w:tc>
        <w:tc>
          <w:tcPr>
            <w:tcW w:w="1089" w:type="dxa"/>
            <w:vAlign w:val="center"/>
          </w:tcPr>
          <w:p w14:paraId="32DA61FD">
            <w:pPr>
              <w:pStyle w:val="98"/>
              <w:keepNext w:val="0"/>
              <w:keepLines w:val="0"/>
              <w:pageBreakBefore w:val="0"/>
              <w:kinsoku/>
              <w:wordWrap/>
              <w:overflowPunct/>
              <w:topLinePunct w:val="0"/>
              <w:bidi w:val="0"/>
              <w:adjustRightInd/>
              <w:snapToGrid/>
              <w:ind w:left="0" w:right="0"/>
              <w:textAlignment w:val="auto"/>
              <w:rPr>
                <w:rFonts w:eastAsia="宋体"/>
                <w:color w:val="auto"/>
                <w:sz w:val="21"/>
                <w:szCs w:val="21"/>
                <w:highlight w:val="none"/>
                <w:lang w:val="en-US" w:eastAsia="en-US"/>
              </w:rPr>
            </w:pPr>
            <w:r>
              <w:rPr>
                <w:rFonts w:eastAsia="宋体"/>
                <w:color w:val="auto"/>
                <w:sz w:val="21"/>
                <w:szCs w:val="21"/>
                <w:highlight w:val="none"/>
                <w:lang w:val="en-US"/>
              </w:rPr>
              <w:t>长方形边框</w:t>
            </w:r>
          </w:p>
        </w:tc>
        <w:tc>
          <w:tcPr>
            <w:tcW w:w="1166" w:type="dxa"/>
            <w:gridSpan w:val="2"/>
            <w:vAlign w:val="center"/>
          </w:tcPr>
          <w:p w14:paraId="6ABCFA11">
            <w:pPr>
              <w:pStyle w:val="98"/>
              <w:keepNext w:val="0"/>
              <w:keepLines w:val="0"/>
              <w:pageBreakBefore w:val="0"/>
              <w:kinsoku/>
              <w:wordWrap/>
              <w:overflowPunct/>
              <w:topLinePunct w:val="0"/>
              <w:bidi w:val="0"/>
              <w:adjustRightInd/>
              <w:snapToGrid/>
              <w:ind w:left="0" w:right="0"/>
              <w:textAlignment w:val="auto"/>
              <w:rPr>
                <w:rFonts w:eastAsia="宋体"/>
                <w:color w:val="auto"/>
                <w:sz w:val="21"/>
                <w:szCs w:val="21"/>
                <w:highlight w:val="none"/>
                <w:lang w:val="en-US" w:eastAsia="en-US"/>
              </w:rPr>
            </w:pPr>
            <w:r>
              <w:rPr>
                <w:rFonts w:eastAsia="宋体"/>
                <w:color w:val="auto"/>
                <w:sz w:val="21"/>
                <w:szCs w:val="21"/>
                <w:highlight w:val="none"/>
                <w:lang w:val="en-US"/>
              </w:rPr>
              <w:t>黄色</w:t>
            </w:r>
          </w:p>
        </w:tc>
        <w:tc>
          <w:tcPr>
            <w:tcW w:w="1004" w:type="dxa"/>
            <w:gridSpan w:val="2"/>
            <w:vAlign w:val="center"/>
          </w:tcPr>
          <w:p w14:paraId="72E7A462">
            <w:pPr>
              <w:pStyle w:val="98"/>
              <w:keepNext w:val="0"/>
              <w:keepLines w:val="0"/>
              <w:pageBreakBefore w:val="0"/>
              <w:kinsoku/>
              <w:wordWrap/>
              <w:overflowPunct/>
              <w:topLinePunct w:val="0"/>
              <w:bidi w:val="0"/>
              <w:adjustRightInd/>
              <w:snapToGrid/>
              <w:ind w:left="0" w:right="0"/>
              <w:textAlignment w:val="auto"/>
              <w:rPr>
                <w:rFonts w:eastAsia="宋体"/>
                <w:color w:val="auto"/>
                <w:sz w:val="21"/>
                <w:szCs w:val="21"/>
                <w:highlight w:val="none"/>
                <w:lang w:val="en-US" w:eastAsia="en-US"/>
              </w:rPr>
            </w:pPr>
            <w:r>
              <w:rPr>
                <w:rFonts w:eastAsia="宋体"/>
                <w:color w:val="auto"/>
                <w:sz w:val="21"/>
                <w:szCs w:val="21"/>
                <w:highlight w:val="none"/>
                <w:lang w:val="en-US"/>
              </w:rPr>
              <w:t>黑色</w:t>
            </w:r>
          </w:p>
        </w:tc>
      </w:tr>
      <w:tr w14:paraId="1E901FB5">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0" w:type="dxa"/>
            <w:bottom w:w="0" w:type="dxa"/>
            <w:right w:w="0" w:type="dxa"/>
          </w:tblCellMar>
        </w:tblPrEx>
        <w:trPr>
          <w:trHeight w:val="340" w:hRule="atLeast"/>
          <w:jc w:val="center"/>
        </w:trPr>
        <w:tc>
          <w:tcPr>
            <w:tcW w:w="1843" w:type="dxa"/>
            <w:vAlign w:val="center"/>
          </w:tcPr>
          <w:p w14:paraId="173A8F1A">
            <w:pPr>
              <w:pStyle w:val="98"/>
              <w:keepNext w:val="0"/>
              <w:keepLines w:val="0"/>
              <w:pageBreakBefore w:val="0"/>
              <w:kinsoku/>
              <w:wordWrap/>
              <w:overflowPunct/>
              <w:topLinePunct w:val="0"/>
              <w:bidi w:val="0"/>
              <w:adjustRightInd/>
              <w:snapToGrid/>
              <w:ind w:left="0" w:right="0"/>
              <w:textAlignment w:val="auto"/>
              <w:rPr>
                <w:rFonts w:eastAsia="宋体"/>
                <w:color w:val="auto"/>
                <w:sz w:val="21"/>
                <w:szCs w:val="21"/>
                <w:highlight w:val="none"/>
                <w:lang w:val="en-US"/>
              </w:rPr>
            </w:pPr>
            <w:r>
              <w:rPr>
                <w:rFonts w:eastAsia="宋体"/>
                <w:color w:val="auto"/>
                <w:sz w:val="21"/>
                <w:szCs w:val="21"/>
                <w:highlight w:val="none"/>
                <w:lang w:val="en-US"/>
              </w:rPr>
              <w:t>危险废物产生单位信息公开</w:t>
            </w:r>
          </w:p>
        </w:tc>
        <w:tc>
          <w:tcPr>
            <w:tcW w:w="1701" w:type="dxa"/>
            <w:vAlign w:val="center"/>
          </w:tcPr>
          <w:p w14:paraId="574FC672">
            <w:pPr>
              <w:pStyle w:val="98"/>
              <w:keepNext w:val="0"/>
              <w:keepLines w:val="0"/>
              <w:pageBreakBefore w:val="0"/>
              <w:kinsoku/>
              <w:wordWrap/>
              <w:overflowPunct/>
              <w:topLinePunct w:val="0"/>
              <w:bidi w:val="0"/>
              <w:adjustRightInd/>
              <w:snapToGrid/>
              <w:ind w:left="0" w:right="0"/>
              <w:textAlignment w:val="auto"/>
              <w:rPr>
                <w:rFonts w:eastAsia="宋体"/>
                <w:color w:val="auto"/>
                <w:sz w:val="21"/>
                <w:szCs w:val="21"/>
                <w:highlight w:val="none"/>
              </w:rPr>
            </w:pPr>
            <w:r>
              <w:rPr>
                <w:rFonts w:eastAsia="宋体"/>
                <w:color w:val="auto"/>
                <w:sz w:val="21"/>
                <w:szCs w:val="21"/>
                <w:highlight w:val="none"/>
              </w:rPr>
              <w:t>/</w:t>
            </w:r>
          </w:p>
        </w:tc>
        <w:tc>
          <w:tcPr>
            <w:tcW w:w="1701" w:type="dxa"/>
            <w:vAlign w:val="center"/>
          </w:tcPr>
          <w:p w14:paraId="03C48518">
            <w:pPr>
              <w:pStyle w:val="98"/>
              <w:keepNext w:val="0"/>
              <w:keepLines w:val="0"/>
              <w:pageBreakBefore w:val="0"/>
              <w:kinsoku/>
              <w:wordWrap/>
              <w:overflowPunct/>
              <w:topLinePunct w:val="0"/>
              <w:bidi w:val="0"/>
              <w:adjustRightInd/>
              <w:snapToGrid/>
              <w:ind w:left="0" w:right="0"/>
              <w:textAlignment w:val="auto"/>
              <w:rPr>
                <w:rFonts w:eastAsia="宋体"/>
                <w:color w:val="auto"/>
                <w:sz w:val="21"/>
                <w:szCs w:val="21"/>
                <w:highlight w:val="none"/>
                <w:lang w:val="en-US"/>
              </w:rPr>
            </w:pPr>
            <w:r>
              <w:rPr>
                <w:rFonts w:eastAsia="宋体"/>
                <w:color w:val="auto"/>
                <w:sz w:val="21"/>
                <w:szCs w:val="21"/>
                <w:highlight w:val="none"/>
                <w:lang w:val="en-US"/>
              </w:rPr>
              <w:t>公开标志</w:t>
            </w:r>
          </w:p>
        </w:tc>
        <w:tc>
          <w:tcPr>
            <w:tcW w:w="1089" w:type="dxa"/>
            <w:vAlign w:val="center"/>
          </w:tcPr>
          <w:p w14:paraId="0930A86B">
            <w:pPr>
              <w:pStyle w:val="98"/>
              <w:keepNext w:val="0"/>
              <w:keepLines w:val="0"/>
              <w:pageBreakBefore w:val="0"/>
              <w:kinsoku/>
              <w:wordWrap/>
              <w:overflowPunct/>
              <w:topLinePunct w:val="0"/>
              <w:bidi w:val="0"/>
              <w:adjustRightInd/>
              <w:snapToGrid/>
              <w:ind w:left="0" w:right="0"/>
              <w:textAlignment w:val="auto"/>
              <w:rPr>
                <w:rFonts w:eastAsia="宋体"/>
                <w:color w:val="auto"/>
                <w:sz w:val="21"/>
                <w:szCs w:val="21"/>
                <w:highlight w:val="none"/>
                <w:lang w:val="en-US"/>
              </w:rPr>
            </w:pPr>
            <w:r>
              <w:rPr>
                <w:rFonts w:eastAsia="宋体"/>
                <w:color w:val="auto"/>
                <w:sz w:val="21"/>
                <w:szCs w:val="21"/>
                <w:highlight w:val="none"/>
                <w:lang w:val="en-US"/>
              </w:rPr>
              <w:t>长方形边框</w:t>
            </w:r>
          </w:p>
        </w:tc>
        <w:tc>
          <w:tcPr>
            <w:tcW w:w="1166" w:type="dxa"/>
            <w:gridSpan w:val="2"/>
            <w:vAlign w:val="center"/>
          </w:tcPr>
          <w:p w14:paraId="700AF810">
            <w:pPr>
              <w:pStyle w:val="98"/>
              <w:keepNext w:val="0"/>
              <w:keepLines w:val="0"/>
              <w:pageBreakBefore w:val="0"/>
              <w:kinsoku/>
              <w:wordWrap/>
              <w:overflowPunct/>
              <w:topLinePunct w:val="0"/>
              <w:bidi w:val="0"/>
              <w:adjustRightInd/>
              <w:snapToGrid/>
              <w:ind w:left="0" w:right="0"/>
              <w:textAlignment w:val="auto"/>
              <w:rPr>
                <w:rFonts w:eastAsia="宋体"/>
                <w:color w:val="auto"/>
                <w:sz w:val="21"/>
                <w:szCs w:val="21"/>
                <w:highlight w:val="none"/>
                <w:lang w:val="en-US"/>
              </w:rPr>
            </w:pPr>
            <w:r>
              <w:rPr>
                <w:rFonts w:eastAsia="宋体"/>
                <w:color w:val="auto"/>
                <w:sz w:val="21"/>
                <w:szCs w:val="21"/>
                <w:highlight w:val="none"/>
                <w:lang w:val="en-US"/>
              </w:rPr>
              <w:t>蓝色</w:t>
            </w:r>
          </w:p>
        </w:tc>
        <w:tc>
          <w:tcPr>
            <w:tcW w:w="1004" w:type="dxa"/>
            <w:gridSpan w:val="2"/>
            <w:vAlign w:val="center"/>
          </w:tcPr>
          <w:p w14:paraId="2C10F747">
            <w:pPr>
              <w:pStyle w:val="98"/>
              <w:keepNext w:val="0"/>
              <w:keepLines w:val="0"/>
              <w:pageBreakBefore w:val="0"/>
              <w:kinsoku/>
              <w:wordWrap/>
              <w:overflowPunct/>
              <w:topLinePunct w:val="0"/>
              <w:bidi w:val="0"/>
              <w:adjustRightInd/>
              <w:snapToGrid/>
              <w:ind w:left="0" w:right="0"/>
              <w:textAlignment w:val="auto"/>
              <w:rPr>
                <w:rFonts w:eastAsia="宋体"/>
                <w:color w:val="auto"/>
                <w:sz w:val="21"/>
                <w:szCs w:val="21"/>
                <w:highlight w:val="none"/>
                <w:lang w:val="en-US"/>
              </w:rPr>
            </w:pPr>
            <w:r>
              <w:rPr>
                <w:rFonts w:eastAsia="宋体"/>
                <w:color w:val="auto"/>
                <w:sz w:val="21"/>
                <w:szCs w:val="21"/>
                <w:highlight w:val="none"/>
                <w:lang w:val="en-US"/>
              </w:rPr>
              <w:t>白色</w:t>
            </w:r>
          </w:p>
        </w:tc>
      </w:tr>
      <w:tr w14:paraId="5727BA13">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0" w:type="dxa"/>
            <w:bottom w:w="0" w:type="dxa"/>
            <w:right w:w="0" w:type="dxa"/>
          </w:tblCellMar>
        </w:tblPrEx>
        <w:trPr>
          <w:trHeight w:val="340" w:hRule="atLeast"/>
          <w:jc w:val="center"/>
        </w:trPr>
        <w:tc>
          <w:tcPr>
            <w:tcW w:w="1843" w:type="dxa"/>
            <w:vAlign w:val="center"/>
          </w:tcPr>
          <w:p w14:paraId="6F4448C6">
            <w:pPr>
              <w:pStyle w:val="98"/>
              <w:keepNext w:val="0"/>
              <w:keepLines w:val="0"/>
              <w:pageBreakBefore w:val="0"/>
              <w:kinsoku/>
              <w:wordWrap/>
              <w:overflowPunct/>
              <w:topLinePunct w:val="0"/>
              <w:bidi w:val="0"/>
              <w:adjustRightInd/>
              <w:snapToGrid/>
              <w:ind w:left="0" w:right="0"/>
              <w:textAlignment w:val="auto"/>
              <w:rPr>
                <w:rFonts w:eastAsia="宋体"/>
                <w:color w:val="auto"/>
                <w:sz w:val="21"/>
                <w:szCs w:val="21"/>
                <w:highlight w:val="none"/>
                <w:lang w:val="en-US"/>
              </w:rPr>
            </w:pPr>
            <w:r>
              <w:rPr>
                <w:rFonts w:eastAsia="宋体"/>
                <w:color w:val="auto"/>
                <w:sz w:val="21"/>
                <w:szCs w:val="21"/>
                <w:highlight w:val="none"/>
              </w:rPr>
              <w:t>贮存设施内部分区警示标志牌</w:t>
            </w:r>
          </w:p>
        </w:tc>
        <w:tc>
          <w:tcPr>
            <w:tcW w:w="1701" w:type="dxa"/>
            <w:vAlign w:val="center"/>
          </w:tcPr>
          <w:p w14:paraId="52C0E37A">
            <w:pPr>
              <w:pStyle w:val="98"/>
              <w:keepNext w:val="0"/>
              <w:keepLines w:val="0"/>
              <w:pageBreakBefore w:val="0"/>
              <w:kinsoku/>
              <w:wordWrap/>
              <w:overflowPunct/>
              <w:topLinePunct w:val="0"/>
              <w:bidi w:val="0"/>
              <w:adjustRightInd/>
              <w:snapToGrid/>
              <w:ind w:left="0" w:right="0"/>
              <w:textAlignment w:val="auto"/>
              <w:rPr>
                <w:rFonts w:eastAsia="宋体"/>
                <w:color w:val="auto"/>
                <w:sz w:val="21"/>
                <w:szCs w:val="21"/>
                <w:highlight w:val="none"/>
              </w:rPr>
            </w:pPr>
            <w:r>
              <w:rPr>
                <w:rFonts w:eastAsia="宋体"/>
                <w:color w:val="auto"/>
                <w:sz w:val="21"/>
                <w:szCs w:val="21"/>
                <w:highlight w:val="none"/>
              </w:rPr>
              <w:t>/</w:t>
            </w:r>
          </w:p>
        </w:tc>
        <w:tc>
          <w:tcPr>
            <w:tcW w:w="1701" w:type="dxa"/>
            <w:vAlign w:val="center"/>
          </w:tcPr>
          <w:p w14:paraId="44213355">
            <w:pPr>
              <w:pStyle w:val="98"/>
              <w:keepNext w:val="0"/>
              <w:keepLines w:val="0"/>
              <w:pageBreakBefore w:val="0"/>
              <w:kinsoku/>
              <w:wordWrap/>
              <w:overflowPunct/>
              <w:topLinePunct w:val="0"/>
              <w:bidi w:val="0"/>
              <w:adjustRightInd/>
              <w:snapToGrid/>
              <w:ind w:left="0" w:right="0"/>
              <w:textAlignment w:val="auto"/>
              <w:rPr>
                <w:rFonts w:eastAsia="宋体"/>
                <w:color w:val="auto"/>
                <w:sz w:val="21"/>
                <w:szCs w:val="21"/>
                <w:highlight w:val="none"/>
                <w:lang w:val="en-US"/>
              </w:rPr>
            </w:pPr>
            <w:r>
              <w:rPr>
                <w:rFonts w:eastAsia="宋体"/>
                <w:color w:val="auto"/>
                <w:sz w:val="21"/>
                <w:szCs w:val="21"/>
                <w:highlight w:val="none"/>
                <w:lang w:val="en-US" w:eastAsia="en-US"/>
              </w:rPr>
              <w:t>提示标志</w:t>
            </w:r>
          </w:p>
        </w:tc>
        <w:tc>
          <w:tcPr>
            <w:tcW w:w="1089" w:type="dxa"/>
            <w:vAlign w:val="center"/>
          </w:tcPr>
          <w:p w14:paraId="7550E2C1">
            <w:pPr>
              <w:pStyle w:val="98"/>
              <w:keepNext w:val="0"/>
              <w:keepLines w:val="0"/>
              <w:pageBreakBefore w:val="0"/>
              <w:kinsoku/>
              <w:wordWrap/>
              <w:overflowPunct/>
              <w:topLinePunct w:val="0"/>
              <w:bidi w:val="0"/>
              <w:adjustRightInd/>
              <w:snapToGrid/>
              <w:ind w:left="0" w:right="0"/>
              <w:textAlignment w:val="auto"/>
              <w:rPr>
                <w:rFonts w:eastAsia="宋体"/>
                <w:color w:val="auto"/>
                <w:sz w:val="21"/>
                <w:szCs w:val="21"/>
                <w:highlight w:val="none"/>
                <w:lang w:val="en-US"/>
              </w:rPr>
            </w:pPr>
            <w:r>
              <w:rPr>
                <w:rFonts w:eastAsia="宋体"/>
                <w:color w:val="auto"/>
                <w:sz w:val="21"/>
                <w:szCs w:val="21"/>
                <w:highlight w:val="none"/>
                <w:lang w:val="en-US"/>
              </w:rPr>
              <w:t>长方形边框</w:t>
            </w:r>
          </w:p>
        </w:tc>
        <w:tc>
          <w:tcPr>
            <w:tcW w:w="1166" w:type="dxa"/>
            <w:gridSpan w:val="2"/>
            <w:vAlign w:val="center"/>
          </w:tcPr>
          <w:p w14:paraId="1C9D2414">
            <w:pPr>
              <w:pStyle w:val="98"/>
              <w:keepNext w:val="0"/>
              <w:keepLines w:val="0"/>
              <w:pageBreakBefore w:val="0"/>
              <w:kinsoku/>
              <w:wordWrap/>
              <w:overflowPunct/>
              <w:topLinePunct w:val="0"/>
              <w:bidi w:val="0"/>
              <w:adjustRightInd/>
              <w:snapToGrid/>
              <w:ind w:left="0" w:right="0"/>
              <w:textAlignment w:val="auto"/>
              <w:rPr>
                <w:rFonts w:eastAsia="宋体"/>
                <w:color w:val="auto"/>
                <w:sz w:val="21"/>
                <w:szCs w:val="21"/>
                <w:highlight w:val="none"/>
                <w:lang w:val="en-US"/>
              </w:rPr>
            </w:pPr>
            <w:r>
              <w:rPr>
                <w:rFonts w:eastAsia="宋体"/>
                <w:color w:val="auto"/>
                <w:sz w:val="21"/>
                <w:szCs w:val="21"/>
                <w:highlight w:val="none"/>
                <w:lang w:val="en-US"/>
              </w:rPr>
              <w:t>黄色</w:t>
            </w:r>
          </w:p>
        </w:tc>
        <w:tc>
          <w:tcPr>
            <w:tcW w:w="1004" w:type="dxa"/>
            <w:gridSpan w:val="2"/>
            <w:vAlign w:val="center"/>
          </w:tcPr>
          <w:p w14:paraId="74E26E5D">
            <w:pPr>
              <w:pStyle w:val="98"/>
              <w:keepNext w:val="0"/>
              <w:keepLines w:val="0"/>
              <w:pageBreakBefore w:val="0"/>
              <w:kinsoku/>
              <w:wordWrap/>
              <w:overflowPunct/>
              <w:topLinePunct w:val="0"/>
              <w:bidi w:val="0"/>
              <w:adjustRightInd/>
              <w:snapToGrid/>
              <w:ind w:left="0" w:right="0"/>
              <w:textAlignment w:val="auto"/>
              <w:rPr>
                <w:rFonts w:eastAsia="宋体"/>
                <w:color w:val="auto"/>
                <w:sz w:val="21"/>
                <w:szCs w:val="21"/>
                <w:highlight w:val="none"/>
                <w:lang w:val="en-US"/>
              </w:rPr>
            </w:pPr>
            <w:r>
              <w:rPr>
                <w:rFonts w:eastAsia="宋体"/>
                <w:color w:val="auto"/>
                <w:sz w:val="21"/>
                <w:szCs w:val="21"/>
                <w:highlight w:val="none"/>
                <w:lang w:val="en-US"/>
              </w:rPr>
              <w:t>黑色</w:t>
            </w:r>
          </w:p>
        </w:tc>
      </w:tr>
      <w:tr w14:paraId="273F558B">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0" w:type="dxa"/>
            <w:bottom w:w="0" w:type="dxa"/>
            <w:right w:w="0" w:type="dxa"/>
          </w:tblCellMar>
        </w:tblPrEx>
        <w:trPr>
          <w:trHeight w:val="340" w:hRule="atLeast"/>
          <w:jc w:val="center"/>
        </w:trPr>
        <w:tc>
          <w:tcPr>
            <w:tcW w:w="1843" w:type="dxa"/>
            <w:vAlign w:val="center"/>
          </w:tcPr>
          <w:p w14:paraId="650E50D5">
            <w:pPr>
              <w:pStyle w:val="98"/>
              <w:keepNext w:val="0"/>
              <w:keepLines w:val="0"/>
              <w:pageBreakBefore w:val="0"/>
              <w:kinsoku/>
              <w:wordWrap/>
              <w:overflowPunct/>
              <w:topLinePunct w:val="0"/>
              <w:bidi w:val="0"/>
              <w:adjustRightInd/>
              <w:snapToGrid/>
              <w:ind w:left="0" w:right="0"/>
              <w:textAlignment w:val="auto"/>
              <w:rPr>
                <w:rFonts w:eastAsia="宋体"/>
                <w:color w:val="auto"/>
                <w:sz w:val="21"/>
                <w:szCs w:val="21"/>
                <w:highlight w:val="none"/>
                <w:lang w:val="en-US"/>
              </w:rPr>
            </w:pPr>
            <w:r>
              <w:rPr>
                <w:rFonts w:eastAsia="宋体"/>
                <w:color w:val="auto"/>
                <w:sz w:val="21"/>
                <w:szCs w:val="21"/>
                <w:highlight w:val="none"/>
                <w:lang w:val="en-US"/>
              </w:rPr>
              <w:t>危废产生源</w:t>
            </w:r>
          </w:p>
        </w:tc>
        <w:tc>
          <w:tcPr>
            <w:tcW w:w="1701" w:type="dxa"/>
            <w:vAlign w:val="center"/>
          </w:tcPr>
          <w:p w14:paraId="6B098E8E">
            <w:pPr>
              <w:pStyle w:val="98"/>
              <w:keepNext w:val="0"/>
              <w:keepLines w:val="0"/>
              <w:pageBreakBefore w:val="0"/>
              <w:kinsoku/>
              <w:wordWrap/>
              <w:overflowPunct/>
              <w:topLinePunct w:val="0"/>
              <w:bidi w:val="0"/>
              <w:adjustRightInd/>
              <w:snapToGrid/>
              <w:ind w:left="0" w:right="0"/>
              <w:textAlignment w:val="auto"/>
              <w:rPr>
                <w:rFonts w:eastAsia="宋体"/>
                <w:color w:val="auto"/>
                <w:sz w:val="21"/>
                <w:szCs w:val="21"/>
                <w:highlight w:val="none"/>
              </w:rPr>
            </w:pPr>
            <w:r>
              <w:rPr>
                <w:rFonts w:eastAsia="宋体"/>
                <w:color w:val="auto"/>
                <w:sz w:val="21"/>
                <w:szCs w:val="21"/>
                <w:highlight w:val="none"/>
              </w:rPr>
              <w:t>第X-X号</w:t>
            </w:r>
          </w:p>
        </w:tc>
        <w:tc>
          <w:tcPr>
            <w:tcW w:w="1701" w:type="dxa"/>
            <w:vAlign w:val="center"/>
          </w:tcPr>
          <w:p w14:paraId="32E14C85">
            <w:pPr>
              <w:pStyle w:val="98"/>
              <w:keepNext w:val="0"/>
              <w:keepLines w:val="0"/>
              <w:pageBreakBefore w:val="0"/>
              <w:kinsoku/>
              <w:wordWrap/>
              <w:overflowPunct/>
              <w:topLinePunct w:val="0"/>
              <w:bidi w:val="0"/>
              <w:adjustRightInd/>
              <w:snapToGrid/>
              <w:ind w:left="0" w:right="0"/>
              <w:textAlignment w:val="auto"/>
              <w:rPr>
                <w:rFonts w:eastAsia="宋体"/>
                <w:color w:val="auto"/>
                <w:sz w:val="21"/>
                <w:szCs w:val="21"/>
                <w:highlight w:val="none"/>
                <w:lang w:val="en-US" w:eastAsia="en-US"/>
              </w:rPr>
            </w:pPr>
            <w:r>
              <w:rPr>
                <w:rFonts w:eastAsia="宋体"/>
                <w:color w:val="auto"/>
                <w:sz w:val="21"/>
                <w:szCs w:val="21"/>
                <w:highlight w:val="none"/>
                <w:lang w:val="en-US" w:eastAsia="en-US"/>
              </w:rPr>
              <w:t>提示标志</w:t>
            </w:r>
          </w:p>
        </w:tc>
        <w:tc>
          <w:tcPr>
            <w:tcW w:w="1089" w:type="dxa"/>
            <w:vAlign w:val="center"/>
          </w:tcPr>
          <w:p w14:paraId="3372CAC5">
            <w:pPr>
              <w:pStyle w:val="98"/>
              <w:keepNext w:val="0"/>
              <w:keepLines w:val="0"/>
              <w:pageBreakBefore w:val="0"/>
              <w:kinsoku/>
              <w:wordWrap/>
              <w:overflowPunct/>
              <w:topLinePunct w:val="0"/>
              <w:bidi w:val="0"/>
              <w:adjustRightInd/>
              <w:snapToGrid/>
              <w:ind w:left="0" w:right="0"/>
              <w:textAlignment w:val="auto"/>
              <w:rPr>
                <w:rFonts w:eastAsia="宋体"/>
                <w:color w:val="auto"/>
                <w:sz w:val="21"/>
                <w:szCs w:val="21"/>
                <w:highlight w:val="none"/>
                <w:lang w:val="en-US"/>
              </w:rPr>
            </w:pPr>
            <w:r>
              <w:rPr>
                <w:rFonts w:eastAsia="宋体"/>
                <w:color w:val="auto"/>
                <w:sz w:val="21"/>
                <w:szCs w:val="21"/>
                <w:highlight w:val="none"/>
                <w:lang w:val="en-US"/>
              </w:rPr>
              <w:t>长方形边框</w:t>
            </w:r>
          </w:p>
        </w:tc>
        <w:tc>
          <w:tcPr>
            <w:tcW w:w="1166" w:type="dxa"/>
            <w:gridSpan w:val="2"/>
            <w:vAlign w:val="center"/>
          </w:tcPr>
          <w:p w14:paraId="79ADDA1E">
            <w:pPr>
              <w:pStyle w:val="98"/>
              <w:keepNext w:val="0"/>
              <w:keepLines w:val="0"/>
              <w:pageBreakBefore w:val="0"/>
              <w:kinsoku/>
              <w:wordWrap/>
              <w:overflowPunct/>
              <w:topLinePunct w:val="0"/>
              <w:bidi w:val="0"/>
              <w:adjustRightInd/>
              <w:snapToGrid/>
              <w:ind w:left="0" w:right="0"/>
              <w:textAlignment w:val="auto"/>
              <w:rPr>
                <w:rFonts w:eastAsia="宋体"/>
                <w:color w:val="auto"/>
                <w:sz w:val="21"/>
                <w:szCs w:val="21"/>
                <w:highlight w:val="none"/>
                <w:lang w:val="en-US"/>
              </w:rPr>
            </w:pPr>
            <w:r>
              <w:rPr>
                <w:rFonts w:eastAsia="宋体"/>
                <w:color w:val="auto"/>
                <w:sz w:val="21"/>
                <w:szCs w:val="21"/>
                <w:highlight w:val="none"/>
                <w:lang w:val="en-US"/>
              </w:rPr>
              <w:t>绿色</w:t>
            </w:r>
          </w:p>
        </w:tc>
        <w:tc>
          <w:tcPr>
            <w:tcW w:w="1004" w:type="dxa"/>
            <w:gridSpan w:val="2"/>
            <w:vAlign w:val="center"/>
          </w:tcPr>
          <w:p w14:paraId="097C3929">
            <w:pPr>
              <w:pStyle w:val="98"/>
              <w:keepNext w:val="0"/>
              <w:keepLines w:val="0"/>
              <w:pageBreakBefore w:val="0"/>
              <w:kinsoku/>
              <w:wordWrap/>
              <w:overflowPunct/>
              <w:topLinePunct w:val="0"/>
              <w:bidi w:val="0"/>
              <w:adjustRightInd/>
              <w:snapToGrid/>
              <w:ind w:left="0" w:right="0"/>
              <w:textAlignment w:val="auto"/>
              <w:rPr>
                <w:rFonts w:eastAsia="宋体"/>
                <w:color w:val="auto"/>
                <w:sz w:val="21"/>
                <w:szCs w:val="21"/>
                <w:highlight w:val="none"/>
                <w:lang w:val="en-US"/>
              </w:rPr>
            </w:pPr>
            <w:r>
              <w:rPr>
                <w:rFonts w:eastAsia="宋体"/>
                <w:color w:val="auto"/>
                <w:sz w:val="21"/>
                <w:szCs w:val="21"/>
                <w:highlight w:val="none"/>
                <w:lang w:val="en-US"/>
              </w:rPr>
              <w:t>/</w:t>
            </w:r>
          </w:p>
        </w:tc>
      </w:tr>
    </w:tbl>
    <w:p w14:paraId="0FBF0956">
      <w:pPr>
        <w:pStyle w:val="5"/>
        <w:keepLines w:val="0"/>
        <w:numPr>
          <w:ilvl w:val="0"/>
          <w:numId w:val="0"/>
        </w:numPr>
        <w:tabs>
          <w:tab w:val="left" w:pos="-568"/>
          <w:tab w:val="left" w:pos="0"/>
          <w:tab w:val="left" w:pos="567"/>
          <w:tab w:val="left" w:pos="709"/>
        </w:tabs>
        <w:spacing w:before="120" w:beforeLines="50" w:after="0" w:line="360" w:lineRule="auto"/>
        <w:ind w:right="-105"/>
        <w:rPr>
          <w:rFonts w:eastAsia="宋体"/>
          <w:color w:val="auto"/>
          <w:sz w:val="28"/>
          <w:szCs w:val="28"/>
          <w:highlight w:val="none"/>
        </w:rPr>
      </w:pPr>
      <w:r>
        <w:rPr>
          <w:rFonts w:eastAsia="宋体"/>
          <w:color w:val="auto"/>
          <w:sz w:val="28"/>
          <w:szCs w:val="28"/>
          <w:highlight w:val="none"/>
        </w:rPr>
        <w:t>9.2.6向公众公开的信息内容</w:t>
      </w:r>
      <w:bookmarkEnd w:id="538"/>
    </w:p>
    <w:p w14:paraId="3EB70119">
      <w:pPr>
        <w:spacing w:line="360" w:lineRule="auto"/>
        <w:ind w:left="-105" w:right="-105" w:firstLine="480" w:firstLineChars="200"/>
        <w:rPr>
          <w:rFonts w:ascii="Times New Roman" w:hAnsi="Times New Roman" w:cs="Times New Roman"/>
          <w:color w:val="auto"/>
          <w:szCs w:val="22"/>
          <w:highlight w:val="none"/>
        </w:rPr>
      </w:pPr>
      <w:r>
        <w:rPr>
          <w:rFonts w:ascii="Times New Roman" w:hAnsi="Times New Roman" w:cs="Times New Roman"/>
          <w:color w:val="auto"/>
          <w:szCs w:val="22"/>
          <w:highlight w:val="none"/>
        </w:rPr>
        <w:t>根据《建设项目环境影响评价技术导则总纲》（HJ2.1-2016）要求，结合本项目污染物排放清单及环境风险情况，提出本项目应向社会公开的信息内容为：</w:t>
      </w:r>
    </w:p>
    <w:p w14:paraId="6465B6A0">
      <w:pPr>
        <w:spacing w:line="360" w:lineRule="auto"/>
        <w:ind w:left="-105" w:right="-105" w:firstLine="480" w:firstLineChars="200"/>
        <w:rPr>
          <w:rFonts w:ascii="Times New Roman" w:hAnsi="Times New Roman" w:cs="Times New Roman"/>
          <w:color w:val="auto"/>
          <w:szCs w:val="22"/>
          <w:highlight w:val="none"/>
        </w:rPr>
      </w:pPr>
      <w:r>
        <w:rPr>
          <w:rFonts w:ascii="Times New Roman" w:hAnsi="Times New Roman" w:cs="Times New Roman"/>
          <w:color w:val="auto"/>
          <w:szCs w:val="22"/>
          <w:highlight w:val="none"/>
        </w:rPr>
        <w:t>（一）公开环境影响报告书编制信息。根据建设项目环评公众参与相关规定，建设单位在建设项目环境影响报告书编制过程中，应当向社会公开建设项目的工程基本情况、拟定选址、周边主要保护目标的位置和距离、主要环境影响预测情况、拟采取的主要环境保护措施、公众参与的途经方式等。</w:t>
      </w:r>
    </w:p>
    <w:p w14:paraId="6D070EE1">
      <w:pPr>
        <w:spacing w:line="360" w:lineRule="auto"/>
        <w:ind w:left="-105" w:right="-105" w:firstLine="480" w:firstLineChars="200"/>
        <w:rPr>
          <w:rFonts w:ascii="Times New Roman" w:hAnsi="Times New Roman" w:cs="Times New Roman"/>
          <w:color w:val="auto"/>
          <w:szCs w:val="22"/>
          <w:highlight w:val="none"/>
        </w:rPr>
      </w:pPr>
      <w:r>
        <w:rPr>
          <w:rFonts w:ascii="Times New Roman" w:hAnsi="Times New Roman" w:cs="Times New Roman"/>
          <w:color w:val="auto"/>
          <w:szCs w:val="22"/>
          <w:highlight w:val="none"/>
        </w:rPr>
        <w:t>（二）公开环境影响报告书全本。建设单位在建设项目环境影响报告书编制完成后，向环境保护主管部门报批前，应当向社会公开环境影响报告书全本，其中对于编制环境影响报告书的建设项目还应一并公开公众参与情况说明。报批过程中，如对环境影响报告书进一步修改，应及时公开最后版本。</w:t>
      </w:r>
    </w:p>
    <w:p w14:paraId="18320986">
      <w:pPr>
        <w:spacing w:line="360" w:lineRule="auto"/>
        <w:ind w:left="-105" w:right="-105" w:firstLine="480" w:firstLineChars="200"/>
        <w:rPr>
          <w:rFonts w:ascii="Times New Roman" w:hAnsi="Times New Roman" w:cs="Times New Roman"/>
          <w:color w:val="auto"/>
          <w:szCs w:val="22"/>
          <w:highlight w:val="none"/>
        </w:rPr>
      </w:pPr>
      <w:r>
        <w:rPr>
          <w:rFonts w:ascii="Times New Roman" w:hAnsi="Times New Roman" w:cs="Times New Roman"/>
          <w:color w:val="auto"/>
          <w:szCs w:val="22"/>
          <w:highlight w:val="none"/>
        </w:rPr>
        <w:t>（三）公开建设项目开工前的信息。建设项目开工建设前，建设单位应当向社会公开建设项目开工日期、设计单位、施工单位和环境监理单位、工程基本情况、实际选址、拟采取的环境保护措施清单和实施计划、由地方政府或相关部门负责配套的环境保护措施清单和实施计划等，并确保上述信息在整个施工期内均处于公开状态。</w:t>
      </w:r>
    </w:p>
    <w:p w14:paraId="7FFF246B">
      <w:pPr>
        <w:spacing w:line="360" w:lineRule="auto"/>
        <w:ind w:left="-105" w:right="-105" w:firstLine="480" w:firstLineChars="200"/>
        <w:rPr>
          <w:rFonts w:ascii="Times New Roman" w:hAnsi="Times New Roman" w:cs="Times New Roman"/>
          <w:color w:val="auto"/>
          <w:szCs w:val="22"/>
          <w:highlight w:val="none"/>
        </w:rPr>
      </w:pPr>
      <w:r>
        <w:rPr>
          <w:rFonts w:ascii="Times New Roman" w:hAnsi="Times New Roman" w:cs="Times New Roman"/>
          <w:color w:val="auto"/>
          <w:szCs w:val="22"/>
          <w:highlight w:val="none"/>
        </w:rPr>
        <w:t>（四）公开建设项目施工过程中的信息。项目建设过程中，建设单位应当在施工中期向社会公开建设项目环境保护措施进展情况、施工期的环境保护措施落实情况、施工期环境监理情况、施工期环境监测结果等。</w:t>
      </w:r>
    </w:p>
    <w:p w14:paraId="6FDF9B68">
      <w:pPr>
        <w:spacing w:line="360" w:lineRule="auto"/>
        <w:ind w:left="-105" w:right="-105" w:firstLine="480" w:firstLineChars="200"/>
        <w:rPr>
          <w:rFonts w:ascii="Times New Roman" w:hAnsi="Times New Roman"/>
          <w:color w:val="auto"/>
          <w:szCs w:val="22"/>
          <w:highlight w:val="none"/>
        </w:rPr>
      </w:pPr>
      <w:r>
        <w:rPr>
          <w:rFonts w:ascii="Times New Roman" w:hAnsi="Times New Roman" w:cs="Times New Roman"/>
          <w:color w:val="auto"/>
          <w:szCs w:val="22"/>
          <w:highlight w:val="none"/>
        </w:rPr>
        <w:t>（五）公开建设项目建成后的信息。建设项目建成后，建设单位应当向社会公开建设项目环评提出的各项环境保护设施和措施执行情况、竣工环境保护验收监测和调查结果。对主要因排放污染物对环境产生影响的建设项目，投入生产或使用后，应当定期向社会特别是周边社区公开主要污染物排放情况。</w:t>
      </w:r>
    </w:p>
    <w:p w14:paraId="6A61134B">
      <w:pPr>
        <w:pStyle w:val="4"/>
        <w:numPr>
          <w:ilvl w:val="1"/>
          <w:numId w:val="0"/>
        </w:numPr>
        <w:tabs>
          <w:tab w:val="left" w:pos="426"/>
        </w:tabs>
        <w:spacing w:before="120" w:beforeLines="50" w:after="120" w:afterLines="50" w:line="360" w:lineRule="auto"/>
        <w:ind w:right="-105"/>
        <w:rPr>
          <w:rFonts w:ascii="Times New Roman" w:eastAsia="宋体"/>
          <w:color w:val="auto"/>
          <w:sz w:val="28"/>
          <w:szCs w:val="28"/>
          <w:highlight w:val="none"/>
        </w:rPr>
      </w:pPr>
      <w:bookmarkStart w:id="539" w:name="_Toc60653625"/>
      <w:bookmarkStart w:id="540" w:name="_Toc11436"/>
      <w:r>
        <w:rPr>
          <w:rFonts w:hint="eastAsia" w:ascii="Times New Roman" w:eastAsia="宋体"/>
          <w:color w:val="auto"/>
          <w:sz w:val="28"/>
          <w:szCs w:val="28"/>
          <w:highlight w:val="none"/>
        </w:rPr>
        <w:t>9.3</w:t>
      </w:r>
      <w:r>
        <w:rPr>
          <w:rFonts w:ascii="Times New Roman" w:eastAsia="宋体"/>
          <w:color w:val="auto"/>
          <w:sz w:val="28"/>
          <w:szCs w:val="28"/>
          <w:highlight w:val="none"/>
        </w:rPr>
        <w:t>环境</w:t>
      </w:r>
      <w:bookmarkEnd w:id="529"/>
      <w:r>
        <w:rPr>
          <w:rFonts w:ascii="Times New Roman" w:eastAsia="宋体"/>
          <w:color w:val="auto"/>
          <w:sz w:val="28"/>
          <w:szCs w:val="28"/>
          <w:highlight w:val="none"/>
        </w:rPr>
        <w:t>监测</w:t>
      </w:r>
      <w:bookmarkEnd w:id="539"/>
      <w:bookmarkEnd w:id="540"/>
    </w:p>
    <w:p w14:paraId="4D1B6180">
      <w:pPr>
        <w:spacing w:line="360" w:lineRule="auto"/>
        <w:ind w:left="-105" w:right="-105" w:firstLine="480" w:firstLineChars="200"/>
        <w:rPr>
          <w:rFonts w:ascii="Times New Roman" w:hAnsi="Times New Roman" w:cs="Times New Roman"/>
          <w:snapToGrid w:val="0"/>
          <w:color w:val="auto"/>
          <w:szCs w:val="20"/>
          <w:highlight w:val="none"/>
        </w:rPr>
      </w:pPr>
      <w:r>
        <w:rPr>
          <w:rFonts w:ascii="Times New Roman" w:hAnsi="Times New Roman" w:cs="Times New Roman"/>
          <w:color w:val="auto"/>
          <w:kern w:val="24"/>
          <w:szCs w:val="20"/>
          <w:highlight w:val="none"/>
        </w:rPr>
        <w:t>为有效地了解企业的排污情况和环境现状，保证公司排放的污染物达到有关控制标准的要求，</w:t>
      </w:r>
      <w:r>
        <w:rPr>
          <w:rFonts w:ascii="Times New Roman" w:hAnsi="Times New Roman" w:cs="Times New Roman"/>
          <w:snapToGrid w:val="0"/>
          <w:color w:val="auto"/>
          <w:szCs w:val="20"/>
          <w:highlight w:val="none"/>
        </w:rPr>
        <w:t>所在地环境质量达标，周边敏感目标环境质量达标，</w:t>
      </w:r>
      <w:r>
        <w:rPr>
          <w:rFonts w:ascii="Times New Roman" w:hAnsi="Times New Roman" w:cs="Times New Roman"/>
          <w:color w:val="auto"/>
          <w:kern w:val="24"/>
          <w:szCs w:val="20"/>
          <w:highlight w:val="none"/>
        </w:rPr>
        <w:t>应对公司各排污环节的污染物排放情况</w:t>
      </w:r>
      <w:r>
        <w:rPr>
          <w:rFonts w:ascii="Times New Roman" w:hAnsi="Times New Roman" w:cs="Times New Roman"/>
          <w:snapToGrid w:val="0"/>
          <w:color w:val="auto"/>
          <w:szCs w:val="20"/>
          <w:highlight w:val="none"/>
        </w:rPr>
        <w:t>和环境质量</w:t>
      </w:r>
      <w:r>
        <w:rPr>
          <w:rFonts w:ascii="Times New Roman" w:hAnsi="Times New Roman" w:cs="Times New Roman"/>
          <w:color w:val="auto"/>
          <w:kern w:val="24"/>
          <w:szCs w:val="20"/>
          <w:highlight w:val="none"/>
        </w:rPr>
        <w:t>实施定期、不定期监测。为此，应</w:t>
      </w:r>
      <w:r>
        <w:rPr>
          <w:rFonts w:ascii="Times New Roman" w:hAnsi="Times New Roman" w:cs="Times New Roman"/>
          <w:snapToGrid w:val="0"/>
          <w:color w:val="auto"/>
          <w:szCs w:val="20"/>
          <w:highlight w:val="none"/>
        </w:rPr>
        <w:t>根据项目环境影响特征、影响范围和影响程度、结合环境保护目标分布、项目核定的污染源（废气、废水、噪声、固废等）排放特点以及污染防治设施运行情况，开展环境监测工作，制定并实施切实可行的环境监测计划。环境监测计划包括污染源监测计划和环境质量监测计划，内容包括监测因子、监测网点布设、监测频次、监测数据采集与处理、采样分析方法等，明确自行监测计划内容。</w:t>
      </w:r>
    </w:p>
    <w:p w14:paraId="48A96AFC">
      <w:pPr>
        <w:pStyle w:val="5"/>
        <w:keepLines w:val="0"/>
        <w:numPr>
          <w:ilvl w:val="0"/>
          <w:numId w:val="0"/>
        </w:numPr>
        <w:tabs>
          <w:tab w:val="left" w:pos="141"/>
          <w:tab w:val="left" w:pos="567"/>
          <w:tab w:val="left" w:pos="709"/>
        </w:tabs>
        <w:spacing w:before="120" w:beforeLines="50" w:after="0" w:line="360" w:lineRule="auto"/>
        <w:ind w:right="-105"/>
        <w:rPr>
          <w:rFonts w:eastAsia="宋体"/>
          <w:color w:val="auto"/>
          <w:sz w:val="28"/>
          <w:szCs w:val="28"/>
          <w:highlight w:val="none"/>
        </w:rPr>
      </w:pPr>
      <w:bookmarkStart w:id="541" w:name="_Toc12988"/>
      <w:r>
        <w:rPr>
          <w:rFonts w:hint="eastAsia" w:eastAsia="宋体"/>
          <w:color w:val="auto"/>
          <w:sz w:val="28"/>
          <w:szCs w:val="28"/>
          <w:highlight w:val="none"/>
        </w:rPr>
        <w:t>9.3.1</w:t>
      </w:r>
      <w:r>
        <w:rPr>
          <w:rFonts w:eastAsia="宋体"/>
          <w:color w:val="auto"/>
          <w:sz w:val="28"/>
          <w:szCs w:val="28"/>
          <w:highlight w:val="none"/>
        </w:rPr>
        <w:t>监测机构</w:t>
      </w:r>
      <w:bookmarkEnd w:id="541"/>
    </w:p>
    <w:p w14:paraId="16EF0E4D">
      <w:pPr>
        <w:widowControl w:val="0"/>
        <w:adjustRightInd w:val="0"/>
        <w:snapToGrid w:val="0"/>
        <w:spacing w:line="360" w:lineRule="auto"/>
        <w:ind w:left="-105" w:right="-105" w:firstLine="480" w:firstLineChars="200"/>
        <w:jc w:val="both"/>
        <w:rPr>
          <w:rFonts w:ascii="Times New Roman" w:hAnsi="Times New Roman" w:cs="Times New Roman"/>
          <w:color w:val="auto"/>
          <w:kern w:val="2"/>
          <w:szCs w:val="20"/>
          <w:highlight w:val="none"/>
        </w:rPr>
      </w:pPr>
      <w:r>
        <w:rPr>
          <w:rFonts w:ascii="Times New Roman" w:hAnsi="Times New Roman" w:cs="Times New Roman"/>
          <w:color w:val="auto"/>
          <w:kern w:val="2"/>
          <w:szCs w:val="20"/>
          <w:highlight w:val="none"/>
        </w:rPr>
        <w:t>委托当地有资质的环境监测单位执行环境质量监测计划，这样一方面可以发挥当地环保部门专业人员齐备、监测设备完善的优势，同时便于环保部门掌握当地环境状况，另一方面拟建项目管理机构可节省非常用设备采购开支和避免不必要的人力资源的浪费。</w:t>
      </w:r>
    </w:p>
    <w:p w14:paraId="11150193">
      <w:pPr>
        <w:pStyle w:val="5"/>
        <w:keepLines w:val="0"/>
        <w:numPr>
          <w:ilvl w:val="0"/>
          <w:numId w:val="0"/>
        </w:numPr>
        <w:tabs>
          <w:tab w:val="left" w:pos="141"/>
          <w:tab w:val="left" w:pos="567"/>
          <w:tab w:val="left" w:pos="709"/>
        </w:tabs>
        <w:spacing w:before="120" w:beforeLines="50" w:after="0" w:line="360" w:lineRule="auto"/>
        <w:ind w:right="-105"/>
        <w:rPr>
          <w:rFonts w:eastAsia="宋体"/>
          <w:color w:val="auto"/>
          <w:sz w:val="28"/>
          <w:szCs w:val="28"/>
          <w:highlight w:val="none"/>
        </w:rPr>
      </w:pPr>
      <w:r>
        <w:rPr>
          <w:rFonts w:hint="eastAsia" w:eastAsia="宋体"/>
          <w:color w:val="auto"/>
          <w:sz w:val="28"/>
          <w:szCs w:val="28"/>
          <w:highlight w:val="none"/>
        </w:rPr>
        <w:t>9.3.2</w:t>
      </w:r>
      <w:r>
        <w:rPr>
          <w:rFonts w:eastAsia="宋体"/>
          <w:color w:val="auto"/>
          <w:sz w:val="28"/>
          <w:szCs w:val="28"/>
          <w:highlight w:val="none"/>
        </w:rPr>
        <w:t>环境质量监测计划</w:t>
      </w:r>
    </w:p>
    <w:p w14:paraId="0977085E">
      <w:pPr>
        <w:widowControl w:val="0"/>
        <w:adjustRightInd w:val="0"/>
        <w:snapToGrid w:val="0"/>
        <w:spacing w:line="360" w:lineRule="auto"/>
        <w:ind w:left="-105" w:right="-105" w:firstLine="480" w:firstLineChars="200"/>
        <w:jc w:val="both"/>
        <w:rPr>
          <w:color w:val="auto"/>
          <w:szCs w:val="20"/>
          <w:highlight w:val="none"/>
        </w:rPr>
      </w:pPr>
      <w:r>
        <w:rPr>
          <w:rFonts w:hint="eastAsia" w:ascii="Times New Roman" w:hAnsi="Times New Roman" w:cs="Times New Roman"/>
          <w:color w:val="auto"/>
          <w:kern w:val="2"/>
          <w:szCs w:val="20"/>
          <w:highlight w:val="none"/>
        </w:rPr>
        <w:t>建设单位应参照《排污单位自行监测技术指南电子工业》（HJ1253-2022）等相关要求，开展环境质量监测工作，建议具体监测计划如下。</w:t>
      </w:r>
    </w:p>
    <w:p w14:paraId="60AA96DC">
      <w:pPr>
        <w:pStyle w:val="15"/>
        <w:ind w:left="-105" w:right="-105" w:firstLine="482"/>
        <w:rPr>
          <w:rFonts w:eastAsia="宋体"/>
          <w:color w:val="auto"/>
          <w:sz w:val="24"/>
          <w:szCs w:val="24"/>
          <w:highlight w:val="none"/>
        </w:rPr>
      </w:pPr>
    </w:p>
    <w:p w14:paraId="18DD09A2">
      <w:pPr>
        <w:pStyle w:val="15"/>
        <w:ind w:left="-105" w:right="-105" w:firstLine="482"/>
        <w:rPr>
          <w:rFonts w:eastAsia="宋体"/>
          <w:color w:val="auto"/>
          <w:sz w:val="24"/>
          <w:szCs w:val="24"/>
          <w:highlight w:val="none"/>
        </w:rPr>
      </w:pPr>
    </w:p>
    <w:p w14:paraId="5EE1D916">
      <w:pPr>
        <w:pStyle w:val="15"/>
        <w:ind w:left="-105" w:right="-105" w:firstLine="482"/>
        <w:rPr>
          <w:rFonts w:eastAsia="宋体"/>
          <w:b w:val="0"/>
          <w:snapToGrid w:val="0"/>
          <w:color w:val="auto"/>
          <w:highlight w:val="none"/>
        </w:rPr>
      </w:pPr>
      <w:r>
        <w:rPr>
          <w:rFonts w:eastAsia="宋体"/>
          <w:color w:val="auto"/>
          <w:sz w:val="24"/>
          <w:szCs w:val="24"/>
          <w:highlight w:val="none"/>
        </w:rPr>
        <w:t>表</w:t>
      </w:r>
      <w:r>
        <w:rPr>
          <w:rFonts w:hint="eastAsia" w:eastAsia="宋体"/>
          <w:color w:val="auto"/>
          <w:sz w:val="24"/>
          <w:szCs w:val="24"/>
          <w:highlight w:val="none"/>
        </w:rPr>
        <w:t>9.3-1</w:t>
      </w:r>
      <w:r>
        <w:rPr>
          <w:rFonts w:eastAsia="宋体"/>
          <w:snapToGrid w:val="0"/>
          <w:color w:val="auto"/>
          <w:kern w:val="0"/>
          <w:sz w:val="24"/>
          <w:szCs w:val="24"/>
          <w:highlight w:val="none"/>
        </w:rPr>
        <w:t>营</w:t>
      </w:r>
      <w:r>
        <w:rPr>
          <w:rFonts w:eastAsia="宋体"/>
          <w:snapToGrid w:val="0"/>
          <w:color w:val="auto"/>
          <w:kern w:val="0"/>
          <w:sz w:val="24"/>
          <w:highlight w:val="none"/>
        </w:rPr>
        <w:t>运期环境质量监测计划</w:t>
      </w:r>
    </w:p>
    <w:tbl>
      <w:tblPr>
        <w:tblStyle w:val="45"/>
        <w:tblW w:w="5000" w:type="pct"/>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
      <w:tblGrid>
        <w:gridCol w:w="1290"/>
        <w:gridCol w:w="1919"/>
        <w:gridCol w:w="1919"/>
        <w:gridCol w:w="1797"/>
        <w:gridCol w:w="1797"/>
      </w:tblGrid>
      <w:tr w14:paraId="2AD210A3">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289" w:type="dxa"/>
            <w:vAlign w:val="center"/>
          </w:tcPr>
          <w:p w14:paraId="30382B73">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b/>
                <w:bCs/>
                <w:color w:val="auto"/>
                <w:sz w:val="21"/>
                <w:szCs w:val="21"/>
                <w:highlight w:val="none"/>
              </w:rPr>
            </w:pPr>
            <w:r>
              <w:rPr>
                <w:rFonts w:ascii="Times New Roman" w:hAnsi="Times New Roman" w:cs="Times New Roman"/>
                <w:b/>
                <w:bCs/>
                <w:color w:val="auto"/>
                <w:sz w:val="21"/>
                <w:szCs w:val="21"/>
                <w:highlight w:val="none"/>
              </w:rPr>
              <w:t>环境要素</w:t>
            </w:r>
          </w:p>
        </w:tc>
        <w:tc>
          <w:tcPr>
            <w:tcW w:w="1919" w:type="dxa"/>
            <w:vAlign w:val="center"/>
          </w:tcPr>
          <w:p w14:paraId="209DF257">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b/>
                <w:bCs/>
                <w:color w:val="auto"/>
                <w:sz w:val="21"/>
                <w:szCs w:val="21"/>
                <w:highlight w:val="none"/>
              </w:rPr>
            </w:pPr>
            <w:r>
              <w:rPr>
                <w:rFonts w:ascii="Times New Roman" w:hAnsi="Times New Roman" w:cs="Times New Roman"/>
                <w:b/>
                <w:bCs/>
                <w:color w:val="auto"/>
                <w:sz w:val="21"/>
                <w:szCs w:val="21"/>
                <w:highlight w:val="none"/>
              </w:rPr>
              <w:t>监测点位</w:t>
            </w:r>
          </w:p>
        </w:tc>
        <w:tc>
          <w:tcPr>
            <w:tcW w:w="1919" w:type="dxa"/>
            <w:vAlign w:val="center"/>
          </w:tcPr>
          <w:p w14:paraId="3F5EE8D0">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b/>
                <w:bCs/>
                <w:color w:val="auto"/>
                <w:sz w:val="21"/>
                <w:szCs w:val="21"/>
                <w:highlight w:val="none"/>
              </w:rPr>
            </w:pPr>
            <w:r>
              <w:rPr>
                <w:rFonts w:ascii="Times New Roman" w:hAnsi="Times New Roman" w:cs="Times New Roman"/>
                <w:b/>
                <w:bCs/>
                <w:color w:val="auto"/>
                <w:sz w:val="21"/>
                <w:szCs w:val="21"/>
                <w:highlight w:val="none"/>
              </w:rPr>
              <w:t>监测指标</w:t>
            </w:r>
          </w:p>
        </w:tc>
        <w:tc>
          <w:tcPr>
            <w:tcW w:w="1797" w:type="dxa"/>
            <w:vAlign w:val="center"/>
          </w:tcPr>
          <w:p w14:paraId="5FD0F0C9">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b/>
                <w:bCs/>
                <w:color w:val="auto"/>
                <w:sz w:val="21"/>
                <w:szCs w:val="21"/>
                <w:highlight w:val="none"/>
              </w:rPr>
            </w:pPr>
            <w:r>
              <w:rPr>
                <w:rFonts w:ascii="Times New Roman" w:hAnsi="Times New Roman" w:cs="Times New Roman"/>
                <w:b/>
                <w:bCs/>
                <w:color w:val="auto"/>
                <w:sz w:val="21"/>
                <w:szCs w:val="21"/>
                <w:highlight w:val="none"/>
              </w:rPr>
              <w:t>监测频次</w:t>
            </w:r>
          </w:p>
        </w:tc>
        <w:tc>
          <w:tcPr>
            <w:tcW w:w="1797" w:type="dxa"/>
            <w:vAlign w:val="center"/>
          </w:tcPr>
          <w:p w14:paraId="086A033F">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b/>
                <w:bCs/>
                <w:color w:val="auto"/>
                <w:sz w:val="21"/>
                <w:szCs w:val="21"/>
                <w:highlight w:val="none"/>
              </w:rPr>
            </w:pPr>
            <w:r>
              <w:rPr>
                <w:rFonts w:ascii="Times New Roman" w:hAnsi="Times New Roman" w:cs="Times New Roman"/>
                <w:b/>
                <w:bCs/>
                <w:color w:val="auto"/>
                <w:sz w:val="21"/>
                <w:szCs w:val="21"/>
                <w:highlight w:val="none"/>
              </w:rPr>
              <w:t>监测依据</w:t>
            </w:r>
          </w:p>
        </w:tc>
      </w:tr>
      <w:tr w14:paraId="4F313B01">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289" w:type="dxa"/>
            <w:vAlign w:val="center"/>
          </w:tcPr>
          <w:p w14:paraId="3C0BFBFE">
            <w:pPr>
              <w:keepNext w:val="0"/>
              <w:keepLines w:val="0"/>
              <w:pageBreakBefore w:val="0"/>
              <w:widowControl/>
              <w:kinsoku/>
              <w:wordWrap/>
              <w:overflowPunct/>
              <w:topLinePunct w:val="0"/>
              <w:autoSpaceDE/>
              <w:autoSpaceDN/>
              <w:bidi w:val="0"/>
              <w:adjustRightInd/>
              <w:snapToGrid/>
              <w:ind w:left="0" w:right="0"/>
              <w:jc w:val="center"/>
              <w:textAlignment w:val="auto"/>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噪声</w:t>
            </w:r>
          </w:p>
        </w:tc>
        <w:tc>
          <w:tcPr>
            <w:tcW w:w="1919" w:type="dxa"/>
            <w:vAlign w:val="center"/>
          </w:tcPr>
          <w:p w14:paraId="6C559D6B">
            <w:pPr>
              <w:keepNext w:val="0"/>
              <w:keepLines w:val="0"/>
              <w:pageBreakBefore w:val="0"/>
              <w:widowControl/>
              <w:kinsoku/>
              <w:wordWrap/>
              <w:overflowPunct/>
              <w:topLinePunct w:val="0"/>
              <w:autoSpaceDE/>
              <w:autoSpaceDN/>
              <w:bidi w:val="0"/>
              <w:adjustRightInd/>
              <w:snapToGrid/>
              <w:ind w:left="0" w:right="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周巷头、</w:t>
            </w:r>
          </w:p>
        </w:tc>
        <w:tc>
          <w:tcPr>
            <w:tcW w:w="1919" w:type="dxa"/>
            <w:vAlign w:val="center"/>
          </w:tcPr>
          <w:p w14:paraId="2C3BFFD4">
            <w:pPr>
              <w:keepNext w:val="0"/>
              <w:keepLines w:val="0"/>
              <w:pageBreakBefore w:val="0"/>
              <w:widowControl/>
              <w:kinsoku/>
              <w:wordWrap/>
              <w:overflowPunct/>
              <w:topLinePunct w:val="0"/>
              <w:autoSpaceDE/>
              <w:autoSpaceDN/>
              <w:bidi w:val="0"/>
              <w:adjustRightInd/>
              <w:snapToGrid/>
              <w:ind w:left="0" w:right="0"/>
              <w:jc w:val="center"/>
              <w:textAlignment w:val="auto"/>
              <w:rPr>
                <w:rFonts w:hint="eastAsia" w:ascii="Times New Roman" w:hAnsi="Times New Roman" w:cs="Times New Roman"/>
                <w:color w:val="auto"/>
                <w:sz w:val="21"/>
                <w:szCs w:val="21"/>
                <w:highlight w:val="none"/>
              </w:rPr>
            </w:pPr>
          </w:p>
        </w:tc>
        <w:tc>
          <w:tcPr>
            <w:tcW w:w="1797" w:type="dxa"/>
            <w:vAlign w:val="center"/>
          </w:tcPr>
          <w:p w14:paraId="3C305765">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21"/>
                <w:highlight w:val="none"/>
              </w:rPr>
            </w:pPr>
          </w:p>
        </w:tc>
        <w:tc>
          <w:tcPr>
            <w:tcW w:w="1797" w:type="dxa"/>
            <w:vAlign w:val="center"/>
          </w:tcPr>
          <w:p w14:paraId="63C657C9">
            <w:pPr>
              <w:keepNext w:val="0"/>
              <w:keepLines w:val="0"/>
              <w:pageBreakBefore w:val="0"/>
              <w:widowControl/>
              <w:kinsoku/>
              <w:wordWrap/>
              <w:overflowPunct/>
              <w:topLinePunct w:val="0"/>
              <w:autoSpaceDE/>
              <w:autoSpaceDN/>
              <w:bidi w:val="0"/>
              <w:adjustRightInd/>
              <w:snapToGrid/>
              <w:ind w:left="0" w:right="0"/>
              <w:jc w:val="center"/>
              <w:textAlignment w:val="auto"/>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w:t>
            </w:r>
          </w:p>
        </w:tc>
      </w:tr>
      <w:tr w14:paraId="099F362A">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289" w:type="dxa"/>
            <w:vAlign w:val="center"/>
          </w:tcPr>
          <w:p w14:paraId="3E4347B2">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地下水</w:t>
            </w:r>
          </w:p>
        </w:tc>
        <w:tc>
          <w:tcPr>
            <w:tcW w:w="1919" w:type="dxa"/>
            <w:vAlign w:val="center"/>
          </w:tcPr>
          <w:p w14:paraId="302CA6BD">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周边</w:t>
            </w:r>
          </w:p>
        </w:tc>
        <w:tc>
          <w:tcPr>
            <w:tcW w:w="1919" w:type="dxa"/>
            <w:vAlign w:val="center"/>
          </w:tcPr>
          <w:p w14:paraId="4FAFB5B4">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pH值、挥发性有机污染物、半挥发性有机污染物和石油烃</w:t>
            </w:r>
          </w:p>
        </w:tc>
        <w:tc>
          <w:tcPr>
            <w:tcW w:w="1797" w:type="dxa"/>
            <w:vAlign w:val="center"/>
          </w:tcPr>
          <w:p w14:paraId="382F447D">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1次/年</w:t>
            </w:r>
          </w:p>
        </w:tc>
        <w:tc>
          <w:tcPr>
            <w:tcW w:w="1797" w:type="dxa"/>
            <w:vMerge w:val="restart"/>
            <w:vAlign w:val="center"/>
          </w:tcPr>
          <w:p w14:paraId="126BF5EE">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《排污单位自行监测技术指南电子工业》（HJ1253-2022）</w:t>
            </w:r>
          </w:p>
        </w:tc>
      </w:tr>
      <w:tr w14:paraId="4C701BB4">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289" w:type="dxa"/>
            <w:vAlign w:val="center"/>
          </w:tcPr>
          <w:p w14:paraId="291FE9EE">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土壤</w:t>
            </w:r>
          </w:p>
        </w:tc>
        <w:tc>
          <w:tcPr>
            <w:tcW w:w="1919" w:type="dxa"/>
            <w:vAlign w:val="center"/>
          </w:tcPr>
          <w:p w14:paraId="31ECC4D4">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土壤敏感目标附近</w:t>
            </w:r>
          </w:p>
        </w:tc>
        <w:tc>
          <w:tcPr>
            <w:tcW w:w="1919" w:type="dxa"/>
            <w:vAlign w:val="center"/>
          </w:tcPr>
          <w:p w14:paraId="5C523214">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pH、挥发性有机污染物、半挥发性有机污染物和石油烃</w:t>
            </w:r>
          </w:p>
        </w:tc>
        <w:tc>
          <w:tcPr>
            <w:tcW w:w="1797" w:type="dxa"/>
            <w:vAlign w:val="center"/>
          </w:tcPr>
          <w:p w14:paraId="47A17551">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1次/年</w:t>
            </w:r>
          </w:p>
        </w:tc>
        <w:tc>
          <w:tcPr>
            <w:tcW w:w="1797" w:type="dxa"/>
            <w:vMerge w:val="continue"/>
            <w:vAlign w:val="center"/>
          </w:tcPr>
          <w:p w14:paraId="587646F6">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21"/>
                <w:highlight w:val="none"/>
              </w:rPr>
            </w:pPr>
          </w:p>
        </w:tc>
      </w:tr>
    </w:tbl>
    <w:p w14:paraId="2E59AED5">
      <w:pPr>
        <w:pStyle w:val="5"/>
        <w:keepLines w:val="0"/>
        <w:numPr>
          <w:ilvl w:val="0"/>
          <w:numId w:val="0"/>
        </w:numPr>
        <w:tabs>
          <w:tab w:val="left" w:pos="141"/>
          <w:tab w:val="left" w:pos="567"/>
          <w:tab w:val="left" w:pos="709"/>
        </w:tabs>
        <w:spacing w:before="120" w:beforeLines="50" w:after="0" w:line="360" w:lineRule="auto"/>
        <w:ind w:right="-105"/>
        <w:rPr>
          <w:rFonts w:eastAsia="宋体"/>
          <w:color w:val="auto"/>
          <w:sz w:val="28"/>
          <w:szCs w:val="28"/>
          <w:highlight w:val="none"/>
        </w:rPr>
      </w:pPr>
      <w:r>
        <w:rPr>
          <w:rFonts w:hint="eastAsia" w:eastAsia="宋体"/>
          <w:color w:val="auto"/>
          <w:sz w:val="28"/>
          <w:szCs w:val="28"/>
          <w:highlight w:val="none"/>
        </w:rPr>
        <w:t>9.3.3</w:t>
      </w:r>
      <w:r>
        <w:rPr>
          <w:rFonts w:eastAsia="宋体"/>
          <w:color w:val="auto"/>
          <w:sz w:val="28"/>
          <w:szCs w:val="28"/>
          <w:highlight w:val="none"/>
        </w:rPr>
        <w:t>污染源监测</w:t>
      </w:r>
      <w:r>
        <w:rPr>
          <w:rFonts w:hint="eastAsia" w:eastAsia="宋体"/>
          <w:color w:val="auto"/>
          <w:sz w:val="28"/>
          <w:szCs w:val="28"/>
          <w:highlight w:val="none"/>
        </w:rPr>
        <w:t>计划</w:t>
      </w:r>
    </w:p>
    <w:p w14:paraId="052E6E1D">
      <w:pPr>
        <w:widowControl w:val="0"/>
        <w:adjustRightInd w:val="0"/>
        <w:snapToGrid w:val="0"/>
        <w:spacing w:line="360" w:lineRule="auto"/>
        <w:ind w:left="-105" w:right="-105" w:firstLine="480"/>
        <w:jc w:val="both"/>
        <w:rPr>
          <w:rFonts w:ascii="Times New Roman" w:hAnsi="Times New Roman" w:cs="Times New Roman"/>
          <w:snapToGrid w:val="0"/>
          <w:color w:val="auto"/>
          <w:szCs w:val="20"/>
          <w:highlight w:val="none"/>
        </w:rPr>
      </w:pPr>
      <w:r>
        <w:rPr>
          <w:rFonts w:ascii="Times New Roman" w:hAnsi="Times New Roman" w:cs="Times New Roman"/>
          <w:snapToGrid w:val="0"/>
          <w:color w:val="auto"/>
          <w:szCs w:val="20"/>
          <w:highlight w:val="none"/>
        </w:rPr>
        <w:t>建设单位应按照《固定污染源排污许可分类管理目录》(2019年版)、《排污单位自行监测技术指南</w:t>
      </w:r>
      <w:r>
        <w:rPr>
          <w:rFonts w:hint="eastAsia" w:ascii="Times New Roman" w:hAnsi="Times New Roman" w:cs="Times New Roman"/>
          <w:snapToGrid w:val="0"/>
          <w:color w:val="auto"/>
          <w:szCs w:val="20"/>
          <w:highlight w:val="none"/>
        </w:rPr>
        <w:t xml:space="preserve"> </w:t>
      </w:r>
      <w:r>
        <w:rPr>
          <w:rFonts w:ascii="Times New Roman" w:hAnsi="Times New Roman" w:cs="Times New Roman"/>
          <w:snapToGrid w:val="0"/>
          <w:color w:val="auto"/>
          <w:szCs w:val="20"/>
          <w:highlight w:val="none"/>
        </w:rPr>
        <w:t>总则》（HJ819-2017）、</w:t>
      </w:r>
      <w:r>
        <w:rPr>
          <w:rFonts w:hint="eastAsia" w:ascii="Times New Roman" w:hAnsi="Times New Roman" w:cs="Times New Roman"/>
          <w:snapToGrid w:val="0"/>
          <w:color w:val="auto"/>
          <w:szCs w:val="20"/>
          <w:highlight w:val="none"/>
        </w:rPr>
        <w:t>参照</w:t>
      </w:r>
      <w:r>
        <w:rPr>
          <w:rFonts w:hint="eastAsia" w:ascii="Times New Roman" w:hAnsi="Times New Roman" w:cs="Times New Roman"/>
          <w:color w:val="auto"/>
          <w:kern w:val="2"/>
          <w:szCs w:val="20"/>
          <w:highlight w:val="none"/>
        </w:rPr>
        <w:t>《排污许可证申请与核发技术规范 石化工业》（HJ853-2017）</w:t>
      </w:r>
      <w:r>
        <w:rPr>
          <w:rFonts w:ascii="Times New Roman" w:hAnsi="Times New Roman" w:cs="Times New Roman"/>
          <w:snapToGrid w:val="0"/>
          <w:color w:val="auto"/>
          <w:szCs w:val="20"/>
          <w:highlight w:val="none"/>
        </w:rPr>
        <w:t>、</w:t>
      </w:r>
      <w:r>
        <w:rPr>
          <w:rFonts w:hint="eastAsia" w:ascii="Times New Roman" w:hAnsi="Times New Roman" w:cs="Times New Roman"/>
          <w:snapToGrid w:val="0"/>
          <w:color w:val="auto"/>
          <w:szCs w:val="20"/>
          <w:highlight w:val="none"/>
        </w:rPr>
        <w:t>《排污单位自行监测技术指南 电子工业》（HJ1253-2022）、</w:t>
      </w:r>
      <w:r>
        <w:rPr>
          <w:rFonts w:ascii="Times New Roman" w:hAnsi="Times New Roman" w:cs="Times New Roman"/>
          <w:snapToGrid w:val="0"/>
          <w:color w:val="auto"/>
          <w:szCs w:val="20"/>
          <w:highlight w:val="none"/>
        </w:rPr>
        <w:t>《工业企业土壤和地下水自行监测技术指南（试行）》（HJ1209-2021）、</w:t>
      </w:r>
      <w:r>
        <w:rPr>
          <w:rFonts w:ascii="Times New Roman" w:hAnsi="Times New Roman" w:cs="Times New Roman"/>
          <w:color w:val="auto"/>
          <w:highlight w:val="none"/>
        </w:rPr>
        <w:t>《江苏省污染源自动监控管理办法（试行）》</w:t>
      </w:r>
      <w:r>
        <w:rPr>
          <w:rFonts w:ascii="Times New Roman" w:hAnsi="Times New Roman" w:cs="Times New Roman"/>
          <w:snapToGrid w:val="0"/>
          <w:color w:val="auto"/>
          <w:szCs w:val="20"/>
          <w:highlight w:val="none"/>
        </w:rPr>
        <w:t>等相关要求，根据项目核定的污染源（废气、废水、噪声、固废等）排放特点以及污染防治设施运行情况，开展污染源监测工作，明确在线监测设备的布设和监测因子，建议具体监测计划如下。</w:t>
      </w:r>
    </w:p>
    <w:p w14:paraId="1159DA05">
      <w:pPr>
        <w:pStyle w:val="15"/>
        <w:ind w:left="-105" w:right="-105" w:firstLine="482"/>
        <w:rPr>
          <w:rFonts w:eastAsia="宋体"/>
          <w:b w:val="0"/>
          <w:snapToGrid w:val="0"/>
          <w:color w:val="auto"/>
          <w:highlight w:val="none"/>
        </w:rPr>
      </w:pPr>
      <w:r>
        <w:rPr>
          <w:rFonts w:eastAsia="宋体"/>
          <w:color w:val="auto"/>
          <w:sz w:val="24"/>
          <w:szCs w:val="24"/>
          <w:highlight w:val="none"/>
        </w:rPr>
        <w:t>表</w:t>
      </w:r>
      <w:r>
        <w:rPr>
          <w:rFonts w:hint="eastAsia" w:eastAsia="宋体"/>
          <w:color w:val="auto"/>
          <w:sz w:val="24"/>
          <w:szCs w:val="24"/>
          <w:highlight w:val="none"/>
        </w:rPr>
        <w:t>9.3-2</w:t>
      </w:r>
      <w:r>
        <w:rPr>
          <w:rFonts w:eastAsia="宋体"/>
          <w:snapToGrid w:val="0"/>
          <w:color w:val="auto"/>
          <w:kern w:val="0"/>
          <w:sz w:val="24"/>
          <w:szCs w:val="24"/>
          <w:highlight w:val="none"/>
        </w:rPr>
        <w:t>营</w:t>
      </w:r>
      <w:r>
        <w:rPr>
          <w:rFonts w:eastAsia="宋体"/>
          <w:snapToGrid w:val="0"/>
          <w:color w:val="auto"/>
          <w:kern w:val="0"/>
          <w:sz w:val="24"/>
          <w:highlight w:val="none"/>
        </w:rPr>
        <w:t>运期污染源监测计划</w:t>
      </w:r>
    </w:p>
    <w:tbl>
      <w:tblPr>
        <w:tblStyle w:val="45"/>
        <w:tblW w:w="9072" w:type="dxa"/>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
      <w:tblGrid>
        <w:gridCol w:w="1170"/>
        <w:gridCol w:w="1286"/>
        <w:gridCol w:w="1950"/>
        <w:gridCol w:w="1362"/>
        <w:gridCol w:w="1603"/>
        <w:gridCol w:w="1701"/>
      </w:tblGrid>
      <w:tr w14:paraId="1C1DDBD3">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tblHeader/>
          <w:jc w:val="center"/>
        </w:trPr>
        <w:tc>
          <w:tcPr>
            <w:tcW w:w="1170" w:type="dxa"/>
            <w:vAlign w:val="center"/>
          </w:tcPr>
          <w:p w14:paraId="4F542696">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b/>
                <w:bCs/>
                <w:color w:val="auto"/>
                <w:sz w:val="21"/>
                <w:szCs w:val="21"/>
                <w:highlight w:val="none"/>
              </w:rPr>
            </w:pPr>
            <w:r>
              <w:rPr>
                <w:rFonts w:ascii="Times New Roman" w:hAnsi="Times New Roman" w:cs="Times New Roman"/>
                <w:b/>
                <w:bCs/>
                <w:color w:val="auto"/>
                <w:sz w:val="21"/>
                <w:szCs w:val="21"/>
                <w:highlight w:val="none"/>
              </w:rPr>
              <w:t>污染源</w:t>
            </w:r>
          </w:p>
        </w:tc>
        <w:tc>
          <w:tcPr>
            <w:tcW w:w="1286" w:type="dxa"/>
            <w:vAlign w:val="center"/>
          </w:tcPr>
          <w:p w14:paraId="37D2FA69">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b/>
                <w:bCs/>
                <w:color w:val="auto"/>
                <w:sz w:val="21"/>
                <w:szCs w:val="21"/>
                <w:highlight w:val="none"/>
              </w:rPr>
            </w:pPr>
            <w:r>
              <w:rPr>
                <w:rFonts w:ascii="Times New Roman" w:hAnsi="Times New Roman" w:cs="Times New Roman"/>
                <w:b/>
                <w:bCs/>
                <w:color w:val="auto"/>
                <w:sz w:val="21"/>
                <w:szCs w:val="21"/>
                <w:highlight w:val="none"/>
              </w:rPr>
              <w:t>监测点位</w:t>
            </w:r>
          </w:p>
        </w:tc>
        <w:tc>
          <w:tcPr>
            <w:tcW w:w="1950" w:type="dxa"/>
            <w:vAlign w:val="center"/>
          </w:tcPr>
          <w:p w14:paraId="19297D81">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b/>
                <w:bCs/>
                <w:color w:val="auto"/>
                <w:sz w:val="21"/>
                <w:szCs w:val="21"/>
                <w:highlight w:val="none"/>
              </w:rPr>
            </w:pPr>
            <w:r>
              <w:rPr>
                <w:rFonts w:ascii="Times New Roman" w:hAnsi="Times New Roman" w:cs="Times New Roman"/>
                <w:b/>
                <w:bCs/>
                <w:color w:val="auto"/>
                <w:sz w:val="21"/>
                <w:szCs w:val="21"/>
                <w:highlight w:val="none"/>
              </w:rPr>
              <w:t>监测因子</w:t>
            </w:r>
          </w:p>
        </w:tc>
        <w:tc>
          <w:tcPr>
            <w:tcW w:w="1362" w:type="dxa"/>
            <w:vAlign w:val="center"/>
          </w:tcPr>
          <w:p w14:paraId="706715AB">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b/>
                <w:bCs/>
                <w:color w:val="auto"/>
                <w:sz w:val="21"/>
                <w:szCs w:val="21"/>
                <w:highlight w:val="none"/>
              </w:rPr>
            </w:pPr>
            <w:r>
              <w:rPr>
                <w:rFonts w:ascii="Times New Roman" w:hAnsi="Times New Roman" w:cs="Times New Roman"/>
                <w:b/>
                <w:bCs/>
                <w:color w:val="auto"/>
                <w:sz w:val="21"/>
                <w:szCs w:val="21"/>
                <w:highlight w:val="none"/>
              </w:rPr>
              <w:t>监测频次</w:t>
            </w:r>
          </w:p>
        </w:tc>
        <w:tc>
          <w:tcPr>
            <w:tcW w:w="1603" w:type="dxa"/>
            <w:vAlign w:val="center"/>
          </w:tcPr>
          <w:p w14:paraId="2473A98B">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b/>
                <w:bCs/>
                <w:color w:val="auto"/>
                <w:sz w:val="21"/>
                <w:szCs w:val="21"/>
                <w:highlight w:val="none"/>
              </w:rPr>
            </w:pPr>
            <w:r>
              <w:rPr>
                <w:rFonts w:hint="eastAsia" w:ascii="Times New Roman" w:hAnsi="Times New Roman" w:cs="Times New Roman"/>
                <w:b/>
                <w:bCs/>
                <w:color w:val="auto"/>
                <w:sz w:val="21"/>
                <w:szCs w:val="21"/>
                <w:highlight w:val="none"/>
              </w:rPr>
              <w:t>手工监测采样方法及个数</w:t>
            </w:r>
          </w:p>
        </w:tc>
        <w:tc>
          <w:tcPr>
            <w:tcW w:w="1701" w:type="dxa"/>
            <w:vAlign w:val="center"/>
          </w:tcPr>
          <w:p w14:paraId="66B07D44">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b/>
                <w:bCs/>
                <w:color w:val="auto"/>
                <w:sz w:val="21"/>
                <w:szCs w:val="21"/>
                <w:highlight w:val="none"/>
              </w:rPr>
            </w:pPr>
            <w:r>
              <w:rPr>
                <w:rFonts w:ascii="Times New Roman" w:hAnsi="Times New Roman" w:cs="Times New Roman"/>
                <w:b/>
                <w:bCs/>
                <w:color w:val="auto"/>
                <w:sz w:val="21"/>
                <w:szCs w:val="21"/>
                <w:highlight w:val="none"/>
              </w:rPr>
              <w:t>监测依据</w:t>
            </w:r>
          </w:p>
        </w:tc>
      </w:tr>
      <w:tr w14:paraId="06851C4B">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170" w:type="dxa"/>
            <w:vMerge w:val="restart"/>
            <w:vAlign w:val="center"/>
          </w:tcPr>
          <w:p w14:paraId="5FA97D0D">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废气</w:t>
            </w:r>
          </w:p>
        </w:tc>
        <w:tc>
          <w:tcPr>
            <w:tcW w:w="1286" w:type="dxa"/>
            <w:vAlign w:val="center"/>
          </w:tcPr>
          <w:p w14:paraId="79FA1236">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DA005</w:t>
            </w:r>
          </w:p>
        </w:tc>
        <w:tc>
          <w:tcPr>
            <w:tcW w:w="1950" w:type="dxa"/>
            <w:vAlign w:val="center"/>
          </w:tcPr>
          <w:p w14:paraId="449CD5DA">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非甲烷总烃</w:t>
            </w:r>
          </w:p>
        </w:tc>
        <w:tc>
          <w:tcPr>
            <w:tcW w:w="1362" w:type="dxa"/>
            <w:vAlign w:val="center"/>
          </w:tcPr>
          <w:p w14:paraId="3EA42801">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1次/</w:t>
            </w:r>
            <w:r>
              <w:rPr>
                <w:rFonts w:hint="eastAsia" w:ascii="Times New Roman" w:hAnsi="Times New Roman" w:cs="Times New Roman"/>
                <w:color w:val="auto"/>
                <w:sz w:val="21"/>
                <w:szCs w:val="21"/>
                <w:highlight w:val="none"/>
              </w:rPr>
              <w:t>月</w:t>
            </w:r>
          </w:p>
        </w:tc>
        <w:tc>
          <w:tcPr>
            <w:tcW w:w="1603" w:type="dxa"/>
            <w:vAlign w:val="center"/>
          </w:tcPr>
          <w:p w14:paraId="03EBF1F5">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非连续采样</w:t>
            </w:r>
            <w:r>
              <w:rPr>
                <w:rFonts w:ascii="Times New Roman" w:hAnsi="Times New Roman" w:cs="Times New Roman"/>
                <w:color w:val="auto"/>
                <w:sz w:val="21"/>
                <w:szCs w:val="21"/>
                <w:highlight w:val="none"/>
              </w:rPr>
              <w:t>至少3个</w:t>
            </w:r>
          </w:p>
        </w:tc>
        <w:tc>
          <w:tcPr>
            <w:tcW w:w="1701" w:type="dxa"/>
            <w:vMerge w:val="restart"/>
            <w:vAlign w:val="center"/>
          </w:tcPr>
          <w:p w14:paraId="04C43E97">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kern w:val="2"/>
                <w:sz w:val="21"/>
                <w:szCs w:val="21"/>
                <w:highlight w:val="none"/>
              </w:rPr>
              <w:t>《排污许可证申请与核发技术规范 石化工业》（HJ853-2017）、《排污单位自行监测技术指南电子工业》（HJ1253-2022）</w:t>
            </w:r>
          </w:p>
        </w:tc>
      </w:tr>
      <w:tr w14:paraId="349AD190">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170" w:type="dxa"/>
            <w:vMerge w:val="continue"/>
            <w:vAlign w:val="center"/>
          </w:tcPr>
          <w:p w14:paraId="26669730">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21"/>
                <w:highlight w:val="none"/>
              </w:rPr>
            </w:pPr>
          </w:p>
        </w:tc>
        <w:tc>
          <w:tcPr>
            <w:tcW w:w="1286" w:type="dxa"/>
            <w:vAlign w:val="center"/>
          </w:tcPr>
          <w:p w14:paraId="65F53A68">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DA006</w:t>
            </w:r>
          </w:p>
        </w:tc>
        <w:tc>
          <w:tcPr>
            <w:tcW w:w="1950" w:type="dxa"/>
            <w:vAlign w:val="center"/>
          </w:tcPr>
          <w:p w14:paraId="5B20BAEA">
            <w:pPr>
              <w:keepNext w:val="0"/>
              <w:keepLines w:val="0"/>
              <w:pageBreakBefore w:val="0"/>
              <w:widowControl/>
              <w:kinsoku/>
              <w:wordWrap/>
              <w:overflowPunct/>
              <w:topLinePunct w:val="0"/>
              <w:autoSpaceDE/>
              <w:autoSpaceDN/>
              <w:bidi w:val="0"/>
              <w:adjustRightInd/>
              <w:snapToGrid/>
              <w:ind w:left="0" w:right="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rPr>
              <w:t>非甲烷总烃</w:t>
            </w:r>
            <w:r>
              <w:rPr>
                <w:rFonts w:hint="eastAsia" w:ascii="Times New Roman" w:hAnsi="Times New Roman" w:cs="Times New Roman"/>
                <w:color w:val="auto"/>
                <w:sz w:val="21"/>
                <w:szCs w:val="21"/>
                <w:highlight w:val="none"/>
                <w:lang w:eastAsia="zh-CN"/>
              </w:rPr>
              <w:t>、</w:t>
            </w:r>
            <w:r>
              <w:rPr>
                <w:rFonts w:hint="eastAsia" w:ascii="Times New Roman" w:hAnsi="Times New Roman" w:cs="Times New Roman"/>
                <w:color w:val="auto"/>
                <w:sz w:val="21"/>
                <w:szCs w:val="21"/>
                <w:highlight w:val="none"/>
                <w:lang w:val="en-US" w:eastAsia="zh-CN"/>
              </w:rPr>
              <w:t>氮氧化物</w:t>
            </w:r>
          </w:p>
        </w:tc>
        <w:tc>
          <w:tcPr>
            <w:tcW w:w="1362" w:type="dxa"/>
            <w:vAlign w:val="center"/>
          </w:tcPr>
          <w:p w14:paraId="1FC07A94">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1次/半年</w:t>
            </w:r>
          </w:p>
        </w:tc>
        <w:tc>
          <w:tcPr>
            <w:tcW w:w="1603" w:type="dxa"/>
            <w:vAlign w:val="center"/>
          </w:tcPr>
          <w:p w14:paraId="3C12C73A">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非连续采样</w:t>
            </w:r>
            <w:r>
              <w:rPr>
                <w:rFonts w:ascii="Times New Roman" w:hAnsi="Times New Roman" w:cs="Times New Roman"/>
                <w:color w:val="auto"/>
                <w:sz w:val="21"/>
                <w:szCs w:val="21"/>
                <w:highlight w:val="none"/>
              </w:rPr>
              <w:t>至少3个</w:t>
            </w:r>
          </w:p>
        </w:tc>
        <w:tc>
          <w:tcPr>
            <w:tcW w:w="1701" w:type="dxa"/>
            <w:vMerge w:val="continue"/>
            <w:vAlign w:val="center"/>
          </w:tcPr>
          <w:p w14:paraId="5B3F2958">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21"/>
                <w:highlight w:val="none"/>
              </w:rPr>
            </w:pPr>
          </w:p>
        </w:tc>
      </w:tr>
      <w:tr w14:paraId="6683163B">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170" w:type="dxa"/>
            <w:vMerge w:val="continue"/>
            <w:vAlign w:val="center"/>
          </w:tcPr>
          <w:p w14:paraId="5212BB3B">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21"/>
                <w:highlight w:val="none"/>
              </w:rPr>
            </w:pPr>
          </w:p>
        </w:tc>
        <w:tc>
          <w:tcPr>
            <w:tcW w:w="1286" w:type="dxa"/>
            <w:vAlign w:val="center"/>
          </w:tcPr>
          <w:p w14:paraId="5E2A588F">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bCs/>
                <w:color w:val="auto"/>
                <w:sz w:val="21"/>
                <w:szCs w:val="21"/>
                <w:highlight w:val="none"/>
              </w:rPr>
              <w:t>厂界</w:t>
            </w:r>
          </w:p>
        </w:tc>
        <w:tc>
          <w:tcPr>
            <w:tcW w:w="1950" w:type="dxa"/>
            <w:vAlign w:val="center"/>
          </w:tcPr>
          <w:p w14:paraId="485F68AE">
            <w:pPr>
              <w:keepNext w:val="0"/>
              <w:keepLines w:val="0"/>
              <w:pageBreakBefore w:val="0"/>
              <w:widowControl/>
              <w:kinsoku/>
              <w:wordWrap/>
              <w:overflowPunct/>
              <w:topLinePunct w:val="0"/>
              <w:autoSpaceDE/>
              <w:autoSpaceDN/>
              <w:bidi w:val="0"/>
              <w:adjustRightInd/>
              <w:snapToGrid/>
              <w:ind w:left="0" w:right="0"/>
              <w:jc w:val="center"/>
              <w:textAlignment w:val="auto"/>
              <w:rPr>
                <w:rFonts w:hint="default" w:ascii="Times New Roman" w:hAnsi="Times New Roman" w:cs="Times New Roman"/>
                <w:color w:val="auto"/>
                <w:sz w:val="21"/>
                <w:szCs w:val="21"/>
                <w:highlight w:val="none"/>
                <w:lang w:val="en-US"/>
              </w:rPr>
            </w:pPr>
            <w:r>
              <w:rPr>
                <w:rFonts w:ascii="Times New Roman" w:hAnsi="Times New Roman" w:cs="Times New Roman"/>
                <w:color w:val="auto"/>
                <w:sz w:val="21"/>
                <w:szCs w:val="21"/>
                <w:highlight w:val="none"/>
              </w:rPr>
              <w:t>非甲烷总烃</w:t>
            </w:r>
            <w:r>
              <w:rPr>
                <w:rFonts w:hint="eastAsia" w:ascii="Times New Roman" w:hAnsi="Times New Roman" w:cs="Times New Roman"/>
                <w:color w:val="auto"/>
                <w:sz w:val="21"/>
                <w:szCs w:val="21"/>
                <w:highlight w:val="none"/>
                <w:lang w:eastAsia="zh-CN"/>
              </w:rPr>
              <w:t>、</w:t>
            </w:r>
            <w:r>
              <w:rPr>
                <w:rFonts w:hint="eastAsia" w:ascii="Times New Roman" w:hAnsi="Times New Roman" w:cs="Times New Roman"/>
                <w:color w:val="auto"/>
                <w:sz w:val="21"/>
                <w:szCs w:val="21"/>
                <w:highlight w:val="none"/>
                <w:lang w:val="en-US" w:eastAsia="zh-CN"/>
              </w:rPr>
              <w:t>氮氧化物、甲醇</w:t>
            </w:r>
          </w:p>
        </w:tc>
        <w:tc>
          <w:tcPr>
            <w:tcW w:w="1362" w:type="dxa"/>
            <w:vAlign w:val="center"/>
          </w:tcPr>
          <w:p w14:paraId="2891F07D">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1次/</w:t>
            </w:r>
            <w:r>
              <w:rPr>
                <w:rFonts w:hint="eastAsia" w:ascii="Times New Roman" w:hAnsi="Times New Roman" w:cs="Times New Roman"/>
                <w:color w:val="auto"/>
                <w:sz w:val="21"/>
                <w:szCs w:val="21"/>
                <w:highlight w:val="none"/>
              </w:rPr>
              <w:t>季度</w:t>
            </w:r>
          </w:p>
        </w:tc>
        <w:tc>
          <w:tcPr>
            <w:tcW w:w="1603" w:type="dxa"/>
            <w:vAlign w:val="center"/>
          </w:tcPr>
          <w:p w14:paraId="202D157E">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非连续采样</w:t>
            </w:r>
            <w:r>
              <w:rPr>
                <w:rFonts w:ascii="Times New Roman" w:hAnsi="Times New Roman" w:cs="Times New Roman"/>
                <w:color w:val="auto"/>
                <w:sz w:val="21"/>
                <w:szCs w:val="21"/>
                <w:highlight w:val="none"/>
              </w:rPr>
              <w:t>至少3个</w:t>
            </w:r>
          </w:p>
        </w:tc>
        <w:tc>
          <w:tcPr>
            <w:tcW w:w="1701" w:type="dxa"/>
            <w:vMerge w:val="continue"/>
            <w:vAlign w:val="center"/>
          </w:tcPr>
          <w:p w14:paraId="2F6A6BD1">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21"/>
                <w:highlight w:val="none"/>
              </w:rPr>
            </w:pPr>
          </w:p>
        </w:tc>
      </w:tr>
      <w:tr w14:paraId="533F0F0F">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170" w:type="dxa"/>
            <w:vMerge w:val="continue"/>
            <w:vAlign w:val="center"/>
          </w:tcPr>
          <w:p w14:paraId="0C795D58">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21"/>
                <w:highlight w:val="none"/>
              </w:rPr>
            </w:pPr>
          </w:p>
        </w:tc>
        <w:tc>
          <w:tcPr>
            <w:tcW w:w="1286" w:type="dxa"/>
            <w:vAlign w:val="center"/>
          </w:tcPr>
          <w:p w14:paraId="4F2A3FF5">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bCs/>
                <w:color w:val="auto"/>
                <w:sz w:val="21"/>
                <w:szCs w:val="21"/>
                <w:highlight w:val="none"/>
              </w:rPr>
              <w:t>厂内</w:t>
            </w:r>
            <w:r>
              <w:rPr>
                <w:rFonts w:hint="eastAsia" w:ascii="Times New Roman" w:hAnsi="Times New Roman" w:cs="Times New Roman"/>
                <w:bCs/>
                <w:color w:val="auto"/>
                <w:sz w:val="21"/>
                <w:szCs w:val="21"/>
                <w:highlight w:val="none"/>
              </w:rPr>
              <w:t>（泵、压缩机、阀门、开口阀或开口管线、气体/蒸气泄压设备、取样连接系统）</w:t>
            </w:r>
          </w:p>
        </w:tc>
        <w:tc>
          <w:tcPr>
            <w:tcW w:w="1950" w:type="dxa"/>
            <w:vAlign w:val="center"/>
          </w:tcPr>
          <w:p w14:paraId="3FD6C7F2">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非甲烷总烃</w:t>
            </w:r>
          </w:p>
        </w:tc>
        <w:tc>
          <w:tcPr>
            <w:tcW w:w="1362" w:type="dxa"/>
            <w:vAlign w:val="center"/>
          </w:tcPr>
          <w:p w14:paraId="3F0D15E6">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1次/</w:t>
            </w:r>
            <w:r>
              <w:rPr>
                <w:rFonts w:hint="eastAsia" w:ascii="Times New Roman" w:hAnsi="Times New Roman" w:cs="Times New Roman"/>
                <w:color w:val="auto"/>
                <w:sz w:val="21"/>
                <w:szCs w:val="21"/>
                <w:highlight w:val="none"/>
              </w:rPr>
              <w:t>季度</w:t>
            </w:r>
          </w:p>
        </w:tc>
        <w:tc>
          <w:tcPr>
            <w:tcW w:w="1603" w:type="dxa"/>
            <w:vAlign w:val="center"/>
          </w:tcPr>
          <w:p w14:paraId="3FCA7260">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非连续采样</w:t>
            </w:r>
            <w:r>
              <w:rPr>
                <w:rFonts w:ascii="Times New Roman" w:hAnsi="Times New Roman" w:cs="Times New Roman"/>
                <w:color w:val="auto"/>
                <w:sz w:val="21"/>
                <w:szCs w:val="21"/>
                <w:highlight w:val="none"/>
              </w:rPr>
              <w:t>至少3个</w:t>
            </w:r>
          </w:p>
        </w:tc>
        <w:tc>
          <w:tcPr>
            <w:tcW w:w="1701" w:type="dxa"/>
            <w:vMerge w:val="continue"/>
            <w:vAlign w:val="center"/>
          </w:tcPr>
          <w:p w14:paraId="10D6FF18">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21"/>
                <w:highlight w:val="none"/>
              </w:rPr>
            </w:pPr>
          </w:p>
        </w:tc>
      </w:tr>
      <w:tr w14:paraId="12091043">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170" w:type="dxa"/>
            <w:vMerge w:val="continue"/>
            <w:vAlign w:val="center"/>
          </w:tcPr>
          <w:p w14:paraId="46776B17">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21"/>
                <w:highlight w:val="none"/>
              </w:rPr>
            </w:pPr>
          </w:p>
        </w:tc>
        <w:tc>
          <w:tcPr>
            <w:tcW w:w="1286" w:type="dxa"/>
            <w:vAlign w:val="center"/>
          </w:tcPr>
          <w:p w14:paraId="6E633E15">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bCs/>
                <w:color w:val="auto"/>
                <w:sz w:val="21"/>
                <w:szCs w:val="21"/>
                <w:highlight w:val="none"/>
              </w:rPr>
            </w:pPr>
            <w:r>
              <w:rPr>
                <w:rFonts w:ascii="Times New Roman" w:hAnsi="Times New Roman" w:cs="Times New Roman"/>
                <w:bCs/>
                <w:color w:val="auto"/>
                <w:sz w:val="21"/>
                <w:szCs w:val="21"/>
                <w:highlight w:val="none"/>
              </w:rPr>
              <w:t>厂内</w:t>
            </w:r>
            <w:r>
              <w:rPr>
                <w:rFonts w:hint="eastAsia" w:ascii="Times New Roman" w:hAnsi="Times New Roman" w:cs="Times New Roman"/>
                <w:bCs/>
                <w:color w:val="auto"/>
                <w:sz w:val="21"/>
                <w:szCs w:val="21"/>
                <w:highlight w:val="none"/>
              </w:rPr>
              <w:t>（法兰及其他连接件、其他密封设备）</w:t>
            </w:r>
          </w:p>
        </w:tc>
        <w:tc>
          <w:tcPr>
            <w:tcW w:w="1950" w:type="dxa"/>
            <w:vAlign w:val="center"/>
          </w:tcPr>
          <w:p w14:paraId="2390FFB9">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非甲烷总烃</w:t>
            </w:r>
          </w:p>
        </w:tc>
        <w:tc>
          <w:tcPr>
            <w:tcW w:w="1362" w:type="dxa"/>
            <w:vAlign w:val="center"/>
          </w:tcPr>
          <w:p w14:paraId="632D73ED">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1次/</w:t>
            </w:r>
            <w:r>
              <w:rPr>
                <w:rFonts w:hint="eastAsia" w:ascii="Times New Roman" w:hAnsi="Times New Roman" w:cs="Times New Roman"/>
                <w:color w:val="auto"/>
                <w:sz w:val="21"/>
                <w:szCs w:val="21"/>
                <w:highlight w:val="none"/>
              </w:rPr>
              <w:t>季度</w:t>
            </w:r>
          </w:p>
        </w:tc>
        <w:tc>
          <w:tcPr>
            <w:tcW w:w="1603" w:type="dxa"/>
            <w:vAlign w:val="center"/>
          </w:tcPr>
          <w:p w14:paraId="5B70BCD7">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非连续采样</w:t>
            </w:r>
            <w:r>
              <w:rPr>
                <w:rFonts w:ascii="Times New Roman" w:hAnsi="Times New Roman" w:cs="Times New Roman"/>
                <w:color w:val="auto"/>
                <w:sz w:val="21"/>
                <w:szCs w:val="21"/>
                <w:highlight w:val="none"/>
              </w:rPr>
              <w:t>至少3个</w:t>
            </w:r>
          </w:p>
        </w:tc>
        <w:tc>
          <w:tcPr>
            <w:tcW w:w="1701" w:type="dxa"/>
            <w:vMerge w:val="continue"/>
            <w:vAlign w:val="center"/>
          </w:tcPr>
          <w:p w14:paraId="7355AC9B">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21"/>
                <w:highlight w:val="none"/>
              </w:rPr>
            </w:pPr>
          </w:p>
        </w:tc>
      </w:tr>
      <w:tr w14:paraId="16129DC2">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170" w:type="dxa"/>
            <w:vMerge w:val="restart"/>
            <w:vAlign w:val="center"/>
          </w:tcPr>
          <w:p w14:paraId="5A808B73">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废水</w:t>
            </w:r>
          </w:p>
        </w:tc>
        <w:tc>
          <w:tcPr>
            <w:tcW w:w="1286" w:type="dxa"/>
            <w:vAlign w:val="center"/>
          </w:tcPr>
          <w:p w14:paraId="12A0D2C9">
            <w:pPr>
              <w:keepNext w:val="0"/>
              <w:keepLines w:val="0"/>
              <w:pageBreakBefore w:val="0"/>
              <w:widowControl/>
              <w:kinsoku/>
              <w:wordWrap/>
              <w:overflowPunct/>
              <w:topLinePunct w:val="0"/>
              <w:autoSpaceDE/>
              <w:autoSpaceDN/>
              <w:bidi w:val="0"/>
              <w:adjustRightInd/>
              <w:snapToGrid/>
              <w:ind w:left="0" w:right="0"/>
              <w:jc w:val="center"/>
              <w:textAlignment w:val="auto"/>
              <w:rPr>
                <w:rFonts w:hint="eastAsia" w:ascii="Times New Roman" w:hAnsi="Times New Roman" w:eastAsia="宋体" w:cs="Times New Roman"/>
                <w:color w:val="auto"/>
                <w:sz w:val="21"/>
                <w:szCs w:val="21"/>
                <w:highlight w:val="none"/>
                <w:lang w:val="en-US" w:eastAsia="zh-CN"/>
              </w:rPr>
            </w:pPr>
            <w:r>
              <w:rPr>
                <w:rFonts w:ascii="Times New Roman" w:hAnsi="Times New Roman" w:cs="Times New Roman"/>
                <w:color w:val="auto"/>
                <w:sz w:val="21"/>
                <w:szCs w:val="21"/>
                <w:highlight w:val="none"/>
              </w:rPr>
              <w:t>废水排污口</w:t>
            </w:r>
            <w:r>
              <w:rPr>
                <w:rFonts w:hint="eastAsia" w:ascii="Times New Roman" w:hAnsi="Times New Roman" w:cs="Times New Roman"/>
                <w:color w:val="auto"/>
                <w:sz w:val="21"/>
                <w:szCs w:val="21"/>
                <w:highlight w:val="none"/>
                <w:lang w:val="en-US" w:eastAsia="zh-CN"/>
              </w:rPr>
              <w:t>*</w:t>
            </w:r>
          </w:p>
        </w:tc>
        <w:tc>
          <w:tcPr>
            <w:tcW w:w="1950" w:type="dxa"/>
            <w:vAlign w:val="center"/>
          </w:tcPr>
          <w:p w14:paraId="43E6322F">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w:t>
            </w:r>
          </w:p>
        </w:tc>
        <w:tc>
          <w:tcPr>
            <w:tcW w:w="1362" w:type="dxa"/>
            <w:vAlign w:val="center"/>
          </w:tcPr>
          <w:p w14:paraId="0A59588A">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w:t>
            </w:r>
          </w:p>
        </w:tc>
        <w:tc>
          <w:tcPr>
            <w:tcW w:w="1603" w:type="dxa"/>
            <w:vAlign w:val="center"/>
          </w:tcPr>
          <w:p w14:paraId="108008A3">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w:t>
            </w:r>
          </w:p>
        </w:tc>
        <w:tc>
          <w:tcPr>
            <w:tcW w:w="1701" w:type="dxa"/>
            <w:vAlign w:val="center"/>
          </w:tcPr>
          <w:p w14:paraId="2FC7BDF4">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w:t>
            </w:r>
          </w:p>
        </w:tc>
      </w:tr>
      <w:tr w14:paraId="5D93462F">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170" w:type="dxa"/>
            <w:vMerge w:val="continue"/>
            <w:vAlign w:val="center"/>
          </w:tcPr>
          <w:p w14:paraId="4278B0BC">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21"/>
                <w:highlight w:val="none"/>
              </w:rPr>
            </w:pPr>
          </w:p>
        </w:tc>
        <w:tc>
          <w:tcPr>
            <w:tcW w:w="1286" w:type="dxa"/>
            <w:vAlign w:val="center"/>
          </w:tcPr>
          <w:p w14:paraId="768DE4F2">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21"/>
                <w:highlight w:val="none"/>
                <w:vertAlign w:val="superscript"/>
              </w:rPr>
            </w:pPr>
            <w:r>
              <w:rPr>
                <w:rFonts w:ascii="Times New Roman" w:hAnsi="Times New Roman" w:cs="Times New Roman"/>
                <w:color w:val="auto"/>
                <w:sz w:val="21"/>
                <w:szCs w:val="21"/>
                <w:highlight w:val="none"/>
              </w:rPr>
              <w:t>雨水排放口</w:t>
            </w:r>
          </w:p>
        </w:tc>
        <w:tc>
          <w:tcPr>
            <w:tcW w:w="1950" w:type="dxa"/>
            <w:vAlign w:val="center"/>
          </w:tcPr>
          <w:p w14:paraId="6877EF0A">
            <w:pPr>
              <w:keepNext w:val="0"/>
              <w:keepLines w:val="0"/>
              <w:pageBreakBefore w:val="0"/>
              <w:widowControl/>
              <w:kinsoku/>
              <w:wordWrap/>
              <w:overflowPunct/>
              <w:topLinePunct w:val="0"/>
              <w:autoSpaceDE/>
              <w:autoSpaceDN/>
              <w:bidi w:val="0"/>
              <w:adjustRightInd/>
              <w:snapToGrid/>
              <w:ind w:left="0" w:right="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COD、氨氮</w:t>
            </w:r>
          </w:p>
        </w:tc>
        <w:tc>
          <w:tcPr>
            <w:tcW w:w="1362" w:type="dxa"/>
            <w:vAlign w:val="center"/>
          </w:tcPr>
          <w:p w14:paraId="5EC7A3A3">
            <w:pPr>
              <w:keepNext w:val="0"/>
              <w:keepLines w:val="0"/>
              <w:pageBreakBefore w:val="0"/>
              <w:widowControl/>
              <w:kinsoku/>
              <w:wordWrap/>
              <w:overflowPunct/>
              <w:topLinePunct w:val="0"/>
              <w:autoSpaceDE/>
              <w:autoSpaceDN/>
              <w:bidi w:val="0"/>
              <w:adjustRightInd/>
              <w:snapToGrid/>
              <w:ind w:left="0" w:right="0"/>
              <w:jc w:val="center"/>
              <w:textAlignment w:val="auto"/>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1次</w:t>
            </w:r>
            <w:r>
              <w:rPr>
                <w:rFonts w:hint="eastAsia" w:ascii="Times New Roman" w:hAnsi="Times New Roman" w:cs="Times New Roman"/>
                <w:color w:val="auto"/>
                <w:sz w:val="21"/>
                <w:szCs w:val="21"/>
                <w:highlight w:val="none"/>
              </w:rPr>
              <w:t>/</w:t>
            </w:r>
            <w:r>
              <w:rPr>
                <w:rFonts w:hint="eastAsia" w:ascii="Times New Roman" w:hAnsi="Times New Roman" w:cs="Times New Roman"/>
                <w:color w:val="auto"/>
                <w:sz w:val="21"/>
                <w:szCs w:val="21"/>
                <w:highlight w:val="none"/>
                <w:lang w:val="en-US" w:eastAsia="zh-CN"/>
              </w:rPr>
              <w:t>日</w:t>
            </w:r>
          </w:p>
        </w:tc>
        <w:tc>
          <w:tcPr>
            <w:tcW w:w="1603" w:type="dxa"/>
            <w:vAlign w:val="center"/>
          </w:tcPr>
          <w:p w14:paraId="726700F0">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w:t>
            </w:r>
          </w:p>
        </w:tc>
        <w:tc>
          <w:tcPr>
            <w:tcW w:w="1701" w:type="dxa"/>
            <w:vAlign w:val="center"/>
          </w:tcPr>
          <w:p w14:paraId="2E9A6815">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kern w:val="2"/>
                <w:sz w:val="21"/>
                <w:szCs w:val="21"/>
                <w:highlight w:val="none"/>
              </w:rPr>
              <w:t>《排污许可证申请与核发技术规范 石化工业》（HJ853-2017）</w:t>
            </w:r>
          </w:p>
        </w:tc>
      </w:tr>
      <w:tr w14:paraId="681419D4">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170" w:type="dxa"/>
            <w:vAlign w:val="center"/>
          </w:tcPr>
          <w:p w14:paraId="6603E495">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固废</w:t>
            </w:r>
          </w:p>
        </w:tc>
        <w:tc>
          <w:tcPr>
            <w:tcW w:w="1286" w:type="dxa"/>
            <w:vAlign w:val="center"/>
          </w:tcPr>
          <w:p w14:paraId="59E83C61">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w:t>
            </w:r>
          </w:p>
        </w:tc>
        <w:tc>
          <w:tcPr>
            <w:tcW w:w="1950" w:type="dxa"/>
            <w:vAlign w:val="center"/>
          </w:tcPr>
          <w:p w14:paraId="0B704B4E">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无渗漏</w:t>
            </w:r>
          </w:p>
        </w:tc>
        <w:tc>
          <w:tcPr>
            <w:tcW w:w="1362" w:type="dxa"/>
            <w:vAlign w:val="center"/>
          </w:tcPr>
          <w:p w14:paraId="3EB70180">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w:t>
            </w:r>
          </w:p>
        </w:tc>
        <w:tc>
          <w:tcPr>
            <w:tcW w:w="1603" w:type="dxa"/>
            <w:vAlign w:val="center"/>
          </w:tcPr>
          <w:p w14:paraId="46983182">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w:t>
            </w:r>
          </w:p>
        </w:tc>
        <w:tc>
          <w:tcPr>
            <w:tcW w:w="1701" w:type="dxa"/>
            <w:vAlign w:val="center"/>
          </w:tcPr>
          <w:p w14:paraId="6F2C7365">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w:t>
            </w:r>
          </w:p>
        </w:tc>
      </w:tr>
      <w:tr w14:paraId="0C575F12">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170" w:type="dxa"/>
            <w:vAlign w:val="center"/>
          </w:tcPr>
          <w:p w14:paraId="339E9874">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噪声</w:t>
            </w:r>
          </w:p>
        </w:tc>
        <w:tc>
          <w:tcPr>
            <w:tcW w:w="1286" w:type="dxa"/>
            <w:vAlign w:val="center"/>
          </w:tcPr>
          <w:p w14:paraId="76A4FCDF">
            <w:pPr>
              <w:keepNext w:val="0"/>
              <w:keepLines w:val="0"/>
              <w:pageBreakBefore w:val="0"/>
              <w:widowControl/>
              <w:kinsoku/>
              <w:wordWrap/>
              <w:overflowPunct/>
              <w:topLinePunct w:val="0"/>
              <w:autoSpaceDE/>
              <w:autoSpaceDN/>
              <w:bidi w:val="0"/>
              <w:adjustRightInd/>
              <w:snapToGrid/>
              <w:ind w:left="0" w:right="0"/>
              <w:jc w:val="center"/>
              <w:textAlignment w:val="auto"/>
              <w:rPr>
                <w:rFonts w:hint="default" w:ascii="Times New Roman" w:hAnsi="Times New Roman" w:eastAsia="宋体" w:cs="Times New Roman"/>
                <w:color w:val="auto"/>
                <w:sz w:val="21"/>
                <w:szCs w:val="21"/>
                <w:highlight w:val="none"/>
                <w:lang w:val="en-US" w:eastAsia="zh-CN"/>
              </w:rPr>
            </w:pPr>
            <w:r>
              <w:rPr>
                <w:rFonts w:ascii="Times New Roman" w:hAnsi="Times New Roman" w:cs="Times New Roman"/>
                <w:color w:val="auto"/>
                <w:sz w:val="21"/>
                <w:szCs w:val="21"/>
                <w:highlight w:val="none"/>
              </w:rPr>
              <w:t>厂界外1m</w:t>
            </w:r>
            <w:r>
              <w:rPr>
                <w:rFonts w:hint="eastAsia" w:ascii="Times New Roman" w:hAnsi="Times New Roman" w:cs="Times New Roman"/>
                <w:color w:val="auto"/>
                <w:sz w:val="21"/>
                <w:szCs w:val="21"/>
                <w:highlight w:val="none"/>
                <w:lang w:eastAsia="zh-CN"/>
              </w:rPr>
              <w:t>、</w:t>
            </w:r>
            <w:r>
              <w:rPr>
                <w:rFonts w:hint="eastAsia" w:ascii="Times New Roman" w:hAnsi="Times New Roman" w:cs="Times New Roman"/>
                <w:color w:val="auto"/>
                <w:sz w:val="21"/>
                <w:szCs w:val="21"/>
                <w:highlight w:val="none"/>
                <w:lang w:val="en-US" w:eastAsia="zh-CN"/>
              </w:rPr>
              <w:t>200m范围内敏感目标处</w:t>
            </w:r>
          </w:p>
        </w:tc>
        <w:tc>
          <w:tcPr>
            <w:tcW w:w="1950" w:type="dxa"/>
            <w:vAlign w:val="center"/>
          </w:tcPr>
          <w:p w14:paraId="0781B362">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厂界噪声</w:t>
            </w:r>
          </w:p>
        </w:tc>
        <w:tc>
          <w:tcPr>
            <w:tcW w:w="1362" w:type="dxa"/>
            <w:vAlign w:val="center"/>
          </w:tcPr>
          <w:p w14:paraId="1AFEB17E">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1次/季</w:t>
            </w:r>
          </w:p>
        </w:tc>
        <w:tc>
          <w:tcPr>
            <w:tcW w:w="1603" w:type="dxa"/>
            <w:vAlign w:val="center"/>
          </w:tcPr>
          <w:p w14:paraId="4F8E6657">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w:t>
            </w:r>
          </w:p>
        </w:tc>
        <w:tc>
          <w:tcPr>
            <w:tcW w:w="1701" w:type="dxa"/>
            <w:vAlign w:val="center"/>
          </w:tcPr>
          <w:p w14:paraId="0CF26E78">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kern w:val="2"/>
                <w:sz w:val="21"/>
                <w:szCs w:val="21"/>
                <w:highlight w:val="none"/>
              </w:rPr>
              <w:t>《排污单位自行监测技术指南电子工业》（HJ1253-2022）</w:t>
            </w:r>
          </w:p>
        </w:tc>
      </w:tr>
      <w:tr w14:paraId="7C67BAF3">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554" w:hRule="atLeast"/>
          <w:jc w:val="center"/>
        </w:trPr>
        <w:tc>
          <w:tcPr>
            <w:tcW w:w="1170" w:type="dxa"/>
            <w:vMerge w:val="restart"/>
            <w:vAlign w:val="center"/>
          </w:tcPr>
          <w:p w14:paraId="1EF3DE5F">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土壤</w:t>
            </w:r>
          </w:p>
        </w:tc>
        <w:tc>
          <w:tcPr>
            <w:tcW w:w="1286" w:type="dxa"/>
            <w:tcBorders>
              <w:bottom w:val="single" w:color="auto" w:sz="4" w:space="0"/>
            </w:tcBorders>
            <w:vAlign w:val="center"/>
          </w:tcPr>
          <w:p w14:paraId="303519A8">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表层土壤</w:t>
            </w:r>
          </w:p>
        </w:tc>
        <w:tc>
          <w:tcPr>
            <w:tcW w:w="1950" w:type="dxa"/>
            <w:vMerge w:val="restart"/>
            <w:vAlign w:val="center"/>
          </w:tcPr>
          <w:p w14:paraId="065724F9">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pH、铜、镍、铅、汞、砷、铬（六价）、镉、挥发性有机污染物、半挥发性有机污染物和石油烃</w:t>
            </w:r>
          </w:p>
        </w:tc>
        <w:tc>
          <w:tcPr>
            <w:tcW w:w="1362" w:type="dxa"/>
            <w:tcBorders>
              <w:bottom w:val="single" w:color="auto" w:sz="4" w:space="0"/>
            </w:tcBorders>
            <w:vAlign w:val="center"/>
          </w:tcPr>
          <w:p w14:paraId="72070D56">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1次/年</w:t>
            </w:r>
          </w:p>
        </w:tc>
        <w:tc>
          <w:tcPr>
            <w:tcW w:w="1603" w:type="dxa"/>
            <w:tcBorders>
              <w:bottom w:val="single" w:color="auto" w:sz="4" w:space="0"/>
            </w:tcBorders>
            <w:vAlign w:val="center"/>
          </w:tcPr>
          <w:p w14:paraId="26B93D4D">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w:t>
            </w:r>
          </w:p>
        </w:tc>
        <w:tc>
          <w:tcPr>
            <w:tcW w:w="1701" w:type="dxa"/>
            <w:vMerge w:val="restart"/>
            <w:vAlign w:val="center"/>
          </w:tcPr>
          <w:p w14:paraId="723DDF34">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《工业企业土壤和地下水自行监测技术指南（试行）》（HJ1209-2021）</w:t>
            </w:r>
          </w:p>
        </w:tc>
      </w:tr>
      <w:tr w14:paraId="2717A6CA">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170" w:type="dxa"/>
            <w:vMerge w:val="continue"/>
            <w:vAlign w:val="center"/>
          </w:tcPr>
          <w:p w14:paraId="11999B79">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21"/>
                <w:highlight w:val="none"/>
              </w:rPr>
            </w:pPr>
          </w:p>
        </w:tc>
        <w:tc>
          <w:tcPr>
            <w:tcW w:w="1286" w:type="dxa"/>
            <w:tcBorders>
              <w:top w:val="single" w:color="auto" w:sz="4" w:space="0"/>
            </w:tcBorders>
            <w:vAlign w:val="center"/>
          </w:tcPr>
          <w:p w14:paraId="6B98D668">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深层土壤</w:t>
            </w:r>
          </w:p>
        </w:tc>
        <w:tc>
          <w:tcPr>
            <w:tcW w:w="1950" w:type="dxa"/>
            <w:vMerge w:val="continue"/>
            <w:vAlign w:val="center"/>
          </w:tcPr>
          <w:p w14:paraId="329FD1FC">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21"/>
                <w:highlight w:val="none"/>
              </w:rPr>
            </w:pPr>
          </w:p>
        </w:tc>
        <w:tc>
          <w:tcPr>
            <w:tcW w:w="1362" w:type="dxa"/>
            <w:tcBorders>
              <w:top w:val="single" w:color="auto" w:sz="4" w:space="0"/>
            </w:tcBorders>
            <w:vAlign w:val="center"/>
          </w:tcPr>
          <w:p w14:paraId="298C873B">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1次/3年</w:t>
            </w:r>
          </w:p>
        </w:tc>
        <w:tc>
          <w:tcPr>
            <w:tcW w:w="1603" w:type="dxa"/>
            <w:tcBorders>
              <w:top w:val="single" w:color="auto" w:sz="4" w:space="0"/>
            </w:tcBorders>
            <w:vAlign w:val="center"/>
          </w:tcPr>
          <w:p w14:paraId="3D652DC5">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w:t>
            </w:r>
          </w:p>
        </w:tc>
        <w:tc>
          <w:tcPr>
            <w:tcW w:w="1701" w:type="dxa"/>
            <w:vMerge w:val="continue"/>
            <w:vAlign w:val="center"/>
          </w:tcPr>
          <w:p w14:paraId="68577DEB">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21"/>
                <w:highlight w:val="none"/>
              </w:rPr>
            </w:pPr>
          </w:p>
        </w:tc>
      </w:tr>
      <w:tr w14:paraId="45120514">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170" w:type="dxa"/>
            <w:vMerge w:val="restart"/>
            <w:vAlign w:val="center"/>
          </w:tcPr>
          <w:p w14:paraId="1D60AAC9">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地下水</w:t>
            </w:r>
          </w:p>
        </w:tc>
        <w:tc>
          <w:tcPr>
            <w:tcW w:w="1286" w:type="dxa"/>
            <w:tcBorders>
              <w:bottom w:val="single" w:color="auto" w:sz="4" w:space="0"/>
            </w:tcBorders>
            <w:vAlign w:val="center"/>
          </w:tcPr>
          <w:p w14:paraId="171B3EE3">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一类单元</w:t>
            </w:r>
          </w:p>
        </w:tc>
        <w:tc>
          <w:tcPr>
            <w:tcW w:w="1950" w:type="dxa"/>
            <w:vMerge w:val="restart"/>
            <w:vAlign w:val="center"/>
          </w:tcPr>
          <w:p w14:paraId="6652FE2C">
            <w:pPr>
              <w:keepNext w:val="0"/>
              <w:keepLines w:val="0"/>
              <w:pageBreakBefore w:val="0"/>
              <w:widowControl/>
              <w:kinsoku/>
              <w:wordWrap/>
              <w:overflowPunct/>
              <w:topLinePunct w:val="0"/>
              <w:autoSpaceDE/>
              <w:autoSpaceDN/>
              <w:bidi w:val="0"/>
              <w:adjustRightInd/>
              <w:snapToGrid/>
              <w:ind w:left="0" w:right="0"/>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水位、pH值、</w:t>
            </w:r>
            <w:r>
              <w:rPr>
                <w:rFonts w:hint="eastAsia"/>
                <w:color w:val="auto"/>
                <w:sz w:val="20"/>
                <w:szCs w:val="20"/>
                <w:highlight w:val="none"/>
                <w:lang w:bidi="ar"/>
              </w:rPr>
              <w:t>氨氮、高锰酸盐指数、挥发酚、溶解性固体、硝酸盐氮、亚硝酸盐氮、总硬度</w:t>
            </w:r>
            <w:r>
              <w:rPr>
                <w:rFonts w:hint="eastAsia" w:ascii="Times New Roman" w:hAnsi="Times New Roman" w:cs="Times New Roman"/>
                <w:color w:val="auto"/>
                <w:sz w:val="21"/>
                <w:szCs w:val="21"/>
                <w:highlight w:val="none"/>
              </w:rPr>
              <w:t>和石油烃等</w:t>
            </w:r>
          </w:p>
        </w:tc>
        <w:tc>
          <w:tcPr>
            <w:tcW w:w="1362" w:type="dxa"/>
            <w:tcBorders>
              <w:bottom w:val="single" w:color="auto" w:sz="4" w:space="0"/>
            </w:tcBorders>
            <w:vAlign w:val="center"/>
          </w:tcPr>
          <w:p w14:paraId="24EA89BD">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1次/</w:t>
            </w:r>
            <w:r>
              <w:rPr>
                <w:rFonts w:hint="eastAsia" w:ascii="Times New Roman" w:hAnsi="Times New Roman" w:cs="Times New Roman"/>
                <w:color w:val="auto"/>
                <w:sz w:val="21"/>
                <w:szCs w:val="21"/>
                <w:highlight w:val="none"/>
              </w:rPr>
              <w:t>半</w:t>
            </w:r>
            <w:r>
              <w:rPr>
                <w:rFonts w:ascii="Times New Roman" w:hAnsi="Times New Roman" w:cs="Times New Roman"/>
                <w:color w:val="auto"/>
                <w:sz w:val="21"/>
                <w:szCs w:val="21"/>
                <w:highlight w:val="none"/>
              </w:rPr>
              <w:t>年</w:t>
            </w:r>
          </w:p>
        </w:tc>
        <w:tc>
          <w:tcPr>
            <w:tcW w:w="1603" w:type="dxa"/>
            <w:tcBorders>
              <w:bottom w:val="single" w:color="auto" w:sz="4" w:space="0"/>
            </w:tcBorders>
            <w:vAlign w:val="center"/>
          </w:tcPr>
          <w:p w14:paraId="27578713">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w:t>
            </w:r>
          </w:p>
        </w:tc>
        <w:tc>
          <w:tcPr>
            <w:tcW w:w="1701" w:type="dxa"/>
            <w:vMerge w:val="continue"/>
            <w:vAlign w:val="center"/>
          </w:tcPr>
          <w:p w14:paraId="7C181097">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21"/>
                <w:highlight w:val="none"/>
              </w:rPr>
            </w:pPr>
          </w:p>
        </w:tc>
      </w:tr>
      <w:tr w14:paraId="178E9141">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170" w:type="dxa"/>
            <w:vMerge w:val="continue"/>
            <w:vAlign w:val="center"/>
          </w:tcPr>
          <w:p w14:paraId="11A14022">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21"/>
                <w:highlight w:val="none"/>
              </w:rPr>
            </w:pPr>
          </w:p>
        </w:tc>
        <w:tc>
          <w:tcPr>
            <w:tcW w:w="1286" w:type="dxa"/>
            <w:tcBorders>
              <w:top w:val="single" w:color="auto" w:sz="4" w:space="0"/>
            </w:tcBorders>
            <w:vAlign w:val="center"/>
          </w:tcPr>
          <w:p w14:paraId="275D12DB">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二类单元</w:t>
            </w:r>
          </w:p>
        </w:tc>
        <w:tc>
          <w:tcPr>
            <w:tcW w:w="1950" w:type="dxa"/>
            <w:vMerge w:val="continue"/>
            <w:vAlign w:val="center"/>
          </w:tcPr>
          <w:p w14:paraId="5E0876A9">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21"/>
                <w:highlight w:val="none"/>
              </w:rPr>
            </w:pPr>
          </w:p>
        </w:tc>
        <w:tc>
          <w:tcPr>
            <w:tcW w:w="1362" w:type="dxa"/>
            <w:tcBorders>
              <w:top w:val="single" w:color="auto" w:sz="4" w:space="0"/>
            </w:tcBorders>
            <w:vAlign w:val="center"/>
          </w:tcPr>
          <w:p w14:paraId="6AE74D3A">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1次/年</w:t>
            </w:r>
          </w:p>
        </w:tc>
        <w:tc>
          <w:tcPr>
            <w:tcW w:w="1603" w:type="dxa"/>
            <w:tcBorders>
              <w:top w:val="single" w:color="auto" w:sz="4" w:space="0"/>
            </w:tcBorders>
            <w:vAlign w:val="center"/>
          </w:tcPr>
          <w:p w14:paraId="4867B5DE">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21"/>
                <w:highlight w:val="none"/>
              </w:rPr>
            </w:pPr>
          </w:p>
        </w:tc>
        <w:tc>
          <w:tcPr>
            <w:tcW w:w="1701" w:type="dxa"/>
            <w:vMerge w:val="continue"/>
            <w:vAlign w:val="center"/>
          </w:tcPr>
          <w:p w14:paraId="2233EB6D">
            <w:pPr>
              <w:keepNext w:val="0"/>
              <w:keepLines w:val="0"/>
              <w:pageBreakBefore w:val="0"/>
              <w:widowControl/>
              <w:kinsoku/>
              <w:wordWrap/>
              <w:overflowPunct/>
              <w:topLinePunct w:val="0"/>
              <w:autoSpaceDE/>
              <w:autoSpaceDN/>
              <w:bidi w:val="0"/>
              <w:adjustRightInd/>
              <w:snapToGrid/>
              <w:ind w:left="0" w:right="0"/>
              <w:jc w:val="center"/>
              <w:textAlignment w:val="auto"/>
              <w:rPr>
                <w:rFonts w:ascii="Times New Roman" w:hAnsi="Times New Roman" w:cs="Times New Roman"/>
                <w:color w:val="auto"/>
                <w:sz w:val="21"/>
                <w:szCs w:val="21"/>
                <w:highlight w:val="none"/>
              </w:rPr>
            </w:pPr>
          </w:p>
        </w:tc>
      </w:tr>
    </w:tbl>
    <w:p w14:paraId="5A460DEF">
      <w:pPr>
        <w:widowControl w:val="0"/>
        <w:adjustRightInd w:val="0"/>
        <w:snapToGrid w:val="0"/>
        <w:ind w:left="-105" w:right="-105"/>
        <w:jc w:val="both"/>
        <w:rPr>
          <w:rFonts w:ascii="Times New Roman" w:hAnsi="Times New Roman" w:cs="Times New Roman"/>
          <w:b/>
          <w:color w:val="auto"/>
          <w:sz w:val="21"/>
          <w:szCs w:val="21"/>
          <w:highlight w:val="none"/>
        </w:rPr>
      </w:pPr>
      <w:r>
        <w:rPr>
          <w:rFonts w:ascii="Times New Roman" w:hAnsi="Times New Roman" w:cs="Times New Roman"/>
          <w:b/>
          <w:color w:val="auto"/>
          <w:sz w:val="21"/>
          <w:szCs w:val="21"/>
          <w:highlight w:val="none"/>
        </w:rPr>
        <w:t>注：[</w:t>
      </w:r>
      <w:r>
        <w:rPr>
          <w:rFonts w:hint="eastAsia" w:ascii="Times New Roman" w:hAnsi="Times New Roman" w:cs="Times New Roman"/>
          <w:b/>
          <w:color w:val="auto"/>
          <w:sz w:val="21"/>
          <w:szCs w:val="21"/>
          <w:highlight w:val="none"/>
        </w:rPr>
        <w:t>1</w:t>
      </w:r>
      <w:r>
        <w:rPr>
          <w:rFonts w:ascii="Times New Roman" w:hAnsi="Times New Roman" w:cs="Times New Roman"/>
          <w:b/>
          <w:color w:val="auto"/>
          <w:sz w:val="21"/>
          <w:szCs w:val="21"/>
          <w:highlight w:val="none"/>
        </w:rPr>
        <w:t>]若企业办理排污许可证，则自行监测的内容等均按企业最新排污许可证的要求进行；</w:t>
      </w:r>
    </w:p>
    <w:p w14:paraId="695F916F">
      <w:pPr>
        <w:widowControl w:val="0"/>
        <w:numPr>
          <w:ilvl w:val="0"/>
          <w:numId w:val="38"/>
        </w:numPr>
        <w:adjustRightInd w:val="0"/>
        <w:snapToGrid w:val="0"/>
        <w:ind w:left="-105" w:right="-105" w:firstLine="422" w:firstLineChars="200"/>
        <w:jc w:val="both"/>
        <w:rPr>
          <w:rFonts w:hint="eastAsia" w:ascii="Times New Roman" w:hAnsi="Times New Roman" w:cs="Times New Roman"/>
          <w:b/>
          <w:color w:val="auto"/>
          <w:sz w:val="21"/>
          <w:szCs w:val="21"/>
          <w:highlight w:val="none"/>
          <w:lang w:eastAsia="zh-CN"/>
        </w:rPr>
      </w:pPr>
      <w:r>
        <w:rPr>
          <w:rFonts w:ascii="Times New Roman" w:hAnsi="Times New Roman" w:cs="Times New Roman"/>
          <w:b/>
          <w:color w:val="auto"/>
          <w:sz w:val="21"/>
          <w:szCs w:val="21"/>
          <w:highlight w:val="none"/>
        </w:rPr>
        <w:t>有组织和无组织挥发性有机物均以非甲烷总烃表征</w:t>
      </w:r>
      <w:r>
        <w:rPr>
          <w:rFonts w:hint="eastAsia" w:ascii="Times New Roman" w:hAnsi="Times New Roman" w:cs="Times New Roman"/>
          <w:b/>
          <w:color w:val="auto"/>
          <w:sz w:val="21"/>
          <w:szCs w:val="21"/>
          <w:highlight w:val="none"/>
          <w:lang w:eastAsia="zh-CN"/>
        </w:rPr>
        <w:t>；</w:t>
      </w:r>
    </w:p>
    <w:p w14:paraId="1A1232A8">
      <w:pPr>
        <w:widowControl w:val="0"/>
        <w:numPr>
          <w:ilvl w:val="0"/>
          <w:numId w:val="38"/>
        </w:numPr>
        <w:adjustRightInd w:val="0"/>
        <w:snapToGrid w:val="0"/>
        <w:ind w:left="-105" w:right="-105" w:firstLine="422" w:firstLineChars="200"/>
        <w:jc w:val="both"/>
        <w:rPr>
          <w:rFonts w:ascii="Times New Roman" w:hAnsi="Times New Roman" w:cs="Times New Roman"/>
          <w:b/>
          <w:color w:val="auto"/>
          <w:sz w:val="21"/>
          <w:szCs w:val="21"/>
          <w:highlight w:val="none"/>
        </w:rPr>
      </w:pPr>
      <w:r>
        <w:rPr>
          <w:rFonts w:hint="eastAsia" w:ascii="Times New Roman" w:hAnsi="Times New Roman" w:cs="Times New Roman"/>
          <w:b/>
          <w:color w:val="auto"/>
          <w:sz w:val="21"/>
          <w:szCs w:val="21"/>
          <w:highlight w:val="none"/>
          <w:lang w:val="en-US" w:eastAsia="zh-CN"/>
        </w:rPr>
        <w:t>监测点位于无锡先进化药化工有限公司污水总排口</w:t>
      </w:r>
      <w:r>
        <w:rPr>
          <w:rFonts w:ascii="Times New Roman" w:hAnsi="Times New Roman" w:cs="Times New Roman"/>
          <w:b/>
          <w:color w:val="auto"/>
          <w:sz w:val="21"/>
          <w:szCs w:val="21"/>
          <w:highlight w:val="none"/>
        </w:rPr>
        <w:t>。</w:t>
      </w:r>
    </w:p>
    <w:p w14:paraId="3FE89D47">
      <w:pPr>
        <w:pStyle w:val="4"/>
        <w:numPr>
          <w:ilvl w:val="0"/>
          <w:numId w:val="0"/>
        </w:numPr>
        <w:tabs>
          <w:tab w:val="left" w:pos="426"/>
        </w:tabs>
        <w:spacing w:before="120" w:beforeLines="50" w:line="360" w:lineRule="auto"/>
        <w:ind w:right="-105"/>
        <w:rPr>
          <w:rFonts w:ascii="Times New Roman" w:eastAsia="宋体"/>
          <w:color w:val="auto"/>
          <w:sz w:val="28"/>
          <w:szCs w:val="28"/>
          <w:highlight w:val="none"/>
        </w:rPr>
      </w:pPr>
      <w:bookmarkStart w:id="542" w:name="_Toc30228"/>
      <w:bookmarkStart w:id="543" w:name="_Toc139356229"/>
      <w:r>
        <w:rPr>
          <w:rFonts w:hint="eastAsia" w:ascii="Times New Roman" w:eastAsia="宋体"/>
          <w:color w:val="auto"/>
          <w:sz w:val="28"/>
          <w:szCs w:val="28"/>
          <w:highlight w:val="none"/>
        </w:rPr>
        <w:t>9.4</w:t>
      </w:r>
      <w:r>
        <w:rPr>
          <w:rFonts w:ascii="Times New Roman" w:eastAsia="宋体"/>
          <w:color w:val="auto"/>
          <w:sz w:val="28"/>
          <w:szCs w:val="28"/>
          <w:highlight w:val="none"/>
        </w:rPr>
        <w:t>“三同时”验收监测建议清单</w:t>
      </w:r>
      <w:bookmarkEnd w:id="542"/>
      <w:bookmarkEnd w:id="543"/>
    </w:p>
    <w:p w14:paraId="11D2387C">
      <w:pPr>
        <w:spacing w:line="360" w:lineRule="auto"/>
        <w:ind w:left="-105" w:right="-105" w:firstLine="480" w:firstLineChars="200"/>
        <w:rPr>
          <w:rFonts w:ascii="Times New Roman" w:hAnsi="Times New Roman" w:cs="Times New Roman"/>
          <w:color w:val="auto"/>
          <w:szCs w:val="22"/>
          <w:highlight w:val="none"/>
        </w:rPr>
      </w:pPr>
      <w:r>
        <w:rPr>
          <w:rFonts w:ascii="Times New Roman" w:hAnsi="Times New Roman" w:cs="Times New Roman"/>
          <w:color w:val="auto"/>
          <w:szCs w:val="22"/>
          <w:highlight w:val="none"/>
        </w:rPr>
        <w:t>根据国务院令第682号《建设项目环境保护管理条例》第17条规定：</w:t>
      </w:r>
      <w:r>
        <w:rPr>
          <w:rFonts w:hint="eastAsia" w:ascii="Times New Roman" w:hAnsi="Times New Roman" w:cs="Times New Roman"/>
          <w:color w:val="auto"/>
          <w:szCs w:val="22"/>
          <w:highlight w:val="none"/>
        </w:rPr>
        <w:t>“</w:t>
      </w:r>
      <w:r>
        <w:rPr>
          <w:rFonts w:ascii="Times New Roman" w:hAnsi="Times New Roman" w:cs="Times New Roman"/>
          <w:color w:val="auto"/>
          <w:szCs w:val="22"/>
          <w:highlight w:val="none"/>
        </w:rPr>
        <w:t>编制环境影响报告书、环境影响报告表的建设项目竣工后，建设单位应当按照国务院环境保护行政主管部门规定的标准和程序，对配套建设的环境保护设施进行验收，编制验收报告。建设单位在环境保护设施验收过程中，应当如实查验、监测、记载建设项目环境保护设施的建设和调试情况，不得弄虚作假。</w:t>
      </w:r>
      <w:r>
        <w:rPr>
          <w:rFonts w:hint="eastAsia" w:ascii="Times New Roman" w:hAnsi="Times New Roman" w:cs="Times New Roman"/>
          <w:color w:val="auto"/>
          <w:szCs w:val="22"/>
          <w:highlight w:val="none"/>
        </w:rPr>
        <w:t>”</w:t>
      </w:r>
    </w:p>
    <w:p w14:paraId="3A189D0A">
      <w:pPr>
        <w:spacing w:line="360" w:lineRule="auto"/>
        <w:ind w:left="-105" w:right="-105" w:firstLine="480" w:firstLineChars="200"/>
        <w:rPr>
          <w:rFonts w:ascii="Times New Roman" w:hAnsi="Times New Roman" w:cs="Times New Roman"/>
          <w:color w:val="auto"/>
          <w:szCs w:val="22"/>
          <w:highlight w:val="none"/>
        </w:rPr>
      </w:pPr>
      <w:r>
        <w:rPr>
          <w:rFonts w:ascii="Times New Roman" w:hAnsi="Times New Roman" w:cs="Times New Roman"/>
          <w:color w:val="auto"/>
          <w:szCs w:val="22"/>
          <w:highlight w:val="none"/>
        </w:rPr>
        <w:t>据此，要求在项目竣工验收时，对各项环境保护设施运行情况及项目对环境的影响进行监测，本项目主要为排气筒和边界噪声的监测，本项目</w:t>
      </w:r>
      <w:r>
        <w:rPr>
          <w:rFonts w:hint="eastAsia" w:ascii="Times New Roman" w:hAnsi="Times New Roman" w:cs="Times New Roman"/>
          <w:color w:val="auto"/>
          <w:szCs w:val="22"/>
          <w:highlight w:val="none"/>
        </w:rPr>
        <w:t>“</w:t>
      </w:r>
      <w:r>
        <w:rPr>
          <w:rFonts w:ascii="Times New Roman" w:hAnsi="Times New Roman" w:cs="Times New Roman"/>
          <w:color w:val="auto"/>
          <w:szCs w:val="22"/>
          <w:highlight w:val="none"/>
        </w:rPr>
        <w:t>三同时</w:t>
      </w:r>
      <w:r>
        <w:rPr>
          <w:rFonts w:hint="eastAsia" w:ascii="Times New Roman" w:hAnsi="Times New Roman" w:cs="Times New Roman"/>
          <w:color w:val="auto"/>
          <w:szCs w:val="22"/>
          <w:highlight w:val="none"/>
        </w:rPr>
        <w:t>”</w:t>
      </w:r>
      <w:r>
        <w:rPr>
          <w:rFonts w:ascii="Times New Roman" w:hAnsi="Times New Roman" w:cs="Times New Roman"/>
          <w:color w:val="auto"/>
          <w:szCs w:val="22"/>
          <w:highlight w:val="none"/>
        </w:rPr>
        <w:t>验收监测建议清单见下表。</w:t>
      </w:r>
    </w:p>
    <w:p w14:paraId="097B8E58">
      <w:pPr>
        <w:pStyle w:val="15"/>
        <w:ind w:left="-105" w:right="-105" w:firstLine="482"/>
        <w:rPr>
          <w:rFonts w:eastAsia="宋体"/>
          <w:color w:val="auto"/>
          <w:sz w:val="24"/>
          <w:szCs w:val="18"/>
          <w:highlight w:val="none"/>
        </w:rPr>
      </w:pPr>
      <w:r>
        <w:rPr>
          <w:rFonts w:eastAsia="宋体"/>
          <w:color w:val="auto"/>
          <w:sz w:val="24"/>
          <w:szCs w:val="18"/>
          <w:highlight w:val="none"/>
        </w:rPr>
        <w:t>表</w:t>
      </w:r>
      <w:r>
        <w:rPr>
          <w:rFonts w:eastAsia="宋体"/>
          <w:color w:val="auto"/>
          <w:sz w:val="24"/>
          <w:szCs w:val="18"/>
          <w:highlight w:val="none"/>
        </w:rPr>
        <w:fldChar w:fldCharType="begin"/>
      </w:r>
      <w:r>
        <w:rPr>
          <w:rFonts w:eastAsia="宋体"/>
          <w:color w:val="auto"/>
          <w:sz w:val="24"/>
          <w:szCs w:val="18"/>
          <w:highlight w:val="none"/>
        </w:rPr>
        <w:instrText xml:space="preserve"> STYLEREF 2 \s </w:instrText>
      </w:r>
      <w:r>
        <w:rPr>
          <w:rFonts w:eastAsia="宋体"/>
          <w:color w:val="auto"/>
          <w:sz w:val="24"/>
          <w:szCs w:val="18"/>
          <w:highlight w:val="none"/>
        </w:rPr>
        <w:fldChar w:fldCharType="separate"/>
      </w:r>
      <w:r>
        <w:rPr>
          <w:rFonts w:hint="eastAsia" w:eastAsia="宋体"/>
          <w:color w:val="auto"/>
          <w:sz w:val="24"/>
          <w:szCs w:val="18"/>
          <w:highlight w:val="none"/>
        </w:rPr>
        <w:t>9</w:t>
      </w:r>
      <w:r>
        <w:rPr>
          <w:rFonts w:eastAsia="宋体"/>
          <w:color w:val="auto"/>
          <w:sz w:val="24"/>
          <w:szCs w:val="18"/>
          <w:highlight w:val="none"/>
        </w:rPr>
        <w:t>.4</w:t>
      </w:r>
      <w:r>
        <w:rPr>
          <w:rFonts w:eastAsia="宋体"/>
          <w:color w:val="auto"/>
          <w:sz w:val="24"/>
          <w:szCs w:val="18"/>
          <w:highlight w:val="none"/>
        </w:rPr>
        <w:fldChar w:fldCharType="end"/>
      </w:r>
      <w:r>
        <w:rPr>
          <w:rFonts w:eastAsia="宋体"/>
          <w:color w:val="auto"/>
          <w:sz w:val="24"/>
          <w:szCs w:val="18"/>
          <w:highlight w:val="none"/>
        </w:rPr>
        <w:noBreakHyphen/>
      </w:r>
      <w:r>
        <w:rPr>
          <w:rFonts w:eastAsia="宋体"/>
          <w:color w:val="auto"/>
          <w:sz w:val="24"/>
          <w:szCs w:val="18"/>
          <w:highlight w:val="none"/>
        </w:rPr>
        <w:fldChar w:fldCharType="begin"/>
      </w:r>
      <w:r>
        <w:rPr>
          <w:rFonts w:eastAsia="宋体"/>
          <w:color w:val="auto"/>
          <w:sz w:val="24"/>
          <w:szCs w:val="18"/>
          <w:highlight w:val="none"/>
        </w:rPr>
        <w:instrText xml:space="preserve"> SEQ 表 \* ARABIC \s 2 </w:instrText>
      </w:r>
      <w:r>
        <w:rPr>
          <w:rFonts w:eastAsia="宋体"/>
          <w:color w:val="auto"/>
          <w:sz w:val="24"/>
          <w:szCs w:val="18"/>
          <w:highlight w:val="none"/>
        </w:rPr>
        <w:fldChar w:fldCharType="separate"/>
      </w:r>
      <w:r>
        <w:rPr>
          <w:rFonts w:eastAsia="宋体"/>
          <w:color w:val="auto"/>
          <w:sz w:val="24"/>
          <w:szCs w:val="18"/>
          <w:highlight w:val="none"/>
        </w:rPr>
        <w:t>1</w:t>
      </w:r>
      <w:r>
        <w:rPr>
          <w:rFonts w:eastAsia="宋体"/>
          <w:color w:val="auto"/>
          <w:sz w:val="24"/>
          <w:szCs w:val="18"/>
          <w:highlight w:val="none"/>
        </w:rPr>
        <w:fldChar w:fldCharType="end"/>
      </w:r>
      <w:r>
        <w:rPr>
          <w:rFonts w:eastAsia="宋体"/>
          <w:bCs/>
          <w:color w:val="auto"/>
          <w:sz w:val="24"/>
          <w:szCs w:val="18"/>
          <w:highlight w:val="none"/>
        </w:rPr>
        <w:t>“三同时”验收监测建议清单</w:t>
      </w:r>
    </w:p>
    <w:tbl>
      <w:tblPr>
        <w:tblStyle w:val="45"/>
        <w:tblW w:w="5000" w:type="pct"/>
        <w:tblInd w:w="0" w:type="dxa"/>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
      <w:tblGrid>
        <w:gridCol w:w="644"/>
        <w:gridCol w:w="1078"/>
        <w:gridCol w:w="1198"/>
        <w:gridCol w:w="892"/>
        <w:gridCol w:w="872"/>
        <w:gridCol w:w="793"/>
        <w:gridCol w:w="3244"/>
      </w:tblGrid>
      <w:tr w14:paraId="3838398A">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tblHeader/>
        </w:trPr>
        <w:tc>
          <w:tcPr>
            <w:tcW w:w="640" w:type="dxa"/>
            <w:vAlign w:val="center"/>
          </w:tcPr>
          <w:p w14:paraId="2E694991">
            <w:pPr>
              <w:ind w:left="-105" w:right="-105"/>
              <w:jc w:val="center"/>
              <w:rPr>
                <w:rFonts w:ascii="Times New Roman" w:hAnsi="Times New Roman" w:cs="Times New Roman"/>
                <w:b/>
                <w:color w:val="auto"/>
                <w:sz w:val="21"/>
                <w:szCs w:val="21"/>
                <w:highlight w:val="none"/>
              </w:rPr>
            </w:pPr>
            <w:r>
              <w:rPr>
                <w:rFonts w:ascii="Times New Roman" w:hAnsi="Times New Roman" w:cs="Times New Roman"/>
                <w:b/>
                <w:color w:val="auto"/>
                <w:sz w:val="21"/>
                <w:szCs w:val="21"/>
                <w:highlight w:val="none"/>
              </w:rPr>
              <w:t>类别</w:t>
            </w:r>
          </w:p>
        </w:tc>
        <w:tc>
          <w:tcPr>
            <w:tcW w:w="1077" w:type="dxa"/>
            <w:vAlign w:val="center"/>
          </w:tcPr>
          <w:p w14:paraId="54713299">
            <w:pPr>
              <w:ind w:left="-105" w:right="-105"/>
              <w:jc w:val="center"/>
              <w:rPr>
                <w:rFonts w:ascii="Times New Roman" w:hAnsi="Times New Roman" w:cs="Times New Roman"/>
                <w:b/>
                <w:color w:val="auto"/>
                <w:sz w:val="21"/>
                <w:szCs w:val="21"/>
                <w:highlight w:val="none"/>
              </w:rPr>
            </w:pPr>
            <w:r>
              <w:rPr>
                <w:rFonts w:ascii="Times New Roman" w:hAnsi="Times New Roman" w:cs="Times New Roman"/>
                <w:b/>
                <w:color w:val="auto"/>
                <w:sz w:val="21"/>
                <w:szCs w:val="21"/>
                <w:highlight w:val="none"/>
              </w:rPr>
              <w:t>监测点位</w:t>
            </w:r>
          </w:p>
        </w:tc>
        <w:tc>
          <w:tcPr>
            <w:tcW w:w="1198" w:type="dxa"/>
            <w:vAlign w:val="center"/>
          </w:tcPr>
          <w:p w14:paraId="180A6A7B">
            <w:pPr>
              <w:ind w:left="-105" w:right="-105"/>
              <w:jc w:val="center"/>
              <w:rPr>
                <w:rFonts w:ascii="Times New Roman" w:hAnsi="Times New Roman" w:cs="Times New Roman"/>
                <w:b/>
                <w:color w:val="auto"/>
                <w:sz w:val="21"/>
                <w:szCs w:val="21"/>
                <w:highlight w:val="none"/>
              </w:rPr>
            </w:pPr>
            <w:r>
              <w:rPr>
                <w:rFonts w:ascii="Times New Roman" w:hAnsi="Times New Roman" w:cs="Times New Roman"/>
                <w:b/>
                <w:color w:val="auto"/>
                <w:sz w:val="21"/>
                <w:szCs w:val="21"/>
                <w:highlight w:val="none"/>
              </w:rPr>
              <w:t>监测因子</w:t>
            </w:r>
          </w:p>
        </w:tc>
        <w:tc>
          <w:tcPr>
            <w:tcW w:w="890" w:type="dxa"/>
            <w:vAlign w:val="center"/>
          </w:tcPr>
          <w:p w14:paraId="29419981">
            <w:pPr>
              <w:ind w:left="-105" w:right="-105"/>
              <w:jc w:val="center"/>
              <w:rPr>
                <w:rFonts w:ascii="Times New Roman" w:hAnsi="Times New Roman" w:cs="Times New Roman"/>
                <w:b/>
                <w:color w:val="auto"/>
                <w:sz w:val="21"/>
                <w:szCs w:val="21"/>
                <w:highlight w:val="none"/>
              </w:rPr>
            </w:pPr>
            <w:r>
              <w:rPr>
                <w:rFonts w:ascii="Times New Roman" w:hAnsi="Times New Roman" w:cs="Times New Roman"/>
                <w:b/>
                <w:color w:val="auto"/>
                <w:sz w:val="21"/>
                <w:szCs w:val="21"/>
                <w:highlight w:val="none"/>
              </w:rPr>
              <w:t>点位数</w:t>
            </w:r>
          </w:p>
        </w:tc>
        <w:tc>
          <w:tcPr>
            <w:tcW w:w="869" w:type="dxa"/>
            <w:vAlign w:val="center"/>
          </w:tcPr>
          <w:p w14:paraId="55938AEF">
            <w:pPr>
              <w:ind w:left="-105" w:right="-105"/>
              <w:jc w:val="center"/>
              <w:rPr>
                <w:rFonts w:ascii="Times New Roman" w:hAnsi="Times New Roman" w:cs="Times New Roman"/>
                <w:b/>
                <w:color w:val="auto"/>
                <w:sz w:val="21"/>
                <w:szCs w:val="21"/>
                <w:highlight w:val="none"/>
              </w:rPr>
            </w:pPr>
            <w:r>
              <w:rPr>
                <w:rFonts w:ascii="Times New Roman" w:hAnsi="Times New Roman" w:cs="Times New Roman"/>
                <w:b/>
                <w:color w:val="auto"/>
                <w:sz w:val="21"/>
                <w:szCs w:val="21"/>
                <w:highlight w:val="none"/>
              </w:rPr>
              <w:t>频次/天</w:t>
            </w:r>
          </w:p>
        </w:tc>
        <w:tc>
          <w:tcPr>
            <w:tcW w:w="790" w:type="dxa"/>
            <w:vAlign w:val="center"/>
          </w:tcPr>
          <w:p w14:paraId="3F33194F">
            <w:pPr>
              <w:ind w:left="-105" w:right="-105"/>
              <w:jc w:val="center"/>
              <w:rPr>
                <w:rFonts w:ascii="Times New Roman" w:hAnsi="Times New Roman" w:cs="Times New Roman"/>
                <w:b/>
                <w:color w:val="auto"/>
                <w:sz w:val="21"/>
                <w:szCs w:val="21"/>
                <w:highlight w:val="none"/>
              </w:rPr>
            </w:pPr>
            <w:r>
              <w:rPr>
                <w:rFonts w:ascii="Times New Roman" w:hAnsi="Times New Roman" w:cs="Times New Roman"/>
                <w:b/>
                <w:color w:val="auto"/>
                <w:sz w:val="21"/>
                <w:szCs w:val="21"/>
                <w:highlight w:val="none"/>
              </w:rPr>
              <w:t>天数</w:t>
            </w:r>
          </w:p>
        </w:tc>
        <w:tc>
          <w:tcPr>
            <w:tcW w:w="3257" w:type="dxa"/>
            <w:vAlign w:val="center"/>
          </w:tcPr>
          <w:p w14:paraId="2F6585F0">
            <w:pPr>
              <w:ind w:left="-105" w:right="-105"/>
              <w:jc w:val="center"/>
              <w:rPr>
                <w:rFonts w:ascii="Times New Roman" w:hAnsi="Times New Roman" w:cs="Times New Roman"/>
                <w:b/>
                <w:color w:val="auto"/>
                <w:sz w:val="21"/>
                <w:szCs w:val="21"/>
                <w:highlight w:val="none"/>
              </w:rPr>
            </w:pPr>
            <w:r>
              <w:rPr>
                <w:rFonts w:ascii="Times New Roman" w:hAnsi="Times New Roman" w:cs="Times New Roman"/>
                <w:b/>
                <w:color w:val="auto"/>
                <w:sz w:val="21"/>
                <w:szCs w:val="21"/>
                <w:highlight w:val="none"/>
              </w:rPr>
              <w:t>验收标准</w:t>
            </w:r>
          </w:p>
        </w:tc>
      </w:tr>
      <w:tr w14:paraId="795C4F77">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640" w:type="dxa"/>
            <w:vMerge w:val="restart"/>
            <w:vAlign w:val="center"/>
          </w:tcPr>
          <w:p w14:paraId="4300F6AC">
            <w:pPr>
              <w:adjustRightInd w:val="0"/>
              <w:snapToGrid w:val="0"/>
              <w:ind w:left="-105" w:right="-105"/>
              <w:jc w:val="center"/>
              <w:rPr>
                <w:rFonts w:ascii="Times New Roman" w:hAnsi="Times New Roman" w:cs="Times New Roman"/>
                <w:color w:val="auto"/>
                <w:sz w:val="21"/>
                <w:szCs w:val="21"/>
                <w:highlight w:val="none"/>
              </w:rPr>
            </w:pPr>
            <w:r>
              <w:rPr>
                <w:rFonts w:ascii="Times New Roman" w:hAnsi="Times New Roman" w:cs="Times New Roman"/>
                <w:bCs/>
                <w:color w:val="auto"/>
                <w:sz w:val="21"/>
                <w:szCs w:val="21"/>
                <w:highlight w:val="none"/>
              </w:rPr>
              <w:t>废气</w:t>
            </w:r>
          </w:p>
        </w:tc>
        <w:tc>
          <w:tcPr>
            <w:tcW w:w="1077" w:type="dxa"/>
            <w:vAlign w:val="center"/>
          </w:tcPr>
          <w:p w14:paraId="28BD533A">
            <w:pPr>
              <w:pStyle w:val="98"/>
              <w:adjustRightInd w:val="0"/>
              <w:snapToGrid w:val="0"/>
              <w:ind w:left="-105" w:right="-105"/>
              <w:rPr>
                <w:rFonts w:eastAsia="宋体"/>
                <w:color w:val="auto"/>
                <w:sz w:val="21"/>
                <w:szCs w:val="21"/>
                <w:highlight w:val="none"/>
                <w:lang w:val="en-US"/>
              </w:rPr>
            </w:pPr>
            <w:r>
              <w:rPr>
                <w:rFonts w:hint="eastAsia" w:eastAsia="宋体"/>
                <w:color w:val="auto"/>
                <w:sz w:val="21"/>
                <w:szCs w:val="21"/>
                <w:highlight w:val="none"/>
                <w:lang w:val="en-US"/>
              </w:rPr>
              <w:t>DA005</w:t>
            </w:r>
          </w:p>
        </w:tc>
        <w:tc>
          <w:tcPr>
            <w:tcW w:w="1198" w:type="dxa"/>
            <w:vAlign w:val="center"/>
          </w:tcPr>
          <w:p w14:paraId="57F4E440">
            <w:pPr>
              <w:pStyle w:val="240"/>
              <w:adjustRightInd w:val="0"/>
              <w:snapToGrid w:val="0"/>
              <w:ind w:left="-105" w:right="-105"/>
              <w:rPr>
                <w:rFonts w:ascii="Times New Roman" w:hAnsi="Times New Roman"/>
                <w:color w:val="auto"/>
                <w:highlight w:val="none"/>
              </w:rPr>
            </w:pPr>
            <w:r>
              <w:rPr>
                <w:rFonts w:ascii="Times New Roman" w:hAnsi="Times New Roman"/>
                <w:color w:val="auto"/>
                <w:highlight w:val="none"/>
              </w:rPr>
              <w:t>非甲烷总烃</w:t>
            </w:r>
          </w:p>
        </w:tc>
        <w:tc>
          <w:tcPr>
            <w:tcW w:w="890" w:type="dxa"/>
            <w:vAlign w:val="center"/>
          </w:tcPr>
          <w:p w14:paraId="0869E34A">
            <w:pPr>
              <w:adjustRightInd w:val="0"/>
              <w:snapToGrid w:val="0"/>
              <w:ind w:left="-105" w:right="-105"/>
              <w:jc w:val="center"/>
              <w:rPr>
                <w:rFonts w:ascii="Times New Roman" w:hAnsi="Times New Roman" w:cs="Times New Roman"/>
                <w:color w:val="auto"/>
                <w:sz w:val="20"/>
                <w:szCs w:val="16"/>
                <w:highlight w:val="none"/>
              </w:rPr>
            </w:pPr>
            <w:r>
              <w:rPr>
                <w:rFonts w:hint="eastAsia" w:ascii="Times New Roman" w:hAnsi="Times New Roman" w:cs="Times New Roman"/>
                <w:color w:val="auto"/>
                <w:sz w:val="20"/>
                <w:szCs w:val="16"/>
                <w:highlight w:val="none"/>
                <w:lang w:val="en-US" w:eastAsia="zh-CN"/>
              </w:rPr>
              <w:t>2</w:t>
            </w:r>
          </w:p>
        </w:tc>
        <w:tc>
          <w:tcPr>
            <w:tcW w:w="869" w:type="dxa"/>
            <w:vAlign w:val="center"/>
          </w:tcPr>
          <w:p w14:paraId="61E8A8AE">
            <w:pPr>
              <w:adjustRightInd w:val="0"/>
              <w:snapToGrid w:val="0"/>
              <w:ind w:left="-105" w:right="-105"/>
              <w:jc w:val="center"/>
              <w:rPr>
                <w:rFonts w:ascii="Times New Roman" w:hAnsi="Times New Roman" w:cs="Times New Roman"/>
                <w:bCs/>
                <w:color w:val="auto"/>
                <w:sz w:val="20"/>
                <w:szCs w:val="16"/>
                <w:highlight w:val="none"/>
              </w:rPr>
            </w:pPr>
            <w:r>
              <w:rPr>
                <w:rFonts w:ascii="Times New Roman" w:hAnsi="Times New Roman" w:cs="Times New Roman"/>
                <w:color w:val="auto"/>
                <w:sz w:val="20"/>
                <w:szCs w:val="16"/>
                <w:highlight w:val="none"/>
              </w:rPr>
              <w:t>3</w:t>
            </w:r>
          </w:p>
        </w:tc>
        <w:tc>
          <w:tcPr>
            <w:tcW w:w="790" w:type="dxa"/>
            <w:vAlign w:val="center"/>
          </w:tcPr>
          <w:p w14:paraId="69215B75">
            <w:pPr>
              <w:autoSpaceDE w:val="0"/>
              <w:autoSpaceDN w:val="0"/>
              <w:adjustRightInd w:val="0"/>
              <w:snapToGrid w:val="0"/>
              <w:ind w:left="-105" w:right="-105"/>
              <w:jc w:val="center"/>
              <w:rPr>
                <w:rFonts w:ascii="Times New Roman" w:hAnsi="Times New Roman" w:cs="Times New Roman"/>
                <w:color w:val="auto"/>
                <w:sz w:val="20"/>
                <w:szCs w:val="16"/>
                <w:highlight w:val="none"/>
              </w:rPr>
            </w:pPr>
            <w:r>
              <w:rPr>
                <w:rFonts w:ascii="Times New Roman" w:hAnsi="Times New Roman" w:cs="Times New Roman"/>
                <w:color w:val="auto"/>
                <w:sz w:val="20"/>
                <w:szCs w:val="16"/>
                <w:highlight w:val="none"/>
              </w:rPr>
              <w:t>2</w:t>
            </w:r>
          </w:p>
        </w:tc>
        <w:tc>
          <w:tcPr>
            <w:tcW w:w="3257" w:type="dxa"/>
            <w:vAlign w:val="center"/>
          </w:tcPr>
          <w:p w14:paraId="23214F50">
            <w:pPr>
              <w:autoSpaceDE w:val="0"/>
              <w:autoSpaceDN w:val="0"/>
              <w:adjustRightInd w:val="0"/>
              <w:snapToGrid w:val="0"/>
              <w:ind w:left="-105" w:right="-105"/>
              <w:jc w:val="center"/>
              <w:rPr>
                <w:rFonts w:ascii="Times New Roman" w:hAnsi="Times New Roman" w:cs="Times New Roman"/>
                <w:bCs/>
                <w:color w:val="auto"/>
                <w:sz w:val="21"/>
                <w:szCs w:val="21"/>
                <w:highlight w:val="none"/>
              </w:rPr>
            </w:pPr>
            <w:r>
              <w:rPr>
                <w:rFonts w:ascii="Times New Roman" w:hAnsi="Times New Roman" w:cs="Times New Roman"/>
                <w:color w:val="auto"/>
                <w:sz w:val="21"/>
                <w:szCs w:val="21"/>
                <w:highlight w:val="none"/>
              </w:rPr>
              <w:t>《大气污染物综合排放标准》（DB32/4041-2021）表1标准限值</w:t>
            </w:r>
          </w:p>
        </w:tc>
      </w:tr>
      <w:tr w14:paraId="03AE98B1">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640" w:type="dxa"/>
            <w:vMerge w:val="continue"/>
            <w:vAlign w:val="center"/>
          </w:tcPr>
          <w:p w14:paraId="1F72AAEC">
            <w:pPr>
              <w:adjustRightInd w:val="0"/>
              <w:snapToGrid w:val="0"/>
              <w:ind w:left="-105" w:right="-105"/>
              <w:jc w:val="center"/>
              <w:rPr>
                <w:rFonts w:ascii="Times New Roman" w:hAnsi="Times New Roman" w:cs="Times New Roman"/>
                <w:bCs/>
                <w:color w:val="auto"/>
                <w:sz w:val="21"/>
                <w:szCs w:val="21"/>
                <w:highlight w:val="none"/>
              </w:rPr>
            </w:pPr>
          </w:p>
        </w:tc>
        <w:tc>
          <w:tcPr>
            <w:tcW w:w="1077" w:type="dxa"/>
            <w:vAlign w:val="center"/>
          </w:tcPr>
          <w:p w14:paraId="79AF459D">
            <w:pPr>
              <w:pStyle w:val="98"/>
              <w:adjustRightInd w:val="0"/>
              <w:snapToGrid w:val="0"/>
              <w:ind w:left="-105" w:right="-105"/>
              <w:rPr>
                <w:rFonts w:eastAsia="宋体"/>
                <w:color w:val="auto"/>
                <w:sz w:val="21"/>
                <w:szCs w:val="21"/>
                <w:highlight w:val="none"/>
                <w:lang w:val="en-US"/>
              </w:rPr>
            </w:pPr>
            <w:r>
              <w:rPr>
                <w:rFonts w:hint="eastAsia" w:eastAsia="宋体"/>
                <w:color w:val="auto"/>
                <w:sz w:val="21"/>
                <w:szCs w:val="21"/>
                <w:highlight w:val="none"/>
                <w:lang w:val="en-US"/>
              </w:rPr>
              <w:t>DA006</w:t>
            </w:r>
          </w:p>
        </w:tc>
        <w:tc>
          <w:tcPr>
            <w:tcW w:w="1198" w:type="dxa"/>
            <w:vAlign w:val="center"/>
          </w:tcPr>
          <w:p w14:paraId="353FE26A">
            <w:pPr>
              <w:pStyle w:val="240"/>
              <w:adjustRightInd w:val="0"/>
              <w:snapToGrid w:val="0"/>
              <w:ind w:left="-105" w:right="-105"/>
              <w:rPr>
                <w:rFonts w:hint="default" w:ascii="Times New Roman" w:hAnsi="Times New Roman" w:eastAsia="宋体"/>
                <w:color w:val="auto"/>
                <w:highlight w:val="none"/>
                <w:lang w:val="en-US" w:eastAsia="zh-CN"/>
              </w:rPr>
            </w:pPr>
            <w:r>
              <w:rPr>
                <w:rFonts w:ascii="Times New Roman" w:hAnsi="Times New Roman"/>
                <w:color w:val="auto"/>
                <w:highlight w:val="none"/>
              </w:rPr>
              <w:t>非甲烷总烃</w:t>
            </w:r>
            <w:r>
              <w:rPr>
                <w:rFonts w:hint="eastAsia" w:ascii="Times New Roman" w:hAnsi="Times New Roman"/>
                <w:color w:val="auto"/>
                <w:highlight w:val="none"/>
                <w:lang w:eastAsia="zh-CN"/>
              </w:rPr>
              <w:t>、</w:t>
            </w:r>
            <w:r>
              <w:rPr>
                <w:rFonts w:hint="eastAsia" w:ascii="Times New Roman" w:hAnsi="Times New Roman"/>
                <w:color w:val="auto"/>
                <w:highlight w:val="none"/>
                <w:lang w:val="en-US" w:eastAsia="zh-CN"/>
              </w:rPr>
              <w:t>氮氧化物</w:t>
            </w:r>
          </w:p>
        </w:tc>
        <w:tc>
          <w:tcPr>
            <w:tcW w:w="890" w:type="dxa"/>
            <w:vAlign w:val="center"/>
          </w:tcPr>
          <w:p w14:paraId="1EA5F197">
            <w:pPr>
              <w:adjustRightInd w:val="0"/>
              <w:snapToGrid w:val="0"/>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0"/>
                <w:szCs w:val="16"/>
                <w:highlight w:val="none"/>
              </w:rPr>
              <w:t>2</w:t>
            </w:r>
          </w:p>
        </w:tc>
        <w:tc>
          <w:tcPr>
            <w:tcW w:w="869" w:type="dxa"/>
            <w:vAlign w:val="center"/>
          </w:tcPr>
          <w:p w14:paraId="1E81EE77">
            <w:pPr>
              <w:adjustRightInd w:val="0"/>
              <w:snapToGrid w:val="0"/>
              <w:ind w:left="-105" w:right="-105"/>
              <w:jc w:val="center"/>
              <w:rPr>
                <w:rFonts w:ascii="Times New Roman" w:hAnsi="Times New Roman" w:cs="Times New Roman"/>
                <w:bCs/>
                <w:color w:val="auto"/>
                <w:sz w:val="21"/>
                <w:szCs w:val="21"/>
                <w:highlight w:val="none"/>
              </w:rPr>
            </w:pPr>
            <w:r>
              <w:rPr>
                <w:rFonts w:ascii="Times New Roman" w:hAnsi="Times New Roman" w:cs="Times New Roman"/>
                <w:color w:val="auto"/>
                <w:sz w:val="20"/>
                <w:szCs w:val="16"/>
                <w:highlight w:val="none"/>
              </w:rPr>
              <w:t>3</w:t>
            </w:r>
          </w:p>
        </w:tc>
        <w:tc>
          <w:tcPr>
            <w:tcW w:w="790" w:type="dxa"/>
            <w:vAlign w:val="center"/>
          </w:tcPr>
          <w:p w14:paraId="0BF01C5E">
            <w:pPr>
              <w:autoSpaceDE w:val="0"/>
              <w:autoSpaceDN w:val="0"/>
              <w:adjustRightInd w:val="0"/>
              <w:snapToGrid w:val="0"/>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0"/>
                <w:szCs w:val="16"/>
                <w:highlight w:val="none"/>
              </w:rPr>
              <w:t>2</w:t>
            </w:r>
          </w:p>
        </w:tc>
        <w:tc>
          <w:tcPr>
            <w:tcW w:w="3257" w:type="dxa"/>
            <w:vAlign w:val="center"/>
          </w:tcPr>
          <w:p w14:paraId="46874049">
            <w:pPr>
              <w:autoSpaceDE w:val="0"/>
              <w:autoSpaceDN w:val="0"/>
              <w:adjustRightInd w:val="0"/>
              <w:snapToGrid w:val="0"/>
              <w:ind w:left="-105" w:right="-105"/>
              <w:jc w:val="center"/>
              <w:rPr>
                <w:rFonts w:ascii="Times New Roman" w:hAnsi="Times New Roman" w:cs="Times New Roman"/>
                <w:bCs/>
                <w:color w:val="auto"/>
                <w:sz w:val="21"/>
                <w:szCs w:val="21"/>
                <w:highlight w:val="none"/>
              </w:rPr>
            </w:pPr>
            <w:r>
              <w:rPr>
                <w:rFonts w:ascii="Times New Roman" w:hAnsi="Times New Roman" w:cs="Times New Roman"/>
                <w:color w:val="auto"/>
                <w:sz w:val="21"/>
                <w:szCs w:val="21"/>
                <w:highlight w:val="none"/>
              </w:rPr>
              <w:t>《大气污染物综合排放标准》（DB32/4041-2021）表1标准限值</w:t>
            </w:r>
          </w:p>
        </w:tc>
      </w:tr>
      <w:tr w14:paraId="2713C985">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640" w:type="dxa"/>
            <w:vMerge w:val="continue"/>
            <w:vAlign w:val="center"/>
          </w:tcPr>
          <w:p w14:paraId="41B6857F">
            <w:pPr>
              <w:adjustRightInd w:val="0"/>
              <w:snapToGrid w:val="0"/>
              <w:ind w:left="-105" w:right="-105"/>
              <w:jc w:val="center"/>
              <w:rPr>
                <w:rFonts w:ascii="Times New Roman" w:hAnsi="Times New Roman" w:cs="Times New Roman"/>
                <w:bCs/>
                <w:color w:val="auto"/>
                <w:sz w:val="21"/>
                <w:szCs w:val="21"/>
                <w:highlight w:val="none"/>
              </w:rPr>
            </w:pPr>
          </w:p>
        </w:tc>
        <w:tc>
          <w:tcPr>
            <w:tcW w:w="1077" w:type="dxa"/>
            <w:vAlign w:val="center"/>
          </w:tcPr>
          <w:p w14:paraId="5FCCB821">
            <w:pPr>
              <w:pStyle w:val="98"/>
              <w:adjustRightInd w:val="0"/>
              <w:snapToGrid w:val="0"/>
              <w:ind w:left="-105" w:right="-105"/>
              <w:rPr>
                <w:rFonts w:eastAsia="宋体"/>
                <w:color w:val="auto"/>
                <w:sz w:val="21"/>
                <w:szCs w:val="21"/>
                <w:highlight w:val="none"/>
              </w:rPr>
            </w:pPr>
            <w:r>
              <w:rPr>
                <w:rFonts w:eastAsia="宋体"/>
                <w:color w:val="auto"/>
                <w:sz w:val="21"/>
                <w:szCs w:val="21"/>
                <w:highlight w:val="none"/>
              </w:rPr>
              <w:t>厂界无组织</w:t>
            </w:r>
          </w:p>
        </w:tc>
        <w:tc>
          <w:tcPr>
            <w:tcW w:w="1198" w:type="dxa"/>
            <w:vAlign w:val="center"/>
          </w:tcPr>
          <w:p w14:paraId="796E153A">
            <w:pPr>
              <w:adjustRightInd w:val="0"/>
              <w:snapToGrid w:val="0"/>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非甲烷总烃</w:t>
            </w:r>
            <w:r>
              <w:rPr>
                <w:rFonts w:hint="eastAsia" w:ascii="Times New Roman" w:hAnsi="Times New Roman"/>
                <w:color w:val="auto"/>
                <w:sz w:val="21"/>
                <w:szCs w:val="21"/>
                <w:highlight w:val="none"/>
                <w:lang w:eastAsia="zh-CN"/>
              </w:rPr>
              <w:t>、</w:t>
            </w:r>
            <w:r>
              <w:rPr>
                <w:rFonts w:hint="eastAsia" w:ascii="Times New Roman" w:hAnsi="Times New Roman"/>
                <w:color w:val="auto"/>
                <w:sz w:val="21"/>
                <w:szCs w:val="21"/>
                <w:highlight w:val="none"/>
                <w:lang w:val="en-US" w:eastAsia="zh-CN"/>
              </w:rPr>
              <w:t>氮氧化物、甲醇</w:t>
            </w:r>
          </w:p>
        </w:tc>
        <w:tc>
          <w:tcPr>
            <w:tcW w:w="890" w:type="dxa"/>
            <w:vAlign w:val="center"/>
          </w:tcPr>
          <w:p w14:paraId="1DC0B57D">
            <w:pPr>
              <w:adjustRightInd w:val="0"/>
              <w:snapToGrid w:val="0"/>
              <w:ind w:left="-105" w:right="-105"/>
              <w:jc w:val="center"/>
              <w:rPr>
                <w:rFonts w:ascii="Times New Roman" w:hAnsi="Times New Roman" w:cs="Times New Roman"/>
                <w:color w:val="auto"/>
                <w:sz w:val="20"/>
                <w:szCs w:val="16"/>
                <w:highlight w:val="none"/>
              </w:rPr>
            </w:pPr>
            <w:r>
              <w:rPr>
                <w:rFonts w:ascii="Times New Roman" w:hAnsi="Times New Roman" w:cs="Times New Roman"/>
                <w:color w:val="auto"/>
                <w:sz w:val="20"/>
                <w:szCs w:val="16"/>
                <w:highlight w:val="none"/>
              </w:rPr>
              <w:t>4</w:t>
            </w:r>
          </w:p>
        </w:tc>
        <w:tc>
          <w:tcPr>
            <w:tcW w:w="869" w:type="dxa"/>
            <w:vAlign w:val="center"/>
          </w:tcPr>
          <w:p w14:paraId="1E6AAA51">
            <w:pPr>
              <w:adjustRightInd w:val="0"/>
              <w:snapToGrid w:val="0"/>
              <w:ind w:left="-105" w:right="-105"/>
              <w:jc w:val="center"/>
              <w:rPr>
                <w:rFonts w:ascii="Times New Roman" w:hAnsi="Times New Roman" w:cs="Times New Roman"/>
                <w:color w:val="auto"/>
                <w:sz w:val="20"/>
                <w:szCs w:val="16"/>
                <w:highlight w:val="none"/>
              </w:rPr>
            </w:pPr>
            <w:r>
              <w:rPr>
                <w:rFonts w:ascii="Times New Roman" w:hAnsi="Times New Roman" w:cs="Times New Roman"/>
                <w:color w:val="auto"/>
                <w:sz w:val="20"/>
                <w:szCs w:val="16"/>
                <w:highlight w:val="none"/>
              </w:rPr>
              <w:t>3</w:t>
            </w:r>
          </w:p>
        </w:tc>
        <w:tc>
          <w:tcPr>
            <w:tcW w:w="790" w:type="dxa"/>
            <w:vAlign w:val="center"/>
          </w:tcPr>
          <w:p w14:paraId="3F1E4D40">
            <w:pPr>
              <w:autoSpaceDE w:val="0"/>
              <w:autoSpaceDN w:val="0"/>
              <w:adjustRightInd w:val="0"/>
              <w:snapToGrid w:val="0"/>
              <w:ind w:left="-105" w:right="-105"/>
              <w:jc w:val="center"/>
              <w:rPr>
                <w:rFonts w:ascii="Times New Roman" w:hAnsi="Times New Roman" w:cs="Times New Roman"/>
                <w:color w:val="auto"/>
                <w:sz w:val="20"/>
                <w:szCs w:val="16"/>
                <w:highlight w:val="none"/>
              </w:rPr>
            </w:pPr>
            <w:r>
              <w:rPr>
                <w:rFonts w:ascii="Times New Roman" w:hAnsi="Times New Roman" w:cs="Times New Roman"/>
                <w:color w:val="auto"/>
                <w:sz w:val="20"/>
                <w:szCs w:val="16"/>
                <w:highlight w:val="none"/>
              </w:rPr>
              <w:t>2</w:t>
            </w:r>
          </w:p>
        </w:tc>
        <w:tc>
          <w:tcPr>
            <w:tcW w:w="3257" w:type="dxa"/>
            <w:vAlign w:val="center"/>
          </w:tcPr>
          <w:p w14:paraId="6C53FF00">
            <w:pPr>
              <w:autoSpaceDE w:val="0"/>
              <w:autoSpaceDN w:val="0"/>
              <w:adjustRightInd w:val="0"/>
              <w:snapToGrid w:val="0"/>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《大气污染物综合排放标准》（DB32/4041-2021)表3中标准</w:t>
            </w:r>
          </w:p>
        </w:tc>
      </w:tr>
      <w:tr w14:paraId="3A3E4B80">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640" w:type="dxa"/>
            <w:vMerge w:val="continue"/>
            <w:vAlign w:val="center"/>
          </w:tcPr>
          <w:p w14:paraId="43589C58">
            <w:pPr>
              <w:adjustRightInd w:val="0"/>
              <w:snapToGrid w:val="0"/>
              <w:ind w:left="-105" w:right="-105"/>
              <w:jc w:val="center"/>
              <w:rPr>
                <w:rFonts w:ascii="Times New Roman" w:hAnsi="Times New Roman" w:cs="Times New Roman"/>
                <w:bCs/>
                <w:color w:val="auto"/>
                <w:sz w:val="21"/>
                <w:szCs w:val="21"/>
                <w:highlight w:val="none"/>
              </w:rPr>
            </w:pPr>
          </w:p>
        </w:tc>
        <w:tc>
          <w:tcPr>
            <w:tcW w:w="1077" w:type="dxa"/>
            <w:vAlign w:val="center"/>
          </w:tcPr>
          <w:p w14:paraId="40CDF8F0">
            <w:pPr>
              <w:pStyle w:val="98"/>
              <w:adjustRightInd w:val="0"/>
              <w:snapToGrid w:val="0"/>
              <w:ind w:left="-105" w:right="-105"/>
              <w:rPr>
                <w:rFonts w:eastAsia="宋体"/>
                <w:color w:val="auto"/>
                <w:sz w:val="21"/>
                <w:szCs w:val="21"/>
                <w:highlight w:val="none"/>
              </w:rPr>
            </w:pPr>
            <w:r>
              <w:rPr>
                <w:rFonts w:eastAsia="宋体"/>
                <w:color w:val="auto"/>
                <w:sz w:val="21"/>
                <w:szCs w:val="21"/>
                <w:highlight w:val="none"/>
              </w:rPr>
              <w:t>厂区内无组织</w:t>
            </w:r>
          </w:p>
        </w:tc>
        <w:tc>
          <w:tcPr>
            <w:tcW w:w="1198" w:type="dxa"/>
            <w:vAlign w:val="center"/>
          </w:tcPr>
          <w:p w14:paraId="21E97BBF">
            <w:pPr>
              <w:adjustRightInd w:val="0"/>
              <w:snapToGrid w:val="0"/>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非甲烷总烃</w:t>
            </w:r>
          </w:p>
        </w:tc>
        <w:tc>
          <w:tcPr>
            <w:tcW w:w="890" w:type="dxa"/>
            <w:vAlign w:val="center"/>
          </w:tcPr>
          <w:p w14:paraId="345CD165">
            <w:pPr>
              <w:adjustRightInd w:val="0"/>
              <w:snapToGrid w:val="0"/>
              <w:ind w:left="-105" w:right="-105"/>
              <w:jc w:val="center"/>
              <w:rPr>
                <w:rFonts w:ascii="Times New Roman" w:hAnsi="Times New Roman" w:cs="Times New Roman"/>
                <w:color w:val="auto"/>
                <w:sz w:val="20"/>
                <w:szCs w:val="16"/>
                <w:highlight w:val="none"/>
              </w:rPr>
            </w:pPr>
            <w:r>
              <w:rPr>
                <w:rFonts w:hint="eastAsia" w:ascii="Times New Roman" w:hAnsi="Times New Roman" w:cs="Times New Roman"/>
                <w:color w:val="auto"/>
                <w:sz w:val="20"/>
                <w:szCs w:val="16"/>
                <w:highlight w:val="none"/>
              </w:rPr>
              <w:t>2</w:t>
            </w:r>
          </w:p>
        </w:tc>
        <w:tc>
          <w:tcPr>
            <w:tcW w:w="869" w:type="dxa"/>
            <w:vAlign w:val="center"/>
          </w:tcPr>
          <w:p w14:paraId="391254BF">
            <w:pPr>
              <w:adjustRightInd w:val="0"/>
              <w:snapToGrid w:val="0"/>
              <w:ind w:left="-105" w:right="-105"/>
              <w:jc w:val="center"/>
              <w:rPr>
                <w:rFonts w:ascii="Times New Roman" w:hAnsi="Times New Roman" w:cs="Times New Roman"/>
                <w:color w:val="auto"/>
                <w:sz w:val="20"/>
                <w:szCs w:val="16"/>
                <w:highlight w:val="none"/>
              </w:rPr>
            </w:pPr>
            <w:r>
              <w:rPr>
                <w:rFonts w:ascii="Times New Roman" w:hAnsi="Times New Roman" w:cs="Times New Roman"/>
                <w:color w:val="auto"/>
                <w:szCs w:val="21"/>
                <w:highlight w:val="none"/>
              </w:rPr>
              <w:t>3</w:t>
            </w:r>
          </w:p>
        </w:tc>
        <w:tc>
          <w:tcPr>
            <w:tcW w:w="790" w:type="dxa"/>
            <w:vAlign w:val="center"/>
          </w:tcPr>
          <w:p w14:paraId="33588F2F">
            <w:pPr>
              <w:autoSpaceDE w:val="0"/>
              <w:autoSpaceDN w:val="0"/>
              <w:adjustRightInd w:val="0"/>
              <w:snapToGrid w:val="0"/>
              <w:ind w:left="-105" w:right="-105"/>
              <w:jc w:val="center"/>
              <w:rPr>
                <w:rFonts w:ascii="Times New Roman" w:hAnsi="Times New Roman" w:cs="Times New Roman"/>
                <w:color w:val="auto"/>
                <w:sz w:val="20"/>
                <w:szCs w:val="16"/>
                <w:highlight w:val="none"/>
              </w:rPr>
            </w:pPr>
            <w:r>
              <w:rPr>
                <w:rFonts w:ascii="Times New Roman" w:hAnsi="Times New Roman" w:cs="Times New Roman"/>
                <w:color w:val="auto"/>
                <w:szCs w:val="21"/>
                <w:highlight w:val="none"/>
              </w:rPr>
              <w:t>2</w:t>
            </w:r>
          </w:p>
        </w:tc>
        <w:tc>
          <w:tcPr>
            <w:tcW w:w="3257" w:type="dxa"/>
          </w:tcPr>
          <w:p w14:paraId="59339F4E">
            <w:pPr>
              <w:autoSpaceDE w:val="0"/>
              <w:autoSpaceDN w:val="0"/>
              <w:adjustRightInd w:val="0"/>
              <w:snapToGrid w:val="0"/>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《大气污染物综合排放标准》（DB32/4041-2021)表2中标准限值要求</w:t>
            </w:r>
          </w:p>
        </w:tc>
      </w:tr>
      <w:tr w14:paraId="4B6715D6">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640" w:type="dxa"/>
            <w:vAlign w:val="center"/>
          </w:tcPr>
          <w:p w14:paraId="1E2CBB4D">
            <w:pPr>
              <w:autoSpaceDE w:val="0"/>
              <w:autoSpaceDN w:val="0"/>
              <w:adjustRightInd w:val="0"/>
              <w:snapToGrid w:val="0"/>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噪声</w:t>
            </w:r>
          </w:p>
        </w:tc>
        <w:tc>
          <w:tcPr>
            <w:tcW w:w="1077" w:type="dxa"/>
            <w:vAlign w:val="center"/>
          </w:tcPr>
          <w:p w14:paraId="5B3E87DC">
            <w:pPr>
              <w:autoSpaceDE w:val="0"/>
              <w:autoSpaceDN w:val="0"/>
              <w:adjustRightInd w:val="0"/>
              <w:snapToGrid w:val="0"/>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厂界四周噪声</w:t>
            </w:r>
          </w:p>
        </w:tc>
        <w:tc>
          <w:tcPr>
            <w:tcW w:w="1198" w:type="dxa"/>
            <w:vAlign w:val="center"/>
          </w:tcPr>
          <w:p w14:paraId="53C01694">
            <w:pPr>
              <w:adjustRightInd w:val="0"/>
              <w:snapToGrid w:val="0"/>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等效A声级</w:t>
            </w:r>
          </w:p>
        </w:tc>
        <w:tc>
          <w:tcPr>
            <w:tcW w:w="890" w:type="dxa"/>
            <w:vAlign w:val="center"/>
          </w:tcPr>
          <w:p w14:paraId="7B49B0D2">
            <w:pPr>
              <w:adjustRightInd w:val="0"/>
              <w:snapToGrid w:val="0"/>
              <w:ind w:left="-105" w:right="-105"/>
              <w:jc w:val="center"/>
              <w:rPr>
                <w:rFonts w:ascii="Times New Roman" w:hAnsi="Times New Roman" w:cs="Times New Roman"/>
                <w:color w:val="auto"/>
                <w:sz w:val="22"/>
                <w:szCs w:val="20"/>
                <w:highlight w:val="none"/>
              </w:rPr>
            </w:pPr>
            <w:r>
              <w:rPr>
                <w:rFonts w:ascii="Times New Roman" w:hAnsi="Times New Roman" w:cs="Times New Roman"/>
                <w:color w:val="auto"/>
                <w:sz w:val="22"/>
                <w:szCs w:val="20"/>
                <w:highlight w:val="none"/>
              </w:rPr>
              <w:t>4</w:t>
            </w:r>
          </w:p>
        </w:tc>
        <w:tc>
          <w:tcPr>
            <w:tcW w:w="869" w:type="dxa"/>
            <w:vAlign w:val="center"/>
          </w:tcPr>
          <w:p w14:paraId="170A6231">
            <w:pPr>
              <w:adjustRightInd w:val="0"/>
              <w:snapToGrid w:val="0"/>
              <w:ind w:left="-105" w:right="-105"/>
              <w:jc w:val="center"/>
              <w:rPr>
                <w:rFonts w:ascii="Times New Roman" w:hAnsi="Times New Roman" w:cs="Times New Roman"/>
                <w:color w:val="auto"/>
                <w:sz w:val="22"/>
                <w:szCs w:val="20"/>
                <w:highlight w:val="none"/>
              </w:rPr>
            </w:pPr>
            <w:r>
              <w:rPr>
                <w:rFonts w:ascii="Times New Roman" w:hAnsi="Times New Roman" w:cs="Times New Roman"/>
                <w:color w:val="auto"/>
                <w:sz w:val="22"/>
                <w:szCs w:val="20"/>
                <w:highlight w:val="none"/>
              </w:rPr>
              <w:t>2</w:t>
            </w:r>
          </w:p>
        </w:tc>
        <w:tc>
          <w:tcPr>
            <w:tcW w:w="790" w:type="dxa"/>
            <w:vAlign w:val="center"/>
          </w:tcPr>
          <w:p w14:paraId="1A001B59">
            <w:pPr>
              <w:adjustRightInd w:val="0"/>
              <w:snapToGrid w:val="0"/>
              <w:ind w:left="-105" w:right="-105"/>
              <w:jc w:val="center"/>
              <w:rPr>
                <w:rFonts w:ascii="Times New Roman" w:hAnsi="Times New Roman" w:cs="Times New Roman"/>
                <w:color w:val="auto"/>
                <w:sz w:val="22"/>
                <w:szCs w:val="20"/>
                <w:highlight w:val="none"/>
              </w:rPr>
            </w:pPr>
            <w:r>
              <w:rPr>
                <w:rFonts w:ascii="Times New Roman" w:hAnsi="Times New Roman" w:cs="Times New Roman"/>
                <w:color w:val="auto"/>
                <w:sz w:val="22"/>
                <w:szCs w:val="20"/>
                <w:highlight w:val="none"/>
              </w:rPr>
              <w:t>2</w:t>
            </w:r>
          </w:p>
        </w:tc>
        <w:tc>
          <w:tcPr>
            <w:tcW w:w="3257" w:type="dxa"/>
            <w:vAlign w:val="center"/>
          </w:tcPr>
          <w:p w14:paraId="1BDD314C">
            <w:pPr>
              <w:adjustRightInd w:val="0"/>
              <w:snapToGrid w:val="0"/>
              <w:ind w:left="-105" w:right="-105"/>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《工业企业厂界环境噪声排放标准》(GB12348-2008)中的3类标准</w:t>
            </w:r>
          </w:p>
        </w:tc>
      </w:tr>
    </w:tbl>
    <w:p w14:paraId="5D9E96CE">
      <w:pPr>
        <w:pStyle w:val="3"/>
        <w:numPr>
          <w:ilvl w:val="0"/>
          <w:numId w:val="6"/>
        </w:numPr>
        <w:spacing w:before="120" w:beforeLines="50" w:afterLines="50" w:line="360" w:lineRule="auto"/>
        <w:ind w:left="-105" w:right="-105" w:firstLine="643"/>
        <w:rPr>
          <w:rFonts w:ascii="Times New Roman" w:eastAsia="宋体"/>
          <w:color w:val="auto"/>
          <w:sz w:val="32"/>
          <w:szCs w:val="32"/>
          <w:highlight w:val="none"/>
        </w:rPr>
        <w:sectPr>
          <w:headerReference r:id="rId29" w:type="default"/>
          <w:headerReference r:id="rId30" w:type="even"/>
          <w:pgSz w:w="11906" w:h="16838"/>
          <w:pgMar w:top="1440" w:right="1701" w:bottom="1440" w:left="1701" w:header="851" w:footer="851" w:gutter="0"/>
          <w:pgBorders>
            <w:top w:val="none" w:sz="0" w:space="0"/>
            <w:left w:val="none" w:sz="0" w:space="0"/>
            <w:bottom w:val="none" w:sz="0" w:space="0"/>
            <w:right w:val="none" w:sz="0" w:space="0"/>
          </w:pgBorders>
          <w:cols w:space="720" w:num="1"/>
          <w:docGrid w:linePitch="498" w:charSpace="-2336"/>
        </w:sectPr>
      </w:pPr>
      <w:bookmarkStart w:id="544" w:name="_Toc25598"/>
      <w:bookmarkStart w:id="545" w:name="_Toc60653631"/>
    </w:p>
    <w:p w14:paraId="3AEB06F2">
      <w:pPr>
        <w:pStyle w:val="3"/>
        <w:numPr>
          <w:ilvl w:val="0"/>
          <w:numId w:val="6"/>
        </w:numPr>
        <w:spacing w:before="120" w:beforeLines="50" w:afterLines="50" w:line="360" w:lineRule="auto"/>
        <w:ind w:left="-105" w:right="-105"/>
        <w:rPr>
          <w:rFonts w:ascii="Times New Roman" w:eastAsia="宋体"/>
          <w:color w:val="auto"/>
          <w:sz w:val="32"/>
          <w:szCs w:val="32"/>
          <w:highlight w:val="none"/>
        </w:rPr>
      </w:pPr>
      <w:bookmarkStart w:id="546" w:name="_Toc27465"/>
      <w:r>
        <w:rPr>
          <w:rFonts w:ascii="Times New Roman" w:eastAsia="宋体"/>
          <w:color w:val="auto"/>
          <w:sz w:val="32"/>
          <w:szCs w:val="32"/>
          <w:highlight w:val="none"/>
        </w:rPr>
        <w:t>评价结论和建议</w:t>
      </w:r>
      <w:bookmarkEnd w:id="544"/>
      <w:bookmarkEnd w:id="545"/>
      <w:bookmarkEnd w:id="546"/>
    </w:p>
    <w:p w14:paraId="2FED112F">
      <w:pPr>
        <w:pStyle w:val="4"/>
        <w:numPr>
          <w:ilvl w:val="1"/>
          <w:numId w:val="0"/>
        </w:numPr>
        <w:tabs>
          <w:tab w:val="left" w:pos="426"/>
        </w:tabs>
        <w:spacing w:before="120" w:beforeLines="50" w:after="120" w:afterLines="50" w:line="360" w:lineRule="auto"/>
        <w:ind w:right="-105"/>
        <w:rPr>
          <w:rFonts w:ascii="Times New Roman" w:eastAsia="宋体"/>
          <w:color w:val="auto"/>
          <w:sz w:val="28"/>
          <w:szCs w:val="28"/>
          <w:highlight w:val="none"/>
        </w:rPr>
      </w:pPr>
      <w:bookmarkStart w:id="547" w:name="_Toc60653632"/>
      <w:bookmarkStart w:id="548" w:name="_Toc28545"/>
      <w:bookmarkStart w:id="549" w:name="_Toc31330"/>
      <w:bookmarkStart w:id="550" w:name="_Toc440877150"/>
      <w:r>
        <w:rPr>
          <w:rFonts w:hint="eastAsia" w:ascii="Times New Roman" w:eastAsia="宋体"/>
          <w:color w:val="auto"/>
          <w:sz w:val="28"/>
          <w:szCs w:val="28"/>
          <w:highlight w:val="none"/>
        </w:rPr>
        <w:t>10.1</w:t>
      </w:r>
      <w:r>
        <w:rPr>
          <w:rFonts w:ascii="Times New Roman" w:eastAsia="宋体"/>
          <w:color w:val="auto"/>
          <w:sz w:val="28"/>
          <w:szCs w:val="28"/>
          <w:highlight w:val="none"/>
        </w:rPr>
        <w:t>项目概况</w:t>
      </w:r>
      <w:bookmarkEnd w:id="547"/>
      <w:bookmarkEnd w:id="548"/>
      <w:bookmarkEnd w:id="549"/>
      <w:bookmarkEnd w:id="550"/>
    </w:p>
    <w:p w14:paraId="193A4BD5">
      <w:pPr>
        <w:spacing w:line="360" w:lineRule="auto"/>
        <w:ind w:left="-105" w:right="-105" w:firstLine="480" w:firstLineChars="200"/>
        <w:rPr>
          <w:rFonts w:ascii="Times New Roman" w:hAnsi="Times New Roman"/>
          <w:color w:val="auto"/>
          <w:szCs w:val="22"/>
          <w:highlight w:val="none"/>
        </w:rPr>
      </w:pPr>
      <w:r>
        <w:rPr>
          <w:rFonts w:hint="eastAsia" w:ascii="Times New Roman" w:hAnsi="Times New Roman"/>
          <w:color w:val="auto"/>
          <w:szCs w:val="22"/>
          <w:highlight w:val="none"/>
        </w:rPr>
        <w:t>化药化工（无锡）有限公司成立于2002年，位于无锡市锡山区锡北镇新坝村，基于电子半导体封装材料需求量迅速增加的市场前景以及江苏省制造业提升工业基础能力的政策，</w:t>
      </w:r>
      <w:r>
        <w:rPr>
          <w:rFonts w:ascii="Times New Roman" w:hAnsi="Times New Roman" w:cs="Times New Roman"/>
          <w:color w:val="auto"/>
          <w:szCs w:val="22"/>
          <w:highlight w:val="none"/>
        </w:rPr>
        <w:t>公司</w:t>
      </w:r>
      <w:r>
        <w:rPr>
          <w:rFonts w:hint="eastAsia" w:ascii="Times New Roman" w:hAnsi="Times New Roman" w:cs="Times New Roman"/>
          <w:color w:val="auto"/>
          <w:szCs w:val="22"/>
          <w:highlight w:val="none"/>
        </w:rPr>
        <w:t>拟</w:t>
      </w:r>
      <w:r>
        <w:rPr>
          <w:rFonts w:ascii="Times New Roman" w:hAnsi="Times New Roman" w:cs="Times New Roman"/>
          <w:color w:val="auto"/>
          <w:szCs w:val="22"/>
          <w:highlight w:val="none"/>
        </w:rPr>
        <w:t>投资</w:t>
      </w:r>
      <w:r>
        <w:rPr>
          <w:rFonts w:hint="eastAsia" w:ascii="Times New Roman" w:hAnsi="Times New Roman" w:cs="Times New Roman"/>
          <w:color w:val="auto"/>
          <w:szCs w:val="22"/>
          <w:highlight w:val="none"/>
        </w:rPr>
        <w:t>1000万元</w:t>
      </w:r>
      <w:r>
        <w:rPr>
          <w:rFonts w:ascii="Times New Roman" w:hAnsi="Times New Roman" w:cs="Times New Roman"/>
          <w:color w:val="auto"/>
          <w:szCs w:val="22"/>
          <w:highlight w:val="none"/>
        </w:rPr>
        <w:t>，</w:t>
      </w:r>
      <w:r>
        <w:rPr>
          <w:rFonts w:hint="eastAsia" w:ascii="Times New Roman" w:hAnsi="Times New Roman" w:cs="Times New Roman"/>
          <w:color w:val="auto"/>
          <w:szCs w:val="22"/>
          <w:highlight w:val="none"/>
        </w:rPr>
        <w:t>利用现有厂房，扩建年产剥离液800t</w:t>
      </w:r>
      <w:r>
        <w:rPr>
          <w:rFonts w:ascii="Times New Roman" w:hAnsi="Times New Roman" w:cs="Times New Roman"/>
          <w:color w:val="auto"/>
          <w:szCs w:val="22"/>
          <w:highlight w:val="none"/>
        </w:rPr>
        <w:t>生产线</w:t>
      </w:r>
      <w:r>
        <w:rPr>
          <w:rFonts w:hint="eastAsia" w:ascii="Times New Roman" w:hAnsi="Times New Roman" w:cs="Times New Roman"/>
          <w:color w:val="auto"/>
          <w:szCs w:val="22"/>
          <w:highlight w:val="none"/>
        </w:rPr>
        <w:t>，以满足市场的需求，为区域创造良好的经济效益。</w:t>
      </w:r>
      <w:r>
        <w:rPr>
          <w:rFonts w:ascii="Times New Roman" w:hAnsi="Times New Roman" w:cs="Times New Roman"/>
          <w:color w:val="auto"/>
          <w:szCs w:val="22"/>
          <w:highlight w:val="none"/>
        </w:rPr>
        <w:t>项目建成后，</w:t>
      </w:r>
      <w:r>
        <w:rPr>
          <w:rFonts w:hint="eastAsia" w:ascii="Times New Roman" w:hAnsi="Times New Roman" w:cs="Times New Roman"/>
          <w:color w:val="auto"/>
          <w:szCs w:val="22"/>
          <w:highlight w:val="none"/>
        </w:rPr>
        <w:t>全厂</w:t>
      </w:r>
      <w:r>
        <w:rPr>
          <w:rFonts w:ascii="Times New Roman" w:hAnsi="Times New Roman" w:cs="Times New Roman"/>
          <w:color w:val="auto"/>
          <w:szCs w:val="22"/>
          <w:highlight w:val="none"/>
        </w:rPr>
        <w:t>设计生产能力为：</w:t>
      </w:r>
      <w:r>
        <w:rPr>
          <w:rFonts w:hint="eastAsia" w:ascii="Times New Roman" w:hAnsi="Times New Roman"/>
          <w:color w:val="auto"/>
          <w:szCs w:val="22"/>
          <w:highlight w:val="none"/>
        </w:rPr>
        <w:t>年产聚氨酯丙烯酸酯4600t/a、丙烯酸酯组成物9800t/a和环氧丙烯酸树脂2800t/a、剥离液800t</w:t>
      </w:r>
      <w:r>
        <w:rPr>
          <w:rFonts w:ascii="Times New Roman" w:hAnsi="Times New Roman" w:cs="Times New Roman"/>
          <w:color w:val="auto"/>
          <w:szCs w:val="22"/>
          <w:highlight w:val="none"/>
        </w:rPr>
        <w:t>。</w:t>
      </w:r>
    </w:p>
    <w:p w14:paraId="474FE3E1">
      <w:pPr>
        <w:pStyle w:val="4"/>
        <w:numPr>
          <w:ilvl w:val="1"/>
          <w:numId w:val="0"/>
        </w:numPr>
        <w:tabs>
          <w:tab w:val="left" w:pos="426"/>
        </w:tabs>
        <w:spacing w:before="120" w:beforeLines="50" w:after="120" w:afterLines="50" w:line="360" w:lineRule="auto"/>
        <w:ind w:right="-105"/>
        <w:rPr>
          <w:rFonts w:ascii="Times New Roman" w:eastAsia="宋体"/>
          <w:color w:val="auto"/>
          <w:sz w:val="28"/>
          <w:szCs w:val="28"/>
          <w:highlight w:val="none"/>
        </w:rPr>
      </w:pPr>
      <w:bookmarkStart w:id="551" w:name="_Toc60653633"/>
      <w:bookmarkStart w:id="552" w:name="_Toc21996"/>
      <w:r>
        <w:rPr>
          <w:rFonts w:hint="eastAsia" w:ascii="Times New Roman" w:eastAsia="宋体"/>
          <w:color w:val="auto"/>
          <w:sz w:val="28"/>
          <w:szCs w:val="28"/>
          <w:highlight w:val="none"/>
        </w:rPr>
        <w:t>10.2</w:t>
      </w:r>
      <w:r>
        <w:rPr>
          <w:rFonts w:ascii="Times New Roman" w:eastAsia="宋体"/>
          <w:color w:val="auto"/>
          <w:sz w:val="28"/>
          <w:szCs w:val="28"/>
          <w:highlight w:val="none"/>
        </w:rPr>
        <w:t>与产业政策、规划相符性分析</w:t>
      </w:r>
      <w:bookmarkEnd w:id="551"/>
      <w:bookmarkEnd w:id="552"/>
    </w:p>
    <w:p w14:paraId="4782DCD6">
      <w:pPr>
        <w:spacing w:line="360" w:lineRule="auto"/>
        <w:ind w:left="-105" w:right="-105" w:firstLine="480" w:firstLineChars="200"/>
        <w:jc w:val="both"/>
        <w:rPr>
          <w:rFonts w:ascii="Times New Roman" w:hAnsi="Times New Roman" w:cs="Times New Roman"/>
          <w:color w:val="auto"/>
          <w:szCs w:val="22"/>
          <w:highlight w:val="none"/>
        </w:rPr>
      </w:pPr>
      <w:r>
        <w:rPr>
          <w:rFonts w:ascii="Times New Roman" w:hAnsi="Times New Roman" w:cs="Times New Roman"/>
          <w:color w:val="auto"/>
          <w:szCs w:val="22"/>
          <w:highlight w:val="none"/>
        </w:rPr>
        <w:t>经查阅，本项目属于《产业结构调整指导目录（20</w:t>
      </w:r>
      <w:r>
        <w:rPr>
          <w:rFonts w:hint="eastAsia" w:ascii="Times New Roman" w:hAnsi="Times New Roman" w:cs="Times New Roman"/>
          <w:color w:val="auto"/>
          <w:szCs w:val="22"/>
          <w:highlight w:val="none"/>
        </w:rPr>
        <w:t>24</w:t>
      </w:r>
      <w:r>
        <w:rPr>
          <w:rFonts w:ascii="Times New Roman" w:hAnsi="Times New Roman" w:cs="Times New Roman"/>
          <w:color w:val="auto"/>
          <w:szCs w:val="22"/>
          <w:highlight w:val="none"/>
        </w:rPr>
        <w:t>年本）》</w:t>
      </w:r>
      <w:r>
        <w:rPr>
          <w:rFonts w:hint="eastAsia" w:ascii="Times New Roman" w:hAnsi="Times New Roman" w:cs="Times New Roman"/>
          <w:color w:val="auto"/>
          <w:szCs w:val="22"/>
          <w:highlight w:val="none"/>
        </w:rPr>
        <w:t>允许</w:t>
      </w:r>
      <w:r>
        <w:rPr>
          <w:rFonts w:ascii="Times New Roman" w:hAnsi="Times New Roman" w:cs="Times New Roman"/>
          <w:color w:val="auto"/>
          <w:szCs w:val="22"/>
          <w:highlight w:val="none"/>
        </w:rPr>
        <w:t>类；属于《产业发展与转移指导目录（2018年本）》（中华人民共和国工业和信息化部公告2018年第66号）中</w:t>
      </w:r>
      <w:r>
        <w:rPr>
          <w:rFonts w:hint="eastAsia" w:ascii="Times New Roman" w:hAnsi="Times New Roman" w:cs="Times New Roman"/>
          <w:color w:val="auto"/>
          <w:szCs w:val="22"/>
          <w:highlight w:val="none"/>
        </w:rPr>
        <w:t>江苏省“优先承接发展的产业”</w:t>
      </w:r>
      <w:r>
        <w:rPr>
          <w:rFonts w:ascii="Times New Roman" w:hAnsi="Times New Roman" w:cs="Times New Roman"/>
          <w:color w:val="auto"/>
          <w:szCs w:val="22"/>
          <w:highlight w:val="none"/>
        </w:rPr>
        <w:t>；属于《无锡市产业结构调整指导目录（试行）》（2008年1月）中的允许类；属于《无锡市制造业转型发展指导目录》（2012年本）中的</w:t>
      </w:r>
      <w:r>
        <w:rPr>
          <w:rFonts w:hint="eastAsia" w:ascii="Times New Roman" w:hAnsi="Times New Roman" w:cs="Times New Roman"/>
          <w:color w:val="auto"/>
          <w:szCs w:val="22"/>
          <w:highlight w:val="none"/>
        </w:rPr>
        <w:t>鼓励类：一、电子信息产业11.半导体、光电子器件、新型电子元器件等电子产品用材料</w:t>
      </w:r>
      <w:r>
        <w:rPr>
          <w:rFonts w:ascii="Times New Roman" w:hAnsi="Times New Roman" w:cs="Times New Roman"/>
          <w:color w:val="auto"/>
          <w:szCs w:val="22"/>
          <w:highlight w:val="none"/>
        </w:rPr>
        <w:t>；不属于</w:t>
      </w:r>
      <w:r>
        <w:rPr>
          <w:rFonts w:hint="eastAsia" w:ascii="Times New Roman" w:hAnsi="Times New Roman" w:cs="Times New Roman"/>
          <w:color w:val="auto"/>
          <w:szCs w:val="22"/>
          <w:highlight w:val="none"/>
        </w:rPr>
        <w:t>《外商投资准入特别管理措施（负面清单）（2021年版）》中的需实行特别管理的措施的行业类别、属于《鼓励外商投资产业目录（2022年版）》</w:t>
      </w:r>
      <w:r>
        <w:rPr>
          <w:rFonts w:ascii="Times New Roman" w:hAnsi="Times New Roman" w:cs="Times New Roman"/>
          <w:color w:val="auto"/>
          <w:szCs w:val="22"/>
          <w:highlight w:val="none"/>
        </w:rPr>
        <w:t>中的</w:t>
      </w:r>
      <w:r>
        <w:rPr>
          <w:rFonts w:hint="eastAsia" w:ascii="Times New Roman" w:hAnsi="Times New Roman" w:cs="Times New Roman"/>
          <w:color w:val="auto"/>
          <w:szCs w:val="22"/>
          <w:highlight w:val="none"/>
        </w:rPr>
        <w:t>“（二十二）计算机、通信和其他电子设备制造业，369.高纯电子化学品、高性能光刻胶开发、生产”</w:t>
      </w:r>
      <w:r>
        <w:rPr>
          <w:rFonts w:ascii="Times New Roman" w:hAnsi="Times New Roman" w:cs="Times New Roman"/>
          <w:color w:val="auto"/>
          <w:szCs w:val="22"/>
          <w:highlight w:val="none"/>
        </w:rPr>
        <w:t>；</w:t>
      </w:r>
      <w:r>
        <w:rPr>
          <w:rFonts w:hint="eastAsia" w:ascii="Times New Roman" w:hAnsi="Times New Roman" w:cs="Times New Roman"/>
          <w:color w:val="auto"/>
          <w:szCs w:val="22"/>
          <w:highlight w:val="none"/>
        </w:rPr>
        <w:t>不属于《市场准入负面清单》（2022年版）中的禁止准入类和许可准入类；不属于《锡山区产业结构调整指导目录（试行）》(锡经贸[2008]14号)中的鼓励类、禁止类及淘汰类，为允许类</w:t>
      </w:r>
      <w:r>
        <w:rPr>
          <w:rFonts w:ascii="Times New Roman" w:hAnsi="Times New Roman" w:cs="Times New Roman"/>
          <w:color w:val="auto"/>
          <w:szCs w:val="22"/>
          <w:highlight w:val="none"/>
        </w:rPr>
        <w:t>。因此，本项目符合国家和地方的产业政策。</w:t>
      </w:r>
    </w:p>
    <w:p w14:paraId="40284696">
      <w:pPr>
        <w:spacing w:line="360" w:lineRule="auto"/>
        <w:ind w:left="-105" w:right="-105" w:firstLine="480" w:firstLineChars="200"/>
        <w:jc w:val="both"/>
        <w:rPr>
          <w:rFonts w:ascii="Times New Roman" w:hAnsi="Times New Roman" w:cs="Times New Roman"/>
          <w:color w:val="auto"/>
          <w:szCs w:val="22"/>
          <w:highlight w:val="none"/>
        </w:rPr>
      </w:pPr>
      <w:r>
        <w:rPr>
          <w:rFonts w:hint="eastAsia" w:ascii="Times New Roman" w:hAnsi="Times New Roman" w:cs="Times New Roman"/>
          <w:color w:val="auto"/>
          <w:szCs w:val="22"/>
          <w:highlight w:val="none"/>
        </w:rPr>
        <w:t>本项目位于无锡市锡山区锡北镇新坝村新达路6号，根据企业出具的房产证该土地用途为工业用地，结合《无锡市锡山区锡北镇总体规划图》和《八士-陆家巷、八士-八士管理单元更新后土地利用规划图》，该地块为二类工业用地，该地块符合无锡市锡山区用地规划的要求。本项目从事电子化工材料制造生产，不属于禁止类产业，符合锡北镇产业规划，本项目位于无锡市锡山云林污水处理有限公司纳污范围内，产生的污水最终进入无锡市锡山云林污水处理有限公司集中处理。</w:t>
      </w:r>
    </w:p>
    <w:p w14:paraId="4F7331D9">
      <w:pPr>
        <w:spacing w:line="360" w:lineRule="auto"/>
        <w:ind w:left="-105" w:right="-105" w:firstLine="480" w:firstLineChars="200"/>
        <w:jc w:val="both"/>
        <w:rPr>
          <w:rFonts w:ascii="Times New Roman" w:hAnsi="Times New Roman" w:cs="Times New Roman"/>
          <w:color w:val="auto"/>
          <w:szCs w:val="22"/>
          <w:highlight w:val="none"/>
        </w:rPr>
      </w:pPr>
      <w:r>
        <w:rPr>
          <w:rFonts w:ascii="Times New Roman" w:hAnsi="Times New Roman" w:cs="Times New Roman"/>
          <w:color w:val="auto"/>
          <w:szCs w:val="22"/>
          <w:highlight w:val="none"/>
        </w:rPr>
        <w:t>根据《限制用地项目目录（2012年本）》和《禁止用地项目目录（2012年本）》、《江苏省限制用地项目目录（2013年本）》和《江苏省禁止用地项目目录（2013年本）》（苏国土资发[2013]323号），本项目的建设符合用地规划。</w:t>
      </w:r>
    </w:p>
    <w:p w14:paraId="2371AC3A">
      <w:pPr>
        <w:spacing w:line="360" w:lineRule="auto"/>
        <w:ind w:left="-105" w:right="-105" w:firstLine="480" w:firstLineChars="200"/>
        <w:rPr>
          <w:rFonts w:ascii="Times New Roman" w:hAnsi="Times New Roman"/>
          <w:color w:val="auto"/>
          <w:szCs w:val="22"/>
          <w:highlight w:val="none"/>
        </w:rPr>
      </w:pPr>
      <w:r>
        <w:rPr>
          <w:rFonts w:ascii="Times New Roman" w:hAnsi="Times New Roman" w:cs="Times New Roman"/>
          <w:color w:val="auto"/>
          <w:szCs w:val="22"/>
          <w:highlight w:val="none"/>
        </w:rPr>
        <w:t>综上所述，本项目的建设符合国家和地方的产业政策要求。</w:t>
      </w:r>
    </w:p>
    <w:p w14:paraId="75BEB5AB">
      <w:pPr>
        <w:pStyle w:val="4"/>
        <w:numPr>
          <w:ilvl w:val="1"/>
          <w:numId w:val="0"/>
        </w:numPr>
        <w:tabs>
          <w:tab w:val="left" w:pos="426"/>
        </w:tabs>
        <w:spacing w:before="120" w:beforeLines="50" w:after="120" w:afterLines="50" w:line="360" w:lineRule="auto"/>
        <w:ind w:right="-105"/>
        <w:rPr>
          <w:rFonts w:ascii="Times New Roman" w:eastAsia="宋体"/>
          <w:color w:val="auto"/>
          <w:sz w:val="28"/>
          <w:szCs w:val="28"/>
          <w:highlight w:val="none"/>
        </w:rPr>
      </w:pPr>
      <w:bookmarkStart w:id="553" w:name="_Toc60653634"/>
      <w:bookmarkStart w:id="554" w:name="_Toc10235"/>
      <w:r>
        <w:rPr>
          <w:rFonts w:hint="eastAsia" w:ascii="Times New Roman" w:eastAsia="宋体"/>
          <w:color w:val="auto"/>
          <w:sz w:val="28"/>
          <w:szCs w:val="28"/>
          <w:highlight w:val="none"/>
        </w:rPr>
        <w:t>10.3</w:t>
      </w:r>
      <w:r>
        <w:rPr>
          <w:rFonts w:ascii="Times New Roman" w:eastAsia="宋体"/>
          <w:color w:val="auto"/>
          <w:sz w:val="28"/>
          <w:szCs w:val="28"/>
          <w:highlight w:val="none"/>
        </w:rPr>
        <w:t>环境质量现状</w:t>
      </w:r>
      <w:bookmarkEnd w:id="553"/>
      <w:bookmarkEnd w:id="554"/>
    </w:p>
    <w:p w14:paraId="14A7A452">
      <w:pPr>
        <w:keepNext w:val="0"/>
        <w:keepLines w:val="0"/>
        <w:pageBreakBefore w:val="0"/>
        <w:widowControl/>
        <w:kinsoku/>
        <w:wordWrap/>
        <w:overflowPunct/>
        <w:topLinePunct w:val="0"/>
        <w:autoSpaceDE/>
        <w:autoSpaceDN/>
        <w:bidi w:val="0"/>
        <w:adjustRightInd/>
        <w:snapToGrid/>
        <w:spacing w:line="360" w:lineRule="auto"/>
        <w:ind w:left="0" w:right="0" w:firstLine="480" w:firstLineChars="200"/>
        <w:jc w:val="both"/>
        <w:textAlignment w:val="auto"/>
        <w:rPr>
          <w:rFonts w:hint="eastAsia" w:ascii="Times New Roman" w:hAnsi="Times New Roman" w:eastAsia="宋体" w:cs="宋体"/>
          <w:color w:val="auto"/>
          <w:szCs w:val="22"/>
          <w:highlight w:val="none"/>
        </w:rPr>
      </w:pPr>
      <w:r>
        <w:rPr>
          <w:rFonts w:hint="eastAsia" w:ascii="Times New Roman" w:hAnsi="Times New Roman" w:eastAsia="宋体" w:cs="宋体"/>
          <w:color w:val="auto"/>
          <w:szCs w:val="22"/>
          <w:highlight w:val="none"/>
        </w:rPr>
        <w:t>（1）大气环境</w:t>
      </w:r>
    </w:p>
    <w:p w14:paraId="44FDA053">
      <w:pPr>
        <w:keepNext w:val="0"/>
        <w:keepLines w:val="0"/>
        <w:pageBreakBefore w:val="0"/>
        <w:widowControl/>
        <w:kinsoku/>
        <w:wordWrap/>
        <w:overflowPunct/>
        <w:topLinePunct w:val="0"/>
        <w:autoSpaceDE/>
        <w:autoSpaceDN/>
        <w:bidi w:val="0"/>
        <w:adjustRightInd/>
        <w:snapToGrid/>
        <w:spacing w:line="360" w:lineRule="auto"/>
        <w:ind w:left="0" w:right="0" w:firstLine="480" w:firstLineChars="200"/>
        <w:jc w:val="both"/>
        <w:textAlignment w:val="auto"/>
        <w:rPr>
          <w:rFonts w:hint="eastAsia" w:ascii="Times New Roman" w:hAnsi="Times New Roman" w:eastAsia="宋体" w:cs="宋体"/>
          <w:color w:val="auto"/>
          <w:szCs w:val="22"/>
          <w:highlight w:val="none"/>
        </w:rPr>
      </w:pPr>
      <w:r>
        <w:rPr>
          <w:rFonts w:hint="eastAsia" w:ascii="Times New Roman" w:hAnsi="Times New Roman" w:eastAsia="宋体" w:cs="宋体"/>
          <w:color w:val="auto"/>
          <w:szCs w:val="22"/>
          <w:highlight w:val="none"/>
        </w:rPr>
        <w:t>202</w:t>
      </w:r>
      <w:r>
        <w:rPr>
          <w:rFonts w:hint="eastAsia" w:ascii="Times New Roman" w:hAnsi="Times New Roman" w:eastAsia="宋体" w:cs="宋体"/>
          <w:color w:val="auto"/>
          <w:szCs w:val="22"/>
          <w:highlight w:val="none"/>
          <w:lang w:val="en-US" w:eastAsia="zh-CN"/>
        </w:rPr>
        <w:t>3</w:t>
      </w:r>
      <w:r>
        <w:rPr>
          <w:rFonts w:hint="eastAsia" w:ascii="Times New Roman" w:hAnsi="Times New Roman" w:eastAsia="宋体" w:cs="宋体"/>
          <w:color w:val="auto"/>
          <w:szCs w:val="22"/>
          <w:highlight w:val="none"/>
        </w:rPr>
        <w:t>年无锡市环境空气中SO2、NO2、PM10、PM2.5和CO浓度值能够达到环境空气质量二级标准，O3浓度值超过《环境空气质量标准》（GB3095-2012）二级标准，因此，判定无锡市为环境空气质量非达标区。根据无锡市大气环境质量限期达标规划（2018-2025年），无锡市环境空气质量2025年可实现全面达标。</w:t>
      </w:r>
    </w:p>
    <w:p w14:paraId="762805A8">
      <w:pPr>
        <w:keepNext w:val="0"/>
        <w:keepLines w:val="0"/>
        <w:pageBreakBefore w:val="0"/>
        <w:widowControl/>
        <w:kinsoku/>
        <w:wordWrap/>
        <w:overflowPunct/>
        <w:topLinePunct w:val="0"/>
        <w:autoSpaceDE/>
        <w:autoSpaceDN/>
        <w:bidi w:val="0"/>
        <w:adjustRightInd/>
        <w:snapToGrid/>
        <w:spacing w:line="360" w:lineRule="auto"/>
        <w:ind w:left="0" w:right="0" w:firstLine="480" w:firstLineChars="200"/>
        <w:jc w:val="both"/>
        <w:textAlignment w:val="auto"/>
        <w:rPr>
          <w:rFonts w:hint="eastAsia" w:ascii="Times New Roman" w:hAnsi="Times New Roman" w:eastAsia="宋体" w:cs="宋体"/>
          <w:color w:val="auto"/>
          <w:szCs w:val="22"/>
          <w:highlight w:val="none"/>
        </w:rPr>
      </w:pPr>
      <w:r>
        <w:rPr>
          <w:rFonts w:hint="eastAsia" w:ascii="Times New Roman" w:hAnsi="Times New Roman" w:eastAsia="宋体" w:cs="宋体"/>
          <w:color w:val="auto"/>
          <w:szCs w:val="22"/>
          <w:highlight w:val="none"/>
        </w:rPr>
        <w:t>各个监测点氮氧化物监测浓度可满足《环境空气质量标准》（GB3095-2012）表1中二级标准要求；甲醇监测浓度可满足《环境影响评价技术导则大气环境》（HJ2.2-2018）附录D其他污染物空气质量浓度参考限值；非甲烷总烃监测浓度均可满足《大气污染物综合排放标准详解》中的推荐值，该区域环境空气质量较好。</w:t>
      </w:r>
    </w:p>
    <w:p w14:paraId="26397D06">
      <w:pPr>
        <w:keepNext w:val="0"/>
        <w:keepLines w:val="0"/>
        <w:pageBreakBefore w:val="0"/>
        <w:widowControl/>
        <w:kinsoku/>
        <w:wordWrap/>
        <w:overflowPunct/>
        <w:topLinePunct w:val="0"/>
        <w:autoSpaceDE/>
        <w:autoSpaceDN/>
        <w:bidi w:val="0"/>
        <w:adjustRightInd/>
        <w:snapToGrid/>
        <w:spacing w:line="360" w:lineRule="auto"/>
        <w:ind w:left="0" w:right="0" w:firstLine="480" w:firstLineChars="200"/>
        <w:jc w:val="both"/>
        <w:textAlignment w:val="auto"/>
        <w:rPr>
          <w:rFonts w:hint="eastAsia" w:ascii="Times New Roman" w:hAnsi="Times New Roman" w:eastAsia="宋体" w:cs="宋体"/>
          <w:color w:val="auto"/>
          <w:szCs w:val="22"/>
          <w:highlight w:val="none"/>
        </w:rPr>
      </w:pPr>
      <w:r>
        <w:rPr>
          <w:rFonts w:hint="eastAsia" w:ascii="Times New Roman" w:hAnsi="Times New Roman" w:eastAsia="宋体" w:cs="宋体"/>
          <w:color w:val="auto"/>
          <w:szCs w:val="22"/>
          <w:highlight w:val="none"/>
        </w:rPr>
        <w:t>（2）地表水环境</w:t>
      </w:r>
    </w:p>
    <w:p w14:paraId="1D0ECBF1">
      <w:pPr>
        <w:keepNext w:val="0"/>
        <w:keepLines w:val="0"/>
        <w:pageBreakBefore w:val="0"/>
        <w:widowControl/>
        <w:kinsoku/>
        <w:wordWrap/>
        <w:overflowPunct/>
        <w:topLinePunct w:val="0"/>
        <w:autoSpaceDE/>
        <w:autoSpaceDN/>
        <w:bidi w:val="0"/>
        <w:adjustRightInd/>
        <w:snapToGrid/>
        <w:spacing w:line="360" w:lineRule="auto"/>
        <w:ind w:left="0" w:right="0" w:firstLine="480" w:firstLineChars="200"/>
        <w:jc w:val="both"/>
        <w:textAlignment w:val="auto"/>
        <w:rPr>
          <w:rFonts w:hint="eastAsia" w:ascii="Times New Roman" w:hAnsi="Times New Roman" w:eastAsia="宋体" w:cs="宋体"/>
          <w:color w:val="auto"/>
          <w:szCs w:val="22"/>
          <w:highlight w:val="none"/>
        </w:rPr>
      </w:pPr>
      <w:r>
        <w:rPr>
          <w:rFonts w:hint="eastAsia" w:ascii="Times New Roman" w:hAnsi="Times New Roman" w:eastAsia="宋体" w:cs="宋体"/>
          <w:color w:val="auto"/>
          <w:szCs w:val="22"/>
          <w:highlight w:val="none"/>
        </w:rPr>
        <w:t>北兴塘河各监测断面的TN未达到《地表水环境质量标准》(GB3838-2002)中III类水质标准，其余因子均达标。根据《无锡市生态环境基础治理能力提升三年行动计划（2022—2024年）》、锡山区《区政府办公室关于印发锡山区河道环境综合整治工作方案的通知》（锡政办（2016）30号）等文件，通过水环境综合整治工作，区域水环境质量会有所改善。</w:t>
      </w:r>
    </w:p>
    <w:p w14:paraId="35D8E21A">
      <w:pPr>
        <w:keepNext w:val="0"/>
        <w:keepLines w:val="0"/>
        <w:pageBreakBefore w:val="0"/>
        <w:widowControl/>
        <w:kinsoku/>
        <w:wordWrap/>
        <w:overflowPunct/>
        <w:topLinePunct w:val="0"/>
        <w:autoSpaceDE/>
        <w:autoSpaceDN/>
        <w:bidi w:val="0"/>
        <w:adjustRightInd/>
        <w:snapToGrid/>
        <w:spacing w:line="360" w:lineRule="auto"/>
        <w:ind w:left="0" w:right="0" w:firstLine="480" w:firstLineChars="200"/>
        <w:jc w:val="both"/>
        <w:textAlignment w:val="auto"/>
        <w:rPr>
          <w:rFonts w:hint="eastAsia" w:ascii="Times New Roman" w:hAnsi="Times New Roman" w:eastAsia="宋体" w:cs="宋体"/>
          <w:color w:val="auto"/>
          <w:szCs w:val="22"/>
          <w:highlight w:val="none"/>
        </w:rPr>
      </w:pPr>
      <w:r>
        <w:rPr>
          <w:rFonts w:hint="eastAsia" w:ascii="Times New Roman" w:hAnsi="Times New Roman" w:eastAsia="宋体" w:cs="宋体"/>
          <w:color w:val="auto"/>
          <w:szCs w:val="22"/>
          <w:highlight w:val="none"/>
        </w:rPr>
        <w:t>（3）声环境</w:t>
      </w:r>
    </w:p>
    <w:p w14:paraId="561FEB49">
      <w:pPr>
        <w:keepNext w:val="0"/>
        <w:keepLines w:val="0"/>
        <w:pageBreakBefore w:val="0"/>
        <w:widowControl/>
        <w:kinsoku/>
        <w:wordWrap/>
        <w:overflowPunct/>
        <w:topLinePunct w:val="0"/>
        <w:autoSpaceDE/>
        <w:autoSpaceDN/>
        <w:bidi w:val="0"/>
        <w:adjustRightInd/>
        <w:snapToGrid/>
        <w:spacing w:line="360" w:lineRule="auto"/>
        <w:ind w:left="0" w:right="0" w:firstLine="480" w:firstLineChars="200"/>
        <w:jc w:val="both"/>
        <w:textAlignment w:val="auto"/>
        <w:rPr>
          <w:rFonts w:hint="eastAsia" w:ascii="Times New Roman" w:hAnsi="Times New Roman" w:eastAsia="宋体" w:cs="宋体"/>
          <w:color w:val="auto"/>
          <w:szCs w:val="22"/>
          <w:highlight w:val="none"/>
        </w:rPr>
      </w:pPr>
      <w:r>
        <w:rPr>
          <w:rFonts w:hint="eastAsia" w:ascii="Times New Roman" w:hAnsi="Times New Roman" w:eastAsia="宋体" w:cs="宋体"/>
          <w:color w:val="auto"/>
          <w:szCs w:val="22"/>
          <w:highlight w:val="none"/>
        </w:rPr>
        <w:t>根据声环境现状监测结果，厂界噪声达到《声环境质量标准》（GB3096-2008）中3类标准。总体上，项目所在地的声环境质量现状较好。</w:t>
      </w:r>
    </w:p>
    <w:p w14:paraId="0C0E5D71">
      <w:pPr>
        <w:keepNext w:val="0"/>
        <w:keepLines w:val="0"/>
        <w:pageBreakBefore w:val="0"/>
        <w:widowControl/>
        <w:kinsoku/>
        <w:wordWrap/>
        <w:overflowPunct/>
        <w:topLinePunct w:val="0"/>
        <w:autoSpaceDE/>
        <w:autoSpaceDN/>
        <w:bidi w:val="0"/>
        <w:adjustRightInd/>
        <w:snapToGrid/>
        <w:spacing w:line="360" w:lineRule="auto"/>
        <w:ind w:left="0" w:right="0" w:firstLine="480" w:firstLineChars="200"/>
        <w:jc w:val="both"/>
        <w:textAlignment w:val="auto"/>
        <w:rPr>
          <w:rFonts w:hint="eastAsia" w:ascii="Times New Roman" w:hAnsi="Times New Roman" w:eastAsia="宋体" w:cs="宋体"/>
          <w:color w:val="auto"/>
          <w:szCs w:val="22"/>
          <w:highlight w:val="none"/>
        </w:rPr>
      </w:pPr>
      <w:r>
        <w:rPr>
          <w:rFonts w:hint="eastAsia" w:ascii="Times New Roman" w:hAnsi="Times New Roman" w:eastAsia="宋体" w:cs="宋体"/>
          <w:color w:val="auto"/>
          <w:szCs w:val="22"/>
          <w:highlight w:val="none"/>
        </w:rPr>
        <w:t>（4）土壤环境</w:t>
      </w:r>
    </w:p>
    <w:p w14:paraId="4567AE39">
      <w:pPr>
        <w:keepNext w:val="0"/>
        <w:keepLines w:val="0"/>
        <w:pageBreakBefore w:val="0"/>
        <w:widowControl/>
        <w:kinsoku/>
        <w:wordWrap/>
        <w:overflowPunct/>
        <w:topLinePunct w:val="0"/>
        <w:autoSpaceDE/>
        <w:autoSpaceDN/>
        <w:bidi w:val="0"/>
        <w:adjustRightInd/>
        <w:snapToGrid/>
        <w:spacing w:line="360" w:lineRule="auto"/>
        <w:ind w:left="0" w:right="0" w:firstLine="480" w:firstLineChars="200"/>
        <w:jc w:val="both"/>
        <w:textAlignment w:val="auto"/>
        <w:rPr>
          <w:rFonts w:hint="eastAsia" w:ascii="Times New Roman" w:hAnsi="Times New Roman" w:eastAsia="宋体" w:cs="宋体"/>
          <w:color w:val="auto"/>
          <w:szCs w:val="22"/>
          <w:highlight w:val="none"/>
        </w:rPr>
      </w:pPr>
      <w:r>
        <w:rPr>
          <w:rFonts w:hint="eastAsia" w:ascii="Times New Roman" w:hAnsi="Times New Roman" w:eastAsia="宋体" w:cs="宋体"/>
          <w:color w:val="auto"/>
          <w:szCs w:val="22"/>
          <w:highlight w:val="none"/>
        </w:rPr>
        <w:t>根据土壤监测结果显示，各监测点位土壤中各因子均能够达到《土壤环境质量建设用地土壤污染风险管控标准（试行）》（GB36600-2018）中表1筛选值中“第二类用地”标准，</w:t>
      </w:r>
      <w:r>
        <w:rPr>
          <w:rFonts w:hint="eastAsia"/>
          <w:color w:val="auto"/>
          <w:highlight w:val="none"/>
        </w:rPr>
        <w:t>敏感点</w:t>
      </w:r>
      <w:r>
        <w:rPr>
          <w:rFonts w:hint="default" w:ascii="Times New Roman" w:hAnsi="Times New Roman" w:cs="Times New Roman"/>
          <w:color w:val="auto"/>
          <w:highlight w:val="none"/>
        </w:rPr>
        <w:t>处满足《土壤环境质量建设用地土壤污染风险管控标准（试行）》（GB36600-2018）中第一类</w:t>
      </w:r>
      <w:r>
        <w:rPr>
          <w:rFonts w:hint="eastAsia"/>
          <w:color w:val="auto"/>
          <w:highlight w:val="none"/>
        </w:rPr>
        <w:t>用地要求筛选值要求</w:t>
      </w:r>
      <w:r>
        <w:rPr>
          <w:rFonts w:hint="eastAsia"/>
          <w:color w:val="auto"/>
          <w:highlight w:val="none"/>
          <w:lang w:eastAsia="zh-CN"/>
        </w:rPr>
        <w:t>，</w:t>
      </w:r>
      <w:r>
        <w:rPr>
          <w:rFonts w:hint="eastAsia" w:ascii="Times New Roman" w:hAnsi="Times New Roman" w:eastAsia="宋体" w:cs="宋体"/>
          <w:color w:val="auto"/>
          <w:szCs w:val="22"/>
          <w:highlight w:val="none"/>
        </w:rPr>
        <w:t>pH达到《环境影响评价技术导则 土壤环境（试行）》（HJ964-2018）表D.2中标准，土壤无酸化或碱化情况。由此可见，本项目所在地土壤环境质量总体良好。</w:t>
      </w:r>
    </w:p>
    <w:p w14:paraId="445B5F99">
      <w:pPr>
        <w:spacing w:line="360" w:lineRule="auto"/>
        <w:ind w:left="-105" w:right="-105" w:firstLine="480" w:firstLineChars="200"/>
        <w:rPr>
          <w:rFonts w:ascii="Times New Roman" w:hAnsi="Times New Roman"/>
          <w:color w:val="auto"/>
          <w:szCs w:val="22"/>
          <w:highlight w:val="none"/>
        </w:rPr>
      </w:pPr>
      <w:r>
        <w:rPr>
          <w:rFonts w:hint="eastAsia" w:ascii="Times New Roman" w:hAnsi="Times New Roman"/>
          <w:color w:val="auto"/>
          <w:szCs w:val="22"/>
          <w:highlight w:val="none"/>
        </w:rPr>
        <w:t>由此可见，建设项目周围环境质量现状基本满足本项目的建设要求。</w:t>
      </w:r>
    </w:p>
    <w:p w14:paraId="29B5D8D9">
      <w:pPr>
        <w:pStyle w:val="4"/>
        <w:numPr>
          <w:ilvl w:val="1"/>
          <w:numId w:val="0"/>
        </w:numPr>
        <w:tabs>
          <w:tab w:val="left" w:pos="426"/>
        </w:tabs>
        <w:spacing w:before="120" w:beforeLines="50" w:after="120" w:afterLines="50" w:line="360" w:lineRule="auto"/>
        <w:ind w:right="-105"/>
        <w:rPr>
          <w:rFonts w:ascii="Times New Roman" w:eastAsia="宋体"/>
          <w:color w:val="auto"/>
          <w:sz w:val="28"/>
          <w:szCs w:val="28"/>
          <w:highlight w:val="none"/>
        </w:rPr>
      </w:pPr>
      <w:bookmarkStart w:id="555" w:name="_Toc17972"/>
      <w:bookmarkStart w:id="556" w:name="_Toc60653635"/>
      <w:r>
        <w:rPr>
          <w:rFonts w:hint="eastAsia" w:ascii="Times New Roman" w:eastAsia="宋体"/>
          <w:color w:val="auto"/>
          <w:sz w:val="28"/>
          <w:szCs w:val="28"/>
          <w:highlight w:val="none"/>
        </w:rPr>
        <w:t>10.4</w:t>
      </w:r>
      <w:r>
        <w:rPr>
          <w:rFonts w:ascii="Times New Roman" w:eastAsia="宋体"/>
          <w:color w:val="auto"/>
          <w:sz w:val="28"/>
          <w:szCs w:val="28"/>
          <w:highlight w:val="none"/>
        </w:rPr>
        <w:t>污染物排放情况</w:t>
      </w:r>
      <w:bookmarkEnd w:id="555"/>
      <w:bookmarkEnd w:id="556"/>
    </w:p>
    <w:p w14:paraId="510F321E">
      <w:pPr>
        <w:spacing w:line="360" w:lineRule="auto"/>
        <w:ind w:left="-105" w:right="-105" w:firstLine="482" w:firstLineChars="200"/>
        <w:jc w:val="both"/>
        <w:rPr>
          <w:rFonts w:ascii="Times New Roman" w:hAnsi="Times New Roman" w:cs="Times New Roman"/>
          <w:b/>
          <w:bCs/>
          <w:color w:val="auto"/>
          <w:highlight w:val="none"/>
        </w:rPr>
      </w:pPr>
      <w:r>
        <w:rPr>
          <w:rFonts w:ascii="Times New Roman" w:hAnsi="Times New Roman" w:cs="Times New Roman"/>
          <w:b/>
          <w:bCs/>
          <w:color w:val="auto"/>
          <w:highlight w:val="none"/>
        </w:rPr>
        <w:t>（1）废气</w:t>
      </w:r>
    </w:p>
    <w:p w14:paraId="12FCCEF9">
      <w:pPr>
        <w:spacing w:line="360" w:lineRule="auto"/>
        <w:ind w:left="-105" w:right="-105" w:firstLine="480" w:firstLineChars="200"/>
        <w:rPr>
          <w:rFonts w:hint="eastAsia" w:ascii="Times New Roman" w:hAnsi="Times New Roman" w:cs="Times New Roman"/>
          <w:color w:val="auto"/>
          <w:highlight w:val="none"/>
        </w:rPr>
      </w:pPr>
      <w:r>
        <w:rPr>
          <w:rFonts w:hint="eastAsia" w:ascii="Times New Roman" w:hAnsi="Times New Roman" w:cs="Times New Roman"/>
          <w:color w:val="auto"/>
          <w:highlight w:val="none"/>
        </w:rPr>
        <w:t>有组织：（本项目）非甲烷总烃0.116t/a、氮氧化物0.0003t/a；（全厂）非甲烷总烃1.90916t/a、氮氧化物0.0003t/a。</w:t>
      </w:r>
    </w:p>
    <w:p w14:paraId="62DB7AB7">
      <w:pPr>
        <w:spacing w:line="360" w:lineRule="auto"/>
        <w:ind w:left="-105" w:right="-105" w:firstLine="480" w:firstLineChars="200"/>
        <w:rPr>
          <w:rFonts w:hint="eastAsia" w:ascii="Times New Roman" w:hAnsi="Times New Roman" w:cs="Times New Roman"/>
          <w:color w:val="auto"/>
          <w:highlight w:val="none"/>
        </w:rPr>
      </w:pPr>
      <w:r>
        <w:rPr>
          <w:rFonts w:hint="eastAsia" w:ascii="Times New Roman" w:hAnsi="Times New Roman" w:cs="Times New Roman"/>
          <w:color w:val="auto"/>
          <w:highlight w:val="none"/>
        </w:rPr>
        <w:t>无组织：（本项目）非甲烷总烃（含甲醇）0.0248t/a、氮氧化物0.00003t/a、甲醇0.0008t/a；（全厂）非甲烷总烃（含甲醇）0.04955t/a、氮氧化物0.00003t/a、甲醇0.0008t/a。</w:t>
      </w:r>
    </w:p>
    <w:p w14:paraId="6AD1BA23">
      <w:pPr>
        <w:spacing w:line="360" w:lineRule="auto"/>
        <w:ind w:left="-105" w:right="-105" w:firstLine="480" w:firstLineChars="200"/>
        <w:rPr>
          <w:rFonts w:ascii="Times New Roman" w:hAnsi="Times New Roman"/>
          <w:color w:val="auto"/>
          <w:szCs w:val="22"/>
          <w:highlight w:val="none"/>
        </w:rPr>
      </w:pPr>
      <w:r>
        <w:rPr>
          <w:color w:val="auto"/>
          <w:highlight w:val="none"/>
        </w:rPr>
        <w:t>污染物均在原审批项目和锡山区内平衡。</w:t>
      </w:r>
    </w:p>
    <w:p w14:paraId="7DDDA227">
      <w:pPr>
        <w:spacing w:line="360" w:lineRule="auto"/>
        <w:ind w:left="-105" w:right="-105" w:firstLine="482" w:firstLineChars="200"/>
        <w:rPr>
          <w:rFonts w:ascii="Times New Roman" w:hAnsi="Times New Roman" w:cs="Times New Roman"/>
          <w:b/>
          <w:bCs/>
          <w:color w:val="auto"/>
          <w:highlight w:val="none"/>
        </w:rPr>
      </w:pPr>
      <w:r>
        <w:rPr>
          <w:rFonts w:ascii="Times New Roman" w:hAnsi="Times New Roman" w:cs="Times New Roman"/>
          <w:b/>
          <w:bCs/>
          <w:color w:val="auto"/>
          <w:highlight w:val="none"/>
        </w:rPr>
        <w:t>（2）废水</w:t>
      </w:r>
    </w:p>
    <w:p w14:paraId="3919CF05">
      <w:pPr>
        <w:spacing w:line="360" w:lineRule="auto"/>
        <w:ind w:left="-105" w:right="-105" w:firstLine="480" w:firstLineChars="200"/>
        <w:jc w:val="both"/>
        <w:rPr>
          <w:rFonts w:ascii="Times New Roman" w:hAnsi="Times New Roman" w:cs="Times New Roman"/>
          <w:color w:val="auto"/>
          <w:highlight w:val="none"/>
        </w:rPr>
      </w:pPr>
      <w:r>
        <w:rPr>
          <w:rFonts w:ascii="Times New Roman" w:hAnsi="Times New Roman" w:cs="Times New Roman"/>
          <w:color w:val="auto"/>
          <w:highlight w:val="none"/>
        </w:rPr>
        <w:t>全厂总量控制因子：</w:t>
      </w:r>
      <w:r>
        <w:rPr>
          <w:rFonts w:hint="eastAsia" w:ascii="Times New Roman" w:hAnsi="Times New Roman" w:cs="Times New Roman"/>
          <w:color w:val="auto"/>
          <w:highlight w:val="none"/>
        </w:rPr>
        <w:t>全厂产生的生活污水和初期雨水经无锡先进化药化工有限公司处理达标后接入无锡市锡山云林污水处理有限公司</w:t>
      </w:r>
      <w:r>
        <w:rPr>
          <w:rFonts w:ascii="Times New Roman" w:hAnsi="Times New Roman" w:cs="Times New Roman"/>
          <w:color w:val="auto"/>
          <w:highlight w:val="none"/>
        </w:rPr>
        <w:t>集中处理，尾水达标后排入</w:t>
      </w:r>
      <w:r>
        <w:rPr>
          <w:rFonts w:hint="eastAsia" w:ascii="Times New Roman" w:hAnsi="Times New Roman" w:cs="Times New Roman"/>
          <w:color w:val="auto"/>
          <w:highlight w:val="none"/>
        </w:rPr>
        <w:t>北兴塘</w:t>
      </w:r>
      <w:r>
        <w:rPr>
          <w:rFonts w:ascii="Times New Roman" w:hAnsi="Times New Roman" w:cs="Times New Roman"/>
          <w:color w:val="auto"/>
          <w:highlight w:val="none"/>
        </w:rPr>
        <w:t>河。全厂废水污染物总量控制因子：废水量：</w:t>
      </w:r>
      <w:r>
        <w:rPr>
          <w:rFonts w:hint="eastAsia" w:ascii="Times New Roman" w:hAnsi="Times New Roman" w:cs="Times New Roman"/>
          <w:color w:val="auto"/>
          <w:highlight w:val="none"/>
        </w:rPr>
        <w:t>3800</w:t>
      </w:r>
      <w:r>
        <w:rPr>
          <w:rFonts w:ascii="Times New Roman" w:hAnsi="Times New Roman" w:cs="Times New Roman"/>
          <w:color w:val="auto"/>
          <w:highlight w:val="none"/>
        </w:rPr>
        <w:t>t/a，COD（接管量</w:t>
      </w:r>
      <w:r>
        <w:rPr>
          <w:rFonts w:hint="eastAsia" w:ascii="Times New Roman" w:hAnsi="Times New Roman" w:cs="Times New Roman"/>
          <w:color w:val="auto"/>
          <w:highlight w:val="none"/>
        </w:rPr>
        <w:t>0.5</w:t>
      </w:r>
      <w:r>
        <w:rPr>
          <w:rFonts w:ascii="Times New Roman" w:hAnsi="Times New Roman" w:cs="Times New Roman"/>
          <w:color w:val="auto"/>
          <w:highlight w:val="none"/>
        </w:rPr>
        <w:t>t/a、外排环境量</w:t>
      </w:r>
      <w:r>
        <w:rPr>
          <w:rFonts w:hint="eastAsia" w:ascii="Times New Roman" w:hAnsi="Times New Roman" w:cs="Times New Roman"/>
          <w:color w:val="auto"/>
          <w:highlight w:val="none"/>
        </w:rPr>
        <w:t>0.19</w:t>
      </w:r>
      <w:r>
        <w:rPr>
          <w:rFonts w:ascii="Times New Roman" w:hAnsi="Times New Roman" w:cs="Times New Roman"/>
          <w:color w:val="auto"/>
          <w:highlight w:val="none"/>
        </w:rPr>
        <w:t>t/a）、SS（接管量</w:t>
      </w:r>
      <w:r>
        <w:rPr>
          <w:rFonts w:hint="eastAsia" w:ascii="Times New Roman" w:hAnsi="Times New Roman" w:cs="Times New Roman"/>
          <w:color w:val="auto"/>
          <w:highlight w:val="none"/>
        </w:rPr>
        <w:t>0.248</w:t>
      </w:r>
      <w:r>
        <w:rPr>
          <w:rFonts w:ascii="Times New Roman" w:hAnsi="Times New Roman" w:cs="Times New Roman"/>
          <w:color w:val="auto"/>
          <w:highlight w:val="none"/>
        </w:rPr>
        <w:t>t/a、外排环境量</w:t>
      </w:r>
      <w:r>
        <w:rPr>
          <w:rFonts w:hint="eastAsia" w:ascii="Times New Roman" w:hAnsi="Times New Roman" w:cs="Times New Roman"/>
          <w:color w:val="auto"/>
          <w:highlight w:val="none"/>
        </w:rPr>
        <w:t>0.038</w:t>
      </w:r>
      <w:r>
        <w:rPr>
          <w:rFonts w:ascii="Times New Roman" w:hAnsi="Times New Roman" w:cs="Times New Roman"/>
          <w:color w:val="auto"/>
          <w:highlight w:val="none"/>
        </w:rPr>
        <w:t>t/a）、氨氮（接管量</w:t>
      </w:r>
      <w:r>
        <w:rPr>
          <w:rFonts w:hint="eastAsia" w:ascii="Times New Roman" w:hAnsi="Times New Roman" w:cs="Times New Roman"/>
          <w:color w:val="auto"/>
          <w:highlight w:val="none"/>
        </w:rPr>
        <w:t>0.06</w:t>
      </w:r>
      <w:r>
        <w:rPr>
          <w:rFonts w:ascii="Times New Roman" w:hAnsi="Times New Roman" w:cs="Times New Roman"/>
          <w:color w:val="auto"/>
          <w:highlight w:val="none"/>
        </w:rPr>
        <w:t>t/a、外排环境量</w:t>
      </w:r>
      <w:r>
        <w:rPr>
          <w:rFonts w:hint="eastAsia" w:ascii="Times New Roman" w:hAnsi="Times New Roman" w:cs="Times New Roman"/>
          <w:color w:val="auto"/>
          <w:highlight w:val="none"/>
        </w:rPr>
        <w:t>0.0152</w:t>
      </w:r>
      <w:r>
        <w:rPr>
          <w:rFonts w:ascii="Times New Roman" w:hAnsi="Times New Roman" w:cs="Times New Roman"/>
          <w:color w:val="auto"/>
          <w:highlight w:val="none"/>
        </w:rPr>
        <w:t>t/a）、总氮（接管量</w:t>
      </w:r>
      <w:r>
        <w:rPr>
          <w:rFonts w:hint="eastAsia" w:ascii="Times New Roman" w:hAnsi="Times New Roman" w:cs="Times New Roman"/>
          <w:color w:val="auto"/>
          <w:highlight w:val="none"/>
        </w:rPr>
        <w:t>0.1188</w:t>
      </w:r>
      <w:r>
        <w:rPr>
          <w:rFonts w:ascii="Times New Roman" w:hAnsi="Times New Roman" w:cs="Times New Roman"/>
          <w:color w:val="auto"/>
          <w:highlight w:val="none"/>
        </w:rPr>
        <w:t>t/a、外排环境量</w:t>
      </w:r>
      <w:r>
        <w:rPr>
          <w:rFonts w:hint="eastAsia" w:ascii="Times New Roman" w:hAnsi="Times New Roman" w:cs="Times New Roman"/>
          <w:color w:val="auto"/>
          <w:highlight w:val="none"/>
        </w:rPr>
        <w:t>0.0456</w:t>
      </w:r>
      <w:r>
        <w:rPr>
          <w:rFonts w:ascii="Times New Roman" w:hAnsi="Times New Roman" w:cs="Times New Roman"/>
          <w:color w:val="auto"/>
          <w:highlight w:val="none"/>
        </w:rPr>
        <w:t>t/a）、总磷（接管量</w:t>
      </w:r>
      <w:r>
        <w:rPr>
          <w:rFonts w:hint="eastAsia" w:ascii="Times New Roman" w:hAnsi="Times New Roman" w:cs="Times New Roman"/>
          <w:color w:val="auto"/>
          <w:highlight w:val="none"/>
        </w:rPr>
        <w:t>0.004</w:t>
      </w:r>
      <w:r>
        <w:rPr>
          <w:rFonts w:ascii="Times New Roman" w:hAnsi="Times New Roman" w:cs="Times New Roman"/>
          <w:color w:val="auto"/>
          <w:highlight w:val="none"/>
        </w:rPr>
        <w:t>t/a、外排环境量</w:t>
      </w:r>
      <w:r>
        <w:rPr>
          <w:rFonts w:hint="eastAsia" w:ascii="Times New Roman" w:hAnsi="Times New Roman" w:cs="Times New Roman"/>
          <w:color w:val="auto"/>
          <w:highlight w:val="none"/>
        </w:rPr>
        <w:t>0.0019</w:t>
      </w:r>
      <w:r>
        <w:rPr>
          <w:rFonts w:ascii="Times New Roman" w:hAnsi="Times New Roman" w:cs="Times New Roman"/>
          <w:color w:val="auto"/>
          <w:highlight w:val="none"/>
        </w:rPr>
        <w:t>t/a）。</w:t>
      </w:r>
    </w:p>
    <w:p w14:paraId="70D1EBF9">
      <w:pPr>
        <w:spacing w:line="360" w:lineRule="auto"/>
        <w:ind w:left="-105" w:right="-105" w:firstLine="480" w:firstLineChars="200"/>
        <w:jc w:val="both"/>
        <w:rPr>
          <w:rFonts w:ascii="Times New Roman" w:hAnsi="Times New Roman" w:cs="Times New Roman"/>
          <w:color w:val="auto"/>
          <w:highlight w:val="none"/>
        </w:rPr>
      </w:pPr>
      <w:r>
        <w:rPr>
          <w:color w:val="auto"/>
          <w:highlight w:val="none"/>
        </w:rPr>
        <w:t>废水污染物纳入污水处理厂总量范围内。</w:t>
      </w:r>
    </w:p>
    <w:p w14:paraId="570C2E87">
      <w:pPr>
        <w:spacing w:line="360" w:lineRule="auto"/>
        <w:ind w:left="-105" w:right="-105" w:firstLine="482" w:firstLineChars="200"/>
        <w:jc w:val="both"/>
        <w:rPr>
          <w:rFonts w:ascii="Times New Roman" w:hAnsi="Times New Roman" w:cs="Times New Roman"/>
          <w:b/>
          <w:bCs/>
          <w:color w:val="auto"/>
          <w:highlight w:val="none"/>
        </w:rPr>
      </w:pPr>
      <w:r>
        <w:rPr>
          <w:rFonts w:ascii="Times New Roman" w:hAnsi="Times New Roman" w:cs="Times New Roman"/>
          <w:b/>
          <w:bCs/>
          <w:color w:val="auto"/>
          <w:highlight w:val="none"/>
        </w:rPr>
        <w:t>（3）固废</w:t>
      </w:r>
    </w:p>
    <w:p w14:paraId="0F6411C7">
      <w:pPr>
        <w:spacing w:line="360" w:lineRule="auto"/>
        <w:ind w:left="-105" w:right="-105" w:firstLine="480" w:firstLineChars="200"/>
        <w:jc w:val="both"/>
        <w:rPr>
          <w:rFonts w:ascii="Times New Roman" w:hAnsi="Times New Roman" w:cs="Times New Roman"/>
          <w:color w:val="auto"/>
          <w:highlight w:val="none"/>
        </w:rPr>
      </w:pPr>
      <w:r>
        <w:rPr>
          <w:rFonts w:ascii="Times New Roman" w:hAnsi="Times New Roman" w:cs="Times New Roman"/>
          <w:color w:val="auto"/>
          <w:highlight w:val="none"/>
        </w:rPr>
        <w:t>建设项目固废均可得到有效处置，实现</w:t>
      </w:r>
      <w:r>
        <w:rPr>
          <w:rFonts w:hint="eastAsia" w:ascii="Times New Roman" w:hAnsi="Times New Roman" w:cs="Times New Roman"/>
          <w:color w:val="auto"/>
          <w:highlight w:val="none"/>
        </w:rPr>
        <w:t>“</w:t>
      </w:r>
      <w:r>
        <w:rPr>
          <w:rFonts w:ascii="Times New Roman" w:hAnsi="Times New Roman" w:cs="Times New Roman"/>
          <w:color w:val="auto"/>
          <w:highlight w:val="none"/>
        </w:rPr>
        <w:t>零</w:t>
      </w:r>
      <w:r>
        <w:rPr>
          <w:rFonts w:hint="eastAsia" w:ascii="Times New Roman" w:hAnsi="Times New Roman" w:cs="Times New Roman"/>
          <w:color w:val="auto"/>
          <w:highlight w:val="none"/>
        </w:rPr>
        <w:t>”</w:t>
      </w:r>
      <w:r>
        <w:rPr>
          <w:rFonts w:ascii="Times New Roman" w:hAnsi="Times New Roman" w:cs="Times New Roman"/>
          <w:color w:val="auto"/>
          <w:highlight w:val="none"/>
        </w:rPr>
        <w:t>排放。</w:t>
      </w:r>
    </w:p>
    <w:p w14:paraId="05705B72">
      <w:pPr>
        <w:pStyle w:val="4"/>
        <w:numPr>
          <w:ilvl w:val="1"/>
          <w:numId w:val="0"/>
        </w:numPr>
        <w:tabs>
          <w:tab w:val="left" w:pos="426"/>
        </w:tabs>
        <w:spacing w:before="120" w:beforeLines="50" w:after="120" w:afterLines="50" w:line="360" w:lineRule="auto"/>
        <w:ind w:right="-105"/>
        <w:rPr>
          <w:rFonts w:ascii="Times New Roman" w:eastAsia="宋体"/>
          <w:color w:val="auto"/>
          <w:sz w:val="28"/>
          <w:szCs w:val="28"/>
          <w:highlight w:val="none"/>
        </w:rPr>
      </w:pPr>
      <w:bookmarkStart w:id="557" w:name="_Toc413742024"/>
      <w:bookmarkEnd w:id="557"/>
      <w:bookmarkStart w:id="558" w:name="_Toc9990"/>
      <w:bookmarkStart w:id="559" w:name="_Toc60653636"/>
      <w:r>
        <w:rPr>
          <w:rFonts w:hint="eastAsia" w:ascii="Times New Roman" w:eastAsia="宋体"/>
          <w:color w:val="auto"/>
          <w:sz w:val="28"/>
          <w:szCs w:val="28"/>
          <w:highlight w:val="none"/>
        </w:rPr>
        <w:t>10.5</w:t>
      </w:r>
      <w:r>
        <w:rPr>
          <w:rFonts w:ascii="Times New Roman" w:eastAsia="宋体"/>
          <w:color w:val="auto"/>
          <w:sz w:val="28"/>
          <w:szCs w:val="28"/>
          <w:highlight w:val="none"/>
        </w:rPr>
        <w:t>主要环境影响</w:t>
      </w:r>
      <w:bookmarkEnd w:id="558"/>
      <w:bookmarkEnd w:id="559"/>
    </w:p>
    <w:p w14:paraId="13B44AD8">
      <w:pPr>
        <w:spacing w:line="360" w:lineRule="auto"/>
        <w:ind w:left="-105" w:right="-105" w:firstLine="480" w:firstLineChars="200"/>
        <w:jc w:val="both"/>
        <w:rPr>
          <w:rFonts w:ascii="Times New Roman" w:hAnsi="Times New Roman" w:cs="Times New Roman"/>
          <w:color w:val="auto"/>
          <w:highlight w:val="none"/>
        </w:rPr>
      </w:pPr>
      <w:r>
        <w:rPr>
          <w:rFonts w:ascii="Times New Roman" w:hAnsi="Times New Roman" w:cs="Times New Roman"/>
          <w:color w:val="auto"/>
          <w:highlight w:val="none"/>
        </w:rPr>
        <w:t>（1）大气环境影响</w:t>
      </w:r>
    </w:p>
    <w:p w14:paraId="69C006B6">
      <w:pPr>
        <w:spacing w:line="360" w:lineRule="auto"/>
        <w:ind w:left="-105" w:right="-105" w:firstLine="480"/>
        <w:jc w:val="both"/>
        <w:rPr>
          <w:rFonts w:ascii="Times New Roman" w:hAnsi="Times New Roman" w:cs="Times New Roman"/>
          <w:color w:val="auto"/>
          <w:highlight w:val="none"/>
        </w:rPr>
      </w:pPr>
      <w:r>
        <w:rPr>
          <w:rFonts w:ascii="Times New Roman" w:hAnsi="Times New Roman" w:cs="Times New Roman"/>
          <w:color w:val="auto"/>
          <w:highlight w:val="none"/>
        </w:rPr>
        <w:t>本项目采用《环境影响评价技术导则大气环境》（HJ2.2-2018）附录A 推荐模型中估算模型AERSCREEN，通过对本次</w:t>
      </w:r>
      <w:r>
        <w:rPr>
          <w:rFonts w:hint="eastAsia" w:ascii="Times New Roman" w:hAnsi="Times New Roman" w:cs="Times New Roman"/>
          <w:color w:val="auto"/>
          <w:highlight w:val="none"/>
        </w:rPr>
        <w:t>扩</w:t>
      </w:r>
      <w:r>
        <w:rPr>
          <w:rFonts w:ascii="Times New Roman" w:hAnsi="Times New Roman" w:cs="Times New Roman"/>
          <w:color w:val="auto"/>
          <w:highlight w:val="none"/>
        </w:rPr>
        <w:t>建后，</w:t>
      </w:r>
      <w:r>
        <w:rPr>
          <w:rFonts w:hint="eastAsia" w:ascii="Times New Roman" w:hAnsi="Times New Roman" w:cs="Times New Roman"/>
          <w:color w:val="auto"/>
          <w:highlight w:val="none"/>
        </w:rPr>
        <w:t>DA005~DA006</w:t>
      </w:r>
      <w:r>
        <w:rPr>
          <w:rFonts w:ascii="Times New Roman" w:hAnsi="Times New Roman" w:cs="Times New Roman"/>
          <w:color w:val="auto"/>
          <w:highlight w:val="none"/>
        </w:rPr>
        <w:t>排气筒以及涉及的无组织源进行预测，预测因子</w:t>
      </w:r>
      <w:r>
        <w:rPr>
          <w:rFonts w:hint="eastAsia" w:ascii="Times New Roman" w:hAnsi="Times New Roman" w:cs="Times New Roman"/>
          <w:color w:val="auto"/>
          <w:highlight w:val="none"/>
        </w:rPr>
        <w:t>为</w:t>
      </w:r>
      <w:r>
        <w:rPr>
          <w:rFonts w:ascii="Times New Roman" w:hAnsi="Times New Roman" w:cs="Times New Roman"/>
          <w:color w:val="auto"/>
          <w:highlight w:val="none"/>
        </w:rPr>
        <w:t>非甲烷总烃</w:t>
      </w:r>
      <w:r>
        <w:rPr>
          <w:rFonts w:hint="eastAsia" w:ascii="Times New Roman" w:hAnsi="Times New Roman" w:cs="Times New Roman"/>
          <w:color w:val="auto"/>
          <w:highlight w:val="none"/>
          <w:lang w:eastAsia="zh-CN"/>
        </w:rPr>
        <w:t>、</w:t>
      </w:r>
      <w:r>
        <w:rPr>
          <w:rFonts w:hint="eastAsia" w:ascii="Times New Roman" w:hAnsi="Times New Roman" w:cs="Times New Roman"/>
          <w:color w:val="auto"/>
          <w:highlight w:val="none"/>
          <w:lang w:val="en-US" w:eastAsia="zh-CN"/>
        </w:rPr>
        <w:t>氮氧化物、甲醇</w:t>
      </w:r>
      <w:r>
        <w:rPr>
          <w:rFonts w:ascii="Times New Roman" w:hAnsi="Times New Roman" w:cs="Times New Roman"/>
          <w:color w:val="auto"/>
          <w:highlight w:val="none"/>
        </w:rPr>
        <w:t>，预测结果显示，最大落地浓度均可以达到环境质量标准要求，且占标率较低。非正常情况下，各个污染因子最大落地浓度和占标率均有所增加，</w:t>
      </w:r>
      <w:r>
        <w:rPr>
          <w:rFonts w:hint="eastAsia" w:ascii="Times New Roman" w:hAnsi="Times New Roman" w:cs="Times New Roman"/>
          <w:color w:val="auto"/>
          <w:highlight w:val="none"/>
        </w:rPr>
        <w:t>但未超过环境质量标准，其余</w:t>
      </w:r>
      <w:r>
        <w:rPr>
          <w:rFonts w:ascii="Times New Roman" w:hAnsi="Times New Roman" w:cs="Times New Roman"/>
          <w:color w:val="auto"/>
          <w:highlight w:val="none"/>
        </w:rPr>
        <w:t>可以满足相应环境质量标准。</w:t>
      </w:r>
    </w:p>
    <w:p w14:paraId="6E57FF52">
      <w:pPr>
        <w:pStyle w:val="44"/>
        <w:spacing w:after="0" w:line="360" w:lineRule="auto"/>
        <w:ind w:left="0" w:leftChars="0" w:right="-105" w:firstLine="480"/>
        <w:rPr>
          <w:rFonts w:eastAsia="宋体"/>
          <w:color w:val="auto"/>
          <w:kern w:val="0"/>
          <w:sz w:val="24"/>
          <w:highlight w:val="none"/>
        </w:rPr>
      </w:pPr>
      <w:r>
        <w:rPr>
          <w:rFonts w:eastAsia="宋体"/>
          <w:color w:val="auto"/>
          <w:kern w:val="0"/>
          <w:sz w:val="24"/>
          <w:highlight w:val="none"/>
        </w:rPr>
        <w:t>根据大气环境影响预测结论，本项目大气环境影响可以接受。本项目不需要设置大气环境防护距离。</w:t>
      </w:r>
    </w:p>
    <w:p w14:paraId="22404E9D">
      <w:pPr>
        <w:spacing w:line="360" w:lineRule="auto"/>
        <w:ind w:left="-105" w:right="-105" w:firstLine="480" w:firstLineChars="200"/>
        <w:jc w:val="both"/>
        <w:rPr>
          <w:rFonts w:ascii="Times New Roman" w:hAnsi="Times New Roman" w:cs="Times New Roman"/>
          <w:color w:val="auto"/>
          <w:highlight w:val="none"/>
        </w:rPr>
      </w:pPr>
      <w:r>
        <w:rPr>
          <w:rFonts w:ascii="Times New Roman" w:hAnsi="Times New Roman" w:cs="Times New Roman"/>
          <w:color w:val="auto"/>
          <w:highlight w:val="none"/>
        </w:rPr>
        <w:t>（2）地表水环境影响</w:t>
      </w:r>
    </w:p>
    <w:p w14:paraId="17B1AEB3">
      <w:pPr>
        <w:pStyle w:val="44"/>
        <w:spacing w:after="0" w:line="360" w:lineRule="auto"/>
        <w:ind w:left="0" w:leftChars="0" w:right="-105" w:firstLine="480"/>
        <w:rPr>
          <w:rFonts w:eastAsia="宋体"/>
          <w:color w:val="auto"/>
          <w:kern w:val="0"/>
          <w:sz w:val="24"/>
          <w:highlight w:val="none"/>
        </w:rPr>
      </w:pPr>
      <w:r>
        <w:rPr>
          <w:rFonts w:hint="eastAsia" w:eastAsia="宋体"/>
          <w:color w:val="auto"/>
          <w:kern w:val="0"/>
          <w:sz w:val="24"/>
          <w:highlight w:val="none"/>
        </w:rPr>
        <w:t>本项目纯水制备过程中不添加任何药剂，纯水制备浓水、反冲洗水污染较轻，少量污染主要来源于自来水，主要污染因子是COD、SS，根据同类项目调查，纯水制备浓水、反冲洗水完全可用于冲厕，且基本不会影响生活污水的产生情况。因此，全厂产生的生活污水和初期雨水经无锡先进化药化工有限公司处理达标后接入无锡市锡山云林污水处理有限公司集中处理，尾水达标后排入北兴塘河。</w:t>
      </w:r>
      <w:r>
        <w:rPr>
          <w:rFonts w:eastAsia="宋体"/>
          <w:color w:val="auto"/>
          <w:kern w:val="0"/>
          <w:sz w:val="24"/>
          <w:highlight w:val="none"/>
        </w:rPr>
        <w:t>本项目污水不直接对外排放，不会对当地地表水环境产生不利影响，地表水环境影响可接受。</w:t>
      </w:r>
    </w:p>
    <w:p w14:paraId="5F182AE6">
      <w:pPr>
        <w:spacing w:line="360" w:lineRule="auto"/>
        <w:ind w:left="-105" w:right="-105" w:firstLine="480" w:firstLineChars="200"/>
        <w:jc w:val="both"/>
        <w:rPr>
          <w:rFonts w:ascii="Times New Roman" w:hAnsi="Times New Roman" w:cs="Times New Roman"/>
          <w:color w:val="auto"/>
          <w:highlight w:val="none"/>
        </w:rPr>
      </w:pPr>
      <w:r>
        <w:rPr>
          <w:rFonts w:ascii="Times New Roman" w:hAnsi="Times New Roman" w:cs="Times New Roman"/>
          <w:color w:val="auto"/>
          <w:highlight w:val="none"/>
        </w:rPr>
        <w:t>（3）噪声环境影响</w:t>
      </w:r>
    </w:p>
    <w:p w14:paraId="1F92D043">
      <w:pPr>
        <w:pStyle w:val="44"/>
        <w:spacing w:after="0" w:line="360" w:lineRule="auto"/>
        <w:ind w:left="0" w:leftChars="0" w:right="-105" w:firstLine="480"/>
        <w:rPr>
          <w:rFonts w:hint="eastAsia" w:eastAsia="宋体"/>
          <w:color w:val="auto"/>
          <w:kern w:val="0"/>
          <w:sz w:val="24"/>
          <w:highlight w:val="none"/>
          <w:lang w:eastAsia="zh-CN"/>
        </w:rPr>
      </w:pPr>
      <w:r>
        <w:rPr>
          <w:rFonts w:eastAsia="宋体"/>
          <w:color w:val="auto"/>
          <w:kern w:val="0"/>
          <w:sz w:val="24"/>
          <w:highlight w:val="none"/>
        </w:rPr>
        <w:t>根据预测评价结果，厂界能够达到《工业企业厂界环境噪声排放标准》（GB12348-2008）3 类标准。</w:t>
      </w:r>
      <w:r>
        <w:rPr>
          <w:rFonts w:hint="eastAsia" w:eastAsia="宋体"/>
          <w:color w:val="auto"/>
          <w:kern w:val="0"/>
          <w:sz w:val="24"/>
          <w:highlight w:val="none"/>
        </w:rPr>
        <w:t>敏感点处预测值满足《声环境质量标准》（GB 3096-2008）中2类区标准</w:t>
      </w:r>
      <w:r>
        <w:rPr>
          <w:rFonts w:hint="eastAsia" w:eastAsia="宋体"/>
          <w:color w:val="auto"/>
          <w:kern w:val="0"/>
          <w:sz w:val="24"/>
          <w:highlight w:val="none"/>
          <w:lang w:eastAsia="zh-CN"/>
        </w:rPr>
        <w:t>。</w:t>
      </w:r>
    </w:p>
    <w:p w14:paraId="5BFB4E01">
      <w:pPr>
        <w:spacing w:line="360" w:lineRule="auto"/>
        <w:ind w:left="-105" w:right="-105" w:firstLine="480" w:firstLineChars="200"/>
        <w:jc w:val="both"/>
        <w:rPr>
          <w:rFonts w:ascii="Times New Roman" w:hAnsi="Times New Roman" w:cs="Times New Roman"/>
          <w:color w:val="auto"/>
          <w:highlight w:val="none"/>
        </w:rPr>
      </w:pPr>
      <w:r>
        <w:rPr>
          <w:rFonts w:ascii="Times New Roman" w:hAnsi="Times New Roman" w:cs="Times New Roman"/>
          <w:color w:val="auto"/>
          <w:highlight w:val="none"/>
        </w:rPr>
        <w:t>（4）土壤环境影响</w:t>
      </w:r>
    </w:p>
    <w:p w14:paraId="08C03962">
      <w:pPr>
        <w:spacing w:line="360" w:lineRule="auto"/>
        <w:ind w:left="-105" w:right="-105" w:firstLine="480" w:firstLineChars="200"/>
        <w:jc w:val="both"/>
        <w:rPr>
          <w:rFonts w:hint="default" w:ascii="Times New Roman" w:hAnsi="Times New Roman" w:cs="Times New Roman"/>
          <w:color w:val="auto"/>
          <w:highlight w:val="none"/>
        </w:rPr>
      </w:pPr>
      <w:r>
        <w:rPr>
          <w:rFonts w:hint="default" w:ascii="Times New Roman" w:hAnsi="Times New Roman" w:cs="Times New Roman"/>
          <w:color w:val="auto"/>
          <w:highlight w:val="none"/>
        </w:rPr>
        <w:t>由</w:t>
      </w:r>
      <w:r>
        <w:rPr>
          <w:rFonts w:hint="default" w:ascii="Times New Roman" w:hAnsi="Times New Roman" w:cs="Times New Roman"/>
          <w:color w:val="auto"/>
          <w:highlight w:val="none"/>
          <w:lang w:val="en-US" w:eastAsia="zh-CN"/>
        </w:rPr>
        <w:t>类比分析</w:t>
      </w:r>
      <w:r>
        <w:rPr>
          <w:rFonts w:hint="default" w:ascii="Times New Roman" w:hAnsi="Times New Roman" w:cs="Times New Roman"/>
          <w:color w:val="auto"/>
          <w:highlight w:val="none"/>
        </w:rPr>
        <w:t>结果可知，大气沉降可能造成土壤污染，</w:t>
      </w:r>
      <w:r>
        <w:rPr>
          <w:rFonts w:hint="default" w:ascii="Times New Roman" w:hAnsi="Times New Roman" w:cs="Times New Roman"/>
          <w:color w:val="auto"/>
          <w:highlight w:val="none"/>
          <w:lang w:val="en-US" w:eastAsia="zh-CN"/>
        </w:rPr>
        <w:t>非甲烷总烃排放引起的大气沉降对周围环境影响较小，评价范围内工业用地满足《土壤环境质量 建设用地土壤污染风险管控标准》（GB 36600-2018）（试行）中第二类用地筛选值标准（参照石油烃标准4500mg/kg），土壤环境保护目标处满足《土壤环境质量 建设用地土壤污染风险管控标准》（GB 36600-2018）（试行）中第一类用地筛选值标准。</w:t>
      </w:r>
      <w:r>
        <w:rPr>
          <w:rFonts w:hint="default" w:ascii="Times New Roman" w:hAnsi="Times New Roman" w:cs="Times New Roman"/>
          <w:color w:val="auto"/>
          <w:highlight w:val="none"/>
        </w:rPr>
        <w:t>综上所述，本项目对土壤环境影响较小。</w:t>
      </w:r>
    </w:p>
    <w:p w14:paraId="7A6B837D">
      <w:pPr>
        <w:spacing w:line="360" w:lineRule="auto"/>
        <w:ind w:left="-105" w:right="-105" w:firstLine="480" w:firstLineChars="200"/>
        <w:jc w:val="both"/>
        <w:rPr>
          <w:rFonts w:ascii="Times New Roman" w:hAnsi="Times New Roman" w:cs="Times New Roman"/>
          <w:color w:val="auto"/>
          <w:highlight w:val="none"/>
        </w:rPr>
      </w:pPr>
      <w:r>
        <w:rPr>
          <w:rFonts w:ascii="Times New Roman" w:hAnsi="Times New Roman" w:cs="Times New Roman"/>
          <w:color w:val="auto"/>
          <w:highlight w:val="none"/>
        </w:rPr>
        <w:t>（</w:t>
      </w:r>
      <w:r>
        <w:rPr>
          <w:rFonts w:hint="eastAsia" w:ascii="Times New Roman" w:hAnsi="Times New Roman" w:cs="Times New Roman"/>
          <w:color w:val="auto"/>
          <w:highlight w:val="none"/>
        </w:rPr>
        <w:t>5</w:t>
      </w:r>
      <w:r>
        <w:rPr>
          <w:rFonts w:ascii="Times New Roman" w:hAnsi="Times New Roman" w:cs="Times New Roman"/>
          <w:color w:val="auto"/>
          <w:highlight w:val="none"/>
        </w:rPr>
        <w:t>）固废环境影响</w:t>
      </w:r>
    </w:p>
    <w:p w14:paraId="4CF52700">
      <w:pPr>
        <w:spacing w:line="360" w:lineRule="auto"/>
        <w:ind w:left="-105" w:right="-105" w:firstLine="480" w:firstLineChars="200"/>
        <w:jc w:val="both"/>
        <w:rPr>
          <w:rFonts w:ascii="Times New Roman" w:hAnsi="Times New Roman" w:cs="Times New Roman"/>
          <w:color w:val="auto"/>
          <w:highlight w:val="none"/>
        </w:rPr>
      </w:pPr>
      <w:r>
        <w:rPr>
          <w:rFonts w:ascii="Times New Roman" w:hAnsi="Times New Roman" w:cs="Times New Roman"/>
          <w:color w:val="auto"/>
          <w:highlight w:val="none"/>
        </w:rPr>
        <w:t>本项目产生的固废均合理处置，不外排，对周围环境影响较小。</w:t>
      </w:r>
    </w:p>
    <w:p w14:paraId="75D5E5CA">
      <w:pPr>
        <w:spacing w:line="360" w:lineRule="auto"/>
        <w:ind w:left="-105" w:right="-105" w:firstLine="480" w:firstLineChars="200"/>
        <w:jc w:val="both"/>
        <w:rPr>
          <w:rFonts w:ascii="Times New Roman" w:hAnsi="Times New Roman" w:cs="Times New Roman"/>
          <w:color w:val="auto"/>
          <w:highlight w:val="none"/>
        </w:rPr>
      </w:pPr>
      <w:r>
        <w:rPr>
          <w:rFonts w:ascii="Times New Roman" w:hAnsi="Times New Roman" w:cs="Times New Roman"/>
          <w:color w:val="auto"/>
          <w:highlight w:val="none"/>
        </w:rPr>
        <w:t>（</w:t>
      </w:r>
      <w:r>
        <w:rPr>
          <w:rFonts w:hint="eastAsia" w:ascii="Times New Roman" w:hAnsi="Times New Roman" w:cs="Times New Roman"/>
          <w:color w:val="auto"/>
          <w:highlight w:val="none"/>
        </w:rPr>
        <w:t>6</w:t>
      </w:r>
      <w:r>
        <w:rPr>
          <w:rFonts w:ascii="Times New Roman" w:hAnsi="Times New Roman" w:cs="Times New Roman"/>
          <w:color w:val="auto"/>
          <w:highlight w:val="none"/>
        </w:rPr>
        <w:t>）环境风险影响</w:t>
      </w:r>
    </w:p>
    <w:p w14:paraId="201516AE">
      <w:pPr>
        <w:spacing w:line="360" w:lineRule="auto"/>
        <w:ind w:left="-105" w:right="-105" w:firstLine="480" w:firstLineChars="200"/>
        <w:rPr>
          <w:rFonts w:ascii="Times New Roman" w:hAnsi="Times New Roman"/>
          <w:color w:val="auto"/>
          <w:szCs w:val="22"/>
          <w:highlight w:val="none"/>
        </w:rPr>
      </w:pPr>
      <w:r>
        <w:rPr>
          <w:color w:val="auto"/>
          <w:szCs w:val="20"/>
          <w:highlight w:val="none"/>
        </w:rPr>
        <w:t>企业发生突发环境事件对周边环境有一定影响，但环境风险可防控。建设单位应该认真做好各项风险防范措施，完善管理制度，储运过程应该严格操作，杜绝风险事故。严格履行风险应急预案，一旦发生突发事故，建设单位除了根据内部制定和履行最快最有效的应急预案自救外，应立即报告当地环保部门。在上级环保部门到达后，要从大局考虑，服从环保部门的领导，共同协商统一部署，将污染事故降低到最小。</w:t>
      </w:r>
    </w:p>
    <w:p w14:paraId="1EEED4EF">
      <w:pPr>
        <w:pStyle w:val="4"/>
        <w:numPr>
          <w:ilvl w:val="1"/>
          <w:numId w:val="0"/>
        </w:numPr>
        <w:tabs>
          <w:tab w:val="left" w:pos="426"/>
        </w:tabs>
        <w:spacing w:before="120" w:beforeLines="50" w:after="120" w:afterLines="50" w:line="360" w:lineRule="auto"/>
        <w:ind w:right="-105"/>
        <w:rPr>
          <w:rFonts w:ascii="Times New Roman" w:eastAsia="宋体"/>
          <w:color w:val="auto"/>
          <w:sz w:val="28"/>
          <w:szCs w:val="28"/>
          <w:highlight w:val="none"/>
        </w:rPr>
      </w:pPr>
      <w:bookmarkStart w:id="560" w:name="_Toc10250"/>
      <w:bookmarkStart w:id="561" w:name="_Toc60653637"/>
      <w:r>
        <w:rPr>
          <w:rFonts w:hint="eastAsia" w:ascii="Times New Roman" w:eastAsia="宋体"/>
          <w:color w:val="auto"/>
          <w:sz w:val="28"/>
          <w:szCs w:val="28"/>
          <w:highlight w:val="none"/>
        </w:rPr>
        <w:t>10.6</w:t>
      </w:r>
      <w:r>
        <w:rPr>
          <w:rFonts w:ascii="Times New Roman" w:eastAsia="宋体"/>
          <w:color w:val="auto"/>
          <w:sz w:val="28"/>
          <w:szCs w:val="28"/>
          <w:highlight w:val="none"/>
        </w:rPr>
        <w:t>公众意见采纳情况</w:t>
      </w:r>
      <w:bookmarkEnd w:id="560"/>
      <w:bookmarkEnd w:id="561"/>
    </w:p>
    <w:p w14:paraId="2504E9AD">
      <w:pPr>
        <w:spacing w:line="360" w:lineRule="auto"/>
        <w:ind w:left="-105" w:right="-105" w:firstLine="480" w:firstLineChars="200"/>
        <w:rPr>
          <w:rFonts w:ascii="Times New Roman" w:hAnsi="Times New Roman"/>
          <w:color w:val="auto"/>
          <w:szCs w:val="22"/>
          <w:highlight w:val="none"/>
        </w:rPr>
      </w:pPr>
      <w:r>
        <w:rPr>
          <w:rFonts w:hint="eastAsia" w:ascii="Times New Roman" w:hAnsi="Times New Roman"/>
          <w:color w:val="auto"/>
          <w:szCs w:val="22"/>
          <w:highlight w:val="none"/>
        </w:rPr>
        <w:t>化药化工（无锡）有限公司于2024年3月19日在</w:t>
      </w:r>
      <w:r>
        <w:rPr>
          <w:rFonts w:hint="eastAsia" w:ascii="Times New Roman" w:hAnsi="Times New Roman"/>
          <w:color w:val="auto"/>
          <w:szCs w:val="18"/>
          <w:highlight w:val="none"/>
        </w:rPr>
        <w:t>化药化工（无锡）有限公司</w:t>
      </w:r>
      <w:r>
        <w:rPr>
          <w:rFonts w:hint="eastAsia" w:ascii="Times New Roman" w:hAnsi="Times New Roman"/>
          <w:color w:val="auto"/>
          <w:szCs w:val="22"/>
          <w:highlight w:val="none"/>
        </w:rPr>
        <w:t>网站开了一次公示，公示主要内容为：项目概况、建设单位和环评单位信息及联系方式、公众意见表的网络链接、提交公众意见表的方式和途径。未收到反馈意见。</w:t>
      </w:r>
    </w:p>
    <w:p w14:paraId="5879153B">
      <w:pPr>
        <w:spacing w:line="360" w:lineRule="auto"/>
        <w:ind w:left="-105" w:right="-105" w:firstLine="480" w:firstLineChars="200"/>
        <w:rPr>
          <w:rFonts w:ascii="Times New Roman" w:hAnsi="Times New Roman"/>
          <w:color w:val="auto"/>
          <w:szCs w:val="22"/>
          <w:highlight w:val="none"/>
        </w:rPr>
      </w:pPr>
      <w:r>
        <w:rPr>
          <w:rFonts w:hint="eastAsia" w:ascii="Times New Roman" w:hAnsi="Times New Roman"/>
          <w:color w:val="auto"/>
          <w:szCs w:val="22"/>
          <w:highlight w:val="none"/>
        </w:rPr>
        <w:t>2023年1月16日在网络平台开展了二次公示，并在《环球时报》报刊开展的登报公示，项目地及街道开展了张贴公示，未收到反馈意见。</w:t>
      </w:r>
    </w:p>
    <w:p w14:paraId="2744F36E">
      <w:pPr>
        <w:spacing w:line="360" w:lineRule="auto"/>
        <w:ind w:left="-105" w:right="-105" w:firstLine="480" w:firstLineChars="200"/>
        <w:rPr>
          <w:rFonts w:ascii="Times New Roman" w:hAnsi="Times New Roman"/>
          <w:color w:val="auto"/>
          <w:szCs w:val="22"/>
          <w:highlight w:val="none"/>
        </w:rPr>
      </w:pPr>
      <w:r>
        <w:rPr>
          <w:rFonts w:hint="eastAsia" w:ascii="Times New Roman" w:hAnsi="Times New Roman"/>
          <w:color w:val="auto"/>
          <w:szCs w:val="22"/>
          <w:highlight w:val="none"/>
        </w:rPr>
        <w:t>为确保项目投运后不影响区域环境质量，不影响周围居民的正常生活，建设单位承诺：将严格落实各项环保政策规定，按“达标排放、总量控制、安全处置、规范管理”的要求搞好项目运行管理，提升企业的清洁生产水平，并不断完善各类环境风险防范措施，努力化解环境和安全风险隐患。建设单位在以后的建设中应充分尊重公众意见。</w:t>
      </w:r>
    </w:p>
    <w:p w14:paraId="1CA0660C">
      <w:pPr>
        <w:pStyle w:val="4"/>
        <w:numPr>
          <w:ilvl w:val="1"/>
          <w:numId w:val="0"/>
        </w:numPr>
        <w:tabs>
          <w:tab w:val="left" w:pos="426"/>
        </w:tabs>
        <w:spacing w:before="120" w:beforeLines="50" w:after="120" w:afterLines="50" w:line="360" w:lineRule="auto"/>
        <w:ind w:right="-105"/>
        <w:rPr>
          <w:rFonts w:ascii="Times New Roman" w:eastAsia="宋体"/>
          <w:color w:val="auto"/>
          <w:sz w:val="28"/>
          <w:szCs w:val="28"/>
          <w:highlight w:val="none"/>
        </w:rPr>
      </w:pPr>
      <w:bookmarkStart w:id="562" w:name="_Toc60653638"/>
      <w:bookmarkStart w:id="563" w:name="_Toc30914"/>
      <w:r>
        <w:rPr>
          <w:rFonts w:hint="eastAsia" w:ascii="Times New Roman" w:eastAsia="宋体"/>
          <w:color w:val="auto"/>
          <w:sz w:val="28"/>
          <w:szCs w:val="28"/>
          <w:highlight w:val="none"/>
        </w:rPr>
        <w:t>10.7</w:t>
      </w:r>
      <w:r>
        <w:rPr>
          <w:rFonts w:ascii="Times New Roman" w:eastAsia="宋体"/>
          <w:color w:val="auto"/>
          <w:sz w:val="28"/>
          <w:szCs w:val="28"/>
          <w:highlight w:val="none"/>
        </w:rPr>
        <w:t>环境保护措施</w:t>
      </w:r>
      <w:bookmarkEnd w:id="562"/>
      <w:bookmarkEnd w:id="563"/>
    </w:p>
    <w:p w14:paraId="552D8D70">
      <w:pPr>
        <w:spacing w:line="360" w:lineRule="auto"/>
        <w:ind w:left="-105" w:right="-105" w:firstLine="482" w:firstLineChars="200"/>
        <w:jc w:val="both"/>
        <w:rPr>
          <w:rFonts w:ascii="Times New Roman" w:hAnsi="Times New Roman" w:cs="Times New Roman"/>
          <w:b/>
          <w:bCs/>
          <w:color w:val="auto"/>
          <w:highlight w:val="none"/>
        </w:rPr>
      </w:pPr>
      <w:r>
        <w:rPr>
          <w:rFonts w:ascii="Times New Roman" w:hAnsi="Times New Roman" w:cs="Times New Roman"/>
          <w:b/>
          <w:bCs/>
          <w:color w:val="auto"/>
          <w:highlight w:val="none"/>
        </w:rPr>
        <w:t>（1）废气：</w:t>
      </w:r>
    </w:p>
    <w:p w14:paraId="5611985E">
      <w:pPr>
        <w:spacing w:line="360" w:lineRule="auto"/>
        <w:ind w:left="-105" w:right="-105" w:firstLine="480" w:firstLineChars="200"/>
        <w:jc w:val="both"/>
        <w:rPr>
          <w:rFonts w:ascii="Times New Roman" w:hAnsi="Times New Roman" w:cs="Times New Roman"/>
          <w:color w:val="auto"/>
          <w:highlight w:val="none"/>
        </w:rPr>
      </w:pPr>
      <w:r>
        <w:rPr>
          <w:rFonts w:ascii="Times New Roman" w:hAnsi="Times New Roman" w:cs="Times New Roman"/>
          <w:color w:val="auto"/>
          <w:highlight w:val="none"/>
        </w:rPr>
        <w:t>本项目完成后运营期产生的废气主要为</w:t>
      </w:r>
      <w:r>
        <w:rPr>
          <w:rFonts w:hint="eastAsia" w:ascii="Times New Roman" w:hAnsi="Times New Roman" w:cs="Times New Roman"/>
          <w:color w:val="auto"/>
          <w:highlight w:val="none"/>
        </w:rPr>
        <w:t>①工艺废气（G1-1、G1-3）、②实验废气（G1-2）</w:t>
      </w:r>
      <w:r>
        <w:rPr>
          <w:rFonts w:ascii="Times New Roman" w:hAnsi="Times New Roman" w:cs="Times New Roman"/>
          <w:color w:val="auto"/>
          <w:highlight w:val="none"/>
        </w:rPr>
        <w:t>。</w:t>
      </w:r>
    </w:p>
    <w:p w14:paraId="71A42F17">
      <w:pPr>
        <w:pStyle w:val="44"/>
        <w:spacing w:after="0" w:line="360" w:lineRule="auto"/>
        <w:ind w:left="0" w:leftChars="0" w:right="-105" w:firstLine="480"/>
        <w:rPr>
          <w:rFonts w:eastAsia="宋体"/>
          <w:color w:val="auto"/>
          <w:sz w:val="24"/>
          <w:szCs w:val="22"/>
          <w:highlight w:val="none"/>
        </w:rPr>
      </w:pPr>
      <w:r>
        <w:rPr>
          <w:rFonts w:eastAsia="宋体"/>
          <w:color w:val="auto"/>
          <w:sz w:val="24"/>
          <w:szCs w:val="22"/>
          <w:highlight w:val="none"/>
        </w:rPr>
        <w:t>各类废气采</w:t>
      </w:r>
      <w:r>
        <w:rPr>
          <w:rFonts w:eastAsia="宋体"/>
          <w:color w:val="auto"/>
          <w:sz w:val="24"/>
          <w:highlight w:val="none"/>
        </w:rPr>
        <w:t>取的环保措施具体如下：</w:t>
      </w:r>
      <w:r>
        <w:rPr>
          <w:rFonts w:hint="eastAsia" w:ascii="宋体" w:hAnsi="宋体" w:eastAsia="宋体" w:cs="宋体"/>
          <w:color w:val="auto"/>
          <w:sz w:val="24"/>
          <w:highlight w:val="none"/>
        </w:rPr>
        <w:t>①</w:t>
      </w:r>
      <w:r>
        <w:rPr>
          <w:rFonts w:eastAsia="宋体"/>
          <w:color w:val="auto"/>
          <w:sz w:val="24"/>
          <w:highlight w:val="none"/>
        </w:rPr>
        <w:t>本项目</w:t>
      </w:r>
      <w:r>
        <w:rPr>
          <w:rFonts w:hint="eastAsia" w:eastAsia="宋体"/>
          <w:color w:val="auto"/>
          <w:sz w:val="24"/>
          <w:highlight w:val="none"/>
        </w:rPr>
        <w:t>工艺废气收集后依托现有一套3级碱液喷淋+二级活性炭吸附处理设施处理后经20m高排气筒DA005排放</w:t>
      </w:r>
      <w:r>
        <w:rPr>
          <w:rFonts w:eastAsia="宋体"/>
          <w:color w:val="auto"/>
          <w:sz w:val="24"/>
          <w:szCs w:val="22"/>
          <w:highlight w:val="none"/>
        </w:rPr>
        <w:t>。②2间实验废气收集后分别经两套经</w:t>
      </w:r>
      <w:r>
        <w:rPr>
          <w:rFonts w:hint="eastAsia" w:eastAsia="宋体"/>
          <w:color w:val="auto"/>
          <w:sz w:val="24"/>
          <w:szCs w:val="22"/>
          <w:highlight w:val="none"/>
        </w:rPr>
        <w:t>二级活性炭吸附装置</w:t>
      </w:r>
      <w:r>
        <w:rPr>
          <w:rFonts w:eastAsia="宋体"/>
          <w:color w:val="auto"/>
          <w:sz w:val="24"/>
          <w:szCs w:val="22"/>
          <w:highlight w:val="none"/>
        </w:rPr>
        <w:t>处理后</w:t>
      </w:r>
      <w:r>
        <w:rPr>
          <w:rFonts w:hint="eastAsia" w:eastAsia="宋体"/>
          <w:color w:val="auto"/>
          <w:sz w:val="24"/>
          <w:highlight w:val="none"/>
        </w:rPr>
        <w:t>经15m高排气筒DA006排放</w:t>
      </w:r>
      <w:r>
        <w:rPr>
          <w:rFonts w:eastAsia="宋体"/>
          <w:color w:val="auto"/>
          <w:sz w:val="24"/>
          <w:szCs w:val="22"/>
          <w:highlight w:val="none"/>
        </w:rPr>
        <w:t>。</w:t>
      </w:r>
    </w:p>
    <w:p w14:paraId="3976A2CF">
      <w:pPr>
        <w:spacing w:line="360" w:lineRule="auto"/>
        <w:ind w:left="-105" w:right="-105" w:firstLine="482" w:firstLineChars="200"/>
        <w:jc w:val="both"/>
        <w:rPr>
          <w:rFonts w:ascii="Times New Roman" w:hAnsi="Times New Roman" w:cs="Times New Roman"/>
          <w:b/>
          <w:bCs/>
          <w:color w:val="auto"/>
          <w:highlight w:val="none"/>
        </w:rPr>
      </w:pPr>
      <w:r>
        <w:rPr>
          <w:rFonts w:ascii="Times New Roman" w:hAnsi="Times New Roman" w:cs="Times New Roman"/>
          <w:b/>
          <w:bCs/>
          <w:color w:val="auto"/>
          <w:highlight w:val="none"/>
        </w:rPr>
        <w:t>（2）废水：</w:t>
      </w:r>
    </w:p>
    <w:p w14:paraId="7B515DF8">
      <w:pPr>
        <w:pStyle w:val="44"/>
        <w:spacing w:after="0" w:line="360" w:lineRule="auto"/>
        <w:ind w:left="0" w:leftChars="0" w:right="-105" w:firstLine="480"/>
        <w:rPr>
          <w:rFonts w:eastAsia="宋体"/>
          <w:color w:val="auto"/>
          <w:kern w:val="0"/>
          <w:sz w:val="24"/>
          <w:highlight w:val="none"/>
        </w:rPr>
      </w:pPr>
      <w:r>
        <w:rPr>
          <w:rFonts w:hint="eastAsia" w:eastAsia="宋体"/>
          <w:color w:val="auto"/>
          <w:kern w:val="0"/>
          <w:sz w:val="24"/>
          <w:highlight w:val="none"/>
        </w:rPr>
        <w:t>本项目纯水制备过程中不添加任何药剂，纯水制备浓水、反冲洗水污染较轻，少量污染主要来源于自来水，主要污染因子是COD、SS，根据同类项目调查，纯水制备浓水、反冲洗水完全可用于冲厕，且基本不会影响生活污水的产生情况。因此，全厂产生的生活污水和初期雨水经无锡先进化药化工有限公司处理达标后接入无锡市锡山云林污水处理有限公司集中处理，尾水达标后排入北兴塘河。</w:t>
      </w:r>
    </w:p>
    <w:p w14:paraId="76B89206">
      <w:pPr>
        <w:spacing w:line="360" w:lineRule="auto"/>
        <w:ind w:left="-105" w:right="-105" w:firstLine="482" w:firstLineChars="200"/>
        <w:jc w:val="both"/>
        <w:rPr>
          <w:rFonts w:ascii="Times New Roman" w:hAnsi="Times New Roman" w:cs="Times New Roman"/>
          <w:b/>
          <w:bCs/>
          <w:color w:val="auto"/>
          <w:highlight w:val="none"/>
        </w:rPr>
      </w:pPr>
      <w:r>
        <w:rPr>
          <w:rFonts w:ascii="Times New Roman" w:hAnsi="Times New Roman" w:cs="Times New Roman"/>
          <w:b/>
          <w:bCs/>
          <w:color w:val="auto"/>
          <w:highlight w:val="none"/>
        </w:rPr>
        <w:t>（3）噪声：</w:t>
      </w:r>
    </w:p>
    <w:p w14:paraId="478CF49A">
      <w:pPr>
        <w:spacing w:line="360" w:lineRule="auto"/>
        <w:ind w:left="-105" w:right="-105" w:firstLine="480" w:firstLineChars="200"/>
        <w:jc w:val="both"/>
        <w:rPr>
          <w:rFonts w:ascii="Times New Roman" w:hAnsi="Times New Roman" w:cs="Times New Roman"/>
          <w:color w:val="auto"/>
          <w:highlight w:val="none"/>
        </w:rPr>
      </w:pPr>
      <w:r>
        <w:rPr>
          <w:rFonts w:ascii="Times New Roman" w:hAnsi="Times New Roman" w:cs="Times New Roman"/>
          <w:color w:val="auto"/>
          <w:highlight w:val="none"/>
        </w:rPr>
        <w:t xml:space="preserve">本项目通过采取安装减振垫，风机安装隔声罩、墙体隔声，基础减振，距离衰减、合理布局、绿化等措施减小噪声影响，可实现厂界达标，满足环境保护的要求。 </w:t>
      </w:r>
    </w:p>
    <w:p w14:paraId="214CBEA9">
      <w:pPr>
        <w:spacing w:line="360" w:lineRule="auto"/>
        <w:ind w:left="-105" w:right="-105" w:firstLine="482" w:firstLineChars="200"/>
        <w:jc w:val="both"/>
        <w:rPr>
          <w:rFonts w:ascii="Times New Roman" w:hAnsi="Times New Roman" w:cs="Times New Roman"/>
          <w:b/>
          <w:bCs/>
          <w:color w:val="auto"/>
          <w:highlight w:val="none"/>
        </w:rPr>
      </w:pPr>
      <w:r>
        <w:rPr>
          <w:rFonts w:ascii="Times New Roman" w:hAnsi="Times New Roman" w:cs="Times New Roman"/>
          <w:b/>
          <w:bCs/>
          <w:color w:val="auto"/>
          <w:highlight w:val="none"/>
        </w:rPr>
        <w:t>（4）固废：</w:t>
      </w:r>
    </w:p>
    <w:p w14:paraId="7F41F82C">
      <w:pPr>
        <w:spacing w:line="360" w:lineRule="auto"/>
        <w:ind w:left="-105" w:right="-105" w:firstLine="480" w:firstLineChars="200"/>
        <w:jc w:val="both"/>
        <w:rPr>
          <w:rFonts w:ascii="Times New Roman" w:hAnsi="Times New Roman" w:cs="Times New Roman"/>
          <w:color w:val="auto"/>
          <w:highlight w:val="none"/>
        </w:rPr>
      </w:pPr>
      <w:r>
        <w:rPr>
          <w:rFonts w:ascii="Times New Roman" w:hAnsi="Times New Roman" w:cs="Times New Roman"/>
          <w:color w:val="auto"/>
          <w:highlight w:val="none"/>
        </w:rPr>
        <w:t>本项目固体废物有一般固废</w:t>
      </w:r>
      <w:r>
        <w:rPr>
          <w:rFonts w:hint="eastAsia" w:ascii="Times New Roman" w:hAnsi="Times New Roman" w:cs="Times New Roman"/>
          <w:color w:val="auto"/>
          <w:highlight w:val="none"/>
        </w:rPr>
        <w:t>和</w:t>
      </w:r>
      <w:r>
        <w:rPr>
          <w:rFonts w:ascii="Times New Roman" w:hAnsi="Times New Roman" w:cs="Times New Roman"/>
          <w:color w:val="auto"/>
          <w:highlight w:val="none"/>
        </w:rPr>
        <w:t>危险废物，其中危险废物委托有资质的单位处置；一般固废外售给物资回收单位。本项目所产生的各类固体废物均可得到妥善处置，不外排。</w:t>
      </w:r>
    </w:p>
    <w:p w14:paraId="05BD5650">
      <w:pPr>
        <w:spacing w:line="360" w:lineRule="auto"/>
        <w:ind w:left="-105" w:right="-105" w:firstLine="482" w:firstLineChars="200"/>
        <w:jc w:val="both"/>
        <w:rPr>
          <w:rFonts w:ascii="Times New Roman" w:hAnsi="Times New Roman" w:cs="Times New Roman"/>
          <w:b/>
          <w:bCs/>
          <w:color w:val="auto"/>
          <w:highlight w:val="none"/>
        </w:rPr>
      </w:pPr>
      <w:r>
        <w:rPr>
          <w:rFonts w:ascii="Times New Roman" w:hAnsi="Times New Roman" w:cs="Times New Roman"/>
          <w:b/>
          <w:bCs/>
          <w:color w:val="auto"/>
          <w:highlight w:val="none"/>
        </w:rPr>
        <w:t>（5）风险：</w:t>
      </w:r>
    </w:p>
    <w:p w14:paraId="59B31BA2">
      <w:pPr>
        <w:spacing w:line="360" w:lineRule="auto"/>
        <w:ind w:left="-105" w:right="-105" w:firstLine="480" w:firstLineChars="200"/>
        <w:jc w:val="both"/>
        <w:rPr>
          <w:rFonts w:ascii="Times New Roman" w:hAnsi="Times New Roman" w:cs="Times New Roman"/>
          <w:color w:val="auto"/>
          <w:highlight w:val="none"/>
        </w:rPr>
      </w:pPr>
      <w:r>
        <w:rPr>
          <w:rFonts w:ascii="Times New Roman" w:hAnsi="Times New Roman" w:cs="Times New Roman"/>
          <w:color w:val="auto"/>
          <w:highlight w:val="none"/>
        </w:rPr>
        <w:t>建设项目生产过程存在一定环境风险，为了防范事故和减少危害，本项目从选址、总图布置和建筑设计等方面提前布局了环境风险防范措施、并针对大气、地表水、地下水各环境要素采取对应风险防范措施，明确了项目的环境风险监控、应急监测和事故应急处理措施，在落实本项目各项风险防范措施、应急物资和应急预案后，可将污染事故和环境风险降低到最低。</w:t>
      </w:r>
    </w:p>
    <w:p w14:paraId="25AC9375">
      <w:pPr>
        <w:spacing w:line="360" w:lineRule="auto"/>
        <w:ind w:left="-105" w:right="-105" w:firstLine="482" w:firstLineChars="200"/>
        <w:jc w:val="both"/>
        <w:rPr>
          <w:rFonts w:ascii="Times New Roman" w:hAnsi="Times New Roman" w:cs="Times New Roman"/>
          <w:b/>
          <w:bCs/>
          <w:color w:val="auto"/>
          <w:highlight w:val="none"/>
        </w:rPr>
      </w:pPr>
      <w:r>
        <w:rPr>
          <w:rFonts w:ascii="Times New Roman" w:hAnsi="Times New Roman" w:cs="Times New Roman"/>
          <w:b/>
          <w:bCs/>
          <w:color w:val="auto"/>
          <w:highlight w:val="none"/>
        </w:rPr>
        <w:t>（6）土壤、地下水</w:t>
      </w:r>
    </w:p>
    <w:p w14:paraId="1D6092F3">
      <w:pPr>
        <w:spacing w:line="360" w:lineRule="auto"/>
        <w:ind w:left="-105" w:right="-105" w:firstLine="464" w:firstLineChars="200"/>
        <w:rPr>
          <w:rFonts w:ascii="Times New Roman" w:hAnsi="Times New Roman"/>
          <w:color w:val="auto"/>
          <w:szCs w:val="22"/>
          <w:highlight w:val="none"/>
        </w:rPr>
      </w:pPr>
      <w:r>
        <w:rPr>
          <w:rFonts w:ascii="Times New Roman" w:hAnsi="Times New Roman" w:cs="Times New Roman"/>
          <w:color w:val="auto"/>
          <w:spacing w:val="-4"/>
          <w:highlight w:val="none"/>
        </w:rPr>
        <w:t>因此，本项目厂区应划分为重点防渗区、一般防渗区和简单防渗区，</w:t>
      </w:r>
      <w:r>
        <w:rPr>
          <w:rFonts w:hint="eastAsia" w:ascii="Times New Roman" w:hAnsi="Times New Roman" w:cs="Times New Roman"/>
          <w:color w:val="auto"/>
          <w:spacing w:val="-4"/>
          <w:highlight w:val="none"/>
        </w:rPr>
        <w:t>生产区、</w:t>
      </w:r>
      <w:r>
        <w:rPr>
          <w:rFonts w:hint="eastAsia" w:ascii="Times New Roman" w:hAnsi="Times New Roman" w:cs="Times New Roman"/>
          <w:color w:val="auto"/>
          <w:spacing w:val="-4"/>
          <w:highlight w:val="none"/>
          <w:lang w:eastAsia="zh-CN"/>
        </w:rPr>
        <w:t>危险品仓库</w:t>
      </w:r>
      <w:r>
        <w:rPr>
          <w:rFonts w:hint="eastAsia" w:ascii="Times New Roman" w:hAnsi="Times New Roman" w:cs="Times New Roman"/>
          <w:color w:val="auto"/>
          <w:spacing w:val="-4"/>
          <w:highlight w:val="none"/>
        </w:rPr>
        <w:t>、成品仓库、埋地柴油罐、废液储罐区、危废仓库、事故池、初期雨水收集池</w:t>
      </w:r>
      <w:r>
        <w:rPr>
          <w:rFonts w:ascii="Times New Roman" w:hAnsi="Times New Roman" w:cs="Times New Roman"/>
          <w:color w:val="auto"/>
          <w:spacing w:val="-4"/>
          <w:highlight w:val="none"/>
        </w:rPr>
        <w:t>等属于重点防渗区；</w:t>
      </w:r>
      <w:r>
        <w:rPr>
          <w:rFonts w:hint="eastAsia" w:ascii="Times New Roman" w:hAnsi="Times New Roman" w:cs="Times New Roman"/>
          <w:color w:val="auto"/>
          <w:spacing w:val="-4"/>
          <w:highlight w:val="none"/>
        </w:rPr>
        <w:t>实验楼、一般固废仓库、辅房</w:t>
      </w:r>
      <w:r>
        <w:rPr>
          <w:rFonts w:ascii="Times New Roman" w:hAnsi="Times New Roman" w:cs="Times New Roman"/>
          <w:color w:val="auto"/>
          <w:spacing w:val="-4"/>
          <w:highlight w:val="none"/>
        </w:rPr>
        <w:t>属于一般防渗区；</w:t>
      </w:r>
      <w:r>
        <w:rPr>
          <w:rFonts w:hint="eastAsia" w:ascii="Times New Roman" w:hAnsi="Times New Roman" w:cs="Times New Roman"/>
          <w:color w:val="auto"/>
          <w:spacing w:val="-4"/>
          <w:highlight w:val="none"/>
        </w:rPr>
        <w:t>办公区、厂区道路、停车场、门卫</w:t>
      </w:r>
      <w:r>
        <w:rPr>
          <w:rFonts w:ascii="Times New Roman" w:hAnsi="Times New Roman" w:cs="Times New Roman"/>
          <w:color w:val="auto"/>
          <w:spacing w:val="-4"/>
          <w:highlight w:val="none"/>
        </w:rPr>
        <w:t>等属于简单防渗区。不同的污染物区，采取不同等级的防渗措施</w:t>
      </w:r>
      <w:r>
        <w:rPr>
          <w:rFonts w:ascii="Times New Roman" w:hAnsi="Times New Roman" w:cs="Times New Roman"/>
          <w:color w:val="auto"/>
          <w:highlight w:val="none"/>
        </w:rPr>
        <w:t>。在做好厂内污染区地面的防渗措施和泄漏、渗漏污染物收集措施的前提下，实施覆盖生产区的地下水污染监控系统，及时发现污染、及时控制。</w:t>
      </w:r>
    </w:p>
    <w:p w14:paraId="623EBE01">
      <w:pPr>
        <w:pStyle w:val="4"/>
        <w:numPr>
          <w:ilvl w:val="1"/>
          <w:numId w:val="0"/>
        </w:numPr>
        <w:tabs>
          <w:tab w:val="left" w:pos="426"/>
        </w:tabs>
        <w:spacing w:before="120" w:beforeLines="50" w:after="120" w:afterLines="50" w:line="360" w:lineRule="auto"/>
        <w:ind w:right="-105"/>
        <w:rPr>
          <w:rFonts w:ascii="Times New Roman" w:eastAsia="宋体"/>
          <w:color w:val="auto"/>
          <w:sz w:val="28"/>
          <w:szCs w:val="28"/>
          <w:highlight w:val="none"/>
        </w:rPr>
      </w:pPr>
      <w:bookmarkStart w:id="564" w:name="_Toc60653640"/>
      <w:bookmarkStart w:id="565" w:name="_Toc4290"/>
      <w:r>
        <w:rPr>
          <w:rFonts w:hint="eastAsia" w:ascii="Times New Roman" w:eastAsia="宋体"/>
          <w:color w:val="auto"/>
          <w:sz w:val="28"/>
          <w:szCs w:val="28"/>
          <w:highlight w:val="none"/>
        </w:rPr>
        <w:t>10.8</w:t>
      </w:r>
      <w:r>
        <w:rPr>
          <w:rFonts w:ascii="Times New Roman" w:eastAsia="宋体"/>
          <w:color w:val="auto"/>
          <w:sz w:val="28"/>
          <w:szCs w:val="28"/>
          <w:highlight w:val="none"/>
        </w:rPr>
        <w:t>环境影响经济损益分析</w:t>
      </w:r>
      <w:bookmarkEnd w:id="564"/>
      <w:bookmarkEnd w:id="565"/>
    </w:p>
    <w:p w14:paraId="2988C708">
      <w:pPr>
        <w:spacing w:line="360" w:lineRule="auto"/>
        <w:ind w:left="-105" w:right="-105" w:firstLine="480" w:firstLineChars="200"/>
        <w:rPr>
          <w:rFonts w:ascii="Times New Roman" w:hAnsi="Times New Roman"/>
          <w:color w:val="auto"/>
          <w:szCs w:val="22"/>
          <w:highlight w:val="none"/>
        </w:rPr>
      </w:pPr>
      <w:r>
        <w:rPr>
          <w:rFonts w:ascii="Times New Roman" w:hAnsi="Times New Roman" w:cs="Times New Roman"/>
          <w:color w:val="auto"/>
          <w:szCs w:val="22"/>
          <w:highlight w:val="none"/>
        </w:rPr>
        <w:t>经分析，项目产生的</w:t>
      </w:r>
      <w:r>
        <w:rPr>
          <w:rFonts w:hint="eastAsia" w:ascii="Times New Roman" w:hAnsi="Times New Roman" w:cs="Times New Roman"/>
          <w:color w:val="auto"/>
          <w:szCs w:val="22"/>
          <w:highlight w:val="none"/>
        </w:rPr>
        <w:t>“</w:t>
      </w:r>
      <w:r>
        <w:rPr>
          <w:rFonts w:ascii="Times New Roman" w:hAnsi="Times New Roman" w:cs="Times New Roman"/>
          <w:color w:val="auto"/>
          <w:szCs w:val="22"/>
          <w:highlight w:val="none"/>
        </w:rPr>
        <w:t>三废</w:t>
      </w:r>
      <w:r>
        <w:rPr>
          <w:rFonts w:hint="eastAsia" w:ascii="Times New Roman" w:hAnsi="Times New Roman" w:cs="Times New Roman"/>
          <w:color w:val="auto"/>
          <w:szCs w:val="22"/>
          <w:highlight w:val="none"/>
        </w:rPr>
        <w:t>”</w:t>
      </w:r>
      <w:r>
        <w:rPr>
          <w:rFonts w:ascii="Times New Roman" w:hAnsi="Times New Roman" w:cs="Times New Roman"/>
          <w:color w:val="auto"/>
          <w:szCs w:val="22"/>
          <w:highlight w:val="none"/>
        </w:rPr>
        <w:t>在采取合理的处理处置措施后，可明显降低其对周围环境的危害，并取得一定的经济效益。因此，本项目具有较好的环境经济效益。</w:t>
      </w:r>
    </w:p>
    <w:p w14:paraId="64EF2D45">
      <w:pPr>
        <w:pStyle w:val="4"/>
        <w:numPr>
          <w:ilvl w:val="1"/>
          <w:numId w:val="0"/>
        </w:numPr>
        <w:tabs>
          <w:tab w:val="left" w:pos="426"/>
        </w:tabs>
        <w:spacing w:before="120" w:beforeLines="50" w:after="120" w:afterLines="50" w:line="360" w:lineRule="auto"/>
        <w:ind w:right="-105"/>
        <w:rPr>
          <w:rFonts w:ascii="Times New Roman" w:eastAsia="宋体"/>
          <w:color w:val="auto"/>
          <w:sz w:val="28"/>
          <w:szCs w:val="28"/>
          <w:highlight w:val="none"/>
        </w:rPr>
      </w:pPr>
      <w:bookmarkStart w:id="566" w:name="_Toc23034"/>
      <w:bookmarkStart w:id="567" w:name="_Toc60653641"/>
      <w:r>
        <w:rPr>
          <w:rFonts w:hint="eastAsia" w:ascii="Times New Roman" w:eastAsia="宋体"/>
          <w:color w:val="auto"/>
          <w:sz w:val="28"/>
          <w:szCs w:val="28"/>
          <w:highlight w:val="none"/>
        </w:rPr>
        <w:t>10.9</w:t>
      </w:r>
      <w:r>
        <w:rPr>
          <w:rFonts w:ascii="Times New Roman" w:eastAsia="宋体"/>
          <w:color w:val="auto"/>
          <w:sz w:val="28"/>
          <w:szCs w:val="28"/>
          <w:highlight w:val="none"/>
        </w:rPr>
        <w:t>环境管理与监测计划</w:t>
      </w:r>
      <w:bookmarkEnd w:id="566"/>
      <w:bookmarkEnd w:id="567"/>
    </w:p>
    <w:p w14:paraId="383FAA59">
      <w:pPr>
        <w:spacing w:line="360" w:lineRule="auto"/>
        <w:ind w:left="-105" w:right="-105" w:firstLine="480" w:firstLineChars="200"/>
        <w:rPr>
          <w:rFonts w:ascii="Times New Roman" w:hAnsi="Times New Roman"/>
          <w:color w:val="auto"/>
          <w:szCs w:val="22"/>
          <w:highlight w:val="none"/>
        </w:rPr>
      </w:pPr>
      <w:r>
        <w:rPr>
          <w:rFonts w:hint="eastAsia" w:ascii="Times New Roman" w:hAnsi="Times New Roman"/>
          <w:color w:val="auto"/>
          <w:szCs w:val="22"/>
          <w:highlight w:val="none"/>
        </w:rPr>
        <w:t>建设项目建成后，建设单位在加强环境管理的同时，定期进行环境监测，以便及时了解建设项目对环境造成影响的情况，并采取相应措施，消除不利因素，减轻环境污染，使各项环保措施落到实处，以期达到预定的目标。</w:t>
      </w:r>
    </w:p>
    <w:p w14:paraId="5401D8F9">
      <w:pPr>
        <w:pStyle w:val="4"/>
        <w:numPr>
          <w:ilvl w:val="1"/>
          <w:numId w:val="0"/>
        </w:numPr>
        <w:tabs>
          <w:tab w:val="left" w:pos="426"/>
        </w:tabs>
        <w:spacing w:before="120" w:beforeLines="50" w:after="120" w:afterLines="50" w:line="360" w:lineRule="auto"/>
        <w:ind w:right="-105"/>
        <w:rPr>
          <w:rFonts w:ascii="Times New Roman" w:eastAsia="宋体"/>
          <w:color w:val="auto"/>
          <w:sz w:val="28"/>
          <w:szCs w:val="28"/>
          <w:highlight w:val="none"/>
        </w:rPr>
      </w:pPr>
      <w:bookmarkStart w:id="568" w:name="_Toc31642"/>
      <w:bookmarkStart w:id="569" w:name="_Toc60653642"/>
      <w:r>
        <w:rPr>
          <w:rFonts w:hint="eastAsia" w:ascii="Times New Roman" w:eastAsia="宋体"/>
          <w:color w:val="auto"/>
          <w:sz w:val="28"/>
          <w:szCs w:val="28"/>
          <w:highlight w:val="none"/>
        </w:rPr>
        <w:t>10.10</w:t>
      </w:r>
      <w:r>
        <w:rPr>
          <w:rFonts w:ascii="Times New Roman" w:eastAsia="宋体"/>
          <w:color w:val="auto"/>
          <w:sz w:val="28"/>
          <w:szCs w:val="28"/>
          <w:highlight w:val="none"/>
        </w:rPr>
        <w:t>总结论</w:t>
      </w:r>
      <w:bookmarkEnd w:id="568"/>
      <w:bookmarkEnd w:id="569"/>
    </w:p>
    <w:p w14:paraId="29AEF2F0">
      <w:pPr>
        <w:spacing w:line="360" w:lineRule="auto"/>
        <w:ind w:left="-105" w:right="-105" w:firstLine="480" w:firstLineChars="200"/>
        <w:rPr>
          <w:rFonts w:ascii="Times New Roman" w:hAnsi="Times New Roman"/>
          <w:color w:val="auto"/>
          <w:szCs w:val="22"/>
          <w:highlight w:val="none"/>
        </w:rPr>
      </w:pPr>
      <w:r>
        <w:rPr>
          <w:rFonts w:hint="eastAsia" w:ascii="Times New Roman" w:hAnsi="Times New Roman"/>
          <w:color w:val="auto"/>
          <w:szCs w:val="22"/>
          <w:highlight w:val="none"/>
        </w:rPr>
        <w:t>综上所述，本项目建设符合国家产业政策；与区域规划和环保政策相符；使用的原辅材料、生产设备、生产工艺及产出产品均不属于淘汰类；拟采取的各项环保措施具备技术经济可行性，可确保各项污染物稳定达标排放，对环境影响较小，不会降低所在区域环境质量；项目选址合理，项目建设性质、规模、生产工艺可行；项目实施后，总量排放指标在区域内平衡，具有较好的社会、经济和环境效益；公众参与调查没有反对意见。建设单位必须严格遵守“三同时”的管理规定，完成各项报建手续，确实保证本报告提出的各项环保措施的落实，并尽一切可能确保本项目所在区域的环境质量不因本项目的建设而受到不良影响，真正实现环境保护与经济建设的可持续协调发展。项目建成后，须经过环境保护主管部门验收合格后方可投入使用，在投入使用后，应加强对设备的维修保养，确保环保设施的正常运转。在达到本报告所提出的各项要求后，该项目对周围环境将不会产生明显的影响，从环保角度而言，该项目的建设是可行的。</w:t>
      </w:r>
    </w:p>
    <w:p w14:paraId="42143574">
      <w:pPr>
        <w:pStyle w:val="4"/>
        <w:numPr>
          <w:ilvl w:val="1"/>
          <w:numId w:val="0"/>
        </w:numPr>
        <w:tabs>
          <w:tab w:val="left" w:pos="426"/>
        </w:tabs>
        <w:spacing w:before="120" w:beforeLines="50" w:after="120" w:afterLines="50" w:line="360" w:lineRule="auto"/>
        <w:ind w:right="-105"/>
        <w:rPr>
          <w:rFonts w:ascii="Times New Roman" w:eastAsia="宋体"/>
          <w:color w:val="auto"/>
          <w:sz w:val="28"/>
          <w:szCs w:val="28"/>
          <w:highlight w:val="none"/>
        </w:rPr>
      </w:pPr>
      <w:bookmarkStart w:id="570" w:name="_Toc19472"/>
      <w:bookmarkStart w:id="571" w:name="_Toc60653643"/>
      <w:r>
        <w:rPr>
          <w:rFonts w:hint="eastAsia" w:ascii="Times New Roman" w:eastAsia="宋体"/>
          <w:color w:val="auto"/>
          <w:sz w:val="28"/>
          <w:szCs w:val="28"/>
          <w:highlight w:val="none"/>
        </w:rPr>
        <w:t>10.11</w:t>
      </w:r>
      <w:r>
        <w:rPr>
          <w:rFonts w:ascii="Times New Roman" w:eastAsia="宋体"/>
          <w:color w:val="auto"/>
          <w:sz w:val="28"/>
          <w:szCs w:val="28"/>
          <w:highlight w:val="none"/>
        </w:rPr>
        <w:t>建议</w:t>
      </w:r>
      <w:bookmarkEnd w:id="570"/>
      <w:bookmarkEnd w:id="571"/>
    </w:p>
    <w:p w14:paraId="6058F617">
      <w:pPr>
        <w:spacing w:line="360" w:lineRule="auto"/>
        <w:ind w:left="-105" w:right="-105" w:firstLine="480" w:firstLineChars="200"/>
        <w:rPr>
          <w:rFonts w:ascii="Times New Roman" w:hAnsi="Times New Roman"/>
          <w:color w:val="auto"/>
          <w:szCs w:val="22"/>
          <w:highlight w:val="none"/>
        </w:rPr>
      </w:pPr>
      <w:r>
        <w:rPr>
          <w:rFonts w:hint="eastAsia" w:ascii="Times New Roman" w:hAnsi="Times New Roman"/>
          <w:color w:val="auto"/>
          <w:szCs w:val="22"/>
          <w:highlight w:val="none"/>
        </w:rPr>
        <w:t>1.认真执行本环评提出的各项污染防治措施，确保达标排放。并加强各项污染控制设施的运行管理，实行定期维护、检修和考核制度，确保其正常稳定运转。</w:t>
      </w:r>
    </w:p>
    <w:p w14:paraId="5F574D49">
      <w:pPr>
        <w:spacing w:line="360" w:lineRule="auto"/>
        <w:ind w:left="-105" w:right="-105" w:firstLine="480" w:firstLineChars="200"/>
        <w:rPr>
          <w:rFonts w:ascii="Times New Roman" w:hAnsi="Times New Roman"/>
          <w:color w:val="auto"/>
          <w:szCs w:val="22"/>
          <w:highlight w:val="none"/>
        </w:rPr>
      </w:pPr>
      <w:r>
        <w:rPr>
          <w:rFonts w:hint="eastAsia" w:ascii="Times New Roman" w:hAnsi="Times New Roman"/>
          <w:color w:val="auto"/>
          <w:szCs w:val="22"/>
          <w:highlight w:val="none"/>
        </w:rPr>
        <w:t>2.保证“清污分流及污污分流”，加强对生产设备的管理和维护，及时维修或更换泄漏设备，严格控制“跑、冒、滴、漏”现象发生，减少污染物的排放量。</w:t>
      </w:r>
    </w:p>
    <w:p w14:paraId="5E5CE7AA">
      <w:pPr>
        <w:spacing w:line="360" w:lineRule="auto"/>
        <w:ind w:left="-105" w:right="-105" w:firstLine="480" w:firstLineChars="200"/>
        <w:rPr>
          <w:rFonts w:ascii="Times New Roman" w:hAnsi="Times New Roman"/>
          <w:color w:val="auto"/>
          <w:szCs w:val="22"/>
          <w:highlight w:val="none"/>
        </w:rPr>
      </w:pPr>
      <w:r>
        <w:rPr>
          <w:rFonts w:hint="eastAsia" w:ascii="Times New Roman" w:hAnsi="Times New Roman"/>
          <w:color w:val="auto"/>
          <w:szCs w:val="22"/>
          <w:highlight w:val="none"/>
        </w:rPr>
        <w:t>3.进一步加强全厂清洁生产工作，从原材料的选取、生产工艺及设备的选用、产品和生产过程控制等方面按照清洁生产的要求进行设计，进一步改进生产工艺，尽可能选用低毒原材料。提高清洁生产意识，采用节能、减排措施及工艺设备，提高水的复用率，达到节能、降耗的清洁生产目的，确保本工程的可持续发展。</w:t>
      </w:r>
    </w:p>
    <w:p w14:paraId="4ADBFF67">
      <w:pPr>
        <w:spacing w:line="360" w:lineRule="auto"/>
        <w:ind w:left="-105" w:right="-105" w:firstLine="480" w:firstLineChars="200"/>
        <w:rPr>
          <w:rFonts w:ascii="Times New Roman" w:hAnsi="Times New Roman"/>
          <w:color w:val="auto"/>
          <w:szCs w:val="22"/>
          <w:highlight w:val="none"/>
        </w:rPr>
      </w:pPr>
      <w:r>
        <w:rPr>
          <w:rFonts w:hint="eastAsia" w:ascii="Times New Roman" w:hAnsi="Times New Roman"/>
          <w:color w:val="auto"/>
          <w:szCs w:val="22"/>
          <w:highlight w:val="none"/>
        </w:rPr>
        <w:t xml:space="preserve">4.加强环保管理和职工的宣传教育，提高职工的环保意识。 </w:t>
      </w:r>
    </w:p>
    <w:p w14:paraId="0F41D57A">
      <w:pPr>
        <w:spacing w:line="360" w:lineRule="auto"/>
        <w:ind w:left="-105" w:right="-105" w:firstLine="480" w:firstLineChars="200"/>
        <w:rPr>
          <w:rFonts w:ascii="Times New Roman" w:hAnsi="Times New Roman"/>
          <w:color w:val="auto"/>
          <w:szCs w:val="22"/>
          <w:highlight w:val="none"/>
        </w:rPr>
      </w:pPr>
      <w:r>
        <w:rPr>
          <w:rFonts w:hint="eastAsia" w:ascii="Times New Roman" w:hAnsi="Times New Roman"/>
          <w:color w:val="auto"/>
          <w:szCs w:val="22"/>
          <w:highlight w:val="none"/>
        </w:rPr>
        <w:t>5.今后若企业的生产工艺发生变化或生产规模扩大、生产技术更新改造，都必须重新进行环境影响评价，并征得环保部门审批同意后方可实施。</w:t>
      </w:r>
    </w:p>
    <w:p w14:paraId="48CFA3E9">
      <w:pPr>
        <w:spacing w:line="360" w:lineRule="auto"/>
        <w:ind w:left="-105" w:right="-105" w:firstLine="480" w:firstLineChars="200"/>
        <w:rPr>
          <w:rFonts w:ascii="Times New Roman" w:hAnsi="Times New Roman"/>
          <w:color w:val="auto"/>
          <w:szCs w:val="22"/>
          <w:highlight w:val="none"/>
        </w:rPr>
      </w:pPr>
    </w:p>
    <w:p w14:paraId="4BD3A158">
      <w:pPr>
        <w:spacing w:line="360" w:lineRule="auto"/>
        <w:ind w:left="-105" w:right="-105" w:firstLine="480" w:firstLineChars="200"/>
        <w:rPr>
          <w:rFonts w:ascii="Times New Roman" w:hAnsi="Times New Roman"/>
          <w:color w:val="auto"/>
          <w:szCs w:val="22"/>
          <w:highlight w:val="none"/>
        </w:rPr>
      </w:pPr>
    </w:p>
    <w:sectPr>
      <w:pgSz w:w="11906" w:h="16838"/>
      <w:pgMar w:top="1440" w:right="1701" w:bottom="1440" w:left="1701" w:header="851" w:footer="851" w:gutter="0"/>
      <w:pgBorders>
        <w:top w:val="none" w:sz="0" w:space="0"/>
        <w:left w:val="none" w:sz="0" w:space="0"/>
        <w:bottom w:val="none" w:sz="0" w:space="0"/>
        <w:right w:val="none" w:sz="0" w:space="0"/>
      </w:pgBorders>
      <w:cols w:space="720" w:num="1"/>
      <w:docGrid w:linePitch="498" w:charSpace="-233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8"/>
    <w:family w:val="roman"/>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等线">
    <w:panose1 w:val="02010600030101010101"/>
    <w:charset w:val="86"/>
    <w:family w:val="auto"/>
    <w:pitch w:val="default"/>
    <w:sig w:usb0="A00002BF" w:usb1="38CF7CFA" w:usb2="00000016" w:usb3="00000000" w:csb0="0004000F" w:csb1="00000000"/>
  </w:font>
  <w:font w:name="serif">
    <w:altName w:val="微软雅黑"/>
    <w:panose1 w:val="00000000000000000000"/>
    <w:charset w:val="00"/>
    <w:family w:val="auto"/>
    <w:pitch w:val="default"/>
    <w:sig w:usb0="00000000" w:usb1="00000000" w:usb2="00000000" w:usb3="00000000" w:csb0="00040001" w:csb1="00000000"/>
  </w:font>
  <w:font w:name="Arial Black">
    <w:panose1 w:val="020B0A04020102020204"/>
    <w:charset w:val="00"/>
    <w:family w:val="swiss"/>
    <w:pitch w:val="default"/>
    <w:sig w:usb0="A00002AF" w:usb1="400078FB" w:usb2="00000000" w:usb3="00000000" w:csb0="6000009F" w:csb1="DFD70000"/>
  </w:font>
  <w:font w:name="TimesNewRomanPSMT">
    <w:altName w:val="Times New Roman"/>
    <w:panose1 w:val="00000000000000000000"/>
    <w:charset w:val="00"/>
    <w:family w:val="roman"/>
    <w:pitch w:val="default"/>
    <w:sig w:usb0="00000000" w:usb1="00000000" w:usb2="00000000" w:usb3="00000000" w:csb0="00000001" w:csb1="00000000"/>
  </w:font>
  <w:font w:name="MS PGothic">
    <w:panose1 w:val="020B0600070205080204"/>
    <w:charset w:val="80"/>
    <w:family w:val="swiss"/>
    <w:pitch w:val="default"/>
    <w:sig w:usb0="E00002FF" w:usb1="6AC7FDFB" w:usb2="08000012" w:usb3="00000000" w:csb0="4002009F" w:csb1="DFD70000"/>
  </w:font>
  <w:font w:name="方正楷体_GBK">
    <w:altName w:val="微软雅黑"/>
    <w:panose1 w:val="00000000000000000000"/>
    <w:charset w:val="86"/>
    <w:family w:val="auto"/>
    <w:pitch w:val="default"/>
    <w:sig w:usb0="00000000" w:usb1="00000000" w:usb2="00000000" w:usb3="00000000" w:csb0="00040000" w:csb1="00000000"/>
  </w:font>
  <w:font w:name="Arial Unicode MS">
    <w:altName w:val="宋体"/>
    <w:panose1 w:val="020B0604020202020204"/>
    <w:charset w:val="86"/>
    <w:family w:val="swiss"/>
    <w:pitch w:val="default"/>
    <w:sig w:usb0="00000000" w:usb1="00000000" w:usb2="0000003F" w:usb3="00000000" w:csb0="003F01FF" w:csb1="00000000"/>
  </w:font>
  <w:font w:name="仿宋体">
    <w:altName w:val="宋体"/>
    <w:panose1 w:val="00000000000000000000"/>
    <w:charset w:val="86"/>
    <w:family w:val="roman"/>
    <w:pitch w:val="default"/>
    <w:sig w:usb0="00000000" w:usb1="00000000" w:usb2="00000010" w:usb3="00000000" w:csb0="00040000" w:csb1="00000000"/>
  </w:font>
  <w:font w:name="等线 Light">
    <w:panose1 w:val="02010600030101010101"/>
    <w:charset w:val="86"/>
    <w:family w:val="auto"/>
    <w:pitch w:val="default"/>
    <w:sig w:usb0="A00002BF" w:usb1="38CF7CFA" w:usb2="00000016" w:usb3="00000000" w:csb0="0004000F" w:csb1="00000000"/>
  </w:font>
  <w:font w:name="Calibri Light">
    <w:panose1 w:val="020F0302020204030204"/>
    <w:charset w:val="00"/>
    <w:family w:val="swiss"/>
    <w:pitch w:val="default"/>
    <w:sig w:usb0="E4002EFF" w:usb1="C200247B" w:usb2="00000009" w:usb3="00000000" w:csb0="200001FF" w:csb1="00000000"/>
  </w:font>
  <w:font w:name="Wingdings 2">
    <w:panose1 w:val="05020102010507070707"/>
    <w:charset w:val="02"/>
    <w:family w:val="roman"/>
    <w:pitch w:val="default"/>
    <w:sig w:usb0="00000000" w:usb1="00000000" w:usb2="00000000" w:usb3="00000000" w:csb0="80000000" w:csb1="00000000"/>
  </w:font>
  <w:font w:name="MS Gothic">
    <w:panose1 w:val="020B0609070205080204"/>
    <w:charset w:val="80"/>
    <w:family w:val="modern"/>
    <w:pitch w:val="default"/>
    <w:sig w:usb0="E00002FF" w:usb1="6AC7FDFB" w:usb2="08000012" w:usb3="00000000" w:csb0="4002009F" w:csb1="DFD70000"/>
  </w:font>
  <w:font w:name="Segoe UI Symbol">
    <w:panose1 w:val="020B0502040204020203"/>
    <w:charset w:val="00"/>
    <w:family w:val="swiss"/>
    <w:pitch w:val="default"/>
    <w:sig w:usb0="800001E3" w:usb1="1200FFEF" w:usb2="00040000" w:usb3="04000000" w:csb0="00000001" w:csb1="40000000"/>
  </w:font>
  <w:font w:name="微软雅黑">
    <w:panose1 w:val="020B0503020204020204"/>
    <w:charset w:val="86"/>
    <w:family w:val="swiss"/>
    <w:pitch w:val="default"/>
    <w:sig w:usb0="80000287" w:usb1="2ACF3C50" w:usb2="00000016" w:usb3="00000000" w:csb0="0004001F" w:csb1="00000000"/>
  </w:font>
  <w:font w:name="Cambria Math">
    <w:panose1 w:val="02040503050406030204"/>
    <w:charset w:val="00"/>
    <w:family w:val="roman"/>
    <w:pitch w:val="default"/>
    <w:sig w:usb0="E00006FF" w:usb1="420024FF" w:usb2="02000000" w:usb3="00000000" w:csb0="2000019F" w:csb1="00000000"/>
  </w:font>
  <w:font w:name="PMingLiU">
    <w:altName w:val="Microsoft JhengHei"/>
    <w:panose1 w:val="02010601000101010101"/>
    <w:charset w:val="88"/>
    <w:family w:val="roman"/>
    <w:pitch w:val="default"/>
    <w:sig w:usb0="00000000" w:usb1="00000000" w:usb2="00000016" w:usb3="00000000" w:csb0="00100001"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41A3F9E">
    <w:pPr>
      <w:adjustRightInd w:val="0"/>
      <w:ind w:firstLine="373"/>
      <w:jc w:val="center"/>
      <w:rPr>
        <w:color w:val="000000"/>
        <w:sz w:val="18"/>
        <w:szCs w:val="16"/>
      </w:rPr>
    </w:pPr>
    <w:r>
      <w:rPr>
        <w:rFonts w:hint="eastAsia"/>
        <w:sz w:val="18"/>
        <w:szCs w:val="16"/>
      </w:rPr>
      <w:t>第</w:t>
    </w:r>
    <w:r>
      <w:rPr>
        <w:b/>
        <w:sz w:val="18"/>
        <w:szCs w:val="16"/>
      </w:rPr>
      <w:fldChar w:fldCharType="begin"/>
    </w:r>
    <w:r>
      <w:rPr>
        <w:b/>
        <w:sz w:val="18"/>
        <w:szCs w:val="16"/>
      </w:rPr>
      <w:instrText xml:space="preserve">PAGE</w:instrText>
    </w:r>
    <w:r>
      <w:rPr>
        <w:b/>
        <w:sz w:val="18"/>
        <w:szCs w:val="16"/>
      </w:rPr>
      <w:fldChar w:fldCharType="separate"/>
    </w:r>
    <w:r>
      <w:rPr>
        <w:b/>
        <w:sz w:val="18"/>
        <w:szCs w:val="16"/>
      </w:rPr>
      <w:t>289</w:t>
    </w:r>
    <w:r>
      <w:rPr>
        <w:b/>
        <w:sz w:val="18"/>
        <w:szCs w:val="16"/>
      </w:rPr>
      <w:fldChar w:fldCharType="end"/>
    </w:r>
    <w:r>
      <w:rPr>
        <w:rFonts w:hint="eastAsia"/>
        <w:sz w:val="18"/>
        <w:szCs w:val="16"/>
        <w:lang w:val="zh-CN"/>
      </w:rPr>
      <w:t>页</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6D4F790">
    <w:pPr>
      <w:adjustRightInd w:val="0"/>
      <w:ind w:firstLine="373"/>
      <w:jc w:val="center"/>
      <w:rPr>
        <w:sz w:val="18"/>
        <w:szCs w:val="18"/>
      </w:rPr>
    </w:pPr>
    <w:r>
      <w:rPr>
        <w:rFonts w:hint="eastAsia"/>
        <w:sz w:val="18"/>
        <w:szCs w:val="18"/>
      </w:rPr>
      <w:t>第</w:t>
    </w:r>
    <w:r>
      <w:rPr>
        <w:b/>
        <w:sz w:val="18"/>
        <w:szCs w:val="18"/>
      </w:rPr>
      <w:fldChar w:fldCharType="begin"/>
    </w:r>
    <w:r>
      <w:rPr>
        <w:b/>
        <w:sz w:val="18"/>
        <w:szCs w:val="18"/>
      </w:rPr>
      <w:instrText xml:space="preserve">PAGE</w:instrText>
    </w:r>
    <w:r>
      <w:rPr>
        <w:b/>
        <w:sz w:val="18"/>
        <w:szCs w:val="18"/>
      </w:rPr>
      <w:fldChar w:fldCharType="separate"/>
    </w:r>
    <w:r>
      <w:rPr>
        <w:b/>
        <w:sz w:val="18"/>
        <w:szCs w:val="18"/>
      </w:rPr>
      <w:t>288</w:t>
    </w:r>
    <w:r>
      <w:rPr>
        <w:b/>
        <w:sz w:val="18"/>
        <w:szCs w:val="18"/>
      </w:rPr>
      <w:fldChar w:fldCharType="end"/>
    </w:r>
    <w:r>
      <w:rPr>
        <w:rFonts w:hint="eastAsia"/>
        <w:sz w:val="18"/>
        <w:szCs w:val="18"/>
        <w:lang w:val="zh-CN"/>
      </w:rPr>
      <w:t>页</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EBA250">
    <w:pPr>
      <w:ind w:firstLine="482"/>
      <w:jc w:val="center"/>
    </w:pPr>
    <w:r>
      <w:rPr>
        <w:rFonts w:hint="eastAsia"/>
      </w:rPr>
      <w:t>第</w:t>
    </w:r>
    <w:r>
      <w:rPr>
        <w:b/>
      </w:rPr>
      <w:fldChar w:fldCharType="begin"/>
    </w:r>
    <w:r>
      <w:rPr>
        <w:b/>
      </w:rPr>
      <w:instrText xml:space="preserve">PAGE</w:instrText>
    </w:r>
    <w:r>
      <w:rPr>
        <w:b/>
      </w:rPr>
      <w:fldChar w:fldCharType="separate"/>
    </w:r>
    <w:r>
      <w:rPr>
        <w:b/>
      </w:rPr>
      <w:t>218</w:t>
    </w:r>
    <w:r>
      <w:rPr>
        <w:b/>
      </w:rPr>
      <w:fldChar w:fldCharType="end"/>
    </w:r>
    <w:r>
      <w:rPr>
        <w:rFonts w:hint="eastAsia"/>
        <w:lang w:val="zh-CN"/>
      </w:rPr>
      <w:t>页</w:t>
    </w:r>
    <w:r>
      <w:rPr>
        <w:lang w:val="zh-CN"/>
      </w:rPr>
      <w:t xml:space="preserve">/ </w:t>
    </w:r>
    <w:r>
      <w:rPr>
        <w:rFonts w:hint="eastAsia"/>
        <w:lang w:val="zh-CN"/>
      </w:rPr>
      <w:t>共</w:t>
    </w:r>
    <w:r>
      <w:rPr>
        <w:rFonts w:hint="eastAsia"/>
        <w:b/>
        <w:color w:val="FF0000"/>
        <w:lang w:val="zh-CN"/>
      </w:rPr>
      <w:t>496</w:t>
    </w:r>
    <w:r>
      <w:rPr>
        <w:rFonts w:hint="eastAsia"/>
      </w:rPr>
      <w:t>页</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EC6D139">
    <w:pPr>
      <w:pStyle w:val="31"/>
    </w:pPr>
    <w:r>
      <w:rPr>
        <w:rFonts w:hint="eastAsia" w:ascii="仿宋" w:hAnsi="仿宋" w:eastAsia="仿宋"/>
        <w:kern w:val="0"/>
      </w:rPr>
      <w:t>化药化工（无锡）有限公司</w:t>
    </w:r>
    <w:r>
      <w:rPr>
        <w:rFonts w:ascii="仿宋" w:hAnsi="仿宋" w:eastAsia="仿宋"/>
        <w:kern w:val="0"/>
      </w:rPr>
      <w:t>环境影响报告书………………………………………………</w:t>
    </w:r>
    <w:r>
      <w:rPr>
        <w:rFonts w:hint="eastAsia" w:ascii="仿宋" w:hAnsi="仿宋" w:eastAsia="仿宋"/>
        <w:kern w:val="0"/>
      </w:rPr>
      <w:t>附图、</w:t>
    </w:r>
    <w:r>
      <w:rPr>
        <w:rFonts w:hint="eastAsia"/>
        <w:color w:val="000000"/>
        <w:kern w:val="0"/>
      </w:rPr>
      <w:t>附件清单</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CA18744">
    <w:pPr>
      <w:adjustRightInd w:val="0"/>
      <w:rPr>
        <w:color w:val="FF0000"/>
        <w:sz w:val="18"/>
        <w:szCs w:val="18"/>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6B231B9">
    <w:pPr>
      <w:adjustRightInd w:val="0"/>
      <w:rPr>
        <w:sz w:val="18"/>
        <w:szCs w:val="18"/>
      </w:rPr>
    </w:pPr>
    <w:r>
      <w:rPr>
        <w:rFonts w:hint="eastAsia" w:ascii="仿宋" w:hAnsi="仿宋" w:eastAsia="仿宋"/>
        <w:sz w:val="18"/>
        <w:szCs w:val="18"/>
      </w:rPr>
      <w:t>化药化工（无锡）有限公司</w:t>
    </w:r>
    <w:r>
      <w:rPr>
        <w:rFonts w:ascii="仿宋" w:hAnsi="仿宋" w:eastAsia="仿宋"/>
        <w:sz w:val="18"/>
        <w:szCs w:val="18"/>
      </w:rPr>
      <w:t>环境影响报告书</w:t>
    </w:r>
    <w:r>
      <w:rPr>
        <w:color w:val="000000"/>
        <w:sz w:val="18"/>
        <w:szCs w:val="18"/>
      </w:rPr>
      <w:t>…………</w:t>
    </w:r>
    <w:r>
      <w:rPr>
        <w:sz w:val="18"/>
        <w:szCs w:val="18"/>
      </w:rPr>
      <w:t>………………………………………………</w:t>
    </w:r>
    <w:r>
      <w:rPr>
        <w:rFonts w:hint="eastAsia"/>
        <w:sz w:val="18"/>
        <w:szCs w:val="18"/>
      </w:rPr>
      <w:t>1概述</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39FBB84">
    <w:pPr>
      <w:adjustRightInd w:val="0"/>
      <w:rPr>
        <w:sz w:val="18"/>
        <w:szCs w:val="18"/>
      </w:rPr>
    </w:pPr>
    <w:r>
      <w:rPr>
        <w:rFonts w:hint="eastAsia" w:ascii="仿宋" w:hAnsi="仿宋" w:eastAsia="仿宋"/>
        <w:sz w:val="18"/>
        <w:szCs w:val="18"/>
      </w:rPr>
      <w:t>化药化工（无锡）有限公司</w:t>
    </w:r>
    <w:r>
      <w:rPr>
        <w:rFonts w:ascii="仿宋" w:hAnsi="仿宋" w:eastAsia="仿宋"/>
        <w:sz w:val="18"/>
        <w:szCs w:val="18"/>
      </w:rPr>
      <w:t>环境影响报告书</w:t>
    </w:r>
    <w:r>
      <w:rPr>
        <w:color w:val="000000"/>
        <w:sz w:val="18"/>
        <w:szCs w:val="18"/>
      </w:rPr>
      <w:t>…………</w:t>
    </w:r>
    <w:r>
      <w:rPr>
        <w:sz w:val="18"/>
        <w:szCs w:val="18"/>
      </w:rPr>
      <w:t>………………………………………………</w:t>
    </w:r>
    <w:r>
      <w:rPr>
        <w:rFonts w:hint="eastAsia"/>
        <w:sz w:val="18"/>
        <w:szCs w:val="18"/>
      </w:rPr>
      <w:t>1概述</w:t>
    </w:r>
  </w:p>
  <w:p w14:paraId="58D31789">
    <w:pPr>
      <w:pStyle w:val="31"/>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835B16">
    <w:pPr>
      <w:adjustRightInd w:val="0"/>
      <w:rPr>
        <w:color w:val="000000"/>
      </w:rPr>
    </w:pPr>
    <w:r>
      <w:rPr>
        <w:rFonts w:hint="eastAsia"/>
        <w:color w:val="000000"/>
      </w:rPr>
      <w:t>南通超达机械科技有限公司汽车内外饰模具、检具、工装自动化及可发性聚苯乙烯发泡模具、发泡聚丙烯模具加工项目环境影响报告书</w:t>
    </w:r>
    <w:r>
      <w:rPr>
        <w:color w:val="000000"/>
      </w:rPr>
      <w:t>……………………………………………………13</w:t>
    </w:r>
    <w:r>
      <w:rPr>
        <w:rFonts w:hint="eastAsia"/>
        <w:color w:val="000000"/>
      </w:rPr>
      <w:t>环境</w:t>
    </w:r>
    <w:r>
      <w:rPr>
        <w:color w:val="000000"/>
      </w:rPr>
      <w:t>管理与环境监测</w:t>
    </w:r>
  </w:p>
  <w:p w14:paraId="1484CC34"/>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674C87">
    <w:pPr>
      <w:adjustRightInd w:val="0"/>
      <w:rPr>
        <w:color w:val="FF0000"/>
        <w:sz w:val="18"/>
        <w:szCs w:val="18"/>
      </w:rPr>
    </w:pPr>
    <w:r>
      <w:rPr>
        <w:rFonts w:hint="eastAsia" w:ascii="仿宋" w:hAnsi="仿宋" w:eastAsia="仿宋"/>
        <w:sz w:val="18"/>
        <w:szCs w:val="18"/>
      </w:rPr>
      <w:t>化药化工（无锡）有限公司环境影响报告书</w:t>
    </w:r>
    <w:r>
      <w:rPr>
        <w:color w:val="000000"/>
        <w:sz w:val="18"/>
        <w:szCs w:val="18"/>
      </w:rPr>
      <w:t>………</w:t>
    </w:r>
    <w:r>
      <w:rPr>
        <w:sz w:val="18"/>
        <w:szCs w:val="18"/>
      </w:rPr>
      <w:t>………………………………………………</w:t>
    </w:r>
    <w:r>
      <w:rPr>
        <w:rFonts w:hint="eastAsia"/>
        <w:sz w:val="18"/>
        <w:szCs w:val="18"/>
      </w:rPr>
      <w:t>2总则</w:t>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1DDD984">
    <w:pPr>
      <w:adjustRightInd w:val="0"/>
      <w:rPr>
        <w:color w:val="FF0000"/>
        <w:sz w:val="18"/>
        <w:szCs w:val="18"/>
      </w:rPr>
    </w:pPr>
    <w:r>
      <w:rPr>
        <w:rFonts w:hint="eastAsia" w:ascii="仿宋" w:hAnsi="仿宋" w:eastAsia="仿宋"/>
        <w:sz w:val="18"/>
        <w:szCs w:val="18"/>
      </w:rPr>
      <w:t>化药化工（无锡）有限公司环境影响报告书</w:t>
    </w:r>
    <w:r>
      <w:rPr>
        <w:color w:val="000000"/>
        <w:sz w:val="18"/>
        <w:szCs w:val="18"/>
      </w:rPr>
      <w:t>………</w:t>
    </w:r>
    <w:r>
      <w:rPr>
        <w:sz w:val="18"/>
        <w:szCs w:val="18"/>
      </w:rPr>
      <w:t>………………………………………………</w:t>
    </w:r>
    <w:r>
      <w:rPr>
        <w:rFonts w:hint="eastAsia"/>
        <w:sz w:val="18"/>
        <w:szCs w:val="18"/>
      </w:rPr>
      <w:t>2总则</w:t>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BDE5C31">
    <w:pPr>
      <w:adjustRightInd w:val="0"/>
      <w:rPr>
        <w:rFonts w:ascii="仿宋" w:hAnsi="仿宋" w:eastAsia="仿宋"/>
        <w:color w:val="FF0000"/>
        <w:sz w:val="18"/>
        <w:szCs w:val="18"/>
      </w:rPr>
    </w:pPr>
    <w:r>
      <w:rPr>
        <w:rFonts w:hint="eastAsia" w:ascii="仿宋" w:hAnsi="仿宋" w:eastAsia="仿宋"/>
        <w:sz w:val="18"/>
        <w:szCs w:val="18"/>
      </w:rPr>
      <w:t>无锡晋拓汽车部件有限公司智能汽车零部件生产项目环境影响报告书</w:t>
    </w:r>
    <w:r>
      <w:rPr>
        <w:rFonts w:ascii="仿宋" w:hAnsi="仿宋" w:eastAsia="仿宋"/>
        <w:sz w:val="18"/>
        <w:szCs w:val="18"/>
      </w:rPr>
      <w:t>……………………………………</w:t>
    </w:r>
    <w:r>
      <w:rPr>
        <w:rFonts w:hint="eastAsia" w:ascii="仿宋" w:hAnsi="仿宋" w:eastAsia="仿宋"/>
        <w:sz w:val="18"/>
        <w:szCs w:val="18"/>
      </w:rPr>
      <w:t>2总则</w:t>
    </w: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3FACBE">
    <w:pPr>
      <w:adjustRightInd w:val="0"/>
      <w:rPr>
        <w:color w:val="FF0000"/>
        <w:sz w:val="18"/>
        <w:szCs w:val="18"/>
      </w:rPr>
    </w:pPr>
    <w:r>
      <w:rPr>
        <w:rFonts w:hint="eastAsia" w:ascii="仿宋" w:hAnsi="仿宋" w:eastAsia="仿宋"/>
        <w:sz w:val="18"/>
        <w:szCs w:val="18"/>
      </w:rPr>
      <w:t>无锡晋拓汽车部件有限公司智能汽车零部件生产项目环境影响报告书</w:t>
    </w:r>
    <w:r>
      <w:rPr>
        <w:sz w:val="18"/>
        <w:szCs w:val="18"/>
      </w:rPr>
      <w:t>……………………………………</w:t>
    </w:r>
    <w:r>
      <w:rPr>
        <w:rFonts w:hint="eastAsia"/>
        <w:sz w:val="18"/>
        <w:szCs w:val="18"/>
      </w:rPr>
      <w:t>2总则</w:t>
    </w: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54476CF">
    <w:pPr>
      <w:adjustRightInd w:val="0"/>
      <w:rPr>
        <w:color w:val="FF0000"/>
        <w:sz w:val="18"/>
        <w:szCs w:val="18"/>
      </w:rPr>
    </w:pPr>
    <w:r>
      <w:rPr>
        <w:rFonts w:hint="eastAsia" w:ascii="仿宋" w:hAnsi="仿宋" w:eastAsia="仿宋"/>
        <w:sz w:val="18"/>
        <w:szCs w:val="18"/>
      </w:rPr>
      <w:t>化药化工（无锡）有限公司</w:t>
    </w:r>
    <w:r>
      <w:rPr>
        <w:rFonts w:ascii="仿宋" w:hAnsi="仿宋" w:eastAsia="仿宋"/>
        <w:sz w:val="18"/>
        <w:szCs w:val="18"/>
      </w:rPr>
      <w:t>环境影响报告书</w:t>
    </w:r>
    <w:r>
      <w:rPr>
        <w:color w:val="000000"/>
        <w:sz w:val="18"/>
        <w:szCs w:val="18"/>
      </w:rPr>
      <w:t>………</w:t>
    </w:r>
    <w:r>
      <w:rPr>
        <w:sz w:val="18"/>
        <w:szCs w:val="18"/>
      </w:rPr>
      <w:t>………………………………………</w:t>
    </w:r>
    <w:r>
      <w:rPr>
        <w:rFonts w:hint="eastAsia"/>
        <w:sz w:val="18"/>
        <w:szCs w:val="18"/>
      </w:rPr>
      <w:t>4</w:t>
    </w:r>
    <w:r>
      <w:rPr>
        <w:rFonts w:hint="eastAsia"/>
        <w:sz w:val="18"/>
        <w:szCs w:val="18"/>
      </w:rPr>
      <w:tab/>
    </w:r>
    <w:r>
      <w:rPr>
        <w:rFonts w:hint="eastAsia"/>
        <w:sz w:val="18"/>
        <w:szCs w:val="18"/>
      </w:rPr>
      <w:t>项目工程分析</w:t>
    </w: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6DBDA8B">
    <w:pPr>
      <w:adjustRightInd w:val="0"/>
      <w:rPr>
        <w:color w:val="FF0000"/>
        <w:sz w:val="18"/>
        <w:szCs w:val="18"/>
      </w:rPr>
    </w:pPr>
    <w:r>
      <w:rPr>
        <w:rFonts w:hint="eastAsia" w:ascii="仿宋" w:hAnsi="仿宋" w:eastAsia="仿宋"/>
        <w:sz w:val="18"/>
        <w:szCs w:val="18"/>
      </w:rPr>
      <w:t>化药化工（无锡）有限公司环境影响报告书</w:t>
    </w:r>
    <w:r>
      <w:rPr>
        <w:color w:val="000000"/>
        <w:sz w:val="18"/>
        <w:szCs w:val="18"/>
      </w:rPr>
      <w:t>………</w:t>
    </w:r>
    <w:r>
      <w:rPr>
        <w:sz w:val="18"/>
        <w:szCs w:val="18"/>
      </w:rPr>
      <w:t>…………………………………………</w:t>
    </w:r>
    <w:r>
      <w:rPr>
        <w:rFonts w:hint="eastAsia"/>
        <w:sz w:val="18"/>
        <w:szCs w:val="18"/>
      </w:rPr>
      <w:t>3</w:t>
    </w:r>
    <w:r>
      <w:rPr>
        <w:rFonts w:hint="eastAsia"/>
        <w:sz w:val="18"/>
        <w:szCs w:val="18"/>
      </w:rPr>
      <w:tab/>
    </w:r>
    <w:r>
      <w:rPr>
        <w:rFonts w:hint="eastAsia"/>
        <w:sz w:val="18"/>
        <w:szCs w:val="18"/>
      </w:rPr>
      <w:t>现有项目情况</w:t>
    </w: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BA3414F">
    <w:pPr>
      <w:adjustRightInd w:val="0"/>
      <w:rPr>
        <w:color w:val="FF0000"/>
        <w:sz w:val="18"/>
        <w:szCs w:val="18"/>
      </w:rPr>
    </w:pPr>
    <w:r>
      <w:rPr>
        <w:rFonts w:hint="eastAsia" w:ascii="仿宋" w:hAnsi="仿宋" w:eastAsia="仿宋"/>
        <w:sz w:val="18"/>
        <w:szCs w:val="18"/>
      </w:rPr>
      <w:t>化药化工（无锡）有限公司</w:t>
    </w:r>
    <w:r>
      <w:rPr>
        <w:rFonts w:ascii="仿宋" w:hAnsi="仿宋" w:eastAsia="仿宋"/>
        <w:sz w:val="18"/>
        <w:szCs w:val="18"/>
      </w:rPr>
      <w:t>环境影响报告书</w:t>
    </w:r>
    <w:r>
      <w:rPr>
        <w:color w:val="000000"/>
        <w:sz w:val="18"/>
        <w:szCs w:val="18"/>
      </w:rPr>
      <w:t>………</w:t>
    </w:r>
    <w:r>
      <w:rPr>
        <w:sz w:val="18"/>
        <w:szCs w:val="18"/>
      </w:rPr>
      <w:t>………………………………………</w:t>
    </w:r>
    <w:r>
      <w:rPr>
        <w:rFonts w:hint="eastAsia"/>
        <w:sz w:val="18"/>
        <w:szCs w:val="18"/>
      </w:rPr>
      <w:t>4</w:t>
    </w:r>
    <w:r>
      <w:rPr>
        <w:rFonts w:hint="eastAsia"/>
        <w:sz w:val="18"/>
        <w:szCs w:val="18"/>
      </w:rPr>
      <w:tab/>
    </w:r>
    <w:r>
      <w:rPr>
        <w:rFonts w:hint="eastAsia"/>
        <w:sz w:val="18"/>
        <w:szCs w:val="18"/>
      </w:rPr>
      <w:t>项目工程分析</w:t>
    </w: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72552FD">
    <w:pPr>
      <w:adjustRightInd w:val="0"/>
      <w:rPr>
        <w:color w:val="FF0000"/>
        <w:sz w:val="18"/>
        <w:szCs w:val="18"/>
      </w:rPr>
    </w:pPr>
    <w:r>
      <w:rPr>
        <w:rFonts w:hint="eastAsia" w:ascii="仿宋" w:hAnsi="仿宋" w:eastAsia="仿宋"/>
        <w:sz w:val="18"/>
        <w:szCs w:val="18"/>
      </w:rPr>
      <w:t>化药化工（无锡）有限公司环境影响报告书</w:t>
    </w:r>
    <w:r>
      <w:rPr>
        <w:color w:val="000000"/>
        <w:sz w:val="18"/>
        <w:szCs w:val="18"/>
      </w:rPr>
      <w:t>………</w:t>
    </w:r>
    <w:r>
      <w:rPr>
        <w:sz w:val="18"/>
        <w:szCs w:val="18"/>
      </w:rPr>
      <w:t>…………………………………………</w:t>
    </w:r>
    <w:r>
      <w:rPr>
        <w:rFonts w:hint="eastAsia"/>
        <w:sz w:val="18"/>
        <w:szCs w:val="18"/>
      </w:rPr>
      <w:t>3</w:t>
    </w:r>
    <w:r>
      <w:rPr>
        <w:rFonts w:hint="eastAsia"/>
        <w:sz w:val="18"/>
        <w:szCs w:val="18"/>
      </w:rPr>
      <w:tab/>
    </w:r>
    <w:r>
      <w:rPr>
        <w:rFonts w:hint="eastAsia"/>
        <w:sz w:val="18"/>
        <w:szCs w:val="18"/>
      </w:rPr>
      <w:t>现有项目情况</w:t>
    </w:r>
  </w:p>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E1C8AC3">
    <w:pPr>
      <w:adjustRightInd w:val="0"/>
      <w:rPr>
        <w:color w:val="FF0000"/>
        <w:sz w:val="18"/>
        <w:szCs w:val="18"/>
      </w:rPr>
    </w:pPr>
    <w:r>
      <w:rPr>
        <w:rFonts w:hint="eastAsia" w:ascii="仿宋" w:hAnsi="仿宋" w:eastAsia="仿宋"/>
        <w:sz w:val="18"/>
        <w:szCs w:val="18"/>
      </w:rPr>
      <w:t>化药化工（无锡）有限公司</w:t>
    </w:r>
    <w:r>
      <w:rPr>
        <w:rFonts w:ascii="仿宋" w:hAnsi="仿宋" w:eastAsia="仿宋"/>
        <w:sz w:val="18"/>
        <w:szCs w:val="18"/>
      </w:rPr>
      <w:t>环境影响报告书</w:t>
    </w:r>
    <w:r>
      <w:rPr>
        <w:color w:val="000000"/>
        <w:sz w:val="18"/>
        <w:szCs w:val="18"/>
      </w:rPr>
      <w:t>………</w:t>
    </w:r>
    <w:r>
      <w:rPr>
        <w:sz w:val="18"/>
        <w:szCs w:val="18"/>
      </w:rPr>
      <w:t>………………………………………</w:t>
    </w:r>
    <w:r>
      <w:rPr>
        <w:rFonts w:hint="eastAsia"/>
        <w:sz w:val="18"/>
        <w:szCs w:val="18"/>
      </w:rPr>
      <w:t>4</w:t>
    </w:r>
    <w:r>
      <w:rPr>
        <w:rFonts w:hint="eastAsia"/>
        <w:sz w:val="18"/>
        <w:szCs w:val="18"/>
      </w:rPr>
      <w:tab/>
    </w:r>
    <w:r>
      <w:rPr>
        <w:rFonts w:hint="eastAsia"/>
        <w:sz w:val="18"/>
        <w:szCs w:val="18"/>
      </w:rPr>
      <w:t>项目工程分析</w:t>
    </w:r>
  </w:p>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75ABB77">
    <w:pPr>
      <w:adjustRightInd w:val="0"/>
      <w:rPr>
        <w:color w:val="FF0000"/>
        <w:sz w:val="18"/>
        <w:szCs w:val="18"/>
      </w:rPr>
    </w:pPr>
    <w:r>
      <w:rPr>
        <w:rFonts w:hint="eastAsia" w:ascii="仿宋" w:hAnsi="仿宋" w:eastAsia="仿宋"/>
        <w:sz w:val="18"/>
        <w:szCs w:val="18"/>
      </w:rPr>
      <w:t>化药化工（无锡）有限公司</w:t>
    </w:r>
    <w:r>
      <w:rPr>
        <w:rFonts w:ascii="仿宋" w:hAnsi="仿宋" w:eastAsia="仿宋"/>
        <w:sz w:val="18"/>
        <w:szCs w:val="18"/>
      </w:rPr>
      <w:t>环境影响报告书</w:t>
    </w:r>
    <w:r>
      <w:rPr>
        <w:color w:val="000000"/>
        <w:sz w:val="18"/>
        <w:szCs w:val="18"/>
      </w:rPr>
      <w:t>………</w:t>
    </w:r>
    <w:r>
      <w:rPr>
        <w:sz w:val="18"/>
        <w:szCs w:val="18"/>
      </w:rPr>
      <w:t>………………………………………</w:t>
    </w:r>
    <w:r>
      <w:rPr>
        <w:rFonts w:hint="eastAsia"/>
        <w:sz w:val="18"/>
        <w:szCs w:val="18"/>
      </w:rPr>
      <w:t>4</w:t>
    </w:r>
    <w:r>
      <w:rPr>
        <w:rFonts w:hint="eastAsia"/>
        <w:sz w:val="18"/>
        <w:szCs w:val="18"/>
      </w:rPr>
      <w:tab/>
    </w:r>
    <w:r>
      <w:rPr>
        <w:rFonts w:hint="eastAsia"/>
        <w:sz w:val="18"/>
        <w:szCs w:val="18"/>
      </w:rPr>
      <w:t>项目工程分析</w:t>
    </w:r>
  </w:p>
</w:hdr>
</file>

<file path=word/header1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C78D8C">
    <w:pPr>
      <w:rPr>
        <w:sz w:val="18"/>
        <w:szCs w:val="18"/>
      </w:rPr>
    </w:pPr>
    <w:r>
      <w:rPr>
        <w:rFonts w:hint="eastAsia"/>
        <w:sz w:val="18"/>
        <w:szCs w:val="18"/>
      </w:rPr>
      <w:t>化药化工（无锡）有限公司环境影响报告书…………………………………………5</w:t>
    </w:r>
    <w:r>
      <w:rPr>
        <w:rFonts w:hint="eastAsia"/>
        <w:sz w:val="18"/>
        <w:szCs w:val="18"/>
      </w:rPr>
      <w:tab/>
    </w:r>
    <w:r>
      <w:rPr>
        <w:rFonts w:hint="eastAsia"/>
        <w:sz w:val="18"/>
        <w:szCs w:val="18"/>
      </w:rPr>
      <w:t>环境现状调查与评价</w:t>
    </w:r>
  </w:p>
</w:hdr>
</file>

<file path=word/header1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0E44985">
    <w:pPr>
      <w:rPr>
        <w:sz w:val="18"/>
        <w:szCs w:val="18"/>
      </w:rPr>
    </w:pPr>
    <w:r>
      <w:rPr>
        <w:rFonts w:hint="eastAsia"/>
        <w:sz w:val="18"/>
        <w:szCs w:val="18"/>
      </w:rPr>
      <w:t>化药化工（无锡）有限公司环境影响报告书…………………………………………5</w:t>
    </w:r>
    <w:r>
      <w:rPr>
        <w:rFonts w:hint="eastAsia"/>
        <w:sz w:val="18"/>
        <w:szCs w:val="18"/>
      </w:rPr>
      <w:tab/>
    </w:r>
    <w:r>
      <w:rPr>
        <w:rFonts w:hint="eastAsia"/>
        <w:sz w:val="18"/>
        <w:szCs w:val="18"/>
      </w:rPr>
      <w:t>环境现状调查与评价</w:t>
    </w:r>
  </w:p>
  <w:p w14:paraId="3196978A">
    <w:pPr>
      <w:pStyle w:val="31"/>
    </w:pPr>
  </w:p>
</w:hdr>
</file>

<file path=word/header1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C13EA4">
    <w:pPr>
      <w:rPr>
        <w:sz w:val="18"/>
        <w:szCs w:val="18"/>
      </w:rPr>
    </w:pPr>
    <w:r>
      <w:rPr>
        <w:rFonts w:hint="eastAsia"/>
        <w:sz w:val="18"/>
        <w:szCs w:val="18"/>
      </w:rPr>
      <w:t>化药化工（无锡）有限公司环境影响报告书…………………………………………6环境影响预测与评价</w:t>
    </w:r>
  </w:p>
</w:hdr>
</file>

<file path=word/header1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B7564F9">
    <w:pPr>
      <w:rPr>
        <w:sz w:val="18"/>
        <w:szCs w:val="18"/>
      </w:rPr>
    </w:pPr>
    <w:r>
      <w:rPr>
        <w:rFonts w:hint="eastAsia"/>
        <w:sz w:val="18"/>
        <w:szCs w:val="18"/>
      </w:rPr>
      <w:t>化药化工（无锡）有限公司环境影响报告书…………………………………………6环境影响预测与评价</w:t>
    </w:r>
  </w:p>
</w:hdr>
</file>

<file path=word/header2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F74478">
    <w:pPr>
      <w:adjustRightInd w:val="0"/>
      <w:rPr>
        <w:color w:val="FF0000"/>
        <w:sz w:val="18"/>
        <w:szCs w:val="18"/>
      </w:rPr>
    </w:pPr>
    <w:r>
      <w:rPr>
        <w:rFonts w:hint="eastAsia"/>
        <w:color w:val="000000"/>
        <w:sz w:val="18"/>
        <w:szCs w:val="18"/>
      </w:rPr>
      <w:t>化药化工（无锡）有限公司环境影响报告书………………………7</w:t>
    </w:r>
    <w:r>
      <w:rPr>
        <w:rFonts w:hint="eastAsia"/>
        <w:color w:val="000000"/>
        <w:sz w:val="18"/>
        <w:szCs w:val="18"/>
      </w:rPr>
      <w:tab/>
    </w:r>
    <w:r>
      <w:rPr>
        <w:rFonts w:hint="eastAsia"/>
        <w:color w:val="000000"/>
        <w:sz w:val="18"/>
        <w:szCs w:val="18"/>
      </w:rPr>
      <w:t>环境保护措施及其经济、技术论证</w:t>
    </w:r>
  </w:p>
</w:hdr>
</file>

<file path=word/header2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E1C3C7A">
    <w:pPr>
      <w:adjustRightInd w:val="0"/>
      <w:rPr>
        <w:rFonts w:ascii="Times New Roman" w:hAnsi="Times New Roman" w:cs="Times New Roman"/>
        <w:color w:val="FF0000"/>
        <w:sz w:val="18"/>
        <w:szCs w:val="18"/>
      </w:rPr>
    </w:pPr>
    <w:r>
      <w:rPr>
        <w:rFonts w:hint="eastAsia" w:ascii="Times New Roman" w:hAnsi="Times New Roman" w:cs="Times New Roman"/>
        <w:color w:val="000000"/>
        <w:sz w:val="18"/>
        <w:szCs w:val="18"/>
      </w:rPr>
      <w:t>化药化工（无锡）有限公司</w:t>
    </w:r>
    <w:r>
      <w:rPr>
        <w:rFonts w:ascii="Times New Roman" w:hAnsi="Times New Roman" w:cs="Times New Roman"/>
        <w:color w:val="000000"/>
        <w:sz w:val="18"/>
        <w:szCs w:val="18"/>
      </w:rPr>
      <w:t>环境影响报告书………………………7</w:t>
    </w:r>
    <w:r>
      <w:rPr>
        <w:rFonts w:ascii="Times New Roman" w:hAnsi="Times New Roman" w:cs="Times New Roman"/>
        <w:color w:val="000000"/>
        <w:sz w:val="18"/>
        <w:szCs w:val="18"/>
      </w:rPr>
      <w:tab/>
    </w:r>
    <w:r>
      <w:rPr>
        <w:rFonts w:ascii="Times New Roman" w:hAnsi="Times New Roman" w:cs="Times New Roman"/>
        <w:color w:val="000000"/>
        <w:sz w:val="18"/>
        <w:szCs w:val="18"/>
      </w:rPr>
      <w:t>环境保护措施及其经济、技术论证</w:t>
    </w:r>
  </w:p>
</w:hdr>
</file>

<file path=word/header2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1A9893">
    <w:pPr>
      <w:adjustRightInd w:val="0"/>
      <w:rPr>
        <w:color w:val="000000"/>
        <w:sz w:val="18"/>
        <w:szCs w:val="18"/>
      </w:rPr>
    </w:pPr>
    <w:r>
      <w:rPr>
        <w:rFonts w:hint="eastAsia"/>
        <w:color w:val="000000"/>
        <w:sz w:val="18"/>
        <w:szCs w:val="18"/>
      </w:rPr>
      <w:t>化药化工（无锡）有限公司环境影响报告书………………………………………8环境影响经济损益分析</w:t>
    </w:r>
  </w:p>
</w:hdr>
</file>

<file path=word/header2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ED87E7">
    <w:pPr>
      <w:adjustRightInd w:val="0"/>
      <w:rPr>
        <w:color w:val="FF0000"/>
        <w:sz w:val="18"/>
        <w:szCs w:val="18"/>
      </w:rPr>
    </w:pPr>
    <w:r>
      <w:rPr>
        <w:rFonts w:hint="eastAsia"/>
        <w:color w:val="000000"/>
        <w:sz w:val="18"/>
        <w:szCs w:val="18"/>
      </w:rPr>
      <w:t>化药化工（无锡）有限公司环境影响报告书………………………………………8环境影响经济损益分析</w:t>
    </w:r>
  </w:p>
</w:hdr>
</file>

<file path=word/header2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9799ACD">
    <w:pPr>
      <w:adjustRightInd w:val="0"/>
      <w:rPr>
        <w:color w:val="FF0000"/>
        <w:sz w:val="18"/>
        <w:szCs w:val="18"/>
      </w:rPr>
    </w:pPr>
    <w:r>
      <w:rPr>
        <w:rFonts w:hint="eastAsia"/>
        <w:color w:val="000000"/>
        <w:sz w:val="18"/>
        <w:szCs w:val="18"/>
      </w:rPr>
      <w:t>化药化工（无锡）有限公司环境影响报告书……………………………………………10评价结论和建议</w:t>
    </w:r>
  </w:p>
</w:hdr>
</file>

<file path=word/header2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319386D">
    <w:pPr>
      <w:adjustRightInd w:val="0"/>
      <w:rPr>
        <w:sz w:val="18"/>
        <w:szCs w:val="18"/>
      </w:rPr>
    </w:pPr>
    <w:r>
      <w:rPr>
        <w:rFonts w:hint="eastAsia"/>
        <w:color w:val="000000"/>
        <w:sz w:val="18"/>
        <w:szCs w:val="18"/>
      </w:rPr>
      <w:t>化药化工（无锡）有限公司环境影响报告书……………………………………………10评价结论和建议</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A72FC32"/>
    <w:multiLevelType w:val="multilevel"/>
    <w:tmpl w:val="9A72FC32"/>
    <w:lvl w:ilvl="0" w:tentative="0">
      <w:start w:val="1"/>
      <w:numFmt w:val="decimal"/>
      <w:suff w:val="nothing"/>
      <w:lvlText w:val="%1."/>
      <w:lvlJc w:val="center"/>
      <w:pPr>
        <w:tabs>
          <w:tab w:val="left" w:pos="2823"/>
        </w:tabs>
        <w:ind w:left="3275" w:hanging="624"/>
      </w:pPr>
      <w:rPr>
        <w:rFonts w:hint="default" w:ascii="Times New Roman" w:hAnsi="Times New Roman" w:eastAsia="宋体"/>
      </w:rPr>
    </w:lvl>
    <w:lvl w:ilvl="1" w:tentative="0">
      <w:start w:val="1"/>
      <w:numFmt w:val="lowerLetter"/>
      <w:lvlText w:val="%2)"/>
      <w:lvlJc w:val="left"/>
      <w:pPr>
        <w:tabs>
          <w:tab w:val="left" w:pos="3326"/>
        </w:tabs>
        <w:ind w:left="3326" w:hanging="420"/>
      </w:pPr>
    </w:lvl>
    <w:lvl w:ilvl="2" w:tentative="0">
      <w:start w:val="1"/>
      <w:numFmt w:val="lowerRoman"/>
      <w:lvlText w:val="%3."/>
      <w:lvlJc w:val="right"/>
      <w:pPr>
        <w:tabs>
          <w:tab w:val="left" w:pos="3746"/>
        </w:tabs>
        <w:ind w:left="3746" w:hanging="420"/>
      </w:pPr>
    </w:lvl>
    <w:lvl w:ilvl="3" w:tentative="0">
      <w:start w:val="1"/>
      <w:numFmt w:val="decimal"/>
      <w:lvlText w:val="%4."/>
      <w:lvlJc w:val="left"/>
      <w:pPr>
        <w:tabs>
          <w:tab w:val="left" w:pos="4166"/>
        </w:tabs>
        <w:ind w:left="4166" w:hanging="420"/>
      </w:pPr>
    </w:lvl>
    <w:lvl w:ilvl="4" w:tentative="0">
      <w:start w:val="1"/>
      <w:numFmt w:val="lowerLetter"/>
      <w:lvlText w:val="%5)"/>
      <w:lvlJc w:val="left"/>
      <w:pPr>
        <w:tabs>
          <w:tab w:val="left" w:pos="4586"/>
        </w:tabs>
        <w:ind w:left="4586" w:hanging="420"/>
      </w:pPr>
    </w:lvl>
    <w:lvl w:ilvl="5" w:tentative="0">
      <w:start w:val="1"/>
      <w:numFmt w:val="lowerRoman"/>
      <w:lvlText w:val="%6."/>
      <w:lvlJc w:val="right"/>
      <w:pPr>
        <w:tabs>
          <w:tab w:val="left" w:pos="5006"/>
        </w:tabs>
        <w:ind w:left="5006" w:hanging="420"/>
      </w:pPr>
    </w:lvl>
    <w:lvl w:ilvl="6" w:tentative="0">
      <w:start w:val="1"/>
      <w:numFmt w:val="decimal"/>
      <w:lvlText w:val="%7."/>
      <w:lvlJc w:val="left"/>
      <w:pPr>
        <w:tabs>
          <w:tab w:val="left" w:pos="5426"/>
        </w:tabs>
        <w:ind w:left="5426" w:hanging="420"/>
      </w:pPr>
    </w:lvl>
    <w:lvl w:ilvl="7" w:tentative="0">
      <w:start w:val="1"/>
      <w:numFmt w:val="lowerLetter"/>
      <w:lvlText w:val="%8)"/>
      <w:lvlJc w:val="left"/>
      <w:pPr>
        <w:tabs>
          <w:tab w:val="left" w:pos="5846"/>
        </w:tabs>
        <w:ind w:left="5846" w:hanging="420"/>
      </w:pPr>
    </w:lvl>
    <w:lvl w:ilvl="8" w:tentative="0">
      <w:start w:val="1"/>
      <w:numFmt w:val="lowerRoman"/>
      <w:lvlText w:val="%9."/>
      <w:lvlJc w:val="right"/>
      <w:pPr>
        <w:tabs>
          <w:tab w:val="left" w:pos="6266"/>
        </w:tabs>
        <w:ind w:left="6266" w:hanging="420"/>
      </w:pPr>
    </w:lvl>
  </w:abstractNum>
  <w:abstractNum w:abstractNumId="1">
    <w:nsid w:val="9DEEB944"/>
    <w:multiLevelType w:val="singleLevel"/>
    <w:tmpl w:val="9DEEB944"/>
    <w:lvl w:ilvl="0" w:tentative="0">
      <w:start w:val="1"/>
      <w:numFmt w:val="decimal"/>
      <w:lvlText w:val="%1."/>
      <w:lvlJc w:val="center"/>
      <w:pPr>
        <w:tabs>
          <w:tab w:val="left" w:pos="0"/>
        </w:tabs>
        <w:ind w:left="0" w:leftChars="0" w:firstLine="0" w:firstLineChars="0"/>
      </w:pPr>
      <w:rPr>
        <w:rFonts w:hint="default"/>
      </w:rPr>
    </w:lvl>
  </w:abstractNum>
  <w:abstractNum w:abstractNumId="2">
    <w:nsid w:val="A3BFF95E"/>
    <w:multiLevelType w:val="multilevel"/>
    <w:tmpl w:val="A3BFF95E"/>
    <w:lvl w:ilvl="0" w:tentative="0">
      <w:start w:val="1"/>
      <w:numFmt w:val="decimal"/>
      <w:suff w:val="nothing"/>
      <w:lvlText w:val="%1"/>
      <w:lvlJc w:val="center"/>
      <w:pPr>
        <w:tabs>
          <w:tab w:val="left" w:pos="0"/>
        </w:tabs>
        <w:ind w:left="0" w:firstLine="0"/>
      </w:pPr>
      <w:rPr>
        <w:rFonts w:hint="default" w:ascii="Times New Roman" w:hAnsi="Times New Roman" w:cs="Times New Roman"/>
        <w:sz w:val="21"/>
        <w:szCs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A629BDA7"/>
    <w:multiLevelType w:val="singleLevel"/>
    <w:tmpl w:val="A629BDA7"/>
    <w:lvl w:ilvl="0" w:tentative="0">
      <w:start w:val="3"/>
      <w:numFmt w:val="decimal"/>
      <w:suff w:val="nothing"/>
      <w:lvlText w:val="%1、"/>
      <w:lvlJc w:val="left"/>
    </w:lvl>
  </w:abstractNum>
  <w:abstractNum w:abstractNumId="4">
    <w:nsid w:val="A6BBBBCA"/>
    <w:multiLevelType w:val="singleLevel"/>
    <w:tmpl w:val="A6BBBBCA"/>
    <w:lvl w:ilvl="0" w:tentative="0">
      <w:start w:val="1"/>
      <w:numFmt w:val="decimal"/>
      <w:lvlText w:val="(%1)"/>
      <w:lvlJc w:val="left"/>
      <w:pPr>
        <w:ind w:left="425" w:hanging="425"/>
      </w:pPr>
      <w:rPr>
        <w:rFonts w:hint="default"/>
      </w:rPr>
    </w:lvl>
  </w:abstractNum>
  <w:abstractNum w:abstractNumId="5">
    <w:nsid w:val="BC037699"/>
    <w:multiLevelType w:val="singleLevel"/>
    <w:tmpl w:val="BC037699"/>
    <w:lvl w:ilvl="0" w:tentative="0">
      <w:start w:val="1"/>
      <w:numFmt w:val="decimal"/>
      <w:lvlText w:val="%1."/>
      <w:lvlJc w:val="left"/>
      <w:pPr>
        <w:ind w:left="425" w:hanging="425"/>
      </w:pPr>
      <w:rPr>
        <w:rFonts w:hint="default"/>
        <w:color w:val="auto"/>
      </w:rPr>
    </w:lvl>
  </w:abstractNum>
  <w:abstractNum w:abstractNumId="6">
    <w:nsid w:val="C18636E7"/>
    <w:multiLevelType w:val="singleLevel"/>
    <w:tmpl w:val="C18636E7"/>
    <w:lvl w:ilvl="0" w:tentative="0">
      <w:start w:val="1"/>
      <w:numFmt w:val="decimal"/>
      <w:lvlText w:val="(%1)"/>
      <w:lvlJc w:val="left"/>
      <w:pPr>
        <w:ind w:left="425" w:hanging="425"/>
      </w:pPr>
      <w:rPr>
        <w:rFonts w:hint="default"/>
      </w:rPr>
    </w:lvl>
  </w:abstractNum>
  <w:abstractNum w:abstractNumId="7">
    <w:nsid w:val="C699CCEE"/>
    <w:multiLevelType w:val="singleLevel"/>
    <w:tmpl w:val="C699CCEE"/>
    <w:lvl w:ilvl="0" w:tentative="0">
      <w:start w:val="1"/>
      <w:numFmt w:val="decimal"/>
      <w:suff w:val="nothing"/>
      <w:lvlText w:val="（%1）"/>
      <w:lvlJc w:val="left"/>
    </w:lvl>
  </w:abstractNum>
  <w:abstractNum w:abstractNumId="8">
    <w:nsid w:val="CC8A3302"/>
    <w:multiLevelType w:val="singleLevel"/>
    <w:tmpl w:val="CC8A3302"/>
    <w:lvl w:ilvl="0" w:tentative="0">
      <w:start w:val="1"/>
      <w:numFmt w:val="decimal"/>
      <w:lvlText w:val="(%1)"/>
      <w:lvlJc w:val="left"/>
      <w:pPr>
        <w:ind w:left="425" w:hanging="425"/>
      </w:pPr>
      <w:rPr>
        <w:rFonts w:hint="default"/>
      </w:rPr>
    </w:lvl>
  </w:abstractNum>
  <w:abstractNum w:abstractNumId="9">
    <w:nsid w:val="D6070B25"/>
    <w:multiLevelType w:val="singleLevel"/>
    <w:tmpl w:val="D6070B25"/>
    <w:lvl w:ilvl="0" w:tentative="0">
      <w:start w:val="1"/>
      <w:numFmt w:val="decimal"/>
      <w:suff w:val="nothing"/>
      <w:lvlText w:val="（%1）"/>
      <w:lvlJc w:val="left"/>
      <w:pPr>
        <w:ind w:left="0" w:firstLine="0"/>
      </w:pPr>
    </w:lvl>
  </w:abstractNum>
  <w:abstractNum w:abstractNumId="10">
    <w:nsid w:val="F3736BB7"/>
    <w:multiLevelType w:val="singleLevel"/>
    <w:tmpl w:val="F3736BB7"/>
    <w:lvl w:ilvl="0" w:tentative="0">
      <w:start w:val="1"/>
      <w:numFmt w:val="decimal"/>
      <w:suff w:val="nothing"/>
      <w:lvlText w:val="（%1）"/>
      <w:lvlJc w:val="left"/>
    </w:lvl>
  </w:abstractNum>
  <w:abstractNum w:abstractNumId="11">
    <w:nsid w:val="FAFB0324"/>
    <w:multiLevelType w:val="singleLevel"/>
    <w:tmpl w:val="FAFB0324"/>
    <w:lvl w:ilvl="0" w:tentative="0">
      <w:start w:val="2"/>
      <w:numFmt w:val="decimal"/>
      <w:lvlText w:val="[%1]"/>
      <w:lvlJc w:val="left"/>
      <w:pPr>
        <w:tabs>
          <w:tab w:val="left" w:pos="312"/>
        </w:tabs>
      </w:pPr>
    </w:lvl>
  </w:abstractNum>
  <w:abstractNum w:abstractNumId="12">
    <w:nsid w:val="FBA7313C"/>
    <w:multiLevelType w:val="singleLevel"/>
    <w:tmpl w:val="FBA7313C"/>
    <w:lvl w:ilvl="0" w:tentative="0">
      <w:start w:val="1"/>
      <w:numFmt w:val="decimal"/>
      <w:lvlText w:val="(%1)"/>
      <w:lvlJc w:val="left"/>
      <w:pPr>
        <w:ind w:left="425" w:hanging="425"/>
      </w:pPr>
      <w:rPr>
        <w:rFonts w:hint="default"/>
      </w:rPr>
    </w:lvl>
  </w:abstractNum>
  <w:abstractNum w:abstractNumId="13">
    <w:nsid w:val="FC834B0C"/>
    <w:multiLevelType w:val="singleLevel"/>
    <w:tmpl w:val="FC834B0C"/>
    <w:lvl w:ilvl="0" w:tentative="0">
      <w:start w:val="1"/>
      <w:numFmt w:val="decimal"/>
      <w:suff w:val="nothing"/>
      <w:lvlText w:val="%1"/>
      <w:lvlJc w:val="center"/>
      <w:pPr>
        <w:ind w:left="0" w:firstLine="0"/>
      </w:pPr>
      <w:rPr>
        <w:rFonts w:hint="default"/>
        <w:sz w:val="18"/>
        <w:szCs w:val="18"/>
      </w:rPr>
    </w:lvl>
  </w:abstractNum>
  <w:abstractNum w:abstractNumId="14">
    <w:nsid w:val="00D8B4D1"/>
    <w:multiLevelType w:val="singleLevel"/>
    <w:tmpl w:val="00D8B4D1"/>
    <w:lvl w:ilvl="0" w:tentative="0">
      <w:start w:val="1"/>
      <w:numFmt w:val="decimal"/>
      <w:suff w:val="nothing"/>
      <w:lvlText w:val="%1"/>
      <w:lvlJc w:val="center"/>
      <w:pPr>
        <w:ind w:left="0" w:firstLine="0"/>
      </w:pPr>
      <w:rPr>
        <w:rFonts w:hint="default"/>
        <w:sz w:val="21"/>
        <w:szCs w:val="21"/>
      </w:rPr>
    </w:lvl>
  </w:abstractNum>
  <w:abstractNum w:abstractNumId="15">
    <w:nsid w:val="0A772868"/>
    <w:multiLevelType w:val="multilevel"/>
    <w:tmpl w:val="0A772868"/>
    <w:lvl w:ilvl="0" w:tentative="0">
      <w:start w:val="1"/>
      <w:numFmt w:val="decimal"/>
      <w:suff w:val="nothing"/>
      <w:lvlText w:val="%1"/>
      <w:lvlJc w:val="left"/>
      <w:pPr>
        <w:ind w:left="0" w:firstLine="0"/>
      </w:pPr>
      <w:rPr>
        <w:rFonts w:hint="default" w:ascii="Times New Roman" w:hAnsi="Times New Roman" w:eastAsia="仿宋" w:cs="Times New Roman"/>
        <w:sz w:val="24"/>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6">
    <w:nsid w:val="0CCA4C8F"/>
    <w:multiLevelType w:val="multilevel"/>
    <w:tmpl w:val="0CCA4C8F"/>
    <w:lvl w:ilvl="0" w:tentative="0">
      <w:start w:val="1"/>
      <w:numFmt w:val="decimal"/>
      <w:suff w:val="nothing"/>
      <w:lvlText w:val="（%1）"/>
      <w:lvlJc w:val="left"/>
      <w:pPr>
        <w:ind w:left="0" w:firstLine="0"/>
      </w:pPr>
      <w:rPr>
        <w:rFonts w:hint="default" w:ascii="Times New Roman" w:hAnsi="Times New Roman" w:cs="Times New Roman"/>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17">
    <w:nsid w:val="0FC23A7C"/>
    <w:multiLevelType w:val="multilevel"/>
    <w:tmpl w:val="0FC23A7C"/>
    <w:lvl w:ilvl="0" w:tentative="0">
      <w:start w:val="1"/>
      <w:numFmt w:val="decimal"/>
      <w:suff w:val="nothing"/>
      <w:lvlText w:val="%1"/>
      <w:lvlJc w:val="center"/>
      <w:pPr>
        <w:ind w:left="0" w:firstLine="0"/>
      </w:pPr>
      <w:rPr>
        <w:rFonts w:hint="default" w:ascii="Times New Roman" w:hAnsi="Times New Roman" w:eastAsia="宋体" w:cs="宋体"/>
      </w:rPr>
    </w:lvl>
    <w:lvl w:ilvl="1" w:tentative="0">
      <w:start w:val="1"/>
      <w:numFmt w:val="lowerLetter"/>
      <w:lvlText w:val="%2)"/>
      <w:lvlJc w:val="left"/>
      <w:pPr>
        <w:tabs>
          <w:tab w:val="left" w:pos="840"/>
        </w:tabs>
        <w:ind w:left="840" w:hanging="420"/>
      </w:pPr>
      <w:rPr>
        <w:rFonts w:hint="default" w:ascii="Times New Roman" w:hAnsi="Times New Roman" w:cs="Times New Roman"/>
      </w:rPr>
    </w:lvl>
    <w:lvl w:ilvl="2" w:tentative="0">
      <w:start w:val="1"/>
      <w:numFmt w:val="lowerRoman"/>
      <w:lvlText w:val="%3."/>
      <w:lvlJc w:val="right"/>
      <w:pPr>
        <w:tabs>
          <w:tab w:val="left" w:pos="1260"/>
        </w:tabs>
        <w:ind w:left="1260" w:hanging="420"/>
      </w:pPr>
      <w:rPr>
        <w:rFonts w:hint="default" w:ascii="Times New Roman" w:hAnsi="Times New Roman" w:cs="Times New Roman"/>
      </w:rPr>
    </w:lvl>
    <w:lvl w:ilvl="3" w:tentative="0">
      <w:start w:val="1"/>
      <w:numFmt w:val="decimal"/>
      <w:lvlText w:val="%4."/>
      <w:lvlJc w:val="left"/>
      <w:pPr>
        <w:tabs>
          <w:tab w:val="left" w:pos="1680"/>
        </w:tabs>
        <w:ind w:left="1680" w:hanging="420"/>
      </w:pPr>
      <w:rPr>
        <w:rFonts w:hint="default" w:ascii="Times New Roman" w:hAnsi="Times New Roman" w:cs="Times New Roman"/>
      </w:rPr>
    </w:lvl>
    <w:lvl w:ilvl="4" w:tentative="0">
      <w:start w:val="1"/>
      <w:numFmt w:val="lowerLetter"/>
      <w:lvlText w:val="%5)"/>
      <w:lvlJc w:val="left"/>
      <w:pPr>
        <w:tabs>
          <w:tab w:val="left" w:pos="2100"/>
        </w:tabs>
        <w:ind w:left="2100" w:hanging="420"/>
      </w:pPr>
      <w:rPr>
        <w:rFonts w:hint="default" w:ascii="Times New Roman" w:hAnsi="Times New Roman" w:cs="Times New Roman"/>
      </w:rPr>
    </w:lvl>
    <w:lvl w:ilvl="5" w:tentative="0">
      <w:start w:val="1"/>
      <w:numFmt w:val="lowerRoman"/>
      <w:lvlText w:val="%6."/>
      <w:lvlJc w:val="right"/>
      <w:pPr>
        <w:tabs>
          <w:tab w:val="left" w:pos="2520"/>
        </w:tabs>
        <w:ind w:left="2520" w:hanging="420"/>
      </w:pPr>
      <w:rPr>
        <w:rFonts w:hint="default" w:ascii="Times New Roman" w:hAnsi="Times New Roman" w:cs="Times New Roman"/>
      </w:rPr>
    </w:lvl>
    <w:lvl w:ilvl="6" w:tentative="0">
      <w:start w:val="1"/>
      <w:numFmt w:val="decimal"/>
      <w:lvlText w:val="%7."/>
      <w:lvlJc w:val="left"/>
      <w:pPr>
        <w:tabs>
          <w:tab w:val="left" w:pos="2940"/>
        </w:tabs>
        <w:ind w:left="2940" w:hanging="420"/>
      </w:pPr>
      <w:rPr>
        <w:rFonts w:hint="default" w:ascii="Times New Roman" w:hAnsi="Times New Roman" w:cs="Times New Roman"/>
      </w:rPr>
    </w:lvl>
    <w:lvl w:ilvl="7" w:tentative="0">
      <w:start w:val="1"/>
      <w:numFmt w:val="lowerLetter"/>
      <w:lvlText w:val="%8)"/>
      <w:lvlJc w:val="left"/>
      <w:pPr>
        <w:tabs>
          <w:tab w:val="left" w:pos="3360"/>
        </w:tabs>
        <w:ind w:left="3360" w:hanging="420"/>
      </w:pPr>
      <w:rPr>
        <w:rFonts w:hint="default" w:ascii="Times New Roman" w:hAnsi="Times New Roman" w:cs="Times New Roman"/>
      </w:rPr>
    </w:lvl>
    <w:lvl w:ilvl="8" w:tentative="0">
      <w:start w:val="1"/>
      <w:numFmt w:val="lowerRoman"/>
      <w:lvlText w:val="%9."/>
      <w:lvlJc w:val="right"/>
      <w:pPr>
        <w:tabs>
          <w:tab w:val="left" w:pos="3780"/>
        </w:tabs>
        <w:ind w:left="3780" w:hanging="420"/>
      </w:pPr>
      <w:rPr>
        <w:rFonts w:hint="default" w:ascii="Times New Roman" w:hAnsi="Times New Roman" w:cs="Times New Roman"/>
      </w:rPr>
    </w:lvl>
  </w:abstractNum>
  <w:abstractNum w:abstractNumId="18">
    <w:nsid w:val="119EB5E1"/>
    <w:multiLevelType w:val="singleLevel"/>
    <w:tmpl w:val="119EB5E1"/>
    <w:lvl w:ilvl="0" w:tentative="0">
      <w:start w:val="1"/>
      <w:numFmt w:val="decimal"/>
      <w:suff w:val="nothing"/>
      <w:lvlText w:val="（%1）"/>
      <w:lvlJc w:val="left"/>
    </w:lvl>
  </w:abstractNum>
  <w:abstractNum w:abstractNumId="19">
    <w:nsid w:val="12410206"/>
    <w:multiLevelType w:val="multilevel"/>
    <w:tmpl w:val="12410206"/>
    <w:lvl w:ilvl="0" w:tentative="0">
      <w:start w:val="1"/>
      <w:numFmt w:val="decimal"/>
      <w:pStyle w:val="3"/>
      <w:lvlText w:val="%1."/>
      <w:lvlJc w:val="left"/>
      <w:pPr>
        <w:ind w:left="975" w:hanging="420"/>
      </w:pPr>
      <w:rPr>
        <w:rFonts w:hint="eastAsia"/>
      </w:rPr>
    </w:lvl>
    <w:lvl w:ilvl="1" w:tentative="0">
      <w:start w:val="1"/>
      <w:numFmt w:val="bullet"/>
      <w:lvlText w:val=""/>
      <w:lvlJc w:val="left"/>
      <w:pPr>
        <w:tabs>
          <w:tab w:val="left" w:pos="1395"/>
        </w:tabs>
        <w:ind w:left="1395" w:hanging="420"/>
      </w:pPr>
      <w:rPr>
        <w:rFonts w:hint="default" w:ascii="Wingdings" w:hAnsi="Wingdings"/>
      </w:rPr>
    </w:lvl>
    <w:lvl w:ilvl="2" w:tentative="0">
      <w:start w:val="1"/>
      <w:numFmt w:val="bullet"/>
      <w:lvlText w:val=""/>
      <w:lvlJc w:val="left"/>
      <w:pPr>
        <w:tabs>
          <w:tab w:val="left" w:pos="1815"/>
        </w:tabs>
        <w:ind w:left="1815" w:hanging="420"/>
      </w:pPr>
      <w:rPr>
        <w:rFonts w:hint="default" w:ascii="Wingdings" w:hAnsi="Wingdings"/>
      </w:rPr>
    </w:lvl>
    <w:lvl w:ilvl="3" w:tentative="0">
      <w:start w:val="1"/>
      <w:numFmt w:val="bullet"/>
      <w:pStyle w:val="6"/>
      <w:lvlText w:val=""/>
      <w:lvlJc w:val="left"/>
      <w:pPr>
        <w:tabs>
          <w:tab w:val="left" w:pos="2235"/>
        </w:tabs>
        <w:ind w:left="2235" w:hanging="420"/>
      </w:pPr>
      <w:rPr>
        <w:rFonts w:hint="default" w:ascii="Wingdings" w:hAnsi="Wingdings"/>
      </w:rPr>
    </w:lvl>
    <w:lvl w:ilvl="4" w:tentative="0">
      <w:start w:val="1"/>
      <w:numFmt w:val="bullet"/>
      <w:pStyle w:val="7"/>
      <w:lvlText w:val=""/>
      <w:lvlJc w:val="left"/>
      <w:pPr>
        <w:tabs>
          <w:tab w:val="left" w:pos="2655"/>
        </w:tabs>
        <w:ind w:left="2655" w:hanging="420"/>
      </w:pPr>
      <w:rPr>
        <w:rFonts w:hint="default" w:ascii="Wingdings" w:hAnsi="Wingdings"/>
      </w:rPr>
    </w:lvl>
    <w:lvl w:ilvl="5" w:tentative="0">
      <w:start w:val="1"/>
      <w:numFmt w:val="bullet"/>
      <w:pStyle w:val="8"/>
      <w:lvlText w:val=""/>
      <w:lvlJc w:val="left"/>
      <w:pPr>
        <w:tabs>
          <w:tab w:val="left" w:pos="3075"/>
        </w:tabs>
        <w:ind w:left="3075" w:hanging="420"/>
      </w:pPr>
      <w:rPr>
        <w:rFonts w:hint="default" w:ascii="Wingdings" w:hAnsi="Wingdings"/>
      </w:rPr>
    </w:lvl>
    <w:lvl w:ilvl="6" w:tentative="0">
      <w:start w:val="1"/>
      <w:numFmt w:val="bullet"/>
      <w:pStyle w:val="9"/>
      <w:lvlText w:val=""/>
      <w:lvlJc w:val="left"/>
      <w:pPr>
        <w:tabs>
          <w:tab w:val="left" w:pos="3495"/>
        </w:tabs>
        <w:ind w:left="3495" w:hanging="420"/>
      </w:pPr>
      <w:rPr>
        <w:rFonts w:hint="default" w:ascii="Wingdings" w:hAnsi="Wingdings"/>
      </w:rPr>
    </w:lvl>
    <w:lvl w:ilvl="7" w:tentative="0">
      <w:start w:val="1"/>
      <w:numFmt w:val="bullet"/>
      <w:pStyle w:val="10"/>
      <w:lvlText w:val=""/>
      <w:lvlJc w:val="left"/>
      <w:pPr>
        <w:tabs>
          <w:tab w:val="left" w:pos="3915"/>
        </w:tabs>
        <w:ind w:left="3915" w:hanging="420"/>
      </w:pPr>
      <w:rPr>
        <w:rFonts w:hint="default" w:ascii="Wingdings" w:hAnsi="Wingdings"/>
      </w:rPr>
    </w:lvl>
    <w:lvl w:ilvl="8" w:tentative="0">
      <w:start w:val="1"/>
      <w:numFmt w:val="bullet"/>
      <w:pStyle w:val="11"/>
      <w:lvlText w:val=""/>
      <w:lvlJc w:val="left"/>
      <w:pPr>
        <w:tabs>
          <w:tab w:val="left" w:pos="4335"/>
        </w:tabs>
        <w:ind w:left="4335" w:hanging="420"/>
      </w:pPr>
      <w:rPr>
        <w:rFonts w:hint="default" w:ascii="Wingdings" w:hAnsi="Wingdings"/>
      </w:rPr>
    </w:lvl>
  </w:abstractNum>
  <w:abstractNum w:abstractNumId="20">
    <w:nsid w:val="13E1577B"/>
    <w:multiLevelType w:val="multilevel"/>
    <w:tmpl w:val="13E1577B"/>
    <w:lvl w:ilvl="0" w:tentative="0">
      <w:start w:val="1"/>
      <w:numFmt w:val="decimal"/>
      <w:suff w:val="space"/>
      <w:lvlText w:val="%1"/>
      <w:lvlJc w:val="left"/>
      <w:pPr>
        <w:ind w:left="228" w:firstLine="0"/>
      </w:pPr>
      <w:rPr>
        <w:rFonts w:hint="eastAsia"/>
      </w:rPr>
    </w:lvl>
    <w:lvl w:ilvl="1" w:tentative="0">
      <w:start w:val="1"/>
      <w:numFmt w:val="decimal"/>
      <w:suff w:val="space"/>
      <w:lvlText w:val="%1.%2"/>
      <w:lvlJc w:val="left"/>
      <w:pPr>
        <w:ind w:left="0" w:firstLine="0"/>
      </w:pPr>
      <w:rPr>
        <w:rFonts w:hint="eastAsia"/>
      </w:rPr>
    </w:lvl>
    <w:lvl w:ilvl="2" w:tentative="0">
      <w:start w:val="1"/>
      <w:numFmt w:val="decimal"/>
      <w:lvlText w:val="%1.%2.%3"/>
      <w:lvlJc w:val="left"/>
      <w:pPr>
        <w:tabs>
          <w:tab w:val="left" w:pos="0"/>
        </w:tabs>
        <w:ind w:left="0" w:firstLine="0"/>
      </w:pPr>
      <w:rPr>
        <w:rFonts w:hint="eastAsia"/>
        <w:lang w:val="en-US"/>
      </w:rPr>
    </w:lvl>
    <w:lvl w:ilvl="3" w:tentative="0">
      <w:start w:val="1"/>
      <w:numFmt w:val="decimal"/>
      <w:suff w:val="space"/>
      <w:lvlText w:val="%1.%2.%3.%4"/>
      <w:lvlJc w:val="left"/>
      <w:pPr>
        <w:ind w:left="0" w:firstLine="0"/>
      </w:pPr>
      <w:rPr>
        <w:rFonts w:hint="eastAsia"/>
        <w:b/>
        <w:color w:val="000000"/>
      </w:rPr>
    </w:lvl>
    <w:lvl w:ilvl="4" w:tentative="0">
      <w:start w:val="1"/>
      <w:numFmt w:val="decimal"/>
      <w:lvlText w:val="%1.%2.%3.%4.%5"/>
      <w:lvlJc w:val="left"/>
      <w:pPr>
        <w:tabs>
          <w:tab w:val="left" w:pos="0"/>
        </w:tabs>
        <w:ind w:left="0" w:firstLine="0"/>
      </w:pPr>
      <w:rPr>
        <w:rFonts w:hint="eastAsia"/>
      </w:rPr>
    </w:lvl>
    <w:lvl w:ilvl="5" w:tentative="0">
      <w:start w:val="1"/>
      <w:numFmt w:val="decimal"/>
      <w:lvlText w:val="%1.%2.%3.%4.%5.%6"/>
      <w:lvlJc w:val="left"/>
      <w:pPr>
        <w:tabs>
          <w:tab w:val="left" w:pos="0"/>
        </w:tabs>
        <w:ind w:left="0" w:firstLine="0"/>
      </w:pPr>
      <w:rPr>
        <w:rFonts w:hint="eastAsia"/>
      </w:rPr>
    </w:lvl>
    <w:lvl w:ilvl="6" w:tentative="0">
      <w:start w:val="1"/>
      <w:numFmt w:val="decimal"/>
      <w:lvlText w:val="%1.%2.%3.%4.%5.%6.%7"/>
      <w:lvlJc w:val="left"/>
      <w:pPr>
        <w:tabs>
          <w:tab w:val="left" w:pos="0"/>
        </w:tabs>
        <w:ind w:left="0" w:firstLine="0"/>
      </w:pPr>
      <w:rPr>
        <w:rFonts w:hint="eastAsia"/>
      </w:rPr>
    </w:lvl>
    <w:lvl w:ilvl="7" w:tentative="0">
      <w:start w:val="1"/>
      <w:numFmt w:val="decimal"/>
      <w:lvlText w:val="%1.%2.%3.%4.%5.%6.%7.%8"/>
      <w:lvlJc w:val="left"/>
      <w:pPr>
        <w:tabs>
          <w:tab w:val="left" w:pos="0"/>
        </w:tabs>
        <w:ind w:left="0" w:firstLine="0"/>
      </w:pPr>
      <w:rPr>
        <w:rFonts w:hint="eastAsia"/>
      </w:rPr>
    </w:lvl>
    <w:lvl w:ilvl="8" w:tentative="0">
      <w:start w:val="1"/>
      <w:numFmt w:val="decimal"/>
      <w:lvlText w:val="%1.%2.%3.%4.%5.%6.%7.%8.%9"/>
      <w:lvlJc w:val="left"/>
      <w:pPr>
        <w:tabs>
          <w:tab w:val="left" w:pos="0"/>
        </w:tabs>
        <w:ind w:left="0" w:firstLine="0"/>
      </w:pPr>
      <w:rPr>
        <w:rFonts w:hint="eastAsia"/>
      </w:rPr>
    </w:lvl>
  </w:abstractNum>
  <w:abstractNum w:abstractNumId="21">
    <w:nsid w:val="185401DD"/>
    <w:multiLevelType w:val="multilevel"/>
    <w:tmpl w:val="185401DD"/>
    <w:lvl w:ilvl="0" w:tentative="0">
      <w:start w:val="1"/>
      <w:numFmt w:val="decimal"/>
      <w:lvlText w:val="%1"/>
      <w:lvlJc w:val="center"/>
      <w:pPr>
        <w:ind w:left="0" w:firstLine="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2">
    <w:nsid w:val="1EAA0D2A"/>
    <w:multiLevelType w:val="multilevel"/>
    <w:tmpl w:val="1EAA0D2A"/>
    <w:lvl w:ilvl="0" w:tentative="0">
      <w:start w:val="1"/>
      <w:numFmt w:val="decimal"/>
      <w:suff w:val="nothing"/>
      <w:lvlText w:val="%1"/>
      <w:lvlJc w:val="center"/>
      <w:pPr>
        <w:tabs>
          <w:tab w:val="left" w:pos="0"/>
        </w:tabs>
        <w:ind w:left="0" w:firstLine="0"/>
      </w:pPr>
      <w:rPr>
        <w:rFonts w:hint="default" w:ascii="Times New Roman" w:hAnsi="Times New Roman" w:cs="Times New Roman"/>
        <w:sz w:val="21"/>
        <w:szCs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3">
    <w:nsid w:val="20EB3BD6"/>
    <w:multiLevelType w:val="singleLevel"/>
    <w:tmpl w:val="20EB3BD6"/>
    <w:lvl w:ilvl="0" w:tentative="0">
      <w:start w:val="1"/>
      <w:numFmt w:val="decimal"/>
      <w:lvlText w:val="%1"/>
      <w:lvlJc w:val="center"/>
      <w:pPr>
        <w:tabs>
          <w:tab w:val="left" w:pos="0"/>
        </w:tabs>
        <w:ind w:left="0" w:firstLine="0"/>
      </w:pPr>
      <w:rPr>
        <w:rFonts w:hint="default"/>
        <w:sz w:val="21"/>
        <w:szCs w:val="21"/>
      </w:rPr>
    </w:lvl>
  </w:abstractNum>
  <w:abstractNum w:abstractNumId="24">
    <w:nsid w:val="232C131A"/>
    <w:multiLevelType w:val="multilevel"/>
    <w:tmpl w:val="232C131A"/>
    <w:lvl w:ilvl="0" w:tentative="0">
      <w:start w:val="1"/>
      <w:numFmt w:val="decimal"/>
      <w:suff w:val="space"/>
      <w:lvlText w:val="%1"/>
      <w:lvlJc w:val="left"/>
      <w:pPr>
        <w:ind w:left="0" w:firstLine="0"/>
      </w:pPr>
      <w:rPr>
        <w:rFonts w:hint="eastAsia"/>
      </w:rPr>
    </w:lvl>
    <w:lvl w:ilvl="1" w:tentative="0">
      <w:start w:val="1"/>
      <w:numFmt w:val="decimal"/>
      <w:suff w:val="space"/>
      <w:lvlText w:val="%1.%2"/>
      <w:lvlJc w:val="left"/>
      <w:pPr>
        <w:ind w:left="0" w:firstLine="0"/>
      </w:pPr>
      <w:rPr>
        <w:rFonts w:hint="eastAsia"/>
      </w:rPr>
    </w:lvl>
    <w:lvl w:ilvl="2" w:tentative="0">
      <w:start w:val="1"/>
      <w:numFmt w:val="decimal"/>
      <w:lvlText w:val="%1.%2.%3"/>
      <w:lvlJc w:val="left"/>
      <w:pPr>
        <w:tabs>
          <w:tab w:val="left" w:pos="0"/>
        </w:tabs>
        <w:ind w:left="0" w:firstLine="0"/>
      </w:pPr>
      <w:rPr>
        <w:rFonts w:hint="eastAsia"/>
        <w:lang w:val="en-US"/>
      </w:rPr>
    </w:lvl>
    <w:lvl w:ilvl="3" w:tentative="0">
      <w:start w:val="1"/>
      <w:numFmt w:val="decimal"/>
      <w:suff w:val="space"/>
      <w:lvlText w:val="%1.%2.%3.%4"/>
      <w:lvlJc w:val="left"/>
      <w:pPr>
        <w:ind w:left="0" w:firstLine="0"/>
      </w:pPr>
      <w:rPr>
        <w:rFonts w:hint="eastAsia"/>
        <w:b/>
        <w:color w:val="000000"/>
      </w:rPr>
    </w:lvl>
    <w:lvl w:ilvl="4" w:tentative="0">
      <w:start w:val="1"/>
      <w:numFmt w:val="decimal"/>
      <w:lvlText w:val="%1.%2.%3.%4.%5"/>
      <w:lvlJc w:val="left"/>
      <w:pPr>
        <w:tabs>
          <w:tab w:val="left" w:pos="0"/>
        </w:tabs>
        <w:ind w:left="0" w:firstLine="0"/>
      </w:pPr>
      <w:rPr>
        <w:rFonts w:hint="eastAsia"/>
      </w:rPr>
    </w:lvl>
    <w:lvl w:ilvl="5" w:tentative="0">
      <w:start w:val="1"/>
      <w:numFmt w:val="decimal"/>
      <w:lvlText w:val="%1.%2.%3.%4.%5.%6"/>
      <w:lvlJc w:val="left"/>
      <w:pPr>
        <w:tabs>
          <w:tab w:val="left" w:pos="0"/>
        </w:tabs>
        <w:ind w:left="0" w:firstLine="0"/>
      </w:pPr>
      <w:rPr>
        <w:rFonts w:hint="eastAsia"/>
      </w:rPr>
    </w:lvl>
    <w:lvl w:ilvl="6" w:tentative="0">
      <w:start w:val="1"/>
      <w:numFmt w:val="decimal"/>
      <w:lvlText w:val="%1.%2.%3.%4.%5.%6.%7"/>
      <w:lvlJc w:val="left"/>
      <w:pPr>
        <w:tabs>
          <w:tab w:val="left" w:pos="0"/>
        </w:tabs>
        <w:ind w:left="0" w:firstLine="0"/>
      </w:pPr>
      <w:rPr>
        <w:rFonts w:hint="eastAsia"/>
      </w:rPr>
    </w:lvl>
    <w:lvl w:ilvl="7" w:tentative="0">
      <w:start w:val="1"/>
      <w:numFmt w:val="decimal"/>
      <w:lvlText w:val="%1.%2.%3.%4.%5.%6.%7.%8"/>
      <w:lvlJc w:val="left"/>
      <w:pPr>
        <w:tabs>
          <w:tab w:val="left" w:pos="0"/>
        </w:tabs>
        <w:ind w:left="0" w:firstLine="0"/>
      </w:pPr>
      <w:rPr>
        <w:rFonts w:hint="eastAsia"/>
      </w:rPr>
    </w:lvl>
    <w:lvl w:ilvl="8" w:tentative="0">
      <w:start w:val="1"/>
      <w:numFmt w:val="decimal"/>
      <w:lvlText w:val="%1.%2.%3.%4.%5.%6.%7.%8.%9"/>
      <w:lvlJc w:val="left"/>
      <w:pPr>
        <w:tabs>
          <w:tab w:val="left" w:pos="0"/>
        </w:tabs>
        <w:ind w:left="0" w:firstLine="0"/>
      </w:pPr>
      <w:rPr>
        <w:rFonts w:hint="eastAsia"/>
      </w:rPr>
    </w:lvl>
  </w:abstractNum>
  <w:abstractNum w:abstractNumId="25">
    <w:nsid w:val="2A1F136B"/>
    <w:multiLevelType w:val="multilevel"/>
    <w:tmpl w:val="2A1F136B"/>
    <w:lvl w:ilvl="0" w:tentative="0">
      <w:start w:val="1"/>
      <w:numFmt w:val="decimal"/>
      <w:suff w:val="nothing"/>
      <w:lvlText w:val="%1"/>
      <w:lvlJc w:val="left"/>
      <w:pPr>
        <w:ind w:left="0" w:firstLine="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6">
    <w:nsid w:val="33EA4F61"/>
    <w:multiLevelType w:val="multilevel"/>
    <w:tmpl w:val="33EA4F61"/>
    <w:lvl w:ilvl="0" w:tentative="0">
      <w:start w:val="1"/>
      <w:numFmt w:val="decimal"/>
      <w:pStyle w:val="5"/>
      <w:lvlText w:val="1.%1"/>
      <w:lvlJc w:val="left"/>
      <w:pPr>
        <w:ind w:left="420" w:hanging="420"/>
      </w:pPr>
      <w:rPr>
        <w:rFonts w:hint="default" w:ascii="Times New Roman" w:hAnsi="Times New Roman"/>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7">
    <w:nsid w:val="3E1C0276"/>
    <w:multiLevelType w:val="multilevel"/>
    <w:tmpl w:val="3E1C0276"/>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8">
    <w:nsid w:val="449D0C10"/>
    <w:multiLevelType w:val="multilevel"/>
    <w:tmpl w:val="449D0C10"/>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9">
    <w:nsid w:val="45C31683"/>
    <w:multiLevelType w:val="multilevel"/>
    <w:tmpl w:val="45C31683"/>
    <w:lvl w:ilvl="0" w:tentative="0">
      <w:start w:val="1"/>
      <w:numFmt w:val="decimal"/>
      <w:pStyle w:val="4"/>
      <w:suff w:val="space"/>
      <w:lvlText w:val="1.%1"/>
      <w:lvlJc w:val="left"/>
      <w:pPr>
        <w:ind w:left="1838" w:hanging="420"/>
      </w:pPr>
      <w:rPr>
        <w:rFonts w:hint="default" w:ascii="Times New Roman" w:hAnsi="Times New Roman"/>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30">
    <w:nsid w:val="45F3387B"/>
    <w:multiLevelType w:val="multilevel"/>
    <w:tmpl w:val="45F3387B"/>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1">
    <w:nsid w:val="57E648AD"/>
    <w:multiLevelType w:val="multilevel"/>
    <w:tmpl w:val="57E648AD"/>
    <w:lvl w:ilvl="0" w:tentative="0">
      <w:start w:val="1"/>
      <w:numFmt w:val="decimal"/>
      <w:suff w:val="nothing"/>
      <w:lvlText w:val="%1"/>
      <w:lvlJc w:val="center"/>
      <w:pPr>
        <w:tabs>
          <w:tab w:val="left" w:pos="0"/>
        </w:tabs>
        <w:ind w:left="0" w:firstLine="0"/>
      </w:pPr>
      <w:rPr>
        <w:rFonts w:hint="default" w:ascii="Times New Roman" w:hAnsi="Times New Roman" w:cs="Times New Roman"/>
        <w:sz w:val="21"/>
        <w:szCs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2">
    <w:nsid w:val="5F653E01"/>
    <w:multiLevelType w:val="singleLevel"/>
    <w:tmpl w:val="5F653E01"/>
    <w:lvl w:ilvl="0" w:tentative="0">
      <w:start w:val="1"/>
      <w:numFmt w:val="bullet"/>
      <w:pStyle w:val="13"/>
      <w:lvlText w:val=""/>
      <w:lvlJc w:val="left"/>
      <w:pPr>
        <w:tabs>
          <w:tab w:val="left" w:pos="1620"/>
        </w:tabs>
        <w:ind w:left="1620" w:hanging="360"/>
      </w:pPr>
      <w:rPr>
        <w:rFonts w:hint="default" w:ascii="Wingdings" w:hAnsi="Wingdings"/>
      </w:rPr>
    </w:lvl>
  </w:abstractNum>
  <w:abstractNum w:abstractNumId="33">
    <w:nsid w:val="6670C095"/>
    <w:multiLevelType w:val="singleLevel"/>
    <w:tmpl w:val="6670C095"/>
    <w:lvl w:ilvl="0" w:tentative="0">
      <w:start w:val="1"/>
      <w:numFmt w:val="decimal"/>
      <w:lvlText w:val="%1."/>
      <w:lvlJc w:val="left"/>
      <w:pPr>
        <w:ind w:left="425" w:hanging="425"/>
      </w:pPr>
    </w:lvl>
  </w:abstractNum>
  <w:abstractNum w:abstractNumId="34">
    <w:nsid w:val="6D5E7671"/>
    <w:multiLevelType w:val="multilevel"/>
    <w:tmpl w:val="6D5E7671"/>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5">
    <w:nsid w:val="6E213F67"/>
    <w:multiLevelType w:val="singleLevel"/>
    <w:tmpl w:val="6E213F67"/>
    <w:lvl w:ilvl="0" w:tentative="0">
      <w:start w:val="1"/>
      <w:numFmt w:val="decimal"/>
      <w:lvlText w:val="(%1)"/>
      <w:lvlJc w:val="left"/>
      <w:pPr>
        <w:ind w:left="425" w:hanging="425"/>
      </w:pPr>
      <w:rPr>
        <w:rFonts w:hint="default"/>
      </w:rPr>
    </w:lvl>
  </w:abstractNum>
  <w:abstractNum w:abstractNumId="36">
    <w:nsid w:val="7AC57EC6"/>
    <w:multiLevelType w:val="singleLevel"/>
    <w:tmpl w:val="7AC57EC6"/>
    <w:lvl w:ilvl="0" w:tentative="0">
      <w:start w:val="6"/>
      <w:numFmt w:val="decimal"/>
      <w:suff w:val="nothing"/>
      <w:lvlText w:val="（%1）"/>
      <w:lvlJc w:val="left"/>
    </w:lvl>
  </w:abstractNum>
  <w:abstractNum w:abstractNumId="37">
    <w:nsid w:val="7F274586"/>
    <w:multiLevelType w:val="multilevel"/>
    <w:tmpl w:val="7F274586"/>
    <w:lvl w:ilvl="0" w:tentative="0">
      <w:start w:val="1"/>
      <w:numFmt w:val="decimal"/>
      <w:suff w:val="nothing"/>
      <w:lvlText w:val="%1"/>
      <w:lvlJc w:val="center"/>
      <w:pPr>
        <w:tabs>
          <w:tab w:val="left" w:pos="0"/>
        </w:tabs>
        <w:ind w:left="0" w:firstLine="0"/>
      </w:pPr>
      <w:rPr>
        <w:rFonts w:hint="default" w:ascii="Times New Roman" w:hAnsi="Times New Roman" w:cs="Times New Roman"/>
        <w:sz w:val="21"/>
        <w:szCs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9"/>
  </w:num>
  <w:num w:numId="2">
    <w:abstractNumId w:val="29"/>
  </w:num>
  <w:num w:numId="3">
    <w:abstractNumId w:val="26"/>
  </w:num>
  <w:num w:numId="4">
    <w:abstractNumId w:val="32"/>
  </w:num>
  <w:num w:numId="5">
    <w:abstractNumId w:val="0"/>
  </w:num>
  <w:num w:numId="6">
    <w:abstractNumId w:val="20"/>
  </w:num>
  <w:num w:numId="7">
    <w:abstractNumId w:val="4"/>
  </w:num>
  <w:num w:numId="8">
    <w:abstractNumId w:val="12"/>
  </w:num>
  <w:num w:numId="9">
    <w:abstractNumId w:val="35"/>
  </w:num>
  <w:num w:numId="10">
    <w:abstractNumId w:val="8"/>
  </w:num>
  <w:num w:numId="11">
    <w:abstractNumId w:val="6"/>
  </w:num>
  <w:num w:numId="12">
    <w:abstractNumId w:val="27"/>
  </w:num>
  <w:num w:numId="13">
    <w:abstractNumId w:val="21"/>
  </w:num>
  <w:num w:numId="14">
    <w:abstractNumId w:val="5"/>
  </w:num>
  <w:num w:numId="15">
    <w:abstractNumId w:val="1"/>
  </w:num>
  <w:num w:numId="16">
    <w:abstractNumId w:val="28"/>
  </w:num>
  <w:num w:numId="17">
    <w:abstractNumId w:val="36"/>
  </w:num>
  <w:num w:numId="18">
    <w:abstractNumId w:val="17"/>
  </w:num>
  <w:num w:numId="19">
    <w:abstractNumId w:val="23"/>
  </w:num>
  <w:num w:numId="20">
    <w:abstractNumId w:val="13"/>
  </w:num>
  <w:num w:numId="21">
    <w:abstractNumId w:val="14"/>
  </w:num>
  <w:num w:numId="22">
    <w:abstractNumId w:val="30"/>
  </w:num>
  <w:num w:numId="23">
    <w:abstractNumId w:val="37"/>
  </w:num>
  <w:num w:numId="24">
    <w:abstractNumId w:val="2"/>
  </w:num>
  <w:num w:numId="25">
    <w:abstractNumId w:val="31"/>
  </w:num>
  <w:num w:numId="26">
    <w:abstractNumId w:val="22"/>
  </w:num>
  <w:num w:numId="27">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3"/>
  </w:num>
  <w:num w:numId="29">
    <w:abstractNumId w:val="10"/>
  </w:num>
  <w:num w:numId="30">
    <w:abstractNumId w:val="9"/>
    <w:lvlOverride w:ilvl="0">
      <w:startOverride w:val="1"/>
    </w:lvlOverride>
  </w:num>
  <w:num w:numId="31">
    <w:abstractNumId w:val="33"/>
    <w:lvlOverride w:ilvl="0">
      <w:startOverride w:val="1"/>
    </w:lvlOverride>
  </w:num>
  <w:num w:numId="32">
    <w:abstractNumId w:val="18"/>
  </w:num>
  <w:num w:numId="33">
    <w:abstractNumId w:val="34"/>
  </w:num>
  <w:num w:numId="34">
    <w:abstractNumId w:val="24"/>
  </w:num>
  <w:num w:numId="35">
    <w:abstractNumId w:val="7"/>
  </w:num>
  <w:num w:numId="36">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mirrorMargins w:val="1"/>
  <w:bordersDoNotSurroundHeader w:val="0"/>
  <w:bordersDoNotSurroundFooter w:val="0"/>
  <w:hideSpellingErrors/>
  <w:stylePaneFormatFilter w:val="1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0"/>
  <w:documentProtection w:edit="readOnly" w:enforcement="0"/>
  <w:defaultTabStop w:val="135"/>
  <w:evenAndOddHeaders w:val="1"/>
  <w:drawingGridHorizontalSpacing w:val="140"/>
  <w:drawingGridVerticalSpacing w:val="381"/>
  <w:displayHorizontalDrawingGridEvery w:val="1"/>
  <w:displayVerticalDrawingGridEvery w:val="1"/>
  <w:noPunctuationKerning w:val="1"/>
  <w:characterSpacingControl w:val="compressPunctuation"/>
  <w:compat>
    <w:spaceForUL/>
    <w:balanceSingleByteDoubleByteWidth/>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DQ5YzkzMjlkMWMwNzFkZTgxNzVkMzUxMTQzOWJkODUifQ=="/>
  </w:docVars>
  <w:rsids>
    <w:rsidRoot w:val="00172A27"/>
    <w:rsid w:val="0000069C"/>
    <w:rsid w:val="00000869"/>
    <w:rsid w:val="000009B5"/>
    <w:rsid w:val="00000BA1"/>
    <w:rsid w:val="00000E76"/>
    <w:rsid w:val="0000107A"/>
    <w:rsid w:val="0000110E"/>
    <w:rsid w:val="000014AD"/>
    <w:rsid w:val="00001549"/>
    <w:rsid w:val="00001B9C"/>
    <w:rsid w:val="00001D3B"/>
    <w:rsid w:val="0000262F"/>
    <w:rsid w:val="00002860"/>
    <w:rsid w:val="00002A30"/>
    <w:rsid w:val="00002E66"/>
    <w:rsid w:val="00003352"/>
    <w:rsid w:val="000039C5"/>
    <w:rsid w:val="00003A6D"/>
    <w:rsid w:val="00003BF4"/>
    <w:rsid w:val="00003CEC"/>
    <w:rsid w:val="00003DA2"/>
    <w:rsid w:val="00003F84"/>
    <w:rsid w:val="00004518"/>
    <w:rsid w:val="000045F1"/>
    <w:rsid w:val="00004D8A"/>
    <w:rsid w:val="00004FF0"/>
    <w:rsid w:val="00005366"/>
    <w:rsid w:val="000054FB"/>
    <w:rsid w:val="0000550A"/>
    <w:rsid w:val="00005564"/>
    <w:rsid w:val="00005644"/>
    <w:rsid w:val="00005E66"/>
    <w:rsid w:val="00005E94"/>
    <w:rsid w:val="000060EE"/>
    <w:rsid w:val="00006571"/>
    <w:rsid w:val="000077BD"/>
    <w:rsid w:val="00007D85"/>
    <w:rsid w:val="00007F46"/>
    <w:rsid w:val="00010131"/>
    <w:rsid w:val="00010564"/>
    <w:rsid w:val="000105E4"/>
    <w:rsid w:val="00010AEB"/>
    <w:rsid w:val="00010B1D"/>
    <w:rsid w:val="000118D5"/>
    <w:rsid w:val="00011CEF"/>
    <w:rsid w:val="00012276"/>
    <w:rsid w:val="000127CF"/>
    <w:rsid w:val="000128CD"/>
    <w:rsid w:val="00012B5B"/>
    <w:rsid w:val="00012B9C"/>
    <w:rsid w:val="00012EB9"/>
    <w:rsid w:val="00012EC0"/>
    <w:rsid w:val="00012F1D"/>
    <w:rsid w:val="0001381E"/>
    <w:rsid w:val="00013AE4"/>
    <w:rsid w:val="00013F6A"/>
    <w:rsid w:val="00014AE7"/>
    <w:rsid w:val="00014D17"/>
    <w:rsid w:val="00015252"/>
    <w:rsid w:val="0001601C"/>
    <w:rsid w:val="00016063"/>
    <w:rsid w:val="0001763E"/>
    <w:rsid w:val="00017D47"/>
    <w:rsid w:val="00020058"/>
    <w:rsid w:val="00020E05"/>
    <w:rsid w:val="00020ED2"/>
    <w:rsid w:val="000216F2"/>
    <w:rsid w:val="000220BD"/>
    <w:rsid w:val="00022649"/>
    <w:rsid w:val="00022840"/>
    <w:rsid w:val="0002332D"/>
    <w:rsid w:val="000236C6"/>
    <w:rsid w:val="00023821"/>
    <w:rsid w:val="00023AD9"/>
    <w:rsid w:val="00023DB3"/>
    <w:rsid w:val="00024286"/>
    <w:rsid w:val="00024D1E"/>
    <w:rsid w:val="000252E4"/>
    <w:rsid w:val="00025BEC"/>
    <w:rsid w:val="00026089"/>
    <w:rsid w:val="0002632C"/>
    <w:rsid w:val="00026380"/>
    <w:rsid w:val="00026921"/>
    <w:rsid w:val="00027105"/>
    <w:rsid w:val="0002789F"/>
    <w:rsid w:val="00027DEB"/>
    <w:rsid w:val="00027E80"/>
    <w:rsid w:val="000304EB"/>
    <w:rsid w:val="00030552"/>
    <w:rsid w:val="000309B8"/>
    <w:rsid w:val="00030BC0"/>
    <w:rsid w:val="00031017"/>
    <w:rsid w:val="0003168B"/>
    <w:rsid w:val="00031C2D"/>
    <w:rsid w:val="00032984"/>
    <w:rsid w:val="00032FCE"/>
    <w:rsid w:val="00033C8C"/>
    <w:rsid w:val="0003492E"/>
    <w:rsid w:val="00034EB8"/>
    <w:rsid w:val="00034F46"/>
    <w:rsid w:val="00035082"/>
    <w:rsid w:val="000354D7"/>
    <w:rsid w:val="00035557"/>
    <w:rsid w:val="000367DC"/>
    <w:rsid w:val="0003698C"/>
    <w:rsid w:val="00036F2D"/>
    <w:rsid w:val="00036F80"/>
    <w:rsid w:val="0003742A"/>
    <w:rsid w:val="000375A8"/>
    <w:rsid w:val="0004069A"/>
    <w:rsid w:val="0004122E"/>
    <w:rsid w:val="000416A9"/>
    <w:rsid w:val="000419FA"/>
    <w:rsid w:val="0004259C"/>
    <w:rsid w:val="000426EA"/>
    <w:rsid w:val="00042C82"/>
    <w:rsid w:val="00042C85"/>
    <w:rsid w:val="00042FA7"/>
    <w:rsid w:val="000437DF"/>
    <w:rsid w:val="00043A9C"/>
    <w:rsid w:val="00043B16"/>
    <w:rsid w:val="00044939"/>
    <w:rsid w:val="000453A0"/>
    <w:rsid w:val="00045BFC"/>
    <w:rsid w:val="0004621A"/>
    <w:rsid w:val="00046243"/>
    <w:rsid w:val="00046766"/>
    <w:rsid w:val="0004679C"/>
    <w:rsid w:val="0004695D"/>
    <w:rsid w:val="00046B6D"/>
    <w:rsid w:val="00046B9B"/>
    <w:rsid w:val="00046DBF"/>
    <w:rsid w:val="00046E53"/>
    <w:rsid w:val="00047AAC"/>
    <w:rsid w:val="00047EE9"/>
    <w:rsid w:val="000502F2"/>
    <w:rsid w:val="0005038A"/>
    <w:rsid w:val="000505E7"/>
    <w:rsid w:val="00050BE5"/>
    <w:rsid w:val="0005100C"/>
    <w:rsid w:val="00051E38"/>
    <w:rsid w:val="00052B21"/>
    <w:rsid w:val="00052FE6"/>
    <w:rsid w:val="00053CA2"/>
    <w:rsid w:val="00053CD7"/>
    <w:rsid w:val="00054ECE"/>
    <w:rsid w:val="0005510A"/>
    <w:rsid w:val="000553A7"/>
    <w:rsid w:val="000553CC"/>
    <w:rsid w:val="00055475"/>
    <w:rsid w:val="00056699"/>
    <w:rsid w:val="000569F0"/>
    <w:rsid w:val="00056C0F"/>
    <w:rsid w:val="00056C4D"/>
    <w:rsid w:val="0005794E"/>
    <w:rsid w:val="000601D6"/>
    <w:rsid w:val="00060C4B"/>
    <w:rsid w:val="00060C79"/>
    <w:rsid w:val="0006110C"/>
    <w:rsid w:val="000615AE"/>
    <w:rsid w:val="00061CCA"/>
    <w:rsid w:val="00061F1E"/>
    <w:rsid w:val="00063519"/>
    <w:rsid w:val="000636E2"/>
    <w:rsid w:val="00063BC3"/>
    <w:rsid w:val="00063EB6"/>
    <w:rsid w:val="000641C6"/>
    <w:rsid w:val="00064B68"/>
    <w:rsid w:val="00064C6B"/>
    <w:rsid w:val="0006500E"/>
    <w:rsid w:val="00065131"/>
    <w:rsid w:val="000651DE"/>
    <w:rsid w:val="000653DF"/>
    <w:rsid w:val="000658CC"/>
    <w:rsid w:val="00065B73"/>
    <w:rsid w:val="0006601F"/>
    <w:rsid w:val="0006613C"/>
    <w:rsid w:val="0006642B"/>
    <w:rsid w:val="00066BB4"/>
    <w:rsid w:val="00067B61"/>
    <w:rsid w:val="00070483"/>
    <w:rsid w:val="000704F0"/>
    <w:rsid w:val="000705EF"/>
    <w:rsid w:val="000707B8"/>
    <w:rsid w:val="0007090B"/>
    <w:rsid w:val="000709D6"/>
    <w:rsid w:val="000717DC"/>
    <w:rsid w:val="00072895"/>
    <w:rsid w:val="00072A29"/>
    <w:rsid w:val="00073057"/>
    <w:rsid w:val="0007347A"/>
    <w:rsid w:val="000737B9"/>
    <w:rsid w:val="00073F9E"/>
    <w:rsid w:val="00074DE8"/>
    <w:rsid w:val="0007521F"/>
    <w:rsid w:val="00075A89"/>
    <w:rsid w:val="00076E55"/>
    <w:rsid w:val="00076EF3"/>
    <w:rsid w:val="00077025"/>
    <w:rsid w:val="00077626"/>
    <w:rsid w:val="00077A9C"/>
    <w:rsid w:val="00077DBA"/>
    <w:rsid w:val="00077E7E"/>
    <w:rsid w:val="00080220"/>
    <w:rsid w:val="00080691"/>
    <w:rsid w:val="00080694"/>
    <w:rsid w:val="000819DC"/>
    <w:rsid w:val="00082102"/>
    <w:rsid w:val="00082378"/>
    <w:rsid w:val="00082401"/>
    <w:rsid w:val="00082631"/>
    <w:rsid w:val="00082D08"/>
    <w:rsid w:val="0008386D"/>
    <w:rsid w:val="00083C98"/>
    <w:rsid w:val="0008402C"/>
    <w:rsid w:val="00084093"/>
    <w:rsid w:val="00085C37"/>
    <w:rsid w:val="00085CD0"/>
    <w:rsid w:val="000877D5"/>
    <w:rsid w:val="00087A19"/>
    <w:rsid w:val="00087BA2"/>
    <w:rsid w:val="00087E59"/>
    <w:rsid w:val="00090215"/>
    <w:rsid w:val="00090744"/>
    <w:rsid w:val="00090A3A"/>
    <w:rsid w:val="00091915"/>
    <w:rsid w:val="00091B88"/>
    <w:rsid w:val="000920E2"/>
    <w:rsid w:val="0009266E"/>
    <w:rsid w:val="0009294C"/>
    <w:rsid w:val="00092B2A"/>
    <w:rsid w:val="00093EDF"/>
    <w:rsid w:val="00094454"/>
    <w:rsid w:val="00094532"/>
    <w:rsid w:val="000945DE"/>
    <w:rsid w:val="000947B9"/>
    <w:rsid w:val="00094B23"/>
    <w:rsid w:val="00094C59"/>
    <w:rsid w:val="00094D38"/>
    <w:rsid w:val="0009530F"/>
    <w:rsid w:val="00095434"/>
    <w:rsid w:val="000960A4"/>
    <w:rsid w:val="00096DCB"/>
    <w:rsid w:val="000973F2"/>
    <w:rsid w:val="000977CB"/>
    <w:rsid w:val="00097AD7"/>
    <w:rsid w:val="000A03B4"/>
    <w:rsid w:val="000A05B8"/>
    <w:rsid w:val="000A073B"/>
    <w:rsid w:val="000A0ADC"/>
    <w:rsid w:val="000A1476"/>
    <w:rsid w:val="000A1D46"/>
    <w:rsid w:val="000A2B84"/>
    <w:rsid w:val="000A3424"/>
    <w:rsid w:val="000A39C4"/>
    <w:rsid w:val="000A4255"/>
    <w:rsid w:val="000A46AC"/>
    <w:rsid w:val="000A4946"/>
    <w:rsid w:val="000A52B0"/>
    <w:rsid w:val="000A596C"/>
    <w:rsid w:val="000A5DDE"/>
    <w:rsid w:val="000A6A80"/>
    <w:rsid w:val="000A6B46"/>
    <w:rsid w:val="000A6C57"/>
    <w:rsid w:val="000A6EA5"/>
    <w:rsid w:val="000A7523"/>
    <w:rsid w:val="000A7F7E"/>
    <w:rsid w:val="000B0609"/>
    <w:rsid w:val="000B08E3"/>
    <w:rsid w:val="000B0C6A"/>
    <w:rsid w:val="000B0DAF"/>
    <w:rsid w:val="000B1116"/>
    <w:rsid w:val="000B1B97"/>
    <w:rsid w:val="000B1CF4"/>
    <w:rsid w:val="000B2D3B"/>
    <w:rsid w:val="000B37BD"/>
    <w:rsid w:val="000B39D5"/>
    <w:rsid w:val="000B4061"/>
    <w:rsid w:val="000B49C8"/>
    <w:rsid w:val="000B4E80"/>
    <w:rsid w:val="000B5284"/>
    <w:rsid w:val="000B52F4"/>
    <w:rsid w:val="000B659E"/>
    <w:rsid w:val="000B66DE"/>
    <w:rsid w:val="000B7481"/>
    <w:rsid w:val="000B791B"/>
    <w:rsid w:val="000B7EA8"/>
    <w:rsid w:val="000C0E50"/>
    <w:rsid w:val="000C1177"/>
    <w:rsid w:val="000C11E2"/>
    <w:rsid w:val="000C1E60"/>
    <w:rsid w:val="000C1EC8"/>
    <w:rsid w:val="000C2112"/>
    <w:rsid w:val="000C22E4"/>
    <w:rsid w:val="000C22F9"/>
    <w:rsid w:val="000C2BFF"/>
    <w:rsid w:val="000C3DAB"/>
    <w:rsid w:val="000C4623"/>
    <w:rsid w:val="000C572F"/>
    <w:rsid w:val="000C5B8D"/>
    <w:rsid w:val="000C648D"/>
    <w:rsid w:val="000C6719"/>
    <w:rsid w:val="000C6D93"/>
    <w:rsid w:val="000C73C6"/>
    <w:rsid w:val="000C775D"/>
    <w:rsid w:val="000C788C"/>
    <w:rsid w:val="000C7F79"/>
    <w:rsid w:val="000D0100"/>
    <w:rsid w:val="000D05DE"/>
    <w:rsid w:val="000D0788"/>
    <w:rsid w:val="000D093C"/>
    <w:rsid w:val="000D0B8F"/>
    <w:rsid w:val="000D0C05"/>
    <w:rsid w:val="000D1AD0"/>
    <w:rsid w:val="000D2506"/>
    <w:rsid w:val="000D2962"/>
    <w:rsid w:val="000D2CC8"/>
    <w:rsid w:val="000D36B0"/>
    <w:rsid w:val="000D49E5"/>
    <w:rsid w:val="000D4A48"/>
    <w:rsid w:val="000D4B80"/>
    <w:rsid w:val="000D4E11"/>
    <w:rsid w:val="000D4E5B"/>
    <w:rsid w:val="000D5215"/>
    <w:rsid w:val="000D56BD"/>
    <w:rsid w:val="000D5A7C"/>
    <w:rsid w:val="000D63FE"/>
    <w:rsid w:val="000D6E64"/>
    <w:rsid w:val="000D6FE1"/>
    <w:rsid w:val="000D752A"/>
    <w:rsid w:val="000D77C7"/>
    <w:rsid w:val="000D7954"/>
    <w:rsid w:val="000D7D67"/>
    <w:rsid w:val="000E006F"/>
    <w:rsid w:val="000E08AD"/>
    <w:rsid w:val="000E0A39"/>
    <w:rsid w:val="000E0B86"/>
    <w:rsid w:val="000E1105"/>
    <w:rsid w:val="000E1461"/>
    <w:rsid w:val="000E17B1"/>
    <w:rsid w:val="000E2135"/>
    <w:rsid w:val="000E3146"/>
    <w:rsid w:val="000E31EF"/>
    <w:rsid w:val="000E40CB"/>
    <w:rsid w:val="000E423A"/>
    <w:rsid w:val="000E4557"/>
    <w:rsid w:val="000E5AB0"/>
    <w:rsid w:val="000E60FA"/>
    <w:rsid w:val="000E6138"/>
    <w:rsid w:val="000E618E"/>
    <w:rsid w:val="000E6D86"/>
    <w:rsid w:val="000F0852"/>
    <w:rsid w:val="000F183E"/>
    <w:rsid w:val="000F29AD"/>
    <w:rsid w:val="000F3071"/>
    <w:rsid w:val="000F382D"/>
    <w:rsid w:val="000F38E7"/>
    <w:rsid w:val="000F391D"/>
    <w:rsid w:val="000F3C3A"/>
    <w:rsid w:val="000F3D28"/>
    <w:rsid w:val="000F3F0D"/>
    <w:rsid w:val="000F40DC"/>
    <w:rsid w:val="000F4645"/>
    <w:rsid w:val="000F5AF7"/>
    <w:rsid w:val="000F7386"/>
    <w:rsid w:val="000F784D"/>
    <w:rsid w:val="00100308"/>
    <w:rsid w:val="001009D9"/>
    <w:rsid w:val="00100B33"/>
    <w:rsid w:val="00100E31"/>
    <w:rsid w:val="001015E4"/>
    <w:rsid w:val="00101C3F"/>
    <w:rsid w:val="001031A9"/>
    <w:rsid w:val="001032B7"/>
    <w:rsid w:val="0010397D"/>
    <w:rsid w:val="00103AB3"/>
    <w:rsid w:val="00103AB4"/>
    <w:rsid w:val="001045BD"/>
    <w:rsid w:val="00106336"/>
    <w:rsid w:val="00106B28"/>
    <w:rsid w:val="00107375"/>
    <w:rsid w:val="001073E4"/>
    <w:rsid w:val="001074F5"/>
    <w:rsid w:val="00107625"/>
    <w:rsid w:val="001076B2"/>
    <w:rsid w:val="00107F4E"/>
    <w:rsid w:val="001106AA"/>
    <w:rsid w:val="00110905"/>
    <w:rsid w:val="00110E96"/>
    <w:rsid w:val="00111141"/>
    <w:rsid w:val="0011153B"/>
    <w:rsid w:val="0011179C"/>
    <w:rsid w:val="001117D3"/>
    <w:rsid w:val="001118D2"/>
    <w:rsid w:val="00111DAF"/>
    <w:rsid w:val="00112350"/>
    <w:rsid w:val="00112557"/>
    <w:rsid w:val="00112E08"/>
    <w:rsid w:val="00112F61"/>
    <w:rsid w:val="00113D4C"/>
    <w:rsid w:val="00114C01"/>
    <w:rsid w:val="00114DA3"/>
    <w:rsid w:val="00115988"/>
    <w:rsid w:val="00115AD6"/>
    <w:rsid w:val="00115D1C"/>
    <w:rsid w:val="00115DA6"/>
    <w:rsid w:val="00115DF6"/>
    <w:rsid w:val="00115F56"/>
    <w:rsid w:val="00116A0A"/>
    <w:rsid w:val="001172C0"/>
    <w:rsid w:val="001176D0"/>
    <w:rsid w:val="001178DD"/>
    <w:rsid w:val="00117F03"/>
    <w:rsid w:val="00120451"/>
    <w:rsid w:val="00120915"/>
    <w:rsid w:val="00122ADA"/>
    <w:rsid w:val="00122C05"/>
    <w:rsid w:val="00123393"/>
    <w:rsid w:val="00123EC6"/>
    <w:rsid w:val="00123EF4"/>
    <w:rsid w:val="001252C0"/>
    <w:rsid w:val="00125AD4"/>
    <w:rsid w:val="00126A53"/>
    <w:rsid w:val="00126E7F"/>
    <w:rsid w:val="001271CB"/>
    <w:rsid w:val="00127667"/>
    <w:rsid w:val="001279B9"/>
    <w:rsid w:val="00127C5F"/>
    <w:rsid w:val="00127E63"/>
    <w:rsid w:val="00127EFA"/>
    <w:rsid w:val="0013062E"/>
    <w:rsid w:val="00130AE4"/>
    <w:rsid w:val="00130F12"/>
    <w:rsid w:val="001317EA"/>
    <w:rsid w:val="0013185C"/>
    <w:rsid w:val="00131CC4"/>
    <w:rsid w:val="00131E90"/>
    <w:rsid w:val="00131ED5"/>
    <w:rsid w:val="00132C6C"/>
    <w:rsid w:val="0013387B"/>
    <w:rsid w:val="001346DD"/>
    <w:rsid w:val="00135060"/>
    <w:rsid w:val="00135070"/>
    <w:rsid w:val="0013571F"/>
    <w:rsid w:val="00135B0F"/>
    <w:rsid w:val="001366EF"/>
    <w:rsid w:val="001368E8"/>
    <w:rsid w:val="00136972"/>
    <w:rsid w:val="00136A67"/>
    <w:rsid w:val="00136AE8"/>
    <w:rsid w:val="00136C17"/>
    <w:rsid w:val="00136E2F"/>
    <w:rsid w:val="00137102"/>
    <w:rsid w:val="0013785D"/>
    <w:rsid w:val="00137BE0"/>
    <w:rsid w:val="00137E7A"/>
    <w:rsid w:val="00140C91"/>
    <w:rsid w:val="00140D74"/>
    <w:rsid w:val="00141D31"/>
    <w:rsid w:val="00142322"/>
    <w:rsid w:val="00142ABD"/>
    <w:rsid w:val="0014357A"/>
    <w:rsid w:val="00144917"/>
    <w:rsid w:val="00144BF6"/>
    <w:rsid w:val="00144DFD"/>
    <w:rsid w:val="00145BE6"/>
    <w:rsid w:val="00145DDC"/>
    <w:rsid w:val="001464AF"/>
    <w:rsid w:val="00146508"/>
    <w:rsid w:val="00147369"/>
    <w:rsid w:val="00147FAC"/>
    <w:rsid w:val="0015064D"/>
    <w:rsid w:val="00150970"/>
    <w:rsid w:val="00150DAC"/>
    <w:rsid w:val="00151175"/>
    <w:rsid w:val="00151A1C"/>
    <w:rsid w:val="00151C78"/>
    <w:rsid w:val="00152292"/>
    <w:rsid w:val="00152FF6"/>
    <w:rsid w:val="0015311A"/>
    <w:rsid w:val="001534D6"/>
    <w:rsid w:val="001538CA"/>
    <w:rsid w:val="00153E72"/>
    <w:rsid w:val="001549E3"/>
    <w:rsid w:val="00154E4A"/>
    <w:rsid w:val="00154EDB"/>
    <w:rsid w:val="001555F2"/>
    <w:rsid w:val="00155D22"/>
    <w:rsid w:val="00156267"/>
    <w:rsid w:val="00156BFA"/>
    <w:rsid w:val="00156D03"/>
    <w:rsid w:val="001571D6"/>
    <w:rsid w:val="0015779C"/>
    <w:rsid w:val="00157B48"/>
    <w:rsid w:val="00157EB3"/>
    <w:rsid w:val="00157F76"/>
    <w:rsid w:val="001605D2"/>
    <w:rsid w:val="00161A49"/>
    <w:rsid w:val="00161E46"/>
    <w:rsid w:val="0016230E"/>
    <w:rsid w:val="001627DC"/>
    <w:rsid w:val="001629B9"/>
    <w:rsid w:val="00162C8F"/>
    <w:rsid w:val="00163036"/>
    <w:rsid w:val="00163776"/>
    <w:rsid w:val="00163A10"/>
    <w:rsid w:val="0016415B"/>
    <w:rsid w:val="001653B4"/>
    <w:rsid w:val="00165944"/>
    <w:rsid w:val="001664B5"/>
    <w:rsid w:val="00166623"/>
    <w:rsid w:val="001669BC"/>
    <w:rsid w:val="001679AC"/>
    <w:rsid w:val="00167EB2"/>
    <w:rsid w:val="001701F4"/>
    <w:rsid w:val="001708A9"/>
    <w:rsid w:val="00170E9F"/>
    <w:rsid w:val="001717E7"/>
    <w:rsid w:val="0017255B"/>
    <w:rsid w:val="00172A27"/>
    <w:rsid w:val="00172E9B"/>
    <w:rsid w:val="00173543"/>
    <w:rsid w:val="00173ADC"/>
    <w:rsid w:val="00174D9E"/>
    <w:rsid w:val="0017537E"/>
    <w:rsid w:val="0017559A"/>
    <w:rsid w:val="00175B4F"/>
    <w:rsid w:val="00175E64"/>
    <w:rsid w:val="0017688A"/>
    <w:rsid w:val="00176BC7"/>
    <w:rsid w:val="00177462"/>
    <w:rsid w:val="001774D8"/>
    <w:rsid w:val="0017777A"/>
    <w:rsid w:val="00177B73"/>
    <w:rsid w:val="00177B7E"/>
    <w:rsid w:val="00177E35"/>
    <w:rsid w:val="001801D8"/>
    <w:rsid w:val="00181003"/>
    <w:rsid w:val="001817AF"/>
    <w:rsid w:val="001818B1"/>
    <w:rsid w:val="00181A51"/>
    <w:rsid w:val="0018246D"/>
    <w:rsid w:val="00182AF4"/>
    <w:rsid w:val="00182ED2"/>
    <w:rsid w:val="00183030"/>
    <w:rsid w:val="0018347F"/>
    <w:rsid w:val="00183780"/>
    <w:rsid w:val="001837A0"/>
    <w:rsid w:val="00184703"/>
    <w:rsid w:val="001847F9"/>
    <w:rsid w:val="00184CB0"/>
    <w:rsid w:val="00184D9B"/>
    <w:rsid w:val="00185382"/>
    <w:rsid w:val="001853E9"/>
    <w:rsid w:val="00185545"/>
    <w:rsid w:val="001860F1"/>
    <w:rsid w:val="00186207"/>
    <w:rsid w:val="00186F69"/>
    <w:rsid w:val="001874BC"/>
    <w:rsid w:val="0018776C"/>
    <w:rsid w:val="001877D4"/>
    <w:rsid w:val="00187934"/>
    <w:rsid w:val="001905E0"/>
    <w:rsid w:val="0019067E"/>
    <w:rsid w:val="00190715"/>
    <w:rsid w:val="001907D1"/>
    <w:rsid w:val="00190EA1"/>
    <w:rsid w:val="00190EF8"/>
    <w:rsid w:val="00191A4D"/>
    <w:rsid w:val="00191E06"/>
    <w:rsid w:val="00191E33"/>
    <w:rsid w:val="00191EC7"/>
    <w:rsid w:val="00192213"/>
    <w:rsid w:val="00192C5F"/>
    <w:rsid w:val="001933BD"/>
    <w:rsid w:val="00193921"/>
    <w:rsid w:val="00194953"/>
    <w:rsid w:val="001954E4"/>
    <w:rsid w:val="00195981"/>
    <w:rsid w:val="00196357"/>
    <w:rsid w:val="00196649"/>
    <w:rsid w:val="001966CB"/>
    <w:rsid w:val="001968DB"/>
    <w:rsid w:val="00197391"/>
    <w:rsid w:val="001977B0"/>
    <w:rsid w:val="001A1180"/>
    <w:rsid w:val="001A128B"/>
    <w:rsid w:val="001A1305"/>
    <w:rsid w:val="001A1851"/>
    <w:rsid w:val="001A21EB"/>
    <w:rsid w:val="001A231F"/>
    <w:rsid w:val="001A287A"/>
    <w:rsid w:val="001A3E24"/>
    <w:rsid w:val="001A42B8"/>
    <w:rsid w:val="001A4716"/>
    <w:rsid w:val="001A487A"/>
    <w:rsid w:val="001A489B"/>
    <w:rsid w:val="001A4E62"/>
    <w:rsid w:val="001A5CC5"/>
    <w:rsid w:val="001A5E59"/>
    <w:rsid w:val="001A63CE"/>
    <w:rsid w:val="001A7398"/>
    <w:rsid w:val="001A7D61"/>
    <w:rsid w:val="001B036E"/>
    <w:rsid w:val="001B0A44"/>
    <w:rsid w:val="001B0C97"/>
    <w:rsid w:val="001B16C8"/>
    <w:rsid w:val="001B1A86"/>
    <w:rsid w:val="001B1A89"/>
    <w:rsid w:val="001B1E06"/>
    <w:rsid w:val="001B25AD"/>
    <w:rsid w:val="001B26BA"/>
    <w:rsid w:val="001B2757"/>
    <w:rsid w:val="001B2A92"/>
    <w:rsid w:val="001B2EE4"/>
    <w:rsid w:val="001B2F36"/>
    <w:rsid w:val="001B2F4A"/>
    <w:rsid w:val="001B33B0"/>
    <w:rsid w:val="001B33DC"/>
    <w:rsid w:val="001B3B79"/>
    <w:rsid w:val="001B3F72"/>
    <w:rsid w:val="001B47D3"/>
    <w:rsid w:val="001B481D"/>
    <w:rsid w:val="001B4A8C"/>
    <w:rsid w:val="001B4B57"/>
    <w:rsid w:val="001B4CE3"/>
    <w:rsid w:val="001B5087"/>
    <w:rsid w:val="001B5673"/>
    <w:rsid w:val="001B5B23"/>
    <w:rsid w:val="001B5C5E"/>
    <w:rsid w:val="001B5E9A"/>
    <w:rsid w:val="001B6078"/>
    <w:rsid w:val="001B609E"/>
    <w:rsid w:val="001B65DB"/>
    <w:rsid w:val="001B71DE"/>
    <w:rsid w:val="001C0630"/>
    <w:rsid w:val="001C10F5"/>
    <w:rsid w:val="001C13FE"/>
    <w:rsid w:val="001C1A3A"/>
    <w:rsid w:val="001C1B01"/>
    <w:rsid w:val="001C2000"/>
    <w:rsid w:val="001C2E3E"/>
    <w:rsid w:val="001C2F72"/>
    <w:rsid w:val="001C315C"/>
    <w:rsid w:val="001C40D3"/>
    <w:rsid w:val="001C43B4"/>
    <w:rsid w:val="001C4952"/>
    <w:rsid w:val="001C4BCC"/>
    <w:rsid w:val="001C4BF6"/>
    <w:rsid w:val="001C51C0"/>
    <w:rsid w:val="001C5550"/>
    <w:rsid w:val="001C56C9"/>
    <w:rsid w:val="001C58E1"/>
    <w:rsid w:val="001C6338"/>
    <w:rsid w:val="001C6FC0"/>
    <w:rsid w:val="001C713B"/>
    <w:rsid w:val="001C7BC2"/>
    <w:rsid w:val="001C7E84"/>
    <w:rsid w:val="001C7EBC"/>
    <w:rsid w:val="001C7FC2"/>
    <w:rsid w:val="001D03CF"/>
    <w:rsid w:val="001D05A9"/>
    <w:rsid w:val="001D08CE"/>
    <w:rsid w:val="001D0986"/>
    <w:rsid w:val="001D1F21"/>
    <w:rsid w:val="001D1FC8"/>
    <w:rsid w:val="001D2700"/>
    <w:rsid w:val="001D2C5C"/>
    <w:rsid w:val="001D333D"/>
    <w:rsid w:val="001D34DC"/>
    <w:rsid w:val="001D4017"/>
    <w:rsid w:val="001D4424"/>
    <w:rsid w:val="001D482A"/>
    <w:rsid w:val="001D487A"/>
    <w:rsid w:val="001D4C3A"/>
    <w:rsid w:val="001D4E15"/>
    <w:rsid w:val="001D5001"/>
    <w:rsid w:val="001D5515"/>
    <w:rsid w:val="001D5A27"/>
    <w:rsid w:val="001D5B5F"/>
    <w:rsid w:val="001D5E73"/>
    <w:rsid w:val="001D6019"/>
    <w:rsid w:val="001D64F1"/>
    <w:rsid w:val="001D6C23"/>
    <w:rsid w:val="001D6F3A"/>
    <w:rsid w:val="001D74B0"/>
    <w:rsid w:val="001E02E8"/>
    <w:rsid w:val="001E0DE4"/>
    <w:rsid w:val="001E0E4E"/>
    <w:rsid w:val="001E0EAA"/>
    <w:rsid w:val="001E1363"/>
    <w:rsid w:val="001E1855"/>
    <w:rsid w:val="001E1894"/>
    <w:rsid w:val="001E1E77"/>
    <w:rsid w:val="001E292C"/>
    <w:rsid w:val="001E29C2"/>
    <w:rsid w:val="001E2AE8"/>
    <w:rsid w:val="001E2BD9"/>
    <w:rsid w:val="001E33B6"/>
    <w:rsid w:val="001E399C"/>
    <w:rsid w:val="001E39CF"/>
    <w:rsid w:val="001E468D"/>
    <w:rsid w:val="001E4750"/>
    <w:rsid w:val="001E4EA4"/>
    <w:rsid w:val="001E5796"/>
    <w:rsid w:val="001E6016"/>
    <w:rsid w:val="001E6983"/>
    <w:rsid w:val="001E7278"/>
    <w:rsid w:val="001E7C04"/>
    <w:rsid w:val="001F0FB4"/>
    <w:rsid w:val="001F1271"/>
    <w:rsid w:val="001F15DA"/>
    <w:rsid w:val="001F1685"/>
    <w:rsid w:val="001F2E09"/>
    <w:rsid w:val="001F2F6B"/>
    <w:rsid w:val="001F30DB"/>
    <w:rsid w:val="001F3FB2"/>
    <w:rsid w:val="001F421C"/>
    <w:rsid w:val="001F46B3"/>
    <w:rsid w:val="001F4852"/>
    <w:rsid w:val="001F51F7"/>
    <w:rsid w:val="001F5B18"/>
    <w:rsid w:val="001F75A1"/>
    <w:rsid w:val="001F7702"/>
    <w:rsid w:val="001F79BA"/>
    <w:rsid w:val="00200050"/>
    <w:rsid w:val="00200A6D"/>
    <w:rsid w:val="00200CCB"/>
    <w:rsid w:val="00200EDF"/>
    <w:rsid w:val="002015D1"/>
    <w:rsid w:val="002018D4"/>
    <w:rsid w:val="00202478"/>
    <w:rsid w:val="0020264E"/>
    <w:rsid w:val="002026D1"/>
    <w:rsid w:val="0020419A"/>
    <w:rsid w:val="0020443A"/>
    <w:rsid w:val="00204F98"/>
    <w:rsid w:val="00205326"/>
    <w:rsid w:val="00205F55"/>
    <w:rsid w:val="00205F72"/>
    <w:rsid w:val="00206088"/>
    <w:rsid w:val="00206306"/>
    <w:rsid w:val="0020634B"/>
    <w:rsid w:val="0020700F"/>
    <w:rsid w:val="002070A5"/>
    <w:rsid w:val="0020729E"/>
    <w:rsid w:val="002079EF"/>
    <w:rsid w:val="00207DA9"/>
    <w:rsid w:val="00207DB5"/>
    <w:rsid w:val="0021100E"/>
    <w:rsid w:val="002120A5"/>
    <w:rsid w:val="00212171"/>
    <w:rsid w:val="0021258F"/>
    <w:rsid w:val="00212919"/>
    <w:rsid w:val="00213740"/>
    <w:rsid w:val="00213E8F"/>
    <w:rsid w:val="0021423B"/>
    <w:rsid w:val="00214F24"/>
    <w:rsid w:val="002156A4"/>
    <w:rsid w:val="00215AE7"/>
    <w:rsid w:val="00215EC9"/>
    <w:rsid w:val="00216092"/>
    <w:rsid w:val="0021644E"/>
    <w:rsid w:val="0021646F"/>
    <w:rsid w:val="002165F3"/>
    <w:rsid w:val="00216751"/>
    <w:rsid w:val="00217ED4"/>
    <w:rsid w:val="00220300"/>
    <w:rsid w:val="002203E9"/>
    <w:rsid w:val="00220E7B"/>
    <w:rsid w:val="00221E13"/>
    <w:rsid w:val="00221EE7"/>
    <w:rsid w:val="00221F1B"/>
    <w:rsid w:val="00222004"/>
    <w:rsid w:val="002221B3"/>
    <w:rsid w:val="00222291"/>
    <w:rsid w:val="00222B8F"/>
    <w:rsid w:val="00222E67"/>
    <w:rsid w:val="002238C1"/>
    <w:rsid w:val="00223AB3"/>
    <w:rsid w:val="00224B3B"/>
    <w:rsid w:val="00224B40"/>
    <w:rsid w:val="00225160"/>
    <w:rsid w:val="002257B4"/>
    <w:rsid w:val="00225A4C"/>
    <w:rsid w:val="00225F05"/>
    <w:rsid w:val="002260AF"/>
    <w:rsid w:val="0022674A"/>
    <w:rsid w:val="00226B7C"/>
    <w:rsid w:val="002274DA"/>
    <w:rsid w:val="00227C0E"/>
    <w:rsid w:val="0023067F"/>
    <w:rsid w:val="00230921"/>
    <w:rsid w:val="00230A6D"/>
    <w:rsid w:val="00230E12"/>
    <w:rsid w:val="002310E2"/>
    <w:rsid w:val="00231999"/>
    <w:rsid w:val="00231A1E"/>
    <w:rsid w:val="00232609"/>
    <w:rsid w:val="002339FD"/>
    <w:rsid w:val="00233D18"/>
    <w:rsid w:val="00233D31"/>
    <w:rsid w:val="00235332"/>
    <w:rsid w:val="00235F25"/>
    <w:rsid w:val="0023701F"/>
    <w:rsid w:val="002376D1"/>
    <w:rsid w:val="002378D2"/>
    <w:rsid w:val="002407F7"/>
    <w:rsid w:val="00240ACF"/>
    <w:rsid w:val="00240EC0"/>
    <w:rsid w:val="00241DFA"/>
    <w:rsid w:val="002422EF"/>
    <w:rsid w:val="00242608"/>
    <w:rsid w:val="00242DE8"/>
    <w:rsid w:val="002437E7"/>
    <w:rsid w:val="00243B6F"/>
    <w:rsid w:val="00243D5D"/>
    <w:rsid w:val="00243F1B"/>
    <w:rsid w:val="00243FD1"/>
    <w:rsid w:val="0024401A"/>
    <w:rsid w:val="0024417A"/>
    <w:rsid w:val="002449BD"/>
    <w:rsid w:val="00244AC1"/>
    <w:rsid w:val="00244B58"/>
    <w:rsid w:val="00244D31"/>
    <w:rsid w:val="00245688"/>
    <w:rsid w:val="002456DA"/>
    <w:rsid w:val="00246347"/>
    <w:rsid w:val="0024684C"/>
    <w:rsid w:val="00246C6E"/>
    <w:rsid w:val="002504D9"/>
    <w:rsid w:val="00250F6C"/>
    <w:rsid w:val="00251718"/>
    <w:rsid w:val="0025184F"/>
    <w:rsid w:val="002519CC"/>
    <w:rsid w:val="00252397"/>
    <w:rsid w:val="00252852"/>
    <w:rsid w:val="00252945"/>
    <w:rsid w:val="002529B0"/>
    <w:rsid w:val="00252A2C"/>
    <w:rsid w:val="00253BD5"/>
    <w:rsid w:val="002545E4"/>
    <w:rsid w:val="002548F2"/>
    <w:rsid w:val="00254B33"/>
    <w:rsid w:val="00254C1D"/>
    <w:rsid w:val="0025505D"/>
    <w:rsid w:val="0025534D"/>
    <w:rsid w:val="0025587A"/>
    <w:rsid w:val="00255F0A"/>
    <w:rsid w:val="00256018"/>
    <w:rsid w:val="00256511"/>
    <w:rsid w:val="00256F83"/>
    <w:rsid w:val="002571DD"/>
    <w:rsid w:val="0025725A"/>
    <w:rsid w:val="002575DD"/>
    <w:rsid w:val="0025779F"/>
    <w:rsid w:val="002601C3"/>
    <w:rsid w:val="002602AE"/>
    <w:rsid w:val="00261750"/>
    <w:rsid w:val="00262135"/>
    <w:rsid w:val="002625AC"/>
    <w:rsid w:val="002634F1"/>
    <w:rsid w:val="00264DEB"/>
    <w:rsid w:val="002656DC"/>
    <w:rsid w:val="00265928"/>
    <w:rsid w:val="00266114"/>
    <w:rsid w:val="002674AB"/>
    <w:rsid w:val="0026765C"/>
    <w:rsid w:val="00267A91"/>
    <w:rsid w:val="00267C6E"/>
    <w:rsid w:val="00267F27"/>
    <w:rsid w:val="002711C5"/>
    <w:rsid w:val="00271DEB"/>
    <w:rsid w:val="00273487"/>
    <w:rsid w:val="0027376E"/>
    <w:rsid w:val="002737FE"/>
    <w:rsid w:val="002738B3"/>
    <w:rsid w:val="00273A20"/>
    <w:rsid w:val="00273BC5"/>
    <w:rsid w:val="002743B4"/>
    <w:rsid w:val="002748AB"/>
    <w:rsid w:val="00275CDC"/>
    <w:rsid w:val="00276205"/>
    <w:rsid w:val="002766AC"/>
    <w:rsid w:val="00276835"/>
    <w:rsid w:val="002772D1"/>
    <w:rsid w:val="002804A4"/>
    <w:rsid w:val="00280B52"/>
    <w:rsid w:val="0028179D"/>
    <w:rsid w:val="0028194C"/>
    <w:rsid w:val="00281F59"/>
    <w:rsid w:val="002821AF"/>
    <w:rsid w:val="00282D3C"/>
    <w:rsid w:val="00283B6D"/>
    <w:rsid w:val="00283CE3"/>
    <w:rsid w:val="00284104"/>
    <w:rsid w:val="002842FF"/>
    <w:rsid w:val="00284555"/>
    <w:rsid w:val="0028469D"/>
    <w:rsid w:val="00284800"/>
    <w:rsid w:val="00284EC9"/>
    <w:rsid w:val="00284FA5"/>
    <w:rsid w:val="00285037"/>
    <w:rsid w:val="002850F1"/>
    <w:rsid w:val="00285CE3"/>
    <w:rsid w:val="00286545"/>
    <w:rsid w:val="0028660D"/>
    <w:rsid w:val="002868FF"/>
    <w:rsid w:val="00286C73"/>
    <w:rsid w:val="00286E2B"/>
    <w:rsid w:val="00286ED4"/>
    <w:rsid w:val="0028763A"/>
    <w:rsid w:val="002879DB"/>
    <w:rsid w:val="00287CBE"/>
    <w:rsid w:val="00287D9D"/>
    <w:rsid w:val="002906FC"/>
    <w:rsid w:val="0029100F"/>
    <w:rsid w:val="00291049"/>
    <w:rsid w:val="0029137A"/>
    <w:rsid w:val="00291B59"/>
    <w:rsid w:val="00291D5B"/>
    <w:rsid w:val="00291F1C"/>
    <w:rsid w:val="0029323E"/>
    <w:rsid w:val="0029382D"/>
    <w:rsid w:val="00293943"/>
    <w:rsid w:val="002944E6"/>
    <w:rsid w:val="00294E62"/>
    <w:rsid w:val="0029504D"/>
    <w:rsid w:val="002956DE"/>
    <w:rsid w:val="00295899"/>
    <w:rsid w:val="002959D8"/>
    <w:rsid w:val="00295AD8"/>
    <w:rsid w:val="00296B2D"/>
    <w:rsid w:val="00297316"/>
    <w:rsid w:val="00297362"/>
    <w:rsid w:val="0029759A"/>
    <w:rsid w:val="00297AE9"/>
    <w:rsid w:val="00297F40"/>
    <w:rsid w:val="002A031B"/>
    <w:rsid w:val="002A0800"/>
    <w:rsid w:val="002A0A76"/>
    <w:rsid w:val="002A1905"/>
    <w:rsid w:val="002A20F1"/>
    <w:rsid w:val="002A3086"/>
    <w:rsid w:val="002A3268"/>
    <w:rsid w:val="002A33EB"/>
    <w:rsid w:val="002A3498"/>
    <w:rsid w:val="002A3780"/>
    <w:rsid w:val="002A403E"/>
    <w:rsid w:val="002A4559"/>
    <w:rsid w:val="002A4B4B"/>
    <w:rsid w:val="002A4D2C"/>
    <w:rsid w:val="002A57A9"/>
    <w:rsid w:val="002A6323"/>
    <w:rsid w:val="002A67BA"/>
    <w:rsid w:val="002A6B08"/>
    <w:rsid w:val="002A6F73"/>
    <w:rsid w:val="002A7295"/>
    <w:rsid w:val="002B045C"/>
    <w:rsid w:val="002B068F"/>
    <w:rsid w:val="002B0784"/>
    <w:rsid w:val="002B079B"/>
    <w:rsid w:val="002B201D"/>
    <w:rsid w:val="002B20C7"/>
    <w:rsid w:val="002B2227"/>
    <w:rsid w:val="002B26CB"/>
    <w:rsid w:val="002B2BA5"/>
    <w:rsid w:val="002B2C19"/>
    <w:rsid w:val="002B3352"/>
    <w:rsid w:val="002B3626"/>
    <w:rsid w:val="002B3D8A"/>
    <w:rsid w:val="002B4083"/>
    <w:rsid w:val="002B415F"/>
    <w:rsid w:val="002B42DB"/>
    <w:rsid w:val="002B43B7"/>
    <w:rsid w:val="002B4558"/>
    <w:rsid w:val="002B4613"/>
    <w:rsid w:val="002B4920"/>
    <w:rsid w:val="002B4A4D"/>
    <w:rsid w:val="002B4DFA"/>
    <w:rsid w:val="002B5294"/>
    <w:rsid w:val="002B5569"/>
    <w:rsid w:val="002B6124"/>
    <w:rsid w:val="002B6632"/>
    <w:rsid w:val="002B692C"/>
    <w:rsid w:val="002B6CB9"/>
    <w:rsid w:val="002B7145"/>
    <w:rsid w:val="002B72D9"/>
    <w:rsid w:val="002C0F6D"/>
    <w:rsid w:val="002C1275"/>
    <w:rsid w:val="002C130D"/>
    <w:rsid w:val="002C1656"/>
    <w:rsid w:val="002C1C0E"/>
    <w:rsid w:val="002C1F79"/>
    <w:rsid w:val="002C216E"/>
    <w:rsid w:val="002C2170"/>
    <w:rsid w:val="002C2241"/>
    <w:rsid w:val="002C29C1"/>
    <w:rsid w:val="002C2D38"/>
    <w:rsid w:val="002C2FBF"/>
    <w:rsid w:val="002C3088"/>
    <w:rsid w:val="002C3AB2"/>
    <w:rsid w:val="002C3E74"/>
    <w:rsid w:val="002C4BA5"/>
    <w:rsid w:val="002C4CFA"/>
    <w:rsid w:val="002C52CE"/>
    <w:rsid w:val="002C5314"/>
    <w:rsid w:val="002C573F"/>
    <w:rsid w:val="002C5BDC"/>
    <w:rsid w:val="002C5C80"/>
    <w:rsid w:val="002C5CA5"/>
    <w:rsid w:val="002C6054"/>
    <w:rsid w:val="002C7781"/>
    <w:rsid w:val="002C7EE8"/>
    <w:rsid w:val="002D0173"/>
    <w:rsid w:val="002D078C"/>
    <w:rsid w:val="002D0E6E"/>
    <w:rsid w:val="002D15CB"/>
    <w:rsid w:val="002D27D5"/>
    <w:rsid w:val="002D2986"/>
    <w:rsid w:val="002D35FB"/>
    <w:rsid w:val="002D3610"/>
    <w:rsid w:val="002D3BFE"/>
    <w:rsid w:val="002D45C1"/>
    <w:rsid w:val="002D4BCC"/>
    <w:rsid w:val="002D5C8F"/>
    <w:rsid w:val="002D5FAB"/>
    <w:rsid w:val="002D6122"/>
    <w:rsid w:val="002D6C20"/>
    <w:rsid w:val="002D6F82"/>
    <w:rsid w:val="002D743F"/>
    <w:rsid w:val="002E0290"/>
    <w:rsid w:val="002E0C60"/>
    <w:rsid w:val="002E0F78"/>
    <w:rsid w:val="002E1615"/>
    <w:rsid w:val="002E1B22"/>
    <w:rsid w:val="002E2275"/>
    <w:rsid w:val="002E2948"/>
    <w:rsid w:val="002E2D37"/>
    <w:rsid w:val="002E30EE"/>
    <w:rsid w:val="002E3691"/>
    <w:rsid w:val="002E372B"/>
    <w:rsid w:val="002E3A39"/>
    <w:rsid w:val="002E3D7D"/>
    <w:rsid w:val="002E3EB5"/>
    <w:rsid w:val="002E4737"/>
    <w:rsid w:val="002E4D2F"/>
    <w:rsid w:val="002E4F9A"/>
    <w:rsid w:val="002E5047"/>
    <w:rsid w:val="002E560F"/>
    <w:rsid w:val="002E5680"/>
    <w:rsid w:val="002E5ABE"/>
    <w:rsid w:val="002E5EFF"/>
    <w:rsid w:val="002E6128"/>
    <w:rsid w:val="002E774C"/>
    <w:rsid w:val="002F038F"/>
    <w:rsid w:val="002F04DF"/>
    <w:rsid w:val="002F06F1"/>
    <w:rsid w:val="002F08D0"/>
    <w:rsid w:val="002F0C48"/>
    <w:rsid w:val="002F166C"/>
    <w:rsid w:val="002F17B6"/>
    <w:rsid w:val="002F180C"/>
    <w:rsid w:val="002F1883"/>
    <w:rsid w:val="002F1A76"/>
    <w:rsid w:val="002F1ADB"/>
    <w:rsid w:val="002F1B24"/>
    <w:rsid w:val="002F1C73"/>
    <w:rsid w:val="002F21C9"/>
    <w:rsid w:val="002F21EF"/>
    <w:rsid w:val="002F2CBE"/>
    <w:rsid w:val="002F3136"/>
    <w:rsid w:val="002F3816"/>
    <w:rsid w:val="002F392A"/>
    <w:rsid w:val="002F39E5"/>
    <w:rsid w:val="002F3C53"/>
    <w:rsid w:val="002F3EFD"/>
    <w:rsid w:val="002F3F05"/>
    <w:rsid w:val="002F41E5"/>
    <w:rsid w:val="002F4398"/>
    <w:rsid w:val="002F44B2"/>
    <w:rsid w:val="002F4CCF"/>
    <w:rsid w:val="002F5F06"/>
    <w:rsid w:val="002F5F88"/>
    <w:rsid w:val="002F7630"/>
    <w:rsid w:val="002F77B8"/>
    <w:rsid w:val="002F77CC"/>
    <w:rsid w:val="002F7C71"/>
    <w:rsid w:val="002F7E0A"/>
    <w:rsid w:val="002F7F3A"/>
    <w:rsid w:val="003000D1"/>
    <w:rsid w:val="00300241"/>
    <w:rsid w:val="0030041D"/>
    <w:rsid w:val="00300646"/>
    <w:rsid w:val="0030066E"/>
    <w:rsid w:val="00300EC1"/>
    <w:rsid w:val="00300F73"/>
    <w:rsid w:val="00301524"/>
    <w:rsid w:val="00301A18"/>
    <w:rsid w:val="00301AFF"/>
    <w:rsid w:val="00301CA6"/>
    <w:rsid w:val="00302152"/>
    <w:rsid w:val="00302431"/>
    <w:rsid w:val="0030269A"/>
    <w:rsid w:val="003039FB"/>
    <w:rsid w:val="00304A9F"/>
    <w:rsid w:val="00304AB0"/>
    <w:rsid w:val="00304DAF"/>
    <w:rsid w:val="00304F3D"/>
    <w:rsid w:val="00305810"/>
    <w:rsid w:val="00305D39"/>
    <w:rsid w:val="00306205"/>
    <w:rsid w:val="00306B10"/>
    <w:rsid w:val="003078A4"/>
    <w:rsid w:val="00307F8B"/>
    <w:rsid w:val="00310AD6"/>
    <w:rsid w:val="003114E4"/>
    <w:rsid w:val="003119F8"/>
    <w:rsid w:val="00311EAF"/>
    <w:rsid w:val="00312387"/>
    <w:rsid w:val="0031271B"/>
    <w:rsid w:val="003127FE"/>
    <w:rsid w:val="00312E57"/>
    <w:rsid w:val="003132EE"/>
    <w:rsid w:val="003136C3"/>
    <w:rsid w:val="00313D0F"/>
    <w:rsid w:val="003141B0"/>
    <w:rsid w:val="0031460B"/>
    <w:rsid w:val="0031462F"/>
    <w:rsid w:val="003148D8"/>
    <w:rsid w:val="00314A49"/>
    <w:rsid w:val="00314D1F"/>
    <w:rsid w:val="003159E0"/>
    <w:rsid w:val="00315BBE"/>
    <w:rsid w:val="00316539"/>
    <w:rsid w:val="00317378"/>
    <w:rsid w:val="00317E99"/>
    <w:rsid w:val="00317EDB"/>
    <w:rsid w:val="00320D2F"/>
    <w:rsid w:val="00321B2E"/>
    <w:rsid w:val="003225EA"/>
    <w:rsid w:val="0032269A"/>
    <w:rsid w:val="00322833"/>
    <w:rsid w:val="0032311F"/>
    <w:rsid w:val="00323188"/>
    <w:rsid w:val="00323550"/>
    <w:rsid w:val="003235E3"/>
    <w:rsid w:val="00323626"/>
    <w:rsid w:val="00323972"/>
    <w:rsid w:val="00324019"/>
    <w:rsid w:val="003246EA"/>
    <w:rsid w:val="00324C70"/>
    <w:rsid w:val="00324CD6"/>
    <w:rsid w:val="00324E68"/>
    <w:rsid w:val="00326C60"/>
    <w:rsid w:val="003273BE"/>
    <w:rsid w:val="003275E8"/>
    <w:rsid w:val="00327F19"/>
    <w:rsid w:val="00327F2A"/>
    <w:rsid w:val="00330733"/>
    <w:rsid w:val="00330775"/>
    <w:rsid w:val="00330825"/>
    <w:rsid w:val="00330F44"/>
    <w:rsid w:val="003310D9"/>
    <w:rsid w:val="0033255C"/>
    <w:rsid w:val="00332611"/>
    <w:rsid w:val="00332B48"/>
    <w:rsid w:val="00333FE0"/>
    <w:rsid w:val="0033414E"/>
    <w:rsid w:val="00334B82"/>
    <w:rsid w:val="0033512B"/>
    <w:rsid w:val="0033531B"/>
    <w:rsid w:val="00335339"/>
    <w:rsid w:val="0033617C"/>
    <w:rsid w:val="003365DB"/>
    <w:rsid w:val="00336A08"/>
    <w:rsid w:val="0033710E"/>
    <w:rsid w:val="0033787A"/>
    <w:rsid w:val="00340022"/>
    <w:rsid w:val="0034046D"/>
    <w:rsid w:val="00340548"/>
    <w:rsid w:val="00340A2C"/>
    <w:rsid w:val="00340D03"/>
    <w:rsid w:val="003412C0"/>
    <w:rsid w:val="00341A02"/>
    <w:rsid w:val="00341C4C"/>
    <w:rsid w:val="003420A8"/>
    <w:rsid w:val="003421DA"/>
    <w:rsid w:val="0034278A"/>
    <w:rsid w:val="0034323E"/>
    <w:rsid w:val="003439B7"/>
    <w:rsid w:val="0034479A"/>
    <w:rsid w:val="00344B60"/>
    <w:rsid w:val="003455F0"/>
    <w:rsid w:val="0034691B"/>
    <w:rsid w:val="00346D35"/>
    <w:rsid w:val="00346F62"/>
    <w:rsid w:val="00347034"/>
    <w:rsid w:val="003474EF"/>
    <w:rsid w:val="00347651"/>
    <w:rsid w:val="00347E57"/>
    <w:rsid w:val="0035007B"/>
    <w:rsid w:val="00351DC3"/>
    <w:rsid w:val="003528D6"/>
    <w:rsid w:val="0035292A"/>
    <w:rsid w:val="00352ED5"/>
    <w:rsid w:val="00353839"/>
    <w:rsid w:val="00353B28"/>
    <w:rsid w:val="00353DBC"/>
    <w:rsid w:val="00353FDF"/>
    <w:rsid w:val="00354C14"/>
    <w:rsid w:val="003554D4"/>
    <w:rsid w:val="003554E5"/>
    <w:rsid w:val="00355A76"/>
    <w:rsid w:val="00355C19"/>
    <w:rsid w:val="00355FD2"/>
    <w:rsid w:val="0035643A"/>
    <w:rsid w:val="00356950"/>
    <w:rsid w:val="0035713D"/>
    <w:rsid w:val="00357A19"/>
    <w:rsid w:val="00357AF5"/>
    <w:rsid w:val="00357DED"/>
    <w:rsid w:val="00360280"/>
    <w:rsid w:val="003604D4"/>
    <w:rsid w:val="00361110"/>
    <w:rsid w:val="0036203F"/>
    <w:rsid w:val="0036232C"/>
    <w:rsid w:val="003637AC"/>
    <w:rsid w:val="00363EF5"/>
    <w:rsid w:val="00364309"/>
    <w:rsid w:val="0036442B"/>
    <w:rsid w:val="00365458"/>
    <w:rsid w:val="003654DC"/>
    <w:rsid w:val="0036564E"/>
    <w:rsid w:val="00366D3B"/>
    <w:rsid w:val="00366F19"/>
    <w:rsid w:val="00367FA3"/>
    <w:rsid w:val="003704EC"/>
    <w:rsid w:val="00370833"/>
    <w:rsid w:val="00370BC6"/>
    <w:rsid w:val="0037111B"/>
    <w:rsid w:val="003721F2"/>
    <w:rsid w:val="00372A93"/>
    <w:rsid w:val="00373DCF"/>
    <w:rsid w:val="003745CB"/>
    <w:rsid w:val="00374968"/>
    <w:rsid w:val="00375513"/>
    <w:rsid w:val="00376022"/>
    <w:rsid w:val="0037632F"/>
    <w:rsid w:val="003766F9"/>
    <w:rsid w:val="003770EA"/>
    <w:rsid w:val="00377724"/>
    <w:rsid w:val="00377B70"/>
    <w:rsid w:val="00377C0B"/>
    <w:rsid w:val="00377C7B"/>
    <w:rsid w:val="00377C84"/>
    <w:rsid w:val="0038004E"/>
    <w:rsid w:val="00380172"/>
    <w:rsid w:val="00380531"/>
    <w:rsid w:val="00380550"/>
    <w:rsid w:val="003816E8"/>
    <w:rsid w:val="0038279B"/>
    <w:rsid w:val="00382CE6"/>
    <w:rsid w:val="00383494"/>
    <w:rsid w:val="003836E1"/>
    <w:rsid w:val="00383B8F"/>
    <w:rsid w:val="00383BA6"/>
    <w:rsid w:val="00383F96"/>
    <w:rsid w:val="00383FAE"/>
    <w:rsid w:val="003840CF"/>
    <w:rsid w:val="00384167"/>
    <w:rsid w:val="00384AB4"/>
    <w:rsid w:val="003852E9"/>
    <w:rsid w:val="00385447"/>
    <w:rsid w:val="00385A97"/>
    <w:rsid w:val="00385C57"/>
    <w:rsid w:val="00385D8B"/>
    <w:rsid w:val="00386729"/>
    <w:rsid w:val="00386915"/>
    <w:rsid w:val="00386C88"/>
    <w:rsid w:val="003872D2"/>
    <w:rsid w:val="00387E3C"/>
    <w:rsid w:val="00390071"/>
    <w:rsid w:val="00390347"/>
    <w:rsid w:val="0039051D"/>
    <w:rsid w:val="00390ABE"/>
    <w:rsid w:val="0039105E"/>
    <w:rsid w:val="00391162"/>
    <w:rsid w:val="00391B61"/>
    <w:rsid w:val="00392C8D"/>
    <w:rsid w:val="00393075"/>
    <w:rsid w:val="00393331"/>
    <w:rsid w:val="00393A8B"/>
    <w:rsid w:val="00394047"/>
    <w:rsid w:val="00394B9E"/>
    <w:rsid w:val="00394F10"/>
    <w:rsid w:val="0039551D"/>
    <w:rsid w:val="00395BD8"/>
    <w:rsid w:val="0039634D"/>
    <w:rsid w:val="0039716C"/>
    <w:rsid w:val="00397FF5"/>
    <w:rsid w:val="003A02DA"/>
    <w:rsid w:val="003A11D6"/>
    <w:rsid w:val="003A19F4"/>
    <w:rsid w:val="003A1AF5"/>
    <w:rsid w:val="003A1DA2"/>
    <w:rsid w:val="003A1E33"/>
    <w:rsid w:val="003A1E5C"/>
    <w:rsid w:val="003A2BE0"/>
    <w:rsid w:val="003A2E44"/>
    <w:rsid w:val="003A3019"/>
    <w:rsid w:val="003A3129"/>
    <w:rsid w:val="003A3399"/>
    <w:rsid w:val="003A37E5"/>
    <w:rsid w:val="003A3D3E"/>
    <w:rsid w:val="003A447C"/>
    <w:rsid w:val="003A45D3"/>
    <w:rsid w:val="003A5493"/>
    <w:rsid w:val="003A5870"/>
    <w:rsid w:val="003A60E7"/>
    <w:rsid w:val="003A647F"/>
    <w:rsid w:val="003A6625"/>
    <w:rsid w:val="003A6852"/>
    <w:rsid w:val="003A6932"/>
    <w:rsid w:val="003A69F2"/>
    <w:rsid w:val="003A7186"/>
    <w:rsid w:val="003A739F"/>
    <w:rsid w:val="003A7FEF"/>
    <w:rsid w:val="003B0214"/>
    <w:rsid w:val="003B02EB"/>
    <w:rsid w:val="003B0633"/>
    <w:rsid w:val="003B06F4"/>
    <w:rsid w:val="003B0745"/>
    <w:rsid w:val="003B097C"/>
    <w:rsid w:val="003B0A80"/>
    <w:rsid w:val="003B0DD7"/>
    <w:rsid w:val="003B2413"/>
    <w:rsid w:val="003B2AC1"/>
    <w:rsid w:val="003B2F04"/>
    <w:rsid w:val="003B2F58"/>
    <w:rsid w:val="003B302D"/>
    <w:rsid w:val="003B38AA"/>
    <w:rsid w:val="003B39B2"/>
    <w:rsid w:val="003B3DA7"/>
    <w:rsid w:val="003B3E42"/>
    <w:rsid w:val="003B4225"/>
    <w:rsid w:val="003B46CE"/>
    <w:rsid w:val="003B47F7"/>
    <w:rsid w:val="003B4A65"/>
    <w:rsid w:val="003B5329"/>
    <w:rsid w:val="003B5DEC"/>
    <w:rsid w:val="003B60A2"/>
    <w:rsid w:val="003B6A77"/>
    <w:rsid w:val="003B6DA7"/>
    <w:rsid w:val="003B6FB1"/>
    <w:rsid w:val="003B7419"/>
    <w:rsid w:val="003B7529"/>
    <w:rsid w:val="003C04E7"/>
    <w:rsid w:val="003C0753"/>
    <w:rsid w:val="003C1DA5"/>
    <w:rsid w:val="003C2443"/>
    <w:rsid w:val="003C25D3"/>
    <w:rsid w:val="003C2AE4"/>
    <w:rsid w:val="003C2D69"/>
    <w:rsid w:val="003C2F97"/>
    <w:rsid w:val="003C36FC"/>
    <w:rsid w:val="003C50B9"/>
    <w:rsid w:val="003C59A4"/>
    <w:rsid w:val="003C5BD9"/>
    <w:rsid w:val="003C680D"/>
    <w:rsid w:val="003C68AE"/>
    <w:rsid w:val="003C6EC3"/>
    <w:rsid w:val="003C7318"/>
    <w:rsid w:val="003C75FA"/>
    <w:rsid w:val="003C7863"/>
    <w:rsid w:val="003C7F13"/>
    <w:rsid w:val="003D08AE"/>
    <w:rsid w:val="003D0FB0"/>
    <w:rsid w:val="003D102D"/>
    <w:rsid w:val="003D120C"/>
    <w:rsid w:val="003D21BC"/>
    <w:rsid w:val="003D2AA5"/>
    <w:rsid w:val="003D2E4D"/>
    <w:rsid w:val="003D2F20"/>
    <w:rsid w:val="003D2FD9"/>
    <w:rsid w:val="003D32C6"/>
    <w:rsid w:val="003D337D"/>
    <w:rsid w:val="003D3F78"/>
    <w:rsid w:val="003D46BA"/>
    <w:rsid w:val="003D4851"/>
    <w:rsid w:val="003D4DFE"/>
    <w:rsid w:val="003D5903"/>
    <w:rsid w:val="003D6171"/>
    <w:rsid w:val="003D63A0"/>
    <w:rsid w:val="003D63B4"/>
    <w:rsid w:val="003D7929"/>
    <w:rsid w:val="003D7A7F"/>
    <w:rsid w:val="003E0242"/>
    <w:rsid w:val="003E030D"/>
    <w:rsid w:val="003E05A1"/>
    <w:rsid w:val="003E0770"/>
    <w:rsid w:val="003E0C1F"/>
    <w:rsid w:val="003E0D92"/>
    <w:rsid w:val="003E16CA"/>
    <w:rsid w:val="003E1B7C"/>
    <w:rsid w:val="003E1CB1"/>
    <w:rsid w:val="003E1D7B"/>
    <w:rsid w:val="003E20C1"/>
    <w:rsid w:val="003E269C"/>
    <w:rsid w:val="003E2885"/>
    <w:rsid w:val="003E2F23"/>
    <w:rsid w:val="003E2FA7"/>
    <w:rsid w:val="003E3C10"/>
    <w:rsid w:val="003E424E"/>
    <w:rsid w:val="003E49C2"/>
    <w:rsid w:val="003E4A7A"/>
    <w:rsid w:val="003E5D74"/>
    <w:rsid w:val="003E6773"/>
    <w:rsid w:val="003E7084"/>
    <w:rsid w:val="003E7447"/>
    <w:rsid w:val="003F0E8D"/>
    <w:rsid w:val="003F1278"/>
    <w:rsid w:val="003F1652"/>
    <w:rsid w:val="003F1983"/>
    <w:rsid w:val="003F1A25"/>
    <w:rsid w:val="003F1A9B"/>
    <w:rsid w:val="003F20B3"/>
    <w:rsid w:val="003F2DB3"/>
    <w:rsid w:val="003F32B7"/>
    <w:rsid w:val="003F4A42"/>
    <w:rsid w:val="003F53B6"/>
    <w:rsid w:val="003F5543"/>
    <w:rsid w:val="003F5941"/>
    <w:rsid w:val="003F6360"/>
    <w:rsid w:val="003F69BF"/>
    <w:rsid w:val="003F6ABD"/>
    <w:rsid w:val="003F6F88"/>
    <w:rsid w:val="003F73A6"/>
    <w:rsid w:val="003F7E6A"/>
    <w:rsid w:val="004016F4"/>
    <w:rsid w:val="00401CF1"/>
    <w:rsid w:val="00402141"/>
    <w:rsid w:val="00402E82"/>
    <w:rsid w:val="00403AA7"/>
    <w:rsid w:val="00403FC0"/>
    <w:rsid w:val="00403FE2"/>
    <w:rsid w:val="0040404B"/>
    <w:rsid w:val="00404998"/>
    <w:rsid w:val="00404F8F"/>
    <w:rsid w:val="00405193"/>
    <w:rsid w:val="00405277"/>
    <w:rsid w:val="00405399"/>
    <w:rsid w:val="0040611F"/>
    <w:rsid w:val="004064B7"/>
    <w:rsid w:val="00406728"/>
    <w:rsid w:val="0040687D"/>
    <w:rsid w:val="00406A81"/>
    <w:rsid w:val="00407B9F"/>
    <w:rsid w:val="00407DCD"/>
    <w:rsid w:val="00410CC0"/>
    <w:rsid w:val="004114C1"/>
    <w:rsid w:val="00411612"/>
    <w:rsid w:val="00411F51"/>
    <w:rsid w:val="004122A3"/>
    <w:rsid w:val="004125BD"/>
    <w:rsid w:val="00412CF1"/>
    <w:rsid w:val="00412F61"/>
    <w:rsid w:val="00413472"/>
    <w:rsid w:val="00413846"/>
    <w:rsid w:val="004139C5"/>
    <w:rsid w:val="00413AC1"/>
    <w:rsid w:val="0041420A"/>
    <w:rsid w:val="00414DDB"/>
    <w:rsid w:val="00415446"/>
    <w:rsid w:val="0041634D"/>
    <w:rsid w:val="004175F2"/>
    <w:rsid w:val="00417B6E"/>
    <w:rsid w:val="00421031"/>
    <w:rsid w:val="0042137A"/>
    <w:rsid w:val="00421439"/>
    <w:rsid w:val="004214BF"/>
    <w:rsid w:val="00421A72"/>
    <w:rsid w:val="00421EB3"/>
    <w:rsid w:val="00422487"/>
    <w:rsid w:val="0042273B"/>
    <w:rsid w:val="00422BED"/>
    <w:rsid w:val="00422C5D"/>
    <w:rsid w:val="00422FE4"/>
    <w:rsid w:val="004237E2"/>
    <w:rsid w:val="004244F6"/>
    <w:rsid w:val="00424560"/>
    <w:rsid w:val="00424B0E"/>
    <w:rsid w:val="00425EC4"/>
    <w:rsid w:val="004262F3"/>
    <w:rsid w:val="00426391"/>
    <w:rsid w:val="004264BF"/>
    <w:rsid w:val="00426D94"/>
    <w:rsid w:val="00426E70"/>
    <w:rsid w:val="00426F6C"/>
    <w:rsid w:val="00427112"/>
    <w:rsid w:val="0042741F"/>
    <w:rsid w:val="0042748D"/>
    <w:rsid w:val="0042794E"/>
    <w:rsid w:val="004304AC"/>
    <w:rsid w:val="00430B02"/>
    <w:rsid w:val="00430D4B"/>
    <w:rsid w:val="00430E79"/>
    <w:rsid w:val="0043143E"/>
    <w:rsid w:val="004316DB"/>
    <w:rsid w:val="00431759"/>
    <w:rsid w:val="00431DDD"/>
    <w:rsid w:val="004320E1"/>
    <w:rsid w:val="004326DF"/>
    <w:rsid w:val="00432BB1"/>
    <w:rsid w:val="00432F15"/>
    <w:rsid w:val="00434378"/>
    <w:rsid w:val="004347B7"/>
    <w:rsid w:val="004347F7"/>
    <w:rsid w:val="00434C87"/>
    <w:rsid w:val="004354CB"/>
    <w:rsid w:val="00435BA7"/>
    <w:rsid w:val="00435F4B"/>
    <w:rsid w:val="0043607F"/>
    <w:rsid w:val="00436EBF"/>
    <w:rsid w:val="004372ED"/>
    <w:rsid w:val="0043783A"/>
    <w:rsid w:val="004379D3"/>
    <w:rsid w:val="00437B61"/>
    <w:rsid w:val="00437B8B"/>
    <w:rsid w:val="00437E9C"/>
    <w:rsid w:val="00440226"/>
    <w:rsid w:val="00440511"/>
    <w:rsid w:val="00440539"/>
    <w:rsid w:val="0044056E"/>
    <w:rsid w:val="004408D9"/>
    <w:rsid w:val="004409D9"/>
    <w:rsid w:val="00440BBF"/>
    <w:rsid w:val="00441096"/>
    <w:rsid w:val="004410D1"/>
    <w:rsid w:val="004414F9"/>
    <w:rsid w:val="00441D07"/>
    <w:rsid w:val="0044272A"/>
    <w:rsid w:val="00442A33"/>
    <w:rsid w:val="00442EAF"/>
    <w:rsid w:val="00443E78"/>
    <w:rsid w:val="0044424C"/>
    <w:rsid w:val="00444568"/>
    <w:rsid w:val="00444C71"/>
    <w:rsid w:val="00444F54"/>
    <w:rsid w:val="00445552"/>
    <w:rsid w:val="004459AA"/>
    <w:rsid w:val="00446987"/>
    <w:rsid w:val="00446F12"/>
    <w:rsid w:val="004472F2"/>
    <w:rsid w:val="004473E8"/>
    <w:rsid w:val="00447884"/>
    <w:rsid w:val="00447EAE"/>
    <w:rsid w:val="0045072C"/>
    <w:rsid w:val="00450789"/>
    <w:rsid w:val="0045092B"/>
    <w:rsid w:val="00450EE1"/>
    <w:rsid w:val="004516B4"/>
    <w:rsid w:val="00451CF4"/>
    <w:rsid w:val="004522A5"/>
    <w:rsid w:val="00452412"/>
    <w:rsid w:val="00452A50"/>
    <w:rsid w:val="00453B83"/>
    <w:rsid w:val="00453BD6"/>
    <w:rsid w:val="00454546"/>
    <w:rsid w:val="004547F4"/>
    <w:rsid w:val="00455235"/>
    <w:rsid w:val="004555DB"/>
    <w:rsid w:val="004556C5"/>
    <w:rsid w:val="004557A6"/>
    <w:rsid w:val="0045605B"/>
    <w:rsid w:val="0045617B"/>
    <w:rsid w:val="0045644D"/>
    <w:rsid w:val="00456794"/>
    <w:rsid w:val="00456872"/>
    <w:rsid w:val="00456CA0"/>
    <w:rsid w:val="00457145"/>
    <w:rsid w:val="004574CC"/>
    <w:rsid w:val="00457885"/>
    <w:rsid w:val="00460369"/>
    <w:rsid w:val="0046064C"/>
    <w:rsid w:val="00460A6A"/>
    <w:rsid w:val="00460D6A"/>
    <w:rsid w:val="00460E25"/>
    <w:rsid w:val="00460E8C"/>
    <w:rsid w:val="00460F5D"/>
    <w:rsid w:val="00461049"/>
    <w:rsid w:val="00461415"/>
    <w:rsid w:val="00461BCF"/>
    <w:rsid w:val="00461E2C"/>
    <w:rsid w:val="00462B46"/>
    <w:rsid w:val="0046329E"/>
    <w:rsid w:val="004633BA"/>
    <w:rsid w:val="004638F8"/>
    <w:rsid w:val="00463F2F"/>
    <w:rsid w:val="0046587D"/>
    <w:rsid w:val="00465D9E"/>
    <w:rsid w:val="00465F43"/>
    <w:rsid w:val="004661BF"/>
    <w:rsid w:val="00466312"/>
    <w:rsid w:val="0046678B"/>
    <w:rsid w:val="00466BF2"/>
    <w:rsid w:val="004671D7"/>
    <w:rsid w:val="004679B8"/>
    <w:rsid w:val="00467E4D"/>
    <w:rsid w:val="00467F28"/>
    <w:rsid w:val="004701CD"/>
    <w:rsid w:val="0047039C"/>
    <w:rsid w:val="004708D9"/>
    <w:rsid w:val="00470F00"/>
    <w:rsid w:val="00470FE8"/>
    <w:rsid w:val="0047139C"/>
    <w:rsid w:val="00471734"/>
    <w:rsid w:val="00471B5F"/>
    <w:rsid w:val="00472058"/>
    <w:rsid w:val="004724D6"/>
    <w:rsid w:val="004730CA"/>
    <w:rsid w:val="00473778"/>
    <w:rsid w:val="00473791"/>
    <w:rsid w:val="00473A65"/>
    <w:rsid w:val="00474142"/>
    <w:rsid w:val="004741EE"/>
    <w:rsid w:val="0047454B"/>
    <w:rsid w:val="00474C1E"/>
    <w:rsid w:val="0047510C"/>
    <w:rsid w:val="00476355"/>
    <w:rsid w:val="004763EB"/>
    <w:rsid w:val="004768A4"/>
    <w:rsid w:val="00476966"/>
    <w:rsid w:val="00477F30"/>
    <w:rsid w:val="004803C6"/>
    <w:rsid w:val="0048044E"/>
    <w:rsid w:val="004806AE"/>
    <w:rsid w:val="00480B15"/>
    <w:rsid w:val="00480F92"/>
    <w:rsid w:val="00481917"/>
    <w:rsid w:val="00481993"/>
    <w:rsid w:val="00481C64"/>
    <w:rsid w:val="00482067"/>
    <w:rsid w:val="00482241"/>
    <w:rsid w:val="0048278F"/>
    <w:rsid w:val="00482B3C"/>
    <w:rsid w:val="00482DF2"/>
    <w:rsid w:val="00483612"/>
    <w:rsid w:val="00483D12"/>
    <w:rsid w:val="00483EFB"/>
    <w:rsid w:val="004845B1"/>
    <w:rsid w:val="00484609"/>
    <w:rsid w:val="0048496E"/>
    <w:rsid w:val="00484F14"/>
    <w:rsid w:val="0048653F"/>
    <w:rsid w:val="00486DA6"/>
    <w:rsid w:val="00486F10"/>
    <w:rsid w:val="00487554"/>
    <w:rsid w:val="0048761E"/>
    <w:rsid w:val="00490868"/>
    <w:rsid w:val="00491F2F"/>
    <w:rsid w:val="0049293C"/>
    <w:rsid w:val="00492CD5"/>
    <w:rsid w:val="00492E70"/>
    <w:rsid w:val="004935E4"/>
    <w:rsid w:val="00494CE7"/>
    <w:rsid w:val="004952E6"/>
    <w:rsid w:val="004954D8"/>
    <w:rsid w:val="0049550C"/>
    <w:rsid w:val="004959AE"/>
    <w:rsid w:val="00495BDC"/>
    <w:rsid w:val="00495F0E"/>
    <w:rsid w:val="004965C5"/>
    <w:rsid w:val="00496FAA"/>
    <w:rsid w:val="004973F8"/>
    <w:rsid w:val="0049798A"/>
    <w:rsid w:val="004979B7"/>
    <w:rsid w:val="004A010A"/>
    <w:rsid w:val="004A0B23"/>
    <w:rsid w:val="004A0E6E"/>
    <w:rsid w:val="004A0F51"/>
    <w:rsid w:val="004A12C4"/>
    <w:rsid w:val="004A145F"/>
    <w:rsid w:val="004A1A07"/>
    <w:rsid w:val="004A1BBC"/>
    <w:rsid w:val="004A1C55"/>
    <w:rsid w:val="004A2940"/>
    <w:rsid w:val="004A4055"/>
    <w:rsid w:val="004A4A7E"/>
    <w:rsid w:val="004A4AD5"/>
    <w:rsid w:val="004A4FDE"/>
    <w:rsid w:val="004A5449"/>
    <w:rsid w:val="004A548A"/>
    <w:rsid w:val="004A552B"/>
    <w:rsid w:val="004A60EF"/>
    <w:rsid w:val="004A788F"/>
    <w:rsid w:val="004A7AB7"/>
    <w:rsid w:val="004B0317"/>
    <w:rsid w:val="004B083F"/>
    <w:rsid w:val="004B0D59"/>
    <w:rsid w:val="004B0DF0"/>
    <w:rsid w:val="004B125F"/>
    <w:rsid w:val="004B2C56"/>
    <w:rsid w:val="004B312E"/>
    <w:rsid w:val="004B390D"/>
    <w:rsid w:val="004B3997"/>
    <w:rsid w:val="004B4636"/>
    <w:rsid w:val="004B489D"/>
    <w:rsid w:val="004B5359"/>
    <w:rsid w:val="004B5C29"/>
    <w:rsid w:val="004B60DE"/>
    <w:rsid w:val="004B67A3"/>
    <w:rsid w:val="004B6AA6"/>
    <w:rsid w:val="004B7E8C"/>
    <w:rsid w:val="004C06EC"/>
    <w:rsid w:val="004C12C1"/>
    <w:rsid w:val="004C15EC"/>
    <w:rsid w:val="004C19D9"/>
    <w:rsid w:val="004C1C3F"/>
    <w:rsid w:val="004C2263"/>
    <w:rsid w:val="004C264A"/>
    <w:rsid w:val="004C286C"/>
    <w:rsid w:val="004C2C7C"/>
    <w:rsid w:val="004C35F1"/>
    <w:rsid w:val="004C3697"/>
    <w:rsid w:val="004C37D1"/>
    <w:rsid w:val="004C3925"/>
    <w:rsid w:val="004C4295"/>
    <w:rsid w:val="004C43C1"/>
    <w:rsid w:val="004C44E0"/>
    <w:rsid w:val="004C4879"/>
    <w:rsid w:val="004C4D64"/>
    <w:rsid w:val="004C5121"/>
    <w:rsid w:val="004C51A2"/>
    <w:rsid w:val="004C5519"/>
    <w:rsid w:val="004C5D29"/>
    <w:rsid w:val="004C6727"/>
    <w:rsid w:val="004C6824"/>
    <w:rsid w:val="004C6C12"/>
    <w:rsid w:val="004C6C94"/>
    <w:rsid w:val="004C6DA0"/>
    <w:rsid w:val="004C6ECF"/>
    <w:rsid w:val="004C6F42"/>
    <w:rsid w:val="004C7ABF"/>
    <w:rsid w:val="004C7B0B"/>
    <w:rsid w:val="004D008A"/>
    <w:rsid w:val="004D07E9"/>
    <w:rsid w:val="004D0BBE"/>
    <w:rsid w:val="004D0FAF"/>
    <w:rsid w:val="004D1229"/>
    <w:rsid w:val="004D14DF"/>
    <w:rsid w:val="004D15B2"/>
    <w:rsid w:val="004D1B6B"/>
    <w:rsid w:val="004D1DF1"/>
    <w:rsid w:val="004D1E05"/>
    <w:rsid w:val="004D2438"/>
    <w:rsid w:val="004D2699"/>
    <w:rsid w:val="004D276E"/>
    <w:rsid w:val="004D2DAA"/>
    <w:rsid w:val="004D3843"/>
    <w:rsid w:val="004D3A3D"/>
    <w:rsid w:val="004D3AA7"/>
    <w:rsid w:val="004D3C97"/>
    <w:rsid w:val="004D3F19"/>
    <w:rsid w:val="004D3FC8"/>
    <w:rsid w:val="004D4ED0"/>
    <w:rsid w:val="004D5109"/>
    <w:rsid w:val="004D5440"/>
    <w:rsid w:val="004D57B4"/>
    <w:rsid w:val="004D5A94"/>
    <w:rsid w:val="004D65CC"/>
    <w:rsid w:val="004D712E"/>
    <w:rsid w:val="004D734A"/>
    <w:rsid w:val="004D7356"/>
    <w:rsid w:val="004D75E1"/>
    <w:rsid w:val="004D780B"/>
    <w:rsid w:val="004D7B8E"/>
    <w:rsid w:val="004D7E63"/>
    <w:rsid w:val="004E00D2"/>
    <w:rsid w:val="004E01FF"/>
    <w:rsid w:val="004E0610"/>
    <w:rsid w:val="004E0F1B"/>
    <w:rsid w:val="004E13F2"/>
    <w:rsid w:val="004E152A"/>
    <w:rsid w:val="004E15B1"/>
    <w:rsid w:val="004E18AC"/>
    <w:rsid w:val="004E1986"/>
    <w:rsid w:val="004E1FA6"/>
    <w:rsid w:val="004E277A"/>
    <w:rsid w:val="004E2BF7"/>
    <w:rsid w:val="004E31A2"/>
    <w:rsid w:val="004E39C4"/>
    <w:rsid w:val="004E4031"/>
    <w:rsid w:val="004E4223"/>
    <w:rsid w:val="004E4E4E"/>
    <w:rsid w:val="004E57A6"/>
    <w:rsid w:val="004E6479"/>
    <w:rsid w:val="004E6CCF"/>
    <w:rsid w:val="004E7445"/>
    <w:rsid w:val="004E7929"/>
    <w:rsid w:val="004E7E37"/>
    <w:rsid w:val="004E7E67"/>
    <w:rsid w:val="004F0741"/>
    <w:rsid w:val="004F0864"/>
    <w:rsid w:val="004F0991"/>
    <w:rsid w:val="004F0A91"/>
    <w:rsid w:val="004F0BD9"/>
    <w:rsid w:val="004F0C63"/>
    <w:rsid w:val="004F0F39"/>
    <w:rsid w:val="004F1D75"/>
    <w:rsid w:val="004F1DB1"/>
    <w:rsid w:val="004F24A7"/>
    <w:rsid w:val="004F2E0D"/>
    <w:rsid w:val="004F2FF8"/>
    <w:rsid w:val="004F36E4"/>
    <w:rsid w:val="004F37DB"/>
    <w:rsid w:val="004F397B"/>
    <w:rsid w:val="004F4169"/>
    <w:rsid w:val="004F4303"/>
    <w:rsid w:val="004F43E9"/>
    <w:rsid w:val="004F593F"/>
    <w:rsid w:val="004F5E67"/>
    <w:rsid w:val="004F7A7F"/>
    <w:rsid w:val="004F7B38"/>
    <w:rsid w:val="004F7C43"/>
    <w:rsid w:val="00500583"/>
    <w:rsid w:val="00500715"/>
    <w:rsid w:val="0050072E"/>
    <w:rsid w:val="005011DD"/>
    <w:rsid w:val="005016D6"/>
    <w:rsid w:val="00501974"/>
    <w:rsid w:val="00501F4F"/>
    <w:rsid w:val="005024B3"/>
    <w:rsid w:val="005039A8"/>
    <w:rsid w:val="00504643"/>
    <w:rsid w:val="005047BC"/>
    <w:rsid w:val="005048FD"/>
    <w:rsid w:val="00504A4B"/>
    <w:rsid w:val="00504E1D"/>
    <w:rsid w:val="00504EE1"/>
    <w:rsid w:val="00504F11"/>
    <w:rsid w:val="00505E00"/>
    <w:rsid w:val="00505EE1"/>
    <w:rsid w:val="005064AF"/>
    <w:rsid w:val="00506B22"/>
    <w:rsid w:val="00507134"/>
    <w:rsid w:val="005076E5"/>
    <w:rsid w:val="00507DBF"/>
    <w:rsid w:val="00510B48"/>
    <w:rsid w:val="00510E78"/>
    <w:rsid w:val="00512FD1"/>
    <w:rsid w:val="00513134"/>
    <w:rsid w:val="005133CF"/>
    <w:rsid w:val="00513502"/>
    <w:rsid w:val="0051357D"/>
    <w:rsid w:val="00513B69"/>
    <w:rsid w:val="00513C10"/>
    <w:rsid w:val="00513CDF"/>
    <w:rsid w:val="00514616"/>
    <w:rsid w:val="00514875"/>
    <w:rsid w:val="00514D90"/>
    <w:rsid w:val="00514E4E"/>
    <w:rsid w:val="00515884"/>
    <w:rsid w:val="00515BF6"/>
    <w:rsid w:val="00516893"/>
    <w:rsid w:val="00516AA3"/>
    <w:rsid w:val="00516DBD"/>
    <w:rsid w:val="00517FB9"/>
    <w:rsid w:val="005202AD"/>
    <w:rsid w:val="00520985"/>
    <w:rsid w:val="00520A77"/>
    <w:rsid w:val="0052238B"/>
    <w:rsid w:val="00522C53"/>
    <w:rsid w:val="0052336C"/>
    <w:rsid w:val="00523440"/>
    <w:rsid w:val="005235DC"/>
    <w:rsid w:val="005246F0"/>
    <w:rsid w:val="00524AF1"/>
    <w:rsid w:val="00524F33"/>
    <w:rsid w:val="00524FE5"/>
    <w:rsid w:val="00526632"/>
    <w:rsid w:val="00526658"/>
    <w:rsid w:val="00526C09"/>
    <w:rsid w:val="00527F0F"/>
    <w:rsid w:val="0053046D"/>
    <w:rsid w:val="0053054C"/>
    <w:rsid w:val="005314D6"/>
    <w:rsid w:val="00531829"/>
    <w:rsid w:val="0053186F"/>
    <w:rsid w:val="00531C4A"/>
    <w:rsid w:val="00531EED"/>
    <w:rsid w:val="00532069"/>
    <w:rsid w:val="00532910"/>
    <w:rsid w:val="00533052"/>
    <w:rsid w:val="005331E0"/>
    <w:rsid w:val="0053322C"/>
    <w:rsid w:val="005334A4"/>
    <w:rsid w:val="00533BC6"/>
    <w:rsid w:val="00533C95"/>
    <w:rsid w:val="00533EAF"/>
    <w:rsid w:val="005345E0"/>
    <w:rsid w:val="00535B04"/>
    <w:rsid w:val="00537AE3"/>
    <w:rsid w:val="00537B37"/>
    <w:rsid w:val="00537F02"/>
    <w:rsid w:val="0054057E"/>
    <w:rsid w:val="00540CDB"/>
    <w:rsid w:val="00541A83"/>
    <w:rsid w:val="00541C25"/>
    <w:rsid w:val="0054231F"/>
    <w:rsid w:val="0054359A"/>
    <w:rsid w:val="00543CB7"/>
    <w:rsid w:val="005440FD"/>
    <w:rsid w:val="005448B3"/>
    <w:rsid w:val="00544D70"/>
    <w:rsid w:val="00545151"/>
    <w:rsid w:val="0054584B"/>
    <w:rsid w:val="005461B7"/>
    <w:rsid w:val="00546A5D"/>
    <w:rsid w:val="00546D43"/>
    <w:rsid w:val="00547270"/>
    <w:rsid w:val="005478AA"/>
    <w:rsid w:val="00547A2B"/>
    <w:rsid w:val="00547E2D"/>
    <w:rsid w:val="00550147"/>
    <w:rsid w:val="0055015E"/>
    <w:rsid w:val="005508C4"/>
    <w:rsid w:val="00550CE8"/>
    <w:rsid w:val="00550D32"/>
    <w:rsid w:val="00551814"/>
    <w:rsid w:val="00551B6B"/>
    <w:rsid w:val="00552248"/>
    <w:rsid w:val="005527D5"/>
    <w:rsid w:val="00553AF8"/>
    <w:rsid w:val="00553B08"/>
    <w:rsid w:val="00554518"/>
    <w:rsid w:val="005545F1"/>
    <w:rsid w:val="00554795"/>
    <w:rsid w:val="00555042"/>
    <w:rsid w:val="00555500"/>
    <w:rsid w:val="005558FE"/>
    <w:rsid w:val="00555B6A"/>
    <w:rsid w:val="0055626C"/>
    <w:rsid w:val="005564C9"/>
    <w:rsid w:val="005566AA"/>
    <w:rsid w:val="00556CC3"/>
    <w:rsid w:val="00556F1E"/>
    <w:rsid w:val="00557216"/>
    <w:rsid w:val="00557758"/>
    <w:rsid w:val="00557D4C"/>
    <w:rsid w:val="00557FD9"/>
    <w:rsid w:val="0056027C"/>
    <w:rsid w:val="00560409"/>
    <w:rsid w:val="005606EA"/>
    <w:rsid w:val="00560A1E"/>
    <w:rsid w:val="0056100F"/>
    <w:rsid w:val="0056156F"/>
    <w:rsid w:val="0056182C"/>
    <w:rsid w:val="00561A02"/>
    <w:rsid w:val="00561E96"/>
    <w:rsid w:val="005624EA"/>
    <w:rsid w:val="005627CD"/>
    <w:rsid w:val="00562E80"/>
    <w:rsid w:val="00564B7F"/>
    <w:rsid w:val="00564BA9"/>
    <w:rsid w:val="0056534B"/>
    <w:rsid w:val="00565EB7"/>
    <w:rsid w:val="00566377"/>
    <w:rsid w:val="005663AD"/>
    <w:rsid w:val="00566882"/>
    <w:rsid w:val="0056696D"/>
    <w:rsid w:val="00566C0F"/>
    <w:rsid w:val="0056755F"/>
    <w:rsid w:val="00567ADA"/>
    <w:rsid w:val="00567D08"/>
    <w:rsid w:val="00567EE3"/>
    <w:rsid w:val="005718CC"/>
    <w:rsid w:val="00571B9E"/>
    <w:rsid w:val="00571D1C"/>
    <w:rsid w:val="00571DC6"/>
    <w:rsid w:val="00571ED2"/>
    <w:rsid w:val="005727EE"/>
    <w:rsid w:val="005727F9"/>
    <w:rsid w:val="00572E04"/>
    <w:rsid w:val="00573107"/>
    <w:rsid w:val="0057322E"/>
    <w:rsid w:val="0057328E"/>
    <w:rsid w:val="00573579"/>
    <w:rsid w:val="00573633"/>
    <w:rsid w:val="005749AE"/>
    <w:rsid w:val="00574EB0"/>
    <w:rsid w:val="005752F2"/>
    <w:rsid w:val="0057590F"/>
    <w:rsid w:val="00576C2B"/>
    <w:rsid w:val="00576D00"/>
    <w:rsid w:val="005776AE"/>
    <w:rsid w:val="00580394"/>
    <w:rsid w:val="005808CA"/>
    <w:rsid w:val="00580A73"/>
    <w:rsid w:val="00580D98"/>
    <w:rsid w:val="00580F2E"/>
    <w:rsid w:val="00581151"/>
    <w:rsid w:val="00581E1A"/>
    <w:rsid w:val="0058288E"/>
    <w:rsid w:val="00582E5E"/>
    <w:rsid w:val="00583128"/>
    <w:rsid w:val="00585888"/>
    <w:rsid w:val="00585C3B"/>
    <w:rsid w:val="00586542"/>
    <w:rsid w:val="00587216"/>
    <w:rsid w:val="00587C9F"/>
    <w:rsid w:val="00587D28"/>
    <w:rsid w:val="00587E3E"/>
    <w:rsid w:val="00590284"/>
    <w:rsid w:val="0059054E"/>
    <w:rsid w:val="00590E22"/>
    <w:rsid w:val="00593017"/>
    <w:rsid w:val="00593A2A"/>
    <w:rsid w:val="00593BDF"/>
    <w:rsid w:val="00594017"/>
    <w:rsid w:val="0059417B"/>
    <w:rsid w:val="0059527F"/>
    <w:rsid w:val="00595846"/>
    <w:rsid w:val="00595CF5"/>
    <w:rsid w:val="005961DD"/>
    <w:rsid w:val="00596915"/>
    <w:rsid w:val="00596DAD"/>
    <w:rsid w:val="00596DE5"/>
    <w:rsid w:val="00597391"/>
    <w:rsid w:val="005974C1"/>
    <w:rsid w:val="00597620"/>
    <w:rsid w:val="005976E6"/>
    <w:rsid w:val="00597947"/>
    <w:rsid w:val="00597C89"/>
    <w:rsid w:val="00597CF7"/>
    <w:rsid w:val="00597D78"/>
    <w:rsid w:val="005A0069"/>
    <w:rsid w:val="005A0C59"/>
    <w:rsid w:val="005A1BCB"/>
    <w:rsid w:val="005A1C7B"/>
    <w:rsid w:val="005A2140"/>
    <w:rsid w:val="005A2E99"/>
    <w:rsid w:val="005A301C"/>
    <w:rsid w:val="005A32AA"/>
    <w:rsid w:val="005A3561"/>
    <w:rsid w:val="005A3566"/>
    <w:rsid w:val="005A421E"/>
    <w:rsid w:val="005A472A"/>
    <w:rsid w:val="005A4A20"/>
    <w:rsid w:val="005A50F1"/>
    <w:rsid w:val="005A53D2"/>
    <w:rsid w:val="005A5BCB"/>
    <w:rsid w:val="005A6E8B"/>
    <w:rsid w:val="005A7828"/>
    <w:rsid w:val="005B00A8"/>
    <w:rsid w:val="005B0BE8"/>
    <w:rsid w:val="005B0C52"/>
    <w:rsid w:val="005B1232"/>
    <w:rsid w:val="005B1A5A"/>
    <w:rsid w:val="005B1A7C"/>
    <w:rsid w:val="005B1D54"/>
    <w:rsid w:val="005B2BEA"/>
    <w:rsid w:val="005B2E24"/>
    <w:rsid w:val="005B326C"/>
    <w:rsid w:val="005B328B"/>
    <w:rsid w:val="005B3418"/>
    <w:rsid w:val="005B3562"/>
    <w:rsid w:val="005B35DF"/>
    <w:rsid w:val="005B3F46"/>
    <w:rsid w:val="005B42A4"/>
    <w:rsid w:val="005B4418"/>
    <w:rsid w:val="005B446C"/>
    <w:rsid w:val="005B4A2F"/>
    <w:rsid w:val="005B510D"/>
    <w:rsid w:val="005B55A9"/>
    <w:rsid w:val="005B5807"/>
    <w:rsid w:val="005B5EE4"/>
    <w:rsid w:val="005B5FC8"/>
    <w:rsid w:val="005B644E"/>
    <w:rsid w:val="005B6880"/>
    <w:rsid w:val="005B68AB"/>
    <w:rsid w:val="005B6957"/>
    <w:rsid w:val="005B7585"/>
    <w:rsid w:val="005B7932"/>
    <w:rsid w:val="005C0AA0"/>
    <w:rsid w:val="005C0D66"/>
    <w:rsid w:val="005C0D8D"/>
    <w:rsid w:val="005C10C9"/>
    <w:rsid w:val="005C178F"/>
    <w:rsid w:val="005C1844"/>
    <w:rsid w:val="005C3175"/>
    <w:rsid w:val="005C3388"/>
    <w:rsid w:val="005C3402"/>
    <w:rsid w:val="005C381B"/>
    <w:rsid w:val="005C395E"/>
    <w:rsid w:val="005C3CAD"/>
    <w:rsid w:val="005C3EF6"/>
    <w:rsid w:val="005C4389"/>
    <w:rsid w:val="005C5630"/>
    <w:rsid w:val="005C622B"/>
    <w:rsid w:val="005C7058"/>
    <w:rsid w:val="005C7405"/>
    <w:rsid w:val="005C752C"/>
    <w:rsid w:val="005C7634"/>
    <w:rsid w:val="005C7E9A"/>
    <w:rsid w:val="005D0262"/>
    <w:rsid w:val="005D02BF"/>
    <w:rsid w:val="005D02E5"/>
    <w:rsid w:val="005D09DF"/>
    <w:rsid w:val="005D262F"/>
    <w:rsid w:val="005D2826"/>
    <w:rsid w:val="005D288E"/>
    <w:rsid w:val="005D3B59"/>
    <w:rsid w:val="005D476B"/>
    <w:rsid w:val="005D4933"/>
    <w:rsid w:val="005D4A84"/>
    <w:rsid w:val="005D4E22"/>
    <w:rsid w:val="005D522D"/>
    <w:rsid w:val="005D619D"/>
    <w:rsid w:val="005D69A1"/>
    <w:rsid w:val="005D69C4"/>
    <w:rsid w:val="005D6D0D"/>
    <w:rsid w:val="005D715F"/>
    <w:rsid w:val="005E0016"/>
    <w:rsid w:val="005E0ABC"/>
    <w:rsid w:val="005E0D7A"/>
    <w:rsid w:val="005E163E"/>
    <w:rsid w:val="005E1DD1"/>
    <w:rsid w:val="005E1F98"/>
    <w:rsid w:val="005E2025"/>
    <w:rsid w:val="005E2302"/>
    <w:rsid w:val="005E276C"/>
    <w:rsid w:val="005E32E6"/>
    <w:rsid w:val="005E46C1"/>
    <w:rsid w:val="005E52EA"/>
    <w:rsid w:val="005E5388"/>
    <w:rsid w:val="005E56FB"/>
    <w:rsid w:val="005E59CB"/>
    <w:rsid w:val="005E6416"/>
    <w:rsid w:val="005E6B03"/>
    <w:rsid w:val="005E74FB"/>
    <w:rsid w:val="005E7E95"/>
    <w:rsid w:val="005F03A0"/>
    <w:rsid w:val="005F0668"/>
    <w:rsid w:val="005F155D"/>
    <w:rsid w:val="005F1B17"/>
    <w:rsid w:val="005F20B4"/>
    <w:rsid w:val="005F240D"/>
    <w:rsid w:val="005F2C73"/>
    <w:rsid w:val="005F395A"/>
    <w:rsid w:val="005F3B64"/>
    <w:rsid w:val="005F46C7"/>
    <w:rsid w:val="005F49DA"/>
    <w:rsid w:val="005F4DA8"/>
    <w:rsid w:val="005F4E4D"/>
    <w:rsid w:val="005F4E80"/>
    <w:rsid w:val="005F519C"/>
    <w:rsid w:val="005F5C60"/>
    <w:rsid w:val="005F6075"/>
    <w:rsid w:val="005F616F"/>
    <w:rsid w:val="005F65CE"/>
    <w:rsid w:val="005F7A04"/>
    <w:rsid w:val="005F7E60"/>
    <w:rsid w:val="0060044A"/>
    <w:rsid w:val="0060062D"/>
    <w:rsid w:val="006007A7"/>
    <w:rsid w:val="006009FD"/>
    <w:rsid w:val="00600A00"/>
    <w:rsid w:val="00601977"/>
    <w:rsid w:val="00601A07"/>
    <w:rsid w:val="00601A15"/>
    <w:rsid w:val="00601DA7"/>
    <w:rsid w:val="0060213D"/>
    <w:rsid w:val="00602A5A"/>
    <w:rsid w:val="00603108"/>
    <w:rsid w:val="006033B3"/>
    <w:rsid w:val="006036C8"/>
    <w:rsid w:val="0060381C"/>
    <w:rsid w:val="00603D44"/>
    <w:rsid w:val="0060472B"/>
    <w:rsid w:val="00604819"/>
    <w:rsid w:val="0060494C"/>
    <w:rsid w:val="00604BA8"/>
    <w:rsid w:val="00604E9D"/>
    <w:rsid w:val="00604F21"/>
    <w:rsid w:val="00605218"/>
    <w:rsid w:val="006057A4"/>
    <w:rsid w:val="00606421"/>
    <w:rsid w:val="00606946"/>
    <w:rsid w:val="0060744A"/>
    <w:rsid w:val="00607D55"/>
    <w:rsid w:val="0061155C"/>
    <w:rsid w:val="00611BAA"/>
    <w:rsid w:val="00611D8C"/>
    <w:rsid w:val="0061210D"/>
    <w:rsid w:val="00612139"/>
    <w:rsid w:val="0061276F"/>
    <w:rsid w:val="006127B2"/>
    <w:rsid w:val="00612F90"/>
    <w:rsid w:val="00613062"/>
    <w:rsid w:val="006137B4"/>
    <w:rsid w:val="00613EC7"/>
    <w:rsid w:val="00613EFC"/>
    <w:rsid w:val="00614A68"/>
    <w:rsid w:val="00614ABD"/>
    <w:rsid w:val="00614F3F"/>
    <w:rsid w:val="00614F59"/>
    <w:rsid w:val="00615057"/>
    <w:rsid w:val="0061522C"/>
    <w:rsid w:val="006153B3"/>
    <w:rsid w:val="00615A83"/>
    <w:rsid w:val="00615B7A"/>
    <w:rsid w:val="00615CB6"/>
    <w:rsid w:val="00616E8C"/>
    <w:rsid w:val="00620701"/>
    <w:rsid w:val="00620927"/>
    <w:rsid w:val="00620A1C"/>
    <w:rsid w:val="006212A0"/>
    <w:rsid w:val="006215AB"/>
    <w:rsid w:val="00621629"/>
    <w:rsid w:val="006217C9"/>
    <w:rsid w:val="00621A13"/>
    <w:rsid w:val="006230F1"/>
    <w:rsid w:val="006232FE"/>
    <w:rsid w:val="00623D32"/>
    <w:rsid w:val="0062432E"/>
    <w:rsid w:val="00624622"/>
    <w:rsid w:val="00624D6C"/>
    <w:rsid w:val="00625167"/>
    <w:rsid w:val="00626ABB"/>
    <w:rsid w:val="00626AF4"/>
    <w:rsid w:val="0062747D"/>
    <w:rsid w:val="006303F9"/>
    <w:rsid w:val="00630EB2"/>
    <w:rsid w:val="00631851"/>
    <w:rsid w:val="006319F0"/>
    <w:rsid w:val="006324BE"/>
    <w:rsid w:val="00632A82"/>
    <w:rsid w:val="0063324F"/>
    <w:rsid w:val="00633609"/>
    <w:rsid w:val="00633B46"/>
    <w:rsid w:val="00633CEA"/>
    <w:rsid w:val="006347B1"/>
    <w:rsid w:val="00634B61"/>
    <w:rsid w:val="00635210"/>
    <w:rsid w:val="0063555E"/>
    <w:rsid w:val="006367EC"/>
    <w:rsid w:val="00636B3D"/>
    <w:rsid w:val="00637147"/>
    <w:rsid w:val="00637C58"/>
    <w:rsid w:val="00640755"/>
    <w:rsid w:val="00640893"/>
    <w:rsid w:val="00640A4B"/>
    <w:rsid w:val="00640B45"/>
    <w:rsid w:val="00641A04"/>
    <w:rsid w:val="00641D84"/>
    <w:rsid w:val="006424F3"/>
    <w:rsid w:val="006426B4"/>
    <w:rsid w:val="00642A1F"/>
    <w:rsid w:val="00642B15"/>
    <w:rsid w:val="006433DB"/>
    <w:rsid w:val="00643F4D"/>
    <w:rsid w:val="00644069"/>
    <w:rsid w:val="00644201"/>
    <w:rsid w:val="00644380"/>
    <w:rsid w:val="00644A73"/>
    <w:rsid w:val="00644BAF"/>
    <w:rsid w:val="0064500D"/>
    <w:rsid w:val="006466E9"/>
    <w:rsid w:val="006478F4"/>
    <w:rsid w:val="00650043"/>
    <w:rsid w:val="006500C9"/>
    <w:rsid w:val="00650827"/>
    <w:rsid w:val="00650A6D"/>
    <w:rsid w:val="006512DF"/>
    <w:rsid w:val="00651592"/>
    <w:rsid w:val="0065177D"/>
    <w:rsid w:val="00651858"/>
    <w:rsid w:val="0065265F"/>
    <w:rsid w:val="00652983"/>
    <w:rsid w:val="006530EB"/>
    <w:rsid w:val="006542FF"/>
    <w:rsid w:val="006544B3"/>
    <w:rsid w:val="006545C4"/>
    <w:rsid w:val="0065486B"/>
    <w:rsid w:val="00654A7F"/>
    <w:rsid w:val="00654CCE"/>
    <w:rsid w:val="00654D8F"/>
    <w:rsid w:val="00655ACF"/>
    <w:rsid w:val="006560AF"/>
    <w:rsid w:val="00656135"/>
    <w:rsid w:val="00657634"/>
    <w:rsid w:val="00657950"/>
    <w:rsid w:val="00657FCE"/>
    <w:rsid w:val="0066017F"/>
    <w:rsid w:val="0066053E"/>
    <w:rsid w:val="00661A7E"/>
    <w:rsid w:val="00661F02"/>
    <w:rsid w:val="0066215F"/>
    <w:rsid w:val="0066260B"/>
    <w:rsid w:val="00662955"/>
    <w:rsid w:val="00662DF0"/>
    <w:rsid w:val="006632E7"/>
    <w:rsid w:val="006634BF"/>
    <w:rsid w:val="00663ADF"/>
    <w:rsid w:val="00663B76"/>
    <w:rsid w:val="006645F8"/>
    <w:rsid w:val="00665739"/>
    <w:rsid w:val="006657F0"/>
    <w:rsid w:val="00665811"/>
    <w:rsid w:val="00665B13"/>
    <w:rsid w:val="00665EE4"/>
    <w:rsid w:val="006662D2"/>
    <w:rsid w:val="00667494"/>
    <w:rsid w:val="00667C4B"/>
    <w:rsid w:val="006705F9"/>
    <w:rsid w:val="00670A75"/>
    <w:rsid w:val="006711F4"/>
    <w:rsid w:val="0067138B"/>
    <w:rsid w:val="0067178F"/>
    <w:rsid w:val="006725A6"/>
    <w:rsid w:val="00672A27"/>
    <w:rsid w:val="00672F7E"/>
    <w:rsid w:val="006733F9"/>
    <w:rsid w:val="00673536"/>
    <w:rsid w:val="00673D6D"/>
    <w:rsid w:val="0067532F"/>
    <w:rsid w:val="0067631C"/>
    <w:rsid w:val="006763D4"/>
    <w:rsid w:val="00677608"/>
    <w:rsid w:val="0067773B"/>
    <w:rsid w:val="00677DEB"/>
    <w:rsid w:val="00677DEE"/>
    <w:rsid w:val="00680724"/>
    <w:rsid w:val="00680A95"/>
    <w:rsid w:val="00680F0E"/>
    <w:rsid w:val="00681085"/>
    <w:rsid w:val="00681697"/>
    <w:rsid w:val="00681753"/>
    <w:rsid w:val="00681AEE"/>
    <w:rsid w:val="006821E3"/>
    <w:rsid w:val="00682E45"/>
    <w:rsid w:val="00682EA3"/>
    <w:rsid w:val="00682FC2"/>
    <w:rsid w:val="00683058"/>
    <w:rsid w:val="00683588"/>
    <w:rsid w:val="006839A5"/>
    <w:rsid w:val="00683D20"/>
    <w:rsid w:val="006848DB"/>
    <w:rsid w:val="00684E2B"/>
    <w:rsid w:val="00684FA3"/>
    <w:rsid w:val="0068538E"/>
    <w:rsid w:val="006867EF"/>
    <w:rsid w:val="006869C2"/>
    <w:rsid w:val="00686BFF"/>
    <w:rsid w:val="006873BE"/>
    <w:rsid w:val="00687AE9"/>
    <w:rsid w:val="006906EF"/>
    <w:rsid w:val="006907D2"/>
    <w:rsid w:val="006909AD"/>
    <w:rsid w:val="0069119D"/>
    <w:rsid w:val="006914E3"/>
    <w:rsid w:val="00692665"/>
    <w:rsid w:val="00693222"/>
    <w:rsid w:val="006934B4"/>
    <w:rsid w:val="0069389E"/>
    <w:rsid w:val="00693AF5"/>
    <w:rsid w:val="00693CCA"/>
    <w:rsid w:val="006948EE"/>
    <w:rsid w:val="00695504"/>
    <w:rsid w:val="006957A8"/>
    <w:rsid w:val="00695BE7"/>
    <w:rsid w:val="00695D65"/>
    <w:rsid w:val="00696763"/>
    <w:rsid w:val="0069692F"/>
    <w:rsid w:val="00696DCD"/>
    <w:rsid w:val="00697E30"/>
    <w:rsid w:val="006A052B"/>
    <w:rsid w:val="006A11D0"/>
    <w:rsid w:val="006A1900"/>
    <w:rsid w:val="006A1A0B"/>
    <w:rsid w:val="006A1C67"/>
    <w:rsid w:val="006A1D83"/>
    <w:rsid w:val="006A295E"/>
    <w:rsid w:val="006A34B1"/>
    <w:rsid w:val="006A3957"/>
    <w:rsid w:val="006A39D6"/>
    <w:rsid w:val="006A3BFC"/>
    <w:rsid w:val="006A467A"/>
    <w:rsid w:val="006A5E09"/>
    <w:rsid w:val="006A5E2A"/>
    <w:rsid w:val="006A6006"/>
    <w:rsid w:val="006A6453"/>
    <w:rsid w:val="006A7378"/>
    <w:rsid w:val="006A7536"/>
    <w:rsid w:val="006A76F6"/>
    <w:rsid w:val="006A7B85"/>
    <w:rsid w:val="006A7E49"/>
    <w:rsid w:val="006A7E74"/>
    <w:rsid w:val="006B03FD"/>
    <w:rsid w:val="006B0652"/>
    <w:rsid w:val="006B077A"/>
    <w:rsid w:val="006B0E57"/>
    <w:rsid w:val="006B1481"/>
    <w:rsid w:val="006B19A0"/>
    <w:rsid w:val="006B2D52"/>
    <w:rsid w:val="006B328F"/>
    <w:rsid w:val="006B383A"/>
    <w:rsid w:val="006B4247"/>
    <w:rsid w:val="006B4C60"/>
    <w:rsid w:val="006B5223"/>
    <w:rsid w:val="006B539A"/>
    <w:rsid w:val="006B58A4"/>
    <w:rsid w:val="006B5F33"/>
    <w:rsid w:val="006B6BF0"/>
    <w:rsid w:val="006B70A4"/>
    <w:rsid w:val="006B7498"/>
    <w:rsid w:val="006B7642"/>
    <w:rsid w:val="006B7808"/>
    <w:rsid w:val="006B7C10"/>
    <w:rsid w:val="006C012C"/>
    <w:rsid w:val="006C0471"/>
    <w:rsid w:val="006C09BF"/>
    <w:rsid w:val="006C09F5"/>
    <w:rsid w:val="006C0ED9"/>
    <w:rsid w:val="006C13F7"/>
    <w:rsid w:val="006C1637"/>
    <w:rsid w:val="006C2C39"/>
    <w:rsid w:val="006C316D"/>
    <w:rsid w:val="006C332E"/>
    <w:rsid w:val="006C3C06"/>
    <w:rsid w:val="006C3F95"/>
    <w:rsid w:val="006C49A7"/>
    <w:rsid w:val="006C4B01"/>
    <w:rsid w:val="006C4EA8"/>
    <w:rsid w:val="006C523D"/>
    <w:rsid w:val="006C5A6E"/>
    <w:rsid w:val="006C6176"/>
    <w:rsid w:val="006C61EE"/>
    <w:rsid w:val="006C7C91"/>
    <w:rsid w:val="006D0417"/>
    <w:rsid w:val="006D0CB2"/>
    <w:rsid w:val="006D13FB"/>
    <w:rsid w:val="006D1980"/>
    <w:rsid w:val="006D1B8E"/>
    <w:rsid w:val="006D1C2E"/>
    <w:rsid w:val="006D1E13"/>
    <w:rsid w:val="006D20C3"/>
    <w:rsid w:val="006D2361"/>
    <w:rsid w:val="006D2750"/>
    <w:rsid w:val="006D2E0E"/>
    <w:rsid w:val="006D2F04"/>
    <w:rsid w:val="006D3B8B"/>
    <w:rsid w:val="006D4A17"/>
    <w:rsid w:val="006D4F8B"/>
    <w:rsid w:val="006D5182"/>
    <w:rsid w:val="006D595D"/>
    <w:rsid w:val="006D5AC4"/>
    <w:rsid w:val="006D65B5"/>
    <w:rsid w:val="006D669E"/>
    <w:rsid w:val="006D7152"/>
    <w:rsid w:val="006D77ED"/>
    <w:rsid w:val="006D7E0D"/>
    <w:rsid w:val="006E0BAB"/>
    <w:rsid w:val="006E0FF1"/>
    <w:rsid w:val="006E18A2"/>
    <w:rsid w:val="006E1E3F"/>
    <w:rsid w:val="006E1FB4"/>
    <w:rsid w:val="006E27E3"/>
    <w:rsid w:val="006E2BA3"/>
    <w:rsid w:val="006E2D90"/>
    <w:rsid w:val="006E4748"/>
    <w:rsid w:val="006E49C4"/>
    <w:rsid w:val="006E4A41"/>
    <w:rsid w:val="006E4AF9"/>
    <w:rsid w:val="006E4B0A"/>
    <w:rsid w:val="006E6458"/>
    <w:rsid w:val="006E6FA8"/>
    <w:rsid w:val="006E72D7"/>
    <w:rsid w:val="006E74D3"/>
    <w:rsid w:val="006E7B06"/>
    <w:rsid w:val="006E7F17"/>
    <w:rsid w:val="006E7F2C"/>
    <w:rsid w:val="006F12C9"/>
    <w:rsid w:val="006F1591"/>
    <w:rsid w:val="006F1951"/>
    <w:rsid w:val="006F2174"/>
    <w:rsid w:val="006F3492"/>
    <w:rsid w:val="006F3D13"/>
    <w:rsid w:val="006F407B"/>
    <w:rsid w:val="006F4256"/>
    <w:rsid w:val="006F46B0"/>
    <w:rsid w:val="006F4FF9"/>
    <w:rsid w:val="006F523F"/>
    <w:rsid w:val="006F58C0"/>
    <w:rsid w:val="006F5920"/>
    <w:rsid w:val="006F5ABD"/>
    <w:rsid w:val="006F5E7F"/>
    <w:rsid w:val="006F6359"/>
    <w:rsid w:val="006F644C"/>
    <w:rsid w:val="006F68D1"/>
    <w:rsid w:val="006F6A1E"/>
    <w:rsid w:val="00700DC9"/>
    <w:rsid w:val="00700EA7"/>
    <w:rsid w:val="00701231"/>
    <w:rsid w:val="0070186D"/>
    <w:rsid w:val="00702085"/>
    <w:rsid w:val="00702130"/>
    <w:rsid w:val="00702789"/>
    <w:rsid w:val="007038F1"/>
    <w:rsid w:val="007039FE"/>
    <w:rsid w:val="00704DD3"/>
    <w:rsid w:val="00705302"/>
    <w:rsid w:val="00705BA6"/>
    <w:rsid w:val="007064A4"/>
    <w:rsid w:val="00706EF3"/>
    <w:rsid w:val="00706FBF"/>
    <w:rsid w:val="0070765E"/>
    <w:rsid w:val="00707DDC"/>
    <w:rsid w:val="00707EA3"/>
    <w:rsid w:val="00707F29"/>
    <w:rsid w:val="00710559"/>
    <w:rsid w:val="007108B5"/>
    <w:rsid w:val="007109B8"/>
    <w:rsid w:val="00710ED1"/>
    <w:rsid w:val="007110D5"/>
    <w:rsid w:val="00711250"/>
    <w:rsid w:val="00711969"/>
    <w:rsid w:val="00711AD9"/>
    <w:rsid w:val="00711C74"/>
    <w:rsid w:val="00711F55"/>
    <w:rsid w:val="0071278F"/>
    <w:rsid w:val="007128DC"/>
    <w:rsid w:val="00712CB4"/>
    <w:rsid w:val="007138EC"/>
    <w:rsid w:val="0071467A"/>
    <w:rsid w:val="0071475B"/>
    <w:rsid w:val="00714D0F"/>
    <w:rsid w:val="00714F69"/>
    <w:rsid w:val="00714FF0"/>
    <w:rsid w:val="007157A3"/>
    <w:rsid w:val="007162E1"/>
    <w:rsid w:val="0071657C"/>
    <w:rsid w:val="007167AE"/>
    <w:rsid w:val="00716AA8"/>
    <w:rsid w:val="00716AED"/>
    <w:rsid w:val="00716D95"/>
    <w:rsid w:val="00717738"/>
    <w:rsid w:val="007204BC"/>
    <w:rsid w:val="00720618"/>
    <w:rsid w:val="00720BE7"/>
    <w:rsid w:val="0072139E"/>
    <w:rsid w:val="007213D0"/>
    <w:rsid w:val="00721890"/>
    <w:rsid w:val="007218F0"/>
    <w:rsid w:val="00721F38"/>
    <w:rsid w:val="00722AA5"/>
    <w:rsid w:val="00722BF6"/>
    <w:rsid w:val="00722CA0"/>
    <w:rsid w:val="00722FD3"/>
    <w:rsid w:val="0072367A"/>
    <w:rsid w:val="0072445A"/>
    <w:rsid w:val="007244D9"/>
    <w:rsid w:val="0072499A"/>
    <w:rsid w:val="00724BE7"/>
    <w:rsid w:val="00724FAB"/>
    <w:rsid w:val="00725328"/>
    <w:rsid w:val="0072668A"/>
    <w:rsid w:val="00726CE9"/>
    <w:rsid w:val="00726F7C"/>
    <w:rsid w:val="00727278"/>
    <w:rsid w:val="00727826"/>
    <w:rsid w:val="00727F58"/>
    <w:rsid w:val="007304F1"/>
    <w:rsid w:val="00730D0E"/>
    <w:rsid w:val="00730E30"/>
    <w:rsid w:val="0073111A"/>
    <w:rsid w:val="0073191E"/>
    <w:rsid w:val="00731BB9"/>
    <w:rsid w:val="00731EF5"/>
    <w:rsid w:val="00732032"/>
    <w:rsid w:val="00732692"/>
    <w:rsid w:val="00732D0F"/>
    <w:rsid w:val="007338E8"/>
    <w:rsid w:val="007340D2"/>
    <w:rsid w:val="00734153"/>
    <w:rsid w:val="007347D3"/>
    <w:rsid w:val="00734E58"/>
    <w:rsid w:val="00734F5B"/>
    <w:rsid w:val="00735870"/>
    <w:rsid w:val="00735D1F"/>
    <w:rsid w:val="007365F5"/>
    <w:rsid w:val="007369CA"/>
    <w:rsid w:val="00736B7B"/>
    <w:rsid w:val="00737038"/>
    <w:rsid w:val="00737BFE"/>
    <w:rsid w:val="00737DDA"/>
    <w:rsid w:val="007405AC"/>
    <w:rsid w:val="00740721"/>
    <w:rsid w:val="00740FCA"/>
    <w:rsid w:val="0074120B"/>
    <w:rsid w:val="0074291C"/>
    <w:rsid w:val="0074338A"/>
    <w:rsid w:val="0074391B"/>
    <w:rsid w:val="00743F39"/>
    <w:rsid w:val="007444B1"/>
    <w:rsid w:val="00744A2D"/>
    <w:rsid w:val="00744AA1"/>
    <w:rsid w:val="00744B8A"/>
    <w:rsid w:val="00744BE8"/>
    <w:rsid w:val="00744E44"/>
    <w:rsid w:val="007464B1"/>
    <w:rsid w:val="00746821"/>
    <w:rsid w:val="007468E2"/>
    <w:rsid w:val="007469A5"/>
    <w:rsid w:val="007469B3"/>
    <w:rsid w:val="00746C01"/>
    <w:rsid w:val="007471F9"/>
    <w:rsid w:val="00750A56"/>
    <w:rsid w:val="00750F70"/>
    <w:rsid w:val="007518DC"/>
    <w:rsid w:val="0075252E"/>
    <w:rsid w:val="00752947"/>
    <w:rsid w:val="007531CF"/>
    <w:rsid w:val="007533AF"/>
    <w:rsid w:val="0075346F"/>
    <w:rsid w:val="00753643"/>
    <w:rsid w:val="00753EE1"/>
    <w:rsid w:val="00754472"/>
    <w:rsid w:val="0075498D"/>
    <w:rsid w:val="00754B7A"/>
    <w:rsid w:val="00754D5E"/>
    <w:rsid w:val="00754E24"/>
    <w:rsid w:val="0075500E"/>
    <w:rsid w:val="0075532F"/>
    <w:rsid w:val="007558B9"/>
    <w:rsid w:val="00755CA2"/>
    <w:rsid w:val="00755F7A"/>
    <w:rsid w:val="00756372"/>
    <w:rsid w:val="007575D1"/>
    <w:rsid w:val="00757A64"/>
    <w:rsid w:val="00757E0D"/>
    <w:rsid w:val="00760AC0"/>
    <w:rsid w:val="00761164"/>
    <w:rsid w:val="007617AE"/>
    <w:rsid w:val="007617F5"/>
    <w:rsid w:val="00761C07"/>
    <w:rsid w:val="00761CEE"/>
    <w:rsid w:val="00761DCC"/>
    <w:rsid w:val="00761F4F"/>
    <w:rsid w:val="0076230F"/>
    <w:rsid w:val="00762799"/>
    <w:rsid w:val="007630E9"/>
    <w:rsid w:val="0076344D"/>
    <w:rsid w:val="00763C2F"/>
    <w:rsid w:val="00763F2F"/>
    <w:rsid w:val="00763FDB"/>
    <w:rsid w:val="00765015"/>
    <w:rsid w:val="007652E0"/>
    <w:rsid w:val="00765E01"/>
    <w:rsid w:val="00765EE2"/>
    <w:rsid w:val="007664B8"/>
    <w:rsid w:val="00766942"/>
    <w:rsid w:val="00766EB1"/>
    <w:rsid w:val="0076734B"/>
    <w:rsid w:val="007674F7"/>
    <w:rsid w:val="0076791C"/>
    <w:rsid w:val="0077056F"/>
    <w:rsid w:val="00771DE4"/>
    <w:rsid w:val="00773350"/>
    <w:rsid w:val="0077364B"/>
    <w:rsid w:val="007737BD"/>
    <w:rsid w:val="007744D8"/>
    <w:rsid w:val="0077497C"/>
    <w:rsid w:val="00775321"/>
    <w:rsid w:val="0077562E"/>
    <w:rsid w:val="0077575A"/>
    <w:rsid w:val="0077578F"/>
    <w:rsid w:val="00775C56"/>
    <w:rsid w:val="00776757"/>
    <w:rsid w:val="0077698E"/>
    <w:rsid w:val="00776C03"/>
    <w:rsid w:val="00776D0D"/>
    <w:rsid w:val="007800E0"/>
    <w:rsid w:val="0078066C"/>
    <w:rsid w:val="00780815"/>
    <w:rsid w:val="00780CBE"/>
    <w:rsid w:val="00780EAF"/>
    <w:rsid w:val="00781355"/>
    <w:rsid w:val="007816F2"/>
    <w:rsid w:val="00781C8F"/>
    <w:rsid w:val="00781E5F"/>
    <w:rsid w:val="00781EF3"/>
    <w:rsid w:val="00781F81"/>
    <w:rsid w:val="00782290"/>
    <w:rsid w:val="007824C4"/>
    <w:rsid w:val="007824C5"/>
    <w:rsid w:val="0078259B"/>
    <w:rsid w:val="00783019"/>
    <w:rsid w:val="00783043"/>
    <w:rsid w:val="00784106"/>
    <w:rsid w:val="0078437E"/>
    <w:rsid w:val="0078498F"/>
    <w:rsid w:val="007851F4"/>
    <w:rsid w:val="00785334"/>
    <w:rsid w:val="00785399"/>
    <w:rsid w:val="007854AB"/>
    <w:rsid w:val="007861C3"/>
    <w:rsid w:val="007864F7"/>
    <w:rsid w:val="0078654B"/>
    <w:rsid w:val="00786D51"/>
    <w:rsid w:val="00786DC6"/>
    <w:rsid w:val="00787D16"/>
    <w:rsid w:val="007902AF"/>
    <w:rsid w:val="00790698"/>
    <w:rsid w:val="00790DF7"/>
    <w:rsid w:val="00790EF1"/>
    <w:rsid w:val="007912E3"/>
    <w:rsid w:val="007914F6"/>
    <w:rsid w:val="00791E2E"/>
    <w:rsid w:val="00791E89"/>
    <w:rsid w:val="007920A9"/>
    <w:rsid w:val="0079305E"/>
    <w:rsid w:val="00793E5A"/>
    <w:rsid w:val="007945E8"/>
    <w:rsid w:val="007950BF"/>
    <w:rsid w:val="00795668"/>
    <w:rsid w:val="007958D2"/>
    <w:rsid w:val="0079592F"/>
    <w:rsid w:val="00795F1C"/>
    <w:rsid w:val="00795F27"/>
    <w:rsid w:val="007966FC"/>
    <w:rsid w:val="007970E1"/>
    <w:rsid w:val="0079719F"/>
    <w:rsid w:val="0079768B"/>
    <w:rsid w:val="0079776D"/>
    <w:rsid w:val="007A0826"/>
    <w:rsid w:val="007A08C8"/>
    <w:rsid w:val="007A102E"/>
    <w:rsid w:val="007A16C2"/>
    <w:rsid w:val="007A1AFA"/>
    <w:rsid w:val="007A3089"/>
    <w:rsid w:val="007A3559"/>
    <w:rsid w:val="007A37CF"/>
    <w:rsid w:val="007A3BF6"/>
    <w:rsid w:val="007A3D99"/>
    <w:rsid w:val="007A44E1"/>
    <w:rsid w:val="007A4D76"/>
    <w:rsid w:val="007A536F"/>
    <w:rsid w:val="007A5A38"/>
    <w:rsid w:val="007A5B8C"/>
    <w:rsid w:val="007A62A0"/>
    <w:rsid w:val="007B08A1"/>
    <w:rsid w:val="007B0BE5"/>
    <w:rsid w:val="007B107C"/>
    <w:rsid w:val="007B1A1F"/>
    <w:rsid w:val="007B295D"/>
    <w:rsid w:val="007B29B1"/>
    <w:rsid w:val="007B31E4"/>
    <w:rsid w:val="007B35AA"/>
    <w:rsid w:val="007B35DE"/>
    <w:rsid w:val="007B39AB"/>
    <w:rsid w:val="007B39DF"/>
    <w:rsid w:val="007B3A4D"/>
    <w:rsid w:val="007B4005"/>
    <w:rsid w:val="007B4114"/>
    <w:rsid w:val="007B445D"/>
    <w:rsid w:val="007B4615"/>
    <w:rsid w:val="007B4B08"/>
    <w:rsid w:val="007B4FAA"/>
    <w:rsid w:val="007B5483"/>
    <w:rsid w:val="007B5724"/>
    <w:rsid w:val="007B5B7C"/>
    <w:rsid w:val="007B600B"/>
    <w:rsid w:val="007B65FE"/>
    <w:rsid w:val="007B6760"/>
    <w:rsid w:val="007B6CD4"/>
    <w:rsid w:val="007B74A0"/>
    <w:rsid w:val="007B7B63"/>
    <w:rsid w:val="007B7BE2"/>
    <w:rsid w:val="007C035C"/>
    <w:rsid w:val="007C0EDA"/>
    <w:rsid w:val="007C0F25"/>
    <w:rsid w:val="007C1032"/>
    <w:rsid w:val="007C1202"/>
    <w:rsid w:val="007C1813"/>
    <w:rsid w:val="007C266A"/>
    <w:rsid w:val="007C2B45"/>
    <w:rsid w:val="007C2D2F"/>
    <w:rsid w:val="007C3712"/>
    <w:rsid w:val="007C38B9"/>
    <w:rsid w:val="007C398D"/>
    <w:rsid w:val="007C39EF"/>
    <w:rsid w:val="007C3BA1"/>
    <w:rsid w:val="007C3D34"/>
    <w:rsid w:val="007C40A0"/>
    <w:rsid w:val="007C517A"/>
    <w:rsid w:val="007C5620"/>
    <w:rsid w:val="007C57F7"/>
    <w:rsid w:val="007C61D7"/>
    <w:rsid w:val="007C63D6"/>
    <w:rsid w:val="007C6773"/>
    <w:rsid w:val="007C6AA7"/>
    <w:rsid w:val="007C723D"/>
    <w:rsid w:val="007C72C7"/>
    <w:rsid w:val="007C7C9C"/>
    <w:rsid w:val="007D0463"/>
    <w:rsid w:val="007D04AB"/>
    <w:rsid w:val="007D0662"/>
    <w:rsid w:val="007D0C48"/>
    <w:rsid w:val="007D16C6"/>
    <w:rsid w:val="007D17A1"/>
    <w:rsid w:val="007D1985"/>
    <w:rsid w:val="007D1CE7"/>
    <w:rsid w:val="007D1D8B"/>
    <w:rsid w:val="007D1FEB"/>
    <w:rsid w:val="007D25F0"/>
    <w:rsid w:val="007D3137"/>
    <w:rsid w:val="007D31BE"/>
    <w:rsid w:val="007D372C"/>
    <w:rsid w:val="007D4095"/>
    <w:rsid w:val="007D4942"/>
    <w:rsid w:val="007D509E"/>
    <w:rsid w:val="007D5316"/>
    <w:rsid w:val="007D653C"/>
    <w:rsid w:val="007D718C"/>
    <w:rsid w:val="007D7287"/>
    <w:rsid w:val="007D7AE0"/>
    <w:rsid w:val="007E0C9A"/>
    <w:rsid w:val="007E1398"/>
    <w:rsid w:val="007E13AF"/>
    <w:rsid w:val="007E13F5"/>
    <w:rsid w:val="007E28D8"/>
    <w:rsid w:val="007E290D"/>
    <w:rsid w:val="007E33A1"/>
    <w:rsid w:val="007E3C21"/>
    <w:rsid w:val="007E4C7A"/>
    <w:rsid w:val="007E521C"/>
    <w:rsid w:val="007E5339"/>
    <w:rsid w:val="007E56A5"/>
    <w:rsid w:val="007E60E9"/>
    <w:rsid w:val="007E6700"/>
    <w:rsid w:val="007E6797"/>
    <w:rsid w:val="007E6ACD"/>
    <w:rsid w:val="007E6FE3"/>
    <w:rsid w:val="007E7166"/>
    <w:rsid w:val="007E738C"/>
    <w:rsid w:val="007E79C5"/>
    <w:rsid w:val="007E7CB1"/>
    <w:rsid w:val="007F0BF3"/>
    <w:rsid w:val="007F1352"/>
    <w:rsid w:val="007F1426"/>
    <w:rsid w:val="007F19DA"/>
    <w:rsid w:val="007F1F1A"/>
    <w:rsid w:val="007F226D"/>
    <w:rsid w:val="007F2290"/>
    <w:rsid w:val="007F29E2"/>
    <w:rsid w:val="007F387A"/>
    <w:rsid w:val="007F45CC"/>
    <w:rsid w:val="007F45E2"/>
    <w:rsid w:val="007F495E"/>
    <w:rsid w:val="007F4D17"/>
    <w:rsid w:val="007F50F8"/>
    <w:rsid w:val="007F5446"/>
    <w:rsid w:val="007F5AB8"/>
    <w:rsid w:val="007F610A"/>
    <w:rsid w:val="007F6501"/>
    <w:rsid w:val="007F666C"/>
    <w:rsid w:val="007F668F"/>
    <w:rsid w:val="007F6B0A"/>
    <w:rsid w:val="007F753E"/>
    <w:rsid w:val="007F79A4"/>
    <w:rsid w:val="007F7B56"/>
    <w:rsid w:val="007F7BA0"/>
    <w:rsid w:val="008006CE"/>
    <w:rsid w:val="0080142E"/>
    <w:rsid w:val="00801893"/>
    <w:rsid w:val="008022D1"/>
    <w:rsid w:val="00802B69"/>
    <w:rsid w:val="00802C92"/>
    <w:rsid w:val="00803201"/>
    <w:rsid w:val="0080420F"/>
    <w:rsid w:val="008045A7"/>
    <w:rsid w:val="00804958"/>
    <w:rsid w:val="00805321"/>
    <w:rsid w:val="00805530"/>
    <w:rsid w:val="00805602"/>
    <w:rsid w:val="00805EC7"/>
    <w:rsid w:val="0080677C"/>
    <w:rsid w:val="00806816"/>
    <w:rsid w:val="008073DD"/>
    <w:rsid w:val="00807405"/>
    <w:rsid w:val="008074FC"/>
    <w:rsid w:val="00807529"/>
    <w:rsid w:val="00807CBF"/>
    <w:rsid w:val="0081009E"/>
    <w:rsid w:val="00810E63"/>
    <w:rsid w:val="0081121D"/>
    <w:rsid w:val="00811356"/>
    <w:rsid w:val="00812885"/>
    <w:rsid w:val="00812E64"/>
    <w:rsid w:val="0081352A"/>
    <w:rsid w:val="0081401B"/>
    <w:rsid w:val="00814686"/>
    <w:rsid w:val="008151B1"/>
    <w:rsid w:val="0081570B"/>
    <w:rsid w:val="00815937"/>
    <w:rsid w:val="00816030"/>
    <w:rsid w:val="00816A06"/>
    <w:rsid w:val="00817044"/>
    <w:rsid w:val="0081719F"/>
    <w:rsid w:val="00817A61"/>
    <w:rsid w:val="00817D79"/>
    <w:rsid w:val="00820156"/>
    <w:rsid w:val="00820205"/>
    <w:rsid w:val="008208B6"/>
    <w:rsid w:val="00820D8D"/>
    <w:rsid w:val="00820EA1"/>
    <w:rsid w:val="008210A3"/>
    <w:rsid w:val="00821114"/>
    <w:rsid w:val="008217FB"/>
    <w:rsid w:val="00821CAD"/>
    <w:rsid w:val="00821F2E"/>
    <w:rsid w:val="008222E3"/>
    <w:rsid w:val="00822570"/>
    <w:rsid w:val="008226C1"/>
    <w:rsid w:val="00822A4B"/>
    <w:rsid w:val="00822F90"/>
    <w:rsid w:val="008231D7"/>
    <w:rsid w:val="0082327E"/>
    <w:rsid w:val="00824019"/>
    <w:rsid w:val="008242A8"/>
    <w:rsid w:val="00824A91"/>
    <w:rsid w:val="00825481"/>
    <w:rsid w:val="00825A4A"/>
    <w:rsid w:val="008260A4"/>
    <w:rsid w:val="0082674E"/>
    <w:rsid w:val="0082699F"/>
    <w:rsid w:val="0082740B"/>
    <w:rsid w:val="008275F3"/>
    <w:rsid w:val="00827A0D"/>
    <w:rsid w:val="00830161"/>
    <w:rsid w:val="00830405"/>
    <w:rsid w:val="00831439"/>
    <w:rsid w:val="008318DD"/>
    <w:rsid w:val="008327B2"/>
    <w:rsid w:val="00833501"/>
    <w:rsid w:val="008339DE"/>
    <w:rsid w:val="00833AC0"/>
    <w:rsid w:val="008341FF"/>
    <w:rsid w:val="00834664"/>
    <w:rsid w:val="0083575C"/>
    <w:rsid w:val="00835C84"/>
    <w:rsid w:val="00836218"/>
    <w:rsid w:val="0084030F"/>
    <w:rsid w:val="00840A12"/>
    <w:rsid w:val="00840A40"/>
    <w:rsid w:val="00840E2F"/>
    <w:rsid w:val="008412E7"/>
    <w:rsid w:val="008412F4"/>
    <w:rsid w:val="008427C6"/>
    <w:rsid w:val="00842E64"/>
    <w:rsid w:val="00842EA5"/>
    <w:rsid w:val="00843D06"/>
    <w:rsid w:val="00843D6B"/>
    <w:rsid w:val="00843F91"/>
    <w:rsid w:val="00844366"/>
    <w:rsid w:val="00844B1E"/>
    <w:rsid w:val="00844CD5"/>
    <w:rsid w:val="00844EB8"/>
    <w:rsid w:val="0084572C"/>
    <w:rsid w:val="0084618C"/>
    <w:rsid w:val="008468F1"/>
    <w:rsid w:val="00846AD4"/>
    <w:rsid w:val="00846F2E"/>
    <w:rsid w:val="0084771D"/>
    <w:rsid w:val="00847B46"/>
    <w:rsid w:val="0085007C"/>
    <w:rsid w:val="008501BA"/>
    <w:rsid w:val="00850322"/>
    <w:rsid w:val="008503E5"/>
    <w:rsid w:val="0085068C"/>
    <w:rsid w:val="00850DC0"/>
    <w:rsid w:val="00850DD6"/>
    <w:rsid w:val="00850E1B"/>
    <w:rsid w:val="00851125"/>
    <w:rsid w:val="00851669"/>
    <w:rsid w:val="00852291"/>
    <w:rsid w:val="008528A8"/>
    <w:rsid w:val="00853524"/>
    <w:rsid w:val="0085387A"/>
    <w:rsid w:val="00854527"/>
    <w:rsid w:val="0085460F"/>
    <w:rsid w:val="00854F9E"/>
    <w:rsid w:val="00855981"/>
    <w:rsid w:val="0085665E"/>
    <w:rsid w:val="00856C3B"/>
    <w:rsid w:val="008571C5"/>
    <w:rsid w:val="00857935"/>
    <w:rsid w:val="00860734"/>
    <w:rsid w:val="008614C0"/>
    <w:rsid w:val="008616C3"/>
    <w:rsid w:val="00861E6F"/>
    <w:rsid w:val="0086293A"/>
    <w:rsid w:val="00862D4B"/>
    <w:rsid w:val="0086321B"/>
    <w:rsid w:val="00863252"/>
    <w:rsid w:val="00863BAF"/>
    <w:rsid w:val="00863E53"/>
    <w:rsid w:val="008644AF"/>
    <w:rsid w:val="0086465A"/>
    <w:rsid w:val="00864EB4"/>
    <w:rsid w:val="00865164"/>
    <w:rsid w:val="0086517D"/>
    <w:rsid w:val="00865C6D"/>
    <w:rsid w:val="00865E43"/>
    <w:rsid w:val="0086604B"/>
    <w:rsid w:val="00866989"/>
    <w:rsid w:val="00866CBC"/>
    <w:rsid w:val="0086717C"/>
    <w:rsid w:val="00867541"/>
    <w:rsid w:val="00867A18"/>
    <w:rsid w:val="00867A62"/>
    <w:rsid w:val="00867A6A"/>
    <w:rsid w:val="008708CA"/>
    <w:rsid w:val="008709CD"/>
    <w:rsid w:val="00871512"/>
    <w:rsid w:val="00871BC0"/>
    <w:rsid w:val="00872186"/>
    <w:rsid w:val="008729A7"/>
    <w:rsid w:val="00873D10"/>
    <w:rsid w:val="0087496B"/>
    <w:rsid w:val="00875179"/>
    <w:rsid w:val="00875282"/>
    <w:rsid w:val="008761B8"/>
    <w:rsid w:val="00876433"/>
    <w:rsid w:val="00880215"/>
    <w:rsid w:val="00880257"/>
    <w:rsid w:val="00880369"/>
    <w:rsid w:val="00880AC5"/>
    <w:rsid w:val="00880ADE"/>
    <w:rsid w:val="00880BBE"/>
    <w:rsid w:val="00881717"/>
    <w:rsid w:val="0088204B"/>
    <w:rsid w:val="0088276E"/>
    <w:rsid w:val="008827F1"/>
    <w:rsid w:val="00883C90"/>
    <w:rsid w:val="0088409B"/>
    <w:rsid w:val="00884143"/>
    <w:rsid w:val="008841AC"/>
    <w:rsid w:val="0088517B"/>
    <w:rsid w:val="008858A9"/>
    <w:rsid w:val="00885F5D"/>
    <w:rsid w:val="008863F3"/>
    <w:rsid w:val="00886824"/>
    <w:rsid w:val="00886E21"/>
    <w:rsid w:val="00886F74"/>
    <w:rsid w:val="008871A7"/>
    <w:rsid w:val="00887F3B"/>
    <w:rsid w:val="00887FBC"/>
    <w:rsid w:val="008900EE"/>
    <w:rsid w:val="00890122"/>
    <w:rsid w:val="008903DA"/>
    <w:rsid w:val="0089081A"/>
    <w:rsid w:val="008908D7"/>
    <w:rsid w:val="00891691"/>
    <w:rsid w:val="00892CA2"/>
    <w:rsid w:val="00892F05"/>
    <w:rsid w:val="00893014"/>
    <w:rsid w:val="00894D3C"/>
    <w:rsid w:val="00895906"/>
    <w:rsid w:val="008959F7"/>
    <w:rsid w:val="00895D32"/>
    <w:rsid w:val="00895E22"/>
    <w:rsid w:val="00896C2F"/>
    <w:rsid w:val="0089712C"/>
    <w:rsid w:val="00897477"/>
    <w:rsid w:val="00897A37"/>
    <w:rsid w:val="008A0133"/>
    <w:rsid w:val="008A0B41"/>
    <w:rsid w:val="008A0F9B"/>
    <w:rsid w:val="008A10AD"/>
    <w:rsid w:val="008A14DF"/>
    <w:rsid w:val="008A178D"/>
    <w:rsid w:val="008A19F5"/>
    <w:rsid w:val="008A1BC8"/>
    <w:rsid w:val="008A21C8"/>
    <w:rsid w:val="008A2578"/>
    <w:rsid w:val="008A2A11"/>
    <w:rsid w:val="008A3030"/>
    <w:rsid w:val="008A3364"/>
    <w:rsid w:val="008A4A0D"/>
    <w:rsid w:val="008A4FF3"/>
    <w:rsid w:val="008A5CE8"/>
    <w:rsid w:val="008A60CC"/>
    <w:rsid w:val="008A632B"/>
    <w:rsid w:val="008A633A"/>
    <w:rsid w:val="008A64C3"/>
    <w:rsid w:val="008A75B8"/>
    <w:rsid w:val="008A7D7E"/>
    <w:rsid w:val="008B00F0"/>
    <w:rsid w:val="008B04F9"/>
    <w:rsid w:val="008B0EA5"/>
    <w:rsid w:val="008B112A"/>
    <w:rsid w:val="008B1C1A"/>
    <w:rsid w:val="008B2234"/>
    <w:rsid w:val="008B35B6"/>
    <w:rsid w:val="008B37B2"/>
    <w:rsid w:val="008B3F8B"/>
    <w:rsid w:val="008B4785"/>
    <w:rsid w:val="008B4992"/>
    <w:rsid w:val="008B49ED"/>
    <w:rsid w:val="008B4A47"/>
    <w:rsid w:val="008B502F"/>
    <w:rsid w:val="008B52F5"/>
    <w:rsid w:val="008B5824"/>
    <w:rsid w:val="008B5C26"/>
    <w:rsid w:val="008B62B6"/>
    <w:rsid w:val="008B64C5"/>
    <w:rsid w:val="008B6943"/>
    <w:rsid w:val="008B72E3"/>
    <w:rsid w:val="008B780E"/>
    <w:rsid w:val="008B7F63"/>
    <w:rsid w:val="008C092E"/>
    <w:rsid w:val="008C16E8"/>
    <w:rsid w:val="008C181F"/>
    <w:rsid w:val="008C1956"/>
    <w:rsid w:val="008C197F"/>
    <w:rsid w:val="008C1CF5"/>
    <w:rsid w:val="008C2396"/>
    <w:rsid w:val="008C262B"/>
    <w:rsid w:val="008C276B"/>
    <w:rsid w:val="008C38CB"/>
    <w:rsid w:val="008C3FD8"/>
    <w:rsid w:val="008C435D"/>
    <w:rsid w:val="008C4A95"/>
    <w:rsid w:val="008C53CE"/>
    <w:rsid w:val="008C5466"/>
    <w:rsid w:val="008C6010"/>
    <w:rsid w:val="008C6D13"/>
    <w:rsid w:val="008D0F6B"/>
    <w:rsid w:val="008D147A"/>
    <w:rsid w:val="008D18D9"/>
    <w:rsid w:val="008D22E5"/>
    <w:rsid w:val="008D2329"/>
    <w:rsid w:val="008D29E9"/>
    <w:rsid w:val="008D3855"/>
    <w:rsid w:val="008D457F"/>
    <w:rsid w:val="008D48B5"/>
    <w:rsid w:val="008D48E5"/>
    <w:rsid w:val="008D5363"/>
    <w:rsid w:val="008D53FB"/>
    <w:rsid w:val="008D5BE9"/>
    <w:rsid w:val="008D5FBD"/>
    <w:rsid w:val="008D6227"/>
    <w:rsid w:val="008D637C"/>
    <w:rsid w:val="008D6933"/>
    <w:rsid w:val="008E03D6"/>
    <w:rsid w:val="008E041A"/>
    <w:rsid w:val="008E07AF"/>
    <w:rsid w:val="008E1D02"/>
    <w:rsid w:val="008E21A6"/>
    <w:rsid w:val="008E2A3C"/>
    <w:rsid w:val="008E2B34"/>
    <w:rsid w:val="008E2BB4"/>
    <w:rsid w:val="008E2D5A"/>
    <w:rsid w:val="008E304F"/>
    <w:rsid w:val="008E3B72"/>
    <w:rsid w:val="008E3DD3"/>
    <w:rsid w:val="008E3FEF"/>
    <w:rsid w:val="008E43BE"/>
    <w:rsid w:val="008E4559"/>
    <w:rsid w:val="008E4AE4"/>
    <w:rsid w:val="008E4BEB"/>
    <w:rsid w:val="008E5290"/>
    <w:rsid w:val="008E5392"/>
    <w:rsid w:val="008E59CF"/>
    <w:rsid w:val="008E5B49"/>
    <w:rsid w:val="008E5B96"/>
    <w:rsid w:val="008E63B8"/>
    <w:rsid w:val="008E64BA"/>
    <w:rsid w:val="008E6AE5"/>
    <w:rsid w:val="008E72A5"/>
    <w:rsid w:val="008E7780"/>
    <w:rsid w:val="008E7A80"/>
    <w:rsid w:val="008E7C8C"/>
    <w:rsid w:val="008F039D"/>
    <w:rsid w:val="008F0BCE"/>
    <w:rsid w:val="008F1001"/>
    <w:rsid w:val="008F14F1"/>
    <w:rsid w:val="008F2191"/>
    <w:rsid w:val="008F2612"/>
    <w:rsid w:val="008F2631"/>
    <w:rsid w:val="008F29DA"/>
    <w:rsid w:val="008F2E9F"/>
    <w:rsid w:val="008F2EAA"/>
    <w:rsid w:val="008F36D7"/>
    <w:rsid w:val="008F5DA5"/>
    <w:rsid w:val="008F63A5"/>
    <w:rsid w:val="008F65BD"/>
    <w:rsid w:val="008F6C6A"/>
    <w:rsid w:val="008F7A22"/>
    <w:rsid w:val="0090044B"/>
    <w:rsid w:val="0090048E"/>
    <w:rsid w:val="009018E9"/>
    <w:rsid w:val="00901B99"/>
    <w:rsid w:val="00901FB4"/>
    <w:rsid w:val="00902110"/>
    <w:rsid w:val="009022FE"/>
    <w:rsid w:val="00902364"/>
    <w:rsid w:val="00902498"/>
    <w:rsid w:val="00902C9D"/>
    <w:rsid w:val="00902D38"/>
    <w:rsid w:val="009034B9"/>
    <w:rsid w:val="009037A1"/>
    <w:rsid w:val="009037D8"/>
    <w:rsid w:val="009039E4"/>
    <w:rsid w:val="00903AE2"/>
    <w:rsid w:val="00903C43"/>
    <w:rsid w:val="00903EEC"/>
    <w:rsid w:val="009041E1"/>
    <w:rsid w:val="00904524"/>
    <w:rsid w:val="00904C63"/>
    <w:rsid w:val="00904CE6"/>
    <w:rsid w:val="00904E40"/>
    <w:rsid w:val="0090572F"/>
    <w:rsid w:val="009057C0"/>
    <w:rsid w:val="00906330"/>
    <w:rsid w:val="00906831"/>
    <w:rsid w:val="00906B4B"/>
    <w:rsid w:val="00906E90"/>
    <w:rsid w:val="00907371"/>
    <w:rsid w:val="009073EE"/>
    <w:rsid w:val="00907461"/>
    <w:rsid w:val="00907576"/>
    <w:rsid w:val="00907692"/>
    <w:rsid w:val="009076A3"/>
    <w:rsid w:val="00907BC5"/>
    <w:rsid w:val="00907CB1"/>
    <w:rsid w:val="00907E83"/>
    <w:rsid w:val="009105BF"/>
    <w:rsid w:val="009107FE"/>
    <w:rsid w:val="00910A6F"/>
    <w:rsid w:val="009117D7"/>
    <w:rsid w:val="009118A6"/>
    <w:rsid w:val="00911AD5"/>
    <w:rsid w:val="00911F83"/>
    <w:rsid w:val="00912296"/>
    <w:rsid w:val="00912AAC"/>
    <w:rsid w:val="00913414"/>
    <w:rsid w:val="00913918"/>
    <w:rsid w:val="00913A26"/>
    <w:rsid w:val="00913F91"/>
    <w:rsid w:val="00914155"/>
    <w:rsid w:val="00914882"/>
    <w:rsid w:val="0091489B"/>
    <w:rsid w:val="00914E83"/>
    <w:rsid w:val="0091539D"/>
    <w:rsid w:val="00915A29"/>
    <w:rsid w:val="00915FFC"/>
    <w:rsid w:val="0091699B"/>
    <w:rsid w:val="009169B1"/>
    <w:rsid w:val="00916BF2"/>
    <w:rsid w:val="00916C6D"/>
    <w:rsid w:val="00916C8C"/>
    <w:rsid w:val="00916DD7"/>
    <w:rsid w:val="00916EF6"/>
    <w:rsid w:val="009172D1"/>
    <w:rsid w:val="009173A1"/>
    <w:rsid w:val="0091747F"/>
    <w:rsid w:val="00917F4B"/>
    <w:rsid w:val="009202BC"/>
    <w:rsid w:val="00920783"/>
    <w:rsid w:val="00920925"/>
    <w:rsid w:val="00920E1F"/>
    <w:rsid w:val="00920EA2"/>
    <w:rsid w:val="00920F6F"/>
    <w:rsid w:val="009212EB"/>
    <w:rsid w:val="00921880"/>
    <w:rsid w:val="00921AA1"/>
    <w:rsid w:val="00921E90"/>
    <w:rsid w:val="00922B1A"/>
    <w:rsid w:val="00922F1C"/>
    <w:rsid w:val="009230C6"/>
    <w:rsid w:val="00923573"/>
    <w:rsid w:val="00923CF8"/>
    <w:rsid w:val="009242E1"/>
    <w:rsid w:val="0092496F"/>
    <w:rsid w:val="00925B6C"/>
    <w:rsid w:val="00926AA6"/>
    <w:rsid w:val="0092797D"/>
    <w:rsid w:val="00930203"/>
    <w:rsid w:val="0093056C"/>
    <w:rsid w:val="00930727"/>
    <w:rsid w:val="00930DC8"/>
    <w:rsid w:val="009313DF"/>
    <w:rsid w:val="00931AB3"/>
    <w:rsid w:val="00931BFE"/>
    <w:rsid w:val="009321EA"/>
    <w:rsid w:val="00932A4D"/>
    <w:rsid w:val="00932DD6"/>
    <w:rsid w:val="00933412"/>
    <w:rsid w:val="009337FA"/>
    <w:rsid w:val="00934145"/>
    <w:rsid w:val="009346C9"/>
    <w:rsid w:val="009346D8"/>
    <w:rsid w:val="00934B57"/>
    <w:rsid w:val="00934D33"/>
    <w:rsid w:val="00935799"/>
    <w:rsid w:val="00935FBF"/>
    <w:rsid w:val="009367B4"/>
    <w:rsid w:val="00936898"/>
    <w:rsid w:val="00936C00"/>
    <w:rsid w:val="00937139"/>
    <w:rsid w:val="00937967"/>
    <w:rsid w:val="009379DF"/>
    <w:rsid w:val="009379F2"/>
    <w:rsid w:val="00937A7B"/>
    <w:rsid w:val="00937EAC"/>
    <w:rsid w:val="0094019A"/>
    <w:rsid w:val="00940707"/>
    <w:rsid w:val="009409D5"/>
    <w:rsid w:val="00940B2F"/>
    <w:rsid w:val="00940CCE"/>
    <w:rsid w:val="00940F4B"/>
    <w:rsid w:val="0094104C"/>
    <w:rsid w:val="0094125C"/>
    <w:rsid w:val="009413B1"/>
    <w:rsid w:val="00941C5D"/>
    <w:rsid w:val="00941DF8"/>
    <w:rsid w:val="009427BB"/>
    <w:rsid w:val="0094379E"/>
    <w:rsid w:val="00944656"/>
    <w:rsid w:val="00944983"/>
    <w:rsid w:val="00944E7D"/>
    <w:rsid w:val="00944FEE"/>
    <w:rsid w:val="00945BF3"/>
    <w:rsid w:val="00945F1D"/>
    <w:rsid w:val="00946198"/>
    <w:rsid w:val="00946260"/>
    <w:rsid w:val="009463E7"/>
    <w:rsid w:val="0094705A"/>
    <w:rsid w:val="009473E3"/>
    <w:rsid w:val="009475D0"/>
    <w:rsid w:val="00950484"/>
    <w:rsid w:val="009511E3"/>
    <w:rsid w:val="00951CC0"/>
    <w:rsid w:val="00951D33"/>
    <w:rsid w:val="009532FF"/>
    <w:rsid w:val="00954220"/>
    <w:rsid w:val="00955247"/>
    <w:rsid w:val="009559EE"/>
    <w:rsid w:val="00955DCA"/>
    <w:rsid w:val="0095708B"/>
    <w:rsid w:val="009570FC"/>
    <w:rsid w:val="00957224"/>
    <w:rsid w:val="00957BB0"/>
    <w:rsid w:val="0096000A"/>
    <w:rsid w:val="009605BD"/>
    <w:rsid w:val="00960AC0"/>
    <w:rsid w:val="0096188B"/>
    <w:rsid w:val="00961C35"/>
    <w:rsid w:val="00961C4E"/>
    <w:rsid w:val="009624F9"/>
    <w:rsid w:val="00962FCB"/>
    <w:rsid w:val="0096337F"/>
    <w:rsid w:val="00963815"/>
    <w:rsid w:val="0096389B"/>
    <w:rsid w:val="009639E7"/>
    <w:rsid w:val="00964A24"/>
    <w:rsid w:val="00964EBE"/>
    <w:rsid w:val="0096509C"/>
    <w:rsid w:val="0096543C"/>
    <w:rsid w:val="0096545E"/>
    <w:rsid w:val="00965FE8"/>
    <w:rsid w:val="00966328"/>
    <w:rsid w:val="00966A8A"/>
    <w:rsid w:val="00966BD7"/>
    <w:rsid w:val="009675C7"/>
    <w:rsid w:val="009675DF"/>
    <w:rsid w:val="009678A6"/>
    <w:rsid w:val="00967F03"/>
    <w:rsid w:val="009700D8"/>
    <w:rsid w:val="0097180F"/>
    <w:rsid w:val="00971AAB"/>
    <w:rsid w:val="009723BF"/>
    <w:rsid w:val="00972918"/>
    <w:rsid w:val="00972C46"/>
    <w:rsid w:val="00972EE0"/>
    <w:rsid w:val="00973190"/>
    <w:rsid w:val="00973540"/>
    <w:rsid w:val="0097406F"/>
    <w:rsid w:val="009740CE"/>
    <w:rsid w:val="009741E4"/>
    <w:rsid w:val="00974EC0"/>
    <w:rsid w:val="00976450"/>
    <w:rsid w:val="00976670"/>
    <w:rsid w:val="0097672A"/>
    <w:rsid w:val="00977B82"/>
    <w:rsid w:val="00981029"/>
    <w:rsid w:val="00981D77"/>
    <w:rsid w:val="0098222F"/>
    <w:rsid w:val="00982801"/>
    <w:rsid w:val="00982DA8"/>
    <w:rsid w:val="0098329C"/>
    <w:rsid w:val="00983B66"/>
    <w:rsid w:val="00983DFD"/>
    <w:rsid w:val="00984830"/>
    <w:rsid w:val="00984D6C"/>
    <w:rsid w:val="009854F9"/>
    <w:rsid w:val="00985C4C"/>
    <w:rsid w:val="0098671F"/>
    <w:rsid w:val="00986AD4"/>
    <w:rsid w:val="00987C70"/>
    <w:rsid w:val="00987E7C"/>
    <w:rsid w:val="009905C3"/>
    <w:rsid w:val="0099115C"/>
    <w:rsid w:val="00991401"/>
    <w:rsid w:val="00991779"/>
    <w:rsid w:val="00991CDB"/>
    <w:rsid w:val="00991DB9"/>
    <w:rsid w:val="00991F41"/>
    <w:rsid w:val="00991FDC"/>
    <w:rsid w:val="009923E8"/>
    <w:rsid w:val="009926E0"/>
    <w:rsid w:val="00992D7C"/>
    <w:rsid w:val="009931DA"/>
    <w:rsid w:val="00993336"/>
    <w:rsid w:val="00993974"/>
    <w:rsid w:val="00993EDD"/>
    <w:rsid w:val="009941FB"/>
    <w:rsid w:val="00994890"/>
    <w:rsid w:val="00994A99"/>
    <w:rsid w:val="00994DDA"/>
    <w:rsid w:val="00994EA5"/>
    <w:rsid w:val="0099530E"/>
    <w:rsid w:val="009959AC"/>
    <w:rsid w:val="00995F8A"/>
    <w:rsid w:val="009962D6"/>
    <w:rsid w:val="00996B24"/>
    <w:rsid w:val="00996B28"/>
    <w:rsid w:val="00996E79"/>
    <w:rsid w:val="00996ECC"/>
    <w:rsid w:val="00996EF4"/>
    <w:rsid w:val="00997059"/>
    <w:rsid w:val="00997BC0"/>
    <w:rsid w:val="00997FE8"/>
    <w:rsid w:val="009A0632"/>
    <w:rsid w:val="009A0EB7"/>
    <w:rsid w:val="009A12BA"/>
    <w:rsid w:val="009A1C6D"/>
    <w:rsid w:val="009A1D3D"/>
    <w:rsid w:val="009A2249"/>
    <w:rsid w:val="009A27D4"/>
    <w:rsid w:val="009A281B"/>
    <w:rsid w:val="009A345C"/>
    <w:rsid w:val="009A3541"/>
    <w:rsid w:val="009A4197"/>
    <w:rsid w:val="009A4420"/>
    <w:rsid w:val="009A47E8"/>
    <w:rsid w:val="009A47EE"/>
    <w:rsid w:val="009A4C52"/>
    <w:rsid w:val="009A4E11"/>
    <w:rsid w:val="009A4E3D"/>
    <w:rsid w:val="009A53AE"/>
    <w:rsid w:val="009A5ADD"/>
    <w:rsid w:val="009A5C3F"/>
    <w:rsid w:val="009A63A1"/>
    <w:rsid w:val="009A6523"/>
    <w:rsid w:val="009A7911"/>
    <w:rsid w:val="009A7B37"/>
    <w:rsid w:val="009B065B"/>
    <w:rsid w:val="009B11CA"/>
    <w:rsid w:val="009B152E"/>
    <w:rsid w:val="009B1718"/>
    <w:rsid w:val="009B1F68"/>
    <w:rsid w:val="009B25C1"/>
    <w:rsid w:val="009B28A7"/>
    <w:rsid w:val="009B31A8"/>
    <w:rsid w:val="009B35EC"/>
    <w:rsid w:val="009B3B0A"/>
    <w:rsid w:val="009B409F"/>
    <w:rsid w:val="009B5C4B"/>
    <w:rsid w:val="009B60C3"/>
    <w:rsid w:val="009B6AE0"/>
    <w:rsid w:val="009B7325"/>
    <w:rsid w:val="009B736D"/>
    <w:rsid w:val="009B789B"/>
    <w:rsid w:val="009B7D1B"/>
    <w:rsid w:val="009B7F2F"/>
    <w:rsid w:val="009C01CD"/>
    <w:rsid w:val="009C03D7"/>
    <w:rsid w:val="009C0574"/>
    <w:rsid w:val="009C0941"/>
    <w:rsid w:val="009C0945"/>
    <w:rsid w:val="009C16AC"/>
    <w:rsid w:val="009C1EC1"/>
    <w:rsid w:val="009C2835"/>
    <w:rsid w:val="009C2A02"/>
    <w:rsid w:val="009C2D99"/>
    <w:rsid w:val="009C3382"/>
    <w:rsid w:val="009C3478"/>
    <w:rsid w:val="009C3CC7"/>
    <w:rsid w:val="009C3DBB"/>
    <w:rsid w:val="009C40DA"/>
    <w:rsid w:val="009C4BDD"/>
    <w:rsid w:val="009C516E"/>
    <w:rsid w:val="009C5520"/>
    <w:rsid w:val="009C5E90"/>
    <w:rsid w:val="009C5F3D"/>
    <w:rsid w:val="009C6250"/>
    <w:rsid w:val="009C6A81"/>
    <w:rsid w:val="009C6F66"/>
    <w:rsid w:val="009C6FDC"/>
    <w:rsid w:val="009D0772"/>
    <w:rsid w:val="009D0BDC"/>
    <w:rsid w:val="009D12F2"/>
    <w:rsid w:val="009D13A1"/>
    <w:rsid w:val="009D16A4"/>
    <w:rsid w:val="009D1983"/>
    <w:rsid w:val="009D20D8"/>
    <w:rsid w:val="009D2338"/>
    <w:rsid w:val="009D26DE"/>
    <w:rsid w:val="009D2738"/>
    <w:rsid w:val="009D2808"/>
    <w:rsid w:val="009D2D2A"/>
    <w:rsid w:val="009D2D2C"/>
    <w:rsid w:val="009D37CF"/>
    <w:rsid w:val="009D3DD9"/>
    <w:rsid w:val="009D3DFA"/>
    <w:rsid w:val="009D4AD5"/>
    <w:rsid w:val="009D4C92"/>
    <w:rsid w:val="009D5B79"/>
    <w:rsid w:val="009D5BEF"/>
    <w:rsid w:val="009D751C"/>
    <w:rsid w:val="009D789E"/>
    <w:rsid w:val="009E0306"/>
    <w:rsid w:val="009E0604"/>
    <w:rsid w:val="009E0D23"/>
    <w:rsid w:val="009E14BA"/>
    <w:rsid w:val="009E1631"/>
    <w:rsid w:val="009E1A59"/>
    <w:rsid w:val="009E2576"/>
    <w:rsid w:val="009E2717"/>
    <w:rsid w:val="009E2822"/>
    <w:rsid w:val="009E28DD"/>
    <w:rsid w:val="009E29D2"/>
    <w:rsid w:val="009E2E3B"/>
    <w:rsid w:val="009E3057"/>
    <w:rsid w:val="009E3060"/>
    <w:rsid w:val="009E3079"/>
    <w:rsid w:val="009E314F"/>
    <w:rsid w:val="009E3D35"/>
    <w:rsid w:val="009E402B"/>
    <w:rsid w:val="009E4AAE"/>
    <w:rsid w:val="009E518C"/>
    <w:rsid w:val="009E56AD"/>
    <w:rsid w:val="009E5705"/>
    <w:rsid w:val="009E5B6F"/>
    <w:rsid w:val="009E64E4"/>
    <w:rsid w:val="009E7182"/>
    <w:rsid w:val="009E7A8E"/>
    <w:rsid w:val="009E7C32"/>
    <w:rsid w:val="009E7C78"/>
    <w:rsid w:val="009F03C1"/>
    <w:rsid w:val="009F052C"/>
    <w:rsid w:val="009F0614"/>
    <w:rsid w:val="009F32DD"/>
    <w:rsid w:val="009F32E6"/>
    <w:rsid w:val="009F3B4B"/>
    <w:rsid w:val="009F3C5B"/>
    <w:rsid w:val="009F3ECF"/>
    <w:rsid w:val="009F3FEB"/>
    <w:rsid w:val="009F424B"/>
    <w:rsid w:val="009F447D"/>
    <w:rsid w:val="009F654C"/>
    <w:rsid w:val="009F6F42"/>
    <w:rsid w:val="009F72FB"/>
    <w:rsid w:val="009F7E8A"/>
    <w:rsid w:val="009F7FAE"/>
    <w:rsid w:val="00A003B4"/>
    <w:rsid w:val="00A00967"/>
    <w:rsid w:val="00A00977"/>
    <w:rsid w:val="00A00AF2"/>
    <w:rsid w:val="00A01255"/>
    <w:rsid w:val="00A01832"/>
    <w:rsid w:val="00A01B76"/>
    <w:rsid w:val="00A01C56"/>
    <w:rsid w:val="00A0235E"/>
    <w:rsid w:val="00A02448"/>
    <w:rsid w:val="00A024FB"/>
    <w:rsid w:val="00A02590"/>
    <w:rsid w:val="00A025EC"/>
    <w:rsid w:val="00A026A6"/>
    <w:rsid w:val="00A02CAB"/>
    <w:rsid w:val="00A02D5C"/>
    <w:rsid w:val="00A02DD5"/>
    <w:rsid w:val="00A0343E"/>
    <w:rsid w:val="00A0389E"/>
    <w:rsid w:val="00A041ED"/>
    <w:rsid w:val="00A044CC"/>
    <w:rsid w:val="00A047D1"/>
    <w:rsid w:val="00A05F40"/>
    <w:rsid w:val="00A07831"/>
    <w:rsid w:val="00A07888"/>
    <w:rsid w:val="00A07BD9"/>
    <w:rsid w:val="00A07F53"/>
    <w:rsid w:val="00A10643"/>
    <w:rsid w:val="00A11217"/>
    <w:rsid w:val="00A114F6"/>
    <w:rsid w:val="00A115DC"/>
    <w:rsid w:val="00A11685"/>
    <w:rsid w:val="00A117E0"/>
    <w:rsid w:val="00A11C37"/>
    <w:rsid w:val="00A11C80"/>
    <w:rsid w:val="00A12130"/>
    <w:rsid w:val="00A129D9"/>
    <w:rsid w:val="00A12C6A"/>
    <w:rsid w:val="00A12E1F"/>
    <w:rsid w:val="00A12E4D"/>
    <w:rsid w:val="00A13121"/>
    <w:rsid w:val="00A1366C"/>
    <w:rsid w:val="00A14677"/>
    <w:rsid w:val="00A14C68"/>
    <w:rsid w:val="00A16DA5"/>
    <w:rsid w:val="00A16F89"/>
    <w:rsid w:val="00A16F9B"/>
    <w:rsid w:val="00A17220"/>
    <w:rsid w:val="00A1731B"/>
    <w:rsid w:val="00A17668"/>
    <w:rsid w:val="00A17C67"/>
    <w:rsid w:val="00A20036"/>
    <w:rsid w:val="00A2019B"/>
    <w:rsid w:val="00A20AAF"/>
    <w:rsid w:val="00A20CF0"/>
    <w:rsid w:val="00A20EE5"/>
    <w:rsid w:val="00A20FCD"/>
    <w:rsid w:val="00A21131"/>
    <w:rsid w:val="00A2154B"/>
    <w:rsid w:val="00A21703"/>
    <w:rsid w:val="00A21B93"/>
    <w:rsid w:val="00A224EB"/>
    <w:rsid w:val="00A230F0"/>
    <w:rsid w:val="00A231AB"/>
    <w:rsid w:val="00A2326E"/>
    <w:rsid w:val="00A232B6"/>
    <w:rsid w:val="00A23A0B"/>
    <w:rsid w:val="00A23BC6"/>
    <w:rsid w:val="00A24E6F"/>
    <w:rsid w:val="00A25302"/>
    <w:rsid w:val="00A25523"/>
    <w:rsid w:val="00A25DF8"/>
    <w:rsid w:val="00A26042"/>
    <w:rsid w:val="00A2604E"/>
    <w:rsid w:val="00A2694A"/>
    <w:rsid w:val="00A271A2"/>
    <w:rsid w:val="00A27279"/>
    <w:rsid w:val="00A273EE"/>
    <w:rsid w:val="00A274FB"/>
    <w:rsid w:val="00A27DA7"/>
    <w:rsid w:val="00A27F03"/>
    <w:rsid w:val="00A27F29"/>
    <w:rsid w:val="00A27FF8"/>
    <w:rsid w:val="00A30A08"/>
    <w:rsid w:val="00A3108C"/>
    <w:rsid w:val="00A3168C"/>
    <w:rsid w:val="00A317FA"/>
    <w:rsid w:val="00A325E1"/>
    <w:rsid w:val="00A3329C"/>
    <w:rsid w:val="00A333E6"/>
    <w:rsid w:val="00A34524"/>
    <w:rsid w:val="00A3489C"/>
    <w:rsid w:val="00A34DD2"/>
    <w:rsid w:val="00A34E64"/>
    <w:rsid w:val="00A352B6"/>
    <w:rsid w:val="00A35D38"/>
    <w:rsid w:val="00A36D79"/>
    <w:rsid w:val="00A370ED"/>
    <w:rsid w:val="00A3725E"/>
    <w:rsid w:val="00A3799A"/>
    <w:rsid w:val="00A37C90"/>
    <w:rsid w:val="00A40139"/>
    <w:rsid w:val="00A403B9"/>
    <w:rsid w:val="00A409CC"/>
    <w:rsid w:val="00A40AC4"/>
    <w:rsid w:val="00A417F9"/>
    <w:rsid w:val="00A41801"/>
    <w:rsid w:val="00A41DDE"/>
    <w:rsid w:val="00A44A37"/>
    <w:rsid w:val="00A44F1A"/>
    <w:rsid w:val="00A45777"/>
    <w:rsid w:val="00A46035"/>
    <w:rsid w:val="00A46100"/>
    <w:rsid w:val="00A46182"/>
    <w:rsid w:val="00A462A7"/>
    <w:rsid w:val="00A4631A"/>
    <w:rsid w:val="00A463C2"/>
    <w:rsid w:val="00A46ED2"/>
    <w:rsid w:val="00A47194"/>
    <w:rsid w:val="00A4736C"/>
    <w:rsid w:val="00A4791F"/>
    <w:rsid w:val="00A47D73"/>
    <w:rsid w:val="00A509DF"/>
    <w:rsid w:val="00A50D35"/>
    <w:rsid w:val="00A52258"/>
    <w:rsid w:val="00A5248C"/>
    <w:rsid w:val="00A5249D"/>
    <w:rsid w:val="00A5305E"/>
    <w:rsid w:val="00A5338E"/>
    <w:rsid w:val="00A5351A"/>
    <w:rsid w:val="00A538DC"/>
    <w:rsid w:val="00A53A87"/>
    <w:rsid w:val="00A53CE0"/>
    <w:rsid w:val="00A544BB"/>
    <w:rsid w:val="00A54A48"/>
    <w:rsid w:val="00A54AC6"/>
    <w:rsid w:val="00A54ED7"/>
    <w:rsid w:val="00A557A1"/>
    <w:rsid w:val="00A55C05"/>
    <w:rsid w:val="00A56191"/>
    <w:rsid w:val="00A564A4"/>
    <w:rsid w:val="00A56919"/>
    <w:rsid w:val="00A56BC5"/>
    <w:rsid w:val="00A56DCC"/>
    <w:rsid w:val="00A57A03"/>
    <w:rsid w:val="00A57B22"/>
    <w:rsid w:val="00A607F4"/>
    <w:rsid w:val="00A60A44"/>
    <w:rsid w:val="00A60CFA"/>
    <w:rsid w:val="00A6172F"/>
    <w:rsid w:val="00A61838"/>
    <w:rsid w:val="00A6184A"/>
    <w:rsid w:val="00A61E68"/>
    <w:rsid w:val="00A61FBC"/>
    <w:rsid w:val="00A6233E"/>
    <w:rsid w:val="00A6243E"/>
    <w:rsid w:val="00A62529"/>
    <w:rsid w:val="00A62B2F"/>
    <w:rsid w:val="00A62B46"/>
    <w:rsid w:val="00A63BDD"/>
    <w:rsid w:val="00A6449C"/>
    <w:rsid w:val="00A64DB5"/>
    <w:rsid w:val="00A64E56"/>
    <w:rsid w:val="00A655B6"/>
    <w:rsid w:val="00A65D0E"/>
    <w:rsid w:val="00A664CD"/>
    <w:rsid w:val="00A66725"/>
    <w:rsid w:val="00A66BF8"/>
    <w:rsid w:val="00A66E6A"/>
    <w:rsid w:val="00A6715C"/>
    <w:rsid w:val="00A6721F"/>
    <w:rsid w:val="00A676A6"/>
    <w:rsid w:val="00A67DA3"/>
    <w:rsid w:val="00A7021A"/>
    <w:rsid w:val="00A70405"/>
    <w:rsid w:val="00A70698"/>
    <w:rsid w:val="00A70EA8"/>
    <w:rsid w:val="00A7188C"/>
    <w:rsid w:val="00A71B8A"/>
    <w:rsid w:val="00A734C4"/>
    <w:rsid w:val="00A73512"/>
    <w:rsid w:val="00A73882"/>
    <w:rsid w:val="00A745E7"/>
    <w:rsid w:val="00A74FAE"/>
    <w:rsid w:val="00A756F6"/>
    <w:rsid w:val="00A75883"/>
    <w:rsid w:val="00A761A5"/>
    <w:rsid w:val="00A7659F"/>
    <w:rsid w:val="00A76BA3"/>
    <w:rsid w:val="00A770BA"/>
    <w:rsid w:val="00A77B8F"/>
    <w:rsid w:val="00A77BA3"/>
    <w:rsid w:val="00A77F9B"/>
    <w:rsid w:val="00A808F8"/>
    <w:rsid w:val="00A80E80"/>
    <w:rsid w:val="00A8105D"/>
    <w:rsid w:val="00A819C7"/>
    <w:rsid w:val="00A8239C"/>
    <w:rsid w:val="00A8257D"/>
    <w:rsid w:val="00A82C80"/>
    <w:rsid w:val="00A8332C"/>
    <w:rsid w:val="00A8369F"/>
    <w:rsid w:val="00A839DA"/>
    <w:rsid w:val="00A84127"/>
    <w:rsid w:val="00A84414"/>
    <w:rsid w:val="00A8569D"/>
    <w:rsid w:val="00A85710"/>
    <w:rsid w:val="00A857CD"/>
    <w:rsid w:val="00A85A03"/>
    <w:rsid w:val="00A85AA9"/>
    <w:rsid w:val="00A85C0B"/>
    <w:rsid w:val="00A85D03"/>
    <w:rsid w:val="00A86417"/>
    <w:rsid w:val="00A86479"/>
    <w:rsid w:val="00A86562"/>
    <w:rsid w:val="00A86AF2"/>
    <w:rsid w:val="00A86C2D"/>
    <w:rsid w:val="00A876E7"/>
    <w:rsid w:val="00A876FA"/>
    <w:rsid w:val="00A878CC"/>
    <w:rsid w:val="00A90006"/>
    <w:rsid w:val="00A90BB5"/>
    <w:rsid w:val="00A90BD9"/>
    <w:rsid w:val="00A913FB"/>
    <w:rsid w:val="00A917DA"/>
    <w:rsid w:val="00A91B8E"/>
    <w:rsid w:val="00A91F87"/>
    <w:rsid w:val="00A92C32"/>
    <w:rsid w:val="00A92CE3"/>
    <w:rsid w:val="00A931EC"/>
    <w:rsid w:val="00A934FF"/>
    <w:rsid w:val="00A93797"/>
    <w:rsid w:val="00A93A0E"/>
    <w:rsid w:val="00A93FA9"/>
    <w:rsid w:val="00A94FBC"/>
    <w:rsid w:val="00A955DE"/>
    <w:rsid w:val="00A95BF0"/>
    <w:rsid w:val="00A95C4D"/>
    <w:rsid w:val="00A9679A"/>
    <w:rsid w:val="00A96F3A"/>
    <w:rsid w:val="00A971F5"/>
    <w:rsid w:val="00A9728E"/>
    <w:rsid w:val="00A976A0"/>
    <w:rsid w:val="00A97A3F"/>
    <w:rsid w:val="00A97C99"/>
    <w:rsid w:val="00A97E06"/>
    <w:rsid w:val="00AA01A4"/>
    <w:rsid w:val="00AA0487"/>
    <w:rsid w:val="00AA0538"/>
    <w:rsid w:val="00AA092F"/>
    <w:rsid w:val="00AA0A4E"/>
    <w:rsid w:val="00AA0AE5"/>
    <w:rsid w:val="00AA0CAF"/>
    <w:rsid w:val="00AA0CB7"/>
    <w:rsid w:val="00AA1753"/>
    <w:rsid w:val="00AA1765"/>
    <w:rsid w:val="00AA1C0F"/>
    <w:rsid w:val="00AA20EB"/>
    <w:rsid w:val="00AA2CA6"/>
    <w:rsid w:val="00AA2DAC"/>
    <w:rsid w:val="00AA3139"/>
    <w:rsid w:val="00AA3163"/>
    <w:rsid w:val="00AA3482"/>
    <w:rsid w:val="00AA4911"/>
    <w:rsid w:val="00AA4D49"/>
    <w:rsid w:val="00AA57B8"/>
    <w:rsid w:val="00AA6690"/>
    <w:rsid w:val="00AA6BB5"/>
    <w:rsid w:val="00AA6F92"/>
    <w:rsid w:val="00AA7A96"/>
    <w:rsid w:val="00AA7AD6"/>
    <w:rsid w:val="00AA7EDB"/>
    <w:rsid w:val="00AB01AC"/>
    <w:rsid w:val="00AB0E1D"/>
    <w:rsid w:val="00AB12DA"/>
    <w:rsid w:val="00AB136F"/>
    <w:rsid w:val="00AB1FC3"/>
    <w:rsid w:val="00AB2674"/>
    <w:rsid w:val="00AB2885"/>
    <w:rsid w:val="00AB3020"/>
    <w:rsid w:val="00AB43B1"/>
    <w:rsid w:val="00AB4482"/>
    <w:rsid w:val="00AB5025"/>
    <w:rsid w:val="00AB5207"/>
    <w:rsid w:val="00AB549F"/>
    <w:rsid w:val="00AB5860"/>
    <w:rsid w:val="00AB5A9C"/>
    <w:rsid w:val="00AB5CA2"/>
    <w:rsid w:val="00AB7078"/>
    <w:rsid w:val="00AB7308"/>
    <w:rsid w:val="00AB7B0C"/>
    <w:rsid w:val="00AB7FF8"/>
    <w:rsid w:val="00AC049E"/>
    <w:rsid w:val="00AC05AD"/>
    <w:rsid w:val="00AC0A1D"/>
    <w:rsid w:val="00AC14D0"/>
    <w:rsid w:val="00AC1FF1"/>
    <w:rsid w:val="00AC2109"/>
    <w:rsid w:val="00AC21E6"/>
    <w:rsid w:val="00AC24AA"/>
    <w:rsid w:val="00AC28A9"/>
    <w:rsid w:val="00AC29E4"/>
    <w:rsid w:val="00AC2BC2"/>
    <w:rsid w:val="00AC35D3"/>
    <w:rsid w:val="00AC35F6"/>
    <w:rsid w:val="00AC3ED8"/>
    <w:rsid w:val="00AC3FF4"/>
    <w:rsid w:val="00AC4B00"/>
    <w:rsid w:val="00AC5BE1"/>
    <w:rsid w:val="00AC5D54"/>
    <w:rsid w:val="00AC62E1"/>
    <w:rsid w:val="00AC6363"/>
    <w:rsid w:val="00AC66D7"/>
    <w:rsid w:val="00AC6DF7"/>
    <w:rsid w:val="00AC786E"/>
    <w:rsid w:val="00AC7FEE"/>
    <w:rsid w:val="00AD0326"/>
    <w:rsid w:val="00AD226A"/>
    <w:rsid w:val="00AD2AF0"/>
    <w:rsid w:val="00AD2E99"/>
    <w:rsid w:val="00AD3B55"/>
    <w:rsid w:val="00AD3BA2"/>
    <w:rsid w:val="00AD3D48"/>
    <w:rsid w:val="00AD4625"/>
    <w:rsid w:val="00AD48BA"/>
    <w:rsid w:val="00AD4F2F"/>
    <w:rsid w:val="00AD595D"/>
    <w:rsid w:val="00AD60EA"/>
    <w:rsid w:val="00AD6805"/>
    <w:rsid w:val="00AD6E37"/>
    <w:rsid w:val="00AD715D"/>
    <w:rsid w:val="00AD72B0"/>
    <w:rsid w:val="00AD73B3"/>
    <w:rsid w:val="00AD76B1"/>
    <w:rsid w:val="00AD7D20"/>
    <w:rsid w:val="00AD7F6D"/>
    <w:rsid w:val="00AD7FEC"/>
    <w:rsid w:val="00AE0D84"/>
    <w:rsid w:val="00AE11F5"/>
    <w:rsid w:val="00AE145F"/>
    <w:rsid w:val="00AE1B3A"/>
    <w:rsid w:val="00AE21E6"/>
    <w:rsid w:val="00AE3193"/>
    <w:rsid w:val="00AE3364"/>
    <w:rsid w:val="00AE37FA"/>
    <w:rsid w:val="00AE3884"/>
    <w:rsid w:val="00AE41E1"/>
    <w:rsid w:val="00AE4275"/>
    <w:rsid w:val="00AE46A8"/>
    <w:rsid w:val="00AE4848"/>
    <w:rsid w:val="00AE48D1"/>
    <w:rsid w:val="00AE5A5D"/>
    <w:rsid w:val="00AE5EEF"/>
    <w:rsid w:val="00AE6227"/>
    <w:rsid w:val="00AE65BB"/>
    <w:rsid w:val="00AE6A4E"/>
    <w:rsid w:val="00AE7089"/>
    <w:rsid w:val="00AE726B"/>
    <w:rsid w:val="00AE7488"/>
    <w:rsid w:val="00AE7ECD"/>
    <w:rsid w:val="00AF0651"/>
    <w:rsid w:val="00AF08CA"/>
    <w:rsid w:val="00AF0DE2"/>
    <w:rsid w:val="00AF0F7D"/>
    <w:rsid w:val="00AF1638"/>
    <w:rsid w:val="00AF19C8"/>
    <w:rsid w:val="00AF19D4"/>
    <w:rsid w:val="00AF1C22"/>
    <w:rsid w:val="00AF1C83"/>
    <w:rsid w:val="00AF3467"/>
    <w:rsid w:val="00AF3803"/>
    <w:rsid w:val="00AF3C0D"/>
    <w:rsid w:val="00AF3C68"/>
    <w:rsid w:val="00AF3F09"/>
    <w:rsid w:val="00AF3F2F"/>
    <w:rsid w:val="00AF522C"/>
    <w:rsid w:val="00AF5BE1"/>
    <w:rsid w:val="00AF5E72"/>
    <w:rsid w:val="00AF6120"/>
    <w:rsid w:val="00AF62A4"/>
    <w:rsid w:val="00AF7984"/>
    <w:rsid w:val="00AF79B4"/>
    <w:rsid w:val="00B00C4F"/>
    <w:rsid w:val="00B00FE6"/>
    <w:rsid w:val="00B010DC"/>
    <w:rsid w:val="00B016F5"/>
    <w:rsid w:val="00B0198B"/>
    <w:rsid w:val="00B026D9"/>
    <w:rsid w:val="00B0345B"/>
    <w:rsid w:val="00B036C2"/>
    <w:rsid w:val="00B037CF"/>
    <w:rsid w:val="00B037E5"/>
    <w:rsid w:val="00B03C8B"/>
    <w:rsid w:val="00B0403F"/>
    <w:rsid w:val="00B04347"/>
    <w:rsid w:val="00B04E7C"/>
    <w:rsid w:val="00B05515"/>
    <w:rsid w:val="00B055E7"/>
    <w:rsid w:val="00B057D9"/>
    <w:rsid w:val="00B05C68"/>
    <w:rsid w:val="00B05D0A"/>
    <w:rsid w:val="00B07B7F"/>
    <w:rsid w:val="00B07DAD"/>
    <w:rsid w:val="00B1051A"/>
    <w:rsid w:val="00B1084B"/>
    <w:rsid w:val="00B110C0"/>
    <w:rsid w:val="00B11C29"/>
    <w:rsid w:val="00B11D96"/>
    <w:rsid w:val="00B1288B"/>
    <w:rsid w:val="00B1296F"/>
    <w:rsid w:val="00B13391"/>
    <w:rsid w:val="00B13CA3"/>
    <w:rsid w:val="00B153F2"/>
    <w:rsid w:val="00B15D03"/>
    <w:rsid w:val="00B165B8"/>
    <w:rsid w:val="00B166A1"/>
    <w:rsid w:val="00B171F7"/>
    <w:rsid w:val="00B174CB"/>
    <w:rsid w:val="00B178C8"/>
    <w:rsid w:val="00B21714"/>
    <w:rsid w:val="00B220BA"/>
    <w:rsid w:val="00B22189"/>
    <w:rsid w:val="00B22CDF"/>
    <w:rsid w:val="00B22F66"/>
    <w:rsid w:val="00B233EA"/>
    <w:rsid w:val="00B23DCE"/>
    <w:rsid w:val="00B23E90"/>
    <w:rsid w:val="00B2467E"/>
    <w:rsid w:val="00B248C4"/>
    <w:rsid w:val="00B25374"/>
    <w:rsid w:val="00B25F57"/>
    <w:rsid w:val="00B262B4"/>
    <w:rsid w:val="00B26829"/>
    <w:rsid w:val="00B26B6E"/>
    <w:rsid w:val="00B27CCC"/>
    <w:rsid w:val="00B30915"/>
    <w:rsid w:val="00B30E03"/>
    <w:rsid w:val="00B30E62"/>
    <w:rsid w:val="00B30F5B"/>
    <w:rsid w:val="00B33481"/>
    <w:rsid w:val="00B33914"/>
    <w:rsid w:val="00B34652"/>
    <w:rsid w:val="00B347EE"/>
    <w:rsid w:val="00B348AD"/>
    <w:rsid w:val="00B3497E"/>
    <w:rsid w:val="00B34BE0"/>
    <w:rsid w:val="00B34E69"/>
    <w:rsid w:val="00B355BE"/>
    <w:rsid w:val="00B369EF"/>
    <w:rsid w:val="00B36B87"/>
    <w:rsid w:val="00B36E11"/>
    <w:rsid w:val="00B3768C"/>
    <w:rsid w:val="00B37D04"/>
    <w:rsid w:val="00B4056C"/>
    <w:rsid w:val="00B40626"/>
    <w:rsid w:val="00B4077E"/>
    <w:rsid w:val="00B408D9"/>
    <w:rsid w:val="00B40A00"/>
    <w:rsid w:val="00B4149E"/>
    <w:rsid w:val="00B41838"/>
    <w:rsid w:val="00B42235"/>
    <w:rsid w:val="00B428AB"/>
    <w:rsid w:val="00B4310F"/>
    <w:rsid w:val="00B43184"/>
    <w:rsid w:val="00B43E5B"/>
    <w:rsid w:val="00B43F41"/>
    <w:rsid w:val="00B44239"/>
    <w:rsid w:val="00B4449E"/>
    <w:rsid w:val="00B44554"/>
    <w:rsid w:val="00B44894"/>
    <w:rsid w:val="00B449EE"/>
    <w:rsid w:val="00B44DC7"/>
    <w:rsid w:val="00B44FF0"/>
    <w:rsid w:val="00B46275"/>
    <w:rsid w:val="00B469F9"/>
    <w:rsid w:val="00B471E5"/>
    <w:rsid w:val="00B47338"/>
    <w:rsid w:val="00B475AC"/>
    <w:rsid w:val="00B47684"/>
    <w:rsid w:val="00B47B3D"/>
    <w:rsid w:val="00B47E6C"/>
    <w:rsid w:val="00B47F8A"/>
    <w:rsid w:val="00B500F4"/>
    <w:rsid w:val="00B503F5"/>
    <w:rsid w:val="00B50601"/>
    <w:rsid w:val="00B507E6"/>
    <w:rsid w:val="00B50ADB"/>
    <w:rsid w:val="00B51211"/>
    <w:rsid w:val="00B51A59"/>
    <w:rsid w:val="00B51BC2"/>
    <w:rsid w:val="00B51BE1"/>
    <w:rsid w:val="00B51D3E"/>
    <w:rsid w:val="00B51E9B"/>
    <w:rsid w:val="00B5210F"/>
    <w:rsid w:val="00B523EF"/>
    <w:rsid w:val="00B52419"/>
    <w:rsid w:val="00B53310"/>
    <w:rsid w:val="00B53886"/>
    <w:rsid w:val="00B53A02"/>
    <w:rsid w:val="00B54E7B"/>
    <w:rsid w:val="00B557F2"/>
    <w:rsid w:val="00B55ED5"/>
    <w:rsid w:val="00B56691"/>
    <w:rsid w:val="00B56833"/>
    <w:rsid w:val="00B56B26"/>
    <w:rsid w:val="00B56FFD"/>
    <w:rsid w:val="00B570F8"/>
    <w:rsid w:val="00B57416"/>
    <w:rsid w:val="00B5744F"/>
    <w:rsid w:val="00B5793E"/>
    <w:rsid w:val="00B57AFD"/>
    <w:rsid w:val="00B57B08"/>
    <w:rsid w:val="00B60092"/>
    <w:rsid w:val="00B60966"/>
    <w:rsid w:val="00B61189"/>
    <w:rsid w:val="00B612BF"/>
    <w:rsid w:val="00B613E6"/>
    <w:rsid w:val="00B61B85"/>
    <w:rsid w:val="00B623DA"/>
    <w:rsid w:val="00B62BCF"/>
    <w:rsid w:val="00B63811"/>
    <w:rsid w:val="00B638D3"/>
    <w:rsid w:val="00B63B87"/>
    <w:rsid w:val="00B64894"/>
    <w:rsid w:val="00B64A18"/>
    <w:rsid w:val="00B64E02"/>
    <w:rsid w:val="00B653C8"/>
    <w:rsid w:val="00B65CAD"/>
    <w:rsid w:val="00B65E2D"/>
    <w:rsid w:val="00B66268"/>
    <w:rsid w:val="00B664E0"/>
    <w:rsid w:val="00B6666A"/>
    <w:rsid w:val="00B669E5"/>
    <w:rsid w:val="00B66B6D"/>
    <w:rsid w:val="00B66BF8"/>
    <w:rsid w:val="00B66DFE"/>
    <w:rsid w:val="00B672F0"/>
    <w:rsid w:val="00B67581"/>
    <w:rsid w:val="00B679E0"/>
    <w:rsid w:val="00B67B0D"/>
    <w:rsid w:val="00B67B64"/>
    <w:rsid w:val="00B67C09"/>
    <w:rsid w:val="00B67D03"/>
    <w:rsid w:val="00B703CF"/>
    <w:rsid w:val="00B705A0"/>
    <w:rsid w:val="00B70937"/>
    <w:rsid w:val="00B7099A"/>
    <w:rsid w:val="00B71322"/>
    <w:rsid w:val="00B717F6"/>
    <w:rsid w:val="00B71CBE"/>
    <w:rsid w:val="00B71D07"/>
    <w:rsid w:val="00B71EEB"/>
    <w:rsid w:val="00B72E5F"/>
    <w:rsid w:val="00B73894"/>
    <w:rsid w:val="00B73E28"/>
    <w:rsid w:val="00B73EA5"/>
    <w:rsid w:val="00B73F6D"/>
    <w:rsid w:val="00B74600"/>
    <w:rsid w:val="00B75077"/>
    <w:rsid w:val="00B752DD"/>
    <w:rsid w:val="00B7574A"/>
    <w:rsid w:val="00B758C7"/>
    <w:rsid w:val="00B759AB"/>
    <w:rsid w:val="00B774F3"/>
    <w:rsid w:val="00B77D5D"/>
    <w:rsid w:val="00B77F7D"/>
    <w:rsid w:val="00B801E1"/>
    <w:rsid w:val="00B803B7"/>
    <w:rsid w:val="00B80467"/>
    <w:rsid w:val="00B808C3"/>
    <w:rsid w:val="00B810D7"/>
    <w:rsid w:val="00B8252B"/>
    <w:rsid w:val="00B829D0"/>
    <w:rsid w:val="00B82C71"/>
    <w:rsid w:val="00B83083"/>
    <w:rsid w:val="00B8336A"/>
    <w:rsid w:val="00B8397A"/>
    <w:rsid w:val="00B83A48"/>
    <w:rsid w:val="00B840A5"/>
    <w:rsid w:val="00B8489F"/>
    <w:rsid w:val="00B85026"/>
    <w:rsid w:val="00B865A5"/>
    <w:rsid w:val="00B87349"/>
    <w:rsid w:val="00B8743B"/>
    <w:rsid w:val="00B879F2"/>
    <w:rsid w:val="00B87E96"/>
    <w:rsid w:val="00B90320"/>
    <w:rsid w:val="00B90C7E"/>
    <w:rsid w:val="00B90C92"/>
    <w:rsid w:val="00B90CD6"/>
    <w:rsid w:val="00B914F6"/>
    <w:rsid w:val="00B917B7"/>
    <w:rsid w:val="00B92CBD"/>
    <w:rsid w:val="00B92CE8"/>
    <w:rsid w:val="00B938D1"/>
    <w:rsid w:val="00B93ADE"/>
    <w:rsid w:val="00B947DB"/>
    <w:rsid w:val="00B94DD3"/>
    <w:rsid w:val="00B94F05"/>
    <w:rsid w:val="00B95002"/>
    <w:rsid w:val="00B9550B"/>
    <w:rsid w:val="00B95AE3"/>
    <w:rsid w:val="00B95D8A"/>
    <w:rsid w:val="00B9660D"/>
    <w:rsid w:val="00B97474"/>
    <w:rsid w:val="00B97973"/>
    <w:rsid w:val="00B97C08"/>
    <w:rsid w:val="00BA097C"/>
    <w:rsid w:val="00BA117C"/>
    <w:rsid w:val="00BA1977"/>
    <w:rsid w:val="00BA2026"/>
    <w:rsid w:val="00BA2217"/>
    <w:rsid w:val="00BA22A1"/>
    <w:rsid w:val="00BA25C2"/>
    <w:rsid w:val="00BA275D"/>
    <w:rsid w:val="00BA29EE"/>
    <w:rsid w:val="00BA2BDB"/>
    <w:rsid w:val="00BA3080"/>
    <w:rsid w:val="00BA338A"/>
    <w:rsid w:val="00BA3F34"/>
    <w:rsid w:val="00BA400D"/>
    <w:rsid w:val="00BA481F"/>
    <w:rsid w:val="00BA4C12"/>
    <w:rsid w:val="00BA4D6D"/>
    <w:rsid w:val="00BA4E0C"/>
    <w:rsid w:val="00BA5F70"/>
    <w:rsid w:val="00BA63D5"/>
    <w:rsid w:val="00BA700A"/>
    <w:rsid w:val="00BA77CD"/>
    <w:rsid w:val="00BA7806"/>
    <w:rsid w:val="00BA7BC9"/>
    <w:rsid w:val="00BB05A6"/>
    <w:rsid w:val="00BB12DB"/>
    <w:rsid w:val="00BB1450"/>
    <w:rsid w:val="00BB179A"/>
    <w:rsid w:val="00BB1865"/>
    <w:rsid w:val="00BB1D04"/>
    <w:rsid w:val="00BB266E"/>
    <w:rsid w:val="00BB2773"/>
    <w:rsid w:val="00BB33A9"/>
    <w:rsid w:val="00BB33DD"/>
    <w:rsid w:val="00BB350E"/>
    <w:rsid w:val="00BB365B"/>
    <w:rsid w:val="00BB3B09"/>
    <w:rsid w:val="00BB3CD6"/>
    <w:rsid w:val="00BB3F44"/>
    <w:rsid w:val="00BB4551"/>
    <w:rsid w:val="00BB4557"/>
    <w:rsid w:val="00BB45D4"/>
    <w:rsid w:val="00BB4978"/>
    <w:rsid w:val="00BB4B56"/>
    <w:rsid w:val="00BB5130"/>
    <w:rsid w:val="00BB566D"/>
    <w:rsid w:val="00BB5D27"/>
    <w:rsid w:val="00BB600C"/>
    <w:rsid w:val="00BB64D3"/>
    <w:rsid w:val="00BB6E91"/>
    <w:rsid w:val="00BB6EBE"/>
    <w:rsid w:val="00BB7F02"/>
    <w:rsid w:val="00BC0F75"/>
    <w:rsid w:val="00BC160B"/>
    <w:rsid w:val="00BC1886"/>
    <w:rsid w:val="00BC1D01"/>
    <w:rsid w:val="00BC2960"/>
    <w:rsid w:val="00BC31B6"/>
    <w:rsid w:val="00BC32EE"/>
    <w:rsid w:val="00BC3866"/>
    <w:rsid w:val="00BC3DBA"/>
    <w:rsid w:val="00BC42D1"/>
    <w:rsid w:val="00BC43C3"/>
    <w:rsid w:val="00BC5025"/>
    <w:rsid w:val="00BC5848"/>
    <w:rsid w:val="00BC5C92"/>
    <w:rsid w:val="00BC5C99"/>
    <w:rsid w:val="00BC6A3F"/>
    <w:rsid w:val="00BC7086"/>
    <w:rsid w:val="00BC756A"/>
    <w:rsid w:val="00BC7847"/>
    <w:rsid w:val="00BC789D"/>
    <w:rsid w:val="00BD002F"/>
    <w:rsid w:val="00BD05B2"/>
    <w:rsid w:val="00BD0A02"/>
    <w:rsid w:val="00BD0EE6"/>
    <w:rsid w:val="00BD1470"/>
    <w:rsid w:val="00BD2178"/>
    <w:rsid w:val="00BD2242"/>
    <w:rsid w:val="00BD29D3"/>
    <w:rsid w:val="00BD2BB1"/>
    <w:rsid w:val="00BD2CC0"/>
    <w:rsid w:val="00BD2D05"/>
    <w:rsid w:val="00BD2D17"/>
    <w:rsid w:val="00BD3FFF"/>
    <w:rsid w:val="00BD406F"/>
    <w:rsid w:val="00BD4287"/>
    <w:rsid w:val="00BD4339"/>
    <w:rsid w:val="00BD49A9"/>
    <w:rsid w:val="00BD4C6A"/>
    <w:rsid w:val="00BD4C9D"/>
    <w:rsid w:val="00BD508A"/>
    <w:rsid w:val="00BD6491"/>
    <w:rsid w:val="00BD7237"/>
    <w:rsid w:val="00BD73A5"/>
    <w:rsid w:val="00BD7411"/>
    <w:rsid w:val="00BE0090"/>
    <w:rsid w:val="00BE00F3"/>
    <w:rsid w:val="00BE0423"/>
    <w:rsid w:val="00BE0592"/>
    <w:rsid w:val="00BE0A40"/>
    <w:rsid w:val="00BE13B2"/>
    <w:rsid w:val="00BE163E"/>
    <w:rsid w:val="00BE1B74"/>
    <w:rsid w:val="00BE2B05"/>
    <w:rsid w:val="00BE3010"/>
    <w:rsid w:val="00BE31EF"/>
    <w:rsid w:val="00BE3872"/>
    <w:rsid w:val="00BE38CE"/>
    <w:rsid w:val="00BE3943"/>
    <w:rsid w:val="00BE3AF4"/>
    <w:rsid w:val="00BE457E"/>
    <w:rsid w:val="00BE5A26"/>
    <w:rsid w:val="00BE5F9F"/>
    <w:rsid w:val="00BE612F"/>
    <w:rsid w:val="00BE6630"/>
    <w:rsid w:val="00BE66E6"/>
    <w:rsid w:val="00BE6DBE"/>
    <w:rsid w:val="00BE70C6"/>
    <w:rsid w:val="00BE7332"/>
    <w:rsid w:val="00BE74EF"/>
    <w:rsid w:val="00BE7908"/>
    <w:rsid w:val="00BE7A82"/>
    <w:rsid w:val="00BE7D72"/>
    <w:rsid w:val="00BF0033"/>
    <w:rsid w:val="00BF0148"/>
    <w:rsid w:val="00BF03BF"/>
    <w:rsid w:val="00BF0A08"/>
    <w:rsid w:val="00BF127D"/>
    <w:rsid w:val="00BF1335"/>
    <w:rsid w:val="00BF1561"/>
    <w:rsid w:val="00BF1715"/>
    <w:rsid w:val="00BF19D6"/>
    <w:rsid w:val="00BF1B52"/>
    <w:rsid w:val="00BF1B6F"/>
    <w:rsid w:val="00BF3173"/>
    <w:rsid w:val="00BF45D2"/>
    <w:rsid w:val="00BF480E"/>
    <w:rsid w:val="00BF4823"/>
    <w:rsid w:val="00BF5747"/>
    <w:rsid w:val="00BF5BB8"/>
    <w:rsid w:val="00BF5BCE"/>
    <w:rsid w:val="00BF6198"/>
    <w:rsid w:val="00C00614"/>
    <w:rsid w:val="00C006E0"/>
    <w:rsid w:val="00C0172A"/>
    <w:rsid w:val="00C019EE"/>
    <w:rsid w:val="00C01BC5"/>
    <w:rsid w:val="00C01F89"/>
    <w:rsid w:val="00C03537"/>
    <w:rsid w:val="00C040E3"/>
    <w:rsid w:val="00C04AE9"/>
    <w:rsid w:val="00C04DAB"/>
    <w:rsid w:val="00C058EE"/>
    <w:rsid w:val="00C05AF7"/>
    <w:rsid w:val="00C05B18"/>
    <w:rsid w:val="00C05E50"/>
    <w:rsid w:val="00C062E8"/>
    <w:rsid w:val="00C06593"/>
    <w:rsid w:val="00C065E4"/>
    <w:rsid w:val="00C06B76"/>
    <w:rsid w:val="00C07582"/>
    <w:rsid w:val="00C100F5"/>
    <w:rsid w:val="00C105D2"/>
    <w:rsid w:val="00C10990"/>
    <w:rsid w:val="00C10B11"/>
    <w:rsid w:val="00C10C94"/>
    <w:rsid w:val="00C1136E"/>
    <w:rsid w:val="00C11813"/>
    <w:rsid w:val="00C11AF0"/>
    <w:rsid w:val="00C11E0E"/>
    <w:rsid w:val="00C13328"/>
    <w:rsid w:val="00C138A0"/>
    <w:rsid w:val="00C14337"/>
    <w:rsid w:val="00C1498D"/>
    <w:rsid w:val="00C15099"/>
    <w:rsid w:val="00C15140"/>
    <w:rsid w:val="00C1527A"/>
    <w:rsid w:val="00C15570"/>
    <w:rsid w:val="00C15E1D"/>
    <w:rsid w:val="00C16227"/>
    <w:rsid w:val="00C16A63"/>
    <w:rsid w:val="00C16C20"/>
    <w:rsid w:val="00C1783F"/>
    <w:rsid w:val="00C17C34"/>
    <w:rsid w:val="00C203B4"/>
    <w:rsid w:val="00C2052A"/>
    <w:rsid w:val="00C20F42"/>
    <w:rsid w:val="00C2149A"/>
    <w:rsid w:val="00C215BE"/>
    <w:rsid w:val="00C216DD"/>
    <w:rsid w:val="00C21EC8"/>
    <w:rsid w:val="00C21FF1"/>
    <w:rsid w:val="00C2216F"/>
    <w:rsid w:val="00C22B96"/>
    <w:rsid w:val="00C2344A"/>
    <w:rsid w:val="00C239D5"/>
    <w:rsid w:val="00C23BB4"/>
    <w:rsid w:val="00C24200"/>
    <w:rsid w:val="00C24BB2"/>
    <w:rsid w:val="00C25374"/>
    <w:rsid w:val="00C25A63"/>
    <w:rsid w:val="00C25B05"/>
    <w:rsid w:val="00C25E5A"/>
    <w:rsid w:val="00C262C7"/>
    <w:rsid w:val="00C26699"/>
    <w:rsid w:val="00C269FA"/>
    <w:rsid w:val="00C270C9"/>
    <w:rsid w:val="00C27A97"/>
    <w:rsid w:val="00C27B22"/>
    <w:rsid w:val="00C31154"/>
    <w:rsid w:val="00C319D3"/>
    <w:rsid w:val="00C319D8"/>
    <w:rsid w:val="00C31F30"/>
    <w:rsid w:val="00C326F0"/>
    <w:rsid w:val="00C32BC9"/>
    <w:rsid w:val="00C32E35"/>
    <w:rsid w:val="00C33215"/>
    <w:rsid w:val="00C33AF2"/>
    <w:rsid w:val="00C34115"/>
    <w:rsid w:val="00C3428C"/>
    <w:rsid w:val="00C345A0"/>
    <w:rsid w:val="00C345B8"/>
    <w:rsid w:val="00C34CA8"/>
    <w:rsid w:val="00C34CFA"/>
    <w:rsid w:val="00C34FE5"/>
    <w:rsid w:val="00C3521F"/>
    <w:rsid w:val="00C354BA"/>
    <w:rsid w:val="00C359EE"/>
    <w:rsid w:val="00C36A96"/>
    <w:rsid w:val="00C36DBD"/>
    <w:rsid w:val="00C36F4E"/>
    <w:rsid w:val="00C371A4"/>
    <w:rsid w:val="00C371F3"/>
    <w:rsid w:val="00C4058C"/>
    <w:rsid w:val="00C408AC"/>
    <w:rsid w:val="00C412A4"/>
    <w:rsid w:val="00C42985"/>
    <w:rsid w:val="00C42F65"/>
    <w:rsid w:val="00C44201"/>
    <w:rsid w:val="00C447AB"/>
    <w:rsid w:val="00C44F79"/>
    <w:rsid w:val="00C44FC0"/>
    <w:rsid w:val="00C4510B"/>
    <w:rsid w:val="00C46111"/>
    <w:rsid w:val="00C47011"/>
    <w:rsid w:val="00C470CB"/>
    <w:rsid w:val="00C47120"/>
    <w:rsid w:val="00C478EE"/>
    <w:rsid w:val="00C50450"/>
    <w:rsid w:val="00C504A7"/>
    <w:rsid w:val="00C50F86"/>
    <w:rsid w:val="00C51561"/>
    <w:rsid w:val="00C5245D"/>
    <w:rsid w:val="00C5246E"/>
    <w:rsid w:val="00C53F55"/>
    <w:rsid w:val="00C53F86"/>
    <w:rsid w:val="00C542CB"/>
    <w:rsid w:val="00C544B7"/>
    <w:rsid w:val="00C548B4"/>
    <w:rsid w:val="00C550E5"/>
    <w:rsid w:val="00C55BC0"/>
    <w:rsid w:val="00C5674D"/>
    <w:rsid w:val="00C569E6"/>
    <w:rsid w:val="00C56CC5"/>
    <w:rsid w:val="00C56EAB"/>
    <w:rsid w:val="00C578B1"/>
    <w:rsid w:val="00C60249"/>
    <w:rsid w:val="00C60715"/>
    <w:rsid w:val="00C607B3"/>
    <w:rsid w:val="00C612F9"/>
    <w:rsid w:val="00C61CB2"/>
    <w:rsid w:val="00C6223E"/>
    <w:rsid w:val="00C62B25"/>
    <w:rsid w:val="00C62CC8"/>
    <w:rsid w:val="00C6312E"/>
    <w:rsid w:val="00C637C9"/>
    <w:rsid w:val="00C638E9"/>
    <w:rsid w:val="00C63ABC"/>
    <w:rsid w:val="00C63EE3"/>
    <w:rsid w:val="00C641F7"/>
    <w:rsid w:val="00C64353"/>
    <w:rsid w:val="00C6452F"/>
    <w:rsid w:val="00C64762"/>
    <w:rsid w:val="00C64A6F"/>
    <w:rsid w:val="00C65A0C"/>
    <w:rsid w:val="00C65AD3"/>
    <w:rsid w:val="00C65CE3"/>
    <w:rsid w:val="00C671EA"/>
    <w:rsid w:val="00C674F3"/>
    <w:rsid w:val="00C67B1A"/>
    <w:rsid w:val="00C67B4E"/>
    <w:rsid w:val="00C67CA3"/>
    <w:rsid w:val="00C70214"/>
    <w:rsid w:val="00C70CC8"/>
    <w:rsid w:val="00C71600"/>
    <w:rsid w:val="00C71E63"/>
    <w:rsid w:val="00C727D7"/>
    <w:rsid w:val="00C739E8"/>
    <w:rsid w:val="00C73EA3"/>
    <w:rsid w:val="00C73F7F"/>
    <w:rsid w:val="00C74053"/>
    <w:rsid w:val="00C74582"/>
    <w:rsid w:val="00C74724"/>
    <w:rsid w:val="00C751C9"/>
    <w:rsid w:val="00C756B1"/>
    <w:rsid w:val="00C75879"/>
    <w:rsid w:val="00C75EC5"/>
    <w:rsid w:val="00C76289"/>
    <w:rsid w:val="00C76607"/>
    <w:rsid w:val="00C76648"/>
    <w:rsid w:val="00C76664"/>
    <w:rsid w:val="00C766FA"/>
    <w:rsid w:val="00C767EF"/>
    <w:rsid w:val="00C77791"/>
    <w:rsid w:val="00C7790A"/>
    <w:rsid w:val="00C808E5"/>
    <w:rsid w:val="00C80CD3"/>
    <w:rsid w:val="00C80DD1"/>
    <w:rsid w:val="00C81100"/>
    <w:rsid w:val="00C81427"/>
    <w:rsid w:val="00C8167B"/>
    <w:rsid w:val="00C81D04"/>
    <w:rsid w:val="00C839EE"/>
    <w:rsid w:val="00C83D32"/>
    <w:rsid w:val="00C83E1C"/>
    <w:rsid w:val="00C8548D"/>
    <w:rsid w:val="00C85605"/>
    <w:rsid w:val="00C857E9"/>
    <w:rsid w:val="00C85FD4"/>
    <w:rsid w:val="00C8697A"/>
    <w:rsid w:val="00C8734E"/>
    <w:rsid w:val="00C8743C"/>
    <w:rsid w:val="00C877CB"/>
    <w:rsid w:val="00C90E99"/>
    <w:rsid w:val="00C915AB"/>
    <w:rsid w:val="00C91F3C"/>
    <w:rsid w:val="00C924FE"/>
    <w:rsid w:val="00C926CB"/>
    <w:rsid w:val="00C93012"/>
    <w:rsid w:val="00C932CC"/>
    <w:rsid w:val="00C94011"/>
    <w:rsid w:val="00C940D5"/>
    <w:rsid w:val="00C94A9F"/>
    <w:rsid w:val="00C94CE3"/>
    <w:rsid w:val="00C955F7"/>
    <w:rsid w:val="00C957FD"/>
    <w:rsid w:val="00C958AD"/>
    <w:rsid w:val="00C95C1A"/>
    <w:rsid w:val="00C95DCC"/>
    <w:rsid w:val="00C96D39"/>
    <w:rsid w:val="00C9708A"/>
    <w:rsid w:val="00C97F63"/>
    <w:rsid w:val="00CA0295"/>
    <w:rsid w:val="00CA083A"/>
    <w:rsid w:val="00CA0A80"/>
    <w:rsid w:val="00CA0BEA"/>
    <w:rsid w:val="00CA0D55"/>
    <w:rsid w:val="00CA125B"/>
    <w:rsid w:val="00CA1414"/>
    <w:rsid w:val="00CA1F4D"/>
    <w:rsid w:val="00CA23DA"/>
    <w:rsid w:val="00CA3A20"/>
    <w:rsid w:val="00CA3AB9"/>
    <w:rsid w:val="00CA3F44"/>
    <w:rsid w:val="00CA4336"/>
    <w:rsid w:val="00CA4B4A"/>
    <w:rsid w:val="00CA4B98"/>
    <w:rsid w:val="00CA536D"/>
    <w:rsid w:val="00CA6168"/>
    <w:rsid w:val="00CA623E"/>
    <w:rsid w:val="00CA6316"/>
    <w:rsid w:val="00CA638F"/>
    <w:rsid w:val="00CA6435"/>
    <w:rsid w:val="00CA64B8"/>
    <w:rsid w:val="00CA6730"/>
    <w:rsid w:val="00CA6905"/>
    <w:rsid w:val="00CA7F1D"/>
    <w:rsid w:val="00CA7F22"/>
    <w:rsid w:val="00CA7FBE"/>
    <w:rsid w:val="00CB04A2"/>
    <w:rsid w:val="00CB1997"/>
    <w:rsid w:val="00CB1DDC"/>
    <w:rsid w:val="00CB2064"/>
    <w:rsid w:val="00CB298E"/>
    <w:rsid w:val="00CB309D"/>
    <w:rsid w:val="00CB3491"/>
    <w:rsid w:val="00CB37AB"/>
    <w:rsid w:val="00CB3C56"/>
    <w:rsid w:val="00CB6061"/>
    <w:rsid w:val="00CB65B3"/>
    <w:rsid w:val="00CB6679"/>
    <w:rsid w:val="00CB6CA1"/>
    <w:rsid w:val="00CB6CA9"/>
    <w:rsid w:val="00CB6F1A"/>
    <w:rsid w:val="00CB7EB1"/>
    <w:rsid w:val="00CC097A"/>
    <w:rsid w:val="00CC16F0"/>
    <w:rsid w:val="00CC1B53"/>
    <w:rsid w:val="00CC1FDB"/>
    <w:rsid w:val="00CC2163"/>
    <w:rsid w:val="00CC22C3"/>
    <w:rsid w:val="00CC2F9C"/>
    <w:rsid w:val="00CC4199"/>
    <w:rsid w:val="00CC46B6"/>
    <w:rsid w:val="00CC4A68"/>
    <w:rsid w:val="00CC4B45"/>
    <w:rsid w:val="00CC4BF4"/>
    <w:rsid w:val="00CC517C"/>
    <w:rsid w:val="00CC5629"/>
    <w:rsid w:val="00CC607C"/>
    <w:rsid w:val="00CC62CA"/>
    <w:rsid w:val="00CC6AC2"/>
    <w:rsid w:val="00CC7949"/>
    <w:rsid w:val="00CC7D1A"/>
    <w:rsid w:val="00CC7F07"/>
    <w:rsid w:val="00CD0146"/>
    <w:rsid w:val="00CD05F7"/>
    <w:rsid w:val="00CD0A7E"/>
    <w:rsid w:val="00CD15D8"/>
    <w:rsid w:val="00CD1741"/>
    <w:rsid w:val="00CD193D"/>
    <w:rsid w:val="00CD1B77"/>
    <w:rsid w:val="00CD1D89"/>
    <w:rsid w:val="00CD20CD"/>
    <w:rsid w:val="00CD2542"/>
    <w:rsid w:val="00CD2C85"/>
    <w:rsid w:val="00CD3218"/>
    <w:rsid w:val="00CD3682"/>
    <w:rsid w:val="00CD3FCC"/>
    <w:rsid w:val="00CD407B"/>
    <w:rsid w:val="00CD41B1"/>
    <w:rsid w:val="00CD4AC7"/>
    <w:rsid w:val="00CD4BAC"/>
    <w:rsid w:val="00CD4E22"/>
    <w:rsid w:val="00CD5C99"/>
    <w:rsid w:val="00CD5D4F"/>
    <w:rsid w:val="00CD6257"/>
    <w:rsid w:val="00CD6261"/>
    <w:rsid w:val="00CD666D"/>
    <w:rsid w:val="00CD6D39"/>
    <w:rsid w:val="00CD7619"/>
    <w:rsid w:val="00CD7BF7"/>
    <w:rsid w:val="00CD7C43"/>
    <w:rsid w:val="00CE005A"/>
    <w:rsid w:val="00CE1072"/>
    <w:rsid w:val="00CE10DC"/>
    <w:rsid w:val="00CE25EF"/>
    <w:rsid w:val="00CE37EE"/>
    <w:rsid w:val="00CE38A3"/>
    <w:rsid w:val="00CE41EB"/>
    <w:rsid w:val="00CE4977"/>
    <w:rsid w:val="00CE4A75"/>
    <w:rsid w:val="00CE4D24"/>
    <w:rsid w:val="00CE53A4"/>
    <w:rsid w:val="00CE56F7"/>
    <w:rsid w:val="00CE5E95"/>
    <w:rsid w:val="00CE5F5D"/>
    <w:rsid w:val="00CE684B"/>
    <w:rsid w:val="00CE73FA"/>
    <w:rsid w:val="00CE7F3E"/>
    <w:rsid w:val="00CF0336"/>
    <w:rsid w:val="00CF0860"/>
    <w:rsid w:val="00CF08F1"/>
    <w:rsid w:val="00CF0D1D"/>
    <w:rsid w:val="00CF0D67"/>
    <w:rsid w:val="00CF178A"/>
    <w:rsid w:val="00CF1DFC"/>
    <w:rsid w:val="00CF1ECE"/>
    <w:rsid w:val="00CF21BD"/>
    <w:rsid w:val="00CF25F8"/>
    <w:rsid w:val="00CF27A2"/>
    <w:rsid w:val="00CF29DB"/>
    <w:rsid w:val="00CF3870"/>
    <w:rsid w:val="00CF3F2A"/>
    <w:rsid w:val="00CF51F4"/>
    <w:rsid w:val="00CF5310"/>
    <w:rsid w:val="00CF542F"/>
    <w:rsid w:val="00CF59AF"/>
    <w:rsid w:val="00CF5CA4"/>
    <w:rsid w:val="00CF5EA1"/>
    <w:rsid w:val="00CF5FA1"/>
    <w:rsid w:val="00CF645A"/>
    <w:rsid w:val="00CF6E8F"/>
    <w:rsid w:val="00CF7BC4"/>
    <w:rsid w:val="00CF7C9B"/>
    <w:rsid w:val="00CF7E17"/>
    <w:rsid w:val="00CF7E84"/>
    <w:rsid w:val="00D009D6"/>
    <w:rsid w:val="00D00A84"/>
    <w:rsid w:val="00D00DBD"/>
    <w:rsid w:val="00D01092"/>
    <w:rsid w:val="00D011B8"/>
    <w:rsid w:val="00D01559"/>
    <w:rsid w:val="00D01B32"/>
    <w:rsid w:val="00D02075"/>
    <w:rsid w:val="00D02209"/>
    <w:rsid w:val="00D0377B"/>
    <w:rsid w:val="00D03A64"/>
    <w:rsid w:val="00D045FF"/>
    <w:rsid w:val="00D051EC"/>
    <w:rsid w:val="00D06352"/>
    <w:rsid w:val="00D0638B"/>
    <w:rsid w:val="00D0657E"/>
    <w:rsid w:val="00D074D6"/>
    <w:rsid w:val="00D07A06"/>
    <w:rsid w:val="00D07EBB"/>
    <w:rsid w:val="00D116DE"/>
    <w:rsid w:val="00D11F6A"/>
    <w:rsid w:val="00D120F2"/>
    <w:rsid w:val="00D121E9"/>
    <w:rsid w:val="00D126FC"/>
    <w:rsid w:val="00D134AA"/>
    <w:rsid w:val="00D136CE"/>
    <w:rsid w:val="00D13D2F"/>
    <w:rsid w:val="00D15ADF"/>
    <w:rsid w:val="00D161D6"/>
    <w:rsid w:val="00D163DB"/>
    <w:rsid w:val="00D163EE"/>
    <w:rsid w:val="00D165A0"/>
    <w:rsid w:val="00D169E6"/>
    <w:rsid w:val="00D17411"/>
    <w:rsid w:val="00D17835"/>
    <w:rsid w:val="00D17B36"/>
    <w:rsid w:val="00D20484"/>
    <w:rsid w:val="00D206AE"/>
    <w:rsid w:val="00D20AB0"/>
    <w:rsid w:val="00D20AE5"/>
    <w:rsid w:val="00D20B2B"/>
    <w:rsid w:val="00D23496"/>
    <w:rsid w:val="00D23C2B"/>
    <w:rsid w:val="00D251DC"/>
    <w:rsid w:val="00D25B00"/>
    <w:rsid w:val="00D25BD8"/>
    <w:rsid w:val="00D264F0"/>
    <w:rsid w:val="00D26A1F"/>
    <w:rsid w:val="00D27009"/>
    <w:rsid w:val="00D27694"/>
    <w:rsid w:val="00D30E80"/>
    <w:rsid w:val="00D312DA"/>
    <w:rsid w:val="00D31428"/>
    <w:rsid w:val="00D3185B"/>
    <w:rsid w:val="00D31A66"/>
    <w:rsid w:val="00D31E09"/>
    <w:rsid w:val="00D325BA"/>
    <w:rsid w:val="00D328DF"/>
    <w:rsid w:val="00D336D2"/>
    <w:rsid w:val="00D338DA"/>
    <w:rsid w:val="00D33C41"/>
    <w:rsid w:val="00D341C8"/>
    <w:rsid w:val="00D344FF"/>
    <w:rsid w:val="00D34CD1"/>
    <w:rsid w:val="00D351B7"/>
    <w:rsid w:val="00D35248"/>
    <w:rsid w:val="00D353AA"/>
    <w:rsid w:val="00D3567D"/>
    <w:rsid w:val="00D35BC1"/>
    <w:rsid w:val="00D362AE"/>
    <w:rsid w:val="00D3670A"/>
    <w:rsid w:val="00D36769"/>
    <w:rsid w:val="00D3680D"/>
    <w:rsid w:val="00D369F2"/>
    <w:rsid w:val="00D372BB"/>
    <w:rsid w:val="00D373B3"/>
    <w:rsid w:val="00D377A7"/>
    <w:rsid w:val="00D37D2D"/>
    <w:rsid w:val="00D40171"/>
    <w:rsid w:val="00D40778"/>
    <w:rsid w:val="00D407E3"/>
    <w:rsid w:val="00D4173A"/>
    <w:rsid w:val="00D417DE"/>
    <w:rsid w:val="00D42418"/>
    <w:rsid w:val="00D432A6"/>
    <w:rsid w:val="00D4353F"/>
    <w:rsid w:val="00D43AAE"/>
    <w:rsid w:val="00D43B76"/>
    <w:rsid w:val="00D43C2E"/>
    <w:rsid w:val="00D43F41"/>
    <w:rsid w:val="00D44846"/>
    <w:rsid w:val="00D44F52"/>
    <w:rsid w:val="00D45041"/>
    <w:rsid w:val="00D45310"/>
    <w:rsid w:val="00D454D8"/>
    <w:rsid w:val="00D45533"/>
    <w:rsid w:val="00D45576"/>
    <w:rsid w:val="00D457F6"/>
    <w:rsid w:val="00D465C7"/>
    <w:rsid w:val="00D466DF"/>
    <w:rsid w:val="00D46D1C"/>
    <w:rsid w:val="00D4727B"/>
    <w:rsid w:val="00D4767D"/>
    <w:rsid w:val="00D47E14"/>
    <w:rsid w:val="00D508DB"/>
    <w:rsid w:val="00D5276E"/>
    <w:rsid w:val="00D52D38"/>
    <w:rsid w:val="00D52FE3"/>
    <w:rsid w:val="00D53A0E"/>
    <w:rsid w:val="00D53B21"/>
    <w:rsid w:val="00D5453C"/>
    <w:rsid w:val="00D54AEC"/>
    <w:rsid w:val="00D54C9F"/>
    <w:rsid w:val="00D554F9"/>
    <w:rsid w:val="00D55531"/>
    <w:rsid w:val="00D55A3B"/>
    <w:rsid w:val="00D561C6"/>
    <w:rsid w:val="00D567C1"/>
    <w:rsid w:val="00D56D02"/>
    <w:rsid w:val="00D573C7"/>
    <w:rsid w:val="00D57440"/>
    <w:rsid w:val="00D57E64"/>
    <w:rsid w:val="00D57FDF"/>
    <w:rsid w:val="00D602F2"/>
    <w:rsid w:val="00D6053D"/>
    <w:rsid w:val="00D60969"/>
    <w:rsid w:val="00D60A31"/>
    <w:rsid w:val="00D61439"/>
    <w:rsid w:val="00D61F06"/>
    <w:rsid w:val="00D6212D"/>
    <w:rsid w:val="00D6256B"/>
    <w:rsid w:val="00D63DA4"/>
    <w:rsid w:val="00D645CC"/>
    <w:rsid w:val="00D64D17"/>
    <w:rsid w:val="00D64D63"/>
    <w:rsid w:val="00D64E3F"/>
    <w:rsid w:val="00D6538D"/>
    <w:rsid w:val="00D659B3"/>
    <w:rsid w:val="00D65B13"/>
    <w:rsid w:val="00D661E6"/>
    <w:rsid w:val="00D66978"/>
    <w:rsid w:val="00D6729F"/>
    <w:rsid w:val="00D677FA"/>
    <w:rsid w:val="00D67F72"/>
    <w:rsid w:val="00D70616"/>
    <w:rsid w:val="00D70AC2"/>
    <w:rsid w:val="00D716EB"/>
    <w:rsid w:val="00D71CE2"/>
    <w:rsid w:val="00D737D0"/>
    <w:rsid w:val="00D74928"/>
    <w:rsid w:val="00D74DC6"/>
    <w:rsid w:val="00D7514F"/>
    <w:rsid w:val="00D7534C"/>
    <w:rsid w:val="00D759C0"/>
    <w:rsid w:val="00D759D7"/>
    <w:rsid w:val="00D75CB1"/>
    <w:rsid w:val="00D76331"/>
    <w:rsid w:val="00D77746"/>
    <w:rsid w:val="00D77C1F"/>
    <w:rsid w:val="00D800DA"/>
    <w:rsid w:val="00D803AC"/>
    <w:rsid w:val="00D8136C"/>
    <w:rsid w:val="00D816F3"/>
    <w:rsid w:val="00D82038"/>
    <w:rsid w:val="00D822B4"/>
    <w:rsid w:val="00D823FD"/>
    <w:rsid w:val="00D8240D"/>
    <w:rsid w:val="00D825E1"/>
    <w:rsid w:val="00D8262E"/>
    <w:rsid w:val="00D82A00"/>
    <w:rsid w:val="00D82E7E"/>
    <w:rsid w:val="00D830EE"/>
    <w:rsid w:val="00D835F6"/>
    <w:rsid w:val="00D840F1"/>
    <w:rsid w:val="00D84577"/>
    <w:rsid w:val="00D84BA2"/>
    <w:rsid w:val="00D85A26"/>
    <w:rsid w:val="00D85BEB"/>
    <w:rsid w:val="00D85D8A"/>
    <w:rsid w:val="00D85E56"/>
    <w:rsid w:val="00D85EB4"/>
    <w:rsid w:val="00D85EC3"/>
    <w:rsid w:val="00D85F6B"/>
    <w:rsid w:val="00D86BEA"/>
    <w:rsid w:val="00D86DBD"/>
    <w:rsid w:val="00D873DA"/>
    <w:rsid w:val="00D87826"/>
    <w:rsid w:val="00D87DC4"/>
    <w:rsid w:val="00D901F8"/>
    <w:rsid w:val="00D917BD"/>
    <w:rsid w:val="00D91EE6"/>
    <w:rsid w:val="00D922CB"/>
    <w:rsid w:val="00D922FD"/>
    <w:rsid w:val="00D928E8"/>
    <w:rsid w:val="00D93064"/>
    <w:rsid w:val="00D938BF"/>
    <w:rsid w:val="00D9392C"/>
    <w:rsid w:val="00D94275"/>
    <w:rsid w:val="00D945D2"/>
    <w:rsid w:val="00D954FD"/>
    <w:rsid w:val="00D9551E"/>
    <w:rsid w:val="00D95F0E"/>
    <w:rsid w:val="00D96660"/>
    <w:rsid w:val="00D96E00"/>
    <w:rsid w:val="00DA0F40"/>
    <w:rsid w:val="00DA16B1"/>
    <w:rsid w:val="00DA1700"/>
    <w:rsid w:val="00DA1E33"/>
    <w:rsid w:val="00DA219E"/>
    <w:rsid w:val="00DA22D4"/>
    <w:rsid w:val="00DA2D4E"/>
    <w:rsid w:val="00DA2E85"/>
    <w:rsid w:val="00DA32D3"/>
    <w:rsid w:val="00DA3470"/>
    <w:rsid w:val="00DA3DFF"/>
    <w:rsid w:val="00DA4435"/>
    <w:rsid w:val="00DA46C3"/>
    <w:rsid w:val="00DA58B6"/>
    <w:rsid w:val="00DA5B99"/>
    <w:rsid w:val="00DA69BF"/>
    <w:rsid w:val="00DA6C1E"/>
    <w:rsid w:val="00DA74CB"/>
    <w:rsid w:val="00DB030B"/>
    <w:rsid w:val="00DB0AAF"/>
    <w:rsid w:val="00DB1462"/>
    <w:rsid w:val="00DB18CC"/>
    <w:rsid w:val="00DB1D3E"/>
    <w:rsid w:val="00DB1E66"/>
    <w:rsid w:val="00DB224D"/>
    <w:rsid w:val="00DB2D16"/>
    <w:rsid w:val="00DB30F7"/>
    <w:rsid w:val="00DB3364"/>
    <w:rsid w:val="00DB38E8"/>
    <w:rsid w:val="00DB3CC7"/>
    <w:rsid w:val="00DB3E64"/>
    <w:rsid w:val="00DB3F68"/>
    <w:rsid w:val="00DB46E6"/>
    <w:rsid w:val="00DB4A3F"/>
    <w:rsid w:val="00DB4C64"/>
    <w:rsid w:val="00DB5D1B"/>
    <w:rsid w:val="00DB6356"/>
    <w:rsid w:val="00DB67ED"/>
    <w:rsid w:val="00DB7241"/>
    <w:rsid w:val="00DB7B35"/>
    <w:rsid w:val="00DC038F"/>
    <w:rsid w:val="00DC0AB6"/>
    <w:rsid w:val="00DC0E67"/>
    <w:rsid w:val="00DC128B"/>
    <w:rsid w:val="00DC139B"/>
    <w:rsid w:val="00DC280D"/>
    <w:rsid w:val="00DC2979"/>
    <w:rsid w:val="00DC311C"/>
    <w:rsid w:val="00DC3465"/>
    <w:rsid w:val="00DC35CB"/>
    <w:rsid w:val="00DC3C86"/>
    <w:rsid w:val="00DC3E62"/>
    <w:rsid w:val="00DC43B4"/>
    <w:rsid w:val="00DC4F36"/>
    <w:rsid w:val="00DC5490"/>
    <w:rsid w:val="00DC5559"/>
    <w:rsid w:val="00DC555F"/>
    <w:rsid w:val="00DC591A"/>
    <w:rsid w:val="00DC6073"/>
    <w:rsid w:val="00DC66F5"/>
    <w:rsid w:val="00DC6DFA"/>
    <w:rsid w:val="00DC7198"/>
    <w:rsid w:val="00DC731B"/>
    <w:rsid w:val="00DC78FF"/>
    <w:rsid w:val="00DC795F"/>
    <w:rsid w:val="00DD017E"/>
    <w:rsid w:val="00DD01C1"/>
    <w:rsid w:val="00DD0C01"/>
    <w:rsid w:val="00DD1F15"/>
    <w:rsid w:val="00DD1FFE"/>
    <w:rsid w:val="00DD2166"/>
    <w:rsid w:val="00DD2F93"/>
    <w:rsid w:val="00DD3822"/>
    <w:rsid w:val="00DD3896"/>
    <w:rsid w:val="00DD45F3"/>
    <w:rsid w:val="00DD4D3C"/>
    <w:rsid w:val="00DD5161"/>
    <w:rsid w:val="00DD5221"/>
    <w:rsid w:val="00DD5440"/>
    <w:rsid w:val="00DD66D9"/>
    <w:rsid w:val="00DD7079"/>
    <w:rsid w:val="00DD7338"/>
    <w:rsid w:val="00DD7885"/>
    <w:rsid w:val="00DD799B"/>
    <w:rsid w:val="00DD7EC7"/>
    <w:rsid w:val="00DE01DD"/>
    <w:rsid w:val="00DE0205"/>
    <w:rsid w:val="00DE12A7"/>
    <w:rsid w:val="00DE1569"/>
    <w:rsid w:val="00DE16A0"/>
    <w:rsid w:val="00DE173C"/>
    <w:rsid w:val="00DE1A44"/>
    <w:rsid w:val="00DE208C"/>
    <w:rsid w:val="00DE2334"/>
    <w:rsid w:val="00DE276E"/>
    <w:rsid w:val="00DE2D91"/>
    <w:rsid w:val="00DE3143"/>
    <w:rsid w:val="00DE3426"/>
    <w:rsid w:val="00DE360B"/>
    <w:rsid w:val="00DE39D1"/>
    <w:rsid w:val="00DE4237"/>
    <w:rsid w:val="00DE44FF"/>
    <w:rsid w:val="00DE5627"/>
    <w:rsid w:val="00DE5690"/>
    <w:rsid w:val="00DE59C2"/>
    <w:rsid w:val="00DE59C6"/>
    <w:rsid w:val="00DE5E86"/>
    <w:rsid w:val="00DE61BE"/>
    <w:rsid w:val="00DE64C5"/>
    <w:rsid w:val="00DE6B8B"/>
    <w:rsid w:val="00DE702E"/>
    <w:rsid w:val="00DE725C"/>
    <w:rsid w:val="00DE7790"/>
    <w:rsid w:val="00DF1747"/>
    <w:rsid w:val="00DF2347"/>
    <w:rsid w:val="00DF24D3"/>
    <w:rsid w:val="00DF27CC"/>
    <w:rsid w:val="00DF3241"/>
    <w:rsid w:val="00DF3B80"/>
    <w:rsid w:val="00DF3D8B"/>
    <w:rsid w:val="00DF4ABA"/>
    <w:rsid w:val="00DF5130"/>
    <w:rsid w:val="00DF5BB9"/>
    <w:rsid w:val="00DF5F00"/>
    <w:rsid w:val="00DF60D5"/>
    <w:rsid w:val="00DF6610"/>
    <w:rsid w:val="00DF6F5F"/>
    <w:rsid w:val="00DF7452"/>
    <w:rsid w:val="00DF766B"/>
    <w:rsid w:val="00E00515"/>
    <w:rsid w:val="00E007B9"/>
    <w:rsid w:val="00E00801"/>
    <w:rsid w:val="00E00A46"/>
    <w:rsid w:val="00E00A5D"/>
    <w:rsid w:val="00E00BFD"/>
    <w:rsid w:val="00E00DC7"/>
    <w:rsid w:val="00E01700"/>
    <w:rsid w:val="00E018A3"/>
    <w:rsid w:val="00E01F73"/>
    <w:rsid w:val="00E023A0"/>
    <w:rsid w:val="00E02D5B"/>
    <w:rsid w:val="00E031E6"/>
    <w:rsid w:val="00E03AB7"/>
    <w:rsid w:val="00E03B60"/>
    <w:rsid w:val="00E0446D"/>
    <w:rsid w:val="00E045E2"/>
    <w:rsid w:val="00E04643"/>
    <w:rsid w:val="00E04BF9"/>
    <w:rsid w:val="00E04D32"/>
    <w:rsid w:val="00E04F99"/>
    <w:rsid w:val="00E05166"/>
    <w:rsid w:val="00E051B9"/>
    <w:rsid w:val="00E05CED"/>
    <w:rsid w:val="00E05DA3"/>
    <w:rsid w:val="00E06038"/>
    <w:rsid w:val="00E060E7"/>
    <w:rsid w:val="00E06253"/>
    <w:rsid w:val="00E06A58"/>
    <w:rsid w:val="00E06C8B"/>
    <w:rsid w:val="00E06DF6"/>
    <w:rsid w:val="00E07289"/>
    <w:rsid w:val="00E079BD"/>
    <w:rsid w:val="00E07AED"/>
    <w:rsid w:val="00E07EFC"/>
    <w:rsid w:val="00E1049D"/>
    <w:rsid w:val="00E1099C"/>
    <w:rsid w:val="00E10B06"/>
    <w:rsid w:val="00E11593"/>
    <w:rsid w:val="00E117F6"/>
    <w:rsid w:val="00E11C29"/>
    <w:rsid w:val="00E11E5A"/>
    <w:rsid w:val="00E11E6D"/>
    <w:rsid w:val="00E11E81"/>
    <w:rsid w:val="00E131AC"/>
    <w:rsid w:val="00E1347F"/>
    <w:rsid w:val="00E1358B"/>
    <w:rsid w:val="00E13B9E"/>
    <w:rsid w:val="00E14298"/>
    <w:rsid w:val="00E1441A"/>
    <w:rsid w:val="00E146EA"/>
    <w:rsid w:val="00E14B63"/>
    <w:rsid w:val="00E15FFC"/>
    <w:rsid w:val="00E16142"/>
    <w:rsid w:val="00E16764"/>
    <w:rsid w:val="00E16B43"/>
    <w:rsid w:val="00E16C5E"/>
    <w:rsid w:val="00E20051"/>
    <w:rsid w:val="00E20226"/>
    <w:rsid w:val="00E203BD"/>
    <w:rsid w:val="00E21227"/>
    <w:rsid w:val="00E21293"/>
    <w:rsid w:val="00E216D7"/>
    <w:rsid w:val="00E219D7"/>
    <w:rsid w:val="00E21CBD"/>
    <w:rsid w:val="00E21E1A"/>
    <w:rsid w:val="00E2201A"/>
    <w:rsid w:val="00E226D8"/>
    <w:rsid w:val="00E22C8B"/>
    <w:rsid w:val="00E23A7C"/>
    <w:rsid w:val="00E23AAF"/>
    <w:rsid w:val="00E2469A"/>
    <w:rsid w:val="00E2562B"/>
    <w:rsid w:val="00E25F19"/>
    <w:rsid w:val="00E262FC"/>
    <w:rsid w:val="00E269F2"/>
    <w:rsid w:val="00E26D81"/>
    <w:rsid w:val="00E26E2A"/>
    <w:rsid w:val="00E27436"/>
    <w:rsid w:val="00E2777B"/>
    <w:rsid w:val="00E27B33"/>
    <w:rsid w:val="00E30298"/>
    <w:rsid w:val="00E302AF"/>
    <w:rsid w:val="00E305B2"/>
    <w:rsid w:val="00E312CA"/>
    <w:rsid w:val="00E31BA4"/>
    <w:rsid w:val="00E31C3C"/>
    <w:rsid w:val="00E31F8D"/>
    <w:rsid w:val="00E32187"/>
    <w:rsid w:val="00E32E92"/>
    <w:rsid w:val="00E33335"/>
    <w:rsid w:val="00E3334D"/>
    <w:rsid w:val="00E341B6"/>
    <w:rsid w:val="00E34E7C"/>
    <w:rsid w:val="00E3653A"/>
    <w:rsid w:val="00E36BF1"/>
    <w:rsid w:val="00E37F4F"/>
    <w:rsid w:val="00E4074B"/>
    <w:rsid w:val="00E40E2E"/>
    <w:rsid w:val="00E415D6"/>
    <w:rsid w:val="00E41D5B"/>
    <w:rsid w:val="00E42228"/>
    <w:rsid w:val="00E4286E"/>
    <w:rsid w:val="00E42898"/>
    <w:rsid w:val="00E42A8D"/>
    <w:rsid w:val="00E42B18"/>
    <w:rsid w:val="00E4316A"/>
    <w:rsid w:val="00E439CF"/>
    <w:rsid w:val="00E43A29"/>
    <w:rsid w:val="00E43ABF"/>
    <w:rsid w:val="00E43D5F"/>
    <w:rsid w:val="00E44019"/>
    <w:rsid w:val="00E44330"/>
    <w:rsid w:val="00E44EEC"/>
    <w:rsid w:val="00E454AC"/>
    <w:rsid w:val="00E45849"/>
    <w:rsid w:val="00E45B4E"/>
    <w:rsid w:val="00E45FE1"/>
    <w:rsid w:val="00E46098"/>
    <w:rsid w:val="00E464CE"/>
    <w:rsid w:val="00E4662B"/>
    <w:rsid w:val="00E46BFB"/>
    <w:rsid w:val="00E46EA4"/>
    <w:rsid w:val="00E47150"/>
    <w:rsid w:val="00E47303"/>
    <w:rsid w:val="00E473FC"/>
    <w:rsid w:val="00E476C6"/>
    <w:rsid w:val="00E50008"/>
    <w:rsid w:val="00E500C5"/>
    <w:rsid w:val="00E502EC"/>
    <w:rsid w:val="00E50681"/>
    <w:rsid w:val="00E509D8"/>
    <w:rsid w:val="00E510EE"/>
    <w:rsid w:val="00E51F61"/>
    <w:rsid w:val="00E52052"/>
    <w:rsid w:val="00E52F6C"/>
    <w:rsid w:val="00E536E2"/>
    <w:rsid w:val="00E5394B"/>
    <w:rsid w:val="00E541E5"/>
    <w:rsid w:val="00E54ABC"/>
    <w:rsid w:val="00E54C3A"/>
    <w:rsid w:val="00E55955"/>
    <w:rsid w:val="00E561E4"/>
    <w:rsid w:val="00E5649B"/>
    <w:rsid w:val="00E565B1"/>
    <w:rsid w:val="00E56F8A"/>
    <w:rsid w:val="00E57467"/>
    <w:rsid w:val="00E57DC4"/>
    <w:rsid w:val="00E610BC"/>
    <w:rsid w:val="00E61576"/>
    <w:rsid w:val="00E61D95"/>
    <w:rsid w:val="00E625CA"/>
    <w:rsid w:val="00E6380B"/>
    <w:rsid w:val="00E63923"/>
    <w:rsid w:val="00E645DF"/>
    <w:rsid w:val="00E64D1F"/>
    <w:rsid w:val="00E64D93"/>
    <w:rsid w:val="00E651BA"/>
    <w:rsid w:val="00E655BC"/>
    <w:rsid w:val="00E65CC2"/>
    <w:rsid w:val="00E65F55"/>
    <w:rsid w:val="00E66050"/>
    <w:rsid w:val="00E6620A"/>
    <w:rsid w:val="00E66253"/>
    <w:rsid w:val="00E677A0"/>
    <w:rsid w:val="00E678B2"/>
    <w:rsid w:val="00E70DCD"/>
    <w:rsid w:val="00E727B2"/>
    <w:rsid w:val="00E72E55"/>
    <w:rsid w:val="00E7329C"/>
    <w:rsid w:val="00E73527"/>
    <w:rsid w:val="00E73B5B"/>
    <w:rsid w:val="00E73B8D"/>
    <w:rsid w:val="00E74545"/>
    <w:rsid w:val="00E747A5"/>
    <w:rsid w:val="00E75D7B"/>
    <w:rsid w:val="00E76094"/>
    <w:rsid w:val="00E7643B"/>
    <w:rsid w:val="00E802A6"/>
    <w:rsid w:val="00E8062D"/>
    <w:rsid w:val="00E80CD2"/>
    <w:rsid w:val="00E81A57"/>
    <w:rsid w:val="00E82669"/>
    <w:rsid w:val="00E82A93"/>
    <w:rsid w:val="00E82FC9"/>
    <w:rsid w:val="00E830D6"/>
    <w:rsid w:val="00E83541"/>
    <w:rsid w:val="00E8411A"/>
    <w:rsid w:val="00E8447D"/>
    <w:rsid w:val="00E85186"/>
    <w:rsid w:val="00E85B71"/>
    <w:rsid w:val="00E85BD2"/>
    <w:rsid w:val="00E85DA6"/>
    <w:rsid w:val="00E866DF"/>
    <w:rsid w:val="00E867CD"/>
    <w:rsid w:val="00E86A28"/>
    <w:rsid w:val="00E86E2A"/>
    <w:rsid w:val="00E86FFF"/>
    <w:rsid w:val="00E872CD"/>
    <w:rsid w:val="00E8732C"/>
    <w:rsid w:val="00E907FD"/>
    <w:rsid w:val="00E9138C"/>
    <w:rsid w:val="00E91DE4"/>
    <w:rsid w:val="00E91E9F"/>
    <w:rsid w:val="00E920B8"/>
    <w:rsid w:val="00E9232A"/>
    <w:rsid w:val="00E940EF"/>
    <w:rsid w:val="00E958B7"/>
    <w:rsid w:val="00E95D37"/>
    <w:rsid w:val="00E95F6C"/>
    <w:rsid w:val="00E961A0"/>
    <w:rsid w:val="00E961A7"/>
    <w:rsid w:val="00E963FA"/>
    <w:rsid w:val="00E965A8"/>
    <w:rsid w:val="00E96B7B"/>
    <w:rsid w:val="00E97355"/>
    <w:rsid w:val="00E97726"/>
    <w:rsid w:val="00EA0533"/>
    <w:rsid w:val="00EA0574"/>
    <w:rsid w:val="00EA0E8C"/>
    <w:rsid w:val="00EA178D"/>
    <w:rsid w:val="00EA1F7D"/>
    <w:rsid w:val="00EA2039"/>
    <w:rsid w:val="00EA25FB"/>
    <w:rsid w:val="00EA27BA"/>
    <w:rsid w:val="00EA2999"/>
    <w:rsid w:val="00EA3096"/>
    <w:rsid w:val="00EA3C0E"/>
    <w:rsid w:val="00EA3D00"/>
    <w:rsid w:val="00EA433B"/>
    <w:rsid w:val="00EA43CE"/>
    <w:rsid w:val="00EA443F"/>
    <w:rsid w:val="00EA49B4"/>
    <w:rsid w:val="00EA5082"/>
    <w:rsid w:val="00EA51D8"/>
    <w:rsid w:val="00EA5AEC"/>
    <w:rsid w:val="00EA5BB8"/>
    <w:rsid w:val="00EA5DC6"/>
    <w:rsid w:val="00EA62E5"/>
    <w:rsid w:val="00EA640F"/>
    <w:rsid w:val="00EA72D6"/>
    <w:rsid w:val="00EA757F"/>
    <w:rsid w:val="00EA7D9C"/>
    <w:rsid w:val="00EB0C7B"/>
    <w:rsid w:val="00EB0FC1"/>
    <w:rsid w:val="00EB129F"/>
    <w:rsid w:val="00EB18FE"/>
    <w:rsid w:val="00EB1A62"/>
    <w:rsid w:val="00EB1CBA"/>
    <w:rsid w:val="00EB20CF"/>
    <w:rsid w:val="00EB2AAE"/>
    <w:rsid w:val="00EB2B1C"/>
    <w:rsid w:val="00EB361E"/>
    <w:rsid w:val="00EB37D7"/>
    <w:rsid w:val="00EB3B06"/>
    <w:rsid w:val="00EB41ED"/>
    <w:rsid w:val="00EB4934"/>
    <w:rsid w:val="00EB4B2E"/>
    <w:rsid w:val="00EB4BA3"/>
    <w:rsid w:val="00EB563F"/>
    <w:rsid w:val="00EB5835"/>
    <w:rsid w:val="00EB58B5"/>
    <w:rsid w:val="00EB58FF"/>
    <w:rsid w:val="00EB5CB7"/>
    <w:rsid w:val="00EB5D23"/>
    <w:rsid w:val="00EB69C2"/>
    <w:rsid w:val="00EB72D7"/>
    <w:rsid w:val="00EB7312"/>
    <w:rsid w:val="00EB75B8"/>
    <w:rsid w:val="00EB7C43"/>
    <w:rsid w:val="00EB7D08"/>
    <w:rsid w:val="00EC0076"/>
    <w:rsid w:val="00EC013D"/>
    <w:rsid w:val="00EC02CA"/>
    <w:rsid w:val="00EC02F3"/>
    <w:rsid w:val="00EC0462"/>
    <w:rsid w:val="00EC04B4"/>
    <w:rsid w:val="00EC0504"/>
    <w:rsid w:val="00EC06A2"/>
    <w:rsid w:val="00EC0AD0"/>
    <w:rsid w:val="00EC12F6"/>
    <w:rsid w:val="00EC25E7"/>
    <w:rsid w:val="00EC263A"/>
    <w:rsid w:val="00EC2CF7"/>
    <w:rsid w:val="00EC2D6D"/>
    <w:rsid w:val="00EC2E8C"/>
    <w:rsid w:val="00EC3DF9"/>
    <w:rsid w:val="00EC4412"/>
    <w:rsid w:val="00EC448B"/>
    <w:rsid w:val="00EC4CE3"/>
    <w:rsid w:val="00EC4F46"/>
    <w:rsid w:val="00EC4F68"/>
    <w:rsid w:val="00EC61B2"/>
    <w:rsid w:val="00EC6744"/>
    <w:rsid w:val="00EC67F1"/>
    <w:rsid w:val="00EC7528"/>
    <w:rsid w:val="00EC774F"/>
    <w:rsid w:val="00EC78CD"/>
    <w:rsid w:val="00EC79C7"/>
    <w:rsid w:val="00ED002F"/>
    <w:rsid w:val="00ED0245"/>
    <w:rsid w:val="00ED067E"/>
    <w:rsid w:val="00ED0BA2"/>
    <w:rsid w:val="00ED0BD5"/>
    <w:rsid w:val="00ED20DC"/>
    <w:rsid w:val="00ED231C"/>
    <w:rsid w:val="00ED25E2"/>
    <w:rsid w:val="00ED321D"/>
    <w:rsid w:val="00ED4019"/>
    <w:rsid w:val="00ED40F3"/>
    <w:rsid w:val="00ED49F9"/>
    <w:rsid w:val="00ED4C7E"/>
    <w:rsid w:val="00ED61FE"/>
    <w:rsid w:val="00ED620B"/>
    <w:rsid w:val="00ED6364"/>
    <w:rsid w:val="00ED65E7"/>
    <w:rsid w:val="00ED66BD"/>
    <w:rsid w:val="00ED66F2"/>
    <w:rsid w:val="00ED715D"/>
    <w:rsid w:val="00ED7393"/>
    <w:rsid w:val="00ED750A"/>
    <w:rsid w:val="00EE0098"/>
    <w:rsid w:val="00EE0112"/>
    <w:rsid w:val="00EE0CBF"/>
    <w:rsid w:val="00EE17F6"/>
    <w:rsid w:val="00EE1805"/>
    <w:rsid w:val="00EE187A"/>
    <w:rsid w:val="00EE22CF"/>
    <w:rsid w:val="00EE2E04"/>
    <w:rsid w:val="00EE30E3"/>
    <w:rsid w:val="00EE4407"/>
    <w:rsid w:val="00EE4B89"/>
    <w:rsid w:val="00EE4F11"/>
    <w:rsid w:val="00EE50EB"/>
    <w:rsid w:val="00EE5660"/>
    <w:rsid w:val="00EE5EE8"/>
    <w:rsid w:val="00EE5F91"/>
    <w:rsid w:val="00EE6701"/>
    <w:rsid w:val="00EE67DA"/>
    <w:rsid w:val="00EE6E91"/>
    <w:rsid w:val="00EE7701"/>
    <w:rsid w:val="00EE77B6"/>
    <w:rsid w:val="00EE7866"/>
    <w:rsid w:val="00EE7A9A"/>
    <w:rsid w:val="00EF06D7"/>
    <w:rsid w:val="00EF0F1A"/>
    <w:rsid w:val="00EF1726"/>
    <w:rsid w:val="00EF193A"/>
    <w:rsid w:val="00EF1C26"/>
    <w:rsid w:val="00EF1D23"/>
    <w:rsid w:val="00EF2518"/>
    <w:rsid w:val="00EF2C1C"/>
    <w:rsid w:val="00EF3729"/>
    <w:rsid w:val="00EF3F4C"/>
    <w:rsid w:val="00EF436E"/>
    <w:rsid w:val="00EF4548"/>
    <w:rsid w:val="00EF4DA5"/>
    <w:rsid w:val="00EF56A6"/>
    <w:rsid w:val="00EF586F"/>
    <w:rsid w:val="00EF5AF9"/>
    <w:rsid w:val="00EF5E08"/>
    <w:rsid w:val="00EF68FC"/>
    <w:rsid w:val="00EF7123"/>
    <w:rsid w:val="00EF7D98"/>
    <w:rsid w:val="00EF7DBC"/>
    <w:rsid w:val="00F00D82"/>
    <w:rsid w:val="00F00E7F"/>
    <w:rsid w:val="00F0159A"/>
    <w:rsid w:val="00F01877"/>
    <w:rsid w:val="00F01C32"/>
    <w:rsid w:val="00F01CBE"/>
    <w:rsid w:val="00F01F39"/>
    <w:rsid w:val="00F0263A"/>
    <w:rsid w:val="00F0381B"/>
    <w:rsid w:val="00F03967"/>
    <w:rsid w:val="00F03A42"/>
    <w:rsid w:val="00F04137"/>
    <w:rsid w:val="00F0448B"/>
    <w:rsid w:val="00F047D6"/>
    <w:rsid w:val="00F04EFF"/>
    <w:rsid w:val="00F0507A"/>
    <w:rsid w:val="00F0511C"/>
    <w:rsid w:val="00F06419"/>
    <w:rsid w:val="00F064A4"/>
    <w:rsid w:val="00F0674D"/>
    <w:rsid w:val="00F0689C"/>
    <w:rsid w:val="00F06964"/>
    <w:rsid w:val="00F06967"/>
    <w:rsid w:val="00F06B2A"/>
    <w:rsid w:val="00F07303"/>
    <w:rsid w:val="00F077B1"/>
    <w:rsid w:val="00F078E7"/>
    <w:rsid w:val="00F07A3B"/>
    <w:rsid w:val="00F102EF"/>
    <w:rsid w:val="00F10331"/>
    <w:rsid w:val="00F10374"/>
    <w:rsid w:val="00F10876"/>
    <w:rsid w:val="00F10A5F"/>
    <w:rsid w:val="00F11263"/>
    <w:rsid w:val="00F1171D"/>
    <w:rsid w:val="00F118B4"/>
    <w:rsid w:val="00F118DB"/>
    <w:rsid w:val="00F11D77"/>
    <w:rsid w:val="00F126C5"/>
    <w:rsid w:val="00F12A63"/>
    <w:rsid w:val="00F13543"/>
    <w:rsid w:val="00F135F1"/>
    <w:rsid w:val="00F136F3"/>
    <w:rsid w:val="00F13A5B"/>
    <w:rsid w:val="00F13E3F"/>
    <w:rsid w:val="00F13EA6"/>
    <w:rsid w:val="00F1407C"/>
    <w:rsid w:val="00F141E7"/>
    <w:rsid w:val="00F14587"/>
    <w:rsid w:val="00F1468D"/>
    <w:rsid w:val="00F14BBC"/>
    <w:rsid w:val="00F14E83"/>
    <w:rsid w:val="00F154F6"/>
    <w:rsid w:val="00F1561A"/>
    <w:rsid w:val="00F15C44"/>
    <w:rsid w:val="00F1653D"/>
    <w:rsid w:val="00F16BE5"/>
    <w:rsid w:val="00F1744D"/>
    <w:rsid w:val="00F17EDA"/>
    <w:rsid w:val="00F17F0C"/>
    <w:rsid w:val="00F17F72"/>
    <w:rsid w:val="00F203BE"/>
    <w:rsid w:val="00F209B1"/>
    <w:rsid w:val="00F209B3"/>
    <w:rsid w:val="00F20B15"/>
    <w:rsid w:val="00F20F3B"/>
    <w:rsid w:val="00F20FE0"/>
    <w:rsid w:val="00F2163C"/>
    <w:rsid w:val="00F21A71"/>
    <w:rsid w:val="00F2242D"/>
    <w:rsid w:val="00F225DD"/>
    <w:rsid w:val="00F22C4E"/>
    <w:rsid w:val="00F22C68"/>
    <w:rsid w:val="00F22F9C"/>
    <w:rsid w:val="00F23019"/>
    <w:rsid w:val="00F238EF"/>
    <w:rsid w:val="00F24803"/>
    <w:rsid w:val="00F24B86"/>
    <w:rsid w:val="00F24BFB"/>
    <w:rsid w:val="00F24EAD"/>
    <w:rsid w:val="00F24F3B"/>
    <w:rsid w:val="00F25821"/>
    <w:rsid w:val="00F25A70"/>
    <w:rsid w:val="00F25E0A"/>
    <w:rsid w:val="00F262CB"/>
    <w:rsid w:val="00F263AD"/>
    <w:rsid w:val="00F268AF"/>
    <w:rsid w:val="00F26D5D"/>
    <w:rsid w:val="00F26E60"/>
    <w:rsid w:val="00F27617"/>
    <w:rsid w:val="00F278A5"/>
    <w:rsid w:val="00F30457"/>
    <w:rsid w:val="00F30E67"/>
    <w:rsid w:val="00F311D8"/>
    <w:rsid w:val="00F316E5"/>
    <w:rsid w:val="00F31EFD"/>
    <w:rsid w:val="00F32481"/>
    <w:rsid w:val="00F3277B"/>
    <w:rsid w:val="00F3315F"/>
    <w:rsid w:val="00F33376"/>
    <w:rsid w:val="00F3460E"/>
    <w:rsid w:val="00F34F75"/>
    <w:rsid w:val="00F34F7B"/>
    <w:rsid w:val="00F3501A"/>
    <w:rsid w:val="00F3536F"/>
    <w:rsid w:val="00F35C7F"/>
    <w:rsid w:val="00F3602D"/>
    <w:rsid w:val="00F36153"/>
    <w:rsid w:val="00F36171"/>
    <w:rsid w:val="00F3666F"/>
    <w:rsid w:val="00F36C8B"/>
    <w:rsid w:val="00F36D82"/>
    <w:rsid w:val="00F36EC6"/>
    <w:rsid w:val="00F36FB0"/>
    <w:rsid w:val="00F3714F"/>
    <w:rsid w:val="00F379A8"/>
    <w:rsid w:val="00F37A95"/>
    <w:rsid w:val="00F406F4"/>
    <w:rsid w:val="00F40E70"/>
    <w:rsid w:val="00F414A7"/>
    <w:rsid w:val="00F41673"/>
    <w:rsid w:val="00F4205D"/>
    <w:rsid w:val="00F423A0"/>
    <w:rsid w:val="00F42D96"/>
    <w:rsid w:val="00F43058"/>
    <w:rsid w:val="00F433B0"/>
    <w:rsid w:val="00F43443"/>
    <w:rsid w:val="00F436C3"/>
    <w:rsid w:val="00F441F8"/>
    <w:rsid w:val="00F44798"/>
    <w:rsid w:val="00F45852"/>
    <w:rsid w:val="00F45F24"/>
    <w:rsid w:val="00F46913"/>
    <w:rsid w:val="00F46A8E"/>
    <w:rsid w:val="00F46E45"/>
    <w:rsid w:val="00F476F4"/>
    <w:rsid w:val="00F47760"/>
    <w:rsid w:val="00F47848"/>
    <w:rsid w:val="00F5146D"/>
    <w:rsid w:val="00F516FC"/>
    <w:rsid w:val="00F51D03"/>
    <w:rsid w:val="00F51ECD"/>
    <w:rsid w:val="00F520C2"/>
    <w:rsid w:val="00F525D4"/>
    <w:rsid w:val="00F52865"/>
    <w:rsid w:val="00F52869"/>
    <w:rsid w:val="00F530C8"/>
    <w:rsid w:val="00F53166"/>
    <w:rsid w:val="00F53D1F"/>
    <w:rsid w:val="00F5463F"/>
    <w:rsid w:val="00F5466B"/>
    <w:rsid w:val="00F5494D"/>
    <w:rsid w:val="00F552EC"/>
    <w:rsid w:val="00F5561D"/>
    <w:rsid w:val="00F572DC"/>
    <w:rsid w:val="00F573CD"/>
    <w:rsid w:val="00F57C55"/>
    <w:rsid w:val="00F60225"/>
    <w:rsid w:val="00F605F3"/>
    <w:rsid w:val="00F60766"/>
    <w:rsid w:val="00F60EB5"/>
    <w:rsid w:val="00F61035"/>
    <w:rsid w:val="00F611BB"/>
    <w:rsid w:val="00F61ACC"/>
    <w:rsid w:val="00F6243B"/>
    <w:rsid w:val="00F62552"/>
    <w:rsid w:val="00F62ADF"/>
    <w:rsid w:val="00F62F43"/>
    <w:rsid w:val="00F63168"/>
    <w:rsid w:val="00F63253"/>
    <w:rsid w:val="00F63B63"/>
    <w:rsid w:val="00F640F7"/>
    <w:rsid w:val="00F642B0"/>
    <w:rsid w:val="00F642CB"/>
    <w:rsid w:val="00F6443D"/>
    <w:rsid w:val="00F64C7A"/>
    <w:rsid w:val="00F64D09"/>
    <w:rsid w:val="00F64D20"/>
    <w:rsid w:val="00F650DA"/>
    <w:rsid w:val="00F65130"/>
    <w:rsid w:val="00F65DAC"/>
    <w:rsid w:val="00F66629"/>
    <w:rsid w:val="00F668D4"/>
    <w:rsid w:val="00F66AFF"/>
    <w:rsid w:val="00F66F53"/>
    <w:rsid w:val="00F670F2"/>
    <w:rsid w:val="00F672F4"/>
    <w:rsid w:val="00F675B3"/>
    <w:rsid w:val="00F676F6"/>
    <w:rsid w:val="00F67E40"/>
    <w:rsid w:val="00F701F7"/>
    <w:rsid w:val="00F720AF"/>
    <w:rsid w:val="00F72AC7"/>
    <w:rsid w:val="00F7321B"/>
    <w:rsid w:val="00F73364"/>
    <w:rsid w:val="00F73A6B"/>
    <w:rsid w:val="00F73C5C"/>
    <w:rsid w:val="00F73F98"/>
    <w:rsid w:val="00F7433F"/>
    <w:rsid w:val="00F74A02"/>
    <w:rsid w:val="00F74B1F"/>
    <w:rsid w:val="00F7510B"/>
    <w:rsid w:val="00F752A0"/>
    <w:rsid w:val="00F752C2"/>
    <w:rsid w:val="00F75F1C"/>
    <w:rsid w:val="00F764A4"/>
    <w:rsid w:val="00F764BF"/>
    <w:rsid w:val="00F779D5"/>
    <w:rsid w:val="00F80127"/>
    <w:rsid w:val="00F8040E"/>
    <w:rsid w:val="00F80946"/>
    <w:rsid w:val="00F80989"/>
    <w:rsid w:val="00F80E4E"/>
    <w:rsid w:val="00F8109F"/>
    <w:rsid w:val="00F81C1E"/>
    <w:rsid w:val="00F821C9"/>
    <w:rsid w:val="00F823DE"/>
    <w:rsid w:val="00F82BEE"/>
    <w:rsid w:val="00F830EF"/>
    <w:rsid w:val="00F8316D"/>
    <w:rsid w:val="00F8341B"/>
    <w:rsid w:val="00F83D0A"/>
    <w:rsid w:val="00F83E0B"/>
    <w:rsid w:val="00F84B69"/>
    <w:rsid w:val="00F84CE1"/>
    <w:rsid w:val="00F854F5"/>
    <w:rsid w:val="00F855D0"/>
    <w:rsid w:val="00F8597C"/>
    <w:rsid w:val="00F85B81"/>
    <w:rsid w:val="00F85D2B"/>
    <w:rsid w:val="00F85F34"/>
    <w:rsid w:val="00F8641A"/>
    <w:rsid w:val="00F864E1"/>
    <w:rsid w:val="00F87331"/>
    <w:rsid w:val="00F87843"/>
    <w:rsid w:val="00F90295"/>
    <w:rsid w:val="00F9043A"/>
    <w:rsid w:val="00F90627"/>
    <w:rsid w:val="00F90BAC"/>
    <w:rsid w:val="00F91364"/>
    <w:rsid w:val="00F9290F"/>
    <w:rsid w:val="00F92CA4"/>
    <w:rsid w:val="00F92CE0"/>
    <w:rsid w:val="00F936C6"/>
    <w:rsid w:val="00F93A73"/>
    <w:rsid w:val="00F93DA1"/>
    <w:rsid w:val="00F940EA"/>
    <w:rsid w:val="00F94866"/>
    <w:rsid w:val="00F948F3"/>
    <w:rsid w:val="00F94E5D"/>
    <w:rsid w:val="00F95027"/>
    <w:rsid w:val="00F950DE"/>
    <w:rsid w:val="00F9516F"/>
    <w:rsid w:val="00F9536F"/>
    <w:rsid w:val="00F959F7"/>
    <w:rsid w:val="00F95B8E"/>
    <w:rsid w:val="00F95E06"/>
    <w:rsid w:val="00F95E2B"/>
    <w:rsid w:val="00F9637F"/>
    <w:rsid w:val="00F96762"/>
    <w:rsid w:val="00F97082"/>
    <w:rsid w:val="00F979F4"/>
    <w:rsid w:val="00FA000B"/>
    <w:rsid w:val="00FA0420"/>
    <w:rsid w:val="00FA0491"/>
    <w:rsid w:val="00FA1BD2"/>
    <w:rsid w:val="00FA204A"/>
    <w:rsid w:val="00FA27AE"/>
    <w:rsid w:val="00FA2DEB"/>
    <w:rsid w:val="00FA32A0"/>
    <w:rsid w:val="00FA3753"/>
    <w:rsid w:val="00FA3ABA"/>
    <w:rsid w:val="00FA3FB7"/>
    <w:rsid w:val="00FA4622"/>
    <w:rsid w:val="00FA4A4F"/>
    <w:rsid w:val="00FA4B64"/>
    <w:rsid w:val="00FA4F1E"/>
    <w:rsid w:val="00FA4F7F"/>
    <w:rsid w:val="00FA59AC"/>
    <w:rsid w:val="00FA5D0A"/>
    <w:rsid w:val="00FA5F00"/>
    <w:rsid w:val="00FA5F3F"/>
    <w:rsid w:val="00FA6295"/>
    <w:rsid w:val="00FA7348"/>
    <w:rsid w:val="00FA741D"/>
    <w:rsid w:val="00FA7FB9"/>
    <w:rsid w:val="00FB03FB"/>
    <w:rsid w:val="00FB06A0"/>
    <w:rsid w:val="00FB1CCE"/>
    <w:rsid w:val="00FB2503"/>
    <w:rsid w:val="00FB2747"/>
    <w:rsid w:val="00FB2924"/>
    <w:rsid w:val="00FB2D74"/>
    <w:rsid w:val="00FB32D2"/>
    <w:rsid w:val="00FB331D"/>
    <w:rsid w:val="00FB39FE"/>
    <w:rsid w:val="00FB3BA3"/>
    <w:rsid w:val="00FB3E00"/>
    <w:rsid w:val="00FB4463"/>
    <w:rsid w:val="00FB4682"/>
    <w:rsid w:val="00FB4AAD"/>
    <w:rsid w:val="00FB534E"/>
    <w:rsid w:val="00FB58EC"/>
    <w:rsid w:val="00FB61E7"/>
    <w:rsid w:val="00FB63CB"/>
    <w:rsid w:val="00FB660C"/>
    <w:rsid w:val="00FB70C6"/>
    <w:rsid w:val="00FB7B76"/>
    <w:rsid w:val="00FC0BBB"/>
    <w:rsid w:val="00FC0D50"/>
    <w:rsid w:val="00FC2604"/>
    <w:rsid w:val="00FC26DF"/>
    <w:rsid w:val="00FC36FE"/>
    <w:rsid w:val="00FC3852"/>
    <w:rsid w:val="00FC3869"/>
    <w:rsid w:val="00FC483A"/>
    <w:rsid w:val="00FC4D21"/>
    <w:rsid w:val="00FC5248"/>
    <w:rsid w:val="00FC57A3"/>
    <w:rsid w:val="00FC620D"/>
    <w:rsid w:val="00FC6507"/>
    <w:rsid w:val="00FC6BBB"/>
    <w:rsid w:val="00FC7095"/>
    <w:rsid w:val="00FC792C"/>
    <w:rsid w:val="00FD1486"/>
    <w:rsid w:val="00FD1531"/>
    <w:rsid w:val="00FD1F68"/>
    <w:rsid w:val="00FD238F"/>
    <w:rsid w:val="00FD2B91"/>
    <w:rsid w:val="00FD2DA6"/>
    <w:rsid w:val="00FD378C"/>
    <w:rsid w:val="00FD4E5E"/>
    <w:rsid w:val="00FD515F"/>
    <w:rsid w:val="00FD578A"/>
    <w:rsid w:val="00FD5AEF"/>
    <w:rsid w:val="00FD5CAC"/>
    <w:rsid w:val="00FD63EB"/>
    <w:rsid w:val="00FD6450"/>
    <w:rsid w:val="00FD6497"/>
    <w:rsid w:val="00FD75FD"/>
    <w:rsid w:val="00FD7700"/>
    <w:rsid w:val="00FD7E21"/>
    <w:rsid w:val="00FE0F5E"/>
    <w:rsid w:val="00FE1D05"/>
    <w:rsid w:val="00FE2787"/>
    <w:rsid w:val="00FE296E"/>
    <w:rsid w:val="00FE29B7"/>
    <w:rsid w:val="00FE3447"/>
    <w:rsid w:val="00FE3A0B"/>
    <w:rsid w:val="00FE4FB2"/>
    <w:rsid w:val="00FE5126"/>
    <w:rsid w:val="00FE53FF"/>
    <w:rsid w:val="00FE58FB"/>
    <w:rsid w:val="00FE5A11"/>
    <w:rsid w:val="00FE5DE6"/>
    <w:rsid w:val="00FE6C2B"/>
    <w:rsid w:val="00FE7087"/>
    <w:rsid w:val="00FE70EB"/>
    <w:rsid w:val="00FE7BE9"/>
    <w:rsid w:val="00FE7E7B"/>
    <w:rsid w:val="00FE7EA8"/>
    <w:rsid w:val="00FF0228"/>
    <w:rsid w:val="00FF0837"/>
    <w:rsid w:val="00FF0946"/>
    <w:rsid w:val="00FF13E8"/>
    <w:rsid w:val="00FF168D"/>
    <w:rsid w:val="00FF18DE"/>
    <w:rsid w:val="00FF1BB4"/>
    <w:rsid w:val="00FF295B"/>
    <w:rsid w:val="00FF2D20"/>
    <w:rsid w:val="00FF3000"/>
    <w:rsid w:val="00FF3443"/>
    <w:rsid w:val="00FF3F0A"/>
    <w:rsid w:val="00FF4138"/>
    <w:rsid w:val="00FF4D09"/>
    <w:rsid w:val="00FF553B"/>
    <w:rsid w:val="00FF555E"/>
    <w:rsid w:val="00FF57AE"/>
    <w:rsid w:val="00FF5951"/>
    <w:rsid w:val="00FF6807"/>
    <w:rsid w:val="00FF75B5"/>
    <w:rsid w:val="00FF7819"/>
    <w:rsid w:val="00FF7A8B"/>
    <w:rsid w:val="01035A4A"/>
    <w:rsid w:val="010D1615"/>
    <w:rsid w:val="010D31FC"/>
    <w:rsid w:val="01190BBD"/>
    <w:rsid w:val="01221EEA"/>
    <w:rsid w:val="01277162"/>
    <w:rsid w:val="0128435D"/>
    <w:rsid w:val="014C42A8"/>
    <w:rsid w:val="01576FE7"/>
    <w:rsid w:val="015F6564"/>
    <w:rsid w:val="016B56B8"/>
    <w:rsid w:val="01810C7A"/>
    <w:rsid w:val="01AF7276"/>
    <w:rsid w:val="01B5188B"/>
    <w:rsid w:val="01B51A8D"/>
    <w:rsid w:val="01B66783"/>
    <w:rsid w:val="01BF2018"/>
    <w:rsid w:val="01C654B2"/>
    <w:rsid w:val="01E705D2"/>
    <w:rsid w:val="01F2759D"/>
    <w:rsid w:val="020261D9"/>
    <w:rsid w:val="02046559"/>
    <w:rsid w:val="02085F8C"/>
    <w:rsid w:val="0227136C"/>
    <w:rsid w:val="02280E92"/>
    <w:rsid w:val="022D39C5"/>
    <w:rsid w:val="02335C47"/>
    <w:rsid w:val="02344CAA"/>
    <w:rsid w:val="024B510F"/>
    <w:rsid w:val="025D4751"/>
    <w:rsid w:val="025D77B7"/>
    <w:rsid w:val="0288318F"/>
    <w:rsid w:val="028860D8"/>
    <w:rsid w:val="028F0843"/>
    <w:rsid w:val="028F746F"/>
    <w:rsid w:val="02936A01"/>
    <w:rsid w:val="029B4678"/>
    <w:rsid w:val="02A20490"/>
    <w:rsid w:val="02A31DEE"/>
    <w:rsid w:val="02A824AD"/>
    <w:rsid w:val="02A8425B"/>
    <w:rsid w:val="02AB53B9"/>
    <w:rsid w:val="02AC45C0"/>
    <w:rsid w:val="02B1707F"/>
    <w:rsid w:val="02BB1B41"/>
    <w:rsid w:val="02CC3876"/>
    <w:rsid w:val="02CD7DEA"/>
    <w:rsid w:val="02E06D99"/>
    <w:rsid w:val="02E75616"/>
    <w:rsid w:val="02F3718D"/>
    <w:rsid w:val="02F770D3"/>
    <w:rsid w:val="030A29DA"/>
    <w:rsid w:val="030D3631"/>
    <w:rsid w:val="031B41F6"/>
    <w:rsid w:val="03422F5E"/>
    <w:rsid w:val="03441423"/>
    <w:rsid w:val="034F19B6"/>
    <w:rsid w:val="035F4F8E"/>
    <w:rsid w:val="036142A2"/>
    <w:rsid w:val="03680624"/>
    <w:rsid w:val="037A2890"/>
    <w:rsid w:val="037B0AC6"/>
    <w:rsid w:val="03B53F2E"/>
    <w:rsid w:val="03BC739A"/>
    <w:rsid w:val="03BD2548"/>
    <w:rsid w:val="03C41F86"/>
    <w:rsid w:val="03D300F1"/>
    <w:rsid w:val="03DC7DAD"/>
    <w:rsid w:val="03DE5AF4"/>
    <w:rsid w:val="03F6341C"/>
    <w:rsid w:val="04096671"/>
    <w:rsid w:val="04310C8B"/>
    <w:rsid w:val="0449776F"/>
    <w:rsid w:val="04574A44"/>
    <w:rsid w:val="04607696"/>
    <w:rsid w:val="0468055A"/>
    <w:rsid w:val="046C4FB7"/>
    <w:rsid w:val="049E0642"/>
    <w:rsid w:val="049E3128"/>
    <w:rsid w:val="04AC7116"/>
    <w:rsid w:val="04BC5900"/>
    <w:rsid w:val="04D80939"/>
    <w:rsid w:val="04E07136"/>
    <w:rsid w:val="04F46492"/>
    <w:rsid w:val="04FE59C2"/>
    <w:rsid w:val="05045DF2"/>
    <w:rsid w:val="051D3203"/>
    <w:rsid w:val="05237B44"/>
    <w:rsid w:val="05266A85"/>
    <w:rsid w:val="05270200"/>
    <w:rsid w:val="05312ED4"/>
    <w:rsid w:val="0543754F"/>
    <w:rsid w:val="0544024F"/>
    <w:rsid w:val="05671ABC"/>
    <w:rsid w:val="0579670D"/>
    <w:rsid w:val="05933348"/>
    <w:rsid w:val="05A03DB3"/>
    <w:rsid w:val="05A97D5C"/>
    <w:rsid w:val="05BA236F"/>
    <w:rsid w:val="05BC762D"/>
    <w:rsid w:val="05BE281F"/>
    <w:rsid w:val="05C54724"/>
    <w:rsid w:val="05CB46DF"/>
    <w:rsid w:val="05E226E2"/>
    <w:rsid w:val="05E41690"/>
    <w:rsid w:val="05F74D68"/>
    <w:rsid w:val="060C2A1A"/>
    <w:rsid w:val="06161DD3"/>
    <w:rsid w:val="061B4600"/>
    <w:rsid w:val="06221FA2"/>
    <w:rsid w:val="0623599E"/>
    <w:rsid w:val="06275360"/>
    <w:rsid w:val="062834E1"/>
    <w:rsid w:val="063164EF"/>
    <w:rsid w:val="063B611D"/>
    <w:rsid w:val="064E7D20"/>
    <w:rsid w:val="06540ACE"/>
    <w:rsid w:val="0663371B"/>
    <w:rsid w:val="06652ECB"/>
    <w:rsid w:val="066E3125"/>
    <w:rsid w:val="06704CDB"/>
    <w:rsid w:val="0697166E"/>
    <w:rsid w:val="069B3464"/>
    <w:rsid w:val="069C700D"/>
    <w:rsid w:val="06AF599F"/>
    <w:rsid w:val="06BE6DAE"/>
    <w:rsid w:val="06DC354B"/>
    <w:rsid w:val="06F03716"/>
    <w:rsid w:val="06F974B2"/>
    <w:rsid w:val="0723163E"/>
    <w:rsid w:val="072F1EBE"/>
    <w:rsid w:val="07323271"/>
    <w:rsid w:val="073573BF"/>
    <w:rsid w:val="073D5143"/>
    <w:rsid w:val="074663EF"/>
    <w:rsid w:val="074F739B"/>
    <w:rsid w:val="07675F9A"/>
    <w:rsid w:val="07714654"/>
    <w:rsid w:val="077658DA"/>
    <w:rsid w:val="079E3D3D"/>
    <w:rsid w:val="07A373E1"/>
    <w:rsid w:val="07B56C2A"/>
    <w:rsid w:val="07C0413B"/>
    <w:rsid w:val="07F520EA"/>
    <w:rsid w:val="080255FE"/>
    <w:rsid w:val="08054D67"/>
    <w:rsid w:val="080C1004"/>
    <w:rsid w:val="08126026"/>
    <w:rsid w:val="081F14C2"/>
    <w:rsid w:val="081F4D9B"/>
    <w:rsid w:val="08434ADA"/>
    <w:rsid w:val="084C6AC4"/>
    <w:rsid w:val="084F38D1"/>
    <w:rsid w:val="08540ABF"/>
    <w:rsid w:val="08613CE9"/>
    <w:rsid w:val="087E5FDC"/>
    <w:rsid w:val="088153EE"/>
    <w:rsid w:val="08896101"/>
    <w:rsid w:val="089B7678"/>
    <w:rsid w:val="08A16C0F"/>
    <w:rsid w:val="08A91BBF"/>
    <w:rsid w:val="08B518EE"/>
    <w:rsid w:val="08B85821"/>
    <w:rsid w:val="08BC20B7"/>
    <w:rsid w:val="08C95435"/>
    <w:rsid w:val="08CB68A8"/>
    <w:rsid w:val="08D120CB"/>
    <w:rsid w:val="08EB6D4B"/>
    <w:rsid w:val="08FB5F13"/>
    <w:rsid w:val="090439C4"/>
    <w:rsid w:val="09044670"/>
    <w:rsid w:val="09194E2D"/>
    <w:rsid w:val="09402434"/>
    <w:rsid w:val="095C6D6B"/>
    <w:rsid w:val="095E6897"/>
    <w:rsid w:val="09600303"/>
    <w:rsid w:val="09654943"/>
    <w:rsid w:val="09715DED"/>
    <w:rsid w:val="0979275C"/>
    <w:rsid w:val="097A4477"/>
    <w:rsid w:val="09807F9A"/>
    <w:rsid w:val="09907385"/>
    <w:rsid w:val="099C5C92"/>
    <w:rsid w:val="09AF1B97"/>
    <w:rsid w:val="09B42832"/>
    <w:rsid w:val="09B60C78"/>
    <w:rsid w:val="09BF3C37"/>
    <w:rsid w:val="09C04865"/>
    <w:rsid w:val="09DD1878"/>
    <w:rsid w:val="0A02154E"/>
    <w:rsid w:val="0A0B50CF"/>
    <w:rsid w:val="0A16676E"/>
    <w:rsid w:val="0A275CC7"/>
    <w:rsid w:val="0A276914"/>
    <w:rsid w:val="0A353A27"/>
    <w:rsid w:val="0A3F43B8"/>
    <w:rsid w:val="0A416461"/>
    <w:rsid w:val="0A6773DB"/>
    <w:rsid w:val="0A6F1995"/>
    <w:rsid w:val="0A77224F"/>
    <w:rsid w:val="0A8E4BF6"/>
    <w:rsid w:val="0A992117"/>
    <w:rsid w:val="0A9C7661"/>
    <w:rsid w:val="0ABB765F"/>
    <w:rsid w:val="0AC076B5"/>
    <w:rsid w:val="0AC1487F"/>
    <w:rsid w:val="0AC54792"/>
    <w:rsid w:val="0AC70C28"/>
    <w:rsid w:val="0ACA05A5"/>
    <w:rsid w:val="0ACB775E"/>
    <w:rsid w:val="0AD057A3"/>
    <w:rsid w:val="0AD21B74"/>
    <w:rsid w:val="0AD60F46"/>
    <w:rsid w:val="0AFC1748"/>
    <w:rsid w:val="0B09556A"/>
    <w:rsid w:val="0B1159A2"/>
    <w:rsid w:val="0B1539D8"/>
    <w:rsid w:val="0B164E7F"/>
    <w:rsid w:val="0B3516CA"/>
    <w:rsid w:val="0B473F0B"/>
    <w:rsid w:val="0B5B2F06"/>
    <w:rsid w:val="0B62514C"/>
    <w:rsid w:val="0B6F4FD7"/>
    <w:rsid w:val="0B703B36"/>
    <w:rsid w:val="0B861332"/>
    <w:rsid w:val="0B9353AC"/>
    <w:rsid w:val="0BAF7584"/>
    <w:rsid w:val="0BC775A1"/>
    <w:rsid w:val="0BCF1C28"/>
    <w:rsid w:val="0BE80A69"/>
    <w:rsid w:val="0BF40DB7"/>
    <w:rsid w:val="0BFD39BD"/>
    <w:rsid w:val="0C014665"/>
    <w:rsid w:val="0C0C2768"/>
    <w:rsid w:val="0C242225"/>
    <w:rsid w:val="0C2B4511"/>
    <w:rsid w:val="0C2C38CC"/>
    <w:rsid w:val="0C3710AD"/>
    <w:rsid w:val="0C3B13BF"/>
    <w:rsid w:val="0C42178A"/>
    <w:rsid w:val="0C4E6B07"/>
    <w:rsid w:val="0C8400B2"/>
    <w:rsid w:val="0C8C3049"/>
    <w:rsid w:val="0C9B0846"/>
    <w:rsid w:val="0CAF2631"/>
    <w:rsid w:val="0CCC7E91"/>
    <w:rsid w:val="0CE52FAC"/>
    <w:rsid w:val="0CEA2457"/>
    <w:rsid w:val="0CEF0346"/>
    <w:rsid w:val="0CF124F4"/>
    <w:rsid w:val="0D047038"/>
    <w:rsid w:val="0D052A78"/>
    <w:rsid w:val="0D14115A"/>
    <w:rsid w:val="0D1D1757"/>
    <w:rsid w:val="0D210A00"/>
    <w:rsid w:val="0D215E7F"/>
    <w:rsid w:val="0D22705B"/>
    <w:rsid w:val="0D295292"/>
    <w:rsid w:val="0D3D2A77"/>
    <w:rsid w:val="0D4016EF"/>
    <w:rsid w:val="0D5A2857"/>
    <w:rsid w:val="0D6963C4"/>
    <w:rsid w:val="0D737389"/>
    <w:rsid w:val="0D860DB3"/>
    <w:rsid w:val="0D873397"/>
    <w:rsid w:val="0D8C23DB"/>
    <w:rsid w:val="0D9241E7"/>
    <w:rsid w:val="0D97192F"/>
    <w:rsid w:val="0DA57C49"/>
    <w:rsid w:val="0DAB6878"/>
    <w:rsid w:val="0DC41F1D"/>
    <w:rsid w:val="0DCE157B"/>
    <w:rsid w:val="0DD84DFE"/>
    <w:rsid w:val="0DEB4344"/>
    <w:rsid w:val="0DF1779C"/>
    <w:rsid w:val="0DF82EE5"/>
    <w:rsid w:val="0DFA6F91"/>
    <w:rsid w:val="0E023B36"/>
    <w:rsid w:val="0E036774"/>
    <w:rsid w:val="0E176E16"/>
    <w:rsid w:val="0E1869F6"/>
    <w:rsid w:val="0E2A069A"/>
    <w:rsid w:val="0E35345B"/>
    <w:rsid w:val="0E3955E4"/>
    <w:rsid w:val="0E3D67DF"/>
    <w:rsid w:val="0E452D14"/>
    <w:rsid w:val="0E4839EC"/>
    <w:rsid w:val="0E4903E6"/>
    <w:rsid w:val="0E5A602F"/>
    <w:rsid w:val="0E6D5CE9"/>
    <w:rsid w:val="0E715E4F"/>
    <w:rsid w:val="0E866133"/>
    <w:rsid w:val="0E8E719D"/>
    <w:rsid w:val="0E9263AA"/>
    <w:rsid w:val="0E973DAE"/>
    <w:rsid w:val="0EA12C13"/>
    <w:rsid w:val="0EAB607D"/>
    <w:rsid w:val="0EAB6210"/>
    <w:rsid w:val="0EB2486B"/>
    <w:rsid w:val="0EB832AC"/>
    <w:rsid w:val="0EBB21E7"/>
    <w:rsid w:val="0EC74C02"/>
    <w:rsid w:val="0ED96881"/>
    <w:rsid w:val="0EE93236"/>
    <w:rsid w:val="0EEE4A22"/>
    <w:rsid w:val="0EFB52D8"/>
    <w:rsid w:val="0F222C5C"/>
    <w:rsid w:val="0F27065B"/>
    <w:rsid w:val="0F2B2713"/>
    <w:rsid w:val="0F2E43FA"/>
    <w:rsid w:val="0F3F06E4"/>
    <w:rsid w:val="0F4012D0"/>
    <w:rsid w:val="0F5A1050"/>
    <w:rsid w:val="0F5C0376"/>
    <w:rsid w:val="0F696B20"/>
    <w:rsid w:val="0F6F5B89"/>
    <w:rsid w:val="0F711EC5"/>
    <w:rsid w:val="0F8E4945"/>
    <w:rsid w:val="0FC33735"/>
    <w:rsid w:val="0FC67118"/>
    <w:rsid w:val="0FD06EF0"/>
    <w:rsid w:val="0FDB32FD"/>
    <w:rsid w:val="0FF6646C"/>
    <w:rsid w:val="100A5625"/>
    <w:rsid w:val="10172BC7"/>
    <w:rsid w:val="103177F1"/>
    <w:rsid w:val="1033007C"/>
    <w:rsid w:val="10341F39"/>
    <w:rsid w:val="103D0AF1"/>
    <w:rsid w:val="10462BF8"/>
    <w:rsid w:val="104759AE"/>
    <w:rsid w:val="104D7034"/>
    <w:rsid w:val="10624F0A"/>
    <w:rsid w:val="106E52BA"/>
    <w:rsid w:val="10794FB1"/>
    <w:rsid w:val="10A84739"/>
    <w:rsid w:val="10B969C6"/>
    <w:rsid w:val="10BB5EF9"/>
    <w:rsid w:val="10BD2C64"/>
    <w:rsid w:val="10C15E19"/>
    <w:rsid w:val="10C205F4"/>
    <w:rsid w:val="10D07F9B"/>
    <w:rsid w:val="10DE1740"/>
    <w:rsid w:val="10E47C71"/>
    <w:rsid w:val="10EC6B10"/>
    <w:rsid w:val="11020FDA"/>
    <w:rsid w:val="11117798"/>
    <w:rsid w:val="1113396C"/>
    <w:rsid w:val="11245616"/>
    <w:rsid w:val="112F5B59"/>
    <w:rsid w:val="1132004A"/>
    <w:rsid w:val="1136407F"/>
    <w:rsid w:val="1147745B"/>
    <w:rsid w:val="115F5130"/>
    <w:rsid w:val="11710219"/>
    <w:rsid w:val="11785302"/>
    <w:rsid w:val="117873DA"/>
    <w:rsid w:val="11793C17"/>
    <w:rsid w:val="11794C10"/>
    <w:rsid w:val="117D1A7C"/>
    <w:rsid w:val="118519E5"/>
    <w:rsid w:val="1193506B"/>
    <w:rsid w:val="11A940FB"/>
    <w:rsid w:val="11B37FDD"/>
    <w:rsid w:val="11B472A3"/>
    <w:rsid w:val="11C246F5"/>
    <w:rsid w:val="11C63C9D"/>
    <w:rsid w:val="11DC3D16"/>
    <w:rsid w:val="11EC6747"/>
    <w:rsid w:val="11FA36B5"/>
    <w:rsid w:val="121214A2"/>
    <w:rsid w:val="12124E2E"/>
    <w:rsid w:val="12423EAB"/>
    <w:rsid w:val="124A2F62"/>
    <w:rsid w:val="124A7CBB"/>
    <w:rsid w:val="12520565"/>
    <w:rsid w:val="128802B3"/>
    <w:rsid w:val="128A3A0F"/>
    <w:rsid w:val="12927BA7"/>
    <w:rsid w:val="12A27A08"/>
    <w:rsid w:val="12C30E72"/>
    <w:rsid w:val="12CC33E0"/>
    <w:rsid w:val="12D95EC7"/>
    <w:rsid w:val="12DB43E2"/>
    <w:rsid w:val="12DF77AA"/>
    <w:rsid w:val="12F8687A"/>
    <w:rsid w:val="12F87783"/>
    <w:rsid w:val="12FA6B74"/>
    <w:rsid w:val="130A4401"/>
    <w:rsid w:val="13133960"/>
    <w:rsid w:val="13155336"/>
    <w:rsid w:val="132D4CE1"/>
    <w:rsid w:val="13471CF4"/>
    <w:rsid w:val="13501075"/>
    <w:rsid w:val="135B0C21"/>
    <w:rsid w:val="135C6DD0"/>
    <w:rsid w:val="13621499"/>
    <w:rsid w:val="1374103D"/>
    <w:rsid w:val="137562BE"/>
    <w:rsid w:val="13787DD4"/>
    <w:rsid w:val="138E25EA"/>
    <w:rsid w:val="139B4A02"/>
    <w:rsid w:val="13A64ADE"/>
    <w:rsid w:val="13AE4A3B"/>
    <w:rsid w:val="13B62699"/>
    <w:rsid w:val="13B81CC4"/>
    <w:rsid w:val="13BB5594"/>
    <w:rsid w:val="13BD1B1A"/>
    <w:rsid w:val="13C07DD5"/>
    <w:rsid w:val="13C5652C"/>
    <w:rsid w:val="13C94E3E"/>
    <w:rsid w:val="13CD23CE"/>
    <w:rsid w:val="13D76148"/>
    <w:rsid w:val="13DC7CDB"/>
    <w:rsid w:val="13E05429"/>
    <w:rsid w:val="13E802B9"/>
    <w:rsid w:val="13EE088C"/>
    <w:rsid w:val="13F108E0"/>
    <w:rsid w:val="14092746"/>
    <w:rsid w:val="140A5329"/>
    <w:rsid w:val="140E6222"/>
    <w:rsid w:val="141A2340"/>
    <w:rsid w:val="141B3972"/>
    <w:rsid w:val="14215901"/>
    <w:rsid w:val="143F2B9D"/>
    <w:rsid w:val="145826C1"/>
    <w:rsid w:val="146408CE"/>
    <w:rsid w:val="146D7A7E"/>
    <w:rsid w:val="146E5017"/>
    <w:rsid w:val="1477324C"/>
    <w:rsid w:val="149905A9"/>
    <w:rsid w:val="14AE4BCF"/>
    <w:rsid w:val="14BC2069"/>
    <w:rsid w:val="14C01D30"/>
    <w:rsid w:val="14D85321"/>
    <w:rsid w:val="14F975B5"/>
    <w:rsid w:val="15047242"/>
    <w:rsid w:val="150E1C6A"/>
    <w:rsid w:val="15120708"/>
    <w:rsid w:val="151F2958"/>
    <w:rsid w:val="152702A1"/>
    <w:rsid w:val="15302A3F"/>
    <w:rsid w:val="153A751F"/>
    <w:rsid w:val="153F6B59"/>
    <w:rsid w:val="154204B8"/>
    <w:rsid w:val="15427C6E"/>
    <w:rsid w:val="1543089E"/>
    <w:rsid w:val="1547149C"/>
    <w:rsid w:val="154F56AE"/>
    <w:rsid w:val="155B32C1"/>
    <w:rsid w:val="155D0E79"/>
    <w:rsid w:val="155D540A"/>
    <w:rsid w:val="156538A5"/>
    <w:rsid w:val="1569030F"/>
    <w:rsid w:val="15692ACB"/>
    <w:rsid w:val="156E3BD4"/>
    <w:rsid w:val="157448C4"/>
    <w:rsid w:val="15753955"/>
    <w:rsid w:val="157D7874"/>
    <w:rsid w:val="15C1732E"/>
    <w:rsid w:val="15C33D2D"/>
    <w:rsid w:val="15C61C8D"/>
    <w:rsid w:val="15C65ADF"/>
    <w:rsid w:val="15EB7FAE"/>
    <w:rsid w:val="15FC6BE3"/>
    <w:rsid w:val="1601021C"/>
    <w:rsid w:val="1608434A"/>
    <w:rsid w:val="161629C6"/>
    <w:rsid w:val="161F0FBC"/>
    <w:rsid w:val="164646BF"/>
    <w:rsid w:val="165A05F7"/>
    <w:rsid w:val="166B565E"/>
    <w:rsid w:val="166C7FC1"/>
    <w:rsid w:val="16754F66"/>
    <w:rsid w:val="1684159B"/>
    <w:rsid w:val="168F5B5D"/>
    <w:rsid w:val="16973BD2"/>
    <w:rsid w:val="16C20C7F"/>
    <w:rsid w:val="16DA4C16"/>
    <w:rsid w:val="16DD5DB0"/>
    <w:rsid w:val="16E9232C"/>
    <w:rsid w:val="16FD1958"/>
    <w:rsid w:val="171F47C7"/>
    <w:rsid w:val="173B4854"/>
    <w:rsid w:val="174A2B55"/>
    <w:rsid w:val="174E1159"/>
    <w:rsid w:val="174F1A9F"/>
    <w:rsid w:val="176A78E7"/>
    <w:rsid w:val="17751D70"/>
    <w:rsid w:val="17892210"/>
    <w:rsid w:val="179C14D9"/>
    <w:rsid w:val="179C2F3D"/>
    <w:rsid w:val="17A4169E"/>
    <w:rsid w:val="17A43CDA"/>
    <w:rsid w:val="17B84028"/>
    <w:rsid w:val="17C63107"/>
    <w:rsid w:val="17DA135D"/>
    <w:rsid w:val="17E9709F"/>
    <w:rsid w:val="17F44061"/>
    <w:rsid w:val="17F95A37"/>
    <w:rsid w:val="180057FC"/>
    <w:rsid w:val="18081460"/>
    <w:rsid w:val="18137D49"/>
    <w:rsid w:val="18187972"/>
    <w:rsid w:val="181B6E25"/>
    <w:rsid w:val="181D5B75"/>
    <w:rsid w:val="1820374E"/>
    <w:rsid w:val="18223E1D"/>
    <w:rsid w:val="18251E58"/>
    <w:rsid w:val="183658CC"/>
    <w:rsid w:val="18374E08"/>
    <w:rsid w:val="185143B5"/>
    <w:rsid w:val="1872635C"/>
    <w:rsid w:val="189762B4"/>
    <w:rsid w:val="189A1BEB"/>
    <w:rsid w:val="18A14962"/>
    <w:rsid w:val="18A35F59"/>
    <w:rsid w:val="18A40EF7"/>
    <w:rsid w:val="18A721D3"/>
    <w:rsid w:val="18AC3B51"/>
    <w:rsid w:val="18B02199"/>
    <w:rsid w:val="18BA731E"/>
    <w:rsid w:val="18BC3375"/>
    <w:rsid w:val="18C958A1"/>
    <w:rsid w:val="18DC0D6A"/>
    <w:rsid w:val="18E20657"/>
    <w:rsid w:val="18F0176D"/>
    <w:rsid w:val="18F20CB4"/>
    <w:rsid w:val="19011F39"/>
    <w:rsid w:val="19046AF6"/>
    <w:rsid w:val="19110BE3"/>
    <w:rsid w:val="19167D0A"/>
    <w:rsid w:val="19394785"/>
    <w:rsid w:val="19511D4B"/>
    <w:rsid w:val="1954595C"/>
    <w:rsid w:val="197A419F"/>
    <w:rsid w:val="199331CB"/>
    <w:rsid w:val="19993F31"/>
    <w:rsid w:val="199C0C69"/>
    <w:rsid w:val="19BC2DAD"/>
    <w:rsid w:val="19C149B0"/>
    <w:rsid w:val="19C479FF"/>
    <w:rsid w:val="19C80F82"/>
    <w:rsid w:val="19CB27CF"/>
    <w:rsid w:val="19CF2DED"/>
    <w:rsid w:val="19D60291"/>
    <w:rsid w:val="19D85325"/>
    <w:rsid w:val="19E0364C"/>
    <w:rsid w:val="19F02C2F"/>
    <w:rsid w:val="1A1678FB"/>
    <w:rsid w:val="1A192A60"/>
    <w:rsid w:val="1A25607C"/>
    <w:rsid w:val="1A2A3FBF"/>
    <w:rsid w:val="1A322AD6"/>
    <w:rsid w:val="1A396A6A"/>
    <w:rsid w:val="1A540D8F"/>
    <w:rsid w:val="1A577A93"/>
    <w:rsid w:val="1A68351D"/>
    <w:rsid w:val="1A685F09"/>
    <w:rsid w:val="1A6F2A8E"/>
    <w:rsid w:val="1A824BFB"/>
    <w:rsid w:val="1A874BAA"/>
    <w:rsid w:val="1AA407A9"/>
    <w:rsid w:val="1AAB256C"/>
    <w:rsid w:val="1AAE7C4A"/>
    <w:rsid w:val="1AB310F4"/>
    <w:rsid w:val="1ABC39F5"/>
    <w:rsid w:val="1AC15D90"/>
    <w:rsid w:val="1ACE6618"/>
    <w:rsid w:val="1AD77137"/>
    <w:rsid w:val="1AF02101"/>
    <w:rsid w:val="1AF11931"/>
    <w:rsid w:val="1AF324D6"/>
    <w:rsid w:val="1B1E3F2C"/>
    <w:rsid w:val="1B3348F7"/>
    <w:rsid w:val="1B353CEB"/>
    <w:rsid w:val="1B483992"/>
    <w:rsid w:val="1B4960D9"/>
    <w:rsid w:val="1B7C409A"/>
    <w:rsid w:val="1B815B10"/>
    <w:rsid w:val="1B840D55"/>
    <w:rsid w:val="1B850F10"/>
    <w:rsid w:val="1B8F7D70"/>
    <w:rsid w:val="1B9941DE"/>
    <w:rsid w:val="1B9E4B5B"/>
    <w:rsid w:val="1BB263E4"/>
    <w:rsid w:val="1BBD28D5"/>
    <w:rsid w:val="1BC33122"/>
    <w:rsid w:val="1BD146F0"/>
    <w:rsid w:val="1C06342B"/>
    <w:rsid w:val="1C1710AD"/>
    <w:rsid w:val="1C2A5889"/>
    <w:rsid w:val="1C395C71"/>
    <w:rsid w:val="1C411A0C"/>
    <w:rsid w:val="1C467F78"/>
    <w:rsid w:val="1C4A1062"/>
    <w:rsid w:val="1C4F743C"/>
    <w:rsid w:val="1C5F6658"/>
    <w:rsid w:val="1C627F97"/>
    <w:rsid w:val="1C6778E5"/>
    <w:rsid w:val="1C68473A"/>
    <w:rsid w:val="1C6A0341"/>
    <w:rsid w:val="1C9654AB"/>
    <w:rsid w:val="1C9B56B2"/>
    <w:rsid w:val="1CB81B6E"/>
    <w:rsid w:val="1CCC47BE"/>
    <w:rsid w:val="1CD1430A"/>
    <w:rsid w:val="1CD80695"/>
    <w:rsid w:val="1CF30ABA"/>
    <w:rsid w:val="1D0A4161"/>
    <w:rsid w:val="1D12309B"/>
    <w:rsid w:val="1D1E0086"/>
    <w:rsid w:val="1D1F2953"/>
    <w:rsid w:val="1D245BA2"/>
    <w:rsid w:val="1D2C2E35"/>
    <w:rsid w:val="1D324AD0"/>
    <w:rsid w:val="1D3469DF"/>
    <w:rsid w:val="1D370D06"/>
    <w:rsid w:val="1D4F6D94"/>
    <w:rsid w:val="1D5A0733"/>
    <w:rsid w:val="1D5C1C5F"/>
    <w:rsid w:val="1D5E2778"/>
    <w:rsid w:val="1D783746"/>
    <w:rsid w:val="1D7D7618"/>
    <w:rsid w:val="1D7F2E00"/>
    <w:rsid w:val="1D83464B"/>
    <w:rsid w:val="1D8631AA"/>
    <w:rsid w:val="1D8B7643"/>
    <w:rsid w:val="1DD97C9D"/>
    <w:rsid w:val="1DE97A03"/>
    <w:rsid w:val="1DEB2F13"/>
    <w:rsid w:val="1DF60D84"/>
    <w:rsid w:val="1DFE184A"/>
    <w:rsid w:val="1E1E1B83"/>
    <w:rsid w:val="1E257CF5"/>
    <w:rsid w:val="1E275FCE"/>
    <w:rsid w:val="1E3C548E"/>
    <w:rsid w:val="1E4F5FA2"/>
    <w:rsid w:val="1E5223CB"/>
    <w:rsid w:val="1E53012E"/>
    <w:rsid w:val="1E67764B"/>
    <w:rsid w:val="1E820EBA"/>
    <w:rsid w:val="1E9B30FE"/>
    <w:rsid w:val="1EAF66DD"/>
    <w:rsid w:val="1EB871FA"/>
    <w:rsid w:val="1ECD67E2"/>
    <w:rsid w:val="1ECE48B4"/>
    <w:rsid w:val="1EE01FF6"/>
    <w:rsid w:val="1EE2009F"/>
    <w:rsid w:val="1EF115DD"/>
    <w:rsid w:val="1EFC67D3"/>
    <w:rsid w:val="1EFE60F7"/>
    <w:rsid w:val="1F0411E7"/>
    <w:rsid w:val="1F0A6DD8"/>
    <w:rsid w:val="1F0D2AA6"/>
    <w:rsid w:val="1F12031B"/>
    <w:rsid w:val="1F171A74"/>
    <w:rsid w:val="1F211E5C"/>
    <w:rsid w:val="1F24511D"/>
    <w:rsid w:val="1F31509A"/>
    <w:rsid w:val="1F395A8D"/>
    <w:rsid w:val="1F3A2C89"/>
    <w:rsid w:val="1F472AF7"/>
    <w:rsid w:val="1F4759AA"/>
    <w:rsid w:val="1F495803"/>
    <w:rsid w:val="1F645ACA"/>
    <w:rsid w:val="1F730480"/>
    <w:rsid w:val="1F7A22DE"/>
    <w:rsid w:val="1FA30723"/>
    <w:rsid w:val="1FC17FAD"/>
    <w:rsid w:val="1FC44042"/>
    <w:rsid w:val="1FD464A0"/>
    <w:rsid w:val="1FE91A0D"/>
    <w:rsid w:val="1FEB3581"/>
    <w:rsid w:val="1FF646DA"/>
    <w:rsid w:val="1FF8746C"/>
    <w:rsid w:val="1FFD7BA2"/>
    <w:rsid w:val="20111A4B"/>
    <w:rsid w:val="20202A33"/>
    <w:rsid w:val="202E0C10"/>
    <w:rsid w:val="20305186"/>
    <w:rsid w:val="203E11AB"/>
    <w:rsid w:val="20474C63"/>
    <w:rsid w:val="204B4D0B"/>
    <w:rsid w:val="20543D34"/>
    <w:rsid w:val="207D2E86"/>
    <w:rsid w:val="207E0E01"/>
    <w:rsid w:val="207E2D2C"/>
    <w:rsid w:val="2087355D"/>
    <w:rsid w:val="209751A2"/>
    <w:rsid w:val="209B4FA7"/>
    <w:rsid w:val="20A17D7B"/>
    <w:rsid w:val="20AB4C4F"/>
    <w:rsid w:val="20B24415"/>
    <w:rsid w:val="20C05C69"/>
    <w:rsid w:val="20C811BD"/>
    <w:rsid w:val="20CD602A"/>
    <w:rsid w:val="20E57A2A"/>
    <w:rsid w:val="20F62ECB"/>
    <w:rsid w:val="21052F21"/>
    <w:rsid w:val="210A0FB4"/>
    <w:rsid w:val="210A63F8"/>
    <w:rsid w:val="210F7CD2"/>
    <w:rsid w:val="212215AA"/>
    <w:rsid w:val="213A730B"/>
    <w:rsid w:val="2155668F"/>
    <w:rsid w:val="21646DF4"/>
    <w:rsid w:val="2169477A"/>
    <w:rsid w:val="216D6944"/>
    <w:rsid w:val="217A6FD8"/>
    <w:rsid w:val="217C7DBF"/>
    <w:rsid w:val="218955CD"/>
    <w:rsid w:val="218D5D05"/>
    <w:rsid w:val="2190061B"/>
    <w:rsid w:val="21947693"/>
    <w:rsid w:val="21C770C1"/>
    <w:rsid w:val="21CC3F9E"/>
    <w:rsid w:val="21CD708C"/>
    <w:rsid w:val="21D745AE"/>
    <w:rsid w:val="21F20039"/>
    <w:rsid w:val="22117FFC"/>
    <w:rsid w:val="222A070C"/>
    <w:rsid w:val="222A1184"/>
    <w:rsid w:val="222B21EF"/>
    <w:rsid w:val="223167E9"/>
    <w:rsid w:val="224C3DA2"/>
    <w:rsid w:val="225B7F0D"/>
    <w:rsid w:val="22621189"/>
    <w:rsid w:val="226415A3"/>
    <w:rsid w:val="22825E74"/>
    <w:rsid w:val="2285311F"/>
    <w:rsid w:val="22883C79"/>
    <w:rsid w:val="22AF799C"/>
    <w:rsid w:val="22B9697E"/>
    <w:rsid w:val="22BB3EB5"/>
    <w:rsid w:val="22C21F0A"/>
    <w:rsid w:val="22C30F5F"/>
    <w:rsid w:val="22E076B9"/>
    <w:rsid w:val="22F01C3C"/>
    <w:rsid w:val="22F859FC"/>
    <w:rsid w:val="231040A7"/>
    <w:rsid w:val="231E2146"/>
    <w:rsid w:val="23225D5C"/>
    <w:rsid w:val="23294864"/>
    <w:rsid w:val="232A1CB9"/>
    <w:rsid w:val="232E48B9"/>
    <w:rsid w:val="23351505"/>
    <w:rsid w:val="234620F1"/>
    <w:rsid w:val="235D545E"/>
    <w:rsid w:val="23682936"/>
    <w:rsid w:val="23734176"/>
    <w:rsid w:val="23782C5E"/>
    <w:rsid w:val="237A5348"/>
    <w:rsid w:val="238819FF"/>
    <w:rsid w:val="2392268E"/>
    <w:rsid w:val="23B239F7"/>
    <w:rsid w:val="23BA39B8"/>
    <w:rsid w:val="23BB46A2"/>
    <w:rsid w:val="23CA6BA5"/>
    <w:rsid w:val="23CE5639"/>
    <w:rsid w:val="23D47ABC"/>
    <w:rsid w:val="23D67893"/>
    <w:rsid w:val="240105DA"/>
    <w:rsid w:val="240C3D2D"/>
    <w:rsid w:val="240F7354"/>
    <w:rsid w:val="24290BA9"/>
    <w:rsid w:val="24316F2E"/>
    <w:rsid w:val="24485AB3"/>
    <w:rsid w:val="24523BCF"/>
    <w:rsid w:val="245F3E8E"/>
    <w:rsid w:val="24671E1C"/>
    <w:rsid w:val="24681A86"/>
    <w:rsid w:val="2482062F"/>
    <w:rsid w:val="249340F2"/>
    <w:rsid w:val="249B6F4E"/>
    <w:rsid w:val="249F5EF0"/>
    <w:rsid w:val="24B1116E"/>
    <w:rsid w:val="24BB32E4"/>
    <w:rsid w:val="24BD67A3"/>
    <w:rsid w:val="24C93DED"/>
    <w:rsid w:val="24CA478B"/>
    <w:rsid w:val="24D23A06"/>
    <w:rsid w:val="24D47FA8"/>
    <w:rsid w:val="24DB3015"/>
    <w:rsid w:val="24EA78D2"/>
    <w:rsid w:val="24F467DB"/>
    <w:rsid w:val="24FA6B2D"/>
    <w:rsid w:val="24FB6646"/>
    <w:rsid w:val="25043771"/>
    <w:rsid w:val="25194FD1"/>
    <w:rsid w:val="251A0CA5"/>
    <w:rsid w:val="2524130D"/>
    <w:rsid w:val="25266E96"/>
    <w:rsid w:val="252B38A4"/>
    <w:rsid w:val="25740ACB"/>
    <w:rsid w:val="257E25A8"/>
    <w:rsid w:val="25835573"/>
    <w:rsid w:val="258A5F33"/>
    <w:rsid w:val="258C3C4A"/>
    <w:rsid w:val="258D7F2B"/>
    <w:rsid w:val="259A11BC"/>
    <w:rsid w:val="25A71F88"/>
    <w:rsid w:val="25B80F04"/>
    <w:rsid w:val="25D44406"/>
    <w:rsid w:val="25DD0D18"/>
    <w:rsid w:val="260560F5"/>
    <w:rsid w:val="26071F9D"/>
    <w:rsid w:val="26097207"/>
    <w:rsid w:val="26104F8D"/>
    <w:rsid w:val="2619162E"/>
    <w:rsid w:val="261B3231"/>
    <w:rsid w:val="2628095C"/>
    <w:rsid w:val="26312BBA"/>
    <w:rsid w:val="263A69B0"/>
    <w:rsid w:val="265558A5"/>
    <w:rsid w:val="265C5351"/>
    <w:rsid w:val="266035CB"/>
    <w:rsid w:val="26720558"/>
    <w:rsid w:val="26756B52"/>
    <w:rsid w:val="26860A54"/>
    <w:rsid w:val="26904424"/>
    <w:rsid w:val="2694011E"/>
    <w:rsid w:val="269C0D82"/>
    <w:rsid w:val="26A45F6C"/>
    <w:rsid w:val="26A83165"/>
    <w:rsid w:val="26AB4FF0"/>
    <w:rsid w:val="26B7115B"/>
    <w:rsid w:val="26DA0808"/>
    <w:rsid w:val="26DD0DEE"/>
    <w:rsid w:val="26ED0355"/>
    <w:rsid w:val="27021872"/>
    <w:rsid w:val="271A227E"/>
    <w:rsid w:val="272320D3"/>
    <w:rsid w:val="274F125D"/>
    <w:rsid w:val="275572C9"/>
    <w:rsid w:val="2765535C"/>
    <w:rsid w:val="276910CC"/>
    <w:rsid w:val="277C3420"/>
    <w:rsid w:val="27856DEE"/>
    <w:rsid w:val="278A607D"/>
    <w:rsid w:val="27933933"/>
    <w:rsid w:val="27967EDE"/>
    <w:rsid w:val="27974576"/>
    <w:rsid w:val="27A37DA8"/>
    <w:rsid w:val="27A81F1B"/>
    <w:rsid w:val="27B81337"/>
    <w:rsid w:val="27C2149A"/>
    <w:rsid w:val="27CC4A56"/>
    <w:rsid w:val="27D9214A"/>
    <w:rsid w:val="27E934F0"/>
    <w:rsid w:val="27F36179"/>
    <w:rsid w:val="280E6368"/>
    <w:rsid w:val="281A522F"/>
    <w:rsid w:val="2826510E"/>
    <w:rsid w:val="28442379"/>
    <w:rsid w:val="28531FED"/>
    <w:rsid w:val="28536027"/>
    <w:rsid w:val="285A25C5"/>
    <w:rsid w:val="285B0A4C"/>
    <w:rsid w:val="28636ACB"/>
    <w:rsid w:val="2868441F"/>
    <w:rsid w:val="2868573B"/>
    <w:rsid w:val="287C0071"/>
    <w:rsid w:val="28812DD5"/>
    <w:rsid w:val="28841887"/>
    <w:rsid w:val="28845177"/>
    <w:rsid w:val="28A401E1"/>
    <w:rsid w:val="28A80669"/>
    <w:rsid w:val="28A9103B"/>
    <w:rsid w:val="28DE652E"/>
    <w:rsid w:val="28E3253B"/>
    <w:rsid w:val="28E337E7"/>
    <w:rsid w:val="28E96AD9"/>
    <w:rsid w:val="28F63E77"/>
    <w:rsid w:val="29300F7A"/>
    <w:rsid w:val="29323413"/>
    <w:rsid w:val="293577E4"/>
    <w:rsid w:val="293A71B9"/>
    <w:rsid w:val="29650BE6"/>
    <w:rsid w:val="29653694"/>
    <w:rsid w:val="29853528"/>
    <w:rsid w:val="298B6310"/>
    <w:rsid w:val="29921A9A"/>
    <w:rsid w:val="29977461"/>
    <w:rsid w:val="299C0D0C"/>
    <w:rsid w:val="29BB63BF"/>
    <w:rsid w:val="29BB64AC"/>
    <w:rsid w:val="29F47DC1"/>
    <w:rsid w:val="2A101390"/>
    <w:rsid w:val="2A1051F2"/>
    <w:rsid w:val="2A151C32"/>
    <w:rsid w:val="2A174FAD"/>
    <w:rsid w:val="2A5220A9"/>
    <w:rsid w:val="2A56484E"/>
    <w:rsid w:val="2A5C696E"/>
    <w:rsid w:val="2A5D7109"/>
    <w:rsid w:val="2A65292F"/>
    <w:rsid w:val="2A7E3AB1"/>
    <w:rsid w:val="2A830AA6"/>
    <w:rsid w:val="2A8A3CAB"/>
    <w:rsid w:val="2A8B683A"/>
    <w:rsid w:val="2A9E50F1"/>
    <w:rsid w:val="2A9F6E26"/>
    <w:rsid w:val="2AAA2721"/>
    <w:rsid w:val="2AC25CFD"/>
    <w:rsid w:val="2AE27B47"/>
    <w:rsid w:val="2B0F6376"/>
    <w:rsid w:val="2B1559FD"/>
    <w:rsid w:val="2B171233"/>
    <w:rsid w:val="2B183BE1"/>
    <w:rsid w:val="2B1D0CBD"/>
    <w:rsid w:val="2B361B54"/>
    <w:rsid w:val="2B55698C"/>
    <w:rsid w:val="2B6426CD"/>
    <w:rsid w:val="2B652FDF"/>
    <w:rsid w:val="2B682D2E"/>
    <w:rsid w:val="2B786992"/>
    <w:rsid w:val="2B7D4AD0"/>
    <w:rsid w:val="2B881FEF"/>
    <w:rsid w:val="2BB67E5C"/>
    <w:rsid w:val="2BB87EE5"/>
    <w:rsid w:val="2BC60E95"/>
    <w:rsid w:val="2BCC115E"/>
    <w:rsid w:val="2BD3293C"/>
    <w:rsid w:val="2BE56E77"/>
    <w:rsid w:val="2BF156B0"/>
    <w:rsid w:val="2BF33A63"/>
    <w:rsid w:val="2C050004"/>
    <w:rsid w:val="2C0D2A29"/>
    <w:rsid w:val="2C0E4343"/>
    <w:rsid w:val="2C155195"/>
    <w:rsid w:val="2C1B755E"/>
    <w:rsid w:val="2C1F5491"/>
    <w:rsid w:val="2C273251"/>
    <w:rsid w:val="2C295787"/>
    <w:rsid w:val="2C302172"/>
    <w:rsid w:val="2C3267EA"/>
    <w:rsid w:val="2C35382B"/>
    <w:rsid w:val="2C392CC2"/>
    <w:rsid w:val="2C4114B9"/>
    <w:rsid w:val="2C4A3121"/>
    <w:rsid w:val="2C660432"/>
    <w:rsid w:val="2C671456"/>
    <w:rsid w:val="2C6B4970"/>
    <w:rsid w:val="2C9805ED"/>
    <w:rsid w:val="2CAD2137"/>
    <w:rsid w:val="2CB52442"/>
    <w:rsid w:val="2CD10923"/>
    <w:rsid w:val="2CDF3CEE"/>
    <w:rsid w:val="2CE03C9E"/>
    <w:rsid w:val="2CE11F94"/>
    <w:rsid w:val="2CF419D8"/>
    <w:rsid w:val="2CF61DFE"/>
    <w:rsid w:val="2CFA376A"/>
    <w:rsid w:val="2D086B7A"/>
    <w:rsid w:val="2D2131AA"/>
    <w:rsid w:val="2D2D475C"/>
    <w:rsid w:val="2D341166"/>
    <w:rsid w:val="2D3863D2"/>
    <w:rsid w:val="2D4514FD"/>
    <w:rsid w:val="2D5271BA"/>
    <w:rsid w:val="2D5304DB"/>
    <w:rsid w:val="2D585879"/>
    <w:rsid w:val="2D5E2525"/>
    <w:rsid w:val="2D6B4210"/>
    <w:rsid w:val="2D7617C8"/>
    <w:rsid w:val="2D850B71"/>
    <w:rsid w:val="2D9B01C4"/>
    <w:rsid w:val="2DA30AC8"/>
    <w:rsid w:val="2DB85078"/>
    <w:rsid w:val="2DC363A8"/>
    <w:rsid w:val="2DC85AC8"/>
    <w:rsid w:val="2DCD1B46"/>
    <w:rsid w:val="2DD00B6B"/>
    <w:rsid w:val="2DE423F6"/>
    <w:rsid w:val="2DE42EEA"/>
    <w:rsid w:val="2DE73A05"/>
    <w:rsid w:val="2DE84C51"/>
    <w:rsid w:val="2DEC725B"/>
    <w:rsid w:val="2E0E5048"/>
    <w:rsid w:val="2E0F6C22"/>
    <w:rsid w:val="2E103E0D"/>
    <w:rsid w:val="2E184D7C"/>
    <w:rsid w:val="2E3A3D2C"/>
    <w:rsid w:val="2E556A0D"/>
    <w:rsid w:val="2E5779C4"/>
    <w:rsid w:val="2E69328B"/>
    <w:rsid w:val="2E6F3D8C"/>
    <w:rsid w:val="2E823F9B"/>
    <w:rsid w:val="2E841153"/>
    <w:rsid w:val="2E846AD5"/>
    <w:rsid w:val="2E9A1D5A"/>
    <w:rsid w:val="2E9C4F02"/>
    <w:rsid w:val="2E9E3CB8"/>
    <w:rsid w:val="2ECD0DAD"/>
    <w:rsid w:val="2ED82AA9"/>
    <w:rsid w:val="2EE4521C"/>
    <w:rsid w:val="2EE6362E"/>
    <w:rsid w:val="2EF213F1"/>
    <w:rsid w:val="2EFA1C39"/>
    <w:rsid w:val="2F211FB1"/>
    <w:rsid w:val="2F491C0B"/>
    <w:rsid w:val="2F4A74DF"/>
    <w:rsid w:val="2F4C6CF6"/>
    <w:rsid w:val="2F5016D4"/>
    <w:rsid w:val="2F533B6A"/>
    <w:rsid w:val="2F555497"/>
    <w:rsid w:val="2F706A1C"/>
    <w:rsid w:val="2F7C57E3"/>
    <w:rsid w:val="2F870F73"/>
    <w:rsid w:val="2F885CBA"/>
    <w:rsid w:val="2F8A210A"/>
    <w:rsid w:val="2FC96F4D"/>
    <w:rsid w:val="2FF27EF5"/>
    <w:rsid w:val="300956B9"/>
    <w:rsid w:val="3017583F"/>
    <w:rsid w:val="301E5B54"/>
    <w:rsid w:val="302A5BF1"/>
    <w:rsid w:val="304A7D92"/>
    <w:rsid w:val="304D25D7"/>
    <w:rsid w:val="304E6130"/>
    <w:rsid w:val="305057E0"/>
    <w:rsid w:val="30511106"/>
    <w:rsid w:val="30523F83"/>
    <w:rsid w:val="305B1226"/>
    <w:rsid w:val="306F51C7"/>
    <w:rsid w:val="3070728D"/>
    <w:rsid w:val="30750BB9"/>
    <w:rsid w:val="30782058"/>
    <w:rsid w:val="307A5D98"/>
    <w:rsid w:val="307D6477"/>
    <w:rsid w:val="30805EAC"/>
    <w:rsid w:val="308B62DC"/>
    <w:rsid w:val="30A437CD"/>
    <w:rsid w:val="30CA57A8"/>
    <w:rsid w:val="30D97787"/>
    <w:rsid w:val="30DF7A33"/>
    <w:rsid w:val="30F57186"/>
    <w:rsid w:val="311704CD"/>
    <w:rsid w:val="31173B52"/>
    <w:rsid w:val="312754AD"/>
    <w:rsid w:val="313034EA"/>
    <w:rsid w:val="31397457"/>
    <w:rsid w:val="313F6D14"/>
    <w:rsid w:val="31470539"/>
    <w:rsid w:val="314C4C95"/>
    <w:rsid w:val="315B003E"/>
    <w:rsid w:val="31617017"/>
    <w:rsid w:val="31667A5F"/>
    <w:rsid w:val="316E37D9"/>
    <w:rsid w:val="31796840"/>
    <w:rsid w:val="31A03888"/>
    <w:rsid w:val="31A542BC"/>
    <w:rsid w:val="31BA39B2"/>
    <w:rsid w:val="31CA57E6"/>
    <w:rsid w:val="31F74DF2"/>
    <w:rsid w:val="32291F79"/>
    <w:rsid w:val="322D0015"/>
    <w:rsid w:val="325E52FA"/>
    <w:rsid w:val="325F5D8E"/>
    <w:rsid w:val="32610B83"/>
    <w:rsid w:val="32640FDA"/>
    <w:rsid w:val="327721BB"/>
    <w:rsid w:val="32871B10"/>
    <w:rsid w:val="32881493"/>
    <w:rsid w:val="32986985"/>
    <w:rsid w:val="32AC37C5"/>
    <w:rsid w:val="32B843D2"/>
    <w:rsid w:val="32BE672D"/>
    <w:rsid w:val="32C90757"/>
    <w:rsid w:val="32D72277"/>
    <w:rsid w:val="33084131"/>
    <w:rsid w:val="3309186F"/>
    <w:rsid w:val="330C6C16"/>
    <w:rsid w:val="330F5B6B"/>
    <w:rsid w:val="3325432A"/>
    <w:rsid w:val="332E27BB"/>
    <w:rsid w:val="33362E9B"/>
    <w:rsid w:val="3343065C"/>
    <w:rsid w:val="334D07E9"/>
    <w:rsid w:val="33511734"/>
    <w:rsid w:val="335520D3"/>
    <w:rsid w:val="336F1FFB"/>
    <w:rsid w:val="33722748"/>
    <w:rsid w:val="338317F2"/>
    <w:rsid w:val="338B1B32"/>
    <w:rsid w:val="339261D1"/>
    <w:rsid w:val="33A04AB6"/>
    <w:rsid w:val="33A239A6"/>
    <w:rsid w:val="33A53F16"/>
    <w:rsid w:val="33F42E9E"/>
    <w:rsid w:val="3406579A"/>
    <w:rsid w:val="34090E58"/>
    <w:rsid w:val="340D03E8"/>
    <w:rsid w:val="341A1389"/>
    <w:rsid w:val="34221E92"/>
    <w:rsid w:val="34237125"/>
    <w:rsid w:val="34326022"/>
    <w:rsid w:val="34435E81"/>
    <w:rsid w:val="3444440B"/>
    <w:rsid w:val="346D0BE4"/>
    <w:rsid w:val="348071C0"/>
    <w:rsid w:val="34956077"/>
    <w:rsid w:val="34A57BB5"/>
    <w:rsid w:val="34AE4681"/>
    <w:rsid w:val="34C477CE"/>
    <w:rsid w:val="34D8365B"/>
    <w:rsid w:val="34F02769"/>
    <w:rsid w:val="3538419A"/>
    <w:rsid w:val="3543315F"/>
    <w:rsid w:val="35524C03"/>
    <w:rsid w:val="355366C8"/>
    <w:rsid w:val="35541C0C"/>
    <w:rsid w:val="35567E75"/>
    <w:rsid w:val="356820CF"/>
    <w:rsid w:val="356B6E5A"/>
    <w:rsid w:val="357D3D07"/>
    <w:rsid w:val="357F2511"/>
    <w:rsid w:val="358165F7"/>
    <w:rsid w:val="35853E7A"/>
    <w:rsid w:val="35876F78"/>
    <w:rsid w:val="358C2EA1"/>
    <w:rsid w:val="358D3C11"/>
    <w:rsid w:val="35926521"/>
    <w:rsid w:val="359814A6"/>
    <w:rsid w:val="35B66958"/>
    <w:rsid w:val="35C46EC2"/>
    <w:rsid w:val="35D348B1"/>
    <w:rsid w:val="35F91167"/>
    <w:rsid w:val="360400C4"/>
    <w:rsid w:val="360549EF"/>
    <w:rsid w:val="3616383B"/>
    <w:rsid w:val="361D12BA"/>
    <w:rsid w:val="361E2896"/>
    <w:rsid w:val="361F5E5E"/>
    <w:rsid w:val="36225302"/>
    <w:rsid w:val="362930F7"/>
    <w:rsid w:val="36370855"/>
    <w:rsid w:val="363C29EA"/>
    <w:rsid w:val="36505E1E"/>
    <w:rsid w:val="3660183A"/>
    <w:rsid w:val="367678C3"/>
    <w:rsid w:val="367C3B77"/>
    <w:rsid w:val="368C11C2"/>
    <w:rsid w:val="368C165F"/>
    <w:rsid w:val="3693738C"/>
    <w:rsid w:val="36A30FDE"/>
    <w:rsid w:val="36A33058"/>
    <w:rsid w:val="36A45529"/>
    <w:rsid w:val="36B47245"/>
    <w:rsid w:val="36B74C66"/>
    <w:rsid w:val="36B85362"/>
    <w:rsid w:val="36BE2FBB"/>
    <w:rsid w:val="36C54C66"/>
    <w:rsid w:val="36C8527B"/>
    <w:rsid w:val="36D43F81"/>
    <w:rsid w:val="36D519FB"/>
    <w:rsid w:val="36E14325"/>
    <w:rsid w:val="36E27034"/>
    <w:rsid w:val="36EC5B17"/>
    <w:rsid w:val="36EF6A36"/>
    <w:rsid w:val="36F47657"/>
    <w:rsid w:val="37020FA7"/>
    <w:rsid w:val="37184242"/>
    <w:rsid w:val="371A0935"/>
    <w:rsid w:val="37251ACB"/>
    <w:rsid w:val="37252814"/>
    <w:rsid w:val="37390701"/>
    <w:rsid w:val="37413F7C"/>
    <w:rsid w:val="374E47CF"/>
    <w:rsid w:val="375353C6"/>
    <w:rsid w:val="37626D66"/>
    <w:rsid w:val="376478B5"/>
    <w:rsid w:val="377612B8"/>
    <w:rsid w:val="37831FC4"/>
    <w:rsid w:val="379D7CFC"/>
    <w:rsid w:val="37AD0095"/>
    <w:rsid w:val="37B74E02"/>
    <w:rsid w:val="37B84AE6"/>
    <w:rsid w:val="37BC293C"/>
    <w:rsid w:val="37BE0B01"/>
    <w:rsid w:val="37C1078C"/>
    <w:rsid w:val="37C20E34"/>
    <w:rsid w:val="37CF68FA"/>
    <w:rsid w:val="37D62031"/>
    <w:rsid w:val="37EC19E5"/>
    <w:rsid w:val="37FA5680"/>
    <w:rsid w:val="381C1B50"/>
    <w:rsid w:val="381F6693"/>
    <w:rsid w:val="38214461"/>
    <w:rsid w:val="38214DF0"/>
    <w:rsid w:val="383C427F"/>
    <w:rsid w:val="384A0E93"/>
    <w:rsid w:val="3852152C"/>
    <w:rsid w:val="385E49AF"/>
    <w:rsid w:val="38672A1D"/>
    <w:rsid w:val="386A47EC"/>
    <w:rsid w:val="38752FDA"/>
    <w:rsid w:val="38880797"/>
    <w:rsid w:val="38896F2E"/>
    <w:rsid w:val="3899161C"/>
    <w:rsid w:val="389C514F"/>
    <w:rsid w:val="38A94E2A"/>
    <w:rsid w:val="38B46488"/>
    <w:rsid w:val="38B51F9A"/>
    <w:rsid w:val="38C00073"/>
    <w:rsid w:val="38C71818"/>
    <w:rsid w:val="38D33914"/>
    <w:rsid w:val="38FD5389"/>
    <w:rsid w:val="39044BA0"/>
    <w:rsid w:val="390A5E3E"/>
    <w:rsid w:val="3910019B"/>
    <w:rsid w:val="39235BC7"/>
    <w:rsid w:val="39351A6D"/>
    <w:rsid w:val="394A61F1"/>
    <w:rsid w:val="394E34C3"/>
    <w:rsid w:val="395244D5"/>
    <w:rsid w:val="395247E6"/>
    <w:rsid w:val="39791CA3"/>
    <w:rsid w:val="39856AD9"/>
    <w:rsid w:val="399378EE"/>
    <w:rsid w:val="399F1D96"/>
    <w:rsid w:val="39A073FB"/>
    <w:rsid w:val="39A94467"/>
    <w:rsid w:val="39B76B2E"/>
    <w:rsid w:val="39B87A13"/>
    <w:rsid w:val="39BD138C"/>
    <w:rsid w:val="39C211F5"/>
    <w:rsid w:val="39C74768"/>
    <w:rsid w:val="39D546A6"/>
    <w:rsid w:val="39D932F6"/>
    <w:rsid w:val="39E937C0"/>
    <w:rsid w:val="39EC5EDB"/>
    <w:rsid w:val="3A020314"/>
    <w:rsid w:val="3A030B34"/>
    <w:rsid w:val="3A036FE4"/>
    <w:rsid w:val="3A21119D"/>
    <w:rsid w:val="3A27499C"/>
    <w:rsid w:val="3A320443"/>
    <w:rsid w:val="3A33286A"/>
    <w:rsid w:val="3A6508DA"/>
    <w:rsid w:val="3A6F6F30"/>
    <w:rsid w:val="3A8A62F3"/>
    <w:rsid w:val="3A940659"/>
    <w:rsid w:val="3ABE1210"/>
    <w:rsid w:val="3AD17928"/>
    <w:rsid w:val="3AD7153C"/>
    <w:rsid w:val="3AE809BE"/>
    <w:rsid w:val="3AEF0B93"/>
    <w:rsid w:val="3AFA2D4B"/>
    <w:rsid w:val="3B057354"/>
    <w:rsid w:val="3B195BF2"/>
    <w:rsid w:val="3B20299E"/>
    <w:rsid w:val="3B3D2A8B"/>
    <w:rsid w:val="3B425D1B"/>
    <w:rsid w:val="3B4C1CE2"/>
    <w:rsid w:val="3B522135"/>
    <w:rsid w:val="3B560250"/>
    <w:rsid w:val="3B5634D7"/>
    <w:rsid w:val="3B7E1D91"/>
    <w:rsid w:val="3B7F3F97"/>
    <w:rsid w:val="3B937499"/>
    <w:rsid w:val="3BB84719"/>
    <w:rsid w:val="3BBA36CF"/>
    <w:rsid w:val="3BC437A7"/>
    <w:rsid w:val="3BDF7FE6"/>
    <w:rsid w:val="3BE13EB9"/>
    <w:rsid w:val="3BE72C11"/>
    <w:rsid w:val="3BED480E"/>
    <w:rsid w:val="3BF83EF0"/>
    <w:rsid w:val="3BFE3213"/>
    <w:rsid w:val="3C0407D7"/>
    <w:rsid w:val="3C0A09FF"/>
    <w:rsid w:val="3C0A1B3C"/>
    <w:rsid w:val="3C0B697E"/>
    <w:rsid w:val="3C0F35E2"/>
    <w:rsid w:val="3C125A0E"/>
    <w:rsid w:val="3C1634D6"/>
    <w:rsid w:val="3C2B6A34"/>
    <w:rsid w:val="3C313C09"/>
    <w:rsid w:val="3C393828"/>
    <w:rsid w:val="3C494972"/>
    <w:rsid w:val="3C5413C2"/>
    <w:rsid w:val="3C5E595C"/>
    <w:rsid w:val="3C627F01"/>
    <w:rsid w:val="3C644522"/>
    <w:rsid w:val="3C6E4D87"/>
    <w:rsid w:val="3C7C5555"/>
    <w:rsid w:val="3C90774F"/>
    <w:rsid w:val="3CA32ECD"/>
    <w:rsid w:val="3CA93003"/>
    <w:rsid w:val="3CBC39E5"/>
    <w:rsid w:val="3CBC599A"/>
    <w:rsid w:val="3CBE6CC6"/>
    <w:rsid w:val="3CC10736"/>
    <w:rsid w:val="3CC879EE"/>
    <w:rsid w:val="3CD411DD"/>
    <w:rsid w:val="3CDB2040"/>
    <w:rsid w:val="3CED249E"/>
    <w:rsid w:val="3CF935A6"/>
    <w:rsid w:val="3CFA6919"/>
    <w:rsid w:val="3D0509E0"/>
    <w:rsid w:val="3D0A396D"/>
    <w:rsid w:val="3D112526"/>
    <w:rsid w:val="3D1B32A0"/>
    <w:rsid w:val="3D1B6CA7"/>
    <w:rsid w:val="3D237E7E"/>
    <w:rsid w:val="3D2B6FB0"/>
    <w:rsid w:val="3D2E65F0"/>
    <w:rsid w:val="3D421D5C"/>
    <w:rsid w:val="3D583073"/>
    <w:rsid w:val="3D5868C7"/>
    <w:rsid w:val="3D5A09B8"/>
    <w:rsid w:val="3D6964E3"/>
    <w:rsid w:val="3D6C58AA"/>
    <w:rsid w:val="3D882142"/>
    <w:rsid w:val="3D8A5622"/>
    <w:rsid w:val="3DAD2AFA"/>
    <w:rsid w:val="3DAF0665"/>
    <w:rsid w:val="3DAF14C4"/>
    <w:rsid w:val="3DBF5783"/>
    <w:rsid w:val="3DC00CAF"/>
    <w:rsid w:val="3DC27DA1"/>
    <w:rsid w:val="3DC322FD"/>
    <w:rsid w:val="3DE7293C"/>
    <w:rsid w:val="3DEC371C"/>
    <w:rsid w:val="3DED6C35"/>
    <w:rsid w:val="3DFA0188"/>
    <w:rsid w:val="3DFA4F10"/>
    <w:rsid w:val="3DFD736D"/>
    <w:rsid w:val="3E100C42"/>
    <w:rsid w:val="3E164261"/>
    <w:rsid w:val="3E1B2A2E"/>
    <w:rsid w:val="3E1F2BFB"/>
    <w:rsid w:val="3E3305AF"/>
    <w:rsid w:val="3E370553"/>
    <w:rsid w:val="3E3F6C08"/>
    <w:rsid w:val="3E472808"/>
    <w:rsid w:val="3E5765E8"/>
    <w:rsid w:val="3E582865"/>
    <w:rsid w:val="3E690219"/>
    <w:rsid w:val="3E765822"/>
    <w:rsid w:val="3E7F1FA7"/>
    <w:rsid w:val="3E8343AD"/>
    <w:rsid w:val="3E957EE6"/>
    <w:rsid w:val="3EA00311"/>
    <w:rsid w:val="3EB22D21"/>
    <w:rsid w:val="3ECF1096"/>
    <w:rsid w:val="3ED67EEE"/>
    <w:rsid w:val="3EE344A4"/>
    <w:rsid w:val="3EED12D6"/>
    <w:rsid w:val="3EF06205"/>
    <w:rsid w:val="3EFF3973"/>
    <w:rsid w:val="3F033EEC"/>
    <w:rsid w:val="3F0D0FE5"/>
    <w:rsid w:val="3F297F65"/>
    <w:rsid w:val="3F2E6578"/>
    <w:rsid w:val="3F30319A"/>
    <w:rsid w:val="3F312FA3"/>
    <w:rsid w:val="3F3C70A5"/>
    <w:rsid w:val="3F4107F9"/>
    <w:rsid w:val="3F4717A7"/>
    <w:rsid w:val="3F705B41"/>
    <w:rsid w:val="3F733930"/>
    <w:rsid w:val="3F755B23"/>
    <w:rsid w:val="3F834EA4"/>
    <w:rsid w:val="3FA73AAB"/>
    <w:rsid w:val="3FA7486C"/>
    <w:rsid w:val="3FAB2032"/>
    <w:rsid w:val="3FAE637D"/>
    <w:rsid w:val="3FC67FAD"/>
    <w:rsid w:val="3FD46CFF"/>
    <w:rsid w:val="3FDC10EC"/>
    <w:rsid w:val="3FDE0AAB"/>
    <w:rsid w:val="3FEA79FA"/>
    <w:rsid w:val="400341BD"/>
    <w:rsid w:val="400B56F7"/>
    <w:rsid w:val="400D50F7"/>
    <w:rsid w:val="401547A5"/>
    <w:rsid w:val="401A05FB"/>
    <w:rsid w:val="40315C9C"/>
    <w:rsid w:val="40334A38"/>
    <w:rsid w:val="40393F9B"/>
    <w:rsid w:val="403F20F4"/>
    <w:rsid w:val="403F5FCF"/>
    <w:rsid w:val="406D159C"/>
    <w:rsid w:val="406F7B03"/>
    <w:rsid w:val="40753BE0"/>
    <w:rsid w:val="407A54FD"/>
    <w:rsid w:val="407D4658"/>
    <w:rsid w:val="408612ED"/>
    <w:rsid w:val="4087535E"/>
    <w:rsid w:val="409135FA"/>
    <w:rsid w:val="409229A9"/>
    <w:rsid w:val="409F1B3C"/>
    <w:rsid w:val="40A34017"/>
    <w:rsid w:val="40BA0A03"/>
    <w:rsid w:val="40BD2854"/>
    <w:rsid w:val="40BF08E2"/>
    <w:rsid w:val="40C73BC6"/>
    <w:rsid w:val="40CB6FF9"/>
    <w:rsid w:val="40D966A1"/>
    <w:rsid w:val="40E67EF6"/>
    <w:rsid w:val="40EB76F5"/>
    <w:rsid w:val="40EF18B8"/>
    <w:rsid w:val="40FD4D9D"/>
    <w:rsid w:val="41084DB6"/>
    <w:rsid w:val="412734DB"/>
    <w:rsid w:val="412E7B13"/>
    <w:rsid w:val="41366BC1"/>
    <w:rsid w:val="4139248E"/>
    <w:rsid w:val="414C602A"/>
    <w:rsid w:val="416606D9"/>
    <w:rsid w:val="416C6EED"/>
    <w:rsid w:val="41761F42"/>
    <w:rsid w:val="417A3BC0"/>
    <w:rsid w:val="417A7CB0"/>
    <w:rsid w:val="417E5F1A"/>
    <w:rsid w:val="41851A73"/>
    <w:rsid w:val="418E1D02"/>
    <w:rsid w:val="41940277"/>
    <w:rsid w:val="41A67695"/>
    <w:rsid w:val="41AD760C"/>
    <w:rsid w:val="41B5335F"/>
    <w:rsid w:val="41BA47A3"/>
    <w:rsid w:val="41C83066"/>
    <w:rsid w:val="41E41EF7"/>
    <w:rsid w:val="420B5EA0"/>
    <w:rsid w:val="42121D5E"/>
    <w:rsid w:val="422B65F9"/>
    <w:rsid w:val="423015F2"/>
    <w:rsid w:val="42345C5E"/>
    <w:rsid w:val="4245738C"/>
    <w:rsid w:val="424764AF"/>
    <w:rsid w:val="42494E57"/>
    <w:rsid w:val="42496F03"/>
    <w:rsid w:val="424B3AA3"/>
    <w:rsid w:val="4260530C"/>
    <w:rsid w:val="426C2C66"/>
    <w:rsid w:val="428561BD"/>
    <w:rsid w:val="429500AC"/>
    <w:rsid w:val="42950AAD"/>
    <w:rsid w:val="429E5421"/>
    <w:rsid w:val="42A42845"/>
    <w:rsid w:val="42D245E4"/>
    <w:rsid w:val="42E83624"/>
    <w:rsid w:val="42ED6BDA"/>
    <w:rsid w:val="42ED75DE"/>
    <w:rsid w:val="42F147F3"/>
    <w:rsid w:val="42FE29C4"/>
    <w:rsid w:val="42FF6C92"/>
    <w:rsid w:val="430116F8"/>
    <w:rsid w:val="430265CD"/>
    <w:rsid w:val="43067246"/>
    <w:rsid w:val="43127743"/>
    <w:rsid w:val="4317715B"/>
    <w:rsid w:val="433933BD"/>
    <w:rsid w:val="433B3600"/>
    <w:rsid w:val="434729EA"/>
    <w:rsid w:val="434B681F"/>
    <w:rsid w:val="434F0027"/>
    <w:rsid w:val="435C782E"/>
    <w:rsid w:val="43620C1E"/>
    <w:rsid w:val="43632F8A"/>
    <w:rsid w:val="436A5A9D"/>
    <w:rsid w:val="436B0FB1"/>
    <w:rsid w:val="43753632"/>
    <w:rsid w:val="437F6ABE"/>
    <w:rsid w:val="438073C5"/>
    <w:rsid w:val="43831248"/>
    <w:rsid w:val="43945668"/>
    <w:rsid w:val="439E22AD"/>
    <w:rsid w:val="43A80BFC"/>
    <w:rsid w:val="43AA212A"/>
    <w:rsid w:val="43B203F5"/>
    <w:rsid w:val="43B62377"/>
    <w:rsid w:val="43CF60E9"/>
    <w:rsid w:val="43D0762D"/>
    <w:rsid w:val="43D807A7"/>
    <w:rsid w:val="43DC590D"/>
    <w:rsid w:val="43E04D06"/>
    <w:rsid w:val="43EF0757"/>
    <w:rsid w:val="43EF0A8B"/>
    <w:rsid w:val="43EF4BE4"/>
    <w:rsid w:val="43F213F8"/>
    <w:rsid w:val="43F42155"/>
    <w:rsid w:val="441861B1"/>
    <w:rsid w:val="441B1C40"/>
    <w:rsid w:val="441C6B14"/>
    <w:rsid w:val="44215CD2"/>
    <w:rsid w:val="443263A4"/>
    <w:rsid w:val="44354C47"/>
    <w:rsid w:val="443A28DF"/>
    <w:rsid w:val="444860C3"/>
    <w:rsid w:val="444A3528"/>
    <w:rsid w:val="444A6730"/>
    <w:rsid w:val="44562F02"/>
    <w:rsid w:val="445F176B"/>
    <w:rsid w:val="446C030A"/>
    <w:rsid w:val="44711FD0"/>
    <w:rsid w:val="4482352F"/>
    <w:rsid w:val="448A34DC"/>
    <w:rsid w:val="448E5FC2"/>
    <w:rsid w:val="44985D5B"/>
    <w:rsid w:val="449C2375"/>
    <w:rsid w:val="449C5BDE"/>
    <w:rsid w:val="449F47B6"/>
    <w:rsid w:val="44AC63D5"/>
    <w:rsid w:val="44CF236F"/>
    <w:rsid w:val="44D166AD"/>
    <w:rsid w:val="44D60DF3"/>
    <w:rsid w:val="44E32F53"/>
    <w:rsid w:val="44EB6563"/>
    <w:rsid w:val="44F776E7"/>
    <w:rsid w:val="44FA3F1F"/>
    <w:rsid w:val="44FF2F17"/>
    <w:rsid w:val="45125E77"/>
    <w:rsid w:val="45130207"/>
    <w:rsid w:val="451C5DEC"/>
    <w:rsid w:val="452504C6"/>
    <w:rsid w:val="45275E94"/>
    <w:rsid w:val="452D5DE3"/>
    <w:rsid w:val="454E7903"/>
    <w:rsid w:val="4553383D"/>
    <w:rsid w:val="4555775B"/>
    <w:rsid w:val="45566E45"/>
    <w:rsid w:val="455C5F0E"/>
    <w:rsid w:val="455D443E"/>
    <w:rsid w:val="455F1008"/>
    <w:rsid w:val="456B54B6"/>
    <w:rsid w:val="456E3A7F"/>
    <w:rsid w:val="45A31F17"/>
    <w:rsid w:val="45DA4D26"/>
    <w:rsid w:val="45E058DD"/>
    <w:rsid w:val="45E51EFC"/>
    <w:rsid w:val="45E71A39"/>
    <w:rsid w:val="45ED06C7"/>
    <w:rsid w:val="45F35282"/>
    <w:rsid w:val="45F67DC4"/>
    <w:rsid w:val="45FE46C7"/>
    <w:rsid w:val="460F04EB"/>
    <w:rsid w:val="46131677"/>
    <w:rsid w:val="461E4941"/>
    <w:rsid w:val="462610B6"/>
    <w:rsid w:val="462E3E26"/>
    <w:rsid w:val="463F43B4"/>
    <w:rsid w:val="46406734"/>
    <w:rsid w:val="464555B3"/>
    <w:rsid w:val="46474A3C"/>
    <w:rsid w:val="465D114F"/>
    <w:rsid w:val="46613624"/>
    <w:rsid w:val="466235D0"/>
    <w:rsid w:val="466A6D01"/>
    <w:rsid w:val="466B2C47"/>
    <w:rsid w:val="467C4B1F"/>
    <w:rsid w:val="46885ED6"/>
    <w:rsid w:val="46A37E97"/>
    <w:rsid w:val="46A65EAC"/>
    <w:rsid w:val="46AF060C"/>
    <w:rsid w:val="46C877E3"/>
    <w:rsid w:val="46D42FBF"/>
    <w:rsid w:val="46DC6915"/>
    <w:rsid w:val="46E85BBD"/>
    <w:rsid w:val="46EA47E3"/>
    <w:rsid w:val="46F0752A"/>
    <w:rsid w:val="46F32DF2"/>
    <w:rsid w:val="46F639EA"/>
    <w:rsid w:val="46FF611F"/>
    <w:rsid w:val="470011D8"/>
    <w:rsid w:val="47157D24"/>
    <w:rsid w:val="471613FD"/>
    <w:rsid w:val="47302431"/>
    <w:rsid w:val="473F4D6D"/>
    <w:rsid w:val="475E294E"/>
    <w:rsid w:val="476A40E4"/>
    <w:rsid w:val="476F371A"/>
    <w:rsid w:val="47726166"/>
    <w:rsid w:val="47753586"/>
    <w:rsid w:val="477731F7"/>
    <w:rsid w:val="478004FD"/>
    <w:rsid w:val="4799246D"/>
    <w:rsid w:val="47996DE7"/>
    <w:rsid w:val="47B211CD"/>
    <w:rsid w:val="47B96642"/>
    <w:rsid w:val="47BA42F7"/>
    <w:rsid w:val="47BD6B0C"/>
    <w:rsid w:val="47BE08B8"/>
    <w:rsid w:val="47C1119D"/>
    <w:rsid w:val="47C71CF6"/>
    <w:rsid w:val="47CB05B3"/>
    <w:rsid w:val="47CF48E6"/>
    <w:rsid w:val="47E3417C"/>
    <w:rsid w:val="47E44837"/>
    <w:rsid w:val="47E9232D"/>
    <w:rsid w:val="47FA0290"/>
    <w:rsid w:val="480802D2"/>
    <w:rsid w:val="48202948"/>
    <w:rsid w:val="482C7F3E"/>
    <w:rsid w:val="482F4B42"/>
    <w:rsid w:val="48370732"/>
    <w:rsid w:val="483A3CDC"/>
    <w:rsid w:val="483E3DF4"/>
    <w:rsid w:val="48440B50"/>
    <w:rsid w:val="4845499E"/>
    <w:rsid w:val="48467554"/>
    <w:rsid w:val="484A57C9"/>
    <w:rsid w:val="485869D1"/>
    <w:rsid w:val="485B0CEE"/>
    <w:rsid w:val="486A2F89"/>
    <w:rsid w:val="486A7091"/>
    <w:rsid w:val="487E133B"/>
    <w:rsid w:val="487E1907"/>
    <w:rsid w:val="489302D3"/>
    <w:rsid w:val="48A95587"/>
    <w:rsid w:val="48AB7621"/>
    <w:rsid w:val="48B9640F"/>
    <w:rsid w:val="48D6119E"/>
    <w:rsid w:val="48DC11EF"/>
    <w:rsid w:val="48DC7AB4"/>
    <w:rsid w:val="48F463D7"/>
    <w:rsid w:val="49137CC2"/>
    <w:rsid w:val="49157FF3"/>
    <w:rsid w:val="491D4C4A"/>
    <w:rsid w:val="492B5EE6"/>
    <w:rsid w:val="492E0093"/>
    <w:rsid w:val="494008D5"/>
    <w:rsid w:val="49503494"/>
    <w:rsid w:val="49771AA3"/>
    <w:rsid w:val="4987534B"/>
    <w:rsid w:val="4989479E"/>
    <w:rsid w:val="4990770C"/>
    <w:rsid w:val="49917F8D"/>
    <w:rsid w:val="49A263EF"/>
    <w:rsid w:val="49A425F6"/>
    <w:rsid w:val="49C37312"/>
    <w:rsid w:val="49CA67FB"/>
    <w:rsid w:val="49D64880"/>
    <w:rsid w:val="49DF36FD"/>
    <w:rsid w:val="49FF46EA"/>
    <w:rsid w:val="4A066F45"/>
    <w:rsid w:val="4A29593A"/>
    <w:rsid w:val="4A2D659A"/>
    <w:rsid w:val="4A440F92"/>
    <w:rsid w:val="4A484FA8"/>
    <w:rsid w:val="4A4B31D0"/>
    <w:rsid w:val="4A5008B8"/>
    <w:rsid w:val="4A5327F7"/>
    <w:rsid w:val="4A5D327F"/>
    <w:rsid w:val="4A6031D6"/>
    <w:rsid w:val="4A6C0C9D"/>
    <w:rsid w:val="4A7438F5"/>
    <w:rsid w:val="4A800330"/>
    <w:rsid w:val="4A8A5DD7"/>
    <w:rsid w:val="4A94069F"/>
    <w:rsid w:val="4AAC3DEE"/>
    <w:rsid w:val="4ABA6455"/>
    <w:rsid w:val="4AC13A27"/>
    <w:rsid w:val="4ACC35E4"/>
    <w:rsid w:val="4AD4632E"/>
    <w:rsid w:val="4AD510B3"/>
    <w:rsid w:val="4ADE2157"/>
    <w:rsid w:val="4AEA5A16"/>
    <w:rsid w:val="4B156ED7"/>
    <w:rsid w:val="4B254BBA"/>
    <w:rsid w:val="4B3921F1"/>
    <w:rsid w:val="4B395B93"/>
    <w:rsid w:val="4B3B3F7A"/>
    <w:rsid w:val="4B3C574B"/>
    <w:rsid w:val="4B4C0804"/>
    <w:rsid w:val="4B524B16"/>
    <w:rsid w:val="4B700705"/>
    <w:rsid w:val="4B897E7B"/>
    <w:rsid w:val="4B9E76A1"/>
    <w:rsid w:val="4BA07421"/>
    <w:rsid w:val="4BA47330"/>
    <w:rsid w:val="4BB45D3A"/>
    <w:rsid w:val="4BBD740C"/>
    <w:rsid w:val="4BC61278"/>
    <w:rsid w:val="4BD7195F"/>
    <w:rsid w:val="4BE209B2"/>
    <w:rsid w:val="4BE73AB6"/>
    <w:rsid w:val="4BEB7A29"/>
    <w:rsid w:val="4BF7017C"/>
    <w:rsid w:val="4BFA0524"/>
    <w:rsid w:val="4BFA0B0F"/>
    <w:rsid w:val="4BFE6946"/>
    <w:rsid w:val="4C073373"/>
    <w:rsid w:val="4C142FCB"/>
    <w:rsid w:val="4C205478"/>
    <w:rsid w:val="4C2A48E6"/>
    <w:rsid w:val="4C2D0BBA"/>
    <w:rsid w:val="4C2D4EE5"/>
    <w:rsid w:val="4C3333EA"/>
    <w:rsid w:val="4C3349C8"/>
    <w:rsid w:val="4C3B5CCF"/>
    <w:rsid w:val="4C444BC6"/>
    <w:rsid w:val="4C512762"/>
    <w:rsid w:val="4C5935D6"/>
    <w:rsid w:val="4C5C21F0"/>
    <w:rsid w:val="4C6C66B6"/>
    <w:rsid w:val="4C7354D1"/>
    <w:rsid w:val="4C8133D9"/>
    <w:rsid w:val="4C885087"/>
    <w:rsid w:val="4C887846"/>
    <w:rsid w:val="4C8B4210"/>
    <w:rsid w:val="4C9A603A"/>
    <w:rsid w:val="4C9E3230"/>
    <w:rsid w:val="4CAA47F4"/>
    <w:rsid w:val="4CC50305"/>
    <w:rsid w:val="4CC92E4D"/>
    <w:rsid w:val="4CCE4326"/>
    <w:rsid w:val="4CD83053"/>
    <w:rsid w:val="4CEE2E7B"/>
    <w:rsid w:val="4CF34D09"/>
    <w:rsid w:val="4D1074C4"/>
    <w:rsid w:val="4D1453A1"/>
    <w:rsid w:val="4D160CA4"/>
    <w:rsid w:val="4D182048"/>
    <w:rsid w:val="4D2109C7"/>
    <w:rsid w:val="4D292970"/>
    <w:rsid w:val="4D3A6378"/>
    <w:rsid w:val="4D636AA6"/>
    <w:rsid w:val="4D6C3FF3"/>
    <w:rsid w:val="4D6F06FD"/>
    <w:rsid w:val="4D706416"/>
    <w:rsid w:val="4D712B68"/>
    <w:rsid w:val="4D7152BA"/>
    <w:rsid w:val="4D781BD3"/>
    <w:rsid w:val="4D796952"/>
    <w:rsid w:val="4D8462F2"/>
    <w:rsid w:val="4D8C6FEA"/>
    <w:rsid w:val="4D8D12EA"/>
    <w:rsid w:val="4DA540AA"/>
    <w:rsid w:val="4DA54260"/>
    <w:rsid w:val="4DA6571D"/>
    <w:rsid w:val="4DB943B7"/>
    <w:rsid w:val="4DBA03A5"/>
    <w:rsid w:val="4DBC7E02"/>
    <w:rsid w:val="4DE27231"/>
    <w:rsid w:val="4DEC065F"/>
    <w:rsid w:val="4DFA63A2"/>
    <w:rsid w:val="4E0C0984"/>
    <w:rsid w:val="4E2B24BE"/>
    <w:rsid w:val="4E3319C0"/>
    <w:rsid w:val="4E524B56"/>
    <w:rsid w:val="4E53502D"/>
    <w:rsid w:val="4E5527BD"/>
    <w:rsid w:val="4E5614B2"/>
    <w:rsid w:val="4E670304"/>
    <w:rsid w:val="4E7042AD"/>
    <w:rsid w:val="4E7D14F8"/>
    <w:rsid w:val="4E8207E6"/>
    <w:rsid w:val="4E83414D"/>
    <w:rsid w:val="4E8B6A69"/>
    <w:rsid w:val="4E935707"/>
    <w:rsid w:val="4E960D5A"/>
    <w:rsid w:val="4E9F15A8"/>
    <w:rsid w:val="4EAB14EF"/>
    <w:rsid w:val="4EAE51E1"/>
    <w:rsid w:val="4EB21078"/>
    <w:rsid w:val="4EB43E28"/>
    <w:rsid w:val="4EB93189"/>
    <w:rsid w:val="4EBD3787"/>
    <w:rsid w:val="4ECD42A8"/>
    <w:rsid w:val="4ED36B4B"/>
    <w:rsid w:val="4ED4406E"/>
    <w:rsid w:val="4ED77056"/>
    <w:rsid w:val="4ED95A25"/>
    <w:rsid w:val="4EE91AC3"/>
    <w:rsid w:val="4EF55E8B"/>
    <w:rsid w:val="4EF73041"/>
    <w:rsid w:val="4F005CEA"/>
    <w:rsid w:val="4F0D4D80"/>
    <w:rsid w:val="4F0F3074"/>
    <w:rsid w:val="4F156389"/>
    <w:rsid w:val="4F303395"/>
    <w:rsid w:val="4F3676BD"/>
    <w:rsid w:val="4F3E1584"/>
    <w:rsid w:val="4F493F7E"/>
    <w:rsid w:val="4F744213"/>
    <w:rsid w:val="4F7D5A44"/>
    <w:rsid w:val="4F7E11AA"/>
    <w:rsid w:val="4F833763"/>
    <w:rsid w:val="4FAE70BA"/>
    <w:rsid w:val="4FDA65C7"/>
    <w:rsid w:val="4FE47214"/>
    <w:rsid w:val="4FF21A14"/>
    <w:rsid w:val="4FF37EB5"/>
    <w:rsid w:val="4FFB113A"/>
    <w:rsid w:val="4FFB72CC"/>
    <w:rsid w:val="4FFC6412"/>
    <w:rsid w:val="4FFD7551"/>
    <w:rsid w:val="500371F3"/>
    <w:rsid w:val="50044784"/>
    <w:rsid w:val="500F76AD"/>
    <w:rsid w:val="5011199A"/>
    <w:rsid w:val="503F097C"/>
    <w:rsid w:val="504052FF"/>
    <w:rsid w:val="504C343A"/>
    <w:rsid w:val="505B456E"/>
    <w:rsid w:val="5064188A"/>
    <w:rsid w:val="50663347"/>
    <w:rsid w:val="50901C86"/>
    <w:rsid w:val="50923127"/>
    <w:rsid w:val="509A33BF"/>
    <w:rsid w:val="509F3E73"/>
    <w:rsid w:val="50CD1B44"/>
    <w:rsid w:val="50CE2144"/>
    <w:rsid w:val="50D63F49"/>
    <w:rsid w:val="50DF1410"/>
    <w:rsid w:val="50E64152"/>
    <w:rsid w:val="50EE454C"/>
    <w:rsid w:val="50EF5AAA"/>
    <w:rsid w:val="50F24AB9"/>
    <w:rsid w:val="50FB185E"/>
    <w:rsid w:val="50FB5424"/>
    <w:rsid w:val="510A69FF"/>
    <w:rsid w:val="51356354"/>
    <w:rsid w:val="5147196D"/>
    <w:rsid w:val="51515F0B"/>
    <w:rsid w:val="51660149"/>
    <w:rsid w:val="517F6570"/>
    <w:rsid w:val="51861CEC"/>
    <w:rsid w:val="51954863"/>
    <w:rsid w:val="51B72617"/>
    <w:rsid w:val="51C428A5"/>
    <w:rsid w:val="51D53B07"/>
    <w:rsid w:val="51ED010B"/>
    <w:rsid w:val="51F123C6"/>
    <w:rsid w:val="52003E5F"/>
    <w:rsid w:val="5204497D"/>
    <w:rsid w:val="520D2B9E"/>
    <w:rsid w:val="52116B13"/>
    <w:rsid w:val="52315168"/>
    <w:rsid w:val="52360CD6"/>
    <w:rsid w:val="52525C9B"/>
    <w:rsid w:val="5260378F"/>
    <w:rsid w:val="526A369A"/>
    <w:rsid w:val="52734831"/>
    <w:rsid w:val="52746F37"/>
    <w:rsid w:val="5284259D"/>
    <w:rsid w:val="528A57F2"/>
    <w:rsid w:val="52A218CF"/>
    <w:rsid w:val="52A24834"/>
    <w:rsid w:val="52A41744"/>
    <w:rsid w:val="52AA713C"/>
    <w:rsid w:val="52BB346E"/>
    <w:rsid w:val="52C42A09"/>
    <w:rsid w:val="52D26BEE"/>
    <w:rsid w:val="52E70E29"/>
    <w:rsid w:val="52EB2EE8"/>
    <w:rsid w:val="52EF0E6B"/>
    <w:rsid w:val="52F5703F"/>
    <w:rsid w:val="5302364A"/>
    <w:rsid w:val="530B7675"/>
    <w:rsid w:val="53176D68"/>
    <w:rsid w:val="53182EE8"/>
    <w:rsid w:val="533B0DA2"/>
    <w:rsid w:val="533B282E"/>
    <w:rsid w:val="53435F92"/>
    <w:rsid w:val="5349466B"/>
    <w:rsid w:val="536426EC"/>
    <w:rsid w:val="536A5A73"/>
    <w:rsid w:val="536E084C"/>
    <w:rsid w:val="53723F19"/>
    <w:rsid w:val="53903B0B"/>
    <w:rsid w:val="539F241E"/>
    <w:rsid w:val="53A71CB4"/>
    <w:rsid w:val="53BC4E44"/>
    <w:rsid w:val="53C35A17"/>
    <w:rsid w:val="53C54846"/>
    <w:rsid w:val="53C621F8"/>
    <w:rsid w:val="53C802E7"/>
    <w:rsid w:val="53CC5064"/>
    <w:rsid w:val="53D04307"/>
    <w:rsid w:val="53DE533F"/>
    <w:rsid w:val="53E66D19"/>
    <w:rsid w:val="53EF394D"/>
    <w:rsid w:val="53F33A62"/>
    <w:rsid w:val="53FC1BBC"/>
    <w:rsid w:val="54023A22"/>
    <w:rsid w:val="5413200E"/>
    <w:rsid w:val="54161716"/>
    <w:rsid w:val="54167583"/>
    <w:rsid w:val="542C1A76"/>
    <w:rsid w:val="542D36C4"/>
    <w:rsid w:val="544B16F0"/>
    <w:rsid w:val="545D2468"/>
    <w:rsid w:val="545E2D63"/>
    <w:rsid w:val="54612DF0"/>
    <w:rsid w:val="5470177B"/>
    <w:rsid w:val="54825D78"/>
    <w:rsid w:val="54946345"/>
    <w:rsid w:val="549D2709"/>
    <w:rsid w:val="54B55106"/>
    <w:rsid w:val="54C13598"/>
    <w:rsid w:val="54C15975"/>
    <w:rsid w:val="54E34C01"/>
    <w:rsid w:val="54EA55EC"/>
    <w:rsid w:val="54EF43AE"/>
    <w:rsid w:val="54F27DD2"/>
    <w:rsid w:val="54F46CC6"/>
    <w:rsid w:val="54FE723E"/>
    <w:rsid w:val="55001038"/>
    <w:rsid w:val="55006462"/>
    <w:rsid w:val="55123192"/>
    <w:rsid w:val="55196BA4"/>
    <w:rsid w:val="552504D2"/>
    <w:rsid w:val="55277839"/>
    <w:rsid w:val="55391C56"/>
    <w:rsid w:val="554945E7"/>
    <w:rsid w:val="55522981"/>
    <w:rsid w:val="555645D5"/>
    <w:rsid w:val="556F70D3"/>
    <w:rsid w:val="557D0103"/>
    <w:rsid w:val="558D10BD"/>
    <w:rsid w:val="5590790E"/>
    <w:rsid w:val="55954E44"/>
    <w:rsid w:val="55A634BE"/>
    <w:rsid w:val="55AB1512"/>
    <w:rsid w:val="55AC7F82"/>
    <w:rsid w:val="55CC7809"/>
    <w:rsid w:val="55D74DD0"/>
    <w:rsid w:val="55F04EF7"/>
    <w:rsid w:val="55FD53A7"/>
    <w:rsid w:val="561064BB"/>
    <w:rsid w:val="561D5362"/>
    <w:rsid w:val="563120E6"/>
    <w:rsid w:val="563A61C7"/>
    <w:rsid w:val="56495266"/>
    <w:rsid w:val="564B614A"/>
    <w:rsid w:val="5651403E"/>
    <w:rsid w:val="56540956"/>
    <w:rsid w:val="56701009"/>
    <w:rsid w:val="56775395"/>
    <w:rsid w:val="56A61D41"/>
    <w:rsid w:val="56B73E49"/>
    <w:rsid w:val="56BD0E23"/>
    <w:rsid w:val="56BD121C"/>
    <w:rsid w:val="56D970D9"/>
    <w:rsid w:val="56E84BA2"/>
    <w:rsid w:val="56F931AD"/>
    <w:rsid w:val="573C2A8E"/>
    <w:rsid w:val="574120F7"/>
    <w:rsid w:val="575063C6"/>
    <w:rsid w:val="575600DC"/>
    <w:rsid w:val="575A0B49"/>
    <w:rsid w:val="575A357D"/>
    <w:rsid w:val="5782471B"/>
    <w:rsid w:val="579D7185"/>
    <w:rsid w:val="57AD0E51"/>
    <w:rsid w:val="57B03DC0"/>
    <w:rsid w:val="57C3573D"/>
    <w:rsid w:val="57E43295"/>
    <w:rsid w:val="57F33AB4"/>
    <w:rsid w:val="57F572EC"/>
    <w:rsid w:val="57FE20C4"/>
    <w:rsid w:val="580836A9"/>
    <w:rsid w:val="581A3A8D"/>
    <w:rsid w:val="581A7442"/>
    <w:rsid w:val="581B3C2E"/>
    <w:rsid w:val="581D49D2"/>
    <w:rsid w:val="582F3E21"/>
    <w:rsid w:val="58561CF6"/>
    <w:rsid w:val="585C5A3C"/>
    <w:rsid w:val="58614E02"/>
    <w:rsid w:val="58687C11"/>
    <w:rsid w:val="5872167F"/>
    <w:rsid w:val="587E2C9C"/>
    <w:rsid w:val="58824055"/>
    <w:rsid w:val="5887062C"/>
    <w:rsid w:val="588B2565"/>
    <w:rsid w:val="588C4877"/>
    <w:rsid w:val="589B6AAC"/>
    <w:rsid w:val="58A96C51"/>
    <w:rsid w:val="58AD54F4"/>
    <w:rsid w:val="58B66C6D"/>
    <w:rsid w:val="58C60471"/>
    <w:rsid w:val="58DA3DB2"/>
    <w:rsid w:val="58DF0A00"/>
    <w:rsid w:val="58E85138"/>
    <w:rsid w:val="58E85E32"/>
    <w:rsid w:val="58FC53F2"/>
    <w:rsid w:val="59036F47"/>
    <w:rsid w:val="59064C40"/>
    <w:rsid w:val="59095AEE"/>
    <w:rsid w:val="59227F6D"/>
    <w:rsid w:val="59255C86"/>
    <w:rsid w:val="59300EFA"/>
    <w:rsid w:val="593363C0"/>
    <w:rsid w:val="59345C07"/>
    <w:rsid w:val="593B3AA6"/>
    <w:rsid w:val="594F4B4C"/>
    <w:rsid w:val="594F6669"/>
    <w:rsid w:val="59545B23"/>
    <w:rsid w:val="595474C6"/>
    <w:rsid w:val="5967165C"/>
    <w:rsid w:val="59973B4D"/>
    <w:rsid w:val="59A47DD4"/>
    <w:rsid w:val="59A86BD3"/>
    <w:rsid w:val="59AE0F67"/>
    <w:rsid w:val="59AF7CD8"/>
    <w:rsid w:val="59C516CA"/>
    <w:rsid w:val="59C86C0D"/>
    <w:rsid w:val="59D67BEA"/>
    <w:rsid w:val="59DE11B6"/>
    <w:rsid w:val="59DF37E0"/>
    <w:rsid w:val="59DF60CA"/>
    <w:rsid w:val="59E92D36"/>
    <w:rsid w:val="59F474CF"/>
    <w:rsid w:val="59F659F0"/>
    <w:rsid w:val="5A051343"/>
    <w:rsid w:val="5A1B58B7"/>
    <w:rsid w:val="5A2E4A69"/>
    <w:rsid w:val="5A431FDD"/>
    <w:rsid w:val="5A6736BA"/>
    <w:rsid w:val="5A6E2861"/>
    <w:rsid w:val="5A716BB0"/>
    <w:rsid w:val="5A73645F"/>
    <w:rsid w:val="5A790FE7"/>
    <w:rsid w:val="5A7F2D5A"/>
    <w:rsid w:val="5A8B4DEA"/>
    <w:rsid w:val="5AA52521"/>
    <w:rsid w:val="5AB4071A"/>
    <w:rsid w:val="5AC10FE6"/>
    <w:rsid w:val="5AD84079"/>
    <w:rsid w:val="5AE06DA8"/>
    <w:rsid w:val="5AE21E0D"/>
    <w:rsid w:val="5AE66825"/>
    <w:rsid w:val="5AE83E91"/>
    <w:rsid w:val="5AEF41B3"/>
    <w:rsid w:val="5AF03A67"/>
    <w:rsid w:val="5AFE017F"/>
    <w:rsid w:val="5AFF4BD1"/>
    <w:rsid w:val="5B072190"/>
    <w:rsid w:val="5B077442"/>
    <w:rsid w:val="5B0A418E"/>
    <w:rsid w:val="5B0D1A0C"/>
    <w:rsid w:val="5B1B3E9F"/>
    <w:rsid w:val="5B270D0A"/>
    <w:rsid w:val="5B287728"/>
    <w:rsid w:val="5B2A43F3"/>
    <w:rsid w:val="5B337116"/>
    <w:rsid w:val="5B38708C"/>
    <w:rsid w:val="5B3A076A"/>
    <w:rsid w:val="5B3E4B80"/>
    <w:rsid w:val="5B5759F5"/>
    <w:rsid w:val="5B5B1104"/>
    <w:rsid w:val="5B5F51E7"/>
    <w:rsid w:val="5B6D4108"/>
    <w:rsid w:val="5B6F7B17"/>
    <w:rsid w:val="5B826EA7"/>
    <w:rsid w:val="5B846880"/>
    <w:rsid w:val="5B8B6C44"/>
    <w:rsid w:val="5B967916"/>
    <w:rsid w:val="5B974CD1"/>
    <w:rsid w:val="5B9F093D"/>
    <w:rsid w:val="5BA57979"/>
    <w:rsid w:val="5BA57E3A"/>
    <w:rsid w:val="5BBF76AC"/>
    <w:rsid w:val="5BC55042"/>
    <w:rsid w:val="5BC72D16"/>
    <w:rsid w:val="5BCB22F7"/>
    <w:rsid w:val="5BD6307B"/>
    <w:rsid w:val="5BDD02C7"/>
    <w:rsid w:val="5BE400AC"/>
    <w:rsid w:val="5BF50388"/>
    <w:rsid w:val="5C010583"/>
    <w:rsid w:val="5C0F26F2"/>
    <w:rsid w:val="5C154517"/>
    <w:rsid w:val="5C1661BB"/>
    <w:rsid w:val="5C3201AC"/>
    <w:rsid w:val="5C5054EA"/>
    <w:rsid w:val="5C6911F0"/>
    <w:rsid w:val="5C747C8E"/>
    <w:rsid w:val="5C977D11"/>
    <w:rsid w:val="5CAC5E8E"/>
    <w:rsid w:val="5CB90084"/>
    <w:rsid w:val="5CC06C28"/>
    <w:rsid w:val="5CC12FA2"/>
    <w:rsid w:val="5CD25191"/>
    <w:rsid w:val="5CDD39D2"/>
    <w:rsid w:val="5CDE2AE2"/>
    <w:rsid w:val="5CE239FE"/>
    <w:rsid w:val="5CF356FE"/>
    <w:rsid w:val="5D02541E"/>
    <w:rsid w:val="5D055A44"/>
    <w:rsid w:val="5D0C51F3"/>
    <w:rsid w:val="5D0E4AC4"/>
    <w:rsid w:val="5D450CDE"/>
    <w:rsid w:val="5D574865"/>
    <w:rsid w:val="5D5A4BAB"/>
    <w:rsid w:val="5D6915D4"/>
    <w:rsid w:val="5D6B5A6D"/>
    <w:rsid w:val="5DA83164"/>
    <w:rsid w:val="5DAE62A8"/>
    <w:rsid w:val="5DD574CE"/>
    <w:rsid w:val="5DD66F83"/>
    <w:rsid w:val="5DD71ADB"/>
    <w:rsid w:val="5DE64B56"/>
    <w:rsid w:val="5DF20D41"/>
    <w:rsid w:val="5E041870"/>
    <w:rsid w:val="5E0F1F78"/>
    <w:rsid w:val="5E1734D3"/>
    <w:rsid w:val="5E184EA0"/>
    <w:rsid w:val="5E2956B2"/>
    <w:rsid w:val="5E371C19"/>
    <w:rsid w:val="5E3A6A3C"/>
    <w:rsid w:val="5E3C48D1"/>
    <w:rsid w:val="5E3D56BB"/>
    <w:rsid w:val="5E570970"/>
    <w:rsid w:val="5E5736FC"/>
    <w:rsid w:val="5E57513E"/>
    <w:rsid w:val="5E67680E"/>
    <w:rsid w:val="5E7045F9"/>
    <w:rsid w:val="5E7E3A1E"/>
    <w:rsid w:val="5EA71FBC"/>
    <w:rsid w:val="5EB8449C"/>
    <w:rsid w:val="5EBB710F"/>
    <w:rsid w:val="5ECB1CF7"/>
    <w:rsid w:val="5ED37B26"/>
    <w:rsid w:val="5ED616F2"/>
    <w:rsid w:val="5EE91272"/>
    <w:rsid w:val="5EED6C09"/>
    <w:rsid w:val="5EEE7656"/>
    <w:rsid w:val="5EFC12A6"/>
    <w:rsid w:val="5F073DFF"/>
    <w:rsid w:val="5F09081D"/>
    <w:rsid w:val="5F105689"/>
    <w:rsid w:val="5F18053E"/>
    <w:rsid w:val="5F1C18FE"/>
    <w:rsid w:val="5F201755"/>
    <w:rsid w:val="5F217F23"/>
    <w:rsid w:val="5F2918B8"/>
    <w:rsid w:val="5F2A46E8"/>
    <w:rsid w:val="5F36029E"/>
    <w:rsid w:val="5F3C499B"/>
    <w:rsid w:val="5F453D33"/>
    <w:rsid w:val="5F5C0B96"/>
    <w:rsid w:val="5F5D28A3"/>
    <w:rsid w:val="5F64348D"/>
    <w:rsid w:val="5F7A17B7"/>
    <w:rsid w:val="5F8010D4"/>
    <w:rsid w:val="5F8500EA"/>
    <w:rsid w:val="5F8D61F1"/>
    <w:rsid w:val="5F8F249E"/>
    <w:rsid w:val="5F954E39"/>
    <w:rsid w:val="5F9941F9"/>
    <w:rsid w:val="5FA5269D"/>
    <w:rsid w:val="5FA6034F"/>
    <w:rsid w:val="5FB833C8"/>
    <w:rsid w:val="5FD32CB4"/>
    <w:rsid w:val="5FD764A9"/>
    <w:rsid w:val="5FDB71CF"/>
    <w:rsid w:val="5FEC1CD1"/>
    <w:rsid w:val="5FF947FA"/>
    <w:rsid w:val="5FFD4271"/>
    <w:rsid w:val="6006498B"/>
    <w:rsid w:val="600E426F"/>
    <w:rsid w:val="60156944"/>
    <w:rsid w:val="601A066D"/>
    <w:rsid w:val="60205598"/>
    <w:rsid w:val="602D7EF2"/>
    <w:rsid w:val="604106CF"/>
    <w:rsid w:val="60457CB7"/>
    <w:rsid w:val="604E1779"/>
    <w:rsid w:val="604F6C39"/>
    <w:rsid w:val="60877216"/>
    <w:rsid w:val="608C7AD1"/>
    <w:rsid w:val="608F5286"/>
    <w:rsid w:val="60997EA3"/>
    <w:rsid w:val="60A71AE0"/>
    <w:rsid w:val="60C478CB"/>
    <w:rsid w:val="60DE70EB"/>
    <w:rsid w:val="60F94466"/>
    <w:rsid w:val="60FC0E0C"/>
    <w:rsid w:val="611D49A9"/>
    <w:rsid w:val="613668F2"/>
    <w:rsid w:val="613C5532"/>
    <w:rsid w:val="615A729C"/>
    <w:rsid w:val="616318C8"/>
    <w:rsid w:val="616C0654"/>
    <w:rsid w:val="61751D0C"/>
    <w:rsid w:val="617A2D88"/>
    <w:rsid w:val="617F1E89"/>
    <w:rsid w:val="617F41E8"/>
    <w:rsid w:val="618F7A6A"/>
    <w:rsid w:val="619344AE"/>
    <w:rsid w:val="619C5D45"/>
    <w:rsid w:val="61B22094"/>
    <w:rsid w:val="61B772AC"/>
    <w:rsid w:val="61C30942"/>
    <w:rsid w:val="61CA313F"/>
    <w:rsid w:val="61CA66C1"/>
    <w:rsid w:val="61E167D5"/>
    <w:rsid w:val="61F05C53"/>
    <w:rsid w:val="61F81E22"/>
    <w:rsid w:val="62152D36"/>
    <w:rsid w:val="621648D7"/>
    <w:rsid w:val="62201FDB"/>
    <w:rsid w:val="622944CD"/>
    <w:rsid w:val="62322927"/>
    <w:rsid w:val="62421483"/>
    <w:rsid w:val="62490A98"/>
    <w:rsid w:val="624B4A75"/>
    <w:rsid w:val="624D5BFD"/>
    <w:rsid w:val="62690B27"/>
    <w:rsid w:val="62691365"/>
    <w:rsid w:val="626C425D"/>
    <w:rsid w:val="627C5FAA"/>
    <w:rsid w:val="628D506D"/>
    <w:rsid w:val="62977436"/>
    <w:rsid w:val="629E3DC2"/>
    <w:rsid w:val="62A9227D"/>
    <w:rsid w:val="62AB111E"/>
    <w:rsid w:val="62B072EC"/>
    <w:rsid w:val="62BB1838"/>
    <w:rsid w:val="62BC123C"/>
    <w:rsid w:val="62C32938"/>
    <w:rsid w:val="62C343B2"/>
    <w:rsid w:val="62E6522C"/>
    <w:rsid w:val="62FB5F59"/>
    <w:rsid w:val="63000A92"/>
    <w:rsid w:val="63196A83"/>
    <w:rsid w:val="632E4782"/>
    <w:rsid w:val="633B1904"/>
    <w:rsid w:val="633E7A88"/>
    <w:rsid w:val="634066F3"/>
    <w:rsid w:val="634A3868"/>
    <w:rsid w:val="635054B9"/>
    <w:rsid w:val="63544735"/>
    <w:rsid w:val="6355725B"/>
    <w:rsid w:val="635F4555"/>
    <w:rsid w:val="637D1BB8"/>
    <w:rsid w:val="6398406E"/>
    <w:rsid w:val="63A80124"/>
    <w:rsid w:val="63A90D89"/>
    <w:rsid w:val="63A92568"/>
    <w:rsid w:val="63BB5182"/>
    <w:rsid w:val="63BE0A16"/>
    <w:rsid w:val="63BF1B2C"/>
    <w:rsid w:val="63C14686"/>
    <w:rsid w:val="63C57E66"/>
    <w:rsid w:val="63C91672"/>
    <w:rsid w:val="63CB0279"/>
    <w:rsid w:val="63CC1027"/>
    <w:rsid w:val="63D10717"/>
    <w:rsid w:val="63D76760"/>
    <w:rsid w:val="63DF29CA"/>
    <w:rsid w:val="63E70EB7"/>
    <w:rsid w:val="63F1612D"/>
    <w:rsid w:val="63F32133"/>
    <w:rsid w:val="642C7B45"/>
    <w:rsid w:val="64386E35"/>
    <w:rsid w:val="643B4CAF"/>
    <w:rsid w:val="643C5A34"/>
    <w:rsid w:val="64455DB8"/>
    <w:rsid w:val="644E0333"/>
    <w:rsid w:val="64574448"/>
    <w:rsid w:val="64687561"/>
    <w:rsid w:val="64762777"/>
    <w:rsid w:val="64766053"/>
    <w:rsid w:val="647679E5"/>
    <w:rsid w:val="647C22B5"/>
    <w:rsid w:val="648363B3"/>
    <w:rsid w:val="648B2BD9"/>
    <w:rsid w:val="648B7D3E"/>
    <w:rsid w:val="64A63279"/>
    <w:rsid w:val="64A6394F"/>
    <w:rsid w:val="64F8164D"/>
    <w:rsid w:val="650508D4"/>
    <w:rsid w:val="65097F76"/>
    <w:rsid w:val="65120612"/>
    <w:rsid w:val="65151140"/>
    <w:rsid w:val="65174F17"/>
    <w:rsid w:val="6521582A"/>
    <w:rsid w:val="65273CC4"/>
    <w:rsid w:val="65416B85"/>
    <w:rsid w:val="654E1BA2"/>
    <w:rsid w:val="6550480E"/>
    <w:rsid w:val="65554D64"/>
    <w:rsid w:val="655C1165"/>
    <w:rsid w:val="657D2315"/>
    <w:rsid w:val="65BF0815"/>
    <w:rsid w:val="65C77DFB"/>
    <w:rsid w:val="65C86A12"/>
    <w:rsid w:val="65D82353"/>
    <w:rsid w:val="65D84815"/>
    <w:rsid w:val="65DF7A74"/>
    <w:rsid w:val="65E01687"/>
    <w:rsid w:val="65FA438A"/>
    <w:rsid w:val="660306A1"/>
    <w:rsid w:val="66100AA7"/>
    <w:rsid w:val="661D6C86"/>
    <w:rsid w:val="66205C2A"/>
    <w:rsid w:val="66374911"/>
    <w:rsid w:val="663D76CD"/>
    <w:rsid w:val="664F661D"/>
    <w:rsid w:val="6658066A"/>
    <w:rsid w:val="665A13F7"/>
    <w:rsid w:val="665A239F"/>
    <w:rsid w:val="665E0479"/>
    <w:rsid w:val="668112EB"/>
    <w:rsid w:val="66875941"/>
    <w:rsid w:val="66880A33"/>
    <w:rsid w:val="66892EE9"/>
    <w:rsid w:val="668A1E0E"/>
    <w:rsid w:val="66AA569C"/>
    <w:rsid w:val="66AB1793"/>
    <w:rsid w:val="66B7053A"/>
    <w:rsid w:val="66BA1630"/>
    <w:rsid w:val="66BF6A73"/>
    <w:rsid w:val="66E64177"/>
    <w:rsid w:val="66F027F2"/>
    <w:rsid w:val="66F97B60"/>
    <w:rsid w:val="670467A0"/>
    <w:rsid w:val="6725584E"/>
    <w:rsid w:val="675134E1"/>
    <w:rsid w:val="676C21DD"/>
    <w:rsid w:val="676F0B6C"/>
    <w:rsid w:val="67743870"/>
    <w:rsid w:val="67766E52"/>
    <w:rsid w:val="67863CF5"/>
    <w:rsid w:val="678917C9"/>
    <w:rsid w:val="678D19AE"/>
    <w:rsid w:val="67B665D9"/>
    <w:rsid w:val="67D308DB"/>
    <w:rsid w:val="67D77C40"/>
    <w:rsid w:val="67D92BFB"/>
    <w:rsid w:val="67E368F7"/>
    <w:rsid w:val="67E96B17"/>
    <w:rsid w:val="67EB20EB"/>
    <w:rsid w:val="67F716EF"/>
    <w:rsid w:val="68005DDB"/>
    <w:rsid w:val="681859C5"/>
    <w:rsid w:val="68261D90"/>
    <w:rsid w:val="682920E9"/>
    <w:rsid w:val="682D620A"/>
    <w:rsid w:val="683F7421"/>
    <w:rsid w:val="68401021"/>
    <w:rsid w:val="684245F2"/>
    <w:rsid w:val="68493B79"/>
    <w:rsid w:val="684D4684"/>
    <w:rsid w:val="684E0B38"/>
    <w:rsid w:val="68865715"/>
    <w:rsid w:val="688A1070"/>
    <w:rsid w:val="688D2C95"/>
    <w:rsid w:val="688E4C11"/>
    <w:rsid w:val="68913226"/>
    <w:rsid w:val="68A047F9"/>
    <w:rsid w:val="68B4000D"/>
    <w:rsid w:val="68B434E4"/>
    <w:rsid w:val="68B43ADD"/>
    <w:rsid w:val="68B458A9"/>
    <w:rsid w:val="68C05259"/>
    <w:rsid w:val="68D403F8"/>
    <w:rsid w:val="68D55961"/>
    <w:rsid w:val="68E94ADB"/>
    <w:rsid w:val="68F91A55"/>
    <w:rsid w:val="68FA5D4A"/>
    <w:rsid w:val="69006A7C"/>
    <w:rsid w:val="690F4277"/>
    <w:rsid w:val="692F6C62"/>
    <w:rsid w:val="693639E6"/>
    <w:rsid w:val="69400062"/>
    <w:rsid w:val="694712D5"/>
    <w:rsid w:val="69474CC9"/>
    <w:rsid w:val="694D49EB"/>
    <w:rsid w:val="695942A5"/>
    <w:rsid w:val="695A75C6"/>
    <w:rsid w:val="69693E8B"/>
    <w:rsid w:val="696C0B95"/>
    <w:rsid w:val="69901A12"/>
    <w:rsid w:val="699B327D"/>
    <w:rsid w:val="69BF34DE"/>
    <w:rsid w:val="69C0725A"/>
    <w:rsid w:val="69C3670A"/>
    <w:rsid w:val="69C935CD"/>
    <w:rsid w:val="69D23B44"/>
    <w:rsid w:val="69D25E31"/>
    <w:rsid w:val="69D7762B"/>
    <w:rsid w:val="69F55B7F"/>
    <w:rsid w:val="69FB0C9E"/>
    <w:rsid w:val="69FD41F4"/>
    <w:rsid w:val="69FE15A8"/>
    <w:rsid w:val="6A2627B9"/>
    <w:rsid w:val="6A282EB0"/>
    <w:rsid w:val="6A2D1B16"/>
    <w:rsid w:val="6A314466"/>
    <w:rsid w:val="6A3B4E95"/>
    <w:rsid w:val="6A4348BA"/>
    <w:rsid w:val="6A447958"/>
    <w:rsid w:val="6A4F3F74"/>
    <w:rsid w:val="6A526965"/>
    <w:rsid w:val="6A7001F5"/>
    <w:rsid w:val="6A7A6FA8"/>
    <w:rsid w:val="6A7C29D5"/>
    <w:rsid w:val="6A860AC5"/>
    <w:rsid w:val="6A89643E"/>
    <w:rsid w:val="6A9126EB"/>
    <w:rsid w:val="6AA07575"/>
    <w:rsid w:val="6AA2482D"/>
    <w:rsid w:val="6AAE77A7"/>
    <w:rsid w:val="6AB67AB0"/>
    <w:rsid w:val="6AB77620"/>
    <w:rsid w:val="6AB803EF"/>
    <w:rsid w:val="6AC25CDE"/>
    <w:rsid w:val="6ACA352A"/>
    <w:rsid w:val="6AD30F95"/>
    <w:rsid w:val="6ADB61BD"/>
    <w:rsid w:val="6ADB64FD"/>
    <w:rsid w:val="6AE22976"/>
    <w:rsid w:val="6AEE6BFF"/>
    <w:rsid w:val="6AFA0492"/>
    <w:rsid w:val="6B1747F7"/>
    <w:rsid w:val="6B2B434E"/>
    <w:rsid w:val="6B333F65"/>
    <w:rsid w:val="6B425549"/>
    <w:rsid w:val="6B4C2121"/>
    <w:rsid w:val="6B59700B"/>
    <w:rsid w:val="6B6A6C8C"/>
    <w:rsid w:val="6B7A57B1"/>
    <w:rsid w:val="6B821FE5"/>
    <w:rsid w:val="6B8232C0"/>
    <w:rsid w:val="6B85116D"/>
    <w:rsid w:val="6B88353A"/>
    <w:rsid w:val="6B9273A9"/>
    <w:rsid w:val="6BA735E2"/>
    <w:rsid w:val="6BA93342"/>
    <w:rsid w:val="6BAB79AE"/>
    <w:rsid w:val="6BAE1143"/>
    <w:rsid w:val="6BC3690A"/>
    <w:rsid w:val="6BD11F20"/>
    <w:rsid w:val="6C076EA1"/>
    <w:rsid w:val="6C0D08D1"/>
    <w:rsid w:val="6C1265E4"/>
    <w:rsid w:val="6C210A32"/>
    <w:rsid w:val="6C280291"/>
    <w:rsid w:val="6C2D5ECD"/>
    <w:rsid w:val="6C3333B5"/>
    <w:rsid w:val="6C341A80"/>
    <w:rsid w:val="6C4F6260"/>
    <w:rsid w:val="6C585E7A"/>
    <w:rsid w:val="6C591ED8"/>
    <w:rsid w:val="6C5A0938"/>
    <w:rsid w:val="6C5B79FA"/>
    <w:rsid w:val="6C770B6C"/>
    <w:rsid w:val="6C77463D"/>
    <w:rsid w:val="6C7C575B"/>
    <w:rsid w:val="6C7E31D6"/>
    <w:rsid w:val="6C812E28"/>
    <w:rsid w:val="6CAB33EC"/>
    <w:rsid w:val="6CB81C06"/>
    <w:rsid w:val="6CBB3926"/>
    <w:rsid w:val="6CC10308"/>
    <w:rsid w:val="6CCD33BE"/>
    <w:rsid w:val="6CCD64C5"/>
    <w:rsid w:val="6CE30C28"/>
    <w:rsid w:val="6CEA4B11"/>
    <w:rsid w:val="6CF00F41"/>
    <w:rsid w:val="6D1936EC"/>
    <w:rsid w:val="6D204F6A"/>
    <w:rsid w:val="6D273CD9"/>
    <w:rsid w:val="6D2E0ABA"/>
    <w:rsid w:val="6D2F6DA2"/>
    <w:rsid w:val="6D3D46B0"/>
    <w:rsid w:val="6D5A5C56"/>
    <w:rsid w:val="6D5E1518"/>
    <w:rsid w:val="6D6044B4"/>
    <w:rsid w:val="6D9A5037"/>
    <w:rsid w:val="6D9E6162"/>
    <w:rsid w:val="6DA75C51"/>
    <w:rsid w:val="6DB46ADA"/>
    <w:rsid w:val="6DB8003C"/>
    <w:rsid w:val="6DC24A70"/>
    <w:rsid w:val="6DDE2F4B"/>
    <w:rsid w:val="6E0F167B"/>
    <w:rsid w:val="6E104CE7"/>
    <w:rsid w:val="6E396736"/>
    <w:rsid w:val="6E3E25E1"/>
    <w:rsid w:val="6E4426A5"/>
    <w:rsid w:val="6E4C14A6"/>
    <w:rsid w:val="6E523F29"/>
    <w:rsid w:val="6E552B14"/>
    <w:rsid w:val="6E60448C"/>
    <w:rsid w:val="6E63170B"/>
    <w:rsid w:val="6E670966"/>
    <w:rsid w:val="6E71044F"/>
    <w:rsid w:val="6E7524FE"/>
    <w:rsid w:val="6E872839"/>
    <w:rsid w:val="6E8A6231"/>
    <w:rsid w:val="6E8E6542"/>
    <w:rsid w:val="6E9820FF"/>
    <w:rsid w:val="6E9F7E6E"/>
    <w:rsid w:val="6EA02CF8"/>
    <w:rsid w:val="6EA50D85"/>
    <w:rsid w:val="6EA907D0"/>
    <w:rsid w:val="6EA9725E"/>
    <w:rsid w:val="6EAB5A9C"/>
    <w:rsid w:val="6EB67172"/>
    <w:rsid w:val="6EC6296A"/>
    <w:rsid w:val="6ECA1372"/>
    <w:rsid w:val="6ECF720D"/>
    <w:rsid w:val="6EEB39D1"/>
    <w:rsid w:val="6EF03E95"/>
    <w:rsid w:val="6EF41DE6"/>
    <w:rsid w:val="6F037D4B"/>
    <w:rsid w:val="6F0C3CAD"/>
    <w:rsid w:val="6F2058FB"/>
    <w:rsid w:val="6F350F09"/>
    <w:rsid w:val="6F3627C4"/>
    <w:rsid w:val="6F4018CD"/>
    <w:rsid w:val="6F4969D5"/>
    <w:rsid w:val="6F4B7031"/>
    <w:rsid w:val="6F5E3EB6"/>
    <w:rsid w:val="6F70172E"/>
    <w:rsid w:val="6F7A3C58"/>
    <w:rsid w:val="6F8F31B9"/>
    <w:rsid w:val="6F9053D0"/>
    <w:rsid w:val="6F921047"/>
    <w:rsid w:val="6FA71243"/>
    <w:rsid w:val="6FA96FCE"/>
    <w:rsid w:val="6FAA4ED8"/>
    <w:rsid w:val="6FB86F4A"/>
    <w:rsid w:val="6FC1281D"/>
    <w:rsid w:val="6FC92B7B"/>
    <w:rsid w:val="6FCD0606"/>
    <w:rsid w:val="6FD533F8"/>
    <w:rsid w:val="6FE67F72"/>
    <w:rsid w:val="70060E34"/>
    <w:rsid w:val="701B1403"/>
    <w:rsid w:val="701F4953"/>
    <w:rsid w:val="70327C59"/>
    <w:rsid w:val="703E3DB0"/>
    <w:rsid w:val="704012F4"/>
    <w:rsid w:val="705A1E30"/>
    <w:rsid w:val="706D2FE7"/>
    <w:rsid w:val="707A394A"/>
    <w:rsid w:val="70861729"/>
    <w:rsid w:val="708C3F01"/>
    <w:rsid w:val="70990F5C"/>
    <w:rsid w:val="70C4572E"/>
    <w:rsid w:val="70E9418A"/>
    <w:rsid w:val="70F76F0B"/>
    <w:rsid w:val="70F8071C"/>
    <w:rsid w:val="7106526D"/>
    <w:rsid w:val="710819A3"/>
    <w:rsid w:val="710B331C"/>
    <w:rsid w:val="710F0A5A"/>
    <w:rsid w:val="7126343E"/>
    <w:rsid w:val="712B6162"/>
    <w:rsid w:val="71303D14"/>
    <w:rsid w:val="71377EA4"/>
    <w:rsid w:val="713C26D9"/>
    <w:rsid w:val="71493AED"/>
    <w:rsid w:val="714A4FE9"/>
    <w:rsid w:val="714F718C"/>
    <w:rsid w:val="71553E3F"/>
    <w:rsid w:val="716608DB"/>
    <w:rsid w:val="7171431F"/>
    <w:rsid w:val="717C4E1F"/>
    <w:rsid w:val="717F672A"/>
    <w:rsid w:val="719237DF"/>
    <w:rsid w:val="719473D7"/>
    <w:rsid w:val="719656F6"/>
    <w:rsid w:val="71AF76C3"/>
    <w:rsid w:val="71B02910"/>
    <w:rsid w:val="71B30AE6"/>
    <w:rsid w:val="71BC1DFC"/>
    <w:rsid w:val="71C17104"/>
    <w:rsid w:val="71CE4145"/>
    <w:rsid w:val="71DD5738"/>
    <w:rsid w:val="71E11516"/>
    <w:rsid w:val="71E536E8"/>
    <w:rsid w:val="71F461F6"/>
    <w:rsid w:val="72161089"/>
    <w:rsid w:val="7218193A"/>
    <w:rsid w:val="72194C8D"/>
    <w:rsid w:val="721C0D1A"/>
    <w:rsid w:val="722343F3"/>
    <w:rsid w:val="723468E3"/>
    <w:rsid w:val="72386696"/>
    <w:rsid w:val="723C35D9"/>
    <w:rsid w:val="724102A5"/>
    <w:rsid w:val="724435DE"/>
    <w:rsid w:val="72450863"/>
    <w:rsid w:val="72455767"/>
    <w:rsid w:val="72475B3A"/>
    <w:rsid w:val="72610E73"/>
    <w:rsid w:val="72990245"/>
    <w:rsid w:val="72A279EB"/>
    <w:rsid w:val="72A5160D"/>
    <w:rsid w:val="72A63AA8"/>
    <w:rsid w:val="72B81787"/>
    <w:rsid w:val="72B91094"/>
    <w:rsid w:val="72E062CE"/>
    <w:rsid w:val="72F266E2"/>
    <w:rsid w:val="72FD69A4"/>
    <w:rsid w:val="73080AC8"/>
    <w:rsid w:val="73083021"/>
    <w:rsid w:val="732175AB"/>
    <w:rsid w:val="73251306"/>
    <w:rsid w:val="73357559"/>
    <w:rsid w:val="734B63DD"/>
    <w:rsid w:val="734C3F19"/>
    <w:rsid w:val="735035E9"/>
    <w:rsid w:val="73512080"/>
    <w:rsid w:val="735F132B"/>
    <w:rsid w:val="735F2CF7"/>
    <w:rsid w:val="73674954"/>
    <w:rsid w:val="736D073C"/>
    <w:rsid w:val="73891031"/>
    <w:rsid w:val="738C622E"/>
    <w:rsid w:val="738F125E"/>
    <w:rsid w:val="739B2F10"/>
    <w:rsid w:val="739B4565"/>
    <w:rsid w:val="73AB2D7A"/>
    <w:rsid w:val="73D14AC6"/>
    <w:rsid w:val="73D84523"/>
    <w:rsid w:val="74016830"/>
    <w:rsid w:val="74023965"/>
    <w:rsid w:val="7418463E"/>
    <w:rsid w:val="74261C28"/>
    <w:rsid w:val="742B129D"/>
    <w:rsid w:val="742B7BF2"/>
    <w:rsid w:val="74740A9F"/>
    <w:rsid w:val="74751700"/>
    <w:rsid w:val="74854431"/>
    <w:rsid w:val="749B0E4B"/>
    <w:rsid w:val="749D4627"/>
    <w:rsid w:val="74C13C53"/>
    <w:rsid w:val="74C2787D"/>
    <w:rsid w:val="74D353DC"/>
    <w:rsid w:val="74EB2180"/>
    <w:rsid w:val="74F04153"/>
    <w:rsid w:val="74F143F3"/>
    <w:rsid w:val="75063D3F"/>
    <w:rsid w:val="750855B0"/>
    <w:rsid w:val="751906D2"/>
    <w:rsid w:val="752350FE"/>
    <w:rsid w:val="75422CCD"/>
    <w:rsid w:val="755035DF"/>
    <w:rsid w:val="75594761"/>
    <w:rsid w:val="75632CD9"/>
    <w:rsid w:val="75661E26"/>
    <w:rsid w:val="757717A4"/>
    <w:rsid w:val="757D7A7B"/>
    <w:rsid w:val="7586638A"/>
    <w:rsid w:val="758A042B"/>
    <w:rsid w:val="758B64F7"/>
    <w:rsid w:val="758D3437"/>
    <w:rsid w:val="7597395C"/>
    <w:rsid w:val="75D01AD0"/>
    <w:rsid w:val="75D747CC"/>
    <w:rsid w:val="75FF59C0"/>
    <w:rsid w:val="7605508C"/>
    <w:rsid w:val="761C3176"/>
    <w:rsid w:val="76283CAE"/>
    <w:rsid w:val="762C578C"/>
    <w:rsid w:val="763065D3"/>
    <w:rsid w:val="76563724"/>
    <w:rsid w:val="76611364"/>
    <w:rsid w:val="7672066F"/>
    <w:rsid w:val="76786DDF"/>
    <w:rsid w:val="767E208E"/>
    <w:rsid w:val="767F277B"/>
    <w:rsid w:val="768014A2"/>
    <w:rsid w:val="76846F1F"/>
    <w:rsid w:val="76AA199B"/>
    <w:rsid w:val="76BA00A4"/>
    <w:rsid w:val="76C17C78"/>
    <w:rsid w:val="76D17069"/>
    <w:rsid w:val="76D20745"/>
    <w:rsid w:val="76D360BB"/>
    <w:rsid w:val="76E725D4"/>
    <w:rsid w:val="76EB589B"/>
    <w:rsid w:val="76F113F4"/>
    <w:rsid w:val="76F41714"/>
    <w:rsid w:val="771E24B4"/>
    <w:rsid w:val="77210243"/>
    <w:rsid w:val="772877F5"/>
    <w:rsid w:val="773715CB"/>
    <w:rsid w:val="775441EC"/>
    <w:rsid w:val="775C1C7F"/>
    <w:rsid w:val="776927F2"/>
    <w:rsid w:val="776A1766"/>
    <w:rsid w:val="77764C09"/>
    <w:rsid w:val="777C4360"/>
    <w:rsid w:val="77911AD3"/>
    <w:rsid w:val="779D400A"/>
    <w:rsid w:val="77A84DCA"/>
    <w:rsid w:val="77C52680"/>
    <w:rsid w:val="77D0514D"/>
    <w:rsid w:val="77DA6DC2"/>
    <w:rsid w:val="77DE5F59"/>
    <w:rsid w:val="77F4594F"/>
    <w:rsid w:val="78004EC8"/>
    <w:rsid w:val="78011197"/>
    <w:rsid w:val="78332FEF"/>
    <w:rsid w:val="78373FD0"/>
    <w:rsid w:val="783F7AFD"/>
    <w:rsid w:val="7843737A"/>
    <w:rsid w:val="784D14F9"/>
    <w:rsid w:val="78673628"/>
    <w:rsid w:val="787822B6"/>
    <w:rsid w:val="787E07A7"/>
    <w:rsid w:val="787E1592"/>
    <w:rsid w:val="787E29AF"/>
    <w:rsid w:val="788A1032"/>
    <w:rsid w:val="78955367"/>
    <w:rsid w:val="78AD39EE"/>
    <w:rsid w:val="78B56664"/>
    <w:rsid w:val="78BC1ED6"/>
    <w:rsid w:val="78D35429"/>
    <w:rsid w:val="78DF1742"/>
    <w:rsid w:val="78DF605F"/>
    <w:rsid w:val="78E24729"/>
    <w:rsid w:val="78F50903"/>
    <w:rsid w:val="78FF3A52"/>
    <w:rsid w:val="790E40C3"/>
    <w:rsid w:val="79106F5B"/>
    <w:rsid w:val="792C5912"/>
    <w:rsid w:val="79482BA1"/>
    <w:rsid w:val="795C75BF"/>
    <w:rsid w:val="79717C3F"/>
    <w:rsid w:val="79825692"/>
    <w:rsid w:val="798C1293"/>
    <w:rsid w:val="799457F1"/>
    <w:rsid w:val="79BD6A4C"/>
    <w:rsid w:val="79DF4724"/>
    <w:rsid w:val="79E34ACA"/>
    <w:rsid w:val="79ED5BA5"/>
    <w:rsid w:val="79FD0CFE"/>
    <w:rsid w:val="7A126AEC"/>
    <w:rsid w:val="7A267B3F"/>
    <w:rsid w:val="7A300536"/>
    <w:rsid w:val="7A314436"/>
    <w:rsid w:val="7A330C5C"/>
    <w:rsid w:val="7A3B41D2"/>
    <w:rsid w:val="7A5C14C1"/>
    <w:rsid w:val="7A657A74"/>
    <w:rsid w:val="7A857D8E"/>
    <w:rsid w:val="7A8A5BF1"/>
    <w:rsid w:val="7A8B034E"/>
    <w:rsid w:val="7A8E32F4"/>
    <w:rsid w:val="7A9B3055"/>
    <w:rsid w:val="7AA37760"/>
    <w:rsid w:val="7ABD3398"/>
    <w:rsid w:val="7AC1326A"/>
    <w:rsid w:val="7ACD5254"/>
    <w:rsid w:val="7AD41DBD"/>
    <w:rsid w:val="7AE1147F"/>
    <w:rsid w:val="7AF83B47"/>
    <w:rsid w:val="7B14372F"/>
    <w:rsid w:val="7B187F57"/>
    <w:rsid w:val="7B1C0C70"/>
    <w:rsid w:val="7B1F6068"/>
    <w:rsid w:val="7B24349A"/>
    <w:rsid w:val="7B345E04"/>
    <w:rsid w:val="7B385219"/>
    <w:rsid w:val="7B3F1997"/>
    <w:rsid w:val="7B47007F"/>
    <w:rsid w:val="7B4C4E74"/>
    <w:rsid w:val="7B687277"/>
    <w:rsid w:val="7B79008C"/>
    <w:rsid w:val="7B95753A"/>
    <w:rsid w:val="7B974159"/>
    <w:rsid w:val="7B9E32A4"/>
    <w:rsid w:val="7BAD2097"/>
    <w:rsid w:val="7BB14381"/>
    <w:rsid w:val="7BC9055E"/>
    <w:rsid w:val="7BD80CB8"/>
    <w:rsid w:val="7BE308D8"/>
    <w:rsid w:val="7BE34B67"/>
    <w:rsid w:val="7BF74F5D"/>
    <w:rsid w:val="7BFF09B1"/>
    <w:rsid w:val="7BFF62A5"/>
    <w:rsid w:val="7C0539E1"/>
    <w:rsid w:val="7C2A62D9"/>
    <w:rsid w:val="7C3A49D5"/>
    <w:rsid w:val="7C4462B9"/>
    <w:rsid w:val="7C802B1A"/>
    <w:rsid w:val="7C8B0AF8"/>
    <w:rsid w:val="7C9073A3"/>
    <w:rsid w:val="7C932D0A"/>
    <w:rsid w:val="7C9949D3"/>
    <w:rsid w:val="7CA3222A"/>
    <w:rsid w:val="7CBD66CA"/>
    <w:rsid w:val="7CC1795F"/>
    <w:rsid w:val="7CC271A6"/>
    <w:rsid w:val="7CC2724B"/>
    <w:rsid w:val="7CD327DA"/>
    <w:rsid w:val="7CE16B24"/>
    <w:rsid w:val="7D1200A0"/>
    <w:rsid w:val="7D161E77"/>
    <w:rsid w:val="7D185E52"/>
    <w:rsid w:val="7D2F3FB5"/>
    <w:rsid w:val="7D4D582E"/>
    <w:rsid w:val="7D654A30"/>
    <w:rsid w:val="7D7A04B2"/>
    <w:rsid w:val="7D7A5D61"/>
    <w:rsid w:val="7D814086"/>
    <w:rsid w:val="7D8A4467"/>
    <w:rsid w:val="7D8A4A7A"/>
    <w:rsid w:val="7D932059"/>
    <w:rsid w:val="7D935B6B"/>
    <w:rsid w:val="7D945A0E"/>
    <w:rsid w:val="7D974512"/>
    <w:rsid w:val="7DBF3023"/>
    <w:rsid w:val="7DC0358E"/>
    <w:rsid w:val="7DC10CB4"/>
    <w:rsid w:val="7DC84F77"/>
    <w:rsid w:val="7DDC3A51"/>
    <w:rsid w:val="7DF17CD9"/>
    <w:rsid w:val="7E052BED"/>
    <w:rsid w:val="7E0960FC"/>
    <w:rsid w:val="7E160BBE"/>
    <w:rsid w:val="7E1F2501"/>
    <w:rsid w:val="7E265C76"/>
    <w:rsid w:val="7E361C59"/>
    <w:rsid w:val="7E4F3424"/>
    <w:rsid w:val="7E525132"/>
    <w:rsid w:val="7E655EDD"/>
    <w:rsid w:val="7E6B46F0"/>
    <w:rsid w:val="7E70400D"/>
    <w:rsid w:val="7E773EC6"/>
    <w:rsid w:val="7E7E53AD"/>
    <w:rsid w:val="7E830E3A"/>
    <w:rsid w:val="7E993DF9"/>
    <w:rsid w:val="7E9A3BF7"/>
    <w:rsid w:val="7EA362A6"/>
    <w:rsid w:val="7EBF61AD"/>
    <w:rsid w:val="7ECB61DC"/>
    <w:rsid w:val="7F02768F"/>
    <w:rsid w:val="7F056534"/>
    <w:rsid w:val="7F121EA4"/>
    <w:rsid w:val="7F155350"/>
    <w:rsid w:val="7F1A5FA5"/>
    <w:rsid w:val="7F2144F7"/>
    <w:rsid w:val="7F250E39"/>
    <w:rsid w:val="7F262CD2"/>
    <w:rsid w:val="7F492C35"/>
    <w:rsid w:val="7F5808C6"/>
    <w:rsid w:val="7F5B4330"/>
    <w:rsid w:val="7F682463"/>
    <w:rsid w:val="7F791135"/>
    <w:rsid w:val="7F7E365C"/>
    <w:rsid w:val="7F883DD7"/>
    <w:rsid w:val="7F8F6C4A"/>
    <w:rsid w:val="7F926A17"/>
    <w:rsid w:val="7F943C6B"/>
    <w:rsid w:val="7F971DCF"/>
    <w:rsid w:val="7F994B51"/>
    <w:rsid w:val="7FAB0E5A"/>
    <w:rsid w:val="7FB158D7"/>
    <w:rsid w:val="7FB344CC"/>
    <w:rsid w:val="7FB80298"/>
    <w:rsid w:val="7FBC0C2B"/>
    <w:rsid w:val="7FD672BE"/>
    <w:rsid w:val="7FE676F0"/>
    <w:rsid w:val="7FEB302F"/>
    <w:rsid w:val="7FFE312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qFormat="1" w:unhideWhenUsed="0" w:uiPriority="0" w:semiHidden="0" w:name="index 2"/>
    <w:lsdException w:qFormat="1" w:unhideWhenUsed="0" w:uiPriority="0" w:semiHidden="0" w:name="index 3"/>
    <w:lsdException w:qFormat="1" w:unhideWhenUsed="0" w:uiPriority="0" w:semiHidden="0" w:name="index 4"/>
    <w:lsdException w:qFormat="1" w:unhideWhenUsed="0" w:uiPriority="0" w:semiHidden="0" w:name="index 5"/>
    <w:lsdException w:qFormat="1" w:unhideWhenUsed="0" w:uiPriority="0" w:semiHidden="0" w:name="index 6"/>
    <w:lsdException w:qFormat="1" w:unhideWhenUsed="0" w:uiPriority="0" w:semiHidden="0" w:name="index 7"/>
    <w:lsdException w:qFormat="1" w:unhideWhenUsed="0" w:uiPriority="0" w:semiHidden="0" w:name="index 8"/>
    <w:lsdException w:qFormat="1"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qFormat="1" w:unhideWhenUsed="0" w:uiPriority="0" w:semiHidden="0" w:name="index heading"/>
    <w:lsdException w:qFormat="1" w:unhideWhenUsed="0" w:uiPriority="35" w:semiHidden="0" w:name="caption"/>
    <w:lsdException w:qFormat="1" w:unhideWhenUsed="0" w:uiPriority="0" w:semiHidden="0" w:name="table of figures"/>
    <w:lsdException w:qFormat="1" w:unhideWhenUsed="0" w:uiPriority="0" w:semiHidden="0" w:name="envelope address"/>
    <w:lsdException w:qFormat="1" w:unhideWhenUsed="0" w:uiPriority="0" w:semiHidden="0" w:name="envelope return"/>
    <w:lsdException w:qFormat="1" w:unhideWhenUsed="0" w:uiPriority="0" w:semiHidden="0" w:name="footnote reference"/>
    <w:lsdException w:qFormat="1" w:unhideWhenUsed="0" w:uiPriority="0" w:semiHidden="0" w:name="annotation reference"/>
    <w:lsdException w:qFormat="1" w:unhideWhenUsed="0" w:uiPriority="0" w:semiHidden="0" w:name="line number"/>
    <w:lsdException w:qFormat="1" w:unhideWhenUsed="0" w:uiPriority="0" w:semiHidden="0" w:name="page number"/>
    <w:lsdException w:qFormat="1" w:unhideWhenUsed="0" w:uiPriority="99" w:semiHidden="0" w:name="endnote reference"/>
    <w:lsdException w:qFormat="1" w:unhideWhenUsed="0" w:uiPriority="99" w:semiHidden="0" w:name="endnote text"/>
    <w:lsdException w:qFormat="1" w:unhideWhenUsed="0" w:uiPriority="0" w:semiHidden="0" w:name="table of authorities"/>
    <w:lsdException w:qFormat="1" w:unhideWhenUsed="0" w:uiPriority="0" w:semiHidden="0" w:name="macro"/>
    <w:lsdException w:qFormat="1" w:unhideWhenUsed="0" w:uiPriority="0" w:semiHidden="0" w:name="toa heading"/>
    <w:lsdException w:qFormat="1" w:unhideWhenUsed="0" w:uiPriority="0" w:semiHidden="0" w:name="List"/>
    <w:lsdException w:qFormat="1" w:unhideWhenUsed="0" w:uiPriority="0" w:semiHidden="0" w:name="List Bullet"/>
    <w:lsdException w:qFormat="1" w:unhideWhenUsed="0" w:uiPriority="0" w:semiHidden="0" w:name="List Number"/>
    <w:lsdException w:qFormat="1" w:unhideWhenUsed="0" w:uiPriority="0" w:semiHidden="0" w:name="List 2"/>
    <w:lsdException w:qFormat="1" w:unhideWhenUsed="0" w:uiPriority="0" w:semiHidden="0" w:name="List 3"/>
    <w:lsdException w:qFormat="1" w:unhideWhenUsed="0" w:uiPriority="0" w:semiHidden="0" w:name="List 4"/>
    <w:lsdException w:qFormat="1" w:unhideWhenUsed="0" w:uiPriority="0" w:semiHidden="0" w:name="List 5"/>
    <w:lsdException w:qFormat="1" w:unhideWhenUsed="0" w:uiPriority="0" w:semiHidden="0" w:name="List Bullet 2"/>
    <w:lsdException w:qFormat="1" w:unhideWhenUsed="0" w:uiPriority="0" w:semiHidden="0" w:name="List Bullet 3"/>
    <w:lsdException w:qFormat="1" w:unhideWhenUsed="0" w:uiPriority="0" w:semiHidden="0" w:name="List Bullet 4"/>
    <w:lsdException w:qFormat="1" w:uiPriority="0" w:semiHidden="0" w:name="List Bullet 5"/>
    <w:lsdException w:qFormat="1" w:unhideWhenUsed="0" w:uiPriority="0" w:semiHidden="0" w:name="List Number 2"/>
    <w:lsdException w:qFormat="1" w:unhideWhenUsed="0" w:uiPriority="0" w:semiHidden="0" w:name="List Number 3"/>
    <w:lsdException w:qFormat="1" w:unhideWhenUsed="0" w:uiPriority="0" w:semiHidden="0" w:name="List Number 4"/>
    <w:lsdException w:qFormat="1" w:unhideWhenUsed="0" w:uiPriority="0" w:semiHidden="0" w:name="List Number 5"/>
    <w:lsdException w:qFormat="1" w:unhideWhenUsed="0" w:uiPriority="0" w:semiHidden="0" w:name="Title"/>
    <w:lsdException w:qFormat="1" w:unhideWhenUsed="0" w:uiPriority="0" w:semiHidden="0" w:name="Closing"/>
    <w:lsdException w:qFormat="1" w:unhideWhenUsed="0" w:uiPriority="0" w:semiHidden="0" w:name="Signature"/>
    <w:lsdException w:qFormat="1" w:uiPriority="1" w:name="Default Paragraph Font"/>
    <w:lsdException w:qFormat="1" w:unhideWhenUsed="0" w:uiPriority="1" w:semiHidden="0" w:name="Body Text"/>
    <w:lsdException w:qFormat="1" w:unhideWhenUsed="0" w:uiPriority="0" w:semiHidden="0" w:name="Body Text Indent"/>
    <w:lsdException w:qFormat="1" w:unhideWhenUsed="0" w:uiPriority="0" w:semiHidden="0" w:name="List Continue"/>
    <w:lsdException w:qFormat="1" w:unhideWhenUsed="0" w:uiPriority="0" w:semiHidden="0" w:name="List Continue 2"/>
    <w:lsdException w:qFormat="1" w:unhideWhenUsed="0" w:uiPriority="0" w:semiHidden="0" w:name="List Continue 3"/>
    <w:lsdException w:qFormat="1" w:unhideWhenUsed="0" w:uiPriority="0" w:semiHidden="0" w:name="List Continue 4"/>
    <w:lsdException w:qFormat="1" w:unhideWhenUsed="0" w:uiPriority="0" w:semiHidden="0" w:name="List Continue 5"/>
    <w:lsdException w:qFormat="1" w:unhideWhenUsed="0" w:uiPriority="0" w:semiHidden="0" w:name="Message Header"/>
    <w:lsdException w:qFormat="1" w:unhideWhenUsed="0" w:uiPriority="0" w:semiHidden="0" w:name="Subtitle"/>
    <w:lsdException w:qFormat="1" w:unhideWhenUsed="0" w:uiPriority="0" w:semiHidden="0" w:name="Salutation"/>
    <w:lsdException w:qFormat="1" w:unhideWhenUsed="0" w:uiPriority="0" w:semiHidden="0" w:name="Date"/>
    <w:lsdException w:qFormat="1" w:uiPriority="0" w:semiHidden="0" w:name="Body Text First Indent"/>
    <w:lsdException w:qFormat="1" w:unhideWhenUsed="0" w:uiPriority="0" w:semiHidden="0" w:name="Body Text First Indent 2"/>
    <w:lsdException w:qFormat="1"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qFormat="1" w:unhideWhenUsed="0" w:uiPriority="0" w:semiHidden="0" w:name="E-mail Signature"/>
    <w:lsdException w:qFormat="1" w:unhideWhenUsed="0" w:uiPriority="0" w:semiHidden="0" w:name="Normal (Web)"/>
    <w:lsdException w:qFormat="1" w:unhideWhenUsed="0" w:uiPriority="0" w:semiHidden="0" w:name="HTML Acronym"/>
    <w:lsdException w:qFormat="1"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qFormat="1"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iPriority="99" w:name="Normal Table"/>
    <w:lsdException w:qFormat="1"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99" w:name="Balloon Text"/>
    <w:lsdException w:qFormat="1" w:unhideWhenUsed="0" w:uiPriority="99" w:semiHidden="0" w:name="Table Grid"/>
    <w:lsdException w:qFormat="1" w:uiPriority="0"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rPr>
      <w:rFonts w:ascii="宋体" w:hAnsi="宋体" w:eastAsia="宋体" w:cs="宋体"/>
      <w:sz w:val="24"/>
      <w:szCs w:val="24"/>
      <w:lang w:val="en-US" w:eastAsia="zh-CN" w:bidi="ar-SA"/>
    </w:rPr>
  </w:style>
  <w:style w:type="paragraph" w:styleId="3">
    <w:name w:val="heading 1"/>
    <w:basedOn w:val="1"/>
    <w:next w:val="1"/>
    <w:link w:val="63"/>
    <w:autoRedefine/>
    <w:qFormat/>
    <w:uiPriority w:val="0"/>
    <w:pPr>
      <w:keepNext/>
      <w:keepLines/>
      <w:widowControl w:val="0"/>
      <w:numPr>
        <w:ilvl w:val="0"/>
        <w:numId w:val="1"/>
      </w:numPr>
      <w:spacing w:after="120" w:line="600" w:lineRule="exact"/>
      <w:jc w:val="both"/>
      <w:outlineLvl w:val="0"/>
    </w:pPr>
    <w:rPr>
      <w:rFonts w:hAnsi="Times New Roman" w:eastAsia="仿宋" w:cs="Times New Roman"/>
      <w:b/>
      <w:bCs/>
      <w:kern w:val="44"/>
      <w:sz w:val="36"/>
      <w:szCs w:val="44"/>
    </w:rPr>
  </w:style>
  <w:style w:type="paragraph" w:styleId="4">
    <w:name w:val="heading 2"/>
    <w:basedOn w:val="1"/>
    <w:next w:val="1"/>
    <w:link w:val="64"/>
    <w:autoRedefine/>
    <w:qFormat/>
    <w:uiPriority w:val="0"/>
    <w:pPr>
      <w:keepNext/>
      <w:keepLines/>
      <w:widowControl w:val="0"/>
      <w:numPr>
        <w:ilvl w:val="0"/>
        <w:numId w:val="2"/>
      </w:numPr>
      <w:spacing w:line="520" w:lineRule="exact"/>
      <w:jc w:val="both"/>
      <w:outlineLvl w:val="1"/>
    </w:pPr>
    <w:rPr>
      <w:rFonts w:hAnsi="Times New Roman" w:eastAsia="仿宋" w:cs="Times New Roman"/>
      <w:b/>
      <w:bCs/>
      <w:kern w:val="2"/>
      <w:sz w:val="32"/>
      <w:szCs w:val="32"/>
    </w:rPr>
  </w:style>
  <w:style w:type="paragraph" w:styleId="5">
    <w:name w:val="heading 3"/>
    <w:basedOn w:val="1"/>
    <w:next w:val="1"/>
    <w:link w:val="65"/>
    <w:autoRedefine/>
    <w:qFormat/>
    <w:uiPriority w:val="0"/>
    <w:pPr>
      <w:keepNext/>
      <w:keepLines/>
      <w:widowControl w:val="0"/>
      <w:numPr>
        <w:ilvl w:val="0"/>
        <w:numId w:val="3"/>
      </w:numPr>
      <w:spacing w:before="260" w:after="260" w:line="415" w:lineRule="auto"/>
      <w:jc w:val="both"/>
      <w:outlineLvl w:val="2"/>
    </w:pPr>
    <w:rPr>
      <w:rFonts w:ascii="Times New Roman" w:hAnsi="Times New Roman" w:eastAsia="仿宋" w:cs="Times New Roman"/>
      <w:b/>
      <w:bCs/>
      <w:kern w:val="2"/>
      <w:sz w:val="30"/>
      <w:szCs w:val="32"/>
    </w:rPr>
  </w:style>
  <w:style w:type="paragraph" w:styleId="6">
    <w:name w:val="heading 4"/>
    <w:basedOn w:val="1"/>
    <w:next w:val="1"/>
    <w:link w:val="66"/>
    <w:autoRedefine/>
    <w:qFormat/>
    <w:uiPriority w:val="0"/>
    <w:pPr>
      <w:keepNext/>
      <w:keepLines/>
      <w:widowControl w:val="0"/>
      <w:numPr>
        <w:ilvl w:val="3"/>
        <w:numId w:val="1"/>
      </w:numPr>
      <w:spacing w:before="280" w:after="290" w:line="377" w:lineRule="auto"/>
      <w:jc w:val="both"/>
      <w:outlineLvl w:val="3"/>
    </w:pPr>
    <w:rPr>
      <w:rFonts w:ascii="Cambria" w:hAnsi="Cambria" w:cs="Times New Roman"/>
      <w:b/>
      <w:bCs/>
      <w:kern w:val="2"/>
      <w:sz w:val="28"/>
      <w:szCs w:val="28"/>
    </w:rPr>
  </w:style>
  <w:style w:type="paragraph" w:styleId="7">
    <w:name w:val="heading 5"/>
    <w:basedOn w:val="1"/>
    <w:next w:val="1"/>
    <w:link w:val="67"/>
    <w:autoRedefine/>
    <w:qFormat/>
    <w:uiPriority w:val="0"/>
    <w:pPr>
      <w:keepNext/>
      <w:widowControl w:val="0"/>
      <w:numPr>
        <w:ilvl w:val="4"/>
        <w:numId w:val="1"/>
      </w:numPr>
      <w:jc w:val="both"/>
      <w:outlineLvl w:val="4"/>
    </w:pPr>
    <w:rPr>
      <w:rFonts w:ascii="Times New Roman" w:hAnsi="Times New Roman" w:cs="Times New Roman"/>
      <w:b/>
      <w:bCs/>
      <w:kern w:val="2"/>
    </w:rPr>
  </w:style>
  <w:style w:type="paragraph" w:styleId="8">
    <w:name w:val="heading 6"/>
    <w:basedOn w:val="1"/>
    <w:next w:val="1"/>
    <w:link w:val="68"/>
    <w:autoRedefine/>
    <w:qFormat/>
    <w:uiPriority w:val="0"/>
    <w:pPr>
      <w:keepNext/>
      <w:widowControl w:val="0"/>
      <w:numPr>
        <w:ilvl w:val="5"/>
        <w:numId w:val="1"/>
      </w:numPr>
      <w:spacing w:line="300" w:lineRule="exact"/>
      <w:jc w:val="both"/>
      <w:outlineLvl w:val="5"/>
    </w:pPr>
    <w:rPr>
      <w:rFonts w:ascii="Times New Roman" w:hAnsi="Times New Roman" w:cs="Times New Roman"/>
      <w:i/>
      <w:iCs/>
      <w:color w:val="000000"/>
      <w:kern w:val="2"/>
      <w:sz w:val="30"/>
      <w:szCs w:val="30"/>
    </w:rPr>
  </w:style>
  <w:style w:type="paragraph" w:styleId="9">
    <w:name w:val="heading 7"/>
    <w:basedOn w:val="1"/>
    <w:next w:val="1"/>
    <w:link w:val="69"/>
    <w:autoRedefine/>
    <w:qFormat/>
    <w:uiPriority w:val="0"/>
    <w:pPr>
      <w:keepNext/>
      <w:widowControl w:val="0"/>
      <w:numPr>
        <w:ilvl w:val="6"/>
        <w:numId w:val="1"/>
      </w:numPr>
      <w:jc w:val="both"/>
      <w:outlineLvl w:val="6"/>
    </w:pPr>
    <w:rPr>
      <w:rFonts w:ascii="Times New Roman" w:hAnsi="Times New Roman" w:cs="Times New Roman"/>
      <w:i/>
      <w:iCs/>
      <w:color w:val="000000"/>
      <w:kern w:val="2"/>
      <w:sz w:val="15"/>
      <w:szCs w:val="18"/>
    </w:rPr>
  </w:style>
  <w:style w:type="paragraph" w:styleId="10">
    <w:name w:val="heading 8"/>
    <w:basedOn w:val="1"/>
    <w:next w:val="1"/>
    <w:link w:val="70"/>
    <w:autoRedefine/>
    <w:qFormat/>
    <w:uiPriority w:val="0"/>
    <w:pPr>
      <w:keepNext/>
      <w:keepLines/>
      <w:widowControl w:val="0"/>
      <w:numPr>
        <w:ilvl w:val="7"/>
        <w:numId w:val="1"/>
      </w:numPr>
      <w:tabs>
        <w:tab w:val="left" w:pos="1440"/>
      </w:tabs>
      <w:autoSpaceDE w:val="0"/>
      <w:autoSpaceDN w:val="0"/>
      <w:adjustRightInd w:val="0"/>
      <w:spacing w:before="240" w:after="64" w:line="320" w:lineRule="atLeast"/>
      <w:jc w:val="both"/>
      <w:outlineLvl w:val="7"/>
    </w:pPr>
    <w:rPr>
      <w:rFonts w:ascii="Arial" w:hAnsi="Arial" w:eastAsia="黑体" w:cs="Times New Roman"/>
      <w:szCs w:val="20"/>
    </w:rPr>
  </w:style>
  <w:style w:type="paragraph" w:styleId="11">
    <w:name w:val="heading 9"/>
    <w:basedOn w:val="1"/>
    <w:next w:val="1"/>
    <w:link w:val="71"/>
    <w:autoRedefine/>
    <w:qFormat/>
    <w:uiPriority w:val="0"/>
    <w:pPr>
      <w:keepNext/>
      <w:keepLines/>
      <w:widowControl w:val="0"/>
      <w:numPr>
        <w:ilvl w:val="8"/>
        <w:numId w:val="1"/>
      </w:numPr>
      <w:tabs>
        <w:tab w:val="left" w:pos="1584"/>
      </w:tabs>
      <w:autoSpaceDE w:val="0"/>
      <w:autoSpaceDN w:val="0"/>
      <w:adjustRightInd w:val="0"/>
      <w:spacing w:before="240" w:after="64" w:line="320" w:lineRule="atLeast"/>
      <w:jc w:val="both"/>
      <w:outlineLvl w:val="8"/>
    </w:pPr>
    <w:rPr>
      <w:rFonts w:ascii="Arial" w:hAnsi="Arial" w:eastAsia="黑体" w:cs="Times New Roman"/>
      <w:sz w:val="21"/>
      <w:szCs w:val="20"/>
    </w:rPr>
  </w:style>
  <w:style w:type="character" w:default="1" w:styleId="47">
    <w:name w:val="Default Paragraph Font"/>
    <w:semiHidden/>
    <w:unhideWhenUsed/>
    <w:qFormat/>
    <w:uiPriority w:val="1"/>
  </w:style>
  <w:style w:type="table" w:default="1" w:styleId="45">
    <w:name w:val="Normal Table"/>
    <w:semiHidden/>
    <w:unhideWhenUsed/>
    <w:qFormat/>
    <w:uiPriority w:val="99"/>
    <w:tblPr>
      <w:tblCellMar>
        <w:top w:w="0" w:type="dxa"/>
        <w:left w:w="108" w:type="dxa"/>
        <w:bottom w:w="0" w:type="dxa"/>
        <w:right w:w="108" w:type="dxa"/>
      </w:tblCellMar>
    </w:tblPr>
  </w:style>
  <w:style w:type="paragraph" w:customStyle="1" w:styleId="2">
    <w:name w:val="正文01"/>
    <w:basedOn w:val="1"/>
    <w:autoRedefine/>
    <w:qFormat/>
    <w:uiPriority w:val="0"/>
    <w:pPr>
      <w:adjustRightInd w:val="0"/>
      <w:snapToGrid w:val="0"/>
      <w:spacing w:line="360" w:lineRule="auto"/>
      <w:ind w:firstLine="480" w:firstLineChars="200"/>
    </w:pPr>
    <w:rPr>
      <w:rFonts w:ascii="Times New Roman" w:hAnsi="Times New Roman"/>
      <w:snapToGrid w:val="0"/>
      <w:color w:val="FF0000"/>
      <w:szCs w:val="22"/>
    </w:rPr>
  </w:style>
  <w:style w:type="paragraph" w:styleId="12">
    <w:name w:val="toc 7"/>
    <w:basedOn w:val="1"/>
    <w:next w:val="1"/>
    <w:autoRedefine/>
    <w:unhideWhenUsed/>
    <w:qFormat/>
    <w:uiPriority w:val="39"/>
    <w:pPr>
      <w:widowControl w:val="0"/>
      <w:ind w:left="2520" w:leftChars="1200"/>
      <w:jc w:val="both"/>
    </w:pPr>
    <w:rPr>
      <w:rFonts w:asciiTheme="minorHAnsi" w:hAnsiTheme="minorHAnsi" w:eastAsiaTheme="minorEastAsia" w:cstheme="minorBidi"/>
      <w:kern w:val="2"/>
      <w:sz w:val="21"/>
      <w:szCs w:val="22"/>
    </w:rPr>
  </w:style>
  <w:style w:type="paragraph" w:styleId="13">
    <w:name w:val="List Bullet 4"/>
    <w:basedOn w:val="1"/>
    <w:autoRedefine/>
    <w:qFormat/>
    <w:uiPriority w:val="0"/>
    <w:pPr>
      <w:widowControl w:val="0"/>
      <w:numPr>
        <w:ilvl w:val="0"/>
        <w:numId w:val="4"/>
      </w:numPr>
      <w:jc w:val="both"/>
    </w:pPr>
    <w:rPr>
      <w:rFonts w:ascii="Times New Roman" w:hAnsi="Times New Roman" w:cs="Times New Roman"/>
      <w:kern w:val="2"/>
      <w:sz w:val="21"/>
    </w:rPr>
  </w:style>
  <w:style w:type="paragraph" w:styleId="14">
    <w:name w:val="Normal Indent"/>
    <w:basedOn w:val="1"/>
    <w:next w:val="1"/>
    <w:link w:val="72"/>
    <w:autoRedefine/>
    <w:qFormat/>
    <w:uiPriority w:val="0"/>
    <w:pPr>
      <w:widowControl w:val="0"/>
      <w:ind w:firstLine="200" w:firstLineChars="200"/>
      <w:jc w:val="both"/>
    </w:pPr>
    <w:rPr>
      <w:kern w:val="2"/>
      <w:sz w:val="28"/>
    </w:rPr>
  </w:style>
  <w:style w:type="paragraph" w:styleId="15">
    <w:name w:val="caption"/>
    <w:basedOn w:val="1"/>
    <w:next w:val="1"/>
    <w:autoRedefine/>
    <w:qFormat/>
    <w:uiPriority w:val="35"/>
    <w:pPr>
      <w:widowControl w:val="0"/>
      <w:jc w:val="center"/>
    </w:pPr>
    <w:rPr>
      <w:rFonts w:ascii="Times New Roman" w:hAnsi="Times New Roman" w:eastAsia="仿宋" w:cstheme="majorBidi"/>
      <w:b/>
      <w:kern w:val="2"/>
      <w:sz w:val="28"/>
      <w:szCs w:val="20"/>
    </w:rPr>
  </w:style>
  <w:style w:type="paragraph" w:styleId="16">
    <w:name w:val="Document Map"/>
    <w:basedOn w:val="1"/>
    <w:link w:val="73"/>
    <w:autoRedefine/>
    <w:qFormat/>
    <w:uiPriority w:val="0"/>
    <w:pPr>
      <w:widowControl w:val="0"/>
      <w:shd w:val="clear" w:color="auto" w:fill="000080"/>
      <w:jc w:val="both"/>
    </w:pPr>
    <w:rPr>
      <w:rFonts w:ascii="Times New Roman" w:hAnsi="Times New Roman" w:cs="Times New Roman"/>
      <w:kern w:val="2"/>
      <w:sz w:val="21"/>
    </w:rPr>
  </w:style>
  <w:style w:type="paragraph" w:styleId="17">
    <w:name w:val="toa heading"/>
    <w:basedOn w:val="1"/>
    <w:next w:val="1"/>
    <w:autoRedefine/>
    <w:qFormat/>
    <w:uiPriority w:val="0"/>
    <w:pPr>
      <w:widowControl w:val="0"/>
      <w:adjustRightInd w:val="0"/>
      <w:snapToGrid w:val="0"/>
      <w:spacing w:before="120" w:line="312" w:lineRule="auto"/>
      <w:jc w:val="both"/>
    </w:pPr>
    <w:rPr>
      <w:rFonts w:ascii="Arial" w:hAnsi="Arial" w:cs="Arial"/>
      <w:kern w:val="2"/>
    </w:rPr>
  </w:style>
  <w:style w:type="paragraph" w:styleId="18">
    <w:name w:val="annotation text"/>
    <w:basedOn w:val="1"/>
    <w:link w:val="62"/>
    <w:autoRedefine/>
    <w:qFormat/>
    <w:uiPriority w:val="0"/>
    <w:pPr>
      <w:widowControl w:val="0"/>
      <w:adjustRightInd w:val="0"/>
      <w:snapToGrid w:val="0"/>
      <w:spacing w:line="120" w:lineRule="atLeast"/>
    </w:pPr>
    <w:rPr>
      <w:rFonts w:ascii="Times New Roman" w:hAnsi="Times New Roman" w:eastAsia="仿宋_GB2312" w:cs="Times New Roman"/>
      <w:kern w:val="2"/>
    </w:rPr>
  </w:style>
  <w:style w:type="paragraph" w:styleId="19">
    <w:name w:val="Body Text 3"/>
    <w:basedOn w:val="1"/>
    <w:link w:val="74"/>
    <w:autoRedefine/>
    <w:qFormat/>
    <w:uiPriority w:val="0"/>
    <w:pPr>
      <w:widowControl w:val="0"/>
      <w:spacing w:after="120"/>
      <w:jc w:val="both"/>
    </w:pPr>
    <w:rPr>
      <w:rFonts w:ascii="Times New Roman" w:hAnsi="Times New Roman" w:eastAsia="仿宋" w:cs="Times New Roman"/>
      <w:kern w:val="2"/>
      <w:sz w:val="16"/>
      <w:szCs w:val="16"/>
    </w:rPr>
  </w:style>
  <w:style w:type="paragraph" w:styleId="20">
    <w:name w:val="Body Text"/>
    <w:basedOn w:val="1"/>
    <w:next w:val="21"/>
    <w:link w:val="75"/>
    <w:autoRedefine/>
    <w:qFormat/>
    <w:uiPriority w:val="1"/>
    <w:pPr>
      <w:widowControl w:val="0"/>
      <w:autoSpaceDE w:val="0"/>
      <w:autoSpaceDN w:val="0"/>
    </w:pPr>
    <w:rPr>
      <w:sz w:val="28"/>
      <w:szCs w:val="28"/>
      <w:lang w:val="zh-CN" w:bidi="zh-CN"/>
    </w:rPr>
  </w:style>
  <w:style w:type="paragraph" w:styleId="21">
    <w:name w:val="List Bullet 5"/>
    <w:basedOn w:val="1"/>
    <w:autoRedefine/>
    <w:unhideWhenUsed/>
    <w:qFormat/>
    <w:uiPriority w:val="0"/>
    <w:pPr>
      <w:widowControl w:val="0"/>
      <w:tabs>
        <w:tab w:val="left" w:pos="1620"/>
        <w:tab w:val="left" w:pos="2040"/>
      </w:tabs>
      <w:ind w:left="1620" w:hanging="360"/>
      <w:jc w:val="both"/>
    </w:pPr>
    <w:rPr>
      <w:rFonts w:ascii="Times New Roman" w:hAnsi="Times New Roman" w:eastAsia="仿宋_GB2312" w:cs="Times New Roman"/>
      <w:kern w:val="2"/>
      <w:sz w:val="28"/>
    </w:rPr>
  </w:style>
  <w:style w:type="paragraph" w:styleId="22">
    <w:name w:val="Body Text Indent"/>
    <w:basedOn w:val="1"/>
    <w:next w:val="14"/>
    <w:link w:val="76"/>
    <w:autoRedefine/>
    <w:qFormat/>
    <w:uiPriority w:val="0"/>
    <w:pPr>
      <w:widowControl w:val="0"/>
      <w:spacing w:after="120"/>
      <w:ind w:left="420" w:leftChars="200"/>
      <w:jc w:val="both"/>
    </w:pPr>
    <w:rPr>
      <w:rFonts w:ascii="Times New Roman" w:hAnsi="Times New Roman" w:eastAsia="仿宋" w:cs="Times New Roman"/>
      <w:kern w:val="2"/>
      <w:sz w:val="28"/>
    </w:rPr>
  </w:style>
  <w:style w:type="paragraph" w:styleId="23">
    <w:name w:val="toc 5"/>
    <w:basedOn w:val="1"/>
    <w:next w:val="1"/>
    <w:autoRedefine/>
    <w:unhideWhenUsed/>
    <w:qFormat/>
    <w:uiPriority w:val="39"/>
    <w:pPr>
      <w:widowControl w:val="0"/>
      <w:ind w:left="1680" w:leftChars="800"/>
      <w:jc w:val="both"/>
    </w:pPr>
    <w:rPr>
      <w:rFonts w:asciiTheme="minorHAnsi" w:hAnsiTheme="minorHAnsi" w:eastAsiaTheme="minorEastAsia" w:cstheme="minorBidi"/>
      <w:kern w:val="2"/>
      <w:sz w:val="21"/>
      <w:szCs w:val="22"/>
    </w:rPr>
  </w:style>
  <w:style w:type="paragraph" w:styleId="24">
    <w:name w:val="toc 3"/>
    <w:basedOn w:val="1"/>
    <w:next w:val="1"/>
    <w:autoRedefine/>
    <w:qFormat/>
    <w:uiPriority w:val="39"/>
    <w:pPr>
      <w:widowControl w:val="0"/>
      <w:ind w:left="840" w:leftChars="400"/>
      <w:jc w:val="both"/>
    </w:pPr>
    <w:rPr>
      <w:rFonts w:ascii="Times New Roman" w:hAnsi="Times New Roman" w:eastAsia="仿宋_GB2312" w:cs="Times New Roman"/>
      <w:kern w:val="2"/>
      <w:sz w:val="28"/>
    </w:rPr>
  </w:style>
  <w:style w:type="paragraph" w:styleId="25">
    <w:name w:val="Plain Text"/>
    <w:basedOn w:val="1"/>
    <w:link w:val="77"/>
    <w:autoRedefine/>
    <w:qFormat/>
    <w:uiPriority w:val="0"/>
    <w:pPr>
      <w:spacing w:before="100" w:beforeAutospacing="1" w:after="100" w:afterAutospacing="1"/>
    </w:pPr>
    <w:rPr>
      <w:rFonts w:cs="Times New Roman"/>
      <w:szCs w:val="20"/>
    </w:rPr>
  </w:style>
  <w:style w:type="paragraph" w:styleId="26">
    <w:name w:val="toc 8"/>
    <w:basedOn w:val="1"/>
    <w:next w:val="1"/>
    <w:autoRedefine/>
    <w:unhideWhenUsed/>
    <w:qFormat/>
    <w:uiPriority w:val="39"/>
    <w:pPr>
      <w:widowControl w:val="0"/>
      <w:ind w:left="2940" w:leftChars="1400"/>
      <w:jc w:val="both"/>
    </w:pPr>
    <w:rPr>
      <w:rFonts w:asciiTheme="minorHAnsi" w:hAnsiTheme="minorHAnsi" w:eastAsiaTheme="minorEastAsia" w:cstheme="minorBidi"/>
      <w:kern w:val="2"/>
      <w:sz w:val="21"/>
      <w:szCs w:val="22"/>
    </w:rPr>
  </w:style>
  <w:style w:type="paragraph" w:styleId="27">
    <w:name w:val="Date"/>
    <w:basedOn w:val="1"/>
    <w:next w:val="1"/>
    <w:link w:val="78"/>
    <w:autoRedefine/>
    <w:qFormat/>
    <w:uiPriority w:val="0"/>
    <w:pPr>
      <w:widowControl w:val="0"/>
      <w:ind w:left="100" w:leftChars="2500"/>
      <w:jc w:val="both"/>
    </w:pPr>
    <w:rPr>
      <w:rFonts w:ascii="Times New Roman" w:hAnsi="Times New Roman" w:cs="Times New Roman"/>
      <w:kern w:val="2"/>
      <w:sz w:val="44"/>
      <w:szCs w:val="20"/>
    </w:rPr>
  </w:style>
  <w:style w:type="paragraph" w:styleId="28">
    <w:name w:val="Body Text Indent 2"/>
    <w:basedOn w:val="1"/>
    <w:link w:val="79"/>
    <w:autoRedefine/>
    <w:qFormat/>
    <w:uiPriority w:val="0"/>
    <w:pPr>
      <w:widowControl w:val="0"/>
      <w:spacing w:line="500" w:lineRule="exact"/>
      <w:ind w:firstLine="556"/>
      <w:jc w:val="both"/>
    </w:pPr>
    <w:rPr>
      <w:rFonts w:ascii="仿宋_GB2312" w:hAnsi="Times New Roman" w:eastAsia="仿宋_GB2312" w:cs="Times New Roman"/>
      <w:kern w:val="2"/>
      <w:sz w:val="28"/>
      <w:szCs w:val="20"/>
    </w:rPr>
  </w:style>
  <w:style w:type="paragraph" w:styleId="29">
    <w:name w:val="Balloon Text"/>
    <w:basedOn w:val="1"/>
    <w:link w:val="80"/>
    <w:autoRedefine/>
    <w:semiHidden/>
    <w:unhideWhenUsed/>
    <w:qFormat/>
    <w:uiPriority w:val="99"/>
    <w:pPr>
      <w:widowControl w:val="0"/>
      <w:jc w:val="both"/>
    </w:pPr>
    <w:rPr>
      <w:rFonts w:ascii="Times New Roman" w:hAnsi="Times New Roman" w:eastAsia="仿宋_GB2312" w:cs="Times New Roman"/>
      <w:kern w:val="2"/>
      <w:sz w:val="18"/>
      <w:szCs w:val="18"/>
    </w:rPr>
  </w:style>
  <w:style w:type="paragraph" w:styleId="30">
    <w:name w:val="footer"/>
    <w:basedOn w:val="1"/>
    <w:link w:val="81"/>
    <w:autoRedefine/>
    <w:qFormat/>
    <w:uiPriority w:val="99"/>
    <w:pPr>
      <w:widowControl w:val="0"/>
      <w:tabs>
        <w:tab w:val="center" w:pos="4153"/>
        <w:tab w:val="right" w:pos="8306"/>
      </w:tabs>
      <w:snapToGrid w:val="0"/>
    </w:pPr>
    <w:rPr>
      <w:rFonts w:ascii="Times New Roman" w:hAnsi="Times New Roman" w:eastAsia="仿宋_GB2312" w:cs="Times New Roman"/>
      <w:kern w:val="2"/>
      <w:sz w:val="18"/>
      <w:szCs w:val="18"/>
    </w:rPr>
  </w:style>
  <w:style w:type="paragraph" w:styleId="31">
    <w:name w:val="header"/>
    <w:basedOn w:val="1"/>
    <w:link w:val="82"/>
    <w:autoRedefine/>
    <w:qFormat/>
    <w:uiPriority w:val="0"/>
    <w:pPr>
      <w:widowControl w:val="0"/>
      <w:pBdr>
        <w:bottom w:val="single" w:color="auto" w:sz="6" w:space="1"/>
      </w:pBdr>
      <w:tabs>
        <w:tab w:val="center" w:pos="4153"/>
        <w:tab w:val="right" w:pos="8306"/>
      </w:tabs>
      <w:snapToGrid w:val="0"/>
      <w:jc w:val="center"/>
    </w:pPr>
    <w:rPr>
      <w:rFonts w:ascii="Times New Roman" w:hAnsi="Times New Roman" w:eastAsia="仿宋_GB2312" w:cs="Times New Roman"/>
      <w:kern w:val="2"/>
      <w:sz w:val="18"/>
      <w:szCs w:val="18"/>
    </w:rPr>
  </w:style>
  <w:style w:type="paragraph" w:styleId="32">
    <w:name w:val="toc 1"/>
    <w:basedOn w:val="1"/>
    <w:next w:val="1"/>
    <w:autoRedefine/>
    <w:qFormat/>
    <w:uiPriority w:val="39"/>
    <w:pPr>
      <w:widowControl w:val="0"/>
      <w:jc w:val="both"/>
    </w:pPr>
    <w:rPr>
      <w:rFonts w:ascii="Times New Roman" w:hAnsi="Times New Roman" w:eastAsia="仿宋_GB2312" w:cs="Times New Roman"/>
      <w:kern w:val="2"/>
      <w:sz w:val="28"/>
    </w:rPr>
  </w:style>
  <w:style w:type="paragraph" w:styleId="33">
    <w:name w:val="toc 4"/>
    <w:basedOn w:val="1"/>
    <w:next w:val="1"/>
    <w:autoRedefine/>
    <w:unhideWhenUsed/>
    <w:qFormat/>
    <w:uiPriority w:val="39"/>
    <w:pPr>
      <w:widowControl w:val="0"/>
      <w:ind w:left="1260" w:leftChars="600"/>
      <w:jc w:val="both"/>
    </w:pPr>
    <w:rPr>
      <w:rFonts w:asciiTheme="minorHAnsi" w:hAnsiTheme="minorHAnsi" w:eastAsiaTheme="minorEastAsia" w:cstheme="minorBidi"/>
      <w:kern w:val="2"/>
      <w:sz w:val="21"/>
      <w:szCs w:val="22"/>
    </w:rPr>
  </w:style>
  <w:style w:type="paragraph" w:styleId="34">
    <w:name w:val="List"/>
    <w:basedOn w:val="1"/>
    <w:autoRedefine/>
    <w:qFormat/>
    <w:uiPriority w:val="0"/>
    <w:pPr>
      <w:widowControl w:val="0"/>
      <w:ind w:left="200" w:hanging="200" w:hangingChars="200"/>
      <w:jc w:val="both"/>
    </w:pPr>
    <w:rPr>
      <w:rFonts w:ascii="Times New Roman" w:hAnsi="Times New Roman" w:cs="Times New Roman"/>
      <w:kern w:val="2"/>
      <w:sz w:val="21"/>
    </w:rPr>
  </w:style>
  <w:style w:type="paragraph" w:styleId="35">
    <w:name w:val="footnote text"/>
    <w:basedOn w:val="1"/>
    <w:link w:val="83"/>
    <w:autoRedefine/>
    <w:qFormat/>
    <w:uiPriority w:val="0"/>
    <w:pPr>
      <w:widowControl w:val="0"/>
      <w:snapToGrid w:val="0"/>
    </w:pPr>
    <w:rPr>
      <w:rFonts w:ascii="Times New Roman" w:hAnsi="Times New Roman" w:eastAsia="仿宋_GB2312" w:cs="Times New Roman"/>
      <w:kern w:val="2"/>
      <w:sz w:val="18"/>
      <w:szCs w:val="18"/>
    </w:rPr>
  </w:style>
  <w:style w:type="paragraph" w:styleId="36">
    <w:name w:val="toc 6"/>
    <w:basedOn w:val="1"/>
    <w:next w:val="1"/>
    <w:autoRedefine/>
    <w:unhideWhenUsed/>
    <w:qFormat/>
    <w:uiPriority w:val="39"/>
    <w:pPr>
      <w:widowControl w:val="0"/>
      <w:ind w:left="2100" w:leftChars="1000"/>
      <w:jc w:val="both"/>
    </w:pPr>
    <w:rPr>
      <w:rFonts w:asciiTheme="minorHAnsi" w:hAnsiTheme="minorHAnsi" w:eastAsiaTheme="minorEastAsia" w:cstheme="minorBidi"/>
      <w:kern w:val="2"/>
      <w:sz w:val="21"/>
      <w:szCs w:val="22"/>
    </w:rPr>
  </w:style>
  <w:style w:type="paragraph" w:styleId="37">
    <w:name w:val="Body Text Indent 3"/>
    <w:basedOn w:val="1"/>
    <w:link w:val="84"/>
    <w:autoRedefine/>
    <w:qFormat/>
    <w:uiPriority w:val="0"/>
    <w:pPr>
      <w:widowControl w:val="0"/>
      <w:tabs>
        <w:tab w:val="left" w:pos="604"/>
      </w:tabs>
      <w:spacing w:line="360" w:lineRule="auto"/>
      <w:ind w:firstLine="600"/>
      <w:jc w:val="both"/>
    </w:pPr>
    <w:rPr>
      <w:rFonts w:ascii="Times New Roman" w:hAnsi="Times New Roman" w:cs="Times New Roman"/>
      <w:kern w:val="2"/>
    </w:rPr>
  </w:style>
  <w:style w:type="paragraph" w:styleId="38">
    <w:name w:val="toc 2"/>
    <w:basedOn w:val="1"/>
    <w:next w:val="1"/>
    <w:autoRedefine/>
    <w:qFormat/>
    <w:uiPriority w:val="39"/>
    <w:pPr>
      <w:widowControl w:val="0"/>
      <w:ind w:left="420" w:leftChars="200"/>
      <w:jc w:val="both"/>
    </w:pPr>
    <w:rPr>
      <w:rFonts w:ascii="Times New Roman" w:hAnsi="Times New Roman" w:eastAsia="仿宋_GB2312" w:cs="Times New Roman"/>
      <w:kern w:val="2"/>
      <w:sz w:val="28"/>
    </w:rPr>
  </w:style>
  <w:style w:type="paragraph" w:styleId="39">
    <w:name w:val="toc 9"/>
    <w:basedOn w:val="1"/>
    <w:next w:val="1"/>
    <w:autoRedefine/>
    <w:unhideWhenUsed/>
    <w:qFormat/>
    <w:uiPriority w:val="39"/>
    <w:pPr>
      <w:widowControl w:val="0"/>
      <w:ind w:left="3360" w:leftChars="1600"/>
      <w:jc w:val="both"/>
    </w:pPr>
    <w:rPr>
      <w:rFonts w:asciiTheme="minorHAnsi" w:hAnsiTheme="minorHAnsi" w:eastAsiaTheme="minorEastAsia" w:cstheme="minorBidi"/>
      <w:kern w:val="2"/>
      <w:sz w:val="21"/>
      <w:szCs w:val="22"/>
    </w:rPr>
  </w:style>
  <w:style w:type="paragraph" w:styleId="40">
    <w:name w:val="Body Text 2"/>
    <w:basedOn w:val="1"/>
    <w:link w:val="85"/>
    <w:autoRedefine/>
    <w:qFormat/>
    <w:uiPriority w:val="0"/>
    <w:pPr>
      <w:widowControl w:val="0"/>
      <w:jc w:val="both"/>
    </w:pPr>
    <w:rPr>
      <w:rFonts w:ascii="Times New Roman" w:hAnsi="Times New Roman" w:cs="Times New Roman"/>
      <w:b/>
      <w:bCs/>
      <w:kern w:val="2"/>
      <w:szCs w:val="20"/>
    </w:rPr>
  </w:style>
  <w:style w:type="paragraph" w:styleId="41">
    <w:name w:val="Normal (Web)"/>
    <w:basedOn w:val="1"/>
    <w:autoRedefine/>
    <w:qFormat/>
    <w:uiPriority w:val="0"/>
    <w:pPr>
      <w:spacing w:before="100" w:beforeAutospacing="1" w:after="100" w:afterAutospacing="1"/>
    </w:pPr>
    <w:rPr>
      <w:rFonts w:cs="Times New Roman"/>
      <w:szCs w:val="20"/>
    </w:rPr>
  </w:style>
  <w:style w:type="paragraph" w:styleId="42">
    <w:name w:val="annotation subject"/>
    <w:basedOn w:val="18"/>
    <w:next w:val="18"/>
    <w:link w:val="86"/>
    <w:autoRedefine/>
    <w:semiHidden/>
    <w:unhideWhenUsed/>
    <w:qFormat/>
    <w:uiPriority w:val="0"/>
    <w:rPr>
      <w:b/>
      <w:bCs/>
    </w:rPr>
  </w:style>
  <w:style w:type="paragraph" w:styleId="43">
    <w:name w:val="Body Text First Indent"/>
    <w:basedOn w:val="20"/>
    <w:next w:val="1"/>
    <w:link w:val="87"/>
    <w:autoRedefine/>
    <w:unhideWhenUsed/>
    <w:qFormat/>
    <w:uiPriority w:val="0"/>
    <w:pPr>
      <w:spacing w:after="120"/>
      <w:ind w:firstLine="420" w:firstLineChars="100"/>
      <w:jc w:val="both"/>
    </w:pPr>
    <w:rPr>
      <w:rFonts w:ascii="Calibri" w:hAnsi="Calibri" w:cs="Times New Roman"/>
      <w:kern w:val="2"/>
      <w:sz w:val="21"/>
      <w:szCs w:val="24"/>
      <w:lang w:val="en-US" w:bidi="ar-SA"/>
    </w:rPr>
  </w:style>
  <w:style w:type="paragraph" w:styleId="44">
    <w:name w:val="Body Text First Indent 2"/>
    <w:basedOn w:val="22"/>
    <w:next w:val="43"/>
    <w:link w:val="88"/>
    <w:autoRedefine/>
    <w:qFormat/>
    <w:uiPriority w:val="0"/>
    <w:pPr>
      <w:ind w:firstLine="420" w:firstLineChars="200"/>
    </w:pPr>
  </w:style>
  <w:style w:type="table" w:styleId="46">
    <w:name w:val="Table Grid"/>
    <w:basedOn w:val="45"/>
    <w:autoRedefine/>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48">
    <w:name w:val="Strong"/>
    <w:autoRedefine/>
    <w:qFormat/>
    <w:uiPriority w:val="0"/>
    <w:rPr>
      <w:rFonts w:ascii="宋体" w:hAnsi="宋体" w:cs="宋体"/>
      <w:b/>
      <w:bCs/>
      <w:sz w:val="24"/>
      <w:szCs w:val="24"/>
    </w:rPr>
  </w:style>
  <w:style w:type="character" w:styleId="49">
    <w:name w:val="page number"/>
    <w:basedOn w:val="47"/>
    <w:autoRedefine/>
    <w:qFormat/>
    <w:uiPriority w:val="0"/>
    <w:rPr>
      <w:rFonts w:ascii="宋体" w:hAnsi="宋体" w:cs="宋体"/>
      <w:sz w:val="24"/>
      <w:szCs w:val="24"/>
    </w:rPr>
  </w:style>
  <w:style w:type="character" w:styleId="50">
    <w:name w:val="FollowedHyperlink"/>
    <w:autoRedefine/>
    <w:qFormat/>
    <w:uiPriority w:val="0"/>
    <w:rPr>
      <w:rFonts w:ascii="宋体" w:hAnsi="宋体" w:cs="宋体"/>
      <w:color w:val="338DE6"/>
      <w:sz w:val="24"/>
      <w:szCs w:val="24"/>
      <w:u w:val="none"/>
    </w:rPr>
  </w:style>
  <w:style w:type="character" w:styleId="51">
    <w:name w:val="Emphasis"/>
    <w:autoRedefine/>
    <w:qFormat/>
    <w:uiPriority w:val="0"/>
    <w:rPr>
      <w:rFonts w:ascii="宋体" w:hAnsi="宋体" w:cs="宋体"/>
      <w:sz w:val="24"/>
      <w:szCs w:val="24"/>
    </w:rPr>
  </w:style>
  <w:style w:type="character" w:styleId="52">
    <w:name w:val="HTML Definition"/>
    <w:autoRedefine/>
    <w:qFormat/>
    <w:uiPriority w:val="0"/>
    <w:rPr>
      <w:rFonts w:ascii="宋体" w:hAnsi="宋体" w:cs="宋体"/>
      <w:sz w:val="24"/>
      <w:szCs w:val="24"/>
    </w:rPr>
  </w:style>
  <w:style w:type="character" w:styleId="53">
    <w:name w:val="HTML Typewriter"/>
    <w:basedOn w:val="47"/>
    <w:autoRedefine/>
    <w:qFormat/>
    <w:uiPriority w:val="0"/>
    <w:rPr>
      <w:rFonts w:ascii="Courier New" w:hAnsi="Courier New" w:cs="Courier New"/>
      <w:sz w:val="20"/>
      <w:szCs w:val="20"/>
    </w:rPr>
  </w:style>
  <w:style w:type="character" w:styleId="54">
    <w:name w:val="HTML Variable"/>
    <w:autoRedefine/>
    <w:qFormat/>
    <w:uiPriority w:val="0"/>
    <w:rPr>
      <w:rFonts w:ascii="宋体" w:hAnsi="宋体" w:cs="宋体"/>
      <w:sz w:val="24"/>
      <w:szCs w:val="24"/>
    </w:rPr>
  </w:style>
  <w:style w:type="character" w:styleId="55">
    <w:name w:val="Hyperlink"/>
    <w:autoRedefine/>
    <w:qFormat/>
    <w:uiPriority w:val="99"/>
    <w:rPr>
      <w:rFonts w:ascii="宋体" w:hAnsi="宋体" w:cs="宋体"/>
      <w:color w:val="0000FF"/>
      <w:sz w:val="24"/>
      <w:szCs w:val="24"/>
      <w:u w:val="single"/>
    </w:rPr>
  </w:style>
  <w:style w:type="character" w:styleId="56">
    <w:name w:val="HTML Code"/>
    <w:basedOn w:val="47"/>
    <w:autoRedefine/>
    <w:qFormat/>
    <w:uiPriority w:val="0"/>
    <w:rPr>
      <w:rFonts w:ascii="Courier New" w:hAnsi="Courier New" w:cs="Courier New"/>
      <w:sz w:val="20"/>
      <w:szCs w:val="20"/>
    </w:rPr>
  </w:style>
  <w:style w:type="character" w:styleId="57">
    <w:name w:val="annotation reference"/>
    <w:basedOn w:val="47"/>
    <w:autoRedefine/>
    <w:qFormat/>
    <w:uiPriority w:val="0"/>
    <w:rPr>
      <w:sz w:val="21"/>
      <w:szCs w:val="21"/>
    </w:rPr>
  </w:style>
  <w:style w:type="character" w:styleId="58">
    <w:name w:val="HTML Cite"/>
    <w:autoRedefine/>
    <w:qFormat/>
    <w:uiPriority w:val="0"/>
    <w:rPr>
      <w:rFonts w:ascii="宋体" w:hAnsi="宋体" w:cs="宋体"/>
      <w:sz w:val="24"/>
      <w:szCs w:val="24"/>
    </w:rPr>
  </w:style>
  <w:style w:type="character" w:styleId="59">
    <w:name w:val="footnote reference"/>
    <w:basedOn w:val="47"/>
    <w:autoRedefine/>
    <w:qFormat/>
    <w:uiPriority w:val="0"/>
    <w:rPr>
      <w:vertAlign w:val="superscript"/>
    </w:rPr>
  </w:style>
  <w:style w:type="character" w:styleId="60">
    <w:name w:val="HTML Keyboard"/>
    <w:autoRedefine/>
    <w:qFormat/>
    <w:uiPriority w:val="0"/>
    <w:rPr>
      <w:rFonts w:hint="default" w:ascii="serif" w:hAnsi="serif" w:eastAsia="serif" w:cs="serif"/>
      <w:sz w:val="21"/>
      <w:szCs w:val="21"/>
    </w:rPr>
  </w:style>
  <w:style w:type="character" w:styleId="61">
    <w:name w:val="HTML Sample"/>
    <w:autoRedefine/>
    <w:qFormat/>
    <w:uiPriority w:val="0"/>
    <w:rPr>
      <w:rFonts w:hint="default" w:ascii="serif" w:hAnsi="serif" w:eastAsia="serif" w:cs="serif"/>
      <w:sz w:val="21"/>
      <w:szCs w:val="21"/>
    </w:rPr>
  </w:style>
  <w:style w:type="character" w:customStyle="1" w:styleId="62">
    <w:name w:val="批注文字 字符"/>
    <w:basedOn w:val="47"/>
    <w:link w:val="18"/>
    <w:autoRedefine/>
    <w:qFormat/>
    <w:uiPriority w:val="0"/>
    <w:rPr>
      <w:rFonts w:ascii="Times New Roman" w:hAnsi="Times New Roman" w:eastAsia="仿宋_GB2312"/>
      <w:kern w:val="2"/>
      <w:sz w:val="24"/>
      <w:szCs w:val="24"/>
    </w:rPr>
  </w:style>
  <w:style w:type="character" w:customStyle="1" w:styleId="63">
    <w:name w:val="标题 1 字符"/>
    <w:link w:val="3"/>
    <w:autoRedefine/>
    <w:qFormat/>
    <w:uiPriority w:val="0"/>
    <w:rPr>
      <w:rFonts w:ascii="宋体" w:hAnsi="Times New Roman" w:eastAsia="仿宋"/>
      <w:b/>
      <w:bCs/>
      <w:kern w:val="44"/>
      <w:sz w:val="36"/>
      <w:szCs w:val="44"/>
    </w:rPr>
  </w:style>
  <w:style w:type="character" w:customStyle="1" w:styleId="64">
    <w:name w:val="标题 2 字符"/>
    <w:link w:val="4"/>
    <w:autoRedefine/>
    <w:qFormat/>
    <w:uiPriority w:val="0"/>
    <w:rPr>
      <w:rFonts w:ascii="宋体" w:hAnsi="Times New Roman" w:eastAsia="仿宋"/>
      <w:b/>
      <w:bCs/>
      <w:kern w:val="2"/>
      <w:sz w:val="32"/>
      <w:szCs w:val="32"/>
    </w:rPr>
  </w:style>
  <w:style w:type="character" w:customStyle="1" w:styleId="65">
    <w:name w:val="标题 3 字符"/>
    <w:link w:val="5"/>
    <w:autoRedefine/>
    <w:qFormat/>
    <w:uiPriority w:val="0"/>
    <w:rPr>
      <w:rFonts w:ascii="Times New Roman" w:hAnsi="Times New Roman" w:eastAsia="仿宋"/>
      <w:b/>
      <w:bCs/>
      <w:kern w:val="2"/>
      <w:sz w:val="30"/>
      <w:szCs w:val="32"/>
    </w:rPr>
  </w:style>
  <w:style w:type="character" w:customStyle="1" w:styleId="66">
    <w:name w:val="标题 4 字符"/>
    <w:link w:val="6"/>
    <w:autoRedefine/>
    <w:qFormat/>
    <w:uiPriority w:val="0"/>
    <w:rPr>
      <w:rFonts w:ascii="Cambria" w:hAnsi="Cambria"/>
      <w:b/>
      <w:bCs/>
      <w:kern w:val="2"/>
      <w:sz w:val="28"/>
      <w:szCs w:val="28"/>
    </w:rPr>
  </w:style>
  <w:style w:type="character" w:customStyle="1" w:styleId="67">
    <w:name w:val="标题 5 字符"/>
    <w:link w:val="7"/>
    <w:autoRedefine/>
    <w:qFormat/>
    <w:uiPriority w:val="0"/>
    <w:rPr>
      <w:rFonts w:ascii="Times New Roman" w:hAnsi="Times New Roman"/>
      <w:b/>
      <w:bCs/>
      <w:kern w:val="2"/>
      <w:sz w:val="24"/>
      <w:szCs w:val="24"/>
    </w:rPr>
  </w:style>
  <w:style w:type="character" w:customStyle="1" w:styleId="68">
    <w:name w:val="标题 6 字符"/>
    <w:link w:val="8"/>
    <w:autoRedefine/>
    <w:qFormat/>
    <w:uiPriority w:val="0"/>
    <w:rPr>
      <w:rFonts w:ascii="Times New Roman" w:hAnsi="Times New Roman"/>
      <w:i/>
      <w:iCs/>
      <w:color w:val="000000"/>
      <w:kern w:val="2"/>
      <w:sz w:val="30"/>
      <w:szCs w:val="30"/>
    </w:rPr>
  </w:style>
  <w:style w:type="character" w:customStyle="1" w:styleId="69">
    <w:name w:val="标题 7 字符"/>
    <w:link w:val="9"/>
    <w:autoRedefine/>
    <w:qFormat/>
    <w:uiPriority w:val="0"/>
    <w:rPr>
      <w:rFonts w:ascii="Times New Roman" w:hAnsi="Times New Roman"/>
      <w:i/>
      <w:iCs/>
      <w:color w:val="000000"/>
      <w:kern w:val="2"/>
      <w:sz w:val="15"/>
      <w:szCs w:val="18"/>
    </w:rPr>
  </w:style>
  <w:style w:type="character" w:customStyle="1" w:styleId="70">
    <w:name w:val="标题 8 字符"/>
    <w:link w:val="10"/>
    <w:autoRedefine/>
    <w:qFormat/>
    <w:uiPriority w:val="0"/>
    <w:rPr>
      <w:rFonts w:ascii="Arial" w:hAnsi="Arial" w:eastAsia="黑体"/>
      <w:sz w:val="24"/>
    </w:rPr>
  </w:style>
  <w:style w:type="character" w:customStyle="1" w:styleId="71">
    <w:name w:val="标题 9 字符"/>
    <w:link w:val="11"/>
    <w:autoRedefine/>
    <w:qFormat/>
    <w:uiPriority w:val="0"/>
    <w:rPr>
      <w:rFonts w:ascii="Arial" w:hAnsi="Arial" w:eastAsia="黑体"/>
      <w:sz w:val="21"/>
    </w:rPr>
  </w:style>
  <w:style w:type="character" w:customStyle="1" w:styleId="72">
    <w:name w:val="正文缩进 字符"/>
    <w:link w:val="14"/>
    <w:autoRedefine/>
    <w:qFormat/>
    <w:uiPriority w:val="0"/>
    <w:rPr>
      <w:rFonts w:ascii="宋体" w:hAnsi="宋体" w:cs="宋体"/>
      <w:kern w:val="2"/>
      <w:sz w:val="28"/>
      <w:szCs w:val="24"/>
    </w:rPr>
  </w:style>
  <w:style w:type="character" w:customStyle="1" w:styleId="73">
    <w:name w:val="文档结构图 字符"/>
    <w:basedOn w:val="47"/>
    <w:link w:val="16"/>
    <w:autoRedefine/>
    <w:qFormat/>
    <w:uiPriority w:val="0"/>
    <w:rPr>
      <w:rFonts w:ascii="Times New Roman" w:hAnsi="Times New Roman" w:eastAsia="宋体" w:cs="Times New Roman"/>
      <w:kern w:val="2"/>
      <w:sz w:val="21"/>
      <w:szCs w:val="24"/>
      <w:shd w:val="clear" w:color="auto" w:fill="000080"/>
    </w:rPr>
  </w:style>
  <w:style w:type="character" w:customStyle="1" w:styleId="74">
    <w:name w:val="正文文本 3 字符"/>
    <w:basedOn w:val="47"/>
    <w:link w:val="19"/>
    <w:autoRedefine/>
    <w:qFormat/>
    <w:uiPriority w:val="0"/>
    <w:rPr>
      <w:rFonts w:eastAsia="仿宋"/>
      <w:kern w:val="2"/>
      <w:sz w:val="16"/>
      <w:szCs w:val="16"/>
    </w:rPr>
  </w:style>
  <w:style w:type="character" w:customStyle="1" w:styleId="75">
    <w:name w:val="正文文本 字符"/>
    <w:basedOn w:val="47"/>
    <w:link w:val="20"/>
    <w:autoRedefine/>
    <w:qFormat/>
    <w:uiPriority w:val="1"/>
    <w:rPr>
      <w:rFonts w:ascii="宋体" w:hAnsi="宋体" w:cs="宋体"/>
      <w:sz w:val="28"/>
      <w:szCs w:val="28"/>
      <w:lang w:val="zh-CN" w:bidi="zh-CN"/>
    </w:rPr>
  </w:style>
  <w:style w:type="character" w:customStyle="1" w:styleId="76">
    <w:name w:val="正文文本缩进 字符"/>
    <w:basedOn w:val="47"/>
    <w:link w:val="22"/>
    <w:autoRedefine/>
    <w:qFormat/>
    <w:uiPriority w:val="0"/>
    <w:rPr>
      <w:rFonts w:eastAsia="仿宋"/>
      <w:kern w:val="2"/>
      <w:sz w:val="28"/>
      <w:szCs w:val="24"/>
    </w:rPr>
  </w:style>
  <w:style w:type="character" w:customStyle="1" w:styleId="77">
    <w:name w:val="纯文本 字符"/>
    <w:basedOn w:val="47"/>
    <w:link w:val="25"/>
    <w:autoRedefine/>
    <w:qFormat/>
    <w:uiPriority w:val="0"/>
    <w:rPr>
      <w:rFonts w:ascii="宋体" w:hAnsi="宋体" w:eastAsia="宋体" w:cs="Times New Roman"/>
      <w:sz w:val="24"/>
    </w:rPr>
  </w:style>
  <w:style w:type="character" w:customStyle="1" w:styleId="78">
    <w:name w:val="日期 字符"/>
    <w:basedOn w:val="47"/>
    <w:link w:val="27"/>
    <w:autoRedefine/>
    <w:qFormat/>
    <w:uiPriority w:val="0"/>
    <w:rPr>
      <w:rFonts w:ascii="Times New Roman" w:hAnsi="Times New Roman" w:eastAsia="宋体" w:cs="Times New Roman"/>
      <w:kern w:val="2"/>
      <w:sz w:val="44"/>
    </w:rPr>
  </w:style>
  <w:style w:type="character" w:customStyle="1" w:styleId="79">
    <w:name w:val="正文文本缩进 2 字符"/>
    <w:basedOn w:val="47"/>
    <w:link w:val="28"/>
    <w:autoRedefine/>
    <w:qFormat/>
    <w:uiPriority w:val="0"/>
    <w:rPr>
      <w:rFonts w:ascii="仿宋_GB2312" w:hAnsi="Times New Roman" w:eastAsia="仿宋_GB2312" w:cs="Times New Roman"/>
      <w:kern w:val="2"/>
      <w:sz w:val="28"/>
    </w:rPr>
  </w:style>
  <w:style w:type="character" w:customStyle="1" w:styleId="80">
    <w:name w:val="批注框文本 字符"/>
    <w:basedOn w:val="47"/>
    <w:link w:val="29"/>
    <w:autoRedefine/>
    <w:semiHidden/>
    <w:qFormat/>
    <w:uiPriority w:val="99"/>
    <w:rPr>
      <w:rFonts w:eastAsia="仿宋_GB2312"/>
      <w:kern w:val="2"/>
      <w:sz w:val="18"/>
      <w:szCs w:val="18"/>
    </w:rPr>
  </w:style>
  <w:style w:type="character" w:customStyle="1" w:styleId="81">
    <w:name w:val="页脚 字符"/>
    <w:basedOn w:val="47"/>
    <w:link w:val="30"/>
    <w:autoRedefine/>
    <w:qFormat/>
    <w:uiPriority w:val="99"/>
    <w:rPr>
      <w:rFonts w:eastAsia="仿宋_GB2312"/>
      <w:kern w:val="2"/>
      <w:sz w:val="18"/>
      <w:szCs w:val="18"/>
    </w:rPr>
  </w:style>
  <w:style w:type="character" w:customStyle="1" w:styleId="82">
    <w:name w:val="页眉 字符"/>
    <w:basedOn w:val="47"/>
    <w:link w:val="31"/>
    <w:autoRedefine/>
    <w:qFormat/>
    <w:uiPriority w:val="0"/>
    <w:rPr>
      <w:rFonts w:eastAsia="仿宋_GB2312"/>
      <w:kern w:val="2"/>
      <w:sz w:val="18"/>
      <w:szCs w:val="18"/>
    </w:rPr>
  </w:style>
  <w:style w:type="character" w:customStyle="1" w:styleId="83">
    <w:name w:val="脚注文本 字符"/>
    <w:basedOn w:val="47"/>
    <w:link w:val="35"/>
    <w:autoRedefine/>
    <w:qFormat/>
    <w:uiPriority w:val="0"/>
    <w:rPr>
      <w:rFonts w:eastAsia="仿宋_GB2312"/>
      <w:kern w:val="2"/>
      <w:sz w:val="18"/>
      <w:szCs w:val="18"/>
    </w:rPr>
  </w:style>
  <w:style w:type="character" w:customStyle="1" w:styleId="84">
    <w:name w:val="正文文本缩进 3 字符"/>
    <w:basedOn w:val="47"/>
    <w:link w:val="37"/>
    <w:autoRedefine/>
    <w:qFormat/>
    <w:uiPriority w:val="0"/>
    <w:rPr>
      <w:rFonts w:ascii="Times New Roman" w:hAnsi="Times New Roman" w:eastAsia="宋体" w:cs="Times New Roman"/>
      <w:kern w:val="2"/>
      <w:sz w:val="24"/>
      <w:szCs w:val="24"/>
    </w:rPr>
  </w:style>
  <w:style w:type="character" w:customStyle="1" w:styleId="85">
    <w:name w:val="正文文本 2 字符"/>
    <w:basedOn w:val="47"/>
    <w:link w:val="40"/>
    <w:autoRedefine/>
    <w:qFormat/>
    <w:uiPriority w:val="0"/>
    <w:rPr>
      <w:rFonts w:ascii="Times New Roman" w:hAnsi="Times New Roman" w:eastAsia="宋体" w:cs="Times New Roman"/>
      <w:b/>
      <w:bCs/>
      <w:kern w:val="2"/>
      <w:sz w:val="24"/>
    </w:rPr>
  </w:style>
  <w:style w:type="character" w:customStyle="1" w:styleId="86">
    <w:name w:val="批注主题 字符"/>
    <w:basedOn w:val="62"/>
    <w:link w:val="42"/>
    <w:autoRedefine/>
    <w:semiHidden/>
    <w:qFormat/>
    <w:uiPriority w:val="0"/>
    <w:rPr>
      <w:rFonts w:ascii="Times New Roman" w:hAnsi="Times New Roman" w:eastAsia="仿宋_GB2312"/>
      <w:b/>
      <w:bCs/>
      <w:kern w:val="2"/>
      <w:sz w:val="28"/>
      <w:szCs w:val="24"/>
    </w:rPr>
  </w:style>
  <w:style w:type="character" w:customStyle="1" w:styleId="87">
    <w:name w:val="正文文本首行缩进 字符"/>
    <w:basedOn w:val="75"/>
    <w:link w:val="43"/>
    <w:autoRedefine/>
    <w:qFormat/>
    <w:uiPriority w:val="0"/>
    <w:rPr>
      <w:rFonts w:ascii="Calibri" w:hAnsi="Calibri" w:eastAsia="宋体" w:cs="Times New Roman"/>
      <w:kern w:val="2"/>
      <w:sz w:val="21"/>
      <w:szCs w:val="24"/>
      <w:lang w:val="zh-CN" w:bidi="zh-CN"/>
    </w:rPr>
  </w:style>
  <w:style w:type="character" w:customStyle="1" w:styleId="88">
    <w:name w:val="正文文本首行缩进 2 字符"/>
    <w:basedOn w:val="76"/>
    <w:link w:val="44"/>
    <w:autoRedefine/>
    <w:qFormat/>
    <w:uiPriority w:val="0"/>
    <w:rPr>
      <w:rFonts w:eastAsia="仿宋"/>
      <w:kern w:val="2"/>
      <w:sz w:val="28"/>
      <w:szCs w:val="24"/>
    </w:rPr>
  </w:style>
  <w:style w:type="paragraph" w:customStyle="1" w:styleId="89">
    <w:name w:val="z-窗体顶端1"/>
    <w:basedOn w:val="1"/>
    <w:next w:val="1"/>
    <w:autoRedefine/>
    <w:hidden/>
    <w:qFormat/>
    <w:uiPriority w:val="0"/>
    <w:pPr>
      <w:pBdr>
        <w:bottom w:val="single" w:color="auto" w:sz="6" w:space="1"/>
      </w:pBdr>
      <w:jc w:val="center"/>
    </w:pPr>
    <w:rPr>
      <w:rFonts w:ascii="Arial" w:hAnsi="Arial" w:cs="Arial"/>
      <w:vanish/>
      <w:sz w:val="16"/>
      <w:szCs w:val="16"/>
    </w:rPr>
  </w:style>
  <w:style w:type="paragraph" w:customStyle="1" w:styleId="90">
    <w:name w:val="z-窗体底端1"/>
    <w:basedOn w:val="1"/>
    <w:next w:val="1"/>
    <w:autoRedefine/>
    <w:hidden/>
    <w:qFormat/>
    <w:uiPriority w:val="0"/>
    <w:pPr>
      <w:pBdr>
        <w:top w:val="single" w:color="auto" w:sz="6" w:space="1"/>
      </w:pBdr>
      <w:jc w:val="center"/>
    </w:pPr>
    <w:rPr>
      <w:rFonts w:ascii="Arial" w:hAnsi="Arial" w:cs="Arial"/>
      <w:vanish/>
      <w:sz w:val="16"/>
      <w:szCs w:val="16"/>
    </w:rPr>
  </w:style>
  <w:style w:type="paragraph" w:customStyle="1" w:styleId="91">
    <w:name w:val="图表名称11"/>
    <w:autoRedefine/>
    <w:qFormat/>
    <w:uiPriority w:val="0"/>
    <w:pPr>
      <w:adjustRightInd w:val="0"/>
      <w:snapToGrid w:val="0"/>
      <w:spacing w:line="480" w:lineRule="exact"/>
      <w:jc w:val="center"/>
    </w:pPr>
    <w:rPr>
      <w:rFonts w:ascii="宋体" w:hAnsi="宋体" w:eastAsia="宋体" w:cs="Times New Roman"/>
      <w:bCs/>
      <w:sz w:val="24"/>
      <w:lang w:val="en-US" w:eastAsia="zh-CN" w:bidi="ar-SA"/>
    </w:rPr>
  </w:style>
  <w:style w:type="paragraph" w:customStyle="1" w:styleId="92">
    <w:name w:val="表内文字边11"/>
    <w:basedOn w:val="1"/>
    <w:autoRedefine/>
    <w:qFormat/>
    <w:uiPriority w:val="0"/>
    <w:pPr>
      <w:adjustRightInd w:val="0"/>
      <w:snapToGrid w:val="0"/>
      <w:spacing w:line="240" w:lineRule="atLeast"/>
      <w:ind w:left="-21" w:leftChars="-10" w:right="-42" w:rightChars="-20"/>
      <w:jc w:val="both"/>
    </w:pPr>
    <w:rPr>
      <w:rFonts w:hAnsi="Times New Roman" w:cs="Times New Roman"/>
      <w:sz w:val="21"/>
      <w:szCs w:val="21"/>
    </w:rPr>
  </w:style>
  <w:style w:type="paragraph" w:customStyle="1" w:styleId="93">
    <w:name w:val="正文缩11"/>
    <w:basedOn w:val="1"/>
    <w:autoRedefine/>
    <w:qFormat/>
    <w:uiPriority w:val="0"/>
    <w:pPr>
      <w:widowControl w:val="0"/>
      <w:adjustRightInd w:val="0"/>
      <w:snapToGrid w:val="0"/>
      <w:spacing w:line="480" w:lineRule="atLeast"/>
      <w:ind w:firstLine="567"/>
      <w:jc w:val="both"/>
      <w:textAlignment w:val="baseline"/>
    </w:pPr>
    <w:rPr>
      <w:rFonts w:hAnsi="Times New Roman" w:cs="Times New Roman"/>
      <w:color w:val="000080"/>
      <w:spacing w:val="6"/>
      <w:sz w:val="28"/>
      <w:szCs w:val="20"/>
    </w:rPr>
  </w:style>
  <w:style w:type="paragraph" w:customStyle="1" w:styleId="94">
    <w:name w:val="样式211"/>
    <w:basedOn w:val="1"/>
    <w:autoRedefine/>
    <w:qFormat/>
    <w:uiPriority w:val="0"/>
    <w:pPr>
      <w:widowControl w:val="0"/>
      <w:adjustRightInd w:val="0"/>
      <w:spacing w:line="360" w:lineRule="auto"/>
      <w:jc w:val="center"/>
      <w:textAlignment w:val="baseline"/>
      <w:outlineLvl w:val="0"/>
    </w:pPr>
    <w:rPr>
      <w:rFonts w:ascii="Times New Roman" w:hAnsi="Times New Roman" w:cs="Times New Roman"/>
      <w:sz w:val="21"/>
      <w:szCs w:val="20"/>
    </w:rPr>
  </w:style>
  <w:style w:type="paragraph" w:customStyle="1" w:styleId="95">
    <w:name w:val="默认段落字体 Para Char Char Char Char Char11"/>
    <w:basedOn w:val="1"/>
    <w:autoRedefine/>
    <w:qFormat/>
    <w:uiPriority w:val="0"/>
    <w:pPr>
      <w:widowControl w:val="0"/>
      <w:jc w:val="both"/>
    </w:pPr>
    <w:rPr>
      <w:rFonts w:ascii="Times New Roman" w:hAnsi="Times New Roman" w:cs="Times New Roman"/>
      <w:kern w:val="2"/>
      <w:sz w:val="21"/>
    </w:rPr>
  </w:style>
  <w:style w:type="paragraph" w:customStyle="1" w:styleId="96">
    <w:name w:val="表内宋5中31"/>
    <w:basedOn w:val="1"/>
    <w:autoRedefine/>
    <w:qFormat/>
    <w:uiPriority w:val="0"/>
    <w:pPr>
      <w:widowControl w:val="0"/>
      <w:adjustRightInd w:val="0"/>
      <w:snapToGrid w:val="0"/>
      <w:jc w:val="both"/>
      <w:textAlignment w:val="baseline"/>
    </w:pPr>
    <w:rPr>
      <w:rFonts w:ascii="Times New Roman" w:hAnsi="Times New Roman" w:cs="Times New Roman"/>
      <w:color w:val="000000"/>
      <w:sz w:val="21"/>
      <w:szCs w:val="20"/>
    </w:rPr>
  </w:style>
  <w:style w:type="paragraph" w:styleId="97">
    <w:name w:val="List Paragraph"/>
    <w:basedOn w:val="1"/>
    <w:autoRedefine/>
    <w:unhideWhenUsed/>
    <w:qFormat/>
    <w:uiPriority w:val="1"/>
    <w:pPr>
      <w:widowControl w:val="0"/>
      <w:ind w:firstLine="420" w:firstLineChars="200"/>
      <w:jc w:val="both"/>
    </w:pPr>
    <w:rPr>
      <w:rFonts w:ascii="Times New Roman" w:hAnsi="Times New Roman" w:eastAsia="仿宋_GB2312" w:cs="Times New Roman"/>
      <w:kern w:val="2"/>
      <w:sz w:val="28"/>
    </w:rPr>
  </w:style>
  <w:style w:type="paragraph" w:customStyle="1" w:styleId="98">
    <w:name w:val="Table Paragraph"/>
    <w:basedOn w:val="1"/>
    <w:autoRedefine/>
    <w:qFormat/>
    <w:uiPriority w:val="1"/>
    <w:pPr>
      <w:widowControl w:val="0"/>
      <w:autoSpaceDE w:val="0"/>
      <w:autoSpaceDN w:val="0"/>
      <w:jc w:val="center"/>
    </w:pPr>
    <w:rPr>
      <w:rFonts w:ascii="Times New Roman" w:hAnsi="Times New Roman" w:eastAsia="Times New Roman" w:cs="Times New Roman"/>
      <w:sz w:val="22"/>
      <w:szCs w:val="22"/>
      <w:lang w:val="zh-CN" w:bidi="zh-CN"/>
    </w:rPr>
  </w:style>
  <w:style w:type="table" w:customStyle="1" w:styleId="99">
    <w:name w:val="Table Normal"/>
    <w:autoRedefine/>
    <w:semiHidden/>
    <w:unhideWhenUsed/>
    <w:qFormat/>
    <w:uiPriority w:val="2"/>
    <w:pPr>
      <w:widowControl w:val="0"/>
      <w:autoSpaceDE w:val="0"/>
      <w:autoSpaceDN w:val="0"/>
    </w:pPr>
    <w:rPr>
      <w:sz w:val="22"/>
      <w:szCs w:val="22"/>
      <w:lang w:eastAsia="en-US"/>
    </w:rPr>
    <w:tblPr>
      <w:tblCellMar>
        <w:top w:w="0" w:type="dxa"/>
        <w:left w:w="0" w:type="dxa"/>
        <w:bottom w:w="0" w:type="dxa"/>
        <w:right w:w="0" w:type="dxa"/>
      </w:tblCellMar>
    </w:tblPr>
  </w:style>
  <w:style w:type="table" w:customStyle="1" w:styleId="100">
    <w:name w:val="Table Normal1"/>
    <w:autoRedefine/>
    <w:semiHidden/>
    <w:unhideWhenUsed/>
    <w:qFormat/>
    <w:uiPriority w:val="2"/>
    <w:pPr>
      <w:widowControl w:val="0"/>
      <w:autoSpaceDE w:val="0"/>
      <w:autoSpaceDN w:val="0"/>
    </w:pPr>
    <w:rPr>
      <w:sz w:val="22"/>
      <w:szCs w:val="22"/>
      <w:lang w:eastAsia="en-US"/>
    </w:rPr>
    <w:tblPr>
      <w:tblCellMar>
        <w:top w:w="0" w:type="dxa"/>
        <w:left w:w="0" w:type="dxa"/>
        <w:bottom w:w="0" w:type="dxa"/>
        <w:right w:w="0" w:type="dxa"/>
      </w:tblCellMar>
    </w:tblPr>
  </w:style>
  <w:style w:type="table" w:customStyle="1" w:styleId="101">
    <w:name w:val="Table Normal2"/>
    <w:autoRedefine/>
    <w:semiHidden/>
    <w:unhideWhenUsed/>
    <w:qFormat/>
    <w:uiPriority w:val="2"/>
    <w:pPr>
      <w:widowControl w:val="0"/>
      <w:autoSpaceDE w:val="0"/>
      <w:autoSpaceDN w:val="0"/>
    </w:pPr>
    <w:rPr>
      <w:sz w:val="22"/>
      <w:szCs w:val="22"/>
      <w:lang w:eastAsia="en-US"/>
    </w:rPr>
    <w:tblPr>
      <w:tblCellMar>
        <w:top w:w="0" w:type="dxa"/>
        <w:left w:w="0" w:type="dxa"/>
        <w:bottom w:w="0" w:type="dxa"/>
        <w:right w:w="0" w:type="dxa"/>
      </w:tblCellMar>
    </w:tblPr>
  </w:style>
  <w:style w:type="table" w:customStyle="1" w:styleId="102">
    <w:name w:val="Table Normal3"/>
    <w:autoRedefine/>
    <w:unhideWhenUsed/>
    <w:qFormat/>
    <w:uiPriority w:val="2"/>
    <w:pPr>
      <w:widowControl w:val="0"/>
      <w:autoSpaceDE w:val="0"/>
      <w:autoSpaceDN w:val="0"/>
    </w:pPr>
    <w:rPr>
      <w:sz w:val="22"/>
      <w:szCs w:val="22"/>
      <w:lang w:eastAsia="en-US"/>
    </w:rPr>
    <w:tblPr>
      <w:tblCellMar>
        <w:top w:w="0" w:type="dxa"/>
        <w:left w:w="0" w:type="dxa"/>
        <w:bottom w:w="0" w:type="dxa"/>
        <w:right w:w="0" w:type="dxa"/>
      </w:tblCellMar>
    </w:tblPr>
  </w:style>
  <w:style w:type="table" w:customStyle="1" w:styleId="103">
    <w:name w:val="Table Normal4"/>
    <w:autoRedefine/>
    <w:semiHidden/>
    <w:unhideWhenUsed/>
    <w:qFormat/>
    <w:uiPriority w:val="2"/>
    <w:pPr>
      <w:widowControl w:val="0"/>
      <w:autoSpaceDE w:val="0"/>
      <w:autoSpaceDN w:val="0"/>
    </w:pPr>
    <w:rPr>
      <w:sz w:val="22"/>
      <w:szCs w:val="22"/>
      <w:lang w:eastAsia="en-US"/>
    </w:rPr>
    <w:tblPr>
      <w:tblCellMar>
        <w:top w:w="0" w:type="dxa"/>
        <w:left w:w="0" w:type="dxa"/>
        <w:bottom w:w="0" w:type="dxa"/>
        <w:right w:w="0" w:type="dxa"/>
      </w:tblCellMar>
    </w:tblPr>
  </w:style>
  <w:style w:type="table" w:customStyle="1" w:styleId="104">
    <w:name w:val="Table Normal5"/>
    <w:autoRedefine/>
    <w:semiHidden/>
    <w:unhideWhenUsed/>
    <w:qFormat/>
    <w:uiPriority w:val="2"/>
    <w:pPr>
      <w:widowControl w:val="0"/>
      <w:autoSpaceDE w:val="0"/>
      <w:autoSpaceDN w:val="0"/>
    </w:pPr>
    <w:rPr>
      <w:sz w:val="22"/>
      <w:szCs w:val="22"/>
      <w:lang w:eastAsia="en-US"/>
    </w:rPr>
    <w:tblPr>
      <w:tblCellMar>
        <w:top w:w="0" w:type="dxa"/>
        <w:left w:w="0" w:type="dxa"/>
        <w:bottom w:w="0" w:type="dxa"/>
        <w:right w:w="0" w:type="dxa"/>
      </w:tblCellMar>
    </w:tblPr>
  </w:style>
  <w:style w:type="paragraph" w:customStyle="1" w:styleId="105">
    <w:name w:val="Default"/>
    <w:autoRedefine/>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106">
    <w:name w:val="表格 内部文字1"/>
    <w:link w:val="107"/>
    <w:autoRedefine/>
    <w:qFormat/>
    <w:uiPriority w:val="0"/>
    <w:pPr>
      <w:adjustRightInd w:val="0"/>
      <w:snapToGrid w:val="0"/>
      <w:jc w:val="center"/>
    </w:pPr>
    <w:rPr>
      <w:rFonts w:ascii="Times New Roman" w:hAnsi="Times New Roman" w:eastAsia="宋体" w:cs="Times New Roman"/>
      <w:color w:val="00B0F0"/>
      <w:lang w:val="en-US" w:eastAsia="zh-CN" w:bidi="ar-SA"/>
    </w:rPr>
  </w:style>
  <w:style w:type="character" w:customStyle="1" w:styleId="107">
    <w:name w:val="表格 内部文字1 字符"/>
    <w:link w:val="106"/>
    <w:autoRedefine/>
    <w:qFormat/>
    <w:uiPriority w:val="0"/>
    <w:rPr>
      <w:color w:val="00B0F0"/>
    </w:rPr>
  </w:style>
  <w:style w:type="table" w:customStyle="1" w:styleId="108">
    <w:name w:val="1111"/>
    <w:basedOn w:val="45"/>
    <w:autoRedefine/>
    <w:qFormat/>
    <w:uiPriority w:val="0"/>
    <w:pPr>
      <w:adjustRightInd w:val="0"/>
      <w:snapToGrid w:val="0"/>
      <w:spacing w:line="320" w:lineRule="exact"/>
      <w:jc w:val="center"/>
    </w:pPr>
    <w:rPr>
      <w:sz w:val="21"/>
    </w:rPr>
    <w:tblPr>
      <w:jc w:val="center"/>
      <w:tblBorders>
        <w:top w:val="single" w:color="auto" w:sz="12" w:space="0"/>
        <w:bottom w:val="single" w:color="auto" w:sz="12" w:space="0"/>
        <w:insideH w:val="single" w:color="auto" w:sz="4" w:space="0"/>
        <w:insideV w:val="single" w:color="auto" w:sz="4" w:space="0"/>
      </w:tblBorders>
    </w:tblPr>
    <w:trPr>
      <w:jc w:val="center"/>
    </w:trPr>
    <w:tcPr>
      <w:vAlign w:val="center"/>
    </w:tcPr>
  </w:style>
  <w:style w:type="paragraph" w:customStyle="1" w:styleId="109">
    <w:name w:val="Char Char Char Char"/>
    <w:basedOn w:val="1"/>
    <w:autoRedefine/>
    <w:qFormat/>
    <w:uiPriority w:val="0"/>
    <w:pPr>
      <w:widowControl w:val="0"/>
      <w:jc w:val="both"/>
    </w:pPr>
    <w:rPr>
      <w:rFonts w:ascii="Times New Roman" w:hAnsi="Times New Roman" w:cs="Times New Roman"/>
      <w:kern w:val="2"/>
    </w:rPr>
  </w:style>
  <w:style w:type="character" w:customStyle="1" w:styleId="110">
    <w:name w:val="font11"/>
    <w:basedOn w:val="47"/>
    <w:autoRedefine/>
    <w:qFormat/>
    <w:uiPriority w:val="0"/>
    <w:rPr>
      <w:rFonts w:ascii="宋体" w:hAnsi="宋体" w:cs="宋体"/>
      <w:sz w:val="18"/>
      <w:szCs w:val="18"/>
    </w:rPr>
  </w:style>
  <w:style w:type="character" w:customStyle="1" w:styleId="111">
    <w:name w:val="viewthreadtxt"/>
    <w:basedOn w:val="47"/>
    <w:autoRedefine/>
    <w:qFormat/>
    <w:uiPriority w:val="0"/>
    <w:rPr>
      <w:sz w:val="24"/>
      <w:szCs w:val="24"/>
    </w:rPr>
  </w:style>
  <w:style w:type="paragraph" w:customStyle="1" w:styleId="112">
    <w:name w:val="Default1"/>
    <w:autoRedefine/>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113">
    <w:name w:val="表头lcc"/>
    <w:basedOn w:val="1"/>
    <w:autoRedefine/>
    <w:qFormat/>
    <w:uiPriority w:val="0"/>
    <w:pPr>
      <w:widowControl w:val="0"/>
      <w:adjustRightInd w:val="0"/>
      <w:jc w:val="center"/>
      <w:textAlignment w:val="baseline"/>
    </w:pPr>
    <w:rPr>
      <w:rFonts w:ascii="Times New Roman" w:hAnsi="Times New Roman" w:cs="Times New Roman"/>
      <w:b/>
      <w:kern w:val="2"/>
      <w:sz w:val="21"/>
      <w:szCs w:val="21"/>
    </w:rPr>
  </w:style>
  <w:style w:type="paragraph" w:customStyle="1" w:styleId="114">
    <w:name w:val="表文-lcc"/>
    <w:basedOn w:val="1"/>
    <w:autoRedefine/>
    <w:qFormat/>
    <w:uiPriority w:val="0"/>
    <w:pPr>
      <w:widowControl w:val="0"/>
      <w:jc w:val="center"/>
    </w:pPr>
    <w:rPr>
      <w:rFonts w:ascii="Times New Roman" w:hAnsi="Times New Roman" w:cs="Times New Roman"/>
      <w:kern w:val="2"/>
      <w:sz w:val="21"/>
      <w:szCs w:val="21"/>
    </w:rPr>
  </w:style>
  <w:style w:type="character" w:customStyle="1" w:styleId="115">
    <w:name w:val="font112"/>
    <w:autoRedefine/>
    <w:qFormat/>
    <w:uiPriority w:val="0"/>
    <w:rPr>
      <w:rFonts w:hint="eastAsia" w:ascii="宋体" w:hAnsi="宋体" w:eastAsia="宋体" w:cs="宋体"/>
      <w:color w:val="000000"/>
      <w:sz w:val="21"/>
      <w:szCs w:val="21"/>
      <w:u w:val="none"/>
    </w:rPr>
  </w:style>
  <w:style w:type="paragraph" w:customStyle="1" w:styleId="116">
    <w:name w:val="Char"/>
    <w:basedOn w:val="1"/>
    <w:autoRedefine/>
    <w:qFormat/>
    <w:uiPriority w:val="0"/>
    <w:pPr>
      <w:widowControl w:val="0"/>
      <w:jc w:val="both"/>
    </w:pPr>
    <w:rPr>
      <w:rFonts w:ascii="Times New Roman" w:hAnsi="Times New Roman" w:cs="Times New Roman"/>
      <w:kern w:val="2"/>
    </w:rPr>
  </w:style>
  <w:style w:type="paragraph" w:customStyle="1" w:styleId="117">
    <w:name w:val="修订1"/>
    <w:autoRedefine/>
    <w:hidden/>
    <w:unhideWhenUsed/>
    <w:qFormat/>
    <w:uiPriority w:val="99"/>
    <w:rPr>
      <w:rFonts w:ascii="Times New Roman" w:hAnsi="Times New Roman" w:eastAsia="仿宋_GB2312" w:cs="Times New Roman"/>
      <w:kern w:val="2"/>
      <w:sz w:val="28"/>
      <w:szCs w:val="24"/>
      <w:lang w:val="en-US" w:eastAsia="zh-CN" w:bidi="ar-SA"/>
    </w:rPr>
  </w:style>
  <w:style w:type="paragraph" w:customStyle="1" w:styleId="118">
    <w:name w:val="表格文字"/>
    <w:basedOn w:val="1"/>
    <w:link w:val="119"/>
    <w:autoRedefine/>
    <w:qFormat/>
    <w:uiPriority w:val="0"/>
    <w:pPr>
      <w:widowControl w:val="0"/>
      <w:jc w:val="center"/>
    </w:pPr>
    <w:rPr>
      <w:rFonts w:ascii="仿宋_GB2312" w:hAnsi="Arial Black" w:eastAsia="仿宋_GB2312" w:cs="Times New Roman"/>
      <w:kern w:val="44"/>
      <w:szCs w:val="20"/>
    </w:rPr>
  </w:style>
  <w:style w:type="character" w:customStyle="1" w:styleId="119">
    <w:name w:val="表格文字 Char"/>
    <w:link w:val="118"/>
    <w:autoRedefine/>
    <w:qFormat/>
    <w:uiPriority w:val="0"/>
    <w:rPr>
      <w:rFonts w:ascii="仿宋_GB2312" w:hAnsi="Arial Black" w:eastAsia="仿宋_GB2312" w:cs="Times New Roman"/>
      <w:kern w:val="44"/>
      <w:sz w:val="24"/>
    </w:rPr>
  </w:style>
  <w:style w:type="character" w:customStyle="1" w:styleId="120">
    <w:name w:val="要点1"/>
    <w:autoRedefine/>
    <w:qFormat/>
    <w:uiPriority w:val="0"/>
    <w:rPr>
      <w:rFonts w:eastAsia="仿宋_GB2312"/>
      <w:bCs/>
      <w:sz w:val="24"/>
    </w:rPr>
  </w:style>
  <w:style w:type="character" w:styleId="121">
    <w:name w:val="Placeholder Text"/>
    <w:basedOn w:val="47"/>
    <w:autoRedefine/>
    <w:semiHidden/>
    <w:qFormat/>
    <w:uiPriority w:val="99"/>
    <w:rPr>
      <w:color w:val="808080"/>
    </w:rPr>
  </w:style>
  <w:style w:type="character" w:customStyle="1" w:styleId="122">
    <w:name w:val="fontstyle21"/>
    <w:autoRedefine/>
    <w:qFormat/>
    <w:uiPriority w:val="0"/>
    <w:rPr>
      <w:rFonts w:ascii="TimesNewRomanPSMT" w:hAnsi="TimesNewRomanPSMT" w:eastAsia="TimesNewRomanPSMT" w:cs="TimesNewRomanPSMT"/>
      <w:color w:val="000000"/>
      <w:sz w:val="24"/>
      <w:szCs w:val="24"/>
    </w:rPr>
  </w:style>
  <w:style w:type="character" w:customStyle="1" w:styleId="123">
    <w:name w:val="正文文本_"/>
    <w:link w:val="124"/>
    <w:autoRedefine/>
    <w:qFormat/>
    <w:uiPriority w:val="0"/>
    <w:rPr>
      <w:rFonts w:ascii="Times New Roman" w:hAnsi="Times New Roman" w:eastAsia="Times New Roman" w:cs="Times New Roman"/>
      <w:shd w:val="clear" w:color="auto" w:fill="FFFFFF"/>
    </w:rPr>
  </w:style>
  <w:style w:type="paragraph" w:customStyle="1" w:styleId="124">
    <w:name w:val="正文文本1"/>
    <w:basedOn w:val="1"/>
    <w:link w:val="123"/>
    <w:autoRedefine/>
    <w:qFormat/>
    <w:uiPriority w:val="0"/>
    <w:pPr>
      <w:widowControl w:val="0"/>
      <w:shd w:val="clear" w:color="auto" w:fill="FFFFFF"/>
      <w:jc w:val="both"/>
    </w:pPr>
    <w:rPr>
      <w:rFonts w:ascii="Times New Roman" w:hAnsi="Times New Roman" w:eastAsia="Times New Roman" w:cs="Times New Roman"/>
      <w:sz w:val="20"/>
      <w:szCs w:val="20"/>
    </w:rPr>
  </w:style>
  <w:style w:type="character" w:customStyle="1" w:styleId="125">
    <w:name w:val="正文文本 + 9 pt"/>
    <w:autoRedefine/>
    <w:qFormat/>
    <w:uiPriority w:val="0"/>
    <w:rPr>
      <w:rFonts w:ascii="Times New Roman" w:hAnsi="Times New Roman" w:eastAsia="Times New Roman" w:cs="Times New Roman"/>
      <w:color w:val="000000"/>
      <w:spacing w:val="0"/>
      <w:w w:val="100"/>
      <w:position w:val="0"/>
      <w:sz w:val="18"/>
      <w:szCs w:val="18"/>
      <w:u w:val="none"/>
      <w:lang w:val="en-US"/>
    </w:rPr>
  </w:style>
  <w:style w:type="character" w:customStyle="1" w:styleId="126">
    <w:name w:val="font01"/>
    <w:autoRedefine/>
    <w:qFormat/>
    <w:uiPriority w:val="0"/>
    <w:rPr>
      <w:rFonts w:hint="eastAsia" w:ascii="宋体" w:hAnsi="宋体" w:eastAsia="宋体" w:cs="宋体"/>
      <w:color w:val="000000"/>
      <w:sz w:val="22"/>
      <w:szCs w:val="22"/>
      <w:u w:val="none"/>
    </w:rPr>
  </w:style>
  <w:style w:type="character" w:customStyle="1" w:styleId="127">
    <w:name w:val="head121"/>
    <w:autoRedefine/>
    <w:qFormat/>
    <w:uiPriority w:val="0"/>
    <w:rPr>
      <w:rFonts w:ascii="宋体" w:hAnsi="宋体" w:cs="宋体"/>
      <w:sz w:val="22"/>
      <w:szCs w:val="22"/>
    </w:rPr>
  </w:style>
  <w:style w:type="character" w:customStyle="1" w:styleId="128">
    <w:name w:val="正文文本 + SimSun"/>
    <w:autoRedefine/>
    <w:qFormat/>
    <w:uiPriority w:val="0"/>
    <w:rPr>
      <w:rFonts w:ascii="宋体" w:hAnsi="宋体" w:eastAsia="宋体" w:cs="宋体"/>
      <w:color w:val="000000"/>
      <w:spacing w:val="0"/>
      <w:w w:val="100"/>
      <w:position w:val="0"/>
      <w:sz w:val="19"/>
      <w:szCs w:val="19"/>
      <w:u w:val="none"/>
      <w:lang w:val="zh-TW"/>
    </w:rPr>
  </w:style>
  <w:style w:type="character" w:customStyle="1" w:styleId="129">
    <w:name w:val="正文缩进 字符1"/>
    <w:autoRedefine/>
    <w:qFormat/>
    <w:uiPriority w:val="0"/>
    <w:rPr>
      <w:rFonts w:ascii="宋体" w:hAnsi="宋体" w:eastAsia="宋体" w:cs="宋体"/>
      <w:kern w:val="2"/>
      <w:sz w:val="28"/>
      <w:szCs w:val="24"/>
      <w:lang w:val="en-US" w:eastAsia="zh-CN" w:bidi="ar-SA"/>
    </w:rPr>
  </w:style>
  <w:style w:type="character" w:customStyle="1" w:styleId="130">
    <w:name w:val="apple-style-span"/>
    <w:basedOn w:val="47"/>
    <w:autoRedefine/>
    <w:qFormat/>
    <w:uiPriority w:val="0"/>
    <w:rPr>
      <w:rFonts w:ascii="宋体" w:hAnsi="宋体" w:cs="宋体"/>
      <w:sz w:val="24"/>
      <w:szCs w:val="24"/>
    </w:rPr>
  </w:style>
  <w:style w:type="character" w:customStyle="1" w:styleId="131">
    <w:name w:val="标题 4 字符1"/>
    <w:autoRedefine/>
    <w:qFormat/>
    <w:uiPriority w:val="0"/>
    <w:rPr>
      <w:rFonts w:ascii="Arial" w:hAnsi="Arial" w:eastAsia="黑体" w:cs="宋体"/>
      <w:b/>
      <w:bCs/>
      <w:kern w:val="2"/>
      <w:sz w:val="28"/>
      <w:szCs w:val="28"/>
      <w:lang w:val="en-US" w:eastAsia="zh-CN" w:bidi="ar-SA"/>
    </w:rPr>
  </w:style>
  <w:style w:type="character" w:customStyle="1" w:styleId="132">
    <w:name w:val="a12"/>
    <w:basedOn w:val="47"/>
    <w:autoRedefine/>
    <w:qFormat/>
    <w:uiPriority w:val="0"/>
    <w:rPr>
      <w:rFonts w:ascii="宋体" w:hAnsi="宋体" w:cs="宋体"/>
      <w:sz w:val="24"/>
      <w:szCs w:val="24"/>
    </w:rPr>
  </w:style>
  <w:style w:type="character" w:customStyle="1" w:styleId="133">
    <w:name w:val="font31"/>
    <w:autoRedefine/>
    <w:qFormat/>
    <w:uiPriority w:val="0"/>
    <w:rPr>
      <w:rFonts w:hint="eastAsia" w:ascii="MS PGothic" w:hAnsi="MS PGothic" w:eastAsia="MS PGothic" w:cs="MS PGothic"/>
      <w:color w:val="000000"/>
      <w:sz w:val="22"/>
      <w:szCs w:val="22"/>
      <w:u w:val="none"/>
    </w:rPr>
  </w:style>
  <w:style w:type="character" w:customStyle="1" w:styleId="134">
    <w:name w:val="fontborder"/>
    <w:autoRedefine/>
    <w:qFormat/>
    <w:uiPriority w:val="0"/>
    <w:rPr>
      <w:rFonts w:ascii="宋体" w:hAnsi="宋体" w:cs="宋体"/>
      <w:sz w:val="24"/>
      <w:szCs w:val="24"/>
      <w:bdr w:val="single" w:color="000000" w:sz="6" w:space="0"/>
    </w:rPr>
  </w:style>
  <w:style w:type="character" w:customStyle="1" w:styleId="135">
    <w:name w:val="ask-title"/>
    <w:basedOn w:val="47"/>
    <w:autoRedefine/>
    <w:qFormat/>
    <w:uiPriority w:val="0"/>
    <w:rPr>
      <w:rFonts w:ascii="宋体" w:hAnsi="宋体" w:cs="宋体"/>
      <w:sz w:val="24"/>
      <w:szCs w:val="24"/>
    </w:rPr>
  </w:style>
  <w:style w:type="character" w:customStyle="1" w:styleId="136">
    <w:name w:val="fontstrikethrough"/>
    <w:autoRedefine/>
    <w:qFormat/>
    <w:uiPriority w:val="0"/>
    <w:rPr>
      <w:rFonts w:ascii="宋体" w:hAnsi="宋体" w:cs="宋体"/>
      <w:strike/>
      <w:sz w:val="24"/>
      <w:szCs w:val="24"/>
    </w:rPr>
  </w:style>
  <w:style w:type="character" w:customStyle="1" w:styleId="137">
    <w:name w:val="line_group1"/>
    <w:autoRedefine/>
    <w:qFormat/>
    <w:uiPriority w:val="0"/>
    <w:rPr>
      <w:rFonts w:ascii="宋体" w:hAnsi="宋体" w:cs="宋体"/>
      <w:color w:val="000000"/>
      <w:sz w:val="18"/>
      <w:szCs w:val="18"/>
    </w:rPr>
  </w:style>
  <w:style w:type="character" w:customStyle="1" w:styleId="138">
    <w:name w:val="标题 3 字符1"/>
    <w:autoRedefine/>
    <w:qFormat/>
    <w:uiPriority w:val="0"/>
    <w:rPr>
      <w:rFonts w:ascii="宋体" w:hAnsi="宋体" w:eastAsia="宋体" w:cs="宋体"/>
      <w:b/>
      <w:bCs/>
      <w:kern w:val="2"/>
      <w:sz w:val="32"/>
      <w:szCs w:val="32"/>
      <w:lang w:val="en-US" w:eastAsia="zh-CN" w:bidi="ar-SA"/>
    </w:rPr>
  </w:style>
  <w:style w:type="character" w:customStyle="1" w:styleId="139">
    <w:name w:val="fontstyle01"/>
    <w:autoRedefine/>
    <w:qFormat/>
    <w:uiPriority w:val="0"/>
    <w:rPr>
      <w:rFonts w:ascii="宋体" w:hAnsi="宋体" w:eastAsia="宋体" w:cs="宋体"/>
      <w:color w:val="000000"/>
      <w:sz w:val="24"/>
      <w:szCs w:val="24"/>
    </w:rPr>
  </w:style>
  <w:style w:type="paragraph" w:customStyle="1" w:styleId="140">
    <w:name w:val="正文首行缩进 211"/>
    <w:basedOn w:val="22"/>
    <w:autoRedefine/>
    <w:qFormat/>
    <w:uiPriority w:val="0"/>
    <w:pPr>
      <w:ind w:firstLine="420" w:firstLineChars="200"/>
    </w:pPr>
    <w:rPr>
      <w:rFonts w:eastAsia="宋体"/>
      <w:sz w:val="21"/>
      <w:szCs w:val="20"/>
    </w:rPr>
  </w:style>
  <w:style w:type="paragraph" w:customStyle="1" w:styleId="141">
    <w:name w:val="zxz5"/>
    <w:next w:val="1"/>
    <w:autoRedefine/>
    <w:qFormat/>
    <w:uiPriority w:val="0"/>
    <w:pPr>
      <w:tabs>
        <w:tab w:val="left" w:pos="0"/>
      </w:tabs>
      <w:jc w:val="center"/>
    </w:pPr>
    <w:rPr>
      <w:rFonts w:ascii="宋体" w:hAnsi="宋体" w:eastAsia="Times New Roman" w:cs="宋体"/>
      <w:bCs/>
      <w:kern w:val="2"/>
      <w:sz w:val="18"/>
      <w:szCs w:val="18"/>
      <w:lang w:val="en-US" w:eastAsia="zh-CN" w:bidi="ar-SA"/>
    </w:rPr>
  </w:style>
  <w:style w:type="paragraph" w:customStyle="1" w:styleId="142">
    <w:name w:val="Char Char Char Char Char Char Char Char Char Char Char Char Char Char Char Char Char Char Char Char Char Char Char Char Char"/>
    <w:basedOn w:val="1"/>
    <w:autoRedefine/>
    <w:qFormat/>
    <w:uiPriority w:val="0"/>
    <w:pPr>
      <w:widowControl w:val="0"/>
      <w:jc w:val="both"/>
    </w:pPr>
    <w:rPr>
      <w:rFonts w:ascii="Times New Roman" w:hAnsi="Times New Roman" w:cs="Times New Roman"/>
      <w:kern w:val="2"/>
      <w:sz w:val="21"/>
    </w:rPr>
  </w:style>
  <w:style w:type="paragraph" w:customStyle="1" w:styleId="143">
    <w:name w:val="Char Char1 Char"/>
    <w:basedOn w:val="1"/>
    <w:autoRedefine/>
    <w:qFormat/>
    <w:uiPriority w:val="0"/>
    <w:pPr>
      <w:widowControl w:val="0"/>
      <w:jc w:val="both"/>
    </w:pPr>
    <w:rPr>
      <w:rFonts w:ascii="Times New Roman" w:hAnsi="Times New Roman" w:cs="Times New Roman"/>
      <w:kern w:val="2"/>
    </w:rPr>
  </w:style>
  <w:style w:type="paragraph" w:customStyle="1" w:styleId="144">
    <w:name w:val="Char Char1 Char Char Char Char Char Char Char Char Char Char Char Char Char Char Char Char Char Char Char Char1 Char"/>
    <w:basedOn w:val="1"/>
    <w:autoRedefine/>
    <w:qFormat/>
    <w:uiPriority w:val="0"/>
    <w:pPr>
      <w:widowControl w:val="0"/>
      <w:spacing w:line="360" w:lineRule="auto"/>
      <w:ind w:firstLine="200" w:firstLineChars="200"/>
      <w:jc w:val="both"/>
    </w:pPr>
    <w:rPr>
      <w:kern w:val="2"/>
    </w:rPr>
  </w:style>
  <w:style w:type="paragraph" w:customStyle="1" w:styleId="145">
    <w:name w:val="标题2"/>
    <w:basedOn w:val="1"/>
    <w:next w:val="1"/>
    <w:autoRedefine/>
    <w:qFormat/>
    <w:uiPriority w:val="0"/>
    <w:pPr>
      <w:widowControl w:val="0"/>
      <w:autoSpaceDE w:val="0"/>
      <w:autoSpaceDN w:val="0"/>
      <w:snapToGrid w:val="0"/>
      <w:spacing w:line="590" w:lineRule="atLeast"/>
      <w:jc w:val="center"/>
    </w:pPr>
    <w:rPr>
      <w:rFonts w:ascii="Times New Roman" w:hAnsi="Times New Roman" w:eastAsia="方正楷体_GBK" w:cs="Times New Roman"/>
      <w:sz w:val="32"/>
      <w:szCs w:val="20"/>
    </w:rPr>
  </w:style>
  <w:style w:type="paragraph" w:customStyle="1" w:styleId="146">
    <w:name w:val="5级标题"/>
    <w:basedOn w:val="1"/>
    <w:autoRedefine/>
    <w:qFormat/>
    <w:uiPriority w:val="0"/>
    <w:pPr>
      <w:widowControl w:val="0"/>
      <w:spacing w:line="360" w:lineRule="auto"/>
    </w:pPr>
    <w:rPr>
      <w:rFonts w:ascii="Times New Roman" w:hAnsi="Times New Roman" w:cs="Times New Roman"/>
      <w:kern w:val="2"/>
      <w:szCs w:val="22"/>
    </w:rPr>
  </w:style>
  <w:style w:type="paragraph" w:customStyle="1" w:styleId="147">
    <w:name w:val="xl23"/>
    <w:basedOn w:val="1"/>
    <w:autoRedefine/>
    <w:qFormat/>
    <w:uiPriority w:val="0"/>
    <w:pPr>
      <w:spacing w:before="100" w:beforeAutospacing="1" w:after="100" w:afterAutospacing="1"/>
      <w:jc w:val="center"/>
    </w:pPr>
    <w:rPr>
      <w:rFonts w:ascii="Arial Unicode MS" w:hAnsi="Arial Unicode MS" w:cs="Times New Roman"/>
      <w:b/>
      <w:sz w:val="21"/>
    </w:rPr>
  </w:style>
  <w:style w:type="paragraph" w:customStyle="1" w:styleId="148">
    <w:name w:val="样式1"/>
    <w:basedOn w:val="1"/>
    <w:autoRedefine/>
    <w:qFormat/>
    <w:uiPriority w:val="0"/>
    <w:pPr>
      <w:widowControl w:val="0"/>
      <w:jc w:val="both"/>
    </w:pPr>
    <w:rPr>
      <w:rFonts w:ascii="Times New Roman" w:hAnsi="Times New Roman" w:cs="Times New Roman"/>
      <w:kern w:val="2"/>
      <w:sz w:val="21"/>
      <w:szCs w:val="20"/>
    </w:rPr>
  </w:style>
  <w:style w:type="paragraph" w:customStyle="1" w:styleId="149">
    <w:name w:val="Char Char Char Char1 Char Char Char"/>
    <w:basedOn w:val="1"/>
    <w:autoRedefine/>
    <w:qFormat/>
    <w:uiPriority w:val="0"/>
    <w:pPr>
      <w:widowControl w:val="0"/>
      <w:jc w:val="both"/>
    </w:pPr>
    <w:rPr>
      <w:rFonts w:ascii="Times New Roman" w:hAnsi="Times New Roman" w:cs="Times New Roman"/>
      <w:kern w:val="2"/>
    </w:rPr>
  </w:style>
  <w:style w:type="paragraph" w:customStyle="1" w:styleId="150">
    <w:name w:val="表字1"/>
    <w:basedOn w:val="1"/>
    <w:autoRedefine/>
    <w:qFormat/>
    <w:uiPriority w:val="0"/>
    <w:pPr>
      <w:widowControl w:val="0"/>
      <w:adjustRightInd w:val="0"/>
      <w:spacing w:line="360" w:lineRule="auto"/>
      <w:jc w:val="center"/>
      <w:textAlignment w:val="baseline"/>
    </w:pPr>
    <w:rPr>
      <w:rFonts w:hAnsi="Times New Roman" w:cs="Times New Roman"/>
      <w:sz w:val="21"/>
    </w:rPr>
  </w:style>
  <w:style w:type="paragraph" w:customStyle="1" w:styleId="151">
    <w:name w:val="小四表文左齐"/>
    <w:basedOn w:val="1"/>
    <w:autoRedefine/>
    <w:qFormat/>
    <w:uiPriority w:val="0"/>
    <w:pPr>
      <w:widowControl w:val="0"/>
      <w:spacing w:line="360" w:lineRule="auto"/>
      <w:jc w:val="center"/>
    </w:pPr>
    <w:rPr>
      <w:rFonts w:cs="Times New Roman"/>
      <w:sz w:val="21"/>
    </w:rPr>
  </w:style>
  <w:style w:type="paragraph" w:customStyle="1" w:styleId="152">
    <w:name w:val="xl24"/>
    <w:basedOn w:val="1"/>
    <w:autoRedefine/>
    <w:qFormat/>
    <w:uiPriority w:val="0"/>
    <w:pPr>
      <w:spacing w:before="100" w:after="100"/>
      <w:jc w:val="center"/>
    </w:pPr>
    <w:rPr>
      <w:rFonts w:cs="Times New Roman"/>
      <w:szCs w:val="20"/>
    </w:rPr>
  </w:style>
  <w:style w:type="paragraph" w:customStyle="1" w:styleId="153">
    <w:name w:val="样式5"/>
    <w:basedOn w:val="1"/>
    <w:autoRedefine/>
    <w:qFormat/>
    <w:uiPriority w:val="0"/>
    <w:pPr>
      <w:widowControl w:val="0"/>
      <w:spacing w:before="156" w:beforeLines="50" w:after="156" w:afterLines="50" w:line="480" w:lineRule="exact"/>
      <w:ind w:firstLine="300" w:firstLineChars="100"/>
      <w:jc w:val="both"/>
    </w:pPr>
    <w:rPr>
      <w:rFonts w:ascii="Times New Roman" w:hAnsi="Times New Roman" w:eastAsia="仿宋_GB2312" w:cs="Times New Roman"/>
      <w:bCs/>
      <w:kern w:val="2"/>
      <w:sz w:val="30"/>
      <w:szCs w:val="20"/>
    </w:rPr>
  </w:style>
  <w:style w:type="paragraph" w:customStyle="1" w:styleId="154">
    <w:name w:val="表格"/>
    <w:basedOn w:val="1"/>
    <w:next w:val="1"/>
    <w:link w:val="155"/>
    <w:autoRedefine/>
    <w:qFormat/>
    <w:uiPriority w:val="0"/>
    <w:pPr>
      <w:widowControl w:val="0"/>
      <w:jc w:val="center"/>
    </w:pPr>
    <w:rPr>
      <w:rFonts w:ascii="Times New Roman" w:hAnsi="Times New Roman" w:cs="Times New Roman"/>
      <w:kern w:val="2"/>
    </w:rPr>
  </w:style>
  <w:style w:type="character" w:customStyle="1" w:styleId="155">
    <w:name w:val="表格 Char"/>
    <w:link w:val="154"/>
    <w:autoRedefine/>
    <w:qFormat/>
    <w:uiPriority w:val="0"/>
    <w:rPr>
      <w:rFonts w:ascii="Times New Roman" w:hAnsi="Times New Roman" w:eastAsia="宋体" w:cs="Times New Roman"/>
      <w:kern w:val="2"/>
      <w:sz w:val="24"/>
      <w:szCs w:val="24"/>
    </w:rPr>
  </w:style>
  <w:style w:type="paragraph" w:customStyle="1" w:styleId="156">
    <w:name w:val="Char Char1 Char Char Char Char"/>
    <w:basedOn w:val="1"/>
    <w:autoRedefine/>
    <w:qFormat/>
    <w:uiPriority w:val="0"/>
    <w:pPr>
      <w:widowControl w:val="0"/>
      <w:jc w:val="both"/>
    </w:pPr>
    <w:rPr>
      <w:rFonts w:ascii="Times New Roman" w:hAnsi="Times New Roman" w:cs="Times New Roman"/>
      <w:kern w:val="2"/>
    </w:rPr>
  </w:style>
  <w:style w:type="paragraph" w:customStyle="1" w:styleId="157">
    <w:name w:val="Char Char Char1 Char"/>
    <w:basedOn w:val="1"/>
    <w:autoRedefine/>
    <w:qFormat/>
    <w:uiPriority w:val="0"/>
    <w:pPr>
      <w:widowControl w:val="0"/>
      <w:jc w:val="both"/>
    </w:pPr>
    <w:rPr>
      <w:rFonts w:ascii="Times New Roman" w:hAnsi="Times New Roman" w:cs="Times New Roman"/>
      <w:kern w:val="2"/>
    </w:rPr>
  </w:style>
  <w:style w:type="paragraph" w:customStyle="1" w:styleId="158">
    <w:name w:val="列出段落1"/>
    <w:basedOn w:val="1"/>
    <w:autoRedefine/>
    <w:qFormat/>
    <w:uiPriority w:val="34"/>
    <w:pPr>
      <w:widowControl w:val="0"/>
      <w:ind w:firstLine="420" w:firstLineChars="200"/>
      <w:jc w:val="both"/>
    </w:pPr>
    <w:rPr>
      <w:rFonts w:ascii="Times New Roman" w:hAnsi="Times New Roman" w:cs="Times New Roman"/>
      <w:kern w:val="2"/>
      <w:sz w:val="21"/>
    </w:rPr>
  </w:style>
  <w:style w:type="paragraph" w:customStyle="1" w:styleId="159">
    <w:name w:val="1"/>
    <w:basedOn w:val="1"/>
    <w:next w:val="37"/>
    <w:autoRedefine/>
    <w:qFormat/>
    <w:uiPriority w:val="0"/>
    <w:pPr>
      <w:widowControl w:val="0"/>
      <w:tabs>
        <w:tab w:val="left" w:pos="604"/>
      </w:tabs>
      <w:spacing w:line="360" w:lineRule="auto"/>
      <w:ind w:firstLine="600"/>
      <w:jc w:val="both"/>
    </w:pPr>
    <w:rPr>
      <w:rFonts w:ascii="Times New Roman" w:hAnsi="Times New Roman" w:cs="Times New Roman"/>
      <w:kern w:val="2"/>
    </w:rPr>
  </w:style>
  <w:style w:type="paragraph" w:customStyle="1" w:styleId="160">
    <w:name w:val="默认段落字体 Para Char Char Char Char"/>
    <w:basedOn w:val="1"/>
    <w:autoRedefine/>
    <w:qFormat/>
    <w:uiPriority w:val="0"/>
    <w:pPr>
      <w:widowControl w:val="0"/>
      <w:jc w:val="both"/>
    </w:pPr>
    <w:rPr>
      <w:rFonts w:ascii="Times New Roman" w:hAnsi="Times New Roman" w:cs="Times New Roman"/>
      <w:kern w:val="2"/>
    </w:rPr>
  </w:style>
  <w:style w:type="paragraph" w:customStyle="1" w:styleId="161">
    <w:name w:val="Body Text 21"/>
    <w:basedOn w:val="1"/>
    <w:autoRedefine/>
    <w:qFormat/>
    <w:uiPriority w:val="0"/>
    <w:pPr>
      <w:widowControl w:val="0"/>
      <w:adjustRightInd w:val="0"/>
      <w:jc w:val="both"/>
      <w:textAlignment w:val="baseline"/>
    </w:pPr>
    <w:rPr>
      <w:rFonts w:ascii="Times New Roman" w:hAnsi="Times New Roman" w:eastAsia="仿宋体" w:cs="Times New Roman"/>
      <w:kern w:val="2"/>
      <w:szCs w:val="20"/>
    </w:rPr>
  </w:style>
  <w:style w:type="paragraph" w:customStyle="1" w:styleId="162">
    <w:name w:val="表格内文字 Char"/>
    <w:basedOn w:val="1"/>
    <w:autoRedefine/>
    <w:qFormat/>
    <w:uiPriority w:val="0"/>
    <w:pPr>
      <w:widowControl w:val="0"/>
      <w:kinsoku w:val="0"/>
      <w:wordWrap w:val="0"/>
      <w:overflowPunct w:val="0"/>
      <w:spacing w:line="360" w:lineRule="exact"/>
      <w:jc w:val="center"/>
    </w:pPr>
    <w:rPr>
      <w:rFonts w:cs="Times New Roman"/>
      <w:snapToGrid w:val="0"/>
      <w:sz w:val="21"/>
      <w:szCs w:val="20"/>
    </w:rPr>
  </w:style>
  <w:style w:type="paragraph" w:customStyle="1" w:styleId="163">
    <w:name w:val="默认段落字体 Para Char"/>
    <w:basedOn w:val="1"/>
    <w:autoRedefine/>
    <w:qFormat/>
    <w:uiPriority w:val="0"/>
    <w:pPr>
      <w:widowControl w:val="0"/>
      <w:jc w:val="both"/>
    </w:pPr>
    <w:rPr>
      <w:rFonts w:ascii="Times New Roman" w:hAnsi="Times New Roman" w:cs="Times New Roman"/>
      <w:kern w:val="2"/>
    </w:rPr>
  </w:style>
  <w:style w:type="paragraph" w:customStyle="1" w:styleId="164">
    <w:name w:val="样式4"/>
    <w:basedOn w:val="1"/>
    <w:autoRedefine/>
    <w:qFormat/>
    <w:uiPriority w:val="0"/>
    <w:pPr>
      <w:widowControl w:val="0"/>
      <w:spacing w:before="156" w:beforeLines="50" w:after="156" w:afterLines="50" w:line="480" w:lineRule="exact"/>
      <w:jc w:val="both"/>
    </w:pPr>
    <w:rPr>
      <w:rFonts w:ascii="Times New Roman" w:hAnsi="Times New Roman" w:eastAsia="黑体" w:cs="Times New Roman"/>
      <w:bCs/>
      <w:kern w:val="2"/>
      <w:sz w:val="28"/>
      <w:szCs w:val="20"/>
    </w:rPr>
  </w:style>
  <w:style w:type="paragraph" w:customStyle="1" w:styleId="165">
    <w:name w:val="表题"/>
    <w:basedOn w:val="34"/>
    <w:autoRedefine/>
    <w:qFormat/>
    <w:uiPriority w:val="0"/>
    <w:pPr>
      <w:spacing w:before="156" w:beforeLines="50" w:line="480" w:lineRule="exact"/>
      <w:ind w:left="0" w:firstLine="0" w:firstLineChars="0"/>
      <w:jc w:val="center"/>
    </w:pPr>
    <w:rPr>
      <w:rFonts w:eastAsia="黑体"/>
      <w:sz w:val="28"/>
    </w:rPr>
  </w:style>
  <w:style w:type="character" w:customStyle="1" w:styleId="166">
    <w:name w:val="font21"/>
    <w:autoRedefine/>
    <w:qFormat/>
    <w:uiPriority w:val="0"/>
    <w:rPr>
      <w:rFonts w:hint="default" w:ascii="Times New Roman" w:hAnsi="Times New Roman" w:cs="Times New Roman"/>
      <w:b/>
      <w:color w:val="000000"/>
      <w:sz w:val="18"/>
      <w:szCs w:val="18"/>
      <w:u w:val="none"/>
    </w:rPr>
  </w:style>
  <w:style w:type="character" w:customStyle="1" w:styleId="167">
    <w:name w:val="font51"/>
    <w:autoRedefine/>
    <w:qFormat/>
    <w:uiPriority w:val="0"/>
    <w:rPr>
      <w:rFonts w:hint="default" w:ascii="Times New Roman" w:hAnsi="Times New Roman" w:cs="Times New Roman"/>
      <w:b/>
      <w:color w:val="000000"/>
      <w:sz w:val="18"/>
      <w:szCs w:val="18"/>
      <w:u w:val="none"/>
      <w:vertAlign w:val="superscript"/>
    </w:rPr>
  </w:style>
  <w:style w:type="paragraph" w:customStyle="1" w:styleId="168">
    <w:name w:val="正文首行缩进 21"/>
    <w:basedOn w:val="22"/>
    <w:autoRedefine/>
    <w:qFormat/>
    <w:uiPriority w:val="0"/>
    <w:pPr>
      <w:ind w:firstLine="420" w:firstLineChars="200"/>
    </w:pPr>
    <w:rPr>
      <w:rFonts w:eastAsia="宋体"/>
      <w:sz w:val="21"/>
      <w:szCs w:val="20"/>
    </w:rPr>
  </w:style>
  <w:style w:type="paragraph" w:customStyle="1" w:styleId="169">
    <w:name w:val="正文首行缩进1"/>
    <w:basedOn w:val="20"/>
    <w:autoRedefine/>
    <w:qFormat/>
    <w:uiPriority w:val="0"/>
    <w:pPr>
      <w:autoSpaceDE/>
      <w:autoSpaceDN/>
      <w:spacing w:after="120"/>
      <w:ind w:firstLine="420" w:firstLineChars="100"/>
      <w:jc w:val="both"/>
    </w:pPr>
    <w:rPr>
      <w:rFonts w:ascii="Times New Roman" w:hAnsi="Times New Roman" w:cs="Times New Roman"/>
      <w:kern w:val="2"/>
      <w:sz w:val="21"/>
      <w:szCs w:val="20"/>
      <w:lang w:val="en-US" w:bidi="ar-SA"/>
    </w:rPr>
  </w:style>
  <w:style w:type="paragraph" w:customStyle="1" w:styleId="170">
    <w:name w:val="列出段落11"/>
    <w:basedOn w:val="1"/>
    <w:autoRedefine/>
    <w:qFormat/>
    <w:uiPriority w:val="34"/>
    <w:pPr>
      <w:widowControl w:val="0"/>
      <w:ind w:firstLine="420" w:firstLineChars="200"/>
      <w:jc w:val="both"/>
    </w:pPr>
    <w:rPr>
      <w:rFonts w:ascii="Times New Roman" w:hAnsi="Times New Roman" w:cs="Times New Roman"/>
      <w:kern w:val="2"/>
      <w:sz w:val="21"/>
    </w:rPr>
  </w:style>
  <w:style w:type="paragraph" w:customStyle="1" w:styleId="171">
    <w:name w:val="常用正文样式"/>
    <w:basedOn w:val="1"/>
    <w:autoRedefine/>
    <w:qFormat/>
    <w:uiPriority w:val="0"/>
    <w:pPr>
      <w:widowControl w:val="0"/>
      <w:spacing w:line="360" w:lineRule="auto"/>
      <w:ind w:firstLine="480" w:firstLineChars="200"/>
      <w:jc w:val="both"/>
    </w:pPr>
    <w:rPr>
      <w:rFonts w:eastAsia="仿宋_GB2312"/>
      <w:bCs/>
      <w:kern w:val="28"/>
    </w:rPr>
  </w:style>
  <w:style w:type="character" w:customStyle="1" w:styleId="172">
    <w:name w:val="font71"/>
    <w:autoRedefine/>
    <w:qFormat/>
    <w:uiPriority w:val="0"/>
    <w:rPr>
      <w:rFonts w:hint="default" w:ascii="Times New Roman" w:hAnsi="Times New Roman" w:cs="Times New Roman"/>
      <w:b/>
      <w:color w:val="000000"/>
      <w:sz w:val="21"/>
      <w:szCs w:val="21"/>
      <w:u w:val="none"/>
    </w:rPr>
  </w:style>
  <w:style w:type="paragraph" w:customStyle="1" w:styleId="173">
    <w:name w:val="列表段落1"/>
    <w:basedOn w:val="1"/>
    <w:autoRedefine/>
    <w:qFormat/>
    <w:uiPriority w:val="0"/>
    <w:pPr>
      <w:widowControl w:val="0"/>
      <w:ind w:firstLine="420" w:firstLineChars="200"/>
      <w:jc w:val="both"/>
    </w:pPr>
    <w:rPr>
      <w:rFonts w:ascii="Times New Roman" w:hAnsi="Times New Roman" w:cs="Times New Roman"/>
      <w:kern w:val="2"/>
      <w:sz w:val="21"/>
      <w:szCs w:val="20"/>
    </w:rPr>
  </w:style>
  <w:style w:type="character" w:customStyle="1" w:styleId="174">
    <w:name w:val="标题 1 字符1"/>
    <w:basedOn w:val="47"/>
    <w:autoRedefine/>
    <w:qFormat/>
    <w:uiPriority w:val="0"/>
    <w:rPr>
      <w:rFonts w:eastAsia="仿宋_GB2312"/>
      <w:b/>
      <w:bCs/>
      <w:kern w:val="44"/>
      <w:sz w:val="44"/>
      <w:szCs w:val="44"/>
    </w:rPr>
  </w:style>
  <w:style w:type="character" w:customStyle="1" w:styleId="175">
    <w:name w:val="标题 2 字符1"/>
    <w:basedOn w:val="47"/>
    <w:autoRedefine/>
    <w:semiHidden/>
    <w:qFormat/>
    <w:uiPriority w:val="0"/>
    <w:rPr>
      <w:rFonts w:asciiTheme="majorHAnsi" w:hAnsiTheme="majorHAnsi" w:eastAsiaTheme="majorEastAsia" w:cstheme="majorBidi"/>
      <w:b/>
      <w:bCs/>
      <w:kern w:val="2"/>
      <w:sz w:val="32"/>
      <w:szCs w:val="32"/>
    </w:rPr>
  </w:style>
  <w:style w:type="character" w:customStyle="1" w:styleId="176">
    <w:name w:val="标题 5 字符1"/>
    <w:basedOn w:val="47"/>
    <w:autoRedefine/>
    <w:semiHidden/>
    <w:qFormat/>
    <w:uiPriority w:val="0"/>
    <w:rPr>
      <w:rFonts w:eastAsia="仿宋_GB2312"/>
      <w:b/>
      <w:bCs/>
      <w:kern w:val="2"/>
      <w:sz w:val="28"/>
      <w:szCs w:val="28"/>
    </w:rPr>
  </w:style>
  <w:style w:type="character" w:customStyle="1" w:styleId="177">
    <w:name w:val="标题 6 字符1"/>
    <w:basedOn w:val="47"/>
    <w:autoRedefine/>
    <w:semiHidden/>
    <w:qFormat/>
    <w:uiPriority w:val="0"/>
    <w:rPr>
      <w:rFonts w:asciiTheme="majorHAnsi" w:hAnsiTheme="majorHAnsi" w:eastAsiaTheme="majorEastAsia" w:cstheme="majorBidi"/>
      <w:b/>
      <w:bCs/>
      <w:kern w:val="2"/>
      <w:sz w:val="24"/>
      <w:szCs w:val="24"/>
    </w:rPr>
  </w:style>
  <w:style w:type="paragraph" w:customStyle="1" w:styleId="178">
    <w:name w:val="msonormal"/>
    <w:basedOn w:val="1"/>
    <w:autoRedefine/>
    <w:qFormat/>
    <w:uiPriority w:val="0"/>
    <w:pPr>
      <w:spacing w:before="100" w:beforeAutospacing="1" w:after="100" w:afterAutospacing="1"/>
    </w:pPr>
  </w:style>
  <w:style w:type="character" w:customStyle="1" w:styleId="179">
    <w:name w:val="标题 7 字符1"/>
    <w:basedOn w:val="47"/>
    <w:autoRedefine/>
    <w:semiHidden/>
    <w:qFormat/>
    <w:uiPriority w:val="0"/>
    <w:rPr>
      <w:rFonts w:eastAsia="仿宋_GB2312"/>
      <w:b/>
      <w:bCs/>
      <w:kern w:val="2"/>
      <w:sz w:val="24"/>
      <w:szCs w:val="24"/>
    </w:rPr>
  </w:style>
  <w:style w:type="character" w:customStyle="1" w:styleId="180">
    <w:name w:val="标题 8 字符1"/>
    <w:basedOn w:val="47"/>
    <w:autoRedefine/>
    <w:semiHidden/>
    <w:qFormat/>
    <w:uiPriority w:val="0"/>
    <w:rPr>
      <w:rFonts w:asciiTheme="majorHAnsi" w:hAnsiTheme="majorHAnsi" w:eastAsiaTheme="majorEastAsia" w:cstheme="majorBidi"/>
      <w:kern w:val="2"/>
      <w:sz w:val="24"/>
      <w:szCs w:val="24"/>
    </w:rPr>
  </w:style>
  <w:style w:type="character" w:customStyle="1" w:styleId="181">
    <w:name w:val="标题 9 字符1"/>
    <w:basedOn w:val="47"/>
    <w:autoRedefine/>
    <w:semiHidden/>
    <w:qFormat/>
    <w:uiPriority w:val="0"/>
    <w:rPr>
      <w:rFonts w:asciiTheme="majorHAnsi" w:hAnsiTheme="majorHAnsi" w:eastAsiaTheme="majorEastAsia" w:cstheme="majorBidi"/>
      <w:kern w:val="2"/>
      <w:sz w:val="21"/>
      <w:szCs w:val="21"/>
    </w:rPr>
  </w:style>
  <w:style w:type="paragraph" w:customStyle="1" w:styleId="182">
    <w:name w:val="修订2"/>
    <w:autoRedefine/>
    <w:semiHidden/>
    <w:qFormat/>
    <w:uiPriority w:val="99"/>
    <w:rPr>
      <w:rFonts w:ascii="Times New Roman" w:hAnsi="Times New Roman" w:eastAsia="仿宋_GB2312" w:cs="Times New Roman"/>
      <w:kern w:val="2"/>
      <w:sz w:val="28"/>
      <w:szCs w:val="24"/>
      <w:lang w:val="en-US" w:eastAsia="zh-CN" w:bidi="ar-SA"/>
    </w:rPr>
  </w:style>
  <w:style w:type="paragraph" w:customStyle="1" w:styleId="183">
    <w:name w:val="z-窗体顶端2"/>
    <w:basedOn w:val="1"/>
    <w:next w:val="1"/>
    <w:link w:val="184"/>
    <w:autoRedefine/>
    <w:semiHidden/>
    <w:unhideWhenUsed/>
    <w:qFormat/>
    <w:uiPriority w:val="0"/>
    <w:pPr>
      <w:widowControl w:val="0"/>
      <w:pBdr>
        <w:bottom w:val="single" w:color="auto" w:sz="6" w:space="1"/>
      </w:pBdr>
      <w:jc w:val="center"/>
    </w:pPr>
    <w:rPr>
      <w:rFonts w:ascii="Arial" w:hAnsi="Arial" w:eastAsia="仿宋_GB2312" w:cs="Arial"/>
      <w:vanish/>
      <w:kern w:val="2"/>
      <w:sz w:val="16"/>
      <w:szCs w:val="16"/>
    </w:rPr>
  </w:style>
  <w:style w:type="character" w:customStyle="1" w:styleId="184">
    <w:name w:val="z-窗体顶端 字符"/>
    <w:basedOn w:val="47"/>
    <w:link w:val="183"/>
    <w:autoRedefine/>
    <w:semiHidden/>
    <w:qFormat/>
    <w:uiPriority w:val="0"/>
    <w:rPr>
      <w:rFonts w:ascii="Arial" w:hAnsi="Arial" w:eastAsia="仿宋_GB2312" w:cs="Arial"/>
      <w:vanish/>
      <w:kern w:val="2"/>
      <w:sz w:val="16"/>
      <w:szCs w:val="16"/>
    </w:rPr>
  </w:style>
  <w:style w:type="paragraph" w:customStyle="1" w:styleId="185">
    <w:name w:val="z-窗体底端2"/>
    <w:basedOn w:val="1"/>
    <w:next w:val="1"/>
    <w:link w:val="186"/>
    <w:autoRedefine/>
    <w:semiHidden/>
    <w:unhideWhenUsed/>
    <w:qFormat/>
    <w:uiPriority w:val="0"/>
    <w:pPr>
      <w:widowControl w:val="0"/>
      <w:pBdr>
        <w:top w:val="single" w:color="auto" w:sz="6" w:space="1"/>
      </w:pBdr>
      <w:jc w:val="center"/>
    </w:pPr>
    <w:rPr>
      <w:rFonts w:ascii="Arial" w:hAnsi="Arial" w:eastAsia="仿宋_GB2312" w:cs="Arial"/>
      <w:vanish/>
      <w:kern w:val="2"/>
      <w:sz w:val="16"/>
      <w:szCs w:val="16"/>
    </w:rPr>
  </w:style>
  <w:style w:type="character" w:customStyle="1" w:styleId="186">
    <w:name w:val="z-窗体底端 字符"/>
    <w:basedOn w:val="47"/>
    <w:link w:val="185"/>
    <w:autoRedefine/>
    <w:semiHidden/>
    <w:qFormat/>
    <w:uiPriority w:val="0"/>
    <w:rPr>
      <w:rFonts w:ascii="Arial" w:hAnsi="Arial" w:eastAsia="仿宋_GB2312" w:cs="Arial"/>
      <w:vanish/>
      <w:kern w:val="2"/>
      <w:sz w:val="16"/>
      <w:szCs w:val="16"/>
    </w:rPr>
  </w:style>
  <w:style w:type="paragraph" w:customStyle="1" w:styleId="187">
    <w:name w:val="表内"/>
    <w:autoRedefine/>
    <w:qFormat/>
    <w:uiPriority w:val="0"/>
    <w:pPr>
      <w:adjustRightInd w:val="0"/>
      <w:snapToGrid w:val="0"/>
      <w:ind w:left="-105" w:leftChars="-50" w:right="-105" w:rightChars="-50"/>
      <w:jc w:val="center"/>
    </w:pPr>
    <w:rPr>
      <w:rFonts w:ascii="Times New Roman" w:hAnsi="Times New Roman" w:eastAsia="宋体" w:cs="Times New Roman"/>
      <w:sz w:val="21"/>
      <w:szCs w:val="22"/>
      <w:lang w:val="en-US" w:eastAsia="zh-CN" w:bidi="ar-SA"/>
    </w:rPr>
  </w:style>
  <w:style w:type="character" w:customStyle="1" w:styleId="188">
    <w:name w:val="z-窗体底端 字符1"/>
    <w:basedOn w:val="47"/>
    <w:autoRedefine/>
    <w:semiHidden/>
    <w:qFormat/>
    <w:uiPriority w:val="99"/>
    <w:rPr>
      <w:rFonts w:ascii="Arial" w:hAnsi="Arial" w:eastAsia="仿宋_GB2312" w:cs="Arial"/>
      <w:vanish/>
      <w:kern w:val="2"/>
      <w:sz w:val="16"/>
      <w:szCs w:val="16"/>
    </w:rPr>
  </w:style>
  <w:style w:type="character" w:customStyle="1" w:styleId="189">
    <w:name w:val="z-窗体顶端 字符1"/>
    <w:basedOn w:val="47"/>
    <w:autoRedefine/>
    <w:semiHidden/>
    <w:qFormat/>
    <w:uiPriority w:val="99"/>
    <w:rPr>
      <w:rFonts w:ascii="Arial" w:hAnsi="Arial" w:eastAsia="仿宋_GB2312" w:cs="Arial"/>
      <w:vanish/>
      <w:kern w:val="2"/>
      <w:sz w:val="16"/>
      <w:szCs w:val="16"/>
    </w:rPr>
  </w:style>
  <w:style w:type="character" w:customStyle="1" w:styleId="190">
    <w:name w:val="z-窗体底端 字符2"/>
    <w:basedOn w:val="47"/>
    <w:autoRedefine/>
    <w:semiHidden/>
    <w:qFormat/>
    <w:uiPriority w:val="0"/>
    <w:rPr>
      <w:rFonts w:ascii="Arial" w:hAnsi="Arial" w:eastAsia="仿宋_GB2312" w:cs="Arial"/>
      <w:vanish/>
      <w:kern w:val="2"/>
      <w:sz w:val="16"/>
      <w:szCs w:val="16"/>
    </w:rPr>
  </w:style>
  <w:style w:type="character" w:customStyle="1" w:styleId="191">
    <w:name w:val="z-窗体顶端 字符2"/>
    <w:basedOn w:val="47"/>
    <w:autoRedefine/>
    <w:semiHidden/>
    <w:qFormat/>
    <w:uiPriority w:val="0"/>
    <w:rPr>
      <w:rFonts w:ascii="Arial" w:hAnsi="Arial" w:eastAsia="仿宋_GB2312" w:cs="Arial"/>
      <w:vanish/>
      <w:kern w:val="2"/>
      <w:sz w:val="16"/>
      <w:szCs w:val="16"/>
    </w:rPr>
  </w:style>
  <w:style w:type="character" w:customStyle="1" w:styleId="192">
    <w:name w:val="z-窗体底端 字符3"/>
    <w:basedOn w:val="47"/>
    <w:autoRedefine/>
    <w:semiHidden/>
    <w:qFormat/>
    <w:uiPriority w:val="0"/>
    <w:rPr>
      <w:rFonts w:ascii="Arial" w:hAnsi="Arial" w:eastAsia="仿宋_GB2312" w:cs="Arial"/>
      <w:vanish/>
      <w:kern w:val="2"/>
      <w:sz w:val="16"/>
      <w:szCs w:val="16"/>
    </w:rPr>
  </w:style>
  <w:style w:type="character" w:customStyle="1" w:styleId="193">
    <w:name w:val="z-窗体顶端 字符3"/>
    <w:basedOn w:val="47"/>
    <w:autoRedefine/>
    <w:semiHidden/>
    <w:qFormat/>
    <w:uiPriority w:val="0"/>
    <w:rPr>
      <w:rFonts w:ascii="Arial" w:hAnsi="Arial" w:eastAsia="仿宋_GB2312" w:cs="Arial"/>
      <w:vanish/>
      <w:kern w:val="2"/>
      <w:sz w:val="16"/>
      <w:szCs w:val="16"/>
    </w:rPr>
  </w:style>
  <w:style w:type="character" w:customStyle="1" w:styleId="194">
    <w:name w:val="z-窗体底端 字符4"/>
    <w:basedOn w:val="47"/>
    <w:autoRedefine/>
    <w:semiHidden/>
    <w:qFormat/>
    <w:uiPriority w:val="0"/>
    <w:rPr>
      <w:rFonts w:ascii="Arial" w:hAnsi="Arial" w:eastAsia="仿宋_GB2312" w:cs="Arial"/>
      <w:vanish/>
      <w:kern w:val="2"/>
      <w:sz w:val="16"/>
      <w:szCs w:val="16"/>
    </w:rPr>
  </w:style>
  <w:style w:type="character" w:customStyle="1" w:styleId="195">
    <w:name w:val="z-窗体顶端 字符4"/>
    <w:basedOn w:val="47"/>
    <w:autoRedefine/>
    <w:semiHidden/>
    <w:qFormat/>
    <w:uiPriority w:val="0"/>
    <w:rPr>
      <w:rFonts w:ascii="Arial" w:hAnsi="Arial" w:eastAsia="仿宋_GB2312" w:cs="Arial"/>
      <w:vanish/>
      <w:kern w:val="2"/>
      <w:sz w:val="16"/>
      <w:szCs w:val="16"/>
    </w:rPr>
  </w:style>
  <w:style w:type="paragraph" w:customStyle="1" w:styleId="196">
    <w:name w:val="font5"/>
    <w:basedOn w:val="1"/>
    <w:autoRedefine/>
    <w:qFormat/>
    <w:uiPriority w:val="0"/>
    <w:pPr>
      <w:spacing w:before="100" w:beforeAutospacing="1" w:after="100" w:afterAutospacing="1"/>
    </w:pPr>
    <w:rPr>
      <w:rFonts w:ascii="等线" w:hAnsi="等线" w:eastAsia="等线"/>
      <w:sz w:val="18"/>
      <w:szCs w:val="18"/>
    </w:rPr>
  </w:style>
  <w:style w:type="paragraph" w:customStyle="1" w:styleId="197">
    <w:name w:val="font6"/>
    <w:basedOn w:val="1"/>
    <w:autoRedefine/>
    <w:qFormat/>
    <w:uiPriority w:val="0"/>
    <w:pPr>
      <w:spacing w:before="100" w:beforeAutospacing="1" w:after="100" w:afterAutospacing="1"/>
    </w:pPr>
    <w:rPr>
      <w:color w:val="000000"/>
      <w:sz w:val="21"/>
      <w:szCs w:val="21"/>
    </w:rPr>
  </w:style>
  <w:style w:type="paragraph" w:customStyle="1" w:styleId="198">
    <w:name w:val="font7"/>
    <w:basedOn w:val="1"/>
    <w:autoRedefine/>
    <w:qFormat/>
    <w:uiPriority w:val="0"/>
    <w:pPr>
      <w:spacing w:before="100" w:beforeAutospacing="1" w:after="100" w:afterAutospacing="1"/>
    </w:pPr>
    <w:rPr>
      <w:color w:val="000000"/>
      <w:sz w:val="21"/>
      <w:szCs w:val="21"/>
    </w:rPr>
  </w:style>
  <w:style w:type="paragraph" w:customStyle="1" w:styleId="199">
    <w:name w:val="font8"/>
    <w:basedOn w:val="1"/>
    <w:autoRedefine/>
    <w:qFormat/>
    <w:uiPriority w:val="0"/>
    <w:pPr>
      <w:spacing w:before="100" w:beforeAutospacing="1" w:after="100" w:afterAutospacing="1"/>
    </w:pPr>
    <w:rPr>
      <w:rFonts w:ascii="Times New Roman" w:hAnsi="Times New Roman" w:cs="Times New Roman"/>
      <w:color w:val="000000"/>
      <w:sz w:val="21"/>
      <w:szCs w:val="21"/>
    </w:rPr>
  </w:style>
  <w:style w:type="paragraph" w:customStyle="1" w:styleId="200">
    <w:name w:val="font9"/>
    <w:basedOn w:val="1"/>
    <w:autoRedefine/>
    <w:qFormat/>
    <w:uiPriority w:val="0"/>
    <w:pPr>
      <w:spacing w:before="100" w:beforeAutospacing="1" w:after="100" w:afterAutospacing="1"/>
    </w:pPr>
    <w:rPr>
      <w:rFonts w:ascii="Times New Roman" w:hAnsi="Times New Roman" w:cs="Times New Roman"/>
      <w:sz w:val="21"/>
      <w:szCs w:val="21"/>
    </w:rPr>
  </w:style>
  <w:style w:type="paragraph" w:customStyle="1" w:styleId="201">
    <w:name w:val="font10"/>
    <w:basedOn w:val="1"/>
    <w:autoRedefine/>
    <w:qFormat/>
    <w:uiPriority w:val="0"/>
    <w:pPr>
      <w:spacing w:before="100" w:beforeAutospacing="1" w:after="100" w:afterAutospacing="1"/>
    </w:pPr>
    <w:rPr>
      <w:sz w:val="21"/>
      <w:szCs w:val="21"/>
    </w:rPr>
  </w:style>
  <w:style w:type="paragraph" w:customStyle="1" w:styleId="202">
    <w:name w:val="xl63"/>
    <w:basedOn w:val="1"/>
    <w:autoRedefine/>
    <w:qFormat/>
    <w:uiPriority w:val="0"/>
    <w:pPr>
      <w:shd w:val="clear" w:color="000000" w:fill="FFFFFF"/>
      <w:spacing w:before="100" w:beforeAutospacing="1" w:after="100" w:afterAutospacing="1"/>
    </w:pPr>
  </w:style>
  <w:style w:type="paragraph" w:customStyle="1" w:styleId="203">
    <w:name w:val="xl64"/>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Times New Roman" w:hAnsi="Times New Roman" w:cs="Times New Roman"/>
      <w:color w:val="000000"/>
      <w:sz w:val="21"/>
      <w:szCs w:val="21"/>
    </w:rPr>
  </w:style>
  <w:style w:type="paragraph" w:customStyle="1" w:styleId="204">
    <w:name w:val="xl65"/>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Times New Roman" w:hAnsi="Times New Roman" w:cs="Times New Roman"/>
      <w:color w:val="000000"/>
      <w:sz w:val="21"/>
      <w:szCs w:val="21"/>
    </w:rPr>
  </w:style>
  <w:style w:type="paragraph" w:customStyle="1" w:styleId="205">
    <w:name w:val="xl66"/>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Times New Roman" w:hAnsi="Times New Roman" w:cs="Times New Roman"/>
      <w:sz w:val="21"/>
      <w:szCs w:val="21"/>
    </w:rPr>
  </w:style>
  <w:style w:type="paragraph" w:customStyle="1" w:styleId="206">
    <w:name w:val="xl67"/>
    <w:basedOn w:val="1"/>
    <w:autoRedefine/>
    <w:qFormat/>
    <w:uiPriority w:val="0"/>
    <w:pPr>
      <w:pBdr>
        <w:top w:val="single" w:color="auto" w:sz="4" w:space="0"/>
        <w:left w:val="single" w:color="auto" w:sz="4" w:space="0"/>
        <w:bottom w:val="single" w:color="auto" w:sz="4" w:space="0"/>
        <w:right w:val="single" w:color="auto" w:sz="4" w:space="0"/>
      </w:pBdr>
      <w:shd w:val="clear" w:color="000000" w:fill="D9D9D9"/>
      <w:spacing w:before="100" w:beforeAutospacing="1" w:after="100" w:afterAutospacing="1"/>
      <w:jc w:val="center"/>
      <w:textAlignment w:val="center"/>
    </w:pPr>
    <w:rPr>
      <w:rFonts w:ascii="Times New Roman" w:hAnsi="Times New Roman" w:cs="Times New Roman"/>
      <w:color w:val="000000"/>
      <w:sz w:val="21"/>
      <w:szCs w:val="21"/>
    </w:rPr>
  </w:style>
  <w:style w:type="paragraph" w:customStyle="1" w:styleId="207">
    <w:name w:val="xl68"/>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Times New Roman" w:hAnsi="Times New Roman" w:cs="Times New Roman"/>
      <w:sz w:val="21"/>
      <w:szCs w:val="21"/>
    </w:rPr>
  </w:style>
  <w:style w:type="paragraph" w:customStyle="1" w:styleId="208">
    <w:name w:val="xl69"/>
    <w:basedOn w:val="1"/>
    <w:autoRedefine/>
    <w:qFormat/>
    <w:uiPriority w:val="0"/>
    <w:pPr>
      <w:spacing w:before="100" w:beforeAutospacing="1" w:after="100" w:afterAutospacing="1"/>
    </w:pPr>
  </w:style>
  <w:style w:type="paragraph" w:customStyle="1" w:styleId="209">
    <w:name w:val="xl70"/>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Times New Roman" w:hAnsi="Times New Roman" w:cs="Times New Roman"/>
      <w:sz w:val="21"/>
      <w:szCs w:val="21"/>
    </w:rPr>
  </w:style>
  <w:style w:type="paragraph" w:customStyle="1" w:styleId="210">
    <w:name w:val="xl71"/>
    <w:basedOn w:val="1"/>
    <w:autoRedefine/>
    <w:qFormat/>
    <w:uiPriority w:val="0"/>
    <w:pPr>
      <w:pBdr>
        <w:top w:val="single" w:color="auto" w:sz="4" w:space="0"/>
        <w:left w:val="single" w:color="auto" w:sz="4" w:space="0"/>
        <w:right w:val="single" w:color="auto" w:sz="4" w:space="0"/>
      </w:pBdr>
      <w:spacing w:before="100" w:beforeAutospacing="1" w:after="100" w:afterAutospacing="1"/>
      <w:jc w:val="center"/>
      <w:textAlignment w:val="center"/>
    </w:pPr>
    <w:rPr>
      <w:rFonts w:ascii="Times New Roman" w:hAnsi="Times New Roman" w:cs="Times New Roman"/>
      <w:color w:val="000000"/>
      <w:sz w:val="21"/>
      <w:szCs w:val="21"/>
    </w:rPr>
  </w:style>
  <w:style w:type="paragraph" w:customStyle="1" w:styleId="211">
    <w:name w:val="xl72"/>
    <w:basedOn w:val="1"/>
    <w:autoRedefine/>
    <w:qFormat/>
    <w:uiPriority w:val="0"/>
    <w:pPr>
      <w:pBdr>
        <w:left w:val="single" w:color="auto" w:sz="4" w:space="0"/>
        <w:bottom w:val="single" w:color="auto" w:sz="4" w:space="0"/>
        <w:right w:val="single" w:color="auto" w:sz="4" w:space="0"/>
      </w:pBdr>
      <w:spacing w:before="100" w:beforeAutospacing="1" w:after="100" w:afterAutospacing="1"/>
      <w:jc w:val="center"/>
      <w:textAlignment w:val="center"/>
    </w:pPr>
    <w:rPr>
      <w:rFonts w:ascii="Times New Roman" w:hAnsi="Times New Roman" w:cs="Times New Roman"/>
      <w:color w:val="000000"/>
      <w:sz w:val="21"/>
      <w:szCs w:val="21"/>
    </w:rPr>
  </w:style>
  <w:style w:type="paragraph" w:customStyle="1" w:styleId="212">
    <w:name w:val="xl73"/>
    <w:basedOn w:val="1"/>
    <w:autoRedefine/>
    <w:qFormat/>
    <w:uiPriority w:val="0"/>
    <w:pPr>
      <w:pBdr>
        <w:top w:val="single" w:color="auto" w:sz="4" w:space="0"/>
        <w:left w:val="single" w:color="auto" w:sz="4" w:space="0"/>
        <w:right w:val="single" w:color="auto" w:sz="4" w:space="0"/>
      </w:pBdr>
      <w:spacing w:before="100" w:beforeAutospacing="1" w:after="100" w:afterAutospacing="1"/>
      <w:jc w:val="center"/>
      <w:textAlignment w:val="center"/>
    </w:pPr>
    <w:rPr>
      <w:rFonts w:ascii="Times New Roman" w:hAnsi="Times New Roman" w:cs="Times New Roman"/>
      <w:color w:val="000000"/>
      <w:sz w:val="21"/>
      <w:szCs w:val="21"/>
    </w:rPr>
  </w:style>
  <w:style w:type="paragraph" w:customStyle="1" w:styleId="213">
    <w:name w:val="xl74"/>
    <w:basedOn w:val="1"/>
    <w:autoRedefine/>
    <w:qFormat/>
    <w:uiPriority w:val="0"/>
    <w:pPr>
      <w:pBdr>
        <w:left w:val="single" w:color="auto" w:sz="4" w:space="0"/>
        <w:bottom w:val="single" w:color="auto" w:sz="4" w:space="0"/>
        <w:right w:val="single" w:color="auto" w:sz="4" w:space="0"/>
      </w:pBdr>
      <w:spacing w:before="100" w:beforeAutospacing="1" w:after="100" w:afterAutospacing="1"/>
      <w:jc w:val="center"/>
      <w:textAlignment w:val="center"/>
    </w:pPr>
    <w:rPr>
      <w:rFonts w:ascii="Times New Roman" w:hAnsi="Times New Roman" w:cs="Times New Roman"/>
      <w:color w:val="000000"/>
      <w:sz w:val="21"/>
      <w:szCs w:val="21"/>
    </w:rPr>
  </w:style>
  <w:style w:type="paragraph" w:customStyle="1" w:styleId="214">
    <w:name w:val="xl75"/>
    <w:basedOn w:val="1"/>
    <w:autoRedefine/>
    <w:qFormat/>
    <w:uiPriority w:val="0"/>
    <w:pPr>
      <w:pBdr>
        <w:top w:val="single" w:color="auto" w:sz="4" w:space="0"/>
        <w:left w:val="single" w:color="auto" w:sz="4" w:space="0"/>
        <w:right w:val="single" w:color="auto" w:sz="4" w:space="0"/>
      </w:pBdr>
      <w:spacing w:before="100" w:beforeAutospacing="1" w:after="100" w:afterAutospacing="1"/>
      <w:jc w:val="center"/>
      <w:textAlignment w:val="center"/>
    </w:pPr>
    <w:rPr>
      <w:rFonts w:ascii="Times New Roman" w:hAnsi="Times New Roman" w:cs="Times New Roman"/>
      <w:sz w:val="21"/>
      <w:szCs w:val="21"/>
    </w:rPr>
  </w:style>
  <w:style w:type="paragraph" w:customStyle="1" w:styleId="215">
    <w:name w:val="xl76"/>
    <w:basedOn w:val="1"/>
    <w:autoRedefine/>
    <w:qFormat/>
    <w:uiPriority w:val="0"/>
    <w:pPr>
      <w:pBdr>
        <w:left w:val="single" w:color="auto" w:sz="4" w:space="0"/>
        <w:bottom w:val="single" w:color="auto" w:sz="4" w:space="0"/>
        <w:right w:val="single" w:color="auto" w:sz="4" w:space="0"/>
      </w:pBdr>
      <w:spacing w:before="100" w:beforeAutospacing="1" w:after="100" w:afterAutospacing="1"/>
      <w:jc w:val="center"/>
      <w:textAlignment w:val="center"/>
    </w:pPr>
    <w:rPr>
      <w:rFonts w:ascii="Times New Roman" w:hAnsi="Times New Roman" w:cs="Times New Roman"/>
      <w:sz w:val="21"/>
      <w:szCs w:val="21"/>
    </w:rPr>
  </w:style>
  <w:style w:type="paragraph" w:customStyle="1" w:styleId="216">
    <w:name w:val="xl77"/>
    <w:basedOn w:val="1"/>
    <w:autoRedefine/>
    <w:qFormat/>
    <w:uiPriority w:val="0"/>
    <w:pPr>
      <w:pBdr>
        <w:left w:val="single" w:color="auto" w:sz="4" w:space="0"/>
        <w:right w:val="single" w:color="auto" w:sz="4" w:space="0"/>
      </w:pBdr>
      <w:spacing w:before="100" w:beforeAutospacing="1" w:after="100" w:afterAutospacing="1"/>
      <w:jc w:val="center"/>
      <w:textAlignment w:val="center"/>
    </w:pPr>
    <w:rPr>
      <w:rFonts w:ascii="Times New Roman" w:hAnsi="Times New Roman" w:cs="Times New Roman"/>
      <w:sz w:val="21"/>
      <w:szCs w:val="21"/>
    </w:rPr>
  </w:style>
  <w:style w:type="paragraph" w:customStyle="1" w:styleId="217">
    <w:name w:val="xl78"/>
    <w:basedOn w:val="1"/>
    <w:autoRedefine/>
    <w:qFormat/>
    <w:uiPriority w:val="0"/>
    <w:pPr>
      <w:pBdr>
        <w:left w:val="single" w:color="auto" w:sz="4" w:space="0"/>
        <w:right w:val="single" w:color="auto" w:sz="4" w:space="0"/>
      </w:pBdr>
      <w:spacing w:before="100" w:beforeAutospacing="1" w:after="100" w:afterAutospacing="1"/>
      <w:jc w:val="center"/>
      <w:textAlignment w:val="center"/>
    </w:pPr>
    <w:rPr>
      <w:rFonts w:ascii="Times New Roman" w:hAnsi="Times New Roman" w:cs="Times New Roman"/>
      <w:color w:val="000000"/>
      <w:sz w:val="21"/>
      <w:szCs w:val="21"/>
    </w:rPr>
  </w:style>
  <w:style w:type="paragraph" w:customStyle="1" w:styleId="218">
    <w:name w:val="xl79"/>
    <w:basedOn w:val="1"/>
    <w:autoRedefine/>
    <w:qFormat/>
    <w:uiPriority w:val="0"/>
    <w:pPr>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textAlignment w:val="center"/>
    </w:pPr>
    <w:rPr>
      <w:rFonts w:ascii="Times New Roman" w:hAnsi="Times New Roman" w:cs="Times New Roman"/>
      <w:color w:val="000000"/>
      <w:sz w:val="21"/>
      <w:szCs w:val="21"/>
    </w:rPr>
  </w:style>
  <w:style w:type="paragraph" w:customStyle="1" w:styleId="219">
    <w:name w:val="xl80"/>
    <w:basedOn w:val="1"/>
    <w:autoRedefine/>
    <w:qFormat/>
    <w:uiPriority w:val="0"/>
    <w:pPr>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textAlignment w:val="center"/>
    </w:pPr>
    <w:rPr>
      <w:rFonts w:ascii="Times New Roman" w:hAnsi="Times New Roman" w:cs="Times New Roman"/>
      <w:color w:val="000000"/>
      <w:sz w:val="21"/>
      <w:szCs w:val="21"/>
    </w:rPr>
  </w:style>
  <w:style w:type="paragraph" w:customStyle="1" w:styleId="220">
    <w:name w:val="xl81"/>
    <w:basedOn w:val="1"/>
    <w:autoRedefine/>
    <w:qFormat/>
    <w:uiPriority w:val="0"/>
    <w:pPr>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textAlignment w:val="center"/>
    </w:pPr>
    <w:rPr>
      <w:rFonts w:ascii="Times New Roman" w:hAnsi="Times New Roman" w:cs="Times New Roman"/>
      <w:sz w:val="21"/>
      <w:szCs w:val="21"/>
    </w:rPr>
  </w:style>
  <w:style w:type="paragraph" w:customStyle="1" w:styleId="221">
    <w:name w:val="xl82"/>
    <w:basedOn w:val="1"/>
    <w:autoRedefine/>
    <w:qFormat/>
    <w:uiPriority w:val="0"/>
    <w:pPr>
      <w:pBdr>
        <w:top w:val="single" w:color="auto" w:sz="4" w:space="0"/>
        <w:left w:val="single" w:color="auto" w:sz="4" w:space="0"/>
        <w:bottom w:val="single" w:color="auto" w:sz="4" w:space="0"/>
        <w:right w:val="single" w:color="auto" w:sz="4" w:space="0"/>
      </w:pBdr>
      <w:shd w:val="clear" w:color="000000" w:fill="D9D9D9"/>
      <w:spacing w:before="100" w:beforeAutospacing="1" w:after="100" w:afterAutospacing="1"/>
      <w:jc w:val="center"/>
      <w:textAlignment w:val="center"/>
    </w:pPr>
    <w:rPr>
      <w:rFonts w:ascii="Times New Roman" w:hAnsi="Times New Roman" w:cs="Times New Roman"/>
      <w:sz w:val="21"/>
      <w:szCs w:val="21"/>
    </w:rPr>
  </w:style>
  <w:style w:type="character" w:customStyle="1" w:styleId="222">
    <w:name w:val="font12"/>
    <w:basedOn w:val="47"/>
    <w:autoRedefine/>
    <w:qFormat/>
    <w:uiPriority w:val="0"/>
    <w:rPr>
      <w:rFonts w:ascii="仿宋" w:hAnsi="仿宋" w:eastAsia="仿宋" w:cs="仿宋"/>
      <w:b/>
      <w:color w:val="000000"/>
      <w:sz w:val="24"/>
      <w:szCs w:val="24"/>
      <w:u w:val="none"/>
    </w:rPr>
  </w:style>
  <w:style w:type="character" w:customStyle="1" w:styleId="223">
    <w:name w:val="font81"/>
    <w:basedOn w:val="47"/>
    <w:autoRedefine/>
    <w:qFormat/>
    <w:uiPriority w:val="0"/>
    <w:rPr>
      <w:rFonts w:hint="default" w:ascii="Times New Roman" w:hAnsi="Times New Roman" w:cs="Times New Roman"/>
      <w:b/>
      <w:color w:val="000000"/>
      <w:sz w:val="24"/>
      <w:szCs w:val="24"/>
      <w:u w:val="none"/>
    </w:rPr>
  </w:style>
  <w:style w:type="character" w:customStyle="1" w:styleId="224">
    <w:name w:val="font61"/>
    <w:basedOn w:val="47"/>
    <w:autoRedefine/>
    <w:qFormat/>
    <w:uiPriority w:val="0"/>
    <w:rPr>
      <w:rFonts w:hint="default" w:ascii="Times New Roman" w:hAnsi="Times New Roman" w:cs="Times New Roman"/>
      <w:color w:val="000000"/>
      <w:sz w:val="24"/>
      <w:szCs w:val="24"/>
      <w:u w:val="none"/>
      <w:vertAlign w:val="subscript"/>
    </w:rPr>
  </w:style>
  <w:style w:type="character" w:customStyle="1" w:styleId="225">
    <w:name w:val="font101"/>
    <w:basedOn w:val="47"/>
    <w:autoRedefine/>
    <w:qFormat/>
    <w:uiPriority w:val="0"/>
    <w:rPr>
      <w:rFonts w:hint="eastAsia" w:ascii="仿宋" w:hAnsi="仿宋" w:eastAsia="仿宋" w:cs="仿宋"/>
      <w:color w:val="000000"/>
      <w:sz w:val="24"/>
      <w:szCs w:val="24"/>
      <w:u w:val="none"/>
    </w:rPr>
  </w:style>
  <w:style w:type="character" w:customStyle="1" w:styleId="226">
    <w:name w:val="font111"/>
    <w:basedOn w:val="47"/>
    <w:autoRedefine/>
    <w:qFormat/>
    <w:uiPriority w:val="0"/>
    <w:rPr>
      <w:rFonts w:hint="default" w:ascii="Times New Roman" w:hAnsi="Times New Roman" w:cs="Times New Roman"/>
      <w:color w:val="000000"/>
      <w:sz w:val="21"/>
      <w:szCs w:val="21"/>
      <w:u w:val="none"/>
    </w:rPr>
  </w:style>
  <w:style w:type="character" w:customStyle="1" w:styleId="227">
    <w:name w:val="font41"/>
    <w:basedOn w:val="47"/>
    <w:autoRedefine/>
    <w:qFormat/>
    <w:uiPriority w:val="0"/>
    <w:rPr>
      <w:rFonts w:hint="default" w:ascii="Times New Roman" w:hAnsi="Times New Roman" w:cs="Times New Roman"/>
      <w:color w:val="000000"/>
      <w:sz w:val="21"/>
      <w:szCs w:val="21"/>
      <w:u w:val="none"/>
      <w:vertAlign w:val="subscript"/>
    </w:rPr>
  </w:style>
  <w:style w:type="table" w:customStyle="1" w:styleId="228">
    <w:name w:val="Table Normal6"/>
    <w:autoRedefine/>
    <w:semiHidden/>
    <w:qFormat/>
    <w:uiPriority w:val="2"/>
    <w:pPr>
      <w:widowControl w:val="0"/>
      <w:autoSpaceDE w:val="0"/>
      <w:autoSpaceDN w:val="0"/>
    </w:pPr>
    <w:rPr>
      <w:rFonts w:eastAsia="Times New Roman" w:asciiTheme="minorHAnsi" w:hAnsiTheme="minorHAnsi" w:cstheme="minorBidi"/>
      <w:sz w:val="22"/>
      <w:szCs w:val="22"/>
      <w:lang w:eastAsia="en-US"/>
    </w:rPr>
    <w:tblPr>
      <w:tblCellMar>
        <w:top w:w="0" w:type="dxa"/>
        <w:left w:w="0" w:type="dxa"/>
        <w:bottom w:w="0" w:type="dxa"/>
        <w:right w:w="0" w:type="dxa"/>
      </w:tblCellMar>
    </w:tblPr>
  </w:style>
  <w:style w:type="paragraph" w:customStyle="1" w:styleId="229">
    <w:name w:val="正文首行缩进  2字符"/>
    <w:basedOn w:val="1"/>
    <w:autoRedefine/>
    <w:qFormat/>
    <w:uiPriority w:val="0"/>
    <w:pPr>
      <w:spacing w:line="360" w:lineRule="auto"/>
      <w:ind w:firstLine="480" w:firstLineChars="200"/>
      <w:jc w:val="both"/>
    </w:pPr>
    <w:rPr>
      <w:rFonts w:ascii="Times New Roman" w:hAnsi="Times New Roman" w:cs="Times New Roman"/>
      <w:kern w:val="2"/>
    </w:rPr>
  </w:style>
  <w:style w:type="paragraph" w:customStyle="1" w:styleId="230">
    <w:name w:val="p0"/>
    <w:basedOn w:val="1"/>
    <w:autoRedefine/>
    <w:qFormat/>
    <w:uiPriority w:val="0"/>
    <w:pPr>
      <w:spacing w:line="360" w:lineRule="auto"/>
      <w:ind w:firstLine="800" w:firstLineChars="200"/>
      <w:jc w:val="both"/>
    </w:pPr>
    <w:rPr>
      <w:rFonts w:ascii="Times New Roman" w:hAnsi="Times New Roman" w:cs="Times New Roman"/>
    </w:rPr>
  </w:style>
  <w:style w:type="character" w:customStyle="1" w:styleId="231">
    <w:name w:val="16"/>
    <w:basedOn w:val="47"/>
    <w:autoRedefine/>
    <w:qFormat/>
    <w:uiPriority w:val="0"/>
    <w:rPr>
      <w:rFonts w:hint="default" w:ascii="Times New Roman" w:hAnsi="Times New Roman" w:cs="Times New Roman"/>
      <w:color w:val="000000"/>
      <w:sz w:val="22"/>
      <w:szCs w:val="22"/>
    </w:rPr>
  </w:style>
  <w:style w:type="character" w:customStyle="1" w:styleId="232">
    <w:name w:val="17"/>
    <w:basedOn w:val="47"/>
    <w:autoRedefine/>
    <w:qFormat/>
    <w:uiPriority w:val="0"/>
    <w:rPr>
      <w:rFonts w:hint="eastAsia" w:ascii="宋体" w:hAnsi="宋体" w:eastAsia="宋体"/>
      <w:color w:val="000000"/>
      <w:sz w:val="22"/>
      <w:szCs w:val="22"/>
    </w:rPr>
  </w:style>
  <w:style w:type="character" w:customStyle="1" w:styleId="233">
    <w:name w:val="15"/>
    <w:basedOn w:val="47"/>
    <w:autoRedefine/>
    <w:qFormat/>
    <w:uiPriority w:val="0"/>
    <w:rPr>
      <w:rFonts w:hint="default" w:ascii="Times New Roman" w:hAnsi="Times New Roman" w:cs="Times New Roman"/>
      <w:color w:val="000000"/>
      <w:sz w:val="22"/>
      <w:szCs w:val="22"/>
    </w:rPr>
  </w:style>
  <w:style w:type="character" w:customStyle="1" w:styleId="234">
    <w:name w:val="font91"/>
    <w:basedOn w:val="47"/>
    <w:autoRedefine/>
    <w:qFormat/>
    <w:uiPriority w:val="0"/>
    <w:rPr>
      <w:rFonts w:hint="eastAsia" w:ascii="宋体" w:hAnsi="宋体" w:eastAsia="宋体" w:cs="宋体"/>
      <w:b/>
      <w:color w:val="000000"/>
      <w:sz w:val="21"/>
      <w:szCs w:val="21"/>
      <w:u w:val="none"/>
    </w:rPr>
  </w:style>
  <w:style w:type="paragraph" w:customStyle="1" w:styleId="235">
    <w:name w:val="正文文本4"/>
    <w:basedOn w:val="1"/>
    <w:autoRedefine/>
    <w:qFormat/>
    <w:uiPriority w:val="0"/>
    <w:pPr>
      <w:shd w:val="clear" w:color="auto" w:fill="FFFFFF"/>
      <w:spacing w:line="269" w:lineRule="exact"/>
      <w:jc w:val="distribute"/>
    </w:pPr>
    <w:rPr>
      <w:spacing w:val="20"/>
      <w:sz w:val="26"/>
      <w:szCs w:val="26"/>
    </w:rPr>
  </w:style>
  <w:style w:type="paragraph" w:customStyle="1" w:styleId="236">
    <w:name w:val="Table Text"/>
    <w:basedOn w:val="1"/>
    <w:autoRedefine/>
    <w:semiHidden/>
    <w:qFormat/>
    <w:uiPriority w:val="0"/>
    <w:rPr>
      <w:rFonts w:ascii="仿宋" w:hAnsi="仿宋" w:eastAsia="仿宋" w:cs="仿宋"/>
      <w:lang w:eastAsia="en-US"/>
    </w:rPr>
  </w:style>
  <w:style w:type="paragraph" w:customStyle="1" w:styleId="237">
    <w:name w:val="5表格"/>
    <w:basedOn w:val="1"/>
    <w:autoRedefine/>
    <w:qFormat/>
    <w:uiPriority w:val="99"/>
    <w:pPr>
      <w:jc w:val="center"/>
    </w:pPr>
    <w:rPr>
      <w:rFonts w:eastAsia="仿宋"/>
      <w:kern w:val="24"/>
      <w:szCs w:val="21"/>
      <w:lang w:val="zh-CN"/>
    </w:rPr>
  </w:style>
  <w:style w:type="paragraph" w:customStyle="1" w:styleId="238">
    <w:name w:val="1 Char Char Char Char"/>
    <w:basedOn w:val="1"/>
    <w:autoRedefine/>
    <w:qFormat/>
    <w:uiPriority w:val="0"/>
  </w:style>
  <w:style w:type="paragraph" w:customStyle="1" w:styleId="239">
    <w:name w:val="主体"/>
    <w:autoRedefine/>
    <w:qFormat/>
    <w:uiPriority w:val="0"/>
    <w:pPr>
      <w:widowControl w:val="0"/>
      <w:autoSpaceDE w:val="0"/>
      <w:autoSpaceDN w:val="0"/>
      <w:spacing w:line="360" w:lineRule="auto"/>
      <w:ind w:firstLine="480" w:firstLineChars="200"/>
      <w:jc w:val="both"/>
    </w:pPr>
    <w:rPr>
      <w:rFonts w:ascii="等线" w:hAnsi="等线" w:eastAsia="等线" w:cs="Times New Roman"/>
      <w:bCs/>
      <w:kern w:val="2"/>
      <w:sz w:val="24"/>
      <w:szCs w:val="24"/>
      <w:lang w:val="en-US" w:eastAsia="zh-CN" w:bidi="ar-SA"/>
    </w:rPr>
  </w:style>
  <w:style w:type="paragraph" w:customStyle="1" w:styleId="240">
    <w:name w:val="表文字"/>
    <w:basedOn w:val="1"/>
    <w:autoRedefine/>
    <w:qFormat/>
    <w:uiPriority w:val="0"/>
    <w:pPr>
      <w:widowControl w:val="0"/>
      <w:jc w:val="center"/>
    </w:pPr>
    <w:rPr>
      <w:rFonts w:ascii="Calibri" w:hAnsi="Calibri" w:cs="Times New Roman"/>
      <w:kern w:val="2"/>
      <w:sz w:val="21"/>
      <w:szCs w:val="21"/>
    </w:rPr>
  </w:style>
  <w:style w:type="character" w:customStyle="1" w:styleId="241">
    <w:name w:val="明显参考1"/>
    <w:autoRedefine/>
    <w:qFormat/>
    <w:uiPriority w:val="32"/>
    <w:rPr>
      <w:b/>
      <w:bCs/>
      <w:smallCaps/>
      <w:color w:val="ED7D31"/>
      <w:spacing w:val="5"/>
      <w:u w:val="single"/>
    </w:rPr>
  </w:style>
  <w:style w:type="paragraph" w:customStyle="1" w:styleId="242">
    <w:name w:val="表格内容"/>
    <w:basedOn w:val="1"/>
    <w:autoRedefine/>
    <w:qFormat/>
    <w:uiPriority w:val="0"/>
    <w:pPr>
      <w:jc w:val="center"/>
    </w:pPr>
    <w:rPr>
      <w:rFonts w:ascii="Calibri Light" w:hAnsi="Calibri Light"/>
      <w:sz w:val="21"/>
      <w:szCs w:val="21"/>
    </w:rPr>
  </w:style>
  <w:style w:type="paragraph" w:customStyle="1" w:styleId="243">
    <w:name w:val="Other|1"/>
    <w:basedOn w:val="1"/>
    <w:autoRedefine/>
    <w:qFormat/>
    <w:uiPriority w:val="0"/>
    <w:pPr>
      <w:widowControl w:val="0"/>
      <w:jc w:val="center"/>
    </w:pPr>
    <w:rPr>
      <w:sz w:val="20"/>
      <w:szCs w:val="20"/>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5" Type="http://schemas.openxmlformats.org/officeDocument/2006/relationships/fontTable" Target="fontTable.xml"/><Relationship Id="rId84" Type="http://schemas.openxmlformats.org/officeDocument/2006/relationships/customXml" Target="../customXml/item2.xml"/><Relationship Id="rId83" Type="http://schemas.openxmlformats.org/officeDocument/2006/relationships/numbering" Target="numbering.xml"/><Relationship Id="rId82" Type="http://schemas.openxmlformats.org/officeDocument/2006/relationships/customXml" Target="../customXml/item1.xml"/><Relationship Id="rId81" Type="http://schemas.openxmlformats.org/officeDocument/2006/relationships/image" Target="media/image43.png"/><Relationship Id="rId80" Type="http://schemas.openxmlformats.org/officeDocument/2006/relationships/image" Target="media/image42.png"/><Relationship Id="rId8" Type="http://schemas.openxmlformats.org/officeDocument/2006/relationships/footer" Target="footer1.xml"/><Relationship Id="rId79" Type="http://schemas.openxmlformats.org/officeDocument/2006/relationships/image" Target="media/image41.png"/><Relationship Id="rId78" Type="http://schemas.openxmlformats.org/officeDocument/2006/relationships/image" Target="media/image40.png"/><Relationship Id="rId77" Type="http://schemas.openxmlformats.org/officeDocument/2006/relationships/image" Target="media/image39.png"/><Relationship Id="rId76" Type="http://schemas.openxmlformats.org/officeDocument/2006/relationships/image" Target="media/image38.png"/><Relationship Id="rId75" Type="http://schemas.openxmlformats.org/officeDocument/2006/relationships/image" Target="media/image37.png"/><Relationship Id="rId74" Type="http://schemas.openxmlformats.org/officeDocument/2006/relationships/image" Target="media/image36.png"/><Relationship Id="rId73" Type="http://schemas.openxmlformats.org/officeDocument/2006/relationships/image" Target="media/image35.png"/><Relationship Id="rId72" Type="http://schemas.openxmlformats.org/officeDocument/2006/relationships/image" Target="media/image34.png"/><Relationship Id="rId71" Type="http://schemas.openxmlformats.org/officeDocument/2006/relationships/image" Target="media/image33.png"/><Relationship Id="rId70" Type="http://schemas.openxmlformats.org/officeDocument/2006/relationships/image" Target="media/image32.jpeg"/><Relationship Id="rId7" Type="http://schemas.openxmlformats.org/officeDocument/2006/relationships/header" Target="header5.xml"/><Relationship Id="rId69" Type="http://schemas.openxmlformats.org/officeDocument/2006/relationships/image" Target="media/image31.emf"/><Relationship Id="rId68" Type="http://schemas.openxmlformats.org/officeDocument/2006/relationships/oleObject" Target="embeddings/oleObject7.bin"/><Relationship Id="rId67" Type="http://schemas.openxmlformats.org/officeDocument/2006/relationships/image" Target="media/image30.png"/><Relationship Id="rId66" Type="http://schemas.openxmlformats.org/officeDocument/2006/relationships/image" Target="media/image29.bmp"/><Relationship Id="rId65" Type="http://schemas.openxmlformats.org/officeDocument/2006/relationships/image" Target="media/image28.jpeg"/><Relationship Id="rId64" Type="http://schemas.openxmlformats.org/officeDocument/2006/relationships/image" Target="media/image27.png"/><Relationship Id="rId63" Type="http://schemas.openxmlformats.org/officeDocument/2006/relationships/image" Target="media/image26.png"/><Relationship Id="rId62" Type="http://schemas.openxmlformats.org/officeDocument/2006/relationships/image" Target="media/image25.png"/><Relationship Id="rId61" Type="http://schemas.openxmlformats.org/officeDocument/2006/relationships/image" Target="media/image24.png"/><Relationship Id="rId60" Type="http://schemas.openxmlformats.org/officeDocument/2006/relationships/image" Target="media/image23.png"/><Relationship Id="rId6" Type="http://schemas.openxmlformats.org/officeDocument/2006/relationships/header" Target="header4.xml"/><Relationship Id="rId59" Type="http://schemas.openxmlformats.org/officeDocument/2006/relationships/image" Target="media/image22.jpeg"/><Relationship Id="rId58" Type="http://schemas.openxmlformats.org/officeDocument/2006/relationships/image" Target="media/image21.emf"/><Relationship Id="rId57" Type="http://schemas.openxmlformats.org/officeDocument/2006/relationships/oleObject" Target="embeddings/oleObject6.bin"/><Relationship Id="rId56" Type="http://schemas.openxmlformats.org/officeDocument/2006/relationships/image" Target="media/image20.png"/><Relationship Id="rId55" Type="http://schemas.openxmlformats.org/officeDocument/2006/relationships/image" Target="media/image19.png"/><Relationship Id="rId54" Type="http://schemas.openxmlformats.org/officeDocument/2006/relationships/image" Target="media/image18.png"/><Relationship Id="rId53" Type="http://schemas.openxmlformats.org/officeDocument/2006/relationships/image" Target="media/image17.png"/><Relationship Id="rId52" Type="http://schemas.openxmlformats.org/officeDocument/2006/relationships/image" Target="media/image16.png"/><Relationship Id="rId51" Type="http://schemas.openxmlformats.org/officeDocument/2006/relationships/image" Target="media/image15.png"/><Relationship Id="rId50" Type="http://schemas.openxmlformats.org/officeDocument/2006/relationships/image" Target="media/image14.png"/><Relationship Id="rId5" Type="http://schemas.openxmlformats.org/officeDocument/2006/relationships/header" Target="header3.xml"/><Relationship Id="rId49" Type="http://schemas.openxmlformats.org/officeDocument/2006/relationships/image" Target="media/image13.png"/><Relationship Id="rId48" Type="http://schemas.openxmlformats.org/officeDocument/2006/relationships/image" Target="media/image12.png"/><Relationship Id="rId47" Type="http://schemas.openxmlformats.org/officeDocument/2006/relationships/image" Target="media/image11.png"/><Relationship Id="rId46" Type="http://schemas.openxmlformats.org/officeDocument/2006/relationships/image" Target="media/image10.png"/><Relationship Id="rId45" Type="http://schemas.openxmlformats.org/officeDocument/2006/relationships/image" Target="media/image9.png"/><Relationship Id="rId44" Type="http://schemas.openxmlformats.org/officeDocument/2006/relationships/image" Target="media/image8.wmf"/><Relationship Id="rId43" Type="http://schemas.openxmlformats.org/officeDocument/2006/relationships/oleObject" Target="embeddings/oleObject5.bin"/><Relationship Id="rId42" Type="http://schemas.openxmlformats.org/officeDocument/2006/relationships/image" Target="media/image7.wmf"/><Relationship Id="rId41" Type="http://schemas.openxmlformats.org/officeDocument/2006/relationships/oleObject" Target="embeddings/oleObject4.bin"/><Relationship Id="rId40" Type="http://schemas.openxmlformats.org/officeDocument/2006/relationships/image" Target="media/image6.wmf"/><Relationship Id="rId4" Type="http://schemas.openxmlformats.org/officeDocument/2006/relationships/header" Target="header2.xml"/><Relationship Id="rId39" Type="http://schemas.openxmlformats.org/officeDocument/2006/relationships/oleObject" Target="embeddings/oleObject3.bin"/><Relationship Id="rId38" Type="http://schemas.openxmlformats.org/officeDocument/2006/relationships/image" Target="media/image5.wmf"/><Relationship Id="rId37" Type="http://schemas.openxmlformats.org/officeDocument/2006/relationships/oleObject" Target="embeddings/oleObject2.bin"/><Relationship Id="rId36" Type="http://schemas.openxmlformats.org/officeDocument/2006/relationships/image" Target="media/image4.wmf"/><Relationship Id="rId35" Type="http://schemas.openxmlformats.org/officeDocument/2006/relationships/oleObject" Target="embeddings/oleObject1.bin"/><Relationship Id="rId34" Type="http://schemas.openxmlformats.org/officeDocument/2006/relationships/image" Target="media/image3.png"/><Relationship Id="rId33" Type="http://schemas.openxmlformats.org/officeDocument/2006/relationships/image" Target="media/image2.png"/><Relationship Id="rId32" Type="http://schemas.openxmlformats.org/officeDocument/2006/relationships/image" Target="media/image1.png"/><Relationship Id="rId31" Type="http://schemas.openxmlformats.org/officeDocument/2006/relationships/theme" Target="theme/theme1.xml"/><Relationship Id="rId30" Type="http://schemas.openxmlformats.org/officeDocument/2006/relationships/header" Target="header25.xml"/><Relationship Id="rId3" Type="http://schemas.openxmlformats.org/officeDocument/2006/relationships/header" Target="header1.xml"/><Relationship Id="rId29" Type="http://schemas.openxmlformats.org/officeDocument/2006/relationships/header" Target="header24.xml"/><Relationship Id="rId28" Type="http://schemas.openxmlformats.org/officeDocument/2006/relationships/header" Target="header23.xml"/><Relationship Id="rId27" Type="http://schemas.openxmlformats.org/officeDocument/2006/relationships/header" Target="header22.xml"/><Relationship Id="rId26" Type="http://schemas.openxmlformats.org/officeDocument/2006/relationships/header" Target="header21.xml"/><Relationship Id="rId25" Type="http://schemas.openxmlformats.org/officeDocument/2006/relationships/header" Target="header20.xml"/><Relationship Id="rId24" Type="http://schemas.openxmlformats.org/officeDocument/2006/relationships/header" Target="header19.xml"/><Relationship Id="rId23" Type="http://schemas.openxmlformats.org/officeDocument/2006/relationships/header" Target="header18.xml"/><Relationship Id="rId22" Type="http://schemas.openxmlformats.org/officeDocument/2006/relationships/header" Target="header17.xml"/><Relationship Id="rId21" Type="http://schemas.openxmlformats.org/officeDocument/2006/relationships/header" Target="header16.xml"/><Relationship Id="rId20" Type="http://schemas.openxmlformats.org/officeDocument/2006/relationships/header" Target="header15.xml"/><Relationship Id="rId2" Type="http://schemas.openxmlformats.org/officeDocument/2006/relationships/settings" Target="settings.xml"/><Relationship Id="rId19" Type="http://schemas.openxmlformats.org/officeDocument/2006/relationships/header" Target="header14.xml"/><Relationship Id="rId18" Type="http://schemas.openxmlformats.org/officeDocument/2006/relationships/header" Target="header13.xml"/><Relationship Id="rId17" Type="http://schemas.openxmlformats.org/officeDocument/2006/relationships/header" Target="header12.xml"/><Relationship Id="rId16" Type="http://schemas.openxmlformats.org/officeDocument/2006/relationships/header" Target="header11.xml"/><Relationship Id="rId15" Type="http://schemas.openxmlformats.org/officeDocument/2006/relationships/header" Target="header10.xml"/><Relationship Id="rId14" Type="http://schemas.openxmlformats.org/officeDocument/2006/relationships/header" Target="header9.xml"/><Relationship Id="rId13" Type="http://schemas.openxmlformats.org/officeDocument/2006/relationships/header" Target="header8.xml"/><Relationship Id="rId12" Type="http://schemas.openxmlformats.org/officeDocument/2006/relationships/header" Target="header7.xml"/><Relationship Id="rId11" Type="http://schemas.openxmlformats.org/officeDocument/2006/relationships/header" Target="header6.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EC06438-5FC5-40D9-A897-376BD90CBCF3}">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268</Pages>
  <Words>167851</Words>
  <Characters>204874</Characters>
  <Lines>1622</Lines>
  <Paragraphs>456</Paragraphs>
  <TotalTime>2</TotalTime>
  <ScaleCrop>false</ScaleCrop>
  <LinksUpToDate>false</LinksUpToDate>
  <CharactersWithSpaces>205488</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2021-01-19T02:55:00Z</dcterms:created>
  <dc:creator>李浩</dc:creator>
  <cp:keywords>环境影响报告书</cp:keywords>
  <cp:lastModifiedBy>Cathy♥丹 ☆_☆</cp:lastModifiedBy>
  <cp:lastPrinted>2024-06-17T06:51:00Z</cp:lastPrinted>
  <dcterms:modified xsi:type="dcterms:W3CDTF">2024-07-16T03:17:15Z</dcterms:modified>
  <cp:revision>55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FF8D708996EE43CA87F727ED6184D4ED_13</vt:lpwstr>
  </property>
</Properties>
</file>